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361F" w:rsidRDefault="00AF18A5">
      <w:pPr>
        <w:pStyle w:val="Textoindependiente"/>
        <w:spacing w:before="4"/>
        <w:rPr>
          <w:sz w:val="17"/>
        </w:rPr>
      </w:pPr>
      <w:r>
        <w:rPr>
          <w:noProof/>
        </w:rPr>
        <w:drawing>
          <wp:inline distT="0" distB="0" distL="0" distR="0">
            <wp:extent cx="6109221" cy="7924800"/>
            <wp:effectExtent l="0" t="0" r="6350" b="0"/>
            <wp:docPr id="1" name="image1.jpeg" descr="Portada de la o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3558" cy="7930426"/>
                    </a:xfrm>
                    <a:prstGeom prst="rect">
                      <a:avLst/>
                    </a:prstGeom>
                  </pic:spPr>
                </pic:pic>
              </a:graphicData>
            </a:graphic>
          </wp:inline>
        </w:drawing>
      </w:r>
    </w:p>
    <w:p w:rsidR="00CF3DE3" w:rsidRDefault="00BC729E" w:rsidP="00621043">
      <w:pPr>
        <w:rPr>
          <w:rStyle w:val="Ttulodellibro"/>
        </w:rPr>
      </w:pPr>
      <w:r w:rsidRPr="00BC729E">
        <w:rPr>
          <w:rStyle w:val="Ttulodellibro"/>
        </w:rPr>
        <w:lastRenderedPageBreak/>
        <w:t>Hay futuro si hay verdad</w:t>
      </w:r>
      <w:r>
        <w:rPr>
          <w:rStyle w:val="Ttulodellibro"/>
        </w:rPr>
        <w:t>.</w:t>
      </w:r>
      <w:r w:rsidRPr="00BC729E">
        <w:rPr>
          <w:rStyle w:val="Ttulodellibro"/>
        </w:rPr>
        <w:t xml:space="preserve"> Informe Final</w:t>
      </w:r>
      <w:r>
        <w:rPr>
          <w:rStyle w:val="Ttulodellibro"/>
        </w:rPr>
        <w:t xml:space="preserve">. </w:t>
      </w:r>
    </w:p>
    <w:p w:rsidR="00BC729E" w:rsidRDefault="00BC729E" w:rsidP="00621043">
      <w:r>
        <w:t xml:space="preserve">Comisión para el </w:t>
      </w:r>
      <w:r w:rsidR="00CF3DE3">
        <w:t>Esclarecimiento de la verdad, la Convivencia y la No repetición.</w:t>
      </w:r>
    </w:p>
    <w:p w:rsidR="00621043" w:rsidRDefault="00AF18A5" w:rsidP="00621043">
      <w:r w:rsidRPr="00621043">
        <w:t>28 de junio de 2022 Bogotá</w:t>
      </w:r>
    </w:p>
    <w:p w:rsidR="00CF3DE3" w:rsidRDefault="00CF3DE3" w:rsidP="00CF3DE3">
      <w:pPr>
        <w:rPr>
          <w:rStyle w:val="Ttulodellibro"/>
        </w:rPr>
      </w:pPr>
      <w:r w:rsidRPr="00621043">
        <w:rPr>
          <w:rStyle w:val="Ttulodellibro"/>
        </w:rPr>
        <w:t>Hallazgos y recomendaciones</w:t>
      </w:r>
    </w:p>
    <w:p w:rsidR="00621043" w:rsidRDefault="00621043">
      <w:pPr>
        <w:spacing w:before="0" w:after="0" w:line="240" w:lineRule="auto"/>
      </w:pPr>
      <w:r>
        <w:br w:type="page"/>
      </w:r>
    </w:p>
    <w:p w:rsidR="00B6716C" w:rsidRPr="00B6716C" w:rsidRDefault="00B6716C" w:rsidP="00B6716C">
      <w:pPr>
        <w:rPr>
          <w:b/>
        </w:rPr>
      </w:pPr>
      <w:r w:rsidRPr="00B6716C">
        <w:rPr>
          <w:b/>
        </w:rPr>
        <w:lastRenderedPageBreak/>
        <w:t>Hallazgos y recomendaciones de la Comisión de la Verdad de Colombia</w:t>
      </w:r>
    </w:p>
    <w:p w:rsidR="009704CB" w:rsidRDefault="00B6716C" w:rsidP="00B6716C">
      <w:r>
        <w:t>Hay futuro si hay verdad.</w:t>
      </w:r>
    </w:p>
    <w:p w:rsidR="00B6716C" w:rsidRDefault="00B6716C" w:rsidP="00B6716C">
      <w:r>
        <w:t>Informe Final</w:t>
      </w:r>
    </w:p>
    <w:p w:rsidR="00B6716C" w:rsidRDefault="00B6716C" w:rsidP="00B6716C">
      <w:r>
        <w:t>28 de junio de 2022</w:t>
      </w:r>
    </w:p>
    <w:p w:rsidR="00B6716C" w:rsidRDefault="00B6716C" w:rsidP="00B6716C">
      <w:r>
        <w:t>Bogotá</w:t>
      </w:r>
    </w:p>
    <w:p w:rsidR="00B6716C" w:rsidRDefault="00B6716C">
      <w:pPr>
        <w:spacing w:before="0" w:after="0" w:line="240" w:lineRule="auto"/>
      </w:pPr>
      <w:r>
        <w:br w:type="page"/>
      </w:r>
    </w:p>
    <w:p w:rsidR="003804AC" w:rsidRPr="00513F80" w:rsidRDefault="00AF18A5" w:rsidP="00F47A4B">
      <w:pPr>
        <w:rPr>
          <w:b/>
        </w:rPr>
      </w:pPr>
      <w:r w:rsidRPr="00513F80">
        <w:rPr>
          <w:b/>
        </w:rPr>
        <w:lastRenderedPageBreak/>
        <w:t>Contenido</w:t>
      </w:r>
    </w:p>
    <w:p w:rsidR="00513F80" w:rsidRDefault="00513F80">
      <w:pPr>
        <w:pStyle w:val="TDC1"/>
        <w:tabs>
          <w:tab w:val="right" w:leader="dot" w:pos="8828"/>
        </w:tabs>
        <w:rPr>
          <w:rFonts w:asciiTheme="minorHAnsi" w:eastAsiaTheme="minorEastAsia" w:hAnsiTheme="minorHAnsi" w:cstheme="minorBidi"/>
          <w:b w:val="0"/>
          <w:noProof/>
          <w:sz w:val="22"/>
          <w:szCs w:val="22"/>
          <w:lang w:val="es-CO" w:eastAsia="es-CO"/>
        </w:rPr>
      </w:pPr>
      <w:r>
        <w:fldChar w:fldCharType="begin"/>
      </w:r>
      <w:r>
        <w:instrText xml:space="preserve"> TOC \o "1-3" \h \z \u </w:instrText>
      </w:r>
      <w:r>
        <w:fldChar w:fldCharType="separate"/>
      </w:r>
      <w:hyperlink w:anchor="_Toc112399518" w:history="1">
        <w:r w:rsidRPr="00DF6938">
          <w:rPr>
            <w:rStyle w:val="Hipervnculo"/>
            <w:noProof/>
          </w:rPr>
          <w:t>Introducción</w:t>
        </w:r>
        <w:r>
          <w:rPr>
            <w:noProof/>
            <w:webHidden/>
          </w:rPr>
          <w:tab/>
        </w:r>
        <w:r>
          <w:rPr>
            <w:noProof/>
            <w:webHidden/>
          </w:rPr>
          <w:fldChar w:fldCharType="begin"/>
        </w:r>
        <w:r>
          <w:rPr>
            <w:noProof/>
            <w:webHidden/>
          </w:rPr>
          <w:instrText xml:space="preserve"> PAGEREF _Toc112399518 \h </w:instrText>
        </w:r>
        <w:r>
          <w:rPr>
            <w:noProof/>
            <w:webHidden/>
          </w:rPr>
        </w:r>
        <w:r>
          <w:rPr>
            <w:noProof/>
            <w:webHidden/>
          </w:rPr>
          <w:fldChar w:fldCharType="separate"/>
        </w:r>
        <w:r>
          <w:rPr>
            <w:noProof/>
            <w:webHidden/>
          </w:rPr>
          <w:t>14</w:t>
        </w:r>
        <w:r>
          <w:rPr>
            <w:noProof/>
            <w:webHidden/>
          </w:rPr>
          <w:fldChar w:fldCharType="end"/>
        </w:r>
      </w:hyperlink>
    </w:p>
    <w:p w:rsidR="00513F80" w:rsidRDefault="00513F80">
      <w:pPr>
        <w:pStyle w:val="TDC1"/>
        <w:tabs>
          <w:tab w:val="left" w:pos="1100"/>
          <w:tab w:val="right" w:leader="dot" w:pos="8828"/>
        </w:tabs>
        <w:rPr>
          <w:rFonts w:asciiTheme="minorHAnsi" w:eastAsiaTheme="minorEastAsia" w:hAnsiTheme="minorHAnsi" w:cstheme="minorBidi"/>
          <w:b w:val="0"/>
          <w:noProof/>
          <w:sz w:val="22"/>
          <w:szCs w:val="22"/>
          <w:lang w:val="es-CO" w:eastAsia="es-CO"/>
        </w:rPr>
      </w:pPr>
      <w:hyperlink w:anchor="_Toc112399519" w:history="1">
        <w:r w:rsidRPr="00DF6938">
          <w:rPr>
            <w:rStyle w:val="Hipervnculo"/>
            <w:noProof/>
          </w:rPr>
          <w:t>I.</w:t>
        </w:r>
        <w:r>
          <w:rPr>
            <w:rFonts w:asciiTheme="minorHAnsi" w:eastAsiaTheme="minorEastAsia" w:hAnsiTheme="minorHAnsi" w:cstheme="minorBidi"/>
            <w:b w:val="0"/>
            <w:noProof/>
            <w:sz w:val="22"/>
            <w:szCs w:val="22"/>
            <w:lang w:val="es-CO" w:eastAsia="es-CO"/>
          </w:rPr>
          <w:tab/>
        </w:r>
        <w:r w:rsidRPr="00DF6938">
          <w:rPr>
            <w:rStyle w:val="Hipervnculo"/>
            <w:noProof/>
          </w:rPr>
          <w:t>HALLAZGOS</w:t>
        </w:r>
        <w:r>
          <w:rPr>
            <w:noProof/>
            <w:webHidden/>
          </w:rPr>
          <w:tab/>
        </w:r>
        <w:r>
          <w:rPr>
            <w:noProof/>
            <w:webHidden/>
          </w:rPr>
          <w:fldChar w:fldCharType="begin"/>
        </w:r>
        <w:r>
          <w:rPr>
            <w:noProof/>
            <w:webHidden/>
          </w:rPr>
          <w:instrText xml:space="preserve"> PAGEREF _Toc112399519 \h </w:instrText>
        </w:r>
        <w:r>
          <w:rPr>
            <w:noProof/>
            <w:webHidden/>
          </w:rPr>
        </w:r>
        <w:r>
          <w:rPr>
            <w:noProof/>
            <w:webHidden/>
          </w:rPr>
          <w:fldChar w:fldCharType="separate"/>
        </w:r>
        <w:r>
          <w:rPr>
            <w:noProof/>
            <w:webHidden/>
          </w:rPr>
          <w:t>22</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520" w:history="1">
        <w:r w:rsidRPr="00DF6938">
          <w:rPr>
            <w:rStyle w:val="Hipervnculo"/>
            <w:noProof/>
          </w:rPr>
          <w:t>1.</w:t>
        </w:r>
        <w:r>
          <w:rPr>
            <w:rFonts w:asciiTheme="minorHAnsi" w:eastAsiaTheme="minorEastAsia" w:hAnsiTheme="minorHAnsi" w:cstheme="minorBidi"/>
            <w:b w:val="0"/>
            <w:bCs w:val="0"/>
            <w:iCs w:val="0"/>
            <w:noProof/>
            <w:sz w:val="22"/>
            <w:lang w:val="es-CO" w:eastAsia="es-CO"/>
          </w:rPr>
          <w:tab/>
        </w:r>
        <w:r w:rsidRPr="00DF6938">
          <w:rPr>
            <w:rStyle w:val="Hipervnculo"/>
            <w:noProof/>
          </w:rPr>
          <w:t>LA COLOMBIA HERIDA</w:t>
        </w:r>
        <w:r>
          <w:rPr>
            <w:noProof/>
            <w:webHidden/>
          </w:rPr>
          <w:tab/>
        </w:r>
        <w:r>
          <w:rPr>
            <w:noProof/>
            <w:webHidden/>
          </w:rPr>
          <w:fldChar w:fldCharType="begin"/>
        </w:r>
        <w:r>
          <w:rPr>
            <w:noProof/>
            <w:webHidden/>
          </w:rPr>
          <w:instrText xml:space="preserve"> PAGEREF _Toc112399520 \h </w:instrText>
        </w:r>
        <w:r>
          <w:rPr>
            <w:noProof/>
            <w:webHidden/>
          </w:rPr>
        </w:r>
        <w:r>
          <w:rPr>
            <w:noProof/>
            <w:webHidden/>
          </w:rPr>
          <w:fldChar w:fldCharType="separate"/>
        </w:r>
        <w:r>
          <w:rPr>
            <w:noProof/>
            <w:webHidden/>
          </w:rPr>
          <w:t>22</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21" w:history="1">
        <w:r w:rsidRPr="00DF6938">
          <w:rPr>
            <w:rStyle w:val="Hipervnculo"/>
            <w:noProof/>
          </w:rPr>
          <w:t>1.1.</w:t>
        </w:r>
        <w:r>
          <w:rPr>
            <w:rFonts w:asciiTheme="minorHAnsi" w:eastAsiaTheme="minorEastAsia" w:hAnsiTheme="minorHAnsi" w:cstheme="minorBidi"/>
            <w:noProof/>
            <w:sz w:val="22"/>
            <w:szCs w:val="22"/>
            <w:lang w:val="es-CO" w:eastAsia="es-CO"/>
          </w:rPr>
          <w:tab/>
        </w:r>
        <w:r w:rsidRPr="00DF6938">
          <w:rPr>
            <w:rStyle w:val="Hipervnculo"/>
            <w:noProof/>
          </w:rPr>
          <w:t>Acercarnos</w:t>
        </w:r>
        <w:r w:rsidRPr="00DF6938">
          <w:rPr>
            <w:rStyle w:val="Hipervnculo"/>
            <w:noProof/>
            <w:spacing w:val="-2"/>
          </w:rPr>
          <w:t xml:space="preserve"> </w:t>
        </w:r>
        <w:r w:rsidRPr="00DF6938">
          <w:rPr>
            <w:rStyle w:val="Hipervnculo"/>
            <w:noProof/>
          </w:rPr>
          <w:t>a</w:t>
        </w:r>
        <w:r w:rsidRPr="00DF6938">
          <w:rPr>
            <w:rStyle w:val="Hipervnculo"/>
            <w:noProof/>
            <w:spacing w:val="-2"/>
          </w:rPr>
          <w:t xml:space="preserve"> </w:t>
        </w:r>
        <w:r w:rsidRPr="00DF6938">
          <w:rPr>
            <w:rStyle w:val="Hipervnculo"/>
            <w:noProof/>
          </w:rPr>
          <w:t>la</w:t>
        </w:r>
        <w:r w:rsidRPr="00DF6938">
          <w:rPr>
            <w:rStyle w:val="Hipervnculo"/>
            <w:noProof/>
            <w:spacing w:val="-1"/>
          </w:rPr>
          <w:t xml:space="preserve"> </w:t>
        </w:r>
        <w:r w:rsidRPr="00DF6938">
          <w:rPr>
            <w:rStyle w:val="Hipervnculo"/>
            <w:noProof/>
          </w:rPr>
          <w:t>experiencia</w:t>
        </w:r>
        <w:r w:rsidRPr="00DF6938">
          <w:rPr>
            <w:rStyle w:val="Hipervnculo"/>
            <w:noProof/>
            <w:spacing w:val="-2"/>
          </w:rPr>
          <w:t xml:space="preserve"> </w:t>
        </w:r>
        <w:r w:rsidRPr="00DF6938">
          <w:rPr>
            <w:rStyle w:val="Hipervnculo"/>
            <w:noProof/>
          </w:rPr>
          <w:t>de</w:t>
        </w:r>
        <w:r w:rsidRPr="00DF6938">
          <w:rPr>
            <w:rStyle w:val="Hipervnculo"/>
            <w:noProof/>
            <w:spacing w:val="-2"/>
          </w:rPr>
          <w:t xml:space="preserve"> </w:t>
        </w:r>
        <w:r w:rsidRPr="00DF6938">
          <w:rPr>
            <w:rStyle w:val="Hipervnculo"/>
            <w:noProof/>
          </w:rPr>
          <w:t>las</w:t>
        </w:r>
        <w:r w:rsidRPr="00DF6938">
          <w:rPr>
            <w:rStyle w:val="Hipervnculo"/>
            <w:noProof/>
            <w:spacing w:val="-1"/>
          </w:rPr>
          <w:t xml:space="preserve"> </w:t>
        </w:r>
        <w:r w:rsidRPr="00DF6938">
          <w:rPr>
            <w:rStyle w:val="Hipervnculo"/>
            <w:noProof/>
            <w:spacing w:val="-2"/>
          </w:rPr>
          <w:t>víctimas</w:t>
        </w:r>
        <w:r>
          <w:rPr>
            <w:noProof/>
            <w:webHidden/>
          </w:rPr>
          <w:tab/>
        </w:r>
        <w:r>
          <w:rPr>
            <w:noProof/>
            <w:webHidden/>
          </w:rPr>
          <w:fldChar w:fldCharType="begin"/>
        </w:r>
        <w:r>
          <w:rPr>
            <w:noProof/>
            <w:webHidden/>
          </w:rPr>
          <w:instrText xml:space="preserve"> PAGEREF _Toc112399521 \h </w:instrText>
        </w:r>
        <w:r>
          <w:rPr>
            <w:noProof/>
            <w:webHidden/>
          </w:rPr>
        </w:r>
        <w:r>
          <w:rPr>
            <w:noProof/>
            <w:webHidden/>
          </w:rPr>
          <w:fldChar w:fldCharType="separate"/>
        </w:r>
        <w:r>
          <w:rPr>
            <w:noProof/>
            <w:webHidden/>
          </w:rPr>
          <w:t>26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22" w:history="1">
        <w:r w:rsidRPr="00DF6938">
          <w:rPr>
            <w:rStyle w:val="Hipervnculo"/>
            <w:noProof/>
          </w:rPr>
          <w:t>1.1.1.</w:t>
        </w:r>
        <w:r>
          <w:rPr>
            <w:rFonts w:asciiTheme="minorHAnsi" w:eastAsiaTheme="minorEastAsia" w:hAnsiTheme="minorHAnsi" w:cstheme="minorBidi"/>
            <w:noProof/>
            <w:sz w:val="22"/>
            <w:szCs w:val="22"/>
            <w:lang w:val="es-CO" w:eastAsia="es-CO"/>
          </w:rPr>
          <w:tab/>
        </w:r>
        <w:r w:rsidRPr="00DF6938">
          <w:rPr>
            <w:rStyle w:val="Hipervnculo"/>
            <w:noProof/>
          </w:rPr>
          <w:t>Un impacto masivo e intolerable</w:t>
        </w:r>
        <w:r>
          <w:rPr>
            <w:noProof/>
            <w:webHidden/>
          </w:rPr>
          <w:tab/>
        </w:r>
        <w:r>
          <w:rPr>
            <w:noProof/>
            <w:webHidden/>
          </w:rPr>
          <w:fldChar w:fldCharType="begin"/>
        </w:r>
        <w:r>
          <w:rPr>
            <w:noProof/>
            <w:webHidden/>
          </w:rPr>
          <w:instrText xml:space="preserve"> PAGEREF _Toc112399522 \h </w:instrText>
        </w:r>
        <w:r>
          <w:rPr>
            <w:noProof/>
            <w:webHidden/>
          </w:rPr>
        </w:r>
        <w:r>
          <w:rPr>
            <w:noProof/>
            <w:webHidden/>
          </w:rPr>
          <w:fldChar w:fldCharType="separate"/>
        </w:r>
        <w:r>
          <w:rPr>
            <w:noProof/>
            <w:webHidden/>
          </w:rPr>
          <w:t>26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23" w:history="1">
        <w:r w:rsidRPr="00DF6938">
          <w:rPr>
            <w:rStyle w:val="Hipervnculo"/>
            <w:noProof/>
          </w:rPr>
          <w:t>1.1.2.</w:t>
        </w:r>
        <w:r>
          <w:rPr>
            <w:rFonts w:asciiTheme="minorHAnsi" w:eastAsiaTheme="minorEastAsia" w:hAnsiTheme="minorHAnsi" w:cstheme="minorBidi"/>
            <w:noProof/>
            <w:sz w:val="22"/>
            <w:szCs w:val="22"/>
            <w:lang w:val="es-CO" w:eastAsia="es-CO"/>
          </w:rPr>
          <w:tab/>
        </w:r>
        <w:r w:rsidRPr="00DF6938">
          <w:rPr>
            <w:rStyle w:val="Hipervnculo"/>
            <w:noProof/>
          </w:rPr>
          <w:t>La dignidad y la centralidad de las víctimas</w:t>
        </w:r>
        <w:r>
          <w:rPr>
            <w:noProof/>
            <w:webHidden/>
          </w:rPr>
          <w:tab/>
        </w:r>
        <w:r>
          <w:rPr>
            <w:noProof/>
            <w:webHidden/>
          </w:rPr>
          <w:fldChar w:fldCharType="begin"/>
        </w:r>
        <w:r>
          <w:rPr>
            <w:noProof/>
            <w:webHidden/>
          </w:rPr>
          <w:instrText xml:space="preserve"> PAGEREF _Toc112399523 \h </w:instrText>
        </w:r>
        <w:r>
          <w:rPr>
            <w:noProof/>
            <w:webHidden/>
          </w:rPr>
        </w:r>
        <w:r>
          <w:rPr>
            <w:noProof/>
            <w:webHidden/>
          </w:rPr>
          <w:fldChar w:fldCharType="separate"/>
        </w:r>
        <w:r>
          <w:rPr>
            <w:noProof/>
            <w:webHidden/>
          </w:rPr>
          <w:t>33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24" w:history="1">
        <w:r w:rsidRPr="00DF6938">
          <w:rPr>
            <w:rStyle w:val="Hipervnculo"/>
            <w:noProof/>
          </w:rPr>
          <w:t>1.1.3.</w:t>
        </w:r>
        <w:r>
          <w:rPr>
            <w:rFonts w:asciiTheme="minorHAnsi" w:eastAsiaTheme="minorEastAsia" w:hAnsiTheme="minorHAnsi" w:cstheme="minorBidi"/>
            <w:noProof/>
            <w:sz w:val="22"/>
            <w:szCs w:val="22"/>
            <w:lang w:val="es-CO" w:eastAsia="es-CO"/>
          </w:rPr>
          <w:tab/>
        </w:r>
        <w:r w:rsidRPr="00DF6938">
          <w:rPr>
            <w:rStyle w:val="Hipervnculo"/>
            <w:noProof/>
          </w:rPr>
          <w:t>Humanización y formas de resistencia</w:t>
        </w:r>
        <w:r>
          <w:rPr>
            <w:noProof/>
            <w:webHidden/>
          </w:rPr>
          <w:tab/>
        </w:r>
        <w:r>
          <w:rPr>
            <w:noProof/>
            <w:webHidden/>
          </w:rPr>
          <w:fldChar w:fldCharType="begin"/>
        </w:r>
        <w:r>
          <w:rPr>
            <w:noProof/>
            <w:webHidden/>
          </w:rPr>
          <w:instrText xml:space="preserve"> PAGEREF _Toc112399524 \h </w:instrText>
        </w:r>
        <w:r>
          <w:rPr>
            <w:noProof/>
            <w:webHidden/>
          </w:rPr>
        </w:r>
        <w:r>
          <w:rPr>
            <w:noProof/>
            <w:webHidden/>
          </w:rPr>
          <w:fldChar w:fldCharType="separate"/>
        </w:r>
        <w:r>
          <w:rPr>
            <w:noProof/>
            <w:webHidden/>
          </w:rPr>
          <w:t>39</w:t>
        </w:r>
        <w:r>
          <w:rPr>
            <w:noProof/>
            <w:webHidden/>
          </w:rPr>
          <w:fldChar w:fldCharType="end"/>
        </w:r>
      </w:hyperlink>
    </w:p>
    <w:p w:rsidR="00513F80" w:rsidRDefault="00513F80">
      <w:pPr>
        <w:pStyle w:val="TDC3"/>
        <w:tabs>
          <w:tab w:val="right" w:leader="dot" w:pos="8828"/>
        </w:tabs>
        <w:rPr>
          <w:rFonts w:asciiTheme="minorHAnsi" w:eastAsiaTheme="minorEastAsia" w:hAnsiTheme="minorHAnsi" w:cstheme="minorBidi"/>
          <w:noProof/>
          <w:sz w:val="22"/>
          <w:szCs w:val="22"/>
          <w:lang w:val="es-CO" w:eastAsia="es-CO"/>
        </w:rPr>
      </w:pPr>
      <w:hyperlink w:anchor="_Toc112399525" w:history="1">
        <w:r w:rsidRPr="00DF6938">
          <w:rPr>
            <w:rStyle w:val="Hipervnculo"/>
            <w:noProof/>
          </w:rPr>
          <w:t>1.2. Sobre la Colombia herida y los impactos en la vida cotidiana</w:t>
        </w:r>
        <w:r>
          <w:rPr>
            <w:noProof/>
            <w:webHidden/>
          </w:rPr>
          <w:tab/>
        </w:r>
        <w:r>
          <w:rPr>
            <w:noProof/>
            <w:webHidden/>
          </w:rPr>
          <w:fldChar w:fldCharType="begin"/>
        </w:r>
        <w:r>
          <w:rPr>
            <w:noProof/>
            <w:webHidden/>
          </w:rPr>
          <w:instrText xml:space="preserve"> PAGEREF _Toc112399525 \h </w:instrText>
        </w:r>
        <w:r>
          <w:rPr>
            <w:noProof/>
            <w:webHidden/>
          </w:rPr>
        </w:r>
        <w:r>
          <w:rPr>
            <w:noProof/>
            <w:webHidden/>
          </w:rPr>
          <w:fldChar w:fldCharType="separate"/>
        </w:r>
        <w:r>
          <w:rPr>
            <w:noProof/>
            <w:webHidden/>
          </w:rPr>
          <w:t>43</w:t>
        </w:r>
        <w:r>
          <w:rPr>
            <w:noProof/>
            <w:webHidden/>
          </w:rPr>
          <w:fldChar w:fldCharType="end"/>
        </w:r>
      </w:hyperlink>
    </w:p>
    <w:p w:rsidR="00513F80" w:rsidRDefault="00513F80">
      <w:pPr>
        <w:pStyle w:val="TDC3"/>
        <w:tabs>
          <w:tab w:val="right" w:leader="dot" w:pos="8828"/>
        </w:tabs>
        <w:rPr>
          <w:rFonts w:asciiTheme="minorHAnsi" w:eastAsiaTheme="minorEastAsia" w:hAnsiTheme="minorHAnsi" w:cstheme="minorBidi"/>
          <w:noProof/>
          <w:sz w:val="22"/>
          <w:szCs w:val="22"/>
          <w:lang w:val="es-CO" w:eastAsia="es-CO"/>
        </w:rPr>
      </w:pPr>
      <w:hyperlink w:anchor="_Toc112399526" w:history="1">
        <w:r w:rsidRPr="00DF6938">
          <w:rPr>
            <w:rStyle w:val="Hipervnculo"/>
            <w:noProof/>
          </w:rPr>
          <w:t>1.2.1. Traumas colectivos: huellas de dolor en la identidad del país</w:t>
        </w:r>
        <w:r>
          <w:rPr>
            <w:noProof/>
            <w:webHidden/>
          </w:rPr>
          <w:tab/>
        </w:r>
        <w:r>
          <w:rPr>
            <w:noProof/>
            <w:webHidden/>
          </w:rPr>
          <w:fldChar w:fldCharType="begin"/>
        </w:r>
        <w:r>
          <w:rPr>
            <w:noProof/>
            <w:webHidden/>
          </w:rPr>
          <w:instrText xml:space="preserve"> PAGEREF _Toc112399526 \h </w:instrText>
        </w:r>
        <w:r>
          <w:rPr>
            <w:noProof/>
            <w:webHidden/>
          </w:rPr>
        </w:r>
        <w:r>
          <w:rPr>
            <w:noProof/>
            <w:webHidden/>
          </w:rPr>
          <w:fldChar w:fldCharType="separate"/>
        </w:r>
        <w:r>
          <w:rPr>
            <w:noProof/>
            <w:webHidden/>
          </w:rPr>
          <w:t>43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27" w:history="1">
        <w:r w:rsidRPr="00DF6938">
          <w:rPr>
            <w:rStyle w:val="Hipervnculo"/>
            <w:noProof/>
          </w:rPr>
          <w:t>1.2.2.</w:t>
        </w:r>
        <w:r>
          <w:rPr>
            <w:rFonts w:asciiTheme="minorHAnsi" w:eastAsiaTheme="minorEastAsia" w:hAnsiTheme="minorHAnsi" w:cstheme="minorBidi"/>
            <w:noProof/>
            <w:sz w:val="22"/>
            <w:szCs w:val="22"/>
            <w:lang w:val="es-CO" w:eastAsia="es-CO"/>
          </w:rPr>
          <w:tab/>
        </w:r>
        <w:r w:rsidRPr="00DF6938">
          <w:rPr>
            <w:rStyle w:val="Hipervnculo"/>
            <w:noProof/>
          </w:rPr>
          <w:t>Las consecuencias del dolor atraviesan generaciones</w:t>
        </w:r>
        <w:r>
          <w:rPr>
            <w:noProof/>
            <w:webHidden/>
          </w:rPr>
          <w:tab/>
        </w:r>
        <w:r>
          <w:rPr>
            <w:noProof/>
            <w:webHidden/>
          </w:rPr>
          <w:fldChar w:fldCharType="begin"/>
        </w:r>
        <w:r>
          <w:rPr>
            <w:noProof/>
            <w:webHidden/>
          </w:rPr>
          <w:instrText xml:space="preserve"> PAGEREF _Toc112399527 \h </w:instrText>
        </w:r>
        <w:r>
          <w:rPr>
            <w:noProof/>
            <w:webHidden/>
          </w:rPr>
        </w:r>
        <w:r>
          <w:rPr>
            <w:noProof/>
            <w:webHidden/>
          </w:rPr>
          <w:fldChar w:fldCharType="separate"/>
        </w:r>
        <w:r>
          <w:rPr>
            <w:noProof/>
            <w:webHidden/>
          </w:rPr>
          <w:t>49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28" w:history="1">
        <w:r w:rsidRPr="00DF6938">
          <w:rPr>
            <w:rStyle w:val="Hipervnculo"/>
            <w:noProof/>
          </w:rPr>
          <w:t>1.2.3.</w:t>
        </w:r>
        <w:r>
          <w:rPr>
            <w:rFonts w:asciiTheme="minorHAnsi" w:eastAsiaTheme="minorEastAsia" w:hAnsiTheme="minorHAnsi" w:cstheme="minorBidi"/>
            <w:noProof/>
            <w:sz w:val="22"/>
            <w:szCs w:val="22"/>
            <w:lang w:val="es-CO" w:eastAsia="es-CO"/>
          </w:rPr>
          <w:tab/>
        </w:r>
        <w:r w:rsidRPr="00DF6938">
          <w:rPr>
            <w:rStyle w:val="Hipervnculo"/>
            <w:noProof/>
          </w:rPr>
          <w:t>El impacto en la salud mental</w:t>
        </w:r>
        <w:r>
          <w:rPr>
            <w:noProof/>
            <w:webHidden/>
          </w:rPr>
          <w:tab/>
        </w:r>
        <w:r>
          <w:rPr>
            <w:noProof/>
            <w:webHidden/>
          </w:rPr>
          <w:fldChar w:fldCharType="begin"/>
        </w:r>
        <w:r>
          <w:rPr>
            <w:noProof/>
            <w:webHidden/>
          </w:rPr>
          <w:instrText xml:space="preserve"> PAGEREF _Toc112399528 \h </w:instrText>
        </w:r>
        <w:r>
          <w:rPr>
            <w:noProof/>
            <w:webHidden/>
          </w:rPr>
        </w:r>
        <w:r>
          <w:rPr>
            <w:noProof/>
            <w:webHidden/>
          </w:rPr>
          <w:fldChar w:fldCharType="separate"/>
        </w:r>
        <w:r>
          <w:rPr>
            <w:noProof/>
            <w:webHidden/>
          </w:rPr>
          <w:t>52</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29" w:history="1">
        <w:r w:rsidRPr="00DF6938">
          <w:rPr>
            <w:rStyle w:val="Hipervnculo"/>
            <w:noProof/>
          </w:rPr>
          <w:t>1.3.</w:t>
        </w:r>
        <w:r>
          <w:rPr>
            <w:rFonts w:asciiTheme="minorHAnsi" w:eastAsiaTheme="minorEastAsia" w:hAnsiTheme="minorHAnsi" w:cstheme="minorBidi"/>
            <w:noProof/>
            <w:sz w:val="22"/>
            <w:szCs w:val="22"/>
            <w:lang w:val="es-CO" w:eastAsia="es-CO"/>
          </w:rPr>
          <w:tab/>
        </w:r>
        <w:r w:rsidRPr="00DF6938">
          <w:rPr>
            <w:rStyle w:val="Hipervnculo"/>
            <w:noProof/>
          </w:rPr>
          <w:t>Los impactos de la degradación de la guerra</w:t>
        </w:r>
        <w:r>
          <w:rPr>
            <w:noProof/>
            <w:webHidden/>
          </w:rPr>
          <w:tab/>
        </w:r>
        <w:r>
          <w:rPr>
            <w:noProof/>
            <w:webHidden/>
          </w:rPr>
          <w:fldChar w:fldCharType="begin"/>
        </w:r>
        <w:r>
          <w:rPr>
            <w:noProof/>
            <w:webHidden/>
          </w:rPr>
          <w:instrText xml:space="preserve"> PAGEREF _Toc112399529 \h </w:instrText>
        </w:r>
        <w:r>
          <w:rPr>
            <w:noProof/>
            <w:webHidden/>
          </w:rPr>
        </w:r>
        <w:r>
          <w:rPr>
            <w:noProof/>
            <w:webHidden/>
          </w:rPr>
          <w:fldChar w:fldCharType="separate"/>
        </w:r>
        <w:r>
          <w:rPr>
            <w:noProof/>
            <w:webHidden/>
          </w:rPr>
          <w:t>55</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30" w:history="1">
        <w:r w:rsidRPr="00DF6938">
          <w:rPr>
            <w:rStyle w:val="Hipervnculo"/>
            <w:noProof/>
          </w:rPr>
          <w:t>1.3.1.</w:t>
        </w:r>
        <w:r>
          <w:rPr>
            <w:rFonts w:asciiTheme="minorHAnsi" w:eastAsiaTheme="minorEastAsia" w:hAnsiTheme="minorHAnsi" w:cstheme="minorBidi"/>
            <w:noProof/>
            <w:sz w:val="22"/>
            <w:szCs w:val="22"/>
            <w:lang w:val="es-CO" w:eastAsia="es-CO"/>
          </w:rPr>
          <w:tab/>
        </w:r>
        <w:r w:rsidRPr="00DF6938">
          <w:rPr>
            <w:rStyle w:val="Hipervnculo"/>
            <w:noProof/>
          </w:rPr>
          <w:t>Impacto en el comportamiento colectivo</w:t>
        </w:r>
        <w:r>
          <w:rPr>
            <w:noProof/>
            <w:webHidden/>
          </w:rPr>
          <w:tab/>
        </w:r>
        <w:r>
          <w:rPr>
            <w:noProof/>
            <w:webHidden/>
          </w:rPr>
          <w:fldChar w:fldCharType="begin"/>
        </w:r>
        <w:r>
          <w:rPr>
            <w:noProof/>
            <w:webHidden/>
          </w:rPr>
          <w:instrText xml:space="preserve"> PAGEREF _Toc112399530 \h </w:instrText>
        </w:r>
        <w:r>
          <w:rPr>
            <w:noProof/>
            <w:webHidden/>
          </w:rPr>
        </w:r>
        <w:r>
          <w:rPr>
            <w:noProof/>
            <w:webHidden/>
          </w:rPr>
          <w:fldChar w:fldCharType="separate"/>
        </w:r>
        <w:r>
          <w:rPr>
            <w:noProof/>
            <w:webHidden/>
          </w:rPr>
          <w:t>55</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31" w:history="1">
        <w:r w:rsidRPr="00DF6938">
          <w:rPr>
            <w:rStyle w:val="Hipervnculo"/>
            <w:noProof/>
          </w:rPr>
          <w:t>1.3.2.</w:t>
        </w:r>
        <w:r>
          <w:rPr>
            <w:rFonts w:asciiTheme="minorHAnsi" w:eastAsiaTheme="minorEastAsia" w:hAnsiTheme="minorHAnsi" w:cstheme="minorBidi"/>
            <w:noProof/>
            <w:sz w:val="22"/>
            <w:szCs w:val="22"/>
            <w:lang w:val="es-CO" w:eastAsia="es-CO"/>
          </w:rPr>
          <w:tab/>
        </w:r>
        <w:r w:rsidRPr="00DF6938">
          <w:rPr>
            <w:rStyle w:val="Hipervnculo"/>
            <w:noProof/>
          </w:rPr>
          <w:t>Impacto en las comunidades afectadas</w:t>
        </w:r>
        <w:r>
          <w:rPr>
            <w:noProof/>
            <w:webHidden/>
          </w:rPr>
          <w:tab/>
        </w:r>
        <w:r>
          <w:rPr>
            <w:noProof/>
            <w:webHidden/>
          </w:rPr>
          <w:fldChar w:fldCharType="begin"/>
        </w:r>
        <w:r>
          <w:rPr>
            <w:noProof/>
            <w:webHidden/>
          </w:rPr>
          <w:instrText xml:space="preserve"> PAGEREF _Toc112399531 \h </w:instrText>
        </w:r>
        <w:r>
          <w:rPr>
            <w:noProof/>
            <w:webHidden/>
          </w:rPr>
        </w:r>
        <w:r>
          <w:rPr>
            <w:noProof/>
            <w:webHidden/>
          </w:rPr>
          <w:fldChar w:fldCharType="separate"/>
        </w:r>
        <w:r>
          <w:rPr>
            <w:noProof/>
            <w:webHidden/>
          </w:rPr>
          <w:t>59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32" w:history="1">
        <w:r w:rsidRPr="00DF6938">
          <w:rPr>
            <w:rStyle w:val="Hipervnculo"/>
            <w:noProof/>
          </w:rPr>
          <w:t>1.3.3.</w:t>
        </w:r>
        <w:r>
          <w:rPr>
            <w:rFonts w:asciiTheme="minorHAnsi" w:eastAsiaTheme="minorEastAsia" w:hAnsiTheme="minorHAnsi" w:cstheme="minorBidi"/>
            <w:noProof/>
            <w:sz w:val="22"/>
            <w:szCs w:val="22"/>
            <w:lang w:val="es-CO" w:eastAsia="es-CO"/>
          </w:rPr>
          <w:tab/>
        </w:r>
        <w:r w:rsidRPr="00DF6938">
          <w:rPr>
            <w:rStyle w:val="Hipervnculo"/>
            <w:noProof/>
          </w:rPr>
          <w:t>Polarización social y uso político del sufrimiento</w:t>
        </w:r>
        <w:r>
          <w:rPr>
            <w:noProof/>
            <w:webHidden/>
          </w:rPr>
          <w:tab/>
        </w:r>
        <w:r>
          <w:rPr>
            <w:noProof/>
            <w:webHidden/>
          </w:rPr>
          <w:fldChar w:fldCharType="begin"/>
        </w:r>
        <w:r>
          <w:rPr>
            <w:noProof/>
            <w:webHidden/>
          </w:rPr>
          <w:instrText xml:space="preserve"> PAGEREF _Toc112399532 \h </w:instrText>
        </w:r>
        <w:r>
          <w:rPr>
            <w:noProof/>
            <w:webHidden/>
          </w:rPr>
        </w:r>
        <w:r>
          <w:rPr>
            <w:noProof/>
            <w:webHidden/>
          </w:rPr>
          <w:fldChar w:fldCharType="separate"/>
        </w:r>
        <w:r>
          <w:rPr>
            <w:noProof/>
            <w:webHidden/>
          </w:rPr>
          <w:t>65</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33" w:history="1">
        <w:r w:rsidRPr="00DF6938">
          <w:rPr>
            <w:rStyle w:val="Hipervnculo"/>
            <w:noProof/>
          </w:rPr>
          <w:t>1.3.4.</w:t>
        </w:r>
        <w:r>
          <w:rPr>
            <w:rFonts w:asciiTheme="minorHAnsi" w:eastAsiaTheme="minorEastAsia" w:hAnsiTheme="minorHAnsi" w:cstheme="minorBidi"/>
            <w:noProof/>
            <w:sz w:val="22"/>
            <w:szCs w:val="22"/>
            <w:lang w:val="es-CO" w:eastAsia="es-CO"/>
          </w:rPr>
          <w:tab/>
        </w:r>
        <w:r w:rsidRPr="00DF6938">
          <w:rPr>
            <w:rStyle w:val="Hipervnculo"/>
            <w:noProof/>
          </w:rPr>
          <w:t>De las memorias defensivas a una verdad incluyente</w:t>
        </w:r>
        <w:r>
          <w:rPr>
            <w:noProof/>
            <w:webHidden/>
          </w:rPr>
          <w:tab/>
        </w:r>
        <w:r>
          <w:rPr>
            <w:noProof/>
            <w:webHidden/>
          </w:rPr>
          <w:fldChar w:fldCharType="begin"/>
        </w:r>
        <w:r>
          <w:rPr>
            <w:noProof/>
            <w:webHidden/>
          </w:rPr>
          <w:instrText xml:space="preserve"> PAGEREF _Toc112399533 \h </w:instrText>
        </w:r>
        <w:r>
          <w:rPr>
            <w:noProof/>
            <w:webHidden/>
          </w:rPr>
        </w:r>
        <w:r>
          <w:rPr>
            <w:noProof/>
            <w:webHidden/>
          </w:rPr>
          <w:fldChar w:fldCharType="separate"/>
        </w:r>
        <w:r>
          <w:rPr>
            <w:noProof/>
            <w:webHidden/>
          </w:rPr>
          <w:t>69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34" w:history="1">
        <w:r w:rsidRPr="00DF6938">
          <w:rPr>
            <w:rStyle w:val="Hipervnculo"/>
            <w:noProof/>
          </w:rPr>
          <w:t>1.3.5.</w:t>
        </w:r>
        <w:r>
          <w:rPr>
            <w:rFonts w:asciiTheme="minorHAnsi" w:eastAsiaTheme="minorEastAsia" w:hAnsiTheme="minorHAnsi" w:cstheme="minorBidi"/>
            <w:noProof/>
            <w:sz w:val="22"/>
            <w:szCs w:val="22"/>
            <w:lang w:val="es-CO" w:eastAsia="es-CO"/>
          </w:rPr>
          <w:tab/>
        </w:r>
        <w:r w:rsidRPr="00DF6938">
          <w:rPr>
            <w:rStyle w:val="Hipervnculo"/>
            <w:noProof/>
          </w:rPr>
          <w:t>Una representación política de la rabia y el enojo social</w:t>
        </w:r>
        <w:r>
          <w:rPr>
            <w:noProof/>
            <w:webHidden/>
          </w:rPr>
          <w:tab/>
        </w:r>
        <w:r>
          <w:rPr>
            <w:noProof/>
            <w:webHidden/>
          </w:rPr>
          <w:fldChar w:fldCharType="begin"/>
        </w:r>
        <w:r>
          <w:rPr>
            <w:noProof/>
            <w:webHidden/>
          </w:rPr>
          <w:instrText xml:space="preserve"> PAGEREF _Toc112399534 \h </w:instrText>
        </w:r>
        <w:r>
          <w:rPr>
            <w:noProof/>
            <w:webHidden/>
          </w:rPr>
        </w:r>
        <w:r>
          <w:rPr>
            <w:noProof/>
            <w:webHidden/>
          </w:rPr>
          <w:fldChar w:fldCharType="separate"/>
        </w:r>
        <w:r>
          <w:rPr>
            <w:noProof/>
            <w:webHidden/>
          </w:rPr>
          <w:t>72</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35" w:history="1">
        <w:r w:rsidRPr="00DF6938">
          <w:rPr>
            <w:rStyle w:val="Hipervnculo"/>
            <w:noProof/>
          </w:rPr>
          <w:t>1.3.6.</w:t>
        </w:r>
        <w:r>
          <w:rPr>
            <w:rFonts w:asciiTheme="minorHAnsi" w:eastAsiaTheme="minorEastAsia" w:hAnsiTheme="minorHAnsi" w:cstheme="minorBidi"/>
            <w:noProof/>
            <w:sz w:val="22"/>
            <w:szCs w:val="22"/>
            <w:lang w:val="es-CO" w:eastAsia="es-CO"/>
          </w:rPr>
          <w:tab/>
        </w:r>
        <w:r w:rsidRPr="00DF6938">
          <w:rPr>
            <w:rStyle w:val="Hipervnculo"/>
            <w:noProof/>
          </w:rPr>
          <w:t>Naturalización para adaptarse al desastre de la guerra</w:t>
        </w:r>
        <w:r>
          <w:rPr>
            <w:noProof/>
            <w:webHidden/>
          </w:rPr>
          <w:tab/>
        </w:r>
        <w:r>
          <w:rPr>
            <w:noProof/>
            <w:webHidden/>
          </w:rPr>
          <w:fldChar w:fldCharType="begin"/>
        </w:r>
        <w:r>
          <w:rPr>
            <w:noProof/>
            <w:webHidden/>
          </w:rPr>
          <w:instrText xml:space="preserve"> PAGEREF _Toc112399535 \h </w:instrText>
        </w:r>
        <w:r>
          <w:rPr>
            <w:noProof/>
            <w:webHidden/>
          </w:rPr>
        </w:r>
        <w:r>
          <w:rPr>
            <w:noProof/>
            <w:webHidden/>
          </w:rPr>
          <w:fldChar w:fldCharType="separate"/>
        </w:r>
        <w:r>
          <w:rPr>
            <w:noProof/>
            <w:webHidden/>
          </w:rPr>
          <w:t>75</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36" w:history="1">
        <w:r w:rsidRPr="00DF6938">
          <w:rPr>
            <w:rStyle w:val="Hipervnculo"/>
            <w:noProof/>
          </w:rPr>
          <w:t>1.3.7.</w:t>
        </w:r>
        <w:r>
          <w:rPr>
            <w:rFonts w:asciiTheme="minorHAnsi" w:eastAsiaTheme="minorEastAsia" w:hAnsiTheme="minorHAnsi" w:cstheme="minorBidi"/>
            <w:noProof/>
            <w:sz w:val="22"/>
            <w:szCs w:val="22"/>
            <w:lang w:val="es-CO" w:eastAsia="es-CO"/>
          </w:rPr>
          <w:tab/>
        </w:r>
        <w:r w:rsidRPr="00DF6938">
          <w:rPr>
            <w:rStyle w:val="Hipervnculo"/>
            <w:noProof/>
          </w:rPr>
          <w:t>Deshumanización y reconocimiento</w:t>
        </w:r>
        <w:r>
          <w:rPr>
            <w:noProof/>
            <w:webHidden/>
          </w:rPr>
          <w:tab/>
        </w:r>
        <w:r>
          <w:rPr>
            <w:noProof/>
            <w:webHidden/>
          </w:rPr>
          <w:fldChar w:fldCharType="begin"/>
        </w:r>
        <w:r>
          <w:rPr>
            <w:noProof/>
            <w:webHidden/>
          </w:rPr>
          <w:instrText xml:space="preserve"> PAGEREF _Toc112399536 \h </w:instrText>
        </w:r>
        <w:r>
          <w:rPr>
            <w:noProof/>
            <w:webHidden/>
          </w:rPr>
        </w:r>
        <w:r>
          <w:rPr>
            <w:noProof/>
            <w:webHidden/>
          </w:rPr>
          <w:fldChar w:fldCharType="separate"/>
        </w:r>
        <w:r>
          <w:rPr>
            <w:noProof/>
            <w:webHidden/>
          </w:rPr>
          <w:t>79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37" w:history="1">
        <w:r w:rsidRPr="00DF6938">
          <w:rPr>
            <w:rStyle w:val="Hipervnculo"/>
            <w:noProof/>
          </w:rPr>
          <w:t>1.3.8.</w:t>
        </w:r>
        <w:r>
          <w:rPr>
            <w:rFonts w:asciiTheme="minorHAnsi" w:eastAsiaTheme="minorEastAsia" w:hAnsiTheme="minorHAnsi" w:cstheme="minorBidi"/>
            <w:noProof/>
            <w:sz w:val="22"/>
            <w:szCs w:val="22"/>
            <w:lang w:val="es-CO" w:eastAsia="es-CO"/>
          </w:rPr>
          <w:tab/>
        </w:r>
        <w:r w:rsidRPr="00DF6938">
          <w:rPr>
            <w:rStyle w:val="Hipervnculo"/>
            <w:noProof/>
          </w:rPr>
          <w:t>El impacto de la afectación en la naturaleza</w:t>
        </w:r>
        <w:r>
          <w:rPr>
            <w:noProof/>
            <w:webHidden/>
          </w:rPr>
          <w:tab/>
        </w:r>
        <w:r>
          <w:rPr>
            <w:noProof/>
            <w:webHidden/>
          </w:rPr>
          <w:fldChar w:fldCharType="begin"/>
        </w:r>
        <w:r>
          <w:rPr>
            <w:noProof/>
            <w:webHidden/>
          </w:rPr>
          <w:instrText xml:space="preserve"> PAGEREF _Toc112399537 \h </w:instrText>
        </w:r>
        <w:r>
          <w:rPr>
            <w:noProof/>
            <w:webHidden/>
          </w:rPr>
        </w:r>
        <w:r>
          <w:rPr>
            <w:noProof/>
            <w:webHidden/>
          </w:rPr>
          <w:fldChar w:fldCharType="separate"/>
        </w:r>
        <w:r>
          <w:rPr>
            <w:noProof/>
            <w:webHidden/>
          </w:rPr>
          <w:t>87</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38" w:history="1">
        <w:r w:rsidRPr="00DF6938">
          <w:rPr>
            <w:rStyle w:val="Hipervnculo"/>
            <w:noProof/>
          </w:rPr>
          <w:t>1.4.</w:t>
        </w:r>
        <w:r>
          <w:rPr>
            <w:rFonts w:asciiTheme="minorHAnsi" w:eastAsiaTheme="minorEastAsia" w:hAnsiTheme="minorHAnsi" w:cstheme="minorBidi"/>
            <w:noProof/>
            <w:sz w:val="22"/>
            <w:szCs w:val="22"/>
            <w:lang w:val="es-CO" w:eastAsia="es-CO"/>
          </w:rPr>
          <w:tab/>
        </w:r>
        <w:r w:rsidRPr="00DF6938">
          <w:rPr>
            <w:rStyle w:val="Hipervnculo"/>
            <w:noProof/>
          </w:rPr>
          <w:t>Los caminos de la reconstrucción</w:t>
        </w:r>
        <w:r>
          <w:rPr>
            <w:noProof/>
            <w:webHidden/>
          </w:rPr>
          <w:tab/>
        </w:r>
        <w:r>
          <w:rPr>
            <w:noProof/>
            <w:webHidden/>
          </w:rPr>
          <w:fldChar w:fldCharType="begin"/>
        </w:r>
        <w:r>
          <w:rPr>
            <w:noProof/>
            <w:webHidden/>
          </w:rPr>
          <w:instrText xml:space="preserve"> PAGEREF _Toc112399538 \h </w:instrText>
        </w:r>
        <w:r>
          <w:rPr>
            <w:noProof/>
            <w:webHidden/>
          </w:rPr>
        </w:r>
        <w:r>
          <w:rPr>
            <w:noProof/>
            <w:webHidden/>
          </w:rPr>
          <w:fldChar w:fldCharType="separate"/>
        </w:r>
        <w:r>
          <w:rPr>
            <w:noProof/>
            <w:webHidden/>
          </w:rPr>
          <w:t>93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39" w:history="1">
        <w:r w:rsidRPr="00DF6938">
          <w:rPr>
            <w:rStyle w:val="Hipervnculo"/>
            <w:noProof/>
          </w:rPr>
          <w:t>1.4.1.</w:t>
        </w:r>
        <w:r>
          <w:rPr>
            <w:rFonts w:asciiTheme="minorHAnsi" w:eastAsiaTheme="minorEastAsia" w:hAnsiTheme="minorHAnsi" w:cstheme="minorBidi"/>
            <w:noProof/>
            <w:sz w:val="22"/>
            <w:szCs w:val="22"/>
            <w:lang w:val="es-CO" w:eastAsia="es-CO"/>
          </w:rPr>
          <w:tab/>
        </w:r>
        <w:r w:rsidRPr="00DF6938">
          <w:rPr>
            <w:rStyle w:val="Hipervnculo"/>
            <w:noProof/>
          </w:rPr>
          <w:t>Políticas de reconstrucción y atención a víctimas</w:t>
        </w:r>
        <w:r>
          <w:rPr>
            <w:noProof/>
            <w:webHidden/>
          </w:rPr>
          <w:tab/>
        </w:r>
        <w:r>
          <w:rPr>
            <w:noProof/>
            <w:webHidden/>
          </w:rPr>
          <w:fldChar w:fldCharType="begin"/>
        </w:r>
        <w:r>
          <w:rPr>
            <w:noProof/>
            <w:webHidden/>
          </w:rPr>
          <w:instrText xml:space="preserve"> PAGEREF _Toc112399539 \h </w:instrText>
        </w:r>
        <w:r>
          <w:rPr>
            <w:noProof/>
            <w:webHidden/>
          </w:rPr>
        </w:r>
        <w:r>
          <w:rPr>
            <w:noProof/>
            <w:webHidden/>
          </w:rPr>
          <w:fldChar w:fldCharType="separate"/>
        </w:r>
        <w:r>
          <w:rPr>
            <w:noProof/>
            <w:webHidden/>
          </w:rPr>
          <w:t>94</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40" w:history="1">
        <w:r w:rsidRPr="00DF6938">
          <w:rPr>
            <w:rStyle w:val="Hipervnculo"/>
            <w:noProof/>
          </w:rPr>
          <w:t>1.4.2.</w:t>
        </w:r>
        <w:r>
          <w:rPr>
            <w:rFonts w:asciiTheme="minorHAnsi" w:eastAsiaTheme="minorEastAsia" w:hAnsiTheme="minorHAnsi" w:cstheme="minorBidi"/>
            <w:noProof/>
            <w:sz w:val="22"/>
            <w:szCs w:val="22"/>
            <w:lang w:val="es-CO" w:eastAsia="es-CO"/>
          </w:rPr>
          <w:tab/>
        </w:r>
        <w:r w:rsidRPr="00DF6938">
          <w:rPr>
            <w:rStyle w:val="Hipervnculo"/>
            <w:noProof/>
          </w:rPr>
          <w:t>¿Qué desafíos conlleva todo esto para la reconstrucción del tejido social y la convivencia en Colombia?</w:t>
        </w:r>
        <w:r>
          <w:rPr>
            <w:noProof/>
            <w:webHidden/>
          </w:rPr>
          <w:tab/>
        </w:r>
        <w:r>
          <w:rPr>
            <w:noProof/>
            <w:webHidden/>
          </w:rPr>
          <w:fldChar w:fldCharType="begin"/>
        </w:r>
        <w:r>
          <w:rPr>
            <w:noProof/>
            <w:webHidden/>
          </w:rPr>
          <w:instrText xml:space="preserve"> PAGEREF _Toc112399540 \h </w:instrText>
        </w:r>
        <w:r>
          <w:rPr>
            <w:noProof/>
            <w:webHidden/>
          </w:rPr>
        </w:r>
        <w:r>
          <w:rPr>
            <w:noProof/>
            <w:webHidden/>
          </w:rPr>
          <w:fldChar w:fldCharType="separate"/>
        </w:r>
        <w:r>
          <w:rPr>
            <w:noProof/>
            <w:webHidden/>
          </w:rPr>
          <w:t>99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41" w:history="1">
        <w:r w:rsidRPr="00DF6938">
          <w:rPr>
            <w:rStyle w:val="Hipervnculo"/>
            <w:noProof/>
          </w:rPr>
          <w:t>1.4.3.</w:t>
        </w:r>
        <w:r>
          <w:rPr>
            <w:rFonts w:asciiTheme="minorHAnsi" w:eastAsiaTheme="minorEastAsia" w:hAnsiTheme="minorHAnsi" w:cstheme="minorBidi"/>
            <w:noProof/>
            <w:sz w:val="22"/>
            <w:szCs w:val="22"/>
            <w:lang w:val="es-CO" w:eastAsia="es-CO"/>
          </w:rPr>
          <w:tab/>
        </w:r>
        <w:r w:rsidRPr="00DF6938">
          <w:rPr>
            <w:rStyle w:val="Hipervnculo"/>
            <w:noProof/>
          </w:rPr>
          <w:t>La dimensión ética de los cambios posibles</w:t>
        </w:r>
        <w:r>
          <w:rPr>
            <w:noProof/>
            <w:webHidden/>
          </w:rPr>
          <w:tab/>
        </w:r>
        <w:r>
          <w:rPr>
            <w:noProof/>
            <w:webHidden/>
          </w:rPr>
          <w:fldChar w:fldCharType="begin"/>
        </w:r>
        <w:r>
          <w:rPr>
            <w:noProof/>
            <w:webHidden/>
          </w:rPr>
          <w:instrText xml:space="preserve"> PAGEREF _Toc112399541 \h </w:instrText>
        </w:r>
        <w:r>
          <w:rPr>
            <w:noProof/>
            <w:webHidden/>
          </w:rPr>
        </w:r>
        <w:r>
          <w:rPr>
            <w:noProof/>
            <w:webHidden/>
          </w:rPr>
          <w:fldChar w:fldCharType="separate"/>
        </w:r>
        <w:r>
          <w:rPr>
            <w:noProof/>
            <w:webHidden/>
          </w:rPr>
          <w:t>102</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42" w:history="1">
        <w:r w:rsidRPr="00DF6938">
          <w:rPr>
            <w:rStyle w:val="Hipervnculo"/>
            <w:noProof/>
          </w:rPr>
          <w:t>1.4.4.</w:t>
        </w:r>
        <w:r>
          <w:rPr>
            <w:rFonts w:asciiTheme="minorHAnsi" w:eastAsiaTheme="minorEastAsia" w:hAnsiTheme="minorHAnsi" w:cstheme="minorBidi"/>
            <w:noProof/>
            <w:sz w:val="22"/>
            <w:szCs w:val="22"/>
            <w:lang w:val="es-CO" w:eastAsia="es-CO"/>
          </w:rPr>
          <w:tab/>
        </w:r>
        <w:r w:rsidRPr="00DF6938">
          <w:rPr>
            <w:rStyle w:val="Hipervnculo"/>
            <w:noProof/>
          </w:rPr>
          <w:t>Cruzar</w:t>
        </w:r>
        <w:r w:rsidRPr="00DF6938">
          <w:rPr>
            <w:rStyle w:val="Hipervnculo"/>
            <w:noProof/>
            <w:spacing w:val="-2"/>
          </w:rPr>
          <w:t xml:space="preserve"> </w:t>
        </w:r>
        <w:r w:rsidRPr="00DF6938">
          <w:rPr>
            <w:rStyle w:val="Hipervnculo"/>
            <w:noProof/>
          </w:rPr>
          <w:t>las</w:t>
        </w:r>
        <w:r w:rsidRPr="00DF6938">
          <w:rPr>
            <w:rStyle w:val="Hipervnculo"/>
            <w:noProof/>
            <w:spacing w:val="-1"/>
          </w:rPr>
          <w:t xml:space="preserve"> </w:t>
        </w:r>
        <w:r w:rsidRPr="00DF6938">
          <w:rPr>
            <w:rStyle w:val="Hipervnculo"/>
            <w:noProof/>
          </w:rPr>
          <w:t>fronteras</w:t>
        </w:r>
        <w:r w:rsidRPr="00DF6938">
          <w:rPr>
            <w:rStyle w:val="Hipervnculo"/>
            <w:noProof/>
            <w:spacing w:val="-1"/>
          </w:rPr>
          <w:t xml:space="preserve"> </w:t>
        </w:r>
        <w:r w:rsidRPr="00DF6938">
          <w:rPr>
            <w:rStyle w:val="Hipervnculo"/>
            <w:noProof/>
          </w:rPr>
          <w:t>de</w:t>
        </w:r>
        <w:r w:rsidRPr="00DF6938">
          <w:rPr>
            <w:rStyle w:val="Hipervnculo"/>
            <w:noProof/>
            <w:spacing w:val="-1"/>
          </w:rPr>
          <w:t xml:space="preserve"> </w:t>
        </w:r>
        <w:r w:rsidRPr="00DF6938">
          <w:rPr>
            <w:rStyle w:val="Hipervnculo"/>
            <w:noProof/>
          </w:rPr>
          <w:t>la</w:t>
        </w:r>
        <w:r w:rsidRPr="00DF6938">
          <w:rPr>
            <w:rStyle w:val="Hipervnculo"/>
            <w:noProof/>
            <w:spacing w:val="-1"/>
          </w:rPr>
          <w:t xml:space="preserve"> </w:t>
        </w:r>
        <w:r w:rsidRPr="00DF6938">
          <w:rPr>
            <w:rStyle w:val="Hipervnculo"/>
            <w:noProof/>
            <w:spacing w:val="-2"/>
          </w:rPr>
          <w:t>solidaridad</w:t>
        </w:r>
        <w:r>
          <w:rPr>
            <w:noProof/>
            <w:webHidden/>
          </w:rPr>
          <w:tab/>
        </w:r>
        <w:r>
          <w:rPr>
            <w:noProof/>
            <w:webHidden/>
          </w:rPr>
          <w:fldChar w:fldCharType="begin"/>
        </w:r>
        <w:r>
          <w:rPr>
            <w:noProof/>
            <w:webHidden/>
          </w:rPr>
          <w:instrText xml:space="preserve"> PAGEREF _Toc112399542 \h </w:instrText>
        </w:r>
        <w:r>
          <w:rPr>
            <w:noProof/>
            <w:webHidden/>
          </w:rPr>
        </w:r>
        <w:r>
          <w:rPr>
            <w:noProof/>
            <w:webHidden/>
          </w:rPr>
          <w:fldChar w:fldCharType="separate"/>
        </w:r>
        <w:r>
          <w:rPr>
            <w:noProof/>
            <w:webHidden/>
          </w:rPr>
          <w:t>104</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43" w:history="1">
        <w:r w:rsidRPr="00DF6938">
          <w:rPr>
            <w:rStyle w:val="Hipervnculo"/>
            <w:noProof/>
          </w:rPr>
          <w:t>1.4.5.</w:t>
        </w:r>
        <w:r>
          <w:rPr>
            <w:rFonts w:asciiTheme="minorHAnsi" w:eastAsiaTheme="minorEastAsia" w:hAnsiTheme="minorHAnsi" w:cstheme="minorBidi"/>
            <w:noProof/>
            <w:sz w:val="22"/>
            <w:szCs w:val="22"/>
            <w:lang w:val="es-CO" w:eastAsia="es-CO"/>
          </w:rPr>
          <w:tab/>
        </w:r>
        <w:r w:rsidRPr="00DF6938">
          <w:rPr>
            <w:rStyle w:val="Hipervnculo"/>
            <w:noProof/>
          </w:rPr>
          <w:t>Terminar</w:t>
        </w:r>
        <w:r w:rsidRPr="00DF6938">
          <w:rPr>
            <w:rStyle w:val="Hipervnculo"/>
            <w:noProof/>
            <w:spacing w:val="-4"/>
          </w:rPr>
          <w:t xml:space="preserve"> </w:t>
        </w:r>
        <w:r w:rsidRPr="00DF6938">
          <w:rPr>
            <w:rStyle w:val="Hipervnculo"/>
            <w:noProof/>
          </w:rPr>
          <w:t>con</w:t>
        </w:r>
        <w:r w:rsidRPr="00DF6938">
          <w:rPr>
            <w:rStyle w:val="Hipervnculo"/>
            <w:noProof/>
            <w:spacing w:val="-2"/>
          </w:rPr>
          <w:t xml:space="preserve"> </w:t>
        </w:r>
        <w:r w:rsidRPr="00DF6938">
          <w:rPr>
            <w:rStyle w:val="Hipervnculo"/>
            <w:noProof/>
          </w:rPr>
          <w:t>las</w:t>
        </w:r>
        <w:r w:rsidRPr="00DF6938">
          <w:rPr>
            <w:rStyle w:val="Hipervnculo"/>
            <w:noProof/>
            <w:spacing w:val="-3"/>
          </w:rPr>
          <w:t xml:space="preserve"> </w:t>
        </w:r>
        <w:r w:rsidRPr="00DF6938">
          <w:rPr>
            <w:rStyle w:val="Hipervnculo"/>
            <w:noProof/>
          </w:rPr>
          <w:t>valoraciones</w:t>
        </w:r>
        <w:r w:rsidRPr="00DF6938">
          <w:rPr>
            <w:rStyle w:val="Hipervnculo"/>
            <w:noProof/>
            <w:spacing w:val="-1"/>
          </w:rPr>
          <w:t xml:space="preserve"> </w:t>
        </w:r>
        <w:r w:rsidRPr="00DF6938">
          <w:rPr>
            <w:rStyle w:val="Hipervnculo"/>
            <w:noProof/>
          </w:rPr>
          <w:t>morales</w:t>
        </w:r>
        <w:r w:rsidRPr="00DF6938">
          <w:rPr>
            <w:rStyle w:val="Hipervnculo"/>
            <w:noProof/>
            <w:spacing w:val="-3"/>
          </w:rPr>
          <w:t xml:space="preserve"> </w:t>
        </w:r>
        <w:r w:rsidRPr="00DF6938">
          <w:rPr>
            <w:rStyle w:val="Hipervnculo"/>
            <w:noProof/>
          </w:rPr>
          <w:t>que</w:t>
        </w:r>
        <w:r w:rsidRPr="00DF6938">
          <w:rPr>
            <w:rStyle w:val="Hipervnculo"/>
            <w:noProof/>
            <w:spacing w:val="-2"/>
          </w:rPr>
          <w:t xml:space="preserve"> </w:t>
        </w:r>
        <w:r w:rsidRPr="00DF6938">
          <w:rPr>
            <w:rStyle w:val="Hipervnculo"/>
            <w:noProof/>
          </w:rPr>
          <w:t>estimulan</w:t>
        </w:r>
        <w:r w:rsidRPr="00DF6938">
          <w:rPr>
            <w:rStyle w:val="Hipervnculo"/>
            <w:noProof/>
            <w:spacing w:val="-2"/>
          </w:rPr>
          <w:t xml:space="preserve"> </w:t>
        </w:r>
        <w:r w:rsidRPr="00DF6938">
          <w:rPr>
            <w:rStyle w:val="Hipervnculo"/>
            <w:noProof/>
          </w:rPr>
          <w:t>la</w:t>
        </w:r>
        <w:r w:rsidRPr="00DF6938">
          <w:rPr>
            <w:rStyle w:val="Hipervnculo"/>
            <w:noProof/>
            <w:spacing w:val="-1"/>
          </w:rPr>
          <w:t xml:space="preserve"> </w:t>
        </w:r>
        <w:r w:rsidRPr="00DF6938">
          <w:rPr>
            <w:rStyle w:val="Hipervnculo"/>
            <w:noProof/>
            <w:spacing w:val="-2"/>
          </w:rPr>
          <w:t>guerra</w:t>
        </w:r>
        <w:r>
          <w:rPr>
            <w:noProof/>
            <w:webHidden/>
          </w:rPr>
          <w:lastRenderedPageBreak/>
          <w:tab/>
        </w:r>
        <w:r>
          <w:rPr>
            <w:noProof/>
            <w:webHidden/>
          </w:rPr>
          <w:fldChar w:fldCharType="begin"/>
        </w:r>
        <w:r>
          <w:rPr>
            <w:noProof/>
            <w:webHidden/>
          </w:rPr>
          <w:instrText xml:space="preserve"> PAGEREF _Toc112399543 \h </w:instrText>
        </w:r>
        <w:r>
          <w:rPr>
            <w:noProof/>
            <w:webHidden/>
          </w:rPr>
        </w:r>
        <w:r>
          <w:rPr>
            <w:noProof/>
            <w:webHidden/>
          </w:rPr>
          <w:fldChar w:fldCharType="separate"/>
        </w:r>
        <w:r>
          <w:rPr>
            <w:noProof/>
            <w:webHidden/>
          </w:rPr>
          <w:t>105</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44" w:history="1">
        <w:r w:rsidRPr="00DF6938">
          <w:rPr>
            <w:rStyle w:val="Hipervnculo"/>
            <w:noProof/>
          </w:rPr>
          <w:t>1.4.6.</w:t>
        </w:r>
        <w:r>
          <w:rPr>
            <w:rFonts w:asciiTheme="minorHAnsi" w:eastAsiaTheme="minorEastAsia" w:hAnsiTheme="minorHAnsi" w:cstheme="minorBidi"/>
            <w:noProof/>
            <w:sz w:val="22"/>
            <w:szCs w:val="22"/>
            <w:lang w:val="es-CO" w:eastAsia="es-CO"/>
          </w:rPr>
          <w:tab/>
        </w:r>
        <w:r w:rsidRPr="00DF6938">
          <w:rPr>
            <w:rStyle w:val="Hipervnculo"/>
            <w:noProof/>
          </w:rPr>
          <w:t>Despolarizar</w:t>
        </w:r>
        <w:r w:rsidRPr="00DF6938">
          <w:rPr>
            <w:rStyle w:val="Hipervnculo"/>
            <w:noProof/>
            <w:spacing w:val="-3"/>
          </w:rPr>
          <w:t xml:space="preserve"> </w:t>
        </w:r>
        <w:r w:rsidRPr="00DF6938">
          <w:rPr>
            <w:rStyle w:val="Hipervnculo"/>
            <w:noProof/>
          </w:rPr>
          <w:t>las</w:t>
        </w:r>
        <w:r w:rsidRPr="00DF6938">
          <w:rPr>
            <w:rStyle w:val="Hipervnculo"/>
            <w:noProof/>
            <w:spacing w:val="-2"/>
          </w:rPr>
          <w:t xml:space="preserve"> </w:t>
        </w:r>
        <w:r w:rsidRPr="00DF6938">
          <w:rPr>
            <w:rStyle w:val="Hipervnculo"/>
            <w:noProof/>
          </w:rPr>
          <w:t>actitudes</w:t>
        </w:r>
        <w:r w:rsidRPr="00DF6938">
          <w:rPr>
            <w:rStyle w:val="Hipervnculo"/>
            <w:noProof/>
            <w:spacing w:val="-2"/>
          </w:rPr>
          <w:t xml:space="preserve"> </w:t>
        </w:r>
        <w:r w:rsidRPr="00DF6938">
          <w:rPr>
            <w:rStyle w:val="Hipervnculo"/>
            <w:noProof/>
          </w:rPr>
          <w:t>y</w:t>
        </w:r>
        <w:r w:rsidRPr="00DF6938">
          <w:rPr>
            <w:rStyle w:val="Hipervnculo"/>
            <w:noProof/>
            <w:spacing w:val="-4"/>
          </w:rPr>
          <w:t xml:space="preserve"> </w:t>
        </w:r>
        <w:r w:rsidRPr="00DF6938">
          <w:rPr>
            <w:rStyle w:val="Hipervnculo"/>
            <w:noProof/>
            <w:spacing w:val="-2"/>
          </w:rPr>
          <w:t>creencias</w:t>
        </w:r>
        <w:r>
          <w:rPr>
            <w:noProof/>
            <w:webHidden/>
          </w:rPr>
          <w:tab/>
        </w:r>
        <w:r>
          <w:rPr>
            <w:noProof/>
            <w:webHidden/>
          </w:rPr>
          <w:fldChar w:fldCharType="begin"/>
        </w:r>
        <w:r>
          <w:rPr>
            <w:noProof/>
            <w:webHidden/>
          </w:rPr>
          <w:instrText xml:space="preserve"> PAGEREF _Toc112399544 \h </w:instrText>
        </w:r>
        <w:r>
          <w:rPr>
            <w:noProof/>
            <w:webHidden/>
          </w:rPr>
        </w:r>
        <w:r>
          <w:rPr>
            <w:noProof/>
            <w:webHidden/>
          </w:rPr>
          <w:fldChar w:fldCharType="separate"/>
        </w:r>
        <w:r>
          <w:rPr>
            <w:noProof/>
            <w:webHidden/>
          </w:rPr>
          <w:t>106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45" w:history="1">
        <w:r w:rsidRPr="00DF6938">
          <w:rPr>
            <w:rStyle w:val="Hipervnculo"/>
            <w:noProof/>
          </w:rPr>
          <w:t>1.4.7.</w:t>
        </w:r>
        <w:r>
          <w:rPr>
            <w:rFonts w:asciiTheme="minorHAnsi" w:eastAsiaTheme="minorEastAsia" w:hAnsiTheme="minorHAnsi" w:cstheme="minorBidi"/>
            <w:noProof/>
            <w:sz w:val="22"/>
            <w:szCs w:val="22"/>
            <w:lang w:val="es-CO" w:eastAsia="es-CO"/>
          </w:rPr>
          <w:tab/>
        </w:r>
        <w:r w:rsidRPr="00DF6938">
          <w:rPr>
            <w:rStyle w:val="Hipervnculo"/>
            <w:noProof/>
          </w:rPr>
          <w:t>Los procesos territoriales</w:t>
        </w:r>
        <w:r>
          <w:rPr>
            <w:noProof/>
            <w:webHidden/>
          </w:rPr>
          <w:tab/>
        </w:r>
        <w:r>
          <w:rPr>
            <w:noProof/>
            <w:webHidden/>
          </w:rPr>
          <w:fldChar w:fldCharType="begin"/>
        </w:r>
        <w:r>
          <w:rPr>
            <w:noProof/>
            <w:webHidden/>
          </w:rPr>
          <w:instrText xml:space="preserve"> PAGEREF _Toc112399545 \h </w:instrText>
        </w:r>
        <w:r>
          <w:rPr>
            <w:noProof/>
            <w:webHidden/>
          </w:rPr>
        </w:r>
        <w:r>
          <w:rPr>
            <w:noProof/>
            <w:webHidden/>
          </w:rPr>
          <w:fldChar w:fldCharType="separate"/>
        </w:r>
        <w:r>
          <w:rPr>
            <w:noProof/>
            <w:webHidden/>
          </w:rPr>
          <w:t>107</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46" w:history="1">
        <w:r w:rsidRPr="00DF6938">
          <w:rPr>
            <w:rStyle w:val="Hipervnculo"/>
            <w:noProof/>
          </w:rPr>
          <w:t>1.4.8.</w:t>
        </w:r>
        <w:r>
          <w:rPr>
            <w:rFonts w:asciiTheme="minorHAnsi" w:eastAsiaTheme="minorEastAsia" w:hAnsiTheme="minorHAnsi" w:cstheme="minorBidi"/>
            <w:noProof/>
            <w:sz w:val="22"/>
            <w:szCs w:val="22"/>
            <w:lang w:val="es-CO" w:eastAsia="es-CO"/>
          </w:rPr>
          <w:tab/>
        </w:r>
        <w:r w:rsidRPr="00DF6938">
          <w:rPr>
            <w:rStyle w:val="Hipervnculo"/>
            <w:noProof/>
          </w:rPr>
          <w:t>Del</w:t>
        </w:r>
        <w:r w:rsidRPr="00DF6938">
          <w:rPr>
            <w:rStyle w:val="Hipervnculo"/>
            <w:noProof/>
            <w:spacing w:val="-1"/>
          </w:rPr>
          <w:t xml:space="preserve"> </w:t>
        </w:r>
        <w:r w:rsidRPr="00DF6938">
          <w:rPr>
            <w:rStyle w:val="Hipervnculo"/>
            <w:noProof/>
          </w:rPr>
          <w:t>logro</w:t>
        </w:r>
        <w:r w:rsidRPr="00DF6938">
          <w:rPr>
            <w:rStyle w:val="Hipervnculo"/>
            <w:noProof/>
            <w:spacing w:val="-1"/>
          </w:rPr>
          <w:t xml:space="preserve"> </w:t>
        </w:r>
        <w:r w:rsidRPr="00DF6938">
          <w:rPr>
            <w:rStyle w:val="Hipervnculo"/>
            <w:noProof/>
          </w:rPr>
          <w:t>de</w:t>
        </w:r>
        <w:r w:rsidRPr="00DF6938">
          <w:rPr>
            <w:rStyle w:val="Hipervnculo"/>
            <w:noProof/>
            <w:spacing w:val="-1"/>
          </w:rPr>
          <w:t xml:space="preserve"> </w:t>
        </w:r>
        <w:r w:rsidRPr="00DF6938">
          <w:rPr>
            <w:rStyle w:val="Hipervnculo"/>
            <w:noProof/>
          </w:rPr>
          <w:t>la</w:t>
        </w:r>
        <w:r w:rsidRPr="00DF6938">
          <w:rPr>
            <w:rStyle w:val="Hipervnculo"/>
            <w:noProof/>
            <w:spacing w:val="-1"/>
          </w:rPr>
          <w:t xml:space="preserve"> </w:t>
        </w:r>
        <w:r w:rsidRPr="00DF6938">
          <w:rPr>
            <w:rStyle w:val="Hipervnculo"/>
            <w:noProof/>
          </w:rPr>
          <w:t>paz</w:t>
        </w:r>
        <w:r w:rsidRPr="00DF6938">
          <w:rPr>
            <w:rStyle w:val="Hipervnculo"/>
            <w:noProof/>
            <w:spacing w:val="-1"/>
          </w:rPr>
          <w:t xml:space="preserve"> </w:t>
        </w:r>
        <w:r w:rsidRPr="00DF6938">
          <w:rPr>
            <w:rStyle w:val="Hipervnculo"/>
            <w:noProof/>
          </w:rPr>
          <w:t>al</w:t>
        </w:r>
        <w:r w:rsidRPr="00DF6938">
          <w:rPr>
            <w:rStyle w:val="Hipervnculo"/>
            <w:noProof/>
            <w:spacing w:val="-1"/>
          </w:rPr>
          <w:t xml:space="preserve"> </w:t>
        </w:r>
        <w:r w:rsidRPr="00DF6938">
          <w:rPr>
            <w:rStyle w:val="Hipervnculo"/>
            <w:noProof/>
          </w:rPr>
          <w:t>camino</w:t>
        </w:r>
        <w:r w:rsidRPr="00DF6938">
          <w:rPr>
            <w:rStyle w:val="Hipervnculo"/>
            <w:noProof/>
            <w:spacing w:val="-3"/>
          </w:rPr>
          <w:t xml:space="preserve"> </w:t>
        </w:r>
        <w:r w:rsidRPr="00DF6938">
          <w:rPr>
            <w:rStyle w:val="Hipervnculo"/>
            <w:noProof/>
          </w:rPr>
          <w:t>de</w:t>
        </w:r>
        <w:r w:rsidRPr="00DF6938">
          <w:rPr>
            <w:rStyle w:val="Hipervnculo"/>
            <w:noProof/>
            <w:spacing w:val="-1"/>
          </w:rPr>
          <w:t xml:space="preserve"> </w:t>
        </w:r>
        <w:r w:rsidRPr="00DF6938">
          <w:rPr>
            <w:rStyle w:val="Hipervnculo"/>
            <w:noProof/>
          </w:rPr>
          <w:t xml:space="preserve">la </w:t>
        </w:r>
        <w:r w:rsidRPr="00DF6938">
          <w:rPr>
            <w:rStyle w:val="Hipervnculo"/>
            <w:noProof/>
            <w:spacing w:val="-2"/>
          </w:rPr>
          <w:t>(re)conciliación</w:t>
        </w:r>
        <w:r>
          <w:rPr>
            <w:noProof/>
            <w:webHidden/>
          </w:rPr>
          <w:tab/>
        </w:r>
        <w:r>
          <w:rPr>
            <w:noProof/>
            <w:webHidden/>
          </w:rPr>
          <w:fldChar w:fldCharType="begin"/>
        </w:r>
        <w:r>
          <w:rPr>
            <w:noProof/>
            <w:webHidden/>
          </w:rPr>
          <w:instrText xml:space="preserve"> PAGEREF _Toc112399546 \h </w:instrText>
        </w:r>
        <w:r>
          <w:rPr>
            <w:noProof/>
            <w:webHidden/>
          </w:rPr>
        </w:r>
        <w:r>
          <w:rPr>
            <w:noProof/>
            <w:webHidden/>
          </w:rPr>
          <w:fldChar w:fldCharType="separate"/>
        </w:r>
        <w:r>
          <w:rPr>
            <w:noProof/>
            <w:webHidden/>
          </w:rPr>
          <w:t>109</w:t>
        </w:r>
        <w:r>
          <w:rPr>
            <w:noProof/>
            <w:webHidden/>
          </w:rPr>
          <w:fldChar w:fldCharType="end"/>
        </w:r>
      </w:hyperlink>
    </w:p>
    <w:p w:rsidR="00513F80" w:rsidRDefault="00513F80">
      <w:pPr>
        <w:pStyle w:val="TDC3"/>
        <w:tabs>
          <w:tab w:val="right" w:leader="dot" w:pos="8828"/>
        </w:tabs>
        <w:rPr>
          <w:rFonts w:asciiTheme="minorHAnsi" w:eastAsiaTheme="minorEastAsia" w:hAnsiTheme="minorHAnsi" w:cstheme="minorBidi"/>
          <w:noProof/>
          <w:sz w:val="22"/>
          <w:szCs w:val="22"/>
          <w:lang w:val="es-CO" w:eastAsia="es-CO"/>
        </w:rPr>
      </w:pPr>
      <w:hyperlink w:anchor="_Toc112399547" w:history="1">
        <w:r w:rsidRPr="00DF6938">
          <w:rPr>
            <w:rStyle w:val="Hipervnculo"/>
            <w:noProof/>
          </w:rPr>
          <w:t>Bibliografía</w:t>
        </w:r>
        <w:r>
          <w:rPr>
            <w:noProof/>
            <w:webHidden/>
          </w:rPr>
          <w:tab/>
        </w:r>
        <w:r>
          <w:rPr>
            <w:noProof/>
            <w:webHidden/>
          </w:rPr>
          <w:fldChar w:fldCharType="begin"/>
        </w:r>
        <w:r>
          <w:rPr>
            <w:noProof/>
            <w:webHidden/>
          </w:rPr>
          <w:instrText xml:space="preserve"> PAGEREF _Toc112399547 \h </w:instrText>
        </w:r>
        <w:r>
          <w:rPr>
            <w:noProof/>
            <w:webHidden/>
          </w:rPr>
        </w:r>
        <w:r>
          <w:rPr>
            <w:noProof/>
            <w:webHidden/>
          </w:rPr>
          <w:fldChar w:fldCharType="separate"/>
        </w:r>
        <w:r>
          <w:rPr>
            <w:noProof/>
            <w:webHidden/>
          </w:rPr>
          <w:t>110</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548" w:history="1">
        <w:r w:rsidRPr="00DF6938">
          <w:rPr>
            <w:rStyle w:val="Hipervnculo"/>
            <w:noProof/>
          </w:rPr>
          <w:t>2.</w:t>
        </w:r>
        <w:r>
          <w:rPr>
            <w:rFonts w:asciiTheme="minorHAnsi" w:eastAsiaTheme="minorEastAsia" w:hAnsiTheme="minorHAnsi" w:cstheme="minorBidi"/>
            <w:b w:val="0"/>
            <w:bCs w:val="0"/>
            <w:iCs w:val="0"/>
            <w:noProof/>
            <w:sz w:val="22"/>
            <w:lang w:val="es-CO" w:eastAsia="es-CO"/>
          </w:rPr>
          <w:tab/>
        </w:r>
        <w:r w:rsidRPr="00DF6938">
          <w:rPr>
            <w:rStyle w:val="Hipervnculo"/>
            <w:noProof/>
            <w:w w:val="95"/>
          </w:rPr>
          <w:t>POR</w:t>
        </w:r>
        <w:r w:rsidRPr="00DF6938">
          <w:rPr>
            <w:rStyle w:val="Hipervnculo"/>
            <w:noProof/>
            <w:spacing w:val="22"/>
          </w:rPr>
          <w:t xml:space="preserve"> </w:t>
        </w:r>
        <w:r w:rsidRPr="00DF6938">
          <w:rPr>
            <w:rStyle w:val="Hipervnculo"/>
            <w:noProof/>
            <w:w w:val="95"/>
          </w:rPr>
          <w:t>UNA</w:t>
        </w:r>
        <w:r w:rsidRPr="00DF6938">
          <w:rPr>
            <w:rStyle w:val="Hipervnculo"/>
            <w:noProof/>
            <w:spacing w:val="19"/>
          </w:rPr>
          <w:t xml:space="preserve"> </w:t>
        </w:r>
        <w:r w:rsidRPr="00DF6938">
          <w:rPr>
            <w:rStyle w:val="Hipervnculo"/>
            <w:noProof/>
            <w:w w:val="95"/>
          </w:rPr>
          <w:t>DEMOCRACIA</w:t>
        </w:r>
        <w:r w:rsidRPr="00DF6938">
          <w:rPr>
            <w:rStyle w:val="Hipervnculo"/>
            <w:noProof/>
            <w:spacing w:val="19"/>
          </w:rPr>
          <w:t xml:space="preserve"> </w:t>
        </w:r>
        <w:r w:rsidRPr="00DF6938">
          <w:rPr>
            <w:rStyle w:val="Hipervnculo"/>
            <w:noProof/>
            <w:w w:val="95"/>
          </w:rPr>
          <w:t>SIN</w:t>
        </w:r>
        <w:r w:rsidRPr="00DF6938">
          <w:rPr>
            <w:rStyle w:val="Hipervnculo"/>
            <w:noProof/>
            <w:spacing w:val="19"/>
          </w:rPr>
          <w:t xml:space="preserve"> </w:t>
        </w:r>
        <w:r w:rsidRPr="00DF6938">
          <w:rPr>
            <w:rStyle w:val="Hipervnculo"/>
            <w:noProof/>
            <w:spacing w:val="-2"/>
            <w:w w:val="95"/>
          </w:rPr>
          <w:t>VIOLENCIA</w:t>
        </w:r>
        <w:r>
          <w:rPr>
            <w:noProof/>
            <w:webHidden/>
          </w:rPr>
          <w:tab/>
        </w:r>
        <w:r>
          <w:rPr>
            <w:noProof/>
            <w:webHidden/>
          </w:rPr>
          <w:fldChar w:fldCharType="begin"/>
        </w:r>
        <w:r>
          <w:rPr>
            <w:noProof/>
            <w:webHidden/>
          </w:rPr>
          <w:instrText xml:space="preserve"> PAGEREF _Toc112399548 \h </w:instrText>
        </w:r>
        <w:r>
          <w:rPr>
            <w:noProof/>
            <w:webHidden/>
          </w:rPr>
        </w:r>
        <w:r>
          <w:rPr>
            <w:noProof/>
            <w:webHidden/>
          </w:rPr>
          <w:fldChar w:fldCharType="separate"/>
        </w:r>
        <w:r>
          <w:rPr>
            <w:noProof/>
            <w:webHidden/>
          </w:rPr>
          <w:t>117</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49" w:history="1">
        <w:r w:rsidRPr="00DF6938">
          <w:rPr>
            <w:rStyle w:val="Hipervnculo"/>
            <w:noProof/>
          </w:rPr>
          <w:t>2.1.</w:t>
        </w:r>
        <w:r>
          <w:rPr>
            <w:rFonts w:asciiTheme="minorHAnsi" w:eastAsiaTheme="minorEastAsia" w:hAnsiTheme="minorHAnsi" w:cstheme="minorBidi"/>
            <w:noProof/>
            <w:sz w:val="22"/>
            <w:szCs w:val="22"/>
            <w:lang w:val="es-CO" w:eastAsia="es-CO"/>
          </w:rPr>
          <w:tab/>
        </w:r>
        <w:r w:rsidRPr="00DF6938">
          <w:rPr>
            <w:rStyle w:val="Hipervnculo"/>
            <w:noProof/>
          </w:rPr>
          <w:t>Los</w:t>
        </w:r>
        <w:r w:rsidRPr="00DF6938">
          <w:rPr>
            <w:rStyle w:val="Hipervnculo"/>
            <w:noProof/>
            <w:spacing w:val="-1"/>
          </w:rPr>
          <w:t xml:space="preserve"> </w:t>
        </w:r>
        <w:r w:rsidRPr="00DF6938">
          <w:rPr>
            <w:rStyle w:val="Hipervnculo"/>
            <w:noProof/>
          </w:rPr>
          <w:t>tres</w:t>
        </w:r>
        <w:r w:rsidRPr="00DF6938">
          <w:rPr>
            <w:rStyle w:val="Hipervnculo"/>
            <w:noProof/>
            <w:spacing w:val="-1"/>
          </w:rPr>
          <w:t xml:space="preserve"> </w:t>
        </w:r>
        <w:r w:rsidRPr="00DF6938">
          <w:rPr>
            <w:rStyle w:val="Hipervnculo"/>
            <w:noProof/>
          </w:rPr>
          <w:t>momentos</w:t>
        </w:r>
        <w:r w:rsidRPr="00DF6938">
          <w:rPr>
            <w:rStyle w:val="Hipervnculo"/>
            <w:noProof/>
            <w:spacing w:val="-2"/>
          </w:rPr>
          <w:t xml:space="preserve"> </w:t>
        </w:r>
        <w:r w:rsidRPr="00DF6938">
          <w:rPr>
            <w:rStyle w:val="Hipervnculo"/>
            <w:noProof/>
          </w:rPr>
          <w:t>de</w:t>
        </w:r>
        <w:r w:rsidRPr="00DF6938">
          <w:rPr>
            <w:rStyle w:val="Hipervnculo"/>
            <w:noProof/>
            <w:spacing w:val="-1"/>
          </w:rPr>
          <w:t xml:space="preserve"> </w:t>
        </w:r>
        <w:r w:rsidRPr="00DF6938">
          <w:rPr>
            <w:rStyle w:val="Hipervnculo"/>
            <w:noProof/>
          </w:rPr>
          <w:t>la</w:t>
        </w:r>
        <w:r w:rsidRPr="00DF6938">
          <w:rPr>
            <w:rStyle w:val="Hipervnculo"/>
            <w:noProof/>
            <w:spacing w:val="-1"/>
          </w:rPr>
          <w:t xml:space="preserve"> </w:t>
        </w:r>
        <w:r w:rsidRPr="00DF6938">
          <w:rPr>
            <w:rStyle w:val="Hipervnculo"/>
            <w:noProof/>
          </w:rPr>
          <w:t>paz</w:t>
        </w:r>
        <w:r w:rsidRPr="00DF6938">
          <w:rPr>
            <w:rStyle w:val="Hipervnculo"/>
            <w:noProof/>
            <w:spacing w:val="-1"/>
          </w:rPr>
          <w:t xml:space="preserve"> </w:t>
        </w:r>
        <w:r w:rsidRPr="00DF6938">
          <w:rPr>
            <w:rStyle w:val="Hipervnculo"/>
            <w:noProof/>
          </w:rPr>
          <w:t>y</w:t>
        </w:r>
        <w:r w:rsidRPr="00DF6938">
          <w:rPr>
            <w:rStyle w:val="Hipervnculo"/>
            <w:noProof/>
            <w:spacing w:val="-1"/>
          </w:rPr>
          <w:t xml:space="preserve"> </w:t>
        </w:r>
        <w:r w:rsidRPr="00DF6938">
          <w:rPr>
            <w:rStyle w:val="Hipervnculo"/>
            <w:noProof/>
          </w:rPr>
          <w:t xml:space="preserve">la </w:t>
        </w:r>
        <w:r w:rsidRPr="00DF6938">
          <w:rPr>
            <w:rStyle w:val="Hipervnculo"/>
            <w:noProof/>
            <w:spacing w:val="-2"/>
          </w:rPr>
          <w:t>guerra</w:t>
        </w:r>
        <w:r>
          <w:rPr>
            <w:noProof/>
            <w:webHidden/>
          </w:rPr>
          <w:tab/>
        </w:r>
        <w:r>
          <w:rPr>
            <w:noProof/>
            <w:webHidden/>
          </w:rPr>
          <w:fldChar w:fldCharType="begin"/>
        </w:r>
        <w:r>
          <w:rPr>
            <w:noProof/>
            <w:webHidden/>
          </w:rPr>
          <w:instrText xml:space="preserve"> PAGEREF _Toc112399549 \h </w:instrText>
        </w:r>
        <w:r>
          <w:rPr>
            <w:noProof/>
            <w:webHidden/>
          </w:rPr>
        </w:r>
        <w:r>
          <w:rPr>
            <w:noProof/>
            <w:webHidden/>
          </w:rPr>
          <w:fldChar w:fldCharType="separate"/>
        </w:r>
        <w:r>
          <w:rPr>
            <w:noProof/>
            <w:webHidden/>
          </w:rPr>
          <w:t>123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50" w:history="1">
        <w:r w:rsidRPr="00DF6938">
          <w:rPr>
            <w:rStyle w:val="Hipervnculo"/>
            <w:noProof/>
          </w:rPr>
          <w:t>2.2.</w:t>
        </w:r>
        <w:r>
          <w:rPr>
            <w:rFonts w:asciiTheme="minorHAnsi" w:eastAsiaTheme="minorEastAsia" w:hAnsiTheme="minorHAnsi" w:cstheme="minorBidi"/>
            <w:noProof/>
            <w:sz w:val="22"/>
            <w:szCs w:val="22"/>
            <w:lang w:val="es-CO" w:eastAsia="es-CO"/>
          </w:rPr>
          <w:tab/>
        </w:r>
        <w:r w:rsidRPr="00DF6938">
          <w:rPr>
            <w:rStyle w:val="Hipervnculo"/>
            <w:noProof/>
          </w:rPr>
          <w:t>Abrir la democracia</w:t>
        </w:r>
        <w:r>
          <w:rPr>
            <w:noProof/>
            <w:webHidden/>
          </w:rPr>
          <w:tab/>
        </w:r>
        <w:r>
          <w:rPr>
            <w:noProof/>
            <w:webHidden/>
          </w:rPr>
          <w:fldChar w:fldCharType="begin"/>
        </w:r>
        <w:r>
          <w:rPr>
            <w:noProof/>
            <w:webHidden/>
          </w:rPr>
          <w:instrText xml:space="preserve"> PAGEREF _Toc112399550 \h </w:instrText>
        </w:r>
        <w:r>
          <w:rPr>
            <w:noProof/>
            <w:webHidden/>
          </w:rPr>
        </w:r>
        <w:r>
          <w:rPr>
            <w:noProof/>
            <w:webHidden/>
          </w:rPr>
          <w:fldChar w:fldCharType="separate"/>
        </w:r>
        <w:r>
          <w:rPr>
            <w:noProof/>
            <w:webHidden/>
          </w:rPr>
          <w:t>131</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51" w:history="1">
        <w:r w:rsidRPr="00DF6938">
          <w:rPr>
            <w:rStyle w:val="Hipervnculo"/>
            <w:noProof/>
          </w:rPr>
          <w:t>2.3.</w:t>
        </w:r>
        <w:r>
          <w:rPr>
            <w:rFonts w:asciiTheme="minorHAnsi" w:eastAsiaTheme="minorEastAsia" w:hAnsiTheme="minorHAnsi" w:cstheme="minorBidi"/>
            <w:noProof/>
            <w:sz w:val="22"/>
            <w:szCs w:val="22"/>
            <w:lang w:val="es-CO" w:eastAsia="es-CO"/>
          </w:rPr>
          <w:tab/>
        </w:r>
        <w:r w:rsidRPr="00DF6938">
          <w:rPr>
            <w:rStyle w:val="Hipervnculo"/>
            <w:noProof/>
          </w:rPr>
          <w:t>Paz,</w:t>
        </w:r>
        <w:r w:rsidRPr="00DF6938">
          <w:rPr>
            <w:rStyle w:val="Hipervnculo"/>
            <w:noProof/>
            <w:spacing w:val="-2"/>
          </w:rPr>
          <w:t xml:space="preserve"> </w:t>
        </w:r>
        <w:r w:rsidRPr="00DF6938">
          <w:rPr>
            <w:rStyle w:val="Hipervnculo"/>
            <w:noProof/>
          </w:rPr>
          <w:t>constituyente</w:t>
        </w:r>
        <w:r w:rsidRPr="00DF6938">
          <w:rPr>
            <w:rStyle w:val="Hipervnculo"/>
            <w:noProof/>
            <w:spacing w:val="-3"/>
          </w:rPr>
          <w:t xml:space="preserve"> </w:t>
        </w:r>
        <w:r w:rsidRPr="00DF6938">
          <w:rPr>
            <w:rStyle w:val="Hipervnculo"/>
            <w:noProof/>
          </w:rPr>
          <w:t>y</w:t>
        </w:r>
        <w:r w:rsidRPr="00DF6938">
          <w:rPr>
            <w:rStyle w:val="Hipervnculo"/>
            <w:noProof/>
            <w:spacing w:val="-1"/>
          </w:rPr>
          <w:t xml:space="preserve"> </w:t>
        </w:r>
        <w:r w:rsidRPr="00DF6938">
          <w:rPr>
            <w:rStyle w:val="Hipervnculo"/>
            <w:noProof/>
          </w:rPr>
          <w:t>Constitución</w:t>
        </w:r>
        <w:r>
          <w:rPr>
            <w:noProof/>
            <w:webHidden/>
          </w:rPr>
          <w:tab/>
        </w:r>
        <w:r>
          <w:rPr>
            <w:noProof/>
            <w:webHidden/>
          </w:rPr>
          <w:fldChar w:fldCharType="begin"/>
        </w:r>
        <w:r>
          <w:rPr>
            <w:noProof/>
            <w:webHidden/>
          </w:rPr>
          <w:instrText xml:space="preserve"> PAGEREF _Toc112399551 \h </w:instrText>
        </w:r>
        <w:r>
          <w:rPr>
            <w:noProof/>
            <w:webHidden/>
          </w:rPr>
        </w:r>
        <w:r>
          <w:rPr>
            <w:noProof/>
            <w:webHidden/>
          </w:rPr>
          <w:fldChar w:fldCharType="separate"/>
        </w:r>
        <w:r>
          <w:rPr>
            <w:noProof/>
            <w:webHidden/>
          </w:rPr>
          <w:t>138</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52" w:history="1">
        <w:r w:rsidRPr="00DF6938">
          <w:rPr>
            <w:rStyle w:val="Hipervnculo"/>
            <w:noProof/>
          </w:rPr>
          <w:t>2.4.</w:t>
        </w:r>
        <w:r>
          <w:rPr>
            <w:rFonts w:asciiTheme="minorHAnsi" w:eastAsiaTheme="minorEastAsia" w:hAnsiTheme="minorHAnsi" w:cstheme="minorBidi"/>
            <w:noProof/>
            <w:sz w:val="22"/>
            <w:szCs w:val="22"/>
            <w:lang w:val="es-CO" w:eastAsia="es-CO"/>
          </w:rPr>
          <w:tab/>
        </w:r>
        <w:r w:rsidRPr="00DF6938">
          <w:rPr>
            <w:rStyle w:val="Hipervnculo"/>
            <w:noProof/>
          </w:rPr>
          <w:t>El</w:t>
        </w:r>
        <w:r w:rsidRPr="00DF6938">
          <w:rPr>
            <w:rStyle w:val="Hipervnculo"/>
            <w:noProof/>
            <w:spacing w:val="-2"/>
          </w:rPr>
          <w:t xml:space="preserve"> </w:t>
        </w:r>
        <w:r w:rsidRPr="00DF6938">
          <w:rPr>
            <w:rStyle w:val="Hipervnculo"/>
            <w:noProof/>
          </w:rPr>
          <w:t>desenlace</w:t>
        </w:r>
        <w:r w:rsidRPr="00DF6938">
          <w:rPr>
            <w:rStyle w:val="Hipervnculo"/>
            <w:noProof/>
            <w:spacing w:val="-1"/>
          </w:rPr>
          <w:t xml:space="preserve"> </w:t>
        </w:r>
        <w:r w:rsidRPr="00DF6938">
          <w:rPr>
            <w:rStyle w:val="Hipervnculo"/>
            <w:noProof/>
          </w:rPr>
          <w:t>de</w:t>
        </w:r>
        <w:r w:rsidRPr="00DF6938">
          <w:rPr>
            <w:rStyle w:val="Hipervnculo"/>
            <w:noProof/>
            <w:spacing w:val="-1"/>
          </w:rPr>
          <w:t xml:space="preserve"> </w:t>
        </w:r>
        <w:r w:rsidRPr="00DF6938">
          <w:rPr>
            <w:rStyle w:val="Hipervnculo"/>
            <w:noProof/>
          </w:rPr>
          <w:t>la</w:t>
        </w:r>
        <w:r w:rsidRPr="00DF6938">
          <w:rPr>
            <w:rStyle w:val="Hipervnculo"/>
            <w:noProof/>
            <w:spacing w:val="-3"/>
          </w:rPr>
          <w:t xml:space="preserve"> </w:t>
        </w:r>
        <w:r w:rsidRPr="00DF6938">
          <w:rPr>
            <w:rStyle w:val="Hipervnculo"/>
            <w:noProof/>
          </w:rPr>
          <w:t>guerra:</w:t>
        </w:r>
        <w:r w:rsidRPr="00DF6938">
          <w:rPr>
            <w:rStyle w:val="Hipervnculo"/>
            <w:noProof/>
            <w:spacing w:val="-1"/>
          </w:rPr>
          <w:t xml:space="preserve"> </w:t>
        </w:r>
        <w:r w:rsidRPr="00DF6938">
          <w:rPr>
            <w:rStyle w:val="Hipervnculo"/>
            <w:noProof/>
          </w:rPr>
          <w:t>¿democrático</w:t>
        </w:r>
        <w:r w:rsidRPr="00DF6938">
          <w:rPr>
            <w:rStyle w:val="Hipervnculo"/>
            <w:noProof/>
            <w:spacing w:val="-1"/>
          </w:rPr>
          <w:t xml:space="preserve"> </w:t>
        </w:r>
        <w:r w:rsidRPr="00DF6938">
          <w:rPr>
            <w:rStyle w:val="Hipervnculo"/>
            <w:noProof/>
          </w:rPr>
          <w:t>o</w:t>
        </w:r>
        <w:r w:rsidRPr="00DF6938">
          <w:rPr>
            <w:rStyle w:val="Hipervnculo"/>
            <w:noProof/>
            <w:spacing w:val="-3"/>
          </w:rPr>
          <w:t xml:space="preserve"> </w:t>
        </w:r>
        <w:r w:rsidRPr="00DF6938">
          <w:rPr>
            <w:rStyle w:val="Hipervnculo"/>
            <w:noProof/>
            <w:spacing w:val="-2"/>
          </w:rPr>
          <w:t>antidemocrático?</w:t>
        </w:r>
        <w:r>
          <w:rPr>
            <w:noProof/>
            <w:webHidden/>
          </w:rPr>
          <w:tab/>
        </w:r>
        <w:r>
          <w:rPr>
            <w:noProof/>
            <w:webHidden/>
          </w:rPr>
          <w:fldChar w:fldCharType="begin"/>
        </w:r>
        <w:r>
          <w:rPr>
            <w:noProof/>
            <w:webHidden/>
          </w:rPr>
          <w:instrText xml:space="preserve"> PAGEREF _Toc112399552 \h </w:instrText>
        </w:r>
        <w:r>
          <w:rPr>
            <w:noProof/>
            <w:webHidden/>
          </w:rPr>
        </w:r>
        <w:r>
          <w:rPr>
            <w:noProof/>
            <w:webHidden/>
          </w:rPr>
          <w:fldChar w:fldCharType="separate"/>
        </w:r>
        <w:r>
          <w:rPr>
            <w:noProof/>
            <w:webHidden/>
          </w:rPr>
          <w:t>152</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53" w:history="1">
        <w:r w:rsidRPr="00DF6938">
          <w:rPr>
            <w:rStyle w:val="Hipervnculo"/>
            <w:noProof/>
          </w:rPr>
          <w:t>2.5.</w:t>
        </w:r>
        <w:r>
          <w:rPr>
            <w:rFonts w:asciiTheme="minorHAnsi" w:eastAsiaTheme="minorEastAsia" w:hAnsiTheme="minorHAnsi" w:cstheme="minorBidi"/>
            <w:noProof/>
            <w:sz w:val="22"/>
            <w:szCs w:val="22"/>
            <w:lang w:val="es-CO" w:eastAsia="es-CO"/>
          </w:rPr>
          <w:tab/>
        </w:r>
        <w:r w:rsidRPr="00DF6938">
          <w:rPr>
            <w:rStyle w:val="Hipervnculo"/>
            <w:noProof/>
          </w:rPr>
          <w:t>La</w:t>
        </w:r>
        <w:r w:rsidRPr="00DF6938">
          <w:rPr>
            <w:rStyle w:val="Hipervnculo"/>
            <w:noProof/>
            <w:spacing w:val="-1"/>
          </w:rPr>
          <w:t xml:space="preserve"> </w:t>
        </w:r>
        <w:r w:rsidRPr="00DF6938">
          <w:rPr>
            <w:rStyle w:val="Hipervnculo"/>
            <w:noProof/>
          </w:rPr>
          <w:t>paz</w:t>
        </w:r>
        <w:r w:rsidRPr="00DF6938">
          <w:rPr>
            <w:rStyle w:val="Hipervnculo"/>
            <w:noProof/>
            <w:spacing w:val="-1"/>
          </w:rPr>
          <w:t xml:space="preserve"> </w:t>
        </w:r>
        <w:r w:rsidRPr="00DF6938">
          <w:rPr>
            <w:rStyle w:val="Hipervnculo"/>
            <w:noProof/>
          </w:rPr>
          <w:t>¿estable</w:t>
        </w:r>
        <w:r w:rsidRPr="00DF6938">
          <w:rPr>
            <w:rStyle w:val="Hipervnculo"/>
            <w:noProof/>
            <w:spacing w:val="-1"/>
          </w:rPr>
          <w:t xml:space="preserve"> </w:t>
        </w:r>
        <w:r w:rsidRPr="00DF6938">
          <w:rPr>
            <w:rStyle w:val="Hipervnculo"/>
            <w:noProof/>
          </w:rPr>
          <w:t xml:space="preserve">y </w:t>
        </w:r>
        <w:r w:rsidRPr="00DF6938">
          <w:rPr>
            <w:rStyle w:val="Hipervnculo"/>
            <w:noProof/>
            <w:spacing w:val="-2"/>
          </w:rPr>
          <w:t>duradera?</w:t>
        </w:r>
        <w:r>
          <w:rPr>
            <w:noProof/>
            <w:webHidden/>
          </w:rPr>
          <w:tab/>
        </w:r>
        <w:r>
          <w:rPr>
            <w:noProof/>
            <w:webHidden/>
          </w:rPr>
          <w:fldChar w:fldCharType="begin"/>
        </w:r>
        <w:r>
          <w:rPr>
            <w:noProof/>
            <w:webHidden/>
          </w:rPr>
          <w:instrText xml:space="preserve"> PAGEREF _Toc112399553 \h </w:instrText>
        </w:r>
        <w:r>
          <w:rPr>
            <w:noProof/>
            <w:webHidden/>
          </w:rPr>
        </w:r>
        <w:r>
          <w:rPr>
            <w:noProof/>
            <w:webHidden/>
          </w:rPr>
          <w:fldChar w:fldCharType="separate"/>
        </w:r>
        <w:r>
          <w:rPr>
            <w:noProof/>
            <w:webHidden/>
          </w:rPr>
          <w:t>157</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54" w:history="1">
        <w:r w:rsidRPr="00DF6938">
          <w:rPr>
            <w:rStyle w:val="Hipervnculo"/>
            <w:noProof/>
          </w:rPr>
          <w:t>2.6.</w:t>
        </w:r>
        <w:r>
          <w:rPr>
            <w:rFonts w:asciiTheme="minorHAnsi" w:eastAsiaTheme="minorEastAsia" w:hAnsiTheme="minorHAnsi" w:cstheme="minorBidi"/>
            <w:noProof/>
            <w:sz w:val="22"/>
            <w:szCs w:val="22"/>
            <w:lang w:val="es-CO" w:eastAsia="es-CO"/>
          </w:rPr>
          <w:tab/>
        </w:r>
        <w:r w:rsidRPr="00DF6938">
          <w:rPr>
            <w:rStyle w:val="Hipervnculo"/>
            <w:noProof/>
          </w:rPr>
          <w:t>Conclusiones</w:t>
        </w:r>
        <w:r>
          <w:rPr>
            <w:noProof/>
            <w:webHidden/>
          </w:rPr>
          <w:tab/>
        </w:r>
        <w:r>
          <w:rPr>
            <w:noProof/>
            <w:webHidden/>
          </w:rPr>
          <w:fldChar w:fldCharType="begin"/>
        </w:r>
        <w:r>
          <w:rPr>
            <w:noProof/>
            <w:webHidden/>
          </w:rPr>
          <w:instrText xml:space="preserve"> PAGEREF _Toc112399554 \h </w:instrText>
        </w:r>
        <w:r>
          <w:rPr>
            <w:noProof/>
            <w:webHidden/>
          </w:rPr>
        </w:r>
        <w:r>
          <w:rPr>
            <w:noProof/>
            <w:webHidden/>
          </w:rPr>
          <w:fldChar w:fldCharType="separate"/>
        </w:r>
        <w:r>
          <w:rPr>
            <w:noProof/>
            <w:webHidden/>
          </w:rPr>
          <w:t>161</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55" w:history="1">
        <w:r w:rsidRPr="00DF6938">
          <w:rPr>
            <w:rStyle w:val="Hipervnculo"/>
            <w:noProof/>
          </w:rPr>
          <w:t>2.6.1.</w:t>
        </w:r>
        <w:r>
          <w:rPr>
            <w:rFonts w:asciiTheme="minorHAnsi" w:eastAsiaTheme="minorEastAsia" w:hAnsiTheme="minorHAnsi" w:cstheme="minorBidi"/>
            <w:noProof/>
            <w:sz w:val="22"/>
            <w:szCs w:val="22"/>
            <w:lang w:val="es-CO" w:eastAsia="es-CO"/>
          </w:rPr>
          <w:tab/>
        </w:r>
        <w:r w:rsidRPr="00DF6938">
          <w:rPr>
            <w:rStyle w:val="Hipervnculo"/>
            <w:noProof/>
          </w:rPr>
          <w:t>Una democracia herida por la guerra</w:t>
        </w:r>
        <w:r>
          <w:rPr>
            <w:noProof/>
            <w:webHidden/>
          </w:rPr>
          <w:tab/>
        </w:r>
        <w:r>
          <w:rPr>
            <w:noProof/>
            <w:webHidden/>
          </w:rPr>
          <w:fldChar w:fldCharType="begin"/>
        </w:r>
        <w:r>
          <w:rPr>
            <w:noProof/>
            <w:webHidden/>
          </w:rPr>
          <w:instrText xml:space="preserve"> PAGEREF _Toc112399555 \h </w:instrText>
        </w:r>
        <w:r>
          <w:rPr>
            <w:noProof/>
            <w:webHidden/>
          </w:rPr>
        </w:r>
        <w:r>
          <w:rPr>
            <w:noProof/>
            <w:webHidden/>
          </w:rPr>
          <w:fldChar w:fldCharType="separate"/>
        </w:r>
        <w:r>
          <w:rPr>
            <w:noProof/>
            <w:webHidden/>
          </w:rPr>
          <w:t>161</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56" w:history="1">
        <w:r w:rsidRPr="00DF6938">
          <w:rPr>
            <w:rStyle w:val="Hipervnculo"/>
            <w:noProof/>
          </w:rPr>
          <w:t>2.6.2.</w:t>
        </w:r>
        <w:r>
          <w:rPr>
            <w:rFonts w:asciiTheme="minorHAnsi" w:eastAsiaTheme="minorEastAsia" w:hAnsiTheme="minorHAnsi" w:cstheme="minorBidi"/>
            <w:noProof/>
            <w:sz w:val="22"/>
            <w:szCs w:val="22"/>
            <w:lang w:val="es-CO" w:eastAsia="es-CO"/>
          </w:rPr>
          <w:tab/>
        </w:r>
        <w:r w:rsidRPr="00DF6938">
          <w:rPr>
            <w:rStyle w:val="Hipervnculo"/>
            <w:noProof/>
          </w:rPr>
          <w:t>No hay derecho a la guerra</w:t>
        </w:r>
        <w:r>
          <w:rPr>
            <w:noProof/>
            <w:webHidden/>
          </w:rPr>
          <w:tab/>
        </w:r>
        <w:r>
          <w:rPr>
            <w:noProof/>
            <w:webHidden/>
          </w:rPr>
          <w:fldChar w:fldCharType="begin"/>
        </w:r>
        <w:r>
          <w:rPr>
            <w:noProof/>
            <w:webHidden/>
          </w:rPr>
          <w:instrText xml:space="preserve"> PAGEREF _Toc112399556 \h </w:instrText>
        </w:r>
        <w:r>
          <w:rPr>
            <w:noProof/>
            <w:webHidden/>
          </w:rPr>
        </w:r>
        <w:r>
          <w:rPr>
            <w:noProof/>
            <w:webHidden/>
          </w:rPr>
          <w:fldChar w:fldCharType="separate"/>
        </w:r>
        <w:r>
          <w:rPr>
            <w:noProof/>
            <w:webHidden/>
          </w:rPr>
          <w:t>164</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57" w:history="1">
        <w:r w:rsidRPr="00DF6938">
          <w:rPr>
            <w:rStyle w:val="Hipervnculo"/>
            <w:noProof/>
          </w:rPr>
          <w:t>2.6.3.</w:t>
        </w:r>
        <w:r>
          <w:rPr>
            <w:rFonts w:asciiTheme="minorHAnsi" w:eastAsiaTheme="minorEastAsia" w:hAnsiTheme="minorHAnsi" w:cstheme="minorBidi"/>
            <w:noProof/>
            <w:sz w:val="22"/>
            <w:szCs w:val="22"/>
            <w:lang w:val="es-CO" w:eastAsia="es-CO"/>
          </w:rPr>
          <w:tab/>
        </w:r>
        <w:r w:rsidRPr="00DF6938">
          <w:rPr>
            <w:rStyle w:val="Hipervnculo"/>
            <w:noProof/>
          </w:rPr>
          <w:t>La</w:t>
        </w:r>
        <w:r w:rsidRPr="00DF6938">
          <w:rPr>
            <w:rStyle w:val="Hipervnculo"/>
            <w:noProof/>
            <w:spacing w:val="-1"/>
          </w:rPr>
          <w:t xml:space="preserve"> </w:t>
        </w:r>
        <w:r w:rsidRPr="00DF6938">
          <w:rPr>
            <w:rStyle w:val="Hipervnculo"/>
            <w:noProof/>
          </w:rPr>
          <w:t>paz imperfecta</w:t>
        </w:r>
        <w:r>
          <w:rPr>
            <w:noProof/>
            <w:webHidden/>
          </w:rPr>
          <w:tab/>
        </w:r>
        <w:r>
          <w:rPr>
            <w:noProof/>
            <w:webHidden/>
          </w:rPr>
          <w:fldChar w:fldCharType="begin"/>
        </w:r>
        <w:r>
          <w:rPr>
            <w:noProof/>
            <w:webHidden/>
          </w:rPr>
          <w:instrText xml:space="preserve"> PAGEREF _Toc112399557 \h </w:instrText>
        </w:r>
        <w:r>
          <w:rPr>
            <w:noProof/>
            <w:webHidden/>
          </w:rPr>
        </w:r>
        <w:r>
          <w:rPr>
            <w:noProof/>
            <w:webHidden/>
          </w:rPr>
          <w:fldChar w:fldCharType="separate"/>
        </w:r>
        <w:r>
          <w:rPr>
            <w:noProof/>
            <w:webHidden/>
          </w:rPr>
          <w:t>167</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558" w:history="1">
        <w:r w:rsidRPr="00DF6938">
          <w:rPr>
            <w:rStyle w:val="Hipervnculo"/>
            <w:noProof/>
          </w:rPr>
          <w:t>3.</w:t>
        </w:r>
        <w:r>
          <w:rPr>
            <w:rFonts w:asciiTheme="minorHAnsi" w:eastAsiaTheme="minorEastAsia" w:hAnsiTheme="minorHAnsi" w:cstheme="minorBidi"/>
            <w:b w:val="0"/>
            <w:bCs w:val="0"/>
            <w:iCs w:val="0"/>
            <w:noProof/>
            <w:sz w:val="22"/>
            <w:lang w:val="es-CO" w:eastAsia="es-CO"/>
          </w:rPr>
          <w:tab/>
        </w:r>
        <w:r w:rsidRPr="00DF6938">
          <w:rPr>
            <w:rStyle w:val="Hipervnculo"/>
            <w:noProof/>
          </w:rPr>
          <w:t>VIOLACIONES</w:t>
        </w:r>
        <w:r w:rsidRPr="00DF6938">
          <w:rPr>
            <w:rStyle w:val="Hipervnculo"/>
            <w:noProof/>
            <w:spacing w:val="-9"/>
          </w:rPr>
          <w:t xml:space="preserve"> </w:t>
        </w:r>
        <w:r w:rsidRPr="00DF6938">
          <w:rPr>
            <w:rStyle w:val="Hipervnculo"/>
            <w:noProof/>
          </w:rPr>
          <w:t>DE</w:t>
        </w:r>
        <w:r w:rsidRPr="00DF6938">
          <w:rPr>
            <w:rStyle w:val="Hipervnculo"/>
            <w:noProof/>
            <w:spacing w:val="-10"/>
          </w:rPr>
          <w:t xml:space="preserve"> </w:t>
        </w:r>
        <w:r w:rsidRPr="00DF6938">
          <w:rPr>
            <w:rStyle w:val="Hipervnculo"/>
            <w:noProof/>
          </w:rPr>
          <w:t>DERECHOS</w:t>
        </w:r>
        <w:r w:rsidRPr="00DF6938">
          <w:rPr>
            <w:rStyle w:val="Hipervnculo"/>
            <w:noProof/>
            <w:spacing w:val="-8"/>
          </w:rPr>
          <w:t xml:space="preserve"> </w:t>
        </w:r>
        <w:r w:rsidRPr="00DF6938">
          <w:rPr>
            <w:rStyle w:val="Hipervnculo"/>
            <w:noProof/>
          </w:rPr>
          <w:t>HUMANOS</w:t>
        </w:r>
        <w:r w:rsidRPr="00DF6938">
          <w:rPr>
            <w:rStyle w:val="Hipervnculo"/>
            <w:noProof/>
            <w:spacing w:val="-9"/>
          </w:rPr>
          <w:t xml:space="preserve"> </w:t>
        </w:r>
        <w:r w:rsidRPr="00DF6938">
          <w:rPr>
            <w:rStyle w:val="Hipervnculo"/>
            <w:noProof/>
          </w:rPr>
          <w:t>E</w:t>
        </w:r>
        <w:r w:rsidRPr="00DF6938">
          <w:rPr>
            <w:rStyle w:val="Hipervnculo"/>
            <w:noProof/>
            <w:spacing w:val="-10"/>
          </w:rPr>
          <w:t xml:space="preserve"> </w:t>
        </w:r>
        <w:r w:rsidRPr="00DF6938">
          <w:rPr>
            <w:rStyle w:val="Hipervnculo"/>
            <w:noProof/>
          </w:rPr>
          <w:t>INFRACCIONES</w:t>
        </w:r>
        <w:r w:rsidRPr="00DF6938">
          <w:rPr>
            <w:rStyle w:val="Hipervnculo"/>
            <w:noProof/>
            <w:spacing w:val="-8"/>
          </w:rPr>
          <w:t xml:space="preserve"> </w:t>
        </w:r>
        <w:r w:rsidRPr="00DF6938">
          <w:rPr>
            <w:rStyle w:val="Hipervnculo"/>
            <w:noProof/>
          </w:rPr>
          <w:t>AL DERECHO INTERNACIONAL HUMANITARIO</w:t>
        </w:r>
        <w:r>
          <w:rPr>
            <w:noProof/>
            <w:webHidden/>
          </w:rPr>
          <w:tab/>
        </w:r>
        <w:r>
          <w:rPr>
            <w:noProof/>
            <w:webHidden/>
          </w:rPr>
          <w:fldChar w:fldCharType="begin"/>
        </w:r>
        <w:r>
          <w:rPr>
            <w:noProof/>
            <w:webHidden/>
          </w:rPr>
          <w:instrText xml:space="preserve"> PAGEREF _Toc112399558 \h </w:instrText>
        </w:r>
        <w:r>
          <w:rPr>
            <w:noProof/>
            <w:webHidden/>
          </w:rPr>
        </w:r>
        <w:r>
          <w:rPr>
            <w:noProof/>
            <w:webHidden/>
          </w:rPr>
          <w:fldChar w:fldCharType="separate"/>
        </w:r>
        <w:r>
          <w:rPr>
            <w:noProof/>
            <w:webHidden/>
          </w:rPr>
          <w:t>170</w:t>
        </w:r>
        <w:r>
          <w:rPr>
            <w:noProof/>
            <w:webHidden/>
          </w:rPr>
          <w:fldChar w:fldCharType="end"/>
        </w:r>
      </w:hyperlink>
    </w:p>
    <w:p w:rsidR="00513F80" w:rsidRDefault="00513F80">
      <w:pPr>
        <w:pStyle w:val="TDC3"/>
        <w:tabs>
          <w:tab w:val="right" w:leader="dot" w:pos="8828"/>
        </w:tabs>
        <w:rPr>
          <w:rFonts w:asciiTheme="minorHAnsi" w:eastAsiaTheme="minorEastAsia" w:hAnsiTheme="minorHAnsi" w:cstheme="minorBidi"/>
          <w:noProof/>
          <w:sz w:val="22"/>
          <w:szCs w:val="22"/>
          <w:lang w:val="es-CO" w:eastAsia="es-CO"/>
        </w:rPr>
      </w:pPr>
      <w:hyperlink w:anchor="_Toc112399559" w:history="1">
        <w:r w:rsidRPr="00DF6938">
          <w:rPr>
            <w:rStyle w:val="Hipervnculo"/>
            <w:noProof/>
          </w:rPr>
          <w:t>Fuentes de análisis cuantitativo</w:t>
        </w:r>
        <w:r>
          <w:rPr>
            <w:noProof/>
            <w:webHidden/>
          </w:rPr>
          <w:tab/>
        </w:r>
        <w:r>
          <w:rPr>
            <w:noProof/>
            <w:webHidden/>
          </w:rPr>
          <w:fldChar w:fldCharType="begin"/>
        </w:r>
        <w:r>
          <w:rPr>
            <w:noProof/>
            <w:webHidden/>
          </w:rPr>
          <w:instrText xml:space="preserve"> PAGEREF _Toc112399559 \h </w:instrText>
        </w:r>
        <w:r>
          <w:rPr>
            <w:noProof/>
            <w:webHidden/>
          </w:rPr>
        </w:r>
        <w:r>
          <w:rPr>
            <w:noProof/>
            <w:webHidden/>
          </w:rPr>
          <w:fldChar w:fldCharType="separate"/>
        </w:r>
        <w:r>
          <w:rPr>
            <w:noProof/>
            <w:webHidden/>
          </w:rPr>
          <w:t>173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60" w:history="1">
        <w:r w:rsidRPr="00DF6938">
          <w:rPr>
            <w:rStyle w:val="Hipervnculo"/>
            <w:noProof/>
          </w:rPr>
          <w:t>3.1.</w:t>
        </w:r>
        <w:r>
          <w:rPr>
            <w:rFonts w:asciiTheme="minorHAnsi" w:eastAsiaTheme="minorEastAsia" w:hAnsiTheme="minorHAnsi" w:cstheme="minorBidi"/>
            <w:noProof/>
            <w:sz w:val="22"/>
            <w:szCs w:val="22"/>
            <w:lang w:val="es-CO" w:eastAsia="es-CO"/>
          </w:rPr>
          <w:tab/>
        </w:r>
        <w:r w:rsidRPr="00DF6938">
          <w:rPr>
            <w:rStyle w:val="Hipervnculo"/>
            <w:noProof/>
          </w:rPr>
          <w:t>Los civiles, los más vulnerados en su derecho a la vida</w:t>
        </w:r>
        <w:r>
          <w:rPr>
            <w:noProof/>
            <w:webHidden/>
          </w:rPr>
          <w:tab/>
        </w:r>
        <w:r>
          <w:rPr>
            <w:noProof/>
            <w:webHidden/>
          </w:rPr>
          <w:fldChar w:fldCharType="begin"/>
        </w:r>
        <w:r>
          <w:rPr>
            <w:noProof/>
            <w:webHidden/>
          </w:rPr>
          <w:instrText xml:space="preserve"> PAGEREF _Toc112399560 \h </w:instrText>
        </w:r>
        <w:r>
          <w:rPr>
            <w:noProof/>
            <w:webHidden/>
          </w:rPr>
        </w:r>
        <w:r>
          <w:rPr>
            <w:noProof/>
            <w:webHidden/>
          </w:rPr>
          <w:fldChar w:fldCharType="separate"/>
        </w:r>
        <w:r>
          <w:rPr>
            <w:noProof/>
            <w:webHidden/>
          </w:rPr>
          <w:t>177</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61" w:history="1">
        <w:r w:rsidRPr="00DF6938">
          <w:rPr>
            <w:rStyle w:val="Hipervnculo"/>
            <w:noProof/>
          </w:rPr>
          <w:t>3.2.</w:t>
        </w:r>
        <w:r>
          <w:rPr>
            <w:rFonts w:asciiTheme="minorHAnsi" w:eastAsiaTheme="minorEastAsia" w:hAnsiTheme="minorHAnsi" w:cstheme="minorBidi"/>
            <w:noProof/>
            <w:sz w:val="22"/>
            <w:szCs w:val="22"/>
            <w:lang w:val="es-CO" w:eastAsia="es-CO"/>
          </w:rPr>
          <w:tab/>
        </w:r>
        <w:r w:rsidRPr="00DF6938">
          <w:rPr>
            <w:rStyle w:val="Hipervnculo"/>
            <w:noProof/>
          </w:rPr>
          <w:t>Las masacres</w:t>
        </w:r>
        <w:r>
          <w:rPr>
            <w:noProof/>
            <w:webHidden/>
          </w:rPr>
          <w:tab/>
        </w:r>
        <w:r>
          <w:rPr>
            <w:noProof/>
            <w:webHidden/>
          </w:rPr>
          <w:fldChar w:fldCharType="begin"/>
        </w:r>
        <w:r>
          <w:rPr>
            <w:noProof/>
            <w:webHidden/>
          </w:rPr>
          <w:instrText xml:space="preserve"> PAGEREF _Toc112399561 \h </w:instrText>
        </w:r>
        <w:r>
          <w:rPr>
            <w:noProof/>
            <w:webHidden/>
          </w:rPr>
        </w:r>
        <w:r>
          <w:rPr>
            <w:noProof/>
            <w:webHidden/>
          </w:rPr>
          <w:fldChar w:fldCharType="separate"/>
        </w:r>
        <w:r>
          <w:rPr>
            <w:noProof/>
            <w:webHidden/>
          </w:rPr>
          <w:t>180</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62" w:history="1">
        <w:r w:rsidRPr="00DF6938">
          <w:rPr>
            <w:rStyle w:val="Hipervnculo"/>
            <w:noProof/>
          </w:rPr>
          <w:t>3.3.</w:t>
        </w:r>
        <w:r>
          <w:rPr>
            <w:rFonts w:asciiTheme="minorHAnsi" w:eastAsiaTheme="minorEastAsia" w:hAnsiTheme="minorHAnsi" w:cstheme="minorBidi"/>
            <w:noProof/>
            <w:sz w:val="22"/>
            <w:szCs w:val="22"/>
            <w:lang w:val="es-CO" w:eastAsia="es-CO"/>
          </w:rPr>
          <w:tab/>
        </w:r>
        <w:r w:rsidRPr="00DF6938">
          <w:rPr>
            <w:rStyle w:val="Hipervnculo"/>
            <w:noProof/>
          </w:rPr>
          <w:t>Ejecuciones extrajudiciales y asesinatos selectivos</w:t>
        </w:r>
        <w:r>
          <w:rPr>
            <w:noProof/>
            <w:webHidden/>
          </w:rPr>
          <w:tab/>
        </w:r>
        <w:r>
          <w:rPr>
            <w:noProof/>
            <w:webHidden/>
          </w:rPr>
          <w:fldChar w:fldCharType="begin"/>
        </w:r>
        <w:r>
          <w:rPr>
            <w:noProof/>
            <w:webHidden/>
          </w:rPr>
          <w:instrText xml:space="preserve"> PAGEREF _Toc112399562 \h </w:instrText>
        </w:r>
        <w:r>
          <w:rPr>
            <w:noProof/>
            <w:webHidden/>
          </w:rPr>
        </w:r>
        <w:r>
          <w:rPr>
            <w:noProof/>
            <w:webHidden/>
          </w:rPr>
          <w:fldChar w:fldCharType="separate"/>
        </w:r>
        <w:r>
          <w:rPr>
            <w:noProof/>
            <w:webHidden/>
          </w:rPr>
          <w:t>183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63" w:history="1">
        <w:r w:rsidRPr="00DF6938">
          <w:rPr>
            <w:rStyle w:val="Hipervnculo"/>
            <w:noProof/>
          </w:rPr>
          <w:t>3.4.</w:t>
        </w:r>
        <w:r>
          <w:rPr>
            <w:rFonts w:asciiTheme="minorHAnsi" w:eastAsiaTheme="minorEastAsia" w:hAnsiTheme="minorHAnsi" w:cstheme="minorBidi"/>
            <w:noProof/>
            <w:sz w:val="22"/>
            <w:szCs w:val="22"/>
            <w:lang w:val="es-CO" w:eastAsia="es-CO"/>
          </w:rPr>
          <w:tab/>
        </w:r>
        <w:r w:rsidRPr="00DF6938">
          <w:rPr>
            <w:rStyle w:val="Hipervnculo"/>
            <w:noProof/>
          </w:rPr>
          <w:t>Asesinatos</w:t>
        </w:r>
        <w:r w:rsidRPr="00DF6938">
          <w:rPr>
            <w:rStyle w:val="Hipervnculo"/>
            <w:noProof/>
            <w:spacing w:val="-2"/>
          </w:rPr>
          <w:t xml:space="preserve"> selectivos</w:t>
        </w:r>
        <w:r>
          <w:rPr>
            <w:noProof/>
            <w:webHidden/>
          </w:rPr>
          <w:tab/>
        </w:r>
        <w:r>
          <w:rPr>
            <w:noProof/>
            <w:webHidden/>
          </w:rPr>
          <w:fldChar w:fldCharType="begin"/>
        </w:r>
        <w:r>
          <w:rPr>
            <w:noProof/>
            <w:webHidden/>
          </w:rPr>
          <w:instrText xml:space="preserve"> PAGEREF _Toc112399563 \h </w:instrText>
        </w:r>
        <w:r>
          <w:rPr>
            <w:noProof/>
            <w:webHidden/>
          </w:rPr>
        </w:r>
        <w:r>
          <w:rPr>
            <w:noProof/>
            <w:webHidden/>
          </w:rPr>
          <w:fldChar w:fldCharType="separate"/>
        </w:r>
        <w:r>
          <w:rPr>
            <w:noProof/>
            <w:webHidden/>
          </w:rPr>
          <w:t>186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64" w:history="1">
        <w:r w:rsidRPr="00DF6938">
          <w:rPr>
            <w:rStyle w:val="Hipervnculo"/>
            <w:noProof/>
          </w:rPr>
          <w:t>3.5.</w:t>
        </w:r>
        <w:r>
          <w:rPr>
            <w:rFonts w:asciiTheme="minorHAnsi" w:eastAsiaTheme="minorEastAsia" w:hAnsiTheme="minorHAnsi" w:cstheme="minorBidi"/>
            <w:noProof/>
            <w:sz w:val="22"/>
            <w:szCs w:val="22"/>
            <w:lang w:val="es-CO" w:eastAsia="es-CO"/>
          </w:rPr>
          <w:tab/>
        </w:r>
        <w:r w:rsidRPr="00DF6938">
          <w:rPr>
            <w:rStyle w:val="Hipervnculo"/>
            <w:noProof/>
          </w:rPr>
          <w:t>Atentados al derecho a la vida</w:t>
        </w:r>
        <w:r>
          <w:rPr>
            <w:noProof/>
            <w:webHidden/>
          </w:rPr>
          <w:tab/>
        </w:r>
        <w:r>
          <w:rPr>
            <w:noProof/>
            <w:webHidden/>
          </w:rPr>
          <w:fldChar w:fldCharType="begin"/>
        </w:r>
        <w:r>
          <w:rPr>
            <w:noProof/>
            <w:webHidden/>
          </w:rPr>
          <w:instrText xml:space="preserve"> PAGEREF _Toc112399564 \h </w:instrText>
        </w:r>
        <w:r>
          <w:rPr>
            <w:noProof/>
            <w:webHidden/>
          </w:rPr>
        </w:r>
        <w:r>
          <w:rPr>
            <w:noProof/>
            <w:webHidden/>
          </w:rPr>
          <w:fldChar w:fldCharType="separate"/>
        </w:r>
        <w:r>
          <w:rPr>
            <w:noProof/>
            <w:webHidden/>
          </w:rPr>
          <w:t>190</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65" w:history="1">
        <w:r w:rsidRPr="00DF6938">
          <w:rPr>
            <w:rStyle w:val="Hipervnculo"/>
            <w:noProof/>
          </w:rPr>
          <w:t>3.6.</w:t>
        </w:r>
        <w:r>
          <w:rPr>
            <w:rFonts w:asciiTheme="minorHAnsi" w:eastAsiaTheme="minorEastAsia" w:hAnsiTheme="minorHAnsi" w:cstheme="minorBidi"/>
            <w:noProof/>
            <w:sz w:val="22"/>
            <w:szCs w:val="22"/>
            <w:lang w:val="es-CO" w:eastAsia="es-CO"/>
          </w:rPr>
          <w:tab/>
        </w:r>
        <w:r w:rsidRPr="00DF6938">
          <w:rPr>
            <w:rStyle w:val="Hipervnculo"/>
            <w:noProof/>
          </w:rPr>
          <w:t>Desaparición forzada</w:t>
        </w:r>
        <w:r>
          <w:rPr>
            <w:noProof/>
            <w:webHidden/>
          </w:rPr>
          <w:tab/>
        </w:r>
        <w:r>
          <w:rPr>
            <w:noProof/>
            <w:webHidden/>
          </w:rPr>
          <w:fldChar w:fldCharType="begin"/>
        </w:r>
        <w:r>
          <w:rPr>
            <w:noProof/>
            <w:webHidden/>
          </w:rPr>
          <w:instrText xml:space="preserve"> PAGEREF _Toc112399565 \h </w:instrText>
        </w:r>
        <w:r>
          <w:rPr>
            <w:noProof/>
            <w:webHidden/>
          </w:rPr>
        </w:r>
        <w:r>
          <w:rPr>
            <w:noProof/>
            <w:webHidden/>
          </w:rPr>
          <w:fldChar w:fldCharType="separate"/>
        </w:r>
        <w:r>
          <w:rPr>
            <w:noProof/>
            <w:webHidden/>
          </w:rPr>
          <w:t>191</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66" w:history="1">
        <w:r w:rsidRPr="00DF6938">
          <w:rPr>
            <w:rStyle w:val="Hipervnculo"/>
            <w:noProof/>
          </w:rPr>
          <w:t>3.7.</w:t>
        </w:r>
        <w:r>
          <w:rPr>
            <w:rFonts w:asciiTheme="minorHAnsi" w:eastAsiaTheme="minorEastAsia" w:hAnsiTheme="minorHAnsi" w:cstheme="minorBidi"/>
            <w:noProof/>
            <w:sz w:val="22"/>
            <w:szCs w:val="22"/>
            <w:lang w:val="es-CO" w:eastAsia="es-CO"/>
          </w:rPr>
          <w:tab/>
        </w:r>
        <w:r w:rsidRPr="00DF6938">
          <w:rPr>
            <w:rStyle w:val="Hipervnculo"/>
            <w:noProof/>
          </w:rPr>
          <w:t>La libertad personal vulnerada: las detenciones arbitrarias</w:t>
        </w:r>
        <w:r>
          <w:rPr>
            <w:noProof/>
            <w:webHidden/>
          </w:rPr>
          <w:tab/>
        </w:r>
        <w:r>
          <w:rPr>
            <w:noProof/>
            <w:webHidden/>
          </w:rPr>
          <w:fldChar w:fldCharType="begin"/>
        </w:r>
        <w:r>
          <w:rPr>
            <w:noProof/>
            <w:webHidden/>
          </w:rPr>
          <w:instrText xml:space="preserve"> PAGEREF _Toc112399566 \h </w:instrText>
        </w:r>
        <w:r>
          <w:rPr>
            <w:noProof/>
            <w:webHidden/>
          </w:rPr>
        </w:r>
        <w:r>
          <w:rPr>
            <w:noProof/>
            <w:webHidden/>
          </w:rPr>
          <w:fldChar w:fldCharType="separate"/>
        </w:r>
        <w:r>
          <w:rPr>
            <w:noProof/>
            <w:webHidden/>
          </w:rPr>
          <w:t>197</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67" w:history="1">
        <w:r w:rsidRPr="00DF6938">
          <w:rPr>
            <w:rStyle w:val="Hipervnculo"/>
            <w:noProof/>
          </w:rPr>
          <w:t>3.8.</w:t>
        </w:r>
        <w:r>
          <w:rPr>
            <w:rFonts w:asciiTheme="minorHAnsi" w:eastAsiaTheme="minorEastAsia" w:hAnsiTheme="minorHAnsi" w:cstheme="minorBidi"/>
            <w:noProof/>
            <w:sz w:val="22"/>
            <w:szCs w:val="22"/>
            <w:lang w:val="es-CO" w:eastAsia="es-CO"/>
          </w:rPr>
          <w:tab/>
        </w:r>
        <w:r w:rsidRPr="00DF6938">
          <w:rPr>
            <w:rStyle w:val="Hipervnculo"/>
            <w:noProof/>
          </w:rPr>
          <w:t>El secuestro, la extorsión y el pillaje</w:t>
        </w:r>
        <w:r>
          <w:rPr>
            <w:noProof/>
            <w:webHidden/>
          </w:rPr>
          <w:tab/>
        </w:r>
        <w:r>
          <w:rPr>
            <w:noProof/>
            <w:webHidden/>
          </w:rPr>
          <w:fldChar w:fldCharType="begin"/>
        </w:r>
        <w:r>
          <w:rPr>
            <w:noProof/>
            <w:webHidden/>
          </w:rPr>
          <w:instrText xml:space="preserve"> PAGEREF _Toc112399567 \h </w:instrText>
        </w:r>
        <w:r>
          <w:rPr>
            <w:noProof/>
            <w:webHidden/>
          </w:rPr>
        </w:r>
        <w:r>
          <w:rPr>
            <w:noProof/>
            <w:webHidden/>
          </w:rPr>
          <w:fldChar w:fldCharType="separate"/>
        </w:r>
        <w:r>
          <w:rPr>
            <w:noProof/>
            <w:webHidden/>
          </w:rPr>
          <w:t>200</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68" w:history="1">
        <w:r w:rsidRPr="00DF6938">
          <w:rPr>
            <w:rStyle w:val="Hipervnculo"/>
            <w:noProof/>
          </w:rPr>
          <w:t>3.9.</w:t>
        </w:r>
        <w:r>
          <w:rPr>
            <w:rFonts w:asciiTheme="minorHAnsi" w:eastAsiaTheme="minorEastAsia" w:hAnsiTheme="minorHAnsi" w:cstheme="minorBidi"/>
            <w:noProof/>
            <w:sz w:val="22"/>
            <w:szCs w:val="22"/>
            <w:lang w:val="es-CO" w:eastAsia="es-CO"/>
          </w:rPr>
          <w:tab/>
        </w:r>
        <w:r w:rsidRPr="00DF6938">
          <w:rPr>
            <w:rStyle w:val="Hipervnculo"/>
            <w:noProof/>
          </w:rPr>
          <w:t>Extorsión</w:t>
        </w:r>
        <w:r>
          <w:rPr>
            <w:noProof/>
            <w:webHidden/>
          </w:rPr>
          <w:tab/>
        </w:r>
        <w:r>
          <w:rPr>
            <w:noProof/>
            <w:webHidden/>
          </w:rPr>
          <w:fldChar w:fldCharType="begin"/>
        </w:r>
        <w:r>
          <w:rPr>
            <w:noProof/>
            <w:webHidden/>
          </w:rPr>
          <w:instrText xml:space="preserve"> PAGEREF _Toc112399568 \h </w:instrText>
        </w:r>
        <w:r>
          <w:rPr>
            <w:noProof/>
            <w:webHidden/>
          </w:rPr>
        </w:r>
        <w:r>
          <w:rPr>
            <w:noProof/>
            <w:webHidden/>
          </w:rPr>
          <w:fldChar w:fldCharType="separate"/>
        </w:r>
        <w:r>
          <w:rPr>
            <w:noProof/>
            <w:webHidden/>
          </w:rPr>
          <w:t>205</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69" w:history="1">
        <w:r w:rsidRPr="00DF6938">
          <w:rPr>
            <w:rStyle w:val="Hipervnculo"/>
            <w:noProof/>
          </w:rPr>
          <w:t>3.10.</w:t>
        </w:r>
        <w:r>
          <w:rPr>
            <w:rFonts w:asciiTheme="minorHAnsi" w:eastAsiaTheme="minorEastAsia" w:hAnsiTheme="minorHAnsi" w:cstheme="minorBidi"/>
            <w:noProof/>
            <w:sz w:val="22"/>
            <w:szCs w:val="22"/>
            <w:lang w:val="es-CO" w:eastAsia="es-CO"/>
          </w:rPr>
          <w:tab/>
        </w:r>
        <w:r w:rsidRPr="00DF6938">
          <w:rPr>
            <w:rStyle w:val="Hipervnculo"/>
            <w:noProof/>
          </w:rPr>
          <w:t>Pillaje</w:t>
        </w:r>
        <w:r>
          <w:rPr>
            <w:noProof/>
            <w:webHidden/>
          </w:rPr>
          <w:tab/>
        </w:r>
        <w:r>
          <w:rPr>
            <w:noProof/>
            <w:webHidden/>
          </w:rPr>
          <w:fldChar w:fldCharType="begin"/>
        </w:r>
        <w:r>
          <w:rPr>
            <w:noProof/>
            <w:webHidden/>
          </w:rPr>
          <w:instrText xml:space="preserve"> PAGEREF _Toc112399569 \h </w:instrText>
        </w:r>
        <w:r>
          <w:rPr>
            <w:noProof/>
            <w:webHidden/>
          </w:rPr>
        </w:r>
        <w:r>
          <w:rPr>
            <w:noProof/>
            <w:webHidden/>
          </w:rPr>
          <w:fldChar w:fldCharType="separate"/>
        </w:r>
        <w:r>
          <w:rPr>
            <w:noProof/>
            <w:webHidden/>
          </w:rPr>
          <w:t>207</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70" w:history="1">
        <w:r w:rsidRPr="00DF6938">
          <w:rPr>
            <w:rStyle w:val="Hipervnculo"/>
            <w:noProof/>
          </w:rPr>
          <w:t>3.11.</w:t>
        </w:r>
        <w:r>
          <w:rPr>
            <w:rFonts w:asciiTheme="minorHAnsi" w:eastAsiaTheme="minorEastAsia" w:hAnsiTheme="minorHAnsi" w:cstheme="minorBidi"/>
            <w:noProof/>
            <w:sz w:val="22"/>
            <w:szCs w:val="22"/>
            <w:lang w:val="es-CO" w:eastAsia="es-CO"/>
          </w:rPr>
          <w:tab/>
        </w:r>
        <w:r w:rsidRPr="00DF6938">
          <w:rPr>
            <w:rStyle w:val="Hipervnculo"/>
            <w:noProof/>
          </w:rPr>
          <w:t>Tortura</w:t>
        </w:r>
        <w:r>
          <w:rPr>
            <w:noProof/>
            <w:webHidden/>
          </w:rPr>
          <w:tab/>
        </w:r>
        <w:r>
          <w:rPr>
            <w:noProof/>
            <w:webHidden/>
          </w:rPr>
          <w:fldChar w:fldCharType="begin"/>
        </w:r>
        <w:r>
          <w:rPr>
            <w:noProof/>
            <w:webHidden/>
          </w:rPr>
          <w:instrText xml:space="preserve"> PAGEREF _Toc112399570 \h </w:instrText>
        </w:r>
        <w:r>
          <w:rPr>
            <w:noProof/>
            <w:webHidden/>
          </w:rPr>
        </w:r>
        <w:r>
          <w:rPr>
            <w:noProof/>
            <w:webHidden/>
          </w:rPr>
          <w:fldChar w:fldCharType="separate"/>
        </w:r>
        <w:r>
          <w:rPr>
            <w:noProof/>
            <w:webHidden/>
          </w:rPr>
          <w:t>210</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71" w:history="1">
        <w:r w:rsidRPr="00DF6938">
          <w:rPr>
            <w:rStyle w:val="Hipervnculo"/>
            <w:noProof/>
          </w:rPr>
          <w:t>3.12.</w:t>
        </w:r>
        <w:r>
          <w:rPr>
            <w:rFonts w:asciiTheme="minorHAnsi" w:eastAsiaTheme="minorEastAsia" w:hAnsiTheme="minorHAnsi" w:cstheme="minorBidi"/>
            <w:noProof/>
            <w:sz w:val="22"/>
            <w:szCs w:val="22"/>
            <w:lang w:val="es-CO" w:eastAsia="es-CO"/>
          </w:rPr>
          <w:tab/>
        </w:r>
        <w:r w:rsidRPr="00DF6938">
          <w:rPr>
            <w:rStyle w:val="Hipervnculo"/>
            <w:noProof/>
          </w:rPr>
          <w:t>Violencias</w:t>
        </w:r>
        <w:r w:rsidRPr="00DF6938">
          <w:rPr>
            <w:rStyle w:val="Hipervnculo"/>
            <w:noProof/>
            <w:spacing w:val="-2"/>
          </w:rPr>
          <w:t xml:space="preserve"> sexuales</w:t>
        </w:r>
        <w:r>
          <w:rPr>
            <w:noProof/>
            <w:webHidden/>
          </w:rPr>
          <w:tab/>
        </w:r>
        <w:r>
          <w:rPr>
            <w:noProof/>
            <w:webHidden/>
          </w:rPr>
          <w:fldChar w:fldCharType="begin"/>
        </w:r>
        <w:r>
          <w:rPr>
            <w:noProof/>
            <w:webHidden/>
          </w:rPr>
          <w:instrText xml:space="preserve"> PAGEREF _Toc112399571 \h </w:instrText>
        </w:r>
        <w:r>
          <w:rPr>
            <w:noProof/>
            <w:webHidden/>
          </w:rPr>
        </w:r>
        <w:r>
          <w:rPr>
            <w:noProof/>
            <w:webHidden/>
          </w:rPr>
          <w:fldChar w:fldCharType="separate"/>
        </w:r>
        <w:r>
          <w:rPr>
            <w:noProof/>
            <w:webHidden/>
          </w:rPr>
          <w:t>216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72" w:history="1">
        <w:r w:rsidRPr="00DF6938">
          <w:rPr>
            <w:rStyle w:val="Hipervnculo"/>
            <w:noProof/>
          </w:rPr>
          <w:t>3.13.</w:t>
        </w:r>
        <w:r>
          <w:rPr>
            <w:rFonts w:asciiTheme="minorHAnsi" w:eastAsiaTheme="minorEastAsia" w:hAnsiTheme="minorHAnsi" w:cstheme="minorBidi"/>
            <w:noProof/>
            <w:sz w:val="22"/>
            <w:szCs w:val="22"/>
            <w:lang w:val="es-CO" w:eastAsia="es-CO"/>
          </w:rPr>
          <w:tab/>
        </w:r>
        <w:r w:rsidRPr="00DF6938">
          <w:rPr>
            <w:rStyle w:val="Hipervnculo"/>
            <w:noProof/>
          </w:rPr>
          <w:t>Amenazas</w:t>
        </w:r>
        <w:r w:rsidRPr="00DF6938">
          <w:rPr>
            <w:rStyle w:val="Hipervnculo"/>
            <w:noProof/>
            <w:spacing w:val="-1"/>
          </w:rPr>
          <w:t xml:space="preserve"> </w:t>
        </w:r>
        <w:r w:rsidRPr="00DF6938">
          <w:rPr>
            <w:rStyle w:val="Hipervnculo"/>
            <w:noProof/>
          </w:rPr>
          <w:t>al</w:t>
        </w:r>
        <w:r w:rsidRPr="00DF6938">
          <w:rPr>
            <w:rStyle w:val="Hipervnculo"/>
            <w:noProof/>
            <w:spacing w:val="-1"/>
          </w:rPr>
          <w:t xml:space="preserve"> </w:t>
        </w:r>
        <w:r w:rsidRPr="00DF6938">
          <w:rPr>
            <w:rStyle w:val="Hipervnculo"/>
            <w:noProof/>
          </w:rPr>
          <w:t>derecho</w:t>
        </w:r>
        <w:r w:rsidRPr="00DF6938">
          <w:rPr>
            <w:rStyle w:val="Hipervnculo"/>
            <w:noProof/>
            <w:spacing w:val="-1"/>
          </w:rPr>
          <w:t xml:space="preserve"> </w:t>
        </w:r>
        <w:r w:rsidRPr="00DF6938">
          <w:rPr>
            <w:rStyle w:val="Hipervnculo"/>
            <w:noProof/>
          </w:rPr>
          <w:t>a</w:t>
        </w:r>
        <w:r w:rsidRPr="00DF6938">
          <w:rPr>
            <w:rStyle w:val="Hipervnculo"/>
            <w:noProof/>
            <w:spacing w:val="-1"/>
          </w:rPr>
          <w:t xml:space="preserve"> </w:t>
        </w:r>
        <w:r w:rsidRPr="00DF6938">
          <w:rPr>
            <w:rStyle w:val="Hipervnculo"/>
            <w:noProof/>
          </w:rPr>
          <w:t>la</w:t>
        </w:r>
        <w:r w:rsidRPr="00DF6938">
          <w:rPr>
            <w:rStyle w:val="Hipervnculo"/>
            <w:noProof/>
            <w:spacing w:val="-1"/>
          </w:rPr>
          <w:t xml:space="preserve"> </w:t>
        </w:r>
        <w:r w:rsidRPr="00DF6938">
          <w:rPr>
            <w:rStyle w:val="Hipervnculo"/>
            <w:noProof/>
            <w:spacing w:val="-4"/>
          </w:rPr>
          <w:t>vida</w:t>
        </w:r>
        <w:r>
          <w:rPr>
            <w:noProof/>
            <w:webHidden/>
          </w:rPr>
          <w:tab/>
        </w:r>
        <w:r>
          <w:rPr>
            <w:noProof/>
            <w:webHidden/>
          </w:rPr>
          <w:fldChar w:fldCharType="begin"/>
        </w:r>
        <w:r>
          <w:rPr>
            <w:noProof/>
            <w:webHidden/>
          </w:rPr>
          <w:instrText xml:space="preserve"> PAGEREF _Toc112399572 \h </w:instrText>
        </w:r>
        <w:r>
          <w:rPr>
            <w:noProof/>
            <w:webHidden/>
          </w:rPr>
        </w:r>
        <w:r>
          <w:rPr>
            <w:noProof/>
            <w:webHidden/>
          </w:rPr>
          <w:fldChar w:fldCharType="separate"/>
        </w:r>
        <w:r>
          <w:rPr>
            <w:noProof/>
            <w:webHidden/>
          </w:rPr>
          <w:t>220</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73" w:history="1">
        <w:r w:rsidRPr="00DF6938">
          <w:rPr>
            <w:rStyle w:val="Hipervnculo"/>
            <w:noProof/>
          </w:rPr>
          <w:t>3.14.</w:t>
        </w:r>
        <w:r>
          <w:rPr>
            <w:rFonts w:asciiTheme="minorHAnsi" w:eastAsiaTheme="minorEastAsia" w:hAnsiTheme="minorHAnsi" w:cstheme="minorBidi"/>
            <w:noProof/>
            <w:sz w:val="22"/>
            <w:szCs w:val="22"/>
            <w:lang w:val="es-CO" w:eastAsia="es-CO"/>
          </w:rPr>
          <w:tab/>
        </w:r>
        <w:r w:rsidRPr="00DF6938">
          <w:rPr>
            <w:rStyle w:val="Hipervnculo"/>
            <w:noProof/>
          </w:rPr>
          <w:t>Reclutamiento</w:t>
        </w:r>
        <w:r w:rsidRPr="00DF6938">
          <w:rPr>
            <w:rStyle w:val="Hipervnculo"/>
            <w:noProof/>
            <w:spacing w:val="-4"/>
          </w:rPr>
          <w:t xml:space="preserve"> </w:t>
        </w:r>
        <w:r w:rsidRPr="00DF6938">
          <w:rPr>
            <w:rStyle w:val="Hipervnculo"/>
            <w:noProof/>
          </w:rPr>
          <w:t>de</w:t>
        </w:r>
        <w:r w:rsidRPr="00DF6938">
          <w:rPr>
            <w:rStyle w:val="Hipervnculo"/>
            <w:noProof/>
            <w:spacing w:val="-3"/>
          </w:rPr>
          <w:t xml:space="preserve"> </w:t>
        </w:r>
        <w:r w:rsidRPr="00DF6938">
          <w:rPr>
            <w:rStyle w:val="Hipervnculo"/>
            <w:noProof/>
          </w:rPr>
          <w:t>niños,</w:t>
        </w:r>
        <w:r w:rsidRPr="00DF6938">
          <w:rPr>
            <w:rStyle w:val="Hipervnculo"/>
            <w:noProof/>
            <w:spacing w:val="-3"/>
          </w:rPr>
          <w:t xml:space="preserve"> </w:t>
        </w:r>
        <w:r w:rsidRPr="00DF6938">
          <w:rPr>
            <w:rStyle w:val="Hipervnculo"/>
            <w:noProof/>
          </w:rPr>
          <w:t>niñas</w:t>
        </w:r>
        <w:r w:rsidRPr="00DF6938">
          <w:rPr>
            <w:rStyle w:val="Hipervnculo"/>
            <w:noProof/>
            <w:spacing w:val="-2"/>
          </w:rPr>
          <w:t xml:space="preserve"> </w:t>
        </w:r>
        <w:r w:rsidRPr="00DF6938">
          <w:rPr>
            <w:rStyle w:val="Hipervnculo"/>
            <w:noProof/>
          </w:rPr>
          <w:t>y</w:t>
        </w:r>
        <w:r w:rsidRPr="00DF6938">
          <w:rPr>
            <w:rStyle w:val="Hipervnculo"/>
            <w:noProof/>
            <w:spacing w:val="-2"/>
          </w:rPr>
          <w:t xml:space="preserve"> </w:t>
        </w:r>
        <w:r w:rsidRPr="00DF6938">
          <w:rPr>
            <w:rStyle w:val="Hipervnculo"/>
            <w:noProof/>
          </w:rPr>
          <w:t>adolescentes</w:t>
        </w:r>
        <w:r w:rsidRPr="00DF6938">
          <w:rPr>
            <w:rStyle w:val="Hipervnculo"/>
            <w:noProof/>
            <w:spacing w:val="-2"/>
          </w:rPr>
          <w:t xml:space="preserve"> </w:t>
        </w:r>
        <w:r w:rsidRPr="00DF6938">
          <w:rPr>
            <w:rStyle w:val="Hipervnculo"/>
            <w:noProof/>
          </w:rPr>
          <w:t>y</w:t>
        </w:r>
        <w:r w:rsidRPr="00DF6938">
          <w:rPr>
            <w:rStyle w:val="Hipervnculo"/>
            <w:noProof/>
            <w:spacing w:val="-2"/>
          </w:rPr>
          <w:t xml:space="preserve"> </w:t>
        </w:r>
        <w:r w:rsidRPr="00DF6938">
          <w:rPr>
            <w:rStyle w:val="Hipervnculo"/>
            <w:noProof/>
          </w:rPr>
          <w:t>trabajo</w:t>
        </w:r>
        <w:r w:rsidRPr="00DF6938">
          <w:rPr>
            <w:rStyle w:val="Hipervnculo"/>
            <w:noProof/>
            <w:spacing w:val="-2"/>
          </w:rPr>
          <w:t xml:space="preserve"> forzoso</w:t>
        </w:r>
        <w:r>
          <w:rPr>
            <w:noProof/>
            <w:webHidden/>
          </w:rPr>
          <w:tab/>
        </w:r>
        <w:r>
          <w:rPr>
            <w:noProof/>
            <w:webHidden/>
          </w:rPr>
          <w:fldChar w:fldCharType="begin"/>
        </w:r>
        <w:r>
          <w:rPr>
            <w:noProof/>
            <w:webHidden/>
          </w:rPr>
          <w:instrText xml:space="preserve"> PAGEREF _Toc112399573 \h </w:instrText>
        </w:r>
        <w:r>
          <w:rPr>
            <w:noProof/>
            <w:webHidden/>
          </w:rPr>
        </w:r>
        <w:r>
          <w:rPr>
            <w:noProof/>
            <w:webHidden/>
          </w:rPr>
          <w:fldChar w:fldCharType="separate"/>
        </w:r>
        <w:r>
          <w:rPr>
            <w:noProof/>
            <w:webHidden/>
          </w:rPr>
          <w:t>224</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74" w:history="1">
        <w:r w:rsidRPr="00DF6938">
          <w:rPr>
            <w:rStyle w:val="Hipervnculo"/>
            <w:noProof/>
          </w:rPr>
          <w:t>3.15.</w:t>
        </w:r>
        <w:r>
          <w:rPr>
            <w:rFonts w:asciiTheme="minorHAnsi" w:eastAsiaTheme="minorEastAsia" w:hAnsiTheme="minorHAnsi" w:cstheme="minorBidi"/>
            <w:noProof/>
            <w:sz w:val="22"/>
            <w:szCs w:val="22"/>
            <w:lang w:val="es-CO" w:eastAsia="es-CO"/>
          </w:rPr>
          <w:tab/>
        </w:r>
        <w:r w:rsidRPr="00DF6938">
          <w:rPr>
            <w:rStyle w:val="Hipervnculo"/>
            <w:noProof/>
          </w:rPr>
          <w:t>Trabajo</w:t>
        </w:r>
        <w:r w:rsidRPr="00DF6938">
          <w:rPr>
            <w:rStyle w:val="Hipervnculo"/>
            <w:noProof/>
            <w:spacing w:val="-2"/>
          </w:rPr>
          <w:t xml:space="preserve"> forzado</w:t>
        </w:r>
        <w:r>
          <w:rPr>
            <w:noProof/>
            <w:webHidden/>
          </w:rPr>
          <w:tab/>
        </w:r>
        <w:r>
          <w:rPr>
            <w:noProof/>
            <w:webHidden/>
          </w:rPr>
          <w:fldChar w:fldCharType="begin"/>
        </w:r>
        <w:r>
          <w:rPr>
            <w:noProof/>
            <w:webHidden/>
          </w:rPr>
          <w:instrText xml:space="preserve"> PAGEREF _Toc112399574 \h </w:instrText>
        </w:r>
        <w:r>
          <w:rPr>
            <w:noProof/>
            <w:webHidden/>
          </w:rPr>
        </w:r>
        <w:r>
          <w:rPr>
            <w:noProof/>
            <w:webHidden/>
          </w:rPr>
          <w:fldChar w:fldCharType="separate"/>
        </w:r>
        <w:r>
          <w:rPr>
            <w:noProof/>
            <w:webHidden/>
          </w:rPr>
          <w:t>230</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75" w:history="1">
        <w:r w:rsidRPr="00DF6938">
          <w:rPr>
            <w:rStyle w:val="Hipervnculo"/>
            <w:noProof/>
          </w:rPr>
          <w:t>3.16.</w:t>
        </w:r>
        <w:r>
          <w:rPr>
            <w:rFonts w:asciiTheme="minorHAnsi" w:eastAsiaTheme="minorEastAsia" w:hAnsiTheme="minorHAnsi" w:cstheme="minorBidi"/>
            <w:noProof/>
            <w:sz w:val="22"/>
            <w:szCs w:val="22"/>
            <w:lang w:val="es-CO" w:eastAsia="es-CO"/>
          </w:rPr>
          <w:tab/>
        </w:r>
        <w:r w:rsidRPr="00DF6938">
          <w:rPr>
            <w:rStyle w:val="Hipervnculo"/>
            <w:noProof/>
          </w:rPr>
          <w:t>La</w:t>
        </w:r>
        <w:r w:rsidRPr="00DF6938">
          <w:rPr>
            <w:rStyle w:val="Hipervnculo"/>
            <w:noProof/>
            <w:spacing w:val="-5"/>
          </w:rPr>
          <w:t xml:space="preserve"> </w:t>
        </w:r>
        <w:r w:rsidRPr="00DF6938">
          <w:rPr>
            <w:rStyle w:val="Hipervnculo"/>
            <w:noProof/>
          </w:rPr>
          <w:t>violencia</w:t>
        </w:r>
        <w:r w:rsidRPr="00DF6938">
          <w:rPr>
            <w:rStyle w:val="Hipervnculo"/>
            <w:noProof/>
            <w:spacing w:val="-4"/>
          </w:rPr>
          <w:t xml:space="preserve"> </w:t>
        </w:r>
        <w:r w:rsidRPr="00DF6938">
          <w:rPr>
            <w:rStyle w:val="Hipervnculo"/>
            <w:noProof/>
          </w:rPr>
          <w:t>indiscriminada:</w:t>
        </w:r>
        <w:r w:rsidRPr="00DF6938">
          <w:rPr>
            <w:rStyle w:val="Hipervnculo"/>
            <w:noProof/>
            <w:spacing w:val="-3"/>
          </w:rPr>
          <w:t xml:space="preserve"> </w:t>
        </w:r>
        <w:r w:rsidRPr="00DF6938">
          <w:rPr>
            <w:rStyle w:val="Hipervnculo"/>
            <w:noProof/>
          </w:rPr>
          <w:t>los</w:t>
        </w:r>
        <w:r w:rsidRPr="00DF6938">
          <w:rPr>
            <w:rStyle w:val="Hipervnculo"/>
            <w:noProof/>
            <w:spacing w:val="-2"/>
          </w:rPr>
          <w:t xml:space="preserve"> </w:t>
        </w:r>
        <w:r w:rsidRPr="00DF6938">
          <w:rPr>
            <w:rStyle w:val="Hipervnculo"/>
            <w:noProof/>
          </w:rPr>
          <w:t>ataques</w:t>
        </w:r>
        <w:r w:rsidRPr="00DF6938">
          <w:rPr>
            <w:rStyle w:val="Hipervnculo"/>
            <w:noProof/>
            <w:spacing w:val="-3"/>
          </w:rPr>
          <w:t xml:space="preserve"> </w:t>
        </w:r>
        <w:r w:rsidRPr="00DF6938">
          <w:rPr>
            <w:rStyle w:val="Hipervnculo"/>
            <w:noProof/>
            <w:spacing w:val="-2"/>
          </w:rPr>
          <w:t>indiscriminados</w:t>
        </w:r>
        <w:r>
          <w:rPr>
            <w:noProof/>
            <w:webHidden/>
          </w:rPr>
          <w:tab/>
        </w:r>
        <w:r>
          <w:rPr>
            <w:noProof/>
            <w:webHidden/>
          </w:rPr>
          <w:fldChar w:fldCharType="begin"/>
        </w:r>
        <w:r>
          <w:rPr>
            <w:noProof/>
            <w:webHidden/>
          </w:rPr>
          <w:instrText xml:space="preserve"> PAGEREF _Toc112399575 \h </w:instrText>
        </w:r>
        <w:r>
          <w:rPr>
            <w:noProof/>
            <w:webHidden/>
          </w:rPr>
        </w:r>
        <w:r>
          <w:rPr>
            <w:noProof/>
            <w:webHidden/>
          </w:rPr>
          <w:fldChar w:fldCharType="separate"/>
        </w:r>
        <w:r>
          <w:rPr>
            <w:noProof/>
            <w:webHidden/>
          </w:rPr>
          <w:t>232</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76" w:history="1">
        <w:r w:rsidRPr="00DF6938">
          <w:rPr>
            <w:rStyle w:val="Hipervnculo"/>
            <w:noProof/>
          </w:rPr>
          <w:t>3.17.</w:t>
        </w:r>
        <w:r>
          <w:rPr>
            <w:rFonts w:asciiTheme="minorHAnsi" w:eastAsiaTheme="minorEastAsia" w:hAnsiTheme="minorHAnsi" w:cstheme="minorBidi"/>
            <w:noProof/>
            <w:sz w:val="22"/>
            <w:szCs w:val="22"/>
            <w:lang w:val="es-CO" w:eastAsia="es-CO"/>
          </w:rPr>
          <w:tab/>
        </w:r>
        <w:r w:rsidRPr="00DF6938">
          <w:rPr>
            <w:rStyle w:val="Hipervnculo"/>
            <w:noProof/>
          </w:rPr>
          <w:t>Ataques</w:t>
        </w:r>
        <w:r w:rsidRPr="00DF6938">
          <w:rPr>
            <w:rStyle w:val="Hipervnculo"/>
            <w:noProof/>
            <w:spacing w:val="-2"/>
          </w:rPr>
          <w:t xml:space="preserve"> </w:t>
        </w:r>
        <w:r w:rsidRPr="00DF6938">
          <w:rPr>
            <w:rStyle w:val="Hipervnculo"/>
            <w:noProof/>
          </w:rPr>
          <w:t>a</w:t>
        </w:r>
        <w:r w:rsidRPr="00DF6938">
          <w:rPr>
            <w:rStyle w:val="Hipervnculo"/>
            <w:noProof/>
            <w:spacing w:val="-3"/>
          </w:rPr>
          <w:t xml:space="preserve"> </w:t>
        </w:r>
        <w:r w:rsidRPr="00DF6938">
          <w:rPr>
            <w:rStyle w:val="Hipervnculo"/>
            <w:noProof/>
          </w:rPr>
          <w:t>bienes</w:t>
        </w:r>
        <w:r w:rsidRPr="00DF6938">
          <w:rPr>
            <w:rStyle w:val="Hipervnculo"/>
            <w:noProof/>
            <w:spacing w:val="-2"/>
          </w:rPr>
          <w:t xml:space="preserve"> protegidos</w:t>
        </w:r>
        <w:r>
          <w:rPr>
            <w:noProof/>
            <w:webHidden/>
          </w:rPr>
          <w:tab/>
        </w:r>
        <w:r>
          <w:rPr>
            <w:noProof/>
            <w:webHidden/>
          </w:rPr>
          <w:fldChar w:fldCharType="begin"/>
        </w:r>
        <w:r>
          <w:rPr>
            <w:noProof/>
            <w:webHidden/>
          </w:rPr>
          <w:instrText xml:space="preserve"> PAGEREF _Toc112399576 \h </w:instrText>
        </w:r>
        <w:r>
          <w:rPr>
            <w:noProof/>
            <w:webHidden/>
          </w:rPr>
        </w:r>
        <w:r>
          <w:rPr>
            <w:noProof/>
            <w:webHidden/>
          </w:rPr>
          <w:fldChar w:fldCharType="separate"/>
        </w:r>
        <w:r>
          <w:rPr>
            <w:noProof/>
            <w:webHidden/>
          </w:rPr>
          <w:t>239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77" w:history="1">
        <w:r w:rsidRPr="00DF6938">
          <w:rPr>
            <w:rStyle w:val="Hipervnculo"/>
            <w:noProof/>
          </w:rPr>
          <w:t>3.18.</w:t>
        </w:r>
        <w:r>
          <w:rPr>
            <w:rFonts w:asciiTheme="minorHAnsi" w:eastAsiaTheme="minorEastAsia" w:hAnsiTheme="minorHAnsi" w:cstheme="minorBidi"/>
            <w:noProof/>
            <w:sz w:val="22"/>
            <w:szCs w:val="22"/>
            <w:lang w:val="es-CO" w:eastAsia="es-CO"/>
          </w:rPr>
          <w:tab/>
        </w:r>
        <w:r w:rsidRPr="00DF6938">
          <w:rPr>
            <w:rStyle w:val="Hipervnculo"/>
            <w:noProof/>
          </w:rPr>
          <w:t>La libertad de residir, circular y poseer: el desplazamiento forzado, el confinamiento y el despojo</w:t>
        </w:r>
        <w:r>
          <w:rPr>
            <w:noProof/>
            <w:webHidden/>
          </w:rPr>
          <w:tab/>
        </w:r>
        <w:r>
          <w:rPr>
            <w:noProof/>
            <w:webHidden/>
          </w:rPr>
          <w:fldChar w:fldCharType="begin"/>
        </w:r>
        <w:r>
          <w:rPr>
            <w:noProof/>
            <w:webHidden/>
          </w:rPr>
          <w:instrText xml:space="preserve"> PAGEREF _Toc112399577 \h </w:instrText>
        </w:r>
        <w:r>
          <w:rPr>
            <w:noProof/>
            <w:webHidden/>
          </w:rPr>
        </w:r>
        <w:r>
          <w:rPr>
            <w:noProof/>
            <w:webHidden/>
          </w:rPr>
          <w:fldChar w:fldCharType="separate"/>
        </w:r>
        <w:r>
          <w:rPr>
            <w:noProof/>
            <w:webHidden/>
          </w:rPr>
          <w:t>242</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78" w:history="1">
        <w:r w:rsidRPr="00DF6938">
          <w:rPr>
            <w:rStyle w:val="Hipervnculo"/>
            <w:noProof/>
          </w:rPr>
          <w:t>3.19.</w:t>
        </w:r>
        <w:r>
          <w:rPr>
            <w:rFonts w:asciiTheme="minorHAnsi" w:eastAsiaTheme="minorEastAsia" w:hAnsiTheme="minorHAnsi" w:cstheme="minorBidi"/>
            <w:noProof/>
            <w:sz w:val="22"/>
            <w:szCs w:val="22"/>
            <w:lang w:val="es-CO" w:eastAsia="es-CO"/>
          </w:rPr>
          <w:tab/>
        </w:r>
        <w:r w:rsidRPr="00DF6938">
          <w:rPr>
            <w:rStyle w:val="Hipervnculo"/>
            <w:noProof/>
          </w:rPr>
          <w:t>Confinamiento</w:t>
        </w:r>
        <w:r>
          <w:rPr>
            <w:noProof/>
            <w:webHidden/>
          </w:rPr>
          <w:tab/>
        </w:r>
        <w:r>
          <w:rPr>
            <w:noProof/>
            <w:webHidden/>
          </w:rPr>
          <w:fldChar w:fldCharType="begin"/>
        </w:r>
        <w:r>
          <w:rPr>
            <w:noProof/>
            <w:webHidden/>
          </w:rPr>
          <w:instrText xml:space="preserve"> PAGEREF _Toc112399578 \h </w:instrText>
        </w:r>
        <w:r>
          <w:rPr>
            <w:noProof/>
            <w:webHidden/>
          </w:rPr>
        </w:r>
        <w:r>
          <w:rPr>
            <w:noProof/>
            <w:webHidden/>
          </w:rPr>
          <w:fldChar w:fldCharType="separate"/>
        </w:r>
        <w:r>
          <w:rPr>
            <w:noProof/>
            <w:webHidden/>
          </w:rPr>
          <w:t>248</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79" w:history="1">
        <w:r w:rsidRPr="00DF6938">
          <w:rPr>
            <w:rStyle w:val="Hipervnculo"/>
            <w:noProof/>
          </w:rPr>
          <w:t>3.20.</w:t>
        </w:r>
        <w:r>
          <w:rPr>
            <w:rFonts w:asciiTheme="minorHAnsi" w:eastAsiaTheme="minorEastAsia" w:hAnsiTheme="minorHAnsi" w:cstheme="minorBidi"/>
            <w:noProof/>
            <w:sz w:val="22"/>
            <w:szCs w:val="22"/>
            <w:lang w:val="es-CO" w:eastAsia="es-CO"/>
          </w:rPr>
          <w:tab/>
        </w:r>
        <w:r w:rsidRPr="00DF6938">
          <w:rPr>
            <w:rStyle w:val="Hipervnculo"/>
            <w:noProof/>
          </w:rPr>
          <w:t>Despojo</w:t>
        </w:r>
        <w:r w:rsidRPr="00DF6938">
          <w:rPr>
            <w:rStyle w:val="Hipervnculo"/>
            <w:noProof/>
            <w:spacing w:val="-2"/>
          </w:rPr>
          <w:t xml:space="preserve"> </w:t>
        </w:r>
        <w:r w:rsidRPr="00DF6938">
          <w:rPr>
            <w:rStyle w:val="Hipervnculo"/>
            <w:noProof/>
          </w:rPr>
          <w:t>de</w:t>
        </w:r>
        <w:r w:rsidRPr="00DF6938">
          <w:rPr>
            <w:rStyle w:val="Hipervnculo"/>
            <w:noProof/>
            <w:spacing w:val="-1"/>
          </w:rPr>
          <w:t xml:space="preserve"> </w:t>
        </w:r>
        <w:r w:rsidRPr="00DF6938">
          <w:rPr>
            <w:rStyle w:val="Hipervnculo"/>
            <w:noProof/>
            <w:spacing w:val="-2"/>
          </w:rPr>
          <w:t>tierras</w:t>
        </w:r>
        <w:r>
          <w:rPr>
            <w:noProof/>
            <w:webHidden/>
          </w:rPr>
          <w:tab/>
        </w:r>
        <w:r>
          <w:rPr>
            <w:noProof/>
            <w:webHidden/>
          </w:rPr>
          <w:fldChar w:fldCharType="begin"/>
        </w:r>
        <w:r>
          <w:rPr>
            <w:noProof/>
            <w:webHidden/>
          </w:rPr>
          <w:instrText xml:space="preserve"> PAGEREF _Toc112399579 \h </w:instrText>
        </w:r>
        <w:r>
          <w:rPr>
            <w:noProof/>
            <w:webHidden/>
          </w:rPr>
        </w:r>
        <w:r>
          <w:rPr>
            <w:noProof/>
            <w:webHidden/>
          </w:rPr>
          <w:fldChar w:fldCharType="separate"/>
        </w:r>
        <w:r>
          <w:rPr>
            <w:noProof/>
            <w:webHidden/>
          </w:rPr>
          <w:t>250</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80" w:history="1">
        <w:r w:rsidRPr="00DF6938">
          <w:rPr>
            <w:rStyle w:val="Hipervnculo"/>
            <w:noProof/>
          </w:rPr>
          <w:t>3.21.</w:t>
        </w:r>
        <w:r>
          <w:rPr>
            <w:rFonts w:asciiTheme="minorHAnsi" w:eastAsiaTheme="minorEastAsia" w:hAnsiTheme="minorHAnsi" w:cstheme="minorBidi"/>
            <w:noProof/>
            <w:sz w:val="22"/>
            <w:szCs w:val="22"/>
            <w:lang w:val="es-CO" w:eastAsia="es-CO"/>
          </w:rPr>
          <w:tab/>
        </w:r>
        <w:r w:rsidRPr="00DF6938">
          <w:rPr>
            <w:rStyle w:val="Hipervnculo"/>
            <w:noProof/>
          </w:rPr>
          <w:t>Responsabilidades en las violaciones de derechos humanos e infracciones al DIH en el conflicto armado</w:t>
        </w:r>
        <w:r>
          <w:rPr>
            <w:noProof/>
            <w:webHidden/>
          </w:rPr>
          <w:tab/>
        </w:r>
        <w:r>
          <w:rPr>
            <w:noProof/>
            <w:webHidden/>
          </w:rPr>
          <w:fldChar w:fldCharType="begin"/>
        </w:r>
        <w:r>
          <w:rPr>
            <w:noProof/>
            <w:webHidden/>
          </w:rPr>
          <w:instrText xml:space="preserve"> PAGEREF _Toc112399580 \h </w:instrText>
        </w:r>
        <w:r>
          <w:rPr>
            <w:noProof/>
            <w:webHidden/>
          </w:rPr>
        </w:r>
        <w:r>
          <w:rPr>
            <w:noProof/>
            <w:webHidden/>
          </w:rPr>
          <w:fldChar w:fldCharType="separate"/>
        </w:r>
        <w:r>
          <w:rPr>
            <w:noProof/>
            <w:webHidden/>
          </w:rPr>
          <w:t>256</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581" w:history="1">
        <w:r w:rsidRPr="00DF6938">
          <w:rPr>
            <w:rStyle w:val="Hipervnculo"/>
            <w:noProof/>
          </w:rPr>
          <w:t>4.</w:t>
        </w:r>
        <w:r>
          <w:rPr>
            <w:rFonts w:asciiTheme="minorHAnsi" w:eastAsiaTheme="minorEastAsia" w:hAnsiTheme="minorHAnsi" w:cstheme="minorBidi"/>
            <w:b w:val="0"/>
            <w:bCs w:val="0"/>
            <w:iCs w:val="0"/>
            <w:noProof/>
            <w:sz w:val="22"/>
            <w:lang w:val="es-CO" w:eastAsia="es-CO"/>
          </w:rPr>
          <w:tab/>
        </w:r>
        <w:r w:rsidRPr="00DF6938">
          <w:rPr>
            <w:rStyle w:val="Hipervnculo"/>
            <w:noProof/>
          </w:rPr>
          <w:t>INSURGENCIAS</w:t>
        </w:r>
        <w:r>
          <w:rPr>
            <w:noProof/>
            <w:webHidden/>
          </w:rPr>
          <w:tab/>
        </w:r>
        <w:r>
          <w:rPr>
            <w:noProof/>
            <w:webHidden/>
          </w:rPr>
          <w:fldChar w:fldCharType="begin"/>
        </w:r>
        <w:r>
          <w:rPr>
            <w:noProof/>
            <w:webHidden/>
          </w:rPr>
          <w:instrText xml:space="preserve"> PAGEREF _Toc112399581 \h </w:instrText>
        </w:r>
        <w:r>
          <w:rPr>
            <w:noProof/>
            <w:webHidden/>
          </w:rPr>
        </w:r>
        <w:r>
          <w:rPr>
            <w:noProof/>
            <w:webHidden/>
          </w:rPr>
          <w:fldChar w:fldCharType="separate"/>
        </w:r>
        <w:r>
          <w:rPr>
            <w:noProof/>
            <w:webHidden/>
          </w:rPr>
          <w:t>265</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82" w:history="1">
        <w:r w:rsidRPr="00DF6938">
          <w:rPr>
            <w:rStyle w:val="Hipervnculo"/>
            <w:noProof/>
          </w:rPr>
          <w:t>4.1.</w:t>
        </w:r>
        <w:r>
          <w:rPr>
            <w:rFonts w:asciiTheme="minorHAnsi" w:eastAsiaTheme="minorEastAsia" w:hAnsiTheme="minorHAnsi" w:cstheme="minorBidi"/>
            <w:noProof/>
            <w:sz w:val="22"/>
            <w:szCs w:val="22"/>
            <w:lang w:val="es-CO" w:eastAsia="es-CO"/>
          </w:rPr>
          <w:tab/>
        </w:r>
        <w:r w:rsidRPr="00DF6938">
          <w:rPr>
            <w:rStyle w:val="Hipervnculo"/>
            <w:noProof/>
          </w:rPr>
          <w:t>Contextos,</w:t>
        </w:r>
        <w:r w:rsidRPr="00DF6938">
          <w:rPr>
            <w:rStyle w:val="Hipervnculo"/>
            <w:noProof/>
            <w:spacing w:val="-6"/>
          </w:rPr>
          <w:t xml:space="preserve"> </w:t>
        </w:r>
        <w:r w:rsidRPr="00DF6938">
          <w:rPr>
            <w:rStyle w:val="Hipervnculo"/>
            <w:noProof/>
          </w:rPr>
          <w:t>transformaciones</w:t>
        </w:r>
        <w:r w:rsidRPr="00DF6938">
          <w:rPr>
            <w:rStyle w:val="Hipervnculo"/>
            <w:noProof/>
            <w:spacing w:val="-3"/>
          </w:rPr>
          <w:t xml:space="preserve"> </w:t>
        </w:r>
        <w:r w:rsidRPr="00DF6938">
          <w:rPr>
            <w:rStyle w:val="Hipervnculo"/>
            <w:noProof/>
          </w:rPr>
          <w:t>estratégicas</w:t>
        </w:r>
        <w:r w:rsidRPr="00DF6938">
          <w:rPr>
            <w:rStyle w:val="Hipervnculo"/>
            <w:noProof/>
            <w:spacing w:val="-5"/>
          </w:rPr>
          <w:t xml:space="preserve"> </w:t>
        </w:r>
        <w:r w:rsidRPr="00DF6938">
          <w:rPr>
            <w:rStyle w:val="Hipervnculo"/>
            <w:noProof/>
          </w:rPr>
          <w:t>e</w:t>
        </w:r>
        <w:r w:rsidRPr="00DF6938">
          <w:rPr>
            <w:rStyle w:val="Hipervnculo"/>
            <w:noProof/>
            <w:spacing w:val="-2"/>
          </w:rPr>
          <w:t xml:space="preserve"> </w:t>
        </w:r>
        <w:r w:rsidRPr="00DF6938">
          <w:rPr>
            <w:rStyle w:val="Hipervnculo"/>
            <w:noProof/>
          </w:rPr>
          <w:t>intensificación</w:t>
        </w:r>
        <w:r w:rsidRPr="00DF6938">
          <w:rPr>
            <w:rStyle w:val="Hipervnculo"/>
            <w:noProof/>
            <w:spacing w:val="-4"/>
          </w:rPr>
          <w:t xml:space="preserve"> </w:t>
        </w:r>
        <w:r w:rsidRPr="00DF6938">
          <w:rPr>
            <w:rStyle w:val="Hipervnculo"/>
            <w:noProof/>
          </w:rPr>
          <w:t>de</w:t>
        </w:r>
        <w:r w:rsidRPr="00DF6938">
          <w:rPr>
            <w:rStyle w:val="Hipervnculo"/>
            <w:noProof/>
            <w:spacing w:val="-2"/>
          </w:rPr>
          <w:t xml:space="preserve"> </w:t>
        </w:r>
        <w:r w:rsidRPr="00DF6938">
          <w:rPr>
            <w:rStyle w:val="Hipervnculo"/>
            <w:noProof/>
          </w:rPr>
          <w:t>la</w:t>
        </w:r>
        <w:r w:rsidRPr="00DF6938">
          <w:rPr>
            <w:rStyle w:val="Hipervnculo"/>
            <w:noProof/>
            <w:spacing w:val="-2"/>
          </w:rPr>
          <w:t xml:space="preserve"> violencia</w:t>
        </w:r>
        <w:r>
          <w:rPr>
            <w:noProof/>
            <w:webHidden/>
          </w:rPr>
          <w:tab/>
        </w:r>
        <w:r>
          <w:rPr>
            <w:noProof/>
            <w:webHidden/>
          </w:rPr>
          <w:fldChar w:fldCharType="begin"/>
        </w:r>
        <w:r>
          <w:rPr>
            <w:noProof/>
            <w:webHidden/>
          </w:rPr>
          <w:instrText xml:space="preserve"> PAGEREF _Toc112399582 \h </w:instrText>
        </w:r>
        <w:r>
          <w:rPr>
            <w:noProof/>
            <w:webHidden/>
          </w:rPr>
        </w:r>
        <w:r>
          <w:rPr>
            <w:noProof/>
            <w:webHidden/>
          </w:rPr>
          <w:fldChar w:fldCharType="separate"/>
        </w:r>
        <w:r>
          <w:rPr>
            <w:noProof/>
            <w:webHidden/>
          </w:rPr>
          <w:t>272</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83" w:history="1">
        <w:r w:rsidRPr="00DF6938">
          <w:rPr>
            <w:rStyle w:val="Hipervnculo"/>
            <w:noProof/>
          </w:rPr>
          <w:t>4.2.</w:t>
        </w:r>
        <w:r>
          <w:rPr>
            <w:rFonts w:asciiTheme="minorHAnsi" w:eastAsiaTheme="minorEastAsia" w:hAnsiTheme="minorHAnsi" w:cstheme="minorBidi"/>
            <w:noProof/>
            <w:sz w:val="22"/>
            <w:szCs w:val="22"/>
            <w:lang w:val="es-CO" w:eastAsia="es-CO"/>
          </w:rPr>
          <w:tab/>
        </w:r>
        <w:r w:rsidRPr="00DF6938">
          <w:rPr>
            <w:rStyle w:val="Hipervnculo"/>
            <w:noProof/>
          </w:rPr>
          <w:t>El</w:t>
        </w:r>
        <w:r w:rsidRPr="00DF6938">
          <w:rPr>
            <w:rStyle w:val="Hipervnculo"/>
            <w:noProof/>
            <w:spacing w:val="-4"/>
          </w:rPr>
          <w:t xml:space="preserve"> </w:t>
        </w:r>
        <w:r w:rsidRPr="00DF6938">
          <w:rPr>
            <w:rStyle w:val="Hipervnculo"/>
            <w:noProof/>
          </w:rPr>
          <w:t>punto</w:t>
        </w:r>
        <w:r w:rsidRPr="00DF6938">
          <w:rPr>
            <w:rStyle w:val="Hipervnculo"/>
            <w:noProof/>
            <w:spacing w:val="-5"/>
          </w:rPr>
          <w:t xml:space="preserve"> </w:t>
        </w:r>
        <w:r w:rsidRPr="00DF6938">
          <w:rPr>
            <w:rStyle w:val="Hipervnculo"/>
            <w:noProof/>
          </w:rPr>
          <w:t>de</w:t>
        </w:r>
        <w:r w:rsidRPr="00DF6938">
          <w:rPr>
            <w:rStyle w:val="Hipervnculo"/>
            <w:noProof/>
            <w:spacing w:val="-4"/>
          </w:rPr>
          <w:t xml:space="preserve"> </w:t>
        </w:r>
        <w:r w:rsidRPr="00DF6938">
          <w:rPr>
            <w:rStyle w:val="Hipervnculo"/>
            <w:noProof/>
          </w:rPr>
          <w:t>no</w:t>
        </w:r>
        <w:r w:rsidRPr="00DF6938">
          <w:rPr>
            <w:rStyle w:val="Hipervnculo"/>
            <w:noProof/>
            <w:spacing w:val="-5"/>
          </w:rPr>
          <w:t xml:space="preserve"> </w:t>
        </w:r>
        <w:r w:rsidRPr="00DF6938">
          <w:rPr>
            <w:rStyle w:val="Hipervnculo"/>
            <w:noProof/>
          </w:rPr>
          <w:t>retorno:</w:t>
        </w:r>
        <w:r w:rsidRPr="00DF6938">
          <w:rPr>
            <w:rStyle w:val="Hipervnculo"/>
            <w:noProof/>
            <w:spacing w:val="-4"/>
          </w:rPr>
          <w:t xml:space="preserve"> </w:t>
        </w:r>
        <w:r w:rsidRPr="00DF6938">
          <w:rPr>
            <w:rStyle w:val="Hipervnculo"/>
            <w:noProof/>
          </w:rPr>
          <w:t>financiamiento</w:t>
        </w:r>
        <w:r w:rsidRPr="00DF6938">
          <w:rPr>
            <w:rStyle w:val="Hipervnculo"/>
            <w:noProof/>
            <w:spacing w:val="-5"/>
          </w:rPr>
          <w:t xml:space="preserve"> </w:t>
        </w:r>
        <w:r w:rsidRPr="00DF6938">
          <w:rPr>
            <w:rStyle w:val="Hipervnculo"/>
            <w:noProof/>
          </w:rPr>
          <w:t>de</w:t>
        </w:r>
        <w:r w:rsidRPr="00DF6938">
          <w:rPr>
            <w:rStyle w:val="Hipervnculo"/>
            <w:noProof/>
            <w:spacing w:val="-6"/>
          </w:rPr>
          <w:t xml:space="preserve"> </w:t>
        </w:r>
        <w:r w:rsidRPr="00DF6938">
          <w:rPr>
            <w:rStyle w:val="Hipervnculo"/>
            <w:noProof/>
          </w:rPr>
          <w:t>la</w:t>
        </w:r>
        <w:r w:rsidRPr="00DF6938">
          <w:rPr>
            <w:rStyle w:val="Hipervnculo"/>
            <w:noProof/>
            <w:spacing w:val="-5"/>
          </w:rPr>
          <w:t xml:space="preserve"> </w:t>
        </w:r>
        <w:r w:rsidRPr="00DF6938">
          <w:rPr>
            <w:rStyle w:val="Hipervnculo"/>
            <w:noProof/>
          </w:rPr>
          <w:t>guerra,</w:t>
        </w:r>
        <w:r w:rsidRPr="00DF6938">
          <w:rPr>
            <w:rStyle w:val="Hipervnculo"/>
            <w:noProof/>
            <w:spacing w:val="-5"/>
          </w:rPr>
          <w:t xml:space="preserve"> </w:t>
        </w:r>
        <w:r w:rsidRPr="00DF6938">
          <w:rPr>
            <w:rStyle w:val="Hipervnculo"/>
            <w:noProof/>
          </w:rPr>
          <w:t>control</w:t>
        </w:r>
        <w:r w:rsidRPr="00DF6938">
          <w:rPr>
            <w:rStyle w:val="Hipervnculo"/>
            <w:noProof/>
            <w:spacing w:val="-4"/>
          </w:rPr>
          <w:t xml:space="preserve"> </w:t>
        </w:r>
        <w:r w:rsidRPr="00DF6938">
          <w:rPr>
            <w:rStyle w:val="Hipervnculo"/>
            <w:noProof/>
          </w:rPr>
          <w:t>territorial</w:t>
        </w:r>
        <w:r w:rsidRPr="00DF6938">
          <w:rPr>
            <w:rStyle w:val="Hipervnculo"/>
            <w:noProof/>
            <w:spacing w:val="-4"/>
          </w:rPr>
          <w:t xml:space="preserve"> </w:t>
        </w:r>
        <w:r w:rsidRPr="00DF6938">
          <w:rPr>
            <w:rStyle w:val="Hipervnculo"/>
            <w:noProof/>
          </w:rPr>
          <w:t>y</w:t>
        </w:r>
        <w:r w:rsidRPr="00DF6938">
          <w:rPr>
            <w:rStyle w:val="Hipervnculo"/>
            <w:noProof/>
            <w:spacing w:val="-5"/>
          </w:rPr>
          <w:t xml:space="preserve"> </w:t>
        </w:r>
        <w:r w:rsidRPr="00DF6938">
          <w:rPr>
            <w:rStyle w:val="Hipervnculo"/>
            <w:noProof/>
          </w:rPr>
          <w:t>deterioro de las relaciones con la población civil</w:t>
        </w:r>
        <w:r>
          <w:rPr>
            <w:noProof/>
            <w:webHidden/>
          </w:rPr>
          <w:tab/>
        </w:r>
        <w:r>
          <w:rPr>
            <w:noProof/>
            <w:webHidden/>
          </w:rPr>
          <w:fldChar w:fldCharType="begin"/>
        </w:r>
        <w:r>
          <w:rPr>
            <w:noProof/>
            <w:webHidden/>
          </w:rPr>
          <w:instrText xml:space="preserve"> PAGEREF _Toc112399583 \h </w:instrText>
        </w:r>
        <w:r>
          <w:rPr>
            <w:noProof/>
            <w:webHidden/>
          </w:rPr>
        </w:r>
        <w:r>
          <w:rPr>
            <w:noProof/>
            <w:webHidden/>
          </w:rPr>
          <w:fldChar w:fldCharType="separate"/>
        </w:r>
        <w:r>
          <w:rPr>
            <w:noProof/>
            <w:webHidden/>
          </w:rPr>
          <w:t>286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84" w:history="1">
        <w:r w:rsidRPr="00DF6938">
          <w:rPr>
            <w:rStyle w:val="Hipervnculo"/>
            <w:noProof/>
          </w:rPr>
          <w:t>4.3.</w:t>
        </w:r>
        <w:r>
          <w:rPr>
            <w:rFonts w:asciiTheme="minorHAnsi" w:eastAsiaTheme="minorEastAsia" w:hAnsiTheme="minorHAnsi" w:cstheme="minorBidi"/>
            <w:noProof/>
            <w:sz w:val="22"/>
            <w:szCs w:val="22"/>
            <w:lang w:val="es-CO" w:eastAsia="es-CO"/>
          </w:rPr>
          <w:tab/>
        </w:r>
        <w:r w:rsidRPr="00DF6938">
          <w:rPr>
            <w:rStyle w:val="Hipervnculo"/>
            <w:noProof/>
          </w:rPr>
          <w:t>Infracciones</w:t>
        </w:r>
        <w:r w:rsidRPr="00DF6938">
          <w:rPr>
            <w:rStyle w:val="Hipervnculo"/>
            <w:noProof/>
            <w:spacing w:val="-1"/>
          </w:rPr>
          <w:t xml:space="preserve"> </w:t>
        </w:r>
        <w:r w:rsidRPr="00DF6938">
          <w:rPr>
            <w:rStyle w:val="Hipervnculo"/>
            <w:noProof/>
          </w:rPr>
          <w:t>graves</w:t>
        </w:r>
        <w:r w:rsidRPr="00DF6938">
          <w:rPr>
            <w:rStyle w:val="Hipervnculo"/>
            <w:noProof/>
            <w:spacing w:val="-1"/>
          </w:rPr>
          <w:t xml:space="preserve"> </w:t>
        </w:r>
        <w:r w:rsidRPr="00DF6938">
          <w:rPr>
            <w:rStyle w:val="Hipervnculo"/>
            <w:noProof/>
          </w:rPr>
          <w:t>al derecho</w:t>
        </w:r>
        <w:r w:rsidRPr="00DF6938">
          <w:rPr>
            <w:rStyle w:val="Hipervnculo"/>
            <w:noProof/>
            <w:spacing w:val="-2"/>
          </w:rPr>
          <w:t xml:space="preserve"> </w:t>
        </w:r>
        <w:r w:rsidRPr="00DF6938">
          <w:rPr>
            <w:rStyle w:val="Hipervnculo"/>
            <w:noProof/>
          </w:rPr>
          <w:t>internacional humanitario</w:t>
        </w:r>
        <w:r w:rsidRPr="00DF6938">
          <w:rPr>
            <w:rStyle w:val="Hipervnculo"/>
            <w:noProof/>
            <w:spacing w:val="-1"/>
          </w:rPr>
          <w:t xml:space="preserve"> </w:t>
        </w:r>
        <w:r w:rsidRPr="00DF6938">
          <w:rPr>
            <w:rStyle w:val="Hipervnculo"/>
            <w:noProof/>
          </w:rPr>
          <w:t>y</w:t>
        </w:r>
        <w:r w:rsidRPr="00DF6938">
          <w:rPr>
            <w:rStyle w:val="Hipervnculo"/>
            <w:noProof/>
            <w:spacing w:val="-1"/>
          </w:rPr>
          <w:t xml:space="preserve"> </w:t>
        </w:r>
        <w:r w:rsidRPr="00DF6938">
          <w:rPr>
            <w:rStyle w:val="Hipervnculo"/>
            <w:noProof/>
          </w:rPr>
          <w:t>responsabilidad</w:t>
        </w:r>
        <w:r w:rsidRPr="00DF6938">
          <w:rPr>
            <w:rStyle w:val="Hipervnculo"/>
            <w:noProof/>
            <w:spacing w:val="-2"/>
          </w:rPr>
          <w:t xml:space="preserve"> </w:t>
        </w:r>
        <w:r w:rsidRPr="00DF6938">
          <w:rPr>
            <w:rStyle w:val="Hipervnculo"/>
            <w:noProof/>
          </w:rPr>
          <w:t>de</w:t>
        </w:r>
        <w:r w:rsidRPr="00DF6938">
          <w:rPr>
            <w:rStyle w:val="Hipervnculo"/>
            <w:noProof/>
            <w:spacing w:val="-1"/>
          </w:rPr>
          <w:t xml:space="preserve"> </w:t>
        </w:r>
        <w:r w:rsidRPr="00DF6938">
          <w:rPr>
            <w:rStyle w:val="Hipervnculo"/>
            <w:noProof/>
          </w:rPr>
          <w:t>las insurgencias en la crisis humanitaria</w:t>
        </w:r>
        <w:r>
          <w:rPr>
            <w:noProof/>
            <w:webHidden/>
          </w:rPr>
          <w:tab/>
        </w:r>
        <w:r>
          <w:rPr>
            <w:noProof/>
            <w:webHidden/>
          </w:rPr>
          <w:fldChar w:fldCharType="begin"/>
        </w:r>
        <w:r>
          <w:rPr>
            <w:noProof/>
            <w:webHidden/>
          </w:rPr>
          <w:instrText xml:space="preserve"> PAGEREF _Toc112399584 \h </w:instrText>
        </w:r>
        <w:r>
          <w:rPr>
            <w:noProof/>
            <w:webHidden/>
          </w:rPr>
        </w:r>
        <w:r>
          <w:rPr>
            <w:noProof/>
            <w:webHidden/>
          </w:rPr>
          <w:fldChar w:fldCharType="separate"/>
        </w:r>
        <w:r>
          <w:rPr>
            <w:noProof/>
            <w:webHidden/>
          </w:rPr>
          <w:t>290</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85" w:history="1">
        <w:r w:rsidRPr="00DF6938">
          <w:rPr>
            <w:rStyle w:val="Hipervnculo"/>
            <w:noProof/>
          </w:rPr>
          <w:t>4.4.</w:t>
        </w:r>
        <w:r>
          <w:rPr>
            <w:rFonts w:asciiTheme="minorHAnsi" w:eastAsiaTheme="minorEastAsia" w:hAnsiTheme="minorHAnsi" w:cstheme="minorBidi"/>
            <w:noProof/>
            <w:sz w:val="22"/>
            <w:szCs w:val="22"/>
            <w:lang w:val="es-CO" w:eastAsia="es-CO"/>
          </w:rPr>
          <w:tab/>
        </w:r>
        <w:r w:rsidRPr="00DF6938">
          <w:rPr>
            <w:rStyle w:val="Hipervnculo"/>
            <w:noProof/>
          </w:rPr>
          <w:t>Órdenes</w:t>
        </w:r>
        <w:r w:rsidRPr="00DF6938">
          <w:rPr>
            <w:rStyle w:val="Hipervnculo"/>
            <w:noProof/>
            <w:spacing w:val="-4"/>
          </w:rPr>
          <w:t xml:space="preserve"> </w:t>
        </w:r>
        <w:r w:rsidRPr="00DF6938">
          <w:rPr>
            <w:rStyle w:val="Hipervnculo"/>
            <w:noProof/>
          </w:rPr>
          <w:t>violentos</w:t>
        </w:r>
        <w:r w:rsidRPr="00DF6938">
          <w:rPr>
            <w:rStyle w:val="Hipervnculo"/>
            <w:noProof/>
            <w:spacing w:val="-3"/>
          </w:rPr>
          <w:t xml:space="preserve"> </w:t>
        </w:r>
        <w:r w:rsidRPr="00DF6938">
          <w:rPr>
            <w:rStyle w:val="Hipervnculo"/>
            <w:noProof/>
          </w:rPr>
          <w:t>guerrilleros</w:t>
        </w:r>
        <w:r w:rsidRPr="00DF6938">
          <w:rPr>
            <w:rStyle w:val="Hipervnculo"/>
            <w:noProof/>
            <w:spacing w:val="-2"/>
          </w:rPr>
          <w:t xml:space="preserve"> </w:t>
        </w:r>
        <w:r w:rsidRPr="00DF6938">
          <w:rPr>
            <w:rStyle w:val="Hipervnculo"/>
            <w:noProof/>
          </w:rPr>
          <w:t>y</w:t>
        </w:r>
        <w:r w:rsidRPr="00DF6938">
          <w:rPr>
            <w:rStyle w:val="Hipervnculo"/>
            <w:noProof/>
            <w:spacing w:val="-2"/>
          </w:rPr>
          <w:t xml:space="preserve"> </w:t>
        </w:r>
        <w:r w:rsidRPr="00DF6938">
          <w:rPr>
            <w:rStyle w:val="Hipervnculo"/>
            <w:noProof/>
          </w:rPr>
          <w:t>relaciones</w:t>
        </w:r>
        <w:r w:rsidRPr="00DF6938">
          <w:rPr>
            <w:rStyle w:val="Hipervnculo"/>
            <w:noProof/>
            <w:spacing w:val="-2"/>
          </w:rPr>
          <w:t xml:space="preserve"> </w:t>
        </w:r>
        <w:r w:rsidRPr="00DF6938">
          <w:rPr>
            <w:rStyle w:val="Hipervnculo"/>
            <w:noProof/>
          </w:rPr>
          <w:t>con</w:t>
        </w:r>
        <w:r w:rsidRPr="00DF6938">
          <w:rPr>
            <w:rStyle w:val="Hipervnculo"/>
            <w:noProof/>
            <w:spacing w:val="-2"/>
          </w:rPr>
          <w:t xml:space="preserve"> </w:t>
        </w:r>
        <w:r w:rsidRPr="00DF6938">
          <w:rPr>
            <w:rStyle w:val="Hipervnculo"/>
            <w:noProof/>
          </w:rPr>
          <w:t>la</w:t>
        </w:r>
        <w:r w:rsidRPr="00DF6938">
          <w:rPr>
            <w:rStyle w:val="Hipervnculo"/>
            <w:noProof/>
            <w:spacing w:val="-2"/>
          </w:rPr>
          <w:t xml:space="preserve"> </w:t>
        </w:r>
        <w:r w:rsidRPr="00DF6938">
          <w:rPr>
            <w:rStyle w:val="Hipervnculo"/>
            <w:noProof/>
          </w:rPr>
          <w:t>población</w:t>
        </w:r>
        <w:r w:rsidRPr="00DF6938">
          <w:rPr>
            <w:rStyle w:val="Hipervnculo"/>
            <w:noProof/>
            <w:spacing w:val="-2"/>
          </w:rPr>
          <w:t xml:space="preserve"> civil</w:t>
        </w:r>
        <w:r>
          <w:rPr>
            <w:noProof/>
            <w:webHidden/>
          </w:rPr>
          <w:tab/>
        </w:r>
        <w:r>
          <w:rPr>
            <w:noProof/>
            <w:webHidden/>
          </w:rPr>
          <w:fldChar w:fldCharType="begin"/>
        </w:r>
        <w:r>
          <w:rPr>
            <w:noProof/>
            <w:webHidden/>
          </w:rPr>
          <w:instrText xml:space="preserve"> PAGEREF _Toc112399585 \h </w:instrText>
        </w:r>
        <w:r>
          <w:rPr>
            <w:noProof/>
            <w:webHidden/>
          </w:rPr>
        </w:r>
        <w:r>
          <w:rPr>
            <w:noProof/>
            <w:webHidden/>
          </w:rPr>
          <w:fldChar w:fldCharType="separate"/>
        </w:r>
        <w:r>
          <w:rPr>
            <w:noProof/>
            <w:webHidden/>
          </w:rPr>
          <w:t>305</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86" w:history="1">
        <w:r w:rsidRPr="00DF6938">
          <w:rPr>
            <w:rStyle w:val="Hipervnculo"/>
            <w:noProof/>
          </w:rPr>
          <w:t>4.5.</w:t>
        </w:r>
        <w:r>
          <w:rPr>
            <w:rFonts w:asciiTheme="minorHAnsi" w:eastAsiaTheme="minorEastAsia" w:hAnsiTheme="minorHAnsi" w:cstheme="minorBidi"/>
            <w:noProof/>
            <w:sz w:val="22"/>
            <w:szCs w:val="22"/>
            <w:lang w:val="es-CO" w:eastAsia="es-CO"/>
          </w:rPr>
          <w:tab/>
        </w:r>
        <w:r w:rsidRPr="00DF6938">
          <w:rPr>
            <w:rStyle w:val="Hipervnculo"/>
            <w:noProof/>
          </w:rPr>
          <w:t>Entramados</w:t>
        </w:r>
        <w:r w:rsidRPr="00DF6938">
          <w:rPr>
            <w:rStyle w:val="Hipervnculo"/>
            <w:noProof/>
            <w:spacing w:val="-5"/>
          </w:rPr>
          <w:t xml:space="preserve"> </w:t>
        </w:r>
        <w:r w:rsidRPr="00DF6938">
          <w:rPr>
            <w:rStyle w:val="Hipervnculo"/>
            <w:noProof/>
          </w:rPr>
          <w:t>guerrilleros,</w:t>
        </w:r>
        <w:r w:rsidRPr="00DF6938">
          <w:rPr>
            <w:rStyle w:val="Hipervnculo"/>
            <w:noProof/>
            <w:spacing w:val="-4"/>
          </w:rPr>
          <w:t xml:space="preserve"> </w:t>
        </w:r>
        <w:r w:rsidRPr="00DF6938">
          <w:rPr>
            <w:rStyle w:val="Hipervnculo"/>
            <w:noProof/>
          </w:rPr>
          <w:t>partidos</w:t>
        </w:r>
        <w:r w:rsidRPr="00DF6938">
          <w:rPr>
            <w:rStyle w:val="Hipervnculo"/>
            <w:noProof/>
            <w:spacing w:val="-3"/>
          </w:rPr>
          <w:t xml:space="preserve"> </w:t>
        </w:r>
        <w:r w:rsidRPr="00DF6938">
          <w:rPr>
            <w:rStyle w:val="Hipervnculo"/>
            <w:noProof/>
          </w:rPr>
          <w:t>políticos</w:t>
        </w:r>
        <w:r w:rsidRPr="00DF6938">
          <w:rPr>
            <w:rStyle w:val="Hipervnculo"/>
            <w:noProof/>
            <w:spacing w:val="-3"/>
          </w:rPr>
          <w:t xml:space="preserve"> </w:t>
        </w:r>
        <w:r w:rsidRPr="00DF6938">
          <w:rPr>
            <w:rStyle w:val="Hipervnculo"/>
            <w:noProof/>
          </w:rPr>
          <w:t>y</w:t>
        </w:r>
        <w:r w:rsidRPr="00DF6938">
          <w:rPr>
            <w:rStyle w:val="Hipervnculo"/>
            <w:noProof/>
            <w:spacing w:val="-3"/>
          </w:rPr>
          <w:t xml:space="preserve"> </w:t>
        </w:r>
        <w:r w:rsidRPr="00DF6938">
          <w:rPr>
            <w:rStyle w:val="Hipervnculo"/>
            <w:noProof/>
          </w:rPr>
          <w:t>movimientos</w:t>
        </w:r>
        <w:r w:rsidRPr="00DF6938">
          <w:rPr>
            <w:rStyle w:val="Hipervnculo"/>
            <w:noProof/>
            <w:spacing w:val="-3"/>
          </w:rPr>
          <w:t xml:space="preserve"> </w:t>
        </w:r>
        <w:r w:rsidRPr="00DF6938">
          <w:rPr>
            <w:rStyle w:val="Hipervnculo"/>
            <w:noProof/>
            <w:spacing w:val="-2"/>
          </w:rPr>
          <w:t>sociales</w:t>
        </w:r>
        <w:r>
          <w:rPr>
            <w:noProof/>
            <w:webHidden/>
          </w:rPr>
          <w:tab/>
        </w:r>
        <w:r>
          <w:rPr>
            <w:noProof/>
            <w:webHidden/>
          </w:rPr>
          <w:fldChar w:fldCharType="begin"/>
        </w:r>
        <w:r>
          <w:rPr>
            <w:noProof/>
            <w:webHidden/>
          </w:rPr>
          <w:instrText xml:space="preserve"> PAGEREF _Toc112399586 \h </w:instrText>
        </w:r>
        <w:r>
          <w:rPr>
            <w:noProof/>
            <w:webHidden/>
          </w:rPr>
        </w:r>
        <w:r>
          <w:rPr>
            <w:noProof/>
            <w:webHidden/>
          </w:rPr>
          <w:fldChar w:fldCharType="separate"/>
        </w:r>
        <w:r>
          <w:rPr>
            <w:noProof/>
            <w:webHidden/>
          </w:rPr>
          <w:t>321</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87" w:history="1">
        <w:r w:rsidRPr="00DF6938">
          <w:rPr>
            <w:rStyle w:val="Hipervnculo"/>
            <w:noProof/>
          </w:rPr>
          <w:t>4.6.</w:t>
        </w:r>
        <w:r>
          <w:rPr>
            <w:rFonts w:asciiTheme="minorHAnsi" w:eastAsiaTheme="minorEastAsia" w:hAnsiTheme="minorHAnsi" w:cstheme="minorBidi"/>
            <w:noProof/>
            <w:sz w:val="22"/>
            <w:szCs w:val="22"/>
            <w:lang w:val="es-CO" w:eastAsia="es-CO"/>
          </w:rPr>
          <w:tab/>
        </w:r>
        <w:r w:rsidRPr="00DF6938">
          <w:rPr>
            <w:rStyle w:val="Hipervnculo"/>
            <w:noProof/>
          </w:rPr>
          <w:t xml:space="preserve">Las guerrillas: disputas por el poder político regional y sus afectaciones a la </w:t>
        </w:r>
        <w:r w:rsidRPr="00DF6938">
          <w:rPr>
            <w:rStyle w:val="Hipervnculo"/>
            <w:noProof/>
            <w:spacing w:val="-2"/>
          </w:rPr>
          <w:t>democracia</w:t>
        </w:r>
        <w:r>
          <w:rPr>
            <w:noProof/>
            <w:webHidden/>
          </w:rPr>
          <w:tab/>
        </w:r>
        <w:r>
          <w:rPr>
            <w:noProof/>
            <w:webHidden/>
          </w:rPr>
          <w:fldChar w:fldCharType="begin"/>
        </w:r>
        <w:r>
          <w:rPr>
            <w:noProof/>
            <w:webHidden/>
          </w:rPr>
          <w:instrText xml:space="preserve"> PAGEREF _Toc112399587 \h </w:instrText>
        </w:r>
        <w:r>
          <w:rPr>
            <w:noProof/>
            <w:webHidden/>
          </w:rPr>
        </w:r>
        <w:r>
          <w:rPr>
            <w:noProof/>
            <w:webHidden/>
          </w:rPr>
          <w:fldChar w:fldCharType="separate"/>
        </w:r>
        <w:r>
          <w:rPr>
            <w:noProof/>
            <w:webHidden/>
          </w:rPr>
          <w:t>342</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88" w:history="1">
        <w:r w:rsidRPr="00DF6938">
          <w:rPr>
            <w:rStyle w:val="Hipervnculo"/>
            <w:noProof/>
          </w:rPr>
          <w:t>4.7.</w:t>
        </w:r>
        <w:r>
          <w:rPr>
            <w:rFonts w:asciiTheme="minorHAnsi" w:eastAsiaTheme="minorEastAsia" w:hAnsiTheme="minorHAnsi" w:cstheme="minorBidi"/>
            <w:noProof/>
            <w:sz w:val="22"/>
            <w:szCs w:val="22"/>
            <w:lang w:val="es-CO" w:eastAsia="es-CO"/>
          </w:rPr>
          <w:tab/>
        </w:r>
        <w:r w:rsidRPr="00DF6938">
          <w:rPr>
            <w:rStyle w:val="Hipervnculo"/>
            <w:noProof/>
          </w:rPr>
          <w:t>Diplomacias</w:t>
        </w:r>
        <w:r w:rsidRPr="00DF6938">
          <w:rPr>
            <w:rStyle w:val="Hipervnculo"/>
            <w:noProof/>
            <w:spacing w:val="-2"/>
          </w:rPr>
          <w:t xml:space="preserve"> </w:t>
        </w:r>
        <w:r w:rsidRPr="00DF6938">
          <w:rPr>
            <w:rStyle w:val="Hipervnculo"/>
            <w:noProof/>
          </w:rPr>
          <w:t>y</w:t>
        </w:r>
        <w:r w:rsidRPr="00DF6938">
          <w:rPr>
            <w:rStyle w:val="Hipervnculo"/>
            <w:noProof/>
            <w:spacing w:val="-2"/>
          </w:rPr>
          <w:t xml:space="preserve"> </w:t>
        </w:r>
        <w:r w:rsidRPr="00DF6938">
          <w:rPr>
            <w:rStyle w:val="Hipervnculo"/>
            <w:noProof/>
          </w:rPr>
          <w:t>apoyos</w:t>
        </w:r>
        <w:r w:rsidRPr="00DF6938">
          <w:rPr>
            <w:rStyle w:val="Hipervnculo"/>
            <w:noProof/>
            <w:spacing w:val="-2"/>
          </w:rPr>
          <w:t xml:space="preserve"> insurgentes</w:t>
        </w:r>
        <w:r>
          <w:rPr>
            <w:noProof/>
            <w:webHidden/>
          </w:rPr>
          <w:tab/>
        </w:r>
        <w:r>
          <w:rPr>
            <w:noProof/>
            <w:webHidden/>
          </w:rPr>
          <w:fldChar w:fldCharType="begin"/>
        </w:r>
        <w:r>
          <w:rPr>
            <w:noProof/>
            <w:webHidden/>
          </w:rPr>
          <w:instrText xml:space="preserve"> PAGEREF _Toc112399588 \h </w:instrText>
        </w:r>
        <w:r>
          <w:rPr>
            <w:noProof/>
            <w:webHidden/>
          </w:rPr>
        </w:r>
        <w:r>
          <w:rPr>
            <w:noProof/>
            <w:webHidden/>
          </w:rPr>
          <w:fldChar w:fldCharType="separate"/>
        </w:r>
        <w:r>
          <w:rPr>
            <w:noProof/>
            <w:webHidden/>
          </w:rPr>
          <w:t>357</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89" w:history="1">
        <w:r w:rsidRPr="00DF6938">
          <w:rPr>
            <w:rStyle w:val="Hipervnculo"/>
            <w:noProof/>
          </w:rPr>
          <w:t>4.8.</w:t>
        </w:r>
        <w:r>
          <w:rPr>
            <w:rFonts w:asciiTheme="minorHAnsi" w:eastAsiaTheme="minorEastAsia" w:hAnsiTheme="minorHAnsi" w:cstheme="minorBidi"/>
            <w:noProof/>
            <w:sz w:val="22"/>
            <w:szCs w:val="22"/>
            <w:lang w:val="es-CO" w:eastAsia="es-CO"/>
          </w:rPr>
          <w:tab/>
        </w:r>
        <w:r w:rsidRPr="00DF6938">
          <w:rPr>
            <w:rStyle w:val="Hipervnculo"/>
            <w:noProof/>
          </w:rPr>
          <w:t>Dinámicas</w:t>
        </w:r>
        <w:r w:rsidRPr="00DF6938">
          <w:rPr>
            <w:rStyle w:val="Hipervnculo"/>
            <w:noProof/>
            <w:spacing w:val="-4"/>
          </w:rPr>
          <w:t xml:space="preserve"> </w:t>
        </w:r>
        <w:r w:rsidRPr="00DF6938">
          <w:rPr>
            <w:rStyle w:val="Hipervnculo"/>
            <w:noProof/>
          </w:rPr>
          <w:t>del</w:t>
        </w:r>
        <w:r w:rsidRPr="00DF6938">
          <w:rPr>
            <w:rStyle w:val="Hipervnculo"/>
            <w:noProof/>
            <w:spacing w:val="-2"/>
          </w:rPr>
          <w:t xml:space="preserve"> </w:t>
        </w:r>
        <w:r w:rsidRPr="00DF6938">
          <w:rPr>
            <w:rStyle w:val="Hipervnculo"/>
            <w:noProof/>
          </w:rPr>
          <w:t>conflicto</w:t>
        </w:r>
        <w:r w:rsidRPr="00DF6938">
          <w:rPr>
            <w:rStyle w:val="Hipervnculo"/>
            <w:noProof/>
            <w:spacing w:val="-2"/>
          </w:rPr>
          <w:t xml:space="preserve"> </w:t>
        </w:r>
        <w:r w:rsidRPr="00DF6938">
          <w:rPr>
            <w:rStyle w:val="Hipervnculo"/>
            <w:noProof/>
          </w:rPr>
          <w:t>armado</w:t>
        </w:r>
        <w:r w:rsidRPr="00DF6938">
          <w:rPr>
            <w:rStyle w:val="Hipervnculo"/>
            <w:noProof/>
            <w:spacing w:val="-2"/>
          </w:rPr>
          <w:t xml:space="preserve"> </w:t>
        </w:r>
        <w:r w:rsidRPr="00DF6938">
          <w:rPr>
            <w:rStyle w:val="Hipervnculo"/>
            <w:noProof/>
          </w:rPr>
          <w:t>posacuerdo</w:t>
        </w:r>
        <w:r w:rsidRPr="00DF6938">
          <w:rPr>
            <w:rStyle w:val="Hipervnculo"/>
            <w:noProof/>
            <w:spacing w:val="-2"/>
          </w:rPr>
          <w:t xml:space="preserve"> </w:t>
        </w:r>
        <w:r w:rsidRPr="00DF6938">
          <w:rPr>
            <w:rStyle w:val="Hipervnculo"/>
            <w:noProof/>
          </w:rPr>
          <w:t>de</w:t>
        </w:r>
        <w:r w:rsidRPr="00DF6938">
          <w:rPr>
            <w:rStyle w:val="Hipervnculo"/>
            <w:noProof/>
            <w:spacing w:val="-2"/>
          </w:rPr>
          <w:t xml:space="preserve"> </w:t>
        </w:r>
        <w:r w:rsidRPr="00DF6938">
          <w:rPr>
            <w:rStyle w:val="Hipervnculo"/>
            <w:noProof/>
          </w:rPr>
          <w:t>paz</w:t>
        </w:r>
        <w:r w:rsidRPr="00DF6938">
          <w:rPr>
            <w:rStyle w:val="Hipervnculo"/>
            <w:noProof/>
            <w:spacing w:val="-2"/>
          </w:rPr>
          <w:t xml:space="preserve"> </w:t>
        </w:r>
        <w:r w:rsidRPr="00DF6938">
          <w:rPr>
            <w:rStyle w:val="Hipervnculo"/>
            <w:noProof/>
          </w:rPr>
          <w:t>con</w:t>
        </w:r>
        <w:r w:rsidRPr="00DF6938">
          <w:rPr>
            <w:rStyle w:val="Hipervnculo"/>
            <w:noProof/>
            <w:spacing w:val="-3"/>
          </w:rPr>
          <w:t xml:space="preserve"> </w:t>
        </w:r>
        <w:r w:rsidRPr="00DF6938">
          <w:rPr>
            <w:rStyle w:val="Hipervnculo"/>
            <w:noProof/>
          </w:rPr>
          <w:t>las</w:t>
        </w:r>
        <w:r w:rsidRPr="00DF6938">
          <w:rPr>
            <w:rStyle w:val="Hipervnculo"/>
            <w:noProof/>
            <w:spacing w:val="-1"/>
          </w:rPr>
          <w:t xml:space="preserve"> </w:t>
        </w:r>
        <w:r w:rsidRPr="00DF6938">
          <w:rPr>
            <w:rStyle w:val="Hipervnculo"/>
            <w:noProof/>
          </w:rPr>
          <w:t>FARC-</w:t>
        </w:r>
        <w:r w:rsidRPr="00DF6938">
          <w:rPr>
            <w:rStyle w:val="Hipervnculo"/>
            <w:noProof/>
            <w:spacing w:val="-5"/>
          </w:rPr>
          <w:t>EP</w:t>
        </w:r>
        <w:r>
          <w:rPr>
            <w:noProof/>
            <w:webHidden/>
          </w:rPr>
          <w:tab/>
        </w:r>
        <w:r>
          <w:rPr>
            <w:noProof/>
            <w:webHidden/>
          </w:rPr>
          <w:fldChar w:fldCharType="begin"/>
        </w:r>
        <w:r>
          <w:rPr>
            <w:noProof/>
            <w:webHidden/>
          </w:rPr>
          <w:instrText xml:space="preserve"> PAGEREF _Toc112399589 \h </w:instrText>
        </w:r>
        <w:r>
          <w:rPr>
            <w:noProof/>
            <w:webHidden/>
          </w:rPr>
        </w:r>
        <w:r>
          <w:rPr>
            <w:noProof/>
            <w:webHidden/>
          </w:rPr>
          <w:fldChar w:fldCharType="separate"/>
        </w:r>
        <w:r>
          <w:rPr>
            <w:noProof/>
            <w:webHidden/>
          </w:rPr>
          <w:t>360</w:t>
        </w:r>
        <w:r>
          <w:rPr>
            <w:noProof/>
            <w:webHidden/>
          </w:rPr>
          <w:fldChar w:fldCharType="end"/>
        </w:r>
      </w:hyperlink>
    </w:p>
    <w:p w:rsidR="00513F80" w:rsidRDefault="00513F80">
      <w:pPr>
        <w:pStyle w:val="TDC3"/>
        <w:tabs>
          <w:tab w:val="right" w:leader="dot" w:pos="8828"/>
        </w:tabs>
        <w:rPr>
          <w:rFonts w:asciiTheme="minorHAnsi" w:eastAsiaTheme="minorEastAsia" w:hAnsiTheme="minorHAnsi" w:cstheme="minorBidi"/>
          <w:noProof/>
          <w:sz w:val="22"/>
          <w:szCs w:val="22"/>
          <w:lang w:val="es-CO" w:eastAsia="es-CO"/>
        </w:rPr>
      </w:pPr>
      <w:hyperlink w:anchor="_Toc112399590" w:history="1">
        <w:r w:rsidRPr="00DF6938">
          <w:rPr>
            <w:rStyle w:val="Hipervnculo"/>
            <w:noProof/>
          </w:rPr>
          <w:t>Bibliografía</w:t>
        </w:r>
        <w:r>
          <w:rPr>
            <w:noProof/>
            <w:webHidden/>
          </w:rPr>
          <w:tab/>
        </w:r>
        <w:r>
          <w:rPr>
            <w:noProof/>
            <w:webHidden/>
          </w:rPr>
          <w:fldChar w:fldCharType="begin"/>
        </w:r>
        <w:r>
          <w:rPr>
            <w:noProof/>
            <w:webHidden/>
          </w:rPr>
          <w:instrText xml:space="preserve"> PAGEREF _Toc112399590 \h </w:instrText>
        </w:r>
        <w:r>
          <w:rPr>
            <w:noProof/>
            <w:webHidden/>
          </w:rPr>
        </w:r>
        <w:r>
          <w:rPr>
            <w:noProof/>
            <w:webHidden/>
          </w:rPr>
          <w:fldChar w:fldCharType="separate"/>
        </w:r>
        <w:r>
          <w:rPr>
            <w:noProof/>
            <w:webHidden/>
          </w:rPr>
          <w:t>367</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591" w:history="1">
        <w:r w:rsidRPr="00DF6938">
          <w:rPr>
            <w:rStyle w:val="Hipervnculo"/>
            <w:noProof/>
          </w:rPr>
          <w:t>5.</w:t>
        </w:r>
        <w:r>
          <w:rPr>
            <w:rFonts w:asciiTheme="minorHAnsi" w:eastAsiaTheme="minorEastAsia" w:hAnsiTheme="minorHAnsi" w:cstheme="minorBidi"/>
            <w:b w:val="0"/>
            <w:bCs w:val="0"/>
            <w:iCs w:val="0"/>
            <w:noProof/>
            <w:sz w:val="22"/>
            <w:lang w:val="es-CO" w:eastAsia="es-CO"/>
          </w:rPr>
          <w:tab/>
        </w:r>
        <w:r w:rsidRPr="00DF6938">
          <w:rPr>
            <w:rStyle w:val="Hipervnculo"/>
            <w:noProof/>
            <w:w w:val="95"/>
          </w:rPr>
          <w:t>LOS</w:t>
        </w:r>
        <w:r w:rsidRPr="00DF6938">
          <w:rPr>
            <w:rStyle w:val="Hipervnculo"/>
            <w:noProof/>
            <w:spacing w:val="24"/>
          </w:rPr>
          <w:t xml:space="preserve"> </w:t>
        </w:r>
        <w:r w:rsidRPr="00DF6938">
          <w:rPr>
            <w:rStyle w:val="Hipervnculo"/>
            <w:noProof/>
            <w:w w:val="95"/>
          </w:rPr>
          <w:t>ENTRAMADOS</w:t>
        </w:r>
        <w:r w:rsidRPr="00DF6938">
          <w:rPr>
            <w:rStyle w:val="Hipervnculo"/>
            <w:noProof/>
            <w:spacing w:val="27"/>
          </w:rPr>
          <w:t xml:space="preserve"> </w:t>
        </w:r>
        <w:r w:rsidRPr="00DF6938">
          <w:rPr>
            <w:rStyle w:val="Hipervnculo"/>
            <w:noProof/>
            <w:w w:val="95"/>
          </w:rPr>
          <w:t>DEL</w:t>
        </w:r>
        <w:r w:rsidRPr="00DF6938">
          <w:rPr>
            <w:rStyle w:val="Hipervnculo"/>
            <w:noProof/>
            <w:spacing w:val="23"/>
          </w:rPr>
          <w:t xml:space="preserve"> </w:t>
        </w:r>
        <w:r w:rsidRPr="00DF6938">
          <w:rPr>
            <w:rStyle w:val="Hipervnculo"/>
            <w:noProof/>
            <w:spacing w:val="-2"/>
            <w:w w:val="95"/>
          </w:rPr>
          <w:t>PARAMILITARISMO</w:t>
        </w:r>
        <w:r>
          <w:rPr>
            <w:noProof/>
            <w:webHidden/>
          </w:rPr>
          <w:tab/>
        </w:r>
        <w:r>
          <w:rPr>
            <w:noProof/>
            <w:webHidden/>
          </w:rPr>
          <w:fldChar w:fldCharType="begin"/>
        </w:r>
        <w:r>
          <w:rPr>
            <w:noProof/>
            <w:webHidden/>
          </w:rPr>
          <w:instrText xml:space="preserve"> PAGEREF _Toc112399591 \h </w:instrText>
        </w:r>
        <w:r>
          <w:rPr>
            <w:noProof/>
            <w:webHidden/>
          </w:rPr>
        </w:r>
        <w:r>
          <w:rPr>
            <w:noProof/>
            <w:webHidden/>
          </w:rPr>
          <w:fldChar w:fldCharType="separate"/>
        </w:r>
        <w:r>
          <w:rPr>
            <w:noProof/>
            <w:webHidden/>
          </w:rPr>
          <w:t>373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92" w:history="1">
        <w:r w:rsidRPr="00DF6938">
          <w:rPr>
            <w:rStyle w:val="Hipervnculo"/>
            <w:noProof/>
          </w:rPr>
          <w:t>5.1.</w:t>
        </w:r>
        <w:r>
          <w:rPr>
            <w:rFonts w:asciiTheme="minorHAnsi" w:eastAsiaTheme="minorEastAsia" w:hAnsiTheme="minorHAnsi" w:cstheme="minorBidi"/>
            <w:noProof/>
            <w:sz w:val="22"/>
            <w:szCs w:val="22"/>
            <w:lang w:val="es-CO" w:eastAsia="es-CO"/>
          </w:rPr>
          <w:tab/>
        </w:r>
        <w:r w:rsidRPr="00DF6938">
          <w:rPr>
            <w:rStyle w:val="Hipervnculo"/>
            <w:noProof/>
          </w:rPr>
          <w:t>Transformaciones</w:t>
        </w:r>
        <w:r w:rsidRPr="00DF6938">
          <w:rPr>
            <w:rStyle w:val="Hipervnculo"/>
            <w:noProof/>
            <w:spacing w:val="-6"/>
          </w:rPr>
          <w:t xml:space="preserve"> </w:t>
        </w:r>
        <w:r w:rsidRPr="00DF6938">
          <w:rPr>
            <w:rStyle w:val="Hipervnculo"/>
            <w:noProof/>
          </w:rPr>
          <w:t>y</w:t>
        </w:r>
        <w:r w:rsidRPr="00DF6938">
          <w:rPr>
            <w:rStyle w:val="Hipervnculo"/>
            <w:noProof/>
            <w:spacing w:val="-2"/>
          </w:rPr>
          <w:t xml:space="preserve"> </w:t>
        </w:r>
        <w:r w:rsidRPr="00DF6938">
          <w:rPr>
            <w:rStyle w:val="Hipervnculo"/>
            <w:noProof/>
          </w:rPr>
          <w:t>mantenimiento</w:t>
        </w:r>
        <w:r w:rsidRPr="00DF6938">
          <w:rPr>
            <w:rStyle w:val="Hipervnculo"/>
            <w:noProof/>
            <w:spacing w:val="-2"/>
          </w:rPr>
          <w:t xml:space="preserve"> </w:t>
        </w:r>
        <w:r w:rsidRPr="00DF6938">
          <w:rPr>
            <w:rStyle w:val="Hipervnculo"/>
            <w:noProof/>
          </w:rPr>
          <w:t>del</w:t>
        </w:r>
        <w:r w:rsidRPr="00DF6938">
          <w:rPr>
            <w:rStyle w:val="Hipervnculo"/>
            <w:noProof/>
            <w:spacing w:val="-3"/>
          </w:rPr>
          <w:t xml:space="preserve"> </w:t>
        </w:r>
        <w:r w:rsidRPr="00DF6938">
          <w:rPr>
            <w:rStyle w:val="Hipervnculo"/>
            <w:noProof/>
            <w:spacing w:val="-2"/>
          </w:rPr>
          <w:t>paramilitarismo</w:t>
        </w:r>
        <w:r>
          <w:rPr>
            <w:noProof/>
            <w:webHidden/>
          </w:rPr>
          <w:tab/>
        </w:r>
        <w:r>
          <w:rPr>
            <w:noProof/>
            <w:webHidden/>
          </w:rPr>
          <w:fldChar w:fldCharType="begin"/>
        </w:r>
        <w:r>
          <w:rPr>
            <w:noProof/>
            <w:webHidden/>
          </w:rPr>
          <w:instrText xml:space="preserve"> PAGEREF _Toc112399592 \h </w:instrText>
        </w:r>
        <w:r>
          <w:rPr>
            <w:noProof/>
            <w:webHidden/>
          </w:rPr>
        </w:r>
        <w:r>
          <w:rPr>
            <w:noProof/>
            <w:webHidden/>
          </w:rPr>
          <w:fldChar w:fldCharType="separate"/>
        </w:r>
        <w:r>
          <w:rPr>
            <w:noProof/>
            <w:webHidden/>
          </w:rPr>
          <w:t>379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93" w:history="1">
        <w:r w:rsidRPr="00DF6938">
          <w:rPr>
            <w:rStyle w:val="Hipervnculo"/>
            <w:noProof/>
          </w:rPr>
          <w:t>5.2.</w:t>
        </w:r>
        <w:r>
          <w:rPr>
            <w:rFonts w:asciiTheme="minorHAnsi" w:eastAsiaTheme="minorEastAsia" w:hAnsiTheme="minorHAnsi" w:cstheme="minorBidi"/>
            <w:noProof/>
            <w:sz w:val="22"/>
            <w:szCs w:val="22"/>
            <w:lang w:val="es-CO" w:eastAsia="es-CO"/>
          </w:rPr>
          <w:tab/>
        </w:r>
        <w:r w:rsidRPr="00DF6938">
          <w:rPr>
            <w:rStyle w:val="Hipervnculo"/>
            <w:noProof/>
          </w:rPr>
          <w:t>El</w:t>
        </w:r>
        <w:r w:rsidRPr="00DF6938">
          <w:rPr>
            <w:rStyle w:val="Hipervnculo"/>
            <w:noProof/>
            <w:spacing w:val="-4"/>
          </w:rPr>
          <w:t xml:space="preserve"> </w:t>
        </w:r>
        <w:r w:rsidRPr="00DF6938">
          <w:rPr>
            <w:rStyle w:val="Hipervnculo"/>
            <w:noProof/>
          </w:rPr>
          <w:t>marco</w:t>
        </w:r>
        <w:r w:rsidRPr="00DF6938">
          <w:rPr>
            <w:rStyle w:val="Hipervnculo"/>
            <w:noProof/>
            <w:spacing w:val="-1"/>
          </w:rPr>
          <w:t xml:space="preserve"> </w:t>
        </w:r>
        <w:r w:rsidRPr="00DF6938">
          <w:rPr>
            <w:rStyle w:val="Hipervnculo"/>
            <w:noProof/>
          </w:rPr>
          <w:t>de</w:t>
        </w:r>
        <w:r w:rsidRPr="00DF6938">
          <w:rPr>
            <w:rStyle w:val="Hipervnculo"/>
            <w:noProof/>
            <w:spacing w:val="-1"/>
          </w:rPr>
          <w:t xml:space="preserve"> </w:t>
        </w:r>
        <w:r w:rsidRPr="00DF6938">
          <w:rPr>
            <w:rStyle w:val="Hipervnculo"/>
            <w:noProof/>
          </w:rPr>
          <w:t>la</w:t>
        </w:r>
        <w:r w:rsidRPr="00DF6938">
          <w:rPr>
            <w:rStyle w:val="Hipervnculo"/>
            <w:noProof/>
            <w:spacing w:val="-2"/>
          </w:rPr>
          <w:t xml:space="preserve"> </w:t>
        </w:r>
        <w:r w:rsidRPr="00DF6938">
          <w:rPr>
            <w:rStyle w:val="Hipervnculo"/>
            <w:noProof/>
          </w:rPr>
          <w:t>doctrina</w:t>
        </w:r>
        <w:r w:rsidRPr="00DF6938">
          <w:rPr>
            <w:rStyle w:val="Hipervnculo"/>
            <w:noProof/>
            <w:spacing w:val="-1"/>
          </w:rPr>
          <w:t xml:space="preserve"> </w:t>
        </w:r>
        <w:r w:rsidRPr="00DF6938">
          <w:rPr>
            <w:rStyle w:val="Hipervnculo"/>
            <w:noProof/>
          </w:rPr>
          <w:t>del</w:t>
        </w:r>
        <w:r w:rsidRPr="00DF6938">
          <w:rPr>
            <w:rStyle w:val="Hipervnculo"/>
            <w:noProof/>
            <w:spacing w:val="-2"/>
          </w:rPr>
          <w:t xml:space="preserve"> </w:t>
        </w:r>
        <w:r w:rsidRPr="00DF6938">
          <w:rPr>
            <w:rStyle w:val="Hipervnculo"/>
            <w:noProof/>
          </w:rPr>
          <w:t>enemigo</w:t>
        </w:r>
        <w:r w:rsidRPr="00DF6938">
          <w:rPr>
            <w:rStyle w:val="Hipervnculo"/>
            <w:noProof/>
            <w:spacing w:val="-3"/>
          </w:rPr>
          <w:t xml:space="preserve"> </w:t>
        </w:r>
        <w:r w:rsidRPr="00DF6938">
          <w:rPr>
            <w:rStyle w:val="Hipervnculo"/>
            <w:noProof/>
          </w:rPr>
          <w:t>interno</w:t>
        </w:r>
        <w:r w:rsidRPr="00DF6938">
          <w:rPr>
            <w:rStyle w:val="Hipervnculo"/>
            <w:noProof/>
            <w:spacing w:val="-2"/>
          </w:rPr>
          <w:t xml:space="preserve"> </w:t>
        </w:r>
        <w:r w:rsidRPr="00DF6938">
          <w:rPr>
            <w:rStyle w:val="Hipervnculo"/>
            <w:noProof/>
          </w:rPr>
          <w:t>y</w:t>
        </w:r>
        <w:r w:rsidRPr="00DF6938">
          <w:rPr>
            <w:rStyle w:val="Hipervnculo"/>
            <w:noProof/>
            <w:spacing w:val="-1"/>
          </w:rPr>
          <w:t xml:space="preserve"> </w:t>
        </w:r>
        <w:r w:rsidRPr="00DF6938">
          <w:rPr>
            <w:rStyle w:val="Hipervnculo"/>
            <w:noProof/>
          </w:rPr>
          <w:t>la</w:t>
        </w:r>
        <w:r w:rsidRPr="00DF6938">
          <w:rPr>
            <w:rStyle w:val="Hipervnculo"/>
            <w:noProof/>
            <w:spacing w:val="-1"/>
          </w:rPr>
          <w:t xml:space="preserve"> </w:t>
        </w:r>
        <w:r w:rsidRPr="00DF6938">
          <w:rPr>
            <w:rStyle w:val="Hipervnculo"/>
            <w:noProof/>
          </w:rPr>
          <w:t>injerencia</w:t>
        </w:r>
        <w:r w:rsidRPr="00DF6938">
          <w:rPr>
            <w:rStyle w:val="Hipervnculo"/>
            <w:noProof/>
            <w:spacing w:val="-1"/>
          </w:rPr>
          <w:t xml:space="preserve"> </w:t>
        </w:r>
        <w:r w:rsidRPr="00DF6938">
          <w:rPr>
            <w:rStyle w:val="Hipervnculo"/>
            <w:noProof/>
            <w:spacing w:val="-2"/>
          </w:rPr>
          <w:t>internacional</w:t>
        </w:r>
        <w:r>
          <w:rPr>
            <w:noProof/>
            <w:webHidden/>
          </w:rPr>
          <w:tab/>
        </w:r>
        <w:r>
          <w:rPr>
            <w:noProof/>
            <w:webHidden/>
          </w:rPr>
          <w:fldChar w:fldCharType="begin"/>
        </w:r>
        <w:r>
          <w:rPr>
            <w:noProof/>
            <w:webHidden/>
          </w:rPr>
          <w:instrText xml:space="preserve"> PAGEREF _Toc112399593 \h </w:instrText>
        </w:r>
        <w:r>
          <w:rPr>
            <w:noProof/>
            <w:webHidden/>
          </w:rPr>
        </w:r>
        <w:r>
          <w:rPr>
            <w:noProof/>
            <w:webHidden/>
          </w:rPr>
          <w:fldChar w:fldCharType="separate"/>
        </w:r>
        <w:r>
          <w:rPr>
            <w:noProof/>
            <w:webHidden/>
          </w:rPr>
          <w:t>383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94" w:history="1">
        <w:r w:rsidRPr="00DF6938">
          <w:rPr>
            <w:rStyle w:val="Hipervnculo"/>
            <w:noProof/>
          </w:rPr>
          <w:t>5.3.</w:t>
        </w:r>
        <w:r>
          <w:rPr>
            <w:rFonts w:asciiTheme="minorHAnsi" w:eastAsiaTheme="minorEastAsia" w:hAnsiTheme="minorHAnsi" w:cstheme="minorBidi"/>
            <w:noProof/>
            <w:sz w:val="22"/>
            <w:szCs w:val="22"/>
            <w:lang w:val="es-CO" w:eastAsia="es-CO"/>
          </w:rPr>
          <w:tab/>
        </w:r>
        <w:r w:rsidRPr="00DF6938">
          <w:rPr>
            <w:rStyle w:val="Hipervnculo"/>
            <w:noProof/>
          </w:rPr>
          <w:t>El</w:t>
        </w:r>
        <w:r w:rsidRPr="00DF6938">
          <w:rPr>
            <w:rStyle w:val="Hipervnculo"/>
            <w:noProof/>
            <w:spacing w:val="-5"/>
          </w:rPr>
          <w:t xml:space="preserve"> </w:t>
        </w:r>
        <w:r w:rsidRPr="00DF6938">
          <w:rPr>
            <w:rStyle w:val="Hipervnculo"/>
            <w:noProof/>
          </w:rPr>
          <w:t>paramilitarismo</w:t>
        </w:r>
        <w:r w:rsidRPr="00DF6938">
          <w:rPr>
            <w:rStyle w:val="Hipervnculo"/>
            <w:noProof/>
            <w:spacing w:val="-4"/>
          </w:rPr>
          <w:t xml:space="preserve"> </w:t>
        </w:r>
        <w:r w:rsidRPr="00DF6938">
          <w:rPr>
            <w:rStyle w:val="Hipervnculo"/>
            <w:noProof/>
          </w:rPr>
          <w:t>fue</w:t>
        </w:r>
        <w:r w:rsidRPr="00DF6938">
          <w:rPr>
            <w:rStyle w:val="Hipervnculo"/>
            <w:noProof/>
            <w:spacing w:val="-2"/>
          </w:rPr>
          <w:t xml:space="preserve"> </w:t>
        </w:r>
        <w:r w:rsidRPr="00DF6938">
          <w:rPr>
            <w:rStyle w:val="Hipervnculo"/>
            <w:noProof/>
          </w:rPr>
          <w:t>legalizado</w:t>
        </w:r>
        <w:r w:rsidRPr="00DF6938">
          <w:rPr>
            <w:rStyle w:val="Hipervnculo"/>
            <w:noProof/>
            <w:spacing w:val="-2"/>
          </w:rPr>
          <w:t xml:space="preserve"> </w:t>
        </w:r>
        <w:r w:rsidRPr="00DF6938">
          <w:rPr>
            <w:rStyle w:val="Hipervnculo"/>
            <w:noProof/>
          </w:rPr>
          <w:t>en</w:t>
        </w:r>
        <w:r w:rsidRPr="00DF6938">
          <w:rPr>
            <w:rStyle w:val="Hipervnculo"/>
            <w:noProof/>
            <w:spacing w:val="-3"/>
          </w:rPr>
          <w:t xml:space="preserve"> </w:t>
        </w:r>
        <w:r w:rsidRPr="00DF6938">
          <w:rPr>
            <w:rStyle w:val="Hipervnculo"/>
            <w:noProof/>
          </w:rPr>
          <w:t>diferentes</w:t>
        </w:r>
        <w:r w:rsidRPr="00DF6938">
          <w:rPr>
            <w:rStyle w:val="Hipervnculo"/>
            <w:noProof/>
            <w:spacing w:val="-2"/>
          </w:rPr>
          <w:t xml:space="preserve"> momentos</w:t>
        </w:r>
        <w:r>
          <w:rPr>
            <w:noProof/>
            <w:webHidden/>
          </w:rPr>
          <w:tab/>
        </w:r>
        <w:r>
          <w:rPr>
            <w:noProof/>
            <w:webHidden/>
          </w:rPr>
          <w:fldChar w:fldCharType="begin"/>
        </w:r>
        <w:r>
          <w:rPr>
            <w:noProof/>
            <w:webHidden/>
          </w:rPr>
          <w:instrText xml:space="preserve"> PAGEREF _Toc112399594 \h </w:instrText>
        </w:r>
        <w:r>
          <w:rPr>
            <w:noProof/>
            <w:webHidden/>
          </w:rPr>
        </w:r>
        <w:r>
          <w:rPr>
            <w:noProof/>
            <w:webHidden/>
          </w:rPr>
          <w:fldChar w:fldCharType="separate"/>
        </w:r>
        <w:r>
          <w:rPr>
            <w:noProof/>
            <w:webHidden/>
          </w:rPr>
          <w:t>385</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95" w:history="1">
        <w:r w:rsidRPr="00DF6938">
          <w:rPr>
            <w:rStyle w:val="Hipervnculo"/>
            <w:noProof/>
          </w:rPr>
          <w:t>5.4.</w:t>
        </w:r>
        <w:r>
          <w:rPr>
            <w:rFonts w:asciiTheme="minorHAnsi" w:eastAsiaTheme="minorEastAsia" w:hAnsiTheme="minorHAnsi" w:cstheme="minorBidi"/>
            <w:noProof/>
            <w:sz w:val="22"/>
            <w:szCs w:val="22"/>
            <w:lang w:val="es-CO" w:eastAsia="es-CO"/>
          </w:rPr>
          <w:tab/>
        </w:r>
        <w:r w:rsidRPr="00DF6938">
          <w:rPr>
            <w:rStyle w:val="Hipervnculo"/>
            <w:noProof/>
          </w:rPr>
          <w:t>Diferentes</w:t>
        </w:r>
        <w:r w:rsidRPr="00DF6938">
          <w:rPr>
            <w:rStyle w:val="Hipervnculo"/>
            <w:noProof/>
            <w:spacing w:val="-2"/>
          </w:rPr>
          <w:t xml:space="preserve"> </w:t>
        </w:r>
        <w:r w:rsidRPr="00DF6938">
          <w:rPr>
            <w:rStyle w:val="Hipervnculo"/>
            <w:noProof/>
          </w:rPr>
          <w:t>expresiones</w:t>
        </w:r>
        <w:r w:rsidRPr="00DF6938">
          <w:rPr>
            <w:rStyle w:val="Hipervnculo"/>
            <w:noProof/>
            <w:spacing w:val="-3"/>
          </w:rPr>
          <w:t xml:space="preserve"> </w:t>
        </w:r>
        <w:r w:rsidRPr="00DF6938">
          <w:rPr>
            <w:rStyle w:val="Hipervnculo"/>
            <w:noProof/>
          </w:rPr>
          <w:t>de</w:t>
        </w:r>
        <w:r w:rsidRPr="00DF6938">
          <w:rPr>
            <w:rStyle w:val="Hipervnculo"/>
            <w:noProof/>
            <w:spacing w:val="-2"/>
          </w:rPr>
          <w:t xml:space="preserve"> </w:t>
        </w:r>
        <w:r w:rsidRPr="00DF6938">
          <w:rPr>
            <w:rStyle w:val="Hipervnculo"/>
            <w:noProof/>
          </w:rPr>
          <w:t>un</w:t>
        </w:r>
        <w:r w:rsidRPr="00DF6938">
          <w:rPr>
            <w:rStyle w:val="Hipervnculo"/>
            <w:noProof/>
            <w:spacing w:val="-2"/>
          </w:rPr>
          <w:t xml:space="preserve"> </w:t>
        </w:r>
        <w:r w:rsidRPr="00DF6938">
          <w:rPr>
            <w:rStyle w:val="Hipervnculo"/>
            <w:noProof/>
          </w:rPr>
          <w:t>mismo</w:t>
        </w:r>
        <w:r w:rsidRPr="00DF6938">
          <w:rPr>
            <w:rStyle w:val="Hipervnculo"/>
            <w:noProof/>
            <w:spacing w:val="-2"/>
          </w:rPr>
          <w:t xml:space="preserve"> paramilitarismo</w:t>
        </w:r>
        <w:r>
          <w:rPr>
            <w:noProof/>
            <w:webHidden/>
          </w:rPr>
          <w:tab/>
        </w:r>
        <w:r>
          <w:rPr>
            <w:noProof/>
            <w:webHidden/>
          </w:rPr>
          <w:fldChar w:fldCharType="begin"/>
        </w:r>
        <w:r>
          <w:rPr>
            <w:noProof/>
            <w:webHidden/>
          </w:rPr>
          <w:instrText xml:space="preserve"> PAGEREF _Toc112399595 \h </w:instrText>
        </w:r>
        <w:r>
          <w:rPr>
            <w:noProof/>
            <w:webHidden/>
          </w:rPr>
        </w:r>
        <w:r>
          <w:rPr>
            <w:noProof/>
            <w:webHidden/>
          </w:rPr>
          <w:fldChar w:fldCharType="separate"/>
        </w:r>
        <w:r>
          <w:rPr>
            <w:noProof/>
            <w:webHidden/>
          </w:rPr>
          <w:t>391</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96" w:history="1">
        <w:r w:rsidRPr="00DF6938">
          <w:rPr>
            <w:rStyle w:val="Hipervnculo"/>
            <w:noProof/>
          </w:rPr>
          <w:t>5.5.</w:t>
        </w:r>
        <w:r>
          <w:rPr>
            <w:rFonts w:asciiTheme="minorHAnsi" w:eastAsiaTheme="minorEastAsia" w:hAnsiTheme="minorHAnsi" w:cstheme="minorBidi"/>
            <w:noProof/>
            <w:sz w:val="22"/>
            <w:szCs w:val="22"/>
            <w:lang w:val="es-CO" w:eastAsia="es-CO"/>
          </w:rPr>
          <w:tab/>
        </w:r>
        <w:r w:rsidRPr="00DF6938">
          <w:rPr>
            <w:rStyle w:val="Hipervnculo"/>
            <w:noProof/>
          </w:rPr>
          <w:t>El</w:t>
        </w:r>
        <w:r w:rsidRPr="00DF6938">
          <w:rPr>
            <w:rStyle w:val="Hipervnculo"/>
            <w:noProof/>
            <w:spacing w:val="-1"/>
          </w:rPr>
          <w:t xml:space="preserve"> </w:t>
        </w:r>
        <w:r w:rsidRPr="00DF6938">
          <w:rPr>
            <w:rStyle w:val="Hipervnculo"/>
            <w:noProof/>
          </w:rPr>
          <w:t>terror</w:t>
        </w:r>
        <w:r w:rsidRPr="00DF6938">
          <w:rPr>
            <w:rStyle w:val="Hipervnculo"/>
            <w:noProof/>
            <w:spacing w:val="-1"/>
          </w:rPr>
          <w:t xml:space="preserve"> </w:t>
        </w:r>
        <w:r w:rsidRPr="00DF6938">
          <w:rPr>
            <w:rStyle w:val="Hipervnculo"/>
            <w:noProof/>
          </w:rPr>
          <w:t>como</w:t>
        </w:r>
        <w:r w:rsidRPr="00DF6938">
          <w:rPr>
            <w:rStyle w:val="Hipervnculo"/>
            <w:noProof/>
            <w:spacing w:val="-1"/>
          </w:rPr>
          <w:t xml:space="preserve"> </w:t>
        </w:r>
        <w:r w:rsidRPr="00DF6938">
          <w:rPr>
            <w:rStyle w:val="Hipervnculo"/>
            <w:noProof/>
            <w:spacing w:val="-2"/>
          </w:rPr>
          <w:t>estrategia</w:t>
        </w:r>
        <w:r>
          <w:rPr>
            <w:noProof/>
            <w:webHidden/>
          </w:rPr>
          <w:tab/>
        </w:r>
        <w:r>
          <w:rPr>
            <w:noProof/>
            <w:webHidden/>
          </w:rPr>
          <w:fldChar w:fldCharType="begin"/>
        </w:r>
        <w:r>
          <w:rPr>
            <w:noProof/>
            <w:webHidden/>
          </w:rPr>
          <w:instrText xml:space="preserve"> PAGEREF _Toc112399596 \h </w:instrText>
        </w:r>
        <w:r>
          <w:rPr>
            <w:noProof/>
            <w:webHidden/>
          </w:rPr>
        </w:r>
        <w:r>
          <w:rPr>
            <w:noProof/>
            <w:webHidden/>
          </w:rPr>
          <w:fldChar w:fldCharType="separate"/>
        </w:r>
        <w:r>
          <w:rPr>
            <w:noProof/>
            <w:webHidden/>
          </w:rPr>
          <w:t>411</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97" w:history="1">
        <w:r w:rsidRPr="00DF6938">
          <w:rPr>
            <w:rStyle w:val="Hipervnculo"/>
            <w:noProof/>
          </w:rPr>
          <w:t>5.6.</w:t>
        </w:r>
        <w:r>
          <w:rPr>
            <w:rFonts w:asciiTheme="minorHAnsi" w:eastAsiaTheme="minorEastAsia" w:hAnsiTheme="minorHAnsi" w:cstheme="minorBidi"/>
            <w:noProof/>
            <w:sz w:val="22"/>
            <w:szCs w:val="22"/>
            <w:lang w:val="es-CO" w:eastAsia="es-CO"/>
          </w:rPr>
          <w:tab/>
        </w:r>
        <w:r w:rsidRPr="00DF6938">
          <w:rPr>
            <w:rStyle w:val="Hipervnculo"/>
            <w:noProof/>
          </w:rPr>
          <w:t>Las</w:t>
        </w:r>
        <w:r w:rsidRPr="00DF6938">
          <w:rPr>
            <w:rStyle w:val="Hipervnculo"/>
            <w:noProof/>
            <w:spacing w:val="-4"/>
          </w:rPr>
          <w:t xml:space="preserve"> </w:t>
        </w:r>
        <w:r w:rsidRPr="00DF6938">
          <w:rPr>
            <w:rStyle w:val="Hipervnculo"/>
            <w:noProof/>
          </w:rPr>
          <w:t>profundas</w:t>
        </w:r>
        <w:r w:rsidRPr="00DF6938">
          <w:rPr>
            <w:rStyle w:val="Hipervnculo"/>
            <w:noProof/>
            <w:spacing w:val="-2"/>
          </w:rPr>
          <w:t xml:space="preserve"> </w:t>
        </w:r>
        <w:r w:rsidRPr="00DF6938">
          <w:rPr>
            <w:rStyle w:val="Hipervnculo"/>
            <w:noProof/>
          </w:rPr>
          <w:t>alianzas</w:t>
        </w:r>
        <w:r w:rsidRPr="00DF6938">
          <w:rPr>
            <w:rStyle w:val="Hipervnculo"/>
            <w:noProof/>
            <w:spacing w:val="-2"/>
          </w:rPr>
          <w:t xml:space="preserve"> </w:t>
        </w:r>
        <w:r w:rsidRPr="00DF6938">
          <w:rPr>
            <w:rStyle w:val="Hipervnculo"/>
            <w:noProof/>
          </w:rPr>
          <w:t>de</w:t>
        </w:r>
        <w:r w:rsidRPr="00DF6938">
          <w:rPr>
            <w:rStyle w:val="Hipervnculo"/>
            <w:noProof/>
            <w:spacing w:val="-2"/>
          </w:rPr>
          <w:t xml:space="preserve"> </w:t>
        </w:r>
        <w:r w:rsidRPr="00DF6938">
          <w:rPr>
            <w:rStyle w:val="Hipervnculo"/>
            <w:noProof/>
          </w:rPr>
          <w:t>los</w:t>
        </w:r>
        <w:r w:rsidRPr="00DF6938">
          <w:rPr>
            <w:rStyle w:val="Hipervnculo"/>
            <w:noProof/>
            <w:spacing w:val="-4"/>
          </w:rPr>
          <w:t xml:space="preserve"> </w:t>
        </w:r>
        <w:r w:rsidRPr="00DF6938">
          <w:rPr>
            <w:rStyle w:val="Hipervnculo"/>
            <w:noProof/>
          </w:rPr>
          <w:t>entramados</w:t>
        </w:r>
        <w:r w:rsidRPr="00DF6938">
          <w:rPr>
            <w:rStyle w:val="Hipervnculo"/>
            <w:noProof/>
            <w:spacing w:val="-3"/>
          </w:rPr>
          <w:t xml:space="preserve"> </w:t>
        </w:r>
        <w:r w:rsidRPr="00DF6938">
          <w:rPr>
            <w:rStyle w:val="Hipervnculo"/>
            <w:noProof/>
          </w:rPr>
          <w:t>paramilitares</w:t>
        </w:r>
        <w:r>
          <w:rPr>
            <w:noProof/>
            <w:webHidden/>
          </w:rPr>
          <w:tab/>
        </w:r>
        <w:r>
          <w:rPr>
            <w:noProof/>
            <w:webHidden/>
          </w:rPr>
          <w:fldChar w:fldCharType="begin"/>
        </w:r>
        <w:r>
          <w:rPr>
            <w:noProof/>
            <w:webHidden/>
          </w:rPr>
          <w:instrText xml:space="preserve"> PAGEREF _Toc112399597 \h </w:instrText>
        </w:r>
        <w:r>
          <w:rPr>
            <w:noProof/>
            <w:webHidden/>
          </w:rPr>
        </w:r>
        <w:r>
          <w:rPr>
            <w:noProof/>
            <w:webHidden/>
          </w:rPr>
          <w:fldChar w:fldCharType="separate"/>
        </w:r>
        <w:r>
          <w:rPr>
            <w:noProof/>
            <w:webHidden/>
          </w:rPr>
          <w:t>420</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98" w:history="1">
        <w:r w:rsidRPr="00DF6938">
          <w:rPr>
            <w:rStyle w:val="Hipervnculo"/>
            <w:noProof/>
          </w:rPr>
          <w:t>5.7.</w:t>
        </w:r>
        <w:r>
          <w:rPr>
            <w:rFonts w:asciiTheme="minorHAnsi" w:eastAsiaTheme="minorEastAsia" w:hAnsiTheme="minorHAnsi" w:cstheme="minorBidi"/>
            <w:noProof/>
            <w:sz w:val="22"/>
            <w:szCs w:val="22"/>
            <w:lang w:val="es-CO" w:eastAsia="es-CO"/>
          </w:rPr>
          <w:tab/>
        </w:r>
        <w:r w:rsidRPr="00DF6938">
          <w:rPr>
            <w:rStyle w:val="Hipervnculo"/>
            <w:noProof/>
          </w:rPr>
          <w:t>La</w:t>
        </w:r>
        <w:r w:rsidRPr="00DF6938">
          <w:rPr>
            <w:rStyle w:val="Hipervnculo"/>
            <w:noProof/>
            <w:spacing w:val="-1"/>
          </w:rPr>
          <w:t xml:space="preserve"> </w:t>
        </w:r>
        <w:r w:rsidRPr="00DF6938">
          <w:rPr>
            <w:rStyle w:val="Hipervnculo"/>
            <w:noProof/>
          </w:rPr>
          <w:t>relación</w:t>
        </w:r>
        <w:r w:rsidRPr="00DF6938">
          <w:rPr>
            <w:rStyle w:val="Hipervnculo"/>
            <w:noProof/>
            <w:spacing w:val="-2"/>
          </w:rPr>
          <w:t xml:space="preserve"> </w:t>
        </w:r>
        <w:r w:rsidRPr="00DF6938">
          <w:rPr>
            <w:rStyle w:val="Hipervnculo"/>
            <w:noProof/>
          </w:rPr>
          <w:t>con</w:t>
        </w:r>
        <w:r w:rsidRPr="00DF6938">
          <w:rPr>
            <w:rStyle w:val="Hipervnculo"/>
            <w:noProof/>
            <w:spacing w:val="-2"/>
          </w:rPr>
          <w:t xml:space="preserve"> </w:t>
        </w:r>
        <w:r w:rsidRPr="00DF6938">
          <w:rPr>
            <w:rStyle w:val="Hipervnculo"/>
            <w:noProof/>
          </w:rPr>
          <w:t>la</w:t>
        </w:r>
        <w:r w:rsidRPr="00DF6938">
          <w:rPr>
            <w:rStyle w:val="Hipervnculo"/>
            <w:noProof/>
            <w:spacing w:val="-3"/>
          </w:rPr>
          <w:t xml:space="preserve"> </w:t>
        </w:r>
        <w:r w:rsidRPr="00DF6938">
          <w:rPr>
            <w:rStyle w:val="Hipervnculo"/>
            <w:noProof/>
          </w:rPr>
          <w:t xml:space="preserve">fuerza </w:t>
        </w:r>
        <w:r w:rsidRPr="00DF6938">
          <w:rPr>
            <w:rStyle w:val="Hipervnculo"/>
            <w:noProof/>
            <w:spacing w:val="-2"/>
          </w:rPr>
          <w:t>pública</w:t>
        </w:r>
        <w:r>
          <w:rPr>
            <w:noProof/>
            <w:webHidden/>
          </w:rPr>
          <w:tab/>
        </w:r>
        <w:r>
          <w:rPr>
            <w:noProof/>
            <w:webHidden/>
          </w:rPr>
          <w:fldChar w:fldCharType="begin"/>
        </w:r>
        <w:r>
          <w:rPr>
            <w:noProof/>
            <w:webHidden/>
          </w:rPr>
          <w:instrText xml:space="preserve"> PAGEREF _Toc112399598 \h </w:instrText>
        </w:r>
        <w:r>
          <w:rPr>
            <w:noProof/>
            <w:webHidden/>
          </w:rPr>
        </w:r>
        <w:r>
          <w:rPr>
            <w:noProof/>
            <w:webHidden/>
          </w:rPr>
          <w:fldChar w:fldCharType="separate"/>
        </w:r>
        <w:r>
          <w:rPr>
            <w:noProof/>
            <w:webHidden/>
          </w:rPr>
          <w:t>425</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599" w:history="1">
        <w:r w:rsidRPr="00DF6938">
          <w:rPr>
            <w:rStyle w:val="Hipervnculo"/>
            <w:noProof/>
          </w:rPr>
          <w:t>5.8.</w:t>
        </w:r>
        <w:r>
          <w:rPr>
            <w:rFonts w:asciiTheme="minorHAnsi" w:eastAsiaTheme="minorEastAsia" w:hAnsiTheme="minorHAnsi" w:cstheme="minorBidi"/>
            <w:noProof/>
            <w:sz w:val="22"/>
            <w:szCs w:val="22"/>
            <w:lang w:val="es-CO" w:eastAsia="es-CO"/>
          </w:rPr>
          <w:tab/>
        </w:r>
        <w:r w:rsidRPr="00DF6938">
          <w:rPr>
            <w:rStyle w:val="Hipervnculo"/>
            <w:noProof/>
          </w:rPr>
          <w:t>La</w:t>
        </w:r>
        <w:r w:rsidRPr="00DF6938">
          <w:rPr>
            <w:rStyle w:val="Hipervnculo"/>
            <w:noProof/>
            <w:spacing w:val="-4"/>
          </w:rPr>
          <w:t xml:space="preserve"> </w:t>
        </w:r>
        <w:r w:rsidRPr="00DF6938">
          <w:rPr>
            <w:rStyle w:val="Hipervnculo"/>
            <w:noProof/>
          </w:rPr>
          <w:t>parapolítica</w:t>
        </w:r>
        <w:r w:rsidRPr="00DF6938">
          <w:rPr>
            <w:rStyle w:val="Hipervnculo"/>
            <w:noProof/>
            <w:spacing w:val="-2"/>
          </w:rPr>
          <w:t xml:space="preserve"> </w:t>
        </w:r>
        <w:r w:rsidRPr="00DF6938">
          <w:rPr>
            <w:rStyle w:val="Hipervnculo"/>
            <w:noProof/>
          </w:rPr>
          <w:t>y</w:t>
        </w:r>
        <w:r w:rsidRPr="00DF6938">
          <w:rPr>
            <w:rStyle w:val="Hipervnculo"/>
            <w:noProof/>
            <w:spacing w:val="-1"/>
          </w:rPr>
          <w:t xml:space="preserve"> </w:t>
        </w:r>
        <w:r w:rsidRPr="00DF6938">
          <w:rPr>
            <w:rStyle w:val="Hipervnculo"/>
            <w:noProof/>
          </w:rPr>
          <w:t>la</w:t>
        </w:r>
        <w:r w:rsidRPr="00DF6938">
          <w:rPr>
            <w:rStyle w:val="Hipervnculo"/>
            <w:noProof/>
            <w:spacing w:val="-2"/>
          </w:rPr>
          <w:t xml:space="preserve"> </w:t>
        </w:r>
        <w:r w:rsidRPr="00DF6938">
          <w:rPr>
            <w:rStyle w:val="Hipervnculo"/>
            <w:noProof/>
          </w:rPr>
          <w:t>incursión</w:t>
        </w:r>
        <w:r w:rsidRPr="00DF6938">
          <w:rPr>
            <w:rStyle w:val="Hipervnculo"/>
            <w:noProof/>
            <w:spacing w:val="-3"/>
          </w:rPr>
          <w:t xml:space="preserve"> </w:t>
        </w:r>
        <w:r w:rsidRPr="00DF6938">
          <w:rPr>
            <w:rStyle w:val="Hipervnculo"/>
            <w:noProof/>
          </w:rPr>
          <w:t>paramilitar</w:t>
        </w:r>
        <w:r w:rsidRPr="00DF6938">
          <w:rPr>
            <w:rStyle w:val="Hipervnculo"/>
            <w:noProof/>
            <w:spacing w:val="-2"/>
          </w:rPr>
          <w:t xml:space="preserve"> </w:t>
        </w:r>
        <w:r w:rsidRPr="00DF6938">
          <w:rPr>
            <w:rStyle w:val="Hipervnculo"/>
            <w:noProof/>
          </w:rPr>
          <w:t>en</w:t>
        </w:r>
        <w:r w:rsidRPr="00DF6938">
          <w:rPr>
            <w:rStyle w:val="Hipervnculo"/>
            <w:noProof/>
            <w:spacing w:val="-3"/>
          </w:rPr>
          <w:t xml:space="preserve"> </w:t>
        </w:r>
        <w:r w:rsidRPr="00DF6938">
          <w:rPr>
            <w:rStyle w:val="Hipervnculo"/>
            <w:noProof/>
          </w:rPr>
          <w:t>las</w:t>
        </w:r>
        <w:r w:rsidRPr="00DF6938">
          <w:rPr>
            <w:rStyle w:val="Hipervnculo"/>
            <w:noProof/>
            <w:spacing w:val="-1"/>
          </w:rPr>
          <w:t xml:space="preserve"> </w:t>
        </w:r>
        <w:r w:rsidRPr="00DF6938">
          <w:rPr>
            <w:rStyle w:val="Hipervnculo"/>
            <w:noProof/>
          </w:rPr>
          <w:t>instituciones</w:t>
        </w:r>
        <w:r w:rsidRPr="00DF6938">
          <w:rPr>
            <w:rStyle w:val="Hipervnculo"/>
            <w:noProof/>
            <w:spacing w:val="-2"/>
          </w:rPr>
          <w:t xml:space="preserve"> </w:t>
        </w:r>
        <w:r w:rsidRPr="00DF6938">
          <w:rPr>
            <w:rStyle w:val="Hipervnculo"/>
            <w:noProof/>
          </w:rPr>
          <w:t>del</w:t>
        </w:r>
        <w:r w:rsidRPr="00DF6938">
          <w:rPr>
            <w:rStyle w:val="Hipervnculo"/>
            <w:noProof/>
            <w:spacing w:val="-2"/>
          </w:rPr>
          <w:t xml:space="preserve"> Estado</w:t>
        </w:r>
        <w:r>
          <w:rPr>
            <w:noProof/>
            <w:webHidden/>
          </w:rPr>
          <w:tab/>
        </w:r>
        <w:r>
          <w:rPr>
            <w:noProof/>
            <w:webHidden/>
          </w:rPr>
          <w:fldChar w:fldCharType="begin"/>
        </w:r>
        <w:r>
          <w:rPr>
            <w:noProof/>
            <w:webHidden/>
          </w:rPr>
          <w:instrText xml:space="preserve"> PAGEREF _Toc112399599 \h </w:instrText>
        </w:r>
        <w:r>
          <w:rPr>
            <w:noProof/>
            <w:webHidden/>
          </w:rPr>
        </w:r>
        <w:r>
          <w:rPr>
            <w:noProof/>
            <w:webHidden/>
          </w:rPr>
          <w:fldChar w:fldCharType="separate"/>
        </w:r>
        <w:r>
          <w:rPr>
            <w:noProof/>
            <w:webHidden/>
          </w:rPr>
          <w:t>436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00" w:history="1">
        <w:r w:rsidRPr="00DF6938">
          <w:rPr>
            <w:rStyle w:val="Hipervnculo"/>
            <w:noProof/>
          </w:rPr>
          <w:t>5.9.</w:t>
        </w:r>
        <w:r>
          <w:rPr>
            <w:rFonts w:asciiTheme="minorHAnsi" w:eastAsiaTheme="minorEastAsia" w:hAnsiTheme="minorHAnsi" w:cstheme="minorBidi"/>
            <w:noProof/>
            <w:sz w:val="22"/>
            <w:szCs w:val="22"/>
            <w:lang w:val="es-CO" w:eastAsia="es-CO"/>
          </w:rPr>
          <w:tab/>
        </w:r>
        <w:r w:rsidRPr="00DF6938">
          <w:rPr>
            <w:rStyle w:val="Hipervnculo"/>
            <w:noProof/>
          </w:rPr>
          <w:t>El</w:t>
        </w:r>
        <w:r w:rsidRPr="00DF6938">
          <w:rPr>
            <w:rStyle w:val="Hipervnculo"/>
            <w:noProof/>
            <w:spacing w:val="-4"/>
          </w:rPr>
          <w:t xml:space="preserve"> </w:t>
        </w:r>
        <w:r w:rsidRPr="00DF6938">
          <w:rPr>
            <w:rStyle w:val="Hipervnculo"/>
            <w:noProof/>
          </w:rPr>
          <w:t>entramado</w:t>
        </w:r>
        <w:r w:rsidRPr="00DF6938">
          <w:rPr>
            <w:rStyle w:val="Hipervnculo"/>
            <w:noProof/>
            <w:spacing w:val="-2"/>
          </w:rPr>
          <w:t xml:space="preserve"> </w:t>
        </w:r>
        <w:r w:rsidRPr="00DF6938">
          <w:rPr>
            <w:rStyle w:val="Hipervnculo"/>
            <w:noProof/>
          </w:rPr>
          <w:t>con</w:t>
        </w:r>
        <w:r w:rsidRPr="00DF6938">
          <w:rPr>
            <w:rStyle w:val="Hipervnculo"/>
            <w:noProof/>
            <w:spacing w:val="-2"/>
          </w:rPr>
          <w:t xml:space="preserve"> </w:t>
        </w:r>
        <w:r w:rsidRPr="00DF6938">
          <w:rPr>
            <w:rStyle w:val="Hipervnculo"/>
            <w:noProof/>
          </w:rPr>
          <w:t>poderes</w:t>
        </w:r>
        <w:r w:rsidRPr="00DF6938">
          <w:rPr>
            <w:rStyle w:val="Hipervnculo"/>
            <w:noProof/>
            <w:spacing w:val="-2"/>
          </w:rPr>
          <w:t xml:space="preserve"> </w:t>
        </w:r>
        <w:r w:rsidRPr="00DF6938">
          <w:rPr>
            <w:rStyle w:val="Hipervnculo"/>
            <w:noProof/>
          </w:rPr>
          <w:t>económicos</w:t>
        </w:r>
        <w:r w:rsidRPr="00DF6938">
          <w:rPr>
            <w:rStyle w:val="Hipervnculo"/>
            <w:noProof/>
            <w:spacing w:val="-1"/>
          </w:rPr>
          <w:t xml:space="preserve"> </w:t>
        </w:r>
        <w:r w:rsidRPr="00DF6938">
          <w:rPr>
            <w:rStyle w:val="Hipervnculo"/>
            <w:noProof/>
          </w:rPr>
          <w:t>y</w:t>
        </w:r>
        <w:r w:rsidRPr="00DF6938">
          <w:rPr>
            <w:rStyle w:val="Hipervnculo"/>
            <w:noProof/>
            <w:spacing w:val="-2"/>
          </w:rPr>
          <w:t xml:space="preserve"> </w:t>
        </w:r>
        <w:r w:rsidRPr="00DF6938">
          <w:rPr>
            <w:rStyle w:val="Hipervnculo"/>
            <w:noProof/>
          </w:rPr>
          <w:t>la</w:t>
        </w:r>
        <w:r w:rsidRPr="00DF6938">
          <w:rPr>
            <w:rStyle w:val="Hipervnculo"/>
            <w:noProof/>
            <w:spacing w:val="-2"/>
          </w:rPr>
          <w:t xml:space="preserve"> </w:t>
        </w:r>
        <w:r w:rsidRPr="00DF6938">
          <w:rPr>
            <w:rStyle w:val="Hipervnculo"/>
            <w:noProof/>
          </w:rPr>
          <w:t>financiación</w:t>
        </w:r>
        <w:r w:rsidRPr="00DF6938">
          <w:rPr>
            <w:rStyle w:val="Hipervnculo"/>
            <w:noProof/>
            <w:spacing w:val="-2"/>
          </w:rPr>
          <w:t xml:space="preserve"> </w:t>
        </w:r>
        <w:r w:rsidRPr="00DF6938">
          <w:rPr>
            <w:rStyle w:val="Hipervnculo"/>
            <w:noProof/>
          </w:rPr>
          <w:t>de</w:t>
        </w:r>
        <w:r w:rsidRPr="00DF6938">
          <w:rPr>
            <w:rStyle w:val="Hipervnculo"/>
            <w:noProof/>
            <w:spacing w:val="-2"/>
          </w:rPr>
          <w:t xml:space="preserve"> </w:t>
        </w:r>
        <w:r w:rsidRPr="00DF6938">
          <w:rPr>
            <w:rStyle w:val="Hipervnculo"/>
            <w:noProof/>
          </w:rPr>
          <w:t>la</w:t>
        </w:r>
        <w:r w:rsidRPr="00DF6938">
          <w:rPr>
            <w:rStyle w:val="Hipervnculo"/>
            <w:noProof/>
            <w:spacing w:val="-1"/>
          </w:rPr>
          <w:t xml:space="preserve"> </w:t>
        </w:r>
        <w:r w:rsidRPr="00DF6938">
          <w:rPr>
            <w:rStyle w:val="Hipervnculo"/>
            <w:noProof/>
            <w:spacing w:val="-2"/>
          </w:rPr>
          <w:t>guerra</w:t>
        </w:r>
        <w:r>
          <w:rPr>
            <w:noProof/>
            <w:webHidden/>
          </w:rPr>
          <w:tab/>
        </w:r>
        <w:r>
          <w:rPr>
            <w:noProof/>
            <w:webHidden/>
          </w:rPr>
          <w:fldChar w:fldCharType="begin"/>
        </w:r>
        <w:r>
          <w:rPr>
            <w:noProof/>
            <w:webHidden/>
          </w:rPr>
          <w:instrText xml:space="preserve"> PAGEREF _Toc112399600 \h </w:instrText>
        </w:r>
        <w:r>
          <w:rPr>
            <w:noProof/>
            <w:webHidden/>
          </w:rPr>
        </w:r>
        <w:r>
          <w:rPr>
            <w:noProof/>
            <w:webHidden/>
          </w:rPr>
          <w:fldChar w:fldCharType="separate"/>
        </w:r>
        <w:r>
          <w:rPr>
            <w:noProof/>
            <w:webHidden/>
          </w:rPr>
          <w:t>442</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01" w:history="1">
        <w:r w:rsidRPr="00DF6938">
          <w:rPr>
            <w:rStyle w:val="Hipervnculo"/>
            <w:noProof/>
          </w:rPr>
          <w:t>5.10.</w:t>
        </w:r>
        <w:r>
          <w:rPr>
            <w:rFonts w:asciiTheme="minorHAnsi" w:eastAsiaTheme="minorEastAsia" w:hAnsiTheme="minorHAnsi" w:cstheme="minorBidi"/>
            <w:noProof/>
            <w:sz w:val="22"/>
            <w:szCs w:val="22"/>
            <w:lang w:val="es-CO" w:eastAsia="es-CO"/>
          </w:rPr>
          <w:tab/>
        </w:r>
        <w:r w:rsidRPr="00DF6938">
          <w:rPr>
            <w:rStyle w:val="Hipervnculo"/>
            <w:noProof/>
          </w:rPr>
          <w:t>El papel de la negación, los silencios y la impunidad en la persistencia del fenómeno paramilitar</w:t>
        </w:r>
        <w:r>
          <w:rPr>
            <w:noProof/>
            <w:webHidden/>
          </w:rPr>
          <w:tab/>
        </w:r>
        <w:r>
          <w:rPr>
            <w:noProof/>
            <w:webHidden/>
          </w:rPr>
          <w:fldChar w:fldCharType="begin"/>
        </w:r>
        <w:r>
          <w:rPr>
            <w:noProof/>
            <w:webHidden/>
          </w:rPr>
          <w:instrText xml:space="preserve"> PAGEREF _Toc112399601 \h </w:instrText>
        </w:r>
        <w:r>
          <w:rPr>
            <w:noProof/>
            <w:webHidden/>
          </w:rPr>
        </w:r>
        <w:r>
          <w:rPr>
            <w:noProof/>
            <w:webHidden/>
          </w:rPr>
          <w:fldChar w:fldCharType="separate"/>
        </w:r>
        <w:r>
          <w:rPr>
            <w:noProof/>
            <w:webHidden/>
          </w:rPr>
          <w:t>449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02" w:history="1">
        <w:r w:rsidRPr="00DF6938">
          <w:rPr>
            <w:rStyle w:val="Hipervnculo"/>
            <w:noProof/>
          </w:rPr>
          <w:t>5.11.</w:t>
        </w:r>
        <w:r>
          <w:rPr>
            <w:rFonts w:asciiTheme="minorHAnsi" w:eastAsiaTheme="minorEastAsia" w:hAnsiTheme="minorHAnsi" w:cstheme="minorBidi"/>
            <w:noProof/>
            <w:sz w:val="22"/>
            <w:szCs w:val="22"/>
            <w:lang w:val="es-CO" w:eastAsia="es-CO"/>
          </w:rPr>
          <w:tab/>
        </w:r>
        <w:r w:rsidRPr="00DF6938">
          <w:rPr>
            <w:rStyle w:val="Hipervnculo"/>
            <w:noProof/>
          </w:rPr>
          <w:t>¿Por</w:t>
        </w:r>
        <w:r w:rsidRPr="00DF6938">
          <w:rPr>
            <w:rStyle w:val="Hipervnculo"/>
            <w:noProof/>
            <w:spacing w:val="-2"/>
          </w:rPr>
          <w:t xml:space="preserve"> </w:t>
        </w:r>
        <w:r w:rsidRPr="00DF6938">
          <w:rPr>
            <w:rStyle w:val="Hipervnculo"/>
            <w:noProof/>
          </w:rPr>
          <w:t>qué</w:t>
        </w:r>
        <w:r w:rsidRPr="00DF6938">
          <w:rPr>
            <w:rStyle w:val="Hipervnculo"/>
            <w:noProof/>
            <w:spacing w:val="-2"/>
          </w:rPr>
          <w:t xml:space="preserve"> </w:t>
        </w:r>
        <w:r w:rsidRPr="00DF6938">
          <w:rPr>
            <w:rStyle w:val="Hipervnculo"/>
            <w:noProof/>
          </w:rPr>
          <w:t>el</w:t>
        </w:r>
        <w:r w:rsidRPr="00DF6938">
          <w:rPr>
            <w:rStyle w:val="Hipervnculo"/>
            <w:noProof/>
            <w:spacing w:val="-2"/>
          </w:rPr>
          <w:t xml:space="preserve"> </w:t>
        </w:r>
        <w:r w:rsidRPr="00DF6938">
          <w:rPr>
            <w:rStyle w:val="Hipervnculo"/>
            <w:noProof/>
          </w:rPr>
          <w:t>paramilitarismo</w:t>
        </w:r>
        <w:r w:rsidRPr="00DF6938">
          <w:rPr>
            <w:rStyle w:val="Hipervnculo"/>
            <w:noProof/>
            <w:spacing w:val="-1"/>
          </w:rPr>
          <w:t xml:space="preserve"> </w:t>
        </w:r>
        <w:r w:rsidRPr="00DF6938">
          <w:rPr>
            <w:rStyle w:val="Hipervnculo"/>
            <w:noProof/>
            <w:spacing w:val="-2"/>
          </w:rPr>
          <w:t>persiste?</w:t>
        </w:r>
        <w:r>
          <w:rPr>
            <w:noProof/>
            <w:webHidden/>
          </w:rPr>
          <w:tab/>
        </w:r>
        <w:r>
          <w:rPr>
            <w:noProof/>
            <w:webHidden/>
          </w:rPr>
          <w:fldChar w:fldCharType="begin"/>
        </w:r>
        <w:r>
          <w:rPr>
            <w:noProof/>
            <w:webHidden/>
          </w:rPr>
          <w:instrText xml:space="preserve"> PAGEREF _Toc112399602 \h </w:instrText>
        </w:r>
        <w:r>
          <w:rPr>
            <w:noProof/>
            <w:webHidden/>
          </w:rPr>
        </w:r>
        <w:r>
          <w:rPr>
            <w:noProof/>
            <w:webHidden/>
          </w:rPr>
          <w:fldChar w:fldCharType="separate"/>
        </w:r>
        <w:r>
          <w:rPr>
            <w:noProof/>
            <w:webHidden/>
          </w:rPr>
          <w:t>459</w:t>
        </w:r>
        <w:r>
          <w:rPr>
            <w:noProof/>
            <w:webHidden/>
          </w:rPr>
          <w:fldChar w:fldCharType="end"/>
        </w:r>
      </w:hyperlink>
    </w:p>
    <w:p w:rsidR="00513F80" w:rsidRDefault="00513F80">
      <w:pPr>
        <w:pStyle w:val="TDC3"/>
        <w:tabs>
          <w:tab w:val="right" w:leader="dot" w:pos="8828"/>
        </w:tabs>
        <w:rPr>
          <w:rFonts w:asciiTheme="minorHAnsi" w:eastAsiaTheme="minorEastAsia" w:hAnsiTheme="minorHAnsi" w:cstheme="minorBidi"/>
          <w:noProof/>
          <w:sz w:val="22"/>
          <w:szCs w:val="22"/>
          <w:lang w:val="es-CO" w:eastAsia="es-CO"/>
        </w:rPr>
      </w:pPr>
      <w:hyperlink w:anchor="_Toc112399603" w:history="1">
        <w:r w:rsidRPr="00DF6938">
          <w:rPr>
            <w:rStyle w:val="Hipervnculo"/>
            <w:noProof/>
          </w:rPr>
          <w:t>Bibliografía</w:t>
        </w:r>
        <w:r>
          <w:rPr>
            <w:noProof/>
            <w:webHidden/>
          </w:rPr>
          <w:tab/>
        </w:r>
        <w:r>
          <w:rPr>
            <w:noProof/>
            <w:webHidden/>
          </w:rPr>
          <w:fldChar w:fldCharType="begin"/>
        </w:r>
        <w:r>
          <w:rPr>
            <w:noProof/>
            <w:webHidden/>
          </w:rPr>
          <w:instrText xml:space="preserve"> PAGEREF _Toc112399603 \h </w:instrText>
        </w:r>
        <w:r>
          <w:rPr>
            <w:noProof/>
            <w:webHidden/>
          </w:rPr>
        </w:r>
        <w:r>
          <w:rPr>
            <w:noProof/>
            <w:webHidden/>
          </w:rPr>
          <w:fldChar w:fldCharType="separate"/>
        </w:r>
        <w:r>
          <w:rPr>
            <w:noProof/>
            <w:webHidden/>
          </w:rPr>
          <w:t>466</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604" w:history="1">
        <w:r w:rsidRPr="00DF6938">
          <w:rPr>
            <w:rStyle w:val="Hipervnculo"/>
            <w:noProof/>
          </w:rPr>
          <w:t>6.</w:t>
        </w:r>
        <w:r>
          <w:rPr>
            <w:rFonts w:asciiTheme="minorHAnsi" w:eastAsiaTheme="minorEastAsia" w:hAnsiTheme="minorHAnsi" w:cstheme="minorBidi"/>
            <w:b w:val="0"/>
            <w:bCs w:val="0"/>
            <w:iCs w:val="0"/>
            <w:noProof/>
            <w:sz w:val="22"/>
            <w:lang w:val="es-CO" w:eastAsia="es-CO"/>
          </w:rPr>
          <w:tab/>
        </w:r>
        <w:r w:rsidRPr="00DF6938">
          <w:rPr>
            <w:rStyle w:val="Hipervnculo"/>
            <w:noProof/>
          </w:rPr>
          <w:t>NARCOTRÁFICO</w:t>
        </w:r>
        <w:r w:rsidRPr="00DF6938">
          <w:rPr>
            <w:rStyle w:val="Hipervnculo"/>
            <w:noProof/>
            <w:spacing w:val="80"/>
          </w:rPr>
          <w:t xml:space="preserve"> </w:t>
        </w:r>
        <w:r w:rsidRPr="00DF6938">
          <w:rPr>
            <w:rStyle w:val="Hipervnculo"/>
            <w:noProof/>
          </w:rPr>
          <w:t>COMO</w:t>
        </w:r>
        <w:r w:rsidRPr="00DF6938">
          <w:rPr>
            <w:rStyle w:val="Hipervnculo"/>
            <w:noProof/>
            <w:spacing w:val="80"/>
          </w:rPr>
          <w:t xml:space="preserve"> </w:t>
        </w:r>
        <w:r w:rsidRPr="00DF6938">
          <w:rPr>
            <w:rStyle w:val="Hipervnculo"/>
            <w:noProof/>
          </w:rPr>
          <w:t>PROTAGONISTA</w:t>
        </w:r>
        <w:r w:rsidRPr="00DF6938">
          <w:rPr>
            <w:rStyle w:val="Hipervnculo"/>
            <w:noProof/>
            <w:spacing w:val="80"/>
          </w:rPr>
          <w:t xml:space="preserve"> </w:t>
        </w:r>
        <w:r w:rsidRPr="00DF6938">
          <w:rPr>
            <w:rStyle w:val="Hipervnculo"/>
            <w:noProof/>
          </w:rPr>
          <w:t>DEL</w:t>
        </w:r>
        <w:r w:rsidRPr="00DF6938">
          <w:rPr>
            <w:rStyle w:val="Hipervnculo"/>
            <w:noProof/>
            <w:spacing w:val="80"/>
          </w:rPr>
          <w:t xml:space="preserve"> </w:t>
        </w:r>
        <w:r w:rsidRPr="00DF6938">
          <w:rPr>
            <w:rStyle w:val="Hipervnculo"/>
            <w:noProof/>
          </w:rPr>
          <w:t>CONFLICTO ARMADO Y FACTOR DE SU PERSISTENCIA</w:t>
        </w:r>
        <w:r>
          <w:rPr>
            <w:noProof/>
            <w:webHidden/>
          </w:rPr>
          <w:tab/>
        </w:r>
        <w:r>
          <w:rPr>
            <w:noProof/>
            <w:webHidden/>
          </w:rPr>
          <w:fldChar w:fldCharType="begin"/>
        </w:r>
        <w:r>
          <w:rPr>
            <w:noProof/>
            <w:webHidden/>
          </w:rPr>
          <w:instrText xml:space="preserve"> PAGEREF _Toc112399604 \h </w:instrText>
        </w:r>
        <w:r>
          <w:rPr>
            <w:noProof/>
            <w:webHidden/>
          </w:rPr>
        </w:r>
        <w:r>
          <w:rPr>
            <w:noProof/>
            <w:webHidden/>
          </w:rPr>
          <w:fldChar w:fldCharType="separate"/>
        </w:r>
        <w:r>
          <w:rPr>
            <w:noProof/>
            <w:webHidden/>
          </w:rPr>
          <w:t>489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05" w:history="1">
        <w:r w:rsidRPr="00DF6938">
          <w:rPr>
            <w:rStyle w:val="Hipervnculo"/>
            <w:noProof/>
          </w:rPr>
          <w:t>6.1.</w:t>
        </w:r>
        <w:r>
          <w:rPr>
            <w:rFonts w:asciiTheme="minorHAnsi" w:eastAsiaTheme="minorEastAsia" w:hAnsiTheme="minorHAnsi" w:cstheme="minorBidi"/>
            <w:noProof/>
            <w:sz w:val="22"/>
            <w:szCs w:val="22"/>
            <w:lang w:val="es-CO" w:eastAsia="es-CO"/>
          </w:rPr>
          <w:tab/>
        </w:r>
        <w:r w:rsidRPr="00DF6938">
          <w:rPr>
            <w:rStyle w:val="Hipervnculo"/>
            <w:noProof/>
          </w:rPr>
          <w:t>Relación</w:t>
        </w:r>
        <w:r w:rsidRPr="00DF6938">
          <w:rPr>
            <w:rStyle w:val="Hipervnculo"/>
            <w:noProof/>
            <w:spacing w:val="-5"/>
          </w:rPr>
          <w:t xml:space="preserve"> </w:t>
        </w:r>
        <w:r w:rsidRPr="00DF6938">
          <w:rPr>
            <w:rStyle w:val="Hipervnculo"/>
            <w:noProof/>
          </w:rPr>
          <w:t>del</w:t>
        </w:r>
        <w:r w:rsidRPr="00DF6938">
          <w:rPr>
            <w:rStyle w:val="Hipervnculo"/>
            <w:noProof/>
            <w:spacing w:val="-1"/>
          </w:rPr>
          <w:t xml:space="preserve"> </w:t>
        </w:r>
        <w:r w:rsidRPr="00DF6938">
          <w:rPr>
            <w:rStyle w:val="Hipervnculo"/>
            <w:noProof/>
          </w:rPr>
          <w:t>narcotráfico</w:t>
        </w:r>
        <w:r w:rsidRPr="00DF6938">
          <w:rPr>
            <w:rStyle w:val="Hipervnculo"/>
            <w:noProof/>
            <w:spacing w:val="-4"/>
          </w:rPr>
          <w:t xml:space="preserve"> </w:t>
        </w:r>
        <w:r w:rsidRPr="00DF6938">
          <w:rPr>
            <w:rStyle w:val="Hipervnculo"/>
            <w:noProof/>
          </w:rPr>
          <w:t>con</w:t>
        </w:r>
        <w:r w:rsidRPr="00DF6938">
          <w:rPr>
            <w:rStyle w:val="Hipervnculo"/>
            <w:noProof/>
            <w:spacing w:val="-2"/>
          </w:rPr>
          <w:t xml:space="preserve"> </w:t>
        </w:r>
        <w:r w:rsidRPr="00DF6938">
          <w:rPr>
            <w:rStyle w:val="Hipervnculo"/>
            <w:noProof/>
          </w:rPr>
          <w:t>el</w:t>
        </w:r>
        <w:r w:rsidRPr="00DF6938">
          <w:rPr>
            <w:rStyle w:val="Hipervnculo"/>
            <w:noProof/>
            <w:spacing w:val="-2"/>
          </w:rPr>
          <w:t xml:space="preserve"> </w:t>
        </w:r>
        <w:r w:rsidRPr="00DF6938">
          <w:rPr>
            <w:rStyle w:val="Hipervnculo"/>
            <w:noProof/>
          </w:rPr>
          <w:t>conflicto</w:t>
        </w:r>
        <w:r w:rsidRPr="00DF6938">
          <w:rPr>
            <w:rStyle w:val="Hipervnculo"/>
            <w:noProof/>
            <w:spacing w:val="-1"/>
          </w:rPr>
          <w:t xml:space="preserve"> </w:t>
        </w:r>
        <w:r w:rsidRPr="00DF6938">
          <w:rPr>
            <w:rStyle w:val="Hipervnculo"/>
            <w:noProof/>
            <w:spacing w:val="-2"/>
          </w:rPr>
          <w:t>armado</w:t>
        </w:r>
        <w:r>
          <w:rPr>
            <w:noProof/>
            <w:webHidden/>
          </w:rPr>
          <w:tab/>
        </w:r>
        <w:r>
          <w:rPr>
            <w:noProof/>
            <w:webHidden/>
          </w:rPr>
          <w:fldChar w:fldCharType="begin"/>
        </w:r>
        <w:r>
          <w:rPr>
            <w:noProof/>
            <w:webHidden/>
          </w:rPr>
          <w:instrText xml:space="preserve"> PAGEREF _Toc112399605 \h </w:instrText>
        </w:r>
        <w:r>
          <w:rPr>
            <w:noProof/>
            <w:webHidden/>
          </w:rPr>
        </w:r>
        <w:r>
          <w:rPr>
            <w:noProof/>
            <w:webHidden/>
          </w:rPr>
          <w:fldChar w:fldCharType="separate"/>
        </w:r>
        <w:r>
          <w:rPr>
            <w:noProof/>
            <w:webHidden/>
          </w:rPr>
          <w:t>493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06" w:history="1">
        <w:r w:rsidRPr="00DF6938">
          <w:rPr>
            <w:rStyle w:val="Hipervnculo"/>
            <w:noProof/>
          </w:rPr>
          <w:t>6.2.</w:t>
        </w:r>
        <w:r>
          <w:rPr>
            <w:rFonts w:asciiTheme="minorHAnsi" w:eastAsiaTheme="minorEastAsia" w:hAnsiTheme="minorHAnsi" w:cstheme="minorBidi"/>
            <w:noProof/>
            <w:sz w:val="22"/>
            <w:szCs w:val="22"/>
            <w:lang w:val="es-CO" w:eastAsia="es-CO"/>
          </w:rPr>
          <w:tab/>
        </w:r>
        <w:r w:rsidRPr="00DF6938">
          <w:rPr>
            <w:rStyle w:val="Hipervnculo"/>
            <w:noProof/>
          </w:rPr>
          <w:t>Dinámicas</w:t>
        </w:r>
        <w:r w:rsidRPr="00DF6938">
          <w:rPr>
            <w:rStyle w:val="Hipervnculo"/>
            <w:noProof/>
            <w:spacing w:val="-4"/>
          </w:rPr>
          <w:t xml:space="preserve"> </w:t>
        </w:r>
        <w:r w:rsidRPr="00DF6938">
          <w:rPr>
            <w:rStyle w:val="Hipervnculo"/>
            <w:noProof/>
          </w:rPr>
          <w:t>económicas</w:t>
        </w:r>
        <w:r w:rsidRPr="00DF6938">
          <w:rPr>
            <w:rStyle w:val="Hipervnculo"/>
            <w:noProof/>
            <w:spacing w:val="-2"/>
          </w:rPr>
          <w:t xml:space="preserve"> </w:t>
        </w:r>
        <w:r w:rsidRPr="00DF6938">
          <w:rPr>
            <w:rStyle w:val="Hipervnculo"/>
            <w:noProof/>
          </w:rPr>
          <w:t>rurales</w:t>
        </w:r>
        <w:r w:rsidRPr="00DF6938">
          <w:rPr>
            <w:rStyle w:val="Hipervnculo"/>
            <w:noProof/>
            <w:spacing w:val="-3"/>
          </w:rPr>
          <w:t xml:space="preserve"> </w:t>
        </w:r>
        <w:r w:rsidRPr="00DF6938">
          <w:rPr>
            <w:rStyle w:val="Hipervnculo"/>
            <w:noProof/>
          </w:rPr>
          <w:t>y</w:t>
        </w:r>
        <w:r w:rsidRPr="00DF6938">
          <w:rPr>
            <w:rStyle w:val="Hipervnculo"/>
            <w:noProof/>
            <w:spacing w:val="-2"/>
          </w:rPr>
          <w:t xml:space="preserve"> </w:t>
        </w:r>
        <w:r w:rsidRPr="00DF6938">
          <w:rPr>
            <w:rStyle w:val="Hipervnculo"/>
            <w:noProof/>
          </w:rPr>
          <w:t>poblaciones</w:t>
        </w:r>
        <w:r w:rsidRPr="00DF6938">
          <w:rPr>
            <w:rStyle w:val="Hipervnculo"/>
            <w:noProof/>
            <w:spacing w:val="-2"/>
          </w:rPr>
          <w:t xml:space="preserve"> </w:t>
        </w:r>
        <w:r w:rsidRPr="00DF6938">
          <w:rPr>
            <w:rStyle w:val="Hipervnculo"/>
            <w:noProof/>
          </w:rPr>
          <w:t>de</w:t>
        </w:r>
        <w:r w:rsidRPr="00DF6938">
          <w:rPr>
            <w:rStyle w:val="Hipervnculo"/>
            <w:noProof/>
            <w:spacing w:val="-2"/>
          </w:rPr>
          <w:t xml:space="preserve"> </w:t>
        </w:r>
        <w:r w:rsidRPr="00DF6938">
          <w:rPr>
            <w:rStyle w:val="Hipervnculo"/>
            <w:noProof/>
          </w:rPr>
          <w:t>las</w:t>
        </w:r>
        <w:r w:rsidRPr="00DF6938">
          <w:rPr>
            <w:rStyle w:val="Hipervnculo"/>
            <w:noProof/>
            <w:spacing w:val="-2"/>
          </w:rPr>
          <w:t xml:space="preserve"> </w:t>
        </w:r>
        <w:r w:rsidRPr="00DF6938">
          <w:rPr>
            <w:rStyle w:val="Hipervnculo"/>
            <w:noProof/>
          </w:rPr>
          <w:t>economías</w:t>
        </w:r>
        <w:r w:rsidRPr="00DF6938">
          <w:rPr>
            <w:rStyle w:val="Hipervnculo"/>
            <w:noProof/>
            <w:spacing w:val="-2"/>
          </w:rPr>
          <w:t xml:space="preserve"> </w:t>
        </w:r>
        <w:r w:rsidRPr="00DF6938">
          <w:rPr>
            <w:rStyle w:val="Hipervnculo"/>
            <w:noProof/>
          </w:rPr>
          <w:t>de</w:t>
        </w:r>
        <w:r w:rsidRPr="00DF6938">
          <w:rPr>
            <w:rStyle w:val="Hipervnculo"/>
            <w:noProof/>
            <w:spacing w:val="-2"/>
          </w:rPr>
          <w:t xml:space="preserve"> </w:t>
        </w:r>
        <w:r w:rsidRPr="00DF6938">
          <w:rPr>
            <w:rStyle w:val="Hipervnculo"/>
            <w:noProof/>
          </w:rPr>
          <w:t>la</w:t>
        </w:r>
        <w:r w:rsidRPr="00DF6938">
          <w:rPr>
            <w:rStyle w:val="Hipervnculo"/>
            <w:noProof/>
            <w:spacing w:val="-1"/>
          </w:rPr>
          <w:t xml:space="preserve"> </w:t>
        </w:r>
        <w:r w:rsidRPr="00DF6938">
          <w:rPr>
            <w:rStyle w:val="Hipervnculo"/>
            <w:noProof/>
            <w:spacing w:val="-4"/>
          </w:rPr>
          <w:t>coca</w:t>
        </w:r>
        <w:r>
          <w:rPr>
            <w:noProof/>
            <w:webHidden/>
          </w:rPr>
          <w:tab/>
        </w:r>
        <w:r>
          <w:rPr>
            <w:noProof/>
            <w:webHidden/>
          </w:rPr>
          <w:fldChar w:fldCharType="begin"/>
        </w:r>
        <w:r>
          <w:rPr>
            <w:noProof/>
            <w:webHidden/>
          </w:rPr>
          <w:instrText xml:space="preserve"> PAGEREF _Toc112399606 \h </w:instrText>
        </w:r>
        <w:r>
          <w:rPr>
            <w:noProof/>
            <w:webHidden/>
          </w:rPr>
        </w:r>
        <w:r>
          <w:rPr>
            <w:noProof/>
            <w:webHidden/>
          </w:rPr>
          <w:fldChar w:fldCharType="separate"/>
        </w:r>
        <w:r>
          <w:rPr>
            <w:noProof/>
            <w:webHidden/>
          </w:rPr>
          <w:t>501</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07" w:history="1">
        <w:r w:rsidRPr="00DF6938">
          <w:rPr>
            <w:rStyle w:val="Hipervnculo"/>
            <w:noProof/>
          </w:rPr>
          <w:t>6.3.</w:t>
        </w:r>
        <w:r>
          <w:rPr>
            <w:rFonts w:asciiTheme="minorHAnsi" w:eastAsiaTheme="minorEastAsia" w:hAnsiTheme="minorHAnsi" w:cstheme="minorBidi"/>
            <w:noProof/>
            <w:sz w:val="22"/>
            <w:szCs w:val="22"/>
            <w:lang w:val="es-CO" w:eastAsia="es-CO"/>
          </w:rPr>
          <w:tab/>
        </w:r>
        <w:r w:rsidRPr="00DF6938">
          <w:rPr>
            <w:rStyle w:val="Hipervnculo"/>
            <w:noProof/>
          </w:rPr>
          <w:t>Narcotráfico,</w:t>
        </w:r>
        <w:r w:rsidRPr="00DF6938">
          <w:rPr>
            <w:rStyle w:val="Hipervnculo"/>
            <w:noProof/>
            <w:spacing w:val="-4"/>
          </w:rPr>
          <w:t xml:space="preserve"> </w:t>
        </w:r>
        <w:r w:rsidRPr="00DF6938">
          <w:rPr>
            <w:rStyle w:val="Hipervnculo"/>
            <w:noProof/>
          </w:rPr>
          <w:t>poder</w:t>
        </w:r>
        <w:r w:rsidRPr="00DF6938">
          <w:rPr>
            <w:rStyle w:val="Hipervnculo"/>
            <w:noProof/>
            <w:spacing w:val="-1"/>
          </w:rPr>
          <w:t xml:space="preserve"> </w:t>
        </w:r>
        <w:r w:rsidRPr="00DF6938">
          <w:rPr>
            <w:rStyle w:val="Hipervnculo"/>
            <w:noProof/>
          </w:rPr>
          <w:t>político</w:t>
        </w:r>
        <w:r w:rsidRPr="00DF6938">
          <w:rPr>
            <w:rStyle w:val="Hipervnculo"/>
            <w:noProof/>
            <w:spacing w:val="-2"/>
          </w:rPr>
          <w:t xml:space="preserve"> </w:t>
        </w:r>
        <w:r w:rsidRPr="00DF6938">
          <w:rPr>
            <w:rStyle w:val="Hipervnculo"/>
            <w:noProof/>
          </w:rPr>
          <w:t>y</w:t>
        </w:r>
        <w:r w:rsidRPr="00DF6938">
          <w:rPr>
            <w:rStyle w:val="Hipervnculo"/>
            <w:noProof/>
            <w:spacing w:val="-3"/>
          </w:rPr>
          <w:t xml:space="preserve"> </w:t>
        </w:r>
        <w:r w:rsidRPr="00DF6938">
          <w:rPr>
            <w:rStyle w:val="Hipervnculo"/>
            <w:noProof/>
          </w:rPr>
          <w:t>modelo</w:t>
        </w:r>
        <w:r w:rsidRPr="00DF6938">
          <w:rPr>
            <w:rStyle w:val="Hipervnculo"/>
            <w:noProof/>
            <w:spacing w:val="-1"/>
          </w:rPr>
          <w:t xml:space="preserve"> </w:t>
        </w:r>
        <w:r w:rsidRPr="00DF6938">
          <w:rPr>
            <w:rStyle w:val="Hipervnculo"/>
            <w:noProof/>
          </w:rPr>
          <w:t>de</w:t>
        </w:r>
        <w:r w:rsidRPr="00DF6938">
          <w:rPr>
            <w:rStyle w:val="Hipervnculo"/>
            <w:noProof/>
            <w:spacing w:val="-2"/>
          </w:rPr>
          <w:t xml:space="preserve"> Estado</w:t>
        </w:r>
        <w:r>
          <w:rPr>
            <w:noProof/>
            <w:webHidden/>
          </w:rPr>
          <w:tab/>
        </w:r>
        <w:r>
          <w:rPr>
            <w:noProof/>
            <w:webHidden/>
          </w:rPr>
          <w:fldChar w:fldCharType="begin"/>
        </w:r>
        <w:r>
          <w:rPr>
            <w:noProof/>
            <w:webHidden/>
          </w:rPr>
          <w:instrText xml:space="preserve"> PAGEREF _Toc112399607 \h </w:instrText>
        </w:r>
        <w:r>
          <w:rPr>
            <w:noProof/>
            <w:webHidden/>
          </w:rPr>
        </w:r>
        <w:r>
          <w:rPr>
            <w:noProof/>
            <w:webHidden/>
          </w:rPr>
          <w:fldChar w:fldCharType="separate"/>
        </w:r>
        <w:r>
          <w:rPr>
            <w:noProof/>
            <w:webHidden/>
          </w:rPr>
          <w:t>507</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08" w:history="1">
        <w:r w:rsidRPr="00DF6938">
          <w:rPr>
            <w:rStyle w:val="Hipervnculo"/>
            <w:noProof/>
          </w:rPr>
          <w:t>6.4.</w:t>
        </w:r>
        <w:r>
          <w:rPr>
            <w:rFonts w:asciiTheme="minorHAnsi" w:eastAsiaTheme="minorEastAsia" w:hAnsiTheme="minorHAnsi" w:cstheme="minorBidi"/>
            <w:noProof/>
            <w:sz w:val="22"/>
            <w:szCs w:val="22"/>
            <w:lang w:val="es-CO" w:eastAsia="es-CO"/>
          </w:rPr>
          <w:tab/>
        </w:r>
        <w:r w:rsidRPr="00DF6938">
          <w:rPr>
            <w:rStyle w:val="Hipervnculo"/>
            <w:noProof/>
          </w:rPr>
          <w:t>El</w:t>
        </w:r>
        <w:r w:rsidRPr="00DF6938">
          <w:rPr>
            <w:rStyle w:val="Hipervnculo"/>
            <w:noProof/>
            <w:spacing w:val="-2"/>
          </w:rPr>
          <w:t xml:space="preserve"> </w:t>
        </w:r>
        <w:r w:rsidRPr="00DF6938">
          <w:rPr>
            <w:rStyle w:val="Hipervnculo"/>
            <w:noProof/>
          </w:rPr>
          <w:t>narcotráfico</w:t>
        </w:r>
        <w:r w:rsidRPr="00DF6938">
          <w:rPr>
            <w:rStyle w:val="Hipervnculo"/>
            <w:noProof/>
            <w:spacing w:val="-1"/>
          </w:rPr>
          <w:t xml:space="preserve"> </w:t>
        </w:r>
        <w:r w:rsidRPr="00DF6938">
          <w:rPr>
            <w:rStyle w:val="Hipervnculo"/>
            <w:noProof/>
          </w:rPr>
          <w:t>como</w:t>
        </w:r>
        <w:r w:rsidRPr="00DF6938">
          <w:rPr>
            <w:rStyle w:val="Hipervnculo"/>
            <w:noProof/>
            <w:spacing w:val="-1"/>
          </w:rPr>
          <w:t xml:space="preserve"> </w:t>
        </w:r>
        <w:r w:rsidRPr="00DF6938">
          <w:rPr>
            <w:rStyle w:val="Hipervnculo"/>
            <w:noProof/>
          </w:rPr>
          <w:t>actor</w:t>
        </w:r>
        <w:r w:rsidRPr="00DF6938">
          <w:rPr>
            <w:rStyle w:val="Hipervnculo"/>
            <w:noProof/>
            <w:spacing w:val="-2"/>
          </w:rPr>
          <w:t xml:space="preserve"> contrainsurgente</w:t>
        </w:r>
        <w:r>
          <w:rPr>
            <w:noProof/>
            <w:webHidden/>
          </w:rPr>
          <w:tab/>
        </w:r>
        <w:r>
          <w:rPr>
            <w:noProof/>
            <w:webHidden/>
          </w:rPr>
          <w:fldChar w:fldCharType="begin"/>
        </w:r>
        <w:r>
          <w:rPr>
            <w:noProof/>
            <w:webHidden/>
          </w:rPr>
          <w:instrText xml:space="preserve"> PAGEREF _Toc112399608 \h </w:instrText>
        </w:r>
        <w:r>
          <w:rPr>
            <w:noProof/>
            <w:webHidden/>
          </w:rPr>
        </w:r>
        <w:r>
          <w:rPr>
            <w:noProof/>
            <w:webHidden/>
          </w:rPr>
          <w:fldChar w:fldCharType="separate"/>
        </w:r>
        <w:r>
          <w:rPr>
            <w:noProof/>
            <w:webHidden/>
          </w:rPr>
          <w:t>534</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09" w:history="1">
        <w:r w:rsidRPr="00DF6938">
          <w:rPr>
            <w:rStyle w:val="Hipervnculo"/>
            <w:noProof/>
          </w:rPr>
          <w:t>6.5.</w:t>
        </w:r>
        <w:r>
          <w:rPr>
            <w:rFonts w:asciiTheme="minorHAnsi" w:eastAsiaTheme="minorEastAsia" w:hAnsiTheme="minorHAnsi" w:cstheme="minorBidi"/>
            <w:noProof/>
            <w:sz w:val="22"/>
            <w:szCs w:val="22"/>
            <w:lang w:val="es-CO" w:eastAsia="es-CO"/>
          </w:rPr>
          <w:tab/>
        </w:r>
        <w:r w:rsidRPr="00DF6938">
          <w:rPr>
            <w:rStyle w:val="Hipervnculo"/>
            <w:noProof/>
          </w:rPr>
          <w:t>La</w:t>
        </w:r>
        <w:r w:rsidRPr="00DF6938">
          <w:rPr>
            <w:rStyle w:val="Hipervnculo"/>
            <w:noProof/>
            <w:spacing w:val="-2"/>
          </w:rPr>
          <w:t xml:space="preserve"> </w:t>
        </w:r>
        <w:r w:rsidRPr="00DF6938">
          <w:rPr>
            <w:rStyle w:val="Hipervnculo"/>
            <w:noProof/>
          </w:rPr>
          <w:t>violencia</w:t>
        </w:r>
        <w:r w:rsidRPr="00DF6938">
          <w:rPr>
            <w:rStyle w:val="Hipervnculo"/>
            <w:noProof/>
            <w:spacing w:val="-1"/>
          </w:rPr>
          <w:t xml:space="preserve"> </w:t>
        </w:r>
        <w:r w:rsidRPr="00DF6938">
          <w:rPr>
            <w:rStyle w:val="Hipervnculo"/>
            <w:noProof/>
          </w:rPr>
          <w:t>en</w:t>
        </w:r>
        <w:r w:rsidRPr="00DF6938">
          <w:rPr>
            <w:rStyle w:val="Hipervnculo"/>
            <w:noProof/>
            <w:spacing w:val="-2"/>
          </w:rPr>
          <w:t xml:space="preserve"> </w:t>
        </w:r>
        <w:r w:rsidRPr="00DF6938">
          <w:rPr>
            <w:rStyle w:val="Hipervnculo"/>
            <w:noProof/>
          </w:rPr>
          <w:t>la</w:t>
        </w:r>
        <w:r w:rsidRPr="00DF6938">
          <w:rPr>
            <w:rStyle w:val="Hipervnculo"/>
            <w:noProof/>
            <w:spacing w:val="-3"/>
          </w:rPr>
          <w:t xml:space="preserve"> </w:t>
        </w:r>
        <w:r w:rsidRPr="00DF6938">
          <w:rPr>
            <w:rStyle w:val="Hipervnculo"/>
            <w:noProof/>
          </w:rPr>
          <w:t>disputa</w:t>
        </w:r>
        <w:r w:rsidRPr="00DF6938">
          <w:rPr>
            <w:rStyle w:val="Hipervnculo"/>
            <w:noProof/>
            <w:spacing w:val="-1"/>
          </w:rPr>
          <w:t xml:space="preserve"> </w:t>
        </w:r>
        <w:r w:rsidRPr="00DF6938">
          <w:rPr>
            <w:rStyle w:val="Hipervnculo"/>
            <w:noProof/>
          </w:rPr>
          <w:t>del</w:t>
        </w:r>
        <w:r w:rsidRPr="00DF6938">
          <w:rPr>
            <w:rStyle w:val="Hipervnculo"/>
            <w:noProof/>
            <w:spacing w:val="-2"/>
          </w:rPr>
          <w:t xml:space="preserve"> narcotráfico</w:t>
        </w:r>
        <w:r>
          <w:rPr>
            <w:noProof/>
            <w:webHidden/>
          </w:rPr>
          <w:tab/>
        </w:r>
        <w:r>
          <w:rPr>
            <w:noProof/>
            <w:webHidden/>
          </w:rPr>
          <w:fldChar w:fldCharType="begin"/>
        </w:r>
        <w:r>
          <w:rPr>
            <w:noProof/>
            <w:webHidden/>
          </w:rPr>
          <w:instrText xml:space="preserve"> PAGEREF _Toc112399609 \h </w:instrText>
        </w:r>
        <w:r>
          <w:rPr>
            <w:noProof/>
            <w:webHidden/>
          </w:rPr>
        </w:r>
        <w:r>
          <w:rPr>
            <w:noProof/>
            <w:webHidden/>
          </w:rPr>
          <w:fldChar w:fldCharType="separate"/>
        </w:r>
        <w:r>
          <w:rPr>
            <w:noProof/>
            <w:webHidden/>
          </w:rPr>
          <w:t>538</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10" w:history="1">
        <w:r w:rsidRPr="00DF6938">
          <w:rPr>
            <w:rStyle w:val="Hipervnculo"/>
            <w:noProof/>
          </w:rPr>
          <w:t>6.6.</w:t>
        </w:r>
        <w:r>
          <w:rPr>
            <w:rFonts w:asciiTheme="minorHAnsi" w:eastAsiaTheme="minorEastAsia" w:hAnsiTheme="minorHAnsi" w:cstheme="minorBidi"/>
            <w:noProof/>
            <w:sz w:val="22"/>
            <w:szCs w:val="22"/>
            <w:lang w:val="es-CO" w:eastAsia="es-CO"/>
          </w:rPr>
          <w:tab/>
        </w:r>
        <w:r w:rsidRPr="00DF6938">
          <w:rPr>
            <w:rStyle w:val="Hipervnculo"/>
            <w:noProof/>
          </w:rPr>
          <w:t>Relaciones</w:t>
        </w:r>
        <w:r w:rsidRPr="00DF6938">
          <w:rPr>
            <w:rStyle w:val="Hipervnculo"/>
            <w:noProof/>
            <w:spacing w:val="-4"/>
          </w:rPr>
          <w:t xml:space="preserve"> </w:t>
        </w:r>
        <w:r w:rsidRPr="00DF6938">
          <w:rPr>
            <w:rStyle w:val="Hipervnculo"/>
            <w:noProof/>
          </w:rPr>
          <w:t>entre</w:t>
        </w:r>
        <w:r w:rsidRPr="00DF6938">
          <w:rPr>
            <w:rStyle w:val="Hipervnculo"/>
            <w:noProof/>
            <w:spacing w:val="-2"/>
          </w:rPr>
          <w:t xml:space="preserve"> </w:t>
        </w:r>
        <w:r w:rsidRPr="00DF6938">
          <w:rPr>
            <w:rStyle w:val="Hipervnculo"/>
            <w:noProof/>
          </w:rPr>
          <w:t>insurgencias</w:t>
        </w:r>
        <w:r w:rsidRPr="00DF6938">
          <w:rPr>
            <w:rStyle w:val="Hipervnculo"/>
            <w:noProof/>
            <w:spacing w:val="-4"/>
          </w:rPr>
          <w:t xml:space="preserve"> </w:t>
        </w:r>
        <w:r w:rsidRPr="00DF6938">
          <w:rPr>
            <w:rStyle w:val="Hipervnculo"/>
            <w:noProof/>
          </w:rPr>
          <w:t>y</w:t>
        </w:r>
        <w:r w:rsidRPr="00DF6938">
          <w:rPr>
            <w:rStyle w:val="Hipervnculo"/>
            <w:noProof/>
            <w:spacing w:val="-2"/>
          </w:rPr>
          <w:t xml:space="preserve"> </w:t>
        </w:r>
        <w:r w:rsidRPr="00DF6938">
          <w:rPr>
            <w:rStyle w:val="Hipervnculo"/>
            <w:noProof/>
          </w:rPr>
          <w:t>economías</w:t>
        </w:r>
        <w:r w:rsidRPr="00DF6938">
          <w:rPr>
            <w:rStyle w:val="Hipervnculo"/>
            <w:noProof/>
            <w:spacing w:val="-2"/>
          </w:rPr>
          <w:t xml:space="preserve"> </w:t>
        </w:r>
        <w:r w:rsidRPr="00DF6938">
          <w:rPr>
            <w:rStyle w:val="Hipervnculo"/>
            <w:noProof/>
          </w:rPr>
          <w:t>de</w:t>
        </w:r>
        <w:r w:rsidRPr="00DF6938">
          <w:rPr>
            <w:rStyle w:val="Hipervnculo"/>
            <w:noProof/>
            <w:spacing w:val="-2"/>
          </w:rPr>
          <w:t xml:space="preserve"> </w:t>
        </w:r>
        <w:r w:rsidRPr="00DF6938">
          <w:rPr>
            <w:rStyle w:val="Hipervnculo"/>
            <w:noProof/>
          </w:rPr>
          <w:t>la</w:t>
        </w:r>
        <w:r w:rsidRPr="00DF6938">
          <w:rPr>
            <w:rStyle w:val="Hipervnculo"/>
            <w:noProof/>
            <w:spacing w:val="-1"/>
          </w:rPr>
          <w:t xml:space="preserve"> </w:t>
        </w:r>
        <w:r w:rsidRPr="00DF6938">
          <w:rPr>
            <w:rStyle w:val="Hipervnculo"/>
            <w:noProof/>
            <w:spacing w:val="-4"/>
          </w:rPr>
          <w:t>coca</w:t>
        </w:r>
        <w:r>
          <w:rPr>
            <w:noProof/>
            <w:webHidden/>
          </w:rPr>
          <w:tab/>
        </w:r>
        <w:r>
          <w:rPr>
            <w:noProof/>
            <w:webHidden/>
          </w:rPr>
          <w:fldChar w:fldCharType="begin"/>
        </w:r>
        <w:r>
          <w:rPr>
            <w:noProof/>
            <w:webHidden/>
          </w:rPr>
          <w:instrText xml:space="preserve"> PAGEREF _Toc112399610 \h </w:instrText>
        </w:r>
        <w:r>
          <w:rPr>
            <w:noProof/>
            <w:webHidden/>
          </w:rPr>
        </w:r>
        <w:r>
          <w:rPr>
            <w:noProof/>
            <w:webHidden/>
          </w:rPr>
          <w:fldChar w:fldCharType="separate"/>
        </w:r>
        <w:r>
          <w:rPr>
            <w:noProof/>
            <w:webHidden/>
          </w:rPr>
          <w:t>544</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11" w:history="1">
        <w:r w:rsidRPr="00DF6938">
          <w:rPr>
            <w:rStyle w:val="Hipervnculo"/>
            <w:noProof/>
          </w:rPr>
          <w:t>6.7.</w:t>
        </w:r>
        <w:r>
          <w:rPr>
            <w:rFonts w:asciiTheme="minorHAnsi" w:eastAsiaTheme="minorEastAsia" w:hAnsiTheme="minorHAnsi" w:cstheme="minorBidi"/>
            <w:noProof/>
            <w:sz w:val="22"/>
            <w:szCs w:val="22"/>
            <w:lang w:val="es-CO" w:eastAsia="es-CO"/>
          </w:rPr>
          <w:tab/>
        </w:r>
        <w:r w:rsidRPr="00DF6938">
          <w:rPr>
            <w:rStyle w:val="Hipervnculo"/>
            <w:noProof/>
          </w:rPr>
          <w:t>Aspersiones</w:t>
        </w:r>
        <w:r w:rsidRPr="00DF6938">
          <w:rPr>
            <w:rStyle w:val="Hipervnculo"/>
            <w:noProof/>
            <w:spacing w:val="-4"/>
          </w:rPr>
          <w:t xml:space="preserve"> </w:t>
        </w:r>
        <w:r w:rsidRPr="00DF6938">
          <w:rPr>
            <w:rStyle w:val="Hipervnculo"/>
            <w:noProof/>
          </w:rPr>
          <w:t>con</w:t>
        </w:r>
        <w:r w:rsidRPr="00DF6938">
          <w:rPr>
            <w:rStyle w:val="Hipervnculo"/>
            <w:noProof/>
            <w:spacing w:val="-3"/>
          </w:rPr>
          <w:t xml:space="preserve"> </w:t>
        </w:r>
        <w:r w:rsidRPr="00DF6938">
          <w:rPr>
            <w:rStyle w:val="Hipervnculo"/>
            <w:noProof/>
          </w:rPr>
          <w:t>glifosato:</w:t>
        </w:r>
        <w:r w:rsidRPr="00DF6938">
          <w:rPr>
            <w:rStyle w:val="Hipervnculo"/>
            <w:noProof/>
            <w:spacing w:val="-2"/>
          </w:rPr>
          <w:t xml:space="preserve"> </w:t>
        </w:r>
        <w:r w:rsidRPr="00DF6938">
          <w:rPr>
            <w:rStyle w:val="Hipervnculo"/>
            <w:noProof/>
          </w:rPr>
          <w:t>de</w:t>
        </w:r>
        <w:r w:rsidRPr="00DF6938">
          <w:rPr>
            <w:rStyle w:val="Hipervnculo"/>
            <w:noProof/>
            <w:spacing w:val="-3"/>
          </w:rPr>
          <w:t xml:space="preserve"> </w:t>
        </w:r>
        <w:r w:rsidRPr="00DF6938">
          <w:rPr>
            <w:rStyle w:val="Hipervnculo"/>
            <w:noProof/>
          </w:rPr>
          <w:t>solución</w:t>
        </w:r>
        <w:r w:rsidRPr="00DF6938">
          <w:rPr>
            <w:rStyle w:val="Hipervnculo"/>
            <w:noProof/>
            <w:spacing w:val="-2"/>
          </w:rPr>
          <w:t xml:space="preserve"> </w:t>
        </w:r>
        <w:r w:rsidRPr="00DF6938">
          <w:rPr>
            <w:rStyle w:val="Hipervnculo"/>
            <w:noProof/>
          </w:rPr>
          <w:t>pretendida</w:t>
        </w:r>
        <w:r w:rsidRPr="00DF6938">
          <w:rPr>
            <w:rStyle w:val="Hipervnculo"/>
            <w:noProof/>
            <w:spacing w:val="-2"/>
          </w:rPr>
          <w:t xml:space="preserve"> </w:t>
        </w:r>
        <w:r w:rsidRPr="00DF6938">
          <w:rPr>
            <w:rStyle w:val="Hipervnculo"/>
            <w:noProof/>
          </w:rPr>
          <w:t>a</w:t>
        </w:r>
        <w:r w:rsidRPr="00DF6938">
          <w:rPr>
            <w:rStyle w:val="Hipervnculo"/>
            <w:noProof/>
            <w:spacing w:val="-2"/>
          </w:rPr>
          <w:t xml:space="preserve"> </w:t>
        </w:r>
        <w:r w:rsidRPr="00DF6938">
          <w:rPr>
            <w:rStyle w:val="Hipervnculo"/>
            <w:noProof/>
          </w:rPr>
          <w:t>parte</w:t>
        </w:r>
        <w:r w:rsidRPr="00DF6938">
          <w:rPr>
            <w:rStyle w:val="Hipervnculo"/>
            <w:noProof/>
            <w:spacing w:val="-2"/>
          </w:rPr>
          <w:t xml:space="preserve"> </w:t>
        </w:r>
        <w:r w:rsidRPr="00DF6938">
          <w:rPr>
            <w:rStyle w:val="Hipervnculo"/>
            <w:noProof/>
          </w:rPr>
          <w:t>del</w:t>
        </w:r>
        <w:r w:rsidRPr="00DF6938">
          <w:rPr>
            <w:rStyle w:val="Hipervnculo"/>
            <w:noProof/>
            <w:spacing w:val="-1"/>
          </w:rPr>
          <w:t xml:space="preserve"> </w:t>
        </w:r>
        <w:r w:rsidRPr="00DF6938">
          <w:rPr>
            <w:rStyle w:val="Hipervnculo"/>
            <w:noProof/>
            <w:spacing w:val="-2"/>
          </w:rPr>
          <w:t>problema</w:t>
        </w:r>
        <w:r>
          <w:rPr>
            <w:noProof/>
            <w:webHidden/>
          </w:rPr>
          <w:tab/>
        </w:r>
        <w:r>
          <w:rPr>
            <w:noProof/>
            <w:webHidden/>
          </w:rPr>
          <w:fldChar w:fldCharType="begin"/>
        </w:r>
        <w:r>
          <w:rPr>
            <w:noProof/>
            <w:webHidden/>
          </w:rPr>
          <w:instrText xml:space="preserve"> PAGEREF _Toc112399611 \h </w:instrText>
        </w:r>
        <w:r>
          <w:rPr>
            <w:noProof/>
            <w:webHidden/>
          </w:rPr>
        </w:r>
        <w:r>
          <w:rPr>
            <w:noProof/>
            <w:webHidden/>
          </w:rPr>
          <w:fldChar w:fldCharType="separate"/>
        </w:r>
        <w:r>
          <w:rPr>
            <w:noProof/>
            <w:webHidden/>
          </w:rPr>
          <w:t>553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12" w:history="1">
        <w:r w:rsidRPr="00DF6938">
          <w:rPr>
            <w:rStyle w:val="Hipervnculo"/>
            <w:noProof/>
          </w:rPr>
          <w:t>6.8.</w:t>
        </w:r>
        <w:r>
          <w:rPr>
            <w:rFonts w:asciiTheme="minorHAnsi" w:eastAsiaTheme="minorEastAsia" w:hAnsiTheme="minorHAnsi" w:cstheme="minorBidi"/>
            <w:noProof/>
            <w:sz w:val="22"/>
            <w:szCs w:val="22"/>
            <w:lang w:val="es-CO" w:eastAsia="es-CO"/>
          </w:rPr>
          <w:tab/>
        </w:r>
        <w:r w:rsidRPr="00DF6938">
          <w:rPr>
            <w:rStyle w:val="Hipervnculo"/>
            <w:noProof/>
          </w:rPr>
          <w:t>El</w:t>
        </w:r>
        <w:r w:rsidRPr="00DF6938">
          <w:rPr>
            <w:rStyle w:val="Hipervnculo"/>
            <w:noProof/>
            <w:spacing w:val="-3"/>
          </w:rPr>
          <w:t xml:space="preserve"> </w:t>
        </w:r>
        <w:r w:rsidRPr="00DF6938">
          <w:rPr>
            <w:rStyle w:val="Hipervnculo"/>
            <w:noProof/>
          </w:rPr>
          <w:t>conflicto</w:t>
        </w:r>
        <w:r w:rsidRPr="00DF6938">
          <w:rPr>
            <w:rStyle w:val="Hipervnculo"/>
            <w:noProof/>
            <w:spacing w:val="-1"/>
          </w:rPr>
          <w:t xml:space="preserve"> </w:t>
        </w:r>
        <w:r w:rsidRPr="00DF6938">
          <w:rPr>
            <w:rStyle w:val="Hipervnculo"/>
            <w:noProof/>
          </w:rPr>
          <w:t>armado</w:t>
        </w:r>
        <w:r w:rsidRPr="00DF6938">
          <w:rPr>
            <w:rStyle w:val="Hipervnculo"/>
            <w:noProof/>
            <w:spacing w:val="-1"/>
          </w:rPr>
          <w:t xml:space="preserve"> </w:t>
        </w:r>
        <w:r w:rsidRPr="00DF6938">
          <w:rPr>
            <w:rStyle w:val="Hipervnculo"/>
            <w:noProof/>
          </w:rPr>
          <w:t>y</w:t>
        </w:r>
        <w:r w:rsidRPr="00DF6938">
          <w:rPr>
            <w:rStyle w:val="Hipervnculo"/>
            <w:noProof/>
            <w:spacing w:val="-1"/>
          </w:rPr>
          <w:t xml:space="preserve"> </w:t>
        </w:r>
        <w:r w:rsidRPr="00DF6938">
          <w:rPr>
            <w:rStyle w:val="Hipervnculo"/>
            <w:noProof/>
          </w:rPr>
          <w:t>la</w:t>
        </w:r>
        <w:r w:rsidRPr="00DF6938">
          <w:rPr>
            <w:rStyle w:val="Hipervnculo"/>
            <w:noProof/>
            <w:spacing w:val="-2"/>
          </w:rPr>
          <w:t xml:space="preserve"> </w:t>
        </w:r>
        <w:r w:rsidRPr="00DF6938">
          <w:rPr>
            <w:rStyle w:val="Hipervnculo"/>
            <w:noProof/>
          </w:rPr>
          <w:t>guerra</w:t>
        </w:r>
        <w:r w:rsidRPr="00DF6938">
          <w:rPr>
            <w:rStyle w:val="Hipervnculo"/>
            <w:noProof/>
            <w:spacing w:val="-1"/>
          </w:rPr>
          <w:t xml:space="preserve"> </w:t>
        </w:r>
        <w:r w:rsidRPr="00DF6938">
          <w:rPr>
            <w:rStyle w:val="Hipervnculo"/>
            <w:noProof/>
          </w:rPr>
          <w:t>contra</w:t>
        </w:r>
        <w:r w:rsidRPr="00DF6938">
          <w:rPr>
            <w:rStyle w:val="Hipervnculo"/>
            <w:noProof/>
            <w:spacing w:val="-1"/>
          </w:rPr>
          <w:t xml:space="preserve"> </w:t>
        </w:r>
        <w:r w:rsidRPr="00DF6938">
          <w:rPr>
            <w:rStyle w:val="Hipervnculo"/>
            <w:noProof/>
          </w:rPr>
          <w:t>las</w:t>
        </w:r>
        <w:r w:rsidRPr="00DF6938">
          <w:rPr>
            <w:rStyle w:val="Hipervnculo"/>
            <w:noProof/>
            <w:spacing w:val="-1"/>
          </w:rPr>
          <w:t xml:space="preserve"> </w:t>
        </w:r>
        <w:r w:rsidRPr="00DF6938">
          <w:rPr>
            <w:rStyle w:val="Hipervnculo"/>
            <w:noProof/>
            <w:spacing w:val="-2"/>
          </w:rPr>
          <w:t>drogas</w:t>
        </w:r>
        <w:r>
          <w:rPr>
            <w:noProof/>
            <w:webHidden/>
          </w:rPr>
          <w:tab/>
        </w:r>
        <w:r>
          <w:rPr>
            <w:noProof/>
            <w:webHidden/>
          </w:rPr>
          <w:fldChar w:fldCharType="begin"/>
        </w:r>
        <w:r>
          <w:rPr>
            <w:noProof/>
            <w:webHidden/>
          </w:rPr>
          <w:instrText xml:space="preserve"> PAGEREF _Toc112399612 \h </w:instrText>
        </w:r>
        <w:r>
          <w:rPr>
            <w:noProof/>
            <w:webHidden/>
          </w:rPr>
        </w:r>
        <w:r>
          <w:rPr>
            <w:noProof/>
            <w:webHidden/>
          </w:rPr>
          <w:fldChar w:fldCharType="separate"/>
        </w:r>
        <w:r>
          <w:rPr>
            <w:noProof/>
            <w:webHidden/>
          </w:rPr>
          <w:t>563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13" w:history="1">
        <w:r w:rsidRPr="00DF6938">
          <w:rPr>
            <w:rStyle w:val="Hipervnculo"/>
            <w:noProof/>
          </w:rPr>
          <w:t>6.9.</w:t>
        </w:r>
        <w:r>
          <w:rPr>
            <w:rFonts w:asciiTheme="minorHAnsi" w:eastAsiaTheme="minorEastAsia" w:hAnsiTheme="minorHAnsi" w:cstheme="minorBidi"/>
            <w:noProof/>
            <w:sz w:val="22"/>
            <w:szCs w:val="22"/>
            <w:lang w:val="es-CO" w:eastAsia="es-CO"/>
          </w:rPr>
          <w:tab/>
        </w:r>
        <w:r w:rsidRPr="00DF6938">
          <w:rPr>
            <w:rStyle w:val="Hipervnculo"/>
            <w:noProof/>
          </w:rPr>
          <w:t>Impacto</w:t>
        </w:r>
        <w:r w:rsidRPr="00DF6938">
          <w:rPr>
            <w:rStyle w:val="Hipervnculo"/>
            <w:noProof/>
            <w:spacing w:val="-1"/>
          </w:rPr>
          <w:t xml:space="preserve"> </w:t>
        </w:r>
        <w:r w:rsidRPr="00DF6938">
          <w:rPr>
            <w:rStyle w:val="Hipervnculo"/>
            <w:noProof/>
          </w:rPr>
          <w:t>en</w:t>
        </w:r>
        <w:r w:rsidRPr="00DF6938">
          <w:rPr>
            <w:rStyle w:val="Hipervnculo"/>
            <w:noProof/>
            <w:spacing w:val="-2"/>
          </w:rPr>
          <w:t xml:space="preserve"> </w:t>
        </w:r>
        <w:r w:rsidRPr="00DF6938">
          <w:rPr>
            <w:rStyle w:val="Hipervnculo"/>
            <w:noProof/>
          </w:rPr>
          <w:t>los</w:t>
        </w:r>
        <w:r w:rsidRPr="00DF6938">
          <w:rPr>
            <w:rStyle w:val="Hipervnculo"/>
            <w:noProof/>
            <w:spacing w:val="-1"/>
          </w:rPr>
          <w:t xml:space="preserve"> </w:t>
        </w:r>
        <w:r w:rsidRPr="00DF6938">
          <w:rPr>
            <w:rStyle w:val="Hipervnculo"/>
            <w:noProof/>
          </w:rPr>
          <w:t>territorios</w:t>
        </w:r>
        <w:r w:rsidRPr="00DF6938">
          <w:rPr>
            <w:rStyle w:val="Hipervnculo"/>
            <w:noProof/>
            <w:spacing w:val="-1"/>
          </w:rPr>
          <w:t xml:space="preserve"> </w:t>
        </w:r>
        <w:r w:rsidRPr="00DF6938">
          <w:rPr>
            <w:rStyle w:val="Hipervnculo"/>
            <w:noProof/>
          </w:rPr>
          <w:t>y</w:t>
        </w:r>
        <w:r w:rsidRPr="00DF6938">
          <w:rPr>
            <w:rStyle w:val="Hipervnculo"/>
            <w:noProof/>
            <w:spacing w:val="-1"/>
          </w:rPr>
          <w:t xml:space="preserve"> </w:t>
        </w:r>
        <w:r w:rsidRPr="00DF6938">
          <w:rPr>
            <w:rStyle w:val="Hipervnculo"/>
            <w:noProof/>
          </w:rPr>
          <w:t>las</w:t>
        </w:r>
        <w:r w:rsidRPr="00DF6938">
          <w:rPr>
            <w:rStyle w:val="Hipervnculo"/>
            <w:noProof/>
            <w:spacing w:val="-1"/>
          </w:rPr>
          <w:t xml:space="preserve"> </w:t>
        </w:r>
        <w:r w:rsidRPr="00DF6938">
          <w:rPr>
            <w:rStyle w:val="Hipervnculo"/>
            <w:noProof/>
            <w:spacing w:val="-2"/>
          </w:rPr>
          <w:t>víctimas</w:t>
        </w:r>
        <w:r>
          <w:rPr>
            <w:noProof/>
            <w:webHidden/>
          </w:rPr>
          <w:tab/>
        </w:r>
        <w:r>
          <w:rPr>
            <w:noProof/>
            <w:webHidden/>
          </w:rPr>
          <w:fldChar w:fldCharType="begin"/>
        </w:r>
        <w:r>
          <w:rPr>
            <w:noProof/>
            <w:webHidden/>
          </w:rPr>
          <w:instrText xml:space="preserve"> PAGEREF _Toc112399613 \h </w:instrText>
        </w:r>
        <w:r>
          <w:rPr>
            <w:noProof/>
            <w:webHidden/>
          </w:rPr>
        </w:r>
        <w:r>
          <w:rPr>
            <w:noProof/>
            <w:webHidden/>
          </w:rPr>
          <w:fldChar w:fldCharType="separate"/>
        </w:r>
        <w:r>
          <w:rPr>
            <w:noProof/>
            <w:webHidden/>
          </w:rPr>
          <w:t>573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14" w:history="1">
        <w:r w:rsidRPr="00DF6938">
          <w:rPr>
            <w:rStyle w:val="Hipervnculo"/>
            <w:noProof/>
          </w:rPr>
          <w:t>6.10.</w:t>
        </w:r>
        <w:r>
          <w:rPr>
            <w:rFonts w:asciiTheme="minorHAnsi" w:eastAsiaTheme="minorEastAsia" w:hAnsiTheme="minorHAnsi" w:cstheme="minorBidi"/>
            <w:noProof/>
            <w:sz w:val="22"/>
            <w:szCs w:val="22"/>
            <w:lang w:val="es-CO" w:eastAsia="es-CO"/>
          </w:rPr>
          <w:tab/>
        </w:r>
        <w:r w:rsidRPr="00DF6938">
          <w:rPr>
            <w:rStyle w:val="Hipervnculo"/>
            <w:noProof/>
          </w:rPr>
          <w:t>Conclusiones:</w:t>
        </w:r>
        <w:r w:rsidRPr="00DF6938">
          <w:rPr>
            <w:rStyle w:val="Hipervnculo"/>
            <w:noProof/>
            <w:spacing w:val="-5"/>
          </w:rPr>
          <w:t xml:space="preserve"> </w:t>
        </w:r>
        <w:r w:rsidRPr="00DF6938">
          <w:rPr>
            <w:rStyle w:val="Hipervnculo"/>
            <w:noProof/>
          </w:rPr>
          <w:t>factores</w:t>
        </w:r>
        <w:r w:rsidRPr="00DF6938">
          <w:rPr>
            <w:rStyle w:val="Hipervnculo"/>
            <w:noProof/>
            <w:spacing w:val="-3"/>
          </w:rPr>
          <w:t xml:space="preserve"> </w:t>
        </w:r>
        <w:r w:rsidRPr="00DF6938">
          <w:rPr>
            <w:rStyle w:val="Hipervnculo"/>
            <w:noProof/>
          </w:rPr>
          <w:t>de</w:t>
        </w:r>
        <w:r w:rsidRPr="00DF6938">
          <w:rPr>
            <w:rStyle w:val="Hipervnculo"/>
            <w:noProof/>
            <w:spacing w:val="-3"/>
          </w:rPr>
          <w:t xml:space="preserve"> </w:t>
        </w:r>
        <w:r w:rsidRPr="00DF6938">
          <w:rPr>
            <w:rStyle w:val="Hipervnculo"/>
            <w:noProof/>
          </w:rPr>
          <w:t>persistencia</w:t>
        </w:r>
        <w:r w:rsidRPr="00DF6938">
          <w:rPr>
            <w:rStyle w:val="Hipervnculo"/>
            <w:noProof/>
            <w:spacing w:val="-3"/>
          </w:rPr>
          <w:t xml:space="preserve"> </w:t>
        </w:r>
        <w:r w:rsidRPr="00DF6938">
          <w:rPr>
            <w:rStyle w:val="Hipervnculo"/>
            <w:noProof/>
          </w:rPr>
          <w:t>ligados</w:t>
        </w:r>
        <w:r w:rsidRPr="00DF6938">
          <w:rPr>
            <w:rStyle w:val="Hipervnculo"/>
            <w:noProof/>
            <w:spacing w:val="-3"/>
          </w:rPr>
          <w:t xml:space="preserve"> </w:t>
        </w:r>
        <w:r w:rsidRPr="00DF6938">
          <w:rPr>
            <w:rStyle w:val="Hipervnculo"/>
            <w:noProof/>
          </w:rPr>
          <w:t>al</w:t>
        </w:r>
        <w:r w:rsidRPr="00DF6938">
          <w:rPr>
            <w:rStyle w:val="Hipervnculo"/>
            <w:noProof/>
            <w:spacing w:val="-2"/>
          </w:rPr>
          <w:t xml:space="preserve"> narcotráfico</w:t>
        </w:r>
        <w:r>
          <w:rPr>
            <w:noProof/>
            <w:webHidden/>
          </w:rPr>
          <w:tab/>
        </w:r>
        <w:r>
          <w:rPr>
            <w:noProof/>
            <w:webHidden/>
          </w:rPr>
          <w:fldChar w:fldCharType="begin"/>
        </w:r>
        <w:r>
          <w:rPr>
            <w:noProof/>
            <w:webHidden/>
          </w:rPr>
          <w:instrText xml:space="preserve"> PAGEREF _Toc112399614 \h </w:instrText>
        </w:r>
        <w:r>
          <w:rPr>
            <w:noProof/>
            <w:webHidden/>
          </w:rPr>
        </w:r>
        <w:r>
          <w:rPr>
            <w:noProof/>
            <w:webHidden/>
          </w:rPr>
          <w:fldChar w:fldCharType="separate"/>
        </w:r>
        <w:r>
          <w:rPr>
            <w:noProof/>
            <w:webHidden/>
          </w:rPr>
          <w:t>579</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615" w:history="1">
        <w:r w:rsidRPr="00DF6938">
          <w:rPr>
            <w:rStyle w:val="Hipervnculo"/>
            <w:noProof/>
          </w:rPr>
          <w:t>7.</w:t>
        </w:r>
        <w:r>
          <w:rPr>
            <w:rFonts w:asciiTheme="minorHAnsi" w:eastAsiaTheme="minorEastAsia" w:hAnsiTheme="minorHAnsi" w:cstheme="minorBidi"/>
            <w:b w:val="0"/>
            <w:bCs w:val="0"/>
            <w:iCs w:val="0"/>
            <w:noProof/>
            <w:sz w:val="22"/>
            <w:lang w:val="es-CO" w:eastAsia="es-CO"/>
          </w:rPr>
          <w:tab/>
        </w:r>
        <w:r w:rsidRPr="00DF6938">
          <w:rPr>
            <w:rStyle w:val="Hipervnculo"/>
            <w:noProof/>
            <w:w w:val="95"/>
          </w:rPr>
          <w:t>MODELO</w:t>
        </w:r>
        <w:r w:rsidRPr="00DF6938">
          <w:rPr>
            <w:rStyle w:val="Hipervnculo"/>
            <w:noProof/>
            <w:spacing w:val="17"/>
          </w:rPr>
          <w:t xml:space="preserve"> </w:t>
        </w:r>
        <w:r w:rsidRPr="00DF6938">
          <w:rPr>
            <w:rStyle w:val="Hipervnculo"/>
            <w:noProof/>
            <w:w w:val="95"/>
          </w:rPr>
          <w:t>DE</w:t>
        </w:r>
        <w:r w:rsidRPr="00DF6938">
          <w:rPr>
            <w:rStyle w:val="Hipervnculo"/>
            <w:noProof/>
            <w:spacing w:val="16"/>
          </w:rPr>
          <w:t xml:space="preserve"> </w:t>
        </w:r>
        <w:r w:rsidRPr="00DF6938">
          <w:rPr>
            <w:rStyle w:val="Hipervnculo"/>
            <w:noProof/>
            <w:spacing w:val="-2"/>
            <w:w w:val="95"/>
          </w:rPr>
          <w:t>SEGURIDAD</w:t>
        </w:r>
        <w:r>
          <w:rPr>
            <w:noProof/>
            <w:webHidden/>
          </w:rPr>
          <w:tab/>
        </w:r>
        <w:r>
          <w:rPr>
            <w:noProof/>
            <w:webHidden/>
          </w:rPr>
          <w:fldChar w:fldCharType="begin"/>
        </w:r>
        <w:r>
          <w:rPr>
            <w:noProof/>
            <w:webHidden/>
          </w:rPr>
          <w:instrText xml:space="preserve"> PAGEREF _Toc112399615 \h </w:instrText>
        </w:r>
        <w:r>
          <w:rPr>
            <w:noProof/>
            <w:webHidden/>
          </w:rPr>
        </w:r>
        <w:r>
          <w:rPr>
            <w:noProof/>
            <w:webHidden/>
          </w:rPr>
          <w:fldChar w:fldCharType="separate"/>
        </w:r>
        <w:r>
          <w:rPr>
            <w:noProof/>
            <w:webHidden/>
          </w:rPr>
          <w:t>589</w:t>
        </w:r>
        <w:r>
          <w:rPr>
            <w:noProof/>
            <w:webHidden/>
          </w:rPr>
          <w:fldChar w:fldCharType="end"/>
        </w:r>
      </w:hyperlink>
    </w:p>
    <w:p w:rsidR="00513F80" w:rsidRDefault="00513F80">
      <w:pPr>
        <w:pStyle w:val="TDC3"/>
        <w:tabs>
          <w:tab w:val="right" w:leader="dot" w:pos="8828"/>
        </w:tabs>
        <w:rPr>
          <w:rFonts w:asciiTheme="minorHAnsi" w:eastAsiaTheme="minorEastAsia" w:hAnsiTheme="minorHAnsi" w:cstheme="minorBidi"/>
          <w:noProof/>
          <w:sz w:val="22"/>
          <w:szCs w:val="22"/>
          <w:lang w:val="es-CO" w:eastAsia="es-CO"/>
        </w:rPr>
      </w:pPr>
      <w:hyperlink w:anchor="_Toc112399616" w:history="1">
        <w:r w:rsidRPr="00DF6938">
          <w:rPr>
            <w:rStyle w:val="Hipervnculo"/>
            <w:noProof/>
          </w:rPr>
          <w:t>Discursos presidenciales y seguridad</w:t>
        </w:r>
        <w:r>
          <w:rPr>
            <w:noProof/>
            <w:webHidden/>
          </w:rPr>
          <w:tab/>
        </w:r>
        <w:r>
          <w:rPr>
            <w:noProof/>
            <w:webHidden/>
          </w:rPr>
          <w:fldChar w:fldCharType="begin"/>
        </w:r>
        <w:r>
          <w:rPr>
            <w:noProof/>
            <w:webHidden/>
          </w:rPr>
          <w:instrText xml:space="preserve"> PAGEREF _Toc112399616 \h </w:instrText>
        </w:r>
        <w:r>
          <w:rPr>
            <w:noProof/>
            <w:webHidden/>
          </w:rPr>
        </w:r>
        <w:r>
          <w:rPr>
            <w:noProof/>
            <w:webHidden/>
          </w:rPr>
          <w:fldChar w:fldCharType="separate"/>
        </w:r>
        <w:r>
          <w:rPr>
            <w:noProof/>
            <w:webHidden/>
          </w:rPr>
          <w:t>596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17" w:history="1">
        <w:r w:rsidRPr="00DF6938">
          <w:rPr>
            <w:rStyle w:val="Hipervnculo"/>
            <w:noProof/>
          </w:rPr>
          <w:t>7.1.</w:t>
        </w:r>
        <w:r>
          <w:rPr>
            <w:rFonts w:asciiTheme="minorHAnsi" w:eastAsiaTheme="minorEastAsia" w:hAnsiTheme="minorHAnsi" w:cstheme="minorBidi"/>
            <w:noProof/>
            <w:sz w:val="22"/>
            <w:szCs w:val="22"/>
            <w:lang w:val="es-CO" w:eastAsia="es-CO"/>
          </w:rPr>
          <w:tab/>
        </w:r>
        <w:r w:rsidRPr="00DF6938">
          <w:rPr>
            <w:rStyle w:val="Hipervnculo"/>
            <w:noProof/>
          </w:rPr>
          <w:t>La</w:t>
        </w:r>
        <w:r w:rsidRPr="00DF6938">
          <w:rPr>
            <w:rStyle w:val="Hipervnculo"/>
            <w:noProof/>
            <w:spacing w:val="-4"/>
          </w:rPr>
          <w:t xml:space="preserve"> </w:t>
        </w:r>
        <w:r w:rsidRPr="00DF6938">
          <w:rPr>
            <w:rStyle w:val="Hipervnculo"/>
            <w:noProof/>
          </w:rPr>
          <w:t>construcción</w:t>
        </w:r>
        <w:r w:rsidRPr="00DF6938">
          <w:rPr>
            <w:rStyle w:val="Hipervnculo"/>
            <w:noProof/>
            <w:spacing w:val="-3"/>
          </w:rPr>
          <w:t xml:space="preserve"> </w:t>
        </w:r>
        <w:r w:rsidRPr="00DF6938">
          <w:rPr>
            <w:rStyle w:val="Hipervnculo"/>
            <w:noProof/>
          </w:rPr>
          <w:t>histórica</w:t>
        </w:r>
        <w:r w:rsidRPr="00DF6938">
          <w:rPr>
            <w:rStyle w:val="Hipervnculo"/>
            <w:noProof/>
            <w:spacing w:val="-2"/>
          </w:rPr>
          <w:t xml:space="preserve"> </w:t>
        </w:r>
        <w:r w:rsidRPr="00DF6938">
          <w:rPr>
            <w:rStyle w:val="Hipervnculo"/>
            <w:noProof/>
          </w:rPr>
          <w:t>del</w:t>
        </w:r>
        <w:r w:rsidRPr="00DF6938">
          <w:rPr>
            <w:rStyle w:val="Hipervnculo"/>
            <w:noProof/>
            <w:spacing w:val="-2"/>
          </w:rPr>
          <w:t xml:space="preserve"> </w:t>
        </w:r>
        <w:r w:rsidRPr="00DF6938">
          <w:rPr>
            <w:rStyle w:val="Hipervnculo"/>
            <w:noProof/>
          </w:rPr>
          <w:t>actual</w:t>
        </w:r>
        <w:r w:rsidRPr="00DF6938">
          <w:rPr>
            <w:rStyle w:val="Hipervnculo"/>
            <w:noProof/>
            <w:spacing w:val="-2"/>
          </w:rPr>
          <w:t xml:space="preserve"> </w:t>
        </w:r>
        <w:r w:rsidRPr="00DF6938">
          <w:rPr>
            <w:rStyle w:val="Hipervnculo"/>
            <w:noProof/>
          </w:rPr>
          <w:t>modelo</w:t>
        </w:r>
        <w:r w:rsidRPr="00DF6938">
          <w:rPr>
            <w:rStyle w:val="Hipervnculo"/>
            <w:noProof/>
            <w:spacing w:val="-2"/>
          </w:rPr>
          <w:t xml:space="preserve"> </w:t>
        </w:r>
        <w:r w:rsidRPr="00DF6938">
          <w:rPr>
            <w:rStyle w:val="Hipervnculo"/>
            <w:noProof/>
          </w:rPr>
          <w:t>de</w:t>
        </w:r>
        <w:r w:rsidRPr="00DF6938">
          <w:rPr>
            <w:rStyle w:val="Hipervnculo"/>
            <w:noProof/>
            <w:spacing w:val="-2"/>
          </w:rPr>
          <w:t xml:space="preserve"> </w:t>
        </w:r>
        <w:r w:rsidRPr="00DF6938">
          <w:rPr>
            <w:rStyle w:val="Hipervnculo"/>
            <w:noProof/>
          </w:rPr>
          <w:t>seguridad</w:t>
        </w:r>
        <w:r w:rsidRPr="00DF6938">
          <w:rPr>
            <w:rStyle w:val="Hipervnculo"/>
            <w:noProof/>
            <w:spacing w:val="-3"/>
          </w:rPr>
          <w:t xml:space="preserve"> </w:t>
        </w:r>
        <w:r w:rsidRPr="00DF6938">
          <w:rPr>
            <w:rStyle w:val="Hipervnculo"/>
            <w:noProof/>
          </w:rPr>
          <w:t>y</w:t>
        </w:r>
        <w:r w:rsidRPr="00DF6938">
          <w:rPr>
            <w:rStyle w:val="Hipervnculo"/>
            <w:noProof/>
            <w:spacing w:val="-2"/>
          </w:rPr>
          <w:t xml:space="preserve"> </w:t>
        </w:r>
        <w:r w:rsidRPr="00DF6938">
          <w:rPr>
            <w:rStyle w:val="Hipervnculo"/>
            <w:noProof/>
          </w:rPr>
          <w:t>sus</w:t>
        </w:r>
        <w:r w:rsidRPr="00DF6938">
          <w:rPr>
            <w:rStyle w:val="Hipervnculo"/>
            <w:noProof/>
            <w:spacing w:val="-2"/>
          </w:rPr>
          <w:t xml:space="preserve"> </w:t>
        </w:r>
        <w:r w:rsidRPr="00DF6938">
          <w:rPr>
            <w:rStyle w:val="Hipervnculo"/>
            <w:noProof/>
          </w:rPr>
          <w:t>principales</w:t>
        </w:r>
        <w:r w:rsidRPr="00DF6938">
          <w:rPr>
            <w:rStyle w:val="Hipervnculo"/>
            <w:noProof/>
            <w:spacing w:val="-2"/>
          </w:rPr>
          <w:t xml:space="preserve"> rasgos</w:t>
        </w:r>
        <w:r>
          <w:rPr>
            <w:noProof/>
            <w:webHidden/>
          </w:rPr>
          <w:tab/>
        </w:r>
        <w:r>
          <w:rPr>
            <w:noProof/>
            <w:webHidden/>
          </w:rPr>
          <w:fldChar w:fldCharType="begin"/>
        </w:r>
        <w:r>
          <w:rPr>
            <w:noProof/>
            <w:webHidden/>
          </w:rPr>
          <w:instrText xml:space="preserve"> PAGEREF _Toc112399617 \h </w:instrText>
        </w:r>
        <w:r>
          <w:rPr>
            <w:noProof/>
            <w:webHidden/>
          </w:rPr>
        </w:r>
        <w:r>
          <w:rPr>
            <w:noProof/>
            <w:webHidden/>
          </w:rPr>
          <w:fldChar w:fldCharType="separate"/>
        </w:r>
        <w:r>
          <w:rPr>
            <w:noProof/>
            <w:webHidden/>
          </w:rPr>
          <w:t>597</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18" w:history="1">
        <w:r w:rsidRPr="00DF6938">
          <w:rPr>
            <w:rStyle w:val="Hipervnculo"/>
            <w:noProof/>
          </w:rPr>
          <w:t>7.2.</w:t>
        </w:r>
        <w:r>
          <w:rPr>
            <w:rFonts w:asciiTheme="minorHAnsi" w:eastAsiaTheme="minorEastAsia" w:hAnsiTheme="minorHAnsi" w:cstheme="minorBidi"/>
            <w:noProof/>
            <w:sz w:val="22"/>
            <w:szCs w:val="22"/>
            <w:lang w:val="es-CO" w:eastAsia="es-CO"/>
          </w:rPr>
          <w:tab/>
        </w:r>
        <w:r w:rsidRPr="00DF6938">
          <w:rPr>
            <w:rStyle w:val="Hipervnculo"/>
            <w:noProof/>
          </w:rPr>
          <w:t>El enemigo interno y cambios en la doctrina de seguridad: la consideración de la población civil y los movimientos sociales</w:t>
        </w:r>
        <w:r>
          <w:rPr>
            <w:noProof/>
            <w:webHidden/>
          </w:rPr>
          <w:tab/>
        </w:r>
        <w:r>
          <w:rPr>
            <w:noProof/>
            <w:webHidden/>
          </w:rPr>
          <w:fldChar w:fldCharType="begin"/>
        </w:r>
        <w:r>
          <w:rPr>
            <w:noProof/>
            <w:webHidden/>
          </w:rPr>
          <w:instrText xml:space="preserve"> PAGEREF _Toc112399618 \h </w:instrText>
        </w:r>
        <w:r>
          <w:rPr>
            <w:noProof/>
            <w:webHidden/>
          </w:rPr>
        </w:r>
        <w:r>
          <w:rPr>
            <w:noProof/>
            <w:webHidden/>
          </w:rPr>
          <w:fldChar w:fldCharType="separate"/>
        </w:r>
        <w:r>
          <w:rPr>
            <w:noProof/>
            <w:webHidden/>
          </w:rPr>
          <w:t>605</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19" w:history="1">
        <w:r w:rsidRPr="00DF6938">
          <w:rPr>
            <w:rStyle w:val="Hipervnculo"/>
            <w:noProof/>
          </w:rPr>
          <w:t>7.3.</w:t>
        </w:r>
        <w:r>
          <w:rPr>
            <w:rFonts w:asciiTheme="minorHAnsi" w:eastAsiaTheme="minorEastAsia" w:hAnsiTheme="minorHAnsi" w:cstheme="minorBidi"/>
            <w:noProof/>
            <w:sz w:val="22"/>
            <w:szCs w:val="22"/>
            <w:lang w:val="es-CO" w:eastAsia="es-CO"/>
          </w:rPr>
          <w:tab/>
        </w:r>
        <w:r w:rsidRPr="00DF6938">
          <w:rPr>
            <w:rStyle w:val="Hipervnculo"/>
            <w:noProof/>
          </w:rPr>
          <w:t>Militarización,</w:t>
        </w:r>
        <w:r w:rsidRPr="00DF6938">
          <w:rPr>
            <w:rStyle w:val="Hipervnculo"/>
            <w:noProof/>
            <w:spacing w:val="-4"/>
          </w:rPr>
          <w:t xml:space="preserve"> </w:t>
        </w:r>
        <w:r w:rsidRPr="00DF6938">
          <w:rPr>
            <w:rStyle w:val="Hipervnculo"/>
            <w:noProof/>
          </w:rPr>
          <w:t>territorios</w:t>
        </w:r>
        <w:r w:rsidRPr="00DF6938">
          <w:rPr>
            <w:rStyle w:val="Hipervnculo"/>
            <w:noProof/>
            <w:spacing w:val="-2"/>
          </w:rPr>
          <w:t xml:space="preserve"> </w:t>
        </w:r>
        <w:r w:rsidRPr="00DF6938">
          <w:rPr>
            <w:rStyle w:val="Hipervnculo"/>
            <w:noProof/>
          </w:rPr>
          <w:t>y</w:t>
        </w:r>
        <w:r w:rsidRPr="00DF6938">
          <w:rPr>
            <w:rStyle w:val="Hipervnculo"/>
            <w:noProof/>
            <w:spacing w:val="-2"/>
          </w:rPr>
          <w:t xml:space="preserve"> </w:t>
        </w:r>
        <w:r w:rsidRPr="00DF6938">
          <w:rPr>
            <w:rStyle w:val="Hipervnculo"/>
            <w:noProof/>
          </w:rPr>
          <w:t>estados</w:t>
        </w:r>
        <w:r w:rsidRPr="00DF6938">
          <w:rPr>
            <w:rStyle w:val="Hipervnculo"/>
            <w:noProof/>
            <w:spacing w:val="-2"/>
          </w:rPr>
          <w:t xml:space="preserve"> </w:t>
        </w:r>
        <w:r w:rsidRPr="00DF6938">
          <w:rPr>
            <w:rStyle w:val="Hipervnculo"/>
            <w:noProof/>
          </w:rPr>
          <w:t>de</w:t>
        </w:r>
        <w:r w:rsidRPr="00DF6938">
          <w:rPr>
            <w:rStyle w:val="Hipervnculo"/>
            <w:noProof/>
            <w:spacing w:val="-2"/>
          </w:rPr>
          <w:t xml:space="preserve"> excepción</w:t>
        </w:r>
        <w:r>
          <w:rPr>
            <w:noProof/>
            <w:webHidden/>
          </w:rPr>
          <w:tab/>
        </w:r>
        <w:r>
          <w:rPr>
            <w:noProof/>
            <w:webHidden/>
          </w:rPr>
          <w:fldChar w:fldCharType="begin"/>
        </w:r>
        <w:r>
          <w:rPr>
            <w:noProof/>
            <w:webHidden/>
          </w:rPr>
          <w:instrText xml:space="preserve"> PAGEREF _Toc112399619 \h </w:instrText>
        </w:r>
        <w:r>
          <w:rPr>
            <w:noProof/>
            <w:webHidden/>
          </w:rPr>
        </w:r>
        <w:r>
          <w:rPr>
            <w:noProof/>
            <w:webHidden/>
          </w:rPr>
          <w:fldChar w:fldCharType="separate"/>
        </w:r>
        <w:r>
          <w:rPr>
            <w:noProof/>
            <w:webHidden/>
          </w:rPr>
          <w:t>619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20" w:history="1">
        <w:r w:rsidRPr="00DF6938">
          <w:rPr>
            <w:rStyle w:val="Hipervnculo"/>
            <w:noProof/>
          </w:rPr>
          <w:t>7.4.</w:t>
        </w:r>
        <w:r>
          <w:rPr>
            <w:rFonts w:asciiTheme="minorHAnsi" w:eastAsiaTheme="minorEastAsia" w:hAnsiTheme="minorHAnsi" w:cstheme="minorBidi"/>
            <w:noProof/>
            <w:sz w:val="22"/>
            <w:szCs w:val="22"/>
            <w:lang w:val="es-CO" w:eastAsia="es-CO"/>
          </w:rPr>
          <w:tab/>
        </w:r>
        <w:r w:rsidRPr="00DF6938">
          <w:rPr>
            <w:rStyle w:val="Hipervnculo"/>
            <w:noProof/>
          </w:rPr>
          <w:t>Modelo</w:t>
        </w:r>
        <w:r w:rsidRPr="00DF6938">
          <w:rPr>
            <w:rStyle w:val="Hipervnculo"/>
            <w:noProof/>
            <w:spacing w:val="-6"/>
          </w:rPr>
          <w:t xml:space="preserve"> </w:t>
        </w:r>
        <w:r w:rsidRPr="00DF6938">
          <w:rPr>
            <w:rStyle w:val="Hipervnculo"/>
            <w:noProof/>
          </w:rPr>
          <w:t>de</w:t>
        </w:r>
        <w:r w:rsidRPr="00DF6938">
          <w:rPr>
            <w:rStyle w:val="Hipervnculo"/>
            <w:noProof/>
            <w:spacing w:val="-2"/>
          </w:rPr>
          <w:t xml:space="preserve"> </w:t>
        </w:r>
        <w:r w:rsidRPr="00DF6938">
          <w:rPr>
            <w:rStyle w:val="Hipervnculo"/>
            <w:noProof/>
          </w:rPr>
          <w:t>inteligencia</w:t>
        </w:r>
        <w:r w:rsidRPr="00DF6938">
          <w:rPr>
            <w:rStyle w:val="Hipervnculo"/>
            <w:noProof/>
            <w:spacing w:val="-2"/>
          </w:rPr>
          <w:t xml:space="preserve"> </w:t>
        </w:r>
        <w:r w:rsidRPr="00DF6938">
          <w:rPr>
            <w:rStyle w:val="Hipervnculo"/>
            <w:noProof/>
          </w:rPr>
          <w:t>y</w:t>
        </w:r>
        <w:r w:rsidRPr="00DF6938">
          <w:rPr>
            <w:rStyle w:val="Hipervnculo"/>
            <w:noProof/>
            <w:spacing w:val="-2"/>
          </w:rPr>
          <w:t xml:space="preserve"> </w:t>
        </w:r>
        <w:r w:rsidRPr="00DF6938">
          <w:rPr>
            <w:rStyle w:val="Hipervnculo"/>
            <w:noProof/>
          </w:rPr>
          <w:t>violaciones</w:t>
        </w:r>
        <w:r w:rsidRPr="00DF6938">
          <w:rPr>
            <w:rStyle w:val="Hipervnculo"/>
            <w:noProof/>
            <w:spacing w:val="-2"/>
          </w:rPr>
          <w:t xml:space="preserve"> </w:t>
        </w:r>
        <w:r w:rsidRPr="00DF6938">
          <w:rPr>
            <w:rStyle w:val="Hipervnculo"/>
            <w:noProof/>
          </w:rPr>
          <w:t>de</w:t>
        </w:r>
        <w:r w:rsidRPr="00DF6938">
          <w:rPr>
            <w:rStyle w:val="Hipervnculo"/>
            <w:noProof/>
            <w:spacing w:val="-2"/>
          </w:rPr>
          <w:t xml:space="preserve"> </w:t>
        </w:r>
        <w:r w:rsidRPr="00DF6938">
          <w:rPr>
            <w:rStyle w:val="Hipervnculo"/>
            <w:noProof/>
          </w:rPr>
          <w:t>los</w:t>
        </w:r>
        <w:r w:rsidRPr="00DF6938">
          <w:rPr>
            <w:rStyle w:val="Hipervnculo"/>
            <w:noProof/>
            <w:spacing w:val="-2"/>
          </w:rPr>
          <w:t xml:space="preserve"> </w:t>
        </w:r>
        <w:r w:rsidRPr="00DF6938">
          <w:rPr>
            <w:rStyle w:val="Hipervnculo"/>
            <w:noProof/>
          </w:rPr>
          <w:t>derechos</w:t>
        </w:r>
        <w:r w:rsidRPr="00DF6938">
          <w:rPr>
            <w:rStyle w:val="Hipervnculo"/>
            <w:noProof/>
            <w:spacing w:val="-3"/>
          </w:rPr>
          <w:t xml:space="preserve"> </w:t>
        </w:r>
        <w:r w:rsidRPr="00DF6938">
          <w:rPr>
            <w:rStyle w:val="Hipervnculo"/>
            <w:noProof/>
            <w:spacing w:val="-2"/>
          </w:rPr>
          <w:t>humanos</w:t>
        </w:r>
        <w:r>
          <w:rPr>
            <w:noProof/>
            <w:webHidden/>
          </w:rPr>
          <w:tab/>
        </w:r>
        <w:r>
          <w:rPr>
            <w:noProof/>
            <w:webHidden/>
          </w:rPr>
          <w:fldChar w:fldCharType="begin"/>
        </w:r>
        <w:r>
          <w:rPr>
            <w:noProof/>
            <w:webHidden/>
          </w:rPr>
          <w:instrText xml:space="preserve"> PAGEREF _Toc112399620 \h </w:instrText>
        </w:r>
        <w:r>
          <w:rPr>
            <w:noProof/>
            <w:webHidden/>
          </w:rPr>
        </w:r>
        <w:r>
          <w:rPr>
            <w:noProof/>
            <w:webHidden/>
          </w:rPr>
          <w:fldChar w:fldCharType="separate"/>
        </w:r>
        <w:r>
          <w:rPr>
            <w:noProof/>
            <w:webHidden/>
          </w:rPr>
          <w:t>636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21" w:history="1">
        <w:r w:rsidRPr="00DF6938">
          <w:rPr>
            <w:rStyle w:val="Hipervnculo"/>
            <w:noProof/>
          </w:rPr>
          <w:t>7.5.</w:t>
        </w:r>
        <w:r>
          <w:rPr>
            <w:rFonts w:asciiTheme="minorHAnsi" w:eastAsiaTheme="minorEastAsia" w:hAnsiTheme="minorHAnsi" w:cstheme="minorBidi"/>
            <w:noProof/>
            <w:sz w:val="22"/>
            <w:szCs w:val="22"/>
            <w:lang w:val="es-CO" w:eastAsia="es-CO"/>
          </w:rPr>
          <w:tab/>
        </w:r>
        <w:r w:rsidRPr="00DF6938">
          <w:rPr>
            <w:rStyle w:val="Hipervnculo"/>
            <w:noProof/>
          </w:rPr>
          <w:t>Opacidad</w:t>
        </w:r>
        <w:r w:rsidRPr="00DF6938">
          <w:rPr>
            <w:rStyle w:val="Hipervnculo"/>
            <w:noProof/>
            <w:spacing w:val="-3"/>
          </w:rPr>
          <w:t xml:space="preserve"> </w:t>
        </w:r>
        <w:r w:rsidRPr="00DF6938">
          <w:rPr>
            <w:rStyle w:val="Hipervnculo"/>
            <w:noProof/>
          </w:rPr>
          <w:t>de</w:t>
        </w:r>
        <w:r w:rsidRPr="00DF6938">
          <w:rPr>
            <w:rStyle w:val="Hipervnculo"/>
            <w:noProof/>
            <w:spacing w:val="-1"/>
          </w:rPr>
          <w:t xml:space="preserve"> </w:t>
        </w:r>
        <w:r w:rsidRPr="00DF6938">
          <w:rPr>
            <w:rStyle w:val="Hipervnculo"/>
            <w:noProof/>
          </w:rPr>
          <w:t>los</w:t>
        </w:r>
        <w:r w:rsidRPr="00DF6938">
          <w:rPr>
            <w:rStyle w:val="Hipervnculo"/>
            <w:noProof/>
            <w:spacing w:val="-2"/>
          </w:rPr>
          <w:t xml:space="preserve"> </w:t>
        </w:r>
        <w:r w:rsidRPr="00DF6938">
          <w:rPr>
            <w:rStyle w:val="Hipervnculo"/>
            <w:noProof/>
          </w:rPr>
          <w:t>fueros</w:t>
        </w:r>
        <w:r w:rsidRPr="00DF6938">
          <w:rPr>
            <w:rStyle w:val="Hipervnculo"/>
            <w:noProof/>
            <w:spacing w:val="-1"/>
          </w:rPr>
          <w:t xml:space="preserve"> </w:t>
        </w:r>
        <w:r w:rsidRPr="00DF6938">
          <w:rPr>
            <w:rStyle w:val="Hipervnculo"/>
            <w:noProof/>
          </w:rPr>
          <w:t>y</w:t>
        </w:r>
        <w:r w:rsidRPr="00DF6938">
          <w:rPr>
            <w:rStyle w:val="Hipervnculo"/>
            <w:noProof/>
            <w:spacing w:val="-1"/>
          </w:rPr>
          <w:t xml:space="preserve"> </w:t>
        </w:r>
        <w:r w:rsidRPr="00DF6938">
          <w:rPr>
            <w:rStyle w:val="Hipervnculo"/>
            <w:noProof/>
          </w:rPr>
          <w:t>militarización</w:t>
        </w:r>
        <w:r w:rsidRPr="00DF6938">
          <w:rPr>
            <w:rStyle w:val="Hipervnculo"/>
            <w:noProof/>
            <w:spacing w:val="-3"/>
          </w:rPr>
          <w:t xml:space="preserve"> </w:t>
        </w:r>
        <w:r w:rsidRPr="00DF6938">
          <w:rPr>
            <w:rStyle w:val="Hipervnculo"/>
            <w:noProof/>
          </w:rPr>
          <w:t>de</w:t>
        </w:r>
        <w:r w:rsidRPr="00DF6938">
          <w:rPr>
            <w:rStyle w:val="Hipervnculo"/>
            <w:noProof/>
            <w:spacing w:val="-1"/>
          </w:rPr>
          <w:t xml:space="preserve"> </w:t>
        </w:r>
        <w:r w:rsidRPr="00DF6938">
          <w:rPr>
            <w:rStyle w:val="Hipervnculo"/>
            <w:noProof/>
          </w:rPr>
          <w:t>la</w:t>
        </w:r>
        <w:r w:rsidRPr="00DF6938">
          <w:rPr>
            <w:rStyle w:val="Hipervnculo"/>
            <w:noProof/>
            <w:spacing w:val="-1"/>
          </w:rPr>
          <w:t xml:space="preserve"> </w:t>
        </w:r>
        <w:r w:rsidRPr="00DF6938">
          <w:rPr>
            <w:rStyle w:val="Hipervnculo"/>
            <w:noProof/>
            <w:spacing w:val="-2"/>
          </w:rPr>
          <w:t>justicia</w:t>
        </w:r>
        <w:r>
          <w:rPr>
            <w:noProof/>
            <w:webHidden/>
          </w:rPr>
          <w:tab/>
        </w:r>
        <w:r>
          <w:rPr>
            <w:noProof/>
            <w:webHidden/>
          </w:rPr>
          <w:fldChar w:fldCharType="begin"/>
        </w:r>
        <w:r>
          <w:rPr>
            <w:noProof/>
            <w:webHidden/>
          </w:rPr>
          <w:instrText xml:space="preserve"> PAGEREF _Toc112399621 \h </w:instrText>
        </w:r>
        <w:r>
          <w:rPr>
            <w:noProof/>
            <w:webHidden/>
          </w:rPr>
        </w:r>
        <w:r>
          <w:rPr>
            <w:noProof/>
            <w:webHidden/>
          </w:rPr>
          <w:fldChar w:fldCharType="separate"/>
        </w:r>
        <w:r>
          <w:rPr>
            <w:noProof/>
            <w:webHidden/>
          </w:rPr>
          <w:t>644</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22" w:history="1">
        <w:r w:rsidRPr="00DF6938">
          <w:rPr>
            <w:rStyle w:val="Hipervnculo"/>
            <w:noProof/>
          </w:rPr>
          <w:t>7.6.</w:t>
        </w:r>
        <w:r>
          <w:rPr>
            <w:rFonts w:asciiTheme="minorHAnsi" w:eastAsiaTheme="minorEastAsia" w:hAnsiTheme="minorHAnsi" w:cstheme="minorBidi"/>
            <w:noProof/>
            <w:sz w:val="22"/>
            <w:szCs w:val="22"/>
            <w:lang w:val="es-CO" w:eastAsia="es-CO"/>
          </w:rPr>
          <w:tab/>
        </w:r>
        <w:r w:rsidRPr="00DF6938">
          <w:rPr>
            <w:rStyle w:val="Hipervnculo"/>
            <w:noProof/>
          </w:rPr>
          <w:t>Modelo</w:t>
        </w:r>
        <w:r w:rsidRPr="00DF6938">
          <w:rPr>
            <w:rStyle w:val="Hipervnculo"/>
            <w:noProof/>
            <w:spacing w:val="-4"/>
          </w:rPr>
          <w:t xml:space="preserve"> </w:t>
        </w:r>
        <w:r w:rsidRPr="00DF6938">
          <w:rPr>
            <w:rStyle w:val="Hipervnculo"/>
            <w:noProof/>
          </w:rPr>
          <w:t>de</w:t>
        </w:r>
        <w:r w:rsidRPr="00DF6938">
          <w:rPr>
            <w:rStyle w:val="Hipervnculo"/>
            <w:noProof/>
            <w:spacing w:val="-2"/>
          </w:rPr>
          <w:t xml:space="preserve"> </w:t>
        </w:r>
        <w:r w:rsidRPr="00DF6938">
          <w:rPr>
            <w:rStyle w:val="Hipervnculo"/>
            <w:noProof/>
          </w:rPr>
          <w:t>seguridad</w:t>
        </w:r>
        <w:r w:rsidRPr="00DF6938">
          <w:rPr>
            <w:rStyle w:val="Hipervnculo"/>
            <w:noProof/>
            <w:spacing w:val="-2"/>
          </w:rPr>
          <w:t xml:space="preserve"> </w:t>
        </w:r>
        <w:r w:rsidRPr="00DF6938">
          <w:rPr>
            <w:rStyle w:val="Hipervnculo"/>
            <w:noProof/>
          </w:rPr>
          <w:t>y</w:t>
        </w:r>
        <w:r w:rsidRPr="00DF6938">
          <w:rPr>
            <w:rStyle w:val="Hipervnculo"/>
            <w:noProof/>
            <w:spacing w:val="-2"/>
          </w:rPr>
          <w:t xml:space="preserve"> </w:t>
        </w:r>
        <w:r w:rsidRPr="00DF6938">
          <w:rPr>
            <w:rStyle w:val="Hipervnculo"/>
            <w:noProof/>
          </w:rPr>
          <w:t>relaciones</w:t>
        </w:r>
        <w:r w:rsidRPr="00DF6938">
          <w:rPr>
            <w:rStyle w:val="Hipervnculo"/>
            <w:noProof/>
            <w:spacing w:val="-1"/>
          </w:rPr>
          <w:t xml:space="preserve"> </w:t>
        </w:r>
        <w:r w:rsidRPr="00DF6938">
          <w:rPr>
            <w:rStyle w:val="Hipervnculo"/>
            <w:noProof/>
          </w:rPr>
          <w:t>con</w:t>
        </w:r>
        <w:r w:rsidRPr="00DF6938">
          <w:rPr>
            <w:rStyle w:val="Hipervnculo"/>
            <w:noProof/>
            <w:spacing w:val="-3"/>
          </w:rPr>
          <w:t xml:space="preserve"> </w:t>
        </w:r>
        <w:r w:rsidRPr="00DF6938">
          <w:rPr>
            <w:rStyle w:val="Hipervnculo"/>
            <w:noProof/>
          </w:rPr>
          <w:t>Estados</w:t>
        </w:r>
        <w:r w:rsidRPr="00DF6938">
          <w:rPr>
            <w:rStyle w:val="Hipervnculo"/>
            <w:noProof/>
            <w:spacing w:val="-1"/>
          </w:rPr>
          <w:t xml:space="preserve"> </w:t>
        </w:r>
        <w:r w:rsidRPr="00DF6938">
          <w:rPr>
            <w:rStyle w:val="Hipervnculo"/>
            <w:noProof/>
            <w:spacing w:val="-2"/>
          </w:rPr>
          <w:t>Unidos</w:t>
        </w:r>
        <w:r>
          <w:rPr>
            <w:noProof/>
            <w:webHidden/>
          </w:rPr>
          <w:tab/>
        </w:r>
        <w:r>
          <w:rPr>
            <w:noProof/>
            <w:webHidden/>
          </w:rPr>
          <w:fldChar w:fldCharType="begin"/>
        </w:r>
        <w:r>
          <w:rPr>
            <w:noProof/>
            <w:webHidden/>
          </w:rPr>
          <w:instrText xml:space="preserve"> PAGEREF _Toc112399622 \h </w:instrText>
        </w:r>
        <w:r>
          <w:rPr>
            <w:noProof/>
            <w:webHidden/>
          </w:rPr>
        </w:r>
        <w:r>
          <w:rPr>
            <w:noProof/>
            <w:webHidden/>
          </w:rPr>
          <w:fldChar w:fldCharType="separate"/>
        </w:r>
        <w:r>
          <w:rPr>
            <w:noProof/>
            <w:webHidden/>
          </w:rPr>
          <w:t>653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23" w:history="1">
        <w:r w:rsidRPr="00DF6938">
          <w:rPr>
            <w:rStyle w:val="Hipervnculo"/>
            <w:noProof/>
          </w:rPr>
          <w:t>7.7.</w:t>
        </w:r>
        <w:r>
          <w:rPr>
            <w:rFonts w:asciiTheme="minorHAnsi" w:eastAsiaTheme="minorEastAsia" w:hAnsiTheme="minorHAnsi" w:cstheme="minorBidi"/>
            <w:noProof/>
            <w:sz w:val="22"/>
            <w:szCs w:val="22"/>
            <w:lang w:val="es-CO" w:eastAsia="es-CO"/>
          </w:rPr>
          <w:tab/>
        </w:r>
        <w:r w:rsidRPr="00DF6938">
          <w:rPr>
            <w:rStyle w:val="Hipervnculo"/>
            <w:noProof/>
          </w:rPr>
          <w:t>De</w:t>
        </w:r>
        <w:r w:rsidRPr="00DF6938">
          <w:rPr>
            <w:rStyle w:val="Hipervnculo"/>
            <w:noProof/>
            <w:spacing w:val="-2"/>
          </w:rPr>
          <w:t xml:space="preserve"> </w:t>
        </w:r>
        <w:r w:rsidRPr="00DF6938">
          <w:rPr>
            <w:rStyle w:val="Hipervnculo"/>
            <w:noProof/>
          </w:rPr>
          <w:t>los</w:t>
        </w:r>
        <w:r w:rsidRPr="00DF6938">
          <w:rPr>
            <w:rStyle w:val="Hipervnculo"/>
            <w:noProof/>
            <w:spacing w:val="-1"/>
          </w:rPr>
          <w:t xml:space="preserve"> </w:t>
        </w:r>
        <w:r w:rsidRPr="00DF6938">
          <w:rPr>
            <w:rStyle w:val="Hipervnculo"/>
            <w:noProof/>
          </w:rPr>
          <w:t>grupos</w:t>
        </w:r>
        <w:r w:rsidRPr="00DF6938">
          <w:rPr>
            <w:rStyle w:val="Hipervnculo"/>
            <w:noProof/>
            <w:spacing w:val="-1"/>
          </w:rPr>
          <w:t xml:space="preserve"> </w:t>
        </w:r>
        <w:r w:rsidRPr="00DF6938">
          <w:rPr>
            <w:rStyle w:val="Hipervnculo"/>
            <w:noProof/>
          </w:rPr>
          <w:t>civiles</w:t>
        </w:r>
        <w:r w:rsidRPr="00DF6938">
          <w:rPr>
            <w:rStyle w:val="Hipervnculo"/>
            <w:noProof/>
            <w:spacing w:val="-2"/>
          </w:rPr>
          <w:t xml:space="preserve"> </w:t>
        </w:r>
        <w:r w:rsidRPr="00DF6938">
          <w:rPr>
            <w:rStyle w:val="Hipervnculo"/>
            <w:noProof/>
          </w:rPr>
          <w:t>armados</w:t>
        </w:r>
        <w:r w:rsidRPr="00DF6938">
          <w:rPr>
            <w:rStyle w:val="Hipervnculo"/>
            <w:noProof/>
            <w:spacing w:val="-1"/>
          </w:rPr>
          <w:t xml:space="preserve"> </w:t>
        </w:r>
        <w:r w:rsidRPr="00DF6938">
          <w:rPr>
            <w:rStyle w:val="Hipervnculo"/>
            <w:noProof/>
          </w:rPr>
          <w:t>al</w:t>
        </w:r>
        <w:r w:rsidRPr="00DF6938">
          <w:rPr>
            <w:rStyle w:val="Hipervnculo"/>
            <w:noProof/>
            <w:spacing w:val="-1"/>
          </w:rPr>
          <w:t xml:space="preserve"> </w:t>
        </w:r>
        <w:r w:rsidRPr="00DF6938">
          <w:rPr>
            <w:rStyle w:val="Hipervnculo"/>
            <w:noProof/>
            <w:spacing w:val="-2"/>
          </w:rPr>
          <w:t>paramilitarismo</w:t>
        </w:r>
        <w:r>
          <w:rPr>
            <w:noProof/>
            <w:webHidden/>
          </w:rPr>
          <w:tab/>
        </w:r>
        <w:r>
          <w:rPr>
            <w:noProof/>
            <w:webHidden/>
          </w:rPr>
          <w:fldChar w:fldCharType="begin"/>
        </w:r>
        <w:r>
          <w:rPr>
            <w:noProof/>
            <w:webHidden/>
          </w:rPr>
          <w:instrText xml:space="preserve"> PAGEREF _Toc112399623 \h </w:instrText>
        </w:r>
        <w:r>
          <w:rPr>
            <w:noProof/>
            <w:webHidden/>
          </w:rPr>
        </w:r>
        <w:r>
          <w:rPr>
            <w:noProof/>
            <w:webHidden/>
          </w:rPr>
          <w:fldChar w:fldCharType="separate"/>
        </w:r>
        <w:r>
          <w:rPr>
            <w:noProof/>
            <w:webHidden/>
          </w:rPr>
          <w:t>660</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24" w:history="1">
        <w:r w:rsidRPr="00DF6938">
          <w:rPr>
            <w:rStyle w:val="Hipervnculo"/>
            <w:noProof/>
          </w:rPr>
          <w:t>7.8.</w:t>
        </w:r>
        <w:r>
          <w:rPr>
            <w:rFonts w:asciiTheme="minorHAnsi" w:eastAsiaTheme="minorEastAsia" w:hAnsiTheme="minorHAnsi" w:cstheme="minorBidi"/>
            <w:noProof/>
            <w:sz w:val="22"/>
            <w:szCs w:val="22"/>
            <w:lang w:val="es-CO" w:eastAsia="es-CO"/>
          </w:rPr>
          <w:tab/>
        </w:r>
        <w:r w:rsidRPr="00DF6938">
          <w:rPr>
            <w:rStyle w:val="Hipervnculo"/>
            <w:noProof/>
          </w:rPr>
          <w:t xml:space="preserve">Modelo de seguridad, crisis de derechos humanos, negacionismo y democracia </w:t>
        </w:r>
        <w:r w:rsidRPr="00DF6938">
          <w:rPr>
            <w:rStyle w:val="Hipervnculo"/>
            <w:noProof/>
            <w:spacing w:val="-2"/>
          </w:rPr>
          <w:t>restringida</w:t>
        </w:r>
        <w:r>
          <w:rPr>
            <w:noProof/>
            <w:webHidden/>
          </w:rPr>
          <w:tab/>
        </w:r>
        <w:r>
          <w:rPr>
            <w:noProof/>
            <w:webHidden/>
          </w:rPr>
          <w:fldChar w:fldCharType="begin"/>
        </w:r>
        <w:r>
          <w:rPr>
            <w:noProof/>
            <w:webHidden/>
          </w:rPr>
          <w:instrText xml:space="preserve"> PAGEREF _Toc112399624 \h </w:instrText>
        </w:r>
        <w:r>
          <w:rPr>
            <w:noProof/>
            <w:webHidden/>
          </w:rPr>
        </w:r>
        <w:r>
          <w:rPr>
            <w:noProof/>
            <w:webHidden/>
          </w:rPr>
          <w:fldChar w:fldCharType="separate"/>
        </w:r>
        <w:r>
          <w:rPr>
            <w:noProof/>
            <w:webHidden/>
          </w:rPr>
          <w:t>665</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625" w:history="1">
        <w:r w:rsidRPr="00DF6938">
          <w:rPr>
            <w:rStyle w:val="Hipervnculo"/>
            <w:noProof/>
          </w:rPr>
          <w:t>8.</w:t>
        </w:r>
        <w:r>
          <w:rPr>
            <w:rFonts w:asciiTheme="minorHAnsi" w:eastAsiaTheme="minorEastAsia" w:hAnsiTheme="minorHAnsi" w:cstheme="minorBidi"/>
            <w:b w:val="0"/>
            <w:bCs w:val="0"/>
            <w:iCs w:val="0"/>
            <w:noProof/>
            <w:sz w:val="22"/>
            <w:lang w:val="es-CO" w:eastAsia="es-CO"/>
          </w:rPr>
          <w:tab/>
        </w:r>
        <w:r w:rsidRPr="00DF6938">
          <w:rPr>
            <w:rStyle w:val="Hipervnculo"/>
            <w:noProof/>
            <w:spacing w:val="-6"/>
          </w:rPr>
          <w:t>LA</w:t>
        </w:r>
        <w:r w:rsidRPr="00DF6938">
          <w:rPr>
            <w:rStyle w:val="Hipervnculo"/>
            <w:noProof/>
          </w:rPr>
          <w:t xml:space="preserve"> IMPUNIDAD </w:t>
        </w:r>
        <w:r w:rsidRPr="00DF6938">
          <w:rPr>
            <w:rStyle w:val="Hipervnculo"/>
            <w:noProof/>
            <w:spacing w:val="-4"/>
          </w:rPr>
          <w:t>COMO</w:t>
        </w:r>
        <w:r w:rsidRPr="00DF6938">
          <w:rPr>
            <w:rStyle w:val="Hipervnculo"/>
            <w:noProof/>
          </w:rPr>
          <w:t xml:space="preserve"> FACTOR </w:t>
        </w:r>
        <w:r w:rsidRPr="00DF6938">
          <w:rPr>
            <w:rStyle w:val="Hipervnculo"/>
            <w:noProof/>
            <w:spacing w:val="-6"/>
          </w:rPr>
          <w:t xml:space="preserve">DE </w:t>
        </w:r>
        <w:r w:rsidRPr="00DF6938">
          <w:rPr>
            <w:rStyle w:val="Hipervnculo"/>
            <w:noProof/>
          </w:rPr>
          <w:t xml:space="preserve">PERSISTENCIA </w:t>
        </w:r>
        <w:r w:rsidRPr="00DF6938">
          <w:rPr>
            <w:rStyle w:val="Hipervnculo"/>
            <w:noProof/>
            <w:spacing w:val="-4"/>
          </w:rPr>
          <w:t xml:space="preserve">DEL </w:t>
        </w:r>
        <w:r w:rsidRPr="00DF6938">
          <w:rPr>
            <w:rStyle w:val="Hipervnculo"/>
            <w:noProof/>
          </w:rPr>
          <w:t>CONFLICTO</w:t>
        </w:r>
        <w:r w:rsidRPr="00DF6938">
          <w:rPr>
            <w:rStyle w:val="Hipervnculo"/>
            <w:noProof/>
            <w:spacing w:val="-1"/>
          </w:rPr>
          <w:t xml:space="preserve"> </w:t>
        </w:r>
        <w:r w:rsidRPr="00DF6938">
          <w:rPr>
            <w:rStyle w:val="Hipervnculo"/>
            <w:noProof/>
          </w:rPr>
          <w:t>ARMADO</w:t>
        </w:r>
        <w:r>
          <w:rPr>
            <w:noProof/>
            <w:webHidden/>
          </w:rPr>
          <w:tab/>
        </w:r>
        <w:r>
          <w:rPr>
            <w:noProof/>
            <w:webHidden/>
          </w:rPr>
          <w:fldChar w:fldCharType="begin"/>
        </w:r>
        <w:r>
          <w:rPr>
            <w:noProof/>
            <w:webHidden/>
          </w:rPr>
          <w:instrText xml:space="preserve"> PAGEREF _Toc112399625 \h </w:instrText>
        </w:r>
        <w:r>
          <w:rPr>
            <w:noProof/>
            <w:webHidden/>
          </w:rPr>
        </w:r>
        <w:r>
          <w:rPr>
            <w:noProof/>
            <w:webHidden/>
          </w:rPr>
          <w:fldChar w:fldCharType="separate"/>
        </w:r>
        <w:r>
          <w:rPr>
            <w:noProof/>
            <w:webHidden/>
          </w:rPr>
          <w:t>675</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26" w:history="1">
        <w:r w:rsidRPr="00DF6938">
          <w:rPr>
            <w:rStyle w:val="Hipervnculo"/>
            <w:noProof/>
          </w:rPr>
          <w:t>8.1.</w:t>
        </w:r>
        <w:r>
          <w:rPr>
            <w:rFonts w:asciiTheme="minorHAnsi" w:eastAsiaTheme="minorEastAsia" w:hAnsiTheme="minorHAnsi" w:cstheme="minorBidi"/>
            <w:noProof/>
            <w:sz w:val="22"/>
            <w:szCs w:val="22"/>
            <w:lang w:val="es-CO" w:eastAsia="es-CO"/>
          </w:rPr>
          <w:tab/>
        </w:r>
        <w:r w:rsidRPr="00DF6938">
          <w:rPr>
            <w:rStyle w:val="Hipervnculo"/>
            <w:noProof/>
          </w:rPr>
          <w:t>Escasez,</w:t>
        </w:r>
        <w:r w:rsidRPr="00DF6938">
          <w:rPr>
            <w:rStyle w:val="Hipervnculo"/>
            <w:noProof/>
            <w:spacing w:val="-2"/>
          </w:rPr>
          <w:t xml:space="preserve"> </w:t>
        </w:r>
        <w:r w:rsidRPr="00DF6938">
          <w:rPr>
            <w:rStyle w:val="Hipervnculo"/>
            <w:noProof/>
          </w:rPr>
          <w:t>falta</w:t>
        </w:r>
        <w:r w:rsidRPr="00DF6938">
          <w:rPr>
            <w:rStyle w:val="Hipervnculo"/>
            <w:noProof/>
            <w:spacing w:val="-1"/>
          </w:rPr>
          <w:t xml:space="preserve"> </w:t>
        </w:r>
        <w:r w:rsidRPr="00DF6938">
          <w:rPr>
            <w:rStyle w:val="Hipervnculo"/>
            <w:noProof/>
          </w:rPr>
          <w:t>de</w:t>
        </w:r>
        <w:r w:rsidRPr="00DF6938">
          <w:rPr>
            <w:rStyle w:val="Hipervnculo"/>
            <w:noProof/>
            <w:spacing w:val="-1"/>
          </w:rPr>
          <w:t xml:space="preserve"> </w:t>
        </w:r>
        <w:r w:rsidRPr="00DF6938">
          <w:rPr>
            <w:rStyle w:val="Hipervnculo"/>
            <w:noProof/>
          </w:rPr>
          <w:t>prioridad</w:t>
        </w:r>
        <w:r w:rsidRPr="00DF6938">
          <w:rPr>
            <w:rStyle w:val="Hipervnculo"/>
            <w:noProof/>
            <w:spacing w:val="-2"/>
          </w:rPr>
          <w:t xml:space="preserve"> </w:t>
        </w:r>
        <w:r w:rsidRPr="00DF6938">
          <w:rPr>
            <w:rStyle w:val="Hipervnculo"/>
            <w:noProof/>
          </w:rPr>
          <w:t>y</w:t>
        </w:r>
        <w:r w:rsidRPr="00DF6938">
          <w:rPr>
            <w:rStyle w:val="Hipervnculo"/>
            <w:noProof/>
            <w:spacing w:val="-1"/>
          </w:rPr>
          <w:t xml:space="preserve"> </w:t>
        </w:r>
        <w:r w:rsidRPr="00DF6938">
          <w:rPr>
            <w:rStyle w:val="Hipervnculo"/>
            <w:noProof/>
            <w:spacing w:val="-2"/>
          </w:rPr>
          <w:t>fragmentación</w:t>
        </w:r>
        <w:r>
          <w:rPr>
            <w:noProof/>
            <w:webHidden/>
          </w:rPr>
          <w:tab/>
        </w:r>
        <w:r>
          <w:rPr>
            <w:noProof/>
            <w:webHidden/>
          </w:rPr>
          <w:fldChar w:fldCharType="begin"/>
        </w:r>
        <w:r>
          <w:rPr>
            <w:noProof/>
            <w:webHidden/>
          </w:rPr>
          <w:instrText xml:space="preserve"> PAGEREF _Toc112399626 \h </w:instrText>
        </w:r>
        <w:r>
          <w:rPr>
            <w:noProof/>
            <w:webHidden/>
          </w:rPr>
        </w:r>
        <w:r>
          <w:rPr>
            <w:noProof/>
            <w:webHidden/>
          </w:rPr>
          <w:fldChar w:fldCharType="separate"/>
        </w:r>
        <w:r>
          <w:rPr>
            <w:noProof/>
            <w:webHidden/>
          </w:rPr>
          <w:t>678</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27" w:history="1">
        <w:r w:rsidRPr="00DF6938">
          <w:rPr>
            <w:rStyle w:val="Hipervnculo"/>
            <w:noProof/>
          </w:rPr>
          <w:t>8.2.</w:t>
        </w:r>
        <w:r>
          <w:rPr>
            <w:rFonts w:asciiTheme="minorHAnsi" w:eastAsiaTheme="minorEastAsia" w:hAnsiTheme="minorHAnsi" w:cstheme="minorBidi"/>
            <w:noProof/>
            <w:sz w:val="22"/>
            <w:szCs w:val="22"/>
            <w:lang w:val="es-CO" w:eastAsia="es-CO"/>
          </w:rPr>
          <w:tab/>
        </w:r>
        <w:r w:rsidRPr="00DF6938">
          <w:rPr>
            <w:rStyle w:val="Hipervnculo"/>
            <w:noProof/>
          </w:rPr>
          <w:t>El</w:t>
        </w:r>
        <w:r w:rsidRPr="00DF6938">
          <w:rPr>
            <w:rStyle w:val="Hipervnculo"/>
            <w:noProof/>
            <w:spacing w:val="-2"/>
          </w:rPr>
          <w:t xml:space="preserve"> </w:t>
        </w:r>
        <w:r w:rsidRPr="00DF6938">
          <w:rPr>
            <w:rStyle w:val="Hipervnculo"/>
            <w:noProof/>
          </w:rPr>
          <w:t>bloqueo</w:t>
        </w:r>
        <w:r w:rsidRPr="00DF6938">
          <w:rPr>
            <w:rStyle w:val="Hipervnculo"/>
            <w:noProof/>
            <w:spacing w:val="-2"/>
          </w:rPr>
          <w:t xml:space="preserve"> </w:t>
        </w:r>
        <w:r w:rsidRPr="00DF6938">
          <w:rPr>
            <w:rStyle w:val="Hipervnculo"/>
            <w:noProof/>
          </w:rPr>
          <w:t>de</w:t>
        </w:r>
        <w:r w:rsidRPr="00DF6938">
          <w:rPr>
            <w:rStyle w:val="Hipervnculo"/>
            <w:noProof/>
            <w:spacing w:val="-2"/>
          </w:rPr>
          <w:t xml:space="preserve"> </w:t>
        </w:r>
        <w:r w:rsidRPr="00DF6938">
          <w:rPr>
            <w:rStyle w:val="Hipervnculo"/>
            <w:noProof/>
          </w:rPr>
          <w:t>mecanismos</w:t>
        </w:r>
        <w:r w:rsidRPr="00DF6938">
          <w:rPr>
            <w:rStyle w:val="Hipervnculo"/>
            <w:noProof/>
            <w:spacing w:val="-2"/>
          </w:rPr>
          <w:t xml:space="preserve"> </w:t>
        </w:r>
        <w:r w:rsidRPr="00DF6938">
          <w:rPr>
            <w:rStyle w:val="Hipervnculo"/>
            <w:noProof/>
          </w:rPr>
          <w:t>relevantes</w:t>
        </w:r>
        <w:r w:rsidRPr="00DF6938">
          <w:rPr>
            <w:rStyle w:val="Hipervnculo"/>
            <w:noProof/>
            <w:spacing w:val="-2"/>
          </w:rPr>
          <w:t xml:space="preserve"> </w:t>
        </w:r>
        <w:r w:rsidRPr="00DF6938">
          <w:rPr>
            <w:rStyle w:val="Hipervnculo"/>
            <w:noProof/>
          </w:rPr>
          <w:t>de</w:t>
        </w:r>
        <w:r w:rsidRPr="00DF6938">
          <w:rPr>
            <w:rStyle w:val="Hipervnculo"/>
            <w:noProof/>
            <w:spacing w:val="-1"/>
          </w:rPr>
          <w:t xml:space="preserve"> </w:t>
        </w:r>
        <w:r w:rsidRPr="00DF6938">
          <w:rPr>
            <w:rStyle w:val="Hipervnculo"/>
            <w:noProof/>
            <w:spacing w:val="-2"/>
          </w:rPr>
          <w:t>investigación</w:t>
        </w:r>
        <w:r>
          <w:rPr>
            <w:noProof/>
            <w:webHidden/>
          </w:rPr>
          <w:tab/>
        </w:r>
        <w:r>
          <w:rPr>
            <w:noProof/>
            <w:webHidden/>
          </w:rPr>
          <w:fldChar w:fldCharType="begin"/>
        </w:r>
        <w:r>
          <w:rPr>
            <w:noProof/>
            <w:webHidden/>
          </w:rPr>
          <w:instrText xml:space="preserve"> PAGEREF _Toc112399627 \h </w:instrText>
        </w:r>
        <w:r>
          <w:rPr>
            <w:noProof/>
            <w:webHidden/>
          </w:rPr>
        </w:r>
        <w:r>
          <w:rPr>
            <w:noProof/>
            <w:webHidden/>
          </w:rPr>
          <w:fldChar w:fldCharType="separate"/>
        </w:r>
        <w:r>
          <w:rPr>
            <w:noProof/>
            <w:webHidden/>
          </w:rPr>
          <w:t>688</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28" w:history="1">
        <w:r w:rsidRPr="00DF6938">
          <w:rPr>
            <w:rStyle w:val="Hipervnculo"/>
            <w:noProof/>
          </w:rPr>
          <w:t>8.3.</w:t>
        </w:r>
        <w:r>
          <w:rPr>
            <w:rFonts w:asciiTheme="minorHAnsi" w:eastAsiaTheme="minorEastAsia" w:hAnsiTheme="minorHAnsi" w:cstheme="minorBidi"/>
            <w:noProof/>
            <w:sz w:val="22"/>
            <w:szCs w:val="22"/>
            <w:lang w:val="es-CO" w:eastAsia="es-CO"/>
          </w:rPr>
          <w:tab/>
        </w:r>
        <w:r w:rsidRPr="00DF6938">
          <w:rPr>
            <w:rStyle w:val="Hipervnculo"/>
            <w:noProof/>
          </w:rPr>
          <w:t>Cooptación</w:t>
        </w:r>
        <w:r w:rsidRPr="00DF6938">
          <w:rPr>
            <w:rStyle w:val="Hipervnculo"/>
            <w:noProof/>
            <w:spacing w:val="-2"/>
          </w:rPr>
          <w:t xml:space="preserve"> </w:t>
        </w:r>
        <w:r w:rsidRPr="00DF6938">
          <w:rPr>
            <w:rStyle w:val="Hipervnculo"/>
            <w:noProof/>
          </w:rPr>
          <w:t>de</w:t>
        </w:r>
        <w:r w:rsidRPr="00DF6938">
          <w:rPr>
            <w:rStyle w:val="Hipervnculo"/>
            <w:noProof/>
            <w:spacing w:val="-1"/>
          </w:rPr>
          <w:t xml:space="preserve"> </w:t>
        </w:r>
        <w:r w:rsidRPr="00DF6938">
          <w:rPr>
            <w:rStyle w:val="Hipervnculo"/>
            <w:noProof/>
          </w:rPr>
          <w:t>la</w:t>
        </w:r>
        <w:r w:rsidRPr="00DF6938">
          <w:rPr>
            <w:rStyle w:val="Hipervnculo"/>
            <w:noProof/>
            <w:spacing w:val="-1"/>
          </w:rPr>
          <w:t xml:space="preserve"> </w:t>
        </w:r>
        <w:r w:rsidRPr="00DF6938">
          <w:rPr>
            <w:rStyle w:val="Hipervnculo"/>
            <w:noProof/>
            <w:spacing w:val="-2"/>
          </w:rPr>
          <w:t>justicia</w:t>
        </w:r>
        <w:r>
          <w:rPr>
            <w:noProof/>
            <w:webHidden/>
          </w:rPr>
          <w:tab/>
        </w:r>
        <w:r>
          <w:rPr>
            <w:noProof/>
            <w:webHidden/>
          </w:rPr>
          <w:fldChar w:fldCharType="begin"/>
        </w:r>
        <w:r>
          <w:rPr>
            <w:noProof/>
            <w:webHidden/>
          </w:rPr>
          <w:instrText xml:space="preserve"> PAGEREF _Toc112399628 \h </w:instrText>
        </w:r>
        <w:r>
          <w:rPr>
            <w:noProof/>
            <w:webHidden/>
          </w:rPr>
        </w:r>
        <w:r>
          <w:rPr>
            <w:noProof/>
            <w:webHidden/>
          </w:rPr>
          <w:fldChar w:fldCharType="separate"/>
        </w:r>
        <w:r>
          <w:rPr>
            <w:noProof/>
            <w:webHidden/>
          </w:rPr>
          <w:t>692</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29" w:history="1">
        <w:r w:rsidRPr="00DF6938">
          <w:rPr>
            <w:rStyle w:val="Hipervnculo"/>
            <w:noProof/>
          </w:rPr>
          <w:t>8.4.</w:t>
        </w:r>
        <w:r>
          <w:rPr>
            <w:rFonts w:asciiTheme="minorHAnsi" w:eastAsiaTheme="minorEastAsia" w:hAnsiTheme="minorHAnsi" w:cstheme="minorBidi"/>
            <w:noProof/>
            <w:sz w:val="22"/>
            <w:szCs w:val="22"/>
            <w:lang w:val="es-CO" w:eastAsia="es-CO"/>
          </w:rPr>
          <w:tab/>
        </w:r>
        <w:r w:rsidRPr="00DF6938">
          <w:rPr>
            <w:rStyle w:val="Hipervnculo"/>
            <w:noProof/>
          </w:rPr>
          <w:t>Los</w:t>
        </w:r>
        <w:r w:rsidRPr="00DF6938">
          <w:rPr>
            <w:rStyle w:val="Hipervnculo"/>
            <w:noProof/>
            <w:spacing w:val="-4"/>
          </w:rPr>
          <w:t xml:space="preserve"> </w:t>
        </w:r>
        <w:r w:rsidRPr="00DF6938">
          <w:rPr>
            <w:rStyle w:val="Hipervnculo"/>
            <w:noProof/>
          </w:rPr>
          <w:t>tribunales</w:t>
        </w:r>
        <w:r w:rsidRPr="00DF6938">
          <w:rPr>
            <w:rStyle w:val="Hipervnculo"/>
            <w:noProof/>
            <w:spacing w:val="-1"/>
          </w:rPr>
          <w:t xml:space="preserve"> </w:t>
        </w:r>
        <w:r w:rsidRPr="00DF6938">
          <w:rPr>
            <w:rStyle w:val="Hipervnculo"/>
            <w:noProof/>
          </w:rPr>
          <w:t>de</w:t>
        </w:r>
        <w:r w:rsidRPr="00DF6938">
          <w:rPr>
            <w:rStyle w:val="Hipervnculo"/>
            <w:noProof/>
            <w:spacing w:val="-1"/>
          </w:rPr>
          <w:t xml:space="preserve"> </w:t>
        </w:r>
        <w:r w:rsidRPr="00DF6938">
          <w:rPr>
            <w:rStyle w:val="Hipervnculo"/>
            <w:noProof/>
          </w:rPr>
          <w:t>Justicia</w:t>
        </w:r>
        <w:r w:rsidRPr="00DF6938">
          <w:rPr>
            <w:rStyle w:val="Hipervnculo"/>
            <w:noProof/>
            <w:spacing w:val="-2"/>
          </w:rPr>
          <w:t xml:space="preserve"> </w:t>
        </w:r>
        <w:r w:rsidRPr="00DF6938">
          <w:rPr>
            <w:rStyle w:val="Hipervnculo"/>
            <w:noProof/>
          </w:rPr>
          <w:t>y</w:t>
        </w:r>
        <w:r w:rsidRPr="00DF6938">
          <w:rPr>
            <w:rStyle w:val="Hipervnculo"/>
            <w:noProof/>
            <w:spacing w:val="-1"/>
          </w:rPr>
          <w:t xml:space="preserve"> </w:t>
        </w:r>
        <w:r w:rsidRPr="00DF6938">
          <w:rPr>
            <w:rStyle w:val="Hipervnculo"/>
            <w:noProof/>
          </w:rPr>
          <w:t>Paz:</w:t>
        </w:r>
        <w:r w:rsidRPr="00DF6938">
          <w:rPr>
            <w:rStyle w:val="Hipervnculo"/>
            <w:noProof/>
            <w:spacing w:val="-1"/>
          </w:rPr>
          <w:t xml:space="preserve"> </w:t>
        </w:r>
        <w:r w:rsidRPr="00DF6938">
          <w:rPr>
            <w:rStyle w:val="Hipervnculo"/>
            <w:noProof/>
          </w:rPr>
          <w:t>verdades</w:t>
        </w:r>
        <w:r w:rsidRPr="00DF6938">
          <w:rPr>
            <w:rStyle w:val="Hipervnculo"/>
            <w:noProof/>
            <w:spacing w:val="-2"/>
          </w:rPr>
          <w:t xml:space="preserve"> </w:t>
        </w:r>
        <w:r w:rsidRPr="00DF6938">
          <w:rPr>
            <w:rStyle w:val="Hipervnculo"/>
            <w:noProof/>
          </w:rPr>
          <w:t>reveladas</w:t>
        </w:r>
        <w:r w:rsidRPr="00DF6938">
          <w:rPr>
            <w:rStyle w:val="Hipervnculo"/>
            <w:noProof/>
            <w:spacing w:val="-3"/>
          </w:rPr>
          <w:t xml:space="preserve"> </w:t>
        </w:r>
        <w:r w:rsidRPr="00DF6938">
          <w:rPr>
            <w:rStyle w:val="Hipervnculo"/>
            <w:noProof/>
          </w:rPr>
          <w:t>y</w:t>
        </w:r>
        <w:r w:rsidRPr="00DF6938">
          <w:rPr>
            <w:rStyle w:val="Hipervnculo"/>
            <w:noProof/>
            <w:spacing w:val="-1"/>
          </w:rPr>
          <w:t xml:space="preserve"> </w:t>
        </w:r>
        <w:r w:rsidRPr="00DF6938">
          <w:rPr>
            <w:rStyle w:val="Hipervnculo"/>
            <w:noProof/>
          </w:rPr>
          <w:t>tareas</w:t>
        </w:r>
        <w:r w:rsidRPr="00DF6938">
          <w:rPr>
            <w:rStyle w:val="Hipervnculo"/>
            <w:noProof/>
            <w:spacing w:val="-1"/>
          </w:rPr>
          <w:t xml:space="preserve"> </w:t>
        </w:r>
        <w:r w:rsidRPr="00DF6938">
          <w:rPr>
            <w:rStyle w:val="Hipervnculo"/>
            <w:noProof/>
            <w:spacing w:val="-2"/>
          </w:rPr>
          <w:t>pendientes</w:t>
        </w:r>
        <w:r>
          <w:rPr>
            <w:noProof/>
            <w:webHidden/>
          </w:rPr>
          <w:tab/>
        </w:r>
        <w:r>
          <w:rPr>
            <w:noProof/>
            <w:webHidden/>
          </w:rPr>
          <w:fldChar w:fldCharType="begin"/>
        </w:r>
        <w:r>
          <w:rPr>
            <w:noProof/>
            <w:webHidden/>
          </w:rPr>
          <w:instrText xml:space="preserve"> PAGEREF _Toc112399629 \h </w:instrText>
        </w:r>
        <w:r>
          <w:rPr>
            <w:noProof/>
            <w:webHidden/>
          </w:rPr>
        </w:r>
        <w:r>
          <w:rPr>
            <w:noProof/>
            <w:webHidden/>
          </w:rPr>
          <w:fldChar w:fldCharType="separate"/>
        </w:r>
        <w:r>
          <w:rPr>
            <w:noProof/>
            <w:webHidden/>
          </w:rPr>
          <w:t>696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30" w:history="1">
        <w:r w:rsidRPr="00DF6938">
          <w:rPr>
            <w:rStyle w:val="Hipervnculo"/>
            <w:noProof/>
          </w:rPr>
          <w:t>8.5.</w:t>
        </w:r>
        <w:r>
          <w:rPr>
            <w:rFonts w:asciiTheme="minorHAnsi" w:eastAsiaTheme="minorEastAsia" w:hAnsiTheme="minorHAnsi" w:cstheme="minorBidi"/>
            <w:noProof/>
            <w:sz w:val="22"/>
            <w:szCs w:val="22"/>
            <w:lang w:val="es-CO" w:eastAsia="es-CO"/>
          </w:rPr>
          <w:tab/>
        </w:r>
        <w:r w:rsidRPr="00DF6938">
          <w:rPr>
            <w:rStyle w:val="Hipervnculo"/>
            <w:noProof/>
          </w:rPr>
          <w:t>La</w:t>
        </w:r>
        <w:r w:rsidRPr="00DF6938">
          <w:rPr>
            <w:rStyle w:val="Hipervnculo"/>
            <w:noProof/>
            <w:spacing w:val="-4"/>
          </w:rPr>
          <w:t xml:space="preserve"> </w:t>
        </w:r>
        <w:r w:rsidRPr="00DF6938">
          <w:rPr>
            <w:rStyle w:val="Hipervnculo"/>
            <w:noProof/>
          </w:rPr>
          <w:t>investigación</w:t>
        </w:r>
        <w:r w:rsidRPr="00DF6938">
          <w:rPr>
            <w:rStyle w:val="Hipervnculo"/>
            <w:noProof/>
            <w:spacing w:val="-2"/>
          </w:rPr>
          <w:t xml:space="preserve"> </w:t>
        </w:r>
        <w:r w:rsidRPr="00DF6938">
          <w:rPr>
            <w:rStyle w:val="Hipervnculo"/>
            <w:noProof/>
          </w:rPr>
          <w:t>de</w:t>
        </w:r>
        <w:r w:rsidRPr="00DF6938">
          <w:rPr>
            <w:rStyle w:val="Hipervnculo"/>
            <w:noProof/>
            <w:spacing w:val="-2"/>
          </w:rPr>
          <w:t xml:space="preserve"> </w:t>
        </w:r>
        <w:r w:rsidRPr="00DF6938">
          <w:rPr>
            <w:rStyle w:val="Hipervnculo"/>
            <w:noProof/>
          </w:rPr>
          <w:t>la</w:t>
        </w:r>
        <w:r w:rsidRPr="00DF6938">
          <w:rPr>
            <w:rStyle w:val="Hipervnculo"/>
            <w:noProof/>
            <w:spacing w:val="-1"/>
          </w:rPr>
          <w:t xml:space="preserve"> </w:t>
        </w:r>
        <w:r w:rsidRPr="00DF6938">
          <w:rPr>
            <w:rStyle w:val="Hipervnculo"/>
            <w:noProof/>
          </w:rPr>
          <w:t>parapolítica:</w:t>
        </w:r>
        <w:r w:rsidRPr="00DF6938">
          <w:rPr>
            <w:rStyle w:val="Hipervnculo"/>
            <w:noProof/>
            <w:spacing w:val="-1"/>
          </w:rPr>
          <w:t xml:space="preserve"> </w:t>
        </w:r>
        <w:r w:rsidRPr="00DF6938">
          <w:rPr>
            <w:rStyle w:val="Hipervnculo"/>
            <w:noProof/>
          </w:rPr>
          <w:t>avances</w:t>
        </w:r>
        <w:r w:rsidRPr="00DF6938">
          <w:rPr>
            <w:rStyle w:val="Hipervnculo"/>
            <w:noProof/>
            <w:spacing w:val="-2"/>
          </w:rPr>
          <w:t xml:space="preserve"> </w:t>
        </w:r>
        <w:r w:rsidRPr="00DF6938">
          <w:rPr>
            <w:rStyle w:val="Hipervnculo"/>
            <w:noProof/>
          </w:rPr>
          <w:t>y</w:t>
        </w:r>
        <w:r w:rsidRPr="00DF6938">
          <w:rPr>
            <w:rStyle w:val="Hipervnculo"/>
            <w:noProof/>
            <w:spacing w:val="-1"/>
          </w:rPr>
          <w:t xml:space="preserve"> </w:t>
        </w:r>
        <w:r w:rsidRPr="00DF6938">
          <w:rPr>
            <w:rStyle w:val="Hipervnculo"/>
            <w:noProof/>
          </w:rPr>
          <w:t>bloqueos</w:t>
        </w:r>
        <w:r w:rsidRPr="00DF6938">
          <w:rPr>
            <w:rStyle w:val="Hipervnculo"/>
            <w:noProof/>
            <w:spacing w:val="-1"/>
          </w:rPr>
          <w:t xml:space="preserve"> </w:t>
        </w:r>
        <w:r w:rsidRPr="00DF6938">
          <w:rPr>
            <w:rStyle w:val="Hipervnculo"/>
            <w:noProof/>
          </w:rPr>
          <w:t>sin</w:t>
        </w:r>
        <w:r w:rsidRPr="00DF6938">
          <w:rPr>
            <w:rStyle w:val="Hipervnculo"/>
            <w:noProof/>
            <w:spacing w:val="-3"/>
          </w:rPr>
          <w:t xml:space="preserve"> </w:t>
        </w:r>
        <w:r w:rsidRPr="00DF6938">
          <w:rPr>
            <w:rStyle w:val="Hipervnculo"/>
            <w:noProof/>
          </w:rPr>
          <w:t>crisis</w:t>
        </w:r>
        <w:r w:rsidRPr="00DF6938">
          <w:rPr>
            <w:rStyle w:val="Hipervnculo"/>
            <w:noProof/>
            <w:spacing w:val="-3"/>
          </w:rPr>
          <w:t xml:space="preserve"> </w:t>
        </w:r>
        <w:r w:rsidRPr="00DF6938">
          <w:rPr>
            <w:rStyle w:val="Hipervnculo"/>
            <w:noProof/>
          </w:rPr>
          <w:t>del</w:t>
        </w:r>
        <w:r w:rsidRPr="00DF6938">
          <w:rPr>
            <w:rStyle w:val="Hipervnculo"/>
            <w:noProof/>
            <w:spacing w:val="-1"/>
          </w:rPr>
          <w:t xml:space="preserve"> </w:t>
        </w:r>
        <w:r w:rsidRPr="00DF6938">
          <w:rPr>
            <w:rStyle w:val="Hipervnculo"/>
            <w:noProof/>
            <w:spacing w:val="-2"/>
          </w:rPr>
          <w:t>sistema</w:t>
        </w:r>
        <w:r>
          <w:rPr>
            <w:noProof/>
            <w:webHidden/>
          </w:rPr>
          <w:tab/>
        </w:r>
        <w:r>
          <w:rPr>
            <w:noProof/>
            <w:webHidden/>
          </w:rPr>
          <w:fldChar w:fldCharType="begin"/>
        </w:r>
        <w:r>
          <w:rPr>
            <w:noProof/>
            <w:webHidden/>
          </w:rPr>
          <w:instrText xml:space="preserve"> PAGEREF _Toc112399630 \h </w:instrText>
        </w:r>
        <w:r>
          <w:rPr>
            <w:noProof/>
            <w:webHidden/>
          </w:rPr>
        </w:r>
        <w:r>
          <w:rPr>
            <w:noProof/>
            <w:webHidden/>
          </w:rPr>
          <w:fldChar w:fldCharType="separate"/>
        </w:r>
        <w:r>
          <w:rPr>
            <w:noProof/>
            <w:webHidden/>
          </w:rPr>
          <w:t>703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31" w:history="1">
        <w:r w:rsidRPr="00DF6938">
          <w:rPr>
            <w:rStyle w:val="Hipervnculo"/>
            <w:noProof/>
          </w:rPr>
          <w:t>8.6.</w:t>
        </w:r>
        <w:r>
          <w:rPr>
            <w:rFonts w:asciiTheme="minorHAnsi" w:eastAsiaTheme="minorEastAsia" w:hAnsiTheme="minorHAnsi" w:cstheme="minorBidi"/>
            <w:noProof/>
            <w:sz w:val="22"/>
            <w:szCs w:val="22"/>
            <w:lang w:val="es-CO" w:eastAsia="es-CO"/>
          </w:rPr>
          <w:tab/>
        </w:r>
        <w:r w:rsidRPr="00DF6938">
          <w:rPr>
            <w:rStyle w:val="Hipervnculo"/>
            <w:noProof/>
          </w:rPr>
          <w:t>Ataques</w:t>
        </w:r>
        <w:r w:rsidRPr="00DF6938">
          <w:rPr>
            <w:rStyle w:val="Hipervnculo"/>
            <w:noProof/>
            <w:spacing w:val="-5"/>
          </w:rPr>
          <w:t xml:space="preserve"> </w:t>
        </w:r>
        <w:r w:rsidRPr="00DF6938">
          <w:rPr>
            <w:rStyle w:val="Hipervnculo"/>
            <w:noProof/>
          </w:rPr>
          <w:t>al</w:t>
        </w:r>
        <w:r w:rsidRPr="00DF6938">
          <w:rPr>
            <w:rStyle w:val="Hipervnculo"/>
            <w:noProof/>
            <w:spacing w:val="-3"/>
          </w:rPr>
          <w:t xml:space="preserve"> </w:t>
        </w:r>
        <w:r w:rsidRPr="00DF6938">
          <w:rPr>
            <w:rStyle w:val="Hipervnculo"/>
            <w:noProof/>
          </w:rPr>
          <w:t>poder</w:t>
        </w:r>
        <w:r w:rsidRPr="00DF6938">
          <w:rPr>
            <w:rStyle w:val="Hipervnculo"/>
            <w:noProof/>
            <w:spacing w:val="-3"/>
          </w:rPr>
          <w:t xml:space="preserve"> </w:t>
        </w:r>
        <w:r w:rsidRPr="00DF6938">
          <w:rPr>
            <w:rStyle w:val="Hipervnculo"/>
            <w:noProof/>
          </w:rPr>
          <w:t>judicial:</w:t>
        </w:r>
        <w:r w:rsidRPr="00DF6938">
          <w:rPr>
            <w:rStyle w:val="Hipervnculo"/>
            <w:noProof/>
            <w:spacing w:val="-4"/>
          </w:rPr>
          <w:t xml:space="preserve"> </w:t>
        </w:r>
        <w:r w:rsidRPr="00DF6938">
          <w:rPr>
            <w:rStyle w:val="Hipervnculo"/>
            <w:noProof/>
          </w:rPr>
          <w:t>jueces,</w:t>
        </w:r>
        <w:r w:rsidRPr="00DF6938">
          <w:rPr>
            <w:rStyle w:val="Hipervnculo"/>
            <w:noProof/>
            <w:spacing w:val="-3"/>
          </w:rPr>
          <w:t xml:space="preserve"> </w:t>
        </w:r>
        <w:r w:rsidRPr="00DF6938">
          <w:rPr>
            <w:rStyle w:val="Hipervnculo"/>
            <w:noProof/>
          </w:rPr>
          <w:t>Fiscalía,</w:t>
        </w:r>
        <w:r w:rsidRPr="00DF6938">
          <w:rPr>
            <w:rStyle w:val="Hipervnculo"/>
            <w:noProof/>
            <w:spacing w:val="-2"/>
          </w:rPr>
          <w:t xml:space="preserve"> </w:t>
        </w:r>
        <w:r w:rsidRPr="00DF6938">
          <w:rPr>
            <w:rStyle w:val="Hipervnculo"/>
            <w:noProof/>
            <w:spacing w:val="-5"/>
          </w:rPr>
          <w:t>CTI</w:t>
        </w:r>
        <w:r>
          <w:rPr>
            <w:noProof/>
            <w:webHidden/>
          </w:rPr>
          <w:tab/>
        </w:r>
        <w:r>
          <w:rPr>
            <w:noProof/>
            <w:webHidden/>
          </w:rPr>
          <w:fldChar w:fldCharType="begin"/>
        </w:r>
        <w:r>
          <w:rPr>
            <w:noProof/>
            <w:webHidden/>
          </w:rPr>
          <w:instrText xml:space="preserve"> PAGEREF _Toc112399631 \h </w:instrText>
        </w:r>
        <w:r>
          <w:rPr>
            <w:noProof/>
            <w:webHidden/>
          </w:rPr>
        </w:r>
        <w:r>
          <w:rPr>
            <w:noProof/>
            <w:webHidden/>
          </w:rPr>
          <w:fldChar w:fldCharType="separate"/>
        </w:r>
        <w:r>
          <w:rPr>
            <w:noProof/>
            <w:webHidden/>
          </w:rPr>
          <w:t>705</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32" w:history="1">
        <w:r w:rsidRPr="00DF6938">
          <w:rPr>
            <w:rStyle w:val="Hipervnculo"/>
            <w:noProof/>
          </w:rPr>
          <w:t>8.7.</w:t>
        </w:r>
        <w:r>
          <w:rPr>
            <w:rFonts w:asciiTheme="minorHAnsi" w:eastAsiaTheme="minorEastAsia" w:hAnsiTheme="minorHAnsi" w:cstheme="minorBidi"/>
            <w:noProof/>
            <w:sz w:val="22"/>
            <w:szCs w:val="22"/>
            <w:lang w:val="es-CO" w:eastAsia="es-CO"/>
          </w:rPr>
          <w:tab/>
        </w:r>
        <w:r w:rsidRPr="00DF6938">
          <w:rPr>
            <w:rStyle w:val="Hipervnculo"/>
            <w:noProof/>
          </w:rPr>
          <w:t>Bloqueo</w:t>
        </w:r>
        <w:r w:rsidRPr="00DF6938">
          <w:rPr>
            <w:rStyle w:val="Hipervnculo"/>
            <w:noProof/>
            <w:spacing w:val="-5"/>
          </w:rPr>
          <w:t xml:space="preserve"> </w:t>
        </w:r>
        <w:r w:rsidRPr="00DF6938">
          <w:rPr>
            <w:rStyle w:val="Hipervnculo"/>
            <w:noProof/>
          </w:rPr>
          <w:t>de</w:t>
        </w:r>
        <w:r w:rsidRPr="00DF6938">
          <w:rPr>
            <w:rStyle w:val="Hipervnculo"/>
            <w:noProof/>
            <w:spacing w:val="-2"/>
          </w:rPr>
          <w:t xml:space="preserve"> </w:t>
        </w:r>
        <w:r w:rsidRPr="00DF6938">
          <w:rPr>
            <w:rStyle w:val="Hipervnculo"/>
            <w:noProof/>
          </w:rPr>
          <w:t>las</w:t>
        </w:r>
        <w:r w:rsidRPr="00DF6938">
          <w:rPr>
            <w:rStyle w:val="Hipervnculo"/>
            <w:noProof/>
            <w:spacing w:val="-2"/>
          </w:rPr>
          <w:t xml:space="preserve"> </w:t>
        </w:r>
        <w:r w:rsidRPr="00DF6938">
          <w:rPr>
            <w:rStyle w:val="Hipervnculo"/>
            <w:noProof/>
          </w:rPr>
          <w:t>investigaciones</w:t>
        </w:r>
        <w:r w:rsidRPr="00DF6938">
          <w:rPr>
            <w:rStyle w:val="Hipervnculo"/>
            <w:noProof/>
            <w:spacing w:val="-3"/>
          </w:rPr>
          <w:t xml:space="preserve"> </w:t>
        </w:r>
        <w:r w:rsidRPr="00DF6938">
          <w:rPr>
            <w:rStyle w:val="Hipervnculo"/>
            <w:noProof/>
          </w:rPr>
          <w:t>sobre</w:t>
        </w:r>
        <w:r w:rsidRPr="00DF6938">
          <w:rPr>
            <w:rStyle w:val="Hipervnculo"/>
            <w:noProof/>
            <w:spacing w:val="-2"/>
          </w:rPr>
          <w:t xml:space="preserve"> </w:t>
        </w:r>
        <w:r w:rsidRPr="00DF6938">
          <w:rPr>
            <w:rStyle w:val="Hipervnculo"/>
            <w:noProof/>
          </w:rPr>
          <w:t>narcoparamilitarismo</w:t>
        </w:r>
        <w:r w:rsidRPr="00DF6938">
          <w:rPr>
            <w:rStyle w:val="Hipervnculo"/>
            <w:noProof/>
            <w:spacing w:val="-3"/>
          </w:rPr>
          <w:t xml:space="preserve"> </w:t>
        </w:r>
        <w:r w:rsidRPr="00DF6938">
          <w:rPr>
            <w:rStyle w:val="Hipervnculo"/>
            <w:noProof/>
          </w:rPr>
          <w:t>y</w:t>
        </w:r>
        <w:r w:rsidRPr="00DF6938">
          <w:rPr>
            <w:rStyle w:val="Hipervnculo"/>
            <w:noProof/>
            <w:spacing w:val="-2"/>
          </w:rPr>
          <w:t xml:space="preserve"> </w:t>
        </w:r>
        <w:r w:rsidRPr="00DF6938">
          <w:rPr>
            <w:rStyle w:val="Hipervnculo"/>
            <w:noProof/>
          </w:rPr>
          <w:lastRenderedPageBreak/>
          <w:t>ataques</w:t>
        </w:r>
        <w:r w:rsidRPr="00DF6938">
          <w:rPr>
            <w:rStyle w:val="Hipervnculo"/>
            <w:noProof/>
            <w:spacing w:val="-2"/>
          </w:rPr>
          <w:t xml:space="preserve"> </w:t>
        </w:r>
        <w:r w:rsidRPr="00DF6938">
          <w:rPr>
            <w:rStyle w:val="Hipervnculo"/>
            <w:noProof/>
          </w:rPr>
          <w:t>a</w:t>
        </w:r>
        <w:r w:rsidRPr="00DF6938">
          <w:rPr>
            <w:rStyle w:val="Hipervnculo"/>
            <w:noProof/>
            <w:spacing w:val="-2"/>
          </w:rPr>
          <w:t xml:space="preserve"> </w:t>
        </w:r>
        <w:r w:rsidRPr="00DF6938">
          <w:rPr>
            <w:rStyle w:val="Hipervnculo"/>
            <w:noProof/>
          </w:rPr>
          <w:t>la</w:t>
        </w:r>
        <w:r w:rsidRPr="00DF6938">
          <w:rPr>
            <w:rStyle w:val="Hipervnculo"/>
            <w:noProof/>
            <w:spacing w:val="-2"/>
          </w:rPr>
          <w:t xml:space="preserve"> justicia</w:t>
        </w:r>
        <w:r>
          <w:rPr>
            <w:noProof/>
            <w:webHidden/>
          </w:rPr>
          <w:tab/>
        </w:r>
        <w:r>
          <w:rPr>
            <w:noProof/>
            <w:webHidden/>
          </w:rPr>
          <w:fldChar w:fldCharType="begin"/>
        </w:r>
        <w:r>
          <w:rPr>
            <w:noProof/>
            <w:webHidden/>
          </w:rPr>
          <w:instrText xml:space="preserve"> PAGEREF _Toc112399632 \h </w:instrText>
        </w:r>
        <w:r>
          <w:rPr>
            <w:noProof/>
            <w:webHidden/>
          </w:rPr>
        </w:r>
        <w:r>
          <w:rPr>
            <w:noProof/>
            <w:webHidden/>
          </w:rPr>
          <w:fldChar w:fldCharType="separate"/>
        </w:r>
        <w:r>
          <w:rPr>
            <w:noProof/>
            <w:webHidden/>
          </w:rPr>
          <w:t>712</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33" w:history="1">
        <w:r w:rsidRPr="00DF6938">
          <w:rPr>
            <w:rStyle w:val="Hipervnculo"/>
            <w:noProof/>
          </w:rPr>
          <w:t>8.8.</w:t>
        </w:r>
        <w:r>
          <w:rPr>
            <w:rFonts w:asciiTheme="minorHAnsi" w:eastAsiaTheme="minorEastAsia" w:hAnsiTheme="minorHAnsi" w:cstheme="minorBidi"/>
            <w:noProof/>
            <w:sz w:val="22"/>
            <w:szCs w:val="22"/>
            <w:lang w:val="es-CO" w:eastAsia="es-CO"/>
          </w:rPr>
          <w:tab/>
        </w:r>
        <w:r w:rsidRPr="00DF6938">
          <w:rPr>
            <w:rStyle w:val="Hipervnculo"/>
            <w:noProof/>
          </w:rPr>
          <w:t>Ataques</w:t>
        </w:r>
        <w:r w:rsidRPr="00DF6938">
          <w:rPr>
            <w:rStyle w:val="Hipervnculo"/>
            <w:noProof/>
            <w:spacing w:val="-2"/>
          </w:rPr>
          <w:t xml:space="preserve"> </w:t>
        </w:r>
        <w:r w:rsidRPr="00DF6938">
          <w:rPr>
            <w:rStyle w:val="Hipervnculo"/>
            <w:noProof/>
          </w:rPr>
          <w:t>de</w:t>
        </w:r>
        <w:r w:rsidRPr="00DF6938">
          <w:rPr>
            <w:rStyle w:val="Hipervnculo"/>
            <w:noProof/>
            <w:spacing w:val="-1"/>
          </w:rPr>
          <w:t xml:space="preserve"> </w:t>
        </w:r>
        <w:r w:rsidRPr="00DF6938">
          <w:rPr>
            <w:rStyle w:val="Hipervnculo"/>
            <w:noProof/>
          </w:rPr>
          <w:t>la</w:t>
        </w:r>
        <w:r w:rsidRPr="00DF6938">
          <w:rPr>
            <w:rStyle w:val="Hipervnculo"/>
            <w:noProof/>
            <w:spacing w:val="-1"/>
          </w:rPr>
          <w:t xml:space="preserve"> </w:t>
        </w:r>
        <w:r w:rsidRPr="00DF6938">
          <w:rPr>
            <w:rStyle w:val="Hipervnculo"/>
            <w:noProof/>
          </w:rPr>
          <w:t>guerrilla</w:t>
        </w:r>
        <w:r>
          <w:rPr>
            <w:noProof/>
            <w:webHidden/>
          </w:rPr>
          <w:tab/>
        </w:r>
        <w:r>
          <w:rPr>
            <w:noProof/>
            <w:webHidden/>
          </w:rPr>
          <w:fldChar w:fldCharType="begin"/>
        </w:r>
        <w:r>
          <w:rPr>
            <w:noProof/>
            <w:webHidden/>
          </w:rPr>
          <w:instrText xml:space="preserve"> PAGEREF _Toc112399633 \h </w:instrText>
        </w:r>
        <w:r>
          <w:rPr>
            <w:noProof/>
            <w:webHidden/>
          </w:rPr>
        </w:r>
        <w:r>
          <w:rPr>
            <w:noProof/>
            <w:webHidden/>
          </w:rPr>
          <w:fldChar w:fldCharType="separate"/>
        </w:r>
        <w:r>
          <w:rPr>
            <w:noProof/>
            <w:webHidden/>
          </w:rPr>
          <w:t>716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34" w:history="1">
        <w:r w:rsidRPr="00DF6938">
          <w:rPr>
            <w:rStyle w:val="Hipervnculo"/>
            <w:noProof/>
          </w:rPr>
          <w:t>8.9.</w:t>
        </w:r>
        <w:r>
          <w:rPr>
            <w:rFonts w:asciiTheme="minorHAnsi" w:eastAsiaTheme="minorEastAsia" w:hAnsiTheme="minorHAnsi" w:cstheme="minorBidi"/>
            <w:noProof/>
            <w:sz w:val="22"/>
            <w:szCs w:val="22"/>
            <w:lang w:val="es-CO" w:eastAsia="es-CO"/>
          </w:rPr>
          <w:tab/>
        </w:r>
        <w:r w:rsidRPr="00DF6938">
          <w:rPr>
            <w:rStyle w:val="Hipervnculo"/>
            <w:noProof/>
          </w:rPr>
          <w:t>Justicias</w:t>
        </w:r>
        <w:r w:rsidRPr="00DF6938">
          <w:rPr>
            <w:rStyle w:val="Hipervnculo"/>
            <w:noProof/>
            <w:spacing w:val="-3"/>
          </w:rPr>
          <w:t xml:space="preserve"> </w:t>
        </w:r>
        <w:r w:rsidRPr="00DF6938">
          <w:rPr>
            <w:rStyle w:val="Hipervnculo"/>
            <w:noProof/>
          </w:rPr>
          <w:t>de</w:t>
        </w:r>
        <w:r w:rsidRPr="00DF6938">
          <w:rPr>
            <w:rStyle w:val="Hipervnculo"/>
            <w:noProof/>
            <w:spacing w:val="-2"/>
          </w:rPr>
          <w:t xml:space="preserve"> </w:t>
        </w:r>
        <w:r w:rsidRPr="00DF6938">
          <w:rPr>
            <w:rStyle w:val="Hipervnculo"/>
            <w:noProof/>
          </w:rPr>
          <w:t>excepción</w:t>
        </w:r>
        <w:r w:rsidRPr="00DF6938">
          <w:rPr>
            <w:rStyle w:val="Hipervnculo"/>
            <w:noProof/>
            <w:spacing w:val="-3"/>
          </w:rPr>
          <w:t xml:space="preserve"> </w:t>
        </w:r>
        <w:r w:rsidRPr="00DF6938">
          <w:rPr>
            <w:rStyle w:val="Hipervnculo"/>
            <w:noProof/>
          </w:rPr>
          <w:t>que</w:t>
        </w:r>
        <w:r w:rsidRPr="00DF6938">
          <w:rPr>
            <w:rStyle w:val="Hipervnculo"/>
            <w:noProof/>
            <w:spacing w:val="-2"/>
          </w:rPr>
          <w:t xml:space="preserve"> </w:t>
        </w:r>
        <w:r w:rsidRPr="00DF6938">
          <w:rPr>
            <w:rStyle w:val="Hipervnculo"/>
            <w:noProof/>
          </w:rPr>
          <w:t>prolongaron</w:t>
        </w:r>
        <w:r w:rsidRPr="00DF6938">
          <w:rPr>
            <w:rStyle w:val="Hipervnculo"/>
            <w:noProof/>
            <w:spacing w:val="-3"/>
          </w:rPr>
          <w:t xml:space="preserve"> </w:t>
        </w:r>
        <w:r w:rsidRPr="00DF6938">
          <w:rPr>
            <w:rStyle w:val="Hipervnculo"/>
            <w:noProof/>
            <w:spacing w:val="-2"/>
          </w:rPr>
          <w:t>impunidad</w:t>
        </w:r>
        <w:r>
          <w:rPr>
            <w:noProof/>
            <w:webHidden/>
          </w:rPr>
          <w:tab/>
        </w:r>
        <w:r>
          <w:rPr>
            <w:noProof/>
            <w:webHidden/>
          </w:rPr>
          <w:fldChar w:fldCharType="begin"/>
        </w:r>
        <w:r>
          <w:rPr>
            <w:noProof/>
            <w:webHidden/>
          </w:rPr>
          <w:instrText xml:space="preserve"> PAGEREF _Toc112399634 \h </w:instrText>
        </w:r>
        <w:r>
          <w:rPr>
            <w:noProof/>
            <w:webHidden/>
          </w:rPr>
        </w:r>
        <w:r>
          <w:rPr>
            <w:noProof/>
            <w:webHidden/>
          </w:rPr>
          <w:fldChar w:fldCharType="separate"/>
        </w:r>
        <w:r>
          <w:rPr>
            <w:noProof/>
            <w:webHidden/>
          </w:rPr>
          <w:t>719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35" w:history="1">
        <w:r w:rsidRPr="00DF6938">
          <w:rPr>
            <w:rStyle w:val="Hipervnculo"/>
            <w:noProof/>
          </w:rPr>
          <w:t>8.10.</w:t>
        </w:r>
        <w:r>
          <w:rPr>
            <w:rFonts w:asciiTheme="minorHAnsi" w:eastAsiaTheme="minorEastAsia" w:hAnsiTheme="minorHAnsi" w:cstheme="minorBidi"/>
            <w:noProof/>
            <w:sz w:val="22"/>
            <w:szCs w:val="22"/>
            <w:lang w:val="es-CO" w:eastAsia="es-CO"/>
          </w:rPr>
          <w:tab/>
        </w:r>
        <w:r w:rsidRPr="00DF6938">
          <w:rPr>
            <w:rStyle w:val="Hipervnculo"/>
            <w:noProof/>
          </w:rPr>
          <w:t>Excepciones</w:t>
        </w:r>
        <w:r w:rsidRPr="00DF6938">
          <w:rPr>
            <w:rStyle w:val="Hipervnculo"/>
            <w:noProof/>
            <w:spacing w:val="-3"/>
          </w:rPr>
          <w:t xml:space="preserve"> </w:t>
        </w:r>
        <w:r w:rsidRPr="00DF6938">
          <w:rPr>
            <w:rStyle w:val="Hipervnculo"/>
            <w:noProof/>
          </w:rPr>
          <w:t>normalizadas</w:t>
        </w:r>
        <w:r>
          <w:rPr>
            <w:noProof/>
            <w:webHidden/>
          </w:rPr>
          <w:tab/>
        </w:r>
        <w:r>
          <w:rPr>
            <w:noProof/>
            <w:webHidden/>
          </w:rPr>
          <w:fldChar w:fldCharType="begin"/>
        </w:r>
        <w:r>
          <w:rPr>
            <w:noProof/>
            <w:webHidden/>
          </w:rPr>
          <w:instrText xml:space="preserve"> PAGEREF _Toc112399635 \h </w:instrText>
        </w:r>
        <w:r>
          <w:rPr>
            <w:noProof/>
            <w:webHidden/>
          </w:rPr>
        </w:r>
        <w:r>
          <w:rPr>
            <w:noProof/>
            <w:webHidden/>
          </w:rPr>
          <w:fldChar w:fldCharType="separate"/>
        </w:r>
        <w:r>
          <w:rPr>
            <w:noProof/>
            <w:webHidden/>
          </w:rPr>
          <w:t>725</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36" w:history="1">
        <w:r w:rsidRPr="00DF6938">
          <w:rPr>
            <w:rStyle w:val="Hipervnculo"/>
            <w:noProof/>
          </w:rPr>
          <w:t>8.11.</w:t>
        </w:r>
        <w:r>
          <w:rPr>
            <w:rFonts w:asciiTheme="minorHAnsi" w:eastAsiaTheme="minorEastAsia" w:hAnsiTheme="minorHAnsi" w:cstheme="minorBidi"/>
            <w:noProof/>
            <w:sz w:val="22"/>
            <w:szCs w:val="22"/>
            <w:lang w:val="es-CO" w:eastAsia="es-CO"/>
          </w:rPr>
          <w:tab/>
        </w:r>
        <w:r w:rsidRPr="00DF6938">
          <w:rPr>
            <w:rStyle w:val="Hipervnculo"/>
            <w:noProof/>
          </w:rPr>
          <w:t>El</w:t>
        </w:r>
        <w:r w:rsidRPr="00DF6938">
          <w:rPr>
            <w:rStyle w:val="Hipervnculo"/>
            <w:noProof/>
            <w:spacing w:val="-1"/>
          </w:rPr>
          <w:t xml:space="preserve"> </w:t>
        </w:r>
        <w:r w:rsidRPr="00DF6938">
          <w:rPr>
            <w:rStyle w:val="Hipervnculo"/>
            <w:noProof/>
          </w:rPr>
          <w:t>impacto</w:t>
        </w:r>
        <w:r w:rsidRPr="00DF6938">
          <w:rPr>
            <w:rStyle w:val="Hipervnculo"/>
            <w:noProof/>
            <w:spacing w:val="-1"/>
          </w:rPr>
          <w:t xml:space="preserve"> </w:t>
        </w:r>
        <w:r w:rsidRPr="00DF6938">
          <w:rPr>
            <w:rStyle w:val="Hipervnculo"/>
            <w:noProof/>
          </w:rPr>
          <w:t>en</w:t>
        </w:r>
        <w:r w:rsidRPr="00DF6938">
          <w:rPr>
            <w:rStyle w:val="Hipervnculo"/>
            <w:noProof/>
            <w:spacing w:val="-2"/>
          </w:rPr>
          <w:t xml:space="preserve"> </w:t>
        </w:r>
        <w:r w:rsidRPr="00DF6938">
          <w:rPr>
            <w:rStyle w:val="Hipervnculo"/>
            <w:noProof/>
          </w:rPr>
          <w:t>las</w:t>
        </w:r>
        <w:r w:rsidRPr="00DF6938">
          <w:rPr>
            <w:rStyle w:val="Hipervnculo"/>
            <w:noProof/>
            <w:spacing w:val="-1"/>
          </w:rPr>
          <w:t xml:space="preserve"> </w:t>
        </w:r>
        <w:r w:rsidRPr="00DF6938">
          <w:rPr>
            <w:rStyle w:val="Hipervnculo"/>
            <w:noProof/>
          </w:rPr>
          <w:t>víctimas</w:t>
        </w:r>
        <w:r w:rsidRPr="00DF6938">
          <w:rPr>
            <w:rStyle w:val="Hipervnculo"/>
            <w:noProof/>
            <w:spacing w:val="-1"/>
          </w:rPr>
          <w:t xml:space="preserve"> </w:t>
        </w:r>
        <w:r w:rsidRPr="00DF6938">
          <w:rPr>
            <w:rStyle w:val="Hipervnculo"/>
            <w:noProof/>
          </w:rPr>
          <w:t>de</w:t>
        </w:r>
        <w:r w:rsidRPr="00DF6938">
          <w:rPr>
            <w:rStyle w:val="Hipervnculo"/>
            <w:noProof/>
            <w:spacing w:val="-2"/>
          </w:rPr>
          <w:t xml:space="preserve"> </w:t>
        </w:r>
        <w:r w:rsidRPr="00DF6938">
          <w:rPr>
            <w:rStyle w:val="Hipervnculo"/>
            <w:noProof/>
          </w:rPr>
          <w:t xml:space="preserve">la </w:t>
        </w:r>
        <w:r w:rsidRPr="00DF6938">
          <w:rPr>
            <w:rStyle w:val="Hipervnculo"/>
            <w:noProof/>
            <w:spacing w:val="-2"/>
          </w:rPr>
          <w:t>impunidad</w:t>
        </w:r>
        <w:r>
          <w:rPr>
            <w:noProof/>
            <w:webHidden/>
          </w:rPr>
          <w:tab/>
        </w:r>
        <w:r>
          <w:rPr>
            <w:noProof/>
            <w:webHidden/>
          </w:rPr>
          <w:fldChar w:fldCharType="begin"/>
        </w:r>
        <w:r>
          <w:rPr>
            <w:noProof/>
            <w:webHidden/>
          </w:rPr>
          <w:instrText xml:space="preserve"> PAGEREF _Toc112399636 \h </w:instrText>
        </w:r>
        <w:r>
          <w:rPr>
            <w:noProof/>
            <w:webHidden/>
          </w:rPr>
        </w:r>
        <w:r>
          <w:rPr>
            <w:noProof/>
            <w:webHidden/>
          </w:rPr>
          <w:fldChar w:fldCharType="separate"/>
        </w:r>
        <w:r>
          <w:rPr>
            <w:noProof/>
            <w:webHidden/>
          </w:rPr>
          <w:t>731</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37" w:history="1">
        <w:r w:rsidRPr="00DF6938">
          <w:rPr>
            <w:rStyle w:val="Hipervnculo"/>
            <w:noProof/>
          </w:rPr>
          <w:t>8.12.</w:t>
        </w:r>
        <w:r>
          <w:rPr>
            <w:rFonts w:asciiTheme="minorHAnsi" w:eastAsiaTheme="minorEastAsia" w:hAnsiTheme="minorHAnsi" w:cstheme="minorBidi"/>
            <w:noProof/>
            <w:sz w:val="22"/>
            <w:szCs w:val="22"/>
            <w:lang w:val="es-CO" w:eastAsia="es-CO"/>
          </w:rPr>
          <w:tab/>
        </w:r>
        <w:r w:rsidRPr="00DF6938">
          <w:rPr>
            <w:rStyle w:val="Hipervnculo"/>
            <w:noProof/>
          </w:rPr>
          <w:t>La</w:t>
        </w:r>
        <w:r w:rsidRPr="00DF6938">
          <w:rPr>
            <w:rStyle w:val="Hipervnculo"/>
            <w:noProof/>
            <w:spacing w:val="-1"/>
          </w:rPr>
          <w:t xml:space="preserve"> </w:t>
        </w:r>
        <w:r w:rsidRPr="00DF6938">
          <w:rPr>
            <w:rStyle w:val="Hipervnculo"/>
            <w:noProof/>
          </w:rPr>
          <w:t>impunidad</w:t>
        </w:r>
        <w:r w:rsidRPr="00DF6938">
          <w:rPr>
            <w:rStyle w:val="Hipervnculo"/>
            <w:noProof/>
            <w:spacing w:val="-2"/>
          </w:rPr>
          <w:t xml:space="preserve"> </w:t>
        </w:r>
        <w:r w:rsidRPr="00DF6938">
          <w:rPr>
            <w:rStyle w:val="Hipervnculo"/>
            <w:noProof/>
          </w:rPr>
          <w:t>afecta</w:t>
        </w:r>
        <w:r w:rsidRPr="00DF6938">
          <w:rPr>
            <w:rStyle w:val="Hipervnculo"/>
            <w:noProof/>
            <w:spacing w:val="-1"/>
          </w:rPr>
          <w:t xml:space="preserve"> </w:t>
        </w:r>
        <w:r w:rsidRPr="00DF6938">
          <w:rPr>
            <w:rStyle w:val="Hipervnculo"/>
            <w:noProof/>
          </w:rPr>
          <w:t>la</w:t>
        </w:r>
        <w:r w:rsidRPr="00DF6938">
          <w:rPr>
            <w:rStyle w:val="Hipervnculo"/>
            <w:noProof/>
            <w:spacing w:val="-1"/>
          </w:rPr>
          <w:t xml:space="preserve"> </w:t>
        </w:r>
        <w:r w:rsidRPr="00DF6938">
          <w:rPr>
            <w:rStyle w:val="Hipervnculo"/>
            <w:noProof/>
          </w:rPr>
          <w:t>verdad</w:t>
        </w:r>
        <w:r w:rsidRPr="00DF6938">
          <w:rPr>
            <w:rStyle w:val="Hipervnculo"/>
            <w:noProof/>
            <w:spacing w:val="-2"/>
          </w:rPr>
          <w:t xml:space="preserve"> </w:t>
        </w:r>
        <w:r w:rsidRPr="00DF6938">
          <w:rPr>
            <w:rStyle w:val="Hipervnculo"/>
            <w:noProof/>
          </w:rPr>
          <w:t>y</w:t>
        </w:r>
        <w:r w:rsidRPr="00DF6938">
          <w:rPr>
            <w:rStyle w:val="Hipervnculo"/>
            <w:noProof/>
            <w:spacing w:val="-1"/>
          </w:rPr>
          <w:t xml:space="preserve"> </w:t>
        </w:r>
        <w:r w:rsidRPr="00DF6938">
          <w:rPr>
            <w:rStyle w:val="Hipervnculo"/>
            <w:noProof/>
          </w:rPr>
          <w:t>la</w:t>
        </w:r>
        <w:r w:rsidRPr="00DF6938">
          <w:rPr>
            <w:rStyle w:val="Hipervnculo"/>
            <w:noProof/>
            <w:spacing w:val="-1"/>
          </w:rPr>
          <w:t xml:space="preserve"> </w:t>
        </w:r>
        <w:r w:rsidRPr="00DF6938">
          <w:rPr>
            <w:rStyle w:val="Hipervnculo"/>
            <w:noProof/>
            <w:spacing w:val="-2"/>
          </w:rPr>
          <w:t>reparación</w:t>
        </w:r>
        <w:r>
          <w:rPr>
            <w:noProof/>
            <w:webHidden/>
          </w:rPr>
          <w:tab/>
        </w:r>
        <w:r>
          <w:rPr>
            <w:noProof/>
            <w:webHidden/>
          </w:rPr>
          <w:fldChar w:fldCharType="begin"/>
        </w:r>
        <w:r>
          <w:rPr>
            <w:noProof/>
            <w:webHidden/>
          </w:rPr>
          <w:instrText xml:space="preserve"> PAGEREF _Toc112399637 \h </w:instrText>
        </w:r>
        <w:r>
          <w:rPr>
            <w:noProof/>
            <w:webHidden/>
          </w:rPr>
        </w:r>
        <w:r>
          <w:rPr>
            <w:noProof/>
            <w:webHidden/>
          </w:rPr>
          <w:fldChar w:fldCharType="separate"/>
        </w:r>
        <w:r>
          <w:rPr>
            <w:noProof/>
            <w:webHidden/>
          </w:rPr>
          <w:t>735</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38" w:history="1">
        <w:r w:rsidRPr="00DF6938">
          <w:rPr>
            <w:rStyle w:val="Hipervnculo"/>
            <w:noProof/>
          </w:rPr>
          <w:t>8.13.</w:t>
        </w:r>
        <w:r>
          <w:rPr>
            <w:rFonts w:asciiTheme="minorHAnsi" w:eastAsiaTheme="minorEastAsia" w:hAnsiTheme="minorHAnsi" w:cstheme="minorBidi"/>
            <w:noProof/>
            <w:sz w:val="22"/>
            <w:szCs w:val="22"/>
            <w:lang w:val="es-CO" w:eastAsia="es-CO"/>
          </w:rPr>
          <w:tab/>
        </w:r>
        <w:r w:rsidRPr="00DF6938">
          <w:rPr>
            <w:rStyle w:val="Hipervnculo"/>
            <w:noProof/>
          </w:rPr>
          <w:t>La</w:t>
        </w:r>
        <w:r w:rsidRPr="00DF6938">
          <w:rPr>
            <w:rStyle w:val="Hipervnculo"/>
            <w:noProof/>
            <w:spacing w:val="-1"/>
          </w:rPr>
          <w:t xml:space="preserve"> </w:t>
        </w:r>
        <w:r w:rsidRPr="00DF6938">
          <w:rPr>
            <w:rStyle w:val="Hipervnculo"/>
            <w:noProof/>
          </w:rPr>
          <w:t>relación</w:t>
        </w:r>
        <w:r w:rsidRPr="00DF6938">
          <w:rPr>
            <w:rStyle w:val="Hipervnculo"/>
            <w:noProof/>
            <w:spacing w:val="-2"/>
          </w:rPr>
          <w:t xml:space="preserve"> </w:t>
        </w:r>
        <w:r w:rsidRPr="00DF6938">
          <w:rPr>
            <w:rStyle w:val="Hipervnculo"/>
            <w:noProof/>
          </w:rPr>
          <w:t>entre</w:t>
        </w:r>
        <w:r w:rsidRPr="00DF6938">
          <w:rPr>
            <w:rStyle w:val="Hipervnculo"/>
            <w:noProof/>
            <w:spacing w:val="-2"/>
          </w:rPr>
          <w:t xml:space="preserve"> </w:t>
        </w:r>
        <w:r w:rsidRPr="00DF6938">
          <w:rPr>
            <w:rStyle w:val="Hipervnculo"/>
            <w:noProof/>
          </w:rPr>
          <w:t>verdad</w:t>
        </w:r>
        <w:r w:rsidRPr="00DF6938">
          <w:rPr>
            <w:rStyle w:val="Hipervnculo"/>
            <w:noProof/>
            <w:spacing w:val="-2"/>
          </w:rPr>
          <w:t xml:space="preserve"> </w:t>
        </w:r>
        <w:r w:rsidRPr="00DF6938">
          <w:rPr>
            <w:rStyle w:val="Hipervnculo"/>
            <w:noProof/>
          </w:rPr>
          <w:t>y justicia</w:t>
        </w:r>
        <w:r>
          <w:rPr>
            <w:noProof/>
            <w:webHidden/>
          </w:rPr>
          <w:tab/>
        </w:r>
        <w:r>
          <w:rPr>
            <w:noProof/>
            <w:webHidden/>
          </w:rPr>
          <w:fldChar w:fldCharType="begin"/>
        </w:r>
        <w:r>
          <w:rPr>
            <w:noProof/>
            <w:webHidden/>
          </w:rPr>
          <w:instrText xml:space="preserve"> PAGEREF _Toc112399638 \h </w:instrText>
        </w:r>
        <w:r>
          <w:rPr>
            <w:noProof/>
            <w:webHidden/>
          </w:rPr>
        </w:r>
        <w:r>
          <w:rPr>
            <w:noProof/>
            <w:webHidden/>
          </w:rPr>
          <w:fldChar w:fldCharType="separate"/>
        </w:r>
        <w:r>
          <w:rPr>
            <w:noProof/>
            <w:webHidden/>
          </w:rPr>
          <w:t>739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39" w:history="1">
        <w:r w:rsidRPr="00DF6938">
          <w:rPr>
            <w:rStyle w:val="Hipervnculo"/>
            <w:noProof/>
          </w:rPr>
          <w:t>8.14.</w:t>
        </w:r>
        <w:r>
          <w:rPr>
            <w:rFonts w:asciiTheme="minorHAnsi" w:eastAsiaTheme="minorEastAsia" w:hAnsiTheme="minorHAnsi" w:cstheme="minorBidi"/>
            <w:noProof/>
            <w:sz w:val="22"/>
            <w:szCs w:val="22"/>
            <w:lang w:val="es-CO" w:eastAsia="es-CO"/>
          </w:rPr>
          <w:tab/>
        </w:r>
        <w:r w:rsidRPr="00DF6938">
          <w:rPr>
            <w:rStyle w:val="Hipervnculo"/>
            <w:noProof/>
          </w:rPr>
          <w:t>El</w:t>
        </w:r>
        <w:r w:rsidRPr="00DF6938">
          <w:rPr>
            <w:rStyle w:val="Hipervnculo"/>
            <w:noProof/>
            <w:spacing w:val="-4"/>
          </w:rPr>
          <w:t xml:space="preserve"> </w:t>
        </w:r>
        <w:r w:rsidRPr="00DF6938">
          <w:rPr>
            <w:rStyle w:val="Hipervnculo"/>
            <w:noProof/>
          </w:rPr>
          <w:t>papel</w:t>
        </w:r>
        <w:r w:rsidRPr="00DF6938">
          <w:rPr>
            <w:rStyle w:val="Hipervnculo"/>
            <w:noProof/>
            <w:spacing w:val="-2"/>
          </w:rPr>
          <w:t xml:space="preserve"> </w:t>
        </w:r>
        <w:r w:rsidRPr="00DF6938">
          <w:rPr>
            <w:rStyle w:val="Hipervnculo"/>
            <w:noProof/>
          </w:rPr>
          <w:t>de</w:t>
        </w:r>
        <w:r w:rsidRPr="00DF6938">
          <w:rPr>
            <w:rStyle w:val="Hipervnculo"/>
            <w:noProof/>
            <w:spacing w:val="-1"/>
          </w:rPr>
          <w:t xml:space="preserve"> </w:t>
        </w:r>
        <w:r w:rsidRPr="00DF6938">
          <w:rPr>
            <w:rStyle w:val="Hipervnculo"/>
            <w:noProof/>
          </w:rPr>
          <w:t>la</w:t>
        </w:r>
        <w:r w:rsidRPr="00DF6938">
          <w:rPr>
            <w:rStyle w:val="Hipervnculo"/>
            <w:noProof/>
            <w:spacing w:val="-2"/>
          </w:rPr>
          <w:t xml:space="preserve"> </w:t>
        </w:r>
        <w:r w:rsidRPr="00DF6938">
          <w:rPr>
            <w:rStyle w:val="Hipervnculo"/>
            <w:noProof/>
          </w:rPr>
          <w:t>extradición</w:t>
        </w:r>
        <w:r w:rsidRPr="00DF6938">
          <w:rPr>
            <w:rStyle w:val="Hipervnculo"/>
            <w:noProof/>
            <w:spacing w:val="-2"/>
          </w:rPr>
          <w:t xml:space="preserve"> </w:t>
        </w:r>
        <w:r w:rsidRPr="00DF6938">
          <w:rPr>
            <w:rStyle w:val="Hipervnculo"/>
            <w:noProof/>
          </w:rPr>
          <w:t>en</w:t>
        </w:r>
        <w:r w:rsidRPr="00DF6938">
          <w:rPr>
            <w:rStyle w:val="Hipervnculo"/>
            <w:noProof/>
            <w:spacing w:val="-3"/>
          </w:rPr>
          <w:t xml:space="preserve"> </w:t>
        </w:r>
        <w:r w:rsidRPr="00DF6938">
          <w:rPr>
            <w:rStyle w:val="Hipervnculo"/>
            <w:noProof/>
          </w:rPr>
          <w:t>el</w:t>
        </w:r>
        <w:r w:rsidRPr="00DF6938">
          <w:rPr>
            <w:rStyle w:val="Hipervnculo"/>
            <w:noProof/>
            <w:spacing w:val="-1"/>
          </w:rPr>
          <w:t xml:space="preserve"> </w:t>
        </w:r>
        <w:r w:rsidRPr="00DF6938">
          <w:rPr>
            <w:rStyle w:val="Hipervnculo"/>
            <w:noProof/>
          </w:rPr>
          <w:t>conflicto</w:t>
        </w:r>
        <w:r w:rsidRPr="00DF6938">
          <w:rPr>
            <w:rStyle w:val="Hipervnculo"/>
            <w:noProof/>
            <w:spacing w:val="-2"/>
          </w:rPr>
          <w:t xml:space="preserve"> </w:t>
        </w:r>
        <w:r w:rsidRPr="00DF6938">
          <w:rPr>
            <w:rStyle w:val="Hipervnculo"/>
            <w:noProof/>
          </w:rPr>
          <w:t>armado</w:t>
        </w:r>
        <w:r w:rsidRPr="00DF6938">
          <w:rPr>
            <w:rStyle w:val="Hipervnculo"/>
            <w:noProof/>
            <w:spacing w:val="-1"/>
          </w:rPr>
          <w:t xml:space="preserve"> </w:t>
        </w:r>
        <w:r w:rsidRPr="00DF6938">
          <w:rPr>
            <w:rStyle w:val="Hipervnculo"/>
            <w:noProof/>
            <w:spacing w:val="-2"/>
          </w:rPr>
          <w:t>interno</w:t>
        </w:r>
        <w:r>
          <w:rPr>
            <w:noProof/>
            <w:webHidden/>
          </w:rPr>
          <w:tab/>
        </w:r>
        <w:r>
          <w:rPr>
            <w:noProof/>
            <w:webHidden/>
          </w:rPr>
          <w:fldChar w:fldCharType="begin"/>
        </w:r>
        <w:r>
          <w:rPr>
            <w:noProof/>
            <w:webHidden/>
          </w:rPr>
          <w:instrText xml:space="preserve"> PAGEREF _Toc112399639 \h </w:instrText>
        </w:r>
        <w:r>
          <w:rPr>
            <w:noProof/>
            <w:webHidden/>
          </w:rPr>
        </w:r>
        <w:r>
          <w:rPr>
            <w:noProof/>
            <w:webHidden/>
          </w:rPr>
          <w:fldChar w:fldCharType="separate"/>
        </w:r>
        <w:r>
          <w:rPr>
            <w:noProof/>
            <w:webHidden/>
          </w:rPr>
          <w:t>741</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40" w:history="1">
        <w:r w:rsidRPr="00DF6938">
          <w:rPr>
            <w:rStyle w:val="Hipervnculo"/>
            <w:noProof/>
          </w:rPr>
          <w:t>8.15.</w:t>
        </w:r>
        <w:r>
          <w:rPr>
            <w:rFonts w:asciiTheme="minorHAnsi" w:eastAsiaTheme="minorEastAsia" w:hAnsiTheme="minorHAnsi" w:cstheme="minorBidi"/>
            <w:noProof/>
            <w:sz w:val="22"/>
            <w:szCs w:val="22"/>
            <w:lang w:val="es-CO" w:eastAsia="es-CO"/>
          </w:rPr>
          <w:tab/>
        </w:r>
        <w:r w:rsidRPr="00DF6938">
          <w:rPr>
            <w:rStyle w:val="Hipervnculo"/>
            <w:noProof/>
          </w:rPr>
          <w:t>Conclusiones</w:t>
        </w:r>
        <w:r>
          <w:rPr>
            <w:noProof/>
            <w:webHidden/>
          </w:rPr>
          <w:tab/>
        </w:r>
        <w:r>
          <w:rPr>
            <w:noProof/>
            <w:webHidden/>
          </w:rPr>
          <w:fldChar w:fldCharType="begin"/>
        </w:r>
        <w:r>
          <w:rPr>
            <w:noProof/>
            <w:webHidden/>
          </w:rPr>
          <w:instrText xml:space="preserve"> PAGEREF _Toc112399640 \h </w:instrText>
        </w:r>
        <w:r>
          <w:rPr>
            <w:noProof/>
            <w:webHidden/>
          </w:rPr>
        </w:r>
        <w:r>
          <w:rPr>
            <w:noProof/>
            <w:webHidden/>
          </w:rPr>
          <w:fldChar w:fldCharType="separate"/>
        </w:r>
        <w:r>
          <w:rPr>
            <w:noProof/>
            <w:webHidden/>
          </w:rPr>
          <w:t>746</w:t>
        </w:r>
        <w:r>
          <w:rPr>
            <w:noProof/>
            <w:webHidden/>
          </w:rPr>
          <w:fldChar w:fldCharType="end"/>
        </w:r>
      </w:hyperlink>
    </w:p>
    <w:p w:rsidR="00513F80" w:rsidRDefault="00513F80">
      <w:pPr>
        <w:pStyle w:val="TDC3"/>
        <w:tabs>
          <w:tab w:val="right" w:leader="dot" w:pos="8828"/>
        </w:tabs>
        <w:rPr>
          <w:rFonts w:asciiTheme="minorHAnsi" w:eastAsiaTheme="minorEastAsia" w:hAnsiTheme="minorHAnsi" w:cstheme="minorBidi"/>
          <w:noProof/>
          <w:sz w:val="22"/>
          <w:szCs w:val="22"/>
          <w:lang w:val="es-CO" w:eastAsia="es-CO"/>
        </w:rPr>
      </w:pPr>
      <w:hyperlink w:anchor="_Toc112399641" w:history="1">
        <w:r w:rsidRPr="00DF6938">
          <w:rPr>
            <w:rStyle w:val="Hipervnculo"/>
            <w:noProof/>
          </w:rPr>
          <w:t>Bibliografía</w:t>
        </w:r>
        <w:r>
          <w:rPr>
            <w:noProof/>
            <w:webHidden/>
          </w:rPr>
          <w:tab/>
        </w:r>
        <w:r>
          <w:rPr>
            <w:noProof/>
            <w:webHidden/>
          </w:rPr>
          <w:fldChar w:fldCharType="begin"/>
        </w:r>
        <w:r>
          <w:rPr>
            <w:noProof/>
            <w:webHidden/>
          </w:rPr>
          <w:instrText xml:space="preserve"> PAGEREF _Toc112399641 \h </w:instrText>
        </w:r>
        <w:r>
          <w:rPr>
            <w:noProof/>
            <w:webHidden/>
          </w:rPr>
        </w:r>
        <w:r>
          <w:rPr>
            <w:noProof/>
            <w:webHidden/>
          </w:rPr>
          <w:fldChar w:fldCharType="separate"/>
        </w:r>
        <w:r>
          <w:rPr>
            <w:noProof/>
            <w:webHidden/>
          </w:rPr>
          <w:t>753</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642" w:history="1">
        <w:r w:rsidRPr="00DF6938">
          <w:rPr>
            <w:rStyle w:val="Hipervnculo"/>
            <w:noProof/>
          </w:rPr>
          <w:t>9.</w:t>
        </w:r>
        <w:r>
          <w:rPr>
            <w:rFonts w:asciiTheme="minorHAnsi" w:eastAsiaTheme="minorEastAsia" w:hAnsiTheme="minorHAnsi" w:cstheme="minorBidi"/>
            <w:b w:val="0"/>
            <w:bCs w:val="0"/>
            <w:iCs w:val="0"/>
            <w:noProof/>
            <w:sz w:val="22"/>
            <w:lang w:val="es-CO" w:eastAsia="es-CO"/>
          </w:rPr>
          <w:tab/>
        </w:r>
        <w:r w:rsidRPr="00DF6938">
          <w:rPr>
            <w:rStyle w:val="Hipervnculo"/>
            <w:noProof/>
            <w:w w:val="95"/>
          </w:rPr>
          <w:t>HACIA</w:t>
        </w:r>
        <w:r w:rsidRPr="00DF6938">
          <w:rPr>
            <w:rStyle w:val="Hipervnculo"/>
            <w:noProof/>
            <w:spacing w:val="8"/>
          </w:rPr>
          <w:t xml:space="preserve"> </w:t>
        </w:r>
        <w:r w:rsidRPr="00DF6938">
          <w:rPr>
            <w:rStyle w:val="Hipervnculo"/>
            <w:noProof/>
            <w:w w:val="95"/>
          </w:rPr>
          <w:t>LA</w:t>
        </w:r>
        <w:r w:rsidRPr="00DF6938">
          <w:rPr>
            <w:rStyle w:val="Hipervnculo"/>
            <w:noProof/>
            <w:spacing w:val="8"/>
          </w:rPr>
          <w:t xml:space="preserve"> </w:t>
        </w:r>
        <w:r w:rsidRPr="00DF6938">
          <w:rPr>
            <w:rStyle w:val="Hipervnculo"/>
            <w:noProof/>
            <w:w w:val="95"/>
          </w:rPr>
          <w:t>PAZ</w:t>
        </w:r>
        <w:r w:rsidRPr="00DF6938">
          <w:rPr>
            <w:rStyle w:val="Hipervnculo"/>
            <w:noProof/>
            <w:spacing w:val="9"/>
          </w:rPr>
          <w:t xml:space="preserve"> </w:t>
        </w:r>
        <w:r w:rsidRPr="00DF6938">
          <w:rPr>
            <w:rStyle w:val="Hipervnculo"/>
            <w:noProof/>
          </w:rPr>
          <w:t>TERRITORIAL</w:t>
        </w:r>
        <w:r>
          <w:rPr>
            <w:noProof/>
            <w:webHidden/>
          </w:rPr>
          <w:tab/>
        </w:r>
        <w:r>
          <w:rPr>
            <w:noProof/>
            <w:webHidden/>
          </w:rPr>
          <w:fldChar w:fldCharType="begin"/>
        </w:r>
        <w:r>
          <w:rPr>
            <w:noProof/>
            <w:webHidden/>
          </w:rPr>
          <w:instrText xml:space="preserve"> PAGEREF _Toc112399642 \h </w:instrText>
        </w:r>
        <w:r>
          <w:rPr>
            <w:noProof/>
            <w:webHidden/>
          </w:rPr>
        </w:r>
        <w:r>
          <w:rPr>
            <w:noProof/>
            <w:webHidden/>
          </w:rPr>
          <w:fldChar w:fldCharType="separate"/>
        </w:r>
        <w:r>
          <w:rPr>
            <w:noProof/>
            <w:webHidden/>
          </w:rPr>
          <w:t>762</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43" w:history="1">
        <w:r w:rsidRPr="00DF6938">
          <w:rPr>
            <w:rStyle w:val="Hipervnculo"/>
            <w:noProof/>
          </w:rPr>
          <w:t>9.1.</w:t>
        </w:r>
        <w:r>
          <w:rPr>
            <w:rFonts w:asciiTheme="minorHAnsi" w:eastAsiaTheme="minorEastAsia" w:hAnsiTheme="minorHAnsi" w:cstheme="minorBidi"/>
            <w:noProof/>
            <w:sz w:val="22"/>
            <w:szCs w:val="22"/>
            <w:lang w:val="es-CO" w:eastAsia="es-CO"/>
          </w:rPr>
          <w:tab/>
        </w:r>
        <w:r w:rsidRPr="00DF6938">
          <w:rPr>
            <w:rStyle w:val="Hipervnculo"/>
            <w:noProof/>
          </w:rPr>
          <w:t>Contexto</w:t>
        </w:r>
        <w:r w:rsidRPr="00DF6938">
          <w:rPr>
            <w:rStyle w:val="Hipervnculo"/>
            <w:noProof/>
            <w:spacing w:val="-6"/>
          </w:rPr>
          <w:t xml:space="preserve"> </w:t>
        </w:r>
        <w:r w:rsidRPr="00DF6938">
          <w:rPr>
            <w:rStyle w:val="Hipervnculo"/>
            <w:noProof/>
          </w:rPr>
          <w:t>histórico:</w:t>
        </w:r>
        <w:r w:rsidRPr="00DF6938">
          <w:rPr>
            <w:rStyle w:val="Hipervnculo"/>
            <w:noProof/>
            <w:spacing w:val="-3"/>
          </w:rPr>
          <w:t xml:space="preserve"> </w:t>
        </w:r>
        <w:r w:rsidRPr="00DF6938">
          <w:rPr>
            <w:rStyle w:val="Hipervnculo"/>
            <w:noProof/>
          </w:rPr>
          <w:t>desigualdad,</w:t>
        </w:r>
        <w:r w:rsidRPr="00DF6938">
          <w:rPr>
            <w:rStyle w:val="Hipervnculo"/>
            <w:noProof/>
            <w:spacing w:val="-3"/>
          </w:rPr>
          <w:t xml:space="preserve"> </w:t>
        </w:r>
        <w:r w:rsidRPr="00DF6938">
          <w:rPr>
            <w:rStyle w:val="Hipervnculo"/>
            <w:noProof/>
          </w:rPr>
          <w:t>diseños</w:t>
        </w:r>
        <w:r w:rsidRPr="00DF6938">
          <w:rPr>
            <w:rStyle w:val="Hipervnculo"/>
            <w:noProof/>
            <w:spacing w:val="-3"/>
          </w:rPr>
          <w:t xml:space="preserve"> </w:t>
        </w:r>
        <w:r w:rsidRPr="00DF6938">
          <w:rPr>
            <w:rStyle w:val="Hipervnculo"/>
            <w:noProof/>
          </w:rPr>
          <w:t>institucionales</w:t>
        </w:r>
        <w:r w:rsidRPr="00DF6938">
          <w:rPr>
            <w:rStyle w:val="Hipervnculo"/>
            <w:noProof/>
            <w:spacing w:val="-3"/>
          </w:rPr>
          <w:t xml:space="preserve"> </w:t>
        </w:r>
        <w:r w:rsidRPr="00DF6938">
          <w:rPr>
            <w:rStyle w:val="Hipervnculo"/>
            <w:noProof/>
          </w:rPr>
          <w:t>y</w:t>
        </w:r>
        <w:r w:rsidRPr="00DF6938">
          <w:rPr>
            <w:rStyle w:val="Hipervnculo"/>
            <w:noProof/>
            <w:spacing w:val="-3"/>
          </w:rPr>
          <w:t xml:space="preserve"> </w:t>
        </w:r>
        <w:r w:rsidRPr="00DF6938">
          <w:rPr>
            <w:rStyle w:val="Hipervnculo"/>
            <w:noProof/>
            <w:spacing w:val="-2"/>
          </w:rPr>
          <w:t>violencia</w:t>
        </w:r>
        <w:r>
          <w:rPr>
            <w:noProof/>
            <w:webHidden/>
          </w:rPr>
          <w:tab/>
        </w:r>
        <w:r>
          <w:rPr>
            <w:noProof/>
            <w:webHidden/>
          </w:rPr>
          <w:fldChar w:fldCharType="begin"/>
        </w:r>
        <w:r>
          <w:rPr>
            <w:noProof/>
            <w:webHidden/>
          </w:rPr>
          <w:instrText xml:space="preserve"> PAGEREF _Toc112399643 \h </w:instrText>
        </w:r>
        <w:r>
          <w:rPr>
            <w:noProof/>
            <w:webHidden/>
          </w:rPr>
        </w:r>
        <w:r>
          <w:rPr>
            <w:noProof/>
            <w:webHidden/>
          </w:rPr>
          <w:fldChar w:fldCharType="separate"/>
        </w:r>
        <w:r>
          <w:rPr>
            <w:noProof/>
            <w:webHidden/>
          </w:rPr>
          <w:t>769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44" w:history="1">
        <w:r w:rsidRPr="00DF6938">
          <w:rPr>
            <w:rStyle w:val="Hipervnculo"/>
            <w:noProof/>
          </w:rPr>
          <w:t>9.2.</w:t>
        </w:r>
        <w:r>
          <w:rPr>
            <w:rFonts w:asciiTheme="minorHAnsi" w:eastAsiaTheme="minorEastAsia" w:hAnsiTheme="minorHAnsi" w:cstheme="minorBidi"/>
            <w:noProof/>
            <w:sz w:val="22"/>
            <w:szCs w:val="22"/>
            <w:lang w:val="es-CO" w:eastAsia="es-CO"/>
          </w:rPr>
          <w:tab/>
        </w:r>
        <w:r w:rsidRPr="00DF6938">
          <w:rPr>
            <w:rStyle w:val="Hipervnculo"/>
            <w:noProof/>
          </w:rPr>
          <w:t>Frente</w:t>
        </w:r>
        <w:r w:rsidRPr="00DF6938">
          <w:rPr>
            <w:rStyle w:val="Hipervnculo"/>
            <w:noProof/>
            <w:spacing w:val="-3"/>
          </w:rPr>
          <w:t xml:space="preserve"> </w:t>
        </w:r>
        <w:r w:rsidRPr="00DF6938">
          <w:rPr>
            <w:rStyle w:val="Hipervnculo"/>
            <w:noProof/>
          </w:rPr>
          <w:t>Nacional</w:t>
        </w:r>
        <w:r w:rsidRPr="00DF6938">
          <w:rPr>
            <w:rStyle w:val="Hipervnculo"/>
            <w:noProof/>
            <w:spacing w:val="-1"/>
          </w:rPr>
          <w:t xml:space="preserve"> </w:t>
        </w:r>
        <w:r w:rsidRPr="00DF6938">
          <w:rPr>
            <w:rStyle w:val="Hipervnculo"/>
            <w:noProof/>
          </w:rPr>
          <w:t>y</w:t>
        </w:r>
        <w:r w:rsidRPr="00DF6938">
          <w:rPr>
            <w:rStyle w:val="Hipervnculo"/>
            <w:noProof/>
            <w:spacing w:val="-1"/>
          </w:rPr>
          <w:t xml:space="preserve"> </w:t>
        </w:r>
        <w:r w:rsidRPr="00DF6938">
          <w:rPr>
            <w:rStyle w:val="Hipervnculo"/>
            <w:noProof/>
          </w:rPr>
          <w:t>la</w:t>
        </w:r>
        <w:r w:rsidRPr="00DF6938">
          <w:rPr>
            <w:rStyle w:val="Hipervnculo"/>
            <w:noProof/>
            <w:spacing w:val="-1"/>
          </w:rPr>
          <w:t xml:space="preserve"> </w:t>
        </w:r>
        <w:r w:rsidRPr="00DF6938">
          <w:rPr>
            <w:rStyle w:val="Hipervnculo"/>
            <w:noProof/>
          </w:rPr>
          <w:t>guerra</w:t>
        </w:r>
        <w:r w:rsidRPr="00DF6938">
          <w:rPr>
            <w:rStyle w:val="Hipervnculo"/>
            <w:noProof/>
            <w:spacing w:val="-1"/>
          </w:rPr>
          <w:t xml:space="preserve"> </w:t>
        </w:r>
        <w:r w:rsidRPr="00DF6938">
          <w:rPr>
            <w:rStyle w:val="Hipervnculo"/>
            <w:noProof/>
            <w:spacing w:val="-2"/>
          </w:rPr>
          <w:t>(contra)insurgente</w:t>
        </w:r>
        <w:r>
          <w:rPr>
            <w:noProof/>
            <w:webHidden/>
          </w:rPr>
          <w:tab/>
        </w:r>
        <w:r>
          <w:rPr>
            <w:noProof/>
            <w:webHidden/>
          </w:rPr>
          <w:fldChar w:fldCharType="begin"/>
        </w:r>
        <w:r>
          <w:rPr>
            <w:noProof/>
            <w:webHidden/>
          </w:rPr>
          <w:instrText xml:space="preserve"> PAGEREF _Toc112399644 \h </w:instrText>
        </w:r>
        <w:r>
          <w:rPr>
            <w:noProof/>
            <w:webHidden/>
          </w:rPr>
        </w:r>
        <w:r>
          <w:rPr>
            <w:noProof/>
            <w:webHidden/>
          </w:rPr>
          <w:fldChar w:fldCharType="separate"/>
        </w:r>
        <w:r>
          <w:rPr>
            <w:noProof/>
            <w:webHidden/>
          </w:rPr>
          <w:t>780</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45" w:history="1">
        <w:r w:rsidRPr="00DF6938">
          <w:rPr>
            <w:rStyle w:val="Hipervnculo"/>
            <w:noProof/>
          </w:rPr>
          <w:t>9.3.</w:t>
        </w:r>
        <w:r>
          <w:rPr>
            <w:rFonts w:asciiTheme="minorHAnsi" w:eastAsiaTheme="minorEastAsia" w:hAnsiTheme="minorHAnsi" w:cstheme="minorBidi"/>
            <w:noProof/>
            <w:sz w:val="22"/>
            <w:szCs w:val="22"/>
            <w:lang w:val="es-CO" w:eastAsia="es-CO"/>
          </w:rPr>
          <w:tab/>
        </w:r>
        <w:r w:rsidRPr="00DF6938">
          <w:rPr>
            <w:rStyle w:val="Hipervnculo"/>
            <w:noProof/>
          </w:rPr>
          <w:t>Efectos</w:t>
        </w:r>
        <w:r w:rsidRPr="00DF6938">
          <w:rPr>
            <w:rStyle w:val="Hipervnculo"/>
            <w:noProof/>
            <w:spacing w:val="-6"/>
          </w:rPr>
          <w:t xml:space="preserve"> </w:t>
        </w:r>
        <w:r w:rsidRPr="00DF6938">
          <w:rPr>
            <w:rStyle w:val="Hipervnculo"/>
            <w:noProof/>
          </w:rPr>
          <w:t>de</w:t>
        </w:r>
        <w:r w:rsidRPr="00DF6938">
          <w:rPr>
            <w:rStyle w:val="Hipervnculo"/>
            <w:noProof/>
            <w:spacing w:val="-1"/>
          </w:rPr>
          <w:t xml:space="preserve"> </w:t>
        </w:r>
        <w:r w:rsidRPr="00DF6938">
          <w:rPr>
            <w:rStyle w:val="Hipervnculo"/>
            <w:noProof/>
          </w:rPr>
          <w:t>la</w:t>
        </w:r>
        <w:r w:rsidRPr="00DF6938">
          <w:rPr>
            <w:rStyle w:val="Hipervnculo"/>
            <w:noProof/>
            <w:spacing w:val="-2"/>
          </w:rPr>
          <w:t xml:space="preserve"> </w:t>
        </w:r>
        <w:r w:rsidRPr="00DF6938">
          <w:rPr>
            <w:rStyle w:val="Hipervnculo"/>
            <w:noProof/>
          </w:rPr>
          <w:t>apertura</w:t>
        </w:r>
        <w:r w:rsidRPr="00DF6938">
          <w:rPr>
            <w:rStyle w:val="Hipervnculo"/>
            <w:noProof/>
            <w:spacing w:val="-1"/>
          </w:rPr>
          <w:t xml:space="preserve"> </w:t>
        </w:r>
        <w:r w:rsidRPr="00DF6938">
          <w:rPr>
            <w:rStyle w:val="Hipervnculo"/>
            <w:noProof/>
          </w:rPr>
          <w:t>económica</w:t>
        </w:r>
        <w:r w:rsidRPr="00DF6938">
          <w:rPr>
            <w:rStyle w:val="Hipervnculo"/>
            <w:noProof/>
            <w:spacing w:val="-2"/>
          </w:rPr>
          <w:t xml:space="preserve"> </w:t>
        </w:r>
        <w:r w:rsidRPr="00DF6938">
          <w:rPr>
            <w:rStyle w:val="Hipervnculo"/>
            <w:noProof/>
          </w:rPr>
          <w:t>en</w:t>
        </w:r>
        <w:r w:rsidRPr="00DF6938">
          <w:rPr>
            <w:rStyle w:val="Hipervnculo"/>
            <w:noProof/>
            <w:spacing w:val="-2"/>
          </w:rPr>
          <w:t xml:space="preserve"> </w:t>
        </w:r>
        <w:r w:rsidRPr="00DF6938">
          <w:rPr>
            <w:rStyle w:val="Hipervnculo"/>
            <w:noProof/>
          </w:rPr>
          <w:t>la</w:t>
        </w:r>
        <w:r w:rsidRPr="00DF6938">
          <w:rPr>
            <w:rStyle w:val="Hipervnculo"/>
            <w:noProof/>
            <w:spacing w:val="-2"/>
          </w:rPr>
          <w:t xml:space="preserve"> </w:t>
        </w:r>
        <w:r w:rsidRPr="00DF6938">
          <w:rPr>
            <w:rStyle w:val="Hipervnculo"/>
            <w:noProof/>
          </w:rPr>
          <w:t>reconfiguración</w:t>
        </w:r>
        <w:r w:rsidRPr="00DF6938">
          <w:rPr>
            <w:rStyle w:val="Hipervnculo"/>
            <w:noProof/>
            <w:spacing w:val="-2"/>
          </w:rPr>
          <w:t xml:space="preserve"> territorial</w:t>
        </w:r>
        <w:r>
          <w:rPr>
            <w:noProof/>
            <w:webHidden/>
          </w:rPr>
          <w:tab/>
        </w:r>
        <w:r>
          <w:rPr>
            <w:noProof/>
            <w:webHidden/>
          </w:rPr>
          <w:fldChar w:fldCharType="begin"/>
        </w:r>
        <w:r>
          <w:rPr>
            <w:noProof/>
            <w:webHidden/>
          </w:rPr>
          <w:instrText xml:space="preserve"> PAGEREF _Toc112399645 \h </w:instrText>
        </w:r>
        <w:r>
          <w:rPr>
            <w:noProof/>
            <w:webHidden/>
          </w:rPr>
        </w:r>
        <w:r>
          <w:rPr>
            <w:noProof/>
            <w:webHidden/>
          </w:rPr>
          <w:fldChar w:fldCharType="separate"/>
        </w:r>
        <w:r>
          <w:rPr>
            <w:noProof/>
            <w:webHidden/>
          </w:rPr>
          <w:t>792</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46" w:history="1">
        <w:r w:rsidRPr="00DF6938">
          <w:rPr>
            <w:rStyle w:val="Hipervnculo"/>
            <w:noProof/>
          </w:rPr>
          <w:t>9.4.</w:t>
        </w:r>
        <w:r>
          <w:rPr>
            <w:rFonts w:asciiTheme="minorHAnsi" w:eastAsiaTheme="minorEastAsia" w:hAnsiTheme="minorHAnsi" w:cstheme="minorBidi"/>
            <w:noProof/>
            <w:sz w:val="22"/>
            <w:szCs w:val="22"/>
            <w:lang w:val="es-CO" w:eastAsia="es-CO"/>
          </w:rPr>
          <w:tab/>
        </w:r>
        <w:r w:rsidRPr="00DF6938">
          <w:rPr>
            <w:rStyle w:val="Hipervnculo"/>
            <w:noProof/>
          </w:rPr>
          <w:t>La</w:t>
        </w:r>
        <w:r w:rsidRPr="00DF6938">
          <w:rPr>
            <w:rStyle w:val="Hipervnculo"/>
            <w:noProof/>
            <w:spacing w:val="-2"/>
          </w:rPr>
          <w:t xml:space="preserve"> </w:t>
        </w:r>
        <w:r w:rsidRPr="00DF6938">
          <w:rPr>
            <w:rStyle w:val="Hipervnculo"/>
            <w:noProof/>
          </w:rPr>
          <w:t>irrupción</w:t>
        </w:r>
        <w:r w:rsidRPr="00DF6938">
          <w:rPr>
            <w:rStyle w:val="Hipervnculo"/>
            <w:noProof/>
            <w:spacing w:val="-2"/>
          </w:rPr>
          <w:t xml:space="preserve"> </w:t>
        </w:r>
        <w:r w:rsidRPr="00DF6938">
          <w:rPr>
            <w:rStyle w:val="Hipervnculo"/>
            <w:noProof/>
          </w:rPr>
          <w:t>del</w:t>
        </w:r>
        <w:r w:rsidRPr="00DF6938">
          <w:rPr>
            <w:rStyle w:val="Hipervnculo"/>
            <w:noProof/>
            <w:spacing w:val="-1"/>
          </w:rPr>
          <w:t xml:space="preserve"> </w:t>
        </w:r>
        <w:r w:rsidRPr="00DF6938">
          <w:rPr>
            <w:rStyle w:val="Hipervnculo"/>
            <w:noProof/>
          </w:rPr>
          <w:t>narcotráfico</w:t>
        </w:r>
        <w:r>
          <w:rPr>
            <w:noProof/>
            <w:webHidden/>
          </w:rPr>
          <w:tab/>
        </w:r>
        <w:r>
          <w:rPr>
            <w:noProof/>
            <w:webHidden/>
          </w:rPr>
          <w:fldChar w:fldCharType="begin"/>
        </w:r>
        <w:r>
          <w:rPr>
            <w:noProof/>
            <w:webHidden/>
          </w:rPr>
          <w:instrText xml:space="preserve"> PAGEREF _Toc112399646 \h </w:instrText>
        </w:r>
        <w:r>
          <w:rPr>
            <w:noProof/>
            <w:webHidden/>
          </w:rPr>
        </w:r>
        <w:r>
          <w:rPr>
            <w:noProof/>
            <w:webHidden/>
          </w:rPr>
          <w:fldChar w:fldCharType="separate"/>
        </w:r>
        <w:r>
          <w:rPr>
            <w:noProof/>
            <w:webHidden/>
          </w:rPr>
          <w:t>802</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47" w:history="1">
        <w:r w:rsidRPr="00DF6938">
          <w:rPr>
            <w:rStyle w:val="Hipervnculo"/>
            <w:noProof/>
          </w:rPr>
          <w:t>9.5.</w:t>
        </w:r>
        <w:r>
          <w:rPr>
            <w:rFonts w:asciiTheme="minorHAnsi" w:eastAsiaTheme="minorEastAsia" w:hAnsiTheme="minorHAnsi" w:cstheme="minorBidi"/>
            <w:noProof/>
            <w:sz w:val="22"/>
            <w:szCs w:val="22"/>
            <w:lang w:val="es-CO" w:eastAsia="es-CO"/>
          </w:rPr>
          <w:tab/>
        </w:r>
        <w:r w:rsidRPr="00DF6938">
          <w:rPr>
            <w:rStyle w:val="Hipervnculo"/>
            <w:noProof/>
          </w:rPr>
          <w:t>La</w:t>
        </w:r>
        <w:r w:rsidRPr="00DF6938">
          <w:rPr>
            <w:rStyle w:val="Hipervnculo"/>
            <w:noProof/>
            <w:spacing w:val="-1"/>
          </w:rPr>
          <w:t xml:space="preserve"> </w:t>
        </w:r>
        <w:r w:rsidRPr="00DF6938">
          <w:rPr>
            <w:rStyle w:val="Hipervnculo"/>
            <w:noProof/>
          </w:rPr>
          <w:t>contra</w:t>
        </w:r>
        <w:r w:rsidRPr="00DF6938">
          <w:rPr>
            <w:rStyle w:val="Hipervnculo"/>
            <w:noProof/>
            <w:spacing w:val="-1"/>
          </w:rPr>
          <w:t xml:space="preserve"> </w:t>
        </w:r>
        <w:r w:rsidRPr="00DF6938">
          <w:rPr>
            <w:rStyle w:val="Hipervnculo"/>
            <w:noProof/>
          </w:rPr>
          <w:t>reforma</w:t>
        </w:r>
        <w:r w:rsidRPr="00DF6938">
          <w:rPr>
            <w:rStyle w:val="Hipervnculo"/>
            <w:noProof/>
            <w:spacing w:val="-3"/>
          </w:rPr>
          <w:t xml:space="preserve"> </w:t>
        </w:r>
        <w:r w:rsidRPr="00DF6938">
          <w:rPr>
            <w:rStyle w:val="Hipervnculo"/>
            <w:noProof/>
          </w:rPr>
          <w:t xml:space="preserve">agraria </w:t>
        </w:r>
        <w:r w:rsidRPr="00DF6938">
          <w:rPr>
            <w:rStyle w:val="Hipervnculo"/>
            <w:noProof/>
            <w:spacing w:val="-2"/>
          </w:rPr>
          <w:t>violenta</w:t>
        </w:r>
        <w:r>
          <w:rPr>
            <w:noProof/>
            <w:webHidden/>
          </w:rPr>
          <w:tab/>
        </w:r>
        <w:r>
          <w:rPr>
            <w:noProof/>
            <w:webHidden/>
          </w:rPr>
          <w:fldChar w:fldCharType="begin"/>
        </w:r>
        <w:r>
          <w:rPr>
            <w:noProof/>
            <w:webHidden/>
          </w:rPr>
          <w:instrText xml:space="preserve"> PAGEREF _Toc112399647 \h </w:instrText>
        </w:r>
        <w:r>
          <w:rPr>
            <w:noProof/>
            <w:webHidden/>
          </w:rPr>
        </w:r>
        <w:r>
          <w:rPr>
            <w:noProof/>
            <w:webHidden/>
          </w:rPr>
          <w:fldChar w:fldCharType="separate"/>
        </w:r>
        <w:r>
          <w:rPr>
            <w:noProof/>
            <w:webHidden/>
          </w:rPr>
          <w:t>807</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48" w:history="1">
        <w:r w:rsidRPr="00DF6938">
          <w:rPr>
            <w:rStyle w:val="Hipervnculo"/>
            <w:noProof/>
          </w:rPr>
          <w:t>9.6.</w:t>
        </w:r>
        <w:r>
          <w:rPr>
            <w:rFonts w:asciiTheme="minorHAnsi" w:eastAsiaTheme="minorEastAsia" w:hAnsiTheme="minorHAnsi" w:cstheme="minorBidi"/>
            <w:noProof/>
            <w:sz w:val="22"/>
            <w:szCs w:val="22"/>
            <w:lang w:val="es-CO" w:eastAsia="es-CO"/>
          </w:rPr>
          <w:tab/>
        </w:r>
        <w:r w:rsidRPr="00DF6938">
          <w:rPr>
            <w:rStyle w:val="Hipervnculo"/>
            <w:noProof/>
          </w:rPr>
          <w:t>La</w:t>
        </w:r>
        <w:r w:rsidRPr="00DF6938">
          <w:rPr>
            <w:rStyle w:val="Hipervnculo"/>
            <w:noProof/>
            <w:spacing w:val="-4"/>
          </w:rPr>
          <w:t xml:space="preserve"> </w:t>
        </w:r>
        <w:r w:rsidRPr="00DF6938">
          <w:rPr>
            <w:rStyle w:val="Hipervnculo"/>
            <w:noProof/>
          </w:rPr>
          <w:t>descentralización</w:t>
        </w:r>
        <w:r w:rsidRPr="00DF6938">
          <w:rPr>
            <w:rStyle w:val="Hipervnculo"/>
            <w:noProof/>
            <w:spacing w:val="-3"/>
          </w:rPr>
          <w:t xml:space="preserve"> </w:t>
        </w:r>
        <w:r w:rsidRPr="00DF6938">
          <w:rPr>
            <w:rStyle w:val="Hipervnculo"/>
            <w:noProof/>
          </w:rPr>
          <w:t>y</w:t>
        </w:r>
        <w:r w:rsidRPr="00DF6938">
          <w:rPr>
            <w:rStyle w:val="Hipervnculo"/>
            <w:noProof/>
            <w:spacing w:val="-2"/>
          </w:rPr>
          <w:t xml:space="preserve"> </w:t>
        </w:r>
        <w:r w:rsidRPr="00DF6938">
          <w:rPr>
            <w:rStyle w:val="Hipervnculo"/>
            <w:noProof/>
          </w:rPr>
          <w:t>la</w:t>
        </w:r>
        <w:r w:rsidRPr="00DF6938">
          <w:rPr>
            <w:rStyle w:val="Hipervnculo"/>
            <w:noProof/>
            <w:spacing w:val="-2"/>
          </w:rPr>
          <w:t xml:space="preserve"> </w:t>
        </w:r>
        <w:r w:rsidRPr="00DF6938">
          <w:rPr>
            <w:rStyle w:val="Hipervnculo"/>
            <w:noProof/>
          </w:rPr>
          <w:t>disputa</w:t>
        </w:r>
        <w:r w:rsidRPr="00DF6938">
          <w:rPr>
            <w:rStyle w:val="Hipervnculo"/>
            <w:noProof/>
            <w:spacing w:val="-2"/>
          </w:rPr>
          <w:t xml:space="preserve"> </w:t>
        </w:r>
        <w:r w:rsidRPr="00DF6938">
          <w:rPr>
            <w:rStyle w:val="Hipervnculo"/>
            <w:noProof/>
          </w:rPr>
          <w:t>por</w:t>
        </w:r>
        <w:r w:rsidRPr="00DF6938">
          <w:rPr>
            <w:rStyle w:val="Hipervnculo"/>
            <w:noProof/>
            <w:spacing w:val="-2"/>
          </w:rPr>
          <w:t xml:space="preserve"> </w:t>
        </w:r>
        <w:r w:rsidRPr="00DF6938">
          <w:rPr>
            <w:rStyle w:val="Hipervnculo"/>
            <w:noProof/>
          </w:rPr>
          <w:t>el</w:t>
        </w:r>
        <w:r w:rsidRPr="00DF6938">
          <w:rPr>
            <w:rStyle w:val="Hipervnculo"/>
            <w:noProof/>
            <w:spacing w:val="-2"/>
          </w:rPr>
          <w:t xml:space="preserve"> </w:t>
        </w:r>
        <w:r w:rsidRPr="00DF6938">
          <w:rPr>
            <w:rStyle w:val="Hipervnculo"/>
            <w:noProof/>
          </w:rPr>
          <w:t>poder</w:t>
        </w:r>
        <w:r w:rsidRPr="00DF6938">
          <w:rPr>
            <w:rStyle w:val="Hipervnculo"/>
            <w:noProof/>
            <w:spacing w:val="-1"/>
          </w:rPr>
          <w:t xml:space="preserve"> </w:t>
        </w:r>
        <w:r w:rsidRPr="00DF6938">
          <w:rPr>
            <w:rStyle w:val="Hipervnculo"/>
            <w:noProof/>
            <w:spacing w:val="-2"/>
          </w:rPr>
          <w:t>local</w:t>
        </w:r>
        <w:r>
          <w:rPr>
            <w:noProof/>
            <w:webHidden/>
          </w:rPr>
          <w:tab/>
        </w:r>
        <w:r>
          <w:rPr>
            <w:noProof/>
            <w:webHidden/>
          </w:rPr>
          <w:fldChar w:fldCharType="begin"/>
        </w:r>
        <w:r>
          <w:rPr>
            <w:noProof/>
            <w:webHidden/>
          </w:rPr>
          <w:instrText xml:space="preserve"> PAGEREF _Toc112399648 \h </w:instrText>
        </w:r>
        <w:r>
          <w:rPr>
            <w:noProof/>
            <w:webHidden/>
          </w:rPr>
        </w:r>
        <w:r>
          <w:rPr>
            <w:noProof/>
            <w:webHidden/>
          </w:rPr>
          <w:fldChar w:fldCharType="separate"/>
        </w:r>
        <w:r>
          <w:rPr>
            <w:noProof/>
            <w:webHidden/>
          </w:rPr>
          <w:t>813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49" w:history="1">
        <w:r w:rsidRPr="00DF6938">
          <w:rPr>
            <w:rStyle w:val="Hipervnculo"/>
            <w:noProof/>
          </w:rPr>
          <w:t>9.7.</w:t>
        </w:r>
        <w:r>
          <w:rPr>
            <w:rFonts w:asciiTheme="minorHAnsi" w:eastAsiaTheme="minorEastAsia" w:hAnsiTheme="minorHAnsi" w:cstheme="minorBidi"/>
            <w:noProof/>
            <w:sz w:val="22"/>
            <w:szCs w:val="22"/>
            <w:lang w:val="es-CO" w:eastAsia="es-CO"/>
          </w:rPr>
          <w:tab/>
        </w:r>
        <w:r w:rsidRPr="00DF6938">
          <w:rPr>
            <w:rStyle w:val="Hipervnculo"/>
            <w:noProof/>
          </w:rPr>
          <w:t>¿Y</w:t>
        </w:r>
        <w:r w:rsidRPr="00DF6938">
          <w:rPr>
            <w:rStyle w:val="Hipervnculo"/>
            <w:noProof/>
            <w:spacing w:val="-2"/>
          </w:rPr>
          <w:t xml:space="preserve"> </w:t>
        </w:r>
        <w:r w:rsidRPr="00DF6938">
          <w:rPr>
            <w:rStyle w:val="Hipervnculo"/>
            <w:noProof/>
          </w:rPr>
          <w:t>la tierra</w:t>
        </w:r>
        <w:r w:rsidRPr="00DF6938">
          <w:rPr>
            <w:rStyle w:val="Hipervnculo"/>
            <w:noProof/>
            <w:spacing w:val="-1"/>
          </w:rPr>
          <w:t xml:space="preserve"> </w:t>
        </w:r>
        <w:r w:rsidRPr="00DF6938">
          <w:rPr>
            <w:rStyle w:val="Hipervnculo"/>
            <w:noProof/>
          </w:rPr>
          <w:t xml:space="preserve">para </w:t>
        </w:r>
        <w:r w:rsidRPr="00DF6938">
          <w:rPr>
            <w:rStyle w:val="Hipervnculo"/>
            <w:noProof/>
            <w:spacing w:val="-4"/>
          </w:rPr>
          <w:t>qué?</w:t>
        </w:r>
        <w:r>
          <w:rPr>
            <w:noProof/>
            <w:webHidden/>
          </w:rPr>
          <w:tab/>
        </w:r>
        <w:r>
          <w:rPr>
            <w:noProof/>
            <w:webHidden/>
          </w:rPr>
          <w:fldChar w:fldCharType="begin"/>
        </w:r>
        <w:r>
          <w:rPr>
            <w:noProof/>
            <w:webHidden/>
          </w:rPr>
          <w:instrText xml:space="preserve"> PAGEREF _Toc112399649 \h </w:instrText>
        </w:r>
        <w:r>
          <w:rPr>
            <w:noProof/>
            <w:webHidden/>
          </w:rPr>
        </w:r>
        <w:r>
          <w:rPr>
            <w:noProof/>
            <w:webHidden/>
          </w:rPr>
          <w:fldChar w:fldCharType="separate"/>
        </w:r>
        <w:r>
          <w:rPr>
            <w:noProof/>
            <w:webHidden/>
          </w:rPr>
          <w:t>818</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50" w:history="1">
        <w:r w:rsidRPr="00DF6938">
          <w:rPr>
            <w:rStyle w:val="Hipervnculo"/>
            <w:noProof/>
          </w:rPr>
          <w:t>9.8.</w:t>
        </w:r>
        <w:r>
          <w:rPr>
            <w:rFonts w:asciiTheme="minorHAnsi" w:eastAsiaTheme="minorEastAsia" w:hAnsiTheme="minorHAnsi" w:cstheme="minorBidi"/>
            <w:noProof/>
            <w:sz w:val="22"/>
            <w:szCs w:val="22"/>
            <w:lang w:val="es-CO" w:eastAsia="es-CO"/>
          </w:rPr>
          <w:tab/>
        </w:r>
        <w:r w:rsidRPr="00DF6938">
          <w:rPr>
            <w:rStyle w:val="Hipervnculo"/>
            <w:noProof/>
          </w:rPr>
          <w:t>A modo de conclusión</w:t>
        </w:r>
        <w:r>
          <w:rPr>
            <w:noProof/>
            <w:webHidden/>
          </w:rPr>
          <w:tab/>
        </w:r>
        <w:r>
          <w:rPr>
            <w:noProof/>
            <w:webHidden/>
          </w:rPr>
          <w:fldChar w:fldCharType="begin"/>
        </w:r>
        <w:r>
          <w:rPr>
            <w:noProof/>
            <w:webHidden/>
          </w:rPr>
          <w:instrText xml:space="preserve"> PAGEREF _Toc112399650 \h </w:instrText>
        </w:r>
        <w:r>
          <w:rPr>
            <w:noProof/>
            <w:webHidden/>
          </w:rPr>
        </w:r>
        <w:r>
          <w:rPr>
            <w:noProof/>
            <w:webHidden/>
          </w:rPr>
          <w:fldChar w:fldCharType="separate"/>
        </w:r>
        <w:r>
          <w:rPr>
            <w:noProof/>
            <w:webHidden/>
          </w:rPr>
          <w:t>829</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651" w:history="1">
        <w:r w:rsidRPr="00DF6938">
          <w:rPr>
            <w:rStyle w:val="Hipervnculo"/>
            <w:noProof/>
          </w:rPr>
          <w:t>10.</w:t>
        </w:r>
        <w:r>
          <w:rPr>
            <w:rFonts w:asciiTheme="minorHAnsi" w:eastAsiaTheme="minorEastAsia" w:hAnsiTheme="minorHAnsi" w:cstheme="minorBidi"/>
            <w:b w:val="0"/>
            <w:bCs w:val="0"/>
            <w:iCs w:val="0"/>
            <w:noProof/>
            <w:sz w:val="22"/>
            <w:lang w:val="es-CO" w:eastAsia="es-CO"/>
          </w:rPr>
          <w:tab/>
        </w:r>
        <w:r w:rsidRPr="00DF6938">
          <w:rPr>
            <w:rStyle w:val="Hipervnculo"/>
            <w:noProof/>
          </w:rPr>
          <w:t>LA</w:t>
        </w:r>
        <w:r w:rsidRPr="00DF6938">
          <w:rPr>
            <w:rStyle w:val="Hipervnculo"/>
            <w:noProof/>
            <w:spacing w:val="40"/>
          </w:rPr>
          <w:t xml:space="preserve"> </w:t>
        </w:r>
        <w:r w:rsidRPr="00DF6938">
          <w:rPr>
            <w:rStyle w:val="Hipervnculo"/>
            <w:noProof/>
          </w:rPr>
          <w:t>RELACIÓN</w:t>
        </w:r>
        <w:r w:rsidRPr="00DF6938">
          <w:rPr>
            <w:rStyle w:val="Hipervnculo"/>
            <w:noProof/>
            <w:spacing w:val="40"/>
          </w:rPr>
          <w:t xml:space="preserve"> </w:t>
        </w:r>
        <w:r w:rsidRPr="00DF6938">
          <w:rPr>
            <w:rStyle w:val="Hipervnculo"/>
            <w:noProof/>
          </w:rPr>
          <w:t>ENTRE</w:t>
        </w:r>
        <w:r w:rsidRPr="00DF6938">
          <w:rPr>
            <w:rStyle w:val="Hipervnculo"/>
            <w:noProof/>
            <w:spacing w:val="40"/>
          </w:rPr>
          <w:t xml:space="preserve"> </w:t>
        </w:r>
        <w:r w:rsidRPr="00DF6938">
          <w:rPr>
            <w:rStyle w:val="Hipervnculo"/>
            <w:noProof/>
          </w:rPr>
          <w:t>CULTURA</w:t>
        </w:r>
        <w:r w:rsidRPr="00DF6938">
          <w:rPr>
            <w:rStyle w:val="Hipervnculo"/>
            <w:noProof/>
            <w:spacing w:val="40"/>
          </w:rPr>
          <w:t xml:space="preserve"> </w:t>
        </w:r>
        <w:r w:rsidRPr="00DF6938">
          <w:rPr>
            <w:rStyle w:val="Hipervnculo"/>
            <w:noProof/>
          </w:rPr>
          <w:t>Y</w:t>
        </w:r>
        <w:r w:rsidRPr="00DF6938">
          <w:rPr>
            <w:rStyle w:val="Hipervnculo"/>
            <w:noProof/>
            <w:spacing w:val="40"/>
          </w:rPr>
          <w:t xml:space="preserve"> </w:t>
        </w:r>
        <w:r w:rsidRPr="00DF6938">
          <w:rPr>
            <w:rStyle w:val="Hipervnculo"/>
            <w:noProof/>
          </w:rPr>
          <w:t>CONFLICTO</w:t>
        </w:r>
        <w:r w:rsidRPr="00DF6938">
          <w:rPr>
            <w:rStyle w:val="Hipervnculo"/>
            <w:noProof/>
            <w:spacing w:val="40"/>
          </w:rPr>
          <w:t xml:space="preserve"> </w:t>
        </w:r>
        <w:r w:rsidRPr="00DF6938">
          <w:rPr>
            <w:rStyle w:val="Hipervnculo"/>
            <w:noProof/>
          </w:rPr>
          <w:t>ARMADO INTERNO</w:t>
        </w:r>
        <w:r w:rsidRPr="00DF6938">
          <w:rPr>
            <w:rStyle w:val="Hipervnculo"/>
            <w:noProof/>
            <w:spacing w:val="-1"/>
          </w:rPr>
          <w:t xml:space="preserve"> </w:t>
        </w:r>
        <w:r w:rsidRPr="00DF6938">
          <w:rPr>
            <w:rStyle w:val="Hipervnculo"/>
            <w:noProof/>
          </w:rPr>
          <w:t>COLOMBIANO</w:t>
        </w:r>
        <w:r>
          <w:rPr>
            <w:noProof/>
            <w:webHidden/>
          </w:rPr>
          <w:tab/>
        </w:r>
        <w:r>
          <w:rPr>
            <w:noProof/>
            <w:webHidden/>
          </w:rPr>
          <w:fldChar w:fldCharType="begin"/>
        </w:r>
        <w:r>
          <w:rPr>
            <w:noProof/>
            <w:webHidden/>
          </w:rPr>
          <w:instrText xml:space="preserve"> PAGEREF _Toc112399651 \h </w:instrText>
        </w:r>
        <w:r>
          <w:rPr>
            <w:noProof/>
            <w:webHidden/>
          </w:rPr>
        </w:r>
        <w:r>
          <w:rPr>
            <w:noProof/>
            <w:webHidden/>
          </w:rPr>
          <w:fldChar w:fldCharType="separate"/>
        </w:r>
        <w:r>
          <w:rPr>
            <w:noProof/>
            <w:webHidden/>
          </w:rPr>
          <w:t>840</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52" w:history="1">
        <w:r w:rsidRPr="00DF6938">
          <w:rPr>
            <w:rStyle w:val="Hipervnculo"/>
            <w:noProof/>
          </w:rPr>
          <w:t>10.1.</w:t>
        </w:r>
        <w:r>
          <w:rPr>
            <w:rFonts w:asciiTheme="minorHAnsi" w:eastAsiaTheme="minorEastAsia" w:hAnsiTheme="minorHAnsi" w:cstheme="minorBidi"/>
            <w:noProof/>
            <w:sz w:val="22"/>
            <w:szCs w:val="22"/>
            <w:lang w:val="es-CO" w:eastAsia="es-CO"/>
          </w:rPr>
          <w:tab/>
        </w:r>
        <w:r w:rsidRPr="00DF6938">
          <w:rPr>
            <w:rStyle w:val="Hipervnculo"/>
            <w:noProof/>
          </w:rPr>
          <w:t>Los</w:t>
        </w:r>
        <w:r w:rsidRPr="00DF6938">
          <w:rPr>
            <w:rStyle w:val="Hipervnculo"/>
            <w:noProof/>
            <w:spacing w:val="-4"/>
          </w:rPr>
          <w:t xml:space="preserve"> </w:t>
        </w:r>
        <w:r w:rsidRPr="00DF6938">
          <w:rPr>
            <w:rStyle w:val="Hipervnculo"/>
            <w:noProof/>
          </w:rPr>
          <w:t>antecedentes:</w:t>
        </w:r>
        <w:r w:rsidRPr="00DF6938">
          <w:rPr>
            <w:rStyle w:val="Hipervnculo"/>
            <w:noProof/>
            <w:spacing w:val="-3"/>
          </w:rPr>
          <w:t xml:space="preserve"> </w:t>
        </w:r>
        <w:r w:rsidRPr="00DF6938">
          <w:rPr>
            <w:rStyle w:val="Hipervnculo"/>
            <w:noProof/>
          </w:rPr>
          <w:t>las</w:t>
        </w:r>
        <w:r w:rsidRPr="00DF6938">
          <w:rPr>
            <w:rStyle w:val="Hipervnculo"/>
            <w:noProof/>
            <w:spacing w:val="-2"/>
          </w:rPr>
          <w:t xml:space="preserve"> </w:t>
        </w:r>
        <w:r w:rsidRPr="00DF6938">
          <w:rPr>
            <w:rStyle w:val="Hipervnculo"/>
            <w:noProof/>
          </w:rPr>
          <w:t>categorías</w:t>
        </w:r>
        <w:r w:rsidRPr="00DF6938">
          <w:rPr>
            <w:rStyle w:val="Hipervnculo"/>
            <w:noProof/>
            <w:spacing w:val="-2"/>
          </w:rPr>
          <w:t xml:space="preserve"> </w:t>
        </w:r>
        <w:r w:rsidRPr="00DF6938">
          <w:rPr>
            <w:rStyle w:val="Hipervnculo"/>
            <w:noProof/>
          </w:rPr>
          <w:t>coloniales</w:t>
        </w:r>
        <w:r w:rsidRPr="00DF6938">
          <w:rPr>
            <w:rStyle w:val="Hipervnculo"/>
            <w:noProof/>
            <w:spacing w:val="-2"/>
          </w:rPr>
          <w:t xml:space="preserve"> </w:t>
        </w:r>
        <w:r w:rsidRPr="00DF6938">
          <w:rPr>
            <w:rStyle w:val="Hipervnculo"/>
            <w:noProof/>
          </w:rPr>
          <w:t>y</w:t>
        </w:r>
        <w:r w:rsidRPr="00DF6938">
          <w:rPr>
            <w:rStyle w:val="Hipervnculo"/>
            <w:noProof/>
            <w:spacing w:val="-2"/>
          </w:rPr>
          <w:t xml:space="preserve"> </w:t>
        </w:r>
        <w:r w:rsidRPr="00DF6938">
          <w:rPr>
            <w:rStyle w:val="Hipervnculo"/>
            <w:noProof/>
          </w:rPr>
          <w:t>las</w:t>
        </w:r>
        <w:r w:rsidRPr="00DF6938">
          <w:rPr>
            <w:rStyle w:val="Hipervnculo"/>
            <w:noProof/>
            <w:spacing w:val="-2"/>
          </w:rPr>
          <w:t xml:space="preserve"> </w:t>
        </w:r>
        <w:r w:rsidRPr="00DF6938">
          <w:rPr>
            <w:rStyle w:val="Hipervnculo"/>
            <w:noProof/>
          </w:rPr>
          <w:t>violencias</w:t>
        </w:r>
        <w:r w:rsidRPr="00DF6938">
          <w:rPr>
            <w:rStyle w:val="Hipervnculo"/>
            <w:noProof/>
            <w:spacing w:val="-2"/>
          </w:rPr>
          <w:t xml:space="preserve"> estructurales</w:t>
        </w:r>
        <w:r>
          <w:rPr>
            <w:noProof/>
            <w:webHidden/>
          </w:rPr>
          <w:tab/>
        </w:r>
        <w:r>
          <w:rPr>
            <w:noProof/>
            <w:webHidden/>
          </w:rPr>
          <w:fldChar w:fldCharType="begin"/>
        </w:r>
        <w:r>
          <w:rPr>
            <w:noProof/>
            <w:webHidden/>
          </w:rPr>
          <w:instrText xml:space="preserve"> PAGEREF _Toc112399652 \h </w:instrText>
        </w:r>
        <w:r>
          <w:rPr>
            <w:noProof/>
            <w:webHidden/>
          </w:rPr>
        </w:r>
        <w:r>
          <w:rPr>
            <w:noProof/>
            <w:webHidden/>
          </w:rPr>
          <w:fldChar w:fldCharType="separate"/>
        </w:r>
        <w:r>
          <w:rPr>
            <w:noProof/>
            <w:webHidden/>
          </w:rPr>
          <w:t>844</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53" w:history="1">
        <w:r w:rsidRPr="00DF6938">
          <w:rPr>
            <w:rStyle w:val="Hipervnculo"/>
            <w:noProof/>
          </w:rPr>
          <w:t>10.2.</w:t>
        </w:r>
        <w:r>
          <w:rPr>
            <w:rFonts w:asciiTheme="minorHAnsi" w:eastAsiaTheme="minorEastAsia" w:hAnsiTheme="minorHAnsi" w:cstheme="minorBidi"/>
            <w:noProof/>
            <w:sz w:val="22"/>
            <w:szCs w:val="22"/>
            <w:lang w:val="es-CO" w:eastAsia="es-CO"/>
          </w:rPr>
          <w:tab/>
        </w:r>
        <w:r w:rsidRPr="00DF6938">
          <w:rPr>
            <w:rStyle w:val="Hipervnculo"/>
            <w:noProof/>
          </w:rPr>
          <w:t>Hallazgos</w:t>
        </w:r>
        <w:r>
          <w:rPr>
            <w:noProof/>
            <w:webHidden/>
          </w:rPr>
          <w:tab/>
        </w:r>
        <w:r>
          <w:rPr>
            <w:noProof/>
            <w:webHidden/>
          </w:rPr>
          <w:fldChar w:fldCharType="begin"/>
        </w:r>
        <w:r>
          <w:rPr>
            <w:noProof/>
            <w:webHidden/>
          </w:rPr>
          <w:instrText xml:space="preserve"> PAGEREF _Toc112399653 \h </w:instrText>
        </w:r>
        <w:r>
          <w:rPr>
            <w:noProof/>
            <w:webHidden/>
          </w:rPr>
        </w:r>
        <w:r>
          <w:rPr>
            <w:noProof/>
            <w:webHidden/>
          </w:rPr>
          <w:fldChar w:fldCharType="separate"/>
        </w:r>
        <w:r>
          <w:rPr>
            <w:noProof/>
            <w:webHidden/>
          </w:rPr>
          <w:t>849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54" w:history="1">
        <w:r w:rsidRPr="00DF6938">
          <w:rPr>
            <w:rStyle w:val="Hipervnculo"/>
            <w:noProof/>
          </w:rPr>
          <w:t>10.3.</w:t>
        </w:r>
        <w:r>
          <w:rPr>
            <w:rFonts w:asciiTheme="minorHAnsi" w:eastAsiaTheme="minorEastAsia" w:hAnsiTheme="minorHAnsi" w:cstheme="minorBidi"/>
            <w:noProof/>
            <w:sz w:val="22"/>
            <w:szCs w:val="22"/>
            <w:lang w:val="es-CO" w:eastAsia="es-CO"/>
          </w:rPr>
          <w:tab/>
        </w:r>
        <w:r w:rsidRPr="00DF6938">
          <w:rPr>
            <w:rStyle w:val="Hipervnculo"/>
            <w:noProof/>
          </w:rPr>
          <w:t>La</w:t>
        </w:r>
        <w:r w:rsidRPr="00DF6938">
          <w:rPr>
            <w:rStyle w:val="Hipervnculo"/>
            <w:noProof/>
            <w:spacing w:val="-2"/>
          </w:rPr>
          <w:t xml:space="preserve"> </w:t>
        </w:r>
        <w:r w:rsidRPr="00DF6938">
          <w:rPr>
            <w:rStyle w:val="Hipervnculo"/>
            <w:noProof/>
          </w:rPr>
          <w:t>noción</w:t>
        </w:r>
        <w:r w:rsidRPr="00DF6938">
          <w:rPr>
            <w:rStyle w:val="Hipervnculo"/>
            <w:noProof/>
            <w:spacing w:val="-2"/>
          </w:rPr>
          <w:t xml:space="preserve"> </w:t>
        </w:r>
        <w:r w:rsidRPr="00DF6938">
          <w:rPr>
            <w:rStyle w:val="Hipervnculo"/>
            <w:noProof/>
          </w:rPr>
          <w:t>acotada</w:t>
        </w:r>
        <w:r w:rsidRPr="00DF6938">
          <w:rPr>
            <w:rStyle w:val="Hipervnculo"/>
            <w:noProof/>
            <w:spacing w:val="-1"/>
          </w:rPr>
          <w:t xml:space="preserve"> </w:t>
        </w:r>
        <w:r w:rsidRPr="00DF6938">
          <w:rPr>
            <w:rStyle w:val="Hipervnculo"/>
            <w:noProof/>
          </w:rPr>
          <w:t>que</w:t>
        </w:r>
        <w:r w:rsidRPr="00DF6938">
          <w:rPr>
            <w:rStyle w:val="Hipervnculo"/>
            <w:noProof/>
            <w:spacing w:val="-2"/>
          </w:rPr>
          <w:t xml:space="preserve"> </w:t>
        </w:r>
        <w:r w:rsidRPr="00DF6938">
          <w:rPr>
            <w:rStyle w:val="Hipervnculo"/>
            <w:noProof/>
          </w:rPr>
          <w:t>hemos</w:t>
        </w:r>
        <w:r w:rsidRPr="00DF6938">
          <w:rPr>
            <w:rStyle w:val="Hipervnculo"/>
            <w:noProof/>
            <w:spacing w:val="-1"/>
          </w:rPr>
          <w:t xml:space="preserve"> </w:t>
        </w:r>
        <w:r w:rsidRPr="00DF6938">
          <w:rPr>
            <w:rStyle w:val="Hipervnculo"/>
            <w:noProof/>
          </w:rPr>
          <w:t>construido</w:t>
        </w:r>
        <w:r w:rsidRPr="00DF6938">
          <w:rPr>
            <w:rStyle w:val="Hipervnculo"/>
            <w:noProof/>
            <w:spacing w:val="-1"/>
          </w:rPr>
          <w:t xml:space="preserve"> </w:t>
        </w:r>
        <w:r w:rsidRPr="00DF6938">
          <w:rPr>
            <w:rStyle w:val="Hipervnculo"/>
            <w:noProof/>
          </w:rPr>
          <w:t>del</w:t>
        </w:r>
        <w:r w:rsidRPr="00DF6938">
          <w:rPr>
            <w:rStyle w:val="Hipervnculo"/>
            <w:noProof/>
            <w:spacing w:val="-2"/>
          </w:rPr>
          <w:t xml:space="preserve"> </w:t>
        </w:r>
        <w:r w:rsidRPr="00DF6938">
          <w:rPr>
            <w:rStyle w:val="Hipervnculo"/>
            <w:noProof/>
          </w:rPr>
          <w:t>otro,</w:t>
        </w:r>
        <w:r w:rsidRPr="00DF6938">
          <w:rPr>
            <w:rStyle w:val="Hipervnculo"/>
            <w:noProof/>
            <w:spacing w:val="-1"/>
          </w:rPr>
          <w:t xml:space="preserve"> </w:t>
        </w:r>
        <w:r w:rsidRPr="00DF6938">
          <w:rPr>
            <w:rStyle w:val="Hipervnculo"/>
            <w:noProof/>
          </w:rPr>
          <w:t>de</w:t>
        </w:r>
        <w:r w:rsidRPr="00DF6938">
          <w:rPr>
            <w:rStyle w:val="Hipervnculo"/>
            <w:noProof/>
            <w:spacing w:val="-1"/>
          </w:rPr>
          <w:t xml:space="preserve"> </w:t>
        </w:r>
        <w:r w:rsidRPr="00DF6938">
          <w:rPr>
            <w:rStyle w:val="Hipervnculo"/>
            <w:noProof/>
          </w:rPr>
          <w:t>la</w:t>
        </w:r>
        <w:r w:rsidRPr="00DF6938">
          <w:rPr>
            <w:rStyle w:val="Hipervnculo"/>
            <w:noProof/>
            <w:spacing w:val="-1"/>
          </w:rPr>
          <w:t xml:space="preserve"> </w:t>
        </w:r>
        <w:r w:rsidRPr="00DF6938">
          <w:rPr>
            <w:rStyle w:val="Hipervnculo"/>
            <w:noProof/>
            <w:spacing w:val="-4"/>
          </w:rPr>
          <w:t>otra</w:t>
        </w:r>
        <w:r>
          <w:rPr>
            <w:noProof/>
            <w:webHidden/>
          </w:rPr>
          <w:tab/>
        </w:r>
        <w:r>
          <w:rPr>
            <w:noProof/>
            <w:webHidden/>
          </w:rPr>
          <w:fldChar w:fldCharType="begin"/>
        </w:r>
        <w:r>
          <w:rPr>
            <w:noProof/>
            <w:webHidden/>
          </w:rPr>
          <w:instrText xml:space="preserve"> PAGEREF _Toc112399654 \h </w:instrText>
        </w:r>
        <w:r>
          <w:rPr>
            <w:noProof/>
            <w:webHidden/>
          </w:rPr>
        </w:r>
        <w:r>
          <w:rPr>
            <w:noProof/>
            <w:webHidden/>
          </w:rPr>
          <w:fldChar w:fldCharType="separate"/>
        </w:r>
        <w:r>
          <w:rPr>
            <w:noProof/>
            <w:webHidden/>
          </w:rPr>
          <w:t>850</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55" w:history="1">
        <w:r w:rsidRPr="00DF6938">
          <w:rPr>
            <w:rStyle w:val="Hipervnculo"/>
            <w:noProof/>
          </w:rPr>
          <w:t>10.4.</w:t>
        </w:r>
        <w:r>
          <w:rPr>
            <w:rFonts w:asciiTheme="minorHAnsi" w:eastAsiaTheme="minorEastAsia" w:hAnsiTheme="minorHAnsi" w:cstheme="minorBidi"/>
            <w:noProof/>
            <w:sz w:val="22"/>
            <w:szCs w:val="22"/>
            <w:lang w:val="es-CO" w:eastAsia="es-CO"/>
          </w:rPr>
          <w:tab/>
        </w:r>
        <w:r w:rsidRPr="00DF6938">
          <w:rPr>
            <w:rStyle w:val="Hipervnculo"/>
            <w:noProof/>
          </w:rPr>
          <w:t>La</w:t>
        </w:r>
        <w:r w:rsidRPr="00DF6938">
          <w:rPr>
            <w:rStyle w:val="Hipervnculo"/>
            <w:noProof/>
            <w:spacing w:val="-4"/>
          </w:rPr>
          <w:t xml:space="preserve"> </w:t>
        </w:r>
        <w:r w:rsidRPr="00DF6938">
          <w:rPr>
            <w:rStyle w:val="Hipervnculo"/>
            <w:noProof/>
          </w:rPr>
          <w:t>persistencia</w:t>
        </w:r>
        <w:r w:rsidRPr="00DF6938">
          <w:rPr>
            <w:rStyle w:val="Hipervnculo"/>
            <w:noProof/>
            <w:spacing w:val="-2"/>
          </w:rPr>
          <w:t xml:space="preserve"> </w:t>
        </w:r>
        <w:r w:rsidRPr="00DF6938">
          <w:rPr>
            <w:rStyle w:val="Hipervnculo"/>
            <w:noProof/>
          </w:rPr>
          <w:t>del</w:t>
        </w:r>
        <w:r w:rsidRPr="00DF6938">
          <w:rPr>
            <w:rStyle w:val="Hipervnculo"/>
            <w:noProof/>
            <w:spacing w:val="-2"/>
          </w:rPr>
          <w:t xml:space="preserve"> </w:t>
        </w:r>
        <w:r w:rsidRPr="00DF6938">
          <w:rPr>
            <w:rStyle w:val="Hipervnculo"/>
            <w:noProof/>
          </w:rPr>
          <w:t>racismo</w:t>
        </w:r>
        <w:r>
          <w:rPr>
            <w:noProof/>
            <w:webHidden/>
          </w:rPr>
          <w:tab/>
        </w:r>
        <w:r>
          <w:rPr>
            <w:noProof/>
            <w:webHidden/>
          </w:rPr>
          <w:fldChar w:fldCharType="begin"/>
        </w:r>
        <w:r>
          <w:rPr>
            <w:noProof/>
            <w:webHidden/>
          </w:rPr>
          <w:instrText xml:space="preserve"> PAGEREF _Toc112399655 \h </w:instrText>
        </w:r>
        <w:r>
          <w:rPr>
            <w:noProof/>
            <w:webHidden/>
          </w:rPr>
        </w:r>
        <w:r>
          <w:rPr>
            <w:noProof/>
            <w:webHidden/>
          </w:rPr>
          <w:fldChar w:fldCharType="separate"/>
        </w:r>
        <w:r>
          <w:rPr>
            <w:noProof/>
            <w:webHidden/>
          </w:rPr>
          <w:t>852</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56" w:history="1">
        <w:r w:rsidRPr="00DF6938">
          <w:rPr>
            <w:rStyle w:val="Hipervnculo"/>
            <w:noProof/>
          </w:rPr>
          <w:t>10.5.</w:t>
        </w:r>
        <w:r>
          <w:rPr>
            <w:rFonts w:asciiTheme="minorHAnsi" w:eastAsiaTheme="minorEastAsia" w:hAnsiTheme="minorHAnsi" w:cstheme="minorBidi"/>
            <w:noProof/>
            <w:sz w:val="22"/>
            <w:szCs w:val="22"/>
            <w:lang w:val="es-CO" w:eastAsia="es-CO"/>
          </w:rPr>
          <w:tab/>
        </w:r>
        <w:r w:rsidRPr="00DF6938">
          <w:rPr>
            <w:rStyle w:val="Hipervnculo"/>
            <w:noProof/>
          </w:rPr>
          <w:t>La</w:t>
        </w:r>
        <w:r w:rsidRPr="00DF6938">
          <w:rPr>
            <w:rStyle w:val="Hipervnculo"/>
            <w:noProof/>
            <w:spacing w:val="-4"/>
          </w:rPr>
          <w:t xml:space="preserve"> </w:t>
        </w:r>
        <w:r w:rsidRPr="00DF6938">
          <w:rPr>
            <w:rStyle w:val="Hipervnculo"/>
            <w:noProof/>
          </w:rPr>
          <w:t>continuidad</w:t>
        </w:r>
        <w:r w:rsidRPr="00DF6938">
          <w:rPr>
            <w:rStyle w:val="Hipervnculo"/>
            <w:noProof/>
            <w:spacing w:val="-3"/>
          </w:rPr>
          <w:t xml:space="preserve"> </w:t>
        </w:r>
        <w:r w:rsidRPr="00DF6938">
          <w:rPr>
            <w:rStyle w:val="Hipervnculo"/>
            <w:noProof/>
          </w:rPr>
          <w:t>del</w:t>
        </w:r>
        <w:r w:rsidRPr="00DF6938">
          <w:rPr>
            <w:rStyle w:val="Hipervnculo"/>
            <w:noProof/>
            <w:spacing w:val="-1"/>
          </w:rPr>
          <w:t xml:space="preserve"> </w:t>
        </w:r>
        <w:r w:rsidRPr="00DF6938">
          <w:rPr>
            <w:rStyle w:val="Hipervnculo"/>
            <w:noProof/>
          </w:rPr>
          <w:t>patriarcado</w:t>
        </w:r>
        <w:r w:rsidRPr="00DF6938">
          <w:rPr>
            <w:rStyle w:val="Hipervnculo"/>
            <w:noProof/>
            <w:spacing w:val="-2"/>
          </w:rPr>
          <w:t xml:space="preserve"> </w:t>
        </w:r>
        <w:r w:rsidRPr="00DF6938">
          <w:rPr>
            <w:rStyle w:val="Hipervnculo"/>
            <w:noProof/>
          </w:rPr>
          <w:t>y</w:t>
        </w:r>
        <w:r w:rsidRPr="00DF6938">
          <w:rPr>
            <w:rStyle w:val="Hipervnculo"/>
            <w:noProof/>
            <w:spacing w:val="-2"/>
          </w:rPr>
          <w:t xml:space="preserve"> </w:t>
        </w:r>
        <w:r w:rsidRPr="00DF6938">
          <w:rPr>
            <w:rStyle w:val="Hipervnculo"/>
            <w:noProof/>
          </w:rPr>
          <w:t>la</w:t>
        </w:r>
        <w:r w:rsidRPr="00DF6938">
          <w:rPr>
            <w:rStyle w:val="Hipervnculo"/>
            <w:noProof/>
            <w:spacing w:val="-2"/>
          </w:rPr>
          <w:t xml:space="preserve"> </w:t>
        </w:r>
        <w:r w:rsidRPr="00DF6938">
          <w:rPr>
            <w:rStyle w:val="Hipervnculo"/>
            <w:noProof/>
          </w:rPr>
          <w:t>exacerbación</w:t>
        </w:r>
        <w:r w:rsidRPr="00DF6938">
          <w:rPr>
            <w:rStyle w:val="Hipervnculo"/>
            <w:noProof/>
            <w:spacing w:val="-2"/>
          </w:rPr>
          <w:t xml:space="preserve"> </w:t>
        </w:r>
        <w:r w:rsidRPr="00DF6938">
          <w:rPr>
            <w:rStyle w:val="Hipervnculo"/>
            <w:noProof/>
          </w:rPr>
          <w:t>de</w:t>
        </w:r>
        <w:r w:rsidRPr="00DF6938">
          <w:rPr>
            <w:rStyle w:val="Hipervnculo"/>
            <w:noProof/>
            <w:spacing w:val="-3"/>
          </w:rPr>
          <w:t xml:space="preserve"> </w:t>
        </w:r>
        <w:r w:rsidRPr="00DF6938">
          <w:rPr>
            <w:rStyle w:val="Hipervnculo"/>
            <w:noProof/>
          </w:rPr>
          <w:t>la</w:t>
        </w:r>
        <w:r w:rsidRPr="00DF6938">
          <w:rPr>
            <w:rStyle w:val="Hipervnculo"/>
            <w:noProof/>
            <w:spacing w:val="-1"/>
          </w:rPr>
          <w:t xml:space="preserve"> </w:t>
        </w:r>
        <w:r w:rsidRPr="00DF6938">
          <w:rPr>
            <w:rStyle w:val="Hipervnculo"/>
            <w:noProof/>
            <w:spacing w:val="-2"/>
          </w:rPr>
          <w:t>guerra</w:t>
        </w:r>
        <w:r>
          <w:rPr>
            <w:noProof/>
            <w:webHidden/>
          </w:rPr>
          <w:lastRenderedPageBreak/>
          <w:tab/>
        </w:r>
        <w:r>
          <w:rPr>
            <w:noProof/>
            <w:webHidden/>
          </w:rPr>
          <w:fldChar w:fldCharType="begin"/>
        </w:r>
        <w:r>
          <w:rPr>
            <w:noProof/>
            <w:webHidden/>
          </w:rPr>
          <w:instrText xml:space="preserve"> PAGEREF _Toc112399656 \h </w:instrText>
        </w:r>
        <w:r>
          <w:rPr>
            <w:noProof/>
            <w:webHidden/>
          </w:rPr>
        </w:r>
        <w:r>
          <w:rPr>
            <w:noProof/>
            <w:webHidden/>
          </w:rPr>
          <w:fldChar w:fldCharType="separate"/>
        </w:r>
        <w:r>
          <w:rPr>
            <w:noProof/>
            <w:webHidden/>
          </w:rPr>
          <w:t>867</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57" w:history="1">
        <w:r w:rsidRPr="00DF6938">
          <w:rPr>
            <w:rStyle w:val="Hipervnculo"/>
            <w:noProof/>
          </w:rPr>
          <w:t>10.6.</w:t>
        </w:r>
        <w:r>
          <w:rPr>
            <w:rFonts w:asciiTheme="minorHAnsi" w:eastAsiaTheme="minorEastAsia" w:hAnsiTheme="minorHAnsi" w:cstheme="minorBidi"/>
            <w:noProof/>
            <w:sz w:val="22"/>
            <w:szCs w:val="22"/>
            <w:lang w:val="es-CO" w:eastAsia="es-CO"/>
          </w:rPr>
          <w:tab/>
        </w:r>
        <w:r w:rsidRPr="00DF6938">
          <w:rPr>
            <w:rStyle w:val="Hipervnculo"/>
            <w:noProof/>
          </w:rPr>
          <w:t>La</w:t>
        </w:r>
        <w:r w:rsidRPr="00DF6938">
          <w:rPr>
            <w:rStyle w:val="Hipervnculo"/>
            <w:noProof/>
            <w:spacing w:val="-2"/>
          </w:rPr>
          <w:t xml:space="preserve"> </w:t>
        </w:r>
        <w:r w:rsidRPr="00DF6938">
          <w:rPr>
            <w:rStyle w:val="Hipervnculo"/>
            <w:noProof/>
          </w:rPr>
          <w:t>desprotección</w:t>
        </w:r>
        <w:r w:rsidRPr="00DF6938">
          <w:rPr>
            <w:rStyle w:val="Hipervnculo"/>
            <w:noProof/>
            <w:spacing w:val="-2"/>
          </w:rPr>
          <w:t xml:space="preserve"> </w:t>
        </w:r>
        <w:r w:rsidRPr="00DF6938">
          <w:rPr>
            <w:rStyle w:val="Hipervnculo"/>
            <w:noProof/>
          </w:rPr>
          <w:t>a</w:t>
        </w:r>
        <w:r w:rsidRPr="00DF6938">
          <w:rPr>
            <w:rStyle w:val="Hipervnculo"/>
            <w:noProof/>
            <w:spacing w:val="-1"/>
          </w:rPr>
          <w:t xml:space="preserve"> </w:t>
        </w:r>
        <w:r w:rsidRPr="00DF6938">
          <w:rPr>
            <w:rStyle w:val="Hipervnculo"/>
            <w:noProof/>
          </w:rPr>
          <w:t>niños,</w:t>
        </w:r>
        <w:r w:rsidRPr="00DF6938">
          <w:rPr>
            <w:rStyle w:val="Hipervnculo"/>
            <w:noProof/>
            <w:spacing w:val="-2"/>
          </w:rPr>
          <w:t xml:space="preserve"> </w:t>
        </w:r>
        <w:r w:rsidRPr="00DF6938">
          <w:rPr>
            <w:rStyle w:val="Hipervnculo"/>
            <w:noProof/>
          </w:rPr>
          <w:t>niñas</w:t>
        </w:r>
        <w:r w:rsidRPr="00DF6938">
          <w:rPr>
            <w:rStyle w:val="Hipervnculo"/>
            <w:noProof/>
            <w:spacing w:val="-1"/>
          </w:rPr>
          <w:t xml:space="preserve"> </w:t>
        </w:r>
        <w:r w:rsidRPr="00DF6938">
          <w:rPr>
            <w:rStyle w:val="Hipervnculo"/>
            <w:noProof/>
          </w:rPr>
          <w:t>y</w:t>
        </w:r>
        <w:r w:rsidRPr="00DF6938">
          <w:rPr>
            <w:rStyle w:val="Hipervnculo"/>
            <w:noProof/>
            <w:spacing w:val="-1"/>
          </w:rPr>
          <w:t xml:space="preserve"> </w:t>
        </w:r>
        <w:r w:rsidRPr="00DF6938">
          <w:rPr>
            <w:rStyle w:val="Hipervnculo"/>
            <w:noProof/>
          </w:rPr>
          <w:t>jóvenes</w:t>
        </w:r>
        <w:r>
          <w:rPr>
            <w:noProof/>
            <w:webHidden/>
          </w:rPr>
          <w:tab/>
        </w:r>
        <w:r>
          <w:rPr>
            <w:noProof/>
            <w:webHidden/>
          </w:rPr>
          <w:fldChar w:fldCharType="begin"/>
        </w:r>
        <w:r>
          <w:rPr>
            <w:noProof/>
            <w:webHidden/>
          </w:rPr>
          <w:instrText xml:space="preserve"> PAGEREF _Toc112399657 \h </w:instrText>
        </w:r>
        <w:r>
          <w:rPr>
            <w:noProof/>
            <w:webHidden/>
          </w:rPr>
        </w:r>
        <w:r>
          <w:rPr>
            <w:noProof/>
            <w:webHidden/>
          </w:rPr>
          <w:fldChar w:fldCharType="separate"/>
        </w:r>
        <w:r>
          <w:rPr>
            <w:noProof/>
            <w:webHidden/>
          </w:rPr>
          <w:t>876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58" w:history="1">
        <w:r w:rsidRPr="00DF6938">
          <w:rPr>
            <w:rStyle w:val="Hipervnculo"/>
            <w:noProof/>
          </w:rPr>
          <w:t>10.7.</w:t>
        </w:r>
        <w:r>
          <w:rPr>
            <w:rFonts w:asciiTheme="minorHAnsi" w:eastAsiaTheme="minorEastAsia" w:hAnsiTheme="minorHAnsi" w:cstheme="minorBidi"/>
            <w:noProof/>
            <w:sz w:val="22"/>
            <w:szCs w:val="22"/>
            <w:lang w:val="es-CO" w:eastAsia="es-CO"/>
          </w:rPr>
          <w:tab/>
        </w:r>
        <w:r w:rsidRPr="00DF6938">
          <w:rPr>
            <w:rStyle w:val="Hipervnculo"/>
            <w:noProof/>
          </w:rPr>
          <w:t>La inscripción de la doctrina del enemigo interno, la estigmatización y el exterminio del adversario</w:t>
        </w:r>
        <w:r>
          <w:rPr>
            <w:noProof/>
            <w:webHidden/>
          </w:rPr>
          <w:tab/>
        </w:r>
        <w:r>
          <w:rPr>
            <w:noProof/>
            <w:webHidden/>
          </w:rPr>
          <w:fldChar w:fldCharType="begin"/>
        </w:r>
        <w:r>
          <w:rPr>
            <w:noProof/>
            <w:webHidden/>
          </w:rPr>
          <w:instrText xml:space="preserve"> PAGEREF _Toc112399658 \h </w:instrText>
        </w:r>
        <w:r>
          <w:rPr>
            <w:noProof/>
            <w:webHidden/>
          </w:rPr>
        </w:r>
        <w:r>
          <w:rPr>
            <w:noProof/>
            <w:webHidden/>
          </w:rPr>
          <w:fldChar w:fldCharType="separate"/>
        </w:r>
        <w:r>
          <w:rPr>
            <w:noProof/>
            <w:webHidden/>
          </w:rPr>
          <w:t>880</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59" w:history="1">
        <w:r w:rsidRPr="00DF6938">
          <w:rPr>
            <w:rStyle w:val="Hipervnculo"/>
            <w:noProof/>
          </w:rPr>
          <w:t>10.8.</w:t>
        </w:r>
        <w:r>
          <w:rPr>
            <w:rFonts w:asciiTheme="minorHAnsi" w:eastAsiaTheme="minorEastAsia" w:hAnsiTheme="minorHAnsi" w:cstheme="minorBidi"/>
            <w:noProof/>
            <w:sz w:val="22"/>
            <w:szCs w:val="22"/>
            <w:lang w:val="es-CO" w:eastAsia="es-CO"/>
          </w:rPr>
          <w:tab/>
        </w:r>
        <w:r w:rsidRPr="00DF6938">
          <w:rPr>
            <w:rStyle w:val="Hipervnculo"/>
            <w:noProof/>
          </w:rPr>
          <w:t xml:space="preserve">La persistencia del conflicto armado interno contribuye a la naturalización de la </w:t>
        </w:r>
        <w:r w:rsidRPr="00DF6938">
          <w:rPr>
            <w:rStyle w:val="Hipervnculo"/>
            <w:noProof/>
            <w:spacing w:val="-2"/>
          </w:rPr>
          <w:t>violencia</w:t>
        </w:r>
        <w:r>
          <w:rPr>
            <w:noProof/>
            <w:webHidden/>
          </w:rPr>
          <w:tab/>
        </w:r>
        <w:r>
          <w:rPr>
            <w:noProof/>
            <w:webHidden/>
          </w:rPr>
          <w:fldChar w:fldCharType="begin"/>
        </w:r>
        <w:r>
          <w:rPr>
            <w:noProof/>
            <w:webHidden/>
          </w:rPr>
          <w:instrText xml:space="preserve"> PAGEREF _Toc112399659 \h </w:instrText>
        </w:r>
        <w:r>
          <w:rPr>
            <w:noProof/>
            <w:webHidden/>
          </w:rPr>
        </w:r>
        <w:r>
          <w:rPr>
            <w:noProof/>
            <w:webHidden/>
          </w:rPr>
          <w:fldChar w:fldCharType="separate"/>
        </w:r>
        <w:r>
          <w:rPr>
            <w:noProof/>
            <w:webHidden/>
          </w:rPr>
          <w:t>883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60" w:history="1">
        <w:r w:rsidRPr="00DF6938">
          <w:rPr>
            <w:rStyle w:val="Hipervnculo"/>
            <w:noProof/>
          </w:rPr>
          <w:t>10.9.</w:t>
        </w:r>
        <w:r>
          <w:rPr>
            <w:rFonts w:asciiTheme="minorHAnsi" w:eastAsiaTheme="minorEastAsia" w:hAnsiTheme="minorHAnsi" w:cstheme="minorBidi"/>
            <w:noProof/>
            <w:sz w:val="22"/>
            <w:szCs w:val="22"/>
            <w:lang w:val="es-CO" w:eastAsia="es-CO"/>
          </w:rPr>
          <w:tab/>
        </w:r>
        <w:r w:rsidRPr="00DF6938">
          <w:rPr>
            <w:rStyle w:val="Hipervnculo"/>
            <w:noProof/>
          </w:rPr>
          <w:t>El</w:t>
        </w:r>
        <w:r w:rsidRPr="00DF6938">
          <w:rPr>
            <w:rStyle w:val="Hipervnculo"/>
            <w:noProof/>
            <w:spacing w:val="-2"/>
          </w:rPr>
          <w:t xml:space="preserve"> </w:t>
        </w:r>
        <w:r w:rsidRPr="00DF6938">
          <w:rPr>
            <w:rStyle w:val="Hipervnculo"/>
            <w:noProof/>
          </w:rPr>
          <w:t>despojo</w:t>
        </w:r>
        <w:r w:rsidRPr="00DF6938">
          <w:rPr>
            <w:rStyle w:val="Hipervnculo"/>
            <w:noProof/>
            <w:spacing w:val="-1"/>
          </w:rPr>
          <w:t xml:space="preserve"> </w:t>
        </w:r>
        <w:r w:rsidRPr="00DF6938">
          <w:rPr>
            <w:rStyle w:val="Hipervnculo"/>
            <w:noProof/>
          </w:rPr>
          <w:t>del</w:t>
        </w:r>
        <w:r w:rsidRPr="00DF6938">
          <w:rPr>
            <w:rStyle w:val="Hipervnculo"/>
            <w:noProof/>
            <w:spacing w:val="-2"/>
          </w:rPr>
          <w:t xml:space="preserve"> </w:t>
        </w:r>
        <w:r w:rsidRPr="00DF6938">
          <w:rPr>
            <w:rStyle w:val="Hipervnculo"/>
            <w:noProof/>
          </w:rPr>
          <w:t>territorio</w:t>
        </w:r>
        <w:r w:rsidRPr="00DF6938">
          <w:rPr>
            <w:rStyle w:val="Hipervnculo"/>
            <w:noProof/>
            <w:spacing w:val="-2"/>
          </w:rPr>
          <w:t xml:space="preserve"> </w:t>
        </w:r>
        <w:r w:rsidRPr="00DF6938">
          <w:rPr>
            <w:rStyle w:val="Hipervnculo"/>
            <w:noProof/>
          </w:rPr>
          <w:t>es</w:t>
        </w:r>
        <w:r w:rsidRPr="00DF6938">
          <w:rPr>
            <w:rStyle w:val="Hipervnculo"/>
            <w:noProof/>
            <w:spacing w:val="-2"/>
          </w:rPr>
          <w:t xml:space="preserve"> </w:t>
        </w:r>
        <w:r w:rsidRPr="00DF6938">
          <w:rPr>
            <w:rStyle w:val="Hipervnculo"/>
            <w:noProof/>
          </w:rPr>
          <w:t>la</w:t>
        </w:r>
        <w:r w:rsidRPr="00DF6938">
          <w:rPr>
            <w:rStyle w:val="Hipervnculo"/>
            <w:noProof/>
            <w:spacing w:val="-3"/>
          </w:rPr>
          <w:t xml:space="preserve"> </w:t>
        </w:r>
        <w:r w:rsidRPr="00DF6938">
          <w:rPr>
            <w:rStyle w:val="Hipervnculo"/>
            <w:noProof/>
          </w:rPr>
          <w:t>destrucción</w:t>
        </w:r>
        <w:r w:rsidRPr="00DF6938">
          <w:rPr>
            <w:rStyle w:val="Hipervnculo"/>
            <w:noProof/>
            <w:spacing w:val="-3"/>
          </w:rPr>
          <w:t xml:space="preserve"> </w:t>
        </w:r>
        <w:r w:rsidRPr="00DF6938">
          <w:rPr>
            <w:rStyle w:val="Hipervnculo"/>
            <w:noProof/>
          </w:rPr>
          <w:t>de</w:t>
        </w:r>
        <w:r w:rsidRPr="00DF6938">
          <w:rPr>
            <w:rStyle w:val="Hipervnculo"/>
            <w:noProof/>
            <w:spacing w:val="-1"/>
          </w:rPr>
          <w:t xml:space="preserve"> </w:t>
        </w:r>
        <w:r w:rsidRPr="00DF6938">
          <w:rPr>
            <w:rStyle w:val="Hipervnculo"/>
            <w:noProof/>
          </w:rPr>
          <w:t>las</w:t>
        </w:r>
        <w:r w:rsidRPr="00DF6938">
          <w:rPr>
            <w:rStyle w:val="Hipervnculo"/>
            <w:noProof/>
            <w:spacing w:val="-1"/>
          </w:rPr>
          <w:t xml:space="preserve"> </w:t>
        </w:r>
        <w:r w:rsidRPr="00DF6938">
          <w:rPr>
            <w:rStyle w:val="Hipervnculo"/>
            <w:noProof/>
            <w:spacing w:val="-2"/>
          </w:rPr>
          <w:t>culturas</w:t>
        </w:r>
        <w:r>
          <w:rPr>
            <w:noProof/>
            <w:webHidden/>
          </w:rPr>
          <w:tab/>
        </w:r>
        <w:r>
          <w:rPr>
            <w:noProof/>
            <w:webHidden/>
          </w:rPr>
          <w:fldChar w:fldCharType="begin"/>
        </w:r>
        <w:r>
          <w:rPr>
            <w:noProof/>
            <w:webHidden/>
          </w:rPr>
          <w:instrText xml:space="preserve"> PAGEREF _Toc112399660 \h </w:instrText>
        </w:r>
        <w:r>
          <w:rPr>
            <w:noProof/>
            <w:webHidden/>
          </w:rPr>
        </w:r>
        <w:r>
          <w:rPr>
            <w:noProof/>
            <w:webHidden/>
          </w:rPr>
          <w:fldChar w:fldCharType="separate"/>
        </w:r>
        <w:r>
          <w:rPr>
            <w:noProof/>
            <w:webHidden/>
          </w:rPr>
          <w:t>886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61" w:history="1">
        <w:r w:rsidRPr="00DF6938">
          <w:rPr>
            <w:rStyle w:val="Hipervnculo"/>
            <w:noProof/>
          </w:rPr>
          <w:t>10.10.</w:t>
        </w:r>
        <w:r>
          <w:rPr>
            <w:rFonts w:asciiTheme="minorHAnsi" w:eastAsiaTheme="minorEastAsia" w:hAnsiTheme="minorHAnsi" w:cstheme="minorBidi"/>
            <w:noProof/>
            <w:sz w:val="22"/>
            <w:szCs w:val="22"/>
            <w:lang w:val="es-CO" w:eastAsia="es-CO"/>
          </w:rPr>
          <w:tab/>
        </w:r>
        <w:r w:rsidRPr="00DF6938">
          <w:rPr>
            <w:rStyle w:val="Hipervnculo"/>
            <w:noProof/>
          </w:rPr>
          <w:t>Una</w:t>
        </w:r>
        <w:r w:rsidRPr="00DF6938">
          <w:rPr>
            <w:rStyle w:val="Hipervnculo"/>
            <w:noProof/>
            <w:spacing w:val="-10"/>
          </w:rPr>
          <w:t xml:space="preserve"> </w:t>
        </w:r>
        <w:r w:rsidRPr="00DF6938">
          <w:rPr>
            <w:rStyle w:val="Hipervnculo"/>
            <w:noProof/>
          </w:rPr>
          <w:t>democracia</w:t>
        </w:r>
        <w:r w:rsidRPr="00DF6938">
          <w:rPr>
            <w:rStyle w:val="Hipervnculo"/>
            <w:noProof/>
            <w:spacing w:val="-9"/>
          </w:rPr>
          <w:t xml:space="preserve"> </w:t>
        </w:r>
        <w:r w:rsidRPr="00DF6938">
          <w:rPr>
            <w:rStyle w:val="Hipervnculo"/>
            <w:noProof/>
          </w:rPr>
          <w:t>y</w:t>
        </w:r>
        <w:r w:rsidRPr="00DF6938">
          <w:rPr>
            <w:rStyle w:val="Hipervnculo"/>
            <w:noProof/>
            <w:spacing w:val="-11"/>
          </w:rPr>
          <w:t xml:space="preserve"> </w:t>
        </w:r>
        <w:r w:rsidRPr="00DF6938">
          <w:rPr>
            <w:rStyle w:val="Hipervnculo"/>
            <w:noProof/>
          </w:rPr>
          <w:t>una</w:t>
        </w:r>
        <w:r w:rsidRPr="00DF6938">
          <w:rPr>
            <w:rStyle w:val="Hipervnculo"/>
            <w:noProof/>
            <w:spacing w:val="-10"/>
          </w:rPr>
          <w:t xml:space="preserve"> </w:t>
        </w:r>
        <w:r w:rsidRPr="00DF6938">
          <w:rPr>
            <w:rStyle w:val="Hipervnculo"/>
            <w:noProof/>
          </w:rPr>
          <w:t>justicia</w:t>
        </w:r>
        <w:r w:rsidRPr="00DF6938">
          <w:rPr>
            <w:rStyle w:val="Hipervnculo"/>
            <w:noProof/>
            <w:spacing w:val="-9"/>
          </w:rPr>
          <w:t xml:space="preserve"> </w:t>
        </w:r>
        <w:r w:rsidRPr="00DF6938">
          <w:rPr>
            <w:rStyle w:val="Hipervnculo"/>
            <w:noProof/>
          </w:rPr>
          <w:t>de</w:t>
        </w:r>
        <w:r w:rsidRPr="00DF6938">
          <w:rPr>
            <w:rStyle w:val="Hipervnculo"/>
            <w:noProof/>
            <w:spacing w:val="-9"/>
          </w:rPr>
          <w:t xml:space="preserve"> </w:t>
        </w:r>
        <w:r w:rsidRPr="00DF6938">
          <w:rPr>
            <w:rStyle w:val="Hipervnculo"/>
            <w:noProof/>
          </w:rPr>
          <w:t>baja</w:t>
        </w:r>
        <w:r w:rsidRPr="00DF6938">
          <w:rPr>
            <w:rStyle w:val="Hipervnculo"/>
            <w:noProof/>
            <w:spacing w:val="-11"/>
          </w:rPr>
          <w:t xml:space="preserve"> </w:t>
        </w:r>
        <w:r w:rsidRPr="00DF6938">
          <w:rPr>
            <w:rStyle w:val="Hipervnculo"/>
            <w:noProof/>
          </w:rPr>
          <w:t>intensidad</w:t>
        </w:r>
        <w:r w:rsidRPr="00DF6938">
          <w:rPr>
            <w:rStyle w:val="Hipervnculo"/>
            <w:noProof/>
            <w:spacing w:val="-10"/>
          </w:rPr>
          <w:t xml:space="preserve"> </w:t>
        </w:r>
        <w:r w:rsidRPr="00DF6938">
          <w:rPr>
            <w:rStyle w:val="Hipervnculo"/>
            <w:noProof/>
          </w:rPr>
          <w:t>que</w:t>
        </w:r>
        <w:r w:rsidRPr="00DF6938">
          <w:rPr>
            <w:rStyle w:val="Hipervnculo"/>
            <w:noProof/>
            <w:spacing w:val="-9"/>
          </w:rPr>
          <w:t xml:space="preserve"> </w:t>
        </w:r>
        <w:r w:rsidRPr="00DF6938">
          <w:rPr>
            <w:rStyle w:val="Hipervnculo"/>
            <w:noProof/>
          </w:rPr>
          <w:t>conducen</w:t>
        </w:r>
        <w:r w:rsidRPr="00DF6938">
          <w:rPr>
            <w:rStyle w:val="Hipervnculo"/>
            <w:noProof/>
            <w:spacing w:val="-11"/>
          </w:rPr>
          <w:t xml:space="preserve"> </w:t>
        </w:r>
        <w:r w:rsidRPr="00DF6938">
          <w:rPr>
            <w:rStyle w:val="Hipervnculo"/>
            <w:noProof/>
          </w:rPr>
          <w:t>a</w:t>
        </w:r>
        <w:r w:rsidRPr="00DF6938">
          <w:rPr>
            <w:rStyle w:val="Hipervnculo"/>
            <w:noProof/>
            <w:spacing w:val="-9"/>
          </w:rPr>
          <w:t xml:space="preserve"> </w:t>
        </w:r>
        <w:r w:rsidRPr="00DF6938">
          <w:rPr>
            <w:rStyle w:val="Hipervnculo"/>
            <w:noProof/>
          </w:rPr>
          <w:t>la</w:t>
        </w:r>
        <w:r w:rsidRPr="00DF6938">
          <w:rPr>
            <w:rStyle w:val="Hipervnculo"/>
            <w:noProof/>
            <w:spacing w:val="-9"/>
          </w:rPr>
          <w:t xml:space="preserve"> </w:t>
        </w:r>
        <w:r w:rsidRPr="00DF6938">
          <w:rPr>
            <w:rStyle w:val="Hipervnculo"/>
            <w:noProof/>
          </w:rPr>
          <w:t>desconfianza y a la ilegalidad</w:t>
        </w:r>
        <w:r>
          <w:rPr>
            <w:noProof/>
            <w:webHidden/>
          </w:rPr>
          <w:tab/>
        </w:r>
        <w:r>
          <w:rPr>
            <w:noProof/>
            <w:webHidden/>
          </w:rPr>
          <w:fldChar w:fldCharType="begin"/>
        </w:r>
        <w:r>
          <w:rPr>
            <w:noProof/>
            <w:webHidden/>
          </w:rPr>
          <w:instrText xml:space="preserve"> PAGEREF _Toc112399661 \h </w:instrText>
        </w:r>
        <w:r>
          <w:rPr>
            <w:noProof/>
            <w:webHidden/>
          </w:rPr>
        </w:r>
        <w:r>
          <w:rPr>
            <w:noProof/>
            <w:webHidden/>
          </w:rPr>
          <w:fldChar w:fldCharType="separate"/>
        </w:r>
        <w:r>
          <w:rPr>
            <w:noProof/>
            <w:webHidden/>
          </w:rPr>
          <w:t>889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62" w:history="1">
        <w:r w:rsidRPr="00DF6938">
          <w:rPr>
            <w:rStyle w:val="Hipervnculo"/>
            <w:noProof/>
          </w:rPr>
          <w:t>10.11.</w:t>
        </w:r>
        <w:r>
          <w:rPr>
            <w:rFonts w:asciiTheme="minorHAnsi" w:eastAsiaTheme="minorEastAsia" w:hAnsiTheme="minorHAnsi" w:cstheme="minorBidi"/>
            <w:noProof/>
            <w:sz w:val="22"/>
            <w:szCs w:val="22"/>
            <w:lang w:val="es-CO" w:eastAsia="es-CO"/>
          </w:rPr>
          <w:tab/>
        </w:r>
        <w:r w:rsidRPr="00DF6938">
          <w:rPr>
            <w:rStyle w:val="Hipervnculo"/>
            <w:noProof/>
          </w:rPr>
          <w:t>Los</w:t>
        </w:r>
        <w:r w:rsidRPr="00DF6938">
          <w:rPr>
            <w:rStyle w:val="Hipervnculo"/>
            <w:noProof/>
            <w:spacing w:val="-7"/>
          </w:rPr>
          <w:t xml:space="preserve"> </w:t>
        </w:r>
        <w:r w:rsidRPr="00DF6938">
          <w:rPr>
            <w:rStyle w:val="Hipervnculo"/>
            <w:noProof/>
          </w:rPr>
          <w:t>daños</w:t>
        </w:r>
        <w:r w:rsidRPr="00DF6938">
          <w:rPr>
            <w:rStyle w:val="Hipervnculo"/>
            <w:noProof/>
            <w:spacing w:val="-7"/>
          </w:rPr>
          <w:t xml:space="preserve"> </w:t>
        </w:r>
        <w:r w:rsidRPr="00DF6938">
          <w:rPr>
            <w:rStyle w:val="Hipervnculo"/>
            <w:noProof/>
          </w:rPr>
          <w:t>culturales</w:t>
        </w:r>
        <w:r w:rsidRPr="00DF6938">
          <w:rPr>
            <w:rStyle w:val="Hipervnculo"/>
            <w:noProof/>
            <w:spacing w:val="-7"/>
          </w:rPr>
          <w:t xml:space="preserve"> </w:t>
        </w:r>
        <w:r w:rsidRPr="00DF6938">
          <w:rPr>
            <w:rStyle w:val="Hipervnculo"/>
            <w:noProof/>
          </w:rPr>
          <w:t>que</w:t>
        </w:r>
        <w:r w:rsidRPr="00DF6938">
          <w:rPr>
            <w:rStyle w:val="Hipervnculo"/>
            <w:noProof/>
            <w:spacing w:val="-7"/>
          </w:rPr>
          <w:t xml:space="preserve"> </w:t>
        </w:r>
        <w:r w:rsidRPr="00DF6938">
          <w:rPr>
            <w:rStyle w:val="Hipervnculo"/>
            <w:noProof/>
          </w:rPr>
          <w:t>profundizaron</w:t>
        </w:r>
        <w:r w:rsidRPr="00DF6938">
          <w:rPr>
            <w:rStyle w:val="Hipervnculo"/>
            <w:noProof/>
            <w:spacing w:val="-7"/>
          </w:rPr>
          <w:t xml:space="preserve"> </w:t>
        </w:r>
        <w:r w:rsidRPr="00DF6938">
          <w:rPr>
            <w:rStyle w:val="Hipervnculo"/>
            <w:noProof/>
          </w:rPr>
          <w:t>las</w:t>
        </w:r>
        <w:r w:rsidRPr="00DF6938">
          <w:rPr>
            <w:rStyle w:val="Hipervnculo"/>
            <w:noProof/>
            <w:spacing w:val="-6"/>
          </w:rPr>
          <w:t xml:space="preserve"> </w:t>
        </w:r>
        <w:r w:rsidRPr="00DF6938">
          <w:rPr>
            <w:rStyle w:val="Hipervnculo"/>
            <w:noProof/>
          </w:rPr>
          <w:t>insurgencias,</w:t>
        </w:r>
        <w:r w:rsidRPr="00DF6938">
          <w:rPr>
            <w:rStyle w:val="Hipervnculo"/>
            <w:noProof/>
            <w:spacing w:val="-7"/>
          </w:rPr>
          <w:t xml:space="preserve"> </w:t>
        </w:r>
        <w:r w:rsidRPr="00DF6938">
          <w:rPr>
            <w:rStyle w:val="Hipervnculo"/>
            <w:noProof/>
          </w:rPr>
          <w:t>el</w:t>
        </w:r>
        <w:r w:rsidRPr="00DF6938">
          <w:rPr>
            <w:rStyle w:val="Hipervnculo"/>
            <w:noProof/>
            <w:spacing w:val="-6"/>
          </w:rPr>
          <w:t xml:space="preserve"> </w:t>
        </w:r>
        <w:r w:rsidRPr="00DF6938">
          <w:rPr>
            <w:rStyle w:val="Hipervnculo"/>
            <w:noProof/>
          </w:rPr>
          <w:t>paramilitarismo</w:t>
        </w:r>
        <w:r w:rsidRPr="00DF6938">
          <w:rPr>
            <w:rStyle w:val="Hipervnculo"/>
            <w:noProof/>
            <w:spacing w:val="-7"/>
          </w:rPr>
          <w:t xml:space="preserve"> </w:t>
        </w:r>
        <w:r w:rsidRPr="00DF6938">
          <w:rPr>
            <w:rStyle w:val="Hipervnculo"/>
            <w:noProof/>
          </w:rPr>
          <w:t>y</w:t>
        </w:r>
        <w:r w:rsidRPr="00DF6938">
          <w:rPr>
            <w:rStyle w:val="Hipervnculo"/>
            <w:noProof/>
            <w:spacing w:val="-7"/>
          </w:rPr>
          <w:t xml:space="preserve"> </w:t>
        </w:r>
        <w:r w:rsidRPr="00DF6938">
          <w:rPr>
            <w:rStyle w:val="Hipervnculo"/>
            <w:noProof/>
          </w:rPr>
          <w:t xml:space="preserve">el </w:t>
        </w:r>
        <w:r w:rsidRPr="00DF6938">
          <w:rPr>
            <w:rStyle w:val="Hipervnculo"/>
            <w:noProof/>
            <w:spacing w:val="-2"/>
          </w:rPr>
          <w:t>narcotráfico</w:t>
        </w:r>
        <w:r>
          <w:rPr>
            <w:noProof/>
            <w:webHidden/>
          </w:rPr>
          <w:tab/>
        </w:r>
        <w:r>
          <w:rPr>
            <w:noProof/>
            <w:webHidden/>
          </w:rPr>
          <w:fldChar w:fldCharType="begin"/>
        </w:r>
        <w:r>
          <w:rPr>
            <w:noProof/>
            <w:webHidden/>
          </w:rPr>
          <w:instrText xml:space="preserve"> PAGEREF _Toc112399662 \h </w:instrText>
        </w:r>
        <w:r>
          <w:rPr>
            <w:noProof/>
            <w:webHidden/>
          </w:rPr>
        </w:r>
        <w:r>
          <w:rPr>
            <w:noProof/>
            <w:webHidden/>
          </w:rPr>
          <w:fldChar w:fldCharType="separate"/>
        </w:r>
        <w:r>
          <w:rPr>
            <w:noProof/>
            <w:webHidden/>
          </w:rPr>
          <w:t>892</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63" w:history="1">
        <w:r w:rsidRPr="00DF6938">
          <w:rPr>
            <w:rStyle w:val="Hipervnculo"/>
            <w:noProof/>
          </w:rPr>
          <w:t>10.12.</w:t>
        </w:r>
        <w:r>
          <w:rPr>
            <w:rFonts w:asciiTheme="minorHAnsi" w:eastAsiaTheme="minorEastAsia" w:hAnsiTheme="minorHAnsi" w:cstheme="minorBidi"/>
            <w:noProof/>
            <w:sz w:val="22"/>
            <w:szCs w:val="22"/>
            <w:lang w:val="es-CO" w:eastAsia="es-CO"/>
          </w:rPr>
          <w:tab/>
        </w:r>
        <w:r w:rsidRPr="00DF6938">
          <w:rPr>
            <w:rStyle w:val="Hipervnculo"/>
            <w:noProof/>
          </w:rPr>
          <w:t>Las</w:t>
        </w:r>
        <w:r w:rsidRPr="00DF6938">
          <w:rPr>
            <w:rStyle w:val="Hipervnculo"/>
            <w:noProof/>
            <w:spacing w:val="-4"/>
          </w:rPr>
          <w:t xml:space="preserve"> </w:t>
        </w:r>
        <w:r w:rsidRPr="00DF6938">
          <w:rPr>
            <w:rStyle w:val="Hipervnculo"/>
            <w:noProof/>
          </w:rPr>
          <w:t>respuestas</w:t>
        </w:r>
        <w:r w:rsidRPr="00DF6938">
          <w:rPr>
            <w:rStyle w:val="Hipervnculo"/>
            <w:noProof/>
            <w:spacing w:val="-3"/>
          </w:rPr>
          <w:t xml:space="preserve"> </w:t>
        </w:r>
        <w:r w:rsidRPr="00DF6938">
          <w:rPr>
            <w:rStyle w:val="Hipervnculo"/>
            <w:noProof/>
          </w:rPr>
          <w:t>culturales</w:t>
        </w:r>
        <w:r w:rsidRPr="00DF6938">
          <w:rPr>
            <w:rStyle w:val="Hipervnculo"/>
            <w:noProof/>
            <w:spacing w:val="-2"/>
          </w:rPr>
          <w:t xml:space="preserve"> </w:t>
        </w:r>
        <w:r w:rsidRPr="00DF6938">
          <w:rPr>
            <w:rStyle w:val="Hipervnculo"/>
            <w:noProof/>
          </w:rPr>
          <w:t>al</w:t>
        </w:r>
        <w:r w:rsidRPr="00DF6938">
          <w:rPr>
            <w:rStyle w:val="Hipervnculo"/>
            <w:noProof/>
            <w:spacing w:val="-2"/>
          </w:rPr>
          <w:t xml:space="preserve"> </w:t>
        </w:r>
        <w:r w:rsidRPr="00DF6938">
          <w:rPr>
            <w:rStyle w:val="Hipervnculo"/>
            <w:noProof/>
          </w:rPr>
          <w:t>conflicto</w:t>
        </w:r>
        <w:r w:rsidRPr="00DF6938">
          <w:rPr>
            <w:rStyle w:val="Hipervnculo"/>
            <w:noProof/>
            <w:spacing w:val="-2"/>
          </w:rPr>
          <w:t xml:space="preserve"> </w:t>
        </w:r>
        <w:r w:rsidRPr="00DF6938">
          <w:rPr>
            <w:rStyle w:val="Hipervnculo"/>
            <w:noProof/>
          </w:rPr>
          <w:t>armado</w:t>
        </w:r>
        <w:r w:rsidRPr="00DF6938">
          <w:rPr>
            <w:rStyle w:val="Hipervnculo"/>
            <w:noProof/>
            <w:spacing w:val="-2"/>
          </w:rPr>
          <w:t xml:space="preserve"> interno</w:t>
        </w:r>
        <w:r>
          <w:rPr>
            <w:noProof/>
            <w:webHidden/>
          </w:rPr>
          <w:tab/>
        </w:r>
        <w:r>
          <w:rPr>
            <w:noProof/>
            <w:webHidden/>
          </w:rPr>
          <w:fldChar w:fldCharType="begin"/>
        </w:r>
        <w:r>
          <w:rPr>
            <w:noProof/>
            <w:webHidden/>
          </w:rPr>
          <w:instrText xml:space="preserve"> PAGEREF _Toc112399663 \h </w:instrText>
        </w:r>
        <w:r>
          <w:rPr>
            <w:noProof/>
            <w:webHidden/>
          </w:rPr>
        </w:r>
        <w:r>
          <w:rPr>
            <w:noProof/>
            <w:webHidden/>
          </w:rPr>
          <w:fldChar w:fldCharType="separate"/>
        </w:r>
        <w:r>
          <w:rPr>
            <w:noProof/>
            <w:webHidden/>
          </w:rPr>
          <w:t>896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64" w:history="1">
        <w:r w:rsidRPr="00DF6938">
          <w:rPr>
            <w:rStyle w:val="Hipervnculo"/>
            <w:noProof/>
          </w:rPr>
          <w:t>10.13.</w:t>
        </w:r>
        <w:r>
          <w:rPr>
            <w:rFonts w:asciiTheme="minorHAnsi" w:eastAsiaTheme="minorEastAsia" w:hAnsiTheme="minorHAnsi" w:cstheme="minorBidi"/>
            <w:noProof/>
            <w:sz w:val="22"/>
            <w:szCs w:val="22"/>
            <w:lang w:val="es-CO" w:eastAsia="es-CO"/>
          </w:rPr>
          <w:tab/>
        </w:r>
        <w:r w:rsidRPr="00DF6938">
          <w:rPr>
            <w:rStyle w:val="Hipervnculo"/>
            <w:noProof/>
          </w:rPr>
          <w:t>Los dispositivos y discursos de reedición de la cultura que han perpetuado y o permitido superar las causas del conflicto armado: un llamado a la transformación</w:t>
        </w:r>
        <w:r>
          <w:rPr>
            <w:noProof/>
            <w:webHidden/>
          </w:rPr>
          <w:tab/>
        </w:r>
        <w:r>
          <w:rPr>
            <w:noProof/>
            <w:webHidden/>
          </w:rPr>
          <w:fldChar w:fldCharType="begin"/>
        </w:r>
        <w:r>
          <w:rPr>
            <w:noProof/>
            <w:webHidden/>
          </w:rPr>
          <w:instrText xml:space="preserve"> PAGEREF _Toc112399664 \h </w:instrText>
        </w:r>
        <w:r>
          <w:rPr>
            <w:noProof/>
            <w:webHidden/>
          </w:rPr>
        </w:r>
        <w:r>
          <w:rPr>
            <w:noProof/>
            <w:webHidden/>
          </w:rPr>
          <w:fldChar w:fldCharType="separate"/>
        </w:r>
        <w:r>
          <w:rPr>
            <w:noProof/>
            <w:webHidden/>
          </w:rPr>
          <w:t>899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65" w:history="1">
        <w:r w:rsidRPr="00DF6938">
          <w:rPr>
            <w:rStyle w:val="Hipervnculo"/>
            <w:noProof/>
          </w:rPr>
          <w:t>10.14.</w:t>
        </w:r>
        <w:r>
          <w:rPr>
            <w:rFonts w:asciiTheme="minorHAnsi" w:eastAsiaTheme="minorEastAsia" w:hAnsiTheme="minorHAnsi" w:cstheme="minorBidi"/>
            <w:noProof/>
            <w:sz w:val="22"/>
            <w:szCs w:val="22"/>
            <w:lang w:val="es-CO" w:eastAsia="es-CO"/>
          </w:rPr>
          <w:tab/>
        </w:r>
        <w:r w:rsidRPr="00DF6938">
          <w:rPr>
            <w:rStyle w:val="Hipervnculo"/>
            <w:noProof/>
          </w:rPr>
          <w:t>Un llamado a</w:t>
        </w:r>
        <w:r w:rsidRPr="00DF6938">
          <w:rPr>
            <w:rStyle w:val="Hipervnculo"/>
            <w:noProof/>
            <w:spacing w:val="-1"/>
          </w:rPr>
          <w:t xml:space="preserve"> </w:t>
        </w:r>
        <w:r w:rsidRPr="00DF6938">
          <w:rPr>
            <w:rStyle w:val="Hipervnculo"/>
            <w:noProof/>
          </w:rPr>
          <w:t>la transformación</w:t>
        </w:r>
        <w:r>
          <w:rPr>
            <w:noProof/>
            <w:webHidden/>
          </w:rPr>
          <w:tab/>
        </w:r>
        <w:r>
          <w:rPr>
            <w:noProof/>
            <w:webHidden/>
          </w:rPr>
          <w:fldChar w:fldCharType="begin"/>
        </w:r>
        <w:r>
          <w:rPr>
            <w:noProof/>
            <w:webHidden/>
          </w:rPr>
          <w:instrText xml:space="preserve"> PAGEREF _Toc112399665 \h </w:instrText>
        </w:r>
        <w:r>
          <w:rPr>
            <w:noProof/>
            <w:webHidden/>
          </w:rPr>
        </w:r>
        <w:r>
          <w:rPr>
            <w:noProof/>
            <w:webHidden/>
          </w:rPr>
          <w:fldChar w:fldCharType="separate"/>
        </w:r>
        <w:r>
          <w:rPr>
            <w:noProof/>
            <w:webHidden/>
          </w:rPr>
          <w:t>903</w:t>
        </w:r>
        <w:r>
          <w:rPr>
            <w:noProof/>
            <w:webHidden/>
          </w:rPr>
          <w:fldChar w:fldCharType="end"/>
        </w:r>
      </w:hyperlink>
    </w:p>
    <w:p w:rsidR="00513F80" w:rsidRDefault="00513F80">
      <w:pPr>
        <w:pStyle w:val="TDC3"/>
        <w:tabs>
          <w:tab w:val="right" w:leader="dot" w:pos="8828"/>
        </w:tabs>
        <w:rPr>
          <w:rFonts w:asciiTheme="minorHAnsi" w:eastAsiaTheme="minorEastAsia" w:hAnsiTheme="minorHAnsi" w:cstheme="minorBidi"/>
          <w:noProof/>
          <w:sz w:val="22"/>
          <w:szCs w:val="22"/>
          <w:lang w:val="es-CO" w:eastAsia="es-CO"/>
        </w:rPr>
      </w:pPr>
      <w:hyperlink w:anchor="_Toc112399666" w:history="1">
        <w:r w:rsidRPr="00DF6938">
          <w:rPr>
            <w:rStyle w:val="Hipervnculo"/>
            <w:noProof/>
          </w:rPr>
          <w:t>Bibliografía</w:t>
        </w:r>
        <w:r>
          <w:rPr>
            <w:noProof/>
            <w:webHidden/>
          </w:rPr>
          <w:tab/>
        </w:r>
        <w:r>
          <w:rPr>
            <w:noProof/>
            <w:webHidden/>
          </w:rPr>
          <w:fldChar w:fldCharType="begin"/>
        </w:r>
        <w:r>
          <w:rPr>
            <w:noProof/>
            <w:webHidden/>
          </w:rPr>
          <w:instrText xml:space="preserve"> PAGEREF _Toc112399666 \h </w:instrText>
        </w:r>
        <w:r>
          <w:rPr>
            <w:noProof/>
            <w:webHidden/>
          </w:rPr>
        </w:r>
        <w:r>
          <w:rPr>
            <w:noProof/>
            <w:webHidden/>
          </w:rPr>
          <w:fldChar w:fldCharType="separate"/>
        </w:r>
        <w:r>
          <w:rPr>
            <w:noProof/>
            <w:webHidden/>
          </w:rPr>
          <w:t>905</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667" w:history="1">
        <w:r w:rsidRPr="00DF6938">
          <w:rPr>
            <w:rStyle w:val="Hipervnculo"/>
            <w:noProof/>
          </w:rPr>
          <w:t>11.</w:t>
        </w:r>
        <w:r>
          <w:rPr>
            <w:rFonts w:asciiTheme="minorHAnsi" w:eastAsiaTheme="minorEastAsia" w:hAnsiTheme="minorHAnsi" w:cstheme="minorBidi"/>
            <w:b w:val="0"/>
            <w:bCs w:val="0"/>
            <w:iCs w:val="0"/>
            <w:noProof/>
            <w:sz w:val="22"/>
            <w:lang w:val="es-CO" w:eastAsia="es-CO"/>
          </w:rPr>
          <w:tab/>
        </w:r>
        <w:r w:rsidRPr="00DF6938">
          <w:rPr>
            <w:rStyle w:val="Hipervnculo"/>
            <w:noProof/>
            <w:spacing w:val="-4"/>
          </w:rPr>
          <w:t xml:space="preserve">LOS </w:t>
        </w:r>
        <w:r w:rsidRPr="00DF6938">
          <w:rPr>
            <w:rStyle w:val="Hipervnculo"/>
            <w:noProof/>
          </w:rPr>
          <w:t xml:space="preserve">PROCESOS </w:t>
        </w:r>
        <w:r w:rsidRPr="00DF6938">
          <w:rPr>
            <w:rStyle w:val="Hipervnculo"/>
            <w:noProof/>
            <w:spacing w:val="-6"/>
          </w:rPr>
          <w:t xml:space="preserve">DE </w:t>
        </w:r>
        <w:r w:rsidRPr="00DF6938">
          <w:rPr>
            <w:rStyle w:val="Hipervnculo"/>
            <w:noProof/>
          </w:rPr>
          <w:t xml:space="preserve">RECONOCIMIENTO </w:t>
        </w:r>
        <w:r w:rsidRPr="00DF6938">
          <w:rPr>
            <w:rStyle w:val="Hipervnculo"/>
            <w:noProof/>
            <w:spacing w:val="-6"/>
          </w:rPr>
          <w:t xml:space="preserve">DE </w:t>
        </w:r>
        <w:r w:rsidRPr="00DF6938">
          <w:rPr>
            <w:rStyle w:val="Hipervnculo"/>
            <w:noProof/>
          </w:rPr>
          <w:t>RESPONSABILIDADES</w:t>
        </w:r>
        <w:r>
          <w:rPr>
            <w:noProof/>
            <w:webHidden/>
          </w:rPr>
          <w:tab/>
        </w:r>
        <w:r>
          <w:rPr>
            <w:noProof/>
            <w:webHidden/>
          </w:rPr>
          <w:fldChar w:fldCharType="begin"/>
        </w:r>
        <w:r>
          <w:rPr>
            <w:noProof/>
            <w:webHidden/>
          </w:rPr>
          <w:instrText xml:space="preserve"> PAGEREF _Toc112399667 \h </w:instrText>
        </w:r>
        <w:r>
          <w:rPr>
            <w:noProof/>
            <w:webHidden/>
          </w:rPr>
        </w:r>
        <w:r>
          <w:rPr>
            <w:noProof/>
            <w:webHidden/>
          </w:rPr>
          <w:fldChar w:fldCharType="separate"/>
        </w:r>
        <w:r>
          <w:rPr>
            <w:noProof/>
            <w:webHidden/>
          </w:rPr>
          <w:t>912</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68" w:history="1">
        <w:r w:rsidRPr="00DF6938">
          <w:rPr>
            <w:rStyle w:val="Hipervnculo"/>
            <w:noProof/>
          </w:rPr>
          <w:t>11.1.</w:t>
        </w:r>
        <w:r>
          <w:rPr>
            <w:rFonts w:asciiTheme="minorHAnsi" w:eastAsiaTheme="minorEastAsia" w:hAnsiTheme="minorHAnsi" w:cstheme="minorBidi"/>
            <w:noProof/>
            <w:sz w:val="22"/>
            <w:szCs w:val="22"/>
            <w:lang w:val="es-CO" w:eastAsia="es-CO"/>
          </w:rPr>
          <w:tab/>
        </w:r>
        <w:r w:rsidRPr="00DF6938">
          <w:rPr>
            <w:rStyle w:val="Hipervnculo"/>
            <w:noProof/>
          </w:rPr>
          <w:t>Los</w:t>
        </w:r>
        <w:r w:rsidRPr="00DF6938">
          <w:rPr>
            <w:rStyle w:val="Hipervnculo"/>
            <w:noProof/>
            <w:spacing w:val="-1"/>
          </w:rPr>
          <w:t xml:space="preserve"> </w:t>
        </w:r>
        <w:r w:rsidRPr="00DF6938">
          <w:rPr>
            <w:rStyle w:val="Hipervnculo"/>
            <w:noProof/>
          </w:rPr>
          <w:t>escenarios</w:t>
        </w:r>
        <w:r w:rsidRPr="00DF6938">
          <w:rPr>
            <w:rStyle w:val="Hipervnculo"/>
            <w:noProof/>
            <w:spacing w:val="-2"/>
          </w:rPr>
          <w:t xml:space="preserve"> </w:t>
        </w:r>
        <w:r w:rsidRPr="00DF6938">
          <w:rPr>
            <w:rStyle w:val="Hipervnculo"/>
            <w:noProof/>
          </w:rPr>
          <w:t>de</w:t>
        </w:r>
        <w:r w:rsidRPr="00DF6938">
          <w:rPr>
            <w:rStyle w:val="Hipervnculo"/>
            <w:noProof/>
            <w:spacing w:val="-1"/>
          </w:rPr>
          <w:t xml:space="preserve"> </w:t>
        </w:r>
        <w:r w:rsidRPr="00DF6938">
          <w:rPr>
            <w:rStyle w:val="Hipervnculo"/>
            <w:noProof/>
          </w:rPr>
          <w:t>un</w:t>
        </w:r>
        <w:r w:rsidRPr="00DF6938">
          <w:rPr>
            <w:rStyle w:val="Hipervnculo"/>
            <w:noProof/>
            <w:spacing w:val="-2"/>
          </w:rPr>
          <w:t xml:space="preserve"> </w:t>
        </w:r>
        <w:r w:rsidRPr="00DF6938">
          <w:rPr>
            <w:rStyle w:val="Hipervnculo"/>
            <w:noProof/>
          </w:rPr>
          <w:t>diálogo</w:t>
        </w:r>
        <w:r w:rsidRPr="00DF6938">
          <w:rPr>
            <w:rStyle w:val="Hipervnculo"/>
            <w:noProof/>
            <w:spacing w:val="-1"/>
          </w:rPr>
          <w:t xml:space="preserve"> </w:t>
        </w:r>
        <w:r w:rsidRPr="00DF6938">
          <w:rPr>
            <w:rStyle w:val="Hipervnculo"/>
            <w:noProof/>
            <w:spacing w:val="-2"/>
          </w:rPr>
          <w:t>compartido</w:t>
        </w:r>
        <w:r>
          <w:rPr>
            <w:noProof/>
            <w:webHidden/>
          </w:rPr>
          <w:tab/>
        </w:r>
        <w:r>
          <w:rPr>
            <w:noProof/>
            <w:webHidden/>
          </w:rPr>
          <w:fldChar w:fldCharType="begin"/>
        </w:r>
        <w:r>
          <w:rPr>
            <w:noProof/>
            <w:webHidden/>
          </w:rPr>
          <w:instrText xml:space="preserve"> PAGEREF _Toc112399668 \h </w:instrText>
        </w:r>
        <w:r>
          <w:rPr>
            <w:noProof/>
            <w:webHidden/>
          </w:rPr>
        </w:r>
        <w:r>
          <w:rPr>
            <w:noProof/>
            <w:webHidden/>
          </w:rPr>
          <w:fldChar w:fldCharType="separate"/>
        </w:r>
        <w:r>
          <w:rPr>
            <w:noProof/>
            <w:webHidden/>
          </w:rPr>
          <w:t>916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69" w:history="1">
        <w:r w:rsidRPr="00DF6938">
          <w:rPr>
            <w:rStyle w:val="Hipervnculo"/>
            <w:noProof/>
          </w:rPr>
          <w:t>11.2.</w:t>
        </w:r>
        <w:r>
          <w:rPr>
            <w:rFonts w:asciiTheme="minorHAnsi" w:eastAsiaTheme="minorEastAsia" w:hAnsiTheme="minorHAnsi" w:cstheme="minorBidi"/>
            <w:noProof/>
            <w:sz w:val="22"/>
            <w:szCs w:val="22"/>
            <w:lang w:val="es-CO" w:eastAsia="es-CO"/>
          </w:rPr>
          <w:tab/>
        </w:r>
        <w:r w:rsidRPr="00DF6938">
          <w:rPr>
            <w:rStyle w:val="Hipervnculo"/>
            <w:noProof/>
          </w:rPr>
          <w:t>Complejidad</w:t>
        </w:r>
        <w:r w:rsidRPr="00DF6938">
          <w:rPr>
            <w:rStyle w:val="Hipervnculo"/>
            <w:noProof/>
            <w:spacing w:val="-3"/>
          </w:rPr>
          <w:t xml:space="preserve"> </w:t>
        </w:r>
        <w:r w:rsidRPr="00DF6938">
          <w:rPr>
            <w:rStyle w:val="Hipervnculo"/>
            <w:noProof/>
          </w:rPr>
          <w:t>y</w:t>
        </w:r>
        <w:r w:rsidRPr="00DF6938">
          <w:rPr>
            <w:rStyle w:val="Hipervnculo"/>
            <w:noProof/>
            <w:spacing w:val="-1"/>
          </w:rPr>
          <w:t xml:space="preserve"> </w:t>
        </w:r>
        <w:r w:rsidRPr="00DF6938">
          <w:rPr>
            <w:rStyle w:val="Hipervnculo"/>
            <w:noProof/>
          </w:rPr>
          <w:t>alcance</w:t>
        </w:r>
        <w:r w:rsidRPr="00DF6938">
          <w:rPr>
            <w:rStyle w:val="Hipervnculo"/>
            <w:noProof/>
            <w:spacing w:val="-2"/>
          </w:rPr>
          <w:t xml:space="preserve"> </w:t>
        </w:r>
        <w:r w:rsidRPr="00DF6938">
          <w:rPr>
            <w:rStyle w:val="Hipervnculo"/>
            <w:noProof/>
          </w:rPr>
          <w:t>de</w:t>
        </w:r>
        <w:r w:rsidRPr="00DF6938">
          <w:rPr>
            <w:rStyle w:val="Hipervnculo"/>
            <w:noProof/>
            <w:spacing w:val="-1"/>
          </w:rPr>
          <w:t xml:space="preserve"> </w:t>
        </w:r>
        <w:r w:rsidRPr="00DF6938">
          <w:rPr>
            <w:rStyle w:val="Hipervnculo"/>
            <w:noProof/>
          </w:rPr>
          <w:t>los</w:t>
        </w:r>
        <w:r w:rsidRPr="00DF6938">
          <w:rPr>
            <w:rStyle w:val="Hipervnculo"/>
            <w:noProof/>
            <w:spacing w:val="-3"/>
          </w:rPr>
          <w:t xml:space="preserve"> </w:t>
        </w:r>
        <w:r w:rsidRPr="00DF6938">
          <w:rPr>
            <w:rStyle w:val="Hipervnculo"/>
            <w:noProof/>
          </w:rPr>
          <w:t>procesos</w:t>
        </w:r>
        <w:r w:rsidRPr="00DF6938">
          <w:rPr>
            <w:rStyle w:val="Hipervnculo"/>
            <w:noProof/>
            <w:spacing w:val="-1"/>
          </w:rPr>
          <w:t xml:space="preserve"> </w:t>
        </w:r>
        <w:r w:rsidRPr="00DF6938">
          <w:rPr>
            <w:rStyle w:val="Hipervnculo"/>
            <w:noProof/>
          </w:rPr>
          <w:t>de</w:t>
        </w:r>
        <w:r w:rsidRPr="00DF6938">
          <w:rPr>
            <w:rStyle w:val="Hipervnculo"/>
            <w:noProof/>
            <w:spacing w:val="-1"/>
          </w:rPr>
          <w:t xml:space="preserve"> </w:t>
        </w:r>
        <w:r w:rsidRPr="00DF6938">
          <w:rPr>
            <w:rStyle w:val="Hipervnculo"/>
            <w:noProof/>
            <w:spacing w:val="-2"/>
          </w:rPr>
          <w:t>reconocimiento</w:t>
        </w:r>
        <w:r>
          <w:rPr>
            <w:noProof/>
            <w:webHidden/>
          </w:rPr>
          <w:tab/>
        </w:r>
        <w:r>
          <w:rPr>
            <w:noProof/>
            <w:webHidden/>
          </w:rPr>
          <w:fldChar w:fldCharType="begin"/>
        </w:r>
        <w:r>
          <w:rPr>
            <w:noProof/>
            <w:webHidden/>
          </w:rPr>
          <w:instrText xml:space="preserve"> PAGEREF _Toc112399669 \h </w:instrText>
        </w:r>
        <w:r>
          <w:rPr>
            <w:noProof/>
            <w:webHidden/>
          </w:rPr>
        </w:r>
        <w:r>
          <w:rPr>
            <w:noProof/>
            <w:webHidden/>
          </w:rPr>
          <w:fldChar w:fldCharType="separate"/>
        </w:r>
        <w:r>
          <w:rPr>
            <w:noProof/>
            <w:webHidden/>
          </w:rPr>
          <w:t>918</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70" w:history="1">
        <w:r w:rsidRPr="00DF6938">
          <w:rPr>
            <w:rStyle w:val="Hipervnculo"/>
            <w:noProof/>
          </w:rPr>
          <w:t>11.3.</w:t>
        </w:r>
        <w:r>
          <w:rPr>
            <w:rFonts w:asciiTheme="minorHAnsi" w:eastAsiaTheme="minorEastAsia" w:hAnsiTheme="minorHAnsi" w:cstheme="minorBidi"/>
            <w:noProof/>
            <w:sz w:val="22"/>
            <w:szCs w:val="22"/>
            <w:lang w:val="es-CO" w:eastAsia="es-CO"/>
          </w:rPr>
          <w:tab/>
        </w:r>
        <w:r w:rsidRPr="00DF6938">
          <w:rPr>
            <w:rStyle w:val="Hipervnculo"/>
            <w:noProof/>
          </w:rPr>
          <w:t>La</w:t>
        </w:r>
        <w:r w:rsidRPr="00DF6938">
          <w:rPr>
            <w:rStyle w:val="Hipervnculo"/>
            <w:noProof/>
            <w:spacing w:val="-1"/>
          </w:rPr>
          <w:t xml:space="preserve"> </w:t>
        </w:r>
        <w:r w:rsidRPr="00DF6938">
          <w:rPr>
            <w:rStyle w:val="Hipervnculo"/>
            <w:noProof/>
          </w:rPr>
          <w:t>verdad</w:t>
        </w:r>
        <w:r w:rsidRPr="00DF6938">
          <w:rPr>
            <w:rStyle w:val="Hipervnculo"/>
            <w:noProof/>
            <w:spacing w:val="-2"/>
          </w:rPr>
          <w:t xml:space="preserve"> </w:t>
        </w:r>
        <w:r w:rsidRPr="00DF6938">
          <w:rPr>
            <w:rStyle w:val="Hipervnculo"/>
            <w:noProof/>
          </w:rPr>
          <w:t>que</w:t>
        </w:r>
        <w:r w:rsidRPr="00DF6938">
          <w:rPr>
            <w:rStyle w:val="Hipervnculo"/>
            <w:noProof/>
            <w:spacing w:val="-1"/>
          </w:rPr>
          <w:t xml:space="preserve"> </w:t>
        </w:r>
        <w:r w:rsidRPr="00DF6938">
          <w:rPr>
            <w:rStyle w:val="Hipervnculo"/>
            <w:noProof/>
          </w:rPr>
          <w:t>emerge</w:t>
        </w:r>
        <w:r w:rsidRPr="00DF6938">
          <w:rPr>
            <w:rStyle w:val="Hipervnculo"/>
            <w:noProof/>
            <w:spacing w:val="-1"/>
          </w:rPr>
          <w:t xml:space="preserve"> </w:t>
        </w:r>
        <w:r w:rsidRPr="00DF6938">
          <w:rPr>
            <w:rStyle w:val="Hipervnculo"/>
            <w:noProof/>
          </w:rPr>
          <w:t>de</w:t>
        </w:r>
        <w:r w:rsidRPr="00DF6938">
          <w:rPr>
            <w:rStyle w:val="Hipervnculo"/>
            <w:noProof/>
            <w:spacing w:val="-1"/>
          </w:rPr>
          <w:t xml:space="preserve"> </w:t>
        </w:r>
        <w:r w:rsidRPr="00DF6938">
          <w:rPr>
            <w:rStyle w:val="Hipervnculo"/>
            <w:noProof/>
          </w:rPr>
          <w:t>los</w:t>
        </w:r>
        <w:r w:rsidRPr="00DF6938">
          <w:rPr>
            <w:rStyle w:val="Hipervnculo"/>
            <w:noProof/>
            <w:spacing w:val="-3"/>
          </w:rPr>
          <w:t xml:space="preserve"> </w:t>
        </w:r>
        <w:r w:rsidRPr="00DF6938">
          <w:rPr>
            <w:rStyle w:val="Hipervnculo"/>
            <w:noProof/>
          </w:rPr>
          <w:t>procesos</w:t>
        </w:r>
        <w:r w:rsidRPr="00DF6938">
          <w:rPr>
            <w:rStyle w:val="Hipervnculo"/>
            <w:noProof/>
            <w:spacing w:val="-1"/>
          </w:rPr>
          <w:t xml:space="preserve"> </w:t>
        </w:r>
        <w:r w:rsidRPr="00DF6938">
          <w:rPr>
            <w:rStyle w:val="Hipervnculo"/>
            <w:noProof/>
          </w:rPr>
          <w:t>de</w:t>
        </w:r>
        <w:r w:rsidRPr="00DF6938">
          <w:rPr>
            <w:rStyle w:val="Hipervnculo"/>
            <w:noProof/>
            <w:spacing w:val="-1"/>
          </w:rPr>
          <w:t xml:space="preserve"> </w:t>
        </w:r>
        <w:r w:rsidRPr="00DF6938">
          <w:rPr>
            <w:rStyle w:val="Hipervnculo"/>
            <w:noProof/>
            <w:spacing w:val="-2"/>
          </w:rPr>
          <w:t>reconocimiento</w:t>
        </w:r>
        <w:r>
          <w:rPr>
            <w:noProof/>
            <w:webHidden/>
          </w:rPr>
          <w:tab/>
        </w:r>
        <w:r>
          <w:rPr>
            <w:noProof/>
            <w:webHidden/>
          </w:rPr>
          <w:fldChar w:fldCharType="begin"/>
        </w:r>
        <w:r>
          <w:rPr>
            <w:noProof/>
            <w:webHidden/>
          </w:rPr>
          <w:instrText xml:space="preserve"> PAGEREF _Toc112399670 \h </w:instrText>
        </w:r>
        <w:r>
          <w:rPr>
            <w:noProof/>
            <w:webHidden/>
          </w:rPr>
        </w:r>
        <w:r>
          <w:rPr>
            <w:noProof/>
            <w:webHidden/>
          </w:rPr>
          <w:fldChar w:fldCharType="separate"/>
        </w:r>
        <w:r>
          <w:rPr>
            <w:noProof/>
            <w:webHidden/>
          </w:rPr>
          <w:t>924</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71" w:history="1">
        <w:r w:rsidRPr="00DF6938">
          <w:rPr>
            <w:rStyle w:val="Hipervnculo"/>
            <w:noProof/>
          </w:rPr>
          <w:t>11.4.</w:t>
        </w:r>
        <w:r>
          <w:rPr>
            <w:rFonts w:asciiTheme="minorHAnsi" w:eastAsiaTheme="minorEastAsia" w:hAnsiTheme="minorHAnsi" w:cstheme="minorBidi"/>
            <w:noProof/>
            <w:sz w:val="22"/>
            <w:szCs w:val="22"/>
            <w:lang w:val="es-CO" w:eastAsia="es-CO"/>
          </w:rPr>
          <w:tab/>
        </w:r>
        <w:r w:rsidRPr="00DF6938">
          <w:rPr>
            <w:rStyle w:val="Hipervnculo"/>
            <w:noProof/>
          </w:rPr>
          <w:t>Emocionalidad</w:t>
        </w:r>
        <w:r w:rsidRPr="00DF6938">
          <w:rPr>
            <w:rStyle w:val="Hipervnculo"/>
            <w:noProof/>
            <w:spacing w:val="-4"/>
          </w:rPr>
          <w:t xml:space="preserve"> </w:t>
        </w:r>
        <w:r w:rsidRPr="00DF6938">
          <w:rPr>
            <w:rStyle w:val="Hipervnculo"/>
            <w:noProof/>
          </w:rPr>
          <w:t>que</w:t>
        </w:r>
        <w:r w:rsidRPr="00DF6938">
          <w:rPr>
            <w:rStyle w:val="Hipervnculo"/>
            <w:noProof/>
            <w:spacing w:val="-3"/>
          </w:rPr>
          <w:t xml:space="preserve"> </w:t>
        </w:r>
        <w:r w:rsidRPr="00DF6938">
          <w:rPr>
            <w:rStyle w:val="Hipervnculo"/>
            <w:noProof/>
          </w:rPr>
          <w:t>dispone</w:t>
        </w:r>
        <w:r w:rsidRPr="00DF6938">
          <w:rPr>
            <w:rStyle w:val="Hipervnculo"/>
            <w:noProof/>
            <w:spacing w:val="-3"/>
          </w:rPr>
          <w:t xml:space="preserve"> </w:t>
        </w:r>
        <w:r w:rsidRPr="00DF6938">
          <w:rPr>
            <w:rStyle w:val="Hipervnculo"/>
            <w:noProof/>
          </w:rPr>
          <w:t>para</w:t>
        </w:r>
        <w:r w:rsidRPr="00DF6938">
          <w:rPr>
            <w:rStyle w:val="Hipervnculo"/>
            <w:noProof/>
            <w:spacing w:val="-3"/>
          </w:rPr>
          <w:t xml:space="preserve"> </w:t>
        </w:r>
        <w:r w:rsidRPr="00DF6938">
          <w:rPr>
            <w:rStyle w:val="Hipervnculo"/>
            <w:noProof/>
          </w:rPr>
          <w:t>el</w:t>
        </w:r>
        <w:r w:rsidRPr="00DF6938">
          <w:rPr>
            <w:rStyle w:val="Hipervnculo"/>
            <w:noProof/>
            <w:spacing w:val="-2"/>
          </w:rPr>
          <w:t xml:space="preserve"> reconocimiento</w:t>
        </w:r>
        <w:r>
          <w:rPr>
            <w:noProof/>
            <w:webHidden/>
          </w:rPr>
          <w:tab/>
        </w:r>
        <w:r>
          <w:rPr>
            <w:noProof/>
            <w:webHidden/>
          </w:rPr>
          <w:fldChar w:fldCharType="begin"/>
        </w:r>
        <w:r>
          <w:rPr>
            <w:noProof/>
            <w:webHidden/>
          </w:rPr>
          <w:instrText xml:space="preserve"> PAGEREF _Toc112399671 \h </w:instrText>
        </w:r>
        <w:r>
          <w:rPr>
            <w:noProof/>
            <w:webHidden/>
          </w:rPr>
        </w:r>
        <w:r>
          <w:rPr>
            <w:noProof/>
            <w:webHidden/>
          </w:rPr>
          <w:fldChar w:fldCharType="separate"/>
        </w:r>
        <w:r>
          <w:rPr>
            <w:noProof/>
            <w:webHidden/>
          </w:rPr>
          <w:t>929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72" w:history="1">
        <w:r w:rsidRPr="00DF6938">
          <w:rPr>
            <w:rStyle w:val="Hipervnculo"/>
            <w:noProof/>
          </w:rPr>
          <w:t>11.5.</w:t>
        </w:r>
        <w:r>
          <w:rPr>
            <w:rFonts w:asciiTheme="minorHAnsi" w:eastAsiaTheme="minorEastAsia" w:hAnsiTheme="minorHAnsi" w:cstheme="minorBidi"/>
            <w:noProof/>
            <w:sz w:val="22"/>
            <w:szCs w:val="22"/>
            <w:lang w:val="es-CO" w:eastAsia="es-CO"/>
          </w:rPr>
          <w:tab/>
        </w:r>
        <w:r w:rsidRPr="00DF6938">
          <w:rPr>
            <w:rStyle w:val="Hipervnculo"/>
            <w:noProof/>
          </w:rPr>
          <w:t>Un</w:t>
        </w:r>
        <w:r w:rsidRPr="00DF6938">
          <w:rPr>
            <w:rStyle w:val="Hipervnculo"/>
            <w:noProof/>
            <w:spacing w:val="-3"/>
          </w:rPr>
          <w:t xml:space="preserve"> </w:t>
        </w:r>
        <w:r w:rsidRPr="00DF6938">
          <w:rPr>
            <w:rStyle w:val="Hipervnculo"/>
            <w:noProof/>
          </w:rPr>
          <w:t>diálogo</w:t>
        </w:r>
        <w:r w:rsidRPr="00DF6938">
          <w:rPr>
            <w:rStyle w:val="Hipervnculo"/>
            <w:noProof/>
            <w:spacing w:val="-2"/>
          </w:rPr>
          <w:t xml:space="preserve"> </w:t>
        </w:r>
        <w:r w:rsidRPr="00DF6938">
          <w:rPr>
            <w:rStyle w:val="Hipervnculo"/>
            <w:noProof/>
          </w:rPr>
          <w:t>desde</w:t>
        </w:r>
        <w:r w:rsidRPr="00DF6938">
          <w:rPr>
            <w:rStyle w:val="Hipervnculo"/>
            <w:noProof/>
            <w:spacing w:val="-2"/>
          </w:rPr>
          <w:t xml:space="preserve"> </w:t>
        </w:r>
        <w:r w:rsidRPr="00DF6938">
          <w:rPr>
            <w:rStyle w:val="Hipervnculo"/>
            <w:noProof/>
          </w:rPr>
          <w:t>la</w:t>
        </w:r>
        <w:r w:rsidRPr="00DF6938">
          <w:rPr>
            <w:rStyle w:val="Hipervnculo"/>
            <w:noProof/>
            <w:spacing w:val="-1"/>
          </w:rPr>
          <w:t xml:space="preserve"> </w:t>
        </w:r>
        <w:r w:rsidRPr="00DF6938">
          <w:rPr>
            <w:rStyle w:val="Hipervnculo"/>
            <w:noProof/>
          </w:rPr>
          <w:t>humanidad</w:t>
        </w:r>
        <w:r w:rsidRPr="00DF6938">
          <w:rPr>
            <w:rStyle w:val="Hipervnculo"/>
            <w:noProof/>
            <w:spacing w:val="-3"/>
          </w:rPr>
          <w:t xml:space="preserve"> </w:t>
        </w:r>
        <w:r w:rsidRPr="00DF6938">
          <w:rPr>
            <w:rStyle w:val="Hipervnculo"/>
            <w:noProof/>
          </w:rPr>
          <w:t>para</w:t>
        </w:r>
        <w:r w:rsidRPr="00DF6938">
          <w:rPr>
            <w:rStyle w:val="Hipervnculo"/>
            <w:noProof/>
            <w:spacing w:val="-2"/>
          </w:rPr>
          <w:t xml:space="preserve"> </w:t>
        </w:r>
        <w:r w:rsidRPr="00DF6938">
          <w:rPr>
            <w:rStyle w:val="Hipervnculo"/>
            <w:noProof/>
          </w:rPr>
          <w:t>la</w:t>
        </w:r>
        <w:r w:rsidRPr="00DF6938">
          <w:rPr>
            <w:rStyle w:val="Hipervnculo"/>
            <w:noProof/>
            <w:spacing w:val="-1"/>
          </w:rPr>
          <w:t xml:space="preserve"> </w:t>
        </w:r>
        <w:r w:rsidRPr="00DF6938">
          <w:rPr>
            <w:rStyle w:val="Hipervnculo"/>
            <w:noProof/>
            <w:spacing w:val="-2"/>
          </w:rPr>
          <w:t>humanidad</w:t>
        </w:r>
        <w:r>
          <w:rPr>
            <w:noProof/>
            <w:webHidden/>
          </w:rPr>
          <w:tab/>
        </w:r>
        <w:r>
          <w:rPr>
            <w:noProof/>
            <w:webHidden/>
          </w:rPr>
          <w:fldChar w:fldCharType="begin"/>
        </w:r>
        <w:r>
          <w:rPr>
            <w:noProof/>
            <w:webHidden/>
          </w:rPr>
          <w:instrText xml:space="preserve"> PAGEREF _Toc112399672 \h </w:instrText>
        </w:r>
        <w:r>
          <w:rPr>
            <w:noProof/>
            <w:webHidden/>
          </w:rPr>
        </w:r>
        <w:r>
          <w:rPr>
            <w:noProof/>
            <w:webHidden/>
          </w:rPr>
          <w:fldChar w:fldCharType="separate"/>
        </w:r>
        <w:r>
          <w:rPr>
            <w:noProof/>
            <w:webHidden/>
          </w:rPr>
          <w:t>938</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73" w:history="1">
        <w:r w:rsidRPr="00DF6938">
          <w:rPr>
            <w:rStyle w:val="Hipervnculo"/>
            <w:noProof/>
          </w:rPr>
          <w:t>11.6.</w:t>
        </w:r>
        <w:r>
          <w:rPr>
            <w:rFonts w:asciiTheme="minorHAnsi" w:eastAsiaTheme="minorEastAsia" w:hAnsiTheme="minorHAnsi" w:cstheme="minorBidi"/>
            <w:noProof/>
            <w:sz w:val="22"/>
            <w:szCs w:val="22"/>
            <w:lang w:val="es-CO" w:eastAsia="es-CO"/>
          </w:rPr>
          <w:tab/>
        </w:r>
        <w:r w:rsidRPr="00DF6938">
          <w:rPr>
            <w:rStyle w:val="Hipervnculo"/>
            <w:noProof/>
          </w:rPr>
          <w:t>Las</w:t>
        </w:r>
        <w:r w:rsidRPr="00DF6938">
          <w:rPr>
            <w:rStyle w:val="Hipervnculo"/>
            <w:noProof/>
            <w:spacing w:val="-2"/>
          </w:rPr>
          <w:t xml:space="preserve"> </w:t>
        </w:r>
        <w:r w:rsidRPr="00DF6938">
          <w:rPr>
            <w:rStyle w:val="Hipervnculo"/>
            <w:noProof/>
          </w:rPr>
          <w:t>lecciones</w:t>
        </w:r>
        <w:r w:rsidRPr="00DF6938">
          <w:rPr>
            <w:rStyle w:val="Hipervnculo"/>
            <w:noProof/>
            <w:spacing w:val="-1"/>
          </w:rPr>
          <w:t xml:space="preserve"> </w:t>
        </w:r>
        <w:r w:rsidRPr="00DF6938">
          <w:rPr>
            <w:rStyle w:val="Hipervnculo"/>
            <w:noProof/>
          </w:rPr>
          <w:t>y</w:t>
        </w:r>
        <w:r w:rsidRPr="00DF6938">
          <w:rPr>
            <w:rStyle w:val="Hipervnculo"/>
            <w:noProof/>
            <w:spacing w:val="-1"/>
          </w:rPr>
          <w:t xml:space="preserve"> </w:t>
        </w:r>
        <w:r w:rsidRPr="00DF6938">
          <w:rPr>
            <w:rStyle w:val="Hipervnculo"/>
            <w:noProof/>
          </w:rPr>
          <w:t>aprendizajes</w:t>
        </w:r>
        <w:r w:rsidRPr="00DF6938">
          <w:rPr>
            <w:rStyle w:val="Hipervnculo"/>
            <w:noProof/>
            <w:spacing w:val="-2"/>
          </w:rPr>
          <w:t xml:space="preserve"> </w:t>
        </w:r>
        <w:r w:rsidRPr="00DF6938">
          <w:rPr>
            <w:rStyle w:val="Hipervnculo"/>
            <w:noProof/>
          </w:rPr>
          <w:t>para</w:t>
        </w:r>
        <w:r w:rsidRPr="00DF6938">
          <w:rPr>
            <w:rStyle w:val="Hipervnculo"/>
            <w:noProof/>
            <w:spacing w:val="-1"/>
          </w:rPr>
          <w:t xml:space="preserve"> </w:t>
        </w:r>
        <w:r w:rsidRPr="00DF6938">
          <w:rPr>
            <w:rStyle w:val="Hipervnculo"/>
            <w:noProof/>
          </w:rPr>
          <w:t>la</w:t>
        </w:r>
        <w:r w:rsidRPr="00DF6938">
          <w:rPr>
            <w:rStyle w:val="Hipervnculo"/>
            <w:noProof/>
            <w:spacing w:val="-1"/>
          </w:rPr>
          <w:t xml:space="preserve"> </w:t>
        </w:r>
        <w:r w:rsidRPr="00DF6938">
          <w:rPr>
            <w:rStyle w:val="Hipervnculo"/>
            <w:noProof/>
            <w:spacing w:val="-2"/>
          </w:rPr>
          <w:t>sociedad</w:t>
        </w:r>
        <w:r>
          <w:rPr>
            <w:noProof/>
            <w:webHidden/>
          </w:rPr>
          <w:tab/>
        </w:r>
        <w:r>
          <w:rPr>
            <w:noProof/>
            <w:webHidden/>
          </w:rPr>
          <w:fldChar w:fldCharType="begin"/>
        </w:r>
        <w:r>
          <w:rPr>
            <w:noProof/>
            <w:webHidden/>
          </w:rPr>
          <w:instrText xml:space="preserve"> PAGEREF _Toc112399673 \h </w:instrText>
        </w:r>
        <w:r>
          <w:rPr>
            <w:noProof/>
            <w:webHidden/>
          </w:rPr>
        </w:r>
        <w:r>
          <w:rPr>
            <w:noProof/>
            <w:webHidden/>
          </w:rPr>
          <w:fldChar w:fldCharType="separate"/>
        </w:r>
        <w:r>
          <w:rPr>
            <w:noProof/>
            <w:webHidden/>
          </w:rPr>
          <w:t>958</w:t>
        </w:r>
        <w:r>
          <w:rPr>
            <w:noProof/>
            <w:webHidden/>
          </w:rPr>
          <w:fldChar w:fldCharType="end"/>
        </w:r>
      </w:hyperlink>
    </w:p>
    <w:p w:rsidR="00513F80" w:rsidRDefault="00513F80">
      <w:pPr>
        <w:pStyle w:val="TDC3"/>
        <w:tabs>
          <w:tab w:val="right" w:leader="dot" w:pos="8828"/>
        </w:tabs>
        <w:rPr>
          <w:rFonts w:asciiTheme="minorHAnsi" w:eastAsiaTheme="minorEastAsia" w:hAnsiTheme="minorHAnsi" w:cstheme="minorBidi"/>
          <w:noProof/>
          <w:sz w:val="22"/>
          <w:szCs w:val="22"/>
          <w:lang w:val="es-CO" w:eastAsia="es-CO"/>
        </w:rPr>
      </w:pPr>
      <w:hyperlink w:anchor="_Toc112399674" w:history="1">
        <w:r w:rsidRPr="00DF6938">
          <w:rPr>
            <w:rStyle w:val="Hipervnculo"/>
            <w:noProof/>
          </w:rPr>
          <w:t>Bibliografía</w:t>
        </w:r>
        <w:r>
          <w:rPr>
            <w:noProof/>
            <w:webHidden/>
          </w:rPr>
          <w:tab/>
        </w:r>
        <w:r>
          <w:rPr>
            <w:noProof/>
            <w:webHidden/>
          </w:rPr>
          <w:fldChar w:fldCharType="begin"/>
        </w:r>
        <w:r>
          <w:rPr>
            <w:noProof/>
            <w:webHidden/>
          </w:rPr>
          <w:instrText xml:space="preserve"> PAGEREF _Toc112399674 \h </w:instrText>
        </w:r>
        <w:r>
          <w:rPr>
            <w:noProof/>
            <w:webHidden/>
          </w:rPr>
        </w:r>
        <w:r>
          <w:rPr>
            <w:noProof/>
            <w:webHidden/>
          </w:rPr>
          <w:fldChar w:fldCharType="separate"/>
        </w:r>
        <w:r>
          <w:rPr>
            <w:noProof/>
            <w:webHidden/>
          </w:rPr>
          <w:t>971</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675" w:history="1">
        <w:r w:rsidRPr="00DF6938">
          <w:rPr>
            <w:rStyle w:val="Hipervnculo"/>
            <w:noProof/>
          </w:rPr>
          <w:t>12.</w:t>
        </w:r>
        <w:r>
          <w:rPr>
            <w:rFonts w:asciiTheme="minorHAnsi" w:eastAsiaTheme="minorEastAsia" w:hAnsiTheme="minorHAnsi" w:cstheme="minorBidi"/>
            <w:b w:val="0"/>
            <w:bCs w:val="0"/>
            <w:iCs w:val="0"/>
            <w:noProof/>
            <w:sz w:val="22"/>
            <w:lang w:val="es-CO" w:eastAsia="es-CO"/>
          </w:rPr>
          <w:tab/>
        </w:r>
        <w:r w:rsidRPr="00DF6938">
          <w:rPr>
            <w:rStyle w:val="Hipervnculo"/>
            <w:noProof/>
            <w:spacing w:val="-2"/>
          </w:rPr>
          <w:t xml:space="preserve">EPÍLOGO. </w:t>
        </w:r>
        <w:r w:rsidRPr="00DF6938">
          <w:rPr>
            <w:rStyle w:val="Hipervnculo"/>
            <w:noProof/>
          </w:rPr>
          <w:t xml:space="preserve">DIMENSIONES </w:t>
        </w:r>
        <w:r w:rsidRPr="00DF6938">
          <w:rPr>
            <w:rStyle w:val="Hipervnculo"/>
            <w:noProof/>
            <w:spacing w:val="-2"/>
          </w:rPr>
          <w:t xml:space="preserve">INTERNACIONALES </w:t>
        </w:r>
        <w:r w:rsidRPr="00DF6938">
          <w:rPr>
            <w:rStyle w:val="Hipervnculo"/>
            <w:noProof/>
            <w:spacing w:val="-6"/>
          </w:rPr>
          <w:t xml:space="preserve">DE LA </w:t>
        </w:r>
        <w:r w:rsidRPr="00DF6938">
          <w:rPr>
            <w:rStyle w:val="Hipervnculo"/>
            <w:noProof/>
          </w:rPr>
          <w:t>CONSTRUCCIÓN DE LA PAZ EN COLOMBIA</w:t>
        </w:r>
        <w:r>
          <w:rPr>
            <w:noProof/>
            <w:webHidden/>
          </w:rPr>
          <w:tab/>
        </w:r>
        <w:r>
          <w:rPr>
            <w:noProof/>
            <w:webHidden/>
          </w:rPr>
          <w:fldChar w:fldCharType="begin"/>
        </w:r>
        <w:r>
          <w:rPr>
            <w:noProof/>
            <w:webHidden/>
          </w:rPr>
          <w:instrText xml:space="preserve"> PAGEREF _Toc112399675 \h </w:instrText>
        </w:r>
        <w:r>
          <w:rPr>
            <w:noProof/>
            <w:webHidden/>
          </w:rPr>
        </w:r>
        <w:r>
          <w:rPr>
            <w:noProof/>
            <w:webHidden/>
          </w:rPr>
          <w:fldChar w:fldCharType="separate"/>
        </w:r>
        <w:r>
          <w:rPr>
            <w:noProof/>
            <w:webHidden/>
          </w:rPr>
          <w:t>976</w:t>
        </w:r>
        <w:r>
          <w:rPr>
            <w:noProof/>
            <w:webHidden/>
          </w:rPr>
          <w:fldChar w:fldCharType="end"/>
        </w:r>
      </w:hyperlink>
    </w:p>
    <w:p w:rsidR="00513F80" w:rsidRDefault="00513F80">
      <w:pPr>
        <w:pStyle w:val="TDC1"/>
        <w:tabs>
          <w:tab w:val="left" w:pos="1100"/>
          <w:tab w:val="right" w:leader="dot" w:pos="8828"/>
        </w:tabs>
        <w:rPr>
          <w:rFonts w:asciiTheme="minorHAnsi" w:eastAsiaTheme="minorEastAsia" w:hAnsiTheme="minorHAnsi" w:cstheme="minorBidi"/>
          <w:b w:val="0"/>
          <w:noProof/>
          <w:sz w:val="22"/>
          <w:szCs w:val="22"/>
          <w:lang w:val="es-CO" w:eastAsia="es-CO"/>
        </w:rPr>
      </w:pPr>
      <w:hyperlink w:anchor="_Toc112399676" w:history="1">
        <w:r w:rsidRPr="00DF6938">
          <w:rPr>
            <w:rStyle w:val="Hipervnculo"/>
            <w:noProof/>
          </w:rPr>
          <w:t>II.</w:t>
        </w:r>
        <w:r>
          <w:rPr>
            <w:rFonts w:asciiTheme="minorHAnsi" w:eastAsiaTheme="minorEastAsia" w:hAnsiTheme="minorHAnsi" w:cstheme="minorBidi"/>
            <w:b w:val="0"/>
            <w:noProof/>
            <w:sz w:val="22"/>
            <w:szCs w:val="22"/>
            <w:lang w:val="es-CO" w:eastAsia="es-CO"/>
          </w:rPr>
          <w:tab/>
        </w:r>
        <w:r w:rsidRPr="00DF6938">
          <w:rPr>
            <w:rStyle w:val="Hipervnculo"/>
            <w:noProof/>
          </w:rPr>
          <w:t>RECOMENDACIONES</w:t>
        </w:r>
        <w:r>
          <w:rPr>
            <w:noProof/>
            <w:webHidden/>
          </w:rPr>
          <w:tab/>
        </w:r>
        <w:r>
          <w:rPr>
            <w:noProof/>
            <w:webHidden/>
          </w:rPr>
          <w:fldChar w:fldCharType="begin"/>
        </w:r>
        <w:r>
          <w:rPr>
            <w:noProof/>
            <w:webHidden/>
          </w:rPr>
          <w:instrText xml:space="preserve"> PAGEREF _Toc112399676 \h </w:instrText>
        </w:r>
        <w:r>
          <w:rPr>
            <w:noProof/>
            <w:webHidden/>
          </w:rPr>
        </w:r>
        <w:r>
          <w:rPr>
            <w:noProof/>
            <w:webHidden/>
          </w:rPr>
          <w:fldChar w:fldCharType="separate"/>
        </w:r>
        <w:r>
          <w:rPr>
            <w:noProof/>
            <w:webHidden/>
          </w:rPr>
          <w:t>983</w:t>
        </w:r>
        <w:r>
          <w:rPr>
            <w:noProof/>
            <w:webHidden/>
          </w:rPr>
          <w:fldChar w:fldCharType="end"/>
        </w:r>
      </w:hyperlink>
    </w:p>
    <w:p w:rsidR="00513F80" w:rsidRDefault="00513F80">
      <w:pPr>
        <w:pStyle w:val="TDC2"/>
        <w:tabs>
          <w:tab w:val="right" w:leader="dot" w:pos="8828"/>
        </w:tabs>
        <w:rPr>
          <w:rFonts w:asciiTheme="minorHAnsi" w:eastAsiaTheme="minorEastAsia" w:hAnsiTheme="minorHAnsi" w:cstheme="minorBidi"/>
          <w:b w:val="0"/>
          <w:bCs w:val="0"/>
          <w:iCs w:val="0"/>
          <w:noProof/>
          <w:sz w:val="22"/>
          <w:lang w:val="es-CO" w:eastAsia="es-CO"/>
        </w:rPr>
      </w:pPr>
      <w:hyperlink w:anchor="_Toc112399677" w:history="1">
        <w:r w:rsidRPr="00DF6938">
          <w:rPr>
            <w:rStyle w:val="Hipervnculo"/>
            <w:noProof/>
          </w:rPr>
          <w:t>INTRODUCCIÓN</w:t>
        </w:r>
        <w:r>
          <w:rPr>
            <w:noProof/>
            <w:webHidden/>
          </w:rPr>
          <w:tab/>
        </w:r>
        <w:r>
          <w:rPr>
            <w:noProof/>
            <w:webHidden/>
          </w:rPr>
          <w:fldChar w:fldCharType="begin"/>
        </w:r>
        <w:r>
          <w:rPr>
            <w:noProof/>
            <w:webHidden/>
          </w:rPr>
          <w:instrText xml:space="preserve"> PAGEREF _Toc112399677 \h </w:instrText>
        </w:r>
        <w:r>
          <w:rPr>
            <w:noProof/>
            <w:webHidden/>
          </w:rPr>
        </w:r>
        <w:r>
          <w:rPr>
            <w:noProof/>
            <w:webHidden/>
          </w:rPr>
          <w:fldChar w:fldCharType="separate"/>
        </w:r>
        <w:r>
          <w:rPr>
            <w:noProof/>
            <w:webHidden/>
          </w:rPr>
          <w:t>983</w:t>
        </w:r>
        <w:r>
          <w:rPr>
            <w:noProof/>
            <w:webHidden/>
          </w:rPr>
          <w:fldChar w:fldCharType="end"/>
        </w:r>
      </w:hyperlink>
    </w:p>
    <w:p w:rsidR="00513F80" w:rsidRDefault="00513F80">
      <w:pPr>
        <w:pStyle w:val="TDC3"/>
        <w:tabs>
          <w:tab w:val="right" w:leader="dot" w:pos="8828"/>
        </w:tabs>
        <w:rPr>
          <w:rFonts w:asciiTheme="minorHAnsi" w:eastAsiaTheme="minorEastAsia" w:hAnsiTheme="minorHAnsi" w:cstheme="minorBidi"/>
          <w:noProof/>
          <w:sz w:val="22"/>
          <w:szCs w:val="22"/>
          <w:lang w:val="es-CO" w:eastAsia="es-CO"/>
        </w:rPr>
      </w:pPr>
      <w:hyperlink w:anchor="_Toc112399678" w:history="1">
        <w:r w:rsidRPr="00DF6938">
          <w:rPr>
            <w:rStyle w:val="Hipervnculo"/>
            <w:noProof/>
          </w:rPr>
          <w:t>Síntesis de las</w:t>
        </w:r>
        <w:r w:rsidRPr="00DF6938">
          <w:rPr>
            <w:rStyle w:val="Hipervnculo"/>
            <w:noProof/>
            <w:spacing w:val="-1"/>
          </w:rPr>
          <w:t xml:space="preserve"> </w:t>
        </w:r>
        <w:r w:rsidRPr="00DF6938">
          <w:rPr>
            <w:rStyle w:val="Hipervnculo"/>
            <w:noProof/>
          </w:rPr>
          <w:t>recomendaciones</w:t>
        </w:r>
        <w:r>
          <w:rPr>
            <w:noProof/>
            <w:webHidden/>
          </w:rPr>
          <w:tab/>
        </w:r>
        <w:r>
          <w:rPr>
            <w:noProof/>
            <w:webHidden/>
          </w:rPr>
          <w:fldChar w:fldCharType="begin"/>
        </w:r>
        <w:r>
          <w:rPr>
            <w:noProof/>
            <w:webHidden/>
          </w:rPr>
          <w:instrText xml:space="preserve"> PAGEREF _Toc112399678 \h </w:instrText>
        </w:r>
        <w:r>
          <w:rPr>
            <w:noProof/>
            <w:webHidden/>
          </w:rPr>
        </w:r>
        <w:r>
          <w:rPr>
            <w:noProof/>
            <w:webHidden/>
          </w:rPr>
          <w:fldChar w:fldCharType="separate"/>
        </w:r>
        <w:r>
          <w:rPr>
            <w:noProof/>
            <w:webHidden/>
          </w:rPr>
          <w:t>987</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679" w:history="1">
        <w:r w:rsidRPr="00DF6938">
          <w:rPr>
            <w:rStyle w:val="Hipervnculo"/>
            <w:noProof/>
          </w:rPr>
          <w:t>1.</w:t>
        </w:r>
        <w:r>
          <w:rPr>
            <w:rFonts w:asciiTheme="minorHAnsi" w:eastAsiaTheme="minorEastAsia" w:hAnsiTheme="minorHAnsi" w:cstheme="minorBidi"/>
            <w:b w:val="0"/>
            <w:bCs w:val="0"/>
            <w:iCs w:val="0"/>
            <w:noProof/>
            <w:sz w:val="22"/>
            <w:lang w:val="es-CO" w:eastAsia="es-CO"/>
          </w:rPr>
          <w:tab/>
        </w:r>
        <w:r w:rsidRPr="00DF6938">
          <w:rPr>
            <w:rStyle w:val="Hipervnculo"/>
            <w:noProof/>
          </w:rPr>
          <w:t>PARA</w:t>
        </w:r>
        <w:r w:rsidRPr="00DF6938">
          <w:rPr>
            <w:rStyle w:val="Hipervnculo"/>
            <w:noProof/>
            <w:spacing w:val="80"/>
          </w:rPr>
          <w:t xml:space="preserve"> </w:t>
        </w:r>
        <w:r w:rsidRPr="00DF6938">
          <w:rPr>
            <w:rStyle w:val="Hipervnculo"/>
            <w:noProof/>
          </w:rPr>
          <w:t>AVANZAR</w:t>
        </w:r>
        <w:r w:rsidRPr="00DF6938">
          <w:rPr>
            <w:rStyle w:val="Hipervnculo"/>
            <w:noProof/>
            <w:spacing w:val="80"/>
          </w:rPr>
          <w:t xml:space="preserve"> </w:t>
        </w:r>
        <w:r w:rsidRPr="00DF6938">
          <w:rPr>
            <w:rStyle w:val="Hipervnculo"/>
            <w:noProof/>
          </w:rPr>
          <w:t>EN</w:t>
        </w:r>
        <w:r w:rsidRPr="00DF6938">
          <w:rPr>
            <w:rStyle w:val="Hipervnculo"/>
            <w:noProof/>
            <w:spacing w:val="80"/>
          </w:rPr>
          <w:t xml:space="preserve"> </w:t>
        </w:r>
        <w:r w:rsidRPr="00DF6938">
          <w:rPr>
            <w:rStyle w:val="Hipervnculo"/>
            <w:noProof/>
          </w:rPr>
          <w:t>LA</w:t>
        </w:r>
        <w:r w:rsidRPr="00DF6938">
          <w:rPr>
            <w:rStyle w:val="Hipervnculo"/>
            <w:noProof/>
            <w:spacing w:val="80"/>
          </w:rPr>
          <w:t xml:space="preserve"> </w:t>
        </w:r>
        <w:r w:rsidRPr="00DF6938">
          <w:rPr>
            <w:rStyle w:val="Hipervnculo"/>
            <w:noProof/>
          </w:rPr>
          <w:t>CONSTRUCCIÓN</w:t>
        </w:r>
        <w:r w:rsidRPr="00DF6938">
          <w:rPr>
            <w:rStyle w:val="Hipervnculo"/>
            <w:noProof/>
            <w:spacing w:val="80"/>
          </w:rPr>
          <w:t xml:space="preserve"> </w:t>
        </w:r>
        <w:r w:rsidRPr="00DF6938">
          <w:rPr>
            <w:rStyle w:val="Hipervnculo"/>
            <w:noProof/>
          </w:rPr>
          <w:t>DE</w:t>
        </w:r>
        <w:r w:rsidRPr="00DF6938">
          <w:rPr>
            <w:rStyle w:val="Hipervnculo"/>
            <w:noProof/>
            <w:spacing w:val="80"/>
          </w:rPr>
          <w:t xml:space="preserve"> </w:t>
        </w:r>
        <w:r w:rsidRPr="00DF6938">
          <w:rPr>
            <w:rStyle w:val="Hipervnculo"/>
            <w:noProof/>
          </w:rPr>
          <w:t>PAZ</w:t>
        </w:r>
        <w:r w:rsidRPr="00DF6938">
          <w:rPr>
            <w:rStyle w:val="Hipervnculo"/>
            <w:noProof/>
            <w:spacing w:val="80"/>
          </w:rPr>
          <w:t xml:space="preserve"> </w:t>
        </w:r>
        <w:r w:rsidRPr="00DF6938">
          <w:rPr>
            <w:rStyle w:val="Hipervnculo"/>
            <w:noProof/>
          </w:rPr>
          <w:t>COMO</w:t>
        </w:r>
        <w:r w:rsidRPr="00DF6938">
          <w:rPr>
            <w:rStyle w:val="Hipervnculo"/>
            <w:noProof/>
            <w:spacing w:val="80"/>
          </w:rPr>
          <w:t xml:space="preserve"> </w:t>
        </w:r>
        <w:r w:rsidRPr="00DF6938">
          <w:rPr>
            <w:rStyle w:val="Hipervnculo"/>
            <w:noProof/>
          </w:rPr>
          <w:t>UN</w:t>
        </w:r>
        <w:r w:rsidRPr="00DF6938">
          <w:rPr>
            <w:rStyle w:val="Hipervnculo"/>
            <w:noProof/>
            <w:spacing w:val="80"/>
          </w:rPr>
          <w:t xml:space="preserve"> </w:t>
        </w:r>
        <w:r w:rsidRPr="00DF6938">
          <w:rPr>
            <w:rStyle w:val="Hipervnculo"/>
            <w:noProof/>
          </w:rPr>
          <w:t xml:space="preserve">PROYECTO </w:t>
        </w:r>
        <w:r w:rsidRPr="00DF6938">
          <w:rPr>
            <w:rStyle w:val="Hipervnculo"/>
            <w:noProof/>
            <w:spacing w:val="-2"/>
          </w:rPr>
          <w:t>NACIONAL</w:t>
        </w:r>
        <w:r>
          <w:rPr>
            <w:noProof/>
            <w:webHidden/>
          </w:rPr>
          <w:tab/>
        </w:r>
        <w:r>
          <w:rPr>
            <w:noProof/>
            <w:webHidden/>
          </w:rPr>
          <w:fldChar w:fldCharType="begin"/>
        </w:r>
        <w:r>
          <w:rPr>
            <w:noProof/>
            <w:webHidden/>
          </w:rPr>
          <w:instrText xml:space="preserve"> PAGEREF _Toc112399679 \h </w:instrText>
        </w:r>
        <w:r>
          <w:rPr>
            <w:noProof/>
            <w:webHidden/>
          </w:rPr>
        </w:r>
        <w:r>
          <w:rPr>
            <w:noProof/>
            <w:webHidden/>
          </w:rPr>
          <w:fldChar w:fldCharType="separate"/>
        </w:r>
        <w:r>
          <w:rPr>
            <w:noProof/>
            <w:webHidden/>
          </w:rPr>
          <w:t>996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80" w:history="1">
        <w:r w:rsidRPr="00DF6938">
          <w:rPr>
            <w:rStyle w:val="Hipervnculo"/>
            <w:noProof/>
          </w:rPr>
          <w:t>1.1.</w:t>
        </w:r>
        <w:r>
          <w:rPr>
            <w:rFonts w:asciiTheme="minorHAnsi" w:eastAsiaTheme="minorEastAsia" w:hAnsiTheme="minorHAnsi" w:cstheme="minorBidi"/>
            <w:noProof/>
            <w:sz w:val="22"/>
            <w:szCs w:val="22"/>
            <w:lang w:val="es-CO" w:eastAsia="es-CO"/>
          </w:rPr>
          <w:tab/>
        </w:r>
        <w:r w:rsidRPr="00DF6938">
          <w:rPr>
            <w:rStyle w:val="Hipervnculo"/>
            <w:noProof/>
          </w:rPr>
          <w:t>Implementación integral del Acuerdo Final de Paz Corto</w:t>
        </w:r>
        <w:r w:rsidRPr="00DF6938">
          <w:rPr>
            <w:rStyle w:val="Hipervnculo"/>
            <w:noProof/>
            <w:spacing w:val="-1"/>
          </w:rPr>
          <w:t xml:space="preserve"> </w:t>
        </w:r>
        <w:r w:rsidRPr="00DF6938">
          <w:rPr>
            <w:rStyle w:val="Hipervnculo"/>
            <w:noProof/>
            <w:spacing w:val="-2"/>
          </w:rPr>
          <w:t>plazo</w:t>
        </w:r>
        <w:r>
          <w:rPr>
            <w:noProof/>
            <w:webHidden/>
          </w:rPr>
          <w:tab/>
        </w:r>
        <w:r>
          <w:rPr>
            <w:noProof/>
            <w:webHidden/>
          </w:rPr>
          <w:fldChar w:fldCharType="begin"/>
        </w:r>
        <w:r>
          <w:rPr>
            <w:noProof/>
            <w:webHidden/>
          </w:rPr>
          <w:instrText xml:space="preserve"> PAGEREF _Toc112399680 \h </w:instrText>
        </w:r>
        <w:r>
          <w:rPr>
            <w:noProof/>
            <w:webHidden/>
          </w:rPr>
        </w:r>
        <w:r>
          <w:rPr>
            <w:noProof/>
            <w:webHidden/>
          </w:rPr>
          <w:fldChar w:fldCharType="separate"/>
        </w:r>
        <w:r>
          <w:rPr>
            <w:noProof/>
            <w:webHidden/>
          </w:rPr>
          <w:t>1002</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81" w:history="1">
        <w:r w:rsidRPr="00DF6938">
          <w:rPr>
            <w:rStyle w:val="Hipervnculo"/>
            <w:noProof/>
          </w:rPr>
          <w:t>1.2.</w:t>
        </w:r>
        <w:r>
          <w:rPr>
            <w:rFonts w:asciiTheme="minorHAnsi" w:eastAsiaTheme="minorEastAsia" w:hAnsiTheme="minorHAnsi" w:cstheme="minorBidi"/>
            <w:noProof/>
            <w:sz w:val="22"/>
            <w:szCs w:val="22"/>
            <w:lang w:val="es-CO" w:eastAsia="es-CO"/>
          </w:rPr>
          <w:tab/>
        </w:r>
        <w:r w:rsidRPr="00DF6938">
          <w:rPr>
            <w:rStyle w:val="Hipervnculo"/>
            <w:noProof/>
          </w:rPr>
          <w:t>Creación</w:t>
        </w:r>
        <w:r w:rsidRPr="00DF6938">
          <w:rPr>
            <w:rStyle w:val="Hipervnculo"/>
            <w:noProof/>
            <w:spacing w:val="-2"/>
          </w:rPr>
          <w:t xml:space="preserve"> </w:t>
        </w:r>
        <w:r w:rsidRPr="00DF6938">
          <w:rPr>
            <w:rStyle w:val="Hipervnculo"/>
            <w:noProof/>
          </w:rPr>
          <w:t>de</w:t>
        </w:r>
        <w:r w:rsidRPr="00DF6938">
          <w:rPr>
            <w:rStyle w:val="Hipervnculo"/>
            <w:noProof/>
            <w:spacing w:val="-1"/>
          </w:rPr>
          <w:t xml:space="preserve"> </w:t>
        </w:r>
        <w:r w:rsidRPr="00DF6938">
          <w:rPr>
            <w:rStyle w:val="Hipervnculo"/>
            <w:noProof/>
          </w:rPr>
          <w:t>un</w:t>
        </w:r>
        <w:r w:rsidRPr="00DF6938">
          <w:rPr>
            <w:rStyle w:val="Hipervnculo"/>
            <w:noProof/>
            <w:spacing w:val="-2"/>
          </w:rPr>
          <w:t xml:space="preserve"> </w:t>
        </w:r>
        <w:r w:rsidRPr="00DF6938">
          <w:rPr>
            <w:rStyle w:val="Hipervnculo"/>
            <w:noProof/>
          </w:rPr>
          <w:t>Ministerio</w:t>
        </w:r>
        <w:r w:rsidRPr="00DF6938">
          <w:rPr>
            <w:rStyle w:val="Hipervnculo"/>
            <w:noProof/>
            <w:spacing w:val="-1"/>
          </w:rPr>
          <w:t xml:space="preserve"> </w:t>
        </w:r>
        <w:r w:rsidRPr="00DF6938">
          <w:rPr>
            <w:rStyle w:val="Hipervnculo"/>
            <w:noProof/>
          </w:rPr>
          <w:t>para</w:t>
        </w:r>
        <w:r w:rsidRPr="00DF6938">
          <w:rPr>
            <w:rStyle w:val="Hipervnculo"/>
            <w:noProof/>
            <w:spacing w:val="-1"/>
          </w:rPr>
          <w:t xml:space="preserve"> </w:t>
        </w:r>
        <w:r w:rsidRPr="00DF6938">
          <w:rPr>
            <w:rStyle w:val="Hipervnculo"/>
            <w:noProof/>
          </w:rPr>
          <w:t>la</w:t>
        </w:r>
        <w:r w:rsidRPr="00DF6938">
          <w:rPr>
            <w:rStyle w:val="Hipervnculo"/>
            <w:noProof/>
            <w:spacing w:val="-3"/>
          </w:rPr>
          <w:t xml:space="preserve"> </w:t>
        </w:r>
        <w:r w:rsidRPr="00DF6938">
          <w:rPr>
            <w:rStyle w:val="Hipervnculo"/>
            <w:noProof/>
          </w:rPr>
          <w:t>Paz</w:t>
        </w:r>
        <w:r w:rsidRPr="00DF6938">
          <w:rPr>
            <w:rStyle w:val="Hipervnculo"/>
            <w:noProof/>
            <w:spacing w:val="-1"/>
          </w:rPr>
          <w:t xml:space="preserve"> </w:t>
        </w:r>
        <w:r w:rsidRPr="00DF6938">
          <w:rPr>
            <w:rStyle w:val="Hipervnculo"/>
            <w:noProof/>
          </w:rPr>
          <w:t>y</w:t>
        </w:r>
        <w:r w:rsidRPr="00DF6938">
          <w:rPr>
            <w:rStyle w:val="Hipervnculo"/>
            <w:noProof/>
            <w:spacing w:val="-1"/>
          </w:rPr>
          <w:t xml:space="preserve"> </w:t>
        </w:r>
        <w:r w:rsidRPr="00DF6938">
          <w:rPr>
            <w:rStyle w:val="Hipervnculo"/>
            <w:noProof/>
          </w:rPr>
          <w:t xml:space="preserve">la </w:t>
        </w:r>
        <w:r w:rsidRPr="00DF6938">
          <w:rPr>
            <w:rStyle w:val="Hipervnculo"/>
            <w:noProof/>
            <w:spacing w:val="-2"/>
          </w:rPr>
          <w:t xml:space="preserve">Reconciliación </w:t>
        </w:r>
        <w:r w:rsidRPr="00DF6938">
          <w:rPr>
            <w:rStyle w:val="Hipervnculo"/>
            <w:noProof/>
          </w:rPr>
          <w:t>Mediano</w:t>
        </w:r>
        <w:r w:rsidRPr="00DF6938">
          <w:rPr>
            <w:rStyle w:val="Hipervnculo"/>
            <w:noProof/>
            <w:spacing w:val="-3"/>
          </w:rPr>
          <w:t xml:space="preserve"> </w:t>
        </w:r>
        <w:r w:rsidRPr="00DF6938">
          <w:rPr>
            <w:rStyle w:val="Hipervnculo"/>
            <w:noProof/>
            <w:spacing w:val="-2"/>
          </w:rPr>
          <w:t>plazo</w:t>
        </w:r>
        <w:r>
          <w:rPr>
            <w:noProof/>
            <w:webHidden/>
          </w:rPr>
          <w:tab/>
        </w:r>
        <w:r>
          <w:rPr>
            <w:noProof/>
            <w:webHidden/>
          </w:rPr>
          <w:fldChar w:fldCharType="begin"/>
        </w:r>
        <w:r>
          <w:rPr>
            <w:noProof/>
            <w:webHidden/>
          </w:rPr>
          <w:instrText xml:space="preserve"> PAGEREF _Toc112399681 \h </w:instrText>
        </w:r>
        <w:r>
          <w:rPr>
            <w:noProof/>
            <w:webHidden/>
          </w:rPr>
        </w:r>
        <w:r>
          <w:rPr>
            <w:noProof/>
            <w:webHidden/>
          </w:rPr>
          <w:fldChar w:fldCharType="separate"/>
        </w:r>
        <w:r>
          <w:rPr>
            <w:noProof/>
            <w:webHidden/>
          </w:rPr>
          <w:t>1004</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82" w:history="1">
        <w:r w:rsidRPr="00DF6938">
          <w:rPr>
            <w:rStyle w:val="Hipervnculo"/>
            <w:noProof/>
          </w:rPr>
          <w:t>1.3.</w:t>
        </w:r>
        <w:r>
          <w:rPr>
            <w:rFonts w:asciiTheme="minorHAnsi" w:eastAsiaTheme="minorEastAsia" w:hAnsiTheme="minorHAnsi" w:cstheme="minorBidi"/>
            <w:noProof/>
            <w:sz w:val="22"/>
            <w:szCs w:val="22"/>
            <w:lang w:val="es-CO" w:eastAsia="es-CO"/>
          </w:rPr>
          <w:tab/>
        </w:r>
        <w:r w:rsidRPr="00DF6938">
          <w:rPr>
            <w:rStyle w:val="Hipervnculo"/>
            <w:noProof/>
          </w:rPr>
          <w:t>Cooperación</w:t>
        </w:r>
        <w:r w:rsidRPr="00DF6938">
          <w:rPr>
            <w:rStyle w:val="Hipervnculo"/>
            <w:noProof/>
            <w:spacing w:val="-3"/>
          </w:rPr>
          <w:t xml:space="preserve"> </w:t>
        </w:r>
        <w:r w:rsidRPr="00DF6938">
          <w:rPr>
            <w:rStyle w:val="Hipervnculo"/>
            <w:noProof/>
          </w:rPr>
          <w:t>internacional</w:t>
        </w:r>
        <w:r w:rsidRPr="00DF6938">
          <w:rPr>
            <w:rStyle w:val="Hipervnculo"/>
            <w:noProof/>
            <w:spacing w:val="-2"/>
          </w:rPr>
          <w:t xml:space="preserve"> </w:t>
        </w:r>
        <w:r w:rsidRPr="00DF6938">
          <w:rPr>
            <w:rStyle w:val="Hipervnculo"/>
            <w:noProof/>
          </w:rPr>
          <w:t>para</w:t>
        </w:r>
        <w:r w:rsidRPr="00DF6938">
          <w:rPr>
            <w:rStyle w:val="Hipervnculo"/>
            <w:noProof/>
            <w:spacing w:val="-2"/>
          </w:rPr>
          <w:t xml:space="preserve"> </w:t>
        </w:r>
        <w:r w:rsidRPr="00DF6938">
          <w:rPr>
            <w:rStyle w:val="Hipervnculo"/>
            <w:noProof/>
          </w:rPr>
          <w:t>la</w:t>
        </w:r>
        <w:r w:rsidRPr="00DF6938">
          <w:rPr>
            <w:rStyle w:val="Hipervnculo"/>
            <w:noProof/>
            <w:spacing w:val="-2"/>
          </w:rPr>
          <w:t xml:space="preserve"> paz </w:t>
        </w:r>
        <w:r w:rsidRPr="00DF6938">
          <w:rPr>
            <w:rStyle w:val="Hipervnculo"/>
            <w:noProof/>
          </w:rPr>
          <w:t>Mediano</w:t>
        </w:r>
        <w:r w:rsidRPr="00DF6938">
          <w:rPr>
            <w:rStyle w:val="Hipervnculo"/>
            <w:noProof/>
            <w:spacing w:val="-3"/>
          </w:rPr>
          <w:t xml:space="preserve"> </w:t>
        </w:r>
        <w:r w:rsidRPr="00DF6938">
          <w:rPr>
            <w:rStyle w:val="Hipervnculo"/>
            <w:noProof/>
            <w:spacing w:val="-2"/>
          </w:rPr>
          <w:t>plazo</w:t>
        </w:r>
        <w:r>
          <w:rPr>
            <w:noProof/>
            <w:webHidden/>
          </w:rPr>
          <w:tab/>
        </w:r>
        <w:r>
          <w:rPr>
            <w:noProof/>
            <w:webHidden/>
          </w:rPr>
          <w:fldChar w:fldCharType="begin"/>
        </w:r>
        <w:r>
          <w:rPr>
            <w:noProof/>
            <w:webHidden/>
          </w:rPr>
          <w:instrText xml:space="preserve"> PAGEREF _Toc112399682 \h </w:instrText>
        </w:r>
        <w:r>
          <w:rPr>
            <w:noProof/>
            <w:webHidden/>
          </w:rPr>
        </w:r>
        <w:r>
          <w:rPr>
            <w:noProof/>
            <w:webHidden/>
          </w:rPr>
          <w:fldChar w:fldCharType="separate"/>
        </w:r>
        <w:r>
          <w:rPr>
            <w:noProof/>
            <w:webHidden/>
          </w:rPr>
          <w:t>1004</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83" w:history="1">
        <w:r w:rsidRPr="00DF6938">
          <w:rPr>
            <w:rStyle w:val="Hipervnculo"/>
            <w:noProof/>
          </w:rPr>
          <w:t>1.4.</w:t>
        </w:r>
        <w:r>
          <w:rPr>
            <w:rFonts w:asciiTheme="minorHAnsi" w:eastAsiaTheme="minorEastAsia" w:hAnsiTheme="minorHAnsi" w:cstheme="minorBidi"/>
            <w:noProof/>
            <w:sz w:val="22"/>
            <w:szCs w:val="22"/>
            <w:lang w:val="es-CO" w:eastAsia="es-CO"/>
          </w:rPr>
          <w:tab/>
        </w:r>
        <w:r w:rsidRPr="00DF6938">
          <w:rPr>
            <w:rStyle w:val="Hipervnculo"/>
            <w:noProof/>
          </w:rPr>
          <w:t>Medidas humanitarias. Corto</w:t>
        </w:r>
        <w:r w:rsidRPr="00DF6938">
          <w:rPr>
            <w:rStyle w:val="Hipervnculo"/>
            <w:noProof/>
            <w:spacing w:val="-1"/>
          </w:rPr>
          <w:t xml:space="preserve"> </w:t>
        </w:r>
        <w:r w:rsidRPr="00DF6938">
          <w:rPr>
            <w:rStyle w:val="Hipervnculo"/>
            <w:noProof/>
            <w:spacing w:val="-2"/>
          </w:rPr>
          <w:t>plazo</w:t>
        </w:r>
        <w:r>
          <w:rPr>
            <w:noProof/>
            <w:webHidden/>
          </w:rPr>
          <w:tab/>
        </w:r>
        <w:r>
          <w:rPr>
            <w:noProof/>
            <w:webHidden/>
          </w:rPr>
          <w:fldChar w:fldCharType="begin"/>
        </w:r>
        <w:r>
          <w:rPr>
            <w:noProof/>
            <w:webHidden/>
          </w:rPr>
          <w:instrText xml:space="preserve"> PAGEREF _Toc112399683 \h </w:instrText>
        </w:r>
        <w:r>
          <w:rPr>
            <w:noProof/>
            <w:webHidden/>
          </w:rPr>
        </w:r>
        <w:r>
          <w:rPr>
            <w:noProof/>
            <w:webHidden/>
          </w:rPr>
          <w:fldChar w:fldCharType="separate"/>
        </w:r>
        <w:r>
          <w:rPr>
            <w:noProof/>
            <w:webHidden/>
          </w:rPr>
          <w:t>1005</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84" w:history="1">
        <w:r w:rsidRPr="00DF6938">
          <w:rPr>
            <w:rStyle w:val="Hipervnculo"/>
            <w:noProof/>
          </w:rPr>
          <w:t>1.5.</w:t>
        </w:r>
        <w:r>
          <w:rPr>
            <w:rFonts w:asciiTheme="minorHAnsi" w:eastAsiaTheme="minorEastAsia" w:hAnsiTheme="minorHAnsi" w:cstheme="minorBidi"/>
            <w:noProof/>
            <w:sz w:val="22"/>
            <w:szCs w:val="22"/>
            <w:lang w:val="es-CO" w:eastAsia="es-CO"/>
          </w:rPr>
          <w:tab/>
        </w:r>
        <w:r w:rsidRPr="00DF6938">
          <w:rPr>
            <w:rStyle w:val="Hipervnculo"/>
            <w:noProof/>
          </w:rPr>
          <w:t>Priorización</w:t>
        </w:r>
        <w:r w:rsidRPr="00DF6938">
          <w:rPr>
            <w:rStyle w:val="Hipervnculo"/>
            <w:noProof/>
            <w:spacing w:val="-5"/>
          </w:rPr>
          <w:t xml:space="preserve"> </w:t>
        </w:r>
        <w:r w:rsidRPr="00DF6938">
          <w:rPr>
            <w:rStyle w:val="Hipervnculo"/>
            <w:noProof/>
          </w:rPr>
          <w:t>del</w:t>
        </w:r>
        <w:r w:rsidRPr="00DF6938">
          <w:rPr>
            <w:rStyle w:val="Hipervnculo"/>
            <w:noProof/>
            <w:spacing w:val="-1"/>
          </w:rPr>
          <w:t xml:space="preserve"> </w:t>
        </w:r>
        <w:r w:rsidRPr="00DF6938">
          <w:rPr>
            <w:rStyle w:val="Hipervnculo"/>
            <w:noProof/>
          </w:rPr>
          <w:t>diálogo</w:t>
        </w:r>
        <w:r w:rsidRPr="00DF6938">
          <w:rPr>
            <w:rStyle w:val="Hipervnculo"/>
            <w:noProof/>
            <w:spacing w:val="-1"/>
          </w:rPr>
          <w:t xml:space="preserve"> </w:t>
        </w:r>
        <w:r w:rsidRPr="00DF6938">
          <w:rPr>
            <w:rStyle w:val="Hipervnculo"/>
            <w:noProof/>
          </w:rPr>
          <w:t>para</w:t>
        </w:r>
        <w:r w:rsidRPr="00DF6938">
          <w:rPr>
            <w:rStyle w:val="Hipervnculo"/>
            <w:noProof/>
            <w:spacing w:val="-1"/>
          </w:rPr>
          <w:t xml:space="preserve"> </w:t>
        </w:r>
        <w:r w:rsidRPr="00DF6938">
          <w:rPr>
            <w:rStyle w:val="Hipervnculo"/>
            <w:noProof/>
          </w:rPr>
          <w:t>poner</w:t>
        </w:r>
        <w:r w:rsidRPr="00DF6938">
          <w:rPr>
            <w:rStyle w:val="Hipervnculo"/>
            <w:noProof/>
            <w:spacing w:val="-2"/>
          </w:rPr>
          <w:t xml:space="preserve"> </w:t>
        </w:r>
        <w:r w:rsidRPr="00DF6938">
          <w:rPr>
            <w:rStyle w:val="Hipervnculo"/>
            <w:noProof/>
          </w:rPr>
          <w:t>fin</w:t>
        </w:r>
        <w:r w:rsidRPr="00DF6938">
          <w:rPr>
            <w:rStyle w:val="Hipervnculo"/>
            <w:noProof/>
            <w:spacing w:val="-2"/>
          </w:rPr>
          <w:t xml:space="preserve"> </w:t>
        </w:r>
        <w:r w:rsidRPr="00DF6938">
          <w:rPr>
            <w:rStyle w:val="Hipervnculo"/>
            <w:noProof/>
          </w:rPr>
          <w:t>a</w:t>
        </w:r>
        <w:r w:rsidRPr="00DF6938">
          <w:rPr>
            <w:rStyle w:val="Hipervnculo"/>
            <w:noProof/>
            <w:spacing w:val="-3"/>
          </w:rPr>
          <w:t xml:space="preserve"> </w:t>
        </w:r>
        <w:r w:rsidRPr="00DF6938">
          <w:rPr>
            <w:rStyle w:val="Hipervnculo"/>
            <w:noProof/>
          </w:rPr>
          <w:t>la</w:t>
        </w:r>
        <w:r w:rsidRPr="00DF6938">
          <w:rPr>
            <w:rStyle w:val="Hipervnculo"/>
            <w:noProof/>
            <w:spacing w:val="-1"/>
          </w:rPr>
          <w:t xml:space="preserve"> </w:t>
        </w:r>
        <w:r w:rsidRPr="00DF6938">
          <w:rPr>
            <w:rStyle w:val="Hipervnculo"/>
            <w:noProof/>
          </w:rPr>
          <w:t>confrontación</w:t>
        </w:r>
        <w:r w:rsidRPr="00DF6938">
          <w:rPr>
            <w:rStyle w:val="Hipervnculo"/>
            <w:noProof/>
            <w:spacing w:val="-2"/>
          </w:rPr>
          <w:t xml:space="preserve"> armada. </w:t>
        </w:r>
        <w:r w:rsidRPr="00DF6938">
          <w:rPr>
            <w:rStyle w:val="Hipervnculo"/>
            <w:noProof/>
          </w:rPr>
          <w:t>Mediano</w:t>
        </w:r>
        <w:r w:rsidRPr="00DF6938">
          <w:rPr>
            <w:rStyle w:val="Hipervnculo"/>
            <w:noProof/>
            <w:spacing w:val="-3"/>
          </w:rPr>
          <w:t xml:space="preserve"> </w:t>
        </w:r>
        <w:r w:rsidRPr="00DF6938">
          <w:rPr>
            <w:rStyle w:val="Hipervnculo"/>
            <w:noProof/>
            <w:spacing w:val="-2"/>
          </w:rPr>
          <w:t>plazo</w:t>
        </w:r>
        <w:r>
          <w:rPr>
            <w:noProof/>
            <w:webHidden/>
          </w:rPr>
          <w:tab/>
        </w:r>
        <w:r>
          <w:rPr>
            <w:noProof/>
            <w:webHidden/>
          </w:rPr>
          <w:fldChar w:fldCharType="begin"/>
        </w:r>
        <w:r>
          <w:rPr>
            <w:noProof/>
            <w:webHidden/>
          </w:rPr>
          <w:instrText xml:space="preserve"> PAGEREF _Toc112399684 \h </w:instrText>
        </w:r>
        <w:r>
          <w:rPr>
            <w:noProof/>
            <w:webHidden/>
          </w:rPr>
        </w:r>
        <w:r>
          <w:rPr>
            <w:noProof/>
            <w:webHidden/>
          </w:rPr>
          <w:fldChar w:fldCharType="separate"/>
        </w:r>
        <w:r>
          <w:rPr>
            <w:noProof/>
            <w:webHidden/>
          </w:rPr>
          <w:t>1006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85" w:history="1">
        <w:r w:rsidRPr="00DF6938">
          <w:rPr>
            <w:rStyle w:val="Hipervnculo"/>
            <w:noProof/>
          </w:rPr>
          <w:t>1.6.</w:t>
        </w:r>
        <w:r>
          <w:rPr>
            <w:rFonts w:asciiTheme="minorHAnsi" w:eastAsiaTheme="minorEastAsia" w:hAnsiTheme="minorHAnsi" w:cstheme="minorBidi"/>
            <w:noProof/>
            <w:sz w:val="22"/>
            <w:szCs w:val="22"/>
            <w:lang w:val="es-CO" w:eastAsia="es-CO"/>
          </w:rPr>
          <w:tab/>
        </w:r>
        <w:r w:rsidRPr="00DF6938">
          <w:rPr>
            <w:rStyle w:val="Hipervnculo"/>
            <w:noProof/>
          </w:rPr>
          <w:t>Garantías para la reintegración efectiva de los excombatientes y para el restablecimiento de derechos de los niños, niñas y adolescentes desvinculados. Corto</w:t>
        </w:r>
        <w:r w:rsidRPr="00DF6938">
          <w:rPr>
            <w:rStyle w:val="Hipervnculo"/>
            <w:noProof/>
            <w:spacing w:val="-1"/>
          </w:rPr>
          <w:t xml:space="preserve"> </w:t>
        </w:r>
        <w:r w:rsidRPr="00DF6938">
          <w:rPr>
            <w:rStyle w:val="Hipervnculo"/>
            <w:noProof/>
            <w:spacing w:val="-2"/>
          </w:rPr>
          <w:t>plazo</w:t>
        </w:r>
        <w:r>
          <w:rPr>
            <w:noProof/>
            <w:webHidden/>
          </w:rPr>
          <w:tab/>
        </w:r>
        <w:r>
          <w:rPr>
            <w:noProof/>
            <w:webHidden/>
          </w:rPr>
          <w:fldChar w:fldCharType="begin"/>
        </w:r>
        <w:r>
          <w:rPr>
            <w:noProof/>
            <w:webHidden/>
          </w:rPr>
          <w:instrText xml:space="preserve"> PAGEREF _Toc112399685 \h </w:instrText>
        </w:r>
        <w:r>
          <w:rPr>
            <w:noProof/>
            <w:webHidden/>
          </w:rPr>
        </w:r>
        <w:r>
          <w:rPr>
            <w:noProof/>
            <w:webHidden/>
          </w:rPr>
          <w:fldChar w:fldCharType="separate"/>
        </w:r>
        <w:r>
          <w:rPr>
            <w:noProof/>
            <w:webHidden/>
          </w:rPr>
          <w:t>1009</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686" w:history="1">
        <w:r w:rsidRPr="00DF6938">
          <w:rPr>
            <w:rStyle w:val="Hipervnculo"/>
            <w:noProof/>
          </w:rPr>
          <w:t>2.</w:t>
        </w:r>
        <w:r>
          <w:rPr>
            <w:rFonts w:asciiTheme="minorHAnsi" w:eastAsiaTheme="minorEastAsia" w:hAnsiTheme="minorHAnsi" w:cstheme="minorBidi"/>
            <w:b w:val="0"/>
            <w:bCs w:val="0"/>
            <w:iCs w:val="0"/>
            <w:noProof/>
            <w:sz w:val="22"/>
            <w:lang w:val="es-CO" w:eastAsia="es-CO"/>
          </w:rPr>
          <w:tab/>
        </w:r>
        <w:r w:rsidRPr="00DF6938">
          <w:rPr>
            <w:rStyle w:val="Hipervnculo"/>
            <w:noProof/>
          </w:rPr>
          <w:t xml:space="preserve">PARA GARANTIZAR LA REPARACIÓN INTEGRAL, LA CONSTRUCCIÓN DE MEMORIA, LA REHABILITACIÓN Y EL RECONOCIMIENTO DE LA DIGNIDAD DE LAS VÍCTIMAS Y DE </w:t>
        </w:r>
        <w:r w:rsidRPr="00DF6938">
          <w:rPr>
            <w:rStyle w:val="Hipervnculo"/>
            <w:noProof/>
            <w:spacing w:val="-2"/>
          </w:rPr>
          <w:t>RESPONSABILIDADES</w:t>
        </w:r>
        <w:r>
          <w:rPr>
            <w:noProof/>
            <w:webHidden/>
          </w:rPr>
          <w:tab/>
        </w:r>
        <w:r>
          <w:rPr>
            <w:noProof/>
            <w:webHidden/>
          </w:rPr>
          <w:fldChar w:fldCharType="begin"/>
        </w:r>
        <w:r>
          <w:rPr>
            <w:noProof/>
            <w:webHidden/>
          </w:rPr>
          <w:instrText xml:space="preserve"> PAGEREF _Toc112399686 \h </w:instrText>
        </w:r>
        <w:r>
          <w:rPr>
            <w:noProof/>
            <w:webHidden/>
          </w:rPr>
        </w:r>
        <w:r>
          <w:rPr>
            <w:noProof/>
            <w:webHidden/>
          </w:rPr>
          <w:fldChar w:fldCharType="separate"/>
        </w:r>
        <w:r>
          <w:rPr>
            <w:noProof/>
            <w:webHidden/>
          </w:rPr>
          <w:t>1011</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87" w:history="1">
        <w:r w:rsidRPr="00DF6938">
          <w:rPr>
            <w:rStyle w:val="Hipervnculo"/>
            <w:noProof/>
          </w:rPr>
          <w:t>2.1.</w:t>
        </w:r>
        <w:r>
          <w:rPr>
            <w:rFonts w:asciiTheme="minorHAnsi" w:eastAsiaTheme="minorEastAsia" w:hAnsiTheme="minorHAnsi" w:cstheme="minorBidi"/>
            <w:noProof/>
            <w:sz w:val="22"/>
            <w:szCs w:val="22"/>
            <w:lang w:val="es-CO" w:eastAsia="es-CO"/>
          </w:rPr>
          <w:tab/>
        </w:r>
        <w:r w:rsidRPr="00DF6938">
          <w:rPr>
            <w:rStyle w:val="Hipervnculo"/>
            <w:noProof/>
          </w:rPr>
          <w:t>Reconocimientos</w:t>
        </w:r>
        <w:r w:rsidRPr="00DF6938">
          <w:rPr>
            <w:rStyle w:val="Hipervnculo"/>
            <w:noProof/>
            <w:spacing w:val="-5"/>
          </w:rPr>
          <w:t xml:space="preserve"> </w:t>
        </w:r>
        <w:r w:rsidRPr="00DF6938">
          <w:rPr>
            <w:rStyle w:val="Hipervnculo"/>
            <w:noProof/>
          </w:rPr>
          <w:t>de</w:t>
        </w:r>
        <w:r w:rsidRPr="00DF6938">
          <w:rPr>
            <w:rStyle w:val="Hipervnculo"/>
            <w:noProof/>
            <w:spacing w:val="-2"/>
          </w:rPr>
          <w:t xml:space="preserve"> </w:t>
        </w:r>
        <w:r w:rsidRPr="00DF6938">
          <w:rPr>
            <w:rStyle w:val="Hipervnculo"/>
            <w:noProof/>
          </w:rPr>
          <w:t>responsabilidad</w:t>
        </w:r>
        <w:r w:rsidRPr="00DF6938">
          <w:rPr>
            <w:rStyle w:val="Hipervnculo"/>
            <w:noProof/>
            <w:spacing w:val="-3"/>
          </w:rPr>
          <w:t xml:space="preserve"> </w:t>
        </w:r>
        <w:r w:rsidRPr="00DF6938">
          <w:rPr>
            <w:rStyle w:val="Hipervnculo"/>
            <w:noProof/>
          </w:rPr>
          <w:t>y</w:t>
        </w:r>
        <w:r w:rsidRPr="00DF6938">
          <w:rPr>
            <w:rStyle w:val="Hipervnculo"/>
            <w:noProof/>
            <w:spacing w:val="-2"/>
          </w:rPr>
          <w:t xml:space="preserve"> </w:t>
        </w:r>
        <w:r w:rsidRPr="00DF6938">
          <w:rPr>
            <w:rStyle w:val="Hipervnculo"/>
            <w:noProof/>
          </w:rPr>
          <w:t>de</w:t>
        </w:r>
        <w:r w:rsidRPr="00DF6938">
          <w:rPr>
            <w:rStyle w:val="Hipervnculo"/>
            <w:noProof/>
            <w:spacing w:val="-3"/>
          </w:rPr>
          <w:t xml:space="preserve"> </w:t>
        </w:r>
        <w:r w:rsidRPr="00DF6938">
          <w:rPr>
            <w:rStyle w:val="Hipervnculo"/>
            <w:noProof/>
          </w:rPr>
          <w:t>la</w:t>
        </w:r>
        <w:r w:rsidRPr="00DF6938">
          <w:rPr>
            <w:rStyle w:val="Hipervnculo"/>
            <w:noProof/>
            <w:spacing w:val="-2"/>
          </w:rPr>
          <w:t xml:space="preserve"> </w:t>
        </w:r>
        <w:r w:rsidRPr="00DF6938">
          <w:rPr>
            <w:rStyle w:val="Hipervnculo"/>
            <w:noProof/>
          </w:rPr>
          <w:t>dignidad</w:t>
        </w:r>
        <w:r w:rsidRPr="00DF6938">
          <w:rPr>
            <w:rStyle w:val="Hipervnculo"/>
            <w:noProof/>
            <w:spacing w:val="-3"/>
          </w:rPr>
          <w:t xml:space="preserve"> </w:t>
        </w:r>
        <w:r w:rsidRPr="00DF6938">
          <w:rPr>
            <w:rStyle w:val="Hipervnculo"/>
            <w:noProof/>
          </w:rPr>
          <w:t>de</w:t>
        </w:r>
        <w:r w:rsidRPr="00DF6938">
          <w:rPr>
            <w:rStyle w:val="Hipervnculo"/>
            <w:noProof/>
            <w:spacing w:val="-2"/>
          </w:rPr>
          <w:t xml:space="preserve"> </w:t>
        </w:r>
        <w:r w:rsidRPr="00DF6938">
          <w:rPr>
            <w:rStyle w:val="Hipervnculo"/>
            <w:noProof/>
          </w:rPr>
          <w:t>las</w:t>
        </w:r>
        <w:r w:rsidRPr="00DF6938">
          <w:rPr>
            <w:rStyle w:val="Hipervnculo"/>
            <w:noProof/>
            <w:spacing w:val="-2"/>
          </w:rPr>
          <w:t xml:space="preserve"> víctimas. </w:t>
        </w:r>
        <w:r w:rsidRPr="00DF6938">
          <w:rPr>
            <w:rStyle w:val="Hipervnculo"/>
            <w:noProof/>
          </w:rPr>
          <w:t>Mediano</w:t>
        </w:r>
        <w:r w:rsidRPr="00DF6938">
          <w:rPr>
            <w:rStyle w:val="Hipervnculo"/>
            <w:noProof/>
            <w:spacing w:val="-3"/>
          </w:rPr>
          <w:t xml:space="preserve"> </w:t>
        </w:r>
        <w:r w:rsidRPr="00DF6938">
          <w:rPr>
            <w:rStyle w:val="Hipervnculo"/>
            <w:noProof/>
            <w:spacing w:val="-2"/>
          </w:rPr>
          <w:t>plazo</w:t>
        </w:r>
        <w:r>
          <w:rPr>
            <w:noProof/>
            <w:webHidden/>
          </w:rPr>
          <w:tab/>
        </w:r>
        <w:r>
          <w:rPr>
            <w:noProof/>
            <w:webHidden/>
          </w:rPr>
          <w:fldChar w:fldCharType="begin"/>
        </w:r>
        <w:r>
          <w:rPr>
            <w:noProof/>
            <w:webHidden/>
          </w:rPr>
          <w:instrText xml:space="preserve"> PAGEREF _Toc112399687 \h </w:instrText>
        </w:r>
        <w:r>
          <w:rPr>
            <w:noProof/>
            <w:webHidden/>
          </w:rPr>
        </w:r>
        <w:r>
          <w:rPr>
            <w:noProof/>
            <w:webHidden/>
          </w:rPr>
          <w:fldChar w:fldCharType="separate"/>
        </w:r>
        <w:r>
          <w:rPr>
            <w:noProof/>
            <w:webHidden/>
          </w:rPr>
          <w:t>1019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88" w:history="1">
        <w:r w:rsidRPr="00DF6938">
          <w:rPr>
            <w:rStyle w:val="Hipervnculo"/>
            <w:noProof/>
          </w:rPr>
          <w:t>2.2.</w:t>
        </w:r>
        <w:r>
          <w:rPr>
            <w:rFonts w:asciiTheme="minorHAnsi" w:eastAsiaTheme="minorEastAsia" w:hAnsiTheme="minorHAnsi" w:cstheme="minorBidi"/>
            <w:noProof/>
            <w:sz w:val="22"/>
            <w:szCs w:val="22"/>
            <w:lang w:val="es-CO" w:eastAsia="es-CO"/>
          </w:rPr>
          <w:tab/>
        </w:r>
        <w:r w:rsidRPr="00DF6938">
          <w:rPr>
            <w:rStyle w:val="Hipervnculo"/>
            <w:noProof/>
          </w:rPr>
          <w:t>Reparación</w:t>
        </w:r>
        <w:r w:rsidRPr="00DF6938">
          <w:rPr>
            <w:rStyle w:val="Hipervnculo"/>
            <w:noProof/>
            <w:spacing w:val="-3"/>
          </w:rPr>
          <w:t xml:space="preserve"> </w:t>
        </w:r>
        <w:r w:rsidRPr="00DF6938">
          <w:rPr>
            <w:rStyle w:val="Hipervnculo"/>
            <w:noProof/>
            <w:spacing w:val="-2"/>
          </w:rPr>
          <w:t xml:space="preserve">integral. </w:t>
        </w:r>
        <w:r w:rsidRPr="00DF6938">
          <w:rPr>
            <w:rStyle w:val="Hipervnculo"/>
            <w:noProof/>
          </w:rPr>
          <w:t>Mediano</w:t>
        </w:r>
        <w:r w:rsidRPr="00DF6938">
          <w:rPr>
            <w:rStyle w:val="Hipervnculo"/>
            <w:noProof/>
            <w:spacing w:val="-3"/>
          </w:rPr>
          <w:t xml:space="preserve"> </w:t>
        </w:r>
        <w:r w:rsidRPr="00DF6938">
          <w:rPr>
            <w:rStyle w:val="Hipervnculo"/>
            <w:noProof/>
            <w:spacing w:val="-2"/>
          </w:rPr>
          <w:t>plazo</w:t>
        </w:r>
        <w:r>
          <w:rPr>
            <w:noProof/>
            <w:webHidden/>
          </w:rPr>
          <w:tab/>
        </w:r>
        <w:r>
          <w:rPr>
            <w:noProof/>
            <w:webHidden/>
          </w:rPr>
          <w:fldChar w:fldCharType="begin"/>
        </w:r>
        <w:r>
          <w:rPr>
            <w:noProof/>
            <w:webHidden/>
          </w:rPr>
          <w:instrText xml:space="preserve"> PAGEREF _Toc112399688 \h </w:instrText>
        </w:r>
        <w:r>
          <w:rPr>
            <w:noProof/>
            <w:webHidden/>
          </w:rPr>
        </w:r>
        <w:r>
          <w:rPr>
            <w:noProof/>
            <w:webHidden/>
          </w:rPr>
          <w:fldChar w:fldCharType="separate"/>
        </w:r>
        <w:r>
          <w:rPr>
            <w:noProof/>
            <w:webHidden/>
          </w:rPr>
          <w:t>1021</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89" w:history="1">
        <w:r w:rsidRPr="00DF6938">
          <w:rPr>
            <w:rStyle w:val="Hipervnculo"/>
            <w:noProof/>
          </w:rPr>
          <w:t>2.3.</w:t>
        </w:r>
        <w:r>
          <w:rPr>
            <w:rFonts w:asciiTheme="minorHAnsi" w:eastAsiaTheme="minorEastAsia" w:hAnsiTheme="minorHAnsi" w:cstheme="minorBidi"/>
            <w:noProof/>
            <w:sz w:val="22"/>
            <w:szCs w:val="22"/>
            <w:lang w:val="es-CO" w:eastAsia="es-CO"/>
          </w:rPr>
          <w:tab/>
        </w:r>
        <w:r w:rsidRPr="00DF6938">
          <w:rPr>
            <w:rStyle w:val="Hipervnculo"/>
            <w:noProof/>
          </w:rPr>
          <w:t>Salud</w:t>
        </w:r>
        <w:r w:rsidRPr="00DF6938">
          <w:rPr>
            <w:rStyle w:val="Hipervnculo"/>
            <w:noProof/>
            <w:spacing w:val="-5"/>
          </w:rPr>
          <w:t xml:space="preserve"> </w:t>
        </w:r>
        <w:r w:rsidRPr="00DF6938">
          <w:rPr>
            <w:rStyle w:val="Hipervnculo"/>
            <w:noProof/>
          </w:rPr>
          <w:t>integral</w:t>
        </w:r>
        <w:r w:rsidRPr="00DF6938">
          <w:rPr>
            <w:rStyle w:val="Hipervnculo"/>
            <w:noProof/>
            <w:spacing w:val="-1"/>
          </w:rPr>
          <w:t xml:space="preserve"> </w:t>
        </w:r>
        <w:r w:rsidRPr="00DF6938">
          <w:rPr>
            <w:rStyle w:val="Hipervnculo"/>
            <w:noProof/>
          </w:rPr>
          <w:t>y</w:t>
        </w:r>
        <w:r w:rsidRPr="00DF6938">
          <w:rPr>
            <w:rStyle w:val="Hipervnculo"/>
            <w:noProof/>
            <w:spacing w:val="-2"/>
          </w:rPr>
          <w:t xml:space="preserve"> </w:t>
        </w:r>
        <w:r w:rsidRPr="00DF6938">
          <w:rPr>
            <w:rStyle w:val="Hipervnculo"/>
            <w:noProof/>
          </w:rPr>
          <w:t>atención</w:t>
        </w:r>
        <w:r w:rsidRPr="00DF6938">
          <w:rPr>
            <w:rStyle w:val="Hipervnculo"/>
            <w:noProof/>
            <w:spacing w:val="-2"/>
          </w:rPr>
          <w:t xml:space="preserve"> </w:t>
        </w:r>
        <w:r w:rsidRPr="00DF6938">
          <w:rPr>
            <w:rStyle w:val="Hipervnculo"/>
            <w:noProof/>
          </w:rPr>
          <w:t>psicosocial</w:t>
        </w:r>
        <w:r w:rsidRPr="00DF6938">
          <w:rPr>
            <w:rStyle w:val="Hipervnculo"/>
            <w:noProof/>
            <w:spacing w:val="-2"/>
          </w:rPr>
          <w:t xml:space="preserve"> </w:t>
        </w:r>
        <w:r w:rsidRPr="00DF6938">
          <w:rPr>
            <w:rStyle w:val="Hipervnculo"/>
            <w:noProof/>
          </w:rPr>
          <w:t>como</w:t>
        </w:r>
        <w:r w:rsidRPr="00DF6938">
          <w:rPr>
            <w:rStyle w:val="Hipervnculo"/>
            <w:noProof/>
            <w:spacing w:val="-2"/>
          </w:rPr>
          <w:t xml:space="preserve"> </w:t>
        </w:r>
        <w:r w:rsidRPr="00DF6938">
          <w:rPr>
            <w:rStyle w:val="Hipervnculo"/>
            <w:noProof/>
          </w:rPr>
          <w:t>medida</w:t>
        </w:r>
        <w:r w:rsidRPr="00DF6938">
          <w:rPr>
            <w:rStyle w:val="Hipervnculo"/>
            <w:noProof/>
            <w:spacing w:val="-1"/>
          </w:rPr>
          <w:t xml:space="preserve"> </w:t>
        </w:r>
        <w:r w:rsidRPr="00DF6938">
          <w:rPr>
            <w:rStyle w:val="Hipervnculo"/>
            <w:noProof/>
          </w:rPr>
          <w:t>de</w:t>
        </w:r>
        <w:r w:rsidRPr="00DF6938">
          <w:rPr>
            <w:rStyle w:val="Hipervnculo"/>
            <w:noProof/>
            <w:spacing w:val="-1"/>
          </w:rPr>
          <w:t xml:space="preserve"> </w:t>
        </w:r>
        <w:r w:rsidRPr="00DF6938">
          <w:rPr>
            <w:rStyle w:val="Hipervnculo"/>
            <w:noProof/>
            <w:spacing w:val="-2"/>
          </w:rPr>
          <w:t xml:space="preserve">reparación. </w:t>
        </w:r>
        <w:r w:rsidRPr="00DF6938">
          <w:rPr>
            <w:rStyle w:val="Hipervnculo"/>
            <w:noProof/>
          </w:rPr>
          <w:t>Corto</w:t>
        </w:r>
        <w:r w:rsidRPr="00DF6938">
          <w:rPr>
            <w:rStyle w:val="Hipervnculo"/>
            <w:noProof/>
            <w:spacing w:val="-1"/>
          </w:rPr>
          <w:t xml:space="preserve"> </w:t>
        </w:r>
        <w:r w:rsidRPr="00DF6938">
          <w:rPr>
            <w:rStyle w:val="Hipervnculo"/>
            <w:noProof/>
            <w:spacing w:val="-2"/>
          </w:rPr>
          <w:t>plazo</w:t>
        </w:r>
        <w:r>
          <w:rPr>
            <w:noProof/>
            <w:webHidden/>
          </w:rPr>
          <w:tab/>
        </w:r>
        <w:r>
          <w:rPr>
            <w:noProof/>
            <w:webHidden/>
          </w:rPr>
          <w:fldChar w:fldCharType="begin"/>
        </w:r>
        <w:r>
          <w:rPr>
            <w:noProof/>
            <w:webHidden/>
          </w:rPr>
          <w:instrText xml:space="preserve"> PAGEREF _Toc112399689 \h </w:instrText>
        </w:r>
        <w:r>
          <w:rPr>
            <w:noProof/>
            <w:webHidden/>
          </w:rPr>
        </w:r>
        <w:r>
          <w:rPr>
            <w:noProof/>
            <w:webHidden/>
          </w:rPr>
          <w:fldChar w:fldCharType="separate"/>
        </w:r>
        <w:r>
          <w:rPr>
            <w:noProof/>
            <w:webHidden/>
          </w:rPr>
          <w:t>1025</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90" w:history="1">
        <w:r w:rsidRPr="00DF6938">
          <w:rPr>
            <w:rStyle w:val="Hipervnculo"/>
            <w:noProof/>
          </w:rPr>
          <w:t>2.4.</w:t>
        </w:r>
        <w:r>
          <w:rPr>
            <w:rFonts w:asciiTheme="minorHAnsi" w:eastAsiaTheme="minorEastAsia" w:hAnsiTheme="minorHAnsi" w:cstheme="minorBidi"/>
            <w:noProof/>
            <w:sz w:val="22"/>
            <w:szCs w:val="22"/>
            <w:lang w:val="es-CO" w:eastAsia="es-CO"/>
          </w:rPr>
          <w:tab/>
        </w:r>
        <w:r w:rsidRPr="00DF6938">
          <w:rPr>
            <w:rStyle w:val="Hipervnculo"/>
            <w:noProof/>
          </w:rPr>
          <w:t>Memoria. Corto</w:t>
        </w:r>
        <w:r w:rsidRPr="00DF6938">
          <w:rPr>
            <w:rStyle w:val="Hipervnculo"/>
            <w:noProof/>
            <w:spacing w:val="-1"/>
          </w:rPr>
          <w:t xml:space="preserve"> </w:t>
        </w:r>
        <w:r w:rsidRPr="00DF6938">
          <w:rPr>
            <w:rStyle w:val="Hipervnculo"/>
            <w:noProof/>
            <w:spacing w:val="-2"/>
          </w:rPr>
          <w:t>plazo</w:t>
        </w:r>
        <w:r>
          <w:rPr>
            <w:noProof/>
            <w:webHidden/>
          </w:rPr>
          <w:tab/>
        </w:r>
        <w:r>
          <w:rPr>
            <w:noProof/>
            <w:webHidden/>
          </w:rPr>
          <w:fldChar w:fldCharType="begin"/>
        </w:r>
        <w:r>
          <w:rPr>
            <w:noProof/>
            <w:webHidden/>
          </w:rPr>
          <w:instrText xml:space="preserve"> PAGEREF _Toc112399690 \h </w:instrText>
        </w:r>
        <w:r>
          <w:rPr>
            <w:noProof/>
            <w:webHidden/>
          </w:rPr>
        </w:r>
        <w:r>
          <w:rPr>
            <w:noProof/>
            <w:webHidden/>
          </w:rPr>
          <w:fldChar w:fldCharType="separate"/>
        </w:r>
        <w:r>
          <w:rPr>
            <w:noProof/>
            <w:webHidden/>
          </w:rPr>
          <w:t>1026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91" w:history="1">
        <w:r w:rsidRPr="00DF6938">
          <w:rPr>
            <w:rStyle w:val="Hipervnculo"/>
            <w:noProof/>
          </w:rPr>
          <w:t>2.5.</w:t>
        </w:r>
        <w:r>
          <w:rPr>
            <w:rFonts w:asciiTheme="minorHAnsi" w:eastAsiaTheme="minorEastAsia" w:hAnsiTheme="minorHAnsi" w:cstheme="minorBidi"/>
            <w:noProof/>
            <w:sz w:val="22"/>
            <w:szCs w:val="22"/>
            <w:lang w:val="es-CO" w:eastAsia="es-CO"/>
          </w:rPr>
          <w:tab/>
        </w:r>
        <w:r w:rsidRPr="00DF6938">
          <w:rPr>
            <w:rStyle w:val="Hipervnculo"/>
            <w:noProof/>
          </w:rPr>
          <w:t>Desaparición</w:t>
        </w:r>
        <w:r w:rsidRPr="00DF6938">
          <w:rPr>
            <w:rStyle w:val="Hipervnculo"/>
            <w:noProof/>
            <w:spacing w:val="-4"/>
          </w:rPr>
          <w:t xml:space="preserve"> </w:t>
        </w:r>
        <w:r w:rsidRPr="00DF6938">
          <w:rPr>
            <w:rStyle w:val="Hipervnculo"/>
            <w:noProof/>
            <w:spacing w:val="-2"/>
          </w:rPr>
          <w:t xml:space="preserve">forzada. </w:t>
        </w:r>
        <w:r w:rsidRPr="00DF6938">
          <w:rPr>
            <w:rStyle w:val="Hipervnculo"/>
            <w:noProof/>
          </w:rPr>
          <w:t>Mediano</w:t>
        </w:r>
        <w:r w:rsidRPr="00DF6938">
          <w:rPr>
            <w:rStyle w:val="Hipervnculo"/>
            <w:noProof/>
            <w:spacing w:val="-3"/>
          </w:rPr>
          <w:t xml:space="preserve"> </w:t>
        </w:r>
        <w:r w:rsidRPr="00DF6938">
          <w:rPr>
            <w:rStyle w:val="Hipervnculo"/>
            <w:noProof/>
            <w:spacing w:val="-2"/>
          </w:rPr>
          <w:t>plazo</w:t>
        </w:r>
        <w:r>
          <w:rPr>
            <w:noProof/>
            <w:webHidden/>
          </w:rPr>
          <w:tab/>
        </w:r>
        <w:r>
          <w:rPr>
            <w:noProof/>
            <w:webHidden/>
          </w:rPr>
          <w:fldChar w:fldCharType="begin"/>
        </w:r>
        <w:r>
          <w:rPr>
            <w:noProof/>
            <w:webHidden/>
          </w:rPr>
          <w:instrText xml:space="preserve"> PAGEREF _Toc112399691 \h </w:instrText>
        </w:r>
        <w:r>
          <w:rPr>
            <w:noProof/>
            <w:webHidden/>
          </w:rPr>
        </w:r>
        <w:r>
          <w:rPr>
            <w:noProof/>
            <w:webHidden/>
          </w:rPr>
          <w:fldChar w:fldCharType="separate"/>
        </w:r>
        <w:r>
          <w:rPr>
            <w:noProof/>
            <w:webHidden/>
          </w:rPr>
          <w:t>1029</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692" w:history="1">
        <w:r w:rsidRPr="00DF6938">
          <w:rPr>
            <w:rStyle w:val="Hipervnculo"/>
            <w:noProof/>
          </w:rPr>
          <w:t>3.</w:t>
        </w:r>
        <w:r>
          <w:rPr>
            <w:rFonts w:asciiTheme="minorHAnsi" w:eastAsiaTheme="minorEastAsia" w:hAnsiTheme="minorHAnsi" w:cstheme="minorBidi"/>
            <w:b w:val="0"/>
            <w:bCs w:val="0"/>
            <w:iCs w:val="0"/>
            <w:noProof/>
            <w:sz w:val="22"/>
            <w:lang w:val="es-CO" w:eastAsia="es-CO"/>
          </w:rPr>
          <w:tab/>
        </w:r>
        <w:r w:rsidRPr="00DF6938">
          <w:rPr>
            <w:rStyle w:val="Hipervnculo"/>
            <w:noProof/>
          </w:rPr>
          <w:t>PARA CONSOLIDAR</w:t>
        </w:r>
        <w:r w:rsidRPr="00DF6938">
          <w:rPr>
            <w:rStyle w:val="Hipervnculo"/>
            <w:noProof/>
            <w:spacing w:val="1"/>
          </w:rPr>
          <w:t xml:space="preserve"> </w:t>
        </w:r>
        <w:r w:rsidRPr="00DF6938">
          <w:rPr>
            <w:rStyle w:val="Hipervnculo"/>
            <w:noProof/>
          </w:rPr>
          <w:t>DEMOCRACIA</w:t>
        </w:r>
        <w:r w:rsidRPr="00DF6938">
          <w:rPr>
            <w:rStyle w:val="Hipervnculo"/>
            <w:noProof/>
            <w:spacing w:val="1"/>
          </w:rPr>
          <w:t xml:space="preserve"> </w:t>
        </w:r>
        <w:r w:rsidRPr="00DF6938">
          <w:rPr>
            <w:rStyle w:val="Hipervnculo"/>
            <w:noProof/>
          </w:rPr>
          <w:t>INCLUYENTE,</w:t>
        </w:r>
        <w:r w:rsidRPr="00DF6938">
          <w:rPr>
            <w:rStyle w:val="Hipervnculo"/>
            <w:noProof/>
            <w:spacing w:val="-12"/>
          </w:rPr>
          <w:t xml:space="preserve"> </w:t>
        </w:r>
        <w:r w:rsidRPr="00DF6938">
          <w:rPr>
            <w:rStyle w:val="Hipervnculo"/>
            <w:noProof/>
          </w:rPr>
          <w:t>AMPLIA</w:t>
        </w:r>
        <w:r w:rsidRPr="00DF6938">
          <w:rPr>
            <w:rStyle w:val="Hipervnculo"/>
            <w:noProof/>
            <w:spacing w:val="1"/>
          </w:rPr>
          <w:t xml:space="preserve"> </w:t>
        </w:r>
        <w:r w:rsidRPr="00DF6938">
          <w:rPr>
            <w:rStyle w:val="Hipervnculo"/>
            <w:noProof/>
          </w:rPr>
          <w:t>Y</w:t>
        </w:r>
        <w:r w:rsidRPr="00DF6938">
          <w:rPr>
            <w:rStyle w:val="Hipervnculo"/>
            <w:noProof/>
            <w:spacing w:val="1"/>
          </w:rPr>
          <w:t xml:space="preserve"> </w:t>
        </w:r>
        <w:r w:rsidRPr="00DF6938">
          <w:rPr>
            <w:rStyle w:val="Hipervnculo"/>
            <w:noProof/>
          </w:rPr>
          <w:t>DELIBERATIVA</w:t>
        </w:r>
        <w:r>
          <w:rPr>
            <w:noProof/>
            <w:webHidden/>
          </w:rPr>
          <w:tab/>
        </w:r>
        <w:r>
          <w:rPr>
            <w:noProof/>
            <w:webHidden/>
          </w:rPr>
          <w:fldChar w:fldCharType="begin"/>
        </w:r>
        <w:r>
          <w:rPr>
            <w:noProof/>
            <w:webHidden/>
          </w:rPr>
          <w:instrText xml:space="preserve"> PAGEREF _Toc112399692 \h </w:instrText>
        </w:r>
        <w:r>
          <w:rPr>
            <w:noProof/>
            <w:webHidden/>
          </w:rPr>
        </w:r>
        <w:r>
          <w:rPr>
            <w:noProof/>
            <w:webHidden/>
          </w:rPr>
          <w:fldChar w:fldCharType="separate"/>
        </w:r>
        <w:r>
          <w:rPr>
            <w:noProof/>
            <w:webHidden/>
          </w:rPr>
          <w:t>1031</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93" w:history="1">
        <w:r w:rsidRPr="00DF6938">
          <w:rPr>
            <w:rStyle w:val="Hipervnculo"/>
            <w:noProof/>
          </w:rPr>
          <w:t>3.1.</w:t>
        </w:r>
        <w:r>
          <w:rPr>
            <w:rFonts w:asciiTheme="minorHAnsi" w:eastAsiaTheme="minorEastAsia" w:hAnsiTheme="minorHAnsi" w:cstheme="minorBidi"/>
            <w:noProof/>
            <w:sz w:val="22"/>
            <w:szCs w:val="22"/>
            <w:lang w:val="es-CO" w:eastAsia="es-CO"/>
          </w:rPr>
          <w:tab/>
        </w:r>
        <w:r w:rsidRPr="00DF6938">
          <w:rPr>
            <w:rStyle w:val="Hipervnculo"/>
            <w:noProof/>
          </w:rPr>
          <w:t>Pacto</w:t>
        </w:r>
        <w:r w:rsidRPr="00DF6938">
          <w:rPr>
            <w:rStyle w:val="Hipervnculo"/>
            <w:noProof/>
            <w:spacing w:val="-2"/>
          </w:rPr>
          <w:t xml:space="preserve"> </w:t>
        </w:r>
        <w:r w:rsidRPr="00DF6938">
          <w:rPr>
            <w:rStyle w:val="Hipervnculo"/>
            <w:noProof/>
          </w:rPr>
          <w:t>político</w:t>
        </w:r>
        <w:r w:rsidRPr="00DF6938">
          <w:rPr>
            <w:rStyle w:val="Hipervnculo"/>
            <w:noProof/>
            <w:spacing w:val="-1"/>
          </w:rPr>
          <w:t xml:space="preserve"> </w:t>
        </w:r>
        <w:r w:rsidRPr="00DF6938">
          <w:rPr>
            <w:rStyle w:val="Hipervnculo"/>
            <w:noProof/>
            <w:spacing w:val="-2"/>
          </w:rPr>
          <w:t xml:space="preserve">nacional. </w:t>
        </w:r>
        <w:r w:rsidRPr="00DF6938">
          <w:rPr>
            <w:rStyle w:val="Hipervnculo"/>
            <w:noProof/>
          </w:rPr>
          <w:t>Corto</w:t>
        </w:r>
        <w:r w:rsidRPr="00DF6938">
          <w:rPr>
            <w:rStyle w:val="Hipervnculo"/>
            <w:noProof/>
            <w:spacing w:val="-1"/>
          </w:rPr>
          <w:t xml:space="preserve"> </w:t>
        </w:r>
        <w:r w:rsidRPr="00DF6938">
          <w:rPr>
            <w:rStyle w:val="Hipervnculo"/>
            <w:noProof/>
            <w:spacing w:val="-2"/>
          </w:rPr>
          <w:t>plazo</w:t>
        </w:r>
        <w:r>
          <w:rPr>
            <w:noProof/>
            <w:webHidden/>
          </w:rPr>
          <w:tab/>
        </w:r>
        <w:r>
          <w:rPr>
            <w:noProof/>
            <w:webHidden/>
          </w:rPr>
          <w:fldChar w:fldCharType="begin"/>
        </w:r>
        <w:r>
          <w:rPr>
            <w:noProof/>
            <w:webHidden/>
          </w:rPr>
          <w:instrText xml:space="preserve"> PAGEREF _Toc112399693 \h </w:instrText>
        </w:r>
        <w:r>
          <w:rPr>
            <w:noProof/>
            <w:webHidden/>
          </w:rPr>
        </w:r>
        <w:r>
          <w:rPr>
            <w:noProof/>
            <w:webHidden/>
          </w:rPr>
          <w:fldChar w:fldCharType="separate"/>
        </w:r>
        <w:r>
          <w:rPr>
            <w:noProof/>
            <w:webHidden/>
          </w:rPr>
          <w:t>1036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94" w:history="1">
        <w:r w:rsidRPr="00DF6938">
          <w:rPr>
            <w:rStyle w:val="Hipervnculo"/>
            <w:noProof/>
          </w:rPr>
          <w:t>3.2.</w:t>
        </w:r>
        <w:r>
          <w:rPr>
            <w:rFonts w:asciiTheme="minorHAnsi" w:eastAsiaTheme="minorEastAsia" w:hAnsiTheme="minorHAnsi" w:cstheme="minorBidi"/>
            <w:noProof/>
            <w:sz w:val="22"/>
            <w:szCs w:val="22"/>
            <w:lang w:val="es-CO" w:eastAsia="es-CO"/>
          </w:rPr>
          <w:tab/>
        </w:r>
        <w:r w:rsidRPr="00DF6938">
          <w:rPr>
            <w:rStyle w:val="Hipervnculo"/>
            <w:noProof/>
          </w:rPr>
          <w:t>Reforma política. Mediano</w:t>
        </w:r>
        <w:r w:rsidRPr="00DF6938">
          <w:rPr>
            <w:rStyle w:val="Hipervnculo"/>
            <w:noProof/>
            <w:spacing w:val="-3"/>
          </w:rPr>
          <w:t xml:space="preserve"> </w:t>
        </w:r>
        <w:r w:rsidRPr="00DF6938">
          <w:rPr>
            <w:rStyle w:val="Hipervnculo"/>
            <w:noProof/>
          </w:rPr>
          <w:t>plazo</w:t>
        </w:r>
        <w:r>
          <w:rPr>
            <w:noProof/>
            <w:webHidden/>
          </w:rPr>
          <w:tab/>
        </w:r>
        <w:r>
          <w:rPr>
            <w:noProof/>
            <w:webHidden/>
          </w:rPr>
          <w:fldChar w:fldCharType="begin"/>
        </w:r>
        <w:r>
          <w:rPr>
            <w:noProof/>
            <w:webHidden/>
          </w:rPr>
          <w:instrText xml:space="preserve"> PAGEREF _Toc112399694 \h </w:instrText>
        </w:r>
        <w:r>
          <w:rPr>
            <w:noProof/>
            <w:webHidden/>
          </w:rPr>
        </w:r>
        <w:r>
          <w:rPr>
            <w:noProof/>
            <w:webHidden/>
          </w:rPr>
          <w:fldChar w:fldCharType="separate"/>
        </w:r>
        <w:r>
          <w:rPr>
            <w:noProof/>
            <w:webHidden/>
          </w:rPr>
          <w:t>1036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95" w:history="1">
        <w:r w:rsidRPr="00DF6938">
          <w:rPr>
            <w:rStyle w:val="Hipervnculo"/>
            <w:noProof/>
          </w:rPr>
          <w:t>3.3.</w:t>
        </w:r>
        <w:r>
          <w:rPr>
            <w:rFonts w:asciiTheme="minorHAnsi" w:eastAsiaTheme="minorEastAsia" w:hAnsiTheme="minorHAnsi" w:cstheme="minorBidi"/>
            <w:noProof/>
            <w:sz w:val="22"/>
            <w:szCs w:val="22"/>
            <w:lang w:val="es-CO" w:eastAsia="es-CO"/>
          </w:rPr>
          <w:tab/>
        </w:r>
        <w:r w:rsidRPr="00DF6938">
          <w:rPr>
            <w:rStyle w:val="Hipervnculo"/>
            <w:noProof/>
          </w:rPr>
          <w:t>Participación</w:t>
        </w:r>
        <w:r w:rsidRPr="00DF6938">
          <w:rPr>
            <w:rStyle w:val="Hipervnculo"/>
            <w:noProof/>
            <w:spacing w:val="-6"/>
          </w:rPr>
          <w:t xml:space="preserve"> </w:t>
        </w:r>
        <w:r w:rsidRPr="00DF6938">
          <w:rPr>
            <w:rStyle w:val="Hipervnculo"/>
            <w:noProof/>
          </w:rPr>
          <w:t>ciudadana. Corto</w:t>
        </w:r>
        <w:r w:rsidRPr="00DF6938">
          <w:rPr>
            <w:rStyle w:val="Hipervnculo"/>
            <w:noProof/>
            <w:spacing w:val="-1"/>
          </w:rPr>
          <w:t xml:space="preserve"> </w:t>
        </w:r>
        <w:r w:rsidRPr="00DF6938">
          <w:rPr>
            <w:rStyle w:val="Hipervnculo"/>
            <w:noProof/>
            <w:spacing w:val="-2"/>
          </w:rPr>
          <w:t>plazo</w:t>
        </w:r>
        <w:r>
          <w:rPr>
            <w:noProof/>
            <w:webHidden/>
          </w:rPr>
          <w:tab/>
        </w:r>
        <w:r>
          <w:rPr>
            <w:noProof/>
            <w:webHidden/>
          </w:rPr>
          <w:fldChar w:fldCharType="begin"/>
        </w:r>
        <w:r>
          <w:rPr>
            <w:noProof/>
            <w:webHidden/>
          </w:rPr>
          <w:instrText xml:space="preserve"> PAGEREF _Toc112399695 \h </w:instrText>
        </w:r>
        <w:r>
          <w:rPr>
            <w:noProof/>
            <w:webHidden/>
          </w:rPr>
        </w:r>
        <w:r>
          <w:rPr>
            <w:noProof/>
            <w:webHidden/>
          </w:rPr>
          <w:fldChar w:fldCharType="separate"/>
        </w:r>
        <w:r>
          <w:rPr>
            <w:noProof/>
            <w:webHidden/>
          </w:rPr>
          <w:t>1038</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96" w:history="1">
        <w:r w:rsidRPr="00DF6938">
          <w:rPr>
            <w:rStyle w:val="Hipervnculo"/>
            <w:noProof/>
          </w:rPr>
          <w:t>3.4.</w:t>
        </w:r>
        <w:r>
          <w:rPr>
            <w:rFonts w:asciiTheme="minorHAnsi" w:eastAsiaTheme="minorEastAsia" w:hAnsiTheme="minorHAnsi" w:cstheme="minorBidi"/>
            <w:noProof/>
            <w:sz w:val="22"/>
            <w:szCs w:val="22"/>
            <w:lang w:val="es-CO" w:eastAsia="es-CO"/>
          </w:rPr>
          <w:tab/>
        </w:r>
        <w:r w:rsidRPr="00DF6938">
          <w:rPr>
            <w:rStyle w:val="Hipervnculo"/>
            <w:noProof/>
          </w:rPr>
          <w:t>Protesta</w:t>
        </w:r>
        <w:r w:rsidRPr="00DF6938">
          <w:rPr>
            <w:rStyle w:val="Hipervnculo"/>
            <w:noProof/>
            <w:spacing w:val="-1"/>
          </w:rPr>
          <w:t xml:space="preserve"> </w:t>
        </w:r>
        <w:r w:rsidRPr="00DF6938">
          <w:rPr>
            <w:rStyle w:val="Hipervnculo"/>
            <w:noProof/>
          </w:rPr>
          <w:t>social</w:t>
        </w:r>
        <w:r w:rsidRPr="00DF6938">
          <w:rPr>
            <w:rStyle w:val="Hipervnculo"/>
            <w:noProof/>
            <w:spacing w:val="-1"/>
          </w:rPr>
          <w:t xml:space="preserve"> </w:t>
        </w:r>
        <w:r w:rsidRPr="00DF6938">
          <w:rPr>
            <w:rStyle w:val="Hipervnculo"/>
            <w:noProof/>
          </w:rPr>
          <w:t>y</w:t>
        </w:r>
        <w:r w:rsidRPr="00DF6938">
          <w:rPr>
            <w:rStyle w:val="Hipervnculo"/>
            <w:noProof/>
            <w:spacing w:val="-2"/>
          </w:rPr>
          <w:t xml:space="preserve"> movilización</w:t>
        </w:r>
        <w:r>
          <w:rPr>
            <w:noProof/>
            <w:webHidden/>
          </w:rPr>
          <w:tab/>
        </w:r>
        <w:r>
          <w:rPr>
            <w:noProof/>
            <w:webHidden/>
          </w:rPr>
          <w:fldChar w:fldCharType="begin"/>
        </w:r>
        <w:r>
          <w:rPr>
            <w:noProof/>
            <w:webHidden/>
          </w:rPr>
          <w:instrText xml:space="preserve"> PAGEREF _Toc112399696 \h </w:instrText>
        </w:r>
        <w:r>
          <w:rPr>
            <w:noProof/>
            <w:webHidden/>
          </w:rPr>
        </w:r>
        <w:r>
          <w:rPr>
            <w:noProof/>
            <w:webHidden/>
          </w:rPr>
          <w:fldChar w:fldCharType="separate"/>
        </w:r>
        <w:r>
          <w:rPr>
            <w:noProof/>
            <w:webHidden/>
          </w:rPr>
          <w:t>1039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97" w:history="1">
        <w:r w:rsidRPr="00DF6938">
          <w:rPr>
            <w:rStyle w:val="Hipervnculo"/>
            <w:noProof/>
          </w:rPr>
          <w:t>3.5.</w:t>
        </w:r>
        <w:r>
          <w:rPr>
            <w:rFonts w:asciiTheme="minorHAnsi" w:eastAsiaTheme="minorEastAsia" w:hAnsiTheme="minorHAnsi" w:cstheme="minorBidi"/>
            <w:noProof/>
            <w:sz w:val="22"/>
            <w:szCs w:val="22"/>
            <w:lang w:val="es-CO" w:eastAsia="es-CO"/>
          </w:rPr>
          <w:tab/>
        </w:r>
        <w:r w:rsidRPr="00DF6938">
          <w:rPr>
            <w:rStyle w:val="Hipervnculo"/>
            <w:noProof/>
          </w:rPr>
          <w:t>Ejercicio</w:t>
        </w:r>
        <w:r w:rsidRPr="00DF6938">
          <w:rPr>
            <w:rStyle w:val="Hipervnculo"/>
            <w:noProof/>
            <w:spacing w:val="-2"/>
          </w:rPr>
          <w:t xml:space="preserve"> </w:t>
        </w:r>
        <w:r w:rsidRPr="00DF6938">
          <w:rPr>
            <w:rStyle w:val="Hipervnculo"/>
            <w:noProof/>
          </w:rPr>
          <w:t>de</w:t>
        </w:r>
        <w:r w:rsidRPr="00DF6938">
          <w:rPr>
            <w:rStyle w:val="Hipervnculo"/>
            <w:noProof/>
            <w:spacing w:val="-2"/>
          </w:rPr>
          <w:t xml:space="preserve"> </w:t>
        </w:r>
        <w:r w:rsidRPr="00DF6938">
          <w:rPr>
            <w:rStyle w:val="Hipervnculo"/>
            <w:noProof/>
          </w:rPr>
          <w:t>la</w:t>
        </w:r>
        <w:r w:rsidRPr="00DF6938">
          <w:rPr>
            <w:rStyle w:val="Hipervnculo"/>
            <w:noProof/>
            <w:spacing w:val="-2"/>
          </w:rPr>
          <w:t xml:space="preserve"> </w:t>
        </w:r>
        <w:r w:rsidRPr="00DF6938">
          <w:rPr>
            <w:rStyle w:val="Hipervnculo"/>
            <w:noProof/>
          </w:rPr>
          <w:t>política</w:t>
        </w:r>
        <w:r w:rsidRPr="00DF6938">
          <w:rPr>
            <w:rStyle w:val="Hipervnculo"/>
            <w:noProof/>
            <w:spacing w:val="-1"/>
          </w:rPr>
          <w:t xml:space="preserve"> </w:t>
        </w:r>
        <w:r w:rsidRPr="00DF6938">
          <w:rPr>
            <w:rStyle w:val="Hipervnculo"/>
            <w:noProof/>
          </w:rPr>
          <w:t>libre</w:t>
        </w:r>
        <w:r w:rsidRPr="00DF6938">
          <w:rPr>
            <w:rStyle w:val="Hipervnculo"/>
            <w:noProof/>
            <w:spacing w:val="-2"/>
          </w:rPr>
          <w:t xml:space="preserve"> </w:t>
        </w:r>
        <w:r w:rsidRPr="00DF6938">
          <w:rPr>
            <w:rStyle w:val="Hipervnculo"/>
            <w:noProof/>
          </w:rPr>
          <w:t>de</w:t>
        </w:r>
        <w:r w:rsidRPr="00DF6938">
          <w:rPr>
            <w:rStyle w:val="Hipervnculo"/>
            <w:noProof/>
            <w:spacing w:val="-2"/>
          </w:rPr>
          <w:t xml:space="preserve"> </w:t>
        </w:r>
        <w:r w:rsidRPr="00DF6938">
          <w:rPr>
            <w:rStyle w:val="Hipervnculo"/>
            <w:noProof/>
          </w:rPr>
          <w:t>violencia</w:t>
        </w:r>
        <w:r>
          <w:rPr>
            <w:noProof/>
            <w:webHidden/>
          </w:rPr>
          <w:tab/>
        </w:r>
        <w:r>
          <w:rPr>
            <w:noProof/>
            <w:webHidden/>
          </w:rPr>
          <w:fldChar w:fldCharType="begin"/>
        </w:r>
        <w:r>
          <w:rPr>
            <w:noProof/>
            <w:webHidden/>
          </w:rPr>
          <w:instrText xml:space="preserve"> PAGEREF _Toc112399697 \h </w:instrText>
        </w:r>
        <w:r>
          <w:rPr>
            <w:noProof/>
            <w:webHidden/>
          </w:rPr>
        </w:r>
        <w:r>
          <w:rPr>
            <w:noProof/>
            <w:webHidden/>
          </w:rPr>
          <w:fldChar w:fldCharType="separate"/>
        </w:r>
        <w:r>
          <w:rPr>
            <w:noProof/>
            <w:webHidden/>
          </w:rPr>
          <w:t>1043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698" w:history="1">
        <w:r w:rsidRPr="00DF6938">
          <w:rPr>
            <w:rStyle w:val="Hipervnculo"/>
            <w:noProof/>
          </w:rPr>
          <w:t>3.6.</w:t>
        </w:r>
        <w:r>
          <w:rPr>
            <w:rFonts w:asciiTheme="minorHAnsi" w:eastAsiaTheme="minorEastAsia" w:hAnsiTheme="minorHAnsi" w:cstheme="minorBidi"/>
            <w:noProof/>
            <w:sz w:val="22"/>
            <w:szCs w:val="22"/>
            <w:lang w:val="es-CO" w:eastAsia="es-CO"/>
          </w:rPr>
          <w:tab/>
        </w:r>
        <w:r w:rsidRPr="00DF6938">
          <w:rPr>
            <w:rStyle w:val="Hipervnculo"/>
            <w:noProof/>
          </w:rPr>
          <w:t>Inclusión</w:t>
        </w:r>
        <w:r w:rsidRPr="00DF6938">
          <w:rPr>
            <w:rStyle w:val="Hipervnculo"/>
            <w:noProof/>
            <w:spacing w:val="-4"/>
          </w:rPr>
          <w:t xml:space="preserve"> </w:t>
        </w:r>
        <w:r w:rsidRPr="00DF6938">
          <w:rPr>
            <w:rStyle w:val="Hipervnculo"/>
            <w:noProof/>
          </w:rPr>
          <w:t>de</w:t>
        </w:r>
        <w:r w:rsidRPr="00DF6938">
          <w:rPr>
            <w:rStyle w:val="Hipervnculo"/>
            <w:noProof/>
            <w:spacing w:val="-3"/>
          </w:rPr>
          <w:t xml:space="preserve"> </w:t>
        </w:r>
        <w:r w:rsidRPr="00DF6938">
          <w:rPr>
            <w:rStyle w:val="Hipervnculo"/>
            <w:noProof/>
          </w:rPr>
          <w:t>grupos</w:t>
        </w:r>
        <w:r w:rsidRPr="00DF6938">
          <w:rPr>
            <w:rStyle w:val="Hipervnculo"/>
            <w:noProof/>
            <w:spacing w:val="-3"/>
          </w:rPr>
          <w:t xml:space="preserve"> </w:t>
        </w:r>
        <w:r w:rsidRPr="00DF6938">
          <w:rPr>
            <w:rStyle w:val="Hipervnculo"/>
            <w:noProof/>
          </w:rPr>
          <w:t>históricamente</w:t>
        </w:r>
        <w:r w:rsidRPr="00DF6938">
          <w:rPr>
            <w:rStyle w:val="Hipervnculo"/>
            <w:noProof/>
            <w:spacing w:val="-2"/>
          </w:rPr>
          <w:t xml:space="preserve"> excluidos</w:t>
        </w:r>
        <w:r>
          <w:rPr>
            <w:noProof/>
            <w:webHidden/>
          </w:rPr>
          <w:tab/>
        </w:r>
        <w:r>
          <w:rPr>
            <w:noProof/>
            <w:webHidden/>
          </w:rPr>
          <w:fldChar w:fldCharType="begin"/>
        </w:r>
        <w:r>
          <w:rPr>
            <w:noProof/>
            <w:webHidden/>
          </w:rPr>
          <w:instrText xml:space="preserve"> PAGEREF _Toc112399698 \h </w:instrText>
        </w:r>
        <w:r>
          <w:rPr>
            <w:noProof/>
            <w:webHidden/>
          </w:rPr>
        </w:r>
        <w:r>
          <w:rPr>
            <w:noProof/>
            <w:webHidden/>
          </w:rPr>
          <w:fldChar w:fldCharType="separate"/>
        </w:r>
        <w:r>
          <w:rPr>
            <w:noProof/>
            <w:webHidden/>
          </w:rPr>
          <w:t>1044</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699" w:history="1">
        <w:r w:rsidRPr="00DF6938">
          <w:rPr>
            <w:rStyle w:val="Hipervnculo"/>
            <w:noProof/>
          </w:rPr>
          <w:t>4.</w:t>
        </w:r>
        <w:r>
          <w:rPr>
            <w:rFonts w:asciiTheme="minorHAnsi" w:eastAsiaTheme="minorEastAsia" w:hAnsiTheme="minorHAnsi" w:cstheme="minorBidi"/>
            <w:b w:val="0"/>
            <w:bCs w:val="0"/>
            <w:iCs w:val="0"/>
            <w:noProof/>
            <w:sz w:val="22"/>
            <w:lang w:val="es-CO" w:eastAsia="es-CO"/>
          </w:rPr>
          <w:tab/>
        </w:r>
        <w:r w:rsidRPr="00DF6938">
          <w:rPr>
            <w:rStyle w:val="Hipervnculo"/>
            <w:noProof/>
          </w:rPr>
          <w:t>PARA</w:t>
        </w:r>
        <w:r w:rsidRPr="00DF6938">
          <w:rPr>
            <w:rStyle w:val="Hipervnculo"/>
            <w:noProof/>
            <w:spacing w:val="-7"/>
          </w:rPr>
          <w:t xml:space="preserve"> </w:t>
        </w:r>
        <w:r w:rsidRPr="00DF6938">
          <w:rPr>
            <w:rStyle w:val="Hipervnculo"/>
            <w:noProof/>
          </w:rPr>
          <w:t>ENFRENTAR</w:t>
        </w:r>
        <w:r w:rsidRPr="00DF6938">
          <w:rPr>
            <w:rStyle w:val="Hipervnculo"/>
            <w:noProof/>
            <w:spacing w:val="-7"/>
          </w:rPr>
          <w:t xml:space="preserve"> </w:t>
        </w:r>
        <w:r w:rsidRPr="00DF6938">
          <w:rPr>
            <w:rStyle w:val="Hipervnculo"/>
            <w:noProof/>
          </w:rPr>
          <w:t>LOS</w:t>
        </w:r>
        <w:r w:rsidRPr="00DF6938">
          <w:rPr>
            <w:rStyle w:val="Hipervnculo"/>
            <w:noProof/>
            <w:spacing w:val="-6"/>
          </w:rPr>
          <w:t xml:space="preserve"> </w:t>
        </w:r>
        <w:r w:rsidRPr="00DF6938">
          <w:rPr>
            <w:rStyle w:val="Hipervnculo"/>
            <w:noProof/>
          </w:rPr>
          <w:t>IMPACTOS</w:t>
        </w:r>
        <w:r w:rsidRPr="00DF6938">
          <w:rPr>
            <w:rStyle w:val="Hipervnculo"/>
            <w:noProof/>
            <w:spacing w:val="-7"/>
          </w:rPr>
          <w:t xml:space="preserve"> </w:t>
        </w:r>
        <w:r w:rsidRPr="00DF6938">
          <w:rPr>
            <w:rStyle w:val="Hipervnculo"/>
            <w:noProof/>
          </w:rPr>
          <w:t>DEL</w:t>
        </w:r>
        <w:r w:rsidRPr="00DF6938">
          <w:rPr>
            <w:rStyle w:val="Hipervnculo"/>
            <w:noProof/>
            <w:spacing w:val="-7"/>
          </w:rPr>
          <w:t xml:space="preserve"> </w:t>
        </w:r>
        <w:r w:rsidRPr="00DF6938">
          <w:rPr>
            <w:rStyle w:val="Hipervnculo"/>
            <w:noProof/>
          </w:rPr>
          <w:t>NARCOTRÁFICO</w:t>
        </w:r>
        <w:r w:rsidRPr="00DF6938">
          <w:rPr>
            <w:rStyle w:val="Hipervnculo"/>
            <w:noProof/>
            <w:spacing w:val="-7"/>
          </w:rPr>
          <w:t xml:space="preserve"> </w:t>
        </w:r>
        <w:r w:rsidRPr="00DF6938">
          <w:rPr>
            <w:rStyle w:val="Hipervnculo"/>
            <w:noProof/>
          </w:rPr>
          <w:t>Y</w:t>
        </w:r>
        <w:r w:rsidRPr="00DF6938">
          <w:rPr>
            <w:rStyle w:val="Hipervnculo"/>
            <w:noProof/>
            <w:spacing w:val="-7"/>
          </w:rPr>
          <w:t xml:space="preserve"> </w:t>
        </w:r>
        <w:r w:rsidRPr="00DF6938">
          <w:rPr>
            <w:rStyle w:val="Hipervnculo"/>
            <w:noProof/>
          </w:rPr>
          <w:t>DE LA POLÍTICA DE DROGAS</w:t>
        </w:r>
        <w:r>
          <w:rPr>
            <w:noProof/>
            <w:webHidden/>
          </w:rPr>
          <w:tab/>
        </w:r>
        <w:r>
          <w:rPr>
            <w:noProof/>
            <w:webHidden/>
          </w:rPr>
          <w:fldChar w:fldCharType="begin"/>
        </w:r>
        <w:r>
          <w:rPr>
            <w:noProof/>
            <w:webHidden/>
          </w:rPr>
          <w:instrText xml:space="preserve"> PAGEREF _Toc112399699 \h </w:instrText>
        </w:r>
        <w:r>
          <w:rPr>
            <w:noProof/>
            <w:webHidden/>
          </w:rPr>
        </w:r>
        <w:r>
          <w:rPr>
            <w:noProof/>
            <w:webHidden/>
          </w:rPr>
          <w:fldChar w:fldCharType="separate"/>
        </w:r>
        <w:r>
          <w:rPr>
            <w:noProof/>
            <w:webHidden/>
          </w:rPr>
          <w:t>1047</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700" w:history="1">
        <w:r w:rsidRPr="00DF6938">
          <w:rPr>
            <w:rStyle w:val="Hipervnculo"/>
            <w:noProof/>
          </w:rPr>
          <w:t>4.1.</w:t>
        </w:r>
        <w:r>
          <w:rPr>
            <w:rFonts w:asciiTheme="minorHAnsi" w:eastAsiaTheme="minorEastAsia" w:hAnsiTheme="minorHAnsi" w:cstheme="minorBidi"/>
            <w:noProof/>
            <w:sz w:val="22"/>
            <w:szCs w:val="22"/>
            <w:lang w:val="es-CO" w:eastAsia="es-CO"/>
          </w:rPr>
          <w:tab/>
        </w:r>
        <w:r w:rsidRPr="00DF6938">
          <w:rPr>
            <w:rStyle w:val="Hipervnculo"/>
            <w:noProof/>
          </w:rPr>
          <w:t>Transitar</w:t>
        </w:r>
        <w:r w:rsidRPr="00DF6938">
          <w:rPr>
            <w:rStyle w:val="Hipervnculo"/>
            <w:noProof/>
            <w:spacing w:val="-2"/>
          </w:rPr>
          <w:t xml:space="preserve"> </w:t>
        </w:r>
        <w:r w:rsidRPr="00DF6938">
          <w:rPr>
            <w:rStyle w:val="Hipervnculo"/>
            <w:noProof/>
          </w:rPr>
          <w:t>hacia</w:t>
        </w:r>
        <w:r w:rsidRPr="00DF6938">
          <w:rPr>
            <w:rStyle w:val="Hipervnculo"/>
            <w:noProof/>
            <w:spacing w:val="-1"/>
          </w:rPr>
          <w:t xml:space="preserve"> </w:t>
        </w:r>
        <w:r w:rsidRPr="00DF6938">
          <w:rPr>
            <w:rStyle w:val="Hipervnculo"/>
            <w:noProof/>
          </w:rPr>
          <w:t>la</w:t>
        </w:r>
        <w:r w:rsidRPr="00DF6938">
          <w:rPr>
            <w:rStyle w:val="Hipervnculo"/>
            <w:noProof/>
            <w:spacing w:val="-4"/>
          </w:rPr>
          <w:t xml:space="preserve"> </w:t>
        </w:r>
        <w:r w:rsidRPr="00DF6938">
          <w:rPr>
            <w:rStyle w:val="Hipervnculo"/>
            <w:noProof/>
          </w:rPr>
          <w:t>regulación</w:t>
        </w:r>
        <w:r w:rsidRPr="00DF6938">
          <w:rPr>
            <w:rStyle w:val="Hipervnculo"/>
            <w:noProof/>
            <w:spacing w:val="-3"/>
          </w:rPr>
          <w:t xml:space="preserve"> </w:t>
        </w:r>
        <w:r w:rsidRPr="00DF6938">
          <w:rPr>
            <w:rStyle w:val="Hipervnculo"/>
            <w:noProof/>
          </w:rPr>
          <w:t>legal</w:t>
        </w:r>
        <w:r w:rsidRPr="00DF6938">
          <w:rPr>
            <w:rStyle w:val="Hipervnculo"/>
            <w:noProof/>
            <w:spacing w:val="-1"/>
          </w:rPr>
          <w:t xml:space="preserve"> </w:t>
        </w:r>
        <w:r w:rsidRPr="00DF6938">
          <w:rPr>
            <w:rStyle w:val="Hipervnculo"/>
            <w:noProof/>
            <w:spacing w:val="-2"/>
          </w:rPr>
          <w:t>estricta</w:t>
        </w:r>
        <w:r>
          <w:rPr>
            <w:noProof/>
            <w:webHidden/>
          </w:rPr>
          <w:tab/>
        </w:r>
        <w:r>
          <w:rPr>
            <w:noProof/>
            <w:webHidden/>
          </w:rPr>
          <w:fldChar w:fldCharType="begin"/>
        </w:r>
        <w:r>
          <w:rPr>
            <w:noProof/>
            <w:webHidden/>
          </w:rPr>
          <w:instrText xml:space="preserve"> PAGEREF _Toc112399700 \h </w:instrText>
        </w:r>
        <w:r>
          <w:rPr>
            <w:noProof/>
            <w:webHidden/>
          </w:rPr>
        </w:r>
        <w:r>
          <w:rPr>
            <w:noProof/>
            <w:webHidden/>
          </w:rPr>
          <w:fldChar w:fldCharType="separate"/>
        </w:r>
        <w:r>
          <w:rPr>
            <w:noProof/>
            <w:webHidden/>
          </w:rPr>
          <w:t>1053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701" w:history="1">
        <w:r w:rsidRPr="00DF6938">
          <w:rPr>
            <w:rStyle w:val="Hipervnculo"/>
            <w:noProof/>
          </w:rPr>
          <w:t>4.2.</w:t>
        </w:r>
        <w:r>
          <w:rPr>
            <w:rFonts w:asciiTheme="minorHAnsi" w:eastAsiaTheme="minorEastAsia" w:hAnsiTheme="minorHAnsi" w:cstheme="minorBidi"/>
            <w:noProof/>
            <w:sz w:val="22"/>
            <w:szCs w:val="22"/>
            <w:lang w:val="es-CO" w:eastAsia="es-CO"/>
          </w:rPr>
          <w:tab/>
        </w:r>
        <w:r w:rsidRPr="00DF6938">
          <w:rPr>
            <w:rStyle w:val="Hipervnculo"/>
            <w:noProof/>
          </w:rPr>
          <w:t>Cooperación</w:t>
        </w:r>
        <w:r w:rsidRPr="00DF6938">
          <w:rPr>
            <w:rStyle w:val="Hipervnculo"/>
            <w:noProof/>
            <w:spacing w:val="-6"/>
          </w:rPr>
          <w:t xml:space="preserve"> </w:t>
        </w:r>
        <w:r w:rsidRPr="00DF6938">
          <w:rPr>
            <w:rStyle w:val="Hipervnculo"/>
            <w:noProof/>
          </w:rPr>
          <w:t>internacional</w:t>
        </w:r>
        <w:r w:rsidRPr="00DF6938">
          <w:rPr>
            <w:rStyle w:val="Hipervnculo"/>
            <w:noProof/>
            <w:spacing w:val="-3"/>
          </w:rPr>
          <w:t xml:space="preserve"> </w:t>
        </w:r>
        <w:r w:rsidRPr="00DF6938">
          <w:rPr>
            <w:rStyle w:val="Hipervnculo"/>
            <w:noProof/>
          </w:rPr>
          <w:t>sobre</w:t>
        </w:r>
        <w:r w:rsidRPr="00DF6938">
          <w:rPr>
            <w:rStyle w:val="Hipervnculo"/>
            <w:noProof/>
            <w:spacing w:val="-2"/>
          </w:rPr>
          <w:t xml:space="preserve"> </w:t>
        </w:r>
        <w:r w:rsidRPr="00DF6938">
          <w:rPr>
            <w:rStyle w:val="Hipervnculo"/>
            <w:noProof/>
          </w:rPr>
          <w:t>política</w:t>
        </w:r>
        <w:r w:rsidRPr="00DF6938">
          <w:rPr>
            <w:rStyle w:val="Hipervnculo"/>
            <w:noProof/>
            <w:spacing w:val="-5"/>
          </w:rPr>
          <w:t xml:space="preserve"> </w:t>
        </w:r>
        <w:r w:rsidRPr="00DF6938">
          <w:rPr>
            <w:rStyle w:val="Hipervnculo"/>
            <w:noProof/>
          </w:rPr>
          <w:t>de</w:t>
        </w:r>
        <w:r w:rsidRPr="00DF6938">
          <w:rPr>
            <w:rStyle w:val="Hipervnculo"/>
            <w:noProof/>
            <w:spacing w:val="-2"/>
          </w:rPr>
          <w:t xml:space="preserve"> droga</w:t>
        </w:r>
        <w:r>
          <w:rPr>
            <w:noProof/>
            <w:webHidden/>
          </w:rPr>
          <w:tab/>
        </w:r>
        <w:r>
          <w:rPr>
            <w:noProof/>
            <w:webHidden/>
          </w:rPr>
          <w:fldChar w:fldCharType="begin"/>
        </w:r>
        <w:r>
          <w:rPr>
            <w:noProof/>
            <w:webHidden/>
          </w:rPr>
          <w:instrText xml:space="preserve"> PAGEREF _Toc112399701 \h </w:instrText>
        </w:r>
        <w:r>
          <w:rPr>
            <w:noProof/>
            <w:webHidden/>
          </w:rPr>
        </w:r>
        <w:r>
          <w:rPr>
            <w:noProof/>
            <w:webHidden/>
          </w:rPr>
          <w:fldChar w:fldCharType="separate"/>
        </w:r>
        <w:r>
          <w:rPr>
            <w:noProof/>
            <w:webHidden/>
          </w:rPr>
          <w:t>1057</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702" w:history="1">
        <w:r w:rsidRPr="00DF6938">
          <w:rPr>
            <w:rStyle w:val="Hipervnculo"/>
            <w:noProof/>
          </w:rPr>
          <w:t>5.</w:t>
        </w:r>
        <w:r>
          <w:rPr>
            <w:rFonts w:asciiTheme="minorHAnsi" w:eastAsiaTheme="minorEastAsia" w:hAnsiTheme="minorHAnsi" w:cstheme="minorBidi"/>
            <w:b w:val="0"/>
            <w:bCs w:val="0"/>
            <w:iCs w:val="0"/>
            <w:noProof/>
            <w:sz w:val="22"/>
            <w:lang w:val="es-CO" w:eastAsia="es-CO"/>
          </w:rPr>
          <w:tab/>
        </w:r>
        <w:r w:rsidRPr="00DF6938">
          <w:rPr>
            <w:rStyle w:val="Hipervnculo"/>
            <w:noProof/>
          </w:rPr>
          <w:t>PARA</w:t>
        </w:r>
        <w:r w:rsidRPr="00DF6938">
          <w:rPr>
            <w:rStyle w:val="Hipervnculo"/>
            <w:noProof/>
            <w:spacing w:val="-7"/>
          </w:rPr>
          <w:t xml:space="preserve"> </w:t>
        </w:r>
        <w:r w:rsidRPr="00DF6938">
          <w:rPr>
            <w:rStyle w:val="Hipervnculo"/>
            <w:noProof/>
          </w:rPr>
          <w:t>SUPERAR</w:t>
        </w:r>
        <w:r w:rsidRPr="00DF6938">
          <w:rPr>
            <w:rStyle w:val="Hipervnculo"/>
            <w:noProof/>
            <w:spacing w:val="-9"/>
          </w:rPr>
          <w:t xml:space="preserve"> </w:t>
        </w:r>
        <w:r w:rsidRPr="00DF6938">
          <w:rPr>
            <w:rStyle w:val="Hipervnculo"/>
            <w:noProof/>
          </w:rPr>
          <w:t>LA</w:t>
        </w:r>
        <w:r w:rsidRPr="00DF6938">
          <w:rPr>
            <w:rStyle w:val="Hipervnculo"/>
            <w:noProof/>
            <w:spacing w:val="-9"/>
          </w:rPr>
          <w:t xml:space="preserve"> </w:t>
        </w:r>
        <w:r w:rsidRPr="00DF6938">
          <w:rPr>
            <w:rStyle w:val="Hipervnculo"/>
            <w:noProof/>
          </w:rPr>
          <w:t>IMPUNIDAD</w:t>
        </w:r>
        <w:r w:rsidRPr="00DF6938">
          <w:rPr>
            <w:rStyle w:val="Hipervnculo"/>
            <w:noProof/>
            <w:spacing w:val="-9"/>
          </w:rPr>
          <w:t xml:space="preserve"> </w:t>
        </w:r>
        <w:r w:rsidRPr="00DF6938">
          <w:rPr>
            <w:rStyle w:val="Hipervnculo"/>
            <w:noProof/>
          </w:rPr>
          <w:t>DE</w:t>
        </w:r>
        <w:r w:rsidRPr="00DF6938">
          <w:rPr>
            <w:rStyle w:val="Hipervnculo"/>
            <w:noProof/>
            <w:spacing w:val="-9"/>
          </w:rPr>
          <w:t xml:space="preserve"> </w:t>
        </w:r>
        <w:r w:rsidRPr="00DF6938">
          <w:rPr>
            <w:rStyle w:val="Hipervnculo"/>
            <w:noProof/>
          </w:rPr>
          <w:t>GRAVES</w:t>
        </w:r>
        <w:r w:rsidRPr="00DF6938">
          <w:rPr>
            <w:rStyle w:val="Hipervnculo"/>
            <w:noProof/>
            <w:spacing w:val="-8"/>
          </w:rPr>
          <w:t xml:space="preserve"> </w:t>
        </w:r>
        <w:r w:rsidRPr="00DF6938">
          <w:rPr>
            <w:rStyle w:val="Hipervnculo"/>
            <w:noProof/>
          </w:rPr>
          <w:t>VIOLACIONES</w:t>
        </w:r>
        <w:r w:rsidRPr="00DF6938">
          <w:rPr>
            <w:rStyle w:val="Hipervnculo"/>
            <w:noProof/>
            <w:spacing w:val="-8"/>
          </w:rPr>
          <w:t xml:space="preserve"> </w:t>
        </w:r>
        <w:r w:rsidRPr="00DF6938">
          <w:rPr>
            <w:rStyle w:val="Hipervnculo"/>
            <w:noProof/>
          </w:rPr>
          <w:t>DE LOS DERECHOS HUMANOS E INFRACCIONES AL DIH, JUDICIALIZAR LOS ENTRAMADOS DE CRIMINALIDAD ORGANIZADA Y CORRUPCIÓN, Y MEJORAR EL ACCESO A LA JUSTICIA</w:t>
        </w:r>
        <w:r w:rsidRPr="00DF6938">
          <w:rPr>
            <w:rStyle w:val="Hipervnculo"/>
            <w:noProof/>
            <w:spacing w:val="-3"/>
          </w:rPr>
          <w:t xml:space="preserve"> </w:t>
        </w:r>
        <w:r w:rsidRPr="00DF6938">
          <w:rPr>
            <w:rStyle w:val="Hipervnculo"/>
            <w:noProof/>
          </w:rPr>
          <w:t>LOCAL</w:t>
        </w:r>
        <w:r>
          <w:rPr>
            <w:noProof/>
            <w:webHidden/>
          </w:rPr>
          <w:tab/>
        </w:r>
        <w:r>
          <w:rPr>
            <w:noProof/>
            <w:webHidden/>
          </w:rPr>
          <w:fldChar w:fldCharType="begin"/>
        </w:r>
        <w:r>
          <w:rPr>
            <w:noProof/>
            <w:webHidden/>
          </w:rPr>
          <w:instrText xml:space="preserve"> PAGEREF _Toc112399702 \h </w:instrText>
        </w:r>
        <w:r>
          <w:rPr>
            <w:noProof/>
            <w:webHidden/>
          </w:rPr>
        </w:r>
        <w:r>
          <w:rPr>
            <w:noProof/>
            <w:webHidden/>
          </w:rPr>
          <w:fldChar w:fldCharType="separate"/>
        </w:r>
        <w:r>
          <w:rPr>
            <w:noProof/>
            <w:webHidden/>
          </w:rPr>
          <w:t>1058</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703" w:history="1">
        <w:r w:rsidRPr="00DF6938">
          <w:rPr>
            <w:rStyle w:val="Hipervnculo"/>
            <w:noProof/>
          </w:rPr>
          <w:t>5.1.</w:t>
        </w:r>
        <w:r>
          <w:rPr>
            <w:rFonts w:asciiTheme="minorHAnsi" w:eastAsiaTheme="minorEastAsia" w:hAnsiTheme="minorHAnsi" w:cstheme="minorBidi"/>
            <w:noProof/>
            <w:sz w:val="22"/>
            <w:szCs w:val="22"/>
            <w:lang w:val="es-CO" w:eastAsia="es-CO"/>
          </w:rPr>
          <w:tab/>
        </w:r>
        <w:r w:rsidRPr="00DF6938">
          <w:rPr>
            <w:rStyle w:val="Hipervnculo"/>
            <w:noProof/>
          </w:rPr>
          <w:t>Independencia</w:t>
        </w:r>
        <w:r w:rsidRPr="00DF6938">
          <w:rPr>
            <w:rStyle w:val="Hipervnculo"/>
            <w:noProof/>
            <w:spacing w:val="-3"/>
          </w:rPr>
          <w:t xml:space="preserve"> </w:t>
        </w:r>
        <w:r w:rsidRPr="00DF6938">
          <w:rPr>
            <w:rStyle w:val="Hipervnculo"/>
            <w:noProof/>
          </w:rPr>
          <w:t>y</w:t>
        </w:r>
        <w:r w:rsidRPr="00DF6938">
          <w:rPr>
            <w:rStyle w:val="Hipervnculo"/>
            <w:noProof/>
            <w:spacing w:val="-3"/>
          </w:rPr>
          <w:t xml:space="preserve"> </w:t>
        </w:r>
        <w:r w:rsidRPr="00DF6938">
          <w:rPr>
            <w:rStyle w:val="Hipervnculo"/>
            <w:noProof/>
            <w:spacing w:val="-2"/>
          </w:rPr>
          <w:t>transparencia</w:t>
        </w:r>
        <w:r>
          <w:rPr>
            <w:noProof/>
            <w:webHidden/>
          </w:rPr>
          <w:tab/>
        </w:r>
        <w:r>
          <w:rPr>
            <w:noProof/>
            <w:webHidden/>
          </w:rPr>
          <w:fldChar w:fldCharType="begin"/>
        </w:r>
        <w:r>
          <w:rPr>
            <w:noProof/>
            <w:webHidden/>
          </w:rPr>
          <w:instrText xml:space="preserve"> PAGEREF _Toc112399703 \h </w:instrText>
        </w:r>
        <w:r>
          <w:rPr>
            <w:noProof/>
            <w:webHidden/>
          </w:rPr>
        </w:r>
        <w:r>
          <w:rPr>
            <w:noProof/>
            <w:webHidden/>
          </w:rPr>
          <w:fldChar w:fldCharType="separate"/>
        </w:r>
        <w:r>
          <w:rPr>
            <w:noProof/>
            <w:webHidden/>
          </w:rPr>
          <w:t>1064</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704" w:history="1">
        <w:r w:rsidRPr="00DF6938">
          <w:rPr>
            <w:rStyle w:val="Hipervnculo"/>
            <w:noProof/>
          </w:rPr>
          <w:t>5.2.</w:t>
        </w:r>
        <w:r>
          <w:rPr>
            <w:rFonts w:asciiTheme="minorHAnsi" w:eastAsiaTheme="minorEastAsia" w:hAnsiTheme="minorHAnsi" w:cstheme="minorBidi"/>
            <w:noProof/>
            <w:sz w:val="22"/>
            <w:szCs w:val="22"/>
            <w:lang w:val="es-CO" w:eastAsia="es-CO"/>
          </w:rPr>
          <w:tab/>
        </w:r>
        <w:r w:rsidRPr="00DF6938">
          <w:rPr>
            <w:rStyle w:val="Hipervnculo"/>
            <w:noProof/>
          </w:rPr>
          <w:t>Investigación</w:t>
        </w:r>
        <w:r w:rsidRPr="00DF6938">
          <w:rPr>
            <w:rStyle w:val="Hipervnculo"/>
            <w:noProof/>
            <w:spacing w:val="-3"/>
          </w:rPr>
          <w:t xml:space="preserve"> </w:t>
        </w:r>
        <w:r w:rsidRPr="00DF6938">
          <w:rPr>
            <w:rStyle w:val="Hipervnculo"/>
            <w:noProof/>
            <w:spacing w:val="-4"/>
          </w:rPr>
          <w:t>penal</w:t>
        </w:r>
        <w:r>
          <w:rPr>
            <w:noProof/>
            <w:webHidden/>
          </w:rPr>
          <w:tab/>
        </w:r>
        <w:r>
          <w:rPr>
            <w:noProof/>
            <w:webHidden/>
          </w:rPr>
          <w:fldChar w:fldCharType="begin"/>
        </w:r>
        <w:r>
          <w:rPr>
            <w:noProof/>
            <w:webHidden/>
          </w:rPr>
          <w:instrText xml:space="preserve"> PAGEREF _Toc112399704 \h </w:instrText>
        </w:r>
        <w:r>
          <w:rPr>
            <w:noProof/>
            <w:webHidden/>
          </w:rPr>
        </w:r>
        <w:r>
          <w:rPr>
            <w:noProof/>
            <w:webHidden/>
          </w:rPr>
          <w:fldChar w:fldCharType="separate"/>
        </w:r>
        <w:r>
          <w:rPr>
            <w:noProof/>
            <w:webHidden/>
          </w:rPr>
          <w:t>1066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705" w:history="1">
        <w:r w:rsidRPr="00DF6938">
          <w:rPr>
            <w:rStyle w:val="Hipervnculo"/>
            <w:noProof/>
          </w:rPr>
          <w:t>5.3.</w:t>
        </w:r>
        <w:r>
          <w:rPr>
            <w:rFonts w:asciiTheme="minorHAnsi" w:eastAsiaTheme="minorEastAsia" w:hAnsiTheme="minorHAnsi" w:cstheme="minorBidi"/>
            <w:noProof/>
            <w:sz w:val="22"/>
            <w:szCs w:val="22"/>
            <w:lang w:val="es-CO" w:eastAsia="es-CO"/>
          </w:rPr>
          <w:tab/>
        </w:r>
        <w:r w:rsidRPr="00DF6938">
          <w:rPr>
            <w:rStyle w:val="Hipervnculo"/>
            <w:noProof/>
          </w:rPr>
          <w:t>Investigación</w:t>
        </w:r>
        <w:r w:rsidRPr="00DF6938">
          <w:rPr>
            <w:rStyle w:val="Hipervnculo"/>
            <w:noProof/>
            <w:spacing w:val="-5"/>
          </w:rPr>
          <w:t xml:space="preserve"> </w:t>
        </w:r>
        <w:r w:rsidRPr="00DF6938">
          <w:rPr>
            <w:rStyle w:val="Hipervnculo"/>
            <w:noProof/>
          </w:rPr>
          <w:t>de</w:t>
        </w:r>
        <w:r w:rsidRPr="00DF6938">
          <w:rPr>
            <w:rStyle w:val="Hipervnculo"/>
            <w:noProof/>
            <w:spacing w:val="-1"/>
          </w:rPr>
          <w:t xml:space="preserve"> </w:t>
        </w:r>
        <w:r w:rsidRPr="00DF6938">
          <w:rPr>
            <w:rStyle w:val="Hipervnculo"/>
            <w:noProof/>
          </w:rPr>
          <w:t>la</w:t>
        </w:r>
        <w:r w:rsidRPr="00DF6938">
          <w:rPr>
            <w:rStyle w:val="Hipervnculo"/>
            <w:noProof/>
            <w:spacing w:val="-3"/>
          </w:rPr>
          <w:t xml:space="preserve"> </w:t>
        </w:r>
        <w:r w:rsidRPr="00DF6938">
          <w:rPr>
            <w:rStyle w:val="Hipervnculo"/>
            <w:noProof/>
          </w:rPr>
          <w:t>criminalidad</w:t>
        </w:r>
        <w:r w:rsidRPr="00DF6938">
          <w:rPr>
            <w:rStyle w:val="Hipervnculo"/>
            <w:noProof/>
            <w:spacing w:val="-3"/>
          </w:rPr>
          <w:t xml:space="preserve"> </w:t>
        </w:r>
        <w:r w:rsidRPr="00DF6938">
          <w:rPr>
            <w:rStyle w:val="Hipervnculo"/>
            <w:noProof/>
          </w:rPr>
          <w:t>organizada</w:t>
        </w:r>
        <w:r w:rsidRPr="00DF6938">
          <w:rPr>
            <w:rStyle w:val="Hipervnculo"/>
            <w:noProof/>
            <w:spacing w:val="-1"/>
          </w:rPr>
          <w:t xml:space="preserve"> </w:t>
        </w:r>
        <w:r w:rsidRPr="00DF6938">
          <w:rPr>
            <w:rStyle w:val="Hipervnculo"/>
            <w:noProof/>
          </w:rPr>
          <w:t>y</w:t>
        </w:r>
        <w:r w:rsidRPr="00DF6938">
          <w:rPr>
            <w:rStyle w:val="Hipervnculo"/>
            <w:noProof/>
            <w:spacing w:val="-1"/>
          </w:rPr>
          <w:t xml:space="preserve"> </w:t>
        </w:r>
        <w:r w:rsidRPr="00DF6938">
          <w:rPr>
            <w:rStyle w:val="Hipervnculo"/>
            <w:noProof/>
          </w:rPr>
          <w:t>sus</w:t>
        </w:r>
        <w:r w:rsidRPr="00DF6938">
          <w:rPr>
            <w:rStyle w:val="Hipervnculo"/>
            <w:noProof/>
            <w:spacing w:val="-2"/>
          </w:rPr>
          <w:t xml:space="preserve"> </w:t>
        </w:r>
        <w:r w:rsidRPr="00DF6938">
          <w:rPr>
            <w:rStyle w:val="Hipervnculo"/>
            <w:noProof/>
          </w:rPr>
          <w:t>redes</w:t>
        </w:r>
        <w:r w:rsidRPr="00DF6938">
          <w:rPr>
            <w:rStyle w:val="Hipervnculo"/>
            <w:noProof/>
            <w:spacing w:val="-1"/>
          </w:rPr>
          <w:t xml:space="preserve"> </w:t>
        </w:r>
        <w:r w:rsidRPr="00DF6938">
          <w:rPr>
            <w:rStyle w:val="Hipervnculo"/>
            <w:noProof/>
          </w:rPr>
          <w:t>de</w:t>
        </w:r>
        <w:r w:rsidRPr="00DF6938">
          <w:rPr>
            <w:rStyle w:val="Hipervnculo"/>
            <w:noProof/>
            <w:spacing w:val="-1"/>
          </w:rPr>
          <w:t xml:space="preserve"> </w:t>
        </w:r>
        <w:r w:rsidRPr="00DF6938">
          <w:rPr>
            <w:rStyle w:val="Hipervnculo"/>
            <w:noProof/>
            <w:spacing w:val="-2"/>
          </w:rPr>
          <w:t>apoyo</w:t>
        </w:r>
        <w:r>
          <w:rPr>
            <w:noProof/>
            <w:webHidden/>
          </w:rPr>
          <w:tab/>
        </w:r>
        <w:r>
          <w:rPr>
            <w:noProof/>
            <w:webHidden/>
          </w:rPr>
          <w:fldChar w:fldCharType="begin"/>
        </w:r>
        <w:r>
          <w:rPr>
            <w:noProof/>
            <w:webHidden/>
          </w:rPr>
          <w:instrText xml:space="preserve"> PAGEREF _Toc112399705 \h </w:instrText>
        </w:r>
        <w:r>
          <w:rPr>
            <w:noProof/>
            <w:webHidden/>
          </w:rPr>
        </w:r>
        <w:r>
          <w:rPr>
            <w:noProof/>
            <w:webHidden/>
          </w:rPr>
          <w:fldChar w:fldCharType="separate"/>
        </w:r>
        <w:r>
          <w:rPr>
            <w:noProof/>
            <w:webHidden/>
          </w:rPr>
          <w:t>1068</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706" w:history="1">
        <w:r w:rsidRPr="00DF6938">
          <w:rPr>
            <w:rStyle w:val="Hipervnculo"/>
            <w:noProof/>
          </w:rPr>
          <w:t>5.4.</w:t>
        </w:r>
        <w:r>
          <w:rPr>
            <w:rFonts w:asciiTheme="minorHAnsi" w:eastAsiaTheme="minorEastAsia" w:hAnsiTheme="minorHAnsi" w:cstheme="minorBidi"/>
            <w:noProof/>
            <w:sz w:val="22"/>
            <w:szCs w:val="22"/>
            <w:lang w:val="es-CO" w:eastAsia="es-CO"/>
          </w:rPr>
          <w:tab/>
        </w:r>
        <w:r w:rsidRPr="00DF6938">
          <w:rPr>
            <w:rStyle w:val="Hipervnculo"/>
            <w:noProof/>
          </w:rPr>
          <w:t>Reconocimiento</w:t>
        </w:r>
        <w:r w:rsidRPr="00DF6938">
          <w:rPr>
            <w:rStyle w:val="Hipervnculo"/>
            <w:noProof/>
            <w:spacing w:val="-4"/>
          </w:rPr>
          <w:t xml:space="preserve"> </w:t>
        </w:r>
        <w:r w:rsidRPr="00DF6938">
          <w:rPr>
            <w:rStyle w:val="Hipervnculo"/>
            <w:noProof/>
          </w:rPr>
          <w:t>de</w:t>
        </w:r>
        <w:r w:rsidRPr="00DF6938">
          <w:rPr>
            <w:rStyle w:val="Hipervnculo"/>
            <w:noProof/>
            <w:spacing w:val="-2"/>
          </w:rPr>
          <w:t xml:space="preserve"> </w:t>
        </w:r>
        <w:r w:rsidRPr="00DF6938">
          <w:rPr>
            <w:rStyle w:val="Hipervnculo"/>
            <w:noProof/>
          </w:rPr>
          <w:t>la</w:t>
        </w:r>
        <w:r w:rsidRPr="00DF6938">
          <w:rPr>
            <w:rStyle w:val="Hipervnculo"/>
            <w:noProof/>
            <w:spacing w:val="-2"/>
          </w:rPr>
          <w:t xml:space="preserve"> </w:t>
        </w:r>
        <w:r w:rsidRPr="00DF6938">
          <w:rPr>
            <w:rStyle w:val="Hipervnculo"/>
            <w:noProof/>
          </w:rPr>
          <w:t>violencia</w:t>
        </w:r>
        <w:r w:rsidRPr="00DF6938">
          <w:rPr>
            <w:rStyle w:val="Hipervnculo"/>
            <w:noProof/>
            <w:spacing w:val="-3"/>
          </w:rPr>
          <w:t xml:space="preserve"> </w:t>
        </w:r>
        <w:r w:rsidRPr="00DF6938">
          <w:rPr>
            <w:rStyle w:val="Hipervnculo"/>
            <w:noProof/>
          </w:rPr>
          <w:t>contra</w:t>
        </w:r>
        <w:r w:rsidRPr="00DF6938">
          <w:rPr>
            <w:rStyle w:val="Hipervnculo"/>
            <w:noProof/>
            <w:spacing w:val="-1"/>
          </w:rPr>
          <w:t xml:space="preserve"> </w:t>
        </w:r>
        <w:r w:rsidRPr="00DF6938">
          <w:rPr>
            <w:rStyle w:val="Hipervnculo"/>
            <w:noProof/>
          </w:rPr>
          <w:t>el</w:t>
        </w:r>
        <w:r w:rsidRPr="00DF6938">
          <w:rPr>
            <w:rStyle w:val="Hipervnculo"/>
            <w:noProof/>
            <w:spacing w:val="-2"/>
          </w:rPr>
          <w:t xml:space="preserve"> </w:t>
        </w:r>
        <w:r w:rsidRPr="00DF6938">
          <w:rPr>
            <w:rStyle w:val="Hipervnculo"/>
            <w:noProof/>
          </w:rPr>
          <w:t>sistema</w:t>
        </w:r>
        <w:r w:rsidRPr="00DF6938">
          <w:rPr>
            <w:rStyle w:val="Hipervnculo"/>
            <w:noProof/>
            <w:spacing w:val="-3"/>
          </w:rPr>
          <w:t xml:space="preserve"> </w:t>
        </w:r>
        <w:r w:rsidRPr="00DF6938">
          <w:rPr>
            <w:rStyle w:val="Hipervnculo"/>
            <w:noProof/>
          </w:rPr>
          <w:t>judicial</w:t>
        </w:r>
        <w:r w:rsidRPr="00DF6938">
          <w:rPr>
            <w:rStyle w:val="Hipervnculo"/>
            <w:noProof/>
            <w:spacing w:val="-2"/>
          </w:rPr>
          <w:t xml:space="preserve"> </w:t>
        </w:r>
        <w:r w:rsidRPr="00DF6938">
          <w:rPr>
            <w:rStyle w:val="Hipervnculo"/>
            <w:noProof/>
          </w:rPr>
          <w:t>y</w:t>
        </w:r>
        <w:r w:rsidRPr="00DF6938">
          <w:rPr>
            <w:rStyle w:val="Hipervnculo"/>
            <w:noProof/>
            <w:spacing w:val="-1"/>
          </w:rPr>
          <w:t xml:space="preserve"> </w:t>
        </w:r>
        <w:r w:rsidRPr="00DF6938">
          <w:rPr>
            <w:rStyle w:val="Hipervnculo"/>
            <w:noProof/>
          </w:rPr>
          <w:t>sus</w:t>
        </w:r>
        <w:r w:rsidRPr="00DF6938">
          <w:rPr>
            <w:rStyle w:val="Hipervnculo"/>
            <w:noProof/>
            <w:spacing w:val="-1"/>
          </w:rPr>
          <w:t xml:space="preserve"> </w:t>
        </w:r>
        <w:r w:rsidRPr="00DF6938">
          <w:rPr>
            <w:rStyle w:val="Hipervnculo"/>
            <w:noProof/>
            <w:spacing w:val="-2"/>
          </w:rPr>
          <w:t>funcionarios</w:t>
        </w:r>
        <w:r>
          <w:rPr>
            <w:noProof/>
            <w:webHidden/>
          </w:rPr>
          <w:tab/>
        </w:r>
        <w:r>
          <w:rPr>
            <w:noProof/>
            <w:webHidden/>
          </w:rPr>
          <w:fldChar w:fldCharType="begin"/>
        </w:r>
        <w:r>
          <w:rPr>
            <w:noProof/>
            <w:webHidden/>
          </w:rPr>
          <w:instrText xml:space="preserve"> PAGEREF _Toc112399706 \h </w:instrText>
        </w:r>
        <w:r>
          <w:rPr>
            <w:noProof/>
            <w:webHidden/>
          </w:rPr>
        </w:r>
        <w:r>
          <w:rPr>
            <w:noProof/>
            <w:webHidden/>
          </w:rPr>
          <w:fldChar w:fldCharType="separate"/>
        </w:r>
        <w:r>
          <w:rPr>
            <w:noProof/>
            <w:webHidden/>
          </w:rPr>
          <w:t>1070</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707" w:history="1">
        <w:r w:rsidRPr="00DF6938">
          <w:rPr>
            <w:rStyle w:val="Hipervnculo"/>
            <w:noProof/>
          </w:rPr>
          <w:t>5.5.</w:t>
        </w:r>
        <w:r>
          <w:rPr>
            <w:rFonts w:asciiTheme="minorHAnsi" w:eastAsiaTheme="minorEastAsia" w:hAnsiTheme="minorHAnsi" w:cstheme="minorBidi"/>
            <w:noProof/>
            <w:sz w:val="22"/>
            <w:szCs w:val="22"/>
            <w:lang w:val="es-CO" w:eastAsia="es-CO"/>
          </w:rPr>
          <w:tab/>
        </w:r>
        <w:r w:rsidRPr="00DF6938">
          <w:rPr>
            <w:rStyle w:val="Hipervnculo"/>
            <w:noProof/>
          </w:rPr>
          <w:t>Acceso</w:t>
        </w:r>
        <w:r w:rsidRPr="00DF6938">
          <w:rPr>
            <w:rStyle w:val="Hipervnculo"/>
            <w:noProof/>
            <w:spacing w:val="-1"/>
          </w:rPr>
          <w:t xml:space="preserve"> </w:t>
        </w:r>
        <w:r w:rsidRPr="00DF6938">
          <w:rPr>
            <w:rStyle w:val="Hipervnculo"/>
            <w:noProof/>
          </w:rPr>
          <w:t>a</w:t>
        </w:r>
        <w:r w:rsidRPr="00DF6938">
          <w:rPr>
            <w:rStyle w:val="Hipervnculo"/>
            <w:noProof/>
            <w:spacing w:val="-1"/>
          </w:rPr>
          <w:t xml:space="preserve"> </w:t>
        </w:r>
        <w:r w:rsidRPr="00DF6938">
          <w:rPr>
            <w:rStyle w:val="Hipervnculo"/>
            <w:noProof/>
          </w:rPr>
          <w:t>la</w:t>
        </w:r>
        <w:r w:rsidRPr="00DF6938">
          <w:rPr>
            <w:rStyle w:val="Hipervnculo"/>
            <w:noProof/>
            <w:spacing w:val="-1"/>
          </w:rPr>
          <w:t xml:space="preserve"> </w:t>
        </w:r>
        <w:r w:rsidRPr="00DF6938">
          <w:rPr>
            <w:rStyle w:val="Hipervnculo"/>
            <w:noProof/>
          </w:rPr>
          <w:t>justicia</w:t>
        </w:r>
        <w:r w:rsidRPr="00DF6938">
          <w:rPr>
            <w:rStyle w:val="Hipervnculo"/>
            <w:noProof/>
            <w:spacing w:val="-2"/>
          </w:rPr>
          <w:t xml:space="preserve"> local</w:t>
        </w:r>
        <w:r>
          <w:rPr>
            <w:noProof/>
            <w:webHidden/>
          </w:rPr>
          <w:tab/>
        </w:r>
        <w:r>
          <w:rPr>
            <w:noProof/>
            <w:webHidden/>
          </w:rPr>
          <w:fldChar w:fldCharType="begin"/>
        </w:r>
        <w:r>
          <w:rPr>
            <w:noProof/>
            <w:webHidden/>
          </w:rPr>
          <w:instrText xml:space="preserve"> PAGEREF _Toc112399707 \h </w:instrText>
        </w:r>
        <w:r>
          <w:rPr>
            <w:noProof/>
            <w:webHidden/>
          </w:rPr>
        </w:r>
        <w:r>
          <w:rPr>
            <w:noProof/>
            <w:webHidden/>
          </w:rPr>
          <w:fldChar w:fldCharType="separate"/>
        </w:r>
        <w:r>
          <w:rPr>
            <w:noProof/>
            <w:webHidden/>
          </w:rPr>
          <w:t>1070</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708" w:history="1">
        <w:r w:rsidRPr="00DF6938">
          <w:rPr>
            <w:rStyle w:val="Hipervnculo"/>
            <w:noProof/>
          </w:rPr>
          <w:t>6.</w:t>
        </w:r>
        <w:r>
          <w:rPr>
            <w:rFonts w:asciiTheme="minorHAnsi" w:eastAsiaTheme="minorEastAsia" w:hAnsiTheme="minorHAnsi" w:cstheme="minorBidi"/>
            <w:b w:val="0"/>
            <w:bCs w:val="0"/>
            <w:iCs w:val="0"/>
            <w:noProof/>
            <w:sz w:val="22"/>
            <w:lang w:val="es-CO" w:eastAsia="es-CO"/>
          </w:rPr>
          <w:tab/>
        </w:r>
        <w:r w:rsidRPr="00DF6938">
          <w:rPr>
            <w:rStyle w:val="Hipervnculo"/>
            <w:noProof/>
            <w:w w:val="95"/>
          </w:rPr>
          <w:t>PARA</w:t>
        </w:r>
        <w:r w:rsidRPr="00DF6938">
          <w:rPr>
            <w:rStyle w:val="Hipervnculo"/>
            <w:noProof/>
            <w:spacing w:val="18"/>
          </w:rPr>
          <w:t xml:space="preserve"> </w:t>
        </w:r>
        <w:r w:rsidRPr="00DF6938">
          <w:rPr>
            <w:rStyle w:val="Hipervnculo"/>
            <w:noProof/>
            <w:w w:val="95"/>
          </w:rPr>
          <w:t>UNA</w:t>
        </w:r>
        <w:r w:rsidRPr="00DF6938">
          <w:rPr>
            <w:rStyle w:val="Hipervnculo"/>
            <w:noProof/>
            <w:spacing w:val="18"/>
          </w:rPr>
          <w:t xml:space="preserve"> </w:t>
        </w:r>
        <w:r w:rsidRPr="00DF6938">
          <w:rPr>
            <w:rStyle w:val="Hipervnculo"/>
            <w:noProof/>
            <w:w w:val="95"/>
          </w:rPr>
          <w:t>NUEVA</w:t>
        </w:r>
        <w:r w:rsidRPr="00DF6938">
          <w:rPr>
            <w:rStyle w:val="Hipervnculo"/>
            <w:noProof/>
            <w:spacing w:val="16"/>
          </w:rPr>
          <w:t xml:space="preserve"> </w:t>
        </w:r>
        <w:r w:rsidRPr="00DF6938">
          <w:rPr>
            <w:rStyle w:val="Hipervnculo"/>
            <w:noProof/>
            <w:w w:val="95"/>
          </w:rPr>
          <w:t>VISIÓN</w:t>
        </w:r>
        <w:r w:rsidRPr="00DF6938">
          <w:rPr>
            <w:rStyle w:val="Hipervnculo"/>
            <w:noProof/>
            <w:spacing w:val="15"/>
          </w:rPr>
          <w:t xml:space="preserve"> </w:t>
        </w:r>
        <w:r w:rsidRPr="00DF6938">
          <w:rPr>
            <w:rStyle w:val="Hipervnculo"/>
            <w:noProof/>
            <w:w w:val="95"/>
          </w:rPr>
          <w:t>DE</w:t>
        </w:r>
        <w:r w:rsidRPr="00DF6938">
          <w:rPr>
            <w:rStyle w:val="Hipervnculo"/>
            <w:noProof/>
            <w:spacing w:val="15"/>
          </w:rPr>
          <w:t xml:space="preserve"> </w:t>
        </w:r>
        <w:r w:rsidRPr="00DF6938">
          <w:rPr>
            <w:rStyle w:val="Hipervnculo"/>
            <w:noProof/>
            <w:w w:val="95"/>
          </w:rPr>
          <w:t>SEGURIDAD</w:t>
        </w:r>
        <w:r w:rsidRPr="00DF6938">
          <w:rPr>
            <w:rStyle w:val="Hipervnculo"/>
            <w:noProof/>
            <w:spacing w:val="15"/>
          </w:rPr>
          <w:t xml:space="preserve"> </w:t>
        </w:r>
        <w:r w:rsidRPr="00DF6938">
          <w:rPr>
            <w:rStyle w:val="Hipervnculo"/>
            <w:noProof/>
            <w:w w:val="95"/>
          </w:rPr>
          <w:t>PARA</w:t>
        </w:r>
        <w:r w:rsidRPr="00DF6938">
          <w:rPr>
            <w:rStyle w:val="Hipervnculo"/>
            <w:noProof/>
            <w:spacing w:val="15"/>
          </w:rPr>
          <w:t xml:space="preserve"> </w:t>
        </w:r>
        <w:r w:rsidRPr="00DF6938">
          <w:rPr>
            <w:rStyle w:val="Hipervnculo"/>
            <w:noProof/>
            <w:w w:val="95"/>
          </w:rPr>
          <w:t>LA</w:t>
        </w:r>
        <w:r w:rsidRPr="00DF6938">
          <w:rPr>
            <w:rStyle w:val="Hipervnculo"/>
            <w:noProof/>
            <w:spacing w:val="18"/>
          </w:rPr>
          <w:t xml:space="preserve"> </w:t>
        </w:r>
        <w:r w:rsidRPr="00DF6938">
          <w:rPr>
            <w:rStyle w:val="Hipervnculo"/>
            <w:noProof/>
            <w:spacing w:val="-5"/>
            <w:w w:val="95"/>
          </w:rPr>
          <w:t>PAZ</w:t>
        </w:r>
        <w:r>
          <w:rPr>
            <w:noProof/>
            <w:webHidden/>
          </w:rPr>
          <w:tab/>
        </w:r>
        <w:r>
          <w:rPr>
            <w:noProof/>
            <w:webHidden/>
          </w:rPr>
          <w:fldChar w:fldCharType="begin"/>
        </w:r>
        <w:r>
          <w:rPr>
            <w:noProof/>
            <w:webHidden/>
          </w:rPr>
          <w:instrText xml:space="preserve"> PAGEREF _Toc112399708 \h </w:instrText>
        </w:r>
        <w:r>
          <w:rPr>
            <w:noProof/>
            <w:webHidden/>
          </w:rPr>
        </w:r>
        <w:r>
          <w:rPr>
            <w:noProof/>
            <w:webHidden/>
          </w:rPr>
          <w:fldChar w:fldCharType="separate"/>
        </w:r>
        <w:r>
          <w:rPr>
            <w:noProof/>
            <w:webHidden/>
          </w:rPr>
          <w:t>1073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709" w:history="1">
        <w:r w:rsidRPr="00DF6938">
          <w:rPr>
            <w:rStyle w:val="Hipervnculo"/>
            <w:noProof/>
          </w:rPr>
          <w:t>6.1.</w:t>
        </w:r>
        <w:r>
          <w:rPr>
            <w:rFonts w:asciiTheme="minorHAnsi" w:eastAsiaTheme="minorEastAsia" w:hAnsiTheme="minorHAnsi" w:cstheme="minorBidi"/>
            <w:noProof/>
            <w:sz w:val="22"/>
            <w:szCs w:val="22"/>
            <w:lang w:val="es-CO" w:eastAsia="es-CO"/>
          </w:rPr>
          <w:tab/>
        </w:r>
        <w:r w:rsidRPr="00DF6938">
          <w:rPr>
            <w:rStyle w:val="Hipervnculo"/>
            <w:noProof/>
          </w:rPr>
          <w:t>Nueva</w:t>
        </w:r>
        <w:r w:rsidRPr="00DF6938">
          <w:rPr>
            <w:rStyle w:val="Hipervnculo"/>
            <w:noProof/>
            <w:spacing w:val="-1"/>
          </w:rPr>
          <w:t xml:space="preserve"> </w:t>
        </w:r>
        <w:r w:rsidRPr="00DF6938">
          <w:rPr>
            <w:rStyle w:val="Hipervnculo"/>
            <w:noProof/>
          </w:rPr>
          <w:t>visión</w:t>
        </w:r>
        <w:r w:rsidRPr="00DF6938">
          <w:rPr>
            <w:rStyle w:val="Hipervnculo"/>
            <w:noProof/>
            <w:spacing w:val="-2"/>
          </w:rPr>
          <w:t xml:space="preserve"> </w:t>
        </w:r>
        <w:r w:rsidRPr="00DF6938">
          <w:rPr>
            <w:rStyle w:val="Hipervnculo"/>
            <w:noProof/>
          </w:rPr>
          <w:t>de</w:t>
        </w:r>
        <w:r w:rsidRPr="00DF6938">
          <w:rPr>
            <w:rStyle w:val="Hipervnculo"/>
            <w:noProof/>
            <w:spacing w:val="-1"/>
          </w:rPr>
          <w:t xml:space="preserve"> </w:t>
        </w:r>
        <w:r w:rsidRPr="00DF6938">
          <w:rPr>
            <w:rStyle w:val="Hipervnculo"/>
            <w:noProof/>
            <w:spacing w:val="-2"/>
          </w:rPr>
          <w:t>seguridad</w:t>
        </w:r>
        <w:r>
          <w:rPr>
            <w:noProof/>
            <w:webHidden/>
          </w:rPr>
          <w:tab/>
        </w:r>
        <w:r>
          <w:rPr>
            <w:noProof/>
            <w:webHidden/>
          </w:rPr>
          <w:fldChar w:fldCharType="begin"/>
        </w:r>
        <w:r>
          <w:rPr>
            <w:noProof/>
            <w:webHidden/>
          </w:rPr>
          <w:instrText xml:space="preserve"> PAGEREF _Toc112399709 \h </w:instrText>
        </w:r>
        <w:r>
          <w:rPr>
            <w:noProof/>
            <w:webHidden/>
          </w:rPr>
        </w:r>
        <w:r>
          <w:rPr>
            <w:noProof/>
            <w:webHidden/>
          </w:rPr>
          <w:fldChar w:fldCharType="separate"/>
        </w:r>
        <w:r>
          <w:rPr>
            <w:noProof/>
            <w:webHidden/>
          </w:rPr>
          <w:t>1079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710" w:history="1">
        <w:r w:rsidRPr="00DF6938">
          <w:rPr>
            <w:rStyle w:val="Hipervnculo"/>
            <w:noProof/>
          </w:rPr>
          <w:t>6.2.</w:t>
        </w:r>
        <w:r>
          <w:rPr>
            <w:rFonts w:asciiTheme="minorHAnsi" w:eastAsiaTheme="minorEastAsia" w:hAnsiTheme="minorHAnsi" w:cstheme="minorBidi"/>
            <w:noProof/>
            <w:sz w:val="22"/>
            <w:szCs w:val="22"/>
            <w:lang w:val="es-CO" w:eastAsia="es-CO"/>
          </w:rPr>
          <w:tab/>
        </w:r>
        <w:r w:rsidRPr="00DF6938">
          <w:rPr>
            <w:rStyle w:val="Hipervnculo"/>
            <w:noProof/>
          </w:rPr>
          <w:t>Transformación</w:t>
        </w:r>
        <w:r w:rsidRPr="00DF6938">
          <w:rPr>
            <w:rStyle w:val="Hipervnculo"/>
            <w:noProof/>
            <w:spacing w:val="-5"/>
          </w:rPr>
          <w:t xml:space="preserve"> </w:t>
        </w:r>
        <w:r w:rsidRPr="00DF6938">
          <w:rPr>
            <w:rStyle w:val="Hipervnculo"/>
            <w:noProof/>
          </w:rPr>
          <w:t>del</w:t>
        </w:r>
        <w:r w:rsidRPr="00DF6938">
          <w:rPr>
            <w:rStyle w:val="Hipervnculo"/>
            <w:noProof/>
            <w:spacing w:val="-1"/>
          </w:rPr>
          <w:t xml:space="preserve"> </w:t>
        </w:r>
        <w:r w:rsidRPr="00DF6938">
          <w:rPr>
            <w:rStyle w:val="Hipervnculo"/>
            <w:noProof/>
          </w:rPr>
          <w:t>sector</w:t>
        </w:r>
        <w:r w:rsidRPr="00DF6938">
          <w:rPr>
            <w:rStyle w:val="Hipervnculo"/>
            <w:noProof/>
            <w:spacing w:val="-2"/>
          </w:rPr>
          <w:t xml:space="preserve"> </w:t>
        </w:r>
        <w:r w:rsidRPr="00DF6938">
          <w:rPr>
            <w:rStyle w:val="Hipervnculo"/>
            <w:noProof/>
          </w:rPr>
          <w:t>con</w:t>
        </w:r>
        <w:r w:rsidRPr="00DF6938">
          <w:rPr>
            <w:rStyle w:val="Hipervnculo"/>
            <w:noProof/>
            <w:spacing w:val="-2"/>
          </w:rPr>
          <w:t xml:space="preserve"> </w:t>
        </w:r>
        <w:r w:rsidRPr="00DF6938">
          <w:rPr>
            <w:rStyle w:val="Hipervnculo"/>
            <w:noProof/>
          </w:rPr>
          <w:t>base</w:t>
        </w:r>
        <w:r w:rsidRPr="00DF6938">
          <w:rPr>
            <w:rStyle w:val="Hipervnculo"/>
            <w:noProof/>
            <w:spacing w:val="-2"/>
          </w:rPr>
          <w:t xml:space="preserve"> </w:t>
        </w:r>
        <w:r w:rsidRPr="00DF6938">
          <w:rPr>
            <w:rStyle w:val="Hipervnculo"/>
            <w:noProof/>
          </w:rPr>
          <w:t>en</w:t>
        </w:r>
        <w:r w:rsidRPr="00DF6938">
          <w:rPr>
            <w:rStyle w:val="Hipervnculo"/>
            <w:noProof/>
            <w:spacing w:val="-2"/>
          </w:rPr>
          <w:t xml:space="preserve"> </w:t>
        </w:r>
        <w:r w:rsidRPr="00DF6938">
          <w:rPr>
            <w:rStyle w:val="Hipervnculo"/>
            <w:noProof/>
          </w:rPr>
          <w:t>la</w:t>
        </w:r>
        <w:r w:rsidRPr="00DF6938">
          <w:rPr>
            <w:rStyle w:val="Hipervnculo"/>
            <w:noProof/>
            <w:spacing w:val="-2"/>
          </w:rPr>
          <w:t xml:space="preserve"> </w:t>
        </w:r>
        <w:r w:rsidRPr="00DF6938">
          <w:rPr>
            <w:rStyle w:val="Hipervnculo"/>
            <w:noProof/>
          </w:rPr>
          <w:t>nueva</w:t>
        </w:r>
        <w:r w:rsidRPr="00DF6938">
          <w:rPr>
            <w:rStyle w:val="Hipervnculo"/>
            <w:noProof/>
            <w:spacing w:val="-1"/>
          </w:rPr>
          <w:t xml:space="preserve"> </w:t>
        </w:r>
        <w:r w:rsidRPr="00DF6938">
          <w:rPr>
            <w:rStyle w:val="Hipervnculo"/>
            <w:noProof/>
          </w:rPr>
          <w:t>visión</w:t>
        </w:r>
        <w:r w:rsidRPr="00DF6938">
          <w:rPr>
            <w:rStyle w:val="Hipervnculo"/>
            <w:noProof/>
            <w:spacing w:val="-3"/>
          </w:rPr>
          <w:t xml:space="preserve"> </w:t>
        </w:r>
        <w:r w:rsidRPr="00DF6938">
          <w:rPr>
            <w:rStyle w:val="Hipervnculo"/>
            <w:noProof/>
          </w:rPr>
          <w:t>de</w:t>
        </w:r>
        <w:r w:rsidRPr="00DF6938">
          <w:rPr>
            <w:rStyle w:val="Hipervnculo"/>
            <w:noProof/>
            <w:spacing w:val="-1"/>
          </w:rPr>
          <w:t xml:space="preserve"> </w:t>
        </w:r>
        <w:r w:rsidRPr="00DF6938">
          <w:rPr>
            <w:rStyle w:val="Hipervnculo"/>
            <w:noProof/>
            <w:spacing w:val="-2"/>
          </w:rPr>
          <w:t>seguridad</w:t>
        </w:r>
        <w:r>
          <w:rPr>
            <w:noProof/>
            <w:webHidden/>
          </w:rPr>
          <w:tab/>
        </w:r>
        <w:r>
          <w:rPr>
            <w:noProof/>
            <w:webHidden/>
          </w:rPr>
          <w:fldChar w:fldCharType="begin"/>
        </w:r>
        <w:r>
          <w:rPr>
            <w:noProof/>
            <w:webHidden/>
          </w:rPr>
          <w:instrText xml:space="preserve"> PAGEREF _Toc112399710 \h </w:instrText>
        </w:r>
        <w:r>
          <w:rPr>
            <w:noProof/>
            <w:webHidden/>
          </w:rPr>
        </w:r>
        <w:r>
          <w:rPr>
            <w:noProof/>
            <w:webHidden/>
          </w:rPr>
          <w:fldChar w:fldCharType="separate"/>
        </w:r>
        <w:r>
          <w:rPr>
            <w:noProof/>
            <w:webHidden/>
          </w:rPr>
          <w:t>1080</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711" w:history="1">
        <w:r w:rsidRPr="00DF6938">
          <w:rPr>
            <w:rStyle w:val="Hipervnculo"/>
            <w:noProof/>
          </w:rPr>
          <w:t>6.3.</w:t>
        </w:r>
        <w:r>
          <w:rPr>
            <w:rFonts w:asciiTheme="minorHAnsi" w:eastAsiaTheme="minorEastAsia" w:hAnsiTheme="minorHAnsi" w:cstheme="minorBidi"/>
            <w:noProof/>
            <w:sz w:val="22"/>
            <w:szCs w:val="22"/>
            <w:lang w:val="es-CO" w:eastAsia="es-CO"/>
          </w:rPr>
          <w:tab/>
        </w:r>
        <w:r w:rsidRPr="00DF6938">
          <w:rPr>
            <w:rStyle w:val="Hipervnculo"/>
            <w:noProof/>
          </w:rPr>
          <w:t>Archivos de</w:t>
        </w:r>
        <w:r w:rsidRPr="00DF6938">
          <w:rPr>
            <w:rStyle w:val="Hipervnculo"/>
            <w:noProof/>
            <w:spacing w:val="-1"/>
          </w:rPr>
          <w:t xml:space="preserve"> </w:t>
        </w:r>
        <w:r w:rsidRPr="00DF6938">
          <w:rPr>
            <w:rStyle w:val="Hipervnculo"/>
            <w:noProof/>
          </w:rPr>
          <w:t>inteligencia</w:t>
        </w:r>
        <w:r>
          <w:rPr>
            <w:noProof/>
            <w:webHidden/>
          </w:rPr>
          <w:tab/>
        </w:r>
        <w:r>
          <w:rPr>
            <w:noProof/>
            <w:webHidden/>
          </w:rPr>
          <w:fldChar w:fldCharType="begin"/>
        </w:r>
        <w:r>
          <w:rPr>
            <w:noProof/>
            <w:webHidden/>
          </w:rPr>
          <w:instrText xml:space="preserve"> PAGEREF _Toc112399711 \h </w:instrText>
        </w:r>
        <w:r>
          <w:rPr>
            <w:noProof/>
            <w:webHidden/>
          </w:rPr>
        </w:r>
        <w:r>
          <w:rPr>
            <w:noProof/>
            <w:webHidden/>
          </w:rPr>
          <w:fldChar w:fldCharType="separate"/>
        </w:r>
        <w:r>
          <w:rPr>
            <w:noProof/>
            <w:webHidden/>
          </w:rPr>
          <w:t>1091</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712" w:history="1">
        <w:r w:rsidRPr="00DF6938">
          <w:rPr>
            <w:rStyle w:val="Hipervnculo"/>
            <w:noProof/>
          </w:rPr>
          <w:t>6.4.</w:t>
        </w:r>
        <w:r>
          <w:rPr>
            <w:rFonts w:asciiTheme="minorHAnsi" w:eastAsiaTheme="minorEastAsia" w:hAnsiTheme="minorHAnsi" w:cstheme="minorBidi"/>
            <w:noProof/>
            <w:sz w:val="22"/>
            <w:szCs w:val="22"/>
            <w:lang w:val="es-CO" w:eastAsia="es-CO"/>
          </w:rPr>
          <w:tab/>
        </w:r>
        <w:r w:rsidRPr="00DF6938">
          <w:rPr>
            <w:rStyle w:val="Hipervnculo"/>
            <w:noProof/>
          </w:rPr>
          <w:t>Empresas</w:t>
        </w:r>
        <w:r w:rsidRPr="00DF6938">
          <w:rPr>
            <w:rStyle w:val="Hipervnculo"/>
            <w:noProof/>
            <w:spacing w:val="-4"/>
          </w:rPr>
          <w:t xml:space="preserve"> </w:t>
        </w:r>
        <w:r w:rsidRPr="00DF6938">
          <w:rPr>
            <w:rStyle w:val="Hipervnculo"/>
            <w:noProof/>
          </w:rPr>
          <w:t>de</w:t>
        </w:r>
        <w:r w:rsidRPr="00DF6938">
          <w:rPr>
            <w:rStyle w:val="Hipervnculo"/>
            <w:noProof/>
            <w:spacing w:val="-2"/>
          </w:rPr>
          <w:t xml:space="preserve"> </w:t>
        </w:r>
        <w:r w:rsidRPr="00DF6938">
          <w:rPr>
            <w:rStyle w:val="Hipervnculo"/>
            <w:noProof/>
          </w:rPr>
          <w:t>seguridad</w:t>
        </w:r>
        <w:r w:rsidRPr="00DF6938">
          <w:rPr>
            <w:rStyle w:val="Hipervnculo"/>
            <w:noProof/>
            <w:spacing w:val="-2"/>
          </w:rPr>
          <w:t xml:space="preserve"> </w:t>
        </w:r>
        <w:r w:rsidRPr="00DF6938">
          <w:rPr>
            <w:rStyle w:val="Hipervnculo"/>
            <w:noProof/>
          </w:rPr>
          <w:t>privada</w:t>
        </w:r>
        <w:r w:rsidRPr="00DF6938">
          <w:rPr>
            <w:rStyle w:val="Hipervnculo"/>
            <w:noProof/>
            <w:spacing w:val="-2"/>
          </w:rPr>
          <w:t xml:space="preserve"> </w:t>
        </w:r>
        <w:r w:rsidRPr="00DF6938">
          <w:rPr>
            <w:rStyle w:val="Hipervnculo"/>
            <w:noProof/>
          </w:rPr>
          <w:t>y</w:t>
        </w:r>
        <w:r w:rsidRPr="00DF6938">
          <w:rPr>
            <w:rStyle w:val="Hipervnculo"/>
            <w:noProof/>
            <w:spacing w:val="-1"/>
          </w:rPr>
          <w:t xml:space="preserve"> </w:t>
        </w:r>
        <w:r w:rsidRPr="00DF6938">
          <w:rPr>
            <w:rStyle w:val="Hipervnculo"/>
            <w:noProof/>
          </w:rPr>
          <w:t>control</w:t>
        </w:r>
        <w:r w:rsidRPr="00DF6938">
          <w:rPr>
            <w:rStyle w:val="Hipervnculo"/>
            <w:noProof/>
            <w:spacing w:val="-3"/>
          </w:rPr>
          <w:t xml:space="preserve"> </w:t>
        </w:r>
        <w:r w:rsidRPr="00DF6938">
          <w:rPr>
            <w:rStyle w:val="Hipervnculo"/>
            <w:noProof/>
          </w:rPr>
          <w:t>de</w:t>
        </w:r>
        <w:r w:rsidRPr="00DF6938">
          <w:rPr>
            <w:rStyle w:val="Hipervnculo"/>
            <w:noProof/>
            <w:spacing w:val="-1"/>
          </w:rPr>
          <w:t xml:space="preserve"> </w:t>
        </w:r>
        <w:r w:rsidRPr="00DF6938">
          <w:rPr>
            <w:rStyle w:val="Hipervnculo"/>
            <w:noProof/>
            <w:spacing w:val="-2"/>
          </w:rPr>
          <w:t>armas</w:t>
        </w:r>
        <w:r>
          <w:rPr>
            <w:noProof/>
            <w:webHidden/>
          </w:rPr>
          <w:tab/>
        </w:r>
        <w:r>
          <w:rPr>
            <w:noProof/>
            <w:webHidden/>
          </w:rPr>
          <w:fldChar w:fldCharType="begin"/>
        </w:r>
        <w:r>
          <w:rPr>
            <w:noProof/>
            <w:webHidden/>
          </w:rPr>
          <w:instrText xml:space="preserve"> PAGEREF _Toc112399712 \h </w:instrText>
        </w:r>
        <w:r>
          <w:rPr>
            <w:noProof/>
            <w:webHidden/>
          </w:rPr>
        </w:r>
        <w:r>
          <w:rPr>
            <w:noProof/>
            <w:webHidden/>
          </w:rPr>
          <w:fldChar w:fldCharType="separate"/>
        </w:r>
        <w:r>
          <w:rPr>
            <w:noProof/>
            <w:webHidden/>
          </w:rPr>
          <w:t>1094</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713" w:history="1">
        <w:r w:rsidRPr="00DF6938">
          <w:rPr>
            <w:rStyle w:val="Hipervnculo"/>
            <w:noProof/>
          </w:rPr>
          <w:t>6.5.</w:t>
        </w:r>
        <w:r>
          <w:rPr>
            <w:rFonts w:asciiTheme="minorHAnsi" w:eastAsiaTheme="minorEastAsia" w:hAnsiTheme="minorHAnsi" w:cstheme="minorBidi"/>
            <w:noProof/>
            <w:sz w:val="22"/>
            <w:szCs w:val="22"/>
            <w:lang w:val="es-CO" w:eastAsia="es-CO"/>
          </w:rPr>
          <w:tab/>
        </w:r>
        <w:r w:rsidRPr="00DF6938">
          <w:rPr>
            <w:rStyle w:val="Hipervnculo"/>
            <w:noProof/>
          </w:rPr>
          <w:t>Seguridad</w:t>
        </w:r>
        <w:r w:rsidRPr="00DF6938">
          <w:rPr>
            <w:rStyle w:val="Hipervnculo"/>
            <w:noProof/>
            <w:spacing w:val="-3"/>
          </w:rPr>
          <w:t xml:space="preserve"> </w:t>
        </w:r>
        <w:r w:rsidRPr="00DF6938">
          <w:rPr>
            <w:rStyle w:val="Hipervnculo"/>
            <w:noProof/>
          </w:rPr>
          <w:t>para</w:t>
        </w:r>
        <w:r w:rsidRPr="00DF6938">
          <w:rPr>
            <w:rStyle w:val="Hipervnculo"/>
            <w:noProof/>
            <w:spacing w:val="-2"/>
          </w:rPr>
          <w:t xml:space="preserve"> </w:t>
        </w:r>
        <w:r w:rsidRPr="00DF6938">
          <w:rPr>
            <w:rStyle w:val="Hipervnculo"/>
            <w:noProof/>
          </w:rPr>
          <w:t>la</w:t>
        </w:r>
        <w:r w:rsidRPr="00DF6938">
          <w:rPr>
            <w:rStyle w:val="Hipervnculo"/>
            <w:noProof/>
            <w:spacing w:val="-2"/>
          </w:rPr>
          <w:t xml:space="preserve"> </w:t>
        </w:r>
        <w:r w:rsidRPr="00DF6938">
          <w:rPr>
            <w:rStyle w:val="Hipervnculo"/>
            <w:noProof/>
          </w:rPr>
          <w:t>ruralidad</w:t>
        </w:r>
        <w:r w:rsidRPr="00DF6938">
          <w:rPr>
            <w:rStyle w:val="Hipervnculo"/>
            <w:noProof/>
            <w:spacing w:val="-3"/>
          </w:rPr>
          <w:t xml:space="preserve"> </w:t>
        </w:r>
        <w:r w:rsidRPr="00DF6938">
          <w:rPr>
            <w:rStyle w:val="Hipervnculo"/>
            <w:noProof/>
          </w:rPr>
          <w:t>y</w:t>
        </w:r>
        <w:r w:rsidRPr="00DF6938">
          <w:rPr>
            <w:rStyle w:val="Hipervnculo"/>
            <w:noProof/>
            <w:spacing w:val="-2"/>
          </w:rPr>
          <w:t xml:space="preserve"> </w:t>
        </w:r>
        <w:r w:rsidRPr="00DF6938">
          <w:rPr>
            <w:rStyle w:val="Hipervnculo"/>
            <w:noProof/>
          </w:rPr>
          <w:t>zonas</w:t>
        </w:r>
        <w:r w:rsidRPr="00DF6938">
          <w:rPr>
            <w:rStyle w:val="Hipervnculo"/>
            <w:noProof/>
            <w:spacing w:val="-2"/>
          </w:rPr>
          <w:t xml:space="preserve"> </w:t>
        </w:r>
        <w:r w:rsidRPr="00DF6938">
          <w:rPr>
            <w:rStyle w:val="Hipervnculo"/>
            <w:noProof/>
          </w:rPr>
          <w:t>de</w:t>
        </w:r>
        <w:r w:rsidRPr="00DF6938">
          <w:rPr>
            <w:rStyle w:val="Hipervnculo"/>
            <w:noProof/>
            <w:spacing w:val="-1"/>
          </w:rPr>
          <w:t xml:space="preserve"> </w:t>
        </w:r>
        <w:r w:rsidRPr="00DF6938">
          <w:rPr>
            <w:rStyle w:val="Hipervnculo"/>
            <w:noProof/>
            <w:spacing w:val="-2"/>
          </w:rPr>
          <w:t>frontera</w:t>
        </w:r>
        <w:r>
          <w:rPr>
            <w:noProof/>
            <w:webHidden/>
          </w:rPr>
          <w:tab/>
        </w:r>
        <w:r>
          <w:rPr>
            <w:noProof/>
            <w:webHidden/>
          </w:rPr>
          <w:fldChar w:fldCharType="begin"/>
        </w:r>
        <w:r>
          <w:rPr>
            <w:noProof/>
            <w:webHidden/>
          </w:rPr>
          <w:instrText xml:space="preserve"> PAGEREF _Toc112399713 \h </w:instrText>
        </w:r>
        <w:r>
          <w:rPr>
            <w:noProof/>
            <w:webHidden/>
          </w:rPr>
        </w:r>
        <w:r>
          <w:rPr>
            <w:noProof/>
            <w:webHidden/>
          </w:rPr>
          <w:fldChar w:fldCharType="separate"/>
        </w:r>
        <w:r>
          <w:rPr>
            <w:noProof/>
            <w:webHidden/>
          </w:rPr>
          <w:t>1096</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714" w:history="1">
        <w:r w:rsidRPr="00DF6938">
          <w:rPr>
            <w:rStyle w:val="Hipervnculo"/>
            <w:noProof/>
          </w:rPr>
          <w:t>6.6.</w:t>
        </w:r>
        <w:r>
          <w:rPr>
            <w:rFonts w:asciiTheme="minorHAnsi" w:eastAsiaTheme="minorEastAsia" w:hAnsiTheme="minorHAnsi" w:cstheme="minorBidi"/>
            <w:noProof/>
            <w:sz w:val="22"/>
            <w:szCs w:val="22"/>
            <w:lang w:val="es-CO" w:eastAsia="es-CO"/>
          </w:rPr>
          <w:tab/>
        </w:r>
        <w:r w:rsidRPr="00DF6938">
          <w:rPr>
            <w:rStyle w:val="Hipervnculo"/>
            <w:noProof/>
          </w:rPr>
          <w:t>Cooperación</w:t>
        </w:r>
        <w:r w:rsidRPr="00DF6938">
          <w:rPr>
            <w:rStyle w:val="Hipervnculo"/>
            <w:noProof/>
            <w:spacing w:val="-3"/>
          </w:rPr>
          <w:t xml:space="preserve"> </w:t>
        </w:r>
        <w:r w:rsidRPr="00DF6938">
          <w:rPr>
            <w:rStyle w:val="Hipervnculo"/>
            <w:noProof/>
          </w:rPr>
          <w:t>militar</w:t>
        </w:r>
        <w:r>
          <w:rPr>
            <w:noProof/>
            <w:webHidden/>
          </w:rPr>
          <w:tab/>
        </w:r>
        <w:r>
          <w:rPr>
            <w:noProof/>
            <w:webHidden/>
          </w:rPr>
          <w:fldChar w:fldCharType="begin"/>
        </w:r>
        <w:r>
          <w:rPr>
            <w:noProof/>
            <w:webHidden/>
          </w:rPr>
          <w:instrText xml:space="preserve"> PAGEREF _Toc112399714 \h </w:instrText>
        </w:r>
        <w:r>
          <w:rPr>
            <w:noProof/>
            <w:webHidden/>
          </w:rPr>
        </w:r>
        <w:r>
          <w:rPr>
            <w:noProof/>
            <w:webHidden/>
          </w:rPr>
          <w:fldChar w:fldCharType="separate"/>
        </w:r>
        <w:r>
          <w:rPr>
            <w:noProof/>
            <w:webHidden/>
          </w:rPr>
          <w:t>1097</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715" w:history="1">
        <w:r w:rsidRPr="00DF6938">
          <w:rPr>
            <w:rStyle w:val="Hipervnculo"/>
            <w:noProof/>
          </w:rPr>
          <w:t>7.</w:t>
        </w:r>
        <w:r>
          <w:rPr>
            <w:rFonts w:asciiTheme="minorHAnsi" w:eastAsiaTheme="minorEastAsia" w:hAnsiTheme="minorHAnsi" w:cstheme="minorBidi"/>
            <w:b w:val="0"/>
            <w:bCs w:val="0"/>
            <w:iCs w:val="0"/>
            <w:noProof/>
            <w:sz w:val="22"/>
            <w:lang w:val="es-CO" w:eastAsia="es-CO"/>
          </w:rPr>
          <w:tab/>
        </w:r>
        <w:r w:rsidRPr="00DF6938">
          <w:rPr>
            <w:rStyle w:val="Hipervnculo"/>
            <w:noProof/>
            <w:w w:val="95"/>
          </w:rPr>
          <w:t>PARA</w:t>
        </w:r>
        <w:r w:rsidRPr="00DF6938">
          <w:rPr>
            <w:rStyle w:val="Hipervnculo"/>
            <w:noProof/>
            <w:spacing w:val="15"/>
          </w:rPr>
          <w:t xml:space="preserve"> </w:t>
        </w:r>
        <w:r w:rsidRPr="00DF6938">
          <w:rPr>
            <w:rStyle w:val="Hipervnculo"/>
            <w:noProof/>
            <w:w w:val="95"/>
          </w:rPr>
          <w:t>CONTRIBUIR</w:t>
        </w:r>
        <w:r w:rsidRPr="00DF6938">
          <w:rPr>
            <w:rStyle w:val="Hipervnculo"/>
            <w:noProof/>
            <w:spacing w:val="15"/>
          </w:rPr>
          <w:t xml:space="preserve"> </w:t>
        </w:r>
        <w:r w:rsidRPr="00DF6938">
          <w:rPr>
            <w:rStyle w:val="Hipervnculo"/>
            <w:noProof/>
            <w:w w:val="95"/>
          </w:rPr>
          <w:t>A</w:t>
        </w:r>
        <w:r w:rsidRPr="00DF6938">
          <w:rPr>
            <w:rStyle w:val="Hipervnculo"/>
            <w:noProof/>
            <w:spacing w:val="12"/>
          </w:rPr>
          <w:t xml:space="preserve"> </w:t>
        </w:r>
        <w:r w:rsidRPr="00DF6938">
          <w:rPr>
            <w:rStyle w:val="Hipervnculo"/>
            <w:noProof/>
            <w:w w:val="95"/>
          </w:rPr>
          <w:t>LA</w:t>
        </w:r>
        <w:r w:rsidRPr="00DF6938">
          <w:rPr>
            <w:rStyle w:val="Hipervnculo"/>
            <w:noProof/>
            <w:spacing w:val="11"/>
          </w:rPr>
          <w:t xml:space="preserve"> </w:t>
        </w:r>
        <w:r w:rsidRPr="00DF6938">
          <w:rPr>
            <w:rStyle w:val="Hipervnculo"/>
            <w:noProof/>
            <w:w w:val="95"/>
          </w:rPr>
          <w:t>PAZ</w:t>
        </w:r>
        <w:r w:rsidRPr="00DF6938">
          <w:rPr>
            <w:rStyle w:val="Hipervnculo"/>
            <w:noProof/>
            <w:spacing w:val="12"/>
          </w:rPr>
          <w:t xml:space="preserve"> </w:t>
        </w:r>
        <w:r w:rsidRPr="00DF6938">
          <w:rPr>
            <w:rStyle w:val="Hipervnculo"/>
            <w:noProof/>
            <w:spacing w:val="-2"/>
            <w:w w:val="95"/>
          </w:rPr>
          <w:t>TERRITORIAL</w:t>
        </w:r>
        <w:r>
          <w:rPr>
            <w:noProof/>
            <w:webHidden/>
          </w:rPr>
          <w:tab/>
        </w:r>
        <w:r>
          <w:rPr>
            <w:noProof/>
            <w:webHidden/>
          </w:rPr>
          <w:fldChar w:fldCharType="begin"/>
        </w:r>
        <w:r>
          <w:rPr>
            <w:noProof/>
            <w:webHidden/>
          </w:rPr>
          <w:instrText xml:space="preserve"> PAGEREF _Toc112399715 \h </w:instrText>
        </w:r>
        <w:r>
          <w:rPr>
            <w:noProof/>
            <w:webHidden/>
          </w:rPr>
        </w:r>
        <w:r>
          <w:rPr>
            <w:noProof/>
            <w:webHidden/>
          </w:rPr>
          <w:fldChar w:fldCharType="separate"/>
        </w:r>
        <w:r>
          <w:rPr>
            <w:noProof/>
            <w:webHidden/>
          </w:rPr>
          <w:t>1099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716" w:history="1">
        <w:r w:rsidRPr="00DF6938">
          <w:rPr>
            <w:rStyle w:val="Hipervnculo"/>
            <w:noProof/>
          </w:rPr>
          <w:t>7.1.</w:t>
        </w:r>
        <w:r>
          <w:rPr>
            <w:rFonts w:asciiTheme="minorHAnsi" w:eastAsiaTheme="minorEastAsia" w:hAnsiTheme="minorHAnsi" w:cstheme="minorBidi"/>
            <w:noProof/>
            <w:sz w:val="22"/>
            <w:szCs w:val="22"/>
            <w:lang w:val="es-CO" w:eastAsia="es-CO"/>
          </w:rPr>
          <w:tab/>
        </w:r>
        <w:r w:rsidRPr="00DF6938">
          <w:rPr>
            <w:rStyle w:val="Hipervnculo"/>
            <w:noProof/>
          </w:rPr>
          <w:t>Estrategia</w:t>
        </w:r>
        <w:r w:rsidRPr="00DF6938">
          <w:rPr>
            <w:rStyle w:val="Hipervnculo"/>
            <w:noProof/>
            <w:spacing w:val="-4"/>
          </w:rPr>
          <w:t xml:space="preserve"> </w:t>
        </w:r>
        <w:r w:rsidRPr="00DF6938">
          <w:rPr>
            <w:rStyle w:val="Hipervnculo"/>
            <w:noProof/>
          </w:rPr>
          <w:t>de</w:t>
        </w:r>
        <w:r w:rsidRPr="00DF6938">
          <w:rPr>
            <w:rStyle w:val="Hipervnculo"/>
            <w:noProof/>
            <w:spacing w:val="-2"/>
          </w:rPr>
          <w:t xml:space="preserve"> </w:t>
        </w:r>
        <w:r w:rsidRPr="00DF6938">
          <w:rPr>
            <w:rStyle w:val="Hipervnculo"/>
            <w:noProof/>
          </w:rPr>
          <w:t>desarrollo</w:t>
        </w:r>
        <w:r w:rsidRPr="00DF6938">
          <w:rPr>
            <w:rStyle w:val="Hipervnculo"/>
            <w:noProof/>
            <w:spacing w:val="-4"/>
          </w:rPr>
          <w:t xml:space="preserve"> </w:t>
        </w:r>
        <w:r w:rsidRPr="00DF6938">
          <w:rPr>
            <w:rStyle w:val="Hipervnculo"/>
            <w:noProof/>
          </w:rPr>
          <w:t>territorial</w:t>
        </w:r>
        <w:r w:rsidRPr="00DF6938">
          <w:rPr>
            <w:rStyle w:val="Hipervnculo"/>
            <w:noProof/>
            <w:spacing w:val="-2"/>
          </w:rPr>
          <w:t xml:space="preserve"> </w:t>
        </w:r>
        <w:r w:rsidRPr="00DF6938">
          <w:rPr>
            <w:rStyle w:val="Hipervnculo"/>
            <w:noProof/>
          </w:rPr>
          <w:t>sostenible</w:t>
        </w:r>
        <w:r w:rsidRPr="00DF6938">
          <w:rPr>
            <w:rStyle w:val="Hipervnculo"/>
            <w:noProof/>
            <w:spacing w:val="-2"/>
          </w:rPr>
          <w:t xml:space="preserve"> </w:t>
        </w:r>
        <w:r w:rsidRPr="00DF6938">
          <w:rPr>
            <w:rStyle w:val="Hipervnculo"/>
            <w:noProof/>
          </w:rPr>
          <w:t>para</w:t>
        </w:r>
        <w:r w:rsidRPr="00DF6938">
          <w:rPr>
            <w:rStyle w:val="Hipervnculo"/>
            <w:noProof/>
            <w:spacing w:val="-1"/>
          </w:rPr>
          <w:t xml:space="preserve"> </w:t>
        </w:r>
        <w:r w:rsidRPr="00DF6938">
          <w:rPr>
            <w:rStyle w:val="Hipervnculo"/>
            <w:noProof/>
          </w:rPr>
          <w:t>la</w:t>
        </w:r>
        <w:r w:rsidRPr="00DF6938">
          <w:rPr>
            <w:rStyle w:val="Hipervnculo"/>
            <w:noProof/>
            <w:spacing w:val="-4"/>
          </w:rPr>
          <w:t xml:space="preserve"> </w:t>
        </w:r>
        <w:r w:rsidRPr="00DF6938">
          <w:rPr>
            <w:rStyle w:val="Hipervnculo"/>
            <w:noProof/>
          </w:rPr>
          <w:t>equidad</w:t>
        </w:r>
        <w:r w:rsidRPr="00DF6938">
          <w:rPr>
            <w:rStyle w:val="Hipervnculo"/>
            <w:noProof/>
            <w:spacing w:val="-3"/>
          </w:rPr>
          <w:t xml:space="preserve"> </w:t>
        </w:r>
        <w:r w:rsidRPr="00DF6938">
          <w:rPr>
            <w:rStyle w:val="Hipervnculo"/>
            <w:noProof/>
          </w:rPr>
          <w:t>y</w:t>
        </w:r>
        <w:r w:rsidRPr="00DF6938">
          <w:rPr>
            <w:rStyle w:val="Hipervnculo"/>
            <w:noProof/>
            <w:spacing w:val="-2"/>
          </w:rPr>
          <w:t xml:space="preserve"> </w:t>
        </w:r>
        <w:r w:rsidRPr="00DF6938">
          <w:rPr>
            <w:rStyle w:val="Hipervnculo"/>
            <w:noProof/>
          </w:rPr>
          <w:t>la</w:t>
        </w:r>
        <w:r w:rsidRPr="00DF6938">
          <w:rPr>
            <w:rStyle w:val="Hipervnculo"/>
            <w:noProof/>
            <w:spacing w:val="-2"/>
          </w:rPr>
          <w:t xml:space="preserve"> </w:t>
        </w:r>
        <w:r w:rsidRPr="00DF6938">
          <w:rPr>
            <w:rStyle w:val="Hipervnculo"/>
            <w:noProof/>
          </w:rPr>
          <w:t>paz</w:t>
        </w:r>
        <w:r w:rsidRPr="00DF6938">
          <w:rPr>
            <w:rStyle w:val="Hipervnculo"/>
            <w:noProof/>
            <w:spacing w:val="-1"/>
          </w:rPr>
          <w:t xml:space="preserve"> </w:t>
        </w:r>
        <w:r w:rsidRPr="00DF6938">
          <w:rPr>
            <w:rStyle w:val="Hipervnculo"/>
            <w:noProof/>
            <w:spacing w:val="-2"/>
          </w:rPr>
          <w:t>territorial</w:t>
        </w:r>
        <w:r>
          <w:rPr>
            <w:noProof/>
            <w:webHidden/>
          </w:rPr>
          <w:tab/>
        </w:r>
        <w:r>
          <w:rPr>
            <w:noProof/>
            <w:webHidden/>
          </w:rPr>
          <w:fldChar w:fldCharType="begin"/>
        </w:r>
        <w:r>
          <w:rPr>
            <w:noProof/>
            <w:webHidden/>
          </w:rPr>
          <w:instrText xml:space="preserve"> PAGEREF _Toc112399716 \h </w:instrText>
        </w:r>
        <w:r>
          <w:rPr>
            <w:noProof/>
            <w:webHidden/>
          </w:rPr>
        </w:r>
        <w:r>
          <w:rPr>
            <w:noProof/>
            <w:webHidden/>
          </w:rPr>
          <w:fldChar w:fldCharType="separate"/>
        </w:r>
        <w:r>
          <w:rPr>
            <w:noProof/>
            <w:webHidden/>
          </w:rPr>
          <w:t>1107</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717" w:history="1">
        <w:r w:rsidRPr="00DF6938">
          <w:rPr>
            <w:rStyle w:val="Hipervnculo"/>
            <w:noProof/>
          </w:rPr>
          <w:t>7.2.</w:t>
        </w:r>
        <w:r>
          <w:rPr>
            <w:rFonts w:asciiTheme="minorHAnsi" w:eastAsiaTheme="minorEastAsia" w:hAnsiTheme="minorHAnsi" w:cstheme="minorBidi"/>
            <w:noProof/>
            <w:sz w:val="22"/>
            <w:szCs w:val="22"/>
            <w:lang w:val="es-CO" w:eastAsia="es-CO"/>
          </w:rPr>
          <w:tab/>
        </w:r>
        <w:r w:rsidRPr="00DF6938">
          <w:rPr>
            <w:rStyle w:val="Hipervnculo"/>
            <w:noProof/>
          </w:rPr>
          <w:t>Descentralización,</w:t>
        </w:r>
        <w:r w:rsidRPr="00DF6938">
          <w:rPr>
            <w:rStyle w:val="Hipervnculo"/>
            <w:noProof/>
            <w:spacing w:val="-8"/>
          </w:rPr>
          <w:t xml:space="preserve"> </w:t>
        </w:r>
        <w:r w:rsidRPr="00DF6938">
          <w:rPr>
            <w:rStyle w:val="Hipervnculo"/>
            <w:noProof/>
          </w:rPr>
          <w:t>autonomía</w:t>
        </w:r>
        <w:r w:rsidRPr="00DF6938">
          <w:rPr>
            <w:rStyle w:val="Hipervnculo"/>
            <w:noProof/>
            <w:spacing w:val="-5"/>
          </w:rPr>
          <w:t xml:space="preserve"> </w:t>
        </w:r>
        <w:r w:rsidRPr="00DF6938">
          <w:rPr>
            <w:rStyle w:val="Hipervnculo"/>
            <w:noProof/>
          </w:rPr>
          <w:t>territorial</w:t>
        </w:r>
        <w:r w:rsidRPr="00DF6938">
          <w:rPr>
            <w:rStyle w:val="Hipervnculo"/>
            <w:noProof/>
            <w:spacing w:val="-3"/>
          </w:rPr>
          <w:t xml:space="preserve"> </w:t>
        </w:r>
        <w:r w:rsidRPr="00DF6938">
          <w:rPr>
            <w:rStyle w:val="Hipervnculo"/>
            <w:noProof/>
          </w:rPr>
          <w:t>y</w:t>
        </w:r>
        <w:r w:rsidRPr="00DF6938">
          <w:rPr>
            <w:rStyle w:val="Hipervnculo"/>
            <w:noProof/>
            <w:spacing w:val="-5"/>
          </w:rPr>
          <w:t xml:space="preserve"> </w:t>
        </w:r>
        <w:r w:rsidRPr="00DF6938">
          <w:rPr>
            <w:rStyle w:val="Hipervnculo"/>
            <w:noProof/>
          </w:rPr>
          <w:t>organización</w:t>
        </w:r>
        <w:r w:rsidRPr="00DF6938">
          <w:rPr>
            <w:rStyle w:val="Hipervnculo"/>
            <w:noProof/>
            <w:spacing w:val="-4"/>
          </w:rPr>
          <w:t xml:space="preserve"> </w:t>
        </w:r>
        <w:r w:rsidRPr="00DF6938">
          <w:rPr>
            <w:rStyle w:val="Hipervnculo"/>
            <w:noProof/>
          </w:rPr>
          <w:t>político-</w:t>
        </w:r>
        <w:r w:rsidRPr="00DF6938">
          <w:rPr>
            <w:rStyle w:val="Hipervnculo"/>
            <w:noProof/>
            <w:spacing w:val="-2"/>
          </w:rPr>
          <w:t>administrativa</w:t>
        </w:r>
        <w:r>
          <w:rPr>
            <w:noProof/>
            <w:webHidden/>
          </w:rPr>
          <w:tab/>
        </w:r>
        <w:r>
          <w:rPr>
            <w:noProof/>
            <w:webHidden/>
          </w:rPr>
          <w:fldChar w:fldCharType="begin"/>
        </w:r>
        <w:r>
          <w:rPr>
            <w:noProof/>
            <w:webHidden/>
          </w:rPr>
          <w:instrText xml:space="preserve"> PAGEREF _Toc112399717 \h </w:instrText>
        </w:r>
        <w:r>
          <w:rPr>
            <w:noProof/>
            <w:webHidden/>
          </w:rPr>
        </w:r>
        <w:r>
          <w:rPr>
            <w:noProof/>
            <w:webHidden/>
          </w:rPr>
          <w:fldChar w:fldCharType="separate"/>
        </w:r>
        <w:r>
          <w:rPr>
            <w:noProof/>
            <w:webHidden/>
          </w:rPr>
          <w:t>1109</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718" w:history="1">
        <w:r w:rsidRPr="00DF6938">
          <w:rPr>
            <w:rStyle w:val="Hipervnculo"/>
            <w:noProof/>
          </w:rPr>
          <w:t>7.3.</w:t>
        </w:r>
        <w:r>
          <w:rPr>
            <w:rFonts w:asciiTheme="minorHAnsi" w:eastAsiaTheme="minorEastAsia" w:hAnsiTheme="minorHAnsi" w:cstheme="minorBidi"/>
            <w:noProof/>
            <w:sz w:val="22"/>
            <w:szCs w:val="22"/>
            <w:lang w:val="es-CO" w:eastAsia="es-CO"/>
          </w:rPr>
          <w:tab/>
        </w:r>
        <w:r w:rsidRPr="00DF6938">
          <w:rPr>
            <w:rStyle w:val="Hipervnculo"/>
            <w:noProof/>
          </w:rPr>
          <w:t xml:space="preserve">Acceso equitativo, democrático y ambientalmente sostenible a la tierra y los </w:t>
        </w:r>
        <w:r w:rsidRPr="00DF6938">
          <w:rPr>
            <w:rStyle w:val="Hipervnculo"/>
            <w:noProof/>
            <w:spacing w:val="-2"/>
          </w:rPr>
          <w:t>territorios</w:t>
        </w:r>
        <w:r>
          <w:rPr>
            <w:noProof/>
            <w:webHidden/>
          </w:rPr>
          <w:tab/>
        </w:r>
        <w:r>
          <w:rPr>
            <w:noProof/>
            <w:webHidden/>
          </w:rPr>
          <w:fldChar w:fldCharType="begin"/>
        </w:r>
        <w:r>
          <w:rPr>
            <w:noProof/>
            <w:webHidden/>
          </w:rPr>
          <w:instrText xml:space="preserve"> PAGEREF _Toc112399718 \h </w:instrText>
        </w:r>
        <w:r>
          <w:rPr>
            <w:noProof/>
            <w:webHidden/>
          </w:rPr>
        </w:r>
        <w:r>
          <w:rPr>
            <w:noProof/>
            <w:webHidden/>
          </w:rPr>
          <w:fldChar w:fldCharType="separate"/>
        </w:r>
        <w:r>
          <w:rPr>
            <w:noProof/>
            <w:webHidden/>
          </w:rPr>
          <w:t>1109</w:t>
        </w:r>
        <w:r>
          <w:rPr>
            <w:noProof/>
            <w:webHidden/>
          </w:rPr>
          <w:fldChar w:fldCharType="end"/>
        </w:r>
      </w:hyperlink>
    </w:p>
    <w:p w:rsidR="00513F80" w:rsidRDefault="00513F80">
      <w:pPr>
        <w:pStyle w:val="TDC3"/>
        <w:tabs>
          <w:tab w:val="right" w:leader="dot" w:pos="8828"/>
        </w:tabs>
        <w:rPr>
          <w:rFonts w:asciiTheme="minorHAnsi" w:eastAsiaTheme="minorEastAsia" w:hAnsiTheme="minorHAnsi" w:cstheme="minorBidi"/>
          <w:noProof/>
          <w:sz w:val="22"/>
          <w:szCs w:val="22"/>
          <w:lang w:val="es-CO" w:eastAsia="es-CO"/>
        </w:rPr>
      </w:pPr>
      <w:hyperlink w:anchor="_Toc112399719" w:history="1">
        <w:r w:rsidRPr="00DF6938">
          <w:rPr>
            <w:rStyle w:val="Hipervnculo"/>
            <w:noProof/>
          </w:rPr>
          <w:t>7.4. Uso sostenible de tierras y territorios, y prevención y gestión de conflictos socioambientales</w:t>
        </w:r>
        <w:r>
          <w:rPr>
            <w:noProof/>
            <w:webHidden/>
          </w:rPr>
          <w:tab/>
        </w:r>
        <w:r>
          <w:rPr>
            <w:noProof/>
            <w:webHidden/>
          </w:rPr>
          <w:fldChar w:fldCharType="begin"/>
        </w:r>
        <w:r>
          <w:rPr>
            <w:noProof/>
            <w:webHidden/>
          </w:rPr>
          <w:instrText xml:space="preserve"> PAGEREF _Toc112399719 \h </w:instrText>
        </w:r>
        <w:r>
          <w:rPr>
            <w:noProof/>
            <w:webHidden/>
          </w:rPr>
        </w:r>
        <w:r>
          <w:rPr>
            <w:noProof/>
            <w:webHidden/>
          </w:rPr>
          <w:fldChar w:fldCharType="separate"/>
        </w:r>
        <w:r>
          <w:rPr>
            <w:noProof/>
            <w:webHidden/>
          </w:rPr>
          <w:t>1113</w:t>
        </w:r>
        <w:r>
          <w:rPr>
            <w:noProof/>
            <w:webHidden/>
          </w:rPr>
          <w:fldChar w:fldCharType="end"/>
        </w:r>
      </w:hyperlink>
    </w:p>
    <w:p w:rsidR="00513F80" w:rsidRDefault="00513F80">
      <w:pPr>
        <w:pStyle w:val="TDC3"/>
        <w:tabs>
          <w:tab w:val="left" w:pos="1100"/>
          <w:tab w:val="right" w:leader="dot" w:pos="8828"/>
        </w:tabs>
        <w:rPr>
          <w:rFonts w:asciiTheme="minorHAnsi" w:eastAsiaTheme="minorEastAsia" w:hAnsiTheme="minorHAnsi" w:cstheme="minorBidi"/>
          <w:noProof/>
          <w:sz w:val="22"/>
          <w:szCs w:val="22"/>
          <w:lang w:val="es-CO" w:eastAsia="es-CO"/>
        </w:rPr>
      </w:pPr>
      <w:hyperlink w:anchor="_Toc112399720" w:history="1">
        <w:r w:rsidRPr="00DF6938">
          <w:rPr>
            <w:rStyle w:val="Hipervnculo"/>
            <w:noProof/>
          </w:rPr>
          <w:t>7.5.</w:t>
        </w:r>
        <w:r>
          <w:rPr>
            <w:rFonts w:asciiTheme="minorHAnsi" w:eastAsiaTheme="minorEastAsia" w:hAnsiTheme="minorHAnsi" w:cstheme="minorBidi"/>
            <w:noProof/>
            <w:sz w:val="22"/>
            <w:szCs w:val="22"/>
            <w:lang w:val="es-CO" w:eastAsia="es-CO"/>
          </w:rPr>
          <w:tab/>
        </w:r>
        <w:r w:rsidRPr="00DF6938">
          <w:rPr>
            <w:rStyle w:val="Hipervnculo"/>
            <w:noProof/>
          </w:rPr>
          <w:t>Desarrollo</w:t>
        </w:r>
        <w:r w:rsidRPr="00DF6938">
          <w:rPr>
            <w:rStyle w:val="Hipervnculo"/>
            <w:noProof/>
            <w:spacing w:val="-8"/>
          </w:rPr>
          <w:t xml:space="preserve"> </w:t>
        </w:r>
        <w:r w:rsidRPr="00DF6938">
          <w:rPr>
            <w:rStyle w:val="Hipervnculo"/>
            <w:noProof/>
          </w:rPr>
          <w:t>con</w:t>
        </w:r>
        <w:r w:rsidRPr="00DF6938">
          <w:rPr>
            <w:rStyle w:val="Hipervnculo"/>
            <w:noProof/>
            <w:spacing w:val="-9"/>
          </w:rPr>
          <w:t xml:space="preserve"> </w:t>
        </w:r>
        <w:r w:rsidRPr="00DF6938">
          <w:rPr>
            <w:rStyle w:val="Hipervnculo"/>
            <w:noProof/>
          </w:rPr>
          <w:t>enfoque</w:t>
        </w:r>
        <w:r w:rsidRPr="00DF6938">
          <w:rPr>
            <w:rStyle w:val="Hipervnculo"/>
            <w:noProof/>
            <w:spacing w:val="-8"/>
          </w:rPr>
          <w:t xml:space="preserve"> </w:t>
        </w:r>
        <w:r w:rsidRPr="00DF6938">
          <w:rPr>
            <w:rStyle w:val="Hipervnculo"/>
            <w:noProof/>
          </w:rPr>
          <w:t>territorial</w:t>
        </w:r>
        <w:r w:rsidRPr="00DF6938">
          <w:rPr>
            <w:rStyle w:val="Hipervnculo"/>
            <w:noProof/>
            <w:spacing w:val="-8"/>
          </w:rPr>
          <w:t xml:space="preserve"> </w:t>
        </w:r>
        <w:r w:rsidRPr="00DF6938">
          <w:rPr>
            <w:rStyle w:val="Hipervnculo"/>
            <w:noProof/>
          </w:rPr>
          <w:t>y</w:t>
        </w:r>
        <w:r w:rsidRPr="00DF6938">
          <w:rPr>
            <w:rStyle w:val="Hipervnculo"/>
            <w:noProof/>
            <w:spacing w:val="-8"/>
          </w:rPr>
          <w:t xml:space="preserve"> </w:t>
        </w:r>
        <w:r w:rsidRPr="00DF6938">
          <w:rPr>
            <w:rStyle w:val="Hipervnculo"/>
            <w:noProof/>
          </w:rPr>
          <w:t>provisión</w:t>
        </w:r>
        <w:r w:rsidRPr="00DF6938">
          <w:rPr>
            <w:rStyle w:val="Hipervnculo"/>
            <w:noProof/>
            <w:spacing w:val="-9"/>
          </w:rPr>
          <w:t xml:space="preserve"> </w:t>
        </w:r>
        <w:r w:rsidRPr="00DF6938">
          <w:rPr>
            <w:rStyle w:val="Hipervnculo"/>
            <w:noProof/>
          </w:rPr>
          <w:t>de</w:t>
        </w:r>
        <w:r w:rsidRPr="00DF6938">
          <w:rPr>
            <w:rStyle w:val="Hipervnculo"/>
            <w:noProof/>
            <w:spacing w:val="-8"/>
          </w:rPr>
          <w:t xml:space="preserve"> </w:t>
        </w:r>
        <w:r w:rsidRPr="00DF6938">
          <w:rPr>
            <w:rStyle w:val="Hipervnculo"/>
            <w:noProof/>
          </w:rPr>
          <w:t>bienes</w:t>
        </w:r>
        <w:r w:rsidRPr="00DF6938">
          <w:rPr>
            <w:rStyle w:val="Hipervnculo"/>
            <w:noProof/>
            <w:spacing w:val="-8"/>
          </w:rPr>
          <w:t xml:space="preserve"> </w:t>
        </w:r>
        <w:r w:rsidRPr="00DF6938">
          <w:rPr>
            <w:rStyle w:val="Hipervnculo"/>
            <w:noProof/>
          </w:rPr>
          <w:t>y</w:t>
        </w:r>
        <w:r w:rsidRPr="00DF6938">
          <w:rPr>
            <w:rStyle w:val="Hipervnculo"/>
            <w:noProof/>
            <w:spacing w:val="-8"/>
          </w:rPr>
          <w:t xml:space="preserve"> </w:t>
        </w:r>
        <w:r w:rsidRPr="00DF6938">
          <w:rPr>
            <w:rStyle w:val="Hipervnculo"/>
            <w:noProof/>
          </w:rPr>
          <w:t>servicios</w:t>
        </w:r>
        <w:r w:rsidRPr="00DF6938">
          <w:rPr>
            <w:rStyle w:val="Hipervnculo"/>
            <w:noProof/>
            <w:spacing w:val="-8"/>
          </w:rPr>
          <w:t xml:space="preserve"> </w:t>
        </w:r>
        <w:r w:rsidRPr="00DF6938">
          <w:rPr>
            <w:rStyle w:val="Hipervnculo"/>
            <w:noProof/>
          </w:rPr>
          <w:t>públicos</w:t>
        </w:r>
        <w:r w:rsidRPr="00DF6938">
          <w:rPr>
            <w:rStyle w:val="Hipervnculo"/>
            <w:noProof/>
            <w:spacing w:val="-8"/>
          </w:rPr>
          <w:t xml:space="preserve"> </w:t>
        </w:r>
        <w:r w:rsidRPr="00DF6938">
          <w:rPr>
            <w:rStyle w:val="Hipervnculo"/>
            <w:noProof/>
          </w:rPr>
          <w:t>para</w:t>
        </w:r>
        <w:r w:rsidRPr="00DF6938">
          <w:rPr>
            <w:rStyle w:val="Hipervnculo"/>
            <w:noProof/>
            <w:spacing w:val="-8"/>
          </w:rPr>
          <w:t xml:space="preserve"> </w:t>
        </w:r>
        <w:r w:rsidRPr="00DF6938">
          <w:rPr>
            <w:rStyle w:val="Hipervnculo"/>
            <w:noProof/>
          </w:rPr>
          <w:t xml:space="preserve">la </w:t>
        </w:r>
        <w:r w:rsidRPr="00DF6938">
          <w:rPr>
            <w:rStyle w:val="Hipervnculo"/>
            <w:noProof/>
            <w:spacing w:val="-2"/>
          </w:rPr>
          <w:t>ruralidad</w:t>
        </w:r>
        <w:r>
          <w:rPr>
            <w:noProof/>
            <w:webHidden/>
          </w:rPr>
          <w:tab/>
        </w:r>
        <w:r>
          <w:rPr>
            <w:noProof/>
            <w:webHidden/>
          </w:rPr>
          <w:fldChar w:fldCharType="begin"/>
        </w:r>
        <w:r>
          <w:rPr>
            <w:noProof/>
            <w:webHidden/>
          </w:rPr>
          <w:instrText xml:space="preserve"> PAGEREF _Toc112399720 \h </w:instrText>
        </w:r>
        <w:r>
          <w:rPr>
            <w:noProof/>
            <w:webHidden/>
          </w:rPr>
        </w:r>
        <w:r>
          <w:rPr>
            <w:noProof/>
            <w:webHidden/>
          </w:rPr>
          <w:fldChar w:fldCharType="separate"/>
        </w:r>
        <w:r>
          <w:rPr>
            <w:noProof/>
            <w:webHidden/>
          </w:rPr>
          <w:t>1117</w:t>
        </w:r>
        <w:r>
          <w:rPr>
            <w:noProof/>
            <w:webHidden/>
          </w:rPr>
          <w:fldChar w:fldCharType="end"/>
        </w:r>
      </w:hyperlink>
    </w:p>
    <w:p w:rsidR="00513F80" w:rsidRDefault="00513F80">
      <w:pPr>
        <w:pStyle w:val="TDC3"/>
        <w:tabs>
          <w:tab w:val="right" w:leader="dot" w:pos="8828"/>
        </w:tabs>
        <w:rPr>
          <w:rFonts w:asciiTheme="minorHAnsi" w:eastAsiaTheme="minorEastAsia" w:hAnsiTheme="minorHAnsi" w:cstheme="minorBidi"/>
          <w:noProof/>
          <w:sz w:val="22"/>
          <w:szCs w:val="22"/>
          <w:lang w:val="es-CO" w:eastAsia="es-CO"/>
        </w:rPr>
      </w:pPr>
      <w:hyperlink w:anchor="_Toc112399721" w:history="1">
        <w:r w:rsidRPr="00DF6938">
          <w:rPr>
            <w:rStyle w:val="Hipervnculo"/>
            <w:noProof/>
          </w:rPr>
          <w:t>7.6. Prevención</w:t>
        </w:r>
        <w:r w:rsidRPr="00DF6938">
          <w:rPr>
            <w:rStyle w:val="Hipervnculo"/>
            <w:noProof/>
            <w:spacing w:val="-3"/>
          </w:rPr>
          <w:t xml:space="preserve"> </w:t>
        </w:r>
        <w:r w:rsidRPr="00DF6938">
          <w:rPr>
            <w:rStyle w:val="Hipervnculo"/>
            <w:noProof/>
          </w:rPr>
          <w:t>y</w:t>
        </w:r>
        <w:r w:rsidRPr="00DF6938">
          <w:rPr>
            <w:rStyle w:val="Hipervnculo"/>
            <w:noProof/>
            <w:spacing w:val="-2"/>
          </w:rPr>
          <w:t xml:space="preserve"> </w:t>
        </w:r>
        <w:r w:rsidRPr="00DF6938">
          <w:rPr>
            <w:rStyle w:val="Hipervnculo"/>
            <w:noProof/>
          </w:rPr>
          <w:t>reversión</w:t>
        </w:r>
        <w:r w:rsidRPr="00DF6938">
          <w:rPr>
            <w:rStyle w:val="Hipervnculo"/>
            <w:noProof/>
            <w:spacing w:val="-3"/>
          </w:rPr>
          <w:t xml:space="preserve"> </w:t>
        </w:r>
        <w:r w:rsidRPr="00DF6938">
          <w:rPr>
            <w:rStyle w:val="Hipervnculo"/>
            <w:noProof/>
          </w:rPr>
          <w:t>del</w:t>
        </w:r>
        <w:r w:rsidRPr="00DF6938">
          <w:rPr>
            <w:rStyle w:val="Hipervnculo"/>
            <w:noProof/>
            <w:spacing w:val="-2"/>
          </w:rPr>
          <w:t xml:space="preserve"> </w:t>
        </w:r>
        <w:r w:rsidRPr="00DF6938">
          <w:rPr>
            <w:rStyle w:val="Hipervnculo"/>
            <w:noProof/>
          </w:rPr>
          <w:t>despojo</w:t>
        </w:r>
        <w:r w:rsidRPr="00DF6938">
          <w:rPr>
            <w:rStyle w:val="Hipervnculo"/>
            <w:noProof/>
            <w:spacing w:val="-2"/>
          </w:rPr>
          <w:t xml:space="preserve"> </w:t>
        </w:r>
        <w:r w:rsidRPr="00DF6938">
          <w:rPr>
            <w:rStyle w:val="Hipervnculo"/>
            <w:noProof/>
          </w:rPr>
          <w:t>de</w:t>
        </w:r>
        <w:r w:rsidRPr="00DF6938">
          <w:rPr>
            <w:rStyle w:val="Hipervnculo"/>
            <w:noProof/>
            <w:spacing w:val="-2"/>
          </w:rPr>
          <w:t xml:space="preserve"> </w:t>
        </w:r>
        <w:r w:rsidRPr="00DF6938">
          <w:rPr>
            <w:rStyle w:val="Hipervnculo"/>
            <w:noProof/>
          </w:rPr>
          <w:t>tierras</w:t>
        </w:r>
        <w:r w:rsidRPr="00DF6938">
          <w:rPr>
            <w:rStyle w:val="Hipervnculo"/>
            <w:noProof/>
            <w:spacing w:val="-2"/>
          </w:rPr>
          <w:t xml:space="preserve"> </w:t>
        </w:r>
        <w:r w:rsidRPr="00DF6938">
          <w:rPr>
            <w:rStyle w:val="Hipervnculo"/>
            <w:noProof/>
          </w:rPr>
          <w:t>y</w:t>
        </w:r>
        <w:r w:rsidRPr="00DF6938">
          <w:rPr>
            <w:rStyle w:val="Hipervnculo"/>
            <w:noProof/>
            <w:spacing w:val="-2"/>
          </w:rPr>
          <w:t xml:space="preserve"> </w:t>
        </w:r>
        <w:r w:rsidRPr="00DF6938">
          <w:rPr>
            <w:rStyle w:val="Hipervnculo"/>
            <w:noProof/>
          </w:rPr>
          <w:t>territorios,</w:t>
        </w:r>
        <w:r w:rsidRPr="00DF6938">
          <w:rPr>
            <w:rStyle w:val="Hipervnculo"/>
            <w:noProof/>
            <w:spacing w:val="-2"/>
          </w:rPr>
          <w:t xml:space="preserve"> </w:t>
        </w:r>
        <w:r w:rsidRPr="00DF6938">
          <w:rPr>
            <w:rStyle w:val="Hipervnculo"/>
            <w:noProof/>
          </w:rPr>
          <w:t>y</w:t>
        </w:r>
        <w:r w:rsidRPr="00DF6938">
          <w:rPr>
            <w:rStyle w:val="Hipervnculo"/>
            <w:noProof/>
            <w:spacing w:val="-3"/>
          </w:rPr>
          <w:t xml:space="preserve"> </w:t>
        </w:r>
        <w:r w:rsidRPr="00DF6938">
          <w:rPr>
            <w:rStyle w:val="Hipervnculo"/>
            <w:noProof/>
          </w:rPr>
          <w:t>la</w:t>
        </w:r>
        <w:r w:rsidRPr="00DF6938">
          <w:rPr>
            <w:rStyle w:val="Hipervnculo"/>
            <w:noProof/>
            <w:spacing w:val="-2"/>
          </w:rPr>
          <w:t xml:space="preserve"> </w:t>
        </w:r>
        <w:r w:rsidRPr="00DF6938">
          <w:rPr>
            <w:rStyle w:val="Hipervnculo"/>
            <w:noProof/>
          </w:rPr>
          <w:t>reparación</w:t>
        </w:r>
        <w:r w:rsidRPr="00DF6938">
          <w:rPr>
            <w:rStyle w:val="Hipervnculo"/>
            <w:noProof/>
            <w:spacing w:val="-3"/>
          </w:rPr>
          <w:t xml:space="preserve"> </w:t>
        </w:r>
        <w:r w:rsidRPr="00DF6938">
          <w:rPr>
            <w:rStyle w:val="Hipervnculo"/>
            <w:noProof/>
          </w:rPr>
          <w:t>efectiva de sus víctimas</w:t>
        </w:r>
        <w:r>
          <w:rPr>
            <w:noProof/>
            <w:webHidden/>
          </w:rPr>
          <w:tab/>
        </w:r>
        <w:r>
          <w:rPr>
            <w:noProof/>
            <w:webHidden/>
          </w:rPr>
          <w:fldChar w:fldCharType="begin"/>
        </w:r>
        <w:r>
          <w:rPr>
            <w:noProof/>
            <w:webHidden/>
          </w:rPr>
          <w:instrText xml:space="preserve"> PAGEREF _Toc112399721 \h </w:instrText>
        </w:r>
        <w:r>
          <w:rPr>
            <w:noProof/>
            <w:webHidden/>
          </w:rPr>
        </w:r>
        <w:r>
          <w:rPr>
            <w:noProof/>
            <w:webHidden/>
          </w:rPr>
          <w:fldChar w:fldCharType="separate"/>
        </w:r>
        <w:r>
          <w:rPr>
            <w:noProof/>
            <w:webHidden/>
          </w:rPr>
          <w:t>1120</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722" w:history="1">
        <w:r w:rsidRPr="00DF6938">
          <w:rPr>
            <w:rStyle w:val="Hipervnculo"/>
            <w:noProof/>
          </w:rPr>
          <w:t>8.</w:t>
        </w:r>
        <w:r>
          <w:rPr>
            <w:rFonts w:asciiTheme="minorHAnsi" w:eastAsiaTheme="minorEastAsia" w:hAnsiTheme="minorHAnsi" w:cstheme="minorBidi"/>
            <w:b w:val="0"/>
            <w:bCs w:val="0"/>
            <w:iCs w:val="0"/>
            <w:noProof/>
            <w:sz w:val="22"/>
            <w:lang w:val="es-CO" w:eastAsia="es-CO"/>
          </w:rPr>
          <w:tab/>
        </w:r>
        <w:r w:rsidRPr="00DF6938">
          <w:rPr>
            <w:rStyle w:val="Hipervnculo"/>
            <w:noProof/>
            <w:w w:val="95"/>
          </w:rPr>
          <w:t>PARA</w:t>
        </w:r>
        <w:r w:rsidRPr="00DF6938">
          <w:rPr>
            <w:rStyle w:val="Hipervnculo"/>
            <w:noProof/>
            <w:spacing w:val="19"/>
          </w:rPr>
          <w:t xml:space="preserve"> </w:t>
        </w:r>
        <w:r w:rsidRPr="00DF6938">
          <w:rPr>
            <w:rStyle w:val="Hipervnculo"/>
            <w:noProof/>
          </w:rPr>
          <w:t>LOGRAR</w:t>
        </w:r>
        <w:r w:rsidRPr="00DF6938">
          <w:rPr>
            <w:rStyle w:val="Hipervnculo"/>
            <w:noProof/>
            <w:spacing w:val="18"/>
          </w:rPr>
          <w:t xml:space="preserve"> </w:t>
        </w:r>
        <w:r w:rsidRPr="00DF6938">
          <w:rPr>
            <w:rStyle w:val="Hipervnculo"/>
            <w:noProof/>
            <w:w w:val="95"/>
          </w:rPr>
          <w:t>UNA</w:t>
        </w:r>
        <w:r w:rsidRPr="00DF6938">
          <w:rPr>
            <w:rStyle w:val="Hipervnculo"/>
            <w:noProof/>
            <w:spacing w:val="16"/>
          </w:rPr>
          <w:t xml:space="preserve"> </w:t>
        </w:r>
        <w:r w:rsidRPr="00DF6938">
          <w:rPr>
            <w:rStyle w:val="Hipervnculo"/>
            <w:noProof/>
            <w:w w:val="95"/>
          </w:rPr>
          <w:t>CULTURA</w:t>
        </w:r>
        <w:r w:rsidRPr="00DF6938">
          <w:rPr>
            <w:rStyle w:val="Hipervnculo"/>
            <w:noProof/>
            <w:spacing w:val="19"/>
          </w:rPr>
          <w:t xml:space="preserve"> </w:t>
        </w:r>
        <w:r w:rsidRPr="00DF6938">
          <w:rPr>
            <w:rStyle w:val="Hipervnculo"/>
            <w:noProof/>
            <w:w w:val="95"/>
          </w:rPr>
          <w:t>PARA</w:t>
        </w:r>
        <w:r w:rsidRPr="00DF6938">
          <w:rPr>
            <w:rStyle w:val="Hipervnculo"/>
            <w:noProof/>
            <w:spacing w:val="17"/>
          </w:rPr>
          <w:t xml:space="preserve"> </w:t>
        </w:r>
        <w:r w:rsidRPr="00DF6938">
          <w:rPr>
            <w:rStyle w:val="Hipervnculo"/>
            <w:noProof/>
            <w:w w:val="95"/>
          </w:rPr>
          <w:t>VIVIR</w:t>
        </w:r>
        <w:r w:rsidRPr="00DF6938">
          <w:rPr>
            <w:rStyle w:val="Hipervnculo"/>
            <w:noProof/>
            <w:spacing w:val="16"/>
          </w:rPr>
          <w:t xml:space="preserve"> </w:t>
        </w:r>
        <w:r w:rsidRPr="00DF6938">
          <w:rPr>
            <w:rStyle w:val="Hipervnculo"/>
            <w:noProof/>
            <w:w w:val="95"/>
          </w:rPr>
          <w:t>EN</w:t>
        </w:r>
        <w:r w:rsidRPr="00DF6938">
          <w:rPr>
            <w:rStyle w:val="Hipervnculo"/>
            <w:noProof/>
            <w:spacing w:val="16"/>
          </w:rPr>
          <w:t xml:space="preserve"> </w:t>
        </w:r>
        <w:r w:rsidRPr="00DF6938">
          <w:rPr>
            <w:rStyle w:val="Hipervnculo"/>
            <w:noProof/>
            <w:spacing w:val="-5"/>
            <w:w w:val="95"/>
          </w:rPr>
          <w:t>PAZ</w:t>
        </w:r>
        <w:r>
          <w:rPr>
            <w:noProof/>
            <w:webHidden/>
          </w:rPr>
          <w:tab/>
        </w:r>
        <w:r>
          <w:rPr>
            <w:noProof/>
            <w:webHidden/>
          </w:rPr>
          <w:fldChar w:fldCharType="begin"/>
        </w:r>
        <w:r>
          <w:rPr>
            <w:noProof/>
            <w:webHidden/>
          </w:rPr>
          <w:instrText xml:space="preserve"> PAGEREF _Toc112399722 \h </w:instrText>
        </w:r>
        <w:r>
          <w:rPr>
            <w:noProof/>
            <w:webHidden/>
          </w:rPr>
        </w:r>
        <w:r>
          <w:rPr>
            <w:noProof/>
            <w:webHidden/>
          </w:rPr>
          <w:fldChar w:fldCharType="separate"/>
        </w:r>
        <w:r>
          <w:rPr>
            <w:noProof/>
            <w:webHidden/>
          </w:rPr>
          <w:t>1124</w:t>
        </w:r>
        <w:r>
          <w:rPr>
            <w:noProof/>
            <w:webHidden/>
          </w:rPr>
          <w:fldChar w:fldCharType="end"/>
        </w:r>
      </w:hyperlink>
    </w:p>
    <w:p w:rsidR="00513F80" w:rsidRDefault="00513F80">
      <w:pPr>
        <w:pStyle w:val="TDC3"/>
        <w:tabs>
          <w:tab w:val="right" w:leader="dot" w:pos="8828"/>
        </w:tabs>
        <w:rPr>
          <w:rFonts w:asciiTheme="minorHAnsi" w:eastAsiaTheme="minorEastAsia" w:hAnsiTheme="minorHAnsi" w:cstheme="minorBidi"/>
          <w:noProof/>
          <w:sz w:val="22"/>
          <w:szCs w:val="22"/>
          <w:lang w:val="es-CO" w:eastAsia="es-CO"/>
        </w:rPr>
      </w:pPr>
      <w:hyperlink w:anchor="_Toc112399723" w:history="1">
        <w:r w:rsidRPr="00DF6938">
          <w:rPr>
            <w:rStyle w:val="Hipervnculo"/>
            <w:noProof/>
          </w:rPr>
          <w:t>8.1. Educación</w:t>
        </w:r>
        <w:r w:rsidRPr="00DF6938">
          <w:rPr>
            <w:rStyle w:val="Hipervnculo"/>
            <w:noProof/>
            <w:spacing w:val="-3"/>
          </w:rPr>
          <w:t xml:space="preserve"> </w:t>
        </w:r>
        <w:r w:rsidRPr="00DF6938">
          <w:rPr>
            <w:rStyle w:val="Hipervnculo"/>
            <w:noProof/>
          </w:rPr>
          <w:t>para</w:t>
        </w:r>
        <w:r w:rsidRPr="00DF6938">
          <w:rPr>
            <w:rStyle w:val="Hipervnculo"/>
            <w:noProof/>
            <w:spacing w:val="-1"/>
          </w:rPr>
          <w:t xml:space="preserve"> </w:t>
        </w:r>
        <w:r w:rsidRPr="00DF6938">
          <w:rPr>
            <w:rStyle w:val="Hipervnculo"/>
            <w:noProof/>
          </w:rPr>
          <w:t>la</w:t>
        </w:r>
        <w:r w:rsidRPr="00DF6938">
          <w:rPr>
            <w:rStyle w:val="Hipervnculo"/>
            <w:noProof/>
            <w:spacing w:val="-3"/>
          </w:rPr>
          <w:t xml:space="preserve"> </w:t>
        </w:r>
        <w:r w:rsidRPr="00DF6938">
          <w:rPr>
            <w:rStyle w:val="Hipervnculo"/>
            <w:noProof/>
          </w:rPr>
          <w:t>formación</w:t>
        </w:r>
        <w:r w:rsidRPr="00DF6938">
          <w:rPr>
            <w:rStyle w:val="Hipervnculo"/>
            <w:noProof/>
            <w:spacing w:val="-2"/>
          </w:rPr>
          <w:t xml:space="preserve"> </w:t>
        </w:r>
        <w:r w:rsidRPr="00DF6938">
          <w:rPr>
            <w:rStyle w:val="Hipervnculo"/>
            <w:noProof/>
          </w:rPr>
          <w:t>de</w:t>
        </w:r>
        <w:r w:rsidRPr="00DF6938">
          <w:rPr>
            <w:rStyle w:val="Hipervnculo"/>
            <w:noProof/>
            <w:spacing w:val="-1"/>
          </w:rPr>
          <w:t xml:space="preserve"> </w:t>
        </w:r>
        <w:r w:rsidRPr="00DF6938">
          <w:rPr>
            <w:rStyle w:val="Hipervnculo"/>
            <w:noProof/>
          </w:rPr>
          <w:t>sujetos</w:t>
        </w:r>
        <w:r w:rsidRPr="00DF6938">
          <w:rPr>
            <w:rStyle w:val="Hipervnculo"/>
            <w:noProof/>
            <w:spacing w:val="-1"/>
          </w:rPr>
          <w:t xml:space="preserve"> </w:t>
        </w:r>
        <w:r w:rsidRPr="00DF6938">
          <w:rPr>
            <w:rStyle w:val="Hipervnculo"/>
            <w:noProof/>
          </w:rPr>
          <w:t>que</w:t>
        </w:r>
        <w:r w:rsidRPr="00DF6938">
          <w:rPr>
            <w:rStyle w:val="Hipervnculo"/>
            <w:noProof/>
            <w:spacing w:val="-1"/>
          </w:rPr>
          <w:t xml:space="preserve"> </w:t>
        </w:r>
        <w:r w:rsidRPr="00DF6938">
          <w:rPr>
            <w:rStyle w:val="Hipervnculo"/>
            <w:noProof/>
          </w:rPr>
          <w:t>vivan</w:t>
        </w:r>
        <w:r w:rsidRPr="00DF6938">
          <w:rPr>
            <w:rStyle w:val="Hipervnculo"/>
            <w:noProof/>
            <w:spacing w:val="-2"/>
          </w:rPr>
          <w:t xml:space="preserve"> </w:t>
        </w:r>
        <w:r w:rsidRPr="00DF6938">
          <w:rPr>
            <w:rStyle w:val="Hipervnculo"/>
            <w:noProof/>
          </w:rPr>
          <w:t>en</w:t>
        </w:r>
        <w:r w:rsidRPr="00DF6938">
          <w:rPr>
            <w:rStyle w:val="Hipervnculo"/>
            <w:noProof/>
            <w:spacing w:val="-2"/>
          </w:rPr>
          <w:t xml:space="preserve"> </w:t>
        </w:r>
        <w:r w:rsidRPr="00DF6938">
          <w:rPr>
            <w:rStyle w:val="Hipervnculo"/>
            <w:noProof/>
            <w:spacing w:val="-5"/>
          </w:rPr>
          <w:t>paz</w:t>
        </w:r>
        <w:r>
          <w:rPr>
            <w:noProof/>
            <w:webHidden/>
          </w:rPr>
          <w:tab/>
        </w:r>
        <w:r>
          <w:rPr>
            <w:noProof/>
            <w:webHidden/>
          </w:rPr>
          <w:fldChar w:fldCharType="begin"/>
        </w:r>
        <w:r>
          <w:rPr>
            <w:noProof/>
            <w:webHidden/>
          </w:rPr>
          <w:instrText xml:space="preserve"> PAGEREF _Toc112399723 \h </w:instrText>
        </w:r>
        <w:r>
          <w:rPr>
            <w:noProof/>
            <w:webHidden/>
          </w:rPr>
        </w:r>
        <w:r>
          <w:rPr>
            <w:noProof/>
            <w:webHidden/>
          </w:rPr>
          <w:fldChar w:fldCharType="separate"/>
        </w:r>
        <w:r>
          <w:rPr>
            <w:noProof/>
            <w:webHidden/>
          </w:rPr>
          <w:t>1131</w:t>
        </w:r>
        <w:r>
          <w:rPr>
            <w:noProof/>
            <w:webHidden/>
          </w:rPr>
          <w:fldChar w:fldCharType="end"/>
        </w:r>
      </w:hyperlink>
    </w:p>
    <w:p w:rsidR="00513F80" w:rsidRDefault="00513F80">
      <w:pPr>
        <w:pStyle w:val="TDC3"/>
        <w:tabs>
          <w:tab w:val="right" w:leader="dot" w:pos="8828"/>
        </w:tabs>
        <w:rPr>
          <w:rFonts w:asciiTheme="minorHAnsi" w:eastAsiaTheme="minorEastAsia" w:hAnsiTheme="minorHAnsi" w:cstheme="minorBidi"/>
          <w:noProof/>
          <w:sz w:val="22"/>
          <w:szCs w:val="22"/>
          <w:lang w:val="es-CO" w:eastAsia="es-CO"/>
        </w:rPr>
      </w:pPr>
      <w:hyperlink w:anchor="_Toc112399724" w:history="1">
        <w:r w:rsidRPr="00DF6938">
          <w:rPr>
            <w:rStyle w:val="Hipervnculo"/>
            <w:noProof/>
          </w:rPr>
          <w:t>8.2. Estrategia y promoción de la gestión cultural que permita consolidar la cultura para la paz</w:t>
        </w:r>
        <w:r>
          <w:rPr>
            <w:noProof/>
            <w:webHidden/>
          </w:rPr>
          <w:tab/>
        </w:r>
        <w:r>
          <w:rPr>
            <w:noProof/>
            <w:webHidden/>
          </w:rPr>
          <w:fldChar w:fldCharType="begin"/>
        </w:r>
        <w:r>
          <w:rPr>
            <w:noProof/>
            <w:webHidden/>
          </w:rPr>
          <w:instrText xml:space="preserve"> PAGEREF _Toc112399724 \h </w:instrText>
        </w:r>
        <w:r>
          <w:rPr>
            <w:noProof/>
            <w:webHidden/>
          </w:rPr>
        </w:r>
        <w:r>
          <w:rPr>
            <w:noProof/>
            <w:webHidden/>
          </w:rPr>
          <w:fldChar w:fldCharType="separate"/>
        </w:r>
        <w:r>
          <w:rPr>
            <w:noProof/>
            <w:webHidden/>
          </w:rPr>
          <w:t>1133</w:t>
        </w:r>
        <w:r>
          <w:rPr>
            <w:noProof/>
            <w:webHidden/>
          </w:rPr>
          <w:fldChar w:fldCharType="end"/>
        </w:r>
      </w:hyperlink>
    </w:p>
    <w:p w:rsidR="00513F80" w:rsidRDefault="00513F80">
      <w:pPr>
        <w:pStyle w:val="TDC3"/>
        <w:tabs>
          <w:tab w:val="right" w:leader="dot" w:pos="8828"/>
        </w:tabs>
        <w:rPr>
          <w:rFonts w:asciiTheme="minorHAnsi" w:eastAsiaTheme="minorEastAsia" w:hAnsiTheme="minorHAnsi" w:cstheme="minorBidi"/>
          <w:noProof/>
          <w:sz w:val="22"/>
          <w:szCs w:val="22"/>
          <w:lang w:val="es-CO" w:eastAsia="es-CO"/>
        </w:rPr>
      </w:pPr>
      <w:hyperlink w:anchor="_Toc112399725" w:history="1">
        <w:r w:rsidRPr="00DF6938">
          <w:rPr>
            <w:rStyle w:val="Hipervnculo"/>
            <w:noProof/>
          </w:rPr>
          <w:t>8.3. Contribuciones a la cultura para la paz desde medios de comunicación y comunidades de fe</w:t>
        </w:r>
        <w:r>
          <w:rPr>
            <w:noProof/>
            <w:webHidden/>
          </w:rPr>
          <w:tab/>
        </w:r>
        <w:r>
          <w:rPr>
            <w:noProof/>
            <w:webHidden/>
          </w:rPr>
          <w:fldChar w:fldCharType="begin"/>
        </w:r>
        <w:r>
          <w:rPr>
            <w:noProof/>
            <w:webHidden/>
          </w:rPr>
          <w:instrText xml:space="preserve"> PAGEREF _Toc112399725 \h </w:instrText>
        </w:r>
        <w:r>
          <w:rPr>
            <w:noProof/>
            <w:webHidden/>
          </w:rPr>
        </w:r>
        <w:r>
          <w:rPr>
            <w:noProof/>
            <w:webHidden/>
          </w:rPr>
          <w:fldChar w:fldCharType="separate"/>
        </w:r>
        <w:r>
          <w:rPr>
            <w:noProof/>
            <w:webHidden/>
          </w:rPr>
          <w:t>1135</w:t>
        </w:r>
        <w:r>
          <w:rPr>
            <w:noProof/>
            <w:webHidden/>
          </w:rPr>
          <w:fldChar w:fldCharType="end"/>
        </w:r>
      </w:hyperlink>
    </w:p>
    <w:p w:rsidR="00513F80" w:rsidRDefault="00513F80">
      <w:pPr>
        <w:pStyle w:val="TDC2"/>
        <w:tabs>
          <w:tab w:val="left" w:pos="1100"/>
          <w:tab w:val="right" w:leader="dot" w:pos="8828"/>
        </w:tabs>
        <w:rPr>
          <w:rFonts w:asciiTheme="minorHAnsi" w:eastAsiaTheme="minorEastAsia" w:hAnsiTheme="minorHAnsi" w:cstheme="minorBidi"/>
          <w:b w:val="0"/>
          <w:bCs w:val="0"/>
          <w:iCs w:val="0"/>
          <w:noProof/>
          <w:sz w:val="22"/>
          <w:lang w:val="es-CO" w:eastAsia="es-CO"/>
        </w:rPr>
      </w:pPr>
      <w:hyperlink w:anchor="_Toc112399726" w:history="1">
        <w:r w:rsidRPr="00DF6938">
          <w:rPr>
            <w:rStyle w:val="Hipervnculo"/>
            <w:noProof/>
          </w:rPr>
          <w:t>9.</w:t>
        </w:r>
        <w:r>
          <w:rPr>
            <w:rFonts w:asciiTheme="minorHAnsi" w:eastAsiaTheme="minorEastAsia" w:hAnsiTheme="minorHAnsi" w:cstheme="minorBidi"/>
            <w:b w:val="0"/>
            <w:bCs w:val="0"/>
            <w:iCs w:val="0"/>
            <w:noProof/>
            <w:sz w:val="22"/>
            <w:lang w:val="es-CO" w:eastAsia="es-CO"/>
          </w:rPr>
          <w:tab/>
        </w:r>
        <w:r w:rsidRPr="00DF6938">
          <w:rPr>
            <w:rStyle w:val="Hipervnculo"/>
            <w:noProof/>
            <w:w w:val="95"/>
          </w:rPr>
          <w:t>SOBRE</w:t>
        </w:r>
        <w:r w:rsidRPr="00DF6938">
          <w:rPr>
            <w:rStyle w:val="Hipervnculo"/>
            <w:noProof/>
            <w:spacing w:val="11"/>
          </w:rPr>
          <w:t xml:space="preserve"> </w:t>
        </w:r>
        <w:r w:rsidRPr="00DF6938">
          <w:rPr>
            <w:rStyle w:val="Hipervnculo"/>
            <w:noProof/>
            <w:w w:val="95"/>
          </w:rPr>
          <w:t>EL</w:t>
        </w:r>
        <w:r w:rsidRPr="00DF6938">
          <w:rPr>
            <w:rStyle w:val="Hipervnculo"/>
            <w:noProof/>
            <w:spacing w:val="12"/>
          </w:rPr>
          <w:t xml:space="preserve"> </w:t>
        </w:r>
        <w:r w:rsidRPr="00DF6938">
          <w:rPr>
            <w:rStyle w:val="Hipervnculo"/>
            <w:noProof/>
            <w:w w:val="95"/>
          </w:rPr>
          <w:t>LEGADO</w:t>
        </w:r>
        <w:r w:rsidRPr="00DF6938">
          <w:rPr>
            <w:rStyle w:val="Hipervnculo"/>
            <w:noProof/>
            <w:spacing w:val="14"/>
          </w:rPr>
          <w:t xml:space="preserve"> </w:t>
        </w:r>
        <w:r w:rsidRPr="00DF6938">
          <w:rPr>
            <w:rStyle w:val="Hipervnculo"/>
            <w:noProof/>
            <w:w w:val="95"/>
          </w:rPr>
          <w:t>DE</w:t>
        </w:r>
        <w:r w:rsidRPr="00DF6938">
          <w:rPr>
            <w:rStyle w:val="Hipervnculo"/>
            <w:noProof/>
            <w:spacing w:val="12"/>
          </w:rPr>
          <w:t xml:space="preserve"> </w:t>
        </w:r>
        <w:r w:rsidRPr="00DF6938">
          <w:rPr>
            <w:rStyle w:val="Hipervnculo"/>
            <w:noProof/>
            <w:w w:val="95"/>
          </w:rPr>
          <w:t>LA</w:t>
        </w:r>
        <w:r w:rsidRPr="00DF6938">
          <w:rPr>
            <w:rStyle w:val="Hipervnculo"/>
            <w:noProof/>
            <w:spacing w:val="10"/>
          </w:rPr>
          <w:t xml:space="preserve"> </w:t>
        </w:r>
        <w:r w:rsidRPr="00DF6938">
          <w:rPr>
            <w:rStyle w:val="Hipervnculo"/>
            <w:noProof/>
            <w:w w:val="95"/>
          </w:rPr>
          <w:t>COMISIÓN</w:t>
        </w:r>
        <w:r w:rsidRPr="00DF6938">
          <w:rPr>
            <w:rStyle w:val="Hipervnculo"/>
            <w:noProof/>
            <w:spacing w:val="10"/>
          </w:rPr>
          <w:t xml:space="preserve"> </w:t>
        </w:r>
        <w:r w:rsidRPr="00DF6938">
          <w:rPr>
            <w:rStyle w:val="Hipervnculo"/>
            <w:noProof/>
            <w:w w:val="95"/>
          </w:rPr>
          <w:t>DE</w:t>
        </w:r>
        <w:r w:rsidRPr="00DF6938">
          <w:rPr>
            <w:rStyle w:val="Hipervnculo"/>
            <w:noProof/>
            <w:spacing w:val="11"/>
          </w:rPr>
          <w:t xml:space="preserve"> </w:t>
        </w:r>
        <w:r w:rsidRPr="00DF6938">
          <w:rPr>
            <w:rStyle w:val="Hipervnculo"/>
            <w:noProof/>
            <w:w w:val="95"/>
          </w:rPr>
          <w:t>LA</w:t>
        </w:r>
        <w:r w:rsidRPr="00DF6938">
          <w:rPr>
            <w:rStyle w:val="Hipervnculo"/>
            <w:noProof/>
            <w:spacing w:val="10"/>
          </w:rPr>
          <w:t xml:space="preserve"> </w:t>
        </w:r>
        <w:r w:rsidRPr="00DF6938">
          <w:rPr>
            <w:rStyle w:val="Hipervnculo"/>
            <w:noProof/>
            <w:spacing w:val="-2"/>
            <w:w w:val="95"/>
          </w:rPr>
          <w:t>VERDAD</w:t>
        </w:r>
        <w:r>
          <w:rPr>
            <w:noProof/>
            <w:webHidden/>
          </w:rPr>
          <w:tab/>
        </w:r>
        <w:r>
          <w:rPr>
            <w:noProof/>
            <w:webHidden/>
          </w:rPr>
          <w:fldChar w:fldCharType="begin"/>
        </w:r>
        <w:r>
          <w:rPr>
            <w:noProof/>
            <w:webHidden/>
          </w:rPr>
          <w:instrText xml:space="preserve"> PAGEREF _Toc112399726 \h </w:instrText>
        </w:r>
        <w:r>
          <w:rPr>
            <w:noProof/>
            <w:webHidden/>
          </w:rPr>
        </w:r>
        <w:r>
          <w:rPr>
            <w:noProof/>
            <w:webHidden/>
          </w:rPr>
          <w:fldChar w:fldCharType="separate"/>
        </w:r>
        <w:r>
          <w:rPr>
            <w:noProof/>
            <w:webHidden/>
          </w:rPr>
          <w:t>1137</w:t>
        </w:r>
        <w:r>
          <w:rPr>
            <w:noProof/>
            <w:webHidden/>
          </w:rPr>
          <w:fldChar w:fldCharType="end"/>
        </w:r>
      </w:hyperlink>
    </w:p>
    <w:p w:rsidR="00513F80" w:rsidRDefault="00513F80">
      <w:pPr>
        <w:pStyle w:val="TDC2"/>
        <w:tabs>
          <w:tab w:val="right" w:leader="dot" w:pos="8828"/>
        </w:tabs>
        <w:rPr>
          <w:rFonts w:asciiTheme="minorHAnsi" w:eastAsiaTheme="minorEastAsia" w:hAnsiTheme="minorHAnsi" w:cstheme="minorBidi"/>
          <w:b w:val="0"/>
          <w:bCs w:val="0"/>
          <w:iCs w:val="0"/>
          <w:noProof/>
          <w:sz w:val="22"/>
          <w:lang w:val="es-CO" w:eastAsia="es-CO"/>
        </w:rPr>
      </w:pPr>
      <w:hyperlink w:anchor="_Toc112399727" w:history="1">
        <w:r w:rsidRPr="00DF6938">
          <w:rPr>
            <w:rStyle w:val="Hipervnculo"/>
            <w:noProof/>
          </w:rPr>
          <w:t>BIBLIOGRAFÍA</w:t>
        </w:r>
        <w:r>
          <w:rPr>
            <w:noProof/>
            <w:webHidden/>
          </w:rPr>
          <w:tab/>
        </w:r>
        <w:r>
          <w:rPr>
            <w:noProof/>
            <w:webHidden/>
          </w:rPr>
          <w:fldChar w:fldCharType="begin"/>
        </w:r>
        <w:r>
          <w:rPr>
            <w:noProof/>
            <w:webHidden/>
          </w:rPr>
          <w:instrText xml:space="preserve"> PAGEREF _Toc112399727 \h </w:instrText>
        </w:r>
        <w:r>
          <w:rPr>
            <w:noProof/>
            <w:webHidden/>
          </w:rPr>
        </w:r>
        <w:r>
          <w:rPr>
            <w:noProof/>
            <w:webHidden/>
          </w:rPr>
          <w:fldChar w:fldCharType="separate"/>
        </w:r>
        <w:r>
          <w:rPr>
            <w:noProof/>
            <w:webHidden/>
          </w:rPr>
          <w:t>1140</w:t>
        </w:r>
        <w:r>
          <w:rPr>
            <w:noProof/>
            <w:webHidden/>
          </w:rPr>
          <w:fldChar w:fldCharType="end"/>
        </w:r>
      </w:hyperlink>
    </w:p>
    <w:p w:rsidR="00F47A4B" w:rsidRDefault="00513F80" w:rsidP="00F47A4B">
      <w:r>
        <w:fldChar w:fldCharType="end"/>
      </w:r>
    </w:p>
    <w:p w:rsidR="00F47A4B" w:rsidRDefault="00F47A4B">
      <w:pPr>
        <w:spacing w:before="0" w:after="0" w:line="240" w:lineRule="auto"/>
      </w:pPr>
      <w:r>
        <w:br w:type="page"/>
      </w:r>
    </w:p>
    <w:p w:rsidR="003804AC" w:rsidRDefault="00AF18A5" w:rsidP="00F47A4B">
      <w:pPr>
        <w:pStyle w:val="Ttulo1"/>
      </w:pPr>
      <w:bookmarkStart w:id="0" w:name="Introducción___________HAY_FUTURO_SI_HAY"/>
      <w:bookmarkStart w:id="1" w:name="_Toc112399518"/>
      <w:bookmarkStart w:id="2" w:name="_GoBack"/>
      <w:bookmarkEnd w:id="0"/>
      <w:bookmarkEnd w:id="2"/>
      <w:r>
        <w:lastRenderedPageBreak/>
        <w:t>Introducción</w:t>
      </w:r>
      <w:bookmarkEnd w:id="1"/>
    </w:p>
    <w:p w:rsidR="0011361F" w:rsidRPr="00F47A4B" w:rsidRDefault="00AF18A5" w:rsidP="00F47A4B">
      <w:pPr>
        <w:rPr>
          <w:b/>
        </w:rPr>
      </w:pPr>
      <w:r w:rsidRPr="00F47A4B">
        <w:rPr>
          <w:b/>
        </w:rPr>
        <w:t>HAY FUTURO SI HAY VERDAD</w:t>
      </w:r>
    </w:p>
    <w:p w:rsidR="003804AC" w:rsidRPr="00F47A4B" w:rsidRDefault="00AF18A5" w:rsidP="00F47A4B">
      <w:r w:rsidRPr="00F47A4B">
        <w:t>Hay futuro si hay verdad. Sobre esta premisa se construyó el acuerdo de paz entre el Estado Colombiano y las FARC-EP firmado en noviembre de 2016, para ponerle fin a la guerra insurgente-contrainsurgente que vivió Colombia por más de seis décadas. Este pacto ha traído transformaciones que impulsan a la sociedad hacia el siglo XXI, a unas nuevas maneras de ciudadanía y a imaginar, por fin, un porvenir en paz. Pero ni la paz ni la verdad son fáciles. La construcción de la convivencia pacífica se ha enfrentado a obstáculos muy graves, como la necesaria ampliación de la paz con el ELN, y siendo el mayor de ellos la continuación de conflictos armados localizados donde priman las dinámicas criminales, el asesinato de líderes y excombatientes, y la carencia de un clima propicio para la reconciliación y la paz grande, que involucre a toda la población colombiana.</w:t>
      </w:r>
    </w:p>
    <w:p w:rsidR="003804AC" w:rsidRDefault="00AF18A5" w:rsidP="001271BE">
      <w:r w:rsidRPr="00F47A4B">
        <w:t xml:space="preserve">La demanda de las víctimas por la verdad empezó a recorrer los caminos y veredas muchos años atrás. La tarea del esclarecimiento de la verdad es y seguirá siendo, un proceso de construcción lleno de desafíos. La Comisión para el Esclarecimiento de la Verdad, la Convivencia y la No Repetición quedó consignada en el Acuerdo de Paz como un organismo extrajudicial, temporal y como uno de los pilares del Sistema Integral de Verdad, Justicia, Reparación y no Repetición, del que también hacen parte la Jurisdicción Especial para la Paz, JEP y la Unidad de Búsqueda de Personas dadas por Desaparecidas, UBPD. Los once comisionados fuimos seleccionados en noviembre de 2017, y la Comisión comenzó a funcionar oficialmente en mayo de 2018, cuando </w:t>
      </w:r>
      <w:r w:rsidRPr="00F47A4B">
        <w:lastRenderedPageBreak/>
        <w:t>tomamos posesión, por un periodo de tres años</w:t>
      </w:r>
      <w:r w:rsidR="001271BE">
        <w:rPr>
          <w:rStyle w:val="Refdenotaalpie"/>
        </w:rPr>
        <w:footnoteReference w:id="1"/>
      </w:r>
      <w:r w:rsidRPr="00F47A4B">
        <w:t>. Este fue extendido por la Corte Constitucional por siete meses, dados los impactos</w:t>
      </w:r>
      <w:r w:rsidR="00377657">
        <w:t xml:space="preserve"> </w:t>
      </w:r>
      <w:r>
        <w:t>que</w:t>
      </w:r>
      <w:r>
        <w:rPr>
          <w:spacing w:val="-15"/>
        </w:rPr>
        <w:t xml:space="preserve"> </w:t>
      </w:r>
      <w:r>
        <w:t>tuvo</w:t>
      </w:r>
      <w:r>
        <w:rPr>
          <w:spacing w:val="-15"/>
        </w:rPr>
        <w:t xml:space="preserve"> </w:t>
      </w:r>
      <w:r>
        <w:t>la</w:t>
      </w:r>
      <w:r>
        <w:rPr>
          <w:spacing w:val="-15"/>
        </w:rPr>
        <w:t xml:space="preserve"> </w:t>
      </w:r>
      <w:r>
        <w:t>pandemia</w:t>
      </w:r>
      <w:r>
        <w:rPr>
          <w:spacing w:val="-15"/>
        </w:rPr>
        <w:t xml:space="preserve"> </w:t>
      </w:r>
      <w:r>
        <w:t>del</w:t>
      </w:r>
      <w:r>
        <w:rPr>
          <w:spacing w:val="-15"/>
        </w:rPr>
        <w:t xml:space="preserve"> </w:t>
      </w:r>
      <w:r>
        <w:t>covid-19</w:t>
      </w:r>
      <w:r>
        <w:rPr>
          <w:spacing w:val="-15"/>
        </w:rPr>
        <w:t xml:space="preserve"> </w:t>
      </w:r>
      <w:r>
        <w:t>en</w:t>
      </w:r>
      <w:r>
        <w:rPr>
          <w:spacing w:val="-15"/>
        </w:rPr>
        <w:t xml:space="preserve"> </w:t>
      </w:r>
      <w:r>
        <w:t>su</w:t>
      </w:r>
      <w:r>
        <w:rPr>
          <w:spacing w:val="-15"/>
        </w:rPr>
        <w:t xml:space="preserve"> </w:t>
      </w:r>
      <w:r>
        <w:t>labor.</w:t>
      </w:r>
      <w:r>
        <w:rPr>
          <w:spacing w:val="-15"/>
        </w:rPr>
        <w:t xml:space="preserve"> </w:t>
      </w:r>
      <w:r>
        <w:t>La</w:t>
      </w:r>
      <w:r>
        <w:rPr>
          <w:spacing w:val="-15"/>
        </w:rPr>
        <w:t xml:space="preserve"> </w:t>
      </w:r>
      <w:r>
        <w:t>Comisión</w:t>
      </w:r>
      <w:r>
        <w:rPr>
          <w:spacing w:val="-15"/>
        </w:rPr>
        <w:t xml:space="preserve"> </w:t>
      </w:r>
      <w:r>
        <w:t>recibió</w:t>
      </w:r>
      <w:r>
        <w:rPr>
          <w:spacing w:val="-15"/>
        </w:rPr>
        <w:t xml:space="preserve"> </w:t>
      </w:r>
      <w:r>
        <w:t>el</w:t>
      </w:r>
      <w:r>
        <w:rPr>
          <w:spacing w:val="-15"/>
        </w:rPr>
        <w:t xml:space="preserve"> </w:t>
      </w:r>
      <w:r>
        <w:t>mandato</w:t>
      </w:r>
      <w:r w:rsidR="00F9308F">
        <w:rPr>
          <w:rStyle w:val="Refdenotaalpie"/>
        </w:rPr>
        <w:footnoteReference w:id="2"/>
      </w:r>
      <w:r>
        <w:rPr>
          <w:spacing w:val="-15"/>
        </w:rPr>
        <w:t xml:space="preserve"> </w:t>
      </w:r>
      <w:r>
        <w:t>de</w:t>
      </w:r>
      <w:r>
        <w:rPr>
          <w:spacing w:val="-15"/>
        </w:rPr>
        <w:t xml:space="preserve"> </w:t>
      </w:r>
      <w:r>
        <w:t>esclarecer lo ocurrido durante el conflicto armado interno que ha vivido Colombia; promover el reconocimiento de responsabilidades, así como el diálogo social y la convivencia, todo ello en un horizonte que permitiera dejar atrás la guerra para siempre.</w:t>
      </w:r>
    </w:p>
    <w:p w:rsidR="003804AC" w:rsidRDefault="00AF18A5" w:rsidP="001271BE">
      <w:r>
        <w:t>En los cuatro años efectivos de vida que tuvo la Comisión –y a pesar del obstáculo que significó</w:t>
      </w:r>
      <w:r>
        <w:rPr>
          <w:spacing w:val="-15"/>
        </w:rPr>
        <w:t xml:space="preserve"> </w:t>
      </w:r>
      <w:r>
        <w:t>la</w:t>
      </w:r>
      <w:r>
        <w:rPr>
          <w:spacing w:val="-15"/>
        </w:rPr>
        <w:t xml:space="preserve"> </w:t>
      </w:r>
      <w:r>
        <w:t>pandemia–</w:t>
      </w:r>
      <w:r>
        <w:rPr>
          <w:spacing w:val="-15"/>
        </w:rPr>
        <w:t xml:space="preserve"> </w:t>
      </w:r>
      <w:r>
        <w:t>se</w:t>
      </w:r>
      <w:r>
        <w:rPr>
          <w:spacing w:val="-15"/>
        </w:rPr>
        <w:t xml:space="preserve"> </w:t>
      </w:r>
      <w:r>
        <w:t>realizaron</w:t>
      </w:r>
      <w:r>
        <w:rPr>
          <w:spacing w:val="-15"/>
        </w:rPr>
        <w:t xml:space="preserve"> </w:t>
      </w:r>
      <w:r>
        <w:t>14.000</w:t>
      </w:r>
      <w:r>
        <w:rPr>
          <w:spacing w:val="-15"/>
        </w:rPr>
        <w:t xml:space="preserve"> </w:t>
      </w:r>
      <w:r>
        <w:t>entrevistas</w:t>
      </w:r>
      <w:r>
        <w:rPr>
          <w:spacing w:val="-15"/>
        </w:rPr>
        <w:t xml:space="preserve"> </w:t>
      </w:r>
      <w:r>
        <w:t>y</w:t>
      </w:r>
      <w:r>
        <w:rPr>
          <w:spacing w:val="-15"/>
        </w:rPr>
        <w:t xml:space="preserve"> </w:t>
      </w:r>
      <w:r>
        <w:t>se</w:t>
      </w:r>
      <w:r>
        <w:rPr>
          <w:spacing w:val="-15"/>
        </w:rPr>
        <w:t xml:space="preserve"> </w:t>
      </w:r>
      <w:r>
        <w:t>establecieron</w:t>
      </w:r>
      <w:r>
        <w:rPr>
          <w:spacing w:val="-15"/>
        </w:rPr>
        <w:t xml:space="preserve"> </w:t>
      </w:r>
      <w:r>
        <w:t>conversaciones</w:t>
      </w:r>
      <w:r>
        <w:rPr>
          <w:spacing w:val="-15"/>
        </w:rPr>
        <w:t xml:space="preserve"> </w:t>
      </w:r>
      <w:r>
        <w:t>con más de 30.000 personas de todos los sectores sociales, regiones, identidades étnicas, experiencias</w:t>
      </w:r>
      <w:r>
        <w:rPr>
          <w:spacing w:val="-11"/>
        </w:rPr>
        <w:t xml:space="preserve"> </w:t>
      </w:r>
      <w:r>
        <w:t>de</w:t>
      </w:r>
      <w:r>
        <w:rPr>
          <w:spacing w:val="-9"/>
        </w:rPr>
        <w:t xml:space="preserve"> </w:t>
      </w:r>
      <w:r>
        <w:t>vida,</w:t>
      </w:r>
      <w:r>
        <w:rPr>
          <w:spacing w:val="-10"/>
        </w:rPr>
        <w:t xml:space="preserve"> </w:t>
      </w:r>
      <w:r>
        <w:t>tanto</w:t>
      </w:r>
      <w:r>
        <w:rPr>
          <w:spacing w:val="-10"/>
        </w:rPr>
        <w:t xml:space="preserve"> </w:t>
      </w:r>
      <w:r>
        <w:t>dentro</w:t>
      </w:r>
      <w:r>
        <w:rPr>
          <w:spacing w:val="-10"/>
        </w:rPr>
        <w:t xml:space="preserve"> </w:t>
      </w:r>
      <w:r>
        <w:t>de</w:t>
      </w:r>
      <w:r>
        <w:rPr>
          <w:spacing w:val="-11"/>
        </w:rPr>
        <w:t xml:space="preserve"> </w:t>
      </w:r>
      <w:r>
        <w:t>nuestras</w:t>
      </w:r>
      <w:r>
        <w:rPr>
          <w:spacing w:val="-10"/>
        </w:rPr>
        <w:t xml:space="preserve"> </w:t>
      </w:r>
      <w:r>
        <w:t>fronteras</w:t>
      </w:r>
      <w:r>
        <w:rPr>
          <w:spacing w:val="-11"/>
        </w:rPr>
        <w:t xml:space="preserve"> </w:t>
      </w:r>
      <w:r>
        <w:t>como</w:t>
      </w:r>
      <w:r>
        <w:rPr>
          <w:spacing w:val="-11"/>
        </w:rPr>
        <w:t xml:space="preserve"> </w:t>
      </w:r>
      <w:r>
        <w:t>fuera</w:t>
      </w:r>
      <w:r>
        <w:rPr>
          <w:spacing w:val="-9"/>
        </w:rPr>
        <w:t xml:space="preserve"> </w:t>
      </w:r>
      <w:r>
        <w:t>de</w:t>
      </w:r>
      <w:r>
        <w:rPr>
          <w:spacing w:val="-11"/>
        </w:rPr>
        <w:t xml:space="preserve"> </w:t>
      </w:r>
      <w:r>
        <w:t>ellas.</w:t>
      </w:r>
      <w:r>
        <w:rPr>
          <w:spacing w:val="-10"/>
        </w:rPr>
        <w:t xml:space="preserve"> </w:t>
      </w:r>
      <w:r>
        <w:t>Adicionalmente, se recibieron más de mil informes de las instituciones públicas, de entidades privadas y de movimientos</w:t>
      </w:r>
      <w:r>
        <w:rPr>
          <w:spacing w:val="-3"/>
        </w:rPr>
        <w:t xml:space="preserve"> </w:t>
      </w:r>
      <w:r>
        <w:t>sociales.</w:t>
      </w:r>
      <w:r>
        <w:rPr>
          <w:spacing w:val="-4"/>
        </w:rPr>
        <w:t xml:space="preserve"> </w:t>
      </w:r>
      <w:r>
        <w:t>Dentro</w:t>
      </w:r>
      <w:r>
        <w:rPr>
          <w:spacing w:val="-5"/>
        </w:rPr>
        <w:t xml:space="preserve"> </w:t>
      </w:r>
      <w:r>
        <w:t>de</w:t>
      </w:r>
      <w:r>
        <w:rPr>
          <w:spacing w:val="-4"/>
        </w:rPr>
        <w:t xml:space="preserve"> </w:t>
      </w:r>
      <w:r>
        <w:t>las</w:t>
      </w:r>
      <w:r>
        <w:rPr>
          <w:spacing w:val="-5"/>
        </w:rPr>
        <w:t xml:space="preserve"> </w:t>
      </w:r>
      <w:r>
        <w:t>limitaciones</w:t>
      </w:r>
      <w:r>
        <w:rPr>
          <w:spacing w:val="-4"/>
        </w:rPr>
        <w:t xml:space="preserve"> </w:t>
      </w:r>
      <w:r>
        <w:t>de</w:t>
      </w:r>
      <w:r>
        <w:rPr>
          <w:spacing w:val="-4"/>
        </w:rPr>
        <w:t xml:space="preserve"> </w:t>
      </w:r>
      <w:r>
        <w:t>tiempo,</w:t>
      </w:r>
      <w:r>
        <w:rPr>
          <w:spacing w:val="-5"/>
        </w:rPr>
        <w:t xml:space="preserve"> </w:t>
      </w:r>
      <w:r>
        <w:t>del</w:t>
      </w:r>
      <w:r>
        <w:rPr>
          <w:spacing w:val="-3"/>
        </w:rPr>
        <w:t xml:space="preserve"> </w:t>
      </w:r>
      <w:r>
        <w:t>contexto</w:t>
      </w:r>
      <w:r>
        <w:rPr>
          <w:spacing w:val="-5"/>
        </w:rPr>
        <w:t xml:space="preserve"> </w:t>
      </w:r>
      <w:r>
        <w:t>político</w:t>
      </w:r>
      <w:r>
        <w:rPr>
          <w:spacing w:val="-5"/>
        </w:rPr>
        <w:t xml:space="preserve"> </w:t>
      </w:r>
      <w:r>
        <w:t>y</w:t>
      </w:r>
      <w:r>
        <w:rPr>
          <w:spacing w:val="-3"/>
        </w:rPr>
        <w:t xml:space="preserve"> </w:t>
      </w:r>
      <w:r>
        <w:t>de</w:t>
      </w:r>
      <w:r>
        <w:rPr>
          <w:spacing w:val="-3"/>
        </w:rPr>
        <w:t xml:space="preserve"> </w:t>
      </w:r>
      <w:r>
        <w:t>salud pública, la escucha de la Comisión fue amplia y plural, asertiva y reparadora. Se activaron conversaciones inéditas</w:t>
      </w:r>
      <w:r>
        <w:rPr>
          <w:spacing w:val="-1"/>
        </w:rPr>
        <w:t xml:space="preserve"> </w:t>
      </w:r>
      <w:r>
        <w:t>entre sectores otrora enemigos, entre</w:t>
      </w:r>
      <w:r>
        <w:rPr>
          <w:spacing w:val="-1"/>
        </w:rPr>
        <w:t xml:space="preserve"> </w:t>
      </w:r>
      <w:r>
        <w:t>víctimas y responsables,</w:t>
      </w:r>
      <w:r>
        <w:rPr>
          <w:spacing w:val="-1"/>
        </w:rPr>
        <w:t xml:space="preserve"> </w:t>
      </w:r>
      <w:r>
        <w:t>entre partes</w:t>
      </w:r>
      <w:r>
        <w:rPr>
          <w:spacing w:val="-3"/>
        </w:rPr>
        <w:t xml:space="preserve"> </w:t>
      </w:r>
      <w:r>
        <w:t>de</w:t>
      </w:r>
      <w:r>
        <w:rPr>
          <w:spacing w:val="-3"/>
        </w:rPr>
        <w:t xml:space="preserve"> </w:t>
      </w:r>
      <w:r>
        <w:t>la</w:t>
      </w:r>
      <w:r>
        <w:rPr>
          <w:spacing w:val="-3"/>
        </w:rPr>
        <w:t xml:space="preserve"> </w:t>
      </w:r>
      <w:r>
        <w:t>sociedad</w:t>
      </w:r>
      <w:r>
        <w:rPr>
          <w:spacing w:val="-4"/>
        </w:rPr>
        <w:t xml:space="preserve"> </w:t>
      </w:r>
      <w:r>
        <w:t>que</w:t>
      </w:r>
      <w:r>
        <w:rPr>
          <w:spacing w:val="-3"/>
        </w:rPr>
        <w:t xml:space="preserve"> </w:t>
      </w:r>
      <w:r>
        <w:t>piensan</w:t>
      </w:r>
      <w:r>
        <w:rPr>
          <w:spacing w:val="-4"/>
        </w:rPr>
        <w:t xml:space="preserve"> </w:t>
      </w:r>
      <w:r>
        <w:t>diferente,</w:t>
      </w:r>
      <w:r>
        <w:rPr>
          <w:spacing w:val="-4"/>
        </w:rPr>
        <w:t xml:space="preserve"> </w:t>
      </w:r>
      <w:r>
        <w:t>y</w:t>
      </w:r>
      <w:r>
        <w:rPr>
          <w:spacing w:val="-4"/>
        </w:rPr>
        <w:t xml:space="preserve"> </w:t>
      </w:r>
      <w:r>
        <w:t>que</w:t>
      </w:r>
      <w:r>
        <w:rPr>
          <w:spacing w:val="-3"/>
        </w:rPr>
        <w:t xml:space="preserve"> </w:t>
      </w:r>
      <w:r>
        <w:t>nunca</w:t>
      </w:r>
      <w:r>
        <w:rPr>
          <w:spacing w:val="-3"/>
        </w:rPr>
        <w:t xml:space="preserve"> </w:t>
      </w:r>
      <w:r>
        <w:t>antes</w:t>
      </w:r>
      <w:r>
        <w:rPr>
          <w:spacing w:val="-3"/>
        </w:rPr>
        <w:t xml:space="preserve"> </w:t>
      </w:r>
      <w:r>
        <w:t>se</w:t>
      </w:r>
      <w:r>
        <w:rPr>
          <w:spacing w:val="-3"/>
        </w:rPr>
        <w:t xml:space="preserve"> </w:t>
      </w:r>
      <w:r>
        <w:t>pudieron</w:t>
      </w:r>
      <w:r>
        <w:rPr>
          <w:spacing w:val="-4"/>
        </w:rPr>
        <w:t xml:space="preserve"> </w:t>
      </w:r>
      <w:r>
        <w:t>encontrar</w:t>
      </w:r>
      <w:r>
        <w:rPr>
          <w:spacing w:val="-3"/>
        </w:rPr>
        <w:t xml:space="preserve"> </w:t>
      </w:r>
      <w:r>
        <w:t>para</w:t>
      </w:r>
      <w:r>
        <w:rPr>
          <w:spacing w:val="-3"/>
        </w:rPr>
        <w:t xml:space="preserve"> </w:t>
      </w:r>
      <w:r>
        <w:t>un diálogo constructivo y sereno.</w:t>
      </w:r>
    </w:p>
    <w:p w:rsidR="0011361F" w:rsidRDefault="00AF18A5" w:rsidP="001271BE">
      <w:r>
        <w:t xml:space="preserve">El proceso de escucha en sí mismo resultó transformador para todos los involucrados en él. Las víctimas de todas las condiciones fueron quienes acudieron mayoritariamente al llamado de la Comisión y para muchas </w:t>
      </w:r>
      <w:r>
        <w:lastRenderedPageBreak/>
        <w:t xml:space="preserve">de ellas ese momento se convirtió en la primera vez que una entidad del Estado las trató como ciudadanos sujetos de derechos. También se escuchó a quienes hicieron la guerra: exguerrilleros y exguerrilleras, </w:t>
      </w:r>
      <w:proofErr w:type="spellStart"/>
      <w:r>
        <w:t>exparamilitares</w:t>
      </w:r>
      <w:proofErr w:type="spellEnd"/>
      <w:r>
        <w:t>, oficiales de la fuerza pública, soldados y policías. Se escuchó a los políticos que alentaron, defendieron o condujeron la guerra. A aquellos de la sociedad civil que actuaron como agentes</w:t>
      </w:r>
      <w:r>
        <w:rPr>
          <w:spacing w:val="-5"/>
        </w:rPr>
        <w:t xml:space="preserve"> </w:t>
      </w:r>
      <w:r>
        <w:t>de</w:t>
      </w:r>
      <w:r>
        <w:rPr>
          <w:spacing w:val="-6"/>
        </w:rPr>
        <w:t xml:space="preserve"> </w:t>
      </w:r>
      <w:r>
        <w:t>la</w:t>
      </w:r>
      <w:r>
        <w:rPr>
          <w:spacing w:val="-5"/>
        </w:rPr>
        <w:t xml:space="preserve"> </w:t>
      </w:r>
      <w:r>
        <w:t>violencia</w:t>
      </w:r>
      <w:r>
        <w:rPr>
          <w:spacing w:val="-5"/>
        </w:rPr>
        <w:t xml:space="preserve"> </w:t>
      </w:r>
      <w:r>
        <w:t>de</w:t>
      </w:r>
      <w:r>
        <w:rPr>
          <w:spacing w:val="-5"/>
        </w:rPr>
        <w:t xml:space="preserve"> </w:t>
      </w:r>
      <w:r>
        <w:t>diferentes</w:t>
      </w:r>
      <w:r>
        <w:rPr>
          <w:spacing w:val="-5"/>
        </w:rPr>
        <w:t xml:space="preserve"> </w:t>
      </w:r>
      <w:r>
        <w:t>maneras.</w:t>
      </w:r>
      <w:r>
        <w:rPr>
          <w:spacing w:val="-5"/>
        </w:rPr>
        <w:t xml:space="preserve"> </w:t>
      </w:r>
      <w:r>
        <w:t>A</w:t>
      </w:r>
      <w:r>
        <w:rPr>
          <w:spacing w:val="-5"/>
        </w:rPr>
        <w:t xml:space="preserve"> </w:t>
      </w:r>
      <w:r>
        <w:t>quienes</w:t>
      </w:r>
      <w:r>
        <w:rPr>
          <w:spacing w:val="-5"/>
        </w:rPr>
        <w:t xml:space="preserve"> </w:t>
      </w:r>
      <w:r>
        <w:t>defendieron</w:t>
      </w:r>
      <w:r>
        <w:rPr>
          <w:spacing w:val="-5"/>
        </w:rPr>
        <w:t xml:space="preserve"> </w:t>
      </w:r>
      <w:r>
        <w:t>los</w:t>
      </w:r>
      <w:r>
        <w:rPr>
          <w:spacing w:val="-6"/>
        </w:rPr>
        <w:t xml:space="preserve"> </w:t>
      </w:r>
      <w:r>
        <w:t>derechos</w:t>
      </w:r>
      <w:r>
        <w:rPr>
          <w:spacing w:val="-5"/>
        </w:rPr>
        <w:t xml:space="preserve"> </w:t>
      </w:r>
      <w:r>
        <w:t xml:space="preserve">humanos, acompañaron a las víctimas y lucharon por la paz en los momentos más duros de la guerra. A testigos y analistas. En realidad, a todas las personas que quisieron hacer parte de este </w:t>
      </w:r>
      <w:r>
        <w:rPr>
          <w:spacing w:val="-2"/>
        </w:rPr>
        <w:t>proceso.</w:t>
      </w:r>
    </w:p>
    <w:p w:rsidR="003804AC" w:rsidRDefault="00AF18A5" w:rsidP="00F9308F">
      <w:r>
        <w:t>Para realizar su trabajo, La Comisión contó con recursos asignados por el Estado colombiano y el gobierno, y un inmenso e invaluable aporte de la comunidad internacional. Esto le permitió tener colaboradores, equipos de trabajo y presencia en todos los departamentos</w:t>
      </w:r>
      <w:r>
        <w:rPr>
          <w:spacing w:val="-15"/>
        </w:rPr>
        <w:t xml:space="preserve"> </w:t>
      </w:r>
      <w:r>
        <w:t>del</w:t>
      </w:r>
      <w:r>
        <w:rPr>
          <w:spacing w:val="-15"/>
        </w:rPr>
        <w:t xml:space="preserve"> </w:t>
      </w:r>
      <w:r>
        <w:t>país,</w:t>
      </w:r>
      <w:r>
        <w:rPr>
          <w:spacing w:val="-15"/>
        </w:rPr>
        <w:t xml:space="preserve"> </w:t>
      </w:r>
      <w:r>
        <w:t>así</w:t>
      </w:r>
      <w:r>
        <w:rPr>
          <w:spacing w:val="-15"/>
        </w:rPr>
        <w:t xml:space="preserve"> </w:t>
      </w:r>
      <w:r>
        <w:t>como</w:t>
      </w:r>
      <w:r>
        <w:rPr>
          <w:spacing w:val="-15"/>
        </w:rPr>
        <w:t xml:space="preserve"> </w:t>
      </w:r>
      <w:r>
        <w:t>personas</w:t>
      </w:r>
      <w:r>
        <w:rPr>
          <w:spacing w:val="-15"/>
        </w:rPr>
        <w:t xml:space="preserve"> </w:t>
      </w:r>
      <w:r>
        <w:t>voluntarias</w:t>
      </w:r>
      <w:r>
        <w:rPr>
          <w:spacing w:val="-15"/>
        </w:rPr>
        <w:t xml:space="preserve"> </w:t>
      </w:r>
      <w:r>
        <w:t>en</w:t>
      </w:r>
      <w:r>
        <w:rPr>
          <w:spacing w:val="-15"/>
        </w:rPr>
        <w:t xml:space="preserve"> </w:t>
      </w:r>
      <w:r>
        <w:t>otros</w:t>
      </w:r>
      <w:r>
        <w:rPr>
          <w:spacing w:val="-15"/>
        </w:rPr>
        <w:t xml:space="preserve"> </w:t>
      </w:r>
      <w:r>
        <w:t>países.</w:t>
      </w:r>
      <w:r>
        <w:rPr>
          <w:spacing w:val="-15"/>
        </w:rPr>
        <w:t xml:space="preserve"> </w:t>
      </w:r>
      <w:r>
        <w:t>Todos</w:t>
      </w:r>
      <w:r>
        <w:rPr>
          <w:spacing w:val="-15"/>
        </w:rPr>
        <w:t xml:space="preserve"> </w:t>
      </w:r>
      <w:r>
        <w:t>ellos</w:t>
      </w:r>
      <w:r>
        <w:rPr>
          <w:spacing w:val="-15"/>
        </w:rPr>
        <w:t xml:space="preserve"> </w:t>
      </w:r>
      <w:r>
        <w:t>entregaron no solo</w:t>
      </w:r>
      <w:r>
        <w:rPr>
          <w:spacing w:val="-1"/>
        </w:rPr>
        <w:t xml:space="preserve"> </w:t>
      </w:r>
      <w:r>
        <w:t>su conocimiento</w:t>
      </w:r>
      <w:r>
        <w:rPr>
          <w:spacing w:val="-1"/>
        </w:rPr>
        <w:t xml:space="preserve"> </w:t>
      </w:r>
      <w:r>
        <w:t>y experiencia sino su</w:t>
      </w:r>
      <w:r>
        <w:rPr>
          <w:spacing w:val="-1"/>
        </w:rPr>
        <w:t xml:space="preserve"> </w:t>
      </w:r>
      <w:r>
        <w:t>curiosidad, sensibilidad</w:t>
      </w:r>
      <w:r>
        <w:rPr>
          <w:spacing w:val="-1"/>
        </w:rPr>
        <w:t xml:space="preserve"> </w:t>
      </w:r>
      <w:r>
        <w:t>y amor profundo por Colombia. A todas estas personas les agradecemos profundamente la mística que pusieron en esta tarea que no hubiese sido posible de otra manera.</w:t>
      </w:r>
    </w:p>
    <w:p w:rsidR="003804AC" w:rsidRDefault="00AF18A5" w:rsidP="00F9308F">
      <w:r>
        <w:t>Una de las tareas asignadas a la Comisión de la</w:t>
      </w:r>
      <w:r>
        <w:rPr>
          <w:spacing w:val="-1"/>
        </w:rPr>
        <w:t xml:space="preserve"> </w:t>
      </w:r>
      <w:r>
        <w:t>Verdad desde el Acuerdo de Paz es la de entregar</w:t>
      </w:r>
      <w:r>
        <w:rPr>
          <w:spacing w:val="-3"/>
        </w:rPr>
        <w:t xml:space="preserve"> </w:t>
      </w:r>
      <w:r>
        <w:t>un</w:t>
      </w:r>
      <w:r>
        <w:rPr>
          <w:spacing w:val="-4"/>
        </w:rPr>
        <w:t xml:space="preserve"> </w:t>
      </w:r>
      <w:r>
        <w:t>Informe</w:t>
      </w:r>
      <w:r>
        <w:rPr>
          <w:spacing w:val="-3"/>
        </w:rPr>
        <w:t xml:space="preserve"> </w:t>
      </w:r>
      <w:r>
        <w:t>Final</w:t>
      </w:r>
      <w:r>
        <w:rPr>
          <w:spacing w:val="-3"/>
        </w:rPr>
        <w:t xml:space="preserve"> </w:t>
      </w:r>
      <w:r>
        <w:t>que</w:t>
      </w:r>
      <w:r>
        <w:rPr>
          <w:spacing w:val="-3"/>
        </w:rPr>
        <w:t xml:space="preserve"> </w:t>
      </w:r>
      <w:r>
        <w:t>dé</w:t>
      </w:r>
      <w:r>
        <w:rPr>
          <w:spacing w:val="-3"/>
        </w:rPr>
        <w:t xml:space="preserve"> </w:t>
      </w:r>
      <w:r>
        <w:t>cuenta</w:t>
      </w:r>
      <w:r>
        <w:rPr>
          <w:spacing w:val="-3"/>
        </w:rPr>
        <w:t xml:space="preserve"> </w:t>
      </w:r>
      <w:r>
        <w:t>del</w:t>
      </w:r>
      <w:r>
        <w:rPr>
          <w:spacing w:val="-3"/>
        </w:rPr>
        <w:t xml:space="preserve"> </w:t>
      </w:r>
      <w:r>
        <w:t>esclarecimiento</w:t>
      </w:r>
      <w:r>
        <w:rPr>
          <w:spacing w:val="-4"/>
        </w:rPr>
        <w:t xml:space="preserve"> </w:t>
      </w:r>
      <w:r>
        <w:t>de</w:t>
      </w:r>
      <w:r>
        <w:rPr>
          <w:spacing w:val="-3"/>
        </w:rPr>
        <w:t xml:space="preserve"> </w:t>
      </w:r>
      <w:r>
        <w:t>13</w:t>
      </w:r>
      <w:r>
        <w:rPr>
          <w:spacing w:val="-4"/>
        </w:rPr>
        <w:t xml:space="preserve"> </w:t>
      </w:r>
      <w:r>
        <w:t>puntos</w:t>
      </w:r>
      <w:r>
        <w:rPr>
          <w:spacing w:val="-3"/>
        </w:rPr>
        <w:t xml:space="preserve"> </w:t>
      </w:r>
      <w:r>
        <w:t>de</w:t>
      </w:r>
      <w:r>
        <w:rPr>
          <w:spacing w:val="-3"/>
        </w:rPr>
        <w:t xml:space="preserve"> </w:t>
      </w:r>
      <w:r>
        <w:t>su</w:t>
      </w:r>
      <w:r>
        <w:rPr>
          <w:spacing w:val="-4"/>
        </w:rPr>
        <w:t xml:space="preserve"> </w:t>
      </w:r>
      <w:r>
        <w:t>mandato,</w:t>
      </w:r>
      <w:r>
        <w:rPr>
          <w:spacing w:val="-4"/>
        </w:rPr>
        <w:t xml:space="preserve"> </w:t>
      </w:r>
      <w:r>
        <w:t>en toda su complejidad, y que recomiende medidas para evitar la repetición de una historia aciaga como la que ha vivido Colombia.</w:t>
      </w:r>
    </w:p>
    <w:p w:rsidR="003804AC" w:rsidRDefault="00AF18A5" w:rsidP="00F9308F">
      <w:r>
        <w:t xml:space="preserve">La Comisión adoptó un método de investigación inductivo, es decir, de la escucha y la observación abierta, al análisis y la construcción de conclusiones; a partir de una pregunta macro que orientó la búsqueda </w:t>
      </w:r>
      <w:r>
        <w:lastRenderedPageBreak/>
        <w:t>de la verdad: por qué a pesar de los múltiples acuerdos y procesos</w:t>
      </w:r>
      <w:r>
        <w:rPr>
          <w:spacing w:val="-7"/>
        </w:rPr>
        <w:t xml:space="preserve"> </w:t>
      </w:r>
      <w:r>
        <w:t>de</w:t>
      </w:r>
      <w:r>
        <w:rPr>
          <w:spacing w:val="-7"/>
        </w:rPr>
        <w:t xml:space="preserve"> </w:t>
      </w:r>
      <w:r>
        <w:t>paz</w:t>
      </w:r>
      <w:r>
        <w:rPr>
          <w:spacing w:val="-7"/>
        </w:rPr>
        <w:t xml:space="preserve"> </w:t>
      </w:r>
      <w:r>
        <w:t>el</w:t>
      </w:r>
      <w:r>
        <w:rPr>
          <w:spacing w:val="-7"/>
        </w:rPr>
        <w:t xml:space="preserve"> </w:t>
      </w:r>
      <w:r>
        <w:t>conflicto</w:t>
      </w:r>
      <w:r>
        <w:rPr>
          <w:spacing w:val="-7"/>
        </w:rPr>
        <w:t xml:space="preserve"> </w:t>
      </w:r>
      <w:r>
        <w:t>armado</w:t>
      </w:r>
      <w:r>
        <w:rPr>
          <w:spacing w:val="-8"/>
        </w:rPr>
        <w:t xml:space="preserve"> </w:t>
      </w:r>
      <w:r>
        <w:t>no</w:t>
      </w:r>
      <w:r>
        <w:rPr>
          <w:spacing w:val="-7"/>
        </w:rPr>
        <w:t xml:space="preserve"> </w:t>
      </w:r>
      <w:r>
        <w:t>logra</w:t>
      </w:r>
      <w:r>
        <w:rPr>
          <w:spacing w:val="-7"/>
        </w:rPr>
        <w:t xml:space="preserve"> </w:t>
      </w:r>
      <w:r>
        <w:t>cerrarse</w:t>
      </w:r>
      <w:r>
        <w:rPr>
          <w:spacing w:val="-7"/>
        </w:rPr>
        <w:t xml:space="preserve"> </w:t>
      </w:r>
      <w:r>
        <w:t>completamente</w:t>
      </w:r>
      <w:r>
        <w:rPr>
          <w:spacing w:val="-7"/>
        </w:rPr>
        <w:t xml:space="preserve"> </w:t>
      </w:r>
      <w:r>
        <w:t>y</w:t>
      </w:r>
      <w:r>
        <w:rPr>
          <w:spacing w:val="-8"/>
        </w:rPr>
        <w:t xml:space="preserve"> </w:t>
      </w:r>
      <w:r>
        <w:t>en</w:t>
      </w:r>
      <w:r>
        <w:rPr>
          <w:spacing w:val="-7"/>
        </w:rPr>
        <w:t xml:space="preserve"> </w:t>
      </w:r>
      <w:r>
        <w:t>cambio</w:t>
      </w:r>
      <w:r>
        <w:rPr>
          <w:spacing w:val="-7"/>
        </w:rPr>
        <w:t xml:space="preserve"> </w:t>
      </w:r>
      <w:r>
        <w:t>se</w:t>
      </w:r>
      <w:r>
        <w:rPr>
          <w:spacing w:val="-7"/>
        </w:rPr>
        <w:t xml:space="preserve"> </w:t>
      </w:r>
      <w:r>
        <w:t>recicla. Posteriormente sistematizó y decantó analíticamente sus hallazgos aunque, hay que reconocerlo,</w:t>
      </w:r>
      <w:r>
        <w:rPr>
          <w:spacing w:val="-8"/>
        </w:rPr>
        <w:t xml:space="preserve"> </w:t>
      </w:r>
      <w:r>
        <w:t>la</w:t>
      </w:r>
      <w:r>
        <w:rPr>
          <w:spacing w:val="-7"/>
        </w:rPr>
        <w:t xml:space="preserve"> </w:t>
      </w:r>
      <w:r>
        <w:t>magnitud</w:t>
      </w:r>
      <w:r>
        <w:rPr>
          <w:spacing w:val="-8"/>
        </w:rPr>
        <w:t xml:space="preserve"> </w:t>
      </w:r>
      <w:r>
        <w:t>de</w:t>
      </w:r>
      <w:r>
        <w:rPr>
          <w:spacing w:val="-7"/>
        </w:rPr>
        <w:t xml:space="preserve"> </w:t>
      </w:r>
      <w:r>
        <w:t>la</w:t>
      </w:r>
      <w:r>
        <w:rPr>
          <w:spacing w:val="-7"/>
        </w:rPr>
        <w:t xml:space="preserve"> </w:t>
      </w:r>
      <w:r>
        <w:t>información</w:t>
      </w:r>
      <w:r>
        <w:rPr>
          <w:spacing w:val="-7"/>
        </w:rPr>
        <w:t xml:space="preserve"> </w:t>
      </w:r>
      <w:r>
        <w:t>recabada</w:t>
      </w:r>
      <w:r>
        <w:rPr>
          <w:spacing w:val="-7"/>
        </w:rPr>
        <w:t xml:space="preserve"> </w:t>
      </w:r>
      <w:r>
        <w:t>y</w:t>
      </w:r>
      <w:r>
        <w:rPr>
          <w:spacing w:val="-7"/>
        </w:rPr>
        <w:t xml:space="preserve"> </w:t>
      </w:r>
      <w:r>
        <w:t>la</w:t>
      </w:r>
      <w:r>
        <w:rPr>
          <w:spacing w:val="-7"/>
        </w:rPr>
        <w:t xml:space="preserve"> </w:t>
      </w:r>
      <w:r>
        <w:t>preexistente</w:t>
      </w:r>
      <w:r>
        <w:rPr>
          <w:spacing w:val="-7"/>
        </w:rPr>
        <w:t xml:space="preserve"> </w:t>
      </w:r>
      <w:r>
        <w:t>en</w:t>
      </w:r>
      <w:r>
        <w:rPr>
          <w:spacing w:val="-7"/>
        </w:rPr>
        <w:t xml:space="preserve"> </w:t>
      </w:r>
      <w:r>
        <w:t>el</w:t>
      </w:r>
      <w:r>
        <w:rPr>
          <w:spacing w:val="-8"/>
        </w:rPr>
        <w:t xml:space="preserve"> </w:t>
      </w:r>
      <w:r>
        <w:t>país,</w:t>
      </w:r>
      <w:r>
        <w:rPr>
          <w:spacing w:val="-7"/>
        </w:rPr>
        <w:t xml:space="preserve"> </w:t>
      </w:r>
      <w:r>
        <w:t>hizo</w:t>
      </w:r>
      <w:r>
        <w:rPr>
          <w:spacing w:val="-7"/>
        </w:rPr>
        <w:t xml:space="preserve"> </w:t>
      </w:r>
      <w:r>
        <w:t>de</w:t>
      </w:r>
      <w:r>
        <w:rPr>
          <w:spacing w:val="-8"/>
        </w:rPr>
        <w:t xml:space="preserve"> </w:t>
      </w:r>
      <w:r>
        <w:t>esta etapa un desafío mayúsculo. Con el tiempo seguramente todo lo visto, escuchado, experimentado</w:t>
      </w:r>
      <w:r>
        <w:rPr>
          <w:spacing w:val="-1"/>
        </w:rPr>
        <w:t xml:space="preserve"> </w:t>
      </w:r>
      <w:r>
        <w:t>y</w:t>
      </w:r>
      <w:r>
        <w:rPr>
          <w:spacing w:val="-1"/>
        </w:rPr>
        <w:t xml:space="preserve"> </w:t>
      </w:r>
      <w:r>
        <w:t>reflexionado</w:t>
      </w:r>
      <w:r>
        <w:rPr>
          <w:spacing w:val="-1"/>
        </w:rPr>
        <w:t xml:space="preserve"> </w:t>
      </w:r>
      <w:r>
        <w:t>se</w:t>
      </w:r>
      <w:r>
        <w:rPr>
          <w:spacing w:val="-1"/>
        </w:rPr>
        <w:t xml:space="preserve"> </w:t>
      </w:r>
      <w:r>
        <w:t>sedimentará</w:t>
      </w:r>
      <w:r>
        <w:rPr>
          <w:spacing w:val="-1"/>
        </w:rPr>
        <w:t xml:space="preserve"> </w:t>
      </w:r>
      <w:r>
        <w:t>para</w:t>
      </w:r>
      <w:r>
        <w:rPr>
          <w:spacing w:val="-1"/>
        </w:rPr>
        <w:t xml:space="preserve"> </w:t>
      </w:r>
      <w:r>
        <w:t>darnos</w:t>
      </w:r>
      <w:r>
        <w:rPr>
          <w:spacing w:val="-1"/>
        </w:rPr>
        <w:t xml:space="preserve"> </w:t>
      </w:r>
      <w:r>
        <w:t>nuevas</w:t>
      </w:r>
      <w:r>
        <w:rPr>
          <w:spacing w:val="-1"/>
        </w:rPr>
        <w:t xml:space="preserve"> </w:t>
      </w:r>
      <w:r>
        <w:t>y</w:t>
      </w:r>
      <w:r>
        <w:rPr>
          <w:spacing w:val="-1"/>
        </w:rPr>
        <w:t xml:space="preserve"> </w:t>
      </w:r>
      <w:r>
        <w:t>más</w:t>
      </w:r>
      <w:r>
        <w:rPr>
          <w:spacing w:val="-2"/>
        </w:rPr>
        <w:t xml:space="preserve"> </w:t>
      </w:r>
      <w:r>
        <w:t>ricas</w:t>
      </w:r>
      <w:r>
        <w:rPr>
          <w:spacing w:val="-1"/>
        </w:rPr>
        <w:t xml:space="preserve"> </w:t>
      </w:r>
      <w:r>
        <w:t>perspectivas</w:t>
      </w:r>
      <w:r>
        <w:rPr>
          <w:spacing w:val="-1"/>
        </w:rPr>
        <w:t xml:space="preserve"> </w:t>
      </w:r>
      <w:r>
        <w:t>a todos los colombianos y colombianas.</w:t>
      </w:r>
    </w:p>
    <w:p w:rsidR="003804AC" w:rsidRDefault="00AF18A5" w:rsidP="00F9308F">
      <w:r>
        <w:t>Las verdades que los comisionados entregamos al país al finalizar el mandato son un conjunto de verdades históricas, extrajudiciales, complejas y centradas en las víctimas. Consideramos que este Informe Final se suma al conocimiento acumulado que tiene el país respecto a su conflicto. Recoge buena parte de lo producido por el Centro Nacional de Memoria Histórica; la Comisión Histórica del Conflicto y sus Víctimas; la justicia colombiana e internacional, en especial la justicia transicional; las diversas ONG y en especial las</w:t>
      </w:r>
      <w:r>
        <w:rPr>
          <w:spacing w:val="-1"/>
        </w:rPr>
        <w:t xml:space="preserve"> </w:t>
      </w:r>
      <w:r>
        <w:t xml:space="preserve">de derechos humanos, las organizaciones de víctimas y la academia; entre otros muchos aportes que desde el libro de </w:t>
      </w:r>
      <w:r>
        <w:rPr>
          <w:i/>
        </w:rPr>
        <w:t xml:space="preserve">La Violencia en Colombia </w:t>
      </w:r>
      <w:r>
        <w:t>en la década de los sesenta se han hecho alrededor del conflicto armado.</w:t>
      </w:r>
    </w:p>
    <w:p w:rsidR="003804AC" w:rsidRDefault="00AF18A5" w:rsidP="00F9308F">
      <w:r>
        <w:t>Procuramos</w:t>
      </w:r>
      <w:r>
        <w:rPr>
          <w:spacing w:val="-15"/>
        </w:rPr>
        <w:t xml:space="preserve"> </w:t>
      </w:r>
      <w:r>
        <w:t>alejarnos</w:t>
      </w:r>
      <w:r>
        <w:rPr>
          <w:spacing w:val="-15"/>
        </w:rPr>
        <w:t xml:space="preserve"> </w:t>
      </w:r>
      <w:r>
        <w:t>de</w:t>
      </w:r>
      <w:r>
        <w:rPr>
          <w:spacing w:val="-15"/>
        </w:rPr>
        <w:t xml:space="preserve"> </w:t>
      </w:r>
      <w:r>
        <w:t>las</w:t>
      </w:r>
      <w:r>
        <w:rPr>
          <w:spacing w:val="-15"/>
        </w:rPr>
        <w:t xml:space="preserve"> </w:t>
      </w:r>
      <w:r>
        <w:t>lecturas</w:t>
      </w:r>
      <w:r>
        <w:rPr>
          <w:spacing w:val="-15"/>
        </w:rPr>
        <w:t xml:space="preserve"> </w:t>
      </w:r>
      <w:r>
        <w:t>simplistas</w:t>
      </w:r>
      <w:r>
        <w:rPr>
          <w:spacing w:val="-15"/>
        </w:rPr>
        <w:t xml:space="preserve"> </w:t>
      </w:r>
      <w:r>
        <w:t>y</w:t>
      </w:r>
      <w:r>
        <w:rPr>
          <w:spacing w:val="-15"/>
        </w:rPr>
        <w:t xml:space="preserve"> </w:t>
      </w:r>
      <w:r>
        <w:t>binarias,</w:t>
      </w:r>
      <w:r>
        <w:rPr>
          <w:spacing w:val="-15"/>
        </w:rPr>
        <w:t xml:space="preserve"> </w:t>
      </w:r>
      <w:r>
        <w:t>para</w:t>
      </w:r>
      <w:r>
        <w:rPr>
          <w:spacing w:val="-15"/>
        </w:rPr>
        <w:t xml:space="preserve"> </w:t>
      </w:r>
      <w:r>
        <w:t>escudriñar</w:t>
      </w:r>
      <w:r>
        <w:rPr>
          <w:spacing w:val="-15"/>
        </w:rPr>
        <w:t xml:space="preserve"> </w:t>
      </w:r>
      <w:r>
        <w:t>en</w:t>
      </w:r>
      <w:r>
        <w:rPr>
          <w:spacing w:val="-14"/>
        </w:rPr>
        <w:t xml:space="preserve"> </w:t>
      </w:r>
      <w:r>
        <w:t>el</w:t>
      </w:r>
      <w:r>
        <w:rPr>
          <w:spacing w:val="-15"/>
        </w:rPr>
        <w:t xml:space="preserve"> </w:t>
      </w:r>
      <w:r>
        <w:t>entramado de actores, intereses, objetivos y prácticas que convirtieron la guerra en un escenario diferenciado dependiendo del momento y el lugar. Es importante destacar que de manera muy temprana en el análisis hecho por los comisionados emergió la evidencia de que el conflicto</w:t>
      </w:r>
      <w:r>
        <w:rPr>
          <w:spacing w:val="-2"/>
        </w:rPr>
        <w:t xml:space="preserve"> </w:t>
      </w:r>
      <w:r>
        <w:t>armado</w:t>
      </w:r>
      <w:r>
        <w:rPr>
          <w:spacing w:val="-2"/>
        </w:rPr>
        <w:t xml:space="preserve"> </w:t>
      </w:r>
      <w:r>
        <w:t>en</w:t>
      </w:r>
      <w:r>
        <w:rPr>
          <w:spacing w:val="-2"/>
        </w:rPr>
        <w:t xml:space="preserve"> </w:t>
      </w:r>
      <w:r>
        <w:t>Colombia</w:t>
      </w:r>
      <w:r>
        <w:rPr>
          <w:spacing w:val="-2"/>
        </w:rPr>
        <w:t xml:space="preserve"> </w:t>
      </w:r>
      <w:r>
        <w:t>no</w:t>
      </w:r>
      <w:r>
        <w:rPr>
          <w:spacing w:val="-2"/>
        </w:rPr>
        <w:t xml:space="preserve"> </w:t>
      </w:r>
      <w:r>
        <w:t>se</w:t>
      </w:r>
      <w:r>
        <w:rPr>
          <w:spacing w:val="-2"/>
        </w:rPr>
        <w:t xml:space="preserve"> </w:t>
      </w:r>
      <w:r>
        <w:t>reduce</w:t>
      </w:r>
      <w:r>
        <w:rPr>
          <w:spacing w:val="-2"/>
        </w:rPr>
        <w:t xml:space="preserve"> </w:t>
      </w:r>
      <w:r>
        <w:t>al</w:t>
      </w:r>
      <w:r>
        <w:rPr>
          <w:spacing w:val="-2"/>
        </w:rPr>
        <w:t xml:space="preserve"> </w:t>
      </w:r>
      <w:r>
        <w:t>enfrentamiento</w:t>
      </w:r>
      <w:r>
        <w:rPr>
          <w:spacing w:val="-2"/>
        </w:rPr>
        <w:t xml:space="preserve"> </w:t>
      </w:r>
      <w:r>
        <w:t>entre</w:t>
      </w:r>
      <w:r>
        <w:rPr>
          <w:spacing w:val="-2"/>
        </w:rPr>
        <w:t xml:space="preserve"> </w:t>
      </w:r>
      <w:r>
        <w:t>aparatos</w:t>
      </w:r>
      <w:r>
        <w:rPr>
          <w:spacing w:val="-2"/>
        </w:rPr>
        <w:t xml:space="preserve"> </w:t>
      </w:r>
      <w:r>
        <w:t>armados</w:t>
      </w:r>
      <w:r>
        <w:rPr>
          <w:spacing w:val="-2"/>
        </w:rPr>
        <w:t xml:space="preserve"> </w:t>
      </w:r>
      <w:r>
        <w:t>ni</w:t>
      </w:r>
      <w:r>
        <w:rPr>
          <w:spacing w:val="-2"/>
        </w:rPr>
        <w:t xml:space="preserve"> </w:t>
      </w:r>
      <w:r>
        <w:t>fue una</w:t>
      </w:r>
      <w:r>
        <w:rPr>
          <w:spacing w:val="-10"/>
        </w:rPr>
        <w:t xml:space="preserve"> </w:t>
      </w:r>
      <w:r>
        <w:t>guerra</w:t>
      </w:r>
      <w:r>
        <w:rPr>
          <w:spacing w:val="-10"/>
        </w:rPr>
        <w:t xml:space="preserve"> </w:t>
      </w:r>
      <w:r>
        <w:t>solamente</w:t>
      </w:r>
      <w:r>
        <w:rPr>
          <w:spacing w:val="-12"/>
        </w:rPr>
        <w:t xml:space="preserve"> </w:t>
      </w:r>
      <w:r>
        <w:t>ideológica.</w:t>
      </w:r>
      <w:r>
        <w:rPr>
          <w:spacing w:val="-12"/>
        </w:rPr>
        <w:t xml:space="preserve"> </w:t>
      </w:r>
      <w:r>
        <w:t>La</w:t>
      </w:r>
      <w:r>
        <w:rPr>
          <w:spacing w:val="-12"/>
        </w:rPr>
        <w:t xml:space="preserve"> </w:t>
      </w:r>
      <w:r>
        <w:t>definición</w:t>
      </w:r>
      <w:r>
        <w:rPr>
          <w:spacing w:val="-12"/>
        </w:rPr>
        <w:t xml:space="preserve"> </w:t>
      </w:r>
      <w:r>
        <w:t>del</w:t>
      </w:r>
      <w:r>
        <w:rPr>
          <w:spacing w:val="-10"/>
        </w:rPr>
        <w:t xml:space="preserve"> </w:t>
      </w:r>
      <w:r>
        <w:t>conflicto</w:t>
      </w:r>
      <w:r>
        <w:rPr>
          <w:spacing w:val="-13"/>
        </w:rPr>
        <w:t xml:space="preserve"> </w:t>
      </w:r>
      <w:r>
        <w:t>como</w:t>
      </w:r>
      <w:r>
        <w:rPr>
          <w:spacing w:val="-11"/>
        </w:rPr>
        <w:t xml:space="preserve"> </w:t>
      </w:r>
      <w:r>
        <w:t>un</w:t>
      </w:r>
      <w:r>
        <w:rPr>
          <w:spacing w:val="-12"/>
        </w:rPr>
        <w:t xml:space="preserve"> </w:t>
      </w:r>
      <w:r>
        <w:t>entramado</w:t>
      </w:r>
      <w:r>
        <w:rPr>
          <w:spacing w:val="-12"/>
        </w:rPr>
        <w:t xml:space="preserve"> </w:t>
      </w:r>
      <w:r>
        <w:t>de</w:t>
      </w:r>
      <w:r>
        <w:rPr>
          <w:spacing w:val="-12"/>
        </w:rPr>
        <w:t xml:space="preserve"> </w:t>
      </w:r>
      <w:r>
        <w:t>alianzas, actores</w:t>
      </w:r>
      <w:r>
        <w:rPr>
          <w:spacing w:val="-5"/>
        </w:rPr>
        <w:t xml:space="preserve"> </w:t>
      </w:r>
      <w:r>
        <w:t>e</w:t>
      </w:r>
      <w:r>
        <w:rPr>
          <w:spacing w:val="-5"/>
        </w:rPr>
        <w:t xml:space="preserve"> </w:t>
      </w:r>
      <w:r>
        <w:t>intereses,</w:t>
      </w:r>
      <w:r>
        <w:rPr>
          <w:spacing w:val="-5"/>
        </w:rPr>
        <w:t xml:space="preserve"> </w:t>
      </w:r>
      <w:r>
        <w:t>nos</w:t>
      </w:r>
      <w:r>
        <w:rPr>
          <w:spacing w:val="-5"/>
        </w:rPr>
        <w:t xml:space="preserve"> </w:t>
      </w:r>
      <w:r>
        <w:t>permite</w:t>
      </w:r>
      <w:r>
        <w:rPr>
          <w:spacing w:val="-5"/>
        </w:rPr>
        <w:t xml:space="preserve"> </w:t>
      </w:r>
      <w:r>
        <w:t>observar</w:t>
      </w:r>
      <w:r>
        <w:rPr>
          <w:spacing w:val="-4"/>
        </w:rPr>
        <w:t xml:space="preserve"> </w:t>
      </w:r>
      <w:r>
        <w:t>que</w:t>
      </w:r>
      <w:r>
        <w:rPr>
          <w:spacing w:val="-5"/>
        </w:rPr>
        <w:t xml:space="preserve"> </w:t>
      </w:r>
      <w:r>
        <w:t>las</w:t>
      </w:r>
      <w:r>
        <w:rPr>
          <w:spacing w:val="-5"/>
        </w:rPr>
        <w:t xml:space="preserve"> </w:t>
      </w:r>
      <w:r>
        <w:t>responsabilidades</w:t>
      </w:r>
      <w:r>
        <w:rPr>
          <w:spacing w:val="-5"/>
        </w:rPr>
        <w:t xml:space="preserve"> </w:t>
      </w:r>
      <w:r>
        <w:t>sobre</w:t>
      </w:r>
      <w:r>
        <w:rPr>
          <w:spacing w:val="-5"/>
        </w:rPr>
        <w:t xml:space="preserve"> </w:t>
      </w:r>
      <w:r>
        <w:t>la</w:t>
      </w:r>
      <w:r>
        <w:rPr>
          <w:spacing w:val="-5"/>
        </w:rPr>
        <w:t xml:space="preserve"> </w:t>
      </w:r>
      <w:r>
        <w:lastRenderedPageBreak/>
        <w:t>tragedia</w:t>
      </w:r>
      <w:r>
        <w:rPr>
          <w:spacing w:val="-5"/>
        </w:rPr>
        <w:t xml:space="preserve"> </w:t>
      </w:r>
      <w:r>
        <w:t>que</w:t>
      </w:r>
      <w:r>
        <w:rPr>
          <w:spacing w:val="-5"/>
        </w:rPr>
        <w:t xml:space="preserve"> </w:t>
      </w:r>
      <w:r>
        <w:t>este representa van más allá de quienes empuñaron las armas, y que se extiende como una responsabilidad</w:t>
      </w:r>
      <w:r>
        <w:rPr>
          <w:spacing w:val="-12"/>
        </w:rPr>
        <w:t xml:space="preserve"> </w:t>
      </w:r>
      <w:r>
        <w:t>ética</w:t>
      </w:r>
      <w:r>
        <w:rPr>
          <w:spacing w:val="-12"/>
        </w:rPr>
        <w:t xml:space="preserve"> </w:t>
      </w:r>
      <w:r>
        <w:t>y</w:t>
      </w:r>
      <w:r>
        <w:rPr>
          <w:spacing w:val="-12"/>
        </w:rPr>
        <w:t xml:space="preserve"> </w:t>
      </w:r>
      <w:r>
        <w:t>política</w:t>
      </w:r>
      <w:r>
        <w:rPr>
          <w:spacing w:val="-12"/>
        </w:rPr>
        <w:t xml:space="preserve"> </w:t>
      </w:r>
      <w:r>
        <w:t>–y</w:t>
      </w:r>
      <w:r>
        <w:rPr>
          <w:spacing w:val="-12"/>
        </w:rPr>
        <w:t xml:space="preserve"> </w:t>
      </w:r>
      <w:r>
        <w:t>en</w:t>
      </w:r>
      <w:r>
        <w:rPr>
          <w:spacing w:val="-13"/>
        </w:rPr>
        <w:t xml:space="preserve"> </w:t>
      </w:r>
      <w:r>
        <w:t>algunos</w:t>
      </w:r>
      <w:r>
        <w:rPr>
          <w:spacing w:val="-12"/>
        </w:rPr>
        <w:t xml:space="preserve"> </w:t>
      </w:r>
      <w:r>
        <w:t>casos,</w:t>
      </w:r>
      <w:r>
        <w:rPr>
          <w:spacing w:val="-12"/>
        </w:rPr>
        <w:t xml:space="preserve"> </w:t>
      </w:r>
      <w:r>
        <w:t>una</w:t>
      </w:r>
      <w:r>
        <w:rPr>
          <w:spacing w:val="-12"/>
        </w:rPr>
        <w:t xml:space="preserve"> </w:t>
      </w:r>
      <w:r>
        <w:t>responsabilidad</w:t>
      </w:r>
      <w:r>
        <w:rPr>
          <w:spacing w:val="-12"/>
        </w:rPr>
        <w:t xml:space="preserve"> </w:t>
      </w:r>
      <w:r>
        <w:t>directa–</w:t>
      </w:r>
      <w:r>
        <w:rPr>
          <w:spacing w:val="-12"/>
        </w:rPr>
        <w:t xml:space="preserve"> </w:t>
      </w:r>
      <w:r>
        <w:t>de</w:t>
      </w:r>
      <w:r>
        <w:rPr>
          <w:spacing w:val="-12"/>
        </w:rPr>
        <w:t xml:space="preserve"> </w:t>
      </w:r>
      <w:r>
        <w:t>sectores políticos (de todas las ideologías), económicos, criminales, sociales y culturales. La guerra que dejó más de nueve millones de víctimas tiene responsables directos e indirectos que deben responder por las decisiones que tomaron, pero es también una responsabilidad de todos los colombianos que hoy estamos llamados a construir una manera diferente de vivir no solo en el mismo suelo, sino también en una historia compartida.</w:t>
      </w:r>
    </w:p>
    <w:p w:rsidR="003804AC" w:rsidRDefault="00AF18A5" w:rsidP="00F9308F">
      <w:r>
        <w:t>El</w:t>
      </w:r>
      <w:r>
        <w:rPr>
          <w:spacing w:val="-10"/>
        </w:rPr>
        <w:t xml:space="preserve"> </w:t>
      </w:r>
      <w:r>
        <w:t>Informe</w:t>
      </w:r>
      <w:r>
        <w:rPr>
          <w:spacing w:val="-12"/>
        </w:rPr>
        <w:t xml:space="preserve"> </w:t>
      </w:r>
      <w:r>
        <w:t>Final</w:t>
      </w:r>
      <w:r>
        <w:rPr>
          <w:spacing w:val="-10"/>
        </w:rPr>
        <w:t xml:space="preserve"> </w:t>
      </w:r>
      <w:r>
        <w:t>de</w:t>
      </w:r>
      <w:r>
        <w:rPr>
          <w:spacing w:val="-11"/>
        </w:rPr>
        <w:t xml:space="preserve"> </w:t>
      </w:r>
      <w:r>
        <w:t>la</w:t>
      </w:r>
      <w:r>
        <w:rPr>
          <w:spacing w:val="-12"/>
        </w:rPr>
        <w:t xml:space="preserve"> </w:t>
      </w:r>
      <w:r>
        <w:t>Comisión</w:t>
      </w:r>
      <w:r>
        <w:rPr>
          <w:spacing w:val="-12"/>
        </w:rPr>
        <w:t xml:space="preserve"> </w:t>
      </w:r>
      <w:r>
        <w:t>de</w:t>
      </w:r>
      <w:r>
        <w:rPr>
          <w:spacing w:val="-12"/>
        </w:rPr>
        <w:t xml:space="preserve"> </w:t>
      </w:r>
      <w:r>
        <w:t>la</w:t>
      </w:r>
      <w:r>
        <w:rPr>
          <w:spacing w:val="-12"/>
        </w:rPr>
        <w:t xml:space="preserve"> </w:t>
      </w:r>
      <w:r>
        <w:t>Verdad</w:t>
      </w:r>
      <w:r>
        <w:rPr>
          <w:spacing w:val="-11"/>
        </w:rPr>
        <w:t xml:space="preserve"> </w:t>
      </w:r>
      <w:r>
        <w:t>contiene</w:t>
      </w:r>
      <w:r>
        <w:rPr>
          <w:spacing w:val="-11"/>
        </w:rPr>
        <w:t xml:space="preserve"> </w:t>
      </w:r>
      <w:r>
        <w:t>una</w:t>
      </w:r>
      <w:r>
        <w:rPr>
          <w:spacing w:val="-12"/>
        </w:rPr>
        <w:t xml:space="preserve"> </w:t>
      </w:r>
      <w:r>
        <w:t>parte</w:t>
      </w:r>
      <w:r>
        <w:rPr>
          <w:spacing w:val="-11"/>
        </w:rPr>
        <w:t xml:space="preserve"> </w:t>
      </w:r>
      <w:r>
        <w:t>importante</w:t>
      </w:r>
      <w:r>
        <w:rPr>
          <w:spacing w:val="-12"/>
        </w:rPr>
        <w:t xml:space="preserve"> </w:t>
      </w:r>
      <w:r>
        <w:t>de</w:t>
      </w:r>
      <w:r>
        <w:rPr>
          <w:spacing w:val="-11"/>
        </w:rPr>
        <w:t xml:space="preserve"> </w:t>
      </w:r>
      <w:r>
        <w:t>esa</w:t>
      </w:r>
      <w:r>
        <w:rPr>
          <w:spacing w:val="-11"/>
        </w:rPr>
        <w:t xml:space="preserve"> </w:t>
      </w:r>
      <w:r>
        <w:t>verdad necesaria para transitar de un pasado traumático a un porvenir civilizado, donde las diferencias</w:t>
      </w:r>
      <w:r>
        <w:rPr>
          <w:spacing w:val="-2"/>
        </w:rPr>
        <w:t xml:space="preserve"> </w:t>
      </w:r>
      <w:r>
        <w:t>se</w:t>
      </w:r>
      <w:r>
        <w:rPr>
          <w:spacing w:val="-2"/>
        </w:rPr>
        <w:t xml:space="preserve"> </w:t>
      </w:r>
      <w:r>
        <w:t>resuelvan</w:t>
      </w:r>
      <w:r>
        <w:rPr>
          <w:spacing w:val="-5"/>
        </w:rPr>
        <w:t xml:space="preserve"> </w:t>
      </w:r>
      <w:r>
        <w:t>en</w:t>
      </w:r>
      <w:r>
        <w:rPr>
          <w:spacing w:val="-2"/>
        </w:rPr>
        <w:t xml:space="preserve"> </w:t>
      </w:r>
      <w:r>
        <w:t>democracia,</w:t>
      </w:r>
      <w:r>
        <w:rPr>
          <w:spacing w:val="-2"/>
        </w:rPr>
        <w:t xml:space="preserve"> </w:t>
      </w:r>
      <w:r>
        <w:t>y</w:t>
      </w:r>
      <w:r>
        <w:rPr>
          <w:spacing w:val="-3"/>
        </w:rPr>
        <w:t xml:space="preserve"> </w:t>
      </w:r>
      <w:r>
        <w:t>se</w:t>
      </w:r>
      <w:r>
        <w:rPr>
          <w:spacing w:val="-3"/>
        </w:rPr>
        <w:t xml:space="preserve"> </w:t>
      </w:r>
      <w:r>
        <w:t>superen</w:t>
      </w:r>
      <w:r>
        <w:rPr>
          <w:spacing w:val="-3"/>
        </w:rPr>
        <w:t xml:space="preserve"> </w:t>
      </w:r>
      <w:r>
        <w:t>los</w:t>
      </w:r>
      <w:r>
        <w:rPr>
          <w:spacing w:val="-3"/>
        </w:rPr>
        <w:t xml:space="preserve"> </w:t>
      </w:r>
      <w:r>
        <w:t>factores</w:t>
      </w:r>
      <w:r>
        <w:rPr>
          <w:spacing w:val="-2"/>
        </w:rPr>
        <w:t xml:space="preserve"> </w:t>
      </w:r>
      <w:r>
        <w:t>de</w:t>
      </w:r>
      <w:r>
        <w:rPr>
          <w:spacing w:val="-2"/>
        </w:rPr>
        <w:t xml:space="preserve"> </w:t>
      </w:r>
      <w:r>
        <w:t>inequidad,</w:t>
      </w:r>
      <w:r>
        <w:rPr>
          <w:spacing w:val="-2"/>
        </w:rPr>
        <w:t xml:space="preserve"> </w:t>
      </w:r>
      <w:r>
        <w:t>corrupción</w:t>
      </w:r>
      <w:r>
        <w:rPr>
          <w:spacing w:val="-3"/>
        </w:rPr>
        <w:t xml:space="preserve"> </w:t>
      </w:r>
      <w:r>
        <w:t>e inhumanidad que nos han condenado una y otra vez a la repetición del conflicto.</w:t>
      </w:r>
    </w:p>
    <w:p w:rsidR="003804AC" w:rsidRDefault="00AF18A5" w:rsidP="00F9308F">
      <w:r>
        <w:t>El Informe consta de diez volúmenes, incluida una declaración. La declaración es el compendio de las verdades que nos interpelaron y con las que queremos, así mismo, interpelar a Colombia. El volumen de hallazgos y recomendaciones contiene esta declaración, una primera parte con la síntesis de once temas que fueron investigados en profundidad</w:t>
      </w:r>
      <w:r>
        <w:rPr>
          <w:spacing w:val="-15"/>
        </w:rPr>
        <w:t xml:space="preserve"> </w:t>
      </w:r>
      <w:r>
        <w:t>por</w:t>
      </w:r>
      <w:r>
        <w:rPr>
          <w:spacing w:val="-13"/>
        </w:rPr>
        <w:t xml:space="preserve"> </w:t>
      </w:r>
      <w:r>
        <w:t>la</w:t>
      </w:r>
      <w:r>
        <w:rPr>
          <w:spacing w:val="-13"/>
        </w:rPr>
        <w:t xml:space="preserve"> </w:t>
      </w:r>
      <w:r>
        <w:t>Comisión,</w:t>
      </w:r>
      <w:r>
        <w:rPr>
          <w:spacing w:val="-13"/>
        </w:rPr>
        <w:t xml:space="preserve"> </w:t>
      </w:r>
      <w:r>
        <w:t>muchos</w:t>
      </w:r>
      <w:r>
        <w:rPr>
          <w:spacing w:val="-15"/>
        </w:rPr>
        <w:t xml:space="preserve"> </w:t>
      </w:r>
      <w:r>
        <w:t>de</w:t>
      </w:r>
      <w:r>
        <w:rPr>
          <w:spacing w:val="-13"/>
        </w:rPr>
        <w:t xml:space="preserve"> </w:t>
      </w:r>
      <w:r>
        <w:t>ellos</w:t>
      </w:r>
      <w:r>
        <w:rPr>
          <w:spacing w:val="-13"/>
        </w:rPr>
        <w:t xml:space="preserve"> </w:t>
      </w:r>
      <w:r>
        <w:t>ampliamente</w:t>
      </w:r>
      <w:r>
        <w:rPr>
          <w:spacing w:val="-14"/>
        </w:rPr>
        <w:t xml:space="preserve"> </w:t>
      </w:r>
      <w:r>
        <w:t>sustanciados</w:t>
      </w:r>
      <w:r>
        <w:rPr>
          <w:spacing w:val="-13"/>
        </w:rPr>
        <w:t xml:space="preserve"> </w:t>
      </w:r>
      <w:r>
        <w:t>en</w:t>
      </w:r>
      <w:r>
        <w:rPr>
          <w:spacing w:val="-14"/>
        </w:rPr>
        <w:t xml:space="preserve"> </w:t>
      </w:r>
      <w:r>
        <w:t>otros</w:t>
      </w:r>
      <w:r>
        <w:rPr>
          <w:spacing w:val="-13"/>
        </w:rPr>
        <w:t xml:space="preserve"> </w:t>
      </w:r>
      <w:r>
        <w:t>volúmenes de</w:t>
      </w:r>
      <w:r>
        <w:rPr>
          <w:spacing w:val="-13"/>
        </w:rPr>
        <w:t xml:space="preserve"> </w:t>
      </w:r>
      <w:r>
        <w:t>este</w:t>
      </w:r>
      <w:r>
        <w:rPr>
          <w:spacing w:val="-13"/>
        </w:rPr>
        <w:t xml:space="preserve"> </w:t>
      </w:r>
      <w:r>
        <w:t>mismo</w:t>
      </w:r>
      <w:r>
        <w:rPr>
          <w:spacing w:val="-13"/>
        </w:rPr>
        <w:t xml:space="preserve"> </w:t>
      </w:r>
      <w:r>
        <w:t>Informe</w:t>
      </w:r>
      <w:r>
        <w:rPr>
          <w:spacing w:val="-14"/>
        </w:rPr>
        <w:t xml:space="preserve"> </w:t>
      </w:r>
      <w:r>
        <w:t>y</w:t>
      </w:r>
      <w:r>
        <w:rPr>
          <w:spacing w:val="-13"/>
        </w:rPr>
        <w:t xml:space="preserve"> </w:t>
      </w:r>
      <w:r>
        <w:t>en</w:t>
      </w:r>
      <w:r>
        <w:rPr>
          <w:spacing w:val="-13"/>
        </w:rPr>
        <w:t xml:space="preserve"> </w:t>
      </w:r>
      <w:r>
        <w:t>un</w:t>
      </w:r>
      <w:r>
        <w:rPr>
          <w:spacing w:val="-13"/>
        </w:rPr>
        <w:t xml:space="preserve"> </w:t>
      </w:r>
      <w:r>
        <w:t>notable</w:t>
      </w:r>
      <w:r>
        <w:rPr>
          <w:spacing w:val="-13"/>
        </w:rPr>
        <w:t xml:space="preserve"> </w:t>
      </w:r>
      <w:r>
        <w:t>archivo</w:t>
      </w:r>
      <w:r>
        <w:rPr>
          <w:spacing w:val="-14"/>
        </w:rPr>
        <w:t xml:space="preserve"> </w:t>
      </w:r>
      <w:r>
        <w:t>de</w:t>
      </w:r>
      <w:r>
        <w:rPr>
          <w:spacing w:val="-13"/>
        </w:rPr>
        <w:t xml:space="preserve"> </w:t>
      </w:r>
      <w:r>
        <w:t>casos.</w:t>
      </w:r>
      <w:r>
        <w:rPr>
          <w:spacing w:val="-13"/>
        </w:rPr>
        <w:t xml:space="preserve"> </w:t>
      </w:r>
      <w:r>
        <w:t>Estos</w:t>
      </w:r>
      <w:r>
        <w:rPr>
          <w:spacing w:val="-13"/>
        </w:rPr>
        <w:t xml:space="preserve"> </w:t>
      </w:r>
      <w:r>
        <w:t>once</w:t>
      </w:r>
      <w:r>
        <w:rPr>
          <w:spacing w:val="-13"/>
        </w:rPr>
        <w:t xml:space="preserve"> </w:t>
      </w:r>
      <w:r>
        <w:t>documentos</w:t>
      </w:r>
      <w:r>
        <w:rPr>
          <w:spacing w:val="-13"/>
        </w:rPr>
        <w:t xml:space="preserve"> </w:t>
      </w:r>
      <w:r>
        <w:t>se</w:t>
      </w:r>
      <w:r>
        <w:rPr>
          <w:spacing w:val="-13"/>
        </w:rPr>
        <w:t xml:space="preserve"> </w:t>
      </w:r>
      <w:r>
        <w:t>presentan de</w:t>
      </w:r>
      <w:r>
        <w:rPr>
          <w:spacing w:val="-11"/>
        </w:rPr>
        <w:t xml:space="preserve"> </w:t>
      </w:r>
      <w:r>
        <w:t>manera</w:t>
      </w:r>
      <w:r>
        <w:rPr>
          <w:spacing w:val="-11"/>
        </w:rPr>
        <w:t xml:space="preserve"> </w:t>
      </w:r>
      <w:r>
        <w:t>separada,</w:t>
      </w:r>
      <w:r>
        <w:rPr>
          <w:spacing w:val="-11"/>
        </w:rPr>
        <w:t xml:space="preserve"> </w:t>
      </w:r>
      <w:r>
        <w:t>pero</w:t>
      </w:r>
      <w:r>
        <w:rPr>
          <w:spacing w:val="-11"/>
        </w:rPr>
        <w:t xml:space="preserve"> </w:t>
      </w:r>
      <w:r>
        <w:t>en</w:t>
      </w:r>
      <w:r>
        <w:rPr>
          <w:spacing w:val="-11"/>
        </w:rPr>
        <w:t xml:space="preserve"> </w:t>
      </w:r>
      <w:r>
        <w:t>realidad</w:t>
      </w:r>
      <w:r>
        <w:rPr>
          <w:spacing w:val="-12"/>
        </w:rPr>
        <w:t xml:space="preserve"> </w:t>
      </w:r>
      <w:r>
        <w:t>corresponden</w:t>
      </w:r>
      <w:r>
        <w:rPr>
          <w:spacing w:val="-11"/>
        </w:rPr>
        <w:t xml:space="preserve"> </w:t>
      </w:r>
      <w:r>
        <w:t>a</w:t>
      </w:r>
      <w:r>
        <w:rPr>
          <w:spacing w:val="-11"/>
        </w:rPr>
        <w:t xml:space="preserve"> </w:t>
      </w:r>
      <w:r>
        <w:t>una</w:t>
      </w:r>
      <w:r>
        <w:rPr>
          <w:spacing w:val="-11"/>
        </w:rPr>
        <w:t xml:space="preserve"> </w:t>
      </w:r>
      <w:r>
        <w:t>lectura</w:t>
      </w:r>
      <w:r>
        <w:rPr>
          <w:spacing w:val="-11"/>
        </w:rPr>
        <w:t xml:space="preserve"> </w:t>
      </w:r>
      <w:r>
        <w:t>sistémica</w:t>
      </w:r>
      <w:r>
        <w:rPr>
          <w:spacing w:val="-12"/>
        </w:rPr>
        <w:t xml:space="preserve"> </w:t>
      </w:r>
      <w:r>
        <w:t>de</w:t>
      </w:r>
      <w:r>
        <w:rPr>
          <w:spacing w:val="-11"/>
        </w:rPr>
        <w:t xml:space="preserve"> </w:t>
      </w:r>
      <w:r>
        <w:t>lo</w:t>
      </w:r>
      <w:r>
        <w:rPr>
          <w:spacing w:val="-11"/>
        </w:rPr>
        <w:t xml:space="preserve"> </w:t>
      </w:r>
      <w:r>
        <w:t>que</w:t>
      </w:r>
      <w:r>
        <w:rPr>
          <w:spacing w:val="-11"/>
        </w:rPr>
        <w:t xml:space="preserve"> </w:t>
      </w:r>
      <w:r>
        <w:t>han</w:t>
      </w:r>
      <w:r>
        <w:rPr>
          <w:spacing w:val="-11"/>
        </w:rPr>
        <w:t xml:space="preserve"> </w:t>
      </w:r>
      <w:r>
        <w:t>sido las dinámicas del conflicto armado interno. Desde la herida de las víctimas que nos tocan a todos como país, pasando por la democracia, los derechos humanos, las dinámicas de la guerra,</w:t>
      </w:r>
      <w:r>
        <w:rPr>
          <w:spacing w:val="50"/>
        </w:rPr>
        <w:t xml:space="preserve"> </w:t>
      </w:r>
      <w:r>
        <w:t>el</w:t>
      </w:r>
      <w:r>
        <w:rPr>
          <w:spacing w:val="51"/>
        </w:rPr>
        <w:t xml:space="preserve"> </w:t>
      </w:r>
      <w:r>
        <w:t>Estado,</w:t>
      </w:r>
      <w:r>
        <w:rPr>
          <w:spacing w:val="51"/>
        </w:rPr>
        <w:t xml:space="preserve"> </w:t>
      </w:r>
      <w:r>
        <w:t>los</w:t>
      </w:r>
      <w:r>
        <w:rPr>
          <w:spacing w:val="50"/>
        </w:rPr>
        <w:t xml:space="preserve"> </w:t>
      </w:r>
      <w:r>
        <w:t>territorios,</w:t>
      </w:r>
      <w:r>
        <w:rPr>
          <w:spacing w:val="51"/>
        </w:rPr>
        <w:t xml:space="preserve"> </w:t>
      </w:r>
      <w:r>
        <w:t>y</w:t>
      </w:r>
      <w:r>
        <w:rPr>
          <w:spacing w:val="49"/>
        </w:rPr>
        <w:t xml:space="preserve"> </w:t>
      </w:r>
      <w:r>
        <w:t>la</w:t>
      </w:r>
      <w:r>
        <w:rPr>
          <w:spacing w:val="51"/>
        </w:rPr>
        <w:t xml:space="preserve"> </w:t>
      </w:r>
      <w:r>
        <w:t>cultura.</w:t>
      </w:r>
      <w:r>
        <w:rPr>
          <w:spacing w:val="49"/>
        </w:rPr>
        <w:t xml:space="preserve"> </w:t>
      </w:r>
      <w:r>
        <w:t>También</w:t>
      </w:r>
      <w:r>
        <w:rPr>
          <w:spacing w:val="51"/>
        </w:rPr>
        <w:t xml:space="preserve"> </w:t>
      </w:r>
      <w:r>
        <w:t>damos</w:t>
      </w:r>
      <w:r>
        <w:rPr>
          <w:spacing w:val="50"/>
        </w:rPr>
        <w:t xml:space="preserve"> </w:t>
      </w:r>
      <w:r>
        <w:t>cuenta</w:t>
      </w:r>
      <w:r>
        <w:rPr>
          <w:spacing w:val="51"/>
        </w:rPr>
        <w:t xml:space="preserve"> </w:t>
      </w:r>
      <w:r>
        <w:t>de</w:t>
      </w:r>
      <w:r>
        <w:rPr>
          <w:spacing w:val="50"/>
        </w:rPr>
        <w:t xml:space="preserve"> </w:t>
      </w:r>
      <w:r>
        <w:t>lo</w:t>
      </w:r>
      <w:r>
        <w:rPr>
          <w:spacing w:val="51"/>
        </w:rPr>
        <w:t xml:space="preserve"> </w:t>
      </w:r>
      <w:r>
        <w:t>que</w:t>
      </w:r>
      <w:r>
        <w:rPr>
          <w:spacing w:val="50"/>
        </w:rPr>
        <w:t xml:space="preserve"> </w:t>
      </w:r>
      <w:r>
        <w:t>se</w:t>
      </w:r>
      <w:r>
        <w:rPr>
          <w:spacing w:val="51"/>
        </w:rPr>
        <w:t xml:space="preserve"> </w:t>
      </w:r>
      <w:r>
        <w:rPr>
          <w:spacing w:val="-5"/>
        </w:rPr>
        <w:t>ha</w:t>
      </w:r>
      <w:r w:rsidR="00106135">
        <w:rPr>
          <w:spacing w:val="-5"/>
        </w:rPr>
        <w:t xml:space="preserve"> </w:t>
      </w:r>
      <w:r>
        <w:lastRenderedPageBreak/>
        <w:t>comenzado a mover, de ese proceso de reconocimiento de las atrocidades del pasado, para cerrar las heridas y ver con esperanza los nuevos tiempos.</w:t>
      </w:r>
    </w:p>
    <w:p w:rsidR="003804AC" w:rsidRDefault="00AF18A5" w:rsidP="00F9308F">
      <w:r>
        <w:t>Una segunda parte de este volumen contiene las recomendaciones que la Comisión le propone</w:t>
      </w:r>
      <w:r>
        <w:rPr>
          <w:spacing w:val="-14"/>
        </w:rPr>
        <w:t xml:space="preserve"> </w:t>
      </w:r>
      <w:r>
        <w:t>al</w:t>
      </w:r>
      <w:r>
        <w:rPr>
          <w:spacing w:val="-14"/>
        </w:rPr>
        <w:t xml:space="preserve"> </w:t>
      </w:r>
      <w:r>
        <w:t>país,</w:t>
      </w:r>
      <w:r>
        <w:rPr>
          <w:spacing w:val="-15"/>
        </w:rPr>
        <w:t xml:space="preserve"> </w:t>
      </w:r>
      <w:r>
        <w:t>tanto</w:t>
      </w:r>
      <w:r>
        <w:rPr>
          <w:spacing w:val="-15"/>
        </w:rPr>
        <w:t xml:space="preserve"> </w:t>
      </w:r>
      <w:r>
        <w:t>al</w:t>
      </w:r>
      <w:r>
        <w:rPr>
          <w:spacing w:val="-15"/>
        </w:rPr>
        <w:t xml:space="preserve"> </w:t>
      </w:r>
      <w:r>
        <w:t>Estado</w:t>
      </w:r>
      <w:r>
        <w:rPr>
          <w:spacing w:val="-14"/>
        </w:rPr>
        <w:t xml:space="preserve"> </w:t>
      </w:r>
      <w:r>
        <w:t>como</w:t>
      </w:r>
      <w:r>
        <w:rPr>
          <w:spacing w:val="-14"/>
        </w:rPr>
        <w:t xml:space="preserve"> </w:t>
      </w:r>
      <w:r>
        <w:t>a</w:t>
      </w:r>
      <w:r>
        <w:rPr>
          <w:spacing w:val="-15"/>
        </w:rPr>
        <w:t xml:space="preserve"> </w:t>
      </w:r>
      <w:r>
        <w:t>la</w:t>
      </w:r>
      <w:r>
        <w:rPr>
          <w:spacing w:val="-14"/>
        </w:rPr>
        <w:t xml:space="preserve"> </w:t>
      </w:r>
      <w:r>
        <w:t>sociedad</w:t>
      </w:r>
      <w:r>
        <w:rPr>
          <w:spacing w:val="-14"/>
        </w:rPr>
        <w:t xml:space="preserve"> </w:t>
      </w:r>
      <w:r>
        <w:t>civil,</w:t>
      </w:r>
      <w:r>
        <w:rPr>
          <w:spacing w:val="-15"/>
        </w:rPr>
        <w:t xml:space="preserve"> </w:t>
      </w:r>
      <w:r>
        <w:t>como</w:t>
      </w:r>
      <w:r>
        <w:rPr>
          <w:spacing w:val="-14"/>
        </w:rPr>
        <w:t xml:space="preserve"> </w:t>
      </w:r>
      <w:r>
        <w:t>herramientas</w:t>
      </w:r>
      <w:r>
        <w:rPr>
          <w:spacing w:val="-14"/>
        </w:rPr>
        <w:t xml:space="preserve"> </w:t>
      </w:r>
      <w:r>
        <w:t>para</w:t>
      </w:r>
      <w:r>
        <w:rPr>
          <w:spacing w:val="-14"/>
        </w:rPr>
        <w:t xml:space="preserve"> </w:t>
      </w:r>
      <w:r>
        <w:t>profundizar la construcción de paz y para el buen vivir. Estas fueron construidas en diálogos amplios, plurales y participativos y reflejan la voz de cientos de comunidades de todo el territorio. Pueden considerarse parte del legado que deja la Comisión para alentar los cambios necesarios</w:t>
      </w:r>
      <w:r>
        <w:rPr>
          <w:spacing w:val="-1"/>
        </w:rPr>
        <w:t xml:space="preserve"> </w:t>
      </w:r>
      <w:r>
        <w:t>para</w:t>
      </w:r>
      <w:r>
        <w:rPr>
          <w:spacing w:val="-1"/>
        </w:rPr>
        <w:t xml:space="preserve"> </w:t>
      </w:r>
      <w:r>
        <w:t>no</w:t>
      </w:r>
      <w:r>
        <w:rPr>
          <w:spacing w:val="-1"/>
        </w:rPr>
        <w:t xml:space="preserve"> </w:t>
      </w:r>
      <w:r>
        <w:t>repetir</w:t>
      </w:r>
      <w:r>
        <w:rPr>
          <w:spacing w:val="-1"/>
        </w:rPr>
        <w:t xml:space="preserve"> </w:t>
      </w:r>
      <w:r>
        <w:t>el</w:t>
      </w:r>
      <w:r>
        <w:rPr>
          <w:spacing w:val="-1"/>
        </w:rPr>
        <w:t xml:space="preserve"> </w:t>
      </w:r>
      <w:r>
        <w:t>pasado.</w:t>
      </w:r>
      <w:r>
        <w:rPr>
          <w:spacing w:val="-3"/>
        </w:rPr>
        <w:t xml:space="preserve"> </w:t>
      </w:r>
      <w:r>
        <w:t>El</w:t>
      </w:r>
      <w:r>
        <w:rPr>
          <w:spacing w:val="-1"/>
        </w:rPr>
        <w:t xml:space="preserve"> </w:t>
      </w:r>
      <w:r>
        <w:t>seguimiento</w:t>
      </w:r>
      <w:r>
        <w:rPr>
          <w:spacing w:val="-1"/>
        </w:rPr>
        <w:t xml:space="preserve"> </w:t>
      </w:r>
      <w:r>
        <w:t>y</w:t>
      </w:r>
      <w:r>
        <w:rPr>
          <w:spacing w:val="-1"/>
        </w:rPr>
        <w:t xml:space="preserve"> </w:t>
      </w:r>
      <w:r>
        <w:t>monitoreo</w:t>
      </w:r>
      <w:r>
        <w:rPr>
          <w:spacing w:val="-1"/>
        </w:rPr>
        <w:t xml:space="preserve"> </w:t>
      </w:r>
      <w:r>
        <w:t>a</w:t>
      </w:r>
      <w:r>
        <w:rPr>
          <w:spacing w:val="-1"/>
        </w:rPr>
        <w:t xml:space="preserve"> </w:t>
      </w:r>
      <w:r>
        <w:t>la</w:t>
      </w:r>
      <w:r>
        <w:rPr>
          <w:spacing w:val="-1"/>
        </w:rPr>
        <w:t xml:space="preserve"> </w:t>
      </w:r>
      <w:r>
        <w:t>implementación</w:t>
      </w:r>
      <w:r>
        <w:rPr>
          <w:spacing w:val="-1"/>
        </w:rPr>
        <w:t xml:space="preserve"> </w:t>
      </w:r>
      <w:r>
        <w:t>a</w:t>
      </w:r>
      <w:r>
        <w:rPr>
          <w:spacing w:val="-1"/>
        </w:rPr>
        <w:t xml:space="preserve"> </w:t>
      </w:r>
      <w:r>
        <w:t>este corpus de propuestas lo realizará un comité de siete personas elegidas por los comisionados por su compromiso e idoneidad, quienes han aceptado cumplir esta misión durante los próximos siete años. Para que el trabajo de este comité tenga éxito se necesita una apropiación colectiva de las recomendaciones y una labor especial de la sociedad civil organizada para que, con su incidencia, esas recomendaciones puedan hacerse realidad.</w:t>
      </w:r>
    </w:p>
    <w:p w:rsidR="003804AC" w:rsidRDefault="00AF18A5" w:rsidP="00F9308F">
      <w:r>
        <w:t xml:space="preserve">Los demás volúmenes del Informe final no tienen una jerarquía y responden a aspectos específicos del mandato que recibimos del Acuerdo de Paz. El volumen </w:t>
      </w:r>
      <w:r>
        <w:rPr>
          <w:i/>
        </w:rPr>
        <w:t>No matarás</w:t>
      </w:r>
      <w:r>
        <w:t xml:space="preserve">, es el relato histórico de la guerra, cuya misión es ampliar el contexto de lo ocurrido durante los últimos sesenta años. El volumen </w:t>
      </w:r>
      <w:r>
        <w:rPr>
          <w:i/>
        </w:rPr>
        <w:t>Hasta la guerra tiene límites</w:t>
      </w:r>
      <w:r>
        <w:t xml:space="preserve">, presenta un exhaustivo y completo panorama de lo que han sido las violaciones de los derechos humanos; las infracciones al derecho internacional humanitario, y las responsabilidades sobre estos hechos. El volumen </w:t>
      </w:r>
      <w:r>
        <w:rPr>
          <w:i/>
        </w:rPr>
        <w:t xml:space="preserve">Colombia adentro </w:t>
      </w:r>
      <w:r>
        <w:t xml:space="preserve">está compuesto de catorce documentos que relatan específicamente que ocurrió en las regiones y con el campesinado. El </w:t>
      </w:r>
      <w:r>
        <w:lastRenderedPageBreak/>
        <w:t xml:space="preserve">volumen </w:t>
      </w:r>
      <w:r>
        <w:rPr>
          <w:i/>
        </w:rPr>
        <w:t>Sufrir la guerra</w:t>
      </w:r>
      <w:r>
        <w:rPr>
          <w:i/>
          <w:spacing w:val="-12"/>
        </w:rPr>
        <w:t xml:space="preserve"> </w:t>
      </w:r>
      <w:r>
        <w:rPr>
          <w:i/>
        </w:rPr>
        <w:t>y</w:t>
      </w:r>
      <w:r>
        <w:rPr>
          <w:i/>
          <w:spacing w:val="-12"/>
        </w:rPr>
        <w:t xml:space="preserve"> </w:t>
      </w:r>
      <w:r>
        <w:rPr>
          <w:i/>
        </w:rPr>
        <w:t>rehacer</w:t>
      </w:r>
      <w:r>
        <w:rPr>
          <w:i/>
          <w:spacing w:val="-12"/>
        </w:rPr>
        <w:t xml:space="preserve"> </w:t>
      </w:r>
      <w:r>
        <w:rPr>
          <w:i/>
        </w:rPr>
        <w:t>la</w:t>
      </w:r>
      <w:r>
        <w:rPr>
          <w:i/>
          <w:spacing w:val="-13"/>
        </w:rPr>
        <w:t xml:space="preserve"> </w:t>
      </w:r>
      <w:r>
        <w:rPr>
          <w:i/>
        </w:rPr>
        <w:t>vida</w:t>
      </w:r>
      <w:r>
        <w:rPr>
          <w:i/>
          <w:spacing w:val="-13"/>
        </w:rPr>
        <w:t xml:space="preserve"> </w:t>
      </w:r>
      <w:r>
        <w:t>revela</w:t>
      </w:r>
      <w:r>
        <w:rPr>
          <w:spacing w:val="-12"/>
        </w:rPr>
        <w:t xml:space="preserve"> </w:t>
      </w:r>
      <w:r>
        <w:t>los</w:t>
      </w:r>
      <w:r>
        <w:rPr>
          <w:spacing w:val="-13"/>
        </w:rPr>
        <w:t xml:space="preserve"> </w:t>
      </w:r>
      <w:r>
        <w:t>impactos</w:t>
      </w:r>
      <w:r>
        <w:rPr>
          <w:spacing w:val="-12"/>
        </w:rPr>
        <w:t xml:space="preserve"> </w:t>
      </w:r>
      <w:r>
        <w:t>sufridos</w:t>
      </w:r>
      <w:r>
        <w:rPr>
          <w:spacing w:val="-12"/>
        </w:rPr>
        <w:t xml:space="preserve"> </w:t>
      </w:r>
      <w:r>
        <w:t>durante</w:t>
      </w:r>
      <w:r>
        <w:rPr>
          <w:spacing w:val="-12"/>
        </w:rPr>
        <w:t xml:space="preserve"> </w:t>
      </w:r>
      <w:r>
        <w:t>la</w:t>
      </w:r>
      <w:r>
        <w:rPr>
          <w:spacing w:val="-13"/>
        </w:rPr>
        <w:t xml:space="preserve"> </w:t>
      </w:r>
      <w:r>
        <w:t>guerra</w:t>
      </w:r>
      <w:r>
        <w:rPr>
          <w:spacing w:val="-13"/>
        </w:rPr>
        <w:t xml:space="preserve"> </w:t>
      </w:r>
      <w:r>
        <w:t>por</w:t>
      </w:r>
      <w:r>
        <w:rPr>
          <w:spacing w:val="-12"/>
        </w:rPr>
        <w:t xml:space="preserve"> </w:t>
      </w:r>
      <w:r>
        <w:t>todas</w:t>
      </w:r>
      <w:r>
        <w:rPr>
          <w:spacing w:val="-12"/>
        </w:rPr>
        <w:t xml:space="preserve"> </w:t>
      </w:r>
      <w:r>
        <w:t>las</w:t>
      </w:r>
      <w:r>
        <w:rPr>
          <w:spacing w:val="-13"/>
        </w:rPr>
        <w:t xml:space="preserve"> </w:t>
      </w:r>
      <w:r>
        <w:t xml:space="preserve">víctimas, excombatientes, comunidades y la naturaleza. El volumen </w:t>
      </w:r>
      <w:r>
        <w:rPr>
          <w:i/>
        </w:rPr>
        <w:t xml:space="preserve">Cuando los pájaros no cantaban </w:t>
      </w:r>
      <w:r>
        <w:t>es</w:t>
      </w:r>
      <w:r>
        <w:rPr>
          <w:spacing w:val="-3"/>
        </w:rPr>
        <w:t xml:space="preserve"> </w:t>
      </w:r>
      <w:r>
        <w:t>netamente</w:t>
      </w:r>
      <w:r>
        <w:rPr>
          <w:spacing w:val="-3"/>
        </w:rPr>
        <w:t xml:space="preserve"> </w:t>
      </w:r>
      <w:r>
        <w:t>testimonial</w:t>
      </w:r>
      <w:r>
        <w:rPr>
          <w:spacing w:val="-3"/>
        </w:rPr>
        <w:t xml:space="preserve"> </w:t>
      </w:r>
      <w:r>
        <w:t>y</w:t>
      </w:r>
      <w:r>
        <w:rPr>
          <w:spacing w:val="-3"/>
        </w:rPr>
        <w:t xml:space="preserve"> </w:t>
      </w:r>
      <w:r>
        <w:t>coral.</w:t>
      </w:r>
      <w:r>
        <w:rPr>
          <w:spacing w:val="-3"/>
        </w:rPr>
        <w:t xml:space="preserve"> </w:t>
      </w:r>
      <w:r>
        <w:t>Es</w:t>
      </w:r>
      <w:r>
        <w:rPr>
          <w:spacing w:val="-3"/>
        </w:rPr>
        <w:t xml:space="preserve"> </w:t>
      </w:r>
      <w:r>
        <w:t>una</w:t>
      </w:r>
      <w:r>
        <w:rPr>
          <w:spacing w:val="-3"/>
        </w:rPr>
        <w:t xml:space="preserve"> </w:t>
      </w:r>
      <w:r>
        <w:t>curaduría</w:t>
      </w:r>
      <w:r>
        <w:rPr>
          <w:spacing w:val="-3"/>
        </w:rPr>
        <w:t xml:space="preserve"> </w:t>
      </w:r>
      <w:r>
        <w:t>de</w:t>
      </w:r>
      <w:r>
        <w:rPr>
          <w:spacing w:val="-3"/>
        </w:rPr>
        <w:t xml:space="preserve"> </w:t>
      </w:r>
      <w:r>
        <w:t>voces</w:t>
      </w:r>
      <w:r>
        <w:rPr>
          <w:spacing w:val="-3"/>
        </w:rPr>
        <w:t xml:space="preserve"> </w:t>
      </w:r>
      <w:r>
        <w:t>que</w:t>
      </w:r>
      <w:r>
        <w:rPr>
          <w:spacing w:val="-3"/>
        </w:rPr>
        <w:t xml:space="preserve"> </w:t>
      </w:r>
      <w:r>
        <w:t>van</w:t>
      </w:r>
      <w:r>
        <w:rPr>
          <w:spacing w:val="-3"/>
        </w:rPr>
        <w:t xml:space="preserve"> </w:t>
      </w:r>
      <w:r>
        <w:t>del</w:t>
      </w:r>
      <w:r>
        <w:rPr>
          <w:spacing w:val="-3"/>
        </w:rPr>
        <w:t xml:space="preserve"> </w:t>
      </w:r>
      <w:r>
        <w:t>pasado,</w:t>
      </w:r>
      <w:r>
        <w:rPr>
          <w:spacing w:val="-3"/>
        </w:rPr>
        <w:t xml:space="preserve"> </w:t>
      </w:r>
      <w:r>
        <w:t>al</w:t>
      </w:r>
      <w:r>
        <w:rPr>
          <w:spacing w:val="-3"/>
        </w:rPr>
        <w:t xml:space="preserve"> </w:t>
      </w:r>
      <w:r>
        <w:t>porvenir, pasando por el presente. Hay cuatro volúmenes cuyo aporte específico es hacer visibles los impactos que tuvo el conflicto en sectores y grupos humanos que sufrieron de manera diferenciada</w:t>
      </w:r>
      <w:r>
        <w:rPr>
          <w:spacing w:val="-8"/>
        </w:rPr>
        <w:t xml:space="preserve"> </w:t>
      </w:r>
      <w:r>
        <w:t>la</w:t>
      </w:r>
      <w:r>
        <w:rPr>
          <w:spacing w:val="-7"/>
        </w:rPr>
        <w:t xml:space="preserve"> </w:t>
      </w:r>
      <w:r>
        <w:t>guerra</w:t>
      </w:r>
      <w:r>
        <w:rPr>
          <w:spacing w:val="-7"/>
        </w:rPr>
        <w:t xml:space="preserve"> </w:t>
      </w:r>
      <w:r>
        <w:t>y</w:t>
      </w:r>
      <w:r>
        <w:rPr>
          <w:spacing w:val="-8"/>
        </w:rPr>
        <w:t xml:space="preserve"> </w:t>
      </w:r>
      <w:r>
        <w:t>que</w:t>
      </w:r>
      <w:r>
        <w:rPr>
          <w:spacing w:val="-7"/>
        </w:rPr>
        <w:t xml:space="preserve"> </w:t>
      </w:r>
      <w:r>
        <w:t>suelen</w:t>
      </w:r>
      <w:r>
        <w:rPr>
          <w:spacing w:val="-7"/>
        </w:rPr>
        <w:t xml:space="preserve"> </w:t>
      </w:r>
      <w:r>
        <w:t>ser</w:t>
      </w:r>
      <w:r>
        <w:rPr>
          <w:spacing w:val="-7"/>
        </w:rPr>
        <w:t xml:space="preserve"> </w:t>
      </w:r>
      <w:r>
        <w:t>poco</w:t>
      </w:r>
      <w:r>
        <w:rPr>
          <w:spacing w:val="-7"/>
        </w:rPr>
        <w:t xml:space="preserve"> </w:t>
      </w:r>
      <w:r>
        <w:t>visibles</w:t>
      </w:r>
      <w:r>
        <w:rPr>
          <w:spacing w:val="-7"/>
        </w:rPr>
        <w:t xml:space="preserve"> </w:t>
      </w:r>
      <w:r>
        <w:t>en</w:t>
      </w:r>
      <w:r>
        <w:rPr>
          <w:spacing w:val="-7"/>
        </w:rPr>
        <w:t xml:space="preserve"> </w:t>
      </w:r>
      <w:r>
        <w:t>las</w:t>
      </w:r>
      <w:r>
        <w:rPr>
          <w:spacing w:val="-7"/>
        </w:rPr>
        <w:t xml:space="preserve"> </w:t>
      </w:r>
      <w:r>
        <w:t>políticas</w:t>
      </w:r>
      <w:r>
        <w:rPr>
          <w:spacing w:val="-7"/>
        </w:rPr>
        <w:t xml:space="preserve"> </w:t>
      </w:r>
      <w:r>
        <w:t>públicas,</w:t>
      </w:r>
      <w:r>
        <w:rPr>
          <w:spacing w:val="-7"/>
        </w:rPr>
        <w:t xml:space="preserve"> </w:t>
      </w:r>
      <w:r>
        <w:t>incluso</w:t>
      </w:r>
      <w:r>
        <w:rPr>
          <w:spacing w:val="-9"/>
        </w:rPr>
        <w:t xml:space="preserve"> </w:t>
      </w:r>
      <w:r>
        <w:t>las</w:t>
      </w:r>
      <w:r>
        <w:rPr>
          <w:spacing w:val="-7"/>
        </w:rPr>
        <w:t xml:space="preserve"> </w:t>
      </w:r>
      <w:r>
        <w:t>que se</w:t>
      </w:r>
      <w:r>
        <w:rPr>
          <w:spacing w:val="-12"/>
        </w:rPr>
        <w:t xml:space="preserve"> </w:t>
      </w:r>
      <w:r>
        <w:t>diseñan</w:t>
      </w:r>
      <w:r>
        <w:rPr>
          <w:spacing w:val="-12"/>
        </w:rPr>
        <w:t xml:space="preserve"> </w:t>
      </w:r>
      <w:r>
        <w:t>para</w:t>
      </w:r>
      <w:r>
        <w:rPr>
          <w:spacing w:val="-13"/>
        </w:rPr>
        <w:t xml:space="preserve"> </w:t>
      </w:r>
      <w:r>
        <w:t>implementar</w:t>
      </w:r>
      <w:r>
        <w:rPr>
          <w:spacing w:val="-13"/>
        </w:rPr>
        <w:t xml:space="preserve"> </w:t>
      </w:r>
      <w:r>
        <w:t>la</w:t>
      </w:r>
      <w:r>
        <w:rPr>
          <w:spacing w:val="-13"/>
        </w:rPr>
        <w:t xml:space="preserve"> </w:t>
      </w:r>
      <w:r>
        <w:t>paz.</w:t>
      </w:r>
      <w:r>
        <w:rPr>
          <w:spacing w:val="-14"/>
        </w:rPr>
        <w:t xml:space="preserve"> </w:t>
      </w:r>
      <w:r>
        <w:t>El</w:t>
      </w:r>
      <w:r>
        <w:rPr>
          <w:spacing w:val="-12"/>
        </w:rPr>
        <w:t xml:space="preserve"> </w:t>
      </w:r>
      <w:r>
        <w:t>volumen</w:t>
      </w:r>
      <w:r>
        <w:rPr>
          <w:spacing w:val="-13"/>
        </w:rPr>
        <w:t xml:space="preserve"> </w:t>
      </w:r>
      <w:r>
        <w:t>étnico</w:t>
      </w:r>
      <w:r>
        <w:rPr>
          <w:spacing w:val="-13"/>
        </w:rPr>
        <w:t xml:space="preserve"> </w:t>
      </w:r>
      <w:r>
        <w:t>es</w:t>
      </w:r>
      <w:r>
        <w:rPr>
          <w:spacing w:val="-13"/>
        </w:rPr>
        <w:t xml:space="preserve"> </w:t>
      </w:r>
      <w:r>
        <w:t>un</w:t>
      </w:r>
      <w:r>
        <w:rPr>
          <w:spacing w:val="-13"/>
        </w:rPr>
        <w:t xml:space="preserve"> </w:t>
      </w:r>
      <w:r>
        <w:t>aporte</w:t>
      </w:r>
      <w:r>
        <w:rPr>
          <w:spacing w:val="-13"/>
        </w:rPr>
        <w:t xml:space="preserve"> </w:t>
      </w:r>
      <w:r>
        <w:t>a</w:t>
      </w:r>
      <w:r>
        <w:rPr>
          <w:spacing w:val="-13"/>
        </w:rPr>
        <w:t xml:space="preserve"> </w:t>
      </w:r>
      <w:r>
        <w:t>la</w:t>
      </w:r>
      <w:r>
        <w:rPr>
          <w:spacing w:val="-13"/>
        </w:rPr>
        <w:t xml:space="preserve"> </w:t>
      </w:r>
      <w:r>
        <w:t>verdad</w:t>
      </w:r>
      <w:r>
        <w:rPr>
          <w:spacing w:val="-12"/>
        </w:rPr>
        <w:t xml:space="preserve"> </w:t>
      </w:r>
      <w:r>
        <w:t>de</w:t>
      </w:r>
      <w:r>
        <w:rPr>
          <w:spacing w:val="-12"/>
        </w:rPr>
        <w:t xml:space="preserve"> </w:t>
      </w:r>
      <w:r>
        <w:t>los</w:t>
      </w:r>
      <w:r>
        <w:rPr>
          <w:spacing w:val="-13"/>
        </w:rPr>
        <w:t xml:space="preserve"> </w:t>
      </w:r>
      <w:r>
        <w:t>pueblos indígenas,</w:t>
      </w:r>
      <w:r>
        <w:rPr>
          <w:spacing w:val="-6"/>
        </w:rPr>
        <w:t xml:space="preserve"> </w:t>
      </w:r>
      <w:r>
        <w:t>afrodescendientes,</w:t>
      </w:r>
      <w:r>
        <w:rPr>
          <w:spacing w:val="-6"/>
        </w:rPr>
        <w:t xml:space="preserve"> </w:t>
      </w:r>
      <w:r>
        <w:t>negros,</w:t>
      </w:r>
      <w:r>
        <w:rPr>
          <w:spacing w:val="-8"/>
        </w:rPr>
        <w:t xml:space="preserve"> </w:t>
      </w:r>
      <w:r>
        <w:t>raizales,</w:t>
      </w:r>
      <w:r>
        <w:rPr>
          <w:spacing w:val="-7"/>
        </w:rPr>
        <w:t xml:space="preserve"> </w:t>
      </w:r>
      <w:r>
        <w:t>palenqueros</w:t>
      </w:r>
      <w:r>
        <w:rPr>
          <w:spacing w:val="-6"/>
        </w:rPr>
        <w:t xml:space="preserve"> </w:t>
      </w:r>
      <w:r>
        <w:t>y</w:t>
      </w:r>
      <w:r>
        <w:rPr>
          <w:spacing w:val="-7"/>
        </w:rPr>
        <w:t xml:space="preserve"> </w:t>
      </w:r>
      <w:proofErr w:type="spellStart"/>
      <w:r>
        <w:t>rrom</w:t>
      </w:r>
      <w:proofErr w:type="spellEnd"/>
      <w:r>
        <w:t>,</w:t>
      </w:r>
      <w:r>
        <w:rPr>
          <w:spacing w:val="-6"/>
        </w:rPr>
        <w:t xml:space="preserve"> </w:t>
      </w:r>
      <w:r>
        <w:t>y</w:t>
      </w:r>
      <w:r>
        <w:rPr>
          <w:spacing w:val="-6"/>
        </w:rPr>
        <w:t xml:space="preserve"> </w:t>
      </w:r>
      <w:r>
        <w:t>se</w:t>
      </w:r>
      <w:r>
        <w:rPr>
          <w:spacing w:val="-7"/>
        </w:rPr>
        <w:t xml:space="preserve"> </w:t>
      </w:r>
      <w:r>
        <w:t>ocupa</w:t>
      </w:r>
      <w:r>
        <w:rPr>
          <w:spacing w:val="-6"/>
        </w:rPr>
        <w:t xml:space="preserve"> </w:t>
      </w:r>
      <w:r>
        <w:t>de</w:t>
      </w:r>
      <w:r>
        <w:rPr>
          <w:spacing w:val="-6"/>
        </w:rPr>
        <w:t xml:space="preserve"> </w:t>
      </w:r>
      <w:r>
        <w:t>lo</w:t>
      </w:r>
      <w:r>
        <w:rPr>
          <w:spacing w:val="-5"/>
        </w:rPr>
        <w:t xml:space="preserve"> </w:t>
      </w:r>
      <w:r>
        <w:rPr>
          <w:spacing w:val="-2"/>
        </w:rPr>
        <w:t>ocurrido</w:t>
      </w:r>
    </w:p>
    <w:p w:rsidR="003804AC" w:rsidRDefault="00AF18A5" w:rsidP="00F9308F">
      <w:r>
        <w:t xml:space="preserve">durante el conflicto armado interno en clave histórica. El volumen </w:t>
      </w:r>
      <w:r>
        <w:rPr>
          <w:i/>
        </w:rPr>
        <w:t xml:space="preserve">Mi cuerpo es mi verdad </w:t>
      </w:r>
      <w:r>
        <w:t xml:space="preserve">hace visible la experiencia de las mujeres y de las personas LGTBIQ+ en los distintos momentos de la guerra y, en particular, las violencias sexuales enfrentadas. El volumen </w:t>
      </w:r>
      <w:r>
        <w:rPr>
          <w:i/>
        </w:rPr>
        <w:t xml:space="preserve">No es un mal menor </w:t>
      </w:r>
      <w:r>
        <w:t xml:space="preserve">recoge la experiencia de los niños, niñas y adolescentes. El volumen </w:t>
      </w:r>
      <w:r>
        <w:rPr>
          <w:i/>
        </w:rPr>
        <w:t xml:space="preserve">la Colombia fuera de Colombia </w:t>
      </w:r>
      <w:r>
        <w:t>es un trabajo pionero en hacer visible al millón de personas exiliadas en virtud del conflicto armado interno.</w:t>
      </w:r>
    </w:p>
    <w:p w:rsidR="003804AC" w:rsidRDefault="00AF18A5" w:rsidP="00F9308F">
      <w:r>
        <w:t>Estos volúmenes no agotan la noción de Informe Final. Este no pretende ser un ejercicio académico para engrosar las bibliotecas sino un ejercicio vivo, un proceso social, político y cultural de debate democrático sobre el pasado y la transformación del presente, sin pretensión</w:t>
      </w:r>
      <w:r>
        <w:rPr>
          <w:spacing w:val="-7"/>
        </w:rPr>
        <w:t xml:space="preserve"> </w:t>
      </w:r>
      <w:r>
        <w:t>de</w:t>
      </w:r>
      <w:r>
        <w:rPr>
          <w:spacing w:val="-7"/>
        </w:rPr>
        <w:t xml:space="preserve"> </w:t>
      </w:r>
      <w:r>
        <w:t>convertir</w:t>
      </w:r>
      <w:r>
        <w:rPr>
          <w:spacing w:val="-7"/>
        </w:rPr>
        <w:t xml:space="preserve"> </w:t>
      </w:r>
      <w:r>
        <w:t>estos</w:t>
      </w:r>
      <w:r>
        <w:rPr>
          <w:spacing w:val="-7"/>
        </w:rPr>
        <w:t xml:space="preserve"> </w:t>
      </w:r>
      <w:r>
        <w:t>textos</w:t>
      </w:r>
      <w:r>
        <w:rPr>
          <w:spacing w:val="-7"/>
        </w:rPr>
        <w:t xml:space="preserve"> </w:t>
      </w:r>
      <w:r>
        <w:t>en</w:t>
      </w:r>
      <w:r>
        <w:rPr>
          <w:spacing w:val="-7"/>
        </w:rPr>
        <w:t xml:space="preserve"> </w:t>
      </w:r>
      <w:r>
        <w:t>una</w:t>
      </w:r>
      <w:r>
        <w:rPr>
          <w:spacing w:val="-7"/>
        </w:rPr>
        <w:t xml:space="preserve"> </w:t>
      </w:r>
      <w:r>
        <w:t>«verdad</w:t>
      </w:r>
      <w:r>
        <w:rPr>
          <w:spacing w:val="-7"/>
        </w:rPr>
        <w:t xml:space="preserve"> </w:t>
      </w:r>
      <w:r>
        <w:t>oficial».</w:t>
      </w:r>
      <w:r>
        <w:rPr>
          <w:spacing w:val="-7"/>
        </w:rPr>
        <w:t xml:space="preserve"> </w:t>
      </w:r>
      <w:r>
        <w:t>Dejamos</w:t>
      </w:r>
      <w:r>
        <w:rPr>
          <w:spacing w:val="-7"/>
        </w:rPr>
        <w:t xml:space="preserve"> </w:t>
      </w:r>
      <w:r>
        <w:t>para</w:t>
      </w:r>
      <w:r>
        <w:rPr>
          <w:spacing w:val="-7"/>
        </w:rPr>
        <w:t xml:space="preserve"> </w:t>
      </w:r>
      <w:r>
        <w:t>el</w:t>
      </w:r>
      <w:r>
        <w:rPr>
          <w:spacing w:val="-7"/>
        </w:rPr>
        <w:t xml:space="preserve"> </w:t>
      </w:r>
      <w:r>
        <w:t>país</w:t>
      </w:r>
      <w:r>
        <w:rPr>
          <w:spacing w:val="-7"/>
        </w:rPr>
        <w:t xml:space="preserve"> </w:t>
      </w:r>
      <w:r>
        <w:t>el</w:t>
      </w:r>
      <w:r>
        <w:rPr>
          <w:spacing w:val="-7"/>
        </w:rPr>
        <w:t xml:space="preserve"> </w:t>
      </w:r>
      <w:r>
        <w:t>Informe como un hito importante de la reflexión sobre el pasado que hace esa sociedad que mira al futuro con esperanza.</w:t>
      </w:r>
    </w:p>
    <w:p w:rsidR="003804AC" w:rsidRDefault="00AF18A5" w:rsidP="00F9308F">
      <w:r>
        <w:t xml:space="preserve">El Legado es mucho más que este informe. La Comisión deja una </w:t>
      </w:r>
      <w:r>
        <w:lastRenderedPageBreak/>
        <w:t xml:space="preserve">plataforma </w:t>
      </w:r>
      <w:proofErr w:type="spellStart"/>
      <w:r>
        <w:t>transmedia</w:t>
      </w:r>
      <w:proofErr w:type="spellEnd"/>
      <w:r>
        <w:t xml:space="preserve"> donde se incluyen los mismos contenidos escritos y otras muchas experiencias en otros lenguajes y formatos como documentales, expresiones artísticas y diálogos sociales que desarrollan y enriquecen aún más la experiencia de la verdad. Cada volumen tiene su correlato digital. Pero la plataforma también es mucho más. Recoge la memoria de la Comisión: todos los reconocimientos, el diálogo social, las contribuciones públicas a la verdad. También deja para el público el más completo sistema de información sobre el conflicto armado interno que hay en Colombia. Allí reposa todo lo producido por esta institución y sus aliados.</w:t>
      </w:r>
    </w:p>
    <w:p w:rsidR="00F9308F" w:rsidRDefault="00AF18A5" w:rsidP="00F9308F">
      <w:r>
        <w:t>La</w:t>
      </w:r>
      <w:r>
        <w:rPr>
          <w:spacing w:val="-12"/>
        </w:rPr>
        <w:t xml:space="preserve"> </w:t>
      </w:r>
      <w:r>
        <w:t>Comisión</w:t>
      </w:r>
      <w:r>
        <w:rPr>
          <w:spacing w:val="-12"/>
        </w:rPr>
        <w:t xml:space="preserve"> </w:t>
      </w:r>
      <w:r>
        <w:t>de</w:t>
      </w:r>
      <w:r>
        <w:rPr>
          <w:spacing w:val="-12"/>
        </w:rPr>
        <w:t xml:space="preserve"> </w:t>
      </w:r>
      <w:r>
        <w:t>la</w:t>
      </w:r>
      <w:r>
        <w:rPr>
          <w:spacing w:val="-12"/>
        </w:rPr>
        <w:t xml:space="preserve"> </w:t>
      </w:r>
      <w:r>
        <w:t>Verdad</w:t>
      </w:r>
      <w:r>
        <w:rPr>
          <w:spacing w:val="-12"/>
        </w:rPr>
        <w:t xml:space="preserve"> </w:t>
      </w:r>
      <w:r>
        <w:t>es</w:t>
      </w:r>
      <w:r>
        <w:rPr>
          <w:spacing w:val="-12"/>
        </w:rPr>
        <w:t xml:space="preserve"> </w:t>
      </w:r>
      <w:r>
        <w:t>un</w:t>
      </w:r>
      <w:r>
        <w:rPr>
          <w:spacing w:val="-12"/>
        </w:rPr>
        <w:t xml:space="preserve"> </w:t>
      </w:r>
      <w:r>
        <w:t>acontecimiento</w:t>
      </w:r>
      <w:r>
        <w:rPr>
          <w:spacing w:val="-13"/>
        </w:rPr>
        <w:t xml:space="preserve"> </w:t>
      </w:r>
      <w:r>
        <w:t>que</w:t>
      </w:r>
      <w:r>
        <w:rPr>
          <w:spacing w:val="-12"/>
        </w:rPr>
        <w:t xml:space="preserve"> </w:t>
      </w:r>
      <w:r>
        <w:t>no</w:t>
      </w:r>
      <w:r>
        <w:rPr>
          <w:spacing w:val="-12"/>
        </w:rPr>
        <w:t xml:space="preserve"> </w:t>
      </w:r>
      <w:r>
        <w:t>finaliza</w:t>
      </w:r>
      <w:r>
        <w:rPr>
          <w:spacing w:val="-12"/>
        </w:rPr>
        <w:t xml:space="preserve"> </w:t>
      </w:r>
      <w:r>
        <w:t>con</w:t>
      </w:r>
      <w:r>
        <w:rPr>
          <w:spacing w:val="-12"/>
        </w:rPr>
        <w:t xml:space="preserve"> </w:t>
      </w:r>
      <w:r>
        <w:t>la</w:t>
      </w:r>
      <w:r>
        <w:rPr>
          <w:spacing w:val="-12"/>
        </w:rPr>
        <w:t xml:space="preserve"> </w:t>
      </w:r>
      <w:r>
        <w:t>entrega</w:t>
      </w:r>
      <w:r>
        <w:rPr>
          <w:spacing w:val="-12"/>
        </w:rPr>
        <w:t xml:space="preserve"> </w:t>
      </w:r>
      <w:r>
        <w:t>del</w:t>
      </w:r>
      <w:r>
        <w:rPr>
          <w:spacing w:val="-13"/>
        </w:rPr>
        <w:t xml:space="preserve"> </w:t>
      </w:r>
      <w:r>
        <w:t>Informe ni con el cumplimiento del mandato de la institución y de sus comisionados. El acontecimiento continúa, porque la verdad es una construcción colectiva, plural, histórica, conflictiva</w:t>
      </w:r>
      <w:r>
        <w:rPr>
          <w:spacing w:val="-3"/>
        </w:rPr>
        <w:t xml:space="preserve"> </w:t>
      </w:r>
      <w:r>
        <w:t>y</w:t>
      </w:r>
      <w:r>
        <w:rPr>
          <w:spacing w:val="-5"/>
        </w:rPr>
        <w:t xml:space="preserve"> </w:t>
      </w:r>
      <w:r>
        <w:t>apasionante.</w:t>
      </w:r>
      <w:r>
        <w:rPr>
          <w:spacing w:val="-4"/>
        </w:rPr>
        <w:t xml:space="preserve"> </w:t>
      </w:r>
      <w:r>
        <w:t>La</w:t>
      </w:r>
      <w:r>
        <w:rPr>
          <w:spacing w:val="-3"/>
        </w:rPr>
        <w:t xml:space="preserve"> </w:t>
      </w:r>
      <w:r>
        <w:t>Comisión</w:t>
      </w:r>
      <w:r>
        <w:rPr>
          <w:spacing w:val="-4"/>
        </w:rPr>
        <w:t xml:space="preserve"> </w:t>
      </w:r>
      <w:r>
        <w:t>de</w:t>
      </w:r>
      <w:r>
        <w:rPr>
          <w:spacing w:val="-3"/>
        </w:rPr>
        <w:t xml:space="preserve"> </w:t>
      </w:r>
      <w:r>
        <w:t>la</w:t>
      </w:r>
      <w:r>
        <w:rPr>
          <w:spacing w:val="-3"/>
        </w:rPr>
        <w:t xml:space="preserve"> </w:t>
      </w:r>
      <w:r>
        <w:t>Verdad</w:t>
      </w:r>
      <w:r>
        <w:rPr>
          <w:spacing w:val="-4"/>
        </w:rPr>
        <w:t xml:space="preserve"> </w:t>
      </w:r>
      <w:r>
        <w:t>no</w:t>
      </w:r>
      <w:r>
        <w:rPr>
          <w:spacing w:val="-4"/>
        </w:rPr>
        <w:t xml:space="preserve"> </w:t>
      </w:r>
      <w:r>
        <w:t>es</w:t>
      </w:r>
      <w:r>
        <w:rPr>
          <w:spacing w:val="-3"/>
        </w:rPr>
        <w:t xml:space="preserve"> </w:t>
      </w:r>
      <w:r>
        <w:t>un</w:t>
      </w:r>
      <w:r>
        <w:rPr>
          <w:spacing w:val="-4"/>
        </w:rPr>
        <w:t xml:space="preserve"> </w:t>
      </w:r>
      <w:r>
        <w:t>puerto</w:t>
      </w:r>
      <w:r>
        <w:rPr>
          <w:spacing w:val="-4"/>
        </w:rPr>
        <w:t xml:space="preserve"> </w:t>
      </w:r>
      <w:r>
        <w:t>de</w:t>
      </w:r>
      <w:r>
        <w:rPr>
          <w:spacing w:val="-3"/>
        </w:rPr>
        <w:t xml:space="preserve"> </w:t>
      </w:r>
      <w:r>
        <w:t>llegada,</w:t>
      </w:r>
      <w:r>
        <w:rPr>
          <w:spacing w:val="-4"/>
        </w:rPr>
        <w:t xml:space="preserve"> </w:t>
      </w:r>
      <w:r>
        <w:t>sino</w:t>
      </w:r>
      <w:r>
        <w:rPr>
          <w:spacing w:val="-5"/>
        </w:rPr>
        <w:t xml:space="preserve"> </w:t>
      </w:r>
      <w:r>
        <w:t>uno</w:t>
      </w:r>
      <w:r>
        <w:rPr>
          <w:spacing w:val="-4"/>
        </w:rPr>
        <w:t xml:space="preserve"> </w:t>
      </w:r>
      <w:r>
        <w:t xml:space="preserve">de salida, para un viaje que lleve a la transformación que se necesita, para que ese </w:t>
      </w:r>
      <w:r>
        <w:rPr>
          <w:i/>
        </w:rPr>
        <w:t>Nunca más</w:t>
      </w:r>
      <w:r>
        <w:t>, no sea un deseo bien intencionado sino una política y compromiso nacional. Dejamos pues nuestro</w:t>
      </w:r>
      <w:r>
        <w:rPr>
          <w:spacing w:val="-4"/>
        </w:rPr>
        <w:t xml:space="preserve"> </w:t>
      </w:r>
      <w:r>
        <w:t>aporte</w:t>
      </w:r>
      <w:r>
        <w:rPr>
          <w:spacing w:val="-3"/>
        </w:rPr>
        <w:t xml:space="preserve"> </w:t>
      </w:r>
      <w:r>
        <w:t>para</w:t>
      </w:r>
      <w:r>
        <w:rPr>
          <w:spacing w:val="-3"/>
        </w:rPr>
        <w:t xml:space="preserve"> </w:t>
      </w:r>
      <w:r>
        <w:t>que</w:t>
      </w:r>
      <w:r>
        <w:rPr>
          <w:spacing w:val="-3"/>
        </w:rPr>
        <w:t xml:space="preserve"> </w:t>
      </w:r>
      <w:r>
        <w:t>el</w:t>
      </w:r>
      <w:r>
        <w:rPr>
          <w:spacing w:val="-3"/>
        </w:rPr>
        <w:t xml:space="preserve"> </w:t>
      </w:r>
      <w:r>
        <w:t>proceso</w:t>
      </w:r>
      <w:r>
        <w:rPr>
          <w:spacing w:val="-4"/>
        </w:rPr>
        <w:t xml:space="preserve"> </w:t>
      </w:r>
      <w:r>
        <w:t>continúe</w:t>
      </w:r>
      <w:r>
        <w:rPr>
          <w:spacing w:val="-3"/>
        </w:rPr>
        <w:t xml:space="preserve"> </w:t>
      </w:r>
      <w:r>
        <w:t>y</w:t>
      </w:r>
      <w:r>
        <w:rPr>
          <w:spacing w:val="-4"/>
        </w:rPr>
        <w:t xml:space="preserve"> </w:t>
      </w:r>
      <w:r>
        <w:t>se</w:t>
      </w:r>
      <w:r>
        <w:rPr>
          <w:spacing w:val="-3"/>
        </w:rPr>
        <w:t xml:space="preserve"> </w:t>
      </w:r>
      <w:r>
        <w:t>lo</w:t>
      </w:r>
      <w:r>
        <w:rPr>
          <w:spacing w:val="-4"/>
        </w:rPr>
        <w:t xml:space="preserve"> </w:t>
      </w:r>
      <w:r>
        <w:t>apropien</w:t>
      </w:r>
      <w:r>
        <w:rPr>
          <w:spacing w:val="-4"/>
        </w:rPr>
        <w:t xml:space="preserve"> </w:t>
      </w:r>
      <w:r>
        <w:t>esta</w:t>
      </w:r>
      <w:r>
        <w:rPr>
          <w:spacing w:val="-3"/>
        </w:rPr>
        <w:t xml:space="preserve"> </w:t>
      </w:r>
      <w:r>
        <w:t>generación</w:t>
      </w:r>
      <w:r>
        <w:rPr>
          <w:spacing w:val="-4"/>
        </w:rPr>
        <w:t xml:space="preserve"> </w:t>
      </w:r>
      <w:r>
        <w:t>y</w:t>
      </w:r>
      <w:r>
        <w:rPr>
          <w:spacing w:val="-4"/>
        </w:rPr>
        <w:t xml:space="preserve"> </w:t>
      </w:r>
      <w:r>
        <w:t>las</w:t>
      </w:r>
      <w:r>
        <w:rPr>
          <w:spacing w:val="-3"/>
        </w:rPr>
        <w:t xml:space="preserve"> </w:t>
      </w:r>
      <w:r>
        <w:t>venideras. Este</w:t>
      </w:r>
      <w:r>
        <w:rPr>
          <w:spacing w:val="4"/>
        </w:rPr>
        <w:t xml:space="preserve"> </w:t>
      </w:r>
      <w:r>
        <w:t>es</w:t>
      </w:r>
      <w:r>
        <w:rPr>
          <w:spacing w:val="5"/>
        </w:rPr>
        <w:t xml:space="preserve"> </w:t>
      </w:r>
      <w:r>
        <w:t>el</w:t>
      </w:r>
      <w:r>
        <w:rPr>
          <w:spacing w:val="7"/>
        </w:rPr>
        <w:t xml:space="preserve"> </w:t>
      </w:r>
      <w:r>
        <w:t>grano</w:t>
      </w:r>
      <w:r>
        <w:rPr>
          <w:spacing w:val="6"/>
        </w:rPr>
        <w:t xml:space="preserve"> </w:t>
      </w:r>
      <w:r>
        <w:t>de</w:t>
      </w:r>
      <w:r>
        <w:rPr>
          <w:spacing w:val="5"/>
        </w:rPr>
        <w:t xml:space="preserve"> </w:t>
      </w:r>
      <w:r>
        <w:t>arena</w:t>
      </w:r>
      <w:r>
        <w:rPr>
          <w:spacing w:val="6"/>
        </w:rPr>
        <w:t xml:space="preserve"> </w:t>
      </w:r>
      <w:r>
        <w:t>que</w:t>
      </w:r>
      <w:r>
        <w:rPr>
          <w:spacing w:val="6"/>
        </w:rPr>
        <w:t xml:space="preserve"> </w:t>
      </w:r>
      <w:r>
        <w:t>la</w:t>
      </w:r>
      <w:r>
        <w:rPr>
          <w:spacing w:val="6"/>
        </w:rPr>
        <w:t xml:space="preserve"> </w:t>
      </w:r>
      <w:r>
        <w:t>Comisión</w:t>
      </w:r>
      <w:r>
        <w:rPr>
          <w:spacing w:val="7"/>
        </w:rPr>
        <w:t xml:space="preserve"> </w:t>
      </w:r>
      <w:r>
        <w:t>y</w:t>
      </w:r>
      <w:r>
        <w:rPr>
          <w:spacing w:val="5"/>
        </w:rPr>
        <w:t xml:space="preserve"> </w:t>
      </w:r>
      <w:r>
        <w:t>todo</w:t>
      </w:r>
      <w:r>
        <w:rPr>
          <w:spacing w:val="3"/>
        </w:rPr>
        <w:t xml:space="preserve"> </w:t>
      </w:r>
      <w:r>
        <w:t>su</w:t>
      </w:r>
      <w:r>
        <w:rPr>
          <w:spacing w:val="7"/>
        </w:rPr>
        <w:t xml:space="preserve"> </w:t>
      </w:r>
      <w:r>
        <w:t>equipo</w:t>
      </w:r>
      <w:r>
        <w:rPr>
          <w:spacing w:val="5"/>
        </w:rPr>
        <w:t xml:space="preserve"> </w:t>
      </w:r>
      <w:r>
        <w:t>de</w:t>
      </w:r>
      <w:r>
        <w:rPr>
          <w:spacing w:val="5"/>
        </w:rPr>
        <w:t xml:space="preserve"> </w:t>
      </w:r>
      <w:r>
        <w:t>trabajo</w:t>
      </w:r>
      <w:r>
        <w:rPr>
          <w:spacing w:val="6"/>
        </w:rPr>
        <w:t xml:space="preserve"> </w:t>
      </w:r>
      <w:r>
        <w:t>entregamos</w:t>
      </w:r>
      <w:r>
        <w:rPr>
          <w:spacing w:val="5"/>
        </w:rPr>
        <w:t xml:space="preserve"> </w:t>
      </w:r>
      <w:r>
        <w:t>para</w:t>
      </w:r>
      <w:r>
        <w:rPr>
          <w:spacing w:val="6"/>
        </w:rPr>
        <w:t xml:space="preserve"> </w:t>
      </w:r>
      <w:r>
        <w:rPr>
          <w:spacing w:val="-5"/>
        </w:rPr>
        <w:t>que</w:t>
      </w:r>
      <w:r w:rsidR="00377657">
        <w:t xml:space="preserve"> </w:t>
      </w:r>
      <w:r>
        <w:t>nuestros</w:t>
      </w:r>
      <w:r>
        <w:rPr>
          <w:spacing w:val="-6"/>
        </w:rPr>
        <w:t xml:space="preserve"> </w:t>
      </w:r>
      <w:r>
        <w:t>hijos,</w:t>
      </w:r>
      <w:r>
        <w:rPr>
          <w:spacing w:val="-6"/>
        </w:rPr>
        <w:t xml:space="preserve"> </w:t>
      </w:r>
      <w:r>
        <w:t>nietos</w:t>
      </w:r>
      <w:r>
        <w:rPr>
          <w:spacing w:val="-6"/>
        </w:rPr>
        <w:t xml:space="preserve"> </w:t>
      </w:r>
      <w:r>
        <w:t>y</w:t>
      </w:r>
      <w:r>
        <w:rPr>
          <w:spacing w:val="-7"/>
        </w:rPr>
        <w:t xml:space="preserve"> </w:t>
      </w:r>
      <w:r>
        <w:t>todas</w:t>
      </w:r>
      <w:r>
        <w:rPr>
          <w:spacing w:val="-6"/>
        </w:rPr>
        <w:t xml:space="preserve"> </w:t>
      </w:r>
      <w:r>
        <w:t>las</w:t>
      </w:r>
      <w:r>
        <w:rPr>
          <w:spacing w:val="-7"/>
        </w:rPr>
        <w:t xml:space="preserve"> </w:t>
      </w:r>
      <w:r>
        <w:t>futuras</w:t>
      </w:r>
      <w:r>
        <w:rPr>
          <w:spacing w:val="-6"/>
        </w:rPr>
        <w:t xml:space="preserve"> </w:t>
      </w:r>
      <w:r>
        <w:t>generaciones</w:t>
      </w:r>
      <w:r>
        <w:rPr>
          <w:spacing w:val="-6"/>
        </w:rPr>
        <w:t xml:space="preserve"> </w:t>
      </w:r>
      <w:r>
        <w:t>no</w:t>
      </w:r>
      <w:r>
        <w:rPr>
          <w:spacing w:val="-6"/>
        </w:rPr>
        <w:t xml:space="preserve"> </w:t>
      </w:r>
      <w:r>
        <w:t>repitan</w:t>
      </w:r>
      <w:r>
        <w:rPr>
          <w:spacing w:val="-6"/>
        </w:rPr>
        <w:t xml:space="preserve"> </w:t>
      </w:r>
      <w:r>
        <w:t>la</w:t>
      </w:r>
      <w:r>
        <w:rPr>
          <w:spacing w:val="-6"/>
        </w:rPr>
        <w:t xml:space="preserve"> </w:t>
      </w:r>
      <w:r>
        <w:t>historia</w:t>
      </w:r>
      <w:r>
        <w:rPr>
          <w:spacing w:val="-6"/>
        </w:rPr>
        <w:t xml:space="preserve"> </w:t>
      </w:r>
      <w:r>
        <w:t>de</w:t>
      </w:r>
      <w:r>
        <w:rPr>
          <w:spacing w:val="-6"/>
        </w:rPr>
        <w:t xml:space="preserve"> </w:t>
      </w:r>
      <w:r>
        <w:t>sangre</w:t>
      </w:r>
      <w:r>
        <w:rPr>
          <w:spacing w:val="-7"/>
        </w:rPr>
        <w:t xml:space="preserve"> </w:t>
      </w:r>
      <w:r>
        <w:t>y</w:t>
      </w:r>
      <w:r>
        <w:rPr>
          <w:spacing w:val="-6"/>
        </w:rPr>
        <w:t xml:space="preserve"> </w:t>
      </w:r>
      <w:r>
        <w:t>dolor que se nos han encargado reconstruir. Hay futuro porque ha llegado la hora de la verdad.</w:t>
      </w:r>
    </w:p>
    <w:p w:rsidR="00F9308F" w:rsidRDefault="00F9308F">
      <w:pPr>
        <w:spacing w:before="0" w:after="0" w:line="240" w:lineRule="auto"/>
      </w:pPr>
      <w:r>
        <w:br w:type="page"/>
      </w:r>
    </w:p>
    <w:p w:rsidR="003804AC" w:rsidRPr="00F9308F" w:rsidRDefault="00AF18A5" w:rsidP="004A6EF4">
      <w:pPr>
        <w:pStyle w:val="Ttulo1"/>
        <w:numPr>
          <w:ilvl w:val="0"/>
          <w:numId w:val="15"/>
        </w:numPr>
      </w:pPr>
      <w:bookmarkStart w:id="3" w:name="I._HALLAZGOS"/>
      <w:bookmarkStart w:id="4" w:name="_Toc112399519"/>
      <w:bookmarkEnd w:id="3"/>
      <w:r w:rsidRPr="00F9308F">
        <w:lastRenderedPageBreak/>
        <w:t>HALLAZGOS</w:t>
      </w:r>
      <w:bookmarkEnd w:id="4"/>
    </w:p>
    <w:p w:rsidR="0011361F" w:rsidRPr="00F9308F" w:rsidRDefault="00AF18A5" w:rsidP="004A6EF4">
      <w:pPr>
        <w:pStyle w:val="Ttulo2"/>
        <w:numPr>
          <w:ilvl w:val="0"/>
          <w:numId w:val="16"/>
        </w:numPr>
      </w:pPr>
      <w:bookmarkStart w:id="5" w:name="1._LA_COLOMBIA_HERIDA"/>
      <w:bookmarkStart w:id="6" w:name="_Toc112399520"/>
      <w:bookmarkEnd w:id="5"/>
      <w:r w:rsidRPr="00F9308F">
        <w:t>LA COLOMBIA HERIDA</w:t>
      </w:r>
      <w:bookmarkEnd w:id="6"/>
    </w:p>
    <w:p w:rsidR="0011361F" w:rsidRDefault="007B448A" w:rsidP="00951B0F">
      <w:r>
        <w:t>“</w:t>
      </w:r>
      <w:r w:rsidR="00AF18A5">
        <w:t>Pido</w:t>
      </w:r>
      <w:r w:rsidR="00AF18A5">
        <w:rPr>
          <w:spacing w:val="-3"/>
        </w:rPr>
        <w:t xml:space="preserve"> </w:t>
      </w:r>
      <w:r w:rsidR="00AF18A5">
        <w:t>la</w:t>
      </w:r>
      <w:r w:rsidR="00AF18A5">
        <w:rPr>
          <w:spacing w:val="-2"/>
        </w:rPr>
        <w:t xml:space="preserve"> </w:t>
      </w:r>
      <w:r w:rsidR="00AF18A5">
        <w:t>palabra</w:t>
      </w:r>
      <w:r w:rsidR="00AF18A5">
        <w:rPr>
          <w:spacing w:val="-3"/>
        </w:rPr>
        <w:t xml:space="preserve"> </w:t>
      </w:r>
      <w:r w:rsidR="00AF18A5">
        <w:t>a</w:t>
      </w:r>
      <w:r w:rsidR="00AF18A5">
        <w:rPr>
          <w:spacing w:val="-2"/>
        </w:rPr>
        <w:t xml:space="preserve"> </w:t>
      </w:r>
      <w:r w:rsidR="00AF18A5">
        <w:t>quien</w:t>
      </w:r>
      <w:r w:rsidR="00AF18A5">
        <w:rPr>
          <w:spacing w:val="-3"/>
        </w:rPr>
        <w:t xml:space="preserve"> </w:t>
      </w:r>
      <w:r w:rsidR="00AF18A5">
        <w:t>quiera</w:t>
      </w:r>
      <w:r w:rsidR="00AF18A5">
        <w:rPr>
          <w:spacing w:val="-3"/>
        </w:rPr>
        <w:t xml:space="preserve"> </w:t>
      </w:r>
      <w:r w:rsidR="00AF18A5">
        <w:t>escuchar,</w:t>
      </w:r>
      <w:r w:rsidR="00AF18A5">
        <w:rPr>
          <w:spacing w:val="-3"/>
        </w:rPr>
        <w:t xml:space="preserve"> </w:t>
      </w:r>
      <w:r w:rsidR="00AF18A5">
        <w:t>para</w:t>
      </w:r>
      <w:r w:rsidR="00AF18A5">
        <w:rPr>
          <w:spacing w:val="-3"/>
        </w:rPr>
        <w:t xml:space="preserve"> </w:t>
      </w:r>
      <w:r w:rsidR="00AF18A5">
        <w:t>alzar</w:t>
      </w:r>
      <w:r w:rsidR="00AF18A5">
        <w:rPr>
          <w:spacing w:val="-2"/>
        </w:rPr>
        <w:t xml:space="preserve"> </w:t>
      </w:r>
      <w:r w:rsidR="00AF18A5">
        <w:t>mi</w:t>
      </w:r>
      <w:r w:rsidR="00AF18A5">
        <w:rPr>
          <w:spacing w:val="-4"/>
        </w:rPr>
        <w:t xml:space="preserve"> </w:t>
      </w:r>
      <w:r w:rsidR="00AF18A5">
        <w:t>voz</w:t>
      </w:r>
      <w:r w:rsidR="00AF18A5">
        <w:rPr>
          <w:spacing w:val="-2"/>
        </w:rPr>
        <w:t xml:space="preserve"> </w:t>
      </w:r>
      <w:r w:rsidR="00AF18A5">
        <w:t>en</w:t>
      </w:r>
      <w:r w:rsidR="00AF18A5">
        <w:rPr>
          <w:spacing w:val="-1"/>
        </w:rPr>
        <w:t xml:space="preserve"> </w:t>
      </w:r>
      <w:r w:rsidR="00AF18A5">
        <w:t>medio</w:t>
      </w:r>
      <w:r w:rsidR="00AF18A5">
        <w:rPr>
          <w:spacing w:val="-3"/>
        </w:rPr>
        <w:t xml:space="preserve"> </w:t>
      </w:r>
      <w:r w:rsidR="00AF18A5">
        <w:t>de</w:t>
      </w:r>
      <w:r w:rsidR="00AF18A5">
        <w:rPr>
          <w:spacing w:val="-3"/>
        </w:rPr>
        <w:t xml:space="preserve"> </w:t>
      </w:r>
      <w:r w:rsidR="00AF18A5">
        <w:t>tanto</w:t>
      </w:r>
      <w:r w:rsidR="00AF18A5">
        <w:rPr>
          <w:spacing w:val="-1"/>
        </w:rPr>
        <w:t xml:space="preserve"> </w:t>
      </w:r>
      <w:r w:rsidR="00AF18A5">
        <w:t>miedo,</w:t>
      </w:r>
      <w:r w:rsidR="00AF18A5">
        <w:rPr>
          <w:spacing w:val="-3"/>
        </w:rPr>
        <w:t xml:space="preserve"> </w:t>
      </w:r>
      <w:r w:rsidR="00AF18A5">
        <w:t>miedo</w:t>
      </w:r>
      <w:r w:rsidR="00AF18A5">
        <w:rPr>
          <w:spacing w:val="-3"/>
        </w:rPr>
        <w:t xml:space="preserve"> </w:t>
      </w:r>
      <w:r w:rsidR="00AF18A5">
        <w:t>que</w:t>
      </w:r>
      <w:r w:rsidR="00AF18A5">
        <w:rPr>
          <w:spacing w:val="-3"/>
        </w:rPr>
        <w:t xml:space="preserve"> </w:t>
      </w:r>
      <w:r w:rsidR="00AF18A5">
        <w:t>llevo</w:t>
      </w:r>
      <w:r w:rsidR="00AF18A5">
        <w:rPr>
          <w:spacing w:val="-3"/>
        </w:rPr>
        <w:t xml:space="preserve"> </w:t>
      </w:r>
      <w:r w:rsidR="00AF18A5">
        <w:t>tatuado aquí en mi cuerpo, miedo a ser olvidada y olvidar. Eres como el</w:t>
      </w:r>
      <w:r w:rsidR="00AF18A5">
        <w:rPr>
          <w:spacing w:val="-1"/>
        </w:rPr>
        <w:t xml:space="preserve"> </w:t>
      </w:r>
      <w:r w:rsidR="00AF18A5">
        <w:t>viento que viene y que va, llevas un dolor profundo</w:t>
      </w:r>
      <w:r w:rsidR="00AF18A5">
        <w:rPr>
          <w:spacing w:val="-1"/>
        </w:rPr>
        <w:t xml:space="preserve"> </w:t>
      </w:r>
      <w:r w:rsidR="00AF18A5">
        <w:t>en</w:t>
      </w:r>
      <w:r w:rsidR="00AF18A5">
        <w:rPr>
          <w:spacing w:val="-1"/>
        </w:rPr>
        <w:t xml:space="preserve"> </w:t>
      </w:r>
      <w:r w:rsidR="00AF18A5">
        <w:t>tu</w:t>
      </w:r>
      <w:r w:rsidR="00AF18A5">
        <w:rPr>
          <w:spacing w:val="-3"/>
        </w:rPr>
        <w:t xml:space="preserve"> </w:t>
      </w:r>
      <w:r w:rsidR="00AF18A5">
        <w:t>vivir,</w:t>
      </w:r>
      <w:r w:rsidR="00AF18A5">
        <w:rPr>
          <w:spacing w:val="-2"/>
        </w:rPr>
        <w:t xml:space="preserve"> </w:t>
      </w:r>
      <w:r w:rsidR="00AF18A5">
        <w:t>soy</w:t>
      </w:r>
      <w:r w:rsidR="00AF18A5">
        <w:rPr>
          <w:spacing w:val="-3"/>
        </w:rPr>
        <w:t xml:space="preserve"> </w:t>
      </w:r>
      <w:r w:rsidR="00AF18A5">
        <w:t>tu</w:t>
      </w:r>
      <w:r w:rsidR="00AF18A5">
        <w:rPr>
          <w:spacing w:val="-3"/>
        </w:rPr>
        <w:t xml:space="preserve"> </w:t>
      </w:r>
      <w:r w:rsidR="00AF18A5">
        <w:t>vientre,</w:t>
      </w:r>
      <w:r w:rsidR="00AF18A5">
        <w:rPr>
          <w:spacing w:val="-3"/>
        </w:rPr>
        <w:t xml:space="preserve"> </w:t>
      </w:r>
      <w:r w:rsidR="00AF18A5">
        <w:t>soy</w:t>
      </w:r>
      <w:r w:rsidR="00AF18A5">
        <w:rPr>
          <w:spacing w:val="-1"/>
        </w:rPr>
        <w:t xml:space="preserve"> </w:t>
      </w:r>
      <w:r w:rsidR="00AF18A5">
        <w:t>tu</w:t>
      </w:r>
      <w:r w:rsidR="00AF18A5">
        <w:rPr>
          <w:spacing w:val="-1"/>
        </w:rPr>
        <w:t xml:space="preserve"> </w:t>
      </w:r>
      <w:r w:rsidR="00AF18A5">
        <w:t>arrullo,</w:t>
      </w:r>
      <w:r w:rsidR="00AF18A5">
        <w:rPr>
          <w:spacing w:val="-2"/>
        </w:rPr>
        <w:t xml:space="preserve"> </w:t>
      </w:r>
      <w:r w:rsidR="00AF18A5">
        <w:t>soy</w:t>
      </w:r>
      <w:r w:rsidR="00AF18A5">
        <w:rPr>
          <w:spacing w:val="-3"/>
        </w:rPr>
        <w:t xml:space="preserve"> </w:t>
      </w:r>
      <w:r w:rsidR="00AF18A5">
        <w:t>tu</w:t>
      </w:r>
      <w:r w:rsidR="00AF18A5">
        <w:rPr>
          <w:spacing w:val="-1"/>
        </w:rPr>
        <w:t xml:space="preserve"> </w:t>
      </w:r>
      <w:r w:rsidR="00AF18A5">
        <w:t>abrigo,</w:t>
      </w:r>
      <w:r w:rsidR="00AF18A5">
        <w:rPr>
          <w:spacing w:val="-2"/>
        </w:rPr>
        <w:t xml:space="preserve"> </w:t>
      </w:r>
      <w:r w:rsidR="00AF18A5">
        <w:t>tu</w:t>
      </w:r>
      <w:r w:rsidR="00AF18A5">
        <w:rPr>
          <w:spacing w:val="-3"/>
        </w:rPr>
        <w:t xml:space="preserve"> </w:t>
      </w:r>
      <w:r w:rsidR="00AF18A5">
        <w:t>primer</w:t>
      </w:r>
      <w:r w:rsidR="00AF18A5">
        <w:rPr>
          <w:spacing w:val="-3"/>
        </w:rPr>
        <w:t xml:space="preserve"> </w:t>
      </w:r>
      <w:r w:rsidR="00AF18A5">
        <w:t>latido,</w:t>
      </w:r>
      <w:r w:rsidR="00AF18A5">
        <w:rPr>
          <w:spacing w:val="-3"/>
        </w:rPr>
        <w:t xml:space="preserve"> </w:t>
      </w:r>
      <w:r w:rsidR="00AF18A5">
        <w:t>yo</w:t>
      </w:r>
      <w:r w:rsidR="00AF18A5">
        <w:rPr>
          <w:spacing w:val="-3"/>
        </w:rPr>
        <w:t xml:space="preserve"> </w:t>
      </w:r>
      <w:r w:rsidR="00AF18A5">
        <w:t>soy</w:t>
      </w:r>
      <w:r w:rsidR="00AF18A5">
        <w:rPr>
          <w:spacing w:val="-3"/>
        </w:rPr>
        <w:t xml:space="preserve"> </w:t>
      </w:r>
      <w:r w:rsidR="00AF18A5">
        <w:t>tu</w:t>
      </w:r>
      <w:r w:rsidR="00AF18A5">
        <w:rPr>
          <w:spacing w:val="-2"/>
        </w:rPr>
        <w:t xml:space="preserve"> </w:t>
      </w:r>
      <w:r w:rsidR="00AF18A5">
        <w:t>raíz...</w:t>
      </w:r>
      <w:r w:rsidR="00AF18A5">
        <w:rPr>
          <w:spacing w:val="-3"/>
        </w:rPr>
        <w:t xml:space="preserve"> </w:t>
      </w:r>
      <w:r w:rsidR="00AF18A5">
        <w:t>Vuelve</w:t>
      </w:r>
      <w:r w:rsidR="00AF18A5">
        <w:rPr>
          <w:spacing w:val="-3"/>
        </w:rPr>
        <w:t xml:space="preserve"> </w:t>
      </w:r>
      <w:r w:rsidR="00AF18A5">
        <w:t>a jugar con la lluvia, vuelve, para tejer conmigo un puente, un puente de esperanza</w:t>
      </w:r>
      <w:r w:rsidR="00F9308F">
        <w:rPr>
          <w:rStyle w:val="Refdenotaalpie"/>
        </w:rPr>
        <w:footnoteReference w:id="3"/>
      </w:r>
      <w:r>
        <w:t>”</w:t>
      </w:r>
    </w:p>
    <w:p w:rsidR="003804AC" w:rsidRDefault="00AF18A5" w:rsidP="008D0AE4">
      <w:r>
        <w:t>Colombia ha vivido una guerra por cerca de 60 años de la que está en el camino de salida, pero</w:t>
      </w:r>
      <w:r>
        <w:rPr>
          <w:spacing w:val="-2"/>
        </w:rPr>
        <w:t xml:space="preserve"> </w:t>
      </w:r>
      <w:r>
        <w:t>que,</w:t>
      </w:r>
      <w:r>
        <w:rPr>
          <w:spacing w:val="-2"/>
        </w:rPr>
        <w:t xml:space="preserve"> </w:t>
      </w:r>
      <w:r>
        <w:t>a</w:t>
      </w:r>
      <w:r>
        <w:rPr>
          <w:spacing w:val="-2"/>
        </w:rPr>
        <w:t xml:space="preserve"> </w:t>
      </w:r>
      <w:r>
        <w:t>pesar</w:t>
      </w:r>
      <w:r>
        <w:rPr>
          <w:spacing w:val="-2"/>
        </w:rPr>
        <w:t xml:space="preserve"> </w:t>
      </w:r>
      <w:r>
        <w:t>del</w:t>
      </w:r>
      <w:r>
        <w:rPr>
          <w:spacing w:val="-2"/>
        </w:rPr>
        <w:t xml:space="preserve"> </w:t>
      </w:r>
      <w:r>
        <w:t>Acuerdo</w:t>
      </w:r>
      <w:r>
        <w:rPr>
          <w:spacing w:val="-2"/>
        </w:rPr>
        <w:t xml:space="preserve"> </w:t>
      </w:r>
      <w:r>
        <w:t>de</w:t>
      </w:r>
      <w:r>
        <w:rPr>
          <w:spacing w:val="-2"/>
        </w:rPr>
        <w:t xml:space="preserve"> </w:t>
      </w:r>
      <w:r>
        <w:t>Paz</w:t>
      </w:r>
      <w:r>
        <w:rPr>
          <w:spacing w:val="-2"/>
        </w:rPr>
        <w:t xml:space="preserve"> </w:t>
      </w:r>
      <w:r>
        <w:t>con</w:t>
      </w:r>
      <w:r>
        <w:rPr>
          <w:spacing w:val="-2"/>
        </w:rPr>
        <w:t xml:space="preserve"> </w:t>
      </w:r>
      <w:r>
        <w:t>las</w:t>
      </w:r>
      <w:r>
        <w:rPr>
          <w:spacing w:val="-2"/>
        </w:rPr>
        <w:t xml:space="preserve"> </w:t>
      </w:r>
      <w:r>
        <w:t>FARC-EP,</w:t>
      </w:r>
      <w:r>
        <w:rPr>
          <w:spacing w:val="-2"/>
        </w:rPr>
        <w:t xml:space="preserve"> </w:t>
      </w:r>
      <w:r>
        <w:t>se</w:t>
      </w:r>
      <w:r>
        <w:rPr>
          <w:spacing w:val="-2"/>
        </w:rPr>
        <w:t xml:space="preserve"> </w:t>
      </w:r>
      <w:r>
        <w:t>niega</w:t>
      </w:r>
      <w:r>
        <w:rPr>
          <w:spacing w:val="-2"/>
        </w:rPr>
        <w:t xml:space="preserve"> </w:t>
      </w:r>
      <w:r>
        <w:t>a</w:t>
      </w:r>
      <w:r>
        <w:rPr>
          <w:spacing w:val="-2"/>
        </w:rPr>
        <w:t xml:space="preserve"> </w:t>
      </w:r>
      <w:r>
        <w:t>ser</w:t>
      </w:r>
      <w:r>
        <w:rPr>
          <w:spacing w:val="-2"/>
        </w:rPr>
        <w:t xml:space="preserve"> </w:t>
      </w:r>
      <w:r>
        <w:t>parte</w:t>
      </w:r>
      <w:r>
        <w:rPr>
          <w:spacing w:val="-2"/>
        </w:rPr>
        <w:t xml:space="preserve"> </w:t>
      </w:r>
      <w:r>
        <w:t>del</w:t>
      </w:r>
      <w:r>
        <w:rPr>
          <w:spacing w:val="-2"/>
        </w:rPr>
        <w:t xml:space="preserve"> </w:t>
      </w:r>
      <w:r>
        <w:t>pasado.</w:t>
      </w:r>
      <w:r>
        <w:rPr>
          <w:spacing w:val="-2"/>
        </w:rPr>
        <w:t xml:space="preserve"> </w:t>
      </w:r>
      <w:r>
        <w:t>Las víctimas</w:t>
      </w:r>
      <w:r>
        <w:rPr>
          <w:spacing w:val="-1"/>
        </w:rPr>
        <w:t xml:space="preserve"> </w:t>
      </w:r>
      <w:r>
        <w:t>del</w:t>
      </w:r>
      <w:r>
        <w:rPr>
          <w:spacing w:val="-2"/>
        </w:rPr>
        <w:t xml:space="preserve"> </w:t>
      </w:r>
      <w:r>
        <w:t>país</w:t>
      </w:r>
      <w:r>
        <w:rPr>
          <w:spacing w:val="-1"/>
        </w:rPr>
        <w:t xml:space="preserve"> </w:t>
      </w:r>
      <w:r>
        <w:t>y</w:t>
      </w:r>
      <w:r>
        <w:rPr>
          <w:spacing w:val="-1"/>
        </w:rPr>
        <w:t xml:space="preserve"> </w:t>
      </w:r>
      <w:r>
        <w:t>el</w:t>
      </w:r>
      <w:r>
        <w:rPr>
          <w:spacing w:val="-1"/>
        </w:rPr>
        <w:t xml:space="preserve"> </w:t>
      </w:r>
      <w:r>
        <w:t>propio</w:t>
      </w:r>
      <w:r>
        <w:rPr>
          <w:spacing w:val="-1"/>
        </w:rPr>
        <w:t xml:space="preserve"> </w:t>
      </w:r>
      <w:r>
        <w:t>trabajo</w:t>
      </w:r>
      <w:r>
        <w:rPr>
          <w:spacing w:val="-2"/>
        </w:rPr>
        <w:t xml:space="preserve"> </w:t>
      </w:r>
      <w:r>
        <w:t>de</w:t>
      </w:r>
      <w:r>
        <w:rPr>
          <w:spacing w:val="-1"/>
        </w:rPr>
        <w:t xml:space="preserve"> </w:t>
      </w:r>
      <w:r>
        <w:t>la</w:t>
      </w:r>
      <w:r>
        <w:rPr>
          <w:spacing w:val="-1"/>
        </w:rPr>
        <w:t xml:space="preserve"> </w:t>
      </w:r>
      <w:r>
        <w:t>Comisión</w:t>
      </w:r>
      <w:r>
        <w:rPr>
          <w:spacing w:val="-1"/>
        </w:rPr>
        <w:t xml:space="preserve"> </w:t>
      </w:r>
      <w:r>
        <w:t>reivindican</w:t>
      </w:r>
      <w:r>
        <w:rPr>
          <w:spacing w:val="-1"/>
        </w:rPr>
        <w:t xml:space="preserve"> </w:t>
      </w:r>
      <w:r>
        <w:t>el</w:t>
      </w:r>
      <w:r>
        <w:rPr>
          <w:spacing w:val="-1"/>
        </w:rPr>
        <w:t xml:space="preserve"> </w:t>
      </w:r>
      <w:r>
        <w:t>derecho</w:t>
      </w:r>
      <w:r>
        <w:rPr>
          <w:spacing w:val="-1"/>
        </w:rPr>
        <w:t xml:space="preserve"> </w:t>
      </w:r>
      <w:r>
        <w:t>a</w:t>
      </w:r>
      <w:r>
        <w:rPr>
          <w:spacing w:val="-1"/>
        </w:rPr>
        <w:t xml:space="preserve"> </w:t>
      </w:r>
      <w:r>
        <w:t>la</w:t>
      </w:r>
      <w:r>
        <w:rPr>
          <w:spacing w:val="-1"/>
        </w:rPr>
        <w:t xml:space="preserve"> </w:t>
      </w:r>
      <w:r>
        <w:t>verdad</w:t>
      </w:r>
      <w:r>
        <w:rPr>
          <w:spacing w:val="-1"/>
        </w:rPr>
        <w:t xml:space="preserve"> </w:t>
      </w:r>
      <w:r>
        <w:t>en</w:t>
      </w:r>
      <w:r>
        <w:rPr>
          <w:spacing w:val="-1"/>
        </w:rPr>
        <w:t xml:space="preserve"> </w:t>
      </w:r>
      <w:r>
        <w:t>su apuesta</w:t>
      </w:r>
      <w:r>
        <w:rPr>
          <w:spacing w:val="-1"/>
        </w:rPr>
        <w:t xml:space="preserve"> </w:t>
      </w:r>
      <w:r>
        <w:t>por</w:t>
      </w:r>
      <w:r>
        <w:rPr>
          <w:spacing w:val="-1"/>
        </w:rPr>
        <w:t xml:space="preserve"> </w:t>
      </w:r>
      <w:r>
        <w:t>la</w:t>
      </w:r>
      <w:r>
        <w:rPr>
          <w:spacing w:val="-1"/>
        </w:rPr>
        <w:t xml:space="preserve"> </w:t>
      </w:r>
      <w:r>
        <w:t>paz.</w:t>
      </w:r>
      <w:r>
        <w:rPr>
          <w:spacing w:val="-1"/>
        </w:rPr>
        <w:t xml:space="preserve"> </w:t>
      </w:r>
      <w:r>
        <w:t>Durante</w:t>
      </w:r>
      <w:r>
        <w:rPr>
          <w:spacing w:val="-1"/>
        </w:rPr>
        <w:t xml:space="preserve"> </w:t>
      </w:r>
      <w:r>
        <w:t>estas</w:t>
      </w:r>
      <w:r>
        <w:rPr>
          <w:spacing w:val="-1"/>
        </w:rPr>
        <w:t xml:space="preserve"> </w:t>
      </w:r>
      <w:r>
        <w:t>décadas</w:t>
      </w:r>
      <w:r>
        <w:rPr>
          <w:spacing w:val="-1"/>
        </w:rPr>
        <w:t xml:space="preserve"> </w:t>
      </w:r>
      <w:r>
        <w:t>se</w:t>
      </w:r>
      <w:r>
        <w:rPr>
          <w:spacing w:val="-1"/>
        </w:rPr>
        <w:t xml:space="preserve"> </w:t>
      </w:r>
      <w:r>
        <w:t>han</w:t>
      </w:r>
      <w:r>
        <w:rPr>
          <w:spacing w:val="-1"/>
        </w:rPr>
        <w:t xml:space="preserve"> </w:t>
      </w:r>
      <w:r>
        <w:t>acumulado</w:t>
      </w:r>
      <w:r>
        <w:rPr>
          <w:spacing w:val="-1"/>
        </w:rPr>
        <w:t xml:space="preserve"> </w:t>
      </w:r>
      <w:r>
        <w:t>hechos</w:t>
      </w:r>
      <w:r>
        <w:rPr>
          <w:spacing w:val="-1"/>
        </w:rPr>
        <w:t xml:space="preserve"> </w:t>
      </w:r>
      <w:r>
        <w:t>de</w:t>
      </w:r>
      <w:r>
        <w:rPr>
          <w:spacing w:val="-1"/>
        </w:rPr>
        <w:t xml:space="preserve"> </w:t>
      </w:r>
      <w:r>
        <w:t>violencia,</w:t>
      </w:r>
      <w:r>
        <w:rPr>
          <w:spacing w:val="-1"/>
        </w:rPr>
        <w:t xml:space="preserve"> </w:t>
      </w:r>
      <w:r>
        <w:t>estados</w:t>
      </w:r>
      <w:r>
        <w:rPr>
          <w:spacing w:val="-1"/>
        </w:rPr>
        <w:t xml:space="preserve"> </w:t>
      </w:r>
      <w:r>
        <w:t>de sitio, torturas, secuestros y masacres que inundaron de sangre los campos y la conciencia colectiva. Todo ello conforma una historia fragmentada que buena parte de la sociedad ha vivido como si fuera de otros, o en la que el otro se convirtió en un enemigo para eliminar, no en un adversario con el cual dialogar o negociar.</w:t>
      </w:r>
    </w:p>
    <w:p w:rsidR="003804AC" w:rsidRDefault="00AF18A5" w:rsidP="008D0AE4">
      <w:r>
        <w:t>Las</w:t>
      </w:r>
      <w:r>
        <w:rPr>
          <w:spacing w:val="-2"/>
        </w:rPr>
        <w:t xml:space="preserve"> </w:t>
      </w:r>
      <w:r>
        <w:t>muchas</w:t>
      </w:r>
      <w:r>
        <w:rPr>
          <w:spacing w:val="-3"/>
        </w:rPr>
        <w:t xml:space="preserve"> </w:t>
      </w:r>
      <w:r>
        <w:t>formas</w:t>
      </w:r>
      <w:r>
        <w:rPr>
          <w:spacing w:val="-2"/>
        </w:rPr>
        <w:t xml:space="preserve"> </w:t>
      </w:r>
      <w:r>
        <w:t>en</w:t>
      </w:r>
      <w:r>
        <w:rPr>
          <w:spacing w:val="-2"/>
        </w:rPr>
        <w:t xml:space="preserve"> </w:t>
      </w:r>
      <w:r>
        <w:t>que</w:t>
      </w:r>
      <w:r>
        <w:rPr>
          <w:spacing w:val="-2"/>
        </w:rPr>
        <w:t xml:space="preserve"> </w:t>
      </w:r>
      <w:r>
        <w:t>esta</w:t>
      </w:r>
      <w:r>
        <w:rPr>
          <w:spacing w:val="-2"/>
        </w:rPr>
        <w:t xml:space="preserve"> </w:t>
      </w:r>
      <w:r>
        <w:t>eliminación</w:t>
      </w:r>
      <w:r>
        <w:rPr>
          <w:spacing w:val="-2"/>
        </w:rPr>
        <w:t xml:space="preserve"> </w:t>
      </w:r>
      <w:r>
        <w:t>del</w:t>
      </w:r>
      <w:r>
        <w:rPr>
          <w:spacing w:val="-2"/>
        </w:rPr>
        <w:t xml:space="preserve"> </w:t>
      </w:r>
      <w:r>
        <w:t>otro</w:t>
      </w:r>
      <w:r>
        <w:rPr>
          <w:spacing w:val="-2"/>
        </w:rPr>
        <w:t xml:space="preserve"> </w:t>
      </w:r>
      <w:r>
        <w:t>tomó</w:t>
      </w:r>
      <w:r>
        <w:rPr>
          <w:spacing w:val="-2"/>
        </w:rPr>
        <w:t xml:space="preserve"> </w:t>
      </w:r>
      <w:r>
        <w:t>el</w:t>
      </w:r>
      <w:r>
        <w:rPr>
          <w:spacing w:val="-2"/>
        </w:rPr>
        <w:t xml:space="preserve"> </w:t>
      </w:r>
      <w:r>
        <w:t>espacio</w:t>
      </w:r>
      <w:r>
        <w:rPr>
          <w:spacing w:val="-2"/>
        </w:rPr>
        <w:t xml:space="preserve"> </w:t>
      </w:r>
      <w:r>
        <w:t>de</w:t>
      </w:r>
      <w:r>
        <w:rPr>
          <w:spacing w:val="-2"/>
        </w:rPr>
        <w:t xml:space="preserve"> </w:t>
      </w:r>
      <w:r>
        <w:t>la</w:t>
      </w:r>
      <w:r>
        <w:rPr>
          <w:spacing w:val="-2"/>
        </w:rPr>
        <w:t xml:space="preserve"> </w:t>
      </w:r>
      <w:r>
        <w:t>política</w:t>
      </w:r>
      <w:r>
        <w:rPr>
          <w:spacing w:val="-2"/>
        </w:rPr>
        <w:t xml:space="preserve"> </w:t>
      </w:r>
      <w:r>
        <w:t>y</w:t>
      </w:r>
      <w:r>
        <w:rPr>
          <w:spacing w:val="-2"/>
        </w:rPr>
        <w:t xml:space="preserve"> </w:t>
      </w:r>
      <w:r>
        <w:t>de</w:t>
      </w:r>
      <w:r>
        <w:rPr>
          <w:spacing w:val="-3"/>
        </w:rPr>
        <w:t xml:space="preserve"> </w:t>
      </w:r>
      <w:r>
        <w:t>la vida campesina, de la organización comunitaria o del futuro para las nuevas generaciones han</w:t>
      </w:r>
      <w:r>
        <w:rPr>
          <w:spacing w:val="-1"/>
        </w:rPr>
        <w:t xml:space="preserve"> </w:t>
      </w:r>
      <w:r>
        <w:t>supuesto</w:t>
      </w:r>
      <w:r>
        <w:rPr>
          <w:spacing w:val="-1"/>
        </w:rPr>
        <w:t xml:space="preserve"> </w:t>
      </w:r>
      <w:r>
        <w:t>históricamente</w:t>
      </w:r>
      <w:r>
        <w:rPr>
          <w:spacing w:val="-1"/>
        </w:rPr>
        <w:t xml:space="preserve"> </w:t>
      </w:r>
      <w:r>
        <w:t>un</w:t>
      </w:r>
      <w:r>
        <w:rPr>
          <w:spacing w:val="-1"/>
        </w:rPr>
        <w:t xml:space="preserve"> </w:t>
      </w:r>
      <w:r>
        <w:t>trauma</w:t>
      </w:r>
      <w:r>
        <w:rPr>
          <w:spacing w:val="-1"/>
        </w:rPr>
        <w:t xml:space="preserve"> </w:t>
      </w:r>
      <w:r>
        <w:t>colectivo</w:t>
      </w:r>
      <w:r>
        <w:rPr>
          <w:spacing w:val="-1"/>
        </w:rPr>
        <w:t xml:space="preserve"> </w:t>
      </w:r>
      <w:r>
        <w:t>que</w:t>
      </w:r>
      <w:r>
        <w:rPr>
          <w:spacing w:val="-1"/>
        </w:rPr>
        <w:t xml:space="preserve"> </w:t>
      </w:r>
      <w:r>
        <w:t>acumula</w:t>
      </w:r>
      <w:r>
        <w:rPr>
          <w:spacing w:val="-1"/>
        </w:rPr>
        <w:t xml:space="preserve"> </w:t>
      </w:r>
      <w:r>
        <w:t>capas</w:t>
      </w:r>
      <w:r>
        <w:rPr>
          <w:spacing w:val="-1"/>
        </w:rPr>
        <w:t xml:space="preserve"> </w:t>
      </w:r>
      <w:r>
        <w:t>de</w:t>
      </w:r>
      <w:r>
        <w:rPr>
          <w:spacing w:val="-2"/>
        </w:rPr>
        <w:t xml:space="preserve"> </w:t>
      </w:r>
      <w:r>
        <w:t>experiencia,</w:t>
      </w:r>
      <w:r>
        <w:rPr>
          <w:spacing w:val="-2"/>
        </w:rPr>
        <w:t xml:space="preserve"> </w:t>
      </w:r>
      <w:r>
        <w:t>dolor</w:t>
      </w:r>
      <w:r>
        <w:rPr>
          <w:spacing w:val="-1"/>
        </w:rPr>
        <w:t xml:space="preserve"> </w:t>
      </w:r>
      <w:r>
        <w:t xml:space="preserve">y resistencias; el trauma colectivo de la guerra y sus consecuencias con </w:t>
      </w:r>
      <w:r>
        <w:lastRenderedPageBreak/>
        <w:t>carácter repetitivo y acumulativo,</w:t>
      </w:r>
      <w:r>
        <w:rPr>
          <w:spacing w:val="-13"/>
        </w:rPr>
        <w:t xml:space="preserve"> </w:t>
      </w:r>
      <w:r>
        <w:t>que</w:t>
      </w:r>
      <w:r>
        <w:rPr>
          <w:spacing w:val="-13"/>
        </w:rPr>
        <w:t xml:space="preserve"> </w:t>
      </w:r>
      <w:r>
        <w:t>genera</w:t>
      </w:r>
      <w:r>
        <w:rPr>
          <w:spacing w:val="-15"/>
        </w:rPr>
        <w:t xml:space="preserve"> </w:t>
      </w:r>
      <w:r>
        <w:t>una</w:t>
      </w:r>
      <w:r>
        <w:rPr>
          <w:spacing w:val="-13"/>
        </w:rPr>
        <w:t xml:space="preserve"> </w:t>
      </w:r>
      <w:r>
        <w:t>afectación</w:t>
      </w:r>
      <w:r>
        <w:rPr>
          <w:spacing w:val="-13"/>
        </w:rPr>
        <w:t xml:space="preserve"> </w:t>
      </w:r>
      <w:r>
        <w:t>transmitida</w:t>
      </w:r>
      <w:r>
        <w:rPr>
          <w:spacing w:val="-13"/>
        </w:rPr>
        <w:t xml:space="preserve"> </w:t>
      </w:r>
      <w:r>
        <w:t>entre</w:t>
      </w:r>
      <w:r>
        <w:rPr>
          <w:spacing w:val="-13"/>
        </w:rPr>
        <w:t xml:space="preserve"> </w:t>
      </w:r>
      <w:r>
        <w:t>generaciones,</w:t>
      </w:r>
      <w:r>
        <w:rPr>
          <w:spacing w:val="-14"/>
        </w:rPr>
        <w:t xml:space="preserve"> </w:t>
      </w:r>
      <w:r>
        <w:t>a</w:t>
      </w:r>
      <w:r>
        <w:rPr>
          <w:spacing w:val="-14"/>
        </w:rPr>
        <w:t xml:space="preserve"> </w:t>
      </w:r>
      <w:r>
        <w:t>través</w:t>
      </w:r>
      <w:r>
        <w:rPr>
          <w:spacing w:val="-14"/>
        </w:rPr>
        <w:t xml:space="preserve"> </w:t>
      </w:r>
      <w:r>
        <w:t>de</w:t>
      </w:r>
      <w:r>
        <w:rPr>
          <w:spacing w:val="-14"/>
        </w:rPr>
        <w:t xml:space="preserve"> </w:t>
      </w:r>
      <w:r>
        <w:t>memorias y silencios de lo sucedido, hasta constituir la identidad de un país que trata en varios momentos</w:t>
      </w:r>
      <w:r>
        <w:rPr>
          <w:spacing w:val="-9"/>
        </w:rPr>
        <w:t xml:space="preserve"> </w:t>
      </w:r>
      <w:r>
        <w:t>de</w:t>
      </w:r>
      <w:r>
        <w:rPr>
          <w:spacing w:val="-9"/>
        </w:rPr>
        <w:t xml:space="preserve"> </w:t>
      </w:r>
      <w:r>
        <w:t>construir</w:t>
      </w:r>
      <w:r>
        <w:rPr>
          <w:spacing w:val="-9"/>
        </w:rPr>
        <w:t xml:space="preserve"> </w:t>
      </w:r>
      <w:r>
        <w:t>una</w:t>
      </w:r>
      <w:r>
        <w:rPr>
          <w:spacing w:val="-9"/>
        </w:rPr>
        <w:t xml:space="preserve"> </w:t>
      </w:r>
      <w:r>
        <w:t>paz</w:t>
      </w:r>
      <w:r>
        <w:rPr>
          <w:spacing w:val="-9"/>
        </w:rPr>
        <w:t xml:space="preserve"> </w:t>
      </w:r>
      <w:r>
        <w:t>que</w:t>
      </w:r>
      <w:r>
        <w:rPr>
          <w:spacing w:val="-9"/>
        </w:rPr>
        <w:t xml:space="preserve"> </w:t>
      </w:r>
      <w:r>
        <w:t>se</w:t>
      </w:r>
      <w:r>
        <w:rPr>
          <w:spacing w:val="-9"/>
        </w:rPr>
        <w:t xml:space="preserve"> </w:t>
      </w:r>
      <w:r>
        <w:t>quedó</w:t>
      </w:r>
      <w:r>
        <w:rPr>
          <w:spacing w:val="-10"/>
        </w:rPr>
        <w:t xml:space="preserve"> </w:t>
      </w:r>
      <w:r>
        <w:t>hasta</w:t>
      </w:r>
      <w:r>
        <w:rPr>
          <w:spacing w:val="-9"/>
        </w:rPr>
        <w:t xml:space="preserve"> </w:t>
      </w:r>
      <w:r>
        <w:t>ahora</w:t>
      </w:r>
      <w:r>
        <w:rPr>
          <w:spacing w:val="-9"/>
        </w:rPr>
        <w:t xml:space="preserve"> </w:t>
      </w:r>
      <w:r>
        <w:t>en</w:t>
      </w:r>
      <w:r>
        <w:rPr>
          <w:spacing w:val="-10"/>
        </w:rPr>
        <w:t xml:space="preserve"> </w:t>
      </w:r>
      <w:r>
        <w:t>procesos</w:t>
      </w:r>
      <w:r>
        <w:rPr>
          <w:spacing w:val="-9"/>
        </w:rPr>
        <w:t xml:space="preserve"> </w:t>
      </w:r>
      <w:r>
        <w:t>fragmentados</w:t>
      </w:r>
      <w:r>
        <w:rPr>
          <w:spacing w:val="-9"/>
        </w:rPr>
        <w:t xml:space="preserve"> </w:t>
      </w:r>
      <w:r>
        <w:t>y</w:t>
      </w:r>
      <w:r>
        <w:rPr>
          <w:spacing w:val="-10"/>
        </w:rPr>
        <w:t xml:space="preserve"> </w:t>
      </w:r>
      <w:r>
        <w:t>nuevos ciclos de violencia.</w:t>
      </w:r>
    </w:p>
    <w:p w:rsidR="003804AC" w:rsidRDefault="00AF18A5" w:rsidP="008D0AE4">
      <w:r>
        <w:t>Esta dimensión de catástrofe social, en la que muchas veces los vecinos o incluso familiares han sido vistos como opositores o enemigos, no se ha integrado en una visión de país</w:t>
      </w:r>
      <w:r>
        <w:rPr>
          <w:spacing w:val="4"/>
        </w:rPr>
        <w:t xml:space="preserve"> </w:t>
      </w:r>
      <w:r>
        <w:t>compartida.</w:t>
      </w:r>
      <w:r>
        <w:rPr>
          <w:spacing w:val="7"/>
        </w:rPr>
        <w:t xml:space="preserve"> </w:t>
      </w:r>
      <w:r>
        <w:t>En</w:t>
      </w:r>
      <w:r>
        <w:rPr>
          <w:spacing w:val="6"/>
        </w:rPr>
        <w:t xml:space="preserve"> </w:t>
      </w:r>
      <w:r>
        <w:t>las</w:t>
      </w:r>
      <w:r>
        <w:rPr>
          <w:spacing w:val="5"/>
        </w:rPr>
        <w:t xml:space="preserve"> </w:t>
      </w:r>
      <w:r>
        <w:t>últimas</w:t>
      </w:r>
      <w:r>
        <w:rPr>
          <w:spacing w:val="7"/>
        </w:rPr>
        <w:t xml:space="preserve"> </w:t>
      </w:r>
      <w:r>
        <w:t>décadas,</w:t>
      </w:r>
      <w:r>
        <w:rPr>
          <w:spacing w:val="7"/>
        </w:rPr>
        <w:t xml:space="preserve"> </w:t>
      </w:r>
      <w:r>
        <w:t>mientras</w:t>
      </w:r>
      <w:r>
        <w:rPr>
          <w:spacing w:val="6"/>
        </w:rPr>
        <w:t xml:space="preserve"> </w:t>
      </w:r>
      <w:r>
        <w:t>la</w:t>
      </w:r>
      <w:r>
        <w:rPr>
          <w:spacing w:val="7"/>
        </w:rPr>
        <w:t xml:space="preserve"> </w:t>
      </w:r>
      <w:r>
        <w:t>guerra</w:t>
      </w:r>
      <w:r>
        <w:rPr>
          <w:spacing w:val="6"/>
        </w:rPr>
        <w:t xml:space="preserve"> </w:t>
      </w:r>
      <w:r>
        <w:t>se</w:t>
      </w:r>
      <w:r>
        <w:rPr>
          <w:spacing w:val="6"/>
        </w:rPr>
        <w:t xml:space="preserve"> </w:t>
      </w:r>
      <w:r>
        <w:t>agudizó,</w:t>
      </w:r>
      <w:r>
        <w:rPr>
          <w:spacing w:val="6"/>
        </w:rPr>
        <w:t xml:space="preserve"> </w:t>
      </w:r>
      <w:r>
        <w:t>la</w:t>
      </w:r>
      <w:r>
        <w:rPr>
          <w:spacing w:val="7"/>
        </w:rPr>
        <w:t xml:space="preserve"> </w:t>
      </w:r>
      <w:r>
        <w:t>desprotección</w:t>
      </w:r>
      <w:r>
        <w:rPr>
          <w:spacing w:val="7"/>
        </w:rPr>
        <w:t xml:space="preserve"> </w:t>
      </w:r>
      <w:r>
        <w:rPr>
          <w:spacing w:val="-5"/>
        </w:rPr>
        <w:t>de</w:t>
      </w:r>
      <w:bookmarkStart w:id="7" w:name="_bookmark5"/>
      <w:bookmarkEnd w:id="7"/>
      <w:r w:rsidR="00591E90">
        <w:t xml:space="preserve"> </w:t>
      </w:r>
      <w:r>
        <w:t>millones de personas aumentó, la desigualdad, la exclusión y la discriminación se convirtieron cada vez más en un abismo, pero buena parte de la sociedad y la economía del país siguieron adelante como si nada pasara. Más aún, el mantenimiento de la guerra y su impacto</w:t>
      </w:r>
      <w:r>
        <w:rPr>
          <w:spacing w:val="-11"/>
        </w:rPr>
        <w:t xml:space="preserve"> </w:t>
      </w:r>
      <w:r>
        <w:t>social</w:t>
      </w:r>
      <w:r>
        <w:rPr>
          <w:spacing w:val="-10"/>
        </w:rPr>
        <w:t xml:space="preserve"> </w:t>
      </w:r>
      <w:r>
        <w:t>naturalizaron</w:t>
      </w:r>
      <w:r>
        <w:rPr>
          <w:spacing w:val="-11"/>
        </w:rPr>
        <w:t xml:space="preserve"> </w:t>
      </w:r>
      <w:r>
        <w:t>el</w:t>
      </w:r>
      <w:r>
        <w:rPr>
          <w:spacing w:val="-10"/>
        </w:rPr>
        <w:t xml:space="preserve"> </w:t>
      </w:r>
      <w:r>
        <w:t>uso</w:t>
      </w:r>
      <w:r>
        <w:rPr>
          <w:spacing w:val="-11"/>
        </w:rPr>
        <w:t xml:space="preserve"> </w:t>
      </w:r>
      <w:r>
        <w:t>de</w:t>
      </w:r>
      <w:r>
        <w:rPr>
          <w:spacing w:val="-12"/>
        </w:rPr>
        <w:t xml:space="preserve"> </w:t>
      </w:r>
      <w:r>
        <w:t>la</w:t>
      </w:r>
      <w:r>
        <w:rPr>
          <w:spacing w:val="-11"/>
        </w:rPr>
        <w:t xml:space="preserve"> </w:t>
      </w:r>
      <w:r>
        <w:t>violencia</w:t>
      </w:r>
      <w:r>
        <w:rPr>
          <w:spacing w:val="-12"/>
        </w:rPr>
        <w:t xml:space="preserve"> </w:t>
      </w:r>
      <w:r>
        <w:t>en</w:t>
      </w:r>
      <w:r>
        <w:rPr>
          <w:spacing w:val="-11"/>
        </w:rPr>
        <w:t xml:space="preserve"> </w:t>
      </w:r>
      <w:r>
        <w:t>las</w:t>
      </w:r>
      <w:r>
        <w:rPr>
          <w:spacing w:val="-12"/>
        </w:rPr>
        <w:t xml:space="preserve"> </w:t>
      </w:r>
      <w:r>
        <w:t>relaciones</w:t>
      </w:r>
      <w:r>
        <w:rPr>
          <w:spacing w:val="-11"/>
        </w:rPr>
        <w:t xml:space="preserve"> </w:t>
      </w:r>
      <w:r>
        <w:t>interpersonales</w:t>
      </w:r>
      <w:r>
        <w:rPr>
          <w:spacing w:val="-11"/>
        </w:rPr>
        <w:t xml:space="preserve"> </w:t>
      </w:r>
      <w:r>
        <w:t>de</w:t>
      </w:r>
      <w:r>
        <w:rPr>
          <w:spacing w:val="-11"/>
        </w:rPr>
        <w:t xml:space="preserve"> </w:t>
      </w:r>
      <w:r>
        <w:t>la</w:t>
      </w:r>
      <w:r>
        <w:rPr>
          <w:spacing w:val="-11"/>
        </w:rPr>
        <w:t xml:space="preserve"> </w:t>
      </w:r>
      <w:r>
        <w:t>vida cotidiana.</w:t>
      </w:r>
      <w:r>
        <w:rPr>
          <w:spacing w:val="-15"/>
        </w:rPr>
        <w:t xml:space="preserve"> </w:t>
      </w:r>
      <w:r>
        <w:t>Se</w:t>
      </w:r>
      <w:r>
        <w:rPr>
          <w:spacing w:val="-15"/>
        </w:rPr>
        <w:t xml:space="preserve"> </w:t>
      </w:r>
      <w:r>
        <w:t>amplió</w:t>
      </w:r>
      <w:r>
        <w:rPr>
          <w:spacing w:val="-15"/>
        </w:rPr>
        <w:t xml:space="preserve"> </w:t>
      </w:r>
      <w:r>
        <w:t>la</w:t>
      </w:r>
      <w:r>
        <w:rPr>
          <w:spacing w:val="-15"/>
        </w:rPr>
        <w:t xml:space="preserve"> </w:t>
      </w:r>
      <w:r>
        <w:t>brecha</w:t>
      </w:r>
      <w:r>
        <w:rPr>
          <w:spacing w:val="-15"/>
        </w:rPr>
        <w:t xml:space="preserve"> </w:t>
      </w:r>
      <w:r>
        <w:t>que</w:t>
      </w:r>
      <w:r>
        <w:rPr>
          <w:spacing w:val="-15"/>
        </w:rPr>
        <w:t xml:space="preserve"> </w:t>
      </w:r>
      <w:r>
        <w:t>separa</w:t>
      </w:r>
      <w:r>
        <w:rPr>
          <w:spacing w:val="-15"/>
        </w:rPr>
        <w:t xml:space="preserve"> </w:t>
      </w:r>
      <w:r>
        <w:t>las</w:t>
      </w:r>
      <w:r>
        <w:rPr>
          <w:spacing w:val="-15"/>
        </w:rPr>
        <w:t xml:space="preserve"> </w:t>
      </w:r>
      <w:r>
        <w:t>fuerzas</w:t>
      </w:r>
      <w:r>
        <w:rPr>
          <w:spacing w:val="-15"/>
        </w:rPr>
        <w:t xml:space="preserve"> </w:t>
      </w:r>
      <w:r>
        <w:t>políticas</w:t>
      </w:r>
      <w:r>
        <w:rPr>
          <w:spacing w:val="-15"/>
        </w:rPr>
        <w:t xml:space="preserve"> </w:t>
      </w:r>
      <w:r>
        <w:t>y</w:t>
      </w:r>
      <w:r>
        <w:rPr>
          <w:spacing w:val="-15"/>
        </w:rPr>
        <w:t xml:space="preserve"> </w:t>
      </w:r>
      <w:r>
        <w:t>sus</w:t>
      </w:r>
      <w:r>
        <w:rPr>
          <w:spacing w:val="-15"/>
        </w:rPr>
        <w:t xml:space="preserve"> </w:t>
      </w:r>
      <w:r>
        <w:t>seguidores,</w:t>
      </w:r>
      <w:r>
        <w:rPr>
          <w:spacing w:val="-15"/>
        </w:rPr>
        <w:t xml:space="preserve"> </w:t>
      </w:r>
      <w:r>
        <w:t>y</w:t>
      </w:r>
      <w:r>
        <w:rPr>
          <w:spacing w:val="-15"/>
        </w:rPr>
        <w:t xml:space="preserve"> </w:t>
      </w:r>
      <w:r>
        <w:t>una</w:t>
      </w:r>
      <w:r>
        <w:rPr>
          <w:spacing w:val="-15"/>
        </w:rPr>
        <w:t xml:space="preserve"> </w:t>
      </w:r>
      <w:r>
        <w:t>realidad rica en matices y colores –como la colombiana– se convirtió en una caricatura de sí misma al revestirla de una visión dualista de buenos y malos, de amigos y enemigos.</w:t>
      </w:r>
    </w:p>
    <w:p w:rsidR="003804AC" w:rsidRDefault="00AF18A5" w:rsidP="008D0AE4">
      <w:r>
        <w:t>El</w:t>
      </w:r>
      <w:r>
        <w:rPr>
          <w:spacing w:val="-15"/>
        </w:rPr>
        <w:t xml:space="preserve"> </w:t>
      </w:r>
      <w:r>
        <w:t>sufrimiento</w:t>
      </w:r>
      <w:r>
        <w:rPr>
          <w:spacing w:val="-15"/>
        </w:rPr>
        <w:t xml:space="preserve"> </w:t>
      </w:r>
      <w:r>
        <w:t>emocional,</w:t>
      </w:r>
      <w:r>
        <w:rPr>
          <w:spacing w:val="-15"/>
        </w:rPr>
        <w:t xml:space="preserve"> </w:t>
      </w:r>
      <w:r>
        <w:t>la</w:t>
      </w:r>
      <w:r>
        <w:rPr>
          <w:spacing w:val="-15"/>
        </w:rPr>
        <w:t xml:space="preserve"> </w:t>
      </w:r>
      <w:r>
        <w:t>rabia</w:t>
      </w:r>
      <w:r>
        <w:rPr>
          <w:spacing w:val="-15"/>
        </w:rPr>
        <w:t xml:space="preserve"> </w:t>
      </w:r>
      <w:r>
        <w:t>por</w:t>
      </w:r>
      <w:r>
        <w:rPr>
          <w:spacing w:val="-15"/>
        </w:rPr>
        <w:t xml:space="preserve"> </w:t>
      </w:r>
      <w:r>
        <w:t>el</w:t>
      </w:r>
      <w:r>
        <w:rPr>
          <w:spacing w:val="-15"/>
        </w:rPr>
        <w:t xml:space="preserve"> </w:t>
      </w:r>
      <w:r>
        <w:t>atentado</w:t>
      </w:r>
      <w:r>
        <w:rPr>
          <w:spacing w:val="-15"/>
        </w:rPr>
        <w:t xml:space="preserve"> </w:t>
      </w:r>
      <w:r>
        <w:t>o</w:t>
      </w:r>
      <w:r>
        <w:rPr>
          <w:spacing w:val="-15"/>
        </w:rPr>
        <w:t xml:space="preserve"> </w:t>
      </w:r>
      <w:r>
        <w:t>la</w:t>
      </w:r>
      <w:r>
        <w:rPr>
          <w:spacing w:val="-15"/>
        </w:rPr>
        <w:t xml:space="preserve"> </w:t>
      </w:r>
      <w:r>
        <w:t>tortura,</w:t>
      </w:r>
      <w:r>
        <w:rPr>
          <w:spacing w:val="-15"/>
        </w:rPr>
        <w:t xml:space="preserve"> </w:t>
      </w:r>
      <w:r>
        <w:t>la</w:t>
      </w:r>
      <w:r>
        <w:rPr>
          <w:spacing w:val="-15"/>
        </w:rPr>
        <w:t xml:space="preserve"> </w:t>
      </w:r>
      <w:r>
        <w:t>vergüenza</w:t>
      </w:r>
      <w:r>
        <w:rPr>
          <w:spacing w:val="-15"/>
        </w:rPr>
        <w:t xml:space="preserve"> </w:t>
      </w:r>
      <w:r>
        <w:t>por</w:t>
      </w:r>
      <w:r>
        <w:rPr>
          <w:spacing w:val="-15"/>
        </w:rPr>
        <w:t xml:space="preserve"> </w:t>
      </w:r>
      <w:r>
        <w:t>la</w:t>
      </w:r>
      <w:r>
        <w:rPr>
          <w:spacing w:val="-15"/>
        </w:rPr>
        <w:t xml:space="preserve"> </w:t>
      </w:r>
      <w:r>
        <w:t>violencia sexual o la tristeza profunda, que incluso ha llevado a ideas suicidas y al uso de sustancias psicoactivas</w:t>
      </w:r>
      <w:r>
        <w:rPr>
          <w:spacing w:val="-7"/>
        </w:rPr>
        <w:t xml:space="preserve"> </w:t>
      </w:r>
      <w:r>
        <w:t>para</w:t>
      </w:r>
      <w:r>
        <w:rPr>
          <w:spacing w:val="-6"/>
        </w:rPr>
        <w:t xml:space="preserve"> </w:t>
      </w:r>
      <w:r>
        <w:t>tratar</w:t>
      </w:r>
      <w:r>
        <w:rPr>
          <w:spacing w:val="-6"/>
        </w:rPr>
        <w:t xml:space="preserve"> </w:t>
      </w:r>
      <w:r>
        <w:t>de</w:t>
      </w:r>
      <w:r>
        <w:rPr>
          <w:spacing w:val="-6"/>
        </w:rPr>
        <w:t xml:space="preserve"> </w:t>
      </w:r>
      <w:r>
        <w:t>olvidar</w:t>
      </w:r>
      <w:r>
        <w:rPr>
          <w:spacing w:val="-6"/>
        </w:rPr>
        <w:t xml:space="preserve"> </w:t>
      </w:r>
      <w:r>
        <w:t>son</w:t>
      </w:r>
      <w:r>
        <w:rPr>
          <w:spacing w:val="-6"/>
        </w:rPr>
        <w:t xml:space="preserve"> </w:t>
      </w:r>
      <w:r>
        <w:t>capítulos</w:t>
      </w:r>
      <w:r>
        <w:rPr>
          <w:spacing w:val="-6"/>
        </w:rPr>
        <w:t xml:space="preserve"> </w:t>
      </w:r>
      <w:r>
        <w:t>de</w:t>
      </w:r>
      <w:r>
        <w:rPr>
          <w:spacing w:val="-6"/>
        </w:rPr>
        <w:t xml:space="preserve"> </w:t>
      </w:r>
      <w:r>
        <w:t>una</w:t>
      </w:r>
      <w:r>
        <w:rPr>
          <w:spacing w:val="-6"/>
        </w:rPr>
        <w:t xml:space="preserve"> </w:t>
      </w:r>
      <w:r>
        <w:t>historia</w:t>
      </w:r>
      <w:r>
        <w:rPr>
          <w:spacing w:val="-6"/>
        </w:rPr>
        <w:t xml:space="preserve"> </w:t>
      </w:r>
      <w:r>
        <w:t>ya</w:t>
      </w:r>
      <w:r>
        <w:rPr>
          <w:spacing w:val="-6"/>
        </w:rPr>
        <w:t xml:space="preserve"> </w:t>
      </w:r>
      <w:r>
        <w:t>vivida.</w:t>
      </w:r>
      <w:r>
        <w:rPr>
          <w:spacing w:val="-7"/>
        </w:rPr>
        <w:t xml:space="preserve"> </w:t>
      </w:r>
      <w:r>
        <w:t>La</w:t>
      </w:r>
      <w:r>
        <w:rPr>
          <w:spacing w:val="-6"/>
        </w:rPr>
        <w:t xml:space="preserve"> </w:t>
      </w:r>
      <w:r>
        <w:t>rabia</w:t>
      </w:r>
      <w:r>
        <w:rPr>
          <w:spacing w:val="-7"/>
        </w:rPr>
        <w:t xml:space="preserve"> </w:t>
      </w:r>
      <w:r>
        <w:t>y</w:t>
      </w:r>
      <w:r>
        <w:rPr>
          <w:spacing w:val="-6"/>
        </w:rPr>
        <w:t xml:space="preserve"> </w:t>
      </w:r>
      <w:r>
        <w:t>el</w:t>
      </w:r>
      <w:r>
        <w:rPr>
          <w:spacing w:val="-7"/>
        </w:rPr>
        <w:t xml:space="preserve"> </w:t>
      </w:r>
      <w:r>
        <w:t xml:space="preserve">enojo social, la naturalización de la violencia o la desconfianza. El impacto no solo en los hechos, sino también en las creencias y en la cultura que penetró en la forma de ser y reaccionar de buena parte de la población. Las divisiones políticas y las actitudes ante la violencia han llevado a la sociedad a una visión dualista, en lugar de una Colombia incluyente. El país cuenta con una enorme riqueza de prácticas de resistencia, de </w:t>
      </w:r>
      <w:r>
        <w:lastRenderedPageBreak/>
        <w:t>movimientos sociales, campesinos,</w:t>
      </w:r>
      <w:r>
        <w:rPr>
          <w:spacing w:val="-12"/>
        </w:rPr>
        <w:t xml:space="preserve"> </w:t>
      </w:r>
      <w:r>
        <w:t>étnicos</w:t>
      </w:r>
      <w:r>
        <w:rPr>
          <w:spacing w:val="-11"/>
        </w:rPr>
        <w:t xml:space="preserve"> </w:t>
      </w:r>
      <w:r>
        <w:t>y</w:t>
      </w:r>
      <w:r>
        <w:rPr>
          <w:spacing w:val="-11"/>
        </w:rPr>
        <w:t xml:space="preserve"> </w:t>
      </w:r>
      <w:r>
        <w:t>de</w:t>
      </w:r>
      <w:r>
        <w:rPr>
          <w:spacing w:val="-12"/>
        </w:rPr>
        <w:t xml:space="preserve"> </w:t>
      </w:r>
      <w:r>
        <w:t>derechos</w:t>
      </w:r>
      <w:r>
        <w:rPr>
          <w:spacing w:val="-11"/>
        </w:rPr>
        <w:t xml:space="preserve"> </w:t>
      </w:r>
      <w:r>
        <w:t>humanos</w:t>
      </w:r>
      <w:r>
        <w:rPr>
          <w:spacing w:val="-11"/>
        </w:rPr>
        <w:t xml:space="preserve"> </w:t>
      </w:r>
      <w:r>
        <w:t>y</w:t>
      </w:r>
      <w:r>
        <w:rPr>
          <w:spacing w:val="-11"/>
        </w:rPr>
        <w:t xml:space="preserve"> </w:t>
      </w:r>
      <w:r>
        <w:t>con</w:t>
      </w:r>
      <w:r>
        <w:rPr>
          <w:spacing w:val="-12"/>
        </w:rPr>
        <w:t xml:space="preserve"> </w:t>
      </w:r>
      <w:r>
        <w:t>la</w:t>
      </w:r>
      <w:r>
        <w:rPr>
          <w:spacing w:val="-11"/>
        </w:rPr>
        <w:t xml:space="preserve"> </w:t>
      </w:r>
      <w:r>
        <w:t>pujanza</w:t>
      </w:r>
      <w:r>
        <w:rPr>
          <w:spacing w:val="-11"/>
        </w:rPr>
        <w:t xml:space="preserve"> </w:t>
      </w:r>
      <w:r>
        <w:t>de</w:t>
      </w:r>
      <w:r>
        <w:rPr>
          <w:spacing w:val="-11"/>
        </w:rPr>
        <w:t xml:space="preserve"> </w:t>
      </w:r>
      <w:r>
        <w:t>sus</w:t>
      </w:r>
      <w:r>
        <w:rPr>
          <w:spacing w:val="-11"/>
        </w:rPr>
        <w:t xml:space="preserve"> </w:t>
      </w:r>
      <w:r>
        <w:t>gentes,</w:t>
      </w:r>
      <w:r>
        <w:rPr>
          <w:spacing w:val="-12"/>
        </w:rPr>
        <w:t xml:space="preserve"> </w:t>
      </w:r>
      <w:r>
        <w:t>pero</w:t>
      </w:r>
      <w:r>
        <w:rPr>
          <w:spacing w:val="-11"/>
        </w:rPr>
        <w:t xml:space="preserve"> </w:t>
      </w:r>
      <w:r>
        <w:t>la</w:t>
      </w:r>
      <w:r>
        <w:rPr>
          <w:spacing w:val="-11"/>
        </w:rPr>
        <w:t xml:space="preserve"> </w:t>
      </w:r>
      <w:r>
        <w:t>población civil ha sido la mayor víctima de la guerra que ha debilitado la capacidad de la sociedad colombiana para hacer frente a la exclusión y a la guerra. El impacto de esta herida es parte de lo que se necesita cicatrizar, pero también ha sido un factor de persistencia, pese a la habilidad de resistir de la gente.</w:t>
      </w:r>
    </w:p>
    <w:p w:rsidR="003804AC" w:rsidRDefault="00AF18A5" w:rsidP="008D0AE4">
      <w:r>
        <w:t>Muchas</w:t>
      </w:r>
      <w:r>
        <w:rPr>
          <w:spacing w:val="-14"/>
        </w:rPr>
        <w:t xml:space="preserve"> </w:t>
      </w:r>
      <w:r>
        <w:t>familias</w:t>
      </w:r>
      <w:r>
        <w:rPr>
          <w:spacing w:val="-14"/>
        </w:rPr>
        <w:t xml:space="preserve"> </w:t>
      </w:r>
      <w:r>
        <w:t>y</w:t>
      </w:r>
      <w:r>
        <w:rPr>
          <w:spacing w:val="-14"/>
        </w:rPr>
        <w:t xml:space="preserve"> </w:t>
      </w:r>
      <w:r>
        <w:t>comunidades</w:t>
      </w:r>
      <w:r>
        <w:rPr>
          <w:spacing w:val="-14"/>
        </w:rPr>
        <w:t xml:space="preserve"> </w:t>
      </w:r>
      <w:r>
        <w:t>han</w:t>
      </w:r>
      <w:r>
        <w:rPr>
          <w:spacing w:val="-15"/>
        </w:rPr>
        <w:t xml:space="preserve"> </w:t>
      </w:r>
      <w:r>
        <w:t>vivido</w:t>
      </w:r>
      <w:r>
        <w:rPr>
          <w:spacing w:val="-14"/>
        </w:rPr>
        <w:t xml:space="preserve"> </w:t>
      </w:r>
      <w:r>
        <w:t>durante</w:t>
      </w:r>
      <w:r>
        <w:rPr>
          <w:spacing w:val="-14"/>
        </w:rPr>
        <w:t xml:space="preserve"> </w:t>
      </w:r>
      <w:r>
        <w:t>décadas</w:t>
      </w:r>
      <w:r>
        <w:rPr>
          <w:spacing w:val="-14"/>
        </w:rPr>
        <w:t xml:space="preserve"> </w:t>
      </w:r>
      <w:r>
        <w:t>en</w:t>
      </w:r>
      <w:r>
        <w:rPr>
          <w:spacing w:val="-14"/>
        </w:rPr>
        <w:t xml:space="preserve"> </w:t>
      </w:r>
      <w:r>
        <w:t>medio</w:t>
      </w:r>
      <w:r>
        <w:rPr>
          <w:spacing w:val="-14"/>
        </w:rPr>
        <w:t xml:space="preserve"> </w:t>
      </w:r>
      <w:r>
        <w:t>del</w:t>
      </w:r>
      <w:r>
        <w:rPr>
          <w:spacing w:val="-15"/>
        </w:rPr>
        <w:t xml:space="preserve"> </w:t>
      </w:r>
      <w:r>
        <w:t>miedo:</w:t>
      </w:r>
      <w:r>
        <w:rPr>
          <w:spacing w:val="-14"/>
        </w:rPr>
        <w:t xml:space="preserve"> </w:t>
      </w:r>
      <w:r>
        <w:t>a</w:t>
      </w:r>
      <w:r>
        <w:rPr>
          <w:spacing w:val="-14"/>
        </w:rPr>
        <w:t xml:space="preserve"> </w:t>
      </w:r>
      <w:r>
        <w:t xml:space="preserve">hablar, </w:t>
      </w:r>
      <w:r>
        <w:rPr>
          <w:spacing w:val="-2"/>
        </w:rPr>
        <w:t>a</w:t>
      </w:r>
      <w:r>
        <w:rPr>
          <w:spacing w:val="-5"/>
        </w:rPr>
        <w:t xml:space="preserve"> </w:t>
      </w:r>
      <w:r>
        <w:rPr>
          <w:spacing w:val="-2"/>
        </w:rPr>
        <w:t>sufrir</w:t>
      </w:r>
      <w:r>
        <w:rPr>
          <w:spacing w:val="-6"/>
        </w:rPr>
        <w:t xml:space="preserve"> </w:t>
      </w:r>
      <w:r>
        <w:rPr>
          <w:spacing w:val="-2"/>
        </w:rPr>
        <w:t>más</w:t>
      </w:r>
      <w:r>
        <w:rPr>
          <w:spacing w:val="-7"/>
        </w:rPr>
        <w:t xml:space="preserve"> </w:t>
      </w:r>
      <w:r>
        <w:rPr>
          <w:spacing w:val="-2"/>
        </w:rPr>
        <w:t>violencia</w:t>
      </w:r>
      <w:r>
        <w:rPr>
          <w:spacing w:val="-5"/>
        </w:rPr>
        <w:t xml:space="preserve"> </w:t>
      </w:r>
      <w:r>
        <w:rPr>
          <w:spacing w:val="-2"/>
        </w:rPr>
        <w:t>por</w:t>
      </w:r>
      <w:r>
        <w:rPr>
          <w:spacing w:val="-4"/>
        </w:rPr>
        <w:t xml:space="preserve"> </w:t>
      </w:r>
      <w:r>
        <w:rPr>
          <w:spacing w:val="-2"/>
        </w:rPr>
        <w:t>denunciar,</w:t>
      </w:r>
      <w:r>
        <w:rPr>
          <w:spacing w:val="-7"/>
        </w:rPr>
        <w:t xml:space="preserve"> </w:t>
      </w:r>
      <w:r>
        <w:rPr>
          <w:spacing w:val="-2"/>
        </w:rPr>
        <w:t>al</w:t>
      </w:r>
      <w:r>
        <w:rPr>
          <w:spacing w:val="-4"/>
        </w:rPr>
        <w:t xml:space="preserve"> </w:t>
      </w:r>
      <w:r>
        <w:rPr>
          <w:spacing w:val="-2"/>
        </w:rPr>
        <w:t>señalamiento</w:t>
      </w:r>
      <w:r>
        <w:rPr>
          <w:spacing w:val="-5"/>
        </w:rPr>
        <w:t xml:space="preserve"> </w:t>
      </w:r>
      <w:r>
        <w:rPr>
          <w:spacing w:val="-2"/>
        </w:rPr>
        <w:t>como</w:t>
      </w:r>
      <w:r>
        <w:rPr>
          <w:spacing w:val="-6"/>
        </w:rPr>
        <w:t xml:space="preserve"> </w:t>
      </w:r>
      <w:r>
        <w:rPr>
          <w:spacing w:val="-2"/>
        </w:rPr>
        <w:t>guerrilleros</w:t>
      </w:r>
      <w:r>
        <w:rPr>
          <w:spacing w:val="-5"/>
        </w:rPr>
        <w:t xml:space="preserve"> </w:t>
      </w:r>
      <w:r>
        <w:rPr>
          <w:spacing w:val="-2"/>
        </w:rPr>
        <w:t>o</w:t>
      </w:r>
      <w:r>
        <w:rPr>
          <w:spacing w:val="-6"/>
        </w:rPr>
        <w:t xml:space="preserve"> </w:t>
      </w:r>
      <w:r>
        <w:rPr>
          <w:spacing w:val="-2"/>
        </w:rPr>
        <w:t>a</w:t>
      </w:r>
      <w:r>
        <w:rPr>
          <w:spacing w:val="-6"/>
        </w:rPr>
        <w:t xml:space="preserve"> </w:t>
      </w:r>
      <w:r>
        <w:rPr>
          <w:spacing w:val="-2"/>
        </w:rPr>
        <w:t>la</w:t>
      </w:r>
      <w:r>
        <w:rPr>
          <w:spacing w:val="-6"/>
        </w:rPr>
        <w:t xml:space="preserve"> </w:t>
      </w:r>
      <w:r>
        <w:rPr>
          <w:spacing w:val="-2"/>
        </w:rPr>
        <w:t xml:space="preserve">criminalización, </w:t>
      </w:r>
      <w:r>
        <w:t>a</w:t>
      </w:r>
      <w:r>
        <w:rPr>
          <w:spacing w:val="-9"/>
        </w:rPr>
        <w:t xml:space="preserve"> </w:t>
      </w:r>
      <w:r>
        <w:t>no</w:t>
      </w:r>
      <w:r>
        <w:rPr>
          <w:spacing w:val="-10"/>
        </w:rPr>
        <w:t xml:space="preserve"> </w:t>
      </w:r>
      <w:r>
        <w:t>tener</w:t>
      </w:r>
      <w:r>
        <w:rPr>
          <w:spacing w:val="-9"/>
        </w:rPr>
        <w:t xml:space="preserve"> </w:t>
      </w:r>
      <w:r>
        <w:t>respuestas</w:t>
      </w:r>
      <w:r>
        <w:rPr>
          <w:spacing w:val="-9"/>
        </w:rPr>
        <w:t xml:space="preserve"> </w:t>
      </w:r>
      <w:r>
        <w:t>sociales</w:t>
      </w:r>
      <w:r>
        <w:rPr>
          <w:spacing w:val="-10"/>
        </w:rPr>
        <w:t xml:space="preserve"> </w:t>
      </w:r>
      <w:r>
        <w:t>o</w:t>
      </w:r>
      <w:r>
        <w:rPr>
          <w:spacing w:val="-10"/>
        </w:rPr>
        <w:t xml:space="preserve"> </w:t>
      </w:r>
      <w:r>
        <w:t>del</w:t>
      </w:r>
      <w:r>
        <w:rPr>
          <w:spacing w:val="-9"/>
        </w:rPr>
        <w:t xml:space="preserve"> </w:t>
      </w:r>
      <w:r>
        <w:t>Estado,</w:t>
      </w:r>
      <w:r>
        <w:rPr>
          <w:spacing w:val="-10"/>
        </w:rPr>
        <w:t xml:space="preserve"> </w:t>
      </w:r>
      <w:r>
        <w:t>a</w:t>
      </w:r>
      <w:r>
        <w:rPr>
          <w:spacing w:val="-9"/>
        </w:rPr>
        <w:t xml:space="preserve"> </w:t>
      </w:r>
      <w:r>
        <w:t>ser</w:t>
      </w:r>
      <w:r>
        <w:rPr>
          <w:spacing w:val="-9"/>
        </w:rPr>
        <w:t xml:space="preserve"> </w:t>
      </w:r>
      <w:r>
        <w:t>señalados</w:t>
      </w:r>
      <w:r>
        <w:rPr>
          <w:spacing w:val="-10"/>
        </w:rPr>
        <w:t xml:space="preserve"> </w:t>
      </w:r>
      <w:r>
        <w:t>como</w:t>
      </w:r>
      <w:r>
        <w:rPr>
          <w:spacing w:val="-10"/>
        </w:rPr>
        <w:t xml:space="preserve"> </w:t>
      </w:r>
      <w:r>
        <w:t>«sapos»</w:t>
      </w:r>
      <w:r>
        <w:rPr>
          <w:spacing w:val="-10"/>
        </w:rPr>
        <w:t xml:space="preserve"> </w:t>
      </w:r>
      <w:r>
        <w:t>o</w:t>
      </w:r>
      <w:r>
        <w:rPr>
          <w:spacing w:val="-10"/>
        </w:rPr>
        <w:t xml:space="preserve"> </w:t>
      </w:r>
      <w:r>
        <w:t>«colaboradores». El negacionismo de la violencia ejercida ha hecho que esta se mantenga. Colombia ha construido memorias defensivas en las que las personas tienden a valorar o reconocer las violaciones de derechos humanos del grupo con el que se identifican y no de los que consideran contrarios, del otro lado, opositores. El nivel de terror vivido en la guerra fue posible</w:t>
      </w:r>
      <w:r>
        <w:rPr>
          <w:spacing w:val="-2"/>
        </w:rPr>
        <w:t xml:space="preserve"> </w:t>
      </w:r>
      <w:r>
        <w:t>por</w:t>
      </w:r>
      <w:r>
        <w:rPr>
          <w:spacing w:val="-2"/>
        </w:rPr>
        <w:t xml:space="preserve"> </w:t>
      </w:r>
      <w:r>
        <w:t>la</w:t>
      </w:r>
      <w:r>
        <w:rPr>
          <w:spacing w:val="-2"/>
        </w:rPr>
        <w:t xml:space="preserve"> </w:t>
      </w:r>
      <w:r>
        <w:t>deshumanización,</w:t>
      </w:r>
      <w:r>
        <w:rPr>
          <w:spacing w:val="-3"/>
        </w:rPr>
        <w:t xml:space="preserve"> </w:t>
      </w:r>
      <w:r>
        <w:t>las</w:t>
      </w:r>
      <w:r>
        <w:rPr>
          <w:spacing w:val="-2"/>
        </w:rPr>
        <w:t xml:space="preserve"> </w:t>
      </w:r>
      <w:r>
        <w:t>víctimas</w:t>
      </w:r>
      <w:r>
        <w:rPr>
          <w:spacing w:val="-3"/>
        </w:rPr>
        <w:t xml:space="preserve"> </w:t>
      </w:r>
      <w:r>
        <w:t>fueron</w:t>
      </w:r>
      <w:r>
        <w:rPr>
          <w:spacing w:val="-2"/>
        </w:rPr>
        <w:t xml:space="preserve"> </w:t>
      </w:r>
      <w:r>
        <w:t>convertidas</w:t>
      </w:r>
      <w:r>
        <w:rPr>
          <w:spacing w:val="-2"/>
        </w:rPr>
        <w:t xml:space="preserve"> </w:t>
      </w:r>
      <w:r>
        <w:t>en</w:t>
      </w:r>
      <w:r>
        <w:rPr>
          <w:spacing w:val="-2"/>
        </w:rPr>
        <w:t xml:space="preserve"> </w:t>
      </w:r>
      <w:r>
        <w:t>objeto</w:t>
      </w:r>
      <w:r>
        <w:rPr>
          <w:spacing w:val="-3"/>
        </w:rPr>
        <w:t xml:space="preserve"> </w:t>
      </w:r>
      <w:r>
        <w:t>de</w:t>
      </w:r>
      <w:r>
        <w:rPr>
          <w:spacing w:val="-2"/>
        </w:rPr>
        <w:t xml:space="preserve"> </w:t>
      </w:r>
      <w:r>
        <w:t>desprecio.</w:t>
      </w:r>
      <w:r>
        <w:rPr>
          <w:spacing w:val="-2"/>
        </w:rPr>
        <w:t xml:space="preserve"> </w:t>
      </w:r>
      <w:r>
        <w:t>Las acciones</w:t>
      </w:r>
      <w:r>
        <w:rPr>
          <w:spacing w:val="2"/>
        </w:rPr>
        <w:t xml:space="preserve"> </w:t>
      </w:r>
      <w:r>
        <w:t>de</w:t>
      </w:r>
      <w:r>
        <w:rPr>
          <w:spacing w:val="4"/>
        </w:rPr>
        <w:t xml:space="preserve"> </w:t>
      </w:r>
      <w:r>
        <w:t>sevicia</w:t>
      </w:r>
      <w:r>
        <w:rPr>
          <w:spacing w:val="4"/>
        </w:rPr>
        <w:t xml:space="preserve"> </w:t>
      </w:r>
      <w:r>
        <w:t>y</w:t>
      </w:r>
      <w:r>
        <w:rPr>
          <w:spacing w:val="2"/>
        </w:rPr>
        <w:t xml:space="preserve"> </w:t>
      </w:r>
      <w:r>
        <w:t>crueldad</w:t>
      </w:r>
      <w:r>
        <w:rPr>
          <w:spacing w:val="3"/>
        </w:rPr>
        <w:t xml:space="preserve"> </w:t>
      </w:r>
      <w:r>
        <w:t>indiscriminadas</w:t>
      </w:r>
      <w:r>
        <w:rPr>
          <w:spacing w:val="4"/>
        </w:rPr>
        <w:t xml:space="preserve"> </w:t>
      </w:r>
      <w:r>
        <w:t>o</w:t>
      </w:r>
      <w:r>
        <w:rPr>
          <w:spacing w:val="1"/>
        </w:rPr>
        <w:t xml:space="preserve"> </w:t>
      </w:r>
      <w:r>
        <w:t>selectivas</w:t>
      </w:r>
      <w:r>
        <w:rPr>
          <w:spacing w:val="3"/>
        </w:rPr>
        <w:t xml:space="preserve"> </w:t>
      </w:r>
      <w:r>
        <w:t>contra</w:t>
      </w:r>
      <w:r>
        <w:rPr>
          <w:spacing w:val="4"/>
        </w:rPr>
        <w:t xml:space="preserve"> </w:t>
      </w:r>
      <w:r>
        <w:t>la</w:t>
      </w:r>
      <w:r>
        <w:rPr>
          <w:spacing w:val="3"/>
        </w:rPr>
        <w:t xml:space="preserve"> </w:t>
      </w:r>
      <w:r>
        <w:t>población</w:t>
      </w:r>
      <w:r>
        <w:rPr>
          <w:spacing w:val="3"/>
        </w:rPr>
        <w:t xml:space="preserve"> </w:t>
      </w:r>
      <w:r>
        <w:t>civil,</w:t>
      </w:r>
      <w:r>
        <w:rPr>
          <w:spacing w:val="3"/>
        </w:rPr>
        <w:t xml:space="preserve"> </w:t>
      </w:r>
      <w:r>
        <w:t>que</w:t>
      </w:r>
      <w:r>
        <w:rPr>
          <w:spacing w:val="4"/>
        </w:rPr>
        <w:t xml:space="preserve"> </w:t>
      </w:r>
      <w:r>
        <w:rPr>
          <w:spacing w:val="-5"/>
        </w:rPr>
        <w:t>se</w:t>
      </w:r>
      <w:r w:rsidR="00591E90">
        <w:t xml:space="preserve"> </w:t>
      </w:r>
      <w:r>
        <w:t>dieron</w:t>
      </w:r>
      <w:r>
        <w:rPr>
          <w:spacing w:val="-5"/>
        </w:rPr>
        <w:t xml:space="preserve"> </w:t>
      </w:r>
      <w:r>
        <w:t>desde</w:t>
      </w:r>
      <w:r>
        <w:rPr>
          <w:spacing w:val="-6"/>
        </w:rPr>
        <w:t xml:space="preserve"> </w:t>
      </w:r>
      <w:r>
        <w:t>la</w:t>
      </w:r>
      <w:r>
        <w:rPr>
          <w:spacing w:val="-5"/>
        </w:rPr>
        <w:t xml:space="preserve"> </w:t>
      </w:r>
      <w:r>
        <w:t>época</w:t>
      </w:r>
      <w:r>
        <w:rPr>
          <w:spacing w:val="-5"/>
        </w:rPr>
        <w:t xml:space="preserve"> </w:t>
      </w:r>
      <w:r>
        <w:t>de</w:t>
      </w:r>
      <w:r>
        <w:rPr>
          <w:spacing w:val="-5"/>
        </w:rPr>
        <w:t xml:space="preserve"> </w:t>
      </w:r>
      <w:r>
        <w:t>La</w:t>
      </w:r>
      <w:r>
        <w:rPr>
          <w:spacing w:val="-5"/>
        </w:rPr>
        <w:t xml:space="preserve"> </w:t>
      </w:r>
      <w:r>
        <w:t>Violencia</w:t>
      </w:r>
      <w:r>
        <w:rPr>
          <w:spacing w:val="-5"/>
        </w:rPr>
        <w:t xml:space="preserve"> </w:t>
      </w:r>
      <w:r>
        <w:t>y</w:t>
      </w:r>
      <w:r>
        <w:rPr>
          <w:spacing w:val="-5"/>
        </w:rPr>
        <w:t xml:space="preserve"> </w:t>
      </w:r>
      <w:r>
        <w:t>se</w:t>
      </w:r>
      <w:r>
        <w:rPr>
          <w:spacing w:val="-5"/>
        </w:rPr>
        <w:t xml:space="preserve"> </w:t>
      </w:r>
      <w:r>
        <w:t>agudizaron</w:t>
      </w:r>
      <w:r>
        <w:rPr>
          <w:spacing w:val="-5"/>
        </w:rPr>
        <w:t xml:space="preserve"> </w:t>
      </w:r>
      <w:r>
        <w:t>en</w:t>
      </w:r>
      <w:r>
        <w:rPr>
          <w:spacing w:val="-5"/>
        </w:rPr>
        <w:t xml:space="preserve"> </w:t>
      </w:r>
      <w:r>
        <w:t>el</w:t>
      </w:r>
      <w:r>
        <w:rPr>
          <w:spacing w:val="-4"/>
        </w:rPr>
        <w:t xml:space="preserve"> </w:t>
      </w:r>
      <w:r>
        <w:t>conflicto</w:t>
      </w:r>
      <w:r>
        <w:rPr>
          <w:spacing w:val="-5"/>
        </w:rPr>
        <w:t xml:space="preserve"> </w:t>
      </w:r>
      <w:r>
        <w:t>armado,</w:t>
      </w:r>
      <w:r>
        <w:rPr>
          <w:spacing w:val="-5"/>
        </w:rPr>
        <w:t xml:space="preserve"> </w:t>
      </w:r>
      <w:r>
        <w:t>han</w:t>
      </w:r>
      <w:r>
        <w:rPr>
          <w:spacing w:val="-5"/>
        </w:rPr>
        <w:t xml:space="preserve"> </w:t>
      </w:r>
      <w:r>
        <w:t>tenido</w:t>
      </w:r>
      <w:r>
        <w:rPr>
          <w:spacing w:val="-5"/>
        </w:rPr>
        <w:t xml:space="preserve"> </w:t>
      </w:r>
      <w:r>
        <w:t>un objetivo</w:t>
      </w:r>
      <w:r>
        <w:rPr>
          <w:spacing w:val="-9"/>
        </w:rPr>
        <w:t xml:space="preserve"> </w:t>
      </w:r>
      <w:r>
        <w:t>instrumental</w:t>
      </w:r>
      <w:r>
        <w:rPr>
          <w:spacing w:val="-10"/>
        </w:rPr>
        <w:t xml:space="preserve"> </w:t>
      </w:r>
      <w:r>
        <w:t>de</w:t>
      </w:r>
      <w:r>
        <w:rPr>
          <w:spacing w:val="-10"/>
        </w:rPr>
        <w:t xml:space="preserve"> </w:t>
      </w:r>
      <w:r>
        <w:t>eliminar</w:t>
      </w:r>
      <w:r>
        <w:rPr>
          <w:spacing w:val="-9"/>
        </w:rPr>
        <w:t xml:space="preserve"> </w:t>
      </w:r>
      <w:r>
        <w:t>al</w:t>
      </w:r>
      <w:r>
        <w:rPr>
          <w:spacing w:val="-9"/>
        </w:rPr>
        <w:t xml:space="preserve"> </w:t>
      </w:r>
      <w:r>
        <w:t>otro,</w:t>
      </w:r>
      <w:r>
        <w:rPr>
          <w:spacing w:val="-9"/>
        </w:rPr>
        <w:t xml:space="preserve"> </w:t>
      </w:r>
      <w:r>
        <w:t>pero</w:t>
      </w:r>
      <w:r>
        <w:rPr>
          <w:spacing w:val="-11"/>
        </w:rPr>
        <w:t xml:space="preserve"> </w:t>
      </w:r>
      <w:r>
        <w:t>también</w:t>
      </w:r>
      <w:r>
        <w:rPr>
          <w:spacing w:val="-9"/>
        </w:rPr>
        <w:t xml:space="preserve"> </w:t>
      </w:r>
      <w:r>
        <w:t>simbólico,</w:t>
      </w:r>
      <w:r>
        <w:rPr>
          <w:spacing w:val="-9"/>
        </w:rPr>
        <w:t xml:space="preserve"> </w:t>
      </w:r>
      <w:r>
        <w:t>al</w:t>
      </w:r>
      <w:r>
        <w:rPr>
          <w:spacing w:val="-10"/>
        </w:rPr>
        <w:t xml:space="preserve"> </w:t>
      </w:r>
      <w:r>
        <w:t>paralizar</w:t>
      </w:r>
      <w:r>
        <w:rPr>
          <w:spacing w:val="-10"/>
        </w:rPr>
        <w:t xml:space="preserve"> </w:t>
      </w:r>
      <w:r>
        <w:t>las</w:t>
      </w:r>
      <w:r>
        <w:rPr>
          <w:spacing w:val="-10"/>
        </w:rPr>
        <w:t xml:space="preserve"> </w:t>
      </w:r>
      <w:r>
        <w:t>actividades y movimientos colectivos. A ellas cabría añadir una de especial alcance: la desconexión moral</w:t>
      </w:r>
      <w:r>
        <w:rPr>
          <w:spacing w:val="-15"/>
        </w:rPr>
        <w:t xml:space="preserve"> </w:t>
      </w:r>
      <w:r>
        <w:t>respecto</w:t>
      </w:r>
      <w:r>
        <w:rPr>
          <w:spacing w:val="-14"/>
        </w:rPr>
        <w:t xml:space="preserve"> </w:t>
      </w:r>
      <w:r>
        <w:t>a</w:t>
      </w:r>
      <w:r>
        <w:rPr>
          <w:spacing w:val="-14"/>
        </w:rPr>
        <w:t xml:space="preserve"> </w:t>
      </w:r>
      <w:r>
        <w:t>las</w:t>
      </w:r>
      <w:r>
        <w:rPr>
          <w:spacing w:val="-14"/>
        </w:rPr>
        <w:t xml:space="preserve"> </w:t>
      </w:r>
      <w:r>
        <w:t>víctimas</w:t>
      </w:r>
      <w:r>
        <w:rPr>
          <w:spacing w:val="-14"/>
        </w:rPr>
        <w:t xml:space="preserve"> </w:t>
      </w:r>
      <w:r>
        <w:t>que</w:t>
      </w:r>
      <w:r>
        <w:rPr>
          <w:spacing w:val="-14"/>
        </w:rPr>
        <w:t xml:space="preserve"> </w:t>
      </w:r>
      <w:r>
        <w:t>se</w:t>
      </w:r>
      <w:r>
        <w:rPr>
          <w:spacing w:val="-14"/>
        </w:rPr>
        <w:t xml:space="preserve"> </w:t>
      </w:r>
      <w:r>
        <w:t>consideran</w:t>
      </w:r>
      <w:r>
        <w:rPr>
          <w:spacing w:val="-14"/>
        </w:rPr>
        <w:t xml:space="preserve"> </w:t>
      </w:r>
      <w:r>
        <w:t>y</w:t>
      </w:r>
      <w:r>
        <w:rPr>
          <w:spacing w:val="-15"/>
        </w:rPr>
        <w:t xml:space="preserve"> </w:t>
      </w:r>
      <w:r>
        <w:t>se</w:t>
      </w:r>
      <w:r>
        <w:rPr>
          <w:spacing w:val="-14"/>
        </w:rPr>
        <w:t xml:space="preserve"> </w:t>
      </w:r>
      <w:r>
        <w:t>perciben</w:t>
      </w:r>
      <w:r>
        <w:rPr>
          <w:spacing w:val="-14"/>
        </w:rPr>
        <w:t xml:space="preserve"> </w:t>
      </w:r>
      <w:r>
        <w:t>como</w:t>
      </w:r>
      <w:r>
        <w:rPr>
          <w:spacing w:val="-14"/>
        </w:rPr>
        <w:t xml:space="preserve"> </w:t>
      </w:r>
      <w:r>
        <w:t>ajenas;</w:t>
      </w:r>
      <w:r>
        <w:rPr>
          <w:spacing w:val="-14"/>
        </w:rPr>
        <w:t xml:space="preserve"> </w:t>
      </w:r>
      <w:r>
        <w:t>la</w:t>
      </w:r>
      <w:r>
        <w:rPr>
          <w:spacing w:val="-14"/>
        </w:rPr>
        <w:t xml:space="preserve"> </w:t>
      </w:r>
      <w:r>
        <w:t>falta</w:t>
      </w:r>
      <w:r>
        <w:rPr>
          <w:spacing w:val="-14"/>
        </w:rPr>
        <w:t xml:space="preserve"> </w:t>
      </w:r>
      <w:r>
        <w:t>de</w:t>
      </w:r>
      <w:r>
        <w:rPr>
          <w:spacing w:val="-14"/>
        </w:rPr>
        <w:t xml:space="preserve"> </w:t>
      </w:r>
      <w:r>
        <w:t>empatía con ese dolor es parte de lo que Colombia necesita transformar, como una energía para la construcción de la paz.</w:t>
      </w:r>
    </w:p>
    <w:p w:rsidR="003804AC" w:rsidRDefault="00AF18A5" w:rsidP="008D0AE4">
      <w:r>
        <w:t xml:space="preserve">Muchos de estos impactos, aunque a veces denunciados, han sido invisibilizados como hechos silentes y alimentan la guerra. Dada su reiteración, aumenta la insensibilidad por el sufrimiento ajeno. En </w:t>
      </w:r>
      <w:r>
        <w:lastRenderedPageBreak/>
        <w:t>contextos de arraigada y prolongada violencia colectiva como en Colombia,</w:t>
      </w:r>
      <w:r>
        <w:rPr>
          <w:spacing w:val="-6"/>
        </w:rPr>
        <w:t xml:space="preserve"> </w:t>
      </w:r>
      <w:r>
        <w:t>el</w:t>
      </w:r>
      <w:r>
        <w:rPr>
          <w:spacing w:val="-5"/>
        </w:rPr>
        <w:t xml:space="preserve"> </w:t>
      </w:r>
      <w:r>
        <w:t>desapego</w:t>
      </w:r>
      <w:r>
        <w:rPr>
          <w:spacing w:val="-6"/>
        </w:rPr>
        <w:t xml:space="preserve"> </w:t>
      </w:r>
      <w:r>
        <w:t>emocional</w:t>
      </w:r>
      <w:r>
        <w:rPr>
          <w:spacing w:val="-5"/>
        </w:rPr>
        <w:t xml:space="preserve"> </w:t>
      </w:r>
      <w:r>
        <w:t>y</w:t>
      </w:r>
      <w:r>
        <w:rPr>
          <w:spacing w:val="-6"/>
        </w:rPr>
        <w:t xml:space="preserve"> </w:t>
      </w:r>
      <w:r>
        <w:t>la</w:t>
      </w:r>
      <w:r>
        <w:rPr>
          <w:spacing w:val="-6"/>
        </w:rPr>
        <w:t xml:space="preserve"> </w:t>
      </w:r>
      <w:r>
        <w:t>desensibilización</w:t>
      </w:r>
      <w:r>
        <w:rPr>
          <w:spacing w:val="-6"/>
        </w:rPr>
        <w:t xml:space="preserve"> </w:t>
      </w:r>
      <w:r>
        <w:t>son</w:t>
      </w:r>
      <w:r>
        <w:rPr>
          <w:spacing w:val="-6"/>
        </w:rPr>
        <w:t xml:space="preserve"> </w:t>
      </w:r>
      <w:r>
        <w:t>consecuencias</w:t>
      </w:r>
      <w:r>
        <w:rPr>
          <w:spacing w:val="-6"/>
        </w:rPr>
        <w:t xml:space="preserve"> </w:t>
      </w:r>
      <w:r>
        <w:t>psicológicas</w:t>
      </w:r>
      <w:r>
        <w:rPr>
          <w:spacing w:val="-6"/>
        </w:rPr>
        <w:t xml:space="preserve"> </w:t>
      </w:r>
      <w:r>
        <w:t>que a todos nos afectan. Miles de niños, niñas y adolescentes han resultado huérfanos por la guerra, han sido testigos de hechos atroces o han vivido ataques a su propia cotidianidad en sus comunidades, en la escuela, atentados contra sus maestros o la pérdida de posibilidades de educación. También han sido involucrados en la guerra por las diferentes partes y reclutados por grupos armados ilegales. Se estima que entre 26.900 y 35.641 niños, niñas y adolescentes</w:t>
      </w:r>
      <w:r>
        <w:rPr>
          <w:spacing w:val="-13"/>
        </w:rPr>
        <w:t xml:space="preserve"> </w:t>
      </w:r>
      <w:r>
        <w:t>fueron</w:t>
      </w:r>
      <w:r>
        <w:rPr>
          <w:spacing w:val="-12"/>
        </w:rPr>
        <w:t xml:space="preserve"> </w:t>
      </w:r>
      <w:r>
        <w:t>reclutados</w:t>
      </w:r>
      <w:r>
        <w:rPr>
          <w:spacing w:val="-12"/>
        </w:rPr>
        <w:t xml:space="preserve"> </w:t>
      </w:r>
      <w:r>
        <w:t>en</w:t>
      </w:r>
      <w:r>
        <w:rPr>
          <w:spacing w:val="-12"/>
        </w:rPr>
        <w:t xml:space="preserve"> </w:t>
      </w:r>
      <w:r>
        <w:t>el</w:t>
      </w:r>
      <w:r>
        <w:rPr>
          <w:spacing w:val="-11"/>
        </w:rPr>
        <w:t xml:space="preserve"> </w:t>
      </w:r>
      <w:r>
        <w:t>periodo</w:t>
      </w:r>
      <w:r>
        <w:rPr>
          <w:spacing w:val="-12"/>
        </w:rPr>
        <w:t xml:space="preserve"> </w:t>
      </w:r>
      <w:r>
        <w:t>1986-2017.</w:t>
      </w:r>
      <w:r>
        <w:rPr>
          <w:spacing w:val="-12"/>
        </w:rPr>
        <w:t xml:space="preserve"> </w:t>
      </w:r>
      <w:r>
        <w:t>Han</w:t>
      </w:r>
      <w:r>
        <w:rPr>
          <w:spacing w:val="-12"/>
        </w:rPr>
        <w:t xml:space="preserve"> </w:t>
      </w:r>
      <w:r>
        <w:t>tenido</w:t>
      </w:r>
      <w:r>
        <w:rPr>
          <w:spacing w:val="-12"/>
        </w:rPr>
        <w:t xml:space="preserve"> </w:t>
      </w:r>
      <w:r>
        <w:t>que</w:t>
      </w:r>
      <w:r>
        <w:rPr>
          <w:spacing w:val="-12"/>
        </w:rPr>
        <w:t xml:space="preserve"> </w:t>
      </w:r>
      <w:r>
        <w:t>enfrentar</w:t>
      </w:r>
      <w:r>
        <w:rPr>
          <w:spacing w:val="-11"/>
        </w:rPr>
        <w:t xml:space="preserve"> </w:t>
      </w:r>
      <w:r>
        <w:t>el</w:t>
      </w:r>
      <w:r>
        <w:rPr>
          <w:spacing w:val="-13"/>
        </w:rPr>
        <w:t xml:space="preserve"> </w:t>
      </w:r>
      <w:r>
        <w:t>impacto emocional y en su propio desarrollo de socializarse en la guerra, sin familiares ni vínculos afectivos determinantes para la construcción de su personalidad, o se han visto violentados por la desprotección del Estado. La falta de futuro es un impacto dramático y, a la vez, invisible en esa niñez afectada por la guerra.</w:t>
      </w:r>
    </w:p>
    <w:p w:rsidR="008D0AE4" w:rsidRDefault="008D0AE4" w:rsidP="008D0AE4">
      <w:pPr>
        <w:pStyle w:val="Textoindependiente"/>
        <w:ind w:left="30" w:right="26" w:firstLine="284"/>
        <w:jc w:val="both"/>
        <w:rPr>
          <w:color w:val="000000"/>
        </w:rPr>
      </w:pPr>
      <w:r>
        <w:rPr>
          <w:color w:val="000009"/>
        </w:rPr>
        <w:t>Desde hace décadas, la sociedad civil se ha movilizado para lograr la paz y superar las condiciones de exclusión social y violencia. Esos esfuerzos han pasado por la participación en movimientos sociales, la lucha por la tierra del movimiento campesino, los reclamos de comunidades</w:t>
      </w:r>
      <w:r>
        <w:rPr>
          <w:color w:val="000009"/>
          <w:spacing w:val="-13"/>
        </w:rPr>
        <w:t xml:space="preserve"> </w:t>
      </w:r>
      <w:r>
        <w:rPr>
          <w:color w:val="000009"/>
        </w:rPr>
        <w:t>afrodescendientes</w:t>
      </w:r>
      <w:r>
        <w:rPr>
          <w:color w:val="000009"/>
          <w:spacing w:val="-13"/>
        </w:rPr>
        <w:t xml:space="preserve"> </w:t>
      </w:r>
      <w:r>
        <w:rPr>
          <w:color w:val="000009"/>
        </w:rPr>
        <w:t>e</w:t>
      </w:r>
      <w:r>
        <w:rPr>
          <w:color w:val="000009"/>
          <w:spacing w:val="-14"/>
        </w:rPr>
        <w:t xml:space="preserve"> </w:t>
      </w:r>
      <w:r>
        <w:rPr>
          <w:color w:val="000009"/>
        </w:rPr>
        <w:t>indígenas</w:t>
      </w:r>
      <w:r>
        <w:rPr>
          <w:color w:val="000009"/>
          <w:spacing w:val="-14"/>
        </w:rPr>
        <w:t xml:space="preserve"> </w:t>
      </w:r>
      <w:r>
        <w:rPr>
          <w:color w:val="000009"/>
        </w:rPr>
        <w:t>por</w:t>
      </w:r>
      <w:r>
        <w:rPr>
          <w:color w:val="000009"/>
          <w:spacing w:val="-14"/>
        </w:rPr>
        <w:t xml:space="preserve"> </w:t>
      </w:r>
      <w:r>
        <w:rPr>
          <w:color w:val="000009"/>
        </w:rPr>
        <w:t>su</w:t>
      </w:r>
      <w:r>
        <w:rPr>
          <w:color w:val="000009"/>
          <w:spacing w:val="-13"/>
        </w:rPr>
        <w:t xml:space="preserve"> </w:t>
      </w:r>
      <w:r>
        <w:rPr>
          <w:color w:val="000009"/>
        </w:rPr>
        <w:t>cultura</w:t>
      </w:r>
      <w:r>
        <w:rPr>
          <w:color w:val="000009"/>
          <w:spacing w:val="-14"/>
        </w:rPr>
        <w:t xml:space="preserve"> </w:t>
      </w:r>
      <w:r>
        <w:rPr>
          <w:color w:val="000009"/>
        </w:rPr>
        <w:t>y</w:t>
      </w:r>
      <w:r>
        <w:rPr>
          <w:color w:val="000009"/>
          <w:spacing w:val="-14"/>
        </w:rPr>
        <w:t xml:space="preserve"> </w:t>
      </w:r>
      <w:r>
        <w:rPr>
          <w:color w:val="000009"/>
        </w:rPr>
        <w:t>territorio,</w:t>
      </w:r>
      <w:r>
        <w:rPr>
          <w:color w:val="000009"/>
          <w:spacing w:val="-14"/>
        </w:rPr>
        <w:t xml:space="preserve"> </w:t>
      </w:r>
      <w:r>
        <w:rPr>
          <w:color w:val="000009"/>
        </w:rPr>
        <w:t>la</w:t>
      </w:r>
      <w:r>
        <w:rPr>
          <w:color w:val="000009"/>
          <w:spacing w:val="-14"/>
        </w:rPr>
        <w:t xml:space="preserve"> </w:t>
      </w:r>
      <w:r>
        <w:rPr>
          <w:color w:val="000009"/>
        </w:rPr>
        <w:t>lucha</w:t>
      </w:r>
      <w:r>
        <w:rPr>
          <w:color w:val="000009"/>
          <w:spacing w:val="-13"/>
        </w:rPr>
        <w:t xml:space="preserve"> </w:t>
      </w:r>
      <w:r>
        <w:rPr>
          <w:color w:val="000009"/>
        </w:rPr>
        <w:t>de</w:t>
      </w:r>
      <w:r>
        <w:rPr>
          <w:color w:val="000009"/>
          <w:spacing w:val="-14"/>
        </w:rPr>
        <w:t xml:space="preserve"> </w:t>
      </w:r>
      <w:r>
        <w:rPr>
          <w:color w:val="000009"/>
        </w:rPr>
        <w:t>las</w:t>
      </w:r>
      <w:r>
        <w:rPr>
          <w:color w:val="000009"/>
          <w:spacing w:val="-14"/>
        </w:rPr>
        <w:t xml:space="preserve"> </w:t>
      </w:r>
      <w:r>
        <w:rPr>
          <w:color w:val="000009"/>
        </w:rPr>
        <w:t>mujeres por una salida política al conflicto, la papeleta por la paz de los jóvenes repartida por las calles</w:t>
      </w:r>
      <w:r>
        <w:rPr>
          <w:color w:val="000009"/>
          <w:spacing w:val="-1"/>
        </w:rPr>
        <w:t xml:space="preserve"> </w:t>
      </w:r>
      <w:r>
        <w:rPr>
          <w:color w:val="000009"/>
        </w:rPr>
        <w:t>o</w:t>
      </w:r>
      <w:r>
        <w:rPr>
          <w:color w:val="000009"/>
          <w:spacing w:val="-2"/>
        </w:rPr>
        <w:t xml:space="preserve"> </w:t>
      </w:r>
      <w:r>
        <w:rPr>
          <w:color w:val="000009"/>
        </w:rPr>
        <w:t>impresa</w:t>
      </w:r>
      <w:r>
        <w:rPr>
          <w:color w:val="000009"/>
          <w:spacing w:val="-2"/>
        </w:rPr>
        <w:t xml:space="preserve"> </w:t>
      </w:r>
      <w:r>
        <w:rPr>
          <w:color w:val="000009"/>
        </w:rPr>
        <w:t>en</w:t>
      </w:r>
      <w:r>
        <w:rPr>
          <w:color w:val="000009"/>
          <w:spacing w:val="-1"/>
        </w:rPr>
        <w:t xml:space="preserve"> </w:t>
      </w:r>
      <w:r>
        <w:rPr>
          <w:color w:val="000009"/>
        </w:rPr>
        <w:t>periódicos</w:t>
      </w:r>
      <w:r>
        <w:rPr>
          <w:color w:val="000009"/>
          <w:spacing w:val="-1"/>
        </w:rPr>
        <w:t xml:space="preserve"> </w:t>
      </w:r>
      <w:r>
        <w:rPr>
          <w:color w:val="000009"/>
        </w:rPr>
        <w:t>para</w:t>
      </w:r>
      <w:r>
        <w:rPr>
          <w:color w:val="000009"/>
          <w:spacing w:val="-2"/>
        </w:rPr>
        <w:t xml:space="preserve"> </w:t>
      </w:r>
      <w:r>
        <w:rPr>
          <w:color w:val="000009"/>
        </w:rPr>
        <w:t>votar</w:t>
      </w:r>
      <w:r>
        <w:rPr>
          <w:color w:val="000009"/>
          <w:spacing w:val="-1"/>
        </w:rPr>
        <w:t xml:space="preserve"> </w:t>
      </w:r>
      <w:r>
        <w:rPr>
          <w:color w:val="000009"/>
        </w:rPr>
        <w:t>pidiendo</w:t>
      </w:r>
      <w:r>
        <w:rPr>
          <w:color w:val="000009"/>
          <w:spacing w:val="-1"/>
        </w:rPr>
        <w:t xml:space="preserve"> </w:t>
      </w:r>
      <w:r>
        <w:rPr>
          <w:color w:val="000009"/>
        </w:rPr>
        <w:t>una</w:t>
      </w:r>
      <w:r>
        <w:rPr>
          <w:color w:val="000009"/>
          <w:spacing w:val="-1"/>
        </w:rPr>
        <w:t xml:space="preserve"> </w:t>
      </w:r>
      <w:r>
        <w:rPr>
          <w:color w:val="000009"/>
        </w:rPr>
        <w:t>nueva</w:t>
      </w:r>
      <w:r>
        <w:rPr>
          <w:color w:val="000009"/>
          <w:spacing w:val="-1"/>
        </w:rPr>
        <w:t xml:space="preserve"> </w:t>
      </w:r>
      <w:r>
        <w:rPr>
          <w:color w:val="000009"/>
        </w:rPr>
        <w:t>constitución</w:t>
      </w:r>
      <w:r>
        <w:rPr>
          <w:color w:val="000009"/>
          <w:spacing w:val="-1"/>
        </w:rPr>
        <w:t xml:space="preserve"> </w:t>
      </w:r>
      <w:r>
        <w:rPr>
          <w:color w:val="000009"/>
        </w:rPr>
        <w:t>en</w:t>
      </w:r>
      <w:r>
        <w:rPr>
          <w:color w:val="000009"/>
          <w:spacing w:val="-1"/>
        </w:rPr>
        <w:t xml:space="preserve"> </w:t>
      </w:r>
      <w:r>
        <w:rPr>
          <w:color w:val="000009"/>
        </w:rPr>
        <w:t>1990.</w:t>
      </w:r>
      <w:r>
        <w:rPr>
          <w:color w:val="000009"/>
          <w:spacing w:val="-2"/>
        </w:rPr>
        <w:t xml:space="preserve"> </w:t>
      </w:r>
      <w:r>
        <w:rPr>
          <w:color w:val="000009"/>
        </w:rPr>
        <w:t>Muchos miembros del aparato del Estado han defendido a la población, periodistas y funcionarios han llevado a cabo investigaciones de casos graves de violaciones de derechos humanos y del</w:t>
      </w:r>
      <w:r>
        <w:rPr>
          <w:color w:val="000009"/>
          <w:spacing w:val="7"/>
        </w:rPr>
        <w:t xml:space="preserve"> </w:t>
      </w:r>
      <w:r>
        <w:rPr>
          <w:color w:val="000009"/>
        </w:rPr>
        <w:t>DIH,</w:t>
      </w:r>
      <w:r>
        <w:rPr>
          <w:color w:val="000009"/>
          <w:spacing w:val="9"/>
        </w:rPr>
        <w:t xml:space="preserve"> </w:t>
      </w:r>
      <w:r>
        <w:rPr>
          <w:color w:val="000009"/>
        </w:rPr>
        <w:t>aun</w:t>
      </w:r>
      <w:r>
        <w:rPr>
          <w:color w:val="000009"/>
          <w:spacing w:val="8"/>
        </w:rPr>
        <w:t xml:space="preserve"> </w:t>
      </w:r>
      <w:r>
        <w:rPr>
          <w:color w:val="000009"/>
        </w:rPr>
        <w:t>a</w:t>
      </w:r>
      <w:r>
        <w:rPr>
          <w:color w:val="000009"/>
          <w:spacing w:val="9"/>
        </w:rPr>
        <w:t xml:space="preserve"> </w:t>
      </w:r>
      <w:r>
        <w:rPr>
          <w:color w:val="000009"/>
        </w:rPr>
        <w:t>costa</w:t>
      </w:r>
      <w:r>
        <w:rPr>
          <w:color w:val="000009"/>
          <w:spacing w:val="8"/>
        </w:rPr>
        <w:t xml:space="preserve"> </w:t>
      </w:r>
      <w:r>
        <w:rPr>
          <w:color w:val="000009"/>
        </w:rPr>
        <w:t>de</w:t>
      </w:r>
      <w:r>
        <w:rPr>
          <w:color w:val="000009"/>
          <w:spacing w:val="8"/>
        </w:rPr>
        <w:t xml:space="preserve"> </w:t>
      </w:r>
      <w:r>
        <w:rPr>
          <w:color w:val="000009"/>
        </w:rPr>
        <w:t>sus</w:t>
      </w:r>
      <w:r>
        <w:rPr>
          <w:color w:val="000009"/>
          <w:spacing w:val="8"/>
        </w:rPr>
        <w:t xml:space="preserve"> </w:t>
      </w:r>
      <w:r>
        <w:rPr>
          <w:color w:val="000009"/>
        </w:rPr>
        <w:t>vidas.</w:t>
      </w:r>
      <w:r>
        <w:rPr>
          <w:color w:val="000009"/>
          <w:spacing w:val="9"/>
        </w:rPr>
        <w:t xml:space="preserve"> </w:t>
      </w:r>
      <w:r>
        <w:rPr>
          <w:color w:val="000009"/>
        </w:rPr>
        <w:t>Sin</w:t>
      </w:r>
      <w:r>
        <w:rPr>
          <w:color w:val="000009"/>
          <w:spacing w:val="9"/>
        </w:rPr>
        <w:t xml:space="preserve"> </w:t>
      </w:r>
      <w:r>
        <w:rPr>
          <w:color w:val="000009"/>
        </w:rPr>
        <w:t>embargo,</w:t>
      </w:r>
      <w:r>
        <w:rPr>
          <w:color w:val="000009"/>
          <w:spacing w:val="7"/>
        </w:rPr>
        <w:t xml:space="preserve"> </w:t>
      </w:r>
      <w:r>
        <w:rPr>
          <w:color w:val="000009"/>
        </w:rPr>
        <w:t>la</w:t>
      </w:r>
      <w:r>
        <w:rPr>
          <w:color w:val="000009"/>
          <w:spacing w:val="9"/>
        </w:rPr>
        <w:t xml:space="preserve"> </w:t>
      </w:r>
      <w:r>
        <w:rPr>
          <w:color w:val="000009"/>
        </w:rPr>
        <w:t>paz</w:t>
      </w:r>
      <w:r>
        <w:rPr>
          <w:color w:val="000009"/>
          <w:spacing w:val="8"/>
        </w:rPr>
        <w:t xml:space="preserve"> </w:t>
      </w:r>
      <w:r>
        <w:rPr>
          <w:color w:val="000009"/>
        </w:rPr>
        <w:t>ha</w:t>
      </w:r>
      <w:r>
        <w:rPr>
          <w:color w:val="000009"/>
          <w:spacing w:val="9"/>
        </w:rPr>
        <w:t xml:space="preserve"> </w:t>
      </w:r>
      <w:r>
        <w:rPr>
          <w:color w:val="000009"/>
        </w:rPr>
        <w:t>sido</w:t>
      </w:r>
      <w:r>
        <w:rPr>
          <w:color w:val="000009"/>
          <w:spacing w:val="8"/>
        </w:rPr>
        <w:t xml:space="preserve"> </w:t>
      </w:r>
      <w:r>
        <w:rPr>
          <w:color w:val="000009"/>
        </w:rPr>
        <w:t>esquiva,</w:t>
      </w:r>
      <w:r>
        <w:rPr>
          <w:color w:val="000009"/>
          <w:spacing w:val="9"/>
        </w:rPr>
        <w:t xml:space="preserve"> </w:t>
      </w:r>
      <w:r>
        <w:rPr>
          <w:color w:val="000009"/>
        </w:rPr>
        <w:t>y</w:t>
      </w:r>
      <w:r>
        <w:rPr>
          <w:color w:val="000009"/>
          <w:spacing w:val="7"/>
        </w:rPr>
        <w:t xml:space="preserve"> </w:t>
      </w:r>
      <w:r>
        <w:rPr>
          <w:color w:val="000009"/>
        </w:rPr>
        <w:t>cada</w:t>
      </w:r>
      <w:r>
        <w:rPr>
          <w:color w:val="000009"/>
          <w:spacing w:val="9"/>
        </w:rPr>
        <w:t xml:space="preserve"> </w:t>
      </w:r>
      <w:r>
        <w:rPr>
          <w:color w:val="000009"/>
        </w:rPr>
        <w:t>nuevo</w:t>
      </w:r>
      <w:r>
        <w:rPr>
          <w:color w:val="000009"/>
          <w:spacing w:val="8"/>
        </w:rPr>
        <w:t xml:space="preserve"> </w:t>
      </w:r>
      <w:r>
        <w:rPr>
          <w:color w:val="000009"/>
          <w:spacing w:val="-2"/>
        </w:rPr>
        <w:t xml:space="preserve">ciclo </w:t>
      </w:r>
      <w:r w:rsidRPr="008D0AE4">
        <w:rPr>
          <w:color w:val="000009"/>
          <w:spacing w:val="-2"/>
        </w:rPr>
        <w:t xml:space="preserve">de la guerra ha distanciado las expectativas por tomarla entre las manos. La impunidad </w:t>
      </w:r>
      <w:r w:rsidRPr="008D0AE4">
        <w:rPr>
          <w:color w:val="000009"/>
          <w:spacing w:val="-2"/>
        </w:rPr>
        <w:lastRenderedPageBreak/>
        <w:t>frente a tantos hechos atroces que se mantiene en el tiempo también causa impacto, no solo en las víctimas del conflicto armado, sino, además, en las representaciones y actitudes sociales de la ciudadanía frente al poder y en la pérdida del sentido de justicia. Este es apenas un boceto del tamaño de la herida.</w:t>
      </w:r>
    </w:p>
    <w:p w:rsidR="003804AC" w:rsidRDefault="00AF18A5" w:rsidP="008D0AE4">
      <w:r>
        <w:t>La enorme capacidad de la gente en Colombia es lo que ha impedido que la tragedia ocasionada por el conflicto armado alcance mayores dimensiones o se convierta en una sociedad</w:t>
      </w:r>
      <w:r>
        <w:rPr>
          <w:spacing w:val="-2"/>
        </w:rPr>
        <w:t xml:space="preserve"> </w:t>
      </w:r>
      <w:r>
        <w:t>fallida.</w:t>
      </w:r>
      <w:r>
        <w:rPr>
          <w:spacing w:val="-2"/>
        </w:rPr>
        <w:t xml:space="preserve"> </w:t>
      </w:r>
      <w:r>
        <w:t>Estas</w:t>
      </w:r>
      <w:r>
        <w:rPr>
          <w:spacing w:val="-2"/>
        </w:rPr>
        <w:t xml:space="preserve"> </w:t>
      </w:r>
      <w:r>
        <w:t>heridas,</w:t>
      </w:r>
      <w:r>
        <w:rPr>
          <w:spacing w:val="-2"/>
        </w:rPr>
        <w:t xml:space="preserve"> </w:t>
      </w:r>
      <w:r>
        <w:t>además</w:t>
      </w:r>
      <w:r>
        <w:rPr>
          <w:spacing w:val="-2"/>
        </w:rPr>
        <w:t xml:space="preserve"> </w:t>
      </w:r>
      <w:r>
        <w:t>de</w:t>
      </w:r>
      <w:r>
        <w:rPr>
          <w:spacing w:val="-2"/>
        </w:rPr>
        <w:t xml:space="preserve"> </w:t>
      </w:r>
      <w:r>
        <w:t>la</w:t>
      </w:r>
      <w:r>
        <w:rPr>
          <w:spacing w:val="-2"/>
        </w:rPr>
        <w:t xml:space="preserve"> </w:t>
      </w:r>
      <w:r>
        <w:t>necesidad</w:t>
      </w:r>
      <w:r>
        <w:rPr>
          <w:spacing w:val="-2"/>
        </w:rPr>
        <w:t xml:space="preserve"> </w:t>
      </w:r>
      <w:r>
        <w:t>de</w:t>
      </w:r>
      <w:r>
        <w:rPr>
          <w:spacing w:val="-2"/>
        </w:rPr>
        <w:t xml:space="preserve"> </w:t>
      </w:r>
      <w:r>
        <w:t>elaboración</w:t>
      </w:r>
      <w:r>
        <w:rPr>
          <w:spacing w:val="-2"/>
        </w:rPr>
        <w:t xml:space="preserve"> </w:t>
      </w:r>
      <w:r>
        <w:t>individual</w:t>
      </w:r>
      <w:r>
        <w:rPr>
          <w:spacing w:val="-2"/>
        </w:rPr>
        <w:t xml:space="preserve"> </w:t>
      </w:r>
      <w:r>
        <w:t>y</w:t>
      </w:r>
      <w:r>
        <w:rPr>
          <w:spacing w:val="-2"/>
        </w:rPr>
        <w:t xml:space="preserve"> </w:t>
      </w:r>
      <w:r>
        <w:t xml:space="preserve">familiar, necesitan curarse en el marco del reconocimiento social de este desastre y de la reconstrucción de las relaciones éticas entre las personas, hasta que </w:t>
      </w:r>
      <w:r>
        <w:rPr>
          <w:color w:val="1F2023"/>
        </w:rPr>
        <w:t xml:space="preserve">ninguna </w:t>
      </w:r>
      <w:r>
        <w:t>causa esté por encima</w:t>
      </w:r>
      <w:r>
        <w:rPr>
          <w:spacing w:val="-6"/>
        </w:rPr>
        <w:t xml:space="preserve"> </w:t>
      </w:r>
      <w:r>
        <w:t>de</w:t>
      </w:r>
      <w:r>
        <w:rPr>
          <w:spacing w:val="-6"/>
        </w:rPr>
        <w:t xml:space="preserve"> </w:t>
      </w:r>
      <w:r>
        <w:t>la</w:t>
      </w:r>
      <w:r>
        <w:rPr>
          <w:spacing w:val="-7"/>
        </w:rPr>
        <w:t xml:space="preserve"> </w:t>
      </w:r>
      <w:r>
        <w:t>vida</w:t>
      </w:r>
      <w:r>
        <w:rPr>
          <w:spacing w:val="-6"/>
        </w:rPr>
        <w:t xml:space="preserve"> </w:t>
      </w:r>
      <w:r>
        <w:t>y</w:t>
      </w:r>
      <w:r>
        <w:rPr>
          <w:spacing w:val="-6"/>
        </w:rPr>
        <w:t xml:space="preserve"> </w:t>
      </w:r>
      <w:r>
        <w:t>de</w:t>
      </w:r>
      <w:r>
        <w:rPr>
          <w:spacing w:val="-6"/>
        </w:rPr>
        <w:t xml:space="preserve"> </w:t>
      </w:r>
      <w:r>
        <w:t>la</w:t>
      </w:r>
      <w:r>
        <w:rPr>
          <w:spacing w:val="-5"/>
        </w:rPr>
        <w:t xml:space="preserve"> </w:t>
      </w:r>
      <w:r>
        <w:t>dignidad</w:t>
      </w:r>
      <w:r>
        <w:rPr>
          <w:spacing w:val="-6"/>
        </w:rPr>
        <w:t xml:space="preserve"> </w:t>
      </w:r>
      <w:r>
        <w:t>de</w:t>
      </w:r>
      <w:r>
        <w:rPr>
          <w:spacing w:val="-6"/>
        </w:rPr>
        <w:t xml:space="preserve"> </w:t>
      </w:r>
      <w:r>
        <w:t>todo</w:t>
      </w:r>
      <w:r>
        <w:rPr>
          <w:spacing w:val="-6"/>
        </w:rPr>
        <w:t xml:space="preserve"> </w:t>
      </w:r>
      <w:r>
        <w:t>ser</w:t>
      </w:r>
      <w:r>
        <w:rPr>
          <w:spacing w:val="-6"/>
        </w:rPr>
        <w:t xml:space="preserve"> </w:t>
      </w:r>
      <w:r>
        <w:t>humano.</w:t>
      </w:r>
      <w:r>
        <w:rPr>
          <w:spacing w:val="-6"/>
        </w:rPr>
        <w:t xml:space="preserve"> </w:t>
      </w:r>
      <w:r>
        <w:t>La</w:t>
      </w:r>
      <w:r>
        <w:rPr>
          <w:spacing w:val="-6"/>
        </w:rPr>
        <w:t xml:space="preserve"> </w:t>
      </w:r>
      <w:r>
        <w:t>escucha</w:t>
      </w:r>
      <w:r>
        <w:rPr>
          <w:spacing w:val="-6"/>
        </w:rPr>
        <w:t xml:space="preserve"> </w:t>
      </w:r>
      <w:r>
        <w:t>profunda</w:t>
      </w:r>
      <w:r>
        <w:rPr>
          <w:spacing w:val="-6"/>
        </w:rPr>
        <w:t xml:space="preserve"> </w:t>
      </w:r>
      <w:r>
        <w:t>realizada</w:t>
      </w:r>
      <w:r>
        <w:rPr>
          <w:spacing w:val="-6"/>
        </w:rPr>
        <w:t xml:space="preserve"> </w:t>
      </w:r>
      <w:r>
        <w:t>por</w:t>
      </w:r>
      <w:r>
        <w:rPr>
          <w:spacing w:val="-6"/>
        </w:rPr>
        <w:t xml:space="preserve"> </w:t>
      </w:r>
      <w:r>
        <w:t>la Comisión de la Verdad, que ha permitido ampliar el entendimiento de las implicaciones en el conflicto armado, se constituye en un paso hacia esa transformación.</w:t>
      </w:r>
    </w:p>
    <w:p w:rsidR="0011361F" w:rsidRDefault="00AF18A5" w:rsidP="004A6EF4">
      <w:pPr>
        <w:pStyle w:val="Ttulo3"/>
        <w:numPr>
          <w:ilvl w:val="1"/>
          <w:numId w:val="16"/>
        </w:numPr>
      </w:pPr>
      <w:bookmarkStart w:id="8" w:name="1.1._Acercarnos_a_la_experiencia_de_las_"/>
      <w:bookmarkStart w:id="9" w:name="_Toc112399521"/>
      <w:bookmarkEnd w:id="8"/>
      <w:r>
        <w:t>Acercarnos</w:t>
      </w:r>
      <w:r>
        <w:rPr>
          <w:spacing w:val="-2"/>
        </w:rPr>
        <w:t xml:space="preserve"> </w:t>
      </w:r>
      <w:r>
        <w:t>a</w:t>
      </w:r>
      <w:r>
        <w:rPr>
          <w:spacing w:val="-2"/>
        </w:rPr>
        <w:t xml:space="preserve"> </w:t>
      </w:r>
      <w:r>
        <w:t>la</w:t>
      </w:r>
      <w:r>
        <w:rPr>
          <w:spacing w:val="-1"/>
        </w:rPr>
        <w:t xml:space="preserve"> </w:t>
      </w:r>
      <w:r>
        <w:t>experiencia</w:t>
      </w:r>
      <w:r>
        <w:rPr>
          <w:spacing w:val="-2"/>
        </w:rPr>
        <w:t xml:space="preserve"> </w:t>
      </w:r>
      <w:r>
        <w:t>de</w:t>
      </w:r>
      <w:r>
        <w:rPr>
          <w:spacing w:val="-2"/>
        </w:rPr>
        <w:t xml:space="preserve"> </w:t>
      </w:r>
      <w:r>
        <w:t>las</w:t>
      </w:r>
      <w:r>
        <w:rPr>
          <w:spacing w:val="-1"/>
        </w:rPr>
        <w:t xml:space="preserve"> </w:t>
      </w:r>
      <w:r>
        <w:rPr>
          <w:spacing w:val="-2"/>
        </w:rPr>
        <w:t>víctimas</w:t>
      </w:r>
      <w:bookmarkEnd w:id="9"/>
    </w:p>
    <w:p w:rsidR="003804AC" w:rsidRDefault="00AF18A5" w:rsidP="008D0AE4">
      <w:r>
        <w:t>Este informe de la Comisión de la Verdad de Colombia comienza hablando de las víctimas y del impacto de la guerra en la sociedad. No lo hace desde el análisis histórico ni de otros aspectos</w:t>
      </w:r>
      <w:r>
        <w:rPr>
          <w:spacing w:val="-3"/>
        </w:rPr>
        <w:t xml:space="preserve"> </w:t>
      </w:r>
      <w:r>
        <w:t>que</w:t>
      </w:r>
      <w:r>
        <w:rPr>
          <w:spacing w:val="-4"/>
        </w:rPr>
        <w:t xml:space="preserve"> </w:t>
      </w:r>
      <w:r>
        <w:t>son</w:t>
      </w:r>
      <w:r>
        <w:rPr>
          <w:spacing w:val="-3"/>
        </w:rPr>
        <w:t xml:space="preserve"> </w:t>
      </w:r>
      <w:r>
        <w:t>profundamente</w:t>
      </w:r>
      <w:r>
        <w:rPr>
          <w:spacing w:val="-3"/>
        </w:rPr>
        <w:t xml:space="preserve"> </w:t>
      </w:r>
      <w:r>
        <w:t>relevantes</w:t>
      </w:r>
      <w:r>
        <w:rPr>
          <w:spacing w:val="-3"/>
        </w:rPr>
        <w:t xml:space="preserve"> </w:t>
      </w:r>
      <w:r>
        <w:t>y</w:t>
      </w:r>
      <w:r>
        <w:rPr>
          <w:spacing w:val="-3"/>
        </w:rPr>
        <w:t xml:space="preserve"> </w:t>
      </w:r>
      <w:r>
        <w:t>que</w:t>
      </w:r>
      <w:r>
        <w:rPr>
          <w:spacing w:val="-4"/>
        </w:rPr>
        <w:t xml:space="preserve"> </w:t>
      </w:r>
      <w:r>
        <w:t>entran</w:t>
      </w:r>
      <w:r>
        <w:rPr>
          <w:spacing w:val="-3"/>
        </w:rPr>
        <w:t xml:space="preserve"> </w:t>
      </w:r>
      <w:r>
        <w:t>en</w:t>
      </w:r>
      <w:r>
        <w:rPr>
          <w:spacing w:val="-3"/>
        </w:rPr>
        <w:t xml:space="preserve"> </w:t>
      </w:r>
      <w:r>
        <w:t>nuestro</w:t>
      </w:r>
      <w:r>
        <w:rPr>
          <w:spacing w:val="-4"/>
        </w:rPr>
        <w:t xml:space="preserve"> </w:t>
      </w:r>
      <w:r>
        <w:t>mandato.</w:t>
      </w:r>
      <w:r>
        <w:rPr>
          <w:spacing w:val="-3"/>
        </w:rPr>
        <w:t xml:space="preserve"> </w:t>
      </w:r>
      <w:r>
        <w:t>Lo</w:t>
      </w:r>
      <w:r>
        <w:rPr>
          <w:spacing w:val="-3"/>
        </w:rPr>
        <w:t xml:space="preserve"> </w:t>
      </w:r>
      <w:r>
        <w:t>hace</w:t>
      </w:r>
      <w:r>
        <w:rPr>
          <w:spacing w:val="-4"/>
        </w:rPr>
        <w:t xml:space="preserve"> </w:t>
      </w:r>
      <w:r>
        <w:t>desde la</w:t>
      </w:r>
      <w:r>
        <w:rPr>
          <w:spacing w:val="-2"/>
        </w:rPr>
        <w:t xml:space="preserve"> </w:t>
      </w:r>
      <w:r>
        <w:t>consideración</w:t>
      </w:r>
      <w:r>
        <w:rPr>
          <w:spacing w:val="-2"/>
        </w:rPr>
        <w:t xml:space="preserve"> </w:t>
      </w:r>
      <w:r>
        <w:t>de</w:t>
      </w:r>
      <w:r>
        <w:rPr>
          <w:spacing w:val="-2"/>
        </w:rPr>
        <w:t xml:space="preserve"> </w:t>
      </w:r>
      <w:r>
        <w:t>que</w:t>
      </w:r>
      <w:r>
        <w:rPr>
          <w:spacing w:val="-3"/>
        </w:rPr>
        <w:t xml:space="preserve"> </w:t>
      </w:r>
      <w:r>
        <w:t>reconocer</w:t>
      </w:r>
      <w:r>
        <w:rPr>
          <w:spacing w:val="-2"/>
        </w:rPr>
        <w:t xml:space="preserve"> </w:t>
      </w:r>
      <w:r>
        <w:t>este</w:t>
      </w:r>
      <w:r>
        <w:rPr>
          <w:spacing w:val="-2"/>
        </w:rPr>
        <w:t xml:space="preserve"> </w:t>
      </w:r>
      <w:r>
        <w:t>impacto</w:t>
      </w:r>
      <w:r>
        <w:rPr>
          <w:spacing w:val="-2"/>
        </w:rPr>
        <w:t xml:space="preserve"> </w:t>
      </w:r>
      <w:r>
        <w:t>y</w:t>
      </w:r>
      <w:r>
        <w:rPr>
          <w:spacing w:val="-4"/>
        </w:rPr>
        <w:t xml:space="preserve"> </w:t>
      </w:r>
      <w:r>
        <w:t>el</w:t>
      </w:r>
      <w:r>
        <w:rPr>
          <w:spacing w:val="-2"/>
        </w:rPr>
        <w:t xml:space="preserve"> </w:t>
      </w:r>
      <w:r>
        <w:t>respeto</w:t>
      </w:r>
      <w:r>
        <w:rPr>
          <w:spacing w:val="-2"/>
        </w:rPr>
        <w:t xml:space="preserve"> </w:t>
      </w:r>
      <w:r>
        <w:t>por</w:t>
      </w:r>
      <w:r>
        <w:rPr>
          <w:spacing w:val="-2"/>
        </w:rPr>
        <w:t xml:space="preserve"> </w:t>
      </w:r>
      <w:r>
        <w:t>la</w:t>
      </w:r>
      <w:r>
        <w:rPr>
          <w:spacing w:val="-2"/>
        </w:rPr>
        <w:t xml:space="preserve"> </w:t>
      </w:r>
      <w:r>
        <w:t>vida</w:t>
      </w:r>
      <w:r>
        <w:rPr>
          <w:spacing w:val="-2"/>
        </w:rPr>
        <w:t xml:space="preserve"> </w:t>
      </w:r>
      <w:r>
        <w:t>humana</w:t>
      </w:r>
      <w:r>
        <w:rPr>
          <w:spacing w:val="-2"/>
        </w:rPr>
        <w:t xml:space="preserve"> </w:t>
      </w:r>
      <w:r>
        <w:t>son</w:t>
      </w:r>
      <w:r>
        <w:rPr>
          <w:spacing w:val="-2"/>
        </w:rPr>
        <w:t xml:space="preserve"> </w:t>
      </w:r>
      <w:r>
        <w:t>el</w:t>
      </w:r>
      <w:r>
        <w:rPr>
          <w:spacing w:val="-3"/>
        </w:rPr>
        <w:t xml:space="preserve"> </w:t>
      </w:r>
      <w:r>
        <w:t xml:space="preserve">punto de partida para cualquier proceso de reconstrucción, diálogo social y propuesta de </w:t>
      </w:r>
      <w:r>
        <w:rPr>
          <w:spacing w:val="-2"/>
        </w:rPr>
        <w:t>transformación.</w:t>
      </w:r>
    </w:p>
    <w:p w:rsidR="0011361F" w:rsidRPr="008D0AE4" w:rsidRDefault="00AF18A5" w:rsidP="004A6EF4">
      <w:pPr>
        <w:pStyle w:val="Ttulo3"/>
        <w:numPr>
          <w:ilvl w:val="2"/>
          <w:numId w:val="16"/>
        </w:numPr>
      </w:pPr>
      <w:bookmarkStart w:id="10" w:name="1.1.1._Un_impacto_masivo_e_intolerable"/>
      <w:bookmarkStart w:id="11" w:name="_Toc112399522"/>
      <w:bookmarkEnd w:id="10"/>
      <w:r w:rsidRPr="008D0AE4">
        <w:t>Un impacto masivo e intolerable</w:t>
      </w:r>
      <w:bookmarkEnd w:id="11"/>
    </w:p>
    <w:p w:rsidR="003804AC" w:rsidRDefault="00AF18A5" w:rsidP="008D0AE4">
      <w:r>
        <w:t xml:space="preserve">El impacto acumulado de la violencia y sus profundas consecuencias en la sociedad </w:t>
      </w:r>
      <w:r>
        <w:rPr>
          <w:spacing w:val="-2"/>
        </w:rPr>
        <w:t>colombiana</w:t>
      </w:r>
      <w:r>
        <w:rPr>
          <w:spacing w:val="-6"/>
        </w:rPr>
        <w:t xml:space="preserve"> </w:t>
      </w:r>
      <w:r>
        <w:rPr>
          <w:spacing w:val="-2"/>
        </w:rPr>
        <w:t>durante</w:t>
      </w:r>
      <w:r>
        <w:rPr>
          <w:spacing w:val="-6"/>
        </w:rPr>
        <w:t xml:space="preserve"> </w:t>
      </w:r>
      <w:r>
        <w:rPr>
          <w:spacing w:val="-2"/>
        </w:rPr>
        <w:t>décadas</w:t>
      </w:r>
      <w:r>
        <w:rPr>
          <w:spacing w:val="-5"/>
        </w:rPr>
        <w:t xml:space="preserve"> </w:t>
      </w:r>
      <w:r>
        <w:rPr>
          <w:spacing w:val="-2"/>
        </w:rPr>
        <w:t>no</w:t>
      </w:r>
      <w:r>
        <w:rPr>
          <w:spacing w:val="-6"/>
        </w:rPr>
        <w:t xml:space="preserve"> </w:t>
      </w:r>
      <w:r>
        <w:rPr>
          <w:spacing w:val="-2"/>
        </w:rPr>
        <w:t>frenaron</w:t>
      </w:r>
      <w:r>
        <w:rPr>
          <w:spacing w:val="-5"/>
        </w:rPr>
        <w:t xml:space="preserve"> </w:t>
      </w:r>
      <w:r>
        <w:rPr>
          <w:spacing w:val="-2"/>
        </w:rPr>
        <w:t>la</w:t>
      </w:r>
      <w:r>
        <w:rPr>
          <w:spacing w:val="-5"/>
        </w:rPr>
        <w:t xml:space="preserve"> </w:t>
      </w:r>
      <w:r>
        <w:rPr>
          <w:spacing w:val="-2"/>
        </w:rPr>
        <w:t>guerra.</w:t>
      </w:r>
      <w:r>
        <w:rPr>
          <w:spacing w:val="-6"/>
        </w:rPr>
        <w:t xml:space="preserve"> </w:t>
      </w:r>
      <w:r>
        <w:rPr>
          <w:spacing w:val="-2"/>
        </w:rPr>
        <w:t>Durante</w:t>
      </w:r>
      <w:r>
        <w:rPr>
          <w:spacing w:val="-6"/>
        </w:rPr>
        <w:t xml:space="preserve"> </w:t>
      </w:r>
      <w:r>
        <w:rPr>
          <w:spacing w:val="-2"/>
        </w:rPr>
        <w:lastRenderedPageBreak/>
        <w:t>mucho</w:t>
      </w:r>
      <w:r>
        <w:rPr>
          <w:spacing w:val="-5"/>
        </w:rPr>
        <w:t xml:space="preserve"> </w:t>
      </w:r>
      <w:r>
        <w:rPr>
          <w:spacing w:val="-2"/>
        </w:rPr>
        <w:t>tiempo</w:t>
      </w:r>
      <w:r>
        <w:rPr>
          <w:spacing w:val="-6"/>
        </w:rPr>
        <w:t xml:space="preserve"> </w:t>
      </w:r>
      <w:r>
        <w:rPr>
          <w:spacing w:val="-2"/>
        </w:rPr>
        <w:t>las</w:t>
      </w:r>
      <w:r>
        <w:rPr>
          <w:spacing w:val="-5"/>
        </w:rPr>
        <w:t xml:space="preserve"> </w:t>
      </w:r>
      <w:r>
        <w:rPr>
          <w:spacing w:val="-2"/>
        </w:rPr>
        <w:t>víctimas</w:t>
      </w:r>
      <w:r>
        <w:rPr>
          <w:spacing w:val="-6"/>
        </w:rPr>
        <w:t xml:space="preserve"> </w:t>
      </w:r>
      <w:r>
        <w:rPr>
          <w:spacing w:val="-2"/>
        </w:rPr>
        <w:t xml:space="preserve">fueron </w:t>
      </w:r>
      <w:r>
        <w:t>negadas o justificadas como consecuencia inevitable de los enfrentamientos armados entre grupos</w:t>
      </w:r>
      <w:r>
        <w:rPr>
          <w:spacing w:val="-7"/>
        </w:rPr>
        <w:t xml:space="preserve"> </w:t>
      </w:r>
      <w:r>
        <w:t>opuestos.</w:t>
      </w:r>
      <w:r>
        <w:rPr>
          <w:spacing w:val="-7"/>
        </w:rPr>
        <w:t xml:space="preserve"> </w:t>
      </w:r>
      <w:r>
        <w:t>Mientras</w:t>
      </w:r>
      <w:r>
        <w:rPr>
          <w:spacing w:val="-7"/>
        </w:rPr>
        <w:t xml:space="preserve"> </w:t>
      </w:r>
      <w:r>
        <w:t>tanto,</w:t>
      </w:r>
      <w:r>
        <w:rPr>
          <w:spacing w:val="-7"/>
        </w:rPr>
        <w:t xml:space="preserve"> </w:t>
      </w:r>
      <w:r>
        <w:t>la</w:t>
      </w:r>
      <w:r>
        <w:rPr>
          <w:spacing w:val="-7"/>
        </w:rPr>
        <w:t xml:space="preserve"> </w:t>
      </w:r>
      <w:r>
        <w:t>presencia</w:t>
      </w:r>
      <w:r>
        <w:rPr>
          <w:spacing w:val="-7"/>
        </w:rPr>
        <w:t xml:space="preserve"> </w:t>
      </w:r>
      <w:r>
        <w:t>del</w:t>
      </w:r>
      <w:r>
        <w:rPr>
          <w:spacing w:val="-8"/>
        </w:rPr>
        <w:t xml:space="preserve"> </w:t>
      </w:r>
      <w:r>
        <w:t>Estado</w:t>
      </w:r>
      <w:r>
        <w:rPr>
          <w:spacing w:val="-7"/>
        </w:rPr>
        <w:t xml:space="preserve"> </w:t>
      </w:r>
      <w:r>
        <w:t>brilló</w:t>
      </w:r>
      <w:r>
        <w:rPr>
          <w:spacing w:val="-7"/>
        </w:rPr>
        <w:t xml:space="preserve"> </w:t>
      </w:r>
      <w:r>
        <w:t>por</w:t>
      </w:r>
      <w:r>
        <w:rPr>
          <w:spacing w:val="-7"/>
        </w:rPr>
        <w:t xml:space="preserve"> </w:t>
      </w:r>
      <w:r>
        <w:t>su</w:t>
      </w:r>
      <w:r>
        <w:rPr>
          <w:spacing w:val="-7"/>
        </w:rPr>
        <w:t xml:space="preserve"> </w:t>
      </w:r>
      <w:r>
        <w:t>ausencia</w:t>
      </w:r>
      <w:r>
        <w:rPr>
          <w:spacing w:val="-8"/>
        </w:rPr>
        <w:t xml:space="preserve"> </w:t>
      </w:r>
      <w:r>
        <w:t>en</w:t>
      </w:r>
      <w:r>
        <w:rPr>
          <w:spacing w:val="-7"/>
        </w:rPr>
        <w:t xml:space="preserve"> </w:t>
      </w:r>
      <w:r>
        <w:t>muchos</w:t>
      </w:r>
      <w:r>
        <w:rPr>
          <w:spacing w:val="-7"/>
        </w:rPr>
        <w:t xml:space="preserve"> </w:t>
      </w:r>
      <w:r>
        <w:t>de los territorios en conflicto, y la sociedad civil, sobre todo la que habitaba en los núcleos urbanos, parecía mantenerse al margen de algo que sucedía fuera de sus fronteras.</w:t>
      </w:r>
    </w:p>
    <w:p w:rsidR="003804AC" w:rsidRDefault="00AF18A5" w:rsidP="008D0AE4">
      <w:r>
        <w:t>En los comienzos de los años sesenta, se trataba de salir de un régimen excluyente dominado por las élites tradicionales, en una enconada lucha por el poder político y la propiedad</w:t>
      </w:r>
      <w:r>
        <w:rPr>
          <w:spacing w:val="-4"/>
        </w:rPr>
        <w:t xml:space="preserve"> </w:t>
      </w:r>
      <w:r>
        <w:t>de</w:t>
      </w:r>
      <w:r>
        <w:rPr>
          <w:spacing w:val="-3"/>
        </w:rPr>
        <w:t xml:space="preserve"> </w:t>
      </w:r>
      <w:r>
        <w:t>la</w:t>
      </w:r>
      <w:r>
        <w:rPr>
          <w:spacing w:val="-3"/>
        </w:rPr>
        <w:t xml:space="preserve"> </w:t>
      </w:r>
      <w:r>
        <w:t>tierra</w:t>
      </w:r>
      <w:r>
        <w:rPr>
          <w:spacing w:val="-3"/>
        </w:rPr>
        <w:t xml:space="preserve"> </w:t>
      </w:r>
      <w:r>
        <w:t>que</w:t>
      </w:r>
      <w:r>
        <w:rPr>
          <w:spacing w:val="-3"/>
        </w:rPr>
        <w:t xml:space="preserve"> </w:t>
      </w:r>
      <w:r>
        <w:t>tuvieron</w:t>
      </w:r>
      <w:r>
        <w:rPr>
          <w:spacing w:val="-4"/>
        </w:rPr>
        <w:t xml:space="preserve"> </w:t>
      </w:r>
      <w:r>
        <w:t>un</w:t>
      </w:r>
      <w:r>
        <w:rPr>
          <w:spacing w:val="-4"/>
        </w:rPr>
        <w:t xml:space="preserve"> </w:t>
      </w:r>
      <w:r>
        <w:t>papel</w:t>
      </w:r>
      <w:r>
        <w:rPr>
          <w:spacing w:val="-3"/>
        </w:rPr>
        <w:t xml:space="preserve"> </w:t>
      </w:r>
      <w:r>
        <w:t>decisivo</w:t>
      </w:r>
      <w:r>
        <w:rPr>
          <w:spacing w:val="-4"/>
        </w:rPr>
        <w:t xml:space="preserve"> </w:t>
      </w:r>
      <w:r>
        <w:t>en</w:t>
      </w:r>
      <w:r>
        <w:rPr>
          <w:spacing w:val="-4"/>
        </w:rPr>
        <w:t xml:space="preserve"> </w:t>
      </w:r>
      <w:r>
        <w:t>el</w:t>
      </w:r>
      <w:r>
        <w:rPr>
          <w:spacing w:val="-4"/>
        </w:rPr>
        <w:t xml:space="preserve"> </w:t>
      </w:r>
      <w:r>
        <w:t>estallido</w:t>
      </w:r>
      <w:r>
        <w:rPr>
          <w:spacing w:val="-4"/>
        </w:rPr>
        <w:t xml:space="preserve"> </w:t>
      </w:r>
      <w:r>
        <w:t>del</w:t>
      </w:r>
      <w:r>
        <w:rPr>
          <w:spacing w:val="-3"/>
        </w:rPr>
        <w:t xml:space="preserve"> </w:t>
      </w:r>
      <w:r>
        <w:t>conflicto.</w:t>
      </w:r>
      <w:r>
        <w:rPr>
          <w:spacing w:val="-4"/>
        </w:rPr>
        <w:t xml:space="preserve"> </w:t>
      </w:r>
      <w:r>
        <w:t>A</w:t>
      </w:r>
      <w:r>
        <w:rPr>
          <w:spacing w:val="-4"/>
        </w:rPr>
        <w:t xml:space="preserve"> </w:t>
      </w:r>
      <w:r>
        <w:t>pesar</w:t>
      </w:r>
      <w:r>
        <w:rPr>
          <w:spacing w:val="-3"/>
        </w:rPr>
        <w:t xml:space="preserve"> </w:t>
      </w:r>
      <w:r>
        <w:t>de los sucesivos intentos</w:t>
      </w:r>
      <w:r>
        <w:rPr>
          <w:spacing w:val="-1"/>
        </w:rPr>
        <w:t xml:space="preserve"> </w:t>
      </w:r>
      <w:r>
        <w:t>de</w:t>
      </w:r>
      <w:r>
        <w:rPr>
          <w:spacing w:val="-1"/>
        </w:rPr>
        <w:t xml:space="preserve"> </w:t>
      </w:r>
      <w:r>
        <w:t>alcanzar</w:t>
      </w:r>
      <w:r>
        <w:rPr>
          <w:spacing w:val="-1"/>
        </w:rPr>
        <w:t xml:space="preserve"> </w:t>
      </w:r>
      <w:r>
        <w:t>la</w:t>
      </w:r>
      <w:r>
        <w:rPr>
          <w:spacing w:val="-1"/>
        </w:rPr>
        <w:t xml:space="preserve"> </w:t>
      </w:r>
      <w:r>
        <w:t>paz, la voraz</w:t>
      </w:r>
      <w:r>
        <w:rPr>
          <w:spacing w:val="-1"/>
        </w:rPr>
        <w:t xml:space="preserve"> </w:t>
      </w:r>
      <w:r>
        <w:t>dinámica</w:t>
      </w:r>
      <w:r>
        <w:rPr>
          <w:spacing w:val="-1"/>
        </w:rPr>
        <w:t xml:space="preserve"> </w:t>
      </w:r>
      <w:r>
        <w:t>de la</w:t>
      </w:r>
      <w:r>
        <w:rPr>
          <w:spacing w:val="-1"/>
        </w:rPr>
        <w:t xml:space="preserve"> </w:t>
      </w:r>
      <w:r>
        <w:t>guerra</w:t>
      </w:r>
      <w:r>
        <w:rPr>
          <w:spacing w:val="-1"/>
        </w:rPr>
        <w:t xml:space="preserve"> </w:t>
      </w:r>
      <w:r>
        <w:t>extendió</w:t>
      </w:r>
      <w:r>
        <w:rPr>
          <w:spacing w:val="-1"/>
        </w:rPr>
        <w:t xml:space="preserve"> </w:t>
      </w:r>
      <w:r>
        <w:t>de</w:t>
      </w:r>
      <w:r>
        <w:rPr>
          <w:spacing w:val="-1"/>
        </w:rPr>
        <w:t xml:space="preserve"> </w:t>
      </w:r>
      <w:r>
        <w:t>manera indiscriminada su llama de violencia hasta los últimos rincones del país, cebándose de manera especial con la población campesina. De hecho, más del 90</w:t>
      </w:r>
      <w:r>
        <w:rPr>
          <w:spacing w:val="-3"/>
        </w:rPr>
        <w:t xml:space="preserve"> </w:t>
      </w:r>
      <w:r>
        <w:t>% de las víctimas pertenecen a la población civil. Detrás de las más de mil masacres, millones de desplazamientos forzados y exilios, decenas de miles de secuestros y torturas o más de cien mil desaparecidos, hay historias rotas de personas, familias y comunidades cuyas experiencias no tienen cabida en las estadísticas</w:t>
      </w:r>
      <w:r>
        <w:rPr>
          <w:spacing w:val="-1"/>
        </w:rPr>
        <w:t xml:space="preserve"> </w:t>
      </w:r>
      <w:r>
        <w:t>del terror. Los diferentes grupos armados – –paramilitares, guerrillas, Fuerzas Armadas y Policía–, actuando frecuentemente por medio de estructuras y alianzas políticas, en muchas ocasiones en colaboración con sectores económicos</w:t>
      </w:r>
      <w:r>
        <w:rPr>
          <w:spacing w:val="-2"/>
        </w:rPr>
        <w:t xml:space="preserve"> </w:t>
      </w:r>
      <w:r>
        <w:t>y</w:t>
      </w:r>
      <w:r>
        <w:rPr>
          <w:spacing w:val="-1"/>
        </w:rPr>
        <w:t xml:space="preserve"> </w:t>
      </w:r>
      <w:r>
        <w:t>amparándose</w:t>
      </w:r>
      <w:r>
        <w:rPr>
          <w:spacing w:val="-1"/>
        </w:rPr>
        <w:t xml:space="preserve"> </w:t>
      </w:r>
      <w:r>
        <w:t>frecuentemente</w:t>
      </w:r>
      <w:r>
        <w:rPr>
          <w:spacing w:val="-1"/>
        </w:rPr>
        <w:t xml:space="preserve"> </w:t>
      </w:r>
      <w:r>
        <w:t>en</w:t>
      </w:r>
      <w:r>
        <w:rPr>
          <w:spacing w:val="-2"/>
        </w:rPr>
        <w:t xml:space="preserve"> </w:t>
      </w:r>
      <w:r>
        <w:t>la</w:t>
      </w:r>
      <w:r>
        <w:rPr>
          <w:spacing w:val="-2"/>
        </w:rPr>
        <w:t xml:space="preserve"> </w:t>
      </w:r>
      <w:r>
        <w:t>impunidad,</w:t>
      </w:r>
      <w:r>
        <w:rPr>
          <w:spacing w:val="-2"/>
        </w:rPr>
        <w:t xml:space="preserve"> </w:t>
      </w:r>
      <w:r>
        <w:t>son</w:t>
      </w:r>
      <w:r>
        <w:rPr>
          <w:spacing w:val="-1"/>
        </w:rPr>
        <w:t xml:space="preserve"> </w:t>
      </w:r>
      <w:r>
        <w:t>los</w:t>
      </w:r>
      <w:r>
        <w:rPr>
          <w:spacing w:val="-2"/>
        </w:rPr>
        <w:t xml:space="preserve"> </w:t>
      </w:r>
      <w:r>
        <w:t>máximos</w:t>
      </w:r>
      <w:r>
        <w:rPr>
          <w:spacing w:val="-1"/>
        </w:rPr>
        <w:t xml:space="preserve"> </w:t>
      </w:r>
      <w:r>
        <w:t>responsables de estos hechos. No solo se trata de la acción directa en los hechos e historias que aquí se narran, sino también en los contextos que hicieron todo esto posible.</w:t>
      </w:r>
    </w:p>
    <w:p w:rsidR="003804AC" w:rsidRDefault="00AF18A5" w:rsidP="008D0AE4">
      <w:r>
        <w:t>Esta</w:t>
      </w:r>
      <w:r>
        <w:rPr>
          <w:spacing w:val="-7"/>
        </w:rPr>
        <w:t xml:space="preserve"> </w:t>
      </w:r>
      <w:r>
        <w:t>guerra</w:t>
      </w:r>
      <w:r>
        <w:rPr>
          <w:spacing w:val="-8"/>
        </w:rPr>
        <w:t xml:space="preserve"> </w:t>
      </w:r>
      <w:r>
        <w:t>no</w:t>
      </w:r>
      <w:r>
        <w:rPr>
          <w:spacing w:val="-7"/>
        </w:rPr>
        <w:t xml:space="preserve"> </w:t>
      </w:r>
      <w:r>
        <w:t>ha</w:t>
      </w:r>
      <w:r>
        <w:rPr>
          <w:spacing w:val="-8"/>
        </w:rPr>
        <w:t xml:space="preserve"> </w:t>
      </w:r>
      <w:r>
        <w:t>sido</w:t>
      </w:r>
      <w:r>
        <w:rPr>
          <w:spacing w:val="-7"/>
        </w:rPr>
        <w:t xml:space="preserve"> </w:t>
      </w:r>
      <w:r>
        <w:t>solo</w:t>
      </w:r>
      <w:r>
        <w:rPr>
          <w:spacing w:val="-8"/>
        </w:rPr>
        <w:t xml:space="preserve"> </w:t>
      </w:r>
      <w:r>
        <w:t>entre</w:t>
      </w:r>
      <w:r>
        <w:rPr>
          <w:spacing w:val="-7"/>
        </w:rPr>
        <w:t xml:space="preserve"> </w:t>
      </w:r>
      <w:r>
        <w:t>grupos</w:t>
      </w:r>
      <w:r>
        <w:rPr>
          <w:spacing w:val="-8"/>
        </w:rPr>
        <w:t xml:space="preserve"> </w:t>
      </w:r>
      <w:r>
        <w:t>armados,</w:t>
      </w:r>
      <w:r>
        <w:rPr>
          <w:spacing w:val="-7"/>
        </w:rPr>
        <w:t xml:space="preserve"> </w:t>
      </w:r>
      <w:r>
        <w:t>sino</w:t>
      </w:r>
      <w:r>
        <w:rPr>
          <w:spacing w:val="-8"/>
        </w:rPr>
        <w:t xml:space="preserve"> </w:t>
      </w:r>
      <w:r>
        <w:t>de</w:t>
      </w:r>
      <w:r>
        <w:rPr>
          <w:spacing w:val="-7"/>
        </w:rPr>
        <w:t xml:space="preserve"> </w:t>
      </w:r>
      <w:r>
        <w:t>entramados</w:t>
      </w:r>
      <w:r>
        <w:rPr>
          <w:spacing w:val="-8"/>
        </w:rPr>
        <w:t xml:space="preserve"> </w:t>
      </w:r>
      <w:r>
        <w:t>y</w:t>
      </w:r>
      <w:r>
        <w:rPr>
          <w:spacing w:val="-7"/>
        </w:rPr>
        <w:t xml:space="preserve"> </w:t>
      </w:r>
      <w:r>
        <w:t>aparatos</w:t>
      </w:r>
      <w:r>
        <w:rPr>
          <w:spacing w:val="-8"/>
        </w:rPr>
        <w:t xml:space="preserve"> </w:t>
      </w:r>
      <w:r>
        <w:t xml:space="preserve">políticos y económicos, donde se incluyen actores no armados, como civiles, sectores de la sociedad y grupos que participaron en la </w:t>
      </w:r>
      <w:r>
        <w:lastRenderedPageBreak/>
        <w:t>guerra, dinámicas del poder y en la disputa por la tierra. Mientras Colombia trataba de abrir espacios</w:t>
      </w:r>
      <w:r>
        <w:rPr>
          <w:spacing w:val="-1"/>
        </w:rPr>
        <w:t xml:space="preserve"> </w:t>
      </w:r>
      <w:r>
        <w:t>para</w:t>
      </w:r>
      <w:r>
        <w:rPr>
          <w:spacing w:val="-1"/>
        </w:rPr>
        <w:t xml:space="preserve"> </w:t>
      </w:r>
      <w:r>
        <w:t>la democracia –elecciones municipales de los años ochenta y Constitución de 1991–, y se daban procesos de paz con algunos grupos, arreciaba</w:t>
      </w:r>
      <w:r>
        <w:rPr>
          <w:spacing w:val="-8"/>
        </w:rPr>
        <w:t xml:space="preserve"> </w:t>
      </w:r>
      <w:r>
        <w:t>la</w:t>
      </w:r>
      <w:r>
        <w:rPr>
          <w:spacing w:val="-9"/>
        </w:rPr>
        <w:t xml:space="preserve"> </w:t>
      </w:r>
      <w:r>
        <w:t>guerra</w:t>
      </w:r>
      <w:r>
        <w:rPr>
          <w:spacing w:val="-8"/>
        </w:rPr>
        <w:t xml:space="preserve"> </w:t>
      </w:r>
      <w:r>
        <w:t>con</w:t>
      </w:r>
      <w:r>
        <w:rPr>
          <w:spacing w:val="-7"/>
        </w:rPr>
        <w:t xml:space="preserve"> </w:t>
      </w:r>
      <w:r>
        <w:t>otros.</w:t>
      </w:r>
      <w:r>
        <w:rPr>
          <w:spacing w:val="-7"/>
        </w:rPr>
        <w:t xml:space="preserve"> </w:t>
      </w:r>
      <w:r>
        <w:t>Los</w:t>
      </w:r>
      <w:r>
        <w:rPr>
          <w:spacing w:val="-8"/>
        </w:rPr>
        <w:t xml:space="preserve"> </w:t>
      </w:r>
      <w:r>
        <w:t>diferentes</w:t>
      </w:r>
      <w:r>
        <w:rPr>
          <w:spacing w:val="-7"/>
        </w:rPr>
        <w:t xml:space="preserve"> </w:t>
      </w:r>
      <w:r>
        <w:t>actores</w:t>
      </w:r>
      <w:r>
        <w:rPr>
          <w:spacing w:val="-7"/>
        </w:rPr>
        <w:t xml:space="preserve"> </w:t>
      </w:r>
      <w:r>
        <w:t>alentaron</w:t>
      </w:r>
      <w:r>
        <w:rPr>
          <w:spacing w:val="-8"/>
        </w:rPr>
        <w:t xml:space="preserve"> </w:t>
      </w:r>
      <w:r>
        <w:t>una</w:t>
      </w:r>
      <w:r>
        <w:rPr>
          <w:spacing w:val="-7"/>
        </w:rPr>
        <w:t xml:space="preserve"> </w:t>
      </w:r>
      <w:r>
        <w:t>dinámica</w:t>
      </w:r>
      <w:r>
        <w:rPr>
          <w:spacing w:val="-7"/>
        </w:rPr>
        <w:t xml:space="preserve"> </w:t>
      </w:r>
      <w:r>
        <w:t>de</w:t>
      </w:r>
      <w:r>
        <w:rPr>
          <w:spacing w:val="-7"/>
        </w:rPr>
        <w:t xml:space="preserve"> </w:t>
      </w:r>
      <w:r>
        <w:t>violencia</w:t>
      </w:r>
      <w:r>
        <w:rPr>
          <w:spacing w:val="-7"/>
        </w:rPr>
        <w:t xml:space="preserve"> </w:t>
      </w:r>
      <w:r>
        <w:t>que basó su imperio en el despojo a la población civil y en territorios convertidos en objetivos disputa armada y llevaron a una reconfiguración del poder local. Debajo de la parte más visible</w:t>
      </w:r>
      <w:r>
        <w:rPr>
          <w:spacing w:val="-10"/>
        </w:rPr>
        <w:t xml:space="preserve"> </w:t>
      </w:r>
      <w:r>
        <w:t>de</w:t>
      </w:r>
      <w:r>
        <w:rPr>
          <w:spacing w:val="-12"/>
        </w:rPr>
        <w:t xml:space="preserve"> </w:t>
      </w:r>
      <w:r>
        <w:t>la</w:t>
      </w:r>
      <w:r>
        <w:rPr>
          <w:spacing w:val="-12"/>
        </w:rPr>
        <w:t xml:space="preserve"> </w:t>
      </w:r>
      <w:r>
        <w:t>guerra</w:t>
      </w:r>
      <w:r>
        <w:rPr>
          <w:spacing w:val="-12"/>
        </w:rPr>
        <w:t xml:space="preserve"> </w:t>
      </w:r>
      <w:r>
        <w:t>ha</w:t>
      </w:r>
      <w:r>
        <w:rPr>
          <w:spacing w:val="-10"/>
        </w:rPr>
        <w:t xml:space="preserve"> </w:t>
      </w:r>
      <w:r>
        <w:t>habido</w:t>
      </w:r>
      <w:r>
        <w:rPr>
          <w:spacing w:val="-11"/>
        </w:rPr>
        <w:t xml:space="preserve"> </w:t>
      </w:r>
      <w:r>
        <w:t>una</w:t>
      </w:r>
      <w:r>
        <w:rPr>
          <w:spacing w:val="-10"/>
        </w:rPr>
        <w:t xml:space="preserve"> </w:t>
      </w:r>
      <w:r>
        <w:t>profunda</w:t>
      </w:r>
      <w:r>
        <w:rPr>
          <w:spacing w:val="-10"/>
        </w:rPr>
        <w:t xml:space="preserve"> </w:t>
      </w:r>
      <w:r>
        <w:t>conflictividad</w:t>
      </w:r>
      <w:r>
        <w:rPr>
          <w:spacing w:val="-11"/>
        </w:rPr>
        <w:t xml:space="preserve"> </w:t>
      </w:r>
      <w:r>
        <w:t>social</w:t>
      </w:r>
      <w:r>
        <w:rPr>
          <w:spacing w:val="-10"/>
        </w:rPr>
        <w:t xml:space="preserve"> </w:t>
      </w:r>
      <w:r>
        <w:t>que</w:t>
      </w:r>
      <w:r>
        <w:rPr>
          <w:spacing w:val="-10"/>
        </w:rPr>
        <w:t xml:space="preserve"> </w:t>
      </w:r>
      <w:r>
        <w:t>no</w:t>
      </w:r>
      <w:r>
        <w:rPr>
          <w:spacing w:val="-12"/>
        </w:rPr>
        <w:t xml:space="preserve"> </w:t>
      </w:r>
      <w:r>
        <w:t>siempre</w:t>
      </w:r>
      <w:r>
        <w:rPr>
          <w:spacing w:val="-10"/>
        </w:rPr>
        <w:t xml:space="preserve"> </w:t>
      </w:r>
      <w:r>
        <w:t>se</w:t>
      </w:r>
      <w:r>
        <w:rPr>
          <w:spacing w:val="-10"/>
        </w:rPr>
        <w:t xml:space="preserve"> </w:t>
      </w:r>
      <w:r>
        <w:t>ha</w:t>
      </w:r>
      <w:r>
        <w:rPr>
          <w:spacing w:val="-10"/>
        </w:rPr>
        <w:t xml:space="preserve"> </w:t>
      </w:r>
      <w:r>
        <w:t>dejado ver o que se ha criminalizado como si fuera parte del conflicto armado.</w:t>
      </w:r>
    </w:p>
    <w:p w:rsidR="003804AC" w:rsidRDefault="00AF18A5" w:rsidP="008D0AE4">
      <w:r>
        <w:t>Más allá de la confrontación para ganar control</w:t>
      </w:r>
      <w:r>
        <w:rPr>
          <w:spacing w:val="-1"/>
        </w:rPr>
        <w:t xml:space="preserve"> </w:t>
      </w:r>
      <w:r>
        <w:t>del conflicto, la lucha por el territorio no solo ha</w:t>
      </w:r>
      <w:r>
        <w:rPr>
          <w:spacing w:val="-1"/>
        </w:rPr>
        <w:t xml:space="preserve"> </w:t>
      </w:r>
      <w:r>
        <w:t>tenido un propósito</w:t>
      </w:r>
      <w:r>
        <w:rPr>
          <w:spacing w:val="-1"/>
        </w:rPr>
        <w:t xml:space="preserve"> </w:t>
      </w:r>
      <w:r>
        <w:t>insurgente o</w:t>
      </w:r>
      <w:r>
        <w:rPr>
          <w:spacing w:val="-1"/>
        </w:rPr>
        <w:t xml:space="preserve"> </w:t>
      </w:r>
      <w:r>
        <w:t>contrainsurgente,</w:t>
      </w:r>
      <w:r>
        <w:rPr>
          <w:spacing w:val="-1"/>
        </w:rPr>
        <w:t xml:space="preserve"> </w:t>
      </w:r>
      <w:r>
        <w:t>sino que</w:t>
      </w:r>
      <w:r>
        <w:rPr>
          <w:spacing w:val="-1"/>
        </w:rPr>
        <w:t xml:space="preserve"> </w:t>
      </w:r>
      <w:r>
        <w:t>también se ha</w:t>
      </w:r>
      <w:r>
        <w:rPr>
          <w:spacing w:val="-1"/>
        </w:rPr>
        <w:t xml:space="preserve"> </w:t>
      </w:r>
      <w:r>
        <w:t>mezclado con el narcotráfico, el blanqueo de capitales y en algunos territorios, con proyectos económicos</w:t>
      </w:r>
      <w:r>
        <w:rPr>
          <w:spacing w:val="45"/>
        </w:rPr>
        <w:t xml:space="preserve"> </w:t>
      </w:r>
      <w:r>
        <w:t>y</w:t>
      </w:r>
      <w:r>
        <w:rPr>
          <w:spacing w:val="48"/>
        </w:rPr>
        <w:t xml:space="preserve"> </w:t>
      </w:r>
      <w:r>
        <w:t>extractivos.</w:t>
      </w:r>
      <w:r>
        <w:rPr>
          <w:spacing w:val="48"/>
        </w:rPr>
        <w:t xml:space="preserve"> </w:t>
      </w:r>
      <w:r>
        <w:t>El</w:t>
      </w:r>
      <w:r>
        <w:rPr>
          <w:spacing w:val="48"/>
        </w:rPr>
        <w:t xml:space="preserve"> </w:t>
      </w:r>
      <w:r>
        <w:t>despojo</w:t>
      </w:r>
      <w:r>
        <w:rPr>
          <w:spacing w:val="48"/>
        </w:rPr>
        <w:t xml:space="preserve"> </w:t>
      </w:r>
      <w:r>
        <w:t>de</w:t>
      </w:r>
      <w:r>
        <w:rPr>
          <w:spacing w:val="48"/>
        </w:rPr>
        <w:t xml:space="preserve"> </w:t>
      </w:r>
      <w:r>
        <w:t>tierras</w:t>
      </w:r>
      <w:r>
        <w:rPr>
          <w:spacing w:val="48"/>
        </w:rPr>
        <w:t xml:space="preserve"> </w:t>
      </w:r>
      <w:r>
        <w:t>asociado</w:t>
      </w:r>
      <w:r>
        <w:rPr>
          <w:spacing w:val="46"/>
        </w:rPr>
        <w:t xml:space="preserve"> </w:t>
      </w:r>
      <w:r>
        <w:t>al</w:t>
      </w:r>
      <w:r>
        <w:rPr>
          <w:spacing w:val="48"/>
        </w:rPr>
        <w:t xml:space="preserve"> </w:t>
      </w:r>
      <w:r>
        <w:t>desplazamiento</w:t>
      </w:r>
      <w:r>
        <w:rPr>
          <w:spacing w:val="48"/>
        </w:rPr>
        <w:t xml:space="preserve"> </w:t>
      </w:r>
      <w:r>
        <w:t>forzado</w:t>
      </w:r>
      <w:r>
        <w:rPr>
          <w:spacing w:val="49"/>
        </w:rPr>
        <w:t xml:space="preserve"> </w:t>
      </w:r>
      <w:r>
        <w:rPr>
          <w:spacing w:val="-5"/>
        </w:rPr>
        <w:t>ha</w:t>
      </w:r>
      <w:r w:rsidR="008D0AE4">
        <w:rPr>
          <w:spacing w:val="-5"/>
        </w:rPr>
        <w:t xml:space="preserve"> </w:t>
      </w:r>
      <w:r>
        <w:t>llevado a la pérdida de modos de vida, procesos organizativos y producción agraria tradicional</w:t>
      </w:r>
      <w:r>
        <w:rPr>
          <w:spacing w:val="-7"/>
        </w:rPr>
        <w:t xml:space="preserve"> </w:t>
      </w:r>
      <w:r>
        <w:t>con</w:t>
      </w:r>
      <w:r>
        <w:rPr>
          <w:spacing w:val="-7"/>
        </w:rPr>
        <w:t xml:space="preserve"> </w:t>
      </w:r>
      <w:r>
        <w:t>el</w:t>
      </w:r>
      <w:r>
        <w:rPr>
          <w:spacing w:val="-7"/>
        </w:rPr>
        <w:t xml:space="preserve"> </w:t>
      </w:r>
      <w:r>
        <w:t>consiguiente</w:t>
      </w:r>
      <w:r>
        <w:rPr>
          <w:spacing w:val="-7"/>
        </w:rPr>
        <w:t xml:space="preserve"> </w:t>
      </w:r>
      <w:r>
        <w:t>aumento</w:t>
      </w:r>
      <w:r>
        <w:rPr>
          <w:spacing w:val="-7"/>
        </w:rPr>
        <w:t xml:space="preserve"> </w:t>
      </w:r>
      <w:r>
        <w:t>de</w:t>
      </w:r>
      <w:r>
        <w:rPr>
          <w:spacing w:val="-7"/>
        </w:rPr>
        <w:t xml:space="preserve"> </w:t>
      </w:r>
      <w:r>
        <w:t>la</w:t>
      </w:r>
      <w:r>
        <w:rPr>
          <w:spacing w:val="-7"/>
        </w:rPr>
        <w:t xml:space="preserve"> </w:t>
      </w:r>
      <w:r>
        <w:t>desigualdad</w:t>
      </w:r>
      <w:r>
        <w:rPr>
          <w:spacing w:val="-7"/>
        </w:rPr>
        <w:t xml:space="preserve"> </w:t>
      </w:r>
      <w:r>
        <w:t>y</w:t>
      </w:r>
      <w:r>
        <w:rPr>
          <w:spacing w:val="-8"/>
        </w:rPr>
        <w:t xml:space="preserve"> </w:t>
      </w:r>
      <w:r>
        <w:t>la</w:t>
      </w:r>
      <w:r>
        <w:rPr>
          <w:spacing w:val="-7"/>
        </w:rPr>
        <w:t xml:space="preserve"> </w:t>
      </w:r>
      <w:r>
        <w:t>precarización.</w:t>
      </w:r>
      <w:r>
        <w:rPr>
          <w:spacing w:val="-7"/>
        </w:rPr>
        <w:t xml:space="preserve"> </w:t>
      </w:r>
      <w:r>
        <w:t>Se</w:t>
      </w:r>
      <w:r>
        <w:rPr>
          <w:spacing w:val="-7"/>
        </w:rPr>
        <w:t xml:space="preserve"> </w:t>
      </w:r>
      <w:r>
        <w:t>calcula</w:t>
      </w:r>
      <w:r>
        <w:rPr>
          <w:spacing w:val="-7"/>
        </w:rPr>
        <w:t xml:space="preserve"> </w:t>
      </w:r>
      <w:r>
        <w:t>que, en el contexto del conflicto armado, 8 millones de hectáreas han sido despojadas de forma violenta. De acuerdo con la Unidad para la Atención y Reparación Integral a las Víctimas, 32.812</w:t>
      </w:r>
      <w:r>
        <w:rPr>
          <w:spacing w:val="-11"/>
        </w:rPr>
        <w:t xml:space="preserve"> </w:t>
      </w:r>
      <w:r>
        <w:t>personas</w:t>
      </w:r>
      <w:r w:rsidR="008D0AE4">
        <w:rPr>
          <w:rStyle w:val="Refdenotaalpie"/>
        </w:rPr>
        <w:footnoteReference w:id="4"/>
      </w:r>
      <w:r>
        <w:rPr>
          <w:spacing w:val="-10"/>
        </w:rPr>
        <w:t xml:space="preserve"> </w:t>
      </w:r>
      <w:r>
        <w:t>han</w:t>
      </w:r>
      <w:r>
        <w:rPr>
          <w:spacing w:val="-11"/>
        </w:rPr>
        <w:t xml:space="preserve"> </w:t>
      </w:r>
      <w:r>
        <w:t>declarado</w:t>
      </w:r>
      <w:r>
        <w:rPr>
          <w:spacing w:val="-11"/>
        </w:rPr>
        <w:t xml:space="preserve"> </w:t>
      </w:r>
      <w:r>
        <w:t>haber</w:t>
      </w:r>
      <w:r>
        <w:rPr>
          <w:spacing w:val="-10"/>
        </w:rPr>
        <w:t xml:space="preserve"> </w:t>
      </w:r>
      <w:r>
        <w:t>sido</w:t>
      </w:r>
      <w:r>
        <w:rPr>
          <w:spacing w:val="-11"/>
        </w:rPr>
        <w:t xml:space="preserve"> </w:t>
      </w:r>
      <w:r>
        <w:t>despojadas</w:t>
      </w:r>
      <w:r>
        <w:rPr>
          <w:spacing w:val="-11"/>
        </w:rPr>
        <w:t xml:space="preserve"> </w:t>
      </w:r>
      <w:r>
        <w:t>de</w:t>
      </w:r>
      <w:r>
        <w:rPr>
          <w:spacing w:val="-11"/>
        </w:rPr>
        <w:t xml:space="preserve"> </w:t>
      </w:r>
      <w:r>
        <w:t>sus</w:t>
      </w:r>
      <w:r>
        <w:rPr>
          <w:spacing w:val="-12"/>
        </w:rPr>
        <w:t xml:space="preserve"> </w:t>
      </w:r>
      <w:r>
        <w:t>tierras</w:t>
      </w:r>
      <w:r>
        <w:rPr>
          <w:spacing w:val="-11"/>
        </w:rPr>
        <w:t xml:space="preserve"> </w:t>
      </w:r>
      <w:r>
        <w:t>y</w:t>
      </w:r>
      <w:r>
        <w:rPr>
          <w:spacing w:val="-11"/>
        </w:rPr>
        <w:t xml:space="preserve"> </w:t>
      </w:r>
      <w:r>
        <w:t>132.743</w:t>
      </w:r>
      <w:r>
        <w:rPr>
          <w:spacing w:val="-11"/>
        </w:rPr>
        <w:t xml:space="preserve"> </w:t>
      </w:r>
      <w:r>
        <w:t>han</w:t>
      </w:r>
      <w:r>
        <w:rPr>
          <w:spacing w:val="-11"/>
        </w:rPr>
        <w:t xml:space="preserve"> </w:t>
      </w:r>
      <w:r>
        <w:t>declarado pérdida</w:t>
      </w:r>
      <w:r>
        <w:rPr>
          <w:spacing w:val="-1"/>
        </w:rPr>
        <w:t xml:space="preserve"> </w:t>
      </w:r>
      <w:r>
        <w:t>de</w:t>
      </w:r>
      <w:r>
        <w:rPr>
          <w:spacing w:val="-1"/>
        </w:rPr>
        <w:t xml:space="preserve"> </w:t>
      </w:r>
      <w:r>
        <w:t>bienes</w:t>
      </w:r>
      <w:r>
        <w:rPr>
          <w:spacing w:val="-1"/>
        </w:rPr>
        <w:t xml:space="preserve"> </w:t>
      </w:r>
      <w:r>
        <w:t>muebles o</w:t>
      </w:r>
      <w:r>
        <w:rPr>
          <w:spacing w:val="-1"/>
        </w:rPr>
        <w:t xml:space="preserve"> </w:t>
      </w:r>
      <w:r>
        <w:t>inmuebles</w:t>
      </w:r>
      <w:r>
        <w:rPr>
          <w:spacing w:val="-1"/>
        </w:rPr>
        <w:t xml:space="preserve"> </w:t>
      </w:r>
      <w:r>
        <w:t>asociada</w:t>
      </w:r>
      <w:r>
        <w:rPr>
          <w:spacing w:val="-1"/>
        </w:rPr>
        <w:t xml:space="preserve"> </w:t>
      </w:r>
      <w:r>
        <w:t>al conflicto</w:t>
      </w:r>
      <w:r>
        <w:rPr>
          <w:spacing w:val="-2"/>
        </w:rPr>
        <w:t xml:space="preserve"> </w:t>
      </w:r>
      <w:r>
        <w:t>armado</w:t>
      </w:r>
      <w:r w:rsidR="008D0AE4">
        <w:rPr>
          <w:rStyle w:val="Refdenotaalpie"/>
        </w:rPr>
        <w:footnoteReference w:id="5"/>
      </w:r>
      <w:r>
        <w:t>. En</w:t>
      </w:r>
      <w:r>
        <w:rPr>
          <w:spacing w:val="-1"/>
        </w:rPr>
        <w:t xml:space="preserve"> </w:t>
      </w:r>
      <w:r>
        <w:t>el</w:t>
      </w:r>
      <w:r>
        <w:rPr>
          <w:spacing w:val="-1"/>
        </w:rPr>
        <w:t xml:space="preserve"> </w:t>
      </w:r>
      <w:r>
        <w:t xml:space="preserve">mismo sentido, la Unidad de Restitución de Tierras reporta que, a corte del 31 de mayo de 2022, se habían radicado 17.543 demandas de restitución de tierras individuales ante instancias judiciales, para un total </w:t>
      </w:r>
      <w:r>
        <w:lastRenderedPageBreak/>
        <w:t>de 30.331 solicitudes por parte de las víctimas en todo el país</w:t>
      </w:r>
      <w:r w:rsidR="008D0AE4">
        <w:rPr>
          <w:rStyle w:val="Refdenotaalpie"/>
        </w:rPr>
        <w:footnoteReference w:id="6"/>
      </w:r>
      <w:r>
        <w:t>.</w:t>
      </w:r>
    </w:p>
    <w:p w:rsidR="003804AC" w:rsidRDefault="00AF18A5" w:rsidP="008D0AE4">
      <w:r>
        <w:t>Conforme</w:t>
      </w:r>
      <w:r>
        <w:rPr>
          <w:spacing w:val="-11"/>
        </w:rPr>
        <w:t xml:space="preserve"> </w:t>
      </w:r>
      <w:r>
        <w:t>el</w:t>
      </w:r>
      <w:r>
        <w:rPr>
          <w:spacing w:val="-12"/>
        </w:rPr>
        <w:t xml:space="preserve"> </w:t>
      </w:r>
      <w:r>
        <w:t>conflicto</w:t>
      </w:r>
      <w:r>
        <w:rPr>
          <w:spacing w:val="-11"/>
        </w:rPr>
        <w:t xml:space="preserve"> </w:t>
      </w:r>
      <w:r>
        <w:t>armado</w:t>
      </w:r>
      <w:r>
        <w:rPr>
          <w:spacing w:val="-11"/>
        </w:rPr>
        <w:t xml:space="preserve"> </w:t>
      </w:r>
      <w:r>
        <w:t>se</w:t>
      </w:r>
      <w:r>
        <w:rPr>
          <w:spacing w:val="-11"/>
        </w:rPr>
        <w:t xml:space="preserve"> </w:t>
      </w:r>
      <w:r>
        <w:t>agudizó</w:t>
      </w:r>
      <w:r>
        <w:rPr>
          <w:spacing w:val="-11"/>
        </w:rPr>
        <w:t xml:space="preserve"> </w:t>
      </w:r>
      <w:r>
        <w:t>y</w:t>
      </w:r>
      <w:r>
        <w:rPr>
          <w:spacing w:val="-11"/>
        </w:rPr>
        <w:t xml:space="preserve"> </w:t>
      </w:r>
      <w:r>
        <w:t>numerosos</w:t>
      </w:r>
      <w:r>
        <w:rPr>
          <w:spacing w:val="-11"/>
        </w:rPr>
        <w:t xml:space="preserve"> </w:t>
      </w:r>
      <w:r>
        <w:t>territorios</w:t>
      </w:r>
      <w:r>
        <w:rPr>
          <w:spacing w:val="-11"/>
        </w:rPr>
        <w:t xml:space="preserve"> </w:t>
      </w:r>
      <w:r>
        <w:t>se</w:t>
      </w:r>
      <w:r>
        <w:rPr>
          <w:spacing w:val="-11"/>
        </w:rPr>
        <w:t xml:space="preserve"> </w:t>
      </w:r>
      <w:r>
        <w:t>convirtieron</w:t>
      </w:r>
      <w:r>
        <w:rPr>
          <w:spacing w:val="-11"/>
        </w:rPr>
        <w:t xml:space="preserve"> </w:t>
      </w:r>
      <w:r>
        <w:t>en</w:t>
      </w:r>
      <w:r>
        <w:rPr>
          <w:spacing w:val="-11"/>
        </w:rPr>
        <w:t xml:space="preserve"> </w:t>
      </w:r>
      <w:r>
        <w:t>zonas de disputa entre la insurgencia y la contrainsurgencia, cada vez fue más difícil, en esos lugares, declararse población civil no involucrada. La constricción comunitaria se convirtió en una forma de presionar a líderes y comunidades, de criminalizar y estigmatizar a movimientos</w:t>
      </w:r>
      <w:r>
        <w:rPr>
          <w:spacing w:val="-11"/>
        </w:rPr>
        <w:t xml:space="preserve"> </w:t>
      </w:r>
      <w:r>
        <w:t>sociales.</w:t>
      </w:r>
      <w:r>
        <w:rPr>
          <w:spacing w:val="-12"/>
        </w:rPr>
        <w:t xml:space="preserve"> </w:t>
      </w:r>
      <w:r>
        <w:t>También</w:t>
      </w:r>
      <w:r>
        <w:rPr>
          <w:spacing w:val="-12"/>
        </w:rPr>
        <w:t xml:space="preserve"> </w:t>
      </w:r>
      <w:r>
        <w:t>fue</w:t>
      </w:r>
      <w:r>
        <w:rPr>
          <w:spacing w:val="-13"/>
        </w:rPr>
        <w:t xml:space="preserve"> </w:t>
      </w:r>
      <w:r>
        <w:t>más</w:t>
      </w:r>
      <w:r>
        <w:rPr>
          <w:spacing w:val="-11"/>
        </w:rPr>
        <w:t xml:space="preserve"> </w:t>
      </w:r>
      <w:r>
        <w:t>difícil</w:t>
      </w:r>
      <w:r>
        <w:rPr>
          <w:spacing w:val="-13"/>
        </w:rPr>
        <w:t xml:space="preserve"> </w:t>
      </w:r>
      <w:r>
        <w:t>mantener</w:t>
      </w:r>
      <w:r>
        <w:rPr>
          <w:spacing w:val="-12"/>
        </w:rPr>
        <w:t xml:space="preserve"> </w:t>
      </w:r>
      <w:r>
        <w:t>los</w:t>
      </w:r>
      <w:r>
        <w:rPr>
          <w:spacing w:val="-12"/>
        </w:rPr>
        <w:t xml:space="preserve"> </w:t>
      </w:r>
      <w:r>
        <w:t>espacios</w:t>
      </w:r>
      <w:r>
        <w:rPr>
          <w:spacing w:val="-11"/>
        </w:rPr>
        <w:t xml:space="preserve"> </w:t>
      </w:r>
      <w:r>
        <w:t>civiles,</w:t>
      </w:r>
      <w:r>
        <w:rPr>
          <w:spacing w:val="-12"/>
        </w:rPr>
        <w:t xml:space="preserve"> </w:t>
      </w:r>
      <w:r>
        <w:t>las</w:t>
      </w:r>
      <w:r>
        <w:rPr>
          <w:spacing w:val="-12"/>
        </w:rPr>
        <w:t xml:space="preserve"> </w:t>
      </w:r>
      <w:r>
        <w:t>luchas</w:t>
      </w:r>
      <w:r>
        <w:rPr>
          <w:spacing w:val="-11"/>
        </w:rPr>
        <w:t xml:space="preserve"> </w:t>
      </w:r>
      <w:r>
        <w:t>y</w:t>
      </w:r>
      <w:r>
        <w:rPr>
          <w:spacing w:val="-11"/>
        </w:rPr>
        <w:t xml:space="preserve"> </w:t>
      </w:r>
      <w:r>
        <w:t>sus propios proyectos o autonomías por fuera del conflicto armado, como lo mostraron las valientes</w:t>
      </w:r>
      <w:r>
        <w:rPr>
          <w:spacing w:val="-10"/>
        </w:rPr>
        <w:t xml:space="preserve"> </w:t>
      </w:r>
      <w:r>
        <w:t>experiencias</w:t>
      </w:r>
      <w:r>
        <w:rPr>
          <w:spacing w:val="-10"/>
        </w:rPr>
        <w:t xml:space="preserve"> </w:t>
      </w:r>
      <w:r>
        <w:t>de</w:t>
      </w:r>
      <w:r>
        <w:rPr>
          <w:spacing w:val="-10"/>
        </w:rPr>
        <w:t xml:space="preserve"> </w:t>
      </w:r>
      <w:r>
        <w:t>las</w:t>
      </w:r>
      <w:r>
        <w:rPr>
          <w:spacing w:val="-10"/>
        </w:rPr>
        <w:t xml:space="preserve"> </w:t>
      </w:r>
      <w:r>
        <w:t>Comunidades</w:t>
      </w:r>
      <w:r>
        <w:rPr>
          <w:spacing w:val="-10"/>
        </w:rPr>
        <w:t xml:space="preserve"> </w:t>
      </w:r>
      <w:r>
        <w:t>de</w:t>
      </w:r>
      <w:r>
        <w:rPr>
          <w:spacing w:val="-10"/>
        </w:rPr>
        <w:t xml:space="preserve"> </w:t>
      </w:r>
      <w:r>
        <w:t>Paz</w:t>
      </w:r>
      <w:r>
        <w:rPr>
          <w:spacing w:val="-10"/>
        </w:rPr>
        <w:t xml:space="preserve"> </w:t>
      </w:r>
      <w:r>
        <w:t>en</w:t>
      </w:r>
      <w:r>
        <w:rPr>
          <w:spacing w:val="-11"/>
        </w:rPr>
        <w:t xml:space="preserve"> </w:t>
      </w:r>
      <w:r>
        <w:t>Urabá,</w:t>
      </w:r>
      <w:r>
        <w:rPr>
          <w:spacing w:val="-11"/>
        </w:rPr>
        <w:t xml:space="preserve"> </w:t>
      </w:r>
      <w:r>
        <w:t>la</w:t>
      </w:r>
      <w:r>
        <w:rPr>
          <w:spacing w:val="-10"/>
        </w:rPr>
        <w:t xml:space="preserve"> </w:t>
      </w:r>
      <w:r>
        <w:t>Guardia</w:t>
      </w:r>
      <w:r>
        <w:rPr>
          <w:spacing w:val="-10"/>
        </w:rPr>
        <w:t xml:space="preserve"> </w:t>
      </w:r>
      <w:r>
        <w:t>Indígena</w:t>
      </w:r>
      <w:r>
        <w:rPr>
          <w:spacing w:val="-10"/>
        </w:rPr>
        <w:t xml:space="preserve"> </w:t>
      </w:r>
      <w:r>
        <w:t>en</w:t>
      </w:r>
      <w:r>
        <w:rPr>
          <w:spacing w:val="-11"/>
        </w:rPr>
        <w:t xml:space="preserve"> </w:t>
      </w:r>
      <w:r>
        <w:t>el</w:t>
      </w:r>
      <w:r>
        <w:rPr>
          <w:spacing w:val="-10"/>
        </w:rPr>
        <w:t xml:space="preserve"> </w:t>
      </w:r>
      <w:r>
        <w:t>Cauca o las experiencias comunitarias apoyadas en muchos casos por sectores importantes de las iglesias como una forma de resistencia a la guerra y protección de la población civil. Numerosos</w:t>
      </w:r>
      <w:r>
        <w:rPr>
          <w:spacing w:val="-7"/>
        </w:rPr>
        <w:t xml:space="preserve"> </w:t>
      </w:r>
      <w:r>
        <w:t>procesos</w:t>
      </w:r>
      <w:r>
        <w:rPr>
          <w:spacing w:val="-6"/>
        </w:rPr>
        <w:t xml:space="preserve"> </w:t>
      </w:r>
      <w:r>
        <w:t>organizativos</w:t>
      </w:r>
      <w:r>
        <w:rPr>
          <w:spacing w:val="-6"/>
        </w:rPr>
        <w:t xml:space="preserve"> </w:t>
      </w:r>
      <w:r>
        <w:t>de</w:t>
      </w:r>
      <w:r>
        <w:rPr>
          <w:spacing w:val="-6"/>
        </w:rPr>
        <w:t xml:space="preserve"> </w:t>
      </w:r>
      <w:r>
        <w:t>comunidades</w:t>
      </w:r>
      <w:r>
        <w:rPr>
          <w:spacing w:val="-6"/>
        </w:rPr>
        <w:t xml:space="preserve"> </w:t>
      </w:r>
      <w:r>
        <w:t>étnicas</w:t>
      </w:r>
      <w:r>
        <w:rPr>
          <w:spacing w:val="-6"/>
        </w:rPr>
        <w:t xml:space="preserve"> </w:t>
      </w:r>
      <w:r>
        <w:t>y</w:t>
      </w:r>
      <w:r>
        <w:rPr>
          <w:spacing w:val="-7"/>
        </w:rPr>
        <w:t xml:space="preserve"> </w:t>
      </w:r>
      <w:r>
        <w:t>campesinas,</w:t>
      </w:r>
      <w:r>
        <w:rPr>
          <w:spacing w:val="-7"/>
        </w:rPr>
        <w:t xml:space="preserve"> </w:t>
      </w:r>
      <w:r>
        <w:t>de</w:t>
      </w:r>
      <w:r>
        <w:rPr>
          <w:spacing w:val="-6"/>
        </w:rPr>
        <w:t xml:space="preserve"> </w:t>
      </w:r>
      <w:r>
        <w:t>sindicatos</w:t>
      </w:r>
      <w:r>
        <w:rPr>
          <w:spacing w:val="-6"/>
        </w:rPr>
        <w:t xml:space="preserve"> </w:t>
      </w:r>
      <w:r>
        <w:t>y</w:t>
      </w:r>
      <w:r>
        <w:rPr>
          <w:spacing w:val="-6"/>
        </w:rPr>
        <w:t xml:space="preserve"> </w:t>
      </w:r>
      <w:r>
        <w:t>de organizaciones</w:t>
      </w:r>
      <w:r>
        <w:rPr>
          <w:spacing w:val="-6"/>
        </w:rPr>
        <w:t xml:space="preserve"> </w:t>
      </w:r>
      <w:r>
        <w:t>sociales</w:t>
      </w:r>
      <w:r>
        <w:rPr>
          <w:spacing w:val="-7"/>
        </w:rPr>
        <w:t xml:space="preserve"> </w:t>
      </w:r>
      <w:r>
        <w:t>trataron</w:t>
      </w:r>
      <w:r>
        <w:rPr>
          <w:spacing w:val="-6"/>
        </w:rPr>
        <w:t xml:space="preserve"> </w:t>
      </w:r>
      <w:r>
        <w:t>de</w:t>
      </w:r>
      <w:r>
        <w:rPr>
          <w:spacing w:val="-7"/>
        </w:rPr>
        <w:t xml:space="preserve"> </w:t>
      </w:r>
      <w:r>
        <w:t>mantener</w:t>
      </w:r>
      <w:r>
        <w:rPr>
          <w:spacing w:val="-5"/>
        </w:rPr>
        <w:t xml:space="preserve"> </w:t>
      </w:r>
      <w:r>
        <w:t>su</w:t>
      </w:r>
      <w:r>
        <w:rPr>
          <w:spacing w:val="-7"/>
        </w:rPr>
        <w:t xml:space="preserve"> </w:t>
      </w:r>
      <w:r>
        <w:t>autonomía</w:t>
      </w:r>
      <w:r>
        <w:rPr>
          <w:spacing w:val="-6"/>
        </w:rPr>
        <w:t xml:space="preserve"> </w:t>
      </w:r>
      <w:r>
        <w:t>y</w:t>
      </w:r>
      <w:r>
        <w:rPr>
          <w:spacing w:val="-7"/>
        </w:rPr>
        <w:t xml:space="preserve"> </w:t>
      </w:r>
      <w:r>
        <w:t>demandas</w:t>
      </w:r>
      <w:r>
        <w:rPr>
          <w:spacing w:val="-6"/>
        </w:rPr>
        <w:t xml:space="preserve"> </w:t>
      </w:r>
      <w:r>
        <w:t>sociales,</w:t>
      </w:r>
      <w:r>
        <w:rPr>
          <w:spacing w:val="-6"/>
        </w:rPr>
        <w:t xml:space="preserve"> </w:t>
      </w:r>
      <w:r>
        <w:t>aunque</w:t>
      </w:r>
      <w:r>
        <w:rPr>
          <w:spacing w:val="-6"/>
        </w:rPr>
        <w:t xml:space="preserve"> </w:t>
      </w:r>
      <w:r>
        <w:t>por ello fueron frecuentemente perseguidos o señalados.</w:t>
      </w:r>
    </w:p>
    <w:p w:rsidR="003804AC" w:rsidRDefault="00AF18A5" w:rsidP="008D0AE4">
      <w:r>
        <w:t>El conflicto tapó todo, fue utilizado para ocultar esos problemas o convirtió la conflictividad</w:t>
      </w:r>
      <w:r>
        <w:rPr>
          <w:spacing w:val="76"/>
        </w:rPr>
        <w:t xml:space="preserve"> </w:t>
      </w:r>
      <w:r>
        <w:t>social</w:t>
      </w:r>
      <w:r>
        <w:rPr>
          <w:spacing w:val="78"/>
        </w:rPr>
        <w:t xml:space="preserve"> </w:t>
      </w:r>
      <w:r>
        <w:t>subyacente,</w:t>
      </w:r>
      <w:r>
        <w:rPr>
          <w:spacing w:val="78"/>
        </w:rPr>
        <w:t xml:space="preserve"> </w:t>
      </w:r>
      <w:r>
        <w:t>las</w:t>
      </w:r>
      <w:r>
        <w:rPr>
          <w:spacing w:val="78"/>
        </w:rPr>
        <w:t xml:space="preserve"> </w:t>
      </w:r>
      <w:r>
        <w:t>luchas</w:t>
      </w:r>
      <w:r>
        <w:rPr>
          <w:spacing w:val="78"/>
        </w:rPr>
        <w:t xml:space="preserve"> </w:t>
      </w:r>
      <w:r>
        <w:t>por</w:t>
      </w:r>
      <w:r>
        <w:rPr>
          <w:spacing w:val="79"/>
        </w:rPr>
        <w:t xml:space="preserve"> </w:t>
      </w:r>
      <w:r>
        <w:t>los</w:t>
      </w:r>
      <w:r>
        <w:rPr>
          <w:spacing w:val="77"/>
        </w:rPr>
        <w:t xml:space="preserve"> </w:t>
      </w:r>
      <w:r>
        <w:t>derechos</w:t>
      </w:r>
      <w:r>
        <w:rPr>
          <w:spacing w:val="79"/>
        </w:rPr>
        <w:t xml:space="preserve"> </w:t>
      </w:r>
      <w:r>
        <w:t>económicos,</w:t>
      </w:r>
      <w:r>
        <w:rPr>
          <w:spacing w:val="77"/>
        </w:rPr>
        <w:t xml:space="preserve"> </w:t>
      </w:r>
      <w:r>
        <w:t>sociales</w:t>
      </w:r>
      <w:r>
        <w:rPr>
          <w:spacing w:val="78"/>
        </w:rPr>
        <w:t xml:space="preserve"> </w:t>
      </w:r>
      <w:r>
        <w:rPr>
          <w:spacing w:val="-10"/>
        </w:rPr>
        <w:t>y</w:t>
      </w:r>
      <w:bookmarkStart w:id="12" w:name="_bookmark7"/>
      <w:bookmarkStart w:id="13" w:name="_bookmark8"/>
      <w:bookmarkStart w:id="14" w:name="_bookmark9"/>
      <w:bookmarkEnd w:id="12"/>
      <w:bookmarkEnd w:id="13"/>
      <w:bookmarkEnd w:id="14"/>
      <w:r w:rsidR="008D0AE4">
        <w:rPr>
          <w:spacing w:val="-10"/>
        </w:rPr>
        <w:t xml:space="preserve"> </w:t>
      </w:r>
      <w:r>
        <w:t>ambientales o la propia construcción de paz, en actividades sospechosas, sometiendo a sus protagonistas a las lógicas del enemigo. Evidenciar esta conflictividad social y afrontarla desde</w:t>
      </w:r>
      <w:r>
        <w:rPr>
          <w:spacing w:val="-6"/>
        </w:rPr>
        <w:t xml:space="preserve"> </w:t>
      </w:r>
      <w:r>
        <w:t>parámetros</w:t>
      </w:r>
      <w:r>
        <w:rPr>
          <w:spacing w:val="-6"/>
        </w:rPr>
        <w:t xml:space="preserve"> </w:t>
      </w:r>
      <w:r>
        <w:t>democráticos</w:t>
      </w:r>
      <w:r>
        <w:rPr>
          <w:spacing w:val="-6"/>
        </w:rPr>
        <w:t xml:space="preserve"> </w:t>
      </w:r>
      <w:r>
        <w:t>sigue</w:t>
      </w:r>
      <w:r>
        <w:rPr>
          <w:spacing w:val="-7"/>
        </w:rPr>
        <w:t xml:space="preserve"> </w:t>
      </w:r>
      <w:r>
        <w:t>siendo</w:t>
      </w:r>
      <w:r>
        <w:rPr>
          <w:spacing w:val="-6"/>
        </w:rPr>
        <w:t xml:space="preserve"> </w:t>
      </w:r>
      <w:r>
        <w:t>una</w:t>
      </w:r>
      <w:r>
        <w:rPr>
          <w:spacing w:val="-7"/>
        </w:rPr>
        <w:t xml:space="preserve"> </w:t>
      </w:r>
      <w:r>
        <w:t>asignatura</w:t>
      </w:r>
      <w:r>
        <w:rPr>
          <w:spacing w:val="-6"/>
        </w:rPr>
        <w:t xml:space="preserve"> </w:t>
      </w:r>
      <w:r>
        <w:t>pendiente</w:t>
      </w:r>
      <w:r>
        <w:rPr>
          <w:spacing w:val="-6"/>
        </w:rPr>
        <w:t xml:space="preserve"> </w:t>
      </w:r>
      <w:r>
        <w:t>en</w:t>
      </w:r>
      <w:r>
        <w:rPr>
          <w:spacing w:val="-7"/>
        </w:rPr>
        <w:t xml:space="preserve"> </w:t>
      </w:r>
      <w:r>
        <w:t>Colombia.</w:t>
      </w:r>
      <w:r>
        <w:rPr>
          <w:spacing w:val="-6"/>
        </w:rPr>
        <w:t xml:space="preserve"> </w:t>
      </w:r>
      <w:r>
        <w:t>En</w:t>
      </w:r>
      <w:r>
        <w:rPr>
          <w:spacing w:val="-6"/>
        </w:rPr>
        <w:t xml:space="preserve"> </w:t>
      </w:r>
      <w:r>
        <w:t>esos casos,</w:t>
      </w:r>
      <w:r>
        <w:rPr>
          <w:spacing w:val="-2"/>
        </w:rPr>
        <w:t xml:space="preserve"> </w:t>
      </w:r>
      <w:r>
        <w:t>las</w:t>
      </w:r>
      <w:r>
        <w:rPr>
          <w:spacing w:val="-2"/>
        </w:rPr>
        <w:t xml:space="preserve"> </w:t>
      </w:r>
      <w:r>
        <w:t>personas</w:t>
      </w:r>
      <w:r>
        <w:rPr>
          <w:spacing w:val="-2"/>
        </w:rPr>
        <w:t xml:space="preserve"> </w:t>
      </w:r>
      <w:r>
        <w:t>y</w:t>
      </w:r>
      <w:r>
        <w:rPr>
          <w:spacing w:val="-2"/>
        </w:rPr>
        <w:t xml:space="preserve"> </w:t>
      </w:r>
      <w:r>
        <w:t>comunidades</w:t>
      </w:r>
      <w:r>
        <w:rPr>
          <w:spacing w:val="-2"/>
        </w:rPr>
        <w:t xml:space="preserve"> </w:t>
      </w:r>
      <w:r>
        <w:t>se</w:t>
      </w:r>
      <w:r>
        <w:rPr>
          <w:spacing w:val="-2"/>
        </w:rPr>
        <w:t xml:space="preserve"> </w:t>
      </w:r>
      <w:r>
        <w:t>vieron</w:t>
      </w:r>
      <w:r>
        <w:rPr>
          <w:spacing w:val="-2"/>
        </w:rPr>
        <w:t xml:space="preserve"> </w:t>
      </w:r>
      <w:r>
        <w:t>obligadas</w:t>
      </w:r>
      <w:r>
        <w:rPr>
          <w:spacing w:val="-2"/>
        </w:rPr>
        <w:t xml:space="preserve"> </w:t>
      </w:r>
      <w:r>
        <w:t>a</w:t>
      </w:r>
      <w:r>
        <w:rPr>
          <w:spacing w:val="-2"/>
        </w:rPr>
        <w:t xml:space="preserve"> </w:t>
      </w:r>
      <w:r>
        <w:t>colaborar</w:t>
      </w:r>
      <w:r>
        <w:rPr>
          <w:spacing w:val="-2"/>
        </w:rPr>
        <w:t xml:space="preserve"> </w:t>
      </w:r>
      <w:r>
        <w:t>con</w:t>
      </w:r>
      <w:r>
        <w:rPr>
          <w:spacing w:val="-2"/>
        </w:rPr>
        <w:t xml:space="preserve"> </w:t>
      </w:r>
      <w:r>
        <w:t>alguno</w:t>
      </w:r>
      <w:r>
        <w:rPr>
          <w:spacing w:val="-2"/>
        </w:rPr>
        <w:t xml:space="preserve"> </w:t>
      </w:r>
      <w:r>
        <w:t>de</w:t>
      </w:r>
      <w:r>
        <w:rPr>
          <w:spacing w:val="-2"/>
        </w:rPr>
        <w:t xml:space="preserve"> </w:t>
      </w:r>
      <w:r>
        <w:t>los</w:t>
      </w:r>
      <w:r>
        <w:rPr>
          <w:spacing w:val="-2"/>
        </w:rPr>
        <w:t xml:space="preserve"> </w:t>
      </w:r>
      <w:r>
        <w:t xml:space="preserve">grupos armados o fueron </w:t>
      </w:r>
      <w:r>
        <w:lastRenderedPageBreak/>
        <w:t>señaladas por conductas que se consideraban de apoyo al otro, aunque estuvieran motivadas por el miedo y la coacción.</w:t>
      </w:r>
    </w:p>
    <w:p w:rsidR="003804AC" w:rsidRDefault="00AF18A5" w:rsidP="008D0AE4">
      <w:r>
        <w:t>Casi ninguna familia extensa colombiana ha escapado del dolor, y los impactos en sus vidas no se acaban, sino que comienzan con los hechos, prolongan sus secuelas. Las consecuencias negativas han provocado la ruptura de planes de vida durante décadas. Sin embargo, a pesar de que el impacto colectivo muestra que Colombia ha tenido pérdidas incalculables debido al enorme costo en vidas humanas y sueños colectivos, la guerra ha resultado beneficiosa para otros sectores, que acumularon tierra y propiedades, se han enriquecido con el despojo y las economías ligadas al conflicto armado y al narcotráfico o han ganado</w:t>
      </w:r>
      <w:r>
        <w:rPr>
          <w:spacing w:val="-1"/>
        </w:rPr>
        <w:t xml:space="preserve"> </w:t>
      </w:r>
      <w:r>
        <w:t>poder político. Así lo</w:t>
      </w:r>
      <w:r>
        <w:rPr>
          <w:spacing w:val="-1"/>
        </w:rPr>
        <w:t xml:space="preserve"> </w:t>
      </w:r>
      <w:r>
        <w:t>cuenta un</w:t>
      </w:r>
      <w:r>
        <w:rPr>
          <w:spacing w:val="-1"/>
        </w:rPr>
        <w:t xml:space="preserve"> </w:t>
      </w:r>
      <w:r>
        <w:t>joven, cuya biografía</w:t>
      </w:r>
      <w:r>
        <w:rPr>
          <w:spacing w:val="-1"/>
        </w:rPr>
        <w:t xml:space="preserve"> </w:t>
      </w:r>
      <w:r>
        <w:t>está cruzada por</w:t>
      </w:r>
      <w:r>
        <w:rPr>
          <w:spacing w:val="-1"/>
        </w:rPr>
        <w:t xml:space="preserve"> </w:t>
      </w:r>
      <w:r>
        <w:t>todas las contradicciones de la guerra, y que tuvo que crecer en el exilio:</w:t>
      </w:r>
    </w:p>
    <w:p w:rsidR="003804AC" w:rsidRDefault="00AF18A5" w:rsidP="008D0AE4">
      <w:r>
        <w:t>«En muchos casos, haber sobrevivido físicamente no basta, hay gente que sigue metida, por</w:t>
      </w:r>
      <w:r>
        <w:rPr>
          <w:spacing w:val="-1"/>
        </w:rPr>
        <w:t xml:space="preserve"> </w:t>
      </w:r>
      <w:r>
        <w:t>todos</w:t>
      </w:r>
      <w:r>
        <w:rPr>
          <w:spacing w:val="-1"/>
        </w:rPr>
        <w:t xml:space="preserve"> </w:t>
      </w:r>
      <w:r>
        <w:t>los</w:t>
      </w:r>
      <w:r>
        <w:rPr>
          <w:spacing w:val="-1"/>
        </w:rPr>
        <w:t xml:space="preserve"> </w:t>
      </w:r>
      <w:r>
        <w:t>motivos</w:t>
      </w:r>
      <w:r>
        <w:rPr>
          <w:spacing w:val="-1"/>
        </w:rPr>
        <w:t xml:space="preserve"> </w:t>
      </w:r>
      <w:r>
        <w:t>que</w:t>
      </w:r>
      <w:r>
        <w:rPr>
          <w:spacing w:val="-1"/>
        </w:rPr>
        <w:t xml:space="preserve"> </w:t>
      </w:r>
      <w:r>
        <w:t>pueda</w:t>
      </w:r>
      <w:r>
        <w:rPr>
          <w:spacing w:val="-1"/>
        </w:rPr>
        <w:t xml:space="preserve"> </w:t>
      </w:r>
      <w:r>
        <w:t>haber,</w:t>
      </w:r>
      <w:r>
        <w:rPr>
          <w:spacing w:val="-1"/>
        </w:rPr>
        <w:t xml:space="preserve"> </w:t>
      </w:r>
      <w:r>
        <w:t>en</w:t>
      </w:r>
      <w:r>
        <w:rPr>
          <w:spacing w:val="-1"/>
        </w:rPr>
        <w:t xml:space="preserve"> </w:t>
      </w:r>
      <w:r>
        <w:t>una</w:t>
      </w:r>
      <w:r>
        <w:rPr>
          <w:spacing w:val="-2"/>
        </w:rPr>
        <w:t xml:space="preserve"> </w:t>
      </w:r>
      <w:r>
        <w:t>dinámica</w:t>
      </w:r>
      <w:r>
        <w:rPr>
          <w:spacing w:val="-1"/>
        </w:rPr>
        <w:t xml:space="preserve"> </w:t>
      </w:r>
      <w:r>
        <w:t>de</w:t>
      </w:r>
      <w:r>
        <w:rPr>
          <w:spacing w:val="-2"/>
        </w:rPr>
        <w:t xml:space="preserve"> </w:t>
      </w:r>
      <w:r>
        <w:t>guerra,</w:t>
      </w:r>
      <w:r>
        <w:rPr>
          <w:spacing w:val="-1"/>
        </w:rPr>
        <w:t xml:space="preserve"> </w:t>
      </w:r>
      <w:r>
        <w:t>en</w:t>
      </w:r>
      <w:r>
        <w:rPr>
          <w:spacing w:val="-1"/>
        </w:rPr>
        <w:t xml:space="preserve"> </w:t>
      </w:r>
      <w:r>
        <w:t>alimentar</w:t>
      </w:r>
      <w:r>
        <w:rPr>
          <w:spacing w:val="-1"/>
        </w:rPr>
        <w:t xml:space="preserve"> </w:t>
      </w:r>
      <w:r>
        <w:t>el</w:t>
      </w:r>
      <w:r>
        <w:rPr>
          <w:spacing w:val="-1"/>
        </w:rPr>
        <w:t xml:space="preserve"> </w:t>
      </w:r>
      <w:r>
        <w:t>conflicto y</w:t>
      </w:r>
      <w:r>
        <w:rPr>
          <w:spacing w:val="-15"/>
        </w:rPr>
        <w:t xml:space="preserve"> </w:t>
      </w:r>
      <w:r>
        <w:t>la</w:t>
      </w:r>
      <w:r>
        <w:rPr>
          <w:spacing w:val="-14"/>
        </w:rPr>
        <w:t xml:space="preserve"> </w:t>
      </w:r>
      <w:r>
        <w:t>violencia,</w:t>
      </w:r>
      <w:r>
        <w:rPr>
          <w:spacing w:val="-14"/>
        </w:rPr>
        <w:t xml:space="preserve"> </w:t>
      </w:r>
      <w:r>
        <w:t>por</w:t>
      </w:r>
      <w:r>
        <w:rPr>
          <w:spacing w:val="-14"/>
        </w:rPr>
        <w:t xml:space="preserve"> </w:t>
      </w:r>
      <w:r>
        <w:t>eso</w:t>
      </w:r>
      <w:r>
        <w:rPr>
          <w:spacing w:val="-14"/>
        </w:rPr>
        <w:t xml:space="preserve"> </w:t>
      </w:r>
      <w:r>
        <w:t>te</w:t>
      </w:r>
      <w:r>
        <w:rPr>
          <w:spacing w:val="-15"/>
        </w:rPr>
        <w:t xml:space="preserve"> </w:t>
      </w:r>
      <w:r>
        <w:t>digo,</w:t>
      </w:r>
      <w:r>
        <w:rPr>
          <w:spacing w:val="-14"/>
        </w:rPr>
        <w:t xml:space="preserve"> </w:t>
      </w:r>
      <w:r>
        <w:t>yo</w:t>
      </w:r>
      <w:r>
        <w:rPr>
          <w:spacing w:val="-14"/>
        </w:rPr>
        <w:t xml:space="preserve"> </w:t>
      </w:r>
      <w:r>
        <w:t>creo</w:t>
      </w:r>
      <w:r>
        <w:rPr>
          <w:spacing w:val="-14"/>
        </w:rPr>
        <w:t xml:space="preserve"> </w:t>
      </w:r>
      <w:r>
        <w:t>que</w:t>
      </w:r>
      <w:r>
        <w:rPr>
          <w:spacing w:val="-14"/>
        </w:rPr>
        <w:t xml:space="preserve"> </w:t>
      </w:r>
      <w:r>
        <w:t>víctimas</w:t>
      </w:r>
      <w:r>
        <w:rPr>
          <w:spacing w:val="-14"/>
        </w:rPr>
        <w:t xml:space="preserve"> </w:t>
      </w:r>
      <w:r>
        <w:t>somos</w:t>
      </w:r>
      <w:r>
        <w:rPr>
          <w:spacing w:val="-14"/>
        </w:rPr>
        <w:t xml:space="preserve"> </w:t>
      </w:r>
      <w:r>
        <w:t>todos,</w:t>
      </w:r>
      <w:r>
        <w:rPr>
          <w:spacing w:val="-14"/>
        </w:rPr>
        <w:t xml:space="preserve"> </w:t>
      </w:r>
      <w:r>
        <w:t>menos</w:t>
      </w:r>
      <w:r>
        <w:rPr>
          <w:spacing w:val="-14"/>
        </w:rPr>
        <w:t xml:space="preserve"> </w:t>
      </w:r>
      <w:r>
        <w:t>los</w:t>
      </w:r>
      <w:r>
        <w:rPr>
          <w:spacing w:val="-14"/>
        </w:rPr>
        <w:t xml:space="preserve"> </w:t>
      </w:r>
      <w:r>
        <w:t>que</w:t>
      </w:r>
      <w:r>
        <w:rPr>
          <w:spacing w:val="-14"/>
        </w:rPr>
        <w:t xml:space="preserve"> </w:t>
      </w:r>
      <w:r>
        <w:t>tienen</w:t>
      </w:r>
      <w:r>
        <w:rPr>
          <w:spacing w:val="-15"/>
        </w:rPr>
        <w:t xml:space="preserve"> </w:t>
      </w:r>
      <w:r>
        <w:t>interés o ganan de la guerra, que no quiere decir los que participan, sino los que tienen interés y ganan de ella»</w:t>
      </w:r>
      <w:r w:rsidR="008D0AE4">
        <w:rPr>
          <w:rStyle w:val="Refdenotaalpie"/>
        </w:rPr>
        <w:footnoteReference w:id="7"/>
      </w:r>
      <w:r>
        <w:t>.</w:t>
      </w:r>
    </w:p>
    <w:p w:rsidR="0011361F" w:rsidRDefault="00AF18A5" w:rsidP="008D0AE4">
      <w:r>
        <w:t>El conflicto</w:t>
      </w:r>
      <w:r>
        <w:rPr>
          <w:spacing w:val="-1"/>
        </w:rPr>
        <w:t xml:space="preserve"> </w:t>
      </w:r>
      <w:r>
        <w:t>armado</w:t>
      </w:r>
      <w:r>
        <w:rPr>
          <w:spacing w:val="-1"/>
        </w:rPr>
        <w:t xml:space="preserve"> </w:t>
      </w:r>
      <w:r>
        <w:t>supone una afectación</w:t>
      </w:r>
      <w:r>
        <w:rPr>
          <w:spacing w:val="-1"/>
        </w:rPr>
        <w:t xml:space="preserve"> </w:t>
      </w:r>
      <w:r>
        <w:t>directa al</w:t>
      </w:r>
      <w:r>
        <w:rPr>
          <w:spacing w:val="-1"/>
        </w:rPr>
        <w:t xml:space="preserve"> </w:t>
      </w:r>
      <w:r>
        <w:t>menos para el 20</w:t>
      </w:r>
      <w:r>
        <w:rPr>
          <w:spacing w:val="-3"/>
        </w:rPr>
        <w:t xml:space="preserve"> </w:t>
      </w:r>
      <w:r>
        <w:t>%</w:t>
      </w:r>
      <w:r>
        <w:rPr>
          <w:spacing w:val="-1"/>
        </w:rPr>
        <w:t xml:space="preserve"> </w:t>
      </w:r>
      <w:r>
        <w:t>de la población colombiana</w:t>
      </w:r>
      <w:r>
        <w:rPr>
          <w:spacing w:val="-15"/>
        </w:rPr>
        <w:t xml:space="preserve"> </w:t>
      </w:r>
      <w:r>
        <w:t>que</w:t>
      </w:r>
      <w:r>
        <w:rPr>
          <w:spacing w:val="-15"/>
        </w:rPr>
        <w:t xml:space="preserve"> </w:t>
      </w:r>
      <w:r>
        <w:t>resultó</w:t>
      </w:r>
      <w:r>
        <w:rPr>
          <w:spacing w:val="-15"/>
        </w:rPr>
        <w:t xml:space="preserve"> </w:t>
      </w:r>
      <w:r>
        <w:t>víctima,</w:t>
      </w:r>
      <w:r>
        <w:rPr>
          <w:spacing w:val="-15"/>
        </w:rPr>
        <w:t xml:space="preserve"> </w:t>
      </w:r>
      <w:r>
        <w:t>lo</w:t>
      </w:r>
      <w:r>
        <w:rPr>
          <w:spacing w:val="-15"/>
        </w:rPr>
        <w:t xml:space="preserve"> </w:t>
      </w:r>
      <w:r>
        <w:t>que</w:t>
      </w:r>
      <w:r>
        <w:rPr>
          <w:spacing w:val="-15"/>
        </w:rPr>
        <w:t xml:space="preserve"> </w:t>
      </w:r>
      <w:r>
        <w:t>muestra</w:t>
      </w:r>
      <w:r>
        <w:rPr>
          <w:spacing w:val="-15"/>
        </w:rPr>
        <w:t xml:space="preserve"> </w:t>
      </w:r>
      <w:r>
        <w:t>un</w:t>
      </w:r>
      <w:r>
        <w:rPr>
          <w:spacing w:val="-15"/>
        </w:rPr>
        <w:t xml:space="preserve"> </w:t>
      </w:r>
      <w:r>
        <w:t>impacto</w:t>
      </w:r>
      <w:r>
        <w:rPr>
          <w:spacing w:val="-15"/>
        </w:rPr>
        <w:t xml:space="preserve"> </w:t>
      </w:r>
      <w:r>
        <w:t>masivo</w:t>
      </w:r>
      <w:r>
        <w:rPr>
          <w:spacing w:val="-15"/>
        </w:rPr>
        <w:t xml:space="preserve"> </w:t>
      </w:r>
      <w:r>
        <w:t>con</w:t>
      </w:r>
      <w:r>
        <w:rPr>
          <w:spacing w:val="-15"/>
        </w:rPr>
        <w:t xml:space="preserve"> </w:t>
      </w:r>
      <w:r>
        <w:t>consecuencias</w:t>
      </w:r>
      <w:r>
        <w:rPr>
          <w:spacing w:val="-15"/>
        </w:rPr>
        <w:t xml:space="preserve"> </w:t>
      </w:r>
      <w:r>
        <w:t>a</w:t>
      </w:r>
      <w:r>
        <w:rPr>
          <w:spacing w:val="-15"/>
        </w:rPr>
        <w:t xml:space="preserve"> </w:t>
      </w:r>
      <w:r>
        <w:t>largo plazo.</w:t>
      </w:r>
      <w:r>
        <w:rPr>
          <w:spacing w:val="-11"/>
        </w:rPr>
        <w:t xml:space="preserve"> </w:t>
      </w:r>
      <w:r>
        <w:t>En</w:t>
      </w:r>
      <w:r>
        <w:rPr>
          <w:spacing w:val="-12"/>
        </w:rPr>
        <w:t xml:space="preserve"> </w:t>
      </w:r>
      <w:r>
        <w:t>el</w:t>
      </w:r>
      <w:r>
        <w:rPr>
          <w:spacing w:val="-12"/>
        </w:rPr>
        <w:t xml:space="preserve"> </w:t>
      </w:r>
      <w:r>
        <w:t>conjunto</w:t>
      </w:r>
      <w:r>
        <w:rPr>
          <w:spacing w:val="-11"/>
        </w:rPr>
        <w:t xml:space="preserve"> </w:t>
      </w:r>
      <w:r>
        <w:t>de</w:t>
      </w:r>
      <w:r>
        <w:rPr>
          <w:spacing w:val="-12"/>
        </w:rPr>
        <w:t xml:space="preserve"> </w:t>
      </w:r>
      <w:r>
        <w:t>los</w:t>
      </w:r>
      <w:r>
        <w:rPr>
          <w:spacing w:val="-11"/>
        </w:rPr>
        <w:t xml:space="preserve"> </w:t>
      </w:r>
      <w:r>
        <w:t>testimonios</w:t>
      </w:r>
      <w:r>
        <w:rPr>
          <w:spacing w:val="-11"/>
        </w:rPr>
        <w:t xml:space="preserve"> </w:t>
      </w:r>
      <w:r>
        <w:t>de</w:t>
      </w:r>
      <w:r>
        <w:rPr>
          <w:spacing w:val="-11"/>
        </w:rPr>
        <w:t xml:space="preserve"> </w:t>
      </w:r>
      <w:r>
        <w:t>todo</w:t>
      </w:r>
      <w:r>
        <w:rPr>
          <w:spacing w:val="-12"/>
        </w:rPr>
        <w:t xml:space="preserve"> </w:t>
      </w:r>
      <w:r>
        <w:t>tipo</w:t>
      </w:r>
      <w:r>
        <w:rPr>
          <w:spacing w:val="-11"/>
        </w:rPr>
        <w:t xml:space="preserve"> </w:t>
      </w:r>
      <w:r>
        <w:t>de</w:t>
      </w:r>
      <w:r>
        <w:rPr>
          <w:spacing w:val="-11"/>
        </w:rPr>
        <w:t xml:space="preserve"> </w:t>
      </w:r>
      <w:r>
        <w:t>hechos</w:t>
      </w:r>
      <w:r>
        <w:rPr>
          <w:spacing w:val="-11"/>
        </w:rPr>
        <w:t xml:space="preserve"> </w:t>
      </w:r>
      <w:r>
        <w:t>y</w:t>
      </w:r>
      <w:r>
        <w:rPr>
          <w:spacing w:val="-11"/>
        </w:rPr>
        <w:t xml:space="preserve"> </w:t>
      </w:r>
      <w:r>
        <w:t>responsables</w:t>
      </w:r>
      <w:r>
        <w:rPr>
          <w:spacing w:val="-11"/>
        </w:rPr>
        <w:t xml:space="preserve"> </w:t>
      </w:r>
      <w:r>
        <w:t>de</w:t>
      </w:r>
      <w:r>
        <w:rPr>
          <w:spacing w:val="-12"/>
        </w:rPr>
        <w:t xml:space="preserve"> </w:t>
      </w:r>
      <w:r>
        <w:t>la</w:t>
      </w:r>
      <w:r>
        <w:rPr>
          <w:spacing w:val="-12"/>
        </w:rPr>
        <w:t xml:space="preserve"> </w:t>
      </w:r>
      <w:r>
        <w:t>violencia recogidos</w:t>
      </w:r>
      <w:r>
        <w:rPr>
          <w:spacing w:val="-14"/>
        </w:rPr>
        <w:t xml:space="preserve"> </w:t>
      </w:r>
      <w:r>
        <w:t>por</w:t>
      </w:r>
      <w:r>
        <w:rPr>
          <w:spacing w:val="-14"/>
        </w:rPr>
        <w:t xml:space="preserve"> </w:t>
      </w:r>
      <w:r>
        <w:t>la</w:t>
      </w:r>
      <w:r>
        <w:rPr>
          <w:spacing w:val="-14"/>
        </w:rPr>
        <w:t xml:space="preserve"> </w:t>
      </w:r>
      <w:r>
        <w:t>Comisión,</w:t>
      </w:r>
      <w:r>
        <w:rPr>
          <w:spacing w:val="-14"/>
        </w:rPr>
        <w:t xml:space="preserve"> </w:t>
      </w:r>
      <w:r>
        <w:t>las</w:t>
      </w:r>
      <w:r>
        <w:rPr>
          <w:spacing w:val="-14"/>
        </w:rPr>
        <w:t xml:space="preserve"> </w:t>
      </w:r>
      <w:r>
        <w:t>personas</w:t>
      </w:r>
      <w:r>
        <w:rPr>
          <w:spacing w:val="-14"/>
        </w:rPr>
        <w:t xml:space="preserve"> </w:t>
      </w:r>
      <w:r>
        <w:t>hablaron</w:t>
      </w:r>
      <w:r>
        <w:rPr>
          <w:spacing w:val="-14"/>
        </w:rPr>
        <w:t xml:space="preserve"> </w:t>
      </w:r>
      <w:r>
        <w:t>en</w:t>
      </w:r>
      <w:r>
        <w:rPr>
          <w:spacing w:val="-14"/>
        </w:rPr>
        <w:t xml:space="preserve"> </w:t>
      </w:r>
      <w:r>
        <w:t>general</w:t>
      </w:r>
      <w:r>
        <w:rPr>
          <w:spacing w:val="-14"/>
        </w:rPr>
        <w:t xml:space="preserve"> </w:t>
      </w:r>
      <w:r>
        <w:t>de</w:t>
      </w:r>
      <w:r>
        <w:rPr>
          <w:spacing w:val="-14"/>
        </w:rPr>
        <w:t xml:space="preserve"> </w:t>
      </w:r>
      <w:r>
        <w:t>dos</w:t>
      </w:r>
      <w:r>
        <w:rPr>
          <w:spacing w:val="-14"/>
        </w:rPr>
        <w:t xml:space="preserve"> </w:t>
      </w:r>
      <w:r>
        <w:t>o</w:t>
      </w:r>
      <w:r>
        <w:rPr>
          <w:spacing w:val="-14"/>
        </w:rPr>
        <w:t xml:space="preserve"> </w:t>
      </w:r>
      <w:r>
        <w:t>tres</w:t>
      </w:r>
      <w:r>
        <w:rPr>
          <w:spacing w:val="-14"/>
        </w:rPr>
        <w:t xml:space="preserve"> </w:t>
      </w:r>
      <w:r>
        <w:t>hechos</w:t>
      </w:r>
      <w:r>
        <w:rPr>
          <w:spacing w:val="-14"/>
        </w:rPr>
        <w:t xml:space="preserve"> </w:t>
      </w:r>
      <w:r>
        <w:t>de</w:t>
      </w:r>
      <w:r>
        <w:rPr>
          <w:spacing w:val="-14"/>
        </w:rPr>
        <w:t xml:space="preserve"> </w:t>
      </w:r>
      <w:r>
        <w:t>violencia que marcaron sus vidas de manera irreversible.</w:t>
      </w:r>
    </w:p>
    <w:p w:rsidR="003804AC" w:rsidRDefault="00AF18A5" w:rsidP="008D0AE4">
      <w:bookmarkStart w:id="15" w:name="_bookmark10"/>
      <w:bookmarkEnd w:id="15"/>
      <w:r>
        <w:lastRenderedPageBreak/>
        <w:t>En el 42</w:t>
      </w:r>
      <w:r>
        <w:rPr>
          <w:spacing w:val="-1"/>
        </w:rPr>
        <w:t xml:space="preserve"> </w:t>
      </w:r>
      <w:r>
        <w:t>% de los casos recogidos por la Comisión, las personas fueron víctimas de distintos hechos en varios momentos e, incluso, por diferentes grupos armados; el 20</w:t>
      </w:r>
      <w:r>
        <w:rPr>
          <w:spacing w:val="-2"/>
        </w:rPr>
        <w:t xml:space="preserve"> </w:t>
      </w:r>
      <w:r>
        <w:t>% de las</w:t>
      </w:r>
      <w:r>
        <w:rPr>
          <w:spacing w:val="-15"/>
        </w:rPr>
        <w:t xml:space="preserve"> </w:t>
      </w:r>
      <w:r>
        <w:t>víctimas</w:t>
      </w:r>
      <w:r>
        <w:rPr>
          <w:spacing w:val="-15"/>
        </w:rPr>
        <w:t xml:space="preserve"> </w:t>
      </w:r>
      <w:r>
        <w:t>reportaron</w:t>
      </w:r>
      <w:r>
        <w:rPr>
          <w:spacing w:val="-15"/>
        </w:rPr>
        <w:t xml:space="preserve"> </w:t>
      </w:r>
      <w:r>
        <w:t>más</w:t>
      </w:r>
      <w:r>
        <w:rPr>
          <w:spacing w:val="-15"/>
        </w:rPr>
        <w:t xml:space="preserve"> </w:t>
      </w:r>
      <w:r>
        <w:t>de</w:t>
      </w:r>
      <w:r>
        <w:rPr>
          <w:spacing w:val="-15"/>
        </w:rPr>
        <w:t xml:space="preserve"> </w:t>
      </w:r>
      <w:r>
        <w:t>un</w:t>
      </w:r>
      <w:r>
        <w:rPr>
          <w:spacing w:val="-15"/>
        </w:rPr>
        <w:t xml:space="preserve"> </w:t>
      </w:r>
      <w:r>
        <w:t>perpetrador,</w:t>
      </w:r>
      <w:r>
        <w:rPr>
          <w:spacing w:val="-15"/>
        </w:rPr>
        <w:t xml:space="preserve"> </w:t>
      </w:r>
      <w:r>
        <w:t>mostrando</w:t>
      </w:r>
      <w:r>
        <w:rPr>
          <w:spacing w:val="-15"/>
        </w:rPr>
        <w:t xml:space="preserve"> </w:t>
      </w:r>
      <w:r>
        <w:t>cómo</w:t>
      </w:r>
      <w:r>
        <w:rPr>
          <w:spacing w:val="-15"/>
        </w:rPr>
        <w:t xml:space="preserve"> </w:t>
      </w:r>
      <w:r>
        <w:t>especialmente</w:t>
      </w:r>
      <w:r>
        <w:rPr>
          <w:spacing w:val="-15"/>
        </w:rPr>
        <w:t xml:space="preserve"> </w:t>
      </w:r>
      <w:r>
        <w:t>la</w:t>
      </w:r>
      <w:r>
        <w:rPr>
          <w:spacing w:val="-15"/>
        </w:rPr>
        <w:t xml:space="preserve"> </w:t>
      </w:r>
      <w:r>
        <w:t>agudización del conflicto armado llevó a la extensión del impacto en el que la población se convirtió en el objetivo y los motivos de la violencia se cruzaron muchas veces en la biografía de una misma persona y su familia.</w:t>
      </w:r>
    </w:p>
    <w:p w:rsidR="003804AC" w:rsidRDefault="00AF18A5" w:rsidP="008D0AE4">
      <w:r>
        <w:t>Pero el</w:t>
      </w:r>
      <w:r>
        <w:rPr>
          <w:spacing w:val="-1"/>
        </w:rPr>
        <w:t xml:space="preserve"> </w:t>
      </w:r>
      <w:r>
        <w:t>impacto no ha sido igual ni ha</w:t>
      </w:r>
      <w:r>
        <w:rPr>
          <w:spacing w:val="-1"/>
        </w:rPr>
        <w:t xml:space="preserve"> </w:t>
      </w:r>
      <w:r>
        <w:t>llevado</w:t>
      </w:r>
      <w:r>
        <w:rPr>
          <w:spacing w:val="-1"/>
        </w:rPr>
        <w:t xml:space="preserve"> </w:t>
      </w:r>
      <w:r>
        <w:t>a generalizar el</w:t>
      </w:r>
      <w:r>
        <w:rPr>
          <w:spacing w:val="-1"/>
        </w:rPr>
        <w:t xml:space="preserve"> </w:t>
      </w:r>
      <w:r>
        <w:t>efecto sufriente sobre toda la población. La población campesina y la urbana empobrecida, los pueblos étnicos, las mujeres de sectores populares y los niños, niñas y jóvenes en áreas rurales o urbanas marginalizadas han sido los más afectados por un conflicto armado, en el que tener control sobre la población civil y el territorio se convirtió en objetivo central de la guerra</w:t>
      </w:r>
      <w:r w:rsidR="008D0AE4">
        <w:rPr>
          <w:rStyle w:val="Refdenotaalpie"/>
        </w:rPr>
        <w:footnoteReference w:id="8"/>
      </w:r>
      <w:r>
        <w:t>.</w:t>
      </w:r>
    </w:p>
    <w:p w:rsidR="0011361F" w:rsidRDefault="00AF18A5" w:rsidP="008D0AE4">
      <w:r>
        <w:t>El cansancio del conflicto armado, de los procesos de paz fragmentados o frustrados, de la</w:t>
      </w:r>
      <w:r>
        <w:rPr>
          <w:spacing w:val="-9"/>
        </w:rPr>
        <w:t xml:space="preserve"> </w:t>
      </w:r>
      <w:r>
        <w:t>repetición</w:t>
      </w:r>
      <w:r>
        <w:rPr>
          <w:spacing w:val="-11"/>
        </w:rPr>
        <w:t xml:space="preserve"> </w:t>
      </w:r>
      <w:r>
        <w:t>de</w:t>
      </w:r>
      <w:r>
        <w:rPr>
          <w:spacing w:val="-9"/>
        </w:rPr>
        <w:t xml:space="preserve"> </w:t>
      </w:r>
      <w:r>
        <w:t>ciclos</w:t>
      </w:r>
      <w:r>
        <w:rPr>
          <w:spacing w:val="-10"/>
        </w:rPr>
        <w:t xml:space="preserve"> </w:t>
      </w:r>
      <w:r>
        <w:t>de</w:t>
      </w:r>
      <w:r>
        <w:rPr>
          <w:spacing w:val="-9"/>
        </w:rPr>
        <w:t xml:space="preserve"> </w:t>
      </w:r>
      <w:r>
        <w:t>violencia</w:t>
      </w:r>
      <w:r>
        <w:rPr>
          <w:spacing w:val="-9"/>
        </w:rPr>
        <w:t xml:space="preserve"> </w:t>
      </w:r>
      <w:r>
        <w:t>que</w:t>
      </w:r>
      <w:r>
        <w:rPr>
          <w:spacing w:val="-9"/>
        </w:rPr>
        <w:t xml:space="preserve"> </w:t>
      </w:r>
      <w:r>
        <w:t>volvían</w:t>
      </w:r>
      <w:r>
        <w:rPr>
          <w:spacing w:val="-10"/>
        </w:rPr>
        <w:t xml:space="preserve"> </w:t>
      </w:r>
      <w:r>
        <w:t>como</w:t>
      </w:r>
      <w:r>
        <w:rPr>
          <w:spacing w:val="-10"/>
        </w:rPr>
        <w:t xml:space="preserve"> </w:t>
      </w:r>
      <w:r>
        <w:t>un</w:t>
      </w:r>
      <w:r>
        <w:rPr>
          <w:spacing w:val="-10"/>
        </w:rPr>
        <w:t xml:space="preserve"> </w:t>
      </w:r>
      <w:r>
        <w:t>mal</w:t>
      </w:r>
      <w:r>
        <w:rPr>
          <w:spacing w:val="-9"/>
        </w:rPr>
        <w:t xml:space="preserve"> </w:t>
      </w:r>
      <w:r>
        <w:t>sueño</w:t>
      </w:r>
      <w:r>
        <w:rPr>
          <w:spacing w:val="-10"/>
        </w:rPr>
        <w:t xml:space="preserve"> </w:t>
      </w:r>
      <w:r>
        <w:t>de</w:t>
      </w:r>
      <w:r>
        <w:rPr>
          <w:spacing w:val="-9"/>
        </w:rPr>
        <w:t xml:space="preserve"> </w:t>
      </w:r>
      <w:r>
        <w:t>promesas</w:t>
      </w:r>
      <w:r>
        <w:rPr>
          <w:spacing w:val="-9"/>
        </w:rPr>
        <w:t xml:space="preserve"> </w:t>
      </w:r>
      <w:r>
        <w:t>incumplidas o de discursos que ampararon la continuación de la guerra originó un estado de apatía e indiferencia</w:t>
      </w:r>
      <w:r>
        <w:rPr>
          <w:spacing w:val="-3"/>
        </w:rPr>
        <w:t xml:space="preserve"> </w:t>
      </w:r>
      <w:r>
        <w:t>en</w:t>
      </w:r>
      <w:r>
        <w:rPr>
          <w:spacing w:val="-2"/>
        </w:rPr>
        <w:t xml:space="preserve"> </w:t>
      </w:r>
      <w:r>
        <w:t>un</w:t>
      </w:r>
      <w:r>
        <w:rPr>
          <w:spacing w:val="-2"/>
        </w:rPr>
        <w:t xml:space="preserve"> </w:t>
      </w:r>
      <w:r>
        <w:t>sector</w:t>
      </w:r>
      <w:r>
        <w:rPr>
          <w:spacing w:val="-2"/>
        </w:rPr>
        <w:t xml:space="preserve"> </w:t>
      </w:r>
      <w:r>
        <w:t>de</w:t>
      </w:r>
      <w:r>
        <w:rPr>
          <w:spacing w:val="-2"/>
        </w:rPr>
        <w:t xml:space="preserve"> </w:t>
      </w:r>
      <w:r>
        <w:t>la</w:t>
      </w:r>
      <w:r>
        <w:rPr>
          <w:spacing w:val="-2"/>
        </w:rPr>
        <w:t xml:space="preserve"> </w:t>
      </w:r>
      <w:r>
        <w:t>sociedad.</w:t>
      </w:r>
      <w:r>
        <w:rPr>
          <w:spacing w:val="-2"/>
        </w:rPr>
        <w:t xml:space="preserve"> </w:t>
      </w:r>
      <w:r>
        <w:t>Mientras</w:t>
      </w:r>
      <w:r>
        <w:rPr>
          <w:spacing w:val="-3"/>
        </w:rPr>
        <w:t xml:space="preserve"> </w:t>
      </w:r>
      <w:r>
        <w:t>los</w:t>
      </w:r>
      <w:r>
        <w:rPr>
          <w:spacing w:val="-2"/>
        </w:rPr>
        <w:t xml:space="preserve"> </w:t>
      </w:r>
      <w:r>
        <w:t>discursos</w:t>
      </w:r>
      <w:r>
        <w:rPr>
          <w:spacing w:val="-2"/>
        </w:rPr>
        <w:t xml:space="preserve"> </w:t>
      </w:r>
      <w:r>
        <w:t>triunfalistas</w:t>
      </w:r>
      <w:r>
        <w:rPr>
          <w:spacing w:val="-2"/>
        </w:rPr>
        <w:t xml:space="preserve"> </w:t>
      </w:r>
      <w:r>
        <w:t>de</w:t>
      </w:r>
      <w:r>
        <w:rPr>
          <w:spacing w:val="-2"/>
        </w:rPr>
        <w:t xml:space="preserve"> </w:t>
      </w:r>
      <w:r>
        <w:t>una</w:t>
      </w:r>
      <w:r>
        <w:rPr>
          <w:spacing w:val="-2"/>
        </w:rPr>
        <w:t xml:space="preserve"> </w:t>
      </w:r>
      <w:r>
        <w:t>parte</w:t>
      </w:r>
      <w:r>
        <w:rPr>
          <w:spacing w:val="-2"/>
        </w:rPr>
        <w:t xml:space="preserve"> </w:t>
      </w:r>
      <w:r>
        <w:t xml:space="preserve">del Estado llegaron acompañados de corrupción o negación de su responsabilidad, y las proclamas de las guerrillas, con una violencia </w:t>
      </w:r>
      <w:r>
        <w:lastRenderedPageBreak/>
        <w:t>contra otros sectores económicos o políticos considerados también como enemigos, el descrédito hacia todos llevó a la desconfianza en un</w:t>
      </w:r>
      <w:r>
        <w:rPr>
          <w:spacing w:val="-10"/>
        </w:rPr>
        <w:t xml:space="preserve"> </w:t>
      </w:r>
      <w:r>
        <w:t>futuro</w:t>
      </w:r>
      <w:r>
        <w:rPr>
          <w:spacing w:val="-11"/>
        </w:rPr>
        <w:t xml:space="preserve"> </w:t>
      </w:r>
      <w:r>
        <w:t>compartido</w:t>
      </w:r>
      <w:r>
        <w:rPr>
          <w:spacing w:val="-10"/>
        </w:rPr>
        <w:t xml:space="preserve"> </w:t>
      </w:r>
      <w:r>
        <w:t>en</w:t>
      </w:r>
      <w:r>
        <w:rPr>
          <w:spacing w:val="-11"/>
        </w:rPr>
        <w:t xml:space="preserve"> </w:t>
      </w:r>
      <w:r>
        <w:t>Colombia.</w:t>
      </w:r>
      <w:r>
        <w:rPr>
          <w:spacing w:val="-10"/>
        </w:rPr>
        <w:t xml:space="preserve"> </w:t>
      </w:r>
      <w:r>
        <w:t>Frente</w:t>
      </w:r>
      <w:r>
        <w:rPr>
          <w:spacing w:val="-10"/>
        </w:rPr>
        <w:t xml:space="preserve"> </w:t>
      </w:r>
      <w:r>
        <w:t>a</w:t>
      </w:r>
      <w:r>
        <w:rPr>
          <w:spacing w:val="-10"/>
        </w:rPr>
        <w:t xml:space="preserve"> </w:t>
      </w:r>
      <w:r>
        <w:t>esa</w:t>
      </w:r>
      <w:r>
        <w:rPr>
          <w:spacing w:val="-10"/>
        </w:rPr>
        <w:t xml:space="preserve"> </w:t>
      </w:r>
      <w:r>
        <w:t>Colombia</w:t>
      </w:r>
      <w:r>
        <w:rPr>
          <w:spacing w:val="-10"/>
        </w:rPr>
        <w:t xml:space="preserve"> </w:t>
      </w:r>
      <w:r>
        <w:t>que</w:t>
      </w:r>
      <w:r>
        <w:rPr>
          <w:spacing w:val="-10"/>
        </w:rPr>
        <w:t xml:space="preserve"> </w:t>
      </w:r>
      <w:r>
        <w:t>cuenta</w:t>
      </w:r>
      <w:r>
        <w:rPr>
          <w:spacing w:val="-10"/>
        </w:rPr>
        <w:t xml:space="preserve"> </w:t>
      </w:r>
      <w:r>
        <w:t>social</w:t>
      </w:r>
      <w:r>
        <w:rPr>
          <w:spacing w:val="-10"/>
        </w:rPr>
        <w:t xml:space="preserve"> </w:t>
      </w:r>
      <w:r>
        <w:t>y</w:t>
      </w:r>
      <w:r>
        <w:rPr>
          <w:spacing w:val="-10"/>
        </w:rPr>
        <w:t xml:space="preserve"> </w:t>
      </w:r>
      <w:r>
        <w:t>políticamente, la más excluida –la Colombia rural y empobrecida, la de los pueblos étnicos y el mundo campesino–,</w:t>
      </w:r>
      <w:r>
        <w:rPr>
          <w:spacing w:val="-15"/>
        </w:rPr>
        <w:t xml:space="preserve"> </w:t>
      </w:r>
      <w:r>
        <w:t>ha</w:t>
      </w:r>
      <w:r>
        <w:rPr>
          <w:spacing w:val="-15"/>
        </w:rPr>
        <w:t xml:space="preserve"> </w:t>
      </w:r>
      <w:r>
        <w:t>sido</w:t>
      </w:r>
      <w:r>
        <w:rPr>
          <w:spacing w:val="-14"/>
        </w:rPr>
        <w:t xml:space="preserve"> </w:t>
      </w:r>
      <w:r>
        <w:t>vista</w:t>
      </w:r>
      <w:r>
        <w:rPr>
          <w:spacing w:val="-15"/>
        </w:rPr>
        <w:t xml:space="preserve"> </w:t>
      </w:r>
      <w:r>
        <w:t>solo</w:t>
      </w:r>
      <w:r>
        <w:rPr>
          <w:spacing w:val="-14"/>
        </w:rPr>
        <w:t xml:space="preserve"> </w:t>
      </w:r>
      <w:r>
        <w:t>como</w:t>
      </w:r>
      <w:r>
        <w:rPr>
          <w:spacing w:val="-14"/>
        </w:rPr>
        <w:t xml:space="preserve"> </w:t>
      </w:r>
      <w:r>
        <w:t>una</w:t>
      </w:r>
      <w:r>
        <w:rPr>
          <w:spacing w:val="-14"/>
        </w:rPr>
        <w:t xml:space="preserve"> </w:t>
      </w:r>
      <w:r>
        <w:t>fuente</w:t>
      </w:r>
      <w:r>
        <w:rPr>
          <w:spacing w:val="-14"/>
        </w:rPr>
        <w:t xml:space="preserve"> </w:t>
      </w:r>
      <w:r>
        <w:t>de</w:t>
      </w:r>
      <w:r>
        <w:rPr>
          <w:spacing w:val="-15"/>
        </w:rPr>
        <w:t xml:space="preserve"> </w:t>
      </w:r>
      <w:r>
        <w:t>recursos</w:t>
      </w:r>
      <w:r>
        <w:rPr>
          <w:spacing w:val="-14"/>
        </w:rPr>
        <w:t xml:space="preserve"> </w:t>
      </w:r>
      <w:r>
        <w:t>que</w:t>
      </w:r>
      <w:r>
        <w:rPr>
          <w:spacing w:val="-15"/>
        </w:rPr>
        <w:t xml:space="preserve"> </w:t>
      </w:r>
      <w:r>
        <w:t>se</w:t>
      </w:r>
      <w:r>
        <w:rPr>
          <w:spacing w:val="-14"/>
        </w:rPr>
        <w:t xml:space="preserve"> </w:t>
      </w:r>
      <w:r>
        <w:t>pueden</w:t>
      </w:r>
      <w:r>
        <w:rPr>
          <w:spacing w:val="-14"/>
        </w:rPr>
        <w:t xml:space="preserve"> </w:t>
      </w:r>
      <w:r>
        <w:t>explotar</w:t>
      </w:r>
      <w:r>
        <w:rPr>
          <w:spacing w:val="-14"/>
        </w:rPr>
        <w:t xml:space="preserve"> </w:t>
      </w:r>
      <w:r>
        <w:t>o</w:t>
      </w:r>
      <w:r>
        <w:rPr>
          <w:spacing w:val="-14"/>
        </w:rPr>
        <w:t xml:space="preserve"> </w:t>
      </w:r>
      <w:r>
        <w:t>de</w:t>
      </w:r>
      <w:r>
        <w:rPr>
          <w:spacing w:val="-15"/>
        </w:rPr>
        <w:t xml:space="preserve"> </w:t>
      </w:r>
      <w:r>
        <w:t>tierra que acumular, sin ser tenida en cuenta en un proyecto incluyente de país.</w:t>
      </w:r>
    </w:p>
    <w:p w:rsidR="003804AC" w:rsidRDefault="00AF18A5" w:rsidP="008D0AE4">
      <w:bookmarkStart w:id="16" w:name="_bookmark11"/>
      <w:bookmarkEnd w:id="16"/>
      <w:r>
        <w:t>Una</w:t>
      </w:r>
      <w:r>
        <w:rPr>
          <w:spacing w:val="-11"/>
        </w:rPr>
        <w:t xml:space="preserve"> </w:t>
      </w:r>
      <w:r>
        <w:t>buena</w:t>
      </w:r>
      <w:r>
        <w:rPr>
          <w:spacing w:val="-11"/>
        </w:rPr>
        <w:t xml:space="preserve"> </w:t>
      </w:r>
      <w:r>
        <w:t>parte</w:t>
      </w:r>
      <w:r>
        <w:rPr>
          <w:spacing w:val="-12"/>
        </w:rPr>
        <w:t xml:space="preserve"> </w:t>
      </w:r>
      <w:r>
        <w:t>de</w:t>
      </w:r>
      <w:r>
        <w:rPr>
          <w:spacing w:val="-12"/>
        </w:rPr>
        <w:t xml:space="preserve"> </w:t>
      </w:r>
      <w:r>
        <w:t>la</w:t>
      </w:r>
      <w:r>
        <w:rPr>
          <w:spacing w:val="-11"/>
        </w:rPr>
        <w:t xml:space="preserve"> </w:t>
      </w:r>
      <w:r>
        <w:t>sociedad</w:t>
      </w:r>
      <w:r>
        <w:rPr>
          <w:spacing w:val="-12"/>
        </w:rPr>
        <w:t xml:space="preserve"> </w:t>
      </w:r>
      <w:r>
        <w:t>colombiana</w:t>
      </w:r>
      <w:r>
        <w:rPr>
          <w:spacing w:val="-12"/>
        </w:rPr>
        <w:t xml:space="preserve"> </w:t>
      </w:r>
      <w:r>
        <w:t>ha</w:t>
      </w:r>
      <w:r>
        <w:rPr>
          <w:spacing w:val="-11"/>
        </w:rPr>
        <w:t xml:space="preserve"> </w:t>
      </w:r>
      <w:r>
        <w:t>dado</w:t>
      </w:r>
      <w:r>
        <w:rPr>
          <w:spacing w:val="-11"/>
        </w:rPr>
        <w:t xml:space="preserve"> </w:t>
      </w:r>
      <w:r>
        <w:t>un</w:t>
      </w:r>
      <w:r>
        <w:rPr>
          <w:spacing w:val="-11"/>
        </w:rPr>
        <w:t xml:space="preserve"> </w:t>
      </w:r>
      <w:r>
        <w:t>paso</w:t>
      </w:r>
      <w:r>
        <w:rPr>
          <w:spacing w:val="-12"/>
        </w:rPr>
        <w:t xml:space="preserve"> </w:t>
      </w:r>
      <w:r>
        <w:t>adelante</w:t>
      </w:r>
      <w:r>
        <w:rPr>
          <w:spacing w:val="-12"/>
        </w:rPr>
        <w:t xml:space="preserve"> </w:t>
      </w:r>
      <w:r>
        <w:t>tratando</w:t>
      </w:r>
      <w:r>
        <w:rPr>
          <w:spacing w:val="-11"/>
        </w:rPr>
        <w:t xml:space="preserve"> </w:t>
      </w:r>
      <w:r>
        <w:t>de</w:t>
      </w:r>
      <w:r>
        <w:rPr>
          <w:spacing w:val="-11"/>
        </w:rPr>
        <w:t xml:space="preserve"> </w:t>
      </w:r>
      <w:r>
        <w:t>defender sus proyectos de vida, resistir a la guerra, luchar por sus derechos, hacer avanzar la democracia.</w:t>
      </w:r>
      <w:r>
        <w:rPr>
          <w:spacing w:val="-10"/>
        </w:rPr>
        <w:t xml:space="preserve"> </w:t>
      </w:r>
      <w:r>
        <w:t>La</w:t>
      </w:r>
      <w:r>
        <w:rPr>
          <w:spacing w:val="-8"/>
        </w:rPr>
        <w:t xml:space="preserve"> </w:t>
      </w:r>
      <w:r>
        <w:t>lucha</w:t>
      </w:r>
      <w:r>
        <w:rPr>
          <w:spacing w:val="-9"/>
        </w:rPr>
        <w:t xml:space="preserve"> </w:t>
      </w:r>
      <w:r>
        <w:t>contra</w:t>
      </w:r>
      <w:r>
        <w:rPr>
          <w:spacing w:val="-9"/>
        </w:rPr>
        <w:t xml:space="preserve"> </w:t>
      </w:r>
      <w:r>
        <w:t>la</w:t>
      </w:r>
      <w:r>
        <w:rPr>
          <w:spacing w:val="-9"/>
        </w:rPr>
        <w:t xml:space="preserve"> </w:t>
      </w:r>
      <w:r>
        <w:t>impunidad</w:t>
      </w:r>
      <w:r>
        <w:rPr>
          <w:spacing w:val="-8"/>
        </w:rPr>
        <w:t xml:space="preserve"> </w:t>
      </w:r>
      <w:r>
        <w:t>ha</w:t>
      </w:r>
      <w:r>
        <w:rPr>
          <w:spacing w:val="-9"/>
        </w:rPr>
        <w:t xml:space="preserve"> </w:t>
      </w:r>
      <w:r>
        <w:t>sido</w:t>
      </w:r>
      <w:r>
        <w:rPr>
          <w:spacing w:val="-8"/>
        </w:rPr>
        <w:t xml:space="preserve"> </w:t>
      </w:r>
      <w:r>
        <w:t>una</w:t>
      </w:r>
      <w:r>
        <w:rPr>
          <w:spacing w:val="-8"/>
        </w:rPr>
        <w:t xml:space="preserve"> </w:t>
      </w:r>
      <w:r>
        <w:t>demanda</w:t>
      </w:r>
      <w:r>
        <w:rPr>
          <w:spacing w:val="-8"/>
        </w:rPr>
        <w:t xml:space="preserve"> </w:t>
      </w:r>
      <w:r>
        <w:t>histórica</w:t>
      </w:r>
      <w:r>
        <w:rPr>
          <w:spacing w:val="-9"/>
        </w:rPr>
        <w:t xml:space="preserve"> </w:t>
      </w:r>
      <w:r>
        <w:t>en</w:t>
      </w:r>
      <w:r>
        <w:rPr>
          <w:spacing w:val="-8"/>
        </w:rPr>
        <w:t xml:space="preserve"> </w:t>
      </w:r>
      <w:r>
        <w:t>Colombia</w:t>
      </w:r>
      <w:r>
        <w:rPr>
          <w:spacing w:val="-9"/>
        </w:rPr>
        <w:t xml:space="preserve"> </w:t>
      </w:r>
      <w:r>
        <w:t>desde hace 60 años y, sin embargo, los casos relacionados con el conflicto armado han ido acumulándose</w:t>
      </w:r>
      <w:r>
        <w:rPr>
          <w:spacing w:val="-10"/>
        </w:rPr>
        <w:t xml:space="preserve"> </w:t>
      </w:r>
      <w:r>
        <w:t>cada</w:t>
      </w:r>
      <w:r>
        <w:rPr>
          <w:spacing w:val="-11"/>
        </w:rPr>
        <w:t xml:space="preserve"> </w:t>
      </w:r>
      <w:r>
        <w:t>vez</w:t>
      </w:r>
      <w:r>
        <w:rPr>
          <w:spacing w:val="-11"/>
        </w:rPr>
        <w:t xml:space="preserve"> </w:t>
      </w:r>
      <w:r>
        <w:t>más,</w:t>
      </w:r>
      <w:r>
        <w:rPr>
          <w:spacing w:val="-10"/>
        </w:rPr>
        <w:t xml:space="preserve"> </w:t>
      </w:r>
      <w:r>
        <w:t>y</w:t>
      </w:r>
      <w:r>
        <w:rPr>
          <w:spacing w:val="-11"/>
        </w:rPr>
        <w:t xml:space="preserve"> </w:t>
      </w:r>
      <w:r>
        <w:t>los</w:t>
      </w:r>
      <w:r>
        <w:rPr>
          <w:spacing w:val="-11"/>
        </w:rPr>
        <w:t xml:space="preserve"> </w:t>
      </w:r>
      <w:r>
        <w:t>mecanismos</w:t>
      </w:r>
      <w:r>
        <w:rPr>
          <w:spacing w:val="-10"/>
        </w:rPr>
        <w:t xml:space="preserve"> </w:t>
      </w:r>
      <w:r>
        <w:t>para</w:t>
      </w:r>
      <w:r>
        <w:rPr>
          <w:spacing w:val="-9"/>
        </w:rPr>
        <w:t xml:space="preserve"> </w:t>
      </w:r>
      <w:r>
        <w:t>enfrentarla,</w:t>
      </w:r>
      <w:r>
        <w:rPr>
          <w:spacing w:val="-10"/>
        </w:rPr>
        <w:t xml:space="preserve"> </w:t>
      </w:r>
      <w:r>
        <w:t>si</w:t>
      </w:r>
      <w:r>
        <w:rPr>
          <w:spacing w:val="-9"/>
        </w:rPr>
        <w:t xml:space="preserve"> </w:t>
      </w:r>
      <w:r>
        <w:t>bien</w:t>
      </w:r>
      <w:r>
        <w:rPr>
          <w:spacing w:val="-10"/>
        </w:rPr>
        <w:t xml:space="preserve"> </w:t>
      </w:r>
      <w:r>
        <w:t>en</w:t>
      </w:r>
      <w:r>
        <w:rPr>
          <w:spacing w:val="-11"/>
        </w:rPr>
        <w:t xml:space="preserve"> </w:t>
      </w:r>
      <w:r>
        <w:t>muchos</w:t>
      </w:r>
      <w:r>
        <w:rPr>
          <w:spacing w:val="-11"/>
        </w:rPr>
        <w:t xml:space="preserve"> </w:t>
      </w:r>
      <w:r>
        <w:t>casos</w:t>
      </w:r>
      <w:r>
        <w:rPr>
          <w:spacing w:val="-10"/>
        </w:rPr>
        <w:t xml:space="preserve"> </w:t>
      </w:r>
      <w:r>
        <w:t>han sido valientes, se han visto obstaculizados y no han sido efectivos. Muchas víctimas que llegaron</w:t>
      </w:r>
      <w:r>
        <w:rPr>
          <w:spacing w:val="-2"/>
        </w:rPr>
        <w:t xml:space="preserve"> </w:t>
      </w:r>
      <w:r>
        <w:t>a</w:t>
      </w:r>
      <w:r>
        <w:rPr>
          <w:spacing w:val="-3"/>
        </w:rPr>
        <w:t xml:space="preserve"> </w:t>
      </w:r>
      <w:r>
        <w:t>dar</w:t>
      </w:r>
      <w:r>
        <w:rPr>
          <w:spacing w:val="-2"/>
        </w:rPr>
        <w:t xml:space="preserve"> </w:t>
      </w:r>
      <w:r>
        <w:t>su</w:t>
      </w:r>
      <w:r>
        <w:rPr>
          <w:spacing w:val="-4"/>
        </w:rPr>
        <w:t xml:space="preserve"> </w:t>
      </w:r>
      <w:r>
        <w:t>testimonio</w:t>
      </w:r>
      <w:r>
        <w:rPr>
          <w:spacing w:val="-2"/>
        </w:rPr>
        <w:t xml:space="preserve"> </w:t>
      </w:r>
      <w:r>
        <w:t>a</w:t>
      </w:r>
      <w:r>
        <w:rPr>
          <w:spacing w:val="-3"/>
        </w:rPr>
        <w:t xml:space="preserve"> </w:t>
      </w:r>
      <w:r>
        <w:t>la</w:t>
      </w:r>
      <w:r>
        <w:rPr>
          <w:spacing w:val="-2"/>
        </w:rPr>
        <w:t xml:space="preserve"> </w:t>
      </w:r>
      <w:r>
        <w:t>Comisión</w:t>
      </w:r>
      <w:r>
        <w:rPr>
          <w:spacing w:val="-4"/>
        </w:rPr>
        <w:t xml:space="preserve"> </w:t>
      </w:r>
      <w:r>
        <w:t>lo</w:t>
      </w:r>
      <w:r>
        <w:rPr>
          <w:spacing w:val="-4"/>
        </w:rPr>
        <w:t xml:space="preserve"> </w:t>
      </w:r>
      <w:r>
        <w:t>hicieron</w:t>
      </w:r>
      <w:r>
        <w:rPr>
          <w:spacing w:val="-4"/>
        </w:rPr>
        <w:t xml:space="preserve"> </w:t>
      </w:r>
      <w:r>
        <w:t>porque</w:t>
      </w:r>
      <w:r>
        <w:rPr>
          <w:spacing w:val="-2"/>
        </w:rPr>
        <w:t xml:space="preserve"> </w:t>
      </w:r>
      <w:r>
        <w:t>hacerlo</w:t>
      </w:r>
      <w:r>
        <w:rPr>
          <w:spacing w:val="-4"/>
        </w:rPr>
        <w:t xml:space="preserve"> </w:t>
      </w:r>
      <w:r>
        <w:t>era</w:t>
      </w:r>
      <w:r>
        <w:rPr>
          <w:spacing w:val="-3"/>
        </w:rPr>
        <w:t xml:space="preserve"> </w:t>
      </w:r>
      <w:r>
        <w:t>una</w:t>
      </w:r>
      <w:r>
        <w:rPr>
          <w:spacing w:val="-2"/>
        </w:rPr>
        <w:t xml:space="preserve"> </w:t>
      </w:r>
      <w:r>
        <w:t>contribución</w:t>
      </w:r>
      <w:r>
        <w:rPr>
          <w:spacing w:val="-2"/>
        </w:rPr>
        <w:t xml:space="preserve"> </w:t>
      </w:r>
      <w:r>
        <w:t>a la paz y un aporte a la convivencia, pero al tiempo mostraban un profundo sentido de impotencia del que trataban de desprenderse.</w:t>
      </w:r>
    </w:p>
    <w:p w:rsidR="003804AC" w:rsidRDefault="00AF18A5" w:rsidP="008D0AE4">
      <w:r>
        <w:t>«A</w:t>
      </w:r>
      <w:r>
        <w:rPr>
          <w:spacing w:val="-5"/>
        </w:rPr>
        <w:t xml:space="preserve"> </w:t>
      </w:r>
      <w:r>
        <w:t>todo</w:t>
      </w:r>
      <w:r>
        <w:rPr>
          <w:spacing w:val="-5"/>
        </w:rPr>
        <w:t xml:space="preserve"> </w:t>
      </w:r>
      <w:r>
        <w:t>el</w:t>
      </w:r>
      <w:r>
        <w:rPr>
          <w:spacing w:val="-4"/>
        </w:rPr>
        <w:t xml:space="preserve"> </w:t>
      </w:r>
      <w:r>
        <w:t>que</w:t>
      </w:r>
      <w:r>
        <w:rPr>
          <w:spacing w:val="-5"/>
        </w:rPr>
        <w:t xml:space="preserve"> </w:t>
      </w:r>
      <w:r>
        <w:t>pide,</w:t>
      </w:r>
      <w:r>
        <w:rPr>
          <w:spacing w:val="-5"/>
        </w:rPr>
        <w:t xml:space="preserve"> </w:t>
      </w:r>
      <w:r>
        <w:t>o</w:t>
      </w:r>
      <w:r>
        <w:rPr>
          <w:spacing w:val="-5"/>
        </w:rPr>
        <w:t xml:space="preserve"> </w:t>
      </w:r>
      <w:r>
        <w:t>sea,</w:t>
      </w:r>
      <w:r>
        <w:rPr>
          <w:spacing w:val="-5"/>
        </w:rPr>
        <w:t xml:space="preserve"> </w:t>
      </w:r>
      <w:r>
        <w:t>que</w:t>
      </w:r>
      <w:r>
        <w:rPr>
          <w:spacing w:val="-5"/>
        </w:rPr>
        <w:t xml:space="preserve"> </w:t>
      </w:r>
      <w:r>
        <w:t>reclame</w:t>
      </w:r>
      <w:r>
        <w:rPr>
          <w:spacing w:val="-5"/>
        </w:rPr>
        <w:t xml:space="preserve"> </w:t>
      </w:r>
      <w:r>
        <w:t>las</w:t>
      </w:r>
      <w:r>
        <w:rPr>
          <w:spacing w:val="-5"/>
        </w:rPr>
        <w:t xml:space="preserve"> </w:t>
      </w:r>
      <w:r>
        <w:t>necesidades</w:t>
      </w:r>
      <w:r>
        <w:rPr>
          <w:spacing w:val="-5"/>
        </w:rPr>
        <w:t xml:space="preserve"> </w:t>
      </w:r>
      <w:r>
        <w:t>de</w:t>
      </w:r>
      <w:r>
        <w:rPr>
          <w:spacing w:val="-6"/>
        </w:rPr>
        <w:t xml:space="preserve"> </w:t>
      </w:r>
      <w:r>
        <w:t>los</w:t>
      </w:r>
      <w:r>
        <w:rPr>
          <w:spacing w:val="-5"/>
        </w:rPr>
        <w:t xml:space="preserve"> </w:t>
      </w:r>
      <w:r>
        <w:t>campesinos,</w:t>
      </w:r>
      <w:r>
        <w:rPr>
          <w:spacing w:val="-5"/>
        </w:rPr>
        <w:t xml:space="preserve"> </w:t>
      </w:r>
      <w:r>
        <w:t>o</w:t>
      </w:r>
      <w:r>
        <w:rPr>
          <w:spacing w:val="-5"/>
        </w:rPr>
        <w:t xml:space="preserve"> </w:t>
      </w:r>
      <w:r>
        <w:t>que</w:t>
      </w:r>
      <w:r>
        <w:rPr>
          <w:spacing w:val="-5"/>
        </w:rPr>
        <w:t xml:space="preserve"> </w:t>
      </w:r>
      <w:r>
        <w:t>reclame la verdad o la justicia, lo callan de esa manera. Siempre el Estado ha hecho eso, y no es de ahorita</w:t>
      </w:r>
      <w:r>
        <w:rPr>
          <w:spacing w:val="-4"/>
        </w:rPr>
        <w:t xml:space="preserve"> </w:t>
      </w:r>
      <w:r>
        <w:t>que</w:t>
      </w:r>
      <w:r>
        <w:rPr>
          <w:spacing w:val="-4"/>
        </w:rPr>
        <w:t xml:space="preserve"> </w:t>
      </w:r>
      <w:r>
        <w:t>lo</w:t>
      </w:r>
      <w:r>
        <w:rPr>
          <w:spacing w:val="-5"/>
        </w:rPr>
        <w:t xml:space="preserve"> </w:t>
      </w:r>
      <w:r>
        <w:t>esté</w:t>
      </w:r>
      <w:r>
        <w:rPr>
          <w:spacing w:val="-4"/>
        </w:rPr>
        <w:t xml:space="preserve"> </w:t>
      </w:r>
      <w:r>
        <w:t>haciendo,</w:t>
      </w:r>
      <w:r>
        <w:rPr>
          <w:spacing w:val="-5"/>
        </w:rPr>
        <w:t xml:space="preserve"> </w:t>
      </w:r>
      <w:r>
        <w:t>sino</w:t>
      </w:r>
      <w:r>
        <w:rPr>
          <w:spacing w:val="-5"/>
        </w:rPr>
        <w:t xml:space="preserve"> </w:t>
      </w:r>
      <w:r>
        <w:t>que</w:t>
      </w:r>
      <w:r>
        <w:rPr>
          <w:spacing w:val="-4"/>
        </w:rPr>
        <w:t xml:space="preserve"> </w:t>
      </w:r>
      <w:r>
        <w:t>prácticamente</w:t>
      </w:r>
      <w:r>
        <w:rPr>
          <w:spacing w:val="-4"/>
        </w:rPr>
        <w:t xml:space="preserve"> </w:t>
      </w:r>
      <w:r>
        <w:t>eso</w:t>
      </w:r>
      <w:r>
        <w:rPr>
          <w:spacing w:val="-5"/>
        </w:rPr>
        <w:t xml:space="preserve"> </w:t>
      </w:r>
      <w:r>
        <w:t>ha</w:t>
      </w:r>
      <w:r>
        <w:rPr>
          <w:spacing w:val="-4"/>
        </w:rPr>
        <w:t xml:space="preserve"> </w:t>
      </w:r>
      <w:r>
        <w:t>venido</w:t>
      </w:r>
      <w:r>
        <w:rPr>
          <w:spacing w:val="-5"/>
        </w:rPr>
        <w:t xml:space="preserve"> </w:t>
      </w:r>
      <w:r>
        <w:t>existiendo</w:t>
      </w:r>
      <w:r>
        <w:rPr>
          <w:spacing w:val="-5"/>
        </w:rPr>
        <w:t xml:space="preserve"> </w:t>
      </w:r>
      <w:r>
        <w:t>desde</w:t>
      </w:r>
      <w:r>
        <w:rPr>
          <w:spacing w:val="-4"/>
        </w:rPr>
        <w:t xml:space="preserve"> </w:t>
      </w:r>
      <w:r>
        <w:t>muchos años atrás. Entonces eso era lo que yo quería relatar, que no solo las víctimas vienen ocurriendo</w:t>
      </w:r>
      <w:r>
        <w:rPr>
          <w:spacing w:val="-4"/>
        </w:rPr>
        <w:t xml:space="preserve"> </w:t>
      </w:r>
      <w:r>
        <w:t>de</w:t>
      </w:r>
      <w:r>
        <w:rPr>
          <w:spacing w:val="-3"/>
        </w:rPr>
        <w:t xml:space="preserve"> </w:t>
      </w:r>
      <w:r>
        <w:t>las</w:t>
      </w:r>
      <w:r>
        <w:rPr>
          <w:spacing w:val="-3"/>
        </w:rPr>
        <w:t xml:space="preserve"> </w:t>
      </w:r>
      <w:r>
        <w:t>FARC</w:t>
      </w:r>
      <w:r>
        <w:rPr>
          <w:spacing w:val="-4"/>
        </w:rPr>
        <w:t xml:space="preserve"> </w:t>
      </w:r>
      <w:r>
        <w:t>ni</w:t>
      </w:r>
      <w:r>
        <w:rPr>
          <w:spacing w:val="-3"/>
        </w:rPr>
        <w:t xml:space="preserve"> </w:t>
      </w:r>
      <w:r>
        <w:t>de</w:t>
      </w:r>
      <w:r>
        <w:rPr>
          <w:spacing w:val="-3"/>
        </w:rPr>
        <w:t xml:space="preserve"> </w:t>
      </w:r>
      <w:r>
        <w:t>nada,</w:t>
      </w:r>
      <w:r>
        <w:rPr>
          <w:spacing w:val="-5"/>
        </w:rPr>
        <w:t xml:space="preserve"> </w:t>
      </w:r>
      <w:r>
        <w:t>sino</w:t>
      </w:r>
      <w:r>
        <w:rPr>
          <w:spacing w:val="-4"/>
        </w:rPr>
        <w:t xml:space="preserve"> </w:t>
      </w:r>
      <w:r>
        <w:t>que</w:t>
      </w:r>
      <w:r>
        <w:rPr>
          <w:spacing w:val="-3"/>
        </w:rPr>
        <w:t xml:space="preserve"> </w:t>
      </w:r>
      <w:r>
        <w:t>los</w:t>
      </w:r>
      <w:r>
        <w:rPr>
          <w:spacing w:val="-6"/>
        </w:rPr>
        <w:t xml:space="preserve"> </w:t>
      </w:r>
      <w:r>
        <w:t>victimarios</w:t>
      </w:r>
      <w:r>
        <w:rPr>
          <w:spacing w:val="-5"/>
        </w:rPr>
        <w:t xml:space="preserve"> </w:t>
      </w:r>
      <w:r>
        <w:t>también</w:t>
      </w:r>
      <w:r>
        <w:rPr>
          <w:spacing w:val="-5"/>
        </w:rPr>
        <w:t xml:space="preserve"> </w:t>
      </w:r>
      <w:r>
        <w:t>son</w:t>
      </w:r>
      <w:r>
        <w:rPr>
          <w:spacing w:val="-5"/>
        </w:rPr>
        <w:t xml:space="preserve"> </w:t>
      </w:r>
      <w:r>
        <w:t>el</w:t>
      </w:r>
      <w:r>
        <w:rPr>
          <w:spacing w:val="-3"/>
        </w:rPr>
        <w:t xml:space="preserve"> </w:t>
      </w:r>
      <w:r>
        <w:t>mismo</w:t>
      </w:r>
      <w:r>
        <w:rPr>
          <w:spacing w:val="-4"/>
        </w:rPr>
        <w:t xml:space="preserve"> </w:t>
      </w:r>
      <w:r>
        <w:t>Estado</w:t>
      </w:r>
      <w:r>
        <w:rPr>
          <w:spacing w:val="-4"/>
        </w:rPr>
        <w:t xml:space="preserve"> </w:t>
      </w:r>
      <w:r>
        <w:t>y desde</w:t>
      </w:r>
      <w:r>
        <w:rPr>
          <w:spacing w:val="-7"/>
        </w:rPr>
        <w:t xml:space="preserve"> </w:t>
      </w:r>
      <w:r>
        <w:t>hace</w:t>
      </w:r>
      <w:r>
        <w:rPr>
          <w:spacing w:val="-8"/>
        </w:rPr>
        <w:t xml:space="preserve"> </w:t>
      </w:r>
      <w:r>
        <w:t>muchos</w:t>
      </w:r>
      <w:r>
        <w:rPr>
          <w:spacing w:val="-7"/>
        </w:rPr>
        <w:t xml:space="preserve"> </w:t>
      </w:r>
      <w:r>
        <w:t>años</w:t>
      </w:r>
      <w:r>
        <w:rPr>
          <w:spacing w:val="-7"/>
        </w:rPr>
        <w:t xml:space="preserve"> </w:t>
      </w:r>
      <w:r>
        <w:t>viene</w:t>
      </w:r>
      <w:r>
        <w:rPr>
          <w:spacing w:val="-7"/>
        </w:rPr>
        <w:t xml:space="preserve"> </w:t>
      </w:r>
      <w:r>
        <w:t>sucediendo</w:t>
      </w:r>
      <w:r>
        <w:rPr>
          <w:spacing w:val="-7"/>
        </w:rPr>
        <w:t xml:space="preserve"> </w:t>
      </w:r>
      <w:r>
        <w:t>eso,</w:t>
      </w:r>
      <w:r>
        <w:rPr>
          <w:spacing w:val="-9"/>
        </w:rPr>
        <w:t xml:space="preserve"> </w:t>
      </w:r>
      <w:r>
        <w:t>y</w:t>
      </w:r>
      <w:r>
        <w:rPr>
          <w:spacing w:val="-7"/>
        </w:rPr>
        <w:t xml:space="preserve"> </w:t>
      </w:r>
      <w:r>
        <w:t>son</w:t>
      </w:r>
      <w:r>
        <w:rPr>
          <w:spacing w:val="-7"/>
        </w:rPr>
        <w:t xml:space="preserve"> </w:t>
      </w:r>
      <w:r>
        <w:t>cosas</w:t>
      </w:r>
      <w:r>
        <w:rPr>
          <w:spacing w:val="-7"/>
        </w:rPr>
        <w:t xml:space="preserve"> </w:t>
      </w:r>
      <w:r>
        <w:t>que</w:t>
      </w:r>
      <w:r>
        <w:rPr>
          <w:spacing w:val="-7"/>
        </w:rPr>
        <w:t xml:space="preserve"> </w:t>
      </w:r>
      <w:r>
        <w:t>no</w:t>
      </w:r>
      <w:r>
        <w:rPr>
          <w:spacing w:val="-7"/>
        </w:rPr>
        <w:t xml:space="preserve"> </w:t>
      </w:r>
      <w:r>
        <w:t>se</w:t>
      </w:r>
      <w:r>
        <w:rPr>
          <w:spacing w:val="-7"/>
        </w:rPr>
        <w:t xml:space="preserve"> </w:t>
      </w:r>
      <w:r>
        <w:t>han</w:t>
      </w:r>
      <w:r>
        <w:rPr>
          <w:spacing w:val="-7"/>
        </w:rPr>
        <w:t xml:space="preserve"> </w:t>
      </w:r>
      <w:r>
        <w:t>esclarecido</w:t>
      </w:r>
      <w:r>
        <w:rPr>
          <w:spacing w:val="-7"/>
        </w:rPr>
        <w:t xml:space="preserve"> </w:t>
      </w:r>
      <w:r>
        <w:t>y</w:t>
      </w:r>
      <w:r>
        <w:rPr>
          <w:spacing w:val="-7"/>
        </w:rPr>
        <w:t xml:space="preserve"> </w:t>
      </w:r>
      <w:r>
        <w:t xml:space="preserve">están allá </w:t>
      </w:r>
      <w:r>
        <w:lastRenderedPageBreak/>
        <w:t>en la impunidad desde hace muchos años»</w:t>
      </w:r>
      <w:r w:rsidR="008D0AE4">
        <w:rPr>
          <w:rStyle w:val="Refdenotaalpie"/>
        </w:rPr>
        <w:footnoteReference w:id="9"/>
      </w:r>
      <w:r>
        <w:t>.</w:t>
      </w:r>
    </w:p>
    <w:p w:rsidR="0011361F" w:rsidRPr="008D0AE4" w:rsidRDefault="00AF18A5" w:rsidP="004A6EF4">
      <w:pPr>
        <w:pStyle w:val="Ttulo3"/>
        <w:numPr>
          <w:ilvl w:val="2"/>
          <w:numId w:val="16"/>
        </w:numPr>
      </w:pPr>
      <w:bookmarkStart w:id="17" w:name="1.1.2_La_dignidad_y_la_centralidad_de_la"/>
      <w:bookmarkStart w:id="18" w:name="_Toc112399523"/>
      <w:bookmarkEnd w:id="17"/>
      <w:r w:rsidRPr="008D0AE4">
        <w:t>La dignidad y la centralidad de las víctimas</w:t>
      </w:r>
      <w:bookmarkEnd w:id="18"/>
    </w:p>
    <w:p w:rsidR="003804AC" w:rsidRDefault="00AF18A5" w:rsidP="008D0AE4">
      <w:r>
        <w:t>Los valores como sociedad se fueron debilitando como consecuencia de una violencia persistente que lastimó lo más profundo de la dignidad y de la humanidad de las víctimas. Durante</w:t>
      </w:r>
      <w:r>
        <w:rPr>
          <w:spacing w:val="-6"/>
        </w:rPr>
        <w:t xml:space="preserve"> </w:t>
      </w:r>
      <w:r>
        <w:t>muchos</w:t>
      </w:r>
      <w:r>
        <w:rPr>
          <w:spacing w:val="-5"/>
        </w:rPr>
        <w:t xml:space="preserve"> </w:t>
      </w:r>
      <w:r>
        <w:t>años,</w:t>
      </w:r>
      <w:r>
        <w:rPr>
          <w:spacing w:val="-6"/>
        </w:rPr>
        <w:t xml:space="preserve"> </w:t>
      </w:r>
      <w:r>
        <w:t>las</w:t>
      </w:r>
      <w:r>
        <w:rPr>
          <w:spacing w:val="-4"/>
        </w:rPr>
        <w:t xml:space="preserve"> </w:t>
      </w:r>
      <w:r>
        <w:t>víctimas</w:t>
      </w:r>
      <w:r>
        <w:rPr>
          <w:spacing w:val="-6"/>
        </w:rPr>
        <w:t xml:space="preserve"> </w:t>
      </w:r>
      <w:r>
        <w:t>fueron</w:t>
      </w:r>
      <w:r>
        <w:rPr>
          <w:spacing w:val="-5"/>
        </w:rPr>
        <w:t xml:space="preserve"> </w:t>
      </w:r>
      <w:r>
        <w:t>poco</w:t>
      </w:r>
      <w:r>
        <w:rPr>
          <w:spacing w:val="-7"/>
        </w:rPr>
        <w:t xml:space="preserve"> </w:t>
      </w:r>
      <w:r>
        <w:t>consideradas,</w:t>
      </w:r>
      <w:r>
        <w:rPr>
          <w:spacing w:val="-5"/>
        </w:rPr>
        <w:t xml:space="preserve"> </w:t>
      </w:r>
      <w:r>
        <w:t>muchas</w:t>
      </w:r>
      <w:r>
        <w:rPr>
          <w:spacing w:val="-4"/>
        </w:rPr>
        <w:t xml:space="preserve"> </w:t>
      </w:r>
      <w:r>
        <w:t>veces</w:t>
      </w:r>
      <w:r>
        <w:rPr>
          <w:spacing w:val="-6"/>
        </w:rPr>
        <w:t xml:space="preserve"> </w:t>
      </w:r>
      <w:r>
        <w:t>solo</w:t>
      </w:r>
      <w:r>
        <w:rPr>
          <w:spacing w:val="-5"/>
        </w:rPr>
        <w:t xml:space="preserve"> </w:t>
      </w:r>
      <w:r>
        <w:t>defendidas por organizaciones de derechos humanos o sectores de las iglesias. Desde las víctimas de tortura</w:t>
      </w:r>
      <w:r>
        <w:rPr>
          <w:spacing w:val="-15"/>
        </w:rPr>
        <w:t xml:space="preserve"> </w:t>
      </w:r>
      <w:r>
        <w:t>en</w:t>
      </w:r>
      <w:r>
        <w:rPr>
          <w:spacing w:val="-15"/>
        </w:rPr>
        <w:t xml:space="preserve"> </w:t>
      </w:r>
      <w:r>
        <w:t>los</w:t>
      </w:r>
      <w:r>
        <w:rPr>
          <w:spacing w:val="-15"/>
        </w:rPr>
        <w:t xml:space="preserve"> </w:t>
      </w:r>
      <w:r>
        <w:t>años</w:t>
      </w:r>
      <w:r>
        <w:rPr>
          <w:spacing w:val="-15"/>
        </w:rPr>
        <w:t xml:space="preserve"> </w:t>
      </w:r>
      <w:r>
        <w:t>del</w:t>
      </w:r>
      <w:r>
        <w:rPr>
          <w:spacing w:val="-15"/>
        </w:rPr>
        <w:t xml:space="preserve"> </w:t>
      </w:r>
      <w:r>
        <w:t>Estatuto</w:t>
      </w:r>
      <w:r>
        <w:rPr>
          <w:spacing w:val="-15"/>
        </w:rPr>
        <w:t xml:space="preserve"> </w:t>
      </w:r>
      <w:r>
        <w:t>de</w:t>
      </w:r>
      <w:r>
        <w:rPr>
          <w:spacing w:val="-15"/>
        </w:rPr>
        <w:t xml:space="preserve"> </w:t>
      </w:r>
      <w:r>
        <w:t>Seguridad,</w:t>
      </w:r>
      <w:r>
        <w:rPr>
          <w:spacing w:val="-15"/>
        </w:rPr>
        <w:t xml:space="preserve"> </w:t>
      </w:r>
      <w:r>
        <w:t>o</w:t>
      </w:r>
      <w:r>
        <w:rPr>
          <w:spacing w:val="-15"/>
        </w:rPr>
        <w:t xml:space="preserve"> </w:t>
      </w:r>
      <w:r>
        <w:t>del</w:t>
      </w:r>
      <w:r>
        <w:rPr>
          <w:spacing w:val="-15"/>
        </w:rPr>
        <w:t xml:space="preserve"> </w:t>
      </w:r>
      <w:r>
        <w:t>secuestro</w:t>
      </w:r>
      <w:r>
        <w:rPr>
          <w:spacing w:val="-15"/>
        </w:rPr>
        <w:t xml:space="preserve"> </w:t>
      </w:r>
      <w:r>
        <w:t>de</w:t>
      </w:r>
      <w:r>
        <w:rPr>
          <w:spacing w:val="-15"/>
        </w:rPr>
        <w:t xml:space="preserve"> </w:t>
      </w:r>
      <w:r>
        <w:t>las</w:t>
      </w:r>
      <w:r>
        <w:rPr>
          <w:spacing w:val="-15"/>
        </w:rPr>
        <w:t xml:space="preserve"> </w:t>
      </w:r>
      <w:r>
        <w:t>guerrillas</w:t>
      </w:r>
      <w:r>
        <w:rPr>
          <w:spacing w:val="-15"/>
        </w:rPr>
        <w:t xml:space="preserve"> </w:t>
      </w:r>
      <w:r>
        <w:t>desde</w:t>
      </w:r>
      <w:r>
        <w:rPr>
          <w:spacing w:val="-15"/>
        </w:rPr>
        <w:t xml:space="preserve"> </w:t>
      </w:r>
      <w:r>
        <w:t>esa</w:t>
      </w:r>
      <w:r>
        <w:rPr>
          <w:spacing w:val="-15"/>
        </w:rPr>
        <w:t xml:space="preserve"> </w:t>
      </w:r>
      <w:r>
        <w:t>época, hasta las víctimas pertenecientes a movimientos políticos como la Unión Patriótica y otros grupos de oposición, durante décadas las víctimas no han sido visibles para el país. Solo a partir</w:t>
      </w:r>
      <w:r>
        <w:rPr>
          <w:spacing w:val="-7"/>
        </w:rPr>
        <w:t xml:space="preserve"> </w:t>
      </w:r>
      <w:r>
        <w:t>de</w:t>
      </w:r>
      <w:r>
        <w:rPr>
          <w:spacing w:val="-7"/>
        </w:rPr>
        <w:t xml:space="preserve"> </w:t>
      </w:r>
      <w:r>
        <w:t>las</w:t>
      </w:r>
      <w:r>
        <w:rPr>
          <w:spacing w:val="-7"/>
        </w:rPr>
        <w:t xml:space="preserve"> </w:t>
      </w:r>
      <w:r>
        <w:t>movilizaciones</w:t>
      </w:r>
      <w:r>
        <w:rPr>
          <w:spacing w:val="-7"/>
        </w:rPr>
        <w:t xml:space="preserve"> </w:t>
      </w:r>
      <w:r>
        <w:t>contra</w:t>
      </w:r>
      <w:r>
        <w:rPr>
          <w:spacing w:val="-7"/>
        </w:rPr>
        <w:t xml:space="preserve"> </w:t>
      </w:r>
      <w:r>
        <w:t>el</w:t>
      </w:r>
      <w:r>
        <w:rPr>
          <w:spacing w:val="-7"/>
        </w:rPr>
        <w:t xml:space="preserve"> </w:t>
      </w:r>
      <w:r>
        <w:t>secuestro</w:t>
      </w:r>
      <w:r>
        <w:rPr>
          <w:spacing w:val="-7"/>
        </w:rPr>
        <w:t xml:space="preserve"> </w:t>
      </w:r>
      <w:r>
        <w:t>o</w:t>
      </w:r>
      <w:r>
        <w:rPr>
          <w:spacing w:val="-7"/>
        </w:rPr>
        <w:t xml:space="preserve"> </w:t>
      </w:r>
      <w:r>
        <w:t>las</w:t>
      </w:r>
      <w:r>
        <w:rPr>
          <w:spacing w:val="-7"/>
        </w:rPr>
        <w:t xml:space="preserve"> </w:t>
      </w:r>
      <w:r>
        <w:t>demandas</w:t>
      </w:r>
      <w:r>
        <w:rPr>
          <w:spacing w:val="-7"/>
        </w:rPr>
        <w:t xml:space="preserve"> </w:t>
      </w:r>
      <w:r>
        <w:t>del</w:t>
      </w:r>
      <w:r>
        <w:rPr>
          <w:spacing w:val="-7"/>
        </w:rPr>
        <w:t xml:space="preserve"> </w:t>
      </w:r>
      <w:r>
        <w:t>Movimiento</w:t>
      </w:r>
      <w:r>
        <w:rPr>
          <w:spacing w:val="-7"/>
        </w:rPr>
        <w:t xml:space="preserve"> </w:t>
      </w:r>
      <w:r>
        <w:t>de</w:t>
      </w:r>
      <w:r>
        <w:rPr>
          <w:spacing w:val="-7"/>
        </w:rPr>
        <w:t xml:space="preserve"> </w:t>
      </w:r>
      <w:r>
        <w:t>Crímenes de</w:t>
      </w:r>
      <w:r>
        <w:rPr>
          <w:spacing w:val="47"/>
        </w:rPr>
        <w:t xml:space="preserve"> </w:t>
      </w:r>
      <w:r>
        <w:t>Estado</w:t>
      </w:r>
      <w:r>
        <w:rPr>
          <w:spacing w:val="49"/>
        </w:rPr>
        <w:t xml:space="preserve"> </w:t>
      </w:r>
      <w:r>
        <w:t>(</w:t>
      </w:r>
      <w:proofErr w:type="spellStart"/>
      <w:r>
        <w:t>Movice</w:t>
      </w:r>
      <w:proofErr w:type="spellEnd"/>
      <w:r>
        <w:t>)</w:t>
      </w:r>
      <w:r>
        <w:rPr>
          <w:spacing w:val="49"/>
        </w:rPr>
        <w:t xml:space="preserve"> </w:t>
      </w:r>
      <w:r>
        <w:t>y</w:t>
      </w:r>
      <w:r>
        <w:rPr>
          <w:spacing w:val="50"/>
        </w:rPr>
        <w:t xml:space="preserve"> </w:t>
      </w:r>
      <w:r>
        <w:t>los</w:t>
      </w:r>
      <w:r>
        <w:rPr>
          <w:spacing w:val="49"/>
        </w:rPr>
        <w:t xml:space="preserve"> </w:t>
      </w:r>
      <w:r>
        <w:t>procesos</w:t>
      </w:r>
      <w:r>
        <w:rPr>
          <w:spacing w:val="48"/>
        </w:rPr>
        <w:t xml:space="preserve"> </w:t>
      </w:r>
      <w:r>
        <w:t>ante</w:t>
      </w:r>
      <w:r>
        <w:rPr>
          <w:spacing w:val="50"/>
        </w:rPr>
        <w:t xml:space="preserve"> </w:t>
      </w:r>
      <w:r>
        <w:t>la</w:t>
      </w:r>
      <w:r>
        <w:rPr>
          <w:spacing w:val="49"/>
        </w:rPr>
        <w:t xml:space="preserve"> </w:t>
      </w:r>
      <w:r>
        <w:t>justicia</w:t>
      </w:r>
      <w:r>
        <w:rPr>
          <w:spacing w:val="49"/>
        </w:rPr>
        <w:t xml:space="preserve"> </w:t>
      </w:r>
      <w:r>
        <w:t>interna</w:t>
      </w:r>
      <w:r>
        <w:rPr>
          <w:spacing w:val="49"/>
        </w:rPr>
        <w:t xml:space="preserve"> </w:t>
      </w:r>
      <w:r>
        <w:t>y</w:t>
      </w:r>
      <w:r>
        <w:rPr>
          <w:spacing w:val="49"/>
        </w:rPr>
        <w:t xml:space="preserve"> </w:t>
      </w:r>
      <w:r>
        <w:t>el</w:t>
      </w:r>
      <w:r>
        <w:rPr>
          <w:spacing w:val="49"/>
        </w:rPr>
        <w:t xml:space="preserve"> </w:t>
      </w:r>
      <w:r>
        <w:t>sistema</w:t>
      </w:r>
      <w:r>
        <w:rPr>
          <w:spacing w:val="50"/>
        </w:rPr>
        <w:t xml:space="preserve"> </w:t>
      </w:r>
      <w:r>
        <w:rPr>
          <w:spacing w:val="-2"/>
        </w:rPr>
        <w:t>interamericano</w:t>
      </w:r>
      <w:bookmarkStart w:id="19" w:name="_bookmark12"/>
      <w:bookmarkEnd w:id="19"/>
      <w:r w:rsidR="008D0AE4">
        <w:t xml:space="preserve"> </w:t>
      </w:r>
      <w:r>
        <w:t>empezaron a plantearse demandas de reconocimiento y reparación. Especialmente a partir del proceso de Justicia y Paz, las víctimas se presentaron a las audiencias públicas, empezaron a organizarse y salir del ostracismo y el miedo. Una multitud de grupos e iniciativas sociales, de comunidades e incluso algunas alcaldías empezaron a incorporar demandas de las víctimas y a abrir espacios de reconocimiento.</w:t>
      </w:r>
    </w:p>
    <w:p w:rsidR="003804AC" w:rsidRDefault="00AF18A5" w:rsidP="008D0AE4">
      <w:r>
        <w:t xml:space="preserve">En los últimos años se han logrado avances en la legislación sobre reparación a las víctimas, actos e investigaciones de memoria –como los llevados inicialmente a cabo por el Centro Nacional de Memoria Histórica (CNMH)– y una corriente nacional e internacional que acompaña estos esfuerzos de las víctimas y las respuestas de algunas instituciones. También las víctimas han empujado los efectos democratizadores de la </w:t>
      </w:r>
      <w:r>
        <w:lastRenderedPageBreak/>
        <w:t>justicia, a través de derechos de petición o declaraciones de estados de inconstitucionalidad de pueblos étnicos, población</w:t>
      </w:r>
      <w:r>
        <w:rPr>
          <w:spacing w:val="-12"/>
        </w:rPr>
        <w:t xml:space="preserve"> </w:t>
      </w:r>
      <w:r>
        <w:t>desplazada</w:t>
      </w:r>
      <w:r>
        <w:rPr>
          <w:spacing w:val="-11"/>
        </w:rPr>
        <w:t xml:space="preserve"> </w:t>
      </w:r>
      <w:r>
        <w:t>u</w:t>
      </w:r>
      <w:r>
        <w:rPr>
          <w:spacing w:val="-11"/>
        </w:rPr>
        <w:t xml:space="preserve"> </w:t>
      </w:r>
      <w:r>
        <w:t>otros,</w:t>
      </w:r>
      <w:r>
        <w:rPr>
          <w:spacing w:val="-11"/>
        </w:rPr>
        <w:t xml:space="preserve"> </w:t>
      </w:r>
      <w:r>
        <w:t>y</w:t>
      </w:r>
      <w:r>
        <w:rPr>
          <w:spacing w:val="-12"/>
        </w:rPr>
        <w:t xml:space="preserve"> </w:t>
      </w:r>
      <w:r>
        <w:t>en</w:t>
      </w:r>
      <w:r>
        <w:rPr>
          <w:spacing w:val="-12"/>
        </w:rPr>
        <w:t xml:space="preserve"> </w:t>
      </w:r>
      <w:r>
        <w:t>algunos</w:t>
      </w:r>
      <w:r>
        <w:rPr>
          <w:spacing w:val="-11"/>
        </w:rPr>
        <w:t xml:space="preserve"> </w:t>
      </w:r>
      <w:r>
        <w:t>pocos</w:t>
      </w:r>
      <w:r>
        <w:rPr>
          <w:spacing w:val="-12"/>
        </w:rPr>
        <w:t xml:space="preserve"> </w:t>
      </w:r>
      <w:r>
        <w:t>casos</w:t>
      </w:r>
      <w:r w:rsidR="008D0AE4">
        <w:rPr>
          <w:rStyle w:val="Refdenotaalpie"/>
        </w:rPr>
        <w:footnoteReference w:id="10"/>
      </w:r>
      <w:r>
        <w:rPr>
          <w:spacing w:val="-10"/>
        </w:rPr>
        <w:t xml:space="preserve"> </w:t>
      </w:r>
      <w:r>
        <w:t>han</w:t>
      </w:r>
      <w:r>
        <w:rPr>
          <w:spacing w:val="-12"/>
        </w:rPr>
        <w:t xml:space="preserve"> </w:t>
      </w:r>
      <w:r>
        <w:t>logrado</w:t>
      </w:r>
      <w:r>
        <w:rPr>
          <w:spacing w:val="-11"/>
        </w:rPr>
        <w:t xml:space="preserve"> </w:t>
      </w:r>
      <w:r>
        <w:t>sentencias</w:t>
      </w:r>
      <w:r>
        <w:rPr>
          <w:spacing w:val="-11"/>
        </w:rPr>
        <w:t xml:space="preserve"> </w:t>
      </w:r>
      <w:r>
        <w:t>y</w:t>
      </w:r>
      <w:r>
        <w:rPr>
          <w:spacing w:val="-12"/>
        </w:rPr>
        <w:t xml:space="preserve"> </w:t>
      </w:r>
      <w:r>
        <w:t>respuestas administrativas del Estado para indemnizar económicamente a algunas víctimas, especialmente a partir de la aprobación de la Ley 1448 de víctimas y restitución de tierras. Haber creado la</w:t>
      </w:r>
      <w:r>
        <w:rPr>
          <w:spacing w:val="-1"/>
        </w:rPr>
        <w:t xml:space="preserve"> </w:t>
      </w:r>
      <w:r>
        <w:t>Comisión en el contexto</w:t>
      </w:r>
      <w:r>
        <w:rPr>
          <w:spacing w:val="-1"/>
        </w:rPr>
        <w:t xml:space="preserve"> </w:t>
      </w:r>
      <w:r>
        <w:t>del</w:t>
      </w:r>
      <w:r>
        <w:rPr>
          <w:spacing w:val="-1"/>
        </w:rPr>
        <w:t xml:space="preserve"> </w:t>
      </w:r>
      <w:r>
        <w:t>acuerdo de</w:t>
      </w:r>
      <w:r>
        <w:rPr>
          <w:spacing w:val="-1"/>
        </w:rPr>
        <w:t xml:space="preserve"> </w:t>
      </w:r>
      <w:r>
        <w:t>paz, en</w:t>
      </w:r>
      <w:r>
        <w:rPr>
          <w:spacing w:val="-1"/>
        </w:rPr>
        <w:t xml:space="preserve"> </w:t>
      </w:r>
      <w:r>
        <w:t>el que</w:t>
      </w:r>
      <w:r>
        <w:rPr>
          <w:spacing w:val="-1"/>
        </w:rPr>
        <w:t xml:space="preserve"> </w:t>
      </w:r>
      <w:r>
        <w:t>también</w:t>
      </w:r>
      <w:r>
        <w:rPr>
          <w:spacing w:val="-1"/>
        </w:rPr>
        <w:t xml:space="preserve"> </w:t>
      </w:r>
      <w:r>
        <w:t>participaron por primera vez las víctimas, es un logro de esas luchas. Sin embargo, persiste una enorme deuda</w:t>
      </w:r>
      <w:r>
        <w:rPr>
          <w:spacing w:val="-9"/>
        </w:rPr>
        <w:t xml:space="preserve"> </w:t>
      </w:r>
      <w:r>
        <w:t>interna</w:t>
      </w:r>
      <w:r>
        <w:rPr>
          <w:spacing w:val="-9"/>
        </w:rPr>
        <w:t xml:space="preserve"> </w:t>
      </w:r>
      <w:r>
        <w:t>de</w:t>
      </w:r>
      <w:r>
        <w:rPr>
          <w:spacing w:val="-9"/>
        </w:rPr>
        <w:t xml:space="preserve"> </w:t>
      </w:r>
      <w:r>
        <w:t>una</w:t>
      </w:r>
      <w:r>
        <w:rPr>
          <w:spacing w:val="-9"/>
        </w:rPr>
        <w:t xml:space="preserve"> </w:t>
      </w:r>
      <w:r>
        <w:t>guerra</w:t>
      </w:r>
      <w:r>
        <w:rPr>
          <w:spacing w:val="-9"/>
        </w:rPr>
        <w:t xml:space="preserve"> </w:t>
      </w:r>
      <w:r>
        <w:t>que</w:t>
      </w:r>
      <w:r>
        <w:rPr>
          <w:spacing w:val="-9"/>
        </w:rPr>
        <w:t xml:space="preserve"> </w:t>
      </w:r>
      <w:r>
        <w:t>extendió</w:t>
      </w:r>
      <w:r>
        <w:rPr>
          <w:spacing w:val="-9"/>
        </w:rPr>
        <w:t xml:space="preserve"> </w:t>
      </w:r>
      <w:r>
        <w:t>el</w:t>
      </w:r>
      <w:r>
        <w:rPr>
          <w:spacing w:val="-9"/>
        </w:rPr>
        <w:t xml:space="preserve"> </w:t>
      </w:r>
      <w:r>
        <w:t>sufrimiento</w:t>
      </w:r>
      <w:r>
        <w:rPr>
          <w:spacing w:val="-9"/>
        </w:rPr>
        <w:t xml:space="preserve"> </w:t>
      </w:r>
      <w:r>
        <w:t>colectivo</w:t>
      </w:r>
      <w:r>
        <w:rPr>
          <w:spacing w:val="-9"/>
        </w:rPr>
        <w:t xml:space="preserve"> </w:t>
      </w:r>
      <w:r>
        <w:t>hasta</w:t>
      </w:r>
      <w:r>
        <w:rPr>
          <w:spacing w:val="-9"/>
        </w:rPr>
        <w:t xml:space="preserve"> </w:t>
      </w:r>
      <w:r>
        <w:t>el</w:t>
      </w:r>
      <w:r>
        <w:rPr>
          <w:spacing w:val="-9"/>
        </w:rPr>
        <w:t xml:space="preserve"> </w:t>
      </w:r>
      <w:r>
        <w:t>desprecio</w:t>
      </w:r>
      <w:r>
        <w:rPr>
          <w:spacing w:val="-9"/>
        </w:rPr>
        <w:t xml:space="preserve"> </w:t>
      </w:r>
      <w:r>
        <w:t>máximo por la dignidad y la condición humanas.</w:t>
      </w:r>
    </w:p>
    <w:p w:rsidR="003804AC" w:rsidRDefault="00AF18A5" w:rsidP="008D0AE4">
      <w:r>
        <w:t>En el trabajo adelantado por la Comisión, como parte de su tarea de contribuir al reconocimiento hacia las víctimas, la justicia ha sido vista no solo como una sanción penal, sino como reconocimiento de responsabilidades por parte de los actores que hicieron parte de la guerra. La contribución a la verdad desde el lado de los responsables, aunque a veces genera también ambivalencia y exigencia de más información sobre los hechos, ha contribuido</w:t>
      </w:r>
      <w:r>
        <w:rPr>
          <w:spacing w:val="68"/>
        </w:rPr>
        <w:t xml:space="preserve"> </w:t>
      </w:r>
      <w:r>
        <w:t>también</w:t>
      </w:r>
      <w:r>
        <w:rPr>
          <w:spacing w:val="70"/>
        </w:rPr>
        <w:t xml:space="preserve"> </w:t>
      </w:r>
      <w:r>
        <w:t>a</w:t>
      </w:r>
      <w:r>
        <w:rPr>
          <w:spacing w:val="69"/>
        </w:rPr>
        <w:t xml:space="preserve"> </w:t>
      </w:r>
      <w:r>
        <w:t>un</w:t>
      </w:r>
      <w:r>
        <w:rPr>
          <w:spacing w:val="69"/>
        </w:rPr>
        <w:t xml:space="preserve"> </w:t>
      </w:r>
      <w:r>
        <w:t>esclarecimiento</w:t>
      </w:r>
      <w:r>
        <w:rPr>
          <w:spacing w:val="70"/>
        </w:rPr>
        <w:t xml:space="preserve"> </w:t>
      </w:r>
      <w:r>
        <w:t>de</w:t>
      </w:r>
      <w:r>
        <w:rPr>
          <w:spacing w:val="69"/>
        </w:rPr>
        <w:t xml:space="preserve"> </w:t>
      </w:r>
      <w:r>
        <w:t>la</w:t>
      </w:r>
      <w:r>
        <w:rPr>
          <w:spacing w:val="70"/>
        </w:rPr>
        <w:t xml:space="preserve"> </w:t>
      </w:r>
      <w:r>
        <w:t>verdad</w:t>
      </w:r>
      <w:r>
        <w:rPr>
          <w:spacing w:val="70"/>
        </w:rPr>
        <w:t xml:space="preserve"> </w:t>
      </w:r>
      <w:r>
        <w:t>que</w:t>
      </w:r>
      <w:r>
        <w:rPr>
          <w:spacing w:val="71"/>
        </w:rPr>
        <w:t xml:space="preserve"> </w:t>
      </w:r>
      <w:r>
        <w:t>mitiga</w:t>
      </w:r>
      <w:r>
        <w:rPr>
          <w:spacing w:val="70"/>
        </w:rPr>
        <w:t xml:space="preserve"> </w:t>
      </w:r>
      <w:r>
        <w:t>en</w:t>
      </w:r>
      <w:r>
        <w:rPr>
          <w:spacing w:val="70"/>
        </w:rPr>
        <w:t xml:space="preserve"> </w:t>
      </w:r>
      <w:r>
        <w:t>parte</w:t>
      </w:r>
      <w:r>
        <w:rPr>
          <w:spacing w:val="71"/>
        </w:rPr>
        <w:t xml:space="preserve"> </w:t>
      </w:r>
      <w:r>
        <w:t>el</w:t>
      </w:r>
      <w:r>
        <w:rPr>
          <w:spacing w:val="70"/>
        </w:rPr>
        <w:t xml:space="preserve"> </w:t>
      </w:r>
      <w:r>
        <w:rPr>
          <w:spacing w:val="-2"/>
        </w:rPr>
        <w:t>dolor</w:t>
      </w:r>
      <w:bookmarkStart w:id="20" w:name="_bookmark13"/>
      <w:bookmarkEnd w:id="20"/>
      <w:r w:rsidR="008D0AE4">
        <w:rPr>
          <w:spacing w:val="-2"/>
        </w:rPr>
        <w:t xml:space="preserve"> </w:t>
      </w:r>
      <w:r>
        <w:t>ocasionado y ayuda a la no repetición, en la medida en que los hechos son conocidos, los responsables pueden dar la cara frente a la sociedad y el país puede tomar medidas para desmantelar</w:t>
      </w:r>
      <w:r>
        <w:rPr>
          <w:spacing w:val="-9"/>
        </w:rPr>
        <w:t xml:space="preserve"> </w:t>
      </w:r>
      <w:r>
        <w:t>los</w:t>
      </w:r>
      <w:r>
        <w:rPr>
          <w:spacing w:val="-9"/>
        </w:rPr>
        <w:t xml:space="preserve"> </w:t>
      </w:r>
      <w:r>
        <w:t>dispositivos</w:t>
      </w:r>
      <w:r>
        <w:rPr>
          <w:spacing w:val="-9"/>
        </w:rPr>
        <w:t xml:space="preserve"> </w:t>
      </w:r>
      <w:r>
        <w:t>y</w:t>
      </w:r>
      <w:r>
        <w:rPr>
          <w:spacing w:val="-10"/>
        </w:rPr>
        <w:t xml:space="preserve"> </w:t>
      </w:r>
      <w:r>
        <w:t>mecanismos</w:t>
      </w:r>
      <w:r>
        <w:rPr>
          <w:spacing w:val="-9"/>
        </w:rPr>
        <w:t xml:space="preserve"> </w:t>
      </w:r>
      <w:r>
        <w:t>que</w:t>
      </w:r>
      <w:r>
        <w:rPr>
          <w:spacing w:val="-9"/>
        </w:rPr>
        <w:t xml:space="preserve"> </w:t>
      </w:r>
      <w:r>
        <w:t>lo</w:t>
      </w:r>
      <w:r>
        <w:rPr>
          <w:spacing w:val="-11"/>
        </w:rPr>
        <w:t xml:space="preserve"> </w:t>
      </w:r>
      <w:r>
        <w:t>han</w:t>
      </w:r>
      <w:r>
        <w:rPr>
          <w:spacing w:val="-10"/>
        </w:rPr>
        <w:t xml:space="preserve"> </w:t>
      </w:r>
      <w:r>
        <w:t>hecho</w:t>
      </w:r>
      <w:r>
        <w:rPr>
          <w:spacing w:val="-10"/>
        </w:rPr>
        <w:t xml:space="preserve"> </w:t>
      </w:r>
      <w:r>
        <w:t>posible</w:t>
      </w:r>
      <w:r>
        <w:rPr>
          <w:spacing w:val="-9"/>
        </w:rPr>
        <w:t xml:space="preserve"> </w:t>
      </w:r>
      <w:r>
        <w:t>y</w:t>
      </w:r>
      <w:r>
        <w:rPr>
          <w:spacing w:val="-10"/>
        </w:rPr>
        <w:t xml:space="preserve"> </w:t>
      </w:r>
      <w:r>
        <w:t>se</w:t>
      </w:r>
      <w:r>
        <w:rPr>
          <w:spacing w:val="-9"/>
        </w:rPr>
        <w:t xml:space="preserve"> </w:t>
      </w:r>
      <w:r>
        <w:t>afronten</w:t>
      </w:r>
      <w:r>
        <w:rPr>
          <w:spacing w:val="-10"/>
        </w:rPr>
        <w:t xml:space="preserve"> </w:t>
      </w:r>
      <w:r>
        <w:t>de</w:t>
      </w:r>
      <w:r>
        <w:rPr>
          <w:spacing w:val="-9"/>
        </w:rPr>
        <w:t xml:space="preserve"> </w:t>
      </w:r>
      <w:r>
        <w:t>manera pacífica sus causas.</w:t>
      </w:r>
    </w:p>
    <w:p w:rsidR="003804AC" w:rsidRDefault="00AF18A5" w:rsidP="008D0AE4">
      <w:r>
        <w:lastRenderedPageBreak/>
        <w:t>«Ya después analizando</w:t>
      </w:r>
      <w:r>
        <w:rPr>
          <w:spacing w:val="-1"/>
        </w:rPr>
        <w:t xml:space="preserve"> </w:t>
      </w:r>
      <w:r>
        <w:t xml:space="preserve">todo lo que se había hecho, el tiempo que se transcurrió privado de la libertad, tener ese tiempo para reflexionar todos los días, para usted poder decir: “¡Hombre!, yo por qué me dejé guiar por donde no era, por qué yo me dejé convencer </w:t>
      </w:r>
      <w:proofErr w:type="gramStart"/>
      <w:r>
        <w:t>o...</w:t>
      </w:r>
      <w:proofErr w:type="gramEnd"/>
      <w:r>
        <w:t>”. Me</w:t>
      </w:r>
      <w:r>
        <w:rPr>
          <w:spacing w:val="-1"/>
        </w:rPr>
        <w:t xml:space="preserve"> </w:t>
      </w:r>
      <w:r>
        <w:t>dejé,</w:t>
      </w:r>
      <w:r>
        <w:rPr>
          <w:spacing w:val="-1"/>
        </w:rPr>
        <w:t xml:space="preserve"> </w:t>
      </w:r>
      <w:r>
        <w:t>digamos,</w:t>
      </w:r>
      <w:r>
        <w:rPr>
          <w:spacing w:val="-1"/>
        </w:rPr>
        <w:t xml:space="preserve"> </w:t>
      </w:r>
      <w:r>
        <w:t>enredar</w:t>
      </w:r>
      <w:r>
        <w:rPr>
          <w:spacing w:val="-1"/>
        </w:rPr>
        <w:t xml:space="preserve"> </w:t>
      </w:r>
      <w:r>
        <w:t>en</w:t>
      </w:r>
      <w:r>
        <w:rPr>
          <w:spacing w:val="-2"/>
        </w:rPr>
        <w:t xml:space="preserve"> </w:t>
      </w:r>
      <w:r>
        <w:t>todo</w:t>
      </w:r>
      <w:r>
        <w:rPr>
          <w:spacing w:val="-2"/>
        </w:rPr>
        <w:t xml:space="preserve"> </w:t>
      </w:r>
      <w:r>
        <w:t>esto</w:t>
      </w:r>
      <w:r>
        <w:rPr>
          <w:spacing w:val="-1"/>
        </w:rPr>
        <w:t xml:space="preserve"> </w:t>
      </w:r>
      <w:r>
        <w:t>y</w:t>
      </w:r>
      <w:r>
        <w:rPr>
          <w:spacing w:val="-1"/>
        </w:rPr>
        <w:t xml:space="preserve"> </w:t>
      </w:r>
      <w:r>
        <w:t>en</w:t>
      </w:r>
      <w:r>
        <w:rPr>
          <w:spacing w:val="-2"/>
        </w:rPr>
        <w:t xml:space="preserve"> </w:t>
      </w:r>
      <w:r>
        <w:t>algún</w:t>
      </w:r>
      <w:r>
        <w:rPr>
          <w:spacing w:val="-1"/>
        </w:rPr>
        <w:t xml:space="preserve"> </w:t>
      </w:r>
      <w:r>
        <w:t>momento</w:t>
      </w:r>
      <w:r>
        <w:rPr>
          <w:spacing w:val="-3"/>
        </w:rPr>
        <w:t xml:space="preserve"> </w:t>
      </w:r>
      <w:r>
        <w:t>pude</w:t>
      </w:r>
      <w:r>
        <w:rPr>
          <w:spacing w:val="-1"/>
        </w:rPr>
        <w:t xml:space="preserve"> </w:t>
      </w:r>
      <w:r>
        <w:t>haber</w:t>
      </w:r>
      <w:r>
        <w:rPr>
          <w:spacing w:val="-3"/>
        </w:rPr>
        <w:t xml:space="preserve"> </w:t>
      </w:r>
      <w:r>
        <w:t>dicho</w:t>
      </w:r>
      <w:r>
        <w:rPr>
          <w:spacing w:val="-1"/>
        </w:rPr>
        <w:t xml:space="preserve"> </w:t>
      </w:r>
      <w:r>
        <w:t>no.</w:t>
      </w:r>
      <w:r>
        <w:rPr>
          <w:spacing w:val="-1"/>
        </w:rPr>
        <w:t xml:space="preserve"> </w:t>
      </w:r>
      <w:r>
        <w:t>Pero</w:t>
      </w:r>
      <w:r>
        <w:rPr>
          <w:spacing w:val="-1"/>
        </w:rPr>
        <w:t xml:space="preserve"> </w:t>
      </w:r>
      <w:r>
        <w:t>ya</w:t>
      </w:r>
      <w:r>
        <w:rPr>
          <w:spacing w:val="-2"/>
        </w:rPr>
        <w:t xml:space="preserve"> </w:t>
      </w:r>
      <w:r>
        <w:t>a lo</w:t>
      </w:r>
      <w:r>
        <w:rPr>
          <w:spacing w:val="-2"/>
        </w:rPr>
        <w:t xml:space="preserve"> </w:t>
      </w:r>
      <w:r>
        <w:t>hecho,</w:t>
      </w:r>
      <w:r>
        <w:rPr>
          <w:spacing w:val="-2"/>
        </w:rPr>
        <w:t xml:space="preserve"> </w:t>
      </w:r>
      <w:r>
        <w:t>pecho,</w:t>
      </w:r>
      <w:r>
        <w:rPr>
          <w:spacing w:val="-2"/>
        </w:rPr>
        <w:t xml:space="preserve"> </w:t>
      </w:r>
      <w:r>
        <w:t>como</w:t>
      </w:r>
      <w:r>
        <w:rPr>
          <w:spacing w:val="-2"/>
        </w:rPr>
        <w:t xml:space="preserve"> </w:t>
      </w:r>
      <w:r>
        <w:t>se</w:t>
      </w:r>
      <w:r>
        <w:rPr>
          <w:spacing w:val="-2"/>
        </w:rPr>
        <w:t xml:space="preserve"> </w:t>
      </w:r>
      <w:r>
        <w:t>dice,</w:t>
      </w:r>
      <w:r>
        <w:rPr>
          <w:spacing w:val="-2"/>
        </w:rPr>
        <w:t xml:space="preserve"> </w:t>
      </w:r>
      <w:r>
        <w:t>y</w:t>
      </w:r>
      <w:r>
        <w:rPr>
          <w:spacing w:val="-2"/>
        </w:rPr>
        <w:t xml:space="preserve"> </w:t>
      </w:r>
      <w:r>
        <w:t>no</w:t>
      </w:r>
      <w:r>
        <w:rPr>
          <w:spacing w:val="-2"/>
        </w:rPr>
        <w:t xml:space="preserve"> </w:t>
      </w:r>
      <w:r>
        <w:t>queda</w:t>
      </w:r>
      <w:r>
        <w:rPr>
          <w:spacing w:val="-2"/>
        </w:rPr>
        <w:t xml:space="preserve"> </w:t>
      </w:r>
      <w:r>
        <w:t>más</w:t>
      </w:r>
      <w:r>
        <w:rPr>
          <w:spacing w:val="-2"/>
        </w:rPr>
        <w:t xml:space="preserve"> </w:t>
      </w:r>
      <w:r>
        <w:t>sino</w:t>
      </w:r>
      <w:r>
        <w:rPr>
          <w:spacing w:val="-2"/>
        </w:rPr>
        <w:t xml:space="preserve"> </w:t>
      </w:r>
      <w:r>
        <w:t>como</w:t>
      </w:r>
      <w:r>
        <w:rPr>
          <w:spacing w:val="-2"/>
        </w:rPr>
        <w:t xml:space="preserve"> </w:t>
      </w:r>
      <w:r>
        <w:t>hombre,</w:t>
      </w:r>
      <w:r>
        <w:rPr>
          <w:spacing w:val="-2"/>
        </w:rPr>
        <w:t xml:space="preserve"> </w:t>
      </w:r>
      <w:r>
        <w:t>como</w:t>
      </w:r>
      <w:r>
        <w:rPr>
          <w:spacing w:val="-4"/>
        </w:rPr>
        <w:t xml:space="preserve"> </w:t>
      </w:r>
      <w:r>
        <w:t>ser</w:t>
      </w:r>
      <w:r>
        <w:rPr>
          <w:spacing w:val="-2"/>
        </w:rPr>
        <w:t xml:space="preserve"> </w:t>
      </w:r>
      <w:r>
        <w:t>humano,</w:t>
      </w:r>
      <w:r>
        <w:rPr>
          <w:spacing w:val="-4"/>
        </w:rPr>
        <w:t xml:space="preserve"> </w:t>
      </w:r>
      <w:r>
        <w:t>como padre,</w:t>
      </w:r>
      <w:r>
        <w:rPr>
          <w:spacing w:val="-7"/>
        </w:rPr>
        <w:t xml:space="preserve"> </w:t>
      </w:r>
      <w:r>
        <w:t>como</w:t>
      </w:r>
      <w:r>
        <w:rPr>
          <w:spacing w:val="-8"/>
        </w:rPr>
        <w:t xml:space="preserve"> </w:t>
      </w:r>
      <w:r>
        <w:t>hijo,</w:t>
      </w:r>
      <w:r>
        <w:rPr>
          <w:spacing w:val="-7"/>
        </w:rPr>
        <w:t xml:space="preserve"> </w:t>
      </w:r>
      <w:r>
        <w:t>como</w:t>
      </w:r>
      <w:r>
        <w:rPr>
          <w:spacing w:val="-8"/>
        </w:rPr>
        <w:t xml:space="preserve"> </w:t>
      </w:r>
      <w:r>
        <w:t>hermano,</w:t>
      </w:r>
      <w:r>
        <w:rPr>
          <w:spacing w:val="-7"/>
        </w:rPr>
        <w:t xml:space="preserve"> </w:t>
      </w:r>
      <w:r>
        <w:t>tratar</w:t>
      </w:r>
      <w:r>
        <w:rPr>
          <w:spacing w:val="-7"/>
        </w:rPr>
        <w:t xml:space="preserve"> </w:t>
      </w:r>
      <w:r>
        <w:t>de</w:t>
      </w:r>
      <w:r>
        <w:rPr>
          <w:spacing w:val="-7"/>
        </w:rPr>
        <w:t xml:space="preserve"> </w:t>
      </w:r>
      <w:r>
        <w:t>decirles</w:t>
      </w:r>
      <w:r>
        <w:rPr>
          <w:spacing w:val="-7"/>
        </w:rPr>
        <w:t xml:space="preserve"> </w:t>
      </w:r>
      <w:r>
        <w:t>a</w:t>
      </w:r>
      <w:r>
        <w:rPr>
          <w:spacing w:val="-7"/>
        </w:rPr>
        <w:t xml:space="preserve"> </w:t>
      </w:r>
      <w:r>
        <w:t>las</w:t>
      </w:r>
      <w:r>
        <w:rPr>
          <w:spacing w:val="-7"/>
        </w:rPr>
        <w:t xml:space="preserve"> </w:t>
      </w:r>
      <w:r>
        <w:t>personas</w:t>
      </w:r>
      <w:r>
        <w:rPr>
          <w:spacing w:val="-7"/>
        </w:rPr>
        <w:t xml:space="preserve"> </w:t>
      </w:r>
      <w:r>
        <w:t>que</w:t>
      </w:r>
      <w:r>
        <w:rPr>
          <w:spacing w:val="-7"/>
        </w:rPr>
        <w:t xml:space="preserve"> </w:t>
      </w:r>
      <w:r>
        <w:t>les</w:t>
      </w:r>
      <w:r>
        <w:rPr>
          <w:spacing w:val="-7"/>
        </w:rPr>
        <w:t xml:space="preserve"> </w:t>
      </w:r>
      <w:r>
        <w:t>hicimos</w:t>
      </w:r>
      <w:r>
        <w:rPr>
          <w:spacing w:val="-7"/>
        </w:rPr>
        <w:t xml:space="preserve"> </w:t>
      </w:r>
      <w:r>
        <w:t>tanto</w:t>
      </w:r>
      <w:r>
        <w:rPr>
          <w:spacing w:val="-7"/>
        </w:rPr>
        <w:t xml:space="preserve"> </w:t>
      </w:r>
      <w:r>
        <w:t>daño y todo ese terror que se les sembró, decirles “¡Hombre!, acá estoy”, no con el ánimo de ofender, sino más con el ánimo de aportar algo que ellos quieren saber y es mi forma de reparar un poquito ese daño»</w:t>
      </w:r>
      <w:r w:rsidR="008D0AE4">
        <w:rPr>
          <w:rStyle w:val="Refdenotaalpie"/>
        </w:rPr>
        <w:footnoteReference w:id="11"/>
      </w:r>
      <w:r>
        <w:t>.</w:t>
      </w:r>
    </w:p>
    <w:p w:rsidR="0011361F" w:rsidRDefault="00AF18A5" w:rsidP="0078535D">
      <w:proofErr w:type="spellStart"/>
      <w:r>
        <w:rPr>
          <w:i/>
        </w:rPr>
        <w:t>Re-</w:t>
      </w:r>
      <w:r>
        <w:t>conocer</w:t>
      </w:r>
      <w:proofErr w:type="spellEnd"/>
      <w:r>
        <w:t xml:space="preserve"> ha sido un espacio para el que nunca hubo posibilidades ni tiempo, en el que hoy,</w:t>
      </w:r>
      <w:r>
        <w:rPr>
          <w:spacing w:val="-11"/>
        </w:rPr>
        <w:t xml:space="preserve"> </w:t>
      </w:r>
      <w:r>
        <w:t>con</w:t>
      </w:r>
      <w:r>
        <w:rPr>
          <w:spacing w:val="-11"/>
        </w:rPr>
        <w:t xml:space="preserve"> </w:t>
      </w:r>
      <w:r>
        <w:t>la</w:t>
      </w:r>
      <w:r>
        <w:rPr>
          <w:spacing w:val="-11"/>
        </w:rPr>
        <w:t xml:space="preserve"> </w:t>
      </w:r>
      <w:r>
        <w:t>actuación</w:t>
      </w:r>
      <w:r>
        <w:rPr>
          <w:spacing w:val="-11"/>
        </w:rPr>
        <w:t xml:space="preserve"> </w:t>
      </w:r>
      <w:r>
        <w:t>decidida</w:t>
      </w:r>
      <w:r>
        <w:rPr>
          <w:spacing w:val="-11"/>
        </w:rPr>
        <w:t xml:space="preserve"> </w:t>
      </w:r>
      <w:r>
        <w:t>de</w:t>
      </w:r>
      <w:r>
        <w:rPr>
          <w:spacing w:val="-12"/>
        </w:rPr>
        <w:t xml:space="preserve"> </w:t>
      </w:r>
      <w:r>
        <w:t>las</w:t>
      </w:r>
      <w:r>
        <w:rPr>
          <w:spacing w:val="-12"/>
        </w:rPr>
        <w:t xml:space="preserve"> </w:t>
      </w:r>
      <w:r>
        <w:t>víctimas,</w:t>
      </w:r>
      <w:r>
        <w:rPr>
          <w:spacing w:val="-12"/>
        </w:rPr>
        <w:t xml:space="preserve"> </w:t>
      </w:r>
      <w:r>
        <w:t>es</w:t>
      </w:r>
      <w:r>
        <w:rPr>
          <w:spacing w:val="-12"/>
        </w:rPr>
        <w:t xml:space="preserve"> </w:t>
      </w:r>
      <w:r>
        <w:t>una</w:t>
      </w:r>
      <w:r>
        <w:rPr>
          <w:spacing w:val="-11"/>
        </w:rPr>
        <w:t xml:space="preserve"> </w:t>
      </w:r>
      <w:r>
        <w:t>oportunidad</w:t>
      </w:r>
      <w:r>
        <w:rPr>
          <w:spacing w:val="-11"/>
        </w:rPr>
        <w:t xml:space="preserve"> </w:t>
      </w:r>
      <w:r>
        <w:t>de</w:t>
      </w:r>
      <w:r>
        <w:rPr>
          <w:spacing w:val="-11"/>
        </w:rPr>
        <w:t xml:space="preserve"> </w:t>
      </w:r>
      <w:r>
        <w:t>depositar</w:t>
      </w:r>
      <w:r>
        <w:rPr>
          <w:spacing w:val="-10"/>
        </w:rPr>
        <w:t xml:space="preserve"> </w:t>
      </w:r>
      <w:r>
        <w:t>su</w:t>
      </w:r>
      <w:r>
        <w:rPr>
          <w:spacing w:val="-11"/>
        </w:rPr>
        <w:t xml:space="preserve"> </w:t>
      </w:r>
      <w:r>
        <w:t>dolor</w:t>
      </w:r>
      <w:r>
        <w:rPr>
          <w:spacing w:val="-10"/>
        </w:rPr>
        <w:t xml:space="preserve"> </w:t>
      </w:r>
      <w:r>
        <w:t>fuera de sí mismas, en el lugar que corresponde frente a los responsables, hacer las preguntas que han tenido muchas veces guardadas durante décadas y suspendidas en el tiempo, atravesar de</w:t>
      </w:r>
      <w:r>
        <w:rPr>
          <w:spacing w:val="-2"/>
        </w:rPr>
        <w:t xml:space="preserve"> </w:t>
      </w:r>
      <w:r>
        <w:t>nuevo</w:t>
      </w:r>
      <w:r>
        <w:rPr>
          <w:spacing w:val="-2"/>
        </w:rPr>
        <w:t xml:space="preserve"> </w:t>
      </w:r>
      <w:r>
        <w:t>ese</w:t>
      </w:r>
      <w:r>
        <w:rPr>
          <w:spacing w:val="-2"/>
        </w:rPr>
        <w:t xml:space="preserve"> </w:t>
      </w:r>
      <w:r>
        <w:t>dolor</w:t>
      </w:r>
      <w:r>
        <w:rPr>
          <w:spacing w:val="-2"/>
        </w:rPr>
        <w:t xml:space="preserve"> </w:t>
      </w:r>
      <w:r>
        <w:t>y</w:t>
      </w:r>
      <w:r>
        <w:rPr>
          <w:spacing w:val="-2"/>
        </w:rPr>
        <w:t xml:space="preserve"> </w:t>
      </w:r>
      <w:r>
        <w:t>valorar</w:t>
      </w:r>
      <w:r>
        <w:rPr>
          <w:spacing w:val="-2"/>
        </w:rPr>
        <w:t xml:space="preserve"> </w:t>
      </w:r>
      <w:r>
        <w:t>el</w:t>
      </w:r>
      <w:r>
        <w:rPr>
          <w:spacing w:val="-2"/>
        </w:rPr>
        <w:t xml:space="preserve"> </w:t>
      </w:r>
      <w:r>
        <w:t>proceso</w:t>
      </w:r>
      <w:r>
        <w:rPr>
          <w:spacing w:val="-2"/>
        </w:rPr>
        <w:t xml:space="preserve"> </w:t>
      </w:r>
      <w:r>
        <w:t>vivido</w:t>
      </w:r>
      <w:r>
        <w:rPr>
          <w:spacing w:val="-2"/>
        </w:rPr>
        <w:t xml:space="preserve"> </w:t>
      </w:r>
      <w:r>
        <w:t>como</w:t>
      </w:r>
      <w:r>
        <w:rPr>
          <w:spacing w:val="-2"/>
        </w:rPr>
        <w:t xml:space="preserve"> </w:t>
      </w:r>
      <w:r>
        <w:t>un</w:t>
      </w:r>
      <w:r>
        <w:rPr>
          <w:spacing w:val="-2"/>
        </w:rPr>
        <w:t xml:space="preserve"> </w:t>
      </w:r>
      <w:r>
        <w:t>punto</w:t>
      </w:r>
      <w:r>
        <w:rPr>
          <w:spacing w:val="-4"/>
        </w:rPr>
        <w:t xml:space="preserve"> </w:t>
      </w:r>
      <w:r>
        <w:t>de</w:t>
      </w:r>
      <w:r>
        <w:rPr>
          <w:spacing w:val="-2"/>
        </w:rPr>
        <w:t xml:space="preserve"> </w:t>
      </w:r>
      <w:r>
        <w:t>inflexión</w:t>
      </w:r>
      <w:r>
        <w:rPr>
          <w:spacing w:val="-4"/>
        </w:rPr>
        <w:t xml:space="preserve"> </w:t>
      </w:r>
      <w:r>
        <w:t>en</w:t>
      </w:r>
      <w:r>
        <w:rPr>
          <w:spacing w:val="-2"/>
        </w:rPr>
        <w:t xml:space="preserve"> </w:t>
      </w:r>
      <w:r>
        <w:t>sus</w:t>
      </w:r>
      <w:r>
        <w:rPr>
          <w:spacing w:val="-2"/>
        </w:rPr>
        <w:t xml:space="preserve"> </w:t>
      </w:r>
      <w:r>
        <w:t>vidas</w:t>
      </w:r>
      <w:r>
        <w:rPr>
          <w:spacing w:val="-3"/>
        </w:rPr>
        <w:t xml:space="preserve"> </w:t>
      </w:r>
      <w:r>
        <w:t>y</w:t>
      </w:r>
      <w:r>
        <w:rPr>
          <w:spacing w:val="-2"/>
        </w:rPr>
        <w:t xml:space="preserve"> </w:t>
      </w:r>
      <w:r>
        <w:t>en la del país. La guerra tiene una causa social y política, pero hay pocos espacios sociales de reconstrucción, porque, a veces, hablar resulta peligroso, porque se necesita un marco de sentido, porque a veces no se han dado las circunstancias para hacerlo de manera abierta o, en otros casos, porque no hay claridad respecto a su utilidad de cara a la no repetición. En muchos</w:t>
      </w:r>
      <w:r>
        <w:rPr>
          <w:spacing w:val="-2"/>
        </w:rPr>
        <w:t xml:space="preserve"> </w:t>
      </w:r>
      <w:r>
        <w:t>de</w:t>
      </w:r>
      <w:r>
        <w:rPr>
          <w:spacing w:val="-2"/>
        </w:rPr>
        <w:t xml:space="preserve"> </w:t>
      </w:r>
      <w:r>
        <w:t>los</w:t>
      </w:r>
      <w:r>
        <w:rPr>
          <w:spacing w:val="-2"/>
        </w:rPr>
        <w:t xml:space="preserve"> </w:t>
      </w:r>
      <w:r>
        <w:t>primeros</w:t>
      </w:r>
      <w:r>
        <w:rPr>
          <w:spacing w:val="-3"/>
        </w:rPr>
        <w:t xml:space="preserve"> </w:t>
      </w:r>
      <w:r>
        <w:t>encuentros</w:t>
      </w:r>
      <w:r>
        <w:rPr>
          <w:spacing w:val="-2"/>
        </w:rPr>
        <w:t xml:space="preserve"> </w:t>
      </w:r>
      <w:r>
        <w:t>organizados</w:t>
      </w:r>
      <w:r>
        <w:rPr>
          <w:spacing w:val="-2"/>
        </w:rPr>
        <w:t xml:space="preserve"> </w:t>
      </w:r>
      <w:r>
        <w:t>por</w:t>
      </w:r>
      <w:r>
        <w:rPr>
          <w:spacing w:val="-2"/>
        </w:rPr>
        <w:t xml:space="preserve"> </w:t>
      </w:r>
      <w:r>
        <w:t>la</w:t>
      </w:r>
      <w:r>
        <w:rPr>
          <w:spacing w:val="-2"/>
        </w:rPr>
        <w:t xml:space="preserve"> </w:t>
      </w:r>
      <w:r>
        <w:t>Comisión,</w:t>
      </w:r>
      <w:r>
        <w:rPr>
          <w:spacing w:val="-2"/>
        </w:rPr>
        <w:t xml:space="preserve"> </w:t>
      </w:r>
      <w:r>
        <w:t>escuchamos</w:t>
      </w:r>
      <w:r>
        <w:rPr>
          <w:spacing w:val="-2"/>
        </w:rPr>
        <w:t xml:space="preserve"> </w:t>
      </w:r>
      <w:r>
        <w:t>una</w:t>
      </w:r>
      <w:r>
        <w:rPr>
          <w:spacing w:val="-2"/>
        </w:rPr>
        <w:t xml:space="preserve"> </w:t>
      </w:r>
      <w:r>
        <w:t xml:space="preserve">demanda común de bastantes víctimas: «No queremos una verdad que cuente casos solamente, queremos, sobre todo, una </w:t>
      </w:r>
      <w:r>
        <w:lastRenderedPageBreak/>
        <w:t>verdad que explique por qué».</w:t>
      </w:r>
    </w:p>
    <w:p w:rsidR="003804AC" w:rsidRDefault="00AF18A5" w:rsidP="0078535D">
      <w:bookmarkStart w:id="21" w:name="_bookmark14"/>
      <w:bookmarkEnd w:id="21"/>
      <w:r>
        <w:t>La Comisión no solo ha escuchado más de 14.000 testimonios de víctimas, testigos y responsables,</w:t>
      </w:r>
      <w:r>
        <w:rPr>
          <w:spacing w:val="-3"/>
        </w:rPr>
        <w:t xml:space="preserve"> </w:t>
      </w:r>
      <w:r>
        <w:t>también</w:t>
      </w:r>
      <w:r>
        <w:rPr>
          <w:spacing w:val="-3"/>
        </w:rPr>
        <w:t xml:space="preserve"> </w:t>
      </w:r>
      <w:r>
        <w:t>activó</w:t>
      </w:r>
      <w:r>
        <w:rPr>
          <w:spacing w:val="-3"/>
        </w:rPr>
        <w:t xml:space="preserve"> </w:t>
      </w:r>
      <w:r>
        <w:t>un</w:t>
      </w:r>
      <w:r>
        <w:rPr>
          <w:spacing w:val="-3"/>
        </w:rPr>
        <w:t xml:space="preserve"> </w:t>
      </w:r>
      <w:r>
        <w:t>gran</w:t>
      </w:r>
      <w:r>
        <w:rPr>
          <w:spacing w:val="-5"/>
        </w:rPr>
        <w:t xml:space="preserve"> </w:t>
      </w:r>
      <w:r>
        <w:t>diálogo</w:t>
      </w:r>
      <w:r>
        <w:rPr>
          <w:spacing w:val="-3"/>
        </w:rPr>
        <w:t xml:space="preserve"> </w:t>
      </w:r>
      <w:r>
        <w:t>con</w:t>
      </w:r>
      <w:r>
        <w:rPr>
          <w:spacing w:val="-5"/>
        </w:rPr>
        <w:t xml:space="preserve"> </w:t>
      </w:r>
      <w:r>
        <w:t>cerca</w:t>
      </w:r>
      <w:r>
        <w:rPr>
          <w:spacing w:val="-3"/>
        </w:rPr>
        <w:t xml:space="preserve"> </w:t>
      </w:r>
      <w:r>
        <w:t>de</w:t>
      </w:r>
      <w:r>
        <w:rPr>
          <w:spacing w:val="-3"/>
        </w:rPr>
        <w:t xml:space="preserve"> </w:t>
      </w:r>
      <w:r>
        <w:t>30.000</w:t>
      </w:r>
      <w:r>
        <w:rPr>
          <w:spacing w:val="-3"/>
        </w:rPr>
        <w:t xml:space="preserve"> </w:t>
      </w:r>
      <w:r>
        <w:t>personas</w:t>
      </w:r>
      <w:r>
        <w:rPr>
          <w:spacing w:val="-3"/>
        </w:rPr>
        <w:t xml:space="preserve"> </w:t>
      </w:r>
      <w:r>
        <w:t>que</w:t>
      </w:r>
      <w:r>
        <w:rPr>
          <w:spacing w:val="-3"/>
        </w:rPr>
        <w:t xml:space="preserve"> </w:t>
      </w:r>
      <w:r>
        <w:t>participaron en</w:t>
      </w:r>
      <w:r>
        <w:rPr>
          <w:spacing w:val="-14"/>
        </w:rPr>
        <w:t xml:space="preserve"> </w:t>
      </w:r>
      <w:r>
        <w:t>reuniones,</w:t>
      </w:r>
      <w:r>
        <w:rPr>
          <w:spacing w:val="-14"/>
        </w:rPr>
        <w:t xml:space="preserve"> </w:t>
      </w:r>
      <w:r>
        <w:t>talleres,</w:t>
      </w:r>
      <w:r>
        <w:rPr>
          <w:spacing w:val="-14"/>
        </w:rPr>
        <w:t xml:space="preserve"> </w:t>
      </w:r>
      <w:r>
        <w:t>actos</w:t>
      </w:r>
      <w:r>
        <w:rPr>
          <w:spacing w:val="-14"/>
        </w:rPr>
        <w:t xml:space="preserve"> </w:t>
      </w:r>
      <w:r>
        <w:t>de</w:t>
      </w:r>
      <w:r>
        <w:rPr>
          <w:spacing w:val="-14"/>
        </w:rPr>
        <w:t xml:space="preserve"> </w:t>
      </w:r>
      <w:r>
        <w:t>reconocimiento,</w:t>
      </w:r>
      <w:r>
        <w:rPr>
          <w:spacing w:val="-15"/>
        </w:rPr>
        <w:t xml:space="preserve"> </w:t>
      </w:r>
      <w:r>
        <w:t>encuentros</w:t>
      </w:r>
      <w:r>
        <w:rPr>
          <w:spacing w:val="-15"/>
        </w:rPr>
        <w:t xml:space="preserve"> </w:t>
      </w:r>
      <w:r>
        <w:t>privados</w:t>
      </w:r>
      <w:r>
        <w:rPr>
          <w:spacing w:val="-14"/>
        </w:rPr>
        <w:t xml:space="preserve"> </w:t>
      </w:r>
      <w:r>
        <w:t>y</w:t>
      </w:r>
      <w:r>
        <w:rPr>
          <w:spacing w:val="-14"/>
        </w:rPr>
        <w:t xml:space="preserve"> </w:t>
      </w:r>
      <w:r>
        <w:t>numerosas</w:t>
      </w:r>
      <w:r>
        <w:rPr>
          <w:spacing w:val="-15"/>
        </w:rPr>
        <w:t xml:space="preserve"> </w:t>
      </w:r>
      <w:r>
        <w:t>actividades públicas, como Encuentros por la Verdad, en la convicción de que los traumas se pueden empezar</w:t>
      </w:r>
      <w:r>
        <w:rPr>
          <w:spacing w:val="-6"/>
        </w:rPr>
        <w:t xml:space="preserve"> </w:t>
      </w:r>
      <w:r>
        <w:t>a</w:t>
      </w:r>
      <w:r>
        <w:rPr>
          <w:spacing w:val="-6"/>
        </w:rPr>
        <w:t xml:space="preserve"> </w:t>
      </w:r>
      <w:r>
        <w:t>curar</w:t>
      </w:r>
      <w:r>
        <w:rPr>
          <w:spacing w:val="-6"/>
        </w:rPr>
        <w:t xml:space="preserve"> </w:t>
      </w:r>
      <w:r>
        <w:t>con</w:t>
      </w:r>
      <w:r>
        <w:rPr>
          <w:spacing w:val="-6"/>
        </w:rPr>
        <w:t xml:space="preserve"> </w:t>
      </w:r>
      <w:r>
        <w:t>la</w:t>
      </w:r>
      <w:r>
        <w:rPr>
          <w:spacing w:val="-6"/>
        </w:rPr>
        <w:t xml:space="preserve"> </w:t>
      </w:r>
      <w:r>
        <w:t>palabra</w:t>
      </w:r>
      <w:r>
        <w:rPr>
          <w:spacing w:val="-6"/>
        </w:rPr>
        <w:t xml:space="preserve"> </w:t>
      </w:r>
      <w:r>
        <w:t>y</w:t>
      </w:r>
      <w:r>
        <w:rPr>
          <w:spacing w:val="-6"/>
        </w:rPr>
        <w:t xml:space="preserve"> </w:t>
      </w:r>
      <w:r>
        <w:t>otras</w:t>
      </w:r>
      <w:r>
        <w:rPr>
          <w:spacing w:val="-6"/>
        </w:rPr>
        <w:t xml:space="preserve"> </w:t>
      </w:r>
      <w:r>
        <w:t>formas</w:t>
      </w:r>
      <w:r>
        <w:rPr>
          <w:spacing w:val="-6"/>
        </w:rPr>
        <w:t xml:space="preserve"> </w:t>
      </w:r>
      <w:r>
        <w:t>de</w:t>
      </w:r>
      <w:r>
        <w:rPr>
          <w:spacing w:val="-7"/>
        </w:rPr>
        <w:t xml:space="preserve"> </w:t>
      </w:r>
      <w:r>
        <w:t>expresión</w:t>
      </w:r>
      <w:r>
        <w:rPr>
          <w:spacing w:val="-6"/>
        </w:rPr>
        <w:t xml:space="preserve"> </w:t>
      </w:r>
      <w:r>
        <w:t>que</w:t>
      </w:r>
      <w:r>
        <w:rPr>
          <w:spacing w:val="-6"/>
        </w:rPr>
        <w:t xml:space="preserve"> </w:t>
      </w:r>
      <w:r>
        <w:t>puedan</w:t>
      </w:r>
      <w:r>
        <w:rPr>
          <w:spacing w:val="-6"/>
        </w:rPr>
        <w:t xml:space="preserve"> </w:t>
      </w:r>
      <w:r>
        <w:t>ocupar</w:t>
      </w:r>
      <w:r>
        <w:rPr>
          <w:spacing w:val="-6"/>
        </w:rPr>
        <w:t xml:space="preserve"> </w:t>
      </w:r>
      <w:r>
        <w:t>el</w:t>
      </w:r>
      <w:r>
        <w:rPr>
          <w:spacing w:val="-6"/>
        </w:rPr>
        <w:t xml:space="preserve"> </w:t>
      </w:r>
      <w:r>
        <w:t>espacio</w:t>
      </w:r>
      <w:r>
        <w:rPr>
          <w:spacing w:val="-6"/>
        </w:rPr>
        <w:t xml:space="preserve"> </w:t>
      </w:r>
      <w:r>
        <w:t>del silencio impuesto o cruzar las barreras al otro lado del dolor y el sufrimiento.</w:t>
      </w:r>
    </w:p>
    <w:p w:rsidR="003804AC" w:rsidRDefault="00AF18A5" w:rsidP="0078535D">
      <w:r>
        <w:t>Muchas</w:t>
      </w:r>
      <w:r>
        <w:rPr>
          <w:spacing w:val="-6"/>
        </w:rPr>
        <w:t xml:space="preserve"> </w:t>
      </w:r>
      <w:r>
        <w:t>víctimas</w:t>
      </w:r>
      <w:r>
        <w:rPr>
          <w:spacing w:val="-6"/>
        </w:rPr>
        <w:t xml:space="preserve"> </w:t>
      </w:r>
      <w:r>
        <w:t>de</w:t>
      </w:r>
      <w:r>
        <w:rPr>
          <w:spacing w:val="-6"/>
        </w:rPr>
        <w:t xml:space="preserve"> </w:t>
      </w:r>
      <w:r>
        <w:t>un</w:t>
      </w:r>
      <w:r>
        <w:rPr>
          <w:spacing w:val="-6"/>
        </w:rPr>
        <w:t xml:space="preserve"> </w:t>
      </w:r>
      <w:r>
        <w:t>determinado</w:t>
      </w:r>
      <w:r>
        <w:rPr>
          <w:spacing w:val="-7"/>
        </w:rPr>
        <w:t xml:space="preserve"> </w:t>
      </w:r>
      <w:r>
        <w:t>grupo</w:t>
      </w:r>
      <w:r>
        <w:rPr>
          <w:spacing w:val="-6"/>
        </w:rPr>
        <w:t xml:space="preserve"> </w:t>
      </w:r>
      <w:r>
        <w:t>al</w:t>
      </w:r>
      <w:r>
        <w:rPr>
          <w:spacing w:val="-6"/>
        </w:rPr>
        <w:t xml:space="preserve"> </w:t>
      </w:r>
      <w:r>
        <w:t>margen</w:t>
      </w:r>
      <w:r>
        <w:rPr>
          <w:spacing w:val="-6"/>
        </w:rPr>
        <w:t xml:space="preserve"> </w:t>
      </w:r>
      <w:r>
        <w:t>de</w:t>
      </w:r>
      <w:r>
        <w:rPr>
          <w:spacing w:val="-6"/>
        </w:rPr>
        <w:t xml:space="preserve"> </w:t>
      </w:r>
      <w:r>
        <w:t>la</w:t>
      </w:r>
      <w:r>
        <w:rPr>
          <w:spacing w:val="-6"/>
        </w:rPr>
        <w:t xml:space="preserve"> </w:t>
      </w:r>
      <w:r>
        <w:t>ley</w:t>
      </w:r>
      <w:r>
        <w:rPr>
          <w:spacing w:val="-7"/>
        </w:rPr>
        <w:t xml:space="preserve"> </w:t>
      </w:r>
      <w:r>
        <w:t>han</w:t>
      </w:r>
      <w:r>
        <w:rPr>
          <w:spacing w:val="-6"/>
        </w:rPr>
        <w:t xml:space="preserve"> </w:t>
      </w:r>
      <w:r>
        <w:t>sido</w:t>
      </w:r>
      <w:r>
        <w:rPr>
          <w:spacing w:val="-6"/>
        </w:rPr>
        <w:t xml:space="preserve"> </w:t>
      </w:r>
      <w:r>
        <w:t>capaces</w:t>
      </w:r>
      <w:r>
        <w:rPr>
          <w:spacing w:val="-6"/>
        </w:rPr>
        <w:t xml:space="preserve"> </w:t>
      </w:r>
      <w:r>
        <w:t>de</w:t>
      </w:r>
      <w:r>
        <w:rPr>
          <w:spacing w:val="-6"/>
        </w:rPr>
        <w:t xml:space="preserve"> </w:t>
      </w:r>
      <w:r>
        <w:t>hablar con víctimas de otros grupos, de escuchar y dialogar con responsables de las FARC-EP, de grupos paramilitares o de miembros del Ejército. Mientras, otra parte del Estado y de la sociedad siguen instalados en la negación de estas realidades o mantienen su propia versión cerrada de la historia, sin dejarse tocar por esta movilización colectiva. En todo esto, la superación de los estigmas del otro, el juicio descalificativo sobre distintas posiciones políticas o el señalamiento frente a quien se considera adversario y hasta enemigo, siguen alojados como obstáculos que deben superarse en el camino que hay por recorrer. Parte del proceso de cambio que necesita Colombia pasa no solo por las víctimas y los responsables, sino</w:t>
      </w:r>
      <w:r>
        <w:rPr>
          <w:spacing w:val="-3"/>
        </w:rPr>
        <w:t xml:space="preserve"> </w:t>
      </w:r>
      <w:r>
        <w:t>por</w:t>
      </w:r>
      <w:r>
        <w:rPr>
          <w:spacing w:val="-3"/>
        </w:rPr>
        <w:t xml:space="preserve"> </w:t>
      </w:r>
      <w:r>
        <w:t>los</w:t>
      </w:r>
      <w:r>
        <w:rPr>
          <w:spacing w:val="-3"/>
        </w:rPr>
        <w:t xml:space="preserve"> </w:t>
      </w:r>
      <w:r>
        <w:t>líderes</w:t>
      </w:r>
      <w:r>
        <w:rPr>
          <w:spacing w:val="-3"/>
        </w:rPr>
        <w:t xml:space="preserve"> </w:t>
      </w:r>
      <w:r>
        <w:t>políticos</w:t>
      </w:r>
      <w:r>
        <w:rPr>
          <w:spacing w:val="-3"/>
        </w:rPr>
        <w:t xml:space="preserve"> </w:t>
      </w:r>
      <w:r>
        <w:t>y</w:t>
      </w:r>
      <w:r>
        <w:rPr>
          <w:spacing w:val="-3"/>
        </w:rPr>
        <w:t xml:space="preserve"> </w:t>
      </w:r>
      <w:r>
        <w:t>sociales,</w:t>
      </w:r>
      <w:r>
        <w:rPr>
          <w:spacing w:val="-3"/>
        </w:rPr>
        <w:t xml:space="preserve"> </w:t>
      </w:r>
      <w:r>
        <w:t>así</w:t>
      </w:r>
      <w:r>
        <w:rPr>
          <w:spacing w:val="-3"/>
        </w:rPr>
        <w:t xml:space="preserve"> </w:t>
      </w:r>
      <w:r>
        <w:t>como</w:t>
      </w:r>
      <w:r>
        <w:rPr>
          <w:spacing w:val="-4"/>
        </w:rPr>
        <w:t xml:space="preserve"> </w:t>
      </w:r>
      <w:r>
        <w:t>por</w:t>
      </w:r>
      <w:r>
        <w:rPr>
          <w:spacing w:val="-3"/>
        </w:rPr>
        <w:t xml:space="preserve"> </w:t>
      </w:r>
      <w:r>
        <w:t>las</w:t>
      </w:r>
      <w:r>
        <w:rPr>
          <w:spacing w:val="-3"/>
        </w:rPr>
        <w:t xml:space="preserve"> </w:t>
      </w:r>
      <w:r>
        <w:t>instituciones</w:t>
      </w:r>
      <w:r>
        <w:rPr>
          <w:spacing w:val="-3"/>
        </w:rPr>
        <w:t xml:space="preserve"> </w:t>
      </w:r>
      <w:r>
        <w:t>que</w:t>
      </w:r>
      <w:r>
        <w:rPr>
          <w:spacing w:val="-3"/>
        </w:rPr>
        <w:t xml:space="preserve"> </w:t>
      </w:r>
      <w:r>
        <w:t>tienen</w:t>
      </w:r>
      <w:r>
        <w:rPr>
          <w:spacing w:val="-3"/>
        </w:rPr>
        <w:t xml:space="preserve"> </w:t>
      </w:r>
      <w:r>
        <w:t>que</w:t>
      </w:r>
      <w:r>
        <w:rPr>
          <w:spacing w:val="-3"/>
        </w:rPr>
        <w:t xml:space="preserve"> </w:t>
      </w:r>
      <w:r>
        <w:t>apoyar e impulsar los cambios.</w:t>
      </w:r>
    </w:p>
    <w:p w:rsidR="003804AC" w:rsidRDefault="00AF18A5" w:rsidP="0078535D">
      <w:r>
        <w:t>El reconocimiento de las víctimas y la validación social de su sufrimiento, así como el reconocimiento de las responsabilidades por parte de quienes, de una u otra forma han participado en el conflicto, son pasos fundamentales para avanzar hacia el esclarecimiento de</w:t>
      </w:r>
      <w:r>
        <w:rPr>
          <w:spacing w:val="-9"/>
        </w:rPr>
        <w:t xml:space="preserve"> </w:t>
      </w:r>
      <w:r>
        <w:t>la</w:t>
      </w:r>
      <w:r>
        <w:rPr>
          <w:spacing w:val="-9"/>
        </w:rPr>
        <w:t xml:space="preserve"> </w:t>
      </w:r>
      <w:r>
        <w:lastRenderedPageBreak/>
        <w:t>verdad</w:t>
      </w:r>
      <w:r>
        <w:rPr>
          <w:spacing w:val="-11"/>
        </w:rPr>
        <w:t xml:space="preserve"> </w:t>
      </w:r>
      <w:r>
        <w:t>y</w:t>
      </w:r>
      <w:r>
        <w:rPr>
          <w:spacing w:val="-10"/>
        </w:rPr>
        <w:t xml:space="preserve"> </w:t>
      </w:r>
      <w:r>
        <w:t>la</w:t>
      </w:r>
      <w:r>
        <w:rPr>
          <w:spacing w:val="-9"/>
        </w:rPr>
        <w:t xml:space="preserve"> </w:t>
      </w:r>
      <w:r>
        <w:t>creación</w:t>
      </w:r>
      <w:r>
        <w:rPr>
          <w:spacing w:val="-11"/>
        </w:rPr>
        <w:t xml:space="preserve"> </w:t>
      </w:r>
      <w:r>
        <w:t>de</w:t>
      </w:r>
      <w:r>
        <w:rPr>
          <w:spacing w:val="-9"/>
        </w:rPr>
        <w:t xml:space="preserve"> </w:t>
      </w:r>
      <w:r>
        <w:t>condiciones</w:t>
      </w:r>
      <w:r>
        <w:rPr>
          <w:spacing w:val="-9"/>
        </w:rPr>
        <w:t xml:space="preserve"> </w:t>
      </w:r>
      <w:r>
        <w:t>estructurales</w:t>
      </w:r>
      <w:r>
        <w:rPr>
          <w:spacing w:val="-9"/>
        </w:rPr>
        <w:t xml:space="preserve"> </w:t>
      </w:r>
      <w:r>
        <w:t>para</w:t>
      </w:r>
      <w:r>
        <w:rPr>
          <w:spacing w:val="-9"/>
        </w:rPr>
        <w:t xml:space="preserve"> </w:t>
      </w:r>
      <w:r>
        <w:t>la</w:t>
      </w:r>
      <w:r>
        <w:rPr>
          <w:spacing w:val="-9"/>
        </w:rPr>
        <w:t xml:space="preserve"> </w:t>
      </w:r>
      <w:r>
        <w:t>convivencia</w:t>
      </w:r>
      <w:r>
        <w:rPr>
          <w:spacing w:val="-9"/>
        </w:rPr>
        <w:t xml:space="preserve"> </w:t>
      </w:r>
      <w:r>
        <w:t>y</w:t>
      </w:r>
      <w:r>
        <w:rPr>
          <w:spacing w:val="-10"/>
        </w:rPr>
        <w:t xml:space="preserve"> </w:t>
      </w:r>
      <w:r>
        <w:t>la</w:t>
      </w:r>
      <w:r>
        <w:rPr>
          <w:spacing w:val="-9"/>
        </w:rPr>
        <w:t xml:space="preserve"> </w:t>
      </w:r>
      <w:r>
        <w:t>no</w:t>
      </w:r>
      <w:r>
        <w:rPr>
          <w:spacing w:val="-10"/>
        </w:rPr>
        <w:t xml:space="preserve"> </w:t>
      </w:r>
      <w:r>
        <w:t>repetición. Y</w:t>
      </w:r>
      <w:r>
        <w:rPr>
          <w:spacing w:val="-11"/>
        </w:rPr>
        <w:t xml:space="preserve"> </w:t>
      </w:r>
      <w:r>
        <w:t>para</w:t>
      </w:r>
      <w:r>
        <w:rPr>
          <w:spacing w:val="-8"/>
        </w:rPr>
        <w:t xml:space="preserve"> </w:t>
      </w:r>
      <w:r>
        <w:t>superar</w:t>
      </w:r>
      <w:r>
        <w:rPr>
          <w:spacing w:val="-8"/>
        </w:rPr>
        <w:t xml:space="preserve"> </w:t>
      </w:r>
      <w:r>
        <w:t>algo</w:t>
      </w:r>
      <w:r>
        <w:rPr>
          <w:spacing w:val="-9"/>
        </w:rPr>
        <w:t xml:space="preserve"> </w:t>
      </w:r>
      <w:r>
        <w:t>que</w:t>
      </w:r>
      <w:r>
        <w:rPr>
          <w:spacing w:val="-10"/>
        </w:rPr>
        <w:t xml:space="preserve"> </w:t>
      </w:r>
      <w:r>
        <w:t>le</w:t>
      </w:r>
      <w:r>
        <w:rPr>
          <w:spacing w:val="-7"/>
        </w:rPr>
        <w:t xml:space="preserve"> </w:t>
      </w:r>
      <w:r>
        <w:t>dijo</w:t>
      </w:r>
      <w:r>
        <w:rPr>
          <w:spacing w:val="-10"/>
        </w:rPr>
        <w:t xml:space="preserve"> </w:t>
      </w:r>
      <w:r>
        <w:t>a</w:t>
      </w:r>
      <w:r>
        <w:rPr>
          <w:spacing w:val="-8"/>
        </w:rPr>
        <w:t xml:space="preserve"> </w:t>
      </w:r>
      <w:r>
        <w:t>la</w:t>
      </w:r>
      <w:r>
        <w:rPr>
          <w:spacing w:val="-8"/>
        </w:rPr>
        <w:t xml:space="preserve"> </w:t>
      </w:r>
      <w:r>
        <w:t>Comisión</w:t>
      </w:r>
      <w:r>
        <w:rPr>
          <w:spacing w:val="-10"/>
        </w:rPr>
        <w:t xml:space="preserve"> </w:t>
      </w:r>
      <w:r>
        <w:t>una</w:t>
      </w:r>
      <w:r>
        <w:rPr>
          <w:spacing w:val="-9"/>
        </w:rPr>
        <w:t xml:space="preserve"> </w:t>
      </w:r>
      <w:r>
        <w:t>comerciante</w:t>
      </w:r>
      <w:r>
        <w:rPr>
          <w:spacing w:val="-10"/>
        </w:rPr>
        <w:t xml:space="preserve"> </w:t>
      </w:r>
      <w:r>
        <w:t>de</w:t>
      </w:r>
      <w:r>
        <w:rPr>
          <w:spacing w:val="-8"/>
        </w:rPr>
        <w:t xml:space="preserve"> </w:t>
      </w:r>
      <w:r>
        <w:t>Medellín</w:t>
      </w:r>
      <w:r>
        <w:rPr>
          <w:spacing w:val="-11"/>
        </w:rPr>
        <w:t xml:space="preserve"> </w:t>
      </w:r>
      <w:r>
        <w:t>exiliada</w:t>
      </w:r>
      <w:r>
        <w:rPr>
          <w:spacing w:val="-8"/>
        </w:rPr>
        <w:t xml:space="preserve"> </w:t>
      </w:r>
      <w:r>
        <w:t>en</w:t>
      </w:r>
      <w:r>
        <w:rPr>
          <w:spacing w:val="-10"/>
        </w:rPr>
        <w:t xml:space="preserve"> </w:t>
      </w:r>
      <w:r>
        <w:rPr>
          <w:spacing w:val="-2"/>
        </w:rPr>
        <w:t>Chile:</w:t>
      </w:r>
    </w:p>
    <w:p w:rsidR="003804AC" w:rsidRDefault="00AF18A5" w:rsidP="0078535D">
      <w:r>
        <w:t>«La víctima tiene que convencer al otro de que su verdad vale la pena». Si bien ese proceso no empezó con la Comisión, sino cuando las víctimas se negaron al olvido, se han ido activando distintas formas de participación: se ha convocado a víctimas, responsables, organizaciones</w:t>
      </w:r>
      <w:r>
        <w:rPr>
          <w:spacing w:val="-3"/>
        </w:rPr>
        <w:t xml:space="preserve"> </w:t>
      </w:r>
      <w:r>
        <w:t>y</w:t>
      </w:r>
      <w:r>
        <w:rPr>
          <w:spacing w:val="-3"/>
        </w:rPr>
        <w:t xml:space="preserve"> </w:t>
      </w:r>
      <w:r>
        <w:t>diversos</w:t>
      </w:r>
      <w:r>
        <w:rPr>
          <w:spacing w:val="-3"/>
        </w:rPr>
        <w:t xml:space="preserve"> </w:t>
      </w:r>
      <w:r>
        <w:t>sectores</w:t>
      </w:r>
      <w:r>
        <w:rPr>
          <w:spacing w:val="-3"/>
        </w:rPr>
        <w:t xml:space="preserve"> </w:t>
      </w:r>
      <w:r>
        <w:t>de</w:t>
      </w:r>
      <w:r>
        <w:rPr>
          <w:spacing w:val="-3"/>
        </w:rPr>
        <w:t xml:space="preserve"> </w:t>
      </w:r>
      <w:r>
        <w:t>la</w:t>
      </w:r>
      <w:r>
        <w:rPr>
          <w:spacing w:val="-3"/>
        </w:rPr>
        <w:t xml:space="preserve"> </w:t>
      </w:r>
      <w:r>
        <w:t>sociedad</w:t>
      </w:r>
      <w:r>
        <w:rPr>
          <w:spacing w:val="-3"/>
        </w:rPr>
        <w:t xml:space="preserve"> </w:t>
      </w:r>
      <w:r>
        <w:t>a</w:t>
      </w:r>
      <w:r>
        <w:rPr>
          <w:spacing w:val="-3"/>
        </w:rPr>
        <w:t xml:space="preserve"> </w:t>
      </w:r>
      <w:r>
        <w:t>construir</w:t>
      </w:r>
      <w:r>
        <w:rPr>
          <w:spacing w:val="-4"/>
        </w:rPr>
        <w:t xml:space="preserve"> </w:t>
      </w:r>
      <w:r>
        <w:t>procesos</w:t>
      </w:r>
      <w:r>
        <w:rPr>
          <w:spacing w:val="-3"/>
        </w:rPr>
        <w:t xml:space="preserve"> </w:t>
      </w:r>
      <w:r>
        <w:t>de</w:t>
      </w:r>
      <w:r>
        <w:rPr>
          <w:spacing w:val="-4"/>
        </w:rPr>
        <w:t xml:space="preserve"> </w:t>
      </w:r>
      <w:r>
        <w:t>reconocimiento</w:t>
      </w:r>
      <w:r>
        <w:rPr>
          <w:spacing w:val="-3"/>
        </w:rPr>
        <w:t xml:space="preserve"> </w:t>
      </w:r>
      <w:r>
        <w:t>en torno a distintos hechos que tuvieron lugar en el marco del conflicto armado y que han lacerado la dignidad de las víctimas y lesionando valores profundos de la sociedad.</w:t>
      </w:r>
    </w:p>
    <w:p w:rsidR="003804AC" w:rsidRDefault="00AF18A5" w:rsidP="0078535D">
      <w:r>
        <w:t>«Cuando</w:t>
      </w:r>
      <w:r>
        <w:rPr>
          <w:spacing w:val="-1"/>
        </w:rPr>
        <w:t xml:space="preserve"> </w:t>
      </w:r>
      <w:r>
        <w:t>nosotros</w:t>
      </w:r>
      <w:r>
        <w:rPr>
          <w:spacing w:val="-2"/>
        </w:rPr>
        <w:t xml:space="preserve"> </w:t>
      </w:r>
      <w:r>
        <w:t>estábamos</w:t>
      </w:r>
      <w:r>
        <w:rPr>
          <w:spacing w:val="-2"/>
        </w:rPr>
        <w:t xml:space="preserve"> </w:t>
      </w:r>
      <w:r>
        <w:t>en</w:t>
      </w:r>
      <w:r>
        <w:rPr>
          <w:spacing w:val="-1"/>
        </w:rPr>
        <w:t xml:space="preserve"> </w:t>
      </w:r>
      <w:r>
        <w:t>armas,</w:t>
      </w:r>
      <w:r>
        <w:rPr>
          <w:spacing w:val="-1"/>
        </w:rPr>
        <w:t xml:space="preserve"> </w:t>
      </w:r>
      <w:r>
        <w:t>no</w:t>
      </w:r>
      <w:r>
        <w:rPr>
          <w:spacing w:val="-2"/>
        </w:rPr>
        <w:t xml:space="preserve"> </w:t>
      </w:r>
      <w:r>
        <w:t>alcanzamos</w:t>
      </w:r>
      <w:r>
        <w:rPr>
          <w:spacing w:val="-2"/>
        </w:rPr>
        <w:t xml:space="preserve"> </w:t>
      </w:r>
      <w:r>
        <w:t>a</w:t>
      </w:r>
      <w:r>
        <w:rPr>
          <w:spacing w:val="-2"/>
        </w:rPr>
        <w:t xml:space="preserve"> </w:t>
      </w:r>
      <w:r>
        <w:t>comprender esas</w:t>
      </w:r>
      <w:r>
        <w:rPr>
          <w:spacing w:val="-1"/>
        </w:rPr>
        <w:t xml:space="preserve"> </w:t>
      </w:r>
      <w:r>
        <w:t>consecuencias porque</w:t>
      </w:r>
      <w:r>
        <w:rPr>
          <w:spacing w:val="-15"/>
        </w:rPr>
        <w:t xml:space="preserve"> </w:t>
      </w:r>
      <w:r>
        <w:t>no</w:t>
      </w:r>
      <w:r>
        <w:rPr>
          <w:spacing w:val="-15"/>
        </w:rPr>
        <w:t xml:space="preserve"> </w:t>
      </w:r>
      <w:r>
        <w:t>las</w:t>
      </w:r>
      <w:r>
        <w:rPr>
          <w:spacing w:val="-15"/>
        </w:rPr>
        <w:t xml:space="preserve"> </w:t>
      </w:r>
      <w:r>
        <w:t>habíamos</w:t>
      </w:r>
      <w:r>
        <w:rPr>
          <w:spacing w:val="-15"/>
        </w:rPr>
        <w:t xml:space="preserve"> </w:t>
      </w:r>
      <w:r>
        <w:t>vivido.</w:t>
      </w:r>
      <w:r>
        <w:rPr>
          <w:spacing w:val="-15"/>
        </w:rPr>
        <w:t xml:space="preserve"> </w:t>
      </w:r>
      <w:r>
        <w:t>Pero</w:t>
      </w:r>
      <w:r>
        <w:rPr>
          <w:spacing w:val="-15"/>
        </w:rPr>
        <w:t xml:space="preserve"> </w:t>
      </w:r>
      <w:r>
        <w:t>hoy,</w:t>
      </w:r>
      <w:r>
        <w:rPr>
          <w:spacing w:val="-15"/>
        </w:rPr>
        <w:t xml:space="preserve"> </w:t>
      </w:r>
      <w:r>
        <w:t>que</w:t>
      </w:r>
      <w:r>
        <w:rPr>
          <w:spacing w:val="-15"/>
        </w:rPr>
        <w:t xml:space="preserve"> </w:t>
      </w:r>
      <w:r>
        <w:t>nosotros</w:t>
      </w:r>
      <w:r>
        <w:rPr>
          <w:spacing w:val="-15"/>
        </w:rPr>
        <w:t xml:space="preserve"> </w:t>
      </w:r>
      <w:r>
        <w:t>ya</w:t>
      </w:r>
      <w:r>
        <w:rPr>
          <w:spacing w:val="-15"/>
        </w:rPr>
        <w:t xml:space="preserve"> </w:t>
      </w:r>
      <w:r>
        <w:t>no</w:t>
      </w:r>
      <w:r>
        <w:rPr>
          <w:spacing w:val="-15"/>
        </w:rPr>
        <w:t xml:space="preserve"> </w:t>
      </w:r>
      <w:r>
        <w:t>estamos</w:t>
      </w:r>
      <w:r>
        <w:rPr>
          <w:spacing w:val="-15"/>
        </w:rPr>
        <w:t xml:space="preserve"> </w:t>
      </w:r>
      <w:r>
        <w:t>en</w:t>
      </w:r>
      <w:r>
        <w:rPr>
          <w:spacing w:val="-15"/>
        </w:rPr>
        <w:t xml:space="preserve"> </w:t>
      </w:r>
      <w:r>
        <w:t>armas,</w:t>
      </w:r>
      <w:r>
        <w:rPr>
          <w:spacing w:val="-15"/>
        </w:rPr>
        <w:t xml:space="preserve"> </w:t>
      </w:r>
      <w:r>
        <w:t>en</w:t>
      </w:r>
      <w:r>
        <w:rPr>
          <w:spacing w:val="-15"/>
        </w:rPr>
        <w:t xml:space="preserve"> </w:t>
      </w:r>
      <w:r>
        <w:t>un</w:t>
      </w:r>
      <w:r>
        <w:rPr>
          <w:spacing w:val="-15"/>
        </w:rPr>
        <w:t xml:space="preserve"> </w:t>
      </w:r>
      <w:r>
        <w:t>proceso de ya tres años, somos conscientes de la afectación que causamos cuando cultivamos una mata, cuando sabemos lo que es producir, lo que es trabajar, hoy somos conscientes. […] Hoy tenemos la capacidad de reconocerlo, porque qué día que pasaba por Caldono, estaban hostigando y vaya vea lo que uno siente cuando no se puede proteger, cuando uno no lleva un arma y eso que siente la gente no lo dimensionamos»</w:t>
      </w:r>
      <w:r w:rsidR="00016575">
        <w:rPr>
          <w:rStyle w:val="Refdenotaalpie"/>
        </w:rPr>
        <w:footnoteReference w:id="12"/>
      </w:r>
      <w:r>
        <w:t>.</w:t>
      </w:r>
    </w:p>
    <w:p w:rsidR="003804AC" w:rsidRDefault="00AF18A5" w:rsidP="00016575">
      <w:r>
        <w:t>Las continuas pérdidas de vidas, de vínculos y redes sociales, de personas significativas para sus familias, de liderazgos clave para el país han creado continuos procesos de duelo, muchas</w:t>
      </w:r>
      <w:r>
        <w:rPr>
          <w:spacing w:val="-10"/>
        </w:rPr>
        <w:t xml:space="preserve"> </w:t>
      </w:r>
      <w:r>
        <w:t>veces</w:t>
      </w:r>
      <w:r>
        <w:rPr>
          <w:spacing w:val="-11"/>
        </w:rPr>
        <w:t xml:space="preserve"> </w:t>
      </w:r>
      <w:r>
        <w:t>fragmentados</w:t>
      </w:r>
      <w:r>
        <w:rPr>
          <w:spacing w:val="-10"/>
        </w:rPr>
        <w:t xml:space="preserve"> </w:t>
      </w:r>
      <w:r>
        <w:t>porque</w:t>
      </w:r>
      <w:r>
        <w:rPr>
          <w:spacing w:val="-11"/>
        </w:rPr>
        <w:t xml:space="preserve"> </w:t>
      </w:r>
      <w:r>
        <w:t>ni</w:t>
      </w:r>
      <w:r>
        <w:rPr>
          <w:spacing w:val="-10"/>
        </w:rPr>
        <w:t xml:space="preserve"> </w:t>
      </w:r>
      <w:r>
        <w:t>siquiera</w:t>
      </w:r>
      <w:r>
        <w:rPr>
          <w:spacing w:val="-11"/>
        </w:rPr>
        <w:t xml:space="preserve"> </w:t>
      </w:r>
      <w:r>
        <w:t>hubo</w:t>
      </w:r>
      <w:r>
        <w:rPr>
          <w:spacing w:val="-11"/>
        </w:rPr>
        <w:t xml:space="preserve"> </w:t>
      </w:r>
      <w:r>
        <w:t>tiempo</w:t>
      </w:r>
      <w:r>
        <w:rPr>
          <w:spacing w:val="-11"/>
        </w:rPr>
        <w:t xml:space="preserve"> </w:t>
      </w:r>
      <w:r>
        <w:t>para</w:t>
      </w:r>
      <w:r>
        <w:rPr>
          <w:spacing w:val="-10"/>
        </w:rPr>
        <w:t xml:space="preserve"> </w:t>
      </w:r>
      <w:r>
        <w:t>expresar</w:t>
      </w:r>
      <w:r>
        <w:rPr>
          <w:spacing w:val="-11"/>
        </w:rPr>
        <w:t xml:space="preserve"> </w:t>
      </w:r>
      <w:r>
        <w:t>el</w:t>
      </w:r>
      <w:r>
        <w:rPr>
          <w:spacing w:val="-10"/>
        </w:rPr>
        <w:t xml:space="preserve"> </w:t>
      </w:r>
      <w:r>
        <w:t>dolor</w:t>
      </w:r>
      <w:r>
        <w:rPr>
          <w:spacing w:val="-11"/>
        </w:rPr>
        <w:t xml:space="preserve"> </w:t>
      </w:r>
      <w:r>
        <w:t>o</w:t>
      </w:r>
      <w:r>
        <w:rPr>
          <w:spacing w:val="-12"/>
        </w:rPr>
        <w:t xml:space="preserve"> </w:t>
      </w:r>
      <w:r>
        <w:t xml:space="preserve">recordar a los </w:t>
      </w:r>
      <w:r>
        <w:lastRenderedPageBreak/>
        <w:t>muertos en su momento, o porque no hubo reconocimiento de los hechos que pueda ayudar</w:t>
      </w:r>
      <w:r>
        <w:rPr>
          <w:spacing w:val="-3"/>
        </w:rPr>
        <w:t xml:space="preserve"> </w:t>
      </w:r>
      <w:r>
        <w:t>a</w:t>
      </w:r>
      <w:r>
        <w:rPr>
          <w:spacing w:val="-3"/>
        </w:rPr>
        <w:t xml:space="preserve"> </w:t>
      </w:r>
      <w:r>
        <w:t>la</w:t>
      </w:r>
      <w:r>
        <w:rPr>
          <w:spacing w:val="-3"/>
        </w:rPr>
        <w:t xml:space="preserve"> </w:t>
      </w:r>
      <w:r>
        <w:t>comprensión</w:t>
      </w:r>
      <w:r>
        <w:rPr>
          <w:spacing w:val="-4"/>
        </w:rPr>
        <w:t xml:space="preserve"> </w:t>
      </w:r>
      <w:r>
        <w:t>y</w:t>
      </w:r>
      <w:r>
        <w:rPr>
          <w:spacing w:val="-4"/>
        </w:rPr>
        <w:t xml:space="preserve"> </w:t>
      </w:r>
      <w:r>
        <w:t>asimilación</w:t>
      </w:r>
      <w:r>
        <w:rPr>
          <w:spacing w:val="-4"/>
        </w:rPr>
        <w:t xml:space="preserve"> </w:t>
      </w:r>
      <w:r>
        <w:t>de</w:t>
      </w:r>
      <w:r>
        <w:rPr>
          <w:spacing w:val="-3"/>
        </w:rPr>
        <w:t xml:space="preserve"> </w:t>
      </w:r>
      <w:r>
        <w:t>lo</w:t>
      </w:r>
      <w:r>
        <w:rPr>
          <w:spacing w:val="-4"/>
        </w:rPr>
        <w:t xml:space="preserve"> </w:t>
      </w:r>
      <w:r>
        <w:t>ocurrido.</w:t>
      </w:r>
      <w:r>
        <w:rPr>
          <w:spacing w:val="-4"/>
        </w:rPr>
        <w:t xml:space="preserve"> </w:t>
      </w:r>
      <w:r>
        <w:t>Muchas</w:t>
      </w:r>
      <w:r>
        <w:rPr>
          <w:spacing w:val="-5"/>
        </w:rPr>
        <w:t xml:space="preserve"> </w:t>
      </w:r>
      <w:r>
        <w:t>veces</w:t>
      </w:r>
      <w:r>
        <w:rPr>
          <w:spacing w:val="-3"/>
        </w:rPr>
        <w:t xml:space="preserve"> </w:t>
      </w:r>
      <w:r>
        <w:t>eso</w:t>
      </w:r>
      <w:r>
        <w:rPr>
          <w:spacing w:val="-4"/>
        </w:rPr>
        <w:t xml:space="preserve"> </w:t>
      </w:r>
      <w:r>
        <w:t>ha</w:t>
      </w:r>
      <w:r>
        <w:rPr>
          <w:spacing w:val="-3"/>
        </w:rPr>
        <w:t xml:space="preserve"> </w:t>
      </w:r>
      <w:r>
        <w:t>pasado</w:t>
      </w:r>
      <w:r>
        <w:rPr>
          <w:spacing w:val="-4"/>
        </w:rPr>
        <w:t xml:space="preserve"> </w:t>
      </w:r>
      <w:r>
        <w:t>a</w:t>
      </w:r>
      <w:r>
        <w:rPr>
          <w:spacing w:val="-3"/>
        </w:rPr>
        <w:t xml:space="preserve"> </w:t>
      </w:r>
      <w:r>
        <w:t>formar parte,</w:t>
      </w:r>
      <w:r>
        <w:rPr>
          <w:spacing w:val="-4"/>
        </w:rPr>
        <w:t xml:space="preserve"> </w:t>
      </w:r>
      <w:r>
        <w:t>como</w:t>
      </w:r>
      <w:r>
        <w:rPr>
          <w:spacing w:val="-5"/>
        </w:rPr>
        <w:t xml:space="preserve"> </w:t>
      </w:r>
      <w:r>
        <w:t>algo</w:t>
      </w:r>
      <w:r>
        <w:rPr>
          <w:spacing w:val="-4"/>
        </w:rPr>
        <w:t xml:space="preserve"> </w:t>
      </w:r>
      <w:r>
        <w:t>normalizado,</w:t>
      </w:r>
      <w:r>
        <w:rPr>
          <w:spacing w:val="-4"/>
        </w:rPr>
        <w:t xml:space="preserve"> </w:t>
      </w:r>
      <w:r>
        <w:t>del</w:t>
      </w:r>
      <w:r>
        <w:rPr>
          <w:spacing w:val="-3"/>
        </w:rPr>
        <w:t xml:space="preserve"> </w:t>
      </w:r>
      <w:r>
        <w:t>imaginario</w:t>
      </w:r>
      <w:r>
        <w:rPr>
          <w:spacing w:val="-4"/>
        </w:rPr>
        <w:t xml:space="preserve"> </w:t>
      </w:r>
      <w:r>
        <w:t>colectivo</w:t>
      </w:r>
      <w:r>
        <w:rPr>
          <w:spacing w:val="-5"/>
        </w:rPr>
        <w:t xml:space="preserve"> </w:t>
      </w:r>
      <w:r>
        <w:t>limitando</w:t>
      </w:r>
      <w:r>
        <w:rPr>
          <w:spacing w:val="-4"/>
        </w:rPr>
        <w:t xml:space="preserve"> </w:t>
      </w:r>
      <w:r>
        <w:t>con</w:t>
      </w:r>
      <w:r>
        <w:rPr>
          <w:spacing w:val="-4"/>
        </w:rPr>
        <w:t xml:space="preserve"> </w:t>
      </w:r>
      <w:r>
        <w:t>ello</w:t>
      </w:r>
      <w:r>
        <w:rPr>
          <w:spacing w:val="-5"/>
        </w:rPr>
        <w:t xml:space="preserve"> </w:t>
      </w:r>
      <w:r>
        <w:t>la</w:t>
      </w:r>
      <w:r>
        <w:rPr>
          <w:spacing w:val="-3"/>
        </w:rPr>
        <w:t xml:space="preserve"> </w:t>
      </w:r>
      <w:r>
        <w:t>capacidad</w:t>
      </w:r>
      <w:r>
        <w:rPr>
          <w:spacing w:val="-4"/>
        </w:rPr>
        <w:t xml:space="preserve"> </w:t>
      </w:r>
      <w:r>
        <w:t>para recuperarse.</w:t>
      </w:r>
      <w:r>
        <w:rPr>
          <w:spacing w:val="-13"/>
        </w:rPr>
        <w:t xml:space="preserve"> </w:t>
      </w:r>
      <w:r>
        <w:t>Los</w:t>
      </w:r>
      <w:r>
        <w:rPr>
          <w:spacing w:val="-12"/>
        </w:rPr>
        <w:t xml:space="preserve"> </w:t>
      </w:r>
      <w:r>
        <w:t>testimonios,</w:t>
      </w:r>
      <w:r>
        <w:rPr>
          <w:spacing w:val="-12"/>
        </w:rPr>
        <w:t xml:space="preserve"> </w:t>
      </w:r>
      <w:r>
        <w:t>los</w:t>
      </w:r>
      <w:r>
        <w:rPr>
          <w:spacing w:val="-12"/>
        </w:rPr>
        <w:t xml:space="preserve"> </w:t>
      </w:r>
      <w:r>
        <w:t>trabajos</w:t>
      </w:r>
      <w:r>
        <w:rPr>
          <w:spacing w:val="-12"/>
        </w:rPr>
        <w:t xml:space="preserve"> </w:t>
      </w:r>
      <w:r>
        <w:t>grupales</w:t>
      </w:r>
      <w:r>
        <w:rPr>
          <w:spacing w:val="-12"/>
        </w:rPr>
        <w:t xml:space="preserve"> </w:t>
      </w:r>
      <w:r>
        <w:t>y</w:t>
      </w:r>
      <w:r>
        <w:rPr>
          <w:spacing w:val="-12"/>
        </w:rPr>
        <w:t xml:space="preserve"> </w:t>
      </w:r>
      <w:r>
        <w:t>con</w:t>
      </w:r>
      <w:r>
        <w:rPr>
          <w:spacing w:val="-13"/>
        </w:rPr>
        <w:t xml:space="preserve"> </w:t>
      </w:r>
      <w:r>
        <w:t>colectivos</w:t>
      </w:r>
      <w:r>
        <w:rPr>
          <w:spacing w:val="-13"/>
        </w:rPr>
        <w:t xml:space="preserve"> </w:t>
      </w:r>
      <w:r>
        <w:t>sociales</w:t>
      </w:r>
      <w:r>
        <w:rPr>
          <w:spacing w:val="-12"/>
        </w:rPr>
        <w:t xml:space="preserve"> </w:t>
      </w:r>
      <w:r>
        <w:t>y</w:t>
      </w:r>
      <w:r>
        <w:rPr>
          <w:spacing w:val="-12"/>
        </w:rPr>
        <w:t xml:space="preserve"> </w:t>
      </w:r>
      <w:r>
        <w:t>los</w:t>
      </w:r>
      <w:r>
        <w:rPr>
          <w:spacing w:val="-12"/>
        </w:rPr>
        <w:t xml:space="preserve"> </w:t>
      </w:r>
      <w:r>
        <w:t>Encuentros por</w:t>
      </w:r>
      <w:r>
        <w:rPr>
          <w:spacing w:val="-14"/>
        </w:rPr>
        <w:t xml:space="preserve"> </w:t>
      </w:r>
      <w:r>
        <w:t>la</w:t>
      </w:r>
      <w:r>
        <w:rPr>
          <w:spacing w:val="-14"/>
        </w:rPr>
        <w:t xml:space="preserve"> </w:t>
      </w:r>
      <w:r>
        <w:t>Verdad</w:t>
      </w:r>
      <w:r>
        <w:rPr>
          <w:spacing w:val="-14"/>
        </w:rPr>
        <w:t xml:space="preserve"> </w:t>
      </w:r>
      <w:r>
        <w:t>también</w:t>
      </w:r>
      <w:r>
        <w:rPr>
          <w:spacing w:val="-14"/>
        </w:rPr>
        <w:t xml:space="preserve"> </w:t>
      </w:r>
      <w:r>
        <w:t>han</w:t>
      </w:r>
      <w:r>
        <w:rPr>
          <w:spacing w:val="-14"/>
        </w:rPr>
        <w:t xml:space="preserve"> </w:t>
      </w:r>
      <w:r>
        <w:t>supuesto</w:t>
      </w:r>
      <w:r>
        <w:rPr>
          <w:spacing w:val="-15"/>
        </w:rPr>
        <w:t xml:space="preserve"> </w:t>
      </w:r>
      <w:r>
        <w:t>la</w:t>
      </w:r>
      <w:r>
        <w:rPr>
          <w:spacing w:val="-14"/>
        </w:rPr>
        <w:t xml:space="preserve"> </w:t>
      </w:r>
      <w:r>
        <w:t>oportunidad</w:t>
      </w:r>
      <w:r>
        <w:rPr>
          <w:spacing w:val="-14"/>
        </w:rPr>
        <w:t xml:space="preserve"> </w:t>
      </w:r>
      <w:r>
        <w:t>de</w:t>
      </w:r>
      <w:r>
        <w:rPr>
          <w:spacing w:val="-14"/>
        </w:rPr>
        <w:t xml:space="preserve"> </w:t>
      </w:r>
      <w:r>
        <w:t>hacer</w:t>
      </w:r>
      <w:r>
        <w:rPr>
          <w:spacing w:val="-14"/>
        </w:rPr>
        <w:t xml:space="preserve"> </w:t>
      </w:r>
      <w:r>
        <w:t>esos</w:t>
      </w:r>
      <w:r>
        <w:rPr>
          <w:spacing w:val="-14"/>
        </w:rPr>
        <w:t xml:space="preserve"> </w:t>
      </w:r>
      <w:r>
        <w:t>procesos</w:t>
      </w:r>
      <w:r>
        <w:rPr>
          <w:spacing w:val="-15"/>
        </w:rPr>
        <w:t xml:space="preserve"> </w:t>
      </w:r>
      <w:r>
        <w:t>para</w:t>
      </w:r>
      <w:r>
        <w:rPr>
          <w:spacing w:val="-15"/>
        </w:rPr>
        <w:t xml:space="preserve"> </w:t>
      </w:r>
      <w:r>
        <w:t>los</w:t>
      </w:r>
      <w:r>
        <w:rPr>
          <w:spacing w:val="-14"/>
        </w:rPr>
        <w:t xml:space="preserve"> </w:t>
      </w:r>
      <w:r>
        <w:t>que</w:t>
      </w:r>
      <w:r>
        <w:rPr>
          <w:spacing w:val="-15"/>
        </w:rPr>
        <w:t xml:space="preserve"> </w:t>
      </w:r>
      <w:r>
        <w:t>nunca hubo</w:t>
      </w:r>
      <w:r>
        <w:rPr>
          <w:spacing w:val="-5"/>
        </w:rPr>
        <w:t xml:space="preserve"> </w:t>
      </w:r>
      <w:r>
        <w:t>tiempo</w:t>
      </w:r>
      <w:r>
        <w:rPr>
          <w:spacing w:val="-6"/>
        </w:rPr>
        <w:t xml:space="preserve"> </w:t>
      </w:r>
      <w:r>
        <w:t>y</w:t>
      </w:r>
      <w:r>
        <w:rPr>
          <w:spacing w:val="-5"/>
        </w:rPr>
        <w:t xml:space="preserve"> </w:t>
      </w:r>
      <w:r>
        <w:t>han</w:t>
      </w:r>
      <w:r>
        <w:rPr>
          <w:spacing w:val="-5"/>
        </w:rPr>
        <w:t xml:space="preserve"> </w:t>
      </w:r>
      <w:r>
        <w:t>activado</w:t>
      </w:r>
      <w:r>
        <w:rPr>
          <w:spacing w:val="-5"/>
        </w:rPr>
        <w:t xml:space="preserve"> </w:t>
      </w:r>
      <w:r>
        <w:t>conversaciones</w:t>
      </w:r>
      <w:r>
        <w:rPr>
          <w:spacing w:val="-6"/>
        </w:rPr>
        <w:t xml:space="preserve"> </w:t>
      </w:r>
      <w:r>
        <w:t>familiares</w:t>
      </w:r>
      <w:r>
        <w:rPr>
          <w:spacing w:val="-6"/>
        </w:rPr>
        <w:t xml:space="preserve"> </w:t>
      </w:r>
      <w:r>
        <w:t>y</w:t>
      </w:r>
      <w:r>
        <w:rPr>
          <w:spacing w:val="-5"/>
        </w:rPr>
        <w:t xml:space="preserve"> </w:t>
      </w:r>
      <w:r>
        <w:t>grupales</w:t>
      </w:r>
      <w:r>
        <w:rPr>
          <w:spacing w:val="-5"/>
        </w:rPr>
        <w:t xml:space="preserve"> </w:t>
      </w:r>
      <w:r>
        <w:t>sobre</w:t>
      </w:r>
      <w:r>
        <w:rPr>
          <w:spacing w:val="-6"/>
        </w:rPr>
        <w:t xml:space="preserve"> </w:t>
      </w:r>
      <w:r>
        <w:t>lo</w:t>
      </w:r>
      <w:r>
        <w:rPr>
          <w:spacing w:val="-6"/>
        </w:rPr>
        <w:t xml:space="preserve"> </w:t>
      </w:r>
      <w:r>
        <w:t>que</w:t>
      </w:r>
      <w:r>
        <w:rPr>
          <w:spacing w:val="-5"/>
        </w:rPr>
        <w:t xml:space="preserve"> </w:t>
      </w:r>
      <w:r>
        <w:t>se</w:t>
      </w:r>
      <w:r>
        <w:rPr>
          <w:spacing w:val="-6"/>
        </w:rPr>
        <w:t xml:space="preserve"> </w:t>
      </w:r>
      <w:r>
        <w:t>iba</w:t>
      </w:r>
      <w:r>
        <w:rPr>
          <w:spacing w:val="-5"/>
        </w:rPr>
        <w:t xml:space="preserve"> </w:t>
      </w:r>
      <w:r>
        <w:t>a</w:t>
      </w:r>
      <w:r>
        <w:rPr>
          <w:spacing w:val="-6"/>
        </w:rPr>
        <w:t xml:space="preserve"> </w:t>
      </w:r>
      <w:r>
        <w:t>decir, sobre lo que surgió, sobre lo que se movilizó.</w:t>
      </w:r>
    </w:p>
    <w:p w:rsidR="003804AC" w:rsidRDefault="00AF18A5" w:rsidP="00016575">
      <w:r>
        <w:t>La prolongación de la guerra durante décadas ha llevado a una acumulación de hechos que no se detiene. A todo eso se le sumaron otros periodos de violencia, así como nuevas muertes</w:t>
      </w:r>
      <w:r>
        <w:rPr>
          <w:spacing w:val="-15"/>
        </w:rPr>
        <w:t xml:space="preserve"> </w:t>
      </w:r>
      <w:r>
        <w:t>y</w:t>
      </w:r>
      <w:r>
        <w:rPr>
          <w:spacing w:val="-15"/>
        </w:rPr>
        <w:t xml:space="preserve"> </w:t>
      </w:r>
      <w:r>
        <w:t>desapariciones.</w:t>
      </w:r>
      <w:r>
        <w:rPr>
          <w:spacing w:val="-15"/>
        </w:rPr>
        <w:t xml:space="preserve"> </w:t>
      </w:r>
      <w:r>
        <w:t>Para</w:t>
      </w:r>
      <w:r>
        <w:rPr>
          <w:spacing w:val="-15"/>
        </w:rPr>
        <w:t xml:space="preserve"> </w:t>
      </w:r>
      <w:r>
        <w:t>los</w:t>
      </w:r>
      <w:r>
        <w:rPr>
          <w:spacing w:val="-15"/>
        </w:rPr>
        <w:t xml:space="preserve"> </w:t>
      </w:r>
      <w:r>
        <w:t>familiares</w:t>
      </w:r>
      <w:r>
        <w:rPr>
          <w:spacing w:val="-15"/>
        </w:rPr>
        <w:t xml:space="preserve"> </w:t>
      </w:r>
      <w:r>
        <w:t>de</w:t>
      </w:r>
      <w:r>
        <w:rPr>
          <w:spacing w:val="-15"/>
        </w:rPr>
        <w:t xml:space="preserve"> </w:t>
      </w:r>
      <w:r>
        <w:t>desaparecidos,</w:t>
      </w:r>
      <w:r>
        <w:rPr>
          <w:spacing w:val="-15"/>
        </w:rPr>
        <w:t xml:space="preserve"> </w:t>
      </w:r>
      <w:r>
        <w:t>esos</w:t>
      </w:r>
      <w:r>
        <w:rPr>
          <w:spacing w:val="-15"/>
        </w:rPr>
        <w:t xml:space="preserve"> </w:t>
      </w:r>
      <w:r>
        <w:t>procesos</w:t>
      </w:r>
      <w:r>
        <w:rPr>
          <w:spacing w:val="-15"/>
        </w:rPr>
        <w:t xml:space="preserve"> </w:t>
      </w:r>
      <w:r>
        <w:t>de</w:t>
      </w:r>
      <w:r>
        <w:rPr>
          <w:spacing w:val="-15"/>
        </w:rPr>
        <w:t xml:space="preserve"> </w:t>
      </w:r>
      <w:r>
        <w:t>duelo</w:t>
      </w:r>
      <w:r>
        <w:rPr>
          <w:spacing w:val="-15"/>
        </w:rPr>
        <w:t xml:space="preserve"> </w:t>
      </w:r>
      <w:r>
        <w:t>fueron aplazados y se han visto bloqueados por la falta de verdad, de conocer cuál fue el destino y paradero</w:t>
      </w:r>
      <w:r>
        <w:rPr>
          <w:spacing w:val="-8"/>
        </w:rPr>
        <w:t xml:space="preserve"> </w:t>
      </w:r>
      <w:r>
        <w:t>de</w:t>
      </w:r>
      <w:r>
        <w:rPr>
          <w:spacing w:val="-8"/>
        </w:rPr>
        <w:t xml:space="preserve"> </w:t>
      </w:r>
      <w:r>
        <w:t>sus</w:t>
      </w:r>
      <w:r>
        <w:rPr>
          <w:spacing w:val="-8"/>
        </w:rPr>
        <w:t xml:space="preserve"> </w:t>
      </w:r>
      <w:r>
        <w:t>seres</w:t>
      </w:r>
      <w:r>
        <w:rPr>
          <w:spacing w:val="-8"/>
        </w:rPr>
        <w:t xml:space="preserve"> </w:t>
      </w:r>
      <w:r>
        <w:t>queridos,</w:t>
      </w:r>
      <w:r>
        <w:rPr>
          <w:spacing w:val="-8"/>
        </w:rPr>
        <w:t xml:space="preserve"> </w:t>
      </w:r>
      <w:r>
        <w:t>de</w:t>
      </w:r>
      <w:r>
        <w:rPr>
          <w:spacing w:val="-9"/>
        </w:rPr>
        <w:t xml:space="preserve"> </w:t>
      </w:r>
      <w:r>
        <w:t>recuperarlos,</w:t>
      </w:r>
      <w:r>
        <w:rPr>
          <w:spacing w:val="-10"/>
        </w:rPr>
        <w:t xml:space="preserve"> </w:t>
      </w:r>
      <w:r>
        <w:t>de</w:t>
      </w:r>
      <w:r>
        <w:rPr>
          <w:spacing w:val="-8"/>
        </w:rPr>
        <w:t xml:space="preserve"> </w:t>
      </w:r>
      <w:r>
        <w:t>saber</w:t>
      </w:r>
      <w:r>
        <w:rPr>
          <w:spacing w:val="-8"/>
        </w:rPr>
        <w:t xml:space="preserve"> </w:t>
      </w:r>
      <w:r>
        <w:t>la</w:t>
      </w:r>
      <w:r>
        <w:rPr>
          <w:spacing w:val="-8"/>
        </w:rPr>
        <w:t xml:space="preserve"> </w:t>
      </w:r>
      <w:r>
        <w:t>verdad</w:t>
      </w:r>
      <w:r>
        <w:rPr>
          <w:spacing w:val="-8"/>
        </w:rPr>
        <w:t xml:space="preserve"> </w:t>
      </w:r>
      <w:r>
        <w:t>sobre</w:t>
      </w:r>
      <w:r>
        <w:rPr>
          <w:spacing w:val="-8"/>
        </w:rPr>
        <w:t xml:space="preserve"> </w:t>
      </w:r>
      <w:r>
        <w:t>lo</w:t>
      </w:r>
      <w:r>
        <w:rPr>
          <w:spacing w:val="-8"/>
        </w:rPr>
        <w:t xml:space="preserve"> </w:t>
      </w:r>
      <w:r>
        <w:t>que</w:t>
      </w:r>
      <w:r>
        <w:rPr>
          <w:spacing w:val="-8"/>
        </w:rPr>
        <w:t xml:space="preserve"> </w:t>
      </w:r>
      <w:r>
        <w:t>pasó</w:t>
      </w:r>
      <w:r>
        <w:rPr>
          <w:spacing w:val="-8"/>
        </w:rPr>
        <w:t xml:space="preserve"> </w:t>
      </w:r>
      <w:r>
        <w:t>y</w:t>
      </w:r>
      <w:r>
        <w:rPr>
          <w:spacing w:val="-8"/>
        </w:rPr>
        <w:t xml:space="preserve"> </w:t>
      </w:r>
      <w:r>
        <w:t>de</w:t>
      </w:r>
      <w:r>
        <w:rPr>
          <w:spacing w:val="-8"/>
        </w:rPr>
        <w:t xml:space="preserve"> </w:t>
      </w:r>
      <w:r>
        <w:t>sus responsables, lo que las</w:t>
      </w:r>
      <w:r>
        <w:rPr>
          <w:spacing w:val="-1"/>
        </w:rPr>
        <w:t xml:space="preserve"> </w:t>
      </w:r>
      <w:r>
        <w:t>dejó suspendidas en el</w:t>
      </w:r>
      <w:r>
        <w:rPr>
          <w:spacing w:val="-1"/>
        </w:rPr>
        <w:t xml:space="preserve"> </w:t>
      </w:r>
      <w:r>
        <w:t>tiempo. Simultáneamente</w:t>
      </w:r>
      <w:r>
        <w:rPr>
          <w:spacing w:val="-1"/>
        </w:rPr>
        <w:t xml:space="preserve"> </w:t>
      </w:r>
      <w:r>
        <w:t>se llevaban</w:t>
      </w:r>
      <w:r>
        <w:rPr>
          <w:spacing w:val="-1"/>
        </w:rPr>
        <w:t xml:space="preserve"> </w:t>
      </w:r>
      <w:r>
        <w:t>a cabo movilizaciones</w:t>
      </w:r>
      <w:r>
        <w:rPr>
          <w:spacing w:val="-10"/>
        </w:rPr>
        <w:t xml:space="preserve"> </w:t>
      </w:r>
      <w:r>
        <w:t>para</w:t>
      </w:r>
      <w:r>
        <w:rPr>
          <w:spacing w:val="-12"/>
        </w:rPr>
        <w:t xml:space="preserve"> </w:t>
      </w:r>
      <w:r>
        <w:t>reivindicar</w:t>
      </w:r>
      <w:r>
        <w:rPr>
          <w:spacing w:val="-10"/>
        </w:rPr>
        <w:t xml:space="preserve"> </w:t>
      </w:r>
      <w:r>
        <w:t>justicia</w:t>
      </w:r>
      <w:r>
        <w:rPr>
          <w:spacing w:val="-10"/>
        </w:rPr>
        <w:t xml:space="preserve"> </w:t>
      </w:r>
      <w:r>
        <w:t>o</w:t>
      </w:r>
      <w:r>
        <w:rPr>
          <w:spacing w:val="-11"/>
        </w:rPr>
        <w:t xml:space="preserve"> </w:t>
      </w:r>
      <w:r>
        <w:t>permanecían</w:t>
      </w:r>
      <w:r>
        <w:rPr>
          <w:spacing w:val="-11"/>
        </w:rPr>
        <w:t xml:space="preserve"> </w:t>
      </w:r>
      <w:r>
        <w:t>en</w:t>
      </w:r>
      <w:r>
        <w:rPr>
          <w:spacing w:val="-11"/>
        </w:rPr>
        <w:t xml:space="preserve"> </w:t>
      </w:r>
      <w:r>
        <w:t>silencio</w:t>
      </w:r>
      <w:r>
        <w:rPr>
          <w:spacing w:val="-11"/>
        </w:rPr>
        <w:t xml:space="preserve"> </w:t>
      </w:r>
      <w:r>
        <w:t>en</w:t>
      </w:r>
      <w:r>
        <w:rPr>
          <w:spacing w:val="-11"/>
        </w:rPr>
        <w:t xml:space="preserve"> </w:t>
      </w:r>
      <w:r>
        <w:t>sus</w:t>
      </w:r>
      <w:r>
        <w:rPr>
          <w:spacing w:val="-11"/>
        </w:rPr>
        <w:t xml:space="preserve"> </w:t>
      </w:r>
      <w:r>
        <w:t>casas,</w:t>
      </w:r>
      <w:r>
        <w:rPr>
          <w:spacing w:val="-11"/>
        </w:rPr>
        <w:t xml:space="preserve"> </w:t>
      </w:r>
      <w:r>
        <w:t>manteniendo el</w:t>
      </w:r>
      <w:r>
        <w:rPr>
          <w:spacing w:val="-10"/>
        </w:rPr>
        <w:t xml:space="preserve"> </w:t>
      </w:r>
      <w:r>
        <w:t>plato</w:t>
      </w:r>
      <w:r>
        <w:rPr>
          <w:spacing w:val="-8"/>
        </w:rPr>
        <w:t xml:space="preserve"> </w:t>
      </w:r>
      <w:r>
        <w:t>y</w:t>
      </w:r>
      <w:r>
        <w:rPr>
          <w:spacing w:val="-9"/>
        </w:rPr>
        <w:t xml:space="preserve"> </w:t>
      </w:r>
      <w:r>
        <w:t>el</w:t>
      </w:r>
      <w:r>
        <w:rPr>
          <w:spacing w:val="-7"/>
        </w:rPr>
        <w:t xml:space="preserve"> </w:t>
      </w:r>
      <w:r>
        <w:t>lugar</w:t>
      </w:r>
      <w:r>
        <w:rPr>
          <w:spacing w:val="-8"/>
        </w:rPr>
        <w:t xml:space="preserve"> </w:t>
      </w:r>
      <w:r>
        <w:t>en</w:t>
      </w:r>
      <w:r>
        <w:rPr>
          <w:spacing w:val="-8"/>
        </w:rPr>
        <w:t xml:space="preserve"> </w:t>
      </w:r>
      <w:r>
        <w:t>la</w:t>
      </w:r>
      <w:r>
        <w:rPr>
          <w:spacing w:val="-8"/>
        </w:rPr>
        <w:t xml:space="preserve"> </w:t>
      </w:r>
      <w:r>
        <w:t>mesa</w:t>
      </w:r>
      <w:r>
        <w:rPr>
          <w:spacing w:val="-8"/>
        </w:rPr>
        <w:t xml:space="preserve"> </w:t>
      </w:r>
      <w:r>
        <w:t>familiar</w:t>
      </w:r>
      <w:r>
        <w:rPr>
          <w:spacing w:val="-8"/>
        </w:rPr>
        <w:t xml:space="preserve"> </w:t>
      </w:r>
      <w:r>
        <w:t>por</w:t>
      </w:r>
      <w:r>
        <w:rPr>
          <w:spacing w:val="-8"/>
        </w:rPr>
        <w:t xml:space="preserve"> </w:t>
      </w:r>
      <w:r>
        <w:t>si</w:t>
      </w:r>
      <w:r>
        <w:rPr>
          <w:spacing w:val="-7"/>
        </w:rPr>
        <w:t xml:space="preserve"> </w:t>
      </w:r>
      <w:r>
        <w:t>el</w:t>
      </w:r>
      <w:r>
        <w:rPr>
          <w:spacing w:val="-8"/>
        </w:rPr>
        <w:t xml:space="preserve"> </w:t>
      </w:r>
      <w:r>
        <w:t>desaparecido</w:t>
      </w:r>
      <w:r>
        <w:rPr>
          <w:spacing w:val="-8"/>
        </w:rPr>
        <w:t xml:space="preserve"> </w:t>
      </w:r>
      <w:r>
        <w:t>un</w:t>
      </w:r>
      <w:r>
        <w:rPr>
          <w:spacing w:val="-10"/>
        </w:rPr>
        <w:t xml:space="preserve"> </w:t>
      </w:r>
      <w:r>
        <w:t>día</w:t>
      </w:r>
      <w:r>
        <w:rPr>
          <w:spacing w:val="-7"/>
        </w:rPr>
        <w:t xml:space="preserve"> </w:t>
      </w:r>
      <w:r>
        <w:t>volvía.</w:t>
      </w:r>
      <w:r>
        <w:rPr>
          <w:spacing w:val="-9"/>
        </w:rPr>
        <w:t xml:space="preserve"> </w:t>
      </w:r>
      <w:r>
        <w:t>Para</w:t>
      </w:r>
      <w:r>
        <w:rPr>
          <w:spacing w:val="-8"/>
        </w:rPr>
        <w:t xml:space="preserve"> </w:t>
      </w:r>
      <w:r>
        <w:t>muchos</w:t>
      </w:r>
      <w:r>
        <w:rPr>
          <w:spacing w:val="-9"/>
        </w:rPr>
        <w:t xml:space="preserve"> </w:t>
      </w:r>
      <w:r>
        <w:rPr>
          <w:spacing w:val="-2"/>
        </w:rPr>
        <w:t>niños</w:t>
      </w:r>
      <w:bookmarkStart w:id="22" w:name="_bookmark15"/>
      <w:bookmarkEnd w:id="22"/>
      <w:r w:rsidR="00016575">
        <w:rPr>
          <w:spacing w:val="-2"/>
        </w:rPr>
        <w:t xml:space="preserve"> </w:t>
      </w:r>
      <w:r>
        <w:t>y niñas que perdieron a sus padres o madres, todo ello ha supuesto enormes dificultades de hablar de lo sucedido, de reivindicar una imagen positiva de su familiar, de disponer del necesario apoyo para rehacer sus vidas.</w:t>
      </w:r>
    </w:p>
    <w:p w:rsidR="003804AC" w:rsidRDefault="00AF18A5" w:rsidP="00016575">
      <w:r>
        <w:t xml:space="preserve">En la escucha realizada por la Comisión de la Verdad a víctimas, responsables y otros sectores, se asoman señales de esperanza que contribuyen a avanzar en el duelo colectivo, a descubrir y comprender nuevas realidades y a reconocer en ellas las humanidades negadas. Esto es posible si los distintos sectores de la sociedad se conmueven y se </w:t>
      </w:r>
      <w:r>
        <w:lastRenderedPageBreak/>
        <w:t>conduelen con lo ocurrido y sus consecuencias, se apropian de esta realidad como parte de su identidad y no desde la distancia emocional que los ha acompañado durante décadas. La centralidad de las víctimas no consiste en darles la razón, sino en afianzar su escucha y reconocer tanto la injusticia</w:t>
      </w:r>
      <w:r>
        <w:rPr>
          <w:spacing w:val="-11"/>
        </w:rPr>
        <w:t xml:space="preserve"> </w:t>
      </w:r>
      <w:r>
        <w:t>de</w:t>
      </w:r>
      <w:r>
        <w:rPr>
          <w:spacing w:val="-11"/>
        </w:rPr>
        <w:t xml:space="preserve"> </w:t>
      </w:r>
      <w:r>
        <w:t>lo</w:t>
      </w:r>
      <w:r>
        <w:rPr>
          <w:spacing w:val="-11"/>
        </w:rPr>
        <w:t xml:space="preserve"> </w:t>
      </w:r>
      <w:r>
        <w:t>vivido,</w:t>
      </w:r>
      <w:r>
        <w:rPr>
          <w:spacing w:val="-11"/>
        </w:rPr>
        <w:t xml:space="preserve"> </w:t>
      </w:r>
      <w:r>
        <w:t>como</w:t>
      </w:r>
      <w:r>
        <w:rPr>
          <w:spacing w:val="-11"/>
        </w:rPr>
        <w:t xml:space="preserve"> </w:t>
      </w:r>
      <w:r>
        <w:t>sus</w:t>
      </w:r>
      <w:r>
        <w:rPr>
          <w:spacing w:val="-11"/>
        </w:rPr>
        <w:t xml:space="preserve"> </w:t>
      </w:r>
      <w:r>
        <w:t>derechos</w:t>
      </w:r>
      <w:r>
        <w:rPr>
          <w:spacing w:val="-11"/>
        </w:rPr>
        <w:t xml:space="preserve"> </w:t>
      </w:r>
      <w:r>
        <w:t>a</w:t>
      </w:r>
      <w:r>
        <w:rPr>
          <w:spacing w:val="-11"/>
        </w:rPr>
        <w:t xml:space="preserve"> </w:t>
      </w:r>
      <w:r>
        <w:t>la</w:t>
      </w:r>
      <w:r>
        <w:rPr>
          <w:spacing w:val="-11"/>
        </w:rPr>
        <w:t xml:space="preserve"> </w:t>
      </w:r>
      <w:r>
        <w:t>verdad,</w:t>
      </w:r>
      <w:r>
        <w:rPr>
          <w:spacing w:val="-11"/>
        </w:rPr>
        <w:t xml:space="preserve"> </w:t>
      </w:r>
      <w:r>
        <w:t>la</w:t>
      </w:r>
      <w:r>
        <w:rPr>
          <w:spacing w:val="-11"/>
        </w:rPr>
        <w:t xml:space="preserve"> </w:t>
      </w:r>
      <w:r>
        <w:t>justicia</w:t>
      </w:r>
      <w:r>
        <w:rPr>
          <w:spacing w:val="-11"/>
        </w:rPr>
        <w:t xml:space="preserve"> </w:t>
      </w:r>
      <w:r>
        <w:t>y</w:t>
      </w:r>
      <w:r>
        <w:rPr>
          <w:spacing w:val="-11"/>
        </w:rPr>
        <w:t xml:space="preserve"> </w:t>
      </w:r>
      <w:r>
        <w:t>la</w:t>
      </w:r>
      <w:r>
        <w:rPr>
          <w:spacing w:val="-11"/>
        </w:rPr>
        <w:t xml:space="preserve"> </w:t>
      </w:r>
      <w:r>
        <w:t>reparación.</w:t>
      </w:r>
      <w:r>
        <w:rPr>
          <w:spacing w:val="-11"/>
        </w:rPr>
        <w:t xml:space="preserve"> </w:t>
      </w:r>
      <w:r>
        <w:t>Una</w:t>
      </w:r>
      <w:r>
        <w:rPr>
          <w:spacing w:val="-11"/>
        </w:rPr>
        <w:t xml:space="preserve"> </w:t>
      </w:r>
      <w:r>
        <w:t>política no solo para las víctimas, sino con ellas.</w:t>
      </w:r>
    </w:p>
    <w:p w:rsidR="0011361F" w:rsidRPr="004C0B7C" w:rsidRDefault="00AF18A5" w:rsidP="004A6EF4">
      <w:pPr>
        <w:pStyle w:val="Ttulo3"/>
        <w:numPr>
          <w:ilvl w:val="2"/>
          <w:numId w:val="16"/>
        </w:numPr>
      </w:pPr>
      <w:bookmarkStart w:id="23" w:name="1.1.3._Humanización_y_formas_de_resisten"/>
      <w:bookmarkStart w:id="24" w:name="_Toc112399524"/>
      <w:bookmarkEnd w:id="23"/>
      <w:r w:rsidRPr="004C0B7C">
        <w:t>Humanización y formas de resistencia</w:t>
      </w:r>
      <w:bookmarkEnd w:id="24"/>
    </w:p>
    <w:p w:rsidR="003804AC" w:rsidRPr="00FD58DF" w:rsidRDefault="00AF18A5" w:rsidP="00FD58DF">
      <w:r w:rsidRPr="00FD58DF">
        <w:t>Paralelo a esta lógica, la resistencia de las víctimas y las historias de su sobrevivencia deben ser el punto de partida, ya que sobre todo ellas saben qué implica el desafío de reconstruirse una y otra vez. Estas reflexiones son compartidas por una víctima de la Unión Patriótica (UP):</w:t>
      </w:r>
    </w:p>
    <w:p w:rsidR="003804AC" w:rsidRDefault="00AF18A5" w:rsidP="00FD58DF">
      <w:r w:rsidRPr="00FD58DF">
        <w:t>«La historia de las personas y de las organizaciones ha sido un permanente proceso de reconstrucción de su vida. Es decir, paralelamente a esa historia de crímenes, violaciones y violencias sufridas, uno encuentra que la vida de la gente ha sido una permanente reconstrucción. Hay organizaciones que tienen hoy nombres distintos, pero que son digamos la reconstrucción de la organización que fue eliminada antes»</w:t>
      </w:r>
      <w:r w:rsidR="00FD58DF">
        <w:rPr>
          <w:rStyle w:val="Refdenotaalpie"/>
        </w:rPr>
        <w:footnoteReference w:id="13"/>
      </w:r>
      <w:r>
        <w:t>.</w:t>
      </w:r>
    </w:p>
    <w:p w:rsidR="003804AC" w:rsidRDefault="00AF18A5" w:rsidP="00FD58DF">
      <w:r>
        <w:t>Esta</w:t>
      </w:r>
      <w:r>
        <w:rPr>
          <w:spacing w:val="-3"/>
        </w:rPr>
        <w:t xml:space="preserve"> </w:t>
      </w:r>
      <w:r>
        <w:t>resistencia</w:t>
      </w:r>
      <w:r>
        <w:rPr>
          <w:spacing w:val="-3"/>
        </w:rPr>
        <w:t xml:space="preserve"> </w:t>
      </w:r>
      <w:r>
        <w:t>se</w:t>
      </w:r>
      <w:r>
        <w:rPr>
          <w:spacing w:val="-4"/>
        </w:rPr>
        <w:t xml:space="preserve"> </w:t>
      </w:r>
      <w:r>
        <w:t>ha</w:t>
      </w:r>
      <w:r>
        <w:rPr>
          <w:spacing w:val="-3"/>
        </w:rPr>
        <w:t xml:space="preserve"> </w:t>
      </w:r>
      <w:r>
        <w:t>dado</w:t>
      </w:r>
      <w:r>
        <w:rPr>
          <w:spacing w:val="-4"/>
        </w:rPr>
        <w:t xml:space="preserve"> </w:t>
      </w:r>
      <w:r>
        <w:t>a</w:t>
      </w:r>
      <w:r>
        <w:rPr>
          <w:spacing w:val="-3"/>
        </w:rPr>
        <w:t xml:space="preserve"> </w:t>
      </w:r>
      <w:r>
        <w:t>partir</w:t>
      </w:r>
      <w:r>
        <w:rPr>
          <w:spacing w:val="-3"/>
        </w:rPr>
        <w:t xml:space="preserve"> </w:t>
      </w:r>
      <w:r>
        <w:t>de</w:t>
      </w:r>
      <w:r>
        <w:rPr>
          <w:spacing w:val="-3"/>
        </w:rPr>
        <w:t xml:space="preserve"> </w:t>
      </w:r>
      <w:r>
        <w:t>la</w:t>
      </w:r>
      <w:r>
        <w:rPr>
          <w:spacing w:val="-3"/>
        </w:rPr>
        <w:t xml:space="preserve"> </w:t>
      </w:r>
      <w:r>
        <w:t>acción</w:t>
      </w:r>
      <w:r>
        <w:rPr>
          <w:spacing w:val="-4"/>
        </w:rPr>
        <w:t xml:space="preserve"> </w:t>
      </w:r>
      <w:r>
        <w:t>política,</w:t>
      </w:r>
      <w:r>
        <w:rPr>
          <w:spacing w:val="-4"/>
        </w:rPr>
        <w:t xml:space="preserve"> </w:t>
      </w:r>
      <w:r>
        <w:t>que</w:t>
      </w:r>
      <w:r>
        <w:rPr>
          <w:spacing w:val="-3"/>
        </w:rPr>
        <w:t xml:space="preserve"> </w:t>
      </w:r>
      <w:r>
        <w:t>se</w:t>
      </w:r>
      <w:r>
        <w:rPr>
          <w:spacing w:val="-3"/>
        </w:rPr>
        <w:t xml:space="preserve"> </w:t>
      </w:r>
      <w:r>
        <w:t>refleja</w:t>
      </w:r>
      <w:r>
        <w:rPr>
          <w:spacing w:val="-3"/>
        </w:rPr>
        <w:t xml:space="preserve"> </w:t>
      </w:r>
      <w:r>
        <w:t>en</w:t>
      </w:r>
      <w:r>
        <w:rPr>
          <w:spacing w:val="-5"/>
        </w:rPr>
        <w:t xml:space="preserve"> </w:t>
      </w:r>
      <w:r>
        <w:t>la</w:t>
      </w:r>
      <w:r>
        <w:rPr>
          <w:spacing w:val="-3"/>
        </w:rPr>
        <w:t xml:space="preserve"> </w:t>
      </w:r>
      <w:r>
        <w:t>exigencia</w:t>
      </w:r>
      <w:r>
        <w:rPr>
          <w:spacing w:val="-5"/>
        </w:rPr>
        <w:t xml:space="preserve"> </w:t>
      </w:r>
      <w:r>
        <w:t>por el</w:t>
      </w:r>
      <w:r>
        <w:rPr>
          <w:spacing w:val="-1"/>
        </w:rPr>
        <w:t xml:space="preserve"> </w:t>
      </w:r>
      <w:r>
        <w:t>respeto a</w:t>
      </w:r>
      <w:r>
        <w:rPr>
          <w:spacing w:val="-1"/>
        </w:rPr>
        <w:t xml:space="preserve"> </w:t>
      </w:r>
      <w:r>
        <w:t>la defensa de</w:t>
      </w:r>
      <w:r>
        <w:rPr>
          <w:spacing w:val="-1"/>
        </w:rPr>
        <w:t xml:space="preserve"> </w:t>
      </w:r>
      <w:r>
        <w:t>los</w:t>
      </w:r>
      <w:r>
        <w:rPr>
          <w:spacing w:val="-1"/>
        </w:rPr>
        <w:t xml:space="preserve"> </w:t>
      </w:r>
      <w:r>
        <w:t>derechos humanos.</w:t>
      </w:r>
      <w:r>
        <w:rPr>
          <w:spacing w:val="-3"/>
        </w:rPr>
        <w:t xml:space="preserve"> </w:t>
      </w:r>
      <w:r>
        <w:t>Este proceso</w:t>
      </w:r>
      <w:r>
        <w:rPr>
          <w:spacing w:val="-1"/>
        </w:rPr>
        <w:t xml:space="preserve"> </w:t>
      </w:r>
      <w:r>
        <w:t>ha sido</w:t>
      </w:r>
      <w:r>
        <w:rPr>
          <w:spacing w:val="-1"/>
        </w:rPr>
        <w:t xml:space="preserve"> </w:t>
      </w:r>
      <w:r>
        <w:t>fundamental para que las</w:t>
      </w:r>
      <w:r>
        <w:rPr>
          <w:spacing w:val="10"/>
        </w:rPr>
        <w:t xml:space="preserve"> </w:t>
      </w:r>
      <w:r>
        <w:t>personas</w:t>
      </w:r>
      <w:r>
        <w:rPr>
          <w:spacing w:val="8"/>
        </w:rPr>
        <w:t xml:space="preserve"> </w:t>
      </w:r>
      <w:r>
        <w:t>se</w:t>
      </w:r>
      <w:r>
        <w:rPr>
          <w:spacing w:val="9"/>
        </w:rPr>
        <w:t xml:space="preserve"> </w:t>
      </w:r>
      <w:r>
        <w:t>hagan</w:t>
      </w:r>
      <w:r>
        <w:rPr>
          <w:spacing w:val="8"/>
        </w:rPr>
        <w:t xml:space="preserve"> </w:t>
      </w:r>
      <w:r>
        <w:t>conscientes</w:t>
      </w:r>
      <w:r>
        <w:rPr>
          <w:spacing w:val="10"/>
        </w:rPr>
        <w:t xml:space="preserve"> </w:t>
      </w:r>
      <w:r>
        <w:t>de</w:t>
      </w:r>
      <w:r>
        <w:rPr>
          <w:spacing w:val="8"/>
        </w:rPr>
        <w:t xml:space="preserve"> </w:t>
      </w:r>
      <w:r>
        <w:t>que,</w:t>
      </w:r>
      <w:r>
        <w:rPr>
          <w:spacing w:val="9"/>
        </w:rPr>
        <w:t xml:space="preserve"> </w:t>
      </w:r>
      <w:r>
        <w:t>si</w:t>
      </w:r>
      <w:r>
        <w:rPr>
          <w:spacing w:val="9"/>
        </w:rPr>
        <w:t xml:space="preserve"> </w:t>
      </w:r>
      <w:r>
        <w:t>bien</w:t>
      </w:r>
      <w:r>
        <w:rPr>
          <w:spacing w:val="9"/>
        </w:rPr>
        <w:t xml:space="preserve"> </w:t>
      </w:r>
      <w:r>
        <w:t>la</w:t>
      </w:r>
      <w:r>
        <w:rPr>
          <w:spacing w:val="10"/>
        </w:rPr>
        <w:t xml:space="preserve"> </w:t>
      </w:r>
      <w:r>
        <w:t>violencia</w:t>
      </w:r>
      <w:r>
        <w:rPr>
          <w:spacing w:val="8"/>
        </w:rPr>
        <w:t xml:space="preserve"> </w:t>
      </w:r>
      <w:r>
        <w:t>las</w:t>
      </w:r>
      <w:r>
        <w:rPr>
          <w:spacing w:val="8"/>
        </w:rPr>
        <w:t xml:space="preserve"> </w:t>
      </w:r>
      <w:r>
        <w:t>trató</w:t>
      </w:r>
      <w:r>
        <w:rPr>
          <w:spacing w:val="9"/>
        </w:rPr>
        <w:t xml:space="preserve"> </w:t>
      </w:r>
      <w:r>
        <w:t>con</w:t>
      </w:r>
      <w:r>
        <w:rPr>
          <w:spacing w:val="9"/>
        </w:rPr>
        <w:t xml:space="preserve"> </w:t>
      </w:r>
      <w:r>
        <w:t>desprecio</w:t>
      </w:r>
      <w:r>
        <w:rPr>
          <w:spacing w:val="8"/>
        </w:rPr>
        <w:t xml:space="preserve"> </w:t>
      </w:r>
      <w:r>
        <w:t>por</w:t>
      </w:r>
      <w:r>
        <w:rPr>
          <w:spacing w:val="10"/>
        </w:rPr>
        <w:t xml:space="preserve"> </w:t>
      </w:r>
      <w:r>
        <w:rPr>
          <w:spacing w:val="-5"/>
        </w:rPr>
        <w:t>la</w:t>
      </w:r>
      <w:bookmarkStart w:id="25" w:name="_bookmark16"/>
      <w:bookmarkEnd w:id="25"/>
      <w:r w:rsidR="00FD58DF">
        <w:t xml:space="preserve"> </w:t>
      </w:r>
      <w:r>
        <w:t xml:space="preserve">vida, son sujetos de derechos, y esto ha llevado a reivindicar una imagen positiva de sí mismas y una autoestima que revaloriza su identidad. También ha fortalecido los procesos grupales de buscar </w:t>
      </w:r>
      <w:r>
        <w:lastRenderedPageBreak/>
        <w:t>explicaciones que van más allá de lo inmediato, para comprender sus experiencias y el contexto que originó su situación, y muchas veces las ha llevado a organizarse con otras personas que han vivido situaciones similares. Estos pasos han significado ir del sufrimiento a la reivindicación, para mitigar el dolor. Han posibilitado la creación</w:t>
      </w:r>
      <w:r>
        <w:rPr>
          <w:spacing w:val="-2"/>
        </w:rPr>
        <w:t xml:space="preserve"> </w:t>
      </w:r>
      <w:r>
        <w:t>de</w:t>
      </w:r>
      <w:r>
        <w:rPr>
          <w:spacing w:val="-4"/>
        </w:rPr>
        <w:t xml:space="preserve"> </w:t>
      </w:r>
      <w:r>
        <w:t>vínculos</w:t>
      </w:r>
      <w:r>
        <w:rPr>
          <w:spacing w:val="-3"/>
        </w:rPr>
        <w:t xml:space="preserve"> </w:t>
      </w:r>
      <w:r>
        <w:t>para</w:t>
      </w:r>
      <w:r>
        <w:rPr>
          <w:spacing w:val="-2"/>
        </w:rPr>
        <w:t xml:space="preserve"> </w:t>
      </w:r>
      <w:r>
        <w:t>reforzar</w:t>
      </w:r>
      <w:r>
        <w:rPr>
          <w:spacing w:val="-3"/>
        </w:rPr>
        <w:t xml:space="preserve"> </w:t>
      </w:r>
      <w:r>
        <w:t>la</w:t>
      </w:r>
      <w:r>
        <w:rPr>
          <w:spacing w:val="-3"/>
        </w:rPr>
        <w:t xml:space="preserve"> </w:t>
      </w:r>
      <w:r>
        <w:t>identificación</w:t>
      </w:r>
      <w:r>
        <w:rPr>
          <w:spacing w:val="-2"/>
        </w:rPr>
        <w:t xml:space="preserve"> </w:t>
      </w:r>
      <w:r>
        <w:t>mutua</w:t>
      </w:r>
      <w:r>
        <w:rPr>
          <w:spacing w:val="-3"/>
        </w:rPr>
        <w:t xml:space="preserve"> </w:t>
      </w:r>
      <w:r>
        <w:t>como</w:t>
      </w:r>
      <w:r>
        <w:rPr>
          <w:spacing w:val="-2"/>
        </w:rPr>
        <w:t xml:space="preserve"> </w:t>
      </w:r>
      <w:r>
        <w:t>una</w:t>
      </w:r>
      <w:r>
        <w:rPr>
          <w:spacing w:val="-3"/>
        </w:rPr>
        <w:t xml:space="preserve"> </w:t>
      </w:r>
      <w:r>
        <w:t>energía</w:t>
      </w:r>
      <w:r>
        <w:rPr>
          <w:spacing w:val="-2"/>
        </w:rPr>
        <w:t xml:space="preserve"> </w:t>
      </w:r>
      <w:r>
        <w:t>transformadora («lo que te pasó a ti, también me pasó a mi») y superar las frecuentes ideas negativas o estereotipos sobre las víctimas que se imponen socialmente. En el encuentro con otras víctimas</w:t>
      </w:r>
      <w:r>
        <w:rPr>
          <w:spacing w:val="-3"/>
        </w:rPr>
        <w:t xml:space="preserve"> </w:t>
      </w:r>
      <w:r>
        <w:t>las</w:t>
      </w:r>
      <w:r>
        <w:rPr>
          <w:spacing w:val="-4"/>
        </w:rPr>
        <w:t xml:space="preserve"> </w:t>
      </w:r>
      <w:r>
        <w:t>personas</w:t>
      </w:r>
      <w:r>
        <w:rPr>
          <w:spacing w:val="-2"/>
        </w:rPr>
        <w:t xml:space="preserve"> </w:t>
      </w:r>
      <w:r>
        <w:t>han</w:t>
      </w:r>
      <w:r>
        <w:rPr>
          <w:spacing w:val="-2"/>
        </w:rPr>
        <w:t xml:space="preserve"> </w:t>
      </w:r>
      <w:r>
        <w:t>podido</w:t>
      </w:r>
      <w:r>
        <w:rPr>
          <w:spacing w:val="-2"/>
        </w:rPr>
        <w:t xml:space="preserve"> </w:t>
      </w:r>
      <w:r>
        <w:t>luchar</w:t>
      </w:r>
      <w:r>
        <w:rPr>
          <w:spacing w:val="-2"/>
        </w:rPr>
        <w:t xml:space="preserve"> </w:t>
      </w:r>
      <w:r>
        <w:t>contra</w:t>
      </w:r>
      <w:r>
        <w:rPr>
          <w:spacing w:val="-2"/>
        </w:rPr>
        <w:t xml:space="preserve"> </w:t>
      </w:r>
      <w:r>
        <w:t>el</w:t>
      </w:r>
      <w:r>
        <w:rPr>
          <w:spacing w:val="-3"/>
        </w:rPr>
        <w:t xml:space="preserve"> </w:t>
      </w:r>
      <w:r>
        <w:t>aislamiento</w:t>
      </w:r>
      <w:r>
        <w:rPr>
          <w:spacing w:val="-3"/>
        </w:rPr>
        <w:t xml:space="preserve"> </w:t>
      </w:r>
      <w:r>
        <w:t>y</w:t>
      </w:r>
      <w:r>
        <w:rPr>
          <w:spacing w:val="-2"/>
        </w:rPr>
        <w:t xml:space="preserve"> </w:t>
      </w:r>
      <w:r>
        <w:t>los</w:t>
      </w:r>
      <w:r>
        <w:rPr>
          <w:spacing w:val="-2"/>
        </w:rPr>
        <w:t xml:space="preserve"> </w:t>
      </w:r>
      <w:r>
        <w:t>sentimientos</w:t>
      </w:r>
      <w:r>
        <w:rPr>
          <w:spacing w:val="-2"/>
        </w:rPr>
        <w:t xml:space="preserve"> </w:t>
      </w:r>
      <w:r>
        <w:t>de</w:t>
      </w:r>
      <w:r>
        <w:rPr>
          <w:spacing w:val="-2"/>
        </w:rPr>
        <w:t xml:space="preserve"> </w:t>
      </w:r>
      <w:r>
        <w:t>soledad, compartir</w:t>
      </w:r>
      <w:r>
        <w:rPr>
          <w:spacing w:val="-9"/>
        </w:rPr>
        <w:t xml:space="preserve"> </w:t>
      </w:r>
      <w:r>
        <w:t>experiencias</w:t>
      </w:r>
      <w:r>
        <w:rPr>
          <w:spacing w:val="-9"/>
        </w:rPr>
        <w:t xml:space="preserve"> </w:t>
      </w:r>
      <w:r>
        <w:t>y</w:t>
      </w:r>
      <w:r>
        <w:rPr>
          <w:spacing w:val="-11"/>
        </w:rPr>
        <w:t xml:space="preserve"> </w:t>
      </w:r>
      <w:r>
        <w:t>romper</w:t>
      </w:r>
      <w:r>
        <w:rPr>
          <w:spacing w:val="-10"/>
        </w:rPr>
        <w:t xml:space="preserve"> </w:t>
      </w:r>
      <w:r>
        <w:t>el</w:t>
      </w:r>
      <w:r>
        <w:rPr>
          <w:spacing w:val="-9"/>
        </w:rPr>
        <w:t xml:space="preserve"> </w:t>
      </w:r>
      <w:r>
        <w:t>silencio,</w:t>
      </w:r>
      <w:r>
        <w:rPr>
          <w:spacing w:val="-9"/>
        </w:rPr>
        <w:t xml:space="preserve"> </w:t>
      </w:r>
      <w:r>
        <w:t>al</w:t>
      </w:r>
      <w:r>
        <w:rPr>
          <w:spacing w:val="-9"/>
        </w:rPr>
        <w:t xml:space="preserve"> </w:t>
      </w:r>
      <w:r>
        <w:t>igual</w:t>
      </w:r>
      <w:r>
        <w:rPr>
          <w:spacing w:val="-9"/>
        </w:rPr>
        <w:t xml:space="preserve"> </w:t>
      </w:r>
      <w:r>
        <w:t>que</w:t>
      </w:r>
      <w:r>
        <w:rPr>
          <w:spacing w:val="-9"/>
        </w:rPr>
        <w:t xml:space="preserve"> </w:t>
      </w:r>
      <w:r>
        <w:t>comprender</w:t>
      </w:r>
      <w:r>
        <w:rPr>
          <w:spacing w:val="-10"/>
        </w:rPr>
        <w:t xml:space="preserve"> </w:t>
      </w:r>
      <w:r>
        <w:t>los</w:t>
      </w:r>
      <w:r>
        <w:rPr>
          <w:spacing w:val="-9"/>
        </w:rPr>
        <w:t xml:space="preserve"> </w:t>
      </w:r>
      <w:r>
        <w:t>diferentes</w:t>
      </w:r>
      <w:r>
        <w:rPr>
          <w:spacing w:val="-10"/>
        </w:rPr>
        <w:t xml:space="preserve"> </w:t>
      </w:r>
      <w:r>
        <w:t>ritmos</w:t>
      </w:r>
      <w:r>
        <w:rPr>
          <w:spacing w:val="-9"/>
        </w:rPr>
        <w:t xml:space="preserve"> </w:t>
      </w:r>
      <w:r>
        <w:t xml:space="preserve">de cada persona para elaborar lo sucedido, lo cual representa desafíos para los procesos </w:t>
      </w:r>
      <w:r>
        <w:rPr>
          <w:spacing w:val="-2"/>
        </w:rPr>
        <w:t>colectivos.</w:t>
      </w:r>
    </w:p>
    <w:p w:rsidR="003804AC" w:rsidRDefault="00AF18A5" w:rsidP="00FD58DF">
      <w:r>
        <w:t>Asumir un rol social o político ha sido una forma de responsabilidad ética que logra que cada</w:t>
      </w:r>
      <w:r>
        <w:rPr>
          <w:spacing w:val="-6"/>
        </w:rPr>
        <w:t xml:space="preserve"> </w:t>
      </w:r>
      <w:r>
        <w:t>acción</w:t>
      </w:r>
      <w:r>
        <w:rPr>
          <w:spacing w:val="-8"/>
        </w:rPr>
        <w:t xml:space="preserve"> </w:t>
      </w:r>
      <w:r>
        <w:t>desarrollada</w:t>
      </w:r>
      <w:r>
        <w:rPr>
          <w:spacing w:val="-7"/>
        </w:rPr>
        <w:t xml:space="preserve"> </w:t>
      </w:r>
      <w:r>
        <w:t>se</w:t>
      </w:r>
      <w:r>
        <w:rPr>
          <w:spacing w:val="-6"/>
        </w:rPr>
        <w:t xml:space="preserve"> </w:t>
      </w:r>
      <w:r>
        <w:t>dirija</w:t>
      </w:r>
      <w:r>
        <w:rPr>
          <w:spacing w:val="-7"/>
        </w:rPr>
        <w:t xml:space="preserve"> </w:t>
      </w:r>
      <w:r>
        <w:t>a</w:t>
      </w:r>
      <w:r>
        <w:rPr>
          <w:spacing w:val="-7"/>
        </w:rPr>
        <w:t xml:space="preserve"> </w:t>
      </w:r>
      <w:r>
        <w:t>la</w:t>
      </w:r>
      <w:r>
        <w:rPr>
          <w:spacing w:val="-7"/>
        </w:rPr>
        <w:t xml:space="preserve"> </w:t>
      </w:r>
      <w:r>
        <w:t>defensa</w:t>
      </w:r>
      <w:r>
        <w:rPr>
          <w:spacing w:val="-6"/>
        </w:rPr>
        <w:t xml:space="preserve"> </w:t>
      </w:r>
      <w:r>
        <w:t>de</w:t>
      </w:r>
      <w:r>
        <w:rPr>
          <w:spacing w:val="-7"/>
        </w:rPr>
        <w:t xml:space="preserve"> </w:t>
      </w:r>
      <w:r>
        <w:t>la</w:t>
      </w:r>
      <w:r>
        <w:rPr>
          <w:spacing w:val="-6"/>
        </w:rPr>
        <w:t xml:space="preserve"> </w:t>
      </w:r>
      <w:r>
        <w:t>vida,</w:t>
      </w:r>
      <w:r>
        <w:rPr>
          <w:spacing w:val="-7"/>
        </w:rPr>
        <w:t xml:space="preserve"> </w:t>
      </w:r>
      <w:r>
        <w:t>la</w:t>
      </w:r>
      <w:r>
        <w:rPr>
          <w:spacing w:val="-7"/>
        </w:rPr>
        <w:t xml:space="preserve"> </w:t>
      </w:r>
      <w:r>
        <w:t>de</w:t>
      </w:r>
      <w:r>
        <w:rPr>
          <w:spacing w:val="-7"/>
        </w:rPr>
        <w:t xml:space="preserve"> </w:t>
      </w:r>
      <w:r>
        <w:t>sus</w:t>
      </w:r>
      <w:r>
        <w:rPr>
          <w:spacing w:val="-6"/>
        </w:rPr>
        <w:t xml:space="preserve"> </w:t>
      </w:r>
      <w:r>
        <w:t>familiares</w:t>
      </w:r>
      <w:r>
        <w:rPr>
          <w:spacing w:val="-6"/>
        </w:rPr>
        <w:t xml:space="preserve"> </w:t>
      </w:r>
      <w:r>
        <w:t>y</w:t>
      </w:r>
      <w:r>
        <w:rPr>
          <w:spacing w:val="-6"/>
        </w:rPr>
        <w:t xml:space="preserve"> </w:t>
      </w:r>
      <w:r>
        <w:t>comunidades. En los numerosos encuentros y testimonios recogidos, la Comisión ha sido testigo de estos aportes</w:t>
      </w:r>
      <w:r>
        <w:rPr>
          <w:spacing w:val="-15"/>
        </w:rPr>
        <w:t xml:space="preserve"> </w:t>
      </w:r>
      <w:r>
        <w:t>a</w:t>
      </w:r>
      <w:r>
        <w:rPr>
          <w:spacing w:val="-15"/>
        </w:rPr>
        <w:t xml:space="preserve"> </w:t>
      </w:r>
      <w:r>
        <w:t>la</w:t>
      </w:r>
      <w:r>
        <w:rPr>
          <w:spacing w:val="-15"/>
        </w:rPr>
        <w:t xml:space="preserve"> </w:t>
      </w:r>
      <w:r>
        <w:t>rehumanización</w:t>
      </w:r>
      <w:r>
        <w:rPr>
          <w:spacing w:val="-15"/>
        </w:rPr>
        <w:t xml:space="preserve"> </w:t>
      </w:r>
      <w:r>
        <w:t>de</w:t>
      </w:r>
      <w:r>
        <w:rPr>
          <w:spacing w:val="-15"/>
        </w:rPr>
        <w:t xml:space="preserve"> </w:t>
      </w:r>
      <w:r>
        <w:t>la</w:t>
      </w:r>
      <w:r>
        <w:rPr>
          <w:spacing w:val="-15"/>
        </w:rPr>
        <w:t xml:space="preserve"> </w:t>
      </w:r>
      <w:r>
        <w:t>vida.</w:t>
      </w:r>
      <w:r>
        <w:rPr>
          <w:spacing w:val="-15"/>
        </w:rPr>
        <w:t xml:space="preserve"> </w:t>
      </w:r>
      <w:r>
        <w:t>Pero</w:t>
      </w:r>
      <w:r>
        <w:rPr>
          <w:spacing w:val="-14"/>
        </w:rPr>
        <w:t xml:space="preserve"> </w:t>
      </w:r>
      <w:r>
        <w:t>también</w:t>
      </w:r>
      <w:r>
        <w:rPr>
          <w:spacing w:val="-15"/>
        </w:rPr>
        <w:t xml:space="preserve"> </w:t>
      </w:r>
      <w:r>
        <w:t>supone</w:t>
      </w:r>
      <w:r>
        <w:rPr>
          <w:spacing w:val="-15"/>
        </w:rPr>
        <w:t xml:space="preserve"> </w:t>
      </w:r>
      <w:r>
        <w:t>asumir</w:t>
      </w:r>
      <w:r>
        <w:rPr>
          <w:spacing w:val="-15"/>
        </w:rPr>
        <w:t xml:space="preserve"> </w:t>
      </w:r>
      <w:r>
        <w:t>el</w:t>
      </w:r>
      <w:r>
        <w:rPr>
          <w:spacing w:val="-15"/>
        </w:rPr>
        <w:t xml:space="preserve"> </w:t>
      </w:r>
      <w:r>
        <w:t>riesgo</w:t>
      </w:r>
      <w:r>
        <w:rPr>
          <w:spacing w:val="-14"/>
        </w:rPr>
        <w:t xml:space="preserve"> </w:t>
      </w:r>
      <w:r>
        <w:t>de</w:t>
      </w:r>
      <w:r>
        <w:rPr>
          <w:spacing w:val="-15"/>
        </w:rPr>
        <w:t xml:space="preserve"> </w:t>
      </w:r>
      <w:r>
        <w:t>ser</w:t>
      </w:r>
      <w:r>
        <w:rPr>
          <w:spacing w:val="-14"/>
        </w:rPr>
        <w:t xml:space="preserve"> </w:t>
      </w:r>
      <w:r>
        <w:t>señalados o estigmatizados como colectivos, tener el valor de enfrentar sus propios miedos a las represalias o consecuencias propias de un contexto atravesado por la violencia armada que puede</w:t>
      </w:r>
      <w:r>
        <w:rPr>
          <w:spacing w:val="-14"/>
        </w:rPr>
        <w:t xml:space="preserve"> </w:t>
      </w:r>
      <w:r>
        <w:t>dirigirse</w:t>
      </w:r>
      <w:r>
        <w:rPr>
          <w:spacing w:val="-14"/>
        </w:rPr>
        <w:t xml:space="preserve"> </w:t>
      </w:r>
      <w:r>
        <w:t>contra</w:t>
      </w:r>
      <w:r>
        <w:rPr>
          <w:spacing w:val="-14"/>
        </w:rPr>
        <w:t xml:space="preserve"> </w:t>
      </w:r>
      <w:r>
        <w:t>quienes</w:t>
      </w:r>
      <w:r>
        <w:rPr>
          <w:spacing w:val="-14"/>
        </w:rPr>
        <w:t xml:space="preserve"> </w:t>
      </w:r>
      <w:r>
        <w:t>se</w:t>
      </w:r>
      <w:r>
        <w:rPr>
          <w:spacing w:val="-15"/>
        </w:rPr>
        <w:t xml:space="preserve"> </w:t>
      </w:r>
      <w:r>
        <w:t>atreven</w:t>
      </w:r>
      <w:r>
        <w:rPr>
          <w:spacing w:val="-14"/>
        </w:rPr>
        <w:t xml:space="preserve"> </w:t>
      </w:r>
      <w:r>
        <w:t>a</w:t>
      </w:r>
      <w:r>
        <w:rPr>
          <w:spacing w:val="-15"/>
        </w:rPr>
        <w:t xml:space="preserve"> </w:t>
      </w:r>
      <w:r>
        <w:t>transgredir</w:t>
      </w:r>
      <w:r>
        <w:rPr>
          <w:spacing w:val="-15"/>
        </w:rPr>
        <w:t xml:space="preserve"> </w:t>
      </w:r>
      <w:r>
        <w:t>los</w:t>
      </w:r>
      <w:r>
        <w:rPr>
          <w:spacing w:val="-14"/>
        </w:rPr>
        <w:t xml:space="preserve"> </w:t>
      </w:r>
      <w:r>
        <w:t>códigos</w:t>
      </w:r>
      <w:r>
        <w:rPr>
          <w:spacing w:val="-14"/>
        </w:rPr>
        <w:t xml:space="preserve"> </w:t>
      </w:r>
      <w:r>
        <w:t>del</w:t>
      </w:r>
      <w:r>
        <w:rPr>
          <w:spacing w:val="-15"/>
        </w:rPr>
        <w:t xml:space="preserve"> </w:t>
      </w:r>
      <w:r>
        <w:t>silencio,</w:t>
      </w:r>
      <w:r>
        <w:rPr>
          <w:spacing w:val="-14"/>
        </w:rPr>
        <w:t xml:space="preserve"> </w:t>
      </w:r>
      <w:r>
        <w:t>la</w:t>
      </w:r>
      <w:r>
        <w:rPr>
          <w:spacing w:val="-15"/>
        </w:rPr>
        <w:t xml:space="preserve"> </w:t>
      </w:r>
      <w:r>
        <w:t xml:space="preserve">indiferencia y el </w:t>
      </w:r>
      <w:r>
        <w:rPr>
          <w:i/>
        </w:rPr>
        <w:t xml:space="preserve">sálvense quien pueda </w:t>
      </w:r>
      <w:r>
        <w:t>que se han impuesto en estos escenarios, porque para los perpetradores</w:t>
      </w:r>
      <w:r>
        <w:rPr>
          <w:spacing w:val="-2"/>
        </w:rPr>
        <w:t xml:space="preserve"> </w:t>
      </w:r>
      <w:r>
        <w:t>impunes</w:t>
      </w:r>
      <w:r>
        <w:rPr>
          <w:spacing w:val="-2"/>
        </w:rPr>
        <w:t xml:space="preserve"> </w:t>
      </w:r>
      <w:r>
        <w:t>estas</w:t>
      </w:r>
      <w:r>
        <w:rPr>
          <w:spacing w:val="-2"/>
        </w:rPr>
        <w:t xml:space="preserve"> </w:t>
      </w:r>
      <w:r>
        <w:t>víctimas</w:t>
      </w:r>
      <w:r>
        <w:rPr>
          <w:spacing w:val="-2"/>
        </w:rPr>
        <w:t xml:space="preserve"> </w:t>
      </w:r>
      <w:r>
        <w:t>son</w:t>
      </w:r>
      <w:r>
        <w:rPr>
          <w:spacing w:val="-2"/>
        </w:rPr>
        <w:t xml:space="preserve"> </w:t>
      </w:r>
      <w:r>
        <w:t>una</w:t>
      </w:r>
      <w:r>
        <w:rPr>
          <w:spacing w:val="-2"/>
        </w:rPr>
        <w:t xml:space="preserve"> </w:t>
      </w:r>
      <w:r>
        <w:t>amenaza</w:t>
      </w:r>
      <w:r>
        <w:rPr>
          <w:spacing w:val="-2"/>
        </w:rPr>
        <w:t xml:space="preserve"> </w:t>
      </w:r>
      <w:r>
        <w:t>que</w:t>
      </w:r>
      <w:r>
        <w:rPr>
          <w:spacing w:val="-2"/>
        </w:rPr>
        <w:t xml:space="preserve"> </w:t>
      </w:r>
      <w:r>
        <w:t>hay</w:t>
      </w:r>
      <w:r>
        <w:rPr>
          <w:spacing w:val="-2"/>
        </w:rPr>
        <w:t xml:space="preserve"> </w:t>
      </w:r>
      <w:r>
        <w:t>que</w:t>
      </w:r>
      <w:r>
        <w:rPr>
          <w:spacing w:val="-2"/>
        </w:rPr>
        <w:t xml:space="preserve"> </w:t>
      </w:r>
      <w:r>
        <w:t>eliminar,</w:t>
      </w:r>
      <w:r>
        <w:rPr>
          <w:spacing w:val="-2"/>
        </w:rPr>
        <w:t xml:space="preserve"> </w:t>
      </w:r>
      <w:r>
        <w:t>y</w:t>
      </w:r>
      <w:r>
        <w:rPr>
          <w:spacing w:val="-2"/>
        </w:rPr>
        <w:t xml:space="preserve"> </w:t>
      </w:r>
      <w:r>
        <w:t>para</w:t>
      </w:r>
      <w:r>
        <w:rPr>
          <w:spacing w:val="-2"/>
        </w:rPr>
        <w:t xml:space="preserve"> </w:t>
      </w:r>
      <w:r>
        <w:t>el</w:t>
      </w:r>
      <w:r>
        <w:rPr>
          <w:spacing w:val="-2"/>
        </w:rPr>
        <w:t xml:space="preserve"> </w:t>
      </w:r>
      <w:r>
        <w:t>resto de la sociedad, muchas veces, algo de lo que se quiere evitar hablar o ver.</w:t>
      </w:r>
    </w:p>
    <w:p w:rsidR="003804AC" w:rsidRDefault="00AF18A5" w:rsidP="00FD58DF">
      <w:r>
        <w:t>Las víctimas y los sobrevivientes en Colombia son un claro ejemplo para la sociedad de que</w:t>
      </w:r>
      <w:r>
        <w:rPr>
          <w:spacing w:val="-4"/>
        </w:rPr>
        <w:t xml:space="preserve"> </w:t>
      </w:r>
      <w:r>
        <w:t>la</w:t>
      </w:r>
      <w:r>
        <w:rPr>
          <w:spacing w:val="-5"/>
        </w:rPr>
        <w:t xml:space="preserve"> </w:t>
      </w:r>
      <w:r>
        <w:t>resistencia</w:t>
      </w:r>
      <w:r>
        <w:rPr>
          <w:spacing w:val="-4"/>
        </w:rPr>
        <w:t xml:space="preserve"> </w:t>
      </w:r>
      <w:r>
        <w:t>persiste.</w:t>
      </w:r>
      <w:r>
        <w:rPr>
          <w:spacing w:val="-4"/>
        </w:rPr>
        <w:t xml:space="preserve"> </w:t>
      </w:r>
      <w:r>
        <w:t>Sus</w:t>
      </w:r>
      <w:r>
        <w:rPr>
          <w:spacing w:val="-4"/>
        </w:rPr>
        <w:t xml:space="preserve"> </w:t>
      </w:r>
      <w:r>
        <w:t>testimonios</w:t>
      </w:r>
      <w:r>
        <w:rPr>
          <w:spacing w:val="-4"/>
        </w:rPr>
        <w:t xml:space="preserve"> </w:t>
      </w:r>
      <w:r>
        <w:t>son</w:t>
      </w:r>
      <w:r>
        <w:rPr>
          <w:spacing w:val="-5"/>
        </w:rPr>
        <w:t xml:space="preserve"> </w:t>
      </w:r>
      <w:r>
        <w:t>lecciones</w:t>
      </w:r>
      <w:r>
        <w:rPr>
          <w:spacing w:val="-5"/>
        </w:rPr>
        <w:t xml:space="preserve"> </w:t>
      </w:r>
      <w:r>
        <w:lastRenderedPageBreak/>
        <w:t>morales</w:t>
      </w:r>
      <w:r>
        <w:rPr>
          <w:spacing w:val="-4"/>
        </w:rPr>
        <w:t xml:space="preserve"> </w:t>
      </w:r>
      <w:r>
        <w:t>sobre</w:t>
      </w:r>
      <w:r>
        <w:rPr>
          <w:spacing w:val="-5"/>
        </w:rPr>
        <w:t xml:space="preserve"> </w:t>
      </w:r>
      <w:r>
        <w:t>la</w:t>
      </w:r>
      <w:r>
        <w:rPr>
          <w:spacing w:val="-5"/>
        </w:rPr>
        <w:t xml:space="preserve"> </w:t>
      </w:r>
      <w:r>
        <w:t>exigencia</w:t>
      </w:r>
      <w:r>
        <w:rPr>
          <w:spacing w:val="-4"/>
        </w:rPr>
        <w:t xml:space="preserve"> </w:t>
      </w:r>
      <w:r>
        <w:t>de</w:t>
      </w:r>
      <w:r>
        <w:rPr>
          <w:spacing w:val="-4"/>
        </w:rPr>
        <w:t xml:space="preserve"> </w:t>
      </w:r>
      <w:r>
        <w:t>la</w:t>
      </w:r>
      <w:r>
        <w:rPr>
          <w:spacing w:val="-4"/>
        </w:rPr>
        <w:t xml:space="preserve"> </w:t>
      </w:r>
      <w:r>
        <w:t>no repetición. Rodear a los líderes sociales y reconocer el valor de su labor son claves para la reconstrucción del tejido debilitado que tenemos como país.</w:t>
      </w:r>
    </w:p>
    <w:p w:rsidR="003804AC" w:rsidRDefault="00AF18A5" w:rsidP="00FD58DF">
      <w:r>
        <w:t>«Estoy ahí en esa lucha, luchando por los derechos de las mujeres, pero también a la vez con</w:t>
      </w:r>
      <w:r>
        <w:rPr>
          <w:spacing w:val="6"/>
        </w:rPr>
        <w:t xml:space="preserve"> </w:t>
      </w:r>
      <w:r>
        <w:t>otras</w:t>
      </w:r>
      <w:r>
        <w:rPr>
          <w:spacing w:val="7"/>
        </w:rPr>
        <w:t xml:space="preserve"> </w:t>
      </w:r>
      <w:r>
        <w:t>mujeres</w:t>
      </w:r>
      <w:r>
        <w:rPr>
          <w:spacing w:val="8"/>
        </w:rPr>
        <w:t xml:space="preserve"> </w:t>
      </w:r>
      <w:r>
        <w:t>de</w:t>
      </w:r>
      <w:r>
        <w:rPr>
          <w:spacing w:val="8"/>
        </w:rPr>
        <w:t xml:space="preserve"> </w:t>
      </w:r>
      <w:r>
        <w:t>otros</w:t>
      </w:r>
      <w:r>
        <w:rPr>
          <w:spacing w:val="8"/>
        </w:rPr>
        <w:t xml:space="preserve"> </w:t>
      </w:r>
      <w:r>
        <w:t>movimientos</w:t>
      </w:r>
      <w:r>
        <w:rPr>
          <w:spacing w:val="9"/>
        </w:rPr>
        <w:t xml:space="preserve"> </w:t>
      </w:r>
      <w:r>
        <w:t>que,</w:t>
      </w:r>
      <w:r>
        <w:rPr>
          <w:spacing w:val="8"/>
        </w:rPr>
        <w:t xml:space="preserve"> </w:t>
      </w:r>
      <w:r>
        <w:t>en</w:t>
      </w:r>
      <w:r>
        <w:rPr>
          <w:spacing w:val="7"/>
        </w:rPr>
        <w:t xml:space="preserve"> </w:t>
      </w:r>
      <w:r>
        <w:t>el</w:t>
      </w:r>
      <w:r>
        <w:rPr>
          <w:spacing w:val="9"/>
        </w:rPr>
        <w:t xml:space="preserve"> </w:t>
      </w:r>
      <w:r>
        <w:t>Parque</w:t>
      </w:r>
      <w:r>
        <w:rPr>
          <w:spacing w:val="8"/>
        </w:rPr>
        <w:t xml:space="preserve"> </w:t>
      </w:r>
      <w:r>
        <w:t>de</w:t>
      </w:r>
      <w:r>
        <w:rPr>
          <w:spacing w:val="9"/>
        </w:rPr>
        <w:t xml:space="preserve"> </w:t>
      </w:r>
      <w:r>
        <w:t>Berrío,</w:t>
      </w:r>
      <w:r>
        <w:rPr>
          <w:spacing w:val="7"/>
        </w:rPr>
        <w:t xml:space="preserve"> </w:t>
      </w:r>
      <w:r>
        <w:t>a</w:t>
      </w:r>
      <w:r>
        <w:rPr>
          <w:spacing w:val="8"/>
        </w:rPr>
        <w:t xml:space="preserve"> </w:t>
      </w:r>
      <w:r>
        <w:t>fin</w:t>
      </w:r>
      <w:r>
        <w:rPr>
          <w:spacing w:val="8"/>
        </w:rPr>
        <w:t xml:space="preserve"> </w:t>
      </w:r>
      <w:r>
        <w:t>de</w:t>
      </w:r>
      <w:r>
        <w:rPr>
          <w:spacing w:val="8"/>
        </w:rPr>
        <w:t xml:space="preserve"> </w:t>
      </w:r>
      <w:r>
        <w:t>mes,</w:t>
      </w:r>
      <w:r>
        <w:rPr>
          <w:spacing w:val="9"/>
        </w:rPr>
        <w:t xml:space="preserve"> </w:t>
      </w:r>
      <w:r>
        <w:rPr>
          <w:spacing w:val="-2"/>
        </w:rPr>
        <w:t>también</w:t>
      </w:r>
      <w:r w:rsidR="001C3959">
        <w:rPr>
          <w:spacing w:val="-2"/>
        </w:rPr>
        <w:t xml:space="preserve"> </w:t>
      </w:r>
      <w:r>
        <w:t>hacen incidencia por todas esas niñas, y esos niños, y esas mujeres que matan, violan, que desaparecen. Entonces, yo veo que somos las mujeres las que paso a paso estamos transformando este país»</w:t>
      </w:r>
      <w:r w:rsidR="001C3959">
        <w:rPr>
          <w:rStyle w:val="Refdenotaalpie"/>
        </w:rPr>
        <w:footnoteReference w:id="14"/>
      </w:r>
      <w:r>
        <w:t>.</w:t>
      </w:r>
    </w:p>
    <w:p w:rsidR="003804AC" w:rsidRDefault="00AF18A5" w:rsidP="001C3959">
      <w:r>
        <w:t>Enfrentar los impactos del conflicto armado reivindica la memoria para dignificar su legado. Con ello, las víctimas y sus familiares han podido exigir saber la verdad de lo sucedido para buscar en colectivo un indicio, alguna respuesta sobre los porqués de lo acontecido;</w:t>
      </w:r>
      <w:r>
        <w:rPr>
          <w:spacing w:val="-4"/>
        </w:rPr>
        <w:t xml:space="preserve"> </w:t>
      </w:r>
      <w:r>
        <w:t>esto</w:t>
      </w:r>
      <w:r>
        <w:rPr>
          <w:spacing w:val="-4"/>
        </w:rPr>
        <w:t xml:space="preserve"> </w:t>
      </w:r>
      <w:r>
        <w:t>impulsa</w:t>
      </w:r>
      <w:r>
        <w:rPr>
          <w:spacing w:val="-5"/>
        </w:rPr>
        <w:t xml:space="preserve"> </w:t>
      </w:r>
      <w:r>
        <w:t>a</w:t>
      </w:r>
      <w:r>
        <w:rPr>
          <w:spacing w:val="-3"/>
        </w:rPr>
        <w:t xml:space="preserve"> </w:t>
      </w:r>
      <w:r>
        <w:t>los</w:t>
      </w:r>
      <w:r>
        <w:rPr>
          <w:spacing w:val="-4"/>
        </w:rPr>
        <w:t xml:space="preserve"> </w:t>
      </w:r>
      <w:r>
        <w:t>familiares</w:t>
      </w:r>
      <w:r>
        <w:rPr>
          <w:spacing w:val="-3"/>
        </w:rPr>
        <w:t xml:space="preserve"> </w:t>
      </w:r>
      <w:r>
        <w:t>a</w:t>
      </w:r>
      <w:r>
        <w:rPr>
          <w:spacing w:val="-3"/>
        </w:rPr>
        <w:t xml:space="preserve"> </w:t>
      </w:r>
      <w:r>
        <w:t>salir</w:t>
      </w:r>
      <w:r>
        <w:rPr>
          <w:spacing w:val="-3"/>
        </w:rPr>
        <w:t xml:space="preserve"> </w:t>
      </w:r>
      <w:r>
        <w:t>en</w:t>
      </w:r>
      <w:r>
        <w:rPr>
          <w:spacing w:val="-4"/>
        </w:rPr>
        <w:t xml:space="preserve"> </w:t>
      </w:r>
      <w:r>
        <w:t>cada</w:t>
      </w:r>
      <w:r>
        <w:rPr>
          <w:spacing w:val="-3"/>
        </w:rPr>
        <w:t xml:space="preserve"> </w:t>
      </w:r>
      <w:r>
        <w:t>jornada</w:t>
      </w:r>
      <w:r>
        <w:rPr>
          <w:spacing w:val="-3"/>
        </w:rPr>
        <w:t xml:space="preserve"> </w:t>
      </w:r>
      <w:r>
        <w:t>de</w:t>
      </w:r>
      <w:r>
        <w:rPr>
          <w:spacing w:val="-3"/>
        </w:rPr>
        <w:t xml:space="preserve"> </w:t>
      </w:r>
      <w:r>
        <w:t>conmemoración</w:t>
      </w:r>
      <w:r>
        <w:rPr>
          <w:spacing w:val="-4"/>
        </w:rPr>
        <w:t xml:space="preserve"> </w:t>
      </w:r>
      <w:r>
        <w:t>o</w:t>
      </w:r>
      <w:r>
        <w:rPr>
          <w:spacing w:val="-4"/>
        </w:rPr>
        <w:t xml:space="preserve"> </w:t>
      </w:r>
      <w:r>
        <w:t>fechas emblemáticas</w:t>
      </w:r>
      <w:r>
        <w:rPr>
          <w:spacing w:val="-8"/>
        </w:rPr>
        <w:t xml:space="preserve"> </w:t>
      </w:r>
      <w:r>
        <w:t>para</w:t>
      </w:r>
      <w:r>
        <w:rPr>
          <w:spacing w:val="-9"/>
        </w:rPr>
        <w:t xml:space="preserve"> </w:t>
      </w:r>
      <w:r>
        <w:t>las</w:t>
      </w:r>
      <w:r>
        <w:rPr>
          <w:spacing w:val="-8"/>
        </w:rPr>
        <w:t xml:space="preserve"> </w:t>
      </w:r>
      <w:r>
        <w:t>víctimas.</w:t>
      </w:r>
      <w:r>
        <w:rPr>
          <w:spacing w:val="-8"/>
        </w:rPr>
        <w:t xml:space="preserve"> </w:t>
      </w:r>
      <w:r>
        <w:t>Es</w:t>
      </w:r>
      <w:r>
        <w:rPr>
          <w:spacing w:val="-9"/>
        </w:rPr>
        <w:t xml:space="preserve"> </w:t>
      </w:r>
      <w:r>
        <w:t>la</w:t>
      </w:r>
      <w:r>
        <w:rPr>
          <w:spacing w:val="-9"/>
        </w:rPr>
        <w:t xml:space="preserve"> </w:t>
      </w:r>
      <w:r>
        <w:t>necesidad</w:t>
      </w:r>
      <w:r>
        <w:rPr>
          <w:spacing w:val="-8"/>
        </w:rPr>
        <w:t xml:space="preserve"> </w:t>
      </w:r>
      <w:r>
        <w:t>de</w:t>
      </w:r>
      <w:r>
        <w:rPr>
          <w:spacing w:val="-8"/>
        </w:rPr>
        <w:t xml:space="preserve"> </w:t>
      </w:r>
      <w:r>
        <w:t>reivindicar</w:t>
      </w:r>
      <w:r>
        <w:rPr>
          <w:spacing w:val="-9"/>
        </w:rPr>
        <w:t xml:space="preserve"> </w:t>
      </w:r>
      <w:r>
        <w:t>a</w:t>
      </w:r>
      <w:r>
        <w:rPr>
          <w:spacing w:val="-8"/>
        </w:rPr>
        <w:t xml:space="preserve"> </w:t>
      </w:r>
      <w:r>
        <w:t>las</w:t>
      </w:r>
      <w:r>
        <w:rPr>
          <w:spacing w:val="-8"/>
        </w:rPr>
        <w:t xml:space="preserve"> </w:t>
      </w:r>
      <w:r>
        <w:t>personas</w:t>
      </w:r>
      <w:r>
        <w:rPr>
          <w:spacing w:val="-8"/>
        </w:rPr>
        <w:t xml:space="preserve"> </w:t>
      </w:r>
      <w:r>
        <w:t>que</w:t>
      </w:r>
      <w:r>
        <w:rPr>
          <w:spacing w:val="-8"/>
        </w:rPr>
        <w:t xml:space="preserve"> </w:t>
      </w:r>
      <w:r>
        <w:t>ya</w:t>
      </w:r>
      <w:r>
        <w:rPr>
          <w:spacing w:val="-8"/>
        </w:rPr>
        <w:t xml:space="preserve"> </w:t>
      </w:r>
      <w:r>
        <w:t>no</w:t>
      </w:r>
      <w:r>
        <w:rPr>
          <w:spacing w:val="-9"/>
        </w:rPr>
        <w:t xml:space="preserve"> </w:t>
      </w:r>
      <w:r>
        <w:t>están físicamente, pero que siguen vivas en el corazón, como una forma de restablecer el buen nombre y las historias de vida que fueron truncadas. Negarse a olvidar es el primer acto de resistencia que ha concebido construir en la memoria una apuesta política personal y colectiva para las víctimas.</w:t>
      </w:r>
    </w:p>
    <w:p w:rsidR="003804AC" w:rsidRDefault="00AF18A5" w:rsidP="001C3959">
      <w:r>
        <w:t>La integración de las víctimas en colectivos conformados por familiares o miembros de una comunidad ha posicionado en las últimas décadas los espacios para el encuentro de experiencias</w:t>
      </w:r>
      <w:r>
        <w:rPr>
          <w:spacing w:val="-15"/>
        </w:rPr>
        <w:t xml:space="preserve"> </w:t>
      </w:r>
      <w:r>
        <w:t>individuales</w:t>
      </w:r>
      <w:r>
        <w:rPr>
          <w:spacing w:val="-15"/>
        </w:rPr>
        <w:t xml:space="preserve"> </w:t>
      </w:r>
      <w:r>
        <w:t>o</w:t>
      </w:r>
      <w:r>
        <w:rPr>
          <w:spacing w:val="-15"/>
        </w:rPr>
        <w:t xml:space="preserve"> </w:t>
      </w:r>
      <w:r>
        <w:t>familiares</w:t>
      </w:r>
      <w:r>
        <w:rPr>
          <w:spacing w:val="-15"/>
        </w:rPr>
        <w:t xml:space="preserve"> </w:t>
      </w:r>
      <w:r>
        <w:t>que,</w:t>
      </w:r>
      <w:r>
        <w:rPr>
          <w:spacing w:val="-15"/>
        </w:rPr>
        <w:t xml:space="preserve"> </w:t>
      </w:r>
      <w:r>
        <w:t>al</w:t>
      </w:r>
      <w:r>
        <w:rPr>
          <w:spacing w:val="-15"/>
        </w:rPr>
        <w:t xml:space="preserve"> </w:t>
      </w:r>
      <w:r>
        <w:t>ser</w:t>
      </w:r>
      <w:r>
        <w:rPr>
          <w:spacing w:val="-15"/>
        </w:rPr>
        <w:t xml:space="preserve"> </w:t>
      </w:r>
      <w:r>
        <w:t>narradas</w:t>
      </w:r>
      <w:r>
        <w:rPr>
          <w:spacing w:val="-15"/>
        </w:rPr>
        <w:t xml:space="preserve"> </w:t>
      </w:r>
      <w:r>
        <w:t>en</w:t>
      </w:r>
      <w:r>
        <w:rPr>
          <w:spacing w:val="-15"/>
        </w:rPr>
        <w:t xml:space="preserve"> </w:t>
      </w:r>
      <w:r>
        <w:t>colectivo,</w:t>
      </w:r>
      <w:r>
        <w:rPr>
          <w:spacing w:val="-15"/>
        </w:rPr>
        <w:t xml:space="preserve"> </w:t>
      </w:r>
      <w:r>
        <w:t>adquieren</w:t>
      </w:r>
      <w:r>
        <w:rPr>
          <w:spacing w:val="-15"/>
        </w:rPr>
        <w:t xml:space="preserve"> </w:t>
      </w:r>
      <w:r>
        <w:t>el</w:t>
      </w:r>
      <w:r>
        <w:rPr>
          <w:spacing w:val="-15"/>
        </w:rPr>
        <w:t xml:space="preserve"> </w:t>
      </w:r>
      <w:r>
        <w:t xml:space="preserve">potencial político que alimenta los procesos de resistencia. Incluso en los peores escenarios, tanto los líderes como muchas mujeres de las comunidades llevaron adelante la </w:t>
      </w:r>
      <w:r>
        <w:lastRenderedPageBreak/>
        <w:t>interlocución con guerrillas, paramilitares o fuerza pública para exigirles respeto a la población civil, para impedir el reclutamiento de hijos e hijas, para recuperar los cuerpos tirados en quebradas o ríos, para exigir el derecho a la autodeterminación de la población civil en el conflicto armado.</w:t>
      </w:r>
      <w:r>
        <w:rPr>
          <w:spacing w:val="-9"/>
        </w:rPr>
        <w:t xml:space="preserve"> </w:t>
      </w:r>
      <w:r>
        <w:t>A</w:t>
      </w:r>
      <w:r>
        <w:rPr>
          <w:spacing w:val="-9"/>
        </w:rPr>
        <w:t xml:space="preserve"> </w:t>
      </w:r>
      <w:r>
        <w:t>su</w:t>
      </w:r>
      <w:r>
        <w:rPr>
          <w:spacing w:val="-9"/>
        </w:rPr>
        <w:t xml:space="preserve"> </w:t>
      </w:r>
      <w:r>
        <w:t>vez,</w:t>
      </w:r>
      <w:r>
        <w:rPr>
          <w:spacing w:val="-8"/>
        </w:rPr>
        <w:t xml:space="preserve"> </w:t>
      </w:r>
      <w:r>
        <w:t>esto</w:t>
      </w:r>
      <w:r>
        <w:rPr>
          <w:spacing w:val="-9"/>
        </w:rPr>
        <w:t xml:space="preserve"> </w:t>
      </w:r>
      <w:r>
        <w:t>se</w:t>
      </w:r>
      <w:r>
        <w:rPr>
          <w:spacing w:val="-8"/>
        </w:rPr>
        <w:t xml:space="preserve"> </w:t>
      </w:r>
      <w:r>
        <w:t>ha</w:t>
      </w:r>
      <w:r>
        <w:rPr>
          <w:spacing w:val="-8"/>
        </w:rPr>
        <w:t xml:space="preserve"> </w:t>
      </w:r>
      <w:r>
        <w:t>empleado</w:t>
      </w:r>
      <w:r>
        <w:rPr>
          <w:spacing w:val="-9"/>
        </w:rPr>
        <w:t xml:space="preserve"> </w:t>
      </w:r>
      <w:r>
        <w:t>en</w:t>
      </w:r>
      <w:r>
        <w:rPr>
          <w:spacing w:val="-8"/>
        </w:rPr>
        <w:t xml:space="preserve"> </w:t>
      </w:r>
      <w:r>
        <w:t>el</w:t>
      </w:r>
      <w:r>
        <w:rPr>
          <w:spacing w:val="-8"/>
        </w:rPr>
        <w:t xml:space="preserve"> </w:t>
      </w:r>
      <w:r>
        <w:t>marco</w:t>
      </w:r>
      <w:r>
        <w:rPr>
          <w:spacing w:val="-8"/>
        </w:rPr>
        <w:t xml:space="preserve"> </w:t>
      </w:r>
      <w:r>
        <w:t>de</w:t>
      </w:r>
      <w:r>
        <w:rPr>
          <w:spacing w:val="-8"/>
        </w:rPr>
        <w:t xml:space="preserve"> </w:t>
      </w:r>
      <w:r>
        <w:t>la</w:t>
      </w:r>
      <w:r>
        <w:rPr>
          <w:spacing w:val="-8"/>
        </w:rPr>
        <w:t xml:space="preserve"> </w:t>
      </w:r>
      <w:r>
        <w:t>soberanía</w:t>
      </w:r>
      <w:r>
        <w:rPr>
          <w:spacing w:val="-8"/>
        </w:rPr>
        <w:t xml:space="preserve"> </w:t>
      </w:r>
      <w:r>
        <w:t>de</w:t>
      </w:r>
      <w:r>
        <w:rPr>
          <w:spacing w:val="-8"/>
        </w:rPr>
        <w:t xml:space="preserve"> </w:t>
      </w:r>
      <w:r>
        <w:t>los</w:t>
      </w:r>
      <w:r>
        <w:rPr>
          <w:spacing w:val="-8"/>
        </w:rPr>
        <w:t xml:space="preserve"> </w:t>
      </w:r>
      <w:r>
        <w:t>cabildos</w:t>
      </w:r>
      <w:r>
        <w:rPr>
          <w:spacing w:val="-8"/>
        </w:rPr>
        <w:t xml:space="preserve"> </w:t>
      </w:r>
      <w:r>
        <w:t>indígenas, los</w:t>
      </w:r>
      <w:r>
        <w:rPr>
          <w:spacing w:val="-10"/>
        </w:rPr>
        <w:t xml:space="preserve"> </w:t>
      </w:r>
      <w:r>
        <w:t>consejos</w:t>
      </w:r>
      <w:r>
        <w:rPr>
          <w:spacing w:val="-13"/>
        </w:rPr>
        <w:t xml:space="preserve"> </w:t>
      </w:r>
      <w:r>
        <w:t>comunitarios</w:t>
      </w:r>
      <w:r>
        <w:rPr>
          <w:spacing w:val="-10"/>
        </w:rPr>
        <w:t xml:space="preserve"> </w:t>
      </w:r>
      <w:r>
        <w:t>afrodescendientes</w:t>
      </w:r>
      <w:r>
        <w:rPr>
          <w:spacing w:val="-10"/>
        </w:rPr>
        <w:t xml:space="preserve"> </w:t>
      </w:r>
      <w:r>
        <w:t>y</w:t>
      </w:r>
      <w:r>
        <w:rPr>
          <w:spacing w:val="-12"/>
        </w:rPr>
        <w:t xml:space="preserve"> </w:t>
      </w:r>
      <w:r>
        <w:t>las</w:t>
      </w:r>
      <w:r>
        <w:rPr>
          <w:spacing w:val="-13"/>
        </w:rPr>
        <w:t xml:space="preserve"> </w:t>
      </w:r>
      <w:r>
        <w:t>comunidades</w:t>
      </w:r>
      <w:r>
        <w:rPr>
          <w:spacing w:val="-10"/>
        </w:rPr>
        <w:t xml:space="preserve"> </w:t>
      </w:r>
      <w:r>
        <w:t>campesinas</w:t>
      </w:r>
      <w:r>
        <w:rPr>
          <w:spacing w:val="-10"/>
        </w:rPr>
        <w:t xml:space="preserve"> </w:t>
      </w:r>
      <w:r>
        <w:t>para</w:t>
      </w:r>
      <w:r>
        <w:rPr>
          <w:spacing w:val="-10"/>
        </w:rPr>
        <w:t xml:space="preserve"> </w:t>
      </w:r>
      <w:r>
        <w:t>defender</w:t>
      </w:r>
      <w:r>
        <w:rPr>
          <w:spacing w:val="-10"/>
        </w:rPr>
        <w:t xml:space="preserve"> </w:t>
      </w:r>
      <w:r>
        <w:t>su autonomía y pervivencia en el territorio.</w:t>
      </w:r>
    </w:p>
    <w:p w:rsidR="003804AC" w:rsidRPr="001C3959" w:rsidRDefault="00AF18A5" w:rsidP="001C3959">
      <w:r>
        <w:t>Valores como la solidaridad y la fraternidad se fortalecieron en distintos sectores o en pequeños gestos personales en medio de la guerra y permitieron que las personas y las comunidades</w:t>
      </w:r>
      <w:r>
        <w:rPr>
          <w:spacing w:val="74"/>
          <w:w w:val="150"/>
        </w:rPr>
        <w:t xml:space="preserve"> </w:t>
      </w:r>
      <w:r>
        <w:t>sobrevivieran</w:t>
      </w:r>
      <w:r>
        <w:rPr>
          <w:spacing w:val="74"/>
          <w:w w:val="150"/>
        </w:rPr>
        <w:t xml:space="preserve"> </w:t>
      </w:r>
      <w:r>
        <w:t>ante</w:t>
      </w:r>
      <w:r>
        <w:rPr>
          <w:spacing w:val="76"/>
          <w:w w:val="150"/>
        </w:rPr>
        <w:t xml:space="preserve"> </w:t>
      </w:r>
      <w:r>
        <w:t>las</w:t>
      </w:r>
      <w:r>
        <w:rPr>
          <w:spacing w:val="75"/>
          <w:w w:val="150"/>
        </w:rPr>
        <w:t xml:space="preserve"> </w:t>
      </w:r>
      <w:r>
        <w:t>graves</w:t>
      </w:r>
      <w:r>
        <w:rPr>
          <w:spacing w:val="74"/>
          <w:w w:val="150"/>
        </w:rPr>
        <w:t xml:space="preserve"> </w:t>
      </w:r>
      <w:r>
        <w:t>violaciones</w:t>
      </w:r>
      <w:r>
        <w:rPr>
          <w:spacing w:val="73"/>
          <w:w w:val="150"/>
        </w:rPr>
        <w:t xml:space="preserve"> </w:t>
      </w:r>
      <w:r>
        <w:t>a</w:t>
      </w:r>
      <w:r>
        <w:rPr>
          <w:spacing w:val="75"/>
          <w:w w:val="150"/>
        </w:rPr>
        <w:t xml:space="preserve"> </w:t>
      </w:r>
      <w:r>
        <w:t>los</w:t>
      </w:r>
      <w:r>
        <w:rPr>
          <w:spacing w:val="75"/>
          <w:w w:val="150"/>
        </w:rPr>
        <w:t xml:space="preserve"> </w:t>
      </w:r>
      <w:r>
        <w:t>derechos</w:t>
      </w:r>
      <w:r>
        <w:rPr>
          <w:spacing w:val="74"/>
          <w:w w:val="150"/>
        </w:rPr>
        <w:t xml:space="preserve"> </w:t>
      </w:r>
      <w:r>
        <w:t>humanos</w:t>
      </w:r>
      <w:r>
        <w:rPr>
          <w:spacing w:val="75"/>
          <w:w w:val="150"/>
        </w:rPr>
        <w:t xml:space="preserve"> </w:t>
      </w:r>
      <w:r>
        <w:rPr>
          <w:spacing w:val="-10"/>
        </w:rPr>
        <w:t>e</w:t>
      </w:r>
      <w:bookmarkStart w:id="26" w:name="_bookmark17"/>
      <w:bookmarkEnd w:id="26"/>
      <w:r w:rsidR="001C3959">
        <w:t xml:space="preserve"> </w:t>
      </w:r>
      <w:r>
        <w:t>infracciones al Derecho Internacional Humanitario (DIH), como soporte de sus propios vínculos. La representación está en las organizaciones, en las personas que acompañan procesos</w:t>
      </w:r>
      <w:r>
        <w:rPr>
          <w:spacing w:val="-7"/>
        </w:rPr>
        <w:t xml:space="preserve"> </w:t>
      </w:r>
      <w:r>
        <w:t>o</w:t>
      </w:r>
      <w:r>
        <w:rPr>
          <w:spacing w:val="-7"/>
        </w:rPr>
        <w:t xml:space="preserve"> </w:t>
      </w:r>
      <w:r>
        <w:t>asumen</w:t>
      </w:r>
      <w:r>
        <w:rPr>
          <w:spacing w:val="-7"/>
        </w:rPr>
        <w:t xml:space="preserve"> </w:t>
      </w:r>
      <w:r>
        <w:t>un</w:t>
      </w:r>
      <w:r>
        <w:rPr>
          <w:spacing w:val="-7"/>
        </w:rPr>
        <w:t xml:space="preserve"> </w:t>
      </w:r>
      <w:r>
        <w:t>liderazgo</w:t>
      </w:r>
      <w:r>
        <w:rPr>
          <w:spacing w:val="-7"/>
        </w:rPr>
        <w:t xml:space="preserve"> </w:t>
      </w:r>
      <w:r>
        <w:t>en</w:t>
      </w:r>
      <w:r>
        <w:rPr>
          <w:spacing w:val="-7"/>
        </w:rPr>
        <w:t xml:space="preserve"> </w:t>
      </w:r>
      <w:r>
        <w:t>defensa</w:t>
      </w:r>
      <w:r>
        <w:rPr>
          <w:spacing w:val="-7"/>
        </w:rPr>
        <w:t xml:space="preserve"> </w:t>
      </w:r>
      <w:r>
        <w:t>de</w:t>
      </w:r>
      <w:r>
        <w:rPr>
          <w:spacing w:val="-7"/>
        </w:rPr>
        <w:t xml:space="preserve"> </w:t>
      </w:r>
      <w:r>
        <w:t>los</w:t>
      </w:r>
      <w:r>
        <w:rPr>
          <w:spacing w:val="-7"/>
        </w:rPr>
        <w:t xml:space="preserve"> </w:t>
      </w:r>
      <w:r>
        <w:t>derechos</w:t>
      </w:r>
      <w:r>
        <w:rPr>
          <w:spacing w:val="-7"/>
        </w:rPr>
        <w:t xml:space="preserve"> </w:t>
      </w:r>
      <w:r>
        <w:t>humanos,</w:t>
      </w:r>
      <w:r>
        <w:rPr>
          <w:spacing w:val="-7"/>
        </w:rPr>
        <w:t xml:space="preserve"> </w:t>
      </w:r>
      <w:r>
        <w:t>o</w:t>
      </w:r>
      <w:r>
        <w:rPr>
          <w:spacing w:val="-7"/>
        </w:rPr>
        <w:t xml:space="preserve"> </w:t>
      </w:r>
      <w:r>
        <w:t>se</w:t>
      </w:r>
      <w:r>
        <w:rPr>
          <w:spacing w:val="-7"/>
        </w:rPr>
        <w:t xml:space="preserve"> </w:t>
      </w:r>
      <w:r>
        <w:t>comprometen</w:t>
      </w:r>
      <w:r>
        <w:rPr>
          <w:spacing w:val="-7"/>
        </w:rPr>
        <w:t xml:space="preserve"> </w:t>
      </w:r>
      <w:r>
        <w:t>con la transformación social, espacios en los que la solidaridad ha sido un valor que moviliza convicciones, apuestas y sueños en común.</w:t>
      </w:r>
    </w:p>
    <w:p w:rsidR="003804AC" w:rsidRDefault="00AF18A5" w:rsidP="001C3959">
      <w:r>
        <w:t>La Comisión también ha sido testigo de esos instantes de surgimiento de la capacidad de apoyo mutuo, favorecida por la identificación con el dolor del otro, donde, mediante la empatía, se construye en colectivo. Esta es, quizá, una de las características de la base del trabajo</w:t>
      </w:r>
      <w:r>
        <w:rPr>
          <w:spacing w:val="-2"/>
        </w:rPr>
        <w:t xml:space="preserve"> </w:t>
      </w:r>
      <w:r>
        <w:t>gestado</w:t>
      </w:r>
      <w:r>
        <w:rPr>
          <w:spacing w:val="-2"/>
        </w:rPr>
        <w:t xml:space="preserve"> </w:t>
      </w:r>
      <w:r>
        <w:t>por</w:t>
      </w:r>
      <w:r>
        <w:rPr>
          <w:spacing w:val="-3"/>
        </w:rPr>
        <w:t xml:space="preserve"> </w:t>
      </w:r>
      <w:r>
        <w:t>las</w:t>
      </w:r>
      <w:r>
        <w:rPr>
          <w:spacing w:val="-2"/>
        </w:rPr>
        <w:t xml:space="preserve"> </w:t>
      </w:r>
      <w:r>
        <w:t>víctimas,</w:t>
      </w:r>
      <w:r>
        <w:rPr>
          <w:spacing w:val="-4"/>
        </w:rPr>
        <w:t xml:space="preserve"> </w:t>
      </w:r>
      <w:r>
        <w:t>como</w:t>
      </w:r>
      <w:r>
        <w:rPr>
          <w:spacing w:val="-2"/>
        </w:rPr>
        <w:t xml:space="preserve"> </w:t>
      </w:r>
      <w:r>
        <w:t>un</w:t>
      </w:r>
      <w:r>
        <w:rPr>
          <w:spacing w:val="-2"/>
        </w:rPr>
        <w:t xml:space="preserve"> </w:t>
      </w:r>
      <w:r>
        <w:t>aporte</w:t>
      </w:r>
      <w:r>
        <w:rPr>
          <w:spacing w:val="-3"/>
        </w:rPr>
        <w:t xml:space="preserve"> </w:t>
      </w:r>
      <w:r>
        <w:t>no</w:t>
      </w:r>
      <w:r>
        <w:rPr>
          <w:spacing w:val="-2"/>
        </w:rPr>
        <w:t xml:space="preserve"> </w:t>
      </w:r>
      <w:r>
        <w:t>solo</w:t>
      </w:r>
      <w:r>
        <w:rPr>
          <w:spacing w:val="-4"/>
        </w:rPr>
        <w:t xml:space="preserve"> </w:t>
      </w:r>
      <w:r>
        <w:t>a</w:t>
      </w:r>
      <w:r>
        <w:rPr>
          <w:spacing w:val="-2"/>
        </w:rPr>
        <w:t xml:space="preserve"> </w:t>
      </w:r>
      <w:r>
        <w:t>sus</w:t>
      </w:r>
      <w:r>
        <w:rPr>
          <w:spacing w:val="-2"/>
        </w:rPr>
        <w:t xml:space="preserve"> </w:t>
      </w:r>
      <w:r>
        <w:t>procesos</w:t>
      </w:r>
      <w:r>
        <w:rPr>
          <w:spacing w:val="-2"/>
        </w:rPr>
        <w:t xml:space="preserve"> </w:t>
      </w:r>
      <w:r>
        <w:t>y</w:t>
      </w:r>
      <w:r>
        <w:rPr>
          <w:spacing w:val="-4"/>
        </w:rPr>
        <w:t xml:space="preserve"> </w:t>
      </w:r>
      <w:r>
        <w:t>a</w:t>
      </w:r>
      <w:r>
        <w:rPr>
          <w:spacing w:val="-2"/>
        </w:rPr>
        <w:t xml:space="preserve"> </w:t>
      </w:r>
      <w:r>
        <w:t>su</w:t>
      </w:r>
      <w:r>
        <w:rPr>
          <w:spacing w:val="-4"/>
        </w:rPr>
        <w:t xml:space="preserve"> </w:t>
      </w:r>
      <w:r>
        <w:t>apoyo</w:t>
      </w:r>
      <w:r>
        <w:rPr>
          <w:spacing w:val="-4"/>
        </w:rPr>
        <w:t xml:space="preserve"> </w:t>
      </w:r>
      <w:r>
        <w:t>mutuo, sino una forma de memoria y verdad para la sociedad. La empatía es esa energía transformadora que las víctimas reclaman y enseñan. La mayor parte de las víctimas han mostrado en diferentes momentos del país su generosidad y fortaleza, una lección de resistencia</w:t>
      </w:r>
      <w:r>
        <w:rPr>
          <w:spacing w:val="-11"/>
        </w:rPr>
        <w:t xml:space="preserve"> </w:t>
      </w:r>
      <w:r>
        <w:t>y</w:t>
      </w:r>
      <w:r>
        <w:rPr>
          <w:spacing w:val="-12"/>
        </w:rPr>
        <w:t xml:space="preserve"> </w:t>
      </w:r>
      <w:r>
        <w:t>de</w:t>
      </w:r>
      <w:r>
        <w:rPr>
          <w:spacing w:val="-11"/>
        </w:rPr>
        <w:t xml:space="preserve"> </w:t>
      </w:r>
      <w:r>
        <w:t>humanidad</w:t>
      </w:r>
      <w:r>
        <w:rPr>
          <w:spacing w:val="-11"/>
        </w:rPr>
        <w:t xml:space="preserve"> </w:t>
      </w:r>
      <w:r>
        <w:t>para</w:t>
      </w:r>
      <w:r>
        <w:rPr>
          <w:spacing w:val="-11"/>
        </w:rPr>
        <w:t xml:space="preserve"> </w:t>
      </w:r>
      <w:r>
        <w:t>la</w:t>
      </w:r>
      <w:r>
        <w:rPr>
          <w:spacing w:val="-11"/>
        </w:rPr>
        <w:t xml:space="preserve"> </w:t>
      </w:r>
      <w:r>
        <w:t>sociedad.</w:t>
      </w:r>
      <w:r>
        <w:rPr>
          <w:spacing w:val="-11"/>
        </w:rPr>
        <w:t xml:space="preserve"> </w:t>
      </w:r>
      <w:r>
        <w:t>Los</w:t>
      </w:r>
      <w:r>
        <w:rPr>
          <w:spacing w:val="-12"/>
        </w:rPr>
        <w:t xml:space="preserve"> </w:t>
      </w:r>
      <w:r>
        <w:t>más</w:t>
      </w:r>
      <w:r>
        <w:rPr>
          <w:spacing w:val="-11"/>
        </w:rPr>
        <w:t xml:space="preserve"> </w:t>
      </w:r>
      <w:r>
        <w:t>de</w:t>
      </w:r>
      <w:r>
        <w:rPr>
          <w:spacing w:val="-11"/>
        </w:rPr>
        <w:t xml:space="preserve"> </w:t>
      </w:r>
      <w:r>
        <w:t>mil</w:t>
      </w:r>
      <w:r>
        <w:rPr>
          <w:spacing w:val="-10"/>
        </w:rPr>
        <w:t xml:space="preserve"> </w:t>
      </w:r>
      <w:r>
        <w:t>informes</w:t>
      </w:r>
      <w:r>
        <w:rPr>
          <w:spacing w:val="-11"/>
        </w:rPr>
        <w:t xml:space="preserve"> </w:t>
      </w:r>
      <w:r>
        <w:t>que</w:t>
      </w:r>
      <w:r>
        <w:rPr>
          <w:spacing w:val="-12"/>
        </w:rPr>
        <w:t xml:space="preserve"> </w:t>
      </w:r>
      <w:r>
        <w:t>las</w:t>
      </w:r>
      <w:r>
        <w:rPr>
          <w:spacing w:val="-11"/>
        </w:rPr>
        <w:t xml:space="preserve"> </w:t>
      </w:r>
      <w:r>
        <w:lastRenderedPageBreak/>
        <w:t>organizaciones sociales han entregado a la Comisión, su participación activa en encuentros de reconocimiento</w:t>
      </w:r>
      <w:r>
        <w:rPr>
          <w:spacing w:val="-6"/>
        </w:rPr>
        <w:t xml:space="preserve"> </w:t>
      </w:r>
      <w:r>
        <w:t>y</w:t>
      </w:r>
      <w:r>
        <w:rPr>
          <w:spacing w:val="-6"/>
        </w:rPr>
        <w:t xml:space="preserve"> </w:t>
      </w:r>
      <w:r>
        <w:t>procesos</w:t>
      </w:r>
      <w:r>
        <w:rPr>
          <w:spacing w:val="-6"/>
        </w:rPr>
        <w:t xml:space="preserve"> </w:t>
      </w:r>
      <w:r>
        <w:t>de</w:t>
      </w:r>
      <w:r>
        <w:rPr>
          <w:spacing w:val="-6"/>
        </w:rPr>
        <w:t xml:space="preserve"> </w:t>
      </w:r>
      <w:r>
        <w:t>convivencia</w:t>
      </w:r>
      <w:r>
        <w:rPr>
          <w:spacing w:val="-6"/>
        </w:rPr>
        <w:t xml:space="preserve"> </w:t>
      </w:r>
      <w:r>
        <w:t>y</w:t>
      </w:r>
      <w:r>
        <w:rPr>
          <w:spacing w:val="-6"/>
        </w:rPr>
        <w:t xml:space="preserve"> </w:t>
      </w:r>
      <w:r>
        <w:t>la</w:t>
      </w:r>
      <w:r>
        <w:rPr>
          <w:spacing w:val="-6"/>
        </w:rPr>
        <w:t xml:space="preserve"> </w:t>
      </w:r>
      <w:r>
        <w:t>producción</w:t>
      </w:r>
      <w:r>
        <w:rPr>
          <w:spacing w:val="-6"/>
        </w:rPr>
        <w:t xml:space="preserve"> </w:t>
      </w:r>
      <w:r>
        <w:t>artística</w:t>
      </w:r>
      <w:r>
        <w:rPr>
          <w:spacing w:val="-6"/>
        </w:rPr>
        <w:t xml:space="preserve"> </w:t>
      </w:r>
      <w:r>
        <w:t>de</w:t>
      </w:r>
      <w:r>
        <w:rPr>
          <w:spacing w:val="-6"/>
        </w:rPr>
        <w:t xml:space="preserve"> </w:t>
      </w:r>
      <w:r>
        <w:t>comunidades</w:t>
      </w:r>
      <w:r>
        <w:rPr>
          <w:spacing w:val="-6"/>
        </w:rPr>
        <w:t xml:space="preserve"> </w:t>
      </w:r>
      <w:r>
        <w:t>y</w:t>
      </w:r>
      <w:r>
        <w:rPr>
          <w:spacing w:val="-6"/>
        </w:rPr>
        <w:t xml:space="preserve"> </w:t>
      </w:r>
      <w:r>
        <w:t>etnias constituyen</w:t>
      </w:r>
      <w:r>
        <w:rPr>
          <w:spacing w:val="-3"/>
        </w:rPr>
        <w:t xml:space="preserve"> </w:t>
      </w:r>
      <w:r>
        <w:t>el</w:t>
      </w:r>
      <w:r>
        <w:rPr>
          <w:spacing w:val="-2"/>
        </w:rPr>
        <w:t xml:space="preserve"> </w:t>
      </w:r>
      <w:r>
        <w:t>legado</w:t>
      </w:r>
      <w:r>
        <w:rPr>
          <w:spacing w:val="-2"/>
        </w:rPr>
        <w:t xml:space="preserve"> </w:t>
      </w:r>
      <w:r>
        <w:t>que</w:t>
      </w:r>
      <w:r>
        <w:rPr>
          <w:spacing w:val="-2"/>
        </w:rPr>
        <w:t xml:space="preserve"> </w:t>
      </w:r>
      <w:r>
        <w:t>la</w:t>
      </w:r>
      <w:r>
        <w:rPr>
          <w:spacing w:val="-2"/>
        </w:rPr>
        <w:t xml:space="preserve"> </w:t>
      </w:r>
      <w:r>
        <w:t>Comisión</w:t>
      </w:r>
      <w:r>
        <w:rPr>
          <w:spacing w:val="-2"/>
        </w:rPr>
        <w:t xml:space="preserve"> </w:t>
      </w:r>
      <w:r>
        <w:t>deja</w:t>
      </w:r>
      <w:r>
        <w:rPr>
          <w:spacing w:val="-3"/>
        </w:rPr>
        <w:t xml:space="preserve"> </w:t>
      </w:r>
      <w:r>
        <w:t>al</w:t>
      </w:r>
      <w:r>
        <w:rPr>
          <w:spacing w:val="-2"/>
        </w:rPr>
        <w:t xml:space="preserve"> </w:t>
      </w:r>
      <w:r>
        <w:t>país</w:t>
      </w:r>
      <w:r>
        <w:rPr>
          <w:spacing w:val="-2"/>
        </w:rPr>
        <w:t xml:space="preserve"> </w:t>
      </w:r>
      <w:r>
        <w:t>en</w:t>
      </w:r>
      <w:r>
        <w:rPr>
          <w:spacing w:val="-2"/>
        </w:rPr>
        <w:t xml:space="preserve"> </w:t>
      </w:r>
      <w:r>
        <w:t>el</w:t>
      </w:r>
      <w:r>
        <w:rPr>
          <w:spacing w:val="-3"/>
        </w:rPr>
        <w:t xml:space="preserve"> </w:t>
      </w:r>
      <w:r>
        <w:t>reconocimiento</w:t>
      </w:r>
      <w:r>
        <w:rPr>
          <w:spacing w:val="-2"/>
        </w:rPr>
        <w:t xml:space="preserve"> </w:t>
      </w:r>
      <w:r>
        <w:t>de</w:t>
      </w:r>
      <w:r>
        <w:rPr>
          <w:spacing w:val="-2"/>
        </w:rPr>
        <w:t xml:space="preserve"> </w:t>
      </w:r>
      <w:r>
        <w:t>su</w:t>
      </w:r>
      <w:r>
        <w:rPr>
          <w:spacing w:val="-2"/>
        </w:rPr>
        <w:t xml:space="preserve"> </w:t>
      </w:r>
      <w:r>
        <w:t>protagonismo y</w:t>
      </w:r>
      <w:r>
        <w:rPr>
          <w:spacing w:val="-1"/>
        </w:rPr>
        <w:t xml:space="preserve"> </w:t>
      </w:r>
      <w:r>
        <w:t>el</w:t>
      </w:r>
      <w:r>
        <w:rPr>
          <w:spacing w:val="-2"/>
        </w:rPr>
        <w:t xml:space="preserve"> </w:t>
      </w:r>
      <w:r>
        <w:t>fortalecimiento</w:t>
      </w:r>
      <w:r>
        <w:rPr>
          <w:spacing w:val="-1"/>
        </w:rPr>
        <w:t xml:space="preserve"> </w:t>
      </w:r>
      <w:r>
        <w:t>de</w:t>
      </w:r>
      <w:r>
        <w:rPr>
          <w:spacing w:val="-2"/>
        </w:rPr>
        <w:t xml:space="preserve"> </w:t>
      </w:r>
      <w:r>
        <w:t>estos</w:t>
      </w:r>
      <w:r>
        <w:rPr>
          <w:spacing w:val="-1"/>
        </w:rPr>
        <w:t xml:space="preserve"> </w:t>
      </w:r>
      <w:r>
        <w:t>procesos,</w:t>
      </w:r>
      <w:r>
        <w:rPr>
          <w:spacing w:val="-1"/>
        </w:rPr>
        <w:t xml:space="preserve"> </w:t>
      </w:r>
      <w:r>
        <w:t>en</w:t>
      </w:r>
      <w:r>
        <w:rPr>
          <w:spacing w:val="-1"/>
        </w:rPr>
        <w:t xml:space="preserve"> </w:t>
      </w:r>
      <w:r>
        <w:t>sus</w:t>
      </w:r>
      <w:r>
        <w:rPr>
          <w:spacing w:val="-2"/>
        </w:rPr>
        <w:t xml:space="preserve"> </w:t>
      </w:r>
      <w:r>
        <w:t>recomendaciones</w:t>
      </w:r>
      <w:r>
        <w:rPr>
          <w:spacing w:val="-1"/>
        </w:rPr>
        <w:t xml:space="preserve"> </w:t>
      </w:r>
      <w:r>
        <w:t>para</w:t>
      </w:r>
      <w:r>
        <w:rPr>
          <w:spacing w:val="-2"/>
        </w:rPr>
        <w:t xml:space="preserve"> </w:t>
      </w:r>
      <w:r>
        <w:t>el</w:t>
      </w:r>
      <w:r>
        <w:rPr>
          <w:spacing w:val="-2"/>
        </w:rPr>
        <w:t xml:space="preserve"> </w:t>
      </w:r>
      <w:r>
        <w:t>futuro</w:t>
      </w:r>
      <w:r>
        <w:rPr>
          <w:spacing w:val="-1"/>
        </w:rPr>
        <w:t xml:space="preserve"> </w:t>
      </w:r>
      <w:r>
        <w:t>que</w:t>
      </w:r>
      <w:r>
        <w:rPr>
          <w:spacing w:val="-1"/>
        </w:rPr>
        <w:t xml:space="preserve"> </w:t>
      </w:r>
      <w:r>
        <w:t>Colombia necesita para dejar atrás la guerra.</w:t>
      </w:r>
    </w:p>
    <w:p w:rsidR="0011361F" w:rsidRPr="001C3959" w:rsidRDefault="001C3959" w:rsidP="001C3959">
      <w:pPr>
        <w:pStyle w:val="Ttulo3"/>
      </w:pPr>
      <w:bookmarkStart w:id="27" w:name="1.2._Sobre_la_Colombia_herida_y_los_impa"/>
      <w:bookmarkStart w:id="28" w:name="_Toc112399525"/>
      <w:bookmarkEnd w:id="27"/>
      <w:r>
        <w:t xml:space="preserve">1.2. </w:t>
      </w:r>
      <w:r w:rsidR="00AF18A5" w:rsidRPr="001C3959">
        <w:t>Sobre la Colombia herida y los impactos en la vida cotidiana</w:t>
      </w:r>
      <w:bookmarkEnd w:id="28"/>
    </w:p>
    <w:p w:rsidR="0011361F" w:rsidRPr="001C3959" w:rsidRDefault="00EF5274" w:rsidP="001C3959">
      <w:pPr>
        <w:pStyle w:val="Ttulo3"/>
      </w:pPr>
      <w:bookmarkStart w:id="29" w:name="1.2.1_Traumas_colectivos:_huellas_de_dol"/>
      <w:bookmarkStart w:id="30" w:name="_Toc112399526"/>
      <w:bookmarkEnd w:id="29"/>
      <w:r>
        <w:t xml:space="preserve">1.2.1. </w:t>
      </w:r>
      <w:r w:rsidR="00AF18A5" w:rsidRPr="001C3959">
        <w:t>Traumas colectivos: huellas de dolor en la identidad del país</w:t>
      </w:r>
      <w:bookmarkEnd w:id="30"/>
    </w:p>
    <w:p w:rsidR="003804AC" w:rsidRDefault="00AF18A5" w:rsidP="001C3959">
      <w:r>
        <w:t>El conflicto armado no solo ha afectado a millones de víctimas y sus familias, dañadas por intensas y dolorosas experiencias de violencia. También, como sociedad, Colombia se ha visto afectada por hechos traumáticos que marcan su historia y dejan profundas consecuencias. En el periodo comprendido entre</w:t>
      </w:r>
      <w:r>
        <w:rPr>
          <w:spacing w:val="-1"/>
        </w:rPr>
        <w:t xml:space="preserve"> </w:t>
      </w:r>
      <w:r>
        <w:t>1996 y 2008, la agudización de la guerra y la violencia contra la población civil y los territorios se extendió por el país, generando aproximadamente</w:t>
      </w:r>
      <w:r>
        <w:rPr>
          <w:spacing w:val="-1"/>
        </w:rPr>
        <w:t xml:space="preserve"> </w:t>
      </w:r>
      <w:r>
        <w:t>el 75</w:t>
      </w:r>
      <w:r>
        <w:rPr>
          <w:spacing w:val="-5"/>
        </w:rPr>
        <w:t xml:space="preserve"> </w:t>
      </w:r>
      <w:r>
        <w:t>% de las víctimas del conflicto armado según registros oficiales. La violencia</w:t>
      </w:r>
      <w:r>
        <w:rPr>
          <w:spacing w:val="40"/>
        </w:rPr>
        <w:t xml:space="preserve"> </w:t>
      </w:r>
      <w:r>
        <w:t>indiscriminada</w:t>
      </w:r>
      <w:r>
        <w:rPr>
          <w:spacing w:val="43"/>
        </w:rPr>
        <w:t xml:space="preserve"> </w:t>
      </w:r>
      <w:r>
        <w:t>y</w:t>
      </w:r>
      <w:r>
        <w:rPr>
          <w:spacing w:val="43"/>
        </w:rPr>
        <w:t xml:space="preserve"> </w:t>
      </w:r>
      <w:r>
        <w:t>la</w:t>
      </w:r>
      <w:r>
        <w:rPr>
          <w:spacing w:val="42"/>
        </w:rPr>
        <w:t xml:space="preserve"> </w:t>
      </w:r>
      <w:r>
        <w:t>propia</w:t>
      </w:r>
      <w:r>
        <w:rPr>
          <w:spacing w:val="43"/>
        </w:rPr>
        <w:t xml:space="preserve"> </w:t>
      </w:r>
      <w:r>
        <w:t>degradación</w:t>
      </w:r>
      <w:r>
        <w:rPr>
          <w:spacing w:val="43"/>
        </w:rPr>
        <w:t xml:space="preserve"> </w:t>
      </w:r>
      <w:r>
        <w:t>del</w:t>
      </w:r>
      <w:r>
        <w:rPr>
          <w:spacing w:val="42"/>
        </w:rPr>
        <w:t xml:space="preserve"> </w:t>
      </w:r>
      <w:r>
        <w:t>conflicto</w:t>
      </w:r>
      <w:r>
        <w:rPr>
          <w:spacing w:val="43"/>
        </w:rPr>
        <w:t xml:space="preserve"> </w:t>
      </w:r>
      <w:r>
        <w:t>conllevaron</w:t>
      </w:r>
      <w:r>
        <w:rPr>
          <w:spacing w:val="43"/>
        </w:rPr>
        <w:t xml:space="preserve"> </w:t>
      </w:r>
      <w:r>
        <w:t>no</w:t>
      </w:r>
      <w:r>
        <w:rPr>
          <w:spacing w:val="42"/>
        </w:rPr>
        <w:t xml:space="preserve"> </w:t>
      </w:r>
      <w:r>
        <w:t>solo</w:t>
      </w:r>
      <w:r>
        <w:rPr>
          <w:spacing w:val="43"/>
        </w:rPr>
        <w:t xml:space="preserve"> </w:t>
      </w:r>
      <w:r>
        <w:t>a</w:t>
      </w:r>
      <w:r>
        <w:rPr>
          <w:spacing w:val="43"/>
        </w:rPr>
        <w:t xml:space="preserve"> </w:t>
      </w:r>
      <w:r>
        <w:rPr>
          <w:spacing w:val="-5"/>
        </w:rPr>
        <w:t>la</w:t>
      </w:r>
      <w:r w:rsidR="001C3959">
        <w:rPr>
          <w:spacing w:val="-5"/>
        </w:rPr>
        <w:t xml:space="preserve"> </w:t>
      </w:r>
      <w:r>
        <w:t>extensión del miedo, el odio o las retaliaciones, sino también una relación cada vez más estrecha</w:t>
      </w:r>
      <w:r>
        <w:rPr>
          <w:spacing w:val="-4"/>
        </w:rPr>
        <w:t xml:space="preserve"> </w:t>
      </w:r>
      <w:r>
        <w:t>de</w:t>
      </w:r>
      <w:r>
        <w:rPr>
          <w:spacing w:val="-1"/>
        </w:rPr>
        <w:t xml:space="preserve"> </w:t>
      </w:r>
      <w:r>
        <w:t>la</w:t>
      </w:r>
      <w:r>
        <w:rPr>
          <w:spacing w:val="-1"/>
        </w:rPr>
        <w:t xml:space="preserve"> </w:t>
      </w:r>
      <w:r>
        <w:t>violencia</w:t>
      </w:r>
      <w:r>
        <w:rPr>
          <w:spacing w:val="-1"/>
        </w:rPr>
        <w:t xml:space="preserve"> </w:t>
      </w:r>
      <w:r>
        <w:t>política</w:t>
      </w:r>
      <w:r>
        <w:rPr>
          <w:spacing w:val="-2"/>
        </w:rPr>
        <w:t xml:space="preserve"> </w:t>
      </w:r>
      <w:r>
        <w:t>con</w:t>
      </w:r>
      <w:r>
        <w:rPr>
          <w:spacing w:val="-1"/>
        </w:rPr>
        <w:t xml:space="preserve"> </w:t>
      </w:r>
      <w:r>
        <w:t>el</w:t>
      </w:r>
      <w:r>
        <w:rPr>
          <w:spacing w:val="-2"/>
        </w:rPr>
        <w:t xml:space="preserve"> </w:t>
      </w:r>
      <w:r>
        <w:t>crimen</w:t>
      </w:r>
      <w:r>
        <w:rPr>
          <w:spacing w:val="-1"/>
        </w:rPr>
        <w:t xml:space="preserve"> </w:t>
      </w:r>
      <w:r>
        <w:t>organizado</w:t>
      </w:r>
      <w:r>
        <w:rPr>
          <w:spacing w:val="-3"/>
        </w:rPr>
        <w:t xml:space="preserve"> </w:t>
      </w:r>
      <w:r>
        <w:t>en</w:t>
      </w:r>
      <w:r>
        <w:rPr>
          <w:spacing w:val="-2"/>
        </w:rPr>
        <w:t xml:space="preserve"> </w:t>
      </w:r>
      <w:r>
        <w:t>busca</w:t>
      </w:r>
      <w:r>
        <w:rPr>
          <w:spacing w:val="-1"/>
        </w:rPr>
        <w:t xml:space="preserve"> </w:t>
      </w:r>
      <w:r>
        <w:t>de</w:t>
      </w:r>
      <w:r>
        <w:rPr>
          <w:spacing w:val="-2"/>
        </w:rPr>
        <w:t xml:space="preserve"> </w:t>
      </w:r>
      <w:r>
        <w:t>sus</w:t>
      </w:r>
      <w:r>
        <w:rPr>
          <w:spacing w:val="-2"/>
        </w:rPr>
        <w:t xml:space="preserve"> </w:t>
      </w:r>
      <w:r>
        <w:t>propios</w:t>
      </w:r>
      <w:r>
        <w:rPr>
          <w:spacing w:val="-1"/>
        </w:rPr>
        <w:t xml:space="preserve"> </w:t>
      </w:r>
      <w:r>
        <w:rPr>
          <w:spacing w:val="-2"/>
        </w:rPr>
        <w:t>objetivos.</w:t>
      </w:r>
    </w:p>
    <w:p w:rsidR="003804AC" w:rsidRDefault="00AF18A5" w:rsidP="001C3959">
      <w:r>
        <w:t xml:space="preserve">Los traumas colectivos son acontecimientos violentos que dejan marcas indelebles en la conciencia y en la memoria colectiva, en la historia de un pueblo, en su identidad y sentimiento de pertenencia común, hasta llegar a modificar su manera de ser y estar en el mundo y decidir su destino, por lo que se hace necesario actuar desde distintos puntos de vista sobre esas extremas experiencias y superar las fracturas a las que </w:t>
      </w:r>
      <w:r>
        <w:lastRenderedPageBreak/>
        <w:t>han dado lugar. Si bien las experiencias de violencia marcan un antes y un después en la continuidad de las vidas</w:t>
      </w:r>
      <w:r>
        <w:rPr>
          <w:spacing w:val="-7"/>
        </w:rPr>
        <w:t xml:space="preserve"> </w:t>
      </w:r>
      <w:r>
        <w:t>de</w:t>
      </w:r>
      <w:r>
        <w:rPr>
          <w:spacing w:val="-7"/>
        </w:rPr>
        <w:t xml:space="preserve"> </w:t>
      </w:r>
      <w:r>
        <w:t>las</w:t>
      </w:r>
      <w:r>
        <w:rPr>
          <w:spacing w:val="-7"/>
        </w:rPr>
        <w:t xml:space="preserve"> </w:t>
      </w:r>
      <w:r>
        <w:t>víctimas,</w:t>
      </w:r>
      <w:r>
        <w:rPr>
          <w:spacing w:val="-7"/>
        </w:rPr>
        <w:t xml:space="preserve"> </w:t>
      </w:r>
      <w:r>
        <w:t>también</w:t>
      </w:r>
      <w:r>
        <w:rPr>
          <w:spacing w:val="-7"/>
        </w:rPr>
        <w:t xml:space="preserve"> </w:t>
      </w:r>
      <w:r>
        <w:t>hay</w:t>
      </w:r>
      <w:r>
        <w:rPr>
          <w:spacing w:val="-7"/>
        </w:rPr>
        <w:t xml:space="preserve"> </w:t>
      </w:r>
      <w:r>
        <w:t>hechos</w:t>
      </w:r>
      <w:r>
        <w:rPr>
          <w:spacing w:val="-7"/>
        </w:rPr>
        <w:t xml:space="preserve"> </w:t>
      </w:r>
      <w:r>
        <w:t>que</w:t>
      </w:r>
      <w:r>
        <w:rPr>
          <w:spacing w:val="-7"/>
        </w:rPr>
        <w:t xml:space="preserve"> </w:t>
      </w:r>
      <w:r>
        <w:t>marcan</w:t>
      </w:r>
      <w:r>
        <w:rPr>
          <w:spacing w:val="-7"/>
        </w:rPr>
        <w:t xml:space="preserve"> </w:t>
      </w:r>
      <w:r>
        <w:t>la</w:t>
      </w:r>
      <w:r>
        <w:rPr>
          <w:spacing w:val="-7"/>
        </w:rPr>
        <w:t xml:space="preserve"> </w:t>
      </w:r>
      <w:r>
        <w:t>historia</w:t>
      </w:r>
      <w:r>
        <w:rPr>
          <w:spacing w:val="-7"/>
        </w:rPr>
        <w:t xml:space="preserve"> </w:t>
      </w:r>
      <w:r>
        <w:t>nacional</w:t>
      </w:r>
      <w:r>
        <w:rPr>
          <w:spacing w:val="-7"/>
        </w:rPr>
        <w:t xml:space="preserve"> </w:t>
      </w:r>
      <w:r>
        <w:t>o</w:t>
      </w:r>
      <w:r>
        <w:rPr>
          <w:spacing w:val="-7"/>
        </w:rPr>
        <w:t xml:space="preserve"> </w:t>
      </w:r>
      <w:r>
        <w:t>de</w:t>
      </w:r>
      <w:r>
        <w:rPr>
          <w:spacing w:val="-7"/>
        </w:rPr>
        <w:t xml:space="preserve"> </w:t>
      </w:r>
      <w:r>
        <w:t>determinados grupos sociales. El trauma social alude a la huella que ciertos procesos o hechos históricos dejan en la totalidad de las poblaciones afectadas</w:t>
      </w:r>
      <w:r w:rsidR="001C3959">
        <w:rPr>
          <w:rStyle w:val="Refdenotaalpie"/>
        </w:rPr>
        <w:footnoteReference w:id="15"/>
      </w:r>
      <w:r>
        <w:t>, con una particularidad digna de ser recordada: se trata de una experiencia compartida que tiene su origen en el desorden y las disfunciones sociales causadas por la pobreza, la desigualdad, la injusticia social, la corrupción política, etc., cuyo impacto va más allá del meramente personal.</w:t>
      </w:r>
    </w:p>
    <w:p w:rsidR="003804AC" w:rsidRDefault="00AF18A5" w:rsidP="001C3959">
      <w:r>
        <w:t>Cuando la violencia no es algo que llega de afuera, sino que se da en las propias comunidades</w:t>
      </w:r>
      <w:r>
        <w:rPr>
          <w:spacing w:val="-12"/>
        </w:rPr>
        <w:t xml:space="preserve"> </w:t>
      </w:r>
      <w:r>
        <w:t>por</w:t>
      </w:r>
      <w:r>
        <w:rPr>
          <w:spacing w:val="-11"/>
        </w:rPr>
        <w:t xml:space="preserve"> </w:t>
      </w:r>
      <w:r>
        <w:t>parte</w:t>
      </w:r>
      <w:r>
        <w:rPr>
          <w:spacing w:val="-12"/>
        </w:rPr>
        <w:t xml:space="preserve"> </w:t>
      </w:r>
      <w:r>
        <w:t>de</w:t>
      </w:r>
      <w:r>
        <w:rPr>
          <w:spacing w:val="-12"/>
        </w:rPr>
        <w:t xml:space="preserve"> </w:t>
      </w:r>
      <w:r>
        <w:t>personas</w:t>
      </w:r>
      <w:r>
        <w:rPr>
          <w:spacing w:val="-12"/>
        </w:rPr>
        <w:t xml:space="preserve"> </w:t>
      </w:r>
      <w:r>
        <w:t>pertenecientes</w:t>
      </w:r>
      <w:r>
        <w:rPr>
          <w:spacing w:val="-12"/>
        </w:rPr>
        <w:t xml:space="preserve"> </w:t>
      </w:r>
      <w:r>
        <w:t>a</w:t>
      </w:r>
      <w:r>
        <w:rPr>
          <w:spacing w:val="-12"/>
        </w:rPr>
        <w:t xml:space="preserve"> </w:t>
      </w:r>
      <w:r>
        <w:t>los</w:t>
      </w:r>
      <w:r>
        <w:rPr>
          <w:spacing w:val="-13"/>
        </w:rPr>
        <w:t xml:space="preserve"> </w:t>
      </w:r>
      <w:r>
        <w:t>grupos</w:t>
      </w:r>
      <w:r>
        <w:rPr>
          <w:spacing w:val="-12"/>
        </w:rPr>
        <w:t xml:space="preserve"> </w:t>
      </w:r>
      <w:r>
        <w:t>en</w:t>
      </w:r>
      <w:r>
        <w:rPr>
          <w:spacing w:val="-12"/>
        </w:rPr>
        <w:t xml:space="preserve"> </w:t>
      </w:r>
      <w:r>
        <w:t>conflicto;</w:t>
      </w:r>
      <w:r>
        <w:rPr>
          <w:spacing w:val="-11"/>
        </w:rPr>
        <w:t xml:space="preserve"> </w:t>
      </w:r>
      <w:r>
        <w:t>cuando</w:t>
      </w:r>
      <w:r>
        <w:rPr>
          <w:spacing w:val="-13"/>
        </w:rPr>
        <w:t xml:space="preserve"> </w:t>
      </w:r>
      <w:r>
        <w:t>la</w:t>
      </w:r>
      <w:r>
        <w:rPr>
          <w:spacing w:val="-13"/>
        </w:rPr>
        <w:t xml:space="preserve"> </w:t>
      </w:r>
      <w:r>
        <w:t>guerra no se da en un campo de batalla, sino en los escenarios y territorios de la vida cotidiana, en los ríos, ciénagas, manglares o quebradas que pertenecen al paisaje diario, el impacto traumático marca, además de lo vivido en el pasado, un presente que muchas veces lo recuerda de forma permanente. En la guerra de 60 años y sus antecedentes de violencia en Colombia, esos traumas colectivos han generado un impacto que pasa de una generación a otra durante décadas.</w:t>
      </w:r>
    </w:p>
    <w:p w:rsidR="003804AC" w:rsidRDefault="00AF18A5" w:rsidP="001C3959">
      <w:r>
        <w:t>Desde antes del inicio del conflicto armado, el asesinato de Jorge Eliécer Gaitán, el 9 de abril de 1948, dio paso a</w:t>
      </w:r>
      <w:r>
        <w:rPr>
          <w:spacing w:val="-1"/>
        </w:rPr>
        <w:t xml:space="preserve"> </w:t>
      </w:r>
      <w:r>
        <w:t>la violencia</w:t>
      </w:r>
      <w:r>
        <w:rPr>
          <w:spacing w:val="-1"/>
        </w:rPr>
        <w:t xml:space="preserve"> </w:t>
      </w:r>
      <w:r>
        <w:t>bipartidista</w:t>
      </w:r>
      <w:r>
        <w:rPr>
          <w:spacing w:val="-1"/>
        </w:rPr>
        <w:t xml:space="preserve"> </w:t>
      </w:r>
      <w:r>
        <w:t>que llevó</w:t>
      </w:r>
      <w:r>
        <w:rPr>
          <w:spacing w:val="-1"/>
        </w:rPr>
        <w:t xml:space="preserve"> </w:t>
      </w:r>
      <w:r>
        <w:t>a atrocidades de las que se</w:t>
      </w:r>
      <w:r>
        <w:rPr>
          <w:spacing w:val="-1"/>
        </w:rPr>
        <w:t xml:space="preserve"> </w:t>
      </w:r>
      <w:r>
        <w:t>habla solamente</w:t>
      </w:r>
      <w:r>
        <w:rPr>
          <w:spacing w:val="-4"/>
        </w:rPr>
        <w:t xml:space="preserve"> </w:t>
      </w:r>
      <w:r>
        <w:t>como</w:t>
      </w:r>
      <w:r>
        <w:rPr>
          <w:spacing w:val="-5"/>
        </w:rPr>
        <w:t xml:space="preserve"> </w:t>
      </w:r>
      <w:r>
        <w:t>una</w:t>
      </w:r>
      <w:r>
        <w:rPr>
          <w:spacing w:val="-4"/>
        </w:rPr>
        <w:t xml:space="preserve"> </w:t>
      </w:r>
      <w:r>
        <w:t>historia</w:t>
      </w:r>
      <w:r>
        <w:rPr>
          <w:spacing w:val="-4"/>
        </w:rPr>
        <w:t xml:space="preserve"> </w:t>
      </w:r>
      <w:r>
        <w:t>del</w:t>
      </w:r>
      <w:r>
        <w:rPr>
          <w:spacing w:val="-4"/>
        </w:rPr>
        <w:t xml:space="preserve"> </w:t>
      </w:r>
      <w:r>
        <w:t>pasado,</w:t>
      </w:r>
      <w:r>
        <w:rPr>
          <w:spacing w:val="-5"/>
        </w:rPr>
        <w:t xml:space="preserve"> </w:t>
      </w:r>
      <w:r>
        <w:t>como</w:t>
      </w:r>
      <w:r>
        <w:rPr>
          <w:spacing w:val="-5"/>
        </w:rPr>
        <w:t xml:space="preserve"> </w:t>
      </w:r>
      <w:r>
        <w:t>una</w:t>
      </w:r>
      <w:r>
        <w:rPr>
          <w:spacing w:val="-4"/>
        </w:rPr>
        <w:t xml:space="preserve"> </w:t>
      </w:r>
      <w:r>
        <w:t>época</w:t>
      </w:r>
      <w:r>
        <w:rPr>
          <w:spacing w:val="-4"/>
        </w:rPr>
        <w:t xml:space="preserve"> </w:t>
      </w:r>
      <w:r>
        <w:t>lejana</w:t>
      </w:r>
      <w:r>
        <w:rPr>
          <w:spacing w:val="-4"/>
        </w:rPr>
        <w:t xml:space="preserve"> </w:t>
      </w:r>
      <w:r>
        <w:t>de</w:t>
      </w:r>
      <w:r>
        <w:rPr>
          <w:spacing w:val="-4"/>
        </w:rPr>
        <w:t xml:space="preserve"> </w:t>
      </w:r>
      <w:r>
        <w:t>«La</w:t>
      </w:r>
      <w:r>
        <w:rPr>
          <w:spacing w:val="-4"/>
        </w:rPr>
        <w:t xml:space="preserve"> </w:t>
      </w:r>
      <w:r>
        <w:t>Violencia»,</w:t>
      </w:r>
      <w:r>
        <w:rPr>
          <w:spacing w:val="-5"/>
        </w:rPr>
        <w:t xml:space="preserve"> </w:t>
      </w:r>
      <w:r>
        <w:t>como</w:t>
      </w:r>
      <w:r>
        <w:rPr>
          <w:spacing w:val="-5"/>
        </w:rPr>
        <w:t xml:space="preserve"> </w:t>
      </w:r>
      <w:r>
        <w:t>si no</w:t>
      </w:r>
      <w:r>
        <w:rPr>
          <w:spacing w:val="1"/>
        </w:rPr>
        <w:t xml:space="preserve"> </w:t>
      </w:r>
      <w:r>
        <w:t>tuviera</w:t>
      </w:r>
      <w:r>
        <w:rPr>
          <w:spacing w:val="4"/>
        </w:rPr>
        <w:t xml:space="preserve"> </w:t>
      </w:r>
      <w:r>
        <w:t>que</w:t>
      </w:r>
      <w:r>
        <w:rPr>
          <w:spacing w:val="4"/>
        </w:rPr>
        <w:t xml:space="preserve"> </w:t>
      </w:r>
      <w:r>
        <w:t>ver</w:t>
      </w:r>
      <w:r>
        <w:rPr>
          <w:spacing w:val="5"/>
        </w:rPr>
        <w:t xml:space="preserve"> </w:t>
      </w:r>
      <w:r>
        <w:t>con</w:t>
      </w:r>
      <w:r>
        <w:rPr>
          <w:spacing w:val="2"/>
        </w:rPr>
        <w:t xml:space="preserve"> </w:t>
      </w:r>
      <w:r>
        <w:t>la</w:t>
      </w:r>
      <w:r>
        <w:rPr>
          <w:spacing w:val="4"/>
        </w:rPr>
        <w:t xml:space="preserve"> </w:t>
      </w:r>
      <w:r>
        <w:t>Colombia</w:t>
      </w:r>
      <w:r>
        <w:rPr>
          <w:spacing w:val="2"/>
        </w:rPr>
        <w:t xml:space="preserve"> </w:t>
      </w:r>
      <w:r>
        <w:t>de</w:t>
      </w:r>
      <w:r>
        <w:rPr>
          <w:spacing w:val="5"/>
        </w:rPr>
        <w:t xml:space="preserve"> </w:t>
      </w:r>
      <w:r>
        <w:t>hoy.</w:t>
      </w:r>
      <w:r>
        <w:rPr>
          <w:spacing w:val="3"/>
        </w:rPr>
        <w:t xml:space="preserve"> </w:t>
      </w:r>
      <w:r>
        <w:t>A</w:t>
      </w:r>
      <w:r>
        <w:rPr>
          <w:spacing w:val="3"/>
        </w:rPr>
        <w:t xml:space="preserve"> </w:t>
      </w:r>
      <w:r>
        <w:t>partir</w:t>
      </w:r>
      <w:r>
        <w:rPr>
          <w:spacing w:val="4"/>
        </w:rPr>
        <w:t xml:space="preserve"> </w:t>
      </w:r>
      <w:r>
        <w:t>de</w:t>
      </w:r>
      <w:r>
        <w:rPr>
          <w:spacing w:val="3"/>
        </w:rPr>
        <w:t xml:space="preserve"> </w:t>
      </w:r>
      <w:r>
        <w:t>la</w:t>
      </w:r>
      <w:r>
        <w:rPr>
          <w:spacing w:val="4"/>
        </w:rPr>
        <w:t xml:space="preserve"> </w:t>
      </w:r>
      <w:r>
        <w:t>Ley</w:t>
      </w:r>
      <w:r>
        <w:rPr>
          <w:spacing w:val="3"/>
        </w:rPr>
        <w:t xml:space="preserve"> </w:t>
      </w:r>
      <w:r>
        <w:t>de</w:t>
      </w:r>
      <w:r>
        <w:rPr>
          <w:spacing w:val="4"/>
        </w:rPr>
        <w:t xml:space="preserve"> </w:t>
      </w:r>
      <w:r>
        <w:t>Víctimas,</w:t>
      </w:r>
      <w:r>
        <w:rPr>
          <w:spacing w:val="4"/>
        </w:rPr>
        <w:t xml:space="preserve"> </w:t>
      </w:r>
      <w:r>
        <w:t>desde</w:t>
      </w:r>
      <w:r>
        <w:rPr>
          <w:spacing w:val="2"/>
        </w:rPr>
        <w:t xml:space="preserve"> </w:t>
      </w:r>
      <w:r>
        <w:t>2011</w:t>
      </w:r>
      <w:r>
        <w:rPr>
          <w:spacing w:val="3"/>
        </w:rPr>
        <w:t xml:space="preserve"> </w:t>
      </w:r>
      <w:r>
        <w:t>el</w:t>
      </w:r>
      <w:r>
        <w:rPr>
          <w:spacing w:val="5"/>
        </w:rPr>
        <w:t xml:space="preserve"> </w:t>
      </w:r>
      <w:r>
        <w:rPr>
          <w:spacing w:val="-10"/>
        </w:rPr>
        <w:t>9</w:t>
      </w:r>
      <w:bookmarkStart w:id="31" w:name="_bookmark19"/>
      <w:bookmarkEnd w:id="31"/>
      <w:r w:rsidR="001C3959">
        <w:rPr>
          <w:spacing w:val="-10"/>
        </w:rPr>
        <w:t xml:space="preserve"> </w:t>
      </w:r>
      <w:r>
        <w:t xml:space="preserve">de abril se conmemora como el Día de las Víctimas, pero no se </w:t>
      </w:r>
      <w:r>
        <w:lastRenderedPageBreak/>
        <w:t>ha dado lugar a una elaboración colectiva que permita enfrentar lo sucedido y sus consecuencias. El pacto del Frente</w:t>
      </w:r>
      <w:r>
        <w:rPr>
          <w:spacing w:val="-3"/>
        </w:rPr>
        <w:t xml:space="preserve"> </w:t>
      </w:r>
      <w:r>
        <w:t>Nacional</w:t>
      </w:r>
      <w:r>
        <w:rPr>
          <w:spacing w:val="-3"/>
        </w:rPr>
        <w:t xml:space="preserve"> </w:t>
      </w:r>
      <w:r>
        <w:t>fue</w:t>
      </w:r>
      <w:r>
        <w:rPr>
          <w:spacing w:val="-3"/>
        </w:rPr>
        <w:t xml:space="preserve"> </w:t>
      </w:r>
      <w:r>
        <w:t>un</w:t>
      </w:r>
      <w:r>
        <w:rPr>
          <w:spacing w:val="-6"/>
        </w:rPr>
        <w:t xml:space="preserve"> </w:t>
      </w:r>
      <w:r>
        <w:t>acuerdo</w:t>
      </w:r>
      <w:r>
        <w:rPr>
          <w:spacing w:val="-4"/>
        </w:rPr>
        <w:t xml:space="preserve"> </w:t>
      </w:r>
      <w:r>
        <w:t>de</w:t>
      </w:r>
      <w:r>
        <w:rPr>
          <w:spacing w:val="-5"/>
        </w:rPr>
        <w:t xml:space="preserve"> </w:t>
      </w:r>
      <w:r>
        <w:t>las</w:t>
      </w:r>
      <w:r>
        <w:rPr>
          <w:spacing w:val="-3"/>
        </w:rPr>
        <w:t xml:space="preserve"> </w:t>
      </w:r>
      <w:r>
        <w:t>élites</w:t>
      </w:r>
      <w:r>
        <w:rPr>
          <w:spacing w:val="-5"/>
        </w:rPr>
        <w:t xml:space="preserve"> </w:t>
      </w:r>
      <w:r>
        <w:t>políticas,</w:t>
      </w:r>
      <w:r>
        <w:rPr>
          <w:spacing w:val="-4"/>
        </w:rPr>
        <w:t xml:space="preserve"> </w:t>
      </w:r>
      <w:r>
        <w:t>desde</w:t>
      </w:r>
      <w:r>
        <w:rPr>
          <w:spacing w:val="-5"/>
        </w:rPr>
        <w:t xml:space="preserve"> </w:t>
      </w:r>
      <w:r>
        <w:t>arriba,</w:t>
      </w:r>
      <w:r>
        <w:rPr>
          <w:spacing w:val="-4"/>
        </w:rPr>
        <w:t xml:space="preserve"> </w:t>
      </w:r>
      <w:r>
        <w:t>que</w:t>
      </w:r>
      <w:r>
        <w:rPr>
          <w:spacing w:val="-5"/>
        </w:rPr>
        <w:t xml:space="preserve"> </w:t>
      </w:r>
      <w:r>
        <w:t>trajo</w:t>
      </w:r>
      <w:r>
        <w:rPr>
          <w:spacing w:val="-5"/>
        </w:rPr>
        <w:t xml:space="preserve"> </w:t>
      </w:r>
      <w:r>
        <w:t>la</w:t>
      </w:r>
      <w:r>
        <w:rPr>
          <w:spacing w:val="-3"/>
        </w:rPr>
        <w:t xml:space="preserve"> </w:t>
      </w:r>
      <w:r>
        <w:t>pacificación, pero también la exclusión de otros sectores. Las consecuencias se mantuvieron y profundizaron</w:t>
      </w:r>
      <w:r>
        <w:rPr>
          <w:spacing w:val="-13"/>
        </w:rPr>
        <w:t xml:space="preserve"> </w:t>
      </w:r>
      <w:r>
        <w:t>heridas</w:t>
      </w:r>
      <w:r>
        <w:rPr>
          <w:spacing w:val="-13"/>
        </w:rPr>
        <w:t xml:space="preserve"> </w:t>
      </w:r>
      <w:r>
        <w:t>colectivas</w:t>
      </w:r>
      <w:r>
        <w:rPr>
          <w:spacing w:val="-13"/>
        </w:rPr>
        <w:t xml:space="preserve"> </w:t>
      </w:r>
      <w:r>
        <w:t>durante</w:t>
      </w:r>
      <w:r>
        <w:rPr>
          <w:spacing w:val="-14"/>
        </w:rPr>
        <w:t xml:space="preserve"> </w:t>
      </w:r>
      <w:r>
        <w:t>mucho</w:t>
      </w:r>
      <w:r>
        <w:rPr>
          <w:spacing w:val="-14"/>
        </w:rPr>
        <w:t xml:space="preserve"> </w:t>
      </w:r>
      <w:r>
        <w:t>tiempo.</w:t>
      </w:r>
      <w:r>
        <w:rPr>
          <w:spacing w:val="-13"/>
        </w:rPr>
        <w:t xml:space="preserve"> </w:t>
      </w:r>
      <w:r>
        <w:t>La</w:t>
      </w:r>
      <w:r>
        <w:rPr>
          <w:spacing w:val="-14"/>
        </w:rPr>
        <w:t xml:space="preserve"> </w:t>
      </w:r>
      <w:r>
        <w:t>paz</w:t>
      </w:r>
      <w:r>
        <w:rPr>
          <w:spacing w:val="-13"/>
        </w:rPr>
        <w:t xml:space="preserve"> </w:t>
      </w:r>
      <w:r>
        <w:t>no</w:t>
      </w:r>
      <w:r>
        <w:rPr>
          <w:spacing w:val="-13"/>
        </w:rPr>
        <w:t xml:space="preserve"> </w:t>
      </w:r>
      <w:r>
        <w:t>se</w:t>
      </w:r>
      <w:r>
        <w:rPr>
          <w:spacing w:val="-14"/>
        </w:rPr>
        <w:t xml:space="preserve"> </w:t>
      </w:r>
      <w:r>
        <w:t>hace</w:t>
      </w:r>
      <w:r>
        <w:rPr>
          <w:spacing w:val="-13"/>
        </w:rPr>
        <w:t xml:space="preserve"> </w:t>
      </w:r>
      <w:r>
        <w:t>en</w:t>
      </w:r>
      <w:r>
        <w:rPr>
          <w:spacing w:val="-13"/>
        </w:rPr>
        <w:t xml:space="preserve"> </w:t>
      </w:r>
      <w:r>
        <w:t>esos</w:t>
      </w:r>
      <w:r>
        <w:rPr>
          <w:spacing w:val="-13"/>
        </w:rPr>
        <w:t xml:space="preserve"> </w:t>
      </w:r>
      <w:r>
        <w:t>casos</w:t>
      </w:r>
      <w:r>
        <w:rPr>
          <w:spacing w:val="-13"/>
        </w:rPr>
        <w:t xml:space="preserve"> </w:t>
      </w:r>
      <w:r>
        <w:t>solo con acuerdos políticos entre las partes enfrentadas, sino también desde abajo, abriendo espacios para la reconstrucción de procesos locales o de lazos colectivos.</w:t>
      </w:r>
    </w:p>
    <w:p w:rsidR="003804AC" w:rsidRDefault="00AF18A5" w:rsidP="009D148F">
      <w:r>
        <w:t>Como hitos fragmentados, estos y otros hechos marcan la historia del país. Durante el periodo del Estatuto de Seguridad (1978-1982), miles de personas fueron detenidas y torturadas</w:t>
      </w:r>
      <w:r>
        <w:rPr>
          <w:spacing w:val="-5"/>
        </w:rPr>
        <w:t xml:space="preserve"> </w:t>
      </w:r>
      <w:r>
        <w:t>de</w:t>
      </w:r>
      <w:r>
        <w:rPr>
          <w:spacing w:val="-5"/>
        </w:rPr>
        <w:t xml:space="preserve"> </w:t>
      </w:r>
      <w:r>
        <w:t>forma</w:t>
      </w:r>
      <w:r>
        <w:rPr>
          <w:spacing w:val="-5"/>
        </w:rPr>
        <w:t xml:space="preserve"> </w:t>
      </w:r>
      <w:r>
        <w:t>arbitraria.</w:t>
      </w:r>
      <w:r>
        <w:rPr>
          <w:spacing w:val="-5"/>
        </w:rPr>
        <w:t xml:space="preserve"> </w:t>
      </w:r>
      <w:r>
        <w:t>El</w:t>
      </w:r>
      <w:r>
        <w:rPr>
          <w:spacing w:val="-4"/>
        </w:rPr>
        <w:t xml:space="preserve"> </w:t>
      </w:r>
      <w:r>
        <w:t>asalto</w:t>
      </w:r>
      <w:r>
        <w:rPr>
          <w:spacing w:val="-5"/>
        </w:rPr>
        <w:t xml:space="preserve"> </w:t>
      </w:r>
      <w:r>
        <w:t>al</w:t>
      </w:r>
      <w:r>
        <w:rPr>
          <w:spacing w:val="-4"/>
        </w:rPr>
        <w:t xml:space="preserve"> </w:t>
      </w:r>
      <w:r>
        <w:t>Palacio</w:t>
      </w:r>
      <w:r>
        <w:rPr>
          <w:spacing w:val="-5"/>
        </w:rPr>
        <w:t xml:space="preserve"> </w:t>
      </w:r>
      <w:r>
        <w:t>de</w:t>
      </w:r>
      <w:r>
        <w:rPr>
          <w:spacing w:val="-5"/>
        </w:rPr>
        <w:t xml:space="preserve"> </w:t>
      </w:r>
      <w:r>
        <w:t>Justicia</w:t>
      </w:r>
      <w:r>
        <w:rPr>
          <w:spacing w:val="-6"/>
        </w:rPr>
        <w:t xml:space="preserve"> </w:t>
      </w:r>
      <w:r>
        <w:t>en</w:t>
      </w:r>
      <w:r>
        <w:rPr>
          <w:spacing w:val="-5"/>
        </w:rPr>
        <w:t xml:space="preserve"> </w:t>
      </w:r>
      <w:r>
        <w:t>1985</w:t>
      </w:r>
      <w:r>
        <w:rPr>
          <w:spacing w:val="-5"/>
        </w:rPr>
        <w:t xml:space="preserve"> </w:t>
      </w:r>
      <w:r>
        <w:t>supuso</w:t>
      </w:r>
      <w:r>
        <w:rPr>
          <w:spacing w:val="-5"/>
        </w:rPr>
        <w:t xml:space="preserve"> </w:t>
      </w:r>
      <w:r>
        <w:t>un</w:t>
      </w:r>
      <w:r>
        <w:rPr>
          <w:spacing w:val="-5"/>
        </w:rPr>
        <w:t xml:space="preserve"> </w:t>
      </w:r>
      <w:r>
        <w:t>ataque</w:t>
      </w:r>
      <w:r>
        <w:rPr>
          <w:spacing w:val="-5"/>
        </w:rPr>
        <w:t xml:space="preserve"> </w:t>
      </w:r>
      <w:r>
        <w:t>a</w:t>
      </w:r>
      <w:r>
        <w:rPr>
          <w:spacing w:val="-5"/>
        </w:rPr>
        <w:t xml:space="preserve"> </w:t>
      </w:r>
      <w:r>
        <w:t>las altas</w:t>
      </w:r>
      <w:r>
        <w:rPr>
          <w:spacing w:val="-6"/>
        </w:rPr>
        <w:t xml:space="preserve"> </w:t>
      </w:r>
      <w:r>
        <w:t>cortes</w:t>
      </w:r>
      <w:r>
        <w:rPr>
          <w:spacing w:val="-7"/>
        </w:rPr>
        <w:t xml:space="preserve"> </w:t>
      </w:r>
      <w:r>
        <w:t>y</w:t>
      </w:r>
      <w:r>
        <w:rPr>
          <w:spacing w:val="-6"/>
        </w:rPr>
        <w:t xml:space="preserve"> </w:t>
      </w:r>
      <w:r>
        <w:t>al</w:t>
      </w:r>
      <w:r>
        <w:rPr>
          <w:spacing w:val="-6"/>
        </w:rPr>
        <w:t xml:space="preserve"> </w:t>
      </w:r>
      <w:r>
        <w:t>propio</w:t>
      </w:r>
      <w:r>
        <w:rPr>
          <w:spacing w:val="-6"/>
        </w:rPr>
        <w:t xml:space="preserve"> </w:t>
      </w:r>
      <w:r>
        <w:t>sentido</w:t>
      </w:r>
      <w:r>
        <w:rPr>
          <w:spacing w:val="-6"/>
        </w:rPr>
        <w:t xml:space="preserve"> </w:t>
      </w:r>
      <w:r>
        <w:t>de</w:t>
      </w:r>
      <w:r>
        <w:rPr>
          <w:spacing w:val="-7"/>
        </w:rPr>
        <w:t xml:space="preserve"> </w:t>
      </w:r>
      <w:r>
        <w:t>la</w:t>
      </w:r>
      <w:r>
        <w:rPr>
          <w:spacing w:val="-7"/>
        </w:rPr>
        <w:t xml:space="preserve"> </w:t>
      </w:r>
      <w:r>
        <w:t>justicia.</w:t>
      </w:r>
      <w:r>
        <w:rPr>
          <w:spacing w:val="-6"/>
        </w:rPr>
        <w:t xml:space="preserve"> </w:t>
      </w:r>
      <w:r>
        <w:t>El</w:t>
      </w:r>
      <w:r>
        <w:rPr>
          <w:spacing w:val="-6"/>
        </w:rPr>
        <w:t xml:space="preserve"> </w:t>
      </w:r>
      <w:r>
        <w:t>asesinato</w:t>
      </w:r>
      <w:r>
        <w:rPr>
          <w:spacing w:val="-6"/>
        </w:rPr>
        <w:t xml:space="preserve"> </w:t>
      </w:r>
      <w:r>
        <w:t>de</w:t>
      </w:r>
      <w:r>
        <w:rPr>
          <w:spacing w:val="-6"/>
        </w:rPr>
        <w:t xml:space="preserve"> </w:t>
      </w:r>
      <w:r>
        <w:t>candidatos</w:t>
      </w:r>
      <w:r>
        <w:rPr>
          <w:spacing w:val="-6"/>
        </w:rPr>
        <w:t xml:space="preserve"> </w:t>
      </w:r>
      <w:r>
        <w:t>presidenciales</w:t>
      </w:r>
      <w:r>
        <w:rPr>
          <w:spacing w:val="-7"/>
        </w:rPr>
        <w:t xml:space="preserve"> </w:t>
      </w:r>
      <w:r>
        <w:t>en</w:t>
      </w:r>
      <w:r>
        <w:rPr>
          <w:spacing w:val="-6"/>
        </w:rPr>
        <w:t xml:space="preserve"> </w:t>
      </w:r>
      <w:r>
        <w:t>los magnicidios</w:t>
      </w:r>
      <w:r>
        <w:rPr>
          <w:spacing w:val="-11"/>
        </w:rPr>
        <w:t xml:space="preserve"> </w:t>
      </w:r>
      <w:r>
        <w:t>de</w:t>
      </w:r>
      <w:r>
        <w:rPr>
          <w:spacing w:val="-9"/>
        </w:rPr>
        <w:t xml:space="preserve"> </w:t>
      </w:r>
      <w:r>
        <w:t>Jaime</w:t>
      </w:r>
      <w:r>
        <w:rPr>
          <w:spacing w:val="-9"/>
        </w:rPr>
        <w:t xml:space="preserve"> </w:t>
      </w:r>
      <w:r>
        <w:t>Pardo</w:t>
      </w:r>
      <w:r>
        <w:rPr>
          <w:spacing w:val="-10"/>
        </w:rPr>
        <w:t xml:space="preserve"> </w:t>
      </w:r>
      <w:r>
        <w:t>Leal,</w:t>
      </w:r>
      <w:r>
        <w:rPr>
          <w:spacing w:val="-10"/>
        </w:rPr>
        <w:t xml:space="preserve"> </w:t>
      </w:r>
      <w:r>
        <w:t>Bernardo</w:t>
      </w:r>
      <w:r>
        <w:rPr>
          <w:spacing w:val="-10"/>
        </w:rPr>
        <w:t xml:space="preserve"> </w:t>
      </w:r>
      <w:r>
        <w:t>Jaramillo,</w:t>
      </w:r>
      <w:r>
        <w:rPr>
          <w:spacing w:val="-10"/>
        </w:rPr>
        <w:t xml:space="preserve"> </w:t>
      </w:r>
      <w:r>
        <w:t>Luis</w:t>
      </w:r>
      <w:r>
        <w:rPr>
          <w:spacing w:val="-10"/>
        </w:rPr>
        <w:t xml:space="preserve"> </w:t>
      </w:r>
      <w:r>
        <w:t>Carlos</w:t>
      </w:r>
      <w:r>
        <w:rPr>
          <w:spacing w:val="-10"/>
        </w:rPr>
        <w:t xml:space="preserve"> </w:t>
      </w:r>
      <w:r>
        <w:t>Galán</w:t>
      </w:r>
      <w:r>
        <w:rPr>
          <w:spacing w:val="-10"/>
        </w:rPr>
        <w:t xml:space="preserve"> </w:t>
      </w:r>
      <w:r>
        <w:t>y</w:t>
      </w:r>
      <w:r>
        <w:rPr>
          <w:spacing w:val="-10"/>
        </w:rPr>
        <w:t xml:space="preserve"> </w:t>
      </w:r>
      <w:r>
        <w:t>Carlos</w:t>
      </w:r>
      <w:r>
        <w:rPr>
          <w:spacing w:val="-10"/>
        </w:rPr>
        <w:t xml:space="preserve"> </w:t>
      </w:r>
      <w:r>
        <w:t>Pizarro</w:t>
      </w:r>
      <w:r>
        <w:rPr>
          <w:spacing w:val="-10"/>
        </w:rPr>
        <w:t xml:space="preserve"> </w:t>
      </w:r>
      <w:r>
        <w:t>en el periodo 1989-1990 conllevó el cierre de las posibilidades políticas de la alternancia democrática por parte de grupos de oposición. Si bien la Constitución de 1991 fue un pacto fundacional</w:t>
      </w:r>
      <w:r>
        <w:rPr>
          <w:spacing w:val="-1"/>
        </w:rPr>
        <w:t xml:space="preserve"> </w:t>
      </w:r>
      <w:r>
        <w:t>para un nuevo tiempo, y</w:t>
      </w:r>
      <w:r>
        <w:rPr>
          <w:spacing w:val="-1"/>
        </w:rPr>
        <w:t xml:space="preserve"> </w:t>
      </w:r>
      <w:r>
        <w:t>ha tenido efectos positivos para el país y sus esfuerzos democratizadores, esas heridas no han sido suficiente ni integralmente abordadas durante décadas. A ellas se fueron añadiendo nuevos hechos, estados de conmoción interior y periodos de extensión de la guerra que han supuesto un antes y un después en la historia de diferentes sectores sociales.</w:t>
      </w:r>
    </w:p>
    <w:p w:rsidR="003804AC" w:rsidRDefault="00AF18A5" w:rsidP="009D148F">
      <w:r>
        <w:t>Las masacres paramilitares, los años de extensión del secuestro de las FARC-EP, las tomas guerrilleras o los bombardeos de comunidades, marcaron la historia colectiva de Colombia hasta hoy, muchas veces de forma segmentada en función de las distintas sensibilidades</w:t>
      </w:r>
      <w:r>
        <w:rPr>
          <w:spacing w:val="-6"/>
        </w:rPr>
        <w:t xml:space="preserve"> </w:t>
      </w:r>
      <w:r>
        <w:t>políticas.</w:t>
      </w:r>
      <w:r>
        <w:rPr>
          <w:spacing w:val="-7"/>
        </w:rPr>
        <w:t xml:space="preserve"> </w:t>
      </w:r>
      <w:r>
        <w:t>En</w:t>
      </w:r>
      <w:r>
        <w:rPr>
          <w:spacing w:val="-6"/>
        </w:rPr>
        <w:t xml:space="preserve"> </w:t>
      </w:r>
      <w:r>
        <w:t>otros</w:t>
      </w:r>
      <w:r>
        <w:rPr>
          <w:spacing w:val="-7"/>
        </w:rPr>
        <w:t xml:space="preserve"> </w:t>
      </w:r>
      <w:r>
        <w:t>casos,</w:t>
      </w:r>
      <w:r>
        <w:rPr>
          <w:spacing w:val="-6"/>
        </w:rPr>
        <w:t xml:space="preserve"> </w:t>
      </w:r>
      <w:r>
        <w:t>los</w:t>
      </w:r>
      <w:r>
        <w:rPr>
          <w:spacing w:val="-7"/>
        </w:rPr>
        <w:t xml:space="preserve"> </w:t>
      </w:r>
      <w:r>
        <w:t>intentos</w:t>
      </w:r>
      <w:r>
        <w:rPr>
          <w:spacing w:val="-6"/>
        </w:rPr>
        <w:t xml:space="preserve"> </w:t>
      </w:r>
      <w:r>
        <w:t>de</w:t>
      </w:r>
      <w:r>
        <w:rPr>
          <w:spacing w:val="-6"/>
        </w:rPr>
        <w:t xml:space="preserve"> </w:t>
      </w:r>
      <w:r>
        <w:t>salidas</w:t>
      </w:r>
      <w:r>
        <w:rPr>
          <w:spacing w:val="-7"/>
        </w:rPr>
        <w:t xml:space="preserve"> </w:t>
      </w:r>
      <w:r>
        <w:t>negociadas</w:t>
      </w:r>
      <w:r>
        <w:rPr>
          <w:spacing w:val="-7"/>
        </w:rPr>
        <w:t xml:space="preserve"> </w:t>
      </w:r>
      <w:r>
        <w:t>al</w:t>
      </w:r>
      <w:r>
        <w:rPr>
          <w:spacing w:val="-5"/>
        </w:rPr>
        <w:t xml:space="preserve"> </w:t>
      </w:r>
      <w:r>
        <w:t>conflicto,</w:t>
      </w:r>
      <w:r>
        <w:rPr>
          <w:spacing w:val="-8"/>
        </w:rPr>
        <w:t xml:space="preserve"> </w:t>
      </w:r>
      <w:r>
        <w:t>como el</w:t>
      </w:r>
      <w:r>
        <w:rPr>
          <w:spacing w:val="-7"/>
        </w:rPr>
        <w:t xml:space="preserve"> </w:t>
      </w:r>
      <w:r>
        <w:lastRenderedPageBreak/>
        <w:t>Acuerdo</w:t>
      </w:r>
      <w:r>
        <w:rPr>
          <w:spacing w:val="-7"/>
        </w:rPr>
        <w:t xml:space="preserve"> </w:t>
      </w:r>
      <w:r>
        <w:t>de</w:t>
      </w:r>
      <w:r>
        <w:rPr>
          <w:spacing w:val="-7"/>
        </w:rPr>
        <w:t xml:space="preserve"> </w:t>
      </w:r>
      <w:r>
        <w:t>La</w:t>
      </w:r>
      <w:r>
        <w:rPr>
          <w:spacing w:val="-7"/>
        </w:rPr>
        <w:t xml:space="preserve"> </w:t>
      </w:r>
      <w:r>
        <w:t>Uribe</w:t>
      </w:r>
      <w:r>
        <w:rPr>
          <w:spacing w:val="-7"/>
        </w:rPr>
        <w:t xml:space="preserve"> </w:t>
      </w:r>
      <w:r>
        <w:t>que</w:t>
      </w:r>
      <w:r>
        <w:rPr>
          <w:spacing w:val="-7"/>
        </w:rPr>
        <w:t xml:space="preserve"> </w:t>
      </w:r>
      <w:r>
        <w:t>dio</w:t>
      </w:r>
      <w:r>
        <w:rPr>
          <w:spacing w:val="-7"/>
        </w:rPr>
        <w:t xml:space="preserve"> </w:t>
      </w:r>
      <w:r>
        <w:t>lugar</w:t>
      </w:r>
      <w:r>
        <w:rPr>
          <w:spacing w:val="-7"/>
        </w:rPr>
        <w:t xml:space="preserve"> </w:t>
      </w:r>
      <w:r>
        <w:t>al</w:t>
      </w:r>
      <w:r>
        <w:rPr>
          <w:spacing w:val="-7"/>
        </w:rPr>
        <w:t xml:space="preserve"> </w:t>
      </w:r>
      <w:r>
        <w:t>nacimiento</w:t>
      </w:r>
      <w:r>
        <w:rPr>
          <w:spacing w:val="-7"/>
        </w:rPr>
        <w:t xml:space="preserve"> </w:t>
      </w:r>
      <w:r>
        <w:t>de</w:t>
      </w:r>
      <w:r>
        <w:rPr>
          <w:spacing w:val="-7"/>
        </w:rPr>
        <w:t xml:space="preserve"> </w:t>
      </w:r>
      <w:r>
        <w:t>la</w:t>
      </w:r>
      <w:r>
        <w:rPr>
          <w:spacing w:val="-7"/>
        </w:rPr>
        <w:t xml:space="preserve"> </w:t>
      </w:r>
      <w:r>
        <w:t>UP</w:t>
      </w:r>
      <w:r>
        <w:rPr>
          <w:spacing w:val="-6"/>
        </w:rPr>
        <w:t xml:space="preserve"> </w:t>
      </w:r>
      <w:r>
        <w:t>(1985)</w:t>
      </w:r>
      <w:r>
        <w:rPr>
          <w:spacing w:val="-7"/>
        </w:rPr>
        <w:t xml:space="preserve"> </w:t>
      </w:r>
      <w:r>
        <w:t>y</w:t>
      </w:r>
      <w:r>
        <w:rPr>
          <w:spacing w:val="-7"/>
        </w:rPr>
        <w:t xml:space="preserve"> </w:t>
      </w:r>
      <w:r>
        <w:t>su</w:t>
      </w:r>
      <w:r>
        <w:rPr>
          <w:spacing w:val="-6"/>
        </w:rPr>
        <w:t xml:space="preserve"> </w:t>
      </w:r>
      <w:r>
        <w:t>posterior</w:t>
      </w:r>
      <w:r>
        <w:rPr>
          <w:spacing w:val="-7"/>
        </w:rPr>
        <w:t xml:space="preserve"> </w:t>
      </w:r>
      <w:r>
        <w:t>genocidio político,</w:t>
      </w:r>
      <w:r>
        <w:rPr>
          <w:spacing w:val="-15"/>
        </w:rPr>
        <w:t xml:space="preserve"> </w:t>
      </w:r>
      <w:r>
        <w:t>y</w:t>
      </w:r>
      <w:r>
        <w:rPr>
          <w:spacing w:val="-15"/>
        </w:rPr>
        <w:t xml:space="preserve"> </w:t>
      </w:r>
      <w:r>
        <w:t>el</w:t>
      </w:r>
      <w:r>
        <w:rPr>
          <w:spacing w:val="-15"/>
        </w:rPr>
        <w:t xml:space="preserve"> </w:t>
      </w:r>
      <w:r>
        <w:t>fracaso</w:t>
      </w:r>
      <w:r>
        <w:rPr>
          <w:spacing w:val="-15"/>
        </w:rPr>
        <w:t xml:space="preserve"> </w:t>
      </w:r>
      <w:r>
        <w:t>de</w:t>
      </w:r>
      <w:r>
        <w:rPr>
          <w:spacing w:val="-15"/>
        </w:rPr>
        <w:t xml:space="preserve"> </w:t>
      </w:r>
      <w:r>
        <w:t>los</w:t>
      </w:r>
      <w:r>
        <w:rPr>
          <w:spacing w:val="-15"/>
        </w:rPr>
        <w:t xml:space="preserve"> </w:t>
      </w:r>
      <w:r>
        <w:t>diálogos</w:t>
      </w:r>
      <w:r>
        <w:rPr>
          <w:spacing w:val="-15"/>
        </w:rPr>
        <w:t xml:space="preserve"> </w:t>
      </w:r>
      <w:r>
        <w:t>del</w:t>
      </w:r>
      <w:r>
        <w:rPr>
          <w:spacing w:val="-15"/>
        </w:rPr>
        <w:t xml:space="preserve"> </w:t>
      </w:r>
      <w:r>
        <w:t>Caguán</w:t>
      </w:r>
      <w:r>
        <w:rPr>
          <w:spacing w:val="-15"/>
        </w:rPr>
        <w:t xml:space="preserve"> </w:t>
      </w:r>
      <w:r>
        <w:t>en</w:t>
      </w:r>
      <w:r>
        <w:rPr>
          <w:spacing w:val="-15"/>
        </w:rPr>
        <w:t xml:space="preserve"> </w:t>
      </w:r>
      <w:r>
        <w:t>2001,</w:t>
      </w:r>
      <w:r>
        <w:rPr>
          <w:spacing w:val="-15"/>
        </w:rPr>
        <w:t xml:space="preserve"> </w:t>
      </w:r>
      <w:r>
        <w:t>marcaron</w:t>
      </w:r>
      <w:r>
        <w:rPr>
          <w:spacing w:val="-15"/>
        </w:rPr>
        <w:t xml:space="preserve"> </w:t>
      </w:r>
      <w:r>
        <w:t>un</w:t>
      </w:r>
      <w:r>
        <w:rPr>
          <w:spacing w:val="-15"/>
        </w:rPr>
        <w:t xml:space="preserve"> </w:t>
      </w:r>
      <w:r>
        <w:t>quiebre</w:t>
      </w:r>
      <w:r>
        <w:rPr>
          <w:spacing w:val="-15"/>
        </w:rPr>
        <w:t xml:space="preserve"> </w:t>
      </w:r>
      <w:r>
        <w:t>en</w:t>
      </w:r>
      <w:r>
        <w:rPr>
          <w:spacing w:val="-15"/>
        </w:rPr>
        <w:t xml:space="preserve"> </w:t>
      </w:r>
      <w:r>
        <w:t>la</w:t>
      </w:r>
      <w:r>
        <w:rPr>
          <w:spacing w:val="-15"/>
        </w:rPr>
        <w:t xml:space="preserve"> </w:t>
      </w:r>
      <w:r>
        <w:t>esperanza de la construcción de la paz y la democratización del país.</w:t>
      </w:r>
    </w:p>
    <w:p w:rsidR="003804AC" w:rsidRDefault="00AF18A5" w:rsidP="009D148F">
      <w:r>
        <w:t>Muchos</w:t>
      </w:r>
      <w:r>
        <w:rPr>
          <w:spacing w:val="-10"/>
        </w:rPr>
        <w:t xml:space="preserve"> </w:t>
      </w:r>
      <w:r>
        <w:t>otros</w:t>
      </w:r>
      <w:r>
        <w:rPr>
          <w:spacing w:val="-10"/>
        </w:rPr>
        <w:t xml:space="preserve"> </w:t>
      </w:r>
      <w:r>
        <w:t>hechos</w:t>
      </w:r>
      <w:r>
        <w:rPr>
          <w:spacing w:val="-11"/>
        </w:rPr>
        <w:t xml:space="preserve"> </w:t>
      </w:r>
      <w:r>
        <w:t>han</w:t>
      </w:r>
      <w:r>
        <w:rPr>
          <w:spacing w:val="-11"/>
        </w:rPr>
        <w:t xml:space="preserve"> </w:t>
      </w:r>
      <w:r>
        <w:t>tenido</w:t>
      </w:r>
      <w:r>
        <w:rPr>
          <w:spacing w:val="-10"/>
        </w:rPr>
        <w:t xml:space="preserve"> </w:t>
      </w:r>
      <w:r>
        <w:t>profundos</w:t>
      </w:r>
      <w:r>
        <w:rPr>
          <w:spacing w:val="-10"/>
        </w:rPr>
        <w:t xml:space="preserve"> </w:t>
      </w:r>
      <w:r>
        <w:t>impactos</w:t>
      </w:r>
      <w:r>
        <w:rPr>
          <w:spacing w:val="-10"/>
        </w:rPr>
        <w:t xml:space="preserve"> </w:t>
      </w:r>
      <w:r>
        <w:t>incluso</w:t>
      </w:r>
      <w:r>
        <w:rPr>
          <w:spacing w:val="-10"/>
        </w:rPr>
        <w:t xml:space="preserve"> </w:t>
      </w:r>
      <w:r>
        <w:t>en</w:t>
      </w:r>
      <w:r>
        <w:rPr>
          <w:spacing w:val="-10"/>
        </w:rPr>
        <w:t xml:space="preserve"> </w:t>
      </w:r>
      <w:r>
        <w:t>poderes</w:t>
      </w:r>
      <w:r>
        <w:rPr>
          <w:spacing w:val="-11"/>
        </w:rPr>
        <w:t xml:space="preserve"> </w:t>
      </w:r>
      <w:r>
        <w:t>del</w:t>
      </w:r>
      <w:r>
        <w:rPr>
          <w:spacing w:val="-10"/>
        </w:rPr>
        <w:t xml:space="preserve"> </w:t>
      </w:r>
      <w:r>
        <w:t>Estado,</w:t>
      </w:r>
      <w:r>
        <w:rPr>
          <w:spacing w:val="-10"/>
        </w:rPr>
        <w:t xml:space="preserve"> </w:t>
      </w:r>
      <w:r>
        <w:t>como los sufridos por el sector de la justicia, con asesinatos de jueces, amenazas y exilios en diferentes</w:t>
      </w:r>
      <w:r>
        <w:rPr>
          <w:spacing w:val="30"/>
        </w:rPr>
        <w:t xml:space="preserve"> </w:t>
      </w:r>
      <w:r>
        <w:t>periodos,</w:t>
      </w:r>
      <w:r>
        <w:rPr>
          <w:spacing w:val="29"/>
        </w:rPr>
        <w:t xml:space="preserve"> </w:t>
      </w:r>
      <w:r>
        <w:t>tampoco</w:t>
      </w:r>
      <w:r>
        <w:rPr>
          <w:spacing w:val="31"/>
        </w:rPr>
        <w:t xml:space="preserve"> </w:t>
      </w:r>
      <w:r>
        <w:t>asumidos</w:t>
      </w:r>
      <w:r>
        <w:rPr>
          <w:spacing w:val="30"/>
        </w:rPr>
        <w:t xml:space="preserve"> </w:t>
      </w:r>
      <w:r>
        <w:t>como</w:t>
      </w:r>
      <w:r>
        <w:rPr>
          <w:spacing w:val="31"/>
        </w:rPr>
        <w:t xml:space="preserve"> </w:t>
      </w:r>
      <w:r>
        <w:t>Estado</w:t>
      </w:r>
      <w:r>
        <w:rPr>
          <w:spacing w:val="30"/>
        </w:rPr>
        <w:t xml:space="preserve"> </w:t>
      </w:r>
      <w:r>
        <w:t>ni</w:t>
      </w:r>
      <w:r>
        <w:rPr>
          <w:spacing w:val="31"/>
        </w:rPr>
        <w:t xml:space="preserve"> </w:t>
      </w:r>
      <w:r>
        <w:t>como</w:t>
      </w:r>
      <w:r>
        <w:rPr>
          <w:spacing w:val="30"/>
        </w:rPr>
        <w:t xml:space="preserve"> </w:t>
      </w:r>
      <w:r>
        <w:t>sociedad.</w:t>
      </w:r>
      <w:r>
        <w:rPr>
          <w:spacing w:val="31"/>
        </w:rPr>
        <w:t xml:space="preserve"> </w:t>
      </w:r>
      <w:r>
        <w:t>Para</w:t>
      </w:r>
      <w:r>
        <w:rPr>
          <w:spacing w:val="29"/>
        </w:rPr>
        <w:t xml:space="preserve"> </w:t>
      </w:r>
      <w:r>
        <w:t>los</w:t>
      </w:r>
      <w:r>
        <w:rPr>
          <w:spacing w:val="30"/>
        </w:rPr>
        <w:t xml:space="preserve"> </w:t>
      </w:r>
      <w:r>
        <w:rPr>
          <w:spacing w:val="-2"/>
        </w:rPr>
        <w:t>pueblos</w:t>
      </w:r>
      <w:r w:rsidR="009D148F">
        <w:rPr>
          <w:spacing w:val="-2"/>
        </w:rPr>
        <w:t xml:space="preserve"> </w:t>
      </w:r>
      <w:r>
        <w:t>indígenas y los pueblos afrodescendientes, las violencias históricas sufridas desde la colonización y la construcción del estado republicano se suman a las vividas en el contexto del</w:t>
      </w:r>
      <w:r>
        <w:rPr>
          <w:spacing w:val="-15"/>
        </w:rPr>
        <w:t xml:space="preserve"> </w:t>
      </w:r>
      <w:r>
        <w:t>conflicto</w:t>
      </w:r>
      <w:r>
        <w:rPr>
          <w:spacing w:val="-15"/>
        </w:rPr>
        <w:t xml:space="preserve"> </w:t>
      </w:r>
      <w:r>
        <w:t>armado</w:t>
      </w:r>
      <w:r>
        <w:rPr>
          <w:spacing w:val="-15"/>
        </w:rPr>
        <w:t xml:space="preserve"> </w:t>
      </w:r>
      <w:r>
        <w:t>interno,</w:t>
      </w:r>
      <w:r>
        <w:rPr>
          <w:spacing w:val="-15"/>
        </w:rPr>
        <w:t xml:space="preserve"> </w:t>
      </w:r>
      <w:r>
        <w:t>marcando</w:t>
      </w:r>
      <w:r>
        <w:rPr>
          <w:spacing w:val="-15"/>
        </w:rPr>
        <w:t xml:space="preserve"> </w:t>
      </w:r>
      <w:r>
        <w:t>sus</w:t>
      </w:r>
      <w:r>
        <w:rPr>
          <w:spacing w:val="-15"/>
        </w:rPr>
        <w:t xml:space="preserve"> </w:t>
      </w:r>
      <w:r>
        <w:t>vidas</w:t>
      </w:r>
      <w:r>
        <w:rPr>
          <w:spacing w:val="-15"/>
        </w:rPr>
        <w:t xml:space="preserve"> </w:t>
      </w:r>
      <w:r>
        <w:t>en</w:t>
      </w:r>
      <w:r>
        <w:rPr>
          <w:spacing w:val="-15"/>
        </w:rPr>
        <w:t xml:space="preserve"> </w:t>
      </w:r>
      <w:r>
        <w:t>un</w:t>
      </w:r>
      <w:r>
        <w:rPr>
          <w:spacing w:val="-15"/>
        </w:rPr>
        <w:t xml:space="preserve"> </w:t>
      </w:r>
      <w:r>
        <w:t>trauma</w:t>
      </w:r>
      <w:r>
        <w:rPr>
          <w:spacing w:val="-15"/>
        </w:rPr>
        <w:t xml:space="preserve"> </w:t>
      </w:r>
      <w:r>
        <w:t>colectivo</w:t>
      </w:r>
      <w:r>
        <w:rPr>
          <w:spacing w:val="-15"/>
        </w:rPr>
        <w:t xml:space="preserve"> </w:t>
      </w:r>
      <w:r>
        <w:t>que</w:t>
      </w:r>
      <w:r>
        <w:rPr>
          <w:spacing w:val="-15"/>
        </w:rPr>
        <w:t xml:space="preserve"> </w:t>
      </w:r>
      <w:r>
        <w:t>sigue</w:t>
      </w:r>
      <w:r>
        <w:rPr>
          <w:spacing w:val="-15"/>
        </w:rPr>
        <w:t xml:space="preserve"> </w:t>
      </w:r>
      <w:r>
        <w:t>mostrando las condiciones de falta de reconocimiento de sus experiencias como parte de una historia compartida y del derecho a sus territorios y culturas siempre bajo amenaza.</w:t>
      </w:r>
    </w:p>
    <w:p w:rsidR="003804AC" w:rsidRDefault="00AF18A5" w:rsidP="009D148F">
      <w:r>
        <w:t>Estos traumas colectivos marcan la historia dolorida de Colombia, con impactos que se acumulan en el tiempo. La pérdida de la tierra, de la buena vida o de la relación con la naturaleza supone procesos de duelo en las comunidades afectadas, que muchas veces las víctimas</w:t>
      </w:r>
      <w:r>
        <w:rPr>
          <w:spacing w:val="-15"/>
        </w:rPr>
        <w:t xml:space="preserve"> </w:t>
      </w:r>
      <w:r>
        <w:t>ni</w:t>
      </w:r>
      <w:r>
        <w:rPr>
          <w:spacing w:val="-15"/>
        </w:rPr>
        <w:t xml:space="preserve"> </w:t>
      </w:r>
      <w:r>
        <w:t>siquiera</w:t>
      </w:r>
      <w:r>
        <w:rPr>
          <w:spacing w:val="-15"/>
        </w:rPr>
        <w:t xml:space="preserve"> </w:t>
      </w:r>
      <w:r>
        <w:t>han</w:t>
      </w:r>
      <w:r>
        <w:rPr>
          <w:spacing w:val="-15"/>
        </w:rPr>
        <w:t xml:space="preserve"> </w:t>
      </w:r>
      <w:r>
        <w:t>podido</w:t>
      </w:r>
      <w:r>
        <w:rPr>
          <w:spacing w:val="-15"/>
        </w:rPr>
        <w:t xml:space="preserve"> </w:t>
      </w:r>
      <w:r>
        <w:t>expresar</w:t>
      </w:r>
      <w:r>
        <w:rPr>
          <w:spacing w:val="-15"/>
        </w:rPr>
        <w:t xml:space="preserve"> </w:t>
      </w:r>
      <w:r>
        <w:t>en</w:t>
      </w:r>
      <w:r>
        <w:rPr>
          <w:spacing w:val="-15"/>
        </w:rPr>
        <w:t xml:space="preserve"> </w:t>
      </w:r>
      <w:r>
        <w:t>los</w:t>
      </w:r>
      <w:r>
        <w:rPr>
          <w:spacing w:val="-15"/>
        </w:rPr>
        <w:t xml:space="preserve"> </w:t>
      </w:r>
      <w:r>
        <w:t>barrios</w:t>
      </w:r>
      <w:r>
        <w:rPr>
          <w:spacing w:val="-15"/>
        </w:rPr>
        <w:t xml:space="preserve"> </w:t>
      </w:r>
      <w:r>
        <w:t>de</w:t>
      </w:r>
      <w:r>
        <w:rPr>
          <w:spacing w:val="-15"/>
        </w:rPr>
        <w:t xml:space="preserve"> </w:t>
      </w:r>
      <w:r>
        <w:t>las</w:t>
      </w:r>
      <w:r>
        <w:rPr>
          <w:spacing w:val="-15"/>
        </w:rPr>
        <w:t xml:space="preserve"> </w:t>
      </w:r>
      <w:r>
        <w:t>ciudades</w:t>
      </w:r>
      <w:r>
        <w:rPr>
          <w:spacing w:val="-14"/>
        </w:rPr>
        <w:t xml:space="preserve"> </w:t>
      </w:r>
      <w:r>
        <w:t>a</w:t>
      </w:r>
      <w:r>
        <w:rPr>
          <w:spacing w:val="-15"/>
        </w:rPr>
        <w:t xml:space="preserve"> </w:t>
      </w:r>
      <w:r>
        <w:t>las</w:t>
      </w:r>
      <w:r>
        <w:rPr>
          <w:spacing w:val="-14"/>
        </w:rPr>
        <w:t xml:space="preserve"> </w:t>
      </w:r>
      <w:r>
        <w:t>que,</w:t>
      </w:r>
      <w:r>
        <w:rPr>
          <w:spacing w:val="-15"/>
        </w:rPr>
        <w:t xml:space="preserve"> </w:t>
      </w:r>
      <w:r>
        <w:t>por</w:t>
      </w:r>
      <w:r>
        <w:rPr>
          <w:spacing w:val="-15"/>
        </w:rPr>
        <w:t xml:space="preserve"> </w:t>
      </w:r>
      <w:r>
        <w:t>millones, han llegado</w:t>
      </w:r>
      <w:r>
        <w:rPr>
          <w:spacing w:val="-1"/>
        </w:rPr>
        <w:t xml:space="preserve"> </w:t>
      </w:r>
      <w:r>
        <w:t>desplazadas</w:t>
      </w:r>
      <w:r>
        <w:rPr>
          <w:spacing w:val="-1"/>
        </w:rPr>
        <w:t xml:space="preserve"> </w:t>
      </w:r>
      <w:r>
        <w:t>violentamente por los actores armados. Por su parte, el exilio es un desgarro</w:t>
      </w:r>
      <w:r>
        <w:rPr>
          <w:spacing w:val="-8"/>
        </w:rPr>
        <w:t xml:space="preserve"> </w:t>
      </w:r>
      <w:r>
        <w:t>y</w:t>
      </w:r>
      <w:r>
        <w:rPr>
          <w:spacing w:val="-8"/>
        </w:rPr>
        <w:t xml:space="preserve"> </w:t>
      </w:r>
      <w:r>
        <w:t>a</w:t>
      </w:r>
      <w:r>
        <w:rPr>
          <w:spacing w:val="-9"/>
        </w:rPr>
        <w:t xml:space="preserve"> </w:t>
      </w:r>
      <w:r>
        <w:t>la</w:t>
      </w:r>
      <w:r>
        <w:rPr>
          <w:spacing w:val="-8"/>
        </w:rPr>
        <w:t xml:space="preserve"> </w:t>
      </w:r>
      <w:r>
        <w:t>vez</w:t>
      </w:r>
      <w:r>
        <w:rPr>
          <w:spacing w:val="-8"/>
        </w:rPr>
        <w:t xml:space="preserve"> </w:t>
      </w:r>
      <w:r>
        <w:t>una</w:t>
      </w:r>
      <w:r>
        <w:rPr>
          <w:spacing w:val="-8"/>
        </w:rPr>
        <w:t xml:space="preserve"> </w:t>
      </w:r>
      <w:r>
        <w:t>pérdida</w:t>
      </w:r>
      <w:r>
        <w:rPr>
          <w:spacing w:val="-8"/>
        </w:rPr>
        <w:t xml:space="preserve"> </w:t>
      </w:r>
      <w:r>
        <w:t>de</w:t>
      </w:r>
      <w:r>
        <w:rPr>
          <w:spacing w:val="-9"/>
        </w:rPr>
        <w:t xml:space="preserve"> </w:t>
      </w:r>
      <w:r>
        <w:t>la</w:t>
      </w:r>
      <w:r>
        <w:rPr>
          <w:spacing w:val="-9"/>
        </w:rPr>
        <w:t xml:space="preserve"> </w:t>
      </w:r>
      <w:r>
        <w:t>patria,</w:t>
      </w:r>
      <w:r>
        <w:rPr>
          <w:spacing w:val="-8"/>
        </w:rPr>
        <w:t xml:space="preserve"> </w:t>
      </w:r>
      <w:r>
        <w:t>del</w:t>
      </w:r>
      <w:r>
        <w:rPr>
          <w:spacing w:val="-8"/>
        </w:rPr>
        <w:t xml:space="preserve"> </w:t>
      </w:r>
      <w:r>
        <w:t>proyecto</w:t>
      </w:r>
      <w:r>
        <w:rPr>
          <w:spacing w:val="-8"/>
        </w:rPr>
        <w:t xml:space="preserve"> </w:t>
      </w:r>
      <w:r>
        <w:t>de</w:t>
      </w:r>
      <w:r>
        <w:rPr>
          <w:spacing w:val="-8"/>
        </w:rPr>
        <w:t xml:space="preserve"> </w:t>
      </w:r>
      <w:r>
        <w:t>vida</w:t>
      </w:r>
      <w:r>
        <w:rPr>
          <w:spacing w:val="-8"/>
        </w:rPr>
        <w:t xml:space="preserve"> </w:t>
      </w:r>
      <w:r>
        <w:t>y</w:t>
      </w:r>
      <w:r>
        <w:rPr>
          <w:spacing w:val="-8"/>
        </w:rPr>
        <w:t xml:space="preserve"> </w:t>
      </w:r>
      <w:r>
        <w:t>de</w:t>
      </w:r>
      <w:r>
        <w:rPr>
          <w:spacing w:val="-8"/>
        </w:rPr>
        <w:t xml:space="preserve"> </w:t>
      </w:r>
      <w:r>
        <w:t>los</w:t>
      </w:r>
      <w:r>
        <w:rPr>
          <w:spacing w:val="-8"/>
        </w:rPr>
        <w:t xml:space="preserve"> </w:t>
      </w:r>
      <w:r>
        <w:t>vínculos</w:t>
      </w:r>
      <w:r>
        <w:rPr>
          <w:spacing w:val="-9"/>
        </w:rPr>
        <w:t xml:space="preserve"> </w:t>
      </w:r>
      <w:r>
        <w:t>familiares. El</w:t>
      </w:r>
      <w:r>
        <w:rPr>
          <w:spacing w:val="-15"/>
        </w:rPr>
        <w:t xml:space="preserve"> </w:t>
      </w:r>
      <w:r>
        <w:t>secuestro</w:t>
      </w:r>
      <w:r>
        <w:rPr>
          <w:spacing w:val="-14"/>
        </w:rPr>
        <w:t xml:space="preserve"> </w:t>
      </w:r>
      <w:r>
        <w:t>es</w:t>
      </w:r>
      <w:r>
        <w:rPr>
          <w:spacing w:val="-14"/>
        </w:rPr>
        <w:t xml:space="preserve"> </w:t>
      </w:r>
      <w:r>
        <w:t>una</w:t>
      </w:r>
      <w:r>
        <w:rPr>
          <w:spacing w:val="-14"/>
        </w:rPr>
        <w:t xml:space="preserve"> </w:t>
      </w:r>
      <w:r>
        <w:t>muerte</w:t>
      </w:r>
      <w:r>
        <w:rPr>
          <w:spacing w:val="-14"/>
        </w:rPr>
        <w:t xml:space="preserve"> </w:t>
      </w:r>
      <w:r>
        <w:t>suspendida</w:t>
      </w:r>
      <w:r>
        <w:rPr>
          <w:spacing w:val="-15"/>
        </w:rPr>
        <w:t xml:space="preserve"> </w:t>
      </w:r>
      <w:r>
        <w:t>en</w:t>
      </w:r>
      <w:r>
        <w:rPr>
          <w:spacing w:val="-14"/>
        </w:rPr>
        <w:t xml:space="preserve"> </w:t>
      </w:r>
      <w:r>
        <w:t>el</w:t>
      </w:r>
      <w:r>
        <w:rPr>
          <w:spacing w:val="-14"/>
        </w:rPr>
        <w:t xml:space="preserve"> </w:t>
      </w:r>
      <w:r>
        <w:t>tiempo</w:t>
      </w:r>
      <w:r>
        <w:rPr>
          <w:spacing w:val="-15"/>
        </w:rPr>
        <w:t xml:space="preserve"> </w:t>
      </w:r>
      <w:r>
        <w:t>que</w:t>
      </w:r>
      <w:r>
        <w:rPr>
          <w:spacing w:val="-14"/>
        </w:rPr>
        <w:t xml:space="preserve"> </w:t>
      </w:r>
      <w:r>
        <w:t>afectó</w:t>
      </w:r>
      <w:r>
        <w:rPr>
          <w:spacing w:val="-15"/>
        </w:rPr>
        <w:t xml:space="preserve"> </w:t>
      </w:r>
      <w:r>
        <w:t>a</w:t>
      </w:r>
      <w:r>
        <w:rPr>
          <w:spacing w:val="-15"/>
        </w:rPr>
        <w:t xml:space="preserve"> </w:t>
      </w:r>
      <w:r>
        <w:t>decenas</w:t>
      </w:r>
      <w:r>
        <w:rPr>
          <w:spacing w:val="-14"/>
        </w:rPr>
        <w:t xml:space="preserve"> </w:t>
      </w:r>
      <w:r>
        <w:t>de</w:t>
      </w:r>
      <w:r>
        <w:rPr>
          <w:spacing w:val="-14"/>
        </w:rPr>
        <w:t xml:space="preserve"> </w:t>
      </w:r>
      <w:r>
        <w:t>miles</w:t>
      </w:r>
      <w:r>
        <w:rPr>
          <w:spacing w:val="-14"/>
        </w:rPr>
        <w:t xml:space="preserve"> </w:t>
      </w:r>
      <w:r>
        <w:t>de</w:t>
      </w:r>
      <w:r>
        <w:rPr>
          <w:spacing w:val="-14"/>
        </w:rPr>
        <w:t xml:space="preserve"> </w:t>
      </w:r>
      <w:r>
        <w:t>personas y sus familias. Los asesinatos de sindicalistas y la desaparición de sindicatos como consecuencia</w:t>
      </w:r>
      <w:r>
        <w:rPr>
          <w:spacing w:val="-4"/>
        </w:rPr>
        <w:t xml:space="preserve"> </w:t>
      </w:r>
      <w:r>
        <w:t>del</w:t>
      </w:r>
      <w:r>
        <w:rPr>
          <w:spacing w:val="-4"/>
        </w:rPr>
        <w:t xml:space="preserve"> </w:t>
      </w:r>
      <w:r>
        <w:t>violento</w:t>
      </w:r>
      <w:r>
        <w:rPr>
          <w:spacing w:val="-5"/>
        </w:rPr>
        <w:t xml:space="preserve"> </w:t>
      </w:r>
      <w:r>
        <w:t>ensañamiento</w:t>
      </w:r>
      <w:r>
        <w:rPr>
          <w:spacing w:val="-5"/>
        </w:rPr>
        <w:t xml:space="preserve"> </w:t>
      </w:r>
      <w:r>
        <w:t>contra</w:t>
      </w:r>
      <w:r>
        <w:rPr>
          <w:spacing w:val="-4"/>
        </w:rPr>
        <w:t xml:space="preserve"> </w:t>
      </w:r>
      <w:r>
        <w:t>ellos</w:t>
      </w:r>
      <w:r>
        <w:rPr>
          <w:spacing w:val="-5"/>
        </w:rPr>
        <w:t xml:space="preserve"> </w:t>
      </w:r>
      <w:r>
        <w:t>han</w:t>
      </w:r>
      <w:r>
        <w:rPr>
          <w:spacing w:val="-5"/>
        </w:rPr>
        <w:t xml:space="preserve"> </w:t>
      </w:r>
      <w:r>
        <w:t>dejado</w:t>
      </w:r>
      <w:r>
        <w:rPr>
          <w:spacing w:val="-5"/>
        </w:rPr>
        <w:t xml:space="preserve"> </w:t>
      </w:r>
      <w:r>
        <w:t>miles</w:t>
      </w:r>
      <w:r>
        <w:rPr>
          <w:spacing w:val="-5"/>
        </w:rPr>
        <w:t xml:space="preserve"> </w:t>
      </w:r>
      <w:r>
        <w:t>de</w:t>
      </w:r>
      <w:r>
        <w:rPr>
          <w:spacing w:val="-6"/>
        </w:rPr>
        <w:t xml:space="preserve"> </w:t>
      </w:r>
      <w:r>
        <w:t>familias</w:t>
      </w:r>
      <w:r>
        <w:rPr>
          <w:spacing w:val="-4"/>
        </w:rPr>
        <w:t xml:space="preserve"> </w:t>
      </w:r>
      <w:r>
        <w:t>afectadas, así como una herida en el propio movimiento sindical y social.</w:t>
      </w:r>
    </w:p>
    <w:p w:rsidR="003804AC" w:rsidRDefault="00AF18A5" w:rsidP="009D148F">
      <w:r>
        <w:lastRenderedPageBreak/>
        <w:t>La</w:t>
      </w:r>
      <w:r>
        <w:rPr>
          <w:spacing w:val="-11"/>
        </w:rPr>
        <w:t xml:space="preserve"> </w:t>
      </w:r>
      <w:r>
        <w:t>historia</w:t>
      </w:r>
      <w:r>
        <w:rPr>
          <w:spacing w:val="-11"/>
        </w:rPr>
        <w:t xml:space="preserve"> </w:t>
      </w:r>
      <w:r>
        <w:t>de</w:t>
      </w:r>
      <w:r>
        <w:rPr>
          <w:spacing w:val="-11"/>
        </w:rPr>
        <w:t xml:space="preserve"> </w:t>
      </w:r>
      <w:r>
        <w:t>la</w:t>
      </w:r>
      <w:r>
        <w:rPr>
          <w:spacing w:val="-12"/>
        </w:rPr>
        <w:t xml:space="preserve"> </w:t>
      </w:r>
      <w:r>
        <w:t>defensa</w:t>
      </w:r>
      <w:r>
        <w:rPr>
          <w:spacing w:val="-12"/>
        </w:rPr>
        <w:t xml:space="preserve"> </w:t>
      </w:r>
      <w:r>
        <w:t>de</w:t>
      </w:r>
      <w:r>
        <w:rPr>
          <w:spacing w:val="-11"/>
        </w:rPr>
        <w:t xml:space="preserve"> </w:t>
      </w:r>
      <w:r>
        <w:t>los</w:t>
      </w:r>
      <w:r>
        <w:rPr>
          <w:spacing w:val="-12"/>
        </w:rPr>
        <w:t xml:space="preserve"> </w:t>
      </w:r>
      <w:r>
        <w:t>derechos</w:t>
      </w:r>
      <w:r>
        <w:rPr>
          <w:spacing w:val="-11"/>
        </w:rPr>
        <w:t xml:space="preserve"> </w:t>
      </w:r>
      <w:r>
        <w:t>humanos</w:t>
      </w:r>
      <w:r>
        <w:rPr>
          <w:spacing w:val="-11"/>
        </w:rPr>
        <w:t xml:space="preserve"> </w:t>
      </w:r>
      <w:r>
        <w:t>en</w:t>
      </w:r>
      <w:r>
        <w:rPr>
          <w:spacing w:val="-11"/>
        </w:rPr>
        <w:t xml:space="preserve"> </w:t>
      </w:r>
      <w:r>
        <w:t>Colombia</w:t>
      </w:r>
      <w:r>
        <w:rPr>
          <w:spacing w:val="-11"/>
        </w:rPr>
        <w:t xml:space="preserve"> </w:t>
      </w:r>
      <w:r>
        <w:t>está</w:t>
      </w:r>
      <w:r>
        <w:rPr>
          <w:spacing w:val="-12"/>
        </w:rPr>
        <w:t xml:space="preserve"> </w:t>
      </w:r>
      <w:r>
        <w:t>marcada</w:t>
      </w:r>
      <w:r>
        <w:rPr>
          <w:spacing w:val="-11"/>
        </w:rPr>
        <w:t xml:space="preserve"> </w:t>
      </w:r>
      <w:r>
        <w:t>por</w:t>
      </w:r>
      <w:r>
        <w:rPr>
          <w:spacing w:val="-12"/>
        </w:rPr>
        <w:t xml:space="preserve"> </w:t>
      </w:r>
      <w:r>
        <w:t>nombres de</w:t>
      </w:r>
      <w:r>
        <w:rPr>
          <w:spacing w:val="-15"/>
        </w:rPr>
        <w:t xml:space="preserve"> </w:t>
      </w:r>
      <w:r>
        <w:t>quienes</w:t>
      </w:r>
      <w:r>
        <w:rPr>
          <w:spacing w:val="-15"/>
        </w:rPr>
        <w:t xml:space="preserve"> </w:t>
      </w:r>
      <w:r>
        <w:t>son</w:t>
      </w:r>
      <w:r>
        <w:rPr>
          <w:spacing w:val="-15"/>
        </w:rPr>
        <w:t xml:space="preserve"> </w:t>
      </w:r>
      <w:r>
        <w:t>nuestra</w:t>
      </w:r>
      <w:r>
        <w:rPr>
          <w:spacing w:val="-15"/>
        </w:rPr>
        <w:t xml:space="preserve"> </w:t>
      </w:r>
      <w:r>
        <w:t>referencia</w:t>
      </w:r>
      <w:r>
        <w:rPr>
          <w:spacing w:val="-15"/>
        </w:rPr>
        <w:t xml:space="preserve"> </w:t>
      </w:r>
      <w:r>
        <w:t>en</w:t>
      </w:r>
      <w:r>
        <w:rPr>
          <w:spacing w:val="-15"/>
        </w:rPr>
        <w:t xml:space="preserve"> </w:t>
      </w:r>
      <w:r>
        <w:t>esa</w:t>
      </w:r>
      <w:r>
        <w:rPr>
          <w:spacing w:val="-15"/>
        </w:rPr>
        <w:t xml:space="preserve"> </w:t>
      </w:r>
      <w:r>
        <w:t>lucha</w:t>
      </w:r>
      <w:r>
        <w:rPr>
          <w:spacing w:val="-15"/>
        </w:rPr>
        <w:t xml:space="preserve"> </w:t>
      </w:r>
      <w:r>
        <w:t>por</w:t>
      </w:r>
      <w:r>
        <w:rPr>
          <w:spacing w:val="-15"/>
        </w:rPr>
        <w:t xml:space="preserve"> </w:t>
      </w:r>
      <w:r>
        <w:t>la</w:t>
      </w:r>
      <w:r>
        <w:rPr>
          <w:spacing w:val="-15"/>
        </w:rPr>
        <w:t xml:space="preserve"> </w:t>
      </w:r>
      <w:r>
        <w:t>defensa</w:t>
      </w:r>
      <w:r>
        <w:rPr>
          <w:spacing w:val="-15"/>
        </w:rPr>
        <w:t xml:space="preserve"> </w:t>
      </w:r>
      <w:r>
        <w:t>de</w:t>
      </w:r>
      <w:r>
        <w:rPr>
          <w:spacing w:val="-15"/>
        </w:rPr>
        <w:t xml:space="preserve"> </w:t>
      </w:r>
      <w:r>
        <w:t>la</w:t>
      </w:r>
      <w:r>
        <w:rPr>
          <w:spacing w:val="-15"/>
        </w:rPr>
        <w:t xml:space="preserve"> </w:t>
      </w:r>
      <w:r>
        <w:rPr>
          <w:color w:val="131313"/>
        </w:rPr>
        <w:t>vida,</w:t>
      </w:r>
      <w:r>
        <w:rPr>
          <w:color w:val="131313"/>
          <w:spacing w:val="-15"/>
        </w:rPr>
        <w:t xml:space="preserve"> </w:t>
      </w:r>
      <w:r>
        <w:rPr>
          <w:color w:val="131313"/>
        </w:rPr>
        <w:t>que</w:t>
      </w:r>
      <w:r>
        <w:rPr>
          <w:color w:val="131313"/>
          <w:spacing w:val="-15"/>
        </w:rPr>
        <w:t xml:space="preserve"> </w:t>
      </w:r>
      <w:r>
        <w:rPr>
          <w:color w:val="131313"/>
        </w:rPr>
        <w:t>fueron</w:t>
      </w:r>
      <w:r>
        <w:rPr>
          <w:color w:val="131313"/>
          <w:spacing w:val="-15"/>
        </w:rPr>
        <w:t xml:space="preserve"> </w:t>
      </w:r>
      <w:r>
        <w:rPr>
          <w:color w:val="131313"/>
        </w:rPr>
        <w:t>asesinados o</w:t>
      </w:r>
      <w:r>
        <w:rPr>
          <w:color w:val="131313"/>
          <w:spacing w:val="-5"/>
        </w:rPr>
        <w:t xml:space="preserve"> </w:t>
      </w:r>
      <w:r>
        <w:rPr>
          <w:color w:val="131313"/>
        </w:rPr>
        <w:t>desaparecidos</w:t>
      </w:r>
      <w:r>
        <w:rPr>
          <w:color w:val="131313"/>
          <w:spacing w:val="-5"/>
        </w:rPr>
        <w:t xml:space="preserve"> </w:t>
      </w:r>
      <w:r>
        <w:rPr>
          <w:color w:val="131313"/>
        </w:rPr>
        <w:t>y</w:t>
      </w:r>
      <w:r>
        <w:rPr>
          <w:color w:val="131313"/>
          <w:spacing w:val="-5"/>
        </w:rPr>
        <w:t xml:space="preserve"> </w:t>
      </w:r>
      <w:r>
        <w:rPr>
          <w:color w:val="131313"/>
        </w:rPr>
        <w:t>por</w:t>
      </w:r>
      <w:r>
        <w:rPr>
          <w:color w:val="131313"/>
          <w:spacing w:val="-4"/>
        </w:rPr>
        <w:t xml:space="preserve"> </w:t>
      </w:r>
      <w:r>
        <w:rPr>
          <w:color w:val="131313"/>
        </w:rPr>
        <w:t>una</w:t>
      </w:r>
      <w:r>
        <w:rPr>
          <w:color w:val="131313"/>
          <w:spacing w:val="-4"/>
        </w:rPr>
        <w:t xml:space="preserve"> </w:t>
      </w:r>
      <w:r>
        <w:rPr>
          <w:color w:val="131313"/>
        </w:rPr>
        <w:t>amenaza</w:t>
      </w:r>
      <w:r>
        <w:rPr>
          <w:color w:val="131313"/>
          <w:spacing w:val="-4"/>
        </w:rPr>
        <w:t xml:space="preserve"> </w:t>
      </w:r>
      <w:r>
        <w:rPr>
          <w:color w:val="131313"/>
        </w:rPr>
        <w:t>que</w:t>
      </w:r>
      <w:r>
        <w:rPr>
          <w:color w:val="131313"/>
          <w:spacing w:val="-4"/>
        </w:rPr>
        <w:t xml:space="preserve"> </w:t>
      </w:r>
      <w:r>
        <w:rPr>
          <w:color w:val="131313"/>
        </w:rPr>
        <w:t>se</w:t>
      </w:r>
      <w:r>
        <w:rPr>
          <w:color w:val="131313"/>
          <w:spacing w:val="-5"/>
        </w:rPr>
        <w:t xml:space="preserve"> </w:t>
      </w:r>
      <w:r>
        <w:rPr>
          <w:color w:val="131313"/>
        </w:rPr>
        <w:t>extiende</w:t>
      </w:r>
      <w:r>
        <w:rPr>
          <w:color w:val="131313"/>
          <w:spacing w:val="-4"/>
        </w:rPr>
        <w:t xml:space="preserve"> </w:t>
      </w:r>
      <w:r>
        <w:rPr>
          <w:color w:val="131313"/>
        </w:rPr>
        <w:t>cada</w:t>
      </w:r>
      <w:r>
        <w:rPr>
          <w:color w:val="131313"/>
          <w:spacing w:val="-4"/>
        </w:rPr>
        <w:t xml:space="preserve"> </w:t>
      </w:r>
      <w:r>
        <w:rPr>
          <w:color w:val="131313"/>
        </w:rPr>
        <w:t>vez</w:t>
      </w:r>
      <w:r>
        <w:rPr>
          <w:color w:val="131313"/>
          <w:spacing w:val="-4"/>
        </w:rPr>
        <w:t xml:space="preserve"> </w:t>
      </w:r>
      <w:r>
        <w:rPr>
          <w:color w:val="131313"/>
        </w:rPr>
        <w:t>más</w:t>
      </w:r>
      <w:r>
        <w:rPr>
          <w:color w:val="131313"/>
          <w:spacing w:val="-4"/>
        </w:rPr>
        <w:t xml:space="preserve"> </w:t>
      </w:r>
      <w:r>
        <w:rPr>
          <w:color w:val="131313"/>
        </w:rPr>
        <w:t>hacia</w:t>
      </w:r>
      <w:r>
        <w:rPr>
          <w:color w:val="131313"/>
          <w:spacing w:val="-4"/>
        </w:rPr>
        <w:t xml:space="preserve"> </w:t>
      </w:r>
      <w:r>
        <w:rPr>
          <w:color w:val="131313"/>
        </w:rPr>
        <w:t>líderes</w:t>
      </w:r>
      <w:r>
        <w:rPr>
          <w:color w:val="131313"/>
          <w:spacing w:val="-4"/>
        </w:rPr>
        <w:t xml:space="preserve"> </w:t>
      </w:r>
      <w:r>
        <w:rPr>
          <w:color w:val="131313"/>
        </w:rPr>
        <w:t>comunitarios y étnicos y del movimiento de mujeres. La Comisión de la Verdad los escuchó en los territorios</w:t>
      </w:r>
      <w:r>
        <w:rPr>
          <w:color w:val="131313"/>
          <w:spacing w:val="-13"/>
        </w:rPr>
        <w:t xml:space="preserve"> </w:t>
      </w:r>
      <w:r>
        <w:rPr>
          <w:color w:val="131313"/>
        </w:rPr>
        <w:t>e</w:t>
      </w:r>
      <w:r>
        <w:rPr>
          <w:color w:val="131313"/>
          <w:spacing w:val="-14"/>
        </w:rPr>
        <w:t xml:space="preserve"> </w:t>
      </w:r>
      <w:r>
        <w:rPr>
          <w:color w:val="131313"/>
        </w:rPr>
        <w:t>hizo</w:t>
      </w:r>
      <w:r>
        <w:rPr>
          <w:color w:val="131313"/>
          <w:spacing w:val="-12"/>
        </w:rPr>
        <w:t xml:space="preserve"> </w:t>
      </w:r>
      <w:r>
        <w:rPr>
          <w:color w:val="131313"/>
        </w:rPr>
        <w:t>parte</w:t>
      </w:r>
      <w:r>
        <w:rPr>
          <w:color w:val="131313"/>
          <w:spacing w:val="-13"/>
        </w:rPr>
        <w:t xml:space="preserve"> </w:t>
      </w:r>
      <w:r>
        <w:rPr>
          <w:color w:val="131313"/>
        </w:rPr>
        <w:t>de</w:t>
      </w:r>
      <w:r>
        <w:rPr>
          <w:color w:val="131313"/>
          <w:spacing w:val="-13"/>
        </w:rPr>
        <w:t xml:space="preserve"> </w:t>
      </w:r>
      <w:r>
        <w:rPr>
          <w:color w:val="131313"/>
        </w:rPr>
        <w:t>esos</w:t>
      </w:r>
      <w:r>
        <w:rPr>
          <w:color w:val="131313"/>
          <w:spacing w:val="-13"/>
        </w:rPr>
        <w:t xml:space="preserve"> </w:t>
      </w:r>
      <w:r>
        <w:rPr>
          <w:color w:val="131313"/>
        </w:rPr>
        <w:t>duelos:</w:t>
      </w:r>
      <w:r>
        <w:rPr>
          <w:color w:val="131313"/>
          <w:spacing w:val="-13"/>
        </w:rPr>
        <w:t xml:space="preserve"> </w:t>
      </w:r>
      <w:r>
        <w:rPr>
          <w:color w:val="131313"/>
        </w:rPr>
        <w:t>desde</w:t>
      </w:r>
      <w:r>
        <w:rPr>
          <w:color w:val="131313"/>
          <w:spacing w:val="-13"/>
        </w:rPr>
        <w:t xml:space="preserve"> </w:t>
      </w:r>
      <w:r>
        <w:rPr>
          <w:color w:val="131313"/>
        </w:rPr>
        <w:t>el</w:t>
      </w:r>
      <w:r>
        <w:rPr>
          <w:color w:val="131313"/>
          <w:spacing w:val="-13"/>
        </w:rPr>
        <w:t xml:space="preserve"> </w:t>
      </w:r>
      <w:r>
        <w:rPr>
          <w:color w:val="131313"/>
        </w:rPr>
        <w:t>primer</w:t>
      </w:r>
      <w:r>
        <w:rPr>
          <w:color w:val="131313"/>
          <w:spacing w:val="-13"/>
        </w:rPr>
        <w:t xml:space="preserve"> </w:t>
      </w:r>
      <w:r>
        <w:rPr>
          <w:color w:val="131313"/>
        </w:rPr>
        <w:t>acto</w:t>
      </w:r>
      <w:r>
        <w:rPr>
          <w:color w:val="131313"/>
          <w:spacing w:val="-13"/>
        </w:rPr>
        <w:t xml:space="preserve"> </w:t>
      </w:r>
      <w:r>
        <w:rPr>
          <w:color w:val="131313"/>
        </w:rPr>
        <w:t>de</w:t>
      </w:r>
      <w:r>
        <w:rPr>
          <w:color w:val="131313"/>
          <w:spacing w:val="-14"/>
        </w:rPr>
        <w:t xml:space="preserve"> </w:t>
      </w:r>
      <w:r>
        <w:rPr>
          <w:color w:val="131313"/>
        </w:rPr>
        <w:t>reconocimiento</w:t>
      </w:r>
      <w:r>
        <w:rPr>
          <w:color w:val="131313"/>
          <w:spacing w:val="-12"/>
        </w:rPr>
        <w:t xml:space="preserve"> </w:t>
      </w:r>
      <w:r>
        <w:rPr>
          <w:color w:val="131313"/>
        </w:rPr>
        <w:t>de</w:t>
      </w:r>
      <w:r>
        <w:rPr>
          <w:color w:val="131313"/>
          <w:spacing w:val="-13"/>
        </w:rPr>
        <w:t xml:space="preserve"> </w:t>
      </w:r>
      <w:r>
        <w:rPr>
          <w:color w:val="131313"/>
        </w:rPr>
        <w:t>la</w:t>
      </w:r>
      <w:r>
        <w:rPr>
          <w:color w:val="131313"/>
          <w:spacing w:val="-13"/>
        </w:rPr>
        <w:t xml:space="preserve"> </w:t>
      </w:r>
      <w:r>
        <w:rPr>
          <w:color w:val="131313"/>
        </w:rPr>
        <w:t>Comisión –que se dirigió a las mujeres y personas LGBTIQ+ víctimas de violencia sexual y a los familiares de desaparecidos que salieron a buscar a los suyos en los territorios del miedo–, hasta</w:t>
      </w:r>
      <w:r>
        <w:rPr>
          <w:color w:val="131313"/>
          <w:spacing w:val="-8"/>
        </w:rPr>
        <w:t xml:space="preserve"> </w:t>
      </w:r>
      <w:r>
        <w:rPr>
          <w:color w:val="131313"/>
        </w:rPr>
        <w:t>el</w:t>
      </w:r>
      <w:r>
        <w:rPr>
          <w:color w:val="131313"/>
          <w:spacing w:val="-8"/>
        </w:rPr>
        <w:t xml:space="preserve"> </w:t>
      </w:r>
      <w:r>
        <w:rPr>
          <w:color w:val="131313"/>
        </w:rPr>
        <w:t>último</w:t>
      </w:r>
      <w:r>
        <w:rPr>
          <w:color w:val="131313"/>
          <w:spacing w:val="-8"/>
        </w:rPr>
        <w:t xml:space="preserve"> </w:t>
      </w:r>
      <w:r>
        <w:rPr>
          <w:color w:val="131313"/>
        </w:rPr>
        <w:t>evento</w:t>
      </w:r>
      <w:r>
        <w:rPr>
          <w:color w:val="131313"/>
          <w:spacing w:val="-8"/>
        </w:rPr>
        <w:t xml:space="preserve"> </w:t>
      </w:r>
      <w:r>
        <w:rPr>
          <w:color w:val="131313"/>
        </w:rPr>
        <w:t>nacional</w:t>
      </w:r>
      <w:r>
        <w:rPr>
          <w:color w:val="131313"/>
          <w:spacing w:val="-8"/>
        </w:rPr>
        <w:t xml:space="preserve"> </w:t>
      </w:r>
      <w:r>
        <w:rPr>
          <w:color w:val="131313"/>
        </w:rPr>
        <w:t>en</w:t>
      </w:r>
      <w:r>
        <w:rPr>
          <w:color w:val="131313"/>
          <w:spacing w:val="-8"/>
        </w:rPr>
        <w:t xml:space="preserve"> </w:t>
      </w:r>
      <w:r>
        <w:rPr>
          <w:color w:val="131313"/>
        </w:rPr>
        <w:t>reconocimiento</w:t>
      </w:r>
      <w:r>
        <w:rPr>
          <w:color w:val="131313"/>
          <w:spacing w:val="-8"/>
        </w:rPr>
        <w:t xml:space="preserve"> </w:t>
      </w:r>
      <w:r>
        <w:rPr>
          <w:color w:val="131313"/>
        </w:rPr>
        <w:t>a</w:t>
      </w:r>
      <w:r>
        <w:rPr>
          <w:color w:val="131313"/>
          <w:spacing w:val="-8"/>
        </w:rPr>
        <w:t xml:space="preserve"> </w:t>
      </w:r>
      <w:r>
        <w:rPr>
          <w:color w:val="131313"/>
        </w:rPr>
        <w:t>las</w:t>
      </w:r>
      <w:r>
        <w:rPr>
          <w:color w:val="131313"/>
          <w:spacing w:val="-8"/>
        </w:rPr>
        <w:t xml:space="preserve"> </w:t>
      </w:r>
      <w:r>
        <w:rPr>
          <w:color w:val="131313"/>
        </w:rPr>
        <w:t>madres</w:t>
      </w:r>
      <w:r>
        <w:rPr>
          <w:color w:val="131313"/>
          <w:spacing w:val="-8"/>
        </w:rPr>
        <w:t xml:space="preserve"> </w:t>
      </w:r>
      <w:r>
        <w:rPr>
          <w:color w:val="131313"/>
        </w:rPr>
        <w:t>de</w:t>
      </w:r>
      <w:r>
        <w:rPr>
          <w:color w:val="131313"/>
          <w:spacing w:val="-8"/>
        </w:rPr>
        <w:t xml:space="preserve"> </w:t>
      </w:r>
      <w:r>
        <w:rPr>
          <w:color w:val="131313"/>
        </w:rPr>
        <w:t>Soacha</w:t>
      </w:r>
      <w:r>
        <w:rPr>
          <w:color w:val="131313"/>
          <w:spacing w:val="-9"/>
        </w:rPr>
        <w:t xml:space="preserve"> </w:t>
      </w:r>
      <w:r>
        <w:rPr>
          <w:color w:val="131313"/>
        </w:rPr>
        <w:t>que</w:t>
      </w:r>
      <w:r>
        <w:rPr>
          <w:color w:val="131313"/>
          <w:spacing w:val="-8"/>
        </w:rPr>
        <w:t xml:space="preserve"> </w:t>
      </w:r>
      <w:r>
        <w:rPr>
          <w:color w:val="131313"/>
        </w:rPr>
        <w:t>dieron</w:t>
      </w:r>
      <w:r>
        <w:rPr>
          <w:color w:val="131313"/>
          <w:spacing w:val="-10"/>
        </w:rPr>
        <w:t xml:space="preserve"> </w:t>
      </w:r>
      <w:r>
        <w:rPr>
          <w:color w:val="131313"/>
        </w:rPr>
        <w:t>el</w:t>
      </w:r>
      <w:r>
        <w:rPr>
          <w:color w:val="131313"/>
          <w:spacing w:val="-8"/>
        </w:rPr>
        <w:t xml:space="preserve"> </w:t>
      </w:r>
      <w:r>
        <w:rPr>
          <w:color w:val="131313"/>
        </w:rPr>
        <w:t>paso para denunciar las ejecuciones extrajudiciales que se conocen como «falsos positivos». Fueron</w:t>
      </w:r>
      <w:r>
        <w:rPr>
          <w:color w:val="131313"/>
          <w:spacing w:val="-15"/>
        </w:rPr>
        <w:t xml:space="preserve"> </w:t>
      </w:r>
      <w:r>
        <w:rPr>
          <w:color w:val="131313"/>
        </w:rPr>
        <w:t>más</w:t>
      </w:r>
      <w:r>
        <w:rPr>
          <w:color w:val="131313"/>
          <w:spacing w:val="-15"/>
        </w:rPr>
        <w:t xml:space="preserve"> </w:t>
      </w:r>
      <w:r>
        <w:rPr>
          <w:color w:val="131313"/>
        </w:rPr>
        <w:t>de</w:t>
      </w:r>
      <w:r>
        <w:rPr>
          <w:color w:val="131313"/>
          <w:spacing w:val="-15"/>
        </w:rPr>
        <w:t xml:space="preserve"> </w:t>
      </w:r>
      <w:r>
        <w:rPr>
          <w:color w:val="131313"/>
        </w:rPr>
        <w:t>50</w:t>
      </w:r>
      <w:r>
        <w:rPr>
          <w:color w:val="131313"/>
          <w:spacing w:val="-15"/>
        </w:rPr>
        <w:t xml:space="preserve"> </w:t>
      </w:r>
      <w:r>
        <w:rPr>
          <w:color w:val="131313"/>
        </w:rPr>
        <w:t>Encuentros</w:t>
      </w:r>
      <w:r>
        <w:rPr>
          <w:color w:val="131313"/>
          <w:spacing w:val="-15"/>
        </w:rPr>
        <w:t xml:space="preserve"> </w:t>
      </w:r>
      <w:r>
        <w:rPr>
          <w:color w:val="131313"/>
        </w:rPr>
        <w:t>por</w:t>
      </w:r>
      <w:r>
        <w:rPr>
          <w:color w:val="131313"/>
          <w:spacing w:val="-15"/>
        </w:rPr>
        <w:t xml:space="preserve"> </w:t>
      </w:r>
      <w:r>
        <w:rPr>
          <w:color w:val="131313"/>
        </w:rPr>
        <w:t>la</w:t>
      </w:r>
      <w:r>
        <w:rPr>
          <w:color w:val="131313"/>
          <w:spacing w:val="-15"/>
        </w:rPr>
        <w:t xml:space="preserve"> </w:t>
      </w:r>
      <w:r>
        <w:rPr>
          <w:color w:val="131313"/>
        </w:rPr>
        <w:t>Verdad</w:t>
      </w:r>
      <w:r>
        <w:rPr>
          <w:color w:val="131313"/>
          <w:spacing w:val="-14"/>
        </w:rPr>
        <w:t xml:space="preserve"> </w:t>
      </w:r>
      <w:r>
        <w:rPr>
          <w:color w:val="131313"/>
        </w:rPr>
        <w:t>en</w:t>
      </w:r>
      <w:r>
        <w:rPr>
          <w:color w:val="131313"/>
          <w:spacing w:val="-15"/>
        </w:rPr>
        <w:t xml:space="preserve"> </w:t>
      </w:r>
      <w:r>
        <w:rPr>
          <w:color w:val="131313"/>
        </w:rPr>
        <w:t>reconocimiento</w:t>
      </w:r>
      <w:r>
        <w:rPr>
          <w:color w:val="131313"/>
          <w:spacing w:val="-15"/>
        </w:rPr>
        <w:t xml:space="preserve"> </w:t>
      </w:r>
      <w:r>
        <w:rPr>
          <w:color w:val="131313"/>
        </w:rPr>
        <w:t>de</w:t>
      </w:r>
      <w:r>
        <w:rPr>
          <w:color w:val="131313"/>
          <w:spacing w:val="-15"/>
        </w:rPr>
        <w:t xml:space="preserve"> </w:t>
      </w:r>
      <w:r>
        <w:rPr>
          <w:color w:val="131313"/>
        </w:rPr>
        <w:t>las</w:t>
      </w:r>
      <w:r>
        <w:rPr>
          <w:color w:val="131313"/>
          <w:spacing w:val="-15"/>
        </w:rPr>
        <w:t xml:space="preserve"> </w:t>
      </w:r>
      <w:r>
        <w:rPr>
          <w:color w:val="131313"/>
        </w:rPr>
        <w:t>comunidades</w:t>
      </w:r>
      <w:r>
        <w:rPr>
          <w:color w:val="131313"/>
          <w:spacing w:val="-15"/>
        </w:rPr>
        <w:t xml:space="preserve"> </w:t>
      </w:r>
      <w:r>
        <w:rPr>
          <w:color w:val="131313"/>
        </w:rPr>
        <w:t>indígenas y afrodescendientes, de exiliados y poblaciones en frontera, de universidades, movimientos campesinos,</w:t>
      </w:r>
      <w:r>
        <w:rPr>
          <w:color w:val="131313"/>
          <w:spacing w:val="-13"/>
        </w:rPr>
        <w:t xml:space="preserve"> </w:t>
      </w:r>
      <w:r>
        <w:rPr>
          <w:color w:val="131313"/>
        </w:rPr>
        <w:t>víctimas</w:t>
      </w:r>
      <w:r>
        <w:rPr>
          <w:color w:val="131313"/>
          <w:spacing w:val="-12"/>
        </w:rPr>
        <w:t xml:space="preserve"> </w:t>
      </w:r>
      <w:r>
        <w:rPr>
          <w:color w:val="131313"/>
        </w:rPr>
        <w:t>del</w:t>
      </w:r>
      <w:r>
        <w:rPr>
          <w:color w:val="131313"/>
          <w:spacing w:val="-13"/>
        </w:rPr>
        <w:t xml:space="preserve"> </w:t>
      </w:r>
      <w:r>
        <w:rPr>
          <w:color w:val="131313"/>
        </w:rPr>
        <w:t>secuestro</w:t>
      </w:r>
      <w:r>
        <w:rPr>
          <w:color w:val="131313"/>
          <w:spacing w:val="-12"/>
        </w:rPr>
        <w:t xml:space="preserve"> </w:t>
      </w:r>
      <w:r>
        <w:rPr>
          <w:color w:val="131313"/>
        </w:rPr>
        <w:t>y</w:t>
      </w:r>
      <w:r>
        <w:rPr>
          <w:color w:val="131313"/>
          <w:spacing w:val="-13"/>
        </w:rPr>
        <w:t xml:space="preserve"> </w:t>
      </w:r>
      <w:r>
        <w:rPr>
          <w:color w:val="131313"/>
        </w:rPr>
        <w:t>comunidades</w:t>
      </w:r>
      <w:r>
        <w:rPr>
          <w:color w:val="131313"/>
          <w:spacing w:val="-12"/>
        </w:rPr>
        <w:t xml:space="preserve"> </w:t>
      </w:r>
      <w:r>
        <w:rPr>
          <w:color w:val="131313"/>
        </w:rPr>
        <w:t>afectadas</w:t>
      </w:r>
      <w:r>
        <w:rPr>
          <w:color w:val="131313"/>
          <w:spacing w:val="-12"/>
        </w:rPr>
        <w:t xml:space="preserve"> </w:t>
      </w:r>
      <w:r>
        <w:rPr>
          <w:color w:val="131313"/>
        </w:rPr>
        <w:t>por</w:t>
      </w:r>
      <w:r>
        <w:rPr>
          <w:color w:val="131313"/>
          <w:spacing w:val="-11"/>
        </w:rPr>
        <w:t xml:space="preserve"> </w:t>
      </w:r>
      <w:r>
        <w:rPr>
          <w:color w:val="131313"/>
        </w:rPr>
        <w:t>tomas</w:t>
      </w:r>
      <w:r>
        <w:rPr>
          <w:color w:val="131313"/>
          <w:spacing w:val="-12"/>
        </w:rPr>
        <w:t xml:space="preserve"> </w:t>
      </w:r>
      <w:r>
        <w:rPr>
          <w:color w:val="131313"/>
        </w:rPr>
        <w:t>guerrilleras,</w:t>
      </w:r>
      <w:r>
        <w:rPr>
          <w:color w:val="131313"/>
          <w:spacing w:val="-12"/>
        </w:rPr>
        <w:t xml:space="preserve"> </w:t>
      </w:r>
      <w:r>
        <w:rPr>
          <w:color w:val="131313"/>
        </w:rPr>
        <w:t>víctimas de violencia sexual o buscadoras de los desaparecidos, entre otros muchos sectores y víctimas.</w:t>
      </w:r>
      <w:r>
        <w:rPr>
          <w:color w:val="131313"/>
          <w:spacing w:val="6"/>
        </w:rPr>
        <w:t xml:space="preserve"> </w:t>
      </w:r>
      <w:r>
        <w:rPr>
          <w:color w:val="131313"/>
        </w:rPr>
        <w:t>Se</w:t>
      </w:r>
      <w:r>
        <w:rPr>
          <w:color w:val="131313"/>
          <w:spacing w:val="7"/>
        </w:rPr>
        <w:t xml:space="preserve"> </w:t>
      </w:r>
      <w:r>
        <w:rPr>
          <w:color w:val="131313"/>
        </w:rPr>
        <w:t>han</w:t>
      </w:r>
      <w:r>
        <w:rPr>
          <w:color w:val="131313"/>
          <w:spacing w:val="8"/>
        </w:rPr>
        <w:t xml:space="preserve"> </w:t>
      </w:r>
      <w:r>
        <w:rPr>
          <w:color w:val="131313"/>
        </w:rPr>
        <w:t>dado</w:t>
      </w:r>
      <w:r>
        <w:rPr>
          <w:color w:val="131313"/>
          <w:spacing w:val="9"/>
        </w:rPr>
        <w:t xml:space="preserve"> </w:t>
      </w:r>
      <w:r>
        <w:rPr>
          <w:color w:val="131313"/>
        </w:rPr>
        <w:t>procesos</w:t>
      </w:r>
      <w:r>
        <w:rPr>
          <w:color w:val="131313"/>
          <w:spacing w:val="8"/>
        </w:rPr>
        <w:t xml:space="preserve"> </w:t>
      </w:r>
      <w:r>
        <w:rPr>
          <w:color w:val="131313"/>
        </w:rPr>
        <w:t>de</w:t>
      </w:r>
      <w:r>
        <w:rPr>
          <w:color w:val="131313"/>
          <w:spacing w:val="8"/>
        </w:rPr>
        <w:t xml:space="preserve"> </w:t>
      </w:r>
      <w:r>
        <w:rPr>
          <w:color w:val="131313"/>
        </w:rPr>
        <w:t>escucha,</w:t>
      </w:r>
      <w:r>
        <w:rPr>
          <w:color w:val="131313"/>
          <w:spacing w:val="9"/>
        </w:rPr>
        <w:t xml:space="preserve"> </w:t>
      </w:r>
      <w:r>
        <w:rPr>
          <w:color w:val="131313"/>
        </w:rPr>
        <w:t>en</w:t>
      </w:r>
      <w:r>
        <w:rPr>
          <w:color w:val="131313"/>
          <w:spacing w:val="8"/>
        </w:rPr>
        <w:t xml:space="preserve"> </w:t>
      </w:r>
      <w:r>
        <w:rPr>
          <w:color w:val="131313"/>
        </w:rPr>
        <w:t>una</w:t>
      </w:r>
      <w:r>
        <w:rPr>
          <w:color w:val="131313"/>
          <w:spacing w:val="8"/>
        </w:rPr>
        <w:t xml:space="preserve"> </w:t>
      </w:r>
      <w:r>
        <w:rPr>
          <w:color w:val="131313"/>
        </w:rPr>
        <w:t>conversación</w:t>
      </w:r>
      <w:r>
        <w:rPr>
          <w:color w:val="131313"/>
          <w:spacing w:val="9"/>
        </w:rPr>
        <w:t xml:space="preserve"> </w:t>
      </w:r>
      <w:r>
        <w:rPr>
          <w:color w:val="131313"/>
        </w:rPr>
        <w:t>nacional</w:t>
      </w:r>
      <w:r>
        <w:rPr>
          <w:color w:val="131313"/>
          <w:spacing w:val="7"/>
        </w:rPr>
        <w:t xml:space="preserve"> </w:t>
      </w:r>
      <w:r>
        <w:rPr>
          <w:color w:val="131313"/>
        </w:rPr>
        <w:t>sobre</w:t>
      </w:r>
      <w:r>
        <w:rPr>
          <w:color w:val="131313"/>
          <w:spacing w:val="8"/>
        </w:rPr>
        <w:t xml:space="preserve"> </w:t>
      </w:r>
      <w:r>
        <w:rPr>
          <w:color w:val="131313"/>
        </w:rPr>
        <w:t>el</w:t>
      </w:r>
      <w:r>
        <w:rPr>
          <w:color w:val="131313"/>
          <w:spacing w:val="8"/>
        </w:rPr>
        <w:t xml:space="preserve"> </w:t>
      </w:r>
      <w:r>
        <w:rPr>
          <w:color w:val="131313"/>
          <w:spacing w:val="-2"/>
        </w:rPr>
        <w:t>impacto</w:t>
      </w:r>
      <w:r w:rsidR="009D148F">
        <w:rPr>
          <w:color w:val="131313"/>
          <w:spacing w:val="-2"/>
        </w:rPr>
        <w:t xml:space="preserve"> </w:t>
      </w:r>
      <w:r>
        <w:rPr>
          <w:color w:val="131313"/>
        </w:rPr>
        <w:t>sufrido, los mecanismos que lo hicieron posible, el reconocimiento de los responsables y la dignidad</w:t>
      </w:r>
      <w:r>
        <w:rPr>
          <w:color w:val="131313"/>
          <w:spacing w:val="-2"/>
        </w:rPr>
        <w:t xml:space="preserve"> </w:t>
      </w:r>
      <w:r>
        <w:rPr>
          <w:color w:val="131313"/>
        </w:rPr>
        <w:t>de</w:t>
      </w:r>
      <w:r>
        <w:rPr>
          <w:color w:val="131313"/>
          <w:spacing w:val="-3"/>
        </w:rPr>
        <w:t xml:space="preserve"> </w:t>
      </w:r>
      <w:r>
        <w:rPr>
          <w:color w:val="131313"/>
        </w:rPr>
        <w:t>las</w:t>
      </w:r>
      <w:r>
        <w:rPr>
          <w:color w:val="131313"/>
          <w:spacing w:val="-2"/>
        </w:rPr>
        <w:t xml:space="preserve"> </w:t>
      </w:r>
      <w:r>
        <w:rPr>
          <w:color w:val="131313"/>
        </w:rPr>
        <w:t>víctimas.</w:t>
      </w:r>
      <w:r>
        <w:rPr>
          <w:color w:val="131313"/>
          <w:spacing w:val="-4"/>
        </w:rPr>
        <w:t xml:space="preserve"> </w:t>
      </w:r>
      <w:r>
        <w:rPr>
          <w:color w:val="131313"/>
        </w:rPr>
        <w:t>Un</w:t>
      </w:r>
      <w:r>
        <w:rPr>
          <w:color w:val="131313"/>
          <w:spacing w:val="-2"/>
        </w:rPr>
        <w:t xml:space="preserve"> </w:t>
      </w:r>
      <w:r>
        <w:rPr>
          <w:color w:val="131313"/>
        </w:rPr>
        <w:t>diálogo</w:t>
      </w:r>
      <w:r>
        <w:rPr>
          <w:color w:val="131313"/>
          <w:spacing w:val="-4"/>
        </w:rPr>
        <w:t xml:space="preserve"> </w:t>
      </w:r>
      <w:r>
        <w:rPr>
          <w:color w:val="131313"/>
        </w:rPr>
        <w:t>social</w:t>
      </w:r>
      <w:r>
        <w:rPr>
          <w:color w:val="131313"/>
          <w:spacing w:val="-2"/>
        </w:rPr>
        <w:t xml:space="preserve"> </w:t>
      </w:r>
      <w:r>
        <w:rPr>
          <w:color w:val="131313"/>
        </w:rPr>
        <w:t>que</w:t>
      </w:r>
      <w:r>
        <w:rPr>
          <w:color w:val="131313"/>
          <w:spacing w:val="-2"/>
        </w:rPr>
        <w:t xml:space="preserve"> </w:t>
      </w:r>
      <w:r>
        <w:rPr>
          <w:color w:val="131313"/>
        </w:rPr>
        <w:t>no</w:t>
      </w:r>
      <w:r>
        <w:rPr>
          <w:color w:val="131313"/>
          <w:spacing w:val="-2"/>
        </w:rPr>
        <w:t xml:space="preserve"> </w:t>
      </w:r>
      <w:r>
        <w:rPr>
          <w:color w:val="131313"/>
        </w:rPr>
        <w:t>cambia</w:t>
      </w:r>
      <w:r>
        <w:rPr>
          <w:color w:val="131313"/>
          <w:spacing w:val="-2"/>
        </w:rPr>
        <w:t xml:space="preserve"> </w:t>
      </w:r>
      <w:r>
        <w:rPr>
          <w:color w:val="131313"/>
        </w:rPr>
        <w:t>solo</w:t>
      </w:r>
      <w:r>
        <w:rPr>
          <w:color w:val="131313"/>
          <w:spacing w:val="-2"/>
        </w:rPr>
        <w:t xml:space="preserve"> </w:t>
      </w:r>
      <w:r>
        <w:rPr>
          <w:color w:val="131313"/>
        </w:rPr>
        <w:t>por</w:t>
      </w:r>
      <w:r>
        <w:rPr>
          <w:color w:val="131313"/>
          <w:spacing w:val="-2"/>
        </w:rPr>
        <w:t xml:space="preserve"> </w:t>
      </w:r>
      <w:r>
        <w:rPr>
          <w:color w:val="131313"/>
        </w:rPr>
        <w:t>eso</w:t>
      </w:r>
      <w:r>
        <w:rPr>
          <w:color w:val="131313"/>
          <w:spacing w:val="-2"/>
        </w:rPr>
        <w:t xml:space="preserve"> </w:t>
      </w:r>
      <w:r>
        <w:rPr>
          <w:color w:val="131313"/>
        </w:rPr>
        <w:t>la</w:t>
      </w:r>
      <w:r>
        <w:rPr>
          <w:color w:val="131313"/>
          <w:spacing w:val="-3"/>
        </w:rPr>
        <w:t xml:space="preserve"> </w:t>
      </w:r>
      <w:r>
        <w:rPr>
          <w:color w:val="131313"/>
        </w:rPr>
        <w:t>realidad,</w:t>
      </w:r>
      <w:r>
        <w:rPr>
          <w:color w:val="131313"/>
          <w:spacing w:val="-2"/>
        </w:rPr>
        <w:t xml:space="preserve"> </w:t>
      </w:r>
      <w:r>
        <w:rPr>
          <w:color w:val="131313"/>
        </w:rPr>
        <w:t>pero</w:t>
      </w:r>
      <w:r>
        <w:rPr>
          <w:color w:val="131313"/>
          <w:spacing w:val="-2"/>
        </w:rPr>
        <w:t xml:space="preserve"> </w:t>
      </w:r>
      <w:r>
        <w:rPr>
          <w:color w:val="131313"/>
        </w:rPr>
        <w:t>que ayuda a restablecer los lazos y la confianza que se necesitan para ello.</w:t>
      </w:r>
    </w:p>
    <w:p w:rsidR="003804AC" w:rsidRDefault="00AF18A5" w:rsidP="009D148F">
      <w:r>
        <w:rPr>
          <w:color w:val="131313"/>
        </w:rPr>
        <w:t>La Comisión incluyó conversaciones sobre el presente, en los Encuentros por la No Repetición, frente al asesinato de líderes sociales y de exmiembros de las FARC-EP, así como</w:t>
      </w:r>
      <w:r>
        <w:rPr>
          <w:color w:val="131313"/>
          <w:spacing w:val="-8"/>
        </w:rPr>
        <w:t xml:space="preserve"> </w:t>
      </w:r>
      <w:r>
        <w:rPr>
          <w:color w:val="131313"/>
        </w:rPr>
        <w:t>las</w:t>
      </w:r>
      <w:r>
        <w:rPr>
          <w:color w:val="131313"/>
          <w:spacing w:val="-8"/>
        </w:rPr>
        <w:t xml:space="preserve"> </w:t>
      </w:r>
      <w:r>
        <w:rPr>
          <w:color w:val="131313"/>
        </w:rPr>
        <w:t>nuevas</w:t>
      </w:r>
      <w:r>
        <w:rPr>
          <w:color w:val="131313"/>
          <w:spacing w:val="-8"/>
        </w:rPr>
        <w:t xml:space="preserve"> </w:t>
      </w:r>
      <w:r>
        <w:rPr>
          <w:color w:val="131313"/>
        </w:rPr>
        <w:t>formas</w:t>
      </w:r>
      <w:r>
        <w:rPr>
          <w:color w:val="131313"/>
          <w:spacing w:val="-10"/>
        </w:rPr>
        <w:t xml:space="preserve"> </w:t>
      </w:r>
      <w:r>
        <w:rPr>
          <w:color w:val="131313"/>
        </w:rPr>
        <w:t>de</w:t>
      </w:r>
      <w:r>
        <w:rPr>
          <w:color w:val="131313"/>
          <w:spacing w:val="-8"/>
        </w:rPr>
        <w:t xml:space="preserve"> </w:t>
      </w:r>
      <w:r>
        <w:rPr>
          <w:color w:val="131313"/>
        </w:rPr>
        <w:t>violencia</w:t>
      </w:r>
      <w:r>
        <w:rPr>
          <w:color w:val="131313"/>
          <w:spacing w:val="-10"/>
        </w:rPr>
        <w:t xml:space="preserve"> </w:t>
      </w:r>
      <w:r>
        <w:rPr>
          <w:color w:val="131313"/>
        </w:rPr>
        <w:t>y</w:t>
      </w:r>
      <w:r>
        <w:rPr>
          <w:color w:val="131313"/>
          <w:spacing w:val="-8"/>
        </w:rPr>
        <w:t xml:space="preserve"> </w:t>
      </w:r>
      <w:r>
        <w:rPr>
          <w:color w:val="131313"/>
        </w:rPr>
        <w:t>masacres</w:t>
      </w:r>
      <w:r>
        <w:rPr>
          <w:color w:val="131313"/>
          <w:spacing w:val="-10"/>
        </w:rPr>
        <w:t xml:space="preserve"> </w:t>
      </w:r>
      <w:r>
        <w:rPr>
          <w:color w:val="131313"/>
        </w:rPr>
        <w:t>que</w:t>
      </w:r>
      <w:r>
        <w:rPr>
          <w:color w:val="131313"/>
          <w:spacing w:val="-8"/>
        </w:rPr>
        <w:t xml:space="preserve"> </w:t>
      </w:r>
      <w:r>
        <w:rPr>
          <w:color w:val="131313"/>
        </w:rPr>
        <w:t>mantienen</w:t>
      </w:r>
      <w:r>
        <w:rPr>
          <w:color w:val="131313"/>
          <w:spacing w:val="-8"/>
        </w:rPr>
        <w:t xml:space="preserve"> </w:t>
      </w:r>
      <w:r>
        <w:rPr>
          <w:color w:val="131313"/>
        </w:rPr>
        <w:t>un</w:t>
      </w:r>
      <w:r>
        <w:rPr>
          <w:color w:val="131313"/>
          <w:spacing w:val="-8"/>
        </w:rPr>
        <w:t xml:space="preserve"> </w:t>
      </w:r>
      <w:r>
        <w:rPr>
          <w:color w:val="131313"/>
        </w:rPr>
        <w:t>conflicto</w:t>
      </w:r>
      <w:r>
        <w:rPr>
          <w:color w:val="131313"/>
          <w:spacing w:val="-8"/>
        </w:rPr>
        <w:t xml:space="preserve"> </w:t>
      </w:r>
      <w:r>
        <w:rPr>
          <w:color w:val="131313"/>
        </w:rPr>
        <w:t>armado</w:t>
      </w:r>
      <w:r>
        <w:rPr>
          <w:color w:val="131313"/>
          <w:spacing w:val="-9"/>
        </w:rPr>
        <w:t xml:space="preserve"> </w:t>
      </w:r>
      <w:r>
        <w:rPr>
          <w:color w:val="131313"/>
        </w:rPr>
        <w:t xml:space="preserve">abierto, especialmente en varias regiones del país, con fuerte impacto no solo en las comunidades </w:t>
      </w:r>
      <w:r>
        <w:rPr>
          <w:color w:val="131313"/>
        </w:rPr>
        <w:lastRenderedPageBreak/>
        <w:t>afectadas,</w:t>
      </w:r>
      <w:r>
        <w:rPr>
          <w:color w:val="131313"/>
          <w:spacing w:val="-7"/>
        </w:rPr>
        <w:t xml:space="preserve"> </w:t>
      </w:r>
      <w:r>
        <w:rPr>
          <w:color w:val="131313"/>
        </w:rPr>
        <w:t>sino</w:t>
      </w:r>
      <w:r>
        <w:rPr>
          <w:color w:val="131313"/>
          <w:spacing w:val="-7"/>
        </w:rPr>
        <w:t xml:space="preserve"> </w:t>
      </w:r>
      <w:r>
        <w:rPr>
          <w:color w:val="131313"/>
        </w:rPr>
        <w:t>también</w:t>
      </w:r>
      <w:r>
        <w:rPr>
          <w:color w:val="131313"/>
          <w:spacing w:val="-8"/>
        </w:rPr>
        <w:t xml:space="preserve"> </w:t>
      </w:r>
      <w:r>
        <w:rPr>
          <w:color w:val="131313"/>
        </w:rPr>
        <w:t>en</w:t>
      </w:r>
      <w:r>
        <w:rPr>
          <w:color w:val="131313"/>
          <w:spacing w:val="-7"/>
        </w:rPr>
        <w:t xml:space="preserve"> </w:t>
      </w:r>
      <w:r>
        <w:rPr>
          <w:color w:val="131313"/>
        </w:rPr>
        <w:t>la</w:t>
      </w:r>
      <w:r>
        <w:rPr>
          <w:color w:val="131313"/>
          <w:spacing w:val="-7"/>
        </w:rPr>
        <w:t xml:space="preserve"> </w:t>
      </w:r>
      <w:r>
        <w:rPr>
          <w:color w:val="131313"/>
        </w:rPr>
        <w:t>propia</w:t>
      </w:r>
      <w:r>
        <w:rPr>
          <w:color w:val="131313"/>
          <w:spacing w:val="-7"/>
        </w:rPr>
        <w:t xml:space="preserve"> </w:t>
      </w:r>
      <w:r>
        <w:rPr>
          <w:color w:val="131313"/>
        </w:rPr>
        <w:t>confianza</w:t>
      </w:r>
      <w:r>
        <w:rPr>
          <w:color w:val="131313"/>
          <w:spacing w:val="-7"/>
        </w:rPr>
        <w:t xml:space="preserve"> </w:t>
      </w:r>
      <w:r>
        <w:rPr>
          <w:color w:val="131313"/>
        </w:rPr>
        <w:t>en</w:t>
      </w:r>
      <w:r>
        <w:rPr>
          <w:color w:val="131313"/>
          <w:spacing w:val="-7"/>
        </w:rPr>
        <w:t xml:space="preserve"> </w:t>
      </w:r>
      <w:r>
        <w:rPr>
          <w:color w:val="131313"/>
        </w:rPr>
        <w:t>la</w:t>
      </w:r>
      <w:r>
        <w:rPr>
          <w:color w:val="131313"/>
          <w:spacing w:val="-7"/>
        </w:rPr>
        <w:t xml:space="preserve"> </w:t>
      </w:r>
      <w:r>
        <w:rPr>
          <w:color w:val="131313"/>
        </w:rPr>
        <w:t>paz</w:t>
      </w:r>
      <w:r>
        <w:rPr>
          <w:color w:val="131313"/>
          <w:spacing w:val="-7"/>
        </w:rPr>
        <w:t xml:space="preserve"> </w:t>
      </w:r>
      <w:r>
        <w:rPr>
          <w:color w:val="131313"/>
        </w:rPr>
        <w:t>y</w:t>
      </w:r>
      <w:r>
        <w:rPr>
          <w:color w:val="131313"/>
          <w:spacing w:val="-7"/>
        </w:rPr>
        <w:t xml:space="preserve"> </w:t>
      </w:r>
      <w:r>
        <w:rPr>
          <w:color w:val="131313"/>
        </w:rPr>
        <w:t>en</w:t>
      </w:r>
      <w:r>
        <w:rPr>
          <w:color w:val="131313"/>
          <w:spacing w:val="-7"/>
        </w:rPr>
        <w:t xml:space="preserve"> </w:t>
      </w:r>
      <w:r>
        <w:rPr>
          <w:color w:val="131313"/>
        </w:rPr>
        <w:t>las</w:t>
      </w:r>
      <w:r>
        <w:rPr>
          <w:color w:val="131313"/>
          <w:spacing w:val="-7"/>
        </w:rPr>
        <w:t xml:space="preserve"> </w:t>
      </w:r>
      <w:r>
        <w:rPr>
          <w:color w:val="131313"/>
        </w:rPr>
        <w:t>necesarias</w:t>
      </w:r>
      <w:r>
        <w:rPr>
          <w:color w:val="131313"/>
          <w:spacing w:val="-7"/>
        </w:rPr>
        <w:t xml:space="preserve"> </w:t>
      </w:r>
      <w:r>
        <w:rPr>
          <w:color w:val="131313"/>
        </w:rPr>
        <w:t xml:space="preserve">transformaciones estructurales, cumplimiento y extensión del acuerdo de paz con las FARC-EP para una paz </w:t>
      </w:r>
      <w:r>
        <w:rPr>
          <w:color w:val="131313"/>
          <w:spacing w:val="-2"/>
        </w:rPr>
        <w:t>completa.</w:t>
      </w:r>
    </w:p>
    <w:p w:rsidR="003804AC" w:rsidRDefault="00AF18A5" w:rsidP="009D148F">
      <w:r>
        <w:rPr>
          <w:color w:val="131313"/>
        </w:rPr>
        <w:t>La Comisión de la Verdad llevó adelante una extensa conversación colectiva con todos los sectores sociales, con centralidad de las víctimas, no solo para mirar hacia ese pasado, sino para transformar el presente con el convencimiento de que el futuro les pertenece a las nuevas generaciones que necesitan dejar atrás un pasado violento y dar pasos hacia un país capaz de afrontar las transformaciones necesarias y tantas veces postergadas por la guerra.</w:t>
      </w:r>
    </w:p>
    <w:p w:rsidR="003804AC" w:rsidRDefault="00AF18A5" w:rsidP="009D148F">
      <w:r>
        <w:t>El reconocimiento de todas estas experiencias supone hablar de hechos y también de injusticias,</w:t>
      </w:r>
      <w:r>
        <w:rPr>
          <w:spacing w:val="-12"/>
        </w:rPr>
        <w:t xml:space="preserve"> </w:t>
      </w:r>
      <w:r>
        <w:t>dolores,</w:t>
      </w:r>
      <w:r>
        <w:rPr>
          <w:spacing w:val="-13"/>
        </w:rPr>
        <w:t xml:space="preserve"> </w:t>
      </w:r>
      <w:r>
        <w:t>pérdidas</w:t>
      </w:r>
      <w:r>
        <w:rPr>
          <w:spacing w:val="-12"/>
        </w:rPr>
        <w:t xml:space="preserve"> </w:t>
      </w:r>
      <w:r>
        <w:t>humanas,</w:t>
      </w:r>
      <w:r>
        <w:rPr>
          <w:spacing w:val="-12"/>
        </w:rPr>
        <w:t xml:space="preserve"> </w:t>
      </w:r>
      <w:r>
        <w:t>ataques</w:t>
      </w:r>
      <w:r>
        <w:rPr>
          <w:spacing w:val="-12"/>
        </w:rPr>
        <w:t xml:space="preserve"> </w:t>
      </w:r>
      <w:r>
        <w:t>a</w:t>
      </w:r>
      <w:r>
        <w:rPr>
          <w:spacing w:val="-13"/>
        </w:rPr>
        <w:t xml:space="preserve"> </w:t>
      </w:r>
      <w:r>
        <w:t>la</w:t>
      </w:r>
      <w:r>
        <w:rPr>
          <w:spacing w:val="-13"/>
        </w:rPr>
        <w:t xml:space="preserve"> </w:t>
      </w:r>
      <w:r>
        <w:t>dignidad.</w:t>
      </w:r>
      <w:r>
        <w:rPr>
          <w:spacing w:val="-12"/>
        </w:rPr>
        <w:t xml:space="preserve"> </w:t>
      </w:r>
      <w:r>
        <w:t>Han</w:t>
      </w:r>
      <w:r>
        <w:rPr>
          <w:spacing w:val="-12"/>
        </w:rPr>
        <w:t xml:space="preserve"> </w:t>
      </w:r>
      <w:r>
        <w:t>sido</w:t>
      </w:r>
      <w:r>
        <w:rPr>
          <w:spacing w:val="-13"/>
        </w:rPr>
        <w:t xml:space="preserve"> </w:t>
      </w:r>
      <w:r>
        <w:t>también</w:t>
      </w:r>
      <w:r>
        <w:rPr>
          <w:spacing w:val="-12"/>
        </w:rPr>
        <w:t xml:space="preserve"> </w:t>
      </w:r>
      <w:r>
        <w:t>espacios</w:t>
      </w:r>
      <w:r>
        <w:rPr>
          <w:spacing w:val="-13"/>
        </w:rPr>
        <w:t xml:space="preserve"> </w:t>
      </w:r>
      <w:r>
        <w:t>para hacer,</w:t>
      </w:r>
      <w:r>
        <w:rPr>
          <w:spacing w:val="-4"/>
        </w:rPr>
        <w:t xml:space="preserve"> </w:t>
      </w:r>
      <w:r>
        <w:t>con</w:t>
      </w:r>
      <w:r>
        <w:rPr>
          <w:spacing w:val="-4"/>
        </w:rPr>
        <w:t xml:space="preserve"> </w:t>
      </w:r>
      <w:r>
        <w:t>parte</w:t>
      </w:r>
      <w:r>
        <w:rPr>
          <w:spacing w:val="-3"/>
        </w:rPr>
        <w:t xml:space="preserve"> </w:t>
      </w:r>
      <w:r>
        <w:t>de</w:t>
      </w:r>
      <w:r>
        <w:rPr>
          <w:spacing w:val="-3"/>
        </w:rPr>
        <w:t xml:space="preserve"> </w:t>
      </w:r>
      <w:r>
        <w:t>esos</w:t>
      </w:r>
      <w:r>
        <w:rPr>
          <w:spacing w:val="-5"/>
        </w:rPr>
        <w:t xml:space="preserve"> </w:t>
      </w:r>
      <w:r>
        <w:t>procesos,</w:t>
      </w:r>
      <w:r>
        <w:rPr>
          <w:spacing w:val="-4"/>
        </w:rPr>
        <w:t xml:space="preserve"> </w:t>
      </w:r>
      <w:r>
        <w:t>un</w:t>
      </w:r>
      <w:r>
        <w:rPr>
          <w:spacing w:val="-5"/>
        </w:rPr>
        <w:t xml:space="preserve"> </w:t>
      </w:r>
      <w:r>
        <w:t>duelo</w:t>
      </w:r>
      <w:r>
        <w:rPr>
          <w:spacing w:val="-4"/>
        </w:rPr>
        <w:t xml:space="preserve"> </w:t>
      </w:r>
      <w:r>
        <w:t>colectivo,</w:t>
      </w:r>
      <w:r>
        <w:rPr>
          <w:spacing w:val="-4"/>
        </w:rPr>
        <w:t xml:space="preserve"> </w:t>
      </w:r>
      <w:r>
        <w:t>en</w:t>
      </w:r>
      <w:r>
        <w:rPr>
          <w:spacing w:val="-4"/>
        </w:rPr>
        <w:t xml:space="preserve"> </w:t>
      </w:r>
      <w:r>
        <w:t>el</w:t>
      </w:r>
      <w:r>
        <w:rPr>
          <w:spacing w:val="-3"/>
        </w:rPr>
        <w:t xml:space="preserve"> </w:t>
      </w:r>
      <w:r>
        <w:t>cual</w:t>
      </w:r>
      <w:r>
        <w:rPr>
          <w:spacing w:val="-3"/>
        </w:rPr>
        <w:t xml:space="preserve"> </w:t>
      </w:r>
      <w:r>
        <w:t>se</w:t>
      </w:r>
      <w:r>
        <w:rPr>
          <w:spacing w:val="-3"/>
        </w:rPr>
        <w:t xml:space="preserve"> </w:t>
      </w:r>
      <w:r>
        <w:t>pueda</w:t>
      </w:r>
      <w:r>
        <w:rPr>
          <w:spacing w:val="-3"/>
        </w:rPr>
        <w:t xml:space="preserve"> </w:t>
      </w:r>
      <w:r>
        <w:t>hablar</w:t>
      </w:r>
      <w:r>
        <w:rPr>
          <w:spacing w:val="-3"/>
        </w:rPr>
        <w:t xml:space="preserve"> </w:t>
      </w:r>
      <w:r>
        <w:t>sin</w:t>
      </w:r>
      <w:r>
        <w:rPr>
          <w:spacing w:val="-4"/>
        </w:rPr>
        <w:t xml:space="preserve"> </w:t>
      </w:r>
      <w:r>
        <w:t>miedo</w:t>
      </w:r>
      <w:r>
        <w:rPr>
          <w:spacing w:val="-4"/>
        </w:rPr>
        <w:t xml:space="preserve"> </w:t>
      </w:r>
      <w:r>
        <w:t>y se rescate el buen nombre de las víctimas y de los</w:t>
      </w:r>
      <w:r>
        <w:rPr>
          <w:spacing w:val="-1"/>
        </w:rPr>
        <w:t xml:space="preserve"> </w:t>
      </w:r>
      <w:r>
        <w:t>que ya no están, pero acompañan con sus presencias.</w:t>
      </w:r>
      <w:r>
        <w:rPr>
          <w:spacing w:val="-15"/>
        </w:rPr>
        <w:t xml:space="preserve"> </w:t>
      </w:r>
      <w:r>
        <w:t>Los</w:t>
      </w:r>
      <w:r>
        <w:rPr>
          <w:spacing w:val="-15"/>
        </w:rPr>
        <w:t xml:space="preserve"> </w:t>
      </w:r>
      <w:r>
        <w:t>ríos</w:t>
      </w:r>
      <w:r>
        <w:rPr>
          <w:spacing w:val="-15"/>
        </w:rPr>
        <w:t xml:space="preserve"> </w:t>
      </w:r>
      <w:r>
        <w:t>convertidos</w:t>
      </w:r>
      <w:r>
        <w:rPr>
          <w:spacing w:val="-15"/>
        </w:rPr>
        <w:t xml:space="preserve"> </w:t>
      </w:r>
      <w:r>
        <w:t>en</w:t>
      </w:r>
      <w:r>
        <w:rPr>
          <w:spacing w:val="-15"/>
        </w:rPr>
        <w:t xml:space="preserve"> </w:t>
      </w:r>
      <w:r>
        <w:t>cementerios,</w:t>
      </w:r>
      <w:r>
        <w:rPr>
          <w:spacing w:val="-15"/>
        </w:rPr>
        <w:t xml:space="preserve"> </w:t>
      </w:r>
      <w:r>
        <w:t>las</w:t>
      </w:r>
      <w:r>
        <w:rPr>
          <w:spacing w:val="-15"/>
        </w:rPr>
        <w:t xml:space="preserve"> </w:t>
      </w:r>
      <w:r>
        <w:t>iglesias</w:t>
      </w:r>
      <w:r>
        <w:rPr>
          <w:spacing w:val="-15"/>
        </w:rPr>
        <w:t xml:space="preserve"> </w:t>
      </w:r>
      <w:r>
        <w:t>donde</w:t>
      </w:r>
      <w:r>
        <w:rPr>
          <w:spacing w:val="-15"/>
        </w:rPr>
        <w:t xml:space="preserve"> </w:t>
      </w:r>
      <w:r>
        <w:t>se</w:t>
      </w:r>
      <w:r>
        <w:rPr>
          <w:spacing w:val="-15"/>
        </w:rPr>
        <w:t xml:space="preserve"> </w:t>
      </w:r>
      <w:r>
        <w:t>torturó</w:t>
      </w:r>
      <w:r>
        <w:rPr>
          <w:spacing w:val="-15"/>
        </w:rPr>
        <w:t xml:space="preserve"> </w:t>
      </w:r>
      <w:r>
        <w:t>o</w:t>
      </w:r>
      <w:r>
        <w:rPr>
          <w:spacing w:val="-15"/>
        </w:rPr>
        <w:t xml:space="preserve"> </w:t>
      </w:r>
      <w:r>
        <w:t>se</w:t>
      </w:r>
      <w:r>
        <w:rPr>
          <w:spacing w:val="-15"/>
        </w:rPr>
        <w:t xml:space="preserve"> </w:t>
      </w:r>
      <w:r>
        <w:t>bombardeó, los</w:t>
      </w:r>
      <w:r>
        <w:rPr>
          <w:spacing w:val="-4"/>
        </w:rPr>
        <w:t xml:space="preserve"> </w:t>
      </w:r>
      <w:r>
        <w:t>cementerios</w:t>
      </w:r>
      <w:r>
        <w:rPr>
          <w:spacing w:val="-4"/>
        </w:rPr>
        <w:t xml:space="preserve"> </w:t>
      </w:r>
      <w:r>
        <w:t>habitados</w:t>
      </w:r>
      <w:r>
        <w:rPr>
          <w:spacing w:val="-4"/>
        </w:rPr>
        <w:t xml:space="preserve"> </w:t>
      </w:r>
      <w:r>
        <w:t>por</w:t>
      </w:r>
      <w:r>
        <w:rPr>
          <w:spacing w:val="-4"/>
        </w:rPr>
        <w:t xml:space="preserve"> </w:t>
      </w:r>
      <w:r>
        <w:t>decenas</w:t>
      </w:r>
      <w:r>
        <w:rPr>
          <w:spacing w:val="-4"/>
        </w:rPr>
        <w:t xml:space="preserve"> </w:t>
      </w:r>
      <w:r>
        <w:t>de</w:t>
      </w:r>
      <w:r>
        <w:rPr>
          <w:spacing w:val="-5"/>
        </w:rPr>
        <w:t xml:space="preserve"> </w:t>
      </w:r>
      <w:r>
        <w:t>miles</w:t>
      </w:r>
      <w:r>
        <w:rPr>
          <w:spacing w:val="-4"/>
        </w:rPr>
        <w:t xml:space="preserve"> </w:t>
      </w:r>
      <w:r>
        <w:t>de</w:t>
      </w:r>
      <w:r>
        <w:rPr>
          <w:spacing w:val="-4"/>
        </w:rPr>
        <w:t xml:space="preserve"> </w:t>
      </w:r>
      <w:r>
        <w:t>NN,</w:t>
      </w:r>
      <w:r>
        <w:rPr>
          <w:spacing w:val="-4"/>
        </w:rPr>
        <w:t xml:space="preserve"> </w:t>
      </w:r>
      <w:r>
        <w:t>las</w:t>
      </w:r>
      <w:r>
        <w:rPr>
          <w:spacing w:val="-4"/>
        </w:rPr>
        <w:t xml:space="preserve"> </w:t>
      </w:r>
      <w:r>
        <w:t>dependencias</w:t>
      </w:r>
      <w:r>
        <w:rPr>
          <w:spacing w:val="-6"/>
        </w:rPr>
        <w:t xml:space="preserve"> </w:t>
      </w:r>
      <w:r>
        <w:t>donde</w:t>
      </w:r>
      <w:r>
        <w:rPr>
          <w:spacing w:val="-4"/>
        </w:rPr>
        <w:t xml:space="preserve"> </w:t>
      </w:r>
      <w:r>
        <w:t>permanecen muchos restos</w:t>
      </w:r>
      <w:r>
        <w:rPr>
          <w:spacing w:val="-1"/>
        </w:rPr>
        <w:t xml:space="preserve"> </w:t>
      </w:r>
      <w:r>
        <w:t>de personas</w:t>
      </w:r>
      <w:r>
        <w:rPr>
          <w:spacing w:val="-1"/>
        </w:rPr>
        <w:t xml:space="preserve"> </w:t>
      </w:r>
      <w:r>
        <w:t>rescatados de</w:t>
      </w:r>
      <w:r>
        <w:rPr>
          <w:spacing w:val="-1"/>
        </w:rPr>
        <w:t xml:space="preserve"> </w:t>
      </w:r>
      <w:r>
        <w:t>fosas comunes</w:t>
      </w:r>
      <w:r>
        <w:rPr>
          <w:spacing w:val="-1"/>
        </w:rPr>
        <w:t xml:space="preserve"> </w:t>
      </w:r>
      <w:r>
        <w:t>para</w:t>
      </w:r>
      <w:r>
        <w:rPr>
          <w:spacing w:val="-1"/>
        </w:rPr>
        <w:t xml:space="preserve"> </w:t>
      </w:r>
      <w:r>
        <w:t>su identificación,</w:t>
      </w:r>
      <w:r>
        <w:rPr>
          <w:spacing w:val="-1"/>
        </w:rPr>
        <w:t xml:space="preserve"> </w:t>
      </w:r>
      <w:r>
        <w:t xml:space="preserve">necesitan un marco social de aceptación y comprensión de lo sucedido, que resulta necesario para la </w:t>
      </w:r>
      <w:r>
        <w:rPr>
          <w:spacing w:val="-2"/>
        </w:rPr>
        <w:t>reconstrucción.</w:t>
      </w:r>
    </w:p>
    <w:p w:rsidR="003804AC" w:rsidRDefault="00AF18A5" w:rsidP="009D148F">
      <w:r>
        <w:t>Toda elaboración de esos traumas pasa por el reconocimiento de lo sucedido y de la dignidad de las víctimas, pero también por una pregunta fundamental para el país: ¿es el sufrimiento</w:t>
      </w:r>
      <w:r>
        <w:rPr>
          <w:spacing w:val="-11"/>
        </w:rPr>
        <w:t xml:space="preserve"> </w:t>
      </w:r>
      <w:r>
        <w:t>de</w:t>
      </w:r>
      <w:r>
        <w:rPr>
          <w:spacing w:val="-9"/>
        </w:rPr>
        <w:t xml:space="preserve"> </w:t>
      </w:r>
      <w:r>
        <w:t>los</w:t>
      </w:r>
      <w:r>
        <w:rPr>
          <w:spacing w:val="-10"/>
        </w:rPr>
        <w:t xml:space="preserve"> </w:t>
      </w:r>
      <w:r>
        <w:t>otros</w:t>
      </w:r>
      <w:r>
        <w:rPr>
          <w:spacing w:val="-10"/>
        </w:rPr>
        <w:t xml:space="preserve"> </w:t>
      </w:r>
      <w:r>
        <w:t>también</w:t>
      </w:r>
      <w:r>
        <w:rPr>
          <w:spacing w:val="-10"/>
        </w:rPr>
        <w:t xml:space="preserve"> </w:t>
      </w:r>
      <w:r>
        <w:t>nuestro?</w:t>
      </w:r>
      <w:r>
        <w:rPr>
          <w:spacing w:val="-9"/>
        </w:rPr>
        <w:t xml:space="preserve"> </w:t>
      </w:r>
      <w:r>
        <w:t>Las</w:t>
      </w:r>
      <w:r>
        <w:rPr>
          <w:spacing w:val="-9"/>
        </w:rPr>
        <w:t xml:space="preserve"> </w:t>
      </w:r>
      <w:r>
        <w:t>sociedades</w:t>
      </w:r>
      <w:r>
        <w:rPr>
          <w:spacing w:val="-9"/>
        </w:rPr>
        <w:t xml:space="preserve"> </w:t>
      </w:r>
      <w:r>
        <w:t>que</w:t>
      </w:r>
      <w:r>
        <w:rPr>
          <w:spacing w:val="-9"/>
        </w:rPr>
        <w:t xml:space="preserve"> </w:t>
      </w:r>
      <w:r>
        <w:t>amplían</w:t>
      </w:r>
      <w:r>
        <w:rPr>
          <w:spacing w:val="-10"/>
        </w:rPr>
        <w:t xml:space="preserve"> </w:t>
      </w:r>
      <w:r>
        <w:t>el</w:t>
      </w:r>
      <w:r>
        <w:rPr>
          <w:spacing w:val="-9"/>
        </w:rPr>
        <w:t xml:space="preserve"> </w:t>
      </w:r>
      <w:r>
        <w:t>círculo</w:t>
      </w:r>
      <w:r>
        <w:rPr>
          <w:spacing w:val="-10"/>
        </w:rPr>
        <w:t xml:space="preserve"> </w:t>
      </w:r>
      <w:r>
        <w:t>del</w:t>
      </w:r>
      <w:r>
        <w:rPr>
          <w:spacing w:val="-9"/>
        </w:rPr>
        <w:t xml:space="preserve"> </w:t>
      </w:r>
      <w:r>
        <w:rPr>
          <w:i/>
        </w:rPr>
        <w:t xml:space="preserve">nosotros </w:t>
      </w:r>
      <w:r>
        <w:rPr>
          <w:color w:val="000009"/>
        </w:rPr>
        <w:t>crean la</w:t>
      </w:r>
      <w:r>
        <w:rPr>
          <w:color w:val="000009"/>
          <w:spacing w:val="2"/>
        </w:rPr>
        <w:t xml:space="preserve"> </w:t>
      </w:r>
      <w:r>
        <w:rPr>
          <w:color w:val="000009"/>
        </w:rPr>
        <w:t>posibilidad</w:t>
      </w:r>
      <w:r>
        <w:rPr>
          <w:color w:val="000009"/>
          <w:spacing w:val="2"/>
        </w:rPr>
        <w:t xml:space="preserve"> </w:t>
      </w:r>
      <w:r>
        <w:rPr>
          <w:color w:val="000009"/>
        </w:rPr>
        <w:t>de</w:t>
      </w:r>
      <w:r>
        <w:rPr>
          <w:color w:val="000009"/>
          <w:spacing w:val="2"/>
        </w:rPr>
        <w:t xml:space="preserve"> </w:t>
      </w:r>
      <w:r>
        <w:rPr>
          <w:color w:val="000009"/>
        </w:rPr>
        <w:t>una</w:t>
      </w:r>
      <w:r>
        <w:rPr>
          <w:color w:val="000009"/>
          <w:spacing w:val="2"/>
        </w:rPr>
        <w:t xml:space="preserve"> </w:t>
      </w:r>
      <w:r>
        <w:rPr>
          <w:color w:val="000009"/>
        </w:rPr>
        <w:t>reparación</w:t>
      </w:r>
      <w:r>
        <w:rPr>
          <w:color w:val="000009"/>
          <w:spacing w:val="2"/>
        </w:rPr>
        <w:t xml:space="preserve"> </w:t>
      </w:r>
      <w:r>
        <w:rPr>
          <w:color w:val="000009"/>
        </w:rPr>
        <w:t>que</w:t>
      </w:r>
      <w:r>
        <w:rPr>
          <w:color w:val="000009"/>
          <w:spacing w:val="2"/>
        </w:rPr>
        <w:t xml:space="preserve"> </w:t>
      </w:r>
      <w:r>
        <w:rPr>
          <w:color w:val="000009"/>
        </w:rPr>
        <w:t>evita</w:t>
      </w:r>
      <w:r>
        <w:rPr>
          <w:color w:val="000009"/>
          <w:spacing w:val="1"/>
        </w:rPr>
        <w:t xml:space="preserve"> </w:t>
      </w:r>
      <w:r>
        <w:rPr>
          <w:color w:val="000009"/>
        </w:rPr>
        <w:t>que</w:t>
      </w:r>
      <w:r>
        <w:rPr>
          <w:color w:val="000009"/>
          <w:spacing w:val="2"/>
        </w:rPr>
        <w:t xml:space="preserve"> </w:t>
      </w:r>
      <w:r>
        <w:rPr>
          <w:color w:val="000009"/>
        </w:rPr>
        <w:t>el</w:t>
      </w:r>
      <w:r>
        <w:rPr>
          <w:color w:val="000009"/>
          <w:spacing w:val="3"/>
        </w:rPr>
        <w:t xml:space="preserve"> </w:t>
      </w:r>
      <w:r>
        <w:rPr>
          <w:color w:val="000009"/>
        </w:rPr>
        <w:t>trauma</w:t>
      </w:r>
      <w:r>
        <w:rPr>
          <w:color w:val="000009"/>
          <w:spacing w:val="2"/>
        </w:rPr>
        <w:t xml:space="preserve"> </w:t>
      </w:r>
      <w:r>
        <w:rPr>
          <w:color w:val="000009"/>
        </w:rPr>
        <w:t>vuelva</w:t>
      </w:r>
      <w:r>
        <w:rPr>
          <w:color w:val="000009"/>
          <w:spacing w:val="2"/>
        </w:rPr>
        <w:t xml:space="preserve"> </w:t>
      </w:r>
      <w:r>
        <w:rPr>
          <w:color w:val="000009"/>
        </w:rPr>
        <w:t>a</w:t>
      </w:r>
      <w:r>
        <w:rPr>
          <w:color w:val="000009"/>
          <w:spacing w:val="2"/>
        </w:rPr>
        <w:t xml:space="preserve"> </w:t>
      </w:r>
      <w:r>
        <w:rPr>
          <w:color w:val="000009"/>
        </w:rPr>
        <w:t>suceder,</w:t>
      </w:r>
      <w:r>
        <w:rPr>
          <w:color w:val="000009"/>
          <w:spacing w:val="2"/>
        </w:rPr>
        <w:t xml:space="preserve"> </w:t>
      </w:r>
      <w:r>
        <w:rPr>
          <w:color w:val="000009"/>
        </w:rPr>
        <w:t>aunque</w:t>
      </w:r>
      <w:r>
        <w:rPr>
          <w:color w:val="000009"/>
          <w:spacing w:val="3"/>
        </w:rPr>
        <w:t xml:space="preserve"> </w:t>
      </w:r>
      <w:r>
        <w:rPr>
          <w:color w:val="000009"/>
          <w:spacing w:val="-5"/>
        </w:rPr>
        <w:t>ese</w:t>
      </w:r>
      <w:r w:rsidR="00AB354B">
        <w:rPr>
          <w:color w:val="000009"/>
          <w:spacing w:val="-5"/>
        </w:rPr>
        <w:t xml:space="preserve"> </w:t>
      </w:r>
      <w:r>
        <w:rPr>
          <w:color w:val="000009"/>
        </w:rPr>
        <w:t>proceso</w:t>
      </w:r>
      <w:r>
        <w:rPr>
          <w:color w:val="000009"/>
          <w:spacing w:val="-5"/>
        </w:rPr>
        <w:t xml:space="preserve"> </w:t>
      </w:r>
      <w:r>
        <w:rPr>
          <w:color w:val="000009"/>
        </w:rPr>
        <w:t>se</w:t>
      </w:r>
      <w:r>
        <w:rPr>
          <w:color w:val="000009"/>
          <w:spacing w:val="-5"/>
        </w:rPr>
        <w:t xml:space="preserve"> </w:t>
      </w:r>
      <w:r>
        <w:rPr>
          <w:color w:val="000009"/>
        </w:rPr>
        <w:t>prolongue,</w:t>
      </w:r>
      <w:r>
        <w:rPr>
          <w:color w:val="000009"/>
          <w:spacing w:val="-5"/>
        </w:rPr>
        <w:t xml:space="preserve"> </w:t>
      </w:r>
      <w:r>
        <w:rPr>
          <w:color w:val="000009"/>
        </w:rPr>
        <w:t>a</w:t>
      </w:r>
      <w:r>
        <w:rPr>
          <w:color w:val="000009"/>
          <w:spacing w:val="-6"/>
        </w:rPr>
        <w:t xml:space="preserve"> </w:t>
      </w:r>
      <w:r>
        <w:rPr>
          <w:color w:val="000009"/>
        </w:rPr>
        <w:t>veces,</w:t>
      </w:r>
      <w:r>
        <w:rPr>
          <w:color w:val="000009"/>
          <w:spacing w:val="-5"/>
        </w:rPr>
        <w:t xml:space="preserve"> </w:t>
      </w:r>
      <w:r>
        <w:rPr>
          <w:color w:val="000009"/>
        </w:rPr>
        <w:t>durante</w:t>
      </w:r>
      <w:r>
        <w:rPr>
          <w:color w:val="000009"/>
          <w:spacing w:val="-5"/>
        </w:rPr>
        <w:t xml:space="preserve"> </w:t>
      </w:r>
      <w:r>
        <w:rPr>
          <w:color w:val="000009"/>
        </w:rPr>
        <w:lastRenderedPageBreak/>
        <w:t>generaciones.</w:t>
      </w:r>
      <w:r>
        <w:rPr>
          <w:color w:val="000009"/>
          <w:spacing w:val="-5"/>
        </w:rPr>
        <w:t xml:space="preserve"> </w:t>
      </w:r>
      <w:r>
        <w:rPr>
          <w:color w:val="000009"/>
        </w:rPr>
        <w:t>El</w:t>
      </w:r>
      <w:r>
        <w:rPr>
          <w:color w:val="000009"/>
          <w:spacing w:val="-5"/>
        </w:rPr>
        <w:t xml:space="preserve"> </w:t>
      </w:r>
      <w:r>
        <w:t>trabajo</w:t>
      </w:r>
      <w:r>
        <w:rPr>
          <w:spacing w:val="-5"/>
        </w:rPr>
        <w:t xml:space="preserve"> </w:t>
      </w:r>
      <w:r>
        <w:t>de</w:t>
      </w:r>
      <w:r>
        <w:rPr>
          <w:spacing w:val="-5"/>
        </w:rPr>
        <w:t xml:space="preserve"> </w:t>
      </w:r>
      <w:r>
        <w:t>la</w:t>
      </w:r>
      <w:r>
        <w:rPr>
          <w:spacing w:val="-5"/>
        </w:rPr>
        <w:t xml:space="preserve"> </w:t>
      </w:r>
      <w:r>
        <w:t>Comisión</w:t>
      </w:r>
      <w:r>
        <w:rPr>
          <w:spacing w:val="-5"/>
        </w:rPr>
        <w:t xml:space="preserve"> </w:t>
      </w:r>
      <w:r>
        <w:t>de</w:t>
      </w:r>
      <w:r>
        <w:rPr>
          <w:spacing w:val="-6"/>
        </w:rPr>
        <w:t xml:space="preserve"> </w:t>
      </w:r>
      <w:r>
        <w:t>la</w:t>
      </w:r>
      <w:r>
        <w:rPr>
          <w:spacing w:val="-5"/>
        </w:rPr>
        <w:t xml:space="preserve"> </w:t>
      </w:r>
      <w:r>
        <w:t>Verdad se ha dirigido a un ejercicio de escucha amplio para generar una visión compartida del impacto</w:t>
      </w:r>
      <w:r>
        <w:rPr>
          <w:spacing w:val="-5"/>
        </w:rPr>
        <w:t xml:space="preserve"> </w:t>
      </w:r>
      <w:r>
        <w:t>y</w:t>
      </w:r>
      <w:r>
        <w:rPr>
          <w:spacing w:val="-5"/>
        </w:rPr>
        <w:t xml:space="preserve"> </w:t>
      </w:r>
      <w:r>
        <w:t>de</w:t>
      </w:r>
      <w:r>
        <w:rPr>
          <w:spacing w:val="-5"/>
        </w:rPr>
        <w:t xml:space="preserve"> </w:t>
      </w:r>
      <w:r>
        <w:t>lo</w:t>
      </w:r>
      <w:r>
        <w:rPr>
          <w:spacing w:val="-5"/>
        </w:rPr>
        <w:t xml:space="preserve"> </w:t>
      </w:r>
      <w:r>
        <w:t>intolerable</w:t>
      </w:r>
      <w:r>
        <w:rPr>
          <w:spacing w:val="-5"/>
        </w:rPr>
        <w:t xml:space="preserve"> </w:t>
      </w:r>
      <w:r>
        <w:t>de</w:t>
      </w:r>
      <w:r>
        <w:rPr>
          <w:spacing w:val="-5"/>
        </w:rPr>
        <w:t xml:space="preserve"> </w:t>
      </w:r>
      <w:r>
        <w:t>lo</w:t>
      </w:r>
      <w:r>
        <w:rPr>
          <w:spacing w:val="-5"/>
        </w:rPr>
        <w:t xml:space="preserve"> </w:t>
      </w:r>
      <w:r>
        <w:t>vivido</w:t>
      </w:r>
      <w:r>
        <w:rPr>
          <w:spacing w:val="-5"/>
        </w:rPr>
        <w:t xml:space="preserve"> </w:t>
      </w:r>
      <w:r>
        <w:t>y</w:t>
      </w:r>
      <w:r>
        <w:rPr>
          <w:spacing w:val="-5"/>
        </w:rPr>
        <w:t xml:space="preserve"> </w:t>
      </w:r>
      <w:r>
        <w:t>para</w:t>
      </w:r>
      <w:r>
        <w:rPr>
          <w:spacing w:val="-6"/>
        </w:rPr>
        <w:t xml:space="preserve"> </w:t>
      </w:r>
      <w:r>
        <w:t>ser</w:t>
      </w:r>
      <w:r>
        <w:rPr>
          <w:spacing w:val="-4"/>
        </w:rPr>
        <w:t xml:space="preserve"> </w:t>
      </w:r>
      <w:r>
        <w:t>conscientes</w:t>
      </w:r>
      <w:r>
        <w:rPr>
          <w:spacing w:val="-5"/>
        </w:rPr>
        <w:t xml:space="preserve"> </w:t>
      </w:r>
      <w:r>
        <w:t>de</w:t>
      </w:r>
      <w:r>
        <w:rPr>
          <w:spacing w:val="-5"/>
        </w:rPr>
        <w:t xml:space="preserve"> </w:t>
      </w:r>
      <w:r>
        <w:t>las</w:t>
      </w:r>
      <w:r>
        <w:rPr>
          <w:spacing w:val="-6"/>
        </w:rPr>
        <w:t xml:space="preserve"> </w:t>
      </w:r>
      <w:r>
        <w:t>consecuencias</w:t>
      </w:r>
      <w:r>
        <w:rPr>
          <w:spacing w:val="-5"/>
        </w:rPr>
        <w:t xml:space="preserve"> </w:t>
      </w:r>
      <w:r>
        <w:t>que</w:t>
      </w:r>
      <w:r>
        <w:rPr>
          <w:spacing w:val="-5"/>
        </w:rPr>
        <w:t xml:space="preserve"> </w:t>
      </w:r>
      <w:r>
        <w:t>todo ha tenido en la cultura, en los modelos de relación interpersonal e intergrupal, en los</w:t>
      </w:r>
      <w:r>
        <w:rPr>
          <w:spacing w:val="-1"/>
        </w:rPr>
        <w:t xml:space="preserve"> </w:t>
      </w:r>
      <w:r>
        <w:t>modos de</w:t>
      </w:r>
      <w:r>
        <w:rPr>
          <w:spacing w:val="-5"/>
        </w:rPr>
        <w:t xml:space="preserve"> </w:t>
      </w:r>
      <w:r>
        <w:t>hacer</w:t>
      </w:r>
      <w:r>
        <w:rPr>
          <w:spacing w:val="-4"/>
        </w:rPr>
        <w:t xml:space="preserve"> </w:t>
      </w:r>
      <w:r>
        <w:t>política</w:t>
      </w:r>
      <w:r>
        <w:rPr>
          <w:spacing w:val="-5"/>
        </w:rPr>
        <w:t xml:space="preserve"> </w:t>
      </w:r>
      <w:r>
        <w:t>o</w:t>
      </w:r>
      <w:r>
        <w:rPr>
          <w:spacing w:val="-5"/>
        </w:rPr>
        <w:t xml:space="preserve"> </w:t>
      </w:r>
      <w:r>
        <w:t>de</w:t>
      </w:r>
      <w:r>
        <w:rPr>
          <w:spacing w:val="-5"/>
        </w:rPr>
        <w:t xml:space="preserve"> </w:t>
      </w:r>
      <w:r>
        <w:t>afrontar</w:t>
      </w:r>
      <w:r>
        <w:rPr>
          <w:spacing w:val="-4"/>
        </w:rPr>
        <w:t xml:space="preserve"> </w:t>
      </w:r>
      <w:r>
        <w:t>los</w:t>
      </w:r>
      <w:r>
        <w:rPr>
          <w:spacing w:val="-5"/>
        </w:rPr>
        <w:t xml:space="preserve"> </w:t>
      </w:r>
      <w:r>
        <w:t>procesos</w:t>
      </w:r>
      <w:r>
        <w:rPr>
          <w:spacing w:val="-5"/>
        </w:rPr>
        <w:t xml:space="preserve"> </w:t>
      </w:r>
      <w:r>
        <w:t>colectivos.</w:t>
      </w:r>
      <w:r>
        <w:rPr>
          <w:spacing w:val="-5"/>
        </w:rPr>
        <w:t xml:space="preserve"> </w:t>
      </w:r>
      <w:r>
        <w:t>La</w:t>
      </w:r>
      <w:r>
        <w:rPr>
          <w:spacing w:val="-5"/>
        </w:rPr>
        <w:t xml:space="preserve"> </w:t>
      </w:r>
      <w:r>
        <w:t>herida</w:t>
      </w:r>
      <w:r>
        <w:rPr>
          <w:spacing w:val="-5"/>
        </w:rPr>
        <w:t xml:space="preserve"> </w:t>
      </w:r>
      <w:r>
        <w:t>en</w:t>
      </w:r>
      <w:r>
        <w:rPr>
          <w:spacing w:val="-5"/>
        </w:rPr>
        <w:t xml:space="preserve"> </w:t>
      </w:r>
      <w:r>
        <w:t>lo</w:t>
      </w:r>
      <w:r>
        <w:rPr>
          <w:spacing w:val="-5"/>
        </w:rPr>
        <w:t xml:space="preserve"> </w:t>
      </w:r>
      <w:r>
        <w:t>individual,</w:t>
      </w:r>
      <w:r>
        <w:rPr>
          <w:spacing w:val="-5"/>
        </w:rPr>
        <w:t xml:space="preserve"> </w:t>
      </w:r>
      <w:r>
        <w:t>lo</w:t>
      </w:r>
      <w:r>
        <w:rPr>
          <w:spacing w:val="-6"/>
        </w:rPr>
        <w:t xml:space="preserve"> </w:t>
      </w:r>
      <w:r>
        <w:t>familiar y lo colectivo que deja el conflicto armado trasciende el cuerpo y perfora el alma colectiva.</w:t>
      </w:r>
    </w:p>
    <w:p w:rsidR="0011361F" w:rsidRPr="00EF5274" w:rsidRDefault="00AF18A5" w:rsidP="004A6EF4">
      <w:pPr>
        <w:pStyle w:val="Ttulo3"/>
        <w:numPr>
          <w:ilvl w:val="2"/>
          <w:numId w:val="17"/>
        </w:numPr>
      </w:pPr>
      <w:bookmarkStart w:id="32" w:name="1.2.2._Las_consecuencias_del_dolor_atrav"/>
      <w:bookmarkStart w:id="33" w:name="_Toc112399527"/>
      <w:bookmarkEnd w:id="32"/>
      <w:r w:rsidRPr="00EF5274">
        <w:t>Las consecuencias del dolor atraviesan generaciones</w:t>
      </w:r>
      <w:bookmarkEnd w:id="33"/>
    </w:p>
    <w:p w:rsidR="003804AC" w:rsidRDefault="00AF18A5" w:rsidP="00EF5274">
      <w:r>
        <w:t>La Comisión de la Verdad tomó testimonios de diferentes épocas del conflicto armado, incluso hasta después de la firma del Acuerdo de Paz con las FARC-EP. Estos hechos traumáticos –conviene recordarlo cuantas veces sea preciso– marcan la vida de sucesivas generaciones.</w:t>
      </w:r>
      <w:r>
        <w:rPr>
          <w:spacing w:val="-15"/>
        </w:rPr>
        <w:t xml:space="preserve"> </w:t>
      </w:r>
      <w:r>
        <w:t>Hijos</w:t>
      </w:r>
      <w:r>
        <w:rPr>
          <w:spacing w:val="-15"/>
        </w:rPr>
        <w:t xml:space="preserve"> </w:t>
      </w:r>
      <w:r>
        <w:t>e</w:t>
      </w:r>
      <w:r>
        <w:rPr>
          <w:spacing w:val="-14"/>
        </w:rPr>
        <w:t xml:space="preserve"> </w:t>
      </w:r>
      <w:r>
        <w:t>hijas</w:t>
      </w:r>
      <w:r>
        <w:rPr>
          <w:spacing w:val="-15"/>
        </w:rPr>
        <w:t xml:space="preserve"> </w:t>
      </w:r>
      <w:r>
        <w:t>de</w:t>
      </w:r>
      <w:r>
        <w:rPr>
          <w:spacing w:val="-15"/>
        </w:rPr>
        <w:t xml:space="preserve"> </w:t>
      </w:r>
      <w:r>
        <w:t>quienes</w:t>
      </w:r>
      <w:r>
        <w:rPr>
          <w:spacing w:val="-14"/>
        </w:rPr>
        <w:t xml:space="preserve"> </w:t>
      </w:r>
      <w:r>
        <w:t>vivieron</w:t>
      </w:r>
      <w:r>
        <w:rPr>
          <w:spacing w:val="-15"/>
        </w:rPr>
        <w:t xml:space="preserve"> </w:t>
      </w:r>
      <w:r>
        <w:t>la</w:t>
      </w:r>
      <w:r>
        <w:rPr>
          <w:spacing w:val="-15"/>
        </w:rPr>
        <w:t xml:space="preserve"> </w:t>
      </w:r>
      <w:r>
        <w:t>época</w:t>
      </w:r>
      <w:r>
        <w:rPr>
          <w:spacing w:val="-15"/>
        </w:rPr>
        <w:t xml:space="preserve"> </w:t>
      </w:r>
      <w:r>
        <w:t>de</w:t>
      </w:r>
      <w:r>
        <w:rPr>
          <w:spacing w:val="-14"/>
        </w:rPr>
        <w:t xml:space="preserve"> </w:t>
      </w:r>
      <w:r>
        <w:t>La</w:t>
      </w:r>
      <w:r>
        <w:rPr>
          <w:spacing w:val="-15"/>
        </w:rPr>
        <w:t xml:space="preserve"> </w:t>
      </w:r>
      <w:r>
        <w:t>Violencia</w:t>
      </w:r>
      <w:r>
        <w:rPr>
          <w:spacing w:val="-15"/>
        </w:rPr>
        <w:t xml:space="preserve"> </w:t>
      </w:r>
      <w:r>
        <w:t>fueron</w:t>
      </w:r>
      <w:r>
        <w:rPr>
          <w:spacing w:val="-15"/>
        </w:rPr>
        <w:t xml:space="preserve"> </w:t>
      </w:r>
      <w:r>
        <w:t>después</w:t>
      </w:r>
      <w:r>
        <w:rPr>
          <w:spacing w:val="-14"/>
        </w:rPr>
        <w:t xml:space="preserve"> </w:t>
      </w:r>
      <w:r>
        <w:t>parte de las víctimas del conflicto armado interno o miembros de grupos armados en épocas posteriores.</w:t>
      </w:r>
      <w:r>
        <w:rPr>
          <w:spacing w:val="-6"/>
        </w:rPr>
        <w:t xml:space="preserve"> </w:t>
      </w:r>
      <w:r>
        <w:t>Las</w:t>
      </w:r>
      <w:r>
        <w:rPr>
          <w:spacing w:val="-4"/>
        </w:rPr>
        <w:t xml:space="preserve"> </w:t>
      </w:r>
      <w:r>
        <w:t>segundas</w:t>
      </w:r>
      <w:r>
        <w:rPr>
          <w:spacing w:val="-5"/>
        </w:rPr>
        <w:t xml:space="preserve"> </w:t>
      </w:r>
      <w:r>
        <w:t>y</w:t>
      </w:r>
      <w:r>
        <w:rPr>
          <w:spacing w:val="-5"/>
        </w:rPr>
        <w:t xml:space="preserve"> </w:t>
      </w:r>
      <w:r>
        <w:t>terceras</w:t>
      </w:r>
      <w:r>
        <w:rPr>
          <w:spacing w:val="-6"/>
        </w:rPr>
        <w:t xml:space="preserve"> </w:t>
      </w:r>
      <w:r>
        <w:t>generaciones</w:t>
      </w:r>
      <w:r>
        <w:rPr>
          <w:spacing w:val="-5"/>
        </w:rPr>
        <w:t xml:space="preserve"> </w:t>
      </w:r>
      <w:r>
        <w:t>han</w:t>
      </w:r>
      <w:r>
        <w:rPr>
          <w:spacing w:val="-5"/>
        </w:rPr>
        <w:t xml:space="preserve"> </w:t>
      </w:r>
      <w:r>
        <w:t>sufrido</w:t>
      </w:r>
      <w:r>
        <w:rPr>
          <w:spacing w:val="-5"/>
        </w:rPr>
        <w:t xml:space="preserve"> </w:t>
      </w:r>
      <w:r>
        <w:t>también</w:t>
      </w:r>
      <w:r>
        <w:rPr>
          <w:spacing w:val="-5"/>
        </w:rPr>
        <w:t xml:space="preserve"> </w:t>
      </w:r>
      <w:r>
        <w:t>las</w:t>
      </w:r>
      <w:r>
        <w:rPr>
          <w:spacing w:val="-5"/>
        </w:rPr>
        <w:t xml:space="preserve"> </w:t>
      </w:r>
      <w:r>
        <w:t>consecuencias</w:t>
      </w:r>
      <w:r>
        <w:rPr>
          <w:spacing w:val="-4"/>
        </w:rPr>
        <w:t xml:space="preserve"> </w:t>
      </w:r>
      <w:r>
        <w:t>del desplazamiento</w:t>
      </w:r>
      <w:r>
        <w:rPr>
          <w:spacing w:val="-8"/>
        </w:rPr>
        <w:t xml:space="preserve"> </w:t>
      </w:r>
      <w:r>
        <w:t>forzado</w:t>
      </w:r>
      <w:r>
        <w:rPr>
          <w:spacing w:val="-10"/>
        </w:rPr>
        <w:t xml:space="preserve"> </w:t>
      </w:r>
      <w:r>
        <w:t>o</w:t>
      </w:r>
      <w:r>
        <w:rPr>
          <w:spacing w:val="-8"/>
        </w:rPr>
        <w:t xml:space="preserve"> </w:t>
      </w:r>
      <w:r>
        <w:t>el</w:t>
      </w:r>
      <w:r>
        <w:rPr>
          <w:spacing w:val="-8"/>
        </w:rPr>
        <w:t xml:space="preserve"> </w:t>
      </w:r>
      <w:r>
        <w:t>exilio,</w:t>
      </w:r>
      <w:r>
        <w:rPr>
          <w:spacing w:val="-10"/>
        </w:rPr>
        <w:t xml:space="preserve"> </w:t>
      </w:r>
      <w:r>
        <w:t>la</w:t>
      </w:r>
      <w:r>
        <w:rPr>
          <w:spacing w:val="-8"/>
        </w:rPr>
        <w:t xml:space="preserve"> </w:t>
      </w:r>
      <w:r>
        <w:t>pérdida</w:t>
      </w:r>
      <w:r>
        <w:rPr>
          <w:spacing w:val="-8"/>
        </w:rPr>
        <w:t xml:space="preserve"> </w:t>
      </w:r>
      <w:r>
        <w:t>de</w:t>
      </w:r>
      <w:r>
        <w:rPr>
          <w:spacing w:val="-9"/>
        </w:rPr>
        <w:t xml:space="preserve"> </w:t>
      </w:r>
      <w:r>
        <w:t>padres</w:t>
      </w:r>
      <w:r>
        <w:rPr>
          <w:spacing w:val="-8"/>
        </w:rPr>
        <w:t xml:space="preserve"> </w:t>
      </w:r>
      <w:r>
        <w:t>o</w:t>
      </w:r>
      <w:r>
        <w:rPr>
          <w:spacing w:val="-10"/>
        </w:rPr>
        <w:t xml:space="preserve"> </w:t>
      </w:r>
      <w:r>
        <w:t>madres</w:t>
      </w:r>
      <w:r>
        <w:rPr>
          <w:spacing w:val="-8"/>
        </w:rPr>
        <w:t xml:space="preserve"> </w:t>
      </w:r>
      <w:r>
        <w:t>ha</w:t>
      </w:r>
      <w:r>
        <w:rPr>
          <w:spacing w:val="-9"/>
        </w:rPr>
        <w:t xml:space="preserve"> </w:t>
      </w:r>
      <w:r>
        <w:t>llevado</w:t>
      </w:r>
      <w:r>
        <w:rPr>
          <w:spacing w:val="-8"/>
        </w:rPr>
        <w:t xml:space="preserve"> </w:t>
      </w:r>
      <w:r>
        <w:t>a</w:t>
      </w:r>
      <w:r>
        <w:rPr>
          <w:spacing w:val="-8"/>
        </w:rPr>
        <w:t xml:space="preserve"> </w:t>
      </w:r>
      <w:r>
        <w:t>la</w:t>
      </w:r>
      <w:r>
        <w:rPr>
          <w:spacing w:val="-8"/>
        </w:rPr>
        <w:t xml:space="preserve"> </w:t>
      </w:r>
      <w:r>
        <w:t>orfandad</w:t>
      </w:r>
      <w:r>
        <w:rPr>
          <w:spacing w:val="-8"/>
        </w:rPr>
        <w:t xml:space="preserve"> </w:t>
      </w:r>
      <w:r>
        <w:t>de miles</w:t>
      </w:r>
      <w:r>
        <w:rPr>
          <w:spacing w:val="-12"/>
        </w:rPr>
        <w:t xml:space="preserve"> </w:t>
      </w:r>
      <w:r>
        <w:t>de</w:t>
      </w:r>
      <w:r>
        <w:rPr>
          <w:spacing w:val="-12"/>
        </w:rPr>
        <w:t xml:space="preserve"> </w:t>
      </w:r>
      <w:r>
        <w:t>niños</w:t>
      </w:r>
      <w:r>
        <w:rPr>
          <w:spacing w:val="-12"/>
        </w:rPr>
        <w:t xml:space="preserve"> </w:t>
      </w:r>
      <w:r>
        <w:t>y</w:t>
      </w:r>
      <w:r>
        <w:rPr>
          <w:spacing w:val="-12"/>
        </w:rPr>
        <w:t xml:space="preserve"> </w:t>
      </w:r>
      <w:r>
        <w:t>niñas.</w:t>
      </w:r>
      <w:r>
        <w:rPr>
          <w:spacing w:val="-12"/>
        </w:rPr>
        <w:t xml:space="preserve"> </w:t>
      </w:r>
      <w:r>
        <w:t>El</w:t>
      </w:r>
      <w:r>
        <w:rPr>
          <w:spacing w:val="-12"/>
        </w:rPr>
        <w:t xml:space="preserve"> </w:t>
      </w:r>
      <w:r>
        <w:t>reclutamiento</w:t>
      </w:r>
      <w:r>
        <w:rPr>
          <w:spacing w:val="-12"/>
        </w:rPr>
        <w:t xml:space="preserve"> </w:t>
      </w:r>
      <w:r>
        <w:t>de</w:t>
      </w:r>
      <w:r>
        <w:rPr>
          <w:spacing w:val="-12"/>
        </w:rPr>
        <w:t xml:space="preserve"> </w:t>
      </w:r>
      <w:r>
        <w:t>menores</w:t>
      </w:r>
      <w:r>
        <w:rPr>
          <w:spacing w:val="-12"/>
        </w:rPr>
        <w:t xml:space="preserve"> </w:t>
      </w:r>
      <w:r>
        <w:t>de</w:t>
      </w:r>
      <w:r>
        <w:rPr>
          <w:spacing w:val="-12"/>
        </w:rPr>
        <w:t xml:space="preserve"> </w:t>
      </w:r>
      <w:r>
        <w:t>dieciocho</w:t>
      </w:r>
      <w:r>
        <w:rPr>
          <w:spacing w:val="-12"/>
        </w:rPr>
        <w:t xml:space="preserve"> </w:t>
      </w:r>
      <w:r>
        <w:t>años</w:t>
      </w:r>
      <w:r>
        <w:rPr>
          <w:spacing w:val="-12"/>
        </w:rPr>
        <w:t xml:space="preserve"> </w:t>
      </w:r>
      <w:r>
        <w:t>ha</w:t>
      </w:r>
      <w:r>
        <w:rPr>
          <w:spacing w:val="-12"/>
        </w:rPr>
        <w:t xml:space="preserve"> </w:t>
      </w:r>
      <w:r>
        <w:t>hecho</w:t>
      </w:r>
      <w:r>
        <w:rPr>
          <w:spacing w:val="-12"/>
        </w:rPr>
        <w:t xml:space="preserve"> </w:t>
      </w:r>
      <w:r>
        <w:t>que</w:t>
      </w:r>
      <w:r>
        <w:rPr>
          <w:spacing w:val="-12"/>
        </w:rPr>
        <w:t xml:space="preserve"> </w:t>
      </w:r>
      <w:r>
        <w:t>la</w:t>
      </w:r>
      <w:r>
        <w:rPr>
          <w:spacing w:val="-13"/>
        </w:rPr>
        <w:t xml:space="preserve"> </w:t>
      </w:r>
      <w:r>
        <w:t>niñez, todavía hoy, se vea involucrada en la guerra, en un contexto de desprotección y falta de alternativas para su propio desarrollo y el de sus comunidades.</w:t>
      </w:r>
    </w:p>
    <w:p w:rsidR="003804AC" w:rsidRDefault="00AF18A5" w:rsidP="00EF5274">
      <w:r>
        <w:t>Sucesivas</w:t>
      </w:r>
      <w:r>
        <w:rPr>
          <w:spacing w:val="-6"/>
        </w:rPr>
        <w:t xml:space="preserve"> </w:t>
      </w:r>
      <w:r>
        <w:t>generaciones</w:t>
      </w:r>
      <w:r>
        <w:rPr>
          <w:spacing w:val="-7"/>
        </w:rPr>
        <w:t xml:space="preserve"> </w:t>
      </w:r>
      <w:r>
        <w:t>están</w:t>
      </w:r>
      <w:r>
        <w:rPr>
          <w:spacing w:val="-6"/>
        </w:rPr>
        <w:t xml:space="preserve"> </w:t>
      </w:r>
      <w:r>
        <w:t>permeadas</w:t>
      </w:r>
      <w:r>
        <w:rPr>
          <w:spacing w:val="-6"/>
        </w:rPr>
        <w:t xml:space="preserve"> </w:t>
      </w:r>
      <w:r>
        <w:t>por</w:t>
      </w:r>
      <w:r>
        <w:rPr>
          <w:spacing w:val="-6"/>
        </w:rPr>
        <w:t xml:space="preserve"> </w:t>
      </w:r>
      <w:r>
        <w:t>los</w:t>
      </w:r>
      <w:r>
        <w:rPr>
          <w:spacing w:val="-6"/>
        </w:rPr>
        <w:t xml:space="preserve"> </w:t>
      </w:r>
      <w:r>
        <w:t>recuerdos</w:t>
      </w:r>
      <w:r>
        <w:rPr>
          <w:spacing w:val="-6"/>
        </w:rPr>
        <w:t xml:space="preserve"> </w:t>
      </w:r>
      <w:r>
        <w:t>y</w:t>
      </w:r>
      <w:r>
        <w:rPr>
          <w:spacing w:val="-6"/>
        </w:rPr>
        <w:t xml:space="preserve"> </w:t>
      </w:r>
      <w:r>
        <w:t>las</w:t>
      </w:r>
      <w:r>
        <w:rPr>
          <w:spacing w:val="-6"/>
        </w:rPr>
        <w:t xml:space="preserve"> </w:t>
      </w:r>
      <w:r>
        <w:t>memorias</w:t>
      </w:r>
      <w:r>
        <w:rPr>
          <w:spacing w:val="-6"/>
        </w:rPr>
        <w:t xml:space="preserve"> </w:t>
      </w:r>
      <w:r>
        <w:t>de</w:t>
      </w:r>
      <w:r>
        <w:rPr>
          <w:spacing w:val="-6"/>
        </w:rPr>
        <w:t xml:space="preserve"> </w:t>
      </w:r>
      <w:r>
        <w:t>lo</w:t>
      </w:r>
      <w:r>
        <w:rPr>
          <w:spacing w:val="-6"/>
        </w:rPr>
        <w:t xml:space="preserve"> </w:t>
      </w:r>
      <w:r>
        <w:t>sucedido que les reitera y recuerda el pasado, buscan explicación en el presente, o se vive en silencio porque</w:t>
      </w:r>
      <w:r>
        <w:rPr>
          <w:spacing w:val="-15"/>
        </w:rPr>
        <w:t xml:space="preserve"> </w:t>
      </w:r>
      <w:r>
        <w:t>hay</w:t>
      </w:r>
      <w:r>
        <w:rPr>
          <w:spacing w:val="-15"/>
        </w:rPr>
        <w:t xml:space="preserve"> </w:t>
      </w:r>
      <w:r>
        <w:t>muchas</w:t>
      </w:r>
      <w:r>
        <w:rPr>
          <w:spacing w:val="-14"/>
        </w:rPr>
        <w:t xml:space="preserve"> </w:t>
      </w:r>
      <w:r>
        <w:t>cosas</w:t>
      </w:r>
      <w:r>
        <w:rPr>
          <w:spacing w:val="-15"/>
        </w:rPr>
        <w:t xml:space="preserve"> </w:t>
      </w:r>
      <w:r>
        <w:t>de</w:t>
      </w:r>
      <w:r>
        <w:rPr>
          <w:spacing w:val="-14"/>
        </w:rPr>
        <w:t xml:space="preserve"> </w:t>
      </w:r>
      <w:r>
        <w:t>las</w:t>
      </w:r>
      <w:r>
        <w:rPr>
          <w:spacing w:val="-15"/>
        </w:rPr>
        <w:t xml:space="preserve"> </w:t>
      </w:r>
      <w:r>
        <w:t>que</w:t>
      </w:r>
      <w:r>
        <w:rPr>
          <w:spacing w:val="-15"/>
        </w:rPr>
        <w:t xml:space="preserve"> </w:t>
      </w:r>
      <w:r>
        <w:t>aún</w:t>
      </w:r>
      <w:r>
        <w:rPr>
          <w:spacing w:val="-14"/>
        </w:rPr>
        <w:t xml:space="preserve"> </w:t>
      </w:r>
      <w:r>
        <w:t>no</w:t>
      </w:r>
      <w:r>
        <w:rPr>
          <w:spacing w:val="-15"/>
        </w:rPr>
        <w:t xml:space="preserve"> </w:t>
      </w:r>
      <w:r>
        <w:t>se</w:t>
      </w:r>
      <w:r>
        <w:rPr>
          <w:spacing w:val="-14"/>
        </w:rPr>
        <w:t xml:space="preserve"> </w:t>
      </w:r>
      <w:r>
        <w:t>ha</w:t>
      </w:r>
      <w:r>
        <w:rPr>
          <w:spacing w:val="-15"/>
        </w:rPr>
        <w:t xml:space="preserve"> </w:t>
      </w:r>
      <w:r>
        <w:t>podido</w:t>
      </w:r>
      <w:r>
        <w:rPr>
          <w:spacing w:val="-15"/>
        </w:rPr>
        <w:t xml:space="preserve"> </w:t>
      </w:r>
      <w:r>
        <w:t>hablar.</w:t>
      </w:r>
      <w:r>
        <w:rPr>
          <w:spacing w:val="-14"/>
        </w:rPr>
        <w:t xml:space="preserve"> </w:t>
      </w:r>
      <w:r>
        <w:t>Las</w:t>
      </w:r>
      <w:r>
        <w:rPr>
          <w:spacing w:val="-15"/>
        </w:rPr>
        <w:t xml:space="preserve"> </w:t>
      </w:r>
      <w:r>
        <w:t>experiencias</w:t>
      </w:r>
      <w:r>
        <w:rPr>
          <w:spacing w:val="-14"/>
        </w:rPr>
        <w:t xml:space="preserve"> </w:t>
      </w:r>
      <w:r>
        <w:lastRenderedPageBreak/>
        <w:t>traumáticas muchas veces son difíciles de compartir, la figura del abuelo que ya no está, del padre del que se habla siempre con dolor o de la hermana que se fue a la montaña, hace que muchas familias se hayan refugiado en el silencio que duele o en el silencio protector de los otros. La</w:t>
      </w:r>
      <w:r>
        <w:rPr>
          <w:spacing w:val="-2"/>
        </w:rPr>
        <w:t xml:space="preserve"> </w:t>
      </w:r>
      <w:r>
        <w:t>experiencia</w:t>
      </w:r>
      <w:r>
        <w:rPr>
          <w:spacing w:val="-2"/>
        </w:rPr>
        <w:t xml:space="preserve"> </w:t>
      </w:r>
      <w:r>
        <w:t>de</w:t>
      </w:r>
      <w:r>
        <w:rPr>
          <w:spacing w:val="-2"/>
        </w:rPr>
        <w:t xml:space="preserve"> </w:t>
      </w:r>
      <w:r>
        <w:t>la</w:t>
      </w:r>
      <w:r>
        <w:rPr>
          <w:spacing w:val="-2"/>
        </w:rPr>
        <w:t xml:space="preserve"> </w:t>
      </w:r>
      <w:r>
        <w:t>Comisión</w:t>
      </w:r>
      <w:r>
        <w:rPr>
          <w:spacing w:val="-2"/>
        </w:rPr>
        <w:t xml:space="preserve"> </w:t>
      </w:r>
      <w:r>
        <w:t>de</w:t>
      </w:r>
      <w:r>
        <w:rPr>
          <w:spacing w:val="-2"/>
        </w:rPr>
        <w:t xml:space="preserve"> </w:t>
      </w:r>
      <w:r>
        <w:t>la</w:t>
      </w:r>
      <w:r>
        <w:rPr>
          <w:spacing w:val="-3"/>
        </w:rPr>
        <w:t xml:space="preserve"> </w:t>
      </w:r>
      <w:r>
        <w:t>Verdad</w:t>
      </w:r>
      <w:r>
        <w:rPr>
          <w:spacing w:val="-2"/>
        </w:rPr>
        <w:t xml:space="preserve"> </w:t>
      </w:r>
      <w:r>
        <w:t>supone</w:t>
      </w:r>
      <w:r>
        <w:rPr>
          <w:spacing w:val="-2"/>
        </w:rPr>
        <w:t xml:space="preserve"> </w:t>
      </w:r>
      <w:r>
        <w:t>una</w:t>
      </w:r>
      <w:r>
        <w:rPr>
          <w:spacing w:val="-2"/>
        </w:rPr>
        <w:t xml:space="preserve"> </w:t>
      </w:r>
      <w:r>
        <w:t>forma</w:t>
      </w:r>
      <w:r>
        <w:rPr>
          <w:spacing w:val="-2"/>
        </w:rPr>
        <w:t xml:space="preserve"> </w:t>
      </w:r>
      <w:r>
        <w:t>de</w:t>
      </w:r>
      <w:r>
        <w:rPr>
          <w:spacing w:val="-2"/>
        </w:rPr>
        <w:t xml:space="preserve"> </w:t>
      </w:r>
      <w:r>
        <w:t>movilización</w:t>
      </w:r>
      <w:r>
        <w:rPr>
          <w:spacing w:val="-2"/>
        </w:rPr>
        <w:t xml:space="preserve"> </w:t>
      </w:r>
      <w:r>
        <w:t>colectiva</w:t>
      </w:r>
      <w:r>
        <w:rPr>
          <w:spacing w:val="-2"/>
        </w:rPr>
        <w:t xml:space="preserve"> </w:t>
      </w:r>
      <w:r>
        <w:t>de la palabra también entre generaciones. Un espacio social para cientos de miles de experiencias individuales en las que la construcción de la identidad de sucesivas generaciones está marcada por todos estos hechos de violencia, de violaciones de derechos humanos y de crímenes de guerra y de lesa humanidad.</w:t>
      </w:r>
    </w:p>
    <w:p w:rsidR="003804AC" w:rsidRDefault="00AF18A5" w:rsidP="00EF5274">
      <w:r>
        <w:t>Preguntas banales en otros contextos –como «¿de dónde es tu familia?»– son vistas a veces como amenaza, porque hablar del Caquetá o del Tolima, de Barrancabermeja o de Urabá, puede ser visto con sospecha. La Comisión de la Verdad ha conocido casos en los que</w:t>
      </w:r>
      <w:r>
        <w:rPr>
          <w:spacing w:val="-13"/>
        </w:rPr>
        <w:t xml:space="preserve"> </w:t>
      </w:r>
      <w:r>
        <w:t>la</w:t>
      </w:r>
      <w:r>
        <w:rPr>
          <w:spacing w:val="-13"/>
        </w:rPr>
        <w:t xml:space="preserve"> </w:t>
      </w:r>
      <w:r>
        <w:t>partida</w:t>
      </w:r>
      <w:r>
        <w:rPr>
          <w:spacing w:val="-13"/>
        </w:rPr>
        <w:t xml:space="preserve"> </w:t>
      </w:r>
      <w:r>
        <w:t>de</w:t>
      </w:r>
      <w:r>
        <w:rPr>
          <w:spacing w:val="-13"/>
        </w:rPr>
        <w:t xml:space="preserve"> </w:t>
      </w:r>
      <w:r>
        <w:t>nacimiento</w:t>
      </w:r>
      <w:r>
        <w:rPr>
          <w:spacing w:val="-13"/>
        </w:rPr>
        <w:t xml:space="preserve"> </w:t>
      </w:r>
      <w:r>
        <w:t>de</w:t>
      </w:r>
      <w:r>
        <w:rPr>
          <w:spacing w:val="-13"/>
        </w:rPr>
        <w:t xml:space="preserve"> </w:t>
      </w:r>
      <w:r>
        <w:t>hijos</w:t>
      </w:r>
      <w:r>
        <w:rPr>
          <w:spacing w:val="-14"/>
        </w:rPr>
        <w:t xml:space="preserve"> </w:t>
      </w:r>
      <w:r>
        <w:t>o</w:t>
      </w:r>
      <w:r>
        <w:rPr>
          <w:spacing w:val="-13"/>
        </w:rPr>
        <w:t xml:space="preserve"> </w:t>
      </w:r>
      <w:r>
        <w:t>hijas</w:t>
      </w:r>
      <w:r>
        <w:rPr>
          <w:spacing w:val="-13"/>
        </w:rPr>
        <w:t xml:space="preserve"> </w:t>
      </w:r>
      <w:r>
        <w:t>se</w:t>
      </w:r>
      <w:r>
        <w:rPr>
          <w:spacing w:val="-13"/>
        </w:rPr>
        <w:t xml:space="preserve"> </w:t>
      </w:r>
      <w:r>
        <w:t>ha</w:t>
      </w:r>
      <w:r>
        <w:rPr>
          <w:spacing w:val="-13"/>
        </w:rPr>
        <w:t xml:space="preserve"> </w:t>
      </w:r>
      <w:r>
        <w:t>cambiado</w:t>
      </w:r>
      <w:r>
        <w:rPr>
          <w:spacing w:val="-13"/>
        </w:rPr>
        <w:t xml:space="preserve"> </w:t>
      </w:r>
      <w:r>
        <w:t>para</w:t>
      </w:r>
      <w:r>
        <w:rPr>
          <w:spacing w:val="-13"/>
        </w:rPr>
        <w:t xml:space="preserve"> </w:t>
      </w:r>
      <w:r>
        <w:t>evitar</w:t>
      </w:r>
      <w:r>
        <w:rPr>
          <w:spacing w:val="-13"/>
        </w:rPr>
        <w:t xml:space="preserve"> </w:t>
      </w:r>
      <w:r>
        <w:t>el</w:t>
      </w:r>
      <w:r>
        <w:rPr>
          <w:spacing w:val="-13"/>
        </w:rPr>
        <w:t xml:space="preserve"> </w:t>
      </w:r>
      <w:r>
        <w:t>caprichoso</w:t>
      </w:r>
      <w:r>
        <w:rPr>
          <w:spacing w:val="-13"/>
        </w:rPr>
        <w:t xml:space="preserve"> </w:t>
      </w:r>
      <w:r>
        <w:t>estigma que</w:t>
      </w:r>
      <w:r>
        <w:rPr>
          <w:spacing w:val="-12"/>
        </w:rPr>
        <w:t xml:space="preserve"> </w:t>
      </w:r>
      <w:r>
        <w:t>los</w:t>
      </w:r>
      <w:r>
        <w:rPr>
          <w:spacing w:val="-12"/>
        </w:rPr>
        <w:t xml:space="preserve"> </w:t>
      </w:r>
      <w:r>
        <w:t>va</w:t>
      </w:r>
      <w:r>
        <w:rPr>
          <w:spacing w:val="-12"/>
        </w:rPr>
        <w:t xml:space="preserve"> </w:t>
      </w:r>
      <w:r>
        <w:t>persiguiendo.</w:t>
      </w:r>
      <w:r>
        <w:rPr>
          <w:spacing w:val="-13"/>
        </w:rPr>
        <w:t xml:space="preserve"> </w:t>
      </w:r>
      <w:r>
        <w:t>El</w:t>
      </w:r>
      <w:r>
        <w:rPr>
          <w:spacing w:val="-12"/>
        </w:rPr>
        <w:t xml:space="preserve"> </w:t>
      </w:r>
      <w:r>
        <w:t>reclutamiento</w:t>
      </w:r>
      <w:r>
        <w:rPr>
          <w:spacing w:val="-12"/>
        </w:rPr>
        <w:t xml:space="preserve"> </w:t>
      </w:r>
      <w:r>
        <w:t>de</w:t>
      </w:r>
      <w:r>
        <w:rPr>
          <w:spacing w:val="-12"/>
        </w:rPr>
        <w:t xml:space="preserve"> </w:t>
      </w:r>
      <w:r>
        <w:t>niñas,</w:t>
      </w:r>
      <w:r>
        <w:rPr>
          <w:spacing w:val="-12"/>
        </w:rPr>
        <w:t xml:space="preserve"> </w:t>
      </w:r>
      <w:r>
        <w:t>niños</w:t>
      </w:r>
      <w:r>
        <w:rPr>
          <w:spacing w:val="-12"/>
        </w:rPr>
        <w:t xml:space="preserve"> </w:t>
      </w:r>
      <w:r>
        <w:t>y</w:t>
      </w:r>
      <w:r>
        <w:rPr>
          <w:spacing w:val="-12"/>
        </w:rPr>
        <w:t xml:space="preserve"> </w:t>
      </w:r>
      <w:r>
        <w:t>adolescentes</w:t>
      </w:r>
      <w:r>
        <w:rPr>
          <w:spacing w:val="-12"/>
        </w:rPr>
        <w:t xml:space="preserve"> </w:t>
      </w:r>
      <w:r>
        <w:t>ha</w:t>
      </w:r>
      <w:r>
        <w:rPr>
          <w:spacing w:val="-12"/>
        </w:rPr>
        <w:t xml:space="preserve"> </w:t>
      </w:r>
      <w:r>
        <w:t>supuesto</w:t>
      </w:r>
      <w:r>
        <w:rPr>
          <w:spacing w:val="-12"/>
        </w:rPr>
        <w:t xml:space="preserve"> </w:t>
      </w:r>
      <w:r>
        <w:t>un</w:t>
      </w:r>
      <w:r>
        <w:rPr>
          <w:spacing w:val="-12"/>
        </w:rPr>
        <w:t xml:space="preserve"> </w:t>
      </w:r>
      <w:r>
        <w:t>ciclo repetido</w:t>
      </w:r>
      <w:r>
        <w:rPr>
          <w:spacing w:val="-1"/>
        </w:rPr>
        <w:t xml:space="preserve"> </w:t>
      </w:r>
      <w:r>
        <w:t>de</w:t>
      </w:r>
      <w:r>
        <w:rPr>
          <w:spacing w:val="-2"/>
        </w:rPr>
        <w:t xml:space="preserve"> </w:t>
      </w:r>
      <w:r>
        <w:t>la</w:t>
      </w:r>
      <w:r>
        <w:rPr>
          <w:spacing w:val="-1"/>
        </w:rPr>
        <w:t xml:space="preserve"> </w:t>
      </w:r>
      <w:r>
        <w:t>guerra</w:t>
      </w:r>
      <w:r>
        <w:rPr>
          <w:spacing w:val="-1"/>
        </w:rPr>
        <w:t xml:space="preserve"> </w:t>
      </w:r>
      <w:r>
        <w:t>en</w:t>
      </w:r>
      <w:r>
        <w:rPr>
          <w:spacing w:val="-2"/>
        </w:rPr>
        <w:t xml:space="preserve"> </w:t>
      </w:r>
      <w:r>
        <w:t>muchos</w:t>
      </w:r>
      <w:r>
        <w:rPr>
          <w:spacing w:val="-1"/>
        </w:rPr>
        <w:t xml:space="preserve"> </w:t>
      </w:r>
      <w:r>
        <w:t>territorios,</w:t>
      </w:r>
      <w:r>
        <w:rPr>
          <w:spacing w:val="-2"/>
        </w:rPr>
        <w:t xml:space="preserve"> </w:t>
      </w:r>
      <w:r>
        <w:t>donde</w:t>
      </w:r>
      <w:r>
        <w:rPr>
          <w:spacing w:val="-1"/>
        </w:rPr>
        <w:t xml:space="preserve"> </w:t>
      </w:r>
      <w:r>
        <w:t>la</w:t>
      </w:r>
      <w:r>
        <w:rPr>
          <w:spacing w:val="-1"/>
        </w:rPr>
        <w:t xml:space="preserve"> </w:t>
      </w:r>
      <w:r>
        <w:t>identificación</w:t>
      </w:r>
      <w:r>
        <w:rPr>
          <w:spacing w:val="-1"/>
        </w:rPr>
        <w:t xml:space="preserve"> </w:t>
      </w:r>
      <w:r>
        <w:t>también</w:t>
      </w:r>
      <w:r>
        <w:rPr>
          <w:spacing w:val="-1"/>
        </w:rPr>
        <w:t xml:space="preserve"> </w:t>
      </w:r>
      <w:r>
        <w:t>de</w:t>
      </w:r>
      <w:r>
        <w:rPr>
          <w:spacing w:val="-1"/>
        </w:rPr>
        <w:t xml:space="preserve"> </w:t>
      </w:r>
      <w:r>
        <w:t>adolescentes con</w:t>
      </w:r>
      <w:r>
        <w:rPr>
          <w:spacing w:val="-10"/>
        </w:rPr>
        <w:t xml:space="preserve"> </w:t>
      </w:r>
      <w:r>
        <w:t>el</w:t>
      </w:r>
      <w:r>
        <w:rPr>
          <w:spacing w:val="-9"/>
        </w:rPr>
        <w:t xml:space="preserve"> </w:t>
      </w:r>
      <w:r>
        <w:t>poder</w:t>
      </w:r>
      <w:r>
        <w:rPr>
          <w:spacing w:val="-9"/>
        </w:rPr>
        <w:t xml:space="preserve"> </w:t>
      </w:r>
      <w:r>
        <w:t>de</w:t>
      </w:r>
      <w:r>
        <w:rPr>
          <w:spacing w:val="-9"/>
        </w:rPr>
        <w:t xml:space="preserve"> </w:t>
      </w:r>
      <w:r>
        <w:t>las</w:t>
      </w:r>
      <w:r>
        <w:rPr>
          <w:spacing w:val="-9"/>
        </w:rPr>
        <w:t xml:space="preserve"> </w:t>
      </w:r>
      <w:r>
        <w:t>armas</w:t>
      </w:r>
      <w:r>
        <w:rPr>
          <w:spacing w:val="-10"/>
        </w:rPr>
        <w:t xml:space="preserve"> </w:t>
      </w:r>
      <w:r>
        <w:t>o</w:t>
      </w:r>
      <w:r>
        <w:rPr>
          <w:spacing w:val="-10"/>
        </w:rPr>
        <w:t xml:space="preserve"> </w:t>
      </w:r>
      <w:r>
        <w:t>la</w:t>
      </w:r>
      <w:r>
        <w:rPr>
          <w:spacing w:val="-9"/>
        </w:rPr>
        <w:t xml:space="preserve"> </w:t>
      </w:r>
      <w:r>
        <w:t>falta</w:t>
      </w:r>
      <w:r>
        <w:rPr>
          <w:spacing w:val="-9"/>
        </w:rPr>
        <w:t xml:space="preserve"> </w:t>
      </w:r>
      <w:r>
        <w:t>de</w:t>
      </w:r>
      <w:r>
        <w:rPr>
          <w:spacing w:val="-9"/>
        </w:rPr>
        <w:t xml:space="preserve"> </w:t>
      </w:r>
      <w:r>
        <w:t>respeto</w:t>
      </w:r>
      <w:r>
        <w:rPr>
          <w:spacing w:val="-10"/>
        </w:rPr>
        <w:t xml:space="preserve"> </w:t>
      </w:r>
      <w:r>
        <w:t>por</w:t>
      </w:r>
      <w:r>
        <w:rPr>
          <w:spacing w:val="-9"/>
        </w:rPr>
        <w:t xml:space="preserve"> </w:t>
      </w:r>
      <w:r>
        <w:t>los</w:t>
      </w:r>
      <w:r>
        <w:rPr>
          <w:spacing w:val="-10"/>
        </w:rPr>
        <w:t xml:space="preserve"> </w:t>
      </w:r>
      <w:r>
        <w:t>modelos</w:t>
      </w:r>
      <w:r>
        <w:rPr>
          <w:spacing w:val="-11"/>
        </w:rPr>
        <w:t xml:space="preserve"> </w:t>
      </w:r>
      <w:r>
        <w:t>positivos,</w:t>
      </w:r>
      <w:r>
        <w:rPr>
          <w:spacing w:val="-10"/>
        </w:rPr>
        <w:t xml:space="preserve"> </w:t>
      </w:r>
      <w:r>
        <w:t>como</w:t>
      </w:r>
      <w:r>
        <w:rPr>
          <w:spacing w:val="-10"/>
        </w:rPr>
        <w:t xml:space="preserve"> </w:t>
      </w:r>
      <w:r>
        <w:t>los</w:t>
      </w:r>
      <w:r>
        <w:rPr>
          <w:spacing w:val="-9"/>
        </w:rPr>
        <w:t xml:space="preserve"> </w:t>
      </w:r>
      <w:r>
        <w:t>liderazgos sociales o las juntas de acción comunal, y la falta de condiciones para la educación, la ausencia de trabajo o perspectivas de futuro los ha llevado muchas veces a las puertas de la guerra.</w:t>
      </w:r>
      <w:r>
        <w:rPr>
          <w:spacing w:val="-15"/>
        </w:rPr>
        <w:t xml:space="preserve"> </w:t>
      </w:r>
      <w:r>
        <w:t>Como</w:t>
      </w:r>
      <w:r>
        <w:rPr>
          <w:spacing w:val="-14"/>
        </w:rPr>
        <w:t xml:space="preserve"> </w:t>
      </w:r>
      <w:r>
        <w:t>muchas</w:t>
      </w:r>
      <w:r>
        <w:rPr>
          <w:spacing w:val="-15"/>
        </w:rPr>
        <w:t xml:space="preserve"> </w:t>
      </w:r>
      <w:r>
        <w:t>lideresas</w:t>
      </w:r>
      <w:r>
        <w:rPr>
          <w:spacing w:val="-14"/>
        </w:rPr>
        <w:t xml:space="preserve"> </w:t>
      </w:r>
      <w:r>
        <w:t>de</w:t>
      </w:r>
      <w:r>
        <w:rPr>
          <w:spacing w:val="-15"/>
        </w:rPr>
        <w:t xml:space="preserve"> </w:t>
      </w:r>
      <w:r>
        <w:t>la</w:t>
      </w:r>
      <w:r>
        <w:rPr>
          <w:spacing w:val="-15"/>
        </w:rPr>
        <w:t xml:space="preserve"> </w:t>
      </w:r>
      <w:r>
        <w:t>zona</w:t>
      </w:r>
      <w:r>
        <w:rPr>
          <w:spacing w:val="-14"/>
        </w:rPr>
        <w:t xml:space="preserve"> </w:t>
      </w:r>
      <w:r>
        <w:t>de</w:t>
      </w:r>
      <w:r>
        <w:rPr>
          <w:spacing w:val="-15"/>
        </w:rPr>
        <w:t xml:space="preserve"> </w:t>
      </w:r>
      <w:r>
        <w:t>frontera</w:t>
      </w:r>
      <w:r>
        <w:rPr>
          <w:spacing w:val="-14"/>
        </w:rPr>
        <w:t xml:space="preserve"> </w:t>
      </w:r>
      <w:r>
        <w:t>con</w:t>
      </w:r>
      <w:r>
        <w:rPr>
          <w:spacing w:val="-15"/>
        </w:rPr>
        <w:t xml:space="preserve"> </w:t>
      </w:r>
      <w:r>
        <w:t>Venezuela</w:t>
      </w:r>
      <w:r>
        <w:rPr>
          <w:spacing w:val="-15"/>
        </w:rPr>
        <w:t xml:space="preserve"> </w:t>
      </w:r>
      <w:r>
        <w:t>le</w:t>
      </w:r>
      <w:r>
        <w:rPr>
          <w:spacing w:val="-14"/>
        </w:rPr>
        <w:t xml:space="preserve"> </w:t>
      </w:r>
      <w:r>
        <w:t>dijeron</w:t>
      </w:r>
      <w:r>
        <w:rPr>
          <w:spacing w:val="-15"/>
        </w:rPr>
        <w:t xml:space="preserve"> </w:t>
      </w:r>
      <w:r>
        <w:t>a</w:t>
      </w:r>
      <w:r>
        <w:rPr>
          <w:spacing w:val="-14"/>
        </w:rPr>
        <w:t xml:space="preserve"> </w:t>
      </w:r>
      <w:r>
        <w:t>la</w:t>
      </w:r>
      <w:r>
        <w:rPr>
          <w:spacing w:val="-15"/>
        </w:rPr>
        <w:t xml:space="preserve"> </w:t>
      </w:r>
      <w:r>
        <w:t>Comisión de la Verdad en un recorrido por el río Arauca: «Queremos un Estado que nos traiga la posibilidad</w:t>
      </w:r>
      <w:r>
        <w:rPr>
          <w:spacing w:val="-15"/>
        </w:rPr>
        <w:t xml:space="preserve"> </w:t>
      </w:r>
      <w:r>
        <w:t>de</w:t>
      </w:r>
      <w:r>
        <w:rPr>
          <w:spacing w:val="-15"/>
        </w:rPr>
        <w:t xml:space="preserve"> </w:t>
      </w:r>
      <w:r>
        <w:t>seguir</w:t>
      </w:r>
      <w:r>
        <w:rPr>
          <w:spacing w:val="-15"/>
        </w:rPr>
        <w:t xml:space="preserve"> </w:t>
      </w:r>
      <w:r>
        <w:t>estudiando</w:t>
      </w:r>
      <w:r>
        <w:rPr>
          <w:spacing w:val="-15"/>
        </w:rPr>
        <w:t xml:space="preserve"> </w:t>
      </w:r>
      <w:r>
        <w:t>en</w:t>
      </w:r>
      <w:r>
        <w:rPr>
          <w:spacing w:val="-15"/>
        </w:rPr>
        <w:t xml:space="preserve"> </w:t>
      </w:r>
      <w:r>
        <w:t>la</w:t>
      </w:r>
      <w:r>
        <w:rPr>
          <w:spacing w:val="-15"/>
        </w:rPr>
        <w:t xml:space="preserve"> </w:t>
      </w:r>
      <w:r>
        <w:t>escuela,</w:t>
      </w:r>
      <w:r>
        <w:rPr>
          <w:spacing w:val="-15"/>
        </w:rPr>
        <w:t xml:space="preserve"> </w:t>
      </w:r>
      <w:r>
        <w:t>agua</w:t>
      </w:r>
      <w:r>
        <w:rPr>
          <w:spacing w:val="-15"/>
        </w:rPr>
        <w:t xml:space="preserve"> </w:t>
      </w:r>
      <w:r>
        <w:t>potable,</w:t>
      </w:r>
      <w:r>
        <w:rPr>
          <w:spacing w:val="-15"/>
        </w:rPr>
        <w:t xml:space="preserve"> </w:t>
      </w:r>
      <w:r>
        <w:t>una</w:t>
      </w:r>
      <w:r>
        <w:rPr>
          <w:spacing w:val="-15"/>
        </w:rPr>
        <w:t xml:space="preserve"> </w:t>
      </w:r>
      <w:r>
        <w:t>carretera</w:t>
      </w:r>
      <w:r>
        <w:rPr>
          <w:spacing w:val="-15"/>
        </w:rPr>
        <w:t xml:space="preserve"> </w:t>
      </w:r>
      <w:r>
        <w:t>para</w:t>
      </w:r>
      <w:r>
        <w:rPr>
          <w:spacing w:val="-15"/>
        </w:rPr>
        <w:t xml:space="preserve"> </w:t>
      </w:r>
      <w:r>
        <w:t>sacar</w:t>
      </w:r>
      <w:r>
        <w:rPr>
          <w:spacing w:val="-14"/>
        </w:rPr>
        <w:t xml:space="preserve"> </w:t>
      </w:r>
      <w:r>
        <w:t>nuestros productos, no más guerra».</w:t>
      </w:r>
    </w:p>
    <w:p w:rsidR="003804AC" w:rsidRDefault="00AF18A5" w:rsidP="00EF5274">
      <w:r>
        <w:rPr>
          <w:color w:val="000009"/>
        </w:rPr>
        <w:t xml:space="preserve">Mientras, Colombia sigue viviendo en lo cotidiano y se enfrenta a una </w:t>
      </w:r>
      <w:r>
        <w:rPr>
          <w:color w:val="000009"/>
        </w:rPr>
        <w:lastRenderedPageBreak/>
        <w:t>paz que ha sido esquiva, la intransigencia armada y a un Estado que no responde de forma consistente a las demandas de una democracia incluyente. Sucesivas generaciones han pasado de la desesperanza a la esperanza, avivando en diferentes periodos propuestas de cambio, pero la respuesta en muchas ocasiones ha sido nuevamente la represión y la vía violenta.</w:t>
      </w:r>
    </w:p>
    <w:p w:rsidR="003804AC" w:rsidRDefault="00AF18A5" w:rsidP="00EF5274">
      <w:r>
        <w:t>La Comisión tuvo que trabajar en un contexto de conflicto armado que permanece de forma fragmentada en el país. Hablamos en pasado con referencia al presente, haciendo incidencia en estos factores de persistencia y multiplicación de víctimas todavía en la actualidad. El terror, la estigmatización, las pérdidas continuas y la impunidad fueron mecanismos utilizados por los actores armados durante el largo conflicto colombiano y décadas de violencia sociopolítica, llevando a que la violencia fuera normalizada y la población perdiera sensibilidad frente a los hechos atroces. Se experimentó en distintas generaciones, representando una herida profunda</w:t>
      </w:r>
      <w:r>
        <w:rPr>
          <w:spacing w:val="-1"/>
        </w:rPr>
        <w:t xml:space="preserve"> </w:t>
      </w:r>
      <w:r>
        <w:t>que ha permeado los</w:t>
      </w:r>
      <w:r>
        <w:rPr>
          <w:spacing w:val="-1"/>
        </w:rPr>
        <w:t xml:space="preserve"> </w:t>
      </w:r>
      <w:r>
        <w:t>diferentes niveles de relación, las</w:t>
      </w:r>
      <w:r>
        <w:rPr>
          <w:spacing w:val="-1"/>
        </w:rPr>
        <w:t xml:space="preserve"> </w:t>
      </w:r>
      <w:r>
        <w:t>maneras de</w:t>
      </w:r>
      <w:r>
        <w:rPr>
          <w:spacing w:val="-1"/>
        </w:rPr>
        <w:t xml:space="preserve"> </w:t>
      </w:r>
      <w:r>
        <w:t>vincularse, la desconfianza y las formas violentas o excluyentes de resolver</w:t>
      </w:r>
      <w:r>
        <w:rPr>
          <w:spacing w:val="-15"/>
        </w:rPr>
        <w:t xml:space="preserve"> </w:t>
      </w:r>
      <w:r>
        <w:t>los</w:t>
      </w:r>
      <w:r>
        <w:rPr>
          <w:spacing w:val="-15"/>
        </w:rPr>
        <w:t xml:space="preserve"> </w:t>
      </w:r>
      <w:r>
        <w:t>conflictos.</w:t>
      </w:r>
      <w:r>
        <w:rPr>
          <w:spacing w:val="-15"/>
        </w:rPr>
        <w:t xml:space="preserve"> </w:t>
      </w:r>
      <w:r>
        <w:t>¿Por</w:t>
      </w:r>
      <w:r>
        <w:rPr>
          <w:spacing w:val="-15"/>
        </w:rPr>
        <w:t xml:space="preserve"> </w:t>
      </w:r>
      <w:r>
        <w:t>qué</w:t>
      </w:r>
      <w:r>
        <w:rPr>
          <w:spacing w:val="-15"/>
        </w:rPr>
        <w:t xml:space="preserve"> </w:t>
      </w:r>
      <w:r>
        <w:t>esto</w:t>
      </w:r>
      <w:r>
        <w:rPr>
          <w:spacing w:val="-15"/>
        </w:rPr>
        <w:t xml:space="preserve"> </w:t>
      </w:r>
      <w:r>
        <w:t>es</w:t>
      </w:r>
      <w:r>
        <w:rPr>
          <w:spacing w:val="-15"/>
        </w:rPr>
        <w:t xml:space="preserve"> </w:t>
      </w:r>
      <w:r>
        <w:t>importante?</w:t>
      </w:r>
      <w:r>
        <w:rPr>
          <w:spacing w:val="-15"/>
        </w:rPr>
        <w:t xml:space="preserve"> </w:t>
      </w:r>
      <w:r>
        <w:t>Porque</w:t>
      </w:r>
      <w:r>
        <w:rPr>
          <w:spacing w:val="-15"/>
        </w:rPr>
        <w:t xml:space="preserve"> </w:t>
      </w:r>
      <w:r>
        <w:t>todavía</w:t>
      </w:r>
      <w:r>
        <w:rPr>
          <w:spacing w:val="-15"/>
        </w:rPr>
        <w:t xml:space="preserve"> </w:t>
      </w:r>
      <w:r>
        <w:t>hay</w:t>
      </w:r>
      <w:r>
        <w:rPr>
          <w:spacing w:val="-15"/>
        </w:rPr>
        <w:t xml:space="preserve"> </w:t>
      </w:r>
      <w:r>
        <w:t>un</w:t>
      </w:r>
      <w:r>
        <w:rPr>
          <w:spacing w:val="-15"/>
        </w:rPr>
        <w:t xml:space="preserve"> </w:t>
      </w:r>
      <w:r>
        <w:t>condicionamiento a</w:t>
      </w:r>
      <w:r>
        <w:rPr>
          <w:spacing w:val="-10"/>
        </w:rPr>
        <w:t xml:space="preserve"> </w:t>
      </w:r>
      <w:r>
        <w:t>largo</w:t>
      </w:r>
      <w:r>
        <w:rPr>
          <w:spacing w:val="-7"/>
        </w:rPr>
        <w:t xml:space="preserve"> </w:t>
      </w:r>
      <w:r>
        <w:t>plazo</w:t>
      </w:r>
      <w:r>
        <w:rPr>
          <w:spacing w:val="-9"/>
        </w:rPr>
        <w:t xml:space="preserve"> </w:t>
      </w:r>
      <w:r>
        <w:t>en</w:t>
      </w:r>
      <w:r>
        <w:rPr>
          <w:spacing w:val="-7"/>
        </w:rPr>
        <w:t xml:space="preserve"> </w:t>
      </w:r>
      <w:r>
        <w:t>el</w:t>
      </w:r>
      <w:r>
        <w:rPr>
          <w:spacing w:val="-8"/>
        </w:rPr>
        <w:t xml:space="preserve"> </w:t>
      </w:r>
      <w:r>
        <w:t>comportamiento</w:t>
      </w:r>
      <w:r>
        <w:rPr>
          <w:spacing w:val="-7"/>
        </w:rPr>
        <w:t xml:space="preserve"> </w:t>
      </w:r>
      <w:r>
        <w:t>colectivo</w:t>
      </w:r>
      <w:r>
        <w:rPr>
          <w:spacing w:val="-8"/>
        </w:rPr>
        <w:t xml:space="preserve"> </w:t>
      </w:r>
      <w:r>
        <w:t>y</w:t>
      </w:r>
      <w:r>
        <w:rPr>
          <w:spacing w:val="-9"/>
        </w:rPr>
        <w:t xml:space="preserve"> </w:t>
      </w:r>
      <w:r>
        <w:t>social</w:t>
      </w:r>
      <w:r>
        <w:rPr>
          <w:spacing w:val="-8"/>
        </w:rPr>
        <w:t xml:space="preserve"> </w:t>
      </w:r>
      <w:r>
        <w:t>y</w:t>
      </w:r>
      <w:r>
        <w:rPr>
          <w:spacing w:val="-7"/>
        </w:rPr>
        <w:t xml:space="preserve"> </w:t>
      </w:r>
      <w:r>
        <w:t>en</w:t>
      </w:r>
      <w:r>
        <w:rPr>
          <w:spacing w:val="-9"/>
        </w:rPr>
        <w:t xml:space="preserve"> </w:t>
      </w:r>
      <w:r>
        <w:t>la</w:t>
      </w:r>
      <w:r>
        <w:rPr>
          <w:spacing w:val="-8"/>
        </w:rPr>
        <w:t xml:space="preserve"> </w:t>
      </w:r>
      <w:r>
        <w:t>propia</w:t>
      </w:r>
      <w:r>
        <w:rPr>
          <w:spacing w:val="-7"/>
        </w:rPr>
        <w:t xml:space="preserve"> </w:t>
      </w:r>
      <w:r>
        <w:t>democracia</w:t>
      </w:r>
      <w:r>
        <w:rPr>
          <w:spacing w:val="-8"/>
        </w:rPr>
        <w:t xml:space="preserve"> </w:t>
      </w:r>
      <w:r>
        <w:rPr>
          <w:spacing w:val="-2"/>
        </w:rPr>
        <w:t>colombiana.</w:t>
      </w:r>
    </w:p>
    <w:p w:rsidR="003804AC" w:rsidRDefault="00AF18A5" w:rsidP="00EF5274">
      <w:r>
        <w:t>Cada testimonio que tomó la Comisión de la Verdad tenía detrás una historia de hechos sufridos en primera persona o por familiares o antepasados cercanos que, vistos en su conjunto, muestran violencias consecutivas y resultados sufridos por las siguientes generaciones. Pero esos impactos transgeneracionales no solo son se deben a la violencia, sino también a la impunidad y el silencio:</w:t>
      </w:r>
    </w:p>
    <w:p w:rsidR="003804AC" w:rsidRDefault="00AF18A5" w:rsidP="00EF5274">
      <w:r>
        <w:lastRenderedPageBreak/>
        <w:t>«Tenaz,</w:t>
      </w:r>
      <w:r>
        <w:rPr>
          <w:spacing w:val="-13"/>
        </w:rPr>
        <w:t xml:space="preserve"> </w:t>
      </w:r>
      <w:r>
        <w:t>ellos</w:t>
      </w:r>
      <w:r>
        <w:rPr>
          <w:spacing w:val="-13"/>
        </w:rPr>
        <w:t xml:space="preserve"> </w:t>
      </w:r>
      <w:r>
        <w:t>vivieron</w:t>
      </w:r>
      <w:r>
        <w:rPr>
          <w:spacing w:val="-14"/>
        </w:rPr>
        <w:t xml:space="preserve"> </w:t>
      </w:r>
      <w:r>
        <w:t>también</w:t>
      </w:r>
      <w:r>
        <w:rPr>
          <w:spacing w:val="-14"/>
        </w:rPr>
        <w:t xml:space="preserve"> </w:t>
      </w:r>
      <w:r>
        <w:t>el</w:t>
      </w:r>
      <w:r>
        <w:rPr>
          <w:spacing w:val="-14"/>
        </w:rPr>
        <w:t xml:space="preserve"> </w:t>
      </w:r>
      <w:r>
        <w:t>tiempo</w:t>
      </w:r>
      <w:r>
        <w:rPr>
          <w:spacing w:val="-13"/>
        </w:rPr>
        <w:t xml:space="preserve"> </w:t>
      </w:r>
      <w:r>
        <w:t>de</w:t>
      </w:r>
      <w:r>
        <w:rPr>
          <w:spacing w:val="-14"/>
        </w:rPr>
        <w:t xml:space="preserve"> </w:t>
      </w:r>
      <w:r>
        <w:t>la</w:t>
      </w:r>
      <w:r>
        <w:rPr>
          <w:spacing w:val="-14"/>
        </w:rPr>
        <w:t xml:space="preserve"> </w:t>
      </w:r>
      <w:r>
        <w:t>violencia</w:t>
      </w:r>
      <w:r>
        <w:rPr>
          <w:spacing w:val="-13"/>
        </w:rPr>
        <w:t xml:space="preserve"> </w:t>
      </w:r>
      <w:r>
        <w:t>porque</w:t>
      </w:r>
      <w:r>
        <w:rPr>
          <w:spacing w:val="-13"/>
        </w:rPr>
        <w:t xml:space="preserve"> </w:t>
      </w:r>
      <w:r>
        <w:t>en</w:t>
      </w:r>
      <w:r>
        <w:rPr>
          <w:spacing w:val="-14"/>
        </w:rPr>
        <w:t xml:space="preserve"> </w:t>
      </w:r>
      <w:r>
        <w:t>la</w:t>
      </w:r>
      <w:r>
        <w:rPr>
          <w:spacing w:val="-14"/>
        </w:rPr>
        <w:t xml:space="preserve"> </w:t>
      </w:r>
      <w:r>
        <w:t>casa</w:t>
      </w:r>
      <w:r>
        <w:rPr>
          <w:spacing w:val="-14"/>
        </w:rPr>
        <w:t xml:space="preserve"> </w:t>
      </w:r>
      <w:r>
        <w:t>nuestra</w:t>
      </w:r>
      <w:r>
        <w:rPr>
          <w:spacing w:val="-14"/>
        </w:rPr>
        <w:t xml:space="preserve"> </w:t>
      </w:r>
      <w:r>
        <w:t>también mataron</w:t>
      </w:r>
      <w:r>
        <w:rPr>
          <w:spacing w:val="-6"/>
        </w:rPr>
        <w:t xml:space="preserve"> </w:t>
      </w:r>
      <w:r>
        <w:t>gente.</w:t>
      </w:r>
      <w:r>
        <w:rPr>
          <w:spacing w:val="-6"/>
        </w:rPr>
        <w:t xml:space="preserve"> </w:t>
      </w:r>
      <w:r>
        <w:t>[...]</w:t>
      </w:r>
      <w:r>
        <w:rPr>
          <w:spacing w:val="-6"/>
        </w:rPr>
        <w:t xml:space="preserve"> </w:t>
      </w:r>
      <w:r>
        <w:t>ellos</w:t>
      </w:r>
      <w:r>
        <w:rPr>
          <w:spacing w:val="-7"/>
        </w:rPr>
        <w:t xml:space="preserve"> </w:t>
      </w:r>
      <w:r>
        <w:t>no</w:t>
      </w:r>
      <w:r>
        <w:rPr>
          <w:spacing w:val="-6"/>
        </w:rPr>
        <w:t xml:space="preserve"> </w:t>
      </w:r>
      <w:r>
        <w:t>vivieron</w:t>
      </w:r>
      <w:r>
        <w:rPr>
          <w:spacing w:val="-7"/>
        </w:rPr>
        <w:t xml:space="preserve"> </w:t>
      </w:r>
      <w:r>
        <w:t>esa</w:t>
      </w:r>
      <w:r>
        <w:rPr>
          <w:spacing w:val="-6"/>
        </w:rPr>
        <w:t xml:space="preserve"> </w:t>
      </w:r>
      <w:r>
        <w:t>infancia</w:t>
      </w:r>
      <w:r>
        <w:rPr>
          <w:spacing w:val="-7"/>
        </w:rPr>
        <w:t xml:space="preserve"> </w:t>
      </w:r>
      <w:r>
        <w:t>bonita</w:t>
      </w:r>
      <w:r>
        <w:rPr>
          <w:spacing w:val="-6"/>
        </w:rPr>
        <w:t xml:space="preserve"> </w:t>
      </w:r>
      <w:r>
        <w:t>que</w:t>
      </w:r>
      <w:r>
        <w:rPr>
          <w:spacing w:val="-7"/>
        </w:rPr>
        <w:t xml:space="preserve"> </w:t>
      </w:r>
      <w:r>
        <w:t>uno</w:t>
      </w:r>
      <w:r>
        <w:rPr>
          <w:spacing w:val="-6"/>
        </w:rPr>
        <w:t xml:space="preserve"> </w:t>
      </w:r>
      <w:r>
        <w:t>tuvo,</w:t>
      </w:r>
      <w:r>
        <w:rPr>
          <w:spacing w:val="-6"/>
        </w:rPr>
        <w:t xml:space="preserve"> </w:t>
      </w:r>
      <w:r>
        <w:t>ellos</w:t>
      </w:r>
      <w:r>
        <w:rPr>
          <w:spacing w:val="-6"/>
        </w:rPr>
        <w:t xml:space="preserve"> </w:t>
      </w:r>
      <w:r>
        <w:t>se</w:t>
      </w:r>
      <w:r>
        <w:rPr>
          <w:spacing w:val="-6"/>
        </w:rPr>
        <w:t xml:space="preserve"> </w:t>
      </w:r>
      <w:r>
        <w:t>criaron</w:t>
      </w:r>
      <w:r>
        <w:rPr>
          <w:spacing w:val="-8"/>
        </w:rPr>
        <w:t xml:space="preserve"> </w:t>
      </w:r>
      <w:r>
        <w:t>en</w:t>
      </w:r>
      <w:r>
        <w:rPr>
          <w:spacing w:val="-6"/>
        </w:rPr>
        <w:t xml:space="preserve"> </w:t>
      </w:r>
      <w:r>
        <w:t>ese entorno y eso pues al cabo se mira que les da casi lo mismo. Anteriormente un muerto era novedad cuando la juventud de nosotros»</w:t>
      </w:r>
      <w:r w:rsidR="00EF5274">
        <w:rPr>
          <w:rStyle w:val="Refdenotaalpie"/>
        </w:rPr>
        <w:footnoteReference w:id="16"/>
      </w:r>
      <w:r>
        <w:t>.</w:t>
      </w:r>
    </w:p>
    <w:p w:rsidR="003804AC" w:rsidRDefault="00AF18A5" w:rsidP="00EF5274">
      <w:r>
        <w:t>Sucesivas generaciones y movimientos sociales han tratado de enfrentar esa situación poniendo en el centro la defensa de los derechos humanos, la movilización por la paz, la lucha</w:t>
      </w:r>
      <w:r>
        <w:rPr>
          <w:spacing w:val="-7"/>
        </w:rPr>
        <w:t xml:space="preserve"> </w:t>
      </w:r>
      <w:r>
        <w:t>de</w:t>
      </w:r>
      <w:r>
        <w:rPr>
          <w:spacing w:val="-8"/>
        </w:rPr>
        <w:t xml:space="preserve"> </w:t>
      </w:r>
      <w:r>
        <w:t>las</w:t>
      </w:r>
      <w:r>
        <w:rPr>
          <w:spacing w:val="-8"/>
        </w:rPr>
        <w:t xml:space="preserve"> </w:t>
      </w:r>
      <w:r>
        <w:t>organizaciones</w:t>
      </w:r>
      <w:r>
        <w:rPr>
          <w:spacing w:val="-7"/>
        </w:rPr>
        <w:t xml:space="preserve"> </w:t>
      </w:r>
      <w:r>
        <w:t>de</w:t>
      </w:r>
      <w:r>
        <w:rPr>
          <w:spacing w:val="-7"/>
        </w:rPr>
        <w:t xml:space="preserve"> </w:t>
      </w:r>
      <w:r>
        <w:t>víctimas</w:t>
      </w:r>
      <w:r>
        <w:rPr>
          <w:spacing w:val="-7"/>
        </w:rPr>
        <w:t xml:space="preserve"> </w:t>
      </w:r>
      <w:r>
        <w:t>y</w:t>
      </w:r>
      <w:r>
        <w:rPr>
          <w:spacing w:val="-8"/>
        </w:rPr>
        <w:t xml:space="preserve"> </w:t>
      </w:r>
      <w:r>
        <w:t>de</w:t>
      </w:r>
      <w:r>
        <w:rPr>
          <w:spacing w:val="-8"/>
        </w:rPr>
        <w:t xml:space="preserve"> </w:t>
      </w:r>
      <w:r>
        <w:t>mujeres.</w:t>
      </w:r>
      <w:r>
        <w:rPr>
          <w:spacing w:val="-8"/>
        </w:rPr>
        <w:t xml:space="preserve"> </w:t>
      </w:r>
      <w:r>
        <w:t>Las</w:t>
      </w:r>
      <w:r>
        <w:rPr>
          <w:spacing w:val="-8"/>
        </w:rPr>
        <w:t xml:space="preserve"> </w:t>
      </w:r>
      <w:r>
        <w:t>movilizaciones</w:t>
      </w:r>
      <w:r>
        <w:rPr>
          <w:spacing w:val="-7"/>
        </w:rPr>
        <w:t xml:space="preserve"> </w:t>
      </w:r>
      <w:r>
        <w:t>sociales</w:t>
      </w:r>
      <w:r>
        <w:rPr>
          <w:spacing w:val="-8"/>
        </w:rPr>
        <w:t xml:space="preserve"> </w:t>
      </w:r>
      <w:r>
        <w:t>llevadas</w:t>
      </w:r>
      <w:r>
        <w:rPr>
          <w:spacing w:val="-7"/>
        </w:rPr>
        <w:t xml:space="preserve"> </w:t>
      </w:r>
      <w:r>
        <w:t>a cabo</w:t>
      </w:r>
      <w:r>
        <w:rPr>
          <w:spacing w:val="-8"/>
        </w:rPr>
        <w:t xml:space="preserve"> </w:t>
      </w:r>
      <w:r>
        <w:t>por</w:t>
      </w:r>
      <w:r>
        <w:rPr>
          <w:spacing w:val="-9"/>
        </w:rPr>
        <w:t xml:space="preserve"> </w:t>
      </w:r>
      <w:r>
        <w:t>la</w:t>
      </w:r>
      <w:r>
        <w:rPr>
          <w:spacing w:val="-9"/>
        </w:rPr>
        <w:t xml:space="preserve"> </w:t>
      </w:r>
      <w:r>
        <w:t>juventud</w:t>
      </w:r>
      <w:r>
        <w:rPr>
          <w:spacing w:val="-8"/>
        </w:rPr>
        <w:t xml:space="preserve"> </w:t>
      </w:r>
      <w:r>
        <w:t>en</w:t>
      </w:r>
      <w:r>
        <w:rPr>
          <w:spacing w:val="-9"/>
        </w:rPr>
        <w:t xml:space="preserve"> </w:t>
      </w:r>
      <w:r>
        <w:t>2021</w:t>
      </w:r>
      <w:r>
        <w:rPr>
          <w:spacing w:val="-8"/>
        </w:rPr>
        <w:t xml:space="preserve"> </w:t>
      </w:r>
      <w:r>
        <w:t>muestran</w:t>
      </w:r>
      <w:r>
        <w:rPr>
          <w:spacing w:val="-8"/>
        </w:rPr>
        <w:t xml:space="preserve"> </w:t>
      </w:r>
      <w:r>
        <w:t>la</w:t>
      </w:r>
      <w:r>
        <w:rPr>
          <w:spacing w:val="-9"/>
        </w:rPr>
        <w:t xml:space="preserve"> </w:t>
      </w:r>
      <w:r>
        <w:t>emergencia</w:t>
      </w:r>
      <w:r>
        <w:rPr>
          <w:spacing w:val="-8"/>
        </w:rPr>
        <w:t xml:space="preserve"> </w:t>
      </w:r>
      <w:r>
        <w:t>de</w:t>
      </w:r>
      <w:r>
        <w:rPr>
          <w:spacing w:val="-9"/>
        </w:rPr>
        <w:t xml:space="preserve"> </w:t>
      </w:r>
      <w:r>
        <w:t>conciencias</w:t>
      </w:r>
      <w:r>
        <w:rPr>
          <w:spacing w:val="-8"/>
        </w:rPr>
        <w:t xml:space="preserve"> </w:t>
      </w:r>
      <w:r>
        <w:t>críticas,</w:t>
      </w:r>
      <w:r>
        <w:rPr>
          <w:spacing w:val="-8"/>
        </w:rPr>
        <w:t xml:space="preserve"> </w:t>
      </w:r>
      <w:r>
        <w:t>que</w:t>
      </w:r>
      <w:r>
        <w:rPr>
          <w:spacing w:val="-8"/>
        </w:rPr>
        <w:t xml:space="preserve"> </w:t>
      </w:r>
      <w:r>
        <w:t>no</w:t>
      </w:r>
      <w:r>
        <w:rPr>
          <w:spacing w:val="-9"/>
        </w:rPr>
        <w:t xml:space="preserve"> </w:t>
      </w:r>
      <w:r>
        <w:t>aceptan más ciclos de violencia y expresan su decidida convicción para no perpetuar la historia que tuvieron que vivir o presenciar anteriores generaciones. Son un aliento de esperanza que encarna el dolor recibido, en ocasiones expresado con rabia, y la fuerza de la indignación, pero también con expresiones del arte y la denuncia.</w:t>
      </w:r>
    </w:p>
    <w:p w:rsidR="0011361F" w:rsidRPr="00EF5274" w:rsidRDefault="00AF18A5" w:rsidP="004A6EF4">
      <w:pPr>
        <w:pStyle w:val="Ttulo3"/>
        <w:numPr>
          <w:ilvl w:val="2"/>
          <w:numId w:val="17"/>
        </w:numPr>
      </w:pPr>
      <w:bookmarkStart w:id="34" w:name="1.2.3_El_impacto_en_la_salud_mental"/>
      <w:bookmarkStart w:id="35" w:name="_Toc112399528"/>
      <w:bookmarkEnd w:id="34"/>
      <w:r w:rsidRPr="00EF5274">
        <w:t>El impacto en la salud mental</w:t>
      </w:r>
      <w:bookmarkEnd w:id="35"/>
    </w:p>
    <w:p w:rsidR="003804AC" w:rsidRDefault="00AF18A5" w:rsidP="001F48F2">
      <w:r>
        <w:t>Las</w:t>
      </w:r>
      <w:r>
        <w:rPr>
          <w:spacing w:val="-9"/>
        </w:rPr>
        <w:t xml:space="preserve"> </w:t>
      </w:r>
      <w:r>
        <w:t>víctimas</w:t>
      </w:r>
      <w:r>
        <w:rPr>
          <w:spacing w:val="-11"/>
        </w:rPr>
        <w:t xml:space="preserve"> </w:t>
      </w:r>
      <w:r>
        <w:t>han</w:t>
      </w:r>
      <w:r>
        <w:rPr>
          <w:spacing w:val="-10"/>
        </w:rPr>
        <w:t xml:space="preserve"> </w:t>
      </w:r>
      <w:r>
        <w:t>compartido</w:t>
      </w:r>
      <w:r>
        <w:rPr>
          <w:spacing w:val="-10"/>
        </w:rPr>
        <w:t xml:space="preserve"> </w:t>
      </w:r>
      <w:r>
        <w:t>con</w:t>
      </w:r>
      <w:r>
        <w:rPr>
          <w:spacing w:val="-11"/>
        </w:rPr>
        <w:t xml:space="preserve"> </w:t>
      </w:r>
      <w:r>
        <w:t>la</w:t>
      </w:r>
      <w:r>
        <w:rPr>
          <w:spacing w:val="-11"/>
        </w:rPr>
        <w:t xml:space="preserve"> </w:t>
      </w:r>
      <w:r>
        <w:t>Comisión</w:t>
      </w:r>
      <w:r>
        <w:rPr>
          <w:spacing w:val="-11"/>
        </w:rPr>
        <w:t xml:space="preserve"> </w:t>
      </w:r>
      <w:r>
        <w:t>de</w:t>
      </w:r>
      <w:r>
        <w:rPr>
          <w:spacing w:val="-11"/>
        </w:rPr>
        <w:t xml:space="preserve"> </w:t>
      </w:r>
      <w:r>
        <w:t>la</w:t>
      </w:r>
      <w:r>
        <w:rPr>
          <w:spacing w:val="-9"/>
        </w:rPr>
        <w:t xml:space="preserve"> </w:t>
      </w:r>
      <w:r>
        <w:t>Verdad</w:t>
      </w:r>
      <w:r>
        <w:rPr>
          <w:spacing w:val="-11"/>
        </w:rPr>
        <w:t xml:space="preserve"> </w:t>
      </w:r>
      <w:r>
        <w:t>lo</w:t>
      </w:r>
      <w:r>
        <w:rPr>
          <w:spacing w:val="-11"/>
        </w:rPr>
        <w:t xml:space="preserve"> </w:t>
      </w:r>
      <w:r>
        <w:t>difícil</w:t>
      </w:r>
      <w:r>
        <w:rPr>
          <w:spacing w:val="-10"/>
        </w:rPr>
        <w:t xml:space="preserve"> </w:t>
      </w:r>
      <w:r>
        <w:t>y,</w:t>
      </w:r>
      <w:r>
        <w:rPr>
          <w:spacing w:val="-10"/>
        </w:rPr>
        <w:t xml:space="preserve"> </w:t>
      </w:r>
      <w:r>
        <w:t>en</w:t>
      </w:r>
      <w:r>
        <w:rPr>
          <w:spacing w:val="-11"/>
        </w:rPr>
        <w:t xml:space="preserve"> </w:t>
      </w:r>
      <w:r>
        <w:t>muchas</w:t>
      </w:r>
      <w:r>
        <w:rPr>
          <w:spacing w:val="-9"/>
        </w:rPr>
        <w:t xml:space="preserve"> </w:t>
      </w:r>
      <w:r>
        <w:t xml:space="preserve">ocasiones, abrumador de sus vidas y las consecuencias, que la mayor parte de las veces se viven en silencio, </w:t>
      </w:r>
      <w:r>
        <w:rPr>
          <w:i/>
        </w:rPr>
        <w:t>«como si le arrancaran a uno el alma»</w:t>
      </w:r>
      <w:r w:rsidR="001F48F2">
        <w:rPr>
          <w:rStyle w:val="Refdenotaalpie"/>
          <w:i/>
        </w:rPr>
        <w:footnoteReference w:id="17"/>
      </w:r>
      <w:r>
        <w:t>. Muchas personas que dieron testimonio en la Comisión de la Verdad hicieron referencia al sentir con el que han tenido que lidiar desde lo cotidiano. Con profundos sentimientos de tristeza o incluso culpa por haber sobrevivido</w:t>
      </w:r>
      <w:r>
        <w:rPr>
          <w:spacing w:val="-1"/>
        </w:rPr>
        <w:t xml:space="preserve"> </w:t>
      </w:r>
      <w:r>
        <w:t>o por no haber podido hacer nada por</w:t>
      </w:r>
      <w:r>
        <w:rPr>
          <w:spacing w:val="-1"/>
        </w:rPr>
        <w:t xml:space="preserve"> </w:t>
      </w:r>
      <w:r>
        <w:t>los suyos. Los estudios sobre víctimas de la</w:t>
      </w:r>
      <w:r>
        <w:rPr>
          <w:spacing w:val="14"/>
        </w:rPr>
        <w:t xml:space="preserve"> </w:t>
      </w:r>
      <w:r>
        <w:t>violencia</w:t>
      </w:r>
      <w:r>
        <w:rPr>
          <w:spacing w:val="13"/>
        </w:rPr>
        <w:t xml:space="preserve"> </w:t>
      </w:r>
      <w:r>
        <w:t>política</w:t>
      </w:r>
      <w:r>
        <w:rPr>
          <w:spacing w:val="13"/>
        </w:rPr>
        <w:t xml:space="preserve"> </w:t>
      </w:r>
      <w:r>
        <w:t>o</w:t>
      </w:r>
      <w:r>
        <w:rPr>
          <w:spacing w:val="14"/>
        </w:rPr>
        <w:t xml:space="preserve"> </w:t>
      </w:r>
      <w:r>
        <w:t>el</w:t>
      </w:r>
      <w:r>
        <w:rPr>
          <w:spacing w:val="13"/>
        </w:rPr>
        <w:t xml:space="preserve"> </w:t>
      </w:r>
      <w:r>
        <w:t>terrorismo</w:t>
      </w:r>
      <w:r>
        <w:rPr>
          <w:spacing w:val="13"/>
        </w:rPr>
        <w:t xml:space="preserve"> </w:t>
      </w:r>
      <w:r>
        <w:t>muestran</w:t>
      </w:r>
      <w:r>
        <w:rPr>
          <w:spacing w:val="14"/>
        </w:rPr>
        <w:t xml:space="preserve"> </w:t>
      </w:r>
      <w:r>
        <w:t>un</w:t>
      </w:r>
      <w:r>
        <w:rPr>
          <w:spacing w:val="13"/>
        </w:rPr>
        <w:t xml:space="preserve"> </w:t>
      </w:r>
      <w:r>
        <w:t>aumento</w:t>
      </w:r>
      <w:r>
        <w:rPr>
          <w:spacing w:val="14"/>
        </w:rPr>
        <w:t xml:space="preserve"> </w:t>
      </w:r>
      <w:r>
        <w:t>de</w:t>
      </w:r>
      <w:r>
        <w:rPr>
          <w:spacing w:val="13"/>
        </w:rPr>
        <w:t xml:space="preserve"> </w:t>
      </w:r>
      <w:r>
        <w:t>los</w:t>
      </w:r>
      <w:r>
        <w:rPr>
          <w:spacing w:val="14"/>
        </w:rPr>
        <w:t xml:space="preserve"> </w:t>
      </w:r>
      <w:r>
        <w:t>problemas</w:t>
      </w:r>
      <w:r>
        <w:rPr>
          <w:spacing w:val="14"/>
        </w:rPr>
        <w:t xml:space="preserve"> </w:t>
      </w:r>
      <w:r>
        <w:t>de</w:t>
      </w:r>
      <w:r>
        <w:rPr>
          <w:spacing w:val="13"/>
        </w:rPr>
        <w:t xml:space="preserve"> </w:t>
      </w:r>
      <w:r>
        <w:t>salud</w:t>
      </w:r>
      <w:r>
        <w:rPr>
          <w:spacing w:val="14"/>
        </w:rPr>
        <w:t xml:space="preserve"> </w:t>
      </w:r>
      <w:r>
        <w:rPr>
          <w:spacing w:val="-4"/>
        </w:rPr>
        <w:t>como</w:t>
      </w:r>
      <w:bookmarkStart w:id="36" w:name="_bookmark20"/>
      <w:bookmarkStart w:id="37" w:name="_bookmark21"/>
      <w:bookmarkEnd w:id="36"/>
      <w:bookmarkEnd w:id="37"/>
      <w:r w:rsidR="001F48F2">
        <w:t xml:space="preserve"> </w:t>
      </w:r>
      <w:r>
        <w:lastRenderedPageBreak/>
        <w:t>consecuencia</w:t>
      </w:r>
      <w:r>
        <w:rPr>
          <w:spacing w:val="-13"/>
        </w:rPr>
        <w:t xml:space="preserve"> </w:t>
      </w:r>
      <w:r>
        <w:t>del</w:t>
      </w:r>
      <w:r>
        <w:rPr>
          <w:spacing w:val="-13"/>
        </w:rPr>
        <w:t xml:space="preserve"> </w:t>
      </w:r>
      <w:r>
        <w:t>impacto</w:t>
      </w:r>
      <w:r>
        <w:rPr>
          <w:spacing w:val="-13"/>
        </w:rPr>
        <w:t xml:space="preserve"> </w:t>
      </w:r>
      <w:r>
        <w:t>traumático</w:t>
      </w:r>
      <w:r>
        <w:rPr>
          <w:spacing w:val="-14"/>
        </w:rPr>
        <w:t xml:space="preserve"> </w:t>
      </w:r>
      <w:r>
        <w:t>de</w:t>
      </w:r>
      <w:r>
        <w:rPr>
          <w:spacing w:val="-13"/>
        </w:rPr>
        <w:t xml:space="preserve"> </w:t>
      </w:r>
      <w:r>
        <w:t>entre</w:t>
      </w:r>
      <w:r>
        <w:rPr>
          <w:spacing w:val="-13"/>
        </w:rPr>
        <w:t xml:space="preserve"> </w:t>
      </w:r>
      <w:r>
        <w:t>3,5</w:t>
      </w:r>
      <w:r>
        <w:rPr>
          <w:spacing w:val="-14"/>
        </w:rPr>
        <w:t xml:space="preserve"> </w:t>
      </w:r>
      <w:r>
        <w:t>a</w:t>
      </w:r>
      <w:r>
        <w:rPr>
          <w:spacing w:val="-13"/>
        </w:rPr>
        <w:t xml:space="preserve"> </w:t>
      </w:r>
      <w:r>
        <w:t>5</w:t>
      </w:r>
      <w:r>
        <w:rPr>
          <w:spacing w:val="-13"/>
        </w:rPr>
        <w:t xml:space="preserve"> </w:t>
      </w:r>
      <w:r>
        <w:t>veces</w:t>
      </w:r>
      <w:r>
        <w:rPr>
          <w:spacing w:val="-13"/>
        </w:rPr>
        <w:t xml:space="preserve"> </w:t>
      </w:r>
      <w:r>
        <w:t>más</w:t>
      </w:r>
      <w:r>
        <w:rPr>
          <w:spacing w:val="-13"/>
        </w:rPr>
        <w:t xml:space="preserve"> </w:t>
      </w:r>
      <w:r>
        <w:t>problemas</w:t>
      </w:r>
      <w:r>
        <w:rPr>
          <w:spacing w:val="-14"/>
        </w:rPr>
        <w:t xml:space="preserve"> </w:t>
      </w:r>
      <w:r>
        <w:t>de</w:t>
      </w:r>
      <w:r>
        <w:rPr>
          <w:spacing w:val="-13"/>
        </w:rPr>
        <w:t xml:space="preserve"> </w:t>
      </w:r>
      <w:r>
        <w:t>salud</w:t>
      </w:r>
      <w:r>
        <w:rPr>
          <w:spacing w:val="-13"/>
        </w:rPr>
        <w:t xml:space="preserve"> </w:t>
      </w:r>
      <w:r>
        <w:t>que</w:t>
      </w:r>
      <w:r>
        <w:rPr>
          <w:spacing w:val="-14"/>
        </w:rPr>
        <w:t xml:space="preserve"> </w:t>
      </w:r>
      <w:r>
        <w:t>antes de la victimización</w:t>
      </w:r>
      <w:r w:rsidR="001F48F2">
        <w:rPr>
          <w:rStyle w:val="Refdenotaalpie"/>
        </w:rPr>
        <w:footnoteReference w:id="18"/>
      </w:r>
      <w:r>
        <w:t xml:space="preserve"> y esas afectaciones incluyen limitaciones en los roles debido a enfermedades, dolor corporal y peor percepción de la salud general</w:t>
      </w:r>
      <w:r w:rsidR="001F48F2">
        <w:rPr>
          <w:rStyle w:val="Refdenotaalpie"/>
        </w:rPr>
        <w:footnoteReference w:id="19"/>
      </w:r>
      <w:r>
        <w:t>.</w:t>
      </w:r>
    </w:p>
    <w:p w:rsidR="003804AC" w:rsidRDefault="00AF18A5" w:rsidP="001F48F2">
      <w:r>
        <w:t>Parte de</w:t>
      </w:r>
      <w:r>
        <w:rPr>
          <w:spacing w:val="-1"/>
        </w:rPr>
        <w:t xml:space="preserve"> </w:t>
      </w:r>
      <w:r>
        <w:t>estas emociones</w:t>
      </w:r>
      <w:r>
        <w:rPr>
          <w:spacing w:val="-1"/>
        </w:rPr>
        <w:t xml:space="preserve"> </w:t>
      </w:r>
      <w:r>
        <w:t>que son «normales» ante las</w:t>
      </w:r>
      <w:r>
        <w:rPr>
          <w:spacing w:val="-1"/>
        </w:rPr>
        <w:t xml:space="preserve"> </w:t>
      </w:r>
      <w:r>
        <w:t>experiencias vividas, han quedado fijadas en el cuerpo, la mente y el corazón de las víctimas, y en ocasiones vuelven a experimentarse con intensidad al escuchar ruidos o ante el estrés y la zozobra que existe en sus</w:t>
      </w:r>
      <w:r>
        <w:rPr>
          <w:spacing w:val="-13"/>
        </w:rPr>
        <w:t xml:space="preserve"> </w:t>
      </w:r>
      <w:r>
        <w:t>territorios</w:t>
      </w:r>
      <w:r>
        <w:rPr>
          <w:spacing w:val="-13"/>
        </w:rPr>
        <w:t xml:space="preserve"> </w:t>
      </w:r>
      <w:r>
        <w:t>por</w:t>
      </w:r>
      <w:r>
        <w:rPr>
          <w:spacing w:val="-13"/>
        </w:rPr>
        <w:t xml:space="preserve"> </w:t>
      </w:r>
      <w:r>
        <w:t>la</w:t>
      </w:r>
      <w:r>
        <w:rPr>
          <w:spacing w:val="-13"/>
        </w:rPr>
        <w:t xml:space="preserve"> </w:t>
      </w:r>
      <w:r>
        <w:t>presencia</w:t>
      </w:r>
      <w:r>
        <w:rPr>
          <w:spacing w:val="-13"/>
        </w:rPr>
        <w:t xml:space="preserve"> </w:t>
      </w:r>
      <w:r>
        <w:t>de</w:t>
      </w:r>
      <w:r>
        <w:rPr>
          <w:spacing w:val="-13"/>
        </w:rPr>
        <w:t xml:space="preserve"> </w:t>
      </w:r>
      <w:r>
        <w:t>actores</w:t>
      </w:r>
      <w:r>
        <w:rPr>
          <w:spacing w:val="-13"/>
        </w:rPr>
        <w:t xml:space="preserve"> </w:t>
      </w:r>
      <w:r>
        <w:t>armados.</w:t>
      </w:r>
      <w:r>
        <w:rPr>
          <w:spacing w:val="-13"/>
        </w:rPr>
        <w:t xml:space="preserve"> </w:t>
      </w:r>
      <w:r>
        <w:t>Es</w:t>
      </w:r>
      <w:r>
        <w:rPr>
          <w:spacing w:val="-13"/>
        </w:rPr>
        <w:t xml:space="preserve"> </w:t>
      </w:r>
      <w:r>
        <w:t>decir,</w:t>
      </w:r>
      <w:r>
        <w:rPr>
          <w:spacing w:val="-13"/>
        </w:rPr>
        <w:t xml:space="preserve"> </w:t>
      </w:r>
      <w:r>
        <w:t>la</w:t>
      </w:r>
      <w:r>
        <w:rPr>
          <w:spacing w:val="-13"/>
        </w:rPr>
        <w:t xml:space="preserve"> </w:t>
      </w:r>
      <w:r>
        <w:t>guerra</w:t>
      </w:r>
      <w:r>
        <w:rPr>
          <w:spacing w:val="-13"/>
        </w:rPr>
        <w:t xml:space="preserve"> </w:t>
      </w:r>
      <w:r>
        <w:t>sufrida</w:t>
      </w:r>
      <w:r>
        <w:rPr>
          <w:spacing w:val="-13"/>
        </w:rPr>
        <w:t xml:space="preserve"> </w:t>
      </w:r>
      <w:r>
        <w:t>y</w:t>
      </w:r>
      <w:r>
        <w:rPr>
          <w:spacing w:val="-13"/>
        </w:rPr>
        <w:t xml:space="preserve"> </w:t>
      </w:r>
      <w:r>
        <w:t>la</w:t>
      </w:r>
      <w:r>
        <w:rPr>
          <w:spacing w:val="-13"/>
        </w:rPr>
        <w:t xml:space="preserve"> </w:t>
      </w:r>
      <w:r>
        <w:t>persistencia del riesgo latente tienen un efecto acumulativo, en especial entre aquellas víctimas que han vivido</w:t>
      </w:r>
      <w:r>
        <w:rPr>
          <w:spacing w:val="-4"/>
        </w:rPr>
        <w:t xml:space="preserve"> </w:t>
      </w:r>
      <w:r>
        <w:t>una</w:t>
      </w:r>
      <w:r>
        <w:rPr>
          <w:spacing w:val="-3"/>
        </w:rPr>
        <w:t xml:space="preserve"> </w:t>
      </w:r>
      <w:r>
        <w:t>y</w:t>
      </w:r>
      <w:r>
        <w:rPr>
          <w:spacing w:val="-5"/>
        </w:rPr>
        <w:t xml:space="preserve"> </w:t>
      </w:r>
      <w:r>
        <w:t>otra</w:t>
      </w:r>
      <w:r>
        <w:rPr>
          <w:spacing w:val="-3"/>
        </w:rPr>
        <w:t xml:space="preserve"> </w:t>
      </w:r>
      <w:r>
        <w:t>vez</w:t>
      </w:r>
      <w:r>
        <w:rPr>
          <w:spacing w:val="-3"/>
        </w:rPr>
        <w:t xml:space="preserve"> </w:t>
      </w:r>
      <w:r>
        <w:t>ciclos</w:t>
      </w:r>
      <w:r>
        <w:rPr>
          <w:spacing w:val="-3"/>
        </w:rPr>
        <w:t xml:space="preserve"> </w:t>
      </w:r>
      <w:r>
        <w:t>repetitivos</w:t>
      </w:r>
      <w:r>
        <w:rPr>
          <w:spacing w:val="-3"/>
        </w:rPr>
        <w:t xml:space="preserve"> </w:t>
      </w:r>
      <w:r>
        <w:t>de</w:t>
      </w:r>
      <w:r>
        <w:rPr>
          <w:spacing w:val="-3"/>
        </w:rPr>
        <w:t xml:space="preserve"> </w:t>
      </w:r>
      <w:r>
        <w:t>violencia</w:t>
      </w:r>
      <w:r>
        <w:rPr>
          <w:spacing w:val="-3"/>
        </w:rPr>
        <w:t xml:space="preserve"> </w:t>
      </w:r>
      <w:r>
        <w:t>o</w:t>
      </w:r>
      <w:r>
        <w:rPr>
          <w:spacing w:val="-4"/>
        </w:rPr>
        <w:t xml:space="preserve"> </w:t>
      </w:r>
      <w:r>
        <w:t>no</w:t>
      </w:r>
      <w:r>
        <w:rPr>
          <w:spacing w:val="-4"/>
        </w:rPr>
        <w:t xml:space="preserve"> </w:t>
      </w:r>
      <w:r>
        <w:t>han</w:t>
      </w:r>
      <w:r>
        <w:rPr>
          <w:spacing w:val="-5"/>
        </w:rPr>
        <w:t xml:space="preserve"> </w:t>
      </w:r>
      <w:r>
        <w:t>contado</w:t>
      </w:r>
      <w:r>
        <w:rPr>
          <w:spacing w:val="-4"/>
        </w:rPr>
        <w:t xml:space="preserve"> </w:t>
      </w:r>
      <w:r>
        <w:t>con</w:t>
      </w:r>
      <w:r>
        <w:rPr>
          <w:spacing w:val="-5"/>
        </w:rPr>
        <w:t xml:space="preserve"> </w:t>
      </w:r>
      <w:r>
        <w:t>reconocimiento</w:t>
      </w:r>
      <w:r>
        <w:rPr>
          <w:spacing w:val="-4"/>
        </w:rPr>
        <w:t xml:space="preserve"> </w:t>
      </w:r>
      <w:r>
        <w:t>ni apoyo social.</w:t>
      </w:r>
    </w:p>
    <w:p w:rsidR="003804AC" w:rsidRDefault="00AF18A5" w:rsidP="001F48F2">
      <w:r>
        <w:t>Víctimas</w:t>
      </w:r>
      <w:r>
        <w:rPr>
          <w:spacing w:val="-11"/>
        </w:rPr>
        <w:t xml:space="preserve"> </w:t>
      </w:r>
      <w:r>
        <w:t>que</w:t>
      </w:r>
      <w:r>
        <w:rPr>
          <w:spacing w:val="-11"/>
        </w:rPr>
        <w:t xml:space="preserve"> </w:t>
      </w:r>
      <w:r>
        <w:t>sufrieron</w:t>
      </w:r>
      <w:r>
        <w:rPr>
          <w:spacing w:val="-11"/>
        </w:rPr>
        <w:t xml:space="preserve"> </w:t>
      </w:r>
      <w:r>
        <w:t>torturas</w:t>
      </w:r>
      <w:r>
        <w:rPr>
          <w:spacing w:val="-11"/>
        </w:rPr>
        <w:t xml:space="preserve"> </w:t>
      </w:r>
      <w:r>
        <w:t>durante</w:t>
      </w:r>
      <w:r>
        <w:rPr>
          <w:spacing w:val="-11"/>
        </w:rPr>
        <w:t xml:space="preserve"> </w:t>
      </w:r>
      <w:r>
        <w:t>el</w:t>
      </w:r>
      <w:r>
        <w:rPr>
          <w:spacing w:val="-10"/>
        </w:rPr>
        <w:t xml:space="preserve"> </w:t>
      </w:r>
      <w:r>
        <w:t>Estatuto</w:t>
      </w:r>
      <w:r>
        <w:rPr>
          <w:spacing w:val="-11"/>
        </w:rPr>
        <w:t xml:space="preserve"> </w:t>
      </w:r>
      <w:r>
        <w:t>de</w:t>
      </w:r>
      <w:r>
        <w:rPr>
          <w:spacing w:val="-11"/>
        </w:rPr>
        <w:t xml:space="preserve"> </w:t>
      </w:r>
      <w:r>
        <w:t>Seguridad</w:t>
      </w:r>
      <w:r>
        <w:rPr>
          <w:spacing w:val="-11"/>
        </w:rPr>
        <w:t xml:space="preserve"> </w:t>
      </w:r>
      <w:r>
        <w:t>hace</w:t>
      </w:r>
      <w:r>
        <w:rPr>
          <w:spacing w:val="-11"/>
        </w:rPr>
        <w:t xml:space="preserve"> </w:t>
      </w:r>
      <w:r>
        <w:t>40</w:t>
      </w:r>
      <w:r>
        <w:rPr>
          <w:spacing w:val="-11"/>
        </w:rPr>
        <w:t xml:space="preserve"> </w:t>
      </w:r>
      <w:r>
        <w:t>años</w:t>
      </w:r>
      <w:r>
        <w:rPr>
          <w:spacing w:val="-11"/>
        </w:rPr>
        <w:t xml:space="preserve"> </w:t>
      </w:r>
      <w:r>
        <w:t>todavía</w:t>
      </w:r>
      <w:r>
        <w:rPr>
          <w:spacing w:val="-12"/>
        </w:rPr>
        <w:t xml:space="preserve"> </w:t>
      </w:r>
      <w:r>
        <w:t>hoy sienten muchas veces el ahogo o la angustia de los ojos vendados, la repetición de ideas desesperantes</w:t>
      </w:r>
      <w:r>
        <w:rPr>
          <w:spacing w:val="-2"/>
        </w:rPr>
        <w:t xml:space="preserve"> </w:t>
      </w:r>
      <w:r>
        <w:t>asociadas</w:t>
      </w:r>
      <w:r>
        <w:rPr>
          <w:spacing w:val="-3"/>
        </w:rPr>
        <w:t xml:space="preserve"> </w:t>
      </w:r>
      <w:r>
        <w:t>a</w:t>
      </w:r>
      <w:r>
        <w:rPr>
          <w:spacing w:val="-2"/>
        </w:rPr>
        <w:t xml:space="preserve"> </w:t>
      </w:r>
      <w:r>
        <w:t>la</w:t>
      </w:r>
      <w:r>
        <w:rPr>
          <w:spacing w:val="-2"/>
        </w:rPr>
        <w:t xml:space="preserve"> </w:t>
      </w:r>
      <w:r>
        <w:t>vivencia</w:t>
      </w:r>
      <w:r>
        <w:rPr>
          <w:spacing w:val="-3"/>
        </w:rPr>
        <w:t xml:space="preserve"> </w:t>
      </w:r>
      <w:r>
        <w:t>traumática,</w:t>
      </w:r>
      <w:r>
        <w:rPr>
          <w:spacing w:val="-3"/>
        </w:rPr>
        <w:t xml:space="preserve"> </w:t>
      </w:r>
      <w:r>
        <w:t>combinados</w:t>
      </w:r>
      <w:r>
        <w:rPr>
          <w:spacing w:val="-2"/>
        </w:rPr>
        <w:t xml:space="preserve"> </w:t>
      </w:r>
      <w:r>
        <w:t>con</w:t>
      </w:r>
      <w:r>
        <w:rPr>
          <w:spacing w:val="-2"/>
        </w:rPr>
        <w:t xml:space="preserve"> </w:t>
      </w:r>
      <w:r>
        <w:t>momentos</w:t>
      </w:r>
      <w:r>
        <w:rPr>
          <w:spacing w:val="-2"/>
        </w:rPr>
        <w:t xml:space="preserve"> </w:t>
      </w:r>
      <w:r>
        <w:t>caóticos</w:t>
      </w:r>
      <w:r>
        <w:rPr>
          <w:spacing w:val="-3"/>
        </w:rPr>
        <w:t xml:space="preserve"> </w:t>
      </w:r>
      <w:r>
        <w:t>o</w:t>
      </w:r>
      <w:r>
        <w:rPr>
          <w:spacing w:val="-2"/>
        </w:rPr>
        <w:t xml:space="preserve"> </w:t>
      </w:r>
      <w:r>
        <w:t>con el estigma de haber sido señalados de crímenes atroces. Víctimas de secuestro de varias maneras vuelven a sentir con el tiempo detalles o humillaciones que los marcaron profundamente.</w:t>
      </w:r>
      <w:r>
        <w:rPr>
          <w:spacing w:val="-11"/>
        </w:rPr>
        <w:t xml:space="preserve"> </w:t>
      </w:r>
      <w:r>
        <w:t>Familiares</w:t>
      </w:r>
      <w:r>
        <w:rPr>
          <w:spacing w:val="-10"/>
        </w:rPr>
        <w:t xml:space="preserve"> </w:t>
      </w:r>
      <w:r>
        <w:t>de</w:t>
      </w:r>
      <w:r>
        <w:rPr>
          <w:spacing w:val="-10"/>
        </w:rPr>
        <w:t xml:space="preserve"> </w:t>
      </w:r>
      <w:r>
        <w:t>desaparecidos</w:t>
      </w:r>
      <w:r>
        <w:rPr>
          <w:spacing w:val="-12"/>
        </w:rPr>
        <w:t xml:space="preserve"> </w:t>
      </w:r>
      <w:r>
        <w:t>recuerdan</w:t>
      </w:r>
      <w:r>
        <w:rPr>
          <w:spacing w:val="-11"/>
        </w:rPr>
        <w:t xml:space="preserve"> </w:t>
      </w:r>
      <w:r>
        <w:t>con</w:t>
      </w:r>
      <w:r>
        <w:rPr>
          <w:spacing w:val="-12"/>
        </w:rPr>
        <w:t xml:space="preserve"> </w:t>
      </w:r>
      <w:r>
        <w:t>dolor</w:t>
      </w:r>
      <w:r>
        <w:rPr>
          <w:spacing w:val="-10"/>
        </w:rPr>
        <w:t xml:space="preserve"> </w:t>
      </w:r>
      <w:r>
        <w:t>el</w:t>
      </w:r>
      <w:r>
        <w:rPr>
          <w:spacing w:val="-11"/>
        </w:rPr>
        <w:t xml:space="preserve"> </w:t>
      </w:r>
      <w:r>
        <w:t>lugar</w:t>
      </w:r>
      <w:r>
        <w:rPr>
          <w:spacing w:val="-11"/>
        </w:rPr>
        <w:t xml:space="preserve"> </w:t>
      </w:r>
      <w:r>
        <w:t>de</w:t>
      </w:r>
      <w:r>
        <w:rPr>
          <w:spacing w:val="-10"/>
        </w:rPr>
        <w:t xml:space="preserve"> </w:t>
      </w:r>
      <w:r>
        <w:t>los</w:t>
      </w:r>
      <w:r>
        <w:rPr>
          <w:spacing w:val="-12"/>
        </w:rPr>
        <w:t xml:space="preserve"> </w:t>
      </w:r>
      <w:r>
        <w:t>hechos,</w:t>
      </w:r>
      <w:r>
        <w:rPr>
          <w:spacing w:val="-12"/>
        </w:rPr>
        <w:t xml:space="preserve"> </w:t>
      </w:r>
      <w:r>
        <w:t>y</w:t>
      </w:r>
      <w:r>
        <w:rPr>
          <w:spacing w:val="-11"/>
        </w:rPr>
        <w:t xml:space="preserve"> </w:t>
      </w:r>
      <w:r>
        <w:t xml:space="preserve">no encuentran explicación o respuestas. Muchas de ellas </w:t>
      </w:r>
      <w:proofErr w:type="spellStart"/>
      <w:r>
        <w:t>reexperimentan</w:t>
      </w:r>
      <w:proofErr w:type="spellEnd"/>
      <w:r>
        <w:t>, aun después de muchos años, angustia, ansiedad y miedo, porque el tiempo puede ayudar a encontrar maneras</w:t>
      </w:r>
      <w:r>
        <w:rPr>
          <w:spacing w:val="-9"/>
        </w:rPr>
        <w:t xml:space="preserve"> </w:t>
      </w:r>
      <w:r>
        <w:t>de</w:t>
      </w:r>
      <w:r>
        <w:rPr>
          <w:spacing w:val="-11"/>
        </w:rPr>
        <w:t xml:space="preserve"> </w:t>
      </w:r>
      <w:r>
        <w:t>enfrentar</w:t>
      </w:r>
      <w:r>
        <w:rPr>
          <w:spacing w:val="-9"/>
        </w:rPr>
        <w:t xml:space="preserve"> </w:t>
      </w:r>
      <w:r>
        <w:t>el</w:t>
      </w:r>
      <w:r>
        <w:rPr>
          <w:spacing w:val="-10"/>
        </w:rPr>
        <w:t xml:space="preserve"> </w:t>
      </w:r>
      <w:r>
        <w:t>dolor,</w:t>
      </w:r>
      <w:r>
        <w:rPr>
          <w:spacing w:val="-9"/>
        </w:rPr>
        <w:t xml:space="preserve"> </w:t>
      </w:r>
      <w:r>
        <w:t>pero</w:t>
      </w:r>
      <w:r>
        <w:rPr>
          <w:spacing w:val="-9"/>
        </w:rPr>
        <w:t xml:space="preserve"> </w:t>
      </w:r>
      <w:r>
        <w:t>otras</w:t>
      </w:r>
      <w:r>
        <w:rPr>
          <w:spacing w:val="-9"/>
        </w:rPr>
        <w:t xml:space="preserve"> </w:t>
      </w:r>
      <w:r>
        <w:t>veces</w:t>
      </w:r>
      <w:r>
        <w:rPr>
          <w:spacing w:val="-9"/>
        </w:rPr>
        <w:t xml:space="preserve"> </w:t>
      </w:r>
      <w:r>
        <w:t>lo</w:t>
      </w:r>
      <w:r>
        <w:rPr>
          <w:spacing w:val="-10"/>
        </w:rPr>
        <w:t xml:space="preserve"> </w:t>
      </w:r>
      <w:r>
        <w:t>cronifica</w:t>
      </w:r>
      <w:r>
        <w:rPr>
          <w:spacing w:val="-9"/>
        </w:rPr>
        <w:t xml:space="preserve"> </w:t>
      </w:r>
      <w:r>
        <w:t>o,</w:t>
      </w:r>
      <w:r>
        <w:rPr>
          <w:spacing w:val="-10"/>
        </w:rPr>
        <w:t xml:space="preserve"> </w:t>
      </w:r>
      <w:r>
        <w:t>como</w:t>
      </w:r>
      <w:r>
        <w:rPr>
          <w:spacing w:val="-9"/>
        </w:rPr>
        <w:t xml:space="preserve"> </w:t>
      </w:r>
      <w:r>
        <w:t>señaló</w:t>
      </w:r>
      <w:r>
        <w:rPr>
          <w:spacing w:val="-10"/>
        </w:rPr>
        <w:t xml:space="preserve"> </w:t>
      </w:r>
      <w:r>
        <w:t>un</w:t>
      </w:r>
      <w:r>
        <w:rPr>
          <w:spacing w:val="-9"/>
        </w:rPr>
        <w:t xml:space="preserve"> </w:t>
      </w:r>
      <w:r>
        <w:t>campesino</w:t>
      </w:r>
      <w:r>
        <w:rPr>
          <w:spacing w:val="-9"/>
        </w:rPr>
        <w:t xml:space="preserve"> </w:t>
      </w:r>
      <w:r>
        <w:t xml:space="preserve">que fue víctima de tortura hablando de su propia experiencia, «el tiempo cura las heridas, </w:t>
      </w:r>
      <w:r>
        <w:lastRenderedPageBreak/>
        <w:t>pero no borra cicatrices»</w:t>
      </w:r>
      <w:r w:rsidR="001F48F2">
        <w:rPr>
          <w:rStyle w:val="Refdenotaalpie"/>
        </w:rPr>
        <w:footnoteReference w:id="20"/>
      </w:r>
      <w:r>
        <w:t>.</w:t>
      </w:r>
    </w:p>
    <w:p w:rsidR="003804AC" w:rsidRDefault="00AF18A5" w:rsidP="001F48F2">
      <w:r>
        <w:t>Como país, ha resultado complejo entender las repercusiones del extenso conflicto armado. Para las víctimas, las consecuencias en su salud prolongan no solo los impactos de lo vivido, sino también la necesidad de atención en salud y acompañamiento psicosocial, lo que</w:t>
      </w:r>
      <w:r>
        <w:rPr>
          <w:spacing w:val="23"/>
        </w:rPr>
        <w:t xml:space="preserve"> </w:t>
      </w:r>
      <w:r>
        <w:t>muchas</w:t>
      </w:r>
      <w:r>
        <w:rPr>
          <w:spacing w:val="24"/>
        </w:rPr>
        <w:t xml:space="preserve"> </w:t>
      </w:r>
      <w:r>
        <w:t>veces</w:t>
      </w:r>
      <w:r>
        <w:rPr>
          <w:spacing w:val="24"/>
        </w:rPr>
        <w:t xml:space="preserve"> </w:t>
      </w:r>
      <w:r>
        <w:t>choca</w:t>
      </w:r>
      <w:r>
        <w:rPr>
          <w:spacing w:val="25"/>
        </w:rPr>
        <w:t xml:space="preserve"> </w:t>
      </w:r>
      <w:r>
        <w:t>con</w:t>
      </w:r>
      <w:r>
        <w:rPr>
          <w:spacing w:val="24"/>
        </w:rPr>
        <w:t xml:space="preserve"> </w:t>
      </w:r>
      <w:r>
        <w:t>la</w:t>
      </w:r>
      <w:r>
        <w:rPr>
          <w:spacing w:val="24"/>
        </w:rPr>
        <w:t xml:space="preserve"> </w:t>
      </w:r>
      <w:r>
        <w:t>incomprensión</w:t>
      </w:r>
      <w:r>
        <w:rPr>
          <w:spacing w:val="24"/>
        </w:rPr>
        <w:t xml:space="preserve"> </w:t>
      </w:r>
      <w:r>
        <w:t>de</w:t>
      </w:r>
      <w:r>
        <w:rPr>
          <w:spacing w:val="25"/>
        </w:rPr>
        <w:t xml:space="preserve"> </w:t>
      </w:r>
      <w:r>
        <w:t>la</w:t>
      </w:r>
      <w:r>
        <w:rPr>
          <w:spacing w:val="24"/>
        </w:rPr>
        <w:t xml:space="preserve"> </w:t>
      </w:r>
      <w:r>
        <w:t>sociedad</w:t>
      </w:r>
      <w:r>
        <w:rPr>
          <w:spacing w:val="25"/>
        </w:rPr>
        <w:t xml:space="preserve"> </w:t>
      </w:r>
      <w:r>
        <w:t>o</w:t>
      </w:r>
      <w:r>
        <w:rPr>
          <w:spacing w:val="24"/>
        </w:rPr>
        <w:t xml:space="preserve"> </w:t>
      </w:r>
      <w:r>
        <w:t>la</w:t>
      </w:r>
      <w:r>
        <w:rPr>
          <w:spacing w:val="25"/>
        </w:rPr>
        <w:t xml:space="preserve"> </w:t>
      </w:r>
      <w:r>
        <w:t>burocratización</w:t>
      </w:r>
      <w:r>
        <w:rPr>
          <w:spacing w:val="24"/>
        </w:rPr>
        <w:t xml:space="preserve"> </w:t>
      </w:r>
      <w:r>
        <w:t>de</w:t>
      </w:r>
      <w:r>
        <w:rPr>
          <w:spacing w:val="25"/>
        </w:rPr>
        <w:t xml:space="preserve"> </w:t>
      </w:r>
      <w:r>
        <w:rPr>
          <w:spacing w:val="-5"/>
        </w:rPr>
        <w:t>las</w:t>
      </w:r>
      <w:bookmarkStart w:id="38" w:name="_bookmark22"/>
      <w:bookmarkStart w:id="39" w:name="_bookmark23"/>
      <w:bookmarkStart w:id="40" w:name="_bookmark24"/>
      <w:bookmarkEnd w:id="38"/>
      <w:bookmarkEnd w:id="39"/>
      <w:bookmarkEnd w:id="40"/>
      <w:r w:rsidR="001F48F2">
        <w:rPr>
          <w:spacing w:val="-5"/>
        </w:rPr>
        <w:t xml:space="preserve"> </w:t>
      </w:r>
      <w:r>
        <w:t>respuestas del Estado. Las esperanzas depositadas en las normas que reconocen, garantizan y</w:t>
      </w:r>
      <w:r>
        <w:rPr>
          <w:spacing w:val="-11"/>
        </w:rPr>
        <w:t xml:space="preserve"> </w:t>
      </w:r>
      <w:r>
        <w:t>protegen</w:t>
      </w:r>
      <w:r>
        <w:rPr>
          <w:spacing w:val="-12"/>
        </w:rPr>
        <w:t xml:space="preserve"> </w:t>
      </w:r>
      <w:r>
        <w:t>los</w:t>
      </w:r>
      <w:r>
        <w:rPr>
          <w:spacing w:val="-11"/>
        </w:rPr>
        <w:t xml:space="preserve"> </w:t>
      </w:r>
      <w:r>
        <w:t>derechos</w:t>
      </w:r>
      <w:r>
        <w:rPr>
          <w:spacing w:val="-12"/>
        </w:rPr>
        <w:t xml:space="preserve"> </w:t>
      </w:r>
      <w:r>
        <w:t>de</w:t>
      </w:r>
      <w:r>
        <w:rPr>
          <w:spacing w:val="-11"/>
        </w:rPr>
        <w:t xml:space="preserve"> </w:t>
      </w:r>
      <w:r>
        <w:t>las</w:t>
      </w:r>
      <w:r>
        <w:rPr>
          <w:spacing w:val="-11"/>
        </w:rPr>
        <w:t xml:space="preserve"> </w:t>
      </w:r>
      <w:r>
        <w:t>víctimas</w:t>
      </w:r>
      <w:r>
        <w:rPr>
          <w:spacing w:val="-11"/>
        </w:rPr>
        <w:t xml:space="preserve"> </w:t>
      </w:r>
      <w:r>
        <w:t>se</w:t>
      </w:r>
      <w:r>
        <w:rPr>
          <w:spacing w:val="-11"/>
        </w:rPr>
        <w:t xml:space="preserve"> </w:t>
      </w:r>
      <w:r>
        <w:t>frustran</w:t>
      </w:r>
      <w:r>
        <w:rPr>
          <w:spacing w:val="-11"/>
        </w:rPr>
        <w:t xml:space="preserve"> </w:t>
      </w:r>
      <w:r>
        <w:t>cuando</w:t>
      </w:r>
      <w:r>
        <w:rPr>
          <w:spacing w:val="-11"/>
        </w:rPr>
        <w:t xml:space="preserve"> </w:t>
      </w:r>
      <w:r>
        <w:t>se</w:t>
      </w:r>
      <w:r>
        <w:rPr>
          <w:spacing w:val="-12"/>
        </w:rPr>
        <w:t xml:space="preserve"> </w:t>
      </w:r>
      <w:r>
        <w:t>da</w:t>
      </w:r>
      <w:r>
        <w:rPr>
          <w:spacing w:val="-11"/>
        </w:rPr>
        <w:t xml:space="preserve"> </w:t>
      </w:r>
      <w:r>
        <w:t>un</w:t>
      </w:r>
      <w:r>
        <w:rPr>
          <w:spacing w:val="-11"/>
        </w:rPr>
        <w:t xml:space="preserve"> </w:t>
      </w:r>
      <w:r>
        <w:t>frecuente</w:t>
      </w:r>
      <w:r>
        <w:rPr>
          <w:spacing w:val="-11"/>
        </w:rPr>
        <w:t xml:space="preserve"> </w:t>
      </w:r>
      <w:r>
        <w:t>incumplimiento o</w:t>
      </w:r>
      <w:r>
        <w:rPr>
          <w:spacing w:val="-4"/>
        </w:rPr>
        <w:t xml:space="preserve"> </w:t>
      </w:r>
      <w:r>
        <w:t>dilatación</w:t>
      </w:r>
      <w:r>
        <w:rPr>
          <w:spacing w:val="-5"/>
        </w:rPr>
        <w:t xml:space="preserve"> </w:t>
      </w:r>
      <w:r>
        <w:t>de</w:t>
      </w:r>
      <w:r>
        <w:rPr>
          <w:spacing w:val="-3"/>
        </w:rPr>
        <w:t xml:space="preserve"> </w:t>
      </w:r>
      <w:r>
        <w:t>las</w:t>
      </w:r>
      <w:r>
        <w:rPr>
          <w:spacing w:val="-3"/>
        </w:rPr>
        <w:t xml:space="preserve"> </w:t>
      </w:r>
      <w:r>
        <w:t>respuestas</w:t>
      </w:r>
      <w:r>
        <w:rPr>
          <w:spacing w:val="-3"/>
        </w:rPr>
        <w:t xml:space="preserve"> </w:t>
      </w:r>
      <w:r>
        <w:t>y</w:t>
      </w:r>
      <w:r>
        <w:rPr>
          <w:spacing w:val="-4"/>
        </w:rPr>
        <w:t xml:space="preserve"> </w:t>
      </w:r>
      <w:r>
        <w:t>por</w:t>
      </w:r>
      <w:r>
        <w:rPr>
          <w:spacing w:val="-3"/>
        </w:rPr>
        <w:t xml:space="preserve"> </w:t>
      </w:r>
      <w:r>
        <w:t>las</w:t>
      </w:r>
      <w:r>
        <w:rPr>
          <w:spacing w:val="-3"/>
        </w:rPr>
        <w:t xml:space="preserve"> </w:t>
      </w:r>
      <w:r>
        <w:t>diferentes</w:t>
      </w:r>
      <w:r>
        <w:rPr>
          <w:spacing w:val="-5"/>
        </w:rPr>
        <w:t xml:space="preserve"> </w:t>
      </w:r>
      <w:r>
        <w:t>barreras</w:t>
      </w:r>
      <w:r>
        <w:rPr>
          <w:spacing w:val="-3"/>
        </w:rPr>
        <w:t xml:space="preserve"> </w:t>
      </w:r>
      <w:r>
        <w:t>que</w:t>
      </w:r>
      <w:r>
        <w:rPr>
          <w:spacing w:val="-3"/>
        </w:rPr>
        <w:t xml:space="preserve"> </w:t>
      </w:r>
      <w:r>
        <w:t>se</w:t>
      </w:r>
      <w:r>
        <w:rPr>
          <w:spacing w:val="-4"/>
        </w:rPr>
        <w:t xml:space="preserve"> </w:t>
      </w:r>
      <w:r>
        <w:t>imponen</w:t>
      </w:r>
      <w:r>
        <w:rPr>
          <w:spacing w:val="-4"/>
        </w:rPr>
        <w:t xml:space="preserve"> </w:t>
      </w:r>
      <w:r>
        <w:t>en</w:t>
      </w:r>
      <w:r>
        <w:rPr>
          <w:spacing w:val="-4"/>
        </w:rPr>
        <w:t xml:space="preserve"> </w:t>
      </w:r>
      <w:r>
        <w:t>la</w:t>
      </w:r>
      <w:r>
        <w:rPr>
          <w:spacing w:val="-3"/>
        </w:rPr>
        <w:t xml:space="preserve"> </w:t>
      </w:r>
      <w:r>
        <w:t>búsqueda</w:t>
      </w:r>
      <w:r>
        <w:rPr>
          <w:spacing w:val="-3"/>
        </w:rPr>
        <w:t xml:space="preserve"> </w:t>
      </w:r>
      <w:r>
        <w:t>de la atención y rehabilitación. Por ejemplo, la falta de continuidad en la atención psicosocial, la ausencia de un enfoque centrado en el fortalecimiento personal o colectivo o las limitaciones en el acceso a las medidas de reparación muestran la necesidad de una política de reconstrucción que englobe un conjunto de medidas y no solo respuestas puntuales a necesidades inmediatas.</w:t>
      </w:r>
    </w:p>
    <w:p w:rsidR="003804AC" w:rsidRDefault="00AF18A5" w:rsidP="001F48F2">
      <w:r>
        <w:t>Las medidas de reparación tienen hasta la actualidad un desarrollo parcial; por ejemplo, han</w:t>
      </w:r>
      <w:r>
        <w:rPr>
          <w:spacing w:val="-1"/>
        </w:rPr>
        <w:t xml:space="preserve"> </w:t>
      </w:r>
      <w:r>
        <w:t>llegado</w:t>
      </w:r>
      <w:r>
        <w:rPr>
          <w:spacing w:val="-2"/>
        </w:rPr>
        <w:t xml:space="preserve"> </w:t>
      </w:r>
      <w:r>
        <w:t>a</w:t>
      </w:r>
      <w:r>
        <w:rPr>
          <w:spacing w:val="-1"/>
        </w:rPr>
        <w:t xml:space="preserve"> </w:t>
      </w:r>
      <w:r>
        <w:t>una</w:t>
      </w:r>
      <w:r>
        <w:rPr>
          <w:spacing w:val="-1"/>
        </w:rPr>
        <w:t xml:space="preserve"> </w:t>
      </w:r>
      <w:r>
        <w:t>minoría</w:t>
      </w:r>
      <w:r>
        <w:rPr>
          <w:spacing w:val="-1"/>
        </w:rPr>
        <w:t xml:space="preserve"> </w:t>
      </w:r>
      <w:r>
        <w:t>de</w:t>
      </w:r>
      <w:r>
        <w:rPr>
          <w:spacing w:val="-1"/>
        </w:rPr>
        <w:t xml:space="preserve"> </w:t>
      </w:r>
      <w:r>
        <w:t>las</w:t>
      </w:r>
      <w:r>
        <w:rPr>
          <w:spacing w:val="-1"/>
        </w:rPr>
        <w:t xml:space="preserve"> </w:t>
      </w:r>
      <w:r>
        <w:t>víctimas</w:t>
      </w:r>
      <w:r>
        <w:rPr>
          <w:spacing w:val="-1"/>
        </w:rPr>
        <w:t xml:space="preserve"> </w:t>
      </w:r>
      <w:r>
        <w:t>(12</w:t>
      </w:r>
      <w:r>
        <w:rPr>
          <w:spacing w:val="-4"/>
        </w:rPr>
        <w:t xml:space="preserve"> </w:t>
      </w:r>
      <w:r>
        <w:t>%,</w:t>
      </w:r>
      <w:r>
        <w:rPr>
          <w:spacing w:val="-2"/>
        </w:rPr>
        <w:t xml:space="preserve"> </w:t>
      </w:r>
      <w:r>
        <w:t>en</w:t>
      </w:r>
      <w:r>
        <w:rPr>
          <w:spacing w:val="-1"/>
        </w:rPr>
        <w:t xml:space="preserve"> </w:t>
      </w:r>
      <w:r>
        <w:t>2021)</w:t>
      </w:r>
      <w:r>
        <w:rPr>
          <w:spacing w:val="-1"/>
        </w:rPr>
        <w:t xml:space="preserve"> </w:t>
      </w:r>
      <w:r>
        <w:t>en</w:t>
      </w:r>
      <w:r>
        <w:rPr>
          <w:spacing w:val="-2"/>
        </w:rPr>
        <w:t xml:space="preserve"> </w:t>
      </w:r>
      <w:r>
        <w:t>el</w:t>
      </w:r>
      <w:r>
        <w:rPr>
          <w:spacing w:val="-1"/>
        </w:rPr>
        <w:t xml:space="preserve"> </w:t>
      </w:r>
      <w:r>
        <w:t>acceso</w:t>
      </w:r>
      <w:r>
        <w:rPr>
          <w:spacing w:val="-1"/>
        </w:rPr>
        <w:t xml:space="preserve"> </w:t>
      </w:r>
      <w:r>
        <w:t>de</w:t>
      </w:r>
      <w:r>
        <w:rPr>
          <w:spacing w:val="-3"/>
        </w:rPr>
        <w:t xml:space="preserve"> </w:t>
      </w:r>
      <w:r>
        <w:t>indemnizaciones. Además, se le ha dado prioridad al factor económico de la indemnización en detrimento de una</w:t>
      </w:r>
      <w:r>
        <w:rPr>
          <w:spacing w:val="-3"/>
        </w:rPr>
        <w:t xml:space="preserve"> </w:t>
      </w:r>
      <w:r>
        <w:t>visión</w:t>
      </w:r>
      <w:r>
        <w:rPr>
          <w:spacing w:val="-5"/>
        </w:rPr>
        <w:t xml:space="preserve"> </w:t>
      </w:r>
      <w:r>
        <w:t>más</w:t>
      </w:r>
      <w:r>
        <w:rPr>
          <w:spacing w:val="-5"/>
        </w:rPr>
        <w:t xml:space="preserve"> </w:t>
      </w:r>
      <w:r>
        <w:t>integral</w:t>
      </w:r>
      <w:r>
        <w:rPr>
          <w:spacing w:val="-4"/>
        </w:rPr>
        <w:t xml:space="preserve"> </w:t>
      </w:r>
      <w:r>
        <w:t>y</w:t>
      </w:r>
      <w:r>
        <w:rPr>
          <w:spacing w:val="-4"/>
        </w:rPr>
        <w:t xml:space="preserve"> </w:t>
      </w:r>
      <w:r>
        <w:t>de</w:t>
      </w:r>
      <w:r>
        <w:rPr>
          <w:spacing w:val="-5"/>
        </w:rPr>
        <w:t xml:space="preserve"> </w:t>
      </w:r>
      <w:r>
        <w:t>largo</w:t>
      </w:r>
      <w:r>
        <w:rPr>
          <w:spacing w:val="-5"/>
        </w:rPr>
        <w:t xml:space="preserve"> </w:t>
      </w:r>
      <w:r>
        <w:t>plazo.</w:t>
      </w:r>
      <w:r>
        <w:rPr>
          <w:spacing w:val="-4"/>
        </w:rPr>
        <w:t xml:space="preserve"> </w:t>
      </w:r>
      <w:r>
        <w:t>En</w:t>
      </w:r>
      <w:r>
        <w:rPr>
          <w:spacing w:val="-4"/>
        </w:rPr>
        <w:t xml:space="preserve"> </w:t>
      </w:r>
      <w:r>
        <w:t>un</w:t>
      </w:r>
      <w:r>
        <w:rPr>
          <w:spacing w:val="-6"/>
        </w:rPr>
        <w:t xml:space="preserve"> </w:t>
      </w:r>
      <w:r>
        <w:t>contexto</w:t>
      </w:r>
      <w:r>
        <w:rPr>
          <w:spacing w:val="-5"/>
        </w:rPr>
        <w:t xml:space="preserve"> </w:t>
      </w:r>
      <w:r>
        <w:t>de</w:t>
      </w:r>
      <w:r>
        <w:rPr>
          <w:spacing w:val="-5"/>
        </w:rPr>
        <w:t xml:space="preserve"> </w:t>
      </w:r>
      <w:r>
        <w:t>precariedad</w:t>
      </w:r>
      <w:r>
        <w:rPr>
          <w:spacing w:val="-6"/>
        </w:rPr>
        <w:t xml:space="preserve"> </w:t>
      </w:r>
      <w:r>
        <w:t>para</w:t>
      </w:r>
      <w:r>
        <w:rPr>
          <w:spacing w:val="-5"/>
        </w:rPr>
        <w:t xml:space="preserve"> </w:t>
      </w:r>
      <w:r>
        <w:t>las</w:t>
      </w:r>
      <w:r>
        <w:rPr>
          <w:spacing w:val="-3"/>
        </w:rPr>
        <w:t xml:space="preserve"> </w:t>
      </w:r>
      <w:r>
        <w:t>víctimas,</w:t>
      </w:r>
      <w:r>
        <w:rPr>
          <w:spacing w:val="-4"/>
        </w:rPr>
        <w:t xml:space="preserve"> </w:t>
      </w:r>
      <w:r>
        <w:t>se dificulta que estos procesos puedan tener mayor impacto positivo en sus vidas. En este camino hay que resaltar que, aunque han existido valiosos procesos a pequeña escala de las agencias</w:t>
      </w:r>
      <w:r>
        <w:rPr>
          <w:spacing w:val="-5"/>
        </w:rPr>
        <w:t xml:space="preserve"> </w:t>
      </w:r>
      <w:r>
        <w:t>implicadas,</w:t>
      </w:r>
      <w:r>
        <w:rPr>
          <w:spacing w:val="-5"/>
        </w:rPr>
        <w:t xml:space="preserve"> </w:t>
      </w:r>
      <w:r>
        <w:t>no</w:t>
      </w:r>
      <w:r>
        <w:rPr>
          <w:spacing w:val="-5"/>
        </w:rPr>
        <w:t xml:space="preserve"> </w:t>
      </w:r>
      <w:r>
        <w:t>siempre</w:t>
      </w:r>
      <w:r>
        <w:rPr>
          <w:spacing w:val="-5"/>
        </w:rPr>
        <w:t xml:space="preserve"> </w:t>
      </w:r>
      <w:r>
        <w:t>han</w:t>
      </w:r>
      <w:r>
        <w:rPr>
          <w:spacing w:val="-5"/>
        </w:rPr>
        <w:t xml:space="preserve"> </w:t>
      </w:r>
      <w:r>
        <w:t>llegado</w:t>
      </w:r>
      <w:r>
        <w:rPr>
          <w:spacing w:val="-5"/>
        </w:rPr>
        <w:t xml:space="preserve"> </w:t>
      </w:r>
      <w:r>
        <w:t>acompañados</w:t>
      </w:r>
      <w:r>
        <w:rPr>
          <w:spacing w:val="-5"/>
        </w:rPr>
        <w:t xml:space="preserve"> </w:t>
      </w:r>
      <w:r>
        <w:t>con</w:t>
      </w:r>
      <w:r>
        <w:rPr>
          <w:spacing w:val="-5"/>
        </w:rPr>
        <w:t xml:space="preserve"> </w:t>
      </w:r>
      <w:r>
        <w:t>una</w:t>
      </w:r>
      <w:r>
        <w:rPr>
          <w:spacing w:val="-5"/>
        </w:rPr>
        <w:t xml:space="preserve"> </w:t>
      </w:r>
      <w:r>
        <w:t>visión</w:t>
      </w:r>
      <w:r>
        <w:rPr>
          <w:spacing w:val="-5"/>
        </w:rPr>
        <w:t xml:space="preserve"> </w:t>
      </w:r>
      <w:r>
        <w:t>estatal</w:t>
      </w:r>
      <w:r>
        <w:rPr>
          <w:spacing w:val="-4"/>
        </w:rPr>
        <w:t xml:space="preserve"> </w:t>
      </w:r>
      <w:r>
        <w:lastRenderedPageBreak/>
        <w:t>y</w:t>
      </w:r>
      <w:r>
        <w:rPr>
          <w:spacing w:val="-5"/>
        </w:rPr>
        <w:t xml:space="preserve"> </w:t>
      </w:r>
      <w:r>
        <w:t>social</w:t>
      </w:r>
      <w:r>
        <w:rPr>
          <w:spacing w:val="-4"/>
        </w:rPr>
        <w:t xml:space="preserve"> </w:t>
      </w:r>
      <w:r>
        <w:t xml:space="preserve">de </w:t>
      </w:r>
      <w:r>
        <w:rPr>
          <w:spacing w:val="-2"/>
        </w:rPr>
        <w:t>conjunto.</w:t>
      </w:r>
    </w:p>
    <w:p w:rsidR="001F48F2" w:rsidRDefault="00AF18A5" w:rsidP="004A6EF4">
      <w:pPr>
        <w:pStyle w:val="Ttulo3"/>
        <w:numPr>
          <w:ilvl w:val="1"/>
          <w:numId w:val="17"/>
        </w:numPr>
      </w:pPr>
      <w:bookmarkStart w:id="41" w:name="1.3._Los_impactos_de_la_degradación_de_l"/>
      <w:bookmarkStart w:id="42" w:name="_Toc112399529"/>
      <w:bookmarkEnd w:id="41"/>
      <w:r w:rsidRPr="001F48F2">
        <w:t>Los impactos de la degradación de la guerra</w:t>
      </w:r>
      <w:bookmarkStart w:id="43" w:name="1.3.1._Impacto_en_el_comportamiento_cole"/>
      <w:bookmarkEnd w:id="42"/>
      <w:bookmarkEnd w:id="43"/>
    </w:p>
    <w:p w:rsidR="0011361F" w:rsidRPr="001F48F2" w:rsidRDefault="00AF18A5" w:rsidP="004A6EF4">
      <w:pPr>
        <w:pStyle w:val="Ttulo3"/>
        <w:numPr>
          <w:ilvl w:val="2"/>
          <w:numId w:val="18"/>
        </w:numPr>
      </w:pPr>
      <w:bookmarkStart w:id="44" w:name="_Toc112399530"/>
      <w:r w:rsidRPr="001F48F2">
        <w:t>Impacto en el comportamiento colectivo</w:t>
      </w:r>
      <w:bookmarkEnd w:id="44"/>
    </w:p>
    <w:p w:rsidR="003804AC" w:rsidRDefault="00AF18A5" w:rsidP="001F48F2">
      <w:r>
        <w:t>La</w:t>
      </w:r>
      <w:r>
        <w:rPr>
          <w:spacing w:val="-6"/>
        </w:rPr>
        <w:t xml:space="preserve"> </w:t>
      </w:r>
      <w:r>
        <w:t>violencia</w:t>
      </w:r>
      <w:r>
        <w:rPr>
          <w:spacing w:val="-7"/>
        </w:rPr>
        <w:t xml:space="preserve"> </w:t>
      </w:r>
      <w:r>
        <w:t>del</w:t>
      </w:r>
      <w:r>
        <w:rPr>
          <w:spacing w:val="-5"/>
        </w:rPr>
        <w:t xml:space="preserve"> </w:t>
      </w:r>
      <w:r>
        <w:t>conflicto</w:t>
      </w:r>
      <w:r>
        <w:rPr>
          <w:spacing w:val="-6"/>
        </w:rPr>
        <w:t xml:space="preserve"> </w:t>
      </w:r>
      <w:r>
        <w:t>armado</w:t>
      </w:r>
      <w:r>
        <w:rPr>
          <w:spacing w:val="-6"/>
        </w:rPr>
        <w:t xml:space="preserve"> </w:t>
      </w:r>
      <w:r>
        <w:t>no</w:t>
      </w:r>
      <w:r>
        <w:rPr>
          <w:spacing w:val="-7"/>
        </w:rPr>
        <w:t xml:space="preserve"> </w:t>
      </w:r>
      <w:r>
        <w:t>solo</w:t>
      </w:r>
      <w:r>
        <w:rPr>
          <w:spacing w:val="-6"/>
        </w:rPr>
        <w:t xml:space="preserve"> </w:t>
      </w:r>
      <w:r>
        <w:t>ha</w:t>
      </w:r>
      <w:r>
        <w:rPr>
          <w:spacing w:val="-7"/>
        </w:rPr>
        <w:t xml:space="preserve"> </w:t>
      </w:r>
      <w:r>
        <w:t>tenido</w:t>
      </w:r>
      <w:r>
        <w:rPr>
          <w:spacing w:val="-6"/>
        </w:rPr>
        <w:t xml:space="preserve"> </w:t>
      </w:r>
      <w:r>
        <w:t>consecuencias</w:t>
      </w:r>
      <w:r>
        <w:rPr>
          <w:spacing w:val="-7"/>
        </w:rPr>
        <w:t xml:space="preserve"> </w:t>
      </w:r>
      <w:r>
        <w:t>individuales.</w:t>
      </w:r>
      <w:r>
        <w:rPr>
          <w:spacing w:val="-6"/>
        </w:rPr>
        <w:t xml:space="preserve"> </w:t>
      </w:r>
      <w:r>
        <w:t>También</w:t>
      </w:r>
      <w:r>
        <w:rPr>
          <w:spacing w:val="-6"/>
        </w:rPr>
        <w:t xml:space="preserve"> </w:t>
      </w:r>
      <w:r>
        <w:t>ha estado atravesada por mecanismos que la han hecho posible, por impactos que han tejido el comportamiento y el sentir colectivo.</w:t>
      </w:r>
    </w:p>
    <w:p w:rsidR="003804AC" w:rsidRDefault="00AF18A5" w:rsidP="001F48F2">
      <w:r>
        <w:t>Durante</w:t>
      </w:r>
      <w:r>
        <w:rPr>
          <w:spacing w:val="-4"/>
        </w:rPr>
        <w:t xml:space="preserve"> </w:t>
      </w:r>
      <w:r>
        <w:t>décadas,</w:t>
      </w:r>
      <w:r>
        <w:rPr>
          <w:spacing w:val="-5"/>
        </w:rPr>
        <w:t xml:space="preserve"> </w:t>
      </w:r>
      <w:r>
        <w:t>las</w:t>
      </w:r>
      <w:r>
        <w:rPr>
          <w:spacing w:val="-4"/>
        </w:rPr>
        <w:t xml:space="preserve"> </w:t>
      </w:r>
      <w:r>
        <w:t>víctimas</w:t>
      </w:r>
      <w:r>
        <w:rPr>
          <w:spacing w:val="-4"/>
        </w:rPr>
        <w:t xml:space="preserve"> </w:t>
      </w:r>
      <w:r>
        <w:t>sufrieron</w:t>
      </w:r>
      <w:r>
        <w:rPr>
          <w:spacing w:val="-5"/>
        </w:rPr>
        <w:t xml:space="preserve"> </w:t>
      </w:r>
      <w:r>
        <w:t>esa</w:t>
      </w:r>
      <w:r>
        <w:rPr>
          <w:spacing w:val="-4"/>
        </w:rPr>
        <w:t xml:space="preserve"> </w:t>
      </w:r>
      <w:r>
        <w:t>situación</w:t>
      </w:r>
      <w:r>
        <w:rPr>
          <w:spacing w:val="-5"/>
        </w:rPr>
        <w:t xml:space="preserve"> </w:t>
      </w:r>
      <w:r>
        <w:t>sin</w:t>
      </w:r>
      <w:r>
        <w:rPr>
          <w:spacing w:val="-6"/>
        </w:rPr>
        <w:t xml:space="preserve"> </w:t>
      </w:r>
      <w:r>
        <w:t>reconocimiento</w:t>
      </w:r>
      <w:r>
        <w:rPr>
          <w:spacing w:val="-6"/>
        </w:rPr>
        <w:t xml:space="preserve"> </w:t>
      </w:r>
      <w:r>
        <w:t>ni</w:t>
      </w:r>
      <w:r>
        <w:rPr>
          <w:spacing w:val="-4"/>
        </w:rPr>
        <w:t xml:space="preserve"> </w:t>
      </w:r>
      <w:r>
        <w:t>apoyo,</w:t>
      </w:r>
      <w:r>
        <w:rPr>
          <w:spacing w:val="-5"/>
        </w:rPr>
        <w:t xml:space="preserve"> </w:t>
      </w:r>
      <w:r>
        <w:t>lo</w:t>
      </w:r>
      <w:r>
        <w:rPr>
          <w:spacing w:val="-7"/>
        </w:rPr>
        <w:t xml:space="preserve"> </w:t>
      </w:r>
      <w:r>
        <w:t>que llevó a una vivencia de desamparo frente al Estado, de no tener a quién acudir, quedar sin salida ante crímenes que nunca tuvieron reconocimiento. Todo esto incrementó el impacto. Hoy persevera un reclamo a la justicia y al Estado. Reclamo materializado por el incesante trabajo</w:t>
      </w:r>
      <w:r>
        <w:rPr>
          <w:spacing w:val="-8"/>
        </w:rPr>
        <w:t xml:space="preserve"> </w:t>
      </w:r>
      <w:r>
        <w:t>de</w:t>
      </w:r>
      <w:r>
        <w:rPr>
          <w:spacing w:val="-8"/>
        </w:rPr>
        <w:t xml:space="preserve"> </w:t>
      </w:r>
      <w:r>
        <w:t>organizaciones</w:t>
      </w:r>
      <w:r>
        <w:rPr>
          <w:spacing w:val="-8"/>
        </w:rPr>
        <w:t xml:space="preserve"> </w:t>
      </w:r>
      <w:r>
        <w:t>de</w:t>
      </w:r>
      <w:r>
        <w:rPr>
          <w:spacing w:val="-8"/>
        </w:rPr>
        <w:t xml:space="preserve"> </w:t>
      </w:r>
      <w:r>
        <w:t>derechos</w:t>
      </w:r>
      <w:r>
        <w:rPr>
          <w:spacing w:val="-8"/>
        </w:rPr>
        <w:t xml:space="preserve"> </w:t>
      </w:r>
      <w:r>
        <w:t>humanos</w:t>
      </w:r>
      <w:r>
        <w:rPr>
          <w:spacing w:val="-8"/>
        </w:rPr>
        <w:t xml:space="preserve"> </w:t>
      </w:r>
      <w:r>
        <w:t>y</w:t>
      </w:r>
      <w:r>
        <w:rPr>
          <w:spacing w:val="-9"/>
        </w:rPr>
        <w:t xml:space="preserve"> </w:t>
      </w:r>
      <w:r>
        <w:t>de</w:t>
      </w:r>
      <w:r>
        <w:rPr>
          <w:spacing w:val="-8"/>
        </w:rPr>
        <w:t xml:space="preserve"> </w:t>
      </w:r>
      <w:r>
        <w:t>víctimas,</w:t>
      </w:r>
      <w:r>
        <w:rPr>
          <w:spacing w:val="-9"/>
        </w:rPr>
        <w:t xml:space="preserve"> </w:t>
      </w:r>
      <w:r>
        <w:t>quienes,</w:t>
      </w:r>
      <w:r>
        <w:rPr>
          <w:spacing w:val="-8"/>
        </w:rPr>
        <w:t xml:space="preserve"> </w:t>
      </w:r>
      <w:r>
        <w:t>por</w:t>
      </w:r>
      <w:r>
        <w:rPr>
          <w:spacing w:val="-9"/>
        </w:rPr>
        <w:t xml:space="preserve"> </w:t>
      </w:r>
      <w:r>
        <w:t>ejemplo,</w:t>
      </w:r>
      <w:r>
        <w:rPr>
          <w:spacing w:val="-8"/>
        </w:rPr>
        <w:t xml:space="preserve"> </w:t>
      </w:r>
      <w:r>
        <w:t>a</w:t>
      </w:r>
      <w:r>
        <w:rPr>
          <w:spacing w:val="-9"/>
        </w:rPr>
        <w:t xml:space="preserve"> </w:t>
      </w:r>
      <w:r>
        <w:t>través del litigio ante las altas cortes o el sistema interamericano de justicia, han creado espacios decisivos</w:t>
      </w:r>
      <w:r>
        <w:rPr>
          <w:spacing w:val="-9"/>
        </w:rPr>
        <w:t xml:space="preserve"> </w:t>
      </w:r>
      <w:r>
        <w:t>para</w:t>
      </w:r>
      <w:r>
        <w:rPr>
          <w:spacing w:val="-7"/>
        </w:rPr>
        <w:t xml:space="preserve"> </w:t>
      </w:r>
      <w:r>
        <w:t>garantizar</w:t>
      </w:r>
      <w:r>
        <w:rPr>
          <w:spacing w:val="-8"/>
        </w:rPr>
        <w:t xml:space="preserve"> </w:t>
      </w:r>
      <w:r>
        <w:t>la</w:t>
      </w:r>
      <w:r>
        <w:rPr>
          <w:spacing w:val="-7"/>
        </w:rPr>
        <w:t xml:space="preserve"> </w:t>
      </w:r>
      <w:r>
        <w:t>protección</w:t>
      </w:r>
      <w:r>
        <w:rPr>
          <w:spacing w:val="-7"/>
        </w:rPr>
        <w:t xml:space="preserve"> </w:t>
      </w:r>
      <w:r>
        <w:t>de</w:t>
      </w:r>
      <w:r>
        <w:rPr>
          <w:spacing w:val="-6"/>
        </w:rPr>
        <w:t xml:space="preserve"> </w:t>
      </w:r>
      <w:r>
        <w:t>los</w:t>
      </w:r>
      <w:r>
        <w:rPr>
          <w:spacing w:val="-7"/>
        </w:rPr>
        <w:t xml:space="preserve"> </w:t>
      </w:r>
      <w:r>
        <w:t>derechos</w:t>
      </w:r>
      <w:r>
        <w:rPr>
          <w:spacing w:val="-7"/>
        </w:rPr>
        <w:t xml:space="preserve"> </w:t>
      </w:r>
      <w:r>
        <w:t>humanos,</w:t>
      </w:r>
      <w:r>
        <w:rPr>
          <w:spacing w:val="-7"/>
        </w:rPr>
        <w:t xml:space="preserve"> </w:t>
      </w:r>
      <w:r>
        <w:t>visibilizar</w:t>
      </w:r>
      <w:r>
        <w:rPr>
          <w:spacing w:val="-7"/>
        </w:rPr>
        <w:t xml:space="preserve"> </w:t>
      </w:r>
      <w:r>
        <w:t>las</w:t>
      </w:r>
      <w:r>
        <w:rPr>
          <w:spacing w:val="-7"/>
        </w:rPr>
        <w:t xml:space="preserve"> </w:t>
      </w:r>
      <w:r>
        <w:t>violaciones</w:t>
      </w:r>
      <w:r>
        <w:rPr>
          <w:spacing w:val="-6"/>
        </w:rPr>
        <w:t xml:space="preserve"> </w:t>
      </w:r>
      <w:r>
        <w:rPr>
          <w:spacing w:val="-10"/>
        </w:rPr>
        <w:t>y</w:t>
      </w:r>
      <w:r w:rsidR="001F48F2">
        <w:rPr>
          <w:spacing w:val="-10"/>
        </w:rPr>
        <w:t xml:space="preserve"> </w:t>
      </w:r>
      <w:r>
        <w:t>colaborar</w:t>
      </w:r>
      <w:r>
        <w:rPr>
          <w:spacing w:val="-5"/>
        </w:rPr>
        <w:t xml:space="preserve"> </w:t>
      </w:r>
      <w:r>
        <w:t>en</w:t>
      </w:r>
      <w:r>
        <w:rPr>
          <w:spacing w:val="-5"/>
        </w:rPr>
        <w:t xml:space="preserve"> </w:t>
      </w:r>
      <w:r>
        <w:t>la</w:t>
      </w:r>
      <w:r>
        <w:rPr>
          <w:spacing w:val="-5"/>
        </w:rPr>
        <w:t xml:space="preserve"> </w:t>
      </w:r>
      <w:r>
        <w:t>construcción</w:t>
      </w:r>
      <w:r>
        <w:rPr>
          <w:spacing w:val="-5"/>
        </w:rPr>
        <w:t xml:space="preserve"> </w:t>
      </w:r>
      <w:r>
        <w:t>de</w:t>
      </w:r>
      <w:r>
        <w:rPr>
          <w:spacing w:val="-5"/>
        </w:rPr>
        <w:t xml:space="preserve"> </w:t>
      </w:r>
      <w:r>
        <w:t>normatividad</w:t>
      </w:r>
      <w:r>
        <w:rPr>
          <w:spacing w:val="-5"/>
        </w:rPr>
        <w:t xml:space="preserve"> </w:t>
      </w:r>
      <w:r>
        <w:t>que</w:t>
      </w:r>
      <w:r>
        <w:rPr>
          <w:spacing w:val="-5"/>
        </w:rPr>
        <w:t xml:space="preserve"> </w:t>
      </w:r>
      <w:r>
        <w:t>garantice</w:t>
      </w:r>
      <w:r>
        <w:rPr>
          <w:spacing w:val="-5"/>
        </w:rPr>
        <w:t xml:space="preserve"> </w:t>
      </w:r>
      <w:r>
        <w:t>la</w:t>
      </w:r>
      <w:r>
        <w:rPr>
          <w:spacing w:val="-5"/>
        </w:rPr>
        <w:t xml:space="preserve"> </w:t>
      </w:r>
      <w:r>
        <w:t>vigencia</w:t>
      </w:r>
      <w:r>
        <w:rPr>
          <w:spacing w:val="-4"/>
        </w:rPr>
        <w:t xml:space="preserve"> </w:t>
      </w:r>
      <w:r>
        <w:t>de</w:t>
      </w:r>
      <w:r>
        <w:rPr>
          <w:spacing w:val="-5"/>
        </w:rPr>
        <w:t xml:space="preserve"> </w:t>
      </w:r>
      <w:r>
        <w:t>la</w:t>
      </w:r>
      <w:r>
        <w:rPr>
          <w:spacing w:val="-4"/>
        </w:rPr>
        <w:t xml:space="preserve"> </w:t>
      </w:r>
      <w:r>
        <w:t>justicia</w:t>
      </w:r>
      <w:r>
        <w:rPr>
          <w:spacing w:val="-5"/>
        </w:rPr>
        <w:t xml:space="preserve"> </w:t>
      </w:r>
      <w:r>
        <w:t>para</w:t>
      </w:r>
      <w:r>
        <w:rPr>
          <w:spacing w:val="-4"/>
        </w:rPr>
        <w:t xml:space="preserve"> </w:t>
      </w:r>
      <w:r>
        <w:t>las víctimas, o incluso el reconocimiento del daño sufrido.</w:t>
      </w:r>
    </w:p>
    <w:p w:rsidR="003804AC" w:rsidRDefault="00AF18A5" w:rsidP="001F48F2">
      <w:r>
        <w:t>Estos impactos han afectado a movimientos sociales y sujetos colectivos, así como a comunidades y pueblos</w:t>
      </w:r>
      <w:r>
        <w:rPr>
          <w:spacing w:val="-2"/>
        </w:rPr>
        <w:t xml:space="preserve"> </w:t>
      </w:r>
      <w:r>
        <w:t>étnicos. En</w:t>
      </w:r>
      <w:r>
        <w:rPr>
          <w:spacing w:val="-1"/>
        </w:rPr>
        <w:t xml:space="preserve"> </w:t>
      </w:r>
      <w:r>
        <w:t>estos casos,</w:t>
      </w:r>
      <w:r>
        <w:rPr>
          <w:spacing w:val="-1"/>
        </w:rPr>
        <w:t xml:space="preserve"> </w:t>
      </w:r>
      <w:r>
        <w:t>las afectaciones específicas se vinculan con los impactos en su relación con el territorio o la naturaleza, y los distintos significados que adquieren</w:t>
      </w:r>
      <w:r>
        <w:rPr>
          <w:spacing w:val="-11"/>
        </w:rPr>
        <w:t xml:space="preserve"> </w:t>
      </w:r>
      <w:r>
        <w:t>los</w:t>
      </w:r>
      <w:r>
        <w:rPr>
          <w:spacing w:val="-11"/>
        </w:rPr>
        <w:t xml:space="preserve"> </w:t>
      </w:r>
      <w:r>
        <w:t>hechos</w:t>
      </w:r>
      <w:r>
        <w:rPr>
          <w:spacing w:val="-11"/>
        </w:rPr>
        <w:t xml:space="preserve"> </w:t>
      </w:r>
      <w:r>
        <w:t>en</w:t>
      </w:r>
      <w:r>
        <w:rPr>
          <w:spacing w:val="-11"/>
        </w:rPr>
        <w:t xml:space="preserve"> </w:t>
      </w:r>
      <w:r>
        <w:t>su</w:t>
      </w:r>
      <w:r>
        <w:rPr>
          <w:spacing w:val="-11"/>
        </w:rPr>
        <w:t xml:space="preserve"> </w:t>
      </w:r>
      <w:r>
        <w:t>cultura.</w:t>
      </w:r>
      <w:r>
        <w:rPr>
          <w:spacing w:val="-11"/>
        </w:rPr>
        <w:t xml:space="preserve"> </w:t>
      </w:r>
      <w:r>
        <w:t>La</w:t>
      </w:r>
      <w:r>
        <w:rPr>
          <w:spacing w:val="-11"/>
        </w:rPr>
        <w:t xml:space="preserve"> </w:t>
      </w:r>
      <w:r>
        <w:t>muerte</w:t>
      </w:r>
      <w:r>
        <w:rPr>
          <w:spacing w:val="-11"/>
        </w:rPr>
        <w:t xml:space="preserve"> </w:t>
      </w:r>
      <w:r>
        <w:t>violenta</w:t>
      </w:r>
      <w:r>
        <w:rPr>
          <w:spacing w:val="-11"/>
        </w:rPr>
        <w:t xml:space="preserve"> </w:t>
      </w:r>
      <w:r>
        <w:t>de</w:t>
      </w:r>
      <w:r>
        <w:rPr>
          <w:spacing w:val="-11"/>
        </w:rPr>
        <w:t xml:space="preserve"> </w:t>
      </w:r>
      <w:r>
        <w:t>un</w:t>
      </w:r>
      <w:r>
        <w:rPr>
          <w:spacing w:val="-11"/>
        </w:rPr>
        <w:t xml:space="preserve"> </w:t>
      </w:r>
      <w:r>
        <w:t>chamán</w:t>
      </w:r>
      <w:r>
        <w:rPr>
          <w:spacing w:val="-11"/>
        </w:rPr>
        <w:t xml:space="preserve"> </w:t>
      </w:r>
      <w:r>
        <w:t>o</w:t>
      </w:r>
      <w:r>
        <w:rPr>
          <w:spacing w:val="-11"/>
        </w:rPr>
        <w:t xml:space="preserve"> </w:t>
      </w:r>
      <w:r>
        <w:t>un</w:t>
      </w:r>
      <w:r>
        <w:rPr>
          <w:spacing w:val="-11"/>
        </w:rPr>
        <w:t xml:space="preserve"> </w:t>
      </w:r>
      <w:r>
        <w:t>médico</w:t>
      </w:r>
      <w:r>
        <w:rPr>
          <w:spacing w:val="-11"/>
        </w:rPr>
        <w:t xml:space="preserve"> </w:t>
      </w:r>
      <w:r>
        <w:t>tradicional supone</w:t>
      </w:r>
      <w:r>
        <w:rPr>
          <w:spacing w:val="-4"/>
        </w:rPr>
        <w:t xml:space="preserve"> </w:t>
      </w:r>
      <w:r>
        <w:t>un</w:t>
      </w:r>
      <w:r>
        <w:rPr>
          <w:spacing w:val="-5"/>
        </w:rPr>
        <w:t xml:space="preserve"> </w:t>
      </w:r>
      <w:r>
        <w:t>enorme</w:t>
      </w:r>
      <w:r>
        <w:rPr>
          <w:spacing w:val="-4"/>
        </w:rPr>
        <w:t xml:space="preserve"> </w:t>
      </w:r>
      <w:r>
        <w:t>impacto</w:t>
      </w:r>
      <w:r>
        <w:rPr>
          <w:spacing w:val="-5"/>
        </w:rPr>
        <w:t xml:space="preserve"> </w:t>
      </w:r>
      <w:r>
        <w:t>colectivo,</w:t>
      </w:r>
      <w:r>
        <w:rPr>
          <w:spacing w:val="-5"/>
        </w:rPr>
        <w:t xml:space="preserve"> </w:t>
      </w:r>
      <w:r>
        <w:t>pero</w:t>
      </w:r>
      <w:r>
        <w:rPr>
          <w:spacing w:val="-5"/>
        </w:rPr>
        <w:t xml:space="preserve"> </w:t>
      </w:r>
      <w:r>
        <w:t>también</w:t>
      </w:r>
      <w:r>
        <w:rPr>
          <w:spacing w:val="-5"/>
        </w:rPr>
        <w:t xml:space="preserve"> </w:t>
      </w:r>
      <w:r>
        <w:t>amenaza</w:t>
      </w:r>
      <w:r>
        <w:rPr>
          <w:spacing w:val="-6"/>
        </w:rPr>
        <w:t xml:space="preserve"> </w:t>
      </w:r>
      <w:r>
        <w:t>la</w:t>
      </w:r>
      <w:r>
        <w:rPr>
          <w:spacing w:val="-4"/>
        </w:rPr>
        <w:t xml:space="preserve"> </w:t>
      </w:r>
      <w:r>
        <w:t>posibilidad</w:t>
      </w:r>
      <w:r>
        <w:rPr>
          <w:spacing w:val="-5"/>
        </w:rPr>
        <w:t xml:space="preserve"> </w:t>
      </w:r>
      <w:r>
        <w:t>de</w:t>
      </w:r>
      <w:r>
        <w:rPr>
          <w:spacing w:val="-4"/>
        </w:rPr>
        <w:t xml:space="preserve"> </w:t>
      </w:r>
      <w:r>
        <w:t>supervivencia comunitaria.</w:t>
      </w:r>
      <w:r>
        <w:rPr>
          <w:spacing w:val="-1"/>
        </w:rPr>
        <w:t xml:space="preserve"> </w:t>
      </w:r>
      <w:r>
        <w:t xml:space="preserve">La </w:t>
      </w:r>
      <w:r>
        <w:lastRenderedPageBreak/>
        <w:t>violencia contra el</w:t>
      </w:r>
      <w:r>
        <w:rPr>
          <w:spacing w:val="-1"/>
        </w:rPr>
        <w:t xml:space="preserve"> </w:t>
      </w:r>
      <w:r>
        <w:t>movimiento</w:t>
      </w:r>
      <w:r>
        <w:rPr>
          <w:spacing w:val="-1"/>
        </w:rPr>
        <w:t xml:space="preserve"> </w:t>
      </w:r>
      <w:r>
        <w:t>campesino llevó al despojo de tierras,</w:t>
      </w:r>
      <w:r>
        <w:rPr>
          <w:spacing w:val="-1"/>
        </w:rPr>
        <w:t xml:space="preserve"> </w:t>
      </w:r>
      <w:r>
        <w:t>de su identidad organizativa en el caso de la Asociación Nacional de Usuarios Campesinos (ANUC), de sus formas de subsistencia con cambios en sus dinámicas productivas o búsqueda de alternativas en los cultivos de coca, con consecuencias no solo para ese sector social, sino para toda la sociedad. El uso de comunidades indígenas como escudo o retaguardia,</w:t>
      </w:r>
      <w:r>
        <w:rPr>
          <w:spacing w:val="-8"/>
        </w:rPr>
        <w:t xml:space="preserve"> </w:t>
      </w:r>
      <w:r>
        <w:t>el</w:t>
      </w:r>
      <w:r>
        <w:rPr>
          <w:spacing w:val="-7"/>
        </w:rPr>
        <w:t xml:space="preserve"> </w:t>
      </w:r>
      <w:r>
        <w:t>reclutamiento</w:t>
      </w:r>
      <w:r>
        <w:rPr>
          <w:spacing w:val="-7"/>
        </w:rPr>
        <w:t xml:space="preserve"> </w:t>
      </w:r>
      <w:r>
        <w:t>de</w:t>
      </w:r>
      <w:r>
        <w:rPr>
          <w:spacing w:val="-7"/>
        </w:rPr>
        <w:t xml:space="preserve"> </w:t>
      </w:r>
      <w:r>
        <w:t>jóvenes</w:t>
      </w:r>
      <w:r>
        <w:rPr>
          <w:spacing w:val="-7"/>
        </w:rPr>
        <w:t xml:space="preserve"> </w:t>
      </w:r>
      <w:r>
        <w:t>con</w:t>
      </w:r>
      <w:r>
        <w:rPr>
          <w:spacing w:val="-7"/>
        </w:rPr>
        <w:t xml:space="preserve"> </w:t>
      </w:r>
      <w:r>
        <w:t>impacto</w:t>
      </w:r>
      <w:r>
        <w:rPr>
          <w:spacing w:val="-7"/>
        </w:rPr>
        <w:t xml:space="preserve"> </w:t>
      </w:r>
      <w:r>
        <w:t>en</w:t>
      </w:r>
      <w:r>
        <w:rPr>
          <w:spacing w:val="-7"/>
        </w:rPr>
        <w:t xml:space="preserve"> </w:t>
      </w:r>
      <w:r>
        <w:t>la</w:t>
      </w:r>
      <w:r>
        <w:rPr>
          <w:spacing w:val="-7"/>
        </w:rPr>
        <w:t xml:space="preserve"> </w:t>
      </w:r>
      <w:r>
        <w:t>transmisión</w:t>
      </w:r>
      <w:r>
        <w:rPr>
          <w:spacing w:val="-7"/>
        </w:rPr>
        <w:t xml:space="preserve"> </w:t>
      </w:r>
      <w:r>
        <w:t>cultural,</w:t>
      </w:r>
      <w:r>
        <w:rPr>
          <w:spacing w:val="-7"/>
        </w:rPr>
        <w:t xml:space="preserve"> </w:t>
      </w:r>
      <w:r>
        <w:t>el</w:t>
      </w:r>
      <w:r>
        <w:rPr>
          <w:spacing w:val="-7"/>
        </w:rPr>
        <w:t xml:space="preserve"> </w:t>
      </w:r>
      <w:r>
        <w:t>control</w:t>
      </w:r>
      <w:r>
        <w:rPr>
          <w:spacing w:val="-7"/>
        </w:rPr>
        <w:t xml:space="preserve"> </w:t>
      </w:r>
      <w:r>
        <w:t xml:space="preserve">de sus actividades y movimientos, el desplazamiento forzado o el confinamiento de comunidades afrodescendientes se expresan no solo en las estadísticas de los hechos, sino también en cambios culturales. Los suicidios, especialmente entre los jóvenes en distintos grupos étnicos, son expresión de sufrimiento social y no solo problemas o reacciones </w:t>
      </w:r>
      <w:r>
        <w:rPr>
          <w:spacing w:val="-2"/>
        </w:rPr>
        <w:t>individuales.</w:t>
      </w:r>
    </w:p>
    <w:p w:rsidR="003804AC" w:rsidRDefault="00AF18A5" w:rsidP="001F48F2">
      <w:r>
        <w:t>Por su parte, el exterminio de grupos políticos y partidos de oposición, especialmente a partir de los años ochenta, a pesar de ser evidentes, se negaron o se vieron como algo inevitable y justificable, o se miró para otro lado cuando aconteció. Su consecuencia es el miedo</w:t>
      </w:r>
      <w:r>
        <w:rPr>
          <w:spacing w:val="-13"/>
        </w:rPr>
        <w:t xml:space="preserve"> </w:t>
      </w:r>
      <w:r>
        <w:t>a</w:t>
      </w:r>
      <w:r>
        <w:rPr>
          <w:spacing w:val="-12"/>
        </w:rPr>
        <w:t xml:space="preserve"> </w:t>
      </w:r>
      <w:r>
        <w:t>organizarse</w:t>
      </w:r>
      <w:r>
        <w:rPr>
          <w:spacing w:val="-12"/>
        </w:rPr>
        <w:t xml:space="preserve"> </w:t>
      </w:r>
      <w:r>
        <w:t>o</w:t>
      </w:r>
      <w:r>
        <w:rPr>
          <w:spacing w:val="-13"/>
        </w:rPr>
        <w:t xml:space="preserve"> </w:t>
      </w:r>
      <w:r>
        <w:t>el</w:t>
      </w:r>
      <w:r>
        <w:rPr>
          <w:spacing w:val="-13"/>
        </w:rPr>
        <w:t xml:space="preserve"> </w:t>
      </w:r>
      <w:r>
        <w:t>refugio</w:t>
      </w:r>
      <w:r>
        <w:rPr>
          <w:spacing w:val="-12"/>
        </w:rPr>
        <w:t xml:space="preserve"> </w:t>
      </w:r>
      <w:r>
        <w:t>en</w:t>
      </w:r>
      <w:r>
        <w:rPr>
          <w:spacing w:val="-12"/>
        </w:rPr>
        <w:t xml:space="preserve"> </w:t>
      </w:r>
      <w:r>
        <w:t>grupos</w:t>
      </w:r>
      <w:r>
        <w:rPr>
          <w:spacing w:val="-12"/>
        </w:rPr>
        <w:t xml:space="preserve"> </w:t>
      </w:r>
      <w:r>
        <w:t>de</w:t>
      </w:r>
      <w:r>
        <w:rPr>
          <w:spacing w:val="-13"/>
        </w:rPr>
        <w:t xml:space="preserve"> </w:t>
      </w:r>
      <w:r>
        <w:t>referencia</w:t>
      </w:r>
      <w:r>
        <w:rPr>
          <w:spacing w:val="-12"/>
        </w:rPr>
        <w:t xml:space="preserve"> </w:t>
      </w:r>
      <w:r>
        <w:t>en</w:t>
      </w:r>
      <w:r>
        <w:rPr>
          <w:spacing w:val="-13"/>
        </w:rPr>
        <w:t xml:space="preserve"> </w:t>
      </w:r>
      <w:r>
        <w:t>los</w:t>
      </w:r>
      <w:r>
        <w:rPr>
          <w:spacing w:val="-12"/>
        </w:rPr>
        <w:t xml:space="preserve"> </w:t>
      </w:r>
      <w:r>
        <w:t>que</w:t>
      </w:r>
      <w:r>
        <w:rPr>
          <w:spacing w:val="-12"/>
        </w:rPr>
        <w:t xml:space="preserve"> </w:t>
      </w:r>
      <w:r>
        <w:t>se</w:t>
      </w:r>
      <w:r>
        <w:rPr>
          <w:spacing w:val="-13"/>
        </w:rPr>
        <w:t xml:space="preserve"> </w:t>
      </w:r>
      <w:r>
        <w:t>mantiene</w:t>
      </w:r>
      <w:r>
        <w:rPr>
          <w:spacing w:val="-13"/>
        </w:rPr>
        <w:t xml:space="preserve"> </w:t>
      </w:r>
      <w:r>
        <w:t>una</w:t>
      </w:r>
      <w:r>
        <w:rPr>
          <w:spacing w:val="-13"/>
        </w:rPr>
        <w:t xml:space="preserve"> </w:t>
      </w:r>
      <w:r>
        <w:t>identidad colectiva, o bien han llevado a dejar esas actividades como mecanismo de protección. También esto ha tenido profundos efectos en la falta de posibilidades de su ejercicio e impactos en la democracia.</w:t>
      </w:r>
    </w:p>
    <w:p w:rsidR="003804AC" w:rsidRDefault="00AF18A5" w:rsidP="001F48F2">
      <w:r>
        <w:t>En otros casos, la amenaza o la extorsión a sectores empresariales crearon una respuesta de autoprotección y evitación en una élite aislada de otras partes de la sociedad o encerrada entre sus muros. Las afectaciones a miembros de las Fuerzas Armadas –por ejemplo, en los casos</w:t>
      </w:r>
      <w:r>
        <w:rPr>
          <w:spacing w:val="11"/>
        </w:rPr>
        <w:t xml:space="preserve"> </w:t>
      </w:r>
      <w:r>
        <w:t>de</w:t>
      </w:r>
      <w:r>
        <w:rPr>
          <w:spacing w:val="13"/>
        </w:rPr>
        <w:t xml:space="preserve"> </w:t>
      </w:r>
      <w:r>
        <w:t>muertes</w:t>
      </w:r>
      <w:r>
        <w:rPr>
          <w:spacing w:val="13"/>
        </w:rPr>
        <w:t xml:space="preserve"> </w:t>
      </w:r>
      <w:r>
        <w:t>violentas</w:t>
      </w:r>
      <w:r>
        <w:rPr>
          <w:spacing w:val="13"/>
        </w:rPr>
        <w:t xml:space="preserve"> </w:t>
      </w:r>
      <w:r>
        <w:t>y</w:t>
      </w:r>
      <w:r>
        <w:rPr>
          <w:spacing w:val="14"/>
        </w:rPr>
        <w:t xml:space="preserve"> </w:t>
      </w:r>
      <w:r>
        <w:t>víctimas</w:t>
      </w:r>
      <w:r>
        <w:rPr>
          <w:spacing w:val="14"/>
        </w:rPr>
        <w:t xml:space="preserve"> </w:t>
      </w:r>
      <w:r>
        <w:t>de</w:t>
      </w:r>
      <w:r>
        <w:rPr>
          <w:spacing w:val="13"/>
        </w:rPr>
        <w:t xml:space="preserve"> </w:t>
      </w:r>
      <w:r>
        <w:t>minas</w:t>
      </w:r>
      <w:r>
        <w:rPr>
          <w:spacing w:val="14"/>
        </w:rPr>
        <w:t xml:space="preserve"> </w:t>
      </w:r>
      <w:r>
        <w:t>con</w:t>
      </w:r>
      <w:r>
        <w:rPr>
          <w:spacing w:val="14"/>
        </w:rPr>
        <w:t xml:space="preserve"> </w:t>
      </w:r>
      <w:r>
        <w:t>consecuencias</w:t>
      </w:r>
      <w:r>
        <w:rPr>
          <w:spacing w:val="13"/>
        </w:rPr>
        <w:t xml:space="preserve"> </w:t>
      </w:r>
      <w:r>
        <w:t>de</w:t>
      </w:r>
      <w:r>
        <w:rPr>
          <w:spacing w:val="13"/>
        </w:rPr>
        <w:t xml:space="preserve"> </w:t>
      </w:r>
      <w:r>
        <w:t>discapacidad,</w:t>
      </w:r>
      <w:r>
        <w:rPr>
          <w:spacing w:val="14"/>
        </w:rPr>
        <w:t xml:space="preserve"> </w:t>
      </w:r>
      <w:r>
        <w:t>por</w:t>
      </w:r>
      <w:r>
        <w:rPr>
          <w:spacing w:val="15"/>
        </w:rPr>
        <w:t xml:space="preserve"> </w:t>
      </w:r>
      <w:r>
        <w:rPr>
          <w:spacing w:val="-5"/>
        </w:rPr>
        <w:t>lo</w:t>
      </w:r>
      <w:r w:rsidR="001F48F2">
        <w:rPr>
          <w:spacing w:val="-5"/>
        </w:rPr>
        <w:t xml:space="preserve"> </w:t>
      </w:r>
      <w:r>
        <w:t>cual</w:t>
      </w:r>
      <w:r>
        <w:rPr>
          <w:spacing w:val="-4"/>
        </w:rPr>
        <w:t xml:space="preserve"> </w:t>
      </w:r>
      <w:r>
        <w:t>hoy</w:t>
      </w:r>
      <w:r>
        <w:rPr>
          <w:spacing w:val="-5"/>
        </w:rPr>
        <w:t xml:space="preserve"> </w:t>
      </w:r>
      <w:r>
        <w:t>miles</w:t>
      </w:r>
      <w:r>
        <w:rPr>
          <w:spacing w:val="-5"/>
        </w:rPr>
        <w:t xml:space="preserve"> </w:t>
      </w:r>
      <w:r>
        <w:t>de</w:t>
      </w:r>
      <w:r>
        <w:rPr>
          <w:spacing w:val="-5"/>
        </w:rPr>
        <w:t xml:space="preserve"> </w:t>
      </w:r>
      <w:r>
        <w:t>víctimas</w:t>
      </w:r>
      <w:r>
        <w:rPr>
          <w:spacing w:val="-5"/>
        </w:rPr>
        <w:t xml:space="preserve"> </w:t>
      </w:r>
      <w:r>
        <w:t>integrantes</w:t>
      </w:r>
      <w:r>
        <w:rPr>
          <w:spacing w:val="-5"/>
        </w:rPr>
        <w:t xml:space="preserve"> </w:t>
      </w:r>
      <w:r>
        <w:t>de</w:t>
      </w:r>
      <w:r>
        <w:rPr>
          <w:spacing w:val="-5"/>
        </w:rPr>
        <w:t xml:space="preserve"> </w:t>
      </w:r>
      <w:r>
        <w:t>las</w:t>
      </w:r>
      <w:r>
        <w:rPr>
          <w:spacing w:val="-5"/>
        </w:rPr>
        <w:t xml:space="preserve"> </w:t>
      </w:r>
      <w:r>
        <w:t>fuerzas</w:t>
      </w:r>
      <w:r>
        <w:rPr>
          <w:spacing w:val="-5"/>
        </w:rPr>
        <w:t xml:space="preserve"> </w:t>
      </w:r>
      <w:r>
        <w:t>de</w:t>
      </w:r>
      <w:r>
        <w:rPr>
          <w:spacing w:val="-5"/>
        </w:rPr>
        <w:t xml:space="preserve"> </w:t>
      </w:r>
      <w:r>
        <w:t>seguridad</w:t>
      </w:r>
      <w:r>
        <w:rPr>
          <w:spacing w:val="-5"/>
        </w:rPr>
        <w:t xml:space="preserve"> </w:t>
      </w:r>
      <w:r>
        <w:t>y</w:t>
      </w:r>
      <w:r>
        <w:rPr>
          <w:spacing w:val="-5"/>
        </w:rPr>
        <w:t xml:space="preserve"> </w:t>
      </w:r>
      <w:r>
        <w:t>de</w:t>
      </w:r>
      <w:r>
        <w:rPr>
          <w:spacing w:val="-5"/>
        </w:rPr>
        <w:t xml:space="preserve"> </w:t>
      </w:r>
      <w:r>
        <w:t>población</w:t>
      </w:r>
      <w:r>
        <w:rPr>
          <w:spacing w:val="-5"/>
        </w:rPr>
        <w:t xml:space="preserve"> </w:t>
      </w:r>
      <w:r>
        <w:t>civil</w:t>
      </w:r>
      <w:r>
        <w:rPr>
          <w:spacing w:val="-6"/>
        </w:rPr>
        <w:t xml:space="preserve"> </w:t>
      </w:r>
      <w:r>
        <w:t xml:space="preserve">viven las penosas secuelas en </w:t>
      </w:r>
      <w:r>
        <w:lastRenderedPageBreak/>
        <w:t xml:space="preserve">sus vidas– son parte del sufrimiento colectivo que Colombia tiene que reconocer. También familiares de miembros de grupos guerrilleros fueron frecuentemente perseguidos como si hubieran cometido delitos «de sangre». En todos ellos se dio una falta de reconocimiento por parte de la sociedad o de los responsables hacia esas </w:t>
      </w:r>
      <w:r>
        <w:rPr>
          <w:spacing w:val="-2"/>
        </w:rPr>
        <w:t>afectaciones.</w:t>
      </w:r>
    </w:p>
    <w:p w:rsidR="003804AC" w:rsidRDefault="00AF18A5" w:rsidP="001F48F2">
      <w:r>
        <w:rPr>
          <w:color w:val="000009"/>
        </w:rPr>
        <w:t>En</w:t>
      </w:r>
      <w:r>
        <w:rPr>
          <w:color w:val="000009"/>
          <w:spacing w:val="-5"/>
        </w:rPr>
        <w:t xml:space="preserve"> </w:t>
      </w:r>
      <w:r>
        <w:rPr>
          <w:color w:val="000009"/>
        </w:rPr>
        <w:t>los</w:t>
      </w:r>
      <w:r>
        <w:rPr>
          <w:color w:val="000009"/>
          <w:spacing w:val="-5"/>
        </w:rPr>
        <w:t xml:space="preserve"> </w:t>
      </w:r>
      <w:r>
        <w:rPr>
          <w:color w:val="000009"/>
        </w:rPr>
        <w:t>momentos</w:t>
      </w:r>
      <w:r>
        <w:rPr>
          <w:color w:val="000009"/>
          <w:spacing w:val="-5"/>
        </w:rPr>
        <w:t xml:space="preserve"> </w:t>
      </w:r>
      <w:r>
        <w:rPr>
          <w:color w:val="000009"/>
        </w:rPr>
        <w:t>de</w:t>
      </w:r>
      <w:r>
        <w:rPr>
          <w:color w:val="000009"/>
          <w:spacing w:val="-6"/>
        </w:rPr>
        <w:t xml:space="preserve"> </w:t>
      </w:r>
      <w:r>
        <w:rPr>
          <w:color w:val="000009"/>
        </w:rPr>
        <w:t>mayor</w:t>
      </w:r>
      <w:r>
        <w:rPr>
          <w:color w:val="000009"/>
          <w:spacing w:val="-5"/>
        </w:rPr>
        <w:t xml:space="preserve"> </w:t>
      </w:r>
      <w:r>
        <w:rPr>
          <w:color w:val="000009"/>
        </w:rPr>
        <w:t>extensión</w:t>
      </w:r>
      <w:r>
        <w:rPr>
          <w:color w:val="000009"/>
          <w:spacing w:val="-5"/>
        </w:rPr>
        <w:t xml:space="preserve"> </w:t>
      </w:r>
      <w:r>
        <w:rPr>
          <w:color w:val="000009"/>
        </w:rPr>
        <w:t>de</w:t>
      </w:r>
      <w:r>
        <w:rPr>
          <w:color w:val="000009"/>
          <w:spacing w:val="-5"/>
        </w:rPr>
        <w:t xml:space="preserve"> </w:t>
      </w:r>
      <w:r>
        <w:rPr>
          <w:color w:val="000009"/>
        </w:rPr>
        <w:t>la</w:t>
      </w:r>
      <w:r>
        <w:rPr>
          <w:color w:val="000009"/>
          <w:spacing w:val="-5"/>
        </w:rPr>
        <w:t xml:space="preserve"> </w:t>
      </w:r>
      <w:r>
        <w:rPr>
          <w:color w:val="000009"/>
        </w:rPr>
        <w:t>guerra,</w:t>
      </w:r>
      <w:r>
        <w:rPr>
          <w:color w:val="000009"/>
          <w:spacing w:val="-5"/>
        </w:rPr>
        <w:t xml:space="preserve"> </w:t>
      </w:r>
      <w:r>
        <w:rPr>
          <w:color w:val="000009"/>
        </w:rPr>
        <w:t>las</w:t>
      </w:r>
      <w:r>
        <w:rPr>
          <w:color w:val="000009"/>
          <w:spacing w:val="-5"/>
        </w:rPr>
        <w:t xml:space="preserve"> </w:t>
      </w:r>
      <w:r>
        <w:rPr>
          <w:color w:val="000009"/>
        </w:rPr>
        <w:t>organizaciones</w:t>
      </w:r>
      <w:r>
        <w:rPr>
          <w:color w:val="000009"/>
          <w:spacing w:val="-5"/>
        </w:rPr>
        <w:t xml:space="preserve"> </w:t>
      </w:r>
      <w:r>
        <w:rPr>
          <w:color w:val="000009"/>
        </w:rPr>
        <w:t>de</w:t>
      </w:r>
      <w:r>
        <w:rPr>
          <w:color w:val="000009"/>
          <w:spacing w:val="-6"/>
        </w:rPr>
        <w:t xml:space="preserve"> </w:t>
      </w:r>
      <w:r>
        <w:rPr>
          <w:color w:val="000009"/>
        </w:rPr>
        <w:t>la</w:t>
      </w:r>
      <w:r>
        <w:rPr>
          <w:color w:val="000009"/>
          <w:spacing w:val="-5"/>
        </w:rPr>
        <w:t xml:space="preserve"> </w:t>
      </w:r>
      <w:r>
        <w:rPr>
          <w:color w:val="000009"/>
        </w:rPr>
        <w:t>sociedad</w:t>
      </w:r>
      <w:r>
        <w:rPr>
          <w:color w:val="000009"/>
          <w:spacing w:val="-6"/>
        </w:rPr>
        <w:t xml:space="preserve"> </w:t>
      </w:r>
      <w:r>
        <w:rPr>
          <w:color w:val="000009"/>
        </w:rPr>
        <w:t>civil se</w:t>
      </w:r>
      <w:r>
        <w:rPr>
          <w:color w:val="000009"/>
          <w:spacing w:val="-4"/>
        </w:rPr>
        <w:t xml:space="preserve"> </w:t>
      </w:r>
      <w:r>
        <w:rPr>
          <w:color w:val="000009"/>
        </w:rPr>
        <w:t>han</w:t>
      </w:r>
      <w:r>
        <w:rPr>
          <w:color w:val="000009"/>
          <w:spacing w:val="-5"/>
        </w:rPr>
        <w:t xml:space="preserve"> </w:t>
      </w:r>
      <w:r>
        <w:rPr>
          <w:color w:val="000009"/>
        </w:rPr>
        <w:t>mantenido</w:t>
      </w:r>
      <w:r>
        <w:rPr>
          <w:color w:val="000009"/>
          <w:spacing w:val="-4"/>
        </w:rPr>
        <w:t xml:space="preserve"> </w:t>
      </w:r>
      <w:r>
        <w:rPr>
          <w:color w:val="000009"/>
        </w:rPr>
        <w:t>activas</w:t>
      </w:r>
      <w:r>
        <w:rPr>
          <w:color w:val="000009"/>
          <w:spacing w:val="-4"/>
        </w:rPr>
        <w:t xml:space="preserve"> </w:t>
      </w:r>
      <w:r>
        <w:rPr>
          <w:color w:val="000009"/>
        </w:rPr>
        <w:t>y</w:t>
      </w:r>
      <w:r>
        <w:rPr>
          <w:color w:val="000009"/>
          <w:spacing w:val="-4"/>
        </w:rPr>
        <w:t xml:space="preserve"> </w:t>
      </w:r>
      <w:r>
        <w:rPr>
          <w:color w:val="000009"/>
        </w:rPr>
        <w:t>los</w:t>
      </w:r>
      <w:r>
        <w:rPr>
          <w:color w:val="000009"/>
          <w:spacing w:val="-5"/>
        </w:rPr>
        <w:t xml:space="preserve"> </w:t>
      </w:r>
      <w:r>
        <w:rPr>
          <w:color w:val="000009"/>
        </w:rPr>
        <w:t>mayores</w:t>
      </w:r>
      <w:r>
        <w:rPr>
          <w:color w:val="000009"/>
          <w:spacing w:val="-3"/>
        </w:rPr>
        <w:t xml:space="preserve"> </w:t>
      </w:r>
      <w:r>
        <w:rPr>
          <w:color w:val="000009"/>
        </w:rPr>
        <w:t>aportes</w:t>
      </w:r>
      <w:r>
        <w:rPr>
          <w:color w:val="000009"/>
          <w:spacing w:val="-4"/>
        </w:rPr>
        <w:t xml:space="preserve"> </w:t>
      </w:r>
      <w:r>
        <w:rPr>
          <w:color w:val="000009"/>
        </w:rPr>
        <w:t>para</w:t>
      </w:r>
      <w:r>
        <w:rPr>
          <w:color w:val="000009"/>
          <w:spacing w:val="-5"/>
        </w:rPr>
        <w:t xml:space="preserve"> </w:t>
      </w:r>
      <w:r>
        <w:rPr>
          <w:color w:val="000009"/>
        </w:rPr>
        <w:t>la</w:t>
      </w:r>
      <w:r>
        <w:rPr>
          <w:color w:val="000009"/>
          <w:spacing w:val="-3"/>
        </w:rPr>
        <w:t xml:space="preserve"> </w:t>
      </w:r>
      <w:r>
        <w:rPr>
          <w:color w:val="000009"/>
        </w:rPr>
        <w:t>construcción</w:t>
      </w:r>
      <w:r>
        <w:rPr>
          <w:color w:val="000009"/>
          <w:spacing w:val="-4"/>
        </w:rPr>
        <w:t xml:space="preserve"> </w:t>
      </w:r>
      <w:r>
        <w:rPr>
          <w:color w:val="000009"/>
        </w:rPr>
        <w:t>de</w:t>
      </w:r>
      <w:r>
        <w:rPr>
          <w:color w:val="000009"/>
          <w:spacing w:val="-5"/>
        </w:rPr>
        <w:t xml:space="preserve"> </w:t>
      </w:r>
      <w:r>
        <w:rPr>
          <w:color w:val="000009"/>
        </w:rPr>
        <w:t>la</w:t>
      </w:r>
      <w:r>
        <w:rPr>
          <w:color w:val="000009"/>
          <w:spacing w:val="-6"/>
        </w:rPr>
        <w:t xml:space="preserve"> </w:t>
      </w:r>
      <w:r>
        <w:rPr>
          <w:color w:val="000009"/>
        </w:rPr>
        <w:t>paz</w:t>
      </w:r>
      <w:r>
        <w:rPr>
          <w:color w:val="000009"/>
          <w:spacing w:val="-3"/>
        </w:rPr>
        <w:t xml:space="preserve"> </w:t>
      </w:r>
      <w:r>
        <w:rPr>
          <w:color w:val="000009"/>
        </w:rPr>
        <w:t>han</w:t>
      </w:r>
      <w:r>
        <w:rPr>
          <w:color w:val="000009"/>
          <w:spacing w:val="-4"/>
        </w:rPr>
        <w:t xml:space="preserve"> </w:t>
      </w:r>
      <w:r>
        <w:rPr>
          <w:color w:val="000009"/>
        </w:rPr>
        <w:t>venido</w:t>
      </w:r>
      <w:r>
        <w:rPr>
          <w:color w:val="000009"/>
          <w:spacing w:val="-4"/>
        </w:rPr>
        <w:t xml:space="preserve"> </w:t>
      </w:r>
      <w:r>
        <w:rPr>
          <w:color w:val="000009"/>
        </w:rPr>
        <w:t>de las experiencias propiciadas por sus actividades. La defensa de espacios colectivos civiles aun en medio de la agudización del conflicto armado, las denuncias y la búsqueda de las personas desaparecidas, las movilizaciones contra el secuestro de las guerrillas como las FARC-EP –expresiones de reclamo y exigencia desde diferentes sectores de la sociedad y, en particular, de las víctimas– constituyen muestras de una parte de la sociedad que no se conforma con ver pasar silenciosamente la historia a su lado, sino que quiere tomar parte activa en ella y cambiarla.</w:t>
      </w:r>
    </w:p>
    <w:p w:rsidR="003804AC" w:rsidRDefault="00AF18A5" w:rsidP="001F48F2">
      <w:r>
        <w:rPr>
          <w:color w:val="000009"/>
        </w:rPr>
        <w:t>Sin</w:t>
      </w:r>
      <w:r>
        <w:rPr>
          <w:color w:val="000009"/>
          <w:spacing w:val="-5"/>
        </w:rPr>
        <w:t xml:space="preserve"> </w:t>
      </w:r>
      <w:r>
        <w:rPr>
          <w:color w:val="000009"/>
        </w:rPr>
        <w:t>embargo,</w:t>
      </w:r>
      <w:r>
        <w:rPr>
          <w:color w:val="000009"/>
          <w:spacing w:val="-5"/>
        </w:rPr>
        <w:t xml:space="preserve"> </w:t>
      </w:r>
      <w:r>
        <w:rPr>
          <w:color w:val="000009"/>
        </w:rPr>
        <w:t>a</w:t>
      </w:r>
      <w:r>
        <w:rPr>
          <w:color w:val="000009"/>
          <w:spacing w:val="-5"/>
        </w:rPr>
        <w:t xml:space="preserve"> </w:t>
      </w:r>
      <w:r>
        <w:rPr>
          <w:color w:val="000009"/>
        </w:rPr>
        <w:t>pesar</w:t>
      </w:r>
      <w:r>
        <w:rPr>
          <w:color w:val="000009"/>
          <w:spacing w:val="-4"/>
        </w:rPr>
        <w:t xml:space="preserve"> </w:t>
      </w:r>
      <w:r>
        <w:rPr>
          <w:color w:val="000009"/>
        </w:rPr>
        <w:t>de</w:t>
      </w:r>
      <w:r>
        <w:rPr>
          <w:color w:val="000009"/>
          <w:spacing w:val="-6"/>
        </w:rPr>
        <w:t xml:space="preserve"> </w:t>
      </w:r>
      <w:r>
        <w:rPr>
          <w:color w:val="000009"/>
        </w:rPr>
        <w:t>esa</w:t>
      </w:r>
      <w:r>
        <w:rPr>
          <w:color w:val="000009"/>
          <w:spacing w:val="-5"/>
        </w:rPr>
        <w:t xml:space="preserve"> </w:t>
      </w:r>
      <w:r>
        <w:rPr>
          <w:color w:val="000009"/>
        </w:rPr>
        <w:t>movilización</w:t>
      </w:r>
      <w:r>
        <w:rPr>
          <w:color w:val="000009"/>
          <w:spacing w:val="-5"/>
        </w:rPr>
        <w:t xml:space="preserve"> </w:t>
      </w:r>
      <w:r>
        <w:rPr>
          <w:color w:val="000009"/>
        </w:rPr>
        <w:t>social</w:t>
      </w:r>
      <w:r>
        <w:rPr>
          <w:color w:val="000009"/>
          <w:spacing w:val="-4"/>
        </w:rPr>
        <w:t xml:space="preserve"> </w:t>
      </w:r>
      <w:r>
        <w:rPr>
          <w:color w:val="000009"/>
        </w:rPr>
        <w:t>y</w:t>
      </w:r>
      <w:r>
        <w:rPr>
          <w:color w:val="000009"/>
          <w:spacing w:val="-6"/>
        </w:rPr>
        <w:t xml:space="preserve"> </w:t>
      </w:r>
      <w:r>
        <w:rPr>
          <w:color w:val="000009"/>
        </w:rPr>
        <w:t>del</w:t>
      </w:r>
      <w:r>
        <w:rPr>
          <w:color w:val="000009"/>
          <w:spacing w:val="-4"/>
        </w:rPr>
        <w:t xml:space="preserve"> </w:t>
      </w:r>
      <w:r>
        <w:rPr>
          <w:color w:val="000009"/>
        </w:rPr>
        <w:t>valor</w:t>
      </w:r>
      <w:r>
        <w:rPr>
          <w:color w:val="000009"/>
          <w:spacing w:val="-4"/>
        </w:rPr>
        <w:t xml:space="preserve"> </w:t>
      </w:r>
      <w:r>
        <w:rPr>
          <w:color w:val="000009"/>
        </w:rPr>
        <w:t>de</w:t>
      </w:r>
      <w:r>
        <w:rPr>
          <w:color w:val="000009"/>
          <w:spacing w:val="-6"/>
        </w:rPr>
        <w:t xml:space="preserve"> </w:t>
      </w:r>
      <w:r>
        <w:rPr>
          <w:color w:val="000009"/>
        </w:rPr>
        <w:t>muchas</w:t>
      </w:r>
      <w:r>
        <w:rPr>
          <w:color w:val="000009"/>
          <w:spacing w:val="-5"/>
        </w:rPr>
        <w:t xml:space="preserve"> </w:t>
      </w:r>
      <w:r>
        <w:rPr>
          <w:color w:val="000009"/>
        </w:rPr>
        <w:t>de</w:t>
      </w:r>
      <w:r>
        <w:rPr>
          <w:color w:val="000009"/>
          <w:spacing w:val="-6"/>
        </w:rPr>
        <w:t xml:space="preserve"> </w:t>
      </w:r>
      <w:r>
        <w:rPr>
          <w:color w:val="000009"/>
        </w:rPr>
        <w:t>estas</w:t>
      </w:r>
      <w:r>
        <w:rPr>
          <w:color w:val="000009"/>
          <w:spacing w:val="-6"/>
        </w:rPr>
        <w:t xml:space="preserve"> </w:t>
      </w:r>
      <w:r>
        <w:rPr>
          <w:color w:val="000009"/>
        </w:rPr>
        <w:t>formas</w:t>
      </w:r>
      <w:r>
        <w:rPr>
          <w:color w:val="000009"/>
          <w:spacing w:val="-6"/>
        </w:rPr>
        <w:t xml:space="preserve"> </w:t>
      </w:r>
      <w:r>
        <w:rPr>
          <w:color w:val="000009"/>
        </w:rPr>
        <w:t>de resistencia, de los múltiples intentos por alcanzar la paz, esta es un desafío en permanente transformación en Colombia. Muchas de estas situaciones se vieron solo como problemas que requerían ayuda humanitaria, sin tener en cuenta que se trataba de violaciones de derechos humanos y de infracciones al DIH que necesitaban una solución política.</w:t>
      </w:r>
    </w:p>
    <w:p w:rsidR="003804AC" w:rsidRDefault="00AF18A5" w:rsidP="001F48F2">
      <w:r>
        <w:t>Los medios de comunicación también fueron actores fundamentales en la narrativa del conflicto armado. A veces, las violencias nutrieron las páginas rojas, noticias de terror que aparecieron</w:t>
      </w:r>
      <w:r>
        <w:rPr>
          <w:spacing w:val="-1"/>
        </w:rPr>
        <w:t xml:space="preserve"> </w:t>
      </w:r>
      <w:r>
        <w:t>de manera fugaz en los</w:t>
      </w:r>
      <w:r>
        <w:rPr>
          <w:spacing w:val="-1"/>
        </w:rPr>
        <w:t xml:space="preserve"> </w:t>
      </w:r>
      <w:r>
        <w:t>medios, pero en muchos</w:t>
      </w:r>
      <w:r>
        <w:rPr>
          <w:spacing w:val="-1"/>
        </w:rPr>
        <w:t xml:space="preserve"> </w:t>
      </w:r>
      <w:r>
        <w:t>casos hicieron visible el</w:t>
      </w:r>
      <w:r>
        <w:rPr>
          <w:spacing w:val="-1"/>
        </w:rPr>
        <w:t xml:space="preserve"> </w:t>
      </w:r>
      <w:r>
        <w:t xml:space="preserve">horror y sirvieron como </w:t>
      </w:r>
      <w:r>
        <w:lastRenderedPageBreak/>
        <w:t>amplificador de la situación de las comunidades. Por ejemplo, la radio se constituyó en acompañante del dolor de las familias, como en el caso del secuestro. Hubo muchos</w:t>
      </w:r>
      <w:r>
        <w:rPr>
          <w:spacing w:val="-3"/>
        </w:rPr>
        <w:t xml:space="preserve"> </w:t>
      </w:r>
      <w:r>
        <w:t>hechos</w:t>
      </w:r>
      <w:r>
        <w:rPr>
          <w:spacing w:val="-3"/>
        </w:rPr>
        <w:t xml:space="preserve"> </w:t>
      </w:r>
      <w:r>
        <w:t>que</w:t>
      </w:r>
      <w:r>
        <w:rPr>
          <w:spacing w:val="-3"/>
        </w:rPr>
        <w:t xml:space="preserve"> </w:t>
      </w:r>
      <w:r>
        <w:t>no</w:t>
      </w:r>
      <w:r>
        <w:rPr>
          <w:spacing w:val="-3"/>
        </w:rPr>
        <w:t xml:space="preserve"> </w:t>
      </w:r>
      <w:r>
        <w:t>siempre</w:t>
      </w:r>
      <w:r>
        <w:rPr>
          <w:spacing w:val="-3"/>
        </w:rPr>
        <w:t xml:space="preserve"> </w:t>
      </w:r>
      <w:r>
        <w:t>formaron</w:t>
      </w:r>
      <w:r>
        <w:rPr>
          <w:spacing w:val="-3"/>
        </w:rPr>
        <w:t xml:space="preserve"> </w:t>
      </w:r>
      <w:r>
        <w:t>parte</w:t>
      </w:r>
      <w:r>
        <w:rPr>
          <w:spacing w:val="-3"/>
        </w:rPr>
        <w:t xml:space="preserve"> </w:t>
      </w:r>
      <w:r>
        <w:t>de</w:t>
      </w:r>
      <w:r>
        <w:rPr>
          <w:spacing w:val="-3"/>
        </w:rPr>
        <w:t xml:space="preserve"> </w:t>
      </w:r>
      <w:r>
        <w:t>las</w:t>
      </w:r>
      <w:r>
        <w:rPr>
          <w:spacing w:val="-3"/>
        </w:rPr>
        <w:t xml:space="preserve"> </w:t>
      </w:r>
      <w:r>
        <w:t>prioridades</w:t>
      </w:r>
      <w:r>
        <w:rPr>
          <w:spacing w:val="-3"/>
        </w:rPr>
        <w:t xml:space="preserve"> </w:t>
      </w:r>
      <w:r>
        <w:t>políticas,</w:t>
      </w:r>
      <w:r>
        <w:rPr>
          <w:spacing w:val="-3"/>
        </w:rPr>
        <w:t xml:space="preserve"> </w:t>
      </w:r>
      <w:r>
        <w:t>porque</w:t>
      </w:r>
      <w:r>
        <w:rPr>
          <w:spacing w:val="-3"/>
        </w:rPr>
        <w:t xml:space="preserve"> </w:t>
      </w:r>
      <w:r>
        <w:t>se</w:t>
      </w:r>
      <w:r>
        <w:rPr>
          <w:spacing w:val="-4"/>
        </w:rPr>
        <w:t xml:space="preserve"> </w:t>
      </w:r>
      <w:r>
        <w:t>dieron en lugares lejanos al centro del país o afectaron a poblaciones más empobrecidas y marginalizadas.</w:t>
      </w:r>
      <w:r>
        <w:rPr>
          <w:spacing w:val="45"/>
        </w:rPr>
        <w:t xml:space="preserve"> </w:t>
      </w:r>
      <w:r>
        <w:t>Muchas</w:t>
      </w:r>
      <w:r>
        <w:rPr>
          <w:spacing w:val="47"/>
        </w:rPr>
        <w:t xml:space="preserve"> </w:t>
      </w:r>
      <w:r>
        <w:t>violaciones</w:t>
      </w:r>
      <w:r>
        <w:rPr>
          <w:spacing w:val="47"/>
        </w:rPr>
        <w:t xml:space="preserve"> </w:t>
      </w:r>
      <w:r>
        <w:t>de</w:t>
      </w:r>
      <w:r>
        <w:rPr>
          <w:spacing w:val="47"/>
        </w:rPr>
        <w:t xml:space="preserve"> </w:t>
      </w:r>
      <w:r>
        <w:t>derechos</w:t>
      </w:r>
      <w:r>
        <w:rPr>
          <w:spacing w:val="47"/>
        </w:rPr>
        <w:t xml:space="preserve"> </w:t>
      </w:r>
      <w:r>
        <w:t>humanos</w:t>
      </w:r>
      <w:r>
        <w:rPr>
          <w:spacing w:val="46"/>
        </w:rPr>
        <w:t xml:space="preserve"> </w:t>
      </w:r>
      <w:r>
        <w:t>han</w:t>
      </w:r>
      <w:r>
        <w:rPr>
          <w:spacing w:val="47"/>
        </w:rPr>
        <w:t xml:space="preserve"> </w:t>
      </w:r>
      <w:r>
        <w:t>sido</w:t>
      </w:r>
      <w:r>
        <w:rPr>
          <w:spacing w:val="46"/>
        </w:rPr>
        <w:t xml:space="preserve"> </w:t>
      </w:r>
      <w:r>
        <w:t>históricamente</w:t>
      </w:r>
      <w:r>
        <w:rPr>
          <w:spacing w:val="48"/>
        </w:rPr>
        <w:t xml:space="preserve"> </w:t>
      </w:r>
      <w:r>
        <w:rPr>
          <w:spacing w:val="-5"/>
        </w:rPr>
        <w:t>más</w:t>
      </w:r>
      <w:r w:rsidR="001F48F2">
        <w:rPr>
          <w:spacing w:val="-5"/>
        </w:rPr>
        <w:t xml:space="preserve"> </w:t>
      </w:r>
      <w:r>
        <w:t>invisibilizadas</w:t>
      </w:r>
      <w:r>
        <w:rPr>
          <w:spacing w:val="-10"/>
        </w:rPr>
        <w:t xml:space="preserve"> </w:t>
      </w:r>
      <w:r>
        <w:t>o</w:t>
      </w:r>
      <w:r>
        <w:rPr>
          <w:spacing w:val="-11"/>
        </w:rPr>
        <w:t xml:space="preserve"> </w:t>
      </w:r>
      <w:r>
        <w:t>no</w:t>
      </w:r>
      <w:r>
        <w:rPr>
          <w:spacing w:val="-11"/>
        </w:rPr>
        <w:t xml:space="preserve"> </w:t>
      </w:r>
      <w:r>
        <w:t>reconocidas,</w:t>
      </w:r>
      <w:r>
        <w:rPr>
          <w:spacing w:val="-11"/>
        </w:rPr>
        <w:t xml:space="preserve"> </w:t>
      </w:r>
      <w:r>
        <w:t>como</w:t>
      </w:r>
      <w:r>
        <w:rPr>
          <w:spacing w:val="-11"/>
        </w:rPr>
        <w:t xml:space="preserve"> </w:t>
      </w:r>
      <w:r>
        <w:t>en</w:t>
      </w:r>
      <w:r>
        <w:rPr>
          <w:spacing w:val="-11"/>
        </w:rPr>
        <w:t xml:space="preserve"> </w:t>
      </w:r>
      <w:r>
        <w:t>los</w:t>
      </w:r>
      <w:r>
        <w:rPr>
          <w:spacing w:val="-10"/>
        </w:rPr>
        <w:t xml:space="preserve"> </w:t>
      </w:r>
      <w:r>
        <w:t>casos</w:t>
      </w:r>
      <w:r>
        <w:rPr>
          <w:spacing w:val="-10"/>
        </w:rPr>
        <w:t xml:space="preserve"> </w:t>
      </w:r>
      <w:r>
        <w:t>de</w:t>
      </w:r>
      <w:r>
        <w:rPr>
          <w:spacing w:val="-10"/>
        </w:rPr>
        <w:t xml:space="preserve"> </w:t>
      </w:r>
      <w:r>
        <w:t>violencia</w:t>
      </w:r>
      <w:r>
        <w:rPr>
          <w:spacing w:val="-10"/>
        </w:rPr>
        <w:t xml:space="preserve"> </w:t>
      </w:r>
      <w:r>
        <w:t>sexual,</w:t>
      </w:r>
      <w:r>
        <w:rPr>
          <w:spacing w:val="-12"/>
        </w:rPr>
        <w:t xml:space="preserve"> </w:t>
      </w:r>
      <w:r>
        <w:t>tortura,</w:t>
      </w:r>
      <w:r>
        <w:rPr>
          <w:spacing w:val="-11"/>
        </w:rPr>
        <w:t xml:space="preserve"> </w:t>
      </w:r>
      <w:r>
        <w:t>desaparición forzada o exilio.</w:t>
      </w:r>
    </w:p>
    <w:p w:rsidR="003804AC" w:rsidRDefault="00AF18A5" w:rsidP="001F48F2">
      <w:r>
        <w:t>Durante varias décadas la falta de visibilidad de las víctimas impidió que fueran reconocidas en su dolor y sus derechos, salvo los desarrollos generados a partir de 2011, cuando</w:t>
      </w:r>
      <w:r>
        <w:rPr>
          <w:spacing w:val="-3"/>
        </w:rPr>
        <w:t xml:space="preserve"> </w:t>
      </w:r>
      <w:r>
        <w:t>se</w:t>
      </w:r>
      <w:r>
        <w:rPr>
          <w:spacing w:val="-3"/>
        </w:rPr>
        <w:t xml:space="preserve"> </w:t>
      </w:r>
      <w:r>
        <w:t>reconoció</w:t>
      </w:r>
      <w:r>
        <w:rPr>
          <w:spacing w:val="-3"/>
        </w:rPr>
        <w:t xml:space="preserve"> </w:t>
      </w:r>
      <w:r>
        <w:t>la</w:t>
      </w:r>
      <w:r>
        <w:rPr>
          <w:spacing w:val="-3"/>
        </w:rPr>
        <w:t xml:space="preserve"> </w:t>
      </w:r>
      <w:r>
        <w:t>existencia</w:t>
      </w:r>
      <w:r>
        <w:rPr>
          <w:spacing w:val="-3"/>
        </w:rPr>
        <w:t xml:space="preserve"> </w:t>
      </w:r>
      <w:r>
        <w:t>del</w:t>
      </w:r>
      <w:r>
        <w:rPr>
          <w:spacing w:val="-4"/>
        </w:rPr>
        <w:t xml:space="preserve"> </w:t>
      </w:r>
      <w:r>
        <w:t>conflicto</w:t>
      </w:r>
      <w:r>
        <w:rPr>
          <w:spacing w:val="-3"/>
        </w:rPr>
        <w:t xml:space="preserve"> </w:t>
      </w:r>
      <w:r>
        <w:t>armado</w:t>
      </w:r>
      <w:r>
        <w:rPr>
          <w:spacing w:val="-3"/>
        </w:rPr>
        <w:t xml:space="preserve"> </w:t>
      </w:r>
      <w:r>
        <w:t>en</w:t>
      </w:r>
      <w:r>
        <w:rPr>
          <w:spacing w:val="-3"/>
        </w:rPr>
        <w:t xml:space="preserve"> </w:t>
      </w:r>
      <w:r>
        <w:t>Colombia</w:t>
      </w:r>
      <w:r>
        <w:rPr>
          <w:spacing w:val="-3"/>
        </w:rPr>
        <w:t xml:space="preserve"> </w:t>
      </w:r>
      <w:r>
        <w:t>con</w:t>
      </w:r>
      <w:r>
        <w:rPr>
          <w:spacing w:val="-5"/>
        </w:rPr>
        <w:t xml:space="preserve"> </w:t>
      </w:r>
      <w:r>
        <w:t>la</w:t>
      </w:r>
      <w:r>
        <w:rPr>
          <w:spacing w:val="-3"/>
        </w:rPr>
        <w:t xml:space="preserve"> </w:t>
      </w:r>
      <w:r>
        <w:t>Ley</w:t>
      </w:r>
      <w:r>
        <w:rPr>
          <w:spacing w:val="-3"/>
        </w:rPr>
        <w:t xml:space="preserve"> </w:t>
      </w:r>
      <w:r>
        <w:t>de</w:t>
      </w:r>
      <w:r>
        <w:rPr>
          <w:spacing w:val="-3"/>
        </w:rPr>
        <w:t xml:space="preserve"> </w:t>
      </w:r>
      <w:r>
        <w:t>Víctimas y se propuso reparar ese daño histórico, un camino en el que se han dado pasos relevantes, pero en el que queda un largo recorrido.</w:t>
      </w:r>
    </w:p>
    <w:p w:rsidR="003804AC" w:rsidRDefault="00AF18A5" w:rsidP="001F48F2">
      <w:r>
        <w:t>A partir de los años ochenta, las denuncias de desapariciones forzadas y ejecuciones llevaron</w:t>
      </w:r>
      <w:r>
        <w:rPr>
          <w:spacing w:val="-12"/>
        </w:rPr>
        <w:t xml:space="preserve"> </w:t>
      </w:r>
      <w:r>
        <w:t>a</w:t>
      </w:r>
      <w:r>
        <w:rPr>
          <w:spacing w:val="-12"/>
        </w:rPr>
        <w:t xml:space="preserve"> </w:t>
      </w:r>
      <w:r>
        <w:t>nacientes</w:t>
      </w:r>
      <w:r>
        <w:rPr>
          <w:spacing w:val="-12"/>
        </w:rPr>
        <w:t xml:space="preserve"> </w:t>
      </w:r>
      <w:r>
        <w:t>organizaciones</w:t>
      </w:r>
      <w:r>
        <w:rPr>
          <w:spacing w:val="-12"/>
        </w:rPr>
        <w:t xml:space="preserve"> </w:t>
      </w:r>
      <w:r>
        <w:t>de</w:t>
      </w:r>
      <w:r>
        <w:rPr>
          <w:spacing w:val="-12"/>
        </w:rPr>
        <w:t xml:space="preserve"> </w:t>
      </w:r>
      <w:r>
        <w:t>derechos</w:t>
      </w:r>
      <w:r>
        <w:rPr>
          <w:spacing w:val="-12"/>
        </w:rPr>
        <w:t xml:space="preserve"> </w:t>
      </w:r>
      <w:r>
        <w:t>humanos</w:t>
      </w:r>
      <w:r>
        <w:rPr>
          <w:spacing w:val="-12"/>
        </w:rPr>
        <w:t xml:space="preserve"> </w:t>
      </w:r>
      <w:r>
        <w:t>a</w:t>
      </w:r>
      <w:r>
        <w:rPr>
          <w:spacing w:val="-12"/>
        </w:rPr>
        <w:t xml:space="preserve"> </w:t>
      </w:r>
      <w:r>
        <w:t>visibilizar</w:t>
      </w:r>
      <w:r>
        <w:rPr>
          <w:spacing w:val="-11"/>
        </w:rPr>
        <w:t xml:space="preserve"> </w:t>
      </w:r>
      <w:r>
        <w:t>a</w:t>
      </w:r>
      <w:r>
        <w:rPr>
          <w:spacing w:val="-12"/>
        </w:rPr>
        <w:t xml:space="preserve"> </w:t>
      </w:r>
      <w:r>
        <w:t>las</w:t>
      </w:r>
      <w:r>
        <w:rPr>
          <w:spacing w:val="-12"/>
        </w:rPr>
        <w:t xml:space="preserve"> </w:t>
      </w:r>
      <w:r>
        <w:t>víctimas,</w:t>
      </w:r>
      <w:r>
        <w:rPr>
          <w:spacing w:val="-13"/>
        </w:rPr>
        <w:t xml:space="preserve"> </w:t>
      </w:r>
      <w:r>
        <w:t>muchas de</w:t>
      </w:r>
      <w:r>
        <w:rPr>
          <w:spacing w:val="-13"/>
        </w:rPr>
        <w:t xml:space="preserve"> </w:t>
      </w:r>
      <w:r>
        <w:t>las</w:t>
      </w:r>
      <w:r>
        <w:rPr>
          <w:spacing w:val="-13"/>
        </w:rPr>
        <w:t xml:space="preserve"> </w:t>
      </w:r>
      <w:r>
        <w:t>cuales</w:t>
      </w:r>
      <w:r>
        <w:rPr>
          <w:spacing w:val="-14"/>
        </w:rPr>
        <w:t xml:space="preserve"> </w:t>
      </w:r>
      <w:r>
        <w:t>se</w:t>
      </w:r>
      <w:r>
        <w:rPr>
          <w:spacing w:val="-13"/>
        </w:rPr>
        <w:t xml:space="preserve"> </w:t>
      </w:r>
      <w:r>
        <w:t>desplazaron,</w:t>
      </w:r>
      <w:r>
        <w:rPr>
          <w:spacing w:val="-13"/>
        </w:rPr>
        <w:t xml:space="preserve"> </w:t>
      </w:r>
      <w:r>
        <w:t>fueron</w:t>
      </w:r>
      <w:r>
        <w:rPr>
          <w:spacing w:val="-13"/>
        </w:rPr>
        <w:t xml:space="preserve"> </w:t>
      </w:r>
      <w:r>
        <w:t>asesinadas</w:t>
      </w:r>
      <w:r>
        <w:rPr>
          <w:spacing w:val="-14"/>
        </w:rPr>
        <w:t xml:space="preserve"> </w:t>
      </w:r>
      <w:r>
        <w:t>o</w:t>
      </w:r>
      <w:r>
        <w:rPr>
          <w:spacing w:val="-14"/>
        </w:rPr>
        <w:t xml:space="preserve"> </w:t>
      </w:r>
      <w:r>
        <w:t>salieron</w:t>
      </w:r>
      <w:r>
        <w:rPr>
          <w:spacing w:val="-13"/>
        </w:rPr>
        <w:t xml:space="preserve"> </w:t>
      </w:r>
      <w:r>
        <w:t>del</w:t>
      </w:r>
      <w:r>
        <w:rPr>
          <w:spacing w:val="-13"/>
        </w:rPr>
        <w:t xml:space="preserve"> </w:t>
      </w:r>
      <w:r>
        <w:t>país.</w:t>
      </w:r>
      <w:r>
        <w:rPr>
          <w:spacing w:val="-13"/>
        </w:rPr>
        <w:t xml:space="preserve"> </w:t>
      </w:r>
      <w:r>
        <w:t>Las</w:t>
      </w:r>
      <w:r>
        <w:rPr>
          <w:spacing w:val="-13"/>
        </w:rPr>
        <w:t xml:space="preserve"> </w:t>
      </w:r>
      <w:r>
        <w:t>denuncias</w:t>
      </w:r>
      <w:r>
        <w:rPr>
          <w:spacing w:val="-14"/>
        </w:rPr>
        <w:t xml:space="preserve"> </w:t>
      </w:r>
      <w:r>
        <w:t>de</w:t>
      </w:r>
      <w:r>
        <w:rPr>
          <w:spacing w:val="-14"/>
        </w:rPr>
        <w:t xml:space="preserve"> </w:t>
      </w:r>
      <w:r>
        <w:t>lo</w:t>
      </w:r>
      <w:r>
        <w:rPr>
          <w:spacing w:val="-14"/>
        </w:rPr>
        <w:t xml:space="preserve"> </w:t>
      </w:r>
      <w:r>
        <w:t xml:space="preserve">vivido generaron nuevas consecuencias para sus vidas, la de sus familias, comunidades y organizaciones. Durante años, el silencio protector, el apoyo solidario de los grupos de referencia, las respuestas colectivas basadas en la organización histórica de algunos territorios o el trabajo invisible de las mujeres en el sostenimiento de sus familias y comunidades fueron aspectos que contribuyeron a contener los efectos devastadores de la </w:t>
      </w:r>
      <w:r>
        <w:rPr>
          <w:spacing w:val="-2"/>
        </w:rPr>
        <w:t>guerra.</w:t>
      </w:r>
    </w:p>
    <w:p w:rsidR="003804AC" w:rsidRDefault="00AF18A5" w:rsidP="001F48F2">
      <w:r>
        <w:t>El fortalecimiento de estos movimientos sociales y las instancias de participación propiciadas</w:t>
      </w:r>
      <w:r>
        <w:rPr>
          <w:spacing w:val="-15"/>
        </w:rPr>
        <w:t xml:space="preserve"> </w:t>
      </w:r>
      <w:r>
        <w:t>por</w:t>
      </w:r>
      <w:r>
        <w:rPr>
          <w:spacing w:val="-14"/>
        </w:rPr>
        <w:t xml:space="preserve"> </w:t>
      </w:r>
      <w:r>
        <w:t>las</w:t>
      </w:r>
      <w:r>
        <w:rPr>
          <w:spacing w:val="-14"/>
        </w:rPr>
        <w:t xml:space="preserve"> </w:t>
      </w:r>
      <w:r>
        <w:t>diferentes</w:t>
      </w:r>
      <w:r>
        <w:rPr>
          <w:spacing w:val="-15"/>
        </w:rPr>
        <w:t xml:space="preserve"> </w:t>
      </w:r>
      <w:r>
        <w:t>leyes</w:t>
      </w:r>
      <w:r>
        <w:rPr>
          <w:spacing w:val="-14"/>
        </w:rPr>
        <w:t xml:space="preserve"> </w:t>
      </w:r>
      <w:r>
        <w:t>han</w:t>
      </w:r>
      <w:r>
        <w:rPr>
          <w:spacing w:val="-14"/>
        </w:rPr>
        <w:t xml:space="preserve"> </w:t>
      </w:r>
      <w:r>
        <w:t>dado</w:t>
      </w:r>
      <w:r>
        <w:rPr>
          <w:spacing w:val="-15"/>
        </w:rPr>
        <w:t xml:space="preserve"> </w:t>
      </w:r>
      <w:r>
        <w:t>lugar</w:t>
      </w:r>
      <w:r>
        <w:rPr>
          <w:spacing w:val="-14"/>
        </w:rPr>
        <w:t xml:space="preserve"> </w:t>
      </w:r>
      <w:r>
        <w:t>a</w:t>
      </w:r>
      <w:r>
        <w:rPr>
          <w:spacing w:val="-15"/>
        </w:rPr>
        <w:t xml:space="preserve"> </w:t>
      </w:r>
      <w:r>
        <w:t>que</w:t>
      </w:r>
      <w:r>
        <w:rPr>
          <w:spacing w:val="-15"/>
        </w:rPr>
        <w:t xml:space="preserve"> </w:t>
      </w:r>
      <w:r>
        <w:t>las</w:t>
      </w:r>
      <w:r>
        <w:rPr>
          <w:spacing w:val="-15"/>
        </w:rPr>
        <w:t xml:space="preserve"> </w:t>
      </w:r>
      <w:r>
        <w:lastRenderedPageBreak/>
        <w:t>víctimas</w:t>
      </w:r>
      <w:r>
        <w:rPr>
          <w:spacing w:val="-14"/>
        </w:rPr>
        <w:t xml:space="preserve"> </w:t>
      </w:r>
      <w:r>
        <w:t>organizadas</w:t>
      </w:r>
      <w:r>
        <w:rPr>
          <w:spacing w:val="-15"/>
        </w:rPr>
        <w:t xml:space="preserve"> </w:t>
      </w:r>
      <w:r>
        <w:t>se</w:t>
      </w:r>
      <w:r>
        <w:rPr>
          <w:spacing w:val="-15"/>
        </w:rPr>
        <w:t xml:space="preserve"> </w:t>
      </w:r>
      <w:r>
        <w:t>apropien de estos mecanismos para la continua exigencia de sus derechos. El apoyo de otras organizaciones</w:t>
      </w:r>
      <w:r>
        <w:rPr>
          <w:spacing w:val="-5"/>
        </w:rPr>
        <w:t xml:space="preserve"> </w:t>
      </w:r>
      <w:r>
        <w:t>y</w:t>
      </w:r>
      <w:r>
        <w:rPr>
          <w:spacing w:val="-5"/>
        </w:rPr>
        <w:t xml:space="preserve"> </w:t>
      </w:r>
      <w:r>
        <w:t>de</w:t>
      </w:r>
      <w:r>
        <w:rPr>
          <w:spacing w:val="-6"/>
        </w:rPr>
        <w:t xml:space="preserve"> </w:t>
      </w:r>
      <w:r>
        <w:t>la</w:t>
      </w:r>
      <w:r>
        <w:rPr>
          <w:spacing w:val="-5"/>
        </w:rPr>
        <w:t xml:space="preserve"> </w:t>
      </w:r>
      <w:r>
        <w:t>cooperación</w:t>
      </w:r>
      <w:r>
        <w:rPr>
          <w:spacing w:val="-5"/>
        </w:rPr>
        <w:t xml:space="preserve"> </w:t>
      </w:r>
      <w:r>
        <w:t>internacional</w:t>
      </w:r>
      <w:r>
        <w:rPr>
          <w:spacing w:val="-5"/>
        </w:rPr>
        <w:t xml:space="preserve"> </w:t>
      </w:r>
      <w:r>
        <w:t>han</w:t>
      </w:r>
      <w:r>
        <w:rPr>
          <w:spacing w:val="-5"/>
        </w:rPr>
        <w:t xml:space="preserve"> </w:t>
      </w:r>
      <w:r>
        <w:t>sido</w:t>
      </w:r>
      <w:r>
        <w:rPr>
          <w:spacing w:val="-5"/>
        </w:rPr>
        <w:t xml:space="preserve"> </w:t>
      </w:r>
      <w:r>
        <w:t>fundamentales</w:t>
      </w:r>
      <w:r>
        <w:rPr>
          <w:spacing w:val="-6"/>
        </w:rPr>
        <w:t xml:space="preserve"> </w:t>
      </w:r>
      <w:r>
        <w:t>para</w:t>
      </w:r>
      <w:r>
        <w:rPr>
          <w:spacing w:val="-6"/>
        </w:rPr>
        <w:t xml:space="preserve"> </w:t>
      </w:r>
      <w:r>
        <w:t>sostener</w:t>
      </w:r>
      <w:r>
        <w:rPr>
          <w:spacing w:val="-5"/>
        </w:rPr>
        <w:t xml:space="preserve"> </w:t>
      </w:r>
      <w:r>
        <w:t>estas iniciativas, que no tuvieron en general el apoyo del Estado, y en muchos casos fueron perseguidas o criminalizadas, como en el caso de la Asociación de Familiares de Detenidos Desaparecidos (</w:t>
      </w:r>
      <w:proofErr w:type="spellStart"/>
      <w:r>
        <w:t>Asfaddes</w:t>
      </w:r>
      <w:proofErr w:type="spellEnd"/>
      <w:r>
        <w:t>) y organizaciones de familiares o grupos que se declararon en resistencia, como las Comunidades de Paz.</w:t>
      </w:r>
    </w:p>
    <w:p w:rsidR="0011361F" w:rsidRPr="001F48F2" w:rsidRDefault="00AF18A5" w:rsidP="004A6EF4">
      <w:pPr>
        <w:pStyle w:val="Ttulo3"/>
        <w:numPr>
          <w:ilvl w:val="2"/>
          <w:numId w:val="18"/>
        </w:numPr>
      </w:pPr>
      <w:bookmarkStart w:id="45" w:name="1.3.2._Impacto_en_las_comunidades_afecta"/>
      <w:bookmarkStart w:id="46" w:name="_Toc112399531"/>
      <w:bookmarkEnd w:id="45"/>
      <w:r w:rsidRPr="001F48F2">
        <w:t>Impacto en las comunidades afectadas</w:t>
      </w:r>
      <w:bookmarkEnd w:id="46"/>
    </w:p>
    <w:p w:rsidR="003804AC" w:rsidRDefault="00AF18A5" w:rsidP="001F48F2">
      <w:r>
        <w:t>En las áreas rurales con presencia o control de grupos armados, la población ha tenido que enfrentar no solo su presencia e intimidación, sino también formas de control de sus vidas, la</w:t>
      </w:r>
      <w:r>
        <w:rPr>
          <w:spacing w:val="1"/>
        </w:rPr>
        <w:t xml:space="preserve"> </w:t>
      </w:r>
      <w:r>
        <w:t>violencia</w:t>
      </w:r>
      <w:r>
        <w:rPr>
          <w:spacing w:val="2"/>
        </w:rPr>
        <w:t xml:space="preserve"> </w:t>
      </w:r>
      <w:r>
        <w:t>en</w:t>
      </w:r>
      <w:r>
        <w:rPr>
          <w:spacing w:val="3"/>
        </w:rPr>
        <w:t xml:space="preserve"> </w:t>
      </w:r>
      <w:r>
        <w:t>su</w:t>
      </w:r>
      <w:r>
        <w:rPr>
          <w:spacing w:val="3"/>
        </w:rPr>
        <w:t xml:space="preserve"> </w:t>
      </w:r>
      <w:r>
        <w:t>contra</w:t>
      </w:r>
      <w:r>
        <w:rPr>
          <w:spacing w:val="2"/>
        </w:rPr>
        <w:t xml:space="preserve"> </w:t>
      </w:r>
      <w:r>
        <w:t>y</w:t>
      </w:r>
      <w:r>
        <w:rPr>
          <w:spacing w:val="3"/>
        </w:rPr>
        <w:t xml:space="preserve"> </w:t>
      </w:r>
      <w:r>
        <w:t>la</w:t>
      </w:r>
      <w:r>
        <w:rPr>
          <w:spacing w:val="2"/>
        </w:rPr>
        <w:t xml:space="preserve"> </w:t>
      </w:r>
      <w:r>
        <w:t>imposibilidad</w:t>
      </w:r>
      <w:r>
        <w:rPr>
          <w:spacing w:val="2"/>
        </w:rPr>
        <w:t xml:space="preserve"> </w:t>
      </w:r>
      <w:r>
        <w:t>de</w:t>
      </w:r>
      <w:r>
        <w:rPr>
          <w:spacing w:val="4"/>
        </w:rPr>
        <w:t xml:space="preserve"> </w:t>
      </w:r>
      <w:r>
        <w:t>denunciar</w:t>
      </w:r>
      <w:r>
        <w:rPr>
          <w:spacing w:val="4"/>
        </w:rPr>
        <w:t xml:space="preserve"> </w:t>
      </w:r>
      <w:r>
        <w:t>por</w:t>
      </w:r>
      <w:r>
        <w:rPr>
          <w:spacing w:val="3"/>
        </w:rPr>
        <w:t xml:space="preserve"> </w:t>
      </w:r>
      <w:r>
        <w:t>el</w:t>
      </w:r>
      <w:r>
        <w:rPr>
          <w:spacing w:val="3"/>
        </w:rPr>
        <w:t xml:space="preserve"> </w:t>
      </w:r>
      <w:r>
        <w:t>riesgo</w:t>
      </w:r>
      <w:r>
        <w:rPr>
          <w:spacing w:val="2"/>
        </w:rPr>
        <w:t xml:space="preserve"> </w:t>
      </w:r>
      <w:r>
        <w:t>que</w:t>
      </w:r>
      <w:r>
        <w:rPr>
          <w:spacing w:val="4"/>
        </w:rPr>
        <w:t xml:space="preserve"> </w:t>
      </w:r>
      <w:r>
        <w:t>corrían.</w:t>
      </w:r>
      <w:r>
        <w:rPr>
          <w:spacing w:val="3"/>
        </w:rPr>
        <w:t xml:space="preserve"> </w:t>
      </w:r>
      <w:r>
        <w:rPr>
          <w:spacing w:val="-2"/>
        </w:rPr>
        <w:t>Familias</w:t>
      </w:r>
      <w:r w:rsidR="001F48F2">
        <w:rPr>
          <w:spacing w:val="-2"/>
        </w:rPr>
        <w:t xml:space="preserve"> </w:t>
      </w:r>
      <w:r>
        <w:t>y comunidades han vivido durante décadas en medio del miedo: a hablar, a sufrir más violencia por denunciar, al señalamiento como guerrilleros o colaboradores, a la criminalización, a no tener respuestas del Estado. Miedo a hablar con el otro por no saber quién es, si puede ser informante, si está «del otro lado».</w:t>
      </w:r>
    </w:p>
    <w:p w:rsidR="003804AC" w:rsidRDefault="00AF18A5" w:rsidP="001F48F2">
      <w:r>
        <w:t>El miedo ha sido en Colombia un poderoso agente de control de movimientos y reivindicaciones</w:t>
      </w:r>
      <w:r>
        <w:rPr>
          <w:spacing w:val="-1"/>
        </w:rPr>
        <w:t xml:space="preserve"> </w:t>
      </w:r>
      <w:r>
        <w:t>sociales,</w:t>
      </w:r>
      <w:r>
        <w:rPr>
          <w:spacing w:val="-1"/>
        </w:rPr>
        <w:t xml:space="preserve"> </w:t>
      </w:r>
      <w:r>
        <w:t>a</w:t>
      </w:r>
      <w:r>
        <w:rPr>
          <w:spacing w:val="-1"/>
        </w:rPr>
        <w:t xml:space="preserve"> </w:t>
      </w:r>
      <w:r>
        <w:t>la</w:t>
      </w:r>
      <w:r>
        <w:rPr>
          <w:spacing w:val="-1"/>
        </w:rPr>
        <w:t xml:space="preserve"> </w:t>
      </w:r>
      <w:r>
        <w:t>vez</w:t>
      </w:r>
      <w:r>
        <w:rPr>
          <w:spacing w:val="-1"/>
        </w:rPr>
        <w:t xml:space="preserve"> </w:t>
      </w:r>
      <w:r>
        <w:t>que</w:t>
      </w:r>
      <w:r>
        <w:rPr>
          <w:spacing w:val="-1"/>
        </w:rPr>
        <w:t xml:space="preserve"> </w:t>
      </w:r>
      <w:r>
        <w:t>ha</w:t>
      </w:r>
      <w:r>
        <w:rPr>
          <w:spacing w:val="-1"/>
        </w:rPr>
        <w:t xml:space="preserve"> </w:t>
      </w:r>
      <w:r>
        <w:t>contribuido</w:t>
      </w:r>
      <w:r>
        <w:rPr>
          <w:spacing w:val="-1"/>
        </w:rPr>
        <w:t xml:space="preserve"> </w:t>
      </w:r>
      <w:r>
        <w:t>a</w:t>
      </w:r>
      <w:r>
        <w:rPr>
          <w:spacing w:val="-2"/>
        </w:rPr>
        <w:t xml:space="preserve"> </w:t>
      </w:r>
      <w:r>
        <w:t>la</w:t>
      </w:r>
      <w:r>
        <w:rPr>
          <w:spacing w:val="-1"/>
        </w:rPr>
        <w:t xml:space="preserve"> </w:t>
      </w:r>
      <w:proofErr w:type="spellStart"/>
      <w:r>
        <w:t>invisibilización</w:t>
      </w:r>
      <w:proofErr w:type="spellEnd"/>
      <w:r>
        <w:rPr>
          <w:spacing w:val="-1"/>
        </w:rPr>
        <w:t xml:space="preserve"> </w:t>
      </w:r>
      <w:r>
        <w:t>de</w:t>
      </w:r>
      <w:r>
        <w:rPr>
          <w:spacing w:val="-1"/>
        </w:rPr>
        <w:t xml:space="preserve"> </w:t>
      </w:r>
      <w:r>
        <w:t>las</w:t>
      </w:r>
      <w:r>
        <w:rPr>
          <w:spacing w:val="-1"/>
        </w:rPr>
        <w:t xml:space="preserve"> </w:t>
      </w:r>
      <w:r>
        <w:t>violaciones de derechos humanos y de las infracciones al DIH, a pesar del enorme valor de muchas víctimas y organizaciones para, aun sin condiciones de protección, hacer esas denuncias como una forma de reivindicar sus derechos y luchas por la injusticia sufrida.</w:t>
      </w:r>
    </w:p>
    <w:p w:rsidR="003804AC" w:rsidRDefault="00AF18A5" w:rsidP="001F48F2">
      <w:r>
        <w:t>«Entonces, aquí uno no podía demandar a nadie de estas personas porque si tú abrías la boca</w:t>
      </w:r>
      <w:r>
        <w:rPr>
          <w:spacing w:val="-4"/>
        </w:rPr>
        <w:t xml:space="preserve"> </w:t>
      </w:r>
      <w:r>
        <w:t>para</w:t>
      </w:r>
      <w:r>
        <w:rPr>
          <w:spacing w:val="-4"/>
        </w:rPr>
        <w:t xml:space="preserve"> </w:t>
      </w:r>
      <w:r>
        <w:t>demandarlos,</w:t>
      </w:r>
      <w:r>
        <w:rPr>
          <w:spacing w:val="-5"/>
        </w:rPr>
        <w:t xml:space="preserve"> </w:t>
      </w:r>
      <w:r>
        <w:t>tú</w:t>
      </w:r>
      <w:r>
        <w:rPr>
          <w:spacing w:val="-5"/>
        </w:rPr>
        <w:t xml:space="preserve"> </w:t>
      </w:r>
      <w:r>
        <w:t>estabas</w:t>
      </w:r>
      <w:r>
        <w:rPr>
          <w:spacing w:val="-4"/>
        </w:rPr>
        <w:t xml:space="preserve"> </w:t>
      </w:r>
      <w:r>
        <w:t>arriesgando</w:t>
      </w:r>
      <w:r>
        <w:rPr>
          <w:spacing w:val="-5"/>
        </w:rPr>
        <w:t xml:space="preserve"> </w:t>
      </w:r>
      <w:r>
        <w:t>la</w:t>
      </w:r>
      <w:r>
        <w:rPr>
          <w:spacing w:val="-4"/>
        </w:rPr>
        <w:t xml:space="preserve"> </w:t>
      </w:r>
      <w:r>
        <w:lastRenderedPageBreak/>
        <w:t>vida.</w:t>
      </w:r>
      <w:r>
        <w:rPr>
          <w:spacing w:val="-5"/>
        </w:rPr>
        <w:t xml:space="preserve"> </w:t>
      </w:r>
      <w:r>
        <w:t>Aquí</w:t>
      </w:r>
      <w:r>
        <w:rPr>
          <w:spacing w:val="-4"/>
        </w:rPr>
        <w:t xml:space="preserve"> </w:t>
      </w:r>
      <w:r>
        <w:t>había</w:t>
      </w:r>
      <w:r>
        <w:rPr>
          <w:spacing w:val="-4"/>
        </w:rPr>
        <w:t xml:space="preserve"> </w:t>
      </w:r>
      <w:r>
        <w:t>que</w:t>
      </w:r>
      <w:r>
        <w:rPr>
          <w:spacing w:val="-4"/>
        </w:rPr>
        <w:t xml:space="preserve"> </w:t>
      </w:r>
      <w:r>
        <w:t>volverse</w:t>
      </w:r>
      <w:r>
        <w:rPr>
          <w:spacing w:val="-4"/>
        </w:rPr>
        <w:t xml:space="preserve"> </w:t>
      </w:r>
      <w:r>
        <w:t>ciego,</w:t>
      </w:r>
      <w:r>
        <w:rPr>
          <w:spacing w:val="-6"/>
        </w:rPr>
        <w:t xml:space="preserve"> </w:t>
      </w:r>
      <w:r>
        <w:t>sordo y</w:t>
      </w:r>
      <w:r>
        <w:rPr>
          <w:spacing w:val="-6"/>
        </w:rPr>
        <w:t xml:space="preserve"> </w:t>
      </w:r>
      <w:r>
        <w:t>mudo,</w:t>
      </w:r>
      <w:r>
        <w:rPr>
          <w:spacing w:val="-6"/>
        </w:rPr>
        <w:t xml:space="preserve"> </w:t>
      </w:r>
      <w:r>
        <w:t>usted</w:t>
      </w:r>
      <w:r>
        <w:rPr>
          <w:spacing w:val="-6"/>
        </w:rPr>
        <w:t xml:space="preserve"> </w:t>
      </w:r>
      <w:r>
        <w:t>no</w:t>
      </w:r>
      <w:r>
        <w:rPr>
          <w:spacing w:val="-6"/>
        </w:rPr>
        <w:t xml:space="preserve"> </w:t>
      </w:r>
      <w:r>
        <w:t>vio,</w:t>
      </w:r>
      <w:r>
        <w:rPr>
          <w:spacing w:val="-6"/>
        </w:rPr>
        <w:t xml:space="preserve"> </w:t>
      </w:r>
      <w:r>
        <w:t>usted</w:t>
      </w:r>
      <w:r>
        <w:rPr>
          <w:spacing w:val="-6"/>
        </w:rPr>
        <w:t xml:space="preserve"> </w:t>
      </w:r>
      <w:r>
        <w:t>no</w:t>
      </w:r>
      <w:r>
        <w:rPr>
          <w:spacing w:val="-6"/>
        </w:rPr>
        <w:t xml:space="preserve"> </w:t>
      </w:r>
      <w:r>
        <w:t>escuchó,</w:t>
      </w:r>
      <w:r>
        <w:rPr>
          <w:spacing w:val="-6"/>
        </w:rPr>
        <w:t xml:space="preserve"> </w:t>
      </w:r>
      <w:r>
        <w:t>usted</w:t>
      </w:r>
      <w:r>
        <w:rPr>
          <w:spacing w:val="-6"/>
        </w:rPr>
        <w:t xml:space="preserve"> </w:t>
      </w:r>
      <w:r>
        <w:t>no</w:t>
      </w:r>
      <w:r>
        <w:rPr>
          <w:spacing w:val="-6"/>
        </w:rPr>
        <w:t xml:space="preserve"> </w:t>
      </w:r>
      <w:r>
        <w:t>habló,</w:t>
      </w:r>
      <w:r>
        <w:rPr>
          <w:spacing w:val="-6"/>
        </w:rPr>
        <w:t xml:space="preserve"> </w:t>
      </w:r>
      <w:r>
        <w:t>porque</w:t>
      </w:r>
      <w:r>
        <w:rPr>
          <w:spacing w:val="-6"/>
        </w:rPr>
        <w:t xml:space="preserve"> </w:t>
      </w:r>
      <w:r>
        <w:t>si</w:t>
      </w:r>
      <w:r>
        <w:rPr>
          <w:spacing w:val="-6"/>
        </w:rPr>
        <w:t xml:space="preserve"> </w:t>
      </w:r>
      <w:r>
        <w:t>cometía</w:t>
      </w:r>
      <w:r>
        <w:rPr>
          <w:spacing w:val="-7"/>
        </w:rPr>
        <w:t xml:space="preserve"> </w:t>
      </w:r>
      <w:r>
        <w:t>el</w:t>
      </w:r>
      <w:r>
        <w:rPr>
          <w:spacing w:val="-6"/>
        </w:rPr>
        <w:t xml:space="preserve"> </w:t>
      </w:r>
      <w:r>
        <w:t>error</w:t>
      </w:r>
      <w:r>
        <w:rPr>
          <w:spacing w:val="-6"/>
        </w:rPr>
        <w:t xml:space="preserve"> </w:t>
      </w:r>
      <w:r>
        <w:t>de</w:t>
      </w:r>
      <w:r>
        <w:rPr>
          <w:spacing w:val="-6"/>
        </w:rPr>
        <w:t xml:space="preserve"> </w:t>
      </w:r>
      <w:r>
        <w:t>hablar, usted estaba muerto o muerta, sin importar quién sea, se moría. Desde que usted hablara, usted se moría. Entonces, nosotros teníamos que aguantarnos todo eso»</w:t>
      </w:r>
      <w:r w:rsidR="001F48F2">
        <w:rPr>
          <w:rStyle w:val="Refdenotaalpie"/>
        </w:rPr>
        <w:footnoteReference w:id="21"/>
      </w:r>
      <w:r>
        <w:t>.</w:t>
      </w:r>
    </w:p>
    <w:p w:rsidR="003804AC" w:rsidRDefault="00AF18A5" w:rsidP="001F48F2">
      <w:r>
        <w:t>El</w:t>
      </w:r>
      <w:r>
        <w:rPr>
          <w:spacing w:val="-13"/>
        </w:rPr>
        <w:t xml:space="preserve"> </w:t>
      </w:r>
      <w:r>
        <w:t>miedo</w:t>
      </w:r>
      <w:r>
        <w:rPr>
          <w:spacing w:val="-13"/>
        </w:rPr>
        <w:t xml:space="preserve"> </w:t>
      </w:r>
      <w:r>
        <w:t>no</w:t>
      </w:r>
      <w:r>
        <w:rPr>
          <w:spacing w:val="-14"/>
        </w:rPr>
        <w:t xml:space="preserve"> </w:t>
      </w:r>
      <w:r>
        <w:t>solo</w:t>
      </w:r>
      <w:r>
        <w:rPr>
          <w:spacing w:val="-13"/>
        </w:rPr>
        <w:t xml:space="preserve"> </w:t>
      </w:r>
      <w:r>
        <w:t>ha</w:t>
      </w:r>
      <w:r>
        <w:rPr>
          <w:spacing w:val="-14"/>
        </w:rPr>
        <w:t xml:space="preserve"> </w:t>
      </w:r>
      <w:r>
        <w:t>marcado</w:t>
      </w:r>
      <w:r>
        <w:rPr>
          <w:spacing w:val="-13"/>
        </w:rPr>
        <w:t xml:space="preserve"> </w:t>
      </w:r>
      <w:r>
        <w:t>las</w:t>
      </w:r>
      <w:r>
        <w:rPr>
          <w:spacing w:val="-14"/>
        </w:rPr>
        <w:t xml:space="preserve"> </w:t>
      </w:r>
      <w:r>
        <w:t>vidas</w:t>
      </w:r>
      <w:r>
        <w:rPr>
          <w:spacing w:val="-14"/>
        </w:rPr>
        <w:t xml:space="preserve"> </w:t>
      </w:r>
      <w:r>
        <w:t>de</w:t>
      </w:r>
      <w:r>
        <w:rPr>
          <w:spacing w:val="-13"/>
        </w:rPr>
        <w:t xml:space="preserve"> </w:t>
      </w:r>
      <w:r>
        <w:t>las</w:t>
      </w:r>
      <w:r>
        <w:rPr>
          <w:spacing w:val="-13"/>
        </w:rPr>
        <w:t xml:space="preserve"> </w:t>
      </w:r>
      <w:r>
        <w:t>víctimas</w:t>
      </w:r>
      <w:r>
        <w:rPr>
          <w:spacing w:val="-13"/>
        </w:rPr>
        <w:t xml:space="preserve"> </w:t>
      </w:r>
      <w:r>
        <w:t>en</w:t>
      </w:r>
      <w:r>
        <w:rPr>
          <w:spacing w:val="-14"/>
        </w:rPr>
        <w:t xml:space="preserve"> </w:t>
      </w:r>
      <w:r>
        <w:t>el</w:t>
      </w:r>
      <w:r>
        <w:rPr>
          <w:spacing w:val="-14"/>
        </w:rPr>
        <w:t xml:space="preserve"> </w:t>
      </w:r>
      <w:r>
        <w:t>pasado,</w:t>
      </w:r>
      <w:r>
        <w:rPr>
          <w:spacing w:val="-13"/>
        </w:rPr>
        <w:t xml:space="preserve"> </w:t>
      </w:r>
      <w:r>
        <w:t>también</w:t>
      </w:r>
      <w:r>
        <w:rPr>
          <w:spacing w:val="-13"/>
        </w:rPr>
        <w:t xml:space="preserve"> </w:t>
      </w:r>
      <w:r>
        <w:t>las</w:t>
      </w:r>
      <w:r>
        <w:rPr>
          <w:spacing w:val="-14"/>
        </w:rPr>
        <w:t xml:space="preserve"> </w:t>
      </w:r>
      <w:r>
        <w:t>ha</w:t>
      </w:r>
      <w:r>
        <w:rPr>
          <w:spacing w:val="-13"/>
        </w:rPr>
        <w:t xml:space="preserve"> </w:t>
      </w:r>
      <w:r>
        <w:t>seguido condicionando en el presente. No solo se vivió en el momento de los hechos, sino también en la mayor parte de los testimonios recogidos, condicionando sus vidas durante años, muchas veces hasta hoy.</w:t>
      </w:r>
    </w:p>
    <w:p w:rsidR="003804AC" w:rsidRDefault="00AF18A5" w:rsidP="001F48F2">
      <w:r>
        <w:t>Desde el momento en que la Comisión abrió las puertas para el trabajo en los diferentes territorios, incluyendo distintos países, muchas de las víctimas que dieron su testimonio tuvieron</w:t>
      </w:r>
      <w:r>
        <w:rPr>
          <w:spacing w:val="-15"/>
        </w:rPr>
        <w:t xml:space="preserve"> </w:t>
      </w:r>
      <w:r>
        <w:t>miedo</w:t>
      </w:r>
      <w:r>
        <w:rPr>
          <w:spacing w:val="-15"/>
        </w:rPr>
        <w:t xml:space="preserve"> </w:t>
      </w:r>
      <w:r>
        <w:t>de</w:t>
      </w:r>
      <w:r>
        <w:rPr>
          <w:spacing w:val="-15"/>
        </w:rPr>
        <w:t xml:space="preserve"> </w:t>
      </w:r>
      <w:r>
        <w:t>hablar,</w:t>
      </w:r>
      <w:r>
        <w:rPr>
          <w:spacing w:val="-15"/>
        </w:rPr>
        <w:t xml:space="preserve"> </w:t>
      </w:r>
      <w:r>
        <w:t>pero</w:t>
      </w:r>
      <w:r>
        <w:rPr>
          <w:spacing w:val="-15"/>
        </w:rPr>
        <w:t xml:space="preserve"> </w:t>
      </w:r>
      <w:r>
        <w:t>querían</w:t>
      </w:r>
      <w:r>
        <w:rPr>
          <w:spacing w:val="-15"/>
        </w:rPr>
        <w:t xml:space="preserve"> </w:t>
      </w:r>
      <w:r>
        <w:t>hacerlo.</w:t>
      </w:r>
      <w:r>
        <w:rPr>
          <w:spacing w:val="-15"/>
        </w:rPr>
        <w:t xml:space="preserve"> </w:t>
      </w:r>
      <w:r>
        <w:t>El</w:t>
      </w:r>
      <w:r>
        <w:rPr>
          <w:spacing w:val="-15"/>
        </w:rPr>
        <w:t xml:space="preserve"> </w:t>
      </w:r>
      <w:r>
        <w:t>miedo</w:t>
      </w:r>
      <w:r>
        <w:rPr>
          <w:spacing w:val="-15"/>
        </w:rPr>
        <w:t xml:space="preserve"> </w:t>
      </w:r>
      <w:r>
        <w:t>se</w:t>
      </w:r>
      <w:r>
        <w:rPr>
          <w:spacing w:val="-15"/>
        </w:rPr>
        <w:t xml:space="preserve"> </w:t>
      </w:r>
      <w:r>
        <w:t>centró</w:t>
      </w:r>
      <w:r>
        <w:rPr>
          <w:spacing w:val="-15"/>
        </w:rPr>
        <w:t xml:space="preserve"> </w:t>
      </w:r>
      <w:r>
        <w:t>en</w:t>
      </w:r>
      <w:r>
        <w:rPr>
          <w:spacing w:val="-15"/>
        </w:rPr>
        <w:t xml:space="preserve"> </w:t>
      </w:r>
      <w:r>
        <w:t>las</w:t>
      </w:r>
      <w:r>
        <w:rPr>
          <w:spacing w:val="-15"/>
        </w:rPr>
        <w:t xml:space="preserve"> </w:t>
      </w:r>
      <w:r>
        <w:t>posibles</w:t>
      </w:r>
      <w:r>
        <w:rPr>
          <w:spacing w:val="-15"/>
        </w:rPr>
        <w:t xml:space="preserve"> </w:t>
      </w:r>
      <w:r>
        <w:t xml:space="preserve">represalias, en la preocupación por revelar la identidad de los </w:t>
      </w:r>
      <w:proofErr w:type="spellStart"/>
      <w:r>
        <w:t>testimoniantes</w:t>
      </w:r>
      <w:proofErr w:type="spellEnd"/>
      <w:r>
        <w:t>, en el grado de confidencialidad de la información o en su uso posterior y su resguardo. Estos temores – expresados</w:t>
      </w:r>
      <w:r>
        <w:rPr>
          <w:spacing w:val="-12"/>
        </w:rPr>
        <w:t xml:space="preserve"> </w:t>
      </w:r>
      <w:r>
        <w:t>por</w:t>
      </w:r>
      <w:r>
        <w:rPr>
          <w:spacing w:val="-9"/>
        </w:rPr>
        <w:t xml:space="preserve"> </w:t>
      </w:r>
      <w:r>
        <w:t>numerosas</w:t>
      </w:r>
      <w:r>
        <w:rPr>
          <w:spacing w:val="-9"/>
        </w:rPr>
        <w:t xml:space="preserve"> </w:t>
      </w:r>
      <w:r>
        <w:t>víctimas,</w:t>
      </w:r>
      <w:r>
        <w:rPr>
          <w:spacing w:val="-11"/>
        </w:rPr>
        <w:t xml:space="preserve"> </w:t>
      </w:r>
      <w:r>
        <w:t>tanto</w:t>
      </w:r>
      <w:r>
        <w:rPr>
          <w:spacing w:val="-9"/>
        </w:rPr>
        <w:t xml:space="preserve"> </w:t>
      </w:r>
      <w:r>
        <w:t>del</w:t>
      </w:r>
      <w:r>
        <w:rPr>
          <w:spacing w:val="-9"/>
        </w:rPr>
        <w:t xml:space="preserve"> </w:t>
      </w:r>
      <w:r>
        <w:t>territorio</w:t>
      </w:r>
      <w:r>
        <w:rPr>
          <w:spacing w:val="-9"/>
        </w:rPr>
        <w:t xml:space="preserve"> </w:t>
      </w:r>
      <w:r>
        <w:t>colombiano</w:t>
      </w:r>
      <w:r>
        <w:rPr>
          <w:spacing w:val="-9"/>
        </w:rPr>
        <w:t xml:space="preserve"> </w:t>
      </w:r>
      <w:r>
        <w:t>como</w:t>
      </w:r>
      <w:r>
        <w:rPr>
          <w:spacing w:val="-12"/>
        </w:rPr>
        <w:t xml:space="preserve"> </w:t>
      </w:r>
      <w:r>
        <w:t>de</w:t>
      </w:r>
      <w:r>
        <w:rPr>
          <w:spacing w:val="-9"/>
        </w:rPr>
        <w:t xml:space="preserve"> </w:t>
      </w:r>
      <w:r>
        <w:t>las</w:t>
      </w:r>
      <w:r>
        <w:rPr>
          <w:spacing w:val="-9"/>
        </w:rPr>
        <w:t xml:space="preserve"> </w:t>
      </w:r>
      <w:r>
        <w:t>que</w:t>
      </w:r>
      <w:r>
        <w:rPr>
          <w:spacing w:val="-9"/>
        </w:rPr>
        <w:t xml:space="preserve"> </w:t>
      </w:r>
      <w:r>
        <w:t>están</w:t>
      </w:r>
      <w:r>
        <w:rPr>
          <w:spacing w:val="-9"/>
        </w:rPr>
        <w:t xml:space="preserve"> </w:t>
      </w:r>
      <w:r>
        <w:t>en el</w:t>
      </w:r>
      <w:r>
        <w:rPr>
          <w:spacing w:val="5"/>
        </w:rPr>
        <w:t xml:space="preserve"> </w:t>
      </w:r>
      <w:r>
        <w:t>exilio–</w:t>
      </w:r>
      <w:r>
        <w:rPr>
          <w:spacing w:val="6"/>
        </w:rPr>
        <w:t xml:space="preserve"> </w:t>
      </w:r>
      <w:r>
        <w:t>muestran</w:t>
      </w:r>
      <w:r>
        <w:rPr>
          <w:spacing w:val="6"/>
        </w:rPr>
        <w:t xml:space="preserve"> </w:t>
      </w:r>
      <w:r>
        <w:t>los</w:t>
      </w:r>
      <w:r>
        <w:rPr>
          <w:spacing w:val="7"/>
        </w:rPr>
        <w:t xml:space="preserve"> </w:t>
      </w:r>
      <w:r>
        <w:t>retos</w:t>
      </w:r>
      <w:r>
        <w:rPr>
          <w:spacing w:val="7"/>
        </w:rPr>
        <w:t xml:space="preserve"> </w:t>
      </w:r>
      <w:r>
        <w:t>y</w:t>
      </w:r>
      <w:r>
        <w:rPr>
          <w:spacing w:val="7"/>
        </w:rPr>
        <w:t xml:space="preserve"> </w:t>
      </w:r>
      <w:r>
        <w:t>desafíos</w:t>
      </w:r>
      <w:r>
        <w:rPr>
          <w:spacing w:val="8"/>
        </w:rPr>
        <w:t xml:space="preserve"> </w:t>
      </w:r>
      <w:r>
        <w:t>a</w:t>
      </w:r>
      <w:r>
        <w:rPr>
          <w:spacing w:val="7"/>
        </w:rPr>
        <w:t xml:space="preserve"> </w:t>
      </w:r>
      <w:r>
        <w:t>los</w:t>
      </w:r>
      <w:r>
        <w:rPr>
          <w:spacing w:val="7"/>
        </w:rPr>
        <w:t xml:space="preserve"> </w:t>
      </w:r>
      <w:r>
        <w:t>que</w:t>
      </w:r>
      <w:r>
        <w:rPr>
          <w:spacing w:val="7"/>
        </w:rPr>
        <w:t xml:space="preserve"> </w:t>
      </w:r>
      <w:r>
        <w:t>se</w:t>
      </w:r>
      <w:r>
        <w:rPr>
          <w:spacing w:val="7"/>
        </w:rPr>
        <w:t xml:space="preserve"> </w:t>
      </w:r>
      <w:r>
        <w:t>enfrenta</w:t>
      </w:r>
      <w:r>
        <w:rPr>
          <w:spacing w:val="6"/>
        </w:rPr>
        <w:t xml:space="preserve"> </w:t>
      </w:r>
      <w:r>
        <w:t>la</w:t>
      </w:r>
      <w:r>
        <w:rPr>
          <w:spacing w:val="8"/>
        </w:rPr>
        <w:t xml:space="preserve"> </w:t>
      </w:r>
      <w:r>
        <w:t>construcción</w:t>
      </w:r>
      <w:r>
        <w:rPr>
          <w:spacing w:val="7"/>
        </w:rPr>
        <w:t xml:space="preserve"> </w:t>
      </w:r>
      <w:r>
        <w:t>de</w:t>
      </w:r>
      <w:r>
        <w:rPr>
          <w:spacing w:val="7"/>
        </w:rPr>
        <w:t xml:space="preserve"> </w:t>
      </w:r>
      <w:r>
        <w:t>esta</w:t>
      </w:r>
      <w:r>
        <w:rPr>
          <w:spacing w:val="8"/>
        </w:rPr>
        <w:t xml:space="preserve"> </w:t>
      </w:r>
      <w:r>
        <w:rPr>
          <w:spacing w:val="-2"/>
        </w:rPr>
        <w:t>verdad</w:t>
      </w:r>
      <w:bookmarkStart w:id="47" w:name="_bookmark26"/>
      <w:bookmarkEnd w:id="47"/>
      <w:r w:rsidR="001F48F2">
        <w:rPr>
          <w:spacing w:val="-2"/>
        </w:rPr>
        <w:t xml:space="preserve"> </w:t>
      </w:r>
      <w:r>
        <w:t>colectiva, sumados a la desconfianza con grupos armados aún presentes en sus territorios y en el Estado y extendidos hacia las diferentes estructuras sociales actuales.</w:t>
      </w:r>
    </w:p>
    <w:p w:rsidR="003804AC" w:rsidRDefault="00AF18A5" w:rsidP="001F48F2">
      <w:r>
        <w:t xml:space="preserve">Momentos vividos tras la firma del acuerdo de paz, como el asesinato de líderes o el cuestionamiento por algunos sectores políticos o del gobierno colombiano, así como de excombatientes de las FARC-EP que </w:t>
      </w:r>
      <w:r>
        <w:lastRenderedPageBreak/>
        <w:t>firmaron el acuerdo, han llevado a que estos temores se extiendan. Para la Comisión, todo esto es un llamado a la importancia que reviste consolidar y extender el proceso de paz, para poder abordar todas estas verdades en un contexto</w:t>
      </w:r>
      <w:r>
        <w:rPr>
          <w:spacing w:val="-7"/>
        </w:rPr>
        <w:t xml:space="preserve"> </w:t>
      </w:r>
      <w:r>
        <w:t>en</w:t>
      </w:r>
      <w:r>
        <w:rPr>
          <w:spacing w:val="-7"/>
        </w:rPr>
        <w:t xml:space="preserve"> </w:t>
      </w:r>
      <w:r>
        <w:t>el</w:t>
      </w:r>
      <w:r>
        <w:rPr>
          <w:spacing w:val="-6"/>
        </w:rPr>
        <w:t xml:space="preserve"> </w:t>
      </w:r>
      <w:r>
        <w:t>que</w:t>
      </w:r>
      <w:r>
        <w:rPr>
          <w:spacing w:val="-6"/>
        </w:rPr>
        <w:t xml:space="preserve"> </w:t>
      </w:r>
      <w:r>
        <w:t>hablar</w:t>
      </w:r>
      <w:r>
        <w:rPr>
          <w:spacing w:val="-6"/>
        </w:rPr>
        <w:t xml:space="preserve"> </w:t>
      </w:r>
      <w:r>
        <w:t>no</w:t>
      </w:r>
      <w:r>
        <w:rPr>
          <w:spacing w:val="-6"/>
        </w:rPr>
        <w:t xml:space="preserve"> </w:t>
      </w:r>
      <w:r>
        <w:t>sea</w:t>
      </w:r>
      <w:r>
        <w:rPr>
          <w:spacing w:val="-6"/>
        </w:rPr>
        <w:t xml:space="preserve"> </w:t>
      </w:r>
      <w:r>
        <w:t>vivido</w:t>
      </w:r>
      <w:r>
        <w:rPr>
          <w:spacing w:val="-6"/>
        </w:rPr>
        <w:t xml:space="preserve"> </w:t>
      </w:r>
      <w:r>
        <w:t>como</w:t>
      </w:r>
      <w:r>
        <w:rPr>
          <w:spacing w:val="-6"/>
        </w:rPr>
        <w:t xml:space="preserve"> </w:t>
      </w:r>
      <w:r>
        <w:t>un</w:t>
      </w:r>
      <w:r>
        <w:rPr>
          <w:spacing w:val="-7"/>
        </w:rPr>
        <w:t xml:space="preserve"> </w:t>
      </w:r>
      <w:r>
        <w:t>peligro.</w:t>
      </w:r>
      <w:r>
        <w:rPr>
          <w:spacing w:val="-6"/>
        </w:rPr>
        <w:t xml:space="preserve"> </w:t>
      </w:r>
      <w:r>
        <w:t>También</w:t>
      </w:r>
      <w:r>
        <w:rPr>
          <w:spacing w:val="-6"/>
        </w:rPr>
        <w:t xml:space="preserve"> </w:t>
      </w:r>
      <w:r>
        <w:t>son</w:t>
      </w:r>
      <w:r>
        <w:rPr>
          <w:spacing w:val="-6"/>
        </w:rPr>
        <w:t xml:space="preserve"> </w:t>
      </w:r>
      <w:r>
        <w:t>una</w:t>
      </w:r>
      <w:r>
        <w:rPr>
          <w:spacing w:val="-6"/>
        </w:rPr>
        <w:t xml:space="preserve"> </w:t>
      </w:r>
      <w:r>
        <w:t>demanda</w:t>
      </w:r>
      <w:r>
        <w:rPr>
          <w:spacing w:val="-8"/>
        </w:rPr>
        <w:t xml:space="preserve"> </w:t>
      </w:r>
      <w:r>
        <w:t>para</w:t>
      </w:r>
      <w:r>
        <w:rPr>
          <w:spacing w:val="-6"/>
        </w:rPr>
        <w:t xml:space="preserve"> </w:t>
      </w:r>
      <w:r>
        <w:t>los grupos</w:t>
      </w:r>
      <w:r>
        <w:rPr>
          <w:spacing w:val="-2"/>
        </w:rPr>
        <w:t xml:space="preserve"> </w:t>
      </w:r>
      <w:r>
        <w:t>armados</w:t>
      </w:r>
      <w:r>
        <w:rPr>
          <w:spacing w:val="-2"/>
        </w:rPr>
        <w:t xml:space="preserve"> </w:t>
      </w:r>
      <w:r>
        <w:t>aún</w:t>
      </w:r>
      <w:r>
        <w:rPr>
          <w:spacing w:val="-2"/>
        </w:rPr>
        <w:t xml:space="preserve"> </w:t>
      </w:r>
      <w:r>
        <w:t>activos</w:t>
      </w:r>
      <w:r>
        <w:rPr>
          <w:spacing w:val="-2"/>
        </w:rPr>
        <w:t xml:space="preserve"> </w:t>
      </w:r>
      <w:r>
        <w:t>y</w:t>
      </w:r>
      <w:r>
        <w:rPr>
          <w:spacing w:val="-2"/>
        </w:rPr>
        <w:t xml:space="preserve"> </w:t>
      </w:r>
      <w:r>
        <w:t>de</w:t>
      </w:r>
      <w:r>
        <w:rPr>
          <w:spacing w:val="-2"/>
        </w:rPr>
        <w:t xml:space="preserve"> </w:t>
      </w:r>
      <w:r>
        <w:t>acuerdos</w:t>
      </w:r>
      <w:r>
        <w:rPr>
          <w:spacing w:val="-2"/>
        </w:rPr>
        <w:t xml:space="preserve"> </w:t>
      </w:r>
      <w:r>
        <w:t>humanitarios</w:t>
      </w:r>
      <w:r>
        <w:rPr>
          <w:spacing w:val="-2"/>
        </w:rPr>
        <w:t xml:space="preserve"> </w:t>
      </w:r>
      <w:r>
        <w:t>que</w:t>
      </w:r>
      <w:r>
        <w:rPr>
          <w:spacing w:val="-3"/>
        </w:rPr>
        <w:t xml:space="preserve"> </w:t>
      </w:r>
      <w:r>
        <w:t>respeten</w:t>
      </w:r>
      <w:r>
        <w:rPr>
          <w:spacing w:val="-2"/>
        </w:rPr>
        <w:t xml:space="preserve"> </w:t>
      </w:r>
      <w:r>
        <w:t>la</w:t>
      </w:r>
      <w:r>
        <w:rPr>
          <w:spacing w:val="-2"/>
        </w:rPr>
        <w:t xml:space="preserve"> </w:t>
      </w:r>
      <w:r>
        <w:t>vida</w:t>
      </w:r>
      <w:r>
        <w:rPr>
          <w:spacing w:val="-2"/>
        </w:rPr>
        <w:t xml:space="preserve"> </w:t>
      </w:r>
      <w:r>
        <w:t>de</w:t>
      </w:r>
      <w:r>
        <w:rPr>
          <w:spacing w:val="-3"/>
        </w:rPr>
        <w:t xml:space="preserve"> </w:t>
      </w:r>
      <w:r>
        <w:t>la</w:t>
      </w:r>
      <w:r>
        <w:rPr>
          <w:spacing w:val="-2"/>
        </w:rPr>
        <w:t xml:space="preserve"> </w:t>
      </w:r>
      <w:r>
        <w:t>gente,</w:t>
      </w:r>
      <w:r>
        <w:rPr>
          <w:spacing w:val="-2"/>
        </w:rPr>
        <w:t xml:space="preserve"> </w:t>
      </w:r>
      <w:r>
        <w:t>así como para el conjunto de las instituciones del Estado sobre la necesaria coherencia con los compromisos adquiridos, la garantía de seguridad y el respeto con las víctimas.</w:t>
      </w:r>
    </w:p>
    <w:p w:rsidR="003804AC" w:rsidRDefault="00AF18A5" w:rsidP="001F48F2">
      <w:r>
        <w:t>El sentido otorgado al trabajo de la Comisión como parte de un proceso de paz y como respuesta a la demanda histórica de las víctimas ha sido la gran motivación para hablar con una visión de futuro: «Que este país cambie», «Que lo que ha pasado no siga sucediendo como</w:t>
      </w:r>
      <w:r>
        <w:rPr>
          <w:spacing w:val="-5"/>
        </w:rPr>
        <w:t xml:space="preserve"> </w:t>
      </w:r>
      <w:r>
        <w:t>ahora»,</w:t>
      </w:r>
      <w:r>
        <w:rPr>
          <w:spacing w:val="-5"/>
        </w:rPr>
        <w:t xml:space="preserve"> </w:t>
      </w:r>
      <w:r>
        <w:t>«Que</w:t>
      </w:r>
      <w:r>
        <w:rPr>
          <w:spacing w:val="-5"/>
        </w:rPr>
        <w:t xml:space="preserve"> </w:t>
      </w:r>
      <w:r>
        <w:t>se</w:t>
      </w:r>
      <w:r>
        <w:rPr>
          <w:spacing w:val="-5"/>
        </w:rPr>
        <w:t xml:space="preserve"> </w:t>
      </w:r>
      <w:r>
        <w:t>escuche</w:t>
      </w:r>
      <w:r>
        <w:rPr>
          <w:spacing w:val="-5"/>
        </w:rPr>
        <w:t xml:space="preserve"> </w:t>
      </w:r>
      <w:r>
        <w:t>nuestra</w:t>
      </w:r>
      <w:r>
        <w:rPr>
          <w:spacing w:val="-5"/>
        </w:rPr>
        <w:t xml:space="preserve"> </w:t>
      </w:r>
      <w:r>
        <w:t>historia»,</w:t>
      </w:r>
      <w:r>
        <w:rPr>
          <w:spacing w:val="-6"/>
        </w:rPr>
        <w:t xml:space="preserve"> </w:t>
      </w:r>
      <w:r>
        <w:t>«Que</w:t>
      </w:r>
      <w:r>
        <w:rPr>
          <w:spacing w:val="-5"/>
        </w:rPr>
        <w:t xml:space="preserve"> </w:t>
      </w:r>
      <w:r>
        <w:t>no</w:t>
      </w:r>
      <w:r>
        <w:rPr>
          <w:spacing w:val="-5"/>
        </w:rPr>
        <w:t xml:space="preserve"> </w:t>
      </w:r>
      <w:r>
        <w:t>se</w:t>
      </w:r>
      <w:r>
        <w:rPr>
          <w:spacing w:val="-5"/>
        </w:rPr>
        <w:t xml:space="preserve"> </w:t>
      </w:r>
      <w:r>
        <w:t>olvide»,</w:t>
      </w:r>
      <w:r>
        <w:rPr>
          <w:spacing w:val="-5"/>
        </w:rPr>
        <w:t xml:space="preserve"> </w:t>
      </w:r>
      <w:r>
        <w:t>«Que</w:t>
      </w:r>
      <w:r>
        <w:rPr>
          <w:spacing w:val="-5"/>
        </w:rPr>
        <w:t xml:space="preserve"> </w:t>
      </w:r>
      <w:r>
        <w:t>por</w:t>
      </w:r>
      <w:r>
        <w:rPr>
          <w:spacing w:val="-4"/>
        </w:rPr>
        <w:t xml:space="preserve"> </w:t>
      </w:r>
      <w:r>
        <w:t>fin</w:t>
      </w:r>
      <w:r>
        <w:rPr>
          <w:spacing w:val="-6"/>
        </w:rPr>
        <w:t xml:space="preserve"> </w:t>
      </w:r>
      <w:r>
        <w:t>responda el Estado». Pero también existen con toda legitimidad motivaciones personales o familiares como parte de esta historia colectiva: «Que se reconozca el buen nombre de nuestros familiares», «Sanar esta herida», «Quitarme esa mochila de encima».</w:t>
      </w:r>
    </w:p>
    <w:p w:rsidR="003804AC" w:rsidRDefault="00AF18A5" w:rsidP="001F48F2">
      <w:r>
        <w:t>Esto</w:t>
      </w:r>
      <w:r>
        <w:rPr>
          <w:spacing w:val="-6"/>
        </w:rPr>
        <w:t xml:space="preserve"> </w:t>
      </w:r>
      <w:r>
        <w:t>ha</w:t>
      </w:r>
      <w:r>
        <w:rPr>
          <w:spacing w:val="-6"/>
        </w:rPr>
        <w:t xml:space="preserve"> </w:t>
      </w:r>
      <w:r>
        <w:t>aumentado</w:t>
      </w:r>
      <w:r>
        <w:rPr>
          <w:spacing w:val="-6"/>
        </w:rPr>
        <w:t xml:space="preserve"> </w:t>
      </w:r>
      <w:r>
        <w:t>la</w:t>
      </w:r>
      <w:r>
        <w:rPr>
          <w:spacing w:val="-6"/>
        </w:rPr>
        <w:t xml:space="preserve"> </w:t>
      </w:r>
      <w:r>
        <w:t>complejidad</w:t>
      </w:r>
      <w:r>
        <w:rPr>
          <w:spacing w:val="-6"/>
        </w:rPr>
        <w:t xml:space="preserve"> </w:t>
      </w:r>
      <w:r>
        <w:t>para</w:t>
      </w:r>
      <w:r>
        <w:rPr>
          <w:spacing w:val="-6"/>
        </w:rPr>
        <w:t xml:space="preserve"> </w:t>
      </w:r>
      <w:r>
        <w:t>comprender</w:t>
      </w:r>
      <w:r>
        <w:rPr>
          <w:spacing w:val="-5"/>
        </w:rPr>
        <w:t xml:space="preserve"> </w:t>
      </w:r>
      <w:r>
        <w:t>y</w:t>
      </w:r>
      <w:r>
        <w:rPr>
          <w:spacing w:val="-6"/>
        </w:rPr>
        <w:t xml:space="preserve"> </w:t>
      </w:r>
      <w:r>
        <w:t>asimilar</w:t>
      </w:r>
      <w:r>
        <w:rPr>
          <w:spacing w:val="-5"/>
        </w:rPr>
        <w:t xml:space="preserve"> </w:t>
      </w:r>
      <w:r>
        <w:t>lo</w:t>
      </w:r>
      <w:r>
        <w:rPr>
          <w:spacing w:val="-6"/>
        </w:rPr>
        <w:t xml:space="preserve"> </w:t>
      </w:r>
      <w:r>
        <w:t>sucedido,</w:t>
      </w:r>
      <w:r>
        <w:rPr>
          <w:spacing w:val="-6"/>
        </w:rPr>
        <w:t xml:space="preserve"> </w:t>
      </w:r>
      <w:r>
        <w:t>para</w:t>
      </w:r>
      <w:r>
        <w:rPr>
          <w:spacing w:val="-6"/>
        </w:rPr>
        <w:t xml:space="preserve"> </w:t>
      </w:r>
      <w:r>
        <w:t xml:space="preserve">entender las experiencias límite que han acompañado la vida de cientos de miles de colombianas y colombianos cuyo sufrimiento los ha puesto al borde de un abismo psicológico que muchas </w:t>
      </w:r>
      <w:r>
        <w:rPr>
          <w:spacing w:val="-2"/>
        </w:rPr>
        <w:t>veces</w:t>
      </w:r>
      <w:r>
        <w:rPr>
          <w:spacing w:val="-7"/>
        </w:rPr>
        <w:t xml:space="preserve"> </w:t>
      </w:r>
      <w:r>
        <w:rPr>
          <w:spacing w:val="-2"/>
        </w:rPr>
        <w:t>no</w:t>
      </w:r>
      <w:r>
        <w:rPr>
          <w:spacing w:val="-7"/>
        </w:rPr>
        <w:t xml:space="preserve"> </w:t>
      </w:r>
      <w:r>
        <w:rPr>
          <w:spacing w:val="-2"/>
        </w:rPr>
        <w:t>han</w:t>
      </w:r>
      <w:r>
        <w:rPr>
          <w:spacing w:val="-8"/>
        </w:rPr>
        <w:t xml:space="preserve"> </w:t>
      </w:r>
      <w:r>
        <w:rPr>
          <w:spacing w:val="-2"/>
        </w:rPr>
        <w:t>podido</w:t>
      </w:r>
      <w:r>
        <w:rPr>
          <w:spacing w:val="-7"/>
        </w:rPr>
        <w:t xml:space="preserve"> </w:t>
      </w:r>
      <w:r>
        <w:rPr>
          <w:spacing w:val="-2"/>
        </w:rPr>
        <w:t>verbalizar</w:t>
      </w:r>
      <w:r>
        <w:rPr>
          <w:spacing w:val="-5"/>
        </w:rPr>
        <w:t xml:space="preserve"> </w:t>
      </w:r>
      <w:r>
        <w:rPr>
          <w:spacing w:val="-2"/>
        </w:rPr>
        <w:t>y</w:t>
      </w:r>
      <w:r>
        <w:rPr>
          <w:spacing w:val="-7"/>
        </w:rPr>
        <w:t xml:space="preserve"> </w:t>
      </w:r>
      <w:r>
        <w:rPr>
          <w:spacing w:val="-2"/>
        </w:rPr>
        <w:t>que</w:t>
      </w:r>
      <w:r>
        <w:rPr>
          <w:spacing w:val="-7"/>
        </w:rPr>
        <w:t xml:space="preserve"> </w:t>
      </w:r>
      <w:r>
        <w:rPr>
          <w:spacing w:val="-2"/>
        </w:rPr>
        <w:t>todavía</w:t>
      </w:r>
      <w:r>
        <w:rPr>
          <w:spacing w:val="-7"/>
        </w:rPr>
        <w:t xml:space="preserve"> </w:t>
      </w:r>
      <w:r>
        <w:rPr>
          <w:spacing w:val="-2"/>
        </w:rPr>
        <w:t>no</w:t>
      </w:r>
      <w:r>
        <w:rPr>
          <w:spacing w:val="-8"/>
        </w:rPr>
        <w:t xml:space="preserve"> </w:t>
      </w:r>
      <w:r>
        <w:rPr>
          <w:spacing w:val="-2"/>
        </w:rPr>
        <w:t>tiene</w:t>
      </w:r>
      <w:r>
        <w:rPr>
          <w:spacing w:val="-7"/>
        </w:rPr>
        <w:t xml:space="preserve"> </w:t>
      </w:r>
      <w:r>
        <w:rPr>
          <w:spacing w:val="-2"/>
        </w:rPr>
        <w:t>el</w:t>
      </w:r>
      <w:r>
        <w:rPr>
          <w:spacing w:val="-8"/>
        </w:rPr>
        <w:t xml:space="preserve"> </w:t>
      </w:r>
      <w:r>
        <w:rPr>
          <w:spacing w:val="-2"/>
        </w:rPr>
        <w:t>reconocimiento</w:t>
      </w:r>
      <w:r>
        <w:rPr>
          <w:spacing w:val="-7"/>
        </w:rPr>
        <w:t xml:space="preserve"> </w:t>
      </w:r>
      <w:r>
        <w:rPr>
          <w:spacing w:val="-2"/>
        </w:rPr>
        <w:t>debido.</w:t>
      </w:r>
      <w:r>
        <w:rPr>
          <w:spacing w:val="-7"/>
        </w:rPr>
        <w:t xml:space="preserve"> </w:t>
      </w:r>
      <w:r>
        <w:rPr>
          <w:spacing w:val="-2"/>
        </w:rPr>
        <w:t>Como</w:t>
      </w:r>
      <w:r>
        <w:rPr>
          <w:spacing w:val="-8"/>
        </w:rPr>
        <w:t xml:space="preserve"> </w:t>
      </w:r>
      <w:r>
        <w:rPr>
          <w:spacing w:val="-2"/>
        </w:rPr>
        <w:t xml:space="preserve">señaló </w:t>
      </w:r>
      <w:r>
        <w:t>un</w:t>
      </w:r>
      <w:r>
        <w:rPr>
          <w:spacing w:val="-8"/>
        </w:rPr>
        <w:t xml:space="preserve"> </w:t>
      </w:r>
      <w:r>
        <w:t>grupo</w:t>
      </w:r>
      <w:r>
        <w:rPr>
          <w:spacing w:val="-8"/>
        </w:rPr>
        <w:t xml:space="preserve"> </w:t>
      </w:r>
      <w:r>
        <w:t>de</w:t>
      </w:r>
      <w:r>
        <w:rPr>
          <w:spacing w:val="-8"/>
        </w:rPr>
        <w:t xml:space="preserve"> </w:t>
      </w:r>
      <w:r>
        <w:t>jóvenes</w:t>
      </w:r>
      <w:r>
        <w:rPr>
          <w:spacing w:val="-8"/>
        </w:rPr>
        <w:t xml:space="preserve"> </w:t>
      </w:r>
      <w:r>
        <w:t>en</w:t>
      </w:r>
      <w:r>
        <w:rPr>
          <w:spacing w:val="-8"/>
        </w:rPr>
        <w:t xml:space="preserve"> </w:t>
      </w:r>
      <w:r>
        <w:t>un</w:t>
      </w:r>
      <w:r>
        <w:rPr>
          <w:spacing w:val="-8"/>
        </w:rPr>
        <w:t xml:space="preserve"> </w:t>
      </w:r>
      <w:r>
        <w:t>diálogo</w:t>
      </w:r>
      <w:r>
        <w:rPr>
          <w:spacing w:val="-8"/>
        </w:rPr>
        <w:t xml:space="preserve"> </w:t>
      </w:r>
      <w:r>
        <w:t>con</w:t>
      </w:r>
      <w:r>
        <w:rPr>
          <w:spacing w:val="-8"/>
        </w:rPr>
        <w:t xml:space="preserve"> </w:t>
      </w:r>
      <w:r>
        <w:t>sus</w:t>
      </w:r>
      <w:r>
        <w:rPr>
          <w:spacing w:val="-8"/>
        </w:rPr>
        <w:t xml:space="preserve"> </w:t>
      </w:r>
      <w:r>
        <w:t>familias</w:t>
      </w:r>
      <w:r>
        <w:rPr>
          <w:spacing w:val="-8"/>
        </w:rPr>
        <w:t xml:space="preserve"> </w:t>
      </w:r>
      <w:r>
        <w:t>durante</w:t>
      </w:r>
      <w:r>
        <w:rPr>
          <w:spacing w:val="-8"/>
        </w:rPr>
        <w:t xml:space="preserve"> </w:t>
      </w:r>
      <w:r>
        <w:t>un</w:t>
      </w:r>
      <w:r>
        <w:rPr>
          <w:spacing w:val="-8"/>
        </w:rPr>
        <w:t xml:space="preserve"> </w:t>
      </w:r>
      <w:r>
        <w:t>encuentro</w:t>
      </w:r>
      <w:r>
        <w:rPr>
          <w:spacing w:val="-8"/>
        </w:rPr>
        <w:t xml:space="preserve"> </w:t>
      </w:r>
      <w:r>
        <w:t>con</w:t>
      </w:r>
      <w:r>
        <w:rPr>
          <w:spacing w:val="-8"/>
        </w:rPr>
        <w:t xml:space="preserve"> </w:t>
      </w:r>
      <w:r>
        <w:t>la</w:t>
      </w:r>
      <w:r>
        <w:rPr>
          <w:spacing w:val="-8"/>
        </w:rPr>
        <w:t xml:space="preserve"> </w:t>
      </w:r>
      <w:r>
        <w:t>Comisión</w:t>
      </w:r>
      <w:r>
        <w:rPr>
          <w:spacing w:val="-8"/>
        </w:rPr>
        <w:t xml:space="preserve"> </w:t>
      </w:r>
      <w:r>
        <w:t>de la</w:t>
      </w:r>
      <w:r>
        <w:rPr>
          <w:spacing w:val="-6"/>
        </w:rPr>
        <w:t xml:space="preserve"> </w:t>
      </w:r>
      <w:r>
        <w:t>Verdad:</w:t>
      </w:r>
      <w:r>
        <w:rPr>
          <w:spacing w:val="-6"/>
        </w:rPr>
        <w:t xml:space="preserve"> </w:t>
      </w:r>
      <w:r>
        <w:t>«Ustedes</w:t>
      </w:r>
      <w:r>
        <w:rPr>
          <w:spacing w:val="-6"/>
        </w:rPr>
        <w:t xml:space="preserve"> </w:t>
      </w:r>
      <w:r>
        <w:t>nos</w:t>
      </w:r>
      <w:r>
        <w:rPr>
          <w:spacing w:val="-7"/>
        </w:rPr>
        <w:t xml:space="preserve"> </w:t>
      </w:r>
      <w:r>
        <w:t>han</w:t>
      </w:r>
      <w:r>
        <w:rPr>
          <w:spacing w:val="-6"/>
        </w:rPr>
        <w:t xml:space="preserve"> </w:t>
      </w:r>
      <w:r>
        <w:t>contado</w:t>
      </w:r>
      <w:r>
        <w:rPr>
          <w:spacing w:val="-7"/>
        </w:rPr>
        <w:t xml:space="preserve"> </w:t>
      </w:r>
      <w:r>
        <w:t>algo</w:t>
      </w:r>
      <w:r>
        <w:rPr>
          <w:spacing w:val="-6"/>
        </w:rPr>
        <w:t xml:space="preserve"> </w:t>
      </w:r>
      <w:r>
        <w:rPr>
          <w:i/>
        </w:rPr>
        <w:t>de</w:t>
      </w:r>
      <w:r>
        <w:rPr>
          <w:i/>
          <w:spacing w:val="-6"/>
        </w:rPr>
        <w:t xml:space="preserve"> </w:t>
      </w:r>
      <w:r>
        <w:rPr>
          <w:i/>
        </w:rPr>
        <w:t>lo</w:t>
      </w:r>
      <w:r>
        <w:rPr>
          <w:i/>
          <w:spacing w:val="-6"/>
        </w:rPr>
        <w:t xml:space="preserve"> </w:t>
      </w:r>
      <w:r>
        <w:rPr>
          <w:i/>
        </w:rPr>
        <w:t>que</w:t>
      </w:r>
      <w:r>
        <w:rPr>
          <w:i/>
          <w:spacing w:val="-6"/>
        </w:rPr>
        <w:t xml:space="preserve"> </w:t>
      </w:r>
      <w:r>
        <w:rPr>
          <w:i/>
        </w:rPr>
        <w:t>pasó</w:t>
      </w:r>
      <w:r>
        <w:t>,</w:t>
      </w:r>
      <w:r>
        <w:rPr>
          <w:spacing w:val="-6"/>
        </w:rPr>
        <w:t xml:space="preserve"> </w:t>
      </w:r>
      <w:r>
        <w:t>pero</w:t>
      </w:r>
      <w:r>
        <w:rPr>
          <w:spacing w:val="-6"/>
        </w:rPr>
        <w:t xml:space="preserve"> </w:t>
      </w:r>
      <w:r>
        <w:t>no</w:t>
      </w:r>
      <w:r>
        <w:rPr>
          <w:spacing w:val="-6"/>
        </w:rPr>
        <w:t xml:space="preserve"> </w:t>
      </w:r>
      <w:r>
        <w:t>nos</w:t>
      </w:r>
      <w:r>
        <w:rPr>
          <w:spacing w:val="-6"/>
        </w:rPr>
        <w:t xml:space="preserve"> </w:t>
      </w:r>
      <w:r>
        <w:t>han</w:t>
      </w:r>
      <w:r>
        <w:rPr>
          <w:spacing w:val="-6"/>
        </w:rPr>
        <w:t xml:space="preserve"> </w:t>
      </w:r>
      <w:r>
        <w:t>hablado</w:t>
      </w:r>
      <w:r>
        <w:rPr>
          <w:spacing w:val="-6"/>
        </w:rPr>
        <w:t xml:space="preserve"> </w:t>
      </w:r>
      <w:r>
        <w:t>de</w:t>
      </w:r>
      <w:r>
        <w:rPr>
          <w:spacing w:val="-6"/>
        </w:rPr>
        <w:t xml:space="preserve"> </w:t>
      </w:r>
      <w:r>
        <w:rPr>
          <w:i/>
        </w:rPr>
        <w:t>lo</w:t>
      </w:r>
      <w:r>
        <w:rPr>
          <w:i/>
          <w:spacing w:val="-6"/>
        </w:rPr>
        <w:t xml:space="preserve"> </w:t>
      </w:r>
      <w:r>
        <w:rPr>
          <w:i/>
        </w:rPr>
        <w:t>que les pasó</w:t>
      </w:r>
      <w:r>
        <w:t>». En los miles de testimonios escuchados, de encuentros con las víctimas y de espacios</w:t>
      </w:r>
      <w:r>
        <w:rPr>
          <w:spacing w:val="-3"/>
        </w:rPr>
        <w:t xml:space="preserve"> </w:t>
      </w:r>
      <w:r>
        <w:t>de</w:t>
      </w:r>
      <w:r>
        <w:rPr>
          <w:spacing w:val="-5"/>
        </w:rPr>
        <w:t xml:space="preserve"> </w:t>
      </w:r>
      <w:r>
        <w:t>reconocimiento,</w:t>
      </w:r>
      <w:r>
        <w:rPr>
          <w:spacing w:val="-4"/>
        </w:rPr>
        <w:t xml:space="preserve"> </w:t>
      </w:r>
      <w:r>
        <w:t>la</w:t>
      </w:r>
      <w:r>
        <w:rPr>
          <w:spacing w:val="-3"/>
        </w:rPr>
        <w:t xml:space="preserve"> </w:t>
      </w:r>
      <w:r>
        <w:t>Comisión</w:t>
      </w:r>
      <w:r>
        <w:rPr>
          <w:spacing w:val="-4"/>
        </w:rPr>
        <w:t xml:space="preserve"> </w:t>
      </w:r>
      <w:r>
        <w:t>ha</w:t>
      </w:r>
      <w:r>
        <w:rPr>
          <w:spacing w:val="-3"/>
        </w:rPr>
        <w:t xml:space="preserve"> </w:t>
      </w:r>
      <w:r>
        <w:t>sido</w:t>
      </w:r>
      <w:r>
        <w:rPr>
          <w:spacing w:val="-5"/>
        </w:rPr>
        <w:t xml:space="preserve"> </w:t>
      </w:r>
      <w:r>
        <w:t>testigo</w:t>
      </w:r>
      <w:r>
        <w:rPr>
          <w:spacing w:val="-4"/>
        </w:rPr>
        <w:t xml:space="preserve"> </w:t>
      </w:r>
      <w:r>
        <w:t>de</w:t>
      </w:r>
      <w:r>
        <w:rPr>
          <w:spacing w:val="-3"/>
        </w:rPr>
        <w:t xml:space="preserve"> </w:t>
      </w:r>
      <w:r>
        <w:t>que</w:t>
      </w:r>
      <w:r>
        <w:rPr>
          <w:spacing w:val="-3"/>
        </w:rPr>
        <w:t xml:space="preserve"> </w:t>
      </w:r>
      <w:r>
        <w:t>el</w:t>
      </w:r>
      <w:r>
        <w:rPr>
          <w:spacing w:val="-3"/>
        </w:rPr>
        <w:t xml:space="preserve"> </w:t>
      </w:r>
      <w:r>
        <w:t>dolor</w:t>
      </w:r>
      <w:r>
        <w:rPr>
          <w:spacing w:val="-3"/>
        </w:rPr>
        <w:t xml:space="preserve"> </w:t>
      </w:r>
      <w:r>
        <w:t>y</w:t>
      </w:r>
      <w:r>
        <w:rPr>
          <w:spacing w:val="-5"/>
        </w:rPr>
        <w:t xml:space="preserve"> </w:t>
      </w:r>
      <w:r>
        <w:lastRenderedPageBreak/>
        <w:t>el</w:t>
      </w:r>
      <w:r>
        <w:rPr>
          <w:spacing w:val="-3"/>
        </w:rPr>
        <w:t xml:space="preserve"> </w:t>
      </w:r>
      <w:r>
        <w:t>trauma</w:t>
      </w:r>
      <w:r>
        <w:rPr>
          <w:spacing w:val="-3"/>
        </w:rPr>
        <w:t xml:space="preserve"> </w:t>
      </w:r>
      <w:r>
        <w:t>sufridos individual y colectivamente necesitan de estos procesos, de un lugar de escucha, reconocimiento</w:t>
      </w:r>
      <w:r>
        <w:rPr>
          <w:spacing w:val="-6"/>
        </w:rPr>
        <w:t xml:space="preserve"> </w:t>
      </w:r>
      <w:r>
        <w:t>y</w:t>
      </w:r>
      <w:r>
        <w:rPr>
          <w:spacing w:val="-6"/>
        </w:rPr>
        <w:t xml:space="preserve"> </w:t>
      </w:r>
      <w:r>
        <w:t>apoyo.</w:t>
      </w:r>
      <w:r>
        <w:rPr>
          <w:spacing w:val="-6"/>
        </w:rPr>
        <w:t xml:space="preserve"> </w:t>
      </w:r>
      <w:r>
        <w:t>Paulatinamente,</w:t>
      </w:r>
      <w:r>
        <w:rPr>
          <w:spacing w:val="-6"/>
        </w:rPr>
        <w:t xml:space="preserve"> </w:t>
      </w:r>
      <w:r>
        <w:t>el</w:t>
      </w:r>
      <w:r>
        <w:rPr>
          <w:spacing w:val="-5"/>
        </w:rPr>
        <w:t xml:space="preserve"> </w:t>
      </w:r>
      <w:r>
        <w:t>país</w:t>
      </w:r>
      <w:r>
        <w:rPr>
          <w:spacing w:val="-6"/>
        </w:rPr>
        <w:t xml:space="preserve"> </w:t>
      </w:r>
      <w:r>
        <w:t>ha</w:t>
      </w:r>
      <w:r>
        <w:rPr>
          <w:spacing w:val="-6"/>
        </w:rPr>
        <w:t xml:space="preserve"> </w:t>
      </w:r>
      <w:r>
        <w:t>ido</w:t>
      </w:r>
      <w:r>
        <w:rPr>
          <w:spacing w:val="-6"/>
        </w:rPr>
        <w:t xml:space="preserve"> </w:t>
      </w:r>
      <w:r>
        <w:t>avanzando</w:t>
      </w:r>
      <w:r>
        <w:rPr>
          <w:spacing w:val="-6"/>
        </w:rPr>
        <w:t xml:space="preserve"> </w:t>
      </w:r>
      <w:r>
        <w:t>en</w:t>
      </w:r>
      <w:r>
        <w:rPr>
          <w:spacing w:val="-6"/>
        </w:rPr>
        <w:t xml:space="preserve"> </w:t>
      </w:r>
      <w:r>
        <w:t>la</w:t>
      </w:r>
      <w:r>
        <w:rPr>
          <w:spacing w:val="-6"/>
        </w:rPr>
        <w:t xml:space="preserve"> </w:t>
      </w:r>
      <w:r>
        <w:t>reivindicación</w:t>
      </w:r>
      <w:r>
        <w:rPr>
          <w:spacing w:val="-6"/>
        </w:rPr>
        <w:t xml:space="preserve"> </w:t>
      </w:r>
      <w:r>
        <w:t>de</w:t>
      </w:r>
      <w:r>
        <w:rPr>
          <w:spacing w:val="-6"/>
        </w:rPr>
        <w:t xml:space="preserve"> </w:t>
      </w:r>
      <w:r>
        <w:t>la verdad y la memoria como pilares de la reparación simbólica para la no repetición.</w:t>
      </w:r>
    </w:p>
    <w:p w:rsidR="003804AC" w:rsidRDefault="00AF18A5" w:rsidP="001F48F2">
      <w:r>
        <w:t>Ante los ojos de los colombianos, los</w:t>
      </w:r>
      <w:r>
        <w:rPr>
          <w:spacing w:val="-1"/>
        </w:rPr>
        <w:t xml:space="preserve"> </w:t>
      </w:r>
      <w:r>
        <w:t>hechos violentos no fueron percibidos de la misma manera.</w:t>
      </w:r>
      <w:r>
        <w:rPr>
          <w:spacing w:val="-7"/>
        </w:rPr>
        <w:t xml:space="preserve"> </w:t>
      </w:r>
      <w:r>
        <w:t>Las</w:t>
      </w:r>
      <w:r>
        <w:rPr>
          <w:spacing w:val="-9"/>
        </w:rPr>
        <w:t xml:space="preserve"> </w:t>
      </w:r>
      <w:r>
        <w:t>crueles</w:t>
      </w:r>
      <w:r>
        <w:rPr>
          <w:spacing w:val="-7"/>
        </w:rPr>
        <w:t xml:space="preserve"> </w:t>
      </w:r>
      <w:r>
        <w:t>acciones</w:t>
      </w:r>
      <w:r>
        <w:rPr>
          <w:spacing w:val="-7"/>
        </w:rPr>
        <w:t xml:space="preserve"> </w:t>
      </w:r>
      <w:r>
        <w:t>ejecutadas</w:t>
      </w:r>
      <w:r>
        <w:rPr>
          <w:spacing w:val="-7"/>
        </w:rPr>
        <w:t xml:space="preserve"> </w:t>
      </w:r>
      <w:r>
        <w:t>por</w:t>
      </w:r>
      <w:r>
        <w:rPr>
          <w:spacing w:val="-8"/>
        </w:rPr>
        <w:t xml:space="preserve"> </w:t>
      </w:r>
      <w:r>
        <w:t>las</w:t>
      </w:r>
      <w:r>
        <w:rPr>
          <w:spacing w:val="-7"/>
        </w:rPr>
        <w:t xml:space="preserve"> </w:t>
      </w:r>
      <w:r>
        <w:t>FARC-EP</w:t>
      </w:r>
      <w:r>
        <w:rPr>
          <w:spacing w:val="-7"/>
        </w:rPr>
        <w:t xml:space="preserve"> </w:t>
      </w:r>
      <w:r>
        <w:t>tuvieron</w:t>
      </w:r>
      <w:r>
        <w:rPr>
          <w:spacing w:val="-8"/>
        </w:rPr>
        <w:t xml:space="preserve"> </w:t>
      </w:r>
      <w:r>
        <w:t>impacto</w:t>
      </w:r>
      <w:r>
        <w:rPr>
          <w:spacing w:val="-7"/>
        </w:rPr>
        <w:t xml:space="preserve"> </w:t>
      </w:r>
      <w:r>
        <w:t>en</w:t>
      </w:r>
      <w:r>
        <w:rPr>
          <w:spacing w:val="-7"/>
        </w:rPr>
        <w:t xml:space="preserve"> </w:t>
      </w:r>
      <w:r>
        <w:t>el</w:t>
      </w:r>
      <w:r>
        <w:rPr>
          <w:spacing w:val="-8"/>
        </w:rPr>
        <w:t xml:space="preserve"> </w:t>
      </w:r>
      <w:r>
        <w:t>relato</w:t>
      </w:r>
      <w:r>
        <w:rPr>
          <w:spacing w:val="-7"/>
        </w:rPr>
        <w:t xml:space="preserve"> </w:t>
      </w:r>
      <w:r>
        <w:t>y</w:t>
      </w:r>
      <w:r>
        <w:rPr>
          <w:spacing w:val="-7"/>
        </w:rPr>
        <w:t xml:space="preserve"> </w:t>
      </w:r>
      <w:r>
        <w:t>en las imágenes de las personas secuestradas, los ataques a comunidades y los atentados con bombas pusieron en evidencia la inhumanidad de las situaciones vividas. Las masacres y atrocidades perpetradas por grupos paramilitares de las Autodefensas Unidas de Colombia (AUC),</w:t>
      </w:r>
      <w:r>
        <w:rPr>
          <w:spacing w:val="-15"/>
        </w:rPr>
        <w:t xml:space="preserve"> </w:t>
      </w:r>
      <w:r>
        <w:t>como</w:t>
      </w:r>
      <w:r>
        <w:rPr>
          <w:spacing w:val="-15"/>
        </w:rPr>
        <w:t xml:space="preserve"> </w:t>
      </w:r>
      <w:r>
        <w:t>parte</w:t>
      </w:r>
      <w:r>
        <w:rPr>
          <w:spacing w:val="-15"/>
        </w:rPr>
        <w:t xml:space="preserve"> </w:t>
      </w:r>
      <w:r>
        <w:t>de</w:t>
      </w:r>
      <w:r>
        <w:rPr>
          <w:spacing w:val="-15"/>
        </w:rPr>
        <w:t xml:space="preserve"> </w:t>
      </w:r>
      <w:r>
        <w:t>una</w:t>
      </w:r>
      <w:r>
        <w:rPr>
          <w:spacing w:val="-15"/>
        </w:rPr>
        <w:t xml:space="preserve"> </w:t>
      </w:r>
      <w:r>
        <w:t>estrategia</w:t>
      </w:r>
      <w:r>
        <w:rPr>
          <w:spacing w:val="-15"/>
        </w:rPr>
        <w:t xml:space="preserve"> </w:t>
      </w:r>
      <w:r>
        <w:t>de</w:t>
      </w:r>
      <w:r>
        <w:rPr>
          <w:spacing w:val="-15"/>
        </w:rPr>
        <w:t xml:space="preserve"> </w:t>
      </w:r>
      <w:r>
        <w:t>terror</w:t>
      </w:r>
      <w:r>
        <w:rPr>
          <w:spacing w:val="-15"/>
        </w:rPr>
        <w:t xml:space="preserve"> </w:t>
      </w:r>
      <w:r>
        <w:t>en</w:t>
      </w:r>
      <w:r>
        <w:rPr>
          <w:spacing w:val="-15"/>
        </w:rPr>
        <w:t xml:space="preserve"> </w:t>
      </w:r>
      <w:r>
        <w:t>todo</w:t>
      </w:r>
      <w:r>
        <w:rPr>
          <w:spacing w:val="-15"/>
        </w:rPr>
        <w:t xml:space="preserve"> </w:t>
      </w:r>
      <w:r>
        <w:t>el</w:t>
      </w:r>
      <w:r>
        <w:rPr>
          <w:spacing w:val="-15"/>
        </w:rPr>
        <w:t xml:space="preserve"> </w:t>
      </w:r>
      <w:r>
        <w:t>país,</w:t>
      </w:r>
      <w:r>
        <w:rPr>
          <w:spacing w:val="-15"/>
        </w:rPr>
        <w:t xml:space="preserve"> </w:t>
      </w:r>
      <w:r>
        <w:t>en</w:t>
      </w:r>
      <w:r>
        <w:rPr>
          <w:spacing w:val="-15"/>
        </w:rPr>
        <w:t xml:space="preserve"> </w:t>
      </w:r>
      <w:r>
        <w:t>muchos</w:t>
      </w:r>
      <w:r>
        <w:rPr>
          <w:spacing w:val="-15"/>
        </w:rPr>
        <w:t xml:space="preserve"> </w:t>
      </w:r>
      <w:r>
        <w:t>casos</w:t>
      </w:r>
      <w:r>
        <w:rPr>
          <w:spacing w:val="-15"/>
        </w:rPr>
        <w:t xml:space="preserve"> </w:t>
      </w:r>
      <w:r>
        <w:t>no</w:t>
      </w:r>
      <w:r>
        <w:rPr>
          <w:spacing w:val="-15"/>
        </w:rPr>
        <w:t xml:space="preserve"> </w:t>
      </w:r>
      <w:r>
        <w:t xml:space="preserve">provocaron una indignación social o una movilización de las conciencias frente a lo intolerable. La relación del paramilitarismo con el Estado fue negada durante décadas, lo que prolongó la falta de respuesta y quitó a esas víctimas la posibilidad de que sus experiencias fueran </w:t>
      </w:r>
      <w:r>
        <w:rPr>
          <w:spacing w:val="-2"/>
        </w:rPr>
        <w:t>reconocidas.</w:t>
      </w:r>
    </w:p>
    <w:p w:rsidR="003804AC" w:rsidRDefault="00AF18A5" w:rsidP="001F48F2">
      <w:r>
        <w:t>Los</w:t>
      </w:r>
      <w:r>
        <w:rPr>
          <w:spacing w:val="-7"/>
        </w:rPr>
        <w:t xml:space="preserve"> </w:t>
      </w:r>
      <w:r>
        <w:t>miles</w:t>
      </w:r>
      <w:r>
        <w:rPr>
          <w:spacing w:val="-7"/>
        </w:rPr>
        <w:t xml:space="preserve"> </w:t>
      </w:r>
      <w:r>
        <w:t>de</w:t>
      </w:r>
      <w:r>
        <w:rPr>
          <w:spacing w:val="-8"/>
        </w:rPr>
        <w:t xml:space="preserve"> </w:t>
      </w:r>
      <w:r>
        <w:t>casos</w:t>
      </w:r>
      <w:r>
        <w:rPr>
          <w:spacing w:val="-7"/>
        </w:rPr>
        <w:t xml:space="preserve"> </w:t>
      </w:r>
      <w:r>
        <w:t>de</w:t>
      </w:r>
      <w:r>
        <w:rPr>
          <w:spacing w:val="-7"/>
        </w:rPr>
        <w:t xml:space="preserve"> </w:t>
      </w:r>
      <w:r>
        <w:t>ejecuciones</w:t>
      </w:r>
      <w:r>
        <w:rPr>
          <w:spacing w:val="-7"/>
        </w:rPr>
        <w:t xml:space="preserve"> </w:t>
      </w:r>
      <w:r>
        <w:t>extrajudiciales</w:t>
      </w:r>
      <w:r>
        <w:rPr>
          <w:spacing w:val="-8"/>
        </w:rPr>
        <w:t xml:space="preserve"> </w:t>
      </w:r>
      <w:r>
        <w:t>conocidas</w:t>
      </w:r>
      <w:r>
        <w:rPr>
          <w:spacing w:val="-7"/>
        </w:rPr>
        <w:t xml:space="preserve"> </w:t>
      </w:r>
      <w:r>
        <w:t>como</w:t>
      </w:r>
      <w:r>
        <w:rPr>
          <w:spacing w:val="-7"/>
        </w:rPr>
        <w:t xml:space="preserve"> </w:t>
      </w:r>
      <w:r>
        <w:t>«falsos</w:t>
      </w:r>
      <w:r>
        <w:rPr>
          <w:spacing w:val="-8"/>
        </w:rPr>
        <w:t xml:space="preserve"> </w:t>
      </w:r>
      <w:r>
        <w:t>positivos»</w:t>
      </w:r>
      <w:r>
        <w:rPr>
          <w:spacing w:val="-7"/>
        </w:rPr>
        <w:t xml:space="preserve"> </w:t>
      </w:r>
      <w:r>
        <w:t>solo se empezaron a ver en 2008, cuando las madres de Soacha hicieron públicas las denuncias de que sus hijos habían sido reclutados por miembros del Ejército o engañados con una promesa de trabajo, y aparecieron luego como supuestos guerrilleros muertos en combate. Mientras tanto, las denuncias de los crímenes de Estado no fueron reconocidas, a pesar de los enormes esfuerzos de las víctimas y organizaciones de derechos humanos por hacerlas. Solo algunos casos, tras un tremendo esfuerzo y lucha de las víctimas, pudieron avanzar en la investigación judicial y mostraron esas verdades ocultas o distorsionadas.</w:t>
      </w:r>
    </w:p>
    <w:p w:rsidR="003804AC" w:rsidRDefault="00AF18A5" w:rsidP="001F48F2">
      <w:r>
        <w:lastRenderedPageBreak/>
        <w:t>La falta de reconocimiento de todos estos hechos ha dejado a las víctimas sin un marco social</w:t>
      </w:r>
      <w:r>
        <w:rPr>
          <w:spacing w:val="-15"/>
        </w:rPr>
        <w:t xml:space="preserve"> </w:t>
      </w:r>
      <w:r>
        <w:t>en</w:t>
      </w:r>
      <w:r>
        <w:rPr>
          <w:spacing w:val="-15"/>
        </w:rPr>
        <w:t xml:space="preserve"> </w:t>
      </w:r>
      <w:r>
        <w:t>el</w:t>
      </w:r>
      <w:r>
        <w:rPr>
          <w:spacing w:val="-15"/>
        </w:rPr>
        <w:t xml:space="preserve"> </w:t>
      </w:r>
      <w:r>
        <w:t>que</w:t>
      </w:r>
      <w:r>
        <w:rPr>
          <w:spacing w:val="-15"/>
        </w:rPr>
        <w:t xml:space="preserve"> </w:t>
      </w:r>
      <w:r>
        <w:t>sus</w:t>
      </w:r>
      <w:r>
        <w:rPr>
          <w:spacing w:val="-15"/>
        </w:rPr>
        <w:t xml:space="preserve"> </w:t>
      </w:r>
      <w:r>
        <w:t>experiencias</w:t>
      </w:r>
      <w:r>
        <w:rPr>
          <w:spacing w:val="-15"/>
        </w:rPr>
        <w:t xml:space="preserve"> </w:t>
      </w:r>
      <w:r>
        <w:t>sean</w:t>
      </w:r>
      <w:r>
        <w:rPr>
          <w:spacing w:val="-15"/>
        </w:rPr>
        <w:t xml:space="preserve"> </w:t>
      </w:r>
      <w:r>
        <w:t>parte</w:t>
      </w:r>
      <w:r>
        <w:rPr>
          <w:spacing w:val="-15"/>
        </w:rPr>
        <w:t xml:space="preserve"> </w:t>
      </w:r>
      <w:r>
        <w:t>de</w:t>
      </w:r>
      <w:r>
        <w:rPr>
          <w:spacing w:val="-15"/>
        </w:rPr>
        <w:t xml:space="preserve"> </w:t>
      </w:r>
      <w:r>
        <w:t>una</w:t>
      </w:r>
      <w:r>
        <w:rPr>
          <w:spacing w:val="-15"/>
        </w:rPr>
        <w:t xml:space="preserve"> </w:t>
      </w:r>
      <w:r>
        <w:t>visión</w:t>
      </w:r>
      <w:r>
        <w:rPr>
          <w:spacing w:val="-15"/>
        </w:rPr>
        <w:t xml:space="preserve"> </w:t>
      </w:r>
      <w:r>
        <w:t>colectiva.</w:t>
      </w:r>
      <w:r>
        <w:rPr>
          <w:spacing w:val="-15"/>
        </w:rPr>
        <w:t xml:space="preserve"> </w:t>
      </w:r>
      <w:r>
        <w:t>El</w:t>
      </w:r>
      <w:r>
        <w:rPr>
          <w:spacing w:val="-15"/>
        </w:rPr>
        <w:t xml:space="preserve"> </w:t>
      </w:r>
      <w:r>
        <w:t>proceso</w:t>
      </w:r>
      <w:r>
        <w:rPr>
          <w:spacing w:val="-15"/>
        </w:rPr>
        <w:t xml:space="preserve"> </w:t>
      </w:r>
      <w:r>
        <w:t>de</w:t>
      </w:r>
      <w:r>
        <w:rPr>
          <w:spacing w:val="-15"/>
        </w:rPr>
        <w:t xml:space="preserve"> </w:t>
      </w:r>
      <w:r>
        <w:t>la</w:t>
      </w:r>
      <w:r>
        <w:rPr>
          <w:spacing w:val="-15"/>
        </w:rPr>
        <w:t xml:space="preserve"> </w:t>
      </w:r>
      <w:r>
        <w:t>Comisión también</w:t>
      </w:r>
      <w:r>
        <w:rPr>
          <w:spacing w:val="-1"/>
        </w:rPr>
        <w:t xml:space="preserve"> </w:t>
      </w:r>
      <w:r>
        <w:t>ha</w:t>
      </w:r>
      <w:r>
        <w:rPr>
          <w:spacing w:val="-2"/>
        </w:rPr>
        <w:t xml:space="preserve"> </w:t>
      </w:r>
      <w:r>
        <w:t>conllevado</w:t>
      </w:r>
      <w:r>
        <w:rPr>
          <w:spacing w:val="-1"/>
        </w:rPr>
        <w:t xml:space="preserve"> </w:t>
      </w:r>
      <w:r>
        <w:t>reconocimientos</w:t>
      </w:r>
      <w:r>
        <w:rPr>
          <w:spacing w:val="-1"/>
        </w:rPr>
        <w:t xml:space="preserve"> </w:t>
      </w:r>
      <w:r>
        <w:t>en</w:t>
      </w:r>
      <w:r>
        <w:rPr>
          <w:spacing w:val="-2"/>
        </w:rPr>
        <w:t xml:space="preserve"> </w:t>
      </w:r>
      <w:r>
        <w:t>los</w:t>
      </w:r>
      <w:r>
        <w:rPr>
          <w:spacing w:val="-1"/>
        </w:rPr>
        <w:t xml:space="preserve"> </w:t>
      </w:r>
      <w:r>
        <w:t>que</w:t>
      </w:r>
      <w:r>
        <w:rPr>
          <w:spacing w:val="-1"/>
        </w:rPr>
        <w:t xml:space="preserve"> </w:t>
      </w:r>
      <w:r>
        <w:t>los</w:t>
      </w:r>
      <w:r>
        <w:rPr>
          <w:spacing w:val="-2"/>
        </w:rPr>
        <w:t xml:space="preserve"> </w:t>
      </w:r>
      <w:r>
        <w:t>responsables</w:t>
      </w:r>
      <w:r>
        <w:rPr>
          <w:spacing w:val="-1"/>
        </w:rPr>
        <w:t xml:space="preserve"> </w:t>
      </w:r>
      <w:r>
        <w:t>han</w:t>
      </w:r>
      <w:r>
        <w:rPr>
          <w:spacing w:val="-1"/>
        </w:rPr>
        <w:t xml:space="preserve"> </w:t>
      </w:r>
      <w:r>
        <w:t>dado</w:t>
      </w:r>
      <w:r>
        <w:rPr>
          <w:spacing w:val="-1"/>
        </w:rPr>
        <w:t xml:space="preserve"> </w:t>
      </w:r>
      <w:r>
        <w:t>algunos</w:t>
      </w:r>
      <w:r>
        <w:rPr>
          <w:spacing w:val="-2"/>
        </w:rPr>
        <w:t xml:space="preserve"> </w:t>
      </w:r>
      <w:r>
        <w:t>pasos para reconocer la verdad ante las víctimas y la sociedad, como parte de ese proceso de sanación colectivo. Por ejemplo, el impacto del secuestro nunca había sido reconocido por las FARC-EP, quienes en sus comunicaciones y planteamientos públicos siempre hablaron de «toma de rehenes», hasta que en un encuentro de la Comisión de la Verdad escucharon los testimonios de personas que estuvieron cautivas durante años. A raíz de ese encuentro, los</w:t>
      </w:r>
      <w:r>
        <w:rPr>
          <w:spacing w:val="-10"/>
        </w:rPr>
        <w:t xml:space="preserve"> </w:t>
      </w:r>
      <w:r>
        <w:t>líderes</w:t>
      </w:r>
      <w:r>
        <w:rPr>
          <w:spacing w:val="-9"/>
        </w:rPr>
        <w:t xml:space="preserve"> </w:t>
      </w:r>
      <w:r>
        <w:t>del</w:t>
      </w:r>
      <w:r>
        <w:rPr>
          <w:spacing w:val="-9"/>
        </w:rPr>
        <w:t xml:space="preserve"> </w:t>
      </w:r>
      <w:r>
        <w:t>partido</w:t>
      </w:r>
      <w:r>
        <w:rPr>
          <w:spacing w:val="-10"/>
        </w:rPr>
        <w:t xml:space="preserve"> </w:t>
      </w:r>
      <w:r>
        <w:t>que</w:t>
      </w:r>
      <w:r>
        <w:rPr>
          <w:spacing w:val="-9"/>
        </w:rPr>
        <w:t xml:space="preserve"> </w:t>
      </w:r>
      <w:r>
        <w:t>fueron</w:t>
      </w:r>
      <w:r>
        <w:rPr>
          <w:spacing w:val="-10"/>
        </w:rPr>
        <w:t xml:space="preserve"> </w:t>
      </w:r>
      <w:r>
        <w:t>parte</w:t>
      </w:r>
      <w:r>
        <w:rPr>
          <w:spacing w:val="-9"/>
        </w:rPr>
        <w:t xml:space="preserve"> </w:t>
      </w:r>
      <w:r>
        <w:t>del</w:t>
      </w:r>
      <w:r>
        <w:rPr>
          <w:spacing w:val="-9"/>
        </w:rPr>
        <w:t xml:space="preserve"> </w:t>
      </w:r>
      <w:r>
        <w:t>Secretariado</w:t>
      </w:r>
      <w:r>
        <w:rPr>
          <w:spacing w:val="-10"/>
        </w:rPr>
        <w:t xml:space="preserve"> </w:t>
      </w:r>
      <w:r>
        <w:t>de</w:t>
      </w:r>
      <w:r>
        <w:rPr>
          <w:spacing w:val="-11"/>
        </w:rPr>
        <w:t xml:space="preserve"> </w:t>
      </w:r>
      <w:r>
        <w:t>las</w:t>
      </w:r>
      <w:r>
        <w:rPr>
          <w:spacing w:val="-11"/>
        </w:rPr>
        <w:t xml:space="preserve"> </w:t>
      </w:r>
      <w:r>
        <w:t>FARC-EP,</w:t>
      </w:r>
      <w:r>
        <w:rPr>
          <w:spacing w:val="-9"/>
        </w:rPr>
        <w:t xml:space="preserve"> </w:t>
      </w:r>
      <w:r>
        <w:t>reconocieron</w:t>
      </w:r>
      <w:r>
        <w:rPr>
          <w:spacing w:val="-11"/>
        </w:rPr>
        <w:t xml:space="preserve"> </w:t>
      </w:r>
      <w:r>
        <w:t>en</w:t>
      </w:r>
      <w:r>
        <w:rPr>
          <w:spacing w:val="-10"/>
        </w:rPr>
        <w:t xml:space="preserve"> </w:t>
      </w:r>
      <w:r>
        <w:t>un comunicado el secuestro como tal y el impacto producido en las víctimas. De igual manera, el</w:t>
      </w:r>
      <w:r>
        <w:rPr>
          <w:spacing w:val="-10"/>
        </w:rPr>
        <w:t xml:space="preserve"> </w:t>
      </w:r>
      <w:r>
        <w:t>reconocimiento</w:t>
      </w:r>
      <w:r>
        <w:rPr>
          <w:spacing w:val="-7"/>
        </w:rPr>
        <w:t xml:space="preserve"> </w:t>
      </w:r>
      <w:r>
        <w:t>de</w:t>
      </w:r>
      <w:r>
        <w:rPr>
          <w:spacing w:val="-8"/>
        </w:rPr>
        <w:t xml:space="preserve"> </w:t>
      </w:r>
      <w:r>
        <w:t>militares</w:t>
      </w:r>
      <w:r>
        <w:rPr>
          <w:spacing w:val="-7"/>
        </w:rPr>
        <w:t xml:space="preserve"> </w:t>
      </w:r>
      <w:r>
        <w:t>de</w:t>
      </w:r>
      <w:r>
        <w:rPr>
          <w:spacing w:val="-8"/>
        </w:rPr>
        <w:t xml:space="preserve"> </w:t>
      </w:r>
      <w:r>
        <w:t>su</w:t>
      </w:r>
      <w:r>
        <w:rPr>
          <w:spacing w:val="-9"/>
        </w:rPr>
        <w:t xml:space="preserve"> </w:t>
      </w:r>
      <w:r>
        <w:t>participación</w:t>
      </w:r>
      <w:r>
        <w:rPr>
          <w:spacing w:val="-7"/>
        </w:rPr>
        <w:t xml:space="preserve"> </w:t>
      </w:r>
      <w:r>
        <w:t>en</w:t>
      </w:r>
      <w:r>
        <w:rPr>
          <w:spacing w:val="-7"/>
        </w:rPr>
        <w:t xml:space="preserve"> </w:t>
      </w:r>
      <w:r>
        <w:t>ejecuciones</w:t>
      </w:r>
      <w:r>
        <w:rPr>
          <w:spacing w:val="-7"/>
        </w:rPr>
        <w:t xml:space="preserve"> </w:t>
      </w:r>
      <w:r>
        <w:t>extrajudiciales</w:t>
      </w:r>
      <w:r>
        <w:rPr>
          <w:spacing w:val="-8"/>
        </w:rPr>
        <w:t xml:space="preserve"> </w:t>
      </w:r>
      <w:r>
        <w:t>ha</w:t>
      </w:r>
      <w:r>
        <w:rPr>
          <w:spacing w:val="-7"/>
        </w:rPr>
        <w:t xml:space="preserve"> </w:t>
      </w:r>
      <w:r>
        <w:rPr>
          <w:spacing w:val="-2"/>
        </w:rPr>
        <w:t>supuesto</w:t>
      </w:r>
      <w:r w:rsidR="001F48F2">
        <w:rPr>
          <w:spacing w:val="-2"/>
        </w:rPr>
        <w:t xml:space="preserve"> </w:t>
      </w:r>
      <w:r>
        <w:t>desvelar los mecanismos que las hicieron posibles, como la exigencia de resultados de muertes, que había sido negada durante décadas.</w:t>
      </w:r>
    </w:p>
    <w:p w:rsidR="003804AC" w:rsidRDefault="00AF18A5" w:rsidP="001F48F2">
      <w:r>
        <w:t>Llama la atención que en Colombia las masivas violaciones de derechos humanos sucedieron en un país democrático, con elecciones libres, una estructura del Estado con división de poderes, leyes garantistas y medios de comunicación independientes. Si bien el esfuerzo</w:t>
      </w:r>
      <w:r>
        <w:rPr>
          <w:spacing w:val="-10"/>
        </w:rPr>
        <w:t xml:space="preserve"> </w:t>
      </w:r>
      <w:r>
        <w:t>del</w:t>
      </w:r>
      <w:r>
        <w:rPr>
          <w:spacing w:val="-11"/>
        </w:rPr>
        <w:t xml:space="preserve"> </w:t>
      </w:r>
      <w:r>
        <w:t>periodismo</w:t>
      </w:r>
      <w:r>
        <w:rPr>
          <w:spacing w:val="-12"/>
        </w:rPr>
        <w:t xml:space="preserve"> </w:t>
      </w:r>
      <w:r>
        <w:t>de</w:t>
      </w:r>
      <w:r>
        <w:rPr>
          <w:spacing w:val="-10"/>
        </w:rPr>
        <w:t xml:space="preserve"> </w:t>
      </w:r>
      <w:r>
        <w:t>investigación</w:t>
      </w:r>
      <w:r>
        <w:rPr>
          <w:spacing w:val="-10"/>
        </w:rPr>
        <w:t xml:space="preserve"> </w:t>
      </w:r>
      <w:r>
        <w:t>y</w:t>
      </w:r>
      <w:r>
        <w:rPr>
          <w:spacing w:val="-12"/>
        </w:rPr>
        <w:t xml:space="preserve"> </w:t>
      </w:r>
      <w:r>
        <w:t>las</w:t>
      </w:r>
      <w:r>
        <w:rPr>
          <w:spacing w:val="-11"/>
        </w:rPr>
        <w:t xml:space="preserve"> </w:t>
      </w:r>
      <w:r>
        <w:t>organizaciones</w:t>
      </w:r>
      <w:r>
        <w:rPr>
          <w:spacing w:val="-10"/>
        </w:rPr>
        <w:t xml:space="preserve"> </w:t>
      </w:r>
      <w:r>
        <w:t>de</w:t>
      </w:r>
      <w:r>
        <w:rPr>
          <w:spacing w:val="-10"/>
        </w:rPr>
        <w:t xml:space="preserve"> </w:t>
      </w:r>
      <w:r>
        <w:t>derechos</w:t>
      </w:r>
      <w:r>
        <w:rPr>
          <w:spacing w:val="-10"/>
        </w:rPr>
        <w:t xml:space="preserve"> </w:t>
      </w:r>
      <w:r>
        <w:t>humanos</w:t>
      </w:r>
      <w:r>
        <w:rPr>
          <w:spacing w:val="-10"/>
        </w:rPr>
        <w:t xml:space="preserve"> </w:t>
      </w:r>
      <w:r>
        <w:t>hicieron una contribución clave para visibilizar las atrocidades, no se dio una crisis política por la magnitud</w:t>
      </w:r>
      <w:r>
        <w:rPr>
          <w:spacing w:val="-2"/>
        </w:rPr>
        <w:t xml:space="preserve"> </w:t>
      </w:r>
      <w:r>
        <w:t>de</w:t>
      </w:r>
      <w:r>
        <w:rPr>
          <w:spacing w:val="-2"/>
        </w:rPr>
        <w:t xml:space="preserve"> </w:t>
      </w:r>
      <w:r>
        <w:t>la</w:t>
      </w:r>
      <w:r>
        <w:rPr>
          <w:spacing w:val="-2"/>
        </w:rPr>
        <w:t xml:space="preserve"> </w:t>
      </w:r>
      <w:r>
        <w:t>violencia</w:t>
      </w:r>
      <w:r>
        <w:rPr>
          <w:spacing w:val="-3"/>
        </w:rPr>
        <w:t xml:space="preserve"> </w:t>
      </w:r>
      <w:r>
        <w:t>ni</w:t>
      </w:r>
      <w:r>
        <w:rPr>
          <w:spacing w:val="-2"/>
        </w:rPr>
        <w:t xml:space="preserve"> </w:t>
      </w:r>
      <w:r>
        <w:t>una</w:t>
      </w:r>
      <w:r>
        <w:rPr>
          <w:spacing w:val="-2"/>
        </w:rPr>
        <w:t xml:space="preserve"> </w:t>
      </w:r>
      <w:r>
        <w:t>movilización</w:t>
      </w:r>
      <w:r>
        <w:rPr>
          <w:spacing w:val="-2"/>
        </w:rPr>
        <w:t xml:space="preserve"> </w:t>
      </w:r>
      <w:r>
        <w:t>colectiva</w:t>
      </w:r>
      <w:r>
        <w:rPr>
          <w:spacing w:val="-2"/>
        </w:rPr>
        <w:t xml:space="preserve"> </w:t>
      </w:r>
      <w:r>
        <w:t>más</w:t>
      </w:r>
      <w:r>
        <w:rPr>
          <w:spacing w:val="-2"/>
        </w:rPr>
        <w:t xml:space="preserve"> </w:t>
      </w:r>
      <w:r>
        <w:t>allá</w:t>
      </w:r>
      <w:r>
        <w:rPr>
          <w:spacing w:val="-2"/>
        </w:rPr>
        <w:t xml:space="preserve"> </w:t>
      </w:r>
      <w:r>
        <w:t>de</w:t>
      </w:r>
      <w:r>
        <w:rPr>
          <w:spacing w:val="-2"/>
        </w:rPr>
        <w:t xml:space="preserve"> </w:t>
      </w:r>
      <w:r>
        <w:t>las</w:t>
      </w:r>
      <w:r>
        <w:rPr>
          <w:spacing w:val="-2"/>
        </w:rPr>
        <w:t xml:space="preserve"> </w:t>
      </w:r>
      <w:r>
        <w:t>propias</w:t>
      </w:r>
      <w:r>
        <w:rPr>
          <w:spacing w:val="-2"/>
        </w:rPr>
        <w:t xml:space="preserve"> </w:t>
      </w:r>
      <w:r>
        <w:t>víctimas</w:t>
      </w:r>
      <w:r>
        <w:rPr>
          <w:spacing w:val="-2"/>
        </w:rPr>
        <w:t xml:space="preserve"> </w:t>
      </w:r>
      <w:r>
        <w:t>y</w:t>
      </w:r>
      <w:r>
        <w:rPr>
          <w:spacing w:val="-2"/>
        </w:rPr>
        <w:t xml:space="preserve"> </w:t>
      </w:r>
      <w:r>
        <w:t>de sectores cercanos y de</w:t>
      </w:r>
      <w:r>
        <w:rPr>
          <w:spacing w:val="-1"/>
        </w:rPr>
        <w:t xml:space="preserve"> </w:t>
      </w:r>
      <w:r>
        <w:t>la investigación judicial.</w:t>
      </w:r>
      <w:r>
        <w:rPr>
          <w:spacing w:val="-2"/>
        </w:rPr>
        <w:t xml:space="preserve"> </w:t>
      </w:r>
      <w:r>
        <w:t>Debido en parte</w:t>
      </w:r>
      <w:r>
        <w:rPr>
          <w:spacing w:val="-1"/>
        </w:rPr>
        <w:t xml:space="preserve"> </w:t>
      </w:r>
      <w:r>
        <w:t>al</w:t>
      </w:r>
      <w:r>
        <w:rPr>
          <w:spacing w:val="-1"/>
        </w:rPr>
        <w:t xml:space="preserve"> </w:t>
      </w:r>
      <w:r>
        <w:t>miedo y, por otro</w:t>
      </w:r>
      <w:r>
        <w:rPr>
          <w:spacing w:val="-1"/>
        </w:rPr>
        <w:t xml:space="preserve"> </w:t>
      </w:r>
      <w:r>
        <w:t xml:space="preserve">lado, a la falta de sensibilidad, el ocultamiento de las violaciones sistemáticas y la enorme crisis humanitaria, estos hechos no fueron vistos como un </w:t>
      </w:r>
      <w:r>
        <w:lastRenderedPageBreak/>
        <w:t>problema masivo de violaciones de derechos humanos en los que estaba gravemente comprometida la responsabilidad del Estado,</w:t>
      </w:r>
      <w:r>
        <w:rPr>
          <w:spacing w:val="-15"/>
        </w:rPr>
        <w:t xml:space="preserve"> </w:t>
      </w:r>
      <w:r>
        <w:t>sino</w:t>
      </w:r>
      <w:r>
        <w:rPr>
          <w:spacing w:val="-15"/>
        </w:rPr>
        <w:t xml:space="preserve"> </w:t>
      </w:r>
      <w:r>
        <w:t>como</w:t>
      </w:r>
      <w:r>
        <w:rPr>
          <w:spacing w:val="-15"/>
        </w:rPr>
        <w:t xml:space="preserve"> </w:t>
      </w:r>
      <w:r>
        <w:t>un</w:t>
      </w:r>
      <w:r>
        <w:rPr>
          <w:spacing w:val="-15"/>
        </w:rPr>
        <w:t xml:space="preserve"> </w:t>
      </w:r>
      <w:r>
        <w:t>problema</w:t>
      </w:r>
      <w:r>
        <w:rPr>
          <w:spacing w:val="-15"/>
        </w:rPr>
        <w:t xml:space="preserve"> </w:t>
      </w:r>
      <w:r>
        <w:t>representado</w:t>
      </w:r>
      <w:r>
        <w:rPr>
          <w:spacing w:val="-15"/>
        </w:rPr>
        <w:t xml:space="preserve"> </w:t>
      </w:r>
      <w:r>
        <w:t>como</w:t>
      </w:r>
      <w:r>
        <w:rPr>
          <w:spacing w:val="-15"/>
        </w:rPr>
        <w:t xml:space="preserve"> </w:t>
      </w:r>
      <w:r>
        <w:t>la</w:t>
      </w:r>
      <w:r>
        <w:rPr>
          <w:spacing w:val="-15"/>
        </w:rPr>
        <w:t xml:space="preserve"> </w:t>
      </w:r>
      <w:r>
        <w:t>«lucha</w:t>
      </w:r>
      <w:r>
        <w:rPr>
          <w:spacing w:val="-15"/>
        </w:rPr>
        <w:t xml:space="preserve"> </w:t>
      </w:r>
      <w:r>
        <w:t>contra</w:t>
      </w:r>
      <w:r>
        <w:rPr>
          <w:spacing w:val="-15"/>
        </w:rPr>
        <w:t xml:space="preserve"> </w:t>
      </w:r>
      <w:r>
        <w:t>el</w:t>
      </w:r>
      <w:r>
        <w:rPr>
          <w:spacing w:val="-15"/>
        </w:rPr>
        <w:t xml:space="preserve"> </w:t>
      </w:r>
      <w:r>
        <w:t>terrorismo».</w:t>
      </w:r>
      <w:r>
        <w:rPr>
          <w:spacing w:val="-15"/>
        </w:rPr>
        <w:t xml:space="preserve"> </w:t>
      </w:r>
      <w:r>
        <w:t>Colombia es un país en el que ha habido un reconocimiento progresivo de las violaciones de los derechos</w:t>
      </w:r>
      <w:r>
        <w:rPr>
          <w:spacing w:val="-15"/>
        </w:rPr>
        <w:t xml:space="preserve"> </w:t>
      </w:r>
      <w:r>
        <w:t>humanos</w:t>
      </w:r>
      <w:r>
        <w:rPr>
          <w:spacing w:val="-14"/>
        </w:rPr>
        <w:t xml:space="preserve"> </w:t>
      </w:r>
      <w:r>
        <w:t>y</w:t>
      </w:r>
      <w:r>
        <w:rPr>
          <w:spacing w:val="-15"/>
        </w:rPr>
        <w:t xml:space="preserve"> </w:t>
      </w:r>
      <w:r>
        <w:t>de</w:t>
      </w:r>
      <w:r>
        <w:rPr>
          <w:spacing w:val="-15"/>
        </w:rPr>
        <w:t xml:space="preserve"> </w:t>
      </w:r>
      <w:r>
        <w:t>las</w:t>
      </w:r>
      <w:r>
        <w:rPr>
          <w:spacing w:val="-14"/>
        </w:rPr>
        <w:t xml:space="preserve"> </w:t>
      </w:r>
      <w:r>
        <w:t>infracciones</w:t>
      </w:r>
      <w:r>
        <w:rPr>
          <w:spacing w:val="-14"/>
        </w:rPr>
        <w:t xml:space="preserve"> </w:t>
      </w:r>
      <w:r>
        <w:t>al</w:t>
      </w:r>
      <w:r>
        <w:rPr>
          <w:spacing w:val="-14"/>
        </w:rPr>
        <w:t xml:space="preserve"> </w:t>
      </w:r>
      <w:r>
        <w:t>DIH,</w:t>
      </w:r>
      <w:r>
        <w:rPr>
          <w:spacing w:val="-14"/>
        </w:rPr>
        <w:t xml:space="preserve"> </w:t>
      </w:r>
      <w:r>
        <w:t>que</w:t>
      </w:r>
      <w:r>
        <w:rPr>
          <w:spacing w:val="-14"/>
        </w:rPr>
        <w:t xml:space="preserve"> </w:t>
      </w:r>
      <w:r>
        <w:t>han</w:t>
      </w:r>
      <w:r>
        <w:rPr>
          <w:spacing w:val="-14"/>
        </w:rPr>
        <w:t xml:space="preserve"> </w:t>
      </w:r>
      <w:r>
        <w:t>permitido</w:t>
      </w:r>
      <w:r>
        <w:rPr>
          <w:spacing w:val="-15"/>
        </w:rPr>
        <w:t xml:space="preserve"> </w:t>
      </w:r>
      <w:r>
        <w:t>sentencias,</w:t>
      </w:r>
      <w:r>
        <w:rPr>
          <w:spacing w:val="-15"/>
        </w:rPr>
        <w:t xml:space="preserve"> </w:t>
      </w:r>
      <w:r>
        <w:t>leyes</w:t>
      </w:r>
      <w:r>
        <w:rPr>
          <w:spacing w:val="-15"/>
        </w:rPr>
        <w:t xml:space="preserve"> </w:t>
      </w:r>
      <w:r>
        <w:t>y</w:t>
      </w:r>
      <w:r>
        <w:rPr>
          <w:spacing w:val="-14"/>
        </w:rPr>
        <w:t xml:space="preserve"> </w:t>
      </w:r>
      <w:r>
        <w:t>normas garantistas; sin embargo, por diferentes razones, surgen barreras que impiden materializar medidas</w:t>
      </w:r>
      <w:r>
        <w:rPr>
          <w:spacing w:val="-3"/>
        </w:rPr>
        <w:t xml:space="preserve"> </w:t>
      </w:r>
      <w:r>
        <w:t>ordenadas.</w:t>
      </w:r>
      <w:r>
        <w:rPr>
          <w:spacing w:val="-3"/>
        </w:rPr>
        <w:t xml:space="preserve"> </w:t>
      </w:r>
      <w:r>
        <w:t>Superarlas,</w:t>
      </w:r>
      <w:r>
        <w:rPr>
          <w:spacing w:val="-3"/>
        </w:rPr>
        <w:t xml:space="preserve"> </w:t>
      </w:r>
      <w:r>
        <w:t>todavía</w:t>
      </w:r>
      <w:r>
        <w:rPr>
          <w:spacing w:val="-3"/>
        </w:rPr>
        <w:t xml:space="preserve"> </w:t>
      </w:r>
      <w:r>
        <w:t>es</w:t>
      </w:r>
      <w:r>
        <w:rPr>
          <w:spacing w:val="-3"/>
        </w:rPr>
        <w:t xml:space="preserve"> </w:t>
      </w:r>
      <w:r>
        <w:t>una</w:t>
      </w:r>
      <w:r>
        <w:rPr>
          <w:spacing w:val="-4"/>
        </w:rPr>
        <w:t xml:space="preserve"> </w:t>
      </w:r>
      <w:r>
        <w:t>asignatura</w:t>
      </w:r>
      <w:r>
        <w:rPr>
          <w:spacing w:val="-3"/>
        </w:rPr>
        <w:t xml:space="preserve"> </w:t>
      </w:r>
      <w:r>
        <w:t>pendiente</w:t>
      </w:r>
      <w:r>
        <w:rPr>
          <w:spacing w:val="-3"/>
        </w:rPr>
        <w:t xml:space="preserve"> </w:t>
      </w:r>
      <w:r>
        <w:t>en</w:t>
      </w:r>
      <w:r>
        <w:rPr>
          <w:spacing w:val="-3"/>
        </w:rPr>
        <w:t xml:space="preserve"> </w:t>
      </w:r>
      <w:r>
        <w:t>Colombia</w:t>
      </w:r>
      <w:r>
        <w:rPr>
          <w:spacing w:val="-3"/>
        </w:rPr>
        <w:t xml:space="preserve"> </w:t>
      </w:r>
      <w:r>
        <w:t>para</w:t>
      </w:r>
      <w:r>
        <w:rPr>
          <w:spacing w:val="-3"/>
        </w:rPr>
        <w:t xml:space="preserve"> </w:t>
      </w:r>
      <w:r>
        <w:t>verse como una oportunidad de cambio y no-repetición.</w:t>
      </w:r>
    </w:p>
    <w:p w:rsidR="003804AC" w:rsidRDefault="00AF18A5" w:rsidP="001F48F2">
      <w:r>
        <w:t>Esa situación, mantenida en el tiempo, ha llevado a que la guerra se cuele no solo en la relación de la población y las víctimas con el Estado, sino en las relaciones sociales entre grupos, y a que teja también los aspectos más íntimos de las relaciones interpersonales. El encuentro</w:t>
      </w:r>
      <w:r>
        <w:rPr>
          <w:spacing w:val="-15"/>
        </w:rPr>
        <w:t xml:space="preserve"> </w:t>
      </w:r>
      <w:r>
        <w:t>entre</w:t>
      </w:r>
      <w:r>
        <w:rPr>
          <w:spacing w:val="-15"/>
        </w:rPr>
        <w:t xml:space="preserve"> </w:t>
      </w:r>
      <w:r>
        <w:t>diferentes</w:t>
      </w:r>
      <w:r>
        <w:rPr>
          <w:spacing w:val="-15"/>
        </w:rPr>
        <w:t xml:space="preserve"> </w:t>
      </w:r>
      <w:r>
        <w:t>es</w:t>
      </w:r>
      <w:r>
        <w:rPr>
          <w:spacing w:val="-15"/>
        </w:rPr>
        <w:t xml:space="preserve"> </w:t>
      </w:r>
      <w:r>
        <w:t>una</w:t>
      </w:r>
      <w:r>
        <w:rPr>
          <w:spacing w:val="-15"/>
        </w:rPr>
        <w:t xml:space="preserve"> </w:t>
      </w:r>
      <w:r>
        <w:t>experiencia</w:t>
      </w:r>
      <w:r>
        <w:rPr>
          <w:spacing w:val="-15"/>
        </w:rPr>
        <w:t xml:space="preserve"> </w:t>
      </w:r>
      <w:r>
        <w:t>nueva</w:t>
      </w:r>
      <w:r>
        <w:rPr>
          <w:spacing w:val="-15"/>
        </w:rPr>
        <w:t xml:space="preserve"> </w:t>
      </w:r>
      <w:r>
        <w:t>en</w:t>
      </w:r>
      <w:r>
        <w:rPr>
          <w:spacing w:val="-15"/>
        </w:rPr>
        <w:t xml:space="preserve"> </w:t>
      </w:r>
      <w:r>
        <w:t>Colombia,</w:t>
      </w:r>
      <w:r>
        <w:rPr>
          <w:spacing w:val="-15"/>
        </w:rPr>
        <w:t xml:space="preserve"> </w:t>
      </w:r>
      <w:r>
        <w:t>con</w:t>
      </w:r>
      <w:r>
        <w:rPr>
          <w:spacing w:val="-15"/>
        </w:rPr>
        <w:t xml:space="preserve"> </w:t>
      </w:r>
      <w:r>
        <w:t>relaciones</w:t>
      </w:r>
      <w:r>
        <w:rPr>
          <w:spacing w:val="-15"/>
        </w:rPr>
        <w:t xml:space="preserve"> </w:t>
      </w:r>
      <w:r>
        <w:t>sociales</w:t>
      </w:r>
      <w:r>
        <w:rPr>
          <w:spacing w:val="-15"/>
        </w:rPr>
        <w:t xml:space="preserve"> </w:t>
      </w:r>
      <w:r>
        <w:t>que se han ido estableciendo y encapsulando cada vez más entre grupos o sectores que se identifican entre sí por la violencia vivida o las posiciones políticas contra los responsables, pero no se hablaba «con el otro lado».</w:t>
      </w:r>
    </w:p>
    <w:p w:rsidR="003804AC" w:rsidRDefault="00AF18A5" w:rsidP="001F48F2">
      <w:r>
        <w:t>La desconfianza es un duro legado de décadas de conflicto y muchas veces criminalización de quienes trataron de luchar pacíficamente por un cambio social. En Colombia, durante generaciones se ha aprendido a no hablar, a no expresar lo que se piensa porque</w:t>
      </w:r>
      <w:r>
        <w:rPr>
          <w:spacing w:val="-9"/>
        </w:rPr>
        <w:t xml:space="preserve"> </w:t>
      </w:r>
      <w:r>
        <w:t>no</w:t>
      </w:r>
      <w:r>
        <w:rPr>
          <w:spacing w:val="-7"/>
        </w:rPr>
        <w:t xml:space="preserve"> </w:t>
      </w:r>
      <w:r>
        <w:t>se</w:t>
      </w:r>
      <w:r>
        <w:rPr>
          <w:spacing w:val="-7"/>
        </w:rPr>
        <w:t xml:space="preserve"> </w:t>
      </w:r>
      <w:r>
        <w:t>sabe</w:t>
      </w:r>
      <w:r>
        <w:rPr>
          <w:spacing w:val="-7"/>
        </w:rPr>
        <w:t xml:space="preserve"> </w:t>
      </w:r>
      <w:r>
        <w:t>cuál</w:t>
      </w:r>
      <w:r>
        <w:rPr>
          <w:spacing w:val="-7"/>
        </w:rPr>
        <w:t xml:space="preserve"> </w:t>
      </w:r>
      <w:r>
        <w:t>será</w:t>
      </w:r>
      <w:r>
        <w:rPr>
          <w:spacing w:val="-7"/>
        </w:rPr>
        <w:t xml:space="preserve"> </w:t>
      </w:r>
      <w:r>
        <w:t>la</w:t>
      </w:r>
      <w:r>
        <w:rPr>
          <w:spacing w:val="-7"/>
        </w:rPr>
        <w:t xml:space="preserve"> </w:t>
      </w:r>
      <w:r>
        <w:t>reacción</w:t>
      </w:r>
      <w:r>
        <w:rPr>
          <w:spacing w:val="-7"/>
        </w:rPr>
        <w:t xml:space="preserve"> </w:t>
      </w:r>
      <w:r>
        <w:t>del</w:t>
      </w:r>
      <w:r>
        <w:rPr>
          <w:spacing w:val="-7"/>
        </w:rPr>
        <w:t xml:space="preserve"> </w:t>
      </w:r>
      <w:r>
        <w:t>otro</w:t>
      </w:r>
      <w:r>
        <w:rPr>
          <w:spacing w:val="-7"/>
        </w:rPr>
        <w:t xml:space="preserve"> </w:t>
      </w:r>
      <w:r>
        <w:t>debido</w:t>
      </w:r>
      <w:r>
        <w:rPr>
          <w:spacing w:val="-7"/>
        </w:rPr>
        <w:t xml:space="preserve"> </w:t>
      </w:r>
      <w:r>
        <w:t>al</w:t>
      </w:r>
      <w:r>
        <w:rPr>
          <w:spacing w:val="-7"/>
        </w:rPr>
        <w:t xml:space="preserve"> </w:t>
      </w:r>
      <w:r>
        <w:t>frecuente</w:t>
      </w:r>
      <w:r>
        <w:rPr>
          <w:spacing w:val="-7"/>
        </w:rPr>
        <w:t xml:space="preserve"> </w:t>
      </w:r>
      <w:r>
        <w:t>riesgo</w:t>
      </w:r>
      <w:r>
        <w:rPr>
          <w:spacing w:val="-7"/>
        </w:rPr>
        <w:t xml:space="preserve"> </w:t>
      </w:r>
      <w:r>
        <w:t>de</w:t>
      </w:r>
      <w:r>
        <w:rPr>
          <w:spacing w:val="-6"/>
        </w:rPr>
        <w:t xml:space="preserve"> </w:t>
      </w:r>
      <w:r>
        <w:rPr>
          <w:spacing w:val="-2"/>
        </w:rPr>
        <w:t>estigmatización</w:t>
      </w:r>
      <w:r w:rsidR="001F48F2">
        <w:rPr>
          <w:spacing w:val="-2"/>
        </w:rPr>
        <w:t xml:space="preserve"> </w:t>
      </w:r>
      <w:r>
        <w:t>por el hecho de pensar diferente o tener otras posiciones políticas. Este impacto en las subjetividades y relaciones interpersonales se muestra en que del desacuerdo se pasa fácilmente</w:t>
      </w:r>
      <w:r>
        <w:rPr>
          <w:spacing w:val="-5"/>
        </w:rPr>
        <w:t xml:space="preserve"> </w:t>
      </w:r>
      <w:r>
        <w:t>a</w:t>
      </w:r>
      <w:r>
        <w:rPr>
          <w:spacing w:val="-6"/>
        </w:rPr>
        <w:t xml:space="preserve"> </w:t>
      </w:r>
      <w:r>
        <w:t>la</w:t>
      </w:r>
      <w:r>
        <w:rPr>
          <w:spacing w:val="-5"/>
        </w:rPr>
        <w:t xml:space="preserve"> </w:t>
      </w:r>
      <w:r>
        <w:t>descalificación,</w:t>
      </w:r>
      <w:r>
        <w:rPr>
          <w:spacing w:val="-5"/>
        </w:rPr>
        <w:t xml:space="preserve"> </w:t>
      </w:r>
      <w:r>
        <w:t>y</w:t>
      </w:r>
      <w:r>
        <w:rPr>
          <w:spacing w:val="-5"/>
        </w:rPr>
        <w:t xml:space="preserve"> </w:t>
      </w:r>
      <w:r>
        <w:t>esta</w:t>
      </w:r>
      <w:r>
        <w:rPr>
          <w:spacing w:val="-6"/>
        </w:rPr>
        <w:t xml:space="preserve"> </w:t>
      </w:r>
      <w:r>
        <w:t>es</w:t>
      </w:r>
      <w:r>
        <w:rPr>
          <w:spacing w:val="-5"/>
        </w:rPr>
        <w:t xml:space="preserve"> </w:t>
      </w:r>
      <w:r>
        <w:t>la</w:t>
      </w:r>
      <w:r>
        <w:rPr>
          <w:spacing w:val="-5"/>
        </w:rPr>
        <w:t xml:space="preserve"> </w:t>
      </w:r>
      <w:r>
        <w:t>antesala</w:t>
      </w:r>
      <w:r>
        <w:rPr>
          <w:spacing w:val="-5"/>
        </w:rPr>
        <w:t xml:space="preserve"> </w:t>
      </w:r>
      <w:r>
        <w:t>del</w:t>
      </w:r>
      <w:r>
        <w:rPr>
          <w:spacing w:val="-4"/>
        </w:rPr>
        <w:t xml:space="preserve"> </w:t>
      </w:r>
      <w:r>
        <w:t>desprecio</w:t>
      </w:r>
      <w:r>
        <w:rPr>
          <w:spacing w:val="-5"/>
        </w:rPr>
        <w:t xml:space="preserve"> </w:t>
      </w:r>
      <w:r>
        <w:t>por</w:t>
      </w:r>
      <w:r>
        <w:rPr>
          <w:spacing w:val="-4"/>
        </w:rPr>
        <w:t xml:space="preserve"> </w:t>
      </w:r>
      <w:r>
        <w:t>el</w:t>
      </w:r>
      <w:r>
        <w:rPr>
          <w:spacing w:val="-4"/>
        </w:rPr>
        <w:t xml:space="preserve"> </w:t>
      </w:r>
      <w:r>
        <w:t>otro.</w:t>
      </w:r>
      <w:r>
        <w:rPr>
          <w:spacing w:val="-5"/>
        </w:rPr>
        <w:t xml:space="preserve"> </w:t>
      </w:r>
      <w:r>
        <w:t>En</w:t>
      </w:r>
      <w:r>
        <w:rPr>
          <w:spacing w:val="-5"/>
        </w:rPr>
        <w:t xml:space="preserve"> </w:t>
      </w:r>
      <w:r>
        <w:t>un</w:t>
      </w:r>
      <w:r>
        <w:rPr>
          <w:spacing w:val="-5"/>
        </w:rPr>
        <w:t xml:space="preserve"> </w:t>
      </w:r>
      <w:r>
        <w:t xml:space="preserve">contexto en el que las armas y la política se han mezclado durante décadas, los señalamientos son el </w:t>
      </w:r>
      <w:r>
        <w:lastRenderedPageBreak/>
        <w:t>anticipo de la violencia y forman parte de las amenazas que han seguido condicionando y tratando de limitar las expectativas de paz y cambio social.</w:t>
      </w:r>
    </w:p>
    <w:p w:rsidR="003804AC" w:rsidRDefault="00AF18A5" w:rsidP="001F48F2">
      <w:r>
        <w:t>Estas actitudes y comportamientos son parte de lo que se necesita cambiar. La política y la transformación necesaria de Colombia pasan por un cambio cultural que promueva otros modelos</w:t>
      </w:r>
      <w:r>
        <w:rPr>
          <w:spacing w:val="-15"/>
        </w:rPr>
        <w:t xml:space="preserve"> </w:t>
      </w:r>
      <w:r>
        <w:t>de</w:t>
      </w:r>
      <w:r>
        <w:rPr>
          <w:spacing w:val="-15"/>
        </w:rPr>
        <w:t xml:space="preserve"> </w:t>
      </w:r>
      <w:r>
        <w:t>relación</w:t>
      </w:r>
      <w:r>
        <w:rPr>
          <w:spacing w:val="-15"/>
        </w:rPr>
        <w:t xml:space="preserve"> </w:t>
      </w:r>
      <w:r>
        <w:t>interpersonal</w:t>
      </w:r>
      <w:r>
        <w:rPr>
          <w:spacing w:val="-15"/>
        </w:rPr>
        <w:t xml:space="preserve"> </w:t>
      </w:r>
      <w:r>
        <w:t>e</w:t>
      </w:r>
      <w:r>
        <w:rPr>
          <w:spacing w:val="-15"/>
        </w:rPr>
        <w:t xml:space="preserve"> </w:t>
      </w:r>
      <w:r>
        <w:t>intergrupal,</w:t>
      </w:r>
      <w:r>
        <w:rPr>
          <w:spacing w:val="-15"/>
        </w:rPr>
        <w:t xml:space="preserve"> </w:t>
      </w:r>
      <w:r>
        <w:t>en</w:t>
      </w:r>
      <w:r>
        <w:rPr>
          <w:spacing w:val="-15"/>
        </w:rPr>
        <w:t xml:space="preserve"> </w:t>
      </w:r>
      <w:r>
        <w:t>los</w:t>
      </w:r>
      <w:r>
        <w:rPr>
          <w:spacing w:val="-15"/>
        </w:rPr>
        <w:t xml:space="preserve"> </w:t>
      </w:r>
      <w:r>
        <w:t>cuales</w:t>
      </w:r>
      <w:r>
        <w:rPr>
          <w:spacing w:val="-15"/>
        </w:rPr>
        <w:t xml:space="preserve"> </w:t>
      </w:r>
      <w:r>
        <w:t>se</w:t>
      </w:r>
      <w:r>
        <w:rPr>
          <w:spacing w:val="-15"/>
        </w:rPr>
        <w:t xml:space="preserve"> </w:t>
      </w:r>
      <w:r>
        <w:t>rescaten</w:t>
      </w:r>
      <w:r>
        <w:rPr>
          <w:spacing w:val="-15"/>
        </w:rPr>
        <w:t xml:space="preserve"> </w:t>
      </w:r>
      <w:r>
        <w:t>el</w:t>
      </w:r>
      <w:r>
        <w:rPr>
          <w:spacing w:val="-15"/>
        </w:rPr>
        <w:t xml:space="preserve"> </w:t>
      </w:r>
      <w:r>
        <w:t>respeto,</w:t>
      </w:r>
      <w:r>
        <w:rPr>
          <w:spacing w:val="-15"/>
        </w:rPr>
        <w:t xml:space="preserve"> </w:t>
      </w:r>
      <w:r>
        <w:t>el</w:t>
      </w:r>
      <w:r>
        <w:rPr>
          <w:spacing w:val="-15"/>
        </w:rPr>
        <w:t xml:space="preserve"> </w:t>
      </w:r>
      <w:r>
        <w:t>diálogo y</w:t>
      </w:r>
      <w:r>
        <w:rPr>
          <w:spacing w:val="-12"/>
        </w:rPr>
        <w:t xml:space="preserve"> </w:t>
      </w:r>
      <w:r>
        <w:t>la</w:t>
      </w:r>
      <w:r>
        <w:rPr>
          <w:spacing w:val="-12"/>
        </w:rPr>
        <w:t xml:space="preserve"> </w:t>
      </w:r>
      <w:r>
        <w:t>solidaridad,</w:t>
      </w:r>
      <w:r>
        <w:rPr>
          <w:spacing w:val="-12"/>
        </w:rPr>
        <w:t xml:space="preserve"> </w:t>
      </w:r>
      <w:r>
        <w:t>herramientas</w:t>
      </w:r>
      <w:r>
        <w:rPr>
          <w:spacing w:val="-12"/>
        </w:rPr>
        <w:t xml:space="preserve"> </w:t>
      </w:r>
      <w:r>
        <w:t>que</w:t>
      </w:r>
      <w:r>
        <w:rPr>
          <w:spacing w:val="-12"/>
        </w:rPr>
        <w:t xml:space="preserve"> </w:t>
      </w:r>
      <w:r>
        <w:t>han</w:t>
      </w:r>
      <w:r>
        <w:rPr>
          <w:spacing w:val="-12"/>
        </w:rPr>
        <w:t xml:space="preserve"> </w:t>
      </w:r>
      <w:r>
        <w:t>salvado</w:t>
      </w:r>
      <w:r>
        <w:rPr>
          <w:spacing w:val="-12"/>
        </w:rPr>
        <w:t xml:space="preserve"> </w:t>
      </w:r>
      <w:r>
        <w:t>muchas</w:t>
      </w:r>
      <w:r>
        <w:rPr>
          <w:spacing w:val="-12"/>
        </w:rPr>
        <w:t xml:space="preserve"> </w:t>
      </w:r>
      <w:r>
        <w:t>vidas,</w:t>
      </w:r>
      <w:r>
        <w:rPr>
          <w:spacing w:val="-13"/>
        </w:rPr>
        <w:t xml:space="preserve"> </w:t>
      </w:r>
      <w:r>
        <w:t>también</w:t>
      </w:r>
      <w:r>
        <w:rPr>
          <w:spacing w:val="-12"/>
        </w:rPr>
        <w:t xml:space="preserve"> </w:t>
      </w:r>
      <w:r>
        <w:t>en</w:t>
      </w:r>
      <w:r>
        <w:rPr>
          <w:spacing w:val="-12"/>
        </w:rPr>
        <w:t xml:space="preserve"> </w:t>
      </w:r>
      <w:r>
        <w:t>este</w:t>
      </w:r>
      <w:r>
        <w:rPr>
          <w:spacing w:val="-12"/>
        </w:rPr>
        <w:t xml:space="preserve"> </w:t>
      </w:r>
      <w:r>
        <w:t>país,</w:t>
      </w:r>
      <w:r>
        <w:rPr>
          <w:spacing w:val="-12"/>
        </w:rPr>
        <w:t xml:space="preserve"> </w:t>
      </w:r>
      <w:r>
        <w:t>y</w:t>
      </w:r>
      <w:r>
        <w:rPr>
          <w:spacing w:val="-12"/>
        </w:rPr>
        <w:t xml:space="preserve"> </w:t>
      </w:r>
      <w:r>
        <w:t>suponen el sustrato de relaciones de la democracia.</w:t>
      </w:r>
    </w:p>
    <w:p w:rsidR="0011361F" w:rsidRPr="001F48F2" w:rsidRDefault="00AF18A5" w:rsidP="004A6EF4">
      <w:pPr>
        <w:pStyle w:val="Ttulo3"/>
        <w:numPr>
          <w:ilvl w:val="2"/>
          <w:numId w:val="18"/>
        </w:numPr>
      </w:pPr>
      <w:bookmarkStart w:id="48" w:name="1.3.3._Polarización_social_y_uso_polític"/>
      <w:bookmarkStart w:id="49" w:name="_Toc112399532"/>
      <w:bookmarkEnd w:id="48"/>
      <w:r w:rsidRPr="001F48F2">
        <w:t>Polarización social y uso político del sufrimiento</w:t>
      </w:r>
      <w:bookmarkEnd w:id="49"/>
    </w:p>
    <w:p w:rsidR="003804AC" w:rsidRDefault="00AF18A5" w:rsidP="00371C95">
      <w:r>
        <w:t>La</w:t>
      </w:r>
      <w:r>
        <w:rPr>
          <w:spacing w:val="-7"/>
        </w:rPr>
        <w:t xml:space="preserve"> </w:t>
      </w:r>
      <w:r>
        <w:t>toma</w:t>
      </w:r>
      <w:r>
        <w:rPr>
          <w:spacing w:val="-7"/>
        </w:rPr>
        <w:t xml:space="preserve"> </w:t>
      </w:r>
      <w:r>
        <w:t>de</w:t>
      </w:r>
      <w:r>
        <w:rPr>
          <w:spacing w:val="-8"/>
        </w:rPr>
        <w:t xml:space="preserve"> </w:t>
      </w:r>
      <w:r>
        <w:t>conciencia</w:t>
      </w:r>
      <w:r>
        <w:rPr>
          <w:spacing w:val="-7"/>
        </w:rPr>
        <w:t xml:space="preserve"> </w:t>
      </w:r>
      <w:r>
        <w:t>del</w:t>
      </w:r>
      <w:r>
        <w:rPr>
          <w:spacing w:val="-7"/>
        </w:rPr>
        <w:t xml:space="preserve"> </w:t>
      </w:r>
      <w:r>
        <w:t>sufrimiento</w:t>
      </w:r>
      <w:r>
        <w:rPr>
          <w:spacing w:val="-7"/>
        </w:rPr>
        <w:t xml:space="preserve"> </w:t>
      </w:r>
      <w:r>
        <w:t>producido</w:t>
      </w:r>
      <w:r>
        <w:rPr>
          <w:spacing w:val="-8"/>
        </w:rPr>
        <w:t xml:space="preserve"> </w:t>
      </w:r>
      <w:r>
        <w:t>por</w:t>
      </w:r>
      <w:r>
        <w:rPr>
          <w:spacing w:val="-7"/>
        </w:rPr>
        <w:t xml:space="preserve"> </w:t>
      </w:r>
      <w:r>
        <w:t>la</w:t>
      </w:r>
      <w:r>
        <w:rPr>
          <w:spacing w:val="-7"/>
        </w:rPr>
        <w:t xml:space="preserve"> </w:t>
      </w:r>
      <w:r>
        <w:t>violencia</w:t>
      </w:r>
      <w:r>
        <w:rPr>
          <w:spacing w:val="-7"/>
        </w:rPr>
        <w:t xml:space="preserve"> </w:t>
      </w:r>
      <w:r>
        <w:t>sociopolítica</w:t>
      </w:r>
      <w:r>
        <w:rPr>
          <w:spacing w:val="-7"/>
        </w:rPr>
        <w:t xml:space="preserve"> </w:t>
      </w:r>
      <w:r>
        <w:t>y</w:t>
      </w:r>
      <w:r>
        <w:rPr>
          <w:spacing w:val="-7"/>
        </w:rPr>
        <w:t xml:space="preserve"> </w:t>
      </w:r>
      <w:r>
        <w:t>el</w:t>
      </w:r>
      <w:r>
        <w:rPr>
          <w:spacing w:val="-7"/>
        </w:rPr>
        <w:t xml:space="preserve"> </w:t>
      </w:r>
      <w:r>
        <w:t>conflicto armado llevó a que sectores de la sociedad y del Estado aceptaran que la guerra no tenía solución por la vía armada y había que terminarla por el diálogo y la negociación. Experiencias significativas como las movilizaciones por la paz, las comunidades en resistencia,</w:t>
      </w:r>
      <w:r>
        <w:rPr>
          <w:spacing w:val="-4"/>
        </w:rPr>
        <w:t xml:space="preserve"> </w:t>
      </w:r>
      <w:r>
        <w:t>el</w:t>
      </w:r>
      <w:r>
        <w:rPr>
          <w:spacing w:val="-2"/>
        </w:rPr>
        <w:t xml:space="preserve"> </w:t>
      </w:r>
      <w:r>
        <w:t>movimiento</w:t>
      </w:r>
      <w:r>
        <w:rPr>
          <w:spacing w:val="-2"/>
        </w:rPr>
        <w:t xml:space="preserve"> </w:t>
      </w:r>
      <w:r>
        <w:t>de</w:t>
      </w:r>
      <w:r>
        <w:rPr>
          <w:spacing w:val="-2"/>
        </w:rPr>
        <w:t xml:space="preserve"> </w:t>
      </w:r>
      <w:r>
        <w:t>mujeres,</w:t>
      </w:r>
      <w:r>
        <w:rPr>
          <w:spacing w:val="-3"/>
        </w:rPr>
        <w:t xml:space="preserve"> </w:t>
      </w:r>
      <w:r>
        <w:t>la</w:t>
      </w:r>
      <w:r>
        <w:rPr>
          <w:spacing w:val="-2"/>
        </w:rPr>
        <w:t xml:space="preserve"> </w:t>
      </w:r>
      <w:r>
        <w:t>guardia</w:t>
      </w:r>
      <w:r>
        <w:rPr>
          <w:spacing w:val="-3"/>
        </w:rPr>
        <w:t xml:space="preserve"> </w:t>
      </w:r>
      <w:r>
        <w:t>indígena</w:t>
      </w:r>
      <w:r>
        <w:rPr>
          <w:spacing w:val="-2"/>
        </w:rPr>
        <w:t xml:space="preserve"> </w:t>
      </w:r>
      <w:r>
        <w:t>y</w:t>
      </w:r>
      <w:r>
        <w:rPr>
          <w:spacing w:val="-2"/>
        </w:rPr>
        <w:t xml:space="preserve"> </w:t>
      </w:r>
      <w:r>
        <w:t>la</w:t>
      </w:r>
      <w:r>
        <w:rPr>
          <w:spacing w:val="-2"/>
        </w:rPr>
        <w:t xml:space="preserve"> </w:t>
      </w:r>
      <w:r>
        <w:t>cimarrona</w:t>
      </w:r>
      <w:r>
        <w:rPr>
          <w:spacing w:val="-3"/>
        </w:rPr>
        <w:t xml:space="preserve"> </w:t>
      </w:r>
      <w:r>
        <w:t>o</w:t>
      </w:r>
      <w:r>
        <w:rPr>
          <w:spacing w:val="-2"/>
        </w:rPr>
        <w:t xml:space="preserve"> </w:t>
      </w:r>
      <w:r>
        <w:t>las</w:t>
      </w:r>
      <w:r>
        <w:rPr>
          <w:spacing w:val="-2"/>
        </w:rPr>
        <w:t xml:space="preserve"> </w:t>
      </w:r>
      <w:r>
        <w:t>luchas</w:t>
      </w:r>
      <w:r>
        <w:rPr>
          <w:spacing w:val="-3"/>
        </w:rPr>
        <w:t xml:space="preserve"> </w:t>
      </w:r>
      <w:r>
        <w:t>de</w:t>
      </w:r>
      <w:r>
        <w:rPr>
          <w:spacing w:val="-2"/>
        </w:rPr>
        <w:t xml:space="preserve"> </w:t>
      </w:r>
      <w:r>
        <w:t>las víctimas llevaron a formas de reconocimiento y el diálogo con muchos sectores implicados en</w:t>
      </w:r>
      <w:r>
        <w:rPr>
          <w:spacing w:val="-4"/>
        </w:rPr>
        <w:t xml:space="preserve"> </w:t>
      </w:r>
      <w:r>
        <w:t>la</w:t>
      </w:r>
      <w:r>
        <w:rPr>
          <w:spacing w:val="-5"/>
        </w:rPr>
        <w:t xml:space="preserve"> </w:t>
      </w:r>
      <w:r>
        <w:t>lucha</w:t>
      </w:r>
      <w:r>
        <w:rPr>
          <w:spacing w:val="-4"/>
        </w:rPr>
        <w:t xml:space="preserve"> </w:t>
      </w:r>
      <w:r>
        <w:t>por</w:t>
      </w:r>
      <w:r>
        <w:rPr>
          <w:spacing w:val="-4"/>
        </w:rPr>
        <w:t xml:space="preserve"> </w:t>
      </w:r>
      <w:r>
        <w:t>la</w:t>
      </w:r>
      <w:r>
        <w:rPr>
          <w:spacing w:val="-4"/>
        </w:rPr>
        <w:t xml:space="preserve"> </w:t>
      </w:r>
      <w:r>
        <w:t>paz.</w:t>
      </w:r>
      <w:r>
        <w:rPr>
          <w:spacing w:val="-5"/>
        </w:rPr>
        <w:t xml:space="preserve"> </w:t>
      </w:r>
      <w:r>
        <w:t>Pero</w:t>
      </w:r>
      <w:r>
        <w:rPr>
          <w:spacing w:val="-4"/>
        </w:rPr>
        <w:t xml:space="preserve"> </w:t>
      </w:r>
      <w:r>
        <w:t>no</w:t>
      </w:r>
      <w:r>
        <w:rPr>
          <w:spacing w:val="-5"/>
        </w:rPr>
        <w:t xml:space="preserve"> </w:t>
      </w:r>
      <w:r>
        <w:t>fue</w:t>
      </w:r>
      <w:r>
        <w:rPr>
          <w:spacing w:val="-4"/>
        </w:rPr>
        <w:t xml:space="preserve"> </w:t>
      </w:r>
      <w:r>
        <w:t>un</w:t>
      </w:r>
      <w:r>
        <w:rPr>
          <w:spacing w:val="-5"/>
        </w:rPr>
        <w:t xml:space="preserve"> </w:t>
      </w:r>
      <w:r>
        <w:t>proyecto</w:t>
      </w:r>
      <w:r>
        <w:rPr>
          <w:spacing w:val="-4"/>
        </w:rPr>
        <w:t xml:space="preserve"> </w:t>
      </w:r>
      <w:r>
        <w:t>nacional</w:t>
      </w:r>
      <w:r>
        <w:rPr>
          <w:spacing w:val="-4"/>
        </w:rPr>
        <w:t xml:space="preserve"> </w:t>
      </w:r>
      <w:r>
        <w:t>que</w:t>
      </w:r>
      <w:r>
        <w:rPr>
          <w:spacing w:val="-4"/>
        </w:rPr>
        <w:t xml:space="preserve"> </w:t>
      </w:r>
      <w:r>
        <w:t>se</w:t>
      </w:r>
      <w:r>
        <w:rPr>
          <w:spacing w:val="-5"/>
        </w:rPr>
        <w:t xml:space="preserve"> </w:t>
      </w:r>
      <w:r>
        <w:t>sostuviera</w:t>
      </w:r>
      <w:r>
        <w:rPr>
          <w:spacing w:val="-5"/>
        </w:rPr>
        <w:t xml:space="preserve"> </w:t>
      </w:r>
      <w:r>
        <w:t>en</w:t>
      </w:r>
      <w:r>
        <w:rPr>
          <w:spacing w:val="-4"/>
        </w:rPr>
        <w:t xml:space="preserve"> </w:t>
      </w:r>
      <w:r>
        <w:t>el</w:t>
      </w:r>
      <w:r>
        <w:rPr>
          <w:spacing w:val="-4"/>
        </w:rPr>
        <w:t xml:space="preserve"> </w:t>
      </w:r>
      <w:r>
        <w:t>tiempo</w:t>
      </w:r>
      <w:r>
        <w:rPr>
          <w:spacing w:val="-5"/>
        </w:rPr>
        <w:t xml:space="preserve"> </w:t>
      </w:r>
      <w:r>
        <w:t>y</w:t>
      </w:r>
      <w:r>
        <w:rPr>
          <w:spacing w:val="-4"/>
        </w:rPr>
        <w:t xml:space="preserve"> </w:t>
      </w:r>
      <w:r>
        <w:t>que involucrara a todos los sectores. Personas con poder económico y político, gobiernos y sectores</w:t>
      </w:r>
      <w:r>
        <w:rPr>
          <w:spacing w:val="-12"/>
        </w:rPr>
        <w:t xml:space="preserve"> </w:t>
      </w:r>
      <w:r>
        <w:t>e</w:t>
      </w:r>
      <w:r>
        <w:rPr>
          <w:spacing w:val="-13"/>
        </w:rPr>
        <w:t xml:space="preserve"> </w:t>
      </w:r>
      <w:r>
        <w:t>instituciones</w:t>
      </w:r>
      <w:r>
        <w:rPr>
          <w:spacing w:val="-12"/>
        </w:rPr>
        <w:t xml:space="preserve"> </w:t>
      </w:r>
      <w:r>
        <w:t>del</w:t>
      </w:r>
      <w:r>
        <w:rPr>
          <w:spacing w:val="-11"/>
        </w:rPr>
        <w:t xml:space="preserve"> </w:t>
      </w:r>
      <w:r>
        <w:t>propio</w:t>
      </w:r>
      <w:r>
        <w:rPr>
          <w:spacing w:val="-12"/>
        </w:rPr>
        <w:t xml:space="preserve"> </w:t>
      </w:r>
      <w:r>
        <w:t>Estado</w:t>
      </w:r>
      <w:r>
        <w:rPr>
          <w:spacing w:val="-12"/>
        </w:rPr>
        <w:t xml:space="preserve"> </w:t>
      </w:r>
      <w:r>
        <w:t>no</w:t>
      </w:r>
      <w:r>
        <w:rPr>
          <w:spacing w:val="-12"/>
        </w:rPr>
        <w:t xml:space="preserve"> </w:t>
      </w:r>
      <w:r>
        <w:t>se</w:t>
      </w:r>
      <w:r>
        <w:rPr>
          <w:spacing w:val="-12"/>
        </w:rPr>
        <w:t xml:space="preserve"> </w:t>
      </w:r>
      <w:r>
        <w:t>implicaron</w:t>
      </w:r>
      <w:r>
        <w:rPr>
          <w:spacing w:val="-12"/>
        </w:rPr>
        <w:t xml:space="preserve"> </w:t>
      </w:r>
      <w:r>
        <w:t>en</w:t>
      </w:r>
      <w:r>
        <w:rPr>
          <w:spacing w:val="-12"/>
        </w:rPr>
        <w:t xml:space="preserve"> </w:t>
      </w:r>
      <w:r>
        <w:t>ello.</w:t>
      </w:r>
      <w:r>
        <w:rPr>
          <w:spacing w:val="-12"/>
        </w:rPr>
        <w:t xml:space="preserve"> </w:t>
      </w:r>
      <w:r>
        <w:t>Por</w:t>
      </w:r>
      <w:r>
        <w:rPr>
          <w:spacing w:val="-13"/>
        </w:rPr>
        <w:t xml:space="preserve"> </w:t>
      </w:r>
      <w:r>
        <w:t>el</w:t>
      </w:r>
      <w:r>
        <w:rPr>
          <w:spacing w:val="-11"/>
        </w:rPr>
        <w:t xml:space="preserve"> </w:t>
      </w:r>
      <w:r>
        <w:t>contrario,</w:t>
      </w:r>
      <w:r>
        <w:rPr>
          <w:spacing w:val="-12"/>
        </w:rPr>
        <w:t xml:space="preserve"> </w:t>
      </w:r>
      <w:r>
        <w:t>siguieron insistiendo aumentar la fuerza militar del Estado para destruir al enemigo, llegando incluso a justificar o minimizar ese sufrimiento. Algunos sectores de las insurgencias también se encargaron de obstaculizar la concreción de las negociaciones de paz.</w:t>
      </w:r>
    </w:p>
    <w:p w:rsidR="003804AC" w:rsidRDefault="00AF18A5" w:rsidP="00371C95">
      <w:r>
        <w:lastRenderedPageBreak/>
        <w:t>Para</w:t>
      </w:r>
      <w:r>
        <w:rPr>
          <w:spacing w:val="-6"/>
        </w:rPr>
        <w:t xml:space="preserve"> </w:t>
      </w:r>
      <w:r>
        <w:t>la</w:t>
      </w:r>
      <w:r>
        <w:rPr>
          <w:spacing w:val="-6"/>
        </w:rPr>
        <w:t xml:space="preserve"> </w:t>
      </w:r>
      <w:r>
        <w:t>Comisión</w:t>
      </w:r>
      <w:r>
        <w:rPr>
          <w:spacing w:val="-6"/>
        </w:rPr>
        <w:t xml:space="preserve"> </w:t>
      </w:r>
      <w:r>
        <w:t>de</w:t>
      </w:r>
      <w:r>
        <w:rPr>
          <w:spacing w:val="-7"/>
        </w:rPr>
        <w:t xml:space="preserve"> </w:t>
      </w:r>
      <w:r>
        <w:t>la</w:t>
      </w:r>
      <w:r>
        <w:rPr>
          <w:spacing w:val="-6"/>
        </w:rPr>
        <w:t xml:space="preserve"> </w:t>
      </w:r>
      <w:r>
        <w:t>Verdad,</w:t>
      </w:r>
      <w:r>
        <w:rPr>
          <w:spacing w:val="-6"/>
        </w:rPr>
        <w:t xml:space="preserve"> </w:t>
      </w:r>
      <w:r>
        <w:t>esa</w:t>
      </w:r>
      <w:r>
        <w:rPr>
          <w:spacing w:val="-7"/>
        </w:rPr>
        <w:t xml:space="preserve"> </w:t>
      </w:r>
      <w:r>
        <w:t>justificación</w:t>
      </w:r>
      <w:r>
        <w:rPr>
          <w:spacing w:val="-6"/>
        </w:rPr>
        <w:t xml:space="preserve"> </w:t>
      </w:r>
      <w:r>
        <w:t>que</w:t>
      </w:r>
      <w:r>
        <w:rPr>
          <w:spacing w:val="-6"/>
        </w:rPr>
        <w:t xml:space="preserve"> </w:t>
      </w:r>
      <w:r>
        <w:t>se</w:t>
      </w:r>
      <w:r>
        <w:rPr>
          <w:spacing w:val="-6"/>
        </w:rPr>
        <w:t xml:space="preserve"> </w:t>
      </w:r>
      <w:r>
        <w:t>basa</w:t>
      </w:r>
      <w:r>
        <w:rPr>
          <w:spacing w:val="-6"/>
        </w:rPr>
        <w:t xml:space="preserve"> </w:t>
      </w:r>
      <w:r>
        <w:t>en</w:t>
      </w:r>
      <w:r>
        <w:rPr>
          <w:spacing w:val="-6"/>
        </w:rPr>
        <w:t xml:space="preserve"> </w:t>
      </w:r>
      <w:r>
        <w:t>la</w:t>
      </w:r>
      <w:r>
        <w:rPr>
          <w:spacing w:val="-6"/>
        </w:rPr>
        <w:t xml:space="preserve"> </w:t>
      </w:r>
      <w:r>
        <w:t>construcción</w:t>
      </w:r>
      <w:r>
        <w:rPr>
          <w:spacing w:val="-6"/>
        </w:rPr>
        <w:t xml:space="preserve"> </w:t>
      </w:r>
      <w:r>
        <w:t>interesada de</w:t>
      </w:r>
      <w:r>
        <w:rPr>
          <w:spacing w:val="-3"/>
        </w:rPr>
        <w:t xml:space="preserve"> </w:t>
      </w:r>
      <w:r>
        <w:t>la</w:t>
      </w:r>
      <w:r>
        <w:rPr>
          <w:spacing w:val="-3"/>
        </w:rPr>
        <w:t xml:space="preserve"> </w:t>
      </w:r>
      <w:r>
        <w:t>existencia</w:t>
      </w:r>
      <w:r>
        <w:rPr>
          <w:spacing w:val="-3"/>
        </w:rPr>
        <w:t xml:space="preserve"> </w:t>
      </w:r>
      <w:r>
        <w:t>de</w:t>
      </w:r>
      <w:r>
        <w:rPr>
          <w:spacing w:val="-3"/>
        </w:rPr>
        <w:t xml:space="preserve"> </w:t>
      </w:r>
      <w:r>
        <w:t>un</w:t>
      </w:r>
      <w:r>
        <w:rPr>
          <w:spacing w:val="-3"/>
        </w:rPr>
        <w:t xml:space="preserve"> </w:t>
      </w:r>
      <w:r>
        <w:t>enemigo</w:t>
      </w:r>
      <w:r>
        <w:rPr>
          <w:spacing w:val="-3"/>
        </w:rPr>
        <w:t xml:space="preserve"> </w:t>
      </w:r>
      <w:r>
        <w:t>al</w:t>
      </w:r>
      <w:r>
        <w:rPr>
          <w:spacing w:val="-3"/>
        </w:rPr>
        <w:t xml:space="preserve"> </w:t>
      </w:r>
      <w:r>
        <w:t>que</w:t>
      </w:r>
      <w:r>
        <w:rPr>
          <w:spacing w:val="-3"/>
        </w:rPr>
        <w:t xml:space="preserve"> </w:t>
      </w:r>
      <w:r>
        <w:t>hay</w:t>
      </w:r>
      <w:r>
        <w:rPr>
          <w:spacing w:val="-3"/>
        </w:rPr>
        <w:t xml:space="preserve"> </w:t>
      </w:r>
      <w:r>
        <w:t>que</w:t>
      </w:r>
      <w:r>
        <w:rPr>
          <w:spacing w:val="-3"/>
        </w:rPr>
        <w:t xml:space="preserve"> </w:t>
      </w:r>
      <w:r>
        <w:t>combatir</w:t>
      </w:r>
      <w:r>
        <w:rPr>
          <w:spacing w:val="-3"/>
        </w:rPr>
        <w:t xml:space="preserve"> </w:t>
      </w:r>
      <w:r>
        <w:t>con</w:t>
      </w:r>
      <w:r>
        <w:rPr>
          <w:spacing w:val="-5"/>
        </w:rPr>
        <w:t xml:space="preserve"> </w:t>
      </w:r>
      <w:r>
        <w:t>todos</w:t>
      </w:r>
      <w:r>
        <w:rPr>
          <w:spacing w:val="-3"/>
        </w:rPr>
        <w:t xml:space="preserve"> </w:t>
      </w:r>
      <w:r>
        <w:t>los</w:t>
      </w:r>
      <w:r>
        <w:rPr>
          <w:spacing w:val="-3"/>
        </w:rPr>
        <w:t xml:space="preserve"> </w:t>
      </w:r>
      <w:r>
        <w:t>medios</w:t>
      </w:r>
      <w:r>
        <w:rPr>
          <w:spacing w:val="-3"/>
        </w:rPr>
        <w:t xml:space="preserve"> </w:t>
      </w:r>
      <w:r>
        <w:t>disponibles</w:t>
      </w:r>
      <w:r>
        <w:rPr>
          <w:spacing w:val="-3"/>
        </w:rPr>
        <w:t xml:space="preserve"> </w:t>
      </w:r>
      <w:r>
        <w:t>ha permitido</w:t>
      </w:r>
      <w:r>
        <w:rPr>
          <w:spacing w:val="-7"/>
        </w:rPr>
        <w:t xml:space="preserve"> </w:t>
      </w:r>
      <w:r>
        <w:t>usar</w:t>
      </w:r>
      <w:r>
        <w:rPr>
          <w:spacing w:val="-7"/>
        </w:rPr>
        <w:t xml:space="preserve"> </w:t>
      </w:r>
      <w:r>
        <w:t>el</w:t>
      </w:r>
      <w:r>
        <w:rPr>
          <w:spacing w:val="-7"/>
        </w:rPr>
        <w:t xml:space="preserve"> </w:t>
      </w:r>
      <w:r>
        <w:t>dolor</w:t>
      </w:r>
      <w:r>
        <w:rPr>
          <w:spacing w:val="-7"/>
        </w:rPr>
        <w:t xml:space="preserve"> </w:t>
      </w:r>
      <w:r>
        <w:t>y</w:t>
      </w:r>
      <w:r>
        <w:rPr>
          <w:spacing w:val="-7"/>
        </w:rPr>
        <w:t xml:space="preserve"> </w:t>
      </w:r>
      <w:r>
        <w:t>el</w:t>
      </w:r>
      <w:r>
        <w:rPr>
          <w:spacing w:val="-7"/>
        </w:rPr>
        <w:t xml:space="preserve"> </w:t>
      </w:r>
      <w:r>
        <w:t>sufrimiento</w:t>
      </w:r>
      <w:r>
        <w:rPr>
          <w:spacing w:val="-7"/>
        </w:rPr>
        <w:t xml:space="preserve"> </w:t>
      </w:r>
      <w:r>
        <w:t>para</w:t>
      </w:r>
      <w:r>
        <w:rPr>
          <w:spacing w:val="-7"/>
        </w:rPr>
        <w:t xml:space="preserve"> </w:t>
      </w:r>
      <w:r>
        <w:t>fines</w:t>
      </w:r>
      <w:r>
        <w:rPr>
          <w:spacing w:val="-8"/>
        </w:rPr>
        <w:t xml:space="preserve"> </w:t>
      </w:r>
      <w:r>
        <w:t>políticos.</w:t>
      </w:r>
      <w:r>
        <w:rPr>
          <w:spacing w:val="-7"/>
        </w:rPr>
        <w:t xml:space="preserve"> </w:t>
      </w:r>
      <w:r>
        <w:t>El</w:t>
      </w:r>
      <w:r>
        <w:rPr>
          <w:spacing w:val="-8"/>
        </w:rPr>
        <w:t xml:space="preserve"> </w:t>
      </w:r>
      <w:r>
        <w:t>reconocimiento</w:t>
      </w:r>
      <w:r>
        <w:rPr>
          <w:spacing w:val="-7"/>
        </w:rPr>
        <w:t xml:space="preserve"> </w:t>
      </w:r>
      <w:r>
        <w:t>de</w:t>
      </w:r>
      <w:r>
        <w:rPr>
          <w:spacing w:val="-7"/>
        </w:rPr>
        <w:t xml:space="preserve"> </w:t>
      </w:r>
      <w:r>
        <w:t>los</w:t>
      </w:r>
      <w:r>
        <w:rPr>
          <w:spacing w:val="-7"/>
        </w:rPr>
        <w:t xml:space="preserve"> </w:t>
      </w:r>
      <w:r>
        <w:t>hechos y</w:t>
      </w:r>
      <w:r>
        <w:rPr>
          <w:spacing w:val="9"/>
        </w:rPr>
        <w:t xml:space="preserve"> </w:t>
      </w:r>
      <w:r>
        <w:t>la</w:t>
      </w:r>
      <w:r>
        <w:rPr>
          <w:spacing w:val="11"/>
        </w:rPr>
        <w:t xml:space="preserve"> </w:t>
      </w:r>
      <w:r>
        <w:t>empatía</w:t>
      </w:r>
      <w:r>
        <w:rPr>
          <w:spacing w:val="10"/>
        </w:rPr>
        <w:t xml:space="preserve"> </w:t>
      </w:r>
      <w:r>
        <w:t>con</w:t>
      </w:r>
      <w:r>
        <w:rPr>
          <w:spacing w:val="11"/>
        </w:rPr>
        <w:t xml:space="preserve"> </w:t>
      </w:r>
      <w:r>
        <w:t>las</w:t>
      </w:r>
      <w:r>
        <w:rPr>
          <w:spacing w:val="12"/>
        </w:rPr>
        <w:t xml:space="preserve"> </w:t>
      </w:r>
      <w:r>
        <w:t>víctimas</w:t>
      </w:r>
      <w:r>
        <w:rPr>
          <w:spacing w:val="10"/>
        </w:rPr>
        <w:t xml:space="preserve"> </w:t>
      </w:r>
      <w:r>
        <w:t>se</w:t>
      </w:r>
      <w:r>
        <w:rPr>
          <w:spacing w:val="11"/>
        </w:rPr>
        <w:t xml:space="preserve"> </w:t>
      </w:r>
      <w:r>
        <w:t>han</w:t>
      </w:r>
      <w:r>
        <w:rPr>
          <w:spacing w:val="8"/>
        </w:rPr>
        <w:t xml:space="preserve"> </w:t>
      </w:r>
      <w:r>
        <w:t>limitado</w:t>
      </w:r>
      <w:r>
        <w:rPr>
          <w:spacing w:val="10"/>
        </w:rPr>
        <w:t xml:space="preserve"> </w:t>
      </w:r>
      <w:r>
        <w:t>a</w:t>
      </w:r>
      <w:r>
        <w:rPr>
          <w:spacing w:val="11"/>
        </w:rPr>
        <w:t xml:space="preserve"> </w:t>
      </w:r>
      <w:r>
        <w:t>aquellas</w:t>
      </w:r>
      <w:r>
        <w:rPr>
          <w:spacing w:val="11"/>
        </w:rPr>
        <w:t xml:space="preserve"> </w:t>
      </w:r>
      <w:r>
        <w:t>con</w:t>
      </w:r>
      <w:r>
        <w:rPr>
          <w:spacing w:val="9"/>
        </w:rPr>
        <w:t xml:space="preserve"> </w:t>
      </w:r>
      <w:r>
        <w:t>las</w:t>
      </w:r>
      <w:r>
        <w:rPr>
          <w:spacing w:val="12"/>
        </w:rPr>
        <w:t xml:space="preserve"> </w:t>
      </w:r>
      <w:r>
        <w:t>que</w:t>
      </w:r>
      <w:r>
        <w:rPr>
          <w:spacing w:val="10"/>
        </w:rPr>
        <w:t xml:space="preserve"> </w:t>
      </w:r>
      <w:r>
        <w:t>un</w:t>
      </w:r>
      <w:r>
        <w:rPr>
          <w:spacing w:val="10"/>
        </w:rPr>
        <w:t xml:space="preserve"> </w:t>
      </w:r>
      <w:r>
        <w:t>determinado</w:t>
      </w:r>
      <w:r>
        <w:rPr>
          <w:spacing w:val="9"/>
        </w:rPr>
        <w:t xml:space="preserve"> </w:t>
      </w:r>
      <w:r>
        <w:rPr>
          <w:spacing w:val="-2"/>
        </w:rPr>
        <w:t>sector</w:t>
      </w:r>
      <w:r w:rsidR="00371C95">
        <w:rPr>
          <w:spacing w:val="-2"/>
        </w:rPr>
        <w:t xml:space="preserve"> </w:t>
      </w:r>
      <w:r>
        <w:t>social se identificaba, despreciando o negando la existencia del conjunto de las víctimas, o de las responsabilidades de quienes se consideraban «del propio lado».</w:t>
      </w:r>
    </w:p>
    <w:p w:rsidR="003804AC" w:rsidRDefault="00AF18A5" w:rsidP="00371C95">
      <w:r>
        <w:t>En</w:t>
      </w:r>
      <w:r>
        <w:rPr>
          <w:spacing w:val="-1"/>
        </w:rPr>
        <w:t xml:space="preserve"> </w:t>
      </w:r>
      <w:r>
        <w:t>el</w:t>
      </w:r>
      <w:r>
        <w:rPr>
          <w:spacing w:val="-1"/>
        </w:rPr>
        <w:t xml:space="preserve"> </w:t>
      </w:r>
      <w:r>
        <w:t>reconocimiento</w:t>
      </w:r>
      <w:r>
        <w:rPr>
          <w:spacing w:val="-1"/>
        </w:rPr>
        <w:t xml:space="preserve"> </w:t>
      </w:r>
      <w:r>
        <w:t>de</w:t>
      </w:r>
      <w:r>
        <w:rPr>
          <w:spacing w:val="-2"/>
        </w:rPr>
        <w:t xml:space="preserve"> </w:t>
      </w:r>
      <w:r>
        <w:t>los</w:t>
      </w:r>
      <w:r>
        <w:rPr>
          <w:spacing w:val="-1"/>
        </w:rPr>
        <w:t xml:space="preserve"> </w:t>
      </w:r>
      <w:r>
        <w:t>impactos</w:t>
      </w:r>
      <w:r>
        <w:rPr>
          <w:spacing w:val="-2"/>
        </w:rPr>
        <w:t xml:space="preserve"> </w:t>
      </w:r>
      <w:r>
        <w:t>que</w:t>
      </w:r>
      <w:r>
        <w:rPr>
          <w:spacing w:val="-1"/>
        </w:rPr>
        <w:t xml:space="preserve"> </w:t>
      </w:r>
      <w:r>
        <w:t>ha</w:t>
      </w:r>
      <w:r>
        <w:rPr>
          <w:spacing w:val="-1"/>
        </w:rPr>
        <w:t xml:space="preserve"> </w:t>
      </w:r>
      <w:r>
        <w:t>dejado</w:t>
      </w:r>
      <w:r>
        <w:rPr>
          <w:spacing w:val="-1"/>
        </w:rPr>
        <w:t xml:space="preserve"> </w:t>
      </w:r>
      <w:r>
        <w:t>el</w:t>
      </w:r>
      <w:r>
        <w:rPr>
          <w:spacing w:val="-1"/>
        </w:rPr>
        <w:t xml:space="preserve"> </w:t>
      </w:r>
      <w:r>
        <w:t>conflicto</w:t>
      </w:r>
      <w:r>
        <w:rPr>
          <w:spacing w:val="-1"/>
        </w:rPr>
        <w:t xml:space="preserve"> </w:t>
      </w:r>
      <w:r>
        <w:t>armado,</w:t>
      </w:r>
      <w:r>
        <w:rPr>
          <w:spacing w:val="-1"/>
        </w:rPr>
        <w:t xml:space="preserve"> </w:t>
      </w:r>
      <w:r>
        <w:t>frecuentemente la defensa del Estado y del modelo económico y político se privilegió por encima de las víctimas</w:t>
      </w:r>
      <w:r>
        <w:rPr>
          <w:spacing w:val="-1"/>
        </w:rPr>
        <w:t xml:space="preserve"> </w:t>
      </w:r>
      <w:r>
        <w:t>del</w:t>
      </w:r>
      <w:r>
        <w:rPr>
          <w:spacing w:val="-1"/>
        </w:rPr>
        <w:t xml:space="preserve"> </w:t>
      </w:r>
      <w:r>
        <w:t>Estado</w:t>
      </w:r>
      <w:r>
        <w:rPr>
          <w:spacing w:val="-1"/>
        </w:rPr>
        <w:t xml:space="preserve"> </w:t>
      </w:r>
      <w:r>
        <w:t>o del entramado</w:t>
      </w:r>
      <w:r>
        <w:rPr>
          <w:spacing w:val="-1"/>
        </w:rPr>
        <w:t xml:space="preserve"> </w:t>
      </w:r>
      <w:r>
        <w:t>paramilitar,</w:t>
      </w:r>
      <w:r>
        <w:rPr>
          <w:spacing w:val="-1"/>
        </w:rPr>
        <w:t xml:space="preserve"> </w:t>
      </w:r>
      <w:r>
        <w:t>negando o</w:t>
      </w:r>
      <w:r>
        <w:rPr>
          <w:spacing w:val="-1"/>
        </w:rPr>
        <w:t xml:space="preserve"> </w:t>
      </w:r>
      <w:r>
        <w:t>justificando</w:t>
      </w:r>
      <w:r>
        <w:rPr>
          <w:spacing w:val="-1"/>
        </w:rPr>
        <w:t xml:space="preserve"> </w:t>
      </w:r>
      <w:r>
        <w:t xml:space="preserve">su responsabilidad. Por su parte, también algunos sectores </w:t>
      </w:r>
      <w:proofErr w:type="spellStart"/>
      <w:r>
        <w:t>contraestatales</w:t>
      </w:r>
      <w:proofErr w:type="spellEnd"/>
      <w:r>
        <w:t xml:space="preserve"> han invisibilizado las víctimas producidas por las guerrillas y las han justificado como daño colateral de la propia guerra, restando importancia a su sufrimiento por el hecho de pertenecer a los estratos socioeconómicos más acaudalados de la sociedad, o justificando esos ataques, muertes o secuestros como respuesta a situaciones de injusticia social. Nada de eso es válido para la Comisión y la falta de sensibilidad ha sido un factor de persistencia porque evita tomar conciencia de lo intolerable.</w:t>
      </w:r>
    </w:p>
    <w:p w:rsidR="003804AC" w:rsidRDefault="00AF18A5" w:rsidP="00371C95">
      <w:r>
        <w:t>En decenas de Procesos de Reconocimiento de Responsabilidades llevados a cabo por la Comisión</w:t>
      </w:r>
      <w:r>
        <w:rPr>
          <w:spacing w:val="-5"/>
        </w:rPr>
        <w:t xml:space="preserve"> </w:t>
      </w:r>
      <w:r>
        <w:t>de</w:t>
      </w:r>
      <w:r>
        <w:rPr>
          <w:spacing w:val="-6"/>
        </w:rPr>
        <w:t xml:space="preserve"> </w:t>
      </w:r>
      <w:r>
        <w:t>la</w:t>
      </w:r>
      <w:r>
        <w:rPr>
          <w:spacing w:val="-5"/>
        </w:rPr>
        <w:t xml:space="preserve"> </w:t>
      </w:r>
      <w:r>
        <w:t>Verdad,</w:t>
      </w:r>
      <w:r>
        <w:rPr>
          <w:spacing w:val="-5"/>
        </w:rPr>
        <w:t xml:space="preserve"> </w:t>
      </w:r>
      <w:r>
        <w:t>algunos</w:t>
      </w:r>
      <w:r>
        <w:rPr>
          <w:spacing w:val="-5"/>
        </w:rPr>
        <w:t xml:space="preserve"> </w:t>
      </w:r>
      <w:r>
        <w:t>responsables</w:t>
      </w:r>
      <w:r>
        <w:rPr>
          <w:spacing w:val="-5"/>
        </w:rPr>
        <w:t xml:space="preserve"> </w:t>
      </w:r>
      <w:r>
        <w:t>directos</w:t>
      </w:r>
      <w:r>
        <w:rPr>
          <w:spacing w:val="-5"/>
        </w:rPr>
        <w:t xml:space="preserve"> </w:t>
      </w:r>
      <w:r>
        <w:t>de</w:t>
      </w:r>
      <w:r>
        <w:rPr>
          <w:spacing w:val="-5"/>
        </w:rPr>
        <w:t xml:space="preserve"> </w:t>
      </w:r>
      <w:r>
        <w:t>diferentes</w:t>
      </w:r>
      <w:r>
        <w:rPr>
          <w:spacing w:val="-5"/>
        </w:rPr>
        <w:t xml:space="preserve"> </w:t>
      </w:r>
      <w:r>
        <w:t>grupos</w:t>
      </w:r>
      <w:r>
        <w:rPr>
          <w:spacing w:val="-6"/>
        </w:rPr>
        <w:t xml:space="preserve"> </w:t>
      </w:r>
      <w:r>
        <w:t>armados</w:t>
      </w:r>
      <w:r>
        <w:rPr>
          <w:spacing w:val="-5"/>
        </w:rPr>
        <w:t xml:space="preserve"> </w:t>
      </w:r>
      <w:r>
        <w:t>y</w:t>
      </w:r>
      <w:r>
        <w:rPr>
          <w:spacing w:val="-5"/>
        </w:rPr>
        <w:t xml:space="preserve"> </w:t>
      </w:r>
      <w:r>
        <w:t>de</w:t>
      </w:r>
      <w:r>
        <w:rPr>
          <w:spacing w:val="-5"/>
        </w:rPr>
        <w:t xml:space="preserve"> </w:t>
      </w:r>
      <w:r>
        <w:t>las Fuerzas</w:t>
      </w:r>
      <w:r>
        <w:rPr>
          <w:spacing w:val="-8"/>
        </w:rPr>
        <w:t xml:space="preserve"> </w:t>
      </w:r>
      <w:r>
        <w:t>Militares</w:t>
      </w:r>
      <w:r>
        <w:rPr>
          <w:spacing w:val="-8"/>
        </w:rPr>
        <w:t xml:space="preserve"> </w:t>
      </w:r>
      <w:r>
        <w:t>han</w:t>
      </w:r>
      <w:r>
        <w:rPr>
          <w:spacing w:val="-8"/>
        </w:rPr>
        <w:t xml:space="preserve"> </w:t>
      </w:r>
      <w:r>
        <w:t>expresado</w:t>
      </w:r>
      <w:r>
        <w:rPr>
          <w:spacing w:val="-8"/>
        </w:rPr>
        <w:t xml:space="preserve"> </w:t>
      </w:r>
      <w:r>
        <w:t>públicamente</w:t>
      </w:r>
      <w:r>
        <w:rPr>
          <w:spacing w:val="-8"/>
        </w:rPr>
        <w:t xml:space="preserve"> </w:t>
      </w:r>
      <w:r>
        <w:t>su</w:t>
      </w:r>
      <w:r>
        <w:rPr>
          <w:spacing w:val="-10"/>
        </w:rPr>
        <w:t xml:space="preserve"> </w:t>
      </w:r>
      <w:r>
        <w:t>examen</w:t>
      </w:r>
      <w:r>
        <w:rPr>
          <w:spacing w:val="-8"/>
        </w:rPr>
        <w:t xml:space="preserve"> </w:t>
      </w:r>
      <w:r>
        <w:t>crítico</w:t>
      </w:r>
      <w:r>
        <w:rPr>
          <w:spacing w:val="-8"/>
        </w:rPr>
        <w:t xml:space="preserve"> </w:t>
      </w:r>
      <w:r>
        <w:t>del</w:t>
      </w:r>
      <w:r>
        <w:rPr>
          <w:spacing w:val="-8"/>
        </w:rPr>
        <w:t xml:space="preserve"> </w:t>
      </w:r>
      <w:r>
        <w:t>pasado,</w:t>
      </w:r>
      <w:r>
        <w:rPr>
          <w:spacing w:val="-8"/>
        </w:rPr>
        <w:t xml:space="preserve"> </w:t>
      </w:r>
      <w:r>
        <w:t>han</w:t>
      </w:r>
      <w:r>
        <w:rPr>
          <w:spacing w:val="-8"/>
        </w:rPr>
        <w:t xml:space="preserve"> </w:t>
      </w:r>
      <w:r>
        <w:t>reconocido el horror de las masacres o del secuestro, de la perfidia y la barbarie de las ejecuciones extrajudiciales.</w:t>
      </w:r>
      <w:r>
        <w:rPr>
          <w:spacing w:val="-15"/>
        </w:rPr>
        <w:t xml:space="preserve"> </w:t>
      </w:r>
      <w:r>
        <w:t>Todo</w:t>
      </w:r>
      <w:r>
        <w:rPr>
          <w:spacing w:val="-15"/>
        </w:rPr>
        <w:t xml:space="preserve"> </w:t>
      </w:r>
      <w:r>
        <w:t>ello</w:t>
      </w:r>
      <w:r>
        <w:rPr>
          <w:spacing w:val="-15"/>
        </w:rPr>
        <w:t xml:space="preserve"> </w:t>
      </w:r>
      <w:r>
        <w:t>muestra</w:t>
      </w:r>
      <w:r>
        <w:rPr>
          <w:spacing w:val="-15"/>
        </w:rPr>
        <w:t xml:space="preserve"> </w:t>
      </w:r>
      <w:r>
        <w:t>que</w:t>
      </w:r>
      <w:r>
        <w:rPr>
          <w:spacing w:val="-15"/>
        </w:rPr>
        <w:t xml:space="preserve"> </w:t>
      </w:r>
      <w:r>
        <w:t>el</w:t>
      </w:r>
      <w:r>
        <w:rPr>
          <w:spacing w:val="-15"/>
        </w:rPr>
        <w:t xml:space="preserve"> </w:t>
      </w:r>
      <w:r>
        <w:t>desprecio</w:t>
      </w:r>
      <w:r>
        <w:rPr>
          <w:spacing w:val="-15"/>
        </w:rPr>
        <w:t xml:space="preserve"> </w:t>
      </w:r>
      <w:r>
        <w:t>por</w:t>
      </w:r>
      <w:r>
        <w:rPr>
          <w:spacing w:val="-15"/>
        </w:rPr>
        <w:t xml:space="preserve"> </w:t>
      </w:r>
      <w:r>
        <w:t>la</w:t>
      </w:r>
      <w:r>
        <w:rPr>
          <w:spacing w:val="-15"/>
        </w:rPr>
        <w:t xml:space="preserve"> </w:t>
      </w:r>
      <w:r>
        <w:t>vida</w:t>
      </w:r>
      <w:r>
        <w:rPr>
          <w:spacing w:val="-15"/>
        </w:rPr>
        <w:t xml:space="preserve"> </w:t>
      </w:r>
      <w:r>
        <w:t>llegó</w:t>
      </w:r>
      <w:r>
        <w:rPr>
          <w:spacing w:val="-14"/>
        </w:rPr>
        <w:t xml:space="preserve"> </w:t>
      </w:r>
      <w:r>
        <w:t>en</w:t>
      </w:r>
      <w:r>
        <w:rPr>
          <w:spacing w:val="-15"/>
        </w:rPr>
        <w:t xml:space="preserve"> </w:t>
      </w:r>
      <w:r>
        <w:t>Colombia</w:t>
      </w:r>
      <w:r>
        <w:rPr>
          <w:spacing w:val="-15"/>
        </w:rPr>
        <w:t xml:space="preserve"> </w:t>
      </w:r>
      <w:r>
        <w:t>a</w:t>
      </w:r>
      <w:r>
        <w:rPr>
          <w:spacing w:val="-14"/>
        </w:rPr>
        <w:t xml:space="preserve"> </w:t>
      </w:r>
      <w:r>
        <w:t>los</w:t>
      </w:r>
      <w:r>
        <w:rPr>
          <w:spacing w:val="-14"/>
        </w:rPr>
        <w:t xml:space="preserve"> </w:t>
      </w:r>
      <w:r>
        <w:t xml:space="preserve">límites de la vergüenza y el sinsentido. Mucha gente que participó en esos encuentros ha sentido horror por lo </w:t>
      </w:r>
      <w:r>
        <w:lastRenderedPageBreak/>
        <w:t>sucedido y rabia por la falta de respuesta durante décadas y por el desprecio hacia</w:t>
      </w:r>
      <w:r>
        <w:rPr>
          <w:spacing w:val="-3"/>
        </w:rPr>
        <w:t xml:space="preserve"> </w:t>
      </w:r>
      <w:r>
        <w:t>la</w:t>
      </w:r>
      <w:r>
        <w:rPr>
          <w:spacing w:val="-3"/>
        </w:rPr>
        <w:t xml:space="preserve"> </w:t>
      </w:r>
      <w:r>
        <w:t>vida</w:t>
      </w:r>
      <w:r>
        <w:rPr>
          <w:spacing w:val="-3"/>
        </w:rPr>
        <w:t xml:space="preserve"> </w:t>
      </w:r>
      <w:r>
        <w:t>que</w:t>
      </w:r>
      <w:r>
        <w:rPr>
          <w:spacing w:val="-2"/>
        </w:rPr>
        <w:t xml:space="preserve"> </w:t>
      </w:r>
      <w:r>
        <w:t>esas</w:t>
      </w:r>
      <w:r>
        <w:rPr>
          <w:spacing w:val="-3"/>
        </w:rPr>
        <w:t xml:space="preserve"> </w:t>
      </w:r>
      <w:r>
        <w:t>acciones</w:t>
      </w:r>
      <w:r>
        <w:rPr>
          <w:spacing w:val="-3"/>
        </w:rPr>
        <w:t xml:space="preserve"> </w:t>
      </w:r>
      <w:r>
        <w:t>conllevaron,</w:t>
      </w:r>
      <w:r>
        <w:rPr>
          <w:spacing w:val="-2"/>
        </w:rPr>
        <w:t xml:space="preserve"> </w:t>
      </w:r>
      <w:r>
        <w:t>pero</w:t>
      </w:r>
      <w:r>
        <w:rPr>
          <w:spacing w:val="-3"/>
        </w:rPr>
        <w:t xml:space="preserve"> </w:t>
      </w:r>
      <w:r>
        <w:t>también</w:t>
      </w:r>
      <w:r>
        <w:rPr>
          <w:spacing w:val="-3"/>
        </w:rPr>
        <w:t xml:space="preserve"> </w:t>
      </w:r>
      <w:r>
        <w:t>ha</w:t>
      </w:r>
      <w:r>
        <w:rPr>
          <w:spacing w:val="-3"/>
        </w:rPr>
        <w:t xml:space="preserve"> </w:t>
      </w:r>
      <w:r>
        <w:t>reconocido</w:t>
      </w:r>
      <w:r>
        <w:rPr>
          <w:spacing w:val="-3"/>
        </w:rPr>
        <w:t xml:space="preserve"> </w:t>
      </w:r>
      <w:r>
        <w:t>que</w:t>
      </w:r>
      <w:r>
        <w:rPr>
          <w:spacing w:val="-2"/>
        </w:rPr>
        <w:t xml:space="preserve"> </w:t>
      </w:r>
      <w:r>
        <w:t>el</w:t>
      </w:r>
      <w:r>
        <w:rPr>
          <w:spacing w:val="-3"/>
        </w:rPr>
        <w:t xml:space="preserve"> </w:t>
      </w:r>
      <w:r>
        <w:t>camino</w:t>
      </w:r>
      <w:r>
        <w:rPr>
          <w:spacing w:val="-2"/>
        </w:rPr>
        <w:t xml:space="preserve"> </w:t>
      </w:r>
      <w:r>
        <w:t xml:space="preserve">para la reconstrucción del tejido social pasa por acciones sostenidas a lo largo del tiempo de ese reconocimiento cruzado y conjunto que ponga la dignidad de las víctimas en el centro del </w:t>
      </w:r>
      <w:r>
        <w:rPr>
          <w:spacing w:val="-2"/>
        </w:rPr>
        <w:t>proceso.</w:t>
      </w:r>
    </w:p>
    <w:p w:rsidR="003804AC" w:rsidRDefault="00AF18A5" w:rsidP="00371C95">
      <w:r>
        <w:t>El reconocimiento de la violencia y de las atrocidades cometidas tiene que separarse en Colombia de las identidades políticas. La adscripción a determinada ideología o liderazgo político no puede seguir siendo el criterio moral para juzgar la bondad o perversidad de un hecho.</w:t>
      </w:r>
      <w:r>
        <w:rPr>
          <w:spacing w:val="-6"/>
        </w:rPr>
        <w:t xml:space="preserve"> </w:t>
      </w:r>
      <w:r>
        <w:t>A</w:t>
      </w:r>
      <w:r>
        <w:rPr>
          <w:spacing w:val="-7"/>
        </w:rPr>
        <w:t xml:space="preserve"> </w:t>
      </w:r>
      <w:r>
        <w:t>lo</w:t>
      </w:r>
      <w:r>
        <w:rPr>
          <w:spacing w:val="-7"/>
        </w:rPr>
        <w:t xml:space="preserve"> </w:t>
      </w:r>
      <w:r>
        <w:t>largo</w:t>
      </w:r>
      <w:r>
        <w:rPr>
          <w:spacing w:val="-6"/>
        </w:rPr>
        <w:t xml:space="preserve"> </w:t>
      </w:r>
      <w:r>
        <w:t>de</w:t>
      </w:r>
      <w:r>
        <w:rPr>
          <w:spacing w:val="-7"/>
        </w:rPr>
        <w:t xml:space="preserve"> </w:t>
      </w:r>
      <w:r>
        <w:t>la</w:t>
      </w:r>
      <w:r>
        <w:rPr>
          <w:spacing w:val="-6"/>
        </w:rPr>
        <w:t xml:space="preserve"> </w:t>
      </w:r>
      <w:r>
        <w:t>historia</w:t>
      </w:r>
      <w:r>
        <w:rPr>
          <w:spacing w:val="-6"/>
        </w:rPr>
        <w:t xml:space="preserve"> </w:t>
      </w:r>
      <w:r>
        <w:t>del</w:t>
      </w:r>
      <w:r>
        <w:rPr>
          <w:spacing w:val="-6"/>
        </w:rPr>
        <w:t xml:space="preserve"> </w:t>
      </w:r>
      <w:r>
        <w:t>país,</w:t>
      </w:r>
      <w:r>
        <w:rPr>
          <w:spacing w:val="-6"/>
        </w:rPr>
        <w:t xml:space="preserve"> </w:t>
      </w:r>
      <w:r>
        <w:t>estas</w:t>
      </w:r>
      <w:r>
        <w:rPr>
          <w:spacing w:val="-7"/>
        </w:rPr>
        <w:t xml:space="preserve"> </w:t>
      </w:r>
      <w:r>
        <w:t>consideraciones</w:t>
      </w:r>
      <w:r>
        <w:rPr>
          <w:spacing w:val="-7"/>
        </w:rPr>
        <w:t xml:space="preserve"> </w:t>
      </w:r>
      <w:r>
        <w:t>han</w:t>
      </w:r>
      <w:r>
        <w:rPr>
          <w:spacing w:val="-6"/>
        </w:rPr>
        <w:t xml:space="preserve"> </w:t>
      </w:r>
      <w:r>
        <w:t>servido</w:t>
      </w:r>
      <w:r>
        <w:rPr>
          <w:spacing w:val="-7"/>
        </w:rPr>
        <w:t xml:space="preserve"> </w:t>
      </w:r>
      <w:r>
        <w:t>como</w:t>
      </w:r>
      <w:r>
        <w:rPr>
          <w:spacing w:val="-6"/>
        </w:rPr>
        <w:t xml:space="preserve"> </w:t>
      </w:r>
      <w:r>
        <w:t>excusa</w:t>
      </w:r>
      <w:r>
        <w:rPr>
          <w:spacing w:val="-6"/>
        </w:rPr>
        <w:t xml:space="preserve"> </w:t>
      </w:r>
      <w:r>
        <w:t>para minimizar hechos gravísimos, justificarlos o simplemente restarles la importancia que merecen.</w:t>
      </w:r>
      <w:r>
        <w:rPr>
          <w:spacing w:val="5"/>
        </w:rPr>
        <w:t xml:space="preserve"> </w:t>
      </w:r>
      <w:r>
        <w:t>La</w:t>
      </w:r>
      <w:r>
        <w:rPr>
          <w:spacing w:val="7"/>
        </w:rPr>
        <w:t xml:space="preserve"> </w:t>
      </w:r>
      <w:r>
        <w:t>ética</w:t>
      </w:r>
      <w:r>
        <w:rPr>
          <w:spacing w:val="6"/>
        </w:rPr>
        <w:t xml:space="preserve"> </w:t>
      </w:r>
      <w:r>
        <w:t>subyacente</w:t>
      </w:r>
      <w:r>
        <w:rPr>
          <w:spacing w:val="7"/>
        </w:rPr>
        <w:t xml:space="preserve"> </w:t>
      </w:r>
      <w:r>
        <w:t>a</w:t>
      </w:r>
      <w:r>
        <w:rPr>
          <w:spacing w:val="7"/>
        </w:rPr>
        <w:t xml:space="preserve"> </w:t>
      </w:r>
      <w:r>
        <w:t>estos</w:t>
      </w:r>
      <w:r>
        <w:rPr>
          <w:spacing w:val="8"/>
        </w:rPr>
        <w:t xml:space="preserve"> </w:t>
      </w:r>
      <w:r>
        <w:t>planteamientos</w:t>
      </w:r>
      <w:r>
        <w:rPr>
          <w:spacing w:val="7"/>
        </w:rPr>
        <w:t xml:space="preserve"> </w:t>
      </w:r>
      <w:r>
        <w:t>hace</w:t>
      </w:r>
      <w:r>
        <w:rPr>
          <w:spacing w:val="8"/>
        </w:rPr>
        <w:t xml:space="preserve"> </w:t>
      </w:r>
      <w:r>
        <w:t>que</w:t>
      </w:r>
      <w:r>
        <w:rPr>
          <w:spacing w:val="7"/>
        </w:rPr>
        <w:t xml:space="preserve"> </w:t>
      </w:r>
      <w:r>
        <w:t>lo</w:t>
      </w:r>
      <w:r>
        <w:rPr>
          <w:spacing w:val="8"/>
        </w:rPr>
        <w:t xml:space="preserve"> </w:t>
      </w:r>
      <w:r>
        <w:t>«bueno»</w:t>
      </w:r>
      <w:r>
        <w:rPr>
          <w:spacing w:val="7"/>
        </w:rPr>
        <w:t xml:space="preserve"> </w:t>
      </w:r>
      <w:r>
        <w:t>o</w:t>
      </w:r>
      <w:r>
        <w:rPr>
          <w:spacing w:val="8"/>
        </w:rPr>
        <w:t xml:space="preserve"> </w:t>
      </w:r>
      <w:r>
        <w:t>«malo»</w:t>
      </w:r>
      <w:r>
        <w:rPr>
          <w:spacing w:val="6"/>
        </w:rPr>
        <w:t xml:space="preserve"> </w:t>
      </w:r>
      <w:r>
        <w:t>no</w:t>
      </w:r>
      <w:r>
        <w:rPr>
          <w:spacing w:val="8"/>
        </w:rPr>
        <w:t xml:space="preserve"> </w:t>
      </w:r>
      <w:r>
        <w:rPr>
          <w:spacing w:val="-5"/>
        </w:rPr>
        <w:t>sea</w:t>
      </w:r>
      <w:r w:rsidR="00371C95">
        <w:rPr>
          <w:spacing w:val="-5"/>
        </w:rPr>
        <w:t xml:space="preserve"> </w:t>
      </w:r>
      <w:r>
        <w:t>la crítica a las violaciones de derechos humanos o del DIH, o la defensa de la dignidad humana, sino si se considera útil para la política. Este perverso uso de la</w:t>
      </w:r>
      <w:r>
        <w:rPr>
          <w:spacing w:val="-1"/>
        </w:rPr>
        <w:t xml:space="preserve"> </w:t>
      </w:r>
      <w:r>
        <w:t>razón instrumental aplicado a la guerra, el uso político del dolor y del sufrimiento, la justificación del horror contra</w:t>
      </w:r>
      <w:r>
        <w:rPr>
          <w:spacing w:val="-12"/>
        </w:rPr>
        <w:t xml:space="preserve"> </w:t>
      </w:r>
      <w:r>
        <w:t>los</w:t>
      </w:r>
      <w:r>
        <w:rPr>
          <w:spacing w:val="-11"/>
        </w:rPr>
        <w:t xml:space="preserve"> </w:t>
      </w:r>
      <w:r>
        <w:t>que</w:t>
      </w:r>
      <w:r>
        <w:rPr>
          <w:spacing w:val="-11"/>
        </w:rPr>
        <w:t xml:space="preserve"> </w:t>
      </w:r>
      <w:r>
        <w:t>están</w:t>
      </w:r>
      <w:r>
        <w:rPr>
          <w:spacing w:val="-11"/>
        </w:rPr>
        <w:t xml:space="preserve"> </w:t>
      </w:r>
      <w:r>
        <w:t>«del</w:t>
      </w:r>
      <w:r>
        <w:rPr>
          <w:spacing w:val="-10"/>
        </w:rPr>
        <w:t xml:space="preserve"> </w:t>
      </w:r>
      <w:r>
        <w:t>otro</w:t>
      </w:r>
      <w:r>
        <w:rPr>
          <w:spacing w:val="-11"/>
        </w:rPr>
        <w:t xml:space="preserve"> </w:t>
      </w:r>
      <w:r>
        <w:t>lado»</w:t>
      </w:r>
      <w:r>
        <w:rPr>
          <w:spacing w:val="-11"/>
        </w:rPr>
        <w:t xml:space="preserve"> </w:t>
      </w:r>
      <w:r>
        <w:t>o</w:t>
      </w:r>
      <w:r>
        <w:rPr>
          <w:spacing w:val="-12"/>
        </w:rPr>
        <w:t xml:space="preserve"> </w:t>
      </w:r>
      <w:r>
        <w:t>a</w:t>
      </w:r>
      <w:r>
        <w:rPr>
          <w:spacing w:val="-11"/>
        </w:rPr>
        <w:t xml:space="preserve"> </w:t>
      </w:r>
      <w:r>
        <w:t>favor</w:t>
      </w:r>
      <w:r>
        <w:rPr>
          <w:spacing w:val="-10"/>
        </w:rPr>
        <w:t xml:space="preserve"> </w:t>
      </w:r>
      <w:r>
        <w:t>del</w:t>
      </w:r>
      <w:r>
        <w:rPr>
          <w:spacing w:val="-10"/>
        </w:rPr>
        <w:t xml:space="preserve"> </w:t>
      </w:r>
      <w:r>
        <w:t>«otro</w:t>
      </w:r>
      <w:r>
        <w:rPr>
          <w:spacing w:val="-11"/>
        </w:rPr>
        <w:t xml:space="preserve"> </w:t>
      </w:r>
      <w:r>
        <w:t>bando»</w:t>
      </w:r>
      <w:r>
        <w:rPr>
          <w:spacing w:val="-12"/>
        </w:rPr>
        <w:t xml:space="preserve"> </w:t>
      </w:r>
      <w:r>
        <w:t>son</w:t>
      </w:r>
      <w:r>
        <w:rPr>
          <w:spacing w:val="-11"/>
        </w:rPr>
        <w:t xml:space="preserve"> </w:t>
      </w:r>
      <w:r>
        <w:t>parte</w:t>
      </w:r>
      <w:r>
        <w:rPr>
          <w:spacing w:val="-11"/>
        </w:rPr>
        <w:t xml:space="preserve"> </w:t>
      </w:r>
      <w:r>
        <w:t>de</w:t>
      </w:r>
      <w:r>
        <w:rPr>
          <w:spacing w:val="-12"/>
        </w:rPr>
        <w:t xml:space="preserve"> </w:t>
      </w:r>
      <w:r>
        <w:t>la</w:t>
      </w:r>
      <w:r>
        <w:rPr>
          <w:spacing w:val="-11"/>
        </w:rPr>
        <w:t xml:space="preserve"> </w:t>
      </w:r>
      <w:r>
        <w:t>transformación cultural</w:t>
      </w:r>
      <w:r>
        <w:rPr>
          <w:spacing w:val="-12"/>
        </w:rPr>
        <w:t xml:space="preserve"> </w:t>
      </w:r>
      <w:r>
        <w:t>que</w:t>
      </w:r>
      <w:r>
        <w:rPr>
          <w:spacing w:val="-13"/>
        </w:rPr>
        <w:t xml:space="preserve"> </w:t>
      </w:r>
      <w:r>
        <w:t>Colombia</w:t>
      </w:r>
      <w:r>
        <w:rPr>
          <w:spacing w:val="-12"/>
        </w:rPr>
        <w:t xml:space="preserve"> </w:t>
      </w:r>
      <w:r>
        <w:t>requiere</w:t>
      </w:r>
      <w:r>
        <w:rPr>
          <w:spacing w:val="-12"/>
        </w:rPr>
        <w:t xml:space="preserve"> </w:t>
      </w:r>
      <w:r>
        <w:t>y</w:t>
      </w:r>
      <w:r>
        <w:rPr>
          <w:spacing w:val="-12"/>
        </w:rPr>
        <w:t xml:space="preserve"> </w:t>
      </w:r>
      <w:r>
        <w:t>de</w:t>
      </w:r>
      <w:r>
        <w:rPr>
          <w:spacing w:val="-12"/>
        </w:rPr>
        <w:t xml:space="preserve"> </w:t>
      </w:r>
      <w:r>
        <w:t>la</w:t>
      </w:r>
      <w:r>
        <w:rPr>
          <w:spacing w:val="-12"/>
        </w:rPr>
        <w:t xml:space="preserve"> </w:t>
      </w:r>
      <w:r>
        <w:t>política</w:t>
      </w:r>
      <w:r>
        <w:rPr>
          <w:spacing w:val="-12"/>
        </w:rPr>
        <w:t xml:space="preserve"> </w:t>
      </w:r>
      <w:r>
        <w:t>de</w:t>
      </w:r>
      <w:r>
        <w:rPr>
          <w:spacing w:val="-13"/>
        </w:rPr>
        <w:t xml:space="preserve"> </w:t>
      </w:r>
      <w:r>
        <w:t>reconocimiento</w:t>
      </w:r>
      <w:r>
        <w:rPr>
          <w:spacing w:val="-12"/>
        </w:rPr>
        <w:t xml:space="preserve"> </w:t>
      </w:r>
      <w:r>
        <w:t>que</w:t>
      </w:r>
      <w:r>
        <w:rPr>
          <w:spacing w:val="-12"/>
        </w:rPr>
        <w:t xml:space="preserve"> </w:t>
      </w:r>
      <w:r>
        <w:t>el</w:t>
      </w:r>
      <w:r>
        <w:rPr>
          <w:spacing w:val="-12"/>
        </w:rPr>
        <w:t xml:space="preserve"> </w:t>
      </w:r>
      <w:r>
        <w:t>Estado</w:t>
      </w:r>
      <w:r>
        <w:rPr>
          <w:spacing w:val="-12"/>
        </w:rPr>
        <w:t xml:space="preserve"> </w:t>
      </w:r>
      <w:r>
        <w:t>y</w:t>
      </w:r>
      <w:r>
        <w:rPr>
          <w:spacing w:val="-12"/>
        </w:rPr>
        <w:t xml:space="preserve"> </w:t>
      </w:r>
      <w:r>
        <w:t>la</w:t>
      </w:r>
      <w:r>
        <w:rPr>
          <w:spacing w:val="-12"/>
        </w:rPr>
        <w:t xml:space="preserve"> </w:t>
      </w:r>
      <w:r>
        <w:t>sociedad tienen</w:t>
      </w:r>
      <w:r>
        <w:rPr>
          <w:spacing w:val="-10"/>
        </w:rPr>
        <w:t xml:space="preserve"> </w:t>
      </w:r>
      <w:r>
        <w:t>que</w:t>
      </w:r>
      <w:r>
        <w:rPr>
          <w:spacing w:val="-8"/>
        </w:rPr>
        <w:t xml:space="preserve"> </w:t>
      </w:r>
      <w:r>
        <w:t>asumir,</w:t>
      </w:r>
      <w:r>
        <w:rPr>
          <w:spacing w:val="-10"/>
        </w:rPr>
        <w:t xml:space="preserve"> </w:t>
      </w:r>
      <w:r>
        <w:t>y</w:t>
      </w:r>
      <w:r>
        <w:rPr>
          <w:spacing w:val="-8"/>
        </w:rPr>
        <w:t xml:space="preserve"> </w:t>
      </w:r>
      <w:r>
        <w:t>en</w:t>
      </w:r>
      <w:r>
        <w:rPr>
          <w:spacing w:val="-10"/>
        </w:rPr>
        <w:t xml:space="preserve"> </w:t>
      </w:r>
      <w:r>
        <w:t>la</w:t>
      </w:r>
      <w:r>
        <w:rPr>
          <w:spacing w:val="-8"/>
        </w:rPr>
        <w:t xml:space="preserve"> </w:t>
      </w:r>
      <w:r>
        <w:t>que</w:t>
      </w:r>
      <w:r>
        <w:rPr>
          <w:spacing w:val="-8"/>
        </w:rPr>
        <w:t xml:space="preserve"> </w:t>
      </w:r>
      <w:r>
        <w:t>el</w:t>
      </w:r>
      <w:r>
        <w:rPr>
          <w:spacing w:val="-8"/>
        </w:rPr>
        <w:t xml:space="preserve"> </w:t>
      </w:r>
      <w:r>
        <w:t>trabajo</w:t>
      </w:r>
      <w:r>
        <w:rPr>
          <w:spacing w:val="-8"/>
        </w:rPr>
        <w:t xml:space="preserve"> </w:t>
      </w:r>
      <w:r>
        <w:t>de</w:t>
      </w:r>
      <w:r>
        <w:rPr>
          <w:spacing w:val="-9"/>
        </w:rPr>
        <w:t xml:space="preserve"> </w:t>
      </w:r>
      <w:r>
        <w:t>la</w:t>
      </w:r>
      <w:r>
        <w:rPr>
          <w:spacing w:val="-8"/>
        </w:rPr>
        <w:t xml:space="preserve"> </w:t>
      </w:r>
      <w:r>
        <w:t>Comisión</w:t>
      </w:r>
      <w:r>
        <w:rPr>
          <w:spacing w:val="-10"/>
        </w:rPr>
        <w:t xml:space="preserve"> </w:t>
      </w:r>
      <w:r>
        <w:t>de</w:t>
      </w:r>
      <w:r>
        <w:rPr>
          <w:spacing w:val="-9"/>
        </w:rPr>
        <w:t xml:space="preserve"> </w:t>
      </w:r>
      <w:r>
        <w:t>la</w:t>
      </w:r>
      <w:r>
        <w:rPr>
          <w:spacing w:val="-9"/>
        </w:rPr>
        <w:t xml:space="preserve"> </w:t>
      </w:r>
      <w:r>
        <w:t>Verdad</w:t>
      </w:r>
      <w:r>
        <w:rPr>
          <w:spacing w:val="-8"/>
        </w:rPr>
        <w:t xml:space="preserve"> </w:t>
      </w:r>
      <w:r>
        <w:t>es</w:t>
      </w:r>
      <w:r>
        <w:rPr>
          <w:spacing w:val="-8"/>
        </w:rPr>
        <w:t xml:space="preserve"> </w:t>
      </w:r>
      <w:r>
        <w:t>solo</w:t>
      </w:r>
      <w:r>
        <w:rPr>
          <w:spacing w:val="-8"/>
        </w:rPr>
        <w:t xml:space="preserve"> </w:t>
      </w:r>
      <w:r>
        <w:t>una</w:t>
      </w:r>
      <w:r>
        <w:rPr>
          <w:spacing w:val="-8"/>
        </w:rPr>
        <w:t xml:space="preserve"> </w:t>
      </w:r>
      <w:r>
        <w:t>parte</w:t>
      </w:r>
      <w:r>
        <w:rPr>
          <w:spacing w:val="-11"/>
        </w:rPr>
        <w:t xml:space="preserve"> </w:t>
      </w:r>
      <w:r>
        <w:t>inicial del proceso.</w:t>
      </w:r>
    </w:p>
    <w:p w:rsidR="003804AC" w:rsidRDefault="00AF18A5" w:rsidP="00371C95">
      <w:r>
        <w:t>Por otra parte, la victimización masiva que ha sufrido una buena parte de la población colombiana</w:t>
      </w:r>
      <w:r>
        <w:rPr>
          <w:spacing w:val="-13"/>
        </w:rPr>
        <w:t xml:space="preserve"> </w:t>
      </w:r>
      <w:r>
        <w:t>ha</w:t>
      </w:r>
      <w:r>
        <w:rPr>
          <w:spacing w:val="-10"/>
        </w:rPr>
        <w:t xml:space="preserve"> </w:t>
      </w:r>
      <w:r>
        <w:t>dado</w:t>
      </w:r>
      <w:r>
        <w:rPr>
          <w:spacing w:val="-12"/>
        </w:rPr>
        <w:t xml:space="preserve"> </w:t>
      </w:r>
      <w:r>
        <w:t>lugar</w:t>
      </w:r>
      <w:r>
        <w:rPr>
          <w:spacing w:val="-10"/>
        </w:rPr>
        <w:t xml:space="preserve"> </w:t>
      </w:r>
      <w:r>
        <w:t>a</w:t>
      </w:r>
      <w:r>
        <w:rPr>
          <w:spacing w:val="-11"/>
        </w:rPr>
        <w:t xml:space="preserve"> </w:t>
      </w:r>
      <w:r>
        <w:t>movimientos</w:t>
      </w:r>
      <w:r>
        <w:rPr>
          <w:spacing w:val="-10"/>
        </w:rPr>
        <w:t xml:space="preserve"> </w:t>
      </w:r>
      <w:r>
        <w:t>sociales,</w:t>
      </w:r>
      <w:r>
        <w:rPr>
          <w:spacing w:val="-10"/>
        </w:rPr>
        <w:t xml:space="preserve"> </w:t>
      </w:r>
      <w:r>
        <w:t>organizaciones</w:t>
      </w:r>
      <w:r>
        <w:rPr>
          <w:spacing w:val="-10"/>
        </w:rPr>
        <w:t xml:space="preserve"> </w:t>
      </w:r>
      <w:r>
        <w:t>campesinas,</w:t>
      </w:r>
      <w:r>
        <w:rPr>
          <w:spacing w:val="-12"/>
        </w:rPr>
        <w:t xml:space="preserve"> </w:t>
      </w:r>
      <w:r>
        <w:t>comunidades y pueblos étnicos que, en un contexto de negación de lo vivido, han encontrado en el reconocimiento</w:t>
      </w:r>
      <w:r>
        <w:rPr>
          <w:spacing w:val="-2"/>
        </w:rPr>
        <w:t xml:space="preserve"> </w:t>
      </w:r>
      <w:r>
        <w:t>como</w:t>
      </w:r>
      <w:r>
        <w:rPr>
          <w:spacing w:val="-2"/>
        </w:rPr>
        <w:t xml:space="preserve"> </w:t>
      </w:r>
      <w:r>
        <w:t>víctimas</w:t>
      </w:r>
      <w:r>
        <w:rPr>
          <w:spacing w:val="-2"/>
        </w:rPr>
        <w:t xml:space="preserve"> </w:t>
      </w:r>
      <w:r>
        <w:t>un</w:t>
      </w:r>
      <w:r>
        <w:rPr>
          <w:spacing w:val="-2"/>
        </w:rPr>
        <w:t xml:space="preserve"> </w:t>
      </w:r>
      <w:r>
        <w:t>espacio</w:t>
      </w:r>
      <w:r>
        <w:rPr>
          <w:spacing w:val="-2"/>
        </w:rPr>
        <w:t xml:space="preserve"> </w:t>
      </w:r>
      <w:r>
        <w:t>para</w:t>
      </w:r>
      <w:r>
        <w:rPr>
          <w:spacing w:val="-2"/>
        </w:rPr>
        <w:t xml:space="preserve"> </w:t>
      </w:r>
      <w:r>
        <w:t>que</w:t>
      </w:r>
      <w:r>
        <w:rPr>
          <w:spacing w:val="-2"/>
        </w:rPr>
        <w:t xml:space="preserve"> </w:t>
      </w:r>
      <w:r>
        <w:t>sus</w:t>
      </w:r>
      <w:r>
        <w:rPr>
          <w:spacing w:val="-2"/>
        </w:rPr>
        <w:t xml:space="preserve"> </w:t>
      </w:r>
      <w:r>
        <w:t>experiencias</w:t>
      </w:r>
      <w:r>
        <w:rPr>
          <w:spacing w:val="-2"/>
        </w:rPr>
        <w:t xml:space="preserve"> </w:t>
      </w:r>
      <w:r>
        <w:t>sean</w:t>
      </w:r>
      <w:r>
        <w:rPr>
          <w:spacing w:val="-4"/>
        </w:rPr>
        <w:t xml:space="preserve"> </w:t>
      </w:r>
      <w:r>
        <w:t>escuchadas</w:t>
      </w:r>
      <w:r>
        <w:rPr>
          <w:spacing w:val="-2"/>
        </w:rPr>
        <w:t xml:space="preserve"> </w:t>
      </w:r>
      <w:r>
        <w:t>y</w:t>
      </w:r>
      <w:r>
        <w:rPr>
          <w:spacing w:val="-2"/>
        </w:rPr>
        <w:t xml:space="preserve"> </w:t>
      </w:r>
      <w:r>
        <w:t xml:space="preserve">para defender sus derechos. Reconocerse como víctimas ha sido una </w:t>
      </w:r>
      <w:r>
        <w:lastRenderedPageBreak/>
        <w:t>forma de reivindicar la injusticia de lo vivido, el derecho a la verdad y reparación. Las víctimas son a veces ese testigo</w:t>
      </w:r>
      <w:r>
        <w:rPr>
          <w:spacing w:val="-9"/>
        </w:rPr>
        <w:t xml:space="preserve"> </w:t>
      </w:r>
      <w:r>
        <w:t>incómodo</w:t>
      </w:r>
      <w:r>
        <w:rPr>
          <w:spacing w:val="-9"/>
        </w:rPr>
        <w:t xml:space="preserve"> </w:t>
      </w:r>
      <w:r>
        <w:t>que</w:t>
      </w:r>
      <w:r>
        <w:rPr>
          <w:spacing w:val="-9"/>
        </w:rPr>
        <w:t xml:space="preserve"> </w:t>
      </w:r>
      <w:r>
        <w:t>muestra</w:t>
      </w:r>
      <w:r>
        <w:rPr>
          <w:spacing w:val="-10"/>
        </w:rPr>
        <w:t xml:space="preserve"> </w:t>
      </w:r>
      <w:r>
        <w:t>el</w:t>
      </w:r>
      <w:r>
        <w:rPr>
          <w:spacing w:val="-10"/>
        </w:rPr>
        <w:t xml:space="preserve"> </w:t>
      </w:r>
      <w:r>
        <w:t>impacto</w:t>
      </w:r>
      <w:r>
        <w:rPr>
          <w:spacing w:val="-9"/>
        </w:rPr>
        <w:t xml:space="preserve"> </w:t>
      </w:r>
      <w:r>
        <w:t>del</w:t>
      </w:r>
      <w:r>
        <w:rPr>
          <w:spacing w:val="-9"/>
        </w:rPr>
        <w:t xml:space="preserve"> </w:t>
      </w:r>
      <w:r>
        <w:t>conflicto</w:t>
      </w:r>
      <w:r>
        <w:rPr>
          <w:spacing w:val="-9"/>
        </w:rPr>
        <w:t xml:space="preserve"> </w:t>
      </w:r>
      <w:r>
        <w:t>armado</w:t>
      </w:r>
      <w:r>
        <w:rPr>
          <w:spacing w:val="-11"/>
        </w:rPr>
        <w:t xml:space="preserve"> </w:t>
      </w:r>
      <w:r>
        <w:t>que</w:t>
      </w:r>
      <w:r>
        <w:rPr>
          <w:spacing w:val="-9"/>
        </w:rPr>
        <w:t xml:space="preserve"> </w:t>
      </w:r>
      <w:r>
        <w:t>debemos</w:t>
      </w:r>
      <w:r>
        <w:rPr>
          <w:spacing w:val="-9"/>
        </w:rPr>
        <w:t xml:space="preserve"> </w:t>
      </w:r>
      <w:r>
        <w:t>mirar</w:t>
      </w:r>
      <w:r>
        <w:rPr>
          <w:spacing w:val="-10"/>
        </w:rPr>
        <w:t xml:space="preserve"> </w:t>
      </w:r>
      <w:r>
        <w:t>a</w:t>
      </w:r>
      <w:r>
        <w:rPr>
          <w:spacing w:val="-9"/>
        </w:rPr>
        <w:t xml:space="preserve"> </w:t>
      </w:r>
      <w:r>
        <w:t>los</w:t>
      </w:r>
      <w:r>
        <w:rPr>
          <w:spacing w:val="-10"/>
        </w:rPr>
        <w:t xml:space="preserve"> </w:t>
      </w:r>
      <w:r>
        <w:t>ojos, y han abierto el camino para ser escuchadas y también para convocar el grito colectivo de parar</w:t>
      </w:r>
      <w:r>
        <w:rPr>
          <w:spacing w:val="-1"/>
        </w:rPr>
        <w:t xml:space="preserve"> </w:t>
      </w:r>
      <w:r>
        <w:t>la guerra y construir la paz. Para otras</w:t>
      </w:r>
      <w:r>
        <w:rPr>
          <w:spacing w:val="-1"/>
        </w:rPr>
        <w:t xml:space="preserve"> </w:t>
      </w:r>
      <w:r>
        <w:t>muchas personas</w:t>
      </w:r>
      <w:r>
        <w:rPr>
          <w:spacing w:val="-1"/>
        </w:rPr>
        <w:t xml:space="preserve"> </w:t>
      </w:r>
      <w:r>
        <w:t>entrevistadas por la Comisión –algunas</w:t>
      </w:r>
      <w:r>
        <w:rPr>
          <w:spacing w:val="-5"/>
        </w:rPr>
        <w:t xml:space="preserve"> </w:t>
      </w:r>
      <w:r>
        <w:t>en</w:t>
      </w:r>
      <w:r>
        <w:rPr>
          <w:spacing w:val="-5"/>
        </w:rPr>
        <w:t xml:space="preserve"> </w:t>
      </w:r>
      <w:r>
        <w:t>la</w:t>
      </w:r>
      <w:r>
        <w:rPr>
          <w:spacing w:val="-5"/>
        </w:rPr>
        <w:t xml:space="preserve"> </w:t>
      </w:r>
      <w:r>
        <w:t>actualidad</w:t>
      </w:r>
      <w:r>
        <w:rPr>
          <w:spacing w:val="-6"/>
        </w:rPr>
        <w:t xml:space="preserve"> </w:t>
      </w:r>
      <w:r>
        <w:t>reconocidas</w:t>
      </w:r>
      <w:r>
        <w:rPr>
          <w:spacing w:val="-6"/>
        </w:rPr>
        <w:t xml:space="preserve"> </w:t>
      </w:r>
      <w:r>
        <w:t>en</w:t>
      </w:r>
      <w:r>
        <w:rPr>
          <w:spacing w:val="-5"/>
        </w:rPr>
        <w:t xml:space="preserve"> </w:t>
      </w:r>
      <w:r>
        <w:t>los</w:t>
      </w:r>
      <w:r>
        <w:rPr>
          <w:spacing w:val="-5"/>
        </w:rPr>
        <w:t xml:space="preserve"> </w:t>
      </w:r>
      <w:r>
        <w:t>campos</w:t>
      </w:r>
      <w:r>
        <w:rPr>
          <w:spacing w:val="-5"/>
        </w:rPr>
        <w:t xml:space="preserve"> </w:t>
      </w:r>
      <w:r>
        <w:t>de</w:t>
      </w:r>
      <w:r>
        <w:rPr>
          <w:spacing w:val="-5"/>
        </w:rPr>
        <w:t xml:space="preserve"> </w:t>
      </w:r>
      <w:r>
        <w:t>la</w:t>
      </w:r>
      <w:r>
        <w:rPr>
          <w:spacing w:val="-5"/>
        </w:rPr>
        <w:t xml:space="preserve"> </w:t>
      </w:r>
      <w:r>
        <w:t>política,</w:t>
      </w:r>
      <w:r>
        <w:rPr>
          <w:spacing w:val="-5"/>
        </w:rPr>
        <w:t xml:space="preserve"> </w:t>
      </w:r>
      <w:r>
        <w:t>el</w:t>
      </w:r>
      <w:r>
        <w:rPr>
          <w:spacing w:val="-4"/>
        </w:rPr>
        <w:t xml:space="preserve"> </w:t>
      </w:r>
      <w:r>
        <w:t>periodismo,</w:t>
      </w:r>
      <w:r>
        <w:rPr>
          <w:spacing w:val="-5"/>
        </w:rPr>
        <w:t xml:space="preserve"> </w:t>
      </w:r>
      <w:r>
        <w:t>la</w:t>
      </w:r>
      <w:r>
        <w:rPr>
          <w:spacing w:val="-5"/>
        </w:rPr>
        <w:t xml:space="preserve"> </w:t>
      </w:r>
      <w:r>
        <w:t>defensa de derechos humanos, el arte o la justicia– ha significado reconocer sus experiencias como víctimas de tortura, atentados o persecución y también reconectarse con lo vivido.</w:t>
      </w:r>
    </w:p>
    <w:p w:rsidR="003804AC" w:rsidRDefault="00AF18A5" w:rsidP="00371C95">
      <w:r>
        <w:t>La consideración de víctimas no puede ser vista como una condición que despoja a las personas</w:t>
      </w:r>
      <w:r>
        <w:rPr>
          <w:spacing w:val="-11"/>
        </w:rPr>
        <w:t xml:space="preserve"> </w:t>
      </w:r>
      <w:r>
        <w:t>afectadas</w:t>
      </w:r>
      <w:r>
        <w:rPr>
          <w:spacing w:val="-11"/>
        </w:rPr>
        <w:t xml:space="preserve"> </w:t>
      </w:r>
      <w:r>
        <w:t>de</w:t>
      </w:r>
      <w:r>
        <w:rPr>
          <w:spacing w:val="-11"/>
        </w:rPr>
        <w:t xml:space="preserve"> </w:t>
      </w:r>
      <w:r>
        <w:t>su</w:t>
      </w:r>
      <w:r>
        <w:rPr>
          <w:spacing w:val="-12"/>
        </w:rPr>
        <w:t xml:space="preserve"> </w:t>
      </w:r>
      <w:r>
        <w:t>capacidad</w:t>
      </w:r>
      <w:r>
        <w:rPr>
          <w:spacing w:val="-11"/>
        </w:rPr>
        <w:t xml:space="preserve"> </w:t>
      </w:r>
      <w:r>
        <w:t>de</w:t>
      </w:r>
      <w:r>
        <w:rPr>
          <w:spacing w:val="-11"/>
        </w:rPr>
        <w:t xml:space="preserve"> </w:t>
      </w:r>
      <w:r>
        <w:t>recuperarse</w:t>
      </w:r>
      <w:r>
        <w:rPr>
          <w:spacing w:val="-11"/>
        </w:rPr>
        <w:t xml:space="preserve"> </w:t>
      </w:r>
      <w:r>
        <w:t>ni</w:t>
      </w:r>
      <w:r>
        <w:rPr>
          <w:spacing w:val="-10"/>
        </w:rPr>
        <w:t xml:space="preserve"> </w:t>
      </w:r>
      <w:r>
        <w:t>de</w:t>
      </w:r>
      <w:r>
        <w:rPr>
          <w:spacing w:val="-11"/>
        </w:rPr>
        <w:t xml:space="preserve"> </w:t>
      </w:r>
      <w:r>
        <w:t>su</w:t>
      </w:r>
      <w:r>
        <w:rPr>
          <w:spacing w:val="-11"/>
        </w:rPr>
        <w:t xml:space="preserve"> </w:t>
      </w:r>
      <w:r>
        <w:t>agencia</w:t>
      </w:r>
      <w:r>
        <w:rPr>
          <w:spacing w:val="-11"/>
        </w:rPr>
        <w:t xml:space="preserve"> </w:t>
      </w:r>
      <w:r>
        <w:t>política,</w:t>
      </w:r>
      <w:r>
        <w:rPr>
          <w:spacing w:val="-11"/>
        </w:rPr>
        <w:t xml:space="preserve"> </w:t>
      </w:r>
      <w:r>
        <w:t>como</w:t>
      </w:r>
      <w:r>
        <w:rPr>
          <w:spacing w:val="-11"/>
        </w:rPr>
        <w:t xml:space="preserve"> </w:t>
      </w:r>
      <w:r>
        <w:t>numerosas organizaciones</w:t>
      </w:r>
      <w:r>
        <w:rPr>
          <w:spacing w:val="-10"/>
        </w:rPr>
        <w:t xml:space="preserve"> </w:t>
      </w:r>
      <w:r>
        <w:t>han</w:t>
      </w:r>
      <w:r>
        <w:rPr>
          <w:spacing w:val="-12"/>
        </w:rPr>
        <w:t xml:space="preserve"> </w:t>
      </w:r>
      <w:r>
        <w:t>demostrado.</w:t>
      </w:r>
      <w:r>
        <w:rPr>
          <w:spacing w:val="-12"/>
        </w:rPr>
        <w:t xml:space="preserve"> </w:t>
      </w:r>
      <w:r>
        <w:t>Esto</w:t>
      </w:r>
      <w:r>
        <w:rPr>
          <w:spacing w:val="-11"/>
        </w:rPr>
        <w:t xml:space="preserve"> </w:t>
      </w:r>
      <w:r>
        <w:t>unifica</w:t>
      </w:r>
      <w:r>
        <w:rPr>
          <w:spacing w:val="-12"/>
        </w:rPr>
        <w:t xml:space="preserve"> </w:t>
      </w:r>
      <w:r>
        <w:t>a</w:t>
      </w:r>
      <w:r>
        <w:rPr>
          <w:spacing w:val="-10"/>
        </w:rPr>
        <w:t xml:space="preserve"> </w:t>
      </w:r>
      <w:r>
        <w:t>un</w:t>
      </w:r>
      <w:r>
        <w:rPr>
          <w:spacing w:val="-11"/>
        </w:rPr>
        <w:t xml:space="preserve"> </w:t>
      </w:r>
      <w:r>
        <w:t>conjunto</w:t>
      </w:r>
      <w:r>
        <w:rPr>
          <w:spacing w:val="-11"/>
        </w:rPr>
        <w:t xml:space="preserve"> </w:t>
      </w:r>
      <w:r>
        <w:t>de</w:t>
      </w:r>
      <w:r>
        <w:rPr>
          <w:spacing w:val="-10"/>
        </w:rPr>
        <w:t xml:space="preserve"> </w:t>
      </w:r>
      <w:r>
        <w:t>situaciones</w:t>
      </w:r>
      <w:r>
        <w:rPr>
          <w:spacing w:val="-12"/>
        </w:rPr>
        <w:t xml:space="preserve"> </w:t>
      </w:r>
      <w:r>
        <w:t>y</w:t>
      </w:r>
      <w:r>
        <w:rPr>
          <w:spacing w:val="-11"/>
        </w:rPr>
        <w:t xml:space="preserve"> </w:t>
      </w:r>
      <w:r>
        <w:t>sujetos</w:t>
      </w:r>
      <w:r>
        <w:rPr>
          <w:spacing w:val="-12"/>
        </w:rPr>
        <w:t xml:space="preserve"> </w:t>
      </w:r>
      <w:r>
        <w:t xml:space="preserve">políticos, despojándolos de cualquiera de sus pertenencias categoriales, incluidas las de naturaleza política, para considerarlos como seres humanos. Y si bien las formas como las víctimas y sobrevivientes se </w:t>
      </w:r>
      <w:proofErr w:type="spellStart"/>
      <w:r>
        <w:t>autoperciben</w:t>
      </w:r>
      <w:proofErr w:type="spellEnd"/>
      <w:r>
        <w:t xml:space="preserve"> y reconocen son diversas, todas ellas han sido importantes para la Comisión de la Verdad como parte de esta conversación colectiva incluyente. En contextos de impunidad y falta de reconocimiento, las víctimas se han fortalecido, pero también</w:t>
      </w:r>
      <w:r>
        <w:rPr>
          <w:spacing w:val="23"/>
        </w:rPr>
        <w:t xml:space="preserve"> </w:t>
      </w:r>
      <w:r>
        <w:t>han</w:t>
      </w:r>
      <w:r>
        <w:rPr>
          <w:spacing w:val="23"/>
        </w:rPr>
        <w:t xml:space="preserve"> </w:t>
      </w:r>
      <w:r>
        <w:t>reivindicado</w:t>
      </w:r>
      <w:r>
        <w:rPr>
          <w:spacing w:val="24"/>
        </w:rPr>
        <w:t xml:space="preserve"> </w:t>
      </w:r>
      <w:r>
        <w:t>una</w:t>
      </w:r>
      <w:r>
        <w:rPr>
          <w:spacing w:val="24"/>
        </w:rPr>
        <w:t xml:space="preserve"> </w:t>
      </w:r>
      <w:r>
        <w:t>condición</w:t>
      </w:r>
      <w:r>
        <w:rPr>
          <w:spacing w:val="24"/>
        </w:rPr>
        <w:t xml:space="preserve"> </w:t>
      </w:r>
      <w:r>
        <w:t>que</w:t>
      </w:r>
      <w:r>
        <w:rPr>
          <w:spacing w:val="23"/>
        </w:rPr>
        <w:t xml:space="preserve"> </w:t>
      </w:r>
      <w:r>
        <w:t>necesita</w:t>
      </w:r>
      <w:r>
        <w:rPr>
          <w:spacing w:val="24"/>
        </w:rPr>
        <w:t xml:space="preserve"> </w:t>
      </w:r>
      <w:r>
        <w:t>espacio</w:t>
      </w:r>
      <w:r>
        <w:rPr>
          <w:spacing w:val="24"/>
        </w:rPr>
        <w:t xml:space="preserve"> </w:t>
      </w:r>
      <w:r>
        <w:t>social</w:t>
      </w:r>
      <w:r>
        <w:rPr>
          <w:spacing w:val="24"/>
        </w:rPr>
        <w:t xml:space="preserve"> </w:t>
      </w:r>
      <w:r>
        <w:t>y</w:t>
      </w:r>
      <w:r>
        <w:rPr>
          <w:spacing w:val="24"/>
        </w:rPr>
        <w:t xml:space="preserve"> </w:t>
      </w:r>
      <w:r>
        <w:t>político</w:t>
      </w:r>
      <w:r>
        <w:rPr>
          <w:spacing w:val="24"/>
        </w:rPr>
        <w:t xml:space="preserve"> </w:t>
      </w:r>
      <w:r>
        <w:rPr>
          <w:spacing w:val="-2"/>
        </w:rPr>
        <w:t>específico,</w:t>
      </w:r>
      <w:r w:rsidR="00371C95">
        <w:rPr>
          <w:spacing w:val="-2"/>
        </w:rPr>
        <w:t xml:space="preserve"> </w:t>
      </w:r>
      <w:r>
        <w:t xml:space="preserve">como las curules en el Congreso y la escucha en múltiples escenarios sociales e </w:t>
      </w:r>
      <w:r>
        <w:rPr>
          <w:spacing w:val="-2"/>
        </w:rPr>
        <w:t>institucionales.</w:t>
      </w:r>
    </w:p>
    <w:p w:rsidR="003804AC" w:rsidRDefault="00AF18A5" w:rsidP="00371C95">
      <w:r>
        <w:t>La</w:t>
      </w:r>
      <w:r>
        <w:rPr>
          <w:spacing w:val="-15"/>
        </w:rPr>
        <w:t xml:space="preserve"> </w:t>
      </w:r>
      <w:r>
        <w:t>empatía</w:t>
      </w:r>
      <w:r>
        <w:rPr>
          <w:spacing w:val="-15"/>
        </w:rPr>
        <w:t xml:space="preserve"> </w:t>
      </w:r>
      <w:r>
        <w:t>–el</w:t>
      </w:r>
      <w:r>
        <w:rPr>
          <w:spacing w:val="-15"/>
        </w:rPr>
        <w:t xml:space="preserve"> </w:t>
      </w:r>
      <w:r>
        <w:t>reconocimiento</w:t>
      </w:r>
      <w:r>
        <w:rPr>
          <w:spacing w:val="-15"/>
        </w:rPr>
        <w:t xml:space="preserve"> </w:t>
      </w:r>
      <w:r>
        <w:t>de</w:t>
      </w:r>
      <w:r>
        <w:rPr>
          <w:spacing w:val="-15"/>
        </w:rPr>
        <w:t xml:space="preserve"> </w:t>
      </w:r>
      <w:r>
        <w:t>lo</w:t>
      </w:r>
      <w:r>
        <w:rPr>
          <w:spacing w:val="-15"/>
        </w:rPr>
        <w:t xml:space="preserve"> </w:t>
      </w:r>
      <w:r>
        <w:t>sufrido,</w:t>
      </w:r>
      <w:r>
        <w:rPr>
          <w:spacing w:val="-15"/>
        </w:rPr>
        <w:t xml:space="preserve"> </w:t>
      </w:r>
      <w:r>
        <w:t>de</w:t>
      </w:r>
      <w:r>
        <w:rPr>
          <w:spacing w:val="-15"/>
        </w:rPr>
        <w:t xml:space="preserve"> </w:t>
      </w:r>
      <w:r>
        <w:t>la</w:t>
      </w:r>
      <w:r>
        <w:rPr>
          <w:spacing w:val="-15"/>
        </w:rPr>
        <w:t xml:space="preserve"> </w:t>
      </w:r>
      <w:r>
        <w:t>dimensión</w:t>
      </w:r>
      <w:r>
        <w:rPr>
          <w:spacing w:val="-15"/>
        </w:rPr>
        <w:t xml:space="preserve"> </w:t>
      </w:r>
      <w:r>
        <w:t>de</w:t>
      </w:r>
      <w:r>
        <w:rPr>
          <w:spacing w:val="-15"/>
        </w:rPr>
        <w:t xml:space="preserve"> </w:t>
      </w:r>
      <w:r>
        <w:t>sus</w:t>
      </w:r>
      <w:r>
        <w:rPr>
          <w:spacing w:val="-15"/>
        </w:rPr>
        <w:t xml:space="preserve"> </w:t>
      </w:r>
      <w:r>
        <w:t>consecuencias–</w:t>
      </w:r>
      <w:r>
        <w:rPr>
          <w:spacing w:val="-15"/>
        </w:rPr>
        <w:t xml:space="preserve"> </w:t>
      </w:r>
      <w:r>
        <w:t>forma parte también de un proceso de sanación individual y colectiva que permite una memoria compartida.</w:t>
      </w:r>
      <w:r>
        <w:rPr>
          <w:spacing w:val="-6"/>
        </w:rPr>
        <w:t xml:space="preserve"> </w:t>
      </w:r>
      <w:r>
        <w:t>El</w:t>
      </w:r>
      <w:r>
        <w:rPr>
          <w:spacing w:val="-4"/>
        </w:rPr>
        <w:t xml:space="preserve"> </w:t>
      </w:r>
      <w:r>
        <w:t>papel</w:t>
      </w:r>
      <w:r>
        <w:rPr>
          <w:spacing w:val="-4"/>
        </w:rPr>
        <w:t xml:space="preserve"> </w:t>
      </w:r>
      <w:r>
        <w:t>de</w:t>
      </w:r>
      <w:r>
        <w:rPr>
          <w:spacing w:val="-6"/>
        </w:rPr>
        <w:t xml:space="preserve"> </w:t>
      </w:r>
      <w:r>
        <w:t>esa</w:t>
      </w:r>
      <w:r>
        <w:rPr>
          <w:spacing w:val="-4"/>
        </w:rPr>
        <w:t xml:space="preserve"> </w:t>
      </w:r>
      <w:r>
        <w:t>memoria</w:t>
      </w:r>
      <w:r>
        <w:rPr>
          <w:spacing w:val="-6"/>
        </w:rPr>
        <w:t xml:space="preserve"> </w:t>
      </w:r>
      <w:r>
        <w:t>reivindicada</w:t>
      </w:r>
      <w:r>
        <w:rPr>
          <w:spacing w:val="-4"/>
        </w:rPr>
        <w:t xml:space="preserve"> </w:t>
      </w:r>
      <w:r>
        <w:t>por</w:t>
      </w:r>
      <w:r>
        <w:rPr>
          <w:spacing w:val="-4"/>
        </w:rPr>
        <w:t xml:space="preserve"> </w:t>
      </w:r>
      <w:r>
        <w:t>múltiples</w:t>
      </w:r>
      <w:r>
        <w:rPr>
          <w:spacing w:val="-4"/>
        </w:rPr>
        <w:t xml:space="preserve"> </w:t>
      </w:r>
      <w:r>
        <w:t>iniciativas</w:t>
      </w:r>
      <w:r>
        <w:rPr>
          <w:spacing w:val="-4"/>
        </w:rPr>
        <w:t xml:space="preserve"> </w:t>
      </w:r>
      <w:r>
        <w:t>de</w:t>
      </w:r>
      <w:r>
        <w:rPr>
          <w:spacing w:val="-4"/>
        </w:rPr>
        <w:t xml:space="preserve"> </w:t>
      </w:r>
      <w:r>
        <w:t>las</w:t>
      </w:r>
      <w:r>
        <w:rPr>
          <w:spacing w:val="-4"/>
        </w:rPr>
        <w:t xml:space="preserve"> </w:t>
      </w:r>
      <w:r>
        <w:t>víctimas</w:t>
      </w:r>
      <w:r>
        <w:rPr>
          <w:spacing w:val="-4"/>
        </w:rPr>
        <w:t xml:space="preserve"> </w:t>
      </w:r>
      <w:r>
        <w:t xml:space="preserve">y </w:t>
      </w:r>
      <w:r>
        <w:lastRenderedPageBreak/>
        <w:t>procesos locales en muchas comunidades no es focalizarse en el pasado, sino traerlo al presente para que pueda ser parte del proceso de reconstrucción. El largo camino pendiente de</w:t>
      </w:r>
      <w:r>
        <w:rPr>
          <w:spacing w:val="-8"/>
        </w:rPr>
        <w:t xml:space="preserve"> </w:t>
      </w:r>
      <w:r>
        <w:t>la</w:t>
      </w:r>
      <w:r>
        <w:rPr>
          <w:spacing w:val="-8"/>
        </w:rPr>
        <w:t xml:space="preserve"> </w:t>
      </w:r>
      <w:r>
        <w:t>reparación</w:t>
      </w:r>
      <w:r>
        <w:rPr>
          <w:spacing w:val="-8"/>
        </w:rPr>
        <w:t xml:space="preserve"> </w:t>
      </w:r>
      <w:r>
        <w:t>colectiva</w:t>
      </w:r>
      <w:r>
        <w:rPr>
          <w:spacing w:val="-9"/>
        </w:rPr>
        <w:t xml:space="preserve"> </w:t>
      </w:r>
      <w:r>
        <w:t>en</w:t>
      </w:r>
      <w:r>
        <w:rPr>
          <w:spacing w:val="-8"/>
        </w:rPr>
        <w:t xml:space="preserve"> </w:t>
      </w:r>
      <w:r>
        <w:t>Colombia,</w:t>
      </w:r>
      <w:r>
        <w:rPr>
          <w:spacing w:val="-8"/>
        </w:rPr>
        <w:t xml:space="preserve"> </w:t>
      </w:r>
      <w:r>
        <w:t>apenas</w:t>
      </w:r>
      <w:r>
        <w:rPr>
          <w:spacing w:val="-8"/>
        </w:rPr>
        <w:t xml:space="preserve"> </w:t>
      </w:r>
      <w:r>
        <w:t>esbozado</w:t>
      </w:r>
      <w:r>
        <w:rPr>
          <w:spacing w:val="-8"/>
        </w:rPr>
        <w:t xml:space="preserve"> </w:t>
      </w:r>
      <w:r>
        <w:t>con</w:t>
      </w:r>
      <w:r>
        <w:rPr>
          <w:spacing w:val="-8"/>
        </w:rPr>
        <w:t xml:space="preserve"> </w:t>
      </w:r>
      <w:r>
        <w:t>la</w:t>
      </w:r>
      <w:r>
        <w:rPr>
          <w:spacing w:val="-8"/>
        </w:rPr>
        <w:t xml:space="preserve"> </w:t>
      </w:r>
      <w:r>
        <w:t>Ley</w:t>
      </w:r>
      <w:r>
        <w:rPr>
          <w:spacing w:val="-8"/>
        </w:rPr>
        <w:t xml:space="preserve"> </w:t>
      </w:r>
      <w:r>
        <w:t>de</w:t>
      </w:r>
      <w:r>
        <w:rPr>
          <w:spacing w:val="-8"/>
        </w:rPr>
        <w:t xml:space="preserve"> </w:t>
      </w:r>
      <w:r>
        <w:t>Víctimas,</w:t>
      </w:r>
      <w:r>
        <w:rPr>
          <w:spacing w:val="-8"/>
        </w:rPr>
        <w:t xml:space="preserve"> </w:t>
      </w:r>
      <w:r>
        <w:t>es</w:t>
      </w:r>
      <w:r>
        <w:rPr>
          <w:spacing w:val="-8"/>
        </w:rPr>
        <w:t xml:space="preserve"> </w:t>
      </w:r>
      <w:r>
        <w:t>parte</w:t>
      </w:r>
      <w:r>
        <w:rPr>
          <w:spacing w:val="-8"/>
        </w:rPr>
        <w:t xml:space="preserve"> </w:t>
      </w:r>
      <w:r>
        <w:t>de lo</w:t>
      </w:r>
      <w:r>
        <w:rPr>
          <w:spacing w:val="-2"/>
        </w:rPr>
        <w:t xml:space="preserve"> </w:t>
      </w:r>
      <w:r>
        <w:t>que</w:t>
      </w:r>
      <w:r>
        <w:rPr>
          <w:spacing w:val="-2"/>
        </w:rPr>
        <w:t xml:space="preserve"> </w:t>
      </w:r>
      <w:r>
        <w:t>las</w:t>
      </w:r>
      <w:r>
        <w:rPr>
          <w:spacing w:val="-2"/>
        </w:rPr>
        <w:t xml:space="preserve"> </w:t>
      </w:r>
      <w:r>
        <w:t>instituciones</w:t>
      </w:r>
      <w:r>
        <w:rPr>
          <w:spacing w:val="-2"/>
        </w:rPr>
        <w:t xml:space="preserve"> </w:t>
      </w:r>
      <w:r>
        <w:t>tienen</w:t>
      </w:r>
      <w:r>
        <w:rPr>
          <w:spacing w:val="-2"/>
        </w:rPr>
        <w:t xml:space="preserve"> </w:t>
      </w:r>
      <w:r>
        <w:t>que</w:t>
      </w:r>
      <w:r>
        <w:rPr>
          <w:spacing w:val="-2"/>
        </w:rPr>
        <w:t xml:space="preserve"> </w:t>
      </w:r>
      <w:r>
        <w:t>potenciar</w:t>
      </w:r>
      <w:r>
        <w:rPr>
          <w:spacing w:val="-2"/>
        </w:rPr>
        <w:t xml:space="preserve"> </w:t>
      </w:r>
      <w:r>
        <w:t>con</w:t>
      </w:r>
      <w:r>
        <w:rPr>
          <w:spacing w:val="-5"/>
        </w:rPr>
        <w:t xml:space="preserve"> </w:t>
      </w:r>
      <w:r>
        <w:t>una</w:t>
      </w:r>
      <w:r>
        <w:rPr>
          <w:spacing w:val="-2"/>
        </w:rPr>
        <w:t xml:space="preserve"> </w:t>
      </w:r>
      <w:r>
        <w:t>agenda</w:t>
      </w:r>
      <w:r>
        <w:rPr>
          <w:spacing w:val="-3"/>
        </w:rPr>
        <w:t xml:space="preserve"> </w:t>
      </w:r>
      <w:r>
        <w:t>transformadora</w:t>
      </w:r>
      <w:r>
        <w:rPr>
          <w:spacing w:val="-2"/>
        </w:rPr>
        <w:t xml:space="preserve"> </w:t>
      </w:r>
      <w:r>
        <w:t>que</w:t>
      </w:r>
      <w:r>
        <w:rPr>
          <w:spacing w:val="-3"/>
        </w:rPr>
        <w:t xml:space="preserve"> </w:t>
      </w:r>
      <w:r>
        <w:t>llegue</w:t>
      </w:r>
      <w:r>
        <w:rPr>
          <w:spacing w:val="-2"/>
        </w:rPr>
        <w:t xml:space="preserve"> </w:t>
      </w:r>
      <w:r>
        <w:t>a</w:t>
      </w:r>
      <w:r>
        <w:rPr>
          <w:spacing w:val="-2"/>
        </w:rPr>
        <w:t xml:space="preserve"> </w:t>
      </w:r>
      <w:r>
        <w:t>las comunidades y sectores más afectados.</w:t>
      </w:r>
    </w:p>
    <w:p w:rsidR="0011361F" w:rsidRPr="00371C95" w:rsidRDefault="00AF18A5" w:rsidP="004A6EF4">
      <w:pPr>
        <w:pStyle w:val="Ttulo3"/>
        <w:numPr>
          <w:ilvl w:val="2"/>
          <w:numId w:val="18"/>
        </w:numPr>
      </w:pPr>
      <w:bookmarkStart w:id="50" w:name="1.3.4._De_las_memorias_defensivas_a_una_"/>
      <w:bookmarkStart w:id="51" w:name="_Toc112399533"/>
      <w:bookmarkEnd w:id="50"/>
      <w:r w:rsidRPr="00371C95">
        <w:t>De las memorias defensivas a una verdad incluyente</w:t>
      </w:r>
      <w:bookmarkEnd w:id="51"/>
    </w:p>
    <w:p w:rsidR="003804AC" w:rsidRDefault="00AF18A5" w:rsidP="00371C95">
      <w:r>
        <w:t>No hay termómetros para medir el dolor o la profundidad del sufrimiento. Pero Colombia necesita superar el hecho de que durante décadas se exaltan unos hechos sobre otros, como una</w:t>
      </w:r>
      <w:r>
        <w:rPr>
          <w:spacing w:val="-2"/>
        </w:rPr>
        <w:t xml:space="preserve"> </w:t>
      </w:r>
      <w:r>
        <w:t>forma</w:t>
      </w:r>
      <w:r>
        <w:rPr>
          <w:spacing w:val="-2"/>
        </w:rPr>
        <w:t xml:space="preserve"> </w:t>
      </w:r>
      <w:r>
        <w:t>de</w:t>
      </w:r>
      <w:r>
        <w:rPr>
          <w:spacing w:val="-2"/>
        </w:rPr>
        <w:t xml:space="preserve"> </w:t>
      </w:r>
      <w:r>
        <w:t>ganar</w:t>
      </w:r>
      <w:r>
        <w:rPr>
          <w:spacing w:val="-2"/>
        </w:rPr>
        <w:t xml:space="preserve"> </w:t>
      </w:r>
      <w:r>
        <w:t>mayor</w:t>
      </w:r>
      <w:r>
        <w:rPr>
          <w:spacing w:val="-2"/>
        </w:rPr>
        <w:t xml:space="preserve"> </w:t>
      </w:r>
      <w:r>
        <w:t>legitimidad,</w:t>
      </w:r>
      <w:r>
        <w:rPr>
          <w:spacing w:val="-2"/>
        </w:rPr>
        <w:t xml:space="preserve"> </w:t>
      </w:r>
      <w:r>
        <w:t>o</w:t>
      </w:r>
      <w:r>
        <w:rPr>
          <w:spacing w:val="-2"/>
        </w:rPr>
        <w:t xml:space="preserve"> </w:t>
      </w:r>
      <w:r>
        <w:t>verlos</w:t>
      </w:r>
      <w:r>
        <w:rPr>
          <w:spacing w:val="-2"/>
        </w:rPr>
        <w:t xml:space="preserve"> </w:t>
      </w:r>
      <w:r>
        <w:t>como</w:t>
      </w:r>
      <w:r>
        <w:rPr>
          <w:spacing w:val="-2"/>
        </w:rPr>
        <w:t xml:space="preserve"> </w:t>
      </w:r>
      <w:r>
        <w:t>respuesta</w:t>
      </w:r>
      <w:r>
        <w:rPr>
          <w:spacing w:val="-2"/>
        </w:rPr>
        <w:t xml:space="preserve"> </w:t>
      </w:r>
      <w:r>
        <w:t>a</w:t>
      </w:r>
      <w:r>
        <w:rPr>
          <w:spacing w:val="-2"/>
        </w:rPr>
        <w:t xml:space="preserve"> </w:t>
      </w:r>
      <w:r>
        <w:t>otro</w:t>
      </w:r>
      <w:r>
        <w:rPr>
          <w:spacing w:val="-3"/>
        </w:rPr>
        <w:t xml:space="preserve"> </w:t>
      </w:r>
      <w:r>
        <w:t>conjunto</w:t>
      </w:r>
      <w:r>
        <w:rPr>
          <w:spacing w:val="-2"/>
        </w:rPr>
        <w:t xml:space="preserve"> </w:t>
      </w:r>
      <w:r>
        <w:t>de</w:t>
      </w:r>
      <w:r>
        <w:rPr>
          <w:spacing w:val="-2"/>
        </w:rPr>
        <w:t xml:space="preserve"> </w:t>
      </w:r>
      <w:r>
        <w:t>hechos</w:t>
      </w:r>
      <w:r>
        <w:rPr>
          <w:spacing w:val="-2"/>
        </w:rPr>
        <w:t xml:space="preserve"> </w:t>
      </w:r>
      <w:r>
        <w:t>y violaciones previas, en un contexto en el que cada quien encuentra justificaciones para su posición. De esa manera se desvanece cualquier posibilidad de encuentro desde la única posición común: el sufrimiento de «todas» las víctimas.</w:t>
      </w:r>
    </w:p>
    <w:p w:rsidR="003804AC" w:rsidRDefault="00AF18A5" w:rsidP="00371C95">
      <w:r>
        <w:t>Todo esto está sujeto al análisis de las causas y dinámicas del conflicto armado y de sus factores de persistencia, que forman parte del trabajo de la Comisión de la Verdad. Pero el diálogo</w:t>
      </w:r>
      <w:r>
        <w:rPr>
          <w:spacing w:val="-3"/>
        </w:rPr>
        <w:t xml:space="preserve"> </w:t>
      </w:r>
      <w:r>
        <w:t>sobre</w:t>
      </w:r>
      <w:r>
        <w:rPr>
          <w:spacing w:val="-3"/>
        </w:rPr>
        <w:t xml:space="preserve"> </w:t>
      </w:r>
      <w:r>
        <w:t>la</w:t>
      </w:r>
      <w:r>
        <w:rPr>
          <w:spacing w:val="-3"/>
        </w:rPr>
        <w:t xml:space="preserve"> </w:t>
      </w:r>
      <w:r>
        <w:t>verdad</w:t>
      </w:r>
      <w:r>
        <w:rPr>
          <w:spacing w:val="-5"/>
        </w:rPr>
        <w:t xml:space="preserve"> </w:t>
      </w:r>
      <w:r>
        <w:t>no</w:t>
      </w:r>
      <w:r>
        <w:rPr>
          <w:spacing w:val="-3"/>
        </w:rPr>
        <w:t xml:space="preserve"> </w:t>
      </w:r>
      <w:r>
        <w:t>puede</w:t>
      </w:r>
      <w:r>
        <w:rPr>
          <w:spacing w:val="-3"/>
        </w:rPr>
        <w:t xml:space="preserve"> </w:t>
      </w:r>
      <w:r>
        <w:t>convertirse</w:t>
      </w:r>
      <w:r>
        <w:rPr>
          <w:spacing w:val="-3"/>
        </w:rPr>
        <w:t xml:space="preserve"> </w:t>
      </w:r>
      <w:r>
        <w:t>en</w:t>
      </w:r>
      <w:r>
        <w:rPr>
          <w:spacing w:val="-5"/>
        </w:rPr>
        <w:t xml:space="preserve"> </w:t>
      </w:r>
      <w:r>
        <w:t>una</w:t>
      </w:r>
      <w:r>
        <w:rPr>
          <w:spacing w:val="-3"/>
        </w:rPr>
        <w:t xml:space="preserve"> </w:t>
      </w:r>
      <w:r>
        <w:t>forma</w:t>
      </w:r>
      <w:r>
        <w:rPr>
          <w:spacing w:val="-3"/>
        </w:rPr>
        <w:t xml:space="preserve"> </w:t>
      </w:r>
      <w:r>
        <w:t>de</w:t>
      </w:r>
      <w:r>
        <w:rPr>
          <w:spacing w:val="-3"/>
        </w:rPr>
        <w:t xml:space="preserve"> </w:t>
      </w:r>
      <w:r>
        <w:t>justificación.</w:t>
      </w:r>
      <w:r>
        <w:rPr>
          <w:spacing w:val="-3"/>
        </w:rPr>
        <w:t xml:space="preserve"> </w:t>
      </w:r>
      <w:r>
        <w:t>La</w:t>
      </w:r>
      <w:r>
        <w:rPr>
          <w:spacing w:val="-3"/>
        </w:rPr>
        <w:t xml:space="preserve"> </w:t>
      </w:r>
      <w:r>
        <w:t>equiparación moral</w:t>
      </w:r>
      <w:r>
        <w:rPr>
          <w:spacing w:val="-13"/>
        </w:rPr>
        <w:t xml:space="preserve"> </w:t>
      </w:r>
      <w:r>
        <w:t>de</w:t>
      </w:r>
      <w:r>
        <w:rPr>
          <w:spacing w:val="-13"/>
        </w:rPr>
        <w:t xml:space="preserve"> </w:t>
      </w:r>
      <w:r>
        <w:t>ese</w:t>
      </w:r>
      <w:r>
        <w:rPr>
          <w:spacing w:val="-14"/>
        </w:rPr>
        <w:t xml:space="preserve"> </w:t>
      </w:r>
      <w:r>
        <w:t>sufrimiento</w:t>
      </w:r>
      <w:r>
        <w:rPr>
          <w:spacing w:val="-14"/>
        </w:rPr>
        <w:t xml:space="preserve"> </w:t>
      </w:r>
      <w:r>
        <w:t>no</w:t>
      </w:r>
      <w:r>
        <w:rPr>
          <w:spacing w:val="-13"/>
        </w:rPr>
        <w:t xml:space="preserve"> </w:t>
      </w:r>
      <w:r>
        <w:t>significa</w:t>
      </w:r>
      <w:r>
        <w:rPr>
          <w:spacing w:val="-14"/>
        </w:rPr>
        <w:t xml:space="preserve"> </w:t>
      </w:r>
      <w:r>
        <w:t>igualar</w:t>
      </w:r>
      <w:r>
        <w:rPr>
          <w:spacing w:val="-13"/>
        </w:rPr>
        <w:t xml:space="preserve"> </w:t>
      </w:r>
      <w:r>
        <w:t>los</w:t>
      </w:r>
      <w:r>
        <w:rPr>
          <w:spacing w:val="-14"/>
        </w:rPr>
        <w:t xml:space="preserve"> </w:t>
      </w:r>
      <w:r>
        <w:t>mecanismos</w:t>
      </w:r>
      <w:r>
        <w:rPr>
          <w:spacing w:val="-14"/>
        </w:rPr>
        <w:t xml:space="preserve"> </w:t>
      </w:r>
      <w:r>
        <w:t>de</w:t>
      </w:r>
      <w:r>
        <w:rPr>
          <w:spacing w:val="-13"/>
        </w:rPr>
        <w:t xml:space="preserve"> </w:t>
      </w:r>
      <w:r>
        <w:t>victimización</w:t>
      </w:r>
      <w:r>
        <w:rPr>
          <w:spacing w:val="-13"/>
        </w:rPr>
        <w:t xml:space="preserve"> </w:t>
      </w:r>
      <w:r>
        <w:t>que</w:t>
      </w:r>
      <w:r>
        <w:rPr>
          <w:spacing w:val="-13"/>
        </w:rPr>
        <w:t xml:space="preserve"> </w:t>
      </w:r>
      <w:r>
        <w:t>han</w:t>
      </w:r>
      <w:r>
        <w:rPr>
          <w:spacing w:val="-14"/>
        </w:rPr>
        <w:t xml:space="preserve"> </w:t>
      </w:r>
      <w:r>
        <w:t>hecho posibles el horror a gran escala ni equiparar las responsabilidades del Estado con las de distintos</w:t>
      </w:r>
      <w:r>
        <w:rPr>
          <w:spacing w:val="-14"/>
        </w:rPr>
        <w:t xml:space="preserve"> </w:t>
      </w:r>
      <w:r>
        <w:t>grupos</w:t>
      </w:r>
      <w:r>
        <w:rPr>
          <w:spacing w:val="-14"/>
        </w:rPr>
        <w:t xml:space="preserve"> </w:t>
      </w:r>
      <w:r>
        <w:t>armados,</w:t>
      </w:r>
      <w:r>
        <w:rPr>
          <w:spacing w:val="-14"/>
        </w:rPr>
        <w:t xml:space="preserve"> </w:t>
      </w:r>
      <w:r>
        <w:t>sino</w:t>
      </w:r>
      <w:r>
        <w:rPr>
          <w:spacing w:val="-14"/>
        </w:rPr>
        <w:t xml:space="preserve"> </w:t>
      </w:r>
      <w:r>
        <w:t>que</w:t>
      </w:r>
      <w:r>
        <w:rPr>
          <w:spacing w:val="-15"/>
        </w:rPr>
        <w:t xml:space="preserve"> </w:t>
      </w:r>
      <w:r>
        <w:t>alude,</w:t>
      </w:r>
      <w:r>
        <w:rPr>
          <w:spacing w:val="-14"/>
        </w:rPr>
        <w:t xml:space="preserve"> </w:t>
      </w:r>
      <w:r>
        <w:t>más</w:t>
      </w:r>
      <w:r>
        <w:rPr>
          <w:spacing w:val="-15"/>
        </w:rPr>
        <w:t xml:space="preserve"> </w:t>
      </w:r>
      <w:r>
        <w:t>bien,</w:t>
      </w:r>
      <w:r>
        <w:rPr>
          <w:spacing w:val="-14"/>
        </w:rPr>
        <w:t xml:space="preserve"> </w:t>
      </w:r>
      <w:r>
        <w:t>a</w:t>
      </w:r>
      <w:r>
        <w:rPr>
          <w:spacing w:val="-14"/>
        </w:rPr>
        <w:t xml:space="preserve"> </w:t>
      </w:r>
      <w:r>
        <w:t>la</w:t>
      </w:r>
      <w:r>
        <w:rPr>
          <w:spacing w:val="-15"/>
        </w:rPr>
        <w:t xml:space="preserve"> </w:t>
      </w:r>
      <w:r>
        <w:t>igualdad</w:t>
      </w:r>
      <w:r>
        <w:rPr>
          <w:spacing w:val="-14"/>
        </w:rPr>
        <w:t xml:space="preserve"> </w:t>
      </w:r>
      <w:r>
        <w:t>de</w:t>
      </w:r>
      <w:r>
        <w:rPr>
          <w:spacing w:val="-14"/>
        </w:rPr>
        <w:t xml:space="preserve"> </w:t>
      </w:r>
      <w:r>
        <w:t>derec</w:t>
      </w:r>
      <w:r>
        <w:rPr>
          <w:color w:val="000009"/>
        </w:rPr>
        <w:t>hos,</w:t>
      </w:r>
      <w:r>
        <w:rPr>
          <w:color w:val="000009"/>
          <w:spacing w:val="-14"/>
        </w:rPr>
        <w:t xml:space="preserve"> </w:t>
      </w:r>
      <w:r>
        <w:rPr>
          <w:color w:val="000009"/>
        </w:rPr>
        <w:t>a</w:t>
      </w:r>
      <w:r>
        <w:rPr>
          <w:color w:val="000009"/>
          <w:spacing w:val="-14"/>
        </w:rPr>
        <w:t xml:space="preserve"> </w:t>
      </w:r>
      <w:r>
        <w:rPr>
          <w:color w:val="000009"/>
        </w:rPr>
        <w:t>la</w:t>
      </w:r>
      <w:r>
        <w:rPr>
          <w:color w:val="000009"/>
          <w:spacing w:val="-14"/>
        </w:rPr>
        <w:t xml:space="preserve"> </w:t>
      </w:r>
      <w:r>
        <w:rPr>
          <w:color w:val="000009"/>
        </w:rPr>
        <w:t>fraternidad y sororidad en el dolor y al reconocimiento de las víctimas en su dignidad.</w:t>
      </w:r>
    </w:p>
    <w:p w:rsidR="003804AC" w:rsidRDefault="00AF18A5" w:rsidP="00371C95">
      <w:r>
        <w:t xml:space="preserve">La victimización que han sufrido millones de personas en Colombia no les concede una especial clarividencia política ni supone un aval de racionalidad en el análisis de los problemas, pero es innegable que </w:t>
      </w:r>
      <w:r>
        <w:lastRenderedPageBreak/>
        <w:t>cargan con el peso de una herida que debe ser asumida colectivamente</w:t>
      </w:r>
      <w:r>
        <w:rPr>
          <w:spacing w:val="29"/>
        </w:rPr>
        <w:t xml:space="preserve"> </w:t>
      </w:r>
      <w:r>
        <w:t>como</w:t>
      </w:r>
      <w:r>
        <w:rPr>
          <w:spacing w:val="32"/>
        </w:rPr>
        <w:t xml:space="preserve"> </w:t>
      </w:r>
      <w:r>
        <w:t>país,</w:t>
      </w:r>
      <w:r>
        <w:rPr>
          <w:spacing w:val="32"/>
        </w:rPr>
        <w:t xml:space="preserve"> </w:t>
      </w:r>
      <w:r>
        <w:t>y</w:t>
      </w:r>
      <w:r>
        <w:rPr>
          <w:spacing w:val="32"/>
        </w:rPr>
        <w:t xml:space="preserve"> </w:t>
      </w:r>
      <w:r>
        <w:t>sus</w:t>
      </w:r>
      <w:r>
        <w:rPr>
          <w:spacing w:val="32"/>
        </w:rPr>
        <w:t xml:space="preserve"> </w:t>
      </w:r>
      <w:r>
        <w:t>derechos</w:t>
      </w:r>
      <w:r>
        <w:rPr>
          <w:spacing w:val="32"/>
        </w:rPr>
        <w:t xml:space="preserve"> </w:t>
      </w:r>
      <w:r>
        <w:t>deben</w:t>
      </w:r>
      <w:r>
        <w:rPr>
          <w:spacing w:val="32"/>
        </w:rPr>
        <w:t xml:space="preserve"> </w:t>
      </w:r>
      <w:r>
        <w:t>ser</w:t>
      </w:r>
      <w:r>
        <w:rPr>
          <w:spacing w:val="32"/>
        </w:rPr>
        <w:t xml:space="preserve"> </w:t>
      </w:r>
      <w:r>
        <w:t>tenidos</w:t>
      </w:r>
      <w:r>
        <w:rPr>
          <w:spacing w:val="32"/>
        </w:rPr>
        <w:t xml:space="preserve"> </w:t>
      </w:r>
      <w:r>
        <w:t>en</w:t>
      </w:r>
      <w:r>
        <w:rPr>
          <w:spacing w:val="32"/>
        </w:rPr>
        <w:t xml:space="preserve"> </w:t>
      </w:r>
      <w:r>
        <w:t>cuenta</w:t>
      </w:r>
      <w:r>
        <w:rPr>
          <w:spacing w:val="32"/>
        </w:rPr>
        <w:t xml:space="preserve"> </w:t>
      </w:r>
      <w:r>
        <w:t>como</w:t>
      </w:r>
      <w:r>
        <w:rPr>
          <w:spacing w:val="32"/>
        </w:rPr>
        <w:t xml:space="preserve"> </w:t>
      </w:r>
      <w:r>
        <w:t>parte</w:t>
      </w:r>
      <w:r>
        <w:rPr>
          <w:spacing w:val="32"/>
        </w:rPr>
        <w:t xml:space="preserve"> </w:t>
      </w:r>
      <w:r>
        <w:t>de</w:t>
      </w:r>
      <w:r>
        <w:rPr>
          <w:spacing w:val="32"/>
        </w:rPr>
        <w:t xml:space="preserve"> </w:t>
      </w:r>
      <w:r>
        <w:rPr>
          <w:spacing w:val="-5"/>
        </w:rPr>
        <w:t>la</w:t>
      </w:r>
      <w:r w:rsidR="00371C95">
        <w:rPr>
          <w:spacing w:val="-5"/>
        </w:rPr>
        <w:t xml:space="preserve"> </w:t>
      </w:r>
      <w:r>
        <w:t>agenda de transformación que Colombia requiere. Pero sí les da una legitimidad frente al Estado, los grupos armados y la sociedad: la de quien ha puesto todo el dolor y sufrimiento en el coste de la guerra y por ello reclama el respeto a los derechos humanos y del DIH y la superación</w:t>
      </w:r>
      <w:r>
        <w:rPr>
          <w:spacing w:val="-5"/>
        </w:rPr>
        <w:t xml:space="preserve"> </w:t>
      </w:r>
      <w:r>
        <w:t>del</w:t>
      </w:r>
      <w:r>
        <w:rPr>
          <w:spacing w:val="-4"/>
        </w:rPr>
        <w:t xml:space="preserve"> </w:t>
      </w:r>
      <w:r>
        <w:t>conflicto</w:t>
      </w:r>
      <w:r>
        <w:rPr>
          <w:spacing w:val="-5"/>
        </w:rPr>
        <w:t xml:space="preserve"> </w:t>
      </w:r>
      <w:r>
        <w:t>armado.</w:t>
      </w:r>
      <w:r>
        <w:rPr>
          <w:spacing w:val="-5"/>
        </w:rPr>
        <w:t xml:space="preserve"> </w:t>
      </w:r>
      <w:r>
        <w:t>Así</w:t>
      </w:r>
      <w:r>
        <w:rPr>
          <w:spacing w:val="-5"/>
        </w:rPr>
        <w:t xml:space="preserve"> </w:t>
      </w:r>
      <w:r>
        <w:t>lo</w:t>
      </w:r>
      <w:r>
        <w:rPr>
          <w:spacing w:val="-5"/>
        </w:rPr>
        <w:t xml:space="preserve"> </w:t>
      </w:r>
      <w:r>
        <w:t>mostraron</w:t>
      </w:r>
      <w:r>
        <w:rPr>
          <w:spacing w:val="-5"/>
        </w:rPr>
        <w:t xml:space="preserve"> </w:t>
      </w:r>
      <w:r>
        <w:t>las</w:t>
      </w:r>
      <w:r>
        <w:rPr>
          <w:spacing w:val="-4"/>
        </w:rPr>
        <w:t xml:space="preserve"> </w:t>
      </w:r>
      <w:r>
        <w:t>víctimas</w:t>
      </w:r>
      <w:r>
        <w:rPr>
          <w:spacing w:val="-5"/>
        </w:rPr>
        <w:t xml:space="preserve"> </w:t>
      </w:r>
      <w:r>
        <w:t>en</w:t>
      </w:r>
      <w:r>
        <w:rPr>
          <w:spacing w:val="-5"/>
        </w:rPr>
        <w:t xml:space="preserve"> </w:t>
      </w:r>
      <w:r>
        <w:t>el</w:t>
      </w:r>
      <w:r>
        <w:rPr>
          <w:spacing w:val="-4"/>
        </w:rPr>
        <w:t xml:space="preserve"> </w:t>
      </w:r>
      <w:r>
        <w:t>proceso</w:t>
      </w:r>
      <w:r>
        <w:rPr>
          <w:spacing w:val="-5"/>
        </w:rPr>
        <w:t xml:space="preserve"> </w:t>
      </w:r>
      <w:r>
        <w:t>de</w:t>
      </w:r>
      <w:r>
        <w:rPr>
          <w:spacing w:val="-4"/>
        </w:rPr>
        <w:t xml:space="preserve"> </w:t>
      </w:r>
      <w:r>
        <w:t>negociación de La Habana, hablándoles a las dos partes del conflicto y señalando el camino para la construcción de la paz.</w:t>
      </w:r>
    </w:p>
    <w:p w:rsidR="003804AC" w:rsidRDefault="00AF18A5" w:rsidP="00371C95">
      <w:r>
        <w:t>En la complejidad del conflicto armado colombiano –y si bien esto solo se dio en una pequeña parte–, también algunas víctimas fueron a la vez responsables de violaciones de derechos</w:t>
      </w:r>
      <w:r>
        <w:rPr>
          <w:spacing w:val="-7"/>
        </w:rPr>
        <w:t xml:space="preserve"> </w:t>
      </w:r>
      <w:r>
        <w:t>humanos</w:t>
      </w:r>
      <w:r>
        <w:rPr>
          <w:spacing w:val="-6"/>
        </w:rPr>
        <w:t xml:space="preserve"> </w:t>
      </w:r>
      <w:r>
        <w:t>o</w:t>
      </w:r>
      <w:r>
        <w:rPr>
          <w:spacing w:val="-6"/>
        </w:rPr>
        <w:t xml:space="preserve"> </w:t>
      </w:r>
      <w:r>
        <w:t>de</w:t>
      </w:r>
      <w:r>
        <w:rPr>
          <w:spacing w:val="-6"/>
        </w:rPr>
        <w:t xml:space="preserve"> </w:t>
      </w:r>
      <w:r>
        <w:t>infracciones</w:t>
      </w:r>
      <w:r>
        <w:rPr>
          <w:spacing w:val="-8"/>
        </w:rPr>
        <w:t xml:space="preserve"> </w:t>
      </w:r>
      <w:r>
        <w:t>al</w:t>
      </w:r>
      <w:r>
        <w:rPr>
          <w:spacing w:val="-6"/>
        </w:rPr>
        <w:t xml:space="preserve"> </w:t>
      </w:r>
      <w:r>
        <w:t>DIH,</w:t>
      </w:r>
      <w:r>
        <w:rPr>
          <w:spacing w:val="-6"/>
        </w:rPr>
        <w:t xml:space="preserve"> </w:t>
      </w:r>
      <w:r>
        <w:t>se</w:t>
      </w:r>
      <w:r>
        <w:rPr>
          <w:spacing w:val="-7"/>
        </w:rPr>
        <w:t xml:space="preserve"> </w:t>
      </w:r>
      <w:r>
        <w:t>involucrar</w:t>
      </w:r>
      <w:r>
        <w:rPr>
          <w:color w:val="000009"/>
        </w:rPr>
        <w:t>on</w:t>
      </w:r>
      <w:r>
        <w:rPr>
          <w:color w:val="000009"/>
          <w:spacing w:val="-6"/>
        </w:rPr>
        <w:t xml:space="preserve"> </w:t>
      </w:r>
      <w:r>
        <w:rPr>
          <w:color w:val="000009"/>
        </w:rPr>
        <w:t>en</w:t>
      </w:r>
      <w:r>
        <w:rPr>
          <w:color w:val="000009"/>
          <w:spacing w:val="-6"/>
        </w:rPr>
        <w:t xml:space="preserve"> </w:t>
      </w:r>
      <w:r>
        <w:rPr>
          <w:color w:val="000009"/>
        </w:rPr>
        <w:t>la</w:t>
      </w:r>
      <w:r>
        <w:rPr>
          <w:color w:val="000009"/>
          <w:spacing w:val="-6"/>
        </w:rPr>
        <w:t xml:space="preserve"> </w:t>
      </w:r>
      <w:r>
        <w:rPr>
          <w:color w:val="000009"/>
        </w:rPr>
        <w:t>guerra,</w:t>
      </w:r>
      <w:r>
        <w:rPr>
          <w:color w:val="000009"/>
          <w:spacing w:val="-7"/>
        </w:rPr>
        <w:t xml:space="preserve"> </w:t>
      </w:r>
      <w:r>
        <w:rPr>
          <w:color w:val="000009"/>
        </w:rPr>
        <w:t>fueron</w:t>
      </w:r>
      <w:r>
        <w:rPr>
          <w:color w:val="000009"/>
          <w:spacing w:val="-6"/>
        </w:rPr>
        <w:t xml:space="preserve"> </w:t>
      </w:r>
      <w:r>
        <w:rPr>
          <w:color w:val="000009"/>
        </w:rPr>
        <w:t>parte</w:t>
      </w:r>
      <w:r>
        <w:rPr>
          <w:color w:val="000009"/>
          <w:spacing w:val="-7"/>
        </w:rPr>
        <w:t xml:space="preserve"> </w:t>
      </w:r>
      <w:r>
        <w:rPr>
          <w:color w:val="000009"/>
        </w:rPr>
        <w:t>de</w:t>
      </w:r>
      <w:r>
        <w:rPr>
          <w:color w:val="000009"/>
          <w:spacing w:val="-6"/>
        </w:rPr>
        <w:t xml:space="preserve"> </w:t>
      </w:r>
      <w:r>
        <w:rPr>
          <w:color w:val="000009"/>
        </w:rPr>
        <w:t xml:space="preserve">las Fuerzas Armadas, de las guerrillas o de grupos paramilitares. A veces, como forma de retaliación, de canalización de la rabia o el odio, de respuesta a la impunidad y la desprotección. La falta de justicia ha operado en muchos casos como un factor de justificación para tomarse la violencia como si fuera «justicia por propia mano», realimentando las venganzas y las interacciones violentas de la guerra. En otros casos, también la ira o el peso de la </w:t>
      </w:r>
      <w:r>
        <w:t>impunidad han sido utilizados políticamente para estimular el conflicto armado. Entender estas circunstancias no es justificar los hechos ni diluir las responsabilidades a las que hubiera lugar, sino una forma de comprender esas otras circunstancias</w:t>
      </w:r>
      <w:r>
        <w:rPr>
          <w:spacing w:val="-3"/>
        </w:rPr>
        <w:t xml:space="preserve"> </w:t>
      </w:r>
      <w:r>
        <w:t>y</w:t>
      </w:r>
      <w:r>
        <w:rPr>
          <w:spacing w:val="-3"/>
        </w:rPr>
        <w:t xml:space="preserve"> </w:t>
      </w:r>
      <w:r>
        <w:t>condiciones</w:t>
      </w:r>
      <w:r>
        <w:rPr>
          <w:spacing w:val="-3"/>
        </w:rPr>
        <w:t xml:space="preserve"> </w:t>
      </w:r>
      <w:r>
        <w:t>que</w:t>
      </w:r>
      <w:r>
        <w:rPr>
          <w:spacing w:val="-3"/>
        </w:rPr>
        <w:t xml:space="preserve"> </w:t>
      </w:r>
      <w:r>
        <w:t>han</w:t>
      </w:r>
      <w:r>
        <w:rPr>
          <w:spacing w:val="-3"/>
        </w:rPr>
        <w:t xml:space="preserve"> </w:t>
      </w:r>
      <w:r>
        <w:t>formado</w:t>
      </w:r>
      <w:r>
        <w:rPr>
          <w:spacing w:val="-3"/>
        </w:rPr>
        <w:t xml:space="preserve"> </w:t>
      </w:r>
      <w:r>
        <w:t>parte</w:t>
      </w:r>
      <w:r>
        <w:rPr>
          <w:spacing w:val="-4"/>
        </w:rPr>
        <w:t xml:space="preserve"> </w:t>
      </w:r>
      <w:r>
        <w:t>de</w:t>
      </w:r>
      <w:r>
        <w:rPr>
          <w:spacing w:val="-4"/>
        </w:rPr>
        <w:t xml:space="preserve"> </w:t>
      </w:r>
      <w:r>
        <w:t>las</w:t>
      </w:r>
      <w:r>
        <w:rPr>
          <w:spacing w:val="-3"/>
        </w:rPr>
        <w:t xml:space="preserve"> </w:t>
      </w:r>
      <w:r>
        <w:t>dinámicas</w:t>
      </w:r>
      <w:r>
        <w:rPr>
          <w:spacing w:val="-3"/>
        </w:rPr>
        <w:t xml:space="preserve"> </w:t>
      </w:r>
      <w:r>
        <w:t>del</w:t>
      </w:r>
      <w:r>
        <w:rPr>
          <w:spacing w:val="-4"/>
        </w:rPr>
        <w:t xml:space="preserve"> </w:t>
      </w:r>
      <w:r>
        <w:t>conflicto</w:t>
      </w:r>
      <w:r>
        <w:rPr>
          <w:spacing w:val="-5"/>
        </w:rPr>
        <w:t xml:space="preserve"> </w:t>
      </w:r>
      <w:r>
        <w:t>armado</w:t>
      </w:r>
      <w:r>
        <w:rPr>
          <w:spacing w:val="-3"/>
        </w:rPr>
        <w:t xml:space="preserve"> </w:t>
      </w:r>
      <w:r>
        <w:t>y que atraviesan una parte de las biografías de víctimas y responsables.</w:t>
      </w:r>
    </w:p>
    <w:p w:rsidR="003804AC" w:rsidRDefault="00AF18A5" w:rsidP="00371C95">
      <w:r>
        <w:t>Algunas</w:t>
      </w:r>
      <w:r>
        <w:rPr>
          <w:spacing w:val="-12"/>
        </w:rPr>
        <w:t xml:space="preserve"> </w:t>
      </w:r>
      <w:r>
        <w:t>víctimas</w:t>
      </w:r>
      <w:r>
        <w:rPr>
          <w:spacing w:val="-12"/>
        </w:rPr>
        <w:t xml:space="preserve"> </w:t>
      </w:r>
      <w:r>
        <w:t>han</w:t>
      </w:r>
      <w:r>
        <w:rPr>
          <w:spacing w:val="-12"/>
        </w:rPr>
        <w:t xml:space="preserve"> </w:t>
      </w:r>
      <w:r>
        <w:t>sido</w:t>
      </w:r>
      <w:r>
        <w:rPr>
          <w:spacing w:val="-12"/>
        </w:rPr>
        <w:t xml:space="preserve"> </w:t>
      </w:r>
      <w:r>
        <w:t>presentadas</w:t>
      </w:r>
      <w:r>
        <w:rPr>
          <w:spacing w:val="-12"/>
        </w:rPr>
        <w:t xml:space="preserve"> </w:t>
      </w:r>
      <w:r>
        <w:t>en</w:t>
      </w:r>
      <w:r>
        <w:rPr>
          <w:spacing w:val="-12"/>
        </w:rPr>
        <w:t xml:space="preserve"> </w:t>
      </w:r>
      <w:r>
        <w:t>medios</w:t>
      </w:r>
      <w:r>
        <w:rPr>
          <w:spacing w:val="-12"/>
        </w:rPr>
        <w:t xml:space="preserve"> </w:t>
      </w:r>
      <w:r>
        <w:t>de</w:t>
      </w:r>
      <w:r>
        <w:rPr>
          <w:spacing w:val="-12"/>
        </w:rPr>
        <w:t xml:space="preserve"> </w:t>
      </w:r>
      <w:r>
        <w:t>comunicación</w:t>
      </w:r>
      <w:r>
        <w:rPr>
          <w:spacing w:val="-12"/>
        </w:rPr>
        <w:t xml:space="preserve"> </w:t>
      </w:r>
      <w:r>
        <w:t>o</w:t>
      </w:r>
      <w:r>
        <w:rPr>
          <w:spacing w:val="-12"/>
        </w:rPr>
        <w:t xml:space="preserve"> </w:t>
      </w:r>
      <w:r>
        <w:t>a</w:t>
      </w:r>
      <w:r>
        <w:rPr>
          <w:spacing w:val="-12"/>
        </w:rPr>
        <w:t xml:space="preserve"> </w:t>
      </w:r>
      <w:r>
        <w:t>través</w:t>
      </w:r>
      <w:r>
        <w:rPr>
          <w:spacing w:val="-12"/>
        </w:rPr>
        <w:t xml:space="preserve"> </w:t>
      </w:r>
      <w:r>
        <w:t>de</w:t>
      </w:r>
      <w:r>
        <w:rPr>
          <w:spacing w:val="-12"/>
        </w:rPr>
        <w:t xml:space="preserve"> </w:t>
      </w:r>
      <w:r>
        <w:t xml:space="preserve">discursos de líderes políticos como íconos del impacto en la guerra y esto ha sido utilizado para justificar la agudización del conflicto, </w:t>
      </w:r>
      <w:r>
        <w:lastRenderedPageBreak/>
        <w:t xml:space="preserve">el cierre de las iniciativas de paz o la estigmatización </w:t>
      </w:r>
      <w:r>
        <w:rPr>
          <w:spacing w:val="-2"/>
        </w:rPr>
        <w:t>de</w:t>
      </w:r>
      <w:r>
        <w:rPr>
          <w:spacing w:val="-4"/>
        </w:rPr>
        <w:t xml:space="preserve"> </w:t>
      </w:r>
      <w:r>
        <w:rPr>
          <w:spacing w:val="-2"/>
        </w:rPr>
        <w:t>diferentes</w:t>
      </w:r>
      <w:r>
        <w:rPr>
          <w:spacing w:val="-6"/>
        </w:rPr>
        <w:t xml:space="preserve"> </w:t>
      </w:r>
      <w:r>
        <w:rPr>
          <w:spacing w:val="-2"/>
        </w:rPr>
        <w:t>colectivos.</w:t>
      </w:r>
      <w:r>
        <w:rPr>
          <w:spacing w:val="-6"/>
        </w:rPr>
        <w:t xml:space="preserve"> </w:t>
      </w:r>
      <w:r>
        <w:rPr>
          <w:spacing w:val="-2"/>
        </w:rPr>
        <w:t>La</w:t>
      </w:r>
      <w:r>
        <w:rPr>
          <w:spacing w:val="-4"/>
        </w:rPr>
        <w:t xml:space="preserve"> </w:t>
      </w:r>
      <w:r>
        <w:rPr>
          <w:spacing w:val="-2"/>
        </w:rPr>
        <w:t>activación</w:t>
      </w:r>
      <w:r>
        <w:rPr>
          <w:spacing w:val="-4"/>
        </w:rPr>
        <w:t xml:space="preserve"> </w:t>
      </w:r>
      <w:r>
        <w:rPr>
          <w:spacing w:val="-2"/>
        </w:rPr>
        <w:t>de</w:t>
      </w:r>
      <w:r>
        <w:rPr>
          <w:spacing w:val="-4"/>
        </w:rPr>
        <w:t xml:space="preserve"> </w:t>
      </w:r>
      <w:r>
        <w:rPr>
          <w:spacing w:val="-2"/>
        </w:rPr>
        <w:t>reacciones</w:t>
      </w:r>
      <w:r>
        <w:rPr>
          <w:spacing w:val="-4"/>
        </w:rPr>
        <w:t xml:space="preserve"> </w:t>
      </w:r>
      <w:r>
        <w:rPr>
          <w:spacing w:val="-2"/>
        </w:rPr>
        <w:t>emocionales</w:t>
      </w:r>
      <w:r>
        <w:rPr>
          <w:spacing w:val="-4"/>
        </w:rPr>
        <w:t xml:space="preserve"> </w:t>
      </w:r>
      <w:r>
        <w:rPr>
          <w:spacing w:val="-2"/>
        </w:rPr>
        <w:t>y</w:t>
      </w:r>
      <w:r>
        <w:rPr>
          <w:spacing w:val="-6"/>
        </w:rPr>
        <w:t xml:space="preserve"> </w:t>
      </w:r>
      <w:r>
        <w:rPr>
          <w:spacing w:val="-2"/>
        </w:rPr>
        <w:t>los</w:t>
      </w:r>
      <w:r>
        <w:rPr>
          <w:spacing w:val="-4"/>
        </w:rPr>
        <w:t xml:space="preserve"> </w:t>
      </w:r>
      <w:r>
        <w:rPr>
          <w:spacing w:val="-2"/>
        </w:rPr>
        <w:t>discursos</w:t>
      </w:r>
      <w:r>
        <w:rPr>
          <w:spacing w:val="-4"/>
        </w:rPr>
        <w:t xml:space="preserve"> </w:t>
      </w:r>
      <w:r>
        <w:rPr>
          <w:spacing w:val="-2"/>
        </w:rPr>
        <w:t>del</w:t>
      </w:r>
      <w:r>
        <w:rPr>
          <w:spacing w:val="-6"/>
        </w:rPr>
        <w:t xml:space="preserve"> </w:t>
      </w:r>
      <w:r>
        <w:rPr>
          <w:spacing w:val="-2"/>
        </w:rPr>
        <w:t xml:space="preserve">enemigo </w:t>
      </w:r>
      <w:r>
        <w:t>han</w:t>
      </w:r>
      <w:r>
        <w:rPr>
          <w:spacing w:val="-9"/>
        </w:rPr>
        <w:t xml:space="preserve"> </w:t>
      </w:r>
      <w:r>
        <w:t>llevado</w:t>
      </w:r>
      <w:r>
        <w:rPr>
          <w:spacing w:val="-11"/>
        </w:rPr>
        <w:t xml:space="preserve"> </w:t>
      </w:r>
      <w:r>
        <w:t>a</w:t>
      </w:r>
      <w:r>
        <w:rPr>
          <w:spacing w:val="-9"/>
        </w:rPr>
        <w:t xml:space="preserve"> </w:t>
      </w:r>
      <w:r>
        <w:t>veces</w:t>
      </w:r>
      <w:r>
        <w:rPr>
          <w:spacing w:val="-9"/>
        </w:rPr>
        <w:t xml:space="preserve"> </w:t>
      </w:r>
      <w:r>
        <w:t>a</w:t>
      </w:r>
      <w:r>
        <w:rPr>
          <w:spacing w:val="-9"/>
        </w:rPr>
        <w:t xml:space="preserve"> </w:t>
      </w:r>
      <w:r>
        <w:t>reforzar</w:t>
      </w:r>
      <w:r>
        <w:rPr>
          <w:spacing w:val="-9"/>
        </w:rPr>
        <w:t xml:space="preserve"> </w:t>
      </w:r>
      <w:r>
        <w:t>planteamientos</w:t>
      </w:r>
      <w:r>
        <w:rPr>
          <w:spacing w:val="-9"/>
        </w:rPr>
        <w:t xml:space="preserve"> </w:t>
      </w:r>
      <w:r>
        <w:t>políticos</w:t>
      </w:r>
      <w:r>
        <w:rPr>
          <w:spacing w:val="-9"/>
        </w:rPr>
        <w:t xml:space="preserve"> </w:t>
      </w:r>
      <w:r>
        <w:t>rígidos</w:t>
      </w:r>
      <w:r>
        <w:rPr>
          <w:spacing w:val="-9"/>
        </w:rPr>
        <w:t xml:space="preserve"> </w:t>
      </w:r>
      <w:r>
        <w:t>que</w:t>
      </w:r>
      <w:r>
        <w:rPr>
          <w:spacing w:val="-9"/>
        </w:rPr>
        <w:t xml:space="preserve"> </w:t>
      </w:r>
      <w:r>
        <w:t>no</w:t>
      </w:r>
      <w:r>
        <w:rPr>
          <w:spacing w:val="-9"/>
        </w:rPr>
        <w:t xml:space="preserve"> </w:t>
      </w:r>
      <w:r>
        <w:t>han</w:t>
      </w:r>
      <w:r>
        <w:rPr>
          <w:spacing w:val="-9"/>
        </w:rPr>
        <w:t xml:space="preserve"> </w:t>
      </w:r>
      <w:r>
        <w:t>permitido</w:t>
      </w:r>
      <w:r>
        <w:rPr>
          <w:spacing w:val="-9"/>
        </w:rPr>
        <w:t xml:space="preserve"> </w:t>
      </w:r>
      <w:r>
        <w:t>analizar lo sucedido o tener mayor capacidad de diálogo y análisis.</w:t>
      </w:r>
    </w:p>
    <w:p w:rsidR="003804AC" w:rsidRDefault="00AF18A5" w:rsidP="00371C95">
      <w:r>
        <w:t>En los contextos de fuerte polarización social, como los que caracterizan a Colombia, la pregunta o</w:t>
      </w:r>
      <w:r>
        <w:rPr>
          <w:spacing w:val="-1"/>
        </w:rPr>
        <w:t xml:space="preserve"> </w:t>
      </w:r>
      <w:r>
        <w:t>consideración</w:t>
      </w:r>
      <w:r>
        <w:rPr>
          <w:spacing w:val="-1"/>
        </w:rPr>
        <w:t xml:space="preserve"> </w:t>
      </w:r>
      <w:r>
        <w:t>sobre de «qué lado estás» ha sustituido muchas</w:t>
      </w:r>
      <w:r>
        <w:rPr>
          <w:spacing w:val="-1"/>
        </w:rPr>
        <w:t xml:space="preserve"> </w:t>
      </w:r>
      <w:r>
        <w:t>veces a</w:t>
      </w:r>
      <w:r>
        <w:rPr>
          <w:spacing w:val="-1"/>
        </w:rPr>
        <w:t xml:space="preserve"> </w:t>
      </w:r>
      <w:r>
        <w:t>la de</w:t>
      </w:r>
      <w:r>
        <w:rPr>
          <w:spacing w:val="-1"/>
        </w:rPr>
        <w:t xml:space="preserve"> </w:t>
      </w:r>
      <w:r>
        <w:t>«qué dices».</w:t>
      </w:r>
      <w:r>
        <w:rPr>
          <w:spacing w:val="-7"/>
        </w:rPr>
        <w:t xml:space="preserve"> </w:t>
      </w:r>
      <w:r>
        <w:t>Las</w:t>
      </w:r>
      <w:r>
        <w:rPr>
          <w:spacing w:val="-8"/>
        </w:rPr>
        <w:t xml:space="preserve"> </w:t>
      </w:r>
      <w:r>
        <w:t>respuestas</w:t>
      </w:r>
      <w:r>
        <w:rPr>
          <w:spacing w:val="-7"/>
        </w:rPr>
        <w:t xml:space="preserve"> </w:t>
      </w:r>
      <w:r>
        <w:t>han</w:t>
      </w:r>
      <w:r>
        <w:rPr>
          <w:spacing w:val="-7"/>
        </w:rPr>
        <w:t xml:space="preserve"> </w:t>
      </w:r>
      <w:r>
        <w:t>estado</w:t>
      </w:r>
      <w:r>
        <w:rPr>
          <w:spacing w:val="-8"/>
        </w:rPr>
        <w:t xml:space="preserve"> </w:t>
      </w:r>
      <w:r>
        <w:t>marcadas</w:t>
      </w:r>
      <w:r>
        <w:rPr>
          <w:spacing w:val="-7"/>
        </w:rPr>
        <w:t xml:space="preserve"> </w:t>
      </w:r>
      <w:r>
        <w:t>por</w:t>
      </w:r>
      <w:r>
        <w:rPr>
          <w:spacing w:val="-7"/>
        </w:rPr>
        <w:t xml:space="preserve"> </w:t>
      </w:r>
      <w:r>
        <w:t>una</w:t>
      </w:r>
      <w:r>
        <w:rPr>
          <w:spacing w:val="-7"/>
        </w:rPr>
        <w:t xml:space="preserve"> </w:t>
      </w:r>
      <w:r>
        <w:t>fuerte</w:t>
      </w:r>
      <w:r>
        <w:rPr>
          <w:spacing w:val="-8"/>
        </w:rPr>
        <w:t xml:space="preserve"> </w:t>
      </w:r>
      <w:r>
        <w:t>reacción</w:t>
      </w:r>
      <w:r>
        <w:rPr>
          <w:spacing w:val="-7"/>
        </w:rPr>
        <w:t xml:space="preserve"> </w:t>
      </w:r>
      <w:r>
        <w:t>emocional</w:t>
      </w:r>
      <w:r>
        <w:rPr>
          <w:spacing w:val="-7"/>
        </w:rPr>
        <w:t xml:space="preserve"> </w:t>
      </w:r>
      <w:r>
        <w:t>de</w:t>
      </w:r>
      <w:r>
        <w:rPr>
          <w:spacing w:val="-7"/>
        </w:rPr>
        <w:t xml:space="preserve"> </w:t>
      </w:r>
      <w:r>
        <w:t>aceptación o</w:t>
      </w:r>
      <w:r>
        <w:rPr>
          <w:spacing w:val="-10"/>
        </w:rPr>
        <w:t xml:space="preserve"> </w:t>
      </w:r>
      <w:r>
        <w:t>rechazo</w:t>
      </w:r>
      <w:r>
        <w:rPr>
          <w:spacing w:val="-7"/>
        </w:rPr>
        <w:t xml:space="preserve"> </w:t>
      </w:r>
      <w:r>
        <w:t>que</w:t>
      </w:r>
      <w:r>
        <w:rPr>
          <w:spacing w:val="-7"/>
        </w:rPr>
        <w:t xml:space="preserve"> </w:t>
      </w:r>
      <w:r>
        <w:t>se</w:t>
      </w:r>
      <w:r>
        <w:rPr>
          <w:spacing w:val="-7"/>
        </w:rPr>
        <w:t xml:space="preserve"> </w:t>
      </w:r>
      <w:r>
        <w:t>dirige</w:t>
      </w:r>
      <w:r>
        <w:rPr>
          <w:spacing w:val="-7"/>
        </w:rPr>
        <w:t xml:space="preserve"> </w:t>
      </w:r>
      <w:r>
        <w:t>contra</w:t>
      </w:r>
      <w:r>
        <w:rPr>
          <w:spacing w:val="-9"/>
        </w:rPr>
        <w:t xml:space="preserve"> </w:t>
      </w:r>
      <w:r>
        <w:t>todo</w:t>
      </w:r>
      <w:r>
        <w:rPr>
          <w:spacing w:val="-7"/>
        </w:rPr>
        <w:t xml:space="preserve"> </w:t>
      </w:r>
      <w:r>
        <w:t>un</w:t>
      </w:r>
      <w:r>
        <w:rPr>
          <w:spacing w:val="-7"/>
        </w:rPr>
        <w:t xml:space="preserve"> </w:t>
      </w:r>
      <w:r>
        <w:t>grupo</w:t>
      </w:r>
      <w:r>
        <w:rPr>
          <w:spacing w:val="-7"/>
        </w:rPr>
        <w:t xml:space="preserve"> </w:t>
      </w:r>
      <w:r>
        <w:t>al</w:t>
      </w:r>
      <w:r>
        <w:rPr>
          <w:spacing w:val="-8"/>
        </w:rPr>
        <w:t xml:space="preserve"> </w:t>
      </w:r>
      <w:r>
        <w:t>que</w:t>
      </w:r>
      <w:r>
        <w:rPr>
          <w:spacing w:val="-7"/>
        </w:rPr>
        <w:t xml:space="preserve"> </w:t>
      </w:r>
      <w:r>
        <w:t>se</w:t>
      </w:r>
      <w:r>
        <w:rPr>
          <w:spacing w:val="-8"/>
        </w:rPr>
        <w:t xml:space="preserve"> </w:t>
      </w:r>
      <w:r>
        <w:t>identifica</w:t>
      </w:r>
      <w:r>
        <w:rPr>
          <w:spacing w:val="-7"/>
        </w:rPr>
        <w:t xml:space="preserve"> </w:t>
      </w:r>
      <w:r>
        <w:t>con</w:t>
      </w:r>
      <w:r>
        <w:rPr>
          <w:spacing w:val="-9"/>
        </w:rPr>
        <w:t xml:space="preserve"> </w:t>
      </w:r>
      <w:r>
        <w:t>los</w:t>
      </w:r>
      <w:r>
        <w:rPr>
          <w:spacing w:val="-7"/>
        </w:rPr>
        <w:t xml:space="preserve"> </w:t>
      </w:r>
      <w:r>
        <w:t>responsables.</w:t>
      </w:r>
      <w:r>
        <w:rPr>
          <w:spacing w:val="-10"/>
        </w:rPr>
        <w:t xml:space="preserve"> </w:t>
      </w:r>
      <w:r>
        <w:t>De</w:t>
      </w:r>
      <w:r>
        <w:rPr>
          <w:spacing w:val="-7"/>
        </w:rPr>
        <w:t xml:space="preserve"> </w:t>
      </w:r>
      <w:r>
        <w:rPr>
          <w:spacing w:val="-5"/>
        </w:rPr>
        <w:t>esa</w:t>
      </w:r>
      <w:r w:rsidR="00371C95">
        <w:rPr>
          <w:spacing w:val="-5"/>
        </w:rPr>
        <w:t xml:space="preserve"> </w:t>
      </w:r>
      <w:r>
        <w:t>forma, incluso instituciones sociales o comunitarias, como iglesias, familias, escuelas o comunidades,</w:t>
      </w:r>
      <w:r>
        <w:rPr>
          <w:spacing w:val="-7"/>
        </w:rPr>
        <w:t xml:space="preserve"> </w:t>
      </w:r>
      <w:r>
        <w:t>se</w:t>
      </w:r>
      <w:r>
        <w:rPr>
          <w:spacing w:val="-7"/>
        </w:rPr>
        <w:t xml:space="preserve"> </w:t>
      </w:r>
      <w:r>
        <w:t>han</w:t>
      </w:r>
      <w:r>
        <w:rPr>
          <w:spacing w:val="-7"/>
        </w:rPr>
        <w:t xml:space="preserve"> </w:t>
      </w:r>
      <w:r>
        <w:t>visto</w:t>
      </w:r>
      <w:r>
        <w:rPr>
          <w:spacing w:val="-7"/>
        </w:rPr>
        <w:t xml:space="preserve"> </w:t>
      </w:r>
      <w:r>
        <w:t>obligadas</w:t>
      </w:r>
      <w:r>
        <w:rPr>
          <w:spacing w:val="-8"/>
        </w:rPr>
        <w:t xml:space="preserve"> </w:t>
      </w:r>
      <w:r>
        <w:t>a</w:t>
      </w:r>
      <w:r>
        <w:rPr>
          <w:spacing w:val="-7"/>
        </w:rPr>
        <w:t xml:space="preserve"> </w:t>
      </w:r>
      <w:r>
        <w:t>posicionarse</w:t>
      </w:r>
      <w:r>
        <w:rPr>
          <w:spacing w:val="-7"/>
        </w:rPr>
        <w:t xml:space="preserve"> </w:t>
      </w:r>
      <w:r>
        <w:t>en</w:t>
      </w:r>
      <w:r>
        <w:rPr>
          <w:spacing w:val="-7"/>
        </w:rPr>
        <w:t xml:space="preserve"> </w:t>
      </w:r>
      <w:r>
        <w:t>un</w:t>
      </w:r>
      <w:r>
        <w:rPr>
          <w:spacing w:val="-7"/>
        </w:rPr>
        <w:t xml:space="preserve"> </w:t>
      </w:r>
      <w:r>
        <w:t>polo</w:t>
      </w:r>
      <w:r>
        <w:rPr>
          <w:spacing w:val="-7"/>
        </w:rPr>
        <w:t xml:space="preserve"> </w:t>
      </w:r>
      <w:r>
        <w:t>del</w:t>
      </w:r>
      <w:r>
        <w:rPr>
          <w:spacing w:val="-7"/>
        </w:rPr>
        <w:t xml:space="preserve"> </w:t>
      </w:r>
      <w:r>
        <w:t>conflicto</w:t>
      </w:r>
      <w:r>
        <w:rPr>
          <w:spacing w:val="-7"/>
        </w:rPr>
        <w:t xml:space="preserve"> </w:t>
      </w:r>
      <w:r>
        <w:t>en</w:t>
      </w:r>
      <w:r>
        <w:rPr>
          <w:spacing w:val="-7"/>
        </w:rPr>
        <w:t xml:space="preserve"> </w:t>
      </w:r>
      <w:r>
        <w:t>lugar</w:t>
      </w:r>
      <w:r>
        <w:rPr>
          <w:spacing w:val="-7"/>
        </w:rPr>
        <w:t xml:space="preserve"> </w:t>
      </w:r>
      <w:r>
        <w:t>de</w:t>
      </w:r>
      <w:r>
        <w:rPr>
          <w:spacing w:val="-7"/>
        </w:rPr>
        <w:t xml:space="preserve"> </w:t>
      </w:r>
      <w:r>
        <w:t>abrir espacios para el diálogo y la búsqueda compartida de salidas.</w:t>
      </w:r>
    </w:p>
    <w:p w:rsidR="003804AC" w:rsidRDefault="00AF18A5" w:rsidP="00371C95">
      <w:r>
        <w:t>Esta</w:t>
      </w:r>
      <w:r>
        <w:rPr>
          <w:spacing w:val="-5"/>
        </w:rPr>
        <w:t xml:space="preserve"> </w:t>
      </w:r>
      <w:r>
        <w:t>polarización</w:t>
      </w:r>
      <w:r>
        <w:rPr>
          <w:spacing w:val="-5"/>
        </w:rPr>
        <w:t xml:space="preserve"> </w:t>
      </w:r>
      <w:r>
        <w:t>es</w:t>
      </w:r>
      <w:r>
        <w:rPr>
          <w:spacing w:val="-5"/>
        </w:rPr>
        <w:t xml:space="preserve"> </w:t>
      </w:r>
      <w:r>
        <w:t>parte</w:t>
      </w:r>
      <w:r>
        <w:rPr>
          <w:spacing w:val="-5"/>
        </w:rPr>
        <w:t xml:space="preserve"> </w:t>
      </w:r>
      <w:r>
        <w:t>de</w:t>
      </w:r>
      <w:r>
        <w:rPr>
          <w:spacing w:val="-5"/>
        </w:rPr>
        <w:t xml:space="preserve"> </w:t>
      </w:r>
      <w:r>
        <w:t>los</w:t>
      </w:r>
      <w:r>
        <w:rPr>
          <w:spacing w:val="-6"/>
        </w:rPr>
        <w:t xml:space="preserve"> </w:t>
      </w:r>
      <w:r>
        <w:t>impactos</w:t>
      </w:r>
      <w:r>
        <w:rPr>
          <w:spacing w:val="-5"/>
        </w:rPr>
        <w:t xml:space="preserve"> </w:t>
      </w:r>
      <w:r>
        <w:t>de</w:t>
      </w:r>
      <w:r>
        <w:rPr>
          <w:spacing w:val="-5"/>
        </w:rPr>
        <w:t xml:space="preserve"> </w:t>
      </w:r>
      <w:r>
        <w:t>la</w:t>
      </w:r>
      <w:r>
        <w:rPr>
          <w:spacing w:val="-6"/>
        </w:rPr>
        <w:t xml:space="preserve"> </w:t>
      </w:r>
      <w:r>
        <w:t>guerra</w:t>
      </w:r>
      <w:r>
        <w:rPr>
          <w:spacing w:val="-6"/>
        </w:rPr>
        <w:t xml:space="preserve"> </w:t>
      </w:r>
      <w:r>
        <w:t>en</w:t>
      </w:r>
      <w:r>
        <w:rPr>
          <w:spacing w:val="-5"/>
        </w:rPr>
        <w:t xml:space="preserve"> </w:t>
      </w:r>
      <w:r>
        <w:t>la</w:t>
      </w:r>
      <w:r>
        <w:rPr>
          <w:spacing w:val="-5"/>
        </w:rPr>
        <w:t xml:space="preserve"> </w:t>
      </w:r>
      <w:r>
        <w:t>sociedad</w:t>
      </w:r>
      <w:r>
        <w:rPr>
          <w:spacing w:val="-5"/>
        </w:rPr>
        <w:t xml:space="preserve"> </w:t>
      </w:r>
      <w:r>
        <w:t>y</w:t>
      </w:r>
      <w:r>
        <w:rPr>
          <w:spacing w:val="-6"/>
        </w:rPr>
        <w:t xml:space="preserve"> </w:t>
      </w:r>
      <w:r>
        <w:t>hace</w:t>
      </w:r>
      <w:r>
        <w:rPr>
          <w:spacing w:val="-5"/>
        </w:rPr>
        <w:t xml:space="preserve"> </w:t>
      </w:r>
      <w:r>
        <w:t>difícil</w:t>
      </w:r>
      <w:r>
        <w:rPr>
          <w:spacing w:val="-4"/>
        </w:rPr>
        <w:t xml:space="preserve"> </w:t>
      </w:r>
      <w:r>
        <w:t>hablar de lo sucedido, abordar</w:t>
      </w:r>
      <w:r>
        <w:rPr>
          <w:spacing w:val="-1"/>
        </w:rPr>
        <w:t xml:space="preserve"> </w:t>
      </w:r>
      <w:r>
        <w:t>las consecuencias sufridas o simplemente hablar</w:t>
      </w:r>
      <w:r>
        <w:rPr>
          <w:spacing w:val="-2"/>
        </w:rPr>
        <w:t xml:space="preserve"> </w:t>
      </w:r>
      <w:r>
        <w:t>de política,</w:t>
      </w:r>
      <w:r>
        <w:rPr>
          <w:spacing w:val="-1"/>
        </w:rPr>
        <w:t xml:space="preserve"> </w:t>
      </w:r>
      <w:r>
        <w:t>porque frecuentemente se pasa a la disputa o la descalificación del otro, de las posiciones que defiende, del grupo o los grupos a los que pertenece y, por extensión, del resto de sus miembros. Las relaciones sociales o familiares se ven así afectadas por el conflicto. El lenguaje, los estereotipos del otro o los posicionamientos de líderes políticos terminan condicionando el diálogo y hacen que muchas familias o amigos se refugien en el silencio. Como señaló un joven hijo de un dirigente del Ejército Popular de Liberación (EPL) en el exilio al regresar a Colombia y hablar con su tío, considerado uribista, quien le decía que mejor</w:t>
      </w:r>
      <w:r>
        <w:rPr>
          <w:spacing w:val="-4"/>
        </w:rPr>
        <w:t xml:space="preserve"> </w:t>
      </w:r>
      <w:r>
        <w:t>no</w:t>
      </w:r>
      <w:r>
        <w:rPr>
          <w:spacing w:val="-5"/>
        </w:rPr>
        <w:t xml:space="preserve"> </w:t>
      </w:r>
      <w:r>
        <w:t>hablaran</w:t>
      </w:r>
      <w:r>
        <w:rPr>
          <w:spacing w:val="-6"/>
        </w:rPr>
        <w:t xml:space="preserve"> </w:t>
      </w:r>
      <w:r>
        <w:t>de</w:t>
      </w:r>
      <w:r>
        <w:rPr>
          <w:spacing w:val="-5"/>
        </w:rPr>
        <w:t xml:space="preserve"> </w:t>
      </w:r>
      <w:r>
        <w:t>política</w:t>
      </w:r>
      <w:r>
        <w:rPr>
          <w:spacing w:val="-6"/>
        </w:rPr>
        <w:t xml:space="preserve"> </w:t>
      </w:r>
      <w:r>
        <w:t>en</w:t>
      </w:r>
      <w:r>
        <w:rPr>
          <w:spacing w:val="-5"/>
        </w:rPr>
        <w:t xml:space="preserve"> </w:t>
      </w:r>
      <w:r>
        <w:t>casa:</w:t>
      </w:r>
      <w:r>
        <w:rPr>
          <w:spacing w:val="-4"/>
        </w:rPr>
        <w:t xml:space="preserve"> </w:t>
      </w:r>
      <w:r>
        <w:t>«Tío,</w:t>
      </w:r>
      <w:r>
        <w:rPr>
          <w:spacing w:val="-6"/>
        </w:rPr>
        <w:t xml:space="preserve"> </w:t>
      </w:r>
      <w:r>
        <w:t>sí,</w:t>
      </w:r>
      <w:r>
        <w:rPr>
          <w:spacing w:val="-6"/>
        </w:rPr>
        <w:t xml:space="preserve"> </w:t>
      </w:r>
      <w:r>
        <w:t>hablemos;</w:t>
      </w:r>
      <w:r>
        <w:rPr>
          <w:spacing w:val="-6"/>
        </w:rPr>
        <w:t xml:space="preserve"> </w:t>
      </w:r>
      <w:r>
        <w:t>él</w:t>
      </w:r>
      <w:r>
        <w:rPr>
          <w:spacing w:val="-6"/>
        </w:rPr>
        <w:t xml:space="preserve"> </w:t>
      </w:r>
      <w:r>
        <w:t>era</w:t>
      </w:r>
      <w:r>
        <w:rPr>
          <w:spacing w:val="-6"/>
        </w:rPr>
        <w:t xml:space="preserve"> </w:t>
      </w:r>
      <w:r>
        <w:t>tu</w:t>
      </w:r>
      <w:r>
        <w:rPr>
          <w:spacing w:val="-5"/>
        </w:rPr>
        <w:t xml:space="preserve"> </w:t>
      </w:r>
      <w:r>
        <w:t>hermano,</w:t>
      </w:r>
      <w:r>
        <w:rPr>
          <w:spacing w:val="-5"/>
        </w:rPr>
        <w:t xml:space="preserve"> </w:t>
      </w:r>
      <w:r>
        <w:t>¿cómo</w:t>
      </w:r>
      <w:r>
        <w:rPr>
          <w:spacing w:val="-6"/>
        </w:rPr>
        <w:t xml:space="preserve"> </w:t>
      </w:r>
      <w:r>
        <w:t>vamos</w:t>
      </w:r>
      <w:r>
        <w:rPr>
          <w:spacing w:val="-5"/>
        </w:rPr>
        <w:t xml:space="preserve"> </w:t>
      </w:r>
      <w:r>
        <w:t>a procesar lo vivido si no hablamos?».</w:t>
      </w:r>
    </w:p>
    <w:p w:rsidR="003804AC" w:rsidRDefault="00AF18A5" w:rsidP="00371C95">
      <w:r>
        <w:lastRenderedPageBreak/>
        <w:t>Las</w:t>
      </w:r>
      <w:r>
        <w:rPr>
          <w:spacing w:val="-15"/>
        </w:rPr>
        <w:t xml:space="preserve"> </w:t>
      </w:r>
      <w:r>
        <w:t>memorias</w:t>
      </w:r>
      <w:r>
        <w:rPr>
          <w:spacing w:val="-15"/>
        </w:rPr>
        <w:t xml:space="preserve"> </w:t>
      </w:r>
      <w:r>
        <w:t>traumáticas</w:t>
      </w:r>
      <w:r>
        <w:rPr>
          <w:spacing w:val="-15"/>
        </w:rPr>
        <w:t xml:space="preserve"> </w:t>
      </w:r>
      <w:r>
        <w:t>sobre</w:t>
      </w:r>
      <w:r>
        <w:rPr>
          <w:spacing w:val="-15"/>
        </w:rPr>
        <w:t xml:space="preserve"> </w:t>
      </w:r>
      <w:r>
        <w:t>hechos</w:t>
      </w:r>
      <w:r>
        <w:rPr>
          <w:spacing w:val="-15"/>
        </w:rPr>
        <w:t xml:space="preserve"> </w:t>
      </w:r>
      <w:r>
        <w:t>de</w:t>
      </w:r>
      <w:r>
        <w:rPr>
          <w:spacing w:val="-15"/>
        </w:rPr>
        <w:t xml:space="preserve"> </w:t>
      </w:r>
      <w:r>
        <w:t>violencia</w:t>
      </w:r>
      <w:r>
        <w:rPr>
          <w:spacing w:val="-15"/>
        </w:rPr>
        <w:t xml:space="preserve"> </w:t>
      </w:r>
      <w:r>
        <w:t>sufridos</w:t>
      </w:r>
      <w:r>
        <w:rPr>
          <w:spacing w:val="-15"/>
        </w:rPr>
        <w:t xml:space="preserve"> </w:t>
      </w:r>
      <w:r>
        <w:t>o</w:t>
      </w:r>
      <w:r>
        <w:rPr>
          <w:spacing w:val="-15"/>
        </w:rPr>
        <w:t xml:space="preserve"> </w:t>
      </w:r>
      <w:r>
        <w:t>la</w:t>
      </w:r>
      <w:r>
        <w:rPr>
          <w:spacing w:val="-15"/>
        </w:rPr>
        <w:t xml:space="preserve"> </w:t>
      </w:r>
      <w:r>
        <w:t>participación</w:t>
      </w:r>
      <w:r>
        <w:rPr>
          <w:spacing w:val="-15"/>
        </w:rPr>
        <w:t xml:space="preserve"> </w:t>
      </w:r>
      <w:r>
        <w:t>de</w:t>
      </w:r>
      <w:r>
        <w:rPr>
          <w:spacing w:val="-15"/>
        </w:rPr>
        <w:t xml:space="preserve"> </w:t>
      </w:r>
      <w:r>
        <w:t>algunos familiares en grupos armados del conflicto, suponen una enorme dificultad de hablar de lo vivido,</w:t>
      </w:r>
      <w:r>
        <w:rPr>
          <w:spacing w:val="-11"/>
        </w:rPr>
        <w:t xml:space="preserve"> </w:t>
      </w:r>
      <w:r>
        <w:t>y</w:t>
      </w:r>
      <w:r>
        <w:rPr>
          <w:spacing w:val="-11"/>
        </w:rPr>
        <w:t xml:space="preserve"> </w:t>
      </w:r>
      <w:r>
        <w:t>a</w:t>
      </w:r>
      <w:r>
        <w:rPr>
          <w:spacing w:val="-11"/>
        </w:rPr>
        <w:t xml:space="preserve"> </w:t>
      </w:r>
      <w:r>
        <w:t>la</w:t>
      </w:r>
      <w:r>
        <w:rPr>
          <w:spacing w:val="-12"/>
        </w:rPr>
        <w:t xml:space="preserve"> </w:t>
      </w:r>
      <w:r>
        <w:t>vez</w:t>
      </w:r>
      <w:r>
        <w:rPr>
          <w:spacing w:val="-11"/>
        </w:rPr>
        <w:t xml:space="preserve"> </w:t>
      </w:r>
      <w:r>
        <w:t>lo</w:t>
      </w:r>
      <w:r>
        <w:rPr>
          <w:spacing w:val="-11"/>
        </w:rPr>
        <w:t xml:space="preserve"> </w:t>
      </w:r>
      <w:r>
        <w:t>hacen</w:t>
      </w:r>
      <w:r>
        <w:rPr>
          <w:spacing w:val="-11"/>
        </w:rPr>
        <w:t xml:space="preserve"> </w:t>
      </w:r>
      <w:r>
        <w:t>imprescindible,</w:t>
      </w:r>
      <w:r>
        <w:rPr>
          <w:spacing w:val="-11"/>
        </w:rPr>
        <w:t xml:space="preserve"> </w:t>
      </w:r>
      <w:r>
        <w:t>necesario</w:t>
      </w:r>
      <w:r>
        <w:rPr>
          <w:spacing w:val="-11"/>
        </w:rPr>
        <w:t xml:space="preserve"> </w:t>
      </w:r>
      <w:r>
        <w:t>en</w:t>
      </w:r>
      <w:r>
        <w:rPr>
          <w:spacing w:val="-12"/>
        </w:rPr>
        <w:t xml:space="preserve"> </w:t>
      </w:r>
      <w:r>
        <w:t>los</w:t>
      </w:r>
      <w:r>
        <w:rPr>
          <w:spacing w:val="-11"/>
        </w:rPr>
        <w:t xml:space="preserve"> </w:t>
      </w:r>
      <w:r>
        <w:t>procesos</w:t>
      </w:r>
      <w:r>
        <w:rPr>
          <w:spacing w:val="-11"/>
        </w:rPr>
        <w:t xml:space="preserve"> </w:t>
      </w:r>
      <w:r>
        <w:t>de</w:t>
      </w:r>
      <w:r>
        <w:rPr>
          <w:spacing w:val="-12"/>
        </w:rPr>
        <w:t xml:space="preserve"> </w:t>
      </w:r>
      <w:r>
        <w:t>reconstrucción</w:t>
      </w:r>
      <w:r>
        <w:rPr>
          <w:spacing w:val="-11"/>
        </w:rPr>
        <w:t xml:space="preserve"> </w:t>
      </w:r>
      <w:r>
        <w:t>de</w:t>
      </w:r>
      <w:r>
        <w:rPr>
          <w:spacing w:val="-11"/>
        </w:rPr>
        <w:t xml:space="preserve"> </w:t>
      </w:r>
      <w:r>
        <w:t>ese tejido social para desafiar los desgarros y silencios que se han mantenido durante décadas. En</w:t>
      </w:r>
      <w:r>
        <w:rPr>
          <w:spacing w:val="-13"/>
        </w:rPr>
        <w:t xml:space="preserve"> </w:t>
      </w:r>
      <w:r>
        <w:t>otros</w:t>
      </w:r>
      <w:r>
        <w:rPr>
          <w:spacing w:val="-14"/>
        </w:rPr>
        <w:t xml:space="preserve"> </w:t>
      </w:r>
      <w:r>
        <w:t>casos,</w:t>
      </w:r>
      <w:r>
        <w:rPr>
          <w:spacing w:val="-13"/>
        </w:rPr>
        <w:t xml:space="preserve"> </w:t>
      </w:r>
      <w:r>
        <w:t>las</w:t>
      </w:r>
      <w:r>
        <w:rPr>
          <w:spacing w:val="-13"/>
        </w:rPr>
        <w:t xml:space="preserve"> </w:t>
      </w:r>
      <w:r>
        <w:t>discusiones</w:t>
      </w:r>
      <w:r>
        <w:rPr>
          <w:spacing w:val="-14"/>
        </w:rPr>
        <w:t xml:space="preserve"> </w:t>
      </w:r>
      <w:r>
        <w:t>políticas</w:t>
      </w:r>
      <w:r>
        <w:rPr>
          <w:spacing w:val="-13"/>
        </w:rPr>
        <w:t xml:space="preserve"> </w:t>
      </w:r>
      <w:r>
        <w:t>sobre</w:t>
      </w:r>
      <w:r>
        <w:rPr>
          <w:spacing w:val="-14"/>
        </w:rPr>
        <w:t xml:space="preserve"> </w:t>
      </w:r>
      <w:r>
        <w:t>la</w:t>
      </w:r>
      <w:r>
        <w:rPr>
          <w:spacing w:val="-15"/>
        </w:rPr>
        <w:t xml:space="preserve"> </w:t>
      </w:r>
      <w:r>
        <w:t>actualidad</w:t>
      </w:r>
      <w:r>
        <w:rPr>
          <w:spacing w:val="-14"/>
        </w:rPr>
        <w:t xml:space="preserve"> </w:t>
      </w:r>
      <w:r>
        <w:t>llevan</w:t>
      </w:r>
      <w:r>
        <w:rPr>
          <w:spacing w:val="-13"/>
        </w:rPr>
        <w:t xml:space="preserve"> </w:t>
      </w:r>
      <w:r>
        <w:t>fácilmente</w:t>
      </w:r>
      <w:r>
        <w:rPr>
          <w:spacing w:val="-13"/>
        </w:rPr>
        <w:t xml:space="preserve"> </w:t>
      </w:r>
      <w:r>
        <w:t>a</w:t>
      </w:r>
      <w:r>
        <w:rPr>
          <w:spacing w:val="-14"/>
        </w:rPr>
        <w:t xml:space="preserve"> </w:t>
      </w:r>
      <w:r>
        <w:t>conflictos</w:t>
      </w:r>
      <w:r>
        <w:rPr>
          <w:spacing w:val="-13"/>
        </w:rPr>
        <w:t xml:space="preserve"> </w:t>
      </w:r>
      <w:r>
        <w:t>que parecen irreconciliables, a silencios como formas de evitación, o a encasillar al otro en función de sus ideas políticas en lugar de hablar con la persona o entre colectivos.</w:t>
      </w:r>
    </w:p>
    <w:p w:rsidR="003804AC" w:rsidRDefault="00AF18A5" w:rsidP="00371C95">
      <w:r>
        <w:t>La experiencia, no solo de las víctimas, sino de toda la sociedad, está mediada por estas representaciones categoriales de las personas, y a Colombia le llevará tiempo ampliar esa comprensión de la necesaria transición hacia la paz, de forma parecida a la que han tenido que enfrentar otros países en procesos de transición política tras periodos largos de violaciones</w:t>
      </w:r>
      <w:r>
        <w:rPr>
          <w:spacing w:val="-6"/>
        </w:rPr>
        <w:t xml:space="preserve"> </w:t>
      </w:r>
      <w:r>
        <w:t>a</w:t>
      </w:r>
      <w:r>
        <w:rPr>
          <w:spacing w:val="-5"/>
        </w:rPr>
        <w:t xml:space="preserve"> </w:t>
      </w:r>
      <w:r>
        <w:t>los</w:t>
      </w:r>
      <w:r>
        <w:rPr>
          <w:spacing w:val="-5"/>
        </w:rPr>
        <w:t xml:space="preserve"> </w:t>
      </w:r>
      <w:r>
        <w:t>derechos</w:t>
      </w:r>
      <w:r>
        <w:rPr>
          <w:spacing w:val="-5"/>
        </w:rPr>
        <w:t xml:space="preserve"> </w:t>
      </w:r>
      <w:r>
        <w:t>humanos.</w:t>
      </w:r>
      <w:r>
        <w:rPr>
          <w:spacing w:val="-6"/>
        </w:rPr>
        <w:t xml:space="preserve"> </w:t>
      </w:r>
      <w:r>
        <w:t>Procesos</w:t>
      </w:r>
      <w:r>
        <w:rPr>
          <w:spacing w:val="-5"/>
        </w:rPr>
        <w:t xml:space="preserve"> </w:t>
      </w:r>
      <w:r>
        <w:t>como</w:t>
      </w:r>
      <w:r>
        <w:rPr>
          <w:spacing w:val="-5"/>
        </w:rPr>
        <w:t xml:space="preserve"> </w:t>
      </w:r>
      <w:r>
        <w:t>el</w:t>
      </w:r>
      <w:r>
        <w:rPr>
          <w:spacing w:val="-4"/>
        </w:rPr>
        <w:t xml:space="preserve"> </w:t>
      </w:r>
      <w:r>
        <w:t>que</w:t>
      </w:r>
      <w:r>
        <w:rPr>
          <w:spacing w:val="-5"/>
        </w:rPr>
        <w:t xml:space="preserve"> </w:t>
      </w:r>
      <w:r>
        <w:t>se</w:t>
      </w:r>
      <w:r>
        <w:rPr>
          <w:spacing w:val="-6"/>
        </w:rPr>
        <w:t xml:space="preserve"> </w:t>
      </w:r>
      <w:r>
        <w:t>ha</w:t>
      </w:r>
      <w:r>
        <w:rPr>
          <w:spacing w:val="-5"/>
        </w:rPr>
        <w:t xml:space="preserve"> </w:t>
      </w:r>
      <w:r>
        <w:t>dado</w:t>
      </w:r>
      <w:r>
        <w:rPr>
          <w:spacing w:val="-5"/>
        </w:rPr>
        <w:t xml:space="preserve"> </w:t>
      </w:r>
      <w:r>
        <w:t>con</w:t>
      </w:r>
      <w:r>
        <w:rPr>
          <w:spacing w:val="-5"/>
        </w:rPr>
        <w:t xml:space="preserve"> </w:t>
      </w:r>
      <w:r>
        <w:t>la</w:t>
      </w:r>
      <w:r>
        <w:rPr>
          <w:spacing w:val="-5"/>
        </w:rPr>
        <w:t xml:space="preserve"> </w:t>
      </w:r>
      <w:r>
        <w:t>Comisión</w:t>
      </w:r>
      <w:r>
        <w:rPr>
          <w:spacing w:val="-6"/>
        </w:rPr>
        <w:t xml:space="preserve"> </w:t>
      </w:r>
      <w:r>
        <w:t>de</w:t>
      </w:r>
      <w:r>
        <w:rPr>
          <w:spacing w:val="-5"/>
        </w:rPr>
        <w:t xml:space="preserve"> </w:t>
      </w:r>
      <w:r>
        <w:t>la Verdad –y que necesitan continuidad– ayudarán a enfrentar esas heridas.</w:t>
      </w:r>
    </w:p>
    <w:p w:rsidR="0011361F" w:rsidRPr="00371C95" w:rsidRDefault="00AF18A5" w:rsidP="004A6EF4">
      <w:pPr>
        <w:pStyle w:val="Ttulo3"/>
        <w:numPr>
          <w:ilvl w:val="2"/>
          <w:numId w:val="18"/>
        </w:numPr>
      </w:pPr>
      <w:bookmarkStart w:id="52" w:name="1.3.5._Una_representación_política_de_la"/>
      <w:bookmarkStart w:id="53" w:name="_Toc112399534"/>
      <w:bookmarkEnd w:id="52"/>
      <w:r w:rsidRPr="00371C95">
        <w:t>Una representación política de la rabia y el enojo social</w:t>
      </w:r>
      <w:bookmarkEnd w:id="53"/>
    </w:p>
    <w:p w:rsidR="003804AC" w:rsidRDefault="00AF18A5" w:rsidP="00535BD7">
      <w:r>
        <w:t>Las consecuencias de la guerra y la exclusión política en Colombia también han dejado profundos</w:t>
      </w:r>
      <w:r>
        <w:rPr>
          <w:spacing w:val="-9"/>
        </w:rPr>
        <w:t xml:space="preserve"> </w:t>
      </w:r>
      <w:r>
        <w:t>impactos</w:t>
      </w:r>
      <w:r>
        <w:rPr>
          <w:spacing w:val="-8"/>
        </w:rPr>
        <w:t xml:space="preserve"> </w:t>
      </w:r>
      <w:r>
        <w:t>sociales</w:t>
      </w:r>
      <w:r>
        <w:rPr>
          <w:spacing w:val="-8"/>
        </w:rPr>
        <w:t xml:space="preserve"> </w:t>
      </w:r>
      <w:r>
        <w:t>y</w:t>
      </w:r>
      <w:r>
        <w:rPr>
          <w:spacing w:val="-8"/>
        </w:rPr>
        <w:t xml:space="preserve"> </w:t>
      </w:r>
      <w:r>
        <w:t>en</w:t>
      </w:r>
      <w:r>
        <w:rPr>
          <w:spacing w:val="-8"/>
        </w:rPr>
        <w:t xml:space="preserve"> </w:t>
      </w:r>
      <w:r>
        <w:t>el</w:t>
      </w:r>
      <w:r>
        <w:rPr>
          <w:spacing w:val="-9"/>
        </w:rPr>
        <w:t xml:space="preserve"> </w:t>
      </w:r>
      <w:r>
        <w:t>clima</w:t>
      </w:r>
      <w:r>
        <w:rPr>
          <w:spacing w:val="-8"/>
        </w:rPr>
        <w:t xml:space="preserve"> </w:t>
      </w:r>
      <w:r>
        <w:t>emocional</w:t>
      </w:r>
      <w:r>
        <w:rPr>
          <w:spacing w:val="-8"/>
        </w:rPr>
        <w:t xml:space="preserve"> </w:t>
      </w:r>
      <w:r>
        <w:t>colectivo</w:t>
      </w:r>
      <w:r>
        <w:rPr>
          <w:spacing w:val="-8"/>
        </w:rPr>
        <w:t xml:space="preserve"> </w:t>
      </w:r>
      <w:r>
        <w:t>asociado</w:t>
      </w:r>
      <w:r>
        <w:rPr>
          <w:spacing w:val="-9"/>
        </w:rPr>
        <w:t xml:space="preserve"> </w:t>
      </w:r>
      <w:r>
        <w:t>al</w:t>
      </w:r>
      <w:r>
        <w:rPr>
          <w:spacing w:val="-8"/>
        </w:rPr>
        <w:t xml:space="preserve"> </w:t>
      </w:r>
      <w:r>
        <w:t>conflicto</w:t>
      </w:r>
      <w:r>
        <w:rPr>
          <w:spacing w:val="-8"/>
        </w:rPr>
        <w:t xml:space="preserve"> </w:t>
      </w:r>
      <w:r>
        <w:t>armado. La</w:t>
      </w:r>
      <w:r>
        <w:rPr>
          <w:spacing w:val="-5"/>
        </w:rPr>
        <w:t xml:space="preserve"> </w:t>
      </w:r>
      <w:r>
        <w:t>rabia</w:t>
      </w:r>
      <w:r>
        <w:rPr>
          <w:spacing w:val="-6"/>
        </w:rPr>
        <w:t xml:space="preserve"> </w:t>
      </w:r>
      <w:r>
        <w:t>es</w:t>
      </w:r>
      <w:r>
        <w:rPr>
          <w:spacing w:val="-5"/>
        </w:rPr>
        <w:t xml:space="preserve"> </w:t>
      </w:r>
      <w:r>
        <w:t>parte</w:t>
      </w:r>
      <w:r>
        <w:rPr>
          <w:spacing w:val="-5"/>
        </w:rPr>
        <w:t xml:space="preserve"> </w:t>
      </w:r>
      <w:r>
        <w:t>de</w:t>
      </w:r>
      <w:r>
        <w:rPr>
          <w:spacing w:val="-5"/>
        </w:rPr>
        <w:t xml:space="preserve"> </w:t>
      </w:r>
      <w:r>
        <w:t>las</w:t>
      </w:r>
      <w:r>
        <w:rPr>
          <w:spacing w:val="-6"/>
        </w:rPr>
        <w:t xml:space="preserve"> </w:t>
      </w:r>
      <w:r>
        <w:t>respuestas</w:t>
      </w:r>
      <w:r>
        <w:rPr>
          <w:spacing w:val="-6"/>
        </w:rPr>
        <w:t xml:space="preserve"> </w:t>
      </w:r>
      <w:r>
        <w:t>emocionales</w:t>
      </w:r>
      <w:r>
        <w:rPr>
          <w:spacing w:val="-5"/>
        </w:rPr>
        <w:t xml:space="preserve"> </w:t>
      </w:r>
      <w:r>
        <w:t>normales</w:t>
      </w:r>
      <w:r>
        <w:rPr>
          <w:spacing w:val="-5"/>
        </w:rPr>
        <w:t xml:space="preserve"> </w:t>
      </w:r>
      <w:r>
        <w:t>frente</w:t>
      </w:r>
      <w:r>
        <w:rPr>
          <w:spacing w:val="-5"/>
        </w:rPr>
        <w:t xml:space="preserve"> </w:t>
      </w:r>
      <w:r>
        <w:t>a</w:t>
      </w:r>
      <w:r>
        <w:rPr>
          <w:spacing w:val="-5"/>
        </w:rPr>
        <w:t xml:space="preserve"> </w:t>
      </w:r>
      <w:r>
        <w:t>las</w:t>
      </w:r>
      <w:r>
        <w:rPr>
          <w:spacing w:val="-6"/>
        </w:rPr>
        <w:t xml:space="preserve"> </w:t>
      </w:r>
      <w:r>
        <w:t>experiencias</w:t>
      </w:r>
      <w:r>
        <w:rPr>
          <w:spacing w:val="-5"/>
        </w:rPr>
        <w:t xml:space="preserve"> </w:t>
      </w:r>
      <w:r>
        <w:t>anormales sufridas. Pero, a veces, el deseo de venganza reactiva por lo sufrido se ha convertido en Colombia en odio al otro, al grupo al que pertenece o a las ideas que representa. La imagen estereotipada</w:t>
      </w:r>
      <w:r>
        <w:rPr>
          <w:spacing w:val="-15"/>
        </w:rPr>
        <w:t xml:space="preserve"> </w:t>
      </w:r>
      <w:r>
        <w:t>del</w:t>
      </w:r>
      <w:r>
        <w:rPr>
          <w:spacing w:val="-15"/>
        </w:rPr>
        <w:t xml:space="preserve"> </w:t>
      </w:r>
      <w:r>
        <w:t>enemigo</w:t>
      </w:r>
      <w:r>
        <w:rPr>
          <w:spacing w:val="-15"/>
        </w:rPr>
        <w:t xml:space="preserve"> </w:t>
      </w:r>
      <w:r>
        <w:t>ha</w:t>
      </w:r>
      <w:r>
        <w:rPr>
          <w:spacing w:val="-15"/>
        </w:rPr>
        <w:t xml:space="preserve"> </w:t>
      </w:r>
      <w:r>
        <w:t>sido</w:t>
      </w:r>
      <w:r>
        <w:rPr>
          <w:spacing w:val="-15"/>
        </w:rPr>
        <w:t xml:space="preserve"> </w:t>
      </w:r>
      <w:r>
        <w:t>la</w:t>
      </w:r>
      <w:r>
        <w:rPr>
          <w:spacing w:val="-15"/>
        </w:rPr>
        <w:t xml:space="preserve"> </w:t>
      </w:r>
      <w:r>
        <w:t>encargada</w:t>
      </w:r>
      <w:r>
        <w:rPr>
          <w:spacing w:val="-15"/>
        </w:rPr>
        <w:t xml:space="preserve"> </w:t>
      </w:r>
      <w:r>
        <w:t>de</w:t>
      </w:r>
      <w:r>
        <w:rPr>
          <w:spacing w:val="-15"/>
        </w:rPr>
        <w:t xml:space="preserve"> </w:t>
      </w:r>
      <w:r>
        <w:t>sustentar</w:t>
      </w:r>
      <w:r>
        <w:rPr>
          <w:spacing w:val="-15"/>
        </w:rPr>
        <w:t xml:space="preserve"> </w:t>
      </w:r>
      <w:r>
        <w:t>ese</w:t>
      </w:r>
      <w:r>
        <w:rPr>
          <w:spacing w:val="-15"/>
        </w:rPr>
        <w:t xml:space="preserve"> </w:t>
      </w:r>
      <w:r>
        <w:t>odio</w:t>
      </w:r>
      <w:r>
        <w:rPr>
          <w:spacing w:val="-15"/>
        </w:rPr>
        <w:t xml:space="preserve"> </w:t>
      </w:r>
      <w:r>
        <w:t>dotándolo</w:t>
      </w:r>
      <w:r>
        <w:rPr>
          <w:spacing w:val="-15"/>
        </w:rPr>
        <w:t xml:space="preserve"> </w:t>
      </w:r>
      <w:r>
        <w:t>de</w:t>
      </w:r>
      <w:r>
        <w:rPr>
          <w:spacing w:val="-15"/>
        </w:rPr>
        <w:t xml:space="preserve"> </w:t>
      </w:r>
      <w:r>
        <w:t>una</w:t>
      </w:r>
      <w:r>
        <w:rPr>
          <w:spacing w:val="-15"/>
        </w:rPr>
        <w:t xml:space="preserve"> </w:t>
      </w:r>
      <w:r>
        <w:t xml:space="preserve">solidez muy engañosa desde el punto de vista racional, pero muy eficaz desde el </w:t>
      </w:r>
      <w:r>
        <w:lastRenderedPageBreak/>
        <w:t>punto de vista emocional, sobre la que descansa y encuentran justificación todas las acciones en su contra, aun las más extremas.</w:t>
      </w:r>
    </w:p>
    <w:p w:rsidR="003804AC" w:rsidRDefault="00AF18A5" w:rsidP="00535BD7">
      <w:r>
        <w:t>Por ejemplo, no solo la doctrina de seguridad nacional ha considerado como enemiga a buena</w:t>
      </w:r>
      <w:r>
        <w:rPr>
          <w:spacing w:val="-12"/>
        </w:rPr>
        <w:t xml:space="preserve"> </w:t>
      </w:r>
      <w:r>
        <w:t>parte</w:t>
      </w:r>
      <w:r>
        <w:rPr>
          <w:spacing w:val="-13"/>
        </w:rPr>
        <w:t xml:space="preserve"> </w:t>
      </w:r>
      <w:r>
        <w:t>de</w:t>
      </w:r>
      <w:r>
        <w:rPr>
          <w:spacing w:val="-12"/>
        </w:rPr>
        <w:t xml:space="preserve"> </w:t>
      </w:r>
      <w:r>
        <w:t>la</w:t>
      </w:r>
      <w:r>
        <w:rPr>
          <w:spacing w:val="-12"/>
        </w:rPr>
        <w:t xml:space="preserve"> </w:t>
      </w:r>
      <w:r>
        <w:t>población</w:t>
      </w:r>
      <w:r>
        <w:rPr>
          <w:spacing w:val="-12"/>
        </w:rPr>
        <w:t xml:space="preserve"> </w:t>
      </w:r>
      <w:r>
        <w:t>civil,</w:t>
      </w:r>
      <w:r>
        <w:rPr>
          <w:spacing w:val="-12"/>
        </w:rPr>
        <w:t xml:space="preserve"> </w:t>
      </w:r>
      <w:r>
        <w:t>también</w:t>
      </w:r>
      <w:r>
        <w:rPr>
          <w:spacing w:val="-12"/>
        </w:rPr>
        <w:t xml:space="preserve"> </w:t>
      </w:r>
      <w:r>
        <w:t>el</w:t>
      </w:r>
      <w:r>
        <w:rPr>
          <w:spacing w:val="-12"/>
        </w:rPr>
        <w:t xml:space="preserve"> </w:t>
      </w:r>
      <w:r>
        <w:t>entrenamiento</w:t>
      </w:r>
      <w:r>
        <w:rPr>
          <w:spacing w:val="-12"/>
        </w:rPr>
        <w:t xml:space="preserve"> </w:t>
      </w:r>
      <w:r>
        <w:t>militar</w:t>
      </w:r>
      <w:r>
        <w:rPr>
          <w:spacing w:val="-12"/>
        </w:rPr>
        <w:t xml:space="preserve"> </w:t>
      </w:r>
      <w:r>
        <w:t>ha</w:t>
      </w:r>
      <w:r>
        <w:rPr>
          <w:spacing w:val="-12"/>
        </w:rPr>
        <w:t xml:space="preserve"> </w:t>
      </w:r>
      <w:r>
        <w:t>utilizado</w:t>
      </w:r>
      <w:r>
        <w:rPr>
          <w:spacing w:val="-12"/>
        </w:rPr>
        <w:t xml:space="preserve"> </w:t>
      </w:r>
      <w:r>
        <w:t>muchas</w:t>
      </w:r>
      <w:r>
        <w:rPr>
          <w:spacing w:val="-13"/>
        </w:rPr>
        <w:t xml:space="preserve"> </w:t>
      </w:r>
      <w:r>
        <w:t>veces esta concepción del enemigo que da un marco de sentido que termina facilitando o normalizando la agresión porque considera al otro como «no persona». En el caso de exmilitares responsables de casos de ejecuciones extrajudiciales, muchos han señalado el papel</w:t>
      </w:r>
      <w:r>
        <w:rPr>
          <w:spacing w:val="-5"/>
        </w:rPr>
        <w:t xml:space="preserve"> </w:t>
      </w:r>
      <w:r>
        <w:t>de</w:t>
      </w:r>
      <w:r>
        <w:rPr>
          <w:spacing w:val="-6"/>
        </w:rPr>
        <w:t xml:space="preserve"> </w:t>
      </w:r>
      <w:r>
        <w:t>esta</w:t>
      </w:r>
      <w:r>
        <w:rPr>
          <w:spacing w:val="-6"/>
        </w:rPr>
        <w:t xml:space="preserve"> </w:t>
      </w:r>
      <w:r>
        <w:t>dimensión</w:t>
      </w:r>
      <w:r>
        <w:rPr>
          <w:spacing w:val="-7"/>
        </w:rPr>
        <w:t xml:space="preserve"> </w:t>
      </w:r>
      <w:r>
        <w:t>emocional</w:t>
      </w:r>
      <w:r>
        <w:rPr>
          <w:spacing w:val="-5"/>
        </w:rPr>
        <w:t xml:space="preserve"> </w:t>
      </w:r>
      <w:r>
        <w:t>asociada</w:t>
      </w:r>
      <w:r>
        <w:rPr>
          <w:spacing w:val="-6"/>
        </w:rPr>
        <w:t xml:space="preserve"> </w:t>
      </w:r>
      <w:r>
        <w:t>a</w:t>
      </w:r>
      <w:r>
        <w:rPr>
          <w:spacing w:val="-6"/>
        </w:rPr>
        <w:t xml:space="preserve"> </w:t>
      </w:r>
      <w:r>
        <w:t>prácticas</w:t>
      </w:r>
      <w:r>
        <w:rPr>
          <w:spacing w:val="-6"/>
        </w:rPr>
        <w:t xml:space="preserve"> </w:t>
      </w:r>
      <w:r>
        <w:t>colectivas,</w:t>
      </w:r>
      <w:r>
        <w:rPr>
          <w:spacing w:val="-6"/>
        </w:rPr>
        <w:t xml:space="preserve"> </w:t>
      </w:r>
      <w:r>
        <w:t>entrenamiento</w:t>
      </w:r>
      <w:r>
        <w:rPr>
          <w:spacing w:val="-6"/>
        </w:rPr>
        <w:t xml:space="preserve"> </w:t>
      </w:r>
      <w:r>
        <w:t>o</w:t>
      </w:r>
      <w:r>
        <w:rPr>
          <w:spacing w:val="-6"/>
        </w:rPr>
        <w:t xml:space="preserve"> </w:t>
      </w:r>
      <w:r>
        <w:t xml:space="preserve">cánticos que suponen una normalización de la violencia extrema. En los reconocimientos llevados a cabo por miembros de las FARC-EP, la </w:t>
      </w:r>
      <w:proofErr w:type="spellStart"/>
      <w:r>
        <w:t>invisibilización</w:t>
      </w:r>
      <w:proofErr w:type="spellEnd"/>
      <w:r>
        <w:t xml:space="preserve"> de las víctimas en ocasiones y su consideración como alguien que representa globalmente esa idea de enemigo han sido utilizadas para justificar sus acciones.</w:t>
      </w:r>
    </w:p>
    <w:p w:rsidR="003804AC" w:rsidRDefault="00AF18A5" w:rsidP="00535BD7">
      <w:r>
        <w:t>En otro sentido, en Colombia distintos sectores sociales han vivido en enojo social como consecuencia de la guerra, que ha condicionado las respuestas frente al proceso de paz o ha sido utilizado para reforzar posiciones políticas</w:t>
      </w:r>
      <w:r w:rsidR="00535BD7">
        <w:rPr>
          <w:rStyle w:val="Refdenotaalpie"/>
        </w:rPr>
        <w:footnoteReference w:id="22"/>
      </w:r>
      <w:r>
        <w:t>. Esta emocionalidad, en la cual el resentimiento</w:t>
      </w:r>
      <w:r>
        <w:rPr>
          <w:spacing w:val="21"/>
        </w:rPr>
        <w:t xml:space="preserve"> </w:t>
      </w:r>
      <w:r>
        <w:t>se</w:t>
      </w:r>
      <w:r>
        <w:rPr>
          <w:spacing w:val="23"/>
        </w:rPr>
        <w:t xml:space="preserve"> </w:t>
      </w:r>
      <w:r>
        <w:t>dirige</w:t>
      </w:r>
      <w:r>
        <w:rPr>
          <w:spacing w:val="20"/>
        </w:rPr>
        <w:t xml:space="preserve"> </w:t>
      </w:r>
      <w:r>
        <w:t>hacia</w:t>
      </w:r>
      <w:r>
        <w:rPr>
          <w:spacing w:val="23"/>
        </w:rPr>
        <w:t xml:space="preserve"> </w:t>
      </w:r>
      <w:r>
        <w:t>un</w:t>
      </w:r>
      <w:r>
        <w:rPr>
          <w:spacing w:val="21"/>
        </w:rPr>
        <w:t xml:space="preserve"> </w:t>
      </w:r>
      <w:r>
        <w:t>sector</w:t>
      </w:r>
      <w:r>
        <w:rPr>
          <w:spacing w:val="23"/>
        </w:rPr>
        <w:t xml:space="preserve"> </w:t>
      </w:r>
      <w:r>
        <w:t>o</w:t>
      </w:r>
      <w:r>
        <w:rPr>
          <w:spacing w:val="21"/>
        </w:rPr>
        <w:t xml:space="preserve"> </w:t>
      </w:r>
      <w:r>
        <w:t>lo</w:t>
      </w:r>
      <w:r>
        <w:rPr>
          <w:spacing w:val="23"/>
        </w:rPr>
        <w:t xml:space="preserve"> </w:t>
      </w:r>
      <w:r>
        <w:t>que</w:t>
      </w:r>
      <w:r>
        <w:rPr>
          <w:spacing w:val="22"/>
        </w:rPr>
        <w:t xml:space="preserve"> </w:t>
      </w:r>
      <w:r>
        <w:t>puede</w:t>
      </w:r>
      <w:r>
        <w:rPr>
          <w:spacing w:val="23"/>
        </w:rPr>
        <w:t xml:space="preserve"> </w:t>
      </w:r>
      <w:r>
        <w:t>representar,</w:t>
      </w:r>
      <w:r>
        <w:rPr>
          <w:spacing w:val="23"/>
        </w:rPr>
        <w:t xml:space="preserve"> </w:t>
      </w:r>
      <w:r>
        <w:t>atribuye</w:t>
      </w:r>
      <w:r>
        <w:rPr>
          <w:spacing w:val="23"/>
        </w:rPr>
        <w:t xml:space="preserve"> </w:t>
      </w:r>
      <w:r>
        <w:t>perversidad</w:t>
      </w:r>
      <w:r>
        <w:rPr>
          <w:spacing w:val="22"/>
        </w:rPr>
        <w:t xml:space="preserve"> </w:t>
      </w:r>
      <w:r>
        <w:rPr>
          <w:spacing w:val="-10"/>
        </w:rPr>
        <w:t>a</w:t>
      </w:r>
      <w:bookmarkStart w:id="54" w:name="_bookmark27"/>
      <w:bookmarkEnd w:id="54"/>
      <w:r w:rsidR="00535BD7">
        <w:rPr>
          <w:spacing w:val="-10"/>
        </w:rPr>
        <w:t xml:space="preserve"> </w:t>
      </w:r>
      <w:r>
        <w:t>unos</w:t>
      </w:r>
      <w:r>
        <w:rPr>
          <w:spacing w:val="-8"/>
        </w:rPr>
        <w:t xml:space="preserve"> </w:t>
      </w:r>
      <w:r>
        <w:t>y</w:t>
      </w:r>
      <w:r>
        <w:rPr>
          <w:spacing w:val="-8"/>
        </w:rPr>
        <w:t xml:space="preserve"> </w:t>
      </w:r>
      <w:r>
        <w:t>bondad</w:t>
      </w:r>
      <w:r>
        <w:rPr>
          <w:spacing w:val="-8"/>
        </w:rPr>
        <w:t xml:space="preserve"> </w:t>
      </w:r>
      <w:r>
        <w:t>o</w:t>
      </w:r>
      <w:r>
        <w:rPr>
          <w:spacing w:val="-8"/>
        </w:rPr>
        <w:t xml:space="preserve"> </w:t>
      </w:r>
      <w:r>
        <w:t>heroísmo</w:t>
      </w:r>
      <w:r>
        <w:rPr>
          <w:spacing w:val="-8"/>
        </w:rPr>
        <w:t xml:space="preserve"> </w:t>
      </w:r>
      <w:r>
        <w:t>a</w:t>
      </w:r>
      <w:r>
        <w:rPr>
          <w:spacing w:val="-8"/>
        </w:rPr>
        <w:t xml:space="preserve"> </w:t>
      </w:r>
      <w:r>
        <w:t>otros,</w:t>
      </w:r>
      <w:r>
        <w:rPr>
          <w:spacing w:val="-8"/>
        </w:rPr>
        <w:t xml:space="preserve"> </w:t>
      </w:r>
      <w:r>
        <w:t>más</w:t>
      </w:r>
      <w:r>
        <w:rPr>
          <w:spacing w:val="-8"/>
        </w:rPr>
        <w:t xml:space="preserve"> </w:t>
      </w:r>
      <w:r>
        <w:t>allá</w:t>
      </w:r>
      <w:r>
        <w:rPr>
          <w:spacing w:val="-8"/>
        </w:rPr>
        <w:t xml:space="preserve"> </w:t>
      </w:r>
      <w:r>
        <w:t>y</w:t>
      </w:r>
      <w:r>
        <w:rPr>
          <w:spacing w:val="-8"/>
        </w:rPr>
        <w:t xml:space="preserve"> </w:t>
      </w:r>
      <w:r>
        <w:t>al</w:t>
      </w:r>
      <w:r>
        <w:rPr>
          <w:spacing w:val="-8"/>
        </w:rPr>
        <w:t xml:space="preserve"> </w:t>
      </w:r>
      <w:r>
        <w:t>margen</w:t>
      </w:r>
      <w:r>
        <w:rPr>
          <w:spacing w:val="-8"/>
        </w:rPr>
        <w:t xml:space="preserve"> </w:t>
      </w:r>
      <w:r>
        <w:t>de</w:t>
      </w:r>
      <w:r>
        <w:rPr>
          <w:spacing w:val="-8"/>
        </w:rPr>
        <w:t xml:space="preserve"> </w:t>
      </w:r>
      <w:r>
        <w:t>cualquier</w:t>
      </w:r>
      <w:r>
        <w:rPr>
          <w:spacing w:val="-8"/>
        </w:rPr>
        <w:t xml:space="preserve"> </w:t>
      </w:r>
      <w:r>
        <w:t>esfuerzo</w:t>
      </w:r>
      <w:r>
        <w:rPr>
          <w:spacing w:val="-8"/>
        </w:rPr>
        <w:t xml:space="preserve"> </w:t>
      </w:r>
      <w:r>
        <w:t>por</w:t>
      </w:r>
      <w:r>
        <w:rPr>
          <w:spacing w:val="-8"/>
        </w:rPr>
        <w:t xml:space="preserve"> </w:t>
      </w:r>
      <w:r>
        <w:t>ponerse</w:t>
      </w:r>
      <w:r>
        <w:rPr>
          <w:spacing w:val="-8"/>
        </w:rPr>
        <w:t xml:space="preserve"> </w:t>
      </w:r>
      <w:r>
        <w:t>en su lugar o de hacer un análisis objetivo de la realidad. Los malos, los agresores, los victimarios</w:t>
      </w:r>
      <w:r>
        <w:rPr>
          <w:spacing w:val="-1"/>
        </w:rPr>
        <w:t xml:space="preserve"> </w:t>
      </w:r>
      <w:r>
        <w:t>del</w:t>
      </w:r>
      <w:r>
        <w:rPr>
          <w:spacing w:val="-1"/>
        </w:rPr>
        <w:t xml:space="preserve"> </w:t>
      </w:r>
      <w:r>
        <w:lastRenderedPageBreak/>
        <w:t>Estado</w:t>
      </w:r>
      <w:r>
        <w:rPr>
          <w:spacing w:val="-1"/>
        </w:rPr>
        <w:t xml:space="preserve"> </w:t>
      </w:r>
      <w:r>
        <w:t>o</w:t>
      </w:r>
      <w:r>
        <w:rPr>
          <w:spacing w:val="-1"/>
        </w:rPr>
        <w:t xml:space="preserve"> </w:t>
      </w:r>
      <w:r>
        <w:t>los</w:t>
      </w:r>
      <w:r>
        <w:rPr>
          <w:spacing w:val="-1"/>
        </w:rPr>
        <w:t xml:space="preserve"> </w:t>
      </w:r>
      <w:r>
        <w:t>terroristas</w:t>
      </w:r>
      <w:r>
        <w:rPr>
          <w:spacing w:val="-1"/>
        </w:rPr>
        <w:t xml:space="preserve"> </w:t>
      </w:r>
      <w:r>
        <w:t>se</w:t>
      </w:r>
      <w:r>
        <w:rPr>
          <w:spacing w:val="-1"/>
        </w:rPr>
        <w:t xml:space="preserve"> </w:t>
      </w:r>
      <w:r>
        <w:t>convierten</w:t>
      </w:r>
      <w:r>
        <w:rPr>
          <w:spacing w:val="-1"/>
        </w:rPr>
        <w:t xml:space="preserve"> </w:t>
      </w:r>
      <w:r>
        <w:t>en</w:t>
      </w:r>
      <w:r>
        <w:rPr>
          <w:spacing w:val="-1"/>
        </w:rPr>
        <w:t xml:space="preserve"> </w:t>
      </w:r>
      <w:r>
        <w:t>alguien</w:t>
      </w:r>
      <w:r>
        <w:rPr>
          <w:spacing w:val="-1"/>
        </w:rPr>
        <w:t xml:space="preserve"> </w:t>
      </w:r>
      <w:r>
        <w:t>que</w:t>
      </w:r>
      <w:r>
        <w:rPr>
          <w:spacing w:val="-1"/>
        </w:rPr>
        <w:t xml:space="preserve"> </w:t>
      </w:r>
      <w:r>
        <w:t>condensa</w:t>
      </w:r>
      <w:r>
        <w:rPr>
          <w:spacing w:val="-1"/>
        </w:rPr>
        <w:t xml:space="preserve"> </w:t>
      </w:r>
      <w:r>
        <w:t>lo</w:t>
      </w:r>
      <w:r>
        <w:rPr>
          <w:spacing w:val="-1"/>
        </w:rPr>
        <w:t xml:space="preserve"> </w:t>
      </w:r>
      <w:r>
        <w:t>destructivo ligado</w:t>
      </w:r>
      <w:r>
        <w:rPr>
          <w:spacing w:val="-5"/>
        </w:rPr>
        <w:t xml:space="preserve"> </w:t>
      </w:r>
      <w:r>
        <w:t>a</w:t>
      </w:r>
      <w:r>
        <w:rPr>
          <w:spacing w:val="-4"/>
        </w:rPr>
        <w:t xml:space="preserve"> </w:t>
      </w:r>
      <w:r>
        <w:t>su</w:t>
      </w:r>
      <w:r>
        <w:rPr>
          <w:spacing w:val="-6"/>
        </w:rPr>
        <w:t xml:space="preserve"> </w:t>
      </w:r>
      <w:r>
        <w:t>identidad,</w:t>
      </w:r>
      <w:r>
        <w:rPr>
          <w:spacing w:val="-5"/>
        </w:rPr>
        <w:t xml:space="preserve"> </w:t>
      </w:r>
      <w:r>
        <w:t>sin</w:t>
      </w:r>
      <w:r>
        <w:rPr>
          <w:spacing w:val="-6"/>
        </w:rPr>
        <w:t xml:space="preserve"> </w:t>
      </w:r>
      <w:r>
        <w:t>posibilidad</w:t>
      </w:r>
      <w:r>
        <w:rPr>
          <w:spacing w:val="-6"/>
        </w:rPr>
        <w:t xml:space="preserve"> </w:t>
      </w:r>
      <w:r>
        <w:t>de</w:t>
      </w:r>
      <w:r>
        <w:rPr>
          <w:spacing w:val="-4"/>
        </w:rPr>
        <w:t xml:space="preserve"> </w:t>
      </w:r>
      <w:r>
        <w:t>negociación</w:t>
      </w:r>
      <w:r>
        <w:rPr>
          <w:spacing w:val="-5"/>
        </w:rPr>
        <w:t xml:space="preserve"> </w:t>
      </w:r>
      <w:r>
        <w:t>o</w:t>
      </w:r>
      <w:r>
        <w:rPr>
          <w:spacing w:val="-5"/>
        </w:rPr>
        <w:t xml:space="preserve"> </w:t>
      </w:r>
      <w:r>
        <w:t>cambio,</w:t>
      </w:r>
      <w:r>
        <w:rPr>
          <w:spacing w:val="-5"/>
        </w:rPr>
        <w:t xml:space="preserve"> </w:t>
      </w:r>
      <w:r>
        <w:t>predominando</w:t>
      </w:r>
      <w:r>
        <w:rPr>
          <w:spacing w:val="-5"/>
        </w:rPr>
        <w:t xml:space="preserve"> </w:t>
      </w:r>
      <w:r>
        <w:t>las</w:t>
      </w:r>
      <w:r>
        <w:rPr>
          <w:spacing w:val="-4"/>
        </w:rPr>
        <w:t xml:space="preserve"> </w:t>
      </w:r>
      <w:r>
        <w:t>respuestas estereotipadas y acusaciones inamovibles, estáticas, limitando las oportunidades de transformación</w:t>
      </w:r>
      <w:r>
        <w:rPr>
          <w:spacing w:val="-10"/>
        </w:rPr>
        <w:t xml:space="preserve"> </w:t>
      </w:r>
      <w:r>
        <w:t>o</w:t>
      </w:r>
      <w:r>
        <w:rPr>
          <w:spacing w:val="-10"/>
        </w:rPr>
        <w:t xml:space="preserve"> </w:t>
      </w:r>
      <w:r>
        <w:t>de</w:t>
      </w:r>
      <w:r>
        <w:rPr>
          <w:spacing w:val="-10"/>
        </w:rPr>
        <w:t xml:space="preserve"> </w:t>
      </w:r>
      <w:r>
        <w:t>diálogo.</w:t>
      </w:r>
      <w:r>
        <w:rPr>
          <w:spacing w:val="-10"/>
        </w:rPr>
        <w:t xml:space="preserve"> </w:t>
      </w:r>
      <w:r>
        <w:t>Estos</w:t>
      </w:r>
      <w:r>
        <w:rPr>
          <w:spacing w:val="-10"/>
        </w:rPr>
        <w:t xml:space="preserve"> </w:t>
      </w:r>
      <w:r>
        <w:t>estereotipos</w:t>
      </w:r>
      <w:r>
        <w:rPr>
          <w:spacing w:val="-10"/>
        </w:rPr>
        <w:t xml:space="preserve"> </w:t>
      </w:r>
      <w:r>
        <w:t>han</w:t>
      </w:r>
      <w:r>
        <w:rPr>
          <w:spacing w:val="-10"/>
        </w:rPr>
        <w:t xml:space="preserve"> </w:t>
      </w:r>
      <w:r>
        <w:t>funcionado</w:t>
      </w:r>
      <w:r>
        <w:rPr>
          <w:spacing w:val="-10"/>
        </w:rPr>
        <w:t xml:space="preserve"> </w:t>
      </w:r>
      <w:r>
        <w:t>en</w:t>
      </w:r>
      <w:r>
        <w:rPr>
          <w:spacing w:val="-10"/>
        </w:rPr>
        <w:t xml:space="preserve"> </w:t>
      </w:r>
      <w:r>
        <w:t>distintos</w:t>
      </w:r>
      <w:r>
        <w:rPr>
          <w:spacing w:val="-10"/>
        </w:rPr>
        <w:t xml:space="preserve"> </w:t>
      </w:r>
      <w:r>
        <w:t>momentos</w:t>
      </w:r>
      <w:r>
        <w:rPr>
          <w:spacing w:val="-11"/>
        </w:rPr>
        <w:t xml:space="preserve"> </w:t>
      </w:r>
      <w:r>
        <w:t>como dispositivos</w:t>
      </w:r>
      <w:r>
        <w:rPr>
          <w:spacing w:val="-9"/>
        </w:rPr>
        <w:t xml:space="preserve"> </w:t>
      </w:r>
      <w:r>
        <w:t>emocionales</w:t>
      </w:r>
      <w:r>
        <w:rPr>
          <w:spacing w:val="-8"/>
        </w:rPr>
        <w:t xml:space="preserve"> </w:t>
      </w:r>
      <w:r>
        <w:t>contra</w:t>
      </w:r>
      <w:r>
        <w:rPr>
          <w:spacing w:val="-8"/>
        </w:rPr>
        <w:t xml:space="preserve"> </w:t>
      </w:r>
      <w:r>
        <w:t>la</w:t>
      </w:r>
      <w:r>
        <w:rPr>
          <w:spacing w:val="-7"/>
        </w:rPr>
        <w:t xml:space="preserve"> </w:t>
      </w:r>
      <w:r>
        <w:t>búsqueda</w:t>
      </w:r>
      <w:r>
        <w:rPr>
          <w:spacing w:val="-7"/>
        </w:rPr>
        <w:t xml:space="preserve"> </w:t>
      </w:r>
      <w:r>
        <w:t>de</w:t>
      </w:r>
      <w:r>
        <w:rPr>
          <w:spacing w:val="-8"/>
        </w:rPr>
        <w:t xml:space="preserve"> </w:t>
      </w:r>
      <w:r>
        <w:t>acuerdos</w:t>
      </w:r>
      <w:r>
        <w:rPr>
          <w:spacing w:val="-7"/>
        </w:rPr>
        <w:t xml:space="preserve"> </w:t>
      </w:r>
      <w:r>
        <w:t>de</w:t>
      </w:r>
      <w:r>
        <w:rPr>
          <w:spacing w:val="-8"/>
        </w:rPr>
        <w:t xml:space="preserve"> </w:t>
      </w:r>
      <w:r>
        <w:t>paz,</w:t>
      </w:r>
      <w:r>
        <w:rPr>
          <w:spacing w:val="-7"/>
        </w:rPr>
        <w:t xml:space="preserve"> </w:t>
      </w:r>
      <w:r>
        <w:t>como</w:t>
      </w:r>
      <w:r>
        <w:rPr>
          <w:spacing w:val="-8"/>
        </w:rPr>
        <w:t xml:space="preserve"> </w:t>
      </w:r>
      <w:r>
        <w:t>en</w:t>
      </w:r>
      <w:r>
        <w:rPr>
          <w:spacing w:val="-8"/>
        </w:rPr>
        <w:t xml:space="preserve"> </w:t>
      </w:r>
      <w:r>
        <w:t>el</w:t>
      </w:r>
      <w:r>
        <w:rPr>
          <w:spacing w:val="-7"/>
        </w:rPr>
        <w:t xml:space="preserve"> </w:t>
      </w:r>
      <w:r>
        <w:t>plebiscito</w:t>
      </w:r>
      <w:r>
        <w:rPr>
          <w:spacing w:val="-8"/>
        </w:rPr>
        <w:t xml:space="preserve"> </w:t>
      </w:r>
      <w:r>
        <w:t>sobre el acuerdo de paz con las FARC-EP.</w:t>
      </w:r>
    </w:p>
    <w:p w:rsidR="003804AC" w:rsidRDefault="00AF18A5" w:rsidP="00535BD7">
      <w:r>
        <w:t>En una perspectiva transgeneracional, hay que tener en cuenta que estas imágenes del enemigo fueron en otras épocas impulsadas incluso por sacerdotes y obispos de la Iglesia Católica que en la década de 1950 manipulaban las conciencias de los fieles en el púlpito, para empujarlos a odiar a los liberales y, en casos extremos, a matarlos. Esta herencia del odio</w:t>
      </w:r>
      <w:r>
        <w:rPr>
          <w:spacing w:val="-9"/>
        </w:rPr>
        <w:t xml:space="preserve"> </w:t>
      </w:r>
      <w:r>
        <w:t>a</w:t>
      </w:r>
      <w:r>
        <w:rPr>
          <w:spacing w:val="-9"/>
        </w:rPr>
        <w:t xml:space="preserve"> </w:t>
      </w:r>
      <w:r>
        <w:t>muerte</w:t>
      </w:r>
      <w:r>
        <w:rPr>
          <w:spacing w:val="-9"/>
        </w:rPr>
        <w:t xml:space="preserve"> </w:t>
      </w:r>
      <w:r>
        <w:t>ha</w:t>
      </w:r>
      <w:r>
        <w:rPr>
          <w:spacing w:val="-9"/>
        </w:rPr>
        <w:t xml:space="preserve"> </w:t>
      </w:r>
      <w:r>
        <w:t>permeado</w:t>
      </w:r>
      <w:r>
        <w:rPr>
          <w:spacing w:val="-9"/>
        </w:rPr>
        <w:t xml:space="preserve"> </w:t>
      </w:r>
      <w:r>
        <w:t>también</w:t>
      </w:r>
      <w:r>
        <w:rPr>
          <w:spacing w:val="-9"/>
        </w:rPr>
        <w:t xml:space="preserve"> </w:t>
      </w:r>
      <w:r>
        <w:t>actitudes</w:t>
      </w:r>
      <w:r>
        <w:rPr>
          <w:spacing w:val="-9"/>
        </w:rPr>
        <w:t xml:space="preserve"> </w:t>
      </w:r>
      <w:r>
        <w:t>sociales.</w:t>
      </w:r>
      <w:r>
        <w:rPr>
          <w:spacing w:val="-9"/>
        </w:rPr>
        <w:t xml:space="preserve"> </w:t>
      </w:r>
      <w:r>
        <w:t>También</w:t>
      </w:r>
      <w:r>
        <w:rPr>
          <w:spacing w:val="-9"/>
        </w:rPr>
        <w:t xml:space="preserve"> </w:t>
      </w:r>
      <w:r>
        <w:t>la</w:t>
      </w:r>
      <w:r>
        <w:rPr>
          <w:spacing w:val="-9"/>
        </w:rPr>
        <w:t xml:space="preserve"> </w:t>
      </w:r>
      <w:r>
        <w:t>Iglesia</w:t>
      </w:r>
      <w:r>
        <w:rPr>
          <w:spacing w:val="-9"/>
        </w:rPr>
        <w:t xml:space="preserve"> </w:t>
      </w:r>
      <w:r>
        <w:t>que</w:t>
      </w:r>
      <w:r>
        <w:rPr>
          <w:spacing w:val="-9"/>
        </w:rPr>
        <w:t xml:space="preserve"> </w:t>
      </w:r>
      <w:r>
        <w:t>le</w:t>
      </w:r>
      <w:r>
        <w:rPr>
          <w:spacing w:val="-9"/>
        </w:rPr>
        <w:t xml:space="preserve"> </w:t>
      </w:r>
      <w:r>
        <w:t>apuesta</w:t>
      </w:r>
      <w:r>
        <w:rPr>
          <w:spacing w:val="-10"/>
        </w:rPr>
        <w:t xml:space="preserve"> </w:t>
      </w:r>
      <w:r>
        <w:t>hoy a la reconciliación debe reconocer estas acciones que cimentaron el odio en otras épocas, para construir desde la verdad del daño producido un reconocimiento de su papel tan relevante en la construcción de la paz y el apoyo a las víctimas y comunidades afectadas.</w:t>
      </w:r>
    </w:p>
    <w:p w:rsidR="003804AC" w:rsidRDefault="00AF18A5" w:rsidP="00535BD7">
      <w:r>
        <w:t>La</w:t>
      </w:r>
      <w:r>
        <w:rPr>
          <w:spacing w:val="-15"/>
        </w:rPr>
        <w:t xml:space="preserve"> </w:t>
      </w:r>
      <w:r>
        <w:t>influencia</w:t>
      </w:r>
      <w:r>
        <w:rPr>
          <w:spacing w:val="-15"/>
        </w:rPr>
        <w:t xml:space="preserve"> </w:t>
      </w:r>
      <w:r>
        <w:t>acumulada</w:t>
      </w:r>
      <w:r>
        <w:rPr>
          <w:spacing w:val="-15"/>
        </w:rPr>
        <w:t xml:space="preserve"> </w:t>
      </w:r>
      <w:r>
        <w:t>de</w:t>
      </w:r>
      <w:r>
        <w:rPr>
          <w:spacing w:val="-15"/>
        </w:rPr>
        <w:t xml:space="preserve"> </w:t>
      </w:r>
      <w:r>
        <w:t>estas</w:t>
      </w:r>
      <w:r>
        <w:rPr>
          <w:spacing w:val="-15"/>
        </w:rPr>
        <w:t xml:space="preserve"> </w:t>
      </w:r>
      <w:r>
        <w:t>acciones</w:t>
      </w:r>
      <w:r>
        <w:rPr>
          <w:spacing w:val="-15"/>
        </w:rPr>
        <w:t xml:space="preserve"> </w:t>
      </w:r>
      <w:r>
        <w:t>impide</w:t>
      </w:r>
      <w:r>
        <w:rPr>
          <w:spacing w:val="-15"/>
        </w:rPr>
        <w:t xml:space="preserve"> </w:t>
      </w:r>
      <w:r>
        <w:t>un</w:t>
      </w:r>
      <w:r>
        <w:rPr>
          <w:spacing w:val="-15"/>
        </w:rPr>
        <w:t xml:space="preserve"> </w:t>
      </w:r>
      <w:r>
        <w:t>análisis</w:t>
      </w:r>
      <w:r>
        <w:rPr>
          <w:spacing w:val="-15"/>
        </w:rPr>
        <w:t xml:space="preserve"> </w:t>
      </w:r>
      <w:r>
        <w:t>o</w:t>
      </w:r>
      <w:r>
        <w:rPr>
          <w:spacing w:val="-15"/>
        </w:rPr>
        <w:t xml:space="preserve"> </w:t>
      </w:r>
      <w:r>
        <w:t>una</w:t>
      </w:r>
      <w:r>
        <w:rPr>
          <w:spacing w:val="-15"/>
        </w:rPr>
        <w:t xml:space="preserve"> </w:t>
      </w:r>
      <w:r>
        <w:t>mirada</w:t>
      </w:r>
      <w:r>
        <w:rPr>
          <w:spacing w:val="-15"/>
        </w:rPr>
        <w:t xml:space="preserve"> </w:t>
      </w:r>
      <w:r>
        <w:t>imparcial</w:t>
      </w:r>
      <w:r>
        <w:rPr>
          <w:spacing w:val="-15"/>
        </w:rPr>
        <w:t xml:space="preserve"> </w:t>
      </w:r>
      <w:r>
        <w:t>sobre las</w:t>
      </w:r>
      <w:r>
        <w:rPr>
          <w:spacing w:val="-15"/>
        </w:rPr>
        <w:t xml:space="preserve"> </w:t>
      </w:r>
      <w:r>
        <w:t>causas</w:t>
      </w:r>
      <w:r>
        <w:rPr>
          <w:spacing w:val="-15"/>
        </w:rPr>
        <w:t xml:space="preserve"> </w:t>
      </w:r>
      <w:r>
        <w:t>de</w:t>
      </w:r>
      <w:r>
        <w:rPr>
          <w:spacing w:val="-15"/>
        </w:rPr>
        <w:t xml:space="preserve"> </w:t>
      </w:r>
      <w:r>
        <w:t>la</w:t>
      </w:r>
      <w:r>
        <w:rPr>
          <w:spacing w:val="-14"/>
        </w:rPr>
        <w:t xml:space="preserve"> </w:t>
      </w:r>
      <w:r>
        <w:t>guerra,</w:t>
      </w:r>
      <w:r>
        <w:rPr>
          <w:spacing w:val="-15"/>
        </w:rPr>
        <w:t xml:space="preserve"> </w:t>
      </w:r>
      <w:r>
        <w:t>cuyo</w:t>
      </w:r>
      <w:r>
        <w:rPr>
          <w:spacing w:val="-14"/>
        </w:rPr>
        <w:t xml:space="preserve"> </w:t>
      </w:r>
      <w:r>
        <w:t>origen</w:t>
      </w:r>
      <w:r>
        <w:rPr>
          <w:spacing w:val="-15"/>
        </w:rPr>
        <w:t xml:space="preserve"> </w:t>
      </w:r>
      <w:r>
        <w:t>y</w:t>
      </w:r>
      <w:r>
        <w:rPr>
          <w:spacing w:val="-15"/>
        </w:rPr>
        <w:t xml:space="preserve"> </w:t>
      </w:r>
      <w:r>
        <w:t>dinámicas</w:t>
      </w:r>
      <w:r>
        <w:rPr>
          <w:spacing w:val="-14"/>
        </w:rPr>
        <w:t xml:space="preserve"> </w:t>
      </w:r>
      <w:r>
        <w:t>forman</w:t>
      </w:r>
      <w:r>
        <w:rPr>
          <w:spacing w:val="-15"/>
        </w:rPr>
        <w:t xml:space="preserve"> </w:t>
      </w:r>
      <w:r>
        <w:t>parte</w:t>
      </w:r>
      <w:r>
        <w:rPr>
          <w:spacing w:val="-14"/>
        </w:rPr>
        <w:t xml:space="preserve"> </w:t>
      </w:r>
      <w:r>
        <w:t>del</w:t>
      </w:r>
      <w:r>
        <w:rPr>
          <w:spacing w:val="-15"/>
        </w:rPr>
        <w:t xml:space="preserve"> </w:t>
      </w:r>
      <w:r>
        <w:t>mandato</w:t>
      </w:r>
      <w:r>
        <w:rPr>
          <w:spacing w:val="-14"/>
        </w:rPr>
        <w:t xml:space="preserve"> </w:t>
      </w:r>
      <w:r>
        <w:t>de</w:t>
      </w:r>
      <w:r>
        <w:rPr>
          <w:spacing w:val="-15"/>
        </w:rPr>
        <w:t xml:space="preserve"> </w:t>
      </w:r>
      <w:r>
        <w:t>esclarecimiento de la Comisión: enfatizando y utilizando el dolor, la exaltación de la violencia o la justificación</w:t>
      </w:r>
      <w:r>
        <w:rPr>
          <w:spacing w:val="-5"/>
        </w:rPr>
        <w:t xml:space="preserve"> </w:t>
      </w:r>
      <w:r>
        <w:t>de</w:t>
      </w:r>
      <w:r>
        <w:rPr>
          <w:spacing w:val="-5"/>
        </w:rPr>
        <w:t xml:space="preserve"> </w:t>
      </w:r>
      <w:r>
        <w:t>lo</w:t>
      </w:r>
      <w:r>
        <w:rPr>
          <w:spacing w:val="-5"/>
        </w:rPr>
        <w:t xml:space="preserve"> </w:t>
      </w:r>
      <w:r>
        <w:t>relativo</w:t>
      </w:r>
      <w:r>
        <w:rPr>
          <w:spacing w:val="-4"/>
        </w:rPr>
        <w:t xml:space="preserve"> </w:t>
      </w:r>
      <w:r>
        <w:t>a</w:t>
      </w:r>
      <w:r>
        <w:rPr>
          <w:spacing w:val="-5"/>
        </w:rPr>
        <w:t xml:space="preserve"> </w:t>
      </w:r>
      <w:r>
        <w:t>la</w:t>
      </w:r>
      <w:r>
        <w:rPr>
          <w:spacing w:val="-5"/>
        </w:rPr>
        <w:t xml:space="preserve"> </w:t>
      </w:r>
      <w:r>
        <w:t>seguridad,</w:t>
      </w:r>
      <w:r>
        <w:rPr>
          <w:spacing w:val="-4"/>
        </w:rPr>
        <w:t xml:space="preserve"> </w:t>
      </w:r>
      <w:r>
        <w:t>se</w:t>
      </w:r>
      <w:r>
        <w:rPr>
          <w:spacing w:val="-5"/>
        </w:rPr>
        <w:t xml:space="preserve"> </w:t>
      </w:r>
      <w:r>
        <w:t>evita</w:t>
      </w:r>
      <w:r>
        <w:rPr>
          <w:spacing w:val="-5"/>
        </w:rPr>
        <w:t xml:space="preserve"> </w:t>
      </w:r>
      <w:r>
        <w:t>hablar</w:t>
      </w:r>
      <w:r>
        <w:rPr>
          <w:spacing w:val="-3"/>
        </w:rPr>
        <w:t xml:space="preserve"> </w:t>
      </w:r>
      <w:r>
        <w:t>de</w:t>
      </w:r>
      <w:r>
        <w:rPr>
          <w:spacing w:val="-3"/>
        </w:rPr>
        <w:t xml:space="preserve"> </w:t>
      </w:r>
      <w:r>
        <w:t>desprotección,</w:t>
      </w:r>
      <w:r>
        <w:rPr>
          <w:spacing w:val="-6"/>
        </w:rPr>
        <w:t xml:space="preserve"> </w:t>
      </w:r>
      <w:r>
        <w:t>de</w:t>
      </w:r>
      <w:r>
        <w:rPr>
          <w:spacing w:val="-3"/>
        </w:rPr>
        <w:t xml:space="preserve"> </w:t>
      </w:r>
      <w:r>
        <w:t>la</w:t>
      </w:r>
      <w:r>
        <w:rPr>
          <w:spacing w:val="-5"/>
        </w:rPr>
        <w:t xml:space="preserve"> </w:t>
      </w:r>
      <w:r>
        <w:t>persistencia de la violencia, de</w:t>
      </w:r>
      <w:r>
        <w:rPr>
          <w:spacing w:val="-1"/>
        </w:rPr>
        <w:t xml:space="preserve"> </w:t>
      </w:r>
      <w:r>
        <w:t>la reconfiguración</w:t>
      </w:r>
      <w:r>
        <w:rPr>
          <w:spacing w:val="-1"/>
        </w:rPr>
        <w:t xml:space="preserve"> </w:t>
      </w:r>
      <w:r>
        <w:t>violenta de</w:t>
      </w:r>
      <w:r>
        <w:rPr>
          <w:spacing w:val="-1"/>
        </w:rPr>
        <w:t xml:space="preserve"> </w:t>
      </w:r>
      <w:r>
        <w:t>los territorios, del papel</w:t>
      </w:r>
      <w:r>
        <w:rPr>
          <w:spacing w:val="-1"/>
        </w:rPr>
        <w:t xml:space="preserve"> </w:t>
      </w:r>
      <w:r>
        <w:t>de la</w:t>
      </w:r>
      <w:r>
        <w:rPr>
          <w:spacing w:val="-1"/>
        </w:rPr>
        <w:t xml:space="preserve"> </w:t>
      </w:r>
      <w:r>
        <w:t>impunidad o del incumplimiento de acuerdos. Es decir, se evita hablar de algunas razones más estructurales</w:t>
      </w:r>
      <w:r>
        <w:rPr>
          <w:spacing w:val="-6"/>
        </w:rPr>
        <w:t xml:space="preserve"> </w:t>
      </w:r>
      <w:r>
        <w:t>que</w:t>
      </w:r>
      <w:r>
        <w:rPr>
          <w:spacing w:val="-5"/>
        </w:rPr>
        <w:t xml:space="preserve"> </w:t>
      </w:r>
      <w:r>
        <w:t>han</w:t>
      </w:r>
      <w:r>
        <w:rPr>
          <w:spacing w:val="-5"/>
        </w:rPr>
        <w:t xml:space="preserve"> </w:t>
      </w:r>
      <w:r>
        <w:t>favorecido</w:t>
      </w:r>
      <w:r>
        <w:rPr>
          <w:spacing w:val="-5"/>
        </w:rPr>
        <w:t xml:space="preserve"> </w:t>
      </w:r>
      <w:r>
        <w:t>el</w:t>
      </w:r>
      <w:r>
        <w:rPr>
          <w:spacing w:val="-4"/>
        </w:rPr>
        <w:t xml:space="preserve"> </w:t>
      </w:r>
      <w:r>
        <w:t>bloqueo</w:t>
      </w:r>
      <w:r>
        <w:rPr>
          <w:spacing w:val="-5"/>
        </w:rPr>
        <w:t xml:space="preserve"> </w:t>
      </w:r>
      <w:r>
        <w:t>de</w:t>
      </w:r>
      <w:r>
        <w:rPr>
          <w:spacing w:val="-5"/>
        </w:rPr>
        <w:t xml:space="preserve"> </w:t>
      </w:r>
      <w:r>
        <w:t>los</w:t>
      </w:r>
      <w:r>
        <w:rPr>
          <w:spacing w:val="-5"/>
        </w:rPr>
        <w:t xml:space="preserve"> </w:t>
      </w:r>
      <w:r>
        <w:t>distintos</w:t>
      </w:r>
      <w:r>
        <w:rPr>
          <w:spacing w:val="-5"/>
        </w:rPr>
        <w:t xml:space="preserve"> </w:t>
      </w:r>
      <w:r>
        <w:t>procesos</w:t>
      </w:r>
      <w:r>
        <w:rPr>
          <w:spacing w:val="-5"/>
        </w:rPr>
        <w:t xml:space="preserve"> </w:t>
      </w:r>
      <w:r>
        <w:t>de</w:t>
      </w:r>
      <w:r>
        <w:rPr>
          <w:spacing w:val="-5"/>
        </w:rPr>
        <w:t xml:space="preserve"> </w:t>
      </w:r>
      <w:r>
        <w:t>paz,</w:t>
      </w:r>
      <w:r>
        <w:rPr>
          <w:spacing w:val="-5"/>
        </w:rPr>
        <w:t xml:space="preserve"> </w:t>
      </w:r>
      <w:r>
        <w:t>dejando</w:t>
      </w:r>
      <w:r>
        <w:rPr>
          <w:spacing w:val="-5"/>
        </w:rPr>
        <w:t xml:space="preserve"> </w:t>
      </w:r>
      <w:r>
        <w:t xml:space="preserve">abierto un dolor y una rabia que se pueden </w:t>
      </w:r>
      <w:r>
        <w:lastRenderedPageBreak/>
        <w:t>utilizar políticamente para negar los avances o las demandas sociales. La respuesta</w:t>
      </w:r>
      <w:r>
        <w:rPr>
          <w:spacing w:val="-1"/>
        </w:rPr>
        <w:t xml:space="preserve"> </w:t>
      </w:r>
      <w:r>
        <w:t>en</w:t>
      </w:r>
      <w:r>
        <w:rPr>
          <w:spacing w:val="-1"/>
        </w:rPr>
        <w:t xml:space="preserve"> </w:t>
      </w:r>
      <w:r>
        <w:t>esas situaciones es emocional, sin pensar, sin ver</w:t>
      </w:r>
      <w:r>
        <w:rPr>
          <w:spacing w:val="-1"/>
        </w:rPr>
        <w:t xml:space="preserve"> </w:t>
      </w:r>
      <w:r>
        <w:t>lo que hay de común en diferentes posiciones y, por lo tanto, estimulando respuestas automáticas sin análisis o diálogo.</w:t>
      </w:r>
    </w:p>
    <w:p w:rsidR="003804AC" w:rsidRDefault="00AF18A5" w:rsidP="00535BD7">
      <w:r>
        <w:t>Por último, la rabia y el enojo social son también la expresión de muchos sectores en los cuales se</w:t>
      </w:r>
      <w:r>
        <w:rPr>
          <w:spacing w:val="2"/>
        </w:rPr>
        <w:t xml:space="preserve"> </w:t>
      </w:r>
      <w:r>
        <w:t>ha</w:t>
      </w:r>
      <w:r>
        <w:rPr>
          <w:spacing w:val="2"/>
        </w:rPr>
        <w:t xml:space="preserve"> </w:t>
      </w:r>
      <w:r>
        <w:t>dado</w:t>
      </w:r>
      <w:r>
        <w:rPr>
          <w:spacing w:val="2"/>
        </w:rPr>
        <w:t xml:space="preserve"> </w:t>
      </w:r>
      <w:r>
        <w:t>una</w:t>
      </w:r>
      <w:r>
        <w:rPr>
          <w:spacing w:val="3"/>
        </w:rPr>
        <w:t xml:space="preserve"> </w:t>
      </w:r>
      <w:r>
        <w:t>exclusión</w:t>
      </w:r>
      <w:r>
        <w:rPr>
          <w:spacing w:val="2"/>
        </w:rPr>
        <w:t xml:space="preserve"> </w:t>
      </w:r>
      <w:r>
        <w:t>permanente</w:t>
      </w:r>
      <w:r>
        <w:rPr>
          <w:spacing w:val="3"/>
        </w:rPr>
        <w:t xml:space="preserve"> </w:t>
      </w:r>
      <w:r>
        <w:t>a</w:t>
      </w:r>
      <w:r>
        <w:rPr>
          <w:spacing w:val="2"/>
        </w:rPr>
        <w:t xml:space="preserve"> </w:t>
      </w:r>
      <w:r>
        <w:t>lo</w:t>
      </w:r>
      <w:r>
        <w:rPr>
          <w:spacing w:val="3"/>
        </w:rPr>
        <w:t xml:space="preserve"> </w:t>
      </w:r>
      <w:r>
        <w:t>largo</w:t>
      </w:r>
      <w:r>
        <w:rPr>
          <w:spacing w:val="2"/>
        </w:rPr>
        <w:t xml:space="preserve"> </w:t>
      </w:r>
      <w:r>
        <w:t>de</w:t>
      </w:r>
      <w:r>
        <w:rPr>
          <w:spacing w:val="3"/>
        </w:rPr>
        <w:t xml:space="preserve"> </w:t>
      </w:r>
      <w:r>
        <w:t>la</w:t>
      </w:r>
      <w:r>
        <w:rPr>
          <w:spacing w:val="1"/>
        </w:rPr>
        <w:t xml:space="preserve"> </w:t>
      </w:r>
      <w:r>
        <w:t>historia.</w:t>
      </w:r>
      <w:r>
        <w:rPr>
          <w:spacing w:val="3"/>
        </w:rPr>
        <w:t xml:space="preserve"> </w:t>
      </w:r>
      <w:r>
        <w:t>El</w:t>
      </w:r>
      <w:r>
        <w:rPr>
          <w:spacing w:val="3"/>
        </w:rPr>
        <w:t xml:space="preserve"> </w:t>
      </w:r>
      <w:r>
        <w:t>enojo</w:t>
      </w:r>
      <w:r>
        <w:rPr>
          <w:spacing w:val="3"/>
        </w:rPr>
        <w:t xml:space="preserve"> </w:t>
      </w:r>
      <w:r>
        <w:t>en</w:t>
      </w:r>
      <w:r>
        <w:rPr>
          <w:spacing w:val="2"/>
        </w:rPr>
        <w:t xml:space="preserve"> </w:t>
      </w:r>
      <w:r>
        <w:t>esos</w:t>
      </w:r>
      <w:r>
        <w:rPr>
          <w:spacing w:val="3"/>
        </w:rPr>
        <w:t xml:space="preserve"> </w:t>
      </w:r>
      <w:r>
        <w:rPr>
          <w:spacing w:val="-2"/>
        </w:rPr>
        <w:t>casos</w:t>
      </w:r>
      <w:r w:rsidR="00535BD7">
        <w:rPr>
          <w:spacing w:val="-2"/>
        </w:rPr>
        <w:t xml:space="preserve"> </w:t>
      </w:r>
      <w:r>
        <w:t>se</w:t>
      </w:r>
      <w:r>
        <w:rPr>
          <w:spacing w:val="-4"/>
        </w:rPr>
        <w:t xml:space="preserve"> </w:t>
      </w:r>
      <w:r>
        <w:t>expresa</w:t>
      </w:r>
      <w:r>
        <w:rPr>
          <w:spacing w:val="-3"/>
        </w:rPr>
        <w:t xml:space="preserve"> </w:t>
      </w:r>
      <w:r>
        <w:t>en</w:t>
      </w:r>
      <w:r>
        <w:rPr>
          <w:spacing w:val="-4"/>
        </w:rPr>
        <w:t xml:space="preserve"> </w:t>
      </w:r>
      <w:r>
        <w:t>luchas</w:t>
      </w:r>
      <w:r>
        <w:rPr>
          <w:spacing w:val="-3"/>
        </w:rPr>
        <w:t xml:space="preserve"> </w:t>
      </w:r>
      <w:r>
        <w:t>en</w:t>
      </w:r>
      <w:r>
        <w:rPr>
          <w:spacing w:val="-4"/>
        </w:rPr>
        <w:t xml:space="preserve"> </w:t>
      </w:r>
      <w:r>
        <w:t>la</w:t>
      </w:r>
      <w:r>
        <w:rPr>
          <w:spacing w:val="-3"/>
        </w:rPr>
        <w:t xml:space="preserve"> </w:t>
      </w:r>
      <w:r>
        <w:t>calle</w:t>
      </w:r>
      <w:r>
        <w:rPr>
          <w:spacing w:val="-3"/>
        </w:rPr>
        <w:t xml:space="preserve"> </w:t>
      </w:r>
      <w:r>
        <w:t>que</w:t>
      </w:r>
      <w:r>
        <w:rPr>
          <w:spacing w:val="-3"/>
        </w:rPr>
        <w:t xml:space="preserve"> </w:t>
      </w:r>
      <w:r>
        <w:t>tratan</w:t>
      </w:r>
      <w:r>
        <w:rPr>
          <w:spacing w:val="-4"/>
        </w:rPr>
        <w:t xml:space="preserve"> </w:t>
      </w:r>
      <w:r>
        <w:t>de</w:t>
      </w:r>
      <w:r>
        <w:rPr>
          <w:spacing w:val="-3"/>
        </w:rPr>
        <w:t xml:space="preserve"> </w:t>
      </w:r>
      <w:r>
        <w:t>conquistar</w:t>
      </w:r>
      <w:r>
        <w:rPr>
          <w:spacing w:val="-3"/>
        </w:rPr>
        <w:t xml:space="preserve"> </w:t>
      </w:r>
      <w:r>
        <w:t>un</w:t>
      </w:r>
      <w:r>
        <w:rPr>
          <w:spacing w:val="-4"/>
        </w:rPr>
        <w:t xml:space="preserve"> </w:t>
      </w:r>
      <w:r>
        <w:t>espacio</w:t>
      </w:r>
      <w:r>
        <w:rPr>
          <w:spacing w:val="-4"/>
        </w:rPr>
        <w:t xml:space="preserve"> </w:t>
      </w:r>
      <w:r>
        <w:t>social</w:t>
      </w:r>
      <w:r>
        <w:rPr>
          <w:spacing w:val="-4"/>
        </w:rPr>
        <w:t xml:space="preserve"> </w:t>
      </w:r>
      <w:r>
        <w:t>que</w:t>
      </w:r>
      <w:r>
        <w:rPr>
          <w:spacing w:val="-3"/>
        </w:rPr>
        <w:t xml:space="preserve"> </w:t>
      </w:r>
      <w:r>
        <w:t>les</w:t>
      </w:r>
      <w:r>
        <w:rPr>
          <w:spacing w:val="-3"/>
        </w:rPr>
        <w:t xml:space="preserve"> </w:t>
      </w:r>
      <w:r>
        <w:t>es</w:t>
      </w:r>
      <w:r>
        <w:rPr>
          <w:spacing w:val="-3"/>
        </w:rPr>
        <w:t xml:space="preserve"> </w:t>
      </w:r>
      <w:r>
        <w:t>negado, y es una puja por querer pertenecer, una demanda de inclusión social que muchas veces en Colombia ha sido respondida con criminalización de la protesta, en lugar de diálogo y negociación que escuche las demandas como lo que son y que no las vuelva a señalar como vandalismo o guerrillas, como sucedió en las movilizaciones de mayo de 2021. Las movilizaciones</w:t>
      </w:r>
      <w:r>
        <w:rPr>
          <w:spacing w:val="-3"/>
        </w:rPr>
        <w:t xml:space="preserve"> </w:t>
      </w:r>
      <w:r>
        <w:t>sociales</w:t>
      </w:r>
      <w:r>
        <w:rPr>
          <w:spacing w:val="-4"/>
        </w:rPr>
        <w:t xml:space="preserve"> </w:t>
      </w:r>
      <w:r>
        <w:t>muestran</w:t>
      </w:r>
      <w:r>
        <w:rPr>
          <w:spacing w:val="-3"/>
        </w:rPr>
        <w:t xml:space="preserve"> </w:t>
      </w:r>
      <w:r>
        <w:t>que</w:t>
      </w:r>
      <w:r>
        <w:rPr>
          <w:spacing w:val="-3"/>
        </w:rPr>
        <w:t xml:space="preserve"> </w:t>
      </w:r>
      <w:r>
        <w:t>las</w:t>
      </w:r>
      <w:r>
        <w:rPr>
          <w:spacing w:val="-3"/>
        </w:rPr>
        <w:t xml:space="preserve"> </w:t>
      </w:r>
      <w:r>
        <w:t>nuevas</w:t>
      </w:r>
      <w:r>
        <w:rPr>
          <w:spacing w:val="-4"/>
        </w:rPr>
        <w:t xml:space="preserve"> </w:t>
      </w:r>
      <w:r>
        <w:t>generaciones</w:t>
      </w:r>
      <w:r>
        <w:rPr>
          <w:spacing w:val="-3"/>
        </w:rPr>
        <w:t xml:space="preserve"> </w:t>
      </w:r>
      <w:r>
        <w:t>han</w:t>
      </w:r>
      <w:r>
        <w:rPr>
          <w:spacing w:val="-3"/>
        </w:rPr>
        <w:t xml:space="preserve"> </w:t>
      </w:r>
      <w:r>
        <w:t>ido</w:t>
      </w:r>
      <w:r>
        <w:rPr>
          <w:spacing w:val="-3"/>
        </w:rPr>
        <w:t xml:space="preserve"> </w:t>
      </w:r>
      <w:r>
        <w:t>perdiendo</w:t>
      </w:r>
      <w:r>
        <w:rPr>
          <w:spacing w:val="-3"/>
        </w:rPr>
        <w:t xml:space="preserve"> </w:t>
      </w:r>
      <w:r>
        <w:t>el</w:t>
      </w:r>
      <w:r>
        <w:rPr>
          <w:spacing w:val="-3"/>
        </w:rPr>
        <w:t xml:space="preserve"> </w:t>
      </w:r>
      <w:r>
        <w:t>miedo</w:t>
      </w:r>
      <w:r>
        <w:rPr>
          <w:spacing w:val="-3"/>
        </w:rPr>
        <w:t xml:space="preserve"> </w:t>
      </w:r>
      <w:r>
        <w:t>a expresarse, a reivindicar a las víctimas, a ocupar la calles y a movilizarse colectivamente, como también lo ha hecho desde inicios de la década de 2000 la Minga indígena, para convocar una política que plantee un futuro que no sea la reproducción de la violencia o la adaptación a la exclusión y la inequidad.</w:t>
      </w:r>
    </w:p>
    <w:p w:rsidR="0011361F" w:rsidRPr="00535BD7" w:rsidRDefault="00AF18A5" w:rsidP="004A6EF4">
      <w:pPr>
        <w:pStyle w:val="Ttulo3"/>
        <w:numPr>
          <w:ilvl w:val="2"/>
          <w:numId w:val="18"/>
        </w:numPr>
      </w:pPr>
      <w:bookmarkStart w:id="55" w:name="1.3.6._Naturalización_para_adaptarse_al_"/>
      <w:bookmarkStart w:id="56" w:name="_Toc112399535"/>
      <w:bookmarkEnd w:id="55"/>
      <w:r w:rsidRPr="00535BD7">
        <w:t>Naturalización para adaptarse al desastre de la guerra</w:t>
      </w:r>
      <w:bookmarkEnd w:id="56"/>
    </w:p>
    <w:p w:rsidR="003804AC" w:rsidRDefault="00AF18A5" w:rsidP="003F2710">
      <w:r>
        <w:t>Las décadas de conflicto armado y la impunidad asociada a la mayor parte de esos hechos han llevado a una naturalización de la violencia que penetra en la vida cotidiana, los conflictos</w:t>
      </w:r>
      <w:r>
        <w:rPr>
          <w:spacing w:val="-11"/>
        </w:rPr>
        <w:t xml:space="preserve"> </w:t>
      </w:r>
      <w:r>
        <w:t>políticos,</w:t>
      </w:r>
      <w:r>
        <w:rPr>
          <w:spacing w:val="-12"/>
        </w:rPr>
        <w:t xml:space="preserve"> </w:t>
      </w:r>
      <w:r>
        <w:t>las</w:t>
      </w:r>
      <w:r>
        <w:rPr>
          <w:spacing w:val="-12"/>
        </w:rPr>
        <w:t xml:space="preserve"> </w:t>
      </w:r>
      <w:r>
        <w:t>relaciones</w:t>
      </w:r>
      <w:r>
        <w:rPr>
          <w:spacing w:val="-11"/>
        </w:rPr>
        <w:t xml:space="preserve"> </w:t>
      </w:r>
      <w:r>
        <w:t>sociales</w:t>
      </w:r>
      <w:r>
        <w:rPr>
          <w:spacing w:val="-11"/>
        </w:rPr>
        <w:t xml:space="preserve"> </w:t>
      </w:r>
      <w:r>
        <w:t>o</w:t>
      </w:r>
      <w:r>
        <w:rPr>
          <w:spacing w:val="-11"/>
        </w:rPr>
        <w:t xml:space="preserve"> </w:t>
      </w:r>
      <w:r>
        <w:t>las</w:t>
      </w:r>
      <w:r>
        <w:rPr>
          <w:spacing w:val="-11"/>
        </w:rPr>
        <w:t xml:space="preserve"> </w:t>
      </w:r>
      <w:r>
        <w:t>actitudes</w:t>
      </w:r>
      <w:r>
        <w:rPr>
          <w:spacing w:val="-11"/>
        </w:rPr>
        <w:t xml:space="preserve"> </w:t>
      </w:r>
      <w:r>
        <w:t>frente</w:t>
      </w:r>
      <w:r>
        <w:rPr>
          <w:spacing w:val="-11"/>
        </w:rPr>
        <w:t xml:space="preserve"> </w:t>
      </w:r>
      <w:r>
        <w:t>a</w:t>
      </w:r>
      <w:r>
        <w:rPr>
          <w:spacing w:val="-12"/>
        </w:rPr>
        <w:t xml:space="preserve"> </w:t>
      </w:r>
      <w:r>
        <w:t>las</w:t>
      </w:r>
      <w:r>
        <w:rPr>
          <w:spacing w:val="-11"/>
        </w:rPr>
        <w:t xml:space="preserve"> </w:t>
      </w:r>
      <w:r>
        <w:t>víctimas</w:t>
      </w:r>
      <w:r>
        <w:rPr>
          <w:spacing w:val="-11"/>
        </w:rPr>
        <w:t xml:space="preserve"> </w:t>
      </w:r>
      <w:r>
        <w:t>en</w:t>
      </w:r>
      <w:r>
        <w:rPr>
          <w:spacing w:val="-12"/>
        </w:rPr>
        <w:t xml:space="preserve"> </w:t>
      </w:r>
      <w:r>
        <w:t>la</w:t>
      </w:r>
      <w:r>
        <w:rPr>
          <w:spacing w:val="-11"/>
        </w:rPr>
        <w:t xml:space="preserve"> </w:t>
      </w:r>
      <w:r>
        <w:t>sociedad. También han penetrado en la forma de ser y reaccionar de buena parte de la población, con una actitud defensiva como mecanismo de protección frente a una cotidianidad que</w:t>
      </w:r>
      <w:r>
        <w:rPr>
          <w:spacing w:val="-1"/>
        </w:rPr>
        <w:t xml:space="preserve"> </w:t>
      </w:r>
      <w:r>
        <w:t xml:space="preserve">muchas veces es percibida como </w:t>
      </w:r>
      <w:r>
        <w:lastRenderedPageBreak/>
        <w:t>amenazante y que ha tenido un impacto en las actitudes políticas.</w:t>
      </w:r>
    </w:p>
    <w:p w:rsidR="003804AC" w:rsidRDefault="00AF18A5" w:rsidP="003F2710">
      <w:r>
        <w:t>El refugio en la familia ha sido frecuentemente una manera de proteger lo que más se quiere,</w:t>
      </w:r>
      <w:r>
        <w:rPr>
          <w:spacing w:val="-7"/>
        </w:rPr>
        <w:t xml:space="preserve"> </w:t>
      </w:r>
      <w:r>
        <w:t>pero</w:t>
      </w:r>
      <w:r>
        <w:rPr>
          <w:spacing w:val="-8"/>
        </w:rPr>
        <w:t xml:space="preserve"> </w:t>
      </w:r>
      <w:r>
        <w:t>también</w:t>
      </w:r>
      <w:r>
        <w:rPr>
          <w:spacing w:val="-7"/>
        </w:rPr>
        <w:t xml:space="preserve"> </w:t>
      </w:r>
      <w:r>
        <w:t>muchas</w:t>
      </w:r>
      <w:r>
        <w:rPr>
          <w:spacing w:val="-6"/>
        </w:rPr>
        <w:t xml:space="preserve"> </w:t>
      </w:r>
      <w:r>
        <w:t>veces</w:t>
      </w:r>
      <w:r>
        <w:rPr>
          <w:spacing w:val="-6"/>
        </w:rPr>
        <w:t xml:space="preserve"> </w:t>
      </w:r>
      <w:r>
        <w:t>una</w:t>
      </w:r>
      <w:r>
        <w:rPr>
          <w:spacing w:val="-6"/>
        </w:rPr>
        <w:t xml:space="preserve"> </w:t>
      </w:r>
      <w:r>
        <w:t>forma</w:t>
      </w:r>
      <w:r>
        <w:rPr>
          <w:spacing w:val="-7"/>
        </w:rPr>
        <w:t xml:space="preserve"> </w:t>
      </w:r>
      <w:r>
        <w:t>de</w:t>
      </w:r>
      <w:r>
        <w:rPr>
          <w:spacing w:val="-7"/>
        </w:rPr>
        <w:t xml:space="preserve"> </w:t>
      </w:r>
      <w:r>
        <w:t>no</w:t>
      </w:r>
      <w:r>
        <w:rPr>
          <w:spacing w:val="-6"/>
        </w:rPr>
        <w:t xml:space="preserve"> </w:t>
      </w:r>
      <w:r>
        <w:t>reaccionar</w:t>
      </w:r>
      <w:r>
        <w:rPr>
          <w:spacing w:val="-6"/>
        </w:rPr>
        <w:t xml:space="preserve"> </w:t>
      </w:r>
      <w:r>
        <w:t>o</w:t>
      </w:r>
      <w:r>
        <w:rPr>
          <w:spacing w:val="-6"/>
        </w:rPr>
        <w:t xml:space="preserve"> </w:t>
      </w:r>
      <w:r>
        <w:t>no</w:t>
      </w:r>
      <w:r>
        <w:rPr>
          <w:spacing w:val="-7"/>
        </w:rPr>
        <w:t xml:space="preserve"> </w:t>
      </w:r>
      <w:r>
        <w:t>tener</w:t>
      </w:r>
      <w:r>
        <w:rPr>
          <w:spacing w:val="-8"/>
        </w:rPr>
        <w:t xml:space="preserve"> </w:t>
      </w:r>
      <w:r>
        <w:t>sensibilidad</w:t>
      </w:r>
      <w:r>
        <w:rPr>
          <w:spacing w:val="-7"/>
        </w:rPr>
        <w:t xml:space="preserve"> </w:t>
      </w:r>
      <w:r>
        <w:t>frente a lo que les pasa a otros; incluso ha servido para justificar la agresión. No se trata de reacciones individuales, sino de contextos de violencia e impunidad que se necesita transformar.</w:t>
      </w:r>
      <w:r>
        <w:rPr>
          <w:spacing w:val="-5"/>
        </w:rPr>
        <w:t xml:space="preserve"> </w:t>
      </w:r>
      <w:r>
        <w:t>El</w:t>
      </w:r>
      <w:r>
        <w:rPr>
          <w:spacing w:val="-4"/>
        </w:rPr>
        <w:t xml:space="preserve"> </w:t>
      </w:r>
      <w:r>
        <w:t>hecho</w:t>
      </w:r>
      <w:r>
        <w:rPr>
          <w:spacing w:val="-4"/>
        </w:rPr>
        <w:t xml:space="preserve"> </w:t>
      </w:r>
      <w:r>
        <w:t>de</w:t>
      </w:r>
      <w:r>
        <w:rPr>
          <w:spacing w:val="-4"/>
        </w:rPr>
        <w:t xml:space="preserve"> </w:t>
      </w:r>
      <w:r>
        <w:t>que</w:t>
      </w:r>
      <w:r>
        <w:rPr>
          <w:spacing w:val="-4"/>
        </w:rPr>
        <w:t xml:space="preserve"> </w:t>
      </w:r>
      <w:r>
        <w:t>muchas</w:t>
      </w:r>
      <w:r>
        <w:rPr>
          <w:spacing w:val="-5"/>
        </w:rPr>
        <w:t xml:space="preserve"> </w:t>
      </w:r>
      <w:r>
        <w:t>de</w:t>
      </w:r>
      <w:r>
        <w:rPr>
          <w:spacing w:val="-4"/>
        </w:rPr>
        <w:t xml:space="preserve"> </w:t>
      </w:r>
      <w:r>
        <w:t>estas</w:t>
      </w:r>
      <w:r>
        <w:rPr>
          <w:spacing w:val="-4"/>
        </w:rPr>
        <w:t xml:space="preserve"> </w:t>
      </w:r>
      <w:r>
        <w:t>situaciones</w:t>
      </w:r>
      <w:r>
        <w:rPr>
          <w:spacing w:val="-4"/>
        </w:rPr>
        <w:t xml:space="preserve"> </w:t>
      </w:r>
      <w:r>
        <w:t>se</w:t>
      </w:r>
      <w:r>
        <w:rPr>
          <w:spacing w:val="-4"/>
        </w:rPr>
        <w:t xml:space="preserve"> </w:t>
      </w:r>
      <w:r>
        <w:t>hayan</w:t>
      </w:r>
      <w:r>
        <w:rPr>
          <w:spacing w:val="-4"/>
        </w:rPr>
        <w:t xml:space="preserve"> </w:t>
      </w:r>
      <w:r>
        <w:t>repetido</w:t>
      </w:r>
      <w:r>
        <w:rPr>
          <w:spacing w:val="-4"/>
        </w:rPr>
        <w:t xml:space="preserve"> </w:t>
      </w:r>
      <w:r>
        <w:t>durante</w:t>
      </w:r>
      <w:r>
        <w:rPr>
          <w:spacing w:val="-4"/>
        </w:rPr>
        <w:t xml:space="preserve"> </w:t>
      </w:r>
      <w:r>
        <w:t>décadas tiene,</w:t>
      </w:r>
      <w:r>
        <w:rPr>
          <w:spacing w:val="-3"/>
        </w:rPr>
        <w:t xml:space="preserve"> </w:t>
      </w:r>
      <w:r>
        <w:t>indudablemente,</w:t>
      </w:r>
      <w:r>
        <w:rPr>
          <w:spacing w:val="-2"/>
        </w:rPr>
        <w:t xml:space="preserve"> </w:t>
      </w:r>
      <w:r>
        <w:t>un</w:t>
      </w:r>
      <w:r>
        <w:rPr>
          <w:spacing w:val="-2"/>
        </w:rPr>
        <w:t xml:space="preserve"> </w:t>
      </w:r>
      <w:r>
        <w:t>impacto</w:t>
      </w:r>
      <w:r>
        <w:rPr>
          <w:spacing w:val="-2"/>
        </w:rPr>
        <w:t xml:space="preserve"> </w:t>
      </w:r>
      <w:r>
        <w:t>no</w:t>
      </w:r>
      <w:r>
        <w:rPr>
          <w:spacing w:val="-2"/>
        </w:rPr>
        <w:t xml:space="preserve"> </w:t>
      </w:r>
      <w:r>
        <w:t>solo</w:t>
      </w:r>
      <w:r>
        <w:rPr>
          <w:spacing w:val="-2"/>
        </w:rPr>
        <w:t xml:space="preserve"> </w:t>
      </w:r>
      <w:r>
        <w:t>en</w:t>
      </w:r>
      <w:r>
        <w:rPr>
          <w:spacing w:val="-2"/>
        </w:rPr>
        <w:t xml:space="preserve"> </w:t>
      </w:r>
      <w:r>
        <w:t>el</w:t>
      </w:r>
      <w:r>
        <w:rPr>
          <w:spacing w:val="-3"/>
        </w:rPr>
        <w:t xml:space="preserve"> </w:t>
      </w:r>
      <w:r>
        <w:t>clima</w:t>
      </w:r>
      <w:r>
        <w:rPr>
          <w:spacing w:val="-2"/>
        </w:rPr>
        <w:t xml:space="preserve"> </w:t>
      </w:r>
      <w:r>
        <w:t>emocional</w:t>
      </w:r>
      <w:r>
        <w:rPr>
          <w:spacing w:val="-2"/>
        </w:rPr>
        <w:t xml:space="preserve"> </w:t>
      </w:r>
      <w:r>
        <w:t>colectivo,</w:t>
      </w:r>
      <w:r>
        <w:rPr>
          <w:spacing w:val="-2"/>
        </w:rPr>
        <w:t xml:space="preserve"> </w:t>
      </w:r>
      <w:r>
        <w:t>sino</w:t>
      </w:r>
      <w:r>
        <w:rPr>
          <w:spacing w:val="-2"/>
        </w:rPr>
        <w:t xml:space="preserve"> </w:t>
      </w:r>
      <w:r>
        <w:t>también</w:t>
      </w:r>
      <w:r>
        <w:rPr>
          <w:spacing w:val="-2"/>
        </w:rPr>
        <w:t xml:space="preserve"> </w:t>
      </w:r>
      <w:r>
        <w:t>en la cultura («cuidado donde te metes», «por algo le habrá pasado, en algo andaría»).</w:t>
      </w:r>
    </w:p>
    <w:p w:rsidR="003804AC" w:rsidRDefault="00AF18A5" w:rsidP="003F2710">
      <w:r>
        <w:t>La</w:t>
      </w:r>
      <w:r>
        <w:rPr>
          <w:spacing w:val="-3"/>
        </w:rPr>
        <w:t xml:space="preserve"> </w:t>
      </w:r>
      <w:r>
        <w:t>falta</w:t>
      </w:r>
      <w:r>
        <w:rPr>
          <w:spacing w:val="-3"/>
        </w:rPr>
        <w:t xml:space="preserve"> </w:t>
      </w:r>
      <w:r>
        <w:t>de</w:t>
      </w:r>
      <w:r>
        <w:rPr>
          <w:spacing w:val="-4"/>
        </w:rPr>
        <w:t xml:space="preserve"> </w:t>
      </w:r>
      <w:r>
        <w:t>investigación</w:t>
      </w:r>
      <w:r>
        <w:rPr>
          <w:spacing w:val="-5"/>
        </w:rPr>
        <w:t xml:space="preserve"> </w:t>
      </w:r>
      <w:r>
        <w:t>de</w:t>
      </w:r>
      <w:r>
        <w:rPr>
          <w:spacing w:val="-3"/>
        </w:rPr>
        <w:t xml:space="preserve"> </w:t>
      </w:r>
      <w:r>
        <w:t>los</w:t>
      </w:r>
      <w:r>
        <w:rPr>
          <w:spacing w:val="-3"/>
        </w:rPr>
        <w:t xml:space="preserve"> </w:t>
      </w:r>
      <w:r>
        <w:t>hechos</w:t>
      </w:r>
      <w:r>
        <w:rPr>
          <w:spacing w:val="-3"/>
        </w:rPr>
        <w:t xml:space="preserve"> </w:t>
      </w:r>
      <w:r>
        <w:t>y</w:t>
      </w:r>
      <w:r>
        <w:rPr>
          <w:spacing w:val="-3"/>
        </w:rPr>
        <w:t xml:space="preserve"> </w:t>
      </w:r>
      <w:r>
        <w:t>de</w:t>
      </w:r>
      <w:r>
        <w:rPr>
          <w:spacing w:val="-3"/>
        </w:rPr>
        <w:t xml:space="preserve"> </w:t>
      </w:r>
      <w:r>
        <w:t>respuesta</w:t>
      </w:r>
      <w:r>
        <w:rPr>
          <w:spacing w:val="-4"/>
        </w:rPr>
        <w:t xml:space="preserve"> </w:t>
      </w:r>
      <w:r>
        <w:t>institucional</w:t>
      </w:r>
      <w:r>
        <w:rPr>
          <w:spacing w:val="-4"/>
        </w:rPr>
        <w:t xml:space="preserve"> </w:t>
      </w:r>
      <w:r>
        <w:t>adecuada</w:t>
      </w:r>
      <w:r>
        <w:rPr>
          <w:spacing w:val="-3"/>
        </w:rPr>
        <w:t xml:space="preserve"> </w:t>
      </w:r>
      <w:r>
        <w:t>ha</w:t>
      </w:r>
      <w:r>
        <w:rPr>
          <w:spacing w:val="-3"/>
        </w:rPr>
        <w:t xml:space="preserve"> </w:t>
      </w:r>
      <w:r>
        <w:t>llevado</w:t>
      </w:r>
      <w:r>
        <w:rPr>
          <w:spacing w:val="-3"/>
        </w:rPr>
        <w:t xml:space="preserve"> </w:t>
      </w:r>
      <w:r>
        <w:t>a una normalización de lo anormal, y a veces solo se es consciente de ello cuando se sale de esas situaciones. Por ejemplo, muchas víctimas en el exilio, reevaluando su propia experiencia</w:t>
      </w:r>
      <w:r>
        <w:rPr>
          <w:spacing w:val="-7"/>
        </w:rPr>
        <w:t xml:space="preserve"> </w:t>
      </w:r>
      <w:r>
        <w:t>en</w:t>
      </w:r>
      <w:r>
        <w:rPr>
          <w:spacing w:val="-5"/>
        </w:rPr>
        <w:t xml:space="preserve"> </w:t>
      </w:r>
      <w:r>
        <w:t>la</w:t>
      </w:r>
      <w:r>
        <w:rPr>
          <w:spacing w:val="-6"/>
        </w:rPr>
        <w:t xml:space="preserve"> </w:t>
      </w:r>
      <w:r>
        <w:t>toma</w:t>
      </w:r>
      <w:r>
        <w:rPr>
          <w:spacing w:val="-5"/>
        </w:rPr>
        <w:t xml:space="preserve"> </w:t>
      </w:r>
      <w:r>
        <w:t>de</w:t>
      </w:r>
      <w:r>
        <w:rPr>
          <w:spacing w:val="-5"/>
        </w:rPr>
        <w:t xml:space="preserve"> </w:t>
      </w:r>
      <w:r>
        <w:t>testimonios,</w:t>
      </w:r>
      <w:r>
        <w:rPr>
          <w:spacing w:val="-6"/>
        </w:rPr>
        <w:t xml:space="preserve"> </w:t>
      </w:r>
      <w:r>
        <w:t>señalaron</w:t>
      </w:r>
      <w:r>
        <w:rPr>
          <w:spacing w:val="-6"/>
        </w:rPr>
        <w:t xml:space="preserve"> </w:t>
      </w:r>
      <w:r>
        <w:t>que</w:t>
      </w:r>
      <w:r>
        <w:rPr>
          <w:spacing w:val="-5"/>
        </w:rPr>
        <w:t xml:space="preserve"> </w:t>
      </w:r>
      <w:r>
        <w:t>tomaron</w:t>
      </w:r>
      <w:r>
        <w:rPr>
          <w:spacing w:val="-6"/>
        </w:rPr>
        <w:t xml:space="preserve"> </w:t>
      </w:r>
      <w:r>
        <w:t>conciencia</w:t>
      </w:r>
      <w:r>
        <w:rPr>
          <w:spacing w:val="-7"/>
        </w:rPr>
        <w:t xml:space="preserve"> </w:t>
      </w:r>
      <w:r>
        <w:t>del</w:t>
      </w:r>
      <w:r>
        <w:rPr>
          <w:spacing w:val="-5"/>
        </w:rPr>
        <w:t xml:space="preserve"> </w:t>
      </w:r>
      <w:r>
        <w:t>modo</w:t>
      </w:r>
      <w:r>
        <w:rPr>
          <w:spacing w:val="-6"/>
        </w:rPr>
        <w:t xml:space="preserve"> </w:t>
      </w:r>
      <w:r>
        <w:t>como</w:t>
      </w:r>
      <w:r>
        <w:rPr>
          <w:spacing w:val="-5"/>
        </w:rPr>
        <w:t xml:space="preserve"> les</w:t>
      </w:r>
      <w:r w:rsidR="003F2710">
        <w:rPr>
          <w:spacing w:val="-5"/>
        </w:rPr>
        <w:t xml:space="preserve"> </w:t>
      </w:r>
      <w:r>
        <w:t>tocó</w:t>
      </w:r>
      <w:r>
        <w:rPr>
          <w:spacing w:val="-15"/>
        </w:rPr>
        <w:t xml:space="preserve"> </w:t>
      </w:r>
      <w:r>
        <w:t>adaptarse</w:t>
      </w:r>
      <w:r>
        <w:rPr>
          <w:spacing w:val="-15"/>
        </w:rPr>
        <w:t xml:space="preserve"> </w:t>
      </w:r>
      <w:r>
        <w:t>y</w:t>
      </w:r>
      <w:r>
        <w:rPr>
          <w:spacing w:val="-15"/>
        </w:rPr>
        <w:t xml:space="preserve"> </w:t>
      </w:r>
      <w:r>
        <w:t>normalizar</w:t>
      </w:r>
      <w:r>
        <w:rPr>
          <w:spacing w:val="-15"/>
        </w:rPr>
        <w:t xml:space="preserve"> </w:t>
      </w:r>
      <w:r>
        <w:t>la</w:t>
      </w:r>
      <w:r>
        <w:rPr>
          <w:spacing w:val="-15"/>
        </w:rPr>
        <w:t xml:space="preserve"> </w:t>
      </w:r>
      <w:r>
        <w:t>violencia</w:t>
      </w:r>
      <w:r>
        <w:rPr>
          <w:spacing w:val="-14"/>
        </w:rPr>
        <w:t xml:space="preserve"> </w:t>
      </w:r>
      <w:r>
        <w:t>en</w:t>
      </w:r>
      <w:r>
        <w:rPr>
          <w:spacing w:val="-15"/>
        </w:rPr>
        <w:t xml:space="preserve"> </w:t>
      </w:r>
      <w:r>
        <w:t>el</w:t>
      </w:r>
      <w:r>
        <w:rPr>
          <w:spacing w:val="-15"/>
        </w:rPr>
        <w:t xml:space="preserve"> </w:t>
      </w:r>
      <w:r>
        <w:t>país</w:t>
      </w:r>
      <w:r>
        <w:rPr>
          <w:spacing w:val="-15"/>
        </w:rPr>
        <w:t xml:space="preserve"> </w:t>
      </w:r>
      <w:r>
        <w:t>solo</w:t>
      </w:r>
      <w:r>
        <w:rPr>
          <w:spacing w:val="-14"/>
        </w:rPr>
        <w:t xml:space="preserve"> </w:t>
      </w:r>
      <w:r>
        <w:t>cuando</w:t>
      </w:r>
      <w:r>
        <w:rPr>
          <w:spacing w:val="-15"/>
        </w:rPr>
        <w:t xml:space="preserve"> </w:t>
      </w:r>
      <w:r>
        <w:t>salieron</w:t>
      </w:r>
      <w:r>
        <w:rPr>
          <w:spacing w:val="-15"/>
        </w:rPr>
        <w:t xml:space="preserve"> </w:t>
      </w:r>
      <w:r>
        <w:t>de</w:t>
      </w:r>
      <w:r>
        <w:rPr>
          <w:spacing w:val="-15"/>
        </w:rPr>
        <w:t xml:space="preserve"> </w:t>
      </w:r>
      <w:r>
        <w:t>él,</w:t>
      </w:r>
      <w:r>
        <w:rPr>
          <w:spacing w:val="-14"/>
        </w:rPr>
        <w:t xml:space="preserve"> </w:t>
      </w:r>
      <w:r>
        <w:t>cuando</w:t>
      </w:r>
      <w:r>
        <w:rPr>
          <w:spacing w:val="-15"/>
        </w:rPr>
        <w:t xml:space="preserve"> </w:t>
      </w:r>
      <w:r>
        <w:t>tuvieron la suficiente distancia emocional y perspectiva crítica, además de otros modelos de relación y de convivencia. De esta manera, la violencia transforma la cotidianidad y la cultura de las comunidades abarcando el pensamiento y las formas de organización social.</w:t>
      </w:r>
    </w:p>
    <w:p w:rsidR="003804AC" w:rsidRDefault="00AF18A5" w:rsidP="003F2710">
      <w:r>
        <w:t>«Es normal uno escuchar que mataron a tres personas, que hubo una masacre, y si observamos las condiciones, en municipios como estos no hay una oficina de la Fiscalía, entonces impera la injusticia, existe una cultura de la ilegalidad, es normal mirar el contrabando,</w:t>
      </w:r>
      <w:r>
        <w:rPr>
          <w:spacing w:val="-15"/>
        </w:rPr>
        <w:t xml:space="preserve"> </w:t>
      </w:r>
      <w:r>
        <w:t>es</w:t>
      </w:r>
      <w:r>
        <w:rPr>
          <w:spacing w:val="-15"/>
        </w:rPr>
        <w:t xml:space="preserve"> </w:t>
      </w:r>
      <w:r>
        <w:t>normal</w:t>
      </w:r>
      <w:r>
        <w:rPr>
          <w:spacing w:val="-15"/>
        </w:rPr>
        <w:t xml:space="preserve"> </w:t>
      </w:r>
      <w:r>
        <w:t>ver</w:t>
      </w:r>
      <w:r>
        <w:rPr>
          <w:spacing w:val="-15"/>
        </w:rPr>
        <w:t xml:space="preserve"> </w:t>
      </w:r>
      <w:r>
        <w:t>gente</w:t>
      </w:r>
      <w:r>
        <w:rPr>
          <w:spacing w:val="-15"/>
        </w:rPr>
        <w:t xml:space="preserve"> </w:t>
      </w:r>
      <w:r>
        <w:t>armada</w:t>
      </w:r>
      <w:r>
        <w:rPr>
          <w:spacing w:val="-15"/>
        </w:rPr>
        <w:t xml:space="preserve"> </w:t>
      </w:r>
      <w:r>
        <w:t>porque</w:t>
      </w:r>
      <w:r>
        <w:rPr>
          <w:spacing w:val="-15"/>
        </w:rPr>
        <w:t xml:space="preserve"> </w:t>
      </w:r>
      <w:r>
        <w:t>hay</w:t>
      </w:r>
      <w:r>
        <w:rPr>
          <w:spacing w:val="-15"/>
        </w:rPr>
        <w:t xml:space="preserve"> </w:t>
      </w:r>
      <w:r>
        <w:t>una</w:t>
      </w:r>
      <w:r>
        <w:rPr>
          <w:spacing w:val="-15"/>
        </w:rPr>
        <w:t xml:space="preserve"> </w:t>
      </w:r>
      <w:r>
        <w:t>ausencia</w:t>
      </w:r>
      <w:r>
        <w:rPr>
          <w:spacing w:val="-15"/>
        </w:rPr>
        <w:t xml:space="preserve"> </w:t>
      </w:r>
      <w:r>
        <w:t>total</w:t>
      </w:r>
      <w:r>
        <w:rPr>
          <w:spacing w:val="-15"/>
        </w:rPr>
        <w:t xml:space="preserve"> </w:t>
      </w:r>
      <w:r>
        <w:t>del</w:t>
      </w:r>
      <w:r>
        <w:rPr>
          <w:spacing w:val="-15"/>
        </w:rPr>
        <w:t xml:space="preserve"> </w:t>
      </w:r>
      <w:r>
        <w:t>Estado,</w:t>
      </w:r>
      <w:r>
        <w:rPr>
          <w:spacing w:val="-15"/>
        </w:rPr>
        <w:t xml:space="preserve"> </w:t>
      </w:r>
      <w:r>
        <w:t>no</w:t>
      </w:r>
      <w:r>
        <w:rPr>
          <w:spacing w:val="-15"/>
        </w:rPr>
        <w:t xml:space="preserve"> </w:t>
      </w:r>
      <w:r>
        <w:t xml:space="preserve">existen instituciones para garantizar el más mínimo de los derechos </w:t>
      </w:r>
      <w:r>
        <w:lastRenderedPageBreak/>
        <w:t>fundamentales»</w:t>
      </w:r>
      <w:r w:rsidR="003F2710">
        <w:rPr>
          <w:rStyle w:val="Refdenotaalpie"/>
        </w:rPr>
        <w:footnoteReference w:id="23"/>
      </w:r>
      <w:r>
        <w:t>.</w:t>
      </w:r>
    </w:p>
    <w:p w:rsidR="003804AC" w:rsidRDefault="00AF18A5" w:rsidP="003F2710">
      <w:r>
        <w:t>Este mecanismo, que ha permitido la adaptación al desastre ocasionado por el conflicto armado ha llevado a diversos sectores de la sociedad a ser observadores del dolor de las víctimas a través de los medios de comunicación una y otra vez, lo cual da lugar a que se tome distancia de lo ocurrido porque «ya resulta más de lo mismo», «otra vez, ya no quiero saber».</w:t>
      </w:r>
      <w:r>
        <w:rPr>
          <w:spacing w:val="-5"/>
        </w:rPr>
        <w:t xml:space="preserve"> </w:t>
      </w:r>
      <w:r>
        <w:t>Colombia</w:t>
      </w:r>
      <w:r>
        <w:rPr>
          <w:spacing w:val="-5"/>
        </w:rPr>
        <w:t xml:space="preserve"> </w:t>
      </w:r>
      <w:r>
        <w:t>ha</w:t>
      </w:r>
      <w:r>
        <w:rPr>
          <w:spacing w:val="-5"/>
        </w:rPr>
        <w:t xml:space="preserve"> </w:t>
      </w:r>
      <w:r>
        <w:t>vivido</w:t>
      </w:r>
      <w:r>
        <w:rPr>
          <w:spacing w:val="-5"/>
        </w:rPr>
        <w:t xml:space="preserve"> </w:t>
      </w:r>
      <w:r>
        <w:t>décadas</w:t>
      </w:r>
      <w:r>
        <w:rPr>
          <w:spacing w:val="-5"/>
        </w:rPr>
        <w:t xml:space="preserve"> </w:t>
      </w:r>
      <w:r>
        <w:t>saturada</w:t>
      </w:r>
      <w:r>
        <w:rPr>
          <w:spacing w:val="-5"/>
        </w:rPr>
        <w:t xml:space="preserve"> </w:t>
      </w:r>
      <w:r>
        <w:t>con</w:t>
      </w:r>
      <w:r>
        <w:rPr>
          <w:spacing w:val="-5"/>
        </w:rPr>
        <w:t xml:space="preserve"> </w:t>
      </w:r>
      <w:r>
        <w:t>la</w:t>
      </w:r>
      <w:r>
        <w:rPr>
          <w:spacing w:val="-5"/>
        </w:rPr>
        <w:t xml:space="preserve"> </w:t>
      </w:r>
      <w:r>
        <w:t>exposición</w:t>
      </w:r>
      <w:r>
        <w:rPr>
          <w:spacing w:val="-5"/>
        </w:rPr>
        <w:t xml:space="preserve"> </w:t>
      </w:r>
      <w:r>
        <w:t>al</w:t>
      </w:r>
      <w:r>
        <w:rPr>
          <w:spacing w:val="-4"/>
        </w:rPr>
        <w:t xml:space="preserve"> </w:t>
      </w:r>
      <w:r>
        <w:t>horror,</w:t>
      </w:r>
      <w:r>
        <w:rPr>
          <w:spacing w:val="-5"/>
        </w:rPr>
        <w:t xml:space="preserve"> </w:t>
      </w:r>
      <w:r>
        <w:t>y</w:t>
      </w:r>
      <w:r>
        <w:rPr>
          <w:spacing w:val="-5"/>
        </w:rPr>
        <w:t xml:space="preserve"> </w:t>
      </w:r>
      <w:r>
        <w:t>esto</w:t>
      </w:r>
      <w:r>
        <w:rPr>
          <w:spacing w:val="-5"/>
        </w:rPr>
        <w:t xml:space="preserve"> </w:t>
      </w:r>
      <w:r>
        <w:t>ha</w:t>
      </w:r>
      <w:r>
        <w:rPr>
          <w:spacing w:val="-5"/>
        </w:rPr>
        <w:t xml:space="preserve"> </w:t>
      </w:r>
      <w:r>
        <w:t>llevado</w:t>
      </w:r>
      <w:r>
        <w:rPr>
          <w:spacing w:val="-5"/>
        </w:rPr>
        <w:t xml:space="preserve"> </w:t>
      </w:r>
      <w:r>
        <w:t>a una</w:t>
      </w:r>
      <w:r>
        <w:rPr>
          <w:spacing w:val="-12"/>
        </w:rPr>
        <w:t xml:space="preserve"> </w:t>
      </w:r>
      <w:r>
        <w:t>parálisis</w:t>
      </w:r>
      <w:r>
        <w:rPr>
          <w:spacing w:val="-13"/>
        </w:rPr>
        <w:t xml:space="preserve"> </w:t>
      </w:r>
      <w:r>
        <w:t>emocional</w:t>
      </w:r>
      <w:r>
        <w:rPr>
          <w:spacing w:val="-13"/>
        </w:rPr>
        <w:t xml:space="preserve"> </w:t>
      </w:r>
      <w:r>
        <w:t>o</w:t>
      </w:r>
      <w:r>
        <w:rPr>
          <w:spacing w:val="-13"/>
        </w:rPr>
        <w:t xml:space="preserve"> </w:t>
      </w:r>
      <w:r>
        <w:t>a</w:t>
      </w:r>
      <w:r>
        <w:rPr>
          <w:spacing w:val="-12"/>
        </w:rPr>
        <w:t xml:space="preserve"> </w:t>
      </w:r>
      <w:r>
        <w:t>un</w:t>
      </w:r>
      <w:r>
        <w:rPr>
          <w:spacing w:val="-12"/>
        </w:rPr>
        <w:t xml:space="preserve"> </w:t>
      </w:r>
      <w:r>
        <w:t>filtro</w:t>
      </w:r>
      <w:r>
        <w:rPr>
          <w:spacing w:val="-13"/>
        </w:rPr>
        <w:t xml:space="preserve"> </w:t>
      </w:r>
      <w:r>
        <w:t>frente</w:t>
      </w:r>
      <w:r>
        <w:rPr>
          <w:spacing w:val="-12"/>
        </w:rPr>
        <w:t xml:space="preserve"> </w:t>
      </w:r>
      <w:r>
        <w:t>a</w:t>
      </w:r>
      <w:r>
        <w:rPr>
          <w:spacing w:val="-13"/>
        </w:rPr>
        <w:t xml:space="preserve"> </w:t>
      </w:r>
      <w:r>
        <w:t>la</w:t>
      </w:r>
      <w:r>
        <w:rPr>
          <w:spacing w:val="-13"/>
        </w:rPr>
        <w:t xml:space="preserve"> </w:t>
      </w:r>
      <w:r>
        <w:t>percepción</w:t>
      </w:r>
      <w:r>
        <w:rPr>
          <w:spacing w:val="-12"/>
        </w:rPr>
        <w:t xml:space="preserve"> </w:t>
      </w:r>
      <w:r>
        <w:t>de</w:t>
      </w:r>
      <w:r>
        <w:rPr>
          <w:spacing w:val="-12"/>
        </w:rPr>
        <w:t xml:space="preserve"> </w:t>
      </w:r>
      <w:r>
        <w:t>la</w:t>
      </w:r>
      <w:r>
        <w:rPr>
          <w:spacing w:val="-12"/>
        </w:rPr>
        <w:t xml:space="preserve"> </w:t>
      </w:r>
      <w:r>
        <w:t>cruel</w:t>
      </w:r>
      <w:r>
        <w:rPr>
          <w:spacing w:val="-12"/>
        </w:rPr>
        <w:t xml:space="preserve"> </w:t>
      </w:r>
      <w:r>
        <w:t>realidad</w:t>
      </w:r>
      <w:r>
        <w:rPr>
          <w:spacing w:val="-12"/>
        </w:rPr>
        <w:t xml:space="preserve"> </w:t>
      </w:r>
      <w:r>
        <w:t>que</w:t>
      </w:r>
      <w:r>
        <w:rPr>
          <w:spacing w:val="-12"/>
        </w:rPr>
        <w:t xml:space="preserve"> </w:t>
      </w:r>
      <w:r>
        <w:t>predispone a no mirarla de frente, sino a mirar hacia otro lado. «Por más que uno busca, no hay quien responda; o sea, nadie tiene la culpa, nadie se da cuenta de nada, entonces no sabría cómo, es como bien complicado»</w:t>
      </w:r>
      <w:r w:rsidR="003F2710">
        <w:rPr>
          <w:rStyle w:val="Refdenotaalpie"/>
        </w:rPr>
        <w:footnoteReference w:id="24"/>
      </w:r>
      <w:r>
        <w:t>.</w:t>
      </w:r>
    </w:p>
    <w:p w:rsidR="003804AC" w:rsidRDefault="00AF18A5" w:rsidP="003F2710">
      <w:r>
        <w:t>Esta naturalización se ha extendido a normalizar los contextos de desprotección que han favorecido la violencia o la victimización de ciertos sectores. Por ejemplo, frente a una infancia</w:t>
      </w:r>
      <w:r>
        <w:rPr>
          <w:spacing w:val="-1"/>
        </w:rPr>
        <w:t xml:space="preserve"> </w:t>
      </w:r>
      <w:r>
        <w:t>desprotegida</w:t>
      </w:r>
      <w:r>
        <w:rPr>
          <w:spacing w:val="-1"/>
        </w:rPr>
        <w:t xml:space="preserve"> </w:t>
      </w:r>
      <w:r>
        <w:t>y</w:t>
      </w:r>
      <w:r>
        <w:rPr>
          <w:spacing w:val="-2"/>
        </w:rPr>
        <w:t xml:space="preserve"> </w:t>
      </w:r>
      <w:r>
        <w:t>víctima</w:t>
      </w:r>
      <w:r>
        <w:rPr>
          <w:spacing w:val="-1"/>
        </w:rPr>
        <w:t xml:space="preserve"> </w:t>
      </w:r>
      <w:r>
        <w:t>de</w:t>
      </w:r>
      <w:r>
        <w:rPr>
          <w:spacing w:val="-2"/>
        </w:rPr>
        <w:t xml:space="preserve"> </w:t>
      </w:r>
      <w:r>
        <w:t>tantos</w:t>
      </w:r>
      <w:r>
        <w:rPr>
          <w:spacing w:val="-1"/>
        </w:rPr>
        <w:t xml:space="preserve"> </w:t>
      </w:r>
      <w:r>
        <w:t>abusos</w:t>
      </w:r>
      <w:r>
        <w:rPr>
          <w:spacing w:val="-2"/>
        </w:rPr>
        <w:t xml:space="preserve"> </w:t>
      </w:r>
      <w:r>
        <w:t>y</w:t>
      </w:r>
      <w:r>
        <w:rPr>
          <w:spacing w:val="-1"/>
        </w:rPr>
        <w:t xml:space="preserve"> </w:t>
      </w:r>
      <w:r>
        <w:t>del</w:t>
      </w:r>
      <w:r>
        <w:rPr>
          <w:spacing w:val="-1"/>
        </w:rPr>
        <w:t xml:space="preserve"> </w:t>
      </w:r>
      <w:r>
        <w:t>impacto</w:t>
      </w:r>
      <w:r>
        <w:rPr>
          <w:spacing w:val="-1"/>
        </w:rPr>
        <w:t xml:space="preserve"> </w:t>
      </w:r>
      <w:r>
        <w:t>de</w:t>
      </w:r>
      <w:r>
        <w:rPr>
          <w:spacing w:val="-1"/>
        </w:rPr>
        <w:t xml:space="preserve"> </w:t>
      </w:r>
      <w:r>
        <w:t>la</w:t>
      </w:r>
      <w:r>
        <w:rPr>
          <w:spacing w:val="-1"/>
        </w:rPr>
        <w:t xml:space="preserve"> </w:t>
      </w:r>
      <w:r>
        <w:t>guerra</w:t>
      </w:r>
      <w:r>
        <w:rPr>
          <w:spacing w:val="-1"/>
        </w:rPr>
        <w:t xml:space="preserve"> </w:t>
      </w:r>
      <w:r>
        <w:t>en</w:t>
      </w:r>
      <w:r>
        <w:rPr>
          <w:spacing w:val="-1"/>
        </w:rPr>
        <w:t xml:space="preserve"> </w:t>
      </w:r>
      <w:r>
        <w:t>sus</w:t>
      </w:r>
      <w:r>
        <w:rPr>
          <w:spacing w:val="-1"/>
        </w:rPr>
        <w:t xml:space="preserve"> </w:t>
      </w:r>
      <w:r>
        <w:t>vidas,</w:t>
      </w:r>
      <w:r>
        <w:rPr>
          <w:spacing w:val="-1"/>
        </w:rPr>
        <w:t xml:space="preserve"> </w:t>
      </w:r>
      <w:r>
        <w:t>las respuestas</w:t>
      </w:r>
      <w:r>
        <w:rPr>
          <w:spacing w:val="-13"/>
        </w:rPr>
        <w:t xml:space="preserve"> </w:t>
      </w:r>
      <w:r>
        <w:t>institucionales</w:t>
      </w:r>
      <w:r>
        <w:rPr>
          <w:spacing w:val="-14"/>
        </w:rPr>
        <w:t xml:space="preserve"> </w:t>
      </w:r>
      <w:r>
        <w:t>han</w:t>
      </w:r>
      <w:r>
        <w:rPr>
          <w:spacing w:val="-13"/>
        </w:rPr>
        <w:t xml:space="preserve"> </w:t>
      </w:r>
      <w:r>
        <w:t>estado</w:t>
      </w:r>
      <w:r>
        <w:rPr>
          <w:spacing w:val="-13"/>
        </w:rPr>
        <w:t xml:space="preserve"> </w:t>
      </w:r>
      <w:r>
        <w:t>basadas</w:t>
      </w:r>
      <w:r>
        <w:rPr>
          <w:spacing w:val="-13"/>
        </w:rPr>
        <w:t xml:space="preserve"> </w:t>
      </w:r>
      <w:r>
        <w:t>en</w:t>
      </w:r>
      <w:r>
        <w:rPr>
          <w:spacing w:val="-13"/>
        </w:rPr>
        <w:t xml:space="preserve"> </w:t>
      </w:r>
      <w:r>
        <w:t>atención</w:t>
      </w:r>
      <w:r>
        <w:rPr>
          <w:spacing w:val="-13"/>
        </w:rPr>
        <w:t xml:space="preserve"> </w:t>
      </w:r>
      <w:r>
        <w:t>parcial</w:t>
      </w:r>
      <w:r>
        <w:rPr>
          <w:spacing w:val="-13"/>
        </w:rPr>
        <w:t xml:space="preserve"> </w:t>
      </w:r>
      <w:r>
        <w:t>del</w:t>
      </w:r>
      <w:r>
        <w:rPr>
          <w:spacing w:val="-13"/>
        </w:rPr>
        <w:t xml:space="preserve"> </w:t>
      </w:r>
      <w:r>
        <w:t>Instituto</w:t>
      </w:r>
      <w:r>
        <w:rPr>
          <w:spacing w:val="-13"/>
        </w:rPr>
        <w:t xml:space="preserve"> </w:t>
      </w:r>
      <w:r>
        <w:t>Colombiano</w:t>
      </w:r>
      <w:r>
        <w:rPr>
          <w:spacing w:val="-13"/>
        </w:rPr>
        <w:t xml:space="preserve"> </w:t>
      </w:r>
      <w:r>
        <w:t>de Bienestar</w:t>
      </w:r>
      <w:r>
        <w:rPr>
          <w:spacing w:val="-7"/>
        </w:rPr>
        <w:t xml:space="preserve"> </w:t>
      </w:r>
      <w:r>
        <w:t>Familiar</w:t>
      </w:r>
      <w:r>
        <w:rPr>
          <w:spacing w:val="-7"/>
        </w:rPr>
        <w:t xml:space="preserve"> </w:t>
      </w:r>
      <w:r>
        <w:t>(ICBF)</w:t>
      </w:r>
      <w:r>
        <w:rPr>
          <w:spacing w:val="-7"/>
        </w:rPr>
        <w:t xml:space="preserve"> </w:t>
      </w:r>
      <w:r>
        <w:t>en</w:t>
      </w:r>
      <w:r>
        <w:rPr>
          <w:spacing w:val="-7"/>
        </w:rPr>
        <w:t xml:space="preserve"> </w:t>
      </w:r>
      <w:r>
        <w:t>algunos</w:t>
      </w:r>
      <w:r>
        <w:rPr>
          <w:spacing w:val="-7"/>
        </w:rPr>
        <w:t xml:space="preserve"> </w:t>
      </w:r>
      <w:r>
        <w:t>casos,</w:t>
      </w:r>
      <w:r>
        <w:rPr>
          <w:spacing w:val="-7"/>
        </w:rPr>
        <w:t xml:space="preserve"> </w:t>
      </w:r>
      <w:r>
        <w:t>pero</w:t>
      </w:r>
      <w:r>
        <w:rPr>
          <w:spacing w:val="-8"/>
        </w:rPr>
        <w:t xml:space="preserve"> </w:t>
      </w:r>
      <w:r>
        <w:t>quien</w:t>
      </w:r>
      <w:r>
        <w:rPr>
          <w:spacing w:val="-7"/>
        </w:rPr>
        <w:t xml:space="preserve"> </w:t>
      </w:r>
      <w:r>
        <w:t>ha</w:t>
      </w:r>
      <w:r>
        <w:rPr>
          <w:spacing w:val="-7"/>
        </w:rPr>
        <w:t xml:space="preserve"> </w:t>
      </w:r>
      <w:r>
        <w:t>respondido</w:t>
      </w:r>
      <w:r>
        <w:rPr>
          <w:spacing w:val="-7"/>
        </w:rPr>
        <w:t xml:space="preserve"> </w:t>
      </w:r>
      <w:r>
        <w:t>frente</w:t>
      </w:r>
      <w:r>
        <w:rPr>
          <w:spacing w:val="-7"/>
        </w:rPr>
        <w:t xml:space="preserve"> </w:t>
      </w:r>
      <w:r>
        <w:t>a</w:t>
      </w:r>
      <w:r>
        <w:rPr>
          <w:spacing w:val="-7"/>
        </w:rPr>
        <w:t xml:space="preserve"> </w:t>
      </w:r>
      <w:r>
        <w:t>todo</w:t>
      </w:r>
      <w:r>
        <w:rPr>
          <w:spacing w:val="-7"/>
        </w:rPr>
        <w:t xml:space="preserve"> </w:t>
      </w:r>
      <w:r>
        <w:t>han</w:t>
      </w:r>
      <w:r>
        <w:rPr>
          <w:spacing w:val="-7"/>
        </w:rPr>
        <w:t xml:space="preserve"> </w:t>
      </w:r>
      <w:r>
        <w:t>sido las propias familias y comunidades que han asumido el peso de la respuesta, muchas veces sin</w:t>
      </w:r>
      <w:r>
        <w:rPr>
          <w:spacing w:val="-2"/>
        </w:rPr>
        <w:t xml:space="preserve"> </w:t>
      </w:r>
      <w:r>
        <w:t>ningún</w:t>
      </w:r>
      <w:r>
        <w:rPr>
          <w:spacing w:val="-3"/>
        </w:rPr>
        <w:t xml:space="preserve"> </w:t>
      </w:r>
      <w:r>
        <w:t>apoyo</w:t>
      </w:r>
      <w:r>
        <w:rPr>
          <w:spacing w:val="-2"/>
        </w:rPr>
        <w:t xml:space="preserve"> </w:t>
      </w:r>
      <w:r>
        <w:t>institucional.</w:t>
      </w:r>
      <w:r>
        <w:rPr>
          <w:spacing w:val="-2"/>
        </w:rPr>
        <w:t xml:space="preserve"> </w:t>
      </w:r>
      <w:r>
        <w:t>Esta</w:t>
      </w:r>
      <w:r>
        <w:rPr>
          <w:spacing w:val="-3"/>
        </w:rPr>
        <w:t xml:space="preserve"> </w:t>
      </w:r>
      <w:r>
        <w:t>desprotección</w:t>
      </w:r>
      <w:r>
        <w:rPr>
          <w:spacing w:val="-2"/>
        </w:rPr>
        <w:t xml:space="preserve"> </w:t>
      </w:r>
      <w:r>
        <w:t>y</w:t>
      </w:r>
      <w:r>
        <w:rPr>
          <w:spacing w:val="-2"/>
        </w:rPr>
        <w:t xml:space="preserve"> </w:t>
      </w:r>
      <w:r>
        <w:t>falta</w:t>
      </w:r>
      <w:r>
        <w:rPr>
          <w:spacing w:val="-2"/>
        </w:rPr>
        <w:t xml:space="preserve"> </w:t>
      </w:r>
      <w:r>
        <w:t>de</w:t>
      </w:r>
      <w:r>
        <w:rPr>
          <w:spacing w:val="-3"/>
        </w:rPr>
        <w:t xml:space="preserve"> </w:t>
      </w:r>
      <w:r>
        <w:t>respuestas</w:t>
      </w:r>
      <w:r>
        <w:rPr>
          <w:spacing w:val="-2"/>
        </w:rPr>
        <w:t xml:space="preserve"> </w:t>
      </w:r>
      <w:r>
        <w:t>es</w:t>
      </w:r>
      <w:r>
        <w:rPr>
          <w:spacing w:val="-3"/>
        </w:rPr>
        <w:t xml:space="preserve"> </w:t>
      </w:r>
      <w:r>
        <w:t>lo</w:t>
      </w:r>
      <w:r>
        <w:rPr>
          <w:spacing w:val="-2"/>
        </w:rPr>
        <w:t xml:space="preserve"> </w:t>
      </w:r>
      <w:r>
        <w:t>que</w:t>
      </w:r>
      <w:r>
        <w:rPr>
          <w:spacing w:val="-2"/>
        </w:rPr>
        <w:t xml:space="preserve"> </w:t>
      </w:r>
      <w:r>
        <w:t>contribuye también</w:t>
      </w:r>
      <w:r>
        <w:rPr>
          <w:spacing w:val="36"/>
        </w:rPr>
        <w:t xml:space="preserve"> </w:t>
      </w:r>
      <w:r>
        <w:t>a</w:t>
      </w:r>
      <w:r>
        <w:rPr>
          <w:spacing w:val="37"/>
        </w:rPr>
        <w:t xml:space="preserve"> </w:t>
      </w:r>
      <w:r>
        <w:t>la</w:t>
      </w:r>
      <w:r>
        <w:rPr>
          <w:spacing w:val="38"/>
        </w:rPr>
        <w:t xml:space="preserve"> </w:t>
      </w:r>
      <w:r>
        <w:t>perpetuación</w:t>
      </w:r>
      <w:r>
        <w:rPr>
          <w:spacing w:val="38"/>
        </w:rPr>
        <w:t xml:space="preserve"> </w:t>
      </w:r>
      <w:r>
        <w:t>de</w:t>
      </w:r>
      <w:r>
        <w:rPr>
          <w:spacing w:val="38"/>
        </w:rPr>
        <w:t xml:space="preserve"> </w:t>
      </w:r>
      <w:r>
        <w:t>la</w:t>
      </w:r>
      <w:r>
        <w:rPr>
          <w:spacing w:val="38"/>
        </w:rPr>
        <w:t xml:space="preserve"> </w:t>
      </w:r>
      <w:r>
        <w:t>violencia</w:t>
      </w:r>
      <w:r>
        <w:rPr>
          <w:spacing w:val="38"/>
        </w:rPr>
        <w:t xml:space="preserve"> </w:t>
      </w:r>
      <w:r>
        <w:t>que</w:t>
      </w:r>
      <w:r>
        <w:rPr>
          <w:spacing w:val="37"/>
        </w:rPr>
        <w:t xml:space="preserve"> </w:t>
      </w:r>
      <w:r>
        <w:t>impide</w:t>
      </w:r>
      <w:r>
        <w:rPr>
          <w:spacing w:val="38"/>
        </w:rPr>
        <w:t xml:space="preserve"> </w:t>
      </w:r>
      <w:r>
        <w:t>que</w:t>
      </w:r>
      <w:r>
        <w:rPr>
          <w:spacing w:val="37"/>
        </w:rPr>
        <w:t xml:space="preserve"> </w:t>
      </w:r>
      <w:r>
        <w:t>la</w:t>
      </w:r>
      <w:r>
        <w:rPr>
          <w:spacing w:val="38"/>
        </w:rPr>
        <w:t xml:space="preserve"> </w:t>
      </w:r>
      <w:r>
        <w:t>sociedad</w:t>
      </w:r>
      <w:r>
        <w:rPr>
          <w:spacing w:val="37"/>
        </w:rPr>
        <w:t xml:space="preserve"> </w:t>
      </w:r>
      <w:r>
        <w:t>colombiana</w:t>
      </w:r>
      <w:r>
        <w:rPr>
          <w:spacing w:val="38"/>
        </w:rPr>
        <w:t xml:space="preserve"> </w:t>
      </w:r>
      <w:r>
        <w:rPr>
          <w:spacing w:val="-4"/>
        </w:rPr>
        <w:t>tome</w:t>
      </w:r>
      <w:bookmarkStart w:id="57" w:name="_bookmark28"/>
      <w:bookmarkStart w:id="58" w:name="_bookmark29"/>
      <w:bookmarkEnd w:id="57"/>
      <w:bookmarkEnd w:id="58"/>
      <w:r w:rsidR="003F2710">
        <w:t xml:space="preserve"> </w:t>
      </w:r>
      <w:r>
        <w:t xml:space="preserve">conocimiento de esta parte de su trágica historia, del impacto de la orfandad de cientos de miles de niños y niñas en diferentes épocas, y del reclutamiento de menores que </w:t>
      </w:r>
      <w:r>
        <w:lastRenderedPageBreak/>
        <w:t>se ha mantenido hasta hoy debido a la falta de perspectivas de futuro y a la presión de grupos armados, lo que afecta además a un colectivo especialmente vulnerable como la niñez.</w:t>
      </w:r>
    </w:p>
    <w:p w:rsidR="003804AC" w:rsidRDefault="00AF18A5" w:rsidP="003F2710">
      <w:r>
        <w:t>La impunidad mantenida en el tiempo en Colombia también tiene un impacto no solo en las víctimas del conflicto armado, sino en las actitudes sociales frente al poder o la justicia. La</w:t>
      </w:r>
      <w:r>
        <w:rPr>
          <w:spacing w:val="-7"/>
        </w:rPr>
        <w:t xml:space="preserve"> </w:t>
      </w:r>
      <w:r>
        <w:t>desconfianza</w:t>
      </w:r>
      <w:r>
        <w:rPr>
          <w:spacing w:val="-7"/>
        </w:rPr>
        <w:t xml:space="preserve"> </w:t>
      </w:r>
      <w:r>
        <w:t>y</w:t>
      </w:r>
      <w:r>
        <w:rPr>
          <w:spacing w:val="-7"/>
        </w:rPr>
        <w:t xml:space="preserve"> </w:t>
      </w:r>
      <w:r>
        <w:t>la</w:t>
      </w:r>
      <w:r>
        <w:rPr>
          <w:spacing w:val="-7"/>
        </w:rPr>
        <w:t xml:space="preserve"> </w:t>
      </w:r>
      <w:r>
        <w:t>impotencia</w:t>
      </w:r>
      <w:r>
        <w:rPr>
          <w:spacing w:val="-7"/>
        </w:rPr>
        <w:t xml:space="preserve"> </w:t>
      </w:r>
      <w:r>
        <w:t>tejen</w:t>
      </w:r>
      <w:r>
        <w:rPr>
          <w:spacing w:val="-7"/>
        </w:rPr>
        <w:t xml:space="preserve"> </w:t>
      </w:r>
      <w:r>
        <w:t>en</w:t>
      </w:r>
      <w:r>
        <w:rPr>
          <w:spacing w:val="-7"/>
        </w:rPr>
        <w:t xml:space="preserve"> </w:t>
      </w:r>
      <w:r>
        <w:t>gran</w:t>
      </w:r>
      <w:r>
        <w:rPr>
          <w:spacing w:val="-7"/>
        </w:rPr>
        <w:t xml:space="preserve"> </w:t>
      </w:r>
      <w:r>
        <w:t>parte</w:t>
      </w:r>
      <w:r>
        <w:rPr>
          <w:spacing w:val="-8"/>
        </w:rPr>
        <w:t xml:space="preserve"> </w:t>
      </w:r>
      <w:r>
        <w:t>las</w:t>
      </w:r>
      <w:r>
        <w:rPr>
          <w:spacing w:val="-7"/>
        </w:rPr>
        <w:t xml:space="preserve"> </w:t>
      </w:r>
      <w:r>
        <w:t>relaciones</w:t>
      </w:r>
      <w:r>
        <w:rPr>
          <w:spacing w:val="-7"/>
        </w:rPr>
        <w:t xml:space="preserve"> </w:t>
      </w:r>
      <w:r>
        <w:t>de</w:t>
      </w:r>
      <w:r>
        <w:rPr>
          <w:spacing w:val="-7"/>
        </w:rPr>
        <w:t xml:space="preserve"> </w:t>
      </w:r>
      <w:r>
        <w:t>muchas</w:t>
      </w:r>
      <w:r>
        <w:rPr>
          <w:spacing w:val="-7"/>
        </w:rPr>
        <w:t xml:space="preserve"> </w:t>
      </w:r>
      <w:r>
        <w:t>comunidades</w:t>
      </w:r>
      <w:r>
        <w:rPr>
          <w:spacing w:val="-7"/>
        </w:rPr>
        <w:t xml:space="preserve"> </w:t>
      </w:r>
      <w:r>
        <w:t>y sectores</w:t>
      </w:r>
      <w:r>
        <w:rPr>
          <w:spacing w:val="-3"/>
        </w:rPr>
        <w:t xml:space="preserve"> </w:t>
      </w:r>
      <w:r>
        <w:t>con</w:t>
      </w:r>
      <w:r>
        <w:rPr>
          <w:spacing w:val="-5"/>
        </w:rPr>
        <w:t xml:space="preserve"> </w:t>
      </w:r>
      <w:r>
        <w:t>el</w:t>
      </w:r>
      <w:r>
        <w:rPr>
          <w:spacing w:val="-3"/>
        </w:rPr>
        <w:t xml:space="preserve"> </w:t>
      </w:r>
      <w:r>
        <w:t>Estado</w:t>
      </w:r>
      <w:r>
        <w:rPr>
          <w:spacing w:val="-4"/>
        </w:rPr>
        <w:t xml:space="preserve"> </w:t>
      </w:r>
      <w:r>
        <w:t>hasta</w:t>
      </w:r>
      <w:r>
        <w:rPr>
          <w:spacing w:val="-3"/>
        </w:rPr>
        <w:t xml:space="preserve"> </w:t>
      </w:r>
      <w:r>
        <w:t>hoy</w:t>
      </w:r>
      <w:r>
        <w:rPr>
          <w:spacing w:val="-4"/>
        </w:rPr>
        <w:t xml:space="preserve"> </w:t>
      </w:r>
      <w:r>
        <w:t>en</w:t>
      </w:r>
      <w:r>
        <w:rPr>
          <w:spacing w:val="-5"/>
        </w:rPr>
        <w:t xml:space="preserve"> </w:t>
      </w:r>
      <w:r>
        <w:t>día.</w:t>
      </w:r>
      <w:r>
        <w:rPr>
          <w:spacing w:val="-4"/>
        </w:rPr>
        <w:t xml:space="preserve"> </w:t>
      </w:r>
      <w:r>
        <w:t>La</w:t>
      </w:r>
      <w:r>
        <w:rPr>
          <w:spacing w:val="-3"/>
        </w:rPr>
        <w:t xml:space="preserve"> </w:t>
      </w:r>
      <w:r>
        <w:t>falta</w:t>
      </w:r>
      <w:r>
        <w:rPr>
          <w:spacing w:val="-5"/>
        </w:rPr>
        <w:t xml:space="preserve"> </w:t>
      </w:r>
      <w:r>
        <w:t>de</w:t>
      </w:r>
      <w:r>
        <w:rPr>
          <w:spacing w:val="-3"/>
        </w:rPr>
        <w:t xml:space="preserve"> </w:t>
      </w:r>
      <w:r>
        <w:t>justicia</w:t>
      </w:r>
      <w:r>
        <w:rPr>
          <w:spacing w:val="-3"/>
        </w:rPr>
        <w:t xml:space="preserve"> </w:t>
      </w:r>
      <w:r>
        <w:t>y</w:t>
      </w:r>
      <w:r>
        <w:rPr>
          <w:spacing w:val="-5"/>
        </w:rPr>
        <w:t xml:space="preserve"> </w:t>
      </w:r>
      <w:r>
        <w:t>de</w:t>
      </w:r>
      <w:r>
        <w:rPr>
          <w:spacing w:val="-3"/>
        </w:rPr>
        <w:t xml:space="preserve"> </w:t>
      </w:r>
      <w:r>
        <w:t>una</w:t>
      </w:r>
      <w:r>
        <w:rPr>
          <w:spacing w:val="-3"/>
        </w:rPr>
        <w:t xml:space="preserve"> </w:t>
      </w:r>
      <w:r>
        <w:t>reacción</w:t>
      </w:r>
      <w:r>
        <w:rPr>
          <w:spacing w:val="-4"/>
        </w:rPr>
        <w:t xml:space="preserve"> </w:t>
      </w:r>
      <w:r>
        <w:t>estatal</w:t>
      </w:r>
      <w:r>
        <w:rPr>
          <w:spacing w:val="-3"/>
        </w:rPr>
        <w:t xml:space="preserve"> </w:t>
      </w:r>
      <w:r>
        <w:t>y</w:t>
      </w:r>
      <w:r>
        <w:rPr>
          <w:spacing w:val="-5"/>
        </w:rPr>
        <w:t xml:space="preserve"> </w:t>
      </w:r>
      <w:r>
        <w:t>social decidida contra esas violaciones ha sido un factor que las ha normalizado con el tiempo. Si se</w:t>
      </w:r>
      <w:r>
        <w:rPr>
          <w:spacing w:val="-15"/>
        </w:rPr>
        <w:t xml:space="preserve"> </w:t>
      </w:r>
      <w:r>
        <w:t>puede</w:t>
      </w:r>
      <w:r>
        <w:rPr>
          <w:spacing w:val="-15"/>
        </w:rPr>
        <w:t xml:space="preserve"> </w:t>
      </w:r>
      <w:r>
        <w:t>matar</w:t>
      </w:r>
      <w:r>
        <w:rPr>
          <w:spacing w:val="-15"/>
        </w:rPr>
        <w:t xml:space="preserve"> </w:t>
      </w:r>
      <w:r>
        <w:t>sin</w:t>
      </w:r>
      <w:r>
        <w:rPr>
          <w:spacing w:val="-15"/>
        </w:rPr>
        <w:t xml:space="preserve"> </w:t>
      </w:r>
      <w:r>
        <w:t>que</w:t>
      </w:r>
      <w:r>
        <w:rPr>
          <w:spacing w:val="-15"/>
        </w:rPr>
        <w:t xml:space="preserve"> </w:t>
      </w:r>
      <w:r>
        <w:t>se</w:t>
      </w:r>
      <w:r>
        <w:rPr>
          <w:spacing w:val="-15"/>
        </w:rPr>
        <w:t xml:space="preserve"> </w:t>
      </w:r>
      <w:r>
        <w:t>recojan</w:t>
      </w:r>
      <w:r>
        <w:rPr>
          <w:spacing w:val="-15"/>
        </w:rPr>
        <w:t xml:space="preserve"> </w:t>
      </w:r>
      <w:r>
        <w:t>siquiera</w:t>
      </w:r>
      <w:r>
        <w:rPr>
          <w:spacing w:val="-15"/>
        </w:rPr>
        <w:t xml:space="preserve"> </w:t>
      </w:r>
      <w:r>
        <w:t>los</w:t>
      </w:r>
      <w:r>
        <w:rPr>
          <w:spacing w:val="-15"/>
        </w:rPr>
        <w:t xml:space="preserve"> </w:t>
      </w:r>
      <w:r>
        <w:t>cuerpos,</w:t>
      </w:r>
      <w:r>
        <w:rPr>
          <w:spacing w:val="-15"/>
        </w:rPr>
        <w:t xml:space="preserve"> </w:t>
      </w:r>
      <w:r>
        <w:t>si</w:t>
      </w:r>
      <w:r>
        <w:rPr>
          <w:spacing w:val="-15"/>
        </w:rPr>
        <w:t xml:space="preserve"> </w:t>
      </w:r>
      <w:r>
        <w:t>no</w:t>
      </w:r>
      <w:r>
        <w:rPr>
          <w:spacing w:val="-15"/>
        </w:rPr>
        <w:t xml:space="preserve"> </w:t>
      </w:r>
      <w:r>
        <w:t>se</w:t>
      </w:r>
      <w:r>
        <w:rPr>
          <w:spacing w:val="-15"/>
        </w:rPr>
        <w:t xml:space="preserve"> </w:t>
      </w:r>
      <w:r>
        <w:t>hace</w:t>
      </w:r>
      <w:r>
        <w:rPr>
          <w:spacing w:val="-15"/>
        </w:rPr>
        <w:t xml:space="preserve"> </w:t>
      </w:r>
      <w:r>
        <w:t>una</w:t>
      </w:r>
      <w:r>
        <w:rPr>
          <w:spacing w:val="-15"/>
        </w:rPr>
        <w:t xml:space="preserve"> </w:t>
      </w:r>
      <w:r>
        <w:t>mínima</w:t>
      </w:r>
      <w:r>
        <w:rPr>
          <w:spacing w:val="-15"/>
        </w:rPr>
        <w:t xml:space="preserve"> </w:t>
      </w:r>
      <w:r>
        <w:t>investigación adecuada o si se hace, pero sin respeto a los sobrevivientes, estas prácticas se van estableciendo y normalizando sin una acción decidida en su contra.</w:t>
      </w:r>
    </w:p>
    <w:p w:rsidR="003804AC" w:rsidRDefault="00AF18A5" w:rsidP="003F2710">
      <w:r>
        <w:t>«No pasó nada, porque yo a veces creo que como montones de casos aquí en Colombia, la justicia ahí no hace nada. No pasa nada, es como si esa persona no fuera importante. Yo digo,</w:t>
      </w:r>
      <w:r>
        <w:rPr>
          <w:spacing w:val="-7"/>
        </w:rPr>
        <w:t xml:space="preserve"> </w:t>
      </w:r>
      <w:r>
        <w:t>no</w:t>
      </w:r>
      <w:r>
        <w:rPr>
          <w:spacing w:val="-7"/>
        </w:rPr>
        <w:t xml:space="preserve"> </w:t>
      </w:r>
      <w:r>
        <w:t>son</w:t>
      </w:r>
      <w:r>
        <w:rPr>
          <w:spacing w:val="-10"/>
        </w:rPr>
        <w:t xml:space="preserve"> </w:t>
      </w:r>
      <w:r>
        <w:t>de</w:t>
      </w:r>
      <w:r>
        <w:rPr>
          <w:spacing w:val="-7"/>
        </w:rPr>
        <w:t xml:space="preserve"> </w:t>
      </w:r>
      <w:r>
        <w:t>la</w:t>
      </w:r>
      <w:r>
        <w:rPr>
          <w:spacing w:val="-8"/>
        </w:rPr>
        <w:t xml:space="preserve"> </w:t>
      </w:r>
      <w:r>
        <w:t>alta</w:t>
      </w:r>
      <w:r>
        <w:rPr>
          <w:spacing w:val="-7"/>
        </w:rPr>
        <w:t xml:space="preserve"> </w:t>
      </w:r>
      <w:r>
        <w:t>sociedad,</w:t>
      </w:r>
      <w:r>
        <w:rPr>
          <w:spacing w:val="-8"/>
        </w:rPr>
        <w:t xml:space="preserve"> </w:t>
      </w:r>
      <w:r>
        <w:t>entonces,</w:t>
      </w:r>
      <w:r>
        <w:rPr>
          <w:spacing w:val="-7"/>
        </w:rPr>
        <w:t xml:space="preserve"> </w:t>
      </w:r>
      <w:r>
        <w:t>por</w:t>
      </w:r>
      <w:r>
        <w:rPr>
          <w:spacing w:val="-8"/>
        </w:rPr>
        <w:t xml:space="preserve"> </w:t>
      </w:r>
      <w:r>
        <w:t>lo</w:t>
      </w:r>
      <w:r>
        <w:rPr>
          <w:spacing w:val="-8"/>
        </w:rPr>
        <w:t xml:space="preserve"> </w:t>
      </w:r>
      <w:r>
        <w:t>tanto,</w:t>
      </w:r>
      <w:r>
        <w:rPr>
          <w:spacing w:val="-7"/>
        </w:rPr>
        <w:t xml:space="preserve"> </w:t>
      </w:r>
      <w:r>
        <w:t>no</w:t>
      </w:r>
      <w:r>
        <w:rPr>
          <w:spacing w:val="-8"/>
        </w:rPr>
        <w:t xml:space="preserve"> </w:t>
      </w:r>
      <w:r>
        <w:t>importa.</w:t>
      </w:r>
      <w:r>
        <w:rPr>
          <w:spacing w:val="-7"/>
        </w:rPr>
        <w:t xml:space="preserve"> </w:t>
      </w:r>
      <w:r>
        <w:t>Eso</w:t>
      </w:r>
      <w:r>
        <w:rPr>
          <w:spacing w:val="-8"/>
        </w:rPr>
        <w:t xml:space="preserve"> </w:t>
      </w:r>
      <w:r>
        <w:t>fue</w:t>
      </w:r>
      <w:r>
        <w:rPr>
          <w:spacing w:val="-8"/>
        </w:rPr>
        <w:t xml:space="preserve"> </w:t>
      </w:r>
      <w:r>
        <w:t>lo</w:t>
      </w:r>
      <w:r>
        <w:rPr>
          <w:spacing w:val="-7"/>
        </w:rPr>
        <w:t xml:space="preserve"> </w:t>
      </w:r>
      <w:r>
        <w:t>que</w:t>
      </w:r>
      <w:r>
        <w:rPr>
          <w:spacing w:val="-8"/>
        </w:rPr>
        <w:t xml:space="preserve"> </w:t>
      </w:r>
      <w:r>
        <w:t>pasó,</w:t>
      </w:r>
      <w:r>
        <w:rPr>
          <w:spacing w:val="-8"/>
        </w:rPr>
        <w:t xml:space="preserve"> </w:t>
      </w:r>
      <w:r>
        <w:t xml:space="preserve">poca </w:t>
      </w:r>
      <w:r>
        <w:rPr>
          <w:spacing w:val="-2"/>
        </w:rPr>
        <w:t>importancia»</w:t>
      </w:r>
      <w:r w:rsidR="003F2710">
        <w:rPr>
          <w:rStyle w:val="Refdenotaalpie"/>
          <w:spacing w:val="-2"/>
        </w:rPr>
        <w:footnoteReference w:id="25"/>
      </w:r>
      <w:r>
        <w:rPr>
          <w:spacing w:val="-2"/>
        </w:rPr>
        <w:t>.</w:t>
      </w:r>
    </w:p>
    <w:p w:rsidR="0011361F" w:rsidRDefault="00AF18A5" w:rsidP="003F2710">
      <w:r>
        <w:t>Este</w:t>
      </w:r>
      <w:r>
        <w:rPr>
          <w:spacing w:val="-2"/>
        </w:rPr>
        <w:t xml:space="preserve"> </w:t>
      </w:r>
      <w:r>
        <w:t>escenario</w:t>
      </w:r>
      <w:r>
        <w:rPr>
          <w:spacing w:val="-2"/>
        </w:rPr>
        <w:t xml:space="preserve"> </w:t>
      </w:r>
      <w:r>
        <w:t>ha</w:t>
      </w:r>
      <w:r>
        <w:rPr>
          <w:spacing w:val="-3"/>
        </w:rPr>
        <w:t xml:space="preserve"> </w:t>
      </w:r>
      <w:r>
        <w:t>ido</w:t>
      </w:r>
      <w:r>
        <w:rPr>
          <w:spacing w:val="-2"/>
        </w:rPr>
        <w:t xml:space="preserve"> </w:t>
      </w:r>
      <w:r>
        <w:t>configurando,</w:t>
      </w:r>
      <w:r>
        <w:rPr>
          <w:spacing w:val="-5"/>
        </w:rPr>
        <w:t xml:space="preserve"> </w:t>
      </w:r>
      <w:r>
        <w:t>para</w:t>
      </w:r>
      <w:r>
        <w:rPr>
          <w:spacing w:val="-2"/>
        </w:rPr>
        <w:t xml:space="preserve"> </w:t>
      </w:r>
      <w:r>
        <w:t>una</w:t>
      </w:r>
      <w:r>
        <w:rPr>
          <w:spacing w:val="-3"/>
        </w:rPr>
        <w:t xml:space="preserve"> </w:t>
      </w:r>
      <w:r>
        <w:t>buena</w:t>
      </w:r>
      <w:r>
        <w:rPr>
          <w:spacing w:val="-2"/>
        </w:rPr>
        <w:t xml:space="preserve"> </w:t>
      </w:r>
      <w:r>
        <w:t>parte</w:t>
      </w:r>
      <w:r>
        <w:rPr>
          <w:spacing w:val="-2"/>
        </w:rPr>
        <w:t xml:space="preserve"> </w:t>
      </w:r>
      <w:r>
        <w:t>de</w:t>
      </w:r>
      <w:r>
        <w:rPr>
          <w:spacing w:val="-2"/>
        </w:rPr>
        <w:t xml:space="preserve"> </w:t>
      </w:r>
      <w:r>
        <w:t>la</w:t>
      </w:r>
      <w:r>
        <w:rPr>
          <w:spacing w:val="-2"/>
        </w:rPr>
        <w:t xml:space="preserve"> </w:t>
      </w:r>
      <w:r>
        <w:t>población,</w:t>
      </w:r>
      <w:r>
        <w:rPr>
          <w:spacing w:val="-4"/>
        </w:rPr>
        <w:t xml:space="preserve"> </w:t>
      </w:r>
      <w:r>
        <w:t>un</w:t>
      </w:r>
      <w:r>
        <w:rPr>
          <w:spacing w:val="-2"/>
        </w:rPr>
        <w:t xml:space="preserve"> </w:t>
      </w:r>
      <w:r>
        <w:t>contexto</w:t>
      </w:r>
      <w:r>
        <w:rPr>
          <w:spacing w:val="-3"/>
        </w:rPr>
        <w:t xml:space="preserve"> </w:t>
      </w:r>
      <w:r>
        <w:t>en el</w:t>
      </w:r>
      <w:r>
        <w:rPr>
          <w:spacing w:val="-15"/>
        </w:rPr>
        <w:t xml:space="preserve"> </w:t>
      </w:r>
      <w:r>
        <w:t>que</w:t>
      </w:r>
      <w:r>
        <w:rPr>
          <w:spacing w:val="-15"/>
        </w:rPr>
        <w:t xml:space="preserve"> </w:t>
      </w:r>
      <w:r>
        <w:t>ha</w:t>
      </w:r>
      <w:r>
        <w:rPr>
          <w:spacing w:val="-15"/>
        </w:rPr>
        <w:t xml:space="preserve"> </w:t>
      </w:r>
      <w:r>
        <w:t>sido</w:t>
      </w:r>
      <w:r>
        <w:rPr>
          <w:spacing w:val="-15"/>
        </w:rPr>
        <w:t xml:space="preserve"> </w:t>
      </w:r>
      <w:r>
        <w:t>frecuente</w:t>
      </w:r>
      <w:r>
        <w:rPr>
          <w:spacing w:val="-15"/>
        </w:rPr>
        <w:t xml:space="preserve"> </w:t>
      </w:r>
      <w:r>
        <w:t>seguir</w:t>
      </w:r>
      <w:r>
        <w:rPr>
          <w:spacing w:val="-15"/>
        </w:rPr>
        <w:t xml:space="preserve"> </w:t>
      </w:r>
      <w:r>
        <w:t>a</w:t>
      </w:r>
      <w:r>
        <w:rPr>
          <w:spacing w:val="-15"/>
        </w:rPr>
        <w:t xml:space="preserve"> </w:t>
      </w:r>
      <w:r>
        <w:t>quien</w:t>
      </w:r>
      <w:r>
        <w:rPr>
          <w:spacing w:val="-15"/>
        </w:rPr>
        <w:t xml:space="preserve"> </w:t>
      </w:r>
      <w:r>
        <w:t>tiene</w:t>
      </w:r>
      <w:r>
        <w:rPr>
          <w:spacing w:val="-15"/>
        </w:rPr>
        <w:t xml:space="preserve"> </w:t>
      </w:r>
      <w:r>
        <w:t>el</w:t>
      </w:r>
      <w:r>
        <w:rPr>
          <w:spacing w:val="-15"/>
        </w:rPr>
        <w:t xml:space="preserve"> </w:t>
      </w:r>
      <w:r>
        <w:t>poder</w:t>
      </w:r>
      <w:r>
        <w:rPr>
          <w:spacing w:val="-15"/>
        </w:rPr>
        <w:t xml:space="preserve"> </w:t>
      </w:r>
      <w:r>
        <w:t>armado</w:t>
      </w:r>
      <w:r>
        <w:rPr>
          <w:spacing w:val="-15"/>
        </w:rPr>
        <w:t xml:space="preserve"> </w:t>
      </w:r>
      <w:r>
        <w:t>o</w:t>
      </w:r>
      <w:r>
        <w:rPr>
          <w:spacing w:val="-15"/>
        </w:rPr>
        <w:t xml:space="preserve"> </w:t>
      </w:r>
      <w:r>
        <w:t>a</w:t>
      </w:r>
      <w:r>
        <w:rPr>
          <w:spacing w:val="-15"/>
        </w:rPr>
        <w:t xml:space="preserve"> </w:t>
      </w:r>
      <w:r>
        <w:t>quienes</w:t>
      </w:r>
      <w:r>
        <w:rPr>
          <w:spacing w:val="-15"/>
        </w:rPr>
        <w:t xml:space="preserve"> </w:t>
      </w:r>
      <w:r>
        <w:t>transan</w:t>
      </w:r>
      <w:r>
        <w:rPr>
          <w:spacing w:val="-15"/>
        </w:rPr>
        <w:t xml:space="preserve"> </w:t>
      </w:r>
      <w:r>
        <w:t>la</w:t>
      </w:r>
      <w:r>
        <w:rPr>
          <w:spacing w:val="-15"/>
        </w:rPr>
        <w:t xml:space="preserve"> </w:t>
      </w:r>
      <w:r>
        <w:t xml:space="preserve">posibilidad de decidir por un beneficio económico inmediato, lo que ha normalizado la corrupción en todas las capas sociales. Es la convivencia en muchos territorios usualmente ligada a las economías ilegales, como el narcotráfico o la </w:t>
      </w:r>
      <w:r>
        <w:lastRenderedPageBreak/>
        <w:t>minería ilegal bajo control armado. La permanencia y el fortalecimiento en el tiempo de estos entramados económicos, sociales y políticos</w:t>
      </w:r>
      <w:r>
        <w:rPr>
          <w:spacing w:val="-2"/>
        </w:rPr>
        <w:t xml:space="preserve"> </w:t>
      </w:r>
      <w:r>
        <w:t>de</w:t>
      </w:r>
      <w:r>
        <w:rPr>
          <w:spacing w:val="-3"/>
        </w:rPr>
        <w:t xml:space="preserve"> </w:t>
      </w:r>
      <w:r>
        <w:t>alto</w:t>
      </w:r>
      <w:r>
        <w:rPr>
          <w:spacing w:val="-2"/>
        </w:rPr>
        <w:t xml:space="preserve"> </w:t>
      </w:r>
      <w:r>
        <w:t>nivel</w:t>
      </w:r>
      <w:r>
        <w:rPr>
          <w:spacing w:val="-2"/>
        </w:rPr>
        <w:t xml:space="preserve"> </w:t>
      </w:r>
      <w:r>
        <w:t>en</w:t>
      </w:r>
      <w:r>
        <w:rPr>
          <w:spacing w:val="-4"/>
        </w:rPr>
        <w:t xml:space="preserve"> </w:t>
      </w:r>
      <w:r>
        <w:t>el</w:t>
      </w:r>
      <w:r>
        <w:rPr>
          <w:spacing w:val="-2"/>
        </w:rPr>
        <w:t xml:space="preserve"> </w:t>
      </w:r>
      <w:r>
        <w:t>poder</w:t>
      </w:r>
      <w:r>
        <w:rPr>
          <w:spacing w:val="-3"/>
        </w:rPr>
        <w:t xml:space="preserve"> </w:t>
      </w:r>
      <w:r>
        <w:t>local</w:t>
      </w:r>
      <w:r>
        <w:rPr>
          <w:spacing w:val="-2"/>
        </w:rPr>
        <w:t xml:space="preserve"> </w:t>
      </w:r>
      <w:r>
        <w:t>o</w:t>
      </w:r>
      <w:r>
        <w:rPr>
          <w:spacing w:val="-4"/>
        </w:rPr>
        <w:t xml:space="preserve"> </w:t>
      </w:r>
      <w:r>
        <w:t>regional,</w:t>
      </w:r>
      <w:r>
        <w:rPr>
          <w:spacing w:val="-2"/>
        </w:rPr>
        <w:t xml:space="preserve"> </w:t>
      </w:r>
      <w:r>
        <w:t>pero</w:t>
      </w:r>
      <w:r>
        <w:rPr>
          <w:spacing w:val="-4"/>
        </w:rPr>
        <w:t xml:space="preserve"> </w:t>
      </w:r>
      <w:r>
        <w:t>también</w:t>
      </w:r>
      <w:r>
        <w:rPr>
          <w:spacing w:val="-2"/>
        </w:rPr>
        <w:t xml:space="preserve"> </w:t>
      </w:r>
      <w:r>
        <w:t>nacional,</w:t>
      </w:r>
      <w:r>
        <w:rPr>
          <w:spacing w:val="-4"/>
        </w:rPr>
        <w:t xml:space="preserve"> </w:t>
      </w:r>
      <w:r>
        <w:t>y</w:t>
      </w:r>
      <w:r>
        <w:rPr>
          <w:spacing w:val="-2"/>
        </w:rPr>
        <w:t xml:space="preserve"> </w:t>
      </w:r>
      <w:r>
        <w:t>no</w:t>
      </w:r>
      <w:r>
        <w:rPr>
          <w:spacing w:val="-2"/>
        </w:rPr>
        <w:t xml:space="preserve"> </w:t>
      </w:r>
      <w:r>
        <w:t>solo</w:t>
      </w:r>
      <w:r>
        <w:rPr>
          <w:spacing w:val="-4"/>
        </w:rPr>
        <w:t xml:space="preserve"> </w:t>
      </w:r>
      <w:r>
        <w:t>el</w:t>
      </w:r>
      <w:r>
        <w:rPr>
          <w:spacing w:val="-3"/>
        </w:rPr>
        <w:t xml:space="preserve"> </w:t>
      </w:r>
      <w:r>
        <w:t>poder de coacción de grupos armados, han tenido un impacto importante en las mentes y los corazones como legado de la violencia y la impunidad.</w:t>
      </w:r>
    </w:p>
    <w:p w:rsidR="003804AC" w:rsidRDefault="00AF18A5" w:rsidP="003F2710">
      <w:bookmarkStart w:id="59" w:name="_bookmark30"/>
      <w:bookmarkEnd w:id="59"/>
      <w:r>
        <w:rPr>
          <w:color w:val="131313"/>
        </w:rPr>
        <w:t>La caída en el abismo del vacío ético, la naturalización de la violencia o la</w:t>
      </w:r>
      <w:r>
        <w:rPr>
          <w:color w:val="131313"/>
          <w:spacing w:val="-1"/>
        </w:rPr>
        <w:t xml:space="preserve"> </w:t>
      </w:r>
      <w:r>
        <w:rPr>
          <w:color w:val="131313"/>
        </w:rPr>
        <w:t>aceptación de vivir</w:t>
      </w:r>
      <w:r>
        <w:rPr>
          <w:color w:val="131313"/>
          <w:spacing w:val="-2"/>
        </w:rPr>
        <w:t xml:space="preserve"> </w:t>
      </w:r>
      <w:r>
        <w:rPr>
          <w:color w:val="131313"/>
        </w:rPr>
        <w:t>en</w:t>
      </w:r>
      <w:r>
        <w:rPr>
          <w:color w:val="131313"/>
          <w:spacing w:val="-4"/>
        </w:rPr>
        <w:t xml:space="preserve"> </w:t>
      </w:r>
      <w:r>
        <w:rPr>
          <w:color w:val="131313"/>
        </w:rPr>
        <w:t>el</w:t>
      </w:r>
      <w:r>
        <w:rPr>
          <w:color w:val="131313"/>
          <w:spacing w:val="-2"/>
        </w:rPr>
        <w:t xml:space="preserve"> </w:t>
      </w:r>
      <w:r>
        <w:rPr>
          <w:color w:val="131313"/>
        </w:rPr>
        <w:t>modo</w:t>
      </w:r>
      <w:r>
        <w:rPr>
          <w:color w:val="131313"/>
          <w:spacing w:val="-2"/>
        </w:rPr>
        <w:t xml:space="preserve"> </w:t>
      </w:r>
      <w:r>
        <w:rPr>
          <w:color w:val="131313"/>
        </w:rPr>
        <w:t>guerra</w:t>
      </w:r>
      <w:r>
        <w:rPr>
          <w:color w:val="131313"/>
          <w:spacing w:val="-2"/>
        </w:rPr>
        <w:t xml:space="preserve"> </w:t>
      </w:r>
      <w:r>
        <w:rPr>
          <w:color w:val="131313"/>
        </w:rPr>
        <w:t>han</w:t>
      </w:r>
      <w:r>
        <w:rPr>
          <w:color w:val="131313"/>
          <w:spacing w:val="-2"/>
        </w:rPr>
        <w:t xml:space="preserve"> </w:t>
      </w:r>
      <w:r>
        <w:rPr>
          <w:color w:val="131313"/>
        </w:rPr>
        <w:t>llevado</w:t>
      </w:r>
      <w:r>
        <w:rPr>
          <w:color w:val="131313"/>
          <w:spacing w:val="-2"/>
        </w:rPr>
        <w:t xml:space="preserve"> </w:t>
      </w:r>
      <w:r>
        <w:rPr>
          <w:color w:val="131313"/>
        </w:rPr>
        <w:t>a</w:t>
      </w:r>
      <w:r>
        <w:rPr>
          <w:color w:val="131313"/>
          <w:spacing w:val="-3"/>
        </w:rPr>
        <w:t xml:space="preserve"> </w:t>
      </w:r>
      <w:r>
        <w:rPr>
          <w:color w:val="131313"/>
        </w:rPr>
        <w:t>la</w:t>
      </w:r>
      <w:r>
        <w:rPr>
          <w:color w:val="131313"/>
          <w:spacing w:val="-2"/>
        </w:rPr>
        <w:t xml:space="preserve"> </w:t>
      </w:r>
      <w:r>
        <w:rPr>
          <w:color w:val="131313"/>
        </w:rPr>
        <w:t>banalización</w:t>
      </w:r>
      <w:r>
        <w:rPr>
          <w:color w:val="131313"/>
          <w:spacing w:val="-2"/>
        </w:rPr>
        <w:t xml:space="preserve"> </w:t>
      </w:r>
      <w:r>
        <w:rPr>
          <w:color w:val="131313"/>
        </w:rPr>
        <w:t>del</w:t>
      </w:r>
      <w:r>
        <w:rPr>
          <w:color w:val="131313"/>
          <w:spacing w:val="-2"/>
        </w:rPr>
        <w:t xml:space="preserve"> </w:t>
      </w:r>
      <w:r>
        <w:rPr>
          <w:color w:val="131313"/>
        </w:rPr>
        <w:t>daño</w:t>
      </w:r>
      <w:r>
        <w:rPr>
          <w:color w:val="131313"/>
          <w:spacing w:val="-4"/>
        </w:rPr>
        <w:t xml:space="preserve"> </w:t>
      </w:r>
      <w:r>
        <w:rPr>
          <w:color w:val="131313"/>
        </w:rPr>
        <w:t>y</w:t>
      </w:r>
      <w:r>
        <w:rPr>
          <w:color w:val="131313"/>
          <w:spacing w:val="-2"/>
        </w:rPr>
        <w:t xml:space="preserve"> </w:t>
      </w:r>
      <w:r>
        <w:rPr>
          <w:color w:val="131313"/>
        </w:rPr>
        <w:t>a</w:t>
      </w:r>
      <w:r>
        <w:rPr>
          <w:color w:val="131313"/>
          <w:spacing w:val="-2"/>
        </w:rPr>
        <w:t xml:space="preserve"> </w:t>
      </w:r>
      <w:r>
        <w:rPr>
          <w:color w:val="131313"/>
        </w:rPr>
        <w:t>la</w:t>
      </w:r>
      <w:r>
        <w:rPr>
          <w:color w:val="131313"/>
          <w:spacing w:val="-2"/>
        </w:rPr>
        <w:t xml:space="preserve"> </w:t>
      </w:r>
      <w:r>
        <w:rPr>
          <w:color w:val="131313"/>
        </w:rPr>
        <w:t>degradación</w:t>
      </w:r>
      <w:r>
        <w:rPr>
          <w:color w:val="131313"/>
          <w:spacing w:val="-2"/>
        </w:rPr>
        <w:t xml:space="preserve"> </w:t>
      </w:r>
      <w:r>
        <w:rPr>
          <w:color w:val="131313"/>
        </w:rPr>
        <w:t>no</w:t>
      </w:r>
      <w:r>
        <w:rPr>
          <w:color w:val="131313"/>
          <w:spacing w:val="-2"/>
        </w:rPr>
        <w:t xml:space="preserve"> </w:t>
      </w:r>
      <w:r>
        <w:rPr>
          <w:color w:val="131313"/>
        </w:rPr>
        <w:t>solo</w:t>
      </w:r>
      <w:r>
        <w:rPr>
          <w:color w:val="131313"/>
          <w:spacing w:val="-2"/>
        </w:rPr>
        <w:t xml:space="preserve"> </w:t>
      </w:r>
      <w:r>
        <w:rPr>
          <w:color w:val="131313"/>
        </w:rPr>
        <w:t>de la guerra, sino de la sociedad; a la desvalorización de la dignidad de las víctimas y de todas las</w:t>
      </w:r>
      <w:r>
        <w:rPr>
          <w:color w:val="131313"/>
          <w:spacing w:val="-6"/>
        </w:rPr>
        <w:t xml:space="preserve"> </w:t>
      </w:r>
      <w:r>
        <w:rPr>
          <w:color w:val="131313"/>
        </w:rPr>
        <w:t>demás</w:t>
      </w:r>
      <w:r>
        <w:rPr>
          <w:color w:val="131313"/>
          <w:spacing w:val="-7"/>
        </w:rPr>
        <w:t xml:space="preserve"> </w:t>
      </w:r>
      <w:r>
        <w:rPr>
          <w:color w:val="131313"/>
        </w:rPr>
        <w:t>personas.</w:t>
      </w:r>
      <w:r>
        <w:rPr>
          <w:color w:val="131313"/>
          <w:spacing w:val="-6"/>
        </w:rPr>
        <w:t xml:space="preserve"> </w:t>
      </w:r>
      <w:r>
        <w:rPr>
          <w:color w:val="131313"/>
        </w:rPr>
        <w:t>En</w:t>
      </w:r>
      <w:r>
        <w:rPr>
          <w:color w:val="131313"/>
          <w:spacing w:val="-7"/>
        </w:rPr>
        <w:t xml:space="preserve"> </w:t>
      </w:r>
      <w:r>
        <w:rPr>
          <w:color w:val="131313"/>
        </w:rPr>
        <w:t>esta</w:t>
      </w:r>
      <w:r>
        <w:rPr>
          <w:color w:val="131313"/>
          <w:spacing w:val="-7"/>
        </w:rPr>
        <w:t xml:space="preserve"> </w:t>
      </w:r>
      <w:r>
        <w:rPr>
          <w:color w:val="131313"/>
        </w:rPr>
        <w:t>crisis</w:t>
      </w:r>
      <w:r>
        <w:rPr>
          <w:color w:val="131313"/>
          <w:spacing w:val="-7"/>
        </w:rPr>
        <w:t xml:space="preserve"> </w:t>
      </w:r>
      <w:r>
        <w:rPr>
          <w:color w:val="131313"/>
        </w:rPr>
        <w:t>en</w:t>
      </w:r>
      <w:r>
        <w:rPr>
          <w:color w:val="131313"/>
          <w:spacing w:val="-7"/>
        </w:rPr>
        <w:t xml:space="preserve"> </w:t>
      </w:r>
      <w:r>
        <w:rPr>
          <w:color w:val="131313"/>
        </w:rPr>
        <w:t>la</w:t>
      </w:r>
      <w:r>
        <w:rPr>
          <w:color w:val="131313"/>
          <w:spacing w:val="-6"/>
        </w:rPr>
        <w:t xml:space="preserve"> </w:t>
      </w:r>
      <w:r>
        <w:rPr>
          <w:color w:val="131313"/>
        </w:rPr>
        <w:t>cual</w:t>
      </w:r>
      <w:r>
        <w:rPr>
          <w:color w:val="131313"/>
          <w:spacing w:val="-7"/>
        </w:rPr>
        <w:t xml:space="preserve"> </w:t>
      </w:r>
      <w:r>
        <w:rPr>
          <w:color w:val="131313"/>
        </w:rPr>
        <w:t>la</w:t>
      </w:r>
      <w:r>
        <w:rPr>
          <w:color w:val="131313"/>
          <w:spacing w:val="-7"/>
        </w:rPr>
        <w:t xml:space="preserve"> </w:t>
      </w:r>
      <w:r>
        <w:rPr>
          <w:color w:val="131313"/>
        </w:rPr>
        <w:t>deshumanización</w:t>
      </w:r>
      <w:r>
        <w:rPr>
          <w:color w:val="131313"/>
          <w:spacing w:val="-6"/>
        </w:rPr>
        <w:t xml:space="preserve"> </w:t>
      </w:r>
      <w:r>
        <w:rPr>
          <w:color w:val="131313"/>
        </w:rPr>
        <w:t>está</w:t>
      </w:r>
      <w:r>
        <w:rPr>
          <w:color w:val="131313"/>
          <w:spacing w:val="-6"/>
        </w:rPr>
        <w:t xml:space="preserve"> </w:t>
      </w:r>
      <w:r>
        <w:rPr>
          <w:color w:val="131313"/>
        </w:rPr>
        <w:t>en</w:t>
      </w:r>
      <w:r>
        <w:rPr>
          <w:color w:val="131313"/>
          <w:spacing w:val="-7"/>
        </w:rPr>
        <w:t xml:space="preserve"> </w:t>
      </w:r>
      <w:r>
        <w:rPr>
          <w:color w:val="131313"/>
        </w:rPr>
        <w:t>todos</w:t>
      </w:r>
      <w:r>
        <w:rPr>
          <w:color w:val="131313"/>
          <w:spacing w:val="-6"/>
        </w:rPr>
        <w:t xml:space="preserve"> </w:t>
      </w:r>
      <w:r>
        <w:rPr>
          <w:color w:val="131313"/>
        </w:rPr>
        <w:t>los</w:t>
      </w:r>
      <w:r>
        <w:rPr>
          <w:color w:val="131313"/>
          <w:spacing w:val="-7"/>
        </w:rPr>
        <w:t xml:space="preserve"> </w:t>
      </w:r>
      <w:r>
        <w:rPr>
          <w:color w:val="131313"/>
        </w:rPr>
        <w:t>niveles,</w:t>
      </w:r>
      <w:r>
        <w:rPr>
          <w:color w:val="131313"/>
          <w:spacing w:val="-6"/>
        </w:rPr>
        <w:t xml:space="preserve"> </w:t>
      </w:r>
      <w:r>
        <w:rPr>
          <w:color w:val="131313"/>
        </w:rPr>
        <w:t>no hay vida, verdad, respeto o justicia que valgan. Es un territorio donde se hizo normal vivir negando la humanidad. Colombia entró con todo ello en una crisis intolerable a los ojos de la comunidad mundial.</w:t>
      </w:r>
    </w:p>
    <w:p w:rsidR="0011361F" w:rsidRPr="003A23C7" w:rsidRDefault="00AF18A5" w:rsidP="004A6EF4">
      <w:pPr>
        <w:pStyle w:val="Ttulo3"/>
        <w:numPr>
          <w:ilvl w:val="2"/>
          <w:numId w:val="18"/>
        </w:numPr>
      </w:pPr>
      <w:bookmarkStart w:id="60" w:name="1.3.7._Deshumanización_y_reconocimiento"/>
      <w:bookmarkStart w:id="61" w:name="_Toc112399536"/>
      <w:bookmarkEnd w:id="60"/>
      <w:r w:rsidRPr="003A23C7">
        <w:t>Deshumanización y reconocimiento</w:t>
      </w:r>
      <w:bookmarkEnd w:id="61"/>
    </w:p>
    <w:p w:rsidR="003804AC" w:rsidRDefault="00AF18A5" w:rsidP="003A23C7">
      <w:r>
        <w:t>«En un momento determinado decidimos que la guerra había que ganarla como fuera y que si</w:t>
      </w:r>
      <w:r>
        <w:rPr>
          <w:spacing w:val="-3"/>
        </w:rPr>
        <w:t xml:space="preserve"> </w:t>
      </w:r>
      <w:r>
        <w:t>–perdón</w:t>
      </w:r>
      <w:r>
        <w:rPr>
          <w:spacing w:val="-4"/>
        </w:rPr>
        <w:t xml:space="preserve"> </w:t>
      </w:r>
      <w:r>
        <w:t>la</w:t>
      </w:r>
      <w:r>
        <w:rPr>
          <w:spacing w:val="-3"/>
        </w:rPr>
        <w:t xml:space="preserve"> </w:t>
      </w:r>
      <w:r>
        <w:t>expresión–</w:t>
      </w:r>
      <w:r>
        <w:rPr>
          <w:spacing w:val="-5"/>
        </w:rPr>
        <w:t xml:space="preserve"> </w:t>
      </w:r>
      <w:r>
        <w:t>había</w:t>
      </w:r>
      <w:r>
        <w:rPr>
          <w:spacing w:val="-3"/>
        </w:rPr>
        <w:t xml:space="preserve"> </w:t>
      </w:r>
      <w:r>
        <w:t>que</w:t>
      </w:r>
      <w:r>
        <w:rPr>
          <w:spacing w:val="-3"/>
        </w:rPr>
        <w:t xml:space="preserve"> </w:t>
      </w:r>
      <w:r>
        <w:t>aliarse</w:t>
      </w:r>
      <w:r>
        <w:rPr>
          <w:spacing w:val="-3"/>
        </w:rPr>
        <w:t xml:space="preserve"> </w:t>
      </w:r>
      <w:r>
        <w:t>con</w:t>
      </w:r>
      <w:r>
        <w:rPr>
          <w:spacing w:val="-4"/>
        </w:rPr>
        <w:t xml:space="preserve"> </w:t>
      </w:r>
      <w:r>
        <w:t>el</w:t>
      </w:r>
      <w:r>
        <w:rPr>
          <w:spacing w:val="-3"/>
        </w:rPr>
        <w:t xml:space="preserve"> </w:t>
      </w:r>
      <w:r>
        <w:t>diablo,</w:t>
      </w:r>
      <w:r>
        <w:rPr>
          <w:spacing w:val="-4"/>
        </w:rPr>
        <w:t xml:space="preserve"> </w:t>
      </w:r>
      <w:r>
        <w:t>pues</w:t>
      </w:r>
      <w:r>
        <w:rPr>
          <w:spacing w:val="-5"/>
        </w:rPr>
        <w:t xml:space="preserve"> </w:t>
      </w:r>
      <w:r>
        <w:t>nos</w:t>
      </w:r>
      <w:r>
        <w:rPr>
          <w:spacing w:val="-3"/>
        </w:rPr>
        <w:t xml:space="preserve"> </w:t>
      </w:r>
      <w:r>
        <w:t>aliábamos</w:t>
      </w:r>
      <w:r>
        <w:rPr>
          <w:spacing w:val="-3"/>
        </w:rPr>
        <w:t xml:space="preserve"> </w:t>
      </w:r>
      <w:r>
        <w:t>con</w:t>
      </w:r>
      <w:r>
        <w:rPr>
          <w:spacing w:val="-4"/>
        </w:rPr>
        <w:t xml:space="preserve"> </w:t>
      </w:r>
      <w:r>
        <w:t>el</w:t>
      </w:r>
      <w:r>
        <w:rPr>
          <w:spacing w:val="-3"/>
        </w:rPr>
        <w:t xml:space="preserve"> </w:t>
      </w:r>
      <w:r>
        <w:t>diablo,</w:t>
      </w:r>
      <w:r>
        <w:rPr>
          <w:spacing w:val="-4"/>
        </w:rPr>
        <w:t xml:space="preserve"> </w:t>
      </w:r>
      <w:r>
        <w:t>y eso</w:t>
      </w:r>
      <w:r>
        <w:rPr>
          <w:spacing w:val="-1"/>
        </w:rPr>
        <w:t xml:space="preserve"> </w:t>
      </w:r>
      <w:r>
        <w:t>se</w:t>
      </w:r>
      <w:r>
        <w:rPr>
          <w:spacing w:val="-1"/>
        </w:rPr>
        <w:t xml:space="preserve"> </w:t>
      </w:r>
      <w:r>
        <w:t>presentó.</w:t>
      </w:r>
      <w:r>
        <w:rPr>
          <w:spacing w:val="-1"/>
        </w:rPr>
        <w:t xml:space="preserve"> </w:t>
      </w:r>
      <w:r>
        <w:t>Da</w:t>
      </w:r>
      <w:r>
        <w:rPr>
          <w:spacing w:val="-1"/>
        </w:rPr>
        <w:t xml:space="preserve"> </w:t>
      </w:r>
      <w:r>
        <w:t>intranquilidad</w:t>
      </w:r>
      <w:r>
        <w:rPr>
          <w:spacing w:val="-1"/>
        </w:rPr>
        <w:t xml:space="preserve"> </w:t>
      </w:r>
      <w:r>
        <w:t>que</w:t>
      </w:r>
      <w:r>
        <w:rPr>
          <w:spacing w:val="-1"/>
        </w:rPr>
        <w:t xml:space="preserve"> </w:t>
      </w:r>
      <w:r>
        <w:t>esto</w:t>
      </w:r>
      <w:r>
        <w:rPr>
          <w:spacing w:val="-1"/>
        </w:rPr>
        <w:t xml:space="preserve"> </w:t>
      </w:r>
      <w:r>
        <w:t>avance</w:t>
      </w:r>
      <w:r>
        <w:rPr>
          <w:spacing w:val="-1"/>
        </w:rPr>
        <w:t xml:space="preserve"> </w:t>
      </w:r>
      <w:r>
        <w:t>lentamente</w:t>
      </w:r>
      <w:r>
        <w:rPr>
          <w:spacing w:val="-2"/>
        </w:rPr>
        <w:t xml:space="preserve"> </w:t>
      </w:r>
      <w:r>
        <w:t>porque</w:t>
      </w:r>
      <w:r>
        <w:rPr>
          <w:spacing w:val="-1"/>
        </w:rPr>
        <w:t xml:space="preserve"> </w:t>
      </w:r>
      <w:r>
        <w:t>algunos</w:t>
      </w:r>
      <w:r>
        <w:rPr>
          <w:spacing w:val="-1"/>
        </w:rPr>
        <w:t xml:space="preserve"> </w:t>
      </w:r>
      <w:r>
        <w:t>altos</w:t>
      </w:r>
      <w:r>
        <w:rPr>
          <w:spacing w:val="-1"/>
        </w:rPr>
        <w:t xml:space="preserve"> </w:t>
      </w:r>
      <w:r>
        <w:t>mandos no quieren asumir sus responsabilidades»</w:t>
      </w:r>
      <w:r w:rsidR="003A23C7">
        <w:rPr>
          <w:rStyle w:val="Refdenotaalpie"/>
        </w:rPr>
        <w:footnoteReference w:id="26"/>
      </w:r>
      <w:r>
        <w:t>.</w:t>
      </w:r>
    </w:p>
    <w:p w:rsidR="003804AC" w:rsidRDefault="00AF18A5" w:rsidP="003A23C7">
      <w:r>
        <w:t>La</w:t>
      </w:r>
      <w:r>
        <w:rPr>
          <w:spacing w:val="-13"/>
        </w:rPr>
        <w:t xml:space="preserve"> </w:t>
      </w:r>
      <w:r>
        <w:t>evolución</w:t>
      </w:r>
      <w:r>
        <w:rPr>
          <w:spacing w:val="-13"/>
        </w:rPr>
        <w:t xml:space="preserve"> </w:t>
      </w:r>
      <w:r>
        <w:t>del</w:t>
      </w:r>
      <w:r>
        <w:rPr>
          <w:spacing w:val="-14"/>
        </w:rPr>
        <w:t xml:space="preserve"> </w:t>
      </w:r>
      <w:r>
        <w:t>conflicto</w:t>
      </w:r>
      <w:r>
        <w:rPr>
          <w:spacing w:val="-13"/>
        </w:rPr>
        <w:t xml:space="preserve"> </w:t>
      </w:r>
      <w:r>
        <w:t>armado</w:t>
      </w:r>
      <w:r>
        <w:rPr>
          <w:spacing w:val="-14"/>
        </w:rPr>
        <w:t xml:space="preserve"> </w:t>
      </w:r>
      <w:r>
        <w:t>en</w:t>
      </w:r>
      <w:r>
        <w:rPr>
          <w:spacing w:val="-13"/>
        </w:rPr>
        <w:t xml:space="preserve"> </w:t>
      </w:r>
      <w:r>
        <w:t>Colombia</w:t>
      </w:r>
      <w:r>
        <w:rPr>
          <w:spacing w:val="-14"/>
        </w:rPr>
        <w:t xml:space="preserve"> </w:t>
      </w:r>
      <w:r>
        <w:t>ha</w:t>
      </w:r>
      <w:r>
        <w:rPr>
          <w:spacing w:val="-13"/>
        </w:rPr>
        <w:t xml:space="preserve"> </w:t>
      </w:r>
      <w:r>
        <w:t>tenido</w:t>
      </w:r>
      <w:r>
        <w:rPr>
          <w:spacing w:val="-13"/>
        </w:rPr>
        <w:t xml:space="preserve"> </w:t>
      </w:r>
      <w:r>
        <w:t>diferentes</w:t>
      </w:r>
      <w:r>
        <w:rPr>
          <w:spacing w:val="-14"/>
        </w:rPr>
        <w:t xml:space="preserve"> </w:t>
      </w:r>
      <w:r>
        <w:t>momentos</w:t>
      </w:r>
      <w:r>
        <w:rPr>
          <w:spacing w:val="-13"/>
        </w:rPr>
        <w:t xml:space="preserve"> </w:t>
      </w:r>
      <w:r>
        <w:t>históricos, en los que se fue extendiendo de una forma cada vez más indiscriminada, rompiendo cualquier base del DIH, cualquier respeto por la vida hasta no tener límites frente al desprecio,</w:t>
      </w:r>
      <w:r>
        <w:rPr>
          <w:spacing w:val="-10"/>
        </w:rPr>
        <w:t xml:space="preserve"> </w:t>
      </w:r>
      <w:r>
        <w:t>como</w:t>
      </w:r>
      <w:r>
        <w:rPr>
          <w:spacing w:val="-10"/>
        </w:rPr>
        <w:t xml:space="preserve"> </w:t>
      </w:r>
      <w:r>
        <w:t>lo</w:t>
      </w:r>
      <w:r>
        <w:rPr>
          <w:spacing w:val="-10"/>
        </w:rPr>
        <w:t xml:space="preserve"> </w:t>
      </w:r>
      <w:r>
        <w:lastRenderedPageBreak/>
        <w:t>señala</w:t>
      </w:r>
      <w:r>
        <w:rPr>
          <w:spacing w:val="-9"/>
        </w:rPr>
        <w:t xml:space="preserve"> </w:t>
      </w:r>
      <w:r>
        <w:t>este</w:t>
      </w:r>
      <w:r>
        <w:rPr>
          <w:spacing w:val="-9"/>
        </w:rPr>
        <w:t xml:space="preserve"> </w:t>
      </w:r>
      <w:r>
        <w:t>testimonio</w:t>
      </w:r>
      <w:r>
        <w:rPr>
          <w:spacing w:val="-10"/>
        </w:rPr>
        <w:t xml:space="preserve"> </w:t>
      </w:r>
      <w:r>
        <w:t>de</w:t>
      </w:r>
      <w:r>
        <w:rPr>
          <w:spacing w:val="-9"/>
        </w:rPr>
        <w:t xml:space="preserve"> </w:t>
      </w:r>
      <w:r>
        <w:t>un</w:t>
      </w:r>
      <w:r>
        <w:rPr>
          <w:spacing w:val="-10"/>
        </w:rPr>
        <w:t xml:space="preserve"> </w:t>
      </w:r>
      <w:r>
        <w:t>exmiembro</w:t>
      </w:r>
      <w:r>
        <w:rPr>
          <w:spacing w:val="-10"/>
        </w:rPr>
        <w:t xml:space="preserve"> </w:t>
      </w:r>
      <w:r>
        <w:t>del</w:t>
      </w:r>
      <w:r>
        <w:rPr>
          <w:spacing w:val="-9"/>
        </w:rPr>
        <w:t xml:space="preserve"> </w:t>
      </w:r>
      <w:r>
        <w:t>Ejército</w:t>
      </w:r>
      <w:r>
        <w:rPr>
          <w:spacing w:val="-10"/>
        </w:rPr>
        <w:t xml:space="preserve"> </w:t>
      </w:r>
      <w:r>
        <w:t>que</w:t>
      </w:r>
      <w:r>
        <w:rPr>
          <w:spacing w:val="-9"/>
        </w:rPr>
        <w:t xml:space="preserve"> </w:t>
      </w:r>
      <w:r>
        <w:t>da</w:t>
      </w:r>
      <w:r>
        <w:rPr>
          <w:spacing w:val="-9"/>
        </w:rPr>
        <w:t xml:space="preserve"> </w:t>
      </w:r>
      <w:r>
        <w:t>cuenta</w:t>
      </w:r>
      <w:r>
        <w:rPr>
          <w:spacing w:val="-11"/>
        </w:rPr>
        <w:t xml:space="preserve"> </w:t>
      </w:r>
      <w:r>
        <w:t>de</w:t>
      </w:r>
      <w:r>
        <w:rPr>
          <w:spacing w:val="-9"/>
        </w:rPr>
        <w:t xml:space="preserve"> </w:t>
      </w:r>
      <w:r>
        <w:t>por qué se dieron hechos atroces como el de las ejecuciones extrajudiciales.</w:t>
      </w:r>
    </w:p>
    <w:p w:rsidR="003804AC" w:rsidRDefault="00AF18A5" w:rsidP="003A23C7">
      <w:r>
        <w:t>Por</w:t>
      </w:r>
      <w:r>
        <w:rPr>
          <w:spacing w:val="-8"/>
        </w:rPr>
        <w:t xml:space="preserve"> </w:t>
      </w:r>
      <w:r>
        <w:t>otro</w:t>
      </w:r>
      <w:r>
        <w:rPr>
          <w:spacing w:val="-9"/>
        </w:rPr>
        <w:t xml:space="preserve"> </w:t>
      </w:r>
      <w:r>
        <w:t>lado,</w:t>
      </w:r>
      <w:r>
        <w:rPr>
          <w:spacing w:val="-8"/>
        </w:rPr>
        <w:t xml:space="preserve"> </w:t>
      </w:r>
      <w:r>
        <w:t>la</w:t>
      </w:r>
      <w:r>
        <w:rPr>
          <w:spacing w:val="-8"/>
        </w:rPr>
        <w:t xml:space="preserve"> </w:t>
      </w:r>
      <w:r>
        <w:t>violencia</w:t>
      </w:r>
      <w:r>
        <w:rPr>
          <w:spacing w:val="-8"/>
        </w:rPr>
        <w:t xml:space="preserve"> </w:t>
      </w:r>
      <w:r>
        <w:t>guerrillera</w:t>
      </w:r>
      <w:r>
        <w:rPr>
          <w:spacing w:val="-9"/>
        </w:rPr>
        <w:t xml:space="preserve"> </w:t>
      </w:r>
      <w:r>
        <w:t>se</w:t>
      </w:r>
      <w:r>
        <w:rPr>
          <w:spacing w:val="-8"/>
        </w:rPr>
        <w:t xml:space="preserve"> </w:t>
      </w:r>
      <w:r>
        <w:t>fue</w:t>
      </w:r>
      <w:r>
        <w:rPr>
          <w:spacing w:val="-8"/>
        </w:rPr>
        <w:t xml:space="preserve"> </w:t>
      </w:r>
      <w:r>
        <w:t>extendiendo</w:t>
      </w:r>
      <w:r>
        <w:rPr>
          <w:spacing w:val="-8"/>
        </w:rPr>
        <w:t xml:space="preserve"> </w:t>
      </w:r>
      <w:r>
        <w:t>cada</w:t>
      </w:r>
      <w:r>
        <w:rPr>
          <w:spacing w:val="-9"/>
        </w:rPr>
        <w:t xml:space="preserve"> </w:t>
      </w:r>
      <w:r>
        <w:t>vez</w:t>
      </w:r>
      <w:r>
        <w:rPr>
          <w:spacing w:val="-8"/>
        </w:rPr>
        <w:t xml:space="preserve"> </w:t>
      </w:r>
      <w:r>
        <w:t>más</w:t>
      </w:r>
      <w:r>
        <w:rPr>
          <w:spacing w:val="-8"/>
        </w:rPr>
        <w:t xml:space="preserve"> </w:t>
      </w:r>
      <w:r>
        <w:t>hacia</w:t>
      </w:r>
      <w:r>
        <w:rPr>
          <w:spacing w:val="-8"/>
        </w:rPr>
        <w:t xml:space="preserve"> </w:t>
      </w:r>
      <w:r>
        <w:t>el</w:t>
      </w:r>
      <w:r>
        <w:rPr>
          <w:spacing w:val="-8"/>
        </w:rPr>
        <w:t xml:space="preserve"> </w:t>
      </w:r>
      <w:r>
        <w:t>control</w:t>
      </w:r>
      <w:r>
        <w:rPr>
          <w:spacing w:val="-9"/>
        </w:rPr>
        <w:t xml:space="preserve"> </w:t>
      </w:r>
      <w:r>
        <w:t>del tejido social: atentados que produjeron muchas víctimas civiles, asesinatos de personas consideradas informantes o que se oponían a sus proyectos, ataques con cilindros bomba contra</w:t>
      </w:r>
      <w:r>
        <w:rPr>
          <w:spacing w:val="-13"/>
        </w:rPr>
        <w:t xml:space="preserve"> </w:t>
      </w:r>
      <w:r>
        <w:t>instalaciones</w:t>
      </w:r>
      <w:r>
        <w:rPr>
          <w:spacing w:val="-13"/>
        </w:rPr>
        <w:t xml:space="preserve"> </w:t>
      </w:r>
      <w:r>
        <w:t>militares</w:t>
      </w:r>
      <w:r>
        <w:rPr>
          <w:spacing w:val="-13"/>
        </w:rPr>
        <w:t xml:space="preserve"> </w:t>
      </w:r>
      <w:r>
        <w:t>en</w:t>
      </w:r>
      <w:r>
        <w:rPr>
          <w:spacing w:val="-12"/>
        </w:rPr>
        <w:t xml:space="preserve"> </w:t>
      </w:r>
      <w:r>
        <w:t>medio</w:t>
      </w:r>
      <w:r>
        <w:rPr>
          <w:spacing w:val="-12"/>
        </w:rPr>
        <w:t xml:space="preserve"> </w:t>
      </w:r>
      <w:r>
        <w:t>de</w:t>
      </w:r>
      <w:r>
        <w:rPr>
          <w:spacing w:val="-12"/>
        </w:rPr>
        <w:t xml:space="preserve"> </w:t>
      </w:r>
      <w:r>
        <w:t>poblaciones,</w:t>
      </w:r>
      <w:r>
        <w:rPr>
          <w:spacing w:val="-12"/>
        </w:rPr>
        <w:t xml:space="preserve"> </w:t>
      </w:r>
      <w:r>
        <w:t>en</w:t>
      </w:r>
      <w:r>
        <w:rPr>
          <w:spacing w:val="-12"/>
        </w:rPr>
        <w:t xml:space="preserve"> </w:t>
      </w:r>
      <w:r>
        <w:t>una</w:t>
      </w:r>
      <w:r>
        <w:rPr>
          <w:spacing w:val="-14"/>
        </w:rPr>
        <w:t xml:space="preserve"> </w:t>
      </w:r>
      <w:r>
        <w:t>forma</w:t>
      </w:r>
      <w:r>
        <w:rPr>
          <w:spacing w:val="-13"/>
        </w:rPr>
        <w:t xml:space="preserve"> </w:t>
      </w:r>
      <w:r>
        <w:t>de</w:t>
      </w:r>
      <w:r>
        <w:rPr>
          <w:spacing w:val="-12"/>
        </w:rPr>
        <w:t xml:space="preserve"> </w:t>
      </w:r>
      <w:r>
        <w:t>desprecio</w:t>
      </w:r>
      <w:r>
        <w:rPr>
          <w:spacing w:val="-13"/>
        </w:rPr>
        <w:t xml:space="preserve"> </w:t>
      </w:r>
      <w:r>
        <w:t>por</w:t>
      </w:r>
      <w:r>
        <w:rPr>
          <w:spacing w:val="-13"/>
        </w:rPr>
        <w:t xml:space="preserve"> </w:t>
      </w:r>
      <w:r>
        <w:t>la</w:t>
      </w:r>
      <w:r>
        <w:rPr>
          <w:spacing w:val="-13"/>
        </w:rPr>
        <w:t xml:space="preserve"> </w:t>
      </w:r>
      <w:r>
        <w:t>vida de</w:t>
      </w:r>
      <w:r>
        <w:rPr>
          <w:spacing w:val="-9"/>
        </w:rPr>
        <w:t xml:space="preserve"> </w:t>
      </w:r>
      <w:r>
        <w:t>las</w:t>
      </w:r>
      <w:r>
        <w:rPr>
          <w:spacing w:val="-10"/>
        </w:rPr>
        <w:t xml:space="preserve"> </w:t>
      </w:r>
      <w:r>
        <w:t>comunidades</w:t>
      </w:r>
      <w:r>
        <w:rPr>
          <w:spacing w:val="-9"/>
        </w:rPr>
        <w:t xml:space="preserve"> </w:t>
      </w:r>
      <w:r>
        <w:t>afectadas</w:t>
      </w:r>
      <w:r>
        <w:rPr>
          <w:spacing w:val="-9"/>
        </w:rPr>
        <w:t xml:space="preserve"> </w:t>
      </w:r>
      <w:r>
        <w:t>en</w:t>
      </w:r>
      <w:r>
        <w:rPr>
          <w:spacing w:val="-11"/>
        </w:rPr>
        <w:t xml:space="preserve"> </w:t>
      </w:r>
      <w:r>
        <w:t>la</w:t>
      </w:r>
      <w:r>
        <w:rPr>
          <w:spacing w:val="-10"/>
        </w:rPr>
        <w:t xml:space="preserve"> </w:t>
      </w:r>
      <w:r>
        <w:t>cual</w:t>
      </w:r>
      <w:r>
        <w:rPr>
          <w:spacing w:val="-9"/>
        </w:rPr>
        <w:t xml:space="preserve"> </w:t>
      </w:r>
      <w:r>
        <w:t>no</w:t>
      </w:r>
      <w:r>
        <w:rPr>
          <w:spacing w:val="-9"/>
        </w:rPr>
        <w:t xml:space="preserve"> </w:t>
      </w:r>
      <w:r>
        <w:t>importaba</w:t>
      </w:r>
      <w:r>
        <w:rPr>
          <w:spacing w:val="-9"/>
        </w:rPr>
        <w:t xml:space="preserve"> </w:t>
      </w:r>
      <w:r>
        <w:t>si</w:t>
      </w:r>
      <w:r>
        <w:rPr>
          <w:spacing w:val="-9"/>
        </w:rPr>
        <w:t xml:space="preserve"> </w:t>
      </w:r>
      <w:r>
        <w:t>morían</w:t>
      </w:r>
      <w:r>
        <w:rPr>
          <w:spacing w:val="-9"/>
        </w:rPr>
        <w:t xml:space="preserve"> </w:t>
      </w:r>
      <w:r>
        <w:t>niños,</w:t>
      </w:r>
      <w:r>
        <w:rPr>
          <w:spacing w:val="-9"/>
        </w:rPr>
        <w:t xml:space="preserve"> </w:t>
      </w:r>
      <w:r>
        <w:t>personas</w:t>
      </w:r>
      <w:r>
        <w:rPr>
          <w:spacing w:val="-9"/>
        </w:rPr>
        <w:t xml:space="preserve"> </w:t>
      </w:r>
      <w:r>
        <w:t>por</w:t>
      </w:r>
      <w:r>
        <w:rPr>
          <w:spacing w:val="-9"/>
        </w:rPr>
        <w:t xml:space="preserve"> </w:t>
      </w:r>
      <w:r>
        <w:t>fuera</w:t>
      </w:r>
      <w:r>
        <w:rPr>
          <w:spacing w:val="-9"/>
        </w:rPr>
        <w:t xml:space="preserve"> </w:t>
      </w:r>
      <w:r>
        <w:t>del enfrentamiento o se atacaban infraestructuras clave, como un hospital o una escuela. Y esto llevó</w:t>
      </w:r>
      <w:r>
        <w:rPr>
          <w:spacing w:val="-14"/>
        </w:rPr>
        <w:t xml:space="preserve"> </w:t>
      </w:r>
      <w:r>
        <w:t>a</w:t>
      </w:r>
      <w:r>
        <w:rPr>
          <w:spacing w:val="-11"/>
        </w:rPr>
        <w:t xml:space="preserve"> </w:t>
      </w:r>
      <w:r>
        <w:t>prácticas</w:t>
      </w:r>
      <w:r>
        <w:rPr>
          <w:spacing w:val="-12"/>
        </w:rPr>
        <w:t xml:space="preserve"> </w:t>
      </w:r>
      <w:r>
        <w:t>inhumanas</w:t>
      </w:r>
      <w:r>
        <w:rPr>
          <w:spacing w:val="-11"/>
        </w:rPr>
        <w:t xml:space="preserve"> </w:t>
      </w:r>
      <w:r>
        <w:t>y</w:t>
      </w:r>
      <w:r>
        <w:rPr>
          <w:spacing w:val="-11"/>
        </w:rPr>
        <w:t xml:space="preserve"> </w:t>
      </w:r>
      <w:r>
        <w:t>violaciones</w:t>
      </w:r>
      <w:r>
        <w:rPr>
          <w:spacing w:val="-11"/>
        </w:rPr>
        <w:t xml:space="preserve"> </w:t>
      </w:r>
      <w:r>
        <w:t>de</w:t>
      </w:r>
      <w:r>
        <w:rPr>
          <w:spacing w:val="-11"/>
        </w:rPr>
        <w:t xml:space="preserve"> </w:t>
      </w:r>
      <w:r>
        <w:t>derechos</w:t>
      </w:r>
      <w:r>
        <w:rPr>
          <w:spacing w:val="-11"/>
        </w:rPr>
        <w:t xml:space="preserve"> </w:t>
      </w:r>
      <w:r>
        <w:t>humanos</w:t>
      </w:r>
      <w:r>
        <w:rPr>
          <w:spacing w:val="-11"/>
        </w:rPr>
        <w:t xml:space="preserve"> </w:t>
      </w:r>
      <w:r>
        <w:t>y</w:t>
      </w:r>
      <w:r>
        <w:rPr>
          <w:spacing w:val="-11"/>
        </w:rPr>
        <w:t xml:space="preserve"> </w:t>
      </w:r>
      <w:r>
        <w:t>del</w:t>
      </w:r>
      <w:r>
        <w:rPr>
          <w:spacing w:val="-12"/>
        </w:rPr>
        <w:t xml:space="preserve"> </w:t>
      </w:r>
      <w:r>
        <w:t>DIH,</w:t>
      </w:r>
      <w:r>
        <w:rPr>
          <w:spacing w:val="-11"/>
        </w:rPr>
        <w:t xml:space="preserve"> </w:t>
      </w:r>
      <w:r>
        <w:t>como</w:t>
      </w:r>
      <w:r>
        <w:rPr>
          <w:spacing w:val="-11"/>
        </w:rPr>
        <w:t xml:space="preserve"> </w:t>
      </w:r>
      <w:r>
        <w:t>el</w:t>
      </w:r>
      <w:r>
        <w:rPr>
          <w:spacing w:val="-11"/>
        </w:rPr>
        <w:t xml:space="preserve"> </w:t>
      </w:r>
      <w:r>
        <w:rPr>
          <w:spacing w:val="-2"/>
        </w:rPr>
        <w:t>secuestro</w:t>
      </w:r>
      <w:bookmarkStart w:id="62" w:name="_bookmark31"/>
      <w:bookmarkEnd w:id="62"/>
      <w:r w:rsidR="003A23C7">
        <w:t xml:space="preserve"> </w:t>
      </w:r>
      <w:r>
        <w:t>–en</w:t>
      </w:r>
      <w:r>
        <w:rPr>
          <w:spacing w:val="-11"/>
        </w:rPr>
        <w:t xml:space="preserve"> </w:t>
      </w:r>
      <w:r>
        <w:t>el</w:t>
      </w:r>
      <w:r>
        <w:rPr>
          <w:spacing w:val="-11"/>
        </w:rPr>
        <w:t xml:space="preserve"> </w:t>
      </w:r>
      <w:r>
        <w:t>cual</w:t>
      </w:r>
      <w:r>
        <w:rPr>
          <w:spacing w:val="-11"/>
        </w:rPr>
        <w:t xml:space="preserve"> </w:t>
      </w:r>
      <w:r>
        <w:t>se</w:t>
      </w:r>
      <w:r>
        <w:rPr>
          <w:spacing w:val="-10"/>
        </w:rPr>
        <w:t xml:space="preserve"> </w:t>
      </w:r>
      <w:r>
        <w:t>mantenía</w:t>
      </w:r>
      <w:r>
        <w:rPr>
          <w:spacing w:val="-10"/>
        </w:rPr>
        <w:t xml:space="preserve"> </w:t>
      </w:r>
      <w:r>
        <w:t>a</w:t>
      </w:r>
      <w:r>
        <w:rPr>
          <w:spacing w:val="-12"/>
        </w:rPr>
        <w:t xml:space="preserve"> </w:t>
      </w:r>
      <w:r>
        <w:t>personas</w:t>
      </w:r>
      <w:r>
        <w:rPr>
          <w:spacing w:val="-11"/>
        </w:rPr>
        <w:t xml:space="preserve"> </w:t>
      </w:r>
      <w:r>
        <w:t>en</w:t>
      </w:r>
      <w:r>
        <w:rPr>
          <w:spacing w:val="-12"/>
        </w:rPr>
        <w:t xml:space="preserve"> </w:t>
      </w:r>
      <w:r>
        <w:t>condiciones</w:t>
      </w:r>
      <w:r>
        <w:rPr>
          <w:spacing w:val="-12"/>
        </w:rPr>
        <w:t xml:space="preserve"> </w:t>
      </w:r>
      <w:r>
        <w:t>infrahumanas</w:t>
      </w:r>
      <w:r>
        <w:rPr>
          <w:spacing w:val="-11"/>
        </w:rPr>
        <w:t xml:space="preserve"> </w:t>
      </w:r>
      <w:r>
        <w:t>y</w:t>
      </w:r>
      <w:r>
        <w:rPr>
          <w:spacing w:val="-11"/>
        </w:rPr>
        <w:t xml:space="preserve"> </w:t>
      </w:r>
      <w:r>
        <w:t>maltratadas</w:t>
      </w:r>
      <w:r>
        <w:rPr>
          <w:spacing w:val="-10"/>
        </w:rPr>
        <w:t xml:space="preserve"> </w:t>
      </w:r>
      <w:r>
        <w:t>durante</w:t>
      </w:r>
      <w:r>
        <w:rPr>
          <w:spacing w:val="-12"/>
        </w:rPr>
        <w:t xml:space="preserve"> </w:t>
      </w:r>
      <w:r>
        <w:t>meses o años– o el reclutamiento de menores.</w:t>
      </w:r>
    </w:p>
    <w:p w:rsidR="003804AC" w:rsidRDefault="00AF18A5" w:rsidP="003A23C7">
      <w:r>
        <w:t>«La</w:t>
      </w:r>
      <w:r>
        <w:rPr>
          <w:spacing w:val="-11"/>
        </w:rPr>
        <w:t xml:space="preserve"> </w:t>
      </w:r>
      <w:r>
        <w:t>gente</w:t>
      </w:r>
      <w:r>
        <w:rPr>
          <w:spacing w:val="-11"/>
        </w:rPr>
        <w:t xml:space="preserve"> </w:t>
      </w:r>
      <w:r>
        <w:t>del</w:t>
      </w:r>
      <w:r>
        <w:rPr>
          <w:spacing w:val="-10"/>
        </w:rPr>
        <w:t xml:space="preserve"> </w:t>
      </w:r>
      <w:r>
        <w:t>área</w:t>
      </w:r>
      <w:r>
        <w:rPr>
          <w:spacing w:val="-12"/>
        </w:rPr>
        <w:t xml:space="preserve"> </w:t>
      </w:r>
      <w:r>
        <w:t>rural</w:t>
      </w:r>
      <w:r>
        <w:rPr>
          <w:spacing w:val="-10"/>
        </w:rPr>
        <w:t xml:space="preserve"> </w:t>
      </w:r>
      <w:r>
        <w:t>que</w:t>
      </w:r>
      <w:r>
        <w:rPr>
          <w:spacing w:val="-11"/>
        </w:rPr>
        <w:t xml:space="preserve"> </w:t>
      </w:r>
      <w:r>
        <w:t>no</w:t>
      </w:r>
      <w:r>
        <w:rPr>
          <w:spacing w:val="-11"/>
        </w:rPr>
        <w:t xml:space="preserve"> </w:t>
      </w:r>
      <w:r>
        <w:t>colaboraba,</w:t>
      </w:r>
      <w:r>
        <w:rPr>
          <w:spacing w:val="-11"/>
        </w:rPr>
        <w:t xml:space="preserve"> </w:t>
      </w:r>
      <w:r>
        <w:t>pues,</w:t>
      </w:r>
      <w:r>
        <w:rPr>
          <w:spacing w:val="-11"/>
        </w:rPr>
        <w:t xml:space="preserve"> </w:t>
      </w:r>
      <w:r>
        <w:t>por</w:t>
      </w:r>
      <w:r>
        <w:rPr>
          <w:spacing w:val="-10"/>
        </w:rPr>
        <w:t xml:space="preserve"> </w:t>
      </w:r>
      <w:r>
        <w:t>supuesto,</w:t>
      </w:r>
      <w:r>
        <w:rPr>
          <w:spacing w:val="-12"/>
        </w:rPr>
        <w:t xml:space="preserve"> </w:t>
      </w:r>
      <w:r>
        <w:t>se</w:t>
      </w:r>
      <w:r>
        <w:rPr>
          <w:spacing w:val="-11"/>
        </w:rPr>
        <w:t xml:space="preserve"> </w:t>
      </w:r>
      <w:r>
        <w:t>convertía</w:t>
      </w:r>
      <w:r>
        <w:rPr>
          <w:spacing w:val="-12"/>
        </w:rPr>
        <w:t xml:space="preserve"> </w:t>
      </w:r>
      <w:r>
        <w:t>en</w:t>
      </w:r>
      <w:r>
        <w:rPr>
          <w:spacing w:val="-11"/>
        </w:rPr>
        <w:t xml:space="preserve"> </w:t>
      </w:r>
      <w:r>
        <w:t>su</w:t>
      </w:r>
      <w:r>
        <w:rPr>
          <w:spacing w:val="-11"/>
        </w:rPr>
        <w:t xml:space="preserve"> </w:t>
      </w:r>
      <w:r>
        <w:t>objetivo militar</w:t>
      </w:r>
      <w:r>
        <w:rPr>
          <w:spacing w:val="-8"/>
        </w:rPr>
        <w:t xml:space="preserve"> </w:t>
      </w:r>
      <w:r>
        <w:t>y</w:t>
      </w:r>
      <w:r>
        <w:rPr>
          <w:spacing w:val="-8"/>
        </w:rPr>
        <w:t xml:space="preserve"> </w:t>
      </w:r>
      <w:r>
        <w:t>tenían</w:t>
      </w:r>
      <w:r>
        <w:rPr>
          <w:spacing w:val="-8"/>
        </w:rPr>
        <w:t xml:space="preserve"> </w:t>
      </w:r>
      <w:r>
        <w:t>que</w:t>
      </w:r>
      <w:r>
        <w:rPr>
          <w:spacing w:val="-8"/>
        </w:rPr>
        <w:t xml:space="preserve"> </w:t>
      </w:r>
      <w:r>
        <w:t>irse,</w:t>
      </w:r>
      <w:r>
        <w:rPr>
          <w:spacing w:val="-8"/>
        </w:rPr>
        <w:t xml:space="preserve"> </w:t>
      </w:r>
      <w:r>
        <w:t>abandonar</w:t>
      </w:r>
      <w:r>
        <w:rPr>
          <w:spacing w:val="-8"/>
        </w:rPr>
        <w:t xml:space="preserve"> </w:t>
      </w:r>
      <w:r>
        <w:t>sus</w:t>
      </w:r>
      <w:r>
        <w:rPr>
          <w:spacing w:val="-8"/>
        </w:rPr>
        <w:t xml:space="preserve"> </w:t>
      </w:r>
      <w:r>
        <w:t>fincas.</w:t>
      </w:r>
      <w:r>
        <w:rPr>
          <w:spacing w:val="-8"/>
        </w:rPr>
        <w:t xml:space="preserve"> </w:t>
      </w:r>
      <w:r>
        <w:t>Y</w:t>
      </w:r>
      <w:r>
        <w:rPr>
          <w:spacing w:val="-9"/>
        </w:rPr>
        <w:t xml:space="preserve"> </w:t>
      </w:r>
      <w:r>
        <w:t>quienes,</w:t>
      </w:r>
      <w:r>
        <w:rPr>
          <w:spacing w:val="-8"/>
        </w:rPr>
        <w:t xml:space="preserve"> </w:t>
      </w:r>
      <w:r>
        <w:t>de</w:t>
      </w:r>
      <w:r>
        <w:rPr>
          <w:spacing w:val="-8"/>
        </w:rPr>
        <w:t xml:space="preserve"> </w:t>
      </w:r>
      <w:r>
        <w:t>alguna</w:t>
      </w:r>
      <w:r>
        <w:rPr>
          <w:spacing w:val="-8"/>
        </w:rPr>
        <w:t xml:space="preserve"> </w:t>
      </w:r>
      <w:r>
        <w:t>manera,</w:t>
      </w:r>
      <w:r>
        <w:rPr>
          <w:spacing w:val="-8"/>
        </w:rPr>
        <w:t xml:space="preserve"> </w:t>
      </w:r>
      <w:r>
        <w:t>no</w:t>
      </w:r>
      <w:r>
        <w:rPr>
          <w:spacing w:val="-8"/>
        </w:rPr>
        <w:t xml:space="preserve"> </w:t>
      </w:r>
      <w:r>
        <w:t>hacían</w:t>
      </w:r>
      <w:r>
        <w:rPr>
          <w:spacing w:val="-8"/>
        </w:rPr>
        <w:t xml:space="preserve"> </w:t>
      </w:r>
      <w:r>
        <w:t>nada, no los condenaban ni les decían nada, pues, por lo menos ahí toleraban esa gente que, de alguna</w:t>
      </w:r>
      <w:r>
        <w:rPr>
          <w:spacing w:val="-4"/>
        </w:rPr>
        <w:t xml:space="preserve"> </w:t>
      </w:r>
      <w:r>
        <w:t>manera,</w:t>
      </w:r>
      <w:r>
        <w:rPr>
          <w:spacing w:val="-3"/>
        </w:rPr>
        <w:t xml:space="preserve"> </w:t>
      </w:r>
      <w:r>
        <w:t>era</w:t>
      </w:r>
      <w:r>
        <w:rPr>
          <w:spacing w:val="-3"/>
        </w:rPr>
        <w:t xml:space="preserve"> </w:t>
      </w:r>
      <w:r>
        <w:t>sometiéndonos</w:t>
      </w:r>
      <w:r>
        <w:rPr>
          <w:spacing w:val="-4"/>
        </w:rPr>
        <w:t xml:space="preserve"> </w:t>
      </w:r>
      <w:r>
        <w:t>a</w:t>
      </w:r>
      <w:r>
        <w:rPr>
          <w:spacing w:val="-4"/>
        </w:rPr>
        <w:t xml:space="preserve"> </w:t>
      </w:r>
      <w:r>
        <w:t>la</w:t>
      </w:r>
      <w:r>
        <w:rPr>
          <w:spacing w:val="-3"/>
        </w:rPr>
        <w:t xml:space="preserve"> </w:t>
      </w:r>
      <w:r>
        <w:t>humillación</w:t>
      </w:r>
      <w:r>
        <w:rPr>
          <w:spacing w:val="-3"/>
        </w:rPr>
        <w:t xml:space="preserve"> </w:t>
      </w:r>
      <w:r>
        <w:t>y</w:t>
      </w:r>
      <w:r>
        <w:rPr>
          <w:spacing w:val="-3"/>
        </w:rPr>
        <w:t xml:space="preserve"> </w:t>
      </w:r>
      <w:r>
        <w:t>a</w:t>
      </w:r>
      <w:r>
        <w:rPr>
          <w:spacing w:val="-4"/>
        </w:rPr>
        <w:t xml:space="preserve"> </w:t>
      </w:r>
      <w:r>
        <w:t>las</w:t>
      </w:r>
      <w:r>
        <w:rPr>
          <w:spacing w:val="-4"/>
        </w:rPr>
        <w:t xml:space="preserve"> </w:t>
      </w:r>
      <w:r>
        <w:t>órdenes</w:t>
      </w:r>
      <w:r>
        <w:rPr>
          <w:spacing w:val="-3"/>
        </w:rPr>
        <w:t xml:space="preserve"> </w:t>
      </w:r>
      <w:r>
        <w:t>que</w:t>
      </w:r>
      <w:r>
        <w:rPr>
          <w:spacing w:val="-4"/>
        </w:rPr>
        <w:t xml:space="preserve"> </w:t>
      </w:r>
      <w:r>
        <w:t>nunca,</w:t>
      </w:r>
      <w:r>
        <w:rPr>
          <w:spacing w:val="-3"/>
        </w:rPr>
        <w:t xml:space="preserve"> </w:t>
      </w:r>
      <w:r>
        <w:t>por</w:t>
      </w:r>
      <w:r>
        <w:rPr>
          <w:spacing w:val="-4"/>
        </w:rPr>
        <w:t xml:space="preserve"> </w:t>
      </w:r>
      <w:r>
        <w:t>supuesto, fueron del agrado de nadie. Todos estábamos sometidos, porque las armas, sin duda, se imponían a los azadones y a los machetes nuestros que teníamos como única arma, que era la herramienta. Pajarito sufrió unas, que yo me acuerde, unas quince tomas, donde murió gente</w:t>
      </w:r>
      <w:r>
        <w:rPr>
          <w:spacing w:val="-5"/>
        </w:rPr>
        <w:t xml:space="preserve"> </w:t>
      </w:r>
      <w:r>
        <w:t>civil,</w:t>
      </w:r>
      <w:r>
        <w:rPr>
          <w:spacing w:val="-5"/>
        </w:rPr>
        <w:t xml:space="preserve"> </w:t>
      </w:r>
      <w:r>
        <w:t>donde</w:t>
      </w:r>
      <w:r>
        <w:rPr>
          <w:spacing w:val="-4"/>
        </w:rPr>
        <w:t xml:space="preserve"> </w:t>
      </w:r>
      <w:r>
        <w:t>murieron</w:t>
      </w:r>
      <w:r>
        <w:rPr>
          <w:spacing w:val="-4"/>
        </w:rPr>
        <w:t xml:space="preserve"> </w:t>
      </w:r>
      <w:r>
        <w:t>militares</w:t>
      </w:r>
      <w:r>
        <w:rPr>
          <w:spacing w:val="-5"/>
        </w:rPr>
        <w:t xml:space="preserve"> </w:t>
      </w:r>
      <w:r>
        <w:t>del</w:t>
      </w:r>
      <w:r>
        <w:rPr>
          <w:spacing w:val="-4"/>
        </w:rPr>
        <w:t xml:space="preserve"> </w:t>
      </w:r>
      <w:r>
        <w:t>Ejército,</w:t>
      </w:r>
      <w:r>
        <w:rPr>
          <w:spacing w:val="-4"/>
        </w:rPr>
        <w:t xml:space="preserve"> </w:t>
      </w:r>
      <w:r>
        <w:t>de</w:t>
      </w:r>
      <w:r>
        <w:rPr>
          <w:spacing w:val="-4"/>
        </w:rPr>
        <w:t xml:space="preserve"> </w:t>
      </w:r>
      <w:r>
        <w:t>la</w:t>
      </w:r>
      <w:r>
        <w:rPr>
          <w:spacing w:val="-4"/>
        </w:rPr>
        <w:t xml:space="preserve"> </w:t>
      </w:r>
      <w:r>
        <w:t>Policía.</w:t>
      </w:r>
      <w:r>
        <w:rPr>
          <w:spacing w:val="-4"/>
        </w:rPr>
        <w:t xml:space="preserve"> </w:t>
      </w:r>
      <w:r>
        <w:t>Hubo</w:t>
      </w:r>
      <w:r>
        <w:rPr>
          <w:spacing w:val="-4"/>
        </w:rPr>
        <w:t xml:space="preserve"> </w:t>
      </w:r>
      <w:r>
        <w:t>mucha</w:t>
      </w:r>
      <w:r>
        <w:rPr>
          <w:spacing w:val="-4"/>
        </w:rPr>
        <w:t xml:space="preserve"> </w:t>
      </w:r>
      <w:r>
        <w:t>infraestructura caída por causa de los bombardeos con cilindros. [...] destruyeron la Caja Agraria, el centro de</w:t>
      </w:r>
      <w:r>
        <w:rPr>
          <w:spacing w:val="-9"/>
        </w:rPr>
        <w:t xml:space="preserve"> </w:t>
      </w:r>
      <w:r>
        <w:t>salud,</w:t>
      </w:r>
      <w:r>
        <w:rPr>
          <w:spacing w:val="-10"/>
        </w:rPr>
        <w:t xml:space="preserve"> </w:t>
      </w:r>
      <w:r>
        <w:t>el</w:t>
      </w:r>
      <w:r>
        <w:rPr>
          <w:spacing w:val="-10"/>
        </w:rPr>
        <w:t xml:space="preserve"> </w:t>
      </w:r>
      <w:r>
        <w:t>comando</w:t>
      </w:r>
      <w:r>
        <w:rPr>
          <w:spacing w:val="-10"/>
        </w:rPr>
        <w:t xml:space="preserve"> </w:t>
      </w:r>
      <w:r>
        <w:t>de</w:t>
      </w:r>
      <w:r>
        <w:rPr>
          <w:spacing w:val="-11"/>
        </w:rPr>
        <w:t xml:space="preserve"> </w:t>
      </w:r>
      <w:r>
        <w:t>la</w:t>
      </w:r>
      <w:r>
        <w:rPr>
          <w:spacing w:val="-9"/>
        </w:rPr>
        <w:t xml:space="preserve"> </w:t>
      </w:r>
      <w:r>
        <w:t>Policía</w:t>
      </w:r>
      <w:r>
        <w:rPr>
          <w:spacing w:val="-9"/>
        </w:rPr>
        <w:t xml:space="preserve"> </w:t>
      </w:r>
      <w:r>
        <w:t>y</w:t>
      </w:r>
      <w:r>
        <w:rPr>
          <w:spacing w:val="-12"/>
        </w:rPr>
        <w:t xml:space="preserve"> </w:t>
      </w:r>
      <w:r>
        <w:t>una</w:t>
      </w:r>
      <w:r>
        <w:rPr>
          <w:spacing w:val="-9"/>
        </w:rPr>
        <w:t xml:space="preserve"> </w:t>
      </w:r>
      <w:r>
        <w:t>cuatro</w:t>
      </w:r>
      <w:r>
        <w:rPr>
          <w:spacing w:val="-10"/>
        </w:rPr>
        <w:t xml:space="preserve"> </w:t>
      </w:r>
      <w:r>
        <w:t>o</w:t>
      </w:r>
      <w:r>
        <w:rPr>
          <w:spacing w:val="-12"/>
        </w:rPr>
        <w:t xml:space="preserve"> </w:t>
      </w:r>
      <w:r>
        <w:t>cinco</w:t>
      </w:r>
      <w:r>
        <w:rPr>
          <w:spacing w:val="-11"/>
        </w:rPr>
        <w:t xml:space="preserve"> </w:t>
      </w:r>
      <w:r>
        <w:t>casas</w:t>
      </w:r>
      <w:r>
        <w:rPr>
          <w:spacing w:val="-12"/>
        </w:rPr>
        <w:t xml:space="preserve"> </w:t>
      </w:r>
      <w:r>
        <w:t>y</w:t>
      </w:r>
      <w:r>
        <w:rPr>
          <w:spacing w:val="-10"/>
        </w:rPr>
        <w:t xml:space="preserve"> </w:t>
      </w:r>
      <w:r>
        <w:t>hubo</w:t>
      </w:r>
      <w:r>
        <w:rPr>
          <w:spacing w:val="-10"/>
        </w:rPr>
        <w:t xml:space="preserve"> </w:t>
      </w:r>
      <w:r>
        <w:t>civiles</w:t>
      </w:r>
      <w:r>
        <w:rPr>
          <w:spacing w:val="-9"/>
        </w:rPr>
        <w:t xml:space="preserve"> </w:t>
      </w:r>
      <w:r>
        <w:lastRenderedPageBreak/>
        <w:t>muertos;</w:t>
      </w:r>
      <w:r>
        <w:rPr>
          <w:spacing w:val="-10"/>
        </w:rPr>
        <w:t xml:space="preserve"> </w:t>
      </w:r>
      <w:r>
        <w:t>y</w:t>
      </w:r>
      <w:r>
        <w:rPr>
          <w:spacing w:val="-10"/>
        </w:rPr>
        <w:t xml:space="preserve"> </w:t>
      </w:r>
      <w:r>
        <w:t>varios agentes de la Policía, entre ellos un oficial. Siempre andábamos sometidos a las órdenes de la</w:t>
      </w:r>
      <w:r>
        <w:rPr>
          <w:spacing w:val="-3"/>
        </w:rPr>
        <w:t xml:space="preserve"> </w:t>
      </w:r>
      <w:r>
        <w:t>guerrilla.</w:t>
      </w:r>
      <w:r>
        <w:rPr>
          <w:spacing w:val="-5"/>
        </w:rPr>
        <w:t xml:space="preserve"> </w:t>
      </w:r>
      <w:r>
        <w:t>El</w:t>
      </w:r>
      <w:r>
        <w:rPr>
          <w:spacing w:val="-3"/>
        </w:rPr>
        <w:t xml:space="preserve"> </w:t>
      </w:r>
      <w:r>
        <w:t>municipio</w:t>
      </w:r>
      <w:r>
        <w:rPr>
          <w:spacing w:val="-4"/>
        </w:rPr>
        <w:t xml:space="preserve"> </w:t>
      </w:r>
      <w:r>
        <w:t>no</w:t>
      </w:r>
      <w:r>
        <w:rPr>
          <w:spacing w:val="-4"/>
        </w:rPr>
        <w:t xml:space="preserve"> </w:t>
      </w:r>
      <w:r>
        <w:t>se</w:t>
      </w:r>
      <w:r>
        <w:rPr>
          <w:spacing w:val="-3"/>
        </w:rPr>
        <w:t xml:space="preserve"> </w:t>
      </w:r>
      <w:proofErr w:type="spellStart"/>
      <w:r>
        <w:t>desinstitucionalizó</w:t>
      </w:r>
      <w:proofErr w:type="spellEnd"/>
      <w:r>
        <w:t>,</w:t>
      </w:r>
      <w:r>
        <w:rPr>
          <w:spacing w:val="-4"/>
        </w:rPr>
        <w:t xml:space="preserve"> </w:t>
      </w:r>
      <w:r>
        <w:t>por</w:t>
      </w:r>
      <w:r>
        <w:rPr>
          <w:spacing w:val="-3"/>
        </w:rPr>
        <w:t xml:space="preserve"> </w:t>
      </w:r>
      <w:r>
        <w:t>supuesto,</w:t>
      </w:r>
      <w:r>
        <w:rPr>
          <w:spacing w:val="-4"/>
        </w:rPr>
        <w:t xml:space="preserve"> </w:t>
      </w:r>
      <w:r>
        <w:t>porque</w:t>
      </w:r>
      <w:r>
        <w:rPr>
          <w:spacing w:val="-5"/>
        </w:rPr>
        <w:t xml:space="preserve"> </w:t>
      </w:r>
      <w:r>
        <w:t>el</w:t>
      </w:r>
      <w:r>
        <w:rPr>
          <w:spacing w:val="-3"/>
        </w:rPr>
        <w:t xml:space="preserve"> </w:t>
      </w:r>
      <w:r>
        <w:t>alcalde,</w:t>
      </w:r>
      <w:r>
        <w:rPr>
          <w:spacing w:val="-4"/>
        </w:rPr>
        <w:t xml:space="preserve"> </w:t>
      </w:r>
      <w:r>
        <w:t>pues,</w:t>
      </w:r>
      <w:r>
        <w:rPr>
          <w:spacing w:val="-4"/>
        </w:rPr>
        <w:t xml:space="preserve"> </w:t>
      </w:r>
      <w:r>
        <w:t>no gobernaba bajo sus órdenes, pero tampoco pudo hacer nada contra ellos, entonces los admitían, pero con citaciones siempre al área rural y con algunos sometimientos, como que “usted no puede ayudarle a tal comunidad, solamente le puede ayudar a tal comunidad”. Y, generalmente, cumpliendo algunas órdenes que por falta de que el Estado les brindara garantías a los funcionarios, estos tuvieron que andar sometidos»</w:t>
      </w:r>
      <w:r w:rsidR="003A23C7">
        <w:rPr>
          <w:rStyle w:val="Refdenotaalpie"/>
        </w:rPr>
        <w:footnoteReference w:id="27"/>
      </w:r>
      <w:r>
        <w:t>.</w:t>
      </w:r>
    </w:p>
    <w:p w:rsidR="003804AC" w:rsidRDefault="00AF18A5" w:rsidP="003A23C7">
      <w:r>
        <w:t>Por</w:t>
      </w:r>
      <w:r>
        <w:rPr>
          <w:spacing w:val="-3"/>
        </w:rPr>
        <w:t xml:space="preserve"> </w:t>
      </w:r>
      <w:r>
        <w:t>parte</w:t>
      </w:r>
      <w:r>
        <w:rPr>
          <w:spacing w:val="-3"/>
        </w:rPr>
        <w:t xml:space="preserve"> </w:t>
      </w:r>
      <w:r>
        <w:t>de</w:t>
      </w:r>
      <w:r>
        <w:rPr>
          <w:spacing w:val="-4"/>
        </w:rPr>
        <w:t xml:space="preserve"> </w:t>
      </w:r>
      <w:r>
        <w:t>grupos</w:t>
      </w:r>
      <w:r>
        <w:rPr>
          <w:spacing w:val="-3"/>
        </w:rPr>
        <w:t xml:space="preserve"> </w:t>
      </w:r>
      <w:r>
        <w:t>paramilitares</w:t>
      </w:r>
      <w:r>
        <w:rPr>
          <w:spacing w:val="-4"/>
        </w:rPr>
        <w:t xml:space="preserve"> </w:t>
      </w:r>
      <w:r>
        <w:t>la</w:t>
      </w:r>
      <w:r>
        <w:rPr>
          <w:spacing w:val="-4"/>
        </w:rPr>
        <w:t xml:space="preserve"> </w:t>
      </w:r>
      <w:r>
        <w:t>práctica</w:t>
      </w:r>
      <w:r>
        <w:rPr>
          <w:spacing w:val="-3"/>
        </w:rPr>
        <w:t xml:space="preserve"> </w:t>
      </w:r>
      <w:r>
        <w:t>de</w:t>
      </w:r>
      <w:r>
        <w:rPr>
          <w:spacing w:val="-3"/>
        </w:rPr>
        <w:t xml:space="preserve"> </w:t>
      </w:r>
      <w:r>
        <w:t>atrocidades</w:t>
      </w:r>
      <w:r>
        <w:rPr>
          <w:spacing w:val="-3"/>
        </w:rPr>
        <w:t xml:space="preserve"> </w:t>
      </w:r>
      <w:r>
        <w:t>desde</w:t>
      </w:r>
      <w:r>
        <w:rPr>
          <w:spacing w:val="-3"/>
        </w:rPr>
        <w:t xml:space="preserve"> </w:t>
      </w:r>
      <w:r>
        <w:t>el</w:t>
      </w:r>
      <w:r>
        <w:rPr>
          <w:spacing w:val="-4"/>
        </w:rPr>
        <w:t xml:space="preserve"> </w:t>
      </w:r>
      <w:r>
        <w:t>inicio</w:t>
      </w:r>
      <w:r>
        <w:rPr>
          <w:spacing w:val="-4"/>
        </w:rPr>
        <w:t xml:space="preserve"> </w:t>
      </w:r>
      <w:r>
        <w:t>de</w:t>
      </w:r>
      <w:r>
        <w:rPr>
          <w:spacing w:val="-3"/>
        </w:rPr>
        <w:t xml:space="preserve"> </w:t>
      </w:r>
      <w:r>
        <w:t>su</w:t>
      </w:r>
      <w:r>
        <w:rPr>
          <w:spacing w:val="-4"/>
        </w:rPr>
        <w:t xml:space="preserve"> </w:t>
      </w:r>
      <w:r>
        <w:t>accionar marcó</w:t>
      </w:r>
      <w:r>
        <w:rPr>
          <w:spacing w:val="-4"/>
        </w:rPr>
        <w:t xml:space="preserve"> </w:t>
      </w:r>
      <w:r>
        <w:t>el</w:t>
      </w:r>
      <w:r>
        <w:rPr>
          <w:spacing w:val="-3"/>
        </w:rPr>
        <w:t xml:space="preserve"> </w:t>
      </w:r>
      <w:r>
        <w:t>uso</w:t>
      </w:r>
      <w:r>
        <w:rPr>
          <w:spacing w:val="-5"/>
        </w:rPr>
        <w:t xml:space="preserve"> </w:t>
      </w:r>
      <w:r>
        <w:t>del</w:t>
      </w:r>
      <w:r>
        <w:rPr>
          <w:spacing w:val="-3"/>
        </w:rPr>
        <w:t xml:space="preserve"> </w:t>
      </w:r>
      <w:r>
        <w:t>terror</w:t>
      </w:r>
      <w:r>
        <w:rPr>
          <w:spacing w:val="-4"/>
        </w:rPr>
        <w:t xml:space="preserve"> </w:t>
      </w:r>
      <w:r>
        <w:t>contra</w:t>
      </w:r>
      <w:r>
        <w:rPr>
          <w:spacing w:val="-3"/>
        </w:rPr>
        <w:t xml:space="preserve"> </w:t>
      </w:r>
      <w:r>
        <w:t>la</w:t>
      </w:r>
      <w:r>
        <w:rPr>
          <w:spacing w:val="-3"/>
        </w:rPr>
        <w:t xml:space="preserve"> </w:t>
      </w:r>
      <w:r>
        <w:t>población</w:t>
      </w:r>
      <w:r>
        <w:rPr>
          <w:spacing w:val="-4"/>
        </w:rPr>
        <w:t xml:space="preserve"> </w:t>
      </w:r>
      <w:r>
        <w:t>civil,</w:t>
      </w:r>
      <w:r>
        <w:rPr>
          <w:spacing w:val="-4"/>
        </w:rPr>
        <w:t xml:space="preserve"> </w:t>
      </w:r>
      <w:r>
        <w:t>señalada</w:t>
      </w:r>
      <w:r>
        <w:rPr>
          <w:spacing w:val="-3"/>
        </w:rPr>
        <w:t xml:space="preserve"> </w:t>
      </w:r>
      <w:r>
        <w:t>por</w:t>
      </w:r>
      <w:r>
        <w:rPr>
          <w:spacing w:val="-4"/>
        </w:rPr>
        <w:t xml:space="preserve"> </w:t>
      </w:r>
      <w:r>
        <w:t>estos</w:t>
      </w:r>
      <w:r>
        <w:rPr>
          <w:spacing w:val="-3"/>
        </w:rPr>
        <w:t xml:space="preserve"> </w:t>
      </w:r>
      <w:r>
        <w:t>grupos,</w:t>
      </w:r>
      <w:r>
        <w:rPr>
          <w:spacing w:val="-4"/>
        </w:rPr>
        <w:t xml:space="preserve"> </w:t>
      </w:r>
      <w:r>
        <w:t>y</w:t>
      </w:r>
      <w:r>
        <w:rPr>
          <w:spacing w:val="-4"/>
        </w:rPr>
        <w:t xml:space="preserve"> </w:t>
      </w:r>
      <w:r>
        <w:t>en</w:t>
      </w:r>
      <w:r>
        <w:rPr>
          <w:spacing w:val="-4"/>
        </w:rPr>
        <w:t xml:space="preserve"> </w:t>
      </w:r>
      <w:r>
        <w:t>su</w:t>
      </w:r>
      <w:r>
        <w:rPr>
          <w:spacing w:val="-4"/>
        </w:rPr>
        <w:t xml:space="preserve"> </w:t>
      </w:r>
      <w:r>
        <w:t>alianza</w:t>
      </w:r>
      <w:r>
        <w:rPr>
          <w:spacing w:val="-3"/>
        </w:rPr>
        <w:t xml:space="preserve"> </w:t>
      </w:r>
      <w:r>
        <w:t>y coordinación</w:t>
      </w:r>
      <w:r>
        <w:rPr>
          <w:spacing w:val="-3"/>
        </w:rPr>
        <w:t xml:space="preserve"> </w:t>
      </w:r>
      <w:r>
        <w:t>con</w:t>
      </w:r>
      <w:r>
        <w:rPr>
          <w:spacing w:val="-3"/>
        </w:rPr>
        <w:t xml:space="preserve"> </w:t>
      </w:r>
      <w:r>
        <w:t>la</w:t>
      </w:r>
      <w:r>
        <w:rPr>
          <w:spacing w:val="-4"/>
        </w:rPr>
        <w:t xml:space="preserve"> </w:t>
      </w:r>
      <w:r>
        <w:t>fuerza</w:t>
      </w:r>
      <w:r>
        <w:rPr>
          <w:spacing w:val="-3"/>
        </w:rPr>
        <w:t xml:space="preserve"> </w:t>
      </w:r>
      <w:r>
        <w:t>pública,</w:t>
      </w:r>
      <w:r>
        <w:rPr>
          <w:spacing w:val="-5"/>
        </w:rPr>
        <w:t xml:space="preserve"> </w:t>
      </w:r>
      <w:r>
        <w:t>como</w:t>
      </w:r>
      <w:r>
        <w:rPr>
          <w:spacing w:val="-3"/>
        </w:rPr>
        <w:t xml:space="preserve"> </w:t>
      </w:r>
      <w:r>
        <w:t>base</w:t>
      </w:r>
      <w:r>
        <w:rPr>
          <w:spacing w:val="-4"/>
        </w:rPr>
        <w:t xml:space="preserve"> </w:t>
      </w:r>
      <w:r>
        <w:t>social</w:t>
      </w:r>
      <w:r>
        <w:rPr>
          <w:spacing w:val="-4"/>
        </w:rPr>
        <w:t xml:space="preserve"> </w:t>
      </w:r>
      <w:r>
        <w:t>de</w:t>
      </w:r>
      <w:r>
        <w:rPr>
          <w:spacing w:val="-4"/>
        </w:rPr>
        <w:t xml:space="preserve"> </w:t>
      </w:r>
      <w:r>
        <w:t>la</w:t>
      </w:r>
      <w:r>
        <w:rPr>
          <w:spacing w:val="-3"/>
        </w:rPr>
        <w:t xml:space="preserve"> </w:t>
      </w:r>
      <w:r>
        <w:t>guerrilla.</w:t>
      </w:r>
      <w:r>
        <w:rPr>
          <w:spacing w:val="-3"/>
        </w:rPr>
        <w:t xml:space="preserve"> </w:t>
      </w:r>
      <w:r>
        <w:t>El</w:t>
      </w:r>
      <w:r>
        <w:rPr>
          <w:spacing w:val="-4"/>
        </w:rPr>
        <w:t xml:space="preserve"> </w:t>
      </w:r>
      <w:r>
        <w:t>terror</w:t>
      </w:r>
      <w:r>
        <w:rPr>
          <w:spacing w:val="-3"/>
        </w:rPr>
        <w:t xml:space="preserve"> </w:t>
      </w:r>
      <w:r>
        <w:t>fue</w:t>
      </w:r>
      <w:r>
        <w:rPr>
          <w:spacing w:val="-3"/>
        </w:rPr>
        <w:t xml:space="preserve"> </w:t>
      </w:r>
      <w:r>
        <w:t>un</w:t>
      </w:r>
      <w:r>
        <w:rPr>
          <w:spacing w:val="-5"/>
        </w:rPr>
        <w:t xml:space="preserve"> </w:t>
      </w:r>
      <w:r>
        <w:t>método para controlar a las</w:t>
      </w:r>
      <w:r>
        <w:rPr>
          <w:spacing w:val="-1"/>
        </w:rPr>
        <w:t xml:space="preserve"> </w:t>
      </w:r>
      <w:r>
        <w:t>comunidades, desarrollar el negocio del narcotráfico y</w:t>
      </w:r>
      <w:r>
        <w:rPr>
          <w:spacing w:val="-1"/>
        </w:rPr>
        <w:t xml:space="preserve"> </w:t>
      </w:r>
      <w:r>
        <w:t>llevar a cabo una violencia</w:t>
      </w:r>
      <w:r>
        <w:rPr>
          <w:spacing w:val="-13"/>
        </w:rPr>
        <w:t xml:space="preserve"> </w:t>
      </w:r>
      <w:r>
        <w:t>contrainsurgente</w:t>
      </w:r>
      <w:r>
        <w:rPr>
          <w:spacing w:val="-13"/>
        </w:rPr>
        <w:t xml:space="preserve"> </w:t>
      </w:r>
      <w:r>
        <w:t>masiva</w:t>
      </w:r>
      <w:r>
        <w:rPr>
          <w:spacing w:val="-13"/>
        </w:rPr>
        <w:t xml:space="preserve"> </w:t>
      </w:r>
      <w:r>
        <w:t>en</w:t>
      </w:r>
      <w:r>
        <w:rPr>
          <w:spacing w:val="-14"/>
        </w:rPr>
        <w:t xml:space="preserve"> </w:t>
      </w:r>
      <w:r>
        <w:t>el</w:t>
      </w:r>
      <w:r>
        <w:rPr>
          <w:spacing w:val="-13"/>
        </w:rPr>
        <w:t xml:space="preserve"> </w:t>
      </w:r>
      <w:r>
        <w:t>país.</w:t>
      </w:r>
      <w:r>
        <w:rPr>
          <w:spacing w:val="-13"/>
        </w:rPr>
        <w:t xml:space="preserve"> </w:t>
      </w:r>
      <w:r>
        <w:t>Esas</w:t>
      </w:r>
      <w:r>
        <w:rPr>
          <w:spacing w:val="-14"/>
        </w:rPr>
        <w:t xml:space="preserve"> </w:t>
      </w:r>
      <w:r>
        <w:t>acciones</w:t>
      </w:r>
      <w:r>
        <w:rPr>
          <w:spacing w:val="-13"/>
        </w:rPr>
        <w:t xml:space="preserve"> </w:t>
      </w:r>
      <w:r>
        <w:t>pasaban</w:t>
      </w:r>
      <w:r>
        <w:rPr>
          <w:spacing w:val="-13"/>
        </w:rPr>
        <w:t xml:space="preserve"> </w:t>
      </w:r>
      <w:r>
        <w:t>por</w:t>
      </w:r>
      <w:r>
        <w:rPr>
          <w:spacing w:val="-13"/>
        </w:rPr>
        <w:t xml:space="preserve"> </w:t>
      </w:r>
      <w:r>
        <w:t>ejecuciones</w:t>
      </w:r>
      <w:r>
        <w:rPr>
          <w:spacing w:val="-13"/>
        </w:rPr>
        <w:t xml:space="preserve"> </w:t>
      </w:r>
      <w:r>
        <w:t>públicas o crueldades siniestras, como el uso de la motosierra, las amputaciones o el terror ejemplificante de la tortura pública frente a familiares o testigos, para paralizar a comunidades</w:t>
      </w:r>
      <w:r>
        <w:rPr>
          <w:spacing w:val="19"/>
        </w:rPr>
        <w:t xml:space="preserve"> </w:t>
      </w:r>
      <w:r>
        <w:t>enteras.</w:t>
      </w:r>
      <w:r>
        <w:rPr>
          <w:spacing w:val="20"/>
        </w:rPr>
        <w:t xml:space="preserve"> </w:t>
      </w:r>
      <w:r>
        <w:t>Diseñaron</w:t>
      </w:r>
      <w:r>
        <w:rPr>
          <w:spacing w:val="19"/>
        </w:rPr>
        <w:t xml:space="preserve"> </w:t>
      </w:r>
      <w:r>
        <w:t>métodos</w:t>
      </w:r>
      <w:r>
        <w:rPr>
          <w:spacing w:val="20"/>
        </w:rPr>
        <w:t xml:space="preserve"> </w:t>
      </w:r>
      <w:r>
        <w:t>de</w:t>
      </w:r>
      <w:r>
        <w:rPr>
          <w:spacing w:val="20"/>
        </w:rPr>
        <w:t xml:space="preserve"> </w:t>
      </w:r>
      <w:r>
        <w:t>entrenamiento</w:t>
      </w:r>
      <w:r>
        <w:rPr>
          <w:spacing w:val="19"/>
        </w:rPr>
        <w:t xml:space="preserve"> </w:t>
      </w:r>
      <w:r>
        <w:t>para</w:t>
      </w:r>
      <w:r>
        <w:rPr>
          <w:spacing w:val="20"/>
        </w:rPr>
        <w:t xml:space="preserve"> </w:t>
      </w:r>
      <w:r>
        <w:t>llevar</w:t>
      </w:r>
      <w:r>
        <w:rPr>
          <w:spacing w:val="19"/>
        </w:rPr>
        <w:t xml:space="preserve"> </w:t>
      </w:r>
      <w:r>
        <w:t>a</w:t>
      </w:r>
      <w:r>
        <w:rPr>
          <w:spacing w:val="20"/>
        </w:rPr>
        <w:t xml:space="preserve"> </w:t>
      </w:r>
      <w:r>
        <w:t>cabo</w:t>
      </w:r>
      <w:r>
        <w:rPr>
          <w:spacing w:val="20"/>
        </w:rPr>
        <w:t xml:space="preserve"> </w:t>
      </w:r>
      <w:r>
        <w:t>matanzas</w:t>
      </w:r>
      <w:r>
        <w:rPr>
          <w:spacing w:val="20"/>
        </w:rPr>
        <w:t xml:space="preserve"> </w:t>
      </w:r>
      <w:r>
        <w:rPr>
          <w:spacing w:val="-10"/>
        </w:rPr>
        <w:t>y</w:t>
      </w:r>
      <w:bookmarkStart w:id="63" w:name="_bookmark32"/>
      <w:bookmarkStart w:id="64" w:name="_bookmark33"/>
      <w:bookmarkEnd w:id="63"/>
      <w:bookmarkEnd w:id="64"/>
      <w:r w:rsidR="003A23C7">
        <w:rPr>
          <w:spacing w:val="-10"/>
        </w:rPr>
        <w:t xml:space="preserve"> </w:t>
      </w:r>
      <w:r>
        <w:t>crearon</w:t>
      </w:r>
      <w:r>
        <w:rPr>
          <w:spacing w:val="-7"/>
        </w:rPr>
        <w:t xml:space="preserve"> </w:t>
      </w:r>
      <w:r>
        <w:t>escuelas</w:t>
      </w:r>
      <w:r>
        <w:rPr>
          <w:spacing w:val="-7"/>
        </w:rPr>
        <w:t xml:space="preserve"> </w:t>
      </w:r>
      <w:r>
        <w:t>de</w:t>
      </w:r>
      <w:r>
        <w:rPr>
          <w:spacing w:val="-8"/>
        </w:rPr>
        <w:t xml:space="preserve"> </w:t>
      </w:r>
      <w:r>
        <w:t>sicarios</w:t>
      </w:r>
      <w:r>
        <w:rPr>
          <w:spacing w:val="-7"/>
        </w:rPr>
        <w:t xml:space="preserve"> </w:t>
      </w:r>
      <w:r>
        <w:t>en</w:t>
      </w:r>
      <w:r>
        <w:rPr>
          <w:spacing w:val="-7"/>
        </w:rPr>
        <w:t xml:space="preserve"> </w:t>
      </w:r>
      <w:r>
        <w:t>varios</w:t>
      </w:r>
      <w:r>
        <w:rPr>
          <w:spacing w:val="-8"/>
        </w:rPr>
        <w:t xml:space="preserve"> </w:t>
      </w:r>
      <w:r>
        <w:t>lugares.</w:t>
      </w:r>
      <w:r>
        <w:rPr>
          <w:spacing w:val="-7"/>
        </w:rPr>
        <w:t xml:space="preserve"> </w:t>
      </w:r>
      <w:r>
        <w:t>Muchos</w:t>
      </w:r>
      <w:r>
        <w:rPr>
          <w:spacing w:val="-7"/>
        </w:rPr>
        <w:t xml:space="preserve"> </w:t>
      </w:r>
      <w:r>
        <w:t>lugares</w:t>
      </w:r>
      <w:r>
        <w:rPr>
          <w:spacing w:val="-8"/>
        </w:rPr>
        <w:t xml:space="preserve"> </w:t>
      </w:r>
      <w:r>
        <w:t>de</w:t>
      </w:r>
      <w:r>
        <w:rPr>
          <w:spacing w:val="-7"/>
        </w:rPr>
        <w:t xml:space="preserve"> </w:t>
      </w:r>
      <w:r>
        <w:t>las</w:t>
      </w:r>
      <w:r>
        <w:rPr>
          <w:spacing w:val="-8"/>
        </w:rPr>
        <w:t xml:space="preserve"> </w:t>
      </w:r>
      <w:r>
        <w:t>comunidades</w:t>
      </w:r>
      <w:r>
        <w:rPr>
          <w:spacing w:val="-7"/>
        </w:rPr>
        <w:t xml:space="preserve"> </w:t>
      </w:r>
      <w:r>
        <w:t>quedaron marcados por esos hechos: la cancha de fútbol, la plaza, la escuela.</w:t>
      </w:r>
    </w:p>
    <w:p w:rsidR="003804AC" w:rsidRDefault="00AF18A5" w:rsidP="003A23C7">
      <w:r>
        <w:t>El</w:t>
      </w:r>
      <w:r>
        <w:rPr>
          <w:spacing w:val="-3"/>
        </w:rPr>
        <w:t xml:space="preserve"> </w:t>
      </w:r>
      <w:r>
        <w:t>país</w:t>
      </w:r>
      <w:r>
        <w:rPr>
          <w:spacing w:val="-4"/>
        </w:rPr>
        <w:t xml:space="preserve"> </w:t>
      </w:r>
      <w:r>
        <w:t>conoció</w:t>
      </w:r>
      <w:r>
        <w:rPr>
          <w:spacing w:val="-4"/>
        </w:rPr>
        <w:t xml:space="preserve"> </w:t>
      </w:r>
      <w:r>
        <w:t>escenas</w:t>
      </w:r>
      <w:r>
        <w:rPr>
          <w:spacing w:val="-5"/>
        </w:rPr>
        <w:t xml:space="preserve"> </w:t>
      </w:r>
      <w:r>
        <w:t>de</w:t>
      </w:r>
      <w:r>
        <w:rPr>
          <w:spacing w:val="-3"/>
        </w:rPr>
        <w:t xml:space="preserve"> </w:t>
      </w:r>
      <w:r>
        <w:t>las</w:t>
      </w:r>
      <w:r>
        <w:rPr>
          <w:spacing w:val="-3"/>
        </w:rPr>
        <w:t xml:space="preserve"> </w:t>
      </w:r>
      <w:r>
        <w:t>atrocidades</w:t>
      </w:r>
      <w:r>
        <w:rPr>
          <w:spacing w:val="-3"/>
        </w:rPr>
        <w:t xml:space="preserve"> </w:t>
      </w:r>
      <w:r>
        <w:t>en</w:t>
      </w:r>
      <w:r>
        <w:rPr>
          <w:spacing w:val="-4"/>
        </w:rPr>
        <w:t xml:space="preserve"> </w:t>
      </w:r>
      <w:r>
        <w:t>la</w:t>
      </w:r>
      <w:r>
        <w:rPr>
          <w:spacing w:val="-5"/>
        </w:rPr>
        <w:t xml:space="preserve"> </w:t>
      </w:r>
      <w:r>
        <w:t>guerra,</w:t>
      </w:r>
      <w:r>
        <w:rPr>
          <w:spacing w:val="-4"/>
        </w:rPr>
        <w:t xml:space="preserve"> </w:t>
      </w:r>
      <w:r>
        <w:t>como</w:t>
      </w:r>
      <w:r>
        <w:rPr>
          <w:spacing w:val="-4"/>
        </w:rPr>
        <w:t xml:space="preserve"> </w:t>
      </w:r>
      <w:r>
        <w:t>en</w:t>
      </w:r>
      <w:r>
        <w:rPr>
          <w:spacing w:val="-4"/>
        </w:rPr>
        <w:t xml:space="preserve"> </w:t>
      </w:r>
      <w:r>
        <w:t>Buenaventura</w:t>
      </w:r>
      <w:r>
        <w:rPr>
          <w:spacing w:val="-3"/>
        </w:rPr>
        <w:t xml:space="preserve"> </w:t>
      </w:r>
      <w:r>
        <w:t>en</w:t>
      </w:r>
      <w:r>
        <w:rPr>
          <w:spacing w:val="-4"/>
        </w:rPr>
        <w:t xml:space="preserve"> </w:t>
      </w:r>
      <w:r>
        <w:t>1996</w:t>
      </w:r>
      <w:r>
        <w:rPr>
          <w:spacing w:val="-4"/>
        </w:rPr>
        <w:t xml:space="preserve"> </w:t>
      </w:r>
      <w:r>
        <w:t>y que</w:t>
      </w:r>
      <w:r>
        <w:rPr>
          <w:spacing w:val="40"/>
        </w:rPr>
        <w:t xml:space="preserve"> </w:t>
      </w:r>
      <w:r>
        <w:t>se</w:t>
      </w:r>
      <w:r>
        <w:rPr>
          <w:spacing w:val="40"/>
        </w:rPr>
        <w:t xml:space="preserve"> </w:t>
      </w:r>
      <w:r>
        <w:t>han</w:t>
      </w:r>
      <w:r>
        <w:rPr>
          <w:spacing w:val="40"/>
        </w:rPr>
        <w:t xml:space="preserve"> </w:t>
      </w:r>
      <w:r>
        <w:t>dado</w:t>
      </w:r>
      <w:r>
        <w:rPr>
          <w:spacing w:val="40"/>
        </w:rPr>
        <w:t xml:space="preserve"> </w:t>
      </w:r>
      <w:r>
        <w:t>también</w:t>
      </w:r>
      <w:r>
        <w:rPr>
          <w:spacing w:val="40"/>
        </w:rPr>
        <w:t xml:space="preserve"> </w:t>
      </w:r>
      <w:r>
        <w:t>en</w:t>
      </w:r>
      <w:r>
        <w:rPr>
          <w:spacing w:val="40"/>
        </w:rPr>
        <w:t xml:space="preserve"> </w:t>
      </w:r>
      <w:r>
        <w:t>otras</w:t>
      </w:r>
      <w:r>
        <w:rPr>
          <w:spacing w:val="40"/>
        </w:rPr>
        <w:t xml:space="preserve"> </w:t>
      </w:r>
      <w:r>
        <w:t>zonas</w:t>
      </w:r>
      <w:r>
        <w:rPr>
          <w:spacing w:val="40"/>
        </w:rPr>
        <w:t xml:space="preserve"> </w:t>
      </w:r>
      <w:r>
        <w:t>del</w:t>
      </w:r>
      <w:r>
        <w:rPr>
          <w:spacing w:val="40"/>
        </w:rPr>
        <w:t xml:space="preserve"> </w:t>
      </w:r>
      <w:r>
        <w:t>país,</w:t>
      </w:r>
      <w:r>
        <w:rPr>
          <w:spacing w:val="-2"/>
        </w:rPr>
        <w:t xml:space="preserve"> </w:t>
      </w:r>
      <w:r>
        <w:t>que</w:t>
      </w:r>
      <w:r>
        <w:rPr>
          <w:spacing w:val="40"/>
        </w:rPr>
        <w:t xml:space="preserve"> </w:t>
      </w:r>
      <w:r>
        <w:t>se</w:t>
      </w:r>
      <w:r>
        <w:rPr>
          <w:spacing w:val="40"/>
        </w:rPr>
        <w:t xml:space="preserve"> </w:t>
      </w:r>
      <w:r>
        <w:t>llamaron</w:t>
      </w:r>
      <w:r>
        <w:rPr>
          <w:spacing w:val="-3"/>
        </w:rPr>
        <w:t xml:space="preserve"> </w:t>
      </w:r>
      <w:r>
        <w:t>"casas</w:t>
      </w:r>
      <w:r>
        <w:rPr>
          <w:spacing w:val="40"/>
        </w:rPr>
        <w:t xml:space="preserve"> </w:t>
      </w:r>
      <w:r>
        <w:t>de</w:t>
      </w:r>
      <w:r>
        <w:rPr>
          <w:spacing w:val="40"/>
        </w:rPr>
        <w:t xml:space="preserve"> </w:t>
      </w:r>
      <w:r>
        <w:t>pique" como</w:t>
      </w:r>
      <w:r>
        <w:rPr>
          <w:spacing w:val="-3"/>
        </w:rPr>
        <w:t xml:space="preserve"> </w:t>
      </w:r>
      <w:r>
        <w:t>lugares</w:t>
      </w:r>
      <w:r>
        <w:rPr>
          <w:spacing w:val="-7"/>
        </w:rPr>
        <w:t xml:space="preserve"> </w:t>
      </w:r>
      <w:r>
        <w:t>donde</w:t>
      </w:r>
      <w:r>
        <w:rPr>
          <w:spacing w:val="-8"/>
        </w:rPr>
        <w:t xml:space="preserve"> </w:t>
      </w:r>
      <w:r>
        <w:t>se</w:t>
      </w:r>
      <w:r>
        <w:rPr>
          <w:spacing w:val="-8"/>
        </w:rPr>
        <w:t xml:space="preserve"> </w:t>
      </w:r>
      <w:r>
        <w:t>llevaron</w:t>
      </w:r>
      <w:r>
        <w:rPr>
          <w:spacing w:val="-8"/>
        </w:rPr>
        <w:t xml:space="preserve"> </w:t>
      </w:r>
      <w:r>
        <w:t>a</w:t>
      </w:r>
      <w:r>
        <w:rPr>
          <w:spacing w:val="-7"/>
        </w:rPr>
        <w:t xml:space="preserve"> </w:t>
      </w:r>
      <w:r>
        <w:t>cabo</w:t>
      </w:r>
      <w:r>
        <w:rPr>
          <w:spacing w:val="-7"/>
        </w:rPr>
        <w:t xml:space="preserve"> </w:t>
      </w:r>
      <w:r>
        <w:t>asesinatos</w:t>
      </w:r>
      <w:r>
        <w:rPr>
          <w:spacing w:val="-8"/>
        </w:rPr>
        <w:t xml:space="preserve"> </w:t>
      </w:r>
      <w:r>
        <w:t>y</w:t>
      </w:r>
      <w:r>
        <w:rPr>
          <w:spacing w:val="-7"/>
        </w:rPr>
        <w:t xml:space="preserve"> </w:t>
      </w:r>
      <w:r>
        <w:t>desmembramientos,</w:t>
      </w:r>
      <w:r>
        <w:rPr>
          <w:spacing w:val="-7"/>
        </w:rPr>
        <w:t xml:space="preserve"> </w:t>
      </w:r>
      <w:r>
        <w:t>utilizando</w:t>
      </w:r>
      <w:r>
        <w:rPr>
          <w:spacing w:val="-7"/>
        </w:rPr>
        <w:t xml:space="preserve"> </w:t>
      </w:r>
      <w:r>
        <w:t>el</w:t>
      </w:r>
      <w:r>
        <w:rPr>
          <w:spacing w:val="-8"/>
        </w:rPr>
        <w:t xml:space="preserve"> </w:t>
      </w:r>
      <w:r>
        <w:t>cuerpo humano</w:t>
      </w:r>
      <w:r>
        <w:rPr>
          <w:spacing w:val="-5"/>
        </w:rPr>
        <w:t xml:space="preserve"> </w:t>
      </w:r>
      <w:r>
        <w:t>de</w:t>
      </w:r>
      <w:r>
        <w:rPr>
          <w:spacing w:val="-5"/>
        </w:rPr>
        <w:t xml:space="preserve"> </w:t>
      </w:r>
      <w:r>
        <w:lastRenderedPageBreak/>
        <w:t>sus</w:t>
      </w:r>
      <w:r>
        <w:rPr>
          <w:spacing w:val="-5"/>
        </w:rPr>
        <w:t xml:space="preserve"> </w:t>
      </w:r>
      <w:r>
        <w:t>víctimas</w:t>
      </w:r>
      <w:r>
        <w:rPr>
          <w:spacing w:val="-6"/>
        </w:rPr>
        <w:t xml:space="preserve"> </w:t>
      </w:r>
      <w:r>
        <w:t>y</w:t>
      </w:r>
      <w:r>
        <w:rPr>
          <w:spacing w:val="-5"/>
        </w:rPr>
        <w:t xml:space="preserve"> </w:t>
      </w:r>
      <w:r>
        <w:t>a</w:t>
      </w:r>
      <w:r>
        <w:rPr>
          <w:spacing w:val="-5"/>
        </w:rPr>
        <w:t xml:space="preserve"> </w:t>
      </w:r>
      <w:r>
        <w:t>veces</w:t>
      </w:r>
      <w:r>
        <w:rPr>
          <w:spacing w:val="-5"/>
        </w:rPr>
        <w:t xml:space="preserve"> </w:t>
      </w:r>
      <w:r>
        <w:t>de</w:t>
      </w:r>
      <w:r>
        <w:rPr>
          <w:spacing w:val="-6"/>
        </w:rPr>
        <w:t xml:space="preserve"> </w:t>
      </w:r>
      <w:r>
        <w:t>sus</w:t>
      </w:r>
      <w:r>
        <w:rPr>
          <w:spacing w:val="-5"/>
        </w:rPr>
        <w:t xml:space="preserve"> </w:t>
      </w:r>
      <w:r>
        <w:t>adversarios,</w:t>
      </w:r>
      <w:r>
        <w:rPr>
          <w:spacing w:val="-5"/>
        </w:rPr>
        <w:t xml:space="preserve"> </w:t>
      </w:r>
      <w:r>
        <w:t>en</w:t>
      </w:r>
      <w:r>
        <w:rPr>
          <w:spacing w:val="-5"/>
        </w:rPr>
        <w:t xml:space="preserve"> </w:t>
      </w:r>
      <w:r>
        <w:t>una</w:t>
      </w:r>
      <w:r>
        <w:rPr>
          <w:spacing w:val="-6"/>
        </w:rPr>
        <w:t xml:space="preserve"> </w:t>
      </w:r>
      <w:r>
        <w:t>forma</w:t>
      </w:r>
      <w:r>
        <w:rPr>
          <w:spacing w:val="-5"/>
        </w:rPr>
        <w:t xml:space="preserve"> </w:t>
      </w:r>
      <w:r>
        <w:t>extrema</w:t>
      </w:r>
      <w:r>
        <w:rPr>
          <w:spacing w:val="-5"/>
        </w:rPr>
        <w:t xml:space="preserve"> </w:t>
      </w:r>
      <w:r>
        <w:t>de</w:t>
      </w:r>
      <w:r>
        <w:rPr>
          <w:spacing w:val="-5"/>
        </w:rPr>
        <w:t xml:space="preserve"> </w:t>
      </w:r>
      <w:r>
        <w:t>desprecio,</w:t>
      </w:r>
      <w:r>
        <w:rPr>
          <w:spacing w:val="-5"/>
        </w:rPr>
        <w:t xml:space="preserve"> </w:t>
      </w:r>
      <w:r>
        <w:t>de ataque a la dignidad y terror donde los cuerpos asesinados fueron arrojados al lado de las carreteras, a los cauces de los ríos, o picados en costales, que mostraba no solo la sevicia y degradación de la guerra, sino también hirieron las culturas y creencias espirituales. Como señaló a la Comisión un líder afrodescendiente: «Estas prácticas no solo se dirigieron a destruir</w:t>
      </w:r>
      <w:r>
        <w:rPr>
          <w:spacing w:val="-3"/>
        </w:rPr>
        <w:t xml:space="preserve"> </w:t>
      </w:r>
      <w:r>
        <w:t>los</w:t>
      </w:r>
      <w:r>
        <w:rPr>
          <w:spacing w:val="-3"/>
        </w:rPr>
        <w:t xml:space="preserve"> </w:t>
      </w:r>
      <w:r>
        <w:t>cuerpos</w:t>
      </w:r>
      <w:r>
        <w:rPr>
          <w:spacing w:val="-2"/>
        </w:rPr>
        <w:t xml:space="preserve"> </w:t>
      </w:r>
      <w:r>
        <w:t>sino</w:t>
      </w:r>
      <w:r>
        <w:rPr>
          <w:spacing w:val="-3"/>
        </w:rPr>
        <w:t xml:space="preserve"> </w:t>
      </w:r>
      <w:r>
        <w:t>también</w:t>
      </w:r>
      <w:r>
        <w:rPr>
          <w:spacing w:val="-2"/>
        </w:rPr>
        <w:t xml:space="preserve"> </w:t>
      </w:r>
      <w:r>
        <w:t>la</w:t>
      </w:r>
      <w:r>
        <w:rPr>
          <w:spacing w:val="-3"/>
        </w:rPr>
        <w:t xml:space="preserve"> </w:t>
      </w:r>
      <w:r>
        <w:t>cultura</w:t>
      </w:r>
      <w:r>
        <w:rPr>
          <w:spacing w:val="-2"/>
        </w:rPr>
        <w:t xml:space="preserve"> </w:t>
      </w:r>
      <w:r>
        <w:t>y</w:t>
      </w:r>
      <w:r>
        <w:rPr>
          <w:spacing w:val="-2"/>
        </w:rPr>
        <w:t xml:space="preserve"> </w:t>
      </w:r>
      <w:r>
        <w:t>la</w:t>
      </w:r>
      <w:r>
        <w:rPr>
          <w:spacing w:val="-3"/>
        </w:rPr>
        <w:t xml:space="preserve"> </w:t>
      </w:r>
      <w:r>
        <w:t>espiritualidad,</w:t>
      </w:r>
      <w:r>
        <w:rPr>
          <w:spacing w:val="-2"/>
        </w:rPr>
        <w:t xml:space="preserve"> </w:t>
      </w:r>
      <w:r>
        <w:t>especialmente</w:t>
      </w:r>
      <w:r>
        <w:rPr>
          <w:spacing w:val="-2"/>
        </w:rPr>
        <w:t xml:space="preserve"> </w:t>
      </w:r>
      <w:r>
        <w:t>de</w:t>
      </w:r>
      <w:r>
        <w:rPr>
          <w:spacing w:val="-3"/>
        </w:rPr>
        <w:t xml:space="preserve"> </w:t>
      </w:r>
      <w:r>
        <w:t>los</w:t>
      </w:r>
      <w:r>
        <w:rPr>
          <w:spacing w:val="-2"/>
        </w:rPr>
        <w:t xml:space="preserve"> </w:t>
      </w:r>
      <w:r>
        <w:t>pueblos étnicos,</w:t>
      </w:r>
      <w:r>
        <w:rPr>
          <w:spacing w:val="-10"/>
        </w:rPr>
        <w:t xml:space="preserve"> </w:t>
      </w:r>
      <w:r>
        <w:t>para</w:t>
      </w:r>
      <w:r>
        <w:rPr>
          <w:spacing w:val="-11"/>
        </w:rPr>
        <w:t xml:space="preserve"> </w:t>
      </w:r>
      <w:r>
        <w:t>quienes</w:t>
      </w:r>
      <w:r>
        <w:rPr>
          <w:spacing w:val="-10"/>
        </w:rPr>
        <w:t xml:space="preserve"> </w:t>
      </w:r>
      <w:r>
        <w:t>se</w:t>
      </w:r>
      <w:r>
        <w:rPr>
          <w:spacing w:val="-11"/>
        </w:rPr>
        <w:t xml:space="preserve"> </w:t>
      </w:r>
      <w:r>
        <w:t>rompía</w:t>
      </w:r>
      <w:r>
        <w:rPr>
          <w:spacing w:val="-11"/>
        </w:rPr>
        <w:t xml:space="preserve"> </w:t>
      </w:r>
      <w:r>
        <w:t>con</w:t>
      </w:r>
      <w:r>
        <w:rPr>
          <w:spacing w:val="-11"/>
        </w:rPr>
        <w:t xml:space="preserve"> </w:t>
      </w:r>
      <w:r>
        <w:t>las</w:t>
      </w:r>
      <w:r>
        <w:rPr>
          <w:spacing w:val="-10"/>
        </w:rPr>
        <w:t xml:space="preserve"> </w:t>
      </w:r>
      <w:r>
        <w:t>creencias</w:t>
      </w:r>
      <w:r>
        <w:rPr>
          <w:spacing w:val="-9"/>
        </w:rPr>
        <w:t xml:space="preserve"> </w:t>
      </w:r>
      <w:r>
        <w:t>de</w:t>
      </w:r>
      <w:r>
        <w:rPr>
          <w:spacing w:val="-9"/>
        </w:rPr>
        <w:t xml:space="preserve"> </w:t>
      </w:r>
      <w:r>
        <w:t>que</w:t>
      </w:r>
      <w:r>
        <w:rPr>
          <w:spacing w:val="-11"/>
        </w:rPr>
        <w:t xml:space="preserve"> </w:t>
      </w:r>
      <w:r>
        <w:t>el</w:t>
      </w:r>
      <w:r>
        <w:rPr>
          <w:spacing w:val="-10"/>
        </w:rPr>
        <w:t xml:space="preserve"> </w:t>
      </w:r>
      <w:r>
        <w:t>muerto</w:t>
      </w:r>
      <w:r>
        <w:rPr>
          <w:spacing w:val="-11"/>
        </w:rPr>
        <w:t xml:space="preserve"> </w:t>
      </w:r>
      <w:r>
        <w:t>llegaría</w:t>
      </w:r>
      <w:r>
        <w:rPr>
          <w:spacing w:val="-9"/>
        </w:rPr>
        <w:t xml:space="preserve"> </w:t>
      </w:r>
      <w:r>
        <w:t>al</w:t>
      </w:r>
      <w:r>
        <w:rPr>
          <w:spacing w:val="-9"/>
        </w:rPr>
        <w:t xml:space="preserve"> </w:t>
      </w:r>
      <w:r>
        <w:t>cielo</w:t>
      </w:r>
      <w:r>
        <w:rPr>
          <w:spacing w:val="-11"/>
        </w:rPr>
        <w:t xml:space="preserve"> </w:t>
      </w:r>
      <w:r>
        <w:t>y</w:t>
      </w:r>
      <w:r>
        <w:rPr>
          <w:spacing w:val="-10"/>
        </w:rPr>
        <w:t xml:space="preserve"> </w:t>
      </w:r>
      <w:r>
        <w:t>por</w:t>
      </w:r>
      <w:r>
        <w:rPr>
          <w:spacing w:val="-10"/>
        </w:rPr>
        <w:t xml:space="preserve"> </w:t>
      </w:r>
      <w:r>
        <w:t>ende sus espíritus en ángeles de protección para ellos y ellas, esta tradición rota dejaría en los sobrevivientes una sensación de desprotección a un mayor».</w:t>
      </w:r>
    </w:p>
    <w:p w:rsidR="003804AC" w:rsidRDefault="00AF18A5" w:rsidP="003A23C7">
      <w:r>
        <w:t>«Cuando estás en la guerra o creces y dejas los valores éticos</w:t>
      </w:r>
      <w:r>
        <w:rPr>
          <w:spacing w:val="-1"/>
        </w:rPr>
        <w:t xml:space="preserve"> </w:t>
      </w:r>
      <w:r>
        <w:t>y morales a un lado, ya los medios no importan, hay que alcanzar el objetivo y mi objetivo era quitarle territorio la guerrilla. Como yo soy consciente de</w:t>
      </w:r>
      <w:r>
        <w:rPr>
          <w:spacing w:val="-1"/>
        </w:rPr>
        <w:t xml:space="preserve"> </w:t>
      </w:r>
      <w:r>
        <w:t>eso, hoy por hoy digo: la guerra deshumaniza, porque cuando para un combatiente la vida no vale nada, es porque está deshumanizado. Hoy, después de lo que me ha tocado vivir con los procesos de paz, lo entiendo, pero en ese momento uno está totalmente metido en lo que es la guerra y no piensa en nada más; estaba convencido</w:t>
      </w:r>
      <w:r>
        <w:rPr>
          <w:spacing w:val="-6"/>
        </w:rPr>
        <w:t xml:space="preserve"> </w:t>
      </w:r>
      <w:r>
        <w:t>de</w:t>
      </w:r>
      <w:r>
        <w:rPr>
          <w:spacing w:val="-5"/>
        </w:rPr>
        <w:t xml:space="preserve"> </w:t>
      </w:r>
      <w:r>
        <w:t>que</w:t>
      </w:r>
      <w:r>
        <w:rPr>
          <w:spacing w:val="-5"/>
        </w:rPr>
        <w:t xml:space="preserve"> </w:t>
      </w:r>
      <w:r>
        <w:t>era</w:t>
      </w:r>
      <w:r>
        <w:rPr>
          <w:spacing w:val="-6"/>
        </w:rPr>
        <w:t xml:space="preserve"> </w:t>
      </w:r>
      <w:r>
        <w:t>la</w:t>
      </w:r>
      <w:r>
        <w:rPr>
          <w:spacing w:val="-6"/>
        </w:rPr>
        <w:t xml:space="preserve"> </w:t>
      </w:r>
      <w:r>
        <w:t>solución</w:t>
      </w:r>
      <w:r>
        <w:rPr>
          <w:spacing w:val="-5"/>
        </w:rPr>
        <w:t xml:space="preserve"> </w:t>
      </w:r>
      <w:r>
        <w:t>al</w:t>
      </w:r>
      <w:r>
        <w:rPr>
          <w:spacing w:val="-6"/>
        </w:rPr>
        <w:t xml:space="preserve"> </w:t>
      </w:r>
      <w:r>
        <w:t>problema:</w:t>
      </w:r>
      <w:r>
        <w:rPr>
          <w:spacing w:val="-4"/>
        </w:rPr>
        <w:t xml:space="preserve"> </w:t>
      </w:r>
      <w:r>
        <w:t>o</w:t>
      </w:r>
      <w:r>
        <w:rPr>
          <w:spacing w:val="-6"/>
        </w:rPr>
        <w:t xml:space="preserve"> </w:t>
      </w:r>
      <w:r>
        <w:t>mi</w:t>
      </w:r>
      <w:r>
        <w:rPr>
          <w:spacing w:val="-4"/>
        </w:rPr>
        <w:t xml:space="preserve"> </w:t>
      </w:r>
      <w:r>
        <w:t>enemigo</w:t>
      </w:r>
      <w:r>
        <w:rPr>
          <w:spacing w:val="-6"/>
        </w:rPr>
        <w:t xml:space="preserve"> </w:t>
      </w:r>
      <w:r>
        <w:t>se</w:t>
      </w:r>
      <w:r>
        <w:rPr>
          <w:spacing w:val="-5"/>
        </w:rPr>
        <w:t xml:space="preserve"> </w:t>
      </w:r>
      <w:r>
        <w:t>muere</w:t>
      </w:r>
      <w:r>
        <w:rPr>
          <w:spacing w:val="-5"/>
        </w:rPr>
        <w:t xml:space="preserve"> </w:t>
      </w:r>
      <w:r>
        <w:t>o</w:t>
      </w:r>
      <w:r>
        <w:rPr>
          <w:spacing w:val="-5"/>
        </w:rPr>
        <w:t xml:space="preserve"> </w:t>
      </w:r>
      <w:r>
        <w:t>yo</w:t>
      </w:r>
      <w:r>
        <w:rPr>
          <w:spacing w:val="-5"/>
        </w:rPr>
        <w:t xml:space="preserve"> </w:t>
      </w:r>
      <w:r>
        <w:t>me</w:t>
      </w:r>
      <w:r>
        <w:rPr>
          <w:spacing w:val="-5"/>
        </w:rPr>
        <w:t xml:space="preserve"> </w:t>
      </w:r>
      <w:r>
        <w:t>muero,</w:t>
      </w:r>
      <w:r>
        <w:rPr>
          <w:spacing w:val="-6"/>
        </w:rPr>
        <w:t xml:space="preserve"> </w:t>
      </w:r>
      <w:r>
        <w:t>todo el que sea sospechoso es un enemigo para mí»</w:t>
      </w:r>
      <w:r w:rsidR="003A23C7">
        <w:rPr>
          <w:rStyle w:val="Refdenotaalpie"/>
        </w:rPr>
        <w:footnoteReference w:id="28"/>
      </w:r>
      <w:r>
        <w:t>.</w:t>
      </w:r>
    </w:p>
    <w:p w:rsidR="003804AC" w:rsidRDefault="00AF18A5" w:rsidP="003A23C7">
      <w:r>
        <w:t>El</w:t>
      </w:r>
      <w:r>
        <w:rPr>
          <w:spacing w:val="24"/>
        </w:rPr>
        <w:t xml:space="preserve"> </w:t>
      </w:r>
      <w:r>
        <w:t>nivel</w:t>
      </w:r>
      <w:r>
        <w:rPr>
          <w:spacing w:val="24"/>
        </w:rPr>
        <w:t xml:space="preserve"> </w:t>
      </w:r>
      <w:r>
        <w:t>de</w:t>
      </w:r>
      <w:r>
        <w:rPr>
          <w:spacing w:val="24"/>
        </w:rPr>
        <w:t xml:space="preserve"> </w:t>
      </w:r>
      <w:r>
        <w:t>terror</w:t>
      </w:r>
      <w:r>
        <w:rPr>
          <w:spacing w:val="24"/>
        </w:rPr>
        <w:t xml:space="preserve"> </w:t>
      </w:r>
      <w:r>
        <w:t>fue</w:t>
      </w:r>
      <w:r>
        <w:rPr>
          <w:spacing w:val="24"/>
        </w:rPr>
        <w:t xml:space="preserve"> </w:t>
      </w:r>
      <w:r>
        <w:t>posible</w:t>
      </w:r>
      <w:r>
        <w:rPr>
          <w:spacing w:val="25"/>
        </w:rPr>
        <w:t xml:space="preserve"> </w:t>
      </w:r>
      <w:r>
        <w:t>por</w:t>
      </w:r>
      <w:r>
        <w:rPr>
          <w:spacing w:val="24"/>
        </w:rPr>
        <w:t xml:space="preserve"> </w:t>
      </w:r>
      <w:r>
        <w:t>la</w:t>
      </w:r>
      <w:r>
        <w:rPr>
          <w:spacing w:val="25"/>
        </w:rPr>
        <w:t xml:space="preserve"> </w:t>
      </w:r>
      <w:r>
        <w:t>deshumanización</w:t>
      </w:r>
      <w:r>
        <w:rPr>
          <w:spacing w:val="24"/>
        </w:rPr>
        <w:t xml:space="preserve"> </w:t>
      </w:r>
      <w:r>
        <w:t>de</w:t>
      </w:r>
      <w:r>
        <w:rPr>
          <w:spacing w:val="24"/>
        </w:rPr>
        <w:t xml:space="preserve"> </w:t>
      </w:r>
      <w:r>
        <w:t>las</w:t>
      </w:r>
      <w:r>
        <w:rPr>
          <w:spacing w:val="25"/>
        </w:rPr>
        <w:t xml:space="preserve"> </w:t>
      </w:r>
      <w:r>
        <w:t>víctimas,</w:t>
      </w:r>
      <w:r>
        <w:rPr>
          <w:spacing w:val="23"/>
        </w:rPr>
        <w:t xml:space="preserve"> </w:t>
      </w:r>
      <w:r>
        <w:t>señaladas</w:t>
      </w:r>
      <w:r>
        <w:rPr>
          <w:spacing w:val="25"/>
        </w:rPr>
        <w:t xml:space="preserve"> </w:t>
      </w:r>
      <w:r>
        <w:rPr>
          <w:spacing w:val="-4"/>
        </w:rPr>
        <w:t>como</w:t>
      </w:r>
      <w:r w:rsidR="00F5576D">
        <w:rPr>
          <w:spacing w:val="-4"/>
        </w:rPr>
        <w:t xml:space="preserve"> </w:t>
      </w:r>
      <w:r>
        <w:t>«guerrilleros» o «auxiliadores» que no merecían vivir. Mensajes de desprecio, estereotipos del</w:t>
      </w:r>
      <w:r>
        <w:rPr>
          <w:spacing w:val="5"/>
        </w:rPr>
        <w:t xml:space="preserve"> </w:t>
      </w:r>
      <w:r>
        <w:t>enemigo</w:t>
      </w:r>
      <w:r>
        <w:rPr>
          <w:spacing w:val="6"/>
        </w:rPr>
        <w:t xml:space="preserve"> </w:t>
      </w:r>
      <w:r>
        <w:t>y</w:t>
      </w:r>
      <w:r>
        <w:rPr>
          <w:spacing w:val="7"/>
        </w:rPr>
        <w:t xml:space="preserve"> </w:t>
      </w:r>
      <w:r>
        <w:t>cálculo</w:t>
      </w:r>
      <w:r>
        <w:rPr>
          <w:spacing w:val="7"/>
        </w:rPr>
        <w:t xml:space="preserve"> </w:t>
      </w:r>
      <w:r>
        <w:t>del</w:t>
      </w:r>
      <w:r>
        <w:rPr>
          <w:spacing w:val="7"/>
        </w:rPr>
        <w:t xml:space="preserve"> </w:t>
      </w:r>
      <w:r>
        <w:t>uso</w:t>
      </w:r>
      <w:r>
        <w:rPr>
          <w:spacing w:val="7"/>
        </w:rPr>
        <w:t xml:space="preserve"> </w:t>
      </w:r>
      <w:r>
        <w:t>de</w:t>
      </w:r>
      <w:r>
        <w:rPr>
          <w:spacing w:val="8"/>
        </w:rPr>
        <w:t xml:space="preserve"> </w:t>
      </w:r>
      <w:r>
        <w:t>crueldades</w:t>
      </w:r>
      <w:r>
        <w:rPr>
          <w:spacing w:val="7"/>
        </w:rPr>
        <w:t xml:space="preserve"> </w:t>
      </w:r>
      <w:r>
        <w:t>para</w:t>
      </w:r>
      <w:r>
        <w:rPr>
          <w:spacing w:val="7"/>
        </w:rPr>
        <w:t xml:space="preserve"> </w:t>
      </w:r>
      <w:r>
        <w:t>generar</w:t>
      </w:r>
      <w:r>
        <w:rPr>
          <w:spacing w:val="7"/>
        </w:rPr>
        <w:t xml:space="preserve"> </w:t>
      </w:r>
      <w:r>
        <w:t>parálisis</w:t>
      </w:r>
      <w:r>
        <w:rPr>
          <w:spacing w:val="7"/>
        </w:rPr>
        <w:t xml:space="preserve"> </w:t>
      </w:r>
      <w:r>
        <w:t>y</w:t>
      </w:r>
      <w:r>
        <w:rPr>
          <w:spacing w:val="7"/>
        </w:rPr>
        <w:t xml:space="preserve"> </w:t>
      </w:r>
      <w:r>
        <w:t>terror</w:t>
      </w:r>
      <w:r>
        <w:rPr>
          <w:spacing w:val="7"/>
        </w:rPr>
        <w:t xml:space="preserve"> </w:t>
      </w:r>
      <w:r>
        <w:t>fueron</w:t>
      </w:r>
      <w:r>
        <w:rPr>
          <w:spacing w:val="8"/>
        </w:rPr>
        <w:t xml:space="preserve"> </w:t>
      </w:r>
      <w:r>
        <w:rPr>
          <w:spacing w:val="-2"/>
        </w:rPr>
        <w:t>prácticas</w:t>
      </w:r>
      <w:bookmarkStart w:id="65" w:name="_bookmark34"/>
      <w:bookmarkEnd w:id="65"/>
      <w:r w:rsidR="00F5576D">
        <w:rPr>
          <w:spacing w:val="-2"/>
        </w:rPr>
        <w:t xml:space="preserve"> </w:t>
      </w:r>
      <w:r>
        <w:t xml:space="preserve">habituales en </w:t>
      </w:r>
      <w:r>
        <w:lastRenderedPageBreak/>
        <w:t>las que fueron entrenados numerosos miembros de estos grupos y donde actuaron, si no de manera abierta, con total impunidad.</w:t>
      </w:r>
    </w:p>
    <w:p w:rsidR="003804AC" w:rsidRDefault="00AF18A5" w:rsidP="003A23C7">
      <w:r>
        <w:t>«Aproximadamente</w:t>
      </w:r>
      <w:r>
        <w:rPr>
          <w:spacing w:val="-1"/>
        </w:rPr>
        <w:t xml:space="preserve"> </w:t>
      </w:r>
      <w:r>
        <w:t>ocho</w:t>
      </w:r>
      <w:r>
        <w:rPr>
          <w:spacing w:val="-2"/>
        </w:rPr>
        <w:t xml:space="preserve"> </w:t>
      </w:r>
      <w:r>
        <w:t>personas</w:t>
      </w:r>
      <w:r>
        <w:rPr>
          <w:spacing w:val="-1"/>
        </w:rPr>
        <w:t xml:space="preserve"> </w:t>
      </w:r>
      <w:r>
        <w:t>creo</w:t>
      </w:r>
      <w:r>
        <w:rPr>
          <w:spacing w:val="-1"/>
        </w:rPr>
        <w:t xml:space="preserve"> </w:t>
      </w:r>
      <w:r>
        <w:t>que</w:t>
      </w:r>
      <w:r>
        <w:rPr>
          <w:spacing w:val="-1"/>
        </w:rPr>
        <w:t xml:space="preserve"> </w:t>
      </w:r>
      <w:r>
        <w:t>fueron</w:t>
      </w:r>
      <w:r>
        <w:rPr>
          <w:spacing w:val="-1"/>
        </w:rPr>
        <w:t xml:space="preserve"> </w:t>
      </w:r>
      <w:r>
        <w:t>las</w:t>
      </w:r>
      <w:r>
        <w:rPr>
          <w:spacing w:val="-1"/>
        </w:rPr>
        <w:t xml:space="preserve"> </w:t>
      </w:r>
      <w:r>
        <w:t>que</w:t>
      </w:r>
      <w:r>
        <w:rPr>
          <w:spacing w:val="-1"/>
        </w:rPr>
        <w:t xml:space="preserve"> </w:t>
      </w:r>
      <w:r>
        <w:t>murieron</w:t>
      </w:r>
      <w:r>
        <w:rPr>
          <w:spacing w:val="-2"/>
        </w:rPr>
        <w:t xml:space="preserve"> </w:t>
      </w:r>
      <w:r>
        <w:t>ahí.</w:t>
      </w:r>
      <w:r>
        <w:rPr>
          <w:spacing w:val="-1"/>
        </w:rPr>
        <w:t xml:space="preserve"> </w:t>
      </w:r>
      <w:r>
        <w:t>Porque</w:t>
      </w:r>
      <w:r>
        <w:rPr>
          <w:spacing w:val="-1"/>
        </w:rPr>
        <w:t xml:space="preserve"> </w:t>
      </w:r>
      <w:r>
        <w:t>eso</w:t>
      </w:r>
      <w:r>
        <w:rPr>
          <w:spacing w:val="-1"/>
        </w:rPr>
        <w:t xml:space="preserve"> </w:t>
      </w:r>
      <w:r>
        <w:t xml:space="preserve">uno </w:t>
      </w:r>
      <w:proofErr w:type="gramStart"/>
      <w:r>
        <w:t>no...</w:t>
      </w:r>
      <w:proofErr w:type="gramEnd"/>
      <w:r>
        <w:t xml:space="preserve"> eso uno salió fue ahí, fue </w:t>
      </w:r>
      <w:proofErr w:type="spellStart"/>
      <w:r>
        <w:t>ventiao</w:t>
      </w:r>
      <w:proofErr w:type="spellEnd"/>
      <w:r>
        <w:t xml:space="preserve"> </w:t>
      </w:r>
      <w:proofErr w:type="spellStart"/>
      <w:r>
        <w:t>pa</w:t>
      </w:r>
      <w:proofErr w:type="spellEnd"/>
      <w:r>
        <w:t xml:space="preserve"> fuera apenas es que a esa gente tocó huir. [...] Es que no sabe uno, porque como había varios grupos operando entre... entre guerrilla y autodefensas, uno no sabe si podía ser verdad o podía ser mentira. [...]. Y, de repente: “que no, que una reunión aquí en la plaza pública y esas cuestiones”. Ahí en la plaza, ahí le quitaron la cédula a todo mundo y al que había, el que tenían en lista para matarlo lo iban matando</w:t>
      </w:r>
      <w:r>
        <w:rPr>
          <w:spacing w:val="-6"/>
        </w:rPr>
        <w:t xml:space="preserve"> </w:t>
      </w:r>
      <w:r>
        <w:t>de</w:t>
      </w:r>
      <w:r>
        <w:rPr>
          <w:spacing w:val="-7"/>
        </w:rPr>
        <w:t xml:space="preserve"> </w:t>
      </w:r>
      <w:r>
        <w:t>una</w:t>
      </w:r>
      <w:r>
        <w:rPr>
          <w:spacing w:val="-6"/>
        </w:rPr>
        <w:t xml:space="preserve"> </w:t>
      </w:r>
      <w:r>
        <w:t>vez</w:t>
      </w:r>
      <w:r>
        <w:rPr>
          <w:spacing w:val="-6"/>
        </w:rPr>
        <w:t xml:space="preserve"> </w:t>
      </w:r>
      <w:r>
        <w:t>y</w:t>
      </w:r>
      <w:r>
        <w:rPr>
          <w:spacing w:val="-6"/>
        </w:rPr>
        <w:t xml:space="preserve"> </w:t>
      </w:r>
      <w:r>
        <w:t>llamando</w:t>
      </w:r>
      <w:r>
        <w:rPr>
          <w:spacing w:val="-6"/>
        </w:rPr>
        <w:t xml:space="preserve"> </w:t>
      </w:r>
      <w:r>
        <w:t>por</w:t>
      </w:r>
      <w:r>
        <w:rPr>
          <w:spacing w:val="-6"/>
        </w:rPr>
        <w:t xml:space="preserve"> </w:t>
      </w:r>
      <w:r>
        <w:t>lista,</w:t>
      </w:r>
      <w:r>
        <w:rPr>
          <w:spacing w:val="-6"/>
        </w:rPr>
        <w:t xml:space="preserve"> </w:t>
      </w:r>
      <w:r>
        <w:t>y</w:t>
      </w:r>
      <w:r>
        <w:rPr>
          <w:spacing w:val="-6"/>
        </w:rPr>
        <w:t xml:space="preserve"> </w:t>
      </w:r>
      <w:r>
        <w:t>al</w:t>
      </w:r>
      <w:r>
        <w:rPr>
          <w:spacing w:val="-6"/>
        </w:rPr>
        <w:t xml:space="preserve"> </w:t>
      </w:r>
      <w:r>
        <w:t>que</w:t>
      </w:r>
      <w:r>
        <w:rPr>
          <w:spacing w:val="-7"/>
        </w:rPr>
        <w:t xml:space="preserve"> </w:t>
      </w:r>
      <w:r>
        <w:t>no,</w:t>
      </w:r>
      <w:r>
        <w:rPr>
          <w:spacing w:val="-6"/>
        </w:rPr>
        <w:t xml:space="preserve"> </w:t>
      </w:r>
      <w:r>
        <w:t>le</w:t>
      </w:r>
      <w:r>
        <w:rPr>
          <w:spacing w:val="-6"/>
        </w:rPr>
        <w:t xml:space="preserve"> </w:t>
      </w:r>
      <w:r>
        <w:t>iban</w:t>
      </w:r>
      <w:r>
        <w:rPr>
          <w:spacing w:val="-6"/>
        </w:rPr>
        <w:t xml:space="preserve"> </w:t>
      </w:r>
      <w:r>
        <w:t>entregando</w:t>
      </w:r>
      <w:r>
        <w:rPr>
          <w:spacing w:val="-6"/>
        </w:rPr>
        <w:t xml:space="preserve"> </w:t>
      </w:r>
      <w:r>
        <w:t>su</w:t>
      </w:r>
      <w:r>
        <w:rPr>
          <w:spacing w:val="-6"/>
        </w:rPr>
        <w:t xml:space="preserve"> </w:t>
      </w:r>
      <w:r>
        <w:t>cédula.</w:t>
      </w:r>
      <w:r>
        <w:rPr>
          <w:spacing w:val="-6"/>
        </w:rPr>
        <w:t xml:space="preserve"> </w:t>
      </w:r>
      <w:r>
        <w:t>Pero</w:t>
      </w:r>
      <w:r>
        <w:rPr>
          <w:spacing w:val="-6"/>
        </w:rPr>
        <w:t xml:space="preserve"> </w:t>
      </w:r>
      <w:r>
        <w:t>uno al</w:t>
      </w:r>
      <w:r>
        <w:rPr>
          <w:spacing w:val="-9"/>
        </w:rPr>
        <w:t xml:space="preserve"> </w:t>
      </w:r>
      <w:r>
        <w:t>ver</w:t>
      </w:r>
      <w:r>
        <w:rPr>
          <w:spacing w:val="-9"/>
        </w:rPr>
        <w:t xml:space="preserve"> </w:t>
      </w:r>
      <w:r>
        <w:t>esa</w:t>
      </w:r>
      <w:r>
        <w:rPr>
          <w:spacing w:val="-9"/>
        </w:rPr>
        <w:t xml:space="preserve"> </w:t>
      </w:r>
      <w:r>
        <w:t>vaina,</w:t>
      </w:r>
      <w:r>
        <w:rPr>
          <w:spacing w:val="-10"/>
        </w:rPr>
        <w:t xml:space="preserve"> </w:t>
      </w:r>
      <w:r>
        <w:t>esa</w:t>
      </w:r>
      <w:r>
        <w:rPr>
          <w:spacing w:val="-9"/>
        </w:rPr>
        <w:t xml:space="preserve"> </w:t>
      </w:r>
      <w:r>
        <w:t>situación,</w:t>
      </w:r>
      <w:r>
        <w:rPr>
          <w:spacing w:val="-10"/>
        </w:rPr>
        <w:t xml:space="preserve"> </w:t>
      </w:r>
      <w:r>
        <w:t>todo</w:t>
      </w:r>
      <w:r>
        <w:rPr>
          <w:spacing w:val="-10"/>
        </w:rPr>
        <w:t xml:space="preserve"> </w:t>
      </w:r>
      <w:r>
        <w:t>el</w:t>
      </w:r>
      <w:r>
        <w:rPr>
          <w:spacing w:val="-10"/>
        </w:rPr>
        <w:t xml:space="preserve"> </w:t>
      </w:r>
      <w:r>
        <w:t>mundo</w:t>
      </w:r>
      <w:r>
        <w:rPr>
          <w:spacing w:val="-10"/>
        </w:rPr>
        <w:t xml:space="preserve"> </w:t>
      </w:r>
      <w:proofErr w:type="spellStart"/>
      <w:r>
        <w:t>pa</w:t>
      </w:r>
      <w:proofErr w:type="spellEnd"/>
      <w:r>
        <w:t>’</w:t>
      </w:r>
      <w:r>
        <w:rPr>
          <w:spacing w:val="-10"/>
        </w:rPr>
        <w:t xml:space="preserve"> </w:t>
      </w:r>
      <w:r>
        <w:t>fuera</w:t>
      </w:r>
      <w:r>
        <w:rPr>
          <w:spacing w:val="-11"/>
        </w:rPr>
        <w:t xml:space="preserve"> </w:t>
      </w:r>
      <w:r>
        <w:t>[...]</w:t>
      </w:r>
      <w:r>
        <w:rPr>
          <w:spacing w:val="-9"/>
        </w:rPr>
        <w:t xml:space="preserve"> </w:t>
      </w:r>
      <w:r>
        <w:t>de</w:t>
      </w:r>
      <w:r>
        <w:rPr>
          <w:spacing w:val="-9"/>
        </w:rPr>
        <w:t xml:space="preserve"> </w:t>
      </w:r>
      <w:r>
        <w:t>lo</w:t>
      </w:r>
      <w:r>
        <w:rPr>
          <w:spacing w:val="-10"/>
        </w:rPr>
        <w:t xml:space="preserve"> </w:t>
      </w:r>
      <w:r>
        <w:t>que</w:t>
      </w:r>
      <w:r>
        <w:rPr>
          <w:spacing w:val="-9"/>
        </w:rPr>
        <w:t xml:space="preserve"> </w:t>
      </w:r>
      <w:r>
        <w:t>se</w:t>
      </w:r>
      <w:r>
        <w:rPr>
          <w:spacing w:val="-11"/>
        </w:rPr>
        <w:t xml:space="preserve"> </w:t>
      </w:r>
      <w:r>
        <w:t>escuchó</w:t>
      </w:r>
      <w:r>
        <w:rPr>
          <w:spacing w:val="-10"/>
        </w:rPr>
        <w:t xml:space="preserve"> </w:t>
      </w:r>
      <w:r>
        <w:t>en</w:t>
      </w:r>
      <w:r>
        <w:rPr>
          <w:spacing w:val="-11"/>
        </w:rPr>
        <w:t xml:space="preserve"> </w:t>
      </w:r>
      <w:r>
        <w:t>la</w:t>
      </w:r>
      <w:r>
        <w:rPr>
          <w:spacing w:val="-9"/>
        </w:rPr>
        <w:t xml:space="preserve"> </w:t>
      </w:r>
      <w:r>
        <w:t xml:space="preserve">versión que se escuchó de momento, algunos que disque por sapos, otros porque no pagaban la </w:t>
      </w:r>
      <w:r>
        <w:rPr>
          <w:spacing w:val="-2"/>
        </w:rPr>
        <w:t>vacuna»</w:t>
      </w:r>
      <w:r w:rsidR="00F5576D">
        <w:rPr>
          <w:rStyle w:val="Refdenotaalpie"/>
          <w:spacing w:val="-2"/>
        </w:rPr>
        <w:footnoteReference w:id="29"/>
      </w:r>
      <w:r>
        <w:rPr>
          <w:spacing w:val="-2"/>
        </w:rPr>
        <w:t>.</w:t>
      </w:r>
    </w:p>
    <w:p w:rsidR="003804AC" w:rsidRDefault="00AF18A5" w:rsidP="003A23C7">
      <w:r>
        <w:t>La cada vez mayor violencia contra la población civil y sus liderazgos tiene un componente</w:t>
      </w:r>
      <w:r>
        <w:rPr>
          <w:spacing w:val="-14"/>
        </w:rPr>
        <w:t xml:space="preserve"> </w:t>
      </w:r>
      <w:r>
        <w:t>instrumental</w:t>
      </w:r>
      <w:r>
        <w:rPr>
          <w:spacing w:val="-15"/>
        </w:rPr>
        <w:t xml:space="preserve"> </w:t>
      </w:r>
      <w:r>
        <w:t>y</w:t>
      </w:r>
      <w:r>
        <w:rPr>
          <w:spacing w:val="-14"/>
        </w:rPr>
        <w:t xml:space="preserve"> </w:t>
      </w:r>
      <w:r>
        <w:t>simbólico.</w:t>
      </w:r>
      <w:r>
        <w:rPr>
          <w:spacing w:val="-15"/>
        </w:rPr>
        <w:t xml:space="preserve"> </w:t>
      </w:r>
      <w:r>
        <w:t>Instrumental</w:t>
      </w:r>
      <w:r>
        <w:rPr>
          <w:spacing w:val="-14"/>
        </w:rPr>
        <w:t xml:space="preserve"> </w:t>
      </w:r>
      <w:r>
        <w:t>porque</w:t>
      </w:r>
      <w:r>
        <w:rPr>
          <w:spacing w:val="-14"/>
        </w:rPr>
        <w:t xml:space="preserve"> </w:t>
      </w:r>
      <w:r>
        <w:t>de</w:t>
      </w:r>
      <w:r>
        <w:rPr>
          <w:spacing w:val="-14"/>
        </w:rPr>
        <w:t xml:space="preserve"> </w:t>
      </w:r>
      <w:r>
        <w:t>esta</w:t>
      </w:r>
      <w:r>
        <w:rPr>
          <w:spacing w:val="-14"/>
        </w:rPr>
        <w:t xml:space="preserve"> </w:t>
      </w:r>
      <w:r>
        <w:t>manera</w:t>
      </w:r>
      <w:r>
        <w:rPr>
          <w:spacing w:val="-14"/>
        </w:rPr>
        <w:t xml:space="preserve"> </w:t>
      </w:r>
      <w:r>
        <w:t>se</w:t>
      </w:r>
      <w:r>
        <w:rPr>
          <w:spacing w:val="-14"/>
        </w:rPr>
        <w:t xml:space="preserve"> </w:t>
      </w:r>
      <w:r>
        <w:t>ha</w:t>
      </w:r>
      <w:r>
        <w:rPr>
          <w:spacing w:val="-14"/>
        </w:rPr>
        <w:t xml:space="preserve"> </w:t>
      </w:r>
      <w:r>
        <w:t>acabado</w:t>
      </w:r>
      <w:r>
        <w:rPr>
          <w:spacing w:val="-15"/>
        </w:rPr>
        <w:t xml:space="preserve"> </w:t>
      </w:r>
      <w:r>
        <w:t>con liderazgos y organizaciones que han sufrido directamente las consecuencias de la violencia y persecución. Simbólico, porque el asesinato del liderazgo de personas referentes, de defensores de derechos humanos o</w:t>
      </w:r>
      <w:r>
        <w:rPr>
          <w:spacing w:val="-1"/>
        </w:rPr>
        <w:t xml:space="preserve"> </w:t>
      </w:r>
      <w:r>
        <w:t>líderes políticos o religiosos supone también un</w:t>
      </w:r>
      <w:r>
        <w:rPr>
          <w:spacing w:val="-1"/>
        </w:rPr>
        <w:t xml:space="preserve"> </w:t>
      </w:r>
      <w:r>
        <w:t>impacto colectivo y aumenta la</w:t>
      </w:r>
      <w:r>
        <w:rPr>
          <w:spacing w:val="-1"/>
        </w:rPr>
        <w:t xml:space="preserve"> </w:t>
      </w:r>
      <w:r>
        <w:t xml:space="preserve">vivencia de desprotección y miedo. Evitando los ejemplos positivos, se controla no solo el presente, sino también el futuro: «Si lo han hecho contra él, qué no harán contra nosotros». De esta forma, se ha provocado una parálisis de las organizaciones, líderes o vidas personales y familiares que se identifican con quienes resultaron víctimas directas, extendiéndose muchas veces </w:t>
      </w:r>
      <w:r>
        <w:lastRenderedPageBreak/>
        <w:t>el bloqueo de la solidaridad a través del miedo.</w:t>
      </w:r>
    </w:p>
    <w:p w:rsidR="003804AC" w:rsidRDefault="00AF18A5" w:rsidP="003A23C7">
      <w:r>
        <w:t>El ataque al creciente liderazgo de las mujeres se ha dado como una forma de quebrar su capacidad de trabajo con comunidades y con organizaciones de víctimas o de liderar proyectos políticos. También esos asesinatos, amenazas o exilios tienen un impacto específico</w:t>
      </w:r>
      <w:r>
        <w:rPr>
          <w:spacing w:val="4"/>
        </w:rPr>
        <w:t xml:space="preserve"> </w:t>
      </w:r>
      <w:r>
        <w:t>en</w:t>
      </w:r>
      <w:r>
        <w:rPr>
          <w:spacing w:val="8"/>
        </w:rPr>
        <w:t xml:space="preserve"> </w:t>
      </w:r>
      <w:r>
        <w:t>otras</w:t>
      </w:r>
      <w:r>
        <w:rPr>
          <w:spacing w:val="7"/>
        </w:rPr>
        <w:t xml:space="preserve"> </w:t>
      </w:r>
      <w:r>
        <w:t>mujeres</w:t>
      </w:r>
      <w:r>
        <w:rPr>
          <w:spacing w:val="8"/>
        </w:rPr>
        <w:t xml:space="preserve"> </w:t>
      </w:r>
      <w:r>
        <w:t>que</w:t>
      </w:r>
      <w:r>
        <w:rPr>
          <w:spacing w:val="8"/>
        </w:rPr>
        <w:t xml:space="preserve"> </w:t>
      </w:r>
      <w:r>
        <w:t>han</w:t>
      </w:r>
      <w:r>
        <w:rPr>
          <w:spacing w:val="7"/>
        </w:rPr>
        <w:t xml:space="preserve"> </w:t>
      </w:r>
      <w:r>
        <w:t>visto</w:t>
      </w:r>
      <w:r>
        <w:rPr>
          <w:spacing w:val="8"/>
        </w:rPr>
        <w:t xml:space="preserve"> </w:t>
      </w:r>
      <w:r>
        <w:t>a</w:t>
      </w:r>
      <w:r>
        <w:rPr>
          <w:spacing w:val="7"/>
        </w:rPr>
        <w:t xml:space="preserve"> </w:t>
      </w:r>
      <w:r>
        <w:t>estas</w:t>
      </w:r>
      <w:r>
        <w:rPr>
          <w:spacing w:val="7"/>
        </w:rPr>
        <w:t xml:space="preserve"> </w:t>
      </w:r>
      <w:r>
        <w:t>lideresas</w:t>
      </w:r>
      <w:r>
        <w:rPr>
          <w:spacing w:val="8"/>
        </w:rPr>
        <w:t xml:space="preserve"> </w:t>
      </w:r>
      <w:r>
        <w:t>como</w:t>
      </w:r>
      <w:r>
        <w:rPr>
          <w:spacing w:val="8"/>
        </w:rPr>
        <w:t xml:space="preserve"> </w:t>
      </w:r>
      <w:r>
        <w:t>referentes</w:t>
      </w:r>
      <w:r>
        <w:rPr>
          <w:spacing w:val="8"/>
        </w:rPr>
        <w:t xml:space="preserve"> </w:t>
      </w:r>
      <w:r>
        <w:t>para</w:t>
      </w:r>
      <w:r>
        <w:rPr>
          <w:spacing w:val="8"/>
        </w:rPr>
        <w:t xml:space="preserve"> </w:t>
      </w:r>
      <w:r>
        <w:t>superar</w:t>
      </w:r>
      <w:r>
        <w:rPr>
          <w:spacing w:val="9"/>
        </w:rPr>
        <w:t xml:space="preserve"> </w:t>
      </w:r>
      <w:r>
        <w:rPr>
          <w:spacing w:val="-5"/>
        </w:rPr>
        <w:t>las</w:t>
      </w:r>
      <w:r w:rsidR="00F5576D">
        <w:rPr>
          <w:spacing w:val="-5"/>
        </w:rPr>
        <w:t xml:space="preserve"> </w:t>
      </w:r>
      <w:r>
        <w:t>condiciones estructurales de discriminación que las han mantenido históricamente en una posición de subordinación frente al poder masculino. Con el desplazamiento de las mujeres se</w:t>
      </w:r>
      <w:r>
        <w:rPr>
          <w:spacing w:val="-9"/>
        </w:rPr>
        <w:t xml:space="preserve"> </w:t>
      </w:r>
      <w:r>
        <w:t>lleva</w:t>
      </w:r>
      <w:r>
        <w:rPr>
          <w:spacing w:val="-9"/>
        </w:rPr>
        <w:t xml:space="preserve"> </w:t>
      </w:r>
      <w:r>
        <w:t>a</w:t>
      </w:r>
      <w:r>
        <w:rPr>
          <w:spacing w:val="-10"/>
        </w:rPr>
        <w:t xml:space="preserve"> </w:t>
      </w:r>
      <w:r>
        <w:t>cabo</w:t>
      </w:r>
      <w:r>
        <w:rPr>
          <w:spacing w:val="-9"/>
        </w:rPr>
        <w:t xml:space="preserve"> </w:t>
      </w:r>
      <w:r>
        <w:t>el</w:t>
      </w:r>
      <w:r>
        <w:rPr>
          <w:spacing w:val="-9"/>
        </w:rPr>
        <w:t xml:space="preserve"> </w:t>
      </w:r>
      <w:r>
        <w:t>de</w:t>
      </w:r>
      <w:r>
        <w:rPr>
          <w:spacing w:val="-10"/>
        </w:rPr>
        <w:t xml:space="preserve"> </w:t>
      </w:r>
      <w:r>
        <w:t>sus</w:t>
      </w:r>
      <w:r>
        <w:rPr>
          <w:spacing w:val="-10"/>
        </w:rPr>
        <w:t xml:space="preserve"> </w:t>
      </w:r>
      <w:r>
        <w:t>familias</w:t>
      </w:r>
      <w:r>
        <w:rPr>
          <w:spacing w:val="-9"/>
        </w:rPr>
        <w:t xml:space="preserve"> </w:t>
      </w:r>
      <w:r>
        <w:t>completas,</w:t>
      </w:r>
      <w:r>
        <w:rPr>
          <w:spacing w:val="-9"/>
        </w:rPr>
        <w:t xml:space="preserve"> </w:t>
      </w:r>
      <w:r>
        <w:t>siendo</w:t>
      </w:r>
      <w:r>
        <w:rPr>
          <w:spacing w:val="-9"/>
        </w:rPr>
        <w:t xml:space="preserve"> </w:t>
      </w:r>
      <w:r>
        <w:t>un</w:t>
      </w:r>
      <w:r>
        <w:rPr>
          <w:spacing w:val="-9"/>
        </w:rPr>
        <w:t xml:space="preserve"> </w:t>
      </w:r>
      <w:r>
        <w:t>poderoso</w:t>
      </w:r>
      <w:r>
        <w:rPr>
          <w:spacing w:val="-9"/>
        </w:rPr>
        <w:t xml:space="preserve"> </w:t>
      </w:r>
      <w:r>
        <w:t>impulsor</w:t>
      </w:r>
      <w:r>
        <w:rPr>
          <w:spacing w:val="-9"/>
        </w:rPr>
        <w:t xml:space="preserve"> </w:t>
      </w:r>
      <w:r>
        <w:t>del</w:t>
      </w:r>
      <w:r>
        <w:rPr>
          <w:spacing w:val="-9"/>
        </w:rPr>
        <w:t xml:space="preserve"> </w:t>
      </w:r>
      <w:r>
        <w:t>vaciamiento</w:t>
      </w:r>
      <w:r>
        <w:rPr>
          <w:spacing w:val="-9"/>
        </w:rPr>
        <w:t xml:space="preserve"> </w:t>
      </w:r>
      <w:r>
        <w:t>de los territorios.</w:t>
      </w:r>
    </w:p>
    <w:p w:rsidR="003804AC" w:rsidRDefault="00AF18A5" w:rsidP="003A23C7">
      <w:r>
        <w:t>Así mismo, los ataques al liderazgo indígena y negro han conllevado un fuerte impacto colectivo donde el racismo en la guerra ha supuesto la exacerbación de condiciones de marginación</w:t>
      </w:r>
      <w:r>
        <w:rPr>
          <w:spacing w:val="-10"/>
        </w:rPr>
        <w:t xml:space="preserve"> </w:t>
      </w:r>
      <w:r>
        <w:t>y</w:t>
      </w:r>
      <w:r>
        <w:rPr>
          <w:spacing w:val="-8"/>
        </w:rPr>
        <w:t xml:space="preserve"> </w:t>
      </w:r>
      <w:r>
        <w:t>explotación</w:t>
      </w:r>
      <w:r>
        <w:rPr>
          <w:spacing w:val="-8"/>
        </w:rPr>
        <w:t xml:space="preserve"> </w:t>
      </w:r>
      <w:r>
        <w:t>estructurales</w:t>
      </w:r>
      <w:r>
        <w:rPr>
          <w:spacing w:val="-8"/>
        </w:rPr>
        <w:t xml:space="preserve"> </w:t>
      </w:r>
      <w:r>
        <w:t>que</w:t>
      </w:r>
      <w:r>
        <w:rPr>
          <w:spacing w:val="-8"/>
        </w:rPr>
        <w:t xml:space="preserve"> </w:t>
      </w:r>
      <w:r>
        <w:t>han</w:t>
      </w:r>
      <w:r>
        <w:rPr>
          <w:spacing w:val="-10"/>
        </w:rPr>
        <w:t xml:space="preserve"> </w:t>
      </w:r>
      <w:r>
        <w:t>estado</w:t>
      </w:r>
      <w:r>
        <w:rPr>
          <w:spacing w:val="-8"/>
        </w:rPr>
        <w:t xml:space="preserve"> </w:t>
      </w:r>
      <w:r>
        <w:t>en</w:t>
      </w:r>
      <w:r>
        <w:rPr>
          <w:spacing w:val="-8"/>
        </w:rPr>
        <w:t xml:space="preserve"> </w:t>
      </w:r>
      <w:r>
        <w:t>la</w:t>
      </w:r>
      <w:r>
        <w:rPr>
          <w:spacing w:val="-9"/>
        </w:rPr>
        <w:t xml:space="preserve"> </w:t>
      </w:r>
      <w:r>
        <w:t>base</w:t>
      </w:r>
      <w:r>
        <w:rPr>
          <w:spacing w:val="-8"/>
        </w:rPr>
        <w:t xml:space="preserve"> </w:t>
      </w:r>
      <w:r>
        <w:t>de</w:t>
      </w:r>
      <w:r>
        <w:rPr>
          <w:spacing w:val="-8"/>
        </w:rPr>
        <w:t xml:space="preserve"> </w:t>
      </w:r>
      <w:r>
        <w:t>la</w:t>
      </w:r>
      <w:r>
        <w:rPr>
          <w:spacing w:val="-8"/>
        </w:rPr>
        <w:t xml:space="preserve"> </w:t>
      </w:r>
      <w:r>
        <w:t>violencia</w:t>
      </w:r>
      <w:r>
        <w:rPr>
          <w:spacing w:val="-8"/>
        </w:rPr>
        <w:t xml:space="preserve"> </w:t>
      </w:r>
      <w:r>
        <w:t>contra</w:t>
      </w:r>
      <w:r>
        <w:rPr>
          <w:spacing w:val="-8"/>
        </w:rPr>
        <w:t xml:space="preserve"> </w:t>
      </w:r>
      <w:r>
        <w:t xml:space="preserve">esos pueblos, además de los intereses por el control de sus territorios o el desprecio por sus </w:t>
      </w:r>
      <w:r>
        <w:rPr>
          <w:spacing w:val="-2"/>
        </w:rPr>
        <w:t>identidades.</w:t>
      </w:r>
    </w:p>
    <w:p w:rsidR="003804AC" w:rsidRDefault="00AF18A5" w:rsidP="003A23C7">
      <w:r>
        <w:t>La degradación se ha ensañado con los sectores excluidos socialmente, cuya deshumanización</w:t>
      </w:r>
      <w:r>
        <w:rPr>
          <w:spacing w:val="-1"/>
        </w:rPr>
        <w:t xml:space="preserve"> </w:t>
      </w:r>
      <w:r>
        <w:t>ha</w:t>
      </w:r>
      <w:r>
        <w:rPr>
          <w:spacing w:val="-2"/>
        </w:rPr>
        <w:t xml:space="preserve"> </w:t>
      </w:r>
      <w:r>
        <w:t>profundizado</w:t>
      </w:r>
      <w:r>
        <w:rPr>
          <w:spacing w:val="-2"/>
        </w:rPr>
        <w:t xml:space="preserve"> </w:t>
      </w:r>
      <w:r>
        <w:t>la</w:t>
      </w:r>
      <w:r>
        <w:rPr>
          <w:spacing w:val="-2"/>
        </w:rPr>
        <w:t xml:space="preserve"> </w:t>
      </w:r>
      <w:r>
        <w:t>discriminación</w:t>
      </w:r>
      <w:r>
        <w:rPr>
          <w:spacing w:val="-1"/>
        </w:rPr>
        <w:t xml:space="preserve"> </w:t>
      </w:r>
      <w:r>
        <w:t>histórica,</w:t>
      </w:r>
      <w:r>
        <w:rPr>
          <w:spacing w:val="-1"/>
        </w:rPr>
        <w:t xml:space="preserve"> </w:t>
      </w:r>
      <w:r>
        <w:t>el</w:t>
      </w:r>
      <w:r>
        <w:rPr>
          <w:spacing w:val="-2"/>
        </w:rPr>
        <w:t xml:space="preserve"> </w:t>
      </w:r>
      <w:r>
        <w:t>racismo</w:t>
      </w:r>
      <w:r>
        <w:rPr>
          <w:spacing w:val="-2"/>
        </w:rPr>
        <w:t xml:space="preserve"> </w:t>
      </w:r>
      <w:r>
        <w:t>contra</w:t>
      </w:r>
      <w:r>
        <w:rPr>
          <w:spacing w:val="-2"/>
        </w:rPr>
        <w:t xml:space="preserve"> </w:t>
      </w:r>
      <w:r>
        <w:t>los</w:t>
      </w:r>
      <w:r>
        <w:rPr>
          <w:spacing w:val="-1"/>
        </w:rPr>
        <w:t xml:space="preserve"> </w:t>
      </w:r>
      <w:r>
        <w:t>pueblos étnicos</w:t>
      </w:r>
      <w:r>
        <w:rPr>
          <w:spacing w:val="-9"/>
        </w:rPr>
        <w:t xml:space="preserve"> </w:t>
      </w:r>
      <w:r>
        <w:t>o</w:t>
      </w:r>
      <w:r>
        <w:rPr>
          <w:spacing w:val="-9"/>
        </w:rPr>
        <w:t xml:space="preserve"> </w:t>
      </w:r>
      <w:r>
        <w:t>los</w:t>
      </w:r>
      <w:r>
        <w:rPr>
          <w:spacing w:val="-9"/>
        </w:rPr>
        <w:t xml:space="preserve"> </w:t>
      </w:r>
      <w:r>
        <w:t>estereotipos</w:t>
      </w:r>
      <w:r>
        <w:rPr>
          <w:spacing w:val="-9"/>
        </w:rPr>
        <w:t xml:space="preserve"> </w:t>
      </w:r>
      <w:r>
        <w:t>de</w:t>
      </w:r>
      <w:r>
        <w:rPr>
          <w:spacing w:val="-9"/>
        </w:rPr>
        <w:t xml:space="preserve"> </w:t>
      </w:r>
      <w:r>
        <w:t>género</w:t>
      </w:r>
      <w:r>
        <w:rPr>
          <w:spacing w:val="-9"/>
        </w:rPr>
        <w:t xml:space="preserve"> </w:t>
      </w:r>
      <w:r>
        <w:t>y</w:t>
      </w:r>
      <w:r>
        <w:rPr>
          <w:spacing w:val="-11"/>
        </w:rPr>
        <w:t xml:space="preserve"> </w:t>
      </w:r>
      <w:r>
        <w:t>la</w:t>
      </w:r>
      <w:r>
        <w:rPr>
          <w:spacing w:val="-9"/>
        </w:rPr>
        <w:t xml:space="preserve"> </w:t>
      </w:r>
      <w:r>
        <w:t>violencia</w:t>
      </w:r>
      <w:r>
        <w:rPr>
          <w:spacing w:val="-9"/>
        </w:rPr>
        <w:t xml:space="preserve"> </w:t>
      </w:r>
      <w:r>
        <w:t>contra</w:t>
      </w:r>
      <w:r>
        <w:rPr>
          <w:spacing w:val="-9"/>
        </w:rPr>
        <w:t xml:space="preserve"> </w:t>
      </w:r>
      <w:r>
        <w:t>las</w:t>
      </w:r>
      <w:r>
        <w:rPr>
          <w:spacing w:val="-9"/>
        </w:rPr>
        <w:t xml:space="preserve"> </w:t>
      </w:r>
      <w:r>
        <w:t>mujeres,</w:t>
      </w:r>
      <w:r>
        <w:rPr>
          <w:spacing w:val="-10"/>
        </w:rPr>
        <w:t xml:space="preserve"> </w:t>
      </w:r>
      <w:r>
        <w:t>incluyendo</w:t>
      </w:r>
      <w:r>
        <w:rPr>
          <w:spacing w:val="-9"/>
        </w:rPr>
        <w:t xml:space="preserve"> </w:t>
      </w:r>
      <w:r>
        <w:t>la</w:t>
      </w:r>
      <w:r>
        <w:rPr>
          <w:spacing w:val="-9"/>
        </w:rPr>
        <w:t xml:space="preserve"> </w:t>
      </w:r>
      <w:r>
        <w:t>violencia sexual, como una forma de imposición patriarcal y de desprecio por los cuerpos y vidas de las mujeres.</w:t>
      </w:r>
    </w:p>
    <w:p w:rsidR="003804AC" w:rsidRDefault="00AF18A5" w:rsidP="003A23C7">
      <w:r>
        <w:t>«Ya</w:t>
      </w:r>
      <w:r>
        <w:rPr>
          <w:spacing w:val="-7"/>
        </w:rPr>
        <w:t xml:space="preserve"> </w:t>
      </w:r>
      <w:r>
        <w:t>mi</w:t>
      </w:r>
      <w:r>
        <w:rPr>
          <w:spacing w:val="-8"/>
        </w:rPr>
        <w:t xml:space="preserve"> </w:t>
      </w:r>
      <w:r>
        <w:t>vida</w:t>
      </w:r>
      <w:r>
        <w:rPr>
          <w:spacing w:val="-8"/>
        </w:rPr>
        <w:t xml:space="preserve"> </w:t>
      </w:r>
      <w:r>
        <w:t>era</w:t>
      </w:r>
      <w:r>
        <w:rPr>
          <w:spacing w:val="-8"/>
        </w:rPr>
        <w:t xml:space="preserve"> </w:t>
      </w:r>
      <w:r>
        <w:t>otra,</w:t>
      </w:r>
      <w:r>
        <w:rPr>
          <w:spacing w:val="-7"/>
        </w:rPr>
        <w:t xml:space="preserve"> </w:t>
      </w:r>
      <w:r>
        <w:t>porque</w:t>
      </w:r>
      <w:r>
        <w:rPr>
          <w:spacing w:val="-7"/>
        </w:rPr>
        <w:t xml:space="preserve"> </w:t>
      </w:r>
      <w:r>
        <w:t>yo</w:t>
      </w:r>
      <w:r>
        <w:rPr>
          <w:spacing w:val="-7"/>
        </w:rPr>
        <w:t xml:space="preserve"> </w:t>
      </w:r>
      <w:r>
        <w:t>ya</w:t>
      </w:r>
      <w:r>
        <w:rPr>
          <w:spacing w:val="-8"/>
        </w:rPr>
        <w:t xml:space="preserve"> </w:t>
      </w:r>
      <w:r>
        <w:t>no</w:t>
      </w:r>
      <w:r>
        <w:rPr>
          <w:spacing w:val="-8"/>
        </w:rPr>
        <w:t xml:space="preserve"> </w:t>
      </w:r>
      <w:r>
        <w:t>me</w:t>
      </w:r>
      <w:r>
        <w:rPr>
          <w:spacing w:val="-8"/>
        </w:rPr>
        <w:t xml:space="preserve"> </w:t>
      </w:r>
      <w:r>
        <w:t>atrevía</w:t>
      </w:r>
      <w:r>
        <w:rPr>
          <w:spacing w:val="-7"/>
        </w:rPr>
        <w:t xml:space="preserve"> </w:t>
      </w:r>
      <w:r>
        <w:t>a</w:t>
      </w:r>
      <w:r>
        <w:rPr>
          <w:spacing w:val="-8"/>
        </w:rPr>
        <w:t xml:space="preserve"> </w:t>
      </w:r>
      <w:r>
        <w:t>regresar</w:t>
      </w:r>
      <w:r>
        <w:rPr>
          <w:spacing w:val="-7"/>
        </w:rPr>
        <w:t xml:space="preserve"> </w:t>
      </w:r>
      <w:r>
        <w:t>[...],</w:t>
      </w:r>
      <w:r>
        <w:rPr>
          <w:spacing w:val="-7"/>
        </w:rPr>
        <w:t xml:space="preserve"> </w:t>
      </w:r>
      <w:r>
        <w:t>o</w:t>
      </w:r>
      <w:r>
        <w:rPr>
          <w:spacing w:val="-7"/>
        </w:rPr>
        <w:t xml:space="preserve"> </w:t>
      </w:r>
      <w:r>
        <w:t>sea,</w:t>
      </w:r>
      <w:r>
        <w:rPr>
          <w:spacing w:val="-7"/>
        </w:rPr>
        <w:t xml:space="preserve"> </w:t>
      </w:r>
      <w:r>
        <w:t>tenía</w:t>
      </w:r>
      <w:r>
        <w:rPr>
          <w:spacing w:val="-8"/>
        </w:rPr>
        <w:t xml:space="preserve"> </w:t>
      </w:r>
      <w:r>
        <w:t>temor</w:t>
      </w:r>
      <w:r>
        <w:rPr>
          <w:spacing w:val="-7"/>
        </w:rPr>
        <w:t xml:space="preserve"> </w:t>
      </w:r>
      <w:r>
        <w:t>porque pensaba que</w:t>
      </w:r>
      <w:r>
        <w:rPr>
          <w:spacing w:val="-1"/>
        </w:rPr>
        <w:t xml:space="preserve"> </w:t>
      </w:r>
      <w:r>
        <w:t>iban a volver a estar ahí, me iban a</w:t>
      </w:r>
      <w:r>
        <w:rPr>
          <w:spacing w:val="-1"/>
        </w:rPr>
        <w:t xml:space="preserve"> </w:t>
      </w:r>
      <w:r>
        <w:t>matar, me iban a hacer algo. Así pasó</w:t>
      </w:r>
      <w:r>
        <w:rPr>
          <w:spacing w:val="-1"/>
        </w:rPr>
        <w:t xml:space="preserve"> </w:t>
      </w:r>
      <w:r>
        <w:t xml:space="preserve">largo tiempo y yo nunca... yo pude haber denunciado, pero yo nunca me atreví a nada. ¿Por qué? </w:t>
      </w:r>
      <w:r>
        <w:lastRenderedPageBreak/>
        <w:t>Porque</w:t>
      </w:r>
      <w:r>
        <w:rPr>
          <w:spacing w:val="-8"/>
        </w:rPr>
        <w:t xml:space="preserve"> </w:t>
      </w:r>
      <w:r>
        <w:t>si</w:t>
      </w:r>
      <w:r>
        <w:rPr>
          <w:spacing w:val="-8"/>
        </w:rPr>
        <w:t xml:space="preserve"> </w:t>
      </w:r>
      <w:r>
        <w:t>una</w:t>
      </w:r>
      <w:r>
        <w:rPr>
          <w:spacing w:val="-8"/>
        </w:rPr>
        <w:t xml:space="preserve"> </w:t>
      </w:r>
      <w:r>
        <w:t>tenía</w:t>
      </w:r>
      <w:r>
        <w:rPr>
          <w:spacing w:val="-9"/>
        </w:rPr>
        <w:t xml:space="preserve"> </w:t>
      </w:r>
      <w:r>
        <w:t>la</w:t>
      </w:r>
      <w:r>
        <w:rPr>
          <w:spacing w:val="-8"/>
        </w:rPr>
        <w:t xml:space="preserve"> </w:t>
      </w:r>
      <w:r>
        <w:t>zozobra</w:t>
      </w:r>
      <w:r>
        <w:rPr>
          <w:spacing w:val="-8"/>
        </w:rPr>
        <w:t xml:space="preserve"> </w:t>
      </w:r>
      <w:r>
        <w:t>y</w:t>
      </w:r>
      <w:r>
        <w:rPr>
          <w:spacing w:val="-8"/>
        </w:rPr>
        <w:t xml:space="preserve"> </w:t>
      </w:r>
      <w:r>
        <w:t>la</w:t>
      </w:r>
      <w:r>
        <w:rPr>
          <w:spacing w:val="-8"/>
        </w:rPr>
        <w:t xml:space="preserve"> </w:t>
      </w:r>
      <w:r>
        <w:t>amenaza</w:t>
      </w:r>
      <w:r>
        <w:rPr>
          <w:spacing w:val="-8"/>
        </w:rPr>
        <w:t xml:space="preserve"> </w:t>
      </w:r>
      <w:r>
        <w:t>de</w:t>
      </w:r>
      <w:r>
        <w:rPr>
          <w:spacing w:val="-8"/>
        </w:rPr>
        <w:t xml:space="preserve"> </w:t>
      </w:r>
      <w:r>
        <w:t>que</w:t>
      </w:r>
      <w:r>
        <w:rPr>
          <w:spacing w:val="-8"/>
        </w:rPr>
        <w:t xml:space="preserve"> </w:t>
      </w:r>
      <w:r>
        <w:t>cada</w:t>
      </w:r>
      <w:r>
        <w:rPr>
          <w:spacing w:val="-8"/>
        </w:rPr>
        <w:t xml:space="preserve"> </w:t>
      </w:r>
      <w:r>
        <w:t>vez</w:t>
      </w:r>
      <w:r>
        <w:rPr>
          <w:spacing w:val="-9"/>
        </w:rPr>
        <w:t xml:space="preserve"> </w:t>
      </w:r>
      <w:r>
        <w:t>que</w:t>
      </w:r>
      <w:r>
        <w:rPr>
          <w:spacing w:val="-8"/>
        </w:rPr>
        <w:t xml:space="preserve"> </w:t>
      </w:r>
      <w:r>
        <w:t>yo...</w:t>
      </w:r>
      <w:r>
        <w:rPr>
          <w:spacing w:val="-8"/>
        </w:rPr>
        <w:t xml:space="preserve"> </w:t>
      </w:r>
      <w:r>
        <w:t>salía</w:t>
      </w:r>
      <w:r>
        <w:rPr>
          <w:spacing w:val="-8"/>
        </w:rPr>
        <w:t xml:space="preserve"> </w:t>
      </w:r>
      <w:r>
        <w:t>para</w:t>
      </w:r>
      <w:r>
        <w:rPr>
          <w:spacing w:val="-8"/>
        </w:rPr>
        <w:t xml:space="preserve"> </w:t>
      </w:r>
      <w:r>
        <w:t>alguna</w:t>
      </w:r>
      <w:r>
        <w:rPr>
          <w:spacing w:val="-8"/>
        </w:rPr>
        <w:t xml:space="preserve"> </w:t>
      </w:r>
      <w:r>
        <w:t>parte, parecía que todas las miradas iban a ser para mí, parecía que me estaban era... señalando, mirando para matarme [...], pero yo nunca dije nada»</w:t>
      </w:r>
      <w:r w:rsidR="00F5576D">
        <w:rPr>
          <w:rStyle w:val="Refdenotaalpie"/>
        </w:rPr>
        <w:footnoteReference w:id="30"/>
      </w:r>
      <w:r>
        <w:t>.</w:t>
      </w:r>
    </w:p>
    <w:p w:rsidR="003804AC" w:rsidRDefault="00AF18A5" w:rsidP="00F5576D">
      <w:r>
        <w:t>El involucramiento en violaciones de derechos humanos masivas se basa tanto en elementos ideológicos (la consideración del otro como un enemigo al que se debe eliminar, con</w:t>
      </w:r>
      <w:r>
        <w:rPr>
          <w:spacing w:val="-6"/>
        </w:rPr>
        <w:t xml:space="preserve"> </w:t>
      </w:r>
      <w:r>
        <w:t>base</w:t>
      </w:r>
      <w:r>
        <w:rPr>
          <w:spacing w:val="-6"/>
        </w:rPr>
        <w:t xml:space="preserve"> </w:t>
      </w:r>
      <w:r>
        <w:t>en</w:t>
      </w:r>
      <w:r>
        <w:rPr>
          <w:spacing w:val="-6"/>
        </w:rPr>
        <w:t xml:space="preserve"> </w:t>
      </w:r>
      <w:r>
        <w:t>una</w:t>
      </w:r>
      <w:r>
        <w:rPr>
          <w:spacing w:val="-6"/>
        </w:rPr>
        <w:t xml:space="preserve"> </w:t>
      </w:r>
      <w:r>
        <w:t>justificación</w:t>
      </w:r>
      <w:r>
        <w:rPr>
          <w:spacing w:val="-6"/>
        </w:rPr>
        <w:t xml:space="preserve"> </w:t>
      </w:r>
      <w:r>
        <w:t>ideológica</w:t>
      </w:r>
      <w:r>
        <w:rPr>
          <w:spacing w:val="-6"/>
        </w:rPr>
        <w:t xml:space="preserve"> </w:t>
      </w:r>
      <w:r>
        <w:t>compartida</w:t>
      </w:r>
      <w:r>
        <w:rPr>
          <w:spacing w:val="-6"/>
        </w:rPr>
        <w:t xml:space="preserve"> </w:t>
      </w:r>
      <w:r>
        <w:t>por</w:t>
      </w:r>
      <w:r>
        <w:rPr>
          <w:spacing w:val="-6"/>
        </w:rPr>
        <w:t xml:space="preserve"> </w:t>
      </w:r>
      <w:r>
        <w:t>la</w:t>
      </w:r>
      <w:r>
        <w:rPr>
          <w:spacing w:val="-6"/>
        </w:rPr>
        <w:t xml:space="preserve"> </w:t>
      </w:r>
      <w:r>
        <w:t>institución,</w:t>
      </w:r>
      <w:r>
        <w:rPr>
          <w:spacing w:val="-6"/>
        </w:rPr>
        <w:t xml:space="preserve"> </w:t>
      </w:r>
      <w:r>
        <w:t>la</w:t>
      </w:r>
      <w:r>
        <w:rPr>
          <w:spacing w:val="-6"/>
        </w:rPr>
        <w:t xml:space="preserve"> </w:t>
      </w:r>
      <w:r>
        <w:t>sociedad</w:t>
      </w:r>
      <w:r>
        <w:rPr>
          <w:spacing w:val="-6"/>
        </w:rPr>
        <w:t xml:space="preserve"> </w:t>
      </w:r>
      <w:r>
        <w:t>o</w:t>
      </w:r>
      <w:r>
        <w:rPr>
          <w:spacing w:val="-6"/>
        </w:rPr>
        <w:t xml:space="preserve"> </w:t>
      </w:r>
      <w:r>
        <w:t>el</w:t>
      </w:r>
      <w:r>
        <w:rPr>
          <w:spacing w:val="-7"/>
        </w:rPr>
        <w:t xml:space="preserve"> </w:t>
      </w:r>
      <w:r>
        <w:t>grupo de referencia), como en mecanismos psicológicos que permiten la disociación y la justificación</w:t>
      </w:r>
      <w:r>
        <w:rPr>
          <w:spacing w:val="-15"/>
        </w:rPr>
        <w:t xml:space="preserve"> </w:t>
      </w:r>
      <w:r>
        <w:t>de</w:t>
      </w:r>
      <w:r>
        <w:rPr>
          <w:spacing w:val="-15"/>
        </w:rPr>
        <w:t xml:space="preserve"> </w:t>
      </w:r>
      <w:r>
        <w:t>la</w:t>
      </w:r>
      <w:r>
        <w:rPr>
          <w:spacing w:val="-15"/>
        </w:rPr>
        <w:t xml:space="preserve"> </w:t>
      </w:r>
      <w:r>
        <w:t>propia</w:t>
      </w:r>
      <w:r>
        <w:rPr>
          <w:spacing w:val="-15"/>
        </w:rPr>
        <w:t xml:space="preserve"> </w:t>
      </w:r>
      <w:r>
        <w:t>conducta,</w:t>
      </w:r>
      <w:r>
        <w:rPr>
          <w:spacing w:val="-15"/>
        </w:rPr>
        <w:t xml:space="preserve"> </w:t>
      </w:r>
      <w:r>
        <w:t>basándose</w:t>
      </w:r>
      <w:r>
        <w:rPr>
          <w:spacing w:val="-15"/>
        </w:rPr>
        <w:t xml:space="preserve"> </w:t>
      </w:r>
      <w:r>
        <w:t>en</w:t>
      </w:r>
      <w:r>
        <w:rPr>
          <w:spacing w:val="-15"/>
        </w:rPr>
        <w:t xml:space="preserve"> </w:t>
      </w:r>
      <w:r>
        <w:t>la</w:t>
      </w:r>
      <w:r>
        <w:rPr>
          <w:spacing w:val="-15"/>
        </w:rPr>
        <w:t xml:space="preserve"> </w:t>
      </w:r>
      <w:r>
        <w:t>obediencia</w:t>
      </w:r>
      <w:r>
        <w:rPr>
          <w:spacing w:val="-15"/>
        </w:rPr>
        <w:t xml:space="preserve"> </w:t>
      </w:r>
      <w:r>
        <w:t>de</w:t>
      </w:r>
      <w:r>
        <w:rPr>
          <w:spacing w:val="-15"/>
        </w:rPr>
        <w:t xml:space="preserve"> </w:t>
      </w:r>
      <w:r>
        <w:t>órdenes,</w:t>
      </w:r>
      <w:r>
        <w:rPr>
          <w:spacing w:val="-15"/>
        </w:rPr>
        <w:t xml:space="preserve"> </w:t>
      </w:r>
      <w:r>
        <w:t>el</w:t>
      </w:r>
      <w:r>
        <w:rPr>
          <w:spacing w:val="-15"/>
        </w:rPr>
        <w:t xml:space="preserve"> </w:t>
      </w:r>
      <w:r>
        <w:t>uso</w:t>
      </w:r>
      <w:r>
        <w:rPr>
          <w:spacing w:val="-15"/>
        </w:rPr>
        <w:t xml:space="preserve"> </w:t>
      </w:r>
      <w:r>
        <w:t>del</w:t>
      </w:r>
      <w:r>
        <w:rPr>
          <w:spacing w:val="-15"/>
        </w:rPr>
        <w:t xml:space="preserve"> </w:t>
      </w:r>
      <w:r>
        <w:t>lenguaje para</w:t>
      </w:r>
      <w:r>
        <w:rPr>
          <w:spacing w:val="16"/>
        </w:rPr>
        <w:t xml:space="preserve"> </w:t>
      </w:r>
      <w:r>
        <w:t>minimizar</w:t>
      </w:r>
      <w:r>
        <w:rPr>
          <w:spacing w:val="16"/>
        </w:rPr>
        <w:t xml:space="preserve"> </w:t>
      </w:r>
      <w:r>
        <w:t>los</w:t>
      </w:r>
      <w:r>
        <w:rPr>
          <w:spacing w:val="16"/>
        </w:rPr>
        <w:t xml:space="preserve"> </w:t>
      </w:r>
      <w:r>
        <w:t>hechos</w:t>
      </w:r>
      <w:r>
        <w:rPr>
          <w:spacing w:val="16"/>
        </w:rPr>
        <w:t xml:space="preserve"> </w:t>
      </w:r>
      <w:r>
        <w:t>(por</w:t>
      </w:r>
      <w:r>
        <w:rPr>
          <w:spacing w:val="16"/>
        </w:rPr>
        <w:t xml:space="preserve"> </w:t>
      </w:r>
      <w:r>
        <w:t>ejemplo,</w:t>
      </w:r>
      <w:r>
        <w:rPr>
          <w:spacing w:val="15"/>
        </w:rPr>
        <w:t xml:space="preserve"> </w:t>
      </w:r>
      <w:r>
        <w:rPr>
          <w:i/>
        </w:rPr>
        <w:t>legalizar</w:t>
      </w:r>
      <w:r>
        <w:rPr>
          <w:i/>
          <w:spacing w:val="16"/>
        </w:rPr>
        <w:t xml:space="preserve"> </w:t>
      </w:r>
      <w:r>
        <w:t>una</w:t>
      </w:r>
      <w:r>
        <w:rPr>
          <w:spacing w:val="16"/>
        </w:rPr>
        <w:t xml:space="preserve"> </w:t>
      </w:r>
      <w:r>
        <w:t>ejecución,</w:t>
      </w:r>
      <w:r>
        <w:rPr>
          <w:spacing w:val="15"/>
        </w:rPr>
        <w:t xml:space="preserve"> </w:t>
      </w:r>
      <w:r>
        <w:t>como</w:t>
      </w:r>
      <w:r>
        <w:rPr>
          <w:spacing w:val="14"/>
        </w:rPr>
        <w:t xml:space="preserve"> </w:t>
      </w:r>
      <w:r>
        <w:t>hacer</w:t>
      </w:r>
      <w:r>
        <w:rPr>
          <w:spacing w:val="16"/>
        </w:rPr>
        <w:t xml:space="preserve"> </w:t>
      </w:r>
      <w:r>
        <w:t>todo</w:t>
      </w:r>
      <w:r>
        <w:rPr>
          <w:spacing w:val="14"/>
        </w:rPr>
        <w:t xml:space="preserve"> </w:t>
      </w:r>
      <w:r>
        <w:t>tipo</w:t>
      </w:r>
      <w:r>
        <w:rPr>
          <w:spacing w:val="16"/>
        </w:rPr>
        <w:t xml:space="preserve"> </w:t>
      </w:r>
      <w:r>
        <w:rPr>
          <w:spacing w:val="-5"/>
        </w:rPr>
        <w:t>de</w:t>
      </w:r>
      <w:bookmarkStart w:id="66" w:name="_bookmark35"/>
      <w:bookmarkEnd w:id="66"/>
      <w:r w:rsidR="00F5576D">
        <w:rPr>
          <w:spacing w:val="-5"/>
        </w:rPr>
        <w:t xml:space="preserve"> </w:t>
      </w:r>
      <w:r>
        <w:t>maniobras para ocultar la realidad de lo sucedido), la consideración moral de un objetivo superior («hay que hacerlo porque estamos limpiando el país de bandidos», «lo más importante es el atentado aunque haya víctimas civiles») o la dilución de la responsabilidad en</w:t>
      </w:r>
      <w:r>
        <w:rPr>
          <w:spacing w:val="-15"/>
        </w:rPr>
        <w:t xml:space="preserve"> </w:t>
      </w:r>
      <w:r>
        <w:t>una</w:t>
      </w:r>
      <w:r>
        <w:rPr>
          <w:spacing w:val="-15"/>
        </w:rPr>
        <w:t xml:space="preserve"> </w:t>
      </w:r>
      <w:r>
        <w:t>cadena</w:t>
      </w:r>
      <w:r>
        <w:rPr>
          <w:spacing w:val="-15"/>
        </w:rPr>
        <w:t xml:space="preserve"> </w:t>
      </w:r>
      <w:r>
        <w:t>de</w:t>
      </w:r>
      <w:r>
        <w:rPr>
          <w:spacing w:val="-15"/>
        </w:rPr>
        <w:t xml:space="preserve"> </w:t>
      </w:r>
      <w:r>
        <w:t>acciones</w:t>
      </w:r>
      <w:r>
        <w:rPr>
          <w:spacing w:val="-14"/>
        </w:rPr>
        <w:t xml:space="preserve"> </w:t>
      </w:r>
      <w:r>
        <w:t>en</w:t>
      </w:r>
      <w:r>
        <w:rPr>
          <w:spacing w:val="-15"/>
        </w:rPr>
        <w:t xml:space="preserve"> </w:t>
      </w:r>
      <w:r>
        <w:t>las</w:t>
      </w:r>
      <w:r>
        <w:rPr>
          <w:spacing w:val="-14"/>
        </w:rPr>
        <w:t xml:space="preserve"> </w:t>
      </w:r>
      <w:r>
        <w:t>que</w:t>
      </w:r>
      <w:r>
        <w:rPr>
          <w:spacing w:val="-15"/>
        </w:rPr>
        <w:t xml:space="preserve"> </w:t>
      </w:r>
      <w:r>
        <w:t>el</w:t>
      </w:r>
      <w:r>
        <w:rPr>
          <w:spacing w:val="-15"/>
        </w:rPr>
        <w:t xml:space="preserve"> </w:t>
      </w:r>
      <w:r>
        <w:t>funcionamiento</w:t>
      </w:r>
      <w:r>
        <w:rPr>
          <w:spacing w:val="-14"/>
        </w:rPr>
        <w:t xml:space="preserve"> </w:t>
      </w:r>
      <w:r>
        <w:t>parcial</w:t>
      </w:r>
      <w:r>
        <w:rPr>
          <w:spacing w:val="-15"/>
        </w:rPr>
        <w:t xml:space="preserve"> </w:t>
      </w:r>
      <w:r>
        <w:t>y</w:t>
      </w:r>
      <w:r>
        <w:rPr>
          <w:spacing w:val="-15"/>
        </w:rPr>
        <w:t xml:space="preserve"> </w:t>
      </w:r>
      <w:r>
        <w:t>la</w:t>
      </w:r>
      <w:r>
        <w:rPr>
          <w:spacing w:val="-15"/>
        </w:rPr>
        <w:t xml:space="preserve"> </w:t>
      </w:r>
      <w:r>
        <w:t>realización</w:t>
      </w:r>
      <w:r>
        <w:rPr>
          <w:spacing w:val="-14"/>
        </w:rPr>
        <w:t xml:space="preserve"> </w:t>
      </w:r>
      <w:r>
        <w:t>de</w:t>
      </w:r>
      <w:r>
        <w:rPr>
          <w:spacing w:val="-15"/>
        </w:rPr>
        <w:t xml:space="preserve"> </w:t>
      </w:r>
      <w:r>
        <w:t>la</w:t>
      </w:r>
      <w:r>
        <w:rPr>
          <w:spacing w:val="-15"/>
        </w:rPr>
        <w:t xml:space="preserve"> </w:t>
      </w:r>
      <w:r>
        <w:t>conducta aumenta la adhesión y lleva a facilitar el involucramiento.</w:t>
      </w:r>
    </w:p>
    <w:p w:rsidR="003804AC" w:rsidRDefault="00AF18A5" w:rsidP="00F5576D">
      <w:r>
        <w:t>«“Mi</w:t>
      </w:r>
      <w:r>
        <w:rPr>
          <w:spacing w:val="-8"/>
        </w:rPr>
        <w:t xml:space="preserve"> </w:t>
      </w:r>
      <w:r>
        <w:t>teniente,</w:t>
      </w:r>
      <w:r>
        <w:rPr>
          <w:spacing w:val="-7"/>
        </w:rPr>
        <w:t xml:space="preserve"> </w:t>
      </w:r>
      <w:r>
        <w:t>usted</w:t>
      </w:r>
      <w:r>
        <w:rPr>
          <w:spacing w:val="-8"/>
        </w:rPr>
        <w:t xml:space="preserve"> </w:t>
      </w:r>
      <w:r>
        <w:t>está</w:t>
      </w:r>
      <w:r>
        <w:rPr>
          <w:spacing w:val="-8"/>
        </w:rPr>
        <w:t xml:space="preserve"> </w:t>
      </w:r>
      <w:r>
        <w:t>muy</w:t>
      </w:r>
      <w:r>
        <w:rPr>
          <w:spacing w:val="-7"/>
        </w:rPr>
        <w:t xml:space="preserve"> </w:t>
      </w:r>
      <w:r>
        <w:t>nuevo,</w:t>
      </w:r>
      <w:r>
        <w:rPr>
          <w:spacing w:val="-8"/>
        </w:rPr>
        <w:t xml:space="preserve"> </w:t>
      </w:r>
      <w:r>
        <w:t>esto</w:t>
      </w:r>
      <w:r>
        <w:rPr>
          <w:spacing w:val="-7"/>
        </w:rPr>
        <w:t xml:space="preserve"> </w:t>
      </w:r>
      <w:r>
        <w:t>no</w:t>
      </w:r>
      <w:r>
        <w:rPr>
          <w:spacing w:val="-8"/>
        </w:rPr>
        <w:t xml:space="preserve"> </w:t>
      </w:r>
      <w:r>
        <w:t>se</w:t>
      </w:r>
      <w:r>
        <w:rPr>
          <w:spacing w:val="-7"/>
        </w:rPr>
        <w:t xml:space="preserve"> </w:t>
      </w:r>
      <w:r>
        <w:t>maneja</w:t>
      </w:r>
      <w:r>
        <w:rPr>
          <w:spacing w:val="-8"/>
        </w:rPr>
        <w:t xml:space="preserve"> </w:t>
      </w:r>
      <w:r>
        <w:t>así,</w:t>
      </w:r>
      <w:r>
        <w:rPr>
          <w:spacing w:val="-8"/>
        </w:rPr>
        <w:t xml:space="preserve"> </w:t>
      </w:r>
      <w:r>
        <w:t>a</w:t>
      </w:r>
      <w:r>
        <w:rPr>
          <w:spacing w:val="-7"/>
        </w:rPr>
        <w:t xml:space="preserve"> </w:t>
      </w:r>
      <w:r>
        <w:t>ese</w:t>
      </w:r>
      <w:r>
        <w:rPr>
          <w:spacing w:val="-7"/>
        </w:rPr>
        <w:t xml:space="preserve"> </w:t>
      </w:r>
      <w:r>
        <w:t>hijueputa</w:t>
      </w:r>
      <w:r>
        <w:rPr>
          <w:spacing w:val="-9"/>
        </w:rPr>
        <w:t xml:space="preserve"> </w:t>
      </w:r>
      <w:r>
        <w:t>toca</w:t>
      </w:r>
      <w:r>
        <w:rPr>
          <w:spacing w:val="-8"/>
        </w:rPr>
        <w:t xml:space="preserve"> </w:t>
      </w:r>
      <w:r>
        <w:t>matarlo”. Entonces yo le dije: “No, pues yo ya reporté que había un herido, una baja, ya mi coronel sabe</w:t>
      </w:r>
      <w:r>
        <w:rPr>
          <w:spacing w:val="-12"/>
        </w:rPr>
        <w:t xml:space="preserve"> </w:t>
      </w:r>
      <w:r>
        <w:t>o</w:t>
      </w:r>
      <w:r>
        <w:rPr>
          <w:spacing w:val="-12"/>
        </w:rPr>
        <w:t xml:space="preserve"> </w:t>
      </w:r>
      <w:r>
        <w:t>algo</w:t>
      </w:r>
      <w:r>
        <w:rPr>
          <w:spacing w:val="-12"/>
        </w:rPr>
        <w:t xml:space="preserve"> </w:t>
      </w:r>
      <w:r>
        <w:t>así”;</w:t>
      </w:r>
      <w:r>
        <w:rPr>
          <w:spacing w:val="-13"/>
        </w:rPr>
        <w:t xml:space="preserve"> </w:t>
      </w:r>
      <w:r>
        <w:t>me</w:t>
      </w:r>
      <w:r>
        <w:rPr>
          <w:spacing w:val="-12"/>
        </w:rPr>
        <w:t xml:space="preserve"> </w:t>
      </w:r>
      <w:r>
        <w:t>dijo:</w:t>
      </w:r>
      <w:r>
        <w:rPr>
          <w:spacing w:val="-13"/>
        </w:rPr>
        <w:t xml:space="preserve"> </w:t>
      </w:r>
      <w:r>
        <w:t>“No,</w:t>
      </w:r>
      <w:r>
        <w:rPr>
          <w:spacing w:val="-12"/>
        </w:rPr>
        <w:t xml:space="preserve"> </w:t>
      </w:r>
      <w:r>
        <w:t>no,</w:t>
      </w:r>
      <w:r>
        <w:rPr>
          <w:spacing w:val="-12"/>
        </w:rPr>
        <w:t xml:space="preserve"> </w:t>
      </w:r>
      <w:r>
        <w:t>no,</w:t>
      </w:r>
      <w:r>
        <w:rPr>
          <w:spacing w:val="-12"/>
        </w:rPr>
        <w:t xml:space="preserve"> </w:t>
      </w:r>
      <w:r>
        <w:t>eso</w:t>
      </w:r>
      <w:r>
        <w:rPr>
          <w:spacing w:val="-12"/>
        </w:rPr>
        <w:t xml:space="preserve"> </w:t>
      </w:r>
      <w:r>
        <w:t>no</w:t>
      </w:r>
      <w:r>
        <w:rPr>
          <w:spacing w:val="-12"/>
        </w:rPr>
        <w:t xml:space="preserve"> </w:t>
      </w:r>
      <w:r>
        <w:t>es</w:t>
      </w:r>
      <w:r>
        <w:rPr>
          <w:spacing w:val="-13"/>
        </w:rPr>
        <w:t xml:space="preserve"> </w:t>
      </w:r>
      <w:r>
        <w:t>así;</w:t>
      </w:r>
      <w:r>
        <w:rPr>
          <w:spacing w:val="-12"/>
        </w:rPr>
        <w:t xml:space="preserve"> </w:t>
      </w:r>
      <w:r>
        <w:t>esos</w:t>
      </w:r>
      <w:r>
        <w:rPr>
          <w:spacing w:val="-12"/>
        </w:rPr>
        <w:t xml:space="preserve"> </w:t>
      </w:r>
      <w:proofErr w:type="spellStart"/>
      <w:r>
        <w:t>hijueputas</w:t>
      </w:r>
      <w:proofErr w:type="spellEnd"/>
      <w:r>
        <w:rPr>
          <w:spacing w:val="-12"/>
        </w:rPr>
        <w:t xml:space="preserve"> </w:t>
      </w:r>
      <w:r>
        <w:t>van,</w:t>
      </w:r>
      <w:r>
        <w:rPr>
          <w:spacing w:val="-13"/>
        </w:rPr>
        <w:t xml:space="preserve"> </w:t>
      </w:r>
      <w:r>
        <w:t>los</w:t>
      </w:r>
      <w:r>
        <w:rPr>
          <w:spacing w:val="-13"/>
        </w:rPr>
        <w:t xml:space="preserve"> </w:t>
      </w:r>
      <w:r>
        <w:t>llevan,</w:t>
      </w:r>
      <w:r>
        <w:rPr>
          <w:spacing w:val="-13"/>
        </w:rPr>
        <w:t xml:space="preserve"> </w:t>
      </w:r>
      <w:r>
        <w:t>los</w:t>
      </w:r>
      <w:r>
        <w:rPr>
          <w:spacing w:val="-13"/>
        </w:rPr>
        <w:t xml:space="preserve"> </w:t>
      </w:r>
      <w:r>
        <w:t>tienen un</w:t>
      </w:r>
      <w:r>
        <w:rPr>
          <w:spacing w:val="-2"/>
        </w:rPr>
        <w:t xml:space="preserve"> </w:t>
      </w:r>
      <w:r>
        <w:t>rato,</w:t>
      </w:r>
      <w:r>
        <w:rPr>
          <w:spacing w:val="-2"/>
        </w:rPr>
        <w:t xml:space="preserve"> </w:t>
      </w:r>
      <w:r>
        <w:t>los</w:t>
      </w:r>
      <w:r>
        <w:rPr>
          <w:spacing w:val="-2"/>
        </w:rPr>
        <w:t xml:space="preserve"> </w:t>
      </w:r>
      <w:r>
        <w:t>recuperan</w:t>
      </w:r>
      <w:r>
        <w:rPr>
          <w:spacing w:val="-2"/>
        </w:rPr>
        <w:t xml:space="preserve"> </w:t>
      </w:r>
      <w:r>
        <w:t>y</w:t>
      </w:r>
      <w:r>
        <w:rPr>
          <w:spacing w:val="-2"/>
        </w:rPr>
        <w:t xml:space="preserve"> </w:t>
      </w:r>
      <w:r>
        <w:t>después</w:t>
      </w:r>
      <w:r>
        <w:rPr>
          <w:spacing w:val="-2"/>
        </w:rPr>
        <w:t xml:space="preserve"> </w:t>
      </w:r>
      <w:r>
        <w:t>vuelven</w:t>
      </w:r>
      <w:r>
        <w:rPr>
          <w:spacing w:val="-2"/>
        </w:rPr>
        <w:t xml:space="preserve"> </w:t>
      </w:r>
      <w:r>
        <w:t>y</w:t>
      </w:r>
      <w:r>
        <w:rPr>
          <w:spacing w:val="-2"/>
        </w:rPr>
        <w:t xml:space="preserve"> </w:t>
      </w:r>
      <w:r>
        <w:t>así</w:t>
      </w:r>
      <w:r>
        <w:rPr>
          <w:spacing w:val="-2"/>
        </w:rPr>
        <w:t xml:space="preserve"> </w:t>
      </w:r>
      <w:r>
        <w:t>mismo</w:t>
      </w:r>
      <w:r>
        <w:rPr>
          <w:spacing w:val="-2"/>
        </w:rPr>
        <w:t xml:space="preserve"> </w:t>
      </w:r>
      <w:r>
        <w:t>nos</w:t>
      </w:r>
      <w:r>
        <w:rPr>
          <w:spacing w:val="-2"/>
        </w:rPr>
        <w:t xml:space="preserve"> </w:t>
      </w:r>
      <w:r>
        <w:t>va</w:t>
      </w:r>
      <w:r>
        <w:rPr>
          <w:spacing w:val="-2"/>
        </w:rPr>
        <w:t xml:space="preserve"> </w:t>
      </w:r>
      <w:r>
        <w:t>a</w:t>
      </w:r>
      <w:r>
        <w:rPr>
          <w:spacing w:val="-2"/>
        </w:rPr>
        <w:t xml:space="preserve"> </w:t>
      </w:r>
      <w:r>
        <w:t>dar</w:t>
      </w:r>
      <w:r>
        <w:rPr>
          <w:spacing w:val="-2"/>
        </w:rPr>
        <w:t xml:space="preserve"> </w:t>
      </w:r>
      <w:r>
        <w:t>plomo</w:t>
      </w:r>
      <w:r>
        <w:rPr>
          <w:spacing w:val="-4"/>
        </w:rPr>
        <w:t xml:space="preserve"> </w:t>
      </w:r>
      <w:r>
        <w:t>más</w:t>
      </w:r>
      <w:r>
        <w:rPr>
          <w:spacing w:val="-2"/>
        </w:rPr>
        <w:t xml:space="preserve"> </w:t>
      </w:r>
      <w:r>
        <w:t>adelante”.</w:t>
      </w:r>
      <w:r>
        <w:rPr>
          <w:spacing w:val="-2"/>
        </w:rPr>
        <w:t xml:space="preserve"> </w:t>
      </w:r>
      <w:r>
        <w:t>Yo me descuidé</w:t>
      </w:r>
      <w:r>
        <w:rPr>
          <w:spacing w:val="-1"/>
        </w:rPr>
        <w:t xml:space="preserve"> </w:t>
      </w:r>
      <w:r>
        <w:t>un momentico o algo</w:t>
      </w:r>
      <w:r>
        <w:rPr>
          <w:spacing w:val="-1"/>
        </w:rPr>
        <w:t xml:space="preserve"> </w:t>
      </w:r>
      <w:r>
        <w:t>mientras</w:t>
      </w:r>
      <w:r>
        <w:rPr>
          <w:spacing w:val="-1"/>
        </w:rPr>
        <w:t xml:space="preserve"> </w:t>
      </w:r>
      <w:r>
        <w:t>yo</w:t>
      </w:r>
      <w:r>
        <w:rPr>
          <w:spacing w:val="-1"/>
        </w:rPr>
        <w:t xml:space="preserve"> </w:t>
      </w:r>
      <w:r>
        <w:t>alistaba</w:t>
      </w:r>
      <w:r>
        <w:rPr>
          <w:spacing w:val="-1"/>
        </w:rPr>
        <w:t xml:space="preserve"> </w:t>
      </w:r>
      <w:r>
        <w:t>el</w:t>
      </w:r>
      <w:r>
        <w:rPr>
          <w:spacing w:val="-1"/>
        </w:rPr>
        <w:t xml:space="preserve"> </w:t>
      </w:r>
      <w:r>
        <w:t>cuento, cuando</w:t>
      </w:r>
      <w:r>
        <w:rPr>
          <w:spacing w:val="-2"/>
        </w:rPr>
        <w:t xml:space="preserve"> </w:t>
      </w:r>
      <w:r>
        <w:t>escuché</w:t>
      </w:r>
      <w:r>
        <w:rPr>
          <w:spacing w:val="-1"/>
        </w:rPr>
        <w:t xml:space="preserve"> </w:t>
      </w:r>
      <w:r>
        <w:t>un</w:t>
      </w:r>
      <w:r>
        <w:rPr>
          <w:spacing w:val="-1"/>
        </w:rPr>
        <w:t xml:space="preserve"> </w:t>
      </w:r>
      <w:r>
        <w:t xml:space="preserve">tiro de fusil. Yo volteé a mirar, “¡qué pasó?”. Cuando “ya, ahora sí reporte dos bajas”, me dijo el </w:t>
      </w:r>
      <w:r>
        <w:lastRenderedPageBreak/>
        <w:t>sargento. Me reservo el nombre del sargento. Ahí me empecé a dar cuenta de cómo se manejaba esta cosa, dijo: “Ya, listo, jefe: dos bajas, murió en combate”. Los soldados callados</w:t>
      </w:r>
      <w:r>
        <w:rPr>
          <w:spacing w:val="-14"/>
        </w:rPr>
        <w:t xml:space="preserve"> </w:t>
      </w:r>
      <w:r>
        <w:t>y</w:t>
      </w:r>
      <w:r>
        <w:rPr>
          <w:spacing w:val="-14"/>
        </w:rPr>
        <w:t xml:space="preserve"> </w:t>
      </w:r>
      <w:r>
        <w:t>todo.</w:t>
      </w:r>
      <w:r>
        <w:rPr>
          <w:spacing w:val="-14"/>
        </w:rPr>
        <w:t xml:space="preserve"> </w:t>
      </w:r>
      <w:r>
        <w:t>Ese</w:t>
      </w:r>
      <w:r>
        <w:rPr>
          <w:spacing w:val="-14"/>
        </w:rPr>
        <w:t xml:space="preserve"> </w:t>
      </w:r>
      <w:r>
        <w:t>sapo</w:t>
      </w:r>
      <w:r>
        <w:rPr>
          <w:spacing w:val="-14"/>
        </w:rPr>
        <w:t xml:space="preserve"> </w:t>
      </w:r>
      <w:r>
        <w:t>me</w:t>
      </w:r>
      <w:r>
        <w:rPr>
          <w:spacing w:val="-14"/>
        </w:rPr>
        <w:t xml:space="preserve"> </w:t>
      </w:r>
      <w:r>
        <w:t>lo</w:t>
      </w:r>
      <w:r>
        <w:rPr>
          <w:spacing w:val="-14"/>
        </w:rPr>
        <w:t xml:space="preserve"> </w:t>
      </w:r>
      <w:r>
        <w:t>tuve</w:t>
      </w:r>
      <w:r>
        <w:rPr>
          <w:spacing w:val="-14"/>
        </w:rPr>
        <w:t xml:space="preserve"> </w:t>
      </w:r>
      <w:r>
        <w:t>que</w:t>
      </w:r>
      <w:r>
        <w:rPr>
          <w:spacing w:val="-14"/>
        </w:rPr>
        <w:t xml:space="preserve"> </w:t>
      </w:r>
      <w:r>
        <w:t>aguantar</w:t>
      </w:r>
      <w:r>
        <w:rPr>
          <w:spacing w:val="-15"/>
        </w:rPr>
        <w:t xml:space="preserve"> </w:t>
      </w:r>
      <w:r>
        <w:t>un</w:t>
      </w:r>
      <w:r>
        <w:rPr>
          <w:spacing w:val="-14"/>
        </w:rPr>
        <w:t xml:space="preserve"> </w:t>
      </w:r>
      <w:r>
        <w:t>tiempo</w:t>
      </w:r>
      <w:r>
        <w:rPr>
          <w:spacing w:val="-14"/>
        </w:rPr>
        <w:t xml:space="preserve"> </w:t>
      </w:r>
      <w:r>
        <w:t>mientras...</w:t>
      </w:r>
      <w:r>
        <w:rPr>
          <w:spacing w:val="-14"/>
        </w:rPr>
        <w:t xml:space="preserve"> </w:t>
      </w:r>
      <w:r>
        <w:t>cuando</w:t>
      </w:r>
      <w:r>
        <w:rPr>
          <w:spacing w:val="-14"/>
        </w:rPr>
        <w:t xml:space="preserve"> </w:t>
      </w:r>
      <w:r>
        <w:t>ya</w:t>
      </w:r>
      <w:r>
        <w:rPr>
          <w:spacing w:val="-14"/>
        </w:rPr>
        <w:t xml:space="preserve"> </w:t>
      </w:r>
      <w:r>
        <w:t>la</w:t>
      </w:r>
      <w:r>
        <w:rPr>
          <w:spacing w:val="-14"/>
        </w:rPr>
        <w:t xml:space="preserve"> </w:t>
      </w:r>
      <w:r>
        <w:t>guerrilla me empezó a matar gente y cosas, ya como que el odio empezó a crecer más y ya me daba como</w:t>
      </w:r>
      <w:r>
        <w:rPr>
          <w:spacing w:val="-7"/>
        </w:rPr>
        <w:t xml:space="preserve"> </w:t>
      </w:r>
      <w:r>
        <w:t>igual,</w:t>
      </w:r>
      <w:r>
        <w:rPr>
          <w:spacing w:val="-8"/>
        </w:rPr>
        <w:t xml:space="preserve"> </w:t>
      </w:r>
      <w:r>
        <w:t>ese</w:t>
      </w:r>
      <w:r>
        <w:rPr>
          <w:spacing w:val="-6"/>
        </w:rPr>
        <w:t xml:space="preserve"> </w:t>
      </w:r>
      <w:r>
        <w:t>es</w:t>
      </w:r>
      <w:r>
        <w:rPr>
          <w:spacing w:val="-7"/>
        </w:rPr>
        <w:t xml:space="preserve"> </w:t>
      </w:r>
      <w:r>
        <w:t>como</w:t>
      </w:r>
      <w:r>
        <w:rPr>
          <w:spacing w:val="-7"/>
        </w:rPr>
        <w:t xml:space="preserve"> </w:t>
      </w:r>
      <w:r>
        <w:t>mi</w:t>
      </w:r>
      <w:r>
        <w:rPr>
          <w:spacing w:val="-6"/>
        </w:rPr>
        <w:t xml:space="preserve"> </w:t>
      </w:r>
      <w:r>
        <w:t>primer,</w:t>
      </w:r>
      <w:r>
        <w:rPr>
          <w:spacing w:val="-7"/>
        </w:rPr>
        <w:t xml:space="preserve"> </w:t>
      </w:r>
      <w:r>
        <w:t>llamémoslo,</w:t>
      </w:r>
      <w:r>
        <w:rPr>
          <w:spacing w:val="-7"/>
        </w:rPr>
        <w:t xml:space="preserve"> </w:t>
      </w:r>
      <w:r>
        <w:t>acto</w:t>
      </w:r>
      <w:r>
        <w:rPr>
          <w:spacing w:val="-7"/>
        </w:rPr>
        <w:t xml:space="preserve"> </w:t>
      </w:r>
      <w:r>
        <w:t>ilegal,</w:t>
      </w:r>
      <w:r>
        <w:rPr>
          <w:spacing w:val="-6"/>
        </w:rPr>
        <w:t xml:space="preserve"> </w:t>
      </w:r>
      <w:r>
        <w:t>porque</w:t>
      </w:r>
      <w:r>
        <w:rPr>
          <w:spacing w:val="-6"/>
        </w:rPr>
        <w:t xml:space="preserve"> </w:t>
      </w:r>
      <w:r>
        <w:t>fue</w:t>
      </w:r>
      <w:r>
        <w:rPr>
          <w:spacing w:val="-7"/>
        </w:rPr>
        <w:t xml:space="preserve"> </w:t>
      </w:r>
      <w:r>
        <w:t>ilegal,</w:t>
      </w:r>
      <w:r>
        <w:rPr>
          <w:spacing w:val="-6"/>
        </w:rPr>
        <w:t xml:space="preserve"> </w:t>
      </w:r>
      <w:r>
        <w:t>o</w:t>
      </w:r>
      <w:r>
        <w:rPr>
          <w:spacing w:val="-7"/>
        </w:rPr>
        <w:t xml:space="preserve"> </w:t>
      </w:r>
      <w:r>
        <w:t>sea,</w:t>
      </w:r>
      <w:r>
        <w:rPr>
          <w:spacing w:val="-7"/>
        </w:rPr>
        <w:t xml:space="preserve"> </w:t>
      </w:r>
      <w:r>
        <w:t>yo</w:t>
      </w:r>
      <w:r>
        <w:rPr>
          <w:spacing w:val="-6"/>
        </w:rPr>
        <w:t xml:space="preserve"> </w:t>
      </w:r>
      <w:r>
        <w:t>debí haber denunciado por homicidio a ese sargento porque de todas maneras él ya estaba indefenso,</w:t>
      </w:r>
      <w:r>
        <w:rPr>
          <w:spacing w:val="-10"/>
        </w:rPr>
        <w:t xml:space="preserve"> </w:t>
      </w:r>
      <w:r>
        <w:t>desarmado,</w:t>
      </w:r>
      <w:r>
        <w:rPr>
          <w:spacing w:val="-10"/>
        </w:rPr>
        <w:t xml:space="preserve"> </w:t>
      </w:r>
      <w:r>
        <w:t>herido,</w:t>
      </w:r>
      <w:r>
        <w:rPr>
          <w:spacing w:val="-10"/>
        </w:rPr>
        <w:t xml:space="preserve"> </w:t>
      </w:r>
      <w:r>
        <w:t>estaba</w:t>
      </w:r>
      <w:r>
        <w:rPr>
          <w:spacing w:val="-11"/>
        </w:rPr>
        <w:t xml:space="preserve"> </w:t>
      </w:r>
      <w:r>
        <w:t>en</w:t>
      </w:r>
      <w:r>
        <w:rPr>
          <w:spacing w:val="-10"/>
        </w:rPr>
        <w:t xml:space="preserve"> </w:t>
      </w:r>
      <w:r>
        <w:t>el</w:t>
      </w:r>
      <w:r>
        <w:rPr>
          <w:spacing w:val="-9"/>
        </w:rPr>
        <w:t xml:space="preserve"> </w:t>
      </w:r>
      <w:r>
        <w:t>piso.</w:t>
      </w:r>
      <w:r>
        <w:rPr>
          <w:spacing w:val="-11"/>
        </w:rPr>
        <w:t xml:space="preserve"> </w:t>
      </w:r>
      <w:r>
        <w:t>Que</w:t>
      </w:r>
      <w:r>
        <w:rPr>
          <w:spacing w:val="-9"/>
        </w:rPr>
        <w:t xml:space="preserve"> </w:t>
      </w:r>
      <w:r>
        <w:t>sí,</w:t>
      </w:r>
      <w:r>
        <w:rPr>
          <w:spacing w:val="-10"/>
        </w:rPr>
        <w:t xml:space="preserve"> </w:t>
      </w:r>
      <w:r>
        <w:t>que</w:t>
      </w:r>
      <w:r>
        <w:rPr>
          <w:spacing w:val="-9"/>
        </w:rPr>
        <w:t xml:space="preserve"> </w:t>
      </w:r>
      <w:r>
        <w:t>ellos</w:t>
      </w:r>
      <w:r>
        <w:rPr>
          <w:spacing w:val="-9"/>
        </w:rPr>
        <w:t xml:space="preserve"> </w:t>
      </w:r>
      <w:r>
        <w:t>nos</w:t>
      </w:r>
      <w:r>
        <w:rPr>
          <w:spacing w:val="-11"/>
        </w:rPr>
        <w:t xml:space="preserve"> </w:t>
      </w:r>
      <w:r>
        <w:t>cogían</w:t>
      </w:r>
      <w:r>
        <w:rPr>
          <w:spacing w:val="-10"/>
        </w:rPr>
        <w:t xml:space="preserve"> </w:t>
      </w:r>
      <w:r>
        <w:t>a</w:t>
      </w:r>
      <w:r>
        <w:rPr>
          <w:spacing w:val="-9"/>
        </w:rPr>
        <w:t xml:space="preserve"> </w:t>
      </w:r>
      <w:r>
        <w:t>nosotros</w:t>
      </w:r>
      <w:r>
        <w:rPr>
          <w:spacing w:val="-9"/>
        </w:rPr>
        <w:t xml:space="preserve"> </w:t>
      </w:r>
      <w:r>
        <w:t>y</w:t>
      </w:r>
      <w:r>
        <w:rPr>
          <w:spacing w:val="-10"/>
        </w:rPr>
        <w:t xml:space="preserve"> </w:t>
      </w:r>
      <w:r>
        <w:t>nos hacían</w:t>
      </w:r>
      <w:r>
        <w:rPr>
          <w:spacing w:val="-6"/>
        </w:rPr>
        <w:t xml:space="preserve"> </w:t>
      </w:r>
      <w:r>
        <w:t>barbaridades,</w:t>
      </w:r>
      <w:r>
        <w:rPr>
          <w:spacing w:val="-7"/>
        </w:rPr>
        <w:t xml:space="preserve"> </w:t>
      </w:r>
      <w:r>
        <w:t>pero</w:t>
      </w:r>
      <w:r>
        <w:rPr>
          <w:spacing w:val="-6"/>
        </w:rPr>
        <w:t xml:space="preserve"> </w:t>
      </w:r>
      <w:r>
        <w:t>pues</w:t>
      </w:r>
      <w:r>
        <w:rPr>
          <w:spacing w:val="-6"/>
        </w:rPr>
        <w:t xml:space="preserve"> </w:t>
      </w:r>
      <w:r>
        <w:t>la</w:t>
      </w:r>
      <w:r>
        <w:rPr>
          <w:spacing w:val="-7"/>
        </w:rPr>
        <w:t xml:space="preserve"> </w:t>
      </w:r>
      <w:r>
        <w:t>ley</w:t>
      </w:r>
      <w:r>
        <w:rPr>
          <w:spacing w:val="-7"/>
        </w:rPr>
        <w:t xml:space="preserve"> </w:t>
      </w:r>
      <w:r>
        <w:t>no</w:t>
      </w:r>
      <w:r>
        <w:rPr>
          <w:spacing w:val="-6"/>
        </w:rPr>
        <w:t xml:space="preserve"> </w:t>
      </w:r>
      <w:r>
        <w:t>nos</w:t>
      </w:r>
      <w:r>
        <w:rPr>
          <w:spacing w:val="-6"/>
        </w:rPr>
        <w:t xml:space="preserve"> </w:t>
      </w:r>
      <w:r>
        <w:t>permitía</w:t>
      </w:r>
      <w:r>
        <w:rPr>
          <w:spacing w:val="-6"/>
        </w:rPr>
        <w:t xml:space="preserve"> </w:t>
      </w:r>
      <w:r>
        <w:t>a</w:t>
      </w:r>
      <w:r>
        <w:rPr>
          <w:spacing w:val="-6"/>
        </w:rPr>
        <w:t xml:space="preserve"> </w:t>
      </w:r>
      <w:r>
        <w:t>nosotros</w:t>
      </w:r>
      <w:r>
        <w:rPr>
          <w:spacing w:val="-6"/>
        </w:rPr>
        <w:t xml:space="preserve"> </w:t>
      </w:r>
      <w:r>
        <w:t>en</w:t>
      </w:r>
      <w:r>
        <w:rPr>
          <w:spacing w:val="-7"/>
        </w:rPr>
        <w:t xml:space="preserve"> </w:t>
      </w:r>
      <w:r>
        <w:t>ese</w:t>
      </w:r>
      <w:r>
        <w:rPr>
          <w:spacing w:val="-7"/>
        </w:rPr>
        <w:t xml:space="preserve"> </w:t>
      </w:r>
      <w:r>
        <w:t>momento</w:t>
      </w:r>
      <w:r>
        <w:rPr>
          <w:spacing w:val="-6"/>
        </w:rPr>
        <w:t xml:space="preserve"> </w:t>
      </w:r>
      <w:r>
        <w:t>ni</w:t>
      </w:r>
      <w:r>
        <w:rPr>
          <w:spacing w:val="-7"/>
        </w:rPr>
        <w:t xml:space="preserve"> </w:t>
      </w:r>
      <w:r>
        <w:t>a</w:t>
      </w:r>
      <w:r>
        <w:rPr>
          <w:spacing w:val="-6"/>
        </w:rPr>
        <w:t xml:space="preserve"> </w:t>
      </w:r>
      <w:r>
        <w:t>ningún colombiano pues quitar la vida así»</w:t>
      </w:r>
      <w:r w:rsidR="00F5576D">
        <w:rPr>
          <w:rStyle w:val="Refdenotaalpie"/>
        </w:rPr>
        <w:footnoteReference w:id="31"/>
      </w:r>
      <w:r>
        <w:t>.</w:t>
      </w:r>
    </w:p>
    <w:p w:rsidR="003804AC" w:rsidRDefault="00AF18A5" w:rsidP="0034140E">
      <w:r>
        <w:t>Por otra parte, el no confrontarse nunca con las consecuencias de las acciones violentas ha</w:t>
      </w:r>
      <w:r>
        <w:rPr>
          <w:spacing w:val="-3"/>
        </w:rPr>
        <w:t xml:space="preserve"> </w:t>
      </w:r>
      <w:r>
        <w:t>sido</w:t>
      </w:r>
      <w:r>
        <w:rPr>
          <w:spacing w:val="-4"/>
        </w:rPr>
        <w:t xml:space="preserve"> </w:t>
      </w:r>
      <w:r>
        <w:t>parte</w:t>
      </w:r>
      <w:r>
        <w:rPr>
          <w:spacing w:val="-5"/>
        </w:rPr>
        <w:t xml:space="preserve"> </w:t>
      </w:r>
      <w:r>
        <w:t>de</w:t>
      </w:r>
      <w:r>
        <w:rPr>
          <w:spacing w:val="-3"/>
        </w:rPr>
        <w:t xml:space="preserve"> </w:t>
      </w:r>
      <w:r>
        <w:t>lo</w:t>
      </w:r>
      <w:r>
        <w:rPr>
          <w:spacing w:val="-4"/>
        </w:rPr>
        <w:t xml:space="preserve"> </w:t>
      </w:r>
      <w:r>
        <w:t>que</w:t>
      </w:r>
      <w:r>
        <w:rPr>
          <w:spacing w:val="-3"/>
        </w:rPr>
        <w:t xml:space="preserve"> </w:t>
      </w:r>
      <w:r>
        <w:t>ha</w:t>
      </w:r>
      <w:r>
        <w:rPr>
          <w:spacing w:val="-5"/>
        </w:rPr>
        <w:t xml:space="preserve"> </w:t>
      </w:r>
      <w:r>
        <w:t>hecho</w:t>
      </w:r>
      <w:r>
        <w:rPr>
          <w:spacing w:val="-4"/>
        </w:rPr>
        <w:t xml:space="preserve"> </w:t>
      </w:r>
      <w:r>
        <w:t>que</w:t>
      </w:r>
      <w:r>
        <w:rPr>
          <w:spacing w:val="-3"/>
        </w:rPr>
        <w:t xml:space="preserve"> </w:t>
      </w:r>
      <w:r>
        <w:t>esa</w:t>
      </w:r>
      <w:r>
        <w:rPr>
          <w:spacing w:val="-3"/>
        </w:rPr>
        <w:t xml:space="preserve"> </w:t>
      </w:r>
      <w:r>
        <w:t>violencia</w:t>
      </w:r>
      <w:r>
        <w:rPr>
          <w:spacing w:val="-5"/>
        </w:rPr>
        <w:t xml:space="preserve"> </w:t>
      </w:r>
      <w:r>
        <w:t>se</w:t>
      </w:r>
      <w:r>
        <w:rPr>
          <w:spacing w:val="-3"/>
        </w:rPr>
        <w:t xml:space="preserve"> </w:t>
      </w:r>
      <w:r>
        <w:t>mantenga.</w:t>
      </w:r>
      <w:r>
        <w:rPr>
          <w:spacing w:val="-4"/>
        </w:rPr>
        <w:t xml:space="preserve"> </w:t>
      </w:r>
      <w:r>
        <w:t>Es</w:t>
      </w:r>
      <w:r>
        <w:rPr>
          <w:spacing w:val="-3"/>
        </w:rPr>
        <w:t xml:space="preserve"> </w:t>
      </w:r>
      <w:r>
        <w:t>así</w:t>
      </w:r>
      <w:r>
        <w:rPr>
          <w:spacing w:val="-3"/>
        </w:rPr>
        <w:t xml:space="preserve"> </w:t>
      </w:r>
      <w:r>
        <w:t>como</w:t>
      </w:r>
      <w:r>
        <w:rPr>
          <w:spacing w:val="-4"/>
        </w:rPr>
        <w:t xml:space="preserve"> </w:t>
      </w:r>
      <w:r>
        <w:t>los</w:t>
      </w:r>
      <w:r>
        <w:rPr>
          <w:spacing w:val="-3"/>
        </w:rPr>
        <w:t xml:space="preserve"> </w:t>
      </w:r>
      <w:r>
        <w:t>procesos</w:t>
      </w:r>
      <w:r>
        <w:rPr>
          <w:spacing w:val="-3"/>
        </w:rPr>
        <w:t xml:space="preserve"> </w:t>
      </w:r>
      <w:r>
        <w:t>de reconocimiento llevados a cabo tanto por la Comisión como por la Justicia Especial para la Paz (JEP), como antes lo habían hecho parcialmente y de forma más privada las audiencias de Justicia y Paz, han permitido que los responsables tengan que confrontar a las víctimas, escuchar</w:t>
      </w:r>
      <w:r>
        <w:rPr>
          <w:spacing w:val="-10"/>
        </w:rPr>
        <w:t xml:space="preserve"> </w:t>
      </w:r>
      <w:r>
        <w:t>sus</w:t>
      </w:r>
      <w:r>
        <w:rPr>
          <w:spacing w:val="-12"/>
        </w:rPr>
        <w:t xml:space="preserve"> </w:t>
      </w:r>
      <w:r>
        <w:t>testimonios</w:t>
      </w:r>
      <w:r>
        <w:rPr>
          <w:spacing w:val="-12"/>
        </w:rPr>
        <w:t xml:space="preserve"> </w:t>
      </w:r>
      <w:r>
        <w:t>y</w:t>
      </w:r>
      <w:r>
        <w:rPr>
          <w:spacing w:val="-11"/>
        </w:rPr>
        <w:t xml:space="preserve"> </w:t>
      </w:r>
      <w:r>
        <w:t>tomar</w:t>
      </w:r>
      <w:r>
        <w:rPr>
          <w:spacing w:val="-10"/>
        </w:rPr>
        <w:t xml:space="preserve"> </w:t>
      </w:r>
      <w:r>
        <w:t>conciencia</w:t>
      </w:r>
      <w:r>
        <w:rPr>
          <w:spacing w:val="-10"/>
        </w:rPr>
        <w:t xml:space="preserve"> </w:t>
      </w:r>
      <w:r>
        <w:t>del</w:t>
      </w:r>
      <w:r>
        <w:rPr>
          <w:spacing w:val="-11"/>
        </w:rPr>
        <w:t xml:space="preserve"> </w:t>
      </w:r>
      <w:r>
        <w:t>sufrimiento</w:t>
      </w:r>
      <w:r>
        <w:rPr>
          <w:spacing w:val="-11"/>
        </w:rPr>
        <w:t xml:space="preserve"> </w:t>
      </w:r>
      <w:r>
        <w:t>provocado,</w:t>
      </w:r>
      <w:r>
        <w:rPr>
          <w:spacing w:val="-11"/>
        </w:rPr>
        <w:t xml:space="preserve"> </w:t>
      </w:r>
      <w:r>
        <w:t>lo</w:t>
      </w:r>
      <w:r>
        <w:rPr>
          <w:spacing w:val="-12"/>
        </w:rPr>
        <w:t xml:space="preserve"> </w:t>
      </w:r>
      <w:r>
        <w:t>cual</w:t>
      </w:r>
      <w:r>
        <w:rPr>
          <w:spacing w:val="-10"/>
        </w:rPr>
        <w:t xml:space="preserve"> </w:t>
      </w:r>
      <w:r>
        <w:t>se</w:t>
      </w:r>
      <w:r>
        <w:rPr>
          <w:spacing w:val="-12"/>
        </w:rPr>
        <w:t xml:space="preserve"> </w:t>
      </w:r>
      <w:r>
        <w:t>constituye en</w:t>
      </w:r>
      <w:r>
        <w:rPr>
          <w:spacing w:val="40"/>
        </w:rPr>
        <w:t xml:space="preserve"> </w:t>
      </w:r>
      <w:r>
        <w:t>claros</w:t>
      </w:r>
      <w:r>
        <w:rPr>
          <w:spacing w:val="42"/>
        </w:rPr>
        <w:t xml:space="preserve"> </w:t>
      </w:r>
      <w:r>
        <w:t>factores</w:t>
      </w:r>
      <w:r>
        <w:rPr>
          <w:spacing w:val="42"/>
        </w:rPr>
        <w:t xml:space="preserve"> </w:t>
      </w:r>
      <w:r>
        <w:t>de</w:t>
      </w:r>
      <w:r>
        <w:rPr>
          <w:spacing w:val="42"/>
        </w:rPr>
        <w:t xml:space="preserve"> </w:t>
      </w:r>
      <w:r>
        <w:t>humanización</w:t>
      </w:r>
      <w:r>
        <w:rPr>
          <w:spacing w:val="42"/>
        </w:rPr>
        <w:t xml:space="preserve"> </w:t>
      </w:r>
      <w:r>
        <w:t>y</w:t>
      </w:r>
      <w:r>
        <w:rPr>
          <w:spacing w:val="42"/>
        </w:rPr>
        <w:t xml:space="preserve"> </w:t>
      </w:r>
      <w:r>
        <w:t>de</w:t>
      </w:r>
      <w:r>
        <w:rPr>
          <w:spacing w:val="42"/>
        </w:rPr>
        <w:t xml:space="preserve"> </w:t>
      </w:r>
      <w:r>
        <w:t>cuestionamiento</w:t>
      </w:r>
      <w:r>
        <w:rPr>
          <w:spacing w:val="41"/>
        </w:rPr>
        <w:t xml:space="preserve"> </w:t>
      </w:r>
      <w:r>
        <w:t>de</w:t>
      </w:r>
      <w:r>
        <w:rPr>
          <w:spacing w:val="42"/>
        </w:rPr>
        <w:t xml:space="preserve"> </w:t>
      </w:r>
      <w:r>
        <w:t>la</w:t>
      </w:r>
      <w:r>
        <w:rPr>
          <w:spacing w:val="43"/>
        </w:rPr>
        <w:t xml:space="preserve"> </w:t>
      </w:r>
      <w:r>
        <w:t>guerra,</w:t>
      </w:r>
      <w:r>
        <w:rPr>
          <w:spacing w:val="42"/>
        </w:rPr>
        <w:t xml:space="preserve"> </w:t>
      </w:r>
      <w:r>
        <w:t>así</w:t>
      </w:r>
      <w:r>
        <w:rPr>
          <w:spacing w:val="42"/>
        </w:rPr>
        <w:t xml:space="preserve"> </w:t>
      </w:r>
      <w:r>
        <w:t>como</w:t>
      </w:r>
      <w:r>
        <w:rPr>
          <w:spacing w:val="41"/>
        </w:rPr>
        <w:t xml:space="preserve"> </w:t>
      </w:r>
      <w:r>
        <w:t>en</w:t>
      </w:r>
      <w:r>
        <w:rPr>
          <w:spacing w:val="43"/>
        </w:rPr>
        <w:t xml:space="preserve"> </w:t>
      </w:r>
      <w:r>
        <w:rPr>
          <w:spacing w:val="-5"/>
        </w:rPr>
        <w:t>un</w:t>
      </w:r>
      <w:bookmarkStart w:id="67" w:name="_bookmark36"/>
      <w:bookmarkEnd w:id="67"/>
      <w:r w:rsidR="0034140E">
        <w:rPr>
          <w:spacing w:val="-5"/>
        </w:rPr>
        <w:t xml:space="preserve"> </w:t>
      </w:r>
      <w:r>
        <w:t>mecanismo potente para asumir sus responsabilidades. También muestra que solo después, cuando</w:t>
      </w:r>
      <w:r>
        <w:rPr>
          <w:spacing w:val="-11"/>
        </w:rPr>
        <w:t xml:space="preserve"> </w:t>
      </w:r>
      <w:r>
        <w:t>se</w:t>
      </w:r>
      <w:r>
        <w:rPr>
          <w:spacing w:val="-11"/>
        </w:rPr>
        <w:t xml:space="preserve"> </w:t>
      </w:r>
      <w:r>
        <w:t>sale</w:t>
      </w:r>
      <w:r>
        <w:rPr>
          <w:spacing w:val="-11"/>
        </w:rPr>
        <w:t xml:space="preserve"> </w:t>
      </w:r>
      <w:r>
        <w:t>de</w:t>
      </w:r>
      <w:r>
        <w:rPr>
          <w:spacing w:val="-11"/>
        </w:rPr>
        <w:t xml:space="preserve"> </w:t>
      </w:r>
      <w:r>
        <w:t>la</w:t>
      </w:r>
      <w:r>
        <w:rPr>
          <w:spacing w:val="-11"/>
        </w:rPr>
        <w:t xml:space="preserve"> </w:t>
      </w:r>
      <w:r>
        <w:t>guerra,</w:t>
      </w:r>
      <w:r>
        <w:rPr>
          <w:spacing w:val="-11"/>
        </w:rPr>
        <w:t xml:space="preserve"> </w:t>
      </w:r>
      <w:r>
        <w:t>se</w:t>
      </w:r>
      <w:r>
        <w:rPr>
          <w:spacing w:val="-11"/>
        </w:rPr>
        <w:t xml:space="preserve"> </w:t>
      </w:r>
      <w:r>
        <w:t>pueden</w:t>
      </w:r>
      <w:r>
        <w:rPr>
          <w:spacing w:val="-11"/>
        </w:rPr>
        <w:t xml:space="preserve"> </w:t>
      </w:r>
      <w:r>
        <w:t>ver</w:t>
      </w:r>
      <w:r>
        <w:rPr>
          <w:spacing w:val="-10"/>
        </w:rPr>
        <w:t xml:space="preserve"> </w:t>
      </w:r>
      <w:r>
        <w:t>y</w:t>
      </w:r>
      <w:r>
        <w:rPr>
          <w:spacing w:val="-11"/>
        </w:rPr>
        <w:t xml:space="preserve"> </w:t>
      </w:r>
      <w:r>
        <w:t>asumir</w:t>
      </w:r>
      <w:r>
        <w:rPr>
          <w:spacing w:val="-10"/>
        </w:rPr>
        <w:t xml:space="preserve"> </w:t>
      </w:r>
      <w:r>
        <w:t>responsabilidades</w:t>
      </w:r>
      <w:r>
        <w:rPr>
          <w:spacing w:val="-11"/>
        </w:rPr>
        <w:t xml:space="preserve"> </w:t>
      </w:r>
      <w:r>
        <w:t>personales</w:t>
      </w:r>
      <w:r>
        <w:rPr>
          <w:spacing w:val="-11"/>
        </w:rPr>
        <w:t xml:space="preserve"> </w:t>
      </w:r>
      <w:r>
        <w:t>y</w:t>
      </w:r>
      <w:r>
        <w:rPr>
          <w:spacing w:val="-11"/>
        </w:rPr>
        <w:t xml:space="preserve"> </w:t>
      </w:r>
      <w:r>
        <w:t>colectivas sobre crímenes que, mientras se estaba en ella era «naturales» o se consideraban actos heroicos premiados.</w:t>
      </w:r>
    </w:p>
    <w:p w:rsidR="003804AC" w:rsidRDefault="00AF18A5" w:rsidP="0034140E">
      <w:r>
        <w:t xml:space="preserve">«Cuando el paramilitarismo empezó, nosotros vimos al paramilitarismo </w:t>
      </w:r>
      <w:r>
        <w:lastRenderedPageBreak/>
        <w:t>como una salvación, como una solución, donde ellos iban a hacer la parte sucia y nosotros íbamos a estar atentos a que ellos eliminaran lo que nosotros no podíamos hacer»</w:t>
      </w:r>
      <w:r w:rsidR="0034140E">
        <w:rPr>
          <w:rStyle w:val="Refdenotaalpie"/>
        </w:rPr>
        <w:footnoteReference w:id="32"/>
      </w:r>
      <w:r>
        <w:t>.</w:t>
      </w:r>
    </w:p>
    <w:p w:rsidR="003804AC" w:rsidRDefault="00AF18A5" w:rsidP="0034140E">
      <w:r>
        <w:t>Algunos</w:t>
      </w:r>
      <w:r>
        <w:rPr>
          <w:spacing w:val="-7"/>
        </w:rPr>
        <w:t xml:space="preserve"> </w:t>
      </w:r>
      <w:r>
        <w:t>de</w:t>
      </w:r>
      <w:r>
        <w:rPr>
          <w:spacing w:val="-8"/>
        </w:rPr>
        <w:t xml:space="preserve"> </w:t>
      </w:r>
      <w:r>
        <w:t>los</w:t>
      </w:r>
      <w:r>
        <w:rPr>
          <w:spacing w:val="-7"/>
        </w:rPr>
        <w:t xml:space="preserve"> </w:t>
      </w:r>
      <w:r>
        <w:t>procesos</w:t>
      </w:r>
      <w:r>
        <w:rPr>
          <w:spacing w:val="-8"/>
        </w:rPr>
        <w:t xml:space="preserve"> </w:t>
      </w:r>
      <w:r>
        <w:t>de</w:t>
      </w:r>
      <w:r>
        <w:rPr>
          <w:spacing w:val="-7"/>
        </w:rPr>
        <w:t xml:space="preserve"> </w:t>
      </w:r>
      <w:r>
        <w:t>reconocimiento</w:t>
      </w:r>
      <w:r>
        <w:rPr>
          <w:spacing w:val="-7"/>
        </w:rPr>
        <w:t xml:space="preserve"> </w:t>
      </w:r>
      <w:r>
        <w:t>llevados</w:t>
      </w:r>
      <w:r>
        <w:rPr>
          <w:spacing w:val="-7"/>
        </w:rPr>
        <w:t xml:space="preserve"> </w:t>
      </w:r>
      <w:r>
        <w:t>a</w:t>
      </w:r>
      <w:r>
        <w:rPr>
          <w:spacing w:val="-7"/>
        </w:rPr>
        <w:t xml:space="preserve"> </w:t>
      </w:r>
      <w:r>
        <w:t>cabo</w:t>
      </w:r>
      <w:r>
        <w:rPr>
          <w:spacing w:val="-7"/>
        </w:rPr>
        <w:t xml:space="preserve"> </w:t>
      </w:r>
      <w:r>
        <w:t>por</w:t>
      </w:r>
      <w:r>
        <w:rPr>
          <w:spacing w:val="-7"/>
        </w:rPr>
        <w:t xml:space="preserve"> </w:t>
      </w:r>
      <w:r>
        <w:t>la</w:t>
      </w:r>
      <w:r>
        <w:rPr>
          <w:spacing w:val="-8"/>
        </w:rPr>
        <w:t xml:space="preserve"> </w:t>
      </w:r>
      <w:r>
        <w:t>Comisión</w:t>
      </w:r>
      <w:r>
        <w:rPr>
          <w:spacing w:val="-7"/>
        </w:rPr>
        <w:t xml:space="preserve"> </w:t>
      </w:r>
      <w:r>
        <w:t>de</w:t>
      </w:r>
      <w:r>
        <w:rPr>
          <w:spacing w:val="-7"/>
        </w:rPr>
        <w:t xml:space="preserve"> </w:t>
      </w:r>
      <w:r>
        <w:t>la</w:t>
      </w:r>
      <w:r>
        <w:rPr>
          <w:spacing w:val="-7"/>
        </w:rPr>
        <w:t xml:space="preserve"> </w:t>
      </w:r>
      <w:r>
        <w:t>Verdad han proporcionado una evaluación crítica de los responsables, que es también una lección para la sociedad.</w:t>
      </w:r>
    </w:p>
    <w:p w:rsidR="003804AC" w:rsidRDefault="00AF18A5" w:rsidP="0034140E">
      <w:r>
        <w:t>«Tanto</w:t>
      </w:r>
      <w:r>
        <w:rPr>
          <w:spacing w:val="-7"/>
        </w:rPr>
        <w:t xml:space="preserve"> </w:t>
      </w:r>
      <w:r>
        <w:t>así,</w:t>
      </w:r>
      <w:r>
        <w:rPr>
          <w:spacing w:val="-8"/>
        </w:rPr>
        <w:t xml:space="preserve"> </w:t>
      </w:r>
      <w:r>
        <w:t>que</w:t>
      </w:r>
      <w:r>
        <w:rPr>
          <w:spacing w:val="-7"/>
        </w:rPr>
        <w:t xml:space="preserve"> </w:t>
      </w:r>
      <w:r>
        <w:t>con</w:t>
      </w:r>
      <w:r>
        <w:rPr>
          <w:spacing w:val="-7"/>
        </w:rPr>
        <w:t xml:space="preserve"> </w:t>
      </w:r>
      <w:r>
        <w:t>la</w:t>
      </w:r>
      <w:r>
        <w:rPr>
          <w:spacing w:val="-7"/>
        </w:rPr>
        <w:t xml:space="preserve"> </w:t>
      </w:r>
      <w:r>
        <w:t>toma</w:t>
      </w:r>
      <w:r>
        <w:rPr>
          <w:spacing w:val="-7"/>
        </w:rPr>
        <w:t xml:space="preserve"> </w:t>
      </w:r>
      <w:r>
        <w:t>guerrillera</w:t>
      </w:r>
      <w:r>
        <w:rPr>
          <w:spacing w:val="-7"/>
        </w:rPr>
        <w:t xml:space="preserve"> </w:t>
      </w:r>
      <w:r>
        <w:t>terminamos</w:t>
      </w:r>
      <w:r>
        <w:rPr>
          <w:spacing w:val="-7"/>
        </w:rPr>
        <w:t xml:space="preserve"> </w:t>
      </w:r>
      <w:r>
        <w:t>afectando</w:t>
      </w:r>
      <w:r>
        <w:rPr>
          <w:spacing w:val="-8"/>
        </w:rPr>
        <w:t xml:space="preserve"> </w:t>
      </w:r>
      <w:r>
        <w:t>las</w:t>
      </w:r>
      <w:r>
        <w:rPr>
          <w:spacing w:val="-8"/>
        </w:rPr>
        <w:t xml:space="preserve"> </w:t>
      </w:r>
      <w:r>
        <w:t>construcciones</w:t>
      </w:r>
      <w:r>
        <w:rPr>
          <w:spacing w:val="-8"/>
        </w:rPr>
        <w:t xml:space="preserve"> </w:t>
      </w:r>
      <w:r>
        <w:t>aledañas a la estación de policía, e inmerso en ello la economía de su gente, dejando destruidos en medio</w:t>
      </w:r>
      <w:r>
        <w:rPr>
          <w:spacing w:val="-12"/>
        </w:rPr>
        <w:t xml:space="preserve"> </w:t>
      </w:r>
      <w:r>
        <w:t>del</w:t>
      </w:r>
      <w:r>
        <w:rPr>
          <w:spacing w:val="-11"/>
        </w:rPr>
        <w:t xml:space="preserve"> </w:t>
      </w:r>
      <w:r>
        <w:t>fuego</w:t>
      </w:r>
      <w:r>
        <w:rPr>
          <w:spacing w:val="-12"/>
        </w:rPr>
        <w:t xml:space="preserve"> </w:t>
      </w:r>
      <w:r>
        <w:t>cruzado</w:t>
      </w:r>
      <w:r>
        <w:rPr>
          <w:spacing w:val="-12"/>
        </w:rPr>
        <w:t xml:space="preserve"> </w:t>
      </w:r>
      <w:r>
        <w:t>los</w:t>
      </w:r>
      <w:r>
        <w:rPr>
          <w:spacing w:val="-12"/>
        </w:rPr>
        <w:t xml:space="preserve"> </w:t>
      </w:r>
      <w:r>
        <w:t>establecimientos</w:t>
      </w:r>
      <w:r>
        <w:rPr>
          <w:spacing w:val="-12"/>
        </w:rPr>
        <w:t xml:space="preserve"> </w:t>
      </w:r>
      <w:r>
        <w:t>comerciales</w:t>
      </w:r>
      <w:r>
        <w:rPr>
          <w:spacing w:val="-12"/>
        </w:rPr>
        <w:t xml:space="preserve"> </w:t>
      </w:r>
      <w:r>
        <w:t>que</w:t>
      </w:r>
      <w:r>
        <w:rPr>
          <w:spacing w:val="-12"/>
        </w:rPr>
        <w:t xml:space="preserve"> </w:t>
      </w:r>
      <w:r>
        <w:t>impidieron</w:t>
      </w:r>
      <w:r>
        <w:rPr>
          <w:spacing w:val="-12"/>
        </w:rPr>
        <w:t xml:space="preserve"> </w:t>
      </w:r>
      <w:r>
        <w:t>por</w:t>
      </w:r>
      <w:r>
        <w:rPr>
          <w:spacing w:val="-12"/>
        </w:rPr>
        <w:t xml:space="preserve"> </w:t>
      </w:r>
      <w:r>
        <w:t>mucho</w:t>
      </w:r>
      <w:r>
        <w:rPr>
          <w:spacing w:val="-12"/>
        </w:rPr>
        <w:t xml:space="preserve"> </w:t>
      </w:r>
      <w:r>
        <w:t>tiempo que sus dueños ejercieran sus actividades de venta como lo hacían antes de ello siendo esto la fuente de sus ingresos; de paso, afectamos a las mujeres que se dedicaban a la venta de pasteles en lo cual centraban todos sus esfuerzos, ponían su esmero y dedicación buscando cubrir</w:t>
      </w:r>
      <w:r>
        <w:rPr>
          <w:spacing w:val="-1"/>
        </w:rPr>
        <w:t xml:space="preserve"> </w:t>
      </w:r>
      <w:r>
        <w:t>las necesidades de</w:t>
      </w:r>
      <w:r>
        <w:rPr>
          <w:spacing w:val="-1"/>
        </w:rPr>
        <w:t xml:space="preserve"> </w:t>
      </w:r>
      <w:r>
        <w:t>sus hijos y familias, eran ejemplo de pujanza y</w:t>
      </w:r>
      <w:r>
        <w:rPr>
          <w:spacing w:val="-1"/>
        </w:rPr>
        <w:t xml:space="preserve"> </w:t>
      </w:r>
      <w:r>
        <w:t>sacrificio entre sus pobladores. Reconocemos una vez más las afectaciones ocasionadas al municipio en este actuar desmedido, y que trajeron efectos económicos graves y difíciles de reconstruir para sus pobladores y comerciantes, que generan recuerdos de tristeza y dolor en sus habitantes que persisten hasta hoy pasados ya casi 22 años de aquel agosto del año 2000»</w:t>
      </w:r>
      <w:r w:rsidR="0034140E">
        <w:rPr>
          <w:rStyle w:val="Refdenotaalpie"/>
        </w:rPr>
        <w:footnoteReference w:id="33"/>
      </w:r>
      <w:r>
        <w:t>.</w:t>
      </w:r>
    </w:p>
    <w:p w:rsidR="0011361F" w:rsidRPr="0034140E" w:rsidRDefault="00AF18A5" w:rsidP="004A6EF4">
      <w:pPr>
        <w:pStyle w:val="Ttulo3"/>
        <w:numPr>
          <w:ilvl w:val="2"/>
          <w:numId w:val="18"/>
        </w:numPr>
      </w:pPr>
      <w:bookmarkStart w:id="68" w:name="1.3.8._El_impacto_de_la_afectación_en_la"/>
      <w:bookmarkStart w:id="69" w:name="_Toc112399537"/>
      <w:bookmarkEnd w:id="68"/>
      <w:r w:rsidRPr="0034140E">
        <w:t>El impacto de la afectación en la naturaleza</w:t>
      </w:r>
      <w:bookmarkEnd w:id="69"/>
    </w:p>
    <w:p w:rsidR="003804AC" w:rsidRDefault="00AF18A5" w:rsidP="0034140E">
      <w:r>
        <w:t xml:space="preserve">La guerra también ha afectado a la naturaleza y su relación con las </w:t>
      </w:r>
      <w:r>
        <w:lastRenderedPageBreak/>
        <w:t>comunidades. Ríos que fueron</w:t>
      </w:r>
      <w:r>
        <w:rPr>
          <w:spacing w:val="2"/>
        </w:rPr>
        <w:t xml:space="preserve"> </w:t>
      </w:r>
      <w:r>
        <w:t>convertidos</w:t>
      </w:r>
      <w:r>
        <w:rPr>
          <w:spacing w:val="4"/>
        </w:rPr>
        <w:t xml:space="preserve"> </w:t>
      </w:r>
      <w:r>
        <w:t>en</w:t>
      </w:r>
      <w:r>
        <w:rPr>
          <w:spacing w:val="3"/>
        </w:rPr>
        <w:t xml:space="preserve"> </w:t>
      </w:r>
      <w:r>
        <w:t>fosas</w:t>
      </w:r>
      <w:r>
        <w:rPr>
          <w:spacing w:val="4"/>
        </w:rPr>
        <w:t xml:space="preserve"> </w:t>
      </w:r>
      <w:r>
        <w:t>comunes</w:t>
      </w:r>
      <w:r>
        <w:rPr>
          <w:spacing w:val="2"/>
        </w:rPr>
        <w:t xml:space="preserve"> </w:t>
      </w:r>
      <w:r>
        <w:t>o</w:t>
      </w:r>
      <w:r>
        <w:rPr>
          <w:spacing w:val="3"/>
        </w:rPr>
        <w:t xml:space="preserve"> </w:t>
      </w:r>
      <w:r>
        <w:t>escenarios</w:t>
      </w:r>
      <w:r>
        <w:rPr>
          <w:spacing w:val="4"/>
        </w:rPr>
        <w:t xml:space="preserve"> </w:t>
      </w:r>
      <w:r>
        <w:t>de</w:t>
      </w:r>
      <w:r>
        <w:rPr>
          <w:spacing w:val="4"/>
        </w:rPr>
        <w:t xml:space="preserve"> </w:t>
      </w:r>
      <w:r>
        <w:t>terror,</w:t>
      </w:r>
      <w:r>
        <w:rPr>
          <w:spacing w:val="3"/>
        </w:rPr>
        <w:t xml:space="preserve"> </w:t>
      </w:r>
      <w:r>
        <w:t>donde</w:t>
      </w:r>
      <w:r>
        <w:rPr>
          <w:spacing w:val="4"/>
        </w:rPr>
        <w:t xml:space="preserve"> </w:t>
      </w:r>
      <w:r>
        <w:t>los</w:t>
      </w:r>
      <w:r>
        <w:rPr>
          <w:spacing w:val="4"/>
        </w:rPr>
        <w:t xml:space="preserve"> </w:t>
      </w:r>
      <w:r>
        <w:t>armados</w:t>
      </w:r>
      <w:r>
        <w:rPr>
          <w:spacing w:val="4"/>
        </w:rPr>
        <w:t xml:space="preserve"> </w:t>
      </w:r>
      <w:r>
        <w:rPr>
          <w:spacing w:val="-2"/>
        </w:rPr>
        <w:t>prohibieron</w:t>
      </w:r>
      <w:bookmarkStart w:id="70" w:name="_bookmark37"/>
      <w:bookmarkStart w:id="71" w:name="_bookmark38"/>
      <w:bookmarkEnd w:id="70"/>
      <w:bookmarkEnd w:id="71"/>
      <w:r w:rsidR="0034140E">
        <w:t xml:space="preserve"> </w:t>
      </w:r>
      <w:r>
        <w:t>recoger</w:t>
      </w:r>
      <w:r>
        <w:rPr>
          <w:spacing w:val="-15"/>
        </w:rPr>
        <w:t xml:space="preserve"> </w:t>
      </w:r>
      <w:r>
        <w:t>los</w:t>
      </w:r>
      <w:r>
        <w:rPr>
          <w:spacing w:val="-15"/>
        </w:rPr>
        <w:t xml:space="preserve"> </w:t>
      </w:r>
      <w:r>
        <w:t>cuerpos</w:t>
      </w:r>
      <w:r>
        <w:rPr>
          <w:spacing w:val="-14"/>
        </w:rPr>
        <w:t xml:space="preserve"> </w:t>
      </w:r>
      <w:r>
        <w:t>que</w:t>
      </w:r>
      <w:r>
        <w:rPr>
          <w:spacing w:val="-15"/>
        </w:rPr>
        <w:t xml:space="preserve"> </w:t>
      </w:r>
      <w:r>
        <w:t>fueron</w:t>
      </w:r>
      <w:r>
        <w:rPr>
          <w:spacing w:val="-14"/>
        </w:rPr>
        <w:t xml:space="preserve"> </w:t>
      </w:r>
      <w:r>
        <w:t>arrojados</w:t>
      </w:r>
      <w:r>
        <w:rPr>
          <w:spacing w:val="-15"/>
        </w:rPr>
        <w:t xml:space="preserve"> </w:t>
      </w:r>
      <w:r>
        <w:t>a</w:t>
      </w:r>
      <w:r>
        <w:rPr>
          <w:spacing w:val="-14"/>
        </w:rPr>
        <w:t xml:space="preserve"> </w:t>
      </w:r>
      <w:r>
        <w:t>ellos,</w:t>
      </w:r>
      <w:r>
        <w:rPr>
          <w:spacing w:val="-15"/>
        </w:rPr>
        <w:t xml:space="preserve"> </w:t>
      </w:r>
      <w:r>
        <w:t>por</w:t>
      </w:r>
      <w:r>
        <w:rPr>
          <w:spacing w:val="-14"/>
        </w:rPr>
        <w:t xml:space="preserve"> </w:t>
      </w:r>
      <w:r>
        <w:t>ejemplo,</w:t>
      </w:r>
      <w:r>
        <w:rPr>
          <w:spacing w:val="-15"/>
        </w:rPr>
        <w:t xml:space="preserve"> </w:t>
      </w:r>
      <w:r>
        <w:t>el</w:t>
      </w:r>
      <w:r>
        <w:rPr>
          <w:spacing w:val="-15"/>
        </w:rPr>
        <w:t xml:space="preserve"> </w:t>
      </w:r>
      <w:r>
        <w:t>Sumapaz,</w:t>
      </w:r>
      <w:r>
        <w:rPr>
          <w:spacing w:val="-14"/>
        </w:rPr>
        <w:t xml:space="preserve"> </w:t>
      </w:r>
      <w:r>
        <w:t>el</w:t>
      </w:r>
      <w:r>
        <w:rPr>
          <w:spacing w:val="-15"/>
        </w:rPr>
        <w:t xml:space="preserve"> </w:t>
      </w:r>
      <w:r>
        <w:t>canal</w:t>
      </w:r>
      <w:r>
        <w:rPr>
          <w:spacing w:val="-14"/>
        </w:rPr>
        <w:t xml:space="preserve"> </w:t>
      </w:r>
      <w:r>
        <w:t>del</w:t>
      </w:r>
      <w:r>
        <w:rPr>
          <w:spacing w:val="-15"/>
        </w:rPr>
        <w:t xml:space="preserve"> </w:t>
      </w:r>
      <w:r>
        <w:t>Dique, el</w:t>
      </w:r>
      <w:r>
        <w:rPr>
          <w:spacing w:val="-12"/>
        </w:rPr>
        <w:t xml:space="preserve"> </w:t>
      </w:r>
      <w:r>
        <w:t>Arauca</w:t>
      </w:r>
      <w:r>
        <w:rPr>
          <w:spacing w:val="-12"/>
        </w:rPr>
        <w:t xml:space="preserve"> </w:t>
      </w:r>
      <w:r>
        <w:t>o</w:t>
      </w:r>
      <w:r>
        <w:rPr>
          <w:spacing w:val="-13"/>
        </w:rPr>
        <w:t xml:space="preserve"> </w:t>
      </w:r>
      <w:r>
        <w:t>el</w:t>
      </w:r>
      <w:r>
        <w:rPr>
          <w:spacing w:val="-12"/>
        </w:rPr>
        <w:t xml:space="preserve"> </w:t>
      </w:r>
      <w:r>
        <w:t>Magdalena,</w:t>
      </w:r>
      <w:r>
        <w:rPr>
          <w:spacing w:val="-12"/>
        </w:rPr>
        <w:t xml:space="preserve"> </w:t>
      </w:r>
      <w:r>
        <w:t>no</w:t>
      </w:r>
      <w:r>
        <w:rPr>
          <w:spacing w:val="-12"/>
        </w:rPr>
        <w:t xml:space="preserve"> </w:t>
      </w:r>
      <w:r>
        <w:t>solamente</w:t>
      </w:r>
      <w:r>
        <w:rPr>
          <w:spacing w:val="-12"/>
        </w:rPr>
        <w:t xml:space="preserve"> </w:t>
      </w:r>
      <w:r>
        <w:t>fueron</w:t>
      </w:r>
      <w:r>
        <w:rPr>
          <w:spacing w:val="-12"/>
        </w:rPr>
        <w:t xml:space="preserve"> </w:t>
      </w:r>
      <w:r>
        <w:t>maneras</w:t>
      </w:r>
      <w:r>
        <w:rPr>
          <w:spacing w:val="-12"/>
        </w:rPr>
        <w:t xml:space="preserve"> </w:t>
      </w:r>
      <w:r>
        <w:t>de</w:t>
      </w:r>
      <w:r>
        <w:rPr>
          <w:spacing w:val="-13"/>
        </w:rPr>
        <w:t xml:space="preserve"> </w:t>
      </w:r>
      <w:r>
        <w:t>llevar</w:t>
      </w:r>
      <w:r>
        <w:rPr>
          <w:spacing w:val="-12"/>
        </w:rPr>
        <w:t xml:space="preserve"> </w:t>
      </w:r>
      <w:r>
        <w:t>a</w:t>
      </w:r>
      <w:r>
        <w:rPr>
          <w:spacing w:val="-12"/>
        </w:rPr>
        <w:t xml:space="preserve"> </w:t>
      </w:r>
      <w:r>
        <w:t>cabo</w:t>
      </w:r>
      <w:r>
        <w:rPr>
          <w:spacing w:val="-12"/>
        </w:rPr>
        <w:t xml:space="preserve"> </w:t>
      </w:r>
      <w:r>
        <w:t>desapariciones,</w:t>
      </w:r>
      <w:r>
        <w:rPr>
          <w:spacing w:val="-12"/>
        </w:rPr>
        <w:t xml:space="preserve"> </w:t>
      </w:r>
      <w:r>
        <w:t>sino que cambiaron la relación de la gente con la naturaleza:</w:t>
      </w:r>
    </w:p>
    <w:p w:rsidR="003804AC" w:rsidRDefault="00AF18A5" w:rsidP="0034140E">
      <w:r>
        <w:t>«Le dijeron que se quedara allí, que no bajara más, pues él ya había escuchado los disparos,</w:t>
      </w:r>
      <w:r>
        <w:rPr>
          <w:spacing w:val="-9"/>
        </w:rPr>
        <w:t xml:space="preserve"> </w:t>
      </w:r>
      <w:r>
        <w:t>él</w:t>
      </w:r>
      <w:r>
        <w:rPr>
          <w:spacing w:val="-8"/>
        </w:rPr>
        <w:t xml:space="preserve"> </w:t>
      </w:r>
      <w:r>
        <w:t>dice</w:t>
      </w:r>
      <w:r>
        <w:rPr>
          <w:spacing w:val="-8"/>
        </w:rPr>
        <w:t xml:space="preserve"> </w:t>
      </w:r>
      <w:r>
        <w:t>que</w:t>
      </w:r>
      <w:r>
        <w:rPr>
          <w:spacing w:val="-8"/>
        </w:rPr>
        <w:t xml:space="preserve"> </w:t>
      </w:r>
      <w:r>
        <w:t>se</w:t>
      </w:r>
      <w:r>
        <w:rPr>
          <w:spacing w:val="-8"/>
        </w:rPr>
        <w:t xml:space="preserve"> </w:t>
      </w:r>
      <w:r>
        <w:t>metió</w:t>
      </w:r>
      <w:r>
        <w:rPr>
          <w:spacing w:val="-9"/>
        </w:rPr>
        <w:t xml:space="preserve"> </w:t>
      </w:r>
      <w:r>
        <w:t>en</w:t>
      </w:r>
      <w:r>
        <w:rPr>
          <w:spacing w:val="-9"/>
        </w:rPr>
        <w:t xml:space="preserve"> </w:t>
      </w:r>
      <w:r>
        <w:t>el</w:t>
      </w:r>
      <w:r>
        <w:rPr>
          <w:spacing w:val="-8"/>
        </w:rPr>
        <w:t xml:space="preserve"> </w:t>
      </w:r>
      <w:r>
        <w:t>medio</w:t>
      </w:r>
      <w:r>
        <w:rPr>
          <w:spacing w:val="-9"/>
        </w:rPr>
        <w:t xml:space="preserve"> </w:t>
      </w:r>
      <w:r>
        <w:t>de</w:t>
      </w:r>
      <w:r>
        <w:rPr>
          <w:spacing w:val="-8"/>
        </w:rPr>
        <w:t xml:space="preserve"> </w:t>
      </w:r>
      <w:r>
        <w:t>los</w:t>
      </w:r>
      <w:r>
        <w:rPr>
          <w:spacing w:val="-10"/>
        </w:rPr>
        <w:t xml:space="preserve"> </w:t>
      </w:r>
      <w:r>
        <w:t>esteros,</w:t>
      </w:r>
      <w:r>
        <w:rPr>
          <w:spacing w:val="-9"/>
        </w:rPr>
        <w:t xml:space="preserve"> </w:t>
      </w:r>
      <w:r>
        <w:t>lo</w:t>
      </w:r>
      <w:r>
        <w:rPr>
          <w:spacing w:val="-9"/>
        </w:rPr>
        <w:t xml:space="preserve"> </w:t>
      </w:r>
      <w:r>
        <w:t>que</w:t>
      </w:r>
      <w:r>
        <w:rPr>
          <w:spacing w:val="-8"/>
        </w:rPr>
        <w:t xml:space="preserve"> </w:t>
      </w:r>
      <w:r>
        <w:t>hay</w:t>
      </w:r>
      <w:r>
        <w:rPr>
          <w:spacing w:val="-9"/>
        </w:rPr>
        <w:t xml:space="preserve"> </w:t>
      </w:r>
      <w:r>
        <w:t>al</w:t>
      </w:r>
      <w:r>
        <w:rPr>
          <w:spacing w:val="-8"/>
        </w:rPr>
        <w:t xml:space="preserve"> </w:t>
      </w:r>
      <w:r>
        <w:t>lado</w:t>
      </w:r>
      <w:r>
        <w:rPr>
          <w:spacing w:val="-9"/>
        </w:rPr>
        <w:t xml:space="preserve"> </w:t>
      </w:r>
      <w:r>
        <w:t>del</w:t>
      </w:r>
      <w:r>
        <w:rPr>
          <w:spacing w:val="-8"/>
        </w:rPr>
        <w:t xml:space="preserve"> </w:t>
      </w:r>
      <w:r>
        <w:t>río</w:t>
      </w:r>
      <w:r>
        <w:rPr>
          <w:spacing w:val="-9"/>
        </w:rPr>
        <w:t xml:space="preserve"> </w:t>
      </w:r>
      <w:r>
        <w:t>y</w:t>
      </w:r>
      <w:r>
        <w:rPr>
          <w:spacing w:val="-9"/>
        </w:rPr>
        <w:t xml:space="preserve"> </w:t>
      </w:r>
      <w:r>
        <w:t>se</w:t>
      </w:r>
      <w:r>
        <w:rPr>
          <w:spacing w:val="-8"/>
        </w:rPr>
        <w:t xml:space="preserve"> </w:t>
      </w:r>
      <w:r>
        <w:t>retuvo allí, que él solamente escuchaba los disparos. Cuando ya él vio que los guerrilleros continuaron y le dijeron que podía seguir y él baja por el río, él dice que toda esta zona de aquí, que le llaman a veces la playa de San Luis, era roja. El agua, por lo general es verde oscuro porque hay mucha vegetación. La historia que él me</w:t>
      </w:r>
      <w:r>
        <w:rPr>
          <w:spacing w:val="-1"/>
        </w:rPr>
        <w:t xml:space="preserve"> </w:t>
      </w:r>
      <w:r>
        <w:t>decía era que todo era rojo, que se veían tripas, se veían manos, veía todo, o sea, fue una masacre espantosa. Entonces, de pronto, la compañera me decía: “No, pero esto no es con nosotros porque fue un enfrentamiento</w:t>
      </w:r>
      <w:r>
        <w:rPr>
          <w:spacing w:val="-8"/>
        </w:rPr>
        <w:t xml:space="preserve"> </w:t>
      </w:r>
      <w:r>
        <w:t>entre</w:t>
      </w:r>
      <w:r>
        <w:rPr>
          <w:spacing w:val="-8"/>
        </w:rPr>
        <w:t xml:space="preserve"> </w:t>
      </w:r>
      <w:r>
        <w:t>dos</w:t>
      </w:r>
      <w:r>
        <w:rPr>
          <w:spacing w:val="-8"/>
        </w:rPr>
        <w:t xml:space="preserve"> </w:t>
      </w:r>
      <w:r>
        <w:t>grupos</w:t>
      </w:r>
      <w:r>
        <w:rPr>
          <w:spacing w:val="-9"/>
        </w:rPr>
        <w:t xml:space="preserve"> </w:t>
      </w:r>
      <w:r>
        <w:t>armados”,</w:t>
      </w:r>
      <w:r>
        <w:rPr>
          <w:spacing w:val="-8"/>
        </w:rPr>
        <w:t xml:space="preserve"> </w:t>
      </w:r>
      <w:r>
        <w:t>pero</w:t>
      </w:r>
      <w:r>
        <w:rPr>
          <w:spacing w:val="-8"/>
        </w:rPr>
        <w:t xml:space="preserve"> </w:t>
      </w:r>
      <w:r>
        <w:t>¿cómo</w:t>
      </w:r>
      <w:r>
        <w:rPr>
          <w:spacing w:val="-9"/>
        </w:rPr>
        <w:t xml:space="preserve"> </w:t>
      </w:r>
      <w:r>
        <w:t>me</w:t>
      </w:r>
      <w:r>
        <w:rPr>
          <w:spacing w:val="-9"/>
        </w:rPr>
        <w:t xml:space="preserve"> </w:t>
      </w:r>
      <w:r>
        <w:t>doy</w:t>
      </w:r>
      <w:r>
        <w:rPr>
          <w:spacing w:val="-8"/>
        </w:rPr>
        <w:t xml:space="preserve"> </w:t>
      </w:r>
      <w:r>
        <w:t>cuenta</w:t>
      </w:r>
      <w:r>
        <w:rPr>
          <w:spacing w:val="-9"/>
        </w:rPr>
        <w:t xml:space="preserve"> </w:t>
      </w:r>
      <w:r>
        <w:t>yo</w:t>
      </w:r>
      <w:r>
        <w:rPr>
          <w:spacing w:val="-8"/>
        </w:rPr>
        <w:t xml:space="preserve"> </w:t>
      </w:r>
      <w:r>
        <w:t>si</w:t>
      </w:r>
      <w:r>
        <w:rPr>
          <w:spacing w:val="-8"/>
        </w:rPr>
        <w:t xml:space="preserve"> </w:t>
      </w:r>
      <w:r>
        <w:t>esto</w:t>
      </w:r>
      <w:r>
        <w:rPr>
          <w:spacing w:val="-8"/>
        </w:rPr>
        <w:t xml:space="preserve"> </w:t>
      </w:r>
      <w:r>
        <w:t>ha</w:t>
      </w:r>
      <w:r>
        <w:rPr>
          <w:spacing w:val="-8"/>
        </w:rPr>
        <w:t xml:space="preserve"> </w:t>
      </w:r>
      <w:r>
        <w:t xml:space="preserve">afectado a mi familia?, ¿cómo me doy cuenta yo sí, de pronto, mis desaparecidos están allí?, ¿qué pasó? Y pues, obviamente, los cuerpos que han bajado por ese río, ¿cuándo los vamos a </w:t>
      </w:r>
      <w:r>
        <w:rPr>
          <w:spacing w:val="-2"/>
        </w:rPr>
        <w:t>encontrar?»</w:t>
      </w:r>
      <w:r w:rsidR="0034140E">
        <w:rPr>
          <w:rStyle w:val="Refdenotaalpie"/>
          <w:spacing w:val="-2"/>
        </w:rPr>
        <w:footnoteReference w:id="34"/>
      </w:r>
      <w:r>
        <w:rPr>
          <w:spacing w:val="-2"/>
        </w:rPr>
        <w:t>.</w:t>
      </w:r>
    </w:p>
    <w:p w:rsidR="003804AC" w:rsidRDefault="00AF18A5" w:rsidP="0034140E">
      <w:r>
        <w:t>Las afectaciones a la naturaleza impactaron también lugares sagrados que fueron destruidos,</w:t>
      </w:r>
      <w:r>
        <w:rPr>
          <w:spacing w:val="-5"/>
        </w:rPr>
        <w:t xml:space="preserve"> </w:t>
      </w:r>
      <w:r>
        <w:t>como</w:t>
      </w:r>
      <w:r>
        <w:rPr>
          <w:spacing w:val="-5"/>
        </w:rPr>
        <w:t xml:space="preserve"> </w:t>
      </w:r>
      <w:r>
        <w:t>en</w:t>
      </w:r>
      <w:r>
        <w:rPr>
          <w:spacing w:val="-5"/>
        </w:rPr>
        <w:t xml:space="preserve"> </w:t>
      </w:r>
      <w:r>
        <w:t>la</w:t>
      </w:r>
      <w:r>
        <w:rPr>
          <w:spacing w:val="-4"/>
        </w:rPr>
        <w:t xml:space="preserve"> </w:t>
      </w:r>
      <w:r>
        <w:t>Sierra</w:t>
      </w:r>
      <w:r>
        <w:rPr>
          <w:spacing w:val="-4"/>
        </w:rPr>
        <w:t xml:space="preserve"> </w:t>
      </w:r>
      <w:r>
        <w:t>Nevada</w:t>
      </w:r>
      <w:r>
        <w:rPr>
          <w:spacing w:val="-6"/>
        </w:rPr>
        <w:t xml:space="preserve"> </w:t>
      </w:r>
      <w:r>
        <w:t>de</w:t>
      </w:r>
      <w:r>
        <w:rPr>
          <w:spacing w:val="-4"/>
        </w:rPr>
        <w:t xml:space="preserve"> </w:t>
      </w:r>
      <w:r>
        <w:t>Santa</w:t>
      </w:r>
      <w:r>
        <w:rPr>
          <w:spacing w:val="-4"/>
        </w:rPr>
        <w:t xml:space="preserve"> </w:t>
      </w:r>
      <w:r>
        <w:t>Marta.</w:t>
      </w:r>
      <w:r>
        <w:rPr>
          <w:spacing w:val="-5"/>
        </w:rPr>
        <w:t xml:space="preserve"> </w:t>
      </w:r>
      <w:r>
        <w:t>Además,</w:t>
      </w:r>
      <w:r>
        <w:rPr>
          <w:spacing w:val="-6"/>
        </w:rPr>
        <w:t xml:space="preserve"> </w:t>
      </w:r>
      <w:r>
        <w:t>las</w:t>
      </w:r>
      <w:r>
        <w:rPr>
          <w:spacing w:val="-4"/>
        </w:rPr>
        <w:t xml:space="preserve"> </w:t>
      </w:r>
      <w:r>
        <w:t>afectaciones</w:t>
      </w:r>
      <w:r>
        <w:rPr>
          <w:spacing w:val="-4"/>
        </w:rPr>
        <w:t xml:space="preserve"> </w:t>
      </w:r>
      <w:r>
        <w:t>a</w:t>
      </w:r>
      <w:r>
        <w:rPr>
          <w:spacing w:val="-4"/>
        </w:rPr>
        <w:t xml:space="preserve"> </w:t>
      </w:r>
      <w:r>
        <w:t>las</w:t>
      </w:r>
      <w:r>
        <w:rPr>
          <w:spacing w:val="-4"/>
        </w:rPr>
        <w:t xml:space="preserve"> </w:t>
      </w:r>
      <w:r>
        <w:t xml:space="preserve">formas de vida de las comunidades y su estrecha relación con la naturaleza se han impuesto en el conflicto </w:t>
      </w:r>
      <w:r>
        <w:lastRenderedPageBreak/>
        <w:t>armado interno, relacionándose con intereses económicos en los territorios para infraestructuras, proyectos extractivos o economías ilegales. Las lógicas de la guerra, que pasan por el control de la población y del territorio, también se han dirigido cada vez más a lo que hay debajo, a los recursos naturales cuya extracción ha estado ligada en las últimas décadas a luchas por la defensa del territorio a la vez que a un incremento de la violencia contra líderes y comunidades. Estas dinámicas del conflicto han afectado las relaciones con el</w:t>
      </w:r>
      <w:r>
        <w:rPr>
          <w:spacing w:val="-2"/>
        </w:rPr>
        <w:t xml:space="preserve"> </w:t>
      </w:r>
      <w:r>
        <w:t>territorio</w:t>
      </w:r>
      <w:r>
        <w:rPr>
          <w:spacing w:val="1"/>
        </w:rPr>
        <w:t xml:space="preserve"> </w:t>
      </w:r>
      <w:r>
        <w:t>y</w:t>
      </w:r>
      <w:r>
        <w:rPr>
          <w:spacing w:val="1"/>
        </w:rPr>
        <w:t xml:space="preserve"> </w:t>
      </w:r>
      <w:r>
        <w:t>la</w:t>
      </w:r>
      <w:r>
        <w:rPr>
          <w:spacing w:val="1"/>
        </w:rPr>
        <w:t xml:space="preserve"> </w:t>
      </w:r>
      <w:r>
        <w:t>naturaleza de</w:t>
      </w:r>
      <w:r>
        <w:rPr>
          <w:spacing w:val="1"/>
        </w:rPr>
        <w:t xml:space="preserve"> </w:t>
      </w:r>
      <w:r>
        <w:t>las</w:t>
      </w:r>
      <w:r>
        <w:rPr>
          <w:spacing w:val="1"/>
        </w:rPr>
        <w:t xml:space="preserve"> </w:t>
      </w:r>
      <w:r>
        <w:t>comunidades</w:t>
      </w:r>
      <w:r>
        <w:rPr>
          <w:spacing w:val="1"/>
        </w:rPr>
        <w:t xml:space="preserve"> </w:t>
      </w:r>
      <w:r>
        <w:t>campesinas y,</w:t>
      </w:r>
      <w:r>
        <w:rPr>
          <w:spacing w:val="1"/>
        </w:rPr>
        <w:t xml:space="preserve"> </w:t>
      </w:r>
      <w:r>
        <w:t>especialmente,</w:t>
      </w:r>
      <w:r>
        <w:rPr>
          <w:spacing w:val="1"/>
        </w:rPr>
        <w:t xml:space="preserve"> </w:t>
      </w:r>
      <w:r>
        <w:t>de</w:t>
      </w:r>
      <w:r>
        <w:rPr>
          <w:spacing w:val="1"/>
        </w:rPr>
        <w:t xml:space="preserve"> </w:t>
      </w:r>
      <w:r>
        <w:t>los</w:t>
      </w:r>
      <w:r>
        <w:rPr>
          <w:spacing w:val="1"/>
        </w:rPr>
        <w:t xml:space="preserve"> </w:t>
      </w:r>
      <w:r>
        <w:rPr>
          <w:spacing w:val="-2"/>
        </w:rPr>
        <w:t>pueblos</w:t>
      </w:r>
      <w:bookmarkStart w:id="72" w:name="_bookmark39"/>
      <w:bookmarkEnd w:id="72"/>
      <w:r w:rsidR="0034140E">
        <w:rPr>
          <w:spacing w:val="-2"/>
        </w:rPr>
        <w:t xml:space="preserve"> </w:t>
      </w:r>
      <w:r>
        <w:t>étnicos, donde la identidad colectiva está ligada al territorio, que es objeto de despojo, explotación o disputa muchas veces bajo el poder de las armas.</w:t>
      </w:r>
    </w:p>
    <w:p w:rsidR="003804AC" w:rsidRDefault="00AF18A5" w:rsidP="0034140E">
      <w:r>
        <w:t>Las</w:t>
      </w:r>
      <w:r>
        <w:rPr>
          <w:spacing w:val="-10"/>
        </w:rPr>
        <w:t xml:space="preserve"> </w:t>
      </w:r>
      <w:r>
        <w:t>consecuencias</w:t>
      </w:r>
      <w:r>
        <w:rPr>
          <w:spacing w:val="-10"/>
        </w:rPr>
        <w:t xml:space="preserve"> </w:t>
      </w:r>
      <w:r>
        <w:t>de</w:t>
      </w:r>
      <w:r>
        <w:rPr>
          <w:spacing w:val="-10"/>
        </w:rPr>
        <w:t xml:space="preserve"> </w:t>
      </w:r>
      <w:r>
        <w:t>todo</w:t>
      </w:r>
      <w:r>
        <w:rPr>
          <w:spacing w:val="-11"/>
        </w:rPr>
        <w:t xml:space="preserve"> </w:t>
      </w:r>
      <w:r>
        <w:t>son</w:t>
      </w:r>
      <w:r>
        <w:rPr>
          <w:spacing w:val="-11"/>
        </w:rPr>
        <w:t xml:space="preserve"> </w:t>
      </w:r>
      <w:r>
        <w:t>fracturas</w:t>
      </w:r>
      <w:r>
        <w:rPr>
          <w:spacing w:val="-10"/>
        </w:rPr>
        <w:t xml:space="preserve"> </w:t>
      </w:r>
      <w:r>
        <w:t>en</w:t>
      </w:r>
      <w:r>
        <w:rPr>
          <w:spacing w:val="-11"/>
        </w:rPr>
        <w:t xml:space="preserve"> </w:t>
      </w:r>
      <w:r>
        <w:t>ecosistemas,</w:t>
      </w:r>
      <w:r>
        <w:rPr>
          <w:spacing w:val="-11"/>
        </w:rPr>
        <w:t xml:space="preserve"> </w:t>
      </w:r>
      <w:r>
        <w:t>heridas</w:t>
      </w:r>
      <w:r>
        <w:rPr>
          <w:spacing w:val="-10"/>
        </w:rPr>
        <w:t xml:space="preserve"> </w:t>
      </w:r>
      <w:r>
        <w:t>en</w:t>
      </w:r>
      <w:r>
        <w:rPr>
          <w:spacing w:val="-11"/>
        </w:rPr>
        <w:t xml:space="preserve"> </w:t>
      </w:r>
      <w:r>
        <w:t>la</w:t>
      </w:r>
      <w:r>
        <w:rPr>
          <w:spacing w:val="-10"/>
        </w:rPr>
        <w:t xml:space="preserve"> </w:t>
      </w:r>
      <w:r>
        <w:t>selva,</w:t>
      </w:r>
      <w:r>
        <w:rPr>
          <w:spacing w:val="-11"/>
        </w:rPr>
        <w:t xml:space="preserve"> </w:t>
      </w:r>
      <w:r>
        <w:t>deforestación y</w:t>
      </w:r>
      <w:r>
        <w:rPr>
          <w:spacing w:val="-7"/>
        </w:rPr>
        <w:t xml:space="preserve"> </w:t>
      </w:r>
      <w:r>
        <w:t>contaminación</w:t>
      </w:r>
      <w:r>
        <w:rPr>
          <w:spacing w:val="-7"/>
        </w:rPr>
        <w:t xml:space="preserve"> </w:t>
      </w:r>
      <w:r>
        <w:t>de</w:t>
      </w:r>
      <w:r>
        <w:rPr>
          <w:spacing w:val="-7"/>
        </w:rPr>
        <w:t xml:space="preserve"> </w:t>
      </w:r>
      <w:r>
        <w:t>ríos,</w:t>
      </w:r>
      <w:r>
        <w:rPr>
          <w:spacing w:val="-9"/>
        </w:rPr>
        <w:t xml:space="preserve"> </w:t>
      </w:r>
      <w:r>
        <w:t>donde</w:t>
      </w:r>
      <w:r>
        <w:rPr>
          <w:spacing w:val="-7"/>
        </w:rPr>
        <w:t xml:space="preserve"> </w:t>
      </w:r>
      <w:r>
        <w:t>estas</w:t>
      </w:r>
      <w:r>
        <w:rPr>
          <w:spacing w:val="-8"/>
        </w:rPr>
        <w:t xml:space="preserve"> </w:t>
      </w:r>
      <w:r>
        <w:t>afectaciones</w:t>
      </w:r>
      <w:r>
        <w:rPr>
          <w:spacing w:val="-8"/>
        </w:rPr>
        <w:t xml:space="preserve"> </w:t>
      </w:r>
      <w:r>
        <w:t>no</w:t>
      </w:r>
      <w:r>
        <w:rPr>
          <w:spacing w:val="-7"/>
        </w:rPr>
        <w:t xml:space="preserve"> </w:t>
      </w:r>
      <w:r>
        <w:t>pueden</w:t>
      </w:r>
      <w:r>
        <w:rPr>
          <w:spacing w:val="-7"/>
        </w:rPr>
        <w:t xml:space="preserve"> </w:t>
      </w:r>
      <w:r>
        <w:t>verse</w:t>
      </w:r>
      <w:r>
        <w:rPr>
          <w:spacing w:val="-7"/>
        </w:rPr>
        <w:t xml:space="preserve"> </w:t>
      </w:r>
      <w:r>
        <w:t>separadas</w:t>
      </w:r>
      <w:r>
        <w:rPr>
          <w:spacing w:val="-7"/>
        </w:rPr>
        <w:t xml:space="preserve"> </w:t>
      </w:r>
      <w:r>
        <w:t>de</w:t>
      </w:r>
      <w:r>
        <w:rPr>
          <w:spacing w:val="-7"/>
        </w:rPr>
        <w:t xml:space="preserve"> </w:t>
      </w:r>
      <w:r>
        <w:t>la</w:t>
      </w:r>
      <w:r>
        <w:rPr>
          <w:spacing w:val="-7"/>
        </w:rPr>
        <w:t xml:space="preserve"> </w:t>
      </w:r>
      <w:r>
        <w:t>guerra.</w:t>
      </w:r>
      <w:r>
        <w:rPr>
          <w:spacing w:val="-7"/>
        </w:rPr>
        <w:t xml:space="preserve"> </w:t>
      </w:r>
      <w:r>
        <w:t>Si bien durante décadas los diferentes grupos armados estaban interesados en su conservación como</w:t>
      </w:r>
      <w:r>
        <w:rPr>
          <w:spacing w:val="-5"/>
        </w:rPr>
        <w:t xml:space="preserve"> </w:t>
      </w:r>
      <w:r>
        <w:t>territorios</w:t>
      </w:r>
      <w:r>
        <w:rPr>
          <w:spacing w:val="-4"/>
        </w:rPr>
        <w:t xml:space="preserve"> </w:t>
      </w:r>
      <w:r>
        <w:t>de</w:t>
      </w:r>
      <w:r>
        <w:rPr>
          <w:spacing w:val="-5"/>
        </w:rPr>
        <w:t xml:space="preserve"> </w:t>
      </w:r>
      <w:r>
        <w:t>retaguardia</w:t>
      </w:r>
      <w:r>
        <w:rPr>
          <w:spacing w:val="-4"/>
        </w:rPr>
        <w:t xml:space="preserve"> </w:t>
      </w:r>
      <w:r>
        <w:t>o</w:t>
      </w:r>
      <w:r>
        <w:rPr>
          <w:spacing w:val="-5"/>
        </w:rPr>
        <w:t xml:space="preserve"> </w:t>
      </w:r>
      <w:r>
        <w:t>protección,</w:t>
      </w:r>
      <w:r>
        <w:rPr>
          <w:spacing w:val="-5"/>
        </w:rPr>
        <w:t xml:space="preserve"> </w:t>
      </w:r>
      <w:r>
        <w:t>cada</w:t>
      </w:r>
      <w:r>
        <w:rPr>
          <w:spacing w:val="-5"/>
        </w:rPr>
        <w:t xml:space="preserve"> </w:t>
      </w:r>
      <w:r>
        <w:t>vez</w:t>
      </w:r>
      <w:r>
        <w:rPr>
          <w:spacing w:val="-4"/>
        </w:rPr>
        <w:t xml:space="preserve"> </w:t>
      </w:r>
      <w:r>
        <w:t>más</w:t>
      </w:r>
      <w:r>
        <w:rPr>
          <w:spacing w:val="-5"/>
        </w:rPr>
        <w:t xml:space="preserve"> </w:t>
      </w:r>
      <w:r>
        <w:t>la</w:t>
      </w:r>
      <w:r>
        <w:rPr>
          <w:spacing w:val="-5"/>
        </w:rPr>
        <w:t xml:space="preserve"> </w:t>
      </w:r>
      <w:r>
        <w:t>fragmentación</w:t>
      </w:r>
      <w:r>
        <w:rPr>
          <w:spacing w:val="-5"/>
        </w:rPr>
        <w:t xml:space="preserve"> </w:t>
      </w:r>
      <w:r>
        <w:t>del</w:t>
      </w:r>
      <w:r>
        <w:rPr>
          <w:spacing w:val="-4"/>
        </w:rPr>
        <w:t xml:space="preserve"> </w:t>
      </w:r>
      <w:r>
        <w:t>conflicto,</w:t>
      </w:r>
      <w:r>
        <w:rPr>
          <w:spacing w:val="-5"/>
        </w:rPr>
        <w:t xml:space="preserve"> </w:t>
      </w:r>
      <w:r>
        <w:t>la obtención</w:t>
      </w:r>
      <w:r>
        <w:rPr>
          <w:spacing w:val="-1"/>
        </w:rPr>
        <w:t xml:space="preserve"> </w:t>
      </w:r>
      <w:r>
        <w:t>de recursos</w:t>
      </w:r>
      <w:r>
        <w:rPr>
          <w:spacing w:val="-1"/>
        </w:rPr>
        <w:t xml:space="preserve"> </w:t>
      </w:r>
      <w:r>
        <w:t>económicos a</w:t>
      </w:r>
      <w:r>
        <w:rPr>
          <w:spacing w:val="-1"/>
        </w:rPr>
        <w:t xml:space="preserve"> </w:t>
      </w:r>
      <w:r>
        <w:t>cualquier</w:t>
      </w:r>
      <w:r>
        <w:rPr>
          <w:spacing w:val="-1"/>
        </w:rPr>
        <w:t xml:space="preserve"> </w:t>
      </w:r>
      <w:r>
        <w:t>precio y</w:t>
      </w:r>
      <w:r>
        <w:rPr>
          <w:spacing w:val="-1"/>
        </w:rPr>
        <w:t xml:space="preserve"> </w:t>
      </w:r>
      <w:r>
        <w:t>el</w:t>
      </w:r>
      <w:r>
        <w:rPr>
          <w:spacing w:val="-1"/>
        </w:rPr>
        <w:t xml:space="preserve"> </w:t>
      </w:r>
      <w:r>
        <w:t>desprecio</w:t>
      </w:r>
      <w:r>
        <w:rPr>
          <w:spacing w:val="-1"/>
        </w:rPr>
        <w:t xml:space="preserve"> </w:t>
      </w:r>
      <w:r>
        <w:t>por</w:t>
      </w:r>
      <w:r>
        <w:rPr>
          <w:spacing w:val="-1"/>
        </w:rPr>
        <w:t xml:space="preserve"> </w:t>
      </w:r>
      <w:r>
        <w:t>las culturas</w:t>
      </w:r>
      <w:r>
        <w:rPr>
          <w:spacing w:val="-1"/>
        </w:rPr>
        <w:t xml:space="preserve"> </w:t>
      </w:r>
      <w:r>
        <w:t>que han hecho de la relación de las comunidades y la naturaleza un elemento central de sus vidas y del futuro de la propia humanidad están teniendo un impacto mayor, que no tiene recuperación en las próximas décadas.</w:t>
      </w:r>
    </w:p>
    <w:p w:rsidR="003804AC" w:rsidRDefault="00AF18A5" w:rsidP="0034140E">
      <w:r>
        <w:t>Los ecosistemas se han visto afectados por economías como la de la coca y por acciones de violencia contra infraestructuras, por artefactos explosivos o por economías extractivas que</w:t>
      </w:r>
      <w:r>
        <w:rPr>
          <w:spacing w:val="-12"/>
        </w:rPr>
        <w:t xml:space="preserve"> </w:t>
      </w:r>
      <w:r>
        <w:t>no</w:t>
      </w:r>
      <w:r>
        <w:rPr>
          <w:spacing w:val="-13"/>
        </w:rPr>
        <w:t xml:space="preserve"> </w:t>
      </w:r>
      <w:r>
        <w:t>cuidan</w:t>
      </w:r>
      <w:r>
        <w:rPr>
          <w:spacing w:val="-12"/>
        </w:rPr>
        <w:t xml:space="preserve"> </w:t>
      </w:r>
      <w:r>
        <w:t>la</w:t>
      </w:r>
      <w:r>
        <w:rPr>
          <w:spacing w:val="-13"/>
        </w:rPr>
        <w:t xml:space="preserve"> </w:t>
      </w:r>
      <w:r>
        <w:t>naturaleza.</w:t>
      </w:r>
      <w:r>
        <w:rPr>
          <w:spacing w:val="-12"/>
        </w:rPr>
        <w:t xml:space="preserve"> </w:t>
      </w:r>
      <w:r>
        <w:t>Por</w:t>
      </w:r>
      <w:r>
        <w:rPr>
          <w:spacing w:val="-13"/>
        </w:rPr>
        <w:t xml:space="preserve"> </w:t>
      </w:r>
      <w:r>
        <w:t>ejemplo,</w:t>
      </w:r>
      <w:r>
        <w:rPr>
          <w:spacing w:val="-12"/>
        </w:rPr>
        <w:t xml:space="preserve"> </w:t>
      </w:r>
      <w:r>
        <w:t>en</w:t>
      </w:r>
      <w:r>
        <w:rPr>
          <w:spacing w:val="-13"/>
        </w:rPr>
        <w:t xml:space="preserve"> </w:t>
      </w:r>
      <w:r>
        <w:t>los</w:t>
      </w:r>
      <w:r>
        <w:rPr>
          <w:spacing w:val="-12"/>
        </w:rPr>
        <w:t xml:space="preserve"> </w:t>
      </w:r>
      <w:r>
        <w:t>ecosistemas</w:t>
      </w:r>
      <w:r>
        <w:rPr>
          <w:spacing w:val="-13"/>
        </w:rPr>
        <w:t xml:space="preserve"> </w:t>
      </w:r>
      <w:r>
        <w:t>se</w:t>
      </w:r>
      <w:r>
        <w:rPr>
          <w:spacing w:val="-12"/>
        </w:rPr>
        <w:t xml:space="preserve"> </w:t>
      </w:r>
      <w:r>
        <w:t>depositaron</w:t>
      </w:r>
      <w:r>
        <w:rPr>
          <w:spacing w:val="-13"/>
        </w:rPr>
        <w:t xml:space="preserve"> </w:t>
      </w:r>
      <w:r>
        <w:t>millones</w:t>
      </w:r>
      <w:r>
        <w:rPr>
          <w:spacing w:val="-12"/>
        </w:rPr>
        <w:t xml:space="preserve"> </w:t>
      </w:r>
      <w:r>
        <w:t>de</w:t>
      </w:r>
      <w:r>
        <w:rPr>
          <w:spacing w:val="-13"/>
        </w:rPr>
        <w:t xml:space="preserve"> </w:t>
      </w:r>
      <w:r>
        <w:t>litros de</w:t>
      </w:r>
      <w:r>
        <w:rPr>
          <w:spacing w:val="-5"/>
        </w:rPr>
        <w:t xml:space="preserve"> </w:t>
      </w:r>
      <w:r>
        <w:t>sustancias</w:t>
      </w:r>
      <w:r>
        <w:rPr>
          <w:spacing w:val="-5"/>
        </w:rPr>
        <w:t xml:space="preserve"> </w:t>
      </w:r>
      <w:r>
        <w:t>tóxicas</w:t>
      </w:r>
      <w:r>
        <w:rPr>
          <w:spacing w:val="-5"/>
        </w:rPr>
        <w:t xml:space="preserve"> </w:t>
      </w:r>
      <w:r>
        <w:t>usadas</w:t>
      </w:r>
      <w:r>
        <w:rPr>
          <w:spacing w:val="-5"/>
        </w:rPr>
        <w:t xml:space="preserve"> </w:t>
      </w:r>
      <w:r>
        <w:t>en</w:t>
      </w:r>
      <w:r>
        <w:rPr>
          <w:spacing w:val="-5"/>
        </w:rPr>
        <w:t xml:space="preserve"> </w:t>
      </w:r>
      <w:r>
        <w:t>la</w:t>
      </w:r>
      <w:r>
        <w:rPr>
          <w:spacing w:val="-5"/>
        </w:rPr>
        <w:t xml:space="preserve"> </w:t>
      </w:r>
      <w:r>
        <w:t>extracción</w:t>
      </w:r>
      <w:r>
        <w:rPr>
          <w:spacing w:val="-5"/>
        </w:rPr>
        <w:t xml:space="preserve"> </w:t>
      </w:r>
      <w:r>
        <w:t>con</w:t>
      </w:r>
      <w:r>
        <w:rPr>
          <w:spacing w:val="-5"/>
        </w:rPr>
        <w:t xml:space="preserve"> </w:t>
      </w:r>
      <w:r>
        <w:t>maquinaria</w:t>
      </w:r>
      <w:r>
        <w:rPr>
          <w:spacing w:val="-6"/>
        </w:rPr>
        <w:t xml:space="preserve"> </w:t>
      </w:r>
      <w:r>
        <w:t>destructiva</w:t>
      </w:r>
      <w:r>
        <w:rPr>
          <w:spacing w:val="-5"/>
        </w:rPr>
        <w:t xml:space="preserve"> </w:t>
      </w:r>
      <w:r>
        <w:t>en</w:t>
      </w:r>
      <w:r>
        <w:rPr>
          <w:spacing w:val="-5"/>
        </w:rPr>
        <w:t xml:space="preserve"> </w:t>
      </w:r>
      <w:r>
        <w:t>los</w:t>
      </w:r>
      <w:r>
        <w:rPr>
          <w:spacing w:val="-5"/>
        </w:rPr>
        <w:t xml:space="preserve"> </w:t>
      </w:r>
      <w:r>
        <w:t>lechos</w:t>
      </w:r>
      <w:r>
        <w:rPr>
          <w:spacing w:val="-5"/>
        </w:rPr>
        <w:t xml:space="preserve"> </w:t>
      </w:r>
      <w:r>
        <w:t>de</w:t>
      </w:r>
      <w:r>
        <w:rPr>
          <w:spacing w:val="-5"/>
        </w:rPr>
        <w:t xml:space="preserve"> </w:t>
      </w:r>
      <w:r>
        <w:t xml:space="preserve">los ríos, en el control de plagas exacerbadas por el </w:t>
      </w:r>
      <w:r>
        <w:lastRenderedPageBreak/>
        <w:t>desequilibrio ecológico que causan los monocultivos, en el procesamiento de la hoja de coca y en las aspersiones aéreas y fumigaciones de más de 1.300.000 hectáreas en estas décadas de la llamada «guerra contra las</w:t>
      </w:r>
      <w:r>
        <w:rPr>
          <w:spacing w:val="-6"/>
        </w:rPr>
        <w:t xml:space="preserve"> </w:t>
      </w:r>
      <w:r>
        <w:t>drogas»</w:t>
      </w:r>
      <w:r>
        <w:rPr>
          <w:spacing w:val="-7"/>
        </w:rPr>
        <w:t xml:space="preserve"> </w:t>
      </w:r>
      <w:r>
        <w:t>para</w:t>
      </w:r>
      <w:r>
        <w:rPr>
          <w:spacing w:val="-6"/>
        </w:rPr>
        <w:t xml:space="preserve"> </w:t>
      </w:r>
      <w:r>
        <w:t>disminuir</w:t>
      </w:r>
      <w:r>
        <w:rPr>
          <w:spacing w:val="-6"/>
        </w:rPr>
        <w:t xml:space="preserve"> </w:t>
      </w:r>
      <w:r>
        <w:t>las</w:t>
      </w:r>
      <w:r>
        <w:rPr>
          <w:spacing w:val="-6"/>
        </w:rPr>
        <w:t xml:space="preserve"> </w:t>
      </w:r>
      <w:r>
        <w:t>áreas</w:t>
      </w:r>
      <w:r>
        <w:rPr>
          <w:spacing w:val="-7"/>
        </w:rPr>
        <w:t xml:space="preserve"> </w:t>
      </w:r>
      <w:r>
        <w:t>cultivadas.</w:t>
      </w:r>
      <w:r>
        <w:rPr>
          <w:spacing w:val="-7"/>
        </w:rPr>
        <w:t xml:space="preserve"> </w:t>
      </w:r>
      <w:r>
        <w:t>También</w:t>
      </w:r>
      <w:r>
        <w:rPr>
          <w:spacing w:val="-6"/>
        </w:rPr>
        <w:t xml:space="preserve"> </w:t>
      </w:r>
      <w:r>
        <w:t>en</w:t>
      </w:r>
      <w:r>
        <w:rPr>
          <w:spacing w:val="-7"/>
        </w:rPr>
        <w:t xml:space="preserve"> </w:t>
      </w:r>
      <w:r>
        <w:t>esta</w:t>
      </w:r>
      <w:r>
        <w:rPr>
          <w:spacing w:val="-6"/>
        </w:rPr>
        <w:t xml:space="preserve"> </w:t>
      </w:r>
      <w:r>
        <w:t>lista</w:t>
      </w:r>
      <w:r>
        <w:rPr>
          <w:spacing w:val="-6"/>
        </w:rPr>
        <w:t xml:space="preserve"> </w:t>
      </w:r>
      <w:r>
        <w:t>se</w:t>
      </w:r>
      <w:r>
        <w:rPr>
          <w:spacing w:val="-6"/>
        </w:rPr>
        <w:t xml:space="preserve"> </w:t>
      </w:r>
      <w:r>
        <w:t>incluyen</w:t>
      </w:r>
      <w:r>
        <w:rPr>
          <w:spacing w:val="-6"/>
        </w:rPr>
        <w:t xml:space="preserve"> </w:t>
      </w:r>
      <w:r>
        <w:t>las</w:t>
      </w:r>
      <w:r>
        <w:rPr>
          <w:spacing w:val="-6"/>
        </w:rPr>
        <w:t xml:space="preserve"> </w:t>
      </w:r>
      <w:r>
        <w:t>bombas lanzadas a bosques, manglares y selvas, las activados en cilindros o las implantados como artefactos explosivos y los ataques a infraestructuras petroleras. En los suelos se crearon piscinas con residuos tóxicos de la actividad petrolera sin protección, bancos de arena y relaves mineros que contienen mezclas muy contaminantes.</w:t>
      </w:r>
      <w:r>
        <w:rPr>
          <w:spacing w:val="-1"/>
        </w:rPr>
        <w:t xml:space="preserve"> </w:t>
      </w:r>
      <w:r>
        <w:t>Aunque Colombia tiene</w:t>
      </w:r>
      <w:r>
        <w:rPr>
          <w:spacing w:val="-1"/>
        </w:rPr>
        <w:t xml:space="preserve"> </w:t>
      </w:r>
      <w:r>
        <w:t>uno de los</w:t>
      </w:r>
      <w:r>
        <w:rPr>
          <w:spacing w:val="-6"/>
        </w:rPr>
        <w:t xml:space="preserve"> </w:t>
      </w:r>
      <w:r>
        <w:t>índices</w:t>
      </w:r>
      <w:r>
        <w:rPr>
          <w:spacing w:val="-6"/>
        </w:rPr>
        <w:t xml:space="preserve"> </w:t>
      </w:r>
      <w:r>
        <w:t>de</w:t>
      </w:r>
      <w:r>
        <w:rPr>
          <w:spacing w:val="-6"/>
        </w:rPr>
        <w:t xml:space="preserve"> </w:t>
      </w:r>
      <w:r>
        <w:t>biodiversidad</w:t>
      </w:r>
      <w:r>
        <w:rPr>
          <w:spacing w:val="-6"/>
        </w:rPr>
        <w:t xml:space="preserve"> </w:t>
      </w:r>
      <w:r>
        <w:t>más</w:t>
      </w:r>
      <w:r>
        <w:rPr>
          <w:spacing w:val="-6"/>
        </w:rPr>
        <w:t xml:space="preserve"> </w:t>
      </w:r>
      <w:r>
        <w:t>altos</w:t>
      </w:r>
      <w:r>
        <w:rPr>
          <w:spacing w:val="-6"/>
        </w:rPr>
        <w:t xml:space="preserve"> </w:t>
      </w:r>
      <w:r>
        <w:t>del</w:t>
      </w:r>
      <w:r>
        <w:rPr>
          <w:spacing w:val="-6"/>
        </w:rPr>
        <w:t xml:space="preserve"> </w:t>
      </w:r>
      <w:r>
        <w:t>mundo,</w:t>
      </w:r>
      <w:r>
        <w:rPr>
          <w:spacing w:val="-6"/>
        </w:rPr>
        <w:t xml:space="preserve"> </w:t>
      </w:r>
      <w:r>
        <w:t>la</w:t>
      </w:r>
      <w:r>
        <w:rPr>
          <w:spacing w:val="-6"/>
        </w:rPr>
        <w:t xml:space="preserve"> </w:t>
      </w:r>
      <w:r>
        <w:t>diversidad</w:t>
      </w:r>
      <w:r>
        <w:rPr>
          <w:spacing w:val="-6"/>
        </w:rPr>
        <w:t xml:space="preserve"> </w:t>
      </w:r>
      <w:r>
        <w:t>biológica</w:t>
      </w:r>
      <w:r>
        <w:rPr>
          <w:spacing w:val="-7"/>
        </w:rPr>
        <w:t xml:space="preserve"> </w:t>
      </w:r>
      <w:r>
        <w:t>ha</w:t>
      </w:r>
      <w:r>
        <w:rPr>
          <w:spacing w:val="-6"/>
        </w:rPr>
        <w:t xml:space="preserve"> </w:t>
      </w:r>
      <w:r>
        <w:t>perdido</w:t>
      </w:r>
      <w:r>
        <w:rPr>
          <w:spacing w:val="-6"/>
        </w:rPr>
        <w:t xml:space="preserve"> </w:t>
      </w:r>
      <w:r>
        <w:t>espacio para mantenerse y desarrollarse, a propósito de la deforestación y el reemplazo de ecosistemas</w:t>
      </w:r>
      <w:r>
        <w:rPr>
          <w:spacing w:val="-7"/>
        </w:rPr>
        <w:t xml:space="preserve"> </w:t>
      </w:r>
      <w:r>
        <w:t>endémicos</w:t>
      </w:r>
      <w:r>
        <w:rPr>
          <w:spacing w:val="-7"/>
        </w:rPr>
        <w:t xml:space="preserve"> </w:t>
      </w:r>
      <w:r>
        <w:t>por</w:t>
      </w:r>
      <w:r>
        <w:rPr>
          <w:spacing w:val="-7"/>
        </w:rPr>
        <w:t xml:space="preserve"> </w:t>
      </w:r>
      <w:r>
        <w:t>desiertos</w:t>
      </w:r>
      <w:r>
        <w:rPr>
          <w:spacing w:val="-8"/>
        </w:rPr>
        <w:t xml:space="preserve"> </w:t>
      </w:r>
      <w:r>
        <w:t>verdes</w:t>
      </w:r>
      <w:r>
        <w:rPr>
          <w:spacing w:val="-7"/>
        </w:rPr>
        <w:t xml:space="preserve"> </w:t>
      </w:r>
      <w:r>
        <w:t>y</w:t>
      </w:r>
      <w:r>
        <w:rPr>
          <w:spacing w:val="-7"/>
        </w:rPr>
        <w:t xml:space="preserve"> </w:t>
      </w:r>
      <w:r>
        <w:t>pastos,</w:t>
      </w:r>
      <w:r>
        <w:rPr>
          <w:spacing w:val="-7"/>
        </w:rPr>
        <w:t xml:space="preserve"> </w:t>
      </w:r>
      <w:r>
        <w:t>perdiendo</w:t>
      </w:r>
      <w:r>
        <w:rPr>
          <w:spacing w:val="-7"/>
        </w:rPr>
        <w:t xml:space="preserve"> </w:t>
      </w:r>
      <w:r>
        <w:t>hábitats</w:t>
      </w:r>
      <w:r>
        <w:rPr>
          <w:spacing w:val="-7"/>
        </w:rPr>
        <w:t xml:space="preserve"> </w:t>
      </w:r>
      <w:r>
        <w:t>fundamentales</w:t>
      </w:r>
      <w:r>
        <w:rPr>
          <w:spacing w:val="-7"/>
        </w:rPr>
        <w:t xml:space="preserve"> </w:t>
      </w:r>
      <w:r>
        <w:t xml:space="preserve">para la reproducción de muchas especies de flora y fauna, incluyendo diversidad de semillas </w:t>
      </w:r>
      <w:r>
        <w:rPr>
          <w:spacing w:val="-2"/>
        </w:rPr>
        <w:t>propias.</w:t>
      </w:r>
    </w:p>
    <w:p w:rsidR="003804AC" w:rsidRDefault="00AF18A5" w:rsidP="0034140E">
      <w:r>
        <w:t>La concepción de una parte de Colombia como un país que no importa más que como fuente</w:t>
      </w:r>
      <w:r>
        <w:rPr>
          <w:spacing w:val="-6"/>
        </w:rPr>
        <w:t xml:space="preserve"> </w:t>
      </w:r>
      <w:r>
        <w:t>de</w:t>
      </w:r>
      <w:r>
        <w:rPr>
          <w:spacing w:val="-6"/>
        </w:rPr>
        <w:t xml:space="preserve"> </w:t>
      </w:r>
      <w:r>
        <w:t>recursos</w:t>
      </w:r>
      <w:r>
        <w:rPr>
          <w:spacing w:val="-6"/>
        </w:rPr>
        <w:t xml:space="preserve"> </w:t>
      </w:r>
      <w:r>
        <w:t>naturales,</w:t>
      </w:r>
      <w:r>
        <w:rPr>
          <w:spacing w:val="-6"/>
        </w:rPr>
        <w:t xml:space="preserve"> </w:t>
      </w:r>
      <w:r>
        <w:t>ha</w:t>
      </w:r>
      <w:r>
        <w:rPr>
          <w:spacing w:val="-5"/>
        </w:rPr>
        <w:t xml:space="preserve"> </w:t>
      </w:r>
      <w:r>
        <w:t>llevado</w:t>
      </w:r>
      <w:r>
        <w:rPr>
          <w:spacing w:val="-6"/>
        </w:rPr>
        <w:t xml:space="preserve"> </w:t>
      </w:r>
      <w:r>
        <w:t>a</w:t>
      </w:r>
      <w:r>
        <w:rPr>
          <w:spacing w:val="-6"/>
        </w:rPr>
        <w:t xml:space="preserve"> </w:t>
      </w:r>
      <w:r>
        <w:t>la</w:t>
      </w:r>
      <w:r>
        <w:rPr>
          <w:spacing w:val="-6"/>
        </w:rPr>
        <w:t xml:space="preserve"> </w:t>
      </w:r>
      <w:r>
        <w:t>expansión</w:t>
      </w:r>
      <w:r>
        <w:rPr>
          <w:spacing w:val="-6"/>
        </w:rPr>
        <w:t xml:space="preserve"> </w:t>
      </w:r>
      <w:r>
        <w:t>de</w:t>
      </w:r>
      <w:r>
        <w:rPr>
          <w:spacing w:val="-5"/>
        </w:rPr>
        <w:t xml:space="preserve"> </w:t>
      </w:r>
      <w:r>
        <w:t>un</w:t>
      </w:r>
      <w:r>
        <w:rPr>
          <w:spacing w:val="-6"/>
        </w:rPr>
        <w:t xml:space="preserve"> </w:t>
      </w:r>
      <w:r>
        <w:t>modelo</w:t>
      </w:r>
      <w:r>
        <w:rPr>
          <w:spacing w:val="-6"/>
        </w:rPr>
        <w:t xml:space="preserve"> </w:t>
      </w:r>
      <w:r>
        <w:t>de</w:t>
      </w:r>
      <w:r>
        <w:rPr>
          <w:spacing w:val="-6"/>
        </w:rPr>
        <w:t xml:space="preserve"> </w:t>
      </w:r>
      <w:r>
        <w:t>desarrollo</w:t>
      </w:r>
      <w:r>
        <w:rPr>
          <w:spacing w:val="-6"/>
        </w:rPr>
        <w:t xml:space="preserve"> </w:t>
      </w:r>
      <w:r>
        <w:t>basado</w:t>
      </w:r>
      <w:r>
        <w:rPr>
          <w:spacing w:val="-5"/>
        </w:rPr>
        <w:t xml:space="preserve"> en</w:t>
      </w:r>
      <w:r w:rsidR="0034140E">
        <w:rPr>
          <w:spacing w:val="-5"/>
        </w:rPr>
        <w:t xml:space="preserve"> </w:t>
      </w:r>
      <w:r>
        <w:t>el</w:t>
      </w:r>
      <w:r>
        <w:rPr>
          <w:spacing w:val="-8"/>
        </w:rPr>
        <w:t xml:space="preserve"> </w:t>
      </w:r>
      <w:proofErr w:type="spellStart"/>
      <w:r>
        <w:t>extractivismo</w:t>
      </w:r>
      <w:proofErr w:type="spellEnd"/>
      <w:r>
        <w:rPr>
          <w:spacing w:val="-8"/>
        </w:rPr>
        <w:t xml:space="preserve"> </w:t>
      </w:r>
      <w:r>
        <w:t>y</w:t>
      </w:r>
      <w:r>
        <w:rPr>
          <w:spacing w:val="-8"/>
        </w:rPr>
        <w:t xml:space="preserve"> </w:t>
      </w:r>
      <w:r>
        <w:t>la</w:t>
      </w:r>
      <w:r>
        <w:rPr>
          <w:spacing w:val="-8"/>
        </w:rPr>
        <w:t xml:space="preserve"> </w:t>
      </w:r>
      <w:r>
        <w:t>implantación</w:t>
      </w:r>
      <w:r>
        <w:rPr>
          <w:spacing w:val="-8"/>
        </w:rPr>
        <w:t xml:space="preserve"> </w:t>
      </w:r>
      <w:r>
        <w:t>de</w:t>
      </w:r>
      <w:r>
        <w:rPr>
          <w:spacing w:val="-9"/>
        </w:rPr>
        <w:t xml:space="preserve"> </w:t>
      </w:r>
      <w:r>
        <w:t>políticas</w:t>
      </w:r>
      <w:r>
        <w:rPr>
          <w:spacing w:val="-9"/>
        </w:rPr>
        <w:t xml:space="preserve"> </w:t>
      </w:r>
      <w:r>
        <w:t>mediante</w:t>
      </w:r>
      <w:r>
        <w:rPr>
          <w:spacing w:val="-9"/>
        </w:rPr>
        <w:t xml:space="preserve"> </w:t>
      </w:r>
      <w:r>
        <w:t>la</w:t>
      </w:r>
      <w:r>
        <w:rPr>
          <w:spacing w:val="-8"/>
        </w:rPr>
        <w:t xml:space="preserve"> </w:t>
      </w:r>
      <w:r>
        <w:t>coacción</w:t>
      </w:r>
      <w:r>
        <w:rPr>
          <w:spacing w:val="-8"/>
        </w:rPr>
        <w:t xml:space="preserve"> </w:t>
      </w:r>
      <w:r>
        <w:t>y</w:t>
      </w:r>
      <w:r>
        <w:rPr>
          <w:spacing w:val="-8"/>
        </w:rPr>
        <w:t xml:space="preserve"> </w:t>
      </w:r>
      <w:r>
        <w:t>las</w:t>
      </w:r>
      <w:r>
        <w:rPr>
          <w:spacing w:val="-8"/>
        </w:rPr>
        <w:t xml:space="preserve"> </w:t>
      </w:r>
      <w:r>
        <w:t>armas.</w:t>
      </w:r>
      <w:r>
        <w:rPr>
          <w:spacing w:val="-8"/>
        </w:rPr>
        <w:t xml:space="preserve"> </w:t>
      </w:r>
      <w:r>
        <w:t>Además,</w:t>
      </w:r>
      <w:r>
        <w:rPr>
          <w:spacing w:val="-8"/>
        </w:rPr>
        <w:t xml:space="preserve"> </w:t>
      </w:r>
      <w:r>
        <w:t>ha convertido</w:t>
      </w:r>
      <w:r>
        <w:rPr>
          <w:spacing w:val="-15"/>
        </w:rPr>
        <w:t xml:space="preserve"> </w:t>
      </w:r>
      <w:r>
        <w:t>los</w:t>
      </w:r>
      <w:r>
        <w:rPr>
          <w:spacing w:val="-14"/>
        </w:rPr>
        <w:t xml:space="preserve"> </w:t>
      </w:r>
      <w:r>
        <w:t>problemas</w:t>
      </w:r>
      <w:r>
        <w:rPr>
          <w:spacing w:val="-14"/>
        </w:rPr>
        <w:t xml:space="preserve"> </w:t>
      </w:r>
      <w:r>
        <w:t>ligados</w:t>
      </w:r>
      <w:r>
        <w:rPr>
          <w:spacing w:val="-15"/>
        </w:rPr>
        <w:t xml:space="preserve"> </w:t>
      </w:r>
      <w:r>
        <w:t>al</w:t>
      </w:r>
      <w:r>
        <w:rPr>
          <w:spacing w:val="-15"/>
        </w:rPr>
        <w:t xml:space="preserve"> </w:t>
      </w:r>
      <w:r>
        <w:t>modelo</w:t>
      </w:r>
      <w:r>
        <w:rPr>
          <w:spacing w:val="-15"/>
        </w:rPr>
        <w:t xml:space="preserve"> </w:t>
      </w:r>
      <w:r>
        <w:t>de</w:t>
      </w:r>
      <w:r>
        <w:rPr>
          <w:spacing w:val="-14"/>
        </w:rPr>
        <w:t xml:space="preserve"> </w:t>
      </w:r>
      <w:r>
        <w:t>desarrollo</w:t>
      </w:r>
      <w:r>
        <w:rPr>
          <w:spacing w:val="-15"/>
        </w:rPr>
        <w:t xml:space="preserve"> </w:t>
      </w:r>
      <w:r>
        <w:t>y</w:t>
      </w:r>
      <w:r>
        <w:rPr>
          <w:spacing w:val="-15"/>
        </w:rPr>
        <w:t xml:space="preserve"> </w:t>
      </w:r>
      <w:r>
        <w:t>la</w:t>
      </w:r>
      <w:r>
        <w:rPr>
          <w:spacing w:val="-14"/>
        </w:rPr>
        <w:t xml:space="preserve"> </w:t>
      </w:r>
      <w:r>
        <w:t>economía</w:t>
      </w:r>
      <w:r>
        <w:rPr>
          <w:spacing w:val="-15"/>
        </w:rPr>
        <w:t xml:space="preserve"> </w:t>
      </w:r>
      <w:r>
        <w:t>en</w:t>
      </w:r>
      <w:r>
        <w:rPr>
          <w:spacing w:val="-14"/>
        </w:rPr>
        <w:t xml:space="preserve"> </w:t>
      </w:r>
      <w:r>
        <w:t>parte</w:t>
      </w:r>
      <w:r>
        <w:rPr>
          <w:spacing w:val="-15"/>
        </w:rPr>
        <w:t xml:space="preserve"> </w:t>
      </w:r>
      <w:r>
        <w:t>del</w:t>
      </w:r>
      <w:r>
        <w:rPr>
          <w:spacing w:val="-15"/>
        </w:rPr>
        <w:t xml:space="preserve"> </w:t>
      </w:r>
      <w:r>
        <w:t>conflicto armado,</w:t>
      </w:r>
      <w:r>
        <w:rPr>
          <w:spacing w:val="-2"/>
        </w:rPr>
        <w:t xml:space="preserve"> </w:t>
      </w:r>
      <w:r>
        <w:t>con</w:t>
      </w:r>
      <w:r>
        <w:rPr>
          <w:spacing w:val="-3"/>
        </w:rPr>
        <w:t xml:space="preserve"> </w:t>
      </w:r>
      <w:r>
        <w:t>numerosas</w:t>
      </w:r>
      <w:r>
        <w:rPr>
          <w:spacing w:val="-3"/>
        </w:rPr>
        <w:t xml:space="preserve"> </w:t>
      </w:r>
      <w:r>
        <w:t>violaciones</w:t>
      </w:r>
      <w:r>
        <w:rPr>
          <w:spacing w:val="-3"/>
        </w:rPr>
        <w:t xml:space="preserve"> </w:t>
      </w:r>
      <w:r>
        <w:t>de</w:t>
      </w:r>
      <w:r>
        <w:rPr>
          <w:spacing w:val="-2"/>
        </w:rPr>
        <w:t xml:space="preserve"> </w:t>
      </w:r>
      <w:r>
        <w:t>derechos</w:t>
      </w:r>
      <w:r>
        <w:rPr>
          <w:spacing w:val="-3"/>
        </w:rPr>
        <w:t xml:space="preserve"> </w:t>
      </w:r>
      <w:r>
        <w:t>humanos</w:t>
      </w:r>
      <w:r>
        <w:rPr>
          <w:spacing w:val="-2"/>
        </w:rPr>
        <w:t xml:space="preserve"> </w:t>
      </w:r>
      <w:r>
        <w:t>contra</w:t>
      </w:r>
      <w:r>
        <w:rPr>
          <w:spacing w:val="-2"/>
        </w:rPr>
        <w:t xml:space="preserve"> </w:t>
      </w:r>
      <w:r>
        <w:t>líderes</w:t>
      </w:r>
      <w:r>
        <w:rPr>
          <w:spacing w:val="-3"/>
        </w:rPr>
        <w:t xml:space="preserve"> </w:t>
      </w:r>
      <w:r>
        <w:t>o</w:t>
      </w:r>
      <w:r>
        <w:rPr>
          <w:spacing w:val="-2"/>
        </w:rPr>
        <w:t xml:space="preserve"> </w:t>
      </w:r>
      <w:r>
        <w:t>comunidades</w:t>
      </w:r>
      <w:r>
        <w:rPr>
          <w:spacing w:val="-2"/>
        </w:rPr>
        <w:t xml:space="preserve"> </w:t>
      </w:r>
      <w:r>
        <w:t>que se declaran en resistencia o que tratan de proteger sus territorios del cultivo extensivo de palma o coca.</w:t>
      </w:r>
    </w:p>
    <w:p w:rsidR="003804AC" w:rsidRDefault="00AF18A5" w:rsidP="0034140E">
      <w:r>
        <w:t>«La gente de San Antonio con la minería perdió la pesca, el río se murió. El río ya con cianuro y mercurio ya ni tampoco se podía volver a criar peces. Es que la mina aquí, oiga, fue</w:t>
      </w:r>
      <w:r>
        <w:rPr>
          <w:spacing w:val="-4"/>
        </w:rPr>
        <w:t xml:space="preserve"> </w:t>
      </w:r>
      <w:r>
        <w:t>pues...</w:t>
      </w:r>
      <w:r>
        <w:rPr>
          <w:spacing w:val="-5"/>
        </w:rPr>
        <w:t xml:space="preserve"> </w:t>
      </w:r>
      <w:r>
        <w:t>porque</w:t>
      </w:r>
      <w:r>
        <w:rPr>
          <w:spacing w:val="-4"/>
        </w:rPr>
        <w:t xml:space="preserve"> </w:t>
      </w:r>
      <w:r>
        <w:t>nosotros</w:t>
      </w:r>
      <w:r>
        <w:rPr>
          <w:spacing w:val="-4"/>
        </w:rPr>
        <w:t xml:space="preserve"> </w:t>
      </w:r>
      <w:r>
        <w:t>ya</w:t>
      </w:r>
      <w:r>
        <w:rPr>
          <w:spacing w:val="-4"/>
        </w:rPr>
        <w:t xml:space="preserve"> </w:t>
      </w:r>
      <w:r>
        <w:t>no</w:t>
      </w:r>
      <w:r>
        <w:rPr>
          <w:spacing w:val="-5"/>
        </w:rPr>
        <w:t xml:space="preserve"> </w:t>
      </w:r>
      <w:r>
        <w:t>teníamos</w:t>
      </w:r>
      <w:r>
        <w:rPr>
          <w:spacing w:val="-4"/>
        </w:rPr>
        <w:t xml:space="preserve"> </w:t>
      </w:r>
      <w:r>
        <w:t>con</w:t>
      </w:r>
      <w:r>
        <w:rPr>
          <w:spacing w:val="-5"/>
        </w:rPr>
        <w:t xml:space="preserve"> </w:t>
      </w:r>
      <w:r>
        <w:t>qué</w:t>
      </w:r>
      <w:r>
        <w:rPr>
          <w:spacing w:val="-4"/>
        </w:rPr>
        <w:t xml:space="preserve"> </w:t>
      </w:r>
      <w:r>
        <w:t>vivir,</w:t>
      </w:r>
      <w:r>
        <w:rPr>
          <w:spacing w:val="-5"/>
        </w:rPr>
        <w:t xml:space="preserve"> </w:t>
      </w:r>
      <w:r>
        <w:t>porque</w:t>
      </w:r>
      <w:r>
        <w:rPr>
          <w:spacing w:val="-4"/>
        </w:rPr>
        <w:t xml:space="preserve"> </w:t>
      </w:r>
      <w:r>
        <w:t>no</w:t>
      </w:r>
      <w:r>
        <w:rPr>
          <w:spacing w:val="-5"/>
        </w:rPr>
        <w:t xml:space="preserve"> </w:t>
      </w:r>
      <w:r>
        <w:t>teníamos</w:t>
      </w:r>
      <w:r>
        <w:rPr>
          <w:spacing w:val="-4"/>
        </w:rPr>
        <w:t xml:space="preserve"> </w:t>
      </w:r>
      <w:r>
        <w:t>con</w:t>
      </w:r>
      <w:r>
        <w:rPr>
          <w:spacing w:val="-5"/>
        </w:rPr>
        <w:t xml:space="preserve"> </w:t>
      </w:r>
      <w:r>
        <w:t>qué</w:t>
      </w:r>
      <w:r>
        <w:rPr>
          <w:spacing w:val="-6"/>
        </w:rPr>
        <w:t xml:space="preserve"> </w:t>
      </w:r>
      <w:r>
        <w:t>llenar los</w:t>
      </w:r>
      <w:r>
        <w:rPr>
          <w:spacing w:val="-4"/>
        </w:rPr>
        <w:t xml:space="preserve"> </w:t>
      </w:r>
      <w:r>
        <w:t>lagos,</w:t>
      </w:r>
      <w:r>
        <w:rPr>
          <w:spacing w:val="-4"/>
        </w:rPr>
        <w:t xml:space="preserve"> </w:t>
      </w:r>
      <w:r>
        <w:t>porque</w:t>
      </w:r>
      <w:r>
        <w:rPr>
          <w:spacing w:val="-3"/>
        </w:rPr>
        <w:t xml:space="preserve"> </w:t>
      </w:r>
      <w:r>
        <w:t>los</w:t>
      </w:r>
      <w:r>
        <w:rPr>
          <w:spacing w:val="-4"/>
        </w:rPr>
        <w:t xml:space="preserve"> </w:t>
      </w:r>
      <w:r>
        <w:t>ríos</w:t>
      </w:r>
      <w:r>
        <w:rPr>
          <w:spacing w:val="-5"/>
        </w:rPr>
        <w:t xml:space="preserve"> </w:t>
      </w:r>
      <w:r>
        <w:t>se</w:t>
      </w:r>
      <w:r>
        <w:rPr>
          <w:spacing w:val="-4"/>
        </w:rPr>
        <w:t xml:space="preserve"> </w:t>
      </w:r>
      <w:r>
        <w:t>afectaron,</w:t>
      </w:r>
      <w:r>
        <w:rPr>
          <w:spacing w:val="-4"/>
        </w:rPr>
        <w:t xml:space="preserve"> </w:t>
      </w:r>
      <w:r>
        <w:t>se</w:t>
      </w:r>
      <w:r>
        <w:rPr>
          <w:spacing w:val="-4"/>
        </w:rPr>
        <w:t xml:space="preserve"> </w:t>
      </w:r>
      <w:r w:rsidRPr="0034140E">
        <w:t>afectaron</w:t>
      </w:r>
      <w:r>
        <w:rPr>
          <w:spacing w:val="-4"/>
        </w:rPr>
        <w:t xml:space="preserve"> </w:t>
      </w:r>
      <w:r>
        <w:t>los</w:t>
      </w:r>
      <w:r>
        <w:rPr>
          <w:spacing w:val="-5"/>
        </w:rPr>
        <w:t xml:space="preserve"> </w:t>
      </w:r>
      <w:r>
        <w:t>ríos</w:t>
      </w:r>
      <w:r>
        <w:rPr>
          <w:spacing w:val="-5"/>
        </w:rPr>
        <w:t xml:space="preserve"> </w:t>
      </w:r>
      <w:r>
        <w:t>con</w:t>
      </w:r>
      <w:r>
        <w:rPr>
          <w:spacing w:val="-4"/>
        </w:rPr>
        <w:t xml:space="preserve"> </w:t>
      </w:r>
      <w:r>
        <w:t>cianuro</w:t>
      </w:r>
      <w:r>
        <w:rPr>
          <w:spacing w:val="-4"/>
        </w:rPr>
        <w:t xml:space="preserve"> </w:t>
      </w:r>
      <w:r>
        <w:t>y</w:t>
      </w:r>
      <w:r>
        <w:rPr>
          <w:spacing w:val="-5"/>
        </w:rPr>
        <w:t xml:space="preserve"> </w:t>
      </w:r>
      <w:r>
        <w:t>mercurio</w:t>
      </w:r>
      <w:r>
        <w:rPr>
          <w:spacing w:val="-4"/>
        </w:rPr>
        <w:t xml:space="preserve"> </w:t>
      </w:r>
      <w:r>
        <w:lastRenderedPageBreak/>
        <w:t>y</w:t>
      </w:r>
      <w:r>
        <w:rPr>
          <w:spacing w:val="-5"/>
        </w:rPr>
        <w:t xml:space="preserve"> </w:t>
      </w:r>
      <w:r>
        <w:t>llegaba era</w:t>
      </w:r>
      <w:r>
        <w:rPr>
          <w:spacing w:val="-5"/>
        </w:rPr>
        <w:t xml:space="preserve"> </w:t>
      </w:r>
      <w:r>
        <w:t>puro</w:t>
      </w:r>
      <w:r>
        <w:rPr>
          <w:spacing w:val="-5"/>
        </w:rPr>
        <w:t xml:space="preserve"> </w:t>
      </w:r>
      <w:r>
        <w:t>barro</w:t>
      </w:r>
      <w:r>
        <w:rPr>
          <w:spacing w:val="-5"/>
        </w:rPr>
        <w:t xml:space="preserve"> </w:t>
      </w:r>
      <w:r>
        <w:t>con</w:t>
      </w:r>
      <w:r>
        <w:rPr>
          <w:spacing w:val="-5"/>
        </w:rPr>
        <w:t xml:space="preserve"> </w:t>
      </w:r>
      <w:r>
        <w:t>cianuro</w:t>
      </w:r>
      <w:r>
        <w:rPr>
          <w:spacing w:val="-5"/>
        </w:rPr>
        <w:t xml:space="preserve"> </w:t>
      </w:r>
      <w:r>
        <w:t>y</w:t>
      </w:r>
      <w:r>
        <w:rPr>
          <w:spacing w:val="-5"/>
        </w:rPr>
        <w:t xml:space="preserve"> </w:t>
      </w:r>
      <w:r>
        <w:t>mercurio.</w:t>
      </w:r>
      <w:r>
        <w:rPr>
          <w:spacing w:val="-5"/>
        </w:rPr>
        <w:t xml:space="preserve"> </w:t>
      </w:r>
      <w:r>
        <w:t>Eso</w:t>
      </w:r>
      <w:r>
        <w:rPr>
          <w:spacing w:val="-5"/>
        </w:rPr>
        <w:t xml:space="preserve"> </w:t>
      </w:r>
      <w:r>
        <w:t>fue</w:t>
      </w:r>
      <w:r>
        <w:rPr>
          <w:spacing w:val="-5"/>
        </w:rPr>
        <w:t xml:space="preserve"> </w:t>
      </w:r>
      <w:r>
        <w:t>una</w:t>
      </w:r>
      <w:r>
        <w:rPr>
          <w:spacing w:val="-5"/>
        </w:rPr>
        <w:t xml:space="preserve"> </w:t>
      </w:r>
      <w:r>
        <w:t>cosa</w:t>
      </w:r>
      <w:r>
        <w:rPr>
          <w:spacing w:val="-5"/>
        </w:rPr>
        <w:t xml:space="preserve"> </w:t>
      </w:r>
      <w:r>
        <w:t>brutal.</w:t>
      </w:r>
      <w:r>
        <w:rPr>
          <w:spacing w:val="-5"/>
        </w:rPr>
        <w:t xml:space="preserve"> </w:t>
      </w:r>
      <w:r>
        <w:t>Nosotros,</w:t>
      </w:r>
      <w:r>
        <w:rPr>
          <w:spacing w:val="-6"/>
        </w:rPr>
        <w:t xml:space="preserve"> </w:t>
      </w:r>
      <w:r>
        <w:t>no</w:t>
      </w:r>
      <w:r>
        <w:rPr>
          <w:spacing w:val="-5"/>
        </w:rPr>
        <w:t xml:space="preserve"> </w:t>
      </w:r>
      <w:r>
        <w:t>había</w:t>
      </w:r>
      <w:r>
        <w:rPr>
          <w:spacing w:val="-5"/>
        </w:rPr>
        <w:t xml:space="preserve"> </w:t>
      </w:r>
      <w:r>
        <w:t>sino...</w:t>
      </w:r>
      <w:r>
        <w:rPr>
          <w:spacing w:val="-5"/>
        </w:rPr>
        <w:t xml:space="preserve"> </w:t>
      </w:r>
      <w:r>
        <w:t>no veíamos sino agua-barro con cianuro y mercurio, así era»</w:t>
      </w:r>
      <w:r w:rsidR="0034140E">
        <w:rPr>
          <w:rStyle w:val="Refdenotaalpie"/>
        </w:rPr>
        <w:footnoteReference w:id="35"/>
      </w:r>
      <w:r>
        <w:t>.</w:t>
      </w:r>
    </w:p>
    <w:p w:rsidR="003804AC" w:rsidRDefault="00AF18A5" w:rsidP="0034140E">
      <w:r>
        <w:t>Numerosos territorios, especialmente en ciertos departamentos</w:t>
      </w:r>
      <w:r w:rsidR="0034140E">
        <w:rPr>
          <w:rStyle w:val="Refdenotaalpie"/>
        </w:rPr>
        <w:footnoteReference w:id="36"/>
      </w:r>
      <w:r>
        <w:t>, se han visto masivamente</w:t>
      </w:r>
      <w:r>
        <w:rPr>
          <w:spacing w:val="-7"/>
        </w:rPr>
        <w:t xml:space="preserve"> </w:t>
      </w:r>
      <w:r>
        <w:t>afectados</w:t>
      </w:r>
      <w:r>
        <w:rPr>
          <w:spacing w:val="-8"/>
        </w:rPr>
        <w:t xml:space="preserve"> </w:t>
      </w:r>
      <w:r>
        <w:t>por</w:t>
      </w:r>
      <w:r>
        <w:rPr>
          <w:spacing w:val="-7"/>
        </w:rPr>
        <w:t xml:space="preserve"> </w:t>
      </w:r>
      <w:r>
        <w:t>la</w:t>
      </w:r>
      <w:r>
        <w:rPr>
          <w:spacing w:val="-7"/>
        </w:rPr>
        <w:t xml:space="preserve"> </w:t>
      </w:r>
      <w:r>
        <w:t>implantación</w:t>
      </w:r>
      <w:r>
        <w:rPr>
          <w:spacing w:val="-8"/>
        </w:rPr>
        <w:t xml:space="preserve"> </w:t>
      </w:r>
      <w:r>
        <w:t>de</w:t>
      </w:r>
      <w:r>
        <w:rPr>
          <w:spacing w:val="-8"/>
        </w:rPr>
        <w:t xml:space="preserve"> </w:t>
      </w:r>
      <w:r>
        <w:t>formas</w:t>
      </w:r>
      <w:r>
        <w:rPr>
          <w:spacing w:val="-8"/>
        </w:rPr>
        <w:t xml:space="preserve"> </w:t>
      </w:r>
      <w:r>
        <w:t>de</w:t>
      </w:r>
      <w:r>
        <w:rPr>
          <w:spacing w:val="-8"/>
        </w:rPr>
        <w:t xml:space="preserve"> </w:t>
      </w:r>
      <w:r>
        <w:t>agroindustria</w:t>
      </w:r>
      <w:r>
        <w:rPr>
          <w:spacing w:val="-7"/>
        </w:rPr>
        <w:t xml:space="preserve"> </w:t>
      </w:r>
      <w:r>
        <w:t>poco</w:t>
      </w:r>
      <w:r>
        <w:rPr>
          <w:spacing w:val="-7"/>
        </w:rPr>
        <w:t xml:space="preserve"> </w:t>
      </w:r>
      <w:r>
        <w:t>respetuosas</w:t>
      </w:r>
      <w:r>
        <w:rPr>
          <w:spacing w:val="-7"/>
        </w:rPr>
        <w:t xml:space="preserve"> </w:t>
      </w:r>
      <w:r>
        <w:t>con la naturaleza, la deforestación y la extensión de</w:t>
      </w:r>
      <w:r>
        <w:rPr>
          <w:spacing w:val="-1"/>
        </w:rPr>
        <w:t xml:space="preserve"> </w:t>
      </w:r>
      <w:r>
        <w:t>cultivos de coca, la concentración de tierras para ganadería o proyectos extractivos como minería a gran escala sin cuidado de la naturaleza que se han impuesto mediante la violencia. La minería tradicional, como la desarrollada en las cuencas del Pacífico, ha sido parte del modo de vida de muchas comunidades,</w:t>
      </w:r>
      <w:r>
        <w:rPr>
          <w:spacing w:val="-2"/>
        </w:rPr>
        <w:t xml:space="preserve"> </w:t>
      </w:r>
      <w:r>
        <w:t>mientras</w:t>
      </w:r>
      <w:r>
        <w:rPr>
          <w:spacing w:val="-2"/>
        </w:rPr>
        <w:t xml:space="preserve"> </w:t>
      </w:r>
      <w:r>
        <w:t>que</w:t>
      </w:r>
      <w:r>
        <w:rPr>
          <w:spacing w:val="-2"/>
        </w:rPr>
        <w:t xml:space="preserve"> </w:t>
      </w:r>
      <w:r>
        <w:t>la</w:t>
      </w:r>
      <w:r>
        <w:rPr>
          <w:spacing w:val="-3"/>
        </w:rPr>
        <w:t xml:space="preserve"> </w:t>
      </w:r>
      <w:r>
        <w:t>minería</w:t>
      </w:r>
      <w:r>
        <w:rPr>
          <w:spacing w:val="-2"/>
        </w:rPr>
        <w:t xml:space="preserve"> </w:t>
      </w:r>
      <w:r>
        <w:t>ilegal</w:t>
      </w:r>
      <w:r>
        <w:rPr>
          <w:spacing w:val="-2"/>
        </w:rPr>
        <w:t xml:space="preserve"> </w:t>
      </w:r>
      <w:r>
        <w:t>no</w:t>
      </w:r>
      <w:r>
        <w:rPr>
          <w:spacing w:val="-3"/>
        </w:rPr>
        <w:t xml:space="preserve"> </w:t>
      </w:r>
      <w:r>
        <w:t>cumple</w:t>
      </w:r>
      <w:r>
        <w:rPr>
          <w:spacing w:val="-3"/>
        </w:rPr>
        <w:t xml:space="preserve"> </w:t>
      </w:r>
      <w:r>
        <w:t>las</w:t>
      </w:r>
      <w:r>
        <w:rPr>
          <w:spacing w:val="-3"/>
        </w:rPr>
        <w:t xml:space="preserve"> </w:t>
      </w:r>
      <w:r>
        <w:t>mínimas</w:t>
      </w:r>
      <w:r>
        <w:rPr>
          <w:spacing w:val="-2"/>
        </w:rPr>
        <w:t xml:space="preserve"> </w:t>
      </w:r>
      <w:r>
        <w:t>normas</w:t>
      </w:r>
      <w:r>
        <w:rPr>
          <w:spacing w:val="-2"/>
        </w:rPr>
        <w:t xml:space="preserve"> </w:t>
      </w:r>
      <w:r>
        <w:t>de</w:t>
      </w:r>
      <w:r>
        <w:rPr>
          <w:spacing w:val="-2"/>
        </w:rPr>
        <w:t xml:space="preserve"> </w:t>
      </w:r>
      <w:r>
        <w:t>regulación</w:t>
      </w:r>
      <w:r>
        <w:rPr>
          <w:spacing w:val="-2"/>
        </w:rPr>
        <w:t xml:space="preserve"> </w:t>
      </w:r>
      <w:r>
        <w:t>y la minería criminal de las retroexcavadoras en las cuencas de los ríos, muchas veces manejadas por el narcotráfico y las mafias, destruye los ecosistemas.</w:t>
      </w:r>
    </w:p>
    <w:p w:rsidR="003804AC" w:rsidRDefault="00AF18A5" w:rsidP="00B8684E">
      <w:r>
        <w:t>Todas estas afectaciones, más la siembra de minas antipersona que ha convertido vastos territorios</w:t>
      </w:r>
      <w:r>
        <w:rPr>
          <w:spacing w:val="-6"/>
        </w:rPr>
        <w:t xml:space="preserve"> </w:t>
      </w:r>
      <w:r>
        <w:t>en</w:t>
      </w:r>
      <w:r>
        <w:rPr>
          <w:spacing w:val="-5"/>
        </w:rPr>
        <w:t xml:space="preserve"> </w:t>
      </w:r>
      <w:r>
        <w:t>lugares</w:t>
      </w:r>
      <w:r>
        <w:rPr>
          <w:spacing w:val="-6"/>
        </w:rPr>
        <w:t xml:space="preserve"> </w:t>
      </w:r>
      <w:r>
        <w:t>del</w:t>
      </w:r>
      <w:r>
        <w:rPr>
          <w:spacing w:val="-6"/>
        </w:rPr>
        <w:t xml:space="preserve"> </w:t>
      </w:r>
      <w:r>
        <w:t>miedo</w:t>
      </w:r>
      <w:r>
        <w:rPr>
          <w:spacing w:val="-5"/>
        </w:rPr>
        <w:t xml:space="preserve"> </w:t>
      </w:r>
      <w:r>
        <w:t>y</w:t>
      </w:r>
      <w:r>
        <w:rPr>
          <w:spacing w:val="-6"/>
        </w:rPr>
        <w:t xml:space="preserve"> </w:t>
      </w:r>
      <w:r>
        <w:t>de</w:t>
      </w:r>
      <w:r>
        <w:rPr>
          <w:spacing w:val="-6"/>
        </w:rPr>
        <w:t xml:space="preserve"> </w:t>
      </w:r>
      <w:r>
        <w:t>trampas</w:t>
      </w:r>
      <w:r>
        <w:rPr>
          <w:spacing w:val="-6"/>
        </w:rPr>
        <w:t xml:space="preserve"> </w:t>
      </w:r>
      <w:r>
        <w:t>escondidas</w:t>
      </w:r>
      <w:r>
        <w:rPr>
          <w:spacing w:val="-5"/>
        </w:rPr>
        <w:t xml:space="preserve"> </w:t>
      </w:r>
      <w:r>
        <w:t>para</w:t>
      </w:r>
      <w:r>
        <w:rPr>
          <w:spacing w:val="-6"/>
        </w:rPr>
        <w:t xml:space="preserve"> </w:t>
      </w:r>
      <w:r>
        <w:t>matar,</w:t>
      </w:r>
      <w:r>
        <w:rPr>
          <w:spacing w:val="-6"/>
        </w:rPr>
        <w:t xml:space="preserve"> </w:t>
      </w:r>
      <w:r>
        <w:t>han</w:t>
      </w:r>
      <w:r>
        <w:rPr>
          <w:spacing w:val="-6"/>
        </w:rPr>
        <w:t xml:space="preserve"> </w:t>
      </w:r>
      <w:r>
        <w:t>estado</w:t>
      </w:r>
      <w:r>
        <w:rPr>
          <w:spacing w:val="-6"/>
        </w:rPr>
        <w:t xml:space="preserve"> </w:t>
      </w:r>
      <w:r>
        <w:t>relacionadas de</w:t>
      </w:r>
      <w:r>
        <w:rPr>
          <w:spacing w:val="-3"/>
        </w:rPr>
        <w:t xml:space="preserve"> </w:t>
      </w:r>
      <w:r>
        <w:t>una u otra forma</w:t>
      </w:r>
      <w:r>
        <w:rPr>
          <w:spacing w:val="-1"/>
        </w:rPr>
        <w:t xml:space="preserve"> </w:t>
      </w:r>
      <w:r>
        <w:t>con</w:t>
      </w:r>
      <w:r>
        <w:rPr>
          <w:spacing w:val="-2"/>
        </w:rPr>
        <w:t xml:space="preserve"> </w:t>
      </w:r>
      <w:r>
        <w:t>el conflicto</w:t>
      </w:r>
      <w:r>
        <w:rPr>
          <w:spacing w:val="-2"/>
        </w:rPr>
        <w:t xml:space="preserve"> </w:t>
      </w:r>
      <w:r>
        <w:t>armado.</w:t>
      </w:r>
      <w:r>
        <w:rPr>
          <w:spacing w:val="-1"/>
        </w:rPr>
        <w:t xml:space="preserve"> </w:t>
      </w:r>
      <w:r>
        <w:t>El</w:t>
      </w:r>
      <w:r>
        <w:rPr>
          <w:spacing w:val="-1"/>
        </w:rPr>
        <w:t xml:space="preserve"> </w:t>
      </w:r>
      <w:r>
        <w:t>despojo ha sido</w:t>
      </w:r>
      <w:r>
        <w:rPr>
          <w:spacing w:val="-1"/>
        </w:rPr>
        <w:t xml:space="preserve"> </w:t>
      </w:r>
      <w:r>
        <w:t xml:space="preserve">un mecanismo para </w:t>
      </w:r>
      <w:r>
        <w:rPr>
          <w:spacing w:val="-2"/>
        </w:rPr>
        <w:t>facilitar</w:t>
      </w:r>
      <w:bookmarkStart w:id="73" w:name="_bookmark40"/>
      <w:bookmarkStart w:id="74" w:name="_bookmark41"/>
      <w:bookmarkEnd w:id="73"/>
      <w:bookmarkEnd w:id="74"/>
      <w:r w:rsidR="00B8684E">
        <w:rPr>
          <w:spacing w:val="-2"/>
        </w:rPr>
        <w:t xml:space="preserve"> </w:t>
      </w:r>
      <w:r>
        <w:t>la</w:t>
      </w:r>
      <w:r>
        <w:rPr>
          <w:spacing w:val="-1"/>
        </w:rPr>
        <w:t xml:space="preserve"> </w:t>
      </w:r>
      <w:r>
        <w:t>concentración</w:t>
      </w:r>
      <w:r>
        <w:rPr>
          <w:spacing w:val="-2"/>
        </w:rPr>
        <w:t xml:space="preserve"> </w:t>
      </w:r>
      <w:r>
        <w:t>masiva</w:t>
      </w:r>
      <w:r>
        <w:rPr>
          <w:spacing w:val="-2"/>
        </w:rPr>
        <w:t xml:space="preserve"> </w:t>
      </w:r>
      <w:r>
        <w:t>de</w:t>
      </w:r>
      <w:r>
        <w:rPr>
          <w:spacing w:val="-1"/>
        </w:rPr>
        <w:t xml:space="preserve"> </w:t>
      </w:r>
      <w:r>
        <w:t>terrenos</w:t>
      </w:r>
      <w:r>
        <w:rPr>
          <w:spacing w:val="-2"/>
        </w:rPr>
        <w:t xml:space="preserve"> </w:t>
      </w:r>
      <w:r>
        <w:t>para</w:t>
      </w:r>
      <w:r>
        <w:rPr>
          <w:spacing w:val="-2"/>
        </w:rPr>
        <w:t xml:space="preserve"> </w:t>
      </w:r>
      <w:r>
        <w:t>la</w:t>
      </w:r>
      <w:r>
        <w:rPr>
          <w:spacing w:val="-2"/>
        </w:rPr>
        <w:t xml:space="preserve"> </w:t>
      </w:r>
      <w:r>
        <w:t>explotación</w:t>
      </w:r>
      <w:r>
        <w:rPr>
          <w:spacing w:val="-2"/>
        </w:rPr>
        <w:t xml:space="preserve"> </w:t>
      </w:r>
      <w:r>
        <w:t>ganadera,</w:t>
      </w:r>
      <w:r>
        <w:rPr>
          <w:spacing w:val="-2"/>
        </w:rPr>
        <w:t xml:space="preserve"> </w:t>
      </w:r>
      <w:r>
        <w:t>la</w:t>
      </w:r>
      <w:r>
        <w:rPr>
          <w:spacing w:val="-2"/>
        </w:rPr>
        <w:t xml:space="preserve"> </w:t>
      </w:r>
      <w:r>
        <w:t>acumulación</w:t>
      </w:r>
      <w:r>
        <w:rPr>
          <w:spacing w:val="-1"/>
        </w:rPr>
        <w:t xml:space="preserve"> </w:t>
      </w:r>
      <w:r>
        <w:t>de</w:t>
      </w:r>
      <w:r>
        <w:rPr>
          <w:spacing w:val="-2"/>
        </w:rPr>
        <w:t xml:space="preserve"> </w:t>
      </w:r>
      <w:r>
        <w:t>capital o el blanqueo de dinero del narcotráfico, con profunda afectación también de la naturaleza</w:t>
      </w:r>
    </w:p>
    <w:p w:rsidR="003804AC" w:rsidRDefault="00AF18A5" w:rsidP="00B8684E">
      <w:r>
        <w:lastRenderedPageBreak/>
        <w:t>Han sido las familias campesinas las que han soportado históricamente la carga de las violencias contra sus miembros, enfrentando otros riesgos para la familia, como nuevos desplazamientos.</w:t>
      </w:r>
      <w:r>
        <w:rPr>
          <w:spacing w:val="-15"/>
        </w:rPr>
        <w:t xml:space="preserve"> </w:t>
      </w:r>
      <w:r>
        <w:t>Todavía</w:t>
      </w:r>
      <w:r>
        <w:rPr>
          <w:spacing w:val="-15"/>
        </w:rPr>
        <w:t xml:space="preserve"> </w:t>
      </w:r>
      <w:r>
        <w:t>tras</w:t>
      </w:r>
      <w:r>
        <w:rPr>
          <w:spacing w:val="-15"/>
        </w:rPr>
        <w:t xml:space="preserve"> </w:t>
      </w:r>
      <w:r>
        <w:t>el</w:t>
      </w:r>
      <w:r>
        <w:rPr>
          <w:spacing w:val="-15"/>
        </w:rPr>
        <w:t xml:space="preserve"> </w:t>
      </w:r>
      <w:r>
        <w:t>acuerdo</w:t>
      </w:r>
      <w:r>
        <w:rPr>
          <w:spacing w:val="-15"/>
        </w:rPr>
        <w:t xml:space="preserve"> </w:t>
      </w:r>
      <w:r>
        <w:t>de</w:t>
      </w:r>
      <w:r>
        <w:rPr>
          <w:spacing w:val="-15"/>
        </w:rPr>
        <w:t xml:space="preserve"> </w:t>
      </w:r>
      <w:r>
        <w:t>paz</w:t>
      </w:r>
      <w:r>
        <w:rPr>
          <w:spacing w:val="-15"/>
        </w:rPr>
        <w:t xml:space="preserve"> </w:t>
      </w:r>
      <w:r>
        <w:t>con</w:t>
      </w:r>
      <w:r>
        <w:rPr>
          <w:spacing w:val="-15"/>
        </w:rPr>
        <w:t xml:space="preserve"> </w:t>
      </w:r>
      <w:r>
        <w:t>las</w:t>
      </w:r>
      <w:r>
        <w:rPr>
          <w:spacing w:val="-15"/>
        </w:rPr>
        <w:t xml:space="preserve"> </w:t>
      </w:r>
      <w:r>
        <w:t>FARC-EP,</w:t>
      </w:r>
      <w:r>
        <w:rPr>
          <w:spacing w:val="-15"/>
        </w:rPr>
        <w:t xml:space="preserve"> </w:t>
      </w:r>
      <w:r>
        <w:t>medio</w:t>
      </w:r>
      <w:r>
        <w:rPr>
          <w:spacing w:val="-15"/>
        </w:rPr>
        <w:t xml:space="preserve"> </w:t>
      </w:r>
      <w:r>
        <w:t>millón</w:t>
      </w:r>
      <w:r>
        <w:rPr>
          <w:spacing w:val="-15"/>
        </w:rPr>
        <w:t xml:space="preserve"> </w:t>
      </w:r>
      <w:r>
        <w:t>de</w:t>
      </w:r>
      <w:r>
        <w:rPr>
          <w:spacing w:val="-15"/>
        </w:rPr>
        <w:t xml:space="preserve"> </w:t>
      </w:r>
      <w:r>
        <w:t>personas han sido desplazadas y cerca de una cuarta parte se han mantenido confinadas en diferentes momentos. Los impactos de estas violaciones no pueden separarse de las consecuencias en la naturaleza ni de la relación de la gente con la naturaleza de la que formamos parte. Del campo</w:t>
      </w:r>
      <w:r>
        <w:rPr>
          <w:spacing w:val="-12"/>
        </w:rPr>
        <w:t xml:space="preserve"> </w:t>
      </w:r>
      <w:r>
        <w:t>proviene</w:t>
      </w:r>
      <w:r>
        <w:rPr>
          <w:spacing w:val="-12"/>
        </w:rPr>
        <w:t xml:space="preserve"> </w:t>
      </w:r>
      <w:r>
        <w:t>un</w:t>
      </w:r>
      <w:r>
        <w:rPr>
          <w:spacing w:val="-12"/>
        </w:rPr>
        <w:t xml:space="preserve"> </w:t>
      </w:r>
      <w:r>
        <w:t>gran</w:t>
      </w:r>
      <w:r>
        <w:rPr>
          <w:spacing w:val="-12"/>
        </w:rPr>
        <w:t xml:space="preserve"> </w:t>
      </w:r>
      <w:r>
        <w:t>número</w:t>
      </w:r>
      <w:r>
        <w:rPr>
          <w:spacing w:val="-12"/>
        </w:rPr>
        <w:t xml:space="preserve"> </w:t>
      </w:r>
      <w:r>
        <w:t>de</w:t>
      </w:r>
      <w:r>
        <w:rPr>
          <w:spacing w:val="-12"/>
        </w:rPr>
        <w:t xml:space="preserve"> </w:t>
      </w:r>
      <w:r>
        <w:t>víctimas</w:t>
      </w:r>
      <w:r>
        <w:rPr>
          <w:spacing w:val="-12"/>
        </w:rPr>
        <w:t xml:space="preserve"> </w:t>
      </w:r>
      <w:r>
        <w:t>de</w:t>
      </w:r>
      <w:r>
        <w:rPr>
          <w:spacing w:val="-12"/>
        </w:rPr>
        <w:t xml:space="preserve"> </w:t>
      </w:r>
      <w:r>
        <w:t>violaciones</w:t>
      </w:r>
      <w:r>
        <w:rPr>
          <w:spacing w:val="-12"/>
        </w:rPr>
        <w:t xml:space="preserve"> </w:t>
      </w:r>
      <w:r>
        <w:t>a</w:t>
      </w:r>
      <w:r>
        <w:rPr>
          <w:spacing w:val="-12"/>
        </w:rPr>
        <w:t xml:space="preserve"> </w:t>
      </w:r>
      <w:r>
        <w:t>los</w:t>
      </w:r>
      <w:r>
        <w:rPr>
          <w:spacing w:val="-12"/>
        </w:rPr>
        <w:t xml:space="preserve"> </w:t>
      </w:r>
      <w:r>
        <w:t>derechos</w:t>
      </w:r>
      <w:r>
        <w:rPr>
          <w:spacing w:val="-13"/>
        </w:rPr>
        <w:t xml:space="preserve"> </w:t>
      </w:r>
      <w:r>
        <w:t>humanos,</w:t>
      </w:r>
      <w:r>
        <w:rPr>
          <w:spacing w:val="-12"/>
        </w:rPr>
        <w:t xml:space="preserve"> </w:t>
      </w:r>
      <w:r>
        <w:t>también en las familias campesinas ha recaído el peso de la conformación de los ejércitos de las diferentes</w:t>
      </w:r>
      <w:r>
        <w:rPr>
          <w:spacing w:val="-1"/>
        </w:rPr>
        <w:t xml:space="preserve"> </w:t>
      </w:r>
      <w:r>
        <w:t>orillas</w:t>
      </w:r>
      <w:r>
        <w:rPr>
          <w:spacing w:val="-1"/>
        </w:rPr>
        <w:t xml:space="preserve"> </w:t>
      </w:r>
      <w:r>
        <w:t>políticas</w:t>
      </w:r>
      <w:r>
        <w:rPr>
          <w:spacing w:val="-1"/>
        </w:rPr>
        <w:t xml:space="preserve"> </w:t>
      </w:r>
      <w:r>
        <w:t>y</w:t>
      </w:r>
      <w:r>
        <w:rPr>
          <w:spacing w:val="-1"/>
        </w:rPr>
        <w:t xml:space="preserve"> </w:t>
      </w:r>
      <w:r>
        <w:t>armadas.</w:t>
      </w:r>
      <w:r>
        <w:rPr>
          <w:spacing w:val="-2"/>
        </w:rPr>
        <w:t xml:space="preserve"> </w:t>
      </w:r>
      <w:r>
        <w:t>La</w:t>
      </w:r>
      <w:r>
        <w:rPr>
          <w:spacing w:val="-1"/>
        </w:rPr>
        <w:t xml:space="preserve"> </w:t>
      </w:r>
      <w:r>
        <w:t>señal</w:t>
      </w:r>
      <w:r>
        <w:rPr>
          <w:spacing w:val="-2"/>
        </w:rPr>
        <w:t xml:space="preserve"> </w:t>
      </w:r>
      <w:r>
        <w:t>que</w:t>
      </w:r>
      <w:r>
        <w:rPr>
          <w:spacing w:val="-1"/>
        </w:rPr>
        <w:t xml:space="preserve"> </w:t>
      </w:r>
      <w:r>
        <w:t>se</w:t>
      </w:r>
      <w:r>
        <w:rPr>
          <w:spacing w:val="-2"/>
        </w:rPr>
        <w:t xml:space="preserve"> </w:t>
      </w:r>
      <w:r>
        <w:t>inscribe</w:t>
      </w:r>
      <w:r>
        <w:rPr>
          <w:spacing w:val="-2"/>
        </w:rPr>
        <w:t xml:space="preserve"> </w:t>
      </w:r>
      <w:r>
        <w:t>en</w:t>
      </w:r>
      <w:r>
        <w:rPr>
          <w:spacing w:val="-2"/>
        </w:rPr>
        <w:t xml:space="preserve"> </w:t>
      </w:r>
      <w:r>
        <w:t>los</w:t>
      </w:r>
      <w:r>
        <w:rPr>
          <w:spacing w:val="-2"/>
        </w:rPr>
        <w:t xml:space="preserve"> </w:t>
      </w:r>
      <w:r>
        <w:t>territorios</w:t>
      </w:r>
      <w:r>
        <w:rPr>
          <w:spacing w:val="-1"/>
        </w:rPr>
        <w:t xml:space="preserve"> </w:t>
      </w:r>
      <w:r>
        <w:t>y</w:t>
      </w:r>
      <w:r>
        <w:rPr>
          <w:spacing w:val="-2"/>
        </w:rPr>
        <w:t xml:space="preserve"> </w:t>
      </w:r>
      <w:r>
        <w:t>personas</w:t>
      </w:r>
      <w:r>
        <w:rPr>
          <w:spacing w:val="-1"/>
        </w:rPr>
        <w:t xml:space="preserve"> </w:t>
      </w:r>
      <w:r>
        <w:t>a través</w:t>
      </w:r>
      <w:r>
        <w:rPr>
          <w:spacing w:val="-11"/>
        </w:rPr>
        <w:t xml:space="preserve"> </w:t>
      </w:r>
      <w:r>
        <w:t>de</w:t>
      </w:r>
      <w:r>
        <w:rPr>
          <w:spacing w:val="-11"/>
        </w:rPr>
        <w:t xml:space="preserve"> </w:t>
      </w:r>
      <w:r>
        <w:t>la</w:t>
      </w:r>
      <w:r>
        <w:rPr>
          <w:spacing w:val="-11"/>
        </w:rPr>
        <w:t xml:space="preserve"> </w:t>
      </w:r>
      <w:r>
        <w:t>estigmatización</w:t>
      </w:r>
      <w:r>
        <w:rPr>
          <w:spacing w:val="-10"/>
        </w:rPr>
        <w:t xml:space="preserve"> </w:t>
      </w:r>
      <w:r>
        <w:t>ha</w:t>
      </w:r>
      <w:r>
        <w:rPr>
          <w:spacing w:val="-10"/>
        </w:rPr>
        <w:t xml:space="preserve"> </w:t>
      </w:r>
      <w:r>
        <w:t>sido</w:t>
      </w:r>
      <w:r>
        <w:rPr>
          <w:spacing w:val="-10"/>
        </w:rPr>
        <w:t xml:space="preserve"> </w:t>
      </w:r>
      <w:r>
        <w:t>un</w:t>
      </w:r>
      <w:r>
        <w:rPr>
          <w:spacing w:val="-10"/>
        </w:rPr>
        <w:t xml:space="preserve"> </w:t>
      </w:r>
      <w:r>
        <w:t>elemento</w:t>
      </w:r>
      <w:r>
        <w:rPr>
          <w:spacing w:val="-11"/>
        </w:rPr>
        <w:t xml:space="preserve"> </w:t>
      </w:r>
      <w:r>
        <w:t>legitimador</w:t>
      </w:r>
      <w:r>
        <w:rPr>
          <w:spacing w:val="-10"/>
        </w:rPr>
        <w:t xml:space="preserve"> </w:t>
      </w:r>
      <w:r>
        <w:t>de</w:t>
      </w:r>
      <w:r>
        <w:rPr>
          <w:spacing w:val="-10"/>
        </w:rPr>
        <w:t xml:space="preserve"> </w:t>
      </w:r>
      <w:r>
        <w:t>todas</w:t>
      </w:r>
      <w:r>
        <w:rPr>
          <w:spacing w:val="-11"/>
        </w:rPr>
        <w:t xml:space="preserve"> </w:t>
      </w:r>
      <w:r>
        <w:t>las</w:t>
      </w:r>
      <w:r>
        <w:rPr>
          <w:spacing w:val="-10"/>
        </w:rPr>
        <w:t xml:space="preserve"> </w:t>
      </w:r>
      <w:r>
        <w:t>formas</w:t>
      </w:r>
      <w:r>
        <w:rPr>
          <w:spacing w:val="-11"/>
        </w:rPr>
        <w:t xml:space="preserve"> </w:t>
      </w:r>
      <w:r>
        <w:t>de</w:t>
      </w:r>
      <w:r>
        <w:rPr>
          <w:spacing w:val="-10"/>
        </w:rPr>
        <w:t xml:space="preserve"> </w:t>
      </w:r>
      <w:r>
        <w:t>violencia contra la población, pero también de agresiones contra la naturaleza, concentración de la tierra y expulsión de la población del territorio.</w:t>
      </w:r>
    </w:p>
    <w:p w:rsidR="003804AC" w:rsidRDefault="00AF18A5" w:rsidP="00B8684E">
      <w:r>
        <w:t>La gente me contó mil cuentos. En todos había – y hay– un elemento común: el desalojo por</w:t>
      </w:r>
      <w:r>
        <w:rPr>
          <w:spacing w:val="-9"/>
        </w:rPr>
        <w:t xml:space="preserve"> </w:t>
      </w:r>
      <w:r>
        <w:t>razones</w:t>
      </w:r>
      <w:r>
        <w:rPr>
          <w:spacing w:val="-10"/>
        </w:rPr>
        <w:t xml:space="preserve"> </w:t>
      </w:r>
      <w:r>
        <w:t>políticas,</w:t>
      </w:r>
      <w:r>
        <w:rPr>
          <w:spacing w:val="-9"/>
        </w:rPr>
        <w:t xml:space="preserve"> </w:t>
      </w:r>
      <w:r>
        <w:t>pero</w:t>
      </w:r>
      <w:r>
        <w:rPr>
          <w:spacing w:val="-9"/>
        </w:rPr>
        <w:t xml:space="preserve"> </w:t>
      </w:r>
      <w:r>
        <w:t>con</w:t>
      </w:r>
      <w:r>
        <w:rPr>
          <w:spacing w:val="-9"/>
        </w:rPr>
        <w:t xml:space="preserve"> </w:t>
      </w:r>
      <w:r>
        <w:t>fines</w:t>
      </w:r>
      <w:r>
        <w:rPr>
          <w:spacing w:val="-9"/>
        </w:rPr>
        <w:t xml:space="preserve"> </w:t>
      </w:r>
      <w:r>
        <w:t>económicos.</w:t>
      </w:r>
      <w:r>
        <w:rPr>
          <w:spacing w:val="-10"/>
        </w:rPr>
        <w:t xml:space="preserve"> </w:t>
      </w:r>
      <w:r>
        <w:t>A</w:t>
      </w:r>
      <w:r>
        <w:rPr>
          <w:spacing w:val="-9"/>
        </w:rPr>
        <w:t xml:space="preserve"> </w:t>
      </w:r>
      <w:r>
        <w:t>los</w:t>
      </w:r>
      <w:r>
        <w:rPr>
          <w:spacing w:val="-9"/>
        </w:rPr>
        <w:t xml:space="preserve"> </w:t>
      </w:r>
      <w:r>
        <w:t>campesinos</w:t>
      </w:r>
      <w:r>
        <w:rPr>
          <w:spacing w:val="-9"/>
        </w:rPr>
        <w:t xml:space="preserve"> </w:t>
      </w:r>
      <w:r>
        <w:t>los</w:t>
      </w:r>
      <w:r>
        <w:rPr>
          <w:spacing w:val="-9"/>
        </w:rPr>
        <w:t xml:space="preserve"> </w:t>
      </w:r>
      <w:r>
        <w:t>acusaban</w:t>
      </w:r>
      <w:r>
        <w:rPr>
          <w:spacing w:val="-9"/>
        </w:rPr>
        <w:t xml:space="preserve"> </w:t>
      </w:r>
      <w:r>
        <w:t>los</w:t>
      </w:r>
      <w:r>
        <w:rPr>
          <w:spacing w:val="-10"/>
        </w:rPr>
        <w:t xml:space="preserve"> </w:t>
      </w:r>
      <w:r>
        <w:t>ricos de</w:t>
      </w:r>
      <w:r>
        <w:rPr>
          <w:spacing w:val="-6"/>
        </w:rPr>
        <w:t xml:space="preserve"> </w:t>
      </w:r>
      <w:r>
        <w:t>ser</w:t>
      </w:r>
      <w:r>
        <w:rPr>
          <w:spacing w:val="-5"/>
        </w:rPr>
        <w:t xml:space="preserve"> </w:t>
      </w:r>
      <w:r>
        <w:t>liberales,</w:t>
      </w:r>
      <w:r>
        <w:rPr>
          <w:spacing w:val="-6"/>
        </w:rPr>
        <w:t xml:space="preserve"> </w:t>
      </w:r>
      <w:r>
        <w:t>o</w:t>
      </w:r>
      <w:r>
        <w:rPr>
          <w:spacing w:val="-6"/>
        </w:rPr>
        <w:t xml:space="preserve"> </w:t>
      </w:r>
      <w:r>
        <w:t>conservadores,</w:t>
      </w:r>
      <w:r>
        <w:rPr>
          <w:spacing w:val="-6"/>
        </w:rPr>
        <w:t xml:space="preserve"> </w:t>
      </w:r>
      <w:r>
        <w:t>o</w:t>
      </w:r>
      <w:r>
        <w:rPr>
          <w:spacing w:val="-6"/>
        </w:rPr>
        <w:t xml:space="preserve"> </w:t>
      </w:r>
      <w:r>
        <w:t>comunistas,</w:t>
      </w:r>
      <w:r>
        <w:rPr>
          <w:spacing w:val="-6"/>
        </w:rPr>
        <w:t xml:space="preserve"> </w:t>
      </w:r>
      <w:r>
        <w:t>para</w:t>
      </w:r>
      <w:r>
        <w:rPr>
          <w:spacing w:val="-6"/>
        </w:rPr>
        <w:t xml:space="preserve"> </w:t>
      </w:r>
      <w:r>
        <w:t>expulsarlos</w:t>
      </w:r>
      <w:r>
        <w:rPr>
          <w:spacing w:val="-6"/>
        </w:rPr>
        <w:t xml:space="preserve"> </w:t>
      </w:r>
      <w:r>
        <w:t>de</w:t>
      </w:r>
      <w:r>
        <w:rPr>
          <w:spacing w:val="-6"/>
        </w:rPr>
        <w:t xml:space="preserve"> </w:t>
      </w:r>
      <w:r>
        <w:t>sus</w:t>
      </w:r>
      <w:r>
        <w:rPr>
          <w:spacing w:val="-6"/>
        </w:rPr>
        <w:t xml:space="preserve"> </w:t>
      </w:r>
      <w:r>
        <w:t>tierras</w:t>
      </w:r>
      <w:r>
        <w:rPr>
          <w:spacing w:val="-6"/>
        </w:rPr>
        <w:t xml:space="preserve"> </w:t>
      </w:r>
      <w:r>
        <w:t>y</w:t>
      </w:r>
      <w:r>
        <w:rPr>
          <w:spacing w:val="-6"/>
        </w:rPr>
        <w:t xml:space="preserve"> </w:t>
      </w:r>
      <w:r>
        <w:t>quedarse con</w:t>
      </w:r>
      <w:r>
        <w:rPr>
          <w:spacing w:val="-2"/>
        </w:rPr>
        <w:t xml:space="preserve"> </w:t>
      </w:r>
      <w:r>
        <w:t>ellas.</w:t>
      </w:r>
      <w:r>
        <w:rPr>
          <w:spacing w:val="-3"/>
        </w:rPr>
        <w:t xml:space="preserve"> </w:t>
      </w:r>
      <w:r>
        <w:t>Siempre</w:t>
      </w:r>
      <w:r>
        <w:rPr>
          <w:spacing w:val="-3"/>
        </w:rPr>
        <w:t xml:space="preserve"> </w:t>
      </w:r>
      <w:r>
        <w:t>las</w:t>
      </w:r>
      <w:r>
        <w:rPr>
          <w:spacing w:val="-2"/>
        </w:rPr>
        <w:t xml:space="preserve"> </w:t>
      </w:r>
      <w:r>
        <w:t>guerras</w:t>
      </w:r>
      <w:r>
        <w:rPr>
          <w:spacing w:val="-3"/>
        </w:rPr>
        <w:t xml:space="preserve"> </w:t>
      </w:r>
      <w:r>
        <w:t>se</w:t>
      </w:r>
      <w:r>
        <w:rPr>
          <w:spacing w:val="-3"/>
        </w:rPr>
        <w:t xml:space="preserve"> </w:t>
      </w:r>
      <w:r>
        <w:t>han</w:t>
      </w:r>
      <w:r>
        <w:rPr>
          <w:spacing w:val="-3"/>
        </w:rPr>
        <w:t xml:space="preserve"> </w:t>
      </w:r>
      <w:r>
        <w:t>pagado</w:t>
      </w:r>
      <w:r>
        <w:rPr>
          <w:spacing w:val="-2"/>
        </w:rPr>
        <w:t xml:space="preserve"> </w:t>
      </w:r>
      <w:r>
        <w:t>en</w:t>
      </w:r>
      <w:r>
        <w:rPr>
          <w:spacing w:val="-3"/>
        </w:rPr>
        <w:t xml:space="preserve"> </w:t>
      </w:r>
      <w:r>
        <w:t>Colombia</w:t>
      </w:r>
      <w:r>
        <w:rPr>
          <w:spacing w:val="-2"/>
        </w:rPr>
        <w:t xml:space="preserve"> </w:t>
      </w:r>
      <w:r>
        <w:t>con</w:t>
      </w:r>
      <w:r>
        <w:rPr>
          <w:spacing w:val="-3"/>
        </w:rPr>
        <w:t xml:space="preserve"> </w:t>
      </w:r>
      <w:r>
        <w:t>tierras.</w:t>
      </w:r>
      <w:r>
        <w:rPr>
          <w:spacing w:val="-2"/>
        </w:rPr>
        <w:t xml:space="preserve"> </w:t>
      </w:r>
      <w:r>
        <w:t>Nuestra</w:t>
      </w:r>
      <w:r>
        <w:rPr>
          <w:spacing w:val="-3"/>
        </w:rPr>
        <w:t xml:space="preserve"> </w:t>
      </w:r>
      <w:r>
        <w:t>historia</w:t>
      </w:r>
      <w:r>
        <w:rPr>
          <w:spacing w:val="-3"/>
        </w:rPr>
        <w:t xml:space="preserve"> </w:t>
      </w:r>
      <w:r>
        <w:t>es la historia de un desplazamiento incesante, solo a ratos interrumpido.</w:t>
      </w:r>
      <w:r w:rsidR="00B8684E">
        <w:rPr>
          <w:rStyle w:val="Refdenotaalpie"/>
        </w:rPr>
        <w:footnoteReference w:id="37"/>
      </w:r>
      <w:r w:rsidR="00B8684E">
        <w:t xml:space="preserve"> </w:t>
      </w:r>
    </w:p>
    <w:p w:rsidR="003804AC" w:rsidRDefault="00AF18A5" w:rsidP="00B8684E">
      <w:r>
        <w:t>Las afectaciones a comunidades fuertemente ligadas al territorio, donde la</w:t>
      </w:r>
      <w:r>
        <w:rPr>
          <w:spacing w:val="-1"/>
        </w:rPr>
        <w:t xml:space="preserve"> </w:t>
      </w:r>
      <w:r>
        <w:t>relación estrecha con la naturaleza forma parte de su identidad, muestran que no se puede pensar en los impactos</w:t>
      </w:r>
      <w:r>
        <w:rPr>
          <w:spacing w:val="-8"/>
        </w:rPr>
        <w:t xml:space="preserve"> </w:t>
      </w:r>
      <w:r>
        <w:t>que</w:t>
      </w:r>
      <w:r>
        <w:rPr>
          <w:spacing w:val="-8"/>
        </w:rPr>
        <w:t xml:space="preserve"> </w:t>
      </w:r>
      <w:r>
        <w:t>ha</w:t>
      </w:r>
      <w:r>
        <w:rPr>
          <w:spacing w:val="-8"/>
        </w:rPr>
        <w:t xml:space="preserve"> </w:t>
      </w:r>
      <w:r>
        <w:t>tenido</w:t>
      </w:r>
      <w:r>
        <w:rPr>
          <w:spacing w:val="-8"/>
        </w:rPr>
        <w:t xml:space="preserve"> </w:t>
      </w:r>
      <w:r>
        <w:t>el</w:t>
      </w:r>
      <w:r>
        <w:rPr>
          <w:spacing w:val="-8"/>
        </w:rPr>
        <w:t xml:space="preserve"> </w:t>
      </w:r>
      <w:r>
        <w:lastRenderedPageBreak/>
        <w:t>conflicto</w:t>
      </w:r>
      <w:r>
        <w:rPr>
          <w:spacing w:val="-8"/>
        </w:rPr>
        <w:t xml:space="preserve"> </w:t>
      </w:r>
      <w:r>
        <w:t>armado</w:t>
      </w:r>
      <w:r>
        <w:rPr>
          <w:spacing w:val="-8"/>
        </w:rPr>
        <w:t xml:space="preserve"> </w:t>
      </w:r>
      <w:r>
        <w:t>o</w:t>
      </w:r>
      <w:r>
        <w:rPr>
          <w:spacing w:val="-8"/>
        </w:rPr>
        <w:t xml:space="preserve"> </w:t>
      </w:r>
      <w:r>
        <w:t>un</w:t>
      </w:r>
      <w:r>
        <w:rPr>
          <w:spacing w:val="-8"/>
        </w:rPr>
        <w:t xml:space="preserve"> </w:t>
      </w:r>
      <w:r>
        <w:t>desarrollo</w:t>
      </w:r>
      <w:r>
        <w:rPr>
          <w:spacing w:val="-8"/>
        </w:rPr>
        <w:t xml:space="preserve"> </w:t>
      </w:r>
      <w:r>
        <w:t>excluyente</w:t>
      </w:r>
      <w:r>
        <w:rPr>
          <w:spacing w:val="-8"/>
        </w:rPr>
        <w:t xml:space="preserve"> </w:t>
      </w:r>
      <w:r>
        <w:t>basado</w:t>
      </w:r>
      <w:r>
        <w:rPr>
          <w:spacing w:val="-8"/>
        </w:rPr>
        <w:t xml:space="preserve"> </w:t>
      </w:r>
      <w:r>
        <w:t>en</w:t>
      </w:r>
      <w:r>
        <w:rPr>
          <w:spacing w:val="-8"/>
        </w:rPr>
        <w:t xml:space="preserve"> </w:t>
      </w:r>
      <w:r>
        <w:t>la</w:t>
      </w:r>
      <w:r>
        <w:rPr>
          <w:spacing w:val="-8"/>
        </w:rPr>
        <w:t xml:space="preserve"> </w:t>
      </w:r>
      <w:r>
        <w:t>coacción de</w:t>
      </w:r>
      <w:r>
        <w:rPr>
          <w:spacing w:val="-1"/>
        </w:rPr>
        <w:t xml:space="preserve"> </w:t>
      </w:r>
      <w:r>
        <w:t>las</w:t>
      </w:r>
      <w:r>
        <w:rPr>
          <w:spacing w:val="-2"/>
        </w:rPr>
        <w:t xml:space="preserve"> </w:t>
      </w:r>
      <w:r>
        <w:t>armas,</w:t>
      </w:r>
      <w:r>
        <w:rPr>
          <w:spacing w:val="-1"/>
        </w:rPr>
        <w:t xml:space="preserve"> </w:t>
      </w:r>
      <w:r>
        <w:t>sin</w:t>
      </w:r>
      <w:r>
        <w:rPr>
          <w:spacing w:val="-2"/>
        </w:rPr>
        <w:t xml:space="preserve"> </w:t>
      </w:r>
      <w:r>
        <w:t>tener</w:t>
      </w:r>
      <w:r>
        <w:rPr>
          <w:spacing w:val="-2"/>
        </w:rPr>
        <w:t xml:space="preserve"> </w:t>
      </w:r>
      <w:r>
        <w:t>en</w:t>
      </w:r>
      <w:r>
        <w:rPr>
          <w:spacing w:val="-1"/>
        </w:rPr>
        <w:t xml:space="preserve"> </w:t>
      </w:r>
      <w:r>
        <w:t>cuenta</w:t>
      </w:r>
      <w:r>
        <w:rPr>
          <w:spacing w:val="-2"/>
        </w:rPr>
        <w:t xml:space="preserve"> </w:t>
      </w:r>
      <w:r>
        <w:t>las</w:t>
      </w:r>
      <w:r>
        <w:rPr>
          <w:spacing w:val="-2"/>
        </w:rPr>
        <w:t xml:space="preserve"> </w:t>
      </w:r>
      <w:r>
        <w:t>afectaciones</w:t>
      </w:r>
      <w:r>
        <w:rPr>
          <w:spacing w:val="-2"/>
        </w:rPr>
        <w:t xml:space="preserve"> </w:t>
      </w:r>
      <w:r>
        <w:t>a</w:t>
      </w:r>
      <w:r>
        <w:rPr>
          <w:spacing w:val="-1"/>
        </w:rPr>
        <w:t xml:space="preserve"> </w:t>
      </w:r>
      <w:r>
        <w:t>la</w:t>
      </w:r>
      <w:r>
        <w:rPr>
          <w:spacing w:val="-2"/>
        </w:rPr>
        <w:t xml:space="preserve"> </w:t>
      </w:r>
      <w:r>
        <w:t>vida</w:t>
      </w:r>
      <w:r>
        <w:rPr>
          <w:spacing w:val="-2"/>
        </w:rPr>
        <w:t xml:space="preserve"> </w:t>
      </w:r>
      <w:r>
        <w:t>y</w:t>
      </w:r>
      <w:r>
        <w:rPr>
          <w:spacing w:val="-1"/>
        </w:rPr>
        <w:t xml:space="preserve"> </w:t>
      </w:r>
      <w:r>
        <w:t>la</w:t>
      </w:r>
      <w:r>
        <w:rPr>
          <w:spacing w:val="-1"/>
        </w:rPr>
        <w:t xml:space="preserve"> </w:t>
      </w:r>
      <w:r>
        <w:t>cultura</w:t>
      </w:r>
      <w:r>
        <w:rPr>
          <w:spacing w:val="-2"/>
        </w:rPr>
        <w:t xml:space="preserve"> </w:t>
      </w:r>
      <w:r>
        <w:t>de</w:t>
      </w:r>
      <w:r>
        <w:rPr>
          <w:spacing w:val="-2"/>
        </w:rPr>
        <w:t xml:space="preserve"> </w:t>
      </w:r>
      <w:r>
        <w:t>estas</w:t>
      </w:r>
      <w:r>
        <w:rPr>
          <w:spacing w:val="-2"/>
        </w:rPr>
        <w:t xml:space="preserve"> </w:t>
      </w:r>
      <w:r>
        <w:t>comunidades y sus derechos colectivos.</w:t>
      </w:r>
    </w:p>
    <w:p w:rsidR="003804AC" w:rsidRDefault="00AF18A5" w:rsidP="00B8684E">
      <w:r>
        <w:t>La naturaleza no es solo un paisaje. Es la fuente de vida y de la relación y la identidad profunda</w:t>
      </w:r>
      <w:r>
        <w:rPr>
          <w:spacing w:val="1"/>
        </w:rPr>
        <w:t xml:space="preserve"> </w:t>
      </w:r>
      <w:r>
        <w:t>del</w:t>
      </w:r>
      <w:r>
        <w:rPr>
          <w:spacing w:val="3"/>
        </w:rPr>
        <w:t xml:space="preserve"> </w:t>
      </w:r>
      <w:r>
        <w:t>mundo</w:t>
      </w:r>
      <w:r>
        <w:rPr>
          <w:spacing w:val="3"/>
        </w:rPr>
        <w:t xml:space="preserve"> </w:t>
      </w:r>
      <w:r>
        <w:t>campesino</w:t>
      </w:r>
      <w:r>
        <w:rPr>
          <w:spacing w:val="3"/>
        </w:rPr>
        <w:t xml:space="preserve"> </w:t>
      </w:r>
      <w:r>
        <w:t>y</w:t>
      </w:r>
      <w:r>
        <w:rPr>
          <w:spacing w:val="3"/>
        </w:rPr>
        <w:t xml:space="preserve"> </w:t>
      </w:r>
      <w:r>
        <w:t>de</w:t>
      </w:r>
      <w:r>
        <w:rPr>
          <w:spacing w:val="2"/>
        </w:rPr>
        <w:t xml:space="preserve"> </w:t>
      </w:r>
      <w:r>
        <w:t>los</w:t>
      </w:r>
      <w:r>
        <w:rPr>
          <w:spacing w:val="4"/>
        </w:rPr>
        <w:t xml:space="preserve"> </w:t>
      </w:r>
      <w:r>
        <w:t>pueblos</w:t>
      </w:r>
      <w:r>
        <w:rPr>
          <w:spacing w:val="2"/>
        </w:rPr>
        <w:t xml:space="preserve"> </w:t>
      </w:r>
      <w:r>
        <w:t>étnicos</w:t>
      </w:r>
      <w:r>
        <w:rPr>
          <w:spacing w:val="4"/>
        </w:rPr>
        <w:t xml:space="preserve"> </w:t>
      </w:r>
      <w:r>
        <w:t>con</w:t>
      </w:r>
      <w:r>
        <w:rPr>
          <w:spacing w:val="2"/>
        </w:rPr>
        <w:t xml:space="preserve"> </w:t>
      </w:r>
      <w:r>
        <w:t>la</w:t>
      </w:r>
      <w:r>
        <w:rPr>
          <w:spacing w:val="4"/>
        </w:rPr>
        <w:t xml:space="preserve"> </w:t>
      </w:r>
      <w:r>
        <w:t>Madre</w:t>
      </w:r>
      <w:r>
        <w:rPr>
          <w:spacing w:val="3"/>
        </w:rPr>
        <w:t xml:space="preserve"> </w:t>
      </w:r>
      <w:r>
        <w:t>Tierra.</w:t>
      </w:r>
      <w:r>
        <w:rPr>
          <w:spacing w:val="3"/>
        </w:rPr>
        <w:t xml:space="preserve"> </w:t>
      </w:r>
      <w:r>
        <w:t>La</w:t>
      </w:r>
      <w:r>
        <w:rPr>
          <w:spacing w:val="3"/>
        </w:rPr>
        <w:t xml:space="preserve"> </w:t>
      </w:r>
      <w:r>
        <w:rPr>
          <w:spacing w:val="-2"/>
        </w:rPr>
        <w:t>naturaleza</w:t>
      </w:r>
      <w:bookmarkStart w:id="75" w:name="_bookmark42"/>
      <w:bookmarkEnd w:id="75"/>
      <w:r w:rsidR="00B8684E">
        <w:t xml:space="preserve"> </w:t>
      </w:r>
      <w:r>
        <w:t>vista</w:t>
      </w:r>
      <w:r>
        <w:rPr>
          <w:spacing w:val="-1"/>
        </w:rPr>
        <w:t xml:space="preserve"> </w:t>
      </w:r>
      <w:r>
        <w:t>como</w:t>
      </w:r>
      <w:r>
        <w:rPr>
          <w:spacing w:val="-2"/>
        </w:rPr>
        <w:t xml:space="preserve"> </w:t>
      </w:r>
      <w:r>
        <w:t>un</w:t>
      </w:r>
      <w:r>
        <w:rPr>
          <w:spacing w:val="-1"/>
        </w:rPr>
        <w:t xml:space="preserve"> </w:t>
      </w:r>
      <w:r>
        <w:t>mundo</w:t>
      </w:r>
      <w:r>
        <w:rPr>
          <w:spacing w:val="-1"/>
        </w:rPr>
        <w:t xml:space="preserve"> </w:t>
      </w:r>
      <w:r>
        <w:t>por</w:t>
      </w:r>
      <w:r>
        <w:rPr>
          <w:spacing w:val="-1"/>
        </w:rPr>
        <w:t xml:space="preserve"> </w:t>
      </w:r>
      <w:r>
        <w:t>conquistar</w:t>
      </w:r>
      <w:r>
        <w:rPr>
          <w:spacing w:val="-1"/>
        </w:rPr>
        <w:t xml:space="preserve"> </w:t>
      </w:r>
      <w:r>
        <w:t>y</w:t>
      </w:r>
      <w:r>
        <w:rPr>
          <w:spacing w:val="-1"/>
        </w:rPr>
        <w:t xml:space="preserve"> </w:t>
      </w:r>
      <w:r>
        <w:t>someter,</w:t>
      </w:r>
      <w:r>
        <w:rPr>
          <w:spacing w:val="-2"/>
        </w:rPr>
        <w:t xml:space="preserve"> </w:t>
      </w:r>
      <w:r>
        <w:t>o</w:t>
      </w:r>
      <w:r>
        <w:rPr>
          <w:spacing w:val="-1"/>
        </w:rPr>
        <w:t xml:space="preserve"> </w:t>
      </w:r>
      <w:r>
        <w:t>considerada</w:t>
      </w:r>
      <w:r>
        <w:rPr>
          <w:spacing w:val="-1"/>
        </w:rPr>
        <w:t xml:space="preserve"> </w:t>
      </w:r>
      <w:r>
        <w:t>solo</w:t>
      </w:r>
      <w:r>
        <w:rPr>
          <w:spacing w:val="-1"/>
        </w:rPr>
        <w:t xml:space="preserve"> </w:t>
      </w:r>
      <w:r>
        <w:t>como</w:t>
      </w:r>
      <w:r>
        <w:rPr>
          <w:spacing w:val="-3"/>
        </w:rPr>
        <w:t xml:space="preserve"> </w:t>
      </w:r>
      <w:r>
        <w:t>fuente</w:t>
      </w:r>
      <w:r>
        <w:rPr>
          <w:spacing w:val="-1"/>
        </w:rPr>
        <w:t xml:space="preserve"> </w:t>
      </w:r>
      <w:r>
        <w:t>de</w:t>
      </w:r>
      <w:r>
        <w:rPr>
          <w:spacing w:val="-2"/>
        </w:rPr>
        <w:t xml:space="preserve"> </w:t>
      </w:r>
      <w:r>
        <w:t>recursos económicos</w:t>
      </w:r>
      <w:r>
        <w:rPr>
          <w:spacing w:val="-1"/>
        </w:rPr>
        <w:t xml:space="preserve"> </w:t>
      </w:r>
      <w:r>
        <w:t>que deben</w:t>
      </w:r>
      <w:r>
        <w:rPr>
          <w:spacing w:val="-1"/>
        </w:rPr>
        <w:t xml:space="preserve"> </w:t>
      </w:r>
      <w:r>
        <w:t>explotarse</w:t>
      </w:r>
      <w:r>
        <w:rPr>
          <w:spacing w:val="-1"/>
        </w:rPr>
        <w:t xml:space="preserve"> </w:t>
      </w:r>
      <w:r>
        <w:t>como sea,</w:t>
      </w:r>
      <w:r>
        <w:rPr>
          <w:spacing w:val="-1"/>
        </w:rPr>
        <w:t xml:space="preserve"> </w:t>
      </w:r>
      <w:r>
        <w:t>se</w:t>
      </w:r>
      <w:r>
        <w:rPr>
          <w:spacing w:val="-1"/>
        </w:rPr>
        <w:t xml:space="preserve"> </w:t>
      </w:r>
      <w:r>
        <w:t>ha convertido</w:t>
      </w:r>
      <w:r>
        <w:rPr>
          <w:spacing w:val="-1"/>
        </w:rPr>
        <w:t xml:space="preserve"> </w:t>
      </w:r>
      <w:r>
        <w:t>en el conflicto colombiano en un factor de destrucción y persistencia. Destrucción de modos de vida y del cuidado. Persistencia por cuanto la explotación criminal de la naturaleza ha sido un mecanismo de financiamiento</w:t>
      </w:r>
      <w:r>
        <w:rPr>
          <w:spacing w:val="-3"/>
        </w:rPr>
        <w:t xml:space="preserve"> </w:t>
      </w:r>
      <w:r>
        <w:t>de</w:t>
      </w:r>
      <w:r>
        <w:rPr>
          <w:spacing w:val="-3"/>
        </w:rPr>
        <w:t xml:space="preserve"> </w:t>
      </w:r>
      <w:r>
        <w:t>la</w:t>
      </w:r>
      <w:r>
        <w:rPr>
          <w:spacing w:val="-3"/>
        </w:rPr>
        <w:t xml:space="preserve"> </w:t>
      </w:r>
      <w:r>
        <w:t>guerra,</w:t>
      </w:r>
      <w:r>
        <w:rPr>
          <w:spacing w:val="-3"/>
        </w:rPr>
        <w:t xml:space="preserve"> </w:t>
      </w:r>
      <w:r>
        <w:t>de</w:t>
      </w:r>
      <w:r>
        <w:rPr>
          <w:spacing w:val="-3"/>
        </w:rPr>
        <w:t xml:space="preserve"> </w:t>
      </w:r>
      <w:r>
        <w:t>blanqueamiento</w:t>
      </w:r>
      <w:r>
        <w:rPr>
          <w:spacing w:val="-5"/>
        </w:rPr>
        <w:t xml:space="preserve"> </w:t>
      </w:r>
      <w:r>
        <w:t>de</w:t>
      </w:r>
      <w:r>
        <w:rPr>
          <w:spacing w:val="-3"/>
        </w:rPr>
        <w:t xml:space="preserve"> </w:t>
      </w:r>
      <w:r>
        <w:t>capitales</w:t>
      </w:r>
      <w:r>
        <w:rPr>
          <w:spacing w:val="-3"/>
        </w:rPr>
        <w:t xml:space="preserve"> </w:t>
      </w:r>
      <w:r>
        <w:t>o</w:t>
      </w:r>
      <w:r>
        <w:rPr>
          <w:spacing w:val="-3"/>
        </w:rPr>
        <w:t xml:space="preserve"> </w:t>
      </w:r>
      <w:r>
        <w:t>de</w:t>
      </w:r>
      <w:r>
        <w:rPr>
          <w:spacing w:val="-3"/>
        </w:rPr>
        <w:t xml:space="preserve"> </w:t>
      </w:r>
      <w:r>
        <w:t>contar</w:t>
      </w:r>
      <w:r>
        <w:rPr>
          <w:spacing w:val="-4"/>
        </w:rPr>
        <w:t xml:space="preserve"> </w:t>
      </w:r>
      <w:r>
        <w:t>con</w:t>
      </w:r>
      <w:r>
        <w:rPr>
          <w:spacing w:val="-3"/>
        </w:rPr>
        <w:t xml:space="preserve"> </w:t>
      </w:r>
      <w:r>
        <w:t>corredores</w:t>
      </w:r>
      <w:r>
        <w:rPr>
          <w:spacing w:val="-3"/>
        </w:rPr>
        <w:t xml:space="preserve"> </w:t>
      </w:r>
      <w:r>
        <w:t>para el narcotráfico.</w:t>
      </w:r>
    </w:p>
    <w:p w:rsidR="003804AC" w:rsidRDefault="00AF18A5" w:rsidP="00B8684E">
      <w:r>
        <w:t>Las</w:t>
      </w:r>
      <w:r>
        <w:rPr>
          <w:spacing w:val="-1"/>
        </w:rPr>
        <w:t xml:space="preserve"> </w:t>
      </w:r>
      <w:r>
        <w:t>reivindicaciones</w:t>
      </w:r>
      <w:r>
        <w:rPr>
          <w:spacing w:val="-1"/>
        </w:rPr>
        <w:t xml:space="preserve"> </w:t>
      </w:r>
      <w:r>
        <w:t>de</w:t>
      </w:r>
      <w:r>
        <w:rPr>
          <w:spacing w:val="-2"/>
        </w:rPr>
        <w:t xml:space="preserve"> </w:t>
      </w:r>
      <w:r>
        <w:t>los</w:t>
      </w:r>
      <w:r>
        <w:rPr>
          <w:spacing w:val="-1"/>
        </w:rPr>
        <w:t xml:space="preserve"> </w:t>
      </w:r>
      <w:r>
        <w:t>pueblos</w:t>
      </w:r>
      <w:r>
        <w:rPr>
          <w:spacing w:val="-2"/>
        </w:rPr>
        <w:t xml:space="preserve"> </w:t>
      </w:r>
      <w:r>
        <w:t>étnicos</w:t>
      </w:r>
      <w:r>
        <w:rPr>
          <w:spacing w:val="-1"/>
        </w:rPr>
        <w:t xml:space="preserve"> </w:t>
      </w:r>
      <w:r>
        <w:t>sobre</w:t>
      </w:r>
      <w:r>
        <w:rPr>
          <w:spacing w:val="-1"/>
        </w:rPr>
        <w:t xml:space="preserve"> </w:t>
      </w:r>
      <w:r>
        <w:t>la</w:t>
      </w:r>
      <w:r>
        <w:rPr>
          <w:spacing w:val="-1"/>
        </w:rPr>
        <w:t xml:space="preserve"> </w:t>
      </w:r>
      <w:r>
        <w:t>protección</w:t>
      </w:r>
      <w:r>
        <w:rPr>
          <w:spacing w:val="-1"/>
        </w:rPr>
        <w:t xml:space="preserve"> </w:t>
      </w:r>
      <w:r>
        <w:t>de</w:t>
      </w:r>
      <w:r>
        <w:rPr>
          <w:spacing w:val="-1"/>
        </w:rPr>
        <w:t xml:space="preserve"> </w:t>
      </w:r>
      <w:r>
        <w:t>la</w:t>
      </w:r>
      <w:r>
        <w:rPr>
          <w:spacing w:val="-1"/>
        </w:rPr>
        <w:t xml:space="preserve"> </w:t>
      </w:r>
      <w:r>
        <w:t>naturaleza</w:t>
      </w:r>
      <w:r>
        <w:rPr>
          <w:spacing w:val="-1"/>
        </w:rPr>
        <w:t xml:space="preserve"> </w:t>
      </w:r>
      <w:r>
        <w:t>no</w:t>
      </w:r>
      <w:r>
        <w:rPr>
          <w:spacing w:val="-2"/>
        </w:rPr>
        <w:t xml:space="preserve"> </w:t>
      </w:r>
      <w:r>
        <w:t>miran hacia un pasado idílico, sino al único futuro posible que tienen el país y la humanidad. La paz, que es también –y, sobre todo– territorial en Colombia, pasa por el respeto de los derechos humanos y del DIH, pero también de la naturaleza.</w:t>
      </w:r>
    </w:p>
    <w:p w:rsidR="0011361F" w:rsidRPr="00426232" w:rsidRDefault="00AF18A5" w:rsidP="004A6EF4">
      <w:pPr>
        <w:pStyle w:val="Ttulo3"/>
        <w:numPr>
          <w:ilvl w:val="1"/>
          <w:numId w:val="18"/>
        </w:numPr>
      </w:pPr>
      <w:bookmarkStart w:id="76" w:name="1.4._Los_caminos_de_la_reconstrucción"/>
      <w:bookmarkStart w:id="77" w:name="_Toc112399538"/>
      <w:bookmarkEnd w:id="76"/>
      <w:r w:rsidRPr="00426232">
        <w:t>Los caminos de la reconstrucción</w:t>
      </w:r>
      <w:bookmarkEnd w:id="77"/>
    </w:p>
    <w:p w:rsidR="003804AC" w:rsidRDefault="00AF18A5" w:rsidP="00426232">
      <w:r>
        <w:t>Los</w:t>
      </w:r>
      <w:r>
        <w:rPr>
          <w:spacing w:val="-4"/>
        </w:rPr>
        <w:t xml:space="preserve"> </w:t>
      </w:r>
      <w:r>
        <w:t>caminos</w:t>
      </w:r>
      <w:r>
        <w:rPr>
          <w:spacing w:val="-6"/>
        </w:rPr>
        <w:t xml:space="preserve"> </w:t>
      </w:r>
      <w:r>
        <w:t>de</w:t>
      </w:r>
      <w:r>
        <w:rPr>
          <w:spacing w:val="-4"/>
        </w:rPr>
        <w:t xml:space="preserve"> </w:t>
      </w:r>
      <w:r>
        <w:t>salida</w:t>
      </w:r>
      <w:r>
        <w:rPr>
          <w:spacing w:val="-4"/>
        </w:rPr>
        <w:t xml:space="preserve"> </w:t>
      </w:r>
      <w:r>
        <w:t>al</w:t>
      </w:r>
      <w:r>
        <w:rPr>
          <w:spacing w:val="-5"/>
        </w:rPr>
        <w:t xml:space="preserve"> </w:t>
      </w:r>
      <w:r>
        <w:t>conflicto</w:t>
      </w:r>
      <w:r>
        <w:rPr>
          <w:spacing w:val="-6"/>
        </w:rPr>
        <w:t xml:space="preserve"> </w:t>
      </w:r>
      <w:r>
        <w:t>armado</w:t>
      </w:r>
      <w:r>
        <w:rPr>
          <w:spacing w:val="-5"/>
        </w:rPr>
        <w:t xml:space="preserve"> </w:t>
      </w:r>
      <w:r>
        <w:t>que</w:t>
      </w:r>
      <w:r>
        <w:rPr>
          <w:spacing w:val="-6"/>
        </w:rPr>
        <w:t xml:space="preserve"> </w:t>
      </w:r>
      <w:r>
        <w:t>pasan</w:t>
      </w:r>
      <w:r>
        <w:rPr>
          <w:spacing w:val="-5"/>
        </w:rPr>
        <w:t xml:space="preserve"> </w:t>
      </w:r>
      <w:r>
        <w:t>por</w:t>
      </w:r>
      <w:r>
        <w:rPr>
          <w:spacing w:val="-5"/>
        </w:rPr>
        <w:t xml:space="preserve"> </w:t>
      </w:r>
      <w:r>
        <w:t>el</w:t>
      </w:r>
      <w:r>
        <w:rPr>
          <w:spacing w:val="-5"/>
        </w:rPr>
        <w:t xml:space="preserve"> </w:t>
      </w:r>
      <w:r>
        <w:t>reconocimiento</w:t>
      </w:r>
      <w:r>
        <w:rPr>
          <w:spacing w:val="-5"/>
        </w:rPr>
        <w:t xml:space="preserve"> </w:t>
      </w:r>
      <w:r>
        <w:t>de</w:t>
      </w:r>
      <w:r>
        <w:rPr>
          <w:spacing w:val="-6"/>
        </w:rPr>
        <w:t xml:space="preserve"> </w:t>
      </w:r>
      <w:r>
        <w:t>la</w:t>
      </w:r>
      <w:r>
        <w:rPr>
          <w:spacing w:val="-4"/>
        </w:rPr>
        <w:t xml:space="preserve"> </w:t>
      </w:r>
      <w:r>
        <w:t>verdad,</w:t>
      </w:r>
      <w:r>
        <w:rPr>
          <w:spacing w:val="-5"/>
        </w:rPr>
        <w:t xml:space="preserve"> </w:t>
      </w:r>
      <w:r>
        <w:t>los cambios</w:t>
      </w:r>
      <w:r>
        <w:rPr>
          <w:spacing w:val="-4"/>
        </w:rPr>
        <w:t xml:space="preserve"> </w:t>
      </w:r>
      <w:r>
        <w:t>en</w:t>
      </w:r>
      <w:r>
        <w:rPr>
          <w:spacing w:val="-4"/>
        </w:rPr>
        <w:t xml:space="preserve"> </w:t>
      </w:r>
      <w:r>
        <w:t>las</w:t>
      </w:r>
      <w:r>
        <w:rPr>
          <w:spacing w:val="-3"/>
        </w:rPr>
        <w:t xml:space="preserve"> </w:t>
      </w:r>
      <w:r>
        <w:t>relaciones</w:t>
      </w:r>
      <w:r>
        <w:rPr>
          <w:spacing w:val="-4"/>
        </w:rPr>
        <w:t xml:space="preserve"> </w:t>
      </w:r>
      <w:r>
        <w:t>intergrupales</w:t>
      </w:r>
      <w:r>
        <w:rPr>
          <w:spacing w:val="-3"/>
        </w:rPr>
        <w:t xml:space="preserve"> </w:t>
      </w:r>
      <w:r>
        <w:t>que</w:t>
      </w:r>
      <w:r>
        <w:rPr>
          <w:spacing w:val="-3"/>
        </w:rPr>
        <w:t xml:space="preserve"> </w:t>
      </w:r>
      <w:r>
        <w:t>han</w:t>
      </w:r>
      <w:r>
        <w:rPr>
          <w:spacing w:val="-4"/>
        </w:rPr>
        <w:t xml:space="preserve"> </w:t>
      </w:r>
      <w:r>
        <w:t>marcado</w:t>
      </w:r>
      <w:r>
        <w:rPr>
          <w:spacing w:val="-4"/>
        </w:rPr>
        <w:t xml:space="preserve"> </w:t>
      </w:r>
      <w:r>
        <w:t>la</w:t>
      </w:r>
      <w:r>
        <w:rPr>
          <w:spacing w:val="-5"/>
        </w:rPr>
        <w:t xml:space="preserve"> </w:t>
      </w:r>
      <w:r>
        <w:t>polarización</w:t>
      </w:r>
      <w:r>
        <w:rPr>
          <w:spacing w:val="-5"/>
        </w:rPr>
        <w:t xml:space="preserve"> </w:t>
      </w:r>
      <w:r>
        <w:t>social,</w:t>
      </w:r>
      <w:r>
        <w:rPr>
          <w:spacing w:val="-4"/>
        </w:rPr>
        <w:t xml:space="preserve"> </w:t>
      </w:r>
      <w:r>
        <w:t>la</w:t>
      </w:r>
      <w:r>
        <w:rPr>
          <w:spacing w:val="-3"/>
        </w:rPr>
        <w:t xml:space="preserve"> </w:t>
      </w:r>
      <w:r>
        <w:t>empatía</w:t>
      </w:r>
      <w:r>
        <w:rPr>
          <w:spacing w:val="-3"/>
        </w:rPr>
        <w:t xml:space="preserve"> </w:t>
      </w:r>
      <w:r>
        <w:t>y deconstrucción de las imágenes del enemigo, constituyen maneras de atender los derechos de las víctimas y los desafíos para la reconstrucción de la convivencia en un tejido social fracturado</w:t>
      </w:r>
      <w:r>
        <w:rPr>
          <w:spacing w:val="-8"/>
        </w:rPr>
        <w:t xml:space="preserve"> </w:t>
      </w:r>
      <w:r>
        <w:t>por</w:t>
      </w:r>
      <w:r>
        <w:rPr>
          <w:spacing w:val="-3"/>
        </w:rPr>
        <w:t xml:space="preserve"> </w:t>
      </w:r>
      <w:r>
        <w:t>la</w:t>
      </w:r>
      <w:r>
        <w:rPr>
          <w:spacing w:val="-5"/>
        </w:rPr>
        <w:t xml:space="preserve"> </w:t>
      </w:r>
      <w:r>
        <w:t>guerra</w:t>
      </w:r>
      <w:r>
        <w:rPr>
          <w:spacing w:val="-6"/>
        </w:rPr>
        <w:t xml:space="preserve"> </w:t>
      </w:r>
      <w:r>
        <w:t>que</w:t>
      </w:r>
      <w:r>
        <w:rPr>
          <w:spacing w:val="-5"/>
        </w:rPr>
        <w:t xml:space="preserve"> </w:t>
      </w:r>
      <w:r>
        <w:t>profundiza</w:t>
      </w:r>
      <w:r>
        <w:rPr>
          <w:spacing w:val="-5"/>
        </w:rPr>
        <w:t xml:space="preserve"> </w:t>
      </w:r>
      <w:r>
        <w:t>las</w:t>
      </w:r>
      <w:r>
        <w:rPr>
          <w:spacing w:val="-6"/>
        </w:rPr>
        <w:t xml:space="preserve"> </w:t>
      </w:r>
      <w:r>
        <w:t>exclusiones</w:t>
      </w:r>
      <w:r>
        <w:rPr>
          <w:spacing w:val="-5"/>
        </w:rPr>
        <w:t xml:space="preserve"> </w:t>
      </w:r>
      <w:r>
        <w:t>sociales</w:t>
      </w:r>
      <w:r>
        <w:rPr>
          <w:spacing w:val="-5"/>
        </w:rPr>
        <w:t xml:space="preserve"> </w:t>
      </w:r>
      <w:r>
        <w:t>ya</w:t>
      </w:r>
      <w:r>
        <w:rPr>
          <w:spacing w:val="-5"/>
        </w:rPr>
        <w:t xml:space="preserve"> </w:t>
      </w:r>
      <w:r>
        <w:t>existentes</w:t>
      </w:r>
      <w:r>
        <w:rPr>
          <w:spacing w:val="-6"/>
        </w:rPr>
        <w:t xml:space="preserve"> </w:t>
      </w:r>
      <w:r>
        <w:t>en</w:t>
      </w:r>
      <w:r>
        <w:rPr>
          <w:spacing w:val="-4"/>
        </w:rPr>
        <w:t xml:space="preserve"> </w:t>
      </w:r>
      <w:r>
        <w:t>la</w:t>
      </w:r>
      <w:r>
        <w:rPr>
          <w:spacing w:val="-4"/>
        </w:rPr>
        <w:t xml:space="preserve"> </w:t>
      </w:r>
      <w:r>
        <w:rPr>
          <w:spacing w:val="-2"/>
        </w:rPr>
        <w:t>sociedad.</w:t>
      </w:r>
    </w:p>
    <w:p w:rsidR="0011361F" w:rsidRPr="00426232" w:rsidRDefault="00AF18A5" w:rsidP="004A6EF4">
      <w:pPr>
        <w:pStyle w:val="Ttulo3"/>
        <w:numPr>
          <w:ilvl w:val="2"/>
          <w:numId w:val="18"/>
        </w:numPr>
      </w:pPr>
      <w:bookmarkStart w:id="78" w:name="1.4.1._Políticas_de_reconstrucción_y_ate"/>
      <w:bookmarkStart w:id="79" w:name="_Toc112399539"/>
      <w:bookmarkEnd w:id="78"/>
      <w:r w:rsidRPr="00426232">
        <w:lastRenderedPageBreak/>
        <w:t>Políticas de reconstrucción y atención a víctimas</w:t>
      </w:r>
      <w:bookmarkEnd w:id="79"/>
    </w:p>
    <w:p w:rsidR="003804AC" w:rsidRDefault="00AF18A5" w:rsidP="00B221B9">
      <w:r>
        <w:t>Es urgente dar un lugar a las heridas, comprenderlas, nombrarlas y tramitarlas como sociedad. Un sindicalista que dio su testimonio a la Comisión hizo una necesaria reflexión sobre</w:t>
      </w:r>
      <w:r>
        <w:rPr>
          <w:spacing w:val="-1"/>
        </w:rPr>
        <w:t xml:space="preserve"> </w:t>
      </w:r>
      <w:r>
        <w:t>el</w:t>
      </w:r>
      <w:r>
        <w:rPr>
          <w:spacing w:val="-1"/>
        </w:rPr>
        <w:t xml:space="preserve"> </w:t>
      </w:r>
      <w:r>
        <w:t>lugar</w:t>
      </w:r>
      <w:r>
        <w:rPr>
          <w:spacing w:val="-1"/>
        </w:rPr>
        <w:t xml:space="preserve"> </w:t>
      </w:r>
      <w:r>
        <w:t>de</w:t>
      </w:r>
      <w:r>
        <w:rPr>
          <w:spacing w:val="-1"/>
        </w:rPr>
        <w:t xml:space="preserve"> </w:t>
      </w:r>
      <w:r>
        <w:t>las</w:t>
      </w:r>
      <w:r>
        <w:rPr>
          <w:spacing w:val="-1"/>
        </w:rPr>
        <w:t xml:space="preserve"> </w:t>
      </w:r>
      <w:r>
        <w:t>verdades</w:t>
      </w:r>
      <w:r>
        <w:rPr>
          <w:spacing w:val="-1"/>
        </w:rPr>
        <w:t xml:space="preserve"> </w:t>
      </w:r>
      <w:r>
        <w:t>para</w:t>
      </w:r>
      <w:r>
        <w:rPr>
          <w:spacing w:val="-1"/>
        </w:rPr>
        <w:t xml:space="preserve"> </w:t>
      </w:r>
      <w:r>
        <w:t>poder</w:t>
      </w:r>
      <w:r>
        <w:rPr>
          <w:spacing w:val="-1"/>
        </w:rPr>
        <w:t xml:space="preserve"> </w:t>
      </w:r>
      <w:r>
        <w:t>elaborar</w:t>
      </w:r>
      <w:r>
        <w:rPr>
          <w:spacing w:val="-1"/>
        </w:rPr>
        <w:t xml:space="preserve"> </w:t>
      </w:r>
      <w:r>
        <w:t>lo</w:t>
      </w:r>
      <w:r>
        <w:rPr>
          <w:spacing w:val="-1"/>
        </w:rPr>
        <w:t xml:space="preserve"> </w:t>
      </w:r>
      <w:r>
        <w:t>que</w:t>
      </w:r>
      <w:r>
        <w:rPr>
          <w:spacing w:val="-1"/>
        </w:rPr>
        <w:t xml:space="preserve"> </w:t>
      </w:r>
      <w:r>
        <w:t>hemos</w:t>
      </w:r>
      <w:r>
        <w:rPr>
          <w:spacing w:val="-1"/>
        </w:rPr>
        <w:t xml:space="preserve"> </w:t>
      </w:r>
      <w:r>
        <w:t>vivido</w:t>
      </w:r>
      <w:r>
        <w:rPr>
          <w:spacing w:val="-1"/>
        </w:rPr>
        <w:t xml:space="preserve"> </w:t>
      </w:r>
      <w:r>
        <w:t>como</w:t>
      </w:r>
      <w:r>
        <w:rPr>
          <w:spacing w:val="-1"/>
        </w:rPr>
        <w:t xml:space="preserve"> </w:t>
      </w:r>
      <w:r>
        <w:t>sociedad</w:t>
      </w:r>
      <w:r>
        <w:rPr>
          <w:spacing w:val="-2"/>
        </w:rPr>
        <w:t xml:space="preserve"> </w:t>
      </w:r>
      <w:r>
        <w:t>y</w:t>
      </w:r>
      <w:r>
        <w:rPr>
          <w:spacing w:val="-1"/>
        </w:rPr>
        <w:t xml:space="preserve"> </w:t>
      </w:r>
      <w:r>
        <w:t>dar paso a la reconstrucción del tejido social:</w:t>
      </w:r>
    </w:p>
    <w:p w:rsidR="00CE146A" w:rsidRDefault="00AF18A5" w:rsidP="00CE146A">
      <w:r>
        <w:t>«Ojalá toda esta verdad haga que todos lloremos y nos sanemos y queramos cambiar porque</w:t>
      </w:r>
      <w:r>
        <w:rPr>
          <w:spacing w:val="-7"/>
        </w:rPr>
        <w:t xml:space="preserve"> </w:t>
      </w:r>
      <w:r>
        <w:t>[...]</w:t>
      </w:r>
      <w:r>
        <w:rPr>
          <w:spacing w:val="-7"/>
        </w:rPr>
        <w:t xml:space="preserve"> </w:t>
      </w:r>
      <w:r>
        <w:t>todo</w:t>
      </w:r>
      <w:r>
        <w:rPr>
          <w:spacing w:val="-7"/>
        </w:rPr>
        <w:t xml:space="preserve"> </w:t>
      </w:r>
      <w:r>
        <w:t>se</w:t>
      </w:r>
      <w:r>
        <w:rPr>
          <w:spacing w:val="-7"/>
        </w:rPr>
        <w:t xml:space="preserve"> </w:t>
      </w:r>
      <w:r>
        <w:t>volvió</w:t>
      </w:r>
      <w:r>
        <w:rPr>
          <w:spacing w:val="-7"/>
        </w:rPr>
        <w:t xml:space="preserve"> </w:t>
      </w:r>
      <w:r>
        <w:t>como</w:t>
      </w:r>
      <w:r>
        <w:rPr>
          <w:spacing w:val="-7"/>
        </w:rPr>
        <w:t xml:space="preserve"> </w:t>
      </w:r>
      <w:r>
        <w:t>noticia,</w:t>
      </w:r>
      <w:r>
        <w:rPr>
          <w:spacing w:val="-7"/>
        </w:rPr>
        <w:t xml:space="preserve"> </w:t>
      </w:r>
      <w:r>
        <w:t>¿no?</w:t>
      </w:r>
      <w:r>
        <w:rPr>
          <w:spacing w:val="-7"/>
        </w:rPr>
        <w:t xml:space="preserve"> </w:t>
      </w:r>
      <w:r>
        <w:t>Parte</w:t>
      </w:r>
      <w:r>
        <w:rPr>
          <w:spacing w:val="-7"/>
        </w:rPr>
        <w:t xml:space="preserve"> </w:t>
      </w:r>
      <w:r>
        <w:t>del</w:t>
      </w:r>
      <w:r>
        <w:rPr>
          <w:spacing w:val="-7"/>
        </w:rPr>
        <w:t xml:space="preserve"> </w:t>
      </w:r>
      <w:r>
        <w:t>paisaje,</w:t>
      </w:r>
      <w:r>
        <w:rPr>
          <w:spacing w:val="-7"/>
        </w:rPr>
        <w:t xml:space="preserve"> </w:t>
      </w:r>
      <w:r>
        <w:t>¿me</w:t>
      </w:r>
      <w:r>
        <w:rPr>
          <w:spacing w:val="-7"/>
        </w:rPr>
        <w:t xml:space="preserve"> </w:t>
      </w:r>
      <w:r>
        <w:t>entiendes?</w:t>
      </w:r>
      <w:r>
        <w:rPr>
          <w:spacing w:val="-7"/>
        </w:rPr>
        <w:t xml:space="preserve"> </w:t>
      </w:r>
      <w:r>
        <w:t>Que</w:t>
      </w:r>
      <w:r>
        <w:rPr>
          <w:spacing w:val="-6"/>
        </w:rPr>
        <w:t xml:space="preserve"> </w:t>
      </w:r>
      <w:r>
        <w:t>mataron a Dilan, que mataron a tal, que hay otro por allá jodido; todos los días, no han rebajado día sin que se muera un líder social»</w:t>
      </w:r>
      <w:r w:rsidR="00B221B9">
        <w:rPr>
          <w:rStyle w:val="Refdenotaalpie"/>
        </w:rPr>
        <w:footnoteReference w:id="38"/>
      </w:r>
      <w:r>
        <w:t>.</w:t>
      </w:r>
    </w:p>
    <w:p w:rsidR="003804AC" w:rsidRDefault="00AF18A5" w:rsidP="00CE146A">
      <w:bookmarkStart w:id="80" w:name="_bookmark44"/>
      <w:bookmarkEnd w:id="80"/>
      <w:r>
        <w:t>Los procesos para la reconstrucción de los lazos comunitarios y del tejido social por décadas</w:t>
      </w:r>
      <w:r>
        <w:rPr>
          <w:spacing w:val="-12"/>
        </w:rPr>
        <w:t xml:space="preserve"> </w:t>
      </w:r>
      <w:r>
        <w:t>fracturado</w:t>
      </w:r>
      <w:r>
        <w:rPr>
          <w:spacing w:val="-12"/>
        </w:rPr>
        <w:t xml:space="preserve"> </w:t>
      </w:r>
      <w:r>
        <w:t>requieren</w:t>
      </w:r>
      <w:r>
        <w:rPr>
          <w:spacing w:val="-12"/>
        </w:rPr>
        <w:t xml:space="preserve"> </w:t>
      </w:r>
      <w:r>
        <w:t>grandes</w:t>
      </w:r>
      <w:r>
        <w:rPr>
          <w:spacing w:val="-13"/>
        </w:rPr>
        <w:t xml:space="preserve"> </w:t>
      </w:r>
      <w:r>
        <w:t>esfuerzos</w:t>
      </w:r>
      <w:r>
        <w:rPr>
          <w:spacing w:val="-12"/>
        </w:rPr>
        <w:t xml:space="preserve"> </w:t>
      </w:r>
      <w:r>
        <w:t>del</w:t>
      </w:r>
      <w:r>
        <w:rPr>
          <w:spacing w:val="-12"/>
        </w:rPr>
        <w:t xml:space="preserve"> </w:t>
      </w:r>
      <w:r>
        <w:t>conjunto</w:t>
      </w:r>
      <w:r>
        <w:rPr>
          <w:spacing w:val="-13"/>
        </w:rPr>
        <w:t xml:space="preserve"> </w:t>
      </w:r>
      <w:r>
        <w:t>de</w:t>
      </w:r>
      <w:r>
        <w:rPr>
          <w:spacing w:val="-12"/>
        </w:rPr>
        <w:t xml:space="preserve"> </w:t>
      </w:r>
      <w:r>
        <w:t>la</w:t>
      </w:r>
      <w:r>
        <w:rPr>
          <w:spacing w:val="-12"/>
        </w:rPr>
        <w:t xml:space="preserve"> </w:t>
      </w:r>
      <w:r>
        <w:t>sociedad.</w:t>
      </w:r>
      <w:r>
        <w:rPr>
          <w:spacing w:val="-12"/>
        </w:rPr>
        <w:t xml:space="preserve"> </w:t>
      </w:r>
      <w:r>
        <w:t>Quizá</w:t>
      </w:r>
      <w:r>
        <w:rPr>
          <w:spacing w:val="-12"/>
        </w:rPr>
        <w:t xml:space="preserve"> </w:t>
      </w:r>
      <w:r>
        <w:t>uno</w:t>
      </w:r>
      <w:r>
        <w:rPr>
          <w:spacing w:val="-12"/>
        </w:rPr>
        <w:t xml:space="preserve"> </w:t>
      </w:r>
      <w:r>
        <w:t>de</w:t>
      </w:r>
      <w:r>
        <w:rPr>
          <w:spacing w:val="-12"/>
        </w:rPr>
        <w:t xml:space="preserve"> </w:t>
      </w:r>
      <w:r>
        <w:t>los más</w:t>
      </w:r>
      <w:r>
        <w:rPr>
          <w:spacing w:val="-14"/>
        </w:rPr>
        <w:t xml:space="preserve"> </w:t>
      </w:r>
      <w:r>
        <w:t>necesarios</w:t>
      </w:r>
      <w:r>
        <w:rPr>
          <w:spacing w:val="-14"/>
        </w:rPr>
        <w:t xml:space="preserve"> </w:t>
      </w:r>
      <w:r>
        <w:t>sea</w:t>
      </w:r>
      <w:r>
        <w:rPr>
          <w:spacing w:val="-14"/>
        </w:rPr>
        <w:t xml:space="preserve"> </w:t>
      </w:r>
      <w:r>
        <w:t>la</w:t>
      </w:r>
      <w:r>
        <w:rPr>
          <w:spacing w:val="-14"/>
        </w:rPr>
        <w:t xml:space="preserve"> </w:t>
      </w:r>
      <w:r>
        <w:t>ética</w:t>
      </w:r>
      <w:r>
        <w:rPr>
          <w:spacing w:val="-14"/>
        </w:rPr>
        <w:t xml:space="preserve"> </w:t>
      </w:r>
      <w:r>
        <w:t>de</w:t>
      </w:r>
      <w:r>
        <w:rPr>
          <w:spacing w:val="-14"/>
        </w:rPr>
        <w:t xml:space="preserve"> </w:t>
      </w:r>
      <w:r>
        <w:t>una</w:t>
      </w:r>
      <w:r>
        <w:rPr>
          <w:spacing w:val="-14"/>
        </w:rPr>
        <w:t xml:space="preserve"> </w:t>
      </w:r>
      <w:r>
        <w:t>escucha</w:t>
      </w:r>
      <w:r>
        <w:rPr>
          <w:spacing w:val="-14"/>
        </w:rPr>
        <w:t xml:space="preserve"> </w:t>
      </w:r>
      <w:r>
        <w:t>activa</w:t>
      </w:r>
      <w:r>
        <w:rPr>
          <w:spacing w:val="-14"/>
        </w:rPr>
        <w:t xml:space="preserve"> </w:t>
      </w:r>
      <w:r>
        <w:t>hacia</w:t>
      </w:r>
      <w:r>
        <w:rPr>
          <w:spacing w:val="-14"/>
        </w:rPr>
        <w:t xml:space="preserve"> </w:t>
      </w:r>
      <w:r>
        <w:t>las</w:t>
      </w:r>
      <w:r>
        <w:rPr>
          <w:spacing w:val="-14"/>
        </w:rPr>
        <w:t xml:space="preserve"> </w:t>
      </w:r>
      <w:r>
        <w:t>víctimas,</w:t>
      </w:r>
      <w:r>
        <w:rPr>
          <w:spacing w:val="-14"/>
        </w:rPr>
        <w:t xml:space="preserve"> </w:t>
      </w:r>
      <w:r>
        <w:t>de</w:t>
      </w:r>
      <w:r>
        <w:rPr>
          <w:spacing w:val="-14"/>
        </w:rPr>
        <w:t xml:space="preserve"> </w:t>
      </w:r>
      <w:r>
        <w:t>la</w:t>
      </w:r>
      <w:r>
        <w:rPr>
          <w:spacing w:val="-14"/>
        </w:rPr>
        <w:t xml:space="preserve"> </w:t>
      </w:r>
      <w:r>
        <w:t>sociedad</w:t>
      </w:r>
      <w:r>
        <w:rPr>
          <w:spacing w:val="-14"/>
        </w:rPr>
        <w:t xml:space="preserve"> </w:t>
      </w:r>
      <w:r>
        <w:t>a</w:t>
      </w:r>
      <w:r>
        <w:rPr>
          <w:spacing w:val="-14"/>
        </w:rPr>
        <w:t xml:space="preserve"> </w:t>
      </w:r>
      <w:r>
        <w:t>sí</w:t>
      </w:r>
      <w:r>
        <w:rPr>
          <w:spacing w:val="-15"/>
        </w:rPr>
        <w:t xml:space="preserve"> </w:t>
      </w:r>
      <w:r>
        <w:t>misma y</w:t>
      </w:r>
      <w:r>
        <w:rPr>
          <w:spacing w:val="-11"/>
        </w:rPr>
        <w:t xml:space="preserve"> </w:t>
      </w:r>
      <w:r>
        <w:t>de</w:t>
      </w:r>
      <w:r>
        <w:rPr>
          <w:spacing w:val="-11"/>
        </w:rPr>
        <w:t xml:space="preserve"> </w:t>
      </w:r>
      <w:r>
        <w:t>la</w:t>
      </w:r>
      <w:r>
        <w:rPr>
          <w:spacing w:val="-11"/>
        </w:rPr>
        <w:t xml:space="preserve"> </w:t>
      </w:r>
      <w:r>
        <w:t>propia</w:t>
      </w:r>
      <w:r>
        <w:rPr>
          <w:spacing w:val="-11"/>
        </w:rPr>
        <w:t xml:space="preserve"> </w:t>
      </w:r>
      <w:r>
        <w:t>conciencia</w:t>
      </w:r>
      <w:r>
        <w:rPr>
          <w:spacing w:val="-12"/>
        </w:rPr>
        <w:t xml:space="preserve"> </w:t>
      </w:r>
      <w:r>
        <w:t>colectiva</w:t>
      </w:r>
      <w:r>
        <w:rPr>
          <w:spacing w:val="-11"/>
        </w:rPr>
        <w:t xml:space="preserve"> </w:t>
      </w:r>
      <w:r>
        <w:t>que</w:t>
      </w:r>
      <w:r>
        <w:rPr>
          <w:spacing w:val="-11"/>
        </w:rPr>
        <w:t xml:space="preserve"> </w:t>
      </w:r>
      <w:r>
        <w:t>clama</w:t>
      </w:r>
      <w:r>
        <w:rPr>
          <w:spacing w:val="-11"/>
        </w:rPr>
        <w:t xml:space="preserve"> </w:t>
      </w:r>
      <w:r>
        <w:t>contra</w:t>
      </w:r>
      <w:r>
        <w:rPr>
          <w:spacing w:val="-11"/>
        </w:rPr>
        <w:t xml:space="preserve"> </w:t>
      </w:r>
      <w:r>
        <w:t>la</w:t>
      </w:r>
      <w:r>
        <w:rPr>
          <w:spacing w:val="-11"/>
        </w:rPr>
        <w:t xml:space="preserve"> </w:t>
      </w:r>
      <w:r>
        <w:t>desvalorización</w:t>
      </w:r>
      <w:r>
        <w:rPr>
          <w:spacing w:val="-11"/>
        </w:rPr>
        <w:t xml:space="preserve"> </w:t>
      </w:r>
      <w:r>
        <w:t>humana</w:t>
      </w:r>
      <w:r>
        <w:rPr>
          <w:spacing w:val="-11"/>
        </w:rPr>
        <w:t xml:space="preserve"> </w:t>
      </w:r>
      <w:r>
        <w:t>colectiva.</w:t>
      </w:r>
      <w:r>
        <w:rPr>
          <w:spacing w:val="-11"/>
        </w:rPr>
        <w:t xml:space="preserve"> </w:t>
      </w:r>
      <w:r>
        <w:t>La sociedad ha destituido en sí misma el lugar de la dignidad hasta arrasar con lo que podía merecer valor, reconocimiento o sentido para vivir.</w:t>
      </w:r>
    </w:p>
    <w:p w:rsidR="003804AC" w:rsidRDefault="00AF18A5" w:rsidP="00BB7158">
      <w:r>
        <w:t>Una</w:t>
      </w:r>
      <w:r>
        <w:rPr>
          <w:spacing w:val="-8"/>
        </w:rPr>
        <w:t xml:space="preserve"> </w:t>
      </w:r>
      <w:r>
        <w:t>de</w:t>
      </w:r>
      <w:r>
        <w:rPr>
          <w:spacing w:val="-8"/>
        </w:rPr>
        <w:t xml:space="preserve"> </w:t>
      </w:r>
      <w:r>
        <w:t>las</w:t>
      </w:r>
      <w:r>
        <w:rPr>
          <w:spacing w:val="-9"/>
        </w:rPr>
        <w:t xml:space="preserve"> </w:t>
      </w:r>
      <w:r>
        <w:t>formas</w:t>
      </w:r>
      <w:r>
        <w:rPr>
          <w:spacing w:val="-8"/>
        </w:rPr>
        <w:t xml:space="preserve"> </w:t>
      </w:r>
      <w:r>
        <w:t>de</w:t>
      </w:r>
      <w:r>
        <w:rPr>
          <w:spacing w:val="-8"/>
        </w:rPr>
        <w:t xml:space="preserve"> </w:t>
      </w:r>
      <w:r>
        <w:t>avanzar</w:t>
      </w:r>
      <w:r>
        <w:rPr>
          <w:spacing w:val="-8"/>
        </w:rPr>
        <w:t xml:space="preserve"> </w:t>
      </w:r>
      <w:r>
        <w:t>hacia</w:t>
      </w:r>
      <w:r>
        <w:rPr>
          <w:spacing w:val="-9"/>
        </w:rPr>
        <w:t xml:space="preserve"> </w:t>
      </w:r>
      <w:r>
        <w:t>la</w:t>
      </w:r>
      <w:r>
        <w:rPr>
          <w:spacing w:val="-8"/>
        </w:rPr>
        <w:t xml:space="preserve"> </w:t>
      </w:r>
      <w:r>
        <w:t>reconstrucción</w:t>
      </w:r>
      <w:r>
        <w:rPr>
          <w:spacing w:val="-8"/>
        </w:rPr>
        <w:t xml:space="preserve"> </w:t>
      </w:r>
      <w:r>
        <w:t>del</w:t>
      </w:r>
      <w:r>
        <w:rPr>
          <w:spacing w:val="-9"/>
        </w:rPr>
        <w:t xml:space="preserve"> </w:t>
      </w:r>
      <w:r>
        <w:t>tejido</w:t>
      </w:r>
      <w:r>
        <w:rPr>
          <w:spacing w:val="-8"/>
        </w:rPr>
        <w:t xml:space="preserve"> </w:t>
      </w:r>
      <w:r>
        <w:t>social</w:t>
      </w:r>
      <w:r>
        <w:rPr>
          <w:spacing w:val="-8"/>
        </w:rPr>
        <w:t xml:space="preserve"> </w:t>
      </w:r>
      <w:r>
        <w:t>de</w:t>
      </w:r>
      <w:r>
        <w:rPr>
          <w:spacing w:val="-9"/>
        </w:rPr>
        <w:t xml:space="preserve"> </w:t>
      </w:r>
      <w:r>
        <w:t>las</w:t>
      </w:r>
      <w:r>
        <w:rPr>
          <w:spacing w:val="-8"/>
        </w:rPr>
        <w:t xml:space="preserve"> </w:t>
      </w:r>
      <w:r>
        <w:t>comunidades y</w:t>
      </w:r>
      <w:r>
        <w:rPr>
          <w:spacing w:val="-5"/>
        </w:rPr>
        <w:t xml:space="preserve"> </w:t>
      </w:r>
      <w:r>
        <w:t>de</w:t>
      </w:r>
      <w:r>
        <w:rPr>
          <w:spacing w:val="-5"/>
        </w:rPr>
        <w:t xml:space="preserve"> </w:t>
      </w:r>
      <w:r>
        <w:t>sus</w:t>
      </w:r>
      <w:r>
        <w:rPr>
          <w:spacing w:val="-5"/>
        </w:rPr>
        <w:t xml:space="preserve"> </w:t>
      </w:r>
      <w:r>
        <w:t>propias</w:t>
      </w:r>
      <w:r>
        <w:rPr>
          <w:spacing w:val="-5"/>
        </w:rPr>
        <w:t xml:space="preserve"> </w:t>
      </w:r>
      <w:r>
        <w:t>vidas</w:t>
      </w:r>
      <w:r>
        <w:rPr>
          <w:spacing w:val="-5"/>
        </w:rPr>
        <w:t xml:space="preserve"> </w:t>
      </w:r>
      <w:r>
        <w:t>pasa</w:t>
      </w:r>
      <w:r>
        <w:rPr>
          <w:spacing w:val="-5"/>
        </w:rPr>
        <w:t xml:space="preserve"> </w:t>
      </w:r>
      <w:r>
        <w:t>por</w:t>
      </w:r>
      <w:r>
        <w:rPr>
          <w:spacing w:val="-6"/>
        </w:rPr>
        <w:t xml:space="preserve"> </w:t>
      </w:r>
      <w:r>
        <w:t>reconocer</w:t>
      </w:r>
      <w:r>
        <w:rPr>
          <w:spacing w:val="-4"/>
        </w:rPr>
        <w:t xml:space="preserve"> </w:t>
      </w:r>
      <w:r>
        <w:t>y</w:t>
      </w:r>
      <w:r>
        <w:rPr>
          <w:spacing w:val="-5"/>
        </w:rPr>
        <w:t xml:space="preserve"> </w:t>
      </w:r>
      <w:r>
        <w:t>abordar</w:t>
      </w:r>
      <w:r>
        <w:rPr>
          <w:spacing w:val="-4"/>
        </w:rPr>
        <w:t xml:space="preserve"> </w:t>
      </w:r>
      <w:r>
        <w:t>los</w:t>
      </w:r>
      <w:r>
        <w:rPr>
          <w:spacing w:val="-6"/>
        </w:rPr>
        <w:t xml:space="preserve"> </w:t>
      </w:r>
      <w:r>
        <w:t>impactos</w:t>
      </w:r>
      <w:r>
        <w:rPr>
          <w:spacing w:val="-5"/>
        </w:rPr>
        <w:t xml:space="preserve"> </w:t>
      </w:r>
      <w:r>
        <w:t>en</w:t>
      </w:r>
      <w:r>
        <w:rPr>
          <w:spacing w:val="-6"/>
        </w:rPr>
        <w:t xml:space="preserve"> </w:t>
      </w:r>
      <w:r>
        <w:t>las</w:t>
      </w:r>
      <w:r>
        <w:rPr>
          <w:spacing w:val="-6"/>
        </w:rPr>
        <w:t xml:space="preserve"> </w:t>
      </w:r>
      <w:r>
        <w:t>esferas</w:t>
      </w:r>
      <w:r>
        <w:rPr>
          <w:spacing w:val="-5"/>
        </w:rPr>
        <w:t xml:space="preserve"> </w:t>
      </w:r>
      <w:r>
        <w:t>emocionales, relacionales y vinculares, para tramitar conflictos, comprender el contexto y sus intencionalidades y reconocer que no son problemas del orden individual exclusivamente y que tienen una relación con el contexto en que se han vivido.</w:t>
      </w:r>
    </w:p>
    <w:p w:rsidR="0011361F" w:rsidRDefault="00AF18A5" w:rsidP="00BB7158">
      <w:r>
        <w:lastRenderedPageBreak/>
        <w:t>Si</w:t>
      </w:r>
      <w:r>
        <w:rPr>
          <w:spacing w:val="-9"/>
        </w:rPr>
        <w:t xml:space="preserve"> </w:t>
      </w:r>
      <w:r>
        <w:t>bien</w:t>
      </w:r>
      <w:r>
        <w:rPr>
          <w:spacing w:val="-10"/>
        </w:rPr>
        <w:t xml:space="preserve"> </w:t>
      </w:r>
      <w:r>
        <w:t>la</w:t>
      </w:r>
      <w:r>
        <w:rPr>
          <w:spacing w:val="-9"/>
        </w:rPr>
        <w:t xml:space="preserve"> </w:t>
      </w:r>
      <w:r>
        <w:t>extensión</w:t>
      </w:r>
      <w:r>
        <w:rPr>
          <w:spacing w:val="-10"/>
        </w:rPr>
        <w:t xml:space="preserve"> </w:t>
      </w:r>
      <w:r>
        <w:t>y</w:t>
      </w:r>
      <w:r>
        <w:rPr>
          <w:spacing w:val="-10"/>
        </w:rPr>
        <w:t xml:space="preserve"> </w:t>
      </w:r>
      <w:r>
        <w:t>la</w:t>
      </w:r>
      <w:r>
        <w:rPr>
          <w:spacing w:val="-11"/>
        </w:rPr>
        <w:t xml:space="preserve"> </w:t>
      </w:r>
      <w:r>
        <w:t>existencia</w:t>
      </w:r>
      <w:r>
        <w:rPr>
          <w:spacing w:val="-9"/>
        </w:rPr>
        <w:t xml:space="preserve"> </w:t>
      </w:r>
      <w:r>
        <w:t>de</w:t>
      </w:r>
      <w:r>
        <w:rPr>
          <w:spacing w:val="-9"/>
        </w:rPr>
        <w:t xml:space="preserve"> </w:t>
      </w:r>
      <w:r>
        <w:t>millones</w:t>
      </w:r>
      <w:r>
        <w:rPr>
          <w:spacing w:val="-9"/>
        </w:rPr>
        <w:t xml:space="preserve"> </w:t>
      </w:r>
      <w:r>
        <w:t>de</w:t>
      </w:r>
      <w:r>
        <w:rPr>
          <w:spacing w:val="-9"/>
        </w:rPr>
        <w:t xml:space="preserve"> </w:t>
      </w:r>
      <w:r>
        <w:t>víctimas</w:t>
      </w:r>
      <w:r>
        <w:rPr>
          <w:spacing w:val="-11"/>
        </w:rPr>
        <w:t xml:space="preserve"> </w:t>
      </w:r>
      <w:r>
        <w:t>muestra</w:t>
      </w:r>
      <w:r>
        <w:rPr>
          <w:spacing w:val="-9"/>
        </w:rPr>
        <w:t xml:space="preserve"> </w:t>
      </w:r>
      <w:r>
        <w:t>que</w:t>
      </w:r>
      <w:r>
        <w:rPr>
          <w:spacing w:val="-9"/>
        </w:rPr>
        <w:t xml:space="preserve"> </w:t>
      </w:r>
      <w:r>
        <w:t>hay</w:t>
      </w:r>
      <w:r>
        <w:rPr>
          <w:spacing w:val="-10"/>
        </w:rPr>
        <w:t xml:space="preserve"> </w:t>
      </w:r>
      <w:r>
        <w:t>muchas</w:t>
      </w:r>
      <w:r>
        <w:rPr>
          <w:spacing w:val="-9"/>
        </w:rPr>
        <w:t xml:space="preserve"> </w:t>
      </w:r>
      <w:r>
        <w:t>cosas que</w:t>
      </w:r>
      <w:r>
        <w:rPr>
          <w:spacing w:val="-5"/>
        </w:rPr>
        <w:t xml:space="preserve"> </w:t>
      </w:r>
      <w:r>
        <w:t>no</w:t>
      </w:r>
      <w:r>
        <w:rPr>
          <w:spacing w:val="-5"/>
        </w:rPr>
        <w:t xml:space="preserve"> </w:t>
      </w:r>
      <w:r>
        <w:t>son</w:t>
      </w:r>
      <w:r>
        <w:rPr>
          <w:spacing w:val="-5"/>
        </w:rPr>
        <w:t xml:space="preserve"> </w:t>
      </w:r>
      <w:r>
        <w:t>reparables,</w:t>
      </w:r>
      <w:r>
        <w:rPr>
          <w:spacing w:val="-5"/>
        </w:rPr>
        <w:t xml:space="preserve"> </w:t>
      </w:r>
      <w:r>
        <w:t>el</w:t>
      </w:r>
      <w:r>
        <w:rPr>
          <w:spacing w:val="-6"/>
        </w:rPr>
        <w:t xml:space="preserve"> </w:t>
      </w:r>
      <w:r>
        <w:t>esfuerzo</w:t>
      </w:r>
      <w:r>
        <w:rPr>
          <w:spacing w:val="-5"/>
        </w:rPr>
        <w:t xml:space="preserve"> </w:t>
      </w:r>
      <w:r>
        <w:t>por</w:t>
      </w:r>
      <w:r>
        <w:rPr>
          <w:spacing w:val="-4"/>
        </w:rPr>
        <w:t xml:space="preserve"> </w:t>
      </w:r>
      <w:r>
        <w:t>la</w:t>
      </w:r>
      <w:r>
        <w:rPr>
          <w:spacing w:val="-5"/>
        </w:rPr>
        <w:t xml:space="preserve"> </w:t>
      </w:r>
      <w:r>
        <w:t>reparación</w:t>
      </w:r>
      <w:r>
        <w:rPr>
          <w:spacing w:val="-5"/>
        </w:rPr>
        <w:t xml:space="preserve"> </w:t>
      </w:r>
      <w:r>
        <w:t>en</w:t>
      </w:r>
      <w:r>
        <w:rPr>
          <w:spacing w:val="-5"/>
        </w:rPr>
        <w:t xml:space="preserve"> </w:t>
      </w:r>
      <w:r>
        <w:t>la</w:t>
      </w:r>
      <w:r>
        <w:rPr>
          <w:spacing w:val="-5"/>
        </w:rPr>
        <w:t xml:space="preserve"> </w:t>
      </w:r>
      <w:r>
        <w:t>sociedad</w:t>
      </w:r>
      <w:r>
        <w:rPr>
          <w:spacing w:val="-5"/>
        </w:rPr>
        <w:t xml:space="preserve"> </w:t>
      </w:r>
      <w:r>
        <w:t>es</w:t>
      </w:r>
      <w:r>
        <w:rPr>
          <w:spacing w:val="-5"/>
        </w:rPr>
        <w:t xml:space="preserve"> </w:t>
      </w:r>
      <w:r>
        <w:t>la</w:t>
      </w:r>
      <w:r>
        <w:rPr>
          <w:spacing w:val="-5"/>
        </w:rPr>
        <w:t xml:space="preserve"> </w:t>
      </w:r>
      <w:r>
        <w:t>conciencia</w:t>
      </w:r>
      <w:r>
        <w:rPr>
          <w:spacing w:val="-5"/>
        </w:rPr>
        <w:t xml:space="preserve"> </w:t>
      </w:r>
      <w:r>
        <w:t>de</w:t>
      </w:r>
      <w:r>
        <w:rPr>
          <w:spacing w:val="-5"/>
        </w:rPr>
        <w:t xml:space="preserve"> </w:t>
      </w:r>
      <w:r>
        <w:t>lo</w:t>
      </w:r>
      <w:r>
        <w:rPr>
          <w:spacing w:val="-5"/>
        </w:rPr>
        <w:t xml:space="preserve"> </w:t>
      </w:r>
      <w:r>
        <w:t>que hay que hacer para superar una deuda histórica que se ha profundizado con la guerra, especialmente en las poblaciones social y económicamente más excluidas. Las políticas de reparación económica solo han llegado después de diez años a un 12</w:t>
      </w:r>
      <w:r>
        <w:rPr>
          <w:spacing w:val="-1"/>
        </w:rPr>
        <w:t xml:space="preserve"> </w:t>
      </w:r>
      <w:r>
        <w:t>% de las víctimas</w:t>
      </w:r>
      <w:r w:rsidR="00BB7158">
        <w:rPr>
          <w:rStyle w:val="Refdenotaalpie"/>
        </w:rPr>
        <w:footnoteReference w:id="39"/>
      </w:r>
      <w:r>
        <w:t>, mientras los proyectos de reparación colectiva que se reconocen en la ley han tenido un impacto limitado hasta ahora. Entre las víctimas entrevistadas por la Comisión solo una pequeña minoría tuvo acceso a atención psicosocial, por ejemplo, y de ellas la mayoría lo había tenido de las propias organizaciones de víctimas y apoyo mutuo, o por parte de organizaciones no gubernamentales (ONG). Solo tres de cada diez contaron con algún tipo de atención psicosocial por organismos del Estado</w:t>
      </w:r>
      <w:r w:rsidR="00BB7158">
        <w:rPr>
          <w:rStyle w:val="Refdenotaalpie"/>
        </w:rPr>
        <w:footnoteReference w:id="40"/>
      </w:r>
      <w:r>
        <w:t>.</w:t>
      </w:r>
    </w:p>
    <w:p w:rsidR="003804AC" w:rsidRDefault="00AF18A5" w:rsidP="000D5CBC">
      <w:bookmarkStart w:id="81" w:name="_bookmark45"/>
      <w:bookmarkStart w:id="82" w:name="_bookmark46"/>
      <w:bookmarkEnd w:id="81"/>
      <w:bookmarkEnd w:id="82"/>
      <w:r>
        <w:t>Sin</w:t>
      </w:r>
      <w:r>
        <w:rPr>
          <w:spacing w:val="-3"/>
        </w:rPr>
        <w:t xml:space="preserve"> </w:t>
      </w:r>
      <w:r>
        <w:t>embargo,</w:t>
      </w:r>
      <w:r>
        <w:rPr>
          <w:spacing w:val="-3"/>
        </w:rPr>
        <w:t xml:space="preserve"> </w:t>
      </w:r>
      <w:r>
        <w:t>más</w:t>
      </w:r>
      <w:r>
        <w:rPr>
          <w:spacing w:val="-3"/>
        </w:rPr>
        <w:t xml:space="preserve"> </w:t>
      </w:r>
      <w:r>
        <w:t>de</w:t>
      </w:r>
      <w:r>
        <w:rPr>
          <w:spacing w:val="-3"/>
        </w:rPr>
        <w:t xml:space="preserve"> </w:t>
      </w:r>
      <w:r>
        <w:t>la</w:t>
      </w:r>
      <w:r>
        <w:rPr>
          <w:spacing w:val="-6"/>
        </w:rPr>
        <w:t xml:space="preserve"> </w:t>
      </w:r>
      <w:r>
        <w:t>mitad</w:t>
      </w:r>
      <w:r>
        <w:rPr>
          <w:spacing w:val="-3"/>
        </w:rPr>
        <w:t xml:space="preserve"> </w:t>
      </w:r>
      <w:r>
        <w:t>de</w:t>
      </w:r>
      <w:r>
        <w:rPr>
          <w:spacing w:val="-4"/>
        </w:rPr>
        <w:t xml:space="preserve"> </w:t>
      </w:r>
      <w:r>
        <w:t>las</w:t>
      </w:r>
      <w:r>
        <w:rPr>
          <w:spacing w:val="-4"/>
        </w:rPr>
        <w:t xml:space="preserve"> </w:t>
      </w:r>
      <w:r>
        <w:t>personas</w:t>
      </w:r>
      <w:r>
        <w:rPr>
          <w:spacing w:val="-3"/>
        </w:rPr>
        <w:t xml:space="preserve"> </w:t>
      </w:r>
      <w:r>
        <w:t>que</w:t>
      </w:r>
      <w:r>
        <w:rPr>
          <w:spacing w:val="-3"/>
        </w:rPr>
        <w:t xml:space="preserve"> </w:t>
      </w:r>
      <w:r>
        <w:t>recibieron</w:t>
      </w:r>
      <w:r>
        <w:rPr>
          <w:spacing w:val="-5"/>
        </w:rPr>
        <w:t xml:space="preserve"> </w:t>
      </w:r>
      <w:r>
        <w:t>apoyo</w:t>
      </w:r>
      <w:r>
        <w:rPr>
          <w:spacing w:val="-3"/>
        </w:rPr>
        <w:t xml:space="preserve"> </w:t>
      </w:r>
      <w:r>
        <w:t>psicosocial</w:t>
      </w:r>
      <w:r>
        <w:rPr>
          <w:spacing w:val="-3"/>
        </w:rPr>
        <w:t xml:space="preserve"> </w:t>
      </w:r>
      <w:r>
        <w:t>señalaron su</w:t>
      </w:r>
      <w:r>
        <w:rPr>
          <w:spacing w:val="-15"/>
        </w:rPr>
        <w:t xml:space="preserve"> </w:t>
      </w:r>
      <w:r>
        <w:t>importancia</w:t>
      </w:r>
      <w:r>
        <w:rPr>
          <w:spacing w:val="-15"/>
        </w:rPr>
        <w:t xml:space="preserve"> </w:t>
      </w:r>
      <w:r>
        <w:t>y</w:t>
      </w:r>
      <w:r>
        <w:rPr>
          <w:spacing w:val="-15"/>
        </w:rPr>
        <w:t xml:space="preserve"> </w:t>
      </w:r>
      <w:r>
        <w:t>beneficios</w:t>
      </w:r>
      <w:r>
        <w:rPr>
          <w:spacing w:val="-15"/>
        </w:rPr>
        <w:t xml:space="preserve"> </w:t>
      </w:r>
      <w:r>
        <w:t>individuales,</w:t>
      </w:r>
      <w:r>
        <w:rPr>
          <w:spacing w:val="-15"/>
        </w:rPr>
        <w:t xml:space="preserve"> </w:t>
      </w:r>
      <w:r>
        <w:t>familiares</w:t>
      </w:r>
      <w:r>
        <w:rPr>
          <w:spacing w:val="-15"/>
        </w:rPr>
        <w:t xml:space="preserve"> </w:t>
      </w:r>
      <w:r>
        <w:t>y</w:t>
      </w:r>
      <w:r>
        <w:rPr>
          <w:spacing w:val="-15"/>
        </w:rPr>
        <w:t xml:space="preserve"> </w:t>
      </w:r>
      <w:r>
        <w:t>comunitarios,</w:t>
      </w:r>
      <w:r>
        <w:rPr>
          <w:spacing w:val="-15"/>
        </w:rPr>
        <w:t xml:space="preserve"> </w:t>
      </w:r>
      <w:r>
        <w:t>aunque</w:t>
      </w:r>
      <w:r>
        <w:rPr>
          <w:spacing w:val="-15"/>
        </w:rPr>
        <w:t xml:space="preserve"> </w:t>
      </w:r>
      <w:r>
        <w:t>una</w:t>
      </w:r>
      <w:r>
        <w:rPr>
          <w:spacing w:val="-15"/>
        </w:rPr>
        <w:t xml:space="preserve"> </w:t>
      </w:r>
      <w:r>
        <w:t>parte</w:t>
      </w:r>
      <w:r>
        <w:rPr>
          <w:spacing w:val="-15"/>
        </w:rPr>
        <w:t xml:space="preserve"> </w:t>
      </w:r>
      <w:r>
        <w:t>de</w:t>
      </w:r>
      <w:r>
        <w:rPr>
          <w:spacing w:val="-15"/>
        </w:rPr>
        <w:t xml:space="preserve"> </w:t>
      </w:r>
      <w:r>
        <w:t>ellas no</w:t>
      </w:r>
      <w:r>
        <w:rPr>
          <w:spacing w:val="-6"/>
        </w:rPr>
        <w:t xml:space="preserve"> </w:t>
      </w:r>
      <w:r>
        <w:t>ha</w:t>
      </w:r>
      <w:r>
        <w:rPr>
          <w:spacing w:val="-6"/>
        </w:rPr>
        <w:t xml:space="preserve"> </w:t>
      </w:r>
      <w:r>
        <w:t>tenido</w:t>
      </w:r>
      <w:r>
        <w:rPr>
          <w:spacing w:val="-7"/>
        </w:rPr>
        <w:t xml:space="preserve"> </w:t>
      </w:r>
      <w:r>
        <w:t>acceso</w:t>
      </w:r>
      <w:r>
        <w:rPr>
          <w:spacing w:val="-6"/>
        </w:rPr>
        <w:t xml:space="preserve"> </w:t>
      </w:r>
      <w:r>
        <w:t>por</w:t>
      </w:r>
      <w:r>
        <w:rPr>
          <w:spacing w:val="-7"/>
        </w:rPr>
        <w:t xml:space="preserve"> </w:t>
      </w:r>
      <w:r>
        <w:t>diferentes</w:t>
      </w:r>
      <w:r>
        <w:rPr>
          <w:spacing w:val="-6"/>
        </w:rPr>
        <w:t xml:space="preserve"> </w:t>
      </w:r>
      <w:r>
        <w:t>barreras</w:t>
      </w:r>
      <w:r>
        <w:rPr>
          <w:spacing w:val="-6"/>
        </w:rPr>
        <w:t xml:space="preserve"> </w:t>
      </w:r>
      <w:r>
        <w:t>(ausencia</w:t>
      </w:r>
      <w:r>
        <w:rPr>
          <w:spacing w:val="-6"/>
        </w:rPr>
        <w:t xml:space="preserve"> </w:t>
      </w:r>
      <w:r>
        <w:t>de</w:t>
      </w:r>
      <w:r>
        <w:rPr>
          <w:spacing w:val="-6"/>
        </w:rPr>
        <w:t xml:space="preserve"> </w:t>
      </w:r>
      <w:r>
        <w:t>institucionalidad,</w:t>
      </w:r>
      <w:r>
        <w:rPr>
          <w:spacing w:val="-7"/>
        </w:rPr>
        <w:t xml:space="preserve"> </w:t>
      </w:r>
      <w:r>
        <w:t>distancias,</w:t>
      </w:r>
      <w:r>
        <w:rPr>
          <w:spacing w:val="-7"/>
        </w:rPr>
        <w:t xml:space="preserve"> </w:t>
      </w:r>
      <w:r>
        <w:t>costos, agendamiento</w:t>
      </w:r>
      <w:r>
        <w:rPr>
          <w:spacing w:val="-3"/>
        </w:rPr>
        <w:t xml:space="preserve"> </w:t>
      </w:r>
      <w:r>
        <w:t>de</w:t>
      </w:r>
      <w:r>
        <w:rPr>
          <w:spacing w:val="-3"/>
        </w:rPr>
        <w:t xml:space="preserve"> </w:t>
      </w:r>
      <w:r>
        <w:t>citas,</w:t>
      </w:r>
      <w:r>
        <w:rPr>
          <w:spacing w:val="-3"/>
        </w:rPr>
        <w:t xml:space="preserve"> </w:t>
      </w:r>
      <w:r>
        <w:t>desconocimiento,</w:t>
      </w:r>
      <w:r>
        <w:rPr>
          <w:spacing w:val="-3"/>
        </w:rPr>
        <w:t xml:space="preserve"> </w:t>
      </w:r>
      <w:r>
        <w:t>etc.).</w:t>
      </w:r>
      <w:r>
        <w:rPr>
          <w:spacing w:val="-3"/>
        </w:rPr>
        <w:t xml:space="preserve"> </w:t>
      </w:r>
      <w:r>
        <w:t>El</w:t>
      </w:r>
      <w:r>
        <w:rPr>
          <w:spacing w:val="-3"/>
        </w:rPr>
        <w:t xml:space="preserve"> </w:t>
      </w:r>
      <w:r>
        <w:t>reconocimiento</w:t>
      </w:r>
      <w:r>
        <w:rPr>
          <w:spacing w:val="-3"/>
        </w:rPr>
        <w:t xml:space="preserve"> </w:t>
      </w:r>
      <w:r>
        <w:t>de</w:t>
      </w:r>
      <w:r>
        <w:rPr>
          <w:spacing w:val="-3"/>
        </w:rPr>
        <w:t xml:space="preserve"> </w:t>
      </w:r>
      <w:r>
        <w:t>su</w:t>
      </w:r>
      <w:r>
        <w:rPr>
          <w:spacing w:val="-3"/>
        </w:rPr>
        <w:t xml:space="preserve"> </w:t>
      </w:r>
      <w:r>
        <w:t>importancia</w:t>
      </w:r>
      <w:r>
        <w:rPr>
          <w:spacing w:val="-4"/>
        </w:rPr>
        <w:t xml:space="preserve"> </w:t>
      </w:r>
      <w:r>
        <w:t>se</w:t>
      </w:r>
      <w:r>
        <w:rPr>
          <w:spacing w:val="-3"/>
        </w:rPr>
        <w:t xml:space="preserve"> </w:t>
      </w:r>
      <w:r>
        <w:t>hace también</w:t>
      </w:r>
      <w:r>
        <w:rPr>
          <w:spacing w:val="-13"/>
        </w:rPr>
        <w:t xml:space="preserve"> </w:t>
      </w:r>
      <w:r>
        <w:t>como</w:t>
      </w:r>
      <w:r>
        <w:rPr>
          <w:spacing w:val="-13"/>
        </w:rPr>
        <w:t xml:space="preserve"> </w:t>
      </w:r>
      <w:r>
        <w:t>un</w:t>
      </w:r>
      <w:r>
        <w:rPr>
          <w:spacing w:val="-14"/>
        </w:rPr>
        <w:t xml:space="preserve"> </w:t>
      </w:r>
      <w:r>
        <w:t>llamado</w:t>
      </w:r>
      <w:r>
        <w:rPr>
          <w:spacing w:val="-13"/>
        </w:rPr>
        <w:t xml:space="preserve"> </w:t>
      </w:r>
      <w:r>
        <w:t>urgente</w:t>
      </w:r>
      <w:r>
        <w:rPr>
          <w:spacing w:val="-13"/>
        </w:rPr>
        <w:t xml:space="preserve"> </w:t>
      </w:r>
      <w:r>
        <w:t>a</w:t>
      </w:r>
      <w:r>
        <w:rPr>
          <w:spacing w:val="-15"/>
        </w:rPr>
        <w:t xml:space="preserve"> </w:t>
      </w:r>
      <w:r>
        <w:t>entender</w:t>
      </w:r>
      <w:r>
        <w:rPr>
          <w:spacing w:val="-13"/>
        </w:rPr>
        <w:t xml:space="preserve"> </w:t>
      </w:r>
      <w:r>
        <w:t>el</w:t>
      </w:r>
      <w:r>
        <w:rPr>
          <w:spacing w:val="-13"/>
        </w:rPr>
        <w:t xml:space="preserve"> </w:t>
      </w:r>
      <w:r>
        <w:t>apoyo</w:t>
      </w:r>
      <w:r>
        <w:rPr>
          <w:spacing w:val="-13"/>
        </w:rPr>
        <w:t xml:space="preserve"> </w:t>
      </w:r>
      <w:r>
        <w:t>psicosocial</w:t>
      </w:r>
      <w:r>
        <w:rPr>
          <w:spacing w:val="-14"/>
        </w:rPr>
        <w:t xml:space="preserve"> </w:t>
      </w:r>
      <w:r>
        <w:t>y</w:t>
      </w:r>
      <w:r>
        <w:rPr>
          <w:spacing w:val="-14"/>
        </w:rPr>
        <w:t xml:space="preserve"> </w:t>
      </w:r>
      <w:r>
        <w:t>la</w:t>
      </w:r>
      <w:r>
        <w:rPr>
          <w:spacing w:val="-14"/>
        </w:rPr>
        <w:t xml:space="preserve"> </w:t>
      </w:r>
      <w:r>
        <w:t>atención</w:t>
      </w:r>
      <w:r>
        <w:rPr>
          <w:spacing w:val="-13"/>
        </w:rPr>
        <w:t xml:space="preserve"> </w:t>
      </w:r>
      <w:r>
        <w:t>a</w:t>
      </w:r>
      <w:r>
        <w:rPr>
          <w:spacing w:val="-14"/>
        </w:rPr>
        <w:t xml:space="preserve"> </w:t>
      </w:r>
      <w:r>
        <w:t>las</w:t>
      </w:r>
      <w:r>
        <w:rPr>
          <w:spacing w:val="-13"/>
        </w:rPr>
        <w:t xml:space="preserve"> </w:t>
      </w:r>
      <w:r>
        <w:t>víctimas como parte de una política más amplia de reconstrucción del tejido social y la convivencia.</w:t>
      </w:r>
    </w:p>
    <w:p w:rsidR="003804AC" w:rsidRDefault="00AF18A5" w:rsidP="000D5CBC">
      <w:r>
        <w:lastRenderedPageBreak/>
        <w:t>La</w:t>
      </w:r>
      <w:r>
        <w:rPr>
          <w:spacing w:val="-14"/>
        </w:rPr>
        <w:t xml:space="preserve"> </w:t>
      </w:r>
      <w:r>
        <w:t>evaluación</w:t>
      </w:r>
      <w:r>
        <w:rPr>
          <w:spacing w:val="-14"/>
        </w:rPr>
        <w:t xml:space="preserve"> </w:t>
      </w:r>
      <w:r>
        <w:t>del</w:t>
      </w:r>
      <w:r>
        <w:rPr>
          <w:spacing w:val="-14"/>
        </w:rPr>
        <w:t xml:space="preserve"> </w:t>
      </w:r>
      <w:r>
        <w:t>Programa</w:t>
      </w:r>
      <w:r>
        <w:rPr>
          <w:spacing w:val="-14"/>
        </w:rPr>
        <w:t xml:space="preserve"> </w:t>
      </w:r>
      <w:r>
        <w:t>de</w:t>
      </w:r>
      <w:r>
        <w:rPr>
          <w:spacing w:val="-14"/>
        </w:rPr>
        <w:t xml:space="preserve"> </w:t>
      </w:r>
      <w:r>
        <w:t>Atención</w:t>
      </w:r>
      <w:r>
        <w:rPr>
          <w:spacing w:val="-14"/>
        </w:rPr>
        <w:t xml:space="preserve"> </w:t>
      </w:r>
      <w:r>
        <w:t>Psicosocial</w:t>
      </w:r>
      <w:r>
        <w:rPr>
          <w:spacing w:val="-14"/>
        </w:rPr>
        <w:t xml:space="preserve"> </w:t>
      </w:r>
      <w:r>
        <w:t>y</w:t>
      </w:r>
      <w:r>
        <w:rPr>
          <w:spacing w:val="-14"/>
        </w:rPr>
        <w:t xml:space="preserve"> </w:t>
      </w:r>
      <w:r>
        <w:t>Salud</w:t>
      </w:r>
      <w:r>
        <w:rPr>
          <w:spacing w:val="-14"/>
        </w:rPr>
        <w:t xml:space="preserve"> </w:t>
      </w:r>
      <w:r>
        <w:t>Integral</w:t>
      </w:r>
      <w:r>
        <w:rPr>
          <w:spacing w:val="-14"/>
        </w:rPr>
        <w:t xml:space="preserve"> </w:t>
      </w:r>
      <w:r>
        <w:t>a</w:t>
      </w:r>
      <w:r>
        <w:rPr>
          <w:spacing w:val="-14"/>
        </w:rPr>
        <w:t xml:space="preserve"> </w:t>
      </w:r>
      <w:r>
        <w:t>Víctimas</w:t>
      </w:r>
      <w:r>
        <w:rPr>
          <w:spacing w:val="-14"/>
        </w:rPr>
        <w:t xml:space="preserve"> </w:t>
      </w:r>
      <w:r>
        <w:t>(</w:t>
      </w:r>
      <w:proofErr w:type="spellStart"/>
      <w:r>
        <w:t>Papsivi</w:t>
      </w:r>
      <w:proofErr w:type="spellEnd"/>
      <w:r>
        <w:t>) del 2020, mostró que</w:t>
      </w:r>
      <w:r>
        <w:rPr>
          <w:spacing w:val="-1"/>
        </w:rPr>
        <w:t xml:space="preserve"> </w:t>
      </w:r>
      <w:r>
        <w:t>los problemas</w:t>
      </w:r>
      <w:r>
        <w:rPr>
          <w:spacing w:val="-1"/>
        </w:rPr>
        <w:t xml:space="preserve"> </w:t>
      </w:r>
      <w:r>
        <w:t>administrativos, la falta</w:t>
      </w:r>
      <w:r>
        <w:rPr>
          <w:spacing w:val="-1"/>
        </w:rPr>
        <w:t xml:space="preserve"> </w:t>
      </w:r>
      <w:r>
        <w:t>de continuidad en los contratos y, por lo tanto, en la atención a las víctimas y la falta de personal cualificado fueron los problemas</w:t>
      </w:r>
      <w:r>
        <w:rPr>
          <w:spacing w:val="-5"/>
        </w:rPr>
        <w:t xml:space="preserve"> </w:t>
      </w:r>
      <w:r>
        <w:t>más</w:t>
      </w:r>
      <w:r>
        <w:rPr>
          <w:spacing w:val="-3"/>
        </w:rPr>
        <w:t xml:space="preserve"> </w:t>
      </w:r>
      <w:r>
        <w:t>importantes.</w:t>
      </w:r>
      <w:r>
        <w:rPr>
          <w:spacing w:val="-4"/>
        </w:rPr>
        <w:t xml:space="preserve"> </w:t>
      </w:r>
      <w:r>
        <w:t>Esto</w:t>
      </w:r>
      <w:r>
        <w:rPr>
          <w:spacing w:val="-4"/>
        </w:rPr>
        <w:t xml:space="preserve"> </w:t>
      </w:r>
      <w:r>
        <w:t>es</w:t>
      </w:r>
      <w:r>
        <w:rPr>
          <w:spacing w:val="-5"/>
        </w:rPr>
        <w:t xml:space="preserve"> </w:t>
      </w:r>
      <w:r>
        <w:t>urgente,</w:t>
      </w:r>
      <w:r>
        <w:rPr>
          <w:spacing w:val="-4"/>
        </w:rPr>
        <w:t xml:space="preserve"> </w:t>
      </w:r>
      <w:r>
        <w:t>más</w:t>
      </w:r>
      <w:r>
        <w:rPr>
          <w:spacing w:val="-4"/>
        </w:rPr>
        <w:t xml:space="preserve"> </w:t>
      </w:r>
      <w:r>
        <w:t>cuando</w:t>
      </w:r>
      <w:r>
        <w:rPr>
          <w:spacing w:val="-4"/>
        </w:rPr>
        <w:t xml:space="preserve"> </w:t>
      </w:r>
      <w:r>
        <w:t>se</w:t>
      </w:r>
      <w:r>
        <w:rPr>
          <w:spacing w:val="-4"/>
        </w:rPr>
        <w:t xml:space="preserve"> </w:t>
      </w:r>
      <w:r>
        <w:t>tiene</w:t>
      </w:r>
      <w:r>
        <w:rPr>
          <w:spacing w:val="-3"/>
        </w:rPr>
        <w:t xml:space="preserve"> </w:t>
      </w:r>
      <w:r>
        <w:t>en</w:t>
      </w:r>
      <w:r>
        <w:rPr>
          <w:spacing w:val="-4"/>
        </w:rPr>
        <w:t xml:space="preserve"> </w:t>
      </w:r>
      <w:r>
        <w:t>cuenta</w:t>
      </w:r>
      <w:r>
        <w:rPr>
          <w:spacing w:val="-3"/>
        </w:rPr>
        <w:t xml:space="preserve"> </w:t>
      </w:r>
      <w:r>
        <w:t>que</w:t>
      </w:r>
      <w:r>
        <w:rPr>
          <w:spacing w:val="-3"/>
        </w:rPr>
        <w:t xml:space="preserve"> </w:t>
      </w:r>
      <w:r>
        <w:t>la</w:t>
      </w:r>
      <w:r>
        <w:rPr>
          <w:spacing w:val="-3"/>
        </w:rPr>
        <w:t xml:space="preserve"> </w:t>
      </w:r>
      <w:r>
        <w:t>cobertura de atención psicosocial que ha desplegado el Ministerio de Salud es baja:</w:t>
      </w:r>
    </w:p>
    <w:p w:rsidR="003804AC" w:rsidRDefault="000D5CBC" w:rsidP="000D5CBC">
      <w:r>
        <w:t>“</w:t>
      </w:r>
      <w:r w:rsidR="00AF18A5">
        <w:t>Solo 1 de cada 20 personas víctimas han accedido al proceso de atención y el 78,7</w:t>
      </w:r>
      <w:r w:rsidR="00AF18A5">
        <w:rPr>
          <w:spacing w:val="-4"/>
        </w:rPr>
        <w:t xml:space="preserve"> </w:t>
      </w:r>
      <w:r w:rsidR="00AF18A5">
        <w:t>% de las personas que han recibido la atención se encuentran en zonas de cabecera, urbanas y semiurbanas, excluyendo en gran medida aquellos territorios rurales de difícil acceso y con enormes impactos psicosociales dejados por la violencia</w:t>
      </w:r>
      <w:r>
        <w:rPr>
          <w:rStyle w:val="Refdenotaalpie"/>
        </w:rPr>
        <w:footnoteReference w:id="41"/>
      </w:r>
      <w:r w:rsidR="00AF18A5">
        <w:t>.</w:t>
      </w:r>
      <w:r>
        <w:t>”</w:t>
      </w:r>
    </w:p>
    <w:p w:rsidR="003804AC" w:rsidRDefault="00AF18A5" w:rsidP="000D5CBC">
      <w:r>
        <w:t>Es fundamental un enfoque comunitario y de fortalecimiento de capacidades en el marco territorial. Las experiencias más valiosas en el mundo han mostrado la importancia del trabajo con organizaciones de la sociedad civil que tienen la confianza de las víctimas y la experiencia</w:t>
      </w:r>
      <w:r>
        <w:rPr>
          <w:spacing w:val="-11"/>
        </w:rPr>
        <w:t xml:space="preserve"> </w:t>
      </w:r>
      <w:r>
        <w:t>en</w:t>
      </w:r>
      <w:r>
        <w:rPr>
          <w:spacing w:val="-10"/>
        </w:rPr>
        <w:t xml:space="preserve"> </w:t>
      </w:r>
      <w:r>
        <w:t>el</w:t>
      </w:r>
      <w:r>
        <w:rPr>
          <w:spacing w:val="-9"/>
        </w:rPr>
        <w:t xml:space="preserve"> </w:t>
      </w:r>
      <w:r>
        <w:t>acompañamiento,</w:t>
      </w:r>
      <w:r>
        <w:rPr>
          <w:spacing w:val="-10"/>
        </w:rPr>
        <w:t xml:space="preserve"> </w:t>
      </w:r>
      <w:r>
        <w:t>con</w:t>
      </w:r>
      <w:r>
        <w:rPr>
          <w:spacing w:val="-10"/>
        </w:rPr>
        <w:t xml:space="preserve"> </w:t>
      </w:r>
      <w:r>
        <w:t>los</w:t>
      </w:r>
      <w:r>
        <w:rPr>
          <w:spacing w:val="-10"/>
        </w:rPr>
        <w:t xml:space="preserve"> </w:t>
      </w:r>
      <w:r>
        <w:t>servicios</w:t>
      </w:r>
      <w:r>
        <w:rPr>
          <w:spacing w:val="-10"/>
        </w:rPr>
        <w:t xml:space="preserve"> </w:t>
      </w:r>
      <w:r>
        <w:t>de</w:t>
      </w:r>
      <w:r>
        <w:rPr>
          <w:spacing w:val="-9"/>
        </w:rPr>
        <w:t xml:space="preserve"> </w:t>
      </w:r>
      <w:r>
        <w:t>salud</w:t>
      </w:r>
      <w:r>
        <w:rPr>
          <w:spacing w:val="-11"/>
        </w:rPr>
        <w:t xml:space="preserve"> </w:t>
      </w:r>
      <w:r>
        <w:t>y</w:t>
      </w:r>
      <w:r>
        <w:rPr>
          <w:spacing w:val="-10"/>
        </w:rPr>
        <w:t xml:space="preserve"> </w:t>
      </w:r>
      <w:r>
        <w:t>de</w:t>
      </w:r>
      <w:r>
        <w:rPr>
          <w:spacing w:val="-9"/>
        </w:rPr>
        <w:t xml:space="preserve"> </w:t>
      </w:r>
      <w:r>
        <w:t>atención</w:t>
      </w:r>
      <w:r>
        <w:rPr>
          <w:spacing w:val="-10"/>
        </w:rPr>
        <w:t xml:space="preserve"> </w:t>
      </w:r>
      <w:r>
        <w:t>más</w:t>
      </w:r>
      <w:r>
        <w:rPr>
          <w:spacing w:val="-9"/>
        </w:rPr>
        <w:t xml:space="preserve"> </w:t>
      </w:r>
      <w:r>
        <w:t>general</w:t>
      </w:r>
      <w:r>
        <w:rPr>
          <w:spacing w:val="-9"/>
        </w:rPr>
        <w:t xml:space="preserve"> </w:t>
      </w:r>
      <w:r>
        <w:t>a</w:t>
      </w:r>
      <w:r>
        <w:rPr>
          <w:spacing w:val="-9"/>
        </w:rPr>
        <w:t xml:space="preserve"> </w:t>
      </w:r>
      <w:r>
        <w:t xml:space="preserve">las </w:t>
      </w:r>
      <w:r>
        <w:rPr>
          <w:spacing w:val="-2"/>
        </w:rPr>
        <w:t>víctimas.</w:t>
      </w:r>
    </w:p>
    <w:p w:rsidR="003804AC" w:rsidRDefault="00AF18A5" w:rsidP="000D5CBC">
      <w:r>
        <w:t>En concordancia con el conflicto de larga duración que han experimentado las poblaciones,</w:t>
      </w:r>
      <w:r>
        <w:rPr>
          <w:spacing w:val="-4"/>
        </w:rPr>
        <w:t xml:space="preserve"> </w:t>
      </w:r>
      <w:r>
        <w:t>su</w:t>
      </w:r>
      <w:r>
        <w:rPr>
          <w:spacing w:val="-3"/>
        </w:rPr>
        <w:t xml:space="preserve"> </w:t>
      </w:r>
      <w:r>
        <w:t>reparación</w:t>
      </w:r>
      <w:r>
        <w:rPr>
          <w:spacing w:val="-3"/>
        </w:rPr>
        <w:t xml:space="preserve"> </w:t>
      </w:r>
      <w:r>
        <w:t>también</w:t>
      </w:r>
      <w:r>
        <w:rPr>
          <w:spacing w:val="-4"/>
        </w:rPr>
        <w:t xml:space="preserve"> </w:t>
      </w:r>
      <w:r>
        <w:t>implica</w:t>
      </w:r>
      <w:r>
        <w:rPr>
          <w:spacing w:val="-3"/>
        </w:rPr>
        <w:t xml:space="preserve"> </w:t>
      </w:r>
      <w:r>
        <w:t>una</w:t>
      </w:r>
      <w:r>
        <w:rPr>
          <w:spacing w:val="-5"/>
        </w:rPr>
        <w:t xml:space="preserve"> </w:t>
      </w:r>
      <w:r>
        <w:t>perspectiva</w:t>
      </w:r>
      <w:r>
        <w:rPr>
          <w:spacing w:val="-5"/>
        </w:rPr>
        <w:t xml:space="preserve"> </w:t>
      </w:r>
      <w:r>
        <w:t>de</w:t>
      </w:r>
      <w:r>
        <w:rPr>
          <w:spacing w:val="-3"/>
        </w:rPr>
        <w:t xml:space="preserve"> </w:t>
      </w:r>
      <w:r>
        <w:t>largo</w:t>
      </w:r>
      <w:r>
        <w:rPr>
          <w:spacing w:val="-3"/>
        </w:rPr>
        <w:t xml:space="preserve"> </w:t>
      </w:r>
      <w:r>
        <w:t>plazo,</w:t>
      </w:r>
      <w:r>
        <w:rPr>
          <w:spacing w:val="-3"/>
        </w:rPr>
        <w:t xml:space="preserve"> </w:t>
      </w:r>
      <w:r>
        <w:t>contextualizada, sensible a las necesidades de las víctimas, sus familias y comunidades, que apueste por el reconocimiento de la particularidad de cada experiencia, lo cual, dada la persistencia de algunas dinámicas violentas, requerirá abordar la reexperimentación de nuevos hechos.</w:t>
      </w:r>
    </w:p>
    <w:p w:rsidR="0011361F" w:rsidRDefault="00AF18A5" w:rsidP="000D5CBC">
      <w:r>
        <w:lastRenderedPageBreak/>
        <w:t>Brindar atención psicosocial en un contexto de desprotección en el que existen necesidades</w:t>
      </w:r>
      <w:r>
        <w:rPr>
          <w:spacing w:val="22"/>
        </w:rPr>
        <w:t xml:space="preserve"> </w:t>
      </w:r>
      <w:r>
        <w:t>básicas</w:t>
      </w:r>
      <w:r>
        <w:rPr>
          <w:spacing w:val="26"/>
        </w:rPr>
        <w:t xml:space="preserve"> </w:t>
      </w:r>
      <w:r>
        <w:t>insatisfechas</w:t>
      </w:r>
      <w:r>
        <w:rPr>
          <w:spacing w:val="26"/>
        </w:rPr>
        <w:t xml:space="preserve"> </w:t>
      </w:r>
      <w:r>
        <w:t>en</w:t>
      </w:r>
      <w:r>
        <w:rPr>
          <w:spacing w:val="26"/>
        </w:rPr>
        <w:t xml:space="preserve"> </w:t>
      </w:r>
      <w:r>
        <w:t>la</w:t>
      </w:r>
      <w:r>
        <w:rPr>
          <w:spacing w:val="25"/>
        </w:rPr>
        <w:t xml:space="preserve"> </w:t>
      </w:r>
      <w:r>
        <w:t>población</w:t>
      </w:r>
      <w:r>
        <w:rPr>
          <w:spacing w:val="26"/>
        </w:rPr>
        <w:t xml:space="preserve"> </w:t>
      </w:r>
      <w:r>
        <w:t>que</w:t>
      </w:r>
      <w:r>
        <w:rPr>
          <w:spacing w:val="26"/>
        </w:rPr>
        <w:t xml:space="preserve"> </w:t>
      </w:r>
      <w:r>
        <w:t>participa</w:t>
      </w:r>
      <w:r>
        <w:rPr>
          <w:spacing w:val="26"/>
        </w:rPr>
        <w:t xml:space="preserve"> </w:t>
      </w:r>
      <w:r>
        <w:t>en</w:t>
      </w:r>
      <w:r>
        <w:rPr>
          <w:spacing w:val="25"/>
        </w:rPr>
        <w:t xml:space="preserve"> </w:t>
      </w:r>
      <w:r>
        <w:t>el</w:t>
      </w:r>
      <w:r>
        <w:rPr>
          <w:spacing w:val="27"/>
        </w:rPr>
        <w:t xml:space="preserve"> </w:t>
      </w:r>
      <w:r>
        <w:t>proceso</w:t>
      </w:r>
      <w:r>
        <w:rPr>
          <w:spacing w:val="26"/>
        </w:rPr>
        <w:t xml:space="preserve"> </w:t>
      </w:r>
      <w:r>
        <w:t>de</w:t>
      </w:r>
      <w:r>
        <w:rPr>
          <w:spacing w:val="26"/>
        </w:rPr>
        <w:t xml:space="preserve"> </w:t>
      </w:r>
      <w:r>
        <w:rPr>
          <w:spacing w:val="-2"/>
        </w:rPr>
        <w:t>atención</w:t>
      </w:r>
      <w:bookmarkStart w:id="83" w:name="_bookmark47"/>
      <w:bookmarkEnd w:id="83"/>
      <w:r w:rsidR="000D5CBC">
        <w:t xml:space="preserve"> </w:t>
      </w:r>
      <w:r>
        <w:t>limita</w:t>
      </w:r>
      <w:r>
        <w:rPr>
          <w:spacing w:val="-5"/>
        </w:rPr>
        <w:t xml:space="preserve"> </w:t>
      </w:r>
      <w:r>
        <w:t>el</w:t>
      </w:r>
      <w:r>
        <w:rPr>
          <w:spacing w:val="-1"/>
        </w:rPr>
        <w:t xml:space="preserve"> </w:t>
      </w:r>
      <w:r>
        <w:t>cumplimiento</w:t>
      </w:r>
      <w:r>
        <w:rPr>
          <w:spacing w:val="-3"/>
        </w:rPr>
        <w:t xml:space="preserve"> </w:t>
      </w:r>
      <w:r>
        <w:t>integral</w:t>
      </w:r>
      <w:r>
        <w:rPr>
          <w:spacing w:val="-1"/>
        </w:rPr>
        <w:t xml:space="preserve"> </w:t>
      </w:r>
      <w:r>
        <w:t>del</w:t>
      </w:r>
      <w:r>
        <w:rPr>
          <w:spacing w:val="-3"/>
        </w:rPr>
        <w:t xml:space="preserve"> </w:t>
      </w:r>
      <w:r>
        <w:t>derecho</w:t>
      </w:r>
      <w:r>
        <w:rPr>
          <w:spacing w:val="-1"/>
        </w:rPr>
        <w:t xml:space="preserve"> </w:t>
      </w:r>
      <w:r>
        <w:t>a</w:t>
      </w:r>
      <w:r>
        <w:rPr>
          <w:spacing w:val="-2"/>
        </w:rPr>
        <w:t xml:space="preserve"> </w:t>
      </w:r>
      <w:r>
        <w:t>la</w:t>
      </w:r>
      <w:r>
        <w:rPr>
          <w:spacing w:val="-2"/>
        </w:rPr>
        <w:t xml:space="preserve"> rehabilitación:</w:t>
      </w:r>
    </w:p>
    <w:p w:rsidR="003804AC" w:rsidRDefault="00AF18A5" w:rsidP="000D5CBC">
      <w:r>
        <w:t>«Si bien yo puedo hacer la mejor atención posible y la persona puede tener la mejor disposición</w:t>
      </w:r>
      <w:r>
        <w:rPr>
          <w:spacing w:val="-10"/>
        </w:rPr>
        <w:t xml:space="preserve"> </w:t>
      </w:r>
      <w:r>
        <w:t>para</w:t>
      </w:r>
      <w:r>
        <w:rPr>
          <w:spacing w:val="-8"/>
        </w:rPr>
        <w:t xml:space="preserve"> </w:t>
      </w:r>
      <w:r>
        <w:t>ser</w:t>
      </w:r>
      <w:r>
        <w:rPr>
          <w:spacing w:val="-8"/>
        </w:rPr>
        <w:t xml:space="preserve"> </w:t>
      </w:r>
      <w:r>
        <w:t>atendida,</w:t>
      </w:r>
      <w:r>
        <w:rPr>
          <w:spacing w:val="-8"/>
        </w:rPr>
        <w:t xml:space="preserve"> </w:t>
      </w:r>
      <w:r>
        <w:t>el</w:t>
      </w:r>
      <w:r>
        <w:rPr>
          <w:spacing w:val="-8"/>
        </w:rPr>
        <w:t xml:space="preserve"> </w:t>
      </w:r>
      <w:r>
        <w:t>hecho</w:t>
      </w:r>
      <w:r>
        <w:rPr>
          <w:spacing w:val="-8"/>
        </w:rPr>
        <w:t xml:space="preserve"> </w:t>
      </w:r>
      <w:r>
        <w:t>de</w:t>
      </w:r>
      <w:r>
        <w:rPr>
          <w:spacing w:val="-8"/>
        </w:rPr>
        <w:t xml:space="preserve"> </w:t>
      </w:r>
      <w:r>
        <w:t>que</w:t>
      </w:r>
      <w:r>
        <w:rPr>
          <w:spacing w:val="-8"/>
        </w:rPr>
        <w:t xml:space="preserve"> </w:t>
      </w:r>
      <w:r>
        <w:t>[...]</w:t>
      </w:r>
      <w:r>
        <w:rPr>
          <w:spacing w:val="-8"/>
        </w:rPr>
        <w:t xml:space="preserve"> </w:t>
      </w:r>
      <w:r>
        <w:t>una</w:t>
      </w:r>
      <w:r>
        <w:rPr>
          <w:spacing w:val="-8"/>
        </w:rPr>
        <w:t xml:space="preserve"> </w:t>
      </w:r>
      <w:r>
        <w:t>persona</w:t>
      </w:r>
      <w:r>
        <w:rPr>
          <w:spacing w:val="-9"/>
        </w:rPr>
        <w:t xml:space="preserve"> </w:t>
      </w:r>
      <w:r>
        <w:t>tenga</w:t>
      </w:r>
      <w:r>
        <w:rPr>
          <w:spacing w:val="-8"/>
        </w:rPr>
        <w:t xml:space="preserve"> </w:t>
      </w:r>
      <w:r>
        <w:t>sus</w:t>
      </w:r>
      <w:r>
        <w:rPr>
          <w:spacing w:val="-8"/>
        </w:rPr>
        <w:t xml:space="preserve"> </w:t>
      </w:r>
      <w:r>
        <w:t>necesidades</w:t>
      </w:r>
      <w:r>
        <w:rPr>
          <w:spacing w:val="-8"/>
        </w:rPr>
        <w:t xml:space="preserve"> </w:t>
      </w:r>
      <w:r>
        <w:t>básicas insatisfechas no es una tierra fértil para la rehabilitación, porque una persona que no puede acceder a alimentos, a agua potable, que no tiene un techo fijo, pues si esas necesidades no están</w:t>
      </w:r>
      <w:r>
        <w:rPr>
          <w:spacing w:val="-15"/>
        </w:rPr>
        <w:t xml:space="preserve"> </w:t>
      </w:r>
      <w:r>
        <w:t>resueltas</w:t>
      </w:r>
      <w:r>
        <w:rPr>
          <w:spacing w:val="-14"/>
        </w:rPr>
        <w:t xml:space="preserve"> </w:t>
      </w:r>
      <w:r>
        <w:t>es</w:t>
      </w:r>
      <w:r>
        <w:rPr>
          <w:spacing w:val="-15"/>
        </w:rPr>
        <w:t xml:space="preserve"> </w:t>
      </w:r>
      <w:r>
        <w:t>mucho</w:t>
      </w:r>
      <w:r>
        <w:rPr>
          <w:spacing w:val="-15"/>
        </w:rPr>
        <w:t xml:space="preserve"> </w:t>
      </w:r>
      <w:r>
        <w:t>más</w:t>
      </w:r>
      <w:r>
        <w:rPr>
          <w:spacing w:val="-15"/>
        </w:rPr>
        <w:t xml:space="preserve"> </w:t>
      </w:r>
      <w:r>
        <w:t>complejo</w:t>
      </w:r>
      <w:r>
        <w:rPr>
          <w:spacing w:val="-14"/>
        </w:rPr>
        <w:t xml:space="preserve"> </w:t>
      </w:r>
      <w:r>
        <w:t>atender</w:t>
      </w:r>
      <w:r>
        <w:rPr>
          <w:spacing w:val="-15"/>
        </w:rPr>
        <w:t xml:space="preserve"> </w:t>
      </w:r>
      <w:r>
        <w:t>las</w:t>
      </w:r>
      <w:r>
        <w:rPr>
          <w:spacing w:val="-15"/>
        </w:rPr>
        <w:t xml:space="preserve"> </w:t>
      </w:r>
      <w:r>
        <w:t>otras</w:t>
      </w:r>
      <w:r>
        <w:rPr>
          <w:spacing w:val="-14"/>
        </w:rPr>
        <w:t xml:space="preserve"> </w:t>
      </w:r>
      <w:r>
        <w:t>necesidades</w:t>
      </w:r>
      <w:r>
        <w:rPr>
          <w:spacing w:val="-15"/>
        </w:rPr>
        <w:t xml:space="preserve"> </w:t>
      </w:r>
      <w:r>
        <w:t>[...].</w:t>
      </w:r>
      <w:r>
        <w:rPr>
          <w:spacing w:val="-14"/>
        </w:rPr>
        <w:t xml:space="preserve"> </w:t>
      </w:r>
      <w:r>
        <w:t>Si</w:t>
      </w:r>
      <w:r>
        <w:rPr>
          <w:spacing w:val="-14"/>
        </w:rPr>
        <w:t xml:space="preserve"> </w:t>
      </w:r>
      <w:r>
        <w:t>la</w:t>
      </w:r>
      <w:r>
        <w:rPr>
          <w:spacing w:val="-14"/>
        </w:rPr>
        <w:t xml:space="preserve"> </w:t>
      </w:r>
      <w:r>
        <w:t>persona</w:t>
      </w:r>
      <w:r>
        <w:rPr>
          <w:spacing w:val="-15"/>
        </w:rPr>
        <w:t xml:space="preserve"> </w:t>
      </w:r>
      <w:r>
        <w:t>habita en</w:t>
      </w:r>
      <w:r>
        <w:rPr>
          <w:spacing w:val="-12"/>
        </w:rPr>
        <w:t xml:space="preserve"> </w:t>
      </w:r>
      <w:r>
        <w:t>unas</w:t>
      </w:r>
      <w:r>
        <w:rPr>
          <w:spacing w:val="-12"/>
        </w:rPr>
        <w:t xml:space="preserve"> </w:t>
      </w:r>
      <w:r>
        <w:t>condiciones</w:t>
      </w:r>
      <w:r>
        <w:rPr>
          <w:spacing w:val="-12"/>
        </w:rPr>
        <w:t xml:space="preserve"> </w:t>
      </w:r>
      <w:r>
        <w:t>de</w:t>
      </w:r>
      <w:r>
        <w:rPr>
          <w:spacing w:val="-13"/>
        </w:rPr>
        <w:t xml:space="preserve"> </w:t>
      </w:r>
      <w:r>
        <w:t>miseria,</w:t>
      </w:r>
      <w:r>
        <w:rPr>
          <w:spacing w:val="-13"/>
        </w:rPr>
        <w:t xml:space="preserve"> </w:t>
      </w:r>
      <w:r>
        <w:t>la</w:t>
      </w:r>
      <w:r>
        <w:rPr>
          <w:spacing w:val="-13"/>
        </w:rPr>
        <w:t xml:space="preserve"> </w:t>
      </w:r>
      <w:r>
        <w:t>posibilidad</w:t>
      </w:r>
      <w:r>
        <w:rPr>
          <w:spacing w:val="-12"/>
        </w:rPr>
        <w:t xml:space="preserve"> </w:t>
      </w:r>
      <w:r>
        <w:t>de</w:t>
      </w:r>
      <w:r>
        <w:rPr>
          <w:spacing w:val="-13"/>
        </w:rPr>
        <w:t xml:space="preserve"> </w:t>
      </w:r>
      <w:r>
        <w:t>la</w:t>
      </w:r>
      <w:r>
        <w:rPr>
          <w:spacing w:val="-13"/>
        </w:rPr>
        <w:t xml:space="preserve"> </w:t>
      </w:r>
      <w:r>
        <w:t>rehabilitación</w:t>
      </w:r>
      <w:r>
        <w:rPr>
          <w:spacing w:val="-12"/>
        </w:rPr>
        <w:t xml:space="preserve"> </w:t>
      </w:r>
      <w:r>
        <w:t>es</w:t>
      </w:r>
      <w:r>
        <w:rPr>
          <w:spacing w:val="-13"/>
        </w:rPr>
        <w:t xml:space="preserve"> </w:t>
      </w:r>
      <w:r>
        <w:t>mucho</w:t>
      </w:r>
      <w:r>
        <w:rPr>
          <w:spacing w:val="-12"/>
        </w:rPr>
        <w:t xml:space="preserve"> </w:t>
      </w:r>
      <w:r>
        <w:t>menor,</w:t>
      </w:r>
      <w:r>
        <w:rPr>
          <w:spacing w:val="-13"/>
        </w:rPr>
        <w:t xml:space="preserve"> </w:t>
      </w:r>
      <w:r>
        <w:t>eso</w:t>
      </w:r>
      <w:r>
        <w:rPr>
          <w:spacing w:val="-12"/>
        </w:rPr>
        <w:t xml:space="preserve"> </w:t>
      </w:r>
      <w:r>
        <w:t>tiene, por supuesto, un impacto en los profesionales también, porque entonces, a pesar de que yo haga</w:t>
      </w:r>
      <w:r>
        <w:rPr>
          <w:spacing w:val="-3"/>
        </w:rPr>
        <w:t xml:space="preserve"> </w:t>
      </w:r>
      <w:r>
        <w:t>como</w:t>
      </w:r>
      <w:r>
        <w:rPr>
          <w:spacing w:val="-5"/>
        </w:rPr>
        <w:t xml:space="preserve"> </w:t>
      </w:r>
      <w:r>
        <w:t>profesional</w:t>
      </w:r>
      <w:r>
        <w:rPr>
          <w:spacing w:val="-4"/>
        </w:rPr>
        <w:t xml:space="preserve"> </w:t>
      </w:r>
      <w:r>
        <w:t>el</w:t>
      </w:r>
      <w:r>
        <w:rPr>
          <w:spacing w:val="-4"/>
        </w:rPr>
        <w:t xml:space="preserve"> </w:t>
      </w:r>
      <w:r>
        <w:t>mejor</w:t>
      </w:r>
      <w:r>
        <w:rPr>
          <w:spacing w:val="-3"/>
        </w:rPr>
        <w:t xml:space="preserve"> </w:t>
      </w:r>
      <w:r>
        <w:t>esfuerzo</w:t>
      </w:r>
      <w:r>
        <w:rPr>
          <w:spacing w:val="-3"/>
        </w:rPr>
        <w:t xml:space="preserve"> </w:t>
      </w:r>
      <w:r>
        <w:t>y</w:t>
      </w:r>
      <w:r>
        <w:rPr>
          <w:spacing w:val="-5"/>
        </w:rPr>
        <w:t xml:space="preserve"> </w:t>
      </w:r>
      <w:r>
        <w:t>la</w:t>
      </w:r>
      <w:r>
        <w:rPr>
          <w:spacing w:val="-3"/>
        </w:rPr>
        <w:t xml:space="preserve"> </w:t>
      </w:r>
      <w:r>
        <w:t>persona</w:t>
      </w:r>
      <w:r>
        <w:rPr>
          <w:spacing w:val="-3"/>
        </w:rPr>
        <w:t xml:space="preserve"> </w:t>
      </w:r>
      <w:r>
        <w:t>tenga</w:t>
      </w:r>
      <w:r>
        <w:rPr>
          <w:spacing w:val="-4"/>
        </w:rPr>
        <w:t xml:space="preserve"> </w:t>
      </w:r>
      <w:r>
        <w:t>toda</w:t>
      </w:r>
      <w:r>
        <w:rPr>
          <w:spacing w:val="-3"/>
        </w:rPr>
        <w:t xml:space="preserve"> </w:t>
      </w:r>
      <w:r>
        <w:t>la</w:t>
      </w:r>
      <w:r>
        <w:rPr>
          <w:spacing w:val="-3"/>
        </w:rPr>
        <w:t xml:space="preserve"> </w:t>
      </w:r>
      <w:r>
        <w:t>voluntad</w:t>
      </w:r>
      <w:r>
        <w:rPr>
          <w:spacing w:val="-3"/>
        </w:rPr>
        <w:t xml:space="preserve"> </w:t>
      </w:r>
      <w:r>
        <w:t>de</w:t>
      </w:r>
      <w:r>
        <w:rPr>
          <w:spacing w:val="-3"/>
        </w:rPr>
        <w:t xml:space="preserve"> </w:t>
      </w:r>
      <w:r>
        <w:t>caminar</w:t>
      </w:r>
      <w:r>
        <w:rPr>
          <w:spacing w:val="-3"/>
        </w:rPr>
        <w:t xml:space="preserve"> </w:t>
      </w:r>
      <w:r>
        <w:t>una senda de</w:t>
      </w:r>
      <w:r>
        <w:rPr>
          <w:spacing w:val="-1"/>
        </w:rPr>
        <w:t xml:space="preserve"> </w:t>
      </w:r>
      <w:r>
        <w:t>rehabilitación o</w:t>
      </w:r>
      <w:r>
        <w:rPr>
          <w:spacing w:val="-1"/>
        </w:rPr>
        <w:t xml:space="preserve"> </w:t>
      </w:r>
      <w:r>
        <w:t>de mitigación del daño,</w:t>
      </w:r>
      <w:r>
        <w:rPr>
          <w:spacing w:val="-1"/>
        </w:rPr>
        <w:t xml:space="preserve"> </w:t>
      </w:r>
      <w:r>
        <w:t>el hecho de</w:t>
      </w:r>
      <w:r>
        <w:rPr>
          <w:spacing w:val="-1"/>
        </w:rPr>
        <w:t xml:space="preserve"> </w:t>
      </w:r>
      <w:r>
        <w:t>que viva</w:t>
      </w:r>
      <w:r>
        <w:rPr>
          <w:spacing w:val="-1"/>
        </w:rPr>
        <w:t xml:space="preserve"> </w:t>
      </w:r>
      <w:r>
        <w:t>en</w:t>
      </w:r>
      <w:r>
        <w:rPr>
          <w:spacing w:val="-1"/>
        </w:rPr>
        <w:t xml:space="preserve"> </w:t>
      </w:r>
      <w:r>
        <w:t>un contexto</w:t>
      </w:r>
      <w:r>
        <w:rPr>
          <w:spacing w:val="-1"/>
        </w:rPr>
        <w:t xml:space="preserve"> </w:t>
      </w:r>
      <w:r>
        <w:t>hostil puede facilitar que sea revictimizada»</w:t>
      </w:r>
      <w:r w:rsidR="000D5CBC">
        <w:rPr>
          <w:rStyle w:val="Refdenotaalpie"/>
        </w:rPr>
        <w:footnoteReference w:id="42"/>
      </w:r>
      <w:r>
        <w:t>.</w:t>
      </w:r>
    </w:p>
    <w:p w:rsidR="003804AC" w:rsidRDefault="00AF18A5" w:rsidP="000D5CBC">
      <w:r>
        <w:t>Como país, ha resultado complejo entender las repercusiones del extenso conflicto armado;</w:t>
      </w:r>
      <w:r>
        <w:rPr>
          <w:spacing w:val="-3"/>
        </w:rPr>
        <w:t xml:space="preserve"> </w:t>
      </w:r>
      <w:r>
        <w:t>la</w:t>
      </w:r>
      <w:r>
        <w:rPr>
          <w:spacing w:val="-3"/>
        </w:rPr>
        <w:t xml:space="preserve"> </w:t>
      </w:r>
      <w:r>
        <w:t>dimensión</w:t>
      </w:r>
      <w:r>
        <w:rPr>
          <w:spacing w:val="-3"/>
        </w:rPr>
        <w:t xml:space="preserve"> </w:t>
      </w:r>
      <w:r>
        <w:t>de</w:t>
      </w:r>
      <w:r>
        <w:rPr>
          <w:spacing w:val="-3"/>
        </w:rPr>
        <w:t xml:space="preserve"> </w:t>
      </w:r>
      <w:r>
        <w:t>la</w:t>
      </w:r>
      <w:r>
        <w:rPr>
          <w:spacing w:val="-3"/>
        </w:rPr>
        <w:t xml:space="preserve"> </w:t>
      </w:r>
      <w:r>
        <w:t>necesidad</w:t>
      </w:r>
      <w:r>
        <w:rPr>
          <w:spacing w:val="-4"/>
        </w:rPr>
        <w:t xml:space="preserve"> </w:t>
      </w:r>
      <w:r>
        <w:t>de</w:t>
      </w:r>
      <w:r>
        <w:rPr>
          <w:spacing w:val="-3"/>
        </w:rPr>
        <w:t xml:space="preserve"> </w:t>
      </w:r>
      <w:r>
        <w:t>atender</w:t>
      </w:r>
      <w:r>
        <w:rPr>
          <w:spacing w:val="-3"/>
        </w:rPr>
        <w:t xml:space="preserve"> </w:t>
      </w:r>
      <w:r>
        <w:t>a</w:t>
      </w:r>
      <w:r>
        <w:rPr>
          <w:spacing w:val="-3"/>
        </w:rPr>
        <w:t xml:space="preserve"> </w:t>
      </w:r>
      <w:r>
        <w:t>las</w:t>
      </w:r>
      <w:r>
        <w:rPr>
          <w:spacing w:val="-3"/>
        </w:rPr>
        <w:t xml:space="preserve"> </w:t>
      </w:r>
      <w:r>
        <w:t>víctimas</w:t>
      </w:r>
      <w:r>
        <w:rPr>
          <w:spacing w:val="-3"/>
        </w:rPr>
        <w:t xml:space="preserve"> </w:t>
      </w:r>
      <w:r>
        <w:t>choca</w:t>
      </w:r>
      <w:r>
        <w:rPr>
          <w:spacing w:val="-3"/>
        </w:rPr>
        <w:t xml:space="preserve"> </w:t>
      </w:r>
      <w:r>
        <w:t>con</w:t>
      </w:r>
      <w:r>
        <w:rPr>
          <w:spacing w:val="-3"/>
        </w:rPr>
        <w:t xml:space="preserve"> </w:t>
      </w:r>
      <w:r>
        <w:t>la</w:t>
      </w:r>
      <w:r>
        <w:rPr>
          <w:spacing w:val="-3"/>
        </w:rPr>
        <w:t xml:space="preserve"> </w:t>
      </w:r>
      <w:r>
        <w:t>burocratización de los servicios y con las instituciones implicadas, lo que supone que las esperanzas que se depositan en las normas que reconocen, garantizan y protegen los derechos de las víctimas son frustradas por su incumplimiento y su dilatación y por las diferentes barreras que se imponen en la búsqueda de la atención y rehabilitación.</w:t>
      </w:r>
    </w:p>
    <w:p w:rsidR="0011361F" w:rsidRDefault="00AF18A5" w:rsidP="000D5CBC">
      <w:r>
        <w:t xml:space="preserve">En este sentido, es necesario que los programas se alejen de la </w:t>
      </w:r>
      <w:r>
        <w:lastRenderedPageBreak/>
        <w:t>estandarización de la atención psicosocial y conciban la participación y la implicación de la sociedad civil en el trabajo,</w:t>
      </w:r>
      <w:r>
        <w:rPr>
          <w:spacing w:val="-6"/>
        </w:rPr>
        <w:t xml:space="preserve"> </w:t>
      </w:r>
      <w:r>
        <w:t>como</w:t>
      </w:r>
      <w:r>
        <w:rPr>
          <w:spacing w:val="-6"/>
        </w:rPr>
        <w:t xml:space="preserve"> </w:t>
      </w:r>
      <w:r>
        <w:t>manera</w:t>
      </w:r>
      <w:r>
        <w:rPr>
          <w:spacing w:val="-7"/>
        </w:rPr>
        <w:t xml:space="preserve"> </w:t>
      </w:r>
      <w:r>
        <w:t>de</w:t>
      </w:r>
      <w:r>
        <w:rPr>
          <w:spacing w:val="-7"/>
        </w:rPr>
        <w:t xml:space="preserve"> </w:t>
      </w:r>
      <w:r>
        <w:t>restablecer</w:t>
      </w:r>
      <w:r>
        <w:rPr>
          <w:spacing w:val="-7"/>
        </w:rPr>
        <w:t xml:space="preserve"> </w:t>
      </w:r>
      <w:r>
        <w:t>los</w:t>
      </w:r>
      <w:r>
        <w:rPr>
          <w:spacing w:val="-6"/>
        </w:rPr>
        <w:t xml:space="preserve"> </w:t>
      </w:r>
      <w:r>
        <w:t>lazos</w:t>
      </w:r>
      <w:r>
        <w:rPr>
          <w:spacing w:val="-6"/>
        </w:rPr>
        <w:t xml:space="preserve"> </w:t>
      </w:r>
      <w:r>
        <w:t>de</w:t>
      </w:r>
      <w:r>
        <w:rPr>
          <w:spacing w:val="-7"/>
        </w:rPr>
        <w:t xml:space="preserve"> </w:t>
      </w:r>
      <w:r>
        <w:t>confianza.</w:t>
      </w:r>
      <w:r>
        <w:rPr>
          <w:spacing w:val="-6"/>
        </w:rPr>
        <w:t xml:space="preserve"> </w:t>
      </w:r>
      <w:r>
        <w:t>Dar</w:t>
      </w:r>
      <w:r>
        <w:rPr>
          <w:spacing w:val="-5"/>
        </w:rPr>
        <w:t xml:space="preserve"> </w:t>
      </w:r>
      <w:r>
        <w:t>importancia</w:t>
      </w:r>
      <w:r>
        <w:rPr>
          <w:spacing w:val="-6"/>
        </w:rPr>
        <w:t xml:space="preserve"> </w:t>
      </w:r>
      <w:r>
        <w:t>y</w:t>
      </w:r>
      <w:r>
        <w:rPr>
          <w:spacing w:val="-6"/>
        </w:rPr>
        <w:t xml:space="preserve"> </w:t>
      </w:r>
      <w:r>
        <w:t>un</w:t>
      </w:r>
      <w:r>
        <w:rPr>
          <w:spacing w:val="-7"/>
        </w:rPr>
        <w:t xml:space="preserve"> </w:t>
      </w:r>
      <w:r>
        <w:t>lugar</w:t>
      </w:r>
      <w:r>
        <w:rPr>
          <w:spacing w:val="-7"/>
        </w:rPr>
        <w:t xml:space="preserve"> </w:t>
      </w:r>
      <w:r>
        <w:t>en</w:t>
      </w:r>
      <w:r>
        <w:rPr>
          <w:spacing w:val="-6"/>
        </w:rPr>
        <w:t xml:space="preserve"> </w:t>
      </w:r>
      <w:r>
        <w:t>el ámbito social al dolor de las víctimas, reafirmar su capacidad para comprender lo que ha pasado y reconocer su agencia para evitar la perpetuación de los ciclos de violencia son maneras de aportar como sociedad a la reconstrucción del tejido social a través del apoyo mutuo.</w:t>
      </w:r>
      <w:r>
        <w:rPr>
          <w:spacing w:val="-6"/>
        </w:rPr>
        <w:t xml:space="preserve"> </w:t>
      </w:r>
      <w:r>
        <w:t>Poder</w:t>
      </w:r>
      <w:r>
        <w:rPr>
          <w:spacing w:val="-6"/>
        </w:rPr>
        <w:t xml:space="preserve"> </w:t>
      </w:r>
      <w:r>
        <w:t>reconocer</w:t>
      </w:r>
      <w:r>
        <w:rPr>
          <w:spacing w:val="-6"/>
        </w:rPr>
        <w:t xml:space="preserve"> </w:t>
      </w:r>
      <w:r>
        <w:t>la</w:t>
      </w:r>
      <w:r>
        <w:rPr>
          <w:spacing w:val="-6"/>
        </w:rPr>
        <w:t xml:space="preserve"> </w:t>
      </w:r>
      <w:r>
        <w:t>gravedad</w:t>
      </w:r>
      <w:r>
        <w:rPr>
          <w:spacing w:val="-6"/>
        </w:rPr>
        <w:t xml:space="preserve"> </w:t>
      </w:r>
      <w:r>
        <w:t>de</w:t>
      </w:r>
      <w:r>
        <w:rPr>
          <w:spacing w:val="-6"/>
        </w:rPr>
        <w:t xml:space="preserve"> </w:t>
      </w:r>
      <w:r>
        <w:t>los</w:t>
      </w:r>
      <w:r>
        <w:rPr>
          <w:spacing w:val="-6"/>
        </w:rPr>
        <w:t xml:space="preserve"> </w:t>
      </w:r>
      <w:r>
        <w:t>hechos</w:t>
      </w:r>
      <w:r>
        <w:rPr>
          <w:spacing w:val="-7"/>
        </w:rPr>
        <w:t xml:space="preserve"> </w:t>
      </w:r>
      <w:r>
        <w:t>de</w:t>
      </w:r>
      <w:r>
        <w:rPr>
          <w:spacing w:val="-6"/>
        </w:rPr>
        <w:t xml:space="preserve"> </w:t>
      </w:r>
      <w:r>
        <w:t>violencia</w:t>
      </w:r>
      <w:r>
        <w:rPr>
          <w:spacing w:val="-7"/>
        </w:rPr>
        <w:t xml:space="preserve"> </w:t>
      </w:r>
      <w:r>
        <w:t>y</w:t>
      </w:r>
      <w:r>
        <w:rPr>
          <w:spacing w:val="-6"/>
        </w:rPr>
        <w:t xml:space="preserve"> </w:t>
      </w:r>
      <w:r>
        <w:t>los</w:t>
      </w:r>
      <w:r>
        <w:rPr>
          <w:spacing w:val="-6"/>
        </w:rPr>
        <w:t xml:space="preserve"> </w:t>
      </w:r>
      <w:r>
        <w:t>impactos</w:t>
      </w:r>
      <w:r>
        <w:rPr>
          <w:spacing w:val="-6"/>
        </w:rPr>
        <w:t xml:space="preserve"> </w:t>
      </w:r>
      <w:r>
        <w:t>que</w:t>
      </w:r>
      <w:r>
        <w:rPr>
          <w:spacing w:val="-6"/>
        </w:rPr>
        <w:t xml:space="preserve"> </w:t>
      </w:r>
      <w:r>
        <w:t>ha</w:t>
      </w:r>
      <w:r>
        <w:rPr>
          <w:spacing w:val="-6"/>
        </w:rPr>
        <w:t xml:space="preserve"> </w:t>
      </w:r>
      <w:r>
        <w:t>dejado en la vida de las personas y entender de manera global las secuelas a largo plazo son pasos necesarios en la reconstrucción.</w:t>
      </w:r>
    </w:p>
    <w:p w:rsidR="003804AC" w:rsidRDefault="00AF18A5" w:rsidP="000D5CBC">
      <w:bookmarkStart w:id="84" w:name="_bookmark48"/>
      <w:bookmarkEnd w:id="84"/>
      <w:r>
        <w:t>«Yo creo que el camino que nos queda a los colombianos es el del diálogo, es sentarnos, pero, eso sí, hay que entender de que [sic] estamos en un país y que somos diversos, que tenemos</w:t>
      </w:r>
      <w:r>
        <w:rPr>
          <w:spacing w:val="-1"/>
        </w:rPr>
        <w:t xml:space="preserve"> </w:t>
      </w:r>
      <w:r>
        <w:t>que</w:t>
      </w:r>
      <w:r>
        <w:rPr>
          <w:spacing w:val="-1"/>
        </w:rPr>
        <w:t xml:space="preserve"> </w:t>
      </w:r>
      <w:r>
        <w:t>aceptar</w:t>
      </w:r>
      <w:r>
        <w:rPr>
          <w:spacing w:val="-1"/>
        </w:rPr>
        <w:t xml:space="preserve"> </w:t>
      </w:r>
      <w:r>
        <w:t>la</w:t>
      </w:r>
      <w:r>
        <w:rPr>
          <w:spacing w:val="-1"/>
        </w:rPr>
        <w:t xml:space="preserve"> </w:t>
      </w:r>
      <w:r>
        <w:t>diversidad,</w:t>
      </w:r>
      <w:r>
        <w:rPr>
          <w:spacing w:val="-1"/>
        </w:rPr>
        <w:t xml:space="preserve"> </w:t>
      </w:r>
      <w:r>
        <w:t>que</w:t>
      </w:r>
      <w:r>
        <w:rPr>
          <w:spacing w:val="-1"/>
        </w:rPr>
        <w:t xml:space="preserve"> </w:t>
      </w:r>
      <w:r>
        <w:t>no</w:t>
      </w:r>
      <w:r>
        <w:rPr>
          <w:spacing w:val="-1"/>
        </w:rPr>
        <w:t xml:space="preserve"> </w:t>
      </w:r>
      <w:r>
        <w:t>todos</w:t>
      </w:r>
      <w:r>
        <w:rPr>
          <w:spacing w:val="-1"/>
        </w:rPr>
        <w:t xml:space="preserve"> </w:t>
      </w:r>
      <w:r>
        <w:t>podemos</w:t>
      </w:r>
      <w:r>
        <w:rPr>
          <w:spacing w:val="-1"/>
        </w:rPr>
        <w:t xml:space="preserve"> </w:t>
      </w:r>
      <w:r>
        <w:t>pensar</w:t>
      </w:r>
      <w:r>
        <w:rPr>
          <w:spacing w:val="-1"/>
        </w:rPr>
        <w:t xml:space="preserve"> </w:t>
      </w:r>
      <w:r>
        <w:t>igual.</w:t>
      </w:r>
      <w:r>
        <w:rPr>
          <w:spacing w:val="-1"/>
        </w:rPr>
        <w:t xml:space="preserve"> </w:t>
      </w:r>
      <w:r>
        <w:t>Es</w:t>
      </w:r>
      <w:r>
        <w:rPr>
          <w:spacing w:val="-1"/>
        </w:rPr>
        <w:t xml:space="preserve"> </w:t>
      </w:r>
      <w:r>
        <w:t>que</w:t>
      </w:r>
      <w:r>
        <w:rPr>
          <w:spacing w:val="-1"/>
        </w:rPr>
        <w:t xml:space="preserve"> </w:t>
      </w:r>
      <w:r>
        <w:t>eso</w:t>
      </w:r>
      <w:r>
        <w:rPr>
          <w:spacing w:val="-1"/>
        </w:rPr>
        <w:t xml:space="preserve"> </w:t>
      </w:r>
      <w:r>
        <w:t>es</w:t>
      </w:r>
      <w:r>
        <w:rPr>
          <w:spacing w:val="-1"/>
        </w:rPr>
        <w:t xml:space="preserve"> </w:t>
      </w:r>
      <w:r>
        <w:t>lo</w:t>
      </w:r>
      <w:r>
        <w:rPr>
          <w:spacing w:val="-1"/>
        </w:rPr>
        <w:t xml:space="preserve"> </w:t>
      </w:r>
      <w:r>
        <w:t>que no</w:t>
      </w:r>
      <w:r>
        <w:rPr>
          <w:spacing w:val="-6"/>
        </w:rPr>
        <w:t xml:space="preserve"> </w:t>
      </w:r>
      <w:r>
        <w:t>me</w:t>
      </w:r>
      <w:r>
        <w:rPr>
          <w:spacing w:val="-6"/>
        </w:rPr>
        <w:t xml:space="preserve"> </w:t>
      </w:r>
      <w:r>
        <w:t>parece</w:t>
      </w:r>
      <w:r>
        <w:rPr>
          <w:spacing w:val="-6"/>
        </w:rPr>
        <w:t xml:space="preserve"> </w:t>
      </w:r>
      <w:r>
        <w:t>a</w:t>
      </w:r>
      <w:r>
        <w:rPr>
          <w:spacing w:val="-6"/>
        </w:rPr>
        <w:t xml:space="preserve"> </w:t>
      </w:r>
      <w:r>
        <w:t>mí,</w:t>
      </w:r>
      <w:r>
        <w:rPr>
          <w:spacing w:val="-6"/>
        </w:rPr>
        <w:t xml:space="preserve"> </w:t>
      </w:r>
      <w:r>
        <w:t>que</w:t>
      </w:r>
      <w:r>
        <w:rPr>
          <w:spacing w:val="-6"/>
        </w:rPr>
        <w:t xml:space="preserve"> </w:t>
      </w:r>
      <w:r>
        <w:t>por</w:t>
      </w:r>
      <w:r>
        <w:rPr>
          <w:spacing w:val="-6"/>
        </w:rPr>
        <w:t xml:space="preserve"> </w:t>
      </w:r>
      <w:r>
        <w:t>el</w:t>
      </w:r>
      <w:r>
        <w:rPr>
          <w:spacing w:val="-6"/>
        </w:rPr>
        <w:t xml:space="preserve"> </w:t>
      </w:r>
      <w:r>
        <w:t>hecho</w:t>
      </w:r>
      <w:r>
        <w:rPr>
          <w:spacing w:val="-6"/>
        </w:rPr>
        <w:t xml:space="preserve"> </w:t>
      </w:r>
      <w:r>
        <w:t>que</w:t>
      </w:r>
      <w:r>
        <w:rPr>
          <w:spacing w:val="-6"/>
        </w:rPr>
        <w:t xml:space="preserve"> </w:t>
      </w:r>
      <w:r>
        <w:t>tú</w:t>
      </w:r>
      <w:r>
        <w:rPr>
          <w:spacing w:val="-6"/>
        </w:rPr>
        <w:t xml:space="preserve"> </w:t>
      </w:r>
      <w:r>
        <w:t>no</w:t>
      </w:r>
      <w:r>
        <w:rPr>
          <w:spacing w:val="-6"/>
        </w:rPr>
        <w:t xml:space="preserve"> </w:t>
      </w:r>
      <w:r>
        <w:t>pienses</w:t>
      </w:r>
      <w:r>
        <w:rPr>
          <w:spacing w:val="-6"/>
        </w:rPr>
        <w:t xml:space="preserve"> </w:t>
      </w:r>
      <w:r>
        <w:t>igual</w:t>
      </w:r>
      <w:r>
        <w:rPr>
          <w:spacing w:val="-6"/>
        </w:rPr>
        <w:t xml:space="preserve"> </w:t>
      </w:r>
      <w:r>
        <w:t>a</w:t>
      </w:r>
      <w:r>
        <w:rPr>
          <w:spacing w:val="-6"/>
        </w:rPr>
        <w:t xml:space="preserve"> </w:t>
      </w:r>
      <w:r>
        <w:t>mí,</w:t>
      </w:r>
      <w:r>
        <w:rPr>
          <w:spacing w:val="-6"/>
        </w:rPr>
        <w:t xml:space="preserve"> </w:t>
      </w:r>
      <w:r>
        <w:t>tú</w:t>
      </w:r>
      <w:r>
        <w:rPr>
          <w:spacing w:val="-6"/>
        </w:rPr>
        <w:t xml:space="preserve"> </w:t>
      </w:r>
      <w:r>
        <w:t>eres</w:t>
      </w:r>
      <w:r>
        <w:rPr>
          <w:spacing w:val="-7"/>
        </w:rPr>
        <w:t xml:space="preserve"> </w:t>
      </w:r>
      <w:r>
        <w:t>mi</w:t>
      </w:r>
      <w:r>
        <w:rPr>
          <w:spacing w:val="-6"/>
        </w:rPr>
        <w:t xml:space="preserve"> </w:t>
      </w:r>
      <w:r>
        <w:t>enemigo,</w:t>
      </w:r>
      <w:r>
        <w:rPr>
          <w:spacing w:val="-7"/>
        </w:rPr>
        <w:t xml:space="preserve"> </w:t>
      </w:r>
      <w:r>
        <w:t>podrás ser mi contradictor, en un, digamos, diálogo franco y honesto sin intereses más nada que el de</w:t>
      </w:r>
      <w:r>
        <w:rPr>
          <w:spacing w:val="-1"/>
        </w:rPr>
        <w:t xml:space="preserve"> </w:t>
      </w:r>
      <w:r>
        <w:t>Colombia, podremos</w:t>
      </w:r>
      <w:r>
        <w:rPr>
          <w:spacing w:val="-1"/>
        </w:rPr>
        <w:t xml:space="preserve"> </w:t>
      </w:r>
      <w:r>
        <w:t>sacar</w:t>
      </w:r>
      <w:r>
        <w:rPr>
          <w:spacing w:val="-1"/>
        </w:rPr>
        <w:t xml:space="preserve"> </w:t>
      </w:r>
      <w:r>
        <w:t>este</w:t>
      </w:r>
      <w:r>
        <w:rPr>
          <w:spacing w:val="-1"/>
        </w:rPr>
        <w:t xml:space="preserve"> </w:t>
      </w:r>
      <w:r>
        <w:t>país</w:t>
      </w:r>
      <w:r>
        <w:rPr>
          <w:spacing w:val="-1"/>
        </w:rPr>
        <w:t xml:space="preserve"> </w:t>
      </w:r>
      <w:r>
        <w:t>adelante,</w:t>
      </w:r>
      <w:r>
        <w:rPr>
          <w:spacing w:val="-1"/>
        </w:rPr>
        <w:t xml:space="preserve"> </w:t>
      </w:r>
      <w:r>
        <w:t>o sea, no</w:t>
      </w:r>
      <w:r>
        <w:rPr>
          <w:spacing w:val="-1"/>
        </w:rPr>
        <w:t xml:space="preserve"> </w:t>
      </w:r>
      <w:r>
        <w:t>veo otra solución [...].</w:t>
      </w:r>
      <w:r>
        <w:rPr>
          <w:spacing w:val="-1"/>
        </w:rPr>
        <w:t xml:space="preserve"> </w:t>
      </w:r>
      <w:r>
        <w:t>Pero</w:t>
      </w:r>
      <w:r>
        <w:rPr>
          <w:spacing w:val="-1"/>
        </w:rPr>
        <w:t xml:space="preserve"> </w:t>
      </w:r>
      <w:r>
        <w:t>todos tenemos que poner, porque de pronto también coge la cátedra y decir de que sea de derecha o de izquierda, es que el universo produce diverso, o sea, no todos somos iguales, en la naturaleza, en lo que sea, y yo creo que esa es la mejor cura [...] para que esto no se repita. Lo</w:t>
      </w:r>
      <w:r>
        <w:rPr>
          <w:spacing w:val="-1"/>
        </w:rPr>
        <w:t xml:space="preserve"> </w:t>
      </w:r>
      <w:r>
        <w:t>otro,</w:t>
      </w:r>
      <w:r>
        <w:rPr>
          <w:spacing w:val="-1"/>
        </w:rPr>
        <w:t xml:space="preserve"> </w:t>
      </w:r>
      <w:r>
        <w:t>sí,</w:t>
      </w:r>
      <w:r>
        <w:rPr>
          <w:spacing w:val="-2"/>
        </w:rPr>
        <w:t xml:space="preserve"> </w:t>
      </w:r>
      <w:r>
        <w:t>contarlo,</w:t>
      </w:r>
      <w:r>
        <w:rPr>
          <w:spacing w:val="-1"/>
        </w:rPr>
        <w:t xml:space="preserve"> </w:t>
      </w:r>
      <w:r>
        <w:t>contarlo,</w:t>
      </w:r>
      <w:r>
        <w:rPr>
          <w:spacing w:val="-1"/>
        </w:rPr>
        <w:t xml:space="preserve"> </w:t>
      </w:r>
      <w:r>
        <w:t>y</w:t>
      </w:r>
      <w:r>
        <w:rPr>
          <w:spacing w:val="-1"/>
        </w:rPr>
        <w:t xml:space="preserve"> </w:t>
      </w:r>
      <w:r>
        <w:t>yo</w:t>
      </w:r>
      <w:r>
        <w:rPr>
          <w:spacing w:val="-2"/>
        </w:rPr>
        <w:t xml:space="preserve"> </w:t>
      </w:r>
      <w:r>
        <w:t>lo</w:t>
      </w:r>
      <w:r>
        <w:rPr>
          <w:spacing w:val="-2"/>
        </w:rPr>
        <w:t xml:space="preserve"> </w:t>
      </w:r>
      <w:r>
        <w:t>último</w:t>
      </w:r>
      <w:r>
        <w:rPr>
          <w:spacing w:val="-1"/>
        </w:rPr>
        <w:t xml:space="preserve"> </w:t>
      </w:r>
      <w:r>
        <w:t>que</w:t>
      </w:r>
      <w:r>
        <w:rPr>
          <w:spacing w:val="-1"/>
        </w:rPr>
        <w:t xml:space="preserve"> </w:t>
      </w:r>
      <w:r>
        <w:t>puedo</w:t>
      </w:r>
      <w:r>
        <w:rPr>
          <w:spacing w:val="-1"/>
        </w:rPr>
        <w:t xml:space="preserve"> </w:t>
      </w:r>
      <w:r>
        <w:t>decir</w:t>
      </w:r>
      <w:r>
        <w:rPr>
          <w:spacing w:val="-1"/>
        </w:rPr>
        <w:t xml:space="preserve"> </w:t>
      </w:r>
      <w:r>
        <w:t>es:</w:t>
      </w:r>
      <w:r>
        <w:rPr>
          <w:spacing w:val="-1"/>
        </w:rPr>
        <w:t xml:space="preserve"> </w:t>
      </w:r>
      <w:r>
        <w:t>no</w:t>
      </w:r>
      <w:r>
        <w:rPr>
          <w:spacing w:val="-1"/>
        </w:rPr>
        <w:t xml:space="preserve"> </w:t>
      </w:r>
      <w:r>
        <w:t>tratemos</w:t>
      </w:r>
      <w:r>
        <w:rPr>
          <w:spacing w:val="-1"/>
        </w:rPr>
        <w:t xml:space="preserve"> </w:t>
      </w:r>
      <w:r>
        <w:t>de</w:t>
      </w:r>
      <w:r>
        <w:rPr>
          <w:spacing w:val="-1"/>
        </w:rPr>
        <w:t xml:space="preserve"> </w:t>
      </w:r>
      <w:r>
        <w:t>polarizar</w:t>
      </w:r>
      <w:r>
        <w:rPr>
          <w:spacing w:val="-1"/>
        </w:rPr>
        <w:t xml:space="preserve"> </w:t>
      </w:r>
      <w:r>
        <w:t>la verdad,</w:t>
      </w:r>
      <w:r>
        <w:rPr>
          <w:spacing w:val="-7"/>
        </w:rPr>
        <w:t xml:space="preserve"> </w:t>
      </w:r>
      <w:r>
        <w:t>la</w:t>
      </w:r>
      <w:r>
        <w:rPr>
          <w:spacing w:val="-7"/>
        </w:rPr>
        <w:t xml:space="preserve"> </w:t>
      </w:r>
      <w:r>
        <w:t>verdad</w:t>
      </w:r>
      <w:r>
        <w:rPr>
          <w:spacing w:val="-7"/>
        </w:rPr>
        <w:t xml:space="preserve"> </w:t>
      </w:r>
      <w:r>
        <w:t>es</w:t>
      </w:r>
      <w:r>
        <w:rPr>
          <w:spacing w:val="-7"/>
        </w:rPr>
        <w:t xml:space="preserve"> </w:t>
      </w:r>
      <w:r>
        <w:t>la</w:t>
      </w:r>
      <w:r>
        <w:rPr>
          <w:spacing w:val="-7"/>
        </w:rPr>
        <w:t xml:space="preserve"> </w:t>
      </w:r>
      <w:r>
        <w:t>verdad</w:t>
      </w:r>
      <w:r>
        <w:rPr>
          <w:spacing w:val="-7"/>
        </w:rPr>
        <w:t xml:space="preserve"> </w:t>
      </w:r>
      <w:r>
        <w:t>y</w:t>
      </w:r>
      <w:r>
        <w:rPr>
          <w:spacing w:val="-7"/>
        </w:rPr>
        <w:t xml:space="preserve"> </w:t>
      </w:r>
      <w:r>
        <w:t>no</w:t>
      </w:r>
      <w:r>
        <w:rPr>
          <w:spacing w:val="-7"/>
        </w:rPr>
        <w:t xml:space="preserve"> </w:t>
      </w:r>
      <w:r>
        <w:t>tiene</w:t>
      </w:r>
      <w:r>
        <w:rPr>
          <w:spacing w:val="-7"/>
        </w:rPr>
        <w:t xml:space="preserve"> </w:t>
      </w:r>
      <w:r>
        <w:t>por</w:t>
      </w:r>
      <w:r>
        <w:rPr>
          <w:spacing w:val="-7"/>
        </w:rPr>
        <w:t xml:space="preserve"> </w:t>
      </w:r>
      <w:r>
        <w:t>qué</w:t>
      </w:r>
      <w:r>
        <w:rPr>
          <w:spacing w:val="-7"/>
        </w:rPr>
        <w:t xml:space="preserve"> </w:t>
      </w:r>
      <w:r>
        <w:t>tener</w:t>
      </w:r>
      <w:r>
        <w:rPr>
          <w:spacing w:val="-7"/>
        </w:rPr>
        <w:t xml:space="preserve"> </w:t>
      </w:r>
      <w:r>
        <w:t>matices</w:t>
      </w:r>
      <w:r>
        <w:rPr>
          <w:spacing w:val="-8"/>
        </w:rPr>
        <w:t xml:space="preserve"> </w:t>
      </w:r>
      <w:r>
        <w:t>ni</w:t>
      </w:r>
      <w:r>
        <w:rPr>
          <w:spacing w:val="-7"/>
        </w:rPr>
        <w:t xml:space="preserve"> </w:t>
      </w:r>
      <w:r>
        <w:t>negros,</w:t>
      </w:r>
      <w:r>
        <w:rPr>
          <w:spacing w:val="-7"/>
        </w:rPr>
        <w:t xml:space="preserve"> </w:t>
      </w:r>
      <w:r>
        <w:t>ni</w:t>
      </w:r>
      <w:r>
        <w:rPr>
          <w:spacing w:val="-7"/>
        </w:rPr>
        <w:t xml:space="preserve"> </w:t>
      </w:r>
      <w:r>
        <w:t>oscuros,</w:t>
      </w:r>
      <w:r>
        <w:rPr>
          <w:spacing w:val="-7"/>
        </w:rPr>
        <w:t xml:space="preserve"> </w:t>
      </w:r>
      <w:r>
        <w:t>ni</w:t>
      </w:r>
      <w:r>
        <w:rPr>
          <w:spacing w:val="-8"/>
        </w:rPr>
        <w:t xml:space="preserve"> </w:t>
      </w:r>
      <w:r>
        <w:t xml:space="preserve">nada; así pasó, así pasó, y no tomar eso para armar venganza, para justificar programas, no, esto fue lo que nos </w:t>
      </w:r>
      <w:r>
        <w:lastRenderedPageBreak/>
        <w:t>pasó, y esto, digamos, es el error que no podemos volver a cometer»</w:t>
      </w:r>
      <w:r w:rsidR="000D5CBC">
        <w:rPr>
          <w:rStyle w:val="Refdenotaalpie"/>
        </w:rPr>
        <w:footnoteReference w:id="43"/>
      </w:r>
      <w:r>
        <w:t>.</w:t>
      </w:r>
    </w:p>
    <w:p w:rsidR="003804AC" w:rsidRDefault="00AF18A5" w:rsidP="000D5CBC">
      <w:r>
        <w:t>Las políticas de reparación deben formar parte de una política de reconstrucción más amplia,</w:t>
      </w:r>
      <w:r>
        <w:rPr>
          <w:spacing w:val="-4"/>
        </w:rPr>
        <w:t xml:space="preserve"> </w:t>
      </w:r>
      <w:r>
        <w:t>en</w:t>
      </w:r>
      <w:r>
        <w:rPr>
          <w:spacing w:val="-4"/>
        </w:rPr>
        <w:t xml:space="preserve"> </w:t>
      </w:r>
      <w:r>
        <w:t>la</w:t>
      </w:r>
      <w:r>
        <w:rPr>
          <w:spacing w:val="-3"/>
        </w:rPr>
        <w:t xml:space="preserve"> </w:t>
      </w:r>
      <w:r>
        <w:t>que</w:t>
      </w:r>
      <w:r>
        <w:rPr>
          <w:spacing w:val="-3"/>
        </w:rPr>
        <w:t xml:space="preserve"> </w:t>
      </w:r>
      <w:r>
        <w:t>la</w:t>
      </w:r>
      <w:r>
        <w:rPr>
          <w:spacing w:val="-3"/>
        </w:rPr>
        <w:t xml:space="preserve"> </w:t>
      </w:r>
      <w:r>
        <w:t>reparación</w:t>
      </w:r>
      <w:r>
        <w:rPr>
          <w:spacing w:val="-4"/>
        </w:rPr>
        <w:t xml:space="preserve"> </w:t>
      </w:r>
      <w:r>
        <w:t>colectiva</w:t>
      </w:r>
      <w:r>
        <w:rPr>
          <w:spacing w:val="-3"/>
        </w:rPr>
        <w:t xml:space="preserve"> </w:t>
      </w:r>
      <w:r>
        <w:t>debe</w:t>
      </w:r>
      <w:r>
        <w:rPr>
          <w:spacing w:val="-3"/>
        </w:rPr>
        <w:t xml:space="preserve"> </w:t>
      </w:r>
      <w:r>
        <w:t>llevar</w:t>
      </w:r>
      <w:r>
        <w:rPr>
          <w:spacing w:val="-3"/>
        </w:rPr>
        <w:t xml:space="preserve"> </w:t>
      </w:r>
      <w:r>
        <w:t>a</w:t>
      </w:r>
      <w:r>
        <w:rPr>
          <w:spacing w:val="-3"/>
        </w:rPr>
        <w:t xml:space="preserve"> </w:t>
      </w:r>
      <w:r>
        <w:t>cabo</w:t>
      </w:r>
      <w:r>
        <w:rPr>
          <w:spacing w:val="-4"/>
        </w:rPr>
        <w:t xml:space="preserve"> </w:t>
      </w:r>
      <w:r>
        <w:t>acciones</w:t>
      </w:r>
      <w:r>
        <w:rPr>
          <w:spacing w:val="-3"/>
        </w:rPr>
        <w:t xml:space="preserve"> </w:t>
      </w:r>
      <w:r>
        <w:t>sostenidas</w:t>
      </w:r>
      <w:r>
        <w:rPr>
          <w:spacing w:val="-3"/>
        </w:rPr>
        <w:t xml:space="preserve"> </w:t>
      </w:r>
      <w:r>
        <w:t>en</w:t>
      </w:r>
      <w:r>
        <w:rPr>
          <w:spacing w:val="-4"/>
        </w:rPr>
        <w:t xml:space="preserve"> </w:t>
      </w:r>
      <w:r>
        <w:t>el</w:t>
      </w:r>
      <w:r>
        <w:rPr>
          <w:spacing w:val="-4"/>
        </w:rPr>
        <w:t xml:space="preserve"> </w:t>
      </w:r>
      <w:r>
        <w:t>tiempo que aborden local y regionalmente el conjunto de medidas de memoria, atención a las víctimas, garantías de seguridad y protección y reconstrucción de los entornos vitales que fueron afectados por la guerra.</w:t>
      </w:r>
    </w:p>
    <w:p w:rsidR="0011361F" w:rsidRDefault="00AF18A5" w:rsidP="000D5CBC">
      <w:r>
        <w:t>Si</w:t>
      </w:r>
      <w:r>
        <w:rPr>
          <w:spacing w:val="-1"/>
        </w:rPr>
        <w:t xml:space="preserve"> </w:t>
      </w:r>
      <w:r>
        <w:t>hay</w:t>
      </w:r>
      <w:r>
        <w:rPr>
          <w:spacing w:val="-1"/>
        </w:rPr>
        <w:t xml:space="preserve"> </w:t>
      </w:r>
      <w:r>
        <w:t>algo</w:t>
      </w:r>
      <w:r>
        <w:rPr>
          <w:spacing w:val="-2"/>
        </w:rPr>
        <w:t xml:space="preserve"> </w:t>
      </w:r>
      <w:r>
        <w:t>que</w:t>
      </w:r>
      <w:r>
        <w:rPr>
          <w:spacing w:val="-1"/>
        </w:rPr>
        <w:t xml:space="preserve"> </w:t>
      </w:r>
      <w:r>
        <w:t>en</w:t>
      </w:r>
      <w:r>
        <w:rPr>
          <w:spacing w:val="-1"/>
        </w:rPr>
        <w:t xml:space="preserve"> </w:t>
      </w:r>
      <w:r>
        <w:t>todos</w:t>
      </w:r>
      <w:r>
        <w:rPr>
          <w:spacing w:val="-2"/>
        </w:rPr>
        <w:t xml:space="preserve"> </w:t>
      </w:r>
      <w:r>
        <w:t>los</w:t>
      </w:r>
      <w:r>
        <w:rPr>
          <w:spacing w:val="-1"/>
        </w:rPr>
        <w:t xml:space="preserve"> </w:t>
      </w:r>
      <w:r>
        <w:t>países</w:t>
      </w:r>
      <w:r>
        <w:rPr>
          <w:spacing w:val="-1"/>
        </w:rPr>
        <w:t xml:space="preserve"> </w:t>
      </w:r>
      <w:r>
        <w:t>ha</w:t>
      </w:r>
      <w:r>
        <w:rPr>
          <w:spacing w:val="-1"/>
        </w:rPr>
        <w:t xml:space="preserve"> </w:t>
      </w:r>
      <w:r>
        <w:t>mantenido</w:t>
      </w:r>
      <w:r>
        <w:rPr>
          <w:spacing w:val="-2"/>
        </w:rPr>
        <w:t xml:space="preserve"> </w:t>
      </w:r>
      <w:r>
        <w:t>abierta</w:t>
      </w:r>
      <w:r>
        <w:rPr>
          <w:spacing w:val="-2"/>
        </w:rPr>
        <w:t xml:space="preserve"> </w:t>
      </w:r>
      <w:r>
        <w:t>las</w:t>
      </w:r>
      <w:r>
        <w:rPr>
          <w:spacing w:val="-1"/>
        </w:rPr>
        <w:t xml:space="preserve"> </w:t>
      </w:r>
      <w:r>
        <w:t>heridas</w:t>
      </w:r>
      <w:r>
        <w:rPr>
          <w:spacing w:val="-2"/>
        </w:rPr>
        <w:t xml:space="preserve"> </w:t>
      </w:r>
      <w:r>
        <w:t>del</w:t>
      </w:r>
      <w:r>
        <w:rPr>
          <w:spacing w:val="-2"/>
        </w:rPr>
        <w:t xml:space="preserve"> </w:t>
      </w:r>
      <w:r>
        <w:t>conflicto</w:t>
      </w:r>
      <w:r>
        <w:rPr>
          <w:spacing w:val="-1"/>
        </w:rPr>
        <w:t xml:space="preserve"> </w:t>
      </w:r>
      <w:r>
        <w:t>armado o la dictadura donde se produjeron violaciones masivas de derechos humanos ha sido el impacto de la desaparición forzada. El propio proceso de paz estableció la creación de la Unidad</w:t>
      </w:r>
      <w:r>
        <w:rPr>
          <w:spacing w:val="-15"/>
        </w:rPr>
        <w:t xml:space="preserve"> </w:t>
      </w:r>
      <w:r>
        <w:t>de</w:t>
      </w:r>
      <w:r>
        <w:rPr>
          <w:spacing w:val="-15"/>
        </w:rPr>
        <w:t xml:space="preserve"> </w:t>
      </w:r>
      <w:r>
        <w:t>Búsqueda</w:t>
      </w:r>
      <w:r>
        <w:rPr>
          <w:spacing w:val="-15"/>
        </w:rPr>
        <w:t xml:space="preserve"> </w:t>
      </w:r>
      <w:r>
        <w:t>de</w:t>
      </w:r>
      <w:r>
        <w:rPr>
          <w:spacing w:val="-15"/>
        </w:rPr>
        <w:t xml:space="preserve"> </w:t>
      </w:r>
      <w:r>
        <w:t>Personas</w:t>
      </w:r>
      <w:r>
        <w:rPr>
          <w:spacing w:val="-15"/>
        </w:rPr>
        <w:t xml:space="preserve"> </w:t>
      </w:r>
      <w:r>
        <w:t>Desaparecidas.</w:t>
      </w:r>
      <w:r>
        <w:rPr>
          <w:spacing w:val="-15"/>
        </w:rPr>
        <w:t xml:space="preserve"> </w:t>
      </w:r>
      <w:r>
        <w:t>La</w:t>
      </w:r>
      <w:r>
        <w:rPr>
          <w:spacing w:val="-15"/>
        </w:rPr>
        <w:t xml:space="preserve"> </w:t>
      </w:r>
      <w:r>
        <w:t>desaparición</w:t>
      </w:r>
      <w:r>
        <w:rPr>
          <w:spacing w:val="-15"/>
        </w:rPr>
        <w:t xml:space="preserve"> </w:t>
      </w:r>
      <w:r>
        <w:t>forzada</w:t>
      </w:r>
      <w:r>
        <w:rPr>
          <w:spacing w:val="-15"/>
        </w:rPr>
        <w:t xml:space="preserve"> </w:t>
      </w:r>
      <w:r>
        <w:t>no</w:t>
      </w:r>
      <w:r>
        <w:rPr>
          <w:spacing w:val="-15"/>
        </w:rPr>
        <w:t xml:space="preserve"> </w:t>
      </w:r>
      <w:r>
        <w:t>solo</w:t>
      </w:r>
      <w:r>
        <w:rPr>
          <w:spacing w:val="-15"/>
        </w:rPr>
        <w:t xml:space="preserve"> </w:t>
      </w:r>
      <w:r>
        <w:t>es</w:t>
      </w:r>
      <w:r>
        <w:rPr>
          <w:spacing w:val="-15"/>
        </w:rPr>
        <w:t xml:space="preserve"> </w:t>
      </w:r>
      <w:r>
        <w:t>un</w:t>
      </w:r>
      <w:r>
        <w:rPr>
          <w:spacing w:val="-15"/>
        </w:rPr>
        <w:t xml:space="preserve"> </w:t>
      </w:r>
      <w:r>
        <w:t>delito permanente, sino también una herida permanente que necesita una acción continua que acompañe</w:t>
      </w:r>
      <w:r>
        <w:rPr>
          <w:spacing w:val="-6"/>
        </w:rPr>
        <w:t xml:space="preserve"> </w:t>
      </w:r>
      <w:r>
        <w:t>y</w:t>
      </w:r>
      <w:r>
        <w:rPr>
          <w:spacing w:val="-7"/>
        </w:rPr>
        <w:t xml:space="preserve"> </w:t>
      </w:r>
      <w:r>
        <w:t>dé</w:t>
      </w:r>
      <w:r>
        <w:rPr>
          <w:spacing w:val="-6"/>
        </w:rPr>
        <w:t xml:space="preserve"> </w:t>
      </w:r>
      <w:r>
        <w:t>cobertura</w:t>
      </w:r>
      <w:r>
        <w:rPr>
          <w:spacing w:val="-7"/>
        </w:rPr>
        <w:t xml:space="preserve"> </w:t>
      </w:r>
      <w:r>
        <w:t>legal</w:t>
      </w:r>
      <w:r>
        <w:rPr>
          <w:spacing w:val="-6"/>
        </w:rPr>
        <w:t xml:space="preserve"> </w:t>
      </w:r>
      <w:r>
        <w:t>al</w:t>
      </w:r>
      <w:r>
        <w:rPr>
          <w:spacing w:val="-6"/>
        </w:rPr>
        <w:t xml:space="preserve"> </w:t>
      </w:r>
      <w:r>
        <w:t>reconocimiento</w:t>
      </w:r>
      <w:r>
        <w:rPr>
          <w:spacing w:val="-7"/>
        </w:rPr>
        <w:t xml:space="preserve"> </w:t>
      </w:r>
      <w:r>
        <w:t>de</w:t>
      </w:r>
      <w:r>
        <w:rPr>
          <w:spacing w:val="-6"/>
        </w:rPr>
        <w:t xml:space="preserve"> </w:t>
      </w:r>
      <w:r>
        <w:t>los</w:t>
      </w:r>
      <w:r>
        <w:rPr>
          <w:spacing w:val="-6"/>
        </w:rPr>
        <w:t xml:space="preserve"> </w:t>
      </w:r>
      <w:r>
        <w:t>esfuerzos</w:t>
      </w:r>
      <w:r>
        <w:rPr>
          <w:spacing w:val="-6"/>
        </w:rPr>
        <w:t xml:space="preserve"> </w:t>
      </w:r>
      <w:r>
        <w:t>de</w:t>
      </w:r>
      <w:r>
        <w:rPr>
          <w:spacing w:val="-6"/>
        </w:rPr>
        <w:t xml:space="preserve"> </w:t>
      </w:r>
      <w:r>
        <w:t>las</w:t>
      </w:r>
      <w:r>
        <w:rPr>
          <w:spacing w:val="-7"/>
        </w:rPr>
        <w:t xml:space="preserve"> </w:t>
      </w:r>
      <w:r>
        <w:t>familias</w:t>
      </w:r>
      <w:r>
        <w:rPr>
          <w:spacing w:val="-6"/>
        </w:rPr>
        <w:t xml:space="preserve"> </w:t>
      </w:r>
      <w:r>
        <w:t>buscadoras y</w:t>
      </w:r>
      <w:r>
        <w:rPr>
          <w:spacing w:val="-4"/>
        </w:rPr>
        <w:t xml:space="preserve"> </w:t>
      </w:r>
      <w:r>
        <w:t>sus</w:t>
      </w:r>
      <w:r>
        <w:rPr>
          <w:spacing w:val="-3"/>
        </w:rPr>
        <w:t xml:space="preserve"> </w:t>
      </w:r>
      <w:r>
        <w:t>derechos</w:t>
      </w:r>
      <w:r>
        <w:rPr>
          <w:spacing w:val="-3"/>
        </w:rPr>
        <w:t xml:space="preserve"> </w:t>
      </w:r>
      <w:r>
        <w:t>a</w:t>
      </w:r>
      <w:r>
        <w:rPr>
          <w:spacing w:val="-3"/>
        </w:rPr>
        <w:t xml:space="preserve"> </w:t>
      </w:r>
      <w:r>
        <w:t>la</w:t>
      </w:r>
      <w:r>
        <w:rPr>
          <w:spacing w:val="-3"/>
        </w:rPr>
        <w:t xml:space="preserve"> </w:t>
      </w:r>
      <w:r>
        <w:t>participación,</w:t>
      </w:r>
      <w:r>
        <w:rPr>
          <w:spacing w:val="-5"/>
        </w:rPr>
        <w:t xml:space="preserve"> </w:t>
      </w:r>
      <w:r>
        <w:t>la</w:t>
      </w:r>
      <w:r>
        <w:rPr>
          <w:spacing w:val="-5"/>
        </w:rPr>
        <w:t xml:space="preserve"> </w:t>
      </w:r>
      <w:r>
        <w:t>información,</w:t>
      </w:r>
      <w:r>
        <w:rPr>
          <w:spacing w:val="-5"/>
        </w:rPr>
        <w:t xml:space="preserve"> </w:t>
      </w:r>
      <w:r>
        <w:t>la</w:t>
      </w:r>
      <w:r>
        <w:rPr>
          <w:spacing w:val="-3"/>
        </w:rPr>
        <w:t xml:space="preserve"> </w:t>
      </w:r>
      <w:r>
        <w:t>seguridad</w:t>
      </w:r>
      <w:r>
        <w:rPr>
          <w:spacing w:val="-6"/>
        </w:rPr>
        <w:t xml:space="preserve"> </w:t>
      </w:r>
      <w:r>
        <w:t>y</w:t>
      </w:r>
      <w:r>
        <w:rPr>
          <w:spacing w:val="-4"/>
        </w:rPr>
        <w:t xml:space="preserve"> </w:t>
      </w:r>
      <w:r>
        <w:t>el</w:t>
      </w:r>
      <w:r>
        <w:rPr>
          <w:spacing w:val="-4"/>
        </w:rPr>
        <w:t xml:space="preserve"> </w:t>
      </w:r>
      <w:r>
        <w:t>apoyo</w:t>
      </w:r>
      <w:r>
        <w:rPr>
          <w:spacing w:val="-4"/>
        </w:rPr>
        <w:t xml:space="preserve"> </w:t>
      </w:r>
      <w:r>
        <w:t>para</w:t>
      </w:r>
      <w:r>
        <w:rPr>
          <w:spacing w:val="-3"/>
        </w:rPr>
        <w:t xml:space="preserve"> </w:t>
      </w:r>
      <w:r>
        <w:t>poder</w:t>
      </w:r>
      <w:r>
        <w:rPr>
          <w:spacing w:val="-3"/>
        </w:rPr>
        <w:t xml:space="preserve"> </w:t>
      </w:r>
      <w:r>
        <w:t>saber</w:t>
      </w:r>
      <w:r>
        <w:rPr>
          <w:spacing w:val="-3"/>
        </w:rPr>
        <w:t xml:space="preserve"> </w:t>
      </w:r>
      <w:r>
        <w:t>la verdad y el destino de sus seres queridos.</w:t>
      </w:r>
    </w:p>
    <w:p w:rsidR="003804AC" w:rsidRDefault="00AF18A5" w:rsidP="004A6EF4">
      <w:pPr>
        <w:pStyle w:val="Ttulo3"/>
        <w:numPr>
          <w:ilvl w:val="2"/>
          <w:numId w:val="18"/>
        </w:numPr>
      </w:pPr>
      <w:bookmarkStart w:id="85" w:name="_bookmark49"/>
      <w:bookmarkStart w:id="86" w:name="1.4.2._¿Qué_desafíos_conlleva_todo_esto_"/>
      <w:bookmarkStart w:id="87" w:name="_Toc112399540"/>
      <w:bookmarkEnd w:id="85"/>
      <w:bookmarkEnd w:id="86"/>
      <w:r>
        <w:t>¿Qué desafíos conlleva todo esto para la reconstrucción del tejido social y la convivencia en Colombia?</w:t>
      </w:r>
      <w:bookmarkEnd w:id="87"/>
    </w:p>
    <w:p w:rsidR="003804AC" w:rsidRDefault="00AF18A5" w:rsidP="00C93FE5">
      <w:r>
        <w:t>La</w:t>
      </w:r>
      <w:r>
        <w:rPr>
          <w:spacing w:val="-1"/>
        </w:rPr>
        <w:t xml:space="preserve"> </w:t>
      </w:r>
      <w:r>
        <w:t>Comisión</w:t>
      </w:r>
      <w:r>
        <w:rPr>
          <w:spacing w:val="-1"/>
        </w:rPr>
        <w:t xml:space="preserve"> </w:t>
      </w:r>
      <w:r>
        <w:t>de</w:t>
      </w:r>
      <w:r>
        <w:rPr>
          <w:spacing w:val="-1"/>
        </w:rPr>
        <w:t xml:space="preserve"> </w:t>
      </w:r>
      <w:r>
        <w:t>la</w:t>
      </w:r>
      <w:r>
        <w:rPr>
          <w:spacing w:val="-1"/>
        </w:rPr>
        <w:t xml:space="preserve"> </w:t>
      </w:r>
      <w:r>
        <w:t>Verdad</w:t>
      </w:r>
      <w:r>
        <w:rPr>
          <w:spacing w:val="-1"/>
        </w:rPr>
        <w:t xml:space="preserve"> </w:t>
      </w:r>
      <w:r>
        <w:t>ha</w:t>
      </w:r>
      <w:r>
        <w:rPr>
          <w:spacing w:val="-1"/>
        </w:rPr>
        <w:t xml:space="preserve"> </w:t>
      </w:r>
      <w:r>
        <w:t>llevado</w:t>
      </w:r>
      <w:r>
        <w:rPr>
          <w:spacing w:val="-1"/>
        </w:rPr>
        <w:t xml:space="preserve"> </w:t>
      </w:r>
      <w:r>
        <w:t>a</w:t>
      </w:r>
      <w:r>
        <w:rPr>
          <w:spacing w:val="-1"/>
        </w:rPr>
        <w:t xml:space="preserve"> </w:t>
      </w:r>
      <w:r>
        <w:t>cabo</w:t>
      </w:r>
      <w:r>
        <w:rPr>
          <w:spacing w:val="-1"/>
        </w:rPr>
        <w:t xml:space="preserve"> </w:t>
      </w:r>
      <w:r>
        <w:t>un</w:t>
      </w:r>
      <w:r>
        <w:rPr>
          <w:spacing w:val="-2"/>
        </w:rPr>
        <w:t xml:space="preserve"> </w:t>
      </w:r>
      <w:r>
        <w:t>extenso</w:t>
      </w:r>
      <w:r>
        <w:rPr>
          <w:spacing w:val="-1"/>
        </w:rPr>
        <w:t xml:space="preserve"> </w:t>
      </w:r>
      <w:r>
        <w:t>proceso</w:t>
      </w:r>
      <w:r>
        <w:rPr>
          <w:spacing w:val="-1"/>
        </w:rPr>
        <w:t xml:space="preserve"> </w:t>
      </w:r>
      <w:r>
        <w:t>de</w:t>
      </w:r>
      <w:r>
        <w:rPr>
          <w:spacing w:val="-1"/>
        </w:rPr>
        <w:t xml:space="preserve"> </w:t>
      </w:r>
      <w:r>
        <w:t>escucha</w:t>
      </w:r>
      <w:r>
        <w:rPr>
          <w:spacing w:val="-1"/>
        </w:rPr>
        <w:t xml:space="preserve"> </w:t>
      </w:r>
      <w:r>
        <w:t>a</w:t>
      </w:r>
      <w:r>
        <w:rPr>
          <w:spacing w:val="-1"/>
        </w:rPr>
        <w:t xml:space="preserve"> </w:t>
      </w:r>
      <w:r>
        <w:t>las</w:t>
      </w:r>
      <w:r>
        <w:rPr>
          <w:spacing w:val="-1"/>
        </w:rPr>
        <w:t xml:space="preserve"> </w:t>
      </w:r>
      <w:r>
        <w:t>víctimas</w:t>
      </w:r>
      <w:r>
        <w:rPr>
          <w:spacing w:val="-1"/>
        </w:rPr>
        <w:t xml:space="preserve"> </w:t>
      </w:r>
      <w:r>
        <w:t xml:space="preserve">y también a numerosos responsables del conflicto armado. Ha escuchado sobre lo que hizo posible el horror a gran escala, los patrones de victimización, de la secuencia de ciclos de violencia y de los factores de persistencia del conflicto. También ha llevado a cabo aproximadamente 50 procesos que han abierto espacios sociales de </w:t>
      </w:r>
      <w:r>
        <w:lastRenderedPageBreak/>
        <w:t xml:space="preserve">reconocimiento y </w:t>
      </w:r>
      <w:proofErr w:type="spellStart"/>
      <w:r>
        <w:t>desestigmatización</w:t>
      </w:r>
      <w:proofErr w:type="spellEnd"/>
      <w:r>
        <w:t xml:space="preserve"> hacia las víctimas, así como encuentros en los cuales los responsables han reconocido los hechos frente a las víctimas y la sociedad. Estas experiencias son un aprendizaje para Colombia del largo camino que queda por recorrer.</w:t>
      </w:r>
    </w:p>
    <w:p w:rsidR="003804AC" w:rsidRDefault="00AF18A5" w:rsidP="00E56B2D">
      <w:r>
        <w:t>Las heridas se pueden empezar a curar con el bálsamo del respeto y a partir de la ampliación de la comprensión de las implicaciones del conflicto armado en la sociedad. Si bien estas experiencias han sido limitadas, tienen el enorme valor de generar procesos de reconstrucción y mostrar un camino. Para los responsables, eso supone mirarse en el espejo de las consecuencias de sus acciones y dejar de refugiarse en un negacionismo que ha sido parte de lo que ha hecho que el conflicto se mantenga. En ausencia de reconocimiento e investigación, muchos de estos hechos se han perpetuado en el tiempo.</w:t>
      </w:r>
    </w:p>
    <w:p w:rsidR="003804AC" w:rsidRDefault="00AF18A5" w:rsidP="00E56B2D">
      <w:r>
        <w:t>Para</w:t>
      </w:r>
      <w:r>
        <w:rPr>
          <w:spacing w:val="5"/>
        </w:rPr>
        <w:t xml:space="preserve"> </w:t>
      </w:r>
      <w:r>
        <w:t>las</w:t>
      </w:r>
      <w:r>
        <w:rPr>
          <w:spacing w:val="7"/>
        </w:rPr>
        <w:t xml:space="preserve"> </w:t>
      </w:r>
      <w:r>
        <w:t>víctimas,</w:t>
      </w:r>
      <w:r>
        <w:rPr>
          <w:spacing w:val="7"/>
        </w:rPr>
        <w:t xml:space="preserve"> </w:t>
      </w:r>
      <w:r>
        <w:t>el</w:t>
      </w:r>
      <w:r>
        <w:rPr>
          <w:spacing w:val="7"/>
        </w:rPr>
        <w:t xml:space="preserve"> </w:t>
      </w:r>
      <w:r>
        <w:t>reconocimiento</w:t>
      </w:r>
      <w:r>
        <w:rPr>
          <w:spacing w:val="6"/>
        </w:rPr>
        <w:t xml:space="preserve"> </w:t>
      </w:r>
      <w:r>
        <w:t>es</w:t>
      </w:r>
      <w:r>
        <w:rPr>
          <w:spacing w:val="7"/>
        </w:rPr>
        <w:t xml:space="preserve"> </w:t>
      </w:r>
      <w:r>
        <w:t>una</w:t>
      </w:r>
      <w:r>
        <w:rPr>
          <w:spacing w:val="7"/>
        </w:rPr>
        <w:t xml:space="preserve"> </w:t>
      </w:r>
      <w:r>
        <w:t>experiencia</w:t>
      </w:r>
      <w:r>
        <w:rPr>
          <w:spacing w:val="7"/>
        </w:rPr>
        <w:t xml:space="preserve"> </w:t>
      </w:r>
      <w:r>
        <w:t>positiva,</w:t>
      </w:r>
      <w:r>
        <w:rPr>
          <w:spacing w:val="7"/>
        </w:rPr>
        <w:t xml:space="preserve"> </w:t>
      </w:r>
      <w:r>
        <w:t>pero</w:t>
      </w:r>
      <w:r>
        <w:rPr>
          <w:spacing w:val="7"/>
        </w:rPr>
        <w:t xml:space="preserve"> </w:t>
      </w:r>
      <w:r>
        <w:t>también</w:t>
      </w:r>
      <w:r>
        <w:rPr>
          <w:spacing w:val="8"/>
        </w:rPr>
        <w:t xml:space="preserve"> </w:t>
      </w:r>
      <w:r>
        <w:rPr>
          <w:spacing w:val="-2"/>
        </w:rPr>
        <w:t>dolorosa:</w:t>
      </w:r>
    </w:p>
    <w:p w:rsidR="003804AC" w:rsidRDefault="00AF18A5" w:rsidP="003E5027">
      <w:r>
        <w:t>«Enfrentarse a sus verdugos, así haya pasado tiempo, no deja de dar miedo, no deja de ser aterrador»</w:t>
      </w:r>
      <w:r w:rsidR="003E5027">
        <w:rPr>
          <w:rStyle w:val="Refdenotaalpie"/>
        </w:rPr>
        <w:footnoteReference w:id="44"/>
      </w:r>
      <w:r>
        <w:t xml:space="preserve">. No es un camino fácil, y no es uno en una sola dirección. Hay </w:t>
      </w:r>
      <w:proofErr w:type="spellStart"/>
      <w:r>
        <w:t>ires</w:t>
      </w:r>
      <w:proofErr w:type="spellEnd"/>
      <w:r>
        <w:t xml:space="preserve"> y </w:t>
      </w:r>
      <w:proofErr w:type="spellStart"/>
      <w:r>
        <w:t>venires</w:t>
      </w:r>
      <w:proofErr w:type="spellEnd"/>
      <w:r>
        <w:t>, vaivenes</w:t>
      </w:r>
      <w:r>
        <w:rPr>
          <w:spacing w:val="-15"/>
        </w:rPr>
        <w:t xml:space="preserve"> </w:t>
      </w:r>
      <w:r>
        <w:t>en</w:t>
      </w:r>
      <w:r>
        <w:rPr>
          <w:spacing w:val="-15"/>
        </w:rPr>
        <w:t xml:space="preserve"> </w:t>
      </w:r>
      <w:r>
        <w:t>el</w:t>
      </w:r>
      <w:r>
        <w:rPr>
          <w:spacing w:val="-15"/>
        </w:rPr>
        <w:t xml:space="preserve"> </w:t>
      </w:r>
      <w:r>
        <w:t>manejo</w:t>
      </w:r>
      <w:r>
        <w:rPr>
          <w:spacing w:val="-15"/>
        </w:rPr>
        <w:t xml:space="preserve"> </w:t>
      </w:r>
      <w:r>
        <w:t>emocional</w:t>
      </w:r>
      <w:r>
        <w:rPr>
          <w:spacing w:val="-15"/>
        </w:rPr>
        <w:t xml:space="preserve"> </w:t>
      </w:r>
      <w:r>
        <w:t>que</w:t>
      </w:r>
      <w:r>
        <w:rPr>
          <w:spacing w:val="-15"/>
        </w:rPr>
        <w:t xml:space="preserve"> </w:t>
      </w:r>
      <w:r>
        <w:t>forman</w:t>
      </w:r>
      <w:r>
        <w:rPr>
          <w:spacing w:val="-15"/>
        </w:rPr>
        <w:t xml:space="preserve"> </w:t>
      </w:r>
      <w:r>
        <w:t>parte</w:t>
      </w:r>
      <w:r>
        <w:rPr>
          <w:spacing w:val="-15"/>
        </w:rPr>
        <w:t xml:space="preserve"> </w:t>
      </w:r>
      <w:r>
        <w:t>del</w:t>
      </w:r>
      <w:r>
        <w:rPr>
          <w:spacing w:val="-15"/>
        </w:rPr>
        <w:t xml:space="preserve"> </w:t>
      </w:r>
      <w:r>
        <w:t>proceso,</w:t>
      </w:r>
      <w:r>
        <w:rPr>
          <w:spacing w:val="-15"/>
        </w:rPr>
        <w:t xml:space="preserve"> </w:t>
      </w:r>
      <w:r>
        <w:t>pero</w:t>
      </w:r>
      <w:r>
        <w:rPr>
          <w:spacing w:val="-15"/>
        </w:rPr>
        <w:t xml:space="preserve"> </w:t>
      </w:r>
      <w:r>
        <w:t>que</w:t>
      </w:r>
      <w:r>
        <w:rPr>
          <w:spacing w:val="-15"/>
        </w:rPr>
        <w:t xml:space="preserve"> </w:t>
      </w:r>
      <w:r>
        <w:t>apuntan</w:t>
      </w:r>
      <w:r>
        <w:rPr>
          <w:spacing w:val="-15"/>
        </w:rPr>
        <w:t xml:space="preserve"> </w:t>
      </w:r>
      <w:r>
        <w:t>a</w:t>
      </w:r>
      <w:r>
        <w:rPr>
          <w:spacing w:val="-15"/>
        </w:rPr>
        <w:t xml:space="preserve"> </w:t>
      </w:r>
      <w:r>
        <w:t>un</w:t>
      </w:r>
      <w:r>
        <w:rPr>
          <w:spacing w:val="-15"/>
        </w:rPr>
        <w:t xml:space="preserve"> </w:t>
      </w:r>
      <w:r>
        <w:t>camino de reconstrucción. Para muchas víctimas, si no hay cambios</w:t>
      </w:r>
      <w:r>
        <w:rPr>
          <w:spacing w:val="-1"/>
        </w:rPr>
        <w:t xml:space="preserve"> </w:t>
      </w:r>
      <w:r>
        <w:t>en el reconocimiento oficial de los</w:t>
      </w:r>
      <w:r>
        <w:rPr>
          <w:spacing w:val="-13"/>
        </w:rPr>
        <w:t xml:space="preserve"> </w:t>
      </w:r>
      <w:r>
        <w:t>hechos</w:t>
      </w:r>
      <w:r>
        <w:rPr>
          <w:spacing w:val="-13"/>
        </w:rPr>
        <w:t xml:space="preserve"> </w:t>
      </w:r>
      <w:r>
        <w:t>o</w:t>
      </w:r>
      <w:r>
        <w:rPr>
          <w:spacing w:val="-13"/>
        </w:rPr>
        <w:t xml:space="preserve"> </w:t>
      </w:r>
      <w:r>
        <w:t>si</w:t>
      </w:r>
      <w:r>
        <w:rPr>
          <w:spacing w:val="-13"/>
        </w:rPr>
        <w:t xml:space="preserve"> </w:t>
      </w:r>
      <w:r>
        <w:t>no</w:t>
      </w:r>
      <w:r>
        <w:rPr>
          <w:spacing w:val="-13"/>
        </w:rPr>
        <w:t xml:space="preserve"> </w:t>
      </w:r>
      <w:r>
        <w:t>se</w:t>
      </w:r>
      <w:r>
        <w:rPr>
          <w:spacing w:val="-13"/>
        </w:rPr>
        <w:t xml:space="preserve"> </w:t>
      </w:r>
      <w:r>
        <w:t>transforma</w:t>
      </w:r>
      <w:r>
        <w:rPr>
          <w:spacing w:val="-13"/>
        </w:rPr>
        <w:t xml:space="preserve"> </w:t>
      </w:r>
      <w:r>
        <w:t>su</w:t>
      </w:r>
      <w:r>
        <w:rPr>
          <w:spacing w:val="-13"/>
        </w:rPr>
        <w:t xml:space="preserve"> </w:t>
      </w:r>
      <w:r>
        <w:t>propia</w:t>
      </w:r>
      <w:r>
        <w:rPr>
          <w:spacing w:val="-13"/>
        </w:rPr>
        <w:t xml:space="preserve"> </w:t>
      </w:r>
      <w:r>
        <w:t>situación,</w:t>
      </w:r>
      <w:r>
        <w:rPr>
          <w:spacing w:val="-13"/>
        </w:rPr>
        <w:t xml:space="preserve"> </w:t>
      </w:r>
      <w:r>
        <w:t>el</w:t>
      </w:r>
      <w:r>
        <w:rPr>
          <w:spacing w:val="-13"/>
        </w:rPr>
        <w:t xml:space="preserve"> </w:t>
      </w:r>
      <w:r>
        <w:t>reconocimiento</w:t>
      </w:r>
      <w:r>
        <w:rPr>
          <w:spacing w:val="-13"/>
        </w:rPr>
        <w:t xml:space="preserve"> </w:t>
      </w:r>
      <w:r>
        <w:t>parcial</w:t>
      </w:r>
      <w:r>
        <w:rPr>
          <w:spacing w:val="-13"/>
        </w:rPr>
        <w:t xml:space="preserve"> </w:t>
      </w:r>
      <w:r>
        <w:t>o</w:t>
      </w:r>
      <w:r>
        <w:rPr>
          <w:spacing w:val="-13"/>
        </w:rPr>
        <w:t xml:space="preserve"> </w:t>
      </w:r>
      <w:r>
        <w:t>por</w:t>
      </w:r>
      <w:r>
        <w:rPr>
          <w:spacing w:val="-13"/>
        </w:rPr>
        <w:t xml:space="preserve"> </w:t>
      </w:r>
      <w:r>
        <w:t>una</w:t>
      </w:r>
      <w:r>
        <w:rPr>
          <w:spacing w:val="-13"/>
        </w:rPr>
        <w:t xml:space="preserve"> </w:t>
      </w:r>
      <w:r>
        <w:t>parte de responsables directos solamente es vivido a veces como hecho simbólico relevante, pero cuyo significado real se modera. Para otras, el fuerte impacto emocional, la movilización y la</w:t>
      </w:r>
      <w:r>
        <w:rPr>
          <w:spacing w:val="24"/>
        </w:rPr>
        <w:t xml:space="preserve"> </w:t>
      </w:r>
      <w:r>
        <w:t>efervescencia</w:t>
      </w:r>
      <w:r>
        <w:rPr>
          <w:spacing w:val="26"/>
        </w:rPr>
        <w:t xml:space="preserve"> </w:t>
      </w:r>
      <w:r>
        <w:t>colectiva</w:t>
      </w:r>
      <w:r>
        <w:rPr>
          <w:spacing w:val="26"/>
        </w:rPr>
        <w:t xml:space="preserve"> </w:t>
      </w:r>
      <w:r>
        <w:t>son</w:t>
      </w:r>
      <w:r>
        <w:rPr>
          <w:spacing w:val="26"/>
        </w:rPr>
        <w:t xml:space="preserve"> </w:t>
      </w:r>
      <w:r>
        <w:t>un</w:t>
      </w:r>
      <w:r>
        <w:rPr>
          <w:spacing w:val="26"/>
        </w:rPr>
        <w:t xml:space="preserve"> </w:t>
      </w:r>
      <w:r>
        <w:t>estímulo</w:t>
      </w:r>
      <w:r>
        <w:rPr>
          <w:spacing w:val="26"/>
        </w:rPr>
        <w:t xml:space="preserve"> </w:t>
      </w:r>
      <w:r>
        <w:lastRenderedPageBreak/>
        <w:t>para</w:t>
      </w:r>
      <w:r>
        <w:rPr>
          <w:spacing w:val="25"/>
        </w:rPr>
        <w:t xml:space="preserve"> </w:t>
      </w:r>
      <w:r>
        <w:t>recuperar</w:t>
      </w:r>
      <w:r>
        <w:rPr>
          <w:spacing w:val="27"/>
        </w:rPr>
        <w:t xml:space="preserve"> </w:t>
      </w:r>
      <w:r>
        <w:t>el</w:t>
      </w:r>
      <w:r>
        <w:rPr>
          <w:spacing w:val="27"/>
        </w:rPr>
        <w:t xml:space="preserve"> </w:t>
      </w:r>
      <w:r>
        <w:t>buen</w:t>
      </w:r>
      <w:r>
        <w:rPr>
          <w:spacing w:val="26"/>
        </w:rPr>
        <w:t xml:space="preserve"> </w:t>
      </w:r>
      <w:r>
        <w:t>nombre</w:t>
      </w:r>
      <w:r>
        <w:rPr>
          <w:spacing w:val="26"/>
        </w:rPr>
        <w:t xml:space="preserve"> </w:t>
      </w:r>
      <w:r>
        <w:t>de</w:t>
      </w:r>
      <w:r>
        <w:rPr>
          <w:spacing w:val="26"/>
        </w:rPr>
        <w:t xml:space="preserve"> </w:t>
      </w:r>
      <w:r>
        <w:t>los</w:t>
      </w:r>
      <w:r>
        <w:rPr>
          <w:spacing w:val="26"/>
        </w:rPr>
        <w:t xml:space="preserve"> </w:t>
      </w:r>
      <w:r>
        <w:t>suyos</w:t>
      </w:r>
      <w:r>
        <w:rPr>
          <w:spacing w:val="27"/>
        </w:rPr>
        <w:t xml:space="preserve"> </w:t>
      </w:r>
      <w:r>
        <w:rPr>
          <w:spacing w:val="-10"/>
        </w:rPr>
        <w:t>y</w:t>
      </w:r>
      <w:bookmarkStart w:id="88" w:name="_bookmark50"/>
      <w:bookmarkEnd w:id="88"/>
      <w:r w:rsidR="003E5027">
        <w:rPr>
          <w:spacing w:val="-10"/>
        </w:rPr>
        <w:t xml:space="preserve"> </w:t>
      </w:r>
      <w:r>
        <w:t>fortalecer los lazos con sus comunidades o salir del silenciamiento al que se han visto sometidas durante décadas.</w:t>
      </w:r>
    </w:p>
    <w:p w:rsidR="003804AC" w:rsidRDefault="00AF18A5" w:rsidP="003E5027">
      <w:r>
        <w:t>También la Comisión es testigo de que estos procesos son algo muy positivo, pero a la vez</w:t>
      </w:r>
      <w:r>
        <w:rPr>
          <w:spacing w:val="-2"/>
        </w:rPr>
        <w:t xml:space="preserve"> </w:t>
      </w:r>
      <w:r>
        <w:t>movilizan</w:t>
      </w:r>
      <w:r>
        <w:rPr>
          <w:spacing w:val="-2"/>
        </w:rPr>
        <w:t xml:space="preserve"> </w:t>
      </w:r>
      <w:r>
        <w:t>los</w:t>
      </w:r>
      <w:r>
        <w:rPr>
          <w:spacing w:val="-2"/>
        </w:rPr>
        <w:t xml:space="preserve"> </w:t>
      </w:r>
      <w:r>
        <w:t>sentimientos</w:t>
      </w:r>
      <w:r>
        <w:rPr>
          <w:spacing w:val="-2"/>
        </w:rPr>
        <w:t xml:space="preserve"> </w:t>
      </w:r>
      <w:r>
        <w:t>de</w:t>
      </w:r>
      <w:r>
        <w:rPr>
          <w:spacing w:val="-3"/>
        </w:rPr>
        <w:t xml:space="preserve"> </w:t>
      </w:r>
      <w:r>
        <w:t>pérdida,</w:t>
      </w:r>
      <w:r>
        <w:rPr>
          <w:spacing w:val="-3"/>
        </w:rPr>
        <w:t xml:space="preserve"> </w:t>
      </w:r>
      <w:r>
        <w:t>mientras</w:t>
      </w:r>
      <w:r>
        <w:rPr>
          <w:spacing w:val="-3"/>
        </w:rPr>
        <w:t xml:space="preserve"> </w:t>
      </w:r>
      <w:r>
        <w:t>traen</w:t>
      </w:r>
      <w:r>
        <w:rPr>
          <w:spacing w:val="-2"/>
        </w:rPr>
        <w:t xml:space="preserve"> </w:t>
      </w:r>
      <w:r>
        <w:t>el</w:t>
      </w:r>
      <w:r>
        <w:rPr>
          <w:spacing w:val="-2"/>
        </w:rPr>
        <w:t xml:space="preserve"> </w:t>
      </w:r>
      <w:r>
        <w:t>recuerdo</w:t>
      </w:r>
      <w:r>
        <w:rPr>
          <w:spacing w:val="-2"/>
        </w:rPr>
        <w:t xml:space="preserve"> </w:t>
      </w:r>
      <w:r>
        <w:t>de</w:t>
      </w:r>
      <w:r>
        <w:rPr>
          <w:spacing w:val="-2"/>
        </w:rPr>
        <w:t xml:space="preserve"> </w:t>
      </w:r>
      <w:r>
        <w:t>los</w:t>
      </w:r>
      <w:r>
        <w:rPr>
          <w:spacing w:val="-2"/>
        </w:rPr>
        <w:t xml:space="preserve"> </w:t>
      </w:r>
      <w:r>
        <w:t>que</w:t>
      </w:r>
      <w:r>
        <w:rPr>
          <w:spacing w:val="-2"/>
        </w:rPr>
        <w:t xml:space="preserve"> </w:t>
      </w:r>
      <w:r>
        <w:t>ya</w:t>
      </w:r>
      <w:r>
        <w:rPr>
          <w:spacing w:val="-3"/>
        </w:rPr>
        <w:t xml:space="preserve"> </w:t>
      </w:r>
      <w:r>
        <w:t>no</w:t>
      </w:r>
      <w:r>
        <w:rPr>
          <w:spacing w:val="-2"/>
        </w:rPr>
        <w:t xml:space="preserve"> </w:t>
      </w:r>
      <w:r>
        <w:t>están o</w:t>
      </w:r>
      <w:r>
        <w:rPr>
          <w:spacing w:val="-4"/>
        </w:rPr>
        <w:t xml:space="preserve"> </w:t>
      </w:r>
      <w:r>
        <w:t>el</w:t>
      </w:r>
      <w:r>
        <w:rPr>
          <w:spacing w:val="-4"/>
        </w:rPr>
        <w:t xml:space="preserve"> </w:t>
      </w:r>
      <w:r>
        <w:t>sufrimiento</w:t>
      </w:r>
      <w:r>
        <w:rPr>
          <w:spacing w:val="-4"/>
        </w:rPr>
        <w:t xml:space="preserve"> </w:t>
      </w:r>
      <w:r>
        <w:t>vivido,</w:t>
      </w:r>
      <w:r>
        <w:rPr>
          <w:spacing w:val="-5"/>
        </w:rPr>
        <w:t xml:space="preserve"> </w:t>
      </w:r>
      <w:r>
        <w:t>con</w:t>
      </w:r>
      <w:r>
        <w:rPr>
          <w:spacing w:val="-4"/>
        </w:rPr>
        <w:t xml:space="preserve"> </w:t>
      </w:r>
      <w:r>
        <w:t>el</w:t>
      </w:r>
      <w:r>
        <w:rPr>
          <w:spacing w:val="-4"/>
        </w:rPr>
        <w:t xml:space="preserve"> </w:t>
      </w:r>
      <w:r>
        <w:t>contraste</w:t>
      </w:r>
      <w:r>
        <w:rPr>
          <w:spacing w:val="-4"/>
        </w:rPr>
        <w:t xml:space="preserve"> </w:t>
      </w:r>
      <w:r>
        <w:t>con</w:t>
      </w:r>
      <w:r>
        <w:rPr>
          <w:spacing w:val="-4"/>
        </w:rPr>
        <w:t xml:space="preserve"> </w:t>
      </w:r>
      <w:r>
        <w:t>sus</w:t>
      </w:r>
      <w:r>
        <w:rPr>
          <w:spacing w:val="-5"/>
        </w:rPr>
        <w:t xml:space="preserve"> </w:t>
      </w:r>
      <w:r>
        <w:t>propias</w:t>
      </w:r>
      <w:r>
        <w:rPr>
          <w:spacing w:val="-4"/>
        </w:rPr>
        <w:t xml:space="preserve"> </w:t>
      </w:r>
      <w:r>
        <w:t>vidas.</w:t>
      </w:r>
      <w:r>
        <w:rPr>
          <w:spacing w:val="-5"/>
        </w:rPr>
        <w:t xml:space="preserve"> </w:t>
      </w:r>
      <w:r>
        <w:t>Muchas</w:t>
      </w:r>
      <w:r>
        <w:rPr>
          <w:spacing w:val="-4"/>
        </w:rPr>
        <w:t xml:space="preserve"> </w:t>
      </w:r>
      <w:r>
        <w:t>veces</w:t>
      </w:r>
      <w:r>
        <w:rPr>
          <w:spacing w:val="-4"/>
        </w:rPr>
        <w:t xml:space="preserve"> </w:t>
      </w:r>
      <w:r>
        <w:t>las</w:t>
      </w:r>
      <w:r>
        <w:rPr>
          <w:spacing w:val="-4"/>
        </w:rPr>
        <w:t xml:space="preserve"> </w:t>
      </w:r>
      <w:r>
        <w:t>víctimas</w:t>
      </w:r>
      <w:r>
        <w:rPr>
          <w:spacing w:val="-4"/>
        </w:rPr>
        <w:t xml:space="preserve"> </w:t>
      </w:r>
      <w:r>
        <w:t>se confrontan con versiones simplistas o genéricas, con explicaciones que no colman sus expectativas o no terminan de canalizar el malestar y la rabia acumulada. Todos estos procesos</w:t>
      </w:r>
      <w:r>
        <w:rPr>
          <w:spacing w:val="-10"/>
        </w:rPr>
        <w:t xml:space="preserve"> </w:t>
      </w:r>
      <w:r>
        <w:t>son</w:t>
      </w:r>
      <w:r>
        <w:rPr>
          <w:spacing w:val="-10"/>
        </w:rPr>
        <w:t xml:space="preserve"> </w:t>
      </w:r>
      <w:r>
        <w:t>normales,</w:t>
      </w:r>
      <w:r>
        <w:rPr>
          <w:spacing w:val="-8"/>
        </w:rPr>
        <w:t xml:space="preserve"> </w:t>
      </w:r>
      <w:r>
        <w:t>y</w:t>
      </w:r>
      <w:r>
        <w:rPr>
          <w:spacing w:val="-10"/>
        </w:rPr>
        <w:t xml:space="preserve"> </w:t>
      </w:r>
      <w:r>
        <w:t>van</w:t>
      </w:r>
      <w:r>
        <w:rPr>
          <w:spacing w:val="-8"/>
        </w:rPr>
        <w:t xml:space="preserve"> </w:t>
      </w:r>
      <w:r>
        <w:t>a</w:t>
      </w:r>
      <w:r>
        <w:rPr>
          <w:spacing w:val="-8"/>
        </w:rPr>
        <w:t xml:space="preserve"> </w:t>
      </w:r>
      <w:r>
        <w:t>seguir</w:t>
      </w:r>
      <w:r>
        <w:rPr>
          <w:spacing w:val="-9"/>
        </w:rPr>
        <w:t xml:space="preserve"> </w:t>
      </w:r>
      <w:r>
        <w:t>formando</w:t>
      </w:r>
      <w:r>
        <w:rPr>
          <w:spacing w:val="-10"/>
        </w:rPr>
        <w:t xml:space="preserve"> </w:t>
      </w:r>
      <w:r>
        <w:t>parte</w:t>
      </w:r>
      <w:r>
        <w:rPr>
          <w:spacing w:val="-8"/>
        </w:rPr>
        <w:t xml:space="preserve"> </w:t>
      </w:r>
      <w:r>
        <w:t>del</w:t>
      </w:r>
      <w:r>
        <w:rPr>
          <w:spacing w:val="-8"/>
        </w:rPr>
        <w:t xml:space="preserve"> </w:t>
      </w:r>
      <w:r>
        <w:t>camino</w:t>
      </w:r>
      <w:r>
        <w:rPr>
          <w:spacing w:val="-8"/>
        </w:rPr>
        <w:t xml:space="preserve"> </w:t>
      </w:r>
      <w:r>
        <w:t>de</w:t>
      </w:r>
      <w:r>
        <w:rPr>
          <w:spacing w:val="-8"/>
        </w:rPr>
        <w:t xml:space="preserve"> </w:t>
      </w:r>
      <w:r>
        <w:t>salida</w:t>
      </w:r>
      <w:r>
        <w:rPr>
          <w:spacing w:val="-9"/>
        </w:rPr>
        <w:t xml:space="preserve"> </w:t>
      </w:r>
      <w:r>
        <w:t>de</w:t>
      </w:r>
      <w:r>
        <w:rPr>
          <w:spacing w:val="-8"/>
        </w:rPr>
        <w:t xml:space="preserve"> </w:t>
      </w:r>
      <w:r>
        <w:t>la</w:t>
      </w:r>
      <w:r>
        <w:rPr>
          <w:spacing w:val="-8"/>
        </w:rPr>
        <w:t xml:space="preserve"> </w:t>
      </w:r>
      <w:r>
        <w:t>violencia</w:t>
      </w:r>
      <w:r>
        <w:rPr>
          <w:spacing w:val="-8"/>
        </w:rPr>
        <w:t xml:space="preserve"> </w:t>
      </w:r>
      <w:r>
        <w:t>en Colombia. No son el punto final, sino una parte del camino; necesitan un seguimiento en el futuro y potenciar los aprendizajes para otros casos, problemáticas y víctimas.</w:t>
      </w:r>
    </w:p>
    <w:p w:rsidR="003804AC" w:rsidRDefault="00AF18A5" w:rsidP="003E5027">
      <w:r>
        <w:t>Esta dimensión de procesos también lleva a moverse de los lugares que han sido precisamente desde donde se han empujado estas luchas por la verdad y el reconocimiento. Los</w:t>
      </w:r>
      <w:r>
        <w:rPr>
          <w:spacing w:val="-4"/>
        </w:rPr>
        <w:t xml:space="preserve"> </w:t>
      </w:r>
      <w:r>
        <w:t>esfuerzos</w:t>
      </w:r>
      <w:r>
        <w:rPr>
          <w:spacing w:val="-4"/>
        </w:rPr>
        <w:t xml:space="preserve"> </w:t>
      </w:r>
      <w:r>
        <w:t>del</w:t>
      </w:r>
      <w:r>
        <w:rPr>
          <w:spacing w:val="-5"/>
        </w:rPr>
        <w:t xml:space="preserve"> </w:t>
      </w:r>
      <w:r>
        <w:t>movimiento</w:t>
      </w:r>
      <w:r>
        <w:rPr>
          <w:spacing w:val="-5"/>
        </w:rPr>
        <w:t xml:space="preserve"> </w:t>
      </w:r>
      <w:r>
        <w:t>de</w:t>
      </w:r>
      <w:r>
        <w:rPr>
          <w:spacing w:val="-4"/>
        </w:rPr>
        <w:t xml:space="preserve"> </w:t>
      </w:r>
      <w:r>
        <w:t>víctimas</w:t>
      </w:r>
      <w:r>
        <w:rPr>
          <w:spacing w:val="-4"/>
        </w:rPr>
        <w:t xml:space="preserve"> </w:t>
      </w:r>
      <w:r>
        <w:t>y</w:t>
      </w:r>
      <w:r>
        <w:rPr>
          <w:spacing w:val="-5"/>
        </w:rPr>
        <w:t xml:space="preserve"> </w:t>
      </w:r>
      <w:r>
        <w:t>de</w:t>
      </w:r>
      <w:r>
        <w:rPr>
          <w:spacing w:val="-6"/>
        </w:rPr>
        <w:t xml:space="preserve"> </w:t>
      </w:r>
      <w:r>
        <w:t>derechos</w:t>
      </w:r>
      <w:r>
        <w:rPr>
          <w:spacing w:val="-6"/>
        </w:rPr>
        <w:t xml:space="preserve"> </w:t>
      </w:r>
      <w:r>
        <w:t>humanos</w:t>
      </w:r>
      <w:r>
        <w:rPr>
          <w:spacing w:val="-4"/>
        </w:rPr>
        <w:t xml:space="preserve"> </w:t>
      </w:r>
      <w:r>
        <w:t>durante</w:t>
      </w:r>
      <w:r>
        <w:rPr>
          <w:spacing w:val="-4"/>
        </w:rPr>
        <w:t xml:space="preserve"> </w:t>
      </w:r>
      <w:r>
        <w:t>muchos</w:t>
      </w:r>
      <w:r>
        <w:rPr>
          <w:spacing w:val="-6"/>
        </w:rPr>
        <w:t xml:space="preserve"> </w:t>
      </w:r>
      <w:r>
        <w:t>años</w:t>
      </w:r>
      <w:r>
        <w:rPr>
          <w:spacing w:val="-4"/>
        </w:rPr>
        <w:t xml:space="preserve"> </w:t>
      </w:r>
      <w:r>
        <w:t>han sido parte de lo que llevó incluso a la propia creación de la Comisión de la Verdad y las instituciones</w:t>
      </w:r>
      <w:r>
        <w:rPr>
          <w:spacing w:val="-8"/>
        </w:rPr>
        <w:t xml:space="preserve"> </w:t>
      </w:r>
      <w:r>
        <w:t>del</w:t>
      </w:r>
      <w:r>
        <w:rPr>
          <w:spacing w:val="-7"/>
        </w:rPr>
        <w:t xml:space="preserve"> </w:t>
      </w:r>
      <w:r>
        <w:t>Sistema</w:t>
      </w:r>
      <w:r>
        <w:rPr>
          <w:spacing w:val="-8"/>
        </w:rPr>
        <w:t xml:space="preserve"> </w:t>
      </w:r>
      <w:r>
        <w:t>Integral</w:t>
      </w:r>
      <w:r>
        <w:rPr>
          <w:spacing w:val="-7"/>
        </w:rPr>
        <w:t xml:space="preserve"> </w:t>
      </w:r>
      <w:r>
        <w:t>de</w:t>
      </w:r>
      <w:r>
        <w:rPr>
          <w:spacing w:val="-8"/>
        </w:rPr>
        <w:t xml:space="preserve"> </w:t>
      </w:r>
      <w:r>
        <w:t>Verdad,</w:t>
      </w:r>
      <w:r>
        <w:rPr>
          <w:spacing w:val="-7"/>
        </w:rPr>
        <w:t xml:space="preserve"> </w:t>
      </w:r>
      <w:r>
        <w:t>Justicia,</w:t>
      </w:r>
      <w:r>
        <w:rPr>
          <w:spacing w:val="-7"/>
        </w:rPr>
        <w:t xml:space="preserve"> </w:t>
      </w:r>
      <w:r>
        <w:t>Reparación</w:t>
      </w:r>
      <w:r>
        <w:rPr>
          <w:spacing w:val="-7"/>
        </w:rPr>
        <w:t xml:space="preserve"> </w:t>
      </w:r>
      <w:r>
        <w:t>y</w:t>
      </w:r>
      <w:r>
        <w:rPr>
          <w:spacing w:val="-7"/>
        </w:rPr>
        <w:t xml:space="preserve"> </w:t>
      </w:r>
      <w:r>
        <w:t>No</w:t>
      </w:r>
      <w:r>
        <w:rPr>
          <w:spacing w:val="-7"/>
        </w:rPr>
        <w:t xml:space="preserve"> </w:t>
      </w:r>
      <w:r>
        <w:t>Repetición</w:t>
      </w:r>
      <w:r>
        <w:rPr>
          <w:spacing w:val="-7"/>
        </w:rPr>
        <w:t xml:space="preserve"> </w:t>
      </w:r>
      <w:r>
        <w:t>(</w:t>
      </w:r>
      <w:proofErr w:type="spellStart"/>
      <w:r>
        <w:t>Sivjrnr</w:t>
      </w:r>
      <w:proofErr w:type="spellEnd"/>
      <w:r>
        <w:t>). Las formas de organización y de memoria, que se han mantenido en pequeños grupos con una</w:t>
      </w:r>
      <w:r>
        <w:rPr>
          <w:spacing w:val="-8"/>
        </w:rPr>
        <w:t xml:space="preserve"> </w:t>
      </w:r>
      <w:r>
        <w:t>fuerte</w:t>
      </w:r>
      <w:r>
        <w:rPr>
          <w:spacing w:val="-9"/>
        </w:rPr>
        <w:t xml:space="preserve"> </w:t>
      </w:r>
      <w:r>
        <w:t>cohesión</w:t>
      </w:r>
      <w:r>
        <w:rPr>
          <w:spacing w:val="-8"/>
        </w:rPr>
        <w:t xml:space="preserve"> </w:t>
      </w:r>
      <w:r>
        <w:t>y</w:t>
      </w:r>
      <w:r>
        <w:rPr>
          <w:spacing w:val="-9"/>
        </w:rPr>
        <w:t xml:space="preserve"> </w:t>
      </w:r>
      <w:r>
        <w:t>demandas</w:t>
      </w:r>
      <w:r>
        <w:rPr>
          <w:spacing w:val="-9"/>
        </w:rPr>
        <w:t xml:space="preserve"> </w:t>
      </w:r>
      <w:r>
        <w:t>al</w:t>
      </w:r>
      <w:r>
        <w:rPr>
          <w:spacing w:val="-9"/>
        </w:rPr>
        <w:t xml:space="preserve"> </w:t>
      </w:r>
      <w:r>
        <w:t>Estado</w:t>
      </w:r>
      <w:r>
        <w:rPr>
          <w:spacing w:val="-8"/>
        </w:rPr>
        <w:t xml:space="preserve"> </w:t>
      </w:r>
      <w:r>
        <w:t>o</w:t>
      </w:r>
      <w:r>
        <w:rPr>
          <w:spacing w:val="-9"/>
        </w:rPr>
        <w:t xml:space="preserve"> </w:t>
      </w:r>
      <w:r>
        <w:t>a</w:t>
      </w:r>
      <w:r>
        <w:rPr>
          <w:spacing w:val="-9"/>
        </w:rPr>
        <w:t xml:space="preserve"> </w:t>
      </w:r>
      <w:r>
        <w:t>los</w:t>
      </w:r>
      <w:r>
        <w:rPr>
          <w:spacing w:val="-9"/>
        </w:rPr>
        <w:t xml:space="preserve"> </w:t>
      </w:r>
      <w:r>
        <w:t>responsables,</w:t>
      </w:r>
      <w:r>
        <w:rPr>
          <w:spacing w:val="-8"/>
        </w:rPr>
        <w:t xml:space="preserve"> </w:t>
      </w:r>
      <w:r>
        <w:t>han</w:t>
      </w:r>
      <w:r>
        <w:rPr>
          <w:spacing w:val="-8"/>
        </w:rPr>
        <w:t xml:space="preserve"> </w:t>
      </w:r>
      <w:r>
        <w:t>pasado</w:t>
      </w:r>
      <w:r>
        <w:rPr>
          <w:spacing w:val="-8"/>
        </w:rPr>
        <w:t xml:space="preserve"> </w:t>
      </w:r>
      <w:r>
        <w:t>en</w:t>
      </w:r>
      <w:r>
        <w:rPr>
          <w:spacing w:val="-8"/>
        </w:rPr>
        <w:t xml:space="preserve"> </w:t>
      </w:r>
      <w:r>
        <w:t>estos</w:t>
      </w:r>
      <w:r>
        <w:rPr>
          <w:spacing w:val="-9"/>
        </w:rPr>
        <w:t xml:space="preserve"> </w:t>
      </w:r>
      <w:r>
        <w:t>procesos a ser parte de una visión más amplia; ahora forman parte de una demanda social y una experiencia colectiva y se mueven también hacia adelante. Esta dimensión de proceso pasa también por generar oportunidades y programas de apoyo que acompañen a las víctimas y ayuden a integrar estas experiencias.</w:t>
      </w:r>
    </w:p>
    <w:p w:rsidR="003804AC" w:rsidRDefault="00AF18A5" w:rsidP="003E5027">
      <w:r>
        <w:lastRenderedPageBreak/>
        <w:t>Una respuesta de reconocimiento del propio Estado y sus instituciones no solo es una obligación, vistas las dimensiones de la tragedia, sino que es un paso fundamental para ayudar también a las víctimas a moverse hacia adelante. Honrar una por una a cada víctima con</w:t>
      </w:r>
      <w:r>
        <w:rPr>
          <w:spacing w:val="-9"/>
        </w:rPr>
        <w:t xml:space="preserve"> </w:t>
      </w:r>
      <w:r>
        <w:t>un</w:t>
      </w:r>
      <w:r>
        <w:rPr>
          <w:spacing w:val="-9"/>
        </w:rPr>
        <w:t xml:space="preserve"> </w:t>
      </w:r>
      <w:r>
        <w:t>minuto</w:t>
      </w:r>
      <w:r>
        <w:rPr>
          <w:spacing w:val="-9"/>
        </w:rPr>
        <w:t xml:space="preserve"> </w:t>
      </w:r>
      <w:r>
        <w:t>que</w:t>
      </w:r>
      <w:r>
        <w:rPr>
          <w:spacing w:val="-9"/>
        </w:rPr>
        <w:t xml:space="preserve"> </w:t>
      </w:r>
      <w:r>
        <w:t>reivindique</w:t>
      </w:r>
      <w:r>
        <w:rPr>
          <w:spacing w:val="-9"/>
        </w:rPr>
        <w:t xml:space="preserve"> </w:t>
      </w:r>
      <w:r>
        <w:t>su</w:t>
      </w:r>
      <w:r>
        <w:rPr>
          <w:spacing w:val="-9"/>
        </w:rPr>
        <w:t xml:space="preserve"> </w:t>
      </w:r>
      <w:r>
        <w:t>nombre</w:t>
      </w:r>
      <w:r>
        <w:rPr>
          <w:spacing w:val="-9"/>
        </w:rPr>
        <w:t xml:space="preserve"> </w:t>
      </w:r>
      <w:r>
        <w:t>y</w:t>
      </w:r>
      <w:r>
        <w:rPr>
          <w:spacing w:val="-9"/>
        </w:rPr>
        <w:t xml:space="preserve"> </w:t>
      </w:r>
      <w:r>
        <w:t>su</w:t>
      </w:r>
      <w:r>
        <w:rPr>
          <w:spacing w:val="-9"/>
        </w:rPr>
        <w:t xml:space="preserve"> </w:t>
      </w:r>
      <w:r>
        <w:t>historia</w:t>
      </w:r>
      <w:r>
        <w:rPr>
          <w:spacing w:val="-9"/>
        </w:rPr>
        <w:t xml:space="preserve"> </w:t>
      </w:r>
      <w:r>
        <w:t>haría</w:t>
      </w:r>
      <w:r>
        <w:rPr>
          <w:spacing w:val="-10"/>
        </w:rPr>
        <w:t xml:space="preserve"> </w:t>
      </w:r>
      <w:r>
        <w:t>que</w:t>
      </w:r>
      <w:r>
        <w:rPr>
          <w:spacing w:val="-9"/>
        </w:rPr>
        <w:t xml:space="preserve"> </w:t>
      </w:r>
      <w:r>
        <w:t>Colombia</w:t>
      </w:r>
      <w:r>
        <w:rPr>
          <w:spacing w:val="-9"/>
        </w:rPr>
        <w:t xml:space="preserve"> </w:t>
      </w:r>
      <w:r>
        <w:t>estuviera</w:t>
      </w:r>
      <w:r>
        <w:rPr>
          <w:spacing w:val="-9"/>
        </w:rPr>
        <w:t xml:space="preserve"> </w:t>
      </w:r>
      <w:r>
        <w:t>17</w:t>
      </w:r>
      <w:r>
        <w:rPr>
          <w:spacing w:val="-9"/>
        </w:rPr>
        <w:t xml:space="preserve"> </w:t>
      </w:r>
      <w:r>
        <w:t xml:space="preserve">años reivindicando sus vidas. Es la totalidad del cuerpo de la sociedad la que tiene que </w:t>
      </w:r>
      <w:proofErr w:type="spellStart"/>
      <w:r>
        <w:t>autorreconocerse</w:t>
      </w:r>
      <w:proofErr w:type="spellEnd"/>
      <w:r>
        <w:rPr>
          <w:spacing w:val="-15"/>
        </w:rPr>
        <w:t xml:space="preserve"> </w:t>
      </w:r>
      <w:r>
        <w:t>en</w:t>
      </w:r>
      <w:r>
        <w:rPr>
          <w:spacing w:val="-15"/>
        </w:rPr>
        <w:t xml:space="preserve"> </w:t>
      </w:r>
      <w:r>
        <w:t>lo</w:t>
      </w:r>
      <w:r>
        <w:rPr>
          <w:spacing w:val="-15"/>
        </w:rPr>
        <w:t xml:space="preserve"> </w:t>
      </w:r>
      <w:r>
        <w:t>intolerable</w:t>
      </w:r>
      <w:r>
        <w:rPr>
          <w:spacing w:val="-15"/>
        </w:rPr>
        <w:t xml:space="preserve"> </w:t>
      </w:r>
      <w:r>
        <w:t>de</w:t>
      </w:r>
      <w:r>
        <w:rPr>
          <w:spacing w:val="-15"/>
        </w:rPr>
        <w:t xml:space="preserve"> </w:t>
      </w:r>
      <w:r>
        <w:t>sí</w:t>
      </w:r>
      <w:r>
        <w:rPr>
          <w:spacing w:val="-15"/>
        </w:rPr>
        <w:t xml:space="preserve"> </w:t>
      </w:r>
      <w:r>
        <w:t>misma.</w:t>
      </w:r>
      <w:r>
        <w:rPr>
          <w:spacing w:val="-15"/>
        </w:rPr>
        <w:t xml:space="preserve"> </w:t>
      </w:r>
      <w:r>
        <w:t>Todo</w:t>
      </w:r>
      <w:r>
        <w:rPr>
          <w:spacing w:val="-15"/>
        </w:rPr>
        <w:t xml:space="preserve"> </w:t>
      </w:r>
      <w:r>
        <w:t>ello</w:t>
      </w:r>
      <w:r>
        <w:rPr>
          <w:spacing w:val="-15"/>
        </w:rPr>
        <w:t xml:space="preserve"> </w:t>
      </w:r>
      <w:r>
        <w:t>es</w:t>
      </w:r>
      <w:r>
        <w:rPr>
          <w:spacing w:val="-15"/>
        </w:rPr>
        <w:t xml:space="preserve"> </w:t>
      </w:r>
      <w:r>
        <w:t>un</w:t>
      </w:r>
      <w:r>
        <w:rPr>
          <w:spacing w:val="-15"/>
        </w:rPr>
        <w:t xml:space="preserve"> </w:t>
      </w:r>
      <w:r>
        <w:t>desafío</w:t>
      </w:r>
      <w:r>
        <w:rPr>
          <w:spacing w:val="-15"/>
        </w:rPr>
        <w:t xml:space="preserve"> </w:t>
      </w:r>
      <w:r>
        <w:t>nuevo</w:t>
      </w:r>
      <w:r>
        <w:rPr>
          <w:spacing w:val="-14"/>
        </w:rPr>
        <w:t xml:space="preserve"> </w:t>
      </w:r>
      <w:r>
        <w:t>para</w:t>
      </w:r>
      <w:r>
        <w:rPr>
          <w:spacing w:val="-15"/>
        </w:rPr>
        <w:t xml:space="preserve"> </w:t>
      </w:r>
      <w:r>
        <w:t>Colombia, donde</w:t>
      </w:r>
      <w:r>
        <w:rPr>
          <w:spacing w:val="-8"/>
        </w:rPr>
        <w:t xml:space="preserve"> </w:t>
      </w:r>
      <w:r>
        <w:t>los</w:t>
      </w:r>
      <w:r>
        <w:rPr>
          <w:spacing w:val="-8"/>
        </w:rPr>
        <w:t xml:space="preserve"> </w:t>
      </w:r>
      <w:r>
        <w:t>mecanismos</w:t>
      </w:r>
      <w:r>
        <w:rPr>
          <w:spacing w:val="-8"/>
        </w:rPr>
        <w:t xml:space="preserve"> </w:t>
      </w:r>
      <w:r>
        <w:t>de</w:t>
      </w:r>
      <w:r>
        <w:rPr>
          <w:spacing w:val="-8"/>
        </w:rPr>
        <w:t xml:space="preserve"> </w:t>
      </w:r>
      <w:r>
        <w:t>justicia</w:t>
      </w:r>
      <w:r>
        <w:rPr>
          <w:spacing w:val="-8"/>
        </w:rPr>
        <w:t xml:space="preserve"> </w:t>
      </w:r>
      <w:r>
        <w:t>transicional</w:t>
      </w:r>
      <w:r>
        <w:rPr>
          <w:spacing w:val="-8"/>
        </w:rPr>
        <w:t xml:space="preserve"> </w:t>
      </w:r>
      <w:r>
        <w:t>no</w:t>
      </w:r>
      <w:r>
        <w:rPr>
          <w:spacing w:val="-9"/>
        </w:rPr>
        <w:t xml:space="preserve"> </w:t>
      </w:r>
      <w:r>
        <w:t>pueden</w:t>
      </w:r>
      <w:r>
        <w:rPr>
          <w:spacing w:val="-8"/>
        </w:rPr>
        <w:t xml:space="preserve"> </w:t>
      </w:r>
      <w:r>
        <w:t>solos</w:t>
      </w:r>
      <w:r>
        <w:rPr>
          <w:spacing w:val="-8"/>
        </w:rPr>
        <w:t xml:space="preserve"> </w:t>
      </w:r>
      <w:r>
        <w:t>dar</w:t>
      </w:r>
      <w:r>
        <w:rPr>
          <w:spacing w:val="-8"/>
        </w:rPr>
        <w:t xml:space="preserve"> </w:t>
      </w:r>
      <w:r>
        <w:t>respuesta</w:t>
      </w:r>
      <w:r>
        <w:rPr>
          <w:spacing w:val="-8"/>
        </w:rPr>
        <w:t xml:space="preserve"> </w:t>
      </w:r>
      <w:r>
        <w:t>a</w:t>
      </w:r>
      <w:r>
        <w:rPr>
          <w:spacing w:val="-8"/>
        </w:rPr>
        <w:t xml:space="preserve"> </w:t>
      </w:r>
      <w:r>
        <w:t>la</w:t>
      </w:r>
      <w:r>
        <w:rPr>
          <w:spacing w:val="-8"/>
        </w:rPr>
        <w:t xml:space="preserve"> </w:t>
      </w:r>
      <w:r>
        <w:t>totalidad</w:t>
      </w:r>
      <w:r>
        <w:rPr>
          <w:spacing w:val="-8"/>
        </w:rPr>
        <w:t xml:space="preserve"> </w:t>
      </w:r>
      <w:r>
        <w:t>de las</w:t>
      </w:r>
      <w:r>
        <w:rPr>
          <w:spacing w:val="15"/>
        </w:rPr>
        <w:t xml:space="preserve"> </w:t>
      </w:r>
      <w:r>
        <w:t>demandas</w:t>
      </w:r>
      <w:r>
        <w:rPr>
          <w:spacing w:val="18"/>
        </w:rPr>
        <w:t xml:space="preserve"> </w:t>
      </w:r>
      <w:r>
        <w:t>de</w:t>
      </w:r>
      <w:r>
        <w:rPr>
          <w:spacing w:val="18"/>
        </w:rPr>
        <w:t xml:space="preserve"> </w:t>
      </w:r>
      <w:r>
        <w:t>las</w:t>
      </w:r>
      <w:r>
        <w:rPr>
          <w:spacing w:val="18"/>
        </w:rPr>
        <w:t xml:space="preserve"> </w:t>
      </w:r>
      <w:r>
        <w:t>víctimas</w:t>
      </w:r>
      <w:r>
        <w:rPr>
          <w:spacing w:val="17"/>
        </w:rPr>
        <w:t xml:space="preserve"> </w:t>
      </w:r>
      <w:r>
        <w:t>y</w:t>
      </w:r>
      <w:r>
        <w:rPr>
          <w:spacing w:val="18"/>
        </w:rPr>
        <w:t xml:space="preserve"> </w:t>
      </w:r>
      <w:r>
        <w:t>la</w:t>
      </w:r>
      <w:r>
        <w:rPr>
          <w:spacing w:val="18"/>
        </w:rPr>
        <w:t xml:space="preserve"> </w:t>
      </w:r>
      <w:r>
        <w:t>necesidad</w:t>
      </w:r>
      <w:r>
        <w:rPr>
          <w:spacing w:val="18"/>
        </w:rPr>
        <w:t xml:space="preserve"> </w:t>
      </w:r>
      <w:r>
        <w:t>de</w:t>
      </w:r>
      <w:r>
        <w:rPr>
          <w:spacing w:val="17"/>
        </w:rPr>
        <w:t xml:space="preserve"> </w:t>
      </w:r>
      <w:r>
        <w:t>reconstrucción</w:t>
      </w:r>
      <w:r>
        <w:rPr>
          <w:spacing w:val="18"/>
        </w:rPr>
        <w:t xml:space="preserve"> </w:t>
      </w:r>
      <w:r>
        <w:t>social,</w:t>
      </w:r>
      <w:r>
        <w:rPr>
          <w:spacing w:val="18"/>
        </w:rPr>
        <w:t xml:space="preserve"> </w:t>
      </w:r>
      <w:r>
        <w:t>pero</w:t>
      </w:r>
      <w:r>
        <w:rPr>
          <w:spacing w:val="18"/>
        </w:rPr>
        <w:t xml:space="preserve"> </w:t>
      </w:r>
      <w:r>
        <w:t>constituyen</w:t>
      </w:r>
      <w:r>
        <w:rPr>
          <w:spacing w:val="18"/>
        </w:rPr>
        <w:t xml:space="preserve"> </w:t>
      </w:r>
      <w:r>
        <w:rPr>
          <w:spacing w:val="-5"/>
        </w:rPr>
        <w:t>un</w:t>
      </w:r>
      <w:r w:rsidR="003E5027">
        <w:rPr>
          <w:spacing w:val="-5"/>
        </w:rPr>
        <w:t xml:space="preserve"> </w:t>
      </w:r>
      <w:r>
        <w:t>aporte fundamental para ello. La política que el Estado debe implementar para ello debe contar con la implicación y las formas de participación de la sociedad.</w:t>
      </w:r>
    </w:p>
    <w:p w:rsidR="003804AC" w:rsidRDefault="00AF18A5" w:rsidP="003E5027">
      <w:r>
        <w:t>La Comisión no tiene un modelo de reconciliación propio para el país, pero ha avanzado en un proceso en el que se pueda dialogar sobre sus diferentes sentidos, se esclarezcan verdades fundamentales para la transformación que Colombia necesita y se den pasos para la superación de las fracturas sociales producidas por la guerra y la exclusión.</w:t>
      </w:r>
    </w:p>
    <w:p w:rsidR="0011361F" w:rsidRPr="00E34920" w:rsidRDefault="00AF18A5" w:rsidP="004A6EF4">
      <w:pPr>
        <w:pStyle w:val="Ttulo3"/>
        <w:numPr>
          <w:ilvl w:val="2"/>
          <w:numId w:val="18"/>
        </w:numPr>
      </w:pPr>
      <w:bookmarkStart w:id="89" w:name="1.4.3._La_dimensión_ética_de_los_cambios"/>
      <w:bookmarkStart w:id="90" w:name="_Toc112399541"/>
      <w:bookmarkEnd w:id="89"/>
      <w:r w:rsidRPr="00E34920">
        <w:t>La dimensión ética de los cambios posibles</w:t>
      </w:r>
      <w:bookmarkEnd w:id="90"/>
    </w:p>
    <w:p w:rsidR="003804AC" w:rsidRDefault="00AF18A5" w:rsidP="000B16BC">
      <w:r>
        <w:t>El trabajo de la Comisión ha mostrado que aun en un contexto de enormes resistencias al cambio, se necesita transformar el pragmatismo instrumental de que lo que es bueno es lo que</w:t>
      </w:r>
      <w:r>
        <w:rPr>
          <w:spacing w:val="-11"/>
        </w:rPr>
        <w:t xml:space="preserve"> </w:t>
      </w:r>
      <w:r>
        <w:t>es</w:t>
      </w:r>
      <w:r>
        <w:rPr>
          <w:spacing w:val="-11"/>
        </w:rPr>
        <w:t xml:space="preserve"> </w:t>
      </w:r>
      <w:r>
        <w:t>útil</w:t>
      </w:r>
      <w:r>
        <w:rPr>
          <w:spacing w:val="-10"/>
        </w:rPr>
        <w:t xml:space="preserve"> </w:t>
      </w:r>
      <w:r>
        <w:t>para</w:t>
      </w:r>
      <w:r>
        <w:rPr>
          <w:spacing w:val="-11"/>
        </w:rPr>
        <w:t xml:space="preserve"> </w:t>
      </w:r>
      <w:r>
        <w:t>mis</w:t>
      </w:r>
      <w:r>
        <w:rPr>
          <w:spacing w:val="-11"/>
        </w:rPr>
        <w:t xml:space="preserve"> </w:t>
      </w:r>
      <w:r>
        <w:t>objetivos,</w:t>
      </w:r>
      <w:r>
        <w:rPr>
          <w:spacing w:val="-11"/>
        </w:rPr>
        <w:t xml:space="preserve"> </w:t>
      </w:r>
      <w:r>
        <w:t>independientemente</w:t>
      </w:r>
      <w:r>
        <w:rPr>
          <w:spacing w:val="-11"/>
        </w:rPr>
        <w:t xml:space="preserve"> </w:t>
      </w:r>
      <w:r>
        <w:t>de</w:t>
      </w:r>
      <w:r>
        <w:rPr>
          <w:spacing w:val="-11"/>
        </w:rPr>
        <w:t xml:space="preserve"> </w:t>
      </w:r>
      <w:r>
        <w:t>la</w:t>
      </w:r>
      <w:r>
        <w:rPr>
          <w:spacing w:val="-11"/>
        </w:rPr>
        <w:t xml:space="preserve"> </w:t>
      </w:r>
      <w:r>
        <w:t>ética</w:t>
      </w:r>
      <w:r>
        <w:rPr>
          <w:spacing w:val="-11"/>
        </w:rPr>
        <w:t xml:space="preserve"> </w:t>
      </w:r>
      <w:r>
        <w:t>de</w:t>
      </w:r>
      <w:r>
        <w:rPr>
          <w:spacing w:val="-11"/>
        </w:rPr>
        <w:t xml:space="preserve"> </w:t>
      </w:r>
      <w:r>
        <w:t>derechos</w:t>
      </w:r>
      <w:r>
        <w:rPr>
          <w:spacing w:val="-12"/>
        </w:rPr>
        <w:t xml:space="preserve"> </w:t>
      </w:r>
      <w:r>
        <w:t>humanos</w:t>
      </w:r>
      <w:r>
        <w:rPr>
          <w:spacing w:val="-11"/>
        </w:rPr>
        <w:t xml:space="preserve"> </w:t>
      </w:r>
      <w:r>
        <w:t>y</w:t>
      </w:r>
      <w:r>
        <w:rPr>
          <w:spacing w:val="-11"/>
        </w:rPr>
        <w:t xml:space="preserve"> </w:t>
      </w:r>
      <w:r>
        <w:t>respeto por la dignidad.</w:t>
      </w:r>
    </w:p>
    <w:p w:rsidR="003804AC" w:rsidRDefault="00AF18A5" w:rsidP="000B16BC">
      <w:r>
        <w:t xml:space="preserve">De tal manera que urge reconstruir una relación ética entre la gente, donde la vida y los acuerdos mínimos para cuidarla sean respetados por todos. Potenciar una conciencia social sobre «el bien y el mal», no </w:t>
      </w:r>
      <w:r>
        <w:lastRenderedPageBreak/>
        <w:t>mediatizada por la mentira o la complicidad. La negación o evitación ha cumplido un papel de legitimación de la guerra, ya que evita confrontarse con las</w:t>
      </w:r>
      <w:r>
        <w:rPr>
          <w:spacing w:val="-11"/>
        </w:rPr>
        <w:t xml:space="preserve"> </w:t>
      </w:r>
      <w:r>
        <w:t>consecuencias</w:t>
      </w:r>
      <w:r>
        <w:rPr>
          <w:spacing w:val="-11"/>
        </w:rPr>
        <w:t xml:space="preserve"> </w:t>
      </w:r>
      <w:r>
        <w:t>de</w:t>
      </w:r>
      <w:r>
        <w:rPr>
          <w:spacing w:val="-11"/>
        </w:rPr>
        <w:t xml:space="preserve"> </w:t>
      </w:r>
      <w:r>
        <w:t>las</w:t>
      </w:r>
      <w:r>
        <w:rPr>
          <w:spacing w:val="-11"/>
        </w:rPr>
        <w:t xml:space="preserve"> </w:t>
      </w:r>
      <w:r>
        <w:t>acciones</w:t>
      </w:r>
      <w:r>
        <w:rPr>
          <w:spacing w:val="-11"/>
        </w:rPr>
        <w:t xml:space="preserve"> </w:t>
      </w:r>
      <w:r>
        <w:t>de</w:t>
      </w:r>
      <w:r>
        <w:rPr>
          <w:spacing w:val="-11"/>
        </w:rPr>
        <w:t xml:space="preserve"> </w:t>
      </w:r>
      <w:r>
        <w:t>violencia</w:t>
      </w:r>
      <w:r>
        <w:rPr>
          <w:spacing w:val="-11"/>
        </w:rPr>
        <w:t xml:space="preserve"> </w:t>
      </w:r>
      <w:r>
        <w:t>o</w:t>
      </w:r>
      <w:r>
        <w:rPr>
          <w:spacing w:val="-11"/>
        </w:rPr>
        <w:t xml:space="preserve"> </w:t>
      </w:r>
      <w:r>
        <w:t>violaciones</w:t>
      </w:r>
      <w:r>
        <w:rPr>
          <w:spacing w:val="-11"/>
        </w:rPr>
        <w:t xml:space="preserve"> </w:t>
      </w:r>
      <w:r>
        <w:t>de</w:t>
      </w:r>
      <w:r>
        <w:rPr>
          <w:spacing w:val="-11"/>
        </w:rPr>
        <w:t xml:space="preserve"> </w:t>
      </w:r>
      <w:r>
        <w:t>los</w:t>
      </w:r>
      <w:r>
        <w:rPr>
          <w:spacing w:val="-11"/>
        </w:rPr>
        <w:t xml:space="preserve"> </w:t>
      </w:r>
      <w:r>
        <w:t>derechos</w:t>
      </w:r>
      <w:r>
        <w:rPr>
          <w:spacing w:val="-11"/>
        </w:rPr>
        <w:t xml:space="preserve"> </w:t>
      </w:r>
      <w:r>
        <w:t>humanos.</w:t>
      </w:r>
      <w:r>
        <w:rPr>
          <w:spacing w:val="-12"/>
        </w:rPr>
        <w:t xml:space="preserve"> </w:t>
      </w:r>
      <w:r>
        <w:t>Urgen cambios en la posición del Estado, de los líderes políticos y de las propias instituciones, reconociendo o asumiendo los hechos. Validar y afirmar lo que se ha vivido facilitará la posibilidad de una comunicación efectiva entre los ciudadanos.</w:t>
      </w:r>
    </w:p>
    <w:p w:rsidR="003804AC" w:rsidRDefault="00AF18A5" w:rsidP="000B16BC">
      <w:r>
        <w:t>Es imperativo que en Colombia se instauren elementos de una ética civil que tenga un referente unificador en la dignidad humana y en la armonía con la naturaleza que realce el valor de la vida, y que el reconocimiento del otro y la verdad sean pilares del diálogo democrático. Ese diálogo no dictado por sabios, sino como si fuera una ley aceptada e incorporada en la identidad misma de las ciudadanas y ciudadanos colombianos, independientemente</w:t>
      </w:r>
      <w:r>
        <w:rPr>
          <w:spacing w:val="-15"/>
        </w:rPr>
        <w:t xml:space="preserve"> </w:t>
      </w:r>
      <w:r>
        <w:t>de</w:t>
      </w:r>
      <w:r>
        <w:rPr>
          <w:spacing w:val="-15"/>
        </w:rPr>
        <w:t xml:space="preserve"> </w:t>
      </w:r>
      <w:r>
        <w:t>las</w:t>
      </w:r>
      <w:r>
        <w:rPr>
          <w:spacing w:val="-15"/>
        </w:rPr>
        <w:t xml:space="preserve"> </w:t>
      </w:r>
      <w:r>
        <w:t>etnias,</w:t>
      </w:r>
      <w:r>
        <w:rPr>
          <w:spacing w:val="-15"/>
        </w:rPr>
        <w:t xml:space="preserve"> </w:t>
      </w:r>
      <w:r>
        <w:t>el</w:t>
      </w:r>
      <w:r>
        <w:rPr>
          <w:spacing w:val="-15"/>
        </w:rPr>
        <w:t xml:space="preserve"> </w:t>
      </w:r>
      <w:r>
        <w:t>género,</w:t>
      </w:r>
      <w:r>
        <w:rPr>
          <w:spacing w:val="-15"/>
        </w:rPr>
        <w:t xml:space="preserve"> </w:t>
      </w:r>
      <w:r>
        <w:t>la</w:t>
      </w:r>
      <w:r>
        <w:rPr>
          <w:spacing w:val="-15"/>
        </w:rPr>
        <w:t xml:space="preserve"> </w:t>
      </w:r>
      <w:r>
        <w:t>religión,</w:t>
      </w:r>
      <w:r>
        <w:rPr>
          <w:spacing w:val="-15"/>
        </w:rPr>
        <w:t xml:space="preserve"> </w:t>
      </w:r>
      <w:r>
        <w:t>el</w:t>
      </w:r>
      <w:r>
        <w:rPr>
          <w:spacing w:val="-15"/>
        </w:rPr>
        <w:t xml:space="preserve"> </w:t>
      </w:r>
      <w:r>
        <w:t>agnosticismo,</w:t>
      </w:r>
      <w:r>
        <w:rPr>
          <w:spacing w:val="-15"/>
        </w:rPr>
        <w:t xml:space="preserve"> </w:t>
      </w:r>
      <w:r>
        <w:t>el</w:t>
      </w:r>
      <w:r>
        <w:rPr>
          <w:spacing w:val="-15"/>
        </w:rPr>
        <w:t xml:space="preserve"> </w:t>
      </w:r>
      <w:r>
        <w:t>ateísmo,</w:t>
      </w:r>
      <w:r>
        <w:rPr>
          <w:spacing w:val="-15"/>
        </w:rPr>
        <w:t xml:space="preserve"> </w:t>
      </w:r>
      <w:r>
        <w:t>las</w:t>
      </w:r>
      <w:r>
        <w:rPr>
          <w:spacing w:val="-15"/>
        </w:rPr>
        <w:t xml:space="preserve"> </w:t>
      </w:r>
      <w:r>
        <w:t>clases sociales</w:t>
      </w:r>
      <w:r>
        <w:rPr>
          <w:spacing w:val="-3"/>
        </w:rPr>
        <w:t xml:space="preserve"> </w:t>
      </w:r>
      <w:r>
        <w:t>y</w:t>
      </w:r>
      <w:r>
        <w:rPr>
          <w:spacing w:val="-5"/>
        </w:rPr>
        <w:t xml:space="preserve"> </w:t>
      </w:r>
      <w:r>
        <w:t>las</w:t>
      </w:r>
      <w:r>
        <w:rPr>
          <w:spacing w:val="-3"/>
        </w:rPr>
        <w:t xml:space="preserve"> </w:t>
      </w:r>
      <w:r>
        <w:t>diversidades</w:t>
      </w:r>
      <w:r>
        <w:rPr>
          <w:spacing w:val="-3"/>
        </w:rPr>
        <w:t xml:space="preserve"> </w:t>
      </w:r>
      <w:r>
        <w:t>culturales.</w:t>
      </w:r>
      <w:r>
        <w:rPr>
          <w:spacing w:val="-3"/>
        </w:rPr>
        <w:t xml:space="preserve"> </w:t>
      </w:r>
      <w:r>
        <w:t>Una</w:t>
      </w:r>
      <w:r>
        <w:rPr>
          <w:spacing w:val="-3"/>
        </w:rPr>
        <w:t xml:space="preserve"> </w:t>
      </w:r>
      <w:r>
        <w:t>ética</w:t>
      </w:r>
      <w:r>
        <w:rPr>
          <w:spacing w:val="-3"/>
        </w:rPr>
        <w:t xml:space="preserve"> </w:t>
      </w:r>
      <w:r>
        <w:t>de</w:t>
      </w:r>
      <w:r>
        <w:rPr>
          <w:spacing w:val="-3"/>
        </w:rPr>
        <w:t xml:space="preserve"> </w:t>
      </w:r>
      <w:r>
        <w:t>la</w:t>
      </w:r>
      <w:r>
        <w:rPr>
          <w:spacing w:val="-4"/>
        </w:rPr>
        <w:t xml:space="preserve"> </w:t>
      </w:r>
      <w:r>
        <w:t>responsabilidad</w:t>
      </w:r>
      <w:r>
        <w:rPr>
          <w:spacing w:val="-3"/>
        </w:rPr>
        <w:t xml:space="preserve"> </w:t>
      </w:r>
      <w:r>
        <w:t>que</w:t>
      </w:r>
      <w:r>
        <w:rPr>
          <w:spacing w:val="-4"/>
        </w:rPr>
        <w:t xml:space="preserve"> </w:t>
      </w:r>
      <w:r>
        <w:t>no</w:t>
      </w:r>
      <w:r>
        <w:rPr>
          <w:spacing w:val="-3"/>
        </w:rPr>
        <w:t xml:space="preserve"> </w:t>
      </w:r>
      <w:r>
        <w:t>se</w:t>
      </w:r>
      <w:r>
        <w:rPr>
          <w:spacing w:val="-5"/>
        </w:rPr>
        <w:t xml:space="preserve"> </w:t>
      </w:r>
      <w:r>
        <w:t>apropia</w:t>
      </w:r>
      <w:r>
        <w:rPr>
          <w:spacing w:val="-3"/>
        </w:rPr>
        <w:t xml:space="preserve"> </w:t>
      </w:r>
      <w:r>
        <w:t>solo de</w:t>
      </w:r>
      <w:r>
        <w:rPr>
          <w:spacing w:val="26"/>
        </w:rPr>
        <w:t xml:space="preserve"> </w:t>
      </w:r>
      <w:r>
        <w:t>los</w:t>
      </w:r>
      <w:r>
        <w:rPr>
          <w:spacing w:val="29"/>
        </w:rPr>
        <w:t xml:space="preserve"> </w:t>
      </w:r>
      <w:r>
        <w:t>actos,</w:t>
      </w:r>
      <w:r>
        <w:rPr>
          <w:spacing w:val="29"/>
        </w:rPr>
        <w:t xml:space="preserve"> </w:t>
      </w:r>
      <w:r>
        <w:t>sino</w:t>
      </w:r>
      <w:r>
        <w:rPr>
          <w:spacing w:val="29"/>
        </w:rPr>
        <w:t xml:space="preserve"> </w:t>
      </w:r>
      <w:r>
        <w:t>también</w:t>
      </w:r>
      <w:r>
        <w:rPr>
          <w:spacing w:val="29"/>
        </w:rPr>
        <w:t xml:space="preserve"> </w:t>
      </w:r>
      <w:r>
        <w:t>de</w:t>
      </w:r>
      <w:r>
        <w:rPr>
          <w:spacing w:val="29"/>
        </w:rPr>
        <w:t xml:space="preserve"> </w:t>
      </w:r>
      <w:r>
        <w:t>las</w:t>
      </w:r>
      <w:r>
        <w:rPr>
          <w:spacing w:val="28"/>
        </w:rPr>
        <w:t xml:space="preserve"> </w:t>
      </w:r>
      <w:r>
        <w:t>consecuencias</w:t>
      </w:r>
      <w:r>
        <w:rPr>
          <w:spacing w:val="28"/>
        </w:rPr>
        <w:t xml:space="preserve"> </w:t>
      </w:r>
      <w:r>
        <w:t>sociales</w:t>
      </w:r>
      <w:r>
        <w:rPr>
          <w:spacing w:val="29"/>
        </w:rPr>
        <w:t xml:space="preserve"> </w:t>
      </w:r>
      <w:r>
        <w:t>de</w:t>
      </w:r>
      <w:r>
        <w:rPr>
          <w:spacing w:val="28"/>
        </w:rPr>
        <w:t xml:space="preserve"> </w:t>
      </w:r>
      <w:r>
        <w:t>los</w:t>
      </w:r>
      <w:r>
        <w:rPr>
          <w:spacing w:val="29"/>
        </w:rPr>
        <w:t xml:space="preserve"> </w:t>
      </w:r>
      <w:r>
        <w:t>actos,</w:t>
      </w:r>
      <w:r>
        <w:rPr>
          <w:spacing w:val="28"/>
        </w:rPr>
        <w:t xml:space="preserve"> </w:t>
      </w:r>
      <w:r>
        <w:t>y</w:t>
      </w:r>
      <w:r>
        <w:rPr>
          <w:spacing w:val="27"/>
        </w:rPr>
        <w:t xml:space="preserve"> </w:t>
      </w:r>
      <w:r>
        <w:t>en</w:t>
      </w:r>
      <w:r>
        <w:rPr>
          <w:spacing w:val="29"/>
        </w:rPr>
        <w:t xml:space="preserve"> </w:t>
      </w:r>
      <w:r>
        <w:t>tal</w:t>
      </w:r>
      <w:r>
        <w:rPr>
          <w:spacing w:val="29"/>
        </w:rPr>
        <w:t xml:space="preserve"> </w:t>
      </w:r>
      <w:r>
        <w:t>sentido</w:t>
      </w:r>
      <w:r>
        <w:rPr>
          <w:spacing w:val="29"/>
        </w:rPr>
        <w:t xml:space="preserve"> </w:t>
      </w:r>
      <w:r>
        <w:rPr>
          <w:spacing w:val="-7"/>
        </w:rPr>
        <w:t>es</w:t>
      </w:r>
      <w:r w:rsidR="000B16BC">
        <w:rPr>
          <w:spacing w:val="-7"/>
        </w:rPr>
        <w:t xml:space="preserve"> </w:t>
      </w:r>
      <w:r>
        <w:t>distinta</w:t>
      </w:r>
      <w:r>
        <w:rPr>
          <w:spacing w:val="-11"/>
        </w:rPr>
        <w:t xml:space="preserve"> </w:t>
      </w:r>
      <w:r>
        <w:t>de</w:t>
      </w:r>
      <w:r>
        <w:rPr>
          <w:spacing w:val="-11"/>
        </w:rPr>
        <w:t xml:space="preserve"> </w:t>
      </w:r>
      <w:r>
        <w:t>las</w:t>
      </w:r>
      <w:r>
        <w:rPr>
          <w:spacing w:val="-11"/>
        </w:rPr>
        <w:t xml:space="preserve"> </w:t>
      </w:r>
      <w:r>
        <w:t>éticas</w:t>
      </w:r>
      <w:r>
        <w:rPr>
          <w:spacing w:val="-11"/>
        </w:rPr>
        <w:t xml:space="preserve"> </w:t>
      </w:r>
      <w:r>
        <w:t>de</w:t>
      </w:r>
      <w:r>
        <w:rPr>
          <w:spacing w:val="-11"/>
        </w:rPr>
        <w:t xml:space="preserve"> </w:t>
      </w:r>
      <w:r>
        <w:t>intereses</w:t>
      </w:r>
      <w:r>
        <w:rPr>
          <w:spacing w:val="-11"/>
        </w:rPr>
        <w:t xml:space="preserve"> </w:t>
      </w:r>
      <w:r>
        <w:t>(el</w:t>
      </w:r>
      <w:r>
        <w:rPr>
          <w:spacing w:val="-10"/>
        </w:rPr>
        <w:t xml:space="preserve"> </w:t>
      </w:r>
      <w:r>
        <w:t>dinero,</w:t>
      </w:r>
      <w:r>
        <w:rPr>
          <w:spacing w:val="-11"/>
        </w:rPr>
        <w:t xml:space="preserve"> </w:t>
      </w:r>
      <w:r>
        <w:t>el</w:t>
      </w:r>
      <w:r>
        <w:rPr>
          <w:spacing w:val="-10"/>
        </w:rPr>
        <w:t xml:space="preserve"> </w:t>
      </w:r>
      <w:r>
        <w:t>poder,</w:t>
      </w:r>
      <w:r>
        <w:rPr>
          <w:spacing w:val="-11"/>
        </w:rPr>
        <w:t xml:space="preserve"> </w:t>
      </w:r>
      <w:r>
        <w:t>el</w:t>
      </w:r>
      <w:r>
        <w:rPr>
          <w:spacing w:val="-10"/>
        </w:rPr>
        <w:t xml:space="preserve"> </w:t>
      </w:r>
      <w:r>
        <w:t>prestigio)</w:t>
      </w:r>
      <w:r>
        <w:rPr>
          <w:spacing w:val="-10"/>
        </w:rPr>
        <w:t xml:space="preserve"> </w:t>
      </w:r>
      <w:r>
        <w:t>o</w:t>
      </w:r>
      <w:r>
        <w:rPr>
          <w:spacing w:val="-11"/>
        </w:rPr>
        <w:t xml:space="preserve"> </w:t>
      </w:r>
      <w:r>
        <w:t>de</w:t>
      </w:r>
      <w:r>
        <w:rPr>
          <w:spacing w:val="-11"/>
        </w:rPr>
        <w:t xml:space="preserve"> </w:t>
      </w:r>
      <w:r>
        <w:t>las</w:t>
      </w:r>
      <w:r>
        <w:rPr>
          <w:spacing w:val="-11"/>
        </w:rPr>
        <w:t xml:space="preserve"> </w:t>
      </w:r>
      <w:r>
        <w:t>éticas</w:t>
      </w:r>
      <w:r>
        <w:rPr>
          <w:spacing w:val="-11"/>
        </w:rPr>
        <w:t xml:space="preserve"> </w:t>
      </w:r>
      <w:r>
        <w:t>de</w:t>
      </w:r>
      <w:r>
        <w:rPr>
          <w:spacing w:val="-11"/>
        </w:rPr>
        <w:t xml:space="preserve"> </w:t>
      </w:r>
      <w:r>
        <w:t>principios que se ponen por encima de la gente.</w:t>
      </w:r>
    </w:p>
    <w:p w:rsidR="003804AC" w:rsidRDefault="00AF18A5" w:rsidP="000B16BC">
      <w:r>
        <w:t>La dinámica de un conflicto armado o violencia colectiva lleva fácilmente a una mentalidad que justifica las actuaciones contra el otro grupo (rigidez ideológica, deshumanización del otro, justificación basándose en un bien superior, etc.), por lo que se hace necesario romper esas justificaciones y hacer del reconocimiento un camino de recuperación colectivo. La experiencia de muchas víctimas que se han identificado entre sí por</w:t>
      </w:r>
      <w:r>
        <w:rPr>
          <w:spacing w:val="-8"/>
        </w:rPr>
        <w:t xml:space="preserve"> </w:t>
      </w:r>
      <w:r>
        <w:t>su</w:t>
      </w:r>
      <w:r>
        <w:rPr>
          <w:spacing w:val="-9"/>
        </w:rPr>
        <w:t xml:space="preserve"> </w:t>
      </w:r>
      <w:r>
        <w:t>sufrimiento</w:t>
      </w:r>
      <w:r>
        <w:rPr>
          <w:spacing w:val="-8"/>
        </w:rPr>
        <w:t xml:space="preserve"> </w:t>
      </w:r>
      <w:r>
        <w:t>y</w:t>
      </w:r>
      <w:r>
        <w:rPr>
          <w:spacing w:val="-8"/>
        </w:rPr>
        <w:t xml:space="preserve"> </w:t>
      </w:r>
      <w:r>
        <w:t>su</w:t>
      </w:r>
      <w:r>
        <w:rPr>
          <w:spacing w:val="-9"/>
        </w:rPr>
        <w:t xml:space="preserve"> </w:t>
      </w:r>
      <w:r>
        <w:t>capacidad</w:t>
      </w:r>
      <w:r>
        <w:rPr>
          <w:spacing w:val="-8"/>
        </w:rPr>
        <w:t xml:space="preserve"> </w:t>
      </w:r>
      <w:r>
        <w:t>de</w:t>
      </w:r>
      <w:r>
        <w:rPr>
          <w:spacing w:val="-8"/>
        </w:rPr>
        <w:t xml:space="preserve"> </w:t>
      </w:r>
      <w:r>
        <w:t>resistencia</w:t>
      </w:r>
      <w:r>
        <w:rPr>
          <w:spacing w:val="-9"/>
        </w:rPr>
        <w:t xml:space="preserve"> </w:t>
      </w:r>
      <w:r>
        <w:t>le</w:t>
      </w:r>
      <w:r>
        <w:rPr>
          <w:spacing w:val="-8"/>
        </w:rPr>
        <w:t xml:space="preserve"> </w:t>
      </w:r>
      <w:r>
        <w:t>muestra</w:t>
      </w:r>
      <w:r>
        <w:rPr>
          <w:spacing w:val="-8"/>
        </w:rPr>
        <w:t xml:space="preserve"> </w:t>
      </w:r>
      <w:r>
        <w:t>un</w:t>
      </w:r>
      <w:r>
        <w:rPr>
          <w:spacing w:val="-8"/>
        </w:rPr>
        <w:t xml:space="preserve"> </w:t>
      </w:r>
      <w:r>
        <w:lastRenderedPageBreak/>
        <w:t>camino</w:t>
      </w:r>
      <w:r>
        <w:rPr>
          <w:spacing w:val="-8"/>
        </w:rPr>
        <w:t xml:space="preserve"> </w:t>
      </w:r>
      <w:r>
        <w:t>a</w:t>
      </w:r>
      <w:r>
        <w:rPr>
          <w:spacing w:val="-8"/>
        </w:rPr>
        <w:t xml:space="preserve"> </w:t>
      </w:r>
      <w:r>
        <w:t>la</w:t>
      </w:r>
      <w:r>
        <w:rPr>
          <w:spacing w:val="-8"/>
        </w:rPr>
        <w:t xml:space="preserve"> </w:t>
      </w:r>
      <w:r>
        <w:t>sociedad</w:t>
      </w:r>
      <w:r>
        <w:rPr>
          <w:spacing w:val="-8"/>
        </w:rPr>
        <w:t xml:space="preserve"> </w:t>
      </w:r>
      <w:r>
        <w:t>que</w:t>
      </w:r>
      <w:r>
        <w:rPr>
          <w:spacing w:val="-8"/>
        </w:rPr>
        <w:t xml:space="preserve"> </w:t>
      </w:r>
      <w:r>
        <w:t>debe ser parte de la política de Estado, la educación y la prevención. Sus experiencias positivas, así como las de las comunidades que han enfrentado la guerra manteniendo su proyecto de vida y de las organizaciones sociales y de derechos humanos que han sido la punta de lanza de</w:t>
      </w:r>
      <w:r>
        <w:rPr>
          <w:spacing w:val="-7"/>
        </w:rPr>
        <w:t xml:space="preserve"> </w:t>
      </w:r>
      <w:r>
        <w:t>la</w:t>
      </w:r>
      <w:r>
        <w:rPr>
          <w:spacing w:val="-7"/>
        </w:rPr>
        <w:t xml:space="preserve"> </w:t>
      </w:r>
      <w:r>
        <w:t>defensa</w:t>
      </w:r>
      <w:r>
        <w:rPr>
          <w:spacing w:val="-7"/>
        </w:rPr>
        <w:t xml:space="preserve"> </w:t>
      </w:r>
      <w:r>
        <w:t>de</w:t>
      </w:r>
      <w:r>
        <w:rPr>
          <w:spacing w:val="-7"/>
        </w:rPr>
        <w:t xml:space="preserve"> </w:t>
      </w:r>
      <w:r>
        <w:t>la</w:t>
      </w:r>
      <w:r>
        <w:rPr>
          <w:spacing w:val="-7"/>
        </w:rPr>
        <w:t xml:space="preserve"> </w:t>
      </w:r>
      <w:r>
        <w:t>vida</w:t>
      </w:r>
      <w:r>
        <w:rPr>
          <w:spacing w:val="-8"/>
        </w:rPr>
        <w:t xml:space="preserve"> </w:t>
      </w:r>
      <w:r>
        <w:t>en</w:t>
      </w:r>
      <w:r>
        <w:rPr>
          <w:spacing w:val="-7"/>
        </w:rPr>
        <w:t xml:space="preserve"> </w:t>
      </w:r>
      <w:r>
        <w:t>Colombia,</w:t>
      </w:r>
      <w:r>
        <w:rPr>
          <w:spacing w:val="-7"/>
        </w:rPr>
        <w:t xml:space="preserve"> </w:t>
      </w:r>
      <w:r>
        <w:t>deben</w:t>
      </w:r>
      <w:r>
        <w:rPr>
          <w:spacing w:val="-7"/>
        </w:rPr>
        <w:t xml:space="preserve"> </w:t>
      </w:r>
      <w:r>
        <w:t>ser</w:t>
      </w:r>
      <w:r>
        <w:rPr>
          <w:spacing w:val="-8"/>
        </w:rPr>
        <w:t xml:space="preserve"> </w:t>
      </w:r>
      <w:r>
        <w:t>incorporadas</w:t>
      </w:r>
      <w:r>
        <w:rPr>
          <w:spacing w:val="-7"/>
        </w:rPr>
        <w:t xml:space="preserve"> </w:t>
      </w:r>
      <w:r>
        <w:t>en</w:t>
      </w:r>
      <w:r>
        <w:rPr>
          <w:spacing w:val="-7"/>
        </w:rPr>
        <w:t xml:space="preserve"> </w:t>
      </w:r>
      <w:r>
        <w:t>la</w:t>
      </w:r>
      <w:r>
        <w:rPr>
          <w:spacing w:val="-7"/>
        </w:rPr>
        <w:t xml:space="preserve"> </w:t>
      </w:r>
      <w:r>
        <w:t>educación</w:t>
      </w:r>
      <w:r>
        <w:rPr>
          <w:spacing w:val="-7"/>
        </w:rPr>
        <w:t xml:space="preserve"> </w:t>
      </w:r>
      <w:r>
        <w:t>y</w:t>
      </w:r>
      <w:r>
        <w:rPr>
          <w:spacing w:val="-7"/>
        </w:rPr>
        <w:t xml:space="preserve"> </w:t>
      </w:r>
      <w:r>
        <w:t>en</w:t>
      </w:r>
      <w:r>
        <w:rPr>
          <w:spacing w:val="-7"/>
        </w:rPr>
        <w:t xml:space="preserve"> </w:t>
      </w:r>
      <w:r>
        <w:t>un</w:t>
      </w:r>
      <w:r>
        <w:rPr>
          <w:spacing w:val="-7"/>
        </w:rPr>
        <w:t xml:space="preserve"> </w:t>
      </w:r>
      <w:r>
        <w:t>trabajo conjunto</w:t>
      </w:r>
      <w:r>
        <w:rPr>
          <w:spacing w:val="-4"/>
        </w:rPr>
        <w:t xml:space="preserve"> </w:t>
      </w:r>
      <w:r>
        <w:t>del</w:t>
      </w:r>
      <w:r>
        <w:rPr>
          <w:spacing w:val="-4"/>
        </w:rPr>
        <w:t xml:space="preserve"> </w:t>
      </w:r>
      <w:r>
        <w:t>Estado</w:t>
      </w:r>
      <w:r>
        <w:rPr>
          <w:spacing w:val="-4"/>
        </w:rPr>
        <w:t xml:space="preserve"> </w:t>
      </w:r>
      <w:r>
        <w:t>y</w:t>
      </w:r>
      <w:r>
        <w:rPr>
          <w:spacing w:val="-5"/>
        </w:rPr>
        <w:t xml:space="preserve"> </w:t>
      </w:r>
      <w:r>
        <w:t>la</w:t>
      </w:r>
      <w:r>
        <w:rPr>
          <w:spacing w:val="-6"/>
        </w:rPr>
        <w:t xml:space="preserve"> </w:t>
      </w:r>
      <w:r>
        <w:t>sociedad</w:t>
      </w:r>
      <w:r>
        <w:rPr>
          <w:spacing w:val="-5"/>
        </w:rPr>
        <w:t xml:space="preserve"> </w:t>
      </w:r>
      <w:r>
        <w:t>civil</w:t>
      </w:r>
      <w:r>
        <w:rPr>
          <w:spacing w:val="-3"/>
        </w:rPr>
        <w:t xml:space="preserve"> </w:t>
      </w:r>
      <w:r>
        <w:t>como</w:t>
      </w:r>
      <w:r>
        <w:rPr>
          <w:spacing w:val="-4"/>
        </w:rPr>
        <w:t xml:space="preserve"> </w:t>
      </w:r>
      <w:r>
        <w:t>parte</w:t>
      </w:r>
      <w:r>
        <w:rPr>
          <w:spacing w:val="-3"/>
        </w:rPr>
        <w:t xml:space="preserve"> </w:t>
      </w:r>
      <w:r>
        <w:t>de</w:t>
      </w:r>
      <w:r>
        <w:rPr>
          <w:spacing w:val="-3"/>
        </w:rPr>
        <w:t xml:space="preserve"> </w:t>
      </w:r>
      <w:r>
        <w:t>esas</w:t>
      </w:r>
      <w:r>
        <w:rPr>
          <w:spacing w:val="-4"/>
        </w:rPr>
        <w:t xml:space="preserve"> </w:t>
      </w:r>
      <w:r>
        <w:t>bases</w:t>
      </w:r>
      <w:r>
        <w:rPr>
          <w:spacing w:val="-3"/>
        </w:rPr>
        <w:t xml:space="preserve"> </w:t>
      </w:r>
      <w:r>
        <w:t>para</w:t>
      </w:r>
      <w:r>
        <w:rPr>
          <w:spacing w:val="-3"/>
        </w:rPr>
        <w:t xml:space="preserve"> </w:t>
      </w:r>
      <w:r>
        <w:t>la</w:t>
      </w:r>
      <w:r>
        <w:rPr>
          <w:spacing w:val="-3"/>
        </w:rPr>
        <w:t xml:space="preserve"> </w:t>
      </w:r>
      <w:r>
        <w:t>reconstrucción</w:t>
      </w:r>
      <w:r>
        <w:rPr>
          <w:spacing w:val="-5"/>
        </w:rPr>
        <w:t xml:space="preserve"> </w:t>
      </w:r>
      <w:r>
        <w:t>de</w:t>
      </w:r>
      <w:r>
        <w:rPr>
          <w:spacing w:val="-3"/>
        </w:rPr>
        <w:t xml:space="preserve"> </w:t>
      </w:r>
      <w:r>
        <w:t>la convivencia y el fortalecimiento de la democracia.</w:t>
      </w:r>
    </w:p>
    <w:p w:rsidR="0011361F" w:rsidRDefault="00AF18A5" w:rsidP="004A6EF4">
      <w:pPr>
        <w:pStyle w:val="Ttulo3"/>
        <w:numPr>
          <w:ilvl w:val="2"/>
          <w:numId w:val="18"/>
        </w:numPr>
      </w:pPr>
      <w:bookmarkStart w:id="91" w:name="1.4.4._Cruzar_las_fronteras_de_la_solida"/>
      <w:bookmarkStart w:id="92" w:name="_Toc112399542"/>
      <w:bookmarkEnd w:id="91"/>
      <w:r>
        <w:t>Cruzar</w:t>
      </w:r>
      <w:r>
        <w:rPr>
          <w:spacing w:val="-2"/>
        </w:rPr>
        <w:t xml:space="preserve"> </w:t>
      </w:r>
      <w:r>
        <w:t>las</w:t>
      </w:r>
      <w:r>
        <w:rPr>
          <w:spacing w:val="-1"/>
        </w:rPr>
        <w:t xml:space="preserve"> </w:t>
      </w:r>
      <w:r w:rsidRPr="000B16BC">
        <w:t>fronteras</w:t>
      </w:r>
      <w:r>
        <w:rPr>
          <w:spacing w:val="-1"/>
        </w:rPr>
        <w:t xml:space="preserve"> </w:t>
      </w:r>
      <w:r>
        <w:t>de</w:t>
      </w:r>
      <w:r>
        <w:rPr>
          <w:spacing w:val="-1"/>
        </w:rPr>
        <w:t xml:space="preserve"> </w:t>
      </w:r>
      <w:r>
        <w:t>la</w:t>
      </w:r>
      <w:r>
        <w:rPr>
          <w:spacing w:val="-1"/>
        </w:rPr>
        <w:t xml:space="preserve"> </w:t>
      </w:r>
      <w:r>
        <w:rPr>
          <w:spacing w:val="-2"/>
        </w:rPr>
        <w:t>solidaridad</w:t>
      </w:r>
      <w:bookmarkEnd w:id="92"/>
    </w:p>
    <w:p w:rsidR="003804AC" w:rsidRDefault="00AF18A5" w:rsidP="00B341A7">
      <w:r>
        <w:t>Este desafío de quebrar la polarización también teje las relaciones políticas, vecinales o locales. Los gestos de solidaridad de «este lado» por parte de representantes políticos, víctimas o personas «representativas», con los otros del «otro lado», muestran categorías cruzadas y la posibilidad de tener una perspectiva crítica con las violaciones de derechos humanos,</w:t>
      </w:r>
      <w:r>
        <w:rPr>
          <w:spacing w:val="-12"/>
        </w:rPr>
        <w:t xml:space="preserve"> </w:t>
      </w:r>
      <w:r>
        <w:t>aunque</w:t>
      </w:r>
      <w:r>
        <w:rPr>
          <w:spacing w:val="-12"/>
        </w:rPr>
        <w:t xml:space="preserve"> </w:t>
      </w:r>
      <w:r>
        <w:t>sea</w:t>
      </w:r>
      <w:r>
        <w:rPr>
          <w:spacing w:val="-12"/>
        </w:rPr>
        <w:t xml:space="preserve"> </w:t>
      </w:r>
      <w:r>
        <w:t>las</w:t>
      </w:r>
      <w:r>
        <w:rPr>
          <w:spacing w:val="-12"/>
        </w:rPr>
        <w:t xml:space="preserve"> </w:t>
      </w:r>
      <w:r>
        <w:t>ocurridas</w:t>
      </w:r>
      <w:r>
        <w:rPr>
          <w:spacing w:val="-12"/>
        </w:rPr>
        <w:t xml:space="preserve"> </w:t>
      </w:r>
      <w:r>
        <w:t>contra</w:t>
      </w:r>
      <w:r>
        <w:rPr>
          <w:spacing w:val="-12"/>
        </w:rPr>
        <w:t xml:space="preserve"> </w:t>
      </w:r>
      <w:r>
        <w:t>supuestos</w:t>
      </w:r>
      <w:r>
        <w:rPr>
          <w:spacing w:val="-12"/>
        </w:rPr>
        <w:t xml:space="preserve"> </w:t>
      </w:r>
      <w:r>
        <w:t>adversarios</w:t>
      </w:r>
      <w:r>
        <w:rPr>
          <w:spacing w:val="-12"/>
        </w:rPr>
        <w:t xml:space="preserve"> </w:t>
      </w:r>
      <w:r>
        <w:t>políticos</w:t>
      </w:r>
      <w:r>
        <w:rPr>
          <w:spacing w:val="-13"/>
        </w:rPr>
        <w:t xml:space="preserve"> </w:t>
      </w:r>
      <w:r>
        <w:t>o</w:t>
      </w:r>
      <w:r>
        <w:rPr>
          <w:spacing w:val="-12"/>
        </w:rPr>
        <w:t xml:space="preserve"> </w:t>
      </w:r>
      <w:r>
        <w:t>personas</w:t>
      </w:r>
      <w:r>
        <w:rPr>
          <w:spacing w:val="-12"/>
        </w:rPr>
        <w:t xml:space="preserve"> </w:t>
      </w:r>
      <w:r>
        <w:t>con</w:t>
      </w:r>
      <w:r>
        <w:rPr>
          <w:spacing w:val="-12"/>
        </w:rPr>
        <w:t xml:space="preserve"> </w:t>
      </w:r>
      <w:r>
        <w:t>otra ideología o sensibilidad política. Los gestos demostrativos de personas que son capaces de ese</w:t>
      </w:r>
      <w:r>
        <w:rPr>
          <w:spacing w:val="-6"/>
        </w:rPr>
        <w:t xml:space="preserve"> </w:t>
      </w:r>
      <w:r>
        <w:t>cruce</w:t>
      </w:r>
      <w:r>
        <w:rPr>
          <w:spacing w:val="-6"/>
        </w:rPr>
        <w:t xml:space="preserve"> </w:t>
      </w:r>
      <w:r>
        <w:t>de</w:t>
      </w:r>
      <w:r>
        <w:rPr>
          <w:spacing w:val="-7"/>
        </w:rPr>
        <w:t xml:space="preserve"> </w:t>
      </w:r>
      <w:r>
        <w:t>sensibilidades,</w:t>
      </w:r>
      <w:r>
        <w:rPr>
          <w:spacing w:val="-6"/>
        </w:rPr>
        <w:t xml:space="preserve"> </w:t>
      </w:r>
      <w:r>
        <w:t>si</w:t>
      </w:r>
      <w:r>
        <w:rPr>
          <w:spacing w:val="-6"/>
        </w:rPr>
        <w:t xml:space="preserve"> </w:t>
      </w:r>
      <w:r>
        <w:t>bien</w:t>
      </w:r>
      <w:r>
        <w:rPr>
          <w:spacing w:val="-6"/>
        </w:rPr>
        <w:t xml:space="preserve"> </w:t>
      </w:r>
      <w:r>
        <w:t>no</w:t>
      </w:r>
      <w:r>
        <w:rPr>
          <w:spacing w:val="-6"/>
        </w:rPr>
        <w:t xml:space="preserve"> </w:t>
      </w:r>
      <w:r>
        <w:t>son</w:t>
      </w:r>
      <w:r>
        <w:rPr>
          <w:spacing w:val="-6"/>
        </w:rPr>
        <w:t xml:space="preserve"> </w:t>
      </w:r>
      <w:r>
        <w:t>mayoritarios</w:t>
      </w:r>
      <w:r>
        <w:rPr>
          <w:spacing w:val="-6"/>
        </w:rPr>
        <w:t xml:space="preserve"> </w:t>
      </w:r>
      <w:r>
        <w:t>en</w:t>
      </w:r>
      <w:r>
        <w:rPr>
          <w:spacing w:val="-6"/>
        </w:rPr>
        <w:t xml:space="preserve"> </w:t>
      </w:r>
      <w:r>
        <w:t>un</w:t>
      </w:r>
      <w:r>
        <w:rPr>
          <w:spacing w:val="-7"/>
        </w:rPr>
        <w:t xml:space="preserve"> </w:t>
      </w:r>
      <w:r>
        <w:t>conflicto,</w:t>
      </w:r>
      <w:r>
        <w:rPr>
          <w:spacing w:val="-6"/>
        </w:rPr>
        <w:t xml:space="preserve"> </w:t>
      </w:r>
      <w:r>
        <w:t>se</w:t>
      </w:r>
      <w:r>
        <w:rPr>
          <w:spacing w:val="-7"/>
        </w:rPr>
        <w:t xml:space="preserve"> </w:t>
      </w:r>
      <w:r>
        <w:t>han</w:t>
      </w:r>
      <w:r>
        <w:rPr>
          <w:spacing w:val="-6"/>
        </w:rPr>
        <w:t xml:space="preserve"> </w:t>
      </w:r>
      <w:r>
        <w:t>dado</w:t>
      </w:r>
      <w:r>
        <w:rPr>
          <w:spacing w:val="-6"/>
        </w:rPr>
        <w:t xml:space="preserve"> </w:t>
      </w:r>
      <w:r>
        <w:t>también en</w:t>
      </w:r>
      <w:r>
        <w:rPr>
          <w:spacing w:val="-15"/>
        </w:rPr>
        <w:t xml:space="preserve"> </w:t>
      </w:r>
      <w:r>
        <w:t>el</w:t>
      </w:r>
      <w:r>
        <w:rPr>
          <w:spacing w:val="-15"/>
        </w:rPr>
        <w:t xml:space="preserve"> </w:t>
      </w:r>
      <w:r>
        <w:t>caso</w:t>
      </w:r>
      <w:r>
        <w:rPr>
          <w:spacing w:val="-15"/>
        </w:rPr>
        <w:t xml:space="preserve"> </w:t>
      </w:r>
      <w:r>
        <w:t>colombiano</w:t>
      </w:r>
      <w:r>
        <w:rPr>
          <w:spacing w:val="-15"/>
        </w:rPr>
        <w:t xml:space="preserve"> </w:t>
      </w:r>
      <w:r>
        <w:t>y</w:t>
      </w:r>
      <w:r>
        <w:rPr>
          <w:spacing w:val="-15"/>
        </w:rPr>
        <w:t xml:space="preserve"> </w:t>
      </w:r>
      <w:r>
        <w:t>muestran</w:t>
      </w:r>
      <w:r>
        <w:rPr>
          <w:spacing w:val="-15"/>
        </w:rPr>
        <w:t xml:space="preserve"> </w:t>
      </w:r>
      <w:r>
        <w:t>un</w:t>
      </w:r>
      <w:r>
        <w:rPr>
          <w:spacing w:val="-15"/>
        </w:rPr>
        <w:t xml:space="preserve"> </w:t>
      </w:r>
      <w:r>
        <w:t>horizonte</w:t>
      </w:r>
      <w:r>
        <w:rPr>
          <w:spacing w:val="-15"/>
        </w:rPr>
        <w:t xml:space="preserve"> </w:t>
      </w:r>
      <w:r>
        <w:t>de</w:t>
      </w:r>
      <w:r>
        <w:rPr>
          <w:spacing w:val="-15"/>
        </w:rPr>
        <w:t xml:space="preserve"> </w:t>
      </w:r>
      <w:r>
        <w:t>humanidad</w:t>
      </w:r>
      <w:r>
        <w:rPr>
          <w:spacing w:val="-15"/>
        </w:rPr>
        <w:t xml:space="preserve"> </w:t>
      </w:r>
      <w:r>
        <w:t>y</w:t>
      </w:r>
      <w:r>
        <w:rPr>
          <w:spacing w:val="-15"/>
        </w:rPr>
        <w:t xml:space="preserve"> </w:t>
      </w:r>
      <w:r>
        <w:t>una</w:t>
      </w:r>
      <w:r>
        <w:rPr>
          <w:spacing w:val="-15"/>
        </w:rPr>
        <w:t xml:space="preserve"> </w:t>
      </w:r>
      <w:r>
        <w:t>lección</w:t>
      </w:r>
      <w:r>
        <w:rPr>
          <w:spacing w:val="-15"/>
        </w:rPr>
        <w:t xml:space="preserve"> </w:t>
      </w:r>
      <w:r>
        <w:t>moral</w:t>
      </w:r>
      <w:r>
        <w:rPr>
          <w:spacing w:val="-15"/>
        </w:rPr>
        <w:t xml:space="preserve"> </w:t>
      </w:r>
      <w:r>
        <w:t>que</w:t>
      </w:r>
      <w:r>
        <w:rPr>
          <w:spacing w:val="-15"/>
        </w:rPr>
        <w:t xml:space="preserve"> </w:t>
      </w:r>
      <w:r>
        <w:t>ayudan a</w:t>
      </w:r>
      <w:r>
        <w:rPr>
          <w:spacing w:val="-10"/>
        </w:rPr>
        <w:t xml:space="preserve"> </w:t>
      </w:r>
      <w:r>
        <w:t>despolarizar</w:t>
      </w:r>
      <w:r>
        <w:rPr>
          <w:spacing w:val="-11"/>
        </w:rPr>
        <w:t xml:space="preserve"> </w:t>
      </w:r>
      <w:r>
        <w:t>las</w:t>
      </w:r>
      <w:r>
        <w:rPr>
          <w:spacing w:val="-12"/>
        </w:rPr>
        <w:t xml:space="preserve"> </w:t>
      </w:r>
      <w:r>
        <w:t>relaciones</w:t>
      </w:r>
      <w:r>
        <w:rPr>
          <w:spacing w:val="-10"/>
        </w:rPr>
        <w:t xml:space="preserve"> </w:t>
      </w:r>
      <w:r>
        <w:t>como</w:t>
      </w:r>
      <w:r>
        <w:rPr>
          <w:spacing w:val="-11"/>
        </w:rPr>
        <w:t xml:space="preserve"> </w:t>
      </w:r>
      <w:r>
        <w:t>pasos</w:t>
      </w:r>
      <w:r>
        <w:rPr>
          <w:spacing w:val="-11"/>
        </w:rPr>
        <w:t xml:space="preserve"> </w:t>
      </w:r>
      <w:r>
        <w:t>para</w:t>
      </w:r>
      <w:r>
        <w:rPr>
          <w:spacing w:val="-10"/>
        </w:rPr>
        <w:t xml:space="preserve"> </w:t>
      </w:r>
      <w:r>
        <w:t>una</w:t>
      </w:r>
      <w:r>
        <w:rPr>
          <w:spacing w:val="-13"/>
        </w:rPr>
        <w:t xml:space="preserve"> </w:t>
      </w:r>
      <w:r>
        <w:t>construcción</w:t>
      </w:r>
      <w:r>
        <w:rPr>
          <w:spacing w:val="-12"/>
        </w:rPr>
        <w:t xml:space="preserve"> </w:t>
      </w:r>
      <w:r>
        <w:t>colectiva.</w:t>
      </w:r>
      <w:r>
        <w:rPr>
          <w:spacing w:val="-11"/>
        </w:rPr>
        <w:t xml:space="preserve"> </w:t>
      </w:r>
      <w:r>
        <w:t>Estas</w:t>
      </w:r>
      <w:r>
        <w:rPr>
          <w:spacing w:val="-12"/>
        </w:rPr>
        <w:t xml:space="preserve"> </w:t>
      </w:r>
      <w:r>
        <w:t>experiencias, como la de</w:t>
      </w:r>
      <w:r>
        <w:rPr>
          <w:spacing w:val="-1"/>
        </w:rPr>
        <w:t xml:space="preserve"> </w:t>
      </w:r>
      <w:r>
        <w:t>la participación de las</w:t>
      </w:r>
      <w:r>
        <w:rPr>
          <w:spacing w:val="-1"/>
        </w:rPr>
        <w:t xml:space="preserve"> </w:t>
      </w:r>
      <w:r>
        <w:t>diferentes víctimas en</w:t>
      </w:r>
      <w:r>
        <w:rPr>
          <w:spacing w:val="-1"/>
        </w:rPr>
        <w:t xml:space="preserve"> </w:t>
      </w:r>
      <w:r>
        <w:t>la</w:t>
      </w:r>
      <w:r>
        <w:rPr>
          <w:spacing w:val="-1"/>
        </w:rPr>
        <w:t xml:space="preserve"> </w:t>
      </w:r>
      <w:r>
        <w:t>Mesa de</w:t>
      </w:r>
      <w:r>
        <w:rPr>
          <w:spacing w:val="-1"/>
        </w:rPr>
        <w:t xml:space="preserve"> </w:t>
      </w:r>
      <w:r>
        <w:t>la Habana, muestran un enorme potencial transformador que debe impulsarse en las políticas de verdad y memoria que se pongan en marcha tras la Comisión.</w:t>
      </w:r>
    </w:p>
    <w:p w:rsidR="003804AC" w:rsidRDefault="00AF18A5" w:rsidP="00B341A7">
      <w:r>
        <w:t>Muchas</w:t>
      </w:r>
      <w:r>
        <w:rPr>
          <w:spacing w:val="24"/>
        </w:rPr>
        <w:t xml:space="preserve"> </w:t>
      </w:r>
      <w:r>
        <w:t>víctimas</w:t>
      </w:r>
      <w:r>
        <w:rPr>
          <w:spacing w:val="24"/>
        </w:rPr>
        <w:t xml:space="preserve"> </w:t>
      </w:r>
      <w:r>
        <w:t>sienten</w:t>
      </w:r>
      <w:r>
        <w:rPr>
          <w:spacing w:val="23"/>
        </w:rPr>
        <w:t xml:space="preserve"> </w:t>
      </w:r>
      <w:r>
        <w:t>como</w:t>
      </w:r>
      <w:r>
        <w:rPr>
          <w:spacing w:val="24"/>
        </w:rPr>
        <w:t xml:space="preserve"> </w:t>
      </w:r>
      <w:r>
        <w:t>un</w:t>
      </w:r>
      <w:r>
        <w:rPr>
          <w:spacing w:val="24"/>
        </w:rPr>
        <w:t xml:space="preserve"> </w:t>
      </w:r>
      <w:r>
        <w:t>agravio</w:t>
      </w:r>
      <w:r>
        <w:rPr>
          <w:spacing w:val="24"/>
        </w:rPr>
        <w:t xml:space="preserve"> </w:t>
      </w:r>
      <w:r>
        <w:t>que</w:t>
      </w:r>
      <w:r>
        <w:rPr>
          <w:spacing w:val="24"/>
        </w:rPr>
        <w:t xml:space="preserve"> </w:t>
      </w:r>
      <w:r>
        <w:t>sus</w:t>
      </w:r>
      <w:r>
        <w:rPr>
          <w:spacing w:val="24"/>
        </w:rPr>
        <w:t xml:space="preserve"> </w:t>
      </w:r>
      <w:r>
        <w:t>perpetradores</w:t>
      </w:r>
      <w:r>
        <w:rPr>
          <w:spacing w:val="24"/>
        </w:rPr>
        <w:t xml:space="preserve"> </w:t>
      </w:r>
      <w:r>
        <w:t>o</w:t>
      </w:r>
      <w:r>
        <w:rPr>
          <w:spacing w:val="24"/>
        </w:rPr>
        <w:t xml:space="preserve"> </w:t>
      </w:r>
      <w:r>
        <w:t>quienes</w:t>
      </w:r>
      <w:r>
        <w:rPr>
          <w:spacing w:val="24"/>
        </w:rPr>
        <w:t xml:space="preserve"> </w:t>
      </w:r>
      <w:r>
        <w:t>los</w:t>
      </w:r>
      <w:r>
        <w:rPr>
          <w:spacing w:val="24"/>
        </w:rPr>
        <w:t xml:space="preserve"> </w:t>
      </w:r>
      <w:r>
        <w:rPr>
          <w:spacing w:val="-2"/>
        </w:rPr>
        <w:t>apoyan</w:t>
      </w:r>
      <w:r w:rsidR="00B341A7">
        <w:rPr>
          <w:spacing w:val="-2"/>
        </w:rPr>
        <w:t xml:space="preserve"> </w:t>
      </w:r>
      <w:r>
        <w:t xml:space="preserve">políticamente no hayan reconocido el daño ni hayan </w:t>
      </w:r>
      <w:r>
        <w:lastRenderedPageBreak/>
        <w:t>rechazado la violencia. Este reconocimiento</w:t>
      </w:r>
      <w:r>
        <w:rPr>
          <w:spacing w:val="-8"/>
        </w:rPr>
        <w:t xml:space="preserve"> </w:t>
      </w:r>
      <w:r>
        <w:t>es</w:t>
      </w:r>
      <w:r>
        <w:rPr>
          <w:spacing w:val="-8"/>
        </w:rPr>
        <w:t xml:space="preserve"> </w:t>
      </w:r>
      <w:r>
        <w:t>básico</w:t>
      </w:r>
      <w:r>
        <w:rPr>
          <w:spacing w:val="-8"/>
        </w:rPr>
        <w:t xml:space="preserve"> </w:t>
      </w:r>
      <w:r>
        <w:t>para</w:t>
      </w:r>
      <w:r>
        <w:rPr>
          <w:spacing w:val="-8"/>
        </w:rPr>
        <w:t xml:space="preserve"> </w:t>
      </w:r>
      <w:r>
        <w:t>promover</w:t>
      </w:r>
      <w:r>
        <w:rPr>
          <w:spacing w:val="-8"/>
        </w:rPr>
        <w:t xml:space="preserve"> </w:t>
      </w:r>
      <w:r>
        <w:t>un</w:t>
      </w:r>
      <w:r>
        <w:rPr>
          <w:spacing w:val="-8"/>
        </w:rPr>
        <w:t xml:space="preserve"> </w:t>
      </w:r>
      <w:r>
        <w:t>cambio</w:t>
      </w:r>
      <w:r>
        <w:rPr>
          <w:spacing w:val="-8"/>
        </w:rPr>
        <w:t xml:space="preserve"> </w:t>
      </w:r>
      <w:r>
        <w:t>y</w:t>
      </w:r>
      <w:r>
        <w:rPr>
          <w:spacing w:val="-8"/>
        </w:rPr>
        <w:t xml:space="preserve"> </w:t>
      </w:r>
      <w:r>
        <w:t>tendrá</w:t>
      </w:r>
      <w:r>
        <w:rPr>
          <w:spacing w:val="-8"/>
        </w:rPr>
        <w:t xml:space="preserve"> </w:t>
      </w:r>
      <w:r>
        <w:t>que</w:t>
      </w:r>
      <w:r>
        <w:rPr>
          <w:spacing w:val="-8"/>
        </w:rPr>
        <w:t xml:space="preserve"> </w:t>
      </w:r>
      <w:r>
        <w:t>darse</w:t>
      </w:r>
      <w:r>
        <w:rPr>
          <w:spacing w:val="-8"/>
        </w:rPr>
        <w:t xml:space="preserve"> </w:t>
      </w:r>
      <w:r>
        <w:t>en</w:t>
      </w:r>
      <w:r>
        <w:rPr>
          <w:spacing w:val="-9"/>
        </w:rPr>
        <w:t xml:space="preserve"> </w:t>
      </w:r>
      <w:r>
        <w:t>algún</w:t>
      </w:r>
      <w:r>
        <w:rPr>
          <w:spacing w:val="-8"/>
        </w:rPr>
        <w:t xml:space="preserve"> </w:t>
      </w:r>
      <w:r>
        <w:t>momento</w:t>
      </w:r>
      <w:r>
        <w:rPr>
          <w:spacing w:val="-8"/>
        </w:rPr>
        <w:t xml:space="preserve"> </w:t>
      </w:r>
      <w:r>
        <w:t>de un</w:t>
      </w:r>
      <w:r>
        <w:rPr>
          <w:spacing w:val="-11"/>
        </w:rPr>
        <w:t xml:space="preserve"> </w:t>
      </w:r>
      <w:r>
        <w:t>proceso</w:t>
      </w:r>
      <w:r>
        <w:rPr>
          <w:spacing w:val="-11"/>
        </w:rPr>
        <w:t xml:space="preserve"> </w:t>
      </w:r>
      <w:r>
        <w:t>de</w:t>
      </w:r>
      <w:r>
        <w:rPr>
          <w:spacing w:val="-11"/>
        </w:rPr>
        <w:t xml:space="preserve"> </w:t>
      </w:r>
      <w:r>
        <w:t>paz</w:t>
      </w:r>
      <w:r>
        <w:rPr>
          <w:spacing w:val="-11"/>
        </w:rPr>
        <w:t xml:space="preserve"> </w:t>
      </w:r>
      <w:r>
        <w:t>que</w:t>
      </w:r>
      <w:r>
        <w:rPr>
          <w:spacing w:val="-11"/>
        </w:rPr>
        <w:t xml:space="preserve"> </w:t>
      </w:r>
      <w:r>
        <w:t>necesita</w:t>
      </w:r>
      <w:r>
        <w:rPr>
          <w:spacing w:val="-11"/>
        </w:rPr>
        <w:t xml:space="preserve"> </w:t>
      </w:r>
      <w:r>
        <w:t>profundizarse</w:t>
      </w:r>
      <w:r>
        <w:rPr>
          <w:spacing w:val="-11"/>
        </w:rPr>
        <w:t xml:space="preserve"> </w:t>
      </w:r>
      <w:r>
        <w:t>y</w:t>
      </w:r>
      <w:r>
        <w:rPr>
          <w:spacing w:val="-11"/>
        </w:rPr>
        <w:t xml:space="preserve"> </w:t>
      </w:r>
      <w:r>
        <w:t>extenderse</w:t>
      </w:r>
      <w:r>
        <w:rPr>
          <w:spacing w:val="-11"/>
        </w:rPr>
        <w:t xml:space="preserve"> </w:t>
      </w:r>
      <w:r>
        <w:t>a</w:t>
      </w:r>
      <w:r>
        <w:rPr>
          <w:spacing w:val="-11"/>
        </w:rPr>
        <w:t xml:space="preserve"> </w:t>
      </w:r>
      <w:r>
        <w:t>otros</w:t>
      </w:r>
      <w:r>
        <w:rPr>
          <w:spacing w:val="-11"/>
        </w:rPr>
        <w:t xml:space="preserve"> </w:t>
      </w:r>
      <w:r>
        <w:t>actores.</w:t>
      </w:r>
      <w:r>
        <w:rPr>
          <w:spacing w:val="-11"/>
        </w:rPr>
        <w:t xml:space="preserve"> </w:t>
      </w:r>
      <w:r>
        <w:t>El</w:t>
      </w:r>
      <w:r>
        <w:rPr>
          <w:spacing w:val="-10"/>
        </w:rPr>
        <w:t xml:space="preserve"> </w:t>
      </w:r>
      <w:r>
        <w:t>reconocimiento supone</w:t>
      </w:r>
      <w:r>
        <w:rPr>
          <w:spacing w:val="-3"/>
        </w:rPr>
        <w:t xml:space="preserve"> </w:t>
      </w:r>
      <w:r>
        <w:t>pasar</w:t>
      </w:r>
      <w:r>
        <w:rPr>
          <w:spacing w:val="-3"/>
        </w:rPr>
        <w:t xml:space="preserve"> </w:t>
      </w:r>
      <w:r>
        <w:t>«al</w:t>
      </w:r>
      <w:r>
        <w:rPr>
          <w:spacing w:val="-3"/>
        </w:rPr>
        <w:t xml:space="preserve"> </w:t>
      </w:r>
      <w:r>
        <w:t>otro</w:t>
      </w:r>
      <w:r>
        <w:rPr>
          <w:spacing w:val="-4"/>
        </w:rPr>
        <w:t xml:space="preserve"> </w:t>
      </w:r>
      <w:r>
        <w:t>lado»</w:t>
      </w:r>
      <w:r>
        <w:rPr>
          <w:spacing w:val="-4"/>
        </w:rPr>
        <w:t xml:space="preserve"> </w:t>
      </w:r>
      <w:r>
        <w:t>con</w:t>
      </w:r>
      <w:r>
        <w:rPr>
          <w:spacing w:val="-4"/>
        </w:rPr>
        <w:t xml:space="preserve"> </w:t>
      </w:r>
      <w:r>
        <w:t>un</w:t>
      </w:r>
      <w:r>
        <w:rPr>
          <w:spacing w:val="-2"/>
        </w:rPr>
        <w:t xml:space="preserve"> </w:t>
      </w:r>
      <w:r>
        <w:t>mensaje</w:t>
      </w:r>
      <w:r>
        <w:rPr>
          <w:spacing w:val="-3"/>
        </w:rPr>
        <w:t xml:space="preserve"> </w:t>
      </w:r>
      <w:r>
        <w:t>de</w:t>
      </w:r>
      <w:r>
        <w:rPr>
          <w:spacing w:val="-3"/>
        </w:rPr>
        <w:t xml:space="preserve"> </w:t>
      </w:r>
      <w:r>
        <w:t>respeto</w:t>
      </w:r>
      <w:r>
        <w:rPr>
          <w:spacing w:val="-4"/>
        </w:rPr>
        <w:t xml:space="preserve"> </w:t>
      </w:r>
      <w:r>
        <w:t>y</w:t>
      </w:r>
      <w:r>
        <w:rPr>
          <w:spacing w:val="-4"/>
        </w:rPr>
        <w:t xml:space="preserve"> </w:t>
      </w:r>
      <w:r>
        <w:t>de</w:t>
      </w:r>
      <w:r>
        <w:rPr>
          <w:spacing w:val="-3"/>
        </w:rPr>
        <w:t xml:space="preserve"> </w:t>
      </w:r>
      <w:r>
        <w:t>verdad.</w:t>
      </w:r>
      <w:r>
        <w:rPr>
          <w:spacing w:val="-4"/>
        </w:rPr>
        <w:t xml:space="preserve"> </w:t>
      </w:r>
      <w:r>
        <w:t>Un</w:t>
      </w:r>
      <w:r>
        <w:rPr>
          <w:spacing w:val="-4"/>
        </w:rPr>
        <w:t xml:space="preserve"> </w:t>
      </w:r>
      <w:r>
        <w:t>paso</w:t>
      </w:r>
      <w:r>
        <w:rPr>
          <w:spacing w:val="-4"/>
        </w:rPr>
        <w:t xml:space="preserve"> </w:t>
      </w:r>
      <w:r>
        <w:t>factible</w:t>
      </w:r>
      <w:r>
        <w:rPr>
          <w:spacing w:val="-5"/>
        </w:rPr>
        <w:t xml:space="preserve"> </w:t>
      </w:r>
      <w:r>
        <w:t>ha</w:t>
      </w:r>
      <w:r>
        <w:rPr>
          <w:spacing w:val="-3"/>
        </w:rPr>
        <w:t xml:space="preserve"> </w:t>
      </w:r>
      <w:r>
        <w:t xml:space="preserve">sido el reconocimiento por parte de quienes fueron dirigentes de las FARC-EP y de exmiembros de las AUC del dolor infligido, así como un examen crítico y un desmarque de la violencia junto al reconocimiento individual de muchos militares comparecientes ante la Comisión y </w:t>
      </w:r>
      <w:r>
        <w:rPr>
          <w:spacing w:val="-2"/>
        </w:rPr>
        <w:t>la</w:t>
      </w:r>
      <w:r>
        <w:rPr>
          <w:spacing w:val="-5"/>
        </w:rPr>
        <w:t xml:space="preserve"> </w:t>
      </w:r>
      <w:r>
        <w:rPr>
          <w:spacing w:val="-2"/>
        </w:rPr>
        <w:t>JEP.</w:t>
      </w:r>
      <w:r>
        <w:rPr>
          <w:spacing w:val="-5"/>
        </w:rPr>
        <w:t xml:space="preserve"> </w:t>
      </w:r>
      <w:r>
        <w:rPr>
          <w:spacing w:val="-2"/>
        </w:rPr>
        <w:t>Sin</w:t>
      </w:r>
      <w:r>
        <w:rPr>
          <w:spacing w:val="-6"/>
        </w:rPr>
        <w:t xml:space="preserve"> </w:t>
      </w:r>
      <w:r>
        <w:rPr>
          <w:spacing w:val="-2"/>
        </w:rPr>
        <w:t>embargo,</w:t>
      </w:r>
      <w:r>
        <w:rPr>
          <w:spacing w:val="-6"/>
        </w:rPr>
        <w:t xml:space="preserve"> </w:t>
      </w:r>
      <w:r>
        <w:rPr>
          <w:spacing w:val="-2"/>
        </w:rPr>
        <w:t>se</w:t>
      </w:r>
      <w:r>
        <w:rPr>
          <w:spacing w:val="-6"/>
        </w:rPr>
        <w:t xml:space="preserve"> </w:t>
      </w:r>
      <w:r>
        <w:rPr>
          <w:spacing w:val="-2"/>
        </w:rPr>
        <w:t>requiere</w:t>
      </w:r>
      <w:r>
        <w:rPr>
          <w:spacing w:val="-5"/>
        </w:rPr>
        <w:t xml:space="preserve"> </w:t>
      </w:r>
      <w:r>
        <w:rPr>
          <w:spacing w:val="-2"/>
        </w:rPr>
        <w:t>también</w:t>
      </w:r>
      <w:r>
        <w:rPr>
          <w:spacing w:val="-5"/>
        </w:rPr>
        <w:t xml:space="preserve"> </w:t>
      </w:r>
      <w:r>
        <w:rPr>
          <w:spacing w:val="-2"/>
        </w:rPr>
        <w:t>un</w:t>
      </w:r>
      <w:r>
        <w:rPr>
          <w:spacing w:val="-6"/>
        </w:rPr>
        <w:t xml:space="preserve"> </w:t>
      </w:r>
      <w:r>
        <w:rPr>
          <w:spacing w:val="-2"/>
        </w:rPr>
        <w:t>reconocimiento</w:t>
      </w:r>
      <w:r>
        <w:rPr>
          <w:spacing w:val="-6"/>
        </w:rPr>
        <w:t xml:space="preserve"> </w:t>
      </w:r>
      <w:r>
        <w:rPr>
          <w:spacing w:val="-2"/>
        </w:rPr>
        <w:t>institucional</w:t>
      </w:r>
      <w:r>
        <w:rPr>
          <w:spacing w:val="-6"/>
        </w:rPr>
        <w:t xml:space="preserve"> </w:t>
      </w:r>
      <w:r>
        <w:rPr>
          <w:spacing w:val="-2"/>
        </w:rPr>
        <w:t>por</w:t>
      </w:r>
      <w:r>
        <w:rPr>
          <w:spacing w:val="-4"/>
        </w:rPr>
        <w:t xml:space="preserve"> </w:t>
      </w:r>
      <w:r>
        <w:rPr>
          <w:spacing w:val="-2"/>
        </w:rPr>
        <w:t>parte</w:t>
      </w:r>
      <w:r>
        <w:rPr>
          <w:spacing w:val="-5"/>
        </w:rPr>
        <w:t xml:space="preserve"> </w:t>
      </w:r>
      <w:r>
        <w:rPr>
          <w:spacing w:val="-2"/>
        </w:rPr>
        <w:t>del</w:t>
      </w:r>
      <w:r>
        <w:rPr>
          <w:spacing w:val="-6"/>
        </w:rPr>
        <w:t xml:space="preserve"> </w:t>
      </w:r>
      <w:r>
        <w:rPr>
          <w:spacing w:val="-2"/>
        </w:rPr>
        <w:t xml:space="preserve">Estado </w:t>
      </w:r>
      <w:r>
        <w:t>y de los líderes políticos y económicos que apoyaron las acciones de guerra sucia y las violaciones de derechos humanos.</w:t>
      </w:r>
    </w:p>
    <w:p w:rsidR="0011361F" w:rsidRDefault="00AF18A5" w:rsidP="004A6EF4">
      <w:pPr>
        <w:pStyle w:val="Ttulo3"/>
        <w:numPr>
          <w:ilvl w:val="2"/>
          <w:numId w:val="18"/>
        </w:numPr>
      </w:pPr>
      <w:bookmarkStart w:id="93" w:name="1.4.5._Terminar_con_las_valoraciones_mor"/>
      <w:bookmarkStart w:id="94" w:name="_Toc112399543"/>
      <w:bookmarkEnd w:id="93"/>
      <w:r>
        <w:t>Terminar</w:t>
      </w:r>
      <w:r>
        <w:rPr>
          <w:spacing w:val="-4"/>
        </w:rPr>
        <w:t xml:space="preserve"> </w:t>
      </w:r>
      <w:r>
        <w:t>con</w:t>
      </w:r>
      <w:r>
        <w:rPr>
          <w:spacing w:val="-2"/>
        </w:rPr>
        <w:t xml:space="preserve"> </w:t>
      </w:r>
      <w:r>
        <w:t>las</w:t>
      </w:r>
      <w:r>
        <w:rPr>
          <w:spacing w:val="-3"/>
        </w:rPr>
        <w:t xml:space="preserve"> </w:t>
      </w:r>
      <w:r>
        <w:t>valoraciones</w:t>
      </w:r>
      <w:r>
        <w:rPr>
          <w:spacing w:val="-1"/>
        </w:rPr>
        <w:t xml:space="preserve"> </w:t>
      </w:r>
      <w:r>
        <w:t>morales</w:t>
      </w:r>
      <w:r>
        <w:rPr>
          <w:spacing w:val="-3"/>
        </w:rPr>
        <w:t xml:space="preserve"> </w:t>
      </w:r>
      <w:r>
        <w:t>que</w:t>
      </w:r>
      <w:r>
        <w:rPr>
          <w:spacing w:val="-2"/>
        </w:rPr>
        <w:t xml:space="preserve"> </w:t>
      </w:r>
      <w:r>
        <w:t>estimulan</w:t>
      </w:r>
      <w:r>
        <w:rPr>
          <w:spacing w:val="-2"/>
        </w:rPr>
        <w:t xml:space="preserve"> </w:t>
      </w:r>
      <w:r>
        <w:t>la</w:t>
      </w:r>
      <w:r>
        <w:rPr>
          <w:spacing w:val="-1"/>
        </w:rPr>
        <w:t xml:space="preserve"> </w:t>
      </w:r>
      <w:r>
        <w:rPr>
          <w:spacing w:val="-2"/>
        </w:rPr>
        <w:t>guerra</w:t>
      </w:r>
      <w:bookmarkEnd w:id="94"/>
    </w:p>
    <w:p w:rsidR="003804AC" w:rsidRDefault="00AF18A5" w:rsidP="00F562FD">
      <w:r>
        <w:t>La visión de la guerra incluye la lectura de diferentes planos e implica frecuentemente una valoración</w:t>
      </w:r>
      <w:r>
        <w:rPr>
          <w:spacing w:val="-1"/>
        </w:rPr>
        <w:t xml:space="preserve"> </w:t>
      </w:r>
      <w:r>
        <w:t>moral que</w:t>
      </w:r>
      <w:r>
        <w:rPr>
          <w:spacing w:val="-1"/>
        </w:rPr>
        <w:t xml:space="preserve"> </w:t>
      </w:r>
      <w:r>
        <w:t>justifica</w:t>
      </w:r>
      <w:r>
        <w:rPr>
          <w:spacing w:val="-1"/>
        </w:rPr>
        <w:t xml:space="preserve"> </w:t>
      </w:r>
      <w:r>
        <w:t>las</w:t>
      </w:r>
      <w:r>
        <w:rPr>
          <w:spacing w:val="-1"/>
        </w:rPr>
        <w:t xml:space="preserve"> </w:t>
      </w:r>
      <w:r>
        <w:t>acciones, pero</w:t>
      </w:r>
      <w:r>
        <w:rPr>
          <w:spacing w:val="-1"/>
        </w:rPr>
        <w:t xml:space="preserve"> </w:t>
      </w:r>
      <w:r>
        <w:t>cuando se</w:t>
      </w:r>
      <w:r>
        <w:rPr>
          <w:spacing w:val="-1"/>
        </w:rPr>
        <w:t xml:space="preserve"> </w:t>
      </w:r>
      <w:r>
        <w:t>contrasta con</w:t>
      </w:r>
      <w:r>
        <w:rPr>
          <w:spacing w:val="-1"/>
        </w:rPr>
        <w:t xml:space="preserve"> </w:t>
      </w:r>
      <w:r>
        <w:t>los hechos</w:t>
      </w:r>
      <w:r>
        <w:rPr>
          <w:spacing w:val="-1"/>
        </w:rPr>
        <w:t xml:space="preserve"> </w:t>
      </w:r>
      <w:r>
        <w:t>vividos (masacres, ejecuciones, desapariciones forzadas, violencia sexual), pone en evidencia muchas</w:t>
      </w:r>
      <w:r>
        <w:rPr>
          <w:spacing w:val="-15"/>
        </w:rPr>
        <w:t xml:space="preserve"> </w:t>
      </w:r>
      <w:r>
        <w:t>veces</w:t>
      </w:r>
      <w:r>
        <w:rPr>
          <w:spacing w:val="-14"/>
        </w:rPr>
        <w:t xml:space="preserve"> </w:t>
      </w:r>
      <w:r>
        <w:t>no</w:t>
      </w:r>
      <w:r>
        <w:rPr>
          <w:spacing w:val="-14"/>
        </w:rPr>
        <w:t xml:space="preserve"> </w:t>
      </w:r>
      <w:r>
        <w:t>solo</w:t>
      </w:r>
      <w:r>
        <w:rPr>
          <w:spacing w:val="-15"/>
        </w:rPr>
        <w:t xml:space="preserve"> </w:t>
      </w:r>
      <w:r>
        <w:t>la</w:t>
      </w:r>
      <w:r>
        <w:rPr>
          <w:spacing w:val="-14"/>
        </w:rPr>
        <w:t xml:space="preserve"> </w:t>
      </w:r>
      <w:r>
        <w:t>profundidad</w:t>
      </w:r>
      <w:r>
        <w:rPr>
          <w:spacing w:val="-15"/>
        </w:rPr>
        <w:t xml:space="preserve"> </w:t>
      </w:r>
      <w:r>
        <w:t>del</w:t>
      </w:r>
      <w:r>
        <w:rPr>
          <w:spacing w:val="-14"/>
        </w:rPr>
        <w:t xml:space="preserve"> </w:t>
      </w:r>
      <w:r>
        <w:t>daño,</w:t>
      </w:r>
      <w:r>
        <w:rPr>
          <w:spacing w:val="-15"/>
        </w:rPr>
        <w:t xml:space="preserve"> </w:t>
      </w:r>
      <w:r>
        <w:t>sino</w:t>
      </w:r>
      <w:r>
        <w:rPr>
          <w:spacing w:val="-15"/>
        </w:rPr>
        <w:t xml:space="preserve"> </w:t>
      </w:r>
      <w:r>
        <w:t>además</w:t>
      </w:r>
      <w:r>
        <w:rPr>
          <w:spacing w:val="-15"/>
        </w:rPr>
        <w:t xml:space="preserve"> </w:t>
      </w:r>
      <w:r>
        <w:t>la</w:t>
      </w:r>
      <w:r>
        <w:rPr>
          <w:spacing w:val="-14"/>
        </w:rPr>
        <w:t xml:space="preserve"> </w:t>
      </w:r>
      <w:r>
        <w:t>banalidad</w:t>
      </w:r>
      <w:r>
        <w:rPr>
          <w:spacing w:val="-14"/>
        </w:rPr>
        <w:t xml:space="preserve"> </w:t>
      </w:r>
      <w:r>
        <w:t>de</w:t>
      </w:r>
      <w:r>
        <w:rPr>
          <w:spacing w:val="-15"/>
        </w:rPr>
        <w:t xml:space="preserve"> </w:t>
      </w:r>
      <w:r>
        <w:t>las</w:t>
      </w:r>
      <w:r>
        <w:rPr>
          <w:spacing w:val="-14"/>
        </w:rPr>
        <w:t xml:space="preserve"> </w:t>
      </w:r>
      <w:r>
        <w:t>explicaciones. Para quienes han creído que se trataba de una guerra justa, se esperan héroes. Para quienes piensan</w:t>
      </w:r>
      <w:r>
        <w:rPr>
          <w:spacing w:val="-8"/>
        </w:rPr>
        <w:t xml:space="preserve"> </w:t>
      </w:r>
      <w:r>
        <w:t>que</w:t>
      </w:r>
      <w:r>
        <w:rPr>
          <w:spacing w:val="-9"/>
        </w:rPr>
        <w:t xml:space="preserve"> </w:t>
      </w:r>
      <w:r>
        <w:t>es</w:t>
      </w:r>
      <w:r>
        <w:rPr>
          <w:spacing w:val="-8"/>
        </w:rPr>
        <w:t xml:space="preserve"> </w:t>
      </w:r>
      <w:r>
        <w:t>una</w:t>
      </w:r>
      <w:r>
        <w:rPr>
          <w:spacing w:val="-8"/>
        </w:rPr>
        <w:t xml:space="preserve"> </w:t>
      </w:r>
      <w:r>
        <w:t>guerra</w:t>
      </w:r>
      <w:r>
        <w:rPr>
          <w:spacing w:val="-8"/>
        </w:rPr>
        <w:t xml:space="preserve"> </w:t>
      </w:r>
      <w:r>
        <w:t>injusta,</w:t>
      </w:r>
      <w:r>
        <w:rPr>
          <w:spacing w:val="-9"/>
        </w:rPr>
        <w:t xml:space="preserve"> </w:t>
      </w:r>
      <w:r>
        <w:t>se</w:t>
      </w:r>
      <w:r>
        <w:rPr>
          <w:spacing w:val="-9"/>
        </w:rPr>
        <w:t xml:space="preserve"> </w:t>
      </w:r>
      <w:r>
        <w:t>dirá</w:t>
      </w:r>
      <w:r>
        <w:rPr>
          <w:spacing w:val="-8"/>
        </w:rPr>
        <w:t xml:space="preserve"> </w:t>
      </w:r>
      <w:r>
        <w:t>probablemente</w:t>
      </w:r>
      <w:r>
        <w:rPr>
          <w:spacing w:val="-8"/>
        </w:rPr>
        <w:t xml:space="preserve"> </w:t>
      </w:r>
      <w:r>
        <w:t>que</w:t>
      </w:r>
      <w:r>
        <w:rPr>
          <w:spacing w:val="-9"/>
        </w:rPr>
        <w:t xml:space="preserve"> </w:t>
      </w:r>
      <w:r>
        <w:t>los</w:t>
      </w:r>
      <w:r>
        <w:rPr>
          <w:spacing w:val="-8"/>
        </w:rPr>
        <w:t xml:space="preserve"> </w:t>
      </w:r>
      <w:r>
        <w:t>responsables</w:t>
      </w:r>
      <w:r>
        <w:rPr>
          <w:spacing w:val="-8"/>
        </w:rPr>
        <w:t xml:space="preserve"> </w:t>
      </w:r>
      <w:r>
        <w:t>son</w:t>
      </w:r>
      <w:r>
        <w:rPr>
          <w:spacing w:val="-9"/>
        </w:rPr>
        <w:t xml:space="preserve"> </w:t>
      </w:r>
      <w:r>
        <w:t>psicópatas o terroristas. Pero hay otras lecturas frecuentes, como «ha cumplido con su deber» o «la situación lo llevó a ello». Frente a todo esto, el examen crítico del pasado y una política sostenida de reconocimiento de la verdad y memoria para la no repetición son claves para prevenir la violencia.</w:t>
      </w:r>
    </w:p>
    <w:p w:rsidR="003804AC" w:rsidRDefault="00AF18A5" w:rsidP="00F562FD">
      <w:r>
        <w:lastRenderedPageBreak/>
        <w:t>La falta de evaluación de las violaciones conlleva una exaltación moral de los hechos o de los perpetradores. Las acciones supuestamente heroicas del Ejército mostraron que lo presentado como resultado de la guerra era en realidad una muestra de la barbarie. Las acciones indiscriminadas de las FARC-EP no fueron errores, sino violaciones cometidas contra</w:t>
      </w:r>
      <w:r>
        <w:rPr>
          <w:spacing w:val="-13"/>
        </w:rPr>
        <w:t xml:space="preserve"> </w:t>
      </w:r>
      <w:r>
        <w:t>la</w:t>
      </w:r>
      <w:r>
        <w:rPr>
          <w:spacing w:val="-12"/>
        </w:rPr>
        <w:t xml:space="preserve"> </w:t>
      </w:r>
      <w:r>
        <w:t>población</w:t>
      </w:r>
      <w:r>
        <w:rPr>
          <w:spacing w:val="-12"/>
        </w:rPr>
        <w:t xml:space="preserve"> </w:t>
      </w:r>
      <w:r>
        <w:t>civil.</w:t>
      </w:r>
      <w:r>
        <w:rPr>
          <w:spacing w:val="-12"/>
        </w:rPr>
        <w:t xml:space="preserve"> </w:t>
      </w:r>
      <w:r>
        <w:t>Los</w:t>
      </w:r>
      <w:r>
        <w:rPr>
          <w:spacing w:val="-12"/>
        </w:rPr>
        <w:t xml:space="preserve"> </w:t>
      </w:r>
      <w:r>
        <w:t>horrores</w:t>
      </w:r>
      <w:r>
        <w:rPr>
          <w:spacing w:val="-12"/>
        </w:rPr>
        <w:t xml:space="preserve"> </w:t>
      </w:r>
      <w:r>
        <w:t>cometidos</w:t>
      </w:r>
      <w:r>
        <w:rPr>
          <w:spacing w:val="-12"/>
        </w:rPr>
        <w:t xml:space="preserve"> </w:t>
      </w:r>
      <w:r>
        <w:t>por</w:t>
      </w:r>
      <w:r>
        <w:rPr>
          <w:spacing w:val="-11"/>
        </w:rPr>
        <w:t xml:space="preserve"> </w:t>
      </w:r>
      <w:r>
        <w:t>los</w:t>
      </w:r>
      <w:r>
        <w:rPr>
          <w:spacing w:val="-12"/>
        </w:rPr>
        <w:t xml:space="preserve"> </w:t>
      </w:r>
      <w:r>
        <w:t>paramilitares</w:t>
      </w:r>
      <w:r>
        <w:rPr>
          <w:spacing w:val="-12"/>
        </w:rPr>
        <w:t xml:space="preserve"> </w:t>
      </w:r>
      <w:r>
        <w:t>no</w:t>
      </w:r>
      <w:r>
        <w:rPr>
          <w:spacing w:val="-12"/>
        </w:rPr>
        <w:t xml:space="preserve"> </w:t>
      </w:r>
      <w:r>
        <w:t>tienen</w:t>
      </w:r>
      <w:r>
        <w:rPr>
          <w:spacing w:val="-13"/>
        </w:rPr>
        <w:t xml:space="preserve"> </w:t>
      </w:r>
      <w:r>
        <w:t>justificación alguna y se extendieron mientras eran vistos por el Estado y parte de la sociedad como «un mal menor».</w:t>
      </w:r>
      <w:r>
        <w:rPr>
          <w:spacing w:val="2"/>
        </w:rPr>
        <w:t xml:space="preserve"> </w:t>
      </w:r>
      <w:r>
        <w:t>El</w:t>
      </w:r>
      <w:r>
        <w:rPr>
          <w:spacing w:val="4"/>
        </w:rPr>
        <w:t xml:space="preserve"> </w:t>
      </w:r>
      <w:r>
        <w:t>camino</w:t>
      </w:r>
      <w:r>
        <w:rPr>
          <w:spacing w:val="2"/>
        </w:rPr>
        <w:t xml:space="preserve"> </w:t>
      </w:r>
      <w:r>
        <w:t>del</w:t>
      </w:r>
      <w:r>
        <w:rPr>
          <w:spacing w:val="4"/>
        </w:rPr>
        <w:t xml:space="preserve"> </w:t>
      </w:r>
      <w:r>
        <w:t>reconocimiento</w:t>
      </w:r>
      <w:r>
        <w:rPr>
          <w:spacing w:val="3"/>
        </w:rPr>
        <w:t xml:space="preserve"> </w:t>
      </w:r>
      <w:r>
        <w:t>impulsado</w:t>
      </w:r>
      <w:r>
        <w:rPr>
          <w:spacing w:val="3"/>
        </w:rPr>
        <w:t xml:space="preserve"> </w:t>
      </w:r>
      <w:r>
        <w:t>por</w:t>
      </w:r>
      <w:r>
        <w:rPr>
          <w:spacing w:val="3"/>
        </w:rPr>
        <w:t xml:space="preserve"> </w:t>
      </w:r>
      <w:r>
        <w:t>el</w:t>
      </w:r>
      <w:r>
        <w:rPr>
          <w:spacing w:val="1"/>
        </w:rPr>
        <w:t xml:space="preserve"> </w:t>
      </w:r>
      <w:r>
        <w:t>proceso</w:t>
      </w:r>
      <w:r>
        <w:rPr>
          <w:spacing w:val="3"/>
        </w:rPr>
        <w:t xml:space="preserve"> </w:t>
      </w:r>
      <w:r>
        <w:t>de</w:t>
      </w:r>
      <w:r>
        <w:rPr>
          <w:spacing w:val="4"/>
        </w:rPr>
        <w:t xml:space="preserve"> </w:t>
      </w:r>
      <w:r>
        <w:t>paz</w:t>
      </w:r>
      <w:r>
        <w:rPr>
          <w:spacing w:val="4"/>
        </w:rPr>
        <w:t xml:space="preserve"> </w:t>
      </w:r>
      <w:r>
        <w:t>de</w:t>
      </w:r>
      <w:r>
        <w:rPr>
          <w:spacing w:val="2"/>
        </w:rPr>
        <w:t xml:space="preserve"> </w:t>
      </w:r>
      <w:r>
        <w:t>llamar</w:t>
      </w:r>
      <w:r>
        <w:rPr>
          <w:spacing w:val="3"/>
        </w:rPr>
        <w:t xml:space="preserve"> </w:t>
      </w:r>
      <w:r>
        <w:t>a</w:t>
      </w:r>
      <w:r>
        <w:rPr>
          <w:spacing w:val="4"/>
        </w:rPr>
        <w:t xml:space="preserve"> </w:t>
      </w:r>
      <w:r>
        <w:rPr>
          <w:spacing w:val="-5"/>
        </w:rPr>
        <w:t>las</w:t>
      </w:r>
      <w:r w:rsidR="00F562FD">
        <w:rPr>
          <w:spacing w:val="-5"/>
        </w:rPr>
        <w:t xml:space="preserve"> </w:t>
      </w:r>
      <w:r>
        <w:t>cosas por su nombre y mirarse en el espejo de la verdad será saludable para Colombia y contribuirá a la democracia y a la despolarización.</w:t>
      </w:r>
    </w:p>
    <w:p w:rsidR="0011361F" w:rsidRDefault="00AF18A5" w:rsidP="004A6EF4">
      <w:pPr>
        <w:pStyle w:val="Ttulo3"/>
        <w:numPr>
          <w:ilvl w:val="2"/>
          <w:numId w:val="18"/>
        </w:numPr>
      </w:pPr>
      <w:bookmarkStart w:id="95" w:name="1.4.6_Despolarizar_las_actitudes_y_creen"/>
      <w:bookmarkStart w:id="96" w:name="_Toc112399544"/>
      <w:bookmarkEnd w:id="95"/>
      <w:r w:rsidRPr="00F562FD">
        <w:t>Despolarizar</w:t>
      </w:r>
      <w:r>
        <w:rPr>
          <w:spacing w:val="-3"/>
        </w:rPr>
        <w:t xml:space="preserve"> </w:t>
      </w:r>
      <w:r>
        <w:t>las</w:t>
      </w:r>
      <w:r>
        <w:rPr>
          <w:spacing w:val="-2"/>
        </w:rPr>
        <w:t xml:space="preserve"> </w:t>
      </w:r>
      <w:r>
        <w:t>actitudes</w:t>
      </w:r>
      <w:r>
        <w:rPr>
          <w:spacing w:val="-2"/>
        </w:rPr>
        <w:t xml:space="preserve"> </w:t>
      </w:r>
      <w:r>
        <w:t>y</w:t>
      </w:r>
      <w:r>
        <w:rPr>
          <w:spacing w:val="-4"/>
        </w:rPr>
        <w:t xml:space="preserve"> </w:t>
      </w:r>
      <w:r>
        <w:rPr>
          <w:spacing w:val="-2"/>
        </w:rPr>
        <w:t>creencias</w:t>
      </w:r>
      <w:bookmarkEnd w:id="96"/>
    </w:p>
    <w:p w:rsidR="003804AC" w:rsidRDefault="00AF18A5" w:rsidP="00F562FD">
      <w:r>
        <w:t>El papel de los medios de comunicación ha sido clave en</w:t>
      </w:r>
      <w:r>
        <w:rPr>
          <w:spacing w:val="-1"/>
        </w:rPr>
        <w:t xml:space="preserve"> </w:t>
      </w:r>
      <w:r>
        <w:t>la</w:t>
      </w:r>
      <w:r>
        <w:rPr>
          <w:spacing w:val="-1"/>
        </w:rPr>
        <w:t xml:space="preserve"> </w:t>
      </w:r>
      <w:r>
        <w:t>investigación</w:t>
      </w:r>
      <w:r>
        <w:rPr>
          <w:spacing w:val="-1"/>
        </w:rPr>
        <w:t xml:space="preserve"> </w:t>
      </w:r>
      <w:r>
        <w:t>de las violaciones de derechos humanos y del DIH, pero también lo ha sido en la reproducción de los estereotipos que contribuyen frecuentemente a la polarización social. Las maneras de hacer esto</w:t>
      </w:r>
      <w:r>
        <w:rPr>
          <w:spacing w:val="-5"/>
        </w:rPr>
        <w:t xml:space="preserve"> </w:t>
      </w:r>
      <w:r>
        <w:t>son</w:t>
      </w:r>
      <w:r>
        <w:rPr>
          <w:spacing w:val="-5"/>
        </w:rPr>
        <w:t xml:space="preserve"> </w:t>
      </w:r>
      <w:r>
        <w:t>la</w:t>
      </w:r>
      <w:r>
        <w:rPr>
          <w:spacing w:val="-5"/>
        </w:rPr>
        <w:t xml:space="preserve"> </w:t>
      </w:r>
      <w:r>
        <w:t>representación</w:t>
      </w:r>
      <w:r>
        <w:rPr>
          <w:spacing w:val="-5"/>
        </w:rPr>
        <w:t xml:space="preserve"> </w:t>
      </w:r>
      <w:r>
        <w:t>dominante</w:t>
      </w:r>
      <w:r>
        <w:rPr>
          <w:spacing w:val="-6"/>
        </w:rPr>
        <w:t xml:space="preserve"> </w:t>
      </w:r>
      <w:r>
        <w:t>de</w:t>
      </w:r>
      <w:r>
        <w:rPr>
          <w:spacing w:val="-5"/>
        </w:rPr>
        <w:t xml:space="preserve"> </w:t>
      </w:r>
      <w:r>
        <w:t>unas</w:t>
      </w:r>
      <w:r>
        <w:rPr>
          <w:spacing w:val="-5"/>
        </w:rPr>
        <w:t xml:space="preserve"> </w:t>
      </w:r>
      <w:r>
        <w:t>violencias</w:t>
      </w:r>
      <w:r>
        <w:rPr>
          <w:spacing w:val="-6"/>
        </w:rPr>
        <w:t xml:space="preserve"> </w:t>
      </w:r>
      <w:r>
        <w:t>frente</w:t>
      </w:r>
      <w:r>
        <w:rPr>
          <w:spacing w:val="-6"/>
        </w:rPr>
        <w:t xml:space="preserve"> </w:t>
      </w:r>
      <w:r>
        <w:t>a</w:t>
      </w:r>
      <w:r>
        <w:rPr>
          <w:spacing w:val="-5"/>
        </w:rPr>
        <w:t xml:space="preserve"> </w:t>
      </w:r>
      <w:r>
        <w:t>la</w:t>
      </w:r>
      <w:r>
        <w:rPr>
          <w:spacing w:val="-5"/>
        </w:rPr>
        <w:t xml:space="preserve"> </w:t>
      </w:r>
      <w:r>
        <w:t>minimización</w:t>
      </w:r>
      <w:r>
        <w:rPr>
          <w:spacing w:val="-5"/>
        </w:rPr>
        <w:t xml:space="preserve"> </w:t>
      </w:r>
      <w:r>
        <w:t>de</w:t>
      </w:r>
      <w:r>
        <w:rPr>
          <w:spacing w:val="-5"/>
        </w:rPr>
        <w:t xml:space="preserve"> </w:t>
      </w:r>
      <w:r>
        <w:t>otras,</w:t>
      </w:r>
      <w:r>
        <w:rPr>
          <w:spacing w:val="-5"/>
        </w:rPr>
        <w:t xml:space="preserve"> </w:t>
      </w:r>
      <w:r>
        <w:t>el uso de pánicos morales («es una humillación a las víctimas», «es una traición a la patria»), la estigmatización con categorías de enemigo («no hay diálogo con terroristas») o la tergiversación</w:t>
      </w:r>
      <w:r>
        <w:rPr>
          <w:spacing w:val="-8"/>
        </w:rPr>
        <w:t xml:space="preserve"> </w:t>
      </w:r>
      <w:r>
        <w:t>de</w:t>
      </w:r>
      <w:r>
        <w:rPr>
          <w:spacing w:val="-8"/>
        </w:rPr>
        <w:t xml:space="preserve"> </w:t>
      </w:r>
      <w:r>
        <w:t>las</w:t>
      </w:r>
      <w:r>
        <w:rPr>
          <w:spacing w:val="-8"/>
        </w:rPr>
        <w:t xml:space="preserve"> </w:t>
      </w:r>
      <w:r>
        <w:t>situaciones</w:t>
      </w:r>
      <w:r>
        <w:rPr>
          <w:spacing w:val="-8"/>
        </w:rPr>
        <w:t xml:space="preserve"> </w:t>
      </w:r>
      <w:r>
        <w:t>utilizando</w:t>
      </w:r>
      <w:r>
        <w:rPr>
          <w:spacing w:val="-8"/>
        </w:rPr>
        <w:t xml:space="preserve"> </w:t>
      </w:r>
      <w:r>
        <w:t>elementos</w:t>
      </w:r>
      <w:r>
        <w:rPr>
          <w:spacing w:val="-8"/>
        </w:rPr>
        <w:t xml:space="preserve"> </w:t>
      </w:r>
      <w:r>
        <w:t>emocionales</w:t>
      </w:r>
      <w:r>
        <w:rPr>
          <w:spacing w:val="-8"/>
        </w:rPr>
        <w:t xml:space="preserve"> </w:t>
      </w:r>
      <w:r>
        <w:t>(«es</w:t>
      </w:r>
      <w:r>
        <w:rPr>
          <w:spacing w:val="-9"/>
        </w:rPr>
        <w:t xml:space="preserve"> </w:t>
      </w:r>
      <w:r>
        <w:t>un</w:t>
      </w:r>
      <w:r>
        <w:rPr>
          <w:spacing w:val="-8"/>
        </w:rPr>
        <w:t xml:space="preserve"> </w:t>
      </w:r>
      <w:r>
        <w:t>engaño»,</w:t>
      </w:r>
      <w:r>
        <w:rPr>
          <w:spacing w:val="-8"/>
        </w:rPr>
        <w:t xml:space="preserve"> </w:t>
      </w:r>
      <w:r>
        <w:t>«se</w:t>
      </w:r>
      <w:r>
        <w:rPr>
          <w:spacing w:val="-8"/>
        </w:rPr>
        <w:t xml:space="preserve"> </w:t>
      </w:r>
      <w:r>
        <w:t>van a tomar el poder»).</w:t>
      </w:r>
    </w:p>
    <w:p w:rsidR="003804AC" w:rsidRDefault="00AF18A5" w:rsidP="00F562FD">
      <w:r>
        <w:t xml:space="preserve">Frecuentemente los medios </w:t>
      </w:r>
      <w:r w:rsidR="00F562FD">
        <w:t>sobre representan</w:t>
      </w:r>
      <w:r>
        <w:t xml:space="preserve"> dicha polarización política como si no existieran factores de cohesión social, experiencias de diálogo o de reencuentro con el otro. Y esa sobrerrepresentación tiende a plantearse como «la realidad» dado que opera socialmente y se </w:t>
      </w:r>
      <w:r>
        <w:lastRenderedPageBreak/>
        <w:t>reproduce en comentarios, opiniones, revistas y artículos, recreando la realidad como una sola o sobredimensionando algunas realidades sobre otras. Los medios tienen una enorme responsabilidad, no solo deben brindar la información fidedigna y comprobable y ofrecer distintos puntos de vista, sino también deben evitar la reproducción de tabúes (aquello de lo que no se puede hablar), el lenguaje valorativo y los prejuicios o la difusión de estereotipos del enemigo; además, deben proporcionar información sobre experiencias positivas de encuentro o reparación.</w:t>
      </w:r>
    </w:p>
    <w:p w:rsidR="003804AC" w:rsidRDefault="00AF18A5" w:rsidP="00F562FD">
      <w:r>
        <w:t>Para contribuir a la despolarización social, el cambio parte de fortalecer un compromiso de</w:t>
      </w:r>
      <w:r>
        <w:rPr>
          <w:spacing w:val="-12"/>
        </w:rPr>
        <w:t xml:space="preserve"> </w:t>
      </w:r>
      <w:r>
        <w:t>los</w:t>
      </w:r>
      <w:r>
        <w:rPr>
          <w:spacing w:val="-12"/>
        </w:rPr>
        <w:t xml:space="preserve"> </w:t>
      </w:r>
      <w:r>
        <w:t>medios</w:t>
      </w:r>
      <w:r>
        <w:rPr>
          <w:spacing w:val="-12"/>
        </w:rPr>
        <w:t xml:space="preserve"> </w:t>
      </w:r>
      <w:r>
        <w:t>de</w:t>
      </w:r>
      <w:r>
        <w:rPr>
          <w:spacing w:val="-12"/>
        </w:rPr>
        <w:t xml:space="preserve"> </w:t>
      </w:r>
      <w:r>
        <w:t>comunicación</w:t>
      </w:r>
      <w:r>
        <w:rPr>
          <w:spacing w:val="-12"/>
        </w:rPr>
        <w:t xml:space="preserve"> </w:t>
      </w:r>
      <w:r>
        <w:t>y</w:t>
      </w:r>
      <w:r>
        <w:rPr>
          <w:spacing w:val="-12"/>
        </w:rPr>
        <w:t xml:space="preserve"> </w:t>
      </w:r>
      <w:r>
        <w:t>de</w:t>
      </w:r>
      <w:r>
        <w:rPr>
          <w:spacing w:val="-12"/>
        </w:rPr>
        <w:t xml:space="preserve"> </w:t>
      </w:r>
      <w:r>
        <w:t>los</w:t>
      </w:r>
      <w:r>
        <w:rPr>
          <w:spacing w:val="-12"/>
        </w:rPr>
        <w:t xml:space="preserve"> </w:t>
      </w:r>
      <w:r>
        <w:t>ciudadanos</w:t>
      </w:r>
      <w:r>
        <w:rPr>
          <w:spacing w:val="-12"/>
        </w:rPr>
        <w:t xml:space="preserve"> </w:t>
      </w:r>
      <w:r>
        <w:t>en</w:t>
      </w:r>
      <w:r>
        <w:rPr>
          <w:spacing w:val="-12"/>
        </w:rPr>
        <w:t xml:space="preserve"> </w:t>
      </w:r>
      <w:r>
        <w:t>la</w:t>
      </w:r>
      <w:r>
        <w:rPr>
          <w:spacing w:val="-12"/>
        </w:rPr>
        <w:t xml:space="preserve"> </w:t>
      </w:r>
      <w:r>
        <w:t>comunicación</w:t>
      </w:r>
      <w:r>
        <w:rPr>
          <w:spacing w:val="-12"/>
        </w:rPr>
        <w:t xml:space="preserve"> </w:t>
      </w:r>
      <w:r>
        <w:t>directa</w:t>
      </w:r>
      <w:r>
        <w:rPr>
          <w:spacing w:val="-12"/>
        </w:rPr>
        <w:t xml:space="preserve"> </w:t>
      </w:r>
      <w:r>
        <w:t>a</w:t>
      </w:r>
      <w:r>
        <w:rPr>
          <w:spacing w:val="-12"/>
        </w:rPr>
        <w:t xml:space="preserve"> </w:t>
      </w:r>
      <w:r>
        <w:t>la</w:t>
      </w:r>
      <w:r>
        <w:rPr>
          <w:spacing w:val="-12"/>
        </w:rPr>
        <w:t xml:space="preserve"> </w:t>
      </w:r>
      <w:r>
        <w:t>que</w:t>
      </w:r>
      <w:r>
        <w:rPr>
          <w:spacing w:val="-12"/>
        </w:rPr>
        <w:t xml:space="preserve"> </w:t>
      </w:r>
      <w:r>
        <w:t>todos tenemos hoy acceso, ya sea la de los medios propios de comunicación a través del chat con personas</w:t>
      </w:r>
      <w:r>
        <w:rPr>
          <w:spacing w:val="-7"/>
        </w:rPr>
        <w:t xml:space="preserve"> </w:t>
      </w:r>
      <w:r>
        <w:t>o</w:t>
      </w:r>
      <w:r>
        <w:rPr>
          <w:spacing w:val="-7"/>
        </w:rPr>
        <w:t xml:space="preserve"> </w:t>
      </w:r>
      <w:r>
        <w:t>grupos</w:t>
      </w:r>
      <w:r>
        <w:rPr>
          <w:spacing w:val="-7"/>
        </w:rPr>
        <w:t xml:space="preserve"> </w:t>
      </w:r>
      <w:r>
        <w:t>cercanos,</w:t>
      </w:r>
      <w:r>
        <w:rPr>
          <w:spacing w:val="-7"/>
        </w:rPr>
        <w:t xml:space="preserve"> </w:t>
      </w:r>
      <w:r>
        <w:t>o</w:t>
      </w:r>
      <w:r>
        <w:rPr>
          <w:spacing w:val="-7"/>
        </w:rPr>
        <w:t xml:space="preserve"> </w:t>
      </w:r>
      <w:r>
        <w:t>con</w:t>
      </w:r>
      <w:r>
        <w:rPr>
          <w:spacing w:val="-7"/>
        </w:rPr>
        <w:t xml:space="preserve"> </w:t>
      </w:r>
      <w:r>
        <w:t>redes</w:t>
      </w:r>
      <w:r>
        <w:rPr>
          <w:spacing w:val="-7"/>
        </w:rPr>
        <w:t xml:space="preserve"> </w:t>
      </w:r>
      <w:r>
        <w:t>sociales</w:t>
      </w:r>
      <w:r>
        <w:rPr>
          <w:spacing w:val="-7"/>
        </w:rPr>
        <w:t xml:space="preserve"> </w:t>
      </w:r>
      <w:r>
        <w:t>como</w:t>
      </w:r>
      <w:r>
        <w:rPr>
          <w:spacing w:val="-7"/>
        </w:rPr>
        <w:t xml:space="preserve"> </w:t>
      </w:r>
      <w:r>
        <w:t>Facebook</w:t>
      </w:r>
      <w:r>
        <w:rPr>
          <w:spacing w:val="-7"/>
        </w:rPr>
        <w:t xml:space="preserve"> </w:t>
      </w:r>
      <w:r>
        <w:t>o</w:t>
      </w:r>
      <w:r>
        <w:rPr>
          <w:spacing w:val="-7"/>
        </w:rPr>
        <w:t xml:space="preserve"> </w:t>
      </w:r>
      <w:r>
        <w:t>Twitter</w:t>
      </w:r>
      <w:r>
        <w:rPr>
          <w:spacing w:val="-8"/>
        </w:rPr>
        <w:t xml:space="preserve"> </w:t>
      </w:r>
      <w:r>
        <w:t>por</w:t>
      </w:r>
      <w:r>
        <w:rPr>
          <w:spacing w:val="-7"/>
        </w:rPr>
        <w:t xml:space="preserve"> </w:t>
      </w:r>
      <w:r>
        <w:t>donde</w:t>
      </w:r>
      <w:r>
        <w:rPr>
          <w:spacing w:val="-7"/>
        </w:rPr>
        <w:t xml:space="preserve"> </w:t>
      </w:r>
      <w:r>
        <w:t>corren frecuentemente el odio y la estigmatización. Hay cosas que pueden cambiar muy rápido en un</w:t>
      </w:r>
      <w:r>
        <w:rPr>
          <w:spacing w:val="4"/>
        </w:rPr>
        <w:t xml:space="preserve"> </w:t>
      </w:r>
      <w:r>
        <w:t>proceso</w:t>
      </w:r>
      <w:r>
        <w:rPr>
          <w:spacing w:val="6"/>
        </w:rPr>
        <w:t xml:space="preserve"> </w:t>
      </w:r>
      <w:r>
        <w:t>de</w:t>
      </w:r>
      <w:r>
        <w:rPr>
          <w:spacing w:val="7"/>
        </w:rPr>
        <w:t xml:space="preserve"> </w:t>
      </w:r>
      <w:r>
        <w:t>paz</w:t>
      </w:r>
      <w:r>
        <w:rPr>
          <w:spacing w:val="6"/>
        </w:rPr>
        <w:t xml:space="preserve"> </w:t>
      </w:r>
      <w:r>
        <w:t>cuando</w:t>
      </w:r>
      <w:r>
        <w:rPr>
          <w:spacing w:val="7"/>
        </w:rPr>
        <w:t xml:space="preserve"> </w:t>
      </w:r>
      <w:r>
        <w:t>cambian</w:t>
      </w:r>
      <w:r>
        <w:rPr>
          <w:spacing w:val="6"/>
        </w:rPr>
        <w:t xml:space="preserve"> </w:t>
      </w:r>
      <w:r>
        <w:t>las</w:t>
      </w:r>
      <w:r>
        <w:rPr>
          <w:spacing w:val="7"/>
        </w:rPr>
        <w:t xml:space="preserve"> </w:t>
      </w:r>
      <w:r>
        <w:t>condiciones</w:t>
      </w:r>
      <w:r>
        <w:rPr>
          <w:spacing w:val="6"/>
        </w:rPr>
        <w:t xml:space="preserve"> </w:t>
      </w:r>
      <w:r>
        <w:t>y</w:t>
      </w:r>
      <w:r>
        <w:rPr>
          <w:spacing w:val="7"/>
        </w:rPr>
        <w:t xml:space="preserve"> </w:t>
      </w:r>
      <w:r>
        <w:t>se</w:t>
      </w:r>
      <w:r>
        <w:rPr>
          <w:spacing w:val="6"/>
        </w:rPr>
        <w:t xml:space="preserve"> </w:t>
      </w:r>
      <w:r>
        <w:t>tiene</w:t>
      </w:r>
      <w:r>
        <w:rPr>
          <w:spacing w:val="6"/>
        </w:rPr>
        <w:t xml:space="preserve"> </w:t>
      </w:r>
      <w:r>
        <w:t>voluntad</w:t>
      </w:r>
      <w:r>
        <w:rPr>
          <w:spacing w:val="7"/>
        </w:rPr>
        <w:t xml:space="preserve"> </w:t>
      </w:r>
      <w:r>
        <w:t>política,</w:t>
      </w:r>
      <w:r>
        <w:rPr>
          <w:spacing w:val="6"/>
        </w:rPr>
        <w:t xml:space="preserve"> </w:t>
      </w:r>
      <w:r>
        <w:t>como</w:t>
      </w:r>
      <w:r>
        <w:rPr>
          <w:spacing w:val="7"/>
        </w:rPr>
        <w:t xml:space="preserve"> </w:t>
      </w:r>
      <w:r>
        <w:rPr>
          <w:spacing w:val="-4"/>
        </w:rPr>
        <w:t>pudo</w:t>
      </w:r>
    </w:p>
    <w:p w:rsidR="003804AC" w:rsidRDefault="00AF18A5" w:rsidP="00F562FD">
      <w:r>
        <w:t>verse en el primer año del acuerdo de paz con las FARC-EP, pero también es fácil volver a los viejos esquemas que se han mantenido durante mucho tiempo.</w:t>
      </w:r>
    </w:p>
    <w:p w:rsidR="0011361F" w:rsidRPr="00F562FD" w:rsidRDefault="00AF18A5" w:rsidP="004A6EF4">
      <w:pPr>
        <w:pStyle w:val="Ttulo3"/>
        <w:numPr>
          <w:ilvl w:val="2"/>
          <w:numId w:val="18"/>
        </w:numPr>
      </w:pPr>
      <w:bookmarkStart w:id="97" w:name="1.4.7_Los_procesos_territoriales"/>
      <w:bookmarkStart w:id="98" w:name="_Toc112399545"/>
      <w:bookmarkEnd w:id="97"/>
      <w:r w:rsidRPr="00F562FD">
        <w:t>Los procesos territoriales</w:t>
      </w:r>
      <w:bookmarkEnd w:id="98"/>
    </w:p>
    <w:p w:rsidR="003804AC" w:rsidRDefault="00AF18A5" w:rsidP="005872A8">
      <w:r>
        <w:t xml:space="preserve">Si bien una Comisión de la Verdad genera un proceso colectivo de ámbito nacional, los tiempos nacionales y locales no van al mismo ritmo, ni siguen las mismas reglas. La </w:t>
      </w:r>
      <w:r>
        <w:rPr>
          <w:spacing w:val="-2"/>
        </w:rPr>
        <w:t>Comisión</w:t>
      </w:r>
      <w:r>
        <w:rPr>
          <w:spacing w:val="-8"/>
        </w:rPr>
        <w:t xml:space="preserve"> </w:t>
      </w:r>
      <w:r>
        <w:rPr>
          <w:spacing w:val="-2"/>
        </w:rPr>
        <w:t>es</w:t>
      </w:r>
      <w:r>
        <w:rPr>
          <w:spacing w:val="-8"/>
        </w:rPr>
        <w:t xml:space="preserve"> </w:t>
      </w:r>
      <w:r>
        <w:rPr>
          <w:spacing w:val="-2"/>
        </w:rPr>
        <w:t>testigo</w:t>
      </w:r>
      <w:r>
        <w:rPr>
          <w:spacing w:val="-7"/>
        </w:rPr>
        <w:t xml:space="preserve"> </w:t>
      </w:r>
      <w:r>
        <w:rPr>
          <w:spacing w:val="-2"/>
        </w:rPr>
        <w:t>de</w:t>
      </w:r>
      <w:r>
        <w:rPr>
          <w:spacing w:val="-8"/>
        </w:rPr>
        <w:t xml:space="preserve"> </w:t>
      </w:r>
      <w:r>
        <w:rPr>
          <w:spacing w:val="-2"/>
        </w:rPr>
        <w:t>cómo</w:t>
      </w:r>
      <w:r>
        <w:rPr>
          <w:spacing w:val="-7"/>
        </w:rPr>
        <w:t xml:space="preserve"> </w:t>
      </w:r>
      <w:r>
        <w:rPr>
          <w:spacing w:val="-2"/>
        </w:rPr>
        <w:t>la</w:t>
      </w:r>
      <w:r>
        <w:rPr>
          <w:spacing w:val="-8"/>
        </w:rPr>
        <w:t xml:space="preserve"> </w:t>
      </w:r>
      <w:r>
        <w:rPr>
          <w:spacing w:val="-2"/>
        </w:rPr>
        <w:t>situación</w:t>
      </w:r>
      <w:r>
        <w:rPr>
          <w:spacing w:val="-7"/>
        </w:rPr>
        <w:t xml:space="preserve"> </w:t>
      </w:r>
      <w:r>
        <w:rPr>
          <w:spacing w:val="-2"/>
        </w:rPr>
        <w:t>en</w:t>
      </w:r>
      <w:r>
        <w:rPr>
          <w:spacing w:val="-7"/>
        </w:rPr>
        <w:t xml:space="preserve"> </w:t>
      </w:r>
      <w:r>
        <w:rPr>
          <w:spacing w:val="-2"/>
        </w:rPr>
        <w:t>muchos</w:t>
      </w:r>
      <w:r>
        <w:rPr>
          <w:spacing w:val="-7"/>
        </w:rPr>
        <w:t xml:space="preserve"> </w:t>
      </w:r>
      <w:r>
        <w:rPr>
          <w:spacing w:val="-2"/>
        </w:rPr>
        <w:t>territorios</w:t>
      </w:r>
      <w:r>
        <w:rPr>
          <w:spacing w:val="-8"/>
        </w:rPr>
        <w:t xml:space="preserve"> </w:t>
      </w:r>
      <w:r>
        <w:rPr>
          <w:spacing w:val="-2"/>
        </w:rPr>
        <w:t>del</w:t>
      </w:r>
      <w:r>
        <w:rPr>
          <w:spacing w:val="-6"/>
        </w:rPr>
        <w:t xml:space="preserve"> </w:t>
      </w:r>
      <w:r>
        <w:rPr>
          <w:spacing w:val="-2"/>
        </w:rPr>
        <w:t>país</w:t>
      </w:r>
      <w:r>
        <w:rPr>
          <w:spacing w:val="-7"/>
        </w:rPr>
        <w:t xml:space="preserve"> </w:t>
      </w:r>
      <w:r>
        <w:rPr>
          <w:spacing w:val="-2"/>
        </w:rPr>
        <w:t>–después</w:t>
      </w:r>
      <w:r>
        <w:rPr>
          <w:spacing w:val="-7"/>
        </w:rPr>
        <w:t xml:space="preserve"> </w:t>
      </w:r>
      <w:r>
        <w:rPr>
          <w:spacing w:val="-2"/>
        </w:rPr>
        <w:t>de</w:t>
      </w:r>
      <w:r>
        <w:rPr>
          <w:spacing w:val="-7"/>
        </w:rPr>
        <w:t xml:space="preserve"> </w:t>
      </w:r>
      <w:r>
        <w:rPr>
          <w:spacing w:val="-2"/>
        </w:rPr>
        <w:t>un</w:t>
      </w:r>
      <w:r>
        <w:rPr>
          <w:spacing w:val="-7"/>
        </w:rPr>
        <w:t xml:space="preserve"> </w:t>
      </w:r>
      <w:r>
        <w:rPr>
          <w:spacing w:val="-2"/>
        </w:rPr>
        <w:t xml:space="preserve">primer </w:t>
      </w:r>
      <w:r>
        <w:t>año</w:t>
      </w:r>
      <w:r>
        <w:rPr>
          <w:spacing w:val="-13"/>
        </w:rPr>
        <w:t xml:space="preserve"> </w:t>
      </w:r>
      <w:r>
        <w:t>en</w:t>
      </w:r>
      <w:r>
        <w:rPr>
          <w:spacing w:val="-13"/>
        </w:rPr>
        <w:t xml:space="preserve"> </w:t>
      </w:r>
      <w:r>
        <w:t>que</w:t>
      </w:r>
      <w:r>
        <w:rPr>
          <w:spacing w:val="-14"/>
        </w:rPr>
        <w:t xml:space="preserve"> </w:t>
      </w:r>
      <w:r>
        <w:t>las</w:t>
      </w:r>
      <w:r>
        <w:rPr>
          <w:spacing w:val="-13"/>
        </w:rPr>
        <w:t xml:space="preserve"> </w:t>
      </w:r>
      <w:r>
        <w:t>comunidades</w:t>
      </w:r>
      <w:r>
        <w:rPr>
          <w:spacing w:val="-13"/>
        </w:rPr>
        <w:t xml:space="preserve"> </w:t>
      </w:r>
      <w:r>
        <w:t>empezaron</w:t>
      </w:r>
      <w:r>
        <w:rPr>
          <w:spacing w:val="-13"/>
        </w:rPr>
        <w:t xml:space="preserve"> </w:t>
      </w:r>
      <w:r>
        <w:t>a</w:t>
      </w:r>
      <w:r>
        <w:rPr>
          <w:spacing w:val="-13"/>
        </w:rPr>
        <w:t xml:space="preserve"> </w:t>
      </w:r>
      <w:r>
        <w:t>sentir</w:t>
      </w:r>
      <w:r>
        <w:rPr>
          <w:spacing w:val="-13"/>
        </w:rPr>
        <w:t xml:space="preserve"> </w:t>
      </w:r>
      <w:r>
        <w:t>una</w:t>
      </w:r>
      <w:r>
        <w:rPr>
          <w:spacing w:val="-13"/>
        </w:rPr>
        <w:t xml:space="preserve"> </w:t>
      </w:r>
      <w:r>
        <w:t>disminución</w:t>
      </w:r>
      <w:r>
        <w:rPr>
          <w:spacing w:val="-13"/>
        </w:rPr>
        <w:t xml:space="preserve"> </w:t>
      </w:r>
      <w:r>
        <w:t>de</w:t>
      </w:r>
      <w:r>
        <w:rPr>
          <w:spacing w:val="-14"/>
        </w:rPr>
        <w:t xml:space="preserve"> </w:t>
      </w:r>
      <w:r>
        <w:t>la</w:t>
      </w:r>
      <w:r>
        <w:rPr>
          <w:spacing w:val="-13"/>
        </w:rPr>
        <w:t xml:space="preserve"> </w:t>
      </w:r>
      <w:r>
        <w:t>violencia</w:t>
      </w:r>
      <w:r>
        <w:rPr>
          <w:spacing w:val="-14"/>
        </w:rPr>
        <w:t xml:space="preserve"> </w:t>
      </w:r>
      <w:r>
        <w:t>y</w:t>
      </w:r>
      <w:r>
        <w:rPr>
          <w:spacing w:val="-13"/>
        </w:rPr>
        <w:t xml:space="preserve"> </w:t>
      </w:r>
      <w:r>
        <w:t>una</w:t>
      </w:r>
      <w:r>
        <w:rPr>
          <w:spacing w:val="-15"/>
        </w:rPr>
        <w:t xml:space="preserve"> </w:t>
      </w:r>
      <w:r>
        <w:t>mejora de</w:t>
      </w:r>
      <w:r>
        <w:rPr>
          <w:spacing w:val="-10"/>
        </w:rPr>
        <w:t xml:space="preserve"> </w:t>
      </w:r>
      <w:r>
        <w:t>su</w:t>
      </w:r>
      <w:r>
        <w:rPr>
          <w:spacing w:val="-11"/>
        </w:rPr>
        <w:t xml:space="preserve"> </w:t>
      </w:r>
      <w:r>
        <w:t>situación–</w:t>
      </w:r>
      <w:r>
        <w:rPr>
          <w:spacing w:val="-11"/>
        </w:rPr>
        <w:t xml:space="preserve"> </w:t>
      </w:r>
      <w:r>
        <w:t>empeoró</w:t>
      </w:r>
      <w:r>
        <w:rPr>
          <w:spacing w:val="-11"/>
        </w:rPr>
        <w:t xml:space="preserve"> </w:t>
      </w:r>
      <w:r>
        <w:t>sus</w:t>
      </w:r>
      <w:r>
        <w:rPr>
          <w:spacing w:val="-10"/>
        </w:rPr>
        <w:t xml:space="preserve"> </w:t>
      </w:r>
      <w:r>
        <w:t>condiciones</w:t>
      </w:r>
      <w:r>
        <w:rPr>
          <w:spacing w:val="-10"/>
        </w:rPr>
        <w:t xml:space="preserve"> </w:t>
      </w:r>
      <w:r>
        <w:t>de</w:t>
      </w:r>
      <w:r>
        <w:rPr>
          <w:spacing w:val="-10"/>
        </w:rPr>
        <w:t xml:space="preserve"> </w:t>
      </w:r>
      <w:r>
        <w:t>seguridad,</w:t>
      </w:r>
      <w:r>
        <w:rPr>
          <w:spacing w:val="-11"/>
        </w:rPr>
        <w:t xml:space="preserve"> </w:t>
      </w:r>
      <w:r>
        <w:t>por</w:t>
      </w:r>
      <w:r>
        <w:rPr>
          <w:spacing w:val="-11"/>
        </w:rPr>
        <w:t xml:space="preserve"> </w:t>
      </w:r>
      <w:r>
        <w:t>el</w:t>
      </w:r>
      <w:r>
        <w:rPr>
          <w:spacing w:val="-10"/>
        </w:rPr>
        <w:t xml:space="preserve"> </w:t>
      </w:r>
      <w:r>
        <w:lastRenderedPageBreak/>
        <w:t>cuestionamiento</w:t>
      </w:r>
      <w:r>
        <w:rPr>
          <w:spacing w:val="-11"/>
        </w:rPr>
        <w:t xml:space="preserve"> </w:t>
      </w:r>
      <w:r>
        <w:t>al</w:t>
      </w:r>
      <w:r>
        <w:rPr>
          <w:spacing w:val="-10"/>
        </w:rPr>
        <w:t xml:space="preserve"> </w:t>
      </w:r>
      <w:r>
        <w:t>proceso</w:t>
      </w:r>
      <w:r>
        <w:rPr>
          <w:spacing w:val="-11"/>
        </w:rPr>
        <w:t xml:space="preserve"> </w:t>
      </w:r>
      <w:r>
        <w:t>de paz, la lenta respuesta de un Estado civil para llegar a los territorios, la ausencia de una política</w:t>
      </w:r>
      <w:r>
        <w:rPr>
          <w:spacing w:val="-2"/>
        </w:rPr>
        <w:t xml:space="preserve"> </w:t>
      </w:r>
      <w:r>
        <w:t>territorial</w:t>
      </w:r>
      <w:r>
        <w:rPr>
          <w:spacing w:val="-1"/>
        </w:rPr>
        <w:t xml:space="preserve"> </w:t>
      </w:r>
      <w:r>
        <w:t>de</w:t>
      </w:r>
      <w:r>
        <w:rPr>
          <w:spacing w:val="-2"/>
        </w:rPr>
        <w:t xml:space="preserve"> </w:t>
      </w:r>
      <w:r>
        <w:t>paz</w:t>
      </w:r>
      <w:r>
        <w:rPr>
          <w:spacing w:val="-2"/>
        </w:rPr>
        <w:t xml:space="preserve"> </w:t>
      </w:r>
      <w:r>
        <w:t>de</w:t>
      </w:r>
      <w:r>
        <w:rPr>
          <w:spacing w:val="-1"/>
        </w:rPr>
        <w:t xml:space="preserve"> </w:t>
      </w:r>
      <w:r>
        <w:t>la</w:t>
      </w:r>
      <w:r>
        <w:rPr>
          <w:spacing w:val="-2"/>
        </w:rPr>
        <w:t xml:space="preserve"> </w:t>
      </w:r>
      <w:r>
        <w:t>mano</w:t>
      </w:r>
      <w:r>
        <w:rPr>
          <w:spacing w:val="-4"/>
        </w:rPr>
        <w:t xml:space="preserve"> </w:t>
      </w:r>
      <w:r>
        <w:t>de</w:t>
      </w:r>
      <w:r>
        <w:rPr>
          <w:spacing w:val="-1"/>
        </w:rPr>
        <w:t xml:space="preserve"> </w:t>
      </w:r>
      <w:r>
        <w:t>las</w:t>
      </w:r>
      <w:r>
        <w:rPr>
          <w:spacing w:val="-2"/>
        </w:rPr>
        <w:t xml:space="preserve"> </w:t>
      </w:r>
      <w:r>
        <w:t>comunidades</w:t>
      </w:r>
      <w:r>
        <w:rPr>
          <w:spacing w:val="-1"/>
        </w:rPr>
        <w:t xml:space="preserve"> </w:t>
      </w:r>
      <w:r>
        <w:t>–como</w:t>
      </w:r>
      <w:r>
        <w:rPr>
          <w:spacing w:val="-1"/>
        </w:rPr>
        <w:t xml:space="preserve"> </w:t>
      </w:r>
      <w:r>
        <w:t>es</w:t>
      </w:r>
      <w:r>
        <w:rPr>
          <w:spacing w:val="-2"/>
        </w:rPr>
        <w:t xml:space="preserve"> </w:t>
      </w:r>
      <w:r>
        <w:t>el</w:t>
      </w:r>
      <w:r>
        <w:rPr>
          <w:spacing w:val="-2"/>
        </w:rPr>
        <w:t xml:space="preserve"> </w:t>
      </w:r>
      <w:r>
        <w:t>caso</w:t>
      </w:r>
      <w:r>
        <w:rPr>
          <w:spacing w:val="-1"/>
        </w:rPr>
        <w:t xml:space="preserve"> </w:t>
      </w:r>
      <w:r>
        <w:t>de</w:t>
      </w:r>
      <w:r>
        <w:rPr>
          <w:spacing w:val="-1"/>
        </w:rPr>
        <w:t xml:space="preserve"> </w:t>
      </w:r>
      <w:r>
        <w:t>los</w:t>
      </w:r>
      <w:r>
        <w:rPr>
          <w:spacing w:val="-2"/>
        </w:rPr>
        <w:t xml:space="preserve"> </w:t>
      </w:r>
      <w:r>
        <w:t>Programas de Desarrollo con Enfoque Territorial (PDET), que deben llevarse a una política amplia en las regiones– o el quiebre de iniciativas que empujaran hacia la ampliación de la paz y mecanismos de sometimiento a la justicia. La paz es territorial o no es paz en Colombia, y esto</w:t>
      </w:r>
      <w:r>
        <w:rPr>
          <w:spacing w:val="-2"/>
        </w:rPr>
        <w:t xml:space="preserve"> </w:t>
      </w:r>
      <w:r>
        <w:t>supone</w:t>
      </w:r>
      <w:r>
        <w:rPr>
          <w:spacing w:val="-4"/>
        </w:rPr>
        <w:t xml:space="preserve"> </w:t>
      </w:r>
      <w:r>
        <w:t>un</w:t>
      </w:r>
      <w:r>
        <w:rPr>
          <w:spacing w:val="-2"/>
        </w:rPr>
        <w:t xml:space="preserve"> </w:t>
      </w:r>
      <w:r>
        <w:t>nuevo</w:t>
      </w:r>
      <w:r>
        <w:rPr>
          <w:spacing w:val="-2"/>
        </w:rPr>
        <w:t xml:space="preserve"> </w:t>
      </w:r>
      <w:r>
        <w:t>modelo</w:t>
      </w:r>
      <w:r>
        <w:rPr>
          <w:spacing w:val="-2"/>
        </w:rPr>
        <w:t xml:space="preserve"> </w:t>
      </w:r>
      <w:r>
        <w:t>de</w:t>
      </w:r>
      <w:r>
        <w:rPr>
          <w:spacing w:val="-3"/>
        </w:rPr>
        <w:t xml:space="preserve"> </w:t>
      </w:r>
      <w:r>
        <w:t>articulación</w:t>
      </w:r>
      <w:r>
        <w:rPr>
          <w:spacing w:val="-2"/>
        </w:rPr>
        <w:t xml:space="preserve"> </w:t>
      </w:r>
      <w:r>
        <w:t>del</w:t>
      </w:r>
      <w:r>
        <w:rPr>
          <w:spacing w:val="-4"/>
        </w:rPr>
        <w:t xml:space="preserve"> </w:t>
      </w:r>
      <w:r>
        <w:t>Estado,</w:t>
      </w:r>
      <w:r>
        <w:rPr>
          <w:spacing w:val="-2"/>
        </w:rPr>
        <w:t xml:space="preserve"> </w:t>
      </w:r>
      <w:r>
        <w:t>las</w:t>
      </w:r>
      <w:r>
        <w:rPr>
          <w:spacing w:val="-2"/>
        </w:rPr>
        <w:t xml:space="preserve"> </w:t>
      </w:r>
      <w:r>
        <w:t>regiones</w:t>
      </w:r>
      <w:r>
        <w:rPr>
          <w:spacing w:val="-2"/>
        </w:rPr>
        <w:t xml:space="preserve"> </w:t>
      </w:r>
      <w:r>
        <w:t>y</w:t>
      </w:r>
      <w:r>
        <w:rPr>
          <w:spacing w:val="-3"/>
        </w:rPr>
        <w:t xml:space="preserve"> </w:t>
      </w:r>
      <w:r>
        <w:t>territorios,</w:t>
      </w:r>
      <w:r>
        <w:rPr>
          <w:spacing w:val="-2"/>
        </w:rPr>
        <w:t xml:space="preserve"> </w:t>
      </w:r>
      <w:r>
        <w:t>de</w:t>
      </w:r>
      <w:r>
        <w:rPr>
          <w:spacing w:val="-2"/>
        </w:rPr>
        <w:t xml:space="preserve"> </w:t>
      </w:r>
      <w:r>
        <w:t>forma que</w:t>
      </w:r>
      <w:r>
        <w:rPr>
          <w:spacing w:val="-7"/>
        </w:rPr>
        <w:t xml:space="preserve"> </w:t>
      </w:r>
      <w:r>
        <w:t>el</w:t>
      </w:r>
      <w:r>
        <w:rPr>
          <w:spacing w:val="-8"/>
        </w:rPr>
        <w:t xml:space="preserve"> </w:t>
      </w:r>
      <w:r>
        <w:t>enorme</w:t>
      </w:r>
      <w:r>
        <w:rPr>
          <w:spacing w:val="-7"/>
        </w:rPr>
        <w:t xml:space="preserve"> </w:t>
      </w:r>
      <w:r>
        <w:t>potencial</w:t>
      </w:r>
      <w:r>
        <w:rPr>
          <w:spacing w:val="-8"/>
        </w:rPr>
        <w:t xml:space="preserve"> </w:t>
      </w:r>
      <w:r>
        <w:t>de</w:t>
      </w:r>
      <w:r>
        <w:rPr>
          <w:spacing w:val="-7"/>
        </w:rPr>
        <w:t xml:space="preserve"> </w:t>
      </w:r>
      <w:r>
        <w:t>las</w:t>
      </w:r>
      <w:r>
        <w:rPr>
          <w:spacing w:val="-8"/>
        </w:rPr>
        <w:t xml:space="preserve"> </w:t>
      </w:r>
      <w:r>
        <w:t>comunidades</w:t>
      </w:r>
      <w:r>
        <w:rPr>
          <w:spacing w:val="-7"/>
        </w:rPr>
        <w:t xml:space="preserve"> </w:t>
      </w:r>
      <w:r>
        <w:t>y</w:t>
      </w:r>
      <w:r>
        <w:rPr>
          <w:spacing w:val="-7"/>
        </w:rPr>
        <w:t xml:space="preserve"> </w:t>
      </w:r>
      <w:r>
        <w:t>del</w:t>
      </w:r>
      <w:r>
        <w:rPr>
          <w:spacing w:val="-7"/>
        </w:rPr>
        <w:t xml:space="preserve"> </w:t>
      </w:r>
      <w:r>
        <w:t>país</w:t>
      </w:r>
      <w:r>
        <w:rPr>
          <w:spacing w:val="-8"/>
        </w:rPr>
        <w:t xml:space="preserve"> </w:t>
      </w:r>
      <w:r>
        <w:t>revierta</w:t>
      </w:r>
      <w:r>
        <w:rPr>
          <w:spacing w:val="-7"/>
        </w:rPr>
        <w:t xml:space="preserve"> </w:t>
      </w:r>
      <w:r>
        <w:t>en</w:t>
      </w:r>
      <w:r>
        <w:rPr>
          <w:spacing w:val="-7"/>
        </w:rPr>
        <w:t xml:space="preserve"> </w:t>
      </w:r>
      <w:r>
        <w:t>un</w:t>
      </w:r>
      <w:r>
        <w:rPr>
          <w:spacing w:val="-7"/>
        </w:rPr>
        <w:t xml:space="preserve"> </w:t>
      </w:r>
      <w:r>
        <w:t>Estado</w:t>
      </w:r>
      <w:r>
        <w:rPr>
          <w:spacing w:val="-7"/>
        </w:rPr>
        <w:t xml:space="preserve"> </w:t>
      </w:r>
      <w:r>
        <w:t>y</w:t>
      </w:r>
      <w:r>
        <w:rPr>
          <w:spacing w:val="-7"/>
        </w:rPr>
        <w:t xml:space="preserve"> </w:t>
      </w:r>
      <w:r>
        <w:t>en</w:t>
      </w:r>
      <w:r>
        <w:rPr>
          <w:spacing w:val="-7"/>
        </w:rPr>
        <w:t xml:space="preserve"> </w:t>
      </w:r>
      <w:r>
        <w:t>un</w:t>
      </w:r>
      <w:r>
        <w:rPr>
          <w:spacing w:val="-7"/>
        </w:rPr>
        <w:t xml:space="preserve"> </w:t>
      </w:r>
      <w:r>
        <w:t>régimen político incluyentes, que son la base de la democracia.</w:t>
      </w:r>
    </w:p>
    <w:p w:rsidR="003804AC" w:rsidRDefault="00AF18A5" w:rsidP="005872A8">
      <w:r>
        <w:t>Es</w:t>
      </w:r>
      <w:r>
        <w:rPr>
          <w:spacing w:val="-10"/>
        </w:rPr>
        <w:t xml:space="preserve"> </w:t>
      </w:r>
      <w:r>
        <w:t>fundamental</w:t>
      </w:r>
      <w:r>
        <w:rPr>
          <w:spacing w:val="-9"/>
        </w:rPr>
        <w:t xml:space="preserve"> </w:t>
      </w:r>
      <w:r>
        <w:t>tener</w:t>
      </w:r>
      <w:r>
        <w:rPr>
          <w:spacing w:val="-9"/>
        </w:rPr>
        <w:t xml:space="preserve"> </w:t>
      </w:r>
      <w:r>
        <w:t>en</w:t>
      </w:r>
      <w:r>
        <w:rPr>
          <w:spacing w:val="-11"/>
        </w:rPr>
        <w:t xml:space="preserve"> </w:t>
      </w:r>
      <w:r>
        <w:t>cuenta,</w:t>
      </w:r>
      <w:r>
        <w:rPr>
          <w:spacing w:val="-10"/>
        </w:rPr>
        <w:t xml:space="preserve"> </w:t>
      </w:r>
      <w:r>
        <w:t>por</w:t>
      </w:r>
      <w:r>
        <w:rPr>
          <w:spacing w:val="-10"/>
        </w:rPr>
        <w:t xml:space="preserve"> </w:t>
      </w:r>
      <w:r>
        <w:t>una</w:t>
      </w:r>
      <w:r>
        <w:rPr>
          <w:spacing w:val="-9"/>
        </w:rPr>
        <w:t xml:space="preserve"> </w:t>
      </w:r>
      <w:r>
        <w:t>parte,</w:t>
      </w:r>
      <w:r>
        <w:rPr>
          <w:spacing w:val="-10"/>
        </w:rPr>
        <w:t xml:space="preserve"> </w:t>
      </w:r>
      <w:r>
        <w:t>que</w:t>
      </w:r>
      <w:r>
        <w:rPr>
          <w:spacing w:val="-9"/>
        </w:rPr>
        <w:t xml:space="preserve"> </w:t>
      </w:r>
      <w:r>
        <w:t>la</w:t>
      </w:r>
      <w:r>
        <w:rPr>
          <w:spacing w:val="-9"/>
        </w:rPr>
        <w:t xml:space="preserve"> </w:t>
      </w:r>
      <w:r>
        <w:t>violencia</w:t>
      </w:r>
      <w:r>
        <w:rPr>
          <w:spacing w:val="-9"/>
        </w:rPr>
        <w:t xml:space="preserve"> </w:t>
      </w:r>
      <w:r>
        <w:t>ha</w:t>
      </w:r>
      <w:r>
        <w:rPr>
          <w:spacing w:val="-9"/>
        </w:rPr>
        <w:t xml:space="preserve"> </w:t>
      </w:r>
      <w:r>
        <w:t>afectado</w:t>
      </w:r>
      <w:r>
        <w:rPr>
          <w:spacing w:val="-10"/>
        </w:rPr>
        <w:t xml:space="preserve"> </w:t>
      </w:r>
      <w:r>
        <w:t>al</w:t>
      </w:r>
      <w:r>
        <w:rPr>
          <w:spacing w:val="-9"/>
        </w:rPr>
        <w:t xml:space="preserve"> </w:t>
      </w:r>
      <w:r>
        <w:t>tejido</w:t>
      </w:r>
      <w:r>
        <w:rPr>
          <w:spacing w:val="-10"/>
        </w:rPr>
        <w:t xml:space="preserve"> </w:t>
      </w:r>
      <w:r>
        <w:t>social local, y por la otra, las consecuencias que ha ocasionado en los recursos locales y en las actitudes</w:t>
      </w:r>
      <w:r>
        <w:rPr>
          <w:spacing w:val="-3"/>
        </w:rPr>
        <w:t xml:space="preserve"> </w:t>
      </w:r>
      <w:r>
        <w:t>personales,</w:t>
      </w:r>
      <w:r>
        <w:rPr>
          <w:spacing w:val="-3"/>
        </w:rPr>
        <w:t xml:space="preserve"> </w:t>
      </w:r>
      <w:r>
        <w:t>todo</w:t>
      </w:r>
      <w:r>
        <w:rPr>
          <w:spacing w:val="-3"/>
        </w:rPr>
        <w:t xml:space="preserve"> </w:t>
      </w:r>
      <w:r>
        <w:t>mediado</w:t>
      </w:r>
      <w:r>
        <w:rPr>
          <w:spacing w:val="-3"/>
        </w:rPr>
        <w:t xml:space="preserve"> </w:t>
      </w:r>
      <w:r>
        <w:t>por</w:t>
      </w:r>
      <w:r>
        <w:rPr>
          <w:spacing w:val="-3"/>
        </w:rPr>
        <w:t xml:space="preserve"> </w:t>
      </w:r>
      <w:r>
        <w:t>la</w:t>
      </w:r>
      <w:r>
        <w:rPr>
          <w:spacing w:val="-3"/>
        </w:rPr>
        <w:t xml:space="preserve"> </w:t>
      </w:r>
      <w:r>
        <w:t>cultura</w:t>
      </w:r>
      <w:r>
        <w:rPr>
          <w:spacing w:val="-3"/>
        </w:rPr>
        <w:t xml:space="preserve"> </w:t>
      </w:r>
      <w:r>
        <w:t>de</w:t>
      </w:r>
      <w:r>
        <w:rPr>
          <w:spacing w:val="-3"/>
        </w:rPr>
        <w:t xml:space="preserve"> </w:t>
      </w:r>
      <w:r>
        <w:t>cada</w:t>
      </w:r>
      <w:r>
        <w:rPr>
          <w:spacing w:val="-3"/>
        </w:rPr>
        <w:t xml:space="preserve"> </w:t>
      </w:r>
      <w:r>
        <w:t>lugar.</w:t>
      </w:r>
      <w:r>
        <w:rPr>
          <w:spacing w:val="-3"/>
        </w:rPr>
        <w:t xml:space="preserve"> </w:t>
      </w:r>
      <w:r>
        <w:t>Los</w:t>
      </w:r>
      <w:r>
        <w:rPr>
          <w:spacing w:val="-3"/>
        </w:rPr>
        <w:t xml:space="preserve"> </w:t>
      </w:r>
      <w:r>
        <w:t>poderes</w:t>
      </w:r>
      <w:r>
        <w:rPr>
          <w:spacing w:val="-3"/>
        </w:rPr>
        <w:t xml:space="preserve"> </w:t>
      </w:r>
      <w:r>
        <w:t>públicos</w:t>
      </w:r>
      <w:r>
        <w:rPr>
          <w:spacing w:val="-4"/>
        </w:rPr>
        <w:t xml:space="preserve"> </w:t>
      </w:r>
      <w:r>
        <w:t>deben articular espacios para la participación de las víctimas, de los movimientos sociales, de las comunidades</w:t>
      </w:r>
      <w:r>
        <w:rPr>
          <w:spacing w:val="-8"/>
        </w:rPr>
        <w:t xml:space="preserve"> </w:t>
      </w:r>
      <w:r>
        <w:t>y</w:t>
      </w:r>
      <w:r>
        <w:rPr>
          <w:spacing w:val="-8"/>
        </w:rPr>
        <w:t xml:space="preserve"> </w:t>
      </w:r>
      <w:r>
        <w:t>de</w:t>
      </w:r>
      <w:r>
        <w:rPr>
          <w:spacing w:val="-8"/>
        </w:rPr>
        <w:t xml:space="preserve"> </w:t>
      </w:r>
      <w:r>
        <w:t>los</w:t>
      </w:r>
      <w:r>
        <w:rPr>
          <w:spacing w:val="-8"/>
        </w:rPr>
        <w:t xml:space="preserve"> </w:t>
      </w:r>
      <w:r>
        <w:t>territorios</w:t>
      </w:r>
      <w:r>
        <w:rPr>
          <w:spacing w:val="-8"/>
        </w:rPr>
        <w:t xml:space="preserve"> </w:t>
      </w:r>
      <w:r>
        <w:t>para</w:t>
      </w:r>
      <w:r>
        <w:rPr>
          <w:spacing w:val="-9"/>
        </w:rPr>
        <w:t xml:space="preserve"> </w:t>
      </w:r>
      <w:r>
        <w:t>establecer</w:t>
      </w:r>
      <w:r>
        <w:rPr>
          <w:spacing w:val="-8"/>
        </w:rPr>
        <w:t xml:space="preserve"> </w:t>
      </w:r>
      <w:r>
        <w:t>políticas</w:t>
      </w:r>
      <w:r>
        <w:rPr>
          <w:spacing w:val="-8"/>
        </w:rPr>
        <w:t xml:space="preserve"> </w:t>
      </w:r>
      <w:r>
        <w:t>claras</w:t>
      </w:r>
      <w:r>
        <w:rPr>
          <w:spacing w:val="-8"/>
        </w:rPr>
        <w:t xml:space="preserve"> </w:t>
      </w:r>
      <w:r>
        <w:t>que</w:t>
      </w:r>
      <w:r>
        <w:rPr>
          <w:spacing w:val="-8"/>
        </w:rPr>
        <w:t xml:space="preserve"> </w:t>
      </w:r>
      <w:r>
        <w:t>valoricen</w:t>
      </w:r>
      <w:r>
        <w:rPr>
          <w:spacing w:val="-8"/>
        </w:rPr>
        <w:t xml:space="preserve"> </w:t>
      </w:r>
      <w:r>
        <w:t>y</w:t>
      </w:r>
      <w:r>
        <w:rPr>
          <w:spacing w:val="-8"/>
        </w:rPr>
        <w:t xml:space="preserve"> </w:t>
      </w:r>
      <w:r>
        <w:t>refuercen</w:t>
      </w:r>
      <w:r>
        <w:rPr>
          <w:spacing w:val="-8"/>
        </w:rPr>
        <w:t xml:space="preserve"> </w:t>
      </w:r>
      <w:r>
        <w:t>las experiencias positivas situadas, por ejemplo, en convivencia política y social y para ejercer un lugar pedagógico en la sociedad.</w:t>
      </w:r>
    </w:p>
    <w:p w:rsidR="003804AC" w:rsidRDefault="00AF18A5" w:rsidP="005872A8">
      <w:r>
        <w:t>La Comisión considera imprescindible favorecer un escenario de búsqueda del fin de la violencia y de salidas políticas al conflicto y a las violencias que aún persisten, así como favorecer los procesos de reintegración de excombatientes, por un lado, y de población desplazada o exiliada, por el otro, con respeto y sensibilidad, pero fuera del marco de la confrontación y la focalización mediática.</w:t>
      </w:r>
    </w:p>
    <w:p w:rsidR="003804AC" w:rsidRDefault="00AF18A5" w:rsidP="005872A8">
      <w:r>
        <w:t xml:space="preserve">Es probable que haya un nivel importante de conflicto político o </w:t>
      </w:r>
      <w:r>
        <w:lastRenderedPageBreak/>
        <w:t>discrepancias que se mantengan</w:t>
      </w:r>
      <w:r>
        <w:rPr>
          <w:spacing w:val="-6"/>
        </w:rPr>
        <w:t xml:space="preserve"> </w:t>
      </w:r>
      <w:r>
        <w:t>en</w:t>
      </w:r>
      <w:r>
        <w:rPr>
          <w:spacing w:val="-6"/>
        </w:rPr>
        <w:t xml:space="preserve"> </w:t>
      </w:r>
      <w:r>
        <w:t>algunas</w:t>
      </w:r>
      <w:r>
        <w:rPr>
          <w:spacing w:val="-7"/>
        </w:rPr>
        <w:t xml:space="preserve"> </w:t>
      </w:r>
      <w:r>
        <w:t>comunidades</w:t>
      </w:r>
      <w:r>
        <w:rPr>
          <w:spacing w:val="-6"/>
        </w:rPr>
        <w:t xml:space="preserve"> </w:t>
      </w:r>
      <w:r>
        <w:t>o</w:t>
      </w:r>
      <w:r>
        <w:rPr>
          <w:spacing w:val="-6"/>
        </w:rPr>
        <w:t xml:space="preserve"> </w:t>
      </w:r>
      <w:r>
        <w:t>en</w:t>
      </w:r>
      <w:r>
        <w:rPr>
          <w:spacing w:val="-7"/>
        </w:rPr>
        <w:t xml:space="preserve"> </w:t>
      </w:r>
      <w:r>
        <w:t>la</w:t>
      </w:r>
      <w:r>
        <w:rPr>
          <w:spacing w:val="-6"/>
        </w:rPr>
        <w:t xml:space="preserve"> </w:t>
      </w:r>
      <w:r>
        <w:t>propia</w:t>
      </w:r>
      <w:r>
        <w:rPr>
          <w:spacing w:val="-7"/>
        </w:rPr>
        <w:t xml:space="preserve"> </w:t>
      </w:r>
      <w:r>
        <w:t>sociedad,</w:t>
      </w:r>
      <w:r>
        <w:rPr>
          <w:spacing w:val="-7"/>
        </w:rPr>
        <w:t xml:space="preserve"> </w:t>
      </w:r>
      <w:r>
        <w:t>lo</w:t>
      </w:r>
      <w:r>
        <w:rPr>
          <w:spacing w:val="-7"/>
        </w:rPr>
        <w:t xml:space="preserve"> </w:t>
      </w:r>
      <w:r>
        <w:t>cual</w:t>
      </w:r>
      <w:r>
        <w:rPr>
          <w:spacing w:val="-6"/>
        </w:rPr>
        <w:t xml:space="preserve"> </w:t>
      </w:r>
      <w:r>
        <w:t>muestra</w:t>
      </w:r>
      <w:r>
        <w:rPr>
          <w:spacing w:val="-6"/>
        </w:rPr>
        <w:t xml:space="preserve"> </w:t>
      </w:r>
      <w:r>
        <w:t>las</w:t>
      </w:r>
      <w:r>
        <w:rPr>
          <w:spacing w:val="-7"/>
        </w:rPr>
        <w:t xml:space="preserve"> </w:t>
      </w:r>
      <w:r>
        <w:t>dificultades, pero no invalida el proceso. La (re)conciliación</w:t>
      </w:r>
      <w:r w:rsidR="004A5DB1">
        <w:rPr>
          <w:rStyle w:val="Refdenotaalpie"/>
        </w:rPr>
        <w:footnoteReference w:id="45"/>
      </w:r>
      <w:r>
        <w:t xml:space="preserve"> local no va a llevar al acuerdo directo, ni al olvido o al perdón, sino más bien a la aceptación de que se puede coexistir. Colombia cuenta con un enorme potencial en las regiones y experiencias comunitarias y locales que deben ser tenidas en cuenta en el proceso de reconstrucción.</w:t>
      </w:r>
    </w:p>
    <w:p w:rsidR="0011361F" w:rsidRDefault="00AF18A5" w:rsidP="004A6EF4">
      <w:pPr>
        <w:pStyle w:val="Ttulo3"/>
        <w:numPr>
          <w:ilvl w:val="2"/>
          <w:numId w:val="18"/>
        </w:numPr>
      </w:pPr>
      <w:bookmarkStart w:id="99" w:name="1.4.8_Del_logro_de_la_paz_al_camino_de_l"/>
      <w:bookmarkStart w:id="100" w:name="_Toc112399546"/>
      <w:bookmarkEnd w:id="99"/>
      <w:r>
        <w:t>Del</w:t>
      </w:r>
      <w:r>
        <w:rPr>
          <w:spacing w:val="-1"/>
        </w:rPr>
        <w:t xml:space="preserve"> </w:t>
      </w:r>
      <w:r w:rsidRPr="005872A8">
        <w:t>logro</w:t>
      </w:r>
      <w:r>
        <w:rPr>
          <w:spacing w:val="-1"/>
        </w:rPr>
        <w:t xml:space="preserve"> </w:t>
      </w:r>
      <w:r>
        <w:t>de</w:t>
      </w:r>
      <w:r>
        <w:rPr>
          <w:spacing w:val="-1"/>
        </w:rPr>
        <w:t xml:space="preserve"> </w:t>
      </w:r>
      <w:r>
        <w:t>la</w:t>
      </w:r>
      <w:r>
        <w:rPr>
          <w:spacing w:val="-1"/>
        </w:rPr>
        <w:t xml:space="preserve"> </w:t>
      </w:r>
      <w:r>
        <w:t>paz</w:t>
      </w:r>
      <w:r>
        <w:rPr>
          <w:spacing w:val="-1"/>
        </w:rPr>
        <w:t xml:space="preserve"> </w:t>
      </w:r>
      <w:r>
        <w:t>al</w:t>
      </w:r>
      <w:r>
        <w:rPr>
          <w:spacing w:val="-1"/>
        </w:rPr>
        <w:t xml:space="preserve"> </w:t>
      </w:r>
      <w:r>
        <w:t>camino</w:t>
      </w:r>
      <w:r>
        <w:rPr>
          <w:spacing w:val="-3"/>
        </w:rPr>
        <w:t xml:space="preserve"> </w:t>
      </w:r>
      <w:r>
        <w:t>de</w:t>
      </w:r>
      <w:r>
        <w:rPr>
          <w:spacing w:val="-1"/>
        </w:rPr>
        <w:t xml:space="preserve"> </w:t>
      </w:r>
      <w:r>
        <w:t xml:space="preserve">la </w:t>
      </w:r>
      <w:r>
        <w:rPr>
          <w:spacing w:val="-2"/>
        </w:rPr>
        <w:t>(re)conciliación</w:t>
      </w:r>
      <w:bookmarkEnd w:id="100"/>
    </w:p>
    <w:p w:rsidR="003804AC" w:rsidRDefault="00AF18A5" w:rsidP="004A5DB1">
      <w:r>
        <w:t>Frente</w:t>
      </w:r>
      <w:r>
        <w:rPr>
          <w:spacing w:val="-12"/>
        </w:rPr>
        <w:t xml:space="preserve"> </w:t>
      </w:r>
      <w:r>
        <w:t>a</w:t>
      </w:r>
      <w:r>
        <w:rPr>
          <w:spacing w:val="-12"/>
        </w:rPr>
        <w:t xml:space="preserve"> </w:t>
      </w:r>
      <w:r>
        <w:t>los</w:t>
      </w:r>
      <w:r>
        <w:rPr>
          <w:spacing w:val="-13"/>
        </w:rPr>
        <w:t xml:space="preserve"> </w:t>
      </w:r>
      <w:r>
        <w:t>discursos</w:t>
      </w:r>
      <w:r>
        <w:rPr>
          <w:spacing w:val="-12"/>
        </w:rPr>
        <w:t xml:space="preserve"> </w:t>
      </w:r>
      <w:r>
        <w:t>de</w:t>
      </w:r>
      <w:r>
        <w:rPr>
          <w:spacing w:val="-12"/>
        </w:rPr>
        <w:t xml:space="preserve"> </w:t>
      </w:r>
      <w:r>
        <w:t>«vencedores</w:t>
      </w:r>
      <w:r>
        <w:rPr>
          <w:spacing w:val="-13"/>
        </w:rPr>
        <w:t xml:space="preserve"> </w:t>
      </w:r>
      <w:r>
        <w:t>y</w:t>
      </w:r>
      <w:r>
        <w:rPr>
          <w:spacing w:val="-12"/>
        </w:rPr>
        <w:t xml:space="preserve"> </w:t>
      </w:r>
      <w:r>
        <w:t>vencidos»</w:t>
      </w:r>
      <w:r>
        <w:rPr>
          <w:spacing w:val="-13"/>
        </w:rPr>
        <w:t xml:space="preserve"> </w:t>
      </w:r>
      <w:r>
        <w:t>que</w:t>
      </w:r>
      <w:r>
        <w:rPr>
          <w:spacing w:val="-12"/>
        </w:rPr>
        <w:t xml:space="preserve"> </w:t>
      </w:r>
      <w:r>
        <w:t>se</w:t>
      </w:r>
      <w:r>
        <w:rPr>
          <w:spacing w:val="-12"/>
        </w:rPr>
        <w:t xml:space="preserve"> </w:t>
      </w:r>
      <w:r>
        <w:t>han</w:t>
      </w:r>
      <w:r>
        <w:rPr>
          <w:spacing w:val="-12"/>
        </w:rPr>
        <w:t xml:space="preserve"> </w:t>
      </w:r>
      <w:r>
        <w:t>extendido</w:t>
      </w:r>
      <w:r>
        <w:rPr>
          <w:spacing w:val="-12"/>
        </w:rPr>
        <w:t xml:space="preserve"> </w:t>
      </w:r>
      <w:r>
        <w:t>desde</w:t>
      </w:r>
      <w:r>
        <w:rPr>
          <w:spacing w:val="-12"/>
        </w:rPr>
        <w:t xml:space="preserve"> </w:t>
      </w:r>
      <w:r>
        <w:t>la</w:t>
      </w:r>
      <w:r>
        <w:rPr>
          <w:spacing w:val="-12"/>
        </w:rPr>
        <w:t xml:space="preserve"> </w:t>
      </w:r>
      <w:r>
        <w:t>guerra</w:t>
      </w:r>
      <w:r>
        <w:rPr>
          <w:spacing w:val="-12"/>
        </w:rPr>
        <w:t xml:space="preserve"> </w:t>
      </w:r>
      <w:r>
        <w:t>hasta los</w:t>
      </w:r>
      <w:r>
        <w:rPr>
          <w:spacing w:val="-10"/>
        </w:rPr>
        <w:t xml:space="preserve"> </w:t>
      </w:r>
      <w:r>
        <w:t>intentos</w:t>
      </w:r>
      <w:r>
        <w:rPr>
          <w:spacing w:val="-11"/>
        </w:rPr>
        <w:t xml:space="preserve"> </w:t>
      </w:r>
      <w:r>
        <w:t>de</w:t>
      </w:r>
      <w:r>
        <w:rPr>
          <w:spacing w:val="-9"/>
        </w:rPr>
        <w:t xml:space="preserve"> </w:t>
      </w:r>
      <w:r>
        <w:t>construcción</w:t>
      </w:r>
      <w:r>
        <w:rPr>
          <w:spacing w:val="-10"/>
        </w:rPr>
        <w:t xml:space="preserve"> </w:t>
      </w:r>
      <w:r>
        <w:t>de</w:t>
      </w:r>
      <w:r>
        <w:rPr>
          <w:spacing w:val="-9"/>
        </w:rPr>
        <w:t xml:space="preserve"> </w:t>
      </w:r>
      <w:r>
        <w:t>paz,</w:t>
      </w:r>
      <w:r>
        <w:rPr>
          <w:spacing w:val="-10"/>
        </w:rPr>
        <w:t xml:space="preserve"> </w:t>
      </w:r>
      <w:r>
        <w:t>es</w:t>
      </w:r>
      <w:r>
        <w:rPr>
          <w:spacing w:val="-10"/>
        </w:rPr>
        <w:t xml:space="preserve"> </w:t>
      </w:r>
      <w:r>
        <w:t>importante</w:t>
      </w:r>
      <w:r>
        <w:rPr>
          <w:spacing w:val="-11"/>
        </w:rPr>
        <w:t xml:space="preserve"> </w:t>
      </w:r>
      <w:r>
        <w:t>cambiar</w:t>
      </w:r>
      <w:r>
        <w:rPr>
          <w:spacing w:val="-9"/>
        </w:rPr>
        <w:t xml:space="preserve"> </w:t>
      </w:r>
      <w:r>
        <w:t>la</w:t>
      </w:r>
      <w:r>
        <w:rPr>
          <w:spacing w:val="-11"/>
        </w:rPr>
        <w:t xml:space="preserve"> </w:t>
      </w:r>
      <w:r>
        <w:t>imagen</w:t>
      </w:r>
      <w:r>
        <w:rPr>
          <w:spacing w:val="-10"/>
        </w:rPr>
        <w:t xml:space="preserve"> </w:t>
      </w:r>
      <w:r>
        <w:t>de</w:t>
      </w:r>
      <w:r>
        <w:rPr>
          <w:spacing w:val="-9"/>
        </w:rPr>
        <w:t xml:space="preserve"> </w:t>
      </w:r>
      <w:r>
        <w:t>la</w:t>
      </w:r>
      <w:r>
        <w:rPr>
          <w:spacing w:val="-9"/>
        </w:rPr>
        <w:t xml:space="preserve"> </w:t>
      </w:r>
      <w:r>
        <w:t>realidad</w:t>
      </w:r>
      <w:r>
        <w:rPr>
          <w:spacing w:val="-10"/>
        </w:rPr>
        <w:t xml:space="preserve"> </w:t>
      </w:r>
      <w:r>
        <w:t>planteada como</w:t>
      </w:r>
      <w:r>
        <w:rPr>
          <w:spacing w:val="-13"/>
        </w:rPr>
        <w:t xml:space="preserve"> </w:t>
      </w:r>
      <w:r>
        <w:t>un</w:t>
      </w:r>
      <w:r>
        <w:rPr>
          <w:spacing w:val="-13"/>
        </w:rPr>
        <w:t xml:space="preserve"> </w:t>
      </w:r>
      <w:r>
        <w:t>proceso</w:t>
      </w:r>
      <w:r>
        <w:rPr>
          <w:spacing w:val="-13"/>
        </w:rPr>
        <w:t xml:space="preserve"> </w:t>
      </w:r>
      <w:r>
        <w:t>de</w:t>
      </w:r>
      <w:r>
        <w:rPr>
          <w:spacing w:val="-13"/>
        </w:rPr>
        <w:t xml:space="preserve"> </w:t>
      </w:r>
      <w:r>
        <w:t>suma</w:t>
      </w:r>
      <w:r>
        <w:rPr>
          <w:spacing w:val="-13"/>
        </w:rPr>
        <w:t xml:space="preserve"> </w:t>
      </w:r>
      <w:r>
        <w:t>cero</w:t>
      </w:r>
      <w:r>
        <w:rPr>
          <w:spacing w:val="-14"/>
        </w:rPr>
        <w:t xml:space="preserve"> </w:t>
      </w:r>
      <w:r>
        <w:t>(unos</w:t>
      </w:r>
      <w:r>
        <w:rPr>
          <w:spacing w:val="-14"/>
        </w:rPr>
        <w:t xml:space="preserve"> </w:t>
      </w:r>
      <w:r>
        <w:t>ganan</w:t>
      </w:r>
      <w:r>
        <w:rPr>
          <w:spacing w:val="-13"/>
        </w:rPr>
        <w:t xml:space="preserve"> </w:t>
      </w:r>
      <w:r>
        <w:t>otros</w:t>
      </w:r>
      <w:r>
        <w:rPr>
          <w:spacing w:val="-14"/>
        </w:rPr>
        <w:t xml:space="preserve"> </w:t>
      </w:r>
      <w:r>
        <w:t>pierden)</w:t>
      </w:r>
      <w:r>
        <w:rPr>
          <w:spacing w:val="-13"/>
        </w:rPr>
        <w:t xml:space="preserve"> </w:t>
      </w:r>
      <w:r>
        <w:t>por</w:t>
      </w:r>
      <w:r>
        <w:rPr>
          <w:spacing w:val="-14"/>
        </w:rPr>
        <w:t xml:space="preserve"> </w:t>
      </w:r>
      <w:r>
        <w:t>la</w:t>
      </w:r>
      <w:r>
        <w:rPr>
          <w:spacing w:val="-13"/>
        </w:rPr>
        <w:t xml:space="preserve"> </w:t>
      </w:r>
      <w:r>
        <w:t>de</w:t>
      </w:r>
      <w:r>
        <w:rPr>
          <w:spacing w:val="-13"/>
        </w:rPr>
        <w:t xml:space="preserve"> </w:t>
      </w:r>
      <w:r>
        <w:t>un</w:t>
      </w:r>
      <w:r>
        <w:rPr>
          <w:spacing w:val="-13"/>
        </w:rPr>
        <w:t xml:space="preserve"> </w:t>
      </w:r>
      <w:r>
        <w:t>acuerdo</w:t>
      </w:r>
      <w:r>
        <w:rPr>
          <w:spacing w:val="-13"/>
        </w:rPr>
        <w:t xml:space="preserve"> </w:t>
      </w:r>
      <w:r>
        <w:t>posible:</w:t>
      </w:r>
      <w:r>
        <w:rPr>
          <w:spacing w:val="-14"/>
        </w:rPr>
        <w:t xml:space="preserve"> </w:t>
      </w:r>
      <w:r>
        <w:t>todos ganan, o por la de cooperación, aun manteniendo los diferentes intereses y logros. Es decir, enfatizar el logro de la paz, el respeto a los derechos humanos y la reconstrucción de la convivencia. Los líderes políticos, gobierno, partidos, gremios económicos, sindicatos y movimientos sociales tienen una responsabilidad histórica para dar los pasos en un gran Acuerdo Nacional que ponga estos elementos en sus prioridades políticas.</w:t>
      </w:r>
    </w:p>
    <w:p w:rsidR="003804AC" w:rsidRDefault="00AF18A5" w:rsidP="004A5DB1">
      <w:r>
        <w:t>Sabemos que las sociedades no siempre se (re)concilian como pueden hacerlo las personas,</w:t>
      </w:r>
      <w:r>
        <w:rPr>
          <w:spacing w:val="-5"/>
        </w:rPr>
        <w:t xml:space="preserve"> </w:t>
      </w:r>
      <w:r>
        <w:t>pero</w:t>
      </w:r>
      <w:r>
        <w:rPr>
          <w:spacing w:val="-5"/>
        </w:rPr>
        <w:t xml:space="preserve"> </w:t>
      </w:r>
      <w:r>
        <w:t>se</w:t>
      </w:r>
      <w:r>
        <w:rPr>
          <w:spacing w:val="-5"/>
        </w:rPr>
        <w:t xml:space="preserve"> </w:t>
      </w:r>
      <w:r>
        <w:t>necesitan</w:t>
      </w:r>
      <w:r>
        <w:rPr>
          <w:spacing w:val="-5"/>
        </w:rPr>
        <w:t xml:space="preserve"> </w:t>
      </w:r>
      <w:r>
        <w:t>gestos</w:t>
      </w:r>
      <w:r>
        <w:rPr>
          <w:spacing w:val="-5"/>
        </w:rPr>
        <w:t xml:space="preserve"> </w:t>
      </w:r>
      <w:r>
        <w:t>públicos</w:t>
      </w:r>
      <w:r>
        <w:rPr>
          <w:spacing w:val="-5"/>
        </w:rPr>
        <w:t xml:space="preserve"> </w:t>
      </w:r>
      <w:r>
        <w:t>y</w:t>
      </w:r>
      <w:r>
        <w:rPr>
          <w:spacing w:val="-5"/>
        </w:rPr>
        <w:t xml:space="preserve"> </w:t>
      </w:r>
      <w:r>
        <w:t>creíbles</w:t>
      </w:r>
      <w:r>
        <w:rPr>
          <w:spacing w:val="-5"/>
        </w:rPr>
        <w:t xml:space="preserve"> </w:t>
      </w:r>
      <w:r>
        <w:t>que</w:t>
      </w:r>
      <w:r>
        <w:rPr>
          <w:spacing w:val="-5"/>
        </w:rPr>
        <w:t xml:space="preserve"> </w:t>
      </w:r>
      <w:r>
        <w:t>ayuden</w:t>
      </w:r>
      <w:r>
        <w:rPr>
          <w:spacing w:val="-5"/>
        </w:rPr>
        <w:t xml:space="preserve"> </w:t>
      </w:r>
      <w:r>
        <w:t>a</w:t>
      </w:r>
      <w:r>
        <w:rPr>
          <w:spacing w:val="-5"/>
        </w:rPr>
        <w:t xml:space="preserve"> </w:t>
      </w:r>
      <w:r>
        <w:t>dignificar</w:t>
      </w:r>
      <w:r>
        <w:rPr>
          <w:spacing w:val="-4"/>
        </w:rPr>
        <w:t xml:space="preserve"> </w:t>
      </w:r>
      <w:r>
        <w:t>a</w:t>
      </w:r>
      <w:r>
        <w:rPr>
          <w:spacing w:val="-5"/>
        </w:rPr>
        <w:t xml:space="preserve"> </w:t>
      </w:r>
      <w:r>
        <w:t>las</w:t>
      </w:r>
      <w:r>
        <w:rPr>
          <w:spacing w:val="-5"/>
        </w:rPr>
        <w:t xml:space="preserve"> </w:t>
      </w:r>
      <w:r>
        <w:t>víctimas, enterrar a los muertos, buscar a los desaparecidos y superar la violencia. Los diferentes significados</w:t>
      </w:r>
      <w:r>
        <w:rPr>
          <w:spacing w:val="-6"/>
        </w:rPr>
        <w:t xml:space="preserve"> </w:t>
      </w:r>
      <w:r>
        <w:t>de</w:t>
      </w:r>
      <w:r>
        <w:rPr>
          <w:spacing w:val="-6"/>
        </w:rPr>
        <w:t xml:space="preserve"> </w:t>
      </w:r>
      <w:r>
        <w:t>esta</w:t>
      </w:r>
      <w:r>
        <w:rPr>
          <w:spacing w:val="-6"/>
        </w:rPr>
        <w:t xml:space="preserve"> </w:t>
      </w:r>
      <w:r>
        <w:t>reconciliación</w:t>
      </w:r>
      <w:r>
        <w:rPr>
          <w:spacing w:val="-6"/>
        </w:rPr>
        <w:t xml:space="preserve"> </w:t>
      </w:r>
      <w:r>
        <w:t>no</w:t>
      </w:r>
      <w:r>
        <w:rPr>
          <w:spacing w:val="-6"/>
        </w:rPr>
        <w:t xml:space="preserve"> </w:t>
      </w:r>
      <w:r>
        <w:t>pueden</w:t>
      </w:r>
      <w:r>
        <w:rPr>
          <w:spacing w:val="-6"/>
        </w:rPr>
        <w:t xml:space="preserve"> </w:t>
      </w:r>
      <w:r>
        <w:t>verse</w:t>
      </w:r>
      <w:r>
        <w:rPr>
          <w:spacing w:val="-6"/>
        </w:rPr>
        <w:t xml:space="preserve"> </w:t>
      </w:r>
      <w:r>
        <w:t>como</w:t>
      </w:r>
      <w:r>
        <w:rPr>
          <w:spacing w:val="-6"/>
        </w:rPr>
        <w:t xml:space="preserve"> </w:t>
      </w:r>
      <w:r>
        <w:t>volver</w:t>
      </w:r>
      <w:r>
        <w:rPr>
          <w:spacing w:val="-5"/>
        </w:rPr>
        <w:t xml:space="preserve"> </w:t>
      </w:r>
      <w:r>
        <w:t>a</w:t>
      </w:r>
      <w:r>
        <w:rPr>
          <w:spacing w:val="-6"/>
        </w:rPr>
        <w:t xml:space="preserve"> </w:t>
      </w:r>
      <w:r>
        <w:t>relaciones</w:t>
      </w:r>
      <w:r>
        <w:rPr>
          <w:spacing w:val="-6"/>
        </w:rPr>
        <w:t xml:space="preserve"> </w:t>
      </w:r>
      <w:r>
        <w:t>de</w:t>
      </w:r>
      <w:r>
        <w:rPr>
          <w:spacing w:val="-6"/>
        </w:rPr>
        <w:t xml:space="preserve"> </w:t>
      </w:r>
      <w:r>
        <w:t xml:space="preserve">dominación o </w:t>
      </w:r>
      <w:r>
        <w:lastRenderedPageBreak/>
        <w:t>explotación o marginación preexistentes, sino como un proceso de transformación de las relaciones y de las condiciones de exclusión existentes.</w:t>
      </w:r>
    </w:p>
    <w:p w:rsidR="003804AC" w:rsidRDefault="00AF18A5" w:rsidP="004A5DB1">
      <w:r>
        <w:t>Para hacer ese camino se necesita acabar con la violencia, brindar condiciones de seguridad y distensión y tener voluntad política por parte de instituciones del Estado, los gobiernos nacional, departamentales y municipales y otras autoridades. Pero también es necesario</w:t>
      </w:r>
      <w:r>
        <w:rPr>
          <w:spacing w:val="30"/>
        </w:rPr>
        <w:t xml:space="preserve"> </w:t>
      </w:r>
      <w:r>
        <w:t>tener</w:t>
      </w:r>
      <w:r>
        <w:rPr>
          <w:spacing w:val="31"/>
        </w:rPr>
        <w:t xml:space="preserve"> </w:t>
      </w:r>
      <w:r>
        <w:t>la</w:t>
      </w:r>
      <w:r>
        <w:rPr>
          <w:spacing w:val="29"/>
        </w:rPr>
        <w:t xml:space="preserve"> </w:t>
      </w:r>
      <w:r>
        <w:t>fuerza</w:t>
      </w:r>
      <w:r>
        <w:rPr>
          <w:spacing w:val="31"/>
        </w:rPr>
        <w:t xml:space="preserve"> </w:t>
      </w:r>
      <w:r>
        <w:t>y</w:t>
      </w:r>
      <w:r>
        <w:rPr>
          <w:spacing w:val="30"/>
        </w:rPr>
        <w:t xml:space="preserve"> </w:t>
      </w:r>
      <w:r>
        <w:t>la</w:t>
      </w:r>
      <w:r>
        <w:rPr>
          <w:spacing w:val="31"/>
        </w:rPr>
        <w:t xml:space="preserve"> </w:t>
      </w:r>
      <w:r>
        <w:t>coherencia</w:t>
      </w:r>
      <w:r>
        <w:rPr>
          <w:spacing w:val="30"/>
        </w:rPr>
        <w:t xml:space="preserve"> </w:t>
      </w:r>
      <w:r>
        <w:t>requeridas</w:t>
      </w:r>
      <w:r>
        <w:rPr>
          <w:spacing w:val="30"/>
        </w:rPr>
        <w:t xml:space="preserve"> </w:t>
      </w:r>
      <w:r>
        <w:t>para</w:t>
      </w:r>
      <w:r>
        <w:rPr>
          <w:spacing w:val="31"/>
        </w:rPr>
        <w:t xml:space="preserve"> </w:t>
      </w:r>
      <w:r>
        <w:t>superar</w:t>
      </w:r>
      <w:r>
        <w:rPr>
          <w:spacing w:val="30"/>
        </w:rPr>
        <w:t xml:space="preserve"> </w:t>
      </w:r>
      <w:r>
        <w:t>estereotipos</w:t>
      </w:r>
      <w:r>
        <w:rPr>
          <w:spacing w:val="31"/>
        </w:rPr>
        <w:t xml:space="preserve"> </w:t>
      </w:r>
      <w:r>
        <w:t>y</w:t>
      </w:r>
      <w:r>
        <w:rPr>
          <w:spacing w:val="31"/>
        </w:rPr>
        <w:t xml:space="preserve"> </w:t>
      </w:r>
      <w:r>
        <w:rPr>
          <w:spacing w:val="-2"/>
        </w:rPr>
        <w:t>actitudes</w:t>
      </w:r>
      <w:bookmarkStart w:id="101" w:name="_bookmark51"/>
      <w:bookmarkEnd w:id="101"/>
      <w:r w:rsidR="004A5DB1">
        <w:rPr>
          <w:spacing w:val="-2"/>
        </w:rPr>
        <w:t xml:space="preserve"> </w:t>
      </w:r>
      <w:r>
        <w:t>excluyentes entre distintos grupos sociales o fuerzas políticas. Sin un cambio de cultura política no solo disminuyen las posibilidades de unir fuerzas que provoquen cambios sociales,</w:t>
      </w:r>
      <w:r>
        <w:rPr>
          <w:spacing w:val="-7"/>
        </w:rPr>
        <w:t xml:space="preserve"> </w:t>
      </w:r>
      <w:r>
        <w:t>sino</w:t>
      </w:r>
      <w:r>
        <w:rPr>
          <w:spacing w:val="-7"/>
        </w:rPr>
        <w:t xml:space="preserve"> </w:t>
      </w:r>
      <w:r>
        <w:t>que,</w:t>
      </w:r>
      <w:r>
        <w:rPr>
          <w:spacing w:val="-7"/>
        </w:rPr>
        <w:t xml:space="preserve"> </w:t>
      </w:r>
      <w:r>
        <w:t>además,</w:t>
      </w:r>
      <w:r>
        <w:rPr>
          <w:spacing w:val="-7"/>
        </w:rPr>
        <w:t xml:space="preserve"> </w:t>
      </w:r>
      <w:r>
        <w:t>se</w:t>
      </w:r>
      <w:r>
        <w:rPr>
          <w:spacing w:val="-7"/>
        </w:rPr>
        <w:t xml:space="preserve"> </w:t>
      </w:r>
      <w:r>
        <w:t>corre</w:t>
      </w:r>
      <w:r>
        <w:rPr>
          <w:spacing w:val="-7"/>
        </w:rPr>
        <w:t xml:space="preserve"> </w:t>
      </w:r>
      <w:r>
        <w:t>el</w:t>
      </w:r>
      <w:r>
        <w:rPr>
          <w:spacing w:val="-7"/>
        </w:rPr>
        <w:t xml:space="preserve"> </w:t>
      </w:r>
      <w:r>
        <w:t>riesgo</w:t>
      </w:r>
      <w:r>
        <w:rPr>
          <w:spacing w:val="-7"/>
        </w:rPr>
        <w:t xml:space="preserve"> </w:t>
      </w:r>
      <w:r>
        <w:t>de</w:t>
      </w:r>
      <w:r>
        <w:rPr>
          <w:spacing w:val="-7"/>
        </w:rPr>
        <w:t xml:space="preserve"> </w:t>
      </w:r>
      <w:r>
        <w:t>nuevos</w:t>
      </w:r>
      <w:r>
        <w:rPr>
          <w:spacing w:val="-7"/>
        </w:rPr>
        <w:t xml:space="preserve"> </w:t>
      </w:r>
      <w:r>
        <w:t>procesos</w:t>
      </w:r>
      <w:r>
        <w:rPr>
          <w:spacing w:val="-7"/>
        </w:rPr>
        <w:t xml:space="preserve"> </w:t>
      </w:r>
      <w:r>
        <w:t>de</w:t>
      </w:r>
      <w:r>
        <w:rPr>
          <w:spacing w:val="-7"/>
        </w:rPr>
        <w:t xml:space="preserve"> </w:t>
      </w:r>
      <w:r>
        <w:t>confrontación</w:t>
      </w:r>
      <w:r>
        <w:rPr>
          <w:spacing w:val="-7"/>
        </w:rPr>
        <w:t xml:space="preserve"> </w:t>
      </w:r>
      <w:r>
        <w:t>y</w:t>
      </w:r>
      <w:r>
        <w:rPr>
          <w:spacing w:val="-7"/>
        </w:rPr>
        <w:t xml:space="preserve"> </w:t>
      </w:r>
      <w:r>
        <w:t>división que pueden afectar gravemente el tejido social.</w:t>
      </w:r>
    </w:p>
    <w:p w:rsidR="003804AC" w:rsidRDefault="00AF18A5" w:rsidP="004A5DB1">
      <w:r>
        <w:t>La agenda para el futuro que sale de la escucha, el análisis de las experiencias y los reconocimientos e investigaciones de la Comisión tiene que poner el énfasis en una política sostenida en el tiempo que active la implicación de la sociedad civil, de los movimientos sociales,</w:t>
      </w:r>
      <w:r>
        <w:rPr>
          <w:spacing w:val="-3"/>
        </w:rPr>
        <w:t xml:space="preserve"> </w:t>
      </w:r>
      <w:r>
        <w:t>de</w:t>
      </w:r>
      <w:r>
        <w:rPr>
          <w:spacing w:val="-3"/>
        </w:rPr>
        <w:t xml:space="preserve"> </w:t>
      </w:r>
      <w:r>
        <w:t>las</w:t>
      </w:r>
      <w:r>
        <w:rPr>
          <w:spacing w:val="-3"/>
        </w:rPr>
        <w:t xml:space="preserve"> </w:t>
      </w:r>
      <w:r>
        <w:t>comunidades</w:t>
      </w:r>
      <w:r>
        <w:rPr>
          <w:spacing w:val="-3"/>
        </w:rPr>
        <w:t xml:space="preserve"> </w:t>
      </w:r>
      <w:r>
        <w:t>y</w:t>
      </w:r>
      <w:r>
        <w:rPr>
          <w:spacing w:val="-3"/>
        </w:rPr>
        <w:t xml:space="preserve"> </w:t>
      </w:r>
      <w:r>
        <w:t>de</w:t>
      </w:r>
      <w:r>
        <w:rPr>
          <w:spacing w:val="-3"/>
        </w:rPr>
        <w:t xml:space="preserve"> </w:t>
      </w:r>
      <w:r>
        <w:t>diferentes</w:t>
      </w:r>
      <w:r>
        <w:rPr>
          <w:spacing w:val="-3"/>
        </w:rPr>
        <w:t xml:space="preserve"> </w:t>
      </w:r>
      <w:r>
        <w:t>sectores</w:t>
      </w:r>
      <w:r>
        <w:rPr>
          <w:spacing w:val="-3"/>
        </w:rPr>
        <w:t xml:space="preserve"> </w:t>
      </w:r>
      <w:r>
        <w:t>económicos</w:t>
      </w:r>
      <w:r>
        <w:rPr>
          <w:spacing w:val="-3"/>
        </w:rPr>
        <w:t xml:space="preserve"> </w:t>
      </w:r>
      <w:r>
        <w:t>y</w:t>
      </w:r>
      <w:r>
        <w:rPr>
          <w:spacing w:val="-3"/>
        </w:rPr>
        <w:t xml:space="preserve"> </w:t>
      </w:r>
      <w:r>
        <w:t>políticos,</w:t>
      </w:r>
      <w:r>
        <w:rPr>
          <w:spacing w:val="-4"/>
        </w:rPr>
        <w:t xml:space="preserve"> </w:t>
      </w:r>
      <w:r>
        <w:t>en</w:t>
      </w:r>
      <w:r>
        <w:rPr>
          <w:spacing w:val="-3"/>
        </w:rPr>
        <w:t xml:space="preserve"> </w:t>
      </w:r>
      <w:r>
        <w:t>una</w:t>
      </w:r>
      <w:r>
        <w:rPr>
          <w:spacing w:val="-2"/>
        </w:rPr>
        <w:t xml:space="preserve"> </w:t>
      </w:r>
      <w:r>
        <w:t>alianza transformadora</w:t>
      </w:r>
      <w:r>
        <w:rPr>
          <w:spacing w:val="-3"/>
        </w:rPr>
        <w:t xml:space="preserve"> </w:t>
      </w:r>
      <w:r>
        <w:t>que</w:t>
      </w:r>
      <w:r>
        <w:rPr>
          <w:spacing w:val="-3"/>
        </w:rPr>
        <w:t xml:space="preserve"> </w:t>
      </w:r>
      <w:r>
        <w:t>aborde</w:t>
      </w:r>
      <w:r>
        <w:rPr>
          <w:spacing w:val="-3"/>
        </w:rPr>
        <w:t xml:space="preserve"> </w:t>
      </w:r>
      <w:r>
        <w:t>los</w:t>
      </w:r>
      <w:r>
        <w:rPr>
          <w:spacing w:val="-3"/>
        </w:rPr>
        <w:t xml:space="preserve"> </w:t>
      </w:r>
      <w:r>
        <w:t>problemas</w:t>
      </w:r>
      <w:r>
        <w:rPr>
          <w:spacing w:val="-3"/>
        </w:rPr>
        <w:t xml:space="preserve"> </w:t>
      </w:r>
      <w:r>
        <w:t>estructurales</w:t>
      </w:r>
      <w:r>
        <w:rPr>
          <w:spacing w:val="-3"/>
        </w:rPr>
        <w:t xml:space="preserve"> </w:t>
      </w:r>
      <w:r>
        <w:t>que</w:t>
      </w:r>
      <w:r>
        <w:rPr>
          <w:spacing w:val="-3"/>
        </w:rPr>
        <w:t xml:space="preserve"> </w:t>
      </w:r>
      <w:r>
        <w:t>señala</w:t>
      </w:r>
      <w:r>
        <w:rPr>
          <w:spacing w:val="-4"/>
        </w:rPr>
        <w:t xml:space="preserve"> </w:t>
      </w:r>
      <w:r>
        <w:t>la</w:t>
      </w:r>
      <w:r>
        <w:rPr>
          <w:spacing w:val="-3"/>
        </w:rPr>
        <w:t xml:space="preserve"> </w:t>
      </w:r>
      <w:r>
        <w:t>Comisión</w:t>
      </w:r>
      <w:r>
        <w:rPr>
          <w:spacing w:val="-3"/>
        </w:rPr>
        <w:t xml:space="preserve"> </w:t>
      </w:r>
      <w:r>
        <w:t>de</w:t>
      </w:r>
      <w:r>
        <w:rPr>
          <w:spacing w:val="-3"/>
        </w:rPr>
        <w:t xml:space="preserve"> </w:t>
      </w:r>
      <w:r>
        <w:t>la</w:t>
      </w:r>
      <w:r>
        <w:rPr>
          <w:spacing w:val="-4"/>
        </w:rPr>
        <w:t xml:space="preserve"> </w:t>
      </w:r>
      <w:r>
        <w:t>Verdad y</w:t>
      </w:r>
      <w:r>
        <w:rPr>
          <w:spacing w:val="-9"/>
        </w:rPr>
        <w:t xml:space="preserve"> </w:t>
      </w:r>
      <w:r>
        <w:t>las</w:t>
      </w:r>
      <w:r>
        <w:rPr>
          <w:spacing w:val="-10"/>
        </w:rPr>
        <w:t xml:space="preserve"> </w:t>
      </w:r>
      <w:r>
        <w:t>dimensiones</w:t>
      </w:r>
      <w:r>
        <w:rPr>
          <w:spacing w:val="-9"/>
        </w:rPr>
        <w:t xml:space="preserve"> </w:t>
      </w:r>
      <w:r>
        <w:t>de</w:t>
      </w:r>
      <w:r>
        <w:rPr>
          <w:spacing w:val="-9"/>
        </w:rPr>
        <w:t xml:space="preserve"> </w:t>
      </w:r>
      <w:r>
        <w:t>lo</w:t>
      </w:r>
      <w:r>
        <w:rPr>
          <w:spacing w:val="-11"/>
        </w:rPr>
        <w:t xml:space="preserve"> </w:t>
      </w:r>
      <w:r>
        <w:t>que</w:t>
      </w:r>
      <w:r>
        <w:rPr>
          <w:spacing w:val="-9"/>
        </w:rPr>
        <w:t xml:space="preserve"> </w:t>
      </w:r>
      <w:r>
        <w:t>supone</w:t>
      </w:r>
      <w:r>
        <w:rPr>
          <w:spacing w:val="-10"/>
        </w:rPr>
        <w:t xml:space="preserve"> </w:t>
      </w:r>
      <w:r>
        <w:t>esa</w:t>
      </w:r>
      <w:r>
        <w:rPr>
          <w:spacing w:val="-9"/>
        </w:rPr>
        <w:t xml:space="preserve"> </w:t>
      </w:r>
      <w:r>
        <w:t>reconciliación,</w:t>
      </w:r>
      <w:r>
        <w:rPr>
          <w:spacing w:val="-9"/>
        </w:rPr>
        <w:t xml:space="preserve"> </w:t>
      </w:r>
      <w:r>
        <w:t>como</w:t>
      </w:r>
      <w:r>
        <w:rPr>
          <w:spacing w:val="-9"/>
        </w:rPr>
        <w:t xml:space="preserve"> </w:t>
      </w:r>
      <w:r>
        <w:t>rehacer</w:t>
      </w:r>
      <w:r>
        <w:rPr>
          <w:spacing w:val="-10"/>
        </w:rPr>
        <w:t xml:space="preserve"> </w:t>
      </w:r>
      <w:r>
        <w:t>la</w:t>
      </w:r>
      <w:r>
        <w:rPr>
          <w:spacing w:val="-10"/>
        </w:rPr>
        <w:t xml:space="preserve"> </w:t>
      </w:r>
      <w:r>
        <w:t>convivencia,</w:t>
      </w:r>
      <w:r>
        <w:rPr>
          <w:spacing w:val="-9"/>
        </w:rPr>
        <w:t xml:space="preserve"> </w:t>
      </w:r>
      <w:r>
        <w:t>respetar los</w:t>
      </w:r>
      <w:r>
        <w:rPr>
          <w:spacing w:val="-12"/>
        </w:rPr>
        <w:t xml:space="preserve"> </w:t>
      </w:r>
      <w:r>
        <w:t>derechos</w:t>
      </w:r>
      <w:r>
        <w:rPr>
          <w:spacing w:val="-13"/>
        </w:rPr>
        <w:t xml:space="preserve"> </w:t>
      </w:r>
      <w:r>
        <w:t>de</w:t>
      </w:r>
      <w:r>
        <w:rPr>
          <w:spacing w:val="-12"/>
        </w:rPr>
        <w:t xml:space="preserve"> </w:t>
      </w:r>
      <w:r>
        <w:t>las</w:t>
      </w:r>
      <w:r>
        <w:rPr>
          <w:spacing w:val="-12"/>
        </w:rPr>
        <w:t xml:space="preserve"> </w:t>
      </w:r>
      <w:r>
        <w:t>víctimas</w:t>
      </w:r>
      <w:r>
        <w:rPr>
          <w:spacing w:val="-12"/>
        </w:rPr>
        <w:t xml:space="preserve"> </w:t>
      </w:r>
      <w:r>
        <w:t>y</w:t>
      </w:r>
      <w:r>
        <w:rPr>
          <w:spacing w:val="-12"/>
        </w:rPr>
        <w:t xml:space="preserve"> </w:t>
      </w:r>
      <w:r>
        <w:t>construir</w:t>
      </w:r>
      <w:r>
        <w:rPr>
          <w:spacing w:val="-12"/>
        </w:rPr>
        <w:t xml:space="preserve"> </w:t>
      </w:r>
      <w:r>
        <w:t>una</w:t>
      </w:r>
      <w:r>
        <w:rPr>
          <w:spacing w:val="-13"/>
        </w:rPr>
        <w:t xml:space="preserve"> </w:t>
      </w:r>
      <w:r>
        <w:rPr>
          <w:i/>
        </w:rPr>
        <w:t>ideología</w:t>
      </w:r>
      <w:r>
        <w:rPr>
          <w:i/>
          <w:spacing w:val="-12"/>
        </w:rPr>
        <w:t xml:space="preserve"> </w:t>
      </w:r>
      <w:r>
        <w:rPr>
          <w:i/>
        </w:rPr>
        <w:t>no</w:t>
      </w:r>
      <w:r>
        <w:rPr>
          <w:i/>
          <w:spacing w:val="-12"/>
        </w:rPr>
        <w:t xml:space="preserve"> </w:t>
      </w:r>
      <w:r>
        <w:rPr>
          <w:i/>
        </w:rPr>
        <w:t>racista</w:t>
      </w:r>
      <w:r>
        <w:rPr>
          <w:i/>
          <w:spacing w:val="-12"/>
        </w:rPr>
        <w:t xml:space="preserve"> </w:t>
      </w:r>
      <w:r>
        <w:rPr>
          <w:i/>
        </w:rPr>
        <w:t>ni</w:t>
      </w:r>
      <w:r>
        <w:rPr>
          <w:i/>
          <w:spacing w:val="-13"/>
        </w:rPr>
        <w:t xml:space="preserve"> </w:t>
      </w:r>
      <w:r>
        <w:rPr>
          <w:i/>
        </w:rPr>
        <w:t>excluyente</w:t>
      </w:r>
      <w:r>
        <w:t>.</w:t>
      </w:r>
      <w:r>
        <w:rPr>
          <w:spacing w:val="-12"/>
        </w:rPr>
        <w:t xml:space="preserve"> </w:t>
      </w:r>
      <w:r>
        <w:t>Será</w:t>
      </w:r>
      <w:r>
        <w:rPr>
          <w:spacing w:val="-12"/>
        </w:rPr>
        <w:t xml:space="preserve"> </w:t>
      </w:r>
      <w:r>
        <w:t>un</w:t>
      </w:r>
      <w:r>
        <w:rPr>
          <w:spacing w:val="-13"/>
        </w:rPr>
        <w:t xml:space="preserve"> </w:t>
      </w:r>
      <w:r>
        <w:t>nuevo consenso social de respeto a los derechos humanos que se exprese en los cambios políticos que Colombia ha tratado de hacer desde hace décadas y que tiene ahora la oportunidad de llevar adelante.</w:t>
      </w:r>
    </w:p>
    <w:p w:rsidR="0011361F" w:rsidRDefault="00AF18A5" w:rsidP="004A5DB1">
      <w:pPr>
        <w:pStyle w:val="Ttulo3"/>
      </w:pPr>
      <w:bookmarkStart w:id="102" w:name="_Toc112399547"/>
      <w:r>
        <w:t>Bibliografía</w:t>
      </w:r>
      <w:bookmarkEnd w:id="102"/>
    </w:p>
    <w:p w:rsidR="003804AC" w:rsidRDefault="00AF18A5" w:rsidP="00F12640">
      <w:r>
        <w:t xml:space="preserve">Asociación Ambiente Sociedad y Sistema de alertas tempranas por </w:t>
      </w:r>
      <w:r>
        <w:lastRenderedPageBreak/>
        <w:t>megaproyectos en áreas prioritarias</w:t>
      </w:r>
      <w:r>
        <w:rPr>
          <w:spacing w:val="-1"/>
        </w:rPr>
        <w:t xml:space="preserve"> </w:t>
      </w:r>
      <w:r>
        <w:t>de conservación en</w:t>
      </w:r>
      <w:r>
        <w:rPr>
          <w:spacing w:val="-1"/>
        </w:rPr>
        <w:t xml:space="preserve"> </w:t>
      </w:r>
      <w:r>
        <w:t>Colombia.</w:t>
      </w:r>
      <w:r>
        <w:rPr>
          <w:spacing w:val="-1"/>
        </w:rPr>
        <w:t xml:space="preserve"> </w:t>
      </w:r>
      <w:r>
        <w:t>«Mapa de alertas</w:t>
      </w:r>
      <w:r>
        <w:rPr>
          <w:spacing w:val="-1"/>
        </w:rPr>
        <w:t xml:space="preserve"> </w:t>
      </w:r>
      <w:r>
        <w:t>tempranas». Acceso el 21 de junio de 2022. https://ecosistemasenalerta.info/mapa-de-alertas-tempranas/.</w:t>
      </w:r>
    </w:p>
    <w:p w:rsidR="003804AC" w:rsidRDefault="00AF18A5" w:rsidP="00F12640">
      <w:r>
        <w:t>Baca</w:t>
      </w:r>
      <w:r>
        <w:rPr>
          <w:spacing w:val="-15"/>
        </w:rPr>
        <w:t xml:space="preserve"> </w:t>
      </w:r>
      <w:r>
        <w:t>Baldomero,</w:t>
      </w:r>
      <w:r>
        <w:rPr>
          <w:spacing w:val="-15"/>
        </w:rPr>
        <w:t xml:space="preserve"> </w:t>
      </w:r>
      <w:r>
        <w:t>Enrique,</w:t>
      </w:r>
      <w:r>
        <w:rPr>
          <w:spacing w:val="-15"/>
        </w:rPr>
        <w:t xml:space="preserve"> </w:t>
      </w:r>
      <w:r>
        <w:t>y</w:t>
      </w:r>
      <w:r>
        <w:rPr>
          <w:spacing w:val="-15"/>
        </w:rPr>
        <w:t xml:space="preserve"> </w:t>
      </w:r>
      <w:proofErr w:type="spellStart"/>
      <w:r>
        <w:t>Cabanas</w:t>
      </w:r>
      <w:proofErr w:type="spellEnd"/>
      <w:r>
        <w:t>,</w:t>
      </w:r>
      <w:r>
        <w:rPr>
          <w:spacing w:val="-15"/>
        </w:rPr>
        <w:t xml:space="preserve"> </w:t>
      </w:r>
      <w:r>
        <w:t>María.</w:t>
      </w:r>
      <w:r>
        <w:rPr>
          <w:spacing w:val="-15"/>
        </w:rPr>
        <w:t xml:space="preserve"> </w:t>
      </w:r>
      <w:r>
        <w:t>«El</w:t>
      </w:r>
      <w:r>
        <w:rPr>
          <w:spacing w:val="-15"/>
        </w:rPr>
        <w:t xml:space="preserve"> </w:t>
      </w:r>
      <w:r>
        <w:t>proyecto</w:t>
      </w:r>
      <w:r>
        <w:rPr>
          <w:spacing w:val="-15"/>
        </w:rPr>
        <w:t xml:space="preserve"> </w:t>
      </w:r>
      <w:r>
        <w:t>Fénix:</w:t>
      </w:r>
      <w:r>
        <w:rPr>
          <w:spacing w:val="-15"/>
        </w:rPr>
        <w:t xml:space="preserve"> </w:t>
      </w:r>
      <w:r>
        <w:t>un</w:t>
      </w:r>
      <w:r>
        <w:rPr>
          <w:spacing w:val="-15"/>
        </w:rPr>
        <w:t xml:space="preserve"> </w:t>
      </w:r>
      <w:r>
        <w:t>estudio</w:t>
      </w:r>
      <w:r>
        <w:rPr>
          <w:spacing w:val="-15"/>
        </w:rPr>
        <w:t xml:space="preserve"> </w:t>
      </w:r>
      <w:r>
        <w:t>preliminar</w:t>
      </w:r>
      <w:r>
        <w:rPr>
          <w:spacing w:val="-15"/>
        </w:rPr>
        <w:t xml:space="preserve"> </w:t>
      </w:r>
      <w:r>
        <w:t xml:space="preserve">sobre las víctimas del terrorismo en España». En </w:t>
      </w:r>
      <w:r>
        <w:rPr>
          <w:i/>
        </w:rPr>
        <w:t>Las víctimas de la violencia. Estudios psicopatológicos</w:t>
      </w:r>
      <w:r>
        <w:t xml:space="preserve">, 1 edición, 139-86. Madrid: </w:t>
      </w:r>
      <w:proofErr w:type="spellStart"/>
      <w:r>
        <w:t>Triacastela</w:t>
      </w:r>
      <w:proofErr w:type="spellEnd"/>
      <w:r>
        <w:t>, 2003.</w:t>
      </w:r>
    </w:p>
    <w:p w:rsidR="0011361F" w:rsidRDefault="00AF18A5" w:rsidP="00F12640">
      <w:r>
        <w:t>Baró,</w:t>
      </w:r>
      <w:r>
        <w:rPr>
          <w:spacing w:val="19"/>
        </w:rPr>
        <w:t xml:space="preserve"> </w:t>
      </w:r>
      <w:r>
        <w:t>Ignacio,</w:t>
      </w:r>
      <w:r>
        <w:rPr>
          <w:spacing w:val="19"/>
        </w:rPr>
        <w:t xml:space="preserve"> </w:t>
      </w:r>
      <w:r>
        <w:t>y</w:t>
      </w:r>
      <w:r>
        <w:rPr>
          <w:spacing w:val="19"/>
        </w:rPr>
        <w:t xml:space="preserve"> </w:t>
      </w:r>
      <w:r>
        <w:t>Joaquín</w:t>
      </w:r>
      <w:r>
        <w:rPr>
          <w:spacing w:val="18"/>
        </w:rPr>
        <w:t xml:space="preserve"> </w:t>
      </w:r>
      <w:r>
        <w:t>Samayoa,</w:t>
      </w:r>
      <w:r>
        <w:rPr>
          <w:spacing w:val="19"/>
        </w:rPr>
        <w:t xml:space="preserve"> </w:t>
      </w:r>
      <w:r>
        <w:t>eds.</w:t>
      </w:r>
      <w:r>
        <w:rPr>
          <w:spacing w:val="19"/>
        </w:rPr>
        <w:t xml:space="preserve"> </w:t>
      </w:r>
      <w:r>
        <w:t>Psicología</w:t>
      </w:r>
      <w:r>
        <w:rPr>
          <w:spacing w:val="19"/>
        </w:rPr>
        <w:t xml:space="preserve"> </w:t>
      </w:r>
      <w:r>
        <w:t>social</w:t>
      </w:r>
      <w:r>
        <w:rPr>
          <w:spacing w:val="19"/>
        </w:rPr>
        <w:t xml:space="preserve"> </w:t>
      </w:r>
      <w:r>
        <w:t>de</w:t>
      </w:r>
      <w:r>
        <w:rPr>
          <w:spacing w:val="18"/>
        </w:rPr>
        <w:t xml:space="preserve"> </w:t>
      </w:r>
      <w:r>
        <w:t>la</w:t>
      </w:r>
      <w:r>
        <w:rPr>
          <w:spacing w:val="19"/>
        </w:rPr>
        <w:t xml:space="preserve"> </w:t>
      </w:r>
      <w:r>
        <w:t>guerra:</w:t>
      </w:r>
      <w:r>
        <w:rPr>
          <w:spacing w:val="18"/>
        </w:rPr>
        <w:t xml:space="preserve"> </w:t>
      </w:r>
      <w:r>
        <w:t>trauma</w:t>
      </w:r>
      <w:r>
        <w:rPr>
          <w:spacing w:val="19"/>
        </w:rPr>
        <w:t xml:space="preserve"> </w:t>
      </w:r>
      <w:r>
        <w:t>y</w:t>
      </w:r>
      <w:r>
        <w:rPr>
          <w:spacing w:val="20"/>
        </w:rPr>
        <w:t xml:space="preserve"> </w:t>
      </w:r>
      <w:r>
        <w:rPr>
          <w:spacing w:val="-2"/>
        </w:rPr>
        <w:t>terapia.</w:t>
      </w:r>
      <w:r w:rsidR="00F12640">
        <w:rPr>
          <w:spacing w:val="-2"/>
        </w:rPr>
        <w:t xml:space="preserve"> </w:t>
      </w:r>
      <w:r>
        <w:t>San</w:t>
      </w:r>
      <w:r>
        <w:rPr>
          <w:spacing w:val="-2"/>
        </w:rPr>
        <w:t xml:space="preserve"> </w:t>
      </w:r>
      <w:r>
        <w:t>Salvador:</w:t>
      </w:r>
      <w:r>
        <w:rPr>
          <w:spacing w:val="-2"/>
        </w:rPr>
        <w:t xml:space="preserve"> </w:t>
      </w:r>
      <w:r>
        <w:t>UCA</w:t>
      </w:r>
      <w:r>
        <w:rPr>
          <w:spacing w:val="-3"/>
        </w:rPr>
        <w:t xml:space="preserve"> </w:t>
      </w:r>
      <w:r>
        <w:t>Editores,</w:t>
      </w:r>
      <w:r>
        <w:rPr>
          <w:spacing w:val="-1"/>
        </w:rPr>
        <w:t xml:space="preserve"> </w:t>
      </w:r>
      <w:r>
        <w:rPr>
          <w:spacing w:val="-2"/>
        </w:rPr>
        <w:t>1990.</w:t>
      </w:r>
    </w:p>
    <w:p w:rsidR="003804AC" w:rsidRDefault="00AF18A5" w:rsidP="00F12640">
      <w:r>
        <w:t>Comisión</w:t>
      </w:r>
      <w:r>
        <w:rPr>
          <w:spacing w:val="-10"/>
        </w:rPr>
        <w:t xml:space="preserve"> </w:t>
      </w:r>
      <w:r>
        <w:t>de</w:t>
      </w:r>
      <w:r>
        <w:rPr>
          <w:spacing w:val="-10"/>
        </w:rPr>
        <w:t xml:space="preserve"> </w:t>
      </w:r>
      <w:r>
        <w:t>la</w:t>
      </w:r>
      <w:r>
        <w:rPr>
          <w:spacing w:val="-10"/>
        </w:rPr>
        <w:t xml:space="preserve"> </w:t>
      </w:r>
      <w:r>
        <w:t>Verdad.</w:t>
      </w:r>
      <w:r>
        <w:rPr>
          <w:spacing w:val="-10"/>
        </w:rPr>
        <w:t xml:space="preserve"> </w:t>
      </w:r>
      <w:r>
        <w:t>«Contribución</w:t>
      </w:r>
      <w:r>
        <w:rPr>
          <w:spacing w:val="-10"/>
        </w:rPr>
        <w:t xml:space="preserve"> </w:t>
      </w:r>
      <w:r>
        <w:t>a</w:t>
      </w:r>
      <w:r>
        <w:rPr>
          <w:spacing w:val="-10"/>
        </w:rPr>
        <w:t xml:space="preserve"> </w:t>
      </w:r>
      <w:r>
        <w:t>la</w:t>
      </w:r>
      <w:r>
        <w:rPr>
          <w:spacing w:val="-10"/>
        </w:rPr>
        <w:t xml:space="preserve"> </w:t>
      </w:r>
      <w:r>
        <w:t>verdad</w:t>
      </w:r>
      <w:r>
        <w:rPr>
          <w:spacing w:val="-11"/>
        </w:rPr>
        <w:t xml:space="preserve"> </w:t>
      </w:r>
      <w:r>
        <w:t>y</w:t>
      </w:r>
      <w:r>
        <w:rPr>
          <w:spacing w:val="-10"/>
        </w:rPr>
        <w:t xml:space="preserve"> </w:t>
      </w:r>
      <w:r>
        <w:t>reconocimiento</w:t>
      </w:r>
      <w:r>
        <w:rPr>
          <w:spacing w:val="-10"/>
        </w:rPr>
        <w:t xml:space="preserve"> </w:t>
      </w:r>
      <w:r>
        <w:t>de</w:t>
      </w:r>
      <w:r>
        <w:rPr>
          <w:spacing w:val="-10"/>
        </w:rPr>
        <w:t xml:space="preserve"> </w:t>
      </w:r>
      <w:r>
        <w:t>responsabilidades</w:t>
      </w:r>
      <w:r>
        <w:rPr>
          <w:spacing w:val="-10"/>
        </w:rPr>
        <w:t xml:space="preserve"> </w:t>
      </w:r>
      <w:r>
        <w:t xml:space="preserve">de integrantes del Ejército». 1 de diciembre de 2021. Vídeo. </w:t>
      </w:r>
      <w:r>
        <w:rPr>
          <w:spacing w:val="-2"/>
        </w:rPr>
        <w:t>https://</w:t>
      </w:r>
      <w:hyperlink r:id="rId9">
        <w:r>
          <w:rPr>
            <w:spacing w:val="-2"/>
          </w:rPr>
          <w:t>www.youtube.com/watch?v=btImBC0QlSQ</w:t>
        </w:r>
      </w:hyperlink>
      <w:r w:rsidR="00F12640">
        <w:rPr>
          <w:spacing w:val="-2"/>
        </w:rPr>
        <w:t xml:space="preserve"> </w:t>
      </w:r>
      <w:r>
        <w:t>———. «Víctimas y responsables de El Carmen de Atrato dieron un paso hacia la reconciliación».</w:t>
      </w:r>
      <w:r w:rsidR="004C771B">
        <w:t xml:space="preserve"> </w:t>
      </w:r>
      <w:r>
        <w:t>Acceso</w:t>
      </w:r>
      <w:r w:rsidR="004C771B">
        <w:t xml:space="preserve"> </w:t>
      </w:r>
      <w:r>
        <w:t>el</w:t>
      </w:r>
      <w:r w:rsidR="004C771B">
        <w:t xml:space="preserve"> </w:t>
      </w:r>
      <w:r>
        <w:t>21</w:t>
      </w:r>
      <w:r w:rsidR="004C771B">
        <w:t xml:space="preserve"> </w:t>
      </w:r>
      <w:r>
        <w:t>de</w:t>
      </w:r>
      <w:r w:rsidR="004C771B">
        <w:t xml:space="preserve"> </w:t>
      </w:r>
      <w:r>
        <w:t>junio</w:t>
      </w:r>
      <w:r w:rsidR="004C771B">
        <w:t xml:space="preserve"> </w:t>
      </w:r>
      <w:r>
        <w:t>de</w:t>
      </w:r>
      <w:r w:rsidR="004C771B">
        <w:t xml:space="preserve"> </w:t>
      </w:r>
      <w:r>
        <w:rPr>
          <w:spacing w:val="-2"/>
        </w:rPr>
        <w:t>2022.</w:t>
      </w:r>
    </w:p>
    <w:p w:rsidR="003804AC" w:rsidRDefault="00AF18A5" w:rsidP="00F80BCD">
      <w:r>
        <w:t xml:space="preserve">https://comisiondelaverdad.co/actualidad/noticias/victimas-responsables-carmen- </w:t>
      </w:r>
      <w:proofErr w:type="spellStart"/>
      <w:r>
        <w:t>atrato-reconciliacion</w:t>
      </w:r>
      <w:proofErr w:type="spellEnd"/>
      <w:r>
        <w:t>.</w:t>
      </w:r>
    </w:p>
    <w:p w:rsidR="003804AC" w:rsidRPr="00951B0F" w:rsidRDefault="00AF18A5" w:rsidP="00F80BCD">
      <w:pPr>
        <w:rPr>
          <w:lang w:val="pt-BR"/>
        </w:rPr>
      </w:pPr>
      <w:r w:rsidRPr="00951B0F">
        <w:rPr>
          <w:lang w:val="pt-BR"/>
        </w:rPr>
        <w:t>Módulo</w:t>
      </w:r>
      <w:r w:rsidR="00F80BCD">
        <w:rPr>
          <w:lang w:val="pt-BR"/>
        </w:rPr>
        <w:t xml:space="preserve"> </w:t>
      </w:r>
      <w:r w:rsidRPr="00951B0F">
        <w:rPr>
          <w:lang w:val="pt-BR"/>
        </w:rPr>
        <w:t>de</w:t>
      </w:r>
      <w:r w:rsidR="00F80BCD">
        <w:rPr>
          <w:lang w:val="pt-BR"/>
        </w:rPr>
        <w:t xml:space="preserve"> </w:t>
      </w:r>
      <w:proofErr w:type="spellStart"/>
      <w:r w:rsidRPr="00951B0F">
        <w:rPr>
          <w:lang w:val="pt-BR"/>
        </w:rPr>
        <w:t>Catalogación</w:t>
      </w:r>
      <w:proofErr w:type="spellEnd"/>
      <w:r w:rsidRPr="00951B0F">
        <w:rPr>
          <w:spacing w:val="59"/>
          <w:w w:val="150"/>
          <w:lang w:val="pt-BR"/>
        </w:rPr>
        <w:t xml:space="preserve"> </w:t>
      </w:r>
      <w:r w:rsidRPr="00951B0F">
        <w:rPr>
          <w:lang w:val="pt-BR"/>
        </w:rPr>
        <w:t>Colaborativa</w:t>
      </w:r>
      <w:r w:rsidRPr="00951B0F">
        <w:rPr>
          <w:spacing w:val="60"/>
          <w:w w:val="150"/>
          <w:lang w:val="pt-BR"/>
        </w:rPr>
        <w:t xml:space="preserve"> </w:t>
      </w:r>
      <w:r w:rsidRPr="00951B0F">
        <w:rPr>
          <w:lang w:val="pt-BR"/>
        </w:rPr>
        <w:t>29-OI</w:t>
      </w:r>
      <w:r w:rsidR="00F80BCD">
        <w:rPr>
          <w:lang w:val="pt-BR"/>
        </w:rPr>
        <w:t xml:space="preserve"> </w:t>
      </w:r>
      <w:r w:rsidRPr="00951B0F">
        <w:rPr>
          <w:spacing w:val="-2"/>
          <w:lang w:val="pt-BR"/>
        </w:rPr>
        <w:t>629909e129e5207e167b2cb0.</w:t>
      </w:r>
    </w:p>
    <w:p w:rsidR="003804AC" w:rsidRDefault="00AF18A5" w:rsidP="00F80BCD">
      <w:r>
        <w:t>«Contribuciones a la verdad y reconocimiento de responsabilidades de integrantes del</w:t>
      </w:r>
      <w:r>
        <w:rPr>
          <w:spacing w:val="-8"/>
        </w:rPr>
        <w:t xml:space="preserve"> </w:t>
      </w:r>
      <w:r>
        <w:t>Ejército</w:t>
      </w:r>
      <w:r>
        <w:rPr>
          <w:spacing w:val="-8"/>
        </w:rPr>
        <w:t xml:space="preserve"> </w:t>
      </w:r>
      <w:r>
        <w:t>Nacional</w:t>
      </w:r>
      <w:r>
        <w:rPr>
          <w:spacing w:val="-8"/>
        </w:rPr>
        <w:t xml:space="preserve"> </w:t>
      </w:r>
      <w:r>
        <w:t>de</w:t>
      </w:r>
      <w:r>
        <w:rPr>
          <w:spacing w:val="-9"/>
        </w:rPr>
        <w:t xml:space="preserve"> </w:t>
      </w:r>
      <w:r>
        <w:t>Colombia:</w:t>
      </w:r>
      <w:r>
        <w:rPr>
          <w:spacing w:val="-8"/>
        </w:rPr>
        <w:t xml:space="preserve"> </w:t>
      </w:r>
      <w:r>
        <w:t>espacio</w:t>
      </w:r>
      <w:r>
        <w:rPr>
          <w:spacing w:val="-8"/>
        </w:rPr>
        <w:t xml:space="preserve"> </w:t>
      </w:r>
      <w:r>
        <w:t>público»,</w:t>
      </w:r>
      <w:r>
        <w:rPr>
          <w:spacing w:val="-8"/>
        </w:rPr>
        <w:t xml:space="preserve"> </w:t>
      </w:r>
      <w:r>
        <w:t>documento</w:t>
      </w:r>
      <w:r>
        <w:rPr>
          <w:spacing w:val="-8"/>
        </w:rPr>
        <w:t xml:space="preserve"> </w:t>
      </w:r>
      <w:r>
        <w:t>escrito.</w:t>
      </w:r>
      <w:r>
        <w:rPr>
          <w:spacing w:val="-9"/>
        </w:rPr>
        <w:t xml:space="preserve"> </w:t>
      </w:r>
      <w:r>
        <w:t>Comisión para el Esclarecimiento de la Verdad, la Convivencia y la No Repetición (CEV). Bogotá, 2021.</w:t>
      </w:r>
    </w:p>
    <w:p w:rsidR="003804AC" w:rsidRDefault="00AF18A5" w:rsidP="00F80BCD">
      <w:r>
        <w:t>Departamento</w:t>
      </w:r>
      <w:r>
        <w:rPr>
          <w:spacing w:val="25"/>
        </w:rPr>
        <w:t xml:space="preserve"> </w:t>
      </w:r>
      <w:r>
        <w:t>Administrativo</w:t>
      </w:r>
      <w:r>
        <w:rPr>
          <w:spacing w:val="28"/>
        </w:rPr>
        <w:t xml:space="preserve"> </w:t>
      </w:r>
      <w:r>
        <w:t>Nacional</w:t>
      </w:r>
      <w:r>
        <w:rPr>
          <w:spacing w:val="28"/>
        </w:rPr>
        <w:t xml:space="preserve"> </w:t>
      </w:r>
      <w:r>
        <w:t>de</w:t>
      </w:r>
      <w:r>
        <w:rPr>
          <w:spacing w:val="27"/>
        </w:rPr>
        <w:t xml:space="preserve"> </w:t>
      </w:r>
      <w:r>
        <w:t>Estadística</w:t>
      </w:r>
      <w:r>
        <w:rPr>
          <w:spacing w:val="27"/>
        </w:rPr>
        <w:t xml:space="preserve"> </w:t>
      </w:r>
      <w:r>
        <w:t>(DANE)</w:t>
      </w:r>
      <w:r>
        <w:rPr>
          <w:spacing w:val="28"/>
        </w:rPr>
        <w:t xml:space="preserve"> </w:t>
      </w:r>
      <w:r>
        <w:t>y</w:t>
      </w:r>
      <w:r>
        <w:rPr>
          <w:spacing w:val="27"/>
        </w:rPr>
        <w:t xml:space="preserve"> </w:t>
      </w:r>
      <w:r>
        <w:t>Gobierno</w:t>
      </w:r>
      <w:r>
        <w:rPr>
          <w:spacing w:val="28"/>
        </w:rPr>
        <w:t xml:space="preserve"> </w:t>
      </w:r>
      <w:r>
        <w:t>de</w:t>
      </w:r>
      <w:r>
        <w:rPr>
          <w:spacing w:val="28"/>
        </w:rPr>
        <w:t xml:space="preserve"> </w:t>
      </w:r>
      <w:r>
        <w:rPr>
          <w:spacing w:val="-2"/>
        </w:rPr>
        <w:t>Colombia.</w:t>
      </w:r>
    </w:p>
    <w:p w:rsidR="003804AC" w:rsidRDefault="00AF18A5" w:rsidP="00F80BCD">
      <w:r>
        <w:lastRenderedPageBreak/>
        <w:t>«Situación</w:t>
      </w:r>
      <w:r>
        <w:rPr>
          <w:spacing w:val="80"/>
        </w:rPr>
        <w:t xml:space="preserve"> </w:t>
      </w:r>
      <w:r>
        <w:t>de</w:t>
      </w:r>
      <w:r>
        <w:rPr>
          <w:spacing w:val="80"/>
        </w:rPr>
        <w:t xml:space="preserve"> </w:t>
      </w:r>
      <w:r>
        <w:t>las</w:t>
      </w:r>
      <w:r>
        <w:rPr>
          <w:spacing w:val="80"/>
        </w:rPr>
        <w:t xml:space="preserve"> </w:t>
      </w:r>
      <w:r>
        <w:t>mujeres</w:t>
      </w:r>
      <w:r>
        <w:rPr>
          <w:spacing w:val="80"/>
        </w:rPr>
        <w:t xml:space="preserve"> </w:t>
      </w:r>
      <w:r>
        <w:t>rurales</w:t>
      </w:r>
      <w:r>
        <w:rPr>
          <w:spacing w:val="80"/>
        </w:rPr>
        <w:t xml:space="preserve"> </w:t>
      </w:r>
      <w:r>
        <w:t>en</w:t>
      </w:r>
      <w:r>
        <w:rPr>
          <w:spacing w:val="80"/>
        </w:rPr>
        <w:t xml:space="preserve"> </w:t>
      </w:r>
      <w:r>
        <w:t>Colombia.</w:t>
      </w:r>
      <w:r>
        <w:rPr>
          <w:spacing w:val="80"/>
        </w:rPr>
        <w:t xml:space="preserve"> </w:t>
      </w:r>
      <w:r>
        <w:t>Resumen</w:t>
      </w:r>
      <w:r>
        <w:rPr>
          <w:spacing w:val="80"/>
        </w:rPr>
        <w:t xml:space="preserve"> </w:t>
      </w:r>
      <w:r>
        <w:t>ejecutivo».</w:t>
      </w:r>
      <w:r>
        <w:rPr>
          <w:spacing w:val="80"/>
        </w:rPr>
        <w:t xml:space="preserve"> </w:t>
      </w:r>
      <w:r>
        <w:t xml:space="preserve">2021. </w:t>
      </w:r>
      <w:r>
        <w:rPr>
          <w:spacing w:val="-2"/>
        </w:rPr>
        <w:t>https://</w:t>
      </w:r>
      <w:hyperlink r:id="rId10">
        <w:r>
          <w:rPr>
            <w:spacing w:val="-2"/>
          </w:rPr>
          <w:t>www.dane.gov.co/files/investigaciones/notas-estadisticas/oct-2021-nota-</w:t>
        </w:r>
      </w:hyperlink>
      <w:r>
        <w:rPr>
          <w:spacing w:val="-2"/>
        </w:rPr>
        <w:t xml:space="preserve"> estadistica-situacion-mujeres-rurales-colombia-resumen.pdf.</w:t>
      </w:r>
    </w:p>
    <w:p w:rsidR="003804AC" w:rsidRPr="00951B0F" w:rsidRDefault="00AF18A5" w:rsidP="00F80BCD">
      <w:pPr>
        <w:rPr>
          <w:lang w:val="en-US"/>
        </w:rPr>
      </w:pPr>
      <w:proofErr w:type="spellStart"/>
      <w:r>
        <w:t>Eisenman</w:t>
      </w:r>
      <w:proofErr w:type="spellEnd"/>
      <w:r>
        <w:t xml:space="preserve">, David, </w:t>
      </w:r>
      <w:proofErr w:type="spellStart"/>
      <w:r>
        <w:t>Gelberg</w:t>
      </w:r>
      <w:proofErr w:type="spellEnd"/>
      <w:r>
        <w:t xml:space="preserve">, Lillian, Liu, </w:t>
      </w:r>
      <w:proofErr w:type="spellStart"/>
      <w:r>
        <w:t>Honghu</w:t>
      </w:r>
      <w:proofErr w:type="spellEnd"/>
      <w:r>
        <w:t xml:space="preserve">, y Shapiro, Martin. </w:t>
      </w:r>
      <w:r w:rsidRPr="00951B0F">
        <w:rPr>
          <w:lang w:val="en-US"/>
        </w:rPr>
        <w:t>«Mental health and health-related quality of life among adult Latino primary care patients living in the United</w:t>
      </w:r>
      <w:r w:rsidRPr="00951B0F">
        <w:rPr>
          <w:spacing w:val="-15"/>
          <w:lang w:val="en-US"/>
        </w:rPr>
        <w:t xml:space="preserve"> </w:t>
      </w:r>
      <w:r w:rsidRPr="00951B0F">
        <w:rPr>
          <w:lang w:val="en-US"/>
        </w:rPr>
        <w:t>States</w:t>
      </w:r>
      <w:r w:rsidRPr="00951B0F">
        <w:rPr>
          <w:spacing w:val="-15"/>
          <w:lang w:val="en-US"/>
        </w:rPr>
        <w:t xml:space="preserve"> </w:t>
      </w:r>
      <w:r w:rsidRPr="00951B0F">
        <w:rPr>
          <w:lang w:val="en-US"/>
        </w:rPr>
        <w:t>with</w:t>
      </w:r>
      <w:r w:rsidRPr="00951B0F">
        <w:rPr>
          <w:spacing w:val="-15"/>
          <w:lang w:val="en-US"/>
        </w:rPr>
        <w:t xml:space="preserve"> </w:t>
      </w:r>
      <w:r w:rsidRPr="00951B0F">
        <w:rPr>
          <w:lang w:val="en-US"/>
        </w:rPr>
        <w:t>previous</w:t>
      </w:r>
      <w:r w:rsidRPr="00951B0F">
        <w:rPr>
          <w:spacing w:val="-15"/>
          <w:lang w:val="en-US"/>
        </w:rPr>
        <w:t xml:space="preserve"> </w:t>
      </w:r>
      <w:r w:rsidRPr="00951B0F">
        <w:rPr>
          <w:lang w:val="en-US"/>
        </w:rPr>
        <w:t>exposure</w:t>
      </w:r>
      <w:r w:rsidRPr="00951B0F">
        <w:rPr>
          <w:spacing w:val="-15"/>
          <w:lang w:val="en-US"/>
        </w:rPr>
        <w:t xml:space="preserve"> </w:t>
      </w:r>
      <w:r w:rsidRPr="00951B0F">
        <w:rPr>
          <w:lang w:val="en-US"/>
        </w:rPr>
        <w:t>to</w:t>
      </w:r>
      <w:r w:rsidRPr="00951B0F">
        <w:rPr>
          <w:spacing w:val="-15"/>
          <w:lang w:val="en-US"/>
        </w:rPr>
        <w:t xml:space="preserve"> </w:t>
      </w:r>
      <w:r w:rsidRPr="00951B0F">
        <w:rPr>
          <w:lang w:val="en-US"/>
        </w:rPr>
        <w:t>political</w:t>
      </w:r>
      <w:r w:rsidRPr="00951B0F">
        <w:rPr>
          <w:spacing w:val="-15"/>
          <w:lang w:val="en-US"/>
        </w:rPr>
        <w:t xml:space="preserve"> </w:t>
      </w:r>
      <w:r w:rsidRPr="00951B0F">
        <w:rPr>
          <w:lang w:val="en-US"/>
        </w:rPr>
        <w:t>violence».</w:t>
      </w:r>
      <w:r w:rsidRPr="00951B0F">
        <w:rPr>
          <w:spacing w:val="-15"/>
          <w:lang w:val="en-US"/>
        </w:rPr>
        <w:t xml:space="preserve"> </w:t>
      </w:r>
      <w:r w:rsidRPr="00951B0F">
        <w:rPr>
          <w:i/>
          <w:lang w:val="en-US"/>
        </w:rPr>
        <w:t>Journal</w:t>
      </w:r>
      <w:r w:rsidRPr="00951B0F">
        <w:rPr>
          <w:i/>
          <w:spacing w:val="-15"/>
          <w:lang w:val="en-US"/>
        </w:rPr>
        <w:t xml:space="preserve"> </w:t>
      </w:r>
      <w:r w:rsidRPr="00951B0F">
        <w:rPr>
          <w:i/>
          <w:lang w:val="en-US"/>
        </w:rPr>
        <w:t>of</w:t>
      </w:r>
      <w:r w:rsidRPr="00951B0F">
        <w:rPr>
          <w:i/>
          <w:spacing w:val="-15"/>
          <w:lang w:val="en-US"/>
        </w:rPr>
        <w:t xml:space="preserve"> </w:t>
      </w:r>
      <w:r w:rsidRPr="00951B0F">
        <w:rPr>
          <w:i/>
          <w:lang w:val="en-US"/>
        </w:rPr>
        <w:t>the</w:t>
      </w:r>
      <w:r w:rsidRPr="00951B0F">
        <w:rPr>
          <w:i/>
          <w:spacing w:val="-15"/>
          <w:lang w:val="en-US"/>
        </w:rPr>
        <w:t xml:space="preserve"> </w:t>
      </w:r>
      <w:r w:rsidRPr="00951B0F">
        <w:rPr>
          <w:i/>
          <w:lang w:val="en-US"/>
        </w:rPr>
        <w:t xml:space="preserve">American Medical Association </w:t>
      </w:r>
      <w:r w:rsidRPr="00951B0F">
        <w:rPr>
          <w:lang w:val="en-US"/>
        </w:rPr>
        <w:t>290 (</w:t>
      </w:r>
      <w:proofErr w:type="spellStart"/>
      <w:r w:rsidRPr="00951B0F">
        <w:rPr>
          <w:lang w:val="en-US"/>
        </w:rPr>
        <w:t>n.</w:t>
      </w:r>
      <w:r w:rsidRPr="00951B0F">
        <w:rPr>
          <w:vertAlign w:val="superscript"/>
          <w:lang w:val="en-US"/>
        </w:rPr>
        <w:t>o</w:t>
      </w:r>
      <w:proofErr w:type="spellEnd"/>
      <w:r w:rsidRPr="00951B0F">
        <w:rPr>
          <w:lang w:val="en-US"/>
        </w:rPr>
        <w:t xml:space="preserve"> 5, 2003): 627-34.</w:t>
      </w:r>
    </w:p>
    <w:p w:rsidR="003804AC" w:rsidRDefault="00AF18A5" w:rsidP="00F80BCD">
      <w:r w:rsidRPr="00951B0F">
        <w:rPr>
          <w:lang w:val="en-US"/>
        </w:rPr>
        <w:t xml:space="preserve">El </w:t>
      </w:r>
      <w:proofErr w:type="spellStart"/>
      <w:r w:rsidRPr="00951B0F">
        <w:rPr>
          <w:lang w:val="en-US"/>
        </w:rPr>
        <w:t>Espectador</w:t>
      </w:r>
      <w:proofErr w:type="spellEnd"/>
      <w:r w:rsidRPr="00951B0F">
        <w:rPr>
          <w:lang w:val="en-US"/>
        </w:rPr>
        <w:t xml:space="preserve">. </w:t>
      </w:r>
      <w:r>
        <w:t xml:space="preserve">«La cuestionable estrategia de campaña del No». Acceso el 21 de junio de </w:t>
      </w:r>
      <w:r>
        <w:rPr>
          <w:spacing w:val="-2"/>
        </w:rPr>
        <w:t>2022.</w:t>
      </w:r>
      <w:r>
        <w:tab/>
      </w:r>
      <w:r>
        <w:rPr>
          <w:spacing w:val="-2"/>
        </w:rPr>
        <w:t>https</w:t>
      </w:r>
      <w:hyperlink r:id="rId11">
        <w:r>
          <w:rPr>
            <w:spacing w:val="-2"/>
          </w:rPr>
          <w:t>://w</w:t>
        </w:r>
      </w:hyperlink>
      <w:r>
        <w:rPr>
          <w:spacing w:val="-2"/>
        </w:rPr>
        <w:t>ww.</w:t>
      </w:r>
      <w:hyperlink r:id="rId12">
        <w:r>
          <w:rPr>
            <w:spacing w:val="-2"/>
          </w:rPr>
          <w:t>elespectador.com/politica/la-cuestionable-estrategia-de-</w:t>
        </w:r>
      </w:hyperlink>
      <w:r>
        <w:rPr>
          <w:spacing w:val="-2"/>
        </w:rPr>
        <w:t xml:space="preserve"> campana-del-no-article-658862/.</w:t>
      </w:r>
    </w:p>
    <w:p w:rsidR="003804AC" w:rsidRDefault="00AF18A5" w:rsidP="00F80BCD">
      <w:r>
        <w:t xml:space="preserve">Entrevista 1041-CO-00501. Funcionarios del Ministerio de Salud. Tomada por Comisión para el Esclarecimiento de la Verdad, la Convivencia y la No Repetición - CEV. </w:t>
      </w:r>
      <w:r>
        <w:rPr>
          <w:spacing w:val="-2"/>
        </w:rPr>
        <w:t>2020.</w:t>
      </w:r>
    </w:p>
    <w:p w:rsidR="003804AC" w:rsidRDefault="00AF18A5" w:rsidP="00F80BCD">
      <w:r>
        <w:t>Gobierno</w:t>
      </w:r>
      <w:r>
        <w:rPr>
          <w:spacing w:val="-7"/>
        </w:rPr>
        <w:t xml:space="preserve"> </w:t>
      </w:r>
      <w:r>
        <w:t>de</w:t>
      </w:r>
      <w:r>
        <w:rPr>
          <w:spacing w:val="-9"/>
        </w:rPr>
        <w:t xml:space="preserve"> </w:t>
      </w:r>
      <w:r>
        <w:t>Colombia.</w:t>
      </w:r>
      <w:r>
        <w:rPr>
          <w:spacing w:val="-7"/>
        </w:rPr>
        <w:t xml:space="preserve"> </w:t>
      </w:r>
      <w:r>
        <w:t>«Registro</w:t>
      </w:r>
      <w:r>
        <w:rPr>
          <w:spacing w:val="-8"/>
        </w:rPr>
        <w:t xml:space="preserve"> </w:t>
      </w:r>
      <w:r>
        <w:t>Único</w:t>
      </w:r>
      <w:r>
        <w:rPr>
          <w:spacing w:val="-7"/>
        </w:rPr>
        <w:t xml:space="preserve"> </w:t>
      </w:r>
      <w:r>
        <w:t>de</w:t>
      </w:r>
      <w:r>
        <w:rPr>
          <w:spacing w:val="-7"/>
        </w:rPr>
        <w:t xml:space="preserve"> </w:t>
      </w:r>
      <w:r>
        <w:t>Víctimas</w:t>
      </w:r>
      <w:r>
        <w:rPr>
          <w:spacing w:val="-7"/>
        </w:rPr>
        <w:t xml:space="preserve"> </w:t>
      </w:r>
      <w:r>
        <w:t>(RUV)».</w:t>
      </w:r>
      <w:r>
        <w:rPr>
          <w:spacing w:val="-8"/>
        </w:rPr>
        <w:t xml:space="preserve"> </w:t>
      </w:r>
      <w:r>
        <w:t>Acceso</w:t>
      </w:r>
      <w:r>
        <w:rPr>
          <w:spacing w:val="-7"/>
        </w:rPr>
        <w:t xml:space="preserve"> </w:t>
      </w:r>
      <w:r>
        <w:t>el</w:t>
      </w:r>
      <w:r>
        <w:rPr>
          <w:spacing w:val="-8"/>
        </w:rPr>
        <w:t xml:space="preserve"> </w:t>
      </w:r>
      <w:r>
        <w:t>21</w:t>
      </w:r>
      <w:r>
        <w:rPr>
          <w:spacing w:val="-8"/>
        </w:rPr>
        <w:t xml:space="preserve"> </w:t>
      </w:r>
      <w:r>
        <w:t>de</w:t>
      </w:r>
      <w:r>
        <w:rPr>
          <w:spacing w:val="-7"/>
        </w:rPr>
        <w:t xml:space="preserve"> </w:t>
      </w:r>
      <w:r>
        <w:t>junio</w:t>
      </w:r>
      <w:r>
        <w:rPr>
          <w:spacing w:val="-7"/>
        </w:rPr>
        <w:t xml:space="preserve"> </w:t>
      </w:r>
      <w:r>
        <w:t>de</w:t>
      </w:r>
      <w:r>
        <w:rPr>
          <w:spacing w:val="-9"/>
        </w:rPr>
        <w:t xml:space="preserve"> </w:t>
      </w:r>
      <w:r>
        <w:t>2022. https://</w:t>
      </w:r>
      <w:hyperlink r:id="rId13">
        <w:r>
          <w:t>www.unidadvictimas.gov.co/es/registro-unico-de-victimas-ruv/37394.</w:t>
        </w:r>
      </w:hyperlink>
    </w:p>
    <w:p w:rsidR="003804AC" w:rsidRDefault="00AF18A5" w:rsidP="00F80BCD">
      <w:r>
        <w:t>Entrevista</w:t>
      </w:r>
      <w:r>
        <w:rPr>
          <w:spacing w:val="-10"/>
        </w:rPr>
        <w:t xml:space="preserve"> </w:t>
      </w:r>
      <w:r>
        <w:t>236-VI-00001.</w:t>
      </w:r>
      <w:r>
        <w:rPr>
          <w:spacing w:val="-10"/>
        </w:rPr>
        <w:t xml:space="preserve"> </w:t>
      </w:r>
      <w:r>
        <w:t>Hombre,</w:t>
      </w:r>
      <w:r>
        <w:rPr>
          <w:spacing w:val="-11"/>
        </w:rPr>
        <w:t xml:space="preserve"> </w:t>
      </w:r>
      <w:r>
        <w:t>afrocolombiano,</w:t>
      </w:r>
      <w:r>
        <w:rPr>
          <w:spacing w:val="-10"/>
        </w:rPr>
        <w:t xml:space="preserve"> </w:t>
      </w:r>
      <w:r>
        <w:t>activista</w:t>
      </w:r>
      <w:r>
        <w:rPr>
          <w:spacing w:val="-10"/>
        </w:rPr>
        <w:t xml:space="preserve"> </w:t>
      </w:r>
      <w:r>
        <w:t>juvenil.</w:t>
      </w:r>
      <w:r>
        <w:rPr>
          <w:spacing w:val="-10"/>
        </w:rPr>
        <w:t xml:space="preserve"> </w:t>
      </w:r>
      <w:r>
        <w:t>Tomada</w:t>
      </w:r>
      <w:r>
        <w:rPr>
          <w:spacing w:val="-10"/>
        </w:rPr>
        <w:t xml:space="preserve"> </w:t>
      </w:r>
      <w:r>
        <w:t>por</w:t>
      </w:r>
      <w:r>
        <w:rPr>
          <w:spacing w:val="-11"/>
        </w:rPr>
        <w:t xml:space="preserve"> </w:t>
      </w:r>
      <w:r>
        <w:t xml:space="preserve">Comisión para el Esclarecimiento de la Verdad, la Convivencia y la No Repetición - CEV. </w:t>
      </w:r>
      <w:r>
        <w:rPr>
          <w:spacing w:val="-2"/>
        </w:rPr>
        <w:t>2019.</w:t>
      </w:r>
    </w:p>
    <w:p w:rsidR="0011361F" w:rsidRDefault="00AF18A5" w:rsidP="00F80BCD">
      <w:r>
        <w:t>Entrevista</w:t>
      </w:r>
      <w:r>
        <w:rPr>
          <w:spacing w:val="-12"/>
        </w:rPr>
        <w:t xml:space="preserve"> </w:t>
      </w:r>
      <w:r>
        <w:t>137-VI-00003.</w:t>
      </w:r>
      <w:r>
        <w:rPr>
          <w:spacing w:val="-10"/>
        </w:rPr>
        <w:t xml:space="preserve"> </w:t>
      </w:r>
      <w:r>
        <w:t>Hombre,</w:t>
      </w:r>
      <w:r>
        <w:rPr>
          <w:spacing w:val="-10"/>
        </w:rPr>
        <w:t xml:space="preserve"> </w:t>
      </w:r>
      <w:r>
        <w:t>agricultor,</w:t>
      </w:r>
      <w:r>
        <w:rPr>
          <w:spacing w:val="-10"/>
        </w:rPr>
        <w:t xml:space="preserve"> </w:t>
      </w:r>
      <w:r>
        <w:t>líder</w:t>
      </w:r>
      <w:r>
        <w:rPr>
          <w:spacing w:val="-10"/>
        </w:rPr>
        <w:t xml:space="preserve"> </w:t>
      </w:r>
      <w:r>
        <w:t>comunitario.</w:t>
      </w:r>
      <w:r>
        <w:rPr>
          <w:spacing w:val="-10"/>
        </w:rPr>
        <w:t xml:space="preserve"> </w:t>
      </w:r>
      <w:r>
        <w:t>Tomada</w:t>
      </w:r>
      <w:r>
        <w:rPr>
          <w:spacing w:val="-9"/>
        </w:rPr>
        <w:t xml:space="preserve"> </w:t>
      </w:r>
      <w:r>
        <w:t>por</w:t>
      </w:r>
      <w:r>
        <w:rPr>
          <w:spacing w:val="-9"/>
        </w:rPr>
        <w:t xml:space="preserve"> </w:t>
      </w:r>
      <w:r>
        <w:t>Comisión</w:t>
      </w:r>
      <w:r>
        <w:rPr>
          <w:spacing w:val="-10"/>
        </w:rPr>
        <w:t xml:space="preserve"> </w:t>
      </w:r>
      <w:r>
        <w:rPr>
          <w:spacing w:val="-4"/>
        </w:rPr>
        <w:t>para</w:t>
      </w:r>
      <w:r w:rsidR="00F80BCD">
        <w:t xml:space="preserve"> </w:t>
      </w:r>
      <w:r>
        <w:t>el</w:t>
      </w:r>
      <w:r>
        <w:rPr>
          <w:spacing w:val="-2"/>
        </w:rPr>
        <w:t xml:space="preserve"> </w:t>
      </w:r>
      <w:r>
        <w:t>Esclarecimiento</w:t>
      </w:r>
      <w:r>
        <w:rPr>
          <w:spacing w:val="-1"/>
        </w:rPr>
        <w:t xml:space="preserve"> </w:t>
      </w:r>
      <w:r>
        <w:t>de</w:t>
      </w:r>
      <w:r>
        <w:rPr>
          <w:spacing w:val="-1"/>
        </w:rPr>
        <w:t xml:space="preserve"> </w:t>
      </w:r>
      <w:r>
        <w:t>la</w:t>
      </w:r>
      <w:r>
        <w:rPr>
          <w:spacing w:val="-2"/>
        </w:rPr>
        <w:t xml:space="preserve"> </w:t>
      </w:r>
      <w:r>
        <w:t>Verdad,</w:t>
      </w:r>
      <w:r>
        <w:rPr>
          <w:spacing w:val="-1"/>
        </w:rPr>
        <w:t xml:space="preserve"> </w:t>
      </w:r>
      <w:r>
        <w:t>la</w:t>
      </w:r>
      <w:r>
        <w:rPr>
          <w:spacing w:val="-2"/>
        </w:rPr>
        <w:t xml:space="preserve"> </w:t>
      </w:r>
      <w:r>
        <w:t>Convivencia</w:t>
      </w:r>
      <w:r>
        <w:rPr>
          <w:spacing w:val="-3"/>
        </w:rPr>
        <w:t xml:space="preserve"> </w:t>
      </w:r>
      <w:r>
        <w:t>y</w:t>
      </w:r>
      <w:r>
        <w:rPr>
          <w:spacing w:val="-1"/>
        </w:rPr>
        <w:t xml:space="preserve"> </w:t>
      </w:r>
      <w:r>
        <w:t>la</w:t>
      </w:r>
      <w:r>
        <w:rPr>
          <w:spacing w:val="-1"/>
        </w:rPr>
        <w:t xml:space="preserve"> </w:t>
      </w:r>
      <w:r>
        <w:t>No</w:t>
      </w:r>
      <w:r>
        <w:rPr>
          <w:spacing w:val="-1"/>
        </w:rPr>
        <w:t xml:space="preserve"> </w:t>
      </w:r>
      <w:r>
        <w:t>Repetición</w:t>
      </w:r>
      <w:r>
        <w:rPr>
          <w:spacing w:val="-1"/>
        </w:rPr>
        <w:t xml:space="preserve"> </w:t>
      </w:r>
      <w:r>
        <w:t>-</w:t>
      </w:r>
      <w:r>
        <w:rPr>
          <w:spacing w:val="-1"/>
        </w:rPr>
        <w:t xml:space="preserve"> </w:t>
      </w:r>
      <w:r>
        <w:t>CEV.</w:t>
      </w:r>
      <w:r>
        <w:rPr>
          <w:spacing w:val="-1"/>
        </w:rPr>
        <w:t xml:space="preserve"> </w:t>
      </w:r>
      <w:r>
        <w:rPr>
          <w:spacing w:val="-2"/>
        </w:rPr>
        <w:t>2019.</w:t>
      </w:r>
    </w:p>
    <w:p w:rsidR="003804AC" w:rsidRDefault="00AF18A5" w:rsidP="00F80BCD">
      <w:r>
        <w:t xml:space="preserve">Entrevista 188-VI-00004. Hombre, campesino, caso de amenazas, </w:t>
      </w:r>
      <w:r>
        <w:lastRenderedPageBreak/>
        <w:t>desplazamiento forzado, despojo, homicidio y tortura. Tomada por Comisión para el Esclarecimiento de la Verdad, la Convivencia y la No Repetición - CEV. 2019.</w:t>
      </w:r>
    </w:p>
    <w:p w:rsidR="003804AC" w:rsidRDefault="00AF18A5" w:rsidP="00F80BCD">
      <w:r>
        <w:t>Entrevista 241-VI-00002. Hombre, campesino, caso de desplazamiento forzado y masacre. Tomada</w:t>
      </w:r>
      <w:r>
        <w:rPr>
          <w:spacing w:val="-11"/>
        </w:rPr>
        <w:t xml:space="preserve"> </w:t>
      </w:r>
      <w:r>
        <w:t>por</w:t>
      </w:r>
      <w:r>
        <w:rPr>
          <w:spacing w:val="-10"/>
        </w:rPr>
        <w:t xml:space="preserve"> </w:t>
      </w:r>
      <w:r>
        <w:t>Comisión</w:t>
      </w:r>
      <w:r>
        <w:rPr>
          <w:spacing w:val="-11"/>
        </w:rPr>
        <w:t xml:space="preserve"> </w:t>
      </w:r>
      <w:r>
        <w:t>para</w:t>
      </w:r>
      <w:r>
        <w:rPr>
          <w:spacing w:val="-11"/>
        </w:rPr>
        <w:t xml:space="preserve"> </w:t>
      </w:r>
      <w:r>
        <w:t>el</w:t>
      </w:r>
      <w:r>
        <w:rPr>
          <w:spacing w:val="-10"/>
        </w:rPr>
        <w:t xml:space="preserve"> </w:t>
      </w:r>
      <w:r>
        <w:t>Esclarecimiento</w:t>
      </w:r>
      <w:r>
        <w:rPr>
          <w:spacing w:val="-11"/>
        </w:rPr>
        <w:t xml:space="preserve"> </w:t>
      </w:r>
      <w:r>
        <w:t>de</w:t>
      </w:r>
      <w:r>
        <w:rPr>
          <w:spacing w:val="-12"/>
        </w:rPr>
        <w:t xml:space="preserve"> </w:t>
      </w:r>
      <w:r>
        <w:t>la</w:t>
      </w:r>
      <w:r>
        <w:rPr>
          <w:spacing w:val="-11"/>
        </w:rPr>
        <w:t xml:space="preserve"> </w:t>
      </w:r>
      <w:r>
        <w:t>Verdad,</w:t>
      </w:r>
      <w:r>
        <w:rPr>
          <w:spacing w:val="-11"/>
        </w:rPr>
        <w:t xml:space="preserve"> </w:t>
      </w:r>
      <w:r>
        <w:t>la</w:t>
      </w:r>
      <w:r>
        <w:rPr>
          <w:spacing w:val="-12"/>
        </w:rPr>
        <w:t xml:space="preserve"> </w:t>
      </w:r>
      <w:r>
        <w:t>Convivencia</w:t>
      </w:r>
      <w:r>
        <w:rPr>
          <w:spacing w:val="-11"/>
        </w:rPr>
        <w:t xml:space="preserve"> </w:t>
      </w:r>
      <w:r>
        <w:t>y</w:t>
      </w:r>
      <w:r>
        <w:rPr>
          <w:spacing w:val="-11"/>
        </w:rPr>
        <w:t xml:space="preserve"> </w:t>
      </w:r>
      <w:r>
        <w:t>la</w:t>
      </w:r>
      <w:r>
        <w:rPr>
          <w:spacing w:val="-11"/>
        </w:rPr>
        <w:t xml:space="preserve"> </w:t>
      </w:r>
      <w:r>
        <w:t>No Repetición - CEV. 2019.</w:t>
      </w:r>
    </w:p>
    <w:p w:rsidR="003804AC" w:rsidRDefault="00AF18A5" w:rsidP="00F80BCD">
      <w:r>
        <w:t>Entrevista 084-PR-00331. Hombre, coronel del Ejército, responsable de ejecuciones extrajudiciales. Tomada por Comisión para el Esclarecimiento de la Verdad, la Convivencia y la No Repetición - CEV. 2020.</w:t>
      </w:r>
    </w:p>
    <w:p w:rsidR="003804AC" w:rsidRDefault="00AF18A5" w:rsidP="00F80BCD">
      <w:r>
        <w:t>Entrevista 240-AA-00013. Hombre, excombatiente, excomandante del Bloque Central Bolívar. Tomada por Comisión para el Esclarecimiento de la Verdad, la Convivencia y la No Repetición - CEV. 2020.</w:t>
      </w:r>
    </w:p>
    <w:p w:rsidR="0011361F" w:rsidRDefault="00AF18A5" w:rsidP="00F80BCD">
      <w:r>
        <w:t>Entrevista 578-VI-00004. Hombre, exiliado, familiar de mujer desaparecida. Tomada por Comisión</w:t>
      </w:r>
      <w:r>
        <w:rPr>
          <w:spacing w:val="-1"/>
        </w:rPr>
        <w:t xml:space="preserve"> </w:t>
      </w:r>
      <w:r>
        <w:t>para</w:t>
      </w:r>
      <w:r>
        <w:rPr>
          <w:spacing w:val="1"/>
        </w:rPr>
        <w:t xml:space="preserve"> </w:t>
      </w:r>
      <w:r>
        <w:t>el</w:t>
      </w:r>
      <w:r>
        <w:rPr>
          <w:spacing w:val="1"/>
        </w:rPr>
        <w:t xml:space="preserve"> </w:t>
      </w:r>
      <w:r>
        <w:t>Esclarecimiento de</w:t>
      </w:r>
      <w:r>
        <w:rPr>
          <w:spacing w:val="-1"/>
        </w:rPr>
        <w:t xml:space="preserve"> </w:t>
      </w:r>
      <w:r>
        <w:t>la</w:t>
      </w:r>
      <w:r>
        <w:rPr>
          <w:spacing w:val="1"/>
        </w:rPr>
        <w:t xml:space="preserve"> </w:t>
      </w:r>
      <w:r>
        <w:t>Verdad,</w:t>
      </w:r>
      <w:r>
        <w:rPr>
          <w:spacing w:val="1"/>
        </w:rPr>
        <w:t xml:space="preserve"> </w:t>
      </w:r>
      <w:r>
        <w:t>la</w:t>
      </w:r>
      <w:r>
        <w:rPr>
          <w:spacing w:val="1"/>
        </w:rPr>
        <w:t xml:space="preserve"> </w:t>
      </w:r>
      <w:r>
        <w:t>Convivencia y la No</w:t>
      </w:r>
      <w:r>
        <w:rPr>
          <w:spacing w:val="1"/>
        </w:rPr>
        <w:t xml:space="preserve"> </w:t>
      </w:r>
      <w:r>
        <w:rPr>
          <w:spacing w:val="-2"/>
        </w:rPr>
        <w:t>Repetición</w:t>
      </w:r>
      <w:r>
        <w:t>-</w:t>
      </w:r>
      <w:r>
        <w:rPr>
          <w:spacing w:val="-2"/>
        </w:rPr>
        <w:t xml:space="preserve"> </w:t>
      </w:r>
      <w:r>
        <w:t>CEV.</w:t>
      </w:r>
      <w:r>
        <w:rPr>
          <w:spacing w:val="-1"/>
        </w:rPr>
        <w:t xml:space="preserve"> </w:t>
      </w:r>
      <w:r>
        <w:rPr>
          <w:spacing w:val="-2"/>
        </w:rPr>
        <w:t>2020.</w:t>
      </w:r>
    </w:p>
    <w:p w:rsidR="003804AC" w:rsidRDefault="00AF18A5" w:rsidP="00F80BCD">
      <w:r>
        <w:t>Entrevista 29-OI-623b69004fbc441b4622dc22. Hombre, exmilitar, responsable de ejecuciones extrajudiciales. Tomada por Comisión para el Esclarecimiento de la Verdad, la Convivencia y la No Repetición - CEV. 2022.</w:t>
      </w:r>
    </w:p>
    <w:p w:rsidR="0011361F" w:rsidRPr="00F80BCD" w:rsidRDefault="00AF18A5" w:rsidP="00F80BCD">
      <w:pPr>
        <w:rPr>
          <w:lang w:val="es-CO"/>
        </w:rPr>
      </w:pPr>
      <w:r>
        <w:t>Entrevista 190-VI-00077. Hombre, funcionario público, caso de amenazas. Tomada por Comisión</w:t>
      </w:r>
      <w:r>
        <w:rPr>
          <w:spacing w:val="-1"/>
        </w:rPr>
        <w:t xml:space="preserve"> </w:t>
      </w:r>
      <w:r>
        <w:t>para</w:t>
      </w:r>
      <w:r>
        <w:rPr>
          <w:spacing w:val="1"/>
        </w:rPr>
        <w:t xml:space="preserve"> </w:t>
      </w:r>
      <w:r>
        <w:t>el</w:t>
      </w:r>
      <w:r>
        <w:rPr>
          <w:spacing w:val="1"/>
        </w:rPr>
        <w:t xml:space="preserve"> </w:t>
      </w:r>
      <w:r>
        <w:t>Esclarecimiento de</w:t>
      </w:r>
      <w:r>
        <w:rPr>
          <w:spacing w:val="-1"/>
        </w:rPr>
        <w:t xml:space="preserve"> </w:t>
      </w:r>
      <w:r>
        <w:t>la</w:t>
      </w:r>
      <w:r>
        <w:rPr>
          <w:spacing w:val="1"/>
        </w:rPr>
        <w:t xml:space="preserve"> </w:t>
      </w:r>
      <w:r>
        <w:t>Verdad,</w:t>
      </w:r>
      <w:r>
        <w:rPr>
          <w:spacing w:val="1"/>
        </w:rPr>
        <w:t xml:space="preserve"> </w:t>
      </w:r>
      <w:r>
        <w:t>la</w:t>
      </w:r>
      <w:r>
        <w:rPr>
          <w:spacing w:val="1"/>
        </w:rPr>
        <w:t xml:space="preserve"> </w:t>
      </w:r>
      <w:r>
        <w:t>Convivencia y la No</w:t>
      </w:r>
      <w:r>
        <w:rPr>
          <w:spacing w:val="1"/>
        </w:rPr>
        <w:t xml:space="preserve"> </w:t>
      </w:r>
      <w:r>
        <w:rPr>
          <w:spacing w:val="-2"/>
        </w:rPr>
        <w:t>Repetición</w:t>
      </w:r>
      <w:r w:rsidR="00F80BCD">
        <w:rPr>
          <w:spacing w:val="-2"/>
        </w:rPr>
        <w:t xml:space="preserve"> </w:t>
      </w:r>
      <w:r w:rsidRPr="00F80BCD">
        <w:rPr>
          <w:lang w:val="es-CO"/>
        </w:rPr>
        <w:t>-</w:t>
      </w:r>
      <w:r w:rsidRPr="00F80BCD">
        <w:rPr>
          <w:spacing w:val="-2"/>
          <w:lang w:val="es-CO"/>
        </w:rPr>
        <w:t xml:space="preserve"> </w:t>
      </w:r>
      <w:r w:rsidRPr="00F80BCD">
        <w:rPr>
          <w:lang w:val="es-CO"/>
        </w:rPr>
        <w:t>CEV.</w:t>
      </w:r>
      <w:r w:rsidRPr="00F80BCD">
        <w:rPr>
          <w:spacing w:val="-1"/>
          <w:lang w:val="es-CO"/>
        </w:rPr>
        <w:t xml:space="preserve"> </w:t>
      </w:r>
      <w:r w:rsidRPr="00F80BCD">
        <w:rPr>
          <w:spacing w:val="-2"/>
          <w:lang w:val="es-CO"/>
        </w:rPr>
        <w:t>2019.</w:t>
      </w:r>
    </w:p>
    <w:p w:rsidR="003804AC" w:rsidRDefault="00AF18A5" w:rsidP="00F80BCD">
      <w:r w:rsidRPr="00951B0F">
        <w:rPr>
          <w:lang w:val="it-IT"/>
        </w:rPr>
        <w:t xml:space="preserve">Entrevista 139-VI-00085. Hombre, mestizo, comerciante. </w:t>
      </w:r>
      <w:r>
        <w:t xml:space="preserve">Tomada por Comisión para el Esclarecimiento de la Verdad, la Convivencia y la No </w:t>
      </w:r>
      <w:r>
        <w:lastRenderedPageBreak/>
        <w:t>Repetición - CEV. 2019.</w:t>
      </w:r>
    </w:p>
    <w:p w:rsidR="003804AC" w:rsidRDefault="00AF18A5" w:rsidP="00F80BCD">
      <w:r>
        <w:t>Entrevista 136-VI-00039. Hombre, presidente de JAC, caso de amenazas, desplazamiento forzado, homicidio, secuestro y tortura. Tomada por Comisión para el Esclarecimiento de la Verdad, la Convivencia y la No Repetición - CEV. 2019.</w:t>
      </w:r>
    </w:p>
    <w:p w:rsidR="003804AC" w:rsidRDefault="00AF18A5" w:rsidP="00F80BCD">
      <w:r>
        <w:t>Entrevista 311-PR-00427. Hombre, sindicalista, caso de amenazas, persecución y seguimientos. Tomada por Comisión para el Esclarecimiento de la Verdad, la Convivencia y la No Repetición - CEV. 2020.</w:t>
      </w:r>
    </w:p>
    <w:p w:rsidR="003804AC" w:rsidRDefault="00AF18A5" w:rsidP="00F80BCD">
      <w:r>
        <w:t xml:space="preserve">Ministerio de Salud y Protección Social (Minsalud). «Evaluación Programa de Atención Psicosocial y Salud Integral a Víctimas - PAPSIVI. Informe final». 2020. </w:t>
      </w:r>
      <w:r>
        <w:rPr>
          <w:spacing w:val="-2"/>
        </w:rPr>
        <w:t>https:</w:t>
      </w:r>
      <w:hyperlink r:id="rId14">
        <w:r>
          <w:rPr>
            <w:spacing w:val="-2"/>
          </w:rPr>
          <w:t>//w</w:t>
        </w:r>
      </w:hyperlink>
      <w:r>
        <w:rPr>
          <w:spacing w:val="-2"/>
        </w:rPr>
        <w:t>ww</w:t>
      </w:r>
      <w:hyperlink r:id="rId15">
        <w:r>
          <w:rPr>
            <w:spacing w:val="-2"/>
          </w:rPr>
          <w:t>.minsalud.gov.co/sites/rid/Lists/BibliotecaDigital/RIDE/DE/PS/inform</w:t>
        </w:r>
      </w:hyperlink>
      <w:r>
        <w:rPr>
          <w:spacing w:val="-2"/>
        </w:rPr>
        <w:t xml:space="preserve"> e-final-evaluacion-resultados-papsivi-ps.pdf.</w:t>
      </w:r>
    </w:p>
    <w:p w:rsidR="0011361F" w:rsidRDefault="00AF18A5" w:rsidP="001A3259">
      <w:r>
        <w:t>Molano,</w:t>
      </w:r>
      <w:r>
        <w:rPr>
          <w:spacing w:val="-4"/>
        </w:rPr>
        <w:t xml:space="preserve"> </w:t>
      </w:r>
      <w:r>
        <w:t>Alfredo.</w:t>
      </w:r>
      <w:r>
        <w:rPr>
          <w:spacing w:val="-2"/>
        </w:rPr>
        <w:t xml:space="preserve"> </w:t>
      </w:r>
      <w:r>
        <w:rPr>
          <w:i/>
        </w:rPr>
        <w:t>Desterrados:</w:t>
      </w:r>
      <w:r>
        <w:rPr>
          <w:i/>
          <w:spacing w:val="-2"/>
        </w:rPr>
        <w:t xml:space="preserve"> </w:t>
      </w:r>
      <w:r>
        <w:rPr>
          <w:i/>
        </w:rPr>
        <w:t>crónicas</w:t>
      </w:r>
      <w:r>
        <w:rPr>
          <w:i/>
          <w:spacing w:val="-1"/>
        </w:rPr>
        <w:t xml:space="preserve"> </w:t>
      </w:r>
      <w:r>
        <w:rPr>
          <w:i/>
        </w:rPr>
        <w:t>del</w:t>
      </w:r>
      <w:r>
        <w:rPr>
          <w:i/>
          <w:spacing w:val="-2"/>
        </w:rPr>
        <w:t xml:space="preserve"> </w:t>
      </w:r>
      <w:r>
        <w:rPr>
          <w:i/>
        </w:rPr>
        <w:t>desarraigo</w:t>
      </w:r>
      <w:r>
        <w:t>.</w:t>
      </w:r>
      <w:r>
        <w:rPr>
          <w:spacing w:val="-2"/>
        </w:rPr>
        <w:t xml:space="preserve"> </w:t>
      </w:r>
      <w:r>
        <w:t>Bogotá</w:t>
      </w:r>
      <w:r>
        <w:rPr>
          <w:spacing w:val="-1"/>
        </w:rPr>
        <w:t xml:space="preserve"> </w:t>
      </w:r>
      <w:r>
        <w:t>D.C.:</w:t>
      </w:r>
      <w:r>
        <w:rPr>
          <w:spacing w:val="-2"/>
        </w:rPr>
        <w:t xml:space="preserve"> </w:t>
      </w:r>
      <w:r>
        <w:t>El</w:t>
      </w:r>
      <w:r>
        <w:rPr>
          <w:spacing w:val="-3"/>
        </w:rPr>
        <w:t xml:space="preserve"> </w:t>
      </w:r>
      <w:r>
        <w:t>Ancora,</w:t>
      </w:r>
      <w:r>
        <w:rPr>
          <w:spacing w:val="-1"/>
        </w:rPr>
        <w:t xml:space="preserve"> </w:t>
      </w:r>
      <w:r>
        <w:rPr>
          <w:spacing w:val="-2"/>
        </w:rPr>
        <w:t>2001.</w:t>
      </w:r>
    </w:p>
    <w:p w:rsidR="003804AC" w:rsidRDefault="00AF18A5" w:rsidP="001A3259">
      <w:r>
        <w:t>Entrevista 040-VI-00011. Mujer, activista, caso de desplazamiento forzado, homicidio, reclutamiento. Tomada por Comisión para el Esclarecimiento de la Verdad, la Convivencia y la No Repetición - CEV. 2019.</w:t>
      </w:r>
    </w:p>
    <w:p w:rsidR="003804AC" w:rsidRDefault="00AF18A5" w:rsidP="001A3259">
      <w:r>
        <w:t>Entrevista</w:t>
      </w:r>
      <w:r>
        <w:rPr>
          <w:spacing w:val="-7"/>
        </w:rPr>
        <w:t xml:space="preserve"> </w:t>
      </w:r>
      <w:r>
        <w:t>199-VI-00021.</w:t>
      </w:r>
      <w:r>
        <w:rPr>
          <w:spacing w:val="-7"/>
        </w:rPr>
        <w:t xml:space="preserve"> </w:t>
      </w:r>
      <w:r>
        <w:t>Mujer,</w:t>
      </w:r>
      <w:r>
        <w:rPr>
          <w:spacing w:val="-7"/>
        </w:rPr>
        <w:t xml:space="preserve"> </w:t>
      </w:r>
      <w:r>
        <w:t>afrocolombiana,</w:t>
      </w:r>
      <w:r>
        <w:rPr>
          <w:spacing w:val="-7"/>
        </w:rPr>
        <w:t xml:space="preserve"> </w:t>
      </w:r>
      <w:r>
        <w:t>caso</w:t>
      </w:r>
      <w:r>
        <w:rPr>
          <w:spacing w:val="-7"/>
        </w:rPr>
        <w:t xml:space="preserve"> </w:t>
      </w:r>
      <w:r>
        <w:t>de</w:t>
      </w:r>
      <w:r>
        <w:rPr>
          <w:spacing w:val="-7"/>
        </w:rPr>
        <w:t xml:space="preserve"> </w:t>
      </w:r>
      <w:r>
        <w:t>amenazas,</w:t>
      </w:r>
      <w:r>
        <w:rPr>
          <w:spacing w:val="-7"/>
        </w:rPr>
        <w:t xml:space="preserve"> </w:t>
      </w:r>
      <w:r>
        <w:t>desaparición</w:t>
      </w:r>
      <w:r>
        <w:rPr>
          <w:spacing w:val="-7"/>
        </w:rPr>
        <w:t xml:space="preserve"> </w:t>
      </w:r>
      <w:r>
        <w:t>forzada</w:t>
      </w:r>
      <w:r>
        <w:rPr>
          <w:spacing w:val="-7"/>
        </w:rPr>
        <w:t xml:space="preserve"> </w:t>
      </w:r>
      <w:r>
        <w:t>y homicidio. Tomada por Comisión para el Esclarecimiento de la Verdad, la Convivencia y la No Repetición - CEV. 2019.</w:t>
      </w:r>
    </w:p>
    <w:p w:rsidR="003804AC" w:rsidRDefault="00AF18A5" w:rsidP="001A3259">
      <w:r>
        <w:t xml:space="preserve">Entrevista 216-VI-00017. Mujer, campesina, caso de amenaza, atentado </w:t>
      </w:r>
      <w:r>
        <w:lastRenderedPageBreak/>
        <w:t>y desplazamiento forzado. Tomada por Comisión para el Esclarecimiento de la Verdad, la Convivencia y la No Repetición - CEV. 2019.</w:t>
      </w:r>
    </w:p>
    <w:p w:rsidR="003804AC" w:rsidRDefault="00AF18A5" w:rsidP="001A3259">
      <w:r>
        <w:t>Entrevista 059-VI-00014. Mujer, campesina, caso de amenazas, desplazamiento forzado y despojo de tierras. Tomada por Comisión para el Esclarecimiento de la Verdad, la Convivencia y la No Repetición - CEV. 2019.</w:t>
      </w:r>
    </w:p>
    <w:p w:rsidR="003804AC" w:rsidRDefault="00AF18A5" w:rsidP="001A3259">
      <w:r>
        <w:t>Entrevista 109-VI-00005. Mujer, campesina, caso de violencia sexual y amenazas. Tomada por Comisión para el Esclarecimiento de la Verdad, la Convivencia y la No Repetición - CEV. 2019.</w:t>
      </w:r>
    </w:p>
    <w:p w:rsidR="003804AC" w:rsidRDefault="00AF18A5" w:rsidP="001A3259">
      <w:r>
        <w:t>Entrevista 118-VI-00004. Mujer, indígena, familiar de víctima de ejecución extrajudicial. Tomada</w:t>
      </w:r>
      <w:r>
        <w:rPr>
          <w:spacing w:val="-11"/>
        </w:rPr>
        <w:t xml:space="preserve"> </w:t>
      </w:r>
      <w:r>
        <w:t>por</w:t>
      </w:r>
      <w:r>
        <w:rPr>
          <w:spacing w:val="-10"/>
        </w:rPr>
        <w:t xml:space="preserve"> </w:t>
      </w:r>
      <w:r>
        <w:t>Comisión</w:t>
      </w:r>
      <w:r>
        <w:rPr>
          <w:spacing w:val="-11"/>
        </w:rPr>
        <w:t xml:space="preserve"> </w:t>
      </w:r>
      <w:r>
        <w:t>para</w:t>
      </w:r>
      <w:r>
        <w:rPr>
          <w:spacing w:val="-11"/>
        </w:rPr>
        <w:t xml:space="preserve"> </w:t>
      </w:r>
      <w:r>
        <w:t>el</w:t>
      </w:r>
      <w:r>
        <w:rPr>
          <w:spacing w:val="-10"/>
        </w:rPr>
        <w:t xml:space="preserve"> </w:t>
      </w:r>
      <w:r>
        <w:t>Esclarecimiento</w:t>
      </w:r>
      <w:r>
        <w:rPr>
          <w:spacing w:val="-11"/>
        </w:rPr>
        <w:t xml:space="preserve"> </w:t>
      </w:r>
      <w:r>
        <w:t>de</w:t>
      </w:r>
      <w:r>
        <w:rPr>
          <w:spacing w:val="-12"/>
        </w:rPr>
        <w:t xml:space="preserve"> </w:t>
      </w:r>
      <w:r>
        <w:t>la</w:t>
      </w:r>
      <w:r>
        <w:rPr>
          <w:spacing w:val="-11"/>
        </w:rPr>
        <w:t xml:space="preserve"> </w:t>
      </w:r>
      <w:r>
        <w:t>Verdad,</w:t>
      </w:r>
      <w:r>
        <w:rPr>
          <w:spacing w:val="-11"/>
        </w:rPr>
        <w:t xml:space="preserve"> </w:t>
      </w:r>
      <w:r>
        <w:t>la</w:t>
      </w:r>
      <w:r>
        <w:rPr>
          <w:spacing w:val="-12"/>
        </w:rPr>
        <w:t xml:space="preserve"> </w:t>
      </w:r>
      <w:r>
        <w:t>Convivencia</w:t>
      </w:r>
      <w:r>
        <w:rPr>
          <w:spacing w:val="-11"/>
        </w:rPr>
        <w:t xml:space="preserve"> </w:t>
      </w:r>
      <w:r>
        <w:t>y</w:t>
      </w:r>
      <w:r>
        <w:rPr>
          <w:spacing w:val="-11"/>
        </w:rPr>
        <w:t xml:space="preserve"> </w:t>
      </w:r>
      <w:r>
        <w:t>la</w:t>
      </w:r>
      <w:r>
        <w:rPr>
          <w:spacing w:val="-11"/>
        </w:rPr>
        <w:t xml:space="preserve"> </w:t>
      </w:r>
      <w:r>
        <w:t>No Repetición - CEV. 2019.</w:t>
      </w:r>
    </w:p>
    <w:p w:rsidR="0011361F" w:rsidRDefault="00AF18A5" w:rsidP="001A3259">
      <w:r>
        <w:t>Entrevista</w:t>
      </w:r>
      <w:r>
        <w:rPr>
          <w:spacing w:val="25"/>
        </w:rPr>
        <w:t xml:space="preserve"> </w:t>
      </w:r>
      <w:r>
        <w:t>037-VI-00001.</w:t>
      </w:r>
      <w:r>
        <w:rPr>
          <w:spacing w:val="25"/>
        </w:rPr>
        <w:t xml:space="preserve"> </w:t>
      </w:r>
      <w:r>
        <w:t>Mujer,</w:t>
      </w:r>
      <w:r>
        <w:rPr>
          <w:spacing w:val="24"/>
        </w:rPr>
        <w:t xml:space="preserve"> </w:t>
      </w:r>
      <w:r>
        <w:t>lideresa,</w:t>
      </w:r>
      <w:r>
        <w:rPr>
          <w:spacing w:val="24"/>
        </w:rPr>
        <w:t xml:space="preserve"> </w:t>
      </w:r>
      <w:r>
        <w:t>afrocolombiana.</w:t>
      </w:r>
      <w:r>
        <w:rPr>
          <w:spacing w:val="24"/>
        </w:rPr>
        <w:t xml:space="preserve"> </w:t>
      </w:r>
      <w:r>
        <w:t>Tomada</w:t>
      </w:r>
      <w:r>
        <w:rPr>
          <w:spacing w:val="25"/>
        </w:rPr>
        <w:t xml:space="preserve"> </w:t>
      </w:r>
      <w:r>
        <w:t>por</w:t>
      </w:r>
      <w:r>
        <w:rPr>
          <w:spacing w:val="26"/>
        </w:rPr>
        <w:t xml:space="preserve"> </w:t>
      </w:r>
      <w:r>
        <w:t>Comisión</w:t>
      </w:r>
      <w:r>
        <w:rPr>
          <w:spacing w:val="24"/>
        </w:rPr>
        <w:t xml:space="preserve"> </w:t>
      </w:r>
      <w:r>
        <w:t>para</w:t>
      </w:r>
      <w:r>
        <w:rPr>
          <w:spacing w:val="26"/>
        </w:rPr>
        <w:t xml:space="preserve"> </w:t>
      </w:r>
      <w:r>
        <w:rPr>
          <w:spacing w:val="-5"/>
        </w:rPr>
        <w:t>el</w:t>
      </w:r>
      <w:r w:rsidR="001A3259">
        <w:rPr>
          <w:spacing w:val="-5"/>
        </w:rPr>
        <w:t xml:space="preserve"> </w:t>
      </w:r>
      <w:r>
        <w:t>Esclarecimiento</w:t>
      </w:r>
      <w:r>
        <w:rPr>
          <w:spacing w:val="-2"/>
        </w:rPr>
        <w:t xml:space="preserve"> </w:t>
      </w:r>
      <w:r>
        <w:t>de</w:t>
      </w:r>
      <w:r>
        <w:rPr>
          <w:spacing w:val="-1"/>
        </w:rPr>
        <w:t xml:space="preserve"> </w:t>
      </w:r>
      <w:r>
        <w:t>la</w:t>
      </w:r>
      <w:r>
        <w:rPr>
          <w:spacing w:val="-1"/>
        </w:rPr>
        <w:t xml:space="preserve"> </w:t>
      </w:r>
      <w:r>
        <w:t>Verdad,</w:t>
      </w:r>
      <w:r>
        <w:rPr>
          <w:spacing w:val="-2"/>
        </w:rPr>
        <w:t xml:space="preserve"> </w:t>
      </w:r>
      <w:r>
        <w:t>la</w:t>
      </w:r>
      <w:r>
        <w:rPr>
          <w:spacing w:val="-1"/>
        </w:rPr>
        <w:t xml:space="preserve"> </w:t>
      </w:r>
      <w:r>
        <w:t>Convivencia</w:t>
      </w:r>
      <w:r>
        <w:rPr>
          <w:spacing w:val="-1"/>
        </w:rPr>
        <w:t xml:space="preserve"> </w:t>
      </w:r>
      <w:r>
        <w:t>y</w:t>
      </w:r>
      <w:r>
        <w:rPr>
          <w:spacing w:val="-3"/>
        </w:rPr>
        <w:t xml:space="preserve"> </w:t>
      </w:r>
      <w:r>
        <w:t>la</w:t>
      </w:r>
      <w:r>
        <w:rPr>
          <w:spacing w:val="-1"/>
        </w:rPr>
        <w:t xml:space="preserve"> </w:t>
      </w:r>
      <w:r>
        <w:t>No</w:t>
      </w:r>
      <w:r>
        <w:rPr>
          <w:spacing w:val="-2"/>
        </w:rPr>
        <w:t xml:space="preserve"> </w:t>
      </w:r>
      <w:r>
        <w:t>Repetición</w:t>
      </w:r>
      <w:r>
        <w:rPr>
          <w:spacing w:val="-1"/>
        </w:rPr>
        <w:t xml:space="preserve"> </w:t>
      </w:r>
      <w:r>
        <w:t>-</w:t>
      </w:r>
      <w:r>
        <w:rPr>
          <w:spacing w:val="-1"/>
        </w:rPr>
        <w:t xml:space="preserve"> </w:t>
      </w:r>
      <w:r>
        <w:t>CEV.</w:t>
      </w:r>
      <w:r>
        <w:rPr>
          <w:spacing w:val="-1"/>
        </w:rPr>
        <w:t xml:space="preserve"> </w:t>
      </w:r>
      <w:r>
        <w:rPr>
          <w:spacing w:val="-2"/>
        </w:rPr>
        <w:t>2019.</w:t>
      </w:r>
    </w:p>
    <w:p w:rsidR="003804AC" w:rsidRDefault="00AF18A5" w:rsidP="001A3259">
      <w:r>
        <w:t xml:space="preserve">Mujer, lideresa, participante en diagnóstico sobre mujeres y diversidad sexual. </w:t>
      </w:r>
      <w:r>
        <w:rPr>
          <w:i/>
        </w:rPr>
        <w:t>Diagnóstico comunitario 440-DC-00014. Mujer, lideresa, participante en diagnóstico sobre mujeres</w:t>
      </w:r>
      <w:r>
        <w:rPr>
          <w:i/>
          <w:spacing w:val="-17"/>
        </w:rPr>
        <w:t xml:space="preserve"> </w:t>
      </w:r>
      <w:r>
        <w:rPr>
          <w:i/>
        </w:rPr>
        <w:t>y</w:t>
      </w:r>
      <w:r>
        <w:rPr>
          <w:i/>
          <w:spacing w:val="-14"/>
        </w:rPr>
        <w:t xml:space="preserve"> </w:t>
      </w:r>
      <w:r>
        <w:rPr>
          <w:i/>
        </w:rPr>
        <w:t>diversidad</w:t>
      </w:r>
      <w:r>
        <w:rPr>
          <w:i/>
          <w:spacing w:val="-15"/>
        </w:rPr>
        <w:t xml:space="preserve"> </w:t>
      </w:r>
      <w:r>
        <w:rPr>
          <w:i/>
        </w:rPr>
        <w:t>sexual</w:t>
      </w:r>
      <w:r>
        <w:t>.</w:t>
      </w:r>
      <w:r>
        <w:rPr>
          <w:spacing w:val="-15"/>
        </w:rPr>
        <w:t xml:space="preserve"> </w:t>
      </w:r>
      <w:r>
        <w:t>2019440-DC-00014.</w:t>
      </w:r>
      <w:r>
        <w:rPr>
          <w:spacing w:val="-15"/>
        </w:rPr>
        <w:t xml:space="preserve"> </w:t>
      </w:r>
      <w:r>
        <w:rPr>
          <w:spacing w:val="-2"/>
        </w:rPr>
        <w:t>buscador.comisiondelaverdad.co.</w:t>
      </w:r>
    </w:p>
    <w:p w:rsidR="003804AC" w:rsidRDefault="00AF18A5" w:rsidP="001A3259">
      <w:r>
        <w:t>Entrevista</w:t>
      </w:r>
      <w:r>
        <w:rPr>
          <w:spacing w:val="-6"/>
        </w:rPr>
        <w:t xml:space="preserve"> </w:t>
      </w:r>
      <w:r>
        <w:t>001-VI-00066.</w:t>
      </w:r>
      <w:r>
        <w:rPr>
          <w:spacing w:val="-5"/>
        </w:rPr>
        <w:t xml:space="preserve"> </w:t>
      </w:r>
      <w:r>
        <w:t>Político,</w:t>
      </w:r>
      <w:r>
        <w:rPr>
          <w:spacing w:val="-6"/>
        </w:rPr>
        <w:t xml:space="preserve"> </w:t>
      </w:r>
      <w:r>
        <w:t>exmiembro</w:t>
      </w:r>
      <w:r>
        <w:rPr>
          <w:spacing w:val="-5"/>
        </w:rPr>
        <w:t xml:space="preserve"> </w:t>
      </w:r>
      <w:r>
        <w:t>de</w:t>
      </w:r>
      <w:r>
        <w:rPr>
          <w:spacing w:val="-4"/>
        </w:rPr>
        <w:t xml:space="preserve"> </w:t>
      </w:r>
      <w:r>
        <w:t>la</w:t>
      </w:r>
      <w:r>
        <w:rPr>
          <w:spacing w:val="-6"/>
        </w:rPr>
        <w:t xml:space="preserve"> </w:t>
      </w:r>
      <w:r>
        <w:t>UP,</w:t>
      </w:r>
      <w:r>
        <w:rPr>
          <w:spacing w:val="-5"/>
        </w:rPr>
        <w:t xml:space="preserve"> </w:t>
      </w:r>
      <w:r>
        <w:t>caso</w:t>
      </w:r>
      <w:r>
        <w:rPr>
          <w:spacing w:val="-5"/>
        </w:rPr>
        <w:t xml:space="preserve"> </w:t>
      </w:r>
      <w:r>
        <w:t>de</w:t>
      </w:r>
      <w:r>
        <w:rPr>
          <w:spacing w:val="-4"/>
        </w:rPr>
        <w:t xml:space="preserve"> </w:t>
      </w:r>
      <w:r>
        <w:t>asesinato,</w:t>
      </w:r>
      <w:r>
        <w:rPr>
          <w:spacing w:val="-5"/>
        </w:rPr>
        <w:t xml:space="preserve"> </w:t>
      </w:r>
      <w:r>
        <w:t>amenazas</w:t>
      </w:r>
      <w:r>
        <w:rPr>
          <w:spacing w:val="-6"/>
        </w:rPr>
        <w:t xml:space="preserve"> </w:t>
      </w:r>
      <w:r>
        <w:t>contra la vida, atentados y exilio. Tomada por Comisión para el Esclarecimiento de la Verdad, la Convivencia y la No Repetición - CEV. 2021.</w:t>
      </w:r>
    </w:p>
    <w:p w:rsidR="003804AC" w:rsidRDefault="00AF18A5" w:rsidP="001A3259">
      <w:r>
        <w:t xml:space="preserve">Unidad de Restitución de Tierras. «Estadísticas de Restitución». Accedido 26 de junio de 2022. Acceso el 26 de junio de 2022. </w:t>
      </w:r>
      <w:r>
        <w:lastRenderedPageBreak/>
        <w:t>https://</w:t>
      </w:r>
      <w:hyperlink r:id="rId16">
        <w:r>
          <w:t>www.urt.gov.co/estadisticas-de-</w:t>
        </w:r>
      </w:hyperlink>
      <w:r>
        <w:t xml:space="preserve"> </w:t>
      </w:r>
      <w:proofErr w:type="spellStart"/>
      <w:r>
        <w:rPr>
          <w:spacing w:val="-2"/>
        </w:rPr>
        <w:t>restitucion</w:t>
      </w:r>
      <w:proofErr w:type="spellEnd"/>
      <w:r>
        <w:rPr>
          <w:spacing w:val="-2"/>
        </w:rPr>
        <w:t>-</w:t>
      </w:r>
      <w:proofErr w:type="spellStart"/>
      <w:r>
        <w:rPr>
          <w:spacing w:val="-2"/>
        </w:rPr>
        <w:t>de-tierras</w:t>
      </w:r>
      <w:proofErr w:type="spellEnd"/>
      <w:r>
        <w:rPr>
          <w:spacing w:val="-2"/>
        </w:rPr>
        <w:t>.</w:t>
      </w:r>
    </w:p>
    <w:p w:rsidR="003804AC" w:rsidRDefault="00AF18A5" w:rsidP="001A3259">
      <w:r>
        <w:t>Unidad para la Atención y Reparación Integral a las Víctimas (</w:t>
      </w:r>
      <w:proofErr w:type="spellStart"/>
      <w:r>
        <w:t>Uariv</w:t>
      </w:r>
      <w:proofErr w:type="spellEnd"/>
      <w:r>
        <w:t xml:space="preserve">) y Gobierno de Colombia. «Reportes». Acceso el 21 de junio de 2022. </w:t>
      </w:r>
      <w:r>
        <w:rPr>
          <w:spacing w:val="-2"/>
        </w:rPr>
        <w:t>https://cifras.unidadvictimas.gov.co/Cifras/#!/infografia.</w:t>
      </w:r>
    </w:p>
    <w:p w:rsidR="003804AC" w:rsidRDefault="00AF18A5" w:rsidP="001A3259">
      <w:r>
        <w:t>«Encuentro por la Verdad ‘Reconocimiento por la vida: Caldono cuenta la Verdad’». 20 de marzo de 2021. Vídeo. https://</w:t>
      </w:r>
      <w:hyperlink r:id="rId17">
        <w:r>
          <w:t>www.youtube.com/watch?v=yXDkNwyDkto</w:t>
        </w:r>
      </w:hyperlink>
    </w:p>
    <w:p w:rsidR="001A3259" w:rsidRDefault="00AF18A5" w:rsidP="001A3259">
      <w:pPr>
        <w:rPr>
          <w:spacing w:val="-2"/>
          <w:lang w:val="pt-BR"/>
        </w:rPr>
      </w:pPr>
      <w:r>
        <w:t xml:space="preserve">«Marta Gómez - Vuelve». 19 de septiembre de 2021. </w:t>
      </w:r>
      <w:r w:rsidRPr="00951B0F">
        <w:rPr>
          <w:lang w:val="pt-BR"/>
        </w:rPr>
        <w:t xml:space="preserve">Vídeo. </w:t>
      </w:r>
      <w:r w:rsidRPr="00951B0F">
        <w:rPr>
          <w:spacing w:val="-2"/>
          <w:lang w:val="pt-BR"/>
        </w:rPr>
        <w:t>https://</w:t>
      </w:r>
      <w:hyperlink r:id="rId18">
        <w:r w:rsidRPr="00951B0F">
          <w:rPr>
            <w:spacing w:val="-2"/>
            <w:lang w:val="pt-BR"/>
          </w:rPr>
          <w:t>www.youtube.com/watch?v=VLhrg4gS4Eg.</w:t>
        </w:r>
      </w:hyperlink>
    </w:p>
    <w:p w:rsidR="001A3259" w:rsidRDefault="001A3259">
      <w:pPr>
        <w:spacing w:before="0" w:after="0" w:line="240" w:lineRule="auto"/>
        <w:rPr>
          <w:spacing w:val="-2"/>
          <w:lang w:val="pt-BR"/>
        </w:rPr>
      </w:pPr>
      <w:r>
        <w:rPr>
          <w:spacing w:val="-2"/>
          <w:lang w:val="pt-BR"/>
        </w:rPr>
        <w:br w:type="page"/>
      </w:r>
    </w:p>
    <w:p w:rsidR="003804AC" w:rsidRDefault="00AF18A5" w:rsidP="004A6EF4">
      <w:pPr>
        <w:pStyle w:val="Ttulo2"/>
        <w:numPr>
          <w:ilvl w:val="0"/>
          <w:numId w:val="16"/>
        </w:numPr>
      </w:pPr>
      <w:bookmarkStart w:id="103" w:name="2._POR_UNA_DEMOCRACIA_SIN_VIOLENCIA45F"/>
      <w:bookmarkStart w:id="104" w:name="_Toc112399548"/>
      <w:bookmarkEnd w:id="103"/>
      <w:r>
        <w:rPr>
          <w:w w:val="95"/>
        </w:rPr>
        <w:lastRenderedPageBreak/>
        <w:t>POR</w:t>
      </w:r>
      <w:r>
        <w:rPr>
          <w:spacing w:val="22"/>
        </w:rPr>
        <w:t xml:space="preserve"> </w:t>
      </w:r>
      <w:r>
        <w:rPr>
          <w:w w:val="95"/>
        </w:rPr>
        <w:t>UNA</w:t>
      </w:r>
      <w:r>
        <w:rPr>
          <w:spacing w:val="19"/>
        </w:rPr>
        <w:t xml:space="preserve"> </w:t>
      </w:r>
      <w:r>
        <w:rPr>
          <w:w w:val="95"/>
        </w:rPr>
        <w:t>DEMOCRACIA</w:t>
      </w:r>
      <w:r>
        <w:rPr>
          <w:spacing w:val="19"/>
        </w:rPr>
        <w:t xml:space="preserve"> </w:t>
      </w:r>
      <w:r>
        <w:rPr>
          <w:w w:val="95"/>
        </w:rPr>
        <w:t>SIN</w:t>
      </w:r>
      <w:r>
        <w:rPr>
          <w:spacing w:val="19"/>
        </w:rPr>
        <w:t xml:space="preserve"> </w:t>
      </w:r>
      <w:r>
        <w:rPr>
          <w:spacing w:val="-2"/>
          <w:w w:val="95"/>
        </w:rPr>
        <w:t>VIOLENCIA</w:t>
      </w:r>
      <w:r w:rsidR="00EE114D">
        <w:rPr>
          <w:rStyle w:val="Refdenotaalpie"/>
          <w:spacing w:val="-2"/>
          <w:w w:val="95"/>
        </w:rPr>
        <w:footnoteReference w:id="46"/>
      </w:r>
      <w:bookmarkEnd w:id="104"/>
    </w:p>
    <w:p w:rsidR="003804AC" w:rsidRDefault="00AF18A5" w:rsidP="00EE114D">
      <w:r>
        <w:t>La</w:t>
      </w:r>
      <w:r>
        <w:rPr>
          <w:spacing w:val="-2"/>
        </w:rPr>
        <w:t xml:space="preserve"> </w:t>
      </w:r>
      <w:r>
        <w:t>guerra</w:t>
      </w:r>
      <w:r>
        <w:rPr>
          <w:spacing w:val="-2"/>
        </w:rPr>
        <w:t xml:space="preserve"> </w:t>
      </w:r>
      <w:r>
        <w:t>que</w:t>
      </w:r>
      <w:r>
        <w:rPr>
          <w:spacing w:val="-2"/>
        </w:rPr>
        <w:t xml:space="preserve"> </w:t>
      </w:r>
      <w:r>
        <w:t>vivió</w:t>
      </w:r>
      <w:r>
        <w:rPr>
          <w:spacing w:val="-2"/>
        </w:rPr>
        <w:t xml:space="preserve"> </w:t>
      </w:r>
      <w:r>
        <w:t>Colombia</w:t>
      </w:r>
      <w:r>
        <w:rPr>
          <w:spacing w:val="-2"/>
        </w:rPr>
        <w:t xml:space="preserve"> </w:t>
      </w:r>
      <w:r>
        <w:t>desde</w:t>
      </w:r>
      <w:r>
        <w:rPr>
          <w:spacing w:val="-2"/>
        </w:rPr>
        <w:t xml:space="preserve"> </w:t>
      </w:r>
      <w:r>
        <w:t>los</w:t>
      </w:r>
      <w:r>
        <w:rPr>
          <w:spacing w:val="-2"/>
        </w:rPr>
        <w:t xml:space="preserve"> </w:t>
      </w:r>
      <w:r>
        <w:t>años</w:t>
      </w:r>
      <w:r>
        <w:rPr>
          <w:spacing w:val="-2"/>
        </w:rPr>
        <w:t xml:space="preserve"> </w:t>
      </w:r>
      <w:r>
        <w:t>sesenta</w:t>
      </w:r>
      <w:r>
        <w:rPr>
          <w:spacing w:val="-2"/>
        </w:rPr>
        <w:t xml:space="preserve"> </w:t>
      </w:r>
      <w:r>
        <w:t>del</w:t>
      </w:r>
      <w:r>
        <w:rPr>
          <w:spacing w:val="-3"/>
        </w:rPr>
        <w:t xml:space="preserve"> </w:t>
      </w:r>
      <w:r>
        <w:t>siglo</w:t>
      </w:r>
      <w:r>
        <w:rPr>
          <w:spacing w:val="-4"/>
        </w:rPr>
        <w:t xml:space="preserve"> </w:t>
      </w:r>
      <w:r>
        <w:t>pasado</w:t>
      </w:r>
      <w:r>
        <w:rPr>
          <w:spacing w:val="-2"/>
        </w:rPr>
        <w:t xml:space="preserve"> </w:t>
      </w:r>
      <w:r>
        <w:t>fue</w:t>
      </w:r>
      <w:r>
        <w:rPr>
          <w:spacing w:val="-3"/>
        </w:rPr>
        <w:t xml:space="preserve"> </w:t>
      </w:r>
      <w:r>
        <w:t>una</w:t>
      </w:r>
      <w:r>
        <w:rPr>
          <w:spacing w:val="-2"/>
        </w:rPr>
        <w:t xml:space="preserve"> </w:t>
      </w:r>
      <w:r>
        <w:t>disputa</w:t>
      </w:r>
      <w:r>
        <w:rPr>
          <w:spacing w:val="-3"/>
        </w:rPr>
        <w:t xml:space="preserve"> </w:t>
      </w:r>
      <w:r>
        <w:t>por</w:t>
      </w:r>
      <w:r>
        <w:rPr>
          <w:spacing w:val="-2"/>
        </w:rPr>
        <w:t xml:space="preserve"> </w:t>
      </w:r>
      <w:r>
        <w:t>el poder político, la democracia, el modelo de Estado, la tenencia de la tierra, el control del territorio</w:t>
      </w:r>
      <w:r>
        <w:rPr>
          <w:spacing w:val="-12"/>
        </w:rPr>
        <w:t xml:space="preserve"> </w:t>
      </w:r>
      <w:r>
        <w:t>y</w:t>
      </w:r>
      <w:r>
        <w:rPr>
          <w:spacing w:val="-13"/>
        </w:rPr>
        <w:t xml:space="preserve"> </w:t>
      </w:r>
      <w:r>
        <w:t>las</w:t>
      </w:r>
      <w:r>
        <w:rPr>
          <w:spacing w:val="-12"/>
        </w:rPr>
        <w:t xml:space="preserve"> </w:t>
      </w:r>
      <w:r>
        <w:t>rentas</w:t>
      </w:r>
      <w:r w:rsidR="00EE114D">
        <w:rPr>
          <w:rStyle w:val="Refdenotaalpie"/>
        </w:rPr>
        <w:footnoteReference w:id="47"/>
      </w:r>
      <w:r>
        <w:t>.</w:t>
      </w:r>
      <w:r>
        <w:rPr>
          <w:spacing w:val="-12"/>
        </w:rPr>
        <w:t xml:space="preserve"> </w:t>
      </w:r>
      <w:r>
        <w:t>Esta</w:t>
      </w:r>
      <w:r>
        <w:rPr>
          <w:spacing w:val="-12"/>
        </w:rPr>
        <w:t xml:space="preserve"> </w:t>
      </w:r>
      <w:r>
        <w:t>guerra</w:t>
      </w:r>
      <w:r>
        <w:rPr>
          <w:spacing w:val="-13"/>
        </w:rPr>
        <w:t xml:space="preserve"> </w:t>
      </w:r>
      <w:r>
        <w:t>es</w:t>
      </w:r>
      <w:r>
        <w:rPr>
          <w:spacing w:val="-13"/>
        </w:rPr>
        <w:t xml:space="preserve"> </w:t>
      </w:r>
      <w:r>
        <w:t>diferente</w:t>
      </w:r>
      <w:r>
        <w:rPr>
          <w:spacing w:val="-13"/>
        </w:rPr>
        <w:t xml:space="preserve"> </w:t>
      </w:r>
      <w:r>
        <w:t>de</w:t>
      </w:r>
      <w:r>
        <w:rPr>
          <w:spacing w:val="-13"/>
        </w:rPr>
        <w:t xml:space="preserve"> </w:t>
      </w:r>
      <w:r>
        <w:t>la</w:t>
      </w:r>
      <w:r>
        <w:rPr>
          <w:spacing w:val="-12"/>
        </w:rPr>
        <w:t xml:space="preserve"> </w:t>
      </w:r>
      <w:r>
        <w:t>Violencia</w:t>
      </w:r>
      <w:r>
        <w:rPr>
          <w:spacing w:val="-13"/>
        </w:rPr>
        <w:t xml:space="preserve"> </w:t>
      </w:r>
      <w:r>
        <w:t>de</w:t>
      </w:r>
      <w:r>
        <w:rPr>
          <w:spacing w:val="-12"/>
        </w:rPr>
        <w:t xml:space="preserve"> </w:t>
      </w:r>
      <w:r>
        <w:t>mediados</w:t>
      </w:r>
      <w:r>
        <w:rPr>
          <w:spacing w:val="-13"/>
        </w:rPr>
        <w:t xml:space="preserve"> </w:t>
      </w:r>
      <w:r>
        <w:t>del</w:t>
      </w:r>
      <w:r>
        <w:rPr>
          <w:spacing w:val="-12"/>
        </w:rPr>
        <w:t xml:space="preserve"> </w:t>
      </w:r>
      <w:r>
        <w:t>siglo</w:t>
      </w:r>
      <w:r>
        <w:rPr>
          <w:spacing w:val="-13"/>
        </w:rPr>
        <w:t xml:space="preserve"> </w:t>
      </w:r>
      <w:r>
        <w:t>pasado, que era un conflicto entre los partidos políticos, y es diferente también a los conflictos armados que persisten en algunos territorios, cuyas dinámicas son una mezcla de objetivos políticos</w:t>
      </w:r>
      <w:r>
        <w:rPr>
          <w:spacing w:val="-2"/>
        </w:rPr>
        <w:t xml:space="preserve"> </w:t>
      </w:r>
      <w:r>
        <w:t>y</w:t>
      </w:r>
      <w:r>
        <w:rPr>
          <w:spacing w:val="-3"/>
        </w:rPr>
        <w:t xml:space="preserve"> </w:t>
      </w:r>
      <w:r>
        <w:t>económicos</w:t>
      </w:r>
      <w:r w:rsidR="00EE114D">
        <w:rPr>
          <w:rStyle w:val="Refdenotaalpie"/>
        </w:rPr>
        <w:footnoteReference w:id="48"/>
      </w:r>
      <w:r>
        <w:t>.</w:t>
      </w:r>
      <w:r>
        <w:rPr>
          <w:spacing w:val="-3"/>
        </w:rPr>
        <w:t xml:space="preserve"> </w:t>
      </w:r>
      <w:r>
        <w:t>Este</w:t>
      </w:r>
      <w:r>
        <w:rPr>
          <w:spacing w:val="-2"/>
        </w:rPr>
        <w:t xml:space="preserve"> </w:t>
      </w:r>
      <w:r>
        <w:t>texto</w:t>
      </w:r>
      <w:r>
        <w:rPr>
          <w:spacing w:val="-3"/>
        </w:rPr>
        <w:t xml:space="preserve"> </w:t>
      </w:r>
      <w:r>
        <w:t>se</w:t>
      </w:r>
      <w:r>
        <w:rPr>
          <w:spacing w:val="-4"/>
        </w:rPr>
        <w:t xml:space="preserve"> </w:t>
      </w:r>
      <w:r>
        <w:t>concentrará</w:t>
      </w:r>
      <w:r>
        <w:rPr>
          <w:spacing w:val="-4"/>
        </w:rPr>
        <w:t xml:space="preserve"> </w:t>
      </w:r>
      <w:r>
        <w:t>en</w:t>
      </w:r>
      <w:r>
        <w:rPr>
          <w:spacing w:val="-3"/>
        </w:rPr>
        <w:t xml:space="preserve"> </w:t>
      </w:r>
      <w:r>
        <w:t>el</w:t>
      </w:r>
      <w:r>
        <w:rPr>
          <w:spacing w:val="-2"/>
        </w:rPr>
        <w:t xml:space="preserve"> </w:t>
      </w:r>
      <w:r>
        <w:t>problema</w:t>
      </w:r>
      <w:r>
        <w:rPr>
          <w:spacing w:val="-2"/>
        </w:rPr>
        <w:t xml:space="preserve"> </w:t>
      </w:r>
      <w:r>
        <w:t>de</w:t>
      </w:r>
      <w:r>
        <w:rPr>
          <w:spacing w:val="-2"/>
        </w:rPr>
        <w:t xml:space="preserve"> </w:t>
      </w:r>
      <w:r>
        <w:t>la</w:t>
      </w:r>
      <w:r>
        <w:rPr>
          <w:spacing w:val="-2"/>
        </w:rPr>
        <w:t xml:space="preserve"> </w:t>
      </w:r>
      <w:r>
        <w:t>democracia,</w:t>
      </w:r>
      <w:r>
        <w:rPr>
          <w:spacing w:val="-3"/>
        </w:rPr>
        <w:t xml:space="preserve"> </w:t>
      </w:r>
      <w:r>
        <w:t>y</w:t>
      </w:r>
      <w:r>
        <w:rPr>
          <w:spacing w:val="-3"/>
        </w:rPr>
        <w:t xml:space="preserve"> </w:t>
      </w:r>
      <w:r>
        <w:t>otros lo</w:t>
      </w:r>
      <w:r>
        <w:rPr>
          <w:spacing w:val="-4"/>
        </w:rPr>
        <w:t xml:space="preserve"> </w:t>
      </w:r>
      <w:r>
        <w:t>harán</w:t>
      </w:r>
      <w:r>
        <w:rPr>
          <w:spacing w:val="-4"/>
        </w:rPr>
        <w:t xml:space="preserve"> </w:t>
      </w:r>
      <w:r>
        <w:t>en</w:t>
      </w:r>
      <w:r>
        <w:rPr>
          <w:spacing w:val="-5"/>
        </w:rPr>
        <w:t xml:space="preserve"> </w:t>
      </w:r>
      <w:r>
        <w:t>los</w:t>
      </w:r>
      <w:r>
        <w:rPr>
          <w:spacing w:val="-4"/>
        </w:rPr>
        <w:t xml:space="preserve"> </w:t>
      </w:r>
      <w:r>
        <w:t>demás</w:t>
      </w:r>
      <w:r>
        <w:rPr>
          <w:spacing w:val="-3"/>
        </w:rPr>
        <w:t xml:space="preserve"> </w:t>
      </w:r>
      <w:r>
        <w:t>aspectos.</w:t>
      </w:r>
      <w:r>
        <w:rPr>
          <w:spacing w:val="-4"/>
        </w:rPr>
        <w:t xml:space="preserve"> </w:t>
      </w:r>
      <w:r>
        <w:t>La</w:t>
      </w:r>
      <w:r>
        <w:rPr>
          <w:spacing w:val="-3"/>
        </w:rPr>
        <w:t xml:space="preserve"> </w:t>
      </w:r>
      <w:r>
        <w:t>lucha</w:t>
      </w:r>
      <w:r>
        <w:rPr>
          <w:spacing w:val="-3"/>
        </w:rPr>
        <w:t xml:space="preserve"> </w:t>
      </w:r>
      <w:r>
        <w:t>alrededor</w:t>
      </w:r>
      <w:r>
        <w:rPr>
          <w:spacing w:val="-3"/>
        </w:rPr>
        <w:t xml:space="preserve"> </w:t>
      </w:r>
      <w:r>
        <w:t>de</w:t>
      </w:r>
      <w:r>
        <w:rPr>
          <w:spacing w:val="-3"/>
        </w:rPr>
        <w:t xml:space="preserve"> </w:t>
      </w:r>
      <w:r>
        <w:t>la</w:t>
      </w:r>
      <w:r>
        <w:rPr>
          <w:spacing w:val="-3"/>
        </w:rPr>
        <w:t xml:space="preserve"> </w:t>
      </w:r>
      <w:r>
        <w:t>construcción</w:t>
      </w:r>
      <w:r>
        <w:rPr>
          <w:spacing w:val="-4"/>
        </w:rPr>
        <w:t xml:space="preserve"> </w:t>
      </w:r>
      <w:r>
        <w:t>de</w:t>
      </w:r>
      <w:r>
        <w:rPr>
          <w:spacing w:val="-3"/>
        </w:rPr>
        <w:t xml:space="preserve"> </w:t>
      </w:r>
      <w:r>
        <w:t>la</w:t>
      </w:r>
      <w:r>
        <w:rPr>
          <w:spacing w:val="-3"/>
        </w:rPr>
        <w:t xml:space="preserve"> </w:t>
      </w:r>
      <w:r>
        <w:t>democracia</w:t>
      </w:r>
      <w:r>
        <w:rPr>
          <w:spacing w:val="-3"/>
        </w:rPr>
        <w:t xml:space="preserve"> </w:t>
      </w:r>
      <w:r>
        <w:t>es</w:t>
      </w:r>
      <w:r>
        <w:rPr>
          <w:spacing w:val="-3"/>
        </w:rPr>
        <w:t xml:space="preserve"> </w:t>
      </w:r>
      <w:r>
        <w:t>el aspecto central de este hallazgo de la Comisión.</w:t>
      </w:r>
    </w:p>
    <w:p w:rsidR="003804AC" w:rsidRDefault="00AF18A5" w:rsidP="00EE114D">
      <w:r>
        <w:t>Este conflicto terminó sin vencedores –aunque sí con beneficiarios– y con un saldo de víctimas de proporciones bíblicas: más de 9.000.000, de las cuales cerca de medio millón fueron asesinadas y más de 100.000 fueron objeto de desaparición forzada. Nueve de cada diez víctimas mortales eran civiles. La mayoría de estas eran habitantes del sector rural. En la guerra los campesinos, las comunidades indígenas, negras y afrocolombianas no solo perdieron la vida sino, en</w:t>
      </w:r>
      <w:r>
        <w:rPr>
          <w:spacing w:val="-1"/>
        </w:rPr>
        <w:t xml:space="preserve"> </w:t>
      </w:r>
      <w:r>
        <w:t>muchos casos, la tierra,</w:t>
      </w:r>
      <w:r>
        <w:rPr>
          <w:spacing w:val="-1"/>
        </w:rPr>
        <w:t xml:space="preserve"> </w:t>
      </w:r>
      <w:r>
        <w:t>y han tenido que luchar sin descanso</w:t>
      </w:r>
      <w:r>
        <w:rPr>
          <w:spacing w:val="-1"/>
        </w:rPr>
        <w:t xml:space="preserve"> </w:t>
      </w:r>
      <w:r>
        <w:t>para ser incluidos en el proyecto de nación.</w:t>
      </w:r>
    </w:p>
    <w:p w:rsidR="003804AC" w:rsidRDefault="00AF18A5" w:rsidP="00EE114D">
      <w:r>
        <w:lastRenderedPageBreak/>
        <w:t>Esta no fue, pues, una guerra entre ejércitos combatientes sino una en la que las armas apuntaron contra seres humanos en estado de indefensión. Los datos arrojan que fue una guerra de violencia selectiva y masiva, en la que primó el objetivo de destruir los apoyos – reales</w:t>
      </w:r>
      <w:r>
        <w:rPr>
          <w:spacing w:val="-6"/>
        </w:rPr>
        <w:t xml:space="preserve"> </w:t>
      </w:r>
      <w:r>
        <w:t>o</w:t>
      </w:r>
      <w:r>
        <w:rPr>
          <w:spacing w:val="-7"/>
        </w:rPr>
        <w:t xml:space="preserve"> </w:t>
      </w:r>
      <w:r>
        <w:t>imaginarios–</w:t>
      </w:r>
      <w:r>
        <w:rPr>
          <w:spacing w:val="-6"/>
        </w:rPr>
        <w:t xml:space="preserve"> </w:t>
      </w:r>
      <w:r>
        <w:t>de</w:t>
      </w:r>
      <w:r>
        <w:rPr>
          <w:spacing w:val="-7"/>
        </w:rPr>
        <w:t xml:space="preserve"> </w:t>
      </w:r>
      <w:r>
        <w:t>la</w:t>
      </w:r>
      <w:r>
        <w:rPr>
          <w:spacing w:val="-7"/>
        </w:rPr>
        <w:t xml:space="preserve"> </w:t>
      </w:r>
      <w:r>
        <w:t>contraparte,</w:t>
      </w:r>
      <w:r>
        <w:rPr>
          <w:spacing w:val="-6"/>
        </w:rPr>
        <w:t xml:space="preserve"> </w:t>
      </w:r>
      <w:r>
        <w:t>para</w:t>
      </w:r>
      <w:r>
        <w:rPr>
          <w:spacing w:val="-6"/>
        </w:rPr>
        <w:t xml:space="preserve"> </w:t>
      </w:r>
      <w:r>
        <w:t>horadar</w:t>
      </w:r>
      <w:r>
        <w:rPr>
          <w:spacing w:val="-5"/>
        </w:rPr>
        <w:t xml:space="preserve"> </w:t>
      </w:r>
      <w:r>
        <w:t>sus</w:t>
      </w:r>
      <w:r>
        <w:rPr>
          <w:spacing w:val="-7"/>
        </w:rPr>
        <w:t xml:space="preserve"> </w:t>
      </w:r>
      <w:r>
        <w:t>bases</w:t>
      </w:r>
      <w:r>
        <w:rPr>
          <w:spacing w:val="-6"/>
        </w:rPr>
        <w:t xml:space="preserve"> </w:t>
      </w:r>
      <w:r>
        <w:t>políticas.</w:t>
      </w:r>
      <w:r>
        <w:rPr>
          <w:spacing w:val="-6"/>
        </w:rPr>
        <w:t xml:space="preserve"> </w:t>
      </w:r>
      <w:r>
        <w:t>En</w:t>
      </w:r>
      <w:r>
        <w:rPr>
          <w:spacing w:val="-6"/>
        </w:rPr>
        <w:t xml:space="preserve"> </w:t>
      </w:r>
      <w:r>
        <w:t>consecuencia,</w:t>
      </w:r>
      <w:r>
        <w:rPr>
          <w:spacing w:val="-7"/>
        </w:rPr>
        <w:t xml:space="preserve"> </w:t>
      </w:r>
      <w:r>
        <w:t>el campo</w:t>
      </w:r>
      <w:r>
        <w:rPr>
          <w:spacing w:val="-9"/>
        </w:rPr>
        <w:t xml:space="preserve"> </w:t>
      </w:r>
      <w:r>
        <w:t>del</w:t>
      </w:r>
      <w:r>
        <w:rPr>
          <w:spacing w:val="-8"/>
        </w:rPr>
        <w:t xml:space="preserve"> </w:t>
      </w:r>
      <w:r>
        <w:t>«enemigo»</w:t>
      </w:r>
      <w:r>
        <w:rPr>
          <w:spacing w:val="-9"/>
        </w:rPr>
        <w:t xml:space="preserve"> </w:t>
      </w:r>
      <w:r>
        <w:t>se</w:t>
      </w:r>
      <w:r>
        <w:rPr>
          <w:spacing w:val="-7"/>
        </w:rPr>
        <w:t xml:space="preserve"> </w:t>
      </w:r>
      <w:r>
        <w:t>ensanchó</w:t>
      </w:r>
      <w:r>
        <w:rPr>
          <w:spacing w:val="-9"/>
        </w:rPr>
        <w:t xml:space="preserve"> </w:t>
      </w:r>
      <w:r>
        <w:t>a</w:t>
      </w:r>
      <w:r>
        <w:rPr>
          <w:spacing w:val="-8"/>
        </w:rPr>
        <w:t xml:space="preserve"> </w:t>
      </w:r>
      <w:r>
        <w:t>tal</w:t>
      </w:r>
      <w:r>
        <w:rPr>
          <w:spacing w:val="-7"/>
        </w:rPr>
        <w:t xml:space="preserve"> </w:t>
      </w:r>
      <w:r>
        <w:t>punto</w:t>
      </w:r>
      <w:r>
        <w:rPr>
          <w:spacing w:val="-6"/>
        </w:rPr>
        <w:t xml:space="preserve"> </w:t>
      </w:r>
      <w:r>
        <w:t>que,</w:t>
      </w:r>
      <w:r>
        <w:rPr>
          <w:spacing w:val="-7"/>
        </w:rPr>
        <w:t xml:space="preserve"> </w:t>
      </w:r>
      <w:r>
        <w:t>en</w:t>
      </w:r>
      <w:r>
        <w:rPr>
          <w:spacing w:val="-7"/>
        </w:rPr>
        <w:t xml:space="preserve"> </w:t>
      </w:r>
      <w:r>
        <w:t>el</w:t>
      </w:r>
      <w:r>
        <w:rPr>
          <w:spacing w:val="-8"/>
        </w:rPr>
        <w:t xml:space="preserve"> </w:t>
      </w:r>
      <w:r>
        <w:t>clímax</w:t>
      </w:r>
      <w:r>
        <w:rPr>
          <w:spacing w:val="-7"/>
        </w:rPr>
        <w:t xml:space="preserve"> </w:t>
      </w:r>
      <w:r>
        <w:t>de</w:t>
      </w:r>
      <w:r>
        <w:rPr>
          <w:spacing w:val="-7"/>
        </w:rPr>
        <w:t xml:space="preserve"> </w:t>
      </w:r>
      <w:r>
        <w:t>la</w:t>
      </w:r>
      <w:r>
        <w:rPr>
          <w:spacing w:val="-8"/>
        </w:rPr>
        <w:t xml:space="preserve"> </w:t>
      </w:r>
      <w:r>
        <w:t>confrontación,</w:t>
      </w:r>
      <w:r>
        <w:rPr>
          <w:spacing w:val="-9"/>
        </w:rPr>
        <w:t xml:space="preserve"> </w:t>
      </w:r>
      <w:r>
        <w:t>a</w:t>
      </w:r>
      <w:r>
        <w:rPr>
          <w:spacing w:val="-7"/>
        </w:rPr>
        <w:t xml:space="preserve"> </w:t>
      </w:r>
      <w:r>
        <w:rPr>
          <w:spacing w:val="-2"/>
        </w:rPr>
        <w:t>finales</w:t>
      </w:r>
      <w:bookmarkStart w:id="105" w:name="_bookmark53"/>
      <w:bookmarkStart w:id="106" w:name="_bookmark54"/>
      <w:bookmarkStart w:id="107" w:name="_bookmark55"/>
      <w:bookmarkEnd w:id="105"/>
      <w:bookmarkEnd w:id="106"/>
      <w:bookmarkEnd w:id="107"/>
      <w:r w:rsidR="00EE114D">
        <w:rPr>
          <w:spacing w:val="-2"/>
        </w:rPr>
        <w:t xml:space="preserve"> </w:t>
      </w:r>
      <w:r>
        <w:t>de los años noventa, se arrasaron pueblos enteros con el objetivo de destruir los apoyos humanos, ocupar y controlar los territorios, los corredores y las rentas. El conflicto armado se ensañó contra la población civil.</w:t>
      </w:r>
    </w:p>
    <w:p w:rsidR="003804AC" w:rsidRDefault="00AF18A5" w:rsidP="00EE114D">
      <w:r>
        <w:t>Más</w:t>
      </w:r>
      <w:r>
        <w:rPr>
          <w:spacing w:val="-1"/>
        </w:rPr>
        <w:t xml:space="preserve"> </w:t>
      </w:r>
      <w:r>
        <w:t>allá</w:t>
      </w:r>
      <w:r>
        <w:rPr>
          <w:spacing w:val="-1"/>
        </w:rPr>
        <w:t xml:space="preserve"> </w:t>
      </w:r>
      <w:r>
        <w:t>de</w:t>
      </w:r>
      <w:r>
        <w:rPr>
          <w:spacing w:val="-2"/>
        </w:rPr>
        <w:t xml:space="preserve"> </w:t>
      </w:r>
      <w:r>
        <w:t>la</w:t>
      </w:r>
      <w:r>
        <w:rPr>
          <w:spacing w:val="-1"/>
        </w:rPr>
        <w:t xml:space="preserve"> </w:t>
      </w:r>
      <w:r>
        <w:t>destrucción</w:t>
      </w:r>
      <w:r>
        <w:rPr>
          <w:spacing w:val="-1"/>
        </w:rPr>
        <w:t xml:space="preserve"> </w:t>
      </w:r>
      <w:r>
        <w:t>física,</w:t>
      </w:r>
      <w:r>
        <w:rPr>
          <w:spacing w:val="-1"/>
        </w:rPr>
        <w:t xml:space="preserve"> </w:t>
      </w:r>
      <w:r>
        <w:t>esta</w:t>
      </w:r>
      <w:r>
        <w:rPr>
          <w:spacing w:val="-2"/>
        </w:rPr>
        <w:t xml:space="preserve"> </w:t>
      </w:r>
      <w:r>
        <w:t>larga</w:t>
      </w:r>
      <w:r>
        <w:rPr>
          <w:spacing w:val="-1"/>
        </w:rPr>
        <w:t xml:space="preserve"> </w:t>
      </w:r>
      <w:r>
        <w:t>guerra</w:t>
      </w:r>
      <w:r>
        <w:rPr>
          <w:spacing w:val="-2"/>
        </w:rPr>
        <w:t xml:space="preserve"> </w:t>
      </w:r>
      <w:r>
        <w:t>dejó</w:t>
      </w:r>
      <w:r>
        <w:rPr>
          <w:spacing w:val="-1"/>
        </w:rPr>
        <w:t xml:space="preserve"> </w:t>
      </w:r>
      <w:r>
        <w:t>una</w:t>
      </w:r>
      <w:r>
        <w:rPr>
          <w:spacing w:val="-1"/>
        </w:rPr>
        <w:t xml:space="preserve"> </w:t>
      </w:r>
      <w:r>
        <w:t>herida</w:t>
      </w:r>
      <w:r>
        <w:rPr>
          <w:spacing w:val="-1"/>
        </w:rPr>
        <w:t xml:space="preserve"> </w:t>
      </w:r>
      <w:r>
        <w:t>que</w:t>
      </w:r>
      <w:r>
        <w:rPr>
          <w:spacing w:val="-2"/>
        </w:rPr>
        <w:t xml:space="preserve"> </w:t>
      </w:r>
      <w:r>
        <w:t>sigue</w:t>
      </w:r>
      <w:r>
        <w:rPr>
          <w:spacing w:val="-1"/>
        </w:rPr>
        <w:t xml:space="preserve"> </w:t>
      </w:r>
      <w:r>
        <w:t>abierta</w:t>
      </w:r>
      <w:r>
        <w:rPr>
          <w:spacing w:val="-2"/>
        </w:rPr>
        <w:t xml:space="preserve"> </w:t>
      </w:r>
      <w:r>
        <w:t>en</w:t>
      </w:r>
      <w:r>
        <w:rPr>
          <w:spacing w:val="-2"/>
        </w:rPr>
        <w:t xml:space="preserve"> </w:t>
      </w:r>
      <w:r>
        <w:t>el alma colectiva. El miedo, el odio, la venganza, la rabia, el resentimiento, el dolor, la impunidad, el señalamiento y la deshumanización han lesionado la vida comunitaria y la confianza</w:t>
      </w:r>
      <w:r>
        <w:rPr>
          <w:spacing w:val="-3"/>
        </w:rPr>
        <w:t xml:space="preserve"> </w:t>
      </w:r>
      <w:r>
        <w:t>entre</w:t>
      </w:r>
      <w:r>
        <w:rPr>
          <w:spacing w:val="-3"/>
        </w:rPr>
        <w:t xml:space="preserve"> </w:t>
      </w:r>
      <w:r>
        <w:t>prójimos.</w:t>
      </w:r>
      <w:r>
        <w:rPr>
          <w:spacing w:val="-5"/>
        </w:rPr>
        <w:t xml:space="preserve"> </w:t>
      </w:r>
      <w:r>
        <w:t>Miles</w:t>
      </w:r>
      <w:r>
        <w:rPr>
          <w:spacing w:val="-3"/>
        </w:rPr>
        <w:t xml:space="preserve"> </w:t>
      </w:r>
      <w:r>
        <w:t>de</w:t>
      </w:r>
      <w:r>
        <w:rPr>
          <w:spacing w:val="-4"/>
        </w:rPr>
        <w:t xml:space="preserve"> </w:t>
      </w:r>
      <w:r>
        <w:t>familias</w:t>
      </w:r>
      <w:r>
        <w:rPr>
          <w:spacing w:val="-4"/>
        </w:rPr>
        <w:t xml:space="preserve"> </w:t>
      </w:r>
      <w:r>
        <w:t>y</w:t>
      </w:r>
      <w:r>
        <w:rPr>
          <w:spacing w:val="-3"/>
        </w:rPr>
        <w:t xml:space="preserve"> </w:t>
      </w:r>
      <w:r>
        <w:t>comunidades</w:t>
      </w:r>
      <w:r>
        <w:rPr>
          <w:spacing w:val="-3"/>
        </w:rPr>
        <w:t xml:space="preserve"> </w:t>
      </w:r>
      <w:r>
        <w:t>viven</w:t>
      </w:r>
      <w:r>
        <w:rPr>
          <w:spacing w:val="-3"/>
        </w:rPr>
        <w:t xml:space="preserve"> </w:t>
      </w:r>
      <w:r>
        <w:t>aún</w:t>
      </w:r>
      <w:r>
        <w:rPr>
          <w:spacing w:val="-5"/>
        </w:rPr>
        <w:t xml:space="preserve"> </w:t>
      </w:r>
      <w:r>
        <w:t>en</w:t>
      </w:r>
      <w:r>
        <w:rPr>
          <w:spacing w:val="-5"/>
        </w:rPr>
        <w:t xml:space="preserve"> </w:t>
      </w:r>
      <w:r>
        <w:t>duelo</w:t>
      </w:r>
      <w:r>
        <w:rPr>
          <w:spacing w:val="-3"/>
        </w:rPr>
        <w:t xml:space="preserve"> </w:t>
      </w:r>
      <w:r>
        <w:t>por</w:t>
      </w:r>
      <w:r>
        <w:rPr>
          <w:spacing w:val="-4"/>
        </w:rPr>
        <w:t xml:space="preserve"> </w:t>
      </w:r>
      <w:r>
        <w:t>sus</w:t>
      </w:r>
      <w:r>
        <w:rPr>
          <w:spacing w:val="-3"/>
        </w:rPr>
        <w:t xml:space="preserve"> </w:t>
      </w:r>
      <w:r>
        <w:t xml:space="preserve">seres </w:t>
      </w:r>
      <w:r>
        <w:rPr>
          <w:spacing w:val="-2"/>
        </w:rPr>
        <w:t>queridos.</w:t>
      </w:r>
    </w:p>
    <w:p w:rsidR="003804AC" w:rsidRDefault="00AF18A5" w:rsidP="00EE114D">
      <w:r>
        <w:t>La democracia ha sido violenta. Se ha desarrollado más desde las trincheras ideológicas que buscan la destrucción física y moral del adversario, que desde el diálogo constructivo. La</w:t>
      </w:r>
      <w:r>
        <w:rPr>
          <w:spacing w:val="-5"/>
        </w:rPr>
        <w:t xml:space="preserve"> </w:t>
      </w:r>
      <w:r>
        <w:t>violencia</w:t>
      </w:r>
      <w:r>
        <w:rPr>
          <w:spacing w:val="-6"/>
        </w:rPr>
        <w:t xml:space="preserve"> </w:t>
      </w:r>
      <w:r>
        <w:t>ha</w:t>
      </w:r>
      <w:r>
        <w:rPr>
          <w:spacing w:val="-5"/>
        </w:rPr>
        <w:t xml:space="preserve"> </w:t>
      </w:r>
      <w:r>
        <w:t>sido</w:t>
      </w:r>
      <w:r>
        <w:rPr>
          <w:spacing w:val="-5"/>
        </w:rPr>
        <w:t xml:space="preserve"> </w:t>
      </w:r>
      <w:r>
        <w:t>el</w:t>
      </w:r>
      <w:r>
        <w:rPr>
          <w:spacing w:val="-4"/>
        </w:rPr>
        <w:t xml:space="preserve"> </w:t>
      </w:r>
      <w:r>
        <w:t>recurso</w:t>
      </w:r>
      <w:r>
        <w:rPr>
          <w:spacing w:val="-5"/>
        </w:rPr>
        <w:t xml:space="preserve"> </w:t>
      </w:r>
      <w:r>
        <w:t>de</w:t>
      </w:r>
      <w:r>
        <w:rPr>
          <w:spacing w:val="-6"/>
        </w:rPr>
        <w:t xml:space="preserve"> </w:t>
      </w:r>
      <w:r>
        <w:t>sectores</w:t>
      </w:r>
      <w:r>
        <w:rPr>
          <w:spacing w:val="-6"/>
        </w:rPr>
        <w:t xml:space="preserve"> </w:t>
      </w:r>
      <w:r>
        <w:t>de</w:t>
      </w:r>
      <w:r>
        <w:rPr>
          <w:spacing w:val="-6"/>
        </w:rPr>
        <w:t xml:space="preserve"> </w:t>
      </w:r>
      <w:r>
        <w:t>la</w:t>
      </w:r>
      <w:r>
        <w:rPr>
          <w:spacing w:val="-5"/>
        </w:rPr>
        <w:t xml:space="preserve"> </w:t>
      </w:r>
      <w:r>
        <w:t>derecha</w:t>
      </w:r>
      <w:r>
        <w:rPr>
          <w:spacing w:val="-6"/>
        </w:rPr>
        <w:t xml:space="preserve"> </w:t>
      </w:r>
      <w:r>
        <w:t>y</w:t>
      </w:r>
      <w:r>
        <w:rPr>
          <w:spacing w:val="-5"/>
        </w:rPr>
        <w:t xml:space="preserve"> </w:t>
      </w:r>
      <w:r>
        <w:t>de</w:t>
      </w:r>
      <w:r>
        <w:rPr>
          <w:spacing w:val="-6"/>
        </w:rPr>
        <w:t xml:space="preserve"> </w:t>
      </w:r>
      <w:r>
        <w:t>la</w:t>
      </w:r>
      <w:r>
        <w:rPr>
          <w:spacing w:val="-5"/>
        </w:rPr>
        <w:t xml:space="preserve"> </w:t>
      </w:r>
      <w:r>
        <w:t>izquierda</w:t>
      </w:r>
      <w:r>
        <w:rPr>
          <w:spacing w:val="-6"/>
        </w:rPr>
        <w:t xml:space="preserve"> </w:t>
      </w:r>
      <w:r>
        <w:t>para</w:t>
      </w:r>
      <w:r>
        <w:rPr>
          <w:spacing w:val="-5"/>
        </w:rPr>
        <w:t xml:space="preserve"> </w:t>
      </w:r>
      <w:r>
        <w:t>suprimir</w:t>
      </w:r>
      <w:r>
        <w:rPr>
          <w:spacing w:val="-4"/>
        </w:rPr>
        <w:t xml:space="preserve"> </w:t>
      </w:r>
      <w:r>
        <w:t>a</w:t>
      </w:r>
      <w:r>
        <w:rPr>
          <w:spacing w:val="-6"/>
        </w:rPr>
        <w:t xml:space="preserve"> </w:t>
      </w:r>
      <w:r>
        <w:t>los competidores. La guerra, con sus silencios, con sus estigmas, con sus mentiras, erosionó el clima de la controversia pública, a tal punto que se confunde al contradictor ideológico o político</w:t>
      </w:r>
      <w:r>
        <w:rPr>
          <w:spacing w:val="-15"/>
        </w:rPr>
        <w:t xml:space="preserve"> </w:t>
      </w:r>
      <w:r>
        <w:t>con</w:t>
      </w:r>
      <w:r>
        <w:rPr>
          <w:spacing w:val="-15"/>
        </w:rPr>
        <w:t xml:space="preserve"> </w:t>
      </w:r>
      <w:r>
        <w:t>un</w:t>
      </w:r>
      <w:r>
        <w:rPr>
          <w:spacing w:val="-15"/>
        </w:rPr>
        <w:t xml:space="preserve"> </w:t>
      </w:r>
      <w:r>
        <w:t>enemigo.</w:t>
      </w:r>
      <w:r>
        <w:rPr>
          <w:spacing w:val="-15"/>
        </w:rPr>
        <w:t xml:space="preserve"> </w:t>
      </w:r>
      <w:r>
        <w:t>Muchos</w:t>
      </w:r>
      <w:r>
        <w:rPr>
          <w:spacing w:val="-15"/>
        </w:rPr>
        <w:t xml:space="preserve"> </w:t>
      </w:r>
      <w:r>
        <w:t>líderes</w:t>
      </w:r>
      <w:r>
        <w:rPr>
          <w:spacing w:val="-15"/>
        </w:rPr>
        <w:t xml:space="preserve"> </w:t>
      </w:r>
      <w:r>
        <w:t>murieron</w:t>
      </w:r>
      <w:r>
        <w:rPr>
          <w:spacing w:val="-15"/>
        </w:rPr>
        <w:t xml:space="preserve"> </w:t>
      </w:r>
      <w:r>
        <w:t>acribillados</w:t>
      </w:r>
      <w:r>
        <w:rPr>
          <w:spacing w:val="-15"/>
        </w:rPr>
        <w:t xml:space="preserve"> </w:t>
      </w:r>
      <w:r>
        <w:t>por</w:t>
      </w:r>
      <w:r>
        <w:rPr>
          <w:spacing w:val="-15"/>
        </w:rPr>
        <w:t xml:space="preserve"> </w:t>
      </w:r>
      <w:r>
        <w:t>su</w:t>
      </w:r>
      <w:r>
        <w:rPr>
          <w:spacing w:val="-15"/>
        </w:rPr>
        <w:t xml:space="preserve"> </w:t>
      </w:r>
      <w:r>
        <w:t>pensamiento</w:t>
      </w:r>
      <w:r>
        <w:rPr>
          <w:spacing w:val="-15"/>
        </w:rPr>
        <w:t xml:space="preserve"> </w:t>
      </w:r>
      <w:r>
        <w:t>o</w:t>
      </w:r>
      <w:r>
        <w:rPr>
          <w:spacing w:val="-15"/>
        </w:rPr>
        <w:t xml:space="preserve"> </w:t>
      </w:r>
      <w:r>
        <w:t>tuvieron que salir al exilio para proteger sus libertades políticas más básicas.</w:t>
      </w:r>
    </w:p>
    <w:p w:rsidR="003804AC" w:rsidRDefault="00AF18A5" w:rsidP="00EE114D">
      <w:r>
        <w:t>Pero,</w:t>
      </w:r>
      <w:r>
        <w:rPr>
          <w:spacing w:val="-12"/>
        </w:rPr>
        <w:t xml:space="preserve"> </w:t>
      </w:r>
      <w:r>
        <w:t>así</w:t>
      </w:r>
      <w:r>
        <w:rPr>
          <w:spacing w:val="-12"/>
        </w:rPr>
        <w:t xml:space="preserve"> </w:t>
      </w:r>
      <w:r>
        <w:t>como</w:t>
      </w:r>
      <w:r>
        <w:rPr>
          <w:spacing w:val="-12"/>
        </w:rPr>
        <w:t xml:space="preserve"> </w:t>
      </w:r>
      <w:r>
        <w:t>dejó</w:t>
      </w:r>
      <w:r>
        <w:rPr>
          <w:spacing w:val="-12"/>
        </w:rPr>
        <w:t xml:space="preserve"> </w:t>
      </w:r>
      <w:r>
        <w:t>un</w:t>
      </w:r>
      <w:r>
        <w:rPr>
          <w:spacing w:val="-13"/>
        </w:rPr>
        <w:t xml:space="preserve"> </w:t>
      </w:r>
      <w:r>
        <w:t>país</w:t>
      </w:r>
      <w:r>
        <w:rPr>
          <w:spacing w:val="-12"/>
        </w:rPr>
        <w:t xml:space="preserve"> </w:t>
      </w:r>
      <w:r>
        <w:t>de</w:t>
      </w:r>
      <w:r>
        <w:rPr>
          <w:spacing w:val="-12"/>
        </w:rPr>
        <w:t xml:space="preserve"> </w:t>
      </w:r>
      <w:r>
        <w:t>víctimas,</w:t>
      </w:r>
      <w:r>
        <w:rPr>
          <w:spacing w:val="-12"/>
        </w:rPr>
        <w:t xml:space="preserve"> </w:t>
      </w:r>
      <w:r>
        <w:t>esta</w:t>
      </w:r>
      <w:r>
        <w:rPr>
          <w:spacing w:val="-12"/>
        </w:rPr>
        <w:t xml:space="preserve"> </w:t>
      </w:r>
      <w:r>
        <w:t>guerra</w:t>
      </w:r>
      <w:r>
        <w:rPr>
          <w:spacing w:val="-13"/>
        </w:rPr>
        <w:t xml:space="preserve"> </w:t>
      </w:r>
      <w:r>
        <w:t>también</w:t>
      </w:r>
      <w:r>
        <w:rPr>
          <w:spacing w:val="-13"/>
        </w:rPr>
        <w:t xml:space="preserve"> </w:t>
      </w:r>
      <w:r>
        <w:t>deja</w:t>
      </w:r>
      <w:r>
        <w:rPr>
          <w:spacing w:val="-12"/>
        </w:rPr>
        <w:t xml:space="preserve"> </w:t>
      </w:r>
      <w:r>
        <w:t>la</w:t>
      </w:r>
      <w:r>
        <w:rPr>
          <w:spacing w:val="-12"/>
        </w:rPr>
        <w:t xml:space="preserve"> </w:t>
      </w:r>
      <w:r>
        <w:t>pregunta</w:t>
      </w:r>
      <w:r>
        <w:rPr>
          <w:spacing w:val="-12"/>
        </w:rPr>
        <w:t xml:space="preserve"> </w:t>
      </w:r>
      <w:r>
        <w:t>por</w:t>
      </w:r>
      <w:r>
        <w:rPr>
          <w:spacing w:val="-12"/>
        </w:rPr>
        <w:t xml:space="preserve"> </w:t>
      </w:r>
      <w:r>
        <w:t>el</w:t>
      </w:r>
      <w:r>
        <w:rPr>
          <w:spacing w:val="-12"/>
        </w:rPr>
        <w:t xml:space="preserve"> </w:t>
      </w:r>
      <w:r>
        <w:t xml:space="preserve">campo de quiénes infligieron el daño. El conflicto armado </w:t>
      </w:r>
      <w:r>
        <w:lastRenderedPageBreak/>
        <w:t>interno, de naturaleza política, articuló diversas violencias: desde las disputas por las esmeraldas, pasando por las de las drogas ilícitas,</w:t>
      </w:r>
      <w:r>
        <w:rPr>
          <w:spacing w:val="-6"/>
        </w:rPr>
        <w:t xml:space="preserve"> </w:t>
      </w:r>
      <w:r>
        <w:t>por</w:t>
      </w:r>
      <w:r>
        <w:rPr>
          <w:spacing w:val="-7"/>
        </w:rPr>
        <w:t xml:space="preserve"> </w:t>
      </w:r>
      <w:r>
        <w:t>las</w:t>
      </w:r>
      <w:r>
        <w:rPr>
          <w:spacing w:val="-6"/>
        </w:rPr>
        <w:t xml:space="preserve"> </w:t>
      </w:r>
      <w:r>
        <w:t>de</w:t>
      </w:r>
      <w:r>
        <w:rPr>
          <w:spacing w:val="-7"/>
        </w:rPr>
        <w:t xml:space="preserve"> </w:t>
      </w:r>
      <w:r>
        <w:t>rentas</w:t>
      </w:r>
      <w:r>
        <w:rPr>
          <w:spacing w:val="-7"/>
        </w:rPr>
        <w:t xml:space="preserve"> </w:t>
      </w:r>
      <w:r>
        <w:t>del</w:t>
      </w:r>
      <w:r>
        <w:rPr>
          <w:spacing w:val="-6"/>
        </w:rPr>
        <w:t xml:space="preserve"> </w:t>
      </w:r>
      <w:r>
        <w:t>Estado,</w:t>
      </w:r>
      <w:r>
        <w:rPr>
          <w:spacing w:val="-7"/>
        </w:rPr>
        <w:t xml:space="preserve"> </w:t>
      </w:r>
      <w:r>
        <w:t>las</w:t>
      </w:r>
      <w:r>
        <w:rPr>
          <w:spacing w:val="-6"/>
        </w:rPr>
        <w:t xml:space="preserve"> </w:t>
      </w:r>
      <w:r>
        <w:t>de</w:t>
      </w:r>
      <w:r>
        <w:rPr>
          <w:spacing w:val="-7"/>
        </w:rPr>
        <w:t xml:space="preserve"> </w:t>
      </w:r>
      <w:r>
        <w:t>los</w:t>
      </w:r>
      <w:r>
        <w:rPr>
          <w:spacing w:val="-7"/>
        </w:rPr>
        <w:t xml:space="preserve"> </w:t>
      </w:r>
      <w:r>
        <w:t>conflictos</w:t>
      </w:r>
      <w:r>
        <w:rPr>
          <w:spacing w:val="-7"/>
        </w:rPr>
        <w:t xml:space="preserve"> </w:t>
      </w:r>
      <w:r>
        <w:t>laborales,</w:t>
      </w:r>
      <w:r>
        <w:rPr>
          <w:spacing w:val="-7"/>
        </w:rPr>
        <w:t xml:space="preserve"> </w:t>
      </w:r>
      <w:r>
        <w:t>urbanos</w:t>
      </w:r>
      <w:r>
        <w:rPr>
          <w:spacing w:val="-6"/>
        </w:rPr>
        <w:t xml:space="preserve"> </w:t>
      </w:r>
      <w:r>
        <w:t>o</w:t>
      </w:r>
      <w:r>
        <w:rPr>
          <w:spacing w:val="-6"/>
        </w:rPr>
        <w:t xml:space="preserve"> </w:t>
      </w:r>
      <w:r>
        <w:t>agrarios,</w:t>
      </w:r>
      <w:r>
        <w:rPr>
          <w:spacing w:val="-7"/>
        </w:rPr>
        <w:t xml:space="preserve"> </w:t>
      </w:r>
      <w:r>
        <w:t>por</w:t>
      </w:r>
      <w:r>
        <w:rPr>
          <w:spacing w:val="-6"/>
        </w:rPr>
        <w:t xml:space="preserve"> </w:t>
      </w:r>
      <w:r>
        <w:t>la tierra, hasta las de género y las más estructurales como las asociadas al racismo.</w:t>
      </w:r>
    </w:p>
    <w:p w:rsidR="003804AC" w:rsidRDefault="00AF18A5" w:rsidP="00EE114D">
      <w:r>
        <w:t>La guerra en Colombia se configuró desde el campo político y desde él se condujo la acción de la fuerza pública. Fue una guerra profundamente racional en la que el uso de la violencia</w:t>
      </w:r>
      <w:r>
        <w:rPr>
          <w:spacing w:val="-2"/>
        </w:rPr>
        <w:t xml:space="preserve"> </w:t>
      </w:r>
      <w:r>
        <w:t>se</w:t>
      </w:r>
      <w:r>
        <w:rPr>
          <w:spacing w:val="-3"/>
        </w:rPr>
        <w:t xml:space="preserve"> </w:t>
      </w:r>
      <w:r>
        <w:t>reguló</w:t>
      </w:r>
      <w:r>
        <w:rPr>
          <w:spacing w:val="-2"/>
        </w:rPr>
        <w:t xml:space="preserve"> </w:t>
      </w:r>
      <w:r>
        <w:t>o</w:t>
      </w:r>
      <w:r>
        <w:rPr>
          <w:spacing w:val="-3"/>
        </w:rPr>
        <w:t xml:space="preserve"> </w:t>
      </w:r>
      <w:r>
        <w:t>desreguló</w:t>
      </w:r>
      <w:r>
        <w:rPr>
          <w:spacing w:val="-2"/>
        </w:rPr>
        <w:t xml:space="preserve"> </w:t>
      </w:r>
      <w:r>
        <w:t>según</w:t>
      </w:r>
      <w:r>
        <w:rPr>
          <w:spacing w:val="-2"/>
        </w:rPr>
        <w:t xml:space="preserve"> </w:t>
      </w:r>
      <w:r>
        <w:t>el</w:t>
      </w:r>
      <w:r>
        <w:rPr>
          <w:spacing w:val="-3"/>
        </w:rPr>
        <w:t xml:space="preserve"> </w:t>
      </w:r>
      <w:r>
        <w:t>logro</w:t>
      </w:r>
      <w:r>
        <w:rPr>
          <w:spacing w:val="-2"/>
        </w:rPr>
        <w:t xml:space="preserve"> </w:t>
      </w:r>
      <w:r>
        <w:t>de</w:t>
      </w:r>
      <w:r>
        <w:rPr>
          <w:spacing w:val="-3"/>
        </w:rPr>
        <w:t xml:space="preserve"> </w:t>
      </w:r>
      <w:r>
        <w:t>objetivos</w:t>
      </w:r>
      <w:r>
        <w:rPr>
          <w:spacing w:val="-2"/>
        </w:rPr>
        <w:t xml:space="preserve"> </w:t>
      </w:r>
      <w:r>
        <w:t>o</w:t>
      </w:r>
      <w:r>
        <w:rPr>
          <w:spacing w:val="-3"/>
        </w:rPr>
        <w:t xml:space="preserve"> </w:t>
      </w:r>
      <w:r>
        <w:t>intereses</w:t>
      </w:r>
      <w:r>
        <w:rPr>
          <w:spacing w:val="-3"/>
        </w:rPr>
        <w:t xml:space="preserve"> </w:t>
      </w:r>
      <w:r>
        <w:t>relativos</w:t>
      </w:r>
      <w:r>
        <w:rPr>
          <w:spacing w:val="-3"/>
        </w:rPr>
        <w:t xml:space="preserve"> </w:t>
      </w:r>
      <w:r>
        <w:t>al</w:t>
      </w:r>
      <w:r>
        <w:rPr>
          <w:spacing w:val="-2"/>
        </w:rPr>
        <w:t xml:space="preserve"> </w:t>
      </w:r>
      <w:r>
        <w:t>poder.</w:t>
      </w:r>
      <w:r>
        <w:rPr>
          <w:spacing w:val="-2"/>
        </w:rPr>
        <w:t xml:space="preserve"> </w:t>
      </w:r>
      <w:r>
        <w:t>En esa</w:t>
      </w:r>
      <w:r>
        <w:rPr>
          <w:spacing w:val="-6"/>
        </w:rPr>
        <w:t xml:space="preserve"> </w:t>
      </w:r>
      <w:r>
        <w:t>medida,</w:t>
      </w:r>
      <w:r>
        <w:rPr>
          <w:spacing w:val="-7"/>
        </w:rPr>
        <w:t xml:space="preserve"> </w:t>
      </w:r>
      <w:r>
        <w:t>fue</w:t>
      </w:r>
      <w:r>
        <w:rPr>
          <w:spacing w:val="-6"/>
        </w:rPr>
        <w:t xml:space="preserve"> </w:t>
      </w:r>
      <w:r>
        <w:t>un</w:t>
      </w:r>
      <w:r>
        <w:rPr>
          <w:spacing w:val="-6"/>
        </w:rPr>
        <w:t xml:space="preserve"> </w:t>
      </w:r>
      <w:r>
        <w:t>juego</w:t>
      </w:r>
      <w:r>
        <w:rPr>
          <w:spacing w:val="-7"/>
        </w:rPr>
        <w:t xml:space="preserve"> </w:t>
      </w:r>
      <w:r>
        <w:t>de</w:t>
      </w:r>
      <w:r>
        <w:rPr>
          <w:spacing w:val="-6"/>
        </w:rPr>
        <w:t xml:space="preserve"> </w:t>
      </w:r>
      <w:r>
        <w:t>interacciones</w:t>
      </w:r>
      <w:r>
        <w:rPr>
          <w:spacing w:val="-6"/>
        </w:rPr>
        <w:t xml:space="preserve"> </w:t>
      </w:r>
      <w:r>
        <w:t>en</w:t>
      </w:r>
      <w:r>
        <w:rPr>
          <w:spacing w:val="-6"/>
        </w:rPr>
        <w:t xml:space="preserve"> </w:t>
      </w:r>
      <w:r>
        <w:t>el</w:t>
      </w:r>
      <w:r>
        <w:rPr>
          <w:spacing w:val="-6"/>
        </w:rPr>
        <w:t xml:space="preserve"> </w:t>
      </w:r>
      <w:r>
        <w:t>que</w:t>
      </w:r>
      <w:r>
        <w:rPr>
          <w:spacing w:val="-6"/>
        </w:rPr>
        <w:t xml:space="preserve"> </w:t>
      </w:r>
      <w:r>
        <w:t>los</w:t>
      </w:r>
      <w:r>
        <w:rPr>
          <w:spacing w:val="-6"/>
        </w:rPr>
        <w:t xml:space="preserve"> </w:t>
      </w:r>
      <w:r>
        <w:t>actores</w:t>
      </w:r>
      <w:r>
        <w:rPr>
          <w:spacing w:val="-6"/>
        </w:rPr>
        <w:t xml:space="preserve"> </w:t>
      </w:r>
      <w:r>
        <w:t>se</w:t>
      </w:r>
      <w:r>
        <w:rPr>
          <w:spacing w:val="-6"/>
        </w:rPr>
        <w:t xml:space="preserve"> </w:t>
      </w:r>
      <w:r>
        <w:t>moldearon</w:t>
      </w:r>
      <w:r>
        <w:rPr>
          <w:spacing w:val="-6"/>
        </w:rPr>
        <w:t xml:space="preserve"> </w:t>
      </w:r>
      <w:r>
        <w:t>mutuamente</w:t>
      </w:r>
      <w:r>
        <w:rPr>
          <w:spacing w:val="-6"/>
        </w:rPr>
        <w:t xml:space="preserve"> </w:t>
      </w:r>
      <w:r>
        <w:t>en una dialéctica incremental de impiedad. Al comienzo, consistió en el enfrentamiento de grupos marxistas o revolucionarios alzados en armas en busca del poder estatal de manera paulatina</w:t>
      </w:r>
      <w:r>
        <w:rPr>
          <w:spacing w:val="43"/>
        </w:rPr>
        <w:t xml:space="preserve"> </w:t>
      </w:r>
      <w:r>
        <w:t>(acumulando</w:t>
      </w:r>
      <w:r>
        <w:rPr>
          <w:spacing w:val="44"/>
        </w:rPr>
        <w:t xml:space="preserve"> </w:t>
      </w:r>
      <w:r>
        <w:t>fuerzas)</w:t>
      </w:r>
      <w:r>
        <w:rPr>
          <w:spacing w:val="45"/>
        </w:rPr>
        <w:t xml:space="preserve"> </w:t>
      </w:r>
      <w:r>
        <w:t>o</w:t>
      </w:r>
      <w:r>
        <w:rPr>
          <w:spacing w:val="45"/>
        </w:rPr>
        <w:t xml:space="preserve"> </w:t>
      </w:r>
      <w:r>
        <w:t>súbita</w:t>
      </w:r>
      <w:r>
        <w:rPr>
          <w:spacing w:val="43"/>
        </w:rPr>
        <w:t xml:space="preserve"> </w:t>
      </w:r>
      <w:r>
        <w:t>(insurrección),</w:t>
      </w:r>
      <w:r>
        <w:rPr>
          <w:spacing w:val="45"/>
        </w:rPr>
        <w:t xml:space="preserve"> </w:t>
      </w:r>
      <w:r>
        <w:t>contra</w:t>
      </w:r>
      <w:r>
        <w:rPr>
          <w:spacing w:val="45"/>
        </w:rPr>
        <w:t xml:space="preserve"> </w:t>
      </w:r>
      <w:r>
        <w:t>un</w:t>
      </w:r>
      <w:r>
        <w:rPr>
          <w:spacing w:val="45"/>
        </w:rPr>
        <w:t xml:space="preserve"> </w:t>
      </w:r>
      <w:r>
        <w:t>Estado</w:t>
      </w:r>
      <w:r>
        <w:rPr>
          <w:spacing w:val="44"/>
        </w:rPr>
        <w:t xml:space="preserve"> </w:t>
      </w:r>
      <w:r>
        <w:t>en</w:t>
      </w:r>
      <w:r>
        <w:rPr>
          <w:spacing w:val="45"/>
        </w:rPr>
        <w:t xml:space="preserve"> </w:t>
      </w:r>
      <w:r>
        <w:rPr>
          <w:spacing w:val="-2"/>
        </w:rPr>
        <w:t>formación,</w:t>
      </w:r>
      <w:r w:rsidR="00EE114D">
        <w:rPr>
          <w:spacing w:val="-2"/>
        </w:rPr>
        <w:t xml:space="preserve"> </w:t>
      </w:r>
      <w:r>
        <w:t xml:space="preserve">dominado por sectores políticos y élites tradicionales que, a pesar de sus contradicciones internas, defendieron el </w:t>
      </w:r>
      <w:r>
        <w:rPr>
          <w:i/>
        </w:rPr>
        <w:t xml:space="preserve">statu quo </w:t>
      </w:r>
      <w:r>
        <w:t>a través de un reformismo acotado.</w:t>
      </w:r>
    </w:p>
    <w:p w:rsidR="003804AC" w:rsidRDefault="00AF18A5" w:rsidP="00EE114D">
      <w:r>
        <w:t>El</w:t>
      </w:r>
      <w:r>
        <w:rPr>
          <w:spacing w:val="-3"/>
        </w:rPr>
        <w:t xml:space="preserve"> </w:t>
      </w:r>
      <w:r>
        <w:t>Estado</w:t>
      </w:r>
      <w:r>
        <w:rPr>
          <w:spacing w:val="-4"/>
        </w:rPr>
        <w:t xml:space="preserve"> </w:t>
      </w:r>
      <w:r>
        <w:t>se</w:t>
      </w:r>
      <w:r>
        <w:rPr>
          <w:spacing w:val="-5"/>
        </w:rPr>
        <w:t xml:space="preserve"> </w:t>
      </w:r>
      <w:r>
        <w:t>ha</w:t>
      </w:r>
      <w:r>
        <w:rPr>
          <w:spacing w:val="-3"/>
        </w:rPr>
        <w:t xml:space="preserve"> </w:t>
      </w:r>
      <w:r>
        <w:t>construido</w:t>
      </w:r>
      <w:r>
        <w:rPr>
          <w:spacing w:val="-4"/>
        </w:rPr>
        <w:t xml:space="preserve"> </w:t>
      </w:r>
      <w:r>
        <w:t>en</w:t>
      </w:r>
      <w:r>
        <w:rPr>
          <w:spacing w:val="-4"/>
        </w:rPr>
        <w:t xml:space="preserve"> </w:t>
      </w:r>
      <w:r>
        <w:t>medio</w:t>
      </w:r>
      <w:r>
        <w:rPr>
          <w:spacing w:val="-5"/>
        </w:rPr>
        <w:t xml:space="preserve"> </w:t>
      </w:r>
      <w:r>
        <w:t>de</w:t>
      </w:r>
      <w:r>
        <w:rPr>
          <w:spacing w:val="-3"/>
        </w:rPr>
        <w:t xml:space="preserve"> </w:t>
      </w:r>
      <w:r>
        <w:t>la</w:t>
      </w:r>
      <w:r>
        <w:rPr>
          <w:spacing w:val="-3"/>
        </w:rPr>
        <w:t xml:space="preserve"> </w:t>
      </w:r>
      <w:r>
        <w:t>guerra</w:t>
      </w:r>
      <w:r>
        <w:rPr>
          <w:spacing w:val="-5"/>
        </w:rPr>
        <w:t xml:space="preserve"> </w:t>
      </w:r>
      <w:r>
        <w:t>y</w:t>
      </w:r>
      <w:r>
        <w:rPr>
          <w:spacing w:val="-4"/>
        </w:rPr>
        <w:t xml:space="preserve"> </w:t>
      </w:r>
      <w:r>
        <w:t>su</w:t>
      </w:r>
      <w:r>
        <w:rPr>
          <w:spacing w:val="-4"/>
        </w:rPr>
        <w:t xml:space="preserve"> </w:t>
      </w:r>
      <w:r>
        <w:t>carácter</w:t>
      </w:r>
      <w:r>
        <w:rPr>
          <w:spacing w:val="-3"/>
        </w:rPr>
        <w:t xml:space="preserve"> </w:t>
      </w:r>
      <w:r>
        <w:t>se</w:t>
      </w:r>
      <w:r>
        <w:rPr>
          <w:spacing w:val="-3"/>
        </w:rPr>
        <w:t xml:space="preserve"> </w:t>
      </w:r>
      <w:r>
        <w:t>ha</w:t>
      </w:r>
      <w:r>
        <w:rPr>
          <w:spacing w:val="-3"/>
        </w:rPr>
        <w:t xml:space="preserve"> </w:t>
      </w:r>
      <w:r>
        <w:t>forjado</w:t>
      </w:r>
      <w:r>
        <w:rPr>
          <w:spacing w:val="-4"/>
        </w:rPr>
        <w:t xml:space="preserve"> </w:t>
      </w:r>
      <w:r>
        <w:t>en</w:t>
      </w:r>
      <w:r>
        <w:rPr>
          <w:spacing w:val="-4"/>
        </w:rPr>
        <w:t xml:space="preserve"> </w:t>
      </w:r>
      <w:r>
        <w:t>una</w:t>
      </w:r>
      <w:r>
        <w:rPr>
          <w:spacing w:val="-3"/>
        </w:rPr>
        <w:t xml:space="preserve"> </w:t>
      </w:r>
      <w:r>
        <w:t>fuerte tensión entre legitimidad, legalidad</w:t>
      </w:r>
      <w:r>
        <w:rPr>
          <w:spacing w:val="-1"/>
        </w:rPr>
        <w:t xml:space="preserve"> </w:t>
      </w:r>
      <w:r>
        <w:t>y crimen. Probablemente no existe una descripción más exacta que la de un «orangután con sacoleva»</w:t>
      </w:r>
      <w:r w:rsidR="00EE114D">
        <w:rPr>
          <w:rStyle w:val="Refdenotaalpie"/>
        </w:rPr>
        <w:footnoteReference w:id="49"/>
      </w:r>
      <w:r>
        <w:t>. La compleja relación entre fines y medios ha</w:t>
      </w:r>
      <w:r>
        <w:rPr>
          <w:spacing w:val="-14"/>
        </w:rPr>
        <w:t xml:space="preserve"> </w:t>
      </w:r>
      <w:r>
        <w:t>llevado</w:t>
      </w:r>
      <w:r>
        <w:rPr>
          <w:spacing w:val="-14"/>
        </w:rPr>
        <w:t xml:space="preserve"> </w:t>
      </w:r>
      <w:r>
        <w:t>a</w:t>
      </w:r>
      <w:r>
        <w:rPr>
          <w:spacing w:val="-15"/>
        </w:rPr>
        <w:t xml:space="preserve"> </w:t>
      </w:r>
      <w:r>
        <w:t>que,</w:t>
      </w:r>
      <w:r>
        <w:rPr>
          <w:spacing w:val="-14"/>
        </w:rPr>
        <w:t xml:space="preserve"> </w:t>
      </w:r>
      <w:r>
        <w:t>en</w:t>
      </w:r>
      <w:r>
        <w:rPr>
          <w:spacing w:val="-14"/>
        </w:rPr>
        <w:t xml:space="preserve"> </w:t>
      </w:r>
      <w:r>
        <w:t>ciertas</w:t>
      </w:r>
      <w:r>
        <w:rPr>
          <w:spacing w:val="-14"/>
        </w:rPr>
        <w:t xml:space="preserve"> </w:t>
      </w:r>
      <w:r>
        <w:t>coyunturas,</w:t>
      </w:r>
      <w:r>
        <w:rPr>
          <w:spacing w:val="-14"/>
        </w:rPr>
        <w:t xml:space="preserve"> </w:t>
      </w:r>
      <w:r>
        <w:t>algunas</w:t>
      </w:r>
      <w:r>
        <w:rPr>
          <w:spacing w:val="-15"/>
        </w:rPr>
        <w:t xml:space="preserve"> </w:t>
      </w:r>
      <w:r>
        <w:t>instituciones</w:t>
      </w:r>
      <w:r>
        <w:rPr>
          <w:spacing w:val="-14"/>
        </w:rPr>
        <w:t xml:space="preserve"> </w:t>
      </w:r>
      <w:r>
        <w:t>del</w:t>
      </w:r>
      <w:r>
        <w:rPr>
          <w:spacing w:val="-14"/>
        </w:rPr>
        <w:t xml:space="preserve"> </w:t>
      </w:r>
      <w:r>
        <w:t>Estado</w:t>
      </w:r>
      <w:r>
        <w:rPr>
          <w:spacing w:val="-14"/>
        </w:rPr>
        <w:t xml:space="preserve"> </w:t>
      </w:r>
      <w:r>
        <w:t>hayan</w:t>
      </w:r>
      <w:r>
        <w:rPr>
          <w:spacing w:val="-14"/>
        </w:rPr>
        <w:t xml:space="preserve"> </w:t>
      </w:r>
      <w:r>
        <w:t>cometido</w:t>
      </w:r>
      <w:r>
        <w:rPr>
          <w:spacing w:val="-14"/>
        </w:rPr>
        <w:t xml:space="preserve"> </w:t>
      </w:r>
      <w:r>
        <w:t>todo tipo de violaciones de los derechos humanos (DD. HH.) e incurrido en actos de corrupción tolerados</w:t>
      </w:r>
      <w:r>
        <w:rPr>
          <w:spacing w:val="-6"/>
        </w:rPr>
        <w:t xml:space="preserve"> </w:t>
      </w:r>
      <w:r>
        <w:t>y</w:t>
      </w:r>
      <w:r>
        <w:rPr>
          <w:spacing w:val="-6"/>
        </w:rPr>
        <w:t xml:space="preserve"> </w:t>
      </w:r>
      <w:r>
        <w:t>justificados</w:t>
      </w:r>
      <w:r>
        <w:rPr>
          <w:spacing w:val="-6"/>
        </w:rPr>
        <w:t xml:space="preserve"> </w:t>
      </w:r>
      <w:r>
        <w:t>incluso</w:t>
      </w:r>
      <w:r>
        <w:rPr>
          <w:spacing w:val="-6"/>
        </w:rPr>
        <w:t xml:space="preserve"> </w:t>
      </w:r>
      <w:r>
        <w:t>por</w:t>
      </w:r>
      <w:r>
        <w:rPr>
          <w:spacing w:val="-6"/>
        </w:rPr>
        <w:t xml:space="preserve"> </w:t>
      </w:r>
      <w:r>
        <w:t>intrincados</w:t>
      </w:r>
      <w:r>
        <w:rPr>
          <w:spacing w:val="-7"/>
        </w:rPr>
        <w:t xml:space="preserve"> </w:t>
      </w:r>
      <w:r>
        <w:t>mecanismos</w:t>
      </w:r>
      <w:r>
        <w:rPr>
          <w:spacing w:val="-7"/>
        </w:rPr>
        <w:t xml:space="preserve"> </w:t>
      </w:r>
      <w:r>
        <w:t>legales</w:t>
      </w:r>
      <w:r w:rsidR="00354EF3">
        <w:rPr>
          <w:rStyle w:val="Refdenotaalpie"/>
        </w:rPr>
        <w:footnoteReference w:id="50"/>
      </w:r>
      <w:r>
        <w:t>.</w:t>
      </w:r>
      <w:r>
        <w:rPr>
          <w:spacing w:val="-6"/>
        </w:rPr>
        <w:t xml:space="preserve"> </w:t>
      </w:r>
      <w:r>
        <w:t>Esto</w:t>
      </w:r>
      <w:r>
        <w:rPr>
          <w:spacing w:val="-6"/>
        </w:rPr>
        <w:t xml:space="preserve"> </w:t>
      </w:r>
      <w:r>
        <w:t>explica,</w:t>
      </w:r>
      <w:r>
        <w:rPr>
          <w:spacing w:val="-6"/>
        </w:rPr>
        <w:t xml:space="preserve"> </w:t>
      </w:r>
      <w:r>
        <w:t>en</w:t>
      </w:r>
      <w:r>
        <w:rPr>
          <w:spacing w:val="-7"/>
        </w:rPr>
        <w:t xml:space="preserve"> </w:t>
      </w:r>
      <w:r>
        <w:t xml:space="preserve">parte, la </w:t>
      </w:r>
      <w:r>
        <w:lastRenderedPageBreak/>
        <w:t>oprobiosa impunidad que ha cubierto a los poderosos y a quienes han sido decisores durante la guerra.</w:t>
      </w:r>
    </w:p>
    <w:p w:rsidR="003804AC" w:rsidRDefault="00AF18A5" w:rsidP="00EE114D">
      <w:r>
        <w:t>No todo el Estado ha llegado a ese punto, sin embargo. Hay que reconocer que en esa dialéctica el sistema de pesos y contrapesos ha sido crucial para que las instituciones no naufraguen. Algunas de ellas lo han hecho y se aferran a endebles tablas de salvación en medio de la tormenta, pero muchas han servido como defensa o soporte en contra de las violencias del conflicto.</w:t>
      </w:r>
    </w:p>
    <w:p w:rsidR="003804AC" w:rsidRDefault="00AF18A5" w:rsidP="00EE114D">
      <w:r>
        <w:t>¿Y la sociedad qué papel ha desempeñado? Si bien no se puede decir que esta haya sido una</w:t>
      </w:r>
      <w:r>
        <w:rPr>
          <w:spacing w:val="-4"/>
        </w:rPr>
        <w:t xml:space="preserve"> </w:t>
      </w:r>
      <w:r>
        <w:t>guerra</w:t>
      </w:r>
      <w:r>
        <w:rPr>
          <w:spacing w:val="-4"/>
        </w:rPr>
        <w:t xml:space="preserve"> </w:t>
      </w:r>
      <w:r>
        <w:t>civil</w:t>
      </w:r>
      <w:r>
        <w:rPr>
          <w:spacing w:val="-4"/>
        </w:rPr>
        <w:t xml:space="preserve"> </w:t>
      </w:r>
      <w:r>
        <w:t>en</w:t>
      </w:r>
      <w:r>
        <w:rPr>
          <w:spacing w:val="-6"/>
        </w:rPr>
        <w:t xml:space="preserve"> </w:t>
      </w:r>
      <w:r>
        <w:t>términos</w:t>
      </w:r>
      <w:r>
        <w:rPr>
          <w:spacing w:val="-4"/>
        </w:rPr>
        <w:t xml:space="preserve"> </w:t>
      </w:r>
      <w:r>
        <w:t>de</w:t>
      </w:r>
      <w:r>
        <w:rPr>
          <w:spacing w:val="-4"/>
        </w:rPr>
        <w:t xml:space="preserve"> </w:t>
      </w:r>
      <w:r>
        <w:t>bandos</w:t>
      </w:r>
      <w:r>
        <w:rPr>
          <w:spacing w:val="-4"/>
        </w:rPr>
        <w:t xml:space="preserve"> </w:t>
      </w:r>
      <w:r>
        <w:t>significativos</w:t>
      </w:r>
      <w:r>
        <w:rPr>
          <w:spacing w:val="-4"/>
        </w:rPr>
        <w:t xml:space="preserve"> </w:t>
      </w:r>
      <w:r>
        <w:t>de</w:t>
      </w:r>
      <w:r>
        <w:rPr>
          <w:spacing w:val="-4"/>
        </w:rPr>
        <w:t xml:space="preserve"> </w:t>
      </w:r>
      <w:r>
        <w:t>la</w:t>
      </w:r>
      <w:r>
        <w:rPr>
          <w:spacing w:val="-4"/>
        </w:rPr>
        <w:t xml:space="preserve"> </w:t>
      </w:r>
      <w:r>
        <w:t>comunidad</w:t>
      </w:r>
      <w:r>
        <w:rPr>
          <w:spacing w:val="-5"/>
        </w:rPr>
        <w:t xml:space="preserve"> </w:t>
      </w:r>
      <w:r>
        <w:t>política,</w:t>
      </w:r>
      <w:r>
        <w:rPr>
          <w:spacing w:val="-5"/>
        </w:rPr>
        <w:t xml:space="preserve"> </w:t>
      </w:r>
      <w:r>
        <w:t>alzados</w:t>
      </w:r>
      <w:r>
        <w:rPr>
          <w:spacing w:val="-4"/>
        </w:rPr>
        <w:t xml:space="preserve"> </w:t>
      </w:r>
      <w:r>
        <w:t>unos contra otros, sí fue una guerra irregular que transcurrió en medio del juego de poder, representaciones e intereses de diferentes personas y grupos de la sociedad civil.</w:t>
      </w:r>
    </w:p>
    <w:p w:rsidR="003804AC" w:rsidRDefault="00AF18A5" w:rsidP="00EE114D">
      <w:r>
        <w:t>La</w:t>
      </w:r>
      <w:r>
        <w:rPr>
          <w:spacing w:val="-1"/>
        </w:rPr>
        <w:t xml:space="preserve"> </w:t>
      </w:r>
      <w:r>
        <w:t>sociedad</w:t>
      </w:r>
      <w:r>
        <w:rPr>
          <w:spacing w:val="-2"/>
        </w:rPr>
        <w:t xml:space="preserve"> </w:t>
      </w:r>
      <w:r>
        <w:t>no</w:t>
      </w:r>
      <w:r>
        <w:rPr>
          <w:spacing w:val="-1"/>
        </w:rPr>
        <w:t xml:space="preserve"> </w:t>
      </w:r>
      <w:r>
        <w:t>fue</w:t>
      </w:r>
      <w:r>
        <w:rPr>
          <w:spacing w:val="-2"/>
        </w:rPr>
        <w:t xml:space="preserve"> </w:t>
      </w:r>
      <w:r>
        <w:t>un</w:t>
      </w:r>
      <w:r>
        <w:rPr>
          <w:spacing w:val="-2"/>
        </w:rPr>
        <w:t xml:space="preserve"> </w:t>
      </w:r>
      <w:r>
        <w:t>testigo</w:t>
      </w:r>
      <w:r>
        <w:rPr>
          <w:spacing w:val="-2"/>
        </w:rPr>
        <w:t xml:space="preserve"> </w:t>
      </w:r>
      <w:r>
        <w:t>mudo</w:t>
      </w:r>
      <w:r>
        <w:rPr>
          <w:spacing w:val="-4"/>
        </w:rPr>
        <w:t xml:space="preserve"> </w:t>
      </w:r>
      <w:r>
        <w:t>e</w:t>
      </w:r>
      <w:r>
        <w:rPr>
          <w:spacing w:val="-1"/>
        </w:rPr>
        <w:t xml:space="preserve"> </w:t>
      </w:r>
      <w:r>
        <w:t>inerme.</w:t>
      </w:r>
      <w:r>
        <w:rPr>
          <w:spacing w:val="-2"/>
        </w:rPr>
        <w:t xml:space="preserve"> </w:t>
      </w:r>
      <w:r>
        <w:t>Con</w:t>
      </w:r>
      <w:r>
        <w:rPr>
          <w:spacing w:val="-1"/>
        </w:rPr>
        <w:t xml:space="preserve"> </w:t>
      </w:r>
      <w:r>
        <w:t>diferencias</w:t>
      </w:r>
      <w:r>
        <w:rPr>
          <w:spacing w:val="-1"/>
        </w:rPr>
        <w:t xml:space="preserve"> </w:t>
      </w:r>
      <w:r>
        <w:t>de</w:t>
      </w:r>
      <w:r>
        <w:rPr>
          <w:spacing w:val="-2"/>
        </w:rPr>
        <w:t xml:space="preserve"> </w:t>
      </w:r>
      <w:r>
        <w:t>tiempo,</w:t>
      </w:r>
      <w:r>
        <w:rPr>
          <w:spacing w:val="-1"/>
        </w:rPr>
        <w:t xml:space="preserve"> </w:t>
      </w:r>
      <w:r>
        <w:t>modo</w:t>
      </w:r>
      <w:r>
        <w:rPr>
          <w:spacing w:val="-1"/>
        </w:rPr>
        <w:t xml:space="preserve"> </w:t>
      </w:r>
      <w:r>
        <w:t>y</w:t>
      </w:r>
      <w:r>
        <w:rPr>
          <w:spacing w:val="-2"/>
        </w:rPr>
        <w:t xml:space="preserve"> </w:t>
      </w:r>
      <w:r>
        <w:t>lugar</w:t>
      </w:r>
      <w:r>
        <w:rPr>
          <w:spacing w:val="-1"/>
        </w:rPr>
        <w:t xml:space="preserve"> </w:t>
      </w:r>
      <w:r>
        <w:t>– y, por supuesto, capacidad de incidencia–, el papel de los ciudadanos colombianos fue determinante para elegir entre guerra o paz, entre cierre y apertura de la democracia, entre compasión e</w:t>
      </w:r>
      <w:r>
        <w:rPr>
          <w:spacing w:val="2"/>
        </w:rPr>
        <w:t xml:space="preserve"> </w:t>
      </w:r>
      <w:r>
        <w:t>indiferencia.</w:t>
      </w:r>
      <w:r>
        <w:rPr>
          <w:spacing w:val="3"/>
        </w:rPr>
        <w:t xml:space="preserve"> </w:t>
      </w:r>
      <w:r>
        <w:t>Lo</w:t>
      </w:r>
      <w:r>
        <w:rPr>
          <w:spacing w:val="3"/>
        </w:rPr>
        <w:t xml:space="preserve"> </w:t>
      </w:r>
      <w:r>
        <w:t>primero</w:t>
      </w:r>
      <w:r>
        <w:rPr>
          <w:spacing w:val="2"/>
        </w:rPr>
        <w:t xml:space="preserve"> </w:t>
      </w:r>
      <w:r>
        <w:t>que</w:t>
      </w:r>
      <w:r>
        <w:rPr>
          <w:spacing w:val="4"/>
        </w:rPr>
        <w:t xml:space="preserve"> </w:t>
      </w:r>
      <w:r>
        <w:t>se</w:t>
      </w:r>
      <w:r>
        <w:rPr>
          <w:spacing w:val="3"/>
        </w:rPr>
        <w:t xml:space="preserve"> </w:t>
      </w:r>
      <w:r>
        <w:t>debe</w:t>
      </w:r>
      <w:r>
        <w:rPr>
          <w:spacing w:val="2"/>
        </w:rPr>
        <w:t xml:space="preserve"> </w:t>
      </w:r>
      <w:r>
        <w:t>reconocer</w:t>
      </w:r>
      <w:r>
        <w:rPr>
          <w:spacing w:val="3"/>
        </w:rPr>
        <w:t xml:space="preserve"> </w:t>
      </w:r>
      <w:r>
        <w:t>es</w:t>
      </w:r>
      <w:r>
        <w:rPr>
          <w:spacing w:val="4"/>
        </w:rPr>
        <w:t xml:space="preserve"> </w:t>
      </w:r>
      <w:r>
        <w:t>que</w:t>
      </w:r>
      <w:r>
        <w:rPr>
          <w:spacing w:val="2"/>
        </w:rPr>
        <w:t xml:space="preserve"> </w:t>
      </w:r>
      <w:r>
        <w:t>la</w:t>
      </w:r>
      <w:r>
        <w:rPr>
          <w:spacing w:val="2"/>
        </w:rPr>
        <w:t xml:space="preserve"> </w:t>
      </w:r>
      <w:r>
        <w:t>sociedad</w:t>
      </w:r>
      <w:r>
        <w:rPr>
          <w:spacing w:val="3"/>
        </w:rPr>
        <w:t xml:space="preserve"> </w:t>
      </w:r>
      <w:r>
        <w:rPr>
          <w:spacing w:val="-2"/>
        </w:rPr>
        <w:t>colombiana</w:t>
      </w:r>
      <w:bookmarkStart w:id="108" w:name="_bookmark56"/>
      <w:bookmarkEnd w:id="108"/>
      <w:r w:rsidR="00EE114D">
        <w:t xml:space="preserve"> </w:t>
      </w:r>
      <w:r>
        <w:t>aprendió el ejercicio de la ciudadanía en medio de las balas. Puesto de otra manera, la democracia se fue construyendo en medio de los espacios que dejaba la guerra.</w:t>
      </w:r>
    </w:p>
    <w:p w:rsidR="003804AC" w:rsidRDefault="00AF18A5" w:rsidP="00EE114D">
      <w:r>
        <w:t>Es claro que el rol de la sociedad civil en todas sus formas ha sido determinante para ponerle fin a la guerra y lograr la paz. Primero, con el voto. El Frente Nacional, la Constitución</w:t>
      </w:r>
      <w:r>
        <w:rPr>
          <w:spacing w:val="-15"/>
        </w:rPr>
        <w:t xml:space="preserve"> </w:t>
      </w:r>
      <w:r>
        <w:t>de</w:t>
      </w:r>
      <w:r>
        <w:rPr>
          <w:spacing w:val="-15"/>
        </w:rPr>
        <w:t xml:space="preserve"> </w:t>
      </w:r>
      <w:r>
        <w:t>1991</w:t>
      </w:r>
      <w:r>
        <w:rPr>
          <w:spacing w:val="-15"/>
        </w:rPr>
        <w:t xml:space="preserve"> </w:t>
      </w:r>
      <w:r>
        <w:t>y</w:t>
      </w:r>
      <w:r>
        <w:rPr>
          <w:spacing w:val="-15"/>
        </w:rPr>
        <w:t xml:space="preserve"> </w:t>
      </w:r>
      <w:r>
        <w:t>luego</w:t>
      </w:r>
      <w:r>
        <w:rPr>
          <w:spacing w:val="-15"/>
        </w:rPr>
        <w:t xml:space="preserve"> </w:t>
      </w:r>
      <w:r>
        <w:t>con</w:t>
      </w:r>
      <w:r>
        <w:rPr>
          <w:spacing w:val="-15"/>
        </w:rPr>
        <w:t xml:space="preserve"> </w:t>
      </w:r>
      <w:r>
        <w:t>la</w:t>
      </w:r>
      <w:r>
        <w:rPr>
          <w:spacing w:val="-14"/>
        </w:rPr>
        <w:t xml:space="preserve"> </w:t>
      </w:r>
      <w:r>
        <w:t>defensa</w:t>
      </w:r>
      <w:r>
        <w:rPr>
          <w:spacing w:val="-15"/>
        </w:rPr>
        <w:t xml:space="preserve"> </w:t>
      </w:r>
      <w:r>
        <w:t>del</w:t>
      </w:r>
      <w:r>
        <w:rPr>
          <w:spacing w:val="-15"/>
        </w:rPr>
        <w:t xml:space="preserve"> </w:t>
      </w:r>
      <w:r>
        <w:t>Acuerdo</w:t>
      </w:r>
      <w:r>
        <w:rPr>
          <w:spacing w:val="-14"/>
        </w:rPr>
        <w:t xml:space="preserve"> </w:t>
      </w:r>
      <w:r>
        <w:t>de</w:t>
      </w:r>
      <w:r>
        <w:rPr>
          <w:spacing w:val="-14"/>
        </w:rPr>
        <w:t xml:space="preserve"> </w:t>
      </w:r>
      <w:r>
        <w:t>Paz</w:t>
      </w:r>
      <w:r>
        <w:rPr>
          <w:spacing w:val="-14"/>
        </w:rPr>
        <w:t xml:space="preserve"> </w:t>
      </w:r>
      <w:r>
        <w:t>de</w:t>
      </w:r>
      <w:r>
        <w:rPr>
          <w:spacing w:val="-14"/>
        </w:rPr>
        <w:t xml:space="preserve"> </w:t>
      </w:r>
      <w:r>
        <w:t>2016</w:t>
      </w:r>
      <w:r>
        <w:rPr>
          <w:spacing w:val="-15"/>
        </w:rPr>
        <w:t xml:space="preserve"> </w:t>
      </w:r>
      <w:r>
        <w:t>en</w:t>
      </w:r>
      <w:r>
        <w:rPr>
          <w:spacing w:val="-15"/>
        </w:rPr>
        <w:t xml:space="preserve"> </w:t>
      </w:r>
      <w:r>
        <w:t>las</w:t>
      </w:r>
      <w:r>
        <w:rPr>
          <w:spacing w:val="-15"/>
        </w:rPr>
        <w:t xml:space="preserve"> </w:t>
      </w:r>
      <w:r>
        <w:t>calles,</w:t>
      </w:r>
      <w:r>
        <w:rPr>
          <w:spacing w:val="-15"/>
        </w:rPr>
        <w:t xml:space="preserve"> </w:t>
      </w:r>
      <w:r>
        <w:t xml:space="preserve">cuando estuvo en riesgo de ser </w:t>
      </w:r>
      <w:r>
        <w:lastRenderedPageBreak/>
        <w:t>implementado. La política, a pesar de su decadencia, sigue siendo para los colombianos (y para el mundo) el mayor instrumento de cambio social.</w:t>
      </w:r>
    </w:p>
    <w:p w:rsidR="003804AC" w:rsidRDefault="00AF18A5" w:rsidP="00354EF3">
      <w:r>
        <w:t>Un segundo elemento ha sido la participación directa que ha impelido y empujado las reformas.</w:t>
      </w:r>
      <w:r>
        <w:rPr>
          <w:spacing w:val="-12"/>
        </w:rPr>
        <w:t xml:space="preserve"> </w:t>
      </w:r>
      <w:r>
        <w:t>La</w:t>
      </w:r>
      <w:r>
        <w:rPr>
          <w:spacing w:val="-12"/>
        </w:rPr>
        <w:t xml:space="preserve"> </w:t>
      </w:r>
      <w:r>
        <w:t>voluntad</w:t>
      </w:r>
      <w:r>
        <w:rPr>
          <w:spacing w:val="-12"/>
        </w:rPr>
        <w:t xml:space="preserve"> </w:t>
      </w:r>
      <w:r>
        <w:t>política</w:t>
      </w:r>
      <w:r>
        <w:rPr>
          <w:spacing w:val="-11"/>
        </w:rPr>
        <w:t xml:space="preserve"> </w:t>
      </w:r>
      <w:r>
        <w:t>para</w:t>
      </w:r>
      <w:r>
        <w:rPr>
          <w:spacing w:val="-12"/>
        </w:rPr>
        <w:t xml:space="preserve"> </w:t>
      </w:r>
      <w:r>
        <w:t>el</w:t>
      </w:r>
      <w:r>
        <w:rPr>
          <w:spacing w:val="-12"/>
        </w:rPr>
        <w:t xml:space="preserve"> </w:t>
      </w:r>
      <w:r>
        <w:t>cambio</w:t>
      </w:r>
      <w:r>
        <w:rPr>
          <w:spacing w:val="-12"/>
        </w:rPr>
        <w:t xml:space="preserve"> </w:t>
      </w:r>
      <w:r>
        <w:t>y</w:t>
      </w:r>
      <w:r>
        <w:rPr>
          <w:spacing w:val="-11"/>
        </w:rPr>
        <w:t xml:space="preserve"> </w:t>
      </w:r>
      <w:r>
        <w:t>la</w:t>
      </w:r>
      <w:r>
        <w:rPr>
          <w:spacing w:val="-13"/>
        </w:rPr>
        <w:t xml:space="preserve"> </w:t>
      </w:r>
      <w:r>
        <w:t>paz</w:t>
      </w:r>
      <w:r>
        <w:rPr>
          <w:spacing w:val="-11"/>
        </w:rPr>
        <w:t xml:space="preserve"> </w:t>
      </w:r>
      <w:r>
        <w:t>ha</w:t>
      </w:r>
      <w:r>
        <w:rPr>
          <w:spacing w:val="-11"/>
        </w:rPr>
        <w:t xml:space="preserve"> </w:t>
      </w:r>
      <w:r>
        <w:t>sido</w:t>
      </w:r>
      <w:r>
        <w:rPr>
          <w:spacing w:val="-11"/>
        </w:rPr>
        <w:t xml:space="preserve"> </w:t>
      </w:r>
      <w:r>
        <w:t>construida</w:t>
      </w:r>
      <w:r>
        <w:rPr>
          <w:spacing w:val="-11"/>
        </w:rPr>
        <w:t xml:space="preserve"> </w:t>
      </w:r>
      <w:r>
        <w:t>en</w:t>
      </w:r>
      <w:r>
        <w:rPr>
          <w:spacing w:val="-12"/>
        </w:rPr>
        <w:t xml:space="preserve"> </w:t>
      </w:r>
      <w:r>
        <w:t>el</w:t>
      </w:r>
      <w:r>
        <w:rPr>
          <w:spacing w:val="-10"/>
        </w:rPr>
        <w:t xml:space="preserve"> </w:t>
      </w:r>
      <w:r>
        <w:t>debate</w:t>
      </w:r>
      <w:r>
        <w:rPr>
          <w:spacing w:val="-11"/>
        </w:rPr>
        <w:t xml:space="preserve"> </w:t>
      </w:r>
      <w:r>
        <w:t>público y con la movilización social. Paulatinamente, y en idas y venidas, esa ciudadanía que se ejerce de manera directa ha logrado un espacio en la democracia.</w:t>
      </w:r>
    </w:p>
    <w:p w:rsidR="003804AC" w:rsidRDefault="00AF18A5" w:rsidP="00EE114D">
      <w:r>
        <w:t>Y un tercer factor: nunca han sido posibles la reforma ni la paz, si no concurren a los procesos</w:t>
      </w:r>
      <w:r>
        <w:rPr>
          <w:spacing w:val="-3"/>
        </w:rPr>
        <w:t xml:space="preserve"> </w:t>
      </w:r>
      <w:r>
        <w:t>de</w:t>
      </w:r>
      <w:r>
        <w:rPr>
          <w:spacing w:val="-4"/>
        </w:rPr>
        <w:t xml:space="preserve"> </w:t>
      </w:r>
      <w:r>
        <w:t>cambio,</w:t>
      </w:r>
      <w:r>
        <w:rPr>
          <w:spacing w:val="-3"/>
        </w:rPr>
        <w:t xml:space="preserve"> </w:t>
      </w:r>
      <w:r>
        <w:t>de</w:t>
      </w:r>
      <w:r>
        <w:rPr>
          <w:spacing w:val="-3"/>
        </w:rPr>
        <w:t xml:space="preserve"> </w:t>
      </w:r>
      <w:r>
        <w:t>manera</w:t>
      </w:r>
      <w:r>
        <w:rPr>
          <w:spacing w:val="-3"/>
        </w:rPr>
        <w:t xml:space="preserve"> </w:t>
      </w:r>
      <w:r>
        <w:t>dialéctica,</w:t>
      </w:r>
      <w:r>
        <w:rPr>
          <w:spacing w:val="-3"/>
        </w:rPr>
        <w:t xml:space="preserve"> </w:t>
      </w:r>
      <w:r>
        <w:t>tanto</w:t>
      </w:r>
      <w:r>
        <w:rPr>
          <w:spacing w:val="-5"/>
        </w:rPr>
        <w:t xml:space="preserve"> </w:t>
      </w:r>
      <w:r>
        <w:t>sectores</w:t>
      </w:r>
      <w:r>
        <w:rPr>
          <w:spacing w:val="-3"/>
        </w:rPr>
        <w:t xml:space="preserve"> </w:t>
      </w:r>
      <w:r>
        <w:t>de</w:t>
      </w:r>
      <w:r>
        <w:rPr>
          <w:spacing w:val="-3"/>
        </w:rPr>
        <w:t xml:space="preserve"> </w:t>
      </w:r>
      <w:r>
        <w:t>las</w:t>
      </w:r>
      <w:r>
        <w:rPr>
          <w:spacing w:val="-3"/>
        </w:rPr>
        <w:t xml:space="preserve"> </w:t>
      </w:r>
      <w:r>
        <w:t>élites</w:t>
      </w:r>
      <w:r>
        <w:rPr>
          <w:spacing w:val="-3"/>
        </w:rPr>
        <w:t xml:space="preserve"> </w:t>
      </w:r>
      <w:r>
        <w:t>como</w:t>
      </w:r>
      <w:r>
        <w:rPr>
          <w:spacing w:val="-3"/>
        </w:rPr>
        <w:t xml:space="preserve"> </w:t>
      </w:r>
      <w:r>
        <w:t>de</w:t>
      </w:r>
      <w:r>
        <w:rPr>
          <w:spacing w:val="-3"/>
        </w:rPr>
        <w:t xml:space="preserve"> </w:t>
      </w:r>
      <w:r>
        <w:t>la</w:t>
      </w:r>
      <w:r>
        <w:rPr>
          <w:spacing w:val="-3"/>
        </w:rPr>
        <w:t xml:space="preserve"> </w:t>
      </w:r>
      <w:r>
        <w:t>comunidad que</w:t>
      </w:r>
      <w:r>
        <w:rPr>
          <w:spacing w:val="-12"/>
        </w:rPr>
        <w:t xml:space="preserve"> </w:t>
      </w:r>
      <w:r>
        <w:t>buscan</w:t>
      </w:r>
      <w:r>
        <w:rPr>
          <w:spacing w:val="-12"/>
        </w:rPr>
        <w:t xml:space="preserve"> </w:t>
      </w:r>
      <w:r>
        <w:t>empoderamiento.</w:t>
      </w:r>
      <w:r>
        <w:rPr>
          <w:spacing w:val="-12"/>
        </w:rPr>
        <w:t xml:space="preserve"> </w:t>
      </w:r>
      <w:r>
        <w:t>La</w:t>
      </w:r>
      <w:r>
        <w:rPr>
          <w:spacing w:val="-12"/>
        </w:rPr>
        <w:t xml:space="preserve"> </w:t>
      </w:r>
      <w:r>
        <w:t>paz</w:t>
      </w:r>
      <w:r>
        <w:rPr>
          <w:spacing w:val="-12"/>
        </w:rPr>
        <w:t xml:space="preserve"> </w:t>
      </w:r>
      <w:r>
        <w:t>en</w:t>
      </w:r>
      <w:r>
        <w:rPr>
          <w:spacing w:val="-12"/>
        </w:rPr>
        <w:t xml:space="preserve"> </w:t>
      </w:r>
      <w:r>
        <w:t>Colombia</w:t>
      </w:r>
      <w:r>
        <w:rPr>
          <w:spacing w:val="-13"/>
        </w:rPr>
        <w:t xml:space="preserve"> </w:t>
      </w:r>
      <w:r>
        <w:t>no</w:t>
      </w:r>
      <w:r>
        <w:rPr>
          <w:spacing w:val="-12"/>
        </w:rPr>
        <w:t xml:space="preserve"> </w:t>
      </w:r>
      <w:r>
        <w:t>se</w:t>
      </w:r>
      <w:r>
        <w:rPr>
          <w:spacing w:val="-12"/>
        </w:rPr>
        <w:t xml:space="preserve"> </w:t>
      </w:r>
      <w:r>
        <w:t>ha</w:t>
      </w:r>
      <w:r>
        <w:rPr>
          <w:spacing w:val="-12"/>
        </w:rPr>
        <w:t xml:space="preserve"> </w:t>
      </w:r>
      <w:r>
        <w:t>logrado</w:t>
      </w:r>
      <w:r>
        <w:rPr>
          <w:spacing w:val="-12"/>
        </w:rPr>
        <w:t xml:space="preserve"> </w:t>
      </w:r>
      <w:r>
        <w:t>nunca</w:t>
      </w:r>
      <w:r>
        <w:rPr>
          <w:spacing w:val="-12"/>
        </w:rPr>
        <w:t xml:space="preserve"> </w:t>
      </w:r>
      <w:r>
        <w:t>desde</w:t>
      </w:r>
      <w:r>
        <w:rPr>
          <w:spacing w:val="-12"/>
        </w:rPr>
        <w:t xml:space="preserve"> </w:t>
      </w:r>
      <w:r>
        <w:t>un</w:t>
      </w:r>
      <w:r>
        <w:rPr>
          <w:spacing w:val="-12"/>
        </w:rPr>
        <w:t xml:space="preserve"> </w:t>
      </w:r>
      <w:r>
        <w:t>solo</w:t>
      </w:r>
      <w:r>
        <w:rPr>
          <w:spacing w:val="-13"/>
        </w:rPr>
        <w:t xml:space="preserve"> </w:t>
      </w:r>
      <w:r>
        <w:t>lado. Democracia y paz son dos procesos que se retroalimentan. Así lo demuestra la historia del conflicto.</w:t>
      </w:r>
      <w:r>
        <w:rPr>
          <w:spacing w:val="-12"/>
        </w:rPr>
        <w:t xml:space="preserve"> </w:t>
      </w:r>
      <w:r>
        <w:t>Por</w:t>
      </w:r>
      <w:r>
        <w:rPr>
          <w:spacing w:val="-12"/>
        </w:rPr>
        <w:t xml:space="preserve"> </w:t>
      </w:r>
      <w:r>
        <w:t>eso,</w:t>
      </w:r>
      <w:r>
        <w:rPr>
          <w:spacing w:val="-12"/>
        </w:rPr>
        <w:t xml:space="preserve"> </w:t>
      </w:r>
      <w:r>
        <w:t>para</w:t>
      </w:r>
      <w:r>
        <w:rPr>
          <w:spacing w:val="-12"/>
        </w:rPr>
        <w:t xml:space="preserve"> </w:t>
      </w:r>
      <w:r>
        <w:t>que</w:t>
      </w:r>
      <w:r>
        <w:rPr>
          <w:spacing w:val="-12"/>
        </w:rPr>
        <w:t xml:space="preserve"> </w:t>
      </w:r>
      <w:r>
        <w:t>la</w:t>
      </w:r>
      <w:r>
        <w:rPr>
          <w:spacing w:val="-12"/>
        </w:rPr>
        <w:t xml:space="preserve"> </w:t>
      </w:r>
      <w:r>
        <w:t>democracia</w:t>
      </w:r>
      <w:r>
        <w:rPr>
          <w:spacing w:val="-12"/>
        </w:rPr>
        <w:t xml:space="preserve"> </w:t>
      </w:r>
      <w:r>
        <w:t>deje</w:t>
      </w:r>
      <w:r>
        <w:rPr>
          <w:spacing w:val="-12"/>
        </w:rPr>
        <w:t xml:space="preserve"> </w:t>
      </w:r>
      <w:r>
        <w:t>de</w:t>
      </w:r>
      <w:r>
        <w:rPr>
          <w:spacing w:val="-13"/>
        </w:rPr>
        <w:t xml:space="preserve"> </w:t>
      </w:r>
      <w:r>
        <w:t>ser</w:t>
      </w:r>
      <w:r>
        <w:rPr>
          <w:spacing w:val="-12"/>
        </w:rPr>
        <w:t xml:space="preserve"> </w:t>
      </w:r>
      <w:r>
        <w:t>restringida,</w:t>
      </w:r>
      <w:r>
        <w:rPr>
          <w:spacing w:val="-12"/>
        </w:rPr>
        <w:t xml:space="preserve"> </w:t>
      </w:r>
      <w:r>
        <w:t>formal</w:t>
      </w:r>
      <w:r>
        <w:rPr>
          <w:spacing w:val="-12"/>
        </w:rPr>
        <w:t xml:space="preserve"> </w:t>
      </w:r>
      <w:r>
        <w:t>y</w:t>
      </w:r>
      <w:r>
        <w:rPr>
          <w:spacing w:val="-13"/>
        </w:rPr>
        <w:t xml:space="preserve"> </w:t>
      </w:r>
      <w:r>
        <w:t>menos</w:t>
      </w:r>
      <w:r>
        <w:rPr>
          <w:spacing w:val="-12"/>
        </w:rPr>
        <w:t xml:space="preserve"> </w:t>
      </w:r>
      <w:r>
        <w:t>imperfecta, es necesario no solo acabar con la guerra, sino con la violencia. «No matarás» debe ser el primer mandamiento de la República de Colombia.</w:t>
      </w:r>
    </w:p>
    <w:p w:rsidR="003804AC" w:rsidRDefault="00AF18A5" w:rsidP="00EE114D">
      <w:r>
        <w:t>La Comisión de la Verdad entiende la democracia como un ideal normativo como un conjunto de valores y atributos, como arreglos institucionales que hacen posible la controversia</w:t>
      </w:r>
      <w:r>
        <w:rPr>
          <w:spacing w:val="-5"/>
        </w:rPr>
        <w:t xml:space="preserve"> </w:t>
      </w:r>
      <w:r>
        <w:t>pacífica,</w:t>
      </w:r>
      <w:r>
        <w:rPr>
          <w:spacing w:val="-4"/>
        </w:rPr>
        <w:t xml:space="preserve"> </w:t>
      </w:r>
      <w:r>
        <w:t>como</w:t>
      </w:r>
      <w:r>
        <w:rPr>
          <w:spacing w:val="-4"/>
        </w:rPr>
        <w:t xml:space="preserve"> </w:t>
      </w:r>
      <w:r>
        <w:t>la</w:t>
      </w:r>
      <w:r>
        <w:rPr>
          <w:spacing w:val="-4"/>
        </w:rPr>
        <w:t xml:space="preserve"> </w:t>
      </w:r>
      <w:r>
        <w:t>representación</w:t>
      </w:r>
      <w:r>
        <w:rPr>
          <w:spacing w:val="-4"/>
        </w:rPr>
        <w:t xml:space="preserve"> </w:t>
      </w:r>
      <w:r>
        <w:t>de</w:t>
      </w:r>
      <w:r>
        <w:rPr>
          <w:spacing w:val="-4"/>
        </w:rPr>
        <w:t xml:space="preserve"> </w:t>
      </w:r>
      <w:r>
        <w:t>diversos</w:t>
      </w:r>
      <w:r>
        <w:rPr>
          <w:spacing w:val="-5"/>
        </w:rPr>
        <w:t xml:space="preserve"> </w:t>
      </w:r>
      <w:r>
        <w:t>intereses</w:t>
      </w:r>
      <w:r>
        <w:rPr>
          <w:spacing w:val="-4"/>
        </w:rPr>
        <w:t xml:space="preserve"> </w:t>
      </w:r>
      <w:r>
        <w:t>en</w:t>
      </w:r>
      <w:r>
        <w:rPr>
          <w:spacing w:val="-4"/>
        </w:rPr>
        <w:t xml:space="preserve"> </w:t>
      </w:r>
      <w:r>
        <w:t>una</w:t>
      </w:r>
      <w:r>
        <w:rPr>
          <w:spacing w:val="-5"/>
        </w:rPr>
        <w:t xml:space="preserve"> </w:t>
      </w:r>
      <w:r>
        <w:t>sociedad</w:t>
      </w:r>
      <w:r>
        <w:rPr>
          <w:spacing w:val="-4"/>
        </w:rPr>
        <w:t xml:space="preserve"> </w:t>
      </w:r>
      <w:r>
        <w:t>plural</w:t>
      </w:r>
      <w:r>
        <w:rPr>
          <w:spacing w:val="-4"/>
        </w:rPr>
        <w:t xml:space="preserve"> </w:t>
      </w:r>
      <w:r>
        <w:t>y, por tanto, como un equilibrio en el uso del poder. En Colombia, el origen de la guerra se explica,</w:t>
      </w:r>
      <w:r>
        <w:rPr>
          <w:spacing w:val="-12"/>
        </w:rPr>
        <w:t xml:space="preserve"> </w:t>
      </w:r>
      <w:r>
        <w:t>en</w:t>
      </w:r>
      <w:r>
        <w:rPr>
          <w:spacing w:val="-12"/>
        </w:rPr>
        <w:t xml:space="preserve"> </w:t>
      </w:r>
      <w:r>
        <w:t>parte,</w:t>
      </w:r>
      <w:r>
        <w:rPr>
          <w:spacing w:val="-12"/>
        </w:rPr>
        <w:t xml:space="preserve"> </w:t>
      </w:r>
      <w:r>
        <w:t>por</w:t>
      </w:r>
      <w:r>
        <w:rPr>
          <w:spacing w:val="-12"/>
        </w:rPr>
        <w:t xml:space="preserve"> </w:t>
      </w:r>
      <w:r>
        <w:t>la</w:t>
      </w:r>
      <w:r>
        <w:rPr>
          <w:spacing w:val="-12"/>
        </w:rPr>
        <w:t xml:space="preserve"> </w:t>
      </w:r>
      <w:r>
        <w:t>ausencia</w:t>
      </w:r>
      <w:r>
        <w:rPr>
          <w:spacing w:val="-12"/>
        </w:rPr>
        <w:t xml:space="preserve"> </w:t>
      </w:r>
      <w:r>
        <w:t>y</w:t>
      </w:r>
      <w:r>
        <w:rPr>
          <w:spacing w:val="-12"/>
        </w:rPr>
        <w:t xml:space="preserve"> </w:t>
      </w:r>
      <w:r>
        <w:t>disfuncionalidad</w:t>
      </w:r>
      <w:r>
        <w:rPr>
          <w:spacing w:val="-12"/>
        </w:rPr>
        <w:t xml:space="preserve"> </w:t>
      </w:r>
      <w:r>
        <w:t>de</w:t>
      </w:r>
      <w:r>
        <w:rPr>
          <w:spacing w:val="-12"/>
        </w:rPr>
        <w:t xml:space="preserve"> </w:t>
      </w:r>
      <w:r>
        <w:t>estos</w:t>
      </w:r>
      <w:r>
        <w:rPr>
          <w:spacing w:val="-12"/>
        </w:rPr>
        <w:t xml:space="preserve"> </w:t>
      </w:r>
      <w:r>
        <w:t>elementos</w:t>
      </w:r>
      <w:r>
        <w:rPr>
          <w:spacing w:val="-12"/>
        </w:rPr>
        <w:t xml:space="preserve"> </w:t>
      </w:r>
      <w:r>
        <w:t>en</w:t>
      </w:r>
      <w:r>
        <w:rPr>
          <w:spacing w:val="-12"/>
        </w:rPr>
        <w:t xml:space="preserve"> </w:t>
      </w:r>
      <w:r>
        <w:t>la</w:t>
      </w:r>
      <w:r>
        <w:rPr>
          <w:spacing w:val="-12"/>
        </w:rPr>
        <w:t xml:space="preserve"> </w:t>
      </w:r>
      <w:r>
        <w:t>práctica.</w:t>
      </w:r>
      <w:r>
        <w:rPr>
          <w:spacing w:val="-12"/>
        </w:rPr>
        <w:t xml:space="preserve"> </w:t>
      </w:r>
      <w:r>
        <w:t>Luego, la guerra incidió en el colapso relativo de estos. La violencia hirió, impidió y deformó la democracia colombiana aun cuando estaba en proceso de gestación.</w:t>
      </w:r>
    </w:p>
    <w:p w:rsidR="003804AC" w:rsidRDefault="00AF18A5" w:rsidP="00EE114D">
      <w:r>
        <w:t xml:space="preserve">La democracia no solo implica el manejo político de los conflictos y la </w:t>
      </w:r>
      <w:r>
        <w:lastRenderedPageBreak/>
        <w:t>capacidad de construir mayorías en materia de representación: presupone la inclusión de todos los ciudadanos,</w:t>
      </w:r>
      <w:r>
        <w:rPr>
          <w:spacing w:val="17"/>
        </w:rPr>
        <w:t xml:space="preserve"> </w:t>
      </w:r>
      <w:r>
        <w:t>su</w:t>
      </w:r>
      <w:r>
        <w:rPr>
          <w:spacing w:val="20"/>
        </w:rPr>
        <w:t xml:space="preserve"> </w:t>
      </w:r>
      <w:r>
        <w:t>igualdad</w:t>
      </w:r>
      <w:r>
        <w:rPr>
          <w:spacing w:val="19"/>
        </w:rPr>
        <w:t xml:space="preserve"> </w:t>
      </w:r>
      <w:r>
        <w:t>de</w:t>
      </w:r>
      <w:r>
        <w:rPr>
          <w:spacing w:val="20"/>
        </w:rPr>
        <w:t xml:space="preserve"> </w:t>
      </w:r>
      <w:r>
        <w:t>derechos</w:t>
      </w:r>
      <w:r>
        <w:rPr>
          <w:spacing w:val="19"/>
        </w:rPr>
        <w:t xml:space="preserve"> </w:t>
      </w:r>
      <w:r>
        <w:t>y</w:t>
      </w:r>
      <w:r>
        <w:rPr>
          <w:spacing w:val="20"/>
        </w:rPr>
        <w:t xml:space="preserve"> </w:t>
      </w:r>
      <w:r>
        <w:t>libertades,</w:t>
      </w:r>
      <w:r>
        <w:rPr>
          <w:spacing w:val="20"/>
        </w:rPr>
        <w:t xml:space="preserve"> </w:t>
      </w:r>
      <w:r>
        <w:t>su</w:t>
      </w:r>
      <w:r>
        <w:rPr>
          <w:spacing w:val="20"/>
        </w:rPr>
        <w:t xml:space="preserve"> </w:t>
      </w:r>
      <w:r>
        <w:t>discernimiento</w:t>
      </w:r>
      <w:r>
        <w:rPr>
          <w:spacing w:val="20"/>
        </w:rPr>
        <w:t xml:space="preserve"> </w:t>
      </w:r>
      <w:r>
        <w:t>informado,</w:t>
      </w:r>
      <w:r>
        <w:rPr>
          <w:spacing w:val="20"/>
        </w:rPr>
        <w:t xml:space="preserve"> </w:t>
      </w:r>
      <w:r>
        <w:t>el</w:t>
      </w:r>
      <w:r>
        <w:rPr>
          <w:spacing w:val="22"/>
        </w:rPr>
        <w:t xml:space="preserve"> </w:t>
      </w:r>
      <w:r>
        <w:rPr>
          <w:spacing w:val="-2"/>
        </w:rPr>
        <w:t>respeto</w:t>
      </w:r>
      <w:r w:rsidR="00EE114D">
        <w:rPr>
          <w:spacing w:val="-2"/>
        </w:rPr>
        <w:t xml:space="preserve"> </w:t>
      </w:r>
      <w:r>
        <w:t>por la diversidad, el libre ejercicio de la oposición, el respeto por las minorías y la clara preeminencia del interés público sobre el privado. En ese sentido, la democracia es un proceso y un campo de disputa.</w:t>
      </w:r>
    </w:p>
    <w:p w:rsidR="003804AC" w:rsidRDefault="00AF18A5" w:rsidP="00354EF3">
      <w:r>
        <w:t>Entiende la paz más allá de su definición negativa. La paz no es solo el silencio de los fusiles sino la creación de condiciones para la libertad humana. Es un ideal que también requiere</w:t>
      </w:r>
      <w:r>
        <w:rPr>
          <w:spacing w:val="-3"/>
        </w:rPr>
        <w:t xml:space="preserve"> </w:t>
      </w:r>
      <w:r>
        <w:t>normas,</w:t>
      </w:r>
      <w:r>
        <w:rPr>
          <w:spacing w:val="-3"/>
        </w:rPr>
        <w:t xml:space="preserve"> </w:t>
      </w:r>
      <w:r>
        <w:t>valores</w:t>
      </w:r>
      <w:r>
        <w:rPr>
          <w:spacing w:val="-3"/>
        </w:rPr>
        <w:t xml:space="preserve"> </w:t>
      </w:r>
      <w:r>
        <w:t>e</w:t>
      </w:r>
      <w:r>
        <w:rPr>
          <w:spacing w:val="-3"/>
        </w:rPr>
        <w:t xml:space="preserve"> </w:t>
      </w:r>
      <w:r>
        <w:t>instituciones</w:t>
      </w:r>
      <w:r>
        <w:rPr>
          <w:spacing w:val="-3"/>
        </w:rPr>
        <w:t xml:space="preserve"> </w:t>
      </w:r>
      <w:r>
        <w:t>y,</w:t>
      </w:r>
      <w:r>
        <w:rPr>
          <w:spacing w:val="-3"/>
        </w:rPr>
        <w:t xml:space="preserve"> </w:t>
      </w:r>
      <w:r>
        <w:t>sobre</w:t>
      </w:r>
      <w:r>
        <w:rPr>
          <w:spacing w:val="-3"/>
        </w:rPr>
        <w:t xml:space="preserve"> </w:t>
      </w:r>
      <w:r>
        <w:t>todo,</w:t>
      </w:r>
      <w:r>
        <w:rPr>
          <w:spacing w:val="-3"/>
        </w:rPr>
        <w:t xml:space="preserve"> </w:t>
      </w:r>
      <w:r>
        <w:t>el</w:t>
      </w:r>
      <w:r>
        <w:rPr>
          <w:spacing w:val="-3"/>
        </w:rPr>
        <w:t xml:space="preserve"> </w:t>
      </w:r>
      <w:r>
        <w:t>ejercicio</w:t>
      </w:r>
      <w:r>
        <w:rPr>
          <w:spacing w:val="-3"/>
        </w:rPr>
        <w:t xml:space="preserve"> </w:t>
      </w:r>
      <w:r>
        <w:t>igualitario</w:t>
      </w:r>
      <w:r>
        <w:rPr>
          <w:spacing w:val="-3"/>
        </w:rPr>
        <w:t xml:space="preserve"> </w:t>
      </w:r>
      <w:r>
        <w:t>de</w:t>
      </w:r>
      <w:r>
        <w:rPr>
          <w:spacing w:val="-3"/>
        </w:rPr>
        <w:t xml:space="preserve"> </w:t>
      </w:r>
      <w:r>
        <w:t>derechos.</w:t>
      </w:r>
      <w:r>
        <w:rPr>
          <w:spacing w:val="-3"/>
        </w:rPr>
        <w:t xml:space="preserve"> </w:t>
      </w:r>
      <w:r>
        <w:t>Y entiende la guerra como el enfrentamiento eminentemente político que busca la destrucción del enemigo usando la violencia.</w:t>
      </w:r>
    </w:p>
    <w:p w:rsidR="003804AC" w:rsidRDefault="00AF18A5" w:rsidP="00354EF3">
      <w:r>
        <w:t>Si se observan los sesenta años de conflicto armado, se puede ver que el país tuvo momentos de cierre y apertura de la democracia marcados por la interacción entre la guerra y la paz. Los momentos en que se buscó la paz promovieron la inclusión y las reformas. No obstante, de manera reiterada, hubo periodos de contrarreforma institucional o violencia, y procesos de reciclaje de los conflictos armados –casi siempre, por ausencia de una paz territorial y un proyecto de reconciliación nacional– tras esos momentos luminosos.</w:t>
      </w:r>
    </w:p>
    <w:p w:rsidR="003804AC" w:rsidRDefault="00AF18A5" w:rsidP="00354EF3">
      <w:r>
        <w:t>Con todo, en Colombia se ha ido consolidando, de manera paulatina, un proceso de democracia: de menor a mayor inclusión y de mayor a menor violencia. Es un proceso incompleto</w:t>
      </w:r>
      <w:r>
        <w:rPr>
          <w:spacing w:val="-2"/>
        </w:rPr>
        <w:t xml:space="preserve"> </w:t>
      </w:r>
      <w:r>
        <w:t>e</w:t>
      </w:r>
      <w:r>
        <w:rPr>
          <w:spacing w:val="-1"/>
        </w:rPr>
        <w:t xml:space="preserve"> </w:t>
      </w:r>
      <w:r>
        <w:t>imperfecto,</w:t>
      </w:r>
      <w:r>
        <w:rPr>
          <w:spacing w:val="-1"/>
        </w:rPr>
        <w:t xml:space="preserve"> </w:t>
      </w:r>
      <w:r>
        <w:t>pero</w:t>
      </w:r>
      <w:r>
        <w:rPr>
          <w:spacing w:val="-1"/>
        </w:rPr>
        <w:t xml:space="preserve"> </w:t>
      </w:r>
      <w:r>
        <w:t>arroja</w:t>
      </w:r>
      <w:r>
        <w:rPr>
          <w:spacing w:val="-2"/>
        </w:rPr>
        <w:t xml:space="preserve"> </w:t>
      </w:r>
      <w:r>
        <w:t>luces</w:t>
      </w:r>
      <w:r>
        <w:rPr>
          <w:spacing w:val="-2"/>
        </w:rPr>
        <w:t xml:space="preserve"> </w:t>
      </w:r>
      <w:r>
        <w:t>sobre</w:t>
      </w:r>
      <w:r>
        <w:rPr>
          <w:spacing w:val="-2"/>
        </w:rPr>
        <w:t xml:space="preserve"> </w:t>
      </w:r>
      <w:r>
        <w:t>las</w:t>
      </w:r>
      <w:r>
        <w:rPr>
          <w:spacing w:val="-1"/>
        </w:rPr>
        <w:t xml:space="preserve"> </w:t>
      </w:r>
      <w:r>
        <w:t>acciones</w:t>
      </w:r>
      <w:r>
        <w:rPr>
          <w:spacing w:val="-2"/>
        </w:rPr>
        <w:t xml:space="preserve"> </w:t>
      </w:r>
      <w:r>
        <w:t>que</w:t>
      </w:r>
      <w:r>
        <w:rPr>
          <w:spacing w:val="-1"/>
        </w:rPr>
        <w:t xml:space="preserve"> </w:t>
      </w:r>
      <w:r>
        <w:t>el</w:t>
      </w:r>
      <w:r>
        <w:rPr>
          <w:spacing w:val="-1"/>
        </w:rPr>
        <w:t xml:space="preserve"> </w:t>
      </w:r>
      <w:r>
        <w:t>Estado</w:t>
      </w:r>
      <w:r>
        <w:rPr>
          <w:spacing w:val="-1"/>
        </w:rPr>
        <w:t xml:space="preserve"> </w:t>
      </w:r>
      <w:r>
        <w:t>debe</w:t>
      </w:r>
      <w:r>
        <w:rPr>
          <w:spacing w:val="-1"/>
        </w:rPr>
        <w:t xml:space="preserve"> </w:t>
      </w:r>
      <w:r>
        <w:t xml:space="preserve">emprender para lograr una democracia pacífica en lugar de una democracia violenta como la que ha vivido. Ese proceso de democratización ha sido empujado en particular por los sectores pacifistas de la sociedad civil que estuvieron en contra </w:t>
      </w:r>
      <w:r>
        <w:lastRenderedPageBreak/>
        <w:t>de las armas como camino para el cambio social.</w:t>
      </w:r>
    </w:p>
    <w:p w:rsidR="0011361F" w:rsidRDefault="00AF18A5" w:rsidP="004A6EF4">
      <w:pPr>
        <w:pStyle w:val="Ttulo3"/>
        <w:numPr>
          <w:ilvl w:val="1"/>
          <w:numId w:val="16"/>
        </w:numPr>
      </w:pPr>
      <w:bookmarkStart w:id="109" w:name="2.1._Los_tres_momentos_de_la_paz_y_la_gu"/>
      <w:bookmarkStart w:id="110" w:name="_Toc112399549"/>
      <w:bookmarkEnd w:id="109"/>
      <w:r>
        <w:t>Los</w:t>
      </w:r>
      <w:r>
        <w:rPr>
          <w:spacing w:val="-1"/>
        </w:rPr>
        <w:t xml:space="preserve"> </w:t>
      </w:r>
      <w:r>
        <w:t>tres</w:t>
      </w:r>
      <w:r>
        <w:rPr>
          <w:spacing w:val="-1"/>
        </w:rPr>
        <w:t xml:space="preserve"> </w:t>
      </w:r>
      <w:r w:rsidRPr="00354EF3">
        <w:t>momentos</w:t>
      </w:r>
      <w:r>
        <w:rPr>
          <w:spacing w:val="-2"/>
        </w:rPr>
        <w:t xml:space="preserve"> </w:t>
      </w:r>
      <w:r>
        <w:t>de</w:t>
      </w:r>
      <w:r>
        <w:rPr>
          <w:spacing w:val="-1"/>
        </w:rPr>
        <w:t xml:space="preserve"> </w:t>
      </w:r>
      <w:r>
        <w:t>la</w:t>
      </w:r>
      <w:r>
        <w:rPr>
          <w:spacing w:val="-1"/>
        </w:rPr>
        <w:t xml:space="preserve"> </w:t>
      </w:r>
      <w:r>
        <w:t>paz</w:t>
      </w:r>
      <w:r>
        <w:rPr>
          <w:spacing w:val="-1"/>
        </w:rPr>
        <w:t xml:space="preserve"> </w:t>
      </w:r>
      <w:r>
        <w:t>y</w:t>
      </w:r>
      <w:r>
        <w:rPr>
          <w:spacing w:val="-1"/>
        </w:rPr>
        <w:t xml:space="preserve"> </w:t>
      </w:r>
      <w:r>
        <w:t xml:space="preserve">la </w:t>
      </w:r>
      <w:r>
        <w:rPr>
          <w:spacing w:val="-2"/>
        </w:rPr>
        <w:t>guerra</w:t>
      </w:r>
      <w:bookmarkEnd w:id="110"/>
    </w:p>
    <w:p w:rsidR="003804AC" w:rsidRDefault="00AF18A5" w:rsidP="00354EF3">
      <w:r>
        <w:t>La democratización ha ido de la mano con la pacificación y las reformas tendientes a la consolidación</w:t>
      </w:r>
      <w:r>
        <w:rPr>
          <w:spacing w:val="-11"/>
        </w:rPr>
        <w:t xml:space="preserve"> </w:t>
      </w:r>
      <w:r>
        <w:t>de</w:t>
      </w:r>
      <w:r>
        <w:rPr>
          <w:spacing w:val="-11"/>
        </w:rPr>
        <w:t xml:space="preserve"> </w:t>
      </w:r>
      <w:r>
        <w:t>un</w:t>
      </w:r>
      <w:r>
        <w:rPr>
          <w:spacing w:val="-11"/>
        </w:rPr>
        <w:t xml:space="preserve"> </w:t>
      </w:r>
      <w:r>
        <w:t>Estado</w:t>
      </w:r>
      <w:r>
        <w:rPr>
          <w:spacing w:val="-11"/>
        </w:rPr>
        <w:t xml:space="preserve"> </w:t>
      </w:r>
      <w:r>
        <w:t>nación.</w:t>
      </w:r>
      <w:r>
        <w:rPr>
          <w:spacing w:val="-11"/>
        </w:rPr>
        <w:t xml:space="preserve"> </w:t>
      </w:r>
      <w:r>
        <w:t>En</w:t>
      </w:r>
      <w:r>
        <w:rPr>
          <w:spacing w:val="-11"/>
        </w:rPr>
        <w:t xml:space="preserve"> </w:t>
      </w:r>
      <w:r>
        <w:t>las</w:t>
      </w:r>
      <w:r>
        <w:rPr>
          <w:spacing w:val="-11"/>
        </w:rPr>
        <w:t xml:space="preserve"> </w:t>
      </w:r>
      <w:r>
        <w:t>últimas</w:t>
      </w:r>
      <w:r>
        <w:rPr>
          <w:spacing w:val="-12"/>
        </w:rPr>
        <w:t xml:space="preserve"> </w:t>
      </w:r>
      <w:r>
        <w:t>seis</w:t>
      </w:r>
      <w:r>
        <w:rPr>
          <w:spacing w:val="-11"/>
        </w:rPr>
        <w:t xml:space="preserve"> </w:t>
      </w:r>
      <w:r>
        <w:t>décadas,</w:t>
      </w:r>
      <w:r>
        <w:rPr>
          <w:spacing w:val="-11"/>
        </w:rPr>
        <w:t xml:space="preserve"> </w:t>
      </w:r>
      <w:r>
        <w:t>ha</w:t>
      </w:r>
      <w:r>
        <w:rPr>
          <w:spacing w:val="-11"/>
        </w:rPr>
        <w:t xml:space="preserve"> </w:t>
      </w:r>
      <w:r>
        <w:t>habido</w:t>
      </w:r>
      <w:r>
        <w:rPr>
          <w:spacing w:val="-11"/>
        </w:rPr>
        <w:t xml:space="preserve"> </w:t>
      </w:r>
      <w:r>
        <w:t>varios</w:t>
      </w:r>
      <w:r>
        <w:rPr>
          <w:spacing w:val="-12"/>
        </w:rPr>
        <w:t xml:space="preserve"> </w:t>
      </w:r>
      <w:r>
        <w:t>intentos</w:t>
      </w:r>
      <w:r>
        <w:rPr>
          <w:spacing w:val="-11"/>
        </w:rPr>
        <w:t xml:space="preserve"> </w:t>
      </w:r>
      <w:r>
        <w:t xml:space="preserve">por construir una paz estable y duradera. Por lo menos tres de ellos han terminado en pactos o acuerdos: el Frente Nacional, en 1958; el proceso constituyente, que culminó en 1991; y el </w:t>
      </w:r>
      <w:r>
        <w:rPr>
          <w:spacing w:val="-2"/>
        </w:rPr>
        <w:t>Acuerdo</w:t>
      </w:r>
      <w:r>
        <w:rPr>
          <w:spacing w:val="-7"/>
        </w:rPr>
        <w:t xml:space="preserve"> </w:t>
      </w:r>
      <w:r>
        <w:rPr>
          <w:spacing w:val="-2"/>
        </w:rPr>
        <w:t>de</w:t>
      </w:r>
      <w:r>
        <w:rPr>
          <w:spacing w:val="-5"/>
        </w:rPr>
        <w:t xml:space="preserve"> </w:t>
      </w:r>
      <w:r>
        <w:rPr>
          <w:spacing w:val="-2"/>
        </w:rPr>
        <w:t>Paz</w:t>
      </w:r>
      <w:r>
        <w:rPr>
          <w:spacing w:val="-3"/>
        </w:rPr>
        <w:t xml:space="preserve"> </w:t>
      </w:r>
      <w:r>
        <w:rPr>
          <w:spacing w:val="-2"/>
        </w:rPr>
        <w:t>entre</w:t>
      </w:r>
      <w:r>
        <w:rPr>
          <w:spacing w:val="-3"/>
        </w:rPr>
        <w:t xml:space="preserve"> </w:t>
      </w:r>
      <w:r>
        <w:rPr>
          <w:spacing w:val="-2"/>
        </w:rPr>
        <w:t>el</w:t>
      </w:r>
      <w:r>
        <w:rPr>
          <w:spacing w:val="-4"/>
        </w:rPr>
        <w:t xml:space="preserve"> </w:t>
      </w:r>
      <w:r>
        <w:rPr>
          <w:spacing w:val="-2"/>
        </w:rPr>
        <w:t>Estado</w:t>
      </w:r>
      <w:r>
        <w:rPr>
          <w:spacing w:val="-4"/>
        </w:rPr>
        <w:t xml:space="preserve"> </w:t>
      </w:r>
      <w:r>
        <w:rPr>
          <w:spacing w:val="-2"/>
        </w:rPr>
        <w:t>y</w:t>
      </w:r>
      <w:r>
        <w:rPr>
          <w:spacing w:val="-4"/>
        </w:rPr>
        <w:t xml:space="preserve"> </w:t>
      </w:r>
      <w:r>
        <w:rPr>
          <w:spacing w:val="-2"/>
        </w:rPr>
        <w:t>las</w:t>
      </w:r>
      <w:r>
        <w:rPr>
          <w:spacing w:val="-6"/>
        </w:rPr>
        <w:t xml:space="preserve"> </w:t>
      </w:r>
      <w:r>
        <w:rPr>
          <w:spacing w:val="-2"/>
        </w:rPr>
        <w:t>Fuerzas</w:t>
      </w:r>
      <w:r>
        <w:rPr>
          <w:spacing w:val="-3"/>
        </w:rPr>
        <w:t xml:space="preserve"> </w:t>
      </w:r>
      <w:r>
        <w:rPr>
          <w:spacing w:val="-2"/>
        </w:rPr>
        <w:t>Armadas Revolucionarias</w:t>
      </w:r>
      <w:r>
        <w:rPr>
          <w:spacing w:val="-5"/>
        </w:rPr>
        <w:t xml:space="preserve"> </w:t>
      </w:r>
      <w:r>
        <w:rPr>
          <w:spacing w:val="-2"/>
        </w:rPr>
        <w:t>de Colombia-Ejército</w:t>
      </w:r>
      <w:r w:rsidR="00354EF3">
        <w:rPr>
          <w:spacing w:val="-2"/>
        </w:rPr>
        <w:t xml:space="preserve"> </w:t>
      </w:r>
      <w:r>
        <w:t xml:space="preserve">del Pueblo (FARC-EP), en 2016. En estos momentos convergieron diversos esfuerzos y </w:t>
      </w:r>
      <w:r>
        <w:rPr>
          <w:spacing w:val="-2"/>
        </w:rPr>
        <w:t>aprendizajes.</w:t>
      </w:r>
    </w:p>
    <w:p w:rsidR="0011361F" w:rsidRDefault="00AF18A5" w:rsidP="00354EF3">
      <w:r>
        <w:t>El</w:t>
      </w:r>
      <w:r>
        <w:rPr>
          <w:spacing w:val="-3"/>
        </w:rPr>
        <w:t xml:space="preserve"> </w:t>
      </w:r>
      <w:r>
        <w:t>Frente</w:t>
      </w:r>
      <w:r>
        <w:rPr>
          <w:spacing w:val="-3"/>
        </w:rPr>
        <w:t xml:space="preserve"> </w:t>
      </w:r>
      <w:r>
        <w:t>Nacional</w:t>
      </w:r>
      <w:r>
        <w:rPr>
          <w:spacing w:val="-4"/>
        </w:rPr>
        <w:t xml:space="preserve"> </w:t>
      </w:r>
      <w:r>
        <w:t>(1958-1974)</w:t>
      </w:r>
      <w:r>
        <w:rPr>
          <w:spacing w:val="-3"/>
        </w:rPr>
        <w:t xml:space="preserve"> </w:t>
      </w:r>
      <w:r>
        <w:t>fue</w:t>
      </w:r>
      <w:r>
        <w:rPr>
          <w:spacing w:val="-3"/>
        </w:rPr>
        <w:t xml:space="preserve"> </w:t>
      </w:r>
      <w:r>
        <w:t>un</w:t>
      </w:r>
      <w:r>
        <w:rPr>
          <w:spacing w:val="-3"/>
        </w:rPr>
        <w:t xml:space="preserve"> </w:t>
      </w:r>
      <w:r>
        <w:t>pacto</w:t>
      </w:r>
      <w:r>
        <w:rPr>
          <w:spacing w:val="-3"/>
        </w:rPr>
        <w:t xml:space="preserve"> </w:t>
      </w:r>
      <w:r>
        <w:t>para</w:t>
      </w:r>
      <w:r>
        <w:rPr>
          <w:spacing w:val="-4"/>
        </w:rPr>
        <w:t xml:space="preserve"> </w:t>
      </w:r>
      <w:r>
        <w:t>acabar</w:t>
      </w:r>
      <w:r>
        <w:rPr>
          <w:spacing w:val="-4"/>
        </w:rPr>
        <w:t xml:space="preserve"> </w:t>
      </w:r>
      <w:r>
        <w:t>la</w:t>
      </w:r>
      <w:r>
        <w:rPr>
          <w:spacing w:val="-3"/>
        </w:rPr>
        <w:t xml:space="preserve"> </w:t>
      </w:r>
      <w:r>
        <w:t>Violencia,</w:t>
      </w:r>
      <w:r>
        <w:rPr>
          <w:spacing w:val="-3"/>
        </w:rPr>
        <w:t xml:space="preserve"> </w:t>
      </w:r>
      <w:r>
        <w:t>y</w:t>
      </w:r>
      <w:r>
        <w:rPr>
          <w:spacing w:val="-3"/>
        </w:rPr>
        <w:t xml:space="preserve"> </w:t>
      </w:r>
      <w:r>
        <w:t>para</w:t>
      </w:r>
      <w:r>
        <w:rPr>
          <w:spacing w:val="-3"/>
        </w:rPr>
        <w:t xml:space="preserve"> </w:t>
      </w:r>
      <w:r>
        <w:t>que</w:t>
      </w:r>
      <w:r>
        <w:rPr>
          <w:spacing w:val="-4"/>
        </w:rPr>
        <w:t xml:space="preserve"> </w:t>
      </w:r>
      <w:r>
        <w:t>los</w:t>
      </w:r>
      <w:r>
        <w:rPr>
          <w:spacing w:val="-3"/>
        </w:rPr>
        <w:t xml:space="preserve"> </w:t>
      </w:r>
      <w:r>
        <w:t>dos partidos históricos, Liberal y Conservador, regresaran al poder, luego de la dictadura conservadora-militar que duró nueve años. La Violencia se originó, en gran medida, por la incapacidad</w:t>
      </w:r>
      <w:r>
        <w:rPr>
          <w:spacing w:val="-4"/>
        </w:rPr>
        <w:t xml:space="preserve"> </w:t>
      </w:r>
      <w:r>
        <w:t>de</w:t>
      </w:r>
      <w:r>
        <w:rPr>
          <w:spacing w:val="-2"/>
        </w:rPr>
        <w:t xml:space="preserve"> </w:t>
      </w:r>
      <w:r>
        <w:t>alternar</w:t>
      </w:r>
      <w:r>
        <w:rPr>
          <w:spacing w:val="-2"/>
        </w:rPr>
        <w:t xml:space="preserve"> </w:t>
      </w:r>
      <w:r>
        <w:t>el</w:t>
      </w:r>
      <w:r>
        <w:rPr>
          <w:spacing w:val="-2"/>
        </w:rPr>
        <w:t xml:space="preserve"> </w:t>
      </w:r>
      <w:r>
        <w:t>poder</w:t>
      </w:r>
      <w:r>
        <w:rPr>
          <w:spacing w:val="-2"/>
        </w:rPr>
        <w:t xml:space="preserve"> </w:t>
      </w:r>
      <w:r>
        <w:t>de</w:t>
      </w:r>
      <w:r>
        <w:rPr>
          <w:spacing w:val="-2"/>
        </w:rPr>
        <w:t xml:space="preserve"> </w:t>
      </w:r>
      <w:r>
        <w:t>los</w:t>
      </w:r>
      <w:r>
        <w:rPr>
          <w:spacing w:val="-2"/>
        </w:rPr>
        <w:t xml:space="preserve"> </w:t>
      </w:r>
      <w:r>
        <w:t>dos</w:t>
      </w:r>
      <w:r>
        <w:rPr>
          <w:spacing w:val="-2"/>
        </w:rPr>
        <w:t xml:space="preserve"> </w:t>
      </w:r>
      <w:r>
        <w:t>partidos</w:t>
      </w:r>
      <w:r>
        <w:rPr>
          <w:spacing w:val="-2"/>
        </w:rPr>
        <w:t xml:space="preserve"> </w:t>
      </w:r>
      <w:r>
        <w:t>y</w:t>
      </w:r>
      <w:r>
        <w:rPr>
          <w:spacing w:val="-2"/>
        </w:rPr>
        <w:t xml:space="preserve"> </w:t>
      </w:r>
      <w:r>
        <w:t>el</w:t>
      </w:r>
      <w:r>
        <w:rPr>
          <w:spacing w:val="-2"/>
        </w:rPr>
        <w:t xml:space="preserve"> </w:t>
      </w:r>
      <w:r>
        <w:t>asesinato</w:t>
      </w:r>
      <w:r>
        <w:rPr>
          <w:spacing w:val="-2"/>
        </w:rPr>
        <w:t xml:space="preserve"> </w:t>
      </w:r>
      <w:r>
        <w:t>del</w:t>
      </w:r>
      <w:r>
        <w:rPr>
          <w:spacing w:val="-2"/>
        </w:rPr>
        <w:t xml:space="preserve"> </w:t>
      </w:r>
      <w:r>
        <w:t>caudillo</w:t>
      </w:r>
      <w:r>
        <w:rPr>
          <w:spacing w:val="-2"/>
        </w:rPr>
        <w:t xml:space="preserve"> </w:t>
      </w:r>
      <w:r>
        <w:t>popular</w:t>
      </w:r>
      <w:r>
        <w:rPr>
          <w:spacing w:val="-2"/>
        </w:rPr>
        <w:t xml:space="preserve"> </w:t>
      </w:r>
      <w:r>
        <w:t>Jorge Eliécer</w:t>
      </w:r>
      <w:r>
        <w:rPr>
          <w:spacing w:val="20"/>
        </w:rPr>
        <w:t xml:space="preserve"> </w:t>
      </w:r>
      <w:r>
        <w:t>Gaitán;</w:t>
      </w:r>
      <w:r>
        <w:rPr>
          <w:spacing w:val="22"/>
        </w:rPr>
        <w:t xml:space="preserve"> </w:t>
      </w:r>
      <w:r>
        <w:t>por</w:t>
      </w:r>
      <w:r>
        <w:rPr>
          <w:spacing w:val="23"/>
        </w:rPr>
        <w:t xml:space="preserve"> </w:t>
      </w:r>
      <w:r>
        <w:t>el</w:t>
      </w:r>
      <w:r>
        <w:rPr>
          <w:spacing w:val="22"/>
        </w:rPr>
        <w:t xml:space="preserve"> </w:t>
      </w:r>
      <w:r>
        <w:t>manejo</w:t>
      </w:r>
      <w:r>
        <w:rPr>
          <w:spacing w:val="22"/>
        </w:rPr>
        <w:t xml:space="preserve"> </w:t>
      </w:r>
      <w:r>
        <w:t>«partidista»</w:t>
      </w:r>
      <w:r>
        <w:rPr>
          <w:spacing w:val="23"/>
        </w:rPr>
        <w:t xml:space="preserve"> </w:t>
      </w:r>
      <w:r>
        <w:t>de</w:t>
      </w:r>
      <w:r>
        <w:rPr>
          <w:spacing w:val="22"/>
        </w:rPr>
        <w:t xml:space="preserve"> </w:t>
      </w:r>
      <w:r>
        <w:t>un</w:t>
      </w:r>
      <w:r>
        <w:rPr>
          <w:spacing w:val="20"/>
        </w:rPr>
        <w:t xml:space="preserve"> </w:t>
      </w:r>
      <w:r>
        <w:t>Estado</w:t>
      </w:r>
      <w:r>
        <w:rPr>
          <w:spacing w:val="23"/>
        </w:rPr>
        <w:t xml:space="preserve"> </w:t>
      </w:r>
      <w:r>
        <w:t>débil</w:t>
      </w:r>
      <w:r>
        <w:rPr>
          <w:spacing w:val="22"/>
        </w:rPr>
        <w:t xml:space="preserve"> </w:t>
      </w:r>
      <w:r>
        <w:t>y</w:t>
      </w:r>
      <w:r>
        <w:rPr>
          <w:spacing w:val="22"/>
        </w:rPr>
        <w:t xml:space="preserve"> </w:t>
      </w:r>
      <w:r>
        <w:t>precario,</w:t>
      </w:r>
      <w:r>
        <w:rPr>
          <w:spacing w:val="23"/>
        </w:rPr>
        <w:t xml:space="preserve"> </w:t>
      </w:r>
      <w:r>
        <w:t>en</w:t>
      </w:r>
      <w:r>
        <w:rPr>
          <w:spacing w:val="22"/>
        </w:rPr>
        <w:t xml:space="preserve"> </w:t>
      </w:r>
      <w:r>
        <w:t>particular,</w:t>
      </w:r>
      <w:r>
        <w:rPr>
          <w:spacing w:val="23"/>
        </w:rPr>
        <w:t xml:space="preserve"> </w:t>
      </w:r>
      <w:r>
        <w:rPr>
          <w:spacing w:val="-5"/>
        </w:rPr>
        <w:t>el</w:t>
      </w:r>
      <w:r w:rsidR="00354EF3">
        <w:rPr>
          <w:spacing w:val="-5"/>
        </w:rPr>
        <w:t xml:space="preserve"> </w:t>
      </w:r>
      <w:r>
        <w:t>«Estado»</w:t>
      </w:r>
      <w:r>
        <w:rPr>
          <w:spacing w:val="-1"/>
        </w:rPr>
        <w:t xml:space="preserve"> </w:t>
      </w:r>
      <w:r>
        <w:t>local y regional</w:t>
      </w:r>
      <w:r w:rsidR="00354EF3">
        <w:rPr>
          <w:rStyle w:val="Refdenotaalpie"/>
        </w:rPr>
        <w:footnoteReference w:id="51"/>
      </w:r>
      <w:r>
        <w:t>; y por la</w:t>
      </w:r>
      <w:r>
        <w:rPr>
          <w:spacing w:val="-1"/>
        </w:rPr>
        <w:t xml:space="preserve"> </w:t>
      </w:r>
      <w:r>
        <w:t>bonanza de la</w:t>
      </w:r>
      <w:r>
        <w:rPr>
          <w:spacing w:val="-1"/>
        </w:rPr>
        <w:t xml:space="preserve"> </w:t>
      </w:r>
      <w:r>
        <w:t>renta</w:t>
      </w:r>
      <w:r>
        <w:rPr>
          <w:spacing w:val="-1"/>
        </w:rPr>
        <w:t xml:space="preserve"> </w:t>
      </w:r>
      <w:r>
        <w:rPr>
          <w:spacing w:val="-2"/>
        </w:rPr>
        <w:t>cafetera.</w:t>
      </w:r>
    </w:p>
    <w:p w:rsidR="003804AC" w:rsidRDefault="00AF18A5" w:rsidP="001B7B8C">
      <w:r>
        <w:t>El pacto entre</w:t>
      </w:r>
      <w:r>
        <w:rPr>
          <w:spacing w:val="-1"/>
        </w:rPr>
        <w:t xml:space="preserve"> </w:t>
      </w:r>
      <w:r>
        <w:t>los dos</w:t>
      </w:r>
      <w:r>
        <w:rPr>
          <w:spacing w:val="-1"/>
        </w:rPr>
        <w:t xml:space="preserve"> </w:t>
      </w:r>
      <w:r>
        <w:t>partidos</w:t>
      </w:r>
      <w:r>
        <w:rPr>
          <w:spacing w:val="-1"/>
        </w:rPr>
        <w:t xml:space="preserve"> </w:t>
      </w:r>
      <w:r>
        <w:t>se</w:t>
      </w:r>
      <w:r>
        <w:rPr>
          <w:spacing w:val="-1"/>
        </w:rPr>
        <w:t xml:space="preserve"> </w:t>
      </w:r>
      <w:r>
        <w:t>propuso la</w:t>
      </w:r>
      <w:r>
        <w:rPr>
          <w:spacing w:val="-1"/>
        </w:rPr>
        <w:t xml:space="preserve"> </w:t>
      </w:r>
      <w:r>
        <w:t>pacificación política,</w:t>
      </w:r>
      <w:r>
        <w:rPr>
          <w:spacing w:val="-1"/>
        </w:rPr>
        <w:t xml:space="preserve"> </w:t>
      </w:r>
      <w:r>
        <w:t>el</w:t>
      </w:r>
      <w:r>
        <w:rPr>
          <w:spacing w:val="-1"/>
        </w:rPr>
        <w:t xml:space="preserve"> </w:t>
      </w:r>
      <w:r>
        <w:t>reformismo</w:t>
      </w:r>
      <w:r>
        <w:rPr>
          <w:spacing w:val="-1"/>
        </w:rPr>
        <w:t xml:space="preserve"> </w:t>
      </w:r>
      <w:r>
        <w:t xml:space="preserve">social y el desarrollismo en materia económica. Y aunque logró la pacificación –incorporó a los liberales de manera definitiva en el sistema político y cimentó un Estado que, en teoría, era capaz de irrigar la renta del café y otros productos en el conjunto de la sociedad–, su </w:t>
      </w:r>
      <w:r>
        <w:lastRenderedPageBreak/>
        <w:t>reformismo fue acotado.</w:t>
      </w:r>
    </w:p>
    <w:p w:rsidR="003804AC" w:rsidRDefault="00AF18A5" w:rsidP="001B5894">
      <w:r>
        <w:t>En</w:t>
      </w:r>
      <w:r>
        <w:rPr>
          <w:spacing w:val="-5"/>
        </w:rPr>
        <w:t xml:space="preserve"> </w:t>
      </w:r>
      <w:r>
        <w:t>particular,</w:t>
      </w:r>
      <w:r>
        <w:rPr>
          <w:spacing w:val="-5"/>
        </w:rPr>
        <w:t xml:space="preserve"> </w:t>
      </w:r>
      <w:r>
        <w:t>los</w:t>
      </w:r>
      <w:r>
        <w:rPr>
          <w:spacing w:val="-5"/>
        </w:rPr>
        <w:t xml:space="preserve"> </w:t>
      </w:r>
      <w:r>
        <w:t>frenos</w:t>
      </w:r>
      <w:r>
        <w:rPr>
          <w:spacing w:val="-5"/>
        </w:rPr>
        <w:t xml:space="preserve"> </w:t>
      </w:r>
      <w:r>
        <w:t>que</w:t>
      </w:r>
      <w:r>
        <w:rPr>
          <w:spacing w:val="-5"/>
        </w:rPr>
        <w:t xml:space="preserve"> </w:t>
      </w:r>
      <w:r>
        <w:t>las</w:t>
      </w:r>
      <w:r>
        <w:rPr>
          <w:spacing w:val="-5"/>
        </w:rPr>
        <w:t xml:space="preserve"> </w:t>
      </w:r>
      <w:r>
        <w:t>élites</w:t>
      </w:r>
      <w:r>
        <w:rPr>
          <w:spacing w:val="-5"/>
        </w:rPr>
        <w:t xml:space="preserve"> </w:t>
      </w:r>
      <w:r>
        <w:t>políticas</w:t>
      </w:r>
      <w:r>
        <w:rPr>
          <w:spacing w:val="-5"/>
        </w:rPr>
        <w:t xml:space="preserve"> </w:t>
      </w:r>
      <w:r>
        <w:t>y</w:t>
      </w:r>
      <w:r>
        <w:rPr>
          <w:spacing w:val="-6"/>
        </w:rPr>
        <w:t xml:space="preserve"> </w:t>
      </w:r>
      <w:r>
        <w:t>económicas</w:t>
      </w:r>
      <w:r>
        <w:rPr>
          <w:spacing w:val="-6"/>
        </w:rPr>
        <w:t xml:space="preserve"> </w:t>
      </w:r>
      <w:r>
        <w:t>le</w:t>
      </w:r>
      <w:r>
        <w:rPr>
          <w:spacing w:val="-5"/>
        </w:rPr>
        <w:t xml:space="preserve"> </w:t>
      </w:r>
      <w:r>
        <w:t>pusieron</w:t>
      </w:r>
      <w:r>
        <w:rPr>
          <w:spacing w:val="-5"/>
        </w:rPr>
        <w:t xml:space="preserve"> </w:t>
      </w:r>
      <w:r>
        <w:t>a</w:t>
      </w:r>
      <w:r>
        <w:rPr>
          <w:spacing w:val="-6"/>
        </w:rPr>
        <w:t xml:space="preserve"> </w:t>
      </w:r>
      <w:r>
        <w:t>los</w:t>
      </w:r>
      <w:r>
        <w:rPr>
          <w:spacing w:val="-5"/>
        </w:rPr>
        <w:t xml:space="preserve"> </w:t>
      </w:r>
      <w:r>
        <w:t>intentos</w:t>
      </w:r>
      <w:r>
        <w:rPr>
          <w:spacing w:val="-5"/>
        </w:rPr>
        <w:t xml:space="preserve"> </w:t>
      </w:r>
      <w:r>
        <w:t>de reforma agraria no solo hicieron languidecer el ímpetu desarrollista, sino que también avivaron el fuego de los conflictos agrarios. A eso se sumó que los marcos mentales de la Guerra</w:t>
      </w:r>
      <w:r>
        <w:rPr>
          <w:spacing w:val="-14"/>
        </w:rPr>
        <w:t xml:space="preserve"> </w:t>
      </w:r>
      <w:r>
        <w:t>Fría</w:t>
      </w:r>
      <w:r>
        <w:rPr>
          <w:spacing w:val="-15"/>
        </w:rPr>
        <w:t xml:space="preserve"> </w:t>
      </w:r>
      <w:r>
        <w:t>hicieron</w:t>
      </w:r>
      <w:r>
        <w:rPr>
          <w:spacing w:val="-14"/>
        </w:rPr>
        <w:t xml:space="preserve"> </w:t>
      </w:r>
      <w:r>
        <w:t>que</w:t>
      </w:r>
      <w:r>
        <w:rPr>
          <w:spacing w:val="-15"/>
        </w:rPr>
        <w:t xml:space="preserve"> </w:t>
      </w:r>
      <w:r>
        <w:t>los</w:t>
      </w:r>
      <w:r>
        <w:rPr>
          <w:spacing w:val="-14"/>
        </w:rPr>
        <w:t xml:space="preserve"> </w:t>
      </w:r>
      <w:r>
        <w:t>múltiples</w:t>
      </w:r>
      <w:r>
        <w:rPr>
          <w:spacing w:val="-14"/>
        </w:rPr>
        <w:t xml:space="preserve"> </w:t>
      </w:r>
      <w:r>
        <w:t>conflictos</w:t>
      </w:r>
      <w:r>
        <w:rPr>
          <w:spacing w:val="-15"/>
        </w:rPr>
        <w:t xml:space="preserve"> </w:t>
      </w:r>
      <w:r>
        <w:t>sociales</w:t>
      </w:r>
      <w:r>
        <w:rPr>
          <w:spacing w:val="-14"/>
        </w:rPr>
        <w:t xml:space="preserve"> </w:t>
      </w:r>
      <w:r>
        <w:t>y</w:t>
      </w:r>
      <w:r>
        <w:rPr>
          <w:spacing w:val="-14"/>
        </w:rPr>
        <w:t xml:space="preserve"> </w:t>
      </w:r>
      <w:r>
        <w:t>políticos</w:t>
      </w:r>
      <w:r>
        <w:rPr>
          <w:spacing w:val="-14"/>
        </w:rPr>
        <w:t xml:space="preserve"> </w:t>
      </w:r>
      <w:r>
        <w:t>se</w:t>
      </w:r>
      <w:r>
        <w:rPr>
          <w:spacing w:val="-14"/>
        </w:rPr>
        <w:t xml:space="preserve"> </w:t>
      </w:r>
      <w:r>
        <w:t>trataran</w:t>
      </w:r>
      <w:r>
        <w:rPr>
          <w:spacing w:val="-14"/>
        </w:rPr>
        <w:t xml:space="preserve"> </w:t>
      </w:r>
      <w:r>
        <w:t>como</w:t>
      </w:r>
      <w:r>
        <w:rPr>
          <w:spacing w:val="-14"/>
        </w:rPr>
        <w:t xml:space="preserve"> </w:t>
      </w:r>
      <w:r>
        <w:t>asuntos de</w:t>
      </w:r>
      <w:r>
        <w:rPr>
          <w:spacing w:val="-12"/>
        </w:rPr>
        <w:t xml:space="preserve"> </w:t>
      </w:r>
      <w:r>
        <w:t>orden</w:t>
      </w:r>
      <w:r>
        <w:rPr>
          <w:spacing w:val="-12"/>
        </w:rPr>
        <w:t xml:space="preserve"> </w:t>
      </w:r>
      <w:r>
        <w:t>público.</w:t>
      </w:r>
      <w:r>
        <w:rPr>
          <w:spacing w:val="-12"/>
        </w:rPr>
        <w:t xml:space="preserve"> </w:t>
      </w:r>
      <w:r>
        <w:t>Desde</w:t>
      </w:r>
      <w:r>
        <w:rPr>
          <w:spacing w:val="-13"/>
        </w:rPr>
        <w:t xml:space="preserve"> </w:t>
      </w:r>
      <w:r>
        <w:t>principios</w:t>
      </w:r>
      <w:r>
        <w:rPr>
          <w:spacing w:val="-13"/>
        </w:rPr>
        <w:t xml:space="preserve"> </w:t>
      </w:r>
      <w:r>
        <w:t>del</w:t>
      </w:r>
      <w:r>
        <w:rPr>
          <w:spacing w:val="-11"/>
        </w:rPr>
        <w:t xml:space="preserve"> </w:t>
      </w:r>
      <w:r>
        <w:t>siglo</w:t>
      </w:r>
      <w:r>
        <w:rPr>
          <w:spacing w:val="-12"/>
        </w:rPr>
        <w:t xml:space="preserve"> </w:t>
      </w:r>
      <w:r>
        <w:t>XX,</w:t>
      </w:r>
      <w:r>
        <w:rPr>
          <w:spacing w:val="-13"/>
        </w:rPr>
        <w:t xml:space="preserve"> </w:t>
      </w:r>
      <w:r>
        <w:t>los</w:t>
      </w:r>
      <w:r>
        <w:rPr>
          <w:spacing w:val="-12"/>
        </w:rPr>
        <w:t xml:space="preserve"> </w:t>
      </w:r>
      <w:r>
        <w:t>gobiernos</w:t>
      </w:r>
      <w:r>
        <w:rPr>
          <w:spacing w:val="-12"/>
        </w:rPr>
        <w:t xml:space="preserve"> </w:t>
      </w:r>
      <w:r>
        <w:t>colombianos</w:t>
      </w:r>
      <w:r>
        <w:rPr>
          <w:spacing w:val="-12"/>
        </w:rPr>
        <w:t xml:space="preserve"> </w:t>
      </w:r>
      <w:r>
        <w:t>se</w:t>
      </w:r>
      <w:r>
        <w:rPr>
          <w:spacing w:val="-12"/>
        </w:rPr>
        <w:t xml:space="preserve"> </w:t>
      </w:r>
      <w:r>
        <w:t>alinearon</w:t>
      </w:r>
      <w:r>
        <w:rPr>
          <w:spacing w:val="-12"/>
        </w:rPr>
        <w:t xml:space="preserve"> </w:t>
      </w:r>
      <w:r>
        <w:t>con las doctrinas de seguridad de Estados Unidos. Durante la Guerra Fría, el Estado actuó alineado de manera disciplinada con esos intereses.</w:t>
      </w:r>
    </w:p>
    <w:p w:rsidR="0011361F" w:rsidRDefault="00AF18A5" w:rsidP="001B5894">
      <w:r>
        <w:t>En la coyuntura que dio origen al Frente Nacional, también se produjo la incorporación de</w:t>
      </w:r>
      <w:r>
        <w:rPr>
          <w:spacing w:val="-15"/>
        </w:rPr>
        <w:t xml:space="preserve"> </w:t>
      </w:r>
      <w:r>
        <w:t>las</w:t>
      </w:r>
      <w:r>
        <w:rPr>
          <w:spacing w:val="-15"/>
        </w:rPr>
        <w:t xml:space="preserve"> </w:t>
      </w:r>
      <w:r>
        <w:t>mujeres</w:t>
      </w:r>
      <w:r>
        <w:rPr>
          <w:spacing w:val="-15"/>
        </w:rPr>
        <w:t xml:space="preserve"> </w:t>
      </w:r>
      <w:r>
        <w:t>a</w:t>
      </w:r>
      <w:r>
        <w:rPr>
          <w:spacing w:val="-15"/>
        </w:rPr>
        <w:t xml:space="preserve"> </w:t>
      </w:r>
      <w:r>
        <w:t>la</w:t>
      </w:r>
      <w:r>
        <w:rPr>
          <w:spacing w:val="-15"/>
        </w:rPr>
        <w:t xml:space="preserve"> </w:t>
      </w:r>
      <w:r>
        <w:t>ciudadanía</w:t>
      </w:r>
      <w:r>
        <w:rPr>
          <w:spacing w:val="-15"/>
        </w:rPr>
        <w:t xml:space="preserve"> </w:t>
      </w:r>
      <w:r>
        <w:t>plena</w:t>
      </w:r>
      <w:r>
        <w:rPr>
          <w:spacing w:val="-15"/>
        </w:rPr>
        <w:t xml:space="preserve"> </w:t>
      </w:r>
      <w:r>
        <w:t>a</w:t>
      </w:r>
      <w:r>
        <w:rPr>
          <w:spacing w:val="-15"/>
        </w:rPr>
        <w:t xml:space="preserve"> </w:t>
      </w:r>
      <w:r>
        <w:t>través</w:t>
      </w:r>
      <w:r>
        <w:rPr>
          <w:spacing w:val="-15"/>
        </w:rPr>
        <w:t xml:space="preserve"> </w:t>
      </w:r>
      <w:r>
        <w:t>del</w:t>
      </w:r>
      <w:r>
        <w:rPr>
          <w:spacing w:val="-15"/>
        </w:rPr>
        <w:t xml:space="preserve"> </w:t>
      </w:r>
      <w:r>
        <w:t>derecho</w:t>
      </w:r>
      <w:r>
        <w:rPr>
          <w:spacing w:val="-15"/>
        </w:rPr>
        <w:t xml:space="preserve"> </w:t>
      </w:r>
      <w:r>
        <w:t>al</w:t>
      </w:r>
      <w:r>
        <w:rPr>
          <w:spacing w:val="-15"/>
        </w:rPr>
        <w:t xml:space="preserve"> </w:t>
      </w:r>
      <w:r>
        <w:t>sufragio.</w:t>
      </w:r>
      <w:r>
        <w:rPr>
          <w:spacing w:val="-15"/>
        </w:rPr>
        <w:t xml:space="preserve"> </w:t>
      </w:r>
      <w:r>
        <w:t>En</w:t>
      </w:r>
      <w:r>
        <w:rPr>
          <w:spacing w:val="-15"/>
        </w:rPr>
        <w:t xml:space="preserve"> </w:t>
      </w:r>
      <w:r>
        <w:t>el</w:t>
      </w:r>
      <w:r>
        <w:rPr>
          <w:spacing w:val="-15"/>
        </w:rPr>
        <w:t xml:space="preserve"> </w:t>
      </w:r>
      <w:r>
        <w:t>plebiscito</w:t>
      </w:r>
      <w:r>
        <w:rPr>
          <w:spacing w:val="-15"/>
        </w:rPr>
        <w:t xml:space="preserve"> </w:t>
      </w:r>
      <w:r>
        <w:t>realizado el primero de diciembre de 1957, que aprobó por mayoría el pacto político, las mujeres votaron</w:t>
      </w:r>
      <w:r>
        <w:rPr>
          <w:spacing w:val="-6"/>
        </w:rPr>
        <w:t xml:space="preserve"> </w:t>
      </w:r>
      <w:r>
        <w:t>por</w:t>
      </w:r>
      <w:r>
        <w:rPr>
          <w:spacing w:val="-7"/>
        </w:rPr>
        <w:t xml:space="preserve"> </w:t>
      </w:r>
      <w:r>
        <w:t>primera</w:t>
      </w:r>
      <w:r>
        <w:rPr>
          <w:spacing w:val="-7"/>
        </w:rPr>
        <w:t xml:space="preserve"> </w:t>
      </w:r>
      <w:r>
        <w:t>vez.</w:t>
      </w:r>
      <w:r>
        <w:rPr>
          <w:spacing w:val="-7"/>
        </w:rPr>
        <w:t xml:space="preserve"> </w:t>
      </w:r>
      <w:r>
        <w:t>Este</w:t>
      </w:r>
      <w:r>
        <w:rPr>
          <w:spacing w:val="-7"/>
        </w:rPr>
        <w:t xml:space="preserve"> </w:t>
      </w:r>
      <w:r>
        <w:t>acuerdo</w:t>
      </w:r>
      <w:r>
        <w:rPr>
          <w:spacing w:val="-6"/>
        </w:rPr>
        <w:t xml:space="preserve"> </w:t>
      </w:r>
      <w:r>
        <w:t>también</w:t>
      </w:r>
      <w:r>
        <w:rPr>
          <w:spacing w:val="-7"/>
        </w:rPr>
        <w:t xml:space="preserve"> </w:t>
      </w:r>
      <w:r>
        <w:t>le</w:t>
      </w:r>
      <w:r>
        <w:rPr>
          <w:spacing w:val="-7"/>
        </w:rPr>
        <w:t xml:space="preserve"> </w:t>
      </w:r>
      <w:r>
        <w:t>devolvió</w:t>
      </w:r>
      <w:r>
        <w:rPr>
          <w:spacing w:val="-7"/>
        </w:rPr>
        <w:t xml:space="preserve"> </w:t>
      </w:r>
      <w:r>
        <w:t>la</w:t>
      </w:r>
      <w:r>
        <w:rPr>
          <w:spacing w:val="-7"/>
        </w:rPr>
        <w:t xml:space="preserve"> </w:t>
      </w:r>
      <w:r>
        <w:t>legalidad</w:t>
      </w:r>
      <w:r>
        <w:rPr>
          <w:spacing w:val="-7"/>
        </w:rPr>
        <w:t xml:space="preserve"> </w:t>
      </w:r>
      <w:r>
        <w:t>al</w:t>
      </w:r>
      <w:r>
        <w:rPr>
          <w:spacing w:val="-7"/>
        </w:rPr>
        <w:t xml:space="preserve"> </w:t>
      </w:r>
      <w:r>
        <w:t>Partido</w:t>
      </w:r>
      <w:r>
        <w:rPr>
          <w:spacing w:val="-7"/>
        </w:rPr>
        <w:t xml:space="preserve"> </w:t>
      </w:r>
      <w:r>
        <w:t>Comunista Colombiano (PCC), que había sido perseguido por la dictadura de Rojas Pinilla.</w:t>
      </w:r>
    </w:p>
    <w:p w:rsidR="003804AC" w:rsidRDefault="00AF18A5" w:rsidP="001B5894">
      <w:bookmarkStart w:id="111" w:name="_bookmark59"/>
      <w:bookmarkEnd w:id="111"/>
      <w:r>
        <w:t>En sus primeros años, este diseño institucional logró apaciguar la violencia gracias a</w:t>
      </w:r>
      <w:r>
        <w:rPr>
          <w:spacing w:val="-1"/>
        </w:rPr>
        <w:t xml:space="preserve"> </w:t>
      </w:r>
      <w:r>
        <w:t>una combinación de factores: 1) garantizó la alternancia y la milimétrica repartición del poder entre los dos partidos mayoritarios; 2) promovió la rehabilitación de los territorios y los pactos de convivencia</w:t>
      </w:r>
      <w:r w:rsidR="001B5894">
        <w:rPr>
          <w:rStyle w:val="Refdenotaalpie"/>
        </w:rPr>
        <w:footnoteReference w:id="52"/>
      </w:r>
      <w:r>
        <w:t xml:space="preserve">; 3) creó instituciones democráticas como las juntas de acción comunal, y 4) propuso una reforma agraria, para la que se crearon instituciones como el Instituto Colombiano de la Reforma </w:t>
      </w:r>
      <w:r>
        <w:lastRenderedPageBreak/>
        <w:t>Agraria (</w:t>
      </w:r>
      <w:proofErr w:type="spellStart"/>
      <w:r>
        <w:t>Incora</w:t>
      </w:r>
      <w:proofErr w:type="spellEnd"/>
      <w:r>
        <w:t>)</w:t>
      </w:r>
      <w:r w:rsidR="001B5894">
        <w:rPr>
          <w:rStyle w:val="Refdenotaalpie"/>
        </w:rPr>
        <w:footnoteReference w:id="53"/>
      </w:r>
      <w:r>
        <w:t>.</w:t>
      </w:r>
    </w:p>
    <w:p w:rsidR="003804AC" w:rsidRDefault="00AF18A5" w:rsidP="001B5894">
      <w:r>
        <w:t>Durante el segundo gobierno del Frente, se desarrollaron operaciones militares enmarcadas en el Plan Lazo</w:t>
      </w:r>
      <w:r w:rsidR="001B5894">
        <w:rPr>
          <w:rStyle w:val="Refdenotaalpie"/>
        </w:rPr>
        <w:footnoteReference w:id="54"/>
      </w:r>
      <w:r>
        <w:t xml:space="preserve">, tendientes a retomar el control territorial del Estado en las regiones donde subsistía la violencia. Estas eran, a grandes rasgos, las mismas en las que persistían conflictos agrarios sin resolver o en las que existía influencia comunista. Estas operaciones –con bombardeos, detenciones y acoso a los pobladores– fueron asumidas por el PCC como el </w:t>
      </w:r>
      <w:r>
        <w:rPr>
          <w:i/>
        </w:rPr>
        <w:t xml:space="preserve">leitmotiv </w:t>
      </w:r>
      <w:r>
        <w:t>para iniciar una nueva guerra y dieron origen a las FARC</w:t>
      </w:r>
      <w:r w:rsidR="001B5894">
        <w:rPr>
          <w:rStyle w:val="Refdenotaalpie"/>
        </w:rPr>
        <w:footnoteReference w:id="55"/>
      </w:r>
      <w:r>
        <w:t>, pues, para entonces, el PCC ya había definido que su estrategia de toma del poder se basaba en la combinación de todas las formas de lucha: legales e ilegales, armadas y electorales</w:t>
      </w:r>
      <w:r w:rsidR="001B5894">
        <w:rPr>
          <w:rStyle w:val="Refdenotaalpie"/>
        </w:rPr>
        <w:footnoteReference w:id="56"/>
      </w:r>
      <w:r>
        <w:t>.</w:t>
      </w:r>
    </w:p>
    <w:p w:rsidR="003804AC" w:rsidRDefault="00AF18A5" w:rsidP="001B5894">
      <w:r>
        <w:t>Dado que el pacto que dio origen al Frente Nacional fue excluyente con las minorías políticas, quienes quedaron por fuera conformaron un nuevo campo de acción. Sectores de la</w:t>
      </w:r>
      <w:r>
        <w:rPr>
          <w:spacing w:val="-15"/>
        </w:rPr>
        <w:t xml:space="preserve"> </w:t>
      </w:r>
      <w:r>
        <w:t>clase</w:t>
      </w:r>
      <w:r>
        <w:rPr>
          <w:spacing w:val="-15"/>
        </w:rPr>
        <w:t xml:space="preserve"> </w:t>
      </w:r>
      <w:r>
        <w:t>obrera,</w:t>
      </w:r>
      <w:r>
        <w:rPr>
          <w:spacing w:val="-15"/>
        </w:rPr>
        <w:t xml:space="preserve"> </w:t>
      </w:r>
      <w:r>
        <w:t>estudiantes,</w:t>
      </w:r>
      <w:r>
        <w:rPr>
          <w:spacing w:val="-15"/>
        </w:rPr>
        <w:t xml:space="preserve"> </w:t>
      </w:r>
      <w:r>
        <w:t>campesinos</w:t>
      </w:r>
      <w:r>
        <w:rPr>
          <w:spacing w:val="-15"/>
        </w:rPr>
        <w:t xml:space="preserve"> </w:t>
      </w:r>
      <w:r>
        <w:t>y</w:t>
      </w:r>
      <w:r>
        <w:rPr>
          <w:spacing w:val="-15"/>
        </w:rPr>
        <w:t xml:space="preserve"> </w:t>
      </w:r>
      <w:r>
        <w:t>pueblos</w:t>
      </w:r>
      <w:r>
        <w:rPr>
          <w:spacing w:val="-15"/>
        </w:rPr>
        <w:t xml:space="preserve"> </w:t>
      </w:r>
      <w:r>
        <w:t>étnicos</w:t>
      </w:r>
      <w:r>
        <w:rPr>
          <w:spacing w:val="-15"/>
        </w:rPr>
        <w:t xml:space="preserve"> </w:t>
      </w:r>
      <w:r>
        <w:t>rompieron</w:t>
      </w:r>
      <w:r>
        <w:rPr>
          <w:spacing w:val="-15"/>
        </w:rPr>
        <w:t xml:space="preserve"> </w:t>
      </w:r>
      <w:r>
        <w:t>amarras</w:t>
      </w:r>
      <w:r>
        <w:rPr>
          <w:spacing w:val="-15"/>
        </w:rPr>
        <w:t xml:space="preserve"> </w:t>
      </w:r>
      <w:r>
        <w:t>con</w:t>
      </w:r>
      <w:r>
        <w:rPr>
          <w:spacing w:val="-15"/>
        </w:rPr>
        <w:t xml:space="preserve"> </w:t>
      </w:r>
      <w:r>
        <w:t>los</w:t>
      </w:r>
      <w:r>
        <w:rPr>
          <w:spacing w:val="-15"/>
        </w:rPr>
        <w:t xml:space="preserve"> </w:t>
      </w:r>
      <w:r>
        <w:t>partidos tradicionales y se articularon a proyectos de izquierda en una amplia gama de matices que iban desde los partidos legales y electorales, como el Movimiento Revolucionario Liberal (MRL), la Alianza Nacional Popular (</w:t>
      </w:r>
      <w:proofErr w:type="spellStart"/>
      <w:r>
        <w:t>Anapo</w:t>
      </w:r>
      <w:proofErr w:type="spellEnd"/>
      <w:r>
        <w:t>), el Movimiento Obrero Independiente y Revolucionario</w:t>
      </w:r>
      <w:r>
        <w:rPr>
          <w:spacing w:val="-5"/>
        </w:rPr>
        <w:t xml:space="preserve"> </w:t>
      </w:r>
      <w:r>
        <w:t>(MOIR),</w:t>
      </w:r>
      <w:r>
        <w:rPr>
          <w:spacing w:val="-5"/>
        </w:rPr>
        <w:t xml:space="preserve"> </w:t>
      </w:r>
      <w:r>
        <w:t>hasta</w:t>
      </w:r>
      <w:r>
        <w:rPr>
          <w:spacing w:val="-4"/>
        </w:rPr>
        <w:t xml:space="preserve"> </w:t>
      </w:r>
      <w:r>
        <w:t>las</w:t>
      </w:r>
      <w:r>
        <w:rPr>
          <w:spacing w:val="-3"/>
        </w:rPr>
        <w:t xml:space="preserve"> </w:t>
      </w:r>
      <w:r>
        <w:t>guerrillas,</w:t>
      </w:r>
      <w:r>
        <w:rPr>
          <w:spacing w:val="-3"/>
        </w:rPr>
        <w:t xml:space="preserve"> </w:t>
      </w:r>
      <w:r>
        <w:t>que</w:t>
      </w:r>
      <w:r>
        <w:rPr>
          <w:spacing w:val="-6"/>
        </w:rPr>
        <w:t xml:space="preserve"> </w:t>
      </w:r>
      <w:r>
        <w:t>emergieron</w:t>
      </w:r>
      <w:r>
        <w:rPr>
          <w:spacing w:val="-6"/>
        </w:rPr>
        <w:t xml:space="preserve"> </w:t>
      </w:r>
      <w:r>
        <w:t>en</w:t>
      </w:r>
      <w:r>
        <w:rPr>
          <w:spacing w:val="-3"/>
        </w:rPr>
        <w:t xml:space="preserve"> </w:t>
      </w:r>
      <w:r>
        <w:t>ese</w:t>
      </w:r>
      <w:r>
        <w:rPr>
          <w:spacing w:val="-4"/>
        </w:rPr>
        <w:t xml:space="preserve"> </w:t>
      </w:r>
      <w:r>
        <w:t>contexto</w:t>
      </w:r>
      <w:r>
        <w:rPr>
          <w:spacing w:val="-3"/>
        </w:rPr>
        <w:t xml:space="preserve"> </w:t>
      </w:r>
      <w:r>
        <w:t>de</w:t>
      </w:r>
      <w:r>
        <w:rPr>
          <w:spacing w:val="-3"/>
        </w:rPr>
        <w:t xml:space="preserve"> </w:t>
      </w:r>
      <w:r>
        <w:t xml:space="preserve">democracia </w:t>
      </w:r>
      <w:r>
        <w:lastRenderedPageBreak/>
        <w:t>restringida.</w:t>
      </w:r>
      <w:r>
        <w:rPr>
          <w:spacing w:val="2"/>
        </w:rPr>
        <w:t xml:space="preserve"> </w:t>
      </w:r>
      <w:r>
        <w:t>Las</w:t>
      </w:r>
      <w:r>
        <w:rPr>
          <w:spacing w:val="5"/>
        </w:rPr>
        <w:t xml:space="preserve"> </w:t>
      </w:r>
      <w:r>
        <w:t>FARC,</w:t>
      </w:r>
      <w:r>
        <w:rPr>
          <w:spacing w:val="5"/>
        </w:rPr>
        <w:t xml:space="preserve"> </w:t>
      </w:r>
      <w:r>
        <w:t>el</w:t>
      </w:r>
      <w:r>
        <w:rPr>
          <w:spacing w:val="5"/>
        </w:rPr>
        <w:t xml:space="preserve"> </w:t>
      </w:r>
      <w:r>
        <w:t>Ejército</w:t>
      </w:r>
      <w:r>
        <w:rPr>
          <w:spacing w:val="5"/>
        </w:rPr>
        <w:t xml:space="preserve"> </w:t>
      </w:r>
      <w:r>
        <w:t>Popular</w:t>
      </w:r>
      <w:r>
        <w:rPr>
          <w:spacing w:val="5"/>
        </w:rPr>
        <w:t xml:space="preserve"> </w:t>
      </w:r>
      <w:r>
        <w:t>de</w:t>
      </w:r>
      <w:r>
        <w:rPr>
          <w:spacing w:val="5"/>
        </w:rPr>
        <w:t xml:space="preserve"> </w:t>
      </w:r>
      <w:r>
        <w:t>Liberación</w:t>
      </w:r>
      <w:r>
        <w:rPr>
          <w:spacing w:val="5"/>
        </w:rPr>
        <w:t xml:space="preserve"> </w:t>
      </w:r>
      <w:r>
        <w:t>(EPL)</w:t>
      </w:r>
      <w:r>
        <w:rPr>
          <w:spacing w:val="5"/>
        </w:rPr>
        <w:t xml:space="preserve"> </w:t>
      </w:r>
      <w:r>
        <w:t>y</w:t>
      </w:r>
      <w:r>
        <w:rPr>
          <w:spacing w:val="5"/>
        </w:rPr>
        <w:t xml:space="preserve"> </w:t>
      </w:r>
      <w:r>
        <w:t>el</w:t>
      </w:r>
      <w:r>
        <w:rPr>
          <w:spacing w:val="4"/>
        </w:rPr>
        <w:t xml:space="preserve"> </w:t>
      </w:r>
      <w:r>
        <w:t>Ejército</w:t>
      </w:r>
      <w:r>
        <w:rPr>
          <w:spacing w:val="5"/>
        </w:rPr>
        <w:t xml:space="preserve"> </w:t>
      </w:r>
      <w:r>
        <w:t>de</w:t>
      </w:r>
      <w:r>
        <w:rPr>
          <w:spacing w:val="5"/>
        </w:rPr>
        <w:t xml:space="preserve"> </w:t>
      </w:r>
      <w:r>
        <w:rPr>
          <w:spacing w:val="-2"/>
        </w:rPr>
        <w:t>Liberación</w:t>
      </w:r>
      <w:bookmarkStart w:id="112" w:name="_bookmark60"/>
      <w:bookmarkStart w:id="113" w:name="_bookmark61"/>
      <w:bookmarkStart w:id="114" w:name="_bookmark62"/>
      <w:bookmarkStart w:id="115" w:name="_bookmark63"/>
      <w:bookmarkStart w:id="116" w:name="_bookmark64"/>
      <w:bookmarkEnd w:id="112"/>
      <w:bookmarkEnd w:id="113"/>
      <w:bookmarkEnd w:id="114"/>
      <w:bookmarkEnd w:id="115"/>
      <w:bookmarkEnd w:id="116"/>
      <w:r w:rsidR="001B5894">
        <w:rPr>
          <w:spacing w:val="-2"/>
        </w:rPr>
        <w:t xml:space="preserve"> </w:t>
      </w:r>
      <w:r>
        <w:t>Nacional (ELN) tuvieron influencia en ese amplio y plural campo de la izquierda. Eran tiempos revolucionarios donde la lucha armada estaba en auge en muchos países de Latinoamérica, África y Asia.</w:t>
      </w:r>
    </w:p>
    <w:p w:rsidR="003804AC" w:rsidRDefault="00AF18A5" w:rsidP="001B5894">
      <w:r>
        <w:t>Hasta finales de los años setenta, el conflicto fue mucho más dinámico en lo social y político</w:t>
      </w:r>
      <w:r>
        <w:rPr>
          <w:spacing w:val="-3"/>
        </w:rPr>
        <w:t xml:space="preserve"> </w:t>
      </w:r>
      <w:r>
        <w:t>que</w:t>
      </w:r>
      <w:r>
        <w:rPr>
          <w:spacing w:val="-2"/>
        </w:rPr>
        <w:t xml:space="preserve"> </w:t>
      </w:r>
      <w:r>
        <w:t>en</w:t>
      </w:r>
      <w:r>
        <w:rPr>
          <w:spacing w:val="-3"/>
        </w:rPr>
        <w:t xml:space="preserve"> </w:t>
      </w:r>
      <w:r>
        <w:t>lo</w:t>
      </w:r>
      <w:r>
        <w:rPr>
          <w:spacing w:val="-3"/>
        </w:rPr>
        <w:t xml:space="preserve"> </w:t>
      </w:r>
      <w:r>
        <w:t>armado</w:t>
      </w:r>
      <w:r w:rsidR="001B5894">
        <w:rPr>
          <w:rStyle w:val="Refdenotaalpie"/>
        </w:rPr>
        <w:footnoteReference w:id="57"/>
      </w:r>
      <w:r>
        <w:t>.</w:t>
      </w:r>
      <w:r>
        <w:rPr>
          <w:spacing w:val="-3"/>
        </w:rPr>
        <w:t xml:space="preserve"> </w:t>
      </w:r>
      <w:r>
        <w:t>Sin</w:t>
      </w:r>
      <w:r>
        <w:rPr>
          <w:spacing w:val="-3"/>
        </w:rPr>
        <w:t xml:space="preserve"> </w:t>
      </w:r>
      <w:r>
        <w:t>embargo,</w:t>
      </w:r>
      <w:r>
        <w:rPr>
          <w:spacing w:val="-3"/>
        </w:rPr>
        <w:t xml:space="preserve"> </w:t>
      </w:r>
      <w:r>
        <w:t>el</w:t>
      </w:r>
      <w:r>
        <w:rPr>
          <w:spacing w:val="-2"/>
        </w:rPr>
        <w:t xml:space="preserve"> </w:t>
      </w:r>
      <w:r>
        <w:t>régimen</w:t>
      </w:r>
      <w:r>
        <w:rPr>
          <w:spacing w:val="-3"/>
        </w:rPr>
        <w:t xml:space="preserve"> </w:t>
      </w:r>
      <w:r>
        <w:t>bipartidista</w:t>
      </w:r>
      <w:r>
        <w:rPr>
          <w:spacing w:val="-2"/>
        </w:rPr>
        <w:t xml:space="preserve"> </w:t>
      </w:r>
      <w:r>
        <w:t>no</w:t>
      </w:r>
      <w:r>
        <w:rPr>
          <w:spacing w:val="-3"/>
        </w:rPr>
        <w:t xml:space="preserve"> </w:t>
      </w:r>
      <w:r>
        <w:t>estuvo</w:t>
      </w:r>
      <w:r>
        <w:rPr>
          <w:spacing w:val="-3"/>
        </w:rPr>
        <w:t xml:space="preserve"> </w:t>
      </w:r>
      <w:r>
        <w:t>a</w:t>
      </w:r>
      <w:r>
        <w:rPr>
          <w:spacing w:val="-2"/>
        </w:rPr>
        <w:t xml:space="preserve"> </w:t>
      </w:r>
      <w:r>
        <w:t>la</w:t>
      </w:r>
      <w:r>
        <w:rPr>
          <w:spacing w:val="-2"/>
        </w:rPr>
        <w:t xml:space="preserve"> </w:t>
      </w:r>
      <w:r>
        <w:t>altura</w:t>
      </w:r>
      <w:r>
        <w:rPr>
          <w:spacing w:val="-4"/>
        </w:rPr>
        <w:t xml:space="preserve"> </w:t>
      </w:r>
      <w:r>
        <w:t>de</w:t>
      </w:r>
      <w:r>
        <w:rPr>
          <w:spacing w:val="-2"/>
        </w:rPr>
        <w:t xml:space="preserve"> </w:t>
      </w:r>
      <w:r>
        <w:t>las reformas</w:t>
      </w:r>
      <w:r>
        <w:rPr>
          <w:spacing w:val="-9"/>
        </w:rPr>
        <w:t xml:space="preserve"> </w:t>
      </w:r>
      <w:r>
        <w:t>que</w:t>
      </w:r>
      <w:r>
        <w:rPr>
          <w:spacing w:val="-9"/>
        </w:rPr>
        <w:t xml:space="preserve"> </w:t>
      </w:r>
      <w:r>
        <w:t>se</w:t>
      </w:r>
      <w:r>
        <w:rPr>
          <w:spacing w:val="-9"/>
        </w:rPr>
        <w:t xml:space="preserve"> </w:t>
      </w:r>
      <w:r>
        <w:t>requerían</w:t>
      </w:r>
      <w:r>
        <w:rPr>
          <w:spacing w:val="-9"/>
        </w:rPr>
        <w:t xml:space="preserve"> </w:t>
      </w:r>
      <w:r>
        <w:t>para</w:t>
      </w:r>
      <w:r>
        <w:rPr>
          <w:spacing w:val="-9"/>
        </w:rPr>
        <w:t xml:space="preserve"> </w:t>
      </w:r>
      <w:r>
        <w:t>evitar</w:t>
      </w:r>
      <w:r>
        <w:rPr>
          <w:spacing w:val="-9"/>
        </w:rPr>
        <w:t xml:space="preserve"> </w:t>
      </w:r>
      <w:r>
        <w:t>una</w:t>
      </w:r>
      <w:r>
        <w:rPr>
          <w:spacing w:val="-9"/>
        </w:rPr>
        <w:t xml:space="preserve"> </w:t>
      </w:r>
      <w:r>
        <w:t>radicalización</w:t>
      </w:r>
      <w:r>
        <w:rPr>
          <w:spacing w:val="-9"/>
        </w:rPr>
        <w:t xml:space="preserve"> </w:t>
      </w:r>
      <w:r>
        <w:t>de</w:t>
      </w:r>
      <w:r>
        <w:rPr>
          <w:spacing w:val="-9"/>
        </w:rPr>
        <w:t xml:space="preserve"> </w:t>
      </w:r>
      <w:r>
        <w:t>los</w:t>
      </w:r>
      <w:r>
        <w:rPr>
          <w:spacing w:val="-9"/>
        </w:rPr>
        <w:t xml:space="preserve"> </w:t>
      </w:r>
      <w:r>
        <w:t>sectores</w:t>
      </w:r>
      <w:r>
        <w:rPr>
          <w:spacing w:val="-9"/>
        </w:rPr>
        <w:t xml:space="preserve"> </w:t>
      </w:r>
      <w:r>
        <w:t>sociales</w:t>
      </w:r>
      <w:r>
        <w:rPr>
          <w:spacing w:val="-9"/>
        </w:rPr>
        <w:t xml:space="preserve"> </w:t>
      </w:r>
      <w:r>
        <w:t>y</w:t>
      </w:r>
      <w:r>
        <w:rPr>
          <w:spacing w:val="-9"/>
        </w:rPr>
        <w:t xml:space="preserve"> </w:t>
      </w:r>
      <w:r>
        <w:t>de</w:t>
      </w:r>
      <w:r>
        <w:rPr>
          <w:spacing w:val="-9"/>
        </w:rPr>
        <w:t xml:space="preserve"> </w:t>
      </w:r>
      <w:r>
        <w:t>algunas izquierdas. En particular, el hecho de que sectores muy influyentes de ambos partidos se hayan unido para sabotear la reforma agraria que había impulsado Carlos Lleras Restrepo, con</w:t>
      </w:r>
      <w:r>
        <w:rPr>
          <w:spacing w:val="-7"/>
        </w:rPr>
        <w:t xml:space="preserve"> </w:t>
      </w:r>
      <w:r>
        <w:t>fuerte</w:t>
      </w:r>
      <w:r>
        <w:rPr>
          <w:spacing w:val="-7"/>
        </w:rPr>
        <w:t xml:space="preserve"> </w:t>
      </w:r>
      <w:r>
        <w:t>apoyo</w:t>
      </w:r>
      <w:r>
        <w:rPr>
          <w:spacing w:val="-7"/>
        </w:rPr>
        <w:t xml:space="preserve"> </w:t>
      </w:r>
      <w:r>
        <w:t>campesino,</w:t>
      </w:r>
      <w:r>
        <w:rPr>
          <w:spacing w:val="-7"/>
        </w:rPr>
        <w:t xml:space="preserve"> </w:t>
      </w:r>
      <w:r>
        <w:t>generó</w:t>
      </w:r>
      <w:r>
        <w:rPr>
          <w:spacing w:val="-8"/>
        </w:rPr>
        <w:t xml:space="preserve"> </w:t>
      </w:r>
      <w:r>
        <w:t>la</w:t>
      </w:r>
      <w:r>
        <w:rPr>
          <w:spacing w:val="-7"/>
        </w:rPr>
        <w:t xml:space="preserve"> </w:t>
      </w:r>
      <w:r>
        <w:t>sensación</w:t>
      </w:r>
      <w:r>
        <w:rPr>
          <w:spacing w:val="-7"/>
        </w:rPr>
        <w:t xml:space="preserve"> </w:t>
      </w:r>
      <w:r>
        <w:t>de</w:t>
      </w:r>
      <w:r>
        <w:rPr>
          <w:spacing w:val="-7"/>
        </w:rPr>
        <w:t xml:space="preserve"> </w:t>
      </w:r>
      <w:r>
        <w:t>que</w:t>
      </w:r>
      <w:r>
        <w:rPr>
          <w:spacing w:val="-7"/>
        </w:rPr>
        <w:t xml:space="preserve"> </w:t>
      </w:r>
      <w:r>
        <w:t>el</w:t>
      </w:r>
      <w:r>
        <w:rPr>
          <w:spacing w:val="-7"/>
        </w:rPr>
        <w:t xml:space="preserve"> </w:t>
      </w:r>
      <w:r>
        <w:t>reformismo</w:t>
      </w:r>
      <w:r>
        <w:rPr>
          <w:spacing w:val="-7"/>
        </w:rPr>
        <w:t xml:space="preserve"> </w:t>
      </w:r>
      <w:r>
        <w:t>tenía</w:t>
      </w:r>
      <w:r>
        <w:rPr>
          <w:spacing w:val="-7"/>
        </w:rPr>
        <w:t xml:space="preserve"> </w:t>
      </w:r>
      <w:r>
        <w:t>un</w:t>
      </w:r>
      <w:r>
        <w:rPr>
          <w:spacing w:val="-7"/>
        </w:rPr>
        <w:t xml:space="preserve"> </w:t>
      </w:r>
      <w:r>
        <w:t>espacio</w:t>
      </w:r>
      <w:r>
        <w:rPr>
          <w:spacing w:val="-7"/>
        </w:rPr>
        <w:t xml:space="preserve"> </w:t>
      </w:r>
      <w:r>
        <w:t xml:space="preserve">muy limitado en el sistema colombiano y significó una gran frustración para el campesinado sin </w:t>
      </w:r>
      <w:r>
        <w:rPr>
          <w:spacing w:val="-2"/>
        </w:rPr>
        <w:t>tierra</w:t>
      </w:r>
      <w:r w:rsidR="001B5894">
        <w:rPr>
          <w:rStyle w:val="Refdenotaalpie"/>
          <w:spacing w:val="-2"/>
        </w:rPr>
        <w:footnoteReference w:id="58"/>
      </w:r>
      <w:r>
        <w:rPr>
          <w:spacing w:val="-2"/>
        </w:rPr>
        <w:t>.</w:t>
      </w:r>
    </w:p>
    <w:p w:rsidR="003804AC" w:rsidRDefault="00AF18A5" w:rsidP="001B5894">
      <w:r>
        <w:t>Esta nueva realidad de inconformismo social no fue resuelta de manera democrática. De hecho, los gobiernos del Frente Nacional usaron y abusaron del estado de sitio y de la represión</w:t>
      </w:r>
      <w:r>
        <w:rPr>
          <w:spacing w:val="-9"/>
        </w:rPr>
        <w:t xml:space="preserve"> </w:t>
      </w:r>
      <w:r>
        <w:t>para</w:t>
      </w:r>
      <w:r>
        <w:rPr>
          <w:spacing w:val="-9"/>
        </w:rPr>
        <w:t xml:space="preserve"> </w:t>
      </w:r>
      <w:r>
        <w:t>enfrentar</w:t>
      </w:r>
      <w:r>
        <w:rPr>
          <w:spacing w:val="-9"/>
        </w:rPr>
        <w:t xml:space="preserve"> </w:t>
      </w:r>
      <w:r>
        <w:t>el</w:t>
      </w:r>
      <w:r>
        <w:rPr>
          <w:spacing w:val="-9"/>
        </w:rPr>
        <w:t xml:space="preserve"> </w:t>
      </w:r>
      <w:r>
        <w:t>malestar</w:t>
      </w:r>
      <w:r>
        <w:rPr>
          <w:spacing w:val="-9"/>
        </w:rPr>
        <w:t xml:space="preserve"> </w:t>
      </w:r>
      <w:r>
        <w:t>de</w:t>
      </w:r>
      <w:r>
        <w:rPr>
          <w:spacing w:val="-9"/>
        </w:rPr>
        <w:t xml:space="preserve"> </w:t>
      </w:r>
      <w:r>
        <w:t>las</w:t>
      </w:r>
      <w:r>
        <w:rPr>
          <w:spacing w:val="-9"/>
        </w:rPr>
        <w:t xml:space="preserve"> </w:t>
      </w:r>
      <w:r>
        <w:t>personas.</w:t>
      </w:r>
      <w:r>
        <w:rPr>
          <w:spacing w:val="-9"/>
        </w:rPr>
        <w:t xml:space="preserve"> </w:t>
      </w:r>
      <w:r>
        <w:t>De</w:t>
      </w:r>
      <w:r>
        <w:rPr>
          <w:spacing w:val="-9"/>
        </w:rPr>
        <w:t xml:space="preserve"> </w:t>
      </w:r>
      <w:r>
        <w:t>dieciséis</w:t>
      </w:r>
      <w:r>
        <w:rPr>
          <w:spacing w:val="-9"/>
        </w:rPr>
        <w:t xml:space="preserve"> </w:t>
      </w:r>
      <w:r>
        <w:t>años</w:t>
      </w:r>
      <w:r>
        <w:rPr>
          <w:spacing w:val="-9"/>
        </w:rPr>
        <w:t xml:space="preserve"> </w:t>
      </w:r>
      <w:r>
        <w:t>que</w:t>
      </w:r>
      <w:r>
        <w:rPr>
          <w:spacing w:val="-9"/>
        </w:rPr>
        <w:t xml:space="preserve"> </w:t>
      </w:r>
      <w:r>
        <w:t>duró</w:t>
      </w:r>
      <w:r>
        <w:rPr>
          <w:spacing w:val="-9"/>
        </w:rPr>
        <w:t xml:space="preserve"> </w:t>
      </w:r>
      <w:r>
        <w:t>este</w:t>
      </w:r>
      <w:r>
        <w:rPr>
          <w:spacing w:val="-9"/>
        </w:rPr>
        <w:t xml:space="preserve"> </w:t>
      </w:r>
      <w:r>
        <w:t xml:space="preserve">acuerdo, diez transcurrieron bajo estado de excepción. Esto implicó entregarles facultades del gobierno civil al estamento militar, lo que derivó en graves violaciones de los DD. HH. La fuerza pública y organismos de inteligencia, como el Departamento Administrativo de Seguridad (DAS), actuaron con relativa autonomía, protegidos por el fuero y las facultades </w:t>
      </w:r>
      <w:r>
        <w:lastRenderedPageBreak/>
        <w:t>de la justicia penal militar, que incluso les permitió juzgar a los civiles.</w:t>
      </w:r>
    </w:p>
    <w:p w:rsidR="0011361F" w:rsidRDefault="00AF18A5" w:rsidP="008F076A">
      <w:r>
        <w:t>Toda esta dinámica de los años sesenta y setenta estaba arropada por las narrativas conspirativas</w:t>
      </w:r>
      <w:r>
        <w:rPr>
          <w:spacing w:val="-7"/>
        </w:rPr>
        <w:t xml:space="preserve"> </w:t>
      </w:r>
      <w:r>
        <w:t>de</w:t>
      </w:r>
      <w:r>
        <w:rPr>
          <w:spacing w:val="-7"/>
        </w:rPr>
        <w:t xml:space="preserve"> </w:t>
      </w:r>
      <w:r>
        <w:t>la</w:t>
      </w:r>
      <w:r>
        <w:rPr>
          <w:spacing w:val="-7"/>
        </w:rPr>
        <w:t xml:space="preserve"> </w:t>
      </w:r>
      <w:r>
        <w:t>Guerra</w:t>
      </w:r>
      <w:r>
        <w:rPr>
          <w:spacing w:val="-7"/>
        </w:rPr>
        <w:t xml:space="preserve"> </w:t>
      </w:r>
      <w:r>
        <w:t>Fría,</w:t>
      </w:r>
      <w:r>
        <w:rPr>
          <w:spacing w:val="-7"/>
        </w:rPr>
        <w:t xml:space="preserve"> </w:t>
      </w:r>
      <w:r>
        <w:t>que</w:t>
      </w:r>
      <w:r>
        <w:rPr>
          <w:spacing w:val="-8"/>
        </w:rPr>
        <w:t xml:space="preserve"> </w:t>
      </w:r>
      <w:r>
        <w:t>influyeron</w:t>
      </w:r>
      <w:r>
        <w:rPr>
          <w:spacing w:val="-8"/>
        </w:rPr>
        <w:t xml:space="preserve"> </w:t>
      </w:r>
      <w:r>
        <w:t>en</w:t>
      </w:r>
      <w:r>
        <w:rPr>
          <w:spacing w:val="-8"/>
        </w:rPr>
        <w:t xml:space="preserve"> </w:t>
      </w:r>
      <w:r>
        <w:t>Colombia</w:t>
      </w:r>
      <w:r>
        <w:rPr>
          <w:spacing w:val="-7"/>
        </w:rPr>
        <w:t xml:space="preserve"> </w:t>
      </w:r>
      <w:r>
        <w:t>como</w:t>
      </w:r>
      <w:r>
        <w:rPr>
          <w:spacing w:val="-7"/>
        </w:rPr>
        <w:t xml:space="preserve"> </w:t>
      </w:r>
      <w:r>
        <w:t>en</w:t>
      </w:r>
      <w:r>
        <w:rPr>
          <w:spacing w:val="-7"/>
        </w:rPr>
        <w:t xml:space="preserve"> </w:t>
      </w:r>
      <w:r>
        <w:t>todo</w:t>
      </w:r>
      <w:r>
        <w:rPr>
          <w:spacing w:val="-9"/>
        </w:rPr>
        <w:t xml:space="preserve"> </w:t>
      </w:r>
      <w:r>
        <w:t>el</w:t>
      </w:r>
      <w:r>
        <w:rPr>
          <w:spacing w:val="-7"/>
        </w:rPr>
        <w:t xml:space="preserve"> </w:t>
      </w:r>
      <w:r>
        <w:t>continente,</w:t>
      </w:r>
      <w:r>
        <w:rPr>
          <w:spacing w:val="-7"/>
        </w:rPr>
        <w:t xml:space="preserve"> </w:t>
      </w:r>
      <w:r>
        <w:t>con su concepción del «enemigo interno». Esta doctrina contrainsurgente se expresó en la estigmatización</w:t>
      </w:r>
      <w:r>
        <w:rPr>
          <w:spacing w:val="-4"/>
        </w:rPr>
        <w:t xml:space="preserve"> </w:t>
      </w:r>
      <w:r>
        <w:t>del</w:t>
      </w:r>
      <w:r>
        <w:rPr>
          <w:spacing w:val="-3"/>
        </w:rPr>
        <w:t xml:space="preserve"> </w:t>
      </w:r>
      <w:r>
        <w:t>movimiento</w:t>
      </w:r>
      <w:r>
        <w:rPr>
          <w:spacing w:val="-1"/>
        </w:rPr>
        <w:t xml:space="preserve"> </w:t>
      </w:r>
      <w:r>
        <w:t>social</w:t>
      </w:r>
      <w:r>
        <w:rPr>
          <w:spacing w:val="-2"/>
        </w:rPr>
        <w:t xml:space="preserve"> </w:t>
      </w:r>
      <w:r>
        <w:t>y</w:t>
      </w:r>
      <w:r>
        <w:rPr>
          <w:spacing w:val="-2"/>
        </w:rPr>
        <w:t xml:space="preserve"> </w:t>
      </w:r>
      <w:r>
        <w:t>en</w:t>
      </w:r>
      <w:r>
        <w:rPr>
          <w:spacing w:val="-2"/>
        </w:rPr>
        <w:t xml:space="preserve"> </w:t>
      </w:r>
      <w:r>
        <w:t>el</w:t>
      </w:r>
      <w:r>
        <w:rPr>
          <w:spacing w:val="-2"/>
        </w:rPr>
        <w:t xml:space="preserve"> </w:t>
      </w:r>
      <w:r>
        <w:t>tratamiento</w:t>
      </w:r>
      <w:r>
        <w:rPr>
          <w:spacing w:val="-2"/>
        </w:rPr>
        <w:t xml:space="preserve"> </w:t>
      </w:r>
      <w:r>
        <w:t>militar</w:t>
      </w:r>
      <w:r>
        <w:rPr>
          <w:spacing w:val="-1"/>
        </w:rPr>
        <w:t xml:space="preserve"> </w:t>
      </w:r>
      <w:r>
        <w:t>de</w:t>
      </w:r>
      <w:r>
        <w:rPr>
          <w:spacing w:val="-3"/>
        </w:rPr>
        <w:t xml:space="preserve"> </w:t>
      </w:r>
      <w:r>
        <w:t>los</w:t>
      </w:r>
      <w:r>
        <w:rPr>
          <w:spacing w:val="-2"/>
        </w:rPr>
        <w:t xml:space="preserve"> </w:t>
      </w:r>
      <w:r>
        <w:t>conflictos</w:t>
      </w:r>
      <w:r>
        <w:rPr>
          <w:spacing w:val="-1"/>
        </w:rPr>
        <w:t xml:space="preserve"> </w:t>
      </w:r>
      <w:r>
        <w:rPr>
          <w:spacing w:val="-2"/>
        </w:rPr>
        <w:t>políticos.</w:t>
      </w:r>
    </w:p>
    <w:p w:rsidR="003804AC" w:rsidRDefault="00AF18A5" w:rsidP="008F076A">
      <w:pPr>
        <w:pStyle w:val="Textoindependiente"/>
        <w:spacing w:before="10"/>
      </w:pPr>
      <w:bookmarkStart w:id="117" w:name="_bookmark65"/>
      <w:bookmarkStart w:id="118" w:name="_bookmark66"/>
      <w:bookmarkEnd w:id="117"/>
      <w:bookmarkEnd w:id="118"/>
      <w:r>
        <w:t>En ese mismo periodo, las izquierdas radicales, adheridas a corrientes internacionales (soviéticas,</w:t>
      </w:r>
      <w:r>
        <w:rPr>
          <w:spacing w:val="-10"/>
        </w:rPr>
        <w:t xml:space="preserve"> </w:t>
      </w:r>
      <w:r>
        <w:t>cubanas</w:t>
      </w:r>
      <w:r>
        <w:rPr>
          <w:spacing w:val="-8"/>
        </w:rPr>
        <w:t xml:space="preserve"> </w:t>
      </w:r>
      <w:r>
        <w:t>o</w:t>
      </w:r>
      <w:r>
        <w:rPr>
          <w:spacing w:val="-9"/>
        </w:rPr>
        <w:t xml:space="preserve"> </w:t>
      </w:r>
      <w:r>
        <w:t>chinas),</w:t>
      </w:r>
      <w:r>
        <w:rPr>
          <w:spacing w:val="-10"/>
        </w:rPr>
        <w:t xml:space="preserve"> </w:t>
      </w:r>
      <w:r>
        <w:t>le</w:t>
      </w:r>
      <w:r>
        <w:rPr>
          <w:spacing w:val="-8"/>
        </w:rPr>
        <w:t xml:space="preserve"> </w:t>
      </w:r>
      <w:r>
        <w:t>otorgaron</w:t>
      </w:r>
      <w:r>
        <w:rPr>
          <w:spacing w:val="-8"/>
        </w:rPr>
        <w:t xml:space="preserve"> </w:t>
      </w:r>
      <w:r>
        <w:t>a</w:t>
      </w:r>
      <w:r>
        <w:rPr>
          <w:spacing w:val="-8"/>
        </w:rPr>
        <w:t xml:space="preserve"> </w:t>
      </w:r>
      <w:r>
        <w:t>un</w:t>
      </w:r>
      <w:r>
        <w:rPr>
          <w:spacing w:val="-10"/>
        </w:rPr>
        <w:t xml:space="preserve"> </w:t>
      </w:r>
      <w:r>
        <w:t>régimen</w:t>
      </w:r>
      <w:r>
        <w:rPr>
          <w:spacing w:val="-10"/>
        </w:rPr>
        <w:t xml:space="preserve"> </w:t>
      </w:r>
      <w:r>
        <w:t>semicerrado</w:t>
      </w:r>
      <w:r>
        <w:rPr>
          <w:spacing w:val="-9"/>
        </w:rPr>
        <w:t xml:space="preserve"> </w:t>
      </w:r>
      <w:r>
        <w:t>–que</w:t>
      </w:r>
      <w:r>
        <w:rPr>
          <w:spacing w:val="-8"/>
        </w:rPr>
        <w:t xml:space="preserve"> </w:t>
      </w:r>
      <w:r>
        <w:t>lo</w:t>
      </w:r>
      <w:r>
        <w:rPr>
          <w:spacing w:val="-8"/>
        </w:rPr>
        <w:t xml:space="preserve"> </w:t>
      </w:r>
      <w:r>
        <w:t>era,</w:t>
      </w:r>
      <w:r>
        <w:rPr>
          <w:spacing w:val="-8"/>
        </w:rPr>
        <w:t xml:space="preserve"> </w:t>
      </w:r>
      <w:r>
        <w:t>aunque</w:t>
      </w:r>
      <w:r>
        <w:rPr>
          <w:spacing w:val="-8"/>
        </w:rPr>
        <w:t xml:space="preserve"> </w:t>
      </w:r>
      <w:r>
        <w:t>no herméticamente–</w:t>
      </w:r>
      <w:r>
        <w:rPr>
          <w:spacing w:val="-9"/>
        </w:rPr>
        <w:t xml:space="preserve"> </w:t>
      </w:r>
      <w:r>
        <w:t>la</w:t>
      </w:r>
      <w:r>
        <w:rPr>
          <w:spacing w:val="-10"/>
        </w:rPr>
        <w:t xml:space="preserve"> </w:t>
      </w:r>
      <w:r>
        <w:t>razón</w:t>
      </w:r>
      <w:r>
        <w:rPr>
          <w:spacing w:val="-9"/>
        </w:rPr>
        <w:t xml:space="preserve"> </w:t>
      </w:r>
      <w:r>
        <w:t>fundante</w:t>
      </w:r>
      <w:r>
        <w:rPr>
          <w:spacing w:val="-9"/>
        </w:rPr>
        <w:t xml:space="preserve"> </w:t>
      </w:r>
      <w:r>
        <w:t>de</w:t>
      </w:r>
      <w:r>
        <w:rPr>
          <w:spacing w:val="-9"/>
        </w:rPr>
        <w:t xml:space="preserve"> </w:t>
      </w:r>
      <w:r>
        <w:t>una</w:t>
      </w:r>
      <w:r>
        <w:rPr>
          <w:spacing w:val="-9"/>
        </w:rPr>
        <w:t xml:space="preserve"> </w:t>
      </w:r>
      <w:r>
        <w:t>guerra</w:t>
      </w:r>
      <w:r>
        <w:rPr>
          <w:spacing w:val="-10"/>
        </w:rPr>
        <w:t xml:space="preserve"> </w:t>
      </w:r>
      <w:r>
        <w:t>insurgente.</w:t>
      </w:r>
      <w:r>
        <w:rPr>
          <w:spacing w:val="-11"/>
        </w:rPr>
        <w:t xml:space="preserve"> </w:t>
      </w:r>
      <w:r>
        <w:t>Izquierdas</w:t>
      </w:r>
      <w:r>
        <w:rPr>
          <w:spacing w:val="-9"/>
        </w:rPr>
        <w:t xml:space="preserve"> </w:t>
      </w:r>
      <w:r>
        <w:t>armadas</w:t>
      </w:r>
      <w:r>
        <w:rPr>
          <w:spacing w:val="-9"/>
        </w:rPr>
        <w:t xml:space="preserve"> </w:t>
      </w:r>
      <w:r>
        <w:t>denostaron la ruta de las reformas, pues buscaban la toma del poder político por la vía de las armas y sustituir el régimen vigente por otro de carácter socialista, no necesariamente democrático. Así, apenas seis años después de creado el Frente Nacional, nacieron las guerrillas como expresión armada de proyectos revolucionarios. A las FARC se sumaron el ELN, que se concibió como una fuerza política y militar, y el EPL como brazo armado del Partido Comunista Marxista Leninista (PC-ML). Cada una de ellas tuvo una inserción regional diferente</w:t>
      </w:r>
      <w:r w:rsidR="008F076A">
        <w:rPr>
          <w:rStyle w:val="Refdenotaalpie"/>
        </w:rPr>
        <w:footnoteReference w:id="59"/>
      </w:r>
      <w:r>
        <w:t>.</w:t>
      </w:r>
      <w:r>
        <w:rPr>
          <w:spacing w:val="-8"/>
        </w:rPr>
        <w:t xml:space="preserve"> </w:t>
      </w:r>
      <w:r>
        <w:t>En</w:t>
      </w:r>
      <w:r>
        <w:rPr>
          <w:spacing w:val="-8"/>
        </w:rPr>
        <w:t xml:space="preserve"> </w:t>
      </w:r>
      <w:r>
        <w:t>los</w:t>
      </w:r>
      <w:r>
        <w:rPr>
          <w:spacing w:val="-8"/>
        </w:rPr>
        <w:t xml:space="preserve"> </w:t>
      </w:r>
      <w:r>
        <w:t>primeros</w:t>
      </w:r>
      <w:r>
        <w:rPr>
          <w:spacing w:val="-8"/>
        </w:rPr>
        <w:t xml:space="preserve"> </w:t>
      </w:r>
      <w:r>
        <w:t>diez</w:t>
      </w:r>
      <w:r>
        <w:rPr>
          <w:spacing w:val="-9"/>
        </w:rPr>
        <w:t xml:space="preserve"> </w:t>
      </w:r>
      <w:r>
        <w:t>años,</w:t>
      </w:r>
      <w:r>
        <w:rPr>
          <w:spacing w:val="-10"/>
        </w:rPr>
        <w:t xml:space="preserve"> </w:t>
      </w:r>
      <w:r>
        <w:t>estuvieron</w:t>
      </w:r>
      <w:r>
        <w:rPr>
          <w:spacing w:val="-8"/>
        </w:rPr>
        <w:t xml:space="preserve"> </w:t>
      </w:r>
      <w:r>
        <w:t>«acumulando</w:t>
      </w:r>
      <w:r>
        <w:rPr>
          <w:spacing w:val="-10"/>
        </w:rPr>
        <w:t xml:space="preserve"> </w:t>
      </w:r>
      <w:r>
        <w:t>fuerzas»</w:t>
      </w:r>
      <w:r>
        <w:rPr>
          <w:spacing w:val="-8"/>
        </w:rPr>
        <w:t xml:space="preserve"> </w:t>
      </w:r>
      <w:r>
        <w:t>usando</w:t>
      </w:r>
      <w:r>
        <w:rPr>
          <w:spacing w:val="-8"/>
        </w:rPr>
        <w:t xml:space="preserve"> </w:t>
      </w:r>
      <w:r>
        <w:t>la</w:t>
      </w:r>
      <w:r>
        <w:rPr>
          <w:spacing w:val="-9"/>
        </w:rPr>
        <w:t xml:space="preserve"> </w:t>
      </w:r>
      <w:r>
        <w:t>táctica</w:t>
      </w:r>
      <w:r>
        <w:rPr>
          <w:spacing w:val="-8"/>
        </w:rPr>
        <w:t xml:space="preserve"> </w:t>
      </w:r>
      <w:r>
        <w:t>de golpear</w:t>
      </w:r>
      <w:r>
        <w:rPr>
          <w:spacing w:val="-15"/>
        </w:rPr>
        <w:t xml:space="preserve"> </w:t>
      </w:r>
      <w:r>
        <w:t>y</w:t>
      </w:r>
      <w:r>
        <w:rPr>
          <w:spacing w:val="-15"/>
        </w:rPr>
        <w:t xml:space="preserve"> </w:t>
      </w:r>
      <w:r>
        <w:t>huir,</w:t>
      </w:r>
      <w:r>
        <w:rPr>
          <w:spacing w:val="-15"/>
        </w:rPr>
        <w:t xml:space="preserve"> </w:t>
      </w:r>
      <w:r>
        <w:t>en</w:t>
      </w:r>
      <w:r>
        <w:rPr>
          <w:spacing w:val="-15"/>
        </w:rPr>
        <w:t xml:space="preserve"> </w:t>
      </w:r>
      <w:r>
        <w:t>un</w:t>
      </w:r>
      <w:r>
        <w:rPr>
          <w:spacing w:val="-15"/>
        </w:rPr>
        <w:t xml:space="preserve"> </w:t>
      </w:r>
      <w:r>
        <w:t>esquema</w:t>
      </w:r>
      <w:r>
        <w:rPr>
          <w:spacing w:val="-15"/>
        </w:rPr>
        <w:t xml:space="preserve"> </w:t>
      </w:r>
      <w:r>
        <w:t>de</w:t>
      </w:r>
      <w:r>
        <w:rPr>
          <w:spacing w:val="-15"/>
        </w:rPr>
        <w:t xml:space="preserve"> </w:t>
      </w:r>
      <w:r>
        <w:t>«guerra</w:t>
      </w:r>
      <w:r>
        <w:rPr>
          <w:spacing w:val="-15"/>
        </w:rPr>
        <w:t xml:space="preserve"> </w:t>
      </w:r>
      <w:r>
        <w:t>popular</w:t>
      </w:r>
      <w:r>
        <w:rPr>
          <w:spacing w:val="-15"/>
        </w:rPr>
        <w:t xml:space="preserve"> </w:t>
      </w:r>
      <w:r>
        <w:t>prolongada»</w:t>
      </w:r>
      <w:r>
        <w:rPr>
          <w:spacing w:val="-15"/>
        </w:rPr>
        <w:t xml:space="preserve"> </w:t>
      </w:r>
      <w:r>
        <w:t>de</w:t>
      </w:r>
      <w:r>
        <w:rPr>
          <w:spacing w:val="-15"/>
        </w:rPr>
        <w:t xml:space="preserve"> </w:t>
      </w:r>
      <w:r>
        <w:t>largo</w:t>
      </w:r>
      <w:r>
        <w:rPr>
          <w:spacing w:val="-15"/>
        </w:rPr>
        <w:t xml:space="preserve"> </w:t>
      </w:r>
      <w:r>
        <w:t>plazo</w:t>
      </w:r>
      <w:r>
        <w:rPr>
          <w:spacing w:val="-15"/>
        </w:rPr>
        <w:t xml:space="preserve"> </w:t>
      </w:r>
      <w:r>
        <w:t>que</w:t>
      </w:r>
      <w:r>
        <w:rPr>
          <w:spacing w:val="-15"/>
        </w:rPr>
        <w:t xml:space="preserve"> </w:t>
      </w:r>
      <w:r>
        <w:t>no</w:t>
      </w:r>
      <w:r>
        <w:rPr>
          <w:spacing w:val="-15"/>
        </w:rPr>
        <w:t xml:space="preserve"> </w:t>
      </w:r>
      <w:r>
        <w:t>significó una amenaza para el régimen. Las prácticas tempranas de estas guerrillas estuvieron marcadas por el autoritarismo tanto dentro como fuera de sus filas.</w:t>
      </w:r>
    </w:p>
    <w:p w:rsidR="003804AC" w:rsidRDefault="00AF18A5" w:rsidP="008F076A">
      <w:r>
        <w:t xml:space="preserve">La irrupción del Movimiento 19 de Abril (M-19) a mediados de los años </w:t>
      </w:r>
      <w:r>
        <w:lastRenderedPageBreak/>
        <w:t>setenta rompió la dinámica vegetativa de esas guerrillas</w:t>
      </w:r>
      <w:r w:rsidR="008F076A">
        <w:rPr>
          <w:rStyle w:val="Refdenotaalpie"/>
        </w:rPr>
        <w:footnoteReference w:id="60"/>
      </w:r>
      <w:r>
        <w:t>. Este grupo llevó la guerra a las ciudades y a las élites económicas y políticas. También construyó una narrativa nacionalista y democrática que</w:t>
      </w:r>
      <w:r>
        <w:rPr>
          <w:spacing w:val="-1"/>
        </w:rPr>
        <w:t xml:space="preserve"> </w:t>
      </w:r>
      <w:r>
        <w:t>atrajo</w:t>
      </w:r>
      <w:r>
        <w:rPr>
          <w:spacing w:val="-1"/>
        </w:rPr>
        <w:t xml:space="preserve"> </w:t>
      </w:r>
      <w:r>
        <w:t>a</w:t>
      </w:r>
      <w:r>
        <w:rPr>
          <w:spacing w:val="-2"/>
        </w:rPr>
        <w:t xml:space="preserve"> </w:t>
      </w:r>
      <w:r>
        <w:t>algunos</w:t>
      </w:r>
      <w:r>
        <w:rPr>
          <w:spacing w:val="-1"/>
        </w:rPr>
        <w:t xml:space="preserve"> </w:t>
      </w:r>
      <w:r>
        <w:t>sectores</w:t>
      </w:r>
      <w:r>
        <w:rPr>
          <w:spacing w:val="-1"/>
        </w:rPr>
        <w:t xml:space="preserve"> </w:t>
      </w:r>
      <w:r>
        <w:t>de</w:t>
      </w:r>
      <w:r>
        <w:rPr>
          <w:spacing w:val="-1"/>
        </w:rPr>
        <w:t xml:space="preserve"> </w:t>
      </w:r>
      <w:r>
        <w:t>las</w:t>
      </w:r>
      <w:r>
        <w:rPr>
          <w:spacing w:val="-1"/>
        </w:rPr>
        <w:t xml:space="preserve"> </w:t>
      </w:r>
      <w:r>
        <w:t>clases</w:t>
      </w:r>
      <w:r>
        <w:rPr>
          <w:spacing w:val="-1"/>
        </w:rPr>
        <w:t xml:space="preserve"> </w:t>
      </w:r>
      <w:r>
        <w:t>populares</w:t>
      </w:r>
      <w:r>
        <w:rPr>
          <w:spacing w:val="-1"/>
        </w:rPr>
        <w:t xml:space="preserve"> </w:t>
      </w:r>
      <w:r>
        <w:t>urbanas</w:t>
      </w:r>
      <w:r>
        <w:rPr>
          <w:spacing w:val="-2"/>
        </w:rPr>
        <w:t xml:space="preserve"> </w:t>
      </w:r>
      <w:r>
        <w:t>en</w:t>
      </w:r>
      <w:r>
        <w:rPr>
          <w:spacing w:val="-1"/>
        </w:rPr>
        <w:t xml:space="preserve"> </w:t>
      </w:r>
      <w:r>
        <w:t>un</w:t>
      </w:r>
      <w:r>
        <w:rPr>
          <w:spacing w:val="-1"/>
        </w:rPr>
        <w:t xml:space="preserve"> </w:t>
      </w:r>
      <w:r>
        <w:t>país</w:t>
      </w:r>
      <w:r>
        <w:rPr>
          <w:spacing w:val="-1"/>
        </w:rPr>
        <w:t xml:space="preserve"> </w:t>
      </w:r>
      <w:r>
        <w:t>que</w:t>
      </w:r>
      <w:r>
        <w:rPr>
          <w:spacing w:val="-1"/>
        </w:rPr>
        <w:t xml:space="preserve"> </w:t>
      </w:r>
      <w:r>
        <w:t>había</w:t>
      </w:r>
      <w:r>
        <w:rPr>
          <w:spacing w:val="-1"/>
        </w:rPr>
        <w:t xml:space="preserve"> </w:t>
      </w:r>
      <w:r>
        <w:t>cambiado demográfica,</w:t>
      </w:r>
      <w:r>
        <w:rPr>
          <w:spacing w:val="-11"/>
        </w:rPr>
        <w:t xml:space="preserve"> </w:t>
      </w:r>
      <w:r>
        <w:t>sociológica</w:t>
      </w:r>
      <w:r>
        <w:rPr>
          <w:spacing w:val="-12"/>
        </w:rPr>
        <w:t xml:space="preserve"> </w:t>
      </w:r>
      <w:r>
        <w:t>y</w:t>
      </w:r>
      <w:r>
        <w:rPr>
          <w:spacing w:val="-11"/>
        </w:rPr>
        <w:t xml:space="preserve"> </w:t>
      </w:r>
      <w:r>
        <w:t>políticamente.</w:t>
      </w:r>
      <w:r>
        <w:rPr>
          <w:spacing w:val="-11"/>
        </w:rPr>
        <w:t xml:space="preserve"> </w:t>
      </w:r>
      <w:r>
        <w:t>Esta</w:t>
      </w:r>
      <w:r>
        <w:rPr>
          <w:spacing w:val="-12"/>
        </w:rPr>
        <w:t xml:space="preserve"> </w:t>
      </w:r>
      <w:r>
        <w:t>fue</w:t>
      </w:r>
      <w:r>
        <w:rPr>
          <w:spacing w:val="-10"/>
        </w:rPr>
        <w:t xml:space="preserve"> </w:t>
      </w:r>
      <w:r>
        <w:t>alimentada</w:t>
      </w:r>
      <w:r>
        <w:rPr>
          <w:spacing w:val="-12"/>
        </w:rPr>
        <w:t xml:space="preserve"> </w:t>
      </w:r>
      <w:r>
        <w:t>por</w:t>
      </w:r>
      <w:r>
        <w:rPr>
          <w:spacing w:val="-10"/>
        </w:rPr>
        <w:t xml:space="preserve"> </w:t>
      </w:r>
      <w:r>
        <w:t>el</w:t>
      </w:r>
      <w:r>
        <w:rPr>
          <w:spacing w:val="-11"/>
        </w:rPr>
        <w:t xml:space="preserve"> </w:t>
      </w:r>
      <w:r>
        <w:t>fraude</w:t>
      </w:r>
      <w:r>
        <w:rPr>
          <w:spacing w:val="-10"/>
        </w:rPr>
        <w:t xml:space="preserve"> </w:t>
      </w:r>
      <w:r>
        <w:t>de</w:t>
      </w:r>
      <w:r>
        <w:rPr>
          <w:spacing w:val="-12"/>
        </w:rPr>
        <w:t xml:space="preserve"> </w:t>
      </w:r>
      <w:r>
        <w:t>las</w:t>
      </w:r>
      <w:r>
        <w:rPr>
          <w:spacing w:val="-12"/>
        </w:rPr>
        <w:t xml:space="preserve"> </w:t>
      </w:r>
      <w:r>
        <w:t>elecciones de 1970</w:t>
      </w:r>
      <w:r w:rsidR="008F076A">
        <w:rPr>
          <w:rStyle w:val="Refdenotaalpie"/>
        </w:rPr>
        <w:footnoteReference w:id="61"/>
      </w:r>
      <w:r>
        <w:t>. Posteriormente, el fin del Frente Nacional, y su extensión de facto con la presidencia de Alfonso López, radicalizó aún más los sectores sociales cuyas demandas de derechos no estaban satisfechas.</w:t>
      </w:r>
    </w:p>
    <w:p w:rsidR="003804AC" w:rsidRDefault="00AF18A5" w:rsidP="008F076A">
      <w:r>
        <w:t>A finales de los años setenta se creó un escenario perfecto para el surgimiento de la insurgencia.</w:t>
      </w:r>
      <w:r>
        <w:rPr>
          <w:spacing w:val="49"/>
          <w:w w:val="150"/>
        </w:rPr>
        <w:t xml:space="preserve"> </w:t>
      </w:r>
      <w:r>
        <w:t>Al</w:t>
      </w:r>
      <w:r>
        <w:rPr>
          <w:spacing w:val="53"/>
          <w:w w:val="150"/>
        </w:rPr>
        <w:t xml:space="preserve"> </w:t>
      </w:r>
      <w:r>
        <w:t>menos</w:t>
      </w:r>
      <w:r>
        <w:rPr>
          <w:spacing w:val="52"/>
          <w:w w:val="150"/>
        </w:rPr>
        <w:t xml:space="preserve"> </w:t>
      </w:r>
      <w:r>
        <w:t>cinco</w:t>
      </w:r>
      <w:r>
        <w:rPr>
          <w:spacing w:val="51"/>
          <w:w w:val="150"/>
        </w:rPr>
        <w:t xml:space="preserve"> </w:t>
      </w:r>
      <w:r>
        <w:t>fenómenos</w:t>
      </w:r>
      <w:r>
        <w:rPr>
          <w:spacing w:val="53"/>
          <w:w w:val="150"/>
        </w:rPr>
        <w:t xml:space="preserve"> </w:t>
      </w:r>
      <w:r>
        <w:t>contribuyeron</w:t>
      </w:r>
      <w:r>
        <w:rPr>
          <w:spacing w:val="51"/>
          <w:w w:val="150"/>
        </w:rPr>
        <w:t xml:space="preserve"> </w:t>
      </w:r>
      <w:r>
        <w:t>a</w:t>
      </w:r>
      <w:r>
        <w:rPr>
          <w:spacing w:val="53"/>
          <w:w w:val="150"/>
        </w:rPr>
        <w:t xml:space="preserve"> </w:t>
      </w:r>
      <w:r>
        <w:t>lo</w:t>
      </w:r>
      <w:r>
        <w:rPr>
          <w:spacing w:val="51"/>
          <w:w w:val="150"/>
        </w:rPr>
        <w:t xml:space="preserve"> </w:t>
      </w:r>
      <w:r>
        <w:t>anterior:</w:t>
      </w:r>
      <w:r>
        <w:rPr>
          <w:spacing w:val="52"/>
          <w:w w:val="150"/>
        </w:rPr>
        <w:t xml:space="preserve"> </w:t>
      </w:r>
      <w:r>
        <w:t>1)</w:t>
      </w:r>
      <w:r>
        <w:rPr>
          <w:spacing w:val="53"/>
          <w:w w:val="150"/>
        </w:rPr>
        <w:t xml:space="preserve"> </w:t>
      </w:r>
      <w:r>
        <w:t>el</w:t>
      </w:r>
      <w:r>
        <w:rPr>
          <w:spacing w:val="52"/>
          <w:w w:val="150"/>
        </w:rPr>
        <w:t xml:space="preserve"> </w:t>
      </w:r>
      <w:r>
        <w:rPr>
          <w:spacing w:val="-2"/>
        </w:rPr>
        <w:t>contexto</w:t>
      </w:r>
      <w:bookmarkStart w:id="119" w:name="_bookmark67"/>
      <w:bookmarkStart w:id="120" w:name="_bookmark68"/>
      <w:bookmarkStart w:id="121" w:name="_bookmark69"/>
      <w:bookmarkEnd w:id="119"/>
      <w:bookmarkEnd w:id="120"/>
      <w:bookmarkEnd w:id="121"/>
      <w:r w:rsidR="008F076A">
        <w:t xml:space="preserve"> </w:t>
      </w:r>
      <w:r>
        <w:t>internacional</w:t>
      </w:r>
      <w:r>
        <w:rPr>
          <w:spacing w:val="-3"/>
        </w:rPr>
        <w:t xml:space="preserve"> </w:t>
      </w:r>
      <w:r>
        <w:t>ofreció</w:t>
      </w:r>
      <w:r>
        <w:rPr>
          <w:spacing w:val="-3"/>
        </w:rPr>
        <w:t xml:space="preserve"> </w:t>
      </w:r>
      <w:r>
        <w:t>mensajes</w:t>
      </w:r>
      <w:r>
        <w:rPr>
          <w:spacing w:val="-4"/>
        </w:rPr>
        <w:t xml:space="preserve"> </w:t>
      </w:r>
      <w:r>
        <w:t>favorables</w:t>
      </w:r>
      <w:r>
        <w:rPr>
          <w:spacing w:val="-3"/>
        </w:rPr>
        <w:t xml:space="preserve"> </w:t>
      </w:r>
      <w:r>
        <w:t>para</w:t>
      </w:r>
      <w:r>
        <w:rPr>
          <w:spacing w:val="-3"/>
        </w:rPr>
        <w:t xml:space="preserve"> </w:t>
      </w:r>
      <w:r>
        <w:t>las</w:t>
      </w:r>
      <w:r>
        <w:rPr>
          <w:spacing w:val="-3"/>
        </w:rPr>
        <w:t xml:space="preserve"> </w:t>
      </w:r>
      <w:r>
        <w:t>revoluciones.</w:t>
      </w:r>
      <w:r>
        <w:rPr>
          <w:spacing w:val="-3"/>
        </w:rPr>
        <w:t xml:space="preserve"> </w:t>
      </w:r>
      <w:r>
        <w:t>Al</w:t>
      </w:r>
      <w:r>
        <w:rPr>
          <w:spacing w:val="-3"/>
        </w:rPr>
        <w:t xml:space="preserve"> </w:t>
      </w:r>
      <w:r>
        <w:t>triunfo</w:t>
      </w:r>
      <w:r>
        <w:rPr>
          <w:spacing w:val="-3"/>
        </w:rPr>
        <w:t xml:space="preserve"> </w:t>
      </w:r>
      <w:r>
        <w:t>de</w:t>
      </w:r>
      <w:r>
        <w:rPr>
          <w:spacing w:val="-3"/>
        </w:rPr>
        <w:t xml:space="preserve"> </w:t>
      </w:r>
      <w:r>
        <w:t>la</w:t>
      </w:r>
      <w:r>
        <w:rPr>
          <w:spacing w:val="-3"/>
        </w:rPr>
        <w:t xml:space="preserve"> </w:t>
      </w:r>
      <w:r>
        <w:t>Revolución cubana –que en realidad fue un caso excepcional– se sumó la derrota de Estados Unidos en Vietnam, la victoria de los sandinistas en Nicaragua y el auge de las guerrillas en Centroamérica. 2) El movimiento social se radicalizó ante la incapacidad del régimen de hacer reformas desde el Estado que generaran mayor equidad ante la realidad de que el sistema</w:t>
      </w:r>
      <w:r>
        <w:rPr>
          <w:spacing w:val="-9"/>
        </w:rPr>
        <w:t xml:space="preserve"> </w:t>
      </w:r>
      <w:r>
        <w:t>estaba</w:t>
      </w:r>
      <w:r>
        <w:rPr>
          <w:spacing w:val="-9"/>
        </w:rPr>
        <w:t xml:space="preserve"> </w:t>
      </w:r>
      <w:r>
        <w:t>conformado</w:t>
      </w:r>
      <w:r>
        <w:rPr>
          <w:spacing w:val="-9"/>
        </w:rPr>
        <w:t xml:space="preserve"> </w:t>
      </w:r>
      <w:r>
        <w:t>por</w:t>
      </w:r>
      <w:r>
        <w:rPr>
          <w:spacing w:val="-9"/>
        </w:rPr>
        <w:t xml:space="preserve"> </w:t>
      </w:r>
      <w:r>
        <w:t>redes</w:t>
      </w:r>
      <w:r>
        <w:rPr>
          <w:spacing w:val="-11"/>
        </w:rPr>
        <w:t xml:space="preserve"> </w:t>
      </w:r>
      <w:r>
        <w:t>clientelares</w:t>
      </w:r>
      <w:r>
        <w:rPr>
          <w:spacing w:val="-12"/>
        </w:rPr>
        <w:t xml:space="preserve"> </w:t>
      </w:r>
      <w:r>
        <w:t>de</w:t>
      </w:r>
      <w:r>
        <w:rPr>
          <w:spacing w:val="-9"/>
        </w:rPr>
        <w:t xml:space="preserve"> </w:t>
      </w:r>
      <w:r>
        <w:t>los</w:t>
      </w:r>
      <w:r>
        <w:rPr>
          <w:spacing w:val="-9"/>
        </w:rPr>
        <w:t xml:space="preserve"> </w:t>
      </w:r>
      <w:r>
        <w:t>partidos</w:t>
      </w:r>
      <w:r>
        <w:rPr>
          <w:spacing w:val="-9"/>
        </w:rPr>
        <w:t xml:space="preserve"> </w:t>
      </w:r>
      <w:r>
        <w:t>y</w:t>
      </w:r>
      <w:r>
        <w:rPr>
          <w:spacing w:val="-9"/>
        </w:rPr>
        <w:t xml:space="preserve"> </w:t>
      </w:r>
      <w:r>
        <w:t>las</w:t>
      </w:r>
      <w:r>
        <w:rPr>
          <w:spacing w:val="-10"/>
        </w:rPr>
        <w:t xml:space="preserve"> </w:t>
      </w:r>
      <w:r>
        <w:t>élites.</w:t>
      </w:r>
      <w:r>
        <w:rPr>
          <w:spacing w:val="-10"/>
        </w:rPr>
        <w:t xml:space="preserve"> </w:t>
      </w:r>
      <w:r>
        <w:t>3)</w:t>
      </w:r>
      <w:r>
        <w:rPr>
          <w:spacing w:val="-9"/>
        </w:rPr>
        <w:t xml:space="preserve"> </w:t>
      </w:r>
      <w:r>
        <w:t>Las</w:t>
      </w:r>
      <w:r>
        <w:rPr>
          <w:spacing w:val="-9"/>
        </w:rPr>
        <w:t xml:space="preserve"> </w:t>
      </w:r>
      <w:r>
        <w:t>guerrillas decidieron tomar el poder por la vía armada e insurreccional, premisa que imperó en sus acciones entre 1978 y 1982, pero luego se extendió hasta 1990 (y más allá). 4) El gobierno de</w:t>
      </w:r>
      <w:r>
        <w:rPr>
          <w:spacing w:val="-8"/>
        </w:rPr>
        <w:t xml:space="preserve"> </w:t>
      </w:r>
      <w:r>
        <w:t>Julio</w:t>
      </w:r>
      <w:r>
        <w:rPr>
          <w:spacing w:val="-9"/>
        </w:rPr>
        <w:t xml:space="preserve"> </w:t>
      </w:r>
      <w:r>
        <w:t>César</w:t>
      </w:r>
      <w:r>
        <w:rPr>
          <w:spacing w:val="-8"/>
        </w:rPr>
        <w:t xml:space="preserve"> </w:t>
      </w:r>
      <w:r>
        <w:t>Turbay</w:t>
      </w:r>
      <w:r>
        <w:rPr>
          <w:spacing w:val="-8"/>
        </w:rPr>
        <w:t xml:space="preserve"> </w:t>
      </w:r>
      <w:r>
        <w:t>Ayala</w:t>
      </w:r>
      <w:r>
        <w:rPr>
          <w:spacing w:val="-8"/>
        </w:rPr>
        <w:t xml:space="preserve"> </w:t>
      </w:r>
      <w:r>
        <w:t>otorgó</w:t>
      </w:r>
      <w:r>
        <w:rPr>
          <w:spacing w:val="-8"/>
        </w:rPr>
        <w:t xml:space="preserve"> </w:t>
      </w:r>
      <w:r>
        <w:t>a</w:t>
      </w:r>
      <w:r>
        <w:rPr>
          <w:spacing w:val="-8"/>
        </w:rPr>
        <w:t xml:space="preserve"> </w:t>
      </w:r>
      <w:r>
        <w:t>la</w:t>
      </w:r>
      <w:r>
        <w:rPr>
          <w:spacing w:val="-8"/>
        </w:rPr>
        <w:t xml:space="preserve"> </w:t>
      </w:r>
      <w:r>
        <w:t>fuerza</w:t>
      </w:r>
      <w:r>
        <w:rPr>
          <w:spacing w:val="-8"/>
        </w:rPr>
        <w:t xml:space="preserve"> </w:t>
      </w:r>
      <w:r>
        <w:t>pública</w:t>
      </w:r>
      <w:r>
        <w:rPr>
          <w:spacing w:val="-8"/>
        </w:rPr>
        <w:t xml:space="preserve"> </w:t>
      </w:r>
      <w:r>
        <w:t>el</w:t>
      </w:r>
      <w:r>
        <w:rPr>
          <w:spacing w:val="-8"/>
        </w:rPr>
        <w:t xml:space="preserve"> </w:t>
      </w:r>
      <w:r>
        <w:t>poder</w:t>
      </w:r>
      <w:r>
        <w:rPr>
          <w:spacing w:val="-8"/>
        </w:rPr>
        <w:t xml:space="preserve"> </w:t>
      </w:r>
      <w:r>
        <w:t>y</w:t>
      </w:r>
      <w:r>
        <w:rPr>
          <w:spacing w:val="-8"/>
        </w:rPr>
        <w:t xml:space="preserve"> </w:t>
      </w:r>
      <w:r>
        <w:t>la</w:t>
      </w:r>
      <w:r>
        <w:rPr>
          <w:spacing w:val="-8"/>
        </w:rPr>
        <w:t xml:space="preserve"> </w:t>
      </w:r>
      <w:r>
        <w:t>libertad</w:t>
      </w:r>
      <w:r>
        <w:rPr>
          <w:spacing w:val="-8"/>
        </w:rPr>
        <w:t xml:space="preserve"> </w:t>
      </w:r>
      <w:r>
        <w:lastRenderedPageBreak/>
        <w:t>(acompañada</w:t>
      </w:r>
      <w:r>
        <w:rPr>
          <w:spacing w:val="-8"/>
        </w:rPr>
        <w:t xml:space="preserve"> </w:t>
      </w:r>
      <w:r>
        <w:t>de la</w:t>
      </w:r>
      <w:r>
        <w:rPr>
          <w:spacing w:val="-5"/>
        </w:rPr>
        <w:t xml:space="preserve"> </w:t>
      </w:r>
      <w:r>
        <w:t>impunidad)</w:t>
      </w:r>
      <w:r>
        <w:rPr>
          <w:spacing w:val="-4"/>
        </w:rPr>
        <w:t xml:space="preserve"> </w:t>
      </w:r>
      <w:r>
        <w:t>para</w:t>
      </w:r>
      <w:r>
        <w:rPr>
          <w:spacing w:val="-6"/>
        </w:rPr>
        <w:t xml:space="preserve"> </w:t>
      </w:r>
      <w:r>
        <w:t>frenar</w:t>
      </w:r>
      <w:r>
        <w:rPr>
          <w:spacing w:val="-4"/>
        </w:rPr>
        <w:t xml:space="preserve"> </w:t>
      </w:r>
      <w:r>
        <w:t>el</w:t>
      </w:r>
      <w:r>
        <w:rPr>
          <w:spacing w:val="-4"/>
        </w:rPr>
        <w:t xml:space="preserve"> </w:t>
      </w:r>
      <w:r>
        <w:t>campo</w:t>
      </w:r>
      <w:r>
        <w:rPr>
          <w:spacing w:val="-5"/>
        </w:rPr>
        <w:t xml:space="preserve"> </w:t>
      </w:r>
      <w:r>
        <w:t>insurgente</w:t>
      </w:r>
      <w:r>
        <w:rPr>
          <w:spacing w:val="-6"/>
        </w:rPr>
        <w:t xml:space="preserve"> </w:t>
      </w:r>
      <w:r>
        <w:t>con</w:t>
      </w:r>
      <w:r>
        <w:rPr>
          <w:spacing w:val="-5"/>
        </w:rPr>
        <w:t xml:space="preserve"> </w:t>
      </w:r>
      <w:r>
        <w:t>el</w:t>
      </w:r>
      <w:r>
        <w:rPr>
          <w:spacing w:val="-4"/>
        </w:rPr>
        <w:t xml:space="preserve"> </w:t>
      </w:r>
      <w:r>
        <w:t>Estatuto</w:t>
      </w:r>
      <w:r>
        <w:rPr>
          <w:spacing w:val="-6"/>
        </w:rPr>
        <w:t xml:space="preserve"> </w:t>
      </w:r>
      <w:r>
        <w:t>de</w:t>
      </w:r>
      <w:r>
        <w:rPr>
          <w:spacing w:val="-5"/>
        </w:rPr>
        <w:t xml:space="preserve"> </w:t>
      </w:r>
      <w:r>
        <w:t>Seguridad,</w:t>
      </w:r>
      <w:r>
        <w:rPr>
          <w:spacing w:val="-5"/>
        </w:rPr>
        <w:t xml:space="preserve"> </w:t>
      </w:r>
      <w:r>
        <w:t>lo</w:t>
      </w:r>
      <w:r>
        <w:rPr>
          <w:spacing w:val="-5"/>
        </w:rPr>
        <w:t xml:space="preserve"> </w:t>
      </w:r>
      <w:r>
        <w:t>que</w:t>
      </w:r>
      <w:r>
        <w:rPr>
          <w:spacing w:val="-5"/>
        </w:rPr>
        <w:t xml:space="preserve"> </w:t>
      </w:r>
      <w:r>
        <w:t>ocasionó graves violaciones de los DD. HH.</w:t>
      </w:r>
      <w:r w:rsidR="008F076A">
        <w:rPr>
          <w:rStyle w:val="Refdenotaalpie"/>
        </w:rPr>
        <w:footnoteReference w:id="62"/>
      </w:r>
      <w:r>
        <w:t>. 5) El narcotráfico irrumpió en el país como un actor político y económico, que encajó sin problemas en el sistema clientelista, con una doble articulación social: por las élites, a través del comercio de la droga y el lavado de activos; y por los sectores populares, a través de los cultivos y los ejércitos privados de violencia.</w:t>
      </w:r>
    </w:p>
    <w:p w:rsidR="003804AC" w:rsidRDefault="00AF18A5" w:rsidP="008F076A">
      <w:r>
        <w:t>Este</w:t>
      </w:r>
      <w:r>
        <w:rPr>
          <w:spacing w:val="-4"/>
        </w:rPr>
        <w:t xml:space="preserve"> </w:t>
      </w:r>
      <w:r>
        <w:t>último</w:t>
      </w:r>
      <w:r>
        <w:rPr>
          <w:spacing w:val="-5"/>
        </w:rPr>
        <w:t xml:space="preserve"> </w:t>
      </w:r>
      <w:r>
        <w:t>factor</w:t>
      </w:r>
      <w:r>
        <w:rPr>
          <w:spacing w:val="-4"/>
        </w:rPr>
        <w:t xml:space="preserve"> </w:t>
      </w:r>
      <w:r>
        <w:t>fue</w:t>
      </w:r>
      <w:r>
        <w:rPr>
          <w:spacing w:val="-4"/>
        </w:rPr>
        <w:t xml:space="preserve"> </w:t>
      </w:r>
      <w:r>
        <w:t>quizás</w:t>
      </w:r>
      <w:r>
        <w:rPr>
          <w:spacing w:val="-4"/>
        </w:rPr>
        <w:t xml:space="preserve"> </w:t>
      </w:r>
      <w:r>
        <w:t>el</w:t>
      </w:r>
      <w:r>
        <w:rPr>
          <w:spacing w:val="-4"/>
        </w:rPr>
        <w:t xml:space="preserve"> </w:t>
      </w:r>
      <w:r>
        <w:t>más</w:t>
      </w:r>
      <w:r>
        <w:rPr>
          <w:spacing w:val="-5"/>
        </w:rPr>
        <w:t xml:space="preserve"> </w:t>
      </w:r>
      <w:r>
        <w:t>determinante</w:t>
      </w:r>
      <w:r>
        <w:rPr>
          <w:spacing w:val="-4"/>
        </w:rPr>
        <w:t xml:space="preserve"> </w:t>
      </w:r>
      <w:r>
        <w:t>de</w:t>
      </w:r>
      <w:r>
        <w:rPr>
          <w:spacing w:val="-4"/>
        </w:rPr>
        <w:t xml:space="preserve"> </w:t>
      </w:r>
      <w:r>
        <w:t>todos,</w:t>
      </w:r>
      <w:r>
        <w:rPr>
          <w:spacing w:val="-5"/>
        </w:rPr>
        <w:t xml:space="preserve"> </w:t>
      </w:r>
      <w:r>
        <w:t>dado</w:t>
      </w:r>
      <w:r>
        <w:rPr>
          <w:spacing w:val="-5"/>
        </w:rPr>
        <w:t xml:space="preserve"> </w:t>
      </w:r>
      <w:r>
        <w:t>que</w:t>
      </w:r>
      <w:r>
        <w:rPr>
          <w:spacing w:val="-4"/>
        </w:rPr>
        <w:t xml:space="preserve"> </w:t>
      </w:r>
      <w:r>
        <w:t>el</w:t>
      </w:r>
      <w:r>
        <w:rPr>
          <w:spacing w:val="-4"/>
        </w:rPr>
        <w:t xml:space="preserve"> </w:t>
      </w:r>
      <w:r>
        <w:t>cruce</w:t>
      </w:r>
      <w:r>
        <w:rPr>
          <w:spacing w:val="-4"/>
        </w:rPr>
        <w:t xml:space="preserve"> </w:t>
      </w:r>
      <w:r>
        <w:t>de</w:t>
      </w:r>
      <w:r>
        <w:rPr>
          <w:spacing w:val="-4"/>
        </w:rPr>
        <w:t xml:space="preserve"> </w:t>
      </w:r>
      <w:r>
        <w:t xml:space="preserve">caminos entre la guerra insurgente-contrainsurgente, y las guerras por y contra las drogas, es lo que explica en gran medida que el conflicto armado interno de Colombia se haya extendido por tres décadas más que los conflictos similares en el resto del continente. El narcotráfico contribuyó al escalamiento y extensión de la guerra y a la </w:t>
      </w:r>
      <w:proofErr w:type="spellStart"/>
      <w:r>
        <w:t>lumpenización</w:t>
      </w:r>
      <w:proofErr w:type="spellEnd"/>
      <w:r>
        <w:t xml:space="preserve"> de los ejércitos insurgentes, los paramilitares y los sectores de la fuerza pública involucrados en él.</w:t>
      </w:r>
    </w:p>
    <w:p w:rsidR="0011361F" w:rsidRDefault="00AF18A5" w:rsidP="008F076A">
      <w:r>
        <w:t>Desde mediados de los setenta, se incrementó la violencia política, entendida como la eliminación del contradictor ideológico político. Esta aumentó ya no como el exterminio entre liberales y conservadores, sino entre aparatos armados de las izquierdas radicales y agentes del Estado (como el Ejército, la Policía y el DAS), o de las élites económicas y políticas. Las</w:t>
      </w:r>
      <w:r>
        <w:rPr>
          <w:spacing w:val="-1"/>
        </w:rPr>
        <w:t xml:space="preserve"> </w:t>
      </w:r>
      <w:r>
        <w:t>principales</w:t>
      </w:r>
      <w:r>
        <w:rPr>
          <w:spacing w:val="-1"/>
        </w:rPr>
        <w:t xml:space="preserve"> </w:t>
      </w:r>
      <w:r>
        <w:t>víctimas fueron</w:t>
      </w:r>
      <w:r>
        <w:rPr>
          <w:spacing w:val="-1"/>
        </w:rPr>
        <w:t xml:space="preserve"> </w:t>
      </w:r>
      <w:r>
        <w:t>miembros de</w:t>
      </w:r>
      <w:r>
        <w:rPr>
          <w:spacing w:val="-1"/>
        </w:rPr>
        <w:t xml:space="preserve"> </w:t>
      </w:r>
      <w:r>
        <w:t>organizaciones sociales</w:t>
      </w:r>
      <w:r>
        <w:rPr>
          <w:spacing w:val="-1"/>
        </w:rPr>
        <w:t xml:space="preserve"> </w:t>
      </w:r>
      <w:r>
        <w:t>campesinas, estudiantes</w:t>
      </w:r>
      <w:r>
        <w:rPr>
          <w:spacing w:val="-7"/>
        </w:rPr>
        <w:t xml:space="preserve"> </w:t>
      </w:r>
      <w:r>
        <w:t>y</w:t>
      </w:r>
      <w:r>
        <w:rPr>
          <w:spacing w:val="-3"/>
        </w:rPr>
        <w:t xml:space="preserve"> </w:t>
      </w:r>
      <w:r>
        <w:t>sindicalistas,</w:t>
      </w:r>
      <w:r>
        <w:rPr>
          <w:spacing w:val="-3"/>
        </w:rPr>
        <w:t xml:space="preserve"> </w:t>
      </w:r>
      <w:r>
        <w:t>que</w:t>
      </w:r>
      <w:r>
        <w:rPr>
          <w:spacing w:val="-2"/>
        </w:rPr>
        <w:t xml:space="preserve"> </w:t>
      </w:r>
      <w:r>
        <w:t>fueron</w:t>
      </w:r>
      <w:r>
        <w:rPr>
          <w:spacing w:val="-4"/>
        </w:rPr>
        <w:t xml:space="preserve"> </w:t>
      </w:r>
      <w:r>
        <w:t>asesinados</w:t>
      </w:r>
      <w:r>
        <w:rPr>
          <w:spacing w:val="-3"/>
        </w:rPr>
        <w:t xml:space="preserve"> </w:t>
      </w:r>
      <w:r>
        <w:t>en</w:t>
      </w:r>
      <w:r>
        <w:rPr>
          <w:spacing w:val="-3"/>
        </w:rPr>
        <w:t xml:space="preserve"> </w:t>
      </w:r>
      <w:r>
        <w:t>el</w:t>
      </w:r>
      <w:r>
        <w:rPr>
          <w:spacing w:val="-2"/>
        </w:rPr>
        <w:t xml:space="preserve"> </w:t>
      </w:r>
      <w:r>
        <w:t>contexto</w:t>
      </w:r>
      <w:r>
        <w:rPr>
          <w:spacing w:val="-4"/>
        </w:rPr>
        <w:t xml:space="preserve"> </w:t>
      </w:r>
      <w:r>
        <w:t>de</w:t>
      </w:r>
      <w:r>
        <w:rPr>
          <w:spacing w:val="-2"/>
        </w:rPr>
        <w:t xml:space="preserve"> </w:t>
      </w:r>
      <w:r>
        <w:t>las</w:t>
      </w:r>
      <w:r>
        <w:rPr>
          <w:spacing w:val="-2"/>
        </w:rPr>
        <w:t xml:space="preserve"> </w:t>
      </w:r>
      <w:r>
        <w:t>protestas</w:t>
      </w:r>
      <w:r>
        <w:rPr>
          <w:spacing w:val="-2"/>
        </w:rPr>
        <w:t xml:space="preserve"> </w:t>
      </w:r>
      <w:r>
        <w:t>sociales</w:t>
      </w:r>
      <w:r>
        <w:rPr>
          <w:spacing w:val="-2"/>
        </w:rPr>
        <w:t xml:space="preserve"> </w:t>
      </w:r>
      <w:r>
        <w:rPr>
          <w:spacing w:val="-5"/>
        </w:rPr>
        <w:t>por</w:t>
      </w:r>
      <w:bookmarkStart w:id="122" w:name="_bookmark70"/>
      <w:bookmarkEnd w:id="122"/>
      <w:r w:rsidR="008F076A">
        <w:rPr>
          <w:spacing w:val="-5"/>
        </w:rPr>
        <w:t xml:space="preserve"> </w:t>
      </w:r>
      <w:r>
        <w:t>agentes</w:t>
      </w:r>
      <w:r>
        <w:rPr>
          <w:spacing w:val="-6"/>
        </w:rPr>
        <w:t xml:space="preserve"> </w:t>
      </w:r>
      <w:r>
        <w:t>de</w:t>
      </w:r>
      <w:r>
        <w:rPr>
          <w:spacing w:val="-6"/>
        </w:rPr>
        <w:t xml:space="preserve"> </w:t>
      </w:r>
      <w:r>
        <w:t>la</w:t>
      </w:r>
      <w:r>
        <w:rPr>
          <w:spacing w:val="-5"/>
        </w:rPr>
        <w:t xml:space="preserve"> </w:t>
      </w:r>
      <w:r>
        <w:t>fuerza</w:t>
      </w:r>
      <w:r>
        <w:rPr>
          <w:spacing w:val="-5"/>
        </w:rPr>
        <w:t xml:space="preserve"> </w:t>
      </w:r>
      <w:r>
        <w:t>pública</w:t>
      </w:r>
      <w:r>
        <w:rPr>
          <w:spacing w:val="-6"/>
        </w:rPr>
        <w:t xml:space="preserve"> </w:t>
      </w:r>
      <w:r>
        <w:t>–en</w:t>
      </w:r>
      <w:r>
        <w:rPr>
          <w:spacing w:val="-5"/>
        </w:rPr>
        <w:t xml:space="preserve"> </w:t>
      </w:r>
      <w:r>
        <w:t>ocasiones,</w:t>
      </w:r>
      <w:r>
        <w:rPr>
          <w:spacing w:val="-6"/>
        </w:rPr>
        <w:t xml:space="preserve"> </w:t>
      </w:r>
      <w:r>
        <w:t>encubiertos</w:t>
      </w:r>
      <w:r>
        <w:rPr>
          <w:spacing w:val="-5"/>
        </w:rPr>
        <w:t xml:space="preserve"> </w:t>
      </w:r>
      <w:r>
        <w:t>bajo</w:t>
      </w:r>
      <w:r>
        <w:rPr>
          <w:spacing w:val="-6"/>
        </w:rPr>
        <w:t xml:space="preserve"> </w:t>
      </w:r>
      <w:r>
        <w:t>figuras</w:t>
      </w:r>
      <w:r>
        <w:rPr>
          <w:spacing w:val="-5"/>
        </w:rPr>
        <w:t xml:space="preserve"> </w:t>
      </w:r>
      <w:r>
        <w:t>como</w:t>
      </w:r>
      <w:r>
        <w:rPr>
          <w:spacing w:val="-5"/>
        </w:rPr>
        <w:t xml:space="preserve"> </w:t>
      </w:r>
      <w:r>
        <w:t>la</w:t>
      </w:r>
      <w:r>
        <w:rPr>
          <w:spacing w:val="-5"/>
        </w:rPr>
        <w:t xml:space="preserve"> </w:t>
      </w:r>
      <w:r>
        <w:t>Mano</w:t>
      </w:r>
      <w:r>
        <w:rPr>
          <w:spacing w:val="-5"/>
        </w:rPr>
        <w:t xml:space="preserve"> </w:t>
      </w:r>
      <w:r>
        <w:t>Negra,</w:t>
      </w:r>
      <w:r>
        <w:rPr>
          <w:spacing w:val="-6"/>
        </w:rPr>
        <w:t xml:space="preserve"> </w:t>
      </w:r>
      <w:r>
        <w:t xml:space="preserve">la Triple </w:t>
      </w:r>
      <w:r>
        <w:lastRenderedPageBreak/>
        <w:t>A</w:t>
      </w:r>
      <w:r w:rsidR="008F076A">
        <w:rPr>
          <w:rStyle w:val="Refdenotaalpie"/>
        </w:rPr>
        <w:footnoteReference w:id="63"/>
      </w:r>
      <w:r>
        <w:t>, etc.– o directamente por grupos armados al servicio de gamonales locales. Muchos civiles también fueron víctimas de las guerrillas. Estas eliminaron a sus contradictores</w:t>
      </w:r>
      <w:r>
        <w:rPr>
          <w:spacing w:val="10"/>
        </w:rPr>
        <w:t xml:space="preserve"> </w:t>
      </w:r>
      <w:r>
        <w:t>ideológicos</w:t>
      </w:r>
      <w:r>
        <w:rPr>
          <w:spacing w:val="10"/>
        </w:rPr>
        <w:t xml:space="preserve"> </w:t>
      </w:r>
      <w:r>
        <w:t>y</w:t>
      </w:r>
      <w:r>
        <w:rPr>
          <w:spacing w:val="11"/>
        </w:rPr>
        <w:t xml:space="preserve"> </w:t>
      </w:r>
      <w:r>
        <w:t>políticos</w:t>
      </w:r>
      <w:r>
        <w:rPr>
          <w:spacing w:val="10"/>
        </w:rPr>
        <w:t xml:space="preserve"> </w:t>
      </w:r>
      <w:r>
        <w:t>dentro</w:t>
      </w:r>
      <w:r>
        <w:rPr>
          <w:spacing w:val="11"/>
        </w:rPr>
        <w:t xml:space="preserve"> </w:t>
      </w:r>
      <w:r>
        <w:t>de</w:t>
      </w:r>
      <w:r>
        <w:rPr>
          <w:spacing w:val="9"/>
        </w:rPr>
        <w:t xml:space="preserve"> </w:t>
      </w:r>
      <w:r>
        <w:t>la</w:t>
      </w:r>
      <w:r>
        <w:rPr>
          <w:spacing w:val="11"/>
        </w:rPr>
        <w:t xml:space="preserve"> </w:t>
      </w:r>
      <w:r>
        <w:t>izquierda</w:t>
      </w:r>
      <w:r>
        <w:rPr>
          <w:spacing w:val="9"/>
        </w:rPr>
        <w:t xml:space="preserve"> </w:t>
      </w:r>
      <w:r>
        <w:t>o</w:t>
      </w:r>
      <w:r>
        <w:rPr>
          <w:spacing w:val="11"/>
        </w:rPr>
        <w:t xml:space="preserve"> </w:t>
      </w:r>
      <w:r>
        <w:t>a</w:t>
      </w:r>
      <w:r>
        <w:rPr>
          <w:spacing w:val="9"/>
        </w:rPr>
        <w:t xml:space="preserve"> </w:t>
      </w:r>
      <w:r>
        <w:t>los</w:t>
      </w:r>
      <w:r>
        <w:rPr>
          <w:spacing w:val="11"/>
        </w:rPr>
        <w:t xml:space="preserve"> </w:t>
      </w:r>
      <w:r>
        <w:t>que</w:t>
      </w:r>
      <w:r>
        <w:rPr>
          <w:spacing w:val="8"/>
        </w:rPr>
        <w:t xml:space="preserve"> </w:t>
      </w:r>
      <w:r>
        <w:t>consideraban</w:t>
      </w:r>
      <w:r>
        <w:rPr>
          <w:spacing w:val="10"/>
        </w:rPr>
        <w:t xml:space="preserve"> </w:t>
      </w:r>
      <w:r>
        <w:t>de</w:t>
      </w:r>
      <w:r>
        <w:rPr>
          <w:spacing w:val="10"/>
        </w:rPr>
        <w:t xml:space="preserve"> </w:t>
      </w:r>
      <w:r>
        <w:rPr>
          <w:spacing w:val="-5"/>
        </w:rPr>
        <w:t>la</w:t>
      </w:r>
      <w:r w:rsidR="008F076A">
        <w:rPr>
          <w:spacing w:val="-5"/>
        </w:rPr>
        <w:t xml:space="preserve"> </w:t>
      </w:r>
      <w:r>
        <w:t>«derecha»,</w:t>
      </w:r>
      <w:r>
        <w:rPr>
          <w:spacing w:val="-1"/>
        </w:rPr>
        <w:t xml:space="preserve"> </w:t>
      </w:r>
      <w:r>
        <w:t>«enemigos de</w:t>
      </w:r>
      <w:r>
        <w:rPr>
          <w:spacing w:val="-1"/>
        </w:rPr>
        <w:t xml:space="preserve"> </w:t>
      </w:r>
      <w:r>
        <w:t>clase»</w:t>
      </w:r>
      <w:r w:rsidR="008F076A">
        <w:rPr>
          <w:rStyle w:val="Refdenotaalpie"/>
        </w:rPr>
        <w:footnoteReference w:id="64"/>
      </w:r>
      <w:r>
        <w:t>,</w:t>
      </w:r>
      <w:r>
        <w:rPr>
          <w:spacing w:val="-1"/>
        </w:rPr>
        <w:t xml:space="preserve"> </w:t>
      </w:r>
      <w:r>
        <w:t>informantes del</w:t>
      </w:r>
      <w:r>
        <w:rPr>
          <w:spacing w:val="-1"/>
        </w:rPr>
        <w:t xml:space="preserve"> </w:t>
      </w:r>
      <w:r>
        <w:t>enemigo</w:t>
      </w:r>
      <w:r>
        <w:rPr>
          <w:spacing w:val="-1"/>
        </w:rPr>
        <w:t xml:space="preserve"> </w:t>
      </w:r>
      <w:r>
        <w:t xml:space="preserve">o </w:t>
      </w:r>
      <w:r>
        <w:rPr>
          <w:spacing w:val="-2"/>
        </w:rPr>
        <w:t>«sapos»</w:t>
      </w:r>
      <w:r w:rsidR="008F076A">
        <w:rPr>
          <w:rStyle w:val="Refdenotaalpie"/>
          <w:spacing w:val="-2"/>
        </w:rPr>
        <w:footnoteReference w:id="65"/>
      </w:r>
      <w:r>
        <w:rPr>
          <w:spacing w:val="-2"/>
        </w:rPr>
        <w:t>.</w:t>
      </w:r>
    </w:p>
    <w:p w:rsidR="003804AC" w:rsidRDefault="00AF18A5" w:rsidP="008F076A">
      <w:r>
        <w:t>La década de los setenta terminó con un gran cierre de la democracia. Las normas y políticas</w:t>
      </w:r>
      <w:r>
        <w:rPr>
          <w:spacing w:val="-4"/>
        </w:rPr>
        <w:t xml:space="preserve"> </w:t>
      </w:r>
      <w:r>
        <w:t>del</w:t>
      </w:r>
      <w:r>
        <w:rPr>
          <w:spacing w:val="-5"/>
        </w:rPr>
        <w:t xml:space="preserve"> </w:t>
      </w:r>
      <w:r>
        <w:t>Estatuto</w:t>
      </w:r>
      <w:r>
        <w:rPr>
          <w:spacing w:val="-3"/>
        </w:rPr>
        <w:t xml:space="preserve"> </w:t>
      </w:r>
      <w:r>
        <w:t>de</w:t>
      </w:r>
      <w:r>
        <w:rPr>
          <w:spacing w:val="-6"/>
        </w:rPr>
        <w:t xml:space="preserve"> </w:t>
      </w:r>
      <w:r>
        <w:t>Seguridad,</w:t>
      </w:r>
      <w:r>
        <w:rPr>
          <w:spacing w:val="-3"/>
        </w:rPr>
        <w:t xml:space="preserve"> </w:t>
      </w:r>
      <w:r>
        <w:t>dictadas</w:t>
      </w:r>
      <w:r>
        <w:rPr>
          <w:spacing w:val="-3"/>
        </w:rPr>
        <w:t xml:space="preserve"> </w:t>
      </w:r>
      <w:r>
        <w:t>por</w:t>
      </w:r>
      <w:r>
        <w:rPr>
          <w:spacing w:val="-3"/>
        </w:rPr>
        <w:t xml:space="preserve"> </w:t>
      </w:r>
      <w:r>
        <w:t>el</w:t>
      </w:r>
      <w:r>
        <w:rPr>
          <w:spacing w:val="-3"/>
        </w:rPr>
        <w:t xml:space="preserve"> </w:t>
      </w:r>
      <w:r>
        <w:t>ejecutivo,</w:t>
      </w:r>
      <w:r>
        <w:rPr>
          <w:spacing w:val="-5"/>
        </w:rPr>
        <w:t xml:space="preserve"> </w:t>
      </w:r>
      <w:r>
        <w:t>aceptadas</w:t>
      </w:r>
      <w:r>
        <w:rPr>
          <w:spacing w:val="-3"/>
        </w:rPr>
        <w:t xml:space="preserve"> </w:t>
      </w:r>
      <w:r>
        <w:t>por</w:t>
      </w:r>
      <w:r>
        <w:rPr>
          <w:spacing w:val="-3"/>
        </w:rPr>
        <w:t xml:space="preserve"> </w:t>
      </w:r>
      <w:r>
        <w:t>el</w:t>
      </w:r>
      <w:r>
        <w:rPr>
          <w:spacing w:val="-4"/>
        </w:rPr>
        <w:t xml:space="preserve"> </w:t>
      </w:r>
      <w:r>
        <w:t>poder</w:t>
      </w:r>
      <w:r>
        <w:rPr>
          <w:spacing w:val="-4"/>
        </w:rPr>
        <w:t xml:space="preserve"> </w:t>
      </w:r>
      <w:r>
        <w:t>judicial e implementadas por el sector castrense, construyeron como enemigo a los disidentes y críticos</w:t>
      </w:r>
      <w:r>
        <w:rPr>
          <w:spacing w:val="-5"/>
        </w:rPr>
        <w:t xml:space="preserve"> </w:t>
      </w:r>
      <w:r>
        <w:t>del</w:t>
      </w:r>
      <w:r>
        <w:rPr>
          <w:spacing w:val="-4"/>
        </w:rPr>
        <w:t xml:space="preserve"> </w:t>
      </w:r>
      <w:r>
        <w:t>régimen.</w:t>
      </w:r>
      <w:r>
        <w:rPr>
          <w:spacing w:val="-5"/>
        </w:rPr>
        <w:t xml:space="preserve"> </w:t>
      </w:r>
      <w:r>
        <w:t>De</w:t>
      </w:r>
      <w:r>
        <w:rPr>
          <w:spacing w:val="-6"/>
        </w:rPr>
        <w:t xml:space="preserve"> </w:t>
      </w:r>
      <w:r>
        <w:t>esa</w:t>
      </w:r>
      <w:r>
        <w:rPr>
          <w:spacing w:val="-5"/>
        </w:rPr>
        <w:t xml:space="preserve"> </w:t>
      </w:r>
      <w:r>
        <w:t>manera,</w:t>
      </w:r>
      <w:r>
        <w:rPr>
          <w:spacing w:val="-6"/>
        </w:rPr>
        <w:t xml:space="preserve"> </w:t>
      </w:r>
      <w:r>
        <w:t>se</w:t>
      </w:r>
      <w:r>
        <w:rPr>
          <w:spacing w:val="-5"/>
        </w:rPr>
        <w:t xml:space="preserve"> </w:t>
      </w:r>
      <w:r>
        <w:t>exacerbó</w:t>
      </w:r>
      <w:r>
        <w:rPr>
          <w:spacing w:val="-6"/>
        </w:rPr>
        <w:t xml:space="preserve"> </w:t>
      </w:r>
      <w:r>
        <w:t>la</w:t>
      </w:r>
      <w:r>
        <w:rPr>
          <w:spacing w:val="-5"/>
        </w:rPr>
        <w:t xml:space="preserve"> </w:t>
      </w:r>
      <w:r>
        <w:t>percepción</w:t>
      </w:r>
      <w:r>
        <w:rPr>
          <w:spacing w:val="-5"/>
        </w:rPr>
        <w:t xml:space="preserve"> </w:t>
      </w:r>
      <w:r>
        <w:t>de</w:t>
      </w:r>
      <w:r>
        <w:rPr>
          <w:spacing w:val="-5"/>
        </w:rPr>
        <w:t xml:space="preserve"> </w:t>
      </w:r>
      <w:r>
        <w:t>que,</w:t>
      </w:r>
      <w:r>
        <w:rPr>
          <w:spacing w:val="-5"/>
        </w:rPr>
        <w:t xml:space="preserve"> </w:t>
      </w:r>
      <w:r>
        <w:t>en</w:t>
      </w:r>
      <w:r>
        <w:rPr>
          <w:spacing w:val="-5"/>
        </w:rPr>
        <w:t xml:space="preserve"> </w:t>
      </w:r>
      <w:r>
        <w:t>Colombia,</w:t>
      </w:r>
      <w:r>
        <w:rPr>
          <w:spacing w:val="-5"/>
        </w:rPr>
        <w:t xml:space="preserve"> </w:t>
      </w:r>
      <w:r>
        <w:t>a</w:t>
      </w:r>
      <w:r>
        <w:rPr>
          <w:spacing w:val="-6"/>
        </w:rPr>
        <w:t xml:space="preserve"> </w:t>
      </w:r>
      <w:r>
        <w:t>pesar de</w:t>
      </w:r>
      <w:r>
        <w:rPr>
          <w:spacing w:val="-15"/>
        </w:rPr>
        <w:t xml:space="preserve"> </w:t>
      </w:r>
      <w:r>
        <w:t>que</w:t>
      </w:r>
      <w:r>
        <w:rPr>
          <w:spacing w:val="-15"/>
        </w:rPr>
        <w:t xml:space="preserve"> </w:t>
      </w:r>
      <w:r>
        <w:t>regía</w:t>
      </w:r>
      <w:r>
        <w:rPr>
          <w:spacing w:val="-15"/>
        </w:rPr>
        <w:t xml:space="preserve"> </w:t>
      </w:r>
      <w:r>
        <w:t>una</w:t>
      </w:r>
      <w:r>
        <w:rPr>
          <w:spacing w:val="-15"/>
        </w:rPr>
        <w:t xml:space="preserve"> </w:t>
      </w:r>
      <w:r>
        <w:t>democracia,</w:t>
      </w:r>
      <w:r>
        <w:rPr>
          <w:spacing w:val="-15"/>
        </w:rPr>
        <w:t xml:space="preserve"> </w:t>
      </w:r>
      <w:r>
        <w:t>los</w:t>
      </w:r>
      <w:r>
        <w:rPr>
          <w:spacing w:val="-15"/>
        </w:rPr>
        <w:t xml:space="preserve"> </w:t>
      </w:r>
      <w:r>
        <w:t>militares</w:t>
      </w:r>
      <w:r>
        <w:rPr>
          <w:spacing w:val="-15"/>
        </w:rPr>
        <w:t xml:space="preserve"> </w:t>
      </w:r>
      <w:r>
        <w:t>estaban</w:t>
      </w:r>
      <w:r>
        <w:rPr>
          <w:spacing w:val="-15"/>
        </w:rPr>
        <w:t xml:space="preserve"> </w:t>
      </w:r>
      <w:r>
        <w:t>por</w:t>
      </w:r>
      <w:r>
        <w:rPr>
          <w:spacing w:val="-15"/>
        </w:rPr>
        <w:t xml:space="preserve"> </w:t>
      </w:r>
      <w:r>
        <w:t>encima</w:t>
      </w:r>
      <w:r>
        <w:rPr>
          <w:spacing w:val="-15"/>
        </w:rPr>
        <w:t xml:space="preserve"> </w:t>
      </w:r>
      <w:r>
        <w:t>de</w:t>
      </w:r>
      <w:r>
        <w:rPr>
          <w:spacing w:val="-15"/>
        </w:rPr>
        <w:t xml:space="preserve"> </w:t>
      </w:r>
      <w:r>
        <w:t>la</w:t>
      </w:r>
      <w:r>
        <w:rPr>
          <w:spacing w:val="-15"/>
        </w:rPr>
        <w:t xml:space="preserve"> </w:t>
      </w:r>
      <w:r>
        <w:t>ley</w:t>
      </w:r>
      <w:r>
        <w:rPr>
          <w:spacing w:val="-15"/>
        </w:rPr>
        <w:t xml:space="preserve"> </w:t>
      </w:r>
      <w:r>
        <w:t>dada</w:t>
      </w:r>
      <w:r>
        <w:rPr>
          <w:spacing w:val="-15"/>
        </w:rPr>
        <w:t xml:space="preserve"> </w:t>
      </w:r>
      <w:r>
        <w:t>la</w:t>
      </w:r>
      <w:r>
        <w:rPr>
          <w:spacing w:val="-15"/>
        </w:rPr>
        <w:t xml:space="preserve"> </w:t>
      </w:r>
      <w:r>
        <w:t>alta</w:t>
      </w:r>
      <w:r>
        <w:rPr>
          <w:spacing w:val="-15"/>
        </w:rPr>
        <w:t xml:space="preserve"> </w:t>
      </w:r>
      <w:r>
        <w:t>impunidad y</w:t>
      </w:r>
      <w:r>
        <w:rPr>
          <w:spacing w:val="-6"/>
        </w:rPr>
        <w:t xml:space="preserve"> </w:t>
      </w:r>
      <w:r>
        <w:t>protección</w:t>
      </w:r>
      <w:r>
        <w:rPr>
          <w:spacing w:val="-7"/>
        </w:rPr>
        <w:t xml:space="preserve"> </w:t>
      </w:r>
      <w:r>
        <w:t>política</w:t>
      </w:r>
      <w:r>
        <w:rPr>
          <w:spacing w:val="-6"/>
        </w:rPr>
        <w:t xml:space="preserve"> </w:t>
      </w:r>
      <w:r>
        <w:t>que</w:t>
      </w:r>
      <w:r>
        <w:rPr>
          <w:spacing w:val="-7"/>
        </w:rPr>
        <w:t xml:space="preserve"> </w:t>
      </w:r>
      <w:r>
        <w:t>tuvieron</w:t>
      </w:r>
      <w:r>
        <w:rPr>
          <w:spacing w:val="-6"/>
        </w:rPr>
        <w:t xml:space="preserve"> </w:t>
      </w:r>
      <w:r>
        <w:t>sus</w:t>
      </w:r>
      <w:r>
        <w:rPr>
          <w:spacing w:val="-7"/>
        </w:rPr>
        <w:t xml:space="preserve"> </w:t>
      </w:r>
      <w:r>
        <w:t>actuaciones.</w:t>
      </w:r>
      <w:r>
        <w:rPr>
          <w:spacing w:val="-6"/>
        </w:rPr>
        <w:t xml:space="preserve"> </w:t>
      </w:r>
      <w:r>
        <w:t>Las</w:t>
      </w:r>
      <w:r>
        <w:rPr>
          <w:spacing w:val="-6"/>
        </w:rPr>
        <w:t xml:space="preserve"> </w:t>
      </w:r>
      <w:r>
        <w:t>violaciones</w:t>
      </w:r>
      <w:r>
        <w:rPr>
          <w:spacing w:val="-6"/>
        </w:rPr>
        <w:t xml:space="preserve"> </w:t>
      </w:r>
      <w:r>
        <w:t>de</w:t>
      </w:r>
      <w:r>
        <w:rPr>
          <w:spacing w:val="-6"/>
        </w:rPr>
        <w:t xml:space="preserve"> </w:t>
      </w:r>
      <w:r>
        <w:t>los</w:t>
      </w:r>
      <w:r>
        <w:rPr>
          <w:spacing w:val="-6"/>
        </w:rPr>
        <w:t xml:space="preserve"> </w:t>
      </w:r>
      <w:r>
        <w:t>DD.</w:t>
      </w:r>
      <w:r>
        <w:rPr>
          <w:spacing w:val="-5"/>
        </w:rPr>
        <w:t xml:space="preserve"> </w:t>
      </w:r>
      <w:r>
        <w:t>HH.</w:t>
      </w:r>
      <w:r>
        <w:rPr>
          <w:spacing w:val="-6"/>
        </w:rPr>
        <w:t xml:space="preserve"> </w:t>
      </w:r>
      <w:r>
        <w:t>por</w:t>
      </w:r>
      <w:r>
        <w:rPr>
          <w:spacing w:val="-6"/>
        </w:rPr>
        <w:t xml:space="preserve"> </w:t>
      </w:r>
      <w:r>
        <w:t>parte de</w:t>
      </w:r>
      <w:r>
        <w:rPr>
          <w:spacing w:val="-12"/>
        </w:rPr>
        <w:t xml:space="preserve"> </w:t>
      </w:r>
      <w:r>
        <w:t>estos</w:t>
      </w:r>
      <w:r>
        <w:rPr>
          <w:spacing w:val="-12"/>
        </w:rPr>
        <w:t xml:space="preserve"> </w:t>
      </w:r>
      <w:r>
        <w:t>–en</w:t>
      </w:r>
      <w:r>
        <w:rPr>
          <w:spacing w:val="-14"/>
        </w:rPr>
        <w:t xml:space="preserve"> </w:t>
      </w:r>
      <w:r>
        <w:t>particular</w:t>
      </w:r>
      <w:r>
        <w:rPr>
          <w:spacing w:val="-13"/>
        </w:rPr>
        <w:t xml:space="preserve"> </w:t>
      </w:r>
      <w:r>
        <w:t>la</w:t>
      </w:r>
      <w:r>
        <w:rPr>
          <w:spacing w:val="-13"/>
        </w:rPr>
        <w:t xml:space="preserve"> </w:t>
      </w:r>
      <w:r>
        <w:t>tortura,</w:t>
      </w:r>
      <w:r>
        <w:rPr>
          <w:spacing w:val="-13"/>
        </w:rPr>
        <w:t xml:space="preserve"> </w:t>
      </w:r>
      <w:r>
        <w:t>la</w:t>
      </w:r>
      <w:r>
        <w:rPr>
          <w:spacing w:val="-12"/>
        </w:rPr>
        <w:t xml:space="preserve"> </w:t>
      </w:r>
      <w:r>
        <w:t>desaparición</w:t>
      </w:r>
      <w:r>
        <w:rPr>
          <w:spacing w:val="-13"/>
        </w:rPr>
        <w:t xml:space="preserve"> </w:t>
      </w:r>
      <w:r>
        <w:t>forzada</w:t>
      </w:r>
      <w:r>
        <w:rPr>
          <w:spacing w:val="-13"/>
        </w:rPr>
        <w:t xml:space="preserve"> </w:t>
      </w:r>
      <w:r>
        <w:t>y</w:t>
      </w:r>
      <w:r>
        <w:rPr>
          <w:spacing w:val="-12"/>
        </w:rPr>
        <w:t xml:space="preserve"> </w:t>
      </w:r>
      <w:r>
        <w:t>las</w:t>
      </w:r>
      <w:r>
        <w:rPr>
          <w:spacing w:val="-13"/>
        </w:rPr>
        <w:t xml:space="preserve"> </w:t>
      </w:r>
      <w:r>
        <w:t>detenciones</w:t>
      </w:r>
      <w:r>
        <w:rPr>
          <w:spacing w:val="-13"/>
        </w:rPr>
        <w:t xml:space="preserve"> </w:t>
      </w:r>
      <w:r>
        <w:t>arbitrarias–</w:t>
      </w:r>
      <w:r>
        <w:rPr>
          <w:spacing w:val="-14"/>
        </w:rPr>
        <w:t xml:space="preserve"> </w:t>
      </w:r>
      <w:r>
        <w:t>fueron negadas o encubiertas. Estas permanecieron en la impunidad y golpearon la legitimidad del Gobierno y del Estado.</w:t>
      </w:r>
    </w:p>
    <w:p w:rsidR="0011361F" w:rsidRDefault="00AF18A5" w:rsidP="008F076A">
      <w:r>
        <w:t>La</w:t>
      </w:r>
      <w:r>
        <w:rPr>
          <w:spacing w:val="-9"/>
        </w:rPr>
        <w:t xml:space="preserve"> </w:t>
      </w:r>
      <w:r>
        <w:t>democracia</w:t>
      </w:r>
      <w:r>
        <w:rPr>
          <w:spacing w:val="-11"/>
        </w:rPr>
        <w:t xml:space="preserve"> </w:t>
      </w:r>
      <w:r>
        <w:t>también</w:t>
      </w:r>
      <w:r>
        <w:rPr>
          <w:spacing w:val="-12"/>
        </w:rPr>
        <w:t xml:space="preserve"> </w:t>
      </w:r>
      <w:r>
        <w:t>se</w:t>
      </w:r>
      <w:r>
        <w:rPr>
          <w:spacing w:val="-10"/>
        </w:rPr>
        <w:t xml:space="preserve"> </w:t>
      </w:r>
      <w:r>
        <w:t>cerró</w:t>
      </w:r>
      <w:r>
        <w:rPr>
          <w:spacing w:val="-11"/>
        </w:rPr>
        <w:t xml:space="preserve"> </w:t>
      </w:r>
      <w:r>
        <w:t>debido</w:t>
      </w:r>
      <w:r>
        <w:rPr>
          <w:spacing w:val="-10"/>
        </w:rPr>
        <w:t xml:space="preserve"> </w:t>
      </w:r>
      <w:r>
        <w:t>a</w:t>
      </w:r>
      <w:r>
        <w:rPr>
          <w:spacing w:val="-11"/>
        </w:rPr>
        <w:t xml:space="preserve"> </w:t>
      </w:r>
      <w:r>
        <w:t>las</w:t>
      </w:r>
      <w:r>
        <w:rPr>
          <w:spacing w:val="-11"/>
        </w:rPr>
        <w:t xml:space="preserve"> </w:t>
      </w:r>
      <w:r>
        <w:t>guerrillas.</w:t>
      </w:r>
      <w:r>
        <w:rPr>
          <w:spacing w:val="-11"/>
        </w:rPr>
        <w:t xml:space="preserve"> </w:t>
      </w:r>
      <w:r>
        <w:t>Estas</w:t>
      </w:r>
      <w:r>
        <w:rPr>
          <w:spacing w:val="-12"/>
        </w:rPr>
        <w:t xml:space="preserve"> </w:t>
      </w:r>
      <w:r>
        <w:t>creyeron</w:t>
      </w:r>
      <w:r>
        <w:rPr>
          <w:spacing w:val="-10"/>
        </w:rPr>
        <w:t xml:space="preserve"> </w:t>
      </w:r>
      <w:r>
        <w:t>que,</w:t>
      </w:r>
      <w:r>
        <w:rPr>
          <w:spacing w:val="-10"/>
        </w:rPr>
        <w:t xml:space="preserve"> </w:t>
      </w:r>
      <w:r>
        <w:t>luego</w:t>
      </w:r>
      <w:r>
        <w:rPr>
          <w:spacing w:val="-11"/>
        </w:rPr>
        <w:t xml:space="preserve"> </w:t>
      </w:r>
      <w:r>
        <w:t>del</w:t>
      </w:r>
      <w:r>
        <w:rPr>
          <w:spacing w:val="-10"/>
        </w:rPr>
        <w:t xml:space="preserve"> </w:t>
      </w:r>
      <w:r>
        <w:t xml:space="preserve">paro cívico de 1977, Colombia estaba en una fase </w:t>
      </w:r>
      <w:proofErr w:type="spellStart"/>
      <w:r>
        <w:t>preinsurreccional</w:t>
      </w:r>
      <w:proofErr w:type="spellEnd"/>
      <w:r>
        <w:t xml:space="preserve"> y centraron todo su esfuerzo en</w:t>
      </w:r>
      <w:r>
        <w:rPr>
          <w:spacing w:val="-15"/>
        </w:rPr>
        <w:t xml:space="preserve"> </w:t>
      </w:r>
      <w:r>
        <w:t>construir</w:t>
      </w:r>
      <w:r>
        <w:rPr>
          <w:spacing w:val="-15"/>
        </w:rPr>
        <w:t xml:space="preserve"> </w:t>
      </w:r>
      <w:r>
        <w:t>ejércitos</w:t>
      </w:r>
      <w:r>
        <w:rPr>
          <w:spacing w:val="-15"/>
        </w:rPr>
        <w:t xml:space="preserve"> </w:t>
      </w:r>
      <w:r>
        <w:t>revolucionarios,</w:t>
      </w:r>
      <w:r>
        <w:rPr>
          <w:spacing w:val="-15"/>
        </w:rPr>
        <w:t xml:space="preserve"> </w:t>
      </w:r>
      <w:r>
        <w:t>radicalizar</w:t>
      </w:r>
      <w:r>
        <w:rPr>
          <w:spacing w:val="-15"/>
        </w:rPr>
        <w:t xml:space="preserve"> </w:t>
      </w:r>
      <w:r>
        <w:t>el</w:t>
      </w:r>
      <w:r>
        <w:rPr>
          <w:spacing w:val="-15"/>
        </w:rPr>
        <w:t xml:space="preserve"> </w:t>
      </w:r>
      <w:r>
        <w:t>movimiento</w:t>
      </w:r>
      <w:r>
        <w:rPr>
          <w:spacing w:val="-15"/>
        </w:rPr>
        <w:t xml:space="preserve"> </w:t>
      </w:r>
      <w:r>
        <w:t>social</w:t>
      </w:r>
      <w:r>
        <w:rPr>
          <w:spacing w:val="-15"/>
        </w:rPr>
        <w:t xml:space="preserve"> </w:t>
      </w:r>
      <w:r>
        <w:t>y</w:t>
      </w:r>
      <w:r>
        <w:rPr>
          <w:spacing w:val="-15"/>
        </w:rPr>
        <w:t xml:space="preserve"> </w:t>
      </w:r>
      <w:r>
        <w:t>generar</w:t>
      </w:r>
      <w:r>
        <w:rPr>
          <w:spacing w:val="-15"/>
        </w:rPr>
        <w:t xml:space="preserve"> </w:t>
      </w:r>
      <w:r>
        <w:t>un</w:t>
      </w:r>
      <w:r>
        <w:rPr>
          <w:spacing w:val="-15"/>
        </w:rPr>
        <w:t xml:space="preserve"> </w:t>
      </w:r>
      <w:r>
        <w:t>ambiente de</w:t>
      </w:r>
      <w:r>
        <w:rPr>
          <w:spacing w:val="-8"/>
        </w:rPr>
        <w:t xml:space="preserve"> </w:t>
      </w:r>
      <w:r>
        <w:t>ingobernabilidad</w:t>
      </w:r>
      <w:r>
        <w:rPr>
          <w:spacing w:val="-8"/>
        </w:rPr>
        <w:t xml:space="preserve"> </w:t>
      </w:r>
      <w:r>
        <w:t>que</w:t>
      </w:r>
      <w:r>
        <w:rPr>
          <w:spacing w:val="-8"/>
        </w:rPr>
        <w:t xml:space="preserve"> </w:t>
      </w:r>
      <w:r>
        <w:t>llevara</w:t>
      </w:r>
      <w:r>
        <w:rPr>
          <w:spacing w:val="-8"/>
        </w:rPr>
        <w:t xml:space="preserve"> </w:t>
      </w:r>
      <w:r>
        <w:t>a</w:t>
      </w:r>
      <w:r>
        <w:rPr>
          <w:spacing w:val="-8"/>
        </w:rPr>
        <w:t xml:space="preserve"> </w:t>
      </w:r>
      <w:r>
        <w:t>una</w:t>
      </w:r>
      <w:r>
        <w:rPr>
          <w:spacing w:val="-8"/>
        </w:rPr>
        <w:t xml:space="preserve"> </w:t>
      </w:r>
      <w:r>
        <w:t>crisis</w:t>
      </w:r>
      <w:r>
        <w:rPr>
          <w:spacing w:val="-8"/>
        </w:rPr>
        <w:t xml:space="preserve"> </w:t>
      </w:r>
      <w:r>
        <w:t>del</w:t>
      </w:r>
      <w:r>
        <w:rPr>
          <w:spacing w:val="-8"/>
        </w:rPr>
        <w:t xml:space="preserve"> </w:t>
      </w:r>
      <w:r>
        <w:t>régimen.</w:t>
      </w:r>
      <w:r>
        <w:rPr>
          <w:spacing w:val="-8"/>
        </w:rPr>
        <w:t xml:space="preserve"> </w:t>
      </w:r>
      <w:r>
        <w:t>El</w:t>
      </w:r>
      <w:r>
        <w:rPr>
          <w:spacing w:val="-8"/>
        </w:rPr>
        <w:t xml:space="preserve"> </w:t>
      </w:r>
      <w:r>
        <w:t>afán</w:t>
      </w:r>
      <w:r>
        <w:rPr>
          <w:spacing w:val="-8"/>
        </w:rPr>
        <w:t xml:space="preserve"> </w:t>
      </w:r>
      <w:r>
        <w:t>de</w:t>
      </w:r>
      <w:r>
        <w:rPr>
          <w:spacing w:val="-8"/>
        </w:rPr>
        <w:t xml:space="preserve"> </w:t>
      </w:r>
      <w:r>
        <w:t>hacer</w:t>
      </w:r>
      <w:r>
        <w:rPr>
          <w:spacing w:val="-8"/>
        </w:rPr>
        <w:t xml:space="preserve"> </w:t>
      </w:r>
      <w:r>
        <w:t>una</w:t>
      </w:r>
      <w:r>
        <w:rPr>
          <w:spacing w:val="-8"/>
        </w:rPr>
        <w:t xml:space="preserve"> </w:t>
      </w:r>
      <w:r>
        <w:t>guerra</w:t>
      </w:r>
      <w:r>
        <w:rPr>
          <w:spacing w:val="-8"/>
        </w:rPr>
        <w:t xml:space="preserve"> </w:t>
      </w:r>
      <w:r>
        <w:t>popular las</w:t>
      </w:r>
      <w:r>
        <w:rPr>
          <w:spacing w:val="-9"/>
        </w:rPr>
        <w:t xml:space="preserve"> </w:t>
      </w:r>
      <w:r>
        <w:t>llevó</w:t>
      </w:r>
      <w:r>
        <w:rPr>
          <w:spacing w:val="-10"/>
        </w:rPr>
        <w:t xml:space="preserve"> </w:t>
      </w:r>
      <w:r>
        <w:t>a</w:t>
      </w:r>
      <w:r>
        <w:rPr>
          <w:spacing w:val="-9"/>
        </w:rPr>
        <w:t xml:space="preserve"> </w:t>
      </w:r>
      <w:r>
        <w:t>que</w:t>
      </w:r>
      <w:r>
        <w:rPr>
          <w:spacing w:val="-9"/>
        </w:rPr>
        <w:t xml:space="preserve"> </w:t>
      </w:r>
      <w:r>
        <w:t>buscaran</w:t>
      </w:r>
      <w:r>
        <w:rPr>
          <w:spacing w:val="-11"/>
        </w:rPr>
        <w:t xml:space="preserve"> </w:t>
      </w:r>
      <w:r>
        <w:t>dinero</w:t>
      </w:r>
      <w:r>
        <w:rPr>
          <w:spacing w:val="-10"/>
        </w:rPr>
        <w:t xml:space="preserve"> </w:t>
      </w:r>
      <w:r>
        <w:t>a</w:t>
      </w:r>
      <w:r>
        <w:rPr>
          <w:spacing w:val="-9"/>
        </w:rPr>
        <w:t xml:space="preserve"> </w:t>
      </w:r>
      <w:r>
        <w:t>través</w:t>
      </w:r>
      <w:r>
        <w:rPr>
          <w:spacing w:val="-9"/>
        </w:rPr>
        <w:t xml:space="preserve"> </w:t>
      </w:r>
      <w:r>
        <w:t>de</w:t>
      </w:r>
      <w:r>
        <w:rPr>
          <w:spacing w:val="-9"/>
        </w:rPr>
        <w:t xml:space="preserve"> </w:t>
      </w:r>
      <w:r>
        <w:t>acciones</w:t>
      </w:r>
      <w:r>
        <w:rPr>
          <w:spacing w:val="-9"/>
        </w:rPr>
        <w:t xml:space="preserve"> </w:t>
      </w:r>
      <w:r>
        <w:t>como</w:t>
      </w:r>
      <w:r>
        <w:rPr>
          <w:spacing w:val="-10"/>
        </w:rPr>
        <w:t xml:space="preserve"> </w:t>
      </w:r>
      <w:r>
        <w:t>el</w:t>
      </w:r>
      <w:r>
        <w:rPr>
          <w:spacing w:val="-9"/>
        </w:rPr>
        <w:t xml:space="preserve"> </w:t>
      </w:r>
      <w:r>
        <w:t>secuestro,</w:t>
      </w:r>
      <w:r>
        <w:rPr>
          <w:spacing w:val="-10"/>
        </w:rPr>
        <w:t xml:space="preserve"> </w:t>
      </w:r>
      <w:r>
        <w:t>quizás</w:t>
      </w:r>
      <w:r>
        <w:rPr>
          <w:spacing w:val="-9"/>
        </w:rPr>
        <w:t xml:space="preserve"> </w:t>
      </w:r>
      <w:r>
        <w:t>la</w:t>
      </w:r>
      <w:r>
        <w:rPr>
          <w:spacing w:val="-9"/>
        </w:rPr>
        <w:t xml:space="preserve"> </w:t>
      </w:r>
      <w:r>
        <w:t>práctica</w:t>
      </w:r>
      <w:r>
        <w:rPr>
          <w:spacing w:val="-9"/>
        </w:rPr>
        <w:t xml:space="preserve"> </w:t>
      </w:r>
      <w:r>
        <w:t>más inhumana</w:t>
      </w:r>
      <w:r>
        <w:rPr>
          <w:spacing w:val="-14"/>
        </w:rPr>
        <w:t xml:space="preserve"> </w:t>
      </w:r>
      <w:r>
        <w:t>de</w:t>
      </w:r>
      <w:r>
        <w:rPr>
          <w:spacing w:val="-15"/>
        </w:rPr>
        <w:t xml:space="preserve"> </w:t>
      </w:r>
      <w:r>
        <w:t>las</w:t>
      </w:r>
      <w:r>
        <w:rPr>
          <w:spacing w:val="-14"/>
        </w:rPr>
        <w:t xml:space="preserve"> </w:t>
      </w:r>
      <w:r>
        <w:t>insurgencias.</w:t>
      </w:r>
      <w:r>
        <w:rPr>
          <w:spacing w:val="-14"/>
        </w:rPr>
        <w:t xml:space="preserve"> </w:t>
      </w:r>
      <w:r>
        <w:lastRenderedPageBreak/>
        <w:t>Como</w:t>
      </w:r>
      <w:r>
        <w:rPr>
          <w:spacing w:val="-14"/>
        </w:rPr>
        <w:t xml:space="preserve"> </w:t>
      </w:r>
      <w:r>
        <w:t>sucedió</w:t>
      </w:r>
      <w:r>
        <w:rPr>
          <w:spacing w:val="-14"/>
        </w:rPr>
        <w:t xml:space="preserve"> </w:t>
      </w:r>
      <w:r>
        <w:t>con</w:t>
      </w:r>
      <w:r>
        <w:rPr>
          <w:spacing w:val="-14"/>
        </w:rPr>
        <w:t xml:space="preserve"> </w:t>
      </w:r>
      <w:r>
        <w:t>las</w:t>
      </w:r>
      <w:r>
        <w:rPr>
          <w:spacing w:val="-14"/>
        </w:rPr>
        <w:t xml:space="preserve"> </w:t>
      </w:r>
      <w:r>
        <w:t>torturas</w:t>
      </w:r>
      <w:r>
        <w:rPr>
          <w:spacing w:val="-15"/>
        </w:rPr>
        <w:t xml:space="preserve"> </w:t>
      </w:r>
      <w:r>
        <w:t>cometidas</w:t>
      </w:r>
      <w:r>
        <w:rPr>
          <w:spacing w:val="-14"/>
        </w:rPr>
        <w:t xml:space="preserve"> </w:t>
      </w:r>
      <w:r>
        <w:t>por</w:t>
      </w:r>
      <w:r>
        <w:rPr>
          <w:spacing w:val="-14"/>
        </w:rPr>
        <w:t xml:space="preserve"> </w:t>
      </w:r>
      <w:r>
        <w:t>la</w:t>
      </w:r>
      <w:r>
        <w:rPr>
          <w:spacing w:val="-14"/>
        </w:rPr>
        <w:t xml:space="preserve"> </w:t>
      </w:r>
      <w:r>
        <w:t>fuerza</w:t>
      </w:r>
      <w:r>
        <w:rPr>
          <w:spacing w:val="-14"/>
        </w:rPr>
        <w:t xml:space="preserve"> </w:t>
      </w:r>
      <w:r>
        <w:t>pública, esta estrategia golpeó la legitimidad social y política de estos grupos.</w:t>
      </w:r>
    </w:p>
    <w:p w:rsidR="0011361F" w:rsidRDefault="00AF18A5" w:rsidP="004A6EF4">
      <w:pPr>
        <w:pStyle w:val="Ttulo3"/>
        <w:numPr>
          <w:ilvl w:val="1"/>
          <w:numId w:val="16"/>
        </w:numPr>
      </w:pPr>
      <w:bookmarkStart w:id="123" w:name="_bookmark71"/>
      <w:bookmarkStart w:id="124" w:name="_bookmark72"/>
      <w:bookmarkStart w:id="125" w:name="_bookmark73"/>
      <w:bookmarkStart w:id="126" w:name="2.2._Abrir_la_democracia"/>
      <w:bookmarkStart w:id="127" w:name="_Toc112399550"/>
      <w:bookmarkEnd w:id="123"/>
      <w:bookmarkEnd w:id="124"/>
      <w:bookmarkEnd w:id="125"/>
      <w:bookmarkEnd w:id="126"/>
      <w:r>
        <w:t>Abrir la democracia</w:t>
      </w:r>
      <w:bookmarkEnd w:id="127"/>
    </w:p>
    <w:p w:rsidR="003804AC" w:rsidRDefault="00AF18A5" w:rsidP="006E358D">
      <w:r>
        <w:t>En los años ochenta, el presidente Belisario Betancur (1982-1986) diseñó por primera vez una</w:t>
      </w:r>
      <w:r>
        <w:rPr>
          <w:spacing w:val="-3"/>
        </w:rPr>
        <w:t xml:space="preserve"> </w:t>
      </w:r>
      <w:r>
        <w:t>ruta</w:t>
      </w:r>
      <w:r>
        <w:rPr>
          <w:spacing w:val="-3"/>
        </w:rPr>
        <w:t xml:space="preserve"> </w:t>
      </w:r>
      <w:r>
        <w:t>de</w:t>
      </w:r>
      <w:r>
        <w:rPr>
          <w:spacing w:val="-5"/>
        </w:rPr>
        <w:t xml:space="preserve"> </w:t>
      </w:r>
      <w:r>
        <w:t>ingreso</w:t>
      </w:r>
      <w:r>
        <w:rPr>
          <w:spacing w:val="-4"/>
        </w:rPr>
        <w:t xml:space="preserve"> </w:t>
      </w:r>
      <w:r>
        <w:t>a</w:t>
      </w:r>
      <w:r>
        <w:rPr>
          <w:spacing w:val="-5"/>
        </w:rPr>
        <w:t xml:space="preserve"> </w:t>
      </w:r>
      <w:r>
        <w:t>la</w:t>
      </w:r>
      <w:r>
        <w:rPr>
          <w:spacing w:val="-3"/>
        </w:rPr>
        <w:t xml:space="preserve"> </w:t>
      </w:r>
      <w:r>
        <w:t>democracia</w:t>
      </w:r>
      <w:r>
        <w:rPr>
          <w:spacing w:val="-5"/>
        </w:rPr>
        <w:t xml:space="preserve"> </w:t>
      </w:r>
      <w:r>
        <w:t>para</w:t>
      </w:r>
      <w:r>
        <w:rPr>
          <w:spacing w:val="-3"/>
        </w:rPr>
        <w:t xml:space="preserve"> </w:t>
      </w:r>
      <w:r>
        <w:t>quienes</w:t>
      </w:r>
      <w:r>
        <w:rPr>
          <w:spacing w:val="-5"/>
        </w:rPr>
        <w:t xml:space="preserve"> </w:t>
      </w:r>
      <w:r>
        <w:t>estaban</w:t>
      </w:r>
      <w:r>
        <w:rPr>
          <w:spacing w:val="-5"/>
        </w:rPr>
        <w:t xml:space="preserve"> </w:t>
      </w:r>
      <w:r>
        <w:t>en</w:t>
      </w:r>
      <w:r>
        <w:rPr>
          <w:spacing w:val="-4"/>
        </w:rPr>
        <w:t xml:space="preserve"> </w:t>
      </w:r>
      <w:r>
        <w:t>armas</w:t>
      </w:r>
      <w:r>
        <w:rPr>
          <w:spacing w:val="-3"/>
        </w:rPr>
        <w:t xml:space="preserve"> </w:t>
      </w:r>
      <w:r>
        <w:t>por</w:t>
      </w:r>
      <w:r>
        <w:rPr>
          <w:spacing w:val="-3"/>
        </w:rPr>
        <w:t xml:space="preserve"> </w:t>
      </w:r>
      <w:r>
        <w:t>fuera</w:t>
      </w:r>
      <w:r>
        <w:rPr>
          <w:spacing w:val="-3"/>
        </w:rPr>
        <w:t xml:space="preserve"> </w:t>
      </w:r>
      <w:r>
        <w:t>de</w:t>
      </w:r>
      <w:r>
        <w:rPr>
          <w:spacing w:val="-5"/>
        </w:rPr>
        <w:t xml:space="preserve"> </w:t>
      </w:r>
      <w:r>
        <w:t>ella.</w:t>
      </w:r>
      <w:r>
        <w:rPr>
          <w:spacing w:val="-4"/>
        </w:rPr>
        <w:t xml:space="preserve"> </w:t>
      </w:r>
      <w:r>
        <w:t>A</w:t>
      </w:r>
      <w:r>
        <w:rPr>
          <w:spacing w:val="-5"/>
        </w:rPr>
        <w:t xml:space="preserve"> </w:t>
      </w:r>
      <w:r>
        <w:t>partir de</w:t>
      </w:r>
      <w:r>
        <w:rPr>
          <w:spacing w:val="-7"/>
        </w:rPr>
        <w:t xml:space="preserve"> </w:t>
      </w:r>
      <w:r>
        <w:t>la</w:t>
      </w:r>
      <w:r>
        <w:rPr>
          <w:spacing w:val="-7"/>
        </w:rPr>
        <w:t xml:space="preserve"> </w:t>
      </w:r>
      <w:r>
        <w:t>experiencia</w:t>
      </w:r>
      <w:r>
        <w:rPr>
          <w:spacing w:val="-7"/>
        </w:rPr>
        <w:t xml:space="preserve"> </w:t>
      </w:r>
      <w:r>
        <w:t>del</w:t>
      </w:r>
      <w:r>
        <w:rPr>
          <w:spacing w:val="-7"/>
        </w:rPr>
        <w:t xml:space="preserve"> </w:t>
      </w:r>
      <w:r>
        <w:t>Frente</w:t>
      </w:r>
      <w:r>
        <w:rPr>
          <w:spacing w:val="-7"/>
        </w:rPr>
        <w:t xml:space="preserve"> </w:t>
      </w:r>
      <w:r>
        <w:t>Nacional</w:t>
      </w:r>
      <w:r>
        <w:rPr>
          <w:spacing w:val="-8"/>
        </w:rPr>
        <w:t xml:space="preserve"> </w:t>
      </w:r>
      <w:r>
        <w:t>y</w:t>
      </w:r>
      <w:r>
        <w:rPr>
          <w:spacing w:val="-7"/>
        </w:rPr>
        <w:t xml:space="preserve"> </w:t>
      </w:r>
      <w:r>
        <w:t>el</w:t>
      </w:r>
      <w:r>
        <w:rPr>
          <w:spacing w:val="-7"/>
        </w:rPr>
        <w:t xml:space="preserve"> </w:t>
      </w:r>
      <w:r>
        <w:t>contexto</w:t>
      </w:r>
      <w:r>
        <w:rPr>
          <w:spacing w:val="-7"/>
        </w:rPr>
        <w:t xml:space="preserve"> </w:t>
      </w:r>
      <w:r>
        <w:t>latinoamericano,</w:t>
      </w:r>
      <w:r>
        <w:rPr>
          <w:spacing w:val="-7"/>
        </w:rPr>
        <w:t xml:space="preserve"> </w:t>
      </w:r>
      <w:r>
        <w:t>Betancur</w:t>
      </w:r>
      <w:r>
        <w:rPr>
          <w:spacing w:val="-7"/>
        </w:rPr>
        <w:t xml:space="preserve"> </w:t>
      </w:r>
      <w:r>
        <w:t>construyó</w:t>
      </w:r>
      <w:r>
        <w:rPr>
          <w:spacing w:val="-7"/>
        </w:rPr>
        <w:t xml:space="preserve"> </w:t>
      </w:r>
      <w:r>
        <w:t>una ruta</w:t>
      </w:r>
      <w:r>
        <w:rPr>
          <w:spacing w:val="-12"/>
        </w:rPr>
        <w:t xml:space="preserve"> </w:t>
      </w:r>
      <w:r>
        <w:t>hacia</w:t>
      </w:r>
      <w:r>
        <w:rPr>
          <w:spacing w:val="-13"/>
        </w:rPr>
        <w:t xml:space="preserve"> </w:t>
      </w:r>
      <w:r>
        <w:t>la</w:t>
      </w:r>
      <w:r>
        <w:rPr>
          <w:spacing w:val="-13"/>
        </w:rPr>
        <w:t xml:space="preserve"> </w:t>
      </w:r>
      <w:r>
        <w:t>paz</w:t>
      </w:r>
      <w:r>
        <w:rPr>
          <w:spacing w:val="-12"/>
        </w:rPr>
        <w:t xml:space="preserve"> </w:t>
      </w:r>
      <w:r>
        <w:t>con</w:t>
      </w:r>
      <w:r>
        <w:rPr>
          <w:spacing w:val="-12"/>
        </w:rPr>
        <w:t xml:space="preserve"> </w:t>
      </w:r>
      <w:r>
        <w:t>varios</w:t>
      </w:r>
      <w:r>
        <w:rPr>
          <w:spacing w:val="-12"/>
        </w:rPr>
        <w:t xml:space="preserve"> </w:t>
      </w:r>
      <w:r>
        <w:t>pilares:</w:t>
      </w:r>
      <w:r>
        <w:rPr>
          <w:spacing w:val="-12"/>
        </w:rPr>
        <w:t xml:space="preserve"> </w:t>
      </w:r>
      <w:r>
        <w:t>1)</w:t>
      </w:r>
      <w:r>
        <w:rPr>
          <w:spacing w:val="-13"/>
        </w:rPr>
        <w:t xml:space="preserve"> </w:t>
      </w:r>
      <w:r>
        <w:t>una</w:t>
      </w:r>
      <w:r>
        <w:rPr>
          <w:spacing w:val="-12"/>
        </w:rPr>
        <w:t xml:space="preserve"> </w:t>
      </w:r>
      <w:r>
        <w:t>apertura</w:t>
      </w:r>
      <w:r>
        <w:rPr>
          <w:spacing w:val="-12"/>
        </w:rPr>
        <w:t xml:space="preserve"> </w:t>
      </w:r>
      <w:r>
        <w:t>democrática</w:t>
      </w:r>
      <w:r>
        <w:rPr>
          <w:spacing w:val="-12"/>
        </w:rPr>
        <w:t xml:space="preserve"> </w:t>
      </w:r>
      <w:r>
        <w:t>que</w:t>
      </w:r>
      <w:r>
        <w:rPr>
          <w:spacing w:val="-12"/>
        </w:rPr>
        <w:t xml:space="preserve"> </w:t>
      </w:r>
      <w:r>
        <w:t>se</w:t>
      </w:r>
      <w:r>
        <w:rPr>
          <w:spacing w:val="-13"/>
        </w:rPr>
        <w:t xml:space="preserve"> </w:t>
      </w:r>
      <w:r>
        <w:t>expresó</w:t>
      </w:r>
      <w:r>
        <w:rPr>
          <w:spacing w:val="-12"/>
        </w:rPr>
        <w:t xml:space="preserve"> </w:t>
      </w:r>
      <w:r>
        <w:t>en</w:t>
      </w:r>
      <w:r>
        <w:rPr>
          <w:spacing w:val="-13"/>
        </w:rPr>
        <w:t xml:space="preserve"> </w:t>
      </w:r>
      <w:r>
        <w:t>la</w:t>
      </w:r>
      <w:r>
        <w:rPr>
          <w:spacing w:val="-13"/>
        </w:rPr>
        <w:t xml:space="preserve"> </w:t>
      </w:r>
      <w:r>
        <w:t>creación de movimientos legales para la insurgencia y sentó las bases de la descentralización con la elección popular de alcaldes y gobernadores; 2) un programa –el Plan Nacional de Rehabilitación–</w:t>
      </w:r>
      <w:r>
        <w:rPr>
          <w:spacing w:val="-9"/>
        </w:rPr>
        <w:t xml:space="preserve"> </w:t>
      </w:r>
      <w:r>
        <w:t>que</w:t>
      </w:r>
      <w:r>
        <w:rPr>
          <w:spacing w:val="-9"/>
        </w:rPr>
        <w:t xml:space="preserve"> </w:t>
      </w:r>
      <w:r>
        <w:t>construyera</w:t>
      </w:r>
      <w:r>
        <w:rPr>
          <w:spacing w:val="-9"/>
        </w:rPr>
        <w:t xml:space="preserve"> </w:t>
      </w:r>
      <w:r>
        <w:t>Estado</w:t>
      </w:r>
      <w:r>
        <w:rPr>
          <w:spacing w:val="-9"/>
        </w:rPr>
        <w:t xml:space="preserve"> </w:t>
      </w:r>
      <w:r>
        <w:t>y</w:t>
      </w:r>
      <w:r>
        <w:rPr>
          <w:spacing w:val="-9"/>
        </w:rPr>
        <w:t xml:space="preserve"> </w:t>
      </w:r>
      <w:r>
        <w:t>democracia</w:t>
      </w:r>
      <w:r>
        <w:rPr>
          <w:spacing w:val="-9"/>
        </w:rPr>
        <w:t xml:space="preserve"> </w:t>
      </w:r>
      <w:r>
        <w:t>desde</w:t>
      </w:r>
      <w:r>
        <w:rPr>
          <w:spacing w:val="-10"/>
        </w:rPr>
        <w:t xml:space="preserve"> </w:t>
      </w:r>
      <w:r>
        <w:t>los</w:t>
      </w:r>
      <w:r>
        <w:rPr>
          <w:spacing w:val="-9"/>
        </w:rPr>
        <w:t xml:space="preserve"> </w:t>
      </w:r>
      <w:r>
        <w:t>territorios,</w:t>
      </w:r>
      <w:r>
        <w:rPr>
          <w:spacing w:val="-9"/>
        </w:rPr>
        <w:t xml:space="preserve"> </w:t>
      </w:r>
      <w:r>
        <w:t>y</w:t>
      </w:r>
      <w:r>
        <w:rPr>
          <w:spacing w:val="-9"/>
        </w:rPr>
        <w:t xml:space="preserve"> </w:t>
      </w:r>
      <w:r>
        <w:t>3)</w:t>
      </w:r>
      <w:r>
        <w:rPr>
          <w:spacing w:val="-9"/>
        </w:rPr>
        <w:t xml:space="preserve"> </w:t>
      </w:r>
      <w:r>
        <w:t>la</w:t>
      </w:r>
      <w:r>
        <w:rPr>
          <w:spacing w:val="-10"/>
        </w:rPr>
        <w:t xml:space="preserve"> </w:t>
      </w:r>
      <w:r>
        <w:t>resolución del problema de las drogas; esto es, la eliminación de los cultivos ilícitos,</w:t>
      </w:r>
      <w:r>
        <w:rPr>
          <w:spacing w:val="-1"/>
        </w:rPr>
        <w:t xml:space="preserve"> </w:t>
      </w:r>
      <w:r>
        <w:t>la desarticulación del narcotráfico a través de golpes a sus rutas y laboratorios, y la disolución de las alianzas de los capos con parte de la fuerza pública.</w:t>
      </w:r>
    </w:p>
    <w:p w:rsidR="003804AC" w:rsidRDefault="00AF18A5" w:rsidP="006E358D">
      <w:r>
        <w:t>Una parte importante del sector económico, incluidos algunos dirigentes gremiales, estaban</w:t>
      </w:r>
      <w:r>
        <w:rPr>
          <w:spacing w:val="-5"/>
        </w:rPr>
        <w:t xml:space="preserve"> </w:t>
      </w:r>
      <w:r>
        <w:t>en</w:t>
      </w:r>
      <w:r>
        <w:rPr>
          <w:spacing w:val="-4"/>
        </w:rPr>
        <w:t xml:space="preserve"> </w:t>
      </w:r>
      <w:r>
        <w:t>contra</w:t>
      </w:r>
      <w:r>
        <w:rPr>
          <w:spacing w:val="-3"/>
        </w:rPr>
        <w:t xml:space="preserve"> </w:t>
      </w:r>
      <w:r>
        <w:t>de</w:t>
      </w:r>
      <w:r>
        <w:rPr>
          <w:spacing w:val="-5"/>
        </w:rPr>
        <w:t xml:space="preserve"> </w:t>
      </w:r>
      <w:r>
        <w:t>la</w:t>
      </w:r>
      <w:r>
        <w:rPr>
          <w:spacing w:val="-3"/>
        </w:rPr>
        <w:t xml:space="preserve"> </w:t>
      </w:r>
      <w:r>
        <w:t>paz</w:t>
      </w:r>
      <w:r>
        <w:rPr>
          <w:spacing w:val="-3"/>
        </w:rPr>
        <w:t xml:space="preserve"> </w:t>
      </w:r>
      <w:r>
        <w:t>de</w:t>
      </w:r>
      <w:r>
        <w:rPr>
          <w:spacing w:val="-3"/>
        </w:rPr>
        <w:t xml:space="preserve"> </w:t>
      </w:r>
      <w:r>
        <w:t>Betancur.</w:t>
      </w:r>
      <w:r>
        <w:rPr>
          <w:spacing w:val="-4"/>
        </w:rPr>
        <w:t xml:space="preserve"> </w:t>
      </w:r>
      <w:r>
        <w:t>Lo</w:t>
      </w:r>
      <w:r>
        <w:rPr>
          <w:spacing w:val="-4"/>
        </w:rPr>
        <w:t xml:space="preserve"> </w:t>
      </w:r>
      <w:r>
        <w:t>mismo</w:t>
      </w:r>
      <w:r>
        <w:rPr>
          <w:spacing w:val="-4"/>
        </w:rPr>
        <w:t xml:space="preserve"> </w:t>
      </w:r>
      <w:r>
        <w:t>ocurrió</w:t>
      </w:r>
      <w:r>
        <w:rPr>
          <w:spacing w:val="-5"/>
        </w:rPr>
        <w:t xml:space="preserve"> </w:t>
      </w:r>
      <w:r>
        <w:t>con</w:t>
      </w:r>
      <w:r>
        <w:rPr>
          <w:spacing w:val="-4"/>
        </w:rPr>
        <w:t xml:space="preserve"> </w:t>
      </w:r>
      <w:r>
        <w:t>la</w:t>
      </w:r>
      <w:r>
        <w:rPr>
          <w:spacing w:val="-3"/>
        </w:rPr>
        <w:t xml:space="preserve"> </w:t>
      </w:r>
      <w:r>
        <w:t>mayoría</w:t>
      </w:r>
      <w:r>
        <w:rPr>
          <w:spacing w:val="-5"/>
        </w:rPr>
        <w:t xml:space="preserve"> </w:t>
      </w:r>
      <w:r>
        <w:t>de</w:t>
      </w:r>
      <w:r>
        <w:rPr>
          <w:spacing w:val="-3"/>
        </w:rPr>
        <w:t xml:space="preserve"> </w:t>
      </w:r>
      <w:r>
        <w:t>élites</w:t>
      </w:r>
      <w:r>
        <w:rPr>
          <w:spacing w:val="-3"/>
        </w:rPr>
        <w:t xml:space="preserve"> </w:t>
      </w:r>
      <w:r>
        <w:t>políticas y económicas locales; los narcotraficantes de todos los carteles, y el estamento militar. Este último se opuso a la amnistía y la tregua impulsadas por el presidente con el argumento de que entraban en contradicción con su mandato constitucional</w:t>
      </w:r>
      <w:r w:rsidR="006E358D">
        <w:rPr>
          <w:rStyle w:val="Refdenotaalpie"/>
        </w:rPr>
        <w:footnoteReference w:id="66"/>
      </w:r>
      <w:r>
        <w:t>.</w:t>
      </w:r>
    </w:p>
    <w:p w:rsidR="003804AC" w:rsidRDefault="00AF18A5" w:rsidP="006E358D">
      <w:r>
        <w:t>En varios momentos, la fuerza pública creyó que era posible la derrota militar de las guerrillas</w:t>
      </w:r>
      <w:r>
        <w:rPr>
          <w:spacing w:val="-3"/>
        </w:rPr>
        <w:t xml:space="preserve"> </w:t>
      </w:r>
      <w:r>
        <w:t>y</w:t>
      </w:r>
      <w:r>
        <w:rPr>
          <w:spacing w:val="-5"/>
        </w:rPr>
        <w:t xml:space="preserve"> </w:t>
      </w:r>
      <w:r>
        <w:t>que</w:t>
      </w:r>
      <w:r>
        <w:rPr>
          <w:spacing w:val="-3"/>
        </w:rPr>
        <w:t xml:space="preserve"> </w:t>
      </w:r>
      <w:r>
        <w:t>la</w:t>
      </w:r>
      <w:r>
        <w:rPr>
          <w:spacing w:val="-3"/>
        </w:rPr>
        <w:t xml:space="preserve"> </w:t>
      </w:r>
      <w:r>
        <w:t>democracia</w:t>
      </w:r>
      <w:r>
        <w:rPr>
          <w:spacing w:val="-3"/>
        </w:rPr>
        <w:t xml:space="preserve"> </w:t>
      </w:r>
      <w:r>
        <w:t>podía</w:t>
      </w:r>
      <w:r>
        <w:rPr>
          <w:spacing w:val="-5"/>
        </w:rPr>
        <w:t xml:space="preserve"> </w:t>
      </w:r>
      <w:r>
        <w:t>y</w:t>
      </w:r>
      <w:r>
        <w:rPr>
          <w:spacing w:val="-4"/>
        </w:rPr>
        <w:t xml:space="preserve"> </w:t>
      </w:r>
      <w:r>
        <w:t>debía</w:t>
      </w:r>
      <w:r>
        <w:rPr>
          <w:spacing w:val="-5"/>
        </w:rPr>
        <w:t xml:space="preserve"> </w:t>
      </w:r>
      <w:r>
        <w:t>sacrificarse,</w:t>
      </w:r>
      <w:r>
        <w:rPr>
          <w:spacing w:val="-5"/>
        </w:rPr>
        <w:t xml:space="preserve"> </w:t>
      </w:r>
      <w:r>
        <w:t>si</w:t>
      </w:r>
      <w:r>
        <w:rPr>
          <w:spacing w:val="-3"/>
        </w:rPr>
        <w:t xml:space="preserve"> </w:t>
      </w:r>
      <w:r>
        <w:lastRenderedPageBreak/>
        <w:t>era</w:t>
      </w:r>
      <w:r>
        <w:rPr>
          <w:spacing w:val="-3"/>
        </w:rPr>
        <w:t xml:space="preserve"> </w:t>
      </w:r>
      <w:r>
        <w:t>necesario</w:t>
      </w:r>
      <w:r>
        <w:rPr>
          <w:spacing w:val="-6"/>
        </w:rPr>
        <w:t xml:space="preserve"> </w:t>
      </w:r>
      <w:r>
        <w:t>para</w:t>
      </w:r>
      <w:r>
        <w:rPr>
          <w:spacing w:val="-5"/>
        </w:rPr>
        <w:t xml:space="preserve"> </w:t>
      </w:r>
      <w:r>
        <w:t>lograrlo</w:t>
      </w:r>
      <w:r w:rsidR="00741695">
        <w:rPr>
          <w:rStyle w:val="Refdenotaalpie"/>
        </w:rPr>
        <w:footnoteReference w:id="67"/>
      </w:r>
      <w:r>
        <w:t>.</w:t>
      </w:r>
      <w:r>
        <w:rPr>
          <w:spacing w:val="-4"/>
        </w:rPr>
        <w:t xml:space="preserve"> </w:t>
      </w:r>
      <w:r>
        <w:t>De hecho,</w:t>
      </w:r>
      <w:r>
        <w:rPr>
          <w:spacing w:val="-2"/>
        </w:rPr>
        <w:t xml:space="preserve"> </w:t>
      </w:r>
      <w:r>
        <w:t>ante</w:t>
      </w:r>
      <w:r>
        <w:rPr>
          <w:spacing w:val="-2"/>
        </w:rPr>
        <w:t xml:space="preserve"> </w:t>
      </w:r>
      <w:r>
        <w:t>las</w:t>
      </w:r>
      <w:r>
        <w:rPr>
          <w:spacing w:val="-2"/>
        </w:rPr>
        <w:t xml:space="preserve"> </w:t>
      </w:r>
      <w:r>
        <w:t>denuncias</w:t>
      </w:r>
      <w:r>
        <w:rPr>
          <w:spacing w:val="-3"/>
        </w:rPr>
        <w:t xml:space="preserve"> </w:t>
      </w:r>
      <w:r>
        <w:t>del</w:t>
      </w:r>
      <w:r>
        <w:rPr>
          <w:spacing w:val="-2"/>
        </w:rPr>
        <w:t xml:space="preserve"> </w:t>
      </w:r>
      <w:r>
        <w:t>naciente</w:t>
      </w:r>
      <w:r>
        <w:rPr>
          <w:spacing w:val="-3"/>
        </w:rPr>
        <w:t xml:space="preserve"> </w:t>
      </w:r>
      <w:r>
        <w:t>movimiento</w:t>
      </w:r>
      <w:r>
        <w:rPr>
          <w:spacing w:val="-4"/>
        </w:rPr>
        <w:t xml:space="preserve"> </w:t>
      </w:r>
      <w:r>
        <w:t>de</w:t>
      </w:r>
      <w:r>
        <w:rPr>
          <w:spacing w:val="-2"/>
        </w:rPr>
        <w:t xml:space="preserve"> </w:t>
      </w:r>
      <w:r>
        <w:t>derechos</w:t>
      </w:r>
      <w:r>
        <w:rPr>
          <w:spacing w:val="-3"/>
        </w:rPr>
        <w:t xml:space="preserve"> </w:t>
      </w:r>
      <w:r>
        <w:t>humanos</w:t>
      </w:r>
      <w:r>
        <w:rPr>
          <w:spacing w:val="-2"/>
        </w:rPr>
        <w:t xml:space="preserve"> </w:t>
      </w:r>
      <w:r>
        <w:t>en</w:t>
      </w:r>
      <w:r>
        <w:rPr>
          <w:spacing w:val="-2"/>
        </w:rPr>
        <w:t xml:space="preserve"> </w:t>
      </w:r>
      <w:r>
        <w:t>el</w:t>
      </w:r>
      <w:r>
        <w:rPr>
          <w:spacing w:val="-2"/>
        </w:rPr>
        <w:t xml:space="preserve"> </w:t>
      </w:r>
      <w:r>
        <w:t>país,</w:t>
      </w:r>
      <w:r>
        <w:rPr>
          <w:spacing w:val="-2"/>
        </w:rPr>
        <w:t xml:space="preserve"> </w:t>
      </w:r>
      <w:r>
        <w:t>algunos de</w:t>
      </w:r>
      <w:r>
        <w:rPr>
          <w:spacing w:val="-15"/>
        </w:rPr>
        <w:t xml:space="preserve"> </w:t>
      </w:r>
      <w:r>
        <w:t>los</w:t>
      </w:r>
      <w:r>
        <w:rPr>
          <w:spacing w:val="-15"/>
        </w:rPr>
        <w:t xml:space="preserve"> </w:t>
      </w:r>
      <w:r>
        <w:t>más</w:t>
      </w:r>
      <w:r>
        <w:rPr>
          <w:spacing w:val="-15"/>
        </w:rPr>
        <w:t xml:space="preserve"> </w:t>
      </w:r>
      <w:r>
        <w:t>destacados</w:t>
      </w:r>
      <w:r>
        <w:rPr>
          <w:spacing w:val="-15"/>
        </w:rPr>
        <w:t xml:space="preserve"> </w:t>
      </w:r>
      <w:r>
        <w:t>generales</w:t>
      </w:r>
      <w:r>
        <w:rPr>
          <w:spacing w:val="-15"/>
        </w:rPr>
        <w:t xml:space="preserve"> </w:t>
      </w:r>
      <w:r>
        <w:t>adujeron</w:t>
      </w:r>
      <w:r>
        <w:rPr>
          <w:spacing w:val="-15"/>
        </w:rPr>
        <w:t xml:space="preserve"> </w:t>
      </w:r>
      <w:r>
        <w:t>que</w:t>
      </w:r>
      <w:r>
        <w:rPr>
          <w:spacing w:val="-15"/>
        </w:rPr>
        <w:t xml:space="preserve"> </w:t>
      </w:r>
      <w:r>
        <w:t>los</w:t>
      </w:r>
      <w:r>
        <w:rPr>
          <w:spacing w:val="-15"/>
        </w:rPr>
        <w:t xml:space="preserve"> </w:t>
      </w:r>
      <w:r>
        <w:t>controles</w:t>
      </w:r>
      <w:r>
        <w:rPr>
          <w:spacing w:val="-15"/>
        </w:rPr>
        <w:t xml:space="preserve"> </w:t>
      </w:r>
      <w:r>
        <w:t>institucionales</w:t>
      </w:r>
      <w:r>
        <w:rPr>
          <w:spacing w:val="-15"/>
        </w:rPr>
        <w:t xml:space="preserve"> </w:t>
      </w:r>
      <w:r>
        <w:t>les</w:t>
      </w:r>
      <w:r>
        <w:rPr>
          <w:spacing w:val="-15"/>
        </w:rPr>
        <w:t xml:space="preserve"> </w:t>
      </w:r>
      <w:r>
        <w:t>impedían</w:t>
      </w:r>
      <w:r>
        <w:rPr>
          <w:spacing w:val="-15"/>
        </w:rPr>
        <w:t xml:space="preserve"> </w:t>
      </w:r>
      <w:r>
        <w:t>ganar la guerra</w:t>
      </w:r>
      <w:r w:rsidR="00741695">
        <w:rPr>
          <w:rStyle w:val="Refdenotaalpie"/>
        </w:rPr>
        <w:footnoteReference w:id="68"/>
      </w:r>
      <w:r>
        <w:t>.</w:t>
      </w:r>
    </w:p>
    <w:p w:rsidR="003804AC" w:rsidRDefault="00AF18A5" w:rsidP="00741695">
      <w:r>
        <w:t>Por su parte, las élites económicas fueron reacias a los cambios que traería la democratización</w:t>
      </w:r>
      <w:r>
        <w:rPr>
          <w:spacing w:val="-8"/>
        </w:rPr>
        <w:t xml:space="preserve"> </w:t>
      </w:r>
      <w:r>
        <w:t>del</w:t>
      </w:r>
      <w:r>
        <w:rPr>
          <w:spacing w:val="-8"/>
        </w:rPr>
        <w:t xml:space="preserve"> </w:t>
      </w:r>
      <w:r>
        <w:t>poder</w:t>
      </w:r>
      <w:r>
        <w:rPr>
          <w:spacing w:val="-8"/>
        </w:rPr>
        <w:t xml:space="preserve"> </w:t>
      </w:r>
      <w:r>
        <w:t>político,</w:t>
      </w:r>
      <w:r>
        <w:rPr>
          <w:spacing w:val="-8"/>
        </w:rPr>
        <w:t xml:space="preserve"> </w:t>
      </w:r>
      <w:r>
        <w:t>si</w:t>
      </w:r>
      <w:r>
        <w:rPr>
          <w:spacing w:val="-8"/>
        </w:rPr>
        <w:t xml:space="preserve"> </w:t>
      </w:r>
      <w:r>
        <w:t>esto</w:t>
      </w:r>
      <w:r>
        <w:rPr>
          <w:spacing w:val="-8"/>
        </w:rPr>
        <w:t xml:space="preserve"> </w:t>
      </w:r>
      <w:r>
        <w:t>implicaba</w:t>
      </w:r>
      <w:r>
        <w:rPr>
          <w:spacing w:val="-8"/>
        </w:rPr>
        <w:t xml:space="preserve"> </w:t>
      </w:r>
      <w:r>
        <w:t>compartir</w:t>
      </w:r>
      <w:r>
        <w:rPr>
          <w:spacing w:val="-8"/>
        </w:rPr>
        <w:t xml:space="preserve"> </w:t>
      </w:r>
      <w:r>
        <w:t>los</w:t>
      </w:r>
      <w:r>
        <w:rPr>
          <w:spacing w:val="-8"/>
        </w:rPr>
        <w:t xml:space="preserve"> </w:t>
      </w:r>
      <w:r>
        <w:t>espacios</w:t>
      </w:r>
      <w:r>
        <w:rPr>
          <w:spacing w:val="-8"/>
        </w:rPr>
        <w:t xml:space="preserve"> </w:t>
      </w:r>
      <w:r>
        <w:t>de</w:t>
      </w:r>
      <w:r>
        <w:rPr>
          <w:spacing w:val="-8"/>
        </w:rPr>
        <w:t xml:space="preserve"> </w:t>
      </w:r>
      <w:r>
        <w:t>poder</w:t>
      </w:r>
      <w:r>
        <w:rPr>
          <w:spacing w:val="-10"/>
        </w:rPr>
        <w:t xml:space="preserve"> </w:t>
      </w:r>
      <w:r>
        <w:t>con</w:t>
      </w:r>
      <w:r>
        <w:rPr>
          <w:spacing w:val="-8"/>
        </w:rPr>
        <w:t xml:space="preserve"> </w:t>
      </w:r>
      <w:r>
        <w:t>las izquierdas.</w:t>
      </w:r>
      <w:r>
        <w:rPr>
          <w:spacing w:val="47"/>
        </w:rPr>
        <w:t xml:space="preserve"> </w:t>
      </w:r>
      <w:r>
        <w:t>Esto</w:t>
      </w:r>
      <w:r>
        <w:rPr>
          <w:spacing w:val="51"/>
        </w:rPr>
        <w:t xml:space="preserve"> </w:t>
      </w:r>
      <w:r>
        <w:t>sucedió,</w:t>
      </w:r>
      <w:r>
        <w:rPr>
          <w:spacing w:val="50"/>
        </w:rPr>
        <w:t xml:space="preserve"> </w:t>
      </w:r>
      <w:r>
        <w:t>sobre</w:t>
      </w:r>
      <w:r>
        <w:rPr>
          <w:spacing w:val="52"/>
        </w:rPr>
        <w:t xml:space="preserve"> </w:t>
      </w:r>
      <w:r>
        <w:t>todo,</w:t>
      </w:r>
      <w:r>
        <w:rPr>
          <w:spacing w:val="50"/>
        </w:rPr>
        <w:t xml:space="preserve"> </w:t>
      </w:r>
      <w:r>
        <w:t>en</w:t>
      </w:r>
      <w:r>
        <w:rPr>
          <w:spacing w:val="51"/>
        </w:rPr>
        <w:t xml:space="preserve"> </w:t>
      </w:r>
      <w:r>
        <w:t>sectores</w:t>
      </w:r>
      <w:r>
        <w:rPr>
          <w:spacing w:val="52"/>
        </w:rPr>
        <w:t xml:space="preserve"> </w:t>
      </w:r>
      <w:r>
        <w:t>vinculados</w:t>
      </w:r>
      <w:r>
        <w:rPr>
          <w:spacing w:val="51"/>
        </w:rPr>
        <w:t xml:space="preserve"> </w:t>
      </w:r>
      <w:r>
        <w:t>a</w:t>
      </w:r>
      <w:r>
        <w:rPr>
          <w:spacing w:val="52"/>
        </w:rPr>
        <w:t xml:space="preserve"> </w:t>
      </w:r>
      <w:r>
        <w:t>grandes</w:t>
      </w:r>
      <w:r>
        <w:rPr>
          <w:spacing w:val="51"/>
        </w:rPr>
        <w:t xml:space="preserve"> </w:t>
      </w:r>
      <w:r>
        <w:t>latifundios</w:t>
      </w:r>
      <w:r>
        <w:rPr>
          <w:spacing w:val="52"/>
        </w:rPr>
        <w:t xml:space="preserve"> </w:t>
      </w:r>
      <w:r>
        <w:t>y</w:t>
      </w:r>
      <w:r>
        <w:rPr>
          <w:spacing w:val="51"/>
        </w:rPr>
        <w:t xml:space="preserve"> </w:t>
      </w:r>
      <w:r>
        <w:rPr>
          <w:spacing w:val="-5"/>
        </w:rPr>
        <w:t>la</w:t>
      </w:r>
      <w:bookmarkStart w:id="128" w:name="_bookmark75"/>
      <w:bookmarkStart w:id="129" w:name="_bookmark76"/>
      <w:bookmarkStart w:id="130" w:name="_bookmark77"/>
      <w:bookmarkEnd w:id="128"/>
      <w:bookmarkEnd w:id="129"/>
      <w:bookmarkEnd w:id="130"/>
      <w:r w:rsidR="00741695">
        <w:t xml:space="preserve"> </w:t>
      </w:r>
      <w:r>
        <w:t>ganadería. El miedo al cambio de un modelo de la propiedad y, por ende, la pérdida de sus privilegios se impuso a la búsqueda de la paz de Betancur. Y sin el apoyo de los sectores económicos y los militares era poco lo que se podía avanzar.</w:t>
      </w:r>
    </w:p>
    <w:p w:rsidR="003804AC" w:rsidRDefault="00AF18A5" w:rsidP="00741695">
      <w:r>
        <w:t>Las</w:t>
      </w:r>
      <w:r>
        <w:rPr>
          <w:spacing w:val="-15"/>
        </w:rPr>
        <w:t xml:space="preserve"> </w:t>
      </w:r>
      <w:r>
        <w:t>élites</w:t>
      </w:r>
      <w:r>
        <w:rPr>
          <w:spacing w:val="-15"/>
        </w:rPr>
        <w:t xml:space="preserve"> </w:t>
      </w:r>
      <w:r>
        <w:t>políticas</w:t>
      </w:r>
      <w:r>
        <w:rPr>
          <w:spacing w:val="-15"/>
        </w:rPr>
        <w:t xml:space="preserve"> </w:t>
      </w:r>
      <w:r>
        <w:t>regionales,</w:t>
      </w:r>
      <w:r>
        <w:rPr>
          <w:spacing w:val="-15"/>
        </w:rPr>
        <w:t xml:space="preserve"> </w:t>
      </w:r>
      <w:r>
        <w:t>cuyo</w:t>
      </w:r>
      <w:r>
        <w:rPr>
          <w:spacing w:val="-15"/>
        </w:rPr>
        <w:t xml:space="preserve"> </w:t>
      </w:r>
      <w:r>
        <w:t>papel</w:t>
      </w:r>
      <w:r>
        <w:rPr>
          <w:spacing w:val="-15"/>
        </w:rPr>
        <w:t xml:space="preserve"> </w:t>
      </w:r>
      <w:r>
        <w:t>en</w:t>
      </w:r>
      <w:r>
        <w:rPr>
          <w:spacing w:val="-15"/>
        </w:rPr>
        <w:t xml:space="preserve"> </w:t>
      </w:r>
      <w:r>
        <w:t>el</w:t>
      </w:r>
      <w:r>
        <w:rPr>
          <w:spacing w:val="-15"/>
        </w:rPr>
        <w:t xml:space="preserve"> </w:t>
      </w:r>
      <w:r>
        <w:t>mantenimiento</w:t>
      </w:r>
      <w:r>
        <w:rPr>
          <w:spacing w:val="-15"/>
        </w:rPr>
        <w:t xml:space="preserve"> </w:t>
      </w:r>
      <w:r>
        <w:t>del</w:t>
      </w:r>
      <w:r>
        <w:rPr>
          <w:spacing w:val="-15"/>
        </w:rPr>
        <w:t xml:space="preserve"> </w:t>
      </w:r>
      <w:r>
        <w:t>poder</w:t>
      </w:r>
      <w:r>
        <w:rPr>
          <w:spacing w:val="-15"/>
        </w:rPr>
        <w:t xml:space="preserve"> </w:t>
      </w:r>
      <w:r>
        <w:t>central</w:t>
      </w:r>
      <w:r>
        <w:rPr>
          <w:spacing w:val="-15"/>
        </w:rPr>
        <w:t xml:space="preserve"> </w:t>
      </w:r>
      <w:r>
        <w:t>es</w:t>
      </w:r>
      <w:r>
        <w:rPr>
          <w:spacing w:val="-15"/>
        </w:rPr>
        <w:t xml:space="preserve"> </w:t>
      </w:r>
      <w:r>
        <w:t>crucial, también formaron parte de los «enemigos agazapados de la paz»</w:t>
      </w:r>
      <w:r w:rsidR="00741695">
        <w:rPr>
          <w:rStyle w:val="Refdenotaalpie"/>
        </w:rPr>
        <w:footnoteReference w:id="69"/>
      </w:r>
      <w:r>
        <w:t>. Estas sintieron amenazado</w:t>
      </w:r>
      <w:r>
        <w:rPr>
          <w:spacing w:val="-5"/>
        </w:rPr>
        <w:t xml:space="preserve"> </w:t>
      </w:r>
      <w:r>
        <w:t>su</w:t>
      </w:r>
      <w:r>
        <w:rPr>
          <w:spacing w:val="-4"/>
        </w:rPr>
        <w:t xml:space="preserve"> </w:t>
      </w:r>
      <w:r>
        <w:t>poder</w:t>
      </w:r>
      <w:r>
        <w:rPr>
          <w:spacing w:val="-4"/>
        </w:rPr>
        <w:t xml:space="preserve"> </w:t>
      </w:r>
      <w:r>
        <w:t>con</w:t>
      </w:r>
      <w:r>
        <w:rPr>
          <w:spacing w:val="-5"/>
        </w:rPr>
        <w:t xml:space="preserve"> </w:t>
      </w:r>
      <w:r>
        <w:t>la</w:t>
      </w:r>
      <w:r>
        <w:rPr>
          <w:spacing w:val="-5"/>
        </w:rPr>
        <w:t xml:space="preserve"> </w:t>
      </w:r>
      <w:r>
        <w:t>irrupción</w:t>
      </w:r>
      <w:r>
        <w:rPr>
          <w:spacing w:val="-6"/>
        </w:rPr>
        <w:t xml:space="preserve"> </w:t>
      </w:r>
      <w:r>
        <w:t>de</w:t>
      </w:r>
      <w:r>
        <w:rPr>
          <w:spacing w:val="-3"/>
        </w:rPr>
        <w:t xml:space="preserve"> </w:t>
      </w:r>
      <w:r>
        <w:t>una</w:t>
      </w:r>
      <w:r>
        <w:rPr>
          <w:spacing w:val="-5"/>
        </w:rPr>
        <w:t xml:space="preserve"> </w:t>
      </w:r>
      <w:r>
        <w:t>izquierda</w:t>
      </w:r>
      <w:r>
        <w:rPr>
          <w:spacing w:val="-5"/>
        </w:rPr>
        <w:t xml:space="preserve"> </w:t>
      </w:r>
      <w:r>
        <w:t>legal,</w:t>
      </w:r>
      <w:r>
        <w:rPr>
          <w:spacing w:val="-4"/>
        </w:rPr>
        <w:t xml:space="preserve"> </w:t>
      </w:r>
      <w:r>
        <w:t>amparada</w:t>
      </w:r>
      <w:r>
        <w:rPr>
          <w:spacing w:val="-3"/>
        </w:rPr>
        <w:t xml:space="preserve"> </w:t>
      </w:r>
      <w:r>
        <w:t>por</w:t>
      </w:r>
      <w:r>
        <w:rPr>
          <w:spacing w:val="-4"/>
        </w:rPr>
        <w:t xml:space="preserve"> </w:t>
      </w:r>
      <w:r>
        <w:t>el</w:t>
      </w:r>
      <w:r>
        <w:rPr>
          <w:spacing w:val="-3"/>
        </w:rPr>
        <w:t xml:space="preserve"> </w:t>
      </w:r>
      <w:r>
        <w:t>Gobierno</w:t>
      </w:r>
      <w:r>
        <w:rPr>
          <w:spacing w:val="-5"/>
        </w:rPr>
        <w:t xml:space="preserve"> </w:t>
      </w:r>
      <w:r>
        <w:t>en</w:t>
      </w:r>
      <w:r>
        <w:rPr>
          <w:spacing w:val="-4"/>
        </w:rPr>
        <w:t xml:space="preserve"> </w:t>
      </w:r>
      <w:r>
        <w:t xml:space="preserve">el proceso de paz, justo cuando se abrían los espacios de la descentralización política y </w:t>
      </w:r>
      <w:r>
        <w:rPr>
          <w:spacing w:val="-2"/>
        </w:rPr>
        <w:t>administrativa.</w:t>
      </w:r>
    </w:p>
    <w:p w:rsidR="003804AC" w:rsidRDefault="00AF18A5" w:rsidP="00741695">
      <w:r>
        <w:t xml:space="preserve">Las bases de la descentralización se sentaron en 1983. Cinco años después, esta se hizo realidad con la elección popular de alcaldes, que cambió la dinámica de la democracia. En ese contexto, las izquierdas </w:t>
      </w:r>
      <w:r>
        <w:lastRenderedPageBreak/>
        <w:t>irrumpieron con relativo éxito. La Unión Patriótica (UP), en particular,</w:t>
      </w:r>
      <w:r>
        <w:rPr>
          <w:spacing w:val="-7"/>
        </w:rPr>
        <w:t xml:space="preserve"> </w:t>
      </w:r>
      <w:r>
        <w:t>ganó</w:t>
      </w:r>
      <w:r>
        <w:rPr>
          <w:spacing w:val="-7"/>
        </w:rPr>
        <w:t xml:space="preserve"> </w:t>
      </w:r>
      <w:r>
        <w:t>alcaldías</w:t>
      </w:r>
      <w:r>
        <w:rPr>
          <w:spacing w:val="-7"/>
        </w:rPr>
        <w:t xml:space="preserve"> </w:t>
      </w:r>
      <w:r>
        <w:t>en</w:t>
      </w:r>
      <w:r>
        <w:rPr>
          <w:spacing w:val="-7"/>
        </w:rPr>
        <w:t xml:space="preserve"> </w:t>
      </w:r>
      <w:r>
        <w:t>municipios</w:t>
      </w:r>
      <w:r>
        <w:rPr>
          <w:spacing w:val="-7"/>
        </w:rPr>
        <w:t xml:space="preserve"> </w:t>
      </w:r>
      <w:r>
        <w:t>muy</w:t>
      </w:r>
      <w:r>
        <w:rPr>
          <w:spacing w:val="-7"/>
        </w:rPr>
        <w:t xml:space="preserve"> </w:t>
      </w:r>
      <w:r>
        <w:t>atractivos</w:t>
      </w:r>
      <w:r>
        <w:rPr>
          <w:spacing w:val="-7"/>
        </w:rPr>
        <w:t xml:space="preserve"> </w:t>
      </w:r>
      <w:r>
        <w:t>en</w:t>
      </w:r>
      <w:r>
        <w:rPr>
          <w:spacing w:val="-7"/>
        </w:rPr>
        <w:t xml:space="preserve"> </w:t>
      </w:r>
      <w:r>
        <w:t>términos</w:t>
      </w:r>
      <w:r>
        <w:rPr>
          <w:spacing w:val="-7"/>
        </w:rPr>
        <w:t xml:space="preserve"> </w:t>
      </w:r>
      <w:r>
        <w:t>de</w:t>
      </w:r>
      <w:r>
        <w:rPr>
          <w:spacing w:val="-7"/>
        </w:rPr>
        <w:t xml:space="preserve"> </w:t>
      </w:r>
      <w:r>
        <w:t>rentas</w:t>
      </w:r>
      <w:r>
        <w:rPr>
          <w:spacing w:val="-7"/>
        </w:rPr>
        <w:t xml:space="preserve"> </w:t>
      </w:r>
      <w:r>
        <w:t>y</w:t>
      </w:r>
      <w:r>
        <w:rPr>
          <w:spacing w:val="-7"/>
        </w:rPr>
        <w:t xml:space="preserve"> </w:t>
      </w:r>
      <w:r>
        <w:t>de</w:t>
      </w:r>
      <w:r>
        <w:rPr>
          <w:spacing w:val="-7"/>
        </w:rPr>
        <w:t xml:space="preserve"> </w:t>
      </w:r>
      <w:r>
        <w:t>los</w:t>
      </w:r>
      <w:r>
        <w:rPr>
          <w:spacing w:val="-7"/>
        </w:rPr>
        <w:t xml:space="preserve"> </w:t>
      </w:r>
      <w:r>
        <w:t>juegos de poder regional y nacional. No obstante, la guerra sucia impidió que la UP gobernara allí donde se la eligió democráticamente</w:t>
      </w:r>
      <w:r w:rsidR="00741695">
        <w:rPr>
          <w:rStyle w:val="Refdenotaalpie"/>
        </w:rPr>
        <w:footnoteReference w:id="70"/>
      </w:r>
      <w:r>
        <w:t>.</w:t>
      </w:r>
    </w:p>
    <w:p w:rsidR="0011361F" w:rsidRDefault="00AF18A5" w:rsidP="00741695">
      <w:r>
        <w:t>El narcotráfico también se opuso a la paz de Betancur. En perspectiva, lo que ocurrió a partir</w:t>
      </w:r>
      <w:r>
        <w:rPr>
          <w:spacing w:val="-2"/>
        </w:rPr>
        <w:t xml:space="preserve"> </w:t>
      </w:r>
      <w:r>
        <w:t>de</w:t>
      </w:r>
      <w:r>
        <w:rPr>
          <w:spacing w:val="-2"/>
        </w:rPr>
        <w:t xml:space="preserve"> </w:t>
      </w:r>
      <w:r>
        <w:t>1982</w:t>
      </w:r>
      <w:r>
        <w:rPr>
          <w:spacing w:val="-2"/>
        </w:rPr>
        <w:t xml:space="preserve"> </w:t>
      </w:r>
      <w:r>
        <w:t>fue</w:t>
      </w:r>
      <w:r>
        <w:rPr>
          <w:spacing w:val="-2"/>
        </w:rPr>
        <w:t xml:space="preserve"> </w:t>
      </w:r>
      <w:r>
        <w:t>que</w:t>
      </w:r>
      <w:r>
        <w:rPr>
          <w:spacing w:val="-2"/>
        </w:rPr>
        <w:t xml:space="preserve"> </w:t>
      </w:r>
      <w:r>
        <w:t>mientras</w:t>
      </w:r>
      <w:r>
        <w:rPr>
          <w:spacing w:val="-2"/>
        </w:rPr>
        <w:t xml:space="preserve"> </w:t>
      </w:r>
      <w:r>
        <w:t>a</w:t>
      </w:r>
      <w:r>
        <w:rPr>
          <w:spacing w:val="-2"/>
        </w:rPr>
        <w:t xml:space="preserve"> </w:t>
      </w:r>
      <w:r>
        <w:t>la</w:t>
      </w:r>
      <w:r>
        <w:rPr>
          <w:spacing w:val="-2"/>
        </w:rPr>
        <w:t xml:space="preserve"> </w:t>
      </w:r>
      <w:r>
        <w:t>guerrilla</w:t>
      </w:r>
      <w:r>
        <w:rPr>
          <w:spacing w:val="-2"/>
        </w:rPr>
        <w:t xml:space="preserve"> </w:t>
      </w:r>
      <w:r>
        <w:t>se</w:t>
      </w:r>
      <w:r>
        <w:rPr>
          <w:spacing w:val="-2"/>
        </w:rPr>
        <w:t xml:space="preserve"> </w:t>
      </w:r>
      <w:r>
        <w:t>le</w:t>
      </w:r>
      <w:r>
        <w:rPr>
          <w:spacing w:val="-3"/>
        </w:rPr>
        <w:t xml:space="preserve"> </w:t>
      </w:r>
      <w:r>
        <w:t>abrían</w:t>
      </w:r>
      <w:r>
        <w:rPr>
          <w:spacing w:val="-2"/>
        </w:rPr>
        <w:t xml:space="preserve"> </w:t>
      </w:r>
      <w:r>
        <w:t>las</w:t>
      </w:r>
      <w:r>
        <w:rPr>
          <w:spacing w:val="-2"/>
        </w:rPr>
        <w:t xml:space="preserve"> </w:t>
      </w:r>
      <w:r>
        <w:t>puertas</w:t>
      </w:r>
      <w:r>
        <w:rPr>
          <w:spacing w:val="-2"/>
        </w:rPr>
        <w:t xml:space="preserve"> </w:t>
      </w:r>
      <w:r>
        <w:t>para</w:t>
      </w:r>
      <w:r>
        <w:rPr>
          <w:spacing w:val="-2"/>
        </w:rPr>
        <w:t xml:space="preserve"> </w:t>
      </w:r>
      <w:r>
        <w:t>ingresar</w:t>
      </w:r>
      <w:r>
        <w:rPr>
          <w:spacing w:val="-2"/>
        </w:rPr>
        <w:t xml:space="preserve"> </w:t>
      </w:r>
      <w:r>
        <w:t>al</w:t>
      </w:r>
      <w:r>
        <w:rPr>
          <w:spacing w:val="-2"/>
        </w:rPr>
        <w:t xml:space="preserve"> </w:t>
      </w:r>
      <w:r>
        <w:t>sistema bajo el reconocimiento como actor político, al narcotráfico, que ya hacía parte de él, se le expulsó y se le redujo, en público, a la condición de criminal –en privado, sin embargo, se mantuvieron</w:t>
      </w:r>
      <w:r>
        <w:rPr>
          <w:spacing w:val="-15"/>
        </w:rPr>
        <w:t xml:space="preserve"> </w:t>
      </w:r>
      <w:r>
        <w:t>y</w:t>
      </w:r>
      <w:r>
        <w:rPr>
          <w:spacing w:val="-15"/>
        </w:rPr>
        <w:t xml:space="preserve"> </w:t>
      </w:r>
      <w:r>
        <w:t>profundizaron</w:t>
      </w:r>
      <w:r>
        <w:rPr>
          <w:spacing w:val="-15"/>
        </w:rPr>
        <w:t xml:space="preserve"> </w:t>
      </w:r>
      <w:r>
        <w:t>esas</w:t>
      </w:r>
      <w:r>
        <w:rPr>
          <w:spacing w:val="-15"/>
        </w:rPr>
        <w:t xml:space="preserve"> </w:t>
      </w:r>
      <w:r>
        <w:t>alianzas</w:t>
      </w:r>
      <w:r w:rsidR="00741695">
        <w:rPr>
          <w:rStyle w:val="Refdenotaalpie"/>
        </w:rPr>
        <w:footnoteReference w:id="71"/>
      </w:r>
      <w:r>
        <w:t>–.</w:t>
      </w:r>
      <w:r>
        <w:rPr>
          <w:spacing w:val="-15"/>
        </w:rPr>
        <w:t xml:space="preserve"> </w:t>
      </w:r>
      <w:r>
        <w:t>En</w:t>
      </w:r>
      <w:r>
        <w:rPr>
          <w:spacing w:val="-15"/>
        </w:rPr>
        <w:t xml:space="preserve"> </w:t>
      </w:r>
      <w:r>
        <w:t>lugar</w:t>
      </w:r>
      <w:r>
        <w:rPr>
          <w:spacing w:val="-15"/>
        </w:rPr>
        <w:t xml:space="preserve"> </w:t>
      </w:r>
      <w:r>
        <w:t>de</w:t>
      </w:r>
      <w:r>
        <w:rPr>
          <w:spacing w:val="-15"/>
        </w:rPr>
        <w:t xml:space="preserve"> </w:t>
      </w:r>
      <w:r>
        <w:t>una</w:t>
      </w:r>
      <w:r>
        <w:rPr>
          <w:spacing w:val="-15"/>
        </w:rPr>
        <w:t xml:space="preserve"> </w:t>
      </w:r>
      <w:r>
        <w:t>presencia</w:t>
      </w:r>
      <w:r>
        <w:rPr>
          <w:spacing w:val="-15"/>
        </w:rPr>
        <w:t xml:space="preserve"> </w:t>
      </w:r>
      <w:r>
        <w:t>directa</w:t>
      </w:r>
      <w:r>
        <w:rPr>
          <w:spacing w:val="-15"/>
        </w:rPr>
        <w:t xml:space="preserve"> </w:t>
      </w:r>
      <w:r>
        <w:t>en</w:t>
      </w:r>
      <w:r>
        <w:rPr>
          <w:spacing w:val="-15"/>
        </w:rPr>
        <w:t xml:space="preserve"> </w:t>
      </w:r>
      <w:r>
        <w:t>los</w:t>
      </w:r>
      <w:r>
        <w:rPr>
          <w:spacing w:val="-15"/>
        </w:rPr>
        <w:t xml:space="preserve"> </w:t>
      </w:r>
      <w:r>
        <w:t>cargos directivos del Estado, los narcotraficantes mantuvieron relaciones con sectores influyentes de los partidos políticos, las élites económicas y la fuerza pública.</w:t>
      </w:r>
    </w:p>
    <w:p w:rsidR="003804AC" w:rsidRDefault="00AF18A5" w:rsidP="00741695">
      <w:bookmarkStart w:id="131" w:name="_bookmark78"/>
      <w:bookmarkStart w:id="132" w:name="_bookmark79"/>
      <w:bookmarkStart w:id="133" w:name="_bookmark80"/>
      <w:bookmarkEnd w:id="131"/>
      <w:bookmarkEnd w:id="132"/>
      <w:bookmarkEnd w:id="133"/>
      <w:r>
        <w:t>Todos los anteriores actores se unieron en contra de la democratización que trajo el proceso de paz de Belisario Betancur. En ese contexto, el paramilitarismo surgió como una respuesta violenta al cambio que se estaba produciendo. Narcotraficantes, sectores de la fuerza pública y de las élites políticas y económicas, en particular de algunas regiones</w:t>
      </w:r>
      <w:r w:rsidR="00B02229">
        <w:rPr>
          <w:rStyle w:val="Refdenotaalpie"/>
        </w:rPr>
        <w:footnoteReference w:id="72"/>
      </w:r>
      <w:r>
        <w:t xml:space="preserve">, participaron en esa coalición cuyo fin era acumular poder y dinero, y defender el </w:t>
      </w:r>
      <w:r>
        <w:rPr>
          <w:i/>
        </w:rPr>
        <w:t>statu quo</w:t>
      </w:r>
      <w:r>
        <w:t>.</w:t>
      </w:r>
    </w:p>
    <w:p w:rsidR="003804AC" w:rsidRDefault="00AF18A5" w:rsidP="00B02229">
      <w:r>
        <w:t xml:space="preserve">El proyecto paramilitar se configuró alrededor del movimiento Muerte a Secuestradores (MAS), financiado por 200 narcotraficantes del país, </w:t>
      </w:r>
      <w:r>
        <w:lastRenderedPageBreak/>
        <w:t>luego de que el M-19 secuestrara a Martha Nieves Ochoa, hermana de algunos de los más importantes miembros del Cartel de Medellín. Este luego dio paso a un fenómeno extendido en varios departamentos, cuyo epicentro fue, primero, el Magdalena Medio y, después, la región de Urabá y Córdoba bajo la sigla de «</w:t>
      </w:r>
      <w:proofErr w:type="spellStart"/>
      <w:r>
        <w:t>masetos</w:t>
      </w:r>
      <w:proofErr w:type="spellEnd"/>
      <w:r>
        <w:t xml:space="preserve">» en la que se articularon miembros destacados de la fuerza pública: oficiales del Ejército, la Policía y el DAS, así como ganaderos afectados por el secuestro y </w:t>
      </w:r>
      <w:r>
        <w:rPr>
          <w:spacing w:val="-2"/>
        </w:rPr>
        <w:t>políticos.</w:t>
      </w:r>
    </w:p>
    <w:p w:rsidR="0011361F" w:rsidRDefault="00AF18A5" w:rsidP="00B02229">
      <w:r>
        <w:t>La</w:t>
      </w:r>
      <w:r>
        <w:rPr>
          <w:spacing w:val="-1"/>
        </w:rPr>
        <w:t xml:space="preserve"> </w:t>
      </w:r>
      <w:r>
        <w:t>mayoría</w:t>
      </w:r>
      <w:r>
        <w:rPr>
          <w:spacing w:val="-1"/>
        </w:rPr>
        <w:t xml:space="preserve"> </w:t>
      </w:r>
      <w:r>
        <w:t>de</w:t>
      </w:r>
      <w:r>
        <w:rPr>
          <w:spacing w:val="-1"/>
        </w:rPr>
        <w:t xml:space="preserve"> </w:t>
      </w:r>
      <w:r>
        <w:t>las</w:t>
      </w:r>
      <w:r>
        <w:rPr>
          <w:spacing w:val="-1"/>
        </w:rPr>
        <w:t xml:space="preserve"> </w:t>
      </w:r>
      <w:r>
        <w:t>guerrillas</w:t>
      </w:r>
      <w:r>
        <w:rPr>
          <w:spacing w:val="-1"/>
        </w:rPr>
        <w:t xml:space="preserve"> </w:t>
      </w:r>
      <w:r>
        <w:t>tampoco</w:t>
      </w:r>
      <w:r>
        <w:rPr>
          <w:spacing w:val="-2"/>
        </w:rPr>
        <w:t xml:space="preserve"> </w:t>
      </w:r>
      <w:r>
        <w:t>se</w:t>
      </w:r>
      <w:r>
        <w:rPr>
          <w:spacing w:val="-1"/>
        </w:rPr>
        <w:t xml:space="preserve"> </w:t>
      </w:r>
      <w:r>
        <w:t>tomaron</w:t>
      </w:r>
      <w:r>
        <w:rPr>
          <w:spacing w:val="-1"/>
        </w:rPr>
        <w:t xml:space="preserve"> </w:t>
      </w:r>
      <w:r>
        <w:t>en</w:t>
      </w:r>
      <w:r>
        <w:rPr>
          <w:spacing w:val="-1"/>
        </w:rPr>
        <w:t xml:space="preserve"> </w:t>
      </w:r>
      <w:r>
        <w:t>serio</w:t>
      </w:r>
      <w:r>
        <w:rPr>
          <w:spacing w:val="-1"/>
        </w:rPr>
        <w:t xml:space="preserve"> </w:t>
      </w:r>
      <w:r>
        <w:t>la</w:t>
      </w:r>
      <w:r>
        <w:rPr>
          <w:spacing w:val="-1"/>
        </w:rPr>
        <w:t xml:space="preserve"> </w:t>
      </w:r>
      <w:r>
        <w:t>oferta</w:t>
      </w:r>
      <w:r>
        <w:rPr>
          <w:spacing w:val="-1"/>
        </w:rPr>
        <w:t xml:space="preserve"> </w:t>
      </w:r>
      <w:r>
        <w:t>de</w:t>
      </w:r>
      <w:r>
        <w:rPr>
          <w:spacing w:val="-1"/>
        </w:rPr>
        <w:t xml:space="preserve"> </w:t>
      </w:r>
      <w:r>
        <w:t>«democratización» de Betancur. Un sector, que incluía el ELN, el Partido Revolucionario de los Trabajadores (PRT)</w:t>
      </w:r>
      <w:r>
        <w:rPr>
          <w:spacing w:val="-4"/>
        </w:rPr>
        <w:t xml:space="preserve"> </w:t>
      </w:r>
      <w:r>
        <w:t>y</w:t>
      </w:r>
      <w:r>
        <w:rPr>
          <w:spacing w:val="-5"/>
        </w:rPr>
        <w:t xml:space="preserve"> </w:t>
      </w:r>
      <w:r>
        <w:t>el</w:t>
      </w:r>
      <w:r>
        <w:rPr>
          <w:spacing w:val="-5"/>
        </w:rPr>
        <w:t xml:space="preserve"> </w:t>
      </w:r>
      <w:r>
        <w:t>Movimiento</w:t>
      </w:r>
      <w:r>
        <w:rPr>
          <w:spacing w:val="-6"/>
        </w:rPr>
        <w:t xml:space="preserve"> </w:t>
      </w:r>
      <w:r>
        <w:t>de</w:t>
      </w:r>
      <w:r>
        <w:rPr>
          <w:spacing w:val="-4"/>
        </w:rPr>
        <w:t xml:space="preserve"> </w:t>
      </w:r>
      <w:r>
        <w:t>Izquierda</w:t>
      </w:r>
      <w:r>
        <w:rPr>
          <w:spacing w:val="-4"/>
        </w:rPr>
        <w:t xml:space="preserve"> </w:t>
      </w:r>
      <w:r>
        <w:t>Revolucionaria-Patria</w:t>
      </w:r>
      <w:r>
        <w:rPr>
          <w:spacing w:val="-6"/>
        </w:rPr>
        <w:t xml:space="preserve"> </w:t>
      </w:r>
      <w:r>
        <w:t>Libre</w:t>
      </w:r>
      <w:r>
        <w:rPr>
          <w:spacing w:val="-4"/>
        </w:rPr>
        <w:t xml:space="preserve"> </w:t>
      </w:r>
      <w:r>
        <w:t>(MIR-PL),</w:t>
      </w:r>
      <w:r>
        <w:rPr>
          <w:spacing w:val="-5"/>
        </w:rPr>
        <w:t xml:space="preserve"> </w:t>
      </w:r>
      <w:r>
        <w:t>nunca</w:t>
      </w:r>
      <w:r>
        <w:rPr>
          <w:spacing w:val="-4"/>
        </w:rPr>
        <w:t xml:space="preserve"> </w:t>
      </w:r>
      <w:r>
        <w:t>acudió</w:t>
      </w:r>
      <w:r>
        <w:rPr>
          <w:spacing w:val="-5"/>
        </w:rPr>
        <w:t xml:space="preserve"> </w:t>
      </w:r>
      <w:r>
        <w:t>a la</w:t>
      </w:r>
      <w:r>
        <w:rPr>
          <w:spacing w:val="-11"/>
        </w:rPr>
        <w:t xml:space="preserve"> </w:t>
      </w:r>
      <w:r>
        <w:t>paz.</w:t>
      </w:r>
      <w:r>
        <w:rPr>
          <w:spacing w:val="-11"/>
        </w:rPr>
        <w:t xml:space="preserve"> </w:t>
      </w:r>
      <w:r>
        <w:t>Estas</w:t>
      </w:r>
      <w:r>
        <w:rPr>
          <w:spacing w:val="-12"/>
        </w:rPr>
        <w:t xml:space="preserve"> </w:t>
      </w:r>
      <w:r>
        <w:t>guerrillas</w:t>
      </w:r>
      <w:r>
        <w:rPr>
          <w:spacing w:val="-11"/>
        </w:rPr>
        <w:t xml:space="preserve"> </w:t>
      </w:r>
      <w:r>
        <w:t>se</w:t>
      </w:r>
      <w:r>
        <w:rPr>
          <w:spacing w:val="-12"/>
        </w:rPr>
        <w:t xml:space="preserve"> </w:t>
      </w:r>
      <w:r>
        <w:t>unieron</w:t>
      </w:r>
      <w:r>
        <w:rPr>
          <w:spacing w:val="-11"/>
        </w:rPr>
        <w:t xml:space="preserve"> </w:t>
      </w:r>
      <w:r>
        <w:t>para</w:t>
      </w:r>
      <w:r>
        <w:rPr>
          <w:spacing w:val="-11"/>
        </w:rPr>
        <w:t xml:space="preserve"> </w:t>
      </w:r>
      <w:r>
        <w:t>impulsar</w:t>
      </w:r>
      <w:r>
        <w:rPr>
          <w:spacing w:val="-10"/>
        </w:rPr>
        <w:t xml:space="preserve"> </w:t>
      </w:r>
      <w:r>
        <w:t>la</w:t>
      </w:r>
      <w:r>
        <w:rPr>
          <w:spacing w:val="-12"/>
        </w:rPr>
        <w:t xml:space="preserve"> </w:t>
      </w:r>
      <w:r>
        <w:t>lucha</w:t>
      </w:r>
      <w:r>
        <w:rPr>
          <w:spacing w:val="-11"/>
        </w:rPr>
        <w:t xml:space="preserve"> </w:t>
      </w:r>
      <w:r>
        <w:t>social</w:t>
      </w:r>
      <w:r>
        <w:rPr>
          <w:spacing w:val="-12"/>
        </w:rPr>
        <w:t xml:space="preserve"> </w:t>
      </w:r>
      <w:r>
        <w:t>y</w:t>
      </w:r>
      <w:r>
        <w:rPr>
          <w:spacing w:val="-11"/>
        </w:rPr>
        <w:t xml:space="preserve"> </w:t>
      </w:r>
      <w:r>
        <w:t>política</w:t>
      </w:r>
      <w:r>
        <w:rPr>
          <w:spacing w:val="-11"/>
        </w:rPr>
        <w:t xml:space="preserve"> </w:t>
      </w:r>
      <w:r>
        <w:t>«extrainstitucional» y</w:t>
      </w:r>
      <w:r>
        <w:rPr>
          <w:spacing w:val="-3"/>
        </w:rPr>
        <w:t xml:space="preserve"> </w:t>
      </w:r>
      <w:r>
        <w:t>crear</w:t>
      </w:r>
      <w:r>
        <w:rPr>
          <w:spacing w:val="-2"/>
        </w:rPr>
        <w:t xml:space="preserve"> </w:t>
      </w:r>
      <w:r>
        <w:t>un</w:t>
      </w:r>
      <w:r>
        <w:rPr>
          <w:spacing w:val="-3"/>
        </w:rPr>
        <w:t xml:space="preserve"> </w:t>
      </w:r>
      <w:r>
        <w:t>poder</w:t>
      </w:r>
      <w:r>
        <w:rPr>
          <w:spacing w:val="-2"/>
        </w:rPr>
        <w:t xml:space="preserve"> </w:t>
      </w:r>
      <w:r>
        <w:t>alterno</w:t>
      </w:r>
      <w:r>
        <w:rPr>
          <w:spacing w:val="-3"/>
        </w:rPr>
        <w:t xml:space="preserve"> </w:t>
      </w:r>
      <w:r>
        <w:t>o</w:t>
      </w:r>
      <w:r>
        <w:rPr>
          <w:spacing w:val="-3"/>
        </w:rPr>
        <w:t xml:space="preserve"> </w:t>
      </w:r>
      <w:r>
        <w:t>popular</w:t>
      </w:r>
      <w:r w:rsidR="00B02229">
        <w:rPr>
          <w:rStyle w:val="Refdenotaalpie"/>
        </w:rPr>
        <w:footnoteReference w:id="73"/>
      </w:r>
      <w:r>
        <w:t>.</w:t>
      </w:r>
      <w:r>
        <w:rPr>
          <w:spacing w:val="-3"/>
        </w:rPr>
        <w:t xml:space="preserve"> </w:t>
      </w:r>
      <w:r>
        <w:t>El</w:t>
      </w:r>
      <w:r>
        <w:rPr>
          <w:spacing w:val="-2"/>
        </w:rPr>
        <w:t xml:space="preserve"> </w:t>
      </w:r>
      <w:r>
        <w:t>M-19</w:t>
      </w:r>
      <w:r>
        <w:rPr>
          <w:spacing w:val="-3"/>
        </w:rPr>
        <w:t xml:space="preserve"> </w:t>
      </w:r>
      <w:r>
        <w:t>tuvo</w:t>
      </w:r>
      <w:r>
        <w:rPr>
          <w:spacing w:val="-3"/>
        </w:rPr>
        <w:t xml:space="preserve"> </w:t>
      </w:r>
      <w:r>
        <w:t>una</w:t>
      </w:r>
      <w:r>
        <w:rPr>
          <w:spacing w:val="-2"/>
        </w:rPr>
        <w:t xml:space="preserve"> </w:t>
      </w:r>
      <w:r>
        <w:t>postura</w:t>
      </w:r>
      <w:r>
        <w:rPr>
          <w:spacing w:val="-4"/>
        </w:rPr>
        <w:t xml:space="preserve"> </w:t>
      </w:r>
      <w:r>
        <w:t>ambigua:</w:t>
      </w:r>
      <w:r>
        <w:rPr>
          <w:spacing w:val="-2"/>
        </w:rPr>
        <w:t xml:space="preserve"> </w:t>
      </w:r>
      <w:r>
        <w:t>por</w:t>
      </w:r>
      <w:r>
        <w:rPr>
          <w:spacing w:val="-2"/>
        </w:rPr>
        <w:t xml:space="preserve"> </w:t>
      </w:r>
      <w:r>
        <w:t>un</w:t>
      </w:r>
      <w:r>
        <w:rPr>
          <w:spacing w:val="-3"/>
        </w:rPr>
        <w:t xml:space="preserve"> </w:t>
      </w:r>
      <w:r>
        <w:t>lado,</w:t>
      </w:r>
      <w:r>
        <w:rPr>
          <w:spacing w:val="-3"/>
        </w:rPr>
        <w:t xml:space="preserve"> </w:t>
      </w:r>
      <w:r>
        <w:t>estaba con el diálogo nacional y la paz, y, por otro, crecía militarmente y compraba armas al por mayor.</w:t>
      </w:r>
      <w:r>
        <w:rPr>
          <w:spacing w:val="-6"/>
        </w:rPr>
        <w:t xml:space="preserve"> </w:t>
      </w:r>
      <w:r>
        <w:t>El</w:t>
      </w:r>
      <w:r>
        <w:rPr>
          <w:spacing w:val="-5"/>
        </w:rPr>
        <w:t xml:space="preserve"> </w:t>
      </w:r>
      <w:r>
        <w:t>EPL</w:t>
      </w:r>
      <w:r>
        <w:rPr>
          <w:spacing w:val="-6"/>
        </w:rPr>
        <w:t xml:space="preserve"> </w:t>
      </w:r>
      <w:r>
        <w:t>y</w:t>
      </w:r>
      <w:r>
        <w:rPr>
          <w:spacing w:val="-6"/>
        </w:rPr>
        <w:t xml:space="preserve"> </w:t>
      </w:r>
      <w:r>
        <w:t>las</w:t>
      </w:r>
      <w:r>
        <w:rPr>
          <w:spacing w:val="-6"/>
        </w:rPr>
        <w:t xml:space="preserve"> </w:t>
      </w:r>
      <w:r>
        <w:t>FARC-EP</w:t>
      </w:r>
      <w:r>
        <w:rPr>
          <w:spacing w:val="-6"/>
        </w:rPr>
        <w:t xml:space="preserve"> </w:t>
      </w:r>
      <w:r>
        <w:t>adoptaron</w:t>
      </w:r>
      <w:r>
        <w:rPr>
          <w:spacing w:val="-6"/>
        </w:rPr>
        <w:t xml:space="preserve"> </w:t>
      </w:r>
      <w:r>
        <w:t>posiciones</w:t>
      </w:r>
      <w:r>
        <w:rPr>
          <w:spacing w:val="-6"/>
        </w:rPr>
        <w:t xml:space="preserve"> </w:t>
      </w:r>
      <w:r>
        <w:t>similares.</w:t>
      </w:r>
      <w:r>
        <w:rPr>
          <w:spacing w:val="-6"/>
        </w:rPr>
        <w:t xml:space="preserve"> </w:t>
      </w:r>
      <w:r>
        <w:t>El</w:t>
      </w:r>
      <w:r>
        <w:rPr>
          <w:spacing w:val="-5"/>
        </w:rPr>
        <w:t xml:space="preserve"> </w:t>
      </w:r>
      <w:r>
        <w:t>EPL</w:t>
      </w:r>
      <w:r>
        <w:rPr>
          <w:spacing w:val="-6"/>
        </w:rPr>
        <w:t xml:space="preserve"> </w:t>
      </w:r>
      <w:r>
        <w:t>aprovechó</w:t>
      </w:r>
      <w:r>
        <w:rPr>
          <w:spacing w:val="-6"/>
        </w:rPr>
        <w:t xml:space="preserve"> </w:t>
      </w:r>
      <w:r>
        <w:t>la</w:t>
      </w:r>
      <w:r>
        <w:rPr>
          <w:spacing w:val="-7"/>
        </w:rPr>
        <w:t xml:space="preserve"> </w:t>
      </w:r>
      <w:r>
        <w:t>ventaja política</w:t>
      </w:r>
      <w:r>
        <w:rPr>
          <w:spacing w:val="-1"/>
        </w:rPr>
        <w:t xml:space="preserve"> </w:t>
      </w:r>
      <w:r>
        <w:t>del</w:t>
      </w:r>
      <w:r>
        <w:rPr>
          <w:spacing w:val="-1"/>
        </w:rPr>
        <w:t xml:space="preserve"> </w:t>
      </w:r>
      <w:r>
        <w:t>proceso</w:t>
      </w:r>
      <w:r>
        <w:rPr>
          <w:spacing w:val="-1"/>
        </w:rPr>
        <w:t xml:space="preserve"> </w:t>
      </w:r>
      <w:r>
        <w:t>sin</w:t>
      </w:r>
      <w:r>
        <w:rPr>
          <w:spacing w:val="-2"/>
        </w:rPr>
        <w:t xml:space="preserve"> </w:t>
      </w:r>
      <w:r>
        <w:t>abandonar</w:t>
      </w:r>
      <w:r>
        <w:rPr>
          <w:spacing w:val="-1"/>
        </w:rPr>
        <w:t xml:space="preserve"> </w:t>
      </w:r>
      <w:r>
        <w:t>la</w:t>
      </w:r>
      <w:r>
        <w:rPr>
          <w:spacing w:val="-1"/>
        </w:rPr>
        <w:t xml:space="preserve"> </w:t>
      </w:r>
      <w:r>
        <w:t>aspiración</w:t>
      </w:r>
      <w:r>
        <w:rPr>
          <w:spacing w:val="-2"/>
        </w:rPr>
        <w:t xml:space="preserve"> </w:t>
      </w:r>
      <w:r>
        <w:t>de</w:t>
      </w:r>
      <w:r>
        <w:rPr>
          <w:spacing w:val="-1"/>
        </w:rPr>
        <w:t xml:space="preserve"> </w:t>
      </w:r>
      <w:r>
        <w:t>imponerse</w:t>
      </w:r>
      <w:r>
        <w:rPr>
          <w:spacing w:val="-1"/>
        </w:rPr>
        <w:t xml:space="preserve"> </w:t>
      </w:r>
      <w:r>
        <w:t>por</w:t>
      </w:r>
      <w:r>
        <w:rPr>
          <w:spacing w:val="-1"/>
        </w:rPr>
        <w:t xml:space="preserve"> </w:t>
      </w:r>
      <w:r>
        <w:t>las</w:t>
      </w:r>
      <w:r>
        <w:rPr>
          <w:spacing w:val="-1"/>
        </w:rPr>
        <w:t xml:space="preserve"> </w:t>
      </w:r>
      <w:r>
        <w:t>armas.</w:t>
      </w:r>
      <w:r>
        <w:rPr>
          <w:spacing w:val="-1"/>
        </w:rPr>
        <w:t xml:space="preserve"> </w:t>
      </w:r>
      <w:r>
        <w:t>Las</w:t>
      </w:r>
      <w:r>
        <w:rPr>
          <w:spacing w:val="-1"/>
        </w:rPr>
        <w:t xml:space="preserve"> </w:t>
      </w:r>
      <w:r>
        <w:t>FARC-EP, por</w:t>
      </w:r>
      <w:r>
        <w:rPr>
          <w:spacing w:val="-4"/>
        </w:rPr>
        <w:t xml:space="preserve"> </w:t>
      </w:r>
      <w:r>
        <w:t>su</w:t>
      </w:r>
      <w:r>
        <w:rPr>
          <w:spacing w:val="-5"/>
        </w:rPr>
        <w:t xml:space="preserve"> </w:t>
      </w:r>
      <w:r>
        <w:t>parte,</w:t>
      </w:r>
      <w:r>
        <w:rPr>
          <w:spacing w:val="-6"/>
        </w:rPr>
        <w:t xml:space="preserve"> </w:t>
      </w:r>
      <w:r>
        <w:t>aunque</w:t>
      </w:r>
      <w:r>
        <w:rPr>
          <w:spacing w:val="-5"/>
        </w:rPr>
        <w:t xml:space="preserve"> </w:t>
      </w:r>
      <w:r>
        <w:t>estuvieron</w:t>
      </w:r>
      <w:r>
        <w:rPr>
          <w:spacing w:val="-5"/>
        </w:rPr>
        <w:t xml:space="preserve"> </w:t>
      </w:r>
      <w:r>
        <w:t>más</w:t>
      </w:r>
      <w:r>
        <w:rPr>
          <w:spacing w:val="-5"/>
        </w:rPr>
        <w:t xml:space="preserve"> </w:t>
      </w:r>
      <w:r>
        <w:t>cerca</w:t>
      </w:r>
      <w:r>
        <w:rPr>
          <w:spacing w:val="-5"/>
        </w:rPr>
        <w:t xml:space="preserve"> </w:t>
      </w:r>
      <w:r>
        <w:t>de</w:t>
      </w:r>
      <w:r>
        <w:rPr>
          <w:spacing w:val="-5"/>
        </w:rPr>
        <w:t xml:space="preserve"> </w:t>
      </w:r>
      <w:r>
        <w:t>llegar</w:t>
      </w:r>
      <w:r>
        <w:rPr>
          <w:spacing w:val="-4"/>
        </w:rPr>
        <w:t xml:space="preserve"> </w:t>
      </w:r>
      <w:r>
        <w:t>a</w:t>
      </w:r>
      <w:r>
        <w:rPr>
          <w:spacing w:val="-5"/>
        </w:rPr>
        <w:t xml:space="preserve"> </w:t>
      </w:r>
      <w:r>
        <w:t>un</w:t>
      </w:r>
      <w:r>
        <w:rPr>
          <w:spacing w:val="-5"/>
        </w:rPr>
        <w:t xml:space="preserve"> </w:t>
      </w:r>
      <w:r>
        <w:t>acuerdo,</w:t>
      </w:r>
      <w:r>
        <w:rPr>
          <w:spacing w:val="-5"/>
        </w:rPr>
        <w:t xml:space="preserve"> </w:t>
      </w:r>
      <w:r>
        <w:t>en</w:t>
      </w:r>
      <w:r>
        <w:rPr>
          <w:spacing w:val="-5"/>
        </w:rPr>
        <w:t xml:space="preserve"> </w:t>
      </w:r>
      <w:r>
        <w:t>la</w:t>
      </w:r>
      <w:r>
        <w:rPr>
          <w:spacing w:val="-5"/>
        </w:rPr>
        <w:t xml:space="preserve"> </w:t>
      </w:r>
      <w:r>
        <w:t>práctica</w:t>
      </w:r>
      <w:r>
        <w:rPr>
          <w:spacing w:val="-5"/>
        </w:rPr>
        <w:t xml:space="preserve"> </w:t>
      </w:r>
      <w:r>
        <w:t>mantuvieron vigente su plan de tomar el poder por las armas.</w:t>
      </w:r>
    </w:p>
    <w:p w:rsidR="003804AC" w:rsidRDefault="00AF18A5" w:rsidP="00B02229">
      <w:bookmarkStart w:id="134" w:name="_bookmark81"/>
      <w:bookmarkStart w:id="135" w:name="_bookmark82"/>
      <w:bookmarkEnd w:id="134"/>
      <w:bookmarkEnd w:id="135"/>
      <w:r>
        <w:t>En 1984, el Gobierno y las FARC-EP firmaron el Acuerdo de La Uribe con el que se le dio</w:t>
      </w:r>
      <w:r>
        <w:rPr>
          <w:spacing w:val="-6"/>
        </w:rPr>
        <w:t xml:space="preserve"> </w:t>
      </w:r>
      <w:r>
        <w:t>vía</w:t>
      </w:r>
      <w:r>
        <w:rPr>
          <w:spacing w:val="-6"/>
        </w:rPr>
        <w:t xml:space="preserve"> </w:t>
      </w:r>
      <w:r>
        <w:t>libre</w:t>
      </w:r>
      <w:r>
        <w:rPr>
          <w:spacing w:val="-7"/>
        </w:rPr>
        <w:t xml:space="preserve"> </w:t>
      </w:r>
      <w:r>
        <w:t>a</w:t>
      </w:r>
      <w:r>
        <w:rPr>
          <w:spacing w:val="-6"/>
        </w:rPr>
        <w:t xml:space="preserve"> </w:t>
      </w:r>
      <w:r>
        <w:t>la</w:t>
      </w:r>
      <w:r>
        <w:rPr>
          <w:spacing w:val="-6"/>
        </w:rPr>
        <w:t xml:space="preserve"> </w:t>
      </w:r>
      <w:r>
        <w:t>creación</w:t>
      </w:r>
      <w:r>
        <w:rPr>
          <w:spacing w:val="-7"/>
        </w:rPr>
        <w:t xml:space="preserve"> </w:t>
      </w:r>
      <w:r>
        <w:t>de</w:t>
      </w:r>
      <w:r>
        <w:rPr>
          <w:spacing w:val="-6"/>
        </w:rPr>
        <w:t xml:space="preserve"> </w:t>
      </w:r>
      <w:r>
        <w:t>la</w:t>
      </w:r>
      <w:r>
        <w:rPr>
          <w:spacing w:val="-6"/>
        </w:rPr>
        <w:t xml:space="preserve"> </w:t>
      </w:r>
      <w:r>
        <w:t>UP</w:t>
      </w:r>
      <w:r>
        <w:rPr>
          <w:spacing w:val="-6"/>
        </w:rPr>
        <w:t xml:space="preserve"> </w:t>
      </w:r>
      <w:r>
        <w:t>como</w:t>
      </w:r>
      <w:r>
        <w:rPr>
          <w:spacing w:val="-6"/>
        </w:rPr>
        <w:t xml:space="preserve"> </w:t>
      </w:r>
      <w:r>
        <w:t>una</w:t>
      </w:r>
      <w:r>
        <w:rPr>
          <w:spacing w:val="-6"/>
        </w:rPr>
        <w:t xml:space="preserve"> </w:t>
      </w:r>
      <w:r>
        <w:t>opción</w:t>
      </w:r>
      <w:r>
        <w:rPr>
          <w:spacing w:val="-6"/>
        </w:rPr>
        <w:t xml:space="preserve"> </w:t>
      </w:r>
      <w:r>
        <w:t>legal</w:t>
      </w:r>
      <w:r>
        <w:rPr>
          <w:spacing w:val="-6"/>
        </w:rPr>
        <w:t xml:space="preserve"> </w:t>
      </w:r>
      <w:r>
        <w:t>en</w:t>
      </w:r>
      <w:r>
        <w:rPr>
          <w:spacing w:val="-6"/>
        </w:rPr>
        <w:t xml:space="preserve"> </w:t>
      </w:r>
      <w:r>
        <w:t>la</w:t>
      </w:r>
      <w:r>
        <w:rPr>
          <w:spacing w:val="-6"/>
        </w:rPr>
        <w:t xml:space="preserve"> </w:t>
      </w:r>
      <w:r>
        <w:t>política</w:t>
      </w:r>
      <w:r>
        <w:rPr>
          <w:spacing w:val="-6"/>
        </w:rPr>
        <w:t xml:space="preserve"> </w:t>
      </w:r>
      <w:r>
        <w:t>para</w:t>
      </w:r>
      <w:r>
        <w:rPr>
          <w:spacing w:val="-6"/>
        </w:rPr>
        <w:t xml:space="preserve"> </w:t>
      </w:r>
      <w:r>
        <w:t>los</w:t>
      </w:r>
      <w:r>
        <w:rPr>
          <w:spacing w:val="-6"/>
        </w:rPr>
        <w:t xml:space="preserve"> </w:t>
      </w:r>
      <w:r>
        <w:t xml:space="preserve">guerrilleros. Esta se fundó como un instrumento para la paz y evidenció un momento donde primó la confianza. El supuesto </w:t>
      </w:r>
      <w:r>
        <w:lastRenderedPageBreak/>
        <w:t>básico de la paz de Betancur era que,</w:t>
      </w:r>
      <w:r>
        <w:rPr>
          <w:spacing w:val="-1"/>
        </w:rPr>
        <w:t xml:space="preserve"> </w:t>
      </w:r>
      <w:r>
        <w:t>si la UP encontraba un espacio en la democracia, no habría motivos para que los insurgentes siguieran en el monte.</w:t>
      </w:r>
    </w:p>
    <w:p w:rsidR="003804AC" w:rsidRDefault="00AF18A5" w:rsidP="00510926">
      <w:r>
        <w:t>La idea no alcanzó a probarse. Apenas los primeros congresistas del partido fueron elegidos,</w:t>
      </w:r>
      <w:r>
        <w:rPr>
          <w:spacing w:val="-14"/>
        </w:rPr>
        <w:t xml:space="preserve"> </w:t>
      </w:r>
      <w:r>
        <w:t>comenzaron</w:t>
      </w:r>
      <w:r>
        <w:rPr>
          <w:spacing w:val="-14"/>
        </w:rPr>
        <w:t xml:space="preserve"> </w:t>
      </w:r>
      <w:r>
        <w:t>a</w:t>
      </w:r>
      <w:r>
        <w:rPr>
          <w:spacing w:val="-15"/>
        </w:rPr>
        <w:t xml:space="preserve"> </w:t>
      </w:r>
      <w:r>
        <w:t>ser</w:t>
      </w:r>
      <w:r>
        <w:rPr>
          <w:spacing w:val="-15"/>
        </w:rPr>
        <w:t xml:space="preserve"> </w:t>
      </w:r>
      <w:r>
        <w:t>asesinados</w:t>
      </w:r>
      <w:r>
        <w:rPr>
          <w:spacing w:val="-14"/>
        </w:rPr>
        <w:t xml:space="preserve"> </w:t>
      </w:r>
      <w:r>
        <w:t>en</w:t>
      </w:r>
      <w:r>
        <w:rPr>
          <w:spacing w:val="-14"/>
        </w:rPr>
        <w:t xml:space="preserve"> </w:t>
      </w:r>
      <w:r>
        <w:t>un</w:t>
      </w:r>
      <w:r>
        <w:rPr>
          <w:spacing w:val="-15"/>
        </w:rPr>
        <w:t xml:space="preserve"> </w:t>
      </w:r>
      <w:r>
        <w:t>exterminio</w:t>
      </w:r>
      <w:r>
        <w:rPr>
          <w:spacing w:val="-14"/>
        </w:rPr>
        <w:t xml:space="preserve"> </w:t>
      </w:r>
      <w:r>
        <w:t>político</w:t>
      </w:r>
      <w:r>
        <w:rPr>
          <w:spacing w:val="-14"/>
        </w:rPr>
        <w:t xml:space="preserve"> </w:t>
      </w:r>
      <w:r>
        <w:t>que</w:t>
      </w:r>
      <w:r>
        <w:rPr>
          <w:spacing w:val="-14"/>
        </w:rPr>
        <w:t xml:space="preserve"> </w:t>
      </w:r>
      <w:r>
        <w:t>duró</w:t>
      </w:r>
      <w:r>
        <w:rPr>
          <w:spacing w:val="-15"/>
        </w:rPr>
        <w:t xml:space="preserve"> </w:t>
      </w:r>
      <w:r>
        <w:t>más</w:t>
      </w:r>
      <w:r>
        <w:rPr>
          <w:spacing w:val="-14"/>
        </w:rPr>
        <w:t xml:space="preserve"> </w:t>
      </w:r>
      <w:r>
        <w:t>de</w:t>
      </w:r>
      <w:r>
        <w:rPr>
          <w:spacing w:val="-14"/>
        </w:rPr>
        <w:t xml:space="preserve"> </w:t>
      </w:r>
      <w:r>
        <w:t>una</w:t>
      </w:r>
      <w:r>
        <w:rPr>
          <w:spacing w:val="-15"/>
        </w:rPr>
        <w:t xml:space="preserve"> </w:t>
      </w:r>
      <w:r>
        <w:t>década. Entre tanto, las FARC-EP aprovecharon el tiempo posterior al acuerdo para hacer proselitismo político y duplicar sus frentes en armas, apuntalados con los dineros obtenidos de los impuestos a los cultivos de coca en estos</w:t>
      </w:r>
      <w:r>
        <w:rPr>
          <w:spacing w:val="-1"/>
        </w:rPr>
        <w:t xml:space="preserve"> </w:t>
      </w:r>
      <w:r>
        <w:t xml:space="preserve">años, y en otros eslabones de la cadena más </w:t>
      </w:r>
      <w:r>
        <w:rPr>
          <w:spacing w:val="-2"/>
        </w:rPr>
        <w:t>adelante.</w:t>
      </w:r>
    </w:p>
    <w:p w:rsidR="003804AC" w:rsidRDefault="00AF18A5" w:rsidP="00510926">
      <w:r>
        <w:t>En ambos casos –Gobierno y guerrilla– hubo algo de ingenuidad y también de traición. Así como las FARC-EP incrementaron sus capacidades de combate durante la tregua, el gobierno de Betancur no contuvo las acciones de la fuerza pública, los organismos de inteligencia o los paramilitares del MAS, a pesar de que su composición quedó develada públicamente desde 1983</w:t>
      </w:r>
      <w:r w:rsidR="00510926">
        <w:rPr>
          <w:rStyle w:val="Refdenotaalpie"/>
        </w:rPr>
        <w:footnoteReference w:id="74"/>
      </w:r>
      <w:r>
        <w:t xml:space="preserve"> cuando el procurador general de la nación reveló la lista de 163 personas, de las cuales 59 eran militares. La guerra sucia fue un factor –no el único– que impidió en ese momento la entrada a la democracia de los grupos en armas que percibieron en</w:t>
      </w:r>
      <w:r>
        <w:rPr>
          <w:spacing w:val="-5"/>
        </w:rPr>
        <w:t xml:space="preserve"> </w:t>
      </w:r>
      <w:r>
        <w:t>este</w:t>
      </w:r>
      <w:r>
        <w:rPr>
          <w:spacing w:val="-5"/>
        </w:rPr>
        <w:t xml:space="preserve"> </w:t>
      </w:r>
      <w:r>
        <w:t>una</w:t>
      </w:r>
      <w:r>
        <w:rPr>
          <w:spacing w:val="-5"/>
        </w:rPr>
        <w:t xml:space="preserve"> </w:t>
      </w:r>
      <w:r>
        <w:t>reacción</w:t>
      </w:r>
      <w:r>
        <w:rPr>
          <w:spacing w:val="-5"/>
        </w:rPr>
        <w:t xml:space="preserve"> </w:t>
      </w:r>
      <w:r>
        <w:t>violenta</w:t>
      </w:r>
      <w:r>
        <w:rPr>
          <w:spacing w:val="-5"/>
        </w:rPr>
        <w:t xml:space="preserve"> </w:t>
      </w:r>
      <w:r>
        <w:t>al</w:t>
      </w:r>
      <w:r>
        <w:rPr>
          <w:spacing w:val="-4"/>
        </w:rPr>
        <w:t xml:space="preserve"> </w:t>
      </w:r>
      <w:r>
        <w:t>proceso.</w:t>
      </w:r>
      <w:r>
        <w:rPr>
          <w:spacing w:val="-5"/>
        </w:rPr>
        <w:t xml:space="preserve"> </w:t>
      </w:r>
      <w:r>
        <w:t>Las</w:t>
      </w:r>
      <w:r>
        <w:rPr>
          <w:spacing w:val="-5"/>
        </w:rPr>
        <w:t xml:space="preserve"> </w:t>
      </w:r>
      <w:r>
        <w:t>guerrillas</w:t>
      </w:r>
      <w:r>
        <w:rPr>
          <w:spacing w:val="-5"/>
        </w:rPr>
        <w:t xml:space="preserve"> </w:t>
      </w:r>
      <w:r>
        <w:t>tampoco</w:t>
      </w:r>
      <w:r>
        <w:rPr>
          <w:spacing w:val="-5"/>
        </w:rPr>
        <w:t xml:space="preserve"> </w:t>
      </w:r>
      <w:r>
        <w:t>habían</w:t>
      </w:r>
      <w:r>
        <w:rPr>
          <w:spacing w:val="-5"/>
        </w:rPr>
        <w:t xml:space="preserve"> </w:t>
      </w:r>
      <w:r>
        <w:t>incorporado</w:t>
      </w:r>
      <w:r>
        <w:rPr>
          <w:spacing w:val="-5"/>
        </w:rPr>
        <w:t xml:space="preserve"> </w:t>
      </w:r>
      <w:r>
        <w:t>la</w:t>
      </w:r>
      <w:r>
        <w:rPr>
          <w:spacing w:val="-6"/>
        </w:rPr>
        <w:t xml:space="preserve"> </w:t>
      </w:r>
      <w:r>
        <w:t>lucha democrática</w:t>
      </w:r>
      <w:r>
        <w:rPr>
          <w:spacing w:val="-3"/>
        </w:rPr>
        <w:t xml:space="preserve"> </w:t>
      </w:r>
      <w:r>
        <w:t>como</w:t>
      </w:r>
      <w:r>
        <w:rPr>
          <w:spacing w:val="-2"/>
        </w:rPr>
        <w:t xml:space="preserve"> </w:t>
      </w:r>
      <w:r>
        <w:t>su</w:t>
      </w:r>
      <w:r>
        <w:rPr>
          <w:spacing w:val="-2"/>
        </w:rPr>
        <w:t xml:space="preserve"> </w:t>
      </w:r>
      <w:r>
        <w:t>horizonte.</w:t>
      </w:r>
      <w:r>
        <w:rPr>
          <w:spacing w:val="-2"/>
        </w:rPr>
        <w:t xml:space="preserve"> </w:t>
      </w:r>
      <w:r>
        <w:t>Más</w:t>
      </w:r>
      <w:r>
        <w:rPr>
          <w:spacing w:val="-3"/>
        </w:rPr>
        <w:t xml:space="preserve"> </w:t>
      </w:r>
      <w:r>
        <w:t>bien</w:t>
      </w:r>
      <w:r>
        <w:rPr>
          <w:spacing w:val="-2"/>
        </w:rPr>
        <w:t xml:space="preserve"> </w:t>
      </w:r>
      <w:r>
        <w:t>libraban</w:t>
      </w:r>
      <w:r>
        <w:rPr>
          <w:spacing w:val="-2"/>
        </w:rPr>
        <w:t xml:space="preserve"> </w:t>
      </w:r>
      <w:r>
        <w:t>una</w:t>
      </w:r>
      <w:r>
        <w:rPr>
          <w:spacing w:val="-2"/>
        </w:rPr>
        <w:t xml:space="preserve"> </w:t>
      </w:r>
      <w:r>
        <w:t>lucha</w:t>
      </w:r>
      <w:r>
        <w:rPr>
          <w:spacing w:val="-3"/>
        </w:rPr>
        <w:t xml:space="preserve"> </w:t>
      </w:r>
      <w:r>
        <w:t>que</w:t>
      </w:r>
      <w:r>
        <w:rPr>
          <w:spacing w:val="-2"/>
        </w:rPr>
        <w:t xml:space="preserve"> </w:t>
      </w:r>
      <w:proofErr w:type="gramStart"/>
      <w:r>
        <w:t>les</w:t>
      </w:r>
      <w:proofErr w:type="gramEnd"/>
      <w:r>
        <w:rPr>
          <w:spacing w:val="-3"/>
        </w:rPr>
        <w:t xml:space="preserve"> </w:t>
      </w:r>
      <w:r>
        <w:t>llevara</w:t>
      </w:r>
      <w:r>
        <w:rPr>
          <w:spacing w:val="-2"/>
        </w:rPr>
        <w:t xml:space="preserve"> </w:t>
      </w:r>
      <w:r>
        <w:t>a</w:t>
      </w:r>
      <w:r>
        <w:rPr>
          <w:spacing w:val="-3"/>
        </w:rPr>
        <w:t xml:space="preserve"> </w:t>
      </w:r>
      <w:r>
        <w:t>la</w:t>
      </w:r>
      <w:r>
        <w:rPr>
          <w:spacing w:val="-2"/>
        </w:rPr>
        <w:t xml:space="preserve"> </w:t>
      </w:r>
      <w:r>
        <w:t>«toma»</w:t>
      </w:r>
      <w:r>
        <w:rPr>
          <w:spacing w:val="-2"/>
        </w:rPr>
        <w:t xml:space="preserve"> </w:t>
      </w:r>
      <w:r>
        <w:t>del poder</w:t>
      </w:r>
      <w:r>
        <w:rPr>
          <w:spacing w:val="-3"/>
        </w:rPr>
        <w:t xml:space="preserve"> </w:t>
      </w:r>
      <w:r>
        <w:t>político</w:t>
      </w:r>
      <w:r>
        <w:rPr>
          <w:spacing w:val="-4"/>
        </w:rPr>
        <w:t xml:space="preserve"> </w:t>
      </w:r>
      <w:r>
        <w:t>y</w:t>
      </w:r>
      <w:r>
        <w:rPr>
          <w:spacing w:val="-4"/>
        </w:rPr>
        <w:t xml:space="preserve"> </w:t>
      </w:r>
      <w:r>
        <w:t>la</w:t>
      </w:r>
      <w:r>
        <w:rPr>
          <w:spacing w:val="-3"/>
        </w:rPr>
        <w:t xml:space="preserve"> </w:t>
      </w:r>
      <w:r>
        <w:t>construcción</w:t>
      </w:r>
      <w:r>
        <w:rPr>
          <w:spacing w:val="-4"/>
        </w:rPr>
        <w:t xml:space="preserve"> </w:t>
      </w:r>
      <w:r>
        <w:t>de</w:t>
      </w:r>
      <w:r>
        <w:rPr>
          <w:spacing w:val="-3"/>
        </w:rPr>
        <w:t xml:space="preserve"> </w:t>
      </w:r>
      <w:r>
        <w:t>otro</w:t>
      </w:r>
      <w:r>
        <w:rPr>
          <w:spacing w:val="-4"/>
        </w:rPr>
        <w:t xml:space="preserve"> </w:t>
      </w:r>
      <w:r>
        <w:t>Estado</w:t>
      </w:r>
      <w:r>
        <w:rPr>
          <w:spacing w:val="-4"/>
        </w:rPr>
        <w:t xml:space="preserve"> </w:t>
      </w:r>
      <w:r>
        <w:t>y</w:t>
      </w:r>
      <w:r>
        <w:rPr>
          <w:spacing w:val="-5"/>
        </w:rPr>
        <w:t xml:space="preserve"> </w:t>
      </w:r>
      <w:r>
        <w:t>otro</w:t>
      </w:r>
      <w:r>
        <w:rPr>
          <w:spacing w:val="-4"/>
        </w:rPr>
        <w:t xml:space="preserve"> </w:t>
      </w:r>
      <w:r>
        <w:t>régimen</w:t>
      </w:r>
      <w:r>
        <w:rPr>
          <w:spacing w:val="-4"/>
        </w:rPr>
        <w:t xml:space="preserve"> </w:t>
      </w:r>
      <w:r>
        <w:t>político.</w:t>
      </w:r>
      <w:r>
        <w:rPr>
          <w:spacing w:val="-4"/>
        </w:rPr>
        <w:t xml:space="preserve"> </w:t>
      </w:r>
      <w:r>
        <w:t>Para</w:t>
      </w:r>
      <w:r>
        <w:rPr>
          <w:spacing w:val="-3"/>
        </w:rPr>
        <w:t xml:space="preserve"> </w:t>
      </w:r>
      <w:r>
        <w:t>todos</w:t>
      </w:r>
      <w:r>
        <w:rPr>
          <w:spacing w:val="-3"/>
        </w:rPr>
        <w:t xml:space="preserve"> </w:t>
      </w:r>
      <w:r>
        <w:t>los</w:t>
      </w:r>
      <w:r>
        <w:rPr>
          <w:spacing w:val="-5"/>
        </w:rPr>
        <w:t xml:space="preserve"> </w:t>
      </w:r>
      <w:r>
        <w:t xml:space="preserve">casos, el de la extrema derecha y la extrema izquierda, la combinación de armas y política resultó </w:t>
      </w:r>
      <w:r>
        <w:rPr>
          <w:spacing w:val="-2"/>
        </w:rPr>
        <w:t>nefasta.</w:t>
      </w:r>
    </w:p>
    <w:p w:rsidR="003804AC" w:rsidRDefault="00AF18A5" w:rsidP="00510926">
      <w:r>
        <w:lastRenderedPageBreak/>
        <w:t>Así pues, el presidente que había diseñado el proceso de paz con precisión de relojero y que quería adelantarse para evitar una guerra civil se fue quedando solo. Esa soledad o, incluso,</w:t>
      </w:r>
      <w:r>
        <w:rPr>
          <w:spacing w:val="39"/>
        </w:rPr>
        <w:t xml:space="preserve"> </w:t>
      </w:r>
      <w:r>
        <w:t>ausencia</w:t>
      </w:r>
      <w:r>
        <w:rPr>
          <w:spacing w:val="42"/>
        </w:rPr>
        <w:t xml:space="preserve"> </w:t>
      </w:r>
      <w:r>
        <w:t>de</w:t>
      </w:r>
      <w:r>
        <w:rPr>
          <w:spacing w:val="43"/>
        </w:rPr>
        <w:t xml:space="preserve"> </w:t>
      </w:r>
      <w:r>
        <w:t>poder</w:t>
      </w:r>
      <w:r>
        <w:rPr>
          <w:spacing w:val="43"/>
        </w:rPr>
        <w:t xml:space="preserve"> </w:t>
      </w:r>
      <w:r>
        <w:t>real</w:t>
      </w:r>
      <w:r>
        <w:rPr>
          <w:spacing w:val="42"/>
        </w:rPr>
        <w:t xml:space="preserve"> </w:t>
      </w:r>
      <w:r>
        <w:t>se</w:t>
      </w:r>
      <w:r>
        <w:rPr>
          <w:spacing w:val="41"/>
        </w:rPr>
        <w:t xml:space="preserve"> </w:t>
      </w:r>
      <w:r>
        <w:t>materializó</w:t>
      </w:r>
      <w:r>
        <w:rPr>
          <w:spacing w:val="42"/>
        </w:rPr>
        <w:t xml:space="preserve"> </w:t>
      </w:r>
      <w:r>
        <w:t>en</w:t>
      </w:r>
      <w:r>
        <w:rPr>
          <w:spacing w:val="42"/>
        </w:rPr>
        <w:t xml:space="preserve"> </w:t>
      </w:r>
      <w:r>
        <w:t>los</w:t>
      </w:r>
      <w:r>
        <w:rPr>
          <w:spacing w:val="42"/>
        </w:rPr>
        <w:t xml:space="preserve"> </w:t>
      </w:r>
      <w:r>
        <w:t>hechos</w:t>
      </w:r>
      <w:r>
        <w:rPr>
          <w:spacing w:val="43"/>
        </w:rPr>
        <w:t xml:space="preserve"> </w:t>
      </w:r>
      <w:r>
        <w:t>del</w:t>
      </w:r>
      <w:r>
        <w:rPr>
          <w:spacing w:val="42"/>
        </w:rPr>
        <w:t xml:space="preserve"> </w:t>
      </w:r>
      <w:r>
        <w:t>Palacio</w:t>
      </w:r>
      <w:r>
        <w:rPr>
          <w:spacing w:val="43"/>
        </w:rPr>
        <w:t xml:space="preserve"> </w:t>
      </w:r>
      <w:r>
        <w:t>de</w:t>
      </w:r>
      <w:r>
        <w:rPr>
          <w:spacing w:val="42"/>
        </w:rPr>
        <w:t xml:space="preserve"> </w:t>
      </w:r>
      <w:r>
        <w:t>Justicia.</w:t>
      </w:r>
      <w:r>
        <w:rPr>
          <w:spacing w:val="43"/>
        </w:rPr>
        <w:t xml:space="preserve"> </w:t>
      </w:r>
      <w:r>
        <w:rPr>
          <w:spacing w:val="-5"/>
        </w:rPr>
        <w:t>El</w:t>
      </w:r>
      <w:bookmarkStart w:id="136" w:name="_bookmark83"/>
      <w:bookmarkEnd w:id="136"/>
      <w:r w:rsidR="00510926">
        <w:rPr>
          <w:spacing w:val="-5"/>
        </w:rPr>
        <w:t xml:space="preserve"> </w:t>
      </w:r>
      <w:r>
        <w:t>despropósito del M-19 de hacerle un juicio a Betancur, arrasando con las Cortes, y el del Gobierno de no ceder ante la inminente necesidad de un diálogo, derivaron en el triunfo de la intransigencia. Las Fuerzas Armadas impusieron la retoma del Palacio así esta devastara las altas cortes del país, otro de los pilares del Estado. Más de 100 muertos y por lo menos once</w:t>
      </w:r>
      <w:r>
        <w:rPr>
          <w:spacing w:val="-6"/>
        </w:rPr>
        <w:t xml:space="preserve"> </w:t>
      </w:r>
      <w:r>
        <w:t>desaparecidos</w:t>
      </w:r>
      <w:r>
        <w:rPr>
          <w:spacing w:val="-7"/>
        </w:rPr>
        <w:t xml:space="preserve"> </w:t>
      </w:r>
      <w:r>
        <w:t>fueron</w:t>
      </w:r>
      <w:r>
        <w:rPr>
          <w:spacing w:val="-6"/>
        </w:rPr>
        <w:t xml:space="preserve"> </w:t>
      </w:r>
      <w:r>
        <w:t>el</w:t>
      </w:r>
      <w:r>
        <w:rPr>
          <w:spacing w:val="-6"/>
        </w:rPr>
        <w:t xml:space="preserve"> </w:t>
      </w:r>
      <w:r>
        <w:t>saldo</w:t>
      </w:r>
      <w:r>
        <w:rPr>
          <w:spacing w:val="-6"/>
        </w:rPr>
        <w:t xml:space="preserve"> </w:t>
      </w:r>
      <w:r>
        <w:t>atroz</w:t>
      </w:r>
      <w:r>
        <w:rPr>
          <w:spacing w:val="-6"/>
        </w:rPr>
        <w:t xml:space="preserve"> </w:t>
      </w:r>
      <w:r>
        <w:t>de</w:t>
      </w:r>
      <w:r>
        <w:rPr>
          <w:spacing w:val="-6"/>
        </w:rPr>
        <w:t xml:space="preserve"> </w:t>
      </w:r>
      <w:r>
        <w:t>esa</w:t>
      </w:r>
      <w:r>
        <w:rPr>
          <w:spacing w:val="-6"/>
        </w:rPr>
        <w:t xml:space="preserve"> </w:t>
      </w:r>
      <w:r>
        <w:t>decisión.</w:t>
      </w:r>
      <w:r>
        <w:rPr>
          <w:spacing w:val="-6"/>
        </w:rPr>
        <w:t xml:space="preserve"> </w:t>
      </w:r>
      <w:r>
        <w:t>Entre</w:t>
      </w:r>
      <w:r>
        <w:rPr>
          <w:spacing w:val="-6"/>
        </w:rPr>
        <w:t xml:space="preserve"> </w:t>
      </w:r>
      <w:r>
        <w:t>las</w:t>
      </w:r>
      <w:r>
        <w:rPr>
          <w:spacing w:val="-6"/>
        </w:rPr>
        <w:t xml:space="preserve"> </w:t>
      </w:r>
      <w:r>
        <w:t>cenizas</w:t>
      </w:r>
      <w:r>
        <w:rPr>
          <w:spacing w:val="-7"/>
        </w:rPr>
        <w:t xml:space="preserve"> </w:t>
      </w:r>
      <w:r>
        <w:t>del</w:t>
      </w:r>
      <w:r>
        <w:rPr>
          <w:spacing w:val="-6"/>
        </w:rPr>
        <w:t xml:space="preserve"> </w:t>
      </w:r>
      <w:r>
        <w:t>palacio</w:t>
      </w:r>
      <w:r>
        <w:rPr>
          <w:spacing w:val="-6"/>
        </w:rPr>
        <w:t xml:space="preserve"> </w:t>
      </w:r>
      <w:r>
        <w:t>quedó enterrada</w:t>
      </w:r>
      <w:r>
        <w:rPr>
          <w:spacing w:val="-7"/>
        </w:rPr>
        <w:t xml:space="preserve"> </w:t>
      </w:r>
      <w:r>
        <w:t>la</w:t>
      </w:r>
      <w:r>
        <w:rPr>
          <w:spacing w:val="-8"/>
        </w:rPr>
        <w:t xml:space="preserve"> </w:t>
      </w:r>
      <w:r>
        <w:t>posibilidad</w:t>
      </w:r>
      <w:r>
        <w:rPr>
          <w:spacing w:val="-8"/>
        </w:rPr>
        <w:t xml:space="preserve"> </w:t>
      </w:r>
      <w:r>
        <w:t>de</w:t>
      </w:r>
      <w:r>
        <w:rPr>
          <w:spacing w:val="-6"/>
        </w:rPr>
        <w:t xml:space="preserve"> </w:t>
      </w:r>
      <w:r>
        <w:t>una</w:t>
      </w:r>
      <w:r>
        <w:rPr>
          <w:spacing w:val="-6"/>
        </w:rPr>
        <w:t xml:space="preserve"> </w:t>
      </w:r>
      <w:r>
        <w:t>paz</w:t>
      </w:r>
      <w:r>
        <w:rPr>
          <w:spacing w:val="-7"/>
        </w:rPr>
        <w:t xml:space="preserve"> </w:t>
      </w:r>
      <w:r>
        <w:t>temprana,</w:t>
      </w:r>
      <w:r>
        <w:rPr>
          <w:spacing w:val="-6"/>
        </w:rPr>
        <w:t xml:space="preserve"> </w:t>
      </w:r>
      <w:r>
        <w:t>que</w:t>
      </w:r>
      <w:r>
        <w:rPr>
          <w:spacing w:val="-6"/>
        </w:rPr>
        <w:t xml:space="preserve"> </w:t>
      </w:r>
      <w:r>
        <w:t>le</w:t>
      </w:r>
      <w:r>
        <w:rPr>
          <w:spacing w:val="-7"/>
        </w:rPr>
        <w:t xml:space="preserve"> </w:t>
      </w:r>
      <w:r>
        <w:t>hubiese</w:t>
      </w:r>
      <w:r>
        <w:rPr>
          <w:spacing w:val="-7"/>
        </w:rPr>
        <w:t xml:space="preserve"> </w:t>
      </w:r>
      <w:r>
        <w:t>ahorrado</w:t>
      </w:r>
      <w:r>
        <w:rPr>
          <w:spacing w:val="-7"/>
        </w:rPr>
        <w:t xml:space="preserve"> </w:t>
      </w:r>
      <w:r>
        <w:t>a</w:t>
      </w:r>
      <w:r>
        <w:rPr>
          <w:spacing w:val="-8"/>
        </w:rPr>
        <w:t xml:space="preserve"> </w:t>
      </w:r>
      <w:r>
        <w:t>Colombia</w:t>
      </w:r>
      <w:r>
        <w:rPr>
          <w:spacing w:val="-7"/>
        </w:rPr>
        <w:t xml:space="preserve"> </w:t>
      </w:r>
      <w:r>
        <w:t>cientos</w:t>
      </w:r>
      <w:r>
        <w:rPr>
          <w:spacing w:val="-6"/>
        </w:rPr>
        <w:t xml:space="preserve"> </w:t>
      </w:r>
      <w:r>
        <w:t>de miles de muertes y sufrimiento.</w:t>
      </w:r>
    </w:p>
    <w:p w:rsidR="003804AC" w:rsidRDefault="00AF18A5" w:rsidP="00510926">
      <w:r>
        <w:t>El Palacio de Justicia cerró el espacio político de la paz. La guerra sucia arreció y se abrieron otros frentes de violencia como la guerra de un sector del narcotráfico contra el Estado</w:t>
      </w:r>
      <w:r>
        <w:rPr>
          <w:spacing w:val="-13"/>
        </w:rPr>
        <w:t xml:space="preserve"> </w:t>
      </w:r>
      <w:r>
        <w:t>y,</w:t>
      </w:r>
      <w:r>
        <w:rPr>
          <w:spacing w:val="-13"/>
        </w:rPr>
        <w:t xml:space="preserve"> </w:t>
      </w:r>
      <w:r>
        <w:t>en</w:t>
      </w:r>
      <w:r>
        <w:rPr>
          <w:spacing w:val="-13"/>
        </w:rPr>
        <w:t xml:space="preserve"> </w:t>
      </w:r>
      <w:r>
        <w:t>particular,</w:t>
      </w:r>
      <w:r>
        <w:rPr>
          <w:spacing w:val="-13"/>
        </w:rPr>
        <w:t xml:space="preserve"> </w:t>
      </w:r>
      <w:r>
        <w:t>contra</w:t>
      </w:r>
      <w:r>
        <w:rPr>
          <w:spacing w:val="-13"/>
        </w:rPr>
        <w:t xml:space="preserve"> </w:t>
      </w:r>
      <w:r>
        <w:t>la</w:t>
      </w:r>
      <w:r>
        <w:rPr>
          <w:spacing w:val="-13"/>
        </w:rPr>
        <w:t xml:space="preserve"> </w:t>
      </w:r>
      <w:r>
        <w:t>justicia.</w:t>
      </w:r>
      <w:r>
        <w:rPr>
          <w:spacing w:val="-13"/>
        </w:rPr>
        <w:t xml:space="preserve"> </w:t>
      </w:r>
      <w:r>
        <w:t>Durante</w:t>
      </w:r>
      <w:r>
        <w:rPr>
          <w:spacing w:val="-13"/>
        </w:rPr>
        <w:t xml:space="preserve"> </w:t>
      </w:r>
      <w:r>
        <w:t>el</w:t>
      </w:r>
      <w:r>
        <w:rPr>
          <w:spacing w:val="-13"/>
        </w:rPr>
        <w:t xml:space="preserve"> </w:t>
      </w:r>
      <w:r>
        <w:t>gobierno</w:t>
      </w:r>
      <w:r>
        <w:rPr>
          <w:spacing w:val="-13"/>
        </w:rPr>
        <w:t xml:space="preserve"> </w:t>
      </w:r>
      <w:r>
        <w:t>de</w:t>
      </w:r>
      <w:r>
        <w:rPr>
          <w:spacing w:val="-13"/>
        </w:rPr>
        <w:t xml:space="preserve"> </w:t>
      </w:r>
      <w:r>
        <w:t>Virgilio</w:t>
      </w:r>
      <w:r>
        <w:rPr>
          <w:spacing w:val="-13"/>
        </w:rPr>
        <w:t xml:space="preserve"> </w:t>
      </w:r>
      <w:r>
        <w:t>Barco</w:t>
      </w:r>
      <w:r>
        <w:rPr>
          <w:spacing w:val="-13"/>
        </w:rPr>
        <w:t xml:space="preserve"> </w:t>
      </w:r>
      <w:r>
        <w:t>(1986-1990), era</w:t>
      </w:r>
      <w:r>
        <w:rPr>
          <w:spacing w:val="-7"/>
        </w:rPr>
        <w:t xml:space="preserve"> </w:t>
      </w:r>
      <w:r>
        <w:t>evidente</w:t>
      </w:r>
      <w:r>
        <w:rPr>
          <w:spacing w:val="-8"/>
        </w:rPr>
        <w:t xml:space="preserve"> </w:t>
      </w:r>
      <w:r>
        <w:t>que</w:t>
      </w:r>
      <w:r>
        <w:rPr>
          <w:spacing w:val="-7"/>
        </w:rPr>
        <w:t xml:space="preserve"> </w:t>
      </w:r>
      <w:r>
        <w:t>la</w:t>
      </w:r>
      <w:r>
        <w:rPr>
          <w:spacing w:val="-7"/>
        </w:rPr>
        <w:t xml:space="preserve"> </w:t>
      </w:r>
      <w:r>
        <w:t>violencia</w:t>
      </w:r>
      <w:r>
        <w:rPr>
          <w:spacing w:val="-7"/>
        </w:rPr>
        <w:t xml:space="preserve"> </w:t>
      </w:r>
      <w:r>
        <w:t>(no</w:t>
      </w:r>
      <w:r>
        <w:rPr>
          <w:spacing w:val="-7"/>
        </w:rPr>
        <w:t xml:space="preserve"> </w:t>
      </w:r>
      <w:r>
        <w:t>solo</w:t>
      </w:r>
      <w:r>
        <w:rPr>
          <w:spacing w:val="-7"/>
        </w:rPr>
        <w:t xml:space="preserve"> </w:t>
      </w:r>
      <w:r>
        <w:t>la</w:t>
      </w:r>
      <w:r>
        <w:rPr>
          <w:spacing w:val="-7"/>
        </w:rPr>
        <w:t xml:space="preserve"> </w:t>
      </w:r>
      <w:r>
        <w:t>guerra)</w:t>
      </w:r>
      <w:r>
        <w:rPr>
          <w:spacing w:val="-8"/>
        </w:rPr>
        <w:t xml:space="preserve"> </w:t>
      </w:r>
      <w:r>
        <w:t>era</w:t>
      </w:r>
      <w:r>
        <w:rPr>
          <w:spacing w:val="-7"/>
        </w:rPr>
        <w:t xml:space="preserve"> </w:t>
      </w:r>
      <w:r>
        <w:t>el</w:t>
      </w:r>
      <w:r>
        <w:rPr>
          <w:spacing w:val="-7"/>
        </w:rPr>
        <w:t xml:space="preserve"> </w:t>
      </w:r>
      <w:r>
        <w:t>mayor</w:t>
      </w:r>
      <w:r>
        <w:rPr>
          <w:spacing w:val="-8"/>
        </w:rPr>
        <w:t xml:space="preserve"> </w:t>
      </w:r>
      <w:r>
        <w:t>mal</w:t>
      </w:r>
      <w:r>
        <w:rPr>
          <w:spacing w:val="-7"/>
        </w:rPr>
        <w:t xml:space="preserve"> </w:t>
      </w:r>
      <w:r>
        <w:t>de</w:t>
      </w:r>
      <w:r>
        <w:rPr>
          <w:spacing w:val="-7"/>
        </w:rPr>
        <w:t xml:space="preserve"> </w:t>
      </w:r>
      <w:r>
        <w:t>la</w:t>
      </w:r>
      <w:r>
        <w:rPr>
          <w:spacing w:val="-7"/>
        </w:rPr>
        <w:t xml:space="preserve"> </w:t>
      </w:r>
      <w:r>
        <w:t>sociedad</w:t>
      </w:r>
      <w:r>
        <w:rPr>
          <w:spacing w:val="-7"/>
        </w:rPr>
        <w:t xml:space="preserve"> </w:t>
      </w:r>
      <w:r>
        <w:t>colombiana. Por esto, poco a poco se fue construyendo un consenso alrededor de que era necesaria una mayor democratización como antídoto contra ella</w:t>
      </w:r>
      <w:r w:rsidR="00510926">
        <w:rPr>
          <w:rStyle w:val="Refdenotaalpie"/>
        </w:rPr>
        <w:footnoteReference w:id="75"/>
      </w:r>
      <w:r>
        <w:t>.</w:t>
      </w:r>
    </w:p>
    <w:p w:rsidR="003804AC" w:rsidRDefault="00AF18A5" w:rsidP="00510926">
      <w:r>
        <w:t xml:space="preserve">Esa democratización de la sociedad colombiana no sucedió de inmediato, sin embargo. Esta debe observarse en trayectorias de largo plazo, complejas y dialécticas. Si bien el proceso de paz iniciado por Betancur no llegó a buen término durante su administración, la </w:t>
      </w:r>
      <w:r>
        <w:lastRenderedPageBreak/>
        <w:t>descentralización fue una de las reformas más significativas de la historia política del siglo XX en Colombia. En oposición a la guerra sucia desatada por la alianza paramilitar, con cálculo político y económico; del frenesí de una ofensiva «final» de las guerrillas; y de una arremetida violenta de los narcotraficantes, hubo un proceso de apertura gracias a una sociedad civil que empujaba hacia adelante.</w:t>
      </w:r>
    </w:p>
    <w:p w:rsidR="003804AC" w:rsidRDefault="00AF18A5" w:rsidP="00510926">
      <w:r>
        <w:t>Los movimientos contestatarios de las décadas anteriores habían dado paso a nuevos movimientos</w:t>
      </w:r>
      <w:r>
        <w:rPr>
          <w:spacing w:val="-1"/>
        </w:rPr>
        <w:t xml:space="preserve"> </w:t>
      </w:r>
      <w:r>
        <w:t>que</w:t>
      </w:r>
      <w:r>
        <w:rPr>
          <w:spacing w:val="-1"/>
        </w:rPr>
        <w:t xml:space="preserve"> </w:t>
      </w:r>
      <w:r>
        <w:t>buscaban</w:t>
      </w:r>
      <w:r>
        <w:rPr>
          <w:spacing w:val="-1"/>
        </w:rPr>
        <w:t xml:space="preserve"> </w:t>
      </w:r>
      <w:r>
        <w:t>espacios</w:t>
      </w:r>
      <w:r>
        <w:rPr>
          <w:spacing w:val="-1"/>
        </w:rPr>
        <w:t xml:space="preserve"> </w:t>
      </w:r>
      <w:r>
        <w:t>de</w:t>
      </w:r>
      <w:r>
        <w:rPr>
          <w:spacing w:val="-1"/>
        </w:rPr>
        <w:t xml:space="preserve"> </w:t>
      </w:r>
      <w:r>
        <w:t>participación.</w:t>
      </w:r>
      <w:r>
        <w:rPr>
          <w:spacing w:val="-1"/>
        </w:rPr>
        <w:t xml:space="preserve"> </w:t>
      </w:r>
      <w:r>
        <w:t>La</w:t>
      </w:r>
      <w:r>
        <w:rPr>
          <w:spacing w:val="-1"/>
        </w:rPr>
        <w:t xml:space="preserve"> </w:t>
      </w:r>
      <w:r>
        <w:t>ciudadanía</w:t>
      </w:r>
      <w:r>
        <w:rPr>
          <w:spacing w:val="-1"/>
        </w:rPr>
        <w:t xml:space="preserve"> </w:t>
      </w:r>
      <w:r>
        <w:t>se</w:t>
      </w:r>
      <w:r>
        <w:rPr>
          <w:spacing w:val="-1"/>
        </w:rPr>
        <w:t xml:space="preserve"> </w:t>
      </w:r>
      <w:r>
        <w:t>sentía</w:t>
      </w:r>
      <w:r>
        <w:rPr>
          <w:spacing w:val="-1"/>
        </w:rPr>
        <w:t xml:space="preserve"> </w:t>
      </w:r>
      <w:r>
        <w:t>estrecha</w:t>
      </w:r>
      <w:r>
        <w:rPr>
          <w:spacing w:val="-1"/>
        </w:rPr>
        <w:t xml:space="preserve"> </w:t>
      </w:r>
      <w:r>
        <w:t>en</w:t>
      </w:r>
      <w:r>
        <w:rPr>
          <w:spacing w:val="-1"/>
        </w:rPr>
        <w:t xml:space="preserve"> </w:t>
      </w:r>
      <w:r>
        <w:t>el diseño del Estado centralista, católico y de mano fuerte, consignado en la Constitución de 1886. Así, emergieron demandas por una reforma constitucional. No obstante, y al mismo tiempo,</w:t>
      </w:r>
      <w:r>
        <w:rPr>
          <w:spacing w:val="36"/>
        </w:rPr>
        <w:t xml:space="preserve"> </w:t>
      </w:r>
      <w:r>
        <w:t>seguía</w:t>
      </w:r>
      <w:r>
        <w:rPr>
          <w:spacing w:val="36"/>
        </w:rPr>
        <w:t xml:space="preserve"> </w:t>
      </w:r>
      <w:r>
        <w:t>corriendo</w:t>
      </w:r>
      <w:r>
        <w:rPr>
          <w:spacing w:val="36"/>
        </w:rPr>
        <w:t xml:space="preserve"> </w:t>
      </w:r>
      <w:r>
        <w:t>sangre.</w:t>
      </w:r>
      <w:r>
        <w:rPr>
          <w:spacing w:val="36"/>
        </w:rPr>
        <w:t xml:space="preserve"> </w:t>
      </w:r>
      <w:r>
        <w:t>En</w:t>
      </w:r>
      <w:r>
        <w:rPr>
          <w:spacing w:val="36"/>
        </w:rPr>
        <w:t xml:space="preserve"> </w:t>
      </w:r>
      <w:r>
        <w:t>este,</w:t>
      </w:r>
      <w:r>
        <w:rPr>
          <w:spacing w:val="38"/>
        </w:rPr>
        <w:t xml:space="preserve"> </w:t>
      </w:r>
      <w:r>
        <w:t>como</w:t>
      </w:r>
      <w:r>
        <w:rPr>
          <w:spacing w:val="36"/>
        </w:rPr>
        <w:t xml:space="preserve"> </w:t>
      </w:r>
      <w:r>
        <w:t>en</w:t>
      </w:r>
      <w:r>
        <w:rPr>
          <w:spacing w:val="36"/>
        </w:rPr>
        <w:t xml:space="preserve"> </w:t>
      </w:r>
      <w:r>
        <w:t>muchos</w:t>
      </w:r>
      <w:r>
        <w:rPr>
          <w:spacing w:val="36"/>
        </w:rPr>
        <w:t xml:space="preserve"> </w:t>
      </w:r>
      <w:r>
        <w:t>momentos</w:t>
      </w:r>
      <w:r>
        <w:rPr>
          <w:spacing w:val="35"/>
        </w:rPr>
        <w:t xml:space="preserve"> </w:t>
      </w:r>
      <w:r>
        <w:t>posteriores,</w:t>
      </w:r>
      <w:r>
        <w:rPr>
          <w:spacing w:val="35"/>
        </w:rPr>
        <w:t xml:space="preserve"> </w:t>
      </w:r>
      <w:r>
        <w:t>en</w:t>
      </w:r>
      <w:r>
        <w:rPr>
          <w:spacing w:val="38"/>
        </w:rPr>
        <w:t xml:space="preserve"> </w:t>
      </w:r>
      <w:r>
        <w:rPr>
          <w:spacing w:val="-5"/>
        </w:rPr>
        <w:t>la</w:t>
      </w:r>
      <w:bookmarkStart w:id="137" w:name="_bookmark84"/>
      <w:bookmarkEnd w:id="137"/>
      <w:r w:rsidR="00510926">
        <w:rPr>
          <w:spacing w:val="-5"/>
        </w:rPr>
        <w:t xml:space="preserve"> </w:t>
      </w:r>
      <w:r>
        <w:t>misma</w:t>
      </w:r>
      <w:r>
        <w:rPr>
          <w:spacing w:val="-4"/>
        </w:rPr>
        <w:t xml:space="preserve"> </w:t>
      </w:r>
      <w:r>
        <w:t>mesa</w:t>
      </w:r>
      <w:r>
        <w:rPr>
          <w:spacing w:val="-5"/>
        </w:rPr>
        <w:t xml:space="preserve"> </w:t>
      </w:r>
      <w:r>
        <w:t>se</w:t>
      </w:r>
      <w:r>
        <w:rPr>
          <w:spacing w:val="-4"/>
        </w:rPr>
        <w:t xml:space="preserve"> </w:t>
      </w:r>
      <w:r>
        <w:t>jugaban</w:t>
      </w:r>
      <w:r>
        <w:rPr>
          <w:spacing w:val="-5"/>
        </w:rPr>
        <w:t xml:space="preserve"> </w:t>
      </w:r>
      <w:r>
        <w:t>partidas</w:t>
      </w:r>
      <w:r>
        <w:rPr>
          <w:spacing w:val="-4"/>
        </w:rPr>
        <w:t xml:space="preserve"> </w:t>
      </w:r>
      <w:r>
        <w:t>diferentes</w:t>
      </w:r>
      <w:r>
        <w:rPr>
          <w:spacing w:val="-5"/>
        </w:rPr>
        <w:t xml:space="preserve"> </w:t>
      </w:r>
      <w:r>
        <w:t>y</w:t>
      </w:r>
      <w:r>
        <w:rPr>
          <w:spacing w:val="-4"/>
        </w:rPr>
        <w:t xml:space="preserve"> </w:t>
      </w:r>
      <w:r>
        <w:t>contradictorias.</w:t>
      </w:r>
      <w:r>
        <w:rPr>
          <w:spacing w:val="-5"/>
        </w:rPr>
        <w:t xml:space="preserve"> </w:t>
      </w:r>
      <w:r>
        <w:t>Mientras</w:t>
      </w:r>
      <w:r>
        <w:rPr>
          <w:spacing w:val="-5"/>
        </w:rPr>
        <w:t xml:space="preserve"> </w:t>
      </w:r>
      <w:r>
        <w:t>la</w:t>
      </w:r>
      <w:r>
        <w:rPr>
          <w:spacing w:val="-5"/>
        </w:rPr>
        <w:t xml:space="preserve"> </w:t>
      </w:r>
      <w:r>
        <w:t>guerra</w:t>
      </w:r>
      <w:r>
        <w:rPr>
          <w:spacing w:val="-5"/>
        </w:rPr>
        <w:t xml:space="preserve"> </w:t>
      </w:r>
      <w:r>
        <w:t>sucia</w:t>
      </w:r>
      <w:r>
        <w:rPr>
          <w:spacing w:val="-5"/>
        </w:rPr>
        <w:t xml:space="preserve"> </w:t>
      </w:r>
      <w:r>
        <w:t>escaló con masacres y magnicidios, el Gobierno y sectores democráticos buscaron la reforma.</w:t>
      </w:r>
    </w:p>
    <w:p w:rsidR="003804AC" w:rsidRDefault="00AF18A5" w:rsidP="00510926">
      <w:r>
        <w:t>En ese contexto, resultó crucial que un grupo de guerrillas –M-19, EPL, PRT y Quintín Lame– cambiaran su lectura del momento y reconocieran que la lucha armada no era el camino y que con la violencia no construirían un mundo mejor. La negociación definitiva con</w:t>
      </w:r>
      <w:r>
        <w:rPr>
          <w:spacing w:val="-1"/>
        </w:rPr>
        <w:t xml:space="preserve"> </w:t>
      </w:r>
      <w:r>
        <w:t>estas</w:t>
      </w:r>
      <w:r>
        <w:rPr>
          <w:spacing w:val="-1"/>
        </w:rPr>
        <w:t xml:space="preserve"> </w:t>
      </w:r>
      <w:r>
        <w:t>guerrillas,</w:t>
      </w:r>
      <w:r>
        <w:rPr>
          <w:spacing w:val="-1"/>
        </w:rPr>
        <w:t xml:space="preserve"> </w:t>
      </w:r>
      <w:r>
        <w:t>consolidada</w:t>
      </w:r>
      <w:r>
        <w:rPr>
          <w:spacing w:val="-1"/>
        </w:rPr>
        <w:t xml:space="preserve"> </w:t>
      </w:r>
      <w:r>
        <w:t>entre</w:t>
      </w:r>
      <w:r>
        <w:rPr>
          <w:spacing w:val="-1"/>
        </w:rPr>
        <w:t xml:space="preserve"> </w:t>
      </w:r>
      <w:r>
        <w:t>1989</w:t>
      </w:r>
      <w:r>
        <w:rPr>
          <w:spacing w:val="-1"/>
        </w:rPr>
        <w:t xml:space="preserve"> </w:t>
      </w:r>
      <w:r>
        <w:t>y</w:t>
      </w:r>
      <w:r>
        <w:rPr>
          <w:spacing w:val="-1"/>
        </w:rPr>
        <w:t xml:space="preserve"> </w:t>
      </w:r>
      <w:r>
        <w:t>1991,</w:t>
      </w:r>
      <w:r>
        <w:rPr>
          <w:spacing w:val="-1"/>
        </w:rPr>
        <w:t xml:space="preserve"> </w:t>
      </w:r>
      <w:r>
        <w:t>contribuyó</w:t>
      </w:r>
      <w:r>
        <w:rPr>
          <w:spacing w:val="-1"/>
        </w:rPr>
        <w:t xml:space="preserve"> </w:t>
      </w:r>
      <w:r>
        <w:t>a</w:t>
      </w:r>
      <w:r>
        <w:rPr>
          <w:spacing w:val="-1"/>
        </w:rPr>
        <w:t xml:space="preserve"> </w:t>
      </w:r>
      <w:r>
        <w:t>que</w:t>
      </w:r>
      <w:r>
        <w:rPr>
          <w:spacing w:val="-1"/>
        </w:rPr>
        <w:t xml:space="preserve"> </w:t>
      </w:r>
      <w:r>
        <w:t>convergieran</w:t>
      </w:r>
      <w:r>
        <w:rPr>
          <w:spacing w:val="-1"/>
        </w:rPr>
        <w:t xml:space="preserve"> </w:t>
      </w:r>
      <w:r>
        <w:t>las</w:t>
      </w:r>
      <w:r>
        <w:rPr>
          <w:spacing w:val="-1"/>
        </w:rPr>
        <w:t xml:space="preserve"> </w:t>
      </w:r>
      <w:r>
        <w:t>rutas de la paz y la reforma democrática.</w:t>
      </w:r>
    </w:p>
    <w:p w:rsidR="003804AC" w:rsidRDefault="00AF18A5" w:rsidP="00510926">
      <w:r>
        <w:t>En la arena quedaron tendidos algunos de los mejores líderes del país, que fueron asesinados</w:t>
      </w:r>
      <w:r>
        <w:rPr>
          <w:spacing w:val="-6"/>
        </w:rPr>
        <w:t xml:space="preserve"> </w:t>
      </w:r>
      <w:r>
        <w:t>bajo</w:t>
      </w:r>
      <w:r>
        <w:rPr>
          <w:spacing w:val="-6"/>
        </w:rPr>
        <w:t xml:space="preserve"> </w:t>
      </w:r>
      <w:r>
        <w:t>el</w:t>
      </w:r>
      <w:r>
        <w:rPr>
          <w:spacing w:val="-7"/>
        </w:rPr>
        <w:t xml:space="preserve"> </w:t>
      </w:r>
      <w:r>
        <w:t>sistema</w:t>
      </w:r>
      <w:r>
        <w:rPr>
          <w:spacing w:val="-6"/>
        </w:rPr>
        <w:t xml:space="preserve"> </w:t>
      </w:r>
      <w:r>
        <w:t>de</w:t>
      </w:r>
      <w:r>
        <w:rPr>
          <w:spacing w:val="-6"/>
        </w:rPr>
        <w:t xml:space="preserve"> </w:t>
      </w:r>
      <w:r>
        <w:t>la</w:t>
      </w:r>
      <w:r>
        <w:rPr>
          <w:spacing w:val="-7"/>
        </w:rPr>
        <w:t xml:space="preserve"> </w:t>
      </w:r>
      <w:r>
        <w:t>combinación</w:t>
      </w:r>
      <w:r>
        <w:rPr>
          <w:spacing w:val="-6"/>
        </w:rPr>
        <w:t xml:space="preserve"> </w:t>
      </w:r>
      <w:r>
        <w:t>de</w:t>
      </w:r>
      <w:r>
        <w:rPr>
          <w:spacing w:val="-6"/>
        </w:rPr>
        <w:t xml:space="preserve"> </w:t>
      </w:r>
      <w:r>
        <w:t>armas</w:t>
      </w:r>
      <w:r>
        <w:rPr>
          <w:spacing w:val="-6"/>
        </w:rPr>
        <w:t xml:space="preserve"> </w:t>
      </w:r>
      <w:r>
        <w:t>y</w:t>
      </w:r>
      <w:r>
        <w:rPr>
          <w:spacing w:val="-7"/>
        </w:rPr>
        <w:t xml:space="preserve"> </w:t>
      </w:r>
      <w:r>
        <w:t>la</w:t>
      </w:r>
      <w:r>
        <w:rPr>
          <w:spacing w:val="-6"/>
        </w:rPr>
        <w:t xml:space="preserve"> </w:t>
      </w:r>
      <w:r>
        <w:t>política,</w:t>
      </w:r>
      <w:r>
        <w:rPr>
          <w:spacing w:val="-6"/>
        </w:rPr>
        <w:t xml:space="preserve"> </w:t>
      </w:r>
      <w:r>
        <w:t>y</w:t>
      </w:r>
      <w:r>
        <w:rPr>
          <w:spacing w:val="-6"/>
        </w:rPr>
        <w:t xml:space="preserve"> </w:t>
      </w:r>
      <w:r>
        <w:t>del</w:t>
      </w:r>
      <w:r>
        <w:rPr>
          <w:spacing w:val="-7"/>
        </w:rPr>
        <w:t xml:space="preserve"> </w:t>
      </w:r>
      <w:r>
        <w:t>crimen</w:t>
      </w:r>
      <w:r>
        <w:rPr>
          <w:spacing w:val="-6"/>
        </w:rPr>
        <w:t xml:space="preserve"> </w:t>
      </w:r>
      <w:r>
        <w:t>como</w:t>
      </w:r>
      <w:r>
        <w:rPr>
          <w:spacing w:val="-6"/>
        </w:rPr>
        <w:t xml:space="preserve"> </w:t>
      </w:r>
      <w:r>
        <w:t xml:space="preserve">parte de la lucha por el poder. La mayoría de ellos, pero no todos, eran miembros de la oposición política y social al </w:t>
      </w:r>
      <w:r>
        <w:lastRenderedPageBreak/>
        <w:t>régimen</w:t>
      </w:r>
      <w:r w:rsidR="00510926">
        <w:rPr>
          <w:rStyle w:val="Refdenotaalpie"/>
        </w:rPr>
        <w:footnoteReference w:id="76"/>
      </w:r>
      <w:r>
        <w:t>. Hubo un genocidio de todo un partido, la UP, y para las elecciones de 1990 habían sido asesinados cuatro candidatos presidenciales, incluido Luis Carlos Galán, quien era el favorito para ganar la Presidencia; Jaime Pardo Leal; Carlos Pizarro, y Bernardo Jaramillo. Todos ellos representaban, de una manera u otra, el cambio.</w:t>
      </w:r>
    </w:p>
    <w:p w:rsidR="0011361F" w:rsidRDefault="00AF18A5" w:rsidP="004A6EF4">
      <w:pPr>
        <w:pStyle w:val="Ttulo3"/>
        <w:numPr>
          <w:ilvl w:val="1"/>
          <w:numId w:val="16"/>
        </w:numPr>
      </w:pPr>
      <w:bookmarkStart w:id="138" w:name="2.3._Paz,_constituyente_y_Constitución"/>
      <w:bookmarkStart w:id="139" w:name="_Toc112399551"/>
      <w:bookmarkEnd w:id="138"/>
      <w:r>
        <w:t>Paz,</w:t>
      </w:r>
      <w:r>
        <w:rPr>
          <w:spacing w:val="-2"/>
        </w:rPr>
        <w:t xml:space="preserve"> </w:t>
      </w:r>
      <w:r>
        <w:t>constituyente</w:t>
      </w:r>
      <w:r>
        <w:rPr>
          <w:spacing w:val="-3"/>
        </w:rPr>
        <w:t xml:space="preserve"> </w:t>
      </w:r>
      <w:r>
        <w:t>y</w:t>
      </w:r>
      <w:r>
        <w:rPr>
          <w:spacing w:val="-1"/>
        </w:rPr>
        <w:t xml:space="preserve"> </w:t>
      </w:r>
      <w:r w:rsidRPr="00510926">
        <w:t>Constitución</w:t>
      </w:r>
      <w:bookmarkEnd w:id="139"/>
    </w:p>
    <w:p w:rsidR="003804AC" w:rsidRDefault="00AF18A5" w:rsidP="00510926">
      <w:r>
        <w:t>La Constitución de 1991 fue posible porque hubo cambios de paradigmas mentales y de propósitos políticos en todos los actores involucrados en la guerra. Se pasó de la intransigencia a la concertación, y del todo o nada a la búsqueda del mejor acuerdo posible. La</w:t>
      </w:r>
      <w:r>
        <w:rPr>
          <w:spacing w:val="-10"/>
        </w:rPr>
        <w:t xml:space="preserve"> </w:t>
      </w:r>
      <w:r>
        <w:t>política</w:t>
      </w:r>
      <w:r>
        <w:rPr>
          <w:spacing w:val="-10"/>
        </w:rPr>
        <w:t xml:space="preserve"> </w:t>
      </w:r>
      <w:r>
        <w:t>volvió</w:t>
      </w:r>
      <w:r>
        <w:rPr>
          <w:spacing w:val="-11"/>
        </w:rPr>
        <w:t xml:space="preserve"> </w:t>
      </w:r>
      <w:r>
        <w:t>a</w:t>
      </w:r>
      <w:r>
        <w:rPr>
          <w:spacing w:val="-10"/>
        </w:rPr>
        <w:t xml:space="preserve"> </w:t>
      </w:r>
      <w:r>
        <w:t>tener</w:t>
      </w:r>
      <w:r>
        <w:rPr>
          <w:spacing w:val="-11"/>
        </w:rPr>
        <w:t xml:space="preserve"> </w:t>
      </w:r>
      <w:r>
        <w:t>potencial</w:t>
      </w:r>
      <w:r>
        <w:rPr>
          <w:spacing w:val="-10"/>
        </w:rPr>
        <w:t xml:space="preserve"> </w:t>
      </w:r>
      <w:r>
        <w:t>transformador.</w:t>
      </w:r>
      <w:r>
        <w:rPr>
          <w:spacing w:val="-11"/>
        </w:rPr>
        <w:t xml:space="preserve"> </w:t>
      </w:r>
      <w:r>
        <w:t>Este</w:t>
      </w:r>
      <w:r>
        <w:rPr>
          <w:spacing w:val="-10"/>
        </w:rPr>
        <w:t xml:space="preserve"> </w:t>
      </w:r>
      <w:r>
        <w:t>acuerdo</w:t>
      </w:r>
      <w:r>
        <w:rPr>
          <w:spacing w:val="-11"/>
        </w:rPr>
        <w:t xml:space="preserve"> </w:t>
      </w:r>
      <w:r>
        <w:t>de</w:t>
      </w:r>
      <w:r>
        <w:rPr>
          <w:spacing w:val="-10"/>
        </w:rPr>
        <w:t xml:space="preserve"> </w:t>
      </w:r>
      <w:r>
        <w:t>paz,</w:t>
      </w:r>
      <w:r>
        <w:rPr>
          <w:spacing w:val="-11"/>
        </w:rPr>
        <w:t xml:space="preserve"> </w:t>
      </w:r>
      <w:r>
        <w:t>derechos,</w:t>
      </w:r>
      <w:r>
        <w:rPr>
          <w:spacing w:val="-11"/>
        </w:rPr>
        <w:t xml:space="preserve"> </w:t>
      </w:r>
      <w:r>
        <w:t>pluralismo y modernidad dejó claro</w:t>
      </w:r>
      <w:r>
        <w:rPr>
          <w:spacing w:val="-1"/>
        </w:rPr>
        <w:t xml:space="preserve"> </w:t>
      </w:r>
      <w:r>
        <w:t>que en Colombia sí había un camino</w:t>
      </w:r>
      <w:r>
        <w:rPr>
          <w:spacing w:val="-1"/>
        </w:rPr>
        <w:t xml:space="preserve"> </w:t>
      </w:r>
      <w:r>
        <w:t>para las</w:t>
      </w:r>
      <w:r>
        <w:rPr>
          <w:spacing w:val="-1"/>
        </w:rPr>
        <w:t xml:space="preserve"> </w:t>
      </w:r>
      <w:r>
        <w:t>reformas. O, en otros términos, que sin el tronar de los fusiles era posible entenderse.</w:t>
      </w:r>
    </w:p>
    <w:p w:rsidR="003804AC" w:rsidRDefault="00AF18A5" w:rsidP="00510926">
      <w:r>
        <w:t>Si</w:t>
      </w:r>
      <w:r>
        <w:rPr>
          <w:spacing w:val="-11"/>
        </w:rPr>
        <w:t xml:space="preserve"> </w:t>
      </w:r>
      <w:r>
        <w:t>la</w:t>
      </w:r>
      <w:r>
        <w:rPr>
          <w:spacing w:val="-11"/>
        </w:rPr>
        <w:t xml:space="preserve"> </w:t>
      </w:r>
      <w:r>
        <w:t>foto</w:t>
      </w:r>
      <w:r>
        <w:rPr>
          <w:spacing w:val="-11"/>
        </w:rPr>
        <w:t xml:space="preserve"> </w:t>
      </w:r>
      <w:r>
        <w:t>del</w:t>
      </w:r>
      <w:r>
        <w:rPr>
          <w:spacing w:val="-12"/>
        </w:rPr>
        <w:t xml:space="preserve"> </w:t>
      </w:r>
      <w:r>
        <w:t>Benidorm</w:t>
      </w:r>
      <w:r w:rsidR="00510926">
        <w:rPr>
          <w:rStyle w:val="Refdenotaalpie"/>
        </w:rPr>
        <w:footnoteReference w:id="77"/>
      </w:r>
      <w:r>
        <w:rPr>
          <w:spacing w:val="-11"/>
        </w:rPr>
        <w:t xml:space="preserve"> </w:t>
      </w:r>
      <w:r>
        <w:t>era</w:t>
      </w:r>
      <w:r>
        <w:rPr>
          <w:spacing w:val="-11"/>
        </w:rPr>
        <w:t xml:space="preserve"> </w:t>
      </w:r>
      <w:r>
        <w:t>la</w:t>
      </w:r>
      <w:r>
        <w:rPr>
          <w:spacing w:val="-11"/>
        </w:rPr>
        <w:t xml:space="preserve"> </w:t>
      </w:r>
      <w:r>
        <w:t>de</w:t>
      </w:r>
      <w:r>
        <w:rPr>
          <w:spacing w:val="-11"/>
        </w:rPr>
        <w:t xml:space="preserve"> </w:t>
      </w:r>
      <w:r>
        <w:t>los</w:t>
      </w:r>
      <w:r>
        <w:rPr>
          <w:spacing w:val="-11"/>
        </w:rPr>
        <w:t xml:space="preserve"> </w:t>
      </w:r>
      <w:r>
        <w:t>dos</w:t>
      </w:r>
      <w:r>
        <w:rPr>
          <w:spacing w:val="-11"/>
        </w:rPr>
        <w:t xml:space="preserve"> </w:t>
      </w:r>
      <w:r>
        <w:t>patriarcas</w:t>
      </w:r>
      <w:r>
        <w:rPr>
          <w:spacing w:val="-12"/>
        </w:rPr>
        <w:t xml:space="preserve"> </w:t>
      </w:r>
      <w:r>
        <w:t>de</w:t>
      </w:r>
      <w:r>
        <w:rPr>
          <w:spacing w:val="-11"/>
        </w:rPr>
        <w:t xml:space="preserve"> </w:t>
      </w:r>
      <w:r>
        <w:t>los</w:t>
      </w:r>
      <w:r>
        <w:rPr>
          <w:spacing w:val="-11"/>
        </w:rPr>
        <w:t xml:space="preserve"> </w:t>
      </w:r>
      <w:r>
        <w:t>partidos</w:t>
      </w:r>
      <w:r>
        <w:rPr>
          <w:spacing w:val="-11"/>
        </w:rPr>
        <w:t xml:space="preserve"> </w:t>
      </w:r>
      <w:r>
        <w:t>Liberal</w:t>
      </w:r>
      <w:r>
        <w:rPr>
          <w:spacing w:val="-11"/>
        </w:rPr>
        <w:t xml:space="preserve"> </w:t>
      </w:r>
      <w:r>
        <w:t>y</w:t>
      </w:r>
      <w:r>
        <w:rPr>
          <w:spacing w:val="-12"/>
        </w:rPr>
        <w:t xml:space="preserve"> </w:t>
      </w:r>
      <w:r>
        <w:t>Conservador unidos</w:t>
      </w:r>
      <w:r>
        <w:rPr>
          <w:spacing w:val="-2"/>
        </w:rPr>
        <w:t xml:space="preserve"> </w:t>
      </w:r>
      <w:r>
        <w:t>en</w:t>
      </w:r>
      <w:r>
        <w:rPr>
          <w:spacing w:val="-3"/>
        </w:rPr>
        <w:t xml:space="preserve"> </w:t>
      </w:r>
      <w:r>
        <w:t>un</w:t>
      </w:r>
      <w:r>
        <w:rPr>
          <w:spacing w:val="-4"/>
        </w:rPr>
        <w:t xml:space="preserve"> </w:t>
      </w:r>
      <w:r>
        <w:t>pacto</w:t>
      </w:r>
      <w:r>
        <w:rPr>
          <w:spacing w:val="-2"/>
        </w:rPr>
        <w:t xml:space="preserve"> </w:t>
      </w:r>
      <w:r>
        <w:t>de</w:t>
      </w:r>
      <w:r>
        <w:rPr>
          <w:spacing w:val="-2"/>
        </w:rPr>
        <w:t xml:space="preserve"> </w:t>
      </w:r>
      <w:r>
        <w:t>pacificación,</w:t>
      </w:r>
      <w:r>
        <w:rPr>
          <w:spacing w:val="-3"/>
        </w:rPr>
        <w:t xml:space="preserve"> </w:t>
      </w:r>
      <w:r>
        <w:t>perdón</w:t>
      </w:r>
      <w:r>
        <w:rPr>
          <w:spacing w:val="-2"/>
        </w:rPr>
        <w:t xml:space="preserve"> </w:t>
      </w:r>
      <w:r>
        <w:t>y</w:t>
      </w:r>
      <w:r>
        <w:rPr>
          <w:spacing w:val="-3"/>
        </w:rPr>
        <w:t xml:space="preserve"> </w:t>
      </w:r>
      <w:r>
        <w:t>olvido,</w:t>
      </w:r>
      <w:r>
        <w:rPr>
          <w:spacing w:val="-3"/>
        </w:rPr>
        <w:t xml:space="preserve"> </w:t>
      </w:r>
      <w:r>
        <w:t>la</w:t>
      </w:r>
      <w:r>
        <w:rPr>
          <w:spacing w:val="-2"/>
        </w:rPr>
        <w:t xml:space="preserve"> </w:t>
      </w:r>
      <w:r>
        <w:t>foto</w:t>
      </w:r>
      <w:r>
        <w:rPr>
          <w:spacing w:val="-2"/>
        </w:rPr>
        <w:t xml:space="preserve"> </w:t>
      </w:r>
      <w:r>
        <w:t>de</w:t>
      </w:r>
      <w:r>
        <w:rPr>
          <w:spacing w:val="-2"/>
        </w:rPr>
        <w:t xml:space="preserve"> </w:t>
      </w:r>
      <w:r>
        <w:t>la</w:t>
      </w:r>
      <w:r>
        <w:rPr>
          <w:spacing w:val="-2"/>
        </w:rPr>
        <w:t xml:space="preserve"> </w:t>
      </w:r>
      <w:r>
        <w:t>Constituyente</w:t>
      </w:r>
      <w:r>
        <w:rPr>
          <w:spacing w:val="-1"/>
        </w:rPr>
        <w:t xml:space="preserve"> </w:t>
      </w:r>
      <w:r>
        <w:t>era</w:t>
      </w:r>
      <w:r>
        <w:rPr>
          <w:spacing w:val="-2"/>
        </w:rPr>
        <w:t xml:space="preserve"> </w:t>
      </w:r>
      <w:r>
        <w:t>la</w:t>
      </w:r>
      <w:r>
        <w:rPr>
          <w:spacing w:val="-4"/>
        </w:rPr>
        <w:t xml:space="preserve"> </w:t>
      </w:r>
      <w:r>
        <w:t>de</w:t>
      </w:r>
      <w:r>
        <w:rPr>
          <w:spacing w:val="-1"/>
        </w:rPr>
        <w:t xml:space="preserve"> </w:t>
      </w:r>
      <w:r>
        <w:rPr>
          <w:spacing w:val="-5"/>
        </w:rPr>
        <w:t>sus</w:t>
      </w:r>
      <w:bookmarkStart w:id="140" w:name="_bookmark86"/>
      <w:bookmarkStart w:id="141" w:name="_bookmark87"/>
      <w:bookmarkEnd w:id="140"/>
      <w:bookmarkEnd w:id="141"/>
      <w:r w:rsidR="00510926">
        <w:t xml:space="preserve"> </w:t>
      </w:r>
      <w:r>
        <w:t>herederos</w:t>
      </w:r>
      <w:r w:rsidR="00510926">
        <w:rPr>
          <w:rStyle w:val="Refdenotaalpie"/>
        </w:rPr>
        <w:footnoteReference w:id="78"/>
      </w:r>
      <w:r>
        <w:t>,</w:t>
      </w:r>
      <w:r>
        <w:rPr>
          <w:spacing w:val="-10"/>
        </w:rPr>
        <w:t xml:space="preserve"> </w:t>
      </w:r>
      <w:r>
        <w:t>más</w:t>
      </w:r>
      <w:r>
        <w:rPr>
          <w:spacing w:val="-10"/>
        </w:rPr>
        <w:t xml:space="preserve"> </w:t>
      </w:r>
      <w:r>
        <w:t>un</w:t>
      </w:r>
      <w:r>
        <w:rPr>
          <w:spacing w:val="-11"/>
        </w:rPr>
        <w:t xml:space="preserve"> </w:t>
      </w:r>
      <w:r>
        <w:t>tercero</w:t>
      </w:r>
      <w:r>
        <w:rPr>
          <w:spacing w:val="-10"/>
        </w:rPr>
        <w:t xml:space="preserve"> </w:t>
      </w:r>
      <w:r>
        <w:t>que</w:t>
      </w:r>
      <w:r>
        <w:rPr>
          <w:spacing w:val="-10"/>
        </w:rPr>
        <w:t xml:space="preserve"> </w:t>
      </w:r>
      <w:r>
        <w:t>representaba</w:t>
      </w:r>
      <w:r>
        <w:rPr>
          <w:spacing w:val="-11"/>
        </w:rPr>
        <w:t xml:space="preserve"> </w:t>
      </w:r>
      <w:r>
        <w:t>esa</w:t>
      </w:r>
      <w:r>
        <w:rPr>
          <w:spacing w:val="-11"/>
        </w:rPr>
        <w:t xml:space="preserve"> </w:t>
      </w:r>
      <w:r>
        <w:t>izquierda</w:t>
      </w:r>
      <w:r>
        <w:rPr>
          <w:spacing w:val="-10"/>
        </w:rPr>
        <w:t xml:space="preserve"> </w:t>
      </w:r>
      <w:r>
        <w:t>que</w:t>
      </w:r>
      <w:r>
        <w:rPr>
          <w:spacing w:val="-11"/>
        </w:rPr>
        <w:t xml:space="preserve"> </w:t>
      </w:r>
      <w:r>
        <w:t>entró</w:t>
      </w:r>
      <w:r>
        <w:rPr>
          <w:spacing w:val="-11"/>
        </w:rPr>
        <w:t xml:space="preserve"> </w:t>
      </w:r>
      <w:r>
        <w:t>a</w:t>
      </w:r>
      <w:r>
        <w:rPr>
          <w:spacing w:val="-10"/>
        </w:rPr>
        <w:t xml:space="preserve"> </w:t>
      </w:r>
      <w:r>
        <w:t>la</w:t>
      </w:r>
      <w:r>
        <w:rPr>
          <w:spacing w:val="-10"/>
        </w:rPr>
        <w:t xml:space="preserve"> </w:t>
      </w:r>
      <w:r>
        <w:t>democracia</w:t>
      </w:r>
      <w:r>
        <w:rPr>
          <w:spacing w:val="-11"/>
        </w:rPr>
        <w:t xml:space="preserve"> </w:t>
      </w:r>
      <w:r>
        <w:t>a</w:t>
      </w:r>
      <w:r>
        <w:rPr>
          <w:spacing w:val="-10"/>
        </w:rPr>
        <w:t xml:space="preserve"> </w:t>
      </w:r>
      <w:r>
        <w:t>través del diálogo. La Constituyente demostró que era necesaria la concurrencia de las diferentes corrientes para lograr una paz nacional y, sobre todo, acuerdos sobre lo fundamental. La Constitución</w:t>
      </w:r>
      <w:r>
        <w:rPr>
          <w:spacing w:val="-7"/>
        </w:rPr>
        <w:t xml:space="preserve"> </w:t>
      </w:r>
      <w:r>
        <w:t>de</w:t>
      </w:r>
      <w:r>
        <w:rPr>
          <w:spacing w:val="-6"/>
        </w:rPr>
        <w:t xml:space="preserve"> </w:t>
      </w:r>
      <w:r>
        <w:t>1991</w:t>
      </w:r>
      <w:r>
        <w:rPr>
          <w:spacing w:val="-6"/>
        </w:rPr>
        <w:t xml:space="preserve"> </w:t>
      </w:r>
      <w:r>
        <w:t>sentó</w:t>
      </w:r>
      <w:r>
        <w:rPr>
          <w:spacing w:val="-6"/>
        </w:rPr>
        <w:t xml:space="preserve"> </w:t>
      </w:r>
      <w:r>
        <w:t>las</w:t>
      </w:r>
      <w:r>
        <w:rPr>
          <w:spacing w:val="-6"/>
        </w:rPr>
        <w:t xml:space="preserve"> </w:t>
      </w:r>
      <w:r>
        <w:t>bases</w:t>
      </w:r>
      <w:r>
        <w:rPr>
          <w:spacing w:val="-6"/>
        </w:rPr>
        <w:t xml:space="preserve"> </w:t>
      </w:r>
      <w:r>
        <w:t>para</w:t>
      </w:r>
      <w:r>
        <w:rPr>
          <w:spacing w:val="-6"/>
        </w:rPr>
        <w:t xml:space="preserve"> </w:t>
      </w:r>
      <w:r>
        <w:t>una</w:t>
      </w:r>
      <w:r>
        <w:rPr>
          <w:spacing w:val="-6"/>
        </w:rPr>
        <w:t xml:space="preserve"> </w:t>
      </w:r>
      <w:r>
        <w:t>transformación</w:t>
      </w:r>
      <w:r>
        <w:rPr>
          <w:spacing w:val="-7"/>
        </w:rPr>
        <w:t xml:space="preserve"> </w:t>
      </w:r>
      <w:r>
        <w:t>paulatina</w:t>
      </w:r>
      <w:r>
        <w:rPr>
          <w:spacing w:val="-6"/>
        </w:rPr>
        <w:t xml:space="preserve"> </w:t>
      </w:r>
      <w:r>
        <w:t>del</w:t>
      </w:r>
      <w:r>
        <w:rPr>
          <w:spacing w:val="-6"/>
        </w:rPr>
        <w:t xml:space="preserve"> </w:t>
      </w:r>
      <w:r>
        <w:t>país.</w:t>
      </w:r>
      <w:r>
        <w:rPr>
          <w:spacing w:val="-6"/>
        </w:rPr>
        <w:t xml:space="preserve"> </w:t>
      </w:r>
      <w:r>
        <w:t>Hizo</w:t>
      </w:r>
      <w:r>
        <w:rPr>
          <w:spacing w:val="-7"/>
        </w:rPr>
        <w:t xml:space="preserve"> </w:t>
      </w:r>
      <w:r>
        <w:t>que</w:t>
      </w:r>
      <w:r>
        <w:rPr>
          <w:spacing w:val="-6"/>
        </w:rPr>
        <w:t xml:space="preserve"> </w:t>
      </w:r>
      <w:r>
        <w:t xml:space="preserve">la </w:t>
      </w:r>
      <w:r>
        <w:lastRenderedPageBreak/>
        <w:t>demanda de derechos políticos, pero también económicos, sociales y culturales, dejaran de ser calificados como subversivos y se convirtieran en parte esencial de la vida digna. Y, en breve, fue el fundamento para transformar la relación del Estado con los ciudadanos y consolidar instituciones democráticas.</w:t>
      </w:r>
    </w:p>
    <w:p w:rsidR="003804AC" w:rsidRDefault="00AF18A5" w:rsidP="00510926">
      <w:r>
        <w:t xml:space="preserve">Los años noventa significaron el </w:t>
      </w:r>
      <w:proofErr w:type="spellStart"/>
      <w:r>
        <w:t>reconocimento</w:t>
      </w:r>
      <w:proofErr w:type="spellEnd"/>
      <w:r>
        <w:t xml:space="preserve"> de derechos e ingreso a la democracia social y política de los pueblos étnicos, indígenas y afrodescendientes, y en particular el reconocimiento de sus territorios, formas de gobierno, cultura y derechos. La Corte Constitucional,</w:t>
      </w:r>
      <w:r>
        <w:rPr>
          <w:spacing w:val="-15"/>
        </w:rPr>
        <w:t xml:space="preserve"> </w:t>
      </w:r>
      <w:r>
        <w:t>creada</w:t>
      </w:r>
      <w:r>
        <w:rPr>
          <w:spacing w:val="-15"/>
        </w:rPr>
        <w:t xml:space="preserve"> </w:t>
      </w:r>
      <w:r>
        <w:t>por</w:t>
      </w:r>
      <w:r>
        <w:rPr>
          <w:spacing w:val="-15"/>
        </w:rPr>
        <w:t xml:space="preserve"> </w:t>
      </w:r>
      <w:r>
        <w:t>la</w:t>
      </w:r>
      <w:r>
        <w:rPr>
          <w:spacing w:val="-15"/>
        </w:rPr>
        <w:t xml:space="preserve"> </w:t>
      </w:r>
      <w:r>
        <w:t>Constitución</w:t>
      </w:r>
      <w:r>
        <w:rPr>
          <w:spacing w:val="-15"/>
        </w:rPr>
        <w:t xml:space="preserve"> </w:t>
      </w:r>
      <w:r>
        <w:t>de</w:t>
      </w:r>
      <w:r>
        <w:rPr>
          <w:spacing w:val="-15"/>
        </w:rPr>
        <w:t xml:space="preserve"> </w:t>
      </w:r>
      <w:r>
        <w:t>1991,</w:t>
      </w:r>
      <w:r>
        <w:rPr>
          <w:spacing w:val="-15"/>
        </w:rPr>
        <w:t xml:space="preserve"> </w:t>
      </w:r>
      <w:r>
        <w:t>no</w:t>
      </w:r>
      <w:r>
        <w:rPr>
          <w:spacing w:val="-15"/>
        </w:rPr>
        <w:t xml:space="preserve"> </w:t>
      </w:r>
      <w:r>
        <w:t>solo</w:t>
      </w:r>
      <w:r>
        <w:rPr>
          <w:spacing w:val="-15"/>
        </w:rPr>
        <w:t xml:space="preserve"> </w:t>
      </w:r>
      <w:r>
        <w:t>defendió</w:t>
      </w:r>
      <w:r>
        <w:rPr>
          <w:spacing w:val="-15"/>
        </w:rPr>
        <w:t xml:space="preserve"> </w:t>
      </w:r>
      <w:r>
        <w:t>las</w:t>
      </w:r>
      <w:r>
        <w:rPr>
          <w:spacing w:val="-15"/>
        </w:rPr>
        <w:t xml:space="preserve"> </w:t>
      </w:r>
      <w:r>
        <w:t>libertades</w:t>
      </w:r>
      <w:r>
        <w:rPr>
          <w:spacing w:val="-15"/>
        </w:rPr>
        <w:t xml:space="preserve"> </w:t>
      </w:r>
      <w:r>
        <w:t>y</w:t>
      </w:r>
      <w:r>
        <w:rPr>
          <w:spacing w:val="-15"/>
        </w:rPr>
        <w:t xml:space="preserve"> </w:t>
      </w:r>
      <w:r>
        <w:t>derechos individuales y colectivos, sino que mostró un horizonte más allá del que la propia idiosincrasia</w:t>
      </w:r>
      <w:r>
        <w:rPr>
          <w:spacing w:val="-5"/>
        </w:rPr>
        <w:t xml:space="preserve"> </w:t>
      </w:r>
      <w:r>
        <w:t>colombiana</w:t>
      </w:r>
      <w:r>
        <w:rPr>
          <w:spacing w:val="-5"/>
        </w:rPr>
        <w:t xml:space="preserve"> </w:t>
      </w:r>
      <w:r>
        <w:t>podía</w:t>
      </w:r>
      <w:r>
        <w:rPr>
          <w:spacing w:val="-3"/>
        </w:rPr>
        <w:t xml:space="preserve"> </w:t>
      </w:r>
      <w:r>
        <w:t>ver</w:t>
      </w:r>
      <w:r>
        <w:rPr>
          <w:spacing w:val="-3"/>
        </w:rPr>
        <w:t xml:space="preserve"> </w:t>
      </w:r>
      <w:r>
        <w:t>en</w:t>
      </w:r>
      <w:r>
        <w:rPr>
          <w:spacing w:val="-4"/>
        </w:rPr>
        <w:t xml:space="preserve"> </w:t>
      </w:r>
      <w:r>
        <w:t>esta</w:t>
      </w:r>
      <w:r>
        <w:rPr>
          <w:spacing w:val="-5"/>
        </w:rPr>
        <w:t xml:space="preserve"> </w:t>
      </w:r>
      <w:r>
        <w:t>materia.</w:t>
      </w:r>
      <w:r>
        <w:rPr>
          <w:spacing w:val="-4"/>
        </w:rPr>
        <w:t xml:space="preserve"> </w:t>
      </w:r>
      <w:r>
        <w:t>La</w:t>
      </w:r>
      <w:r>
        <w:rPr>
          <w:spacing w:val="-3"/>
        </w:rPr>
        <w:t xml:space="preserve"> </w:t>
      </w:r>
      <w:r>
        <w:t>tutela</w:t>
      </w:r>
      <w:r>
        <w:rPr>
          <w:spacing w:val="-6"/>
        </w:rPr>
        <w:t xml:space="preserve"> </w:t>
      </w:r>
      <w:r>
        <w:t>empoderó</w:t>
      </w:r>
      <w:r>
        <w:rPr>
          <w:spacing w:val="-5"/>
        </w:rPr>
        <w:t xml:space="preserve"> </w:t>
      </w:r>
      <w:r>
        <w:t>a</w:t>
      </w:r>
      <w:r>
        <w:rPr>
          <w:spacing w:val="-5"/>
        </w:rPr>
        <w:t xml:space="preserve"> </w:t>
      </w:r>
      <w:r>
        <w:t>los</w:t>
      </w:r>
      <w:r>
        <w:rPr>
          <w:spacing w:val="-4"/>
        </w:rPr>
        <w:t xml:space="preserve"> </w:t>
      </w:r>
      <w:r>
        <w:t>ciudadanos.</w:t>
      </w:r>
      <w:r>
        <w:rPr>
          <w:spacing w:val="-4"/>
        </w:rPr>
        <w:t xml:space="preserve"> </w:t>
      </w:r>
      <w:r>
        <w:t>La democracia</w:t>
      </w:r>
      <w:r>
        <w:rPr>
          <w:spacing w:val="-7"/>
        </w:rPr>
        <w:t xml:space="preserve"> </w:t>
      </w:r>
      <w:r>
        <w:t>participativa</w:t>
      </w:r>
      <w:r>
        <w:rPr>
          <w:spacing w:val="-7"/>
        </w:rPr>
        <w:t xml:space="preserve"> </w:t>
      </w:r>
      <w:r>
        <w:t>alentó</w:t>
      </w:r>
      <w:r>
        <w:rPr>
          <w:spacing w:val="-6"/>
        </w:rPr>
        <w:t xml:space="preserve"> </w:t>
      </w:r>
      <w:r>
        <w:t>todo</w:t>
      </w:r>
      <w:r>
        <w:rPr>
          <w:spacing w:val="-7"/>
        </w:rPr>
        <w:t xml:space="preserve"> </w:t>
      </w:r>
      <w:r>
        <w:t>tipo</w:t>
      </w:r>
      <w:r>
        <w:rPr>
          <w:spacing w:val="-6"/>
        </w:rPr>
        <w:t xml:space="preserve"> </w:t>
      </w:r>
      <w:r>
        <w:t>de</w:t>
      </w:r>
      <w:r>
        <w:rPr>
          <w:spacing w:val="-6"/>
        </w:rPr>
        <w:t xml:space="preserve"> </w:t>
      </w:r>
      <w:r>
        <w:t>iniciativas</w:t>
      </w:r>
      <w:r>
        <w:rPr>
          <w:spacing w:val="-6"/>
        </w:rPr>
        <w:t xml:space="preserve"> </w:t>
      </w:r>
      <w:r>
        <w:t>locales</w:t>
      </w:r>
      <w:r>
        <w:rPr>
          <w:spacing w:val="-6"/>
        </w:rPr>
        <w:t xml:space="preserve"> </w:t>
      </w:r>
      <w:r>
        <w:t>y</w:t>
      </w:r>
      <w:r>
        <w:rPr>
          <w:spacing w:val="-6"/>
        </w:rPr>
        <w:t xml:space="preserve"> </w:t>
      </w:r>
      <w:r>
        <w:t>permitió</w:t>
      </w:r>
      <w:r>
        <w:rPr>
          <w:spacing w:val="-7"/>
        </w:rPr>
        <w:t xml:space="preserve"> </w:t>
      </w:r>
      <w:r>
        <w:t>que</w:t>
      </w:r>
      <w:r>
        <w:rPr>
          <w:spacing w:val="-6"/>
        </w:rPr>
        <w:t xml:space="preserve"> </w:t>
      </w:r>
      <w:r>
        <w:t>emergiera</w:t>
      </w:r>
      <w:r>
        <w:rPr>
          <w:spacing w:val="-6"/>
        </w:rPr>
        <w:t xml:space="preserve"> </w:t>
      </w:r>
      <w:r>
        <w:t>una ciudadanía</w:t>
      </w:r>
      <w:r>
        <w:rPr>
          <w:spacing w:val="-10"/>
        </w:rPr>
        <w:t xml:space="preserve"> </w:t>
      </w:r>
      <w:r>
        <w:t>deliberante.</w:t>
      </w:r>
      <w:r>
        <w:rPr>
          <w:spacing w:val="-11"/>
        </w:rPr>
        <w:t xml:space="preserve"> </w:t>
      </w:r>
      <w:r>
        <w:t>Se</w:t>
      </w:r>
      <w:r>
        <w:rPr>
          <w:spacing w:val="-10"/>
        </w:rPr>
        <w:t xml:space="preserve"> </w:t>
      </w:r>
      <w:r>
        <w:t>crearon</w:t>
      </w:r>
      <w:r>
        <w:rPr>
          <w:spacing w:val="-11"/>
        </w:rPr>
        <w:t xml:space="preserve"> </w:t>
      </w:r>
      <w:r>
        <w:t>partidos</w:t>
      </w:r>
      <w:r>
        <w:rPr>
          <w:spacing w:val="-10"/>
        </w:rPr>
        <w:t xml:space="preserve"> </w:t>
      </w:r>
      <w:r>
        <w:t>y</w:t>
      </w:r>
      <w:r>
        <w:rPr>
          <w:spacing w:val="-12"/>
        </w:rPr>
        <w:t xml:space="preserve"> </w:t>
      </w:r>
      <w:r>
        <w:t>movimientos</w:t>
      </w:r>
      <w:r>
        <w:rPr>
          <w:spacing w:val="-10"/>
        </w:rPr>
        <w:t xml:space="preserve"> </w:t>
      </w:r>
      <w:r>
        <w:t>en</w:t>
      </w:r>
      <w:r>
        <w:rPr>
          <w:spacing w:val="-12"/>
        </w:rPr>
        <w:t xml:space="preserve"> </w:t>
      </w:r>
      <w:r>
        <w:t>un</w:t>
      </w:r>
      <w:r>
        <w:rPr>
          <w:spacing w:val="-11"/>
        </w:rPr>
        <w:t xml:space="preserve"> </w:t>
      </w:r>
      <w:r>
        <w:t>amplio</w:t>
      </w:r>
      <w:r>
        <w:rPr>
          <w:spacing w:val="-11"/>
        </w:rPr>
        <w:t xml:space="preserve"> </w:t>
      </w:r>
      <w:r>
        <w:t>espectro</w:t>
      </w:r>
      <w:r>
        <w:rPr>
          <w:spacing w:val="-11"/>
        </w:rPr>
        <w:t xml:space="preserve"> </w:t>
      </w:r>
      <w:r>
        <w:t>de</w:t>
      </w:r>
      <w:r>
        <w:rPr>
          <w:spacing w:val="-12"/>
        </w:rPr>
        <w:t xml:space="preserve"> </w:t>
      </w:r>
      <w:r>
        <w:t>agendas e ideologías.</w:t>
      </w:r>
    </w:p>
    <w:p w:rsidR="0011361F" w:rsidRDefault="00AF18A5" w:rsidP="00510926">
      <w:r>
        <w:t>Muchos de estos movimientos, especialmente de las izquierdas, rompieron ética y políticamente con la lucha armada y se fueron consolidando como una opción de poder en medio de la más atroz violencia. Entre todos, pusieron una altísima cuota de sangre. Probablemente</w:t>
      </w:r>
      <w:r>
        <w:rPr>
          <w:spacing w:val="-2"/>
        </w:rPr>
        <w:t xml:space="preserve"> </w:t>
      </w:r>
      <w:r>
        <w:t>la</w:t>
      </w:r>
      <w:r>
        <w:rPr>
          <w:spacing w:val="-2"/>
        </w:rPr>
        <w:t xml:space="preserve"> </w:t>
      </w:r>
      <w:r>
        <w:t>mayor</w:t>
      </w:r>
      <w:r>
        <w:rPr>
          <w:spacing w:val="-3"/>
        </w:rPr>
        <w:t xml:space="preserve"> </w:t>
      </w:r>
      <w:r>
        <w:t>de</w:t>
      </w:r>
      <w:r>
        <w:rPr>
          <w:spacing w:val="-2"/>
        </w:rPr>
        <w:t xml:space="preserve"> </w:t>
      </w:r>
      <w:r>
        <w:t>todas,</w:t>
      </w:r>
      <w:r>
        <w:rPr>
          <w:spacing w:val="-2"/>
        </w:rPr>
        <w:t xml:space="preserve"> </w:t>
      </w:r>
      <w:r>
        <w:t>la</w:t>
      </w:r>
      <w:r>
        <w:rPr>
          <w:spacing w:val="-2"/>
        </w:rPr>
        <w:t xml:space="preserve"> </w:t>
      </w:r>
      <w:r>
        <w:t>pusieron</w:t>
      </w:r>
      <w:r>
        <w:rPr>
          <w:spacing w:val="-2"/>
        </w:rPr>
        <w:t xml:space="preserve"> </w:t>
      </w:r>
      <w:r>
        <w:t>la</w:t>
      </w:r>
      <w:r>
        <w:rPr>
          <w:spacing w:val="-2"/>
        </w:rPr>
        <w:t xml:space="preserve"> </w:t>
      </w:r>
      <w:r>
        <w:t>UP,</w:t>
      </w:r>
      <w:r>
        <w:rPr>
          <w:spacing w:val="-2"/>
        </w:rPr>
        <w:t xml:space="preserve"> </w:t>
      </w:r>
      <w:r>
        <w:t>los</w:t>
      </w:r>
      <w:r>
        <w:rPr>
          <w:spacing w:val="-2"/>
        </w:rPr>
        <w:t xml:space="preserve"> </w:t>
      </w:r>
      <w:r>
        <w:t>campesinos,</w:t>
      </w:r>
      <w:r>
        <w:rPr>
          <w:spacing w:val="-2"/>
        </w:rPr>
        <w:t xml:space="preserve"> </w:t>
      </w:r>
      <w:r>
        <w:t>los</w:t>
      </w:r>
      <w:r>
        <w:rPr>
          <w:spacing w:val="-3"/>
        </w:rPr>
        <w:t xml:space="preserve"> </w:t>
      </w:r>
      <w:r>
        <w:t>líderes</w:t>
      </w:r>
      <w:r>
        <w:rPr>
          <w:spacing w:val="-2"/>
        </w:rPr>
        <w:t xml:space="preserve"> </w:t>
      </w:r>
      <w:r>
        <w:t>políticos</w:t>
      </w:r>
      <w:r>
        <w:rPr>
          <w:spacing w:val="-2"/>
        </w:rPr>
        <w:t xml:space="preserve"> </w:t>
      </w:r>
      <w:r>
        <w:t>de todos los partidos, los sindicalistas y un largo etcétera dependiendo de la región y el momento. En medio de esa violencia, resistieron y lograron mantener viva y activa la democracia</w:t>
      </w:r>
      <w:r>
        <w:rPr>
          <w:spacing w:val="-15"/>
        </w:rPr>
        <w:t xml:space="preserve"> </w:t>
      </w:r>
      <w:r>
        <w:t>local</w:t>
      </w:r>
      <w:r>
        <w:rPr>
          <w:spacing w:val="-15"/>
        </w:rPr>
        <w:t xml:space="preserve"> </w:t>
      </w:r>
      <w:r>
        <w:t>y</w:t>
      </w:r>
      <w:r>
        <w:rPr>
          <w:spacing w:val="-15"/>
        </w:rPr>
        <w:t xml:space="preserve"> </w:t>
      </w:r>
      <w:r>
        <w:t>nacional.</w:t>
      </w:r>
      <w:r>
        <w:rPr>
          <w:spacing w:val="-15"/>
        </w:rPr>
        <w:t xml:space="preserve"> </w:t>
      </w:r>
      <w:r>
        <w:t>A</w:t>
      </w:r>
      <w:r>
        <w:rPr>
          <w:spacing w:val="-15"/>
        </w:rPr>
        <w:t xml:space="preserve"> </w:t>
      </w:r>
      <w:r>
        <w:t>esa</w:t>
      </w:r>
      <w:r>
        <w:rPr>
          <w:spacing w:val="-15"/>
        </w:rPr>
        <w:t xml:space="preserve"> </w:t>
      </w:r>
      <w:r>
        <w:t>resistencia</w:t>
      </w:r>
      <w:r>
        <w:rPr>
          <w:spacing w:val="-15"/>
        </w:rPr>
        <w:t xml:space="preserve"> </w:t>
      </w:r>
      <w:r>
        <w:t>civil</w:t>
      </w:r>
      <w:r>
        <w:rPr>
          <w:spacing w:val="-15"/>
        </w:rPr>
        <w:t xml:space="preserve"> </w:t>
      </w:r>
      <w:r>
        <w:t>se</w:t>
      </w:r>
      <w:r>
        <w:rPr>
          <w:spacing w:val="-15"/>
        </w:rPr>
        <w:t xml:space="preserve"> </w:t>
      </w:r>
      <w:r>
        <w:t>le</w:t>
      </w:r>
      <w:r>
        <w:rPr>
          <w:spacing w:val="-15"/>
        </w:rPr>
        <w:t xml:space="preserve"> </w:t>
      </w:r>
      <w:r>
        <w:t>debe</w:t>
      </w:r>
      <w:r>
        <w:rPr>
          <w:spacing w:val="-15"/>
        </w:rPr>
        <w:t xml:space="preserve"> </w:t>
      </w:r>
      <w:r>
        <w:t>reconocer</w:t>
      </w:r>
      <w:r>
        <w:rPr>
          <w:spacing w:val="-15"/>
        </w:rPr>
        <w:t xml:space="preserve"> </w:t>
      </w:r>
      <w:r>
        <w:t>un</w:t>
      </w:r>
      <w:r>
        <w:rPr>
          <w:spacing w:val="-15"/>
        </w:rPr>
        <w:t xml:space="preserve"> </w:t>
      </w:r>
      <w:r>
        <w:t>lugar</w:t>
      </w:r>
      <w:r>
        <w:rPr>
          <w:spacing w:val="-15"/>
        </w:rPr>
        <w:t xml:space="preserve"> </w:t>
      </w:r>
      <w:r>
        <w:t>en</w:t>
      </w:r>
      <w:r>
        <w:rPr>
          <w:spacing w:val="-15"/>
        </w:rPr>
        <w:t xml:space="preserve"> </w:t>
      </w:r>
      <w:r>
        <w:t>la</w:t>
      </w:r>
      <w:r>
        <w:rPr>
          <w:spacing w:val="-15"/>
        </w:rPr>
        <w:t xml:space="preserve"> </w:t>
      </w:r>
      <w:r>
        <w:t>historia como</w:t>
      </w:r>
      <w:r>
        <w:rPr>
          <w:spacing w:val="-15"/>
        </w:rPr>
        <w:t xml:space="preserve"> </w:t>
      </w:r>
      <w:r>
        <w:t>el</w:t>
      </w:r>
      <w:r>
        <w:rPr>
          <w:spacing w:val="-14"/>
        </w:rPr>
        <w:t xml:space="preserve"> </w:t>
      </w:r>
      <w:r>
        <w:t>capital</w:t>
      </w:r>
      <w:r>
        <w:rPr>
          <w:spacing w:val="-15"/>
        </w:rPr>
        <w:t xml:space="preserve"> </w:t>
      </w:r>
      <w:r>
        <w:t>social</w:t>
      </w:r>
      <w:r>
        <w:rPr>
          <w:spacing w:val="-15"/>
        </w:rPr>
        <w:t xml:space="preserve"> </w:t>
      </w:r>
      <w:r>
        <w:t>más</w:t>
      </w:r>
      <w:r>
        <w:rPr>
          <w:spacing w:val="-14"/>
        </w:rPr>
        <w:t xml:space="preserve"> </w:t>
      </w:r>
      <w:r>
        <w:t>significativo</w:t>
      </w:r>
      <w:r>
        <w:rPr>
          <w:spacing w:val="-15"/>
        </w:rPr>
        <w:t xml:space="preserve"> </w:t>
      </w:r>
      <w:r>
        <w:t>para</w:t>
      </w:r>
      <w:r>
        <w:rPr>
          <w:spacing w:val="-14"/>
        </w:rPr>
        <w:t xml:space="preserve"> </w:t>
      </w:r>
      <w:r>
        <w:t>la</w:t>
      </w:r>
      <w:r>
        <w:rPr>
          <w:spacing w:val="-15"/>
        </w:rPr>
        <w:t xml:space="preserve"> </w:t>
      </w:r>
      <w:r>
        <w:t>paz</w:t>
      </w:r>
      <w:r>
        <w:rPr>
          <w:spacing w:val="-15"/>
        </w:rPr>
        <w:t xml:space="preserve"> </w:t>
      </w:r>
      <w:r>
        <w:t>en</w:t>
      </w:r>
      <w:r>
        <w:rPr>
          <w:spacing w:val="-14"/>
        </w:rPr>
        <w:t xml:space="preserve"> </w:t>
      </w:r>
      <w:r>
        <w:t>Colombia:</w:t>
      </w:r>
      <w:r>
        <w:rPr>
          <w:spacing w:val="-15"/>
        </w:rPr>
        <w:t xml:space="preserve"> </w:t>
      </w:r>
      <w:r>
        <w:t>su</w:t>
      </w:r>
      <w:r>
        <w:rPr>
          <w:spacing w:val="-15"/>
        </w:rPr>
        <w:t xml:space="preserve"> </w:t>
      </w:r>
      <w:r>
        <w:t>verdadera</w:t>
      </w:r>
      <w:r>
        <w:rPr>
          <w:spacing w:val="-14"/>
        </w:rPr>
        <w:t xml:space="preserve"> </w:t>
      </w:r>
      <w:r>
        <w:t xml:space="preserve">infraestructura </w:t>
      </w:r>
      <w:r>
        <w:rPr>
          <w:spacing w:val="-2"/>
        </w:rPr>
        <w:t>humana.</w:t>
      </w:r>
    </w:p>
    <w:p w:rsidR="003804AC" w:rsidRDefault="00AF18A5" w:rsidP="00510926">
      <w:bookmarkStart w:id="142" w:name="_bookmark88"/>
      <w:bookmarkEnd w:id="142"/>
      <w:r>
        <w:lastRenderedPageBreak/>
        <w:t>Después de la Constitución, sin embargo, vino la gran guerra. ¿Por qué? Con la Constitución de 1991 se incorporó a una parte de las izquierdas en el sistema político, pero la consecuencia intrínseca del nuevo pacto fue la ruptura también de las hegemonías partidistas tradicionales. La idea era que, para democratizar al país, también era necesario superar el bipartidismo.</w:t>
      </w:r>
    </w:p>
    <w:p w:rsidR="003804AC" w:rsidRDefault="00AF18A5" w:rsidP="00510926">
      <w:r>
        <w:t>La década de los noventa comenzó, pues, con una gran fragmentación política y con un Estado que impulsó la apertura económica sin lograr una gestión incluyente de ella y con consecuencias negativas para muchos sectores sociales, especialmente para los ligados a la tierra</w:t>
      </w:r>
      <w:r>
        <w:rPr>
          <w:spacing w:val="-2"/>
        </w:rPr>
        <w:t xml:space="preserve"> </w:t>
      </w:r>
      <w:r>
        <w:t>y</w:t>
      </w:r>
      <w:r>
        <w:rPr>
          <w:spacing w:val="-2"/>
        </w:rPr>
        <w:t xml:space="preserve"> </w:t>
      </w:r>
      <w:r>
        <w:t>los</w:t>
      </w:r>
      <w:r>
        <w:rPr>
          <w:spacing w:val="-2"/>
        </w:rPr>
        <w:t xml:space="preserve"> </w:t>
      </w:r>
      <w:r>
        <w:t>sindicales.</w:t>
      </w:r>
      <w:r>
        <w:rPr>
          <w:spacing w:val="-2"/>
        </w:rPr>
        <w:t xml:space="preserve"> </w:t>
      </w:r>
      <w:r>
        <w:t>Esto</w:t>
      </w:r>
      <w:r>
        <w:rPr>
          <w:spacing w:val="-2"/>
        </w:rPr>
        <w:t xml:space="preserve"> </w:t>
      </w:r>
      <w:r>
        <w:t>profundizó</w:t>
      </w:r>
      <w:r>
        <w:rPr>
          <w:spacing w:val="-2"/>
        </w:rPr>
        <w:t xml:space="preserve"> </w:t>
      </w:r>
      <w:r>
        <w:t>la</w:t>
      </w:r>
      <w:r>
        <w:rPr>
          <w:spacing w:val="-2"/>
        </w:rPr>
        <w:t xml:space="preserve"> </w:t>
      </w:r>
      <w:r>
        <w:t>descentralización</w:t>
      </w:r>
      <w:r>
        <w:rPr>
          <w:spacing w:val="-2"/>
        </w:rPr>
        <w:t xml:space="preserve"> </w:t>
      </w:r>
      <w:r>
        <w:t>para</w:t>
      </w:r>
      <w:r>
        <w:rPr>
          <w:spacing w:val="-2"/>
        </w:rPr>
        <w:t xml:space="preserve"> </w:t>
      </w:r>
      <w:r>
        <w:t>un</w:t>
      </w:r>
      <w:r>
        <w:rPr>
          <w:spacing w:val="-2"/>
        </w:rPr>
        <w:t xml:space="preserve"> </w:t>
      </w:r>
      <w:r>
        <w:t>Estado</w:t>
      </w:r>
      <w:r>
        <w:rPr>
          <w:spacing w:val="-3"/>
        </w:rPr>
        <w:t xml:space="preserve"> </w:t>
      </w:r>
      <w:r>
        <w:t>que</w:t>
      </w:r>
      <w:r>
        <w:rPr>
          <w:spacing w:val="-2"/>
        </w:rPr>
        <w:t xml:space="preserve"> </w:t>
      </w:r>
      <w:r>
        <w:t>no</w:t>
      </w:r>
      <w:r>
        <w:rPr>
          <w:spacing w:val="-2"/>
        </w:rPr>
        <w:t xml:space="preserve"> </w:t>
      </w:r>
      <w:r>
        <w:t>conocía</w:t>
      </w:r>
      <w:r>
        <w:rPr>
          <w:spacing w:val="-2"/>
        </w:rPr>
        <w:t xml:space="preserve"> </w:t>
      </w:r>
      <w:r>
        <w:t>a fondo su propio territorio y que vivía dos bonanzas: la del petróleo y la de la coca.</w:t>
      </w:r>
    </w:p>
    <w:p w:rsidR="003804AC" w:rsidRDefault="00AF18A5" w:rsidP="00510926">
      <w:r>
        <w:t>Hay por lo menos cinco factores más que explican la llegada de esa gran guerra. 1) A la competencia</w:t>
      </w:r>
      <w:r>
        <w:rPr>
          <w:spacing w:val="-8"/>
        </w:rPr>
        <w:t xml:space="preserve"> </w:t>
      </w:r>
      <w:r>
        <w:t>política</w:t>
      </w:r>
      <w:r>
        <w:rPr>
          <w:spacing w:val="-7"/>
        </w:rPr>
        <w:t xml:space="preserve"> </w:t>
      </w:r>
      <w:r>
        <w:t>se</w:t>
      </w:r>
      <w:r>
        <w:rPr>
          <w:spacing w:val="-8"/>
        </w:rPr>
        <w:t xml:space="preserve"> </w:t>
      </w:r>
      <w:r>
        <w:t>le</w:t>
      </w:r>
      <w:r>
        <w:rPr>
          <w:spacing w:val="-7"/>
        </w:rPr>
        <w:t xml:space="preserve"> </w:t>
      </w:r>
      <w:r>
        <w:t>sumó</w:t>
      </w:r>
      <w:r>
        <w:rPr>
          <w:spacing w:val="-8"/>
        </w:rPr>
        <w:t xml:space="preserve"> </w:t>
      </w:r>
      <w:r>
        <w:t>una</w:t>
      </w:r>
      <w:r>
        <w:rPr>
          <w:spacing w:val="-8"/>
        </w:rPr>
        <w:t xml:space="preserve"> </w:t>
      </w:r>
      <w:r>
        <w:t>fuerte</w:t>
      </w:r>
      <w:r>
        <w:rPr>
          <w:spacing w:val="-8"/>
        </w:rPr>
        <w:t xml:space="preserve"> </w:t>
      </w:r>
      <w:r>
        <w:t>competencia</w:t>
      </w:r>
      <w:r>
        <w:rPr>
          <w:spacing w:val="-7"/>
        </w:rPr>
        <w:t xml:space="preserve"> </w:t>
      </w:r>
      <w:r>
        <w:t>por</w:t>
      </w:r>
      <w:r>
        <w:rPr>
          <w:spacing w:val="-8"/>
        </w:rPr>
        <w:t xml:space="preserve"> </w:t>
      </w:r>
      <w:r>
        <w:t>las</w:t>
      </w:r>
      <w:r>
        <w:rPr>
          <w:spacing w:val="-7"/>
        </w:rPr>
        <w:t xml:space="preserve"> </w:t>
      </w:r>
      <w:r>
        <w:t>rentas</w:t>
      </w:r>
      <w:r>
        <w:rPr>
          <w:spacing w:val="-8"/>
        </w:rPr>
        <w:t xml:space="preserve"> </w:t>
      </w:r>
      <w:r>
        <w:t>lícitas</w:t>
      </w:r>
      <w:r>
        <w:rPr>
          <w:spacing w:val="-7"/>
        </w:rPr>
        <w:t xml:space="preserve"> </w:t>
      </w:r>
      <w:r>
        <w:t>e</w:t>
      </w:r>
      <w:r>
        <w:rPr>
          <w:spacing w:val="-8"/>
        </w:rPr>
        <w:t xml:space="preserve"> </w:t>
      </w:r>
      <w:r>
        <w:t>ilícitas,</w:t>
      </w:r>
      <w:r>
        <w:rPr>
          <w:spacing w:val="-10"/>
        </w:rPr>
        <w:t xml:space="preserve"> </w:t>
      </w:r>
      <w:r>
        <w:t>lo</w:t>
      </w:r>
      <w:r>
        <w:rPr>
          <w:spacing w:val="-7"/>
        </w:rPr>
        <w:t xml:space="preserve"> </w:t>
      </w:r>
      <w:r>
        <w:t>que se</w:t>
      </w:r>
      <w:r>
        <w:rPr>
          <w:spacing w:val="-4"/>
        </w:rPr>
        <w:t xml:space="preserve"> </w:t>
      </w:r>
      <w:r>
        <w:t>reflejó</w:t>
      </w:r>
      <w:r>
        <w:rPr>
          <w:spacing w:val="-4"/>
        </w:rPr>
        <w:t xml:space="preserve"> </w:t>
      </w:r>
      <w:r>
        <w:t>en</w:t>
      </w:r>
      <w:r>
        <w:rPr>
          <w:spacing w:val="-5"/>
        </w:rPr>
        <w:t xml:space="preserve"> </w:t>
      </w:r>
      <w:r>
        <w:t>las</w:t>
      </w:r>
      <w:r>
        <w:rPr>
          <w:spacing w:val="-3"/>
        </w:rPr>
        <w:t xml:space="preserve"> </w:t>
      </w:r>
      <w:r>
        <w:t>disputas</w:t>
      </w:r>
      <w:r>
        <w:rPr>
          <w:spacing w:val="-5"/>
        </w:rPr>
        <w:t xml:space="preserve"> </w:t>
      </w:r>
      <w:r>
        <w:t>por</w:t>
      </w:r>
      <w:r>
        <w:rPr>
          <w:spacing w:val="-3"/>
        </w:rPr>
        <w:t xml:space="preserve"> </w:t>
      </w:r>
      <w:r>
        <w:t>el</w:t>
      </w:r>
      <w:r>
        <w:rPr>
          <w:spacing w:val="-3"/>
        </w:rPr>
        <w:t xml:space="preserve"> </w:t>
      </w:r>
      <w:r>
        <w:t>poder</w:t>
      </w:r>
      <w:r>
        <w:rPr>
          <w:spacing w:val="-4"/>
        </w:rPr>
        <w:t xml:space="preserve"> </w:t>
      </w:r>
      <w:r>
        <w:t>local.</w:t>
      </w:r>
      <w:r>
        <w:rPr>
          <w:spacing w:val="-4"/>
        </w:rPr>
        <w:t xml:space="preserve"> </w:t>
      </w:r>
      <w:r>
        <w:t>Las</w:t>
      </w:r>
      <w:r>
        <w:rPr>
          <w:spacing w:val="-4"/>
        </w:rPr>
        <w:t xml:space="preserve"> </w:t>
      </w:r>
      <w:r>
        <w:t>guerrillas</w:t>
      </w:r>
      <w:r>
        <w:rPr>
          <w:spacing w:val="-3"/>
        </w:rPr>
        <w:t xml:space="preserve"> </w:t>
      </w:r>
      <w:r>
        <w:t>en</w:t>
      </w:r>
      <w:r>
        <w:rPr>
          <w:spacing w:val="-5"/>
        </w:rPr>
        <w:t xml:space="preserve"> </w:t>
      </w:r>
      <w:r>
        <w:t>particular</w:t>
      </w:r>
      <w:r>
        <w:rPr>
          <w:spacing w:val="-3"/>
        </w:rPr>
        <w:t xml:space="preserve"> </w:t>
      </w:r>
      <w:r>
        <w:t>se</w:t>
      </w:r>
      <w:r>
        <w:rPr>
          <w:spacing w:val="-5"/>
        </w:rPr>
        <w:t xml:space="preserve"> </w:t>
      </w:r>
      <w:r>
        <w:t>disputaron</w:t>
      </w:r>
      <w:r>
        <w:rPr>
          <w:spacing w:val="-4"/>
        </w:rPr>
        <w:t xml:space="preserve"> </w:t>
      </w:r>
      <w:r>
        <w:t>la</w:t>
      </w:r>
      <w:r>
        <w:rPr>
          <w:spacing w:val="-3"/>
        </w:rPr>
        <w:t xml:space="preserve"> </w:t>
      </w:r>
      <w:r>
        <w:t>coca y la minería, y desde los sectores en el poder, el incremento en los costos de las campañas incentivó la corrupción. 2) El narcotráfico se consolidó como un actor político-militar que financió y articuló una coalición contra las reformas y la democratización que se derivaban de la Constitución a través del proyecto paramilitar. 3) Una parte del país y de la población continuó excluida del pacto; y las guerrillas se afincaron precisamente en esos territorios marginados</w:t>
      </w:r>
      <w:r>
        <w:rPr>
          <w:spacing w:val="-3"/>
        </w:rPr>
        <w:t xml:space="preserve"> </w:t>
      </w:r>
      <w:r>
        <w:t>para</w:t>
      </w:r>
      <w:r>
        <w:rPr>
          <w:spacing w:val="-2"/>
        </w:rPr>
        <w:t xml:space="preserve"> </w:t>
      </w:r>
      <w:r>
        <w:t>continuar</w:t>
      </w:r>
      <w:r>
        <w:rPr>
          <w:spacing w:val="-2"/>
        </w:rPr>
        <w:t xml:space="preserve"> </w:t>
      </w:r>
      <w:r>
        <w:t>con</w:t>
      </w:r>
      <w:r>
        <w:rPr>
          <w:spacing w:val="-2"/>
        </w:rPr>
        <w:t xml:space="preserve"> </w:t>
      </w:r>
      <w:r>
        <w:t>el</w:t>
      </w:r>
      <w:r>
        <w:rPr>
          <w:spacing w:val="-2"/>
        </w:rPr>
        <w:t xml:space="preserve"> </w:t>
      </w:r>
      <w:r>
        <w:t>conflicto.</w:t>
      </w:r>
      <w:r>
        <w:rPr>
          <w:spacing w:val="-2"/>
        </w:rPr>
        <w:t xml:space="preserve"> </w:t>
      </w:r>
      <w:r>
        <w:t>4)</w:t>
      </w:r>
      <w:r>
        <w:rPr>
          <w:spacing w:val="-2"/>
        </w:rPr>
        <w:t xml:space="preserve"> </w:t>
      </w:r>
      <w:r>
        <w:t>La</w:t>
      </w:r>
      <w:r>
        <w:rPr>
          <w:spacing w:val="-2"/>
        </w:rPr>
        <w:t xml:space="preserve"> </w:t>
      </w:r>
      <w:r>
        <w:t>guerra</w:t>
      </w:r>
      <w:r>
        <w:rPr>
          <w:spacing w:val="-2"/>
        </w:rPr>
        <w:t xml:space="preserve"> </w:t>
      </w:r>
      <w:r>
        <w:t>contra</w:t>
      </w:r>
      <w:r>
        <w:rPr>
          <w:spacing w:val="-3"/>
        </w:rPr>
        <w:t xml:space="preserve"> </w:t>
      </w:r>
      <w:r>
        <w:t>las</w:t>
      </w:r>
      <w:r>
        <w:rPr>
          <w:spacing w:val="-2"/>
        </w:rPr>
        <w:t xml:space="preserve"> </w:t>
      </w:r>
      <w:r>
        <w:t>drogas</w:t>
      </w:r>
      <w:r>
        <w:rPr>
          <w:spacing w:val="-2"/>
        </w:rPr>
        <w:t xml:space="preserve"> </w:t>
      </w:r>
      <w:r>
        <w:t>avivó</w:t>
      </w:r>
      <w:r>
        <w:rPr>
          <w:spacing w:val="-2"/>
        </w:rPr>
        <w:t xml:space="preserve"> </w:t>
      </w:r>
      <w:r>
        <w:t>el</w:t>
      </w:r>
      <w:r>
        <w:rPr>
          <w:spacing w:val="-2"/>
        </w:rPr>
        <w:t xml:space="preserve"> </w:t>
      </w:r>
      <w:r>
        <w:t>fuego</w:t>
      </w:r>
      <w:r>
        <w:rPr>
          <w:spacing w:val="-2"/>
        </w:rPr>
        <w:t xml:space="preserve"> </w:t>
      </w:r>
      <w:r>
        <w:t>de la</w:t>
      </w:r>
      <w:r>
        <w:rPr>
          <w:spacing w:val="-2"/>
        </w:rPr>
        <w:t xml:space="preserve"> </w:t>
      </w:r>
      <w:r>
        <w:t>violencia.</w:t>
      </w:r>
      <w:r>
        <w:rPr>
          <w:spacing w:val="-4"/>
        </w:rPr>
        <w:t xml:space="preserve"> </w:t>
      </w:r>
      <w:r>
        <w:t>5)</w:t>
      </w:r>
      <w:r>
        <w:rPr>
          <w:spacing w:val="-2"/>
        </w:rPr>
        <w:t xml:space="preserve"> </w:t>
      </w:r>
      <w:r>
        <w:t>Y</w:t>
      </w:r>
      <w:r>
        <w:rPr>
          <w:spacing w:val="-3"/>
        </w:rPr>
        <w:t xml:space="preserve"> </w:t>
      </w:r>
      <w:r>
        <w:t>la</w:t>
      </w:r>
      <w:r>
        <w:rPr>
          <w:spacing w:val="-2"/>
        </w:rPr>
        <w:t xml:space="preserve"> </w:t>
      </w:r>
      <w:r>
        <w:t>idea</w:t>
      </w:r>
      <w:r>
        <w:rPr>
          <w:spacing w:val="-3"/>
        </w:rPr>
        <w:t xml:space="preserve"> </w:t>
      </w:r>
      <w:r>
        <w:t>de</w:t>
      </w:r>
      <w:r>
        <w:rPr>
          <w:spacing w:val="-2"/>
        </w:rPr>
        <w:t xml:space="preserve"> </w:t>
      </w:r>
      <w:r>
        <w:t>la</w:t>
      </w:r>
      <w:r>
        <w:rPr>
          <w:spacing w:val="-2"/>
        </w:rPr>
        <w:t xml:space="preserve"> </w:t>
      </w:r>
      <w:r>
        <w:t>paz</w:t>
      </w:r>
      <w:r>
        <w:rPr>
          <w:spacing w:val="-2"/>
        </w:rPr>
        <w:t xml:space="preserve"> </w:t>
      </w:r>
      <w:r>
        <w:t>como</w:t>
      </w:r>
      <w:r>
        <w:rPr>
          <w:spacing w:val="-2"/>
        </w:rPr>
        <w:t xml:space="preserve"> </w:t>
      </w:r>
      <w:r>
        <w:t>el</w:t>
      </w:r>
      <w:r>
        <w:rPr>
          <w:spacing w:val="-2"/>
        </w:rPr>
        <w:t xml:space="preserve"> </w:t>
      </w:r>
      <w:r>
        <w:t>silencio</w:t>
      </w:r>
      <w:r>
        <w:rPr>
          <w:spacing w:val="-2"/>
        </w:rPr>
        <w:t xml:space="preserve"> </w:t>
      </w:r>
      <w:r>
        <w:t>de</w:t>
      </w:r>
      <w:r>
        <w:rPr>
          <w:spacing w:val="-2"/>
        </w:rPr>
        <w:t xml:space="preserve"> </w:t>
      </w:r>
      <w:r>
        <w:t>los</w:t>
      </w:r>
      <w:r>
        <w:rPr>
          <w:spacing w:val="-2"/>
        </w:rPr>
        <w:t xml:space="preserve"> </w:t>
      </w:r>
      <w:r>
        <w:t>fusiles,</w:t>
      </w:r>
      <w:r>
        <w:rPr>
          <w:spacing w:val="-2"/>
        </w:rPr>
        <w:t xml:space="preserve"> </w:t>
      </w:r>
      <w:r>
        <w:t>y</w:t>
      </w:r>
      <w:r>
        <w:rPr>
          <w:spacing w:val="-2"/>
        </w:rPr>
        <w:t xml:space="preserve"> </w:t>
      </w:r>
      <w:r>
        <w:t>no</w:t>
      </w:r>
      <w:r>
        <w:rPr>
          <w:spacing w:val="-2"/>
        </w:rPr>
        <w:t xml:space="preserve"> </w:t>
      </w:r>
      <w:r>
        <w:t>como</w:t>
      </w:r>
      <w:r>
        <w:rPr>
          <w:spacing w:val="-2"/>
        </w:rPr>
        <w:t xml:space="preserve"> </w:t>
      </w:r>
      <w:r>
        <w:t>un</w:t>
      </w:r>
      <w:r>
        <w:rPr>
          <w:spacing w:val="-2"/>
        </w:rPr>
        <w:t xml:space="preserve"> </w:t>
      </w:r>
      <w:r>
        <w:t>proyecto</w:t>
      </w:r>
      <w:r>
        <w:rPr>
          <w:spacing w:val="-2"/>
        </w:rPr>
        <w:t xml:space="preserve"> </w:t>
      </w:r>
      <w:r>
        <w:t xml:space="preserve">de paz </w:t>
      </w:r>
      <w:r>
        <w:lastRenderedPageBreak/>
        <w:t>territorial y reconciliación nacional, primó entre las mayorías</w:t>
      </w:r>
      <w:r w:rsidR="00510926">
        <w:rPr>
          <w:rStyle w:val="Refdenotaalpie"/>
        </w:rPr>
        <w:footnoteReference w:id="79"/>
      </w:r>
      <w:r>
        <w:t>.</w:t>
      </w:r>
    </w:p>
    <w:p w:rsidR="003804AC" w:rsidRDefault="00AF18A5" w:rsidP="00510926">
      <w:r>
        <w:t>En su momento, muchos sectores advirtieron sobre el riesgo de una paz incompleta e intentaron</w:t>
      </w:r>
      <w:r>
        <w:rPr>
          <w:spacing w:val="14"/>
        </w:rPr>
        <w:t xml:space="preserve"> </w:t>
      </w:r>
      <w:r>
        <w:t>no</w:t>
      </w:r>
      <w:r>
        <w:rPr>
          <w:spacing w:val="14"/>
        </w:rPr>
        <w:t xml:space="preserve"> </w:t>
      </w:r>
      <w:r>
        <w:t>solo</w:t>
      </w:r>
      <w:r>
        <w:rPr>
          <w:spacing w:val="15"/>
        </w:rPr>
        <w:t xml:space="preserve"> </w:t>
      </w:r>
      <w:r>
        <w:t>acercar</w:t>
      </w:r>
      <w:r>
        <w:rPr>
          <w:spacing w:val="15"/>
        </w:rPr>
        <w:t xml:space="preserve"> </w:t>
      </w:r>
      <w:r>
        <w:t>a</w:t>
      </w:r>
      <w:r>
        <w:rPr>
          <w:spacing w:val="14"/>
        </w:rPr>
        <w:t xml:space="preserve"> </w:t>
      </w:r>
      <w:r>
        <w:t>las</w:t>
      </w:r>
      <w:r>
        <w:rPr>
          <w:spacing w:val="14"/>
        </w:rPr>
        <w:t xml:space="preserve"> </w:t>
      </w:r>
      <w:r>
        <w:t>FARC-EP,</w:t>
      </w:r>
      <w:r>
        <w:rPr>
          <w:spacing w:val="15"/>
        </w:rPr>
        <w:t xml:space="preserve"> </w:t>
      </w:r>
      <w:r>
        <w:t>el</w:t>
      </w:r>
      <w:r>
        <w:rPr>
          <w:spacing w:val="15"/>
        </w:rPr>
        <w:t xml:space="preserve"> </w:t>
      </w:r>
      <w:r>
        <w:t>ELN</w:t>
      </w:r>
      <w:r>
        <w:rPr>
          <w:spacing w:val="14"/>
        </w:rPr>
        <w:t xml:space="preserve"> </w:t>
      </w:r>
      <w:r>
        <w:t>y</w:t>
      </w:r>
      <w:r>
        <w:rPr>
          <w:spacing w:val="15"/>
        </w:rPr>
        <w:t xml:space="preserve"> </w:t>
      </w:r>
      <w:r>
        <w:t>lo</w:t>
      </w:r>
      <w:r>
        <w:rPr>
          <w:spacing w:val="14"/>
        </w:rPr>
        <w:t xml:space="preserve"> </w:t>
      </w:r>
      <w:r>
        <w:t>que</w:t>
      </w:r>
      <w:r>
        <w:rPr>
          <w:spacing w:val="15"/>
        </w:rPr>
        <w:t xml:space="preserve"> </w:t>
      </w:r>
      <w:r>
        <w:t>quedaba</w:t>
      </w:r>
      <w:r>
        <w:rPr>
          <w:spacing w:val="14"/>
        </w:rPr>
        <w:t xml:space="preserve"> </w:t>
      </w:r>
      <w:r>
        <w:t>del</w:t>
      </w:r>
      <w:r>
        <w:rPr>
          <w:spacing w:val="16"/>
        </w:rPr>
        <w:t xml:space="preserve"> </w:t>
      </w:r>
      <w:r>
        <w:t>EPL</w:t>
      </w:r>
      <w:r w:rsidR="00510926">
        <w:rPr>
          <w:rStyle w:val="Refdenotaalpie"/>
        </w:rPr>
        <w:footnoteReference w:id="80"/>
      </w:r>
      <w:r>
        <w:t>,</w:t>
      </w:r>
      <w:r>
        <w:rPr>
          <w:spacing w:val="14"/>
        </w:rPr>
        <w:t xml:space="preserve"> </w:t>
      </w:r>
      <w:r>
        <w:t>sino</w:t>
      </w:r>
      <w:r>
        <w:rPr>
          <w:spacing w:val="13"/>
        </w:rPr>
        <w:t xml:space="preserve"> </w:t>
      </w:r>
      <w:r>
        <w:t>a</w:t>
      </w:r>
      <w:r>
        <w:rPr>
          <w:spacing w:val="15"/>
        </w:rPr>
        <w:t xml:space="preserve"> </w:t>
      </w:r>
      <w:r>
        <w:rPr>
          <w:spacing w:val="-5"/>
        </w:rPr>
        <w:t>los</w:t>
      </w:r>
      <w:bookmarkStart w:id="143" w:name="_bookmark89"/>
      <w:bookmarkEnd w:id="143"/>
      <w:r w:rsidR="00510926">
        <w:t xml:space="preserve"> </w:t>
      </w:r>
      <w:r>
        <w:t>grupos paramilitares hacia el proceso constituyente</w:t>
      </w:r>
      <w:r w:rsidR="00510926">
        <w:rPr>
          <w:rStyle w:val="Refdenotaalpie"/>
        </w:rPr>
        <w:footnoteReference w:id="81"/>
      </w:r>
      <w:r>
        <w:t>. Esto no se logró. Por un lado, para algunos sectores reaccionarios, la Constitución abrió demasiado la democracia, por lo que era necesario cerrarla a tiros. Por otro, para las guerrillas de las FARC-EP y el ELN, la Constitución de 1991 no cambiaba nada de fondo. Los hechos muestran que hubo cierta resignación frente a esta paz parcelada. El abandono por parte del Gobierno de los diálogos de Tlaxcala, en México, con estas guerrillas que seguían en armas</w:t>
      </w:r>
      <w:r w:rsidR="00510926">
        <w:rPr>
          <w:rStyle w:val="Refdenotaalpie"/>
        </w:rPr>
        <w:footnoteReference w:id="82"/>
      </w:r>
      <w:r>
        <w:t xml:space="preserve"> y medidas como la creación de la Convivir</w:t>
      </w:r>
      <w:r w:rsidR="00510926">
        <w:rPr>
          <w:rStyle w:val="Refdenotaalpie"/>
        </w:rPr>
        <w:footnoteReference w:id="83"/>
      </w:r>
      <w:r>
        <w:t xml:space="preserve"> avivaron el conflicto.</w:t>
      </w:r>
    </w:p>
    <w:p w:rsidR="003804AC" w:rsidRDefault="00AF18A5" w:rsidP="00510926">
      <w:r>
        <w:t>En</w:t>
      </w:r>
      <w:r>
        <w:rPr>
          <w:spacing w:val="-13"/>
        </w:rPr>
        <w:t xml:space="preserve"> </w:t>
      </w:r>
      <w:r>
        <w:t>ese</w:t>
      </w:r>
      <w:r>
        <w:rPr>
          <w:spacing w:val="-13"/>
        </w:rPr>
        <w:t xml:space="preserve"> </w:t>
      </w:r>
      <w:r>
        <w:t>momento,</w:t>
      </w:r>
      <w:r>
        <w:rPr>
          <w:spacing w:val="-13"/>
        </w:rPr>
        <w:t xml:space="preserve"> </w:t>
      </w:r>
      <w:r>
        <w:t>las</w:t>
      </w:r>
      <w:r>
        <w:rPr>
          <w:spacing w:val="-13"/>
        </w:rPr>
        <w:t xml:space="preserve"> </w:t>
      </w:r>
      <w:r>
        <w:t>FARC-EP</w:t>
      </w:r>
      <w:r>
        <w:rPr>
          <w:spacing w:val="-13"/>
        </w:rPr>
        <w:t xml:space="preserve"> </w:t>
      </w:r>
      <w:r>
        <w:t>y</w:t>
      </w:r>
      <w:r>
        <w:rPr>
          <w:spacing w:val="-13"/>
        </w:rPr>
        <w:t xml:space="preserve"> </w:t>
      </w:r>
      <w:r>
        <w:t>el</w:t>
      </w:r>
      <w:r>
        <w:rPr>
          <w:spacing w:val="-13"/>
        </w:rPr>
        <w:t xml:space="preserve"> </w:t>
      </w:r>
      <w:r>
        <w:t>ELN</w:t>
      </w:r>
      <w:r>
        <w:rPr>
          <w:spacing w:val="-13"/>
        </w:rPr>
        <w:t xml:space="preserve"> </w:t>
      </w:r>
      <w:r>
        <w:t>fueron</w:t>
      </w:r>
      <w:r>
        <w:rPr>
          <w:spacing w:val="-13"/>
        </w:rPr>
        <w:t xml:space="preserve"> </w:t>
      </w:r>
      <w:r>
        <w:t>marginadas</w:t>
      </w:r>
      <w:r>
        <w:rPr>
          <w:spacing w:val="-13"/>
        </w:rPr>
        <w:t xml:space="preserve"> </w:t>
      </w:r>
      <w:r>
        <w:t>y</w:t>
      </w:r>
      <w:r>
        <w:rPr>
          <w:spacing w:val="-13"/>
        </w:rPr>
        <w:t xml:space="preserve"> </w:t>
      </w:r>
      <w:r>
        <w:t>también</w:t>
      </w:r>
      <w:r>
        <w:rPr>
          <w:spacing w:val="-13"/>
        </w:rPr>
        <w:t xml:space="preserve"> </w:t>
      </w:r>
      <w:r>
        <w:t>se</w:t>
      </w:r>
      <w:r>
        <w:rPr>
          <w:spacing w:val="-13"/>
        </w:rPr>
        <w:t xml:space="preserve"> </w:t>
      </w:r>
      <w:proofErr w:type="spellStart"/>
      <w:r>
        <w:t>automarginaron</w:t>
      </w:r>
      <w:proofErr w:type="spellEnd"/>
      <w:r>
        <w:t xml:space="preserve"> de la comunidad política. Más que combinación de formas de lucha, en esta etapa lo que hicieron las guerrillas fue erosionar los vínculos con los espacios representativos de la política legal y buscar la instauración de sistemas de control autoritarios en territorios bajo su influencia. En particular, la decisión de la FARC de </w:t>
      </w:r>
      <w:r>
        <w:lastRenderedPageBreak/>
        <w:t>erradicar el Estado en sus territorios fue una de las mayores amenazas a la democracia local recién inaugurada. Una dinámica opuesta a la del narcotráfico que ingresó al «establecimiento» con un éxito incremental a través de diferentes pactos con la clase política, algunas instituciones del Estado y sectores económicos, todo bajo la sombrilla del proyecto paramilitar, que expolió las finanzas del Estado local y nacional.</w:t>
      </w:r>
    </w:p>
    <w:p w:rsidR="003804AC" w:rsidRDefault="00AF18A5" w:rsidP="00911844">
      <w:r>
        <w:t>Vale la pena aclarar que, en Colombia, desde su origen hasta su final, la guerra fue una disputa ideológica en torno al modelo de Estado y sociedad, política en torno a ganarse el favor</w:t>
      </w:r>
      <w:r>
        <w:rPr>
          <w:spacing w:val="-9"/>
        </w:rPr>
        <w:t xml:space="preserve"> </w:t>
      </w:r>
      <w:r>
        <w:t>de</w:t>
      </w:r>
      <w:r>
        <w:rPr>
          <w:spacing w:val="-11"/>
        </w:rPr>
        <w:t xml:space="preserve"> </w:t>
      </w:r>
      <w:r>
        <w:t>las</w:t>
      </w:r>
      <w:r>
        <w:rPr>
          <w:spacing w:val="-12"/>
        </w:rPr>
        <w:t xml:space="preserve"> </w:t>
      </w:r>
      <w:r>
        <w:t>mayorías</w:t>
      </w:r>
      <w:r>
        <w:rPr>
          <w:spacing w:val="-9"/>
        </w:rPr>
        <w:t xml:space="preserve"> </w:t>
      </w:r>
      <w:r>
        <w:t>del</w:t>
      </w:r>
      <w:r>
        <w:rPr>
          <w:spacing w:val="-10"/>
        </w:rPr>
        <w:t xml:space="preserve"> </w:t>
      </w:r>
      <w:r>
        <w:t>país,</w:t>
      </w:r>
      <w:r>
        <w:rPr>
          <w:spacing w:val="-10"/>
        </w:rPr>
        <w:t xml:space="preserve"> </w:t>
      </w:r>
      <w:r>
        <w:t>y</w:t>
      </w:r>
      <w:r>
        <w:rPr>
          <w:spacing w:val="-11"/>
        </w:rPr>
        <w:t xml:space="preserve"> </w:t>
      </w:r>
      <w:r>
        <w:t>económica</w:t>
      </w:r>
      <w:r>
        <w:rPr>
          <w:spacing w:val="-11"/>
        </w:rPr>
        <w:t xml:space="preserve"> </w:t>
      </w:r>
      <w:r>
        <w:t>en</w:t>
      </w:r>
      <w:r>
        <w:rPr>
          <w:spacing w:val="-10"/>
        </w:rPr>
        <w:t xml:space="preserve"> </w:t>
      </w:r>
      <w:r>
        <w:t>torno</w:t>
      </w:r>
      <w:r>
        <w:rPr>
          <w:spacing w:val="-10"/>
        </w:rPr>
        <w:t xml:space="preserve"> </w:t>
      </w:r>
      <w:r>
        <w:t>a</w:t>
      </w:r>
      <w:r>
        <w:rPr>
          <w:spacing w:val="-9"/>
        </w:rPr>
        <w:t xml:space="preserve"> </w:t>
      </w:r>
      <w:r>
        <w:t>la</w:t>
      </w:r>
      <w:r>
        <w:rPr>
          <w:spacing w:val="-9"/>
        </w:rPr>
        <w:t xml:space="preserve"> </w:t>
      </w:r>
      <w:r>
        <w:t>disputa</w:t>
      </w:r>
      <w:r>
        <w:rPr>
          <w:spacing w:val="-9"/>
        </w:rPr>
        <w:t xml:space="preserve"> </w:t>
      </w:r>
      <w:r>
        <w:t>por</w:t>
      </w:r>
      <w:r>
        <w:rPr>
          <w:spacing w:val="-10"/>
        </w:rPr>
        <w:t xml:space="preserve"> </w:t>
      </w:r>
      <w:r>
        <w:t>rentas</w:t>
      </w:r>
      <w:r>
        <w:rPr>
          <w:spacing w:val="-11"/>
        </w:rPr>
        <w:t xml:space="preserve"> </w:t>
      </w:r>
      <w:r>
        <w:t>legales</w:t>
      </w:r>
      <w:r>
        <w:rPr>
          <w:spacing w:val="-9"/>
        </w:rPr>
        <w:t xml:space="preserve"> </w:t>
      </w:r>
      <w:r>
        <w:t>e</w:t>
      </w:r>
      <w:r>
        <w:rPr>
          <w:spacing w:val="-11"/>
        </w:rPr>
        <w:t xml:space="preserve"> </w:t>
      </w:r>
      <w:r>
        <w:t>ilegales. No</w:t>
      </w:r>
      <w:r>
        <w:rPr>
          <w:spacing w:val="-7"/>
        </w:rPr>
        <w:t xml:space="preserve"> </w:t>
      </w:r>
      <w:r>
        <w:t>hay</w:t>
      </w:r>
      <w:r>
        <w:rPr>
          <w:spacing w:val="-7"/>
        </w:rPr>
        <w:t xml:space="preserve"> </w:t>
      </w:r>
      <w:r>
        <w:t>fines</w:t>
      </w:r>
      <w:r>
        <w:rPr>
          <w:spacing w:val="-7"/>
        </w:rPr>
        <w:t xml:space="preserve"> </w:t>
      </w:r>
      <w:r>
        <w:t>ni</w:t>
      </w:r>
      <w:r>
        <w:rPr>
          <w:spacing w:val="-7"/>
        </w:rPr>
        <w:t xml:space="preserve"> </w:t>
      </w:r>
      <w:r>
        <w:t>medios</w:t>
      </w:r>
      <w:r>
        <w:rPr>
          <w:spacing w:val="-7"/>
        </w:rPr>
        <w:t xml:space="preserve"> </w:t>
      </w:r>
      <w:r>
        <w:t>puros.</w:t>
      </w:r>
      <w:r>
        <w:rPr>
          <w:spacing w:val="-7"/>
        </w:rPr>
        <w:t xml:space="preserve"> </w:t>
      </w:r>
      <w:r>
        <w:t>Más</w:t>
      </w:r>
      <w:r>
        <w:rPr>
          <w:spacing w:val="-7"/>
        </w:rPr>
        <w:t xml:space="preserve"> </w:t>
      </w:r>
      <w:r>
        <w:t>bien,</w:t>
      </w:r>
      <w:r>
        <w:rPr>
          <w:spacing w:val="-7"/>
        </w:rPr>
        <w:t xml:space="preserve"> </w:t>
      </w:r>
      <w:r>
        <w:t>en</w:t>
      </w:r>
      <w:r>
        <w:rPr>
          <w:spacing w:val="-7"/>
        </w:rPr>
        <w:t xml:space="preserve"> </w:t>
      </w:r>
      <w:r>
        <w:t>la</w:t>
      </w:r>
      <w:r>
        <w:rPr>
          <w:spacing w:val="-7"/>
        </w:rPr>
        <w:t xml:space="preserve"> </w:t>
      </w:r>
      <w:r>
        <w:t>guerra</w:t>
      </w:r>
      <w:r>
        <w:rPr>
          <w:spacing w:val="-7"/>
        </w:rPr>
        <w:t xml:space="preserve"> </w:t>
      </w:r>
      <w:r>
        <w:t>el</w:t>
      </w:r>
      <w:r>
        <w:rPr>
          <w:spacing w:val="-7"/>
        </w:rPr>
        <w:t xml:space="preserve"> </w:t>
      </w:r>
      <w:r>
        <w:t>balance</w:t>
      </w:r>
      <w:r>
        <w:rPr>
          <w:spacing w:val="-7"/>
        </w:rPr>
        <w:t xml:space="preserve"> </w:t>
      </w:r>
      <w:r>
        <w:t>entre</w:t>
      </w:r>
      <w:r>
        <w:rPr>
          <w:spacing w:val="-7"/>
        </w:rPr>
        <w:t xml:space="preserve"> </w:t>
      </w:r>
      <w:r>
        <w:t>fines</w:t>
      </w:r>
      <w:r>
        <w:rPr>
          <w:spacing w:val="-7"/>
        </w:rPr>
        <w:t xml:space="preserve"> </w:t>
      </w:r>
      <w:r>
        <w:t>y</w:t>
      </w:r>
      <w:r>
        <w:rPr>
          <w:spacing w:val="-7"/>
        </w:rPr>
        <w:t xml:space="preserve"> </w:t>
      </w:r>
      <w:r>
        <w:t>medios</w:t>
      </w:r>
      <w:r>
        <w:rPr>
          <w:spacing w:val="-7"/>
        </w:rPr>
        <w:t xml:space="preserve"> </w:t>
      </w:r>
      <w:r>
        <w:t>terminó a favor de los segundos. Eso explica en parte la profunda deshumanización del conflicto.</w:t>
      </w:r>
    </w:p>
    <w:p w:rsidR="003804AC" w:rsidRDefault="00AF18A5" w:rsidP="00911844">
      <w:r>
        <w:t>La descentralización y la apertura económica, las dos principales dinámicas del régimen durante</w:t>
      </w:r>
      <w:r>
        <w:rPr>
          <w:spacing w:val="-1"/>
        </w:rPr>
        <w:t xml:space="preserve"> </w:t>
      </w:r>
      <w:r>
        <w:t>los</w:t>
      </w:r>
      <w:r>
        <w:rPr>
          <w:spacing w:val="-1"/>
        </w:rPr>
        <w:t xml:space="preserve"> </w:t>
      </w:r>
      <w:r>
        <w:t>años</w:t>
      </w:r>
      <w:r>
        <w:rPr>
          <w:spacing w:val="-1"/>
        </w:rPr>
        <w:t xml:space="preserve"> </w:t>
      </w:r>
      <w:r>
        <w:t>noventa,</w:t>
      </w:r>
      <w:r>
        <w:rPr>
          <w:spacing w:val="-2"/>
        </w:rPr>
        <w:t xml:space="preserve"> </w:t>
      </w:r>
      <w:r>
        <w:t>pusieron</w:t>
      </w:r>
      <w:r>
        <w:rPr>
          <w:spacing w:val="-1"/>
        </w:rPr>
        <w:t xml:space="preserve"> </w:t>
      </w:r>
      <w:r>
        <w:t>al</w:t>
      </w:r>
      <w:r>
        <w:rPr>
          <w:spacing w:val="-2"/>
        </w:rPr>
        <w:t xml:space="preserve"> </w:t>
      </w:r>
      <w:r>
        <w:t>«territorio»</w:t>
      </w:r>
      <w:r>
        <w:rPr>
          <w:spacing w:val="-2"/>
        </w:rPr>
        <w:t xml:space="preserve"> </w:t>
      </w:r>
      <w:r>
        <w:t>como</w:t>
      </w:r>
      <w:r>
        <w:rPr>
          <w:spacing w:val="-1"/>
        </w:rPr>
        <w:t xml:space="preserve"> </w:t>
      </w:r>
      <w:r>
        <w:t>el</w:t>
      </w:r>
      <w:r>
        <w:rPr>
          <w:spacing w:val="-1"/>
        </w:rPr>
        <w:t xml:space="preserve"> </w:t>
      </w:r>
      <w:r>
        <w:t>principal escenario</w:t>
      </w:r>
      <w:r>
        <w:rPr>
          <w:spacing w:val="-1"/>
        </w:rPr>
        <w:t xml:space="preserve"> </w:t>
      </w:r>
      <w:r>
        <w:t>de</w:t>
      </w:r>
      <w:r>
        <w:rPr>
          <w:spacing w:val="-1"/>
        </w:rPr>
        <w:t xml:space="preserve"> </w:t>
      </w:r>
      <w:r>
        <w:t xml:space="preserve">disputa. </w:t>
      </w:r>
      <w:r>
        <w:rPr>
          <w:spacing w:val="-5"/>
        </w:rPr>
        <w:t>La</w:t>
      </w:r>
      <w:bookmarkStart w:id="144" w:name="_bookmark91"/>
      <w:bookmarkStart w:id="145" w:name="_bookmark92"/>
      <w:bookmarkStart w:id="146" w:name="_bookmark93"/>
      <w:bookmarkEnd w:id="144"/>
      <w:bookmarkEnd w:id="145"/>
      <w:bookmarkEnd w:id="146"/>
      <w:r w:rsidR="00911844">
        <w:rPr>
          <w:spacing w:val="-5"/>
        </w:rPr>
        <w:t xml:space="preserve"> </w:t>
      </w:r>
      <w:r>
        <w:t>guerra en estos años fue una confrontación política entre la extrema derecha y la extrema izquierda, una disputa feroz por el narcotráfico, el petróleo, las rentas mineras, la tierra y la contratación pública; pero también por la representación de los territorios en el proyecto de nación y por los discursos y narrativas</w:t>
      </w:r>
      <w:r w:rsidR="00911844">
        <w:rPr>
          <w:rStyle w:val="Refdenotaalpie"/>
        </w:rPr>
        <w:footnoteReference w:id="84"/>
      </w:r>
      <w:r>
        <w:t xml:space="preserve">. En este escenario, los territorios étnicos y las regiones de colonización campesina se convirtieron en corredores geográficos de la </w:t>
      </w:r>
      <w:r>
        <w:rPr>
          <w:spacing w:val="-2"/>
        </w:rPr>
        <w:t>confrontación.</w:t>
      </w:r>
    </w:p>
    <w:p w:rsidR="003804AC" w:rsidRDefault="00AF18A5" w:rsidP="00911844">
      <w:r>
        <w:t>Para</w:t>
      </w:r>
      <w:r>
        <w:rPr>
          <w:spacing w:val="-8"/>
        </w:rPr>
        <w:t xml:space="preserve"> </w:t>
      </w:r>
      <w:r>
        <w:t>las</w:t>
      </w:r>
      <w:r>
        <w:rPr>
          <w:spacing w:val="-8"/>
        </w:rPr>
        <w:t xml:space="preserve"> </w:t>
      </w:r>
      <w:r>
        <w:t>guerrillas,</w:t>
      </w:r>
      <w:r>
        <w:rPr>
          <w:spacing w:val="-10"/>
        </w:rPr>
        <w:t xml:space="preserve"> </w:t>
      </w:r>
      <w:r>
        <w:t>ejercer</w:t>
      </w:r>
      <w:r>
        <w:rPr>
          <w:spacing w:val="-8"/>
        </w:rPr>
        <w:t xml:space="preserve"> </w:t>
      </w:r>
      <w:r>
        <w:t>el</w:t>
      </w:r>
      <w:r>
        <w:rPr>
          <w:spacing w:val="-9"/>
        </w:rPr>
        <w:t xml:space="preserve"> </w:t>
      </w:r>
      <w:r>
        <w:t>poder</w:t>
      </w:r>
      <w:r>
        <w:rPr>
          <w:spacing w:val="-9"/>
        </w:rPr>
        <w:t xml:space="preserve"> </w:t>
      </w:r>
      <w:r>
        <w:t>local</w:t>
      </w:r>
      <w:r>
        <w:rPr>
          <w:spacing w:val="-9"/>
        </w:rPr>
        <w:t xml:space="preserve"> </w:t>
      </w:r>
      <w:r>
        <w:t>las</w:t>
      </w:r>
      <w:r>
        <w:rPr>
          <w:spacing w:val="-9"/>
        </w:rPr>
        <w:t xml:space="preserve"> </w:t>
      </w:r>
      <w:r>
        <w:t>llevó</w:t>
      </w:r>
      <w:r>
        <w:rPr>
          <w:spacing w:val="-11"/>
        </w:rPr>
        <w:t xml:space="preserve"> </w:t>
      </w:r>
      <w:r>
        <w:t>a</w:t>
      </w:r>
      <w:r>
        <w:rPr>
          <w:spacing w:val="-8"/>
        </w:rPr>
        <w:t xml:space="preserve"> </w:t>
      </w:r>
      <w:r>
        <w:t>destruir</w:t>
      </w:r>
      <w:r>
        <w:rPr>
          <w:spacing w:val="-8"/>
        </w:rPr>
        <w:t xml:space="preserve"> </w:t>
      </w:r>
      <w:r>
        <w:t>y</w:t>
      </w:r>
      <w:r>
        <w:rPr>
          <w:spacing w:val="-10"/>
        </w:rPr>
        <w:t xml:space="preserve"> </w:t>
      </w:r>
      <w:r>
        <w:t>obstaculizar</w:t>
      </w:r>
      <w:r>
        <w:rPr>
          <w:spacing w:val="-9"/>
        </w:rPr>
        <w:t xml:space="preserve"> </w:t>
      </w:r>
      <w:r>
        <w:t>la</w:t>
      </w:r>
      <w:r>
        <w:rPr>
          <w:spacing w:val="-8"/>
        </w:rPr>
        <w:t xml:space="preserve"> </w:t>
      </w:r>
      <w:r>
        <w:t>actuación</w:t>
      </w:r>
      <w:r>
        <w:rPr>
          <w:spacing w:val="-10"/>
        </w:rPr>
        <w:t xml:space="preserve"> </w:t>
      </w:r>
      <w:r>
        <w:t>del Estado,</w:t>
      </w:r>
      <w:r>
        <w:rPr>
          <w:spacing w:val="-1"/>
        </w:rPr>
        <w:t xml:space="preserve"> </w:t>
      </w:r>
      <w:r>
        <w:t>el</w:t>
      </w:r>
      <w:r>
        <w:rPr>
          <w:spacing w:val="-1"/>
        </w:rPr>
        <w:t xml:space="preserve"> </w:t>
      </w:r>
      <w:r>
        <w:t>sistema</w:t>
      </w:r>
      <w:r>
        <w:rPr>
          <w:spacing w:val="-1"/>
        </w:rPr>
        <w:t xml:space="preserve"> </w:t>
      </w:r>
      <w:r>
        <w:t>político</w:t>
      </w:r>
      <w:r>
        <w:rPr>
          <w:spacing w:val="-1"/>
        </w:rPr>
        <w:t xml:space="preserve"> </w:t>
      </w:r>
      <w:r>
        <w:t>y</w:t>
      </w:r>
      <w:r>
        <w:rPr>
          <w:spacing w:val="-1"/>
        </w:rPr>
        <w:t xml:space="preserve"> </w:t>
      </w:r>
      <w:r>
        <w:t>el</w:t>
      </w:r>
      <w:r>
        <w:rPr>
          <w:spacing w:val="-1"/>
        </w:rPr>
        <w:t xml:space="preserve"> </w:t>
      </w:r>
      <w:r>
        <w:t>orden</w:t>
      </w:r>
      <w:r>
        <w:rPr>
          <w:spacing w:val="-1"/>
        </w:rPr>
        <w:t xml:space="preserve"> </w:t>
      </w:r>
      <w:r>
        <w:t>social</w:t>
      </w:r>
      <w:r>
        <w:rPr>
          <w:spacing w:val="-2"/>
        </w:rPr>
        <w:t xml:space="preserve"> </w:t>
      </w:r>
      <w:r>
        <w:t>establecido</w:t>
      </w:r>
      <w:r>
        <w:rPr>
          <w:spacing w:val="-2"/>
        </w:rPr>
        <w:t xml:space="preserve"> </w:t>
      </w:r>
      <w:r>
        <w:t>en</w:t>
      </w:r>
      <w:r>
        <w:rPr>
          <w:spacing w:val="-2"/>
        </w:rPr>
        <w:t xml:space="preserve"> </w:t>
      </w:r>
      <w:r>
        <w:t>esquemas</w:t>
      </w:r>
      <w:r>
        <w:rPr>
          <w:spacing w:val="-2"/>
        </w:rPr>
        <w:t xml:space="preserve"> </w:t>
      </w:r>
      <w:r>
        <w:t>de</w:t>
      </w:r>
      <w:r>
        <w:rPr>
          <w:spacing w:val="-2"/>
        </w:rPr>
        <w:t xml:space="preserve"> </w:t>
      </w:r>
      <w:r>
        <w:t>poder</w:t>
      </w:r>
      <w:r>
        <w:rPr>
          <w:spacing w:val="-1"/>
        </w:rPr>
        <w:t xml:space="preserve"> </w:t>
      </w:r>
      <w:r>
        <w:t>dual;</w:t>
      </w:r>
      <w:r>
        <w:rPr>
          <w:spacing w:val="-2"/>
        </w:rPr>
        <w:t xml:space="preserve"> </w:t>
      </w:r>
      <w:r>
        <w:t>es</w:t>
      </w:r>
      <w:r>
        <w:rPr>
          <w:spacing w:val="-1"/>
        </w:rPr>
        <w:t xml:space="preserve"> </w:t>
      </w:r>
      <w:r>
        <w:t>decir que</w:t>
      </w:r>
      <w:r>
        <w:rPr>
          <w:spacing w:val="-5"/>
        </w:rPr>
        <w:t xml:space="preserve"> </w:t>
      </w:r>
      <w:r>
        <w:t>en</w:t>
      </w:r>
      <w:r>
        <w:rPr>
          <w:spacing w:val="-5"/>
        </w:rPr>
        <w:t xml:space="preserve"> </w:t>
      </w:r>
      <w:r>
        <w:t>algunos</w:t>
      </w:r>
      <w:r>
        <w:rPr>
          <w:spacing w:val="-5"/>
        </w:rPr>
        <w:t xml:space="preserve"> </w:t>
      </w:r>
      <w:r>
        <w:t>territorios</w:t>
      </w:r>
      <w:r>
        <w:rPr>
          <w:spacing w:val="-6"/>
        </w:rPr>
        <w:t xml:space="preserve"> </w:t>
      </w:r>
      <w:r>
        <w:t>había</w:t>
      </w:r>
      <w:r>
        <w:rPr>
          <w:spacing w:val="-5"/>
        </w:rPr>
        <w:t xml:space="preserve"> </w:t>
      </w:r>
      <w:r>
        <w:lastRenderedPageBreak/>
        <w:t>dos</w:t>
      </w:r>
      <w:r>
        <w:rPr>
          <w:spacing w:val="-5"/>
        </w:rPr>
        <w:t xml:space="preserve"> </w:t>
      </w:r>
      <w:r>
        <w:t>autoridades:</w:t>
      </w:r>
      <w:r>
        <w:rPr>
          <w:spacing w:val="-6"/>
        </w:rPr>
        <w:t xml:space="preserve"> </w:t>
      </w:r>
      <w:r>
        <w:t>la</w:t>
      </w:r>
      <w:r>
        <w:rPr>
          <w:spacing w:val="-5"/>
        </w:rPr>
        <w:t xml:space="preserve"> </w:t>
      </w:r>
      <w:r>
        <w:t>del</w:t>
      </w:r>
      <w:r>
        <w:rPr>
          <w:spacing w:val="-4"/>
        </w:rPr>
        <w:t xml:space="preserve"> </w:t>
      </w:r>
      <w:r>
        <w:t>Estado</w:t>
      </w:r>
      <w:r>
        <w:rPr>
          <w:spacing w:val="-6"/>
        </w:rPr>
        <w:t xml:space="preserve"> </w:t>
      </w:r>
      <w:r>
        <w:t>y</w:t>
      </w:r>
      <w:r>
        <w:rPr>
          <w:spacing w:val="-5"/>
        </w:rPr>
        <w:t xml:space="preserve"> </w:t>
      </w:r>
      <w:r>
        <w:t>la</w:t>
      </w:r>
      <w:r>
        <w:rPr>
          <w:spacing w:val="-5"/>
        </w:rPr>
        <w:t xml:space="preserve"> </w:t>
      </w:r>
      <w:r>
        <w:t>de</w:t>
      </w:r>
      <w:r>
        <w:rPr>
          <w:spacing w:val="-6"/>
        </w:rPr>
        <w:t xml:space="preserve"> </w:t>
      </w:r>
      <w:r>
        <w:t>las</w:t>
      </w:r>
      <w:r>
        <w:rPr>
          <w:spacing w:val="-6"/>
        </w:rPr>
        <w:t xml:space="preserve"> </w:t>
      </w:r>
      <w:r>
        <w:t>insurgencias.</w:t>
      </w:r>
      <w:r>
        <w:rPr>
          <w:spacing w:val="-6"/>
        </w:rPr>
        <w:t xml:space="preserve"> </w:t>
      </w:r>
      <w:r>
        <w:t>Estos poderes duales fueron particularmente «exitosos» en regiones donde pudieron controlar las rentas antes mencionadas.</w:t>
      </w:r>
    </w:p>
    <w:p w:rsidR="003804AC" w:rsidRDefault="00AF18A5" w:rsidP="00911844">
      <w:r>
        <w:t>Así, el ELN se consolidó en Arauca y regiones de explotación de oro (Chocó, Cauca sur de Bolívar, entre otras) en las que hicieron pactos políticos con sectores tradicionales y expoliaron rentas públicas o se sumaron a la explotación ilegal de los recursos naturales</w:t>
      </w:r>
      <w:r w:rsidR="00911844">
        <w:rPr>
          <w:rStyle w:val="Refdenotaalpie"/>
        </w:rPr>
        <w:footnoteReference w:id="85"/>
      </w:r>
      <w:r>
        <w:t>. Las</w:t>
      </w:r>
      <w:r>
        <w:rPr>
          <w:spacing w:val="-7"/>
        </w:rPr>
        <w:t xml:space="preserve"> </w:t>
      </w:r>
      <w:r>
        <w:t>FARC-EP</w:t>
      </w:r>
      <w:r>
        <w:rPr>
          <w:spacing w:val="-7"/>
        </w:rPr>
        <w:t xml:space="preserve"> </w:t>
      </w:r>
      <w:r>
        <w:t>se</w:t>
      </w:r>
      <w:r>
        <w:rPr>
          <w:spacing w:val="-7"/>
        </w:rPr>
        <w:t xml:space="preserve"> </w:t>
      </w:r>
      <w:r>
        <w:t>hicieron</w:t>
      </w:r>
      <w:r>
        <w:rPr>
          <w:spacing w:val="-7"/>
        </w:rPr>
        <w:t xml:space="preserve"> </w:t>
      </w:r>
      <w:r>
        <w:t>fuertes</w:t>
      </w:r>
      <w:r>
        <w:rPr>
          <w:spacing w:val="-7"/>
        </w:rPr>
        <w:t xml:space="preserve"> </w:t>
      </w:r>
      <w:r>
        <w:t>en</w:t>
      </w:r>
      <w:r>
        <w:rPr>
          <w:spacing w:val="-7"/>
        </w:rPr>
        <w:t xml:space="preserve"> </w:t>
      </w:r>
      <w:r>
        <w:t>la</w:t>
      </w:r>
      <w:r>
        <w:rPr>
          <w:spacing w:val="-7"/>
        </w:rPr>
        <w:t xml:space="preserve"> </w:t>
      </w:r>
      <w:r>
        <w:t>Orinoquía,</w:t>
      </w:r>
      <w:r>
        <w:rPr>
          <w:spacing w:val="-7"/>
        </w:rPr>
        <w:t xml:space="preserve"> </w:t>
      </w:r>
      <w:r>
        <w:t>Amazonía,</w:t>
      </w:r>
      <w:r>
        <w:rPr>
          <w:spacing w:val="-7"/>
        </w:rPr>
        <w:t xml:space="preserve"> </w:t>
      </w:r>
      <w:r>
        <w:t>el</w:t>
      </w:r>
      <w:r>
        <w:rPr>
          <w:spacing w:val="-7"/>
        </w:rPr>
        <w:t xml:space="preserve"> </w:t>
      </w:r>
      <w:r>
        <w:t>Pacífico</w:t>
      </w:r>
      <w:r>
        <w:rPr>
          <w:spacing w:val="-7"/>
        </w:rPr>
        <w:t xml:space="preserve"> </w:t>
      </w:r>
      <w:r>
        <w:t>y</w:t>
      </w:r>
      <w:r>
        <w:rPr>
          <w:spacing w:val="-7"/>
        </w:rPr>
        <w:t xml:space="preserve"> </w:t>
      </w:r>
      <w:r>
        <w:t>en</w:t>
      </w:r>
      <w:r>
        <w:rPr>
          <w:spacing w:val="-7"/>
        </w:rPr>
        <w:t xml:space="preserve"> </w:t>
      </w:r>
      <w:r>
        <w:t>general</w:t>
      </w:r>
      <w:r>
        <w:rPr>
          <w:spacing w:val="-7"/>
        </w:rPr>
        <w:t xml:space="preserve"> </w:t>
      </w:r>
      <w:r>
        <w:t>donde se producía hoja y base de coca; en los corredores por donde esta droga se movía y en los lugares por las que se exportaba. Allí también hicieron pactos e incrementaron no solo las acciones de guerra, sino la violencia política contra representantes, funcionarios e instituciones públicas, elegidos o nombrados.</w:t>
      </w:r>
    </w:p>
    <w:p w:rsidR="003804AC" w:rsidRDefault="00AF18A5" w:rsidP="001423CE">
      <w:r>
        <w:t>Como</w:t>
      </w:r>
      <w:r>
        <w:rPr>
          <w:spacing w:val="-7"/>
        </w:rPr>
        <w:t xml:space="preserve"> </w:t>
      </w:r>
      <w:r>
        <w:t>respuesta</w:t>
      </w:r>
      <w:r>
        <w:rPr>
          <w:spacing w:val="-8"/>
        </w:rPr>
        <w:t xml:space="preserve"> </w:t>
      </w:r>
      <w:r>
        <w:t>a</w:t>
      </w:r>
      <w:r>
        <w:rPr>
          <w:spacing w:val="-8"/>
        </w:rPr>
        <w:t xml:space="preserve"> </w:t>
      </w:r>
      <w:r>
        <w:t>la</w:t>
      </w:r>
      <w:r>
        <w:rPr>
          <w:spacing w:val="-7"/>
        </w:rPr>
        <w:t xml:space="preserve"> </w:t>
      </w:r>
      <w:r>
        <w:t>guerra</w:t>
      </w:r>
      <w:r>
        <w:rPr>
          <w:spacing w:val="-8"/>
        </w:rPr>
        <w:t xml:space="preserve"> </w:t>
      </w:r>
      <w:r>
        <w:t>integral</w:t>
      </w:r>
      <w:r>
        <w:rPr>
          <w:spacing w:val="-8"/>
        </w:rPr>
        <w:t xml:space="preserve"> </w:t>
      </w:r>
      <w:r>
        <w:t>del</w:t>
      </w:r>
      <w:r>
        <w:rPr>
          <w:spacing w:val="-7"/>
        </w:rPr>
        <w:t xml:space="preserve"> </w:t>
      </w:r>
      <w:r>
        <w:t>presidente</w:t>
      </w:r>
      <w:r>
        <w:rPr>
          <w:spacing w:val="-7"/>
        </w:rPr>
        <w:t xml:space="preserve"> </w:t>
      </w:r>
      <w:r>
        <w:t>César</w:t>
      </w:r>
      <w:r>
        <w:rPr>
          <w:spacing w:val="-7"/>
        </w:rPr>
        <w:t xml:space="preserve"> </w:t>
      </w:r>
      <w:r>
        <w:t>Gaviria</w:t>
      </w:r>
      <w:r>
        <w:rPr>
          <w:spacing w:val="-7"/>
        </w:rPr>
        <w:t xml:space="preserve"> </w:t>
      </w:r>
      <w:r>
        <w:t>(1990-1994),</w:t>
      </w:r>
      <w:r>
        <w:rPr>
          <w:spacing w:val="-7"/>
        </w:rPr>
        <w:t xml:space="preserve"> </w:t>
      </w:r>
      <w:r>
        <w:t>las</w:t>
      </w:r>
      <w:r>
        <w:rPr>
          <w:spacing w:val="-7"/>
        </w:rPr>
        <w:t xml:space="preserve"> </w:t>
      </w:r>
      <w:r>
        <w:t>FARC- EP establecieron como su enemigo al Estado integral. Así, masacraron, secuestraron y exiliaron a alcaldes, concejales, diputados y congresistas. En esta coyuntura, y durante toda la</w:t>
      </w:r>
      <w:r>
        <w:rPr>
          <w:spacing w:val="19"/>
        </w:rPr>
        <w:t xml:space="preserve"> </w:t>
      </w:r>
      <w:r>
        <w:t>década</w:t>
      </w:r>
      <w:r>
        <w:rPr>
          <w:spacing w:val="22"/>
        </w:rPr>
        <w:t xml:space="preserve"> </w:t>
      </w:r>
      <w:r>
        <w:t>de</w:t>
      </w:r>
      <w:r>
        <w:rPr>
          <w:spacing w:val="21"/>
        </w:rPr>
        <w:t xml:space="preserve"> </w:t>
      </w:r>
      <w:r>
        <w:t>los</w:t>
      </w:r>
      <w:r>
        <w:rPr>
          <w:spacing w:val="22"/>
        </w:rPr>
        <w:t xml:space="preserve"> </w:t>
      </w:r>
      <w:r>
        <w:t>noventa,</w:t>
      </w:r>
      <w:r>
        <w:rPr>
          <w:spacing w:val="21"/>
        </w:rPr>
        <w:t xml:space="preserve"> </w:t>
      </w:r>
      <w:r>
        <w:t>también</w:t>
      </w:r>
      <w:r>
        <w:rPr>
          <w:spacing w:val="20"/>
        </w:rPr>
        <w:t xml:space="preserve"> </w:t>
      </w:r>
      <w:r>
        <w:t>cometieron</w:t>
      </w:r>
      <w:r>
        <w:rPr>
          <w:spacing w:val="21"/>
        </w:rPr>
        <w:t xml:space="preserve"> </w:t>
      </w:r>
      <w:r>
        <w:t>asesinatos</w:t>
      </w:r>
      <w:r>
        <w:rPr>
          <w:spacing w:val="22"/>
        </w:rPr>
        <w:t xml:space="preserve"> </w:t>
      </w:r>
      <w:r>
        <w:t>políticos</w:t>
      </w:r>
      <w:r>
        <w:rPr>
          <w:spacing w:val="21"/>
        </w:rPr>
        <w:t xml:space="preserve"> </w:t>
      </w:r>
      <w:r>
        <w:t>motivadas</w:t>
      </w:r>
      <w:r>
        <w:rPr>
          <w:spacing w:val="22"/>
        </w:rPr>
        <w:t xml:space="preserve"> </w:t>
      </w:r>
      <w:r>
        <w:t>por</w:t>
      </w:r>
      <w:r>
        <w:rPr>
          <w:spacing w:val="22"/>
        </w:rPr>
        <w:t xml:space="preserve"> </w:t>
      </w:r>
      <w:r>
        <w:rPr>
          <w:spacing w:val="-2"/>
        </w:rPr>
        <w:t>antiguas</w:t>
      </w:r>
      <w:bookmarkStart w:id="147" w:name="_bookmark94"/>
      <w:bookmarkStart w:id="148" w:name="_bookmark95"/>
      <w:bookmarkEnd w:id="147"/>
      <w:bookmarkEnd w:id="148"/>
      <w:r w:rsidR="001423CE">
        <w:rPr>
          <w:spacing w:val="-2"/>
        </w:rPr>
        <w:t xml:space="preserve"> </w:t>
      </w:r>
      <w:r>
        <w:t>retaliaciones</w:t>
      </w:r>
      <w:r w:rsidR="001423CE">
        <w:rPr>
          <w:rStyle w:val="Refdenotaalpie"/>
        </w:rPr>
        <w:footnoteReference w:id="86"/>
      </w:r>
      <w:r>
        <w:t xml:space="preserve">. El enemigo ya no era solo el combatiente armado: la noción del «enemigo» se extendió incluso a periodistas, académicos, ministros que ellos consideraban parte del </w:t>
      </w:r>
      <w:r>
        <w:rPr>
          <w:spacing w:val="-2"/>
        </w:rPr>
        <w:t>establecimiento</w:t>
      </w:r>
      <w:r w:rsidR="001423CE">
        <w:rPr>
          <w:rStyle w:val="Refdenotaalpie"/>
          <w:spacing w:val="-2"/>
        </w:rPr>
        <w:footnoteReference w:id="87"/>
      </w:r>
      <w:r>
        <w:rPr>
          <w:spacing w:val="-2"/>
        </w:rPr>
        <w:t>.</w:t>
      </w:r>
    </w:p>
    <w:p w:rsidR="003804AC" w:rsidRDefault="00AF18A5" w:rsidP="00AD75C9">
      <w:r>
        <w:t>La</w:t>
      </w:r>
      <w:r>
        <w:rPr>
          <w:spacing w:val="-5"/>
        </w:rPr>
        <w:t xml:space="preserve"> </w:t>
      </w:r>
      <w:r>
        <w:t>vía</w:t>
      </w:r>
      <w:r>
        <w:rPr>
          <w:spacing w:val="-5"/>
        </w:rPr>
        <w:t xml:space="preserve"> </w:t>
      </w:r>
      <w:r>
        <w:t>de</w:t>
      </w:r>
      <w:r>
        <w:rPr>
          <w:spacing w:val="-5"/>
        </w:rPr>
        <w:t xml:space="preserve"> </w:t>
      </w:r>
      <w:r>
        <w:t>acceso</w:t>
      </w:r>
      <w:r>
        <w:rPr>
          <w:spacing w:val="-5"/>
        </w:rPr>
        <w:t xml:space="preserve"> </w:t>
      </w:r>
      <w:r>
        <w:t>al</w:t>
      </w:r>
      <w:r>
        <w:rPr>
          <w:spacing w:val="-4"/>
        </w:rPr>
        <w:t xml:space="preserve"> </w:t>
      </w:r>
      <w:r>
        <w:t>poder</w:t>
      </w:r>
      <w:r>
        <w:rPr>
          <w:spacing w:val="-4"/>
        </w:rPr>
        <w:t xml:space="preserve"> </w:t>
      </w:r>
      <w:r>
        <w:t>ya</w:t>
      </w:r>
      <w:r>
        <w:rPr>
          <w:spacing w:val="-5"/>
        </w:rPr>
        <w:t xml:space="preserve"> </w:t>
      </w:r>
      <w:r>
        <w:t>no</w:t>
      </w:r>
      <w:r>
        <w:rPr>
          <w:spacing w:val="-5"/>
        </w:rPr>
        <w:t xml:space="preserve"> </w:t>
      </w:r>
      <w:r>
        <w:t>era</w:t>
      </w:r>
      <w:r>
        <w:rPr>
          <w:spacing w:val="-6"/>
        </w:rPr>
        <w:t xml:space="preserve"> </w:t>
      </w:r>
      <w:r>
        <w:t>la</w:t>
      </w:r>
      <w:r>
        <w:rPr>
          <w:spacing w:val="-5"/>
        </w:rPr>
        <w:t xml:space="preserve"> </w:t>
      </w:r>
      <w:r>
        <w:t>«toma</w:t>
      </w:r>
      <w:r>
        <w:rPr>
          <w:spacing w:val="-5"/>
        </w:rPr>
        <w:t xml:space="preserve"> </w:t>
      </w:r>
      <w:r>
        <w:t>armada</w:t>
      </w:r>
      <w:r>
        <w:rPr>
          <w:spacing w:val="-5"/>
        </w:rPr>
        <w:t xml:space="preserve"> </w:t>
      </w:r>
      <w:r>
        <w:t>del</w:t>
      </w:r>
      <w:r>
        <w:rPr>
          <w:spacing w:val="-4"/>
        </w:rPr>
        <w:t xml:space="preserve"> </w:t>
      </w:r>
      <w:r>
        <w:t>aparato</w:t>
      </w:r>
      <w:r>
        <w:rPr>
          <w:spacing w:val="-5"/>
        </w:rPr>
        <w:t xml:space="preserve"> </w:t>
      </w:r>
      <w:r>
        <w:lastRenderedPageBreak/>
        <w:t>central».</w:t>
      </w:r>
      <w:r>
        <w:rPr>
          <w:spacing w:val="-6"/>
        </w:rPr>
        <w:t xml:space="preserve"> </w:t>
      </w:r>
      <w:r>
        <w:t>Es</w:t>
      </w:r>
      <w:r>
        <w:rPr>
          <w:spacing w:val="-5"/>
        </w:rPr>
        <w:t xml:space="preserve"> </w:t>
      </w:r>
      <w:r>
        <w:t>decir,</w:t>
      </w:r>
      <w:r>
        <w:rPr>
          <w:spacing w:val="-5"/>
        </w:rPr>
        <w:t xml:space="preserve"> </w:t>
      </w:r>
      <w:r>
        <w:t>no</w:t>
      </w:r>
      <w:r>
        <w:rPr>
          <w:spacing w:val="-6"/>
        </w:rPr>
        <w:t xml:space="preserve"> </w:t>
      </w:r>
      <w:r>
        <w:t>era llegar a Bogotá en carros de guerra, como lo hicieron los cubanos en La Habana o los sandinistas en Managua. Las guerrillas comprendieron que el poder local y regional es el factor</w:t>
      </w:r>
      <w:r>
        <w:rPr>
          <w:spacing w:val="-2"/>
        </w:rPr>
        <w:t xml:space="preserve"> </w:t>
      </w:r>
      <w:r>
        <w:t>determinante</w:t>
      </w:r>
      <w:r>
        <w:rPr>
          <w:spacing w:val="-2"/>
        </w:rPr>
        <w:t xml:space="preserve"> </w:t>
      </w:r>
      <w:r>
        <w:t>del</w:t>
      </w:r>
      <w:r>
        <w:rPr>
          <w:spacing w:val="-3"/>
        </w:rPr>
        <w:t xml:space="preserve"> </w:t>
      </w:r>
      <w:r>
        <w:t>poder</w:t>
      </w:r>
      <w:r>
        <w:rPr>
          <w:spacing w:val="-2"/>
        </w:rPr>
        <w:t xml:space="preserve"> </w:t>
      </w:r>
      <w:r>
        <w:t>en</w:t>
      </w:r>
      <w:r>
        <w:rPr>
          <w:spacing w:val="-2"/>
        </w:rPr>
        <w:t xml:space="preserve"> </w:t>
      </w:r>
      <w:r>
        <w:t>Colombia.</w:t>
      </w:r>
      <w:r>
        <w:rPr>
          <w:spacing w:val="-2"/>
        </w:rPr>
        <w:t xml:space="preserve"> </w:t>
      </w:r>
      <w:r>
        <w:t>Su</w:t>
      </w:r>
      <w:r>
        <w:rPr>
          <w:spacing w:val="-2"/>
        </w:rPr>
        <w:t xml:space="preserve"> </w:t>
      </w:r>
      <w:r>
        <w:t>estrategia</w:t>
      </w:r>
      <w:r>
        <w:rPr>
          <w:spacing w:val="-2"/>
        </w:rPr>
        <w:t xml:space="preserve"> </w:t>
      </w:r>
      <w:r>
        <w:t>en</w:t>
      </w:r>
      <w:r>
        <w:rPr>
          <w:spacing w:val="-2"/>
        </w:rPr>
        <w:t xml:space="preserve"> </w:t>
      </w:r>
      <w:r>
        <w:t>los</w:t>
      </w:r>
      <w:r>
        <w:rPr>
          <w:spacing w:val="-2"/>
        </w:rPr>
        <w:t xml:space="preserve"> </w:t>
      </w:r>
      <w:r>
        <w:t>años</w:t>
      </w:r>
      <w:r>
        <w:rPr>
          <w:spacing w:val="-2"/>
        </w:rPr>
        <w:t xml:space="preserve"> </w:t>
      </w:r>
      <w:r>
        <w:t>noventa</w:t>
      </w:r>
      <w:r>
        <w:rPr>
          <w:spacing w:val="-2"/>
        </w:rPr>
        <w:t xml:space="preserve"> </w:t>
      </w:r>
      <w:r>
        <w:t>fue,</w:t>
      </w:r>
      <w:r>
        <w:rPr>
          <w:spacing w:val="-2"/>
        </w:rPr>
        <w:t xml:space="preserve"> </w:t>
      </w:r>
      <w:r>
        <w:t>por</w:t>
      </w:r>
      <w:r>
        <w:rPr>
          <w:spacing w:val="-3"/>
        </w:rPr>
        <w:t xml:space="preserve"> </w:t>
      </w:r>
      <w:r>
        <w:t>tanto, acumular este poder en las regiones donde podían dominar; pelear a sangre y fuego donde había campos en disputa; e intentar colapsar la gobernabilidad donde sus fuerzas oponentes eran hegemónicas</w:t>
      </w:r>
      <w:r w:rsidR="00AD75C9">
        <w:rPr>
          <w:rStyle w:val="Refdenotaalpie"/>
        </w:rPr>
        <w:footnoteReference w:id="88"/>
      </w:r>
      <w:r>
        <w:t>. Hacer, como dijo alguna vez Laureano Gómez, invivible la nación.</w:t>
      </w:r>
    </w:p>
    <w:p w:rsidR="003804AC" w:rsidRDefault="00AF18A5" w:rsidP="00AD75C9">
      <w:r>
        <w:t>Por su parte, el proyecto paramilitar se revitalizó con las Autodefensas Campesinas de Córdoba y Urabá (ACCU) y las AUC. Desde los más tempranos años noventa actuaron en contra</w:t>
      </w:r>
      <w:r>
        <w:rPr>
          <w:spacing w:val="-8"/>
        </w:rPr>
        <w:t xml:space="preserve"> </w:t>
      </w:r>
      <w:r>
        <w:t>de</w:t>
      </w:r>
      <w:r>
        <w:rPr>
          <w:spacing w:val="-8"/>
        </w:rPr>
        <w:t xml:space="preserve"> </w:t>
      </w:r>
      <w:r>
        <w:t>las</w:t>
      </w:r>
      <w:r>
        <w:rPr>
          <w:spacing w:val="-8"/>
        </w:rPr>
        <w:t xml:space="preserve"> </w:t>
      </w:r>
      <w:r>
        <w:t>nuevas</w:t>
      </w:r>
      <w:r>
        <w:rPr>
          <w:spacing w:val="-8"/>
        </w:rPr>
        <w:t xml:space="preserve"> </w:t>
      </w:r>
      <w:r>
        <w:t>fuerzas</w:t>
      </w:r>
      <w:r>
        <w:rPr>
          <w:spacing w:val="-7"/>
        </w:rPr>
        <w:t xml:space="preserve"> </w:t>
      </w:r>
      <w:r>
        <w:t>que</w:t>
      </w:r>
      <w:r>
        <w:rPr>
          <w:spacing w:val="-8"/>
        </w:rPr>
        <w:t xml:space="preserve"> </w:t>
      </w:r>
      <w:r>
        <w:t>se</w:t>
      </w:r>
      <w:r>
        <w:rPr>
          <w:spacing w:val="-7"/>
        </w:rPr>
        <w:t xml:space="preserve"> </w:t>
      </w:r>
      <w:r>
        <w:t>disputaban</w:t>
      </w:r>
      <w:r>
        <w:rPr>
          <w:spacing w:val="-8"/>
        </w:rPr>
        <w:t xml:space="preserve"> </w:t>
      </w:r>
      <w:r>
        <w:t>la</w:t>
      </w:r>
      <w:r>
        <w:rPr>
          <w:spacing w:val="-8"/>
        </w:rPr>
        <w:t xml:space="preserve"> </w:t>
      </w:r>
      <w:r>
        <w:t>democracia.</w:t>
      </w:r>
      <w:r>
        <w:rPr>
          <w:spacing w:val="-10"/>
        </w:rPr>
        <w:t xml:space="preserve"> </w:t>
      </w:r>
      <w:r>
        <w:t>Las</w:t>
      </w:r>
      <w:r>
        <w:rPr>
          <w:spacing w:val="-7"/>
        </w:rPr>
        <w:t xml:space="preserve"> </w:t>
      </w:r>
      <w:r>
        <w:t>ACCU</w:t>
      </w:r>
      <w:r>
        <w:rPr>
          <w:spacing w:val="-8"/>
        </w:rPr>
        <w:t xml:space="preserve"> </w:t>
      </w:r>
      <w:r>
        <w:t>fueron</w:t>
      </w:r>
      <w:r>
        <w:rPr>
          <w:spacing w:val="-7"/>
        </w:rPr>
        <w:t xml:space="preserve"> </w:t>
      </w:r>
      <w:r>
        <w:t>una</w:t>
      </w:r>
      <w:r>
        <w:rPr>
          <w:spacing w:val="-8"/>
        </w:rPr>
        <w:t xml:space="preserve"> </w:t>
      </w:r>
      <w:r>
        <w:t>secuela de los Pepes, luego de que un grupo de narcotraficantes se aliaron con el Estado para dar muerte</w:t>
      </w:r>
      <w:r>
        <w:rPr>
          <w:spacing w:val="-3"/>
        </w:rPr>
        <w:t xml:space="preserve"> </w:t>
      </w:r>
      <w:r>
        <w:t>a</w:t>
      </w:r>
      <w:r>
        <w:rPr>
          <w:spacing w:val="-3"/>
        </w:rPr>
        <w:t xml:space="preserve"> </w:t>
      </w:r>
      <w:r>
        <w:t>Pablo</w:t>
      </w:r>
      <w:r>
        <w:rPr>
          <w:spacing w:val="-4"/>
        </w:rPr>
        <w:t xml:space="preserve"> </w:t>
      </w:r>
      <w:r>
        <w:t>Escobar.</w:t>
      </w:r>
      <w:r>
        <w:rPr>
          <w:spacing w:val="-5"/>
        </w:rPr>
        <w:t xml:space="preserve"> </w:t>
      </w:r>
      <w:r>
        <w:t>Fueron</w:t>
      </w:r>
      <w:r>
        <w:rPr>
          <w:spacing w:val="-4"/>
        </w:rPr>
        <w:t xml:space="preserve"> </w:t>
      </w:r>
      <w:r>
        <w:t>un</w:t>
      </w:r>
      <w:r>
        <w:rPr>
          <w:spacing w:val="-4"/>
        </w:rPr>
        <w:t xml:space="preserve"> </w:t>
      </w:r>
      <w:r>
        <w:t>proyecto</w:t>
      </w:r>
      <w:r>
        <w:rPr>
          <w:spacing w:val="-4"/>
        </w:rPr>
        <w:t xml:space="preserve"> </w:t>
      </w:r>
      <w:r>
        <w:t>de</w:t>
      </w:r>
      <w:r>
        <w:rPr>
          <w:spacing w:val="-3"/>
        </w:rPr>
        <w:t xml:space="preserve"> </w:t>
      </w:r>
      <w:r>
        <w:t>carácter</w:t>
      </w:r>
      <w:r>
        <w:rPr>
          <w:spacing w:val="-3"/>
        </w:rPr>
        <w:t xml:space="preserve"> </w:t>
      </w:r>
      <w:r>
        <w:t>militar,</w:t>
      </w:r>
      <w:r>
        <w:rPr>
          <w:spacing w:val="-4"/>
        </w:rPr>
        <w:t xml:space="preserve"> </w:t>
      </w:r>
      <w:r>
        <w:t>político</w:t>
      </w:r>
      <w:r>
        <w:rPr>
          <w:spacing w:val="-4"/>
        </w:rPr>
        <w:t xml:space="preserve"> </w:t>
      </w:r>
      <w:r>
        <w:t>y</w:t>
      </w:r>
      <w:r>
        <w:rPr>
          <w:spacing w:val="-5"/>
        </w:rPr>
        <w:t xml:space="preserve"> </w:t>
      </w:r>
      <w:r>
        <w:t>social</w:t>
      </w:r>
      <w:r>
        <w:rPr>
          <w:spacing w:val="-3"/>
        </w:rPr>
        <w:t xml:space="preserve"> </w:t>
      </w:r>
      <w:r>
        <w:t>de</w:t>
      </w:r>
      <w:r>
        <w:rPr>
          <w:spacing w:val="-3"/>
        </w:rPr>
        <w:t xml:space="preserve"> </w:t>
      </w:r>
      <w:r>
        <w:t>extrema derecha que, aunque en principio fue regional, fue replicado en todo el país como AUC.</w:t>
      </w:r>
    </w:p>
    <w:p w:rsidR="003804AC" w:rsidRDefault="00AF18A5" w:rsidP="00AD75C9">
      <w:r>
        <w:t>La violencia paramilitar no fue, en principio, indiscriminada. Esta estuvo, de hecho, racionalmente orientada a herir a las fuerzas de cambio social que emergían en el nuevo contexto de apertura democrática. En particular, se atacó a la UP, cuyo genocidio se consolidó</w:t>
      </w:r>
      <w:r>
        <w:rPr>
          <w:spacing w:val="-14"/>
        </w:rPr>
        <w:t xml:space="preserve"> </w:t>
      </w:r>
      <w:r>
        <w:t>en</w:t>
      </w:r>
      <w:r>
        <w:rPr>
          <w:spacing w:val="-14"/>
        </w:rPr>
        <w:t xml:space="preserve"> </w:t>
      </w:r>
      <w:r>
        <w:t>los</w:t>
      </w:r>
      <w:r>
        <w:rPr>
          <w:spacing w:val="-13"/>
        </w:rPr>
        <w:t xml:space="preserve"> </w:t>
      </w:r>
      <w:r>
        <w:t>años</w:t>
      </w:r>
      <w:r>
        <w:rPr>
          <w:spacing w:val="-13"/>
        </w:rPr>
        <w:t xml:space="preserve"> </w:t>
      </w:r>
      <w:r>
        <w:t>noventa,</w:t>
      </w:r>
      <w:r>
        <w:rPr>
          <w:spacing w:val="-13"/>
        </w:rPr>
        <w:t xml:space="preserve"> </w:t>
      </w:r>
      <w:r>
        <w:t>a</w:t>
      </w:r>
      <w:r>
        <w:rPr>
          <w:spacing w:val="-14"/>
        </w:rPr>
        <w:t xml:space="preserve"> </w:t>
      </w:r>
      <w:r>
        <w:t>los</w:t>
      </w:r>
      <w:r>
        <w:rPr>
          <w:spacing w:val="-14"/>
        </w:rPr>
        <w:t xml:space="preserve"> </w:t>
      </w:r>
      <w:r>
        <w:t>movimientos</w:t>
      </w:r>
      <w:r>
        <w:rPr>
          <w:spacing w:val="-14"/>
        </w:rPr>
        <w:t xml:space="preserve"> </w:t>
      </w:r>
      <w:r>
        <w:t>regionales</w:t>
      </w:r>
      <w:r>
        <w:rPr>
          <w:spacing w:val="-13"/>
        </w:rPr>
        <w:t xml:space="preserve"> </w:t>
      </w:r>
      <w:r>
        <w:t>y</w:t>
      </w:r>
      <w:r>
        <w:rPr>
          <w:spacing w:val="-14"/>
        </w:rPr>
        <w:t xml:space="preserve"> </w:t>
      </w:r>
      <w:r>
        <w:t>a</w:t>
      </w:r>
      <w:r>
        <w:rPr>
          <w:spacing w:val="-13"/>
        </w:rPr>
        <w:t xml:space="preserve"> </w:t>
      </w:r>
      <w:r>
        <w:t>las</w:t>
      </w:r>
      <w:r>
        <w:rPr>
          <w:spacing w:val="-14"/>
        </w:rPr>
        <w:t xml:space="preserve"> </w:t>
      </w:r>
      <w:r>
        <w:t>expresiones</w:t>
      </w:r>
      <w:r>
        <w:rPr>
          <w:spacing w:val="-13"/>
        </w:rPr>
        <w:t xml:space="preserve"> </w:t>
      </w:r>
      <w:r>
        <w:t>más</w:t>
      </w:r>
      <w:r>
        <w:rPr>
          <w:spacing w:val="-14"/>
        </w:rPr>
        <w:t xml:space="preserve"> </w:t>
      </w:r>
      <w:r>
        <w:t>políticas del movimiento social</w:t>
      </w:r>
      <w:r w:rsidR="00AD75C9">
        <w:rPr>
          <w:rStyle w:val="Refdenotaalpie"/>
        </w:rPr>
        <w:footnoteReference w:id="89"/>
      </w:r>
      <w:r>
        <w:t>. En Urabá, por ejemplo, el</w:t>
      </w:r>
      <w:r>
        <w:rPr>
          <w:spacing w:val="-1"/>
        </w:rPr>
        <w:t xml:space="preserve"> </w:t>
      </w:r>
      <w:r>
        <w:t xml:space="preserve">paramilitarismo logró </w:t>
      </w:r>
      <w:r>
        <w:lastRenderedPageBreak/>
        <w:t>revertir la ventaja política</w:t>
      </w:r>
      <w:r>
        <w:rPr>
          <w:spacing w:val="4"/>
        </w:rPr>
        <w:t xml:space="preserve"> </w:t>
      </w:r>
      <w:r>
        <w:t>de</w:t>
      </w:r>
      <w:r>
        <w:rPr>
          <w:spacing w:val="6"/>
        </w:rPr>
        <w:t xml:space="preserve"> </w:t>
      </w:r>
      <w:r>
        <w:t>la</w:t>
      </w:r>
      <w:r>
        <w:rPr>
          <w:spacing w:val="7"/>
        </w:rPr>
        <w:t xml:space="preserve"> </w:t>
      </w:r>
      <w:r>
        <w:t>UP.</w:t>
      </w:r>
      <w:r>
        <w:rPr>
          <w:spacing w:val="7"/>
        </w:rPr>
        <w:t xml:space="preserve"> </w:t>
      </w:r>
      <w:r>
        <w:t>Este</w:t>
      </w:r>
      <w:r>
        <w:rPr>
          <w:spacing w:val="6"/>
        </w:rPr>
        <w:t xml:space="preserve"> </w:t>
      </w:r>
      <w:r>
        <w:t>cambio</w:t>
      </w:r>
      <w:r>
        <w:rPr>
          <w:spacing w:val="7"/>
        </w:rPr>
        <w:t xml:space="preserve"> </w:t>
      </w:r>
      <w:r>
        <w:t>se</w:t>
      </w:r>
      <w:r>
        <w:rPr>
          <w:spacing w:val="6"/>
        </w:rPr>
        <w:t xml:space="preserve"> </w:t>
      </w:r>
      <w:r>
        <w:t>dio</w:t>
      </w:r>
      <w:r>
        <w:rPr>
          <w:spacing w:val="6"/>
        </w:rPr>
        <w:t xml:space="preserve"> </w:t>
      </w:r>
      <w:r>
        <w:t>en</w:t>
      </w:r>
      <w:r>
        <w:rPr>
          <w:spacing w:val="7"/>
        </w:rPr>
        <w:t xml:space="preserve"> </w:t>
      </w:r>
      <w:r>
        <w:t>medio</w:t>
      </w:r>
      <w:r>
        <w:rPr>
          <w:spacing w:val="6"/>
        </w:rPr>
        <w:t xml:space="preserve"> </w:t>
      </w:r>
      <w:r>
        <w:t>de</w:t>
      </w:r>
      <w:r>
        <w:rPr>
          <w:spacing w:val="6"/>
        </w:rPr>
        <w:t xml:space="preserve"> </w:t>
      </w:r>
      <w:r>
        <w:t>la</w:t>
      </w:r>
      <w:r>
        <w:rPr>
          <w:spacing w:val="7"/>
        </w:rPr>
        <w:t xml:space="preserve"> </w:t>
      </w:r>
      <w:r>
        <w:t>guerra</w:t>
      </w:r>
      <w:r>
        <w:rPr>
          <w:spacing w:val="5"/>
        </w:rPr>
        <w:t xml:space="preserve"> </w:t>
      </w:r>
      <w:r>
        <w:t>entre</w:t>
      </w:r>
      <w:r>
        <w:rPr>
          <w:spacing w:val="6"/>
        </w:rPr>
        <w:t xml:space="preserve"> </w:t>
      </w:r>
      <w:r>
        <w:t>las</w:t>
      </w:r>
      <w:r>
        <w:rPr>
          <w:spacing w:val="7"/>
        </w:rPr>
        <w:t xml:space="preserve"> </w:t>
      </w:r>
      <w:r>
        <w:t>FARC-EP</w:t>
      </w:r>
      <w:r>
        <w:rPr>
          <w:spacing w:val="6"/>
        </w:rPr>
        <w:t xml:space="preserve"> </w:t>
      </w:r>
      <w:r>
        <w:t>y</w:t>
      </w:r>
      <w:r>
        <w:rPr>
          <w:spacing w:val="7"/>
        </w:rPr>
        <w:t xml:space="preserve"> </w:t>
      </w:r>
      <w:r>
        <w:t>un</w:t>
      </w:r>
      <w:r>
        <w:rPr>
          <w:spacing w:val="8"/>
        </w:rPr>
        <w:t xml:space="preserve"> </w:t>
      </w:r>
      <w:r>
        <w:rPr>
          <w:spacing w:val="-2"/>
        </w:rPr>
        <w:t>sector</w:t>
      </w:r>
      <w:bookmarkStart w:id="149" w:name="_bookmark96"/>
      <w:bookmarkStart w:id="150" w:name="_bookmark97"/>
      <w:bookmarkStart w:id="151" w:name="_bookmark98"/>
      <w:bookmarkStart w:id="152" w:name="_bookmark99"/>
      <w:bookmarkEnd w:id="149"/>
      <w:bookmarkEnd w:id="150"/>
      <w:bookmarkEnd w:id="151"/>
      <w:bookmarkEnd w:id="152"/>
      <w:r w:rsidR="00AD75C9">
        <w:rPr>
          <w:spacing w:val="-2"/>
        </w:rPr>
        <w:t xml:space="preserve"> </w:t>
      </w:r>
      <w:r>
        <w:t>de desmovilizados del EPL que se unieron a los paramilitares de las ACCU. Este enfrentamiento facilitó un dominio hegemónico de los paramilitares, quienes pactaron con los sindicatos, algunas empresas, así como con la fuerza pública y gran parte de la sociedad civil. Para ello, usaron la violencia, el constreñimiento, la compra de conciencias y el pacto político. En el mismo sentido, en todo el Caribe, gran parte de la expansión paramilitar se hizo arrasando con los líderes de la izquierda democrática</w:t>
      </w:r>
      <w:r w:rsidR="00AD75C9">
        <w:rPr>
          <w:rStyle w:val="Refdenotaalpie"/>
        </w:rPr>
        <w:footnoteReference w:id="90"/>
      </w:r>
      <w:r>
        <w:t>. Lo mismo ocurrió en Norte de Santander,</w:t>
      </w:r>
      <w:r>
        <w:rPr>
          <w:spacing w:val="-6"/>
        </w:rPr>
        <w:t xml:space="preserve"> </w:t>
      </w:r>
      <w:r>
        <w:t>Meta,</w:t>
      </w:r>
      <w:r>
        <w:rPr>
          <w:spacing w:val="-5"/>
        </w:rPr>
        <w:t xml:space="preserve"> </w:t>
      </w:r>
      <w:r>
        <w:t>Antioquia</w:t>
      </w:r>
      <w:r>
        <w:rPr>
          <w:spacing w:val="-4"/>
        </w:rPr>
        <w:t xml:space="preserve"> </w:t>
      </w:r>
      <w:r>
        <w:t>y</w:t>
      </w:r>
      <w:r>
        <w:rPr>
          <w:spacing w:val="-5"/>
        </w:rPr>
        <w:t xml:space="preserve"> </w:t>
      </w:r>
      <w:r>
        <w:t>el</w:t>
      </w:r>
      <w:r>
        <w:rPr>
          <w:spacing w:val="-4"/>
        </w:rPr>
        <w:t xml:space="preserve"> </w:t>
      </w:r>
      <w:r>
        <w:t>Magdalena</w:t>
      </w:r>
      <w:r>
        <w:rPr>
          <w:spacing w:val="-4"/>
        </w:rPr>
        <w:t xml:space="preserve"> </w:t>
      </w:r>
      <w:r>
        <w:t>Medio,</w:t>
      </w:r>
      <w:r>
        <w:rPr>
          <w:spacing w:val="-5"/>
        </w:rPr>
        <w:t xml:space="preserve"> </w:t>
      </w:r>
      <w:r>
        <w:t>por</w:t>
      </w:r>
      <w:r>
        <w:rPr>
          <w:spacing w:val="-4"/>
        </w:rPr>
        <w:t xml:space="preserve"> </w:t>
      </w:r>
      <w:r>
        <w:t>mencionar</w:t>
      </w:r>
      <w:r>
        <w:rPr>
          <w:spacing w:val="-4"/>
        </w:rPr>
        <w:t xml:space="preserve"> </w:t>
      </w:r>
      <w:r>
        <w:t>apenas</w:t>
      </w:r>
      <w:r>
        <w:rPr>
          <w:spacing w:val="-4"/>
        </w:rPr>
        <w:t xml:space="preserve"> </w:t>
      </w:r>
      <w:r>
        <w:t>unas</w:t>
      </w:r>
      <w:r>
        <w:rPr>
          <w:spacing w:val="-5"/>
        </w:rPr>
        <w:t xml:space="preserve"> </w:t>
      </w:r>
      <w:r>
        <w:t>regiones.</w:t>
      </w:r>
      <w:r>
        <w:rPr>
          <w:spacing w:val="-5"/>
        </w:rPr>
        <w:t xml:space="preserve"> </w:t>
      </w:r>
      <w:r>
        <w:t>La disputa</w:t>
      </w:r>
      <w:r>
        <w:rPr>
          <w:spacing w:val="-5"/>
        </w:rPr>
        <w:t xml:space="preserve"> </w:t>
      </w:r>
      <w:r>
        <w:t>militar</w:t>
      </w:r>
      <w:r>
        <w:rPr>
          <w:spacing w:val="-4"/>
        </w:rPr>
        <w:t xml:space="preserve"> </w:t>
      </w:r>
      <w:r>
        <w:t>y</w:t>
      </w:r>
      <w:r>
        <w:rPr>
          <w:spacing w:val="-5"/>
        </w:rPr>
        <w:t xml:space="preserve"> </w:t>
      </w:r>
      <w:r>
        <w:t>política</w:t>
      </w:r>
      <w:r>
        <w:rPr>
          <w:spacing w:val="-6"/>
        </w:rPr>
        <w:t xml:space="preserve"> </w:t>
      </w:r>
      <w:r>
        <w:t>fueron</w:t>
      </w:r>
      <w:r>
        <w:rPr>
          <w:spacing w:val="-5"/>
        </w:rPr>
        <w:t xml:space="preserve"> </w:t>
      </w:r>
      <w:r>
        <w:t>dos</w:t>
      </w:r>
      <w:r>
        <w:rPr>
          <w:spacing w:val="-5"/>
        </w:rPr>
        <w:t xml:space="preserve"> </w:t>
      </w:r>
      <w:r>
        <w:t>caras</w:t>
      </w:r>
      <w:r>
        <w:rPr>
          <w:spacing w:val="-5"/>
        </w:rPr>
        <w:t xml:space="preserve"> </w:t>
      </w:r>
      <w:r>
        <w:t>de</w:t>
      </w:r>
      <w:r>
        <w:rPr>
          <w:spacing w:val="-5"/>
        </w:rPr>
        <w:t xml:space="preserve"> </w:t>
      </w:r>
      <w:r>
        <w:t>una</w:t>
      </w:r>
      <w:r>
        <w:rPr>
          <w:spacing w:val="-6"/>
        </w:rPr>
        <w:t xml:space="preserve"> </w:t>
      </w:r>
      <w:r>
        <w:t>misma</w:t>
      </w:r>
      <w:r>
        <w:rPr>
          <w:spacing w:val="-5"/>
        </w:rPr>
        <w:t xml:space="preserve"> </w:t>
      </w:r>
      <w:r>
        <w:t>moneda.</w:t>
      </w:r>
      <w:r>
        <w:rPr>
          <w:spacing w:val="-5"/>
        </w:rPr>
        <w:t xml:space="preserve"> </w:t>
      </w:r>
      <w:r>
        <w:t>Se</w:t>
      </w:r>
      <w:r>
        <w:rPr>
          <w:spacing w:val="-5"/>
        </w:rPr>
        <w:t xml:space="preserve"> </w:t>
      </w:r>
      <w:r>
        <w:t>entraba</w:t>
      </w:r>
      <w:r>
        <w:rPr>
          <w:spacing w:val="-5"/>
        </w:rPr>
        <w:t xml:space="preserve"> </w:t>
      </w:r>
      <w:r>
        <w:t>con</w:t>
      </w:r>
      <w:r>
        <w:rPr>
          <w:spacing w:val="-5"/>
        </w:rPr>
        <w:t xml:space="preserve"> </w:t>
      </w:r>
      <w:r>
        <w:t>las</w:t>
      </w:r>
      <w:r>
        <w:rPr>
          <w:spacing w:val="-5"/>
        </w:rPr>
        <w:t xml:space="preserve"> </w:t>
      </w:r>
      <w:r>
        <w:t>armas</w:t>
      </w:r>
      <w:r>
        <w:rPr>
          <w:spacing w:val="-5"/>
        </w:rPr>
        <w:t xml:space="preserve"> </w:t>
      </w:r>
      <w:r>
        <w:t>y se consolidaba con la política o, en contraposición, los políticos atraían a estos grupos armados para garantizar un poder sin democracia.</w:t>
      </w:r>
    </w:p>
    <w:p w:rsidR="003804AC" w:rsidRDefault="00AF18A5" w:rsidP="00AD75C9">
      <w:r>
        <w:t>En esa guerra, que entre 1995 y 2005 dejó el mayor número de víctimas en el país, se consolidó una contrarreforma agraria y se revirtieron algunos de los logros de la paulatina democratización, en algunos casos de manera temporal y en otros más prolongada</w:t>
      </w:r>
      <w:r w:rsidR="00AD75C9">
        <w:rPr>
          <w:rStyle w:val="Refdenotaalpie"/>
        </w:rPr>
        <w:footnoteReference w:id="91"/>
      </w:r>
      <w:r>
        <w:t>. Hubo regiones donde la competencia electoral se hizo inviable y otras en las que los derechos políticos como la participación ciudadana, la organización social, la libertad de expresión fueron</w:t>
      </w:r>
      <w:r>
        <w:rPr>
          <w:spacing w:val="-13"/>
        </w:rPr>
        <w:t xml:space="preserve"> </w:t>
      </w:r>
      <w:r>
        <w:t>constreñidas</w:t>
      </w:r>
      <w:r>
        <w:rPr>
          <w:spacing w:val="-13"/>
        </w:rPr>
        <w:t xml:space="preserve"> </w:t>
      </w:r>
      <w:r>
        <w:t>o</w:t>
      </w:r>
      <w:r>
        <w:rPr>
          <w:spacing w:val="-12"/>
        </w:rPr>
        <w:t xml:space="preserve"> </w:t>
      </w:r>
      <w:r>
        <w:t>desaparecieron</w:t>
      </w:r>
      <w:r>
        <w:rPr>
          <w:spacing w:val="-13"/>
        </w:rPr>
        <w:t xml:space="preserve"> </w:t>
      </w:r>
      <w:r>
        <w:t>del</w:t>
      </w:r>
      <w:r>
        <w:rPr>
          <w:spacing w:val="-13"/>
        </w:rPr>
        <w:t xml:space="preserve"> </w:t>
      </w:r>
      <w:r>
        <w:t>todo.</w:t>
      </w:r>
      <w:r>
        <w:rPr>
          <w:spacing w:val="-12"/>
        </w:rPr>
        <w:t xml:space="preserve"> </w:t>
      </w:r>
      <w:r>
        <w:t>Las</w:t>
      </w:r>
      <w:r>
        <w:rPr>
          <w:spacing w:val="-12"/>
        </w:rPr>
        <w:t xml:space="preserve"> </w:t>
      </w:r>
      <w:r>
        <w:t>AUC,</w:t>
      </w:r>
      <w:r>
        <w:rPr>
          <w:spacing w:val="-12"/>
        </w:rPr>
        <w:t xml:space="preserve"> </w:t>
      </w:r>
      <w:r>
        <w:t>así</w:t>
      </w:r>
      <w:r>
        <w:rPr>
          <w:spacing w:val="-11"/>
        </w:rPr>
        <w:t xml:space="preserve"> </w:t>
      </w:r>
      <w:r>
        <w:t>como</w:t>
      </w:r>
      <w:r>
        <w:rPr>
          <w:spacing w:val="-12"/>
        </w:rPr>
        <w:t xml:space="preserve"> </w:t>
      </w:r>
      <w:r>
        <w:t>las</w:t>
      </w:r>
      <w:r>
        <w:rPr>
          <w:spacing w:val="-12"/>
        </w:rPr>
        <w:t xml:space="preserve"> </w:t>
      </w:r>
      <w:r>
        <w:t>expresiones</w:t>
      </w:r>
      <w:r>
        <w:rPr>
          <w:spacing w:val="-13"/>
        </w:rPr>
        <w:t xml:space="preserve"> </w:t>
      </w:r>
      <w:r>
        <w:t xml:space="preserve">anteriores y posteriores del paramilitarismo, han significado la mayor destrucción de los avances democráticos del país, especialmente por su contenido </w:t>
      </w:r>
      <w:r>
        <w:lastRenderedPageBreak/>
        <w:t>ultraconservador y elitista.</w:t>
      </w:r>
    </w:p>
    <w:p w:rsidR="003804AC" w:rsidRDefault="00AF18A5" w:rsidP="00AD75C9">
      <w:r>
        <w:t>Para finales del siglo XX, en una porción del país se había impuesto la coalición paramilitar. Esta también había logrado imponer una narrativa justificadora de la barbarie alrededor</w:t>
      </w:r>
      <w:r>
        <w:rPr>
          <w:spacing w:val="-13"/>
        </w:rPr>
        <w:t xml:space="preserve"> </w:t>
      </w:r>
      <w:r>
        <w:t>del</w:t>
      </w:r>
      <w:r>
        <w:rPr>
          <w:spacing w:val="-13"/>
        </w:rPr>
        <w:t xml:space="preserve"> </w:t>
      </w:r>
      <w:r>
        <w:t>muy</w:t>
      </w:r>
      <w:r>
        <w:rPr>
          <w:spacing w:val="-14"/>
        </w:rPr>
        <w:t xml:space="preserve"> </w:t>
      </w:r>
      <w:r>
        <w:t>cuestionable</w:t>
      </w:r>
      <w:r>
        <w:rPr>
          <w:spacing w:val="-13"/>
        </w:rPr>
        <w:t xml:space="preserve"> </w:t>
      </w:r>
      <w:r>
        <w:t>«derecho</w:t>
      </w:r>
      <w:r>
        <w:rPr>
          <w:spacing w:val="-13"/>
        </w:rPr>
        <w:t xml:space="preserve"> </w:t>
      </w:r>
      <w:r>
        <w:t>a</w:t>
      </w:r>
      <w:r>
        <w:rPr>
          <w:spacing w:val="-13"/>
        </w:rPr>
        <w:t xml:space="preserve"> </w:t>
      </w:r>
      <w:r>
        <w:t>la</w:t>
      </w:r>
      <w:r>
        <w:rPr>
          <w:spacing w:val="-13"/>
        </w:rPr>
        <w:t xml:space="preserve"> </w:t>
      </w:r>
      <w:r>
        <w:t>defensa».</w:t>
      </w:r>
      <w:r>
        <w:rPr>
          <w:spacing w:val="-13"/>
        </w:rPr>
        <w:t xml:space="preserve"> </w:t>
      </w:r>
      <w:r>
        <w:t>También,</w:t>
      </w:r>
      <w:r>
        <w:rPr>
          <w:spacing w:val="-13"/>
        </w:rPr>
        <w:t xml:space="preserve"> </w:t>
      </w:r>
      <w:r>
        <w:t>se</w:t>
      </w:r>
      <w:r>
        <w:rPr>
          <w:spacing w:val="-13"/>
        </w:rPr>
        <w:t xml:space="preserve"> </w:t>
      </w:r>
      <w:r>
        <w:t>había</w:t>
      </w:r>
      <w:r>
        <w:rPr>
          <w:spacing w:val="-14"/>
        </w:rPr>
        <w:t xml:space="preserve"> </w:t>
      </w:r>
      <w:r>
        <w:t>consolidado</w:t>
      </w:r>
      <w:r>
        <w:rPr>
          <w:spacing w:val="-14"/>
        </w:rPr>
        <w:t xml:space="preserve"> </w:t>
      </w:r>
      <w:r>
        <w:t>desde 1994 con las Convivir como una alianza en la que el narcotráfico ponía el dinero y los aparatos armados. Algunos empresarios y políticos asentaron las redes y mecanismos de acceso</w:t>
      </w:r>
      <w:r>
        <w:rPr>
          <w:spacing w:val="20"/>
        </w:rPr>
        <w:t xml:space="preserve"> </w:t>
      </w:r>
      <w:r>
        <w:t>al</w:t>
      </w:r>
      <w:r>
        <w:rPr>
          <w:spacing w:val="24"/>
        </w:rPr>
        <w:t xml:space="preserve"> </w:t>
      </w:r>
      <w:r>
        <w:t>poder</w:t>
      </w:r>
      <w:r>
        <w:rPr>
          <w:spacing w:val="24"/>
        </w:rPr>
        <w:t xml:space="preserve"> </w:t>
      </w:r>
      <w:r>
        <w:t>de</w:t>
      </w:r>
      <w:r>
        <w:rPr>
          <w:spacing w:val="23"/>
        </w:rPr>
        <w:t xml:space="preserve"> </w:t>
      </w:r>
      <w:r>
        <w:t>las</w:t>
      </w:r>
      <w:r>
        <w:rPr>
          <w:spacing w:val="23"/>
        </w:rPr>
        <w:t xml:space="preserve"> </w:t>
      </w:r>
      <w:r>
        <w:t>instituciones.</w:t>
      </w:r>
      <w:r>
        <w:rPr>
          <w:spacing w:val="22"/>
        </w:rPr>
        <w:t xml:space="preserve"> </w:t>
      </w:r>
      <w:r>
        <w:t>Sectores</w:t>
      </w:r>
      <w:r>
        <w:rPr>
          <w:spacing w:val="24"/>
        </w:rPr>
        <w:t xml:space="preserve"> </w:t>
      </w:r>
      <w:r>
        <w:t>de</w:t>
      </w:r>
      <w:r>
        <w:rPr>
          <w:spacing w:val="22"/>
        </w:rPr>
        <w:t xml:space="preserve"> </w:t>
      </w:r>
      <w:r>
        <w:t>la</w:t>
      </w:r>
      <w:r>
        <w:rPr>
          <w:spacing w:val="24"/>
        </w:rPr>
        <w:t xml:space="preserve"> </w:t>
      </w:r>
      <w:r>
        <w:t>fuerza</w:t>
      </w:r>
      <w:r>
        <w:rPr>
          <w:spacing w:val="24"/>
        </w:rPr>
        <w:t xml:space="preserve"> </w:t>
      </w:r>
      <w:r>
        <w:t>pública</w:t>
      </w:r>
      <w:r>
        <w:rPr>
          <w:spacing w:val="23"/>
        </w:rPr>
        <w:t xml:space="preserve"> </w:t>
      </w:r>
      <w:r>
        <w:t>actuaron</w:t>
      </w:r>
      <w:r>
        <w:rPr>
          <w:spacing w:val="24"/>
        </w:rPr>
        <w:t xml:space="preserve"> </w:t>
      </w:r>
      <w:r>
        <w:t>al</w:t>
      </w:r>
      <w:r>
        <w:rPr>
          <w:spacing w:val="23"/>
        </w:rPr>
        <w:t xml:space="preserve"> </w:t>
      </w:r>
      <w:r>
        <w:t>lado</w:t>
      </w:r>
      <w:r>
        <w:rPr>
          <w:spacing w:val="23"/>
        </w:rPr>
        <w:t xml:space="preserve"> </w:t>
      </w:r>
      <w:r>
        <w:t>de</w:t>
      </w:r>
      <w:r>
        <w:rPr>
          <w:spacing w:val="24"/>
        </w:rPr>
        <w:t xml:space="preserve"> </w:t>
      </w:r>
      <w:r>
        <w:rPr>
          <w:spacing w:val="-5"/>
        </w:rPr>
        <w:t>los</w:t>
      </w:r>
      <w:bookmarkStart w:id="153" w:name="_bookmark100"/>
      <w:bookmarkStart w:id="154" w:name="_bookmark101"/>
      <w:bookmarkEnd w:id="153"/>
      <w:bookmarkEnd w:id="154"/>
      <w:r w:rsidR="00AD75C9">
        <w:rPr>
          <w:spacing w:val="-5"/>
        </w:rPr>
        <w:t xml:space="preserve"> </w:t>
      </w:r>
      <w:r>
        <w:t>paramilitares aportando información, moviendo tropas para dejarles libres el camino o, incluso, en operaciones conjuntas. La justicia –la penal militar y la civil– sucumbió a la impunidad, fue infiltrada por redes criminales y atacada desde adentro. Los paramilitares construyeron</w:t>
      </w:r>
      <w:r>
        <w:rPr>
          <w:spacing w:val="-2"/>
        </w:rPr>
        <w:t xml:space="preserve"> </w:t>
      </w:r>
      <w:r>
        <w:t>un</w:t>
      </w:r>
      <w:r>
        <w:rPr>
          <w:spacing w:val="-2"/>
        </w:rPr>
        <w:t xml:space="preserve"> </w:t>
      </w:r>
      <w:r>
        <w:t>modelo</w:t>
      </w:r>
      <w:r>
        <w:rPr>
          <w:spacing w:val="-2"/>
        </w:rPr>
        <w:t xml:space="preserve"> </w:t>
      </w:r>
      <w:r>
        <w:t>de</w:t>
      </w:r>
      <w:r>
        <w:rPr>
          <w:spacing w:val="-2"/>
        </w:rPr>
        <w:t xml:space="preserve"> </w:t>
      </w:r>
      <w:r>
        <w:t>Estado</w:t>
      </w:r>
      <w:r>
        <w:rPr>
          <w:spacing w:val="-2"/>
        </w:rPr>
        <w:t xml:space="preserve"> </w:t>
      </w:r>
      <w:r>
        <w:t>y</w:t>
      </w:r>
      <w:r>
        <w:rPr>
          <w:spacing w:val="-2"/>
        </w:rPr>
        <w:t xml:space="preserve"> </w:t>
      </w:r>
      <w:r>
        <w:t>de</w:t>
      </w:r>
      <w:r>
        <w:rPr>
          <w:spacing w:val="-2"/>
        </w:rPr>
        <w:t xml:space="preserve"> </w:t>
      </w:r>
      <w:r>
        <w:t>gobierno,</w:t>
      </w:r>
      <w:r>
        <w:rPr>
          <w:spacing w:val="-2"/>
        </w:rPr>
        <w:t xml:space="preserve"> </w:t>
      </w:r>
      <w:r>
        <w:t>y</w:t>
      </w:r>
      <w:r>
        <w:rPr>
          <w:spacing w:val="-2"/>
        </w:rPr>
        <w:t xml:space="preserve"> </w:t>
      </w:r>
      <w:r>
        <w:t>moldearon</w:t>
      </w:r>
      <w:r>
        <w:rPr>
          <w:spacing w:val="-2"/>
        </w:rPr>
        <w:t xml:space="preserve"> </w:t>
      </w:r>
      <w:r>
        <w:t>una</w:t>
      </w:r>
      <w:r>
        <w:rPr>
          <w:spacing w:val="-2"/>
        </w:rPr>
        <w:t xml:space="preserve"> </w:t>
      </w:r>
      <w:r>
        <w:t>fuerza</w:t>
      </w:r>
      <w:r>
        <w:rPr>
          <w:spacing w:val="-3"/>
        </w:rPr>
        <w:t xml:space="preserve"> </w:t>
      </w:r>
      <w:r>
        <w:t>política</w:t>
      </w:r>
      <w:r>
        <w:rPr>
          <w:spacing w:val="-2"/>
        </w:rPr>
        <w:t xml:space="preserve"> </w:t>
      </w:r>
      <w:r>
        <w:t>que</w:t>
      </w:r>
      <w:r>
        <w:rPr>
          <w:spacing w:val="-3"/>
        </w:rPr>
        <w:t xml:space="preserve"> </w:t>
      </w:r>
      <w:r>
        <w:t>llegó a representar más o menos el 30 % del poder en Colombia</w:t>
      </w:r>
      <w:r w:rsidR="00AD75C9">
        <w:rPr>
          <w:rStyle w:val="Refdenotaalpie"/>
        </w:rPr>
        <w:footnoteReference w:id="92"/>
      </w:r>
      <w:r>
        <w:t>.</w:t>
      </w:r>
    </w:p>
    <w:p w:rsidR="003804AC" w:rsidRDefault="00AF18A5" w:rsidP="00AD75C9">
      <w:r>
        <w:t xml:space="preserve">Al igual que el incremento brutal de todas las violaciones de los DD. HH. e infracciones del derecho internacional humanitario (DIH), todo lo anterior fue posible debido a la creciente fragmentación del poder producto de la crisis de gobernabilidad durante los gobiernos de Ernesto Samper (1994-1998) y Andrés Pastrana (1998-2002). Dicha fragmentación profundizó un rasgo esencial del régimen político colombiano: los pactos no siempre virtuosos del Estado nacional con las élites políticas y económicas regionales. En esa medida, es necesario relativizar la noción de que Colombia es un país presidencialista y </w:t>
      </w:r>
      <w:r>
        <w:rPr>
          <w:spacing w:val="-2"/>
        </w:rPr>
        <w:t>centralista.</w:t>
      </w:r>
    </w:p>
    <w:p w:rsidR="003804AC" w:rsidRDefault="00AF18A5" w:rsidP="00AD75C9">
      <w:r>
        <w:lastRenderedPageBreak/>
        <w:t>Durante los gobiernos de Samper y Pastrana hubo tanto avances en pro de la democracia y la paz, como decisiones que profundizaron la guerra. Samper, por ejemplo, ratificó los protocolos</w:t>
      </w:r>
      <w:r>
        <w:rPr>
          <w:spacing w:val="-12"/>
        </w:rPr>
        <w:t xml:space="preserve"> </w:t>
      </w:r>
      <w:r>
        <w:t>adicionales</w:t>
      </w:r>
      <w:r>
        <w:rPr>
          <w:spacing w:val="-12"/>
        </w:rPr>
        <w:t xml:space="preserve"> </w:t>
      </w:r>
      <w:r>
        <w:t>de</w:t>
      </w:r>
      <w:r>
        <w:rPr>
          <w:spacing w:val="-12"/>
        </w:rPr>
        <w:t xml:space="preserve"> </w:t>
      </w:r>
      <w:r>
        <w:t>los</w:t>
      </w:r>
      <w:r>
        <w:rPr>
          <w:spacing w:val="-12"/>
        </w:rPr>
        <w:t xml:space="preserve"> </w:t>
      </w:r>
      <w:r>
        <w:t>convenios</w:t>
      </w:r>
      <w:r>
        <w:rPr>
          <w:spacing w:val="-12"/>
        </w:rPr>
        <w:t xml:space="preserve"> </w:t>
      </w:r>
      <w:r>
        <w:t>de</w:t>
      </w:r>
      <w:r>
        <w:rPr>
          <w:spacing w:val="-12"/>
        </w:rPr>
        <w:t xml:space="preserve"> </w:t>
      </w:r>
      <w:r>
        <w:t>Ginebra</w:t>
      </w:r>
      <w:r w:rsidR="00AD75C9">
        <w:rPr>
          <w:rStyle w:val="Refdenotaalpie"/>
        </w:rPr>
        <w:footnoteReference w:id="93"/>
      </w:r>
      <w:r>
        <w:rPr>
          <w:spacing w:val="-12"/>
        </w:rPr>
        <w:t xml:space="preserve"> </w:t>
      </w:r>
      <w:r>
        <w:t>y</w:t>
      </w:r>
      <w:r>
        <w:rPr>
          <w:spacing w:val="-12"/>
        </w:rPr>
        <w:t xml:space="preserve"> </w:t>
      </w:r>
      <w:r>
        <w:t>creó</w:t>
      </w:r>
      <w:r>
        <w:rPr>
          <w:spacing w:val="-12"/>
        </w:rPr>
        <w:t xml:space="preserve"> </w:t>
      </w:r>
      <w:r>
        <w:t>gran</w:t>
      </w:r>
      <w:r>
        <w:rPr>
          <w:spacing w:val="-12"/>
        </w:rPr>
        <w:t xml:space="preserve"> </w:t>
      </w:r>
      <w:r>
        <w:t>parte</w:t>
      </w:r>
      <w:r>
        <w:rPr>
          <w:spacing w:val="-12"/>
        </w:rPr>
        <w:t xml:space="preserve"> </w:t>
      </w:r>
      <w:r>
        <w:t>de</w:t>
      </w:r>
      <w:r>
        <w:rPr>
          <w:spacing w:val="-13"/>
        </w:rPr>
        <w:t xml:space="preserve"> </w:t>
      </w:r>
      <w:r>
        <w:t>la</w:t>
      </w:r>
      <w:r>
        <w:rPr>
          <w:spacing w:val="-13"/>
        </w:rPr>
        <w:t xml:space="preserve"> </w:t>
      </w:r>
      <w:r>
        <w:t>institucionalidad de DD. HH., incluido el acuerdo con la Oficina del Alto Comisionado para los Derechos Humanos de la Organización de las Naciones Unidas (ONU). Durante su gobierno, sin embargo,</w:t>
      </w:r>
      <w:r>
        <w:rPr>
          <w:spacing w:val="-7"/>
        </w:rPr>
        <w:t xml:space="preserve"> </w:t>
      </w:r>
      <w:r>
        <w:t>se</w:t>
      </w:r>
      <w:r>
        <w:rPr>
          <w:spacing w:val="-8"/>
        </w:rPr>
        <w:t xml:space="preserve"> </w:t>
      </w:r>
      <w:r>
        <w:t>crearon</w:t>
      </w:r>
      <w:r>
        <w:rPr>
          <w:spacing w:val="-7"/>
        </w:rPr>
        <w:t xml:space="preserve"> </w:t>
      </w:r>
      <w:r>
        <w:t>las</w:t>
      </w:r>
      <w:r>
        <w:rPr>
          <w:spacing w:val="-8"/>
        </w:rPr>
        <w:t xml:space="preserve"> </w:t>
      </w:r>
      <w:r>
        <w:t>Convivir</w:t>
      </w:r>
      <w:r>
        <w:rPr>
          <w:spacing w:val="-7"/>
        </w:rPr>
        <w:t xml:space="preserve"> </w:t>
      </w:r>
      <w:r>
        <w:t>y</w:t>
      </w:r>
      <w:r>
        <w:rPr>
          <w:spacing w:val="-7"/>
        </w:rPr>
        <w:t xml:space="preserve"> </w:t>
      </w:r>
      <w:r>
        <w:t>se</w:t>
      </w:r>
      <w:r>
        <w:rPr>
          <w:spacing w:val="-7"/>
        </w:rPr>
        <w:t xml:space="preserve"> </w:t>
      </w:r>
      <w:r>
        <w:t>dio</w:t>
      </w:r>
      <w:r>
        <w:rPr>
          <w:spacing w:val="-7"/>
        </w:rPr>
        <w:t xml:space="preserve"> </w:t>
      </w:r>
      <w:r>
        <w:t>rienda</w:t>
      </w:r>
      <w:r>
        <w:rPr>
          <w:spacing w:val="-8"/>
        </w:rPr>
        <w:t xml:space="preserve"> </w:t>
      </w:r>
      <w:r>
        <w:t>suelta</w:t>
      </w:r>
      <w:r>
        <w:rPr>
          <w:spacing w:val="-7"/>
        </w:rPr>
        <w:t xml:space="preserve"> </w:t>
      </w:r>
      <w:r>
        <w:t>a</w:t>
      </w:r>
      <w:r>
        <w:rPr>
          <w:spacing w:val="-7"/>
        </w:rPr>
        <w:t xml:space="preserve"> </w:t>
      </w:r>
      <w:r>
        <w:t>la</w:t>
      </w:r>
      <w:r>
        <w:rPr>
          <w:spacing w:val="-7"/>
        </w:rPr>
        <w:t xml:space="preserve"> </w:t>
      </w:r>
      <w:r>
        <w:t>promiscua</w:t>
      </w:r>
      <w:r>
        <w:rPr>
          <w:spacing w:val="-7"/>
        </w:rPr>
        <w:t xml:space="preserve"> </w:t>
      </w:r>
      <w:r>
        <w:t>relación</w:t>
      </w:r>
      <w:r>
        <w:rPr>
          <w:spacing w:val="-7"/>
        </w:rPr>
        <w:t xml:space="preserve"> </w:t>
      </w:r>
      <w:r>
        <w:t>entre</w:t>
      </w:r>
      <w:r>
        <w:rPr>
          <w:spacing w:val="-7"/>
        </w:rPr>
        <w:t xml:space="preserve"> </w:t>
      </w:r>
      <w:r>
        <w:t>la</w:t>
      </w:r>
      <w:r>
        <w:rPr>
          <w:spacing w:val="-8"/>
        </w:rPr>
        <w:t xml:space="preserve"> </w:t>
      </w:r>
      <w:r>
        <w:t>lucha contrainsurgente y la lucha contra las drogas, lo que redundó en una compleja mezcla de roles dentro de la fuerza pública. Durante el gobierno de Pastrana, por su parte, se hizo un importante</w:t>
      </w:r>
      <w:r>
        <w:rPr>
          <w:spacing w:val="-10"/>
        </w:rPr>
        <w:t xml:space="preserve"> </w:t>
      </w:r>
      <w:r>
        <w:t>esfuerzo</w:t>
      </w:r>
      <w:r>
        <w:rPr>
          <w:spacing w:val="-12"/>
        </w:rPr>
        <w:t xml:space="preserve"> </w:t>
      </w:r>
      <w:r>
        <w:t>por</w:t>
      </w:r>
      <w:r>
        <w:rPr>
          <w:spacing w:val="-11"/>
        </w:rPr>
        <w:t xml:space="preserve"> </w:t>
      </w:r>
      <w:r>
        <w:t>lograr</w:t>
      </w:r>
      <w:r>
        <w:rPr>
          <w:spacing w:val="-11"/>
        </w:rPr>
        <w:t xml:space="preserve"> </w:t>
      </w:r>
      <w:r>
        <w:t>la</w:t>
      </w:r>
      <w:r>
        <w:rPr>
          <w:spacing w:val="-10"/>
        </w:rPr>
        <w:t xml:space="preserve"> </w:t>
      </w:r>
      <w:r>
        <w:t>paz</w:t>
      </w:r>
      <w:r>
        <w:rPr>
          <w:spacing w:val="-12"/>
        </w:rPr>
        <w:t xml:space="preserve"> </w:t>
      </w:r>
      <w:r>
        <w:t>a</w:t>
      </w:r>
      <w:r>
        <w:rPr>
          <w:spacing w:val="-10"/>
        </w:rPr>
        <w:t xml:space="preserve"> </w:t>
      </w:r>
      <w:r>
        <w:t>través</w:t>
      </w:r>
      <w:r>
        <w:rPr>
          <w:spacing w:val="-10"/>
        </w:rPr>
        <w:t xml:space="preserve"> </w:t>
      </w:r>
      <w:r>
        <w:t>de</w:t>
      </w:r>
      <w:r>
        <w:rPr>
          <w:spacing w:val="-12"/>
        </w:rPr>
        <w:t xml:space="preserve"> </w:t>
      </w:r>
      <w:r>
        <w:t>conversaciones</w:t>
      </w:r>
      <w:r>
        <w:rPr>
          <w:spacing w:val="-10"/>
        </w:rPr>
        <w:t xml:space="preserve"> </w:t>
      </w:r>
      <w:r>
        <w:t>con</w:t>
      </w:r>
      <w:r>
        <w:rPr>
          <w:spacing w:val="-12"/>
        </w:rPr>
        <w:t xml:space="preserve"> </w:t>
      </w:r>
      <w:r>
        <w:t>las</w:t>
      </w:r>
      <w:r>
        <w:rPr>
          <w:spacing w:val="-10"/>
        </w:rPr>
        <w:t xml:space="preserve"> </w:t>
      </w:r>
      <w:r>
        <w:t>FARC-EP</w:t>
      </w:r>
      <w:r>
        <w:rPr>
          <w:spacing w:val="-11"/>
        </w:rPr>
        <w:t xml:space="preserve"> </w:t>
      </w:r>
      <w:r>
        <w:t>y</w:t>
      </w:r>
      <w:r>
        <w:rPr>
          <w:spacing w:val="-11"/>
        </w:rPr>
        <w:t xml:space="preserve"> </w:t>
      </w:r>
      <w:r>
        <w:t>el</w:t>
      </w:r>
      <w:r>
        <w:rPr>
          <w:spacing w:val="-10"/>
        </w:rPr>
        <w:t xml:space="preserve"> </w:t>
      </w:r>
      <w:r>
        <w:t>ELN; pero,</w:t>
      </w:r>
      <w:r>
        <w:rPr>
          <w:spacing w:val="-8"/>
        </w:rPr>
        <w:t xml:space="preserve"> </w:t>
      </w:r>
      <w:r>
        <w:t>al</w:t>
      </w:r>
      <w:r>
        <w:rPr>
          <w:spacing w:val="-9"/>
        </w:rPr>
        <w:t xml:space="preserve"> </w:t>
      </w:r>
      <w:r>
        <w:t>mismo</w:t>
      </w:r>
      <w:r>
        <w:rPr>
          <w:spacing w:val="-8"/>
        </w:rPr>
        <w:t xml:space="preserve"> </w:t>
      </w:r>
      <w:r>
        <w:t>tiempo,</w:t>
      </w:r>
      <w:r>
        <w:rPr>
          <w:spacing w:val="-9"/>
        </w:rPr>
        <w:t xml:space="preserve"> </w:t>
      </w:r>
      <w:r>
        <w:t>los</w:t>
      </w:r>
      <w:r>
        <w:rPr>
          <w:spacing w:val="-8"/>
        </w:rPr>
        <w:t xml:space="preserve"> </w:t>
      </w:r>
      <w:r>
        <w:t>paramilitares</w:t>
      </w:r>
      <w:r>
        <w:rPr>
          <w:spacing w:val="-8"/>
        </w:rPr>
        <w:t xml:space="preserve"> </w:t>
      </w:r>
      <w:r>
        <w:t>consolidaron</w:t>
      </w:r>
      <w:r>
        <w:rPr>
          <w:spacing w:val="-8"/>
        </w:rPr>
        <w:t xml:space="preserve"> </w:t>
      </w:r>
      <w:r>
        <w:t>su</w:t>
      </w:r>
      <w:r>
        <w:rPr>
          <w:spacing w:val="-8"/>
        </w:rPr>
        <w:t xml:space="preserve"> </w:t>
      </w:r>
      <w:r>
        <w:t>poder</w:t>
      </w:r>
      <w:r>
        <w:rPr>
          <w:spacing w:val="-8"/>
        </w:rPr>
        <w:t xml:space="preserve"> </w:t>
      </w:r>
      <w:r>
        <w:t>militar,</w:t>
      </w:r>
      <w:r>
        <w:rPr>
          <w:spacing w:val="-8"/>
        </w:rPr>
        <w:t xml:space="preserve"> </w:t>
      </w:r>
      <w:r>
        <w:t>económico</w:t>
      </w:r>
      <w:r>
        <w:rPr>
          <w:spacing w:val="-9"/>
        </w:rPr>
        <w:t xml:space="preserve"> </w:t>
      </w:r>
      <w:r>
        <w:t>y</w:t>
      </w:r>
      <w:r>
        <w:rPr>
          <w:spacing w:val="-9"/>
        </w:rPr>
        <w:t xml:space="preserve"> </w:t>
      </w:r>
      <w:r>
        <w:t>político por todo el país, y la política de seguridad se mantuvo bajo la tutela de Estados Unidos con el</w:t>
      </w:r>
      <w:r>
        <w:rPr>
          <w:spacing w:val="39"/>
        </w:rPr>
        <w:t xml:space="preserve"> </w:t>
      </w:r>
      <w:r>
        <w:t>Plan</w:t>
      </w:r>
      <w:r>
        <w:rPr>
          <w:spacing w:val="38"/>
        </w:rPr>
        <w:t xml:space="preserve"> </w:t>
      </w:r>
      <w:r>
        <w:t>Colombia.</w:t>
      </w:r>
      <w:r>
        <w:rPr>
          <w:spacing w:val="39"/>
        </w:rPr>
        <w:t xml:space="preserve"> </w:t>
      </w:r>
      <w:r>
        <w:t>Los</w:t>
      </w:r>
      <w:r>
        <w:rPr>
          <w:spacing w:val="38"/>
        </w:rPr>
        <w:t xml:space="preserve"> </w:t>
      </w:r>
      <w:r>
        <w:t>diálogos</w:t>
      </w:r>
      <w:r>
        <w:rPr>
          <w:spacing w:val="39"/>
        </w:rPr>
        <w:t xml:space="preserve"> </w:t>
      </w:r>
      <w:r>
        <w:t>en</w:t>
      </w:r>
      <w:r>
        <w:rPr>
          <w:spacing w:val="37"/>
        </w:rPr>
        <w:t xml:space="preserve"> </w:t>
      </w:r>
      <w:r>
        <w:t>El</w:t>
      </w:r>
      <w:r>
        <w:rPr>
          <w:spacing w:val="39"/>
        </w:rPr>
        <w:t xml:space="preserve"> </w:t>
      </w:r>
      <w:r>
        <w:t>Caguán</w:t>
      </w:r>
      <w:r>
        <w:rPr>
          <w:spacing w:val="39"/>
        </w:rPr>
        <w:t xml:space="preserve"> </w:t>
      </w:r>
      <w:r>
        <w:t>se</w:t>
      </w:r>
      <w:r>
        <w:rPr>
          <w:spacing w:val="38"/>
        </w:rPr>
        <w:t xml:space="preserve"> </w:t>
      </w:r>
      <w:r>
        <w:t>dieron</w:t>
      </w:r>
      <w:r>
        <w:rPr>
          <w:spacing w:val="39"/>
        </w:rPr>
        <w:t xml:space="preserve"> </w:t>
      </w:r>
      <w:r>
        <w:t>al</w:t>
      </w:r>
      <w:r>
        <w:rPr>
          <w:spacing w:val="39"/>
        </w:rPr>
        <w:t xml:space="preserve"> </w:t>
      </w:r>
      <w:r>
        <w:t>tiempo</w:t>
      </w:r>
      <w:r>
        <w:rPr>
          <w:spacing w:val="38"/>
        </w:rPr>
        <w:t xml:space="preserve"> </w:t>
      </w:r>
      <w:r>
        <w:t>que</w:t>
      </w:r>
      <w:r>
        <w:rPr>
          <w:spacing w:val="39"/>
        </w:rPr>
        <w:t xml:space="preserve"> </w:t>
      </w:r>
      <w:r>
        <w:t>ambas</w:t>
      </w:r>
      <w:r>
        <w:rPr>
          <w:spacing w:val="38"/>
        </w:rPr>
        <w:t xml:space="preserve"> </w:t>
      </w:r>
      <w:r>
        <w:t>partes</w:t>
      </w:r>
      <w:r>
        <w:rPr>
          <w:spacing w:val="39"/>
        </w:rPr>
        <w:t xml:space="preserve"> </w:t>
      </w:r>
      <w:r>
        <w:rPr>
          <w:spacing w:val="-7"/>
        </w:rPr>
        <w:t>se</w:t>
      </w:r>
      <w:bookmarkStart w:id="155" w:name="_bookmark102"/>
      <w:bookmarkStart w:id="156" w:name="_bookmark103"/>
      <w:bookmarkEnd w:id="155"/>
      <w:bookmarkEnd w:id="156"/>
      <w:r w:rsidR="00AD75C9">
        <w:rPr>
          <w:spacing w:val="-7"/>
        </w:rPr>
        <w:t xml:space="preserve"> </w:t>
      </w:r>
      <w:r>
        <w:t>preparaban para ganar la guerra en el campo militar, lo cual</w:t>
      </w:r>
      <w:r>
        <w:rPr>
          <w:spacing w:val="-1"/>
        </w:rPr>
        <w:t xml:space="preserve"> </w:t>
      </w:r>
      <w:r>
        <w:t>quedó en evidencia para el país y se constituyó en una frustración para quienes estaban en medio del fuego cruzado.</w:t>
      </w:r>
    </w:p>
    <w:p w:rsidR="003804AC" w:rsidRDefault="00AF18A5" w:rsidP="00AD75C9">
      <w:r>
        <w:t>Durante esa época, las AUC se extendieron por todo el país con la misión de acabar con las</w:t>
      </w:r>
      <w:r>
        <w:rPr>
          <w:spacing w:val="-8"/>
        </w:rPr>
        <w:t xml:space="preserve"> </w:t>
      </w:r>
      <w:r>
        <w:t>supuestas</w:t>
      </w:r>
      <w:r>
        <w:rPr>
          <w:spacing w:val="-8"/>
        </w:rPr>
        <w:t xml:space="preserve"> </w:t>
      </w:r>
      <w:r>
        <w:t>bases</w:t>
      </w:r>
      <w:r>
        <w:rPr>
          <w:spacing w:val="-9"/>
        </w:rPr>
        <w:t xml:space="preserve"> </w:t>
      </w:r>
      <w:r>
        <w:t>sociales</w:t>
      </w:r>
      <w:r>
        <w:rPr>
          <w:spacing w:val="-8"/>
        </w:rPr>
        <w:t xml:space="preserve"> </w:t>
      </w:r>
      <w:r>
        <w:t>de</w:t>
      </w:r>
      <w:r>
        <w:rPr>
          <w:spacing w:val="-9"/>
        </w:rPr>
        <w:t xml:space="preserve"> </w:t>
      </w:r>
      <w:r>
        <w:t>las</w:t>
      </w:r>
      <w:r>
        <w:rPr>
          <w:spacing w:val="-8"/>
        </w:rPr>
        <w:t xml:space="preserve"> </w:t>
      </w:r>
      <w:r>
        <w:t>guerrillas.</w:t>
      </w:r>
      <w:r>
        <w:rPr>
          <w:spacing w:val="-8"/>
        </w:rPr>
        <w:t xml:space="preserve"> </w:t>
      </w:r>
      <w:r>
        <w:t>En</w:t>
      </w:r>
      <w:r>
        <w:rPr>
          <w:spacing w:val="-8"/>
        </w:rPr>
        <w:t xml:space="preserve"> </w:t>
      </w:r>
      <w:r>
        <w:t>respuesta</w:t>
      </w:r>
      <w:r>
        <w:rPr>
          <w:spacing w:val="-9"/>
        </w:rPr>
        <w:t xml:space="preserve"> </w:t>
      </w:r>
      <w:r>
        <w:t>a</w:t>
      </w:r>
      <w:r>
        <w:rPr>
          <w:spacing w:val="-9"/>
        </w:rPr>
        <w:t xml:space="preserve"> </w:t>
      </w:r>
      <w:r>
        <w:t>lo</w:t>
      </w:r>
      <w:r>
        <w:rPr>
          <w:spacing w:val="-10"/>
        </w:rPr>
        <w:t xml:space="preserve"> </w:t>
      </w:r>
      <w:r>
        <w:t>dicho</w:t>
      </w:r>
      <w:r>
        <w:rPr>
          <w:spacing w:val="-8"/>
        </w:rPr>
        <w:t xml:space="preserve"> </w:t>
      </w:r>
      <w:r>
        <w:t>por</w:t>
      </w:r>
      <w:r>
        <w:rPr>
          <w:spacing w:val="-9"/>
        </w:rPr>
        <w:t xml:space="preserve"> </w:t>
      </w:r>
      <w:r>
        <w:t>Mao</w:t>
      </w:r>
      <w:r>
        <w:rPr>
          <w:spacing w:val="-8"/>
        </w:rPr>
        <w:t xml:space="preserve"> </w:t>
      </w:r>
      <w:r>
        <w:t>Zedong</w:t>
      </w:r>
      <w:r>
        <w:rPr>
          <w:spacing w:val="-8"/>
        </w:rPr>
        <w:t xml:space="preserve"> </w:t>
      </w:r>
      <w:r>
        <w:t>de</w:t>
      </w:r>
      <w:r>
        <w:rPr>
          <w:spacing w:val="-8"/>
        </w:rPr>
        <w:t xml:space="preserve"> </w:t>
      </w:r>
      <w:r>
        <w:t>que las</w:t>
      </w:r>
      <w:r>
        <w:rPr>
          <w:spacing w:val="-7"/>
        </w:rPr>
        <w:t xml:space="preserve"> </w:t>
      </w:r>
      <w:r>
        <w:t>guerrillas</w:t>
      </w:r>
      <w:r>
        <w:rPr>
          <w:spacing w:val="-7"/>
        </w:rPr>
        <w:t xml:space="preserve"> </w:t>
      </w:r>
      <w:r>
        <w:t>debían</w:t>
      </w:r>
      <w:r>
        <w:rPr>
          <w:spacing w:val="-7"/>
        </w:rPr>
        <w:t xml:space="preserve"> </w:t>
      </w:r>
      <w:r>
        <w:t>moverse</w:t>
      </w:r>
      <w:r>
        <w:rPr>
          <w:spacing w:val="-7"/>
        </w:rPr>
        <w:t xml:space="preserve"> </w:t>
      </w:r>
      <w:r>
        <w:t>entre</w:t>
      </w:r>
      <w:r>
        <w:rPr>
          <w:spacing w:val="-7"/>
        </w:rPr>
        <w:t xml:space="preserve"> </w:t>
      </w:r>
      <w:r>
        <w:t>el</w:t>
      </w:r>
      <w:r>
        <w:rPr>
          <w:spacing w:val="-7"/>
        </w:rPr>
        <w:t xml:space="preserve"> </w:t>
      </w:r>
      <w:r>
        <w:t>pueblo</w:t>
      </w:r>
      <w:r>
        <w:rPr>
          <w:spacing w:val="-7"/>
        </w:rPr>
        <w:t xml:space="preserve"> </w:t>
      </w:r>
      <w:r>
        <w:t>como</w:t>
      </w:r>
      <w:r>
        <w:rPr>
          <w:spacing w:val="-7"/>
        </w:rPr>
        <w:t xml:space="preserve"> </w:t>
      </w:r>
      <w:r>
        <w:t>un</w:t>
      </w:r>
      <w:r>
        <w:rPr>
          <w:spacing w:val="-7"/>
        </w:rPr>
        <w:t xml:space="preserve"> </w:t>
      </w:r>
      <w:r>
        <w:t>pez</w:t>
      </w:r>
      <w:r>
        <w:rPr>
          <w:spacing w:val="-7"/>
        </w:rPr>
        <w:t xml:space="preserve"> </w:t>
      </w:r>
      <w:r>
        <w:t>en</w:t>
      </w:r>
      <w:r>
        <w:rPr>
          <w:spacing w:val="-7"/>
        </w:rPr>
        <w:t xml:space="preserve"> </w:t>
      </w:r>
      <w:r>
        <w:t>el</w:t>
      </w:r>
      <w:r>
        <w:rPr>
          <w:spacing w:val="-7"/>
        </w:rPr>
        <w:t xml:space="preserve"> </w:t>
      </w:r>
      <w:r>
        <w:t>agua,</w:t>
      </w:r>
      <w:r>
        <w:rPr>
          <w:spacing w:val="-7"/>
        </w:rPr>
        <w:t xml:space="preserve"> </w:t>
      </w:r>
      <w:r>
        <w:t>se</w:t>
      </w:r>
      <w:r>
        <w:rPr>
          <w:spacing w:val="-8"/>
        </w:rPr>
        <w:t xml:space="preserve"> </w:t>
      </w:r>
      <w:r>
        <w:t>buscaba</w:t>
      </w:r>
      <w:r>
        <w:rPr>
          <w:spacing w:val="-7"/>
        </w:rPr>
        <w:t xml:space="preserve"> </w:t>
      </w:r>
      <w:r>
        <w:t>«quitarle</w:t>
      </w:r>
      <w:r>
        <w:rPr>
          <w:spacing w:val="-7"/>
        </w:rPr>
        <w:t xml:space="preserve"> </w:t>
      </w:r>
      <w:r>
        <w:t>el agua</w:t>
      </w:r>
      <w:r>
        <w:rPr>
          <w:spacing w:val="-11"/>
        </w:rPr>
        <w:t xml:space="preserve"> </w:t>
      </w:r>
      <w:r>
        <w:t>al</w:t>
      </w:r>
      <w:r>
        <w:rPr>
          <w:spacing w:val="-10"/>
        </w:rPr>
        <w:t xml:space="preserve"> </w:t>
      </w:r>
      <w:r>
        <w:t>pez».</w:t>
      </w:r>
      <w:r>
        <w:rPr>
          <w:spacing w:val="-11"/>
        </w:rPr>
        <w:t xml:space="preserve"> </w:t>
      </w:r>
      <w:r>
        <w:t>Esa</w:t>
      </w:r>
      <w:r>
        <w:rPr>
          <w:spacing w:val="-11"/>
        </w:rPr>
        <w:t xml:space="preserve"> </w:t>
      </w:r>
      <w:r>
        <w:t>fue,</w:t>
      </w:r>
      <w:r>
        <w:rPr>
          <w:spacing w:val="-11"/>
        </w:rPr>
        <w:t xml:space="preserve"> </w:t>
      </w:r>
      <w:r>
        <w:t>en</w:t>
      </w:r>
      <w:r>
        <w:rPr>
          <w:spacing w:val="-10"/>
        </w:rPr>
        <w:t xml:space="preserve"> </w:t>
      </w:r>
      <w:r>
        <w:t>breve,</w:t>
      </w:r>
      <w:r>
        <w:rPr>
          <w:spacing w:val="-11"/>
        </w:rPr>
        <w:t xml:space="preserve"> </w:t>
      </w:r>
      <w:r>
        <w:t>la</w:t>
      </w:r>
      <w:r>
        <w:rPr>
          <w:spacing w:val="-11"/>
        </w:rPr>
        <w:t xml:space="preserve"> </w:t>
      </w:r>
      <w:r>
        <w:t>esencia</w:t>
      </w:r>
      <w:r>
        <w:rPr>
          <w:spacing w:val="-11"/>
        </w:rPr>
        <w:t xml:space="preserve"> </w:t>
      </w:r>
      <w:r>
        <w:t>de</w:t>
      </w:r>
      <w:r>
        <w:rPr>
          <w:spacing w:val="-11"/>
        </w:rPr>
        <w:t xml:space="preserve"> </w:t>
      </w:r>
      <w:r>
        <w:t>las</w:t>
      </w:r>
      <w:r>
        <w:rPr>
          <w:spacing w:val="-11"/>
        </w:rPr>
        <w:t xml:space="preserve"> </w:t>
      </w:r>
      <w:r>
        <w:t>políticas</w:t>
      </w:r>
      <w:r>
        <w:rPr>
          <w:spacing w:val="-11"/>
        </w:rPr>
        <w:t xml:space="preserve"> </w:t>
      </w:r>
      <w:r>
        <w:t>contrainsurgentes</w:t>
      </w:r>
      <w:r>
        <w:rPr>
          <w:spacing w:val="-11"/>
        </w:rPr>
        <w:t xml:space="preserve"> </w:t>
      </w:r>
      <w:r>
        <w:t>desde</w:t>
      </w:r>
      <w:r>
        <w:rPr>
          <w:spacing w:val="-11"/>
        </w:rPr>
        <w:t xml:space="preserve"> </w:t>
      </w:r>
      <w:r>
        <w:t>los</w:t>
      </w:r>
      <w:r>
        <w:rPr>
          <w:spacing w:val="-11"/>
        </w:rPr>
        <w:t xml:space="preserve"> </w:t>
      </w:r>
      <w:r>
        <w:t xml:space="preserve">lejanos años sesenta. Los paramilitares solo excepcionalmente se enfrentaron en combates con las guerrillas; y </w:t>
      </w:r>
      <w:r>
        <w:lastRenderedPageBreak/>
        <w:t>atacaron principalmente a la población civil a pesar de que esta, en la mayoría de</w:t>
      </w:r>
      <w:r>
        <w:rPr>
          <w:spacing w:val="-9"/>
        </w:rPr>
        <w:t xml:space="preserve"> </w:t>
      </w:r>
      <w:r>
        <w:t>los</w:t>
      </w:r>
      <w:r>
        <w:rPr>
          <w:spacing w:val="-9"/>
        </w:rPr>
        <w:t xml:space="preserve"> </w:t>
      </w:r>
      <w:r>
        <w:t>casos,</w:t>
      </w:r>
      <w:r>
        <w:rPr>
          <w:spacing w:val="-11"/>
        </w:rPr>
        <w:t xml:space="preserve"> </w:t>
      </w:r>
      <w:r>
        <w:t>no</w:t>
      </w:r>
      <w:r>
        <w:rPr>
          <w:spacing w:val="-9"/>
        </w:rPr>
        <w:t xml:space="preserve"> </w:t>
      </w:r>
      <w:r>
        <w:t>configuraba</w:t>
      </w:r>
      <w:r>
        <w:rPr>
          <w:spacing w:val="-9"/>
        </w:rPr>
        <w:t xml:space="preserve"> </w:t>
      </w:r>
      <w:r>
        <w:t>esas</w:t>
      </w:r>
      <w:r>
        <w:rPr>
          <w:spacing w:val="-9"/>
        </w:rPr>
        <w:t xml:space="preserve"> </w:t>
      </w:r>
      <w:r>
        <w:t>bases</w:t>
      </w:r>
      <w:r>
        <w:rPr>
          <w:spacing w:val="-9"/>
        </w:rPr>
        <w:t xml:space="preserve"> </w:t>
      </w:r>
      <w:r>
        <w:t>sociales</w:t>
      </w:r>
      <w:r>
        <w:rPr>
          <w:spacing w:val="-10"/>
        </w:rPr>
        <w:t xml:space="preserve"> </w:t>
      </w:r>
      <w:r>
        <w:t>de</w:t>
      </w:r>
      <w:r>
        <w:rPr>
          <w:spacing w:val="-9"/>
        </w:rPr>
        <w:t xml:space="preserve"> </w:t>
      </w:r>
      <w:r>
        <w:t>las</w:t>
      </w:r>
      <w:r>
        <w:rPr>
          <w:spacing w:val="-9"/>
        </w:rPr>
        <w:t xml:space="preserve"> </w:t>
      </w:r>
      <w:r>
        <w:t>guerrillas</w:t>
      </w:r>
      <w:r>
        <w:rPr>
          <w:spacing w:val="-9"/>
        </w:rPr>
        <w:t xml:space="preserve"> </w:t>
      </w:r>
      <w:r>
        <w:t>que</w:t>
      </w:r>
      <w:r>
        <w:rPr>
          <w:spacing w:val="-9"/>
        </w:rPr>
        <w:t xml:space="preserve"> </w:t>
      </w:r>
      <w:r>
        <w:t>imaginaban</w:t>
      </w:r>
      <w:r>
        <w:rPr>
          <w:spacing w:val="-9"/>
        </w:rPr>
        <w:t xml:space="preserve"> </w:t>
      </w:r>
      <w:r>
        <w:t>–la</w:t>
      </w:r>
      <w:r>
        <w:rPr>
          <w:spacing w:val="-10"/>
        </w:rPr>
        <w:t xml:space="preserve"> </w:t>
      </w:r>
      <w:r>
        <w:t>relación de</w:t>
      </w:r>
      <w:r>
        <w:rPr>
          <w:spacing w:val="-14"/>
        </w:rPr>
        <w:t xml:space="preserve"> </w:t>
      </w:r>
      <w:r>
        <w:t>las</w:t>
      </w:r>
      <w:r>
        <w:rPr>
          <w:spacing w:val="-11"/>
        </w:rPr>
        <w:t xml:space="preserve"> </w:t>
      </w:r>
      <w:r>
        <w:t>insurgencias</w:t>
      </w:r>
      <w:r>
        <w:rPr>
          <w:spacing w:val="-12"/>
        </w:rPr>
        <w:t xml:space="preserve"> </w:t>
      </w:r>
      <w:r>
        <w:t>con</w:t>
      </w:r>
      <w:r>
        <w:rPr>
          <w:spacing w:val="-12"/>
        </w:rPr>
        <w:t xml:space="preserve"> </w:t>
      </w:r>
      <w:r>
        <w:t>las</w:t>
      </w:r>
      <w:r>
        <w:rPr>
          <w:spacing w:val="-12"/>
        </w:rPr>
        <w:t xml:space="preserve"> </w:t>
      </w:r>
      <w:r>
        <w:t>comunidades</w:t>
      </w:r>
      <w:r>
        <w:rPr>
          <w:spacing w:val="-11"/>
        </w:rPr>
        <w:t xml:space="preserve"> </w:t>
      </w:r>
      <w:r>
        <w:t>fue</w:t>
      </w:r>
      <w:r>
        <w:rPr>
          <w:spacing w:val="-12"/>
        </w:rPr>
        <w:t xml:space="preserve"> </w:t>
      </w:r>
      <w:r>
        <w:t>(y</w:t>
      </w:r>
      <w:r>
        <w:rPr>
          <w:spacing w:val="-11"/>
        </w:rPr>
        <w:t xml:space="preserve"> </w:t>
      </w:r>
      <w:r>
        <w:t>es)</w:t>
      </w:r>
      <w:r>
        <w:rPr>
          <w:spacing w:val="-12"/>
        </w:rPr>
        <w:t xml:space="preserve"> </w:t>
      </w:r>
      <w:r>
        <w:t>predominantemente</w:t>
      </w:r>
      <w:r>
        <w:rPr>
          <w:spacing w:val="-11"/>
        </w:rPr>
        <w:t xml:space="preserve"> </w:t>
      </w:r>
      <w:r>
        <w:t>autoritaria,</w:t>
      </w:r>
      <w:r>
        <w:rPr>
          <w:spacing w:val="-12"/>
        </w:rPr>
        <w:t xml:space="preserve"> </w:t>
      </w:r>
      <w:r>
        <w:t>de</w:t>
      </w:r>
      <w:r>
        <w:rPr>
          <w:spacing w:val="-11"/>
        </w:rPr>
        <w:t xml:space="preserve"> </w:t>
      </w:r>
      <w:r>
        <w:rPr>
          <w:spacing w:val="-2"/>
        </w:rPr>
        <w:t>hecho–</w:t>
      </w:r>
    </w:p>
    <w:p w:rsidR="003804AC" w:rsidRDefault="00AF18A5" w:rsidP="00AD75C9">
      <w:r>
        <w:t>Al</w:t>
      </w:r>
      <w:r>
        <w:rPr>
          <w:spacing w:val="-15"/>
        </w:rPr>
        <w:t xml:space="preserve"> </w:t>
      </w:r>
      <w:r>
        <w:t>tiempo</w:t>
      </w:r>
      <w:r>
        <w:rPr>
          <w:spacing w:val="-15"/>
        </w:rPr>
        <w:t xml:space="preserve"> </w:t>
      </w:r>
      <w:r>
        <w:t>que</w:t>
      </w:r>
      <w:r>
        <w:rPr>
          <w:spacing w:val="-15"/>
        </w:rPr>
        <w:t xml:space="preserve"> </w:t>
      </w:r>
      <w:r>
        <w:t>arreciaban</w:t>
      </w:r>
      <w:r>
        <w:rPr>
          <w:spacing w:val="-15"/>
        </w:rPr>
        <w:t xml:space="preserve"> </w:t>
      </w:r>
      <w:r>
        <w:t>contra</w:t>
      </w:r>
      <w:r>
        <w:rPr>
          <w:spacing w:val="-15"/>
        </w:rPr>
        <w:t xml:space="preserve"> </w:t>
      </w:r>
      <w:r>
        <w:t>esa</w:t>
      </w:r>
      <w:r>
        <w:rPr>
          <w:spacing w:val="-15"/>
        </w:rPr>
        <w:t xml:space="preserve"> </w:t>
      </w:r>
      <w:r>
        <w:t>supuesta</w:t>
      </w:r>
      <w:r>
        <w:rPr>
          <w:spacing w:val="-15"/>
        </w:rPr>
        <w:t xml:space="preserve"> </w:t>
      </w:r>
      <w:r>
        <w:t>agua,</w:t>
      </w:r>
      <w:r>
        <w:rPr>
          <w:spacing w:val="-15"/>
        </w:rPr>
        <w:t xml:space="preserve"> </w:t>
      </w:r>
      <w:r>
        <w:t>los</w:t>
      </w:r>
      <w:r>
        <w:rPr>
          <w:spacing w:val="-15"/>
        </w:rPr>
        <w:t xml:space="preserve"> </w:t>
      </w:r>
      <w:r>
        <w:t>paramilitares</w:t>
      </w:r>
      <w:r>
        <w:rPr>
          <w:spacing w:val="-15"/>
        </w:rPr>
        <w:t xml:space="preserve"> </w:t>
      </w:r>
      <w:r>
        <w:t>se</w:t>
      </w:r>
      <w:r>
        <w:rPr>
          <w:spacing w:val="-15"/>
        </w:rPr>
        <w:t xml:space="preserve"> </w:t>
      </w:r>
      <w:r>
        <w:t>propusieron</w:t>
      </w:r>
      <w:r>
        <w:rPr>
          <w:spacing w:val="-15"/>
        </w:rPr>
        <w:t xml:space="preserve"> </w:t>
      </w:r>
      <w:r>
        <w:t>acabar con</w:t>
      </w:r>
      <w:r>
        <w:rPr>
          <w:spacing w:val="-14"/>
        </w:rPr>
        <w:t xml:space="preserve"> </w:t>
      </w:r>
      <w:r>
        <w:t>sectores</w:t>
      </w:r>
      <w:r>
        <w:rPr>
          <w:spacing w:val="-14"/>
        </w:rPr>
        <w:t xml:space="preserve"> </w:t>
      </w:r>
      <w:r>
        <w:t>críticos</w:t>
      </w:r>
      <w:r>
        <w:rPr>
          <w:spacing w:val="-14"/>
        </w:rPr>
        <w:t xml:space="preserve"> </w:t>
      </w:r>
      <w:r>
        <w:t>como</w:t>
      </w:r>
      <w:r>
        <w:rPr>
          <w:spacing w:val="-14"/>
        </w:rPr>
        <w:t xml:space="preserve"> </w:t>
      </w:r>
      <w:r>
        <w:t>defensores</w:t>
      </w:r>
      <w:r>
        <w:rPr>
          <w:spacing w:val="-15"/>
        </w:rPr>
        <w:t xml:space="preserve"> </w:t>
      </w:r>
      <w:r>
        <w:t>de</w:t>
      </w:r>
      <w:r>
        <w:rPr>
          <w:spacing w:val="-14"/>
        </w:rPr>
        <w:t xml:space="preserve"> </w:t>
      </w:r>
      <w:r>
        <w:t>DD.</w:t>
      </w:r>
      <w:r>
        <w:rPr>
          <w:spacing w:val="-14"/>
        </w:rPr>
        <w:t xml:space="preserve"> </w:t>
      </w:r>
      <w:r>
        <w:t>HH.,</w:t>
      </w:r>
      <w:r>
        <w:rPr>
          <w:spacing w:val="-14"/>
        </w:rPr>
        <w:t xml:space="preserve"> </w:t>
      </w:r>
      <w:r>
        <w:t>periodistas,</w:t>
      </w:r>
      <w:r>
        <w:rPr>
          <w:spacing w:val="-15"/>
        </w:rPr>
        <w:t xml:space="preserve"> </w:t>
      </w:r>
      <w:r>
        <w:t>investigadores</w:t>
      </w:r>
      <w:r>
        <w:rPr>
          <w:spacing w:val="-14"/>
        </w:rPr>
        <w:t xml:space="preserve"> </w:t>
      </w:r>
      <w:r>
        <w:t>judiciales,</w:t>
      </w:r>
      <w:r>
        <w:rPr>
          <w:spacing w:val="-14"/>
        </w:rPr>
        <w:t xml:space="preserve"> </w:t>
      </w:r>
      <w:r>
        <w:t>etc. De esa manera, buscaron silenciar la democracia. La estrategia pronto pasó de ser selectiva a</w:t>
      </w:r>
      <w:r>
        <w:rPr>
          <w:spacing w:val="-15"/>
        </w:rPr>
        <w:t xml:space="preserve"> </w:t>
      </w:r>
      <w:r>
        <w:t>indiscriminada,</w:t>
      </w:r>
      <w:r>
        <w:rPr>
          <w:spacing w:val="-15"/>
        </w:rPr>
        <w:t xml:space="preserve"> </w:t>
      </w:r>
      <w:r>
        <w:t>de</w:t>
      </w:r>
      <w:r>
        <w:rPr>
          <w:spacing w:val="-15"/>
        </w:rPr>
        <w:t xml:space="preserve"> </w:t>
      </w:r>
      <w:r>
        <w:t>tierra</w:t>
      </w:r>
      <w:r>
        <w:rPr>
          <w:spacing w:val="-15"/>
        </w:rPr>
        <w:t xml:space="preserve"> </w:t>
      </w:r>
      <w:r>
        <w:t>arrasada.</w:t>
      </w:r>
      <w:r>
        <w:rPr>
          <w:spacing w:val="-15"/>
        </w:rPr>
        <w:t xml:space="preserve"> </w:t>
      </w:r>
      <w:r>
        <w:t>Se</w:t>
      </w:r>
      <w:r>
        <w:rPr>
          <w:spacing w:val="-15"/>
        </w:rPr>
        <w:t xml:space="preserve"> </w:t>
      </w:r>
      <w:r>
        <w:t>cometieron</w:t>
      </w:r>
      <w:r>
        <w:rPr>
          <w:spacing w:val="-15"/>
        </w:rPr>
        <w:t xml:space="preserve"> </w:t>
      </w:r>
      <w:r>
        <w:t>las</w:t>
      </w:r>
      <w:r>
        <w:rPr>
          <w:spacing w:val="-15"/>
        </w:rPr>
        <w:t xml:space="preserve"> </w:t>
      </w:r>
      <w:r>
        <w:t>peores</w:t>
      </w:r>
      <w:r>
        <w:rPr>
          <w:spacing w:val="-15"/>
        </w:rPr>
        <w:t xml:space="preserve"> </w:t>
      </w:r>
      <w:r>
        <w:t>masacres</w:t>
      </w:r>
      <w:r>
        <w:rPr>
          <w:spacing w:val="-14"/>
        </w:rPr>
        <w:t xml:space="preserve"> </w:t>
      </w:r>
      <w:r>
        <w:t>y</w:t>
      </w:r>
      <w:r>
        <w:rPr>
          <w:spacing w:val="-15"/>
        </w:rPr>
        <w:t xml:space="preserve"> </w:t>
      </w:r>
      <w:r>
        <w:t>se</w:t>
      </w:r>
      <w:r>
        <w:rPr>
          <w:spacing w:val="-15"/>
        </w:rPr>
        <w:t xml:space="preserve"> </w:t>
      </w:r>
      <w:r>
        <w:t>produjo</w:t>
      </w:r>
      <w:r>
        <w:rPr>
          <w:spacing w:val="-15"/>
        </w:rPr>
        <w:t xml:space="preserve"> </w:t>
      </w:r>
      <w:r>
        <w:t>un</w:t>
      </w:r>
      <w:r>
        <w:rPr>
          <w:spacing w:val="-14"/>
        </w:rPr>
        <w:t xml:space="preserve"> </w:t>
      </w:r>
      <w:r>
        <w:t>éxodo hacia las ciudades y un exilio masivo que ubicó a Colombia como una nación en crisis humanitaria.</w:t>
      </w:r>
      <w:r>
        <w:rPr>
          <w:spacing w:val="-15"/>
        </w:rPr>
        <w:t xml:space="preserve"> </w:t>
      </w:r>
      <w:r>
        <w:t>El</w:t>
      </w:r>
      <w:r>
        <w:rPr>
          <w:spacing w:val="-15"/>
        </w:rPr>
        <w:t xml:space="preserve"> </w:t>
      </w:r>
      <w:r>
        <w:t>despojo</w:t>
      </w:r>
      <w:r>
        <w:rPr>
          <w:spacing w:val="-15"/>
        </w:rPr>
        <w:t xml:space="preserve"> </w:t>
      </w:r>
      <w:r>
        <w:t>y</w:t>
      </w:r>
      <w:r>
        <w:rPr>
          <w:spacing w:val="-15"/>
        </w:rPr>
        <w:t xml:space="preserve"> </w:t>
      </w:r>
      <w:r>
        <w:t>el</w:t>
      </w:r>
      <w:r>
        <w:rPr>
          <w:spacing w:val="-15"/>
        </w:rPr>
        <w:t xml:space="preserve"> </w:t>
      </w:r>
      <w:r>
        <w:t>destierro</w:t>
      </w:r>
      <w:r>
        <w:rPr>
          <w:spacing w:val="-15"/>
        </w:rPr>
        <w:t xml:space="preserve"> </w:t>
      </w:r>
      <w:r>
        <w:t>propiciaron</w:t>
      </w:r>
      <w:r>
        <w:rPr>
          <w:spacing w:val="-15"/>
        </w:rPr>
        <w:t xml:space="preserve"> </w:t>
      </w:r>
      <w:r>
        <w:t>una</w:t>
      </w:r>
      <w:r>
        <w:rPr>
          <w:spacing w:val="-15"/>
        </w:rPr>
        <w:t xml:space="preserve"> </w:t>
      </w:r>
      <w:r>
        <w:t>reconfiguración</w:t>
      </w:r>
      <w:r>
        <w:rPr>
          <w:spacing w:val="-15"/>
        </w:rPr>
        <w:t xml:space="preserve"> </w:t>
      </w:r>
      <w:r>
        <w:t>del</w:t>
      </w:r>
      <w:r>
        <w:rPr>
          <w:spacing w:val="-15"/>
        </w:rPr>
        <w:t xml:space="preserve"> </w:t>
      </w:r>
      <w:r>
        <w:t>territorio</w:t>
      </w:r>
      <w:r>
        <w:rPr>
          <w:spacing w:val="-15"/>
        </w:rPr>
        <w:t xml:space="preserve"> </w:t>
      </w:r>
      <w:r>
        <w:t>favorable a</w:t>
      </w:r>
      <w:r>
        <w:rPr>
          <w:spacing w:val="-11"/>
        </w:rPr>
        <w:t xml:space="preserve"> </w:t>
      </w:r>
      <w:r>
        <w:t>una</w:t>
      </w:r>
      <w:r>
        <w:rPr>
          <w:spacing w:val="-11"/>
        </w:rPr>
        <w:t xml:space="preserve"> </w:t>
      </w:r>
      <w:r>
        <w:t>nueva</w:t>
      </w:r>
      <w:r>
        <w:rPr>
          <w:spacing w:val="-12"/>
        </w:rPr>
        <w:t xml:space="preserve"> </w:t>
      </w:r>
      <w:r>
        <w:t>ola</w:t>
      </w:r>
      <w:r>
        <w:rPr>
          <w:spacing w:val="-11"/>
        </w:rPr>
        <w:t xml:space="preserve"> </w:t>
      </w:r>
      <w:r>
        <w:t>de</w:t>
      </w:r>
      <w:r>
        <w:rPr>
          <w:spacing w:val="-12"/>
        </w:rPr>
        <w:t xml:space="preserve"> </w:t>
      </w:r>
      <w:r>
        <w:t>concentración</w:t>
      </w:r>
      <w:r>
        <w:rPr>
          <w:spacing w:val="-11"/>
        </w:rPr>
        <w:t xml:space="preserve"> </w:t>
      </w:r>
      <w:r>
        <w:t>de</w:t>
      </w:r>
      <w:r>
        <w:rPr>
          <w:spacing w:val="-12"/>
        </w:rPr>
        <w:t xml:space="preserve"> </w:t>
      </w:r>
      <w:r>
        <w:t>la</w:t>
      </w:r>
      <w:r>
        <w:rPr>
          <w:spacing w:val="-11"/>
        </w:rPr>
        <w:t xml:space="preserve"> </w:t>
      </w:r>
      <w:r>
        <w:t>tierra</w:t>
      </w:r>
      <w:r>
        <w:rPr>
          <w:spacing w:val="-11"/>
        </w:rPr>
        <w:t xml:space="preserve"> </w:t>
      </w:r>
      <w:r>
        <w:t>y</w:t>
      </w:r>
      <w:r>
        <w:rPr>
          <w:spacing w:val="-12"/>
        </w:rPr>
        <w:t xml:space="preserve"> </w:t>
      </w:r>
      <w:r>
        <w:t>un</w:t>
      </w:r>
      <w:r>
        <w:rPr>
          <w:spacing w:val="-12"/>
        </w:rPr>
        <w:t xml:space="preserve"> </w:t>
      </w:r>
      <w:r>
        <w:t>cambio,</w:t>
      </w:r>
      <w:r>
        <w:rPr>
          <w:spacing w:val="-12"/>
        </w:rPr>
        <w:t xml:space="preserve"> </w:t>
      </w:r>
      <w:r>
        <w:t>a</w:t>
      </w:r>
      <w:r>
        <w:rPr>
          <w:spacing w:val="-11"/>
        </w:rPr>
        <w:t xml:space="preserve"> </w:t>
      </w:r>
      <w:r>
        <w:t>veces</w:t>
      </w:r>
      <w:r>
        <w:rPr>
          <w:spacing w:val="-11"/>
        </w:rPr>
        <w:t xml:space="preserve"> </w:t>
      </w:r>
      <w:r>
        <w:t>oportunista,</w:t>
      </w:r>
      <w:r>
        <w:rPr>
          <w:spacing w:val="-12"/>
        </w:rPr>
        <w:t xml:space="preserve"> </w:t>
      </w:r>
      <w:r>
        <w:t>en</w:t>
      </w:r>
      <w:r>
        <w:rPr>
          <w:spacing w:val="-11"/>
        </w:rPr>
        <w:t xml:space="preserve"> </w:t>
      </w:r>
      <w:r>
        <w:t>la</w:t>
      </w:r>
      <w:r>
        <w:rPr>
          <w:spacing w:val="-11"/>
        </w:rPr>
        <w:t xml:space="preserve"> </w:t>
      </w:r>
      <w:r>
        <w:t>vocación productiva de la tierra de la que usufructuaron élites económicas tradicionales y emergentes</w:t>
      </w:r>
      <w:r w:rsidR="00AD75C9">
        <w:rPr>
          <w:rStyle w:val="Refdenotaalpie"/>
        </w:rPr>
        <w:footnoteReference w:id="94"/>
      </w:r>
      <w:r>
        <w:t xml:space="preserve">. Las guerrillas, en particular las FARC-EP, también propiciaron desplazamientos forzados y despojos por razones de control territorial y de captación de </w:t>
      </w:r>
      <w:r>
        <w:rPr>
          <w:spacing w:val="-2"/>
        </w:rPr>
        <w:t>rentas.</w:t>
      </w:r>
    </w:p>
    <w:p w:rsidR="003804AC" w:rsidRPr="00AD75C9" w:rsidRDefault="00AF18A5" w:rsidP="00AD75C9">
      <w:r>
        <w:t>En los años noventa, las normas de la Constitución de 1991 se ajustaban a un modelo de democracia,</w:t>
      </w:r>
      <w:r>
        <w:rPr>
          <w:spacing w:val="5"/>
        </w:rPr>
        <w:t xml:space="preserve"> </w:t>
      </w:r>
      <w:r>
        <w:t>pero</w:t>
      </w:r>
      <w:r>
        <w:rPr>
          <w:spacing w:val="8"/>
        </w:rPr>
        <w:t xml:space="preserve"> </w:t>
      </w:r>
      <w:r>
        <w:t>las</w:t>
      </w:r>
      <w:r>
        <w:rPr>
          <w:spacing w:val="7"/>
        </w:rPr>
        <w:t xml:space="preserve"> </w:t>
      </w:r>
      <w:r>
        <w:t>instituciones,</w:t>
      </w:r>
      <w:r>
        <w:rPr>
          <w:spacing w:val="8"/>
        </w:rPr>
        <w:t xml:space="preserve"> </w:t>
      </w:r>
      <w:r>
        <w:t>y,</w:t>
      </w:r>
      <w:r>
        <w:rPr>
          <w:spacing w:val="8"/>
        </w:rPr>
        <w:t xml:space="preserve"> </w:t>
      </w:r>
      <w:r>
        <w:t>en</w:t>
      </w:r>
      <w:r>
        <w:rPr>
          <w:spacing w:val="8"/>
        </w:rPr>
        <w:t xml:space="preserve"> </w:t>
      </w:r>
      <w:r>
        <w:t>particular,</w:t>
      </w:r>
      <w:r>
        <w:rPr>
          <w:spacing w:val="8"/>
        </w:rPr>
        <w:t xml:space="preserve"> </w:t>
      </w:r>
      <w:r>
        <w:t>los</w:t>
      </w:r>
      <w:r>
        <w:rPr>
          <w:spacing w:val="8"/>
        </w:rPr>
        <w:t xml:space="preserve"> </w:t>
      </w:r>
      <w:r>
        <w:t>arreglos</w:t>
      </w:r>
      <w:r>
        <w:rPr>
          <w:spacing w:val="8"/>
        </w:rPr>
        <w:t xml:space="preserve"> </w:t>
      </w:r>
      <w:r>
        <w:t>entre</w:t>
      </w:r>
      <w:r>
        <w:rPr>
          <w:spacing w:val="7"/>
        </w:rPr>
        <w:t xml:space="preserve"> </w:t>
      </w:r>
      <w:r>
        <w:t>ellas</w:t>
      </w:r>
      <w:r>
        <w:rPr>
          <w:spacing w:val="8"/>
        </w:rPr>
        <w:t xml:space="preserve"> </w:t>
      </w:r>
      <w:r>
        <w:t>y</w:t>
      </w:r>
      <w:r>
        <w:rPr>
          <w:spacing w:val="8"/>
        </w:rPr>
        <w:t xml:space="preserve"> </w:t>
      </w:r>
      <w:r>
        <w:t>los</w:t>
      </w:r>
      <w:r>
        <w:rPr>
          <w:spacing w:val="8"/>
        </w:rPr>
        <w:t xml:space="preserve"> </w:t>
      </w:r>
      <w:r>
        <w:t>poderes</w:t>
      </w:r>
      <w:r>
        <w:rPr>
          <w:spacing w:val="8"/>
        </w:rPr>
        <w:t xml:space="preserve"> </w:t>
      </w:r>
      <w:r>
        <w:rPr>
          <w:spacing w:val="-5"/>
        </w:rPr>
        <w:t>de</w:t>
      </w:r>
      <w:bookmarkStart w:id="157" w:name="_bookmark104"/>
      <w:bookmarkEnd w:id="157"/>
      <w:r w:rsidR="00AD75C9">
        <w:rPr>
          <w:spacing w:val="-5"/>
        </w:rPr>
        <w:t xml:space="preserve"> </w:t>
      </w:r>
      <w:r>
        <w:t>facto</w:t>
      </w:r>
      <w:r>
        <w:rPr>
          <w:spacing w:val="-6"/>
        </w:rPr>
        <w:t xml:space="preserve"> </w:t>
      </w:r>
      <w:r>
        <w:t>no</w:t>
      </w:r>
      <w:r>
        <w:rPr>
          <w:spacing w:val="-6"/>
        </w:rPr>
        <w:t xml:space="preserve"> </w:t>
      </w:r>
      <w:r>
        <w:t>tuvieron</w:t>
      </w:r>
      <w:r>
        <w:rPr>
          <w:spacing w:val="-6"/>
        </w:rPr>
        <w:t xml:space="preserve"> </w:t>
      </w:r>
      <w:r>
        <w:t>carácter</w:t>
      </w:r>
      <w:r>
        <w:rPr>
          <w:spacing w:val="-5"/>
        </w:rPr>
        <w:t xml:space="preserve"> </w:t>
      </w:r>
      <w:r>
        <w:t>democrático.</w:t>
      </w:r>
      <w:r>
        <w:rPr>
          <w:spacing w:val="-6"/>
        </w:rPr>
        <w:t xml:space="preserve"> </w:t>
      </w:r>
      <w:r>
        <w:t>Así,</w:t>
      </w:r>
      <w:r>
        <w:rPr>
          <w:spacing w:val="-6"/>
        </w:rPr>
        <w:t xml:space="preserve"> </w:t>
      </w:r>
      <w:r>
        <w:t>se</w:t>
      </w:r>
      <w:r>
        <w:rPr>
          <w:spacing w:val="-6"/>
        </w:rPr>
        <w:t xml:space="preserve"> </w:t>
      </w:r>
      <w:r>
        <w:t>deterioraron</w:t>
      </w:r>
      <w:r>
        <w:rPr>
          <w:spacing w:val="-6"/>
        </w:rPr>
        <w:t xml:space="preserve"> </w:t>
      </w:r>
      <w:r>
        <w:t>de</w:t>
      </w:r>
      <w:r>
        <w:rPr>
          <w:spacing w:val="-6"/>
        </w:rPr>
        <w:t xml:space="preserve"> </w:t>
      </w:r>
      <w:r>
        <w:t>manera</w:t>
      </w:r>
      <w:r>
        <w:rPr>
          <w:spacing w:val="-6"/>
        </w:rPr>
        <w:t xml:space="preserve"> </w:t>
      </w:r>
      <w:r>
        <w:t>dramática</w:t>
      </w:r>
      <w:r>
        <w:rPr>
          <w:spacing w:val="-6"/>
        </w:rPr>
        <w:t xml:space="preserve"> </w:t>
      </w:r>
      <w:r>
        <w:t>los</w:t>
      </w:r>
      <w:r>
        <w:rPr>
          <w:spacing w:val="-6"/>
        </w:rPr>
        <w:t xml:space="preserve"> </w:t>
      </w:r>
      <w:r>
        <w:t>valores y la cultura política.</w:t>
      </w:r>
    </w:p>
    <w:p w:rsidR="003804AC" w:rsidRDefault="00AF18A5" w:rsidP="00AD75C9">
      <w:r>
        <w:t>Los objetivos de ambos bandos (insurgencia y contrainsurgencia) eran diferentes –los unos revolucionarios y los otros contrarrevolucionarios–, pero dependían de las mismas rentas, por lo que con frecuencia sus</w:t>
      </w:r>
      <w:r>
        <w:rPr>
          <w:spacing w:val="-1"/>
        </w:rPr>
        <w:t xml:space="preserve"> </w:t>
      </w:r>
      <w:r>
        <w:lastRenderedPageBreak/>
        <w:t>caminos se</w:t>
      </w:r>
      <w:r>
        <w:rPr>
          <w:spacing w:val="-1"/>
        </w:rPr>
        <w:t xml:space="preserve"> </w:t>
      </w:r>
      <w:r>
        <w:t>cruzaron en los diecisiete corredores</w:t>
      </w:r>
      <w:r>
        <w:rPr>
          <w:spacing w:val="-1"/>
        </w:rPr>
        <w:t xml:space="preserve"> </w:t>
      </w:r>
      <w:r>
        <w:t>de las economías ilegales</w:t>
      </w:r>
      <w:r w:rsidR="00BD28A4">
        <w:rPr>
          <w:rStyle w:val="Refdenotaalpie"/>
        </w:rPr>
        <w:footnoteReference w:id="95"/>
      </w:r>
      <w:r>
        <w:t>. Se enfrentaron, pero también hicieron pactos espurios</w:t>
      </w:r>
      <w:r w:rsidR="00BD28A4">
        <w:rPr>
          <w:rStyle w:val="Refdenotaalpie"/>
        </w:rPr>
        <w:footnoteReference w:id="96"/>
      </w:r>
      <w:r>
        <w:t>. Con frecuencia,</w:t>
      </w:r>
      <w:r>
        <w:rPr>
          <w:spacing w:val="-10"/>
        </w:rPr>
        <w:t xml:space="preserve"> </w:t>
      </w:r>
      <w:r>
        <w:t>los</w:t>
      </w:r>
      <w:r>
        <w:rPr>
          <w:spacing w:val="-8"/>
        </w:rPr>
        <w:t xml:space="preserve"> </w:t>
      </w:r>
      <w:r>
        <w:t>combatientes</w:t>
      </w:r>
      <w:r>
        <w:rPr>
          <w:spacing w:val="-8"/>
        </w:rPr>
        <w:t xml:space="preserve"> </w:t>
      </w:r>
      <w:r>
        <w:t>pasaron</w:t>
      </w:r>
      <w:r>
        <w:rPr>
          <w:spacing w:val="-10"/>
        </w:rPr>
        <w:t xml:space="preserve"> </w:t>
      </w:r>
      <w:r>
        <w:t>de</w:t>
      </w:r>
      <w:r>
        <w:rPr>
          <w:spacing w:val="-8"/>
        </w:rPr>
        <w:t xml:space="preserve"> </w:t>
      </w:r>
      <w:r>
        <w:t>un</w:t>
      </w:r>
      <w:r>
        <w:rPr>
          <w:spacing w:val="-9"/>
        </w:rPr>
        <w:t xml:space="preserve"> </w:t>
      </w:r>
      <w:r>
        <w:t>bando</w:t>
      </w:r>
      <w:r>
        <w:rPr>
          <w:spacing w:val="-9"/>
        </w:rPr>
        <w:t xml:space="preserve"> </w:t>
      </w:r>
      <w:r>
        <w:t>al</w:t>
      </w:r>
      <w:r>
        <w:rPr>
          <w:spacing w:val="-8"/>
        </w:rPr>
        <w:t xml:space="preserve"> </w:t>
      </w:r>
      <w:r>
        <w:t>otro,</w:t>
      </w:r>
      <w:r>
        <w:rPr>
          <w:spacing w:val="-9"/>
        </w:rPr>
        <w:t xml:space="preserve"> </w:t>
      </w:r>
      <w:r>
        <w:t>con</w:t>
      </w:r>
      <w:r>
        <w:rPr>
          <w:spacing w:val="-10"/>
        </w:rPr>
        <w:t xml:space="preserve"> </w:t>
      </w:r>
      <w:r>
        <w:t>solo</w:t>
      </w:r>
      <w:r>
        <w:rPr>
          <w:spacing w:val="-9"/>
        </w:rPr>
        <w:t xml:space="preserve"> </w:t>
      </w:r>
      <w:r>
        <w:t>cambiar</w:t>
      </w:r>
      <w:r>
        <w:rPr>
          <w:spacing w:val="-9"/>
        </w:rPr>
        <w:t xml:space="preserve"> </w:t>
      </w:r>
      <w:r>
        <w:t>de</w:t>
      </w:r>
      <w:r>
        <w:rPr>
          <w:spacing w:val="-8"/>
        </w:rPr>
        <w:t xml:space="preserve"> </w:t>
      </w:r>
      <w:r>
        <w:t>insignias</w:t>
      </w:r>
      <w:r w:rsidR="00BD28A4">
        <w:rPr>
          <w:rStyle w:val="Refdenotaalpie"/>
        </w:rPr>
        <w:footnoteReference w:id="97"/>
      </w:r>
      <w:r>
        <w:t>.</w:t>
      </w:r>
      <w:r>
        <w:rPr>
          <w:spacing w:val="-9"/>
        </w:rPr>
        <w:t xml:space="preserve"> </w:t>
      </w:r>
      <w:r>
        <w:t>Se igualaron en los métodos. Moral y éticamente se borraron las diferencias.</w:t>
      </w:r>
    </w:p>
    <w:p w:rsidR="003804AC" w:rsidRDefault="00AF18A5" w:rsidP="00BD28A4">
      <w:r>
        <w:t>El</w:t>
      </w:r>
      <w:r>
        <w:rPr>
          <w:spacing w:val="-3"/>
        </w:rPr>
        <w:t xml:space="preserve"> </w:t>
      </w:r>
      <w:r>
        <w:t>Estado</w:t>
      </w:r>
      <w:r>
        <w:rPr>
          <w:spacing w:val="-3"/>
        </w:rPr>
        <w:t xml:space="preserve"> </w:t>
      </w:r>
      <w:r>
        <w:t>permitió</w:t>
      </w:r>
      <w:r>
        <w:rPr>
          <w:spacing w:val="-3"/>
        </w:rPr>
        <w:t xml:space="preserve"> </w:t>
      </w:r>
      <w:r>
        <w:t>por</w:t>
      </w:r>
      <w:r>
        <w:rPr>
          <w:spacing w:val="-3"/>
        </w:rPr>
        <w:t xml:space="preserve"> </w:t>
      </w:r>
      <w:r>
        <w:t>acción</w:t>
      </w:r>
      <w:r>
        <w:rPr>
          <w:spacing w:val="-3"/>
        </w:rPr>
        <w:t xml:space="preserve"> </w:t>
      </w:r>
      <w:r>
        <w:t>y</w:t>
      </w:r>
      <w:r>
        <w:rPr>
          <w:spacing w:val="-3"/>
        </w:rPr>
        <w:t xml:space="preserve"> </w:t>
      </w:r>
      <w:r>
        <w:t>omisión</w:t>
      </w:r>
      <w:r>
        <w:rPr>
          <w:spacing w:val="-3"/>
        </w:rPr>
        <w:t xml:space="preserve"> </w:t>
      </w:r>
      <w:r>
        <w:t>este</w:t>
      </w:r>
      <w:r>
        <w:rPr>
          <w:spacing w:val="-3"/>
        </w:rPr>
        <w:t xml:space="preserve"> </w:t>
      </w:r>
      <w:r>
        <w:t>desenlace.</w:t>
      </w:r>
      <w:r>
        <w:rPr>
          <w:spacing w:val="-3"/>
        </w:rPr>
        <w:t xml:space="preserve"> </w:t>
      </w:r>
      <w:r>
        <w:t>Los</w:t>
      </w:r>
      <w:r>
        <w:rPr>
          <w:spacing w:val="-4"/>
        </w:rPr>
        <w:t xml:space="preserve"> </w:t>
      </w:r>
      <w:r>
        <w:t>paramilitares</w:t>
      </w:r>
      <w:r>
        <w:rPr>
          <w:spacing w:val="-4"/>
        </w:rPr>
        <w:t xml:space="preserve"> </w:t>
      </w:r>
      <w:r>
        <w:t>fueron</w:t>
      </w:r>
      <w:r>
        <w:rPr>
          <w:spacing w:val="-4"/>
        </w:rPr>
        <w:t xml:space="preserve"> </w:t>
      </w:r>
      <w:r>
        <w:t>una</w:t>
      </w:r>
      <w:r>
        <w:rPr>
          <w:spacing w:val="-4"/>
        </w:rPr>
        <w:t xml:space="preserve"> </w:t>
      </w:r>
      <w:r>
        <w:t>red tupida de relaciones, pero el eje estructurante de esa coalición fueron narcotraficantes y miembros de la fuerza pública y clase política. Se trató de una coalición que no fue desautorizada</w:t>
      </w:r>
      <w:r>
        <w:rPr>
          <w:spacing w:val="-12"/>
        </w:rPr>
        <w:t xml:space="preserve"> </w:t>
      </w:r>
      <w:r>
        <w:t>realmente</w:t>
      </w:r>
      <w:r>
        <w:rPr>
          <w:spacing w:val="-14"/>
        </w:rPr>
        <w:t xml:space="preserve"> </w:t>
      </w:r>
      <w:r>
        <w:t>por</w:t>
      </w:r>
      <w:r>
        <w:rPr>
          <w:spacing w:val="-11"/>
        </w:rPr>
        <w:t xml:space="preserve"> </w:t>
      </w:r>
      <w:r>
        <w:t>los</w:t>
      </w:r>
      <w:r>
        <w:rPr>
          <w:spacing w:val="-12"/>
        </w:rPr>
        <w:t xml:space="preserve"> </w:t>
      </w:r>
      <w:r>
        <w:t>gobiernos.</w:t>
      </w:r>
      <w:r>
        <w:rPr>
          <w:spacing w:val="-12"/>
        </w:rPr>
        <w:t xml:space="preserve"> </w:t>
      </w:r>
      <w:r>
        <w:t>Aún</w:t>
      </w:r>
      <w:r>
        <w:rPr>
          <w:spacing w:val="-13"/>
        </w:rPr>
        <w:t xml:space="preserve"> </w:t>
      </w:r>
      <w:r>
        <w:t>más</w:t>
      </w:r>
      <w:r>
        <w:rPr>
          <w:spacing w:val="-12"/>
        </w:rPr>
        <w:t xml:space="preserve"> </w:t>
      </w:r>
      <w:r>
        <w:t>grave,</w:t>
      </w:r>
      <w:r>
        <w:rPr>
          <w:spacing w:val="-13"/>
        </w:rPr>
        <w:t xml:space="preserve"> </w:t>
      </w:r>
      <w:r>
        <w:t>parte</w:t>
      </w:r>
      <w:r>
        <w:rPr>
          <w:spacing w:val="-13"/>
        </w:rPr>
        <w:t xml:space="preserve"> </w:t>
      </w:r>
      <w:r>
        <w:t>del</w:t>
      </w:r>
      <w:r>
        <w:rPr>
          <w:spacing w:val="-13"/>
        </w:rPr>
        <w:t xml:space="preserve"> </w:t>
      </w:r>
      <w:r>
        <w:t>establecimiento</w:t>
      </w:r>
      <w:r>
        <w:rPr>
          <w:spacing w:val="-13"/>
        </w:rPr>
        <w:t xml:space="preserve"> </w:t>
      </w:r>
      <w:r>
        <w:t xml:space="preserve">político adoptó a las AUC como un interlocutor válido para hacer pactos y concertar apuestas </w:t>
      </w:r>
      <w:r>
        <w:rPr>
          <w:spacing w:val="-2"/>
        </w:rPr>
        <w:t>electorales.</w:t>
      </w:r>
    </w:p>
    <w:p w:rsidR="003804AC" w:rsidRDefault="00AF18A5" w:rsidP="00BD28A4">
      <w:r>
        <w:t>¿Era posible en un contexto como este una negociación con las FARC-EP y el ELN? Andrés Pastrana lo intentó y claramente se jugó todo su capital político en El Caguán. Se rodeó de los partidos políticos, los empresarios, la Iglesia, Estados Unidos, la comunidad internacional;</w:t>
      </w:r>
      <w:r>
        <w:rPr>
          <w:spacing w:val="-3"/>
        </w:rPr>
        <w:t xml:space="preserve"> </w:t>
      </w:r>
      <w:r>
        <w:t>es</w:t>
      </w:r>
      <w:r>
        <w:rPr>
          <w:spacing w:val="-3"/>
        </w:rPr>
        <w:t xml:space="preserve"> </w:t>
      </w:r>
      <w:r>
        <w:t>decir,</w:t>
      </w:r>
      <w:r>
        <w:rPr>
          <w:spacing w:val="-5"/>
        </w:rPr>
        <w:t xml:space="preserve"> </w:t>
      </w:r>
      <w:r>
        <w:t>todos</w:t>
      </w:r>
      <w:r>
        <w:rPr>
          <w:spacing w:val="-3"/>
        </w:rPr>
        <w:t xml:space="preserve"> </w:t>
      </w:r>
      <w:r>
        <w:t>esos</w:t>
      </w:r>
      <w:r>
        <w:rPr>
          <w:spacing w:val="-3"/>
        </w:rPr>
        <w:t xml:space="preserve"> </w:t>
      </w:r>
      <w:r>
        <w:t>factores</w:t>
      </w:r>
      <w:r>
        <w:rPr>
          <w:spacing w:val="-3"/>
        </w:rPr>
        <w:t xml:space="preserve"> </w:t>
      </w:r>
      <w:r>
        <w:t>de</w:t>
      </w:r>
      <w:r>
        <w:rPr>
          <w:spacing w:val="-3"/>
        </w:rPr>
        <w:t xml:space="preserve"> </w:t>
      </w:r>
      <w:r>
        <w:t>poder</w:t>
      </w:r>
      <w:r>
        <w:rPr>
          <w:spacing w:val="-3"/>
        </w:rPr>
        <w:t xml:space="preserve"> </w:t>
      </w:r>
      <w:r>
        <w:t>que</w:t>
      </w:r>
      <w:r>
        <w:rPr>
          <w:spacing w:val="-3"/>
        </w:rPr>
        <w:t xml:space="preserve"> </w:t>
      </w:r>
      <w:r>
        <w:t>tradicionalmente</w:t>
      </w:r>
      <w:r>
        <w:rPr>
          <w:spacing w:val="-4"/>
        </w:rPr>
        <w:t xml:space="preserve"> </w:t>
      </w:r>
      <w:r>
        <w:t>toman</w:t>
      </w:r>
      <w:r>
        <w:rPr>
          <w:spacing w:val="-3"/>
        </w:rPr>
        <w:t xml:space="preserve"> </w:t>
      </w:r>
      <w:r>
        <w:t>parte</w:t>
      </w:r>
      <w:r>
        <w:rPr>
          <w:spacing w:val="-4"/>
        </w:rPr>
        <w:t xml:space="preserve"> </w:t>
      </w:r>
      <w:r>
        <w:t>de</w:t>
      </w:r>
      <w:r>
        <w:rPr>
          <w:spacing w:val="-3"/>
        </w:rPr>
        <w:t xml:space="preserve"> </w:t>
      </w:r>
      <w:r>
        <w:t>las decisiones</w:t>
      </w:r>
      <w:r>
        <w:rPr>
          <w:spacing w:val="-6"/>
        </w:rPr>
        <w:t xml:space="preserve"> </w:t>
      </w:r>
      <w:r>
        <w:t>en</w:t>
      </w:r>
      <w:r>
        <w:rPr>
          <w:spacing w:val="-5"/>
        </w:rPr>
        <w:t xml:space="preserve"> </w:t>
      </w:r>
      <w:r>
        <w:t>el</w:t>
      </w:r>
      <w:r>
        <w:rPr>
          <w:spacing w:val="-4"/>
        </w:rPr>
        <w:t xml:space="preserve"> </w:t>
      </w:r>
      <w:r>
        <w:t>país.</w:t>
      </w:r>
      <w:r>
        <w:rPr>
          <w:spacing w:val="-6"/>
        </w:rPr>
        <w:t xml:space="preserve"> </w:t>
      </w:r>
      <w:r>
        <w:t>Pero</w:t>
      </w:r>
      <w:r>
        <w:rPr>
          <w:spacing w:val="-5"/>
        </w:rPr>
        <w:t xml:space="preserve"> </w:t>
      </w:r>
      <w:r>
        <w:t>cada</w:t>
      </w:r>
      <w:r>
        <w:rPr>
          <w:spacing w:val="-6"/>
        </w:rPr>
        <w:t xml:space="preserve"> </w:t>
      </w:r>
      <w:r>
        <w:t>uno</w:t>
      </w:r>
      <w:r>
        <w:rPr>
          <w:spacing w:val="-6"/>
        </w:rPr>
        <w:t xml:space="preserve"> </w:t>
      </w:r>
      <w:r>
        <w:t>de</w:t>
      </w:r>
      <w:r>
        <w:rPr>
          <w:spacing w:val="-5"/>
        </w:rPr>
        <w:t xml:space="preserve"> </w:t>
      </w:r>
      <w:r>
        <w:t>estos</w:t>
      </w:r>
      <w:r>
        <w:rPr>
          <w:spacing w:val="-5"/>
        </w:rPr>
        <w:t xml:space="preserve"> </w:t>
      </w:r>
      <w:r>
        <w:t>actores</w:t>
      </w:r>
      <w:r>
        <w:rPr>
          <w:spacing w:val="-6"/>
        </w:rPr>
        <w:t xml:space="preserve"> </w:t>
      </w:r>
      <w:r>
        <w:t>fue</w:t>
      </w:r>
      <w:r>
        <w:rPr>
          <w:spacing w:val="-5"/>
        </w:rPr>
        <w:t xml:space="preserve"> </w:t>
      </w:r>
      <w:r>
        <w:t>abandonando</w:t>
      </w:r>
      <w:r>
        <w:rPr>
          <w:spacing w:val="-5"/>
        </w:rPr>
        <w:t xml:space="preserve"> </w:t>
      </w:r>
      <w:r>
        <w:t>el</w:t>
      </w:r>
      <w:r>
        <w:rPr>
          <w:spacing w:val="-7"/>
        </w:rPr>
        <w:t xml:space="preserve"> </w:t>
      </w:r>
      <w:r>
        <w:t>barco</w:t>
      </w:r>
      <w:r>
        <w:rPr>
          <w:spacing w:val="-5"/>
        </w:rPr>
        <w:t xml:space="preserve"> </w:t>
      </w:r>
      <w:r>
        <w:t>a</w:t>
      </w:r>
      <w:r>
        <w:rPr>
          <w:spacing w:val="-6"/>
        </w:rPr>
        <w:t xml:space="preserve"> </w:t>
      </w:r>
      <w:r>
        <w:t>medida</w:t>
      </w:r>
      <w:r>
        <w:rPr>
          <w:spacing w:val="-5"/>
        </w:rPr>
        <w:t xml:space="preserve"> </w:t>
      </w:r>
      <w:r>
        <w:t>que observó que era un momento adverso para el Estado y quizás aun favorable para la insurgencia. La arremetida paramilitar para disputar el poder local a las guerrillas y la persistencia e incremento del secuestro, incluso en formas masivas e indiscriminadas, erosionaron</w:t>
      </w:r>
      <w:r>
        <w:rPr>
          <w:spacing w:val="-7"/>
        </w:rPr>
        <w:t xml:space="preserve"> </w:t>
      </w:r>
      <w:r>
        <w:t>las</w:t>
      </w:r>
      <w:r>
        <w:rPr>
          <w:spacing w:val="-6"/>
        </w:rPr>
        <w:t xml:space="preserve"> </w:t>
      </w:r>
      <w:r>
        <w:t>posibilidades</w:t>
      </w:r>
      <w:r>
        <w:rPr>
          <w:spacing w:val="-6"/>
        </w:rPr>
        <w:t xml:space="preserve"> </w:t>
      </w:r>
      <w:r>
        <w:t>de</w:t>
      </w:r>
      <w:r>
        <w:rPr>
          <w:spacing w:val="-7"/>
        </w:rPr>
        <w:t xml:space="preserve"> </w:t>
      </w:r>
      <w:r>
        <w:t>un</w:t>
      </w:r>
      <w:r>
        <w:rPr>
          <w:spacing w:val="-7"/>
        </w:rPr>
        <w:t xml:space="preserve"> </w:t>
      </w:r>
      <w:r>
        <w:t>avance.</w:t>
      </w:r>
      <w:r>
        <w:rPr>
          <w:spacing w:val="-6"/>
        </w:rPr>
        <w:t xml:space="preserve"> </w:t>
      </w:r>
      <w:r>
        <w:t>Ambas</w:t>
      </w:r>
      <w:r>
        <w:rPr>
          <w:spacing w:val="-6"/>
        </w:rPr>
        <w:t xml:space="preserve"> </w:t>
      </w:r>
      <w:r>
        <w:t>partes,</w:t>
      </w:r>
      <w:r>
        <w:rPr>
          <w:spacing w:val="-7"/>
        </w:rPr>
        <w:t xml:space="preserve"> </w:t>
      </w:r>
      <w:r>
        <w:t>como</w:t>
      </w:r>
      <w:r>
        <w:rPr>
          <w:spacing w:val="-6"/>
        </w:rPr>
        <w:t xml:space="preserve"> </w:t>
      </w:r>
      <w:r>
        <w:t>en</w:t>
      </w:r>
      <w:r>
        <w:rPr>
          <w:spacing w:val="-7"/>
        </w:rPr>
        <w:t xml:space="preserve"> </w:t>
      </w:r>
      <w:r>
        <w:t>el</w:t>
      </w:r>
      <w:r>
        <w:rPr>
          <w:spacing w:val="-7"/>
        </w:rPr>
        <w:t xml:space="preserve"> </w:t>
      </w:r>
      <w:r>
        <w:t>pasado,</w:t>
      </w:r>
      <w:r>
        <w:rPr>
          <w:spacing w:val="-6"/>
        </w:rPr>
        <w:t xml:space="preserve"> </w:t>
      </w:r>
      <w:r>
        <w:t>se</w:t>
      </w:r>
      <w:r>
        <w:rPr>
          <w:spacing w:val="-7"/>
        </w:rPr>
        <w:t xml:space="preserve"> </w:t>
      </w:r>
      <w:r>
        <w:t>preparaban para</w:t>
      </w:r>
      <w:r>
        <w:rPr>
          <w:spacing w:val="-14"/>
        </w:rPr>
        <w:t xml:space="preserve"> </w:t>
      </w:r>
      <w:r>
        <w:t>la</w:t>
      </w:r>
      <w:r>
        <w:rPr>
          <w:spacing w:val="-11"/>
        </w:rPr>
        <w:t xml:space="preserve"> </w:t>
      </w:r>
      <w:r>
        <w:t>guerra</w:t>
      </w:r>
      <w:r>
        <w:rPr>
          <w:spacing w:val="-11"/>
        </w:rPr>
        <w:t xml:space="preserve"> </w:t>
      </w:r>
      <w:r>
        <w:t>mientras</w:t>
      </w:r>
      <w:r>
        <w:rPr>
          <w:spacing w:val="-11"/>
        </w:rPr>
        <w:t xml:space="preserve"> </w:t>
      </w:r>
      <w:r>
        <w:lastRenderedPageBreak/>
        <w:t>hablaban</w:t>
      </w:r>
      <w:r>
        <w:rPr>
          <w:spacing w:val="-11"/>
        </w:rPr>
        <w:t xml:space="preserve"> </w:t>
      </w:r>
      <w:r>
        <w:t>de</w:t>
      </w:r>
      <w:r>
        <w:rPr>
          <w:spacing w:val="-12"/>
        </w:rPr>
        <w:t xml:space="preserve"> </w:t>
      </w:r>
      <w:r>
        <w:t>paz.</w:t>
      </w:r>
      <w:r>
        <w:rPr>
          <w:spacing w:val="-11"/>
        </w:rPr>
        <w:t xml:space="preserve"> </w:t>
      </w:r>
      <w:r>
        <w:t>Este</w:t>
      </w:r>
      <w:r>
        <w:rPr>
          <w:spacing w:val="-13"/>
        </w:rPr>
        <w:t xml:space="preserve"> </w:t>
      </w:r>
      <w:r>
        <w:t>fue</w:t>
      </w:r>
      <w:r>
        <w:rPr>
          <w:spacing w:val="-12"/>
        </w:rPr>
        <w:t xml:space="preserve"> </w:t>
      </w:r>
      <w:r>
        <w:t>un</w:t>
      </w:r>
      <w:r>
        <w:rPr>
          <w:spacing w:val="-11"/>
        </w:rPr>
        <w:t xml:space="preserve"> </w:t>
      </w:r>
      <w:r>
        <w:t>segundo</w:t>
      </w:r>
      <w:r>
        <w:rPr>
          <w:spacing w:val="-12"/>
        </w:rPr>
        <w:t xml:space="preserve"> </w:t>
      </w:r>
      <w:r>
        <w:t>momento</w:t>
      </w:r>
      <w:r>
        <w:rPr>
          <w:spacing w:val="-11"/>
        </w:rPr>
        <w:t xml:space="preserve"> </w:t>
      </w:r>
      <w:r>
        <w:t>que</w:t>
      </w:r>
      <w:r>
        <w:rPr>
          <w:spacing w:val="-11"/>
        </w:rPr>
        <w:t xml:space="preserve"> </w:t>
      </w:r>
      <w:r>
        <w:t>dejó</w:t>
      </w:r>
      <w:r>
        <w:rPr>
          <w:spacing w:val="-11"/>
        </w:rPr>
        <w:t xml:space="preserve"> </w:t>
      </w:r>
      <w:r>
        <w:t>en</w:t>
      </w:r>
      <w:r>
        <w:rPr>
          <w:spacing w:val="-12"/>
        </w:rPr>
        <w:t xml:space="preserve"> </w:t>
      </w:r>
      <w:r>
        <w:rPr>
          <w:spacing w:val="-2"/>
        </w:rPr>
        <w:t>evidencia</w:t>
      </w:r>
      <w:bookmarkStart w:id="158" w:name="_bookmark105"/>
      <w:bookmarkStart w:id="159" w:name="_bookmark106"/>
      <w:bookmarkStart w:id="160" w:name="_bookmark107"/>
      <w:bookmarkEnd w:id="158"/>
      <w:bookmarkEnd w:id="159"/>
      <w:bookmarkEnd w:id="160"/>
      <w:r w:rsidR="00BD28A4">
        <w:rPr>
          <w:spacing w:val="-2"/>
        </w:rPr>
        <w:t xml:space="preserve"> </w:t>
      </w:r>
      <w:r>
        <w:t xml:space="preserve">que, cuando los acuerdos de paz son el plan b de una o ambas partes, es difícil que tengan </w:t>
      </w:r>
      <w:r>
        <w:rPr>
          <w:spacing w:val="-2"/>
        </w:rPr>
        <w:t>éxito.</w:t>
      </w:r>
    </w:p>
    <w:p w:rsidR="003804AC" w:rsidRDefault="00AF18A5" w:rsidP="005821A3">
      <w:r>
        <w:t>Y,</w:t>
      </w:r>
      <w:r>
        <w:rPr>
          <w:spacing w:val="-7"/>
        </w:rPr>
        <w:t xml:space="preserve"> </w:t>
      </w:r>
      <w:r>
        <w:t>sin</w:t>
      </w:r>
      <w:r>
        <w:rPr>
          <w:spacing w:val="-7"/>
        </w:rPr>
        <w:t xml:space="preserve"> </w:t>
      </w:r>
      <w:r>
        <w:t>embargo,</w:t>
      </w:r>
      <w:r>
        <w:rPr>
          <w:spacing w:val="-7"/>
        </w:rPr>
        <w:t xml:space="preserve"> </w:t>
      </w:r>
      <w:r>
        <w:t>mientras</w:t>
      </w:r>
      <w:r>
        <w:rPr>
          <w:spacing w:val="-8"/>
        </w:rPr>
        <w:t xml:space="preserve"> </w:t>
      </w:r>
      <w:r>
        <w:t>la</w:t>
      </w:r>
      <w:r>
        <w:rPr>
          <w:spacing w:val="-7"/>
        </w:rPr>
        <w:t xml:space="preserve"> </w:t>
      </w:r>
      <w:r>
        <w:t>guerra</w:t>
      </w:r>
      <w:r>
        <w:rPr>
          <w:spacing w:val="-7"/>
        </w:rPr>
        <w:t xml:space="preserve"> </w:t>
      </w:r>
      <w:r>
        <w:t>estaba</w:t>
      </w:r>
      <w:r>
        <w:rPr>
          <w:spacing w:val="-7"/>
        </w:rPr>
        <w:t xml:space="preserve"> </w:t>
      </w:r>
      <w:r>
        <w:t>en</w:t>
      </w:r>
      <w:r>
        <w:rPr>
          <w:spacing w:val="-7"/>
        </w:rPr>
        <w:t xml:space="preserve"> </w:t>
      </w:r>
      <w:r>
        <w:t>su</w:t>
      </w:r>
      <w:r>
        <w:rPr>
          <w:spacing w:val="-7"/>
        </w:rPr>
        <w:t xml:space="preserve"> </w:t>
      </w:r>
      <w:r>
        <w:t>peor</w:t>
      </w:r>
      <w:r>
        <w:rPr>
          <w:spacing w:val="-7"/>
        </w:rPr>
        <w:t xml:space="preserve"> </w:t>
      </w:r>
      <w:r>
        <w:t>momento,</w:t>
      </w:r>
      <w:r>
        <w:rPr>
          <w:spacing w:val="-8"/>
        </w:rPr>
        <w:t xml:space="preserve"> </w:t>
      </w:r>
      <w:r>
        <w:t>la</w:t>
      </w:r>
      <w:r>
        <w:rPr>
          <w:spacing w:val="-7"/>
        </w:rPr>
        <w:t xml:space="preserve"> </w:t>
      </w:r>
      <w:r>
        <w:t>sociedad</w:t>
      </w:r>
      <w:r>
        <w:rPr>
          <w:spacing w:val="-8"/>
        </w:rPr>
        <w:t xml:space="preserve"> </w:t>
      </w:r>
      <w:r>
        <w:t>civil</w:t>
      </w:r>
      <w:r>
        <w:rPr>
          <w:spacing w:val="-7"/>
        </w:rPr>
        <w:t xml:space="preserve"> </w:t>
      </w:r>
      <w:r>
        <w:t>exigía</w:t>
      </w:r>
      <w:r>
        <w:rPr>
          <w:spacing w:val="-8"/>
        </w:rPr>
        <w:t xml:space="preserve"> </w:t>
      </w:r>
      <w:r>
        <w:t>un acuerdo</w:t>
      </w:r>
      <w:r>
        <w:rPr>
          <w:spacing w:val="-8"/>
        </w:rPr>
        <w:t xml:space="preserve"> </w:t>
      </w:r>
      <w:r>
        <w:t>inmediato</w:t>
      </w:r>
      <w:r>
        <w:rPr>
          <w:spacing w:val="-8"/>
        </w:rPr>
        <w:t xml:space="preserve"> </w:t>
      </w:r>
      <w:r>
        <w:t>de</w:t>
      </w:r>
      <w:r>
        <w:rPr>
          <w:spacing w:val="-7"/>
        </w:rPr>
        <w:t xml:space="preserve"> </w:t>
      </w:r>
      <w:r>
        <w:t>paz.</w:t>
      </w:r>
      <w:r>
        <w:rPr>
          <w:spacing w:val="-7"/>
        </w:rPr>
        <w:t xml:space="preserve"> </w:t>
      </w:r>
      <w:r>
        <w:t>Ese</w:t>
      </w:r>
      <w:r>
        <w:rPr>
          <w:spacing w:val="-8"/>
        </w:rPr>
        <w:t xml:space="preserve"> </w:t>
      </w:r>
      <w:r>
        <w:t>tejido</w:t>
      </w:r>
      <w:r>
        <w:rPr>
          <w:spacing w:val="-8"/>
        </w:rPr>
        <w:t xml:space="preserve"> </w:t>
      </w:r>
      <w:r>
        <w:t>social</w:t>
      </w:r>
      <w:r>
        <w:rPr>
          <w:spacing w:val="-7"/>
        </w:rPr>
        <w:t xml:space="preserve"> </w:t>
      </w:r>
      <w:r>
        <w:t>de</w:t>
      </w:r>
      <w:r>
        <w:rPr>
          <w:spacing w:val="-7"/>
        </w:rPr>
        <w:t xml:space="preserve"> </w:t>
      </w:r>
      <w:r>
        <w:t>participación</w:t>
      </w:r>
      <w:r>
        <w:rPr>
          <w:spacing w:val="-8"/>
        </w:rPr>
        <w:t xml:space="preserve"> </w:t>
      </w:r>
      <w:r>
        <w:t>y</w:t>
      </w:r>
      <w:r>
        <w:rPr>
          <w:spacing w:val="-8"/>
        </w:rPr>
        <w:t xml:space="preserve"> </w:t>
      </w:r>
      <w:r>
        <w:t>ciudadanía</w:t>
      </w:r>
      <w:r>
        <w:rPr>
          <w:spacing w:val="-7"/>
        </w:rPr>
        <w:t xml:space="preserve"> </w:t>
      </w:r>
      <w:r>
        <w:t>que</w:t>
      </w:r>
      <w:r>
        <w:rPr>
          <w:spacing w:val="-7"/>
        </w:rPr>
        <w:t xml:space="preserve"> </w:t>
      </w:r>
      <w:r>
        <w:t>había</w:t>
      </w:r>
      <w:r>
        <w:rPr>
          <w:spacing w:val="-8"/>
        </w:rPr>
        <w:t xml:space="preserve"> </w:t>
      </w:r>
      <w:r>
        <w:t>activado la Constitución de 1991 se manifestó en lo local y nacional con iniciativas como pequeñas constituyentes, pactos locales de paz, redes humanitarias e iniciativas territoriales de protección</w:t>
      </w:r>
      <w:r>
        <w:rPr>
          <w:spacing w:val="-3"/>
        </w:rPr>
        <w:t xml:space="preserve"> </w:t>
      </w:r>
      <w:r>
        <w:t>de</w:t>
      </w:r>
      <w:r>
        <w:rPr>
          <w:spacing w:val="-3"/>
        </w:rPr>
        <w:t xml:space="preserve"> </w:t>
      </w:r>
      <w:r>
        <w:t>la</w:t>
      </w:r>
      <w:r>
        <w:rPr>
          <w:spacing w:val="-4"/>
        </w:rPr>
        <w:t xml:space="preserve"> </w:t>
      </w:r>
      <w:r>
        <w:t>vida.</w:t>
      </w:r>
      <w:r>
        <w:rPr>
          <w:spacing w:val="-5"/>
        </w:rPr>
        <w:t xml:space="preserve"> </w:t>
      </w:r>
      <w:r>
        <w:t>Muchos</w:t>
      </w:r>
      <w:r>
        <w:rPr>
          <w:spacing w:val="-3"/>
        </w:rPr>
        <w:t xml:space="preserve"> </w:t>
      </w:r>
      <w:r>
        <w:t>fueron</w:t>
      </w:r>
      <w:r>
        <w:rPr>
          <w:spacing w:val="-3"/>
        </w:rPr>
        <w:t xml:space="preserve"> </w:t>
      </w:r>
      <w:r>
        <w:t>apoyados</w:t>
      </w:r>
      <w:r>
        <w:rPr>
          <w:spacing w:val="-4"/>
        </w:rPr>
        <w:t xml:space="preserve"> </w:t>
      </w:r>
      <w:r>
        <w:t>por</w:t>
      </w:r>
      <w:r>
        <w:rPr>
          <w:spacing w:val="-3"/>
        </w:rPr>
        <w:t xml:space="preserve"> </w:t>
      </w:r>
      <w:r>
        <w:t>sectores</w:t>
      </w:r>
      <w:r>
        <w:rPr>
          <w:spacing w:val="-4"/>
        </w:rPr>
        <w:t xml:space="preserve"> </w:t>
      </w:r>
      <w:r>
        <w:t>de</w:t>
      </w:r>
      <w:r>
        <w:rPr>
          <w:spacing w:val="-3"/>
        </w:rPr>
        <w:t xml:space="preserve"> </w:t>
      </w:r>
      <w:r>
        <w:t>la</w:t>
      </w:r>
      <w:r>
        <w:rPr>
          <w:spacing w:val="-4"/>
        </w:rPr>
        <w:t xml:space="preserve"> </w:t>
      </w:r>
      <w:r>
        <w:t>Iglesia,</w:t>
      </w:r>
      <w:r>
        <w:rPr>
          <w:spacing w:val="-5"/>
        </w:rPr>
        <w:t xml:space="preserve"> </w:t>
      </w:r>
      <w:r>
        <w:t>la</w:t>
      </w:r>
      <w:r>
        <w:rPr>
          <w:spacing w:val="-3"/>
        </w:rPr>
        <w:t xml:space="preserve"> </w:t>
      </w:r>
      <w:r>
        <w:t>sociedad</w:t>
      </w:r>
      <w:r>
        <w:rPr>
          <w:spacing w:val="-5"/>
        </w:rPr>
        <w:t xml:space="preserve"> </w:t>
      </w:r>
      <w:r>
        <w:t>civil</w:t>
      </w:r>
      <w:r>
        <w:rPr>
          <w:spacing w:val="-3"/>
        </w:rPr>
        <w:t xml:space="preserve"> </w:t>
      </w:r>
      <w:r>
        <w:t>y líderes políticos, tanto de izquierda como de grupos tradicionales, que apoyaban la salida negociada</w:t>
      </w:r>
      <w:r>
        <w:rPr>
          <w:spacing w:val="-6"/>
        </w:rPr>
        <w:t xml:space="preserve"> </w:t>
      </w:r>
      <w:r>
        <w:t>al</w:t>
      </w:r>
      <w:r>
        <w:rPr>
          <w:spacing w:val="-5"/>
        </w:rPr>
        <w:t xml:space="preserve"> </w:t>
      </w:r>
      <w:r>
        <w:t>conflicto</w:t>
      </w:r>
      <w:r>
        <w:rPr>
          <w:spacing w:val="-5"/>
        </w:rPr>
        <w:t xml:space="preserve"> </w:t>
      </w:r>
      <w:r>
        <w:t>armado.</w:t>
      </w:r>
      <w:r>
        <w:rPr>
          <w:spacing w:val="-5"/>
        </w:rPr>
        <w:t xml:space="preserve"> </w:t>
      </w:r>
      <w:r>
        <w:t>Mención</w:t>
      </w:r>
      <w:r>
        <w:rPr>
          <w:spacing w:val="-5"/>
        </w:rPr>
        <w:t xml:space="preserve"> </w:t>
      </w:r>
      <w:r>
        <w:t>especial</w:t>
      </w:r>
      <w:r>
        <w:rPr>
          <w:spacing w:val="-5"/>
        </w:rPr>
        <w:t xml:space="preserve"> </w:t>
      </w:r>
      <w:r>
        <w:t>merecen</w:t>
      </w:r>
      <w:r>
        <w:rPr>
          <w:spacing w:val="-5"/>
        </w:rPr>
        <w:t xml:space="preserve"> </w:t>
      </w:r>
      <w:r>
        <w:t>las</w:t>
      </w:r>
      <w:r>
        <w:rPr>
          <w:spacing w:val="-5"/>
        </w:rPr>
        <w:t xml:space="preserve"> </w:t>
      </w:r>
      <w:r>
        <w:t>movilizaciones</w:t>
      </w:r>
      <w:r>
        <w:rPr>
          <w:spacing w:val="-4"/>
        </w:rPr>
        <w:t xml:space="preserve"> </w:t>
      </w:r>
      <w:r>
        <w:t>de</w:t>
      </w:r>
      <w:r>
        <w:rPr>
          <w:spacing w:val="-4"/>
        </w:rPr>
        <w:t xml:space="preserve"> </w:t>
      </w:r>
      <w:r>
        <w:t>las</w:t>
      </w:r>
      <w:r>
        <w:rPr>
          <w:spacing w:val="-6"/>
        </w:rPr>
        <w:t xml:space="preserve"> </w:t>
      </w:r>
      <w:r>
        <w:t>mujeres en</w:t>
      </w:r>
      <w:r>
        <w:rPr>
          <w:spacing w:val="-5"/>
        </w:rPr>
        <w:t xml:space="preserve"> </w:t>
      </w:r>
      <w:r>
        <w:t>torno</w:t>
      </w:r>
      <w:r>
        <w:rPr>
          <w:spacing w:val="-5"/>
        </w:rPr>
        <w:t xml:space="preserve"> </w:t>
      </w:r>
      <w:r>
        <w:t>al</w:t>
      </w:r>
      <w:r>
        <w:rPr>
          <w:spacing w:val="-4"/>
        </w:rPr>
        <w:t xml:space="preserve"> </w:t>
      </w:r>
      <w:r>
        <w:t>derecho</w:t>
      </w:r>
      <w:r>
        <w:rPr>
          <w:spacing w:val="-5"/>
        </w:rPr>
        <w:t xml:space="preserve"> </w:t>
      </w:r>
      <w:r>
        <w:t>a</w:t>
      </w:r>
      <w:r>
        <w:rPr>
          <w:spacing w:val="-6"/>
        </w:rPr>
        <w:t xml:space="preserve"> </w:t>
      </w:r>
      <w:r>
        <w:t>la</w:t>
      </w:r>
      <w:r>
        <w:rPr>
          <w:spacing w:val="-5"/>
        </w:rPr>
        <w:t xml:space="preserve"> </w:t>
      </w:r>
      <w:r>
        <w:t>vida</w:t>
      </w:r>
      <w:r>
        <w:rPr>
          <w:spacing w:val="-5"/>
        </w:rPr>
        <w:t xml:space="preserve"> </w:t>
      </w:r>
      <w:r>
        <w:t>y</w:t>
      </w:r>
      <w:r>
        <w:rPr>
          <w:spacing w:val="-5"/>
        </w:rPr>
        <w:t xml:space="preserve"> </w:t>
      </w:r>
      <w:r>
        <w:t>la</w:t>
      </w:r>
      <w:r>
        <w:rPr>
          <w:spacing w:val="-6"/>
        </w:rPr>
        <w:t xml:space="preserve"> </w:t>
      </w:r>
      <w:r>
        <w:t>resistencia</w:t>
      </w:r>
      <w:r>
        <w:rPr>
          <w:spacing w:val="-5"/>
        </w:rPr>
        <w:t xml:space="preserve"> </w:t>
      </w:r>
      <w:r>
        <w:t>de</w:t>
      </w:r>
      <w:r>
        <w:rPr>
          <w:spacing w:val="-5"/>
        </w:rPr>
        <w:t xml:space="preserve"> </w:t>
      </w:r>
      <w:r>
        <w:t>los</w:t>
      </w:r>
      <w:r>
        <w:rPr>
          <w:spacing w:val="-6"/>
        </w:rPr>
        <w:t xml:space="preserve"> </w:t>
      </w:r>
      <w:r>
        <w:t>pueblos</w:t>
      </w:r>
      <w:r>
        <w:rPr>
          <w:spacing w:val="-5"/>
        </w:rPr>
        <w:t xml:space="preserve"> </w:t>
      </w:r>
      <w:r>
        <w:t>indígenas</w:t>
      </w:r>
      <w:r>
        <w:rPr>
          <w:spacing w:val="-5"/>
        </w:rPr>
        <w:t xml:space="preserve"> </w:t>
      </w:r>
      <w:r>
        <w:t>y</w:t>
      </w:r>
      <w:r>
        <w:rPr>
          <w:spacing w:val="-5"/>
        </w:rPr>
        <w:t xml:space="preserve"> </w:t>
      </w:r>
      <w:r>
        <w:t>afrocolombianos</w:t>
      </w:r>
      <w:r>
        <w:rPr>
          <w:spacing w:val="-5"/>
        </w:rPr>
        <w:t xml:space="preserve"> </w:t>
      </w:r>
      <w:r>
        <w:t>que también</w:t>
      </w:r>
      <w:r>
        <w:rPr>
          <w:spacing w:val="-12"/>
        </w:rPr>
        <w:t xml:space="preserve"> </w:t>
      </w:r>
      <w:r>
        <w:t>impulsaron</w:t>
      </w:r>
      <w:r>
        <w:rPr>
          <w:spacing w:val="-12"/>
        </w:rPr>
        <w:t xml:space="preserve"> </w:t>
      </w:r>
      <w:r>
        <w:t>ejercicios</w:t>
      </w:r>
      <w:r>
        <w:rPr>
          <w:spacing w:val="-12"/>
        </w:rPr>
        <w:t xml:space="preserve"> </w:t>
      </w:r>
      <w:r>
        <w:t>comunitarios</w:t>
      </w:r>
      <w:r>
        <w:rPr>
          <w:spacing w:val="-12"/>
        </w:rPr>
        <w:t xml:space="preserve"> </w:t>
      </w:r>
      <w:r>
        <w:t>como</w:t>
      </w:r>
      <w:r>
        <w:rPr>
          <w:spacing w:val="-13"/>
        </w:rPr>
        <w:t xml:space="preserve"> </w:t>
      </w:r>
      <w:r>
        <w:t>la</w:t>
      </w:r>
      <w:r>
        <w:rPr>
          <w:spacing w:val="-12"/>
        </w:rPr>
        <w:t xml:space="preserve"> </w:t>
      </w:r>
      <w:r>
        <w:t>«neutralidad</w:t>
      </w:r>
      <w:r>
        <w:rPr>
          <w:spacing w:val="-12"/>
        </w:rPr>
        <w:t xml:space="preserve"> </w:t>
      </w:r>
      <w:r>
        <w:t>activa»</w:t>
      </w:r>
      <w:r>
        <w:rPr>
          <w:spacing w:val="-12"/>
        </w:rPr>
        <w:t xml:space="preserve"> </w:t>
      </w:r>
      <w:r>
        <w:t>de</w:t>
      </w:r>
      <w:r>
        <w:rPr>
          <w:spacing w:val="-12"/>
        </w:rPr>
        <w:t xml:space="preserve"> </w:t>
      </w:r>
      <w:r>
        <w:t>la</w:t>
      </w:r>
      <w:r>
        <w:rPr>
          <w:spacing w:val="-12"/>
        </w:rPr>
        <w:t xml:space="preserve"> </w:t>
      </w:r>
      <w:r>
        <w:t>Organización Indígena de Antioquia o</w:t>
      </w:r>
      <w:r>
        <w:rPr>
          <w:spacing w:val="-1"/>
        </w:rPr>
        <w:t xml:space="preserve"> </w:t>
      </w:r>
      <w:r>
        <w:t xml:space="preserve">las misiones humanitarias a los territorios étnicos como </w:t>
      </w:r>
      <w:proofErr w:type="spellStart"/>
      <w:r>
        <w:t>Atratiando</w:t>
      </w:r>
      <w:proofErr w:type="spellEnd"/>
      <w:r>
        <w:t xml:space="preserve"> en el río Atrato, así como la Guardia Indígena para la defensa del territorio, y diferentes propuestas para la salida pacífica del conflicto armado.</w:t>
      </w:r>
    </w:p>
    <w:p w:rsidR="003804AC" w:rsidRDefault="00AF18A5" w:rsidP="005821A3">
      <w:r>
        <w:t>¿Por qué, entonces, las guerrillas no se decidieron por la paz</w:t>
      </w:r>
      <w:r>
        <w:rPr>
          <w:spacing w:val="-1"/>
        </w:rPr>
        <w:t xml:space="preserve"> </w:t>
      </w:r>
      <w:r>
        <w:t>en un momento en el que el país clamaba por ponerle fin a la guerra? Los testimonios de los dirigentes de las FARC-EP contienen varios indicios. Primero, la renta de la coca era tal que hacía inviable acabar la guerra, no solo porque el aparato guerrillero mismo sostenía la economía en las regiones, sino</w:t>
      </w:r>
      <w:r>
        <w:rPr>
          <w:spacing w:val="-14"/>
        </w:rPr>
        <w:t xml:space="preserve"> </w:t>
      </w:r>
      <w:r>
        <w:t>porque</w:t>
      </w:r>
      <w:r>
        <w:rPr>
          <w:spacing w:val="-15"/>
        </w:rPr>
        <w:t xml:space="preserve"> </w:t>
      </w:r>
      <w:r>
        <w:t>alimentó</w:t>
      </w:r>
      <w:r>
        <w:rPr>
          <w:spacing w:val="-15"/>
        </w:rPr>
        <w:t xml:space="preserve"> </w:t>
      </w:r>
      <w:r>
        <w:t>la</w:t>
      </w:r>
      <w:r>
        <w:rPr>
          <w:spacing w:val="-14"/>
        </w:rPr>
        <w:t xml:space="preserve"> </w:t>
      </w:r>
      <w:r>
        <w:t>ficción</w:t>
      </w:r>
      <w:r>
        <w:rPr>
          <w:spacing w:val="-14"/>
        </w:rPr>
        <w:t xml:space="preserve"> </w:t>
      </w:r>
      <w:r>
        <w:t>de</w:t>
      </w:r>
      <w:r>
        <w:rPr>
          <w:spacing w:val="-14"/>
        </w:rPr>
        <w:t xml:space="preserve"> </w:t>
      </w:r>
      <w:r>
        <w:t>que,</w:t>
      </w:r>
      <w:r>
        <w:rPr>
          <w:spacing w:val="-14"/>
        </w:rPr>
        <w:t xml:space="preserve"> </w:t>
      </w:r>
      <w:r>
        <w:t>con</w:t>
      </w:r>
      <w:r>
        <w:rPr>
          <w:spacing w:val="-14"/>
        </w:rPr>
        <w:t xml:space="preserve"> </w:t>
      </w:r>
      <w:r>
        <w:t>recursos</w:t>
      </w:r>
      <w:r>
        <w:rPr>
          <w:spacing w:val="-14"/>
        </w:rPr>
        <w:t xml:space="preserve"> </w:t>
      </w:r>
      <w:r>
        <w:t>económicos,</w:t>
      </w:r>
      <w:r>
        <w:rPr>
          <w:spacing w:val="-14"/>
        </w:rPr>
        <w:t xml:space="preserve"> </w:t>
      </w:r>
      <w:r>
        <w:t>que</w:t>
      </w:r>
      <w:r>
        <w:rPr>
          <w:spacing w:val="-14"/>
        </w:rPr>
        <w:t xml:space="preserve"> </w:t>
      </w:r>
      <w:r>
        <w:t>redundaron</w:t>
      </w:r>
      <w:r>
        <w:rPr>
          <w:spacing w:val="-14"/>
        </w:rPr>
        <w:t xml:space="preserve"> </w:t>
      </w:r>
      <w:r>
        <w:t>en</w:t>
      </w:r>
      <w:r>
        <w:rPr>
          <w:spacing w:val="-14"/>
        </w:rPr>
        <w:t xml:space="preserve"> </w:t>
      </w:r>
      <w:r>
        <w:t xml:space="preserve">recursos bélicos y humanos, se ganaba la guerra. Segundo, a pesar de que El Caguán fue un lugar de diálogo, las FARC-EP estaban aisladas políticamente, por lo que sus relaciones </w:t>
      </w:r>
      <w:r>
        <w:lastRenderedPageBreak/>
        <w:t>con la población</w:t>
      </w:r>
      <w:r>
        <w:rPr>
          <w:spacing w:val="-10"/>
        </w:rPr>
        <w:t xml:space="preserve"> </w:t>
      </w:r>
      <w:r>
        <w:t>se</w:t>
      </w:r>
      <w:r>
        <w:rPr>
          <w:spacing w:val="-9"/>
        </w:rPr>
        <w:t xml:space="preserve"> </w:t>
      </w:r>
      <w:r>
        <w:t>centraban</w:t>
      </w:r>
      <w:r>
        <w:rPr>
          <w:spacing w:val="-10"/>
        </w:rPr>
        <w:t xml:space="preserve"> </w:t>
      </w:r>
      <w:r>
        <w:t>en</w:t>
      </w:r>
      <w:r>
        <w:rPr>
          <w:spacing w:val="-8"/>
        </w:rPr>
        <w:t xml:space="preserve"> </w:t>
      </w:r>
      <w:r>
        <w:t>lo</w:t>
      </w:r>
      <w:r>
        <w:rPr>
          <w:spacing w:val="-10"/>
        </w:rPr>
        <w:t xml:space="preserve"> </w:t>
      </w:r>
      <w:r>
        <w:t>militar</w:t>
      </w:r>
      <w:r>
        <w:rPr>
          <w:spacing w:val="-9"/>
        </w:rPr>
        <w:t xml:space="preserve"> </w:t>
      </w:r>
      <w:r>
        <w:t>y</w:t>
      </w:r>
      <w:r>
        <w:rPr>
          <w:spacing w:val="-10"/>
        </w:rPr>
        <w:t xml:space="preserve"> </w:t>
      </w:r>
      <w:r>
        <w:t>lo</w:t>
      </w:r>
      <w:r>
        <w:rPr>
          <w:spacing w:val="-10"/>
        </w:rPr>
        <w:t xml:space="preserve"> </w:t>
      </w:r>
      <w:r>
        <w:t>económico.</w:t>
      </w:r>
      <w:r>
        <w:rPr>
          <w:spacing w:val="-8"/>
        </w:rPr>
        <w:t xml:space="preserve"> </w:t>
      </w:r>
      <w:r>
        <w:t>Tercero,</w:t>
      </w:r>
      <w:r>
        <w:rPr>
          <w:spacing w:val="-10"/>
        </w:rPr>
        <w:t xml:space="preserve"> </w:t>
      </w:r>
      <w:r>
        <w:t>creyeron</w:t>
      </w:r>
      <w:r>
        <w:rPr>
          <w:spacing w:val="-10"/>
        </w:rPr>
        <w:t xml:space="preserve"> </w:t>
      </w:r>
      <w:r>
        <w:t>que</w:t>
      </w:r>
      <w:r>
        <w:rPr>
          <w:spacing w:val="-9"/>
        </w:rPr>
        <w:t xml:space="preserve"> </w:t>
      </w:r>
      <w:r>
        <w:t>con</w:t>
      </w:r>
      <w:r>
        <w:rPr>
          <w:spacing w:val="-8"/>
        </w:rPr>
        <w:t xml:space="preserve"> </w:t>
      </w:r>
      <w:r>
        <w:t>la</w:t>
      </w:r>
      <w:r>
        <w:rPr>
          <w:spacing w:val="-9"/>
        </w:rPr>
        <w:t xml:space="preserve"> </w:t>
      </w:r>
      <w:r>
        <w:t xml:space="preserve">revolución bolivariana en Venezuela se abría un espacio para la revolución en Colombia y para ser reconocidos como un grupo beligerante. Cuarto, pensaron que podían liberar territorios y construir un </w:t>
      </w:r>
      <w:proofErr w:type="spellStart"/>
      <w:r>
        <w:t>pseudoestado</w:t>
      </w:r>
      <w:proofErr w:type="spellEnd"/>
      <w:r>
        <w:t xml:space="preserve"> en el sur del país. Y, quinto, consideraron que el paramilitarismo –y todo lo que este representa– no les dejaría hacer la paz.</w:t>
      </w:r>
    </w:p>
    <w:p w:rsidR="003804AC" w:rsidRDefault="00AF18A5" w:rsidP="005821A3">
      <w:r>
        <w:t>En el caso del ELN, las conversaciones en diversos momentos (gobiernos de Samper, Pastrana, Uribe y Santos) se han quedado estancadas en el punto de la «Convención Nacional»,</w:t>
      </w:r>
      <w:r>
        <w:rPr>
          <w:spacing w:val="-13"/>
        </w:rPr>
        <w:t xml:space="preserve"> </w:t>
      </w:r>
      <w:r>
        <w:t>que</w:t>
      </w:r>
      <w:r>
        <w:rPr>
          <w:spacing w:val="-11"/>
        </w:rPr>
        <w:t xml:space="preserve"> </w:t>
      </w:r>
      <w:r>
        <w:t>para</w:t>
      </w:r>
      <w:r>
        <w:rPr>
          <w:spacing w:val="-12"/>
        </w:rPr>
        <w:t xml:space="preserve"> </w:t>
      </w:r>
      <w:r>
        <w:t>esta</w:t>
      </w:r>
      <w:r>
        <w:rPr>
          <w:spacing w:val="-12"/>
        </w:rPr>
        <w:t xml:space="preserve"> </w:t>
      </w:r>
      <w:r>
        <w:t>guerrilla</w:t>
      </w:r>
      <w:r>
        <w:rPr>
          <w:spacing w:val="-11"/>
        </w:rPr>
        <w:t xml:space="preserve"> </w:t>
      </w:r>
      <w:r>
        <w:t>es</w:t>
      </w:r>
      <w:r>
        <w:rPr>
          <w:spacing w:val="-11"/>
        </w:rPr>
        <w:t xml:space="preserve"> </w:t>
      </w:r>
      <w:r>
        <w:t>un</w:t>
      </w:r>
      <w:r>
        <w:rPr>
          <w:spacing w:val="-11"/>
        </w:rPr>
        <w:t xml:space="preserve"> </w:t>
      </w:r>
      <w:r>
        <w:t>ejercicio</w:t>
      </w:r>
      <w:r>
        <w:rPr>
          <w:spacing w:val="-12"/>
        </w:rPr>
        <w:t xml:space="preserve"> </w:t>
      </w:r>
      <w:r>
        <w:t>de</w:t>
      </w:r>
      <w:r>
        <w:rPr>
          <w:spacing w:val="-11"/>
        </w:rPr>
        <w:t xml:space="preserve"> </w:t>
      </w:r>
      <w:r>
        <w:t>democracia</w:t>
      </w:r>
      <w:r>
        <w:rPr>
          <w:spacing w:val="-11"/>
        </w:rPr>
        <w:t xml:space="preserve"> </w:t>
      </w:r>
      <w:r>
        <w:t>directa</w:t>
      </w:r>
      <w:r>
        <w:rPr>
          <w:spacing w:val="-10"/>
        </w:rPr>
        <w:t xml:space="preserve"> </w:t>
      </w:r>
      <w:r>
        <w:t>en</w:t>
      </w:r>
      <w:r>
        <w:rPr>
          <w:spacing w:val="-12"/>
        </w:rPr>
        <w:t xml:space="preserve"> </w:t>
      </w:r>
      <w:r>
        <w:t>la</w:t>
      </w:r>
      <w:r>
        <w:rPr>
          <w:spacing w:val="-11"/>
        </w:rPr>
        <w:t xml:space="preserve"> </w:t>
      </w:r>
      <w:r>
        <w:t>que,</w:t>
      </w:r>
      <w:r>
        <w:rPr>
          <w:spacing w:val="-12"/>
        </w:rPr>
        <w:t xml:space="preserve"> </w:t>
      </w:r>
      <w:r>
        <w:t>a</w:t>
      </w:r>
      <w:r>
        <w:rPr>
          <w:spacing w:val="-11"/>
        </w:rPr>
        <w:t xml:space="preserve"> </w:t>
      </w:r>
      <w:r>
        <w:t>la</w:t>
      </w:r>
      <w:r>
        <w:rPr>
          <w:spacing w:val="-12"/>
        </w:rPr>
        <w:t xml:space="preserve"> </w:t>
      </w:r>
      <w:r>
        <w:rPr>
          <w:spacing w:val="-2"/>
        </w:rPr>
        <w:t>manera</w:t>
      </w:r>
      <w:r w:rsidR="005821A3">
        <w:t xml:space="preserve"> </w:t>
      </w:r>
      <w:r>
        <w:t>de una constituyente popular, diversos sectores rediseñan el régimen y el</w:t>
      </w:r>
      <w:r>
        <w:rPr>
          <w:spacing w:val="-1"/>
        </w:rPr>
        <w:t xml:space="preserve"> </w:t>
      </w:r>
      <w:r>
        <w:t>Estado. Este</w:t>
      </w:r>
      <w:r>
        <w:rPr>
          <w:spacing w:val="-1"/>
        </w:rPr>
        <w:t xml:space="preserve"> </w:t>
      </w:r>
      <w:r>
        <w:t>es un modelo de participación</w:t>
      </w:r>
      <w:r>
        <w:rPr>
          <w:spacing w:val="-1"/>
        </w:rPr>
        <w:t xml:space="preserve"> </w:t>
      </w:r>
      <w:r>
        <w:t>social que</w:t>
      </w:r>
      <w:r>
        <w:rPr>
          <w:spacing w:val="-1"/>
        </w:rPr>
        <w:t xml:space="preserve"> </w:t>
      </w:r>
      <w:r>
        <w:t>aún requiere</w:t>
      </w:r>
      <w:r>
        <w:rPr>
          <w:spacing w:val="-2"/>
        </w:rPr>
        <w:t xml:space="preserve"> </w:t>
      </w:r>
      <w:r>
        <w:t>ser abordado con una</w:t>
      </w:r>
      <w:r>
        <w:rPr>
          <w:spacing w:val="-1"/>
        </w:rPr>
        <w:t xml:space="preserve"> </w:t>
      </w:r>
      <w:r>
        <w:t>dimensión</w:t>
      </w:r>
      <w:r>
        <w:rPr>
          <w:spacing w:val="-1"/>
        </w:rPr>
        <w:t xml:space="preserve"> </w:t>
      </w:r>
      <w:r>
        <w:t>realista, si se quiere una paz completa y con arraigo territorial.</w:t>
      </w:r>
    </w:p>
    <w:p w:rsidR="003804AC" w:rsidRDefault="00AF18A5" w:rsidP="005821A3">
      <w:r>
        <w:t>Para</w:t>
      </w:r>
      <w:r>
        <w:rPr>
          <w:spacing w:val="-11"/>
        </w:rPr>
        <w:t xml:space="preserve"> </w:t>
      </w:r>
      <w:r>
        <w:t>2002,</w:t>
      </w:r>
      <w:r>
        <w:rPr>
          <w:spacing w:val="-11"/>
        </w:rPr>
        <w:t xml:space="preserve"> </w:t>
      </w:r>
      <w:r>
        <w:t>el</w:t>
      </w:r>
      <w:r>
        <w:rPr>
          <w:spacing w:val="-11"/>
        </w:rPr>
        <w:t xml:space="preserve"> </w:t>
      </w:r>
      <w:r>
        <w:t>entramado</w:t>
      </w:r>
      <w:r>
        <w:rPr>
          <w:spacing w:val="-12"/>
        </w:rPr>
        <w:t xml:space="preserve"> </w:t>
      </w:r>
      <w:r>
        <w:t>paramilitar</w:t>
      </w:r>
      <w:r>
        <w:rPr>
          <w:spacing w:val="-11"/>
        </w:rPr>
        <w:t xml:space="preserve"> </w:t>
      </w:r>
      <w:r>
        <w:t>–esa</w:t>
      </w:r>
      <w:r>
        <w:rPr>
          <w:spacing w:val="-11"/>
        </w:rPr>
        <w:t xml:space="preserve"> </w:t>
      </w:r>
      <w:r>
        <w:t>coalición</w:t>
      </w:r>
      <w:r>
        <w:rPr>
          <w:spacing w:val="-11"/>
        </w:rPr>
        <w:t xml:space="preserve"> </w:t>
      </w:r>
      <w:r>
        <w:t>violenta</w:t>
      </w:r>
      <w:r>
        <w:rPr>
          <w:spacing w:val="-11"/>
        </w:rPr>
        <w:t xml:space="preserve"> </w:t>
      </w:r>
      <w:r>
        <w:t>para</w:t>
      </w:r>
      <w:r>
        <w:rPr>
          <w:spacing w:val="-11"/>
        </w:rPr>
        <w:t xml:space="preserve"> </w:t>
      </w:r>
      <w:r>
        <w:t>acumular</w:t>
      </w:r>
      <w:r>
        <w:rPr>
          <w:spacing w:val="-12"/>
        </w:rPr>
        <w:t xml:space="preserve"> </w:t>
      </w:r>
      <w:r>
        <w:t>poder</w:t>
      </w:r>
      <w:r>
        <w:rPr>
          <w:spacing w:val="-11"/>
        </w:rPr>
        <w:t xml:space="preserve"> </w:t>
      </w:r>
      <w:r>
        <w:t>y</w:t>
      </w:r>
      <w:r>
        <w:rPr>
          <w:spacing w:val="-11"/>
        </w:rPr>
        <w:t xml:space="preserve"> </w:t>
      </w:r>
      <w:r>
        <w:t>dinero, conservar</w:t>
      </w:r>
      <w:r>
        <w:rPr>
          <w:spacing w:val="-2"/>
        </w:rPr>
        <w:t xml:space="preserve"> </w:t>
      </w:r>
      <w:r>
        <w:t>el</w:t>
      </w:r>
      <w:r>
        <w:rPr>
          <w:spacing w:val="-3"/>
        </w:rPr>
        <w:t xml:space="preserve"> </w:t>
      </w:r>
      <w:r>
        <w:rPr>
          <w:i/>
        </w:rPr>
        <w:t>statu</w:t>
      </w:r>
      <w:r>
        <w:rPr>
          <w:i/>
          <w:spacing w:val="-2"/>
        </w:rPr>
        <w:t xml:space="preserve"> </w:t>
      </w:r>
      <w:r>
        <w:rPr>
          <w:i/>
        </w:rPr>
        <w:t>quo</w:t>
      </w:r>
      <w:r>
        <w:rPr>
          <w:i/>
          <w:spacing w:val="-2"/>
        </w:rPr>
        <w:t xml:space="preserve"> </w:t>
      </w:r>
      <w:r>
        <w:t>y</w:t>
      </w:r>
      <w:r>
        <w:rPr>
          <w:spacing w:val="-2"/>
        </w:rPr>
        <w:t xml:space="preserve"> </w:t>
      </w:r>
      <w:r>
        <w:t>evitar</w:t>
      </w:r>
      <w:r>
        <w:rPr>
          <w:spacing w:val="-2"/>
        </w:rPr>
        <w:t xml:space="preserve"> </w:t>
      </w:r>
      <w:r>
        <w:t>la</w:t>
      </w:r>
      <w:r>
        <w:rPr>
          <w:spacing w:val="-2"/>
        </w:rPr>
        <w:t xml:space="preserve"> </w:t>
      </w:r>
      <w:r>
        <w:t>democratización,</w:t>
      </w:r>
      <w:r>
        <w:rPr>
          <w:spacing w:val="-2"/>
        </w:rPr>
        <w:t xml:space="preserve"> </w:t>
      </w:r>
      <w:r>
        <w:t>que</w:t>
      </w:r>
      <w:r>
        <w:rPr>
          <w:spacing w:val="-2"/>
        </w:rPr>
        <w:t xml:space="preserve"> </w:t>
      </w:r>
      <w:r>
        <w:t>se</w:t>
      </w:r>
      <w:r>
        <w:rPr>
          <w:spacing w:val="-2"/>
        </w:rPr>
        <w:t xml:space="preserve"> </w:t>
      </w:r>
      <w:r>
        <w:t>expresó</w:t>
      </w:r>
      <w:r>
        <w:rPr>
          <w:spacing w:val="-2"/>
        </w:rPr>
        <w:t xml:space="preserve"> </w:t>
      </w:r>
      <w:r>
        <w:t>en</w:t>
      </w:r>
      <w:r>
        <w:rPr>
          <w:spacing w:val="-2"/>
        </w:rPr>
        <w:t xml:space="preserve"> </w:t>
      </w:r>
      <w:r>
        <w:t>las</w:t>
      </w:r>
      <w:r>
        <w:rPr>
          <w:spacing w:val="-2"/>
        </w:rPr>
        <w:t xml:space="preserve"> </w:t>
      </w:r>
      <w:r>
        <w:t>AUC–</w:t>
      </w:r>
      <w:r>
        <w:rPr>
          <w:spacing w:val="-1"/>
        </w:rPr>
        <w:t xml:space="preserve"> </w:t>
      </w:r>
      <w:r>
        <w:t>creía</w:t>
      </w:r>
      <w:r>
        <w:rPr>
          <w:spacing w:val="-2"/>
        </w:rPr>
        <w:t xml:space="preserve"> </w:t>
      </w:r>
      <w:r>
        <w:t>que</w:t>
      </w:r>
      <w:r>
        <w:rPr>
          <w:spacing w:val="-2"/>
        </w:rPr>
        <w:t xml:space="preserve"> </w:t>
      </w:r>
      <w:r>
        <w:t>ya había ganado la guerra en los territorios integrados del país. Dominaban una parte considerable</w:t>
      </w:r>
      <w:r>
        <w:rPr>
          <w:spacing w:val="-7"/>
        </w:rPr>
        <w:t xml:space="preserve"> </w:t>
      </w:r>
      <w:r>
        <w:t>de</w:t>
      </w:r>
      <w:r>
        <w:rPr>
          <w:spacing w:val="-6"/>
        </w:rPr>
        <w:t xml:space="preserve"> </w:t>
      </w:r>
      <w:r>
        <w:t>las</w:t>
      </w:r>
      <w:r>
        <w:rPr>
          <w:spacing w:val="-6"/>
        </w:rPr>
        <w:t xml:space="preserve"> </w:t>
      </w:r>
      <w:r>
        <w:t>rentas</w:t>
      </w:r>
      <w:r>
        <w:rPr>
          <w:spacing w:val="-6"/>
        </w:rPr>
        <w:t xml:space="preserve"> </w:t>
      </w:r>
      <w:r>
        <w:t>ilícitas</w:t>
      </w:r>
      <w:r>
        <w:rPr>
          <w:spacing w:val="-6"/>
        </w:rPr>
        <w:t xml:space="preserve"> </w:t>
      </w:r>
      <w:r>
        <w:t>y</w:t>
      </w:r>
      <w:r>
        <w:rPr>
          <w:spacing w:val="-6"/>
        </w:rPr>
        <w:t xml:space="preserve"> </w:t>
      </w:r>
      <w:r>
        <w:t>del</w:t>
      </w:r>
      <w:r>
        <w:rPr>
          <w:spacing w:val="-6"/>
        </w:rPr>
        <w:t xml:space="preserve"> </w:t>
      </w:r>
      <w:r>
        <w:t>Estado,</w:t>
      </w:r>
      <w:r>
        <w:rPr>
          <w:spacing w:val="-6"/>
        </w:rPr>
        <w:t xml:space="preserve"> </w:t>
      </w:r>
      <w:r>
        <w:t>y</w:t>
      </w:r>
      <w:r>
        <w:rPr>
          <w:spacing w:val="-7"/>
        </w:rPr>
        <w:t xml:space="preserve"> </w:t>
      </w:r>
      <w:r>
        <w:t>se</w:t>
      </w:r>
      <w:r>
        <w:rPr>
          <w:spacing w:val="-6"/>
        </w:rPr>
        <w:t xml:space="preserve"> </w:t>
      </w:r>
      <w:r>
        <w:t>aprestaban</w:t>
      </w:r>
      <w:r>
        <w:rPr>
          <w:spacing w:val="-6"/>
        </w:rPr>
        <w:t xml:space="preserve"> </w:t>
      </w:r>
      <w:r>
        <w:t>para</w:t>
      </w:r>
      <w:r>
        <w:rPr>
          <w:spacing w:val="-6"/>
        </w:rPr>
        <w:t xml:space="preserve"> </w:t>
      </w:r>
      <w:r>
        <w:t>entrar</w:t>
      </w:r>
      <w:r>
        <w:rPr>
          <w:spacing w:val="-7"/>
        </w:rPr>
        <w:t xml:space="preserve"> </w:t>
      </w:r>
      <w:r>
        <w:t>al</w:t>
      </w:r>
      <w:r>
        <w:rPr>
          <w:spacing w:val="-6"/>
        </w:rPr>
        <w:t xml:space="preserve"> </w:t>
      </w:r>
      <w:r>
        <w:t>sistema</w:t>
      </w:r>
      <w:r>
        <w:rPr>
          <w:spacing w:val="-6"/>
        </w:rPr>
        <w:t xml:space="preserve"> </w:t>
      </w:r>
      <w:r>
        <w:t>político y</w:t>
      </w:r>
      <w:r>
        <w:rPr>
          <w:spacing w:val="-2"/>
        </w:rPr>
        <w:t xml:space="preserve"> </w:t>
      </w:r>
      <w:r>
        <w:t>económico.</w:t>
      </w:r>
      <w:r>
        <w:rPr>
          <w:spacing w:val="-2"/>
        </w:rPr>
        <w:t xml:space="preserve"> </w:t>
      </w:r>
      <w:r>
        <w:t>Se</w:t>
      </w:r>
      <w:r>
        <w:rPr>
          <w:spacing w:val="-2"/>
        </w:rPr>
        <w:t xml:space="preserve"> </w:t>
      </w:r>
      <w:r>
        <w:t>habían</w:t>
      </w:r>
      <w:r>
        <w:rPr>
          <w:spacing w:val="-2"/>
        </w:rPr>
        <w:t xml:space="preserve"> </w:t>
      </w:r>
      <w:r>
        <w:t>firmado</w:t>
      </w:r>
      <w:r>
        <w:rPr>
          <w:spacing w:val="-2"/>
        </w:rPr>
        <w:t xml:space="preserve"> </w:t>
      </w:r>
      <w:r>
        <w:t>los</w:t>
      </w:r>
      <w:r>
        <w:rPr>
          <w:spacing w:val="-2"/>
        </w:rPr>
        <w:t xml:space="preserve"> </w:t>
      </w:r>
      <w:r>
        <w:t>pactos</w:t>
      </w:r>
      <w:r>
        <w:rPr>
          <w:spacing w:val="-2"/>
        </w:rPr>
        <w:t xml:space="preserve"> </w:t>
      </w:r>
      <w:r>
        <w:t>de</w:t>
      </w:r>
      <w:r>
        <w:rPr>
          <w:spacing w:val="-2"/>
        </w:rPr>
        <w:t xml:space="preserve"> </w:t>
      </w:r>
      <w:r>
        <w:t>parapolítica</w:t>
      </w:r>
      <w:r>
        <w:rPr>
          <w:spacing w:val="-2"/>
        </w:rPr>
        <w:t xml:space="preserve"> </w:t>
      </w:r>
      <w:r>
        <w:t>y</w:t>
      </w:r>
      <w:r>
        <w:rPr>
          <w:spacing w:val="-2"/>
        </w:rPr>
        <w:t xml:space="preserve"> </w:t>
      </w:r>
      <w:r>
        <w:t>se</w:t>
      </w:r>
      <w:r>
        <w:rPr>
          <w:spacing w:val="-2"/>
        </w:rPr>
        <w:t xml:space="preserve"> </w:t>
      </w:r>
      <w:r>
        <w:t>habían</w:t>
      </w:r>
      <w:r>
        <w:rPr>
          <w:spacing w:val="-2"/>
        </w:rPr>
        <w:t xml:space="preserve"> </w:t>
      </w:r>
      <w:r>
        <w:t>legalizado</w:t>
      </w:r>
      <w:r>
        <w:rPr>
          <w:spacing w:val="-2"/>
        </w:rPr>
        <w:t xml:space="preserve"> </w:t>
      </w:r>
      <w:r>
        <w:t>por</w:t>
      </w:r>
      <w:r>
        <w:rPr>
          <w:spacing w:val="-3"/>
        </w:rPr>
        <w:t xml:space="preserve"> </w:t>
      </w:r>
      <w:r>
        <w:t>medio de empresas algunos de los «despojos» de tierra que eran el botín de guerra.</w:t>
      </w:r>
    </w:p>
    <w:p w:rsidR="003804AC" w:rsidRDefault="00AF18A5" w:rsidP="005821A3">
      <w:r>
        <w:t>La</w:t>
      </w:r>
      <w:r>
        <w:rPr>
          <w:spacing w:val="-3"/>
        </w:rPr>
        <w:t xml:space="preserve"> </w:t>
      </w:r>
      <w:r>
        <w:t>democracia</w:t>
      </w:r>
      <w:r>
        <w:rPr>
          <w:spacing w:val="-3"/>
        </w:rPr>
        <w:t xml:space="preserve"> </w:t>
      </w:r>
      <w:r>
        <w:t>colombiana</w:t>
      </w:r>
      <w:r>
        <w:rPr>
          <w:spacing w:val="-3"/>
        </w:rPr>
        <w:t xml:space="preserve"> </w:t>
      </w:r>
      <w:r>
        <w:t>tenía</w:t>
      </w:r>
      <w:r>
        <w:rPr>
          <w:spacing w:val="-3"/>
        </w:rPr>
        <w:t xml:space="preserve"> </w:t>
      </w:r>
      <w:r>
        <w:t>las</w:t>
      </w:r>
      <w:r>
        <w:rPr>
          <w:spacing w:val="-4"/>
        </w:rPr>
        <w:t xml:space="preserve"> </w:t>
      </w:r>
      <w:r>
        <w:t>mejores</w:t>
      </w:r>
      <w:r>
        <w:rPr>
          <w:spacing w:val="-3"/>
        </w:rPr>
        <w:t xml:space="preserve"> </w:t>
      </w:r>
      <w:r>
        <w:t>normas</w:t>
      </w:r>
      <w:r>
        <w:rPr>
          <w:spacing w:val="-3"/>
        </w:rPr>
        <w:t xml:space="preserve"> </w:t>
      </w:r>
      <w:r>
        <w:t>posibles,</w:t>
      </w:r>
      <w:r>
        <w:rPr>
          <w:spacing w:val="-3"/>
        </w:rPr>
        <w:t xml:space="preserve"> </w:t>
      </w:r>
      <w:r>
        <w:t>cuidadosamente</w:t>
      </w:r>
      <w:r>
        <w:rPr>
          <w:spacing w:val="-3"/>
        </w:rPr>
        <w:t xml:space="preserve"> </w:t>
      </w:r>
      <w:r>
        <w:t>diseñadas en</w:t>
      </w:r>
      <w:r>
        <w:rPr>
          <w:spacing w:val="-5"/>
        </w:rPr>
        <w:t xml:space="preserve"> </w:t>
      </w:r>
      <w:r>
        <w:t>la</w:t>
      </w:r>
      <w:r>
        <w:rPr>
          <w:spacing w:val="-5"/>
        </w:rPr>
        <w:t xml:space="preserve"> </w:t>
      </w:r>
      <w:r>
        <w:t>Constitución</w:t>
      </w:r>
      <w:r>
        <w:rPr>
          <w:spacing w:val="-5"/>
        </w:rPr>
        <w:t xml:space="preserve"> </w:t>
      </w:r>
      <w:r>
        <w:t>de</w:t>
      </w:r>
      <w:r>
        <w:rPr>
          <w:spacing w:val="-5"/>
        </w:rPr>
        <w:t xml:space="preserve"> </w:t>
      </w:r>
      <w:r>
        <w:t>1991,</w:t>
      </w:r>
      <w:r>
        <w:rPr>
          <w:spacing w:val="-5"/>
        </w:rPr>
        <w:t xml:space="preserve"> </w:t>
      </w:r>
      <w:r>
        <w:t>pero</w:t>
      </w:r>
      <w:r>
        <w:rPr>
          <w:spacing w:val="-5"/>
        </w:rPr>
        <w:t xml:space="preserve"> </w:t>
      </w:r>
      <w:r>
        <w:t>las</w:t>
      </w:r>
      <w:r>
        <w:rPr>
          <w:spacing w:val="-6"/>
        </w:rPr>
        <w:t xml:space="preserve"> </w:t>
      </w:r>
      <w:r>
        <w:t>instituciones</w:t>
      </w:r>
      <w:r>
        <w:rPr>
          <w:spacing w:val="-6"/>
        </w:rPr>
        <w:t xml:space="preserve"> </w:t>
      </w:r>
      <w:r>
        <w:t>estaban</w:t>
      </w:r>
      <w:r>
        <w:rPr>
          <w:spacing w:val="-5"/>
        </w:rPr>
        <w:t xml:space="preserve"> </w:t>
      </w:r>
      <w:r>
        <w:t>en</w:t>
      </w:r>
      <w:r>
        <w:rPr>
          <w:spacing w:val="-6"/>
        </w:rPr>
        <w:t xml:space="preserve"> </w:t>
      </w:r>
      <w:r>
        <w:t>medio</w:t>
      </w:r>
      <w:r>
        <w:rPr>
          <w:spacing w:val="-5"/>
        </w:rPr>
        <w:t xml:space="preserve"> </w:t>
      </w:r>
      <w:r>
        <w:t>de</w:t>
      </w:r>
      <w:r>
        <w:rPr>
          <w:spacing w:val="-5"/>
        </w:rPr>
        <w:t xml:space="preserve"> </w:t>
      </w:r>
      <w:r>
        <w:t>la</w:t>
      </w:r>
      <w:r>
        <w:rPr>
          <w:spacing w:val="-6"/>
        </w:rPr>
        <w:t xml:space="preserve"> </w:t>
      </w:r>
      <w:r>
        <w:t>guerra</w:t>
      </w:r>
      <w:r>
        <w:rPr>
          <w:spacing w:val="-5"/>
        </w:rPr>
        <w:t xml:space="preserve"> </w:t>
      </w:r>
      <w:r>
        <w:t>y</w:t>
      </w:r>
      <w:r>
        <w:rPr>
          <w:spacing w:val="-5"/>
        </w:rPr>
        <w:t xml:space="preserve"> </w:t>
      </w:r>
      <w:r>
        <w:t>al</w:t>
      </w:r>
      <w:r>
        <w:rPr>
          <w:spacing w:val="-4"/>
        </w:rPr>
        <w:t xml:space="preserve"> </w:t>
      </w:r>
      <w:r>
        <w:t>servicio de</w:t>
      </w:r>
      <w:r>
        <w:rPr>
          <w:spacing w:val="-11"/>
        </w:rPr>
        <w:t xml:space="preserve"> </w:t>
      </w:r>
      <w:r>
        <w:t>esta.</w:t>
      </w:r>
      <w:r>
        <w:rPr>
          <w:spacing w:val="-11"/>
        </w:rPr>
        <w:t xml:space="preserve"> </w:t>
      </w:r>
      <w:r>
        <w:t>Muchas</w:t>
      </w:r>
      <w:r>
        <w:rPr>
          <w:spacing w:val="-11"/>
        </w:rPr>
        <w:t xml:space="preserve"> </w:t>
      </w:r>
      <w:r>
        <w:t>sucumbieron</w:t>
      </w:r>
      <w:r>
        <w:rPr>
          <w:spacing w:val="-11"/>
        </w:rPr>
        <w:t xml:space="preserve"> </w:t>
      </w:r>
      <w:r>
        <w:t>bajo</w:t>
      </w:r>
      <w:r>
        <w:rPr>
          <w:spacing w:val="-11"/>
        </w:rPr>
        <w:t xml:space="preserve"> </w:t>
      </w:r>
      <w:r>
        <w:t>la</w:t>
      </w:r>
      <w:r>
        <w:rPr>
          <w:spacing w:val="-12"/>
        </w:rPr>
        <w:t xml:space="preserve"> </w:t>
      </w:r>
      <w:r>
        <w:t>violencia</w:t>
      </w:r>
      <w:r>
        <w:rPr>
          <w:spacing w:val="-11"/>
        </w:rPr>
        <w:t xml:space="preserve"> </w:t>
      </w:r>
      <w:r>
        <w:t>y</w:t>
      </w:r>
      <w:r>
        <w:rPr>
          <w:spacing w:val="-11"/>
        </w:rPr>
        <w:t xml:space="preserve"> </w:t>
      </w:r>
      <w:r>
        <w:t>la</w:t>
      </w:r>
      <w:r>
        <w:rPr>
          <w:spacing w:val="-11"/>
        </w:rPr>
        <w:t xml:space="preserve"> </w:t>
      </w:r>
      <w:r>
        <w:t>corrupción</w:t>
      </w:r>
      <w:r>
        <w:rPr>
          <w:spacing w:val="-12"/>
        </w:rPr>
        <w:t xml:space="preserve"> </w:t>
      </w:r>
      <w:r>
        <w:t>o</w:t>
      </w:r>
      <w:r>
        <w:rPr>
          <w:spacing w:val="-11"/>
        </w:rPr>
        <w:t xml:space="preserve"> </w:t>
      </w:r>
      <w:r>
        <w:t>desviaron</w:t>
      </w:r>
      <w:r>
        <w:rPr>
          <w:spacing w:val="-12"/>
        </w:rPr>
        <w:t xml:space="preserve"> </w:t>
      </w:r>
      <w:r>
        <w:t>sus</w:t>
      </w:r>
      <w:r>
        <w:rPr>
          <w:spacing w:val="-11"/>
        </w:rPr>
        <w:t xml:space="preserve"> </w:t>
      </w:r>
      <w:r>
        <w:t>objetivos</w:t>
      </w:r>
      <w:r>
        <w:rPr>
          <w:spacing w:val="-11"/>
        </w:rPr>
        <w:t xml:space="preserve"> </w:t>
      </w:r>
      <w:r>
        <w:lastRenderedPageBreak/>
        <w:t>para favorecer</w:t>
      </w:r>
      <w:r>
        <w:rPr>
          <w:spacing w:val="-7"/>
        </w:rPr>
        <w:t xml:space="preserve"> </w:t>
      </w:r>
      <w:r>
        <w:t>los</w:t>
      </w:r>
      <w:r>
        <w:rPr>
          <w:spacing w:val="-6"/>
        </w:rPr>
        <w:t xml:space="preserve"> </w:t>
      </w:r>
      <w:r>
        <w:t>intereses</w:t>
      </w:r>
      <w:r>
        <w:rPr>
          <w:spacing w:val="-6"/>
        </w:rPr>
        <w:t xml:space="preserve"> </w:t>
      </w:r>
      <w:r>
        <w:t>de</w:t>
      </w:r>
      <w:r>
        <w:rPr>
          <w:spacing w:val="-6"/>
        </w:rPr>
        <w:t xml:space="preserve"> </w:t>
      </w:r>
      <w:r>
        <w:t>quienes</w:t>
      </w:r>
      <w:r>
        <w:rPr>
          <w:spacing w:val="-7"/>
        </w:rPr>
        <w:t xml:space="preserve"> </w:t>
      </w:r>
      <w:r>
        <w:t>apostaban</w:t>
      </w:r>
      <w:r>
        <w:rPr>
          <w:spacing w:val="-7"/>
        </w:rPr>
        <w:t xml:space="preserve"> </w:t>
      </w:r>
      <w:r>
        <w:t>por</w:t>
      </w:r>
      <w:r>
        <w:rPr>
          <w:spacing w:val="-7"/>
        </w:rPr>
        <w:t xml:space="preserve"> </w:t>
      </w:r>
      <w:r>
        <w:t>la</w:t>
      </w:r>
      <w:r>
        <w:rPr>
          <w:spacing w:val="-6"/>
        </w:rPr>
        <w:t xml:space="preserve"> </w:t>
      </w:r>
      <w:r>
        <w:t>guerra</w:t>
      </w:r>
      <w:r>
        <w:rPr>
          <w:spacing w:val="-7"/>
        </w:rPr>
        <w:t xml:space="preserve"> </w:t>
      </w:r>
      <w:r>
        <w:t>y</w:t>
      </w:r>
      <w:r>
        <w:rPr>
          <w:spacing w:val="-7"/>
        </w:rPr>
        <w:t xml:space="preserve"> </w:t>
      </w:r>
      <w:r>
        <w:t>sus</w:t>
      </w:r>
      <w:r>
        <w:rPr>
          <w:spacing w:val="-6"/>
        </w:rPr>
        <w:t xml:space="preserve"> </w:t>
      </w:r>
      <w:r>
        <w:t>réditos,</w:t>
      </w:r>
      <w:r>
        <w:rPr>
          <w:spacing w:val="-7"/>
        </w:rPr>
        <w:t xml:space="preserve"> </w:t>
      </w:r>
      <w:r>
        <w:t>especialmente</w:t>
      </w:r>
      <w:r>
        <w:rPr>
          <w:spacing w:val="-6"/>
        </w:rPr>
        <w:t xml:space="preserve"> </w:t>
      </w:r>
      <w:r>
        <w:t>desde la</w:t>
      </w:r>
      <w:r>
        <w:rPr>
          <w:spacing w:val="-8"/>
        </w:rPr>
        <w:t xml:space="preserve"> </w:t>
      </w:r>
      <w:r>
        <w:t>extrema</w:t>
      </w:r>
      <w:r>
        <w:rPr>
          <w:spacing w:val="-9"/>
        </w:rPr>
        <w:t xml:space="preserve"> </w:t>
      </w:r>
      <w:r>
        <w:t>derecha.</w:t>
      </w:r>
      <w:r>
        <w:rPr>
          <w:spacing w:val="-9"/>
        </w:rPr>
        <w:t xml:space="preserve"> </w:t>
      </w:r>
      <w:r>
        <w:t>También</w:t>
      </w:r>
      <w:r>
        <w:rPr>
          <w:spacing w:val="-9"/>
        </w:rPr>
        <w:t xml:space="preserve"> </w:t>
      </w:r>
      <w:r>
        <w:t>fueron</w:t>
      </w:r>
      <w:r>
        <w:rPr>
          <w:spacing w:val="-11"/>
        </w:rPr>
        <w:t xml:space="preserve"> </w:t>
      </w:r>
      <w:r>
        <w:t>constreñidas,</w:t>
      </w:r>
      <w:r>
        <w:rPr>
          <w:spacing w:val="-8"/>
        </w:rPr>
        <w:t xml:space="preserve"> </w:t>
      </w:r>
      <w:r>
        <w:t>violentadas</w:t>
      </w:r>
      <w:r>
        <w:rPr>
          <w:spacing w:val="-9"/>
        </w:rPr>
        <w:t xml:space="preserve"> </w:t>
      </w:r>
      <w:r>
        <w:t>y</w:t>
      </w:r>
      <w:r>
        <w:rPr>
          <w:spacing w:val="-8"/>
        </w:rPr>
        <w:t xml:space="preserve"> </w:t>
      </w:r>
      <w:r>
        <w:t>espoleadas</w:t>
      </w:r>
      <w:r>
        <w:rPr>
          <w:spacing w:val="-8"/>
        </w:rPr>
        <w:t xml:space="preserve"> </w:t>
      </w:r>
      <w:r>
        <w:t>por</w:t>
      </w:r>
      <w:r>
        <w:rPr>
          <w:spacing w:val="-9"/>
        </w:rPr>
        <w:t xml:space="preserve"> </w:t>
      </w:r>
      <w:r>
        <w:t>las</w:t>
      </w:r>
      <w:r>
        <w:rPr>
          <w:spacing w:val="-9"/>
        </w:rPr>
        <w:t xml:space="preserve"> </w:t>
      </w:r>
      <w:r>
        <w:t>guerrillas en territorios bajo su control.</w:t>
      </w:r>
    </w:p>
    <w:p w:rsidR="003804AC" w:rsidRDefault="00AF18A5" w:rsidP="005821A3">
      <w:r>
        <w:t>Pero quizá el mayor desafío para la democracia en este periodo oscuro fue justamente el deterioro de los valores y de sus atributos propios. Si el país había votado en 1998 masivamente por la paz, para 2002 había perdido completamente la fe en ella. Hizo carrera la</w:t>
      </w:r>
      <w:r>
        <w:rPr>
          <w:spacing w:val="-5"/>
        </w:rPr>
        <w:t xml:space="preserve"> </w:t>
      </w:r>
      <w:r>
        <w:t>noción</w:t>
      </w:r>
      <w:r>
        <w:rPr>
          <w:spacing w:val="-5"/>
        </w:rPr>
        <w:t xml:space="preserve"> </w:t>
      </w:r>
      <w:r>
        <w:t>de</w:t>
      </w:r>
      <w:r>
        <w:rPr>
          <w:spacing w:val="-6"/>
        </w:rPr>
        <w:t xml:space="preserve"> </w:t>
      </w:r>
      <w:r>
        <w:t>que</w:t>
      </w:r>
      <w:r>
        <w:rPr>
          <w:spacing w:val="-5"/>
        </w:rPr>
        <w:t xml:space="preserve"> </w:t>
      </w:r>
      <w:r>
        <w:t>una</w:t>
      </w:r>
      <w:r>
        <w:rPr>
          <w:spacing w:val="-5"/>
        </w:rPr>
        <w:t xml:space="preserve"> </w:t>
      </w:r>
      <w:r>
        <w:t>solución</w:t>
      </w:r>
      <w:r>
        <w:rPr>
          <w:spacing w:val="-5"/>
        </w:rPr>
        <w:t xml:space="preserve"> </w:t>
      </w:r>
      <w:r>
        <w:t>militar,</w:t>
      </w:r>
      <w:r>
        <w:rPr>
          <w:spacing w:val="-6"/>
        </w:rPr>
        <w:t xml:space="preserve"> </w:t>
      </w:r>
      <w:r>
        <w:t>así</w:t>
      </w:r>
      <w:r>
        <w:rPr>
          <w:spacing w:val="-4"/>
        </w:rPr>
        <w:t xml:space="preserve"> </w:t>
      </w:r>
      <w:r>
        <w:t>no</w:t>
      </w:r>
      <w:r>
        <w:rPr>
          <w:spacing w:val="-5"/>
        </w:rPr>
        <w:t xml:space="preserve"> </w:t>
      </w:r>
      <w:r>
        <w:t>tuviera</w:t>
      </w:r>
      <w:r>
        <w:rPr>
          <w:spacing w:val="-5"/>
        </w:rPr>
        <w:t xml:space="preserve"> </w:t>
      </w:r>
      <w:r>
        <w:t>un</w:t>
      </w:r>
      <w:r>
        <w:rPr>
          <w:spacing w:val="-5"/>
        </w:rPr>
        <w:t xml:space="preserve"> </w:t>
      </w:r>
      <w:r>
        <w:t>desenlace</w:t>
      </w:r>
      <w:r>
        <w:rPr>
          <w:spacing w:val="-5"/>
        </w:rPr>
        <w:t xml:space="preserve"> </w:t>
      </w:r>
      <w:r>
        <w:t>democrático,</w:t>
      </w:r>
      <w:r>
        <w:rPr>
          <w:spacing w:val="-5"/>
        </w:rPr>
        <w:t xml:space="preserve"> </w:t>
      </w:r>
      <w:r>
        <w:t>era</w:t>
      </w:r>
      <w:r>
        <w:rPr>
          <w:spacing w:val="-5"/>
        </w:rPr>
        <w:t xml:space="preserve"> </w:t>
      </w:r>
      <w:r>
        <w:t>deseable. De ese modo, se impuso la idea de sacrificar, sin más, democracia por «seguridad».</w:t>
      </w:r>
    </w:p>
    <w:p w:rsidR="0011361F" w:rsidRDefault="00AF18A5" w:rsidP="004A6EF4">
      <w:pPr>
        <w:pStyle w:val="Ttulo3"/>
        <w:numPr>
          <w:ilvl w:val="1"/>
          <w:numId w:val="16"/>
        </w:numPr>
      </w:pPr>
      <w:bookmarkStart w:id="161" w:name="2.4._El_desenlace_de_la_guerra:_¿democrá"/>
      <w:bookmarkStart w:id="162" w:name="_Toc112399552"/>
      <w:bookmarkEnd w:id="161"/>
      <w:r>
        <w:t>El</w:t>
      </w:r>
      <w:r>
        <w:rPr>
          <w:spacing w:val="-2"/>
        </w:rPr>
        <w:t xml:space="preserve"> </w:t>
      </w:r>
      <w:r w:rsidRPr="005821A3">
        <w:t>desenlace</w:t>
      </w:r>
      <w:r>
        <w:rPr>
          <w:spacing w:val="-1"/>
        </w:rPr>
        <w:t xml:space="preserve"> </w:t>
      </w:r>
      <w:r>
        <w:t>de</w:t>
      </w:r>
      <w:r>
        <w:rPr>
          <w:spacing w:val="-1"/>
        </w:rPr>
        <w:t xml:space="preserve"> </w:t>
      </w:r>
      <w:r>
        <w:t>la</w:t>
      </w:r>
      <w:r>
        <w:rPr>
          <w:spacing w:val="-3"/>
        </w:rPr>
        <w:t xml:space="preserve"> </w:t>
      </w:r>
      <w:r>
        <w:t>guerra:</w:t>
      </w:r>
      <w:r>
        <w:rPr>
          <w:spacing w:val="-1"/>
        </w:rPr>
        <w:t xml:space="preserve"> </w:t>
      </w:r>
      <w:r>
        <w:t>¿democrático</w:t>
      </w:r>
      <w:r>
        <w:rPr>
          <w:spacing w:val="-1"/>
        </w:rPr>
        <w:t xml:space="preserve"> </w:t>
      </w:r>
      <w:r>
        <w:t>o</w:t>
      </w:r>
      <w:r>
        <w:rPr>
          <w:spacing w:val="-3"/>
        </w:rPr>
        <w:t xml:space="preserve"> </w:t>
      </w:r>
      <w:r>
        <w:rPr>
          <w:spacing w:val="-2"/>
        </w:rPr>
        <w:t>antidemocrático?</w:t>
      </w:r>
      <w:bookmarkEnd w:id="162"/>
    </w:p>
    <w:p w:rsidR="003804AC" w:rsidRDefault="00AF18A5" w:rsidP="007416EF">
      <w:r>
        <w:t>Entre 2002 y 2010, durante el gobierno del presidente Álvaro Uribe, se produjo una disputa político-ideológica que comenzaba a mostrar a Colombia como una democracia «normal». De un lado, se configuró un campo de derecha, liderado de manera unánime por Uribe. Del otro,</w:t>
      </w:r>
      <w:r>
        <w:rPr>
          <w:spacing w:val="-5"/>
        </w:rPr>
        <w:t xml:space="preserve"> </w:t>
      </w:r>
      <w:r>
        <w:t>un</w:t>
      </w:r>
      <w:r>
        <w:rPr>
          <w:spacing w:val="-5"/>
        </w:rPr>
        <w:t xml:space="preserve"> </w:t>
      </w:r>
      <w:r>
        <w:t>campo</w:t>
      </w:r>
      <w:r>
        <w:rPr>
          <w:spacing w:val="-5"/>
        </w:rPr>
        <w:t xml:space="preserve"> </w:t>
      </w:r>
      <w:r>
        <w:t>de</w:t>
      </w:r>
      <w:r>
        <w:rPr>
          <w:spacing w:val="-5"/>
        </w:rPr>
        <w:t xml:space="preserve"> </w:t>
      </w:r>
      <w:r>
        <w:t>izquierda</w:t>
      </w:r>
      <w:r>
        <w:rPr>
          <w:spacing w:val="-5"/>
        </w:rPr>
        <w:t xml:space="preserve"> </w:t>
      </w:r>
      <w:r>
        <w:t>menos</w:t>
      </w:r>
      <w:r>
        <w:rPr>
          <w:spacing w:val="-5"/>
        </w:rPr>
        <w:t xml:space="preserve"> </w:t>
      </w:r>
      <w:r>
        <w:t>homogéneo.</w:t>
      </w:r>
      <w:r>
        <w:rPr>
          <w:spacing w:val="-6"/>
        </w:rPr>
        <w:t xml:space="preserve"> </w:t>
      </w:r>
      <w:r>
        <w:t>Sobre</w:t>
      </w:r>
      <w:r>
        <w:rPr>
          <w:spacing w:val="-5"/>
        </w:rPr>
        <w:t xml:space="preserve"> </w:t>
      </w:r>
      <w:r>
        <w:t>la</w:t>
      </w:r>
      <w:r>
        <w:rPr>
          <w:spacing w:val="-5"/>
        </w:rPr>
        <w:t xml:space="preserve"> </w:t>
      </w:r>
      <w:r>
        <w:t>correlación</w:t>
      </w:r>
      <w:r>
        <w:rPr>
          <w:spacing w:val="-5"/>
        </w:rPr>
        <w:t xml:space="preserve"> </w:t>
      </w:r>
      <w:r>
        <w:t>de</w:t>
      </w:r>
      <w:r>
        <w:rPr>
          <w:spacing w:val="-6"/>
        </w:rPr>
        <w:t xml:space="preserve"> </w:t>
      </w:r>
      <w:r>
        <w:t>fuerzas</w:t>
      </w:r>
      <w:r>
        <w:rPr>
          <w:spacing w:val="-6"/>
        </w:rPr>
        <w:t xml:space="preserve"> </w:t>
      </w:r>
      <w:r>
        <w:t>entre</w:t>
      </w:r>
      <w:r>
        <w:rPr>
          <w:spacing w:val="-6"/>
        </w:rPr>
        <w:t xml:space="preserve"> </w:t>
      </w:r>
      <w:r>
        <w:t>ambos campos es interesante observar que, en 2002, Uribe ganó la presidencia con el 54</w:t>
      </w:r>
      <w:r>
        <w:rPr>
          <w:spacing w:val="-2"/>
        </w:rPr>
        <w:t xml:space="preserve"> </w:t>
      </w:r>
      <w:r>
        <w:t>% de los votos en primera vuelta. Al año siguiente, sin embargo, perdió por default el referendo que convocó</w:t>
      </w:r>
      <w:r>
        <w:rPr>
          <w:spacing w:val="24"/>
        </w:rPr>
        <w:t xml:space="preserve"> </w:t>
      </w:r>
      <w:r>
        <w:t>para</w:t>
      </w:r>
      <w:r>
        <w:rPr>
          <w:spacing w:val="26"/>
        </w:rPr>
        <w:t xml:space="preserve"> </w:t>
      </w:r>
      <w:r>
        <w:t>transformar</w:t>
      </w:r>
      <w:r>
        <w:rPr>
          <w:spacing w:val="27"/>
        </w:rPr>
        <w:t xml:space="preserve"> </w:t>
      </w:r>
      <w:r>
        <w:t>el</w:t>
      </w:r>
      <w:r>
        <w:rPr>
          <w:spacing w:val="27"/>
        </w:rPr>
        <w:t xml:space="preserve"> </w:t>
      </w:r>
      <w:r>
        <w:t>Estado</w:t>
      </w:r>
      <w:r>
        <w:rPr>
          <w:spacing w:val="26"/>
        </w:rPr>
        <w:t xml:space="preserve"> </w:t>
      </w:r>
      <w:r>
        <w:t>de</w:t>
      </w:r>
      <w:r>
        <w:rPr>
          <w:spacing w:val="26"/>
        </w:rPr>
        <w:t xml:space="preserve"> </w:t>
      </w:r>
      <w:r>
        <w:t>derecho</w:t>
      </w:r>
      <w:r>
        <w:rPr>
          <w:spacing w:val="25"/>
        </w:rPr>
        <w:t xml:space="preserve"> </w:t>
      </w:r>
      <w:r>
        <w:t>de</w:t>
      </w:r>
      <w:r>
        <w:rPr>
          <w:spacing w:val="26"/>
        </w:rPr>
        <w:t xml:space="preserve"> </w:t>
      </w:r>
      <w:r>
        <w:t>la</w:t>
      </w:r>
      <w:r>
        <w:rPr>
          <w:spacing w:val="26"/>
        </w:rPr>
        <w:t xml:space="preserve"> </w:t>
      </w:r>
      <w:r>
        <w:t>Constitución</w:t>
      </w:r>
      <w:r>
        <w:rPr>
          <w:spacing w:val="27"/>
        </w:rPr>
        <w:t xml:space="preserve"> </w:t>
      </w:r>
      <w:r>
        <w:t>de</w:t>
      </w:r>
      <w:r>
        <w:rPr>
          <w:spacing w:val="26"/>
        </w:rPr>
        <w:t xml:space="preserve"> </w:t>
      </w:r>
      <w:r>
        <w:t>1991</w:t>
      </w:r>
      <w:r>
        <w:rPr>
          <w:spacing w:val="26"/>
        </w:rPr>
        <w:t xml:space="preserve"> </w:t>
      </w:r>
      <w:r>
        <w:t>en</w:t>
      </w:r>
      <w:r>
        <w:rPr>
          <w:spacing w:val="26"/>
        </w:rPr>
        <w:t xml:space="preserve"> </w:t>
      </w:r>
      <w:r>
        <w:t>un</w:t>
      </w:r>
      <w:r>
        <w:rPr>
          <w:spacing w:val="27"/>
        </w:rPr>
        <w:t xml:space="preserve"> </w:t>
      </w:r>
      <w:r>
        <w:rPr>
          <w:spacing w:val="-2"/>
        </w:rPr>
        <w:t>Estado</w:t>
      </w:r>
      <w:r w:rsidR="007416EF">
        <w:rPr>
          <w:spacing w:val="-2"/>
        </w:rPr>
        <w:t xml:space="preserve"> </w:t>
      </w:r>
      <w:r>
        <w:t>comunitario centrado en la figura del líder carismático. Ese mismo año, la izquierda, agrupada</w:t>
      </w:r>
      <w:r>
        <w:rPr>
          <w:spacing w:val="-15"/>
        </w:rPr>
        <w:t xml:space="preserve"> </w:t>
      </w:r>
      <w:r>
        <w:t>en</w:t>
      </w:r>
      <w:r>
        <w:rPr>
          <w:spacing w:val="-15"/>
        </w:rPr>
        <w:t xml:space="preserve"> </w:t>
      </w:r>
      <w:r>
        <w:t>el</w:t>
      </w:r>
      <w:r>
        <w:rPr>
          <w:spacing w:val="-15"/>
        </w:rPr>
        <w:t xml:space="preserve"> </w:t>
      </w:r>
      <w:r>
        <w:t>Polo</w:t>
      </w:r>
      <w:r>
        <w:rPr>
          <w:spacing w:val="-15"/>
        </w:rPr>
        <w:t xml:space="preserve"> </w:t>
      </w:r>
      <w:r>
        <w:t>Democrático</w:t>
      </w:r>
      <w:r>
        <w:rPr>
          <w:spacing w:val="-14"/>
        </w:rPr>
        <w:t xml:space="preserve"> </w:t>
      </w:r>
      <w:r>
        <w:t>Alternativo</w:t>
      </w:r>
      <w:r>
        <w:rPr>
          <w:spacing w:val="-15"/>
        </w:rPr>
        <w:t xml:space="preserve"> </w:t>
      </w:r>
      <w:r>
        <w:t>ganó</w:t>
      </w:r>
      <w:r>
        <w:rPr>
          <w:spacing w:val="-14"/>
        </w:rPr>
        <w:t xml:space="preserve"> </w:t>
      </w:r>
      <w:r>
        <w:t>la</w:t>
      </w:r>
      <w:r>
        <w:rPr>
          <w:spacing w:val="-15"/>
        </w:rPr>
        <w:t xml:space="preserve"> </w:t>
      </w:r>
      <w:r>
        <w:t>Alcaldía</w:t>
      </w:r>
      <w:r>
        <w:rPr>
          <w:spacing w:val="-15"/>
        </w:rPr>
        <w:t xml:space="preserve"> </w:t>
      </w:r>
      <w:r>
        <w:t>de</w:t>
      </w:r>
      <w:r>
        <w:rPr>
          <w:spacing w:val="-14"/>
        </w:rPr>
        <w:t xml:space="preserve"> </w:t>
      </w:r>
      <w:r>
        <w:t>Bogotá</w:t>
      </w:r>
      <w:r>
        <w:rPr>
          <w:spacing w:val="-15"/>
        </w:rPr>
        <w:t xml:space="preserve"> </w:t>
      </w:r>
      <w:r>
        <w:t>y</w:t>
      </w:r>
      <w:r>
        <w:rPr>
          <w:spacing w:val="-14"/>
        </w:rPr>
        <w:t xml:space="preserve"> </w:t>
      </w:r>
      <w:r>
        <w:t>se</w:t>
      </w:r>
      <w:r>
        <w:rPr>
          <w:spacing w:val="-15"/>
        </w:rPr>
        <w:t xml:space="preserve"> </w:t>
      </w:r>
      <w:r>
        <w:t>convirtió,</w:t>
      </w:r>
      <w:r>
        <w:rPr>
          <w:spacing w:val="-15"/>
        </w:rPr>
        <w:t xml:space="preserve"> </w:t>
      </w:r>
      <w:r>
        <w:t>junto a</w:t>
      </w:r>
      <w:r>
        <w:rPr>
          <w:spacing w:val="-2"/>
        </w:rPr>
        <w:t xml:space="preserve"> </w:t>
      </w:r>
      <w:r>
        <w:t>una</w:t>
      </w:r>
      <w:r>
        <w:rPr>
          <w:spacing w:val="-3"/>
        </w:rPr>
        <w:t xml:space="preserve"> </w:t>
      </w:r>
      <w:r>
        <w:t>también</w:t>
      </w:r>
      <w:r>
        <w:rPr>
          <w:spacing w:val="-2"/>
        </w:rPr>
        <w:t xml:space="preserve"> </w:t>
      </w:r>
      <w:r>
        <w:t>amplia</w:t>
      </w:r>
      <w:r>
        <w:rPr>
          <w:spacing w:val="-3"/>
        </w:rPr>
        <w:t xml:space="preserve"> </w:t>
      </w:r>
      <w:r>
        <w:t>centro-izquierda,</w:t>
      </w:r>
      <w:r>
        <w:rPr>
          <w:spacing w:val="-2"/>
        </w:rPr>
        <w:t xml:space="preserve"> </w:t>
      </w:r>
      <w:r>
        <w:t>en</w:t>
      </w:r>
      <w:r>
        <w:rPr>
          <w:spacing w:val="-3"/>
        </w:rPr>
        <w:t xml:space="preserve"> </w:t>
      </w:r>
      <w:r>
        <w:t>la</w:t>
      </w:r>
      <w:r>
        <w:rPr>
          <w:spacing w:val="-3"/>
        </w:rPr>
        <w:t xml:space="preserve"> </w:t>
      </w:r>
      <w:r>
        <w:t>fuerza</w:t>
      </w:r>
      <w:r>
        <w:rPr>
          <w:spacing w:val="-2"/>
        </w:rPr>
        <w:t xml:space="preserve"> </w:t>
      </w:r>
      <w:r>
        <w:t>mayoritaria</w:t>
      </w:r>
      <w:r>
        <w:rPr>
          <w:spacing w:val="-2"/>
        </w:rPr>
        <w:t xml:space="preserve"> </w:t>
      </w:r>
      <w:r>
        <w:t>de</w:t>
      </w:r>
      <w:r>
        <w:rPr>
          <w:spacing w:val="-3"/>
        </w:rPr>
        <w:t xml:space="preserve"> </w:t>
      </w:r>
      <w:r>
        <w:t>la</w:t>
      </w:r>
      <w:r>
        <w:rPr>
          <w:spacing w:val="-3"/>
        </w:rPr>
        <w:t xml:space="preserve"> </w:t>
      </w:r>
      <w:r>
        <w:t>capital,</w:t>
      </w:r>
      <w:r>
        <w:rPr>
          <w:spacing w:val="-2"/>
        </w:rPr>
        <w:t xml:space="preserve"> </w:t>
      </w:r>
      <w:r>
        <w:t>que</w:t>
      </w:r>
      <w:r>
        <w:rPr>
          <w:spacing w:val="-3"/>
        </w:rPr>
        <w:t xml:space="preserve"> </w:t>
      </w:r>
      <w:r>
        <w:t>representa por lo menos la cuarta parte de los votantes del país.</w:t>
      </w:r>
    </w:p>
    <w:p w:rsidR="003804AC" w:rsidRDefault="00AF18A5" w:rsidP="00123953">
      <w:r>
        <w:lastRenderedPageBreak/>
        <w:t>Uribe concentró todo su esfuerzo de gobierno en recuperar militarmente el control territorial</w:t>
      </w:r>
      <w:r>
        <w:rPr>
          <w:spacing w:val="-7"/>
        </w:rPr>
        <w:t xml:space="preserve"> </w:t>
      </w:r>
      <w:r>
        <w:t>donde</w:t>
      </w:r>
      <w:r>
        <w:rPr>
          <w:spacing w:val="-7"/>
        </w:rPr>
        <w:t xml:space="preserve"> </w:t>
      </w:r>
      <w:r>
        <w:t>las</w:t>
      </w:r>
      <w:r>
        <w:rPr>
          <w:spacing w:val="-7"/>
        </w:rPr>
        <w:t xml:space="preserve"> </w:t>
      </w:r>
      <w:r>
        <w:t>guerrillas</w:t>
      </w:r>
      <w:r>
        <w:rPr>
          <w:spacing w:val="-7"/>
        </w:rPr>
        <w:t xml:space="preserve"> </w:t>
      </w:r>
      <w:r>
        <w:t>lo</w:t>
      </w:r>
      <w:r>
        <w:rPr>
          <w:spacing w:val="-7"/>
        </w:rPr>
        <w:t xml:space="preserve"> </w:t>
      </w:r>
      <w:r>
        <w:t>tenían</w:t>
      </w:r>
      <w:r>
        <w:rPr>
          <w:spacing w:val="-7"/>
        </w:rPr>
        <w:t xml:space="preserve"> </w:t>
      </w:r>
      <w:r>
        <w:t>y</w:t>
      </w:r>
      <w:r>
        <w:rPr>
          <w:spacing w:val="-7"/>
        </w:rPr>
        <w:t xml:space="preserve"> </w:t>
      </w:r>
      <w:r>
        <w:t>de</w:t>
      </w:r>
      <w:r>
        <w:rPr>
          <w:spacing w:val="-7"/>
        </w:rPr>
        <w:t xml:space="preserve"> </w:t>
      </w:r>
      <w:r>
        <w:t>manera</w:t>
      </w:r>
      <w:r>
        <w:rPr>
          <w:spacing w:val="-7"/>
        </w:rPr>
        <w:t xml:space="preserve"> </w:t>
      </w:r>
      <w:r>
        <w:t>negociada</w:t>
      </w:r>
      <w:r>
        <w:rPr>
          <w:spacing w:val="-7"/>
        </w:rPr>
        <w:t xml:space="preserve"> </w:t>
      </w:r>
      <w:r>
        <w:t>para</w:t>
      </w:r>
      <w:r>
        <w:rPr>
          <w:spacing w:val="-7"/>
        </w:rPr>
        <w:t xml:space="preserve"> </w:t>
      </w:r>
      <w:r>
        <w:t>el</w:t>
      </w:r>
      <w:r>
        <w:rPr>
          <w:spacing w:val="-7"/>
        </w:rPr>
        <w:t xml:space="preserve"> </w:t>
      </w:r>
      <w:r>
        <w:t>caso</w:t>
      </w:r>
      <w:r>
        <w:rPr>
          <w:spacing w:val="-7"/>
        </w:rPr>
        <w:t xml:space="preserve"> </w:t>
      </w:r>
      <w:r>
        <w:t>de</w:t>
      </w:r>
      <w:r>
        <w:rPr>
          <w:spacing w:val="-7"/>
        </w:rPr>
        <w:t xml:space="preserve"> </w:t>
      </w:r>
      <w:r>
        <w:t>las</w:t>
      </w:r>
      <w:r>
        <w:rPr>
          <w:spacing w:val="-7"/>
        </w:rPr>
        <w:t xml:space="preserve"> </w:t>
      </w:r>
      <w:r>
        <w:t>AUC.</w:t>
      </w:r>
      <w:r>
        <w:rPr>
          <w:spacing w:val="-7"/>
        </w:rPr>
        <w:t xml:space="preserve"> </w:t>
      </w:r>
      <w:r>
        <w:t>Esta estrategia</w:t>
      </w:r>
      <w:r>
        <w:rPr>
          <w:spacing w:val="-3"/>
        </w:rPr>
        <w:t xml:space="preserve"> </w:t>
      </w:r>
      <w:r>
        <w:t>le</w:t>
      </w:r>
      <w:r>
        <w:rPr>
          <w:spacing w:val="-4"/>
        </w:rPr>
        <w:t xml:space="preserve"> </w:t>
      </w:r>
      <w:r>
        <w:t>implicó</w:t>
      </w:r>
      <w:r>
        <w:rPr>
          <w:spacing w:val="-3"/>
        </w:rPr>
        <w:t xml:space="preserve"> </w:t>
      </w:r>
      <w:r>
        <w:t>abrir</w:t>
      </w:r>
      <w:r>
        <w:rPr>
          <w:spacing w:val="-3"/>
        </w:rPr>
        <w:t xml:space="preserve"> </w:t>
      </w:r>
      <w:r>
        <w:t>dos</w:t>
      </w:r>
      <w:r>
        <w:rPr>
          <w:spacing w:val="-3"/>
        </w:rPr>
        <w:t xml:space="preserve"> </w:t>
      </w:r>
      <w:r>
        <w:t>rutas:</w:t>
      </w:r>
      <w:r>
        <w:rPr>
          <w:spacing w:val="-4"/>
        </w:rPr>
        <w:t xml:space="preserve"> </w:t>
      </w:r>
      <w:r>
        <w:t>la</w:t>
      </w:r>
      <w:r>
        <w:rPr>
          <w:spacing w:val="-3"/>
        </w:rPr>
        <w:t xml:space="preserve"> </w:t>
      </w:r>
      <w:r>
        <w:t>guerra</w:t>
      </w:r>
      <w:r>
        <w:rPr>
          <w:spacing w:val="-4"/>
        </w:rPr>
        <w:t xml:space="preserve"> </w:t>
      </w:r>
      <w:r>
        <w:t>contra</w:t>
      </w:r>
      <w:r>
        <w:rPr>
          <w:spacing w:val="-3"/>
        </w:rPr>
        <w:t xml:space="preserve"> </w:t>
      </w:r>
      <w:r>
        <w:t>los</w:t>
      </w:r>
      <w:r>
        <w:rPr>
          <w:spacing w:val="-3"/>
        </w:rPr>
        <w:t xml:space="preserve"> </w:t>
      </w:r>
      <w:r>
        <w:t>insurgentes</w:t>
      </w:r>
      <w:r>
        <w:rPr>
          <w:spacing w:val="-3"/>
        </w:rPr>
        <w:t xml:space="preserve"> </w:t>
      </w:r>
      <w:r>
        <w:t>y</w:t>
      </w:r>
      <w:r>
        <w:rPr>
          <w:spacing w:val="-3"/>
        </w:rPr>
        <w:t xml:space="preserve"> </w:t>
      </w:r>
      <w:r>
        <w:t>la</w:t>
      </w:r>
      <w:r>
        <w:rPr>
          <w:spacing w:val="-3"/>
        </w:rPr>
        <w:t xml:space="preserve"> </w:t>
      </w:r>
      <w:r>
        <w:t>integración</w:t>
      </w:r>
      <w:r>
        <w:rPr>
          <w:spacing w:val="-3"/>
        </w:rPr>
        <w:t xml:space="preserve"> </w:t>
      </w:r>
      <w:r>
        <w:t>política y</w:t>
      </w:r>
      <w:r>
        <w:rPr>
          <w:spacing w:val="-13"/>
        </w:rPr>
        <w:t xml:space="preserve"> </w:t>
      </w:r>
      <w:r>
        <w:t>económica</w:t>
      </w:r>
      <w:r>
        <w:rPr>
          <w:spacing w:val="-14"/>
        </w:rPr>
        <w:t xml:space="preserve"> </w:t>
      </w:r>
      <w:r>
        <w:t>del</w:t>
      </w:r>
      <w:r>
        <w:rPr>
          <w:spacing w:val="-13"/>
        </w:rPr>
        <w:t xml:space="preserve"> </w:t>
      </w:r>
      <w:r>
        <w:t>poder</w:t>
      </w:r>
      <w:r>
        <w:rPr>
          <w:spacing w:val="-13"/>
        </w:rPr>
        <w:t xml:space="preserve"> </w:t>
      </w:r>
      <w:r>
        <w:rPr>
          <w:i/>
        </w:rPr>
        <w:t>de</w:t>
      </w:r>
      <w:r>
        <w:rPr>
          <w:i/>
          <w:spacing w:val="-14"/>
        </w:rPr>
        <w:t xml:space="preserve"> </w:t>
      </w:r>
      <w:r>
        <w:rPr>
          <w:i/>
        </w:rPr>
        <w:t>facto</w:t>
      </w:r>
      <w:r>
        <w:rPr>
          <w:i/>
          <w:spacing w:val="-13"/>
        </w:rPr>
        <w:t xml:space="preserve"> </w:t>
      </w:r>
      <w:r>
        <w:t>que</w:t>
      </w:r>
      <w:r>
        <w:rPr>
          <w:spacing w:val="-14"/>
        </w:rPr>
        <w:t xml:space="preserve"> </w:t>
      </w:r>
      <w:r>
        <w:t>acumuló</w:t>
      </w:r>
      <w:r>
        <w:rPr>
          <w:spacing w:val="-13"/>
        </w:rPr>
        <w:t xml:space="preserve"> </w:t>
      </w:r>
      <w:r>
        <w:t>la</w:t>
      </w:r>
      <w:r>
        <w:rPr>
          <w:spacing w:val="-13"/>
        </w:rPr>
        <w:t xml:space="preserve"> </w:t>
      </w:r>
      <w:r>
        <w:t>coalición</w:t>
      </w:r>
      <w:r>
        <w:rPr>
          <w:spacing w:val="-13"/>
        </w:rPr>
        <w:t xml:space="preserve"> </w:t>
      </w:r>
      <w:r>
        <w:t>violenta</w:t>
      </w:r>
      <w:r>
        <w:rPr>
          <w:spacing w:val="-13"/>
        </w:rPr>
        <w:t xml:space="preserve"> </w:t>
      </w:r>
      <w:r>
        <w:t>contrainsurgente</w:t>
      </w:r>
      <w:r>
        <w:rPr>
          <w:spacing w:val="-14"/>
        </w:rPr>
        <w:t xml:space="preserve"> </w:t>
      </w:r>
      <w:r>
        <w:t>en</w:t>
      </w:r>
      <w:r>
        <w:rPr>
          <w:spacing w:val="-13"/>
        </w:rPr>
        <w:t xml:space="preserve"> </w:t>
      </w:r>
      <w:r>
        <w:t>cabeza del narcotráfico.</w:t>
      </w:r>
    </w:p>
    <w:p w:rsidR="003804AC" w:rsidRDefault="00AF18A5" w:rsidP="00123953">
      <w:r>
        <w:t>Los recursos del Plan Colombia, aprobado durante el gobierno de Pastrana, fueron centrales para fortalecer a las Fuerzas Armadas y rediseñar la estrategia contrainsurgente. Uno de los supuestos de este plan era que fumigando los cultivos de coca también se debilitaría el poder territorial de las guerrillas, que también había perdido zonas de control por la incursión paramilitar.</w:t>
      </w:r>
    </w:p>
    <w:p w:rsidR="003804AC" w:rsidRDefault="00AF18A5" w:rsidP="00123953">
      <w:r>
        <w:t>No obstante, si se observa con detenimiento, la disputa por el poder durante los dos gobiernos de Uribe no era entre este y las guerrillas, sino entre este y la gran coalición que tuvo a su alrededor –en las que confluyeron todo tipo de poderes regionales y las más tradicionales</w:t>
      </w:r>
      <w:r>
        <w:rPr>
          <w:spacing w:val="-2"/>
        </w:rPr>
        <w:t xml:space="preserve"> </w:t>
      </w:r>
      <w:r>
        <w:t>élites</w:t>
      </w:r>
      <w:r>
        <w:rPr>
          <w:spacing w:val="-1"/>
        </w:rPr>
        <w:t xml:space="preserve"> </w:t>
      </w:r>
      <w:r>
        <w:t>nacionales–</w:t>
      </w:r>
      <w:r>
        <w:rPr>
          <w:spacing w:val="-1"/>
        </w:rPr>
        <w:t xml:space="preserve"> </w:t>
      </w:r>
      <w:r>
        <w:t>y</w:t>
      </w:r>
      <w:r>
        <w:rPr>
          <w:spacing w:val="-2"/>
        </w:rPr>
        <w:t xml:space="preserve"> </w:t>
      </w:r>
      <w:r>
        <w:t>las</w:t>
      </w:r>
      <w:r>
        <w:rPr>
          <w:spacing w:val="-2"/>
        </w:rPr>
        <w:t xml:space="preserve"> </w:t>
      </w:r>
      <w:r>
        <w:t>izquierdas</w:t>
      </w:r>
      <w:r>
        <w:rPr>
          <w:spacing w:val="-1"/>
        </w:rPr>
        <w:t xml:space="preserve"> </w:t>
      </w:r>
      <w:r>
        <w:t>civilistas</w:t>
      </w:r>
      <w:r>
        <w:rPr>
          <w:spacing w:val="-1"/>
        </w:rPr>
        <w:t xml:space="preserve"> </w:t>
      </w:r>
      <w:r>
        <w:t>que</w:t>
      </w:r>
      <w:r>
        <w:rPr>
          <w:spacing w:val="-2"/>
        </w:rPr>
        <w:t xml:space="preserve"> </w:t>
      </w:r>
      <w:r>
        <w:t>estaban</w:t>
      </w:r>
      <w:r>
        <w:rPr>
          <w:spacing w:val="-1"/>
        </w:rPr>
        <w:t xml:space="preserve"> </w:t>
      </w:r>
      <w:r>
        <w:t>ganando</w:t>
      </w:r>
      <w:r>
        <w:rPr>
          <w:spacing w:val="-1"/>
        </w:rPr>
        <w:t xml:space="preserve"> </w:t>
      </w:r>
      <w:r>
        <w:t>espacio</w:t>
      </w:r>
      <w:r>
        <w:rPr>
          <w:spacing w:val="-1"/>
        </w:rPr>
        <w:t xml:space="preserve"> </w:t>
      </w:r>
      <w:r>
        <w:t>en</w:t>
      </w:r>
      <w:r>
        <w:rPr>
          <w:spacing w:val="-1"/>
        </w:rPr>
        <w:t xml:space="preserve"> </w:t>
      </w:r>
      <w:r>
        <w:t>la política. Esto fue así porque las guerrillas no tenían apoyo político en el país. Lo habían perdido</w:t>
      </w:r>
      <w:r>
        <w:rPr>
          <w:spacing w:val="-5"/>
        </w:rPr>
        <w:t xml:space="preserve"> </w:t>
      </w:r>
      <w:r>
        <w:t>hacía</w:t>
      </w:r>
      <w:r>
        <w:rPr>
          <w:spacing w:val="-5"/>
        </w:rPr>
        <w:t xml:space="preserve"> </w:t>
      </w:r>
      <w:r>
        <w:t>tiempo</w:t>
      </w:r>
      <w:r>
        <w:rPr>
          <w:spacing w:val="-5"/>
        </w:rPr>
        <w:t xml:space="preserve"> </w:t>
      </w:r>
      <w:r>
        <w:t>ante</w:t>
      </w:r>
      <w:r>
        <w:rPr>
          <w:spacing w:val="-5"/>
        </w:rPr>
        <w:t xml:space="preserve"> </w:t>
      </w:r>
      <w:r>
        <w:t>su</w:t>
      </w:r>
      <w:r>
        <w:rPr>
          <w:spacing w:val="-5"/>
        </w:rPr>
        <w:t xml:space="preserve"> </w:t>
      </w:r>
      <w:r>
        <w:t>obstinación</w:t>
      </w:r>
      <w:r>
        <w:rPr>
          <w:spacing w:val="-5"/>
        </w:rPr>
        <w:t xml:space="preserve"> </w:t>
      </w:r>
      <w:r>
        <w:t>en</w:t>
      </w:r>
      <w:r>
        <w:rPr>
          <w:spacing w:val="-5"/>
        </w:rPr>
        <w:t xml:space="preserve"> </w:t>
      </w:r>
      <w:r>
        <w:t>la</w:t>
      </w:r>
      <w:r>
        <w:rPr>
          <w:spacing w:val="-5"/>
        </w:rPr>
        <w:t xml:space="preserve"> </w:t>
      </w:r>
      <w:r>
        <w:t>vía</w:t>
      </w:r>
      <w:r>
        <w:rPr>
          <w:spacing w:val="-5"/>
        </w:rPr>
        <w:t xml:space="preserve"> </w:t>
      </w:r>
      <w:r>
        <w:t>armada.</w:t>
      </w:r>
      <w:r>
        <w:rPr>
          <w:spacing w:val="-5"/>
        </w:rPr>
        <w:t xml:space="preserve"> </w:t>
      </w:r>
      <w:r>
        <w:t>Así</w:t>
      </w:r>
      <w:r>
        <w:rPr>
          <w:spacing w:val="-4"/>
        </w:rPr>
        <w:t xml:space="preserve"> </w:t>
      </w:r>
      <w:r>
        <w:t>pues,</w:t>
      </w:r>
      <w:r>
        <w:rPr>
          <w:spacing w:val="-5"/>
        </w:rPr>
        <w:t xml:space="preserve"> </w:t>
      </w:r>
      <w:r>
        <w:t>un</w:t>
      </w:r>
      <w:r>
        <w:rPr>
          <w:spacing w:val="-5"/>
        </w:rPr>
        <w:t xml:space="preserve"> </w:t>
      </w:r>
      <w:r>
        <w:t>efectivo</w:t>
      </w:r>
      <w:r>
        <w:rPr>
          <w:spacing w:val="-5"/>
        </w:rPr>
        <w:t xml:space="preserve"> </w:t>
      </w:r>
      <w:r>
        <w:t>mecanismo de propaganda aupado desde el gobierno, de vincular discursivamente a toda la izquierda y sectores democráticos con la insurgencia, creó un escenario de polarización, irascibilidad e intolerancia como no se había visto desde las épocas de la Violencia. Esta construcción simbólica sirvió como mecanismo para justificar detenciones arbitrarias, estigmatización y, en muchos casos, violaciones de los DD. HH.</w:t>
      </w:r>
    </w:p>
    <w:p w:rsidR="003804AC" w:rsidRDefault="00AF18A5" w:rsidP="00123953">
      <w:r>
        <w:t xml:space="preserve">La guerra era un obstáculo para la democratización del país por </w:t>
      </w:r>
      <w:r>
        <w:lastRenderedPageBreak/>
        <w:t>cualquier lado que se le mirara, pero también era funcional al empoderamiento y la persistencia de la coalición violenta</w:t>
      </w:r>
      <w:r>
        <w:rPr>
          <w:spacing w:val="50"/>
          <w:w w:val="150"/>
        </w:rPr>
        <w:t xml:space="preserve"> </w:t>
      </w:r>
      <w:r>
        <w:t>contrainsurgente.</w:t>
      </w:r>
      <w:r>
        <w:rPr>
          <w:spacing w:val="52"/>
          <w:w w:val="150"/>
        </w:rPr>
        <w:t xml:space="preserve"> </w:t>
      </w:r>
      <w:r>
        <w:t>Las</w:t>
      </w:r>
      <w:r>
        <w:rPr>
          <w:spacing w:val="53"/>
          <w:w w:val="150"/>
        </w:rPr>
        <w:t xml:space="preserve"> </w:t>
      </w:r>
      <w:r>
        <w:t>guerrillas,</w:t>
      </w:r>
      <w:r>
        <w:rPr>
          <w:spacing w:val="52"/>
          <w:w w:val="150"/>
        </w:rPr>
        <w:t xml:space="preserve"> </w:t>
      </w:r>
      <w:r>
        <w:t>sus</w:t>
      </w:r>
      <w:r>
        <w:rPr>
          <w:spacing w:val="51"/>
          <w:w w:val="150"/>
        </w:rPr>
        <w:t xml:space="preserve"> </w:t>
      </w:r>
      <w:r>
        <w:t>motivos</w:t>
      </w:r>
      <w:r>
        <w:rPr>
          <w:spacing w:val="52"/>
          <w:w w:val="150"/>
        </w:rPr>
        <w:t xml:space="preserve"> </w:t>
      </w:r>
      <w:r>
        <w:t>y</w:t>
      </w:r>
      <w:r>
        <w:rPr>
          <w:spacing w:val="50"/>
          <w:w w:val="150"/>
        </w:rPr>
        <w:t xml:space="preserve"> </w:t>
      </w:r>
      <w:r>
        <w:t>sus</w:t>
      </w:r>
      <w:r>
        <w:rPr>
          <w:spacing w:val="53"/>
          <w:w w:val="150"/>
        </w:rPr>
        <w:t xml:space="preserve"> </w:t>
      </w:r>
      <w:r>
        <w:t>métodos</w:t>
      </w:r>
      <w:r>
        <w:rPr>
          <w:spacing w:val="52"/>
          <w:w w:val="150"/>
        </w:rPr>
        <w:t xml:space="preserve"> </w:t>
      </w:r>
      <w:r>
        <w:t>perdieron</w:t>
      </w:r>
      <w:r>
        <w:rPr>
          <w:spacing w:val="51"/>
          <w:w w:val="150"/>
        </w:rPr>
        <w:t xml:space="preserve"> </w:t>
      </w:r>
      <w:r>
        <w:rPr>
          <w:spacing w:val="-4"/>
        </w:rPr>
        <w:t>toda</w:t>
      </w:r>
      <w:r w:rsidR="00123953">
        <w:rPr>
          <w:spacing w:val="-4"/>
        </w:rPr>
        <w:t xml:space="preserve"> </w:t>
      </w:r>
      <w:r>
        <w:t>legitimidad entre la población (esto se ha podido observar con claridad por lo menos desde 1996). Al mismo tiempo, su existencia y la confrontación daba legitimidad relativa a las acciones</w:t>
      </w:r>
      <w:r>
        <w:rPr>
          <w:spacing w:val="-4"/>
        </w:rPr>
        <w:t xml:space="preserve"> </w:t>
      </w:r>
      <w:r>
        <w:t>militares,</w:t>
      </w:r>
      <w:r>
        <w:rPr>
          <w:spacing w:val="-5"/>
        </w:rPr>
        <w:t xml:space="preserve"> </w:t>
      </w:r>
      <w:r>
        <w:t>políticas</w:t>
      </w:r>
      <w:r>
        <w:rPr>
          <w:spacing w:val="-4"/>
        </w:rPr>
        <w:t xml:space="preserve"> </w:t>
      </w:r>
      <w:r>
        <w:t>e</w:t>
      </w:r>
      <w:r>
        <w:rPr>
          <w:spacing w:val="-4"/>
        </w:rPr>
        <w:t xml:space="preserve"> </w:t>
      </w:r>
      <w:r>
        <w:t>institucionales</w:t>
      </w:r>
      <w:r>
        <w:rPr>
          <w:spacing w:val="-4"/>
        </w:rPr>
        <w:t xml:space="preserve"> </w:t>
      </w:r>
      <w:r>
        <w:t>del</w:t>
      </w:r>
      <w:r>
        <w:rPr>
          <w:spacing w:val="-5"/>
        </w:rPr>
        <w:t xml:space="preserve"> </w:t>
      </w:r>
      <w:r>
        <w:t>gobierno</w:t>
      </w:r>
      <w:r>
        <w:rPr>
          <w:spacing w:val="-5"/>
        </w:rPr>
        <w:t xml:space="preserve"> </w:t>
      </w:r>
      <w:r>
        <w:t>Uribe.</w:t>
      </w:r>
      <w:r>
        <w:rPr>
          <w:spacing w:val="-5"/>
        </w:rPr>
        <w:t xml:space="preserve"> </w:t>
      </w:r>
      <w:r>
        <w:t>Así</w:t>
      </w:r>
      <w:r>
        <w:rPr>
          <w:spacing w:val="-4"/>
        </w:rPr>
        <w:t xml:space="preserve"> </w:t>
      </w:r>
      <w:r>
        <w:t>fue</w:t>
      </w:r>
      <w:r>
        <w:rPr>
          <w:spacing w:val="-6"/>
        </w:rPr>
        <w:t xml:space="preserve"> </w:t>
      </w:r>
      <w:r>
        <w:t>como</w:t>
      </w:r>
      <w:r>
        <w:rPr>
          <w:spacing w:val="-5"/>
        </w:rPr>
        <w:t xml:space="preserve"> </w:t>
      </w:r>
      <w:r>
        <w:t>en</w:t>
      </w:r>
      <w:r>
        <w:rPr>
          <w:spacing w:val="-5"/>
        </w:rPr>
        <w:t xml:space="preserve"> </w:t>
      </w:r>
      <w:r>
        <w:t>Colombia se</w:t>
      </w:r>
      <w:r>
        <w:rPr>
          <w:spacing w:val="-9"/>
        </w:rPr>
        <w:t xml:space="preserve"> </w:t>
      </w:r>
      <w:r>
        <w:t>modificó</w:t>
      </w:r>
      <w:r>
        <w:rPr>
          <w:spacing w:val="-11"/>
        </w:rPr>
        <w:t xml:space="preserve"> </w:t>
      </w:r>
      <w:r>
        <w:t>la</w:t>
      </w:r>
      <w:r>
        <w:rPr>
          <w:spacing w:val="-9"/>
        </w:rPr>
        <w:t xml:space="preserve"> </w:t>
      </w:r>
      <w:r>
        <w:t>Constitución</w:t>
      </w:r>
      <w:r>
        <w:rPr>
          <w:spacing w:val="-10"/>
        </w:rPr>
        <w:t xml:space="preserve"> </w:t>
      </w:r>
      <w:r>
        <w:t>para</w:t>
      </w:r>
      <w:r>
        <w:rPr>
          <w:spacing w:val="-9"/>
        </w:rPr>
        <w:t xml:space="preserve"> </w:t>
      </w:r>
      <w:r>
        <w:t>permitir</w:t>
      </w:r>
      <w:r>
        <w:rPr>
          <w:spacing w:val="-9"/>
        </w:rPr>
        <w:t xml:space="preserve"> </w:t>
      </w:r>
      <w:r>
        <w:t>la</w:t>
      </w:r>
      <w:r>
        <w:rPr>
          <w:spacing w:val="-9"/>
        </w:rPr>
        <w:t xml:space="preserve"> </w:t>
      </w:r>
      <w:r>
        <w:t>reelección</w:t>
      </w:r>
      <w:r>
        <w:rPr>
          <w:spacing w:val="-10"/>
        </w:rPr>
        <w:t xml:space="preserve"> </w:t>
      </w:r>
      <w:r>
        <w:t>presidencial</w:t>
      </w:r>
      <w:r w:rsidR="00123953">
        <w:rPr>
          <w:rStyle w:val="Refdenotaalpie"/>
        </w:rPr>
        <w:footnoteReference w:id="98"/>
      </w:r>
      <w:r>
        <w:t>.</w:t>
      </w:r>
      <w:r>
        <w:rPr>
          <w:spacing w:val="-10"/>
        </w:rPr>
        <w:t xml:space="preserve"> </w:t>
      </w:r>
      <w:r>
        <w:t>Ese</w:t>
      </w:r>
      <w:r>
        <w:rPr>
          <w:spacing w:val="-10"/>
        </w:rPr>
        <w:t xml:space="preserve"> </w:t>
      </w:r>
      <w:r>
        <w:t>«articulito»</w:t>
      </w:r>
      <w:r>
        <w:rPr>
          <w:spacing w:val="-10"/>
        </w:rPr>
        <w:t xml:space="preserve"> </w:t>
      </w:r>
      <w:r>
        <w:t>que</w:t>
      </w:r>
      <w:r>
        <w:rPr>
          <w:spacing w:val="-9"/>
        </w:rPr>
        <w:t xml:space="preserve"> </w:t>
      </w:r>
      <w:r>
        <w:t>se cambió</w:t>
      </w:r>
      <w:r>
        <w:rPr>
          <w:spacing w:val="-9"/>
        </w:rPr>
        <w:t xml:space="preserve"> </w:t>
      </w:r>
      <w:r>
        <w:t>estuvo</w:t>
      </w:r>
      <w:r>
        <w:rPr>
          <w:spacing w:val="-9"/>
        </w:rPr>
        <w:t xml:space="preserve"> </w:t>
      </w:r>
      <w:r>
        <w:t>a</w:t>
      </w:r>
      <w:r>
        <w:rPr>
          <w:spacing w:val="-9"/>
        </w:rPr>
        <w:t xml:space="preserve"> </w:t>
      </w:r>
      <w:r>
        <w:t>punto</w:t>
      </w:r>
      <w:r>
        <w:rPr>
          <w:spacing w:val="-9"/>
        </w:rPr>
        <w:t xml:space="preserve"> </w:t>
      </w:r>
      <w:r>
        <w:t>de</w:t>
      </w:r>
      <w:r>
        <w:rPr>
          <w:spacing w:val="-9"/>
        </w:rPr>
        <w:t xml:space="preserve"> </w:t>
      </w:r>
      <w:r>
        <w:t>romper</w:t>
      </w:r>
      <w:r>
        <w:rPr>
          <w:spacing w:val="-9"/>
        </w:rPr>
        <w:t xml:space="preserve"> </w:t>
      </w:r>
      <w:r>
        <w:t>el</w:t>
      </w:r>
      <w:r>
        <w:rPr>
          <w:spacing w:val="-10"/>
        </w:rPr>
        <w:t xml:space="preserve"> </w:t>
      </w:r>
      <w:r>
        <w:t>delicado</w:t>
      </w:r>
      <w:r>
        <w:rPr>
          <w:spacing w:val="-9"/>
        </w:rPr>
        <w:t xml:space="preserve"> </w:t>
      </w:r>
      <w:r>
        <w:t>diseño</w:t>
      </w:r>
      <w:r>
        <w:rPr>
          <w:spacing w:val="-9"/>
        </w:rPr>
        <w:t xml:space="preserve"> </w:t>
      </w:r>
      <w:r>
        <w:t>institucional</w:t>
      </w:r>
      <w:r>
        <w:rPr>
          <w:spacing w:val="-9"/>
        </w:rPr>
        <w:t xml:space="preserve"> </w:t>
      </w:r>
      <w:r>
        <w:t>del</w:t>
      </w:r>
      <w:r>
        <w:rPr>
          <w:spacing w:val="-9"/>
        </w:rPr>
        <w:t xml:space="preserve"> </w:t>
      </w:r>
      <w:r>
        <w:t>Estado</w:t>
      </w:r>
      <w:r>
        <w:rPr>
          <w:spacing w:val="-9"/>
        </w:rPr>
        <w:t xml:space="preserve"> </w:t>
      </w:r>
      <w:r>
        <w:t>colombiano</w:t>
      </w:r>
      <w:r>
        <w:rPr>
          <w:spacing w:val="-9"/>
        </w:rPr>
        <w:t xml:space="preserve"> </w:t>
      </w:r>
      <w:r>
        <w:t>y</w:t>
      </w:r>
      <w:r>
        <w:rPr>
          <w:spacing w:val="-9"/>
        </w:rPr>
        <w:t xml:space="preserve"> </w:t>
      </w:r>
      <w:r>
        <w:t>el equilibrio de poderes.</w:t>
      </w:r>
    </w:p>
    <w:p w:rsidR="003804AC" w:rsidRDefault="00AF18A5" w:rsidP="00123953">
      <w:r>
        <w:t>Para 2006, aunque Uribe fue reelegido de manera contundente, la izquierda se convirtió en</w:t>
      </w:r>
      <w:r>
        <w:rPr>
          <w:spacing w:val="-3"/>
        </w:rPr>
        <w:t xml:space="preserve"> </w:t>
      </w:r>
      <w:r>
        <w:t>la</w:t>
      </w:r>
      <w:r>
        <w:rPr>
          <w:spacing w:val="-4"/>
        </w:rPr>
        <w:t xml:space="preserve"> </w:t>
      </w:r>
      <w:r>
        <w:t>segunda</w:t>
      </w:r>
      <w:r>
        <w:rPr>
          <w:spacing w:val="-3"/>
        </w:rPr>
        <w:t xml:space="preserve"> </w:t>
      </w:r>
      <w:r>
        <w:t>fuerza</w:t>
      </w:r>
      <w:r>
        <w:rPr>
          <w:spacing w:val="-3"/>
        </w:rPr>
        <w:t xml:space="preserve"> </w:t>
      </w:r>
      <w:r>
        <w:t>política</w:t>
      </w:r>
      <w:r>
        <w:rPr>
          <w:spacing w:val="-4"/>
        </w:rPr>
        <w:t xml:space="preserve"> </w:t>
      </w:r>
      <w:r>
        <w:t>del</w:t>
      </w:r>
      <w:r>
        <w:rPr>
          <w:spacing w:val="-4"/>
        </w:rPr>
        <w:t xml:space="preserve"> </w:t>
      </w:r>
      <w:r>
        <w:t>país.</w:t>
      </w:r>
      <w:r>
        <w:rPr>
          <w:spacing w:val="-5"/>
        </w:rPr>
        <w:t xml:space="preserve"> </w:t>
      </w:r>
      <w:r>
        <w:t>El</w:t>
      </w:r>
      <w:r>
        <w:rPr>
          <w:spacing w:val="-3"/>
        </w:rPr>
        <w:t xml:space="preserve"> </w:t>
      </w:r>
      <w:r>
        <w:t>bipartidismo</w:t>
      </w:r>
      <w:r>
        <w:rPr>
          <w:spacing w:val="-3"/>
        </w:rPr>
        <w:t xml:space="preserve"> </w:t>
      </w:r>
      <w:r>
        <w:t>había</w:t>
      </w:r>
      <w:r>
        <w:rPr>
          <w:spacing w:val="-4"/>
        </w:rPr>
        <w:t xml:space="preserve"> </w:t>
      </w:r>
      <w:r>
        <w:t>realmente</w:t>
      </w:r>
      <w:r>
        <w:rPr>
          <w:spacing w:val="-3"/>
        </w:rPr>
        <w:t xml:space="preserve"> </w:t>
      </w:r>
      <w:r>
        <w:t>desaparecido.</w:t>
      </w:r>
      <w:r>
        <w:rPr>
          <w:spacing w:val="-3"/>
        </w:rPr>
        <w:t xml:space="preserve"> </w:t>
      </w:r>
      <w:r>
        <w:t>Lo</w:t>
      </w:r>
      <w:r>
        <w:rPr>
          <w:spacing w:val="-3"/>
        </w:rPr>
        <w:t xml:space="preserve"> </w:t>
      </w:r>
      <w:r>
        <w:t>que ocurrió entre 2006 y 2010 debe leerse como un momento crucial para la democracia en Colombia. Para entonces, no había duda de que las guerrillas estaban siendo arrinconadas militarmente, mientras el Estado recuperaba el control de las regiones «integradas» económicamente al país. La guerra se libraba entonces en las regiones selváticas, ricas en materias primas, territorios casi siempre de los pueblos étnicos indígenas y afrodescendientes, disputadas por grupos guerrilleros y otros de carácter esencialmente criminal como los grupos residuales del paramilitarismo.</w:t>
      </w:r>
    </w:p>
    <w:p w:rsidR="003804AC" w:rsidRDefault="00AF18A5" w:rsidP="00123953">
      <w:r>
        <w:t xml:space="preserve">La guerra se libraba entonces, y sobre todo, en las regiones selváticas, ricas en materias primas, territorios casi siempre de los pueblos étnicos </w:t>
      </w:r>
      <w:r>
        <w:lastRenderedPageBreak/>
        <w:t>y afrodescendientes. Estos se los disputaban grupos guerrilleros y otros de carácter criminal, como las estructuras residuales del</w:t>
      </w:r>
      <w:r>
        <w:rPr>
          <w:spacing w:val="-8"/>
        </w:rPr>
        <w:t xml:space="preserve"> </w:t>
      </w:r>
      <w:r>
        <w:t>paramilitarismo.</w:t>
      </w:r>
      <w:r>
        <w:rPr>
          <w:spacing w:val="-8"/>
        </w:rPr>
        <w:t xml:space="preserve"> </w:t>
      </w:r>
      <w:r>
        <w:t>El</w:t>
      </w:r>
      <w:r>
        <w:rPr>
          <w:spacing w:val="-8"/>
        </w:rPr>
        <w:t xml:space="preserve"> </w:t>
      </w:r>
      <w:r>
        <w:t>enemigo</w:t>
      </w:r>
      <w:r>
        <w:rPr>
          <w:spacing w:val="-8"/>
        </w:rPr>
        <w:t xml:space="preserve"> </w:t>
      </w:r>
      <w:r>
        <w:t>histórico</w:t>
      </w:r>
      <w:r>
        <w:rPr>
          <w:spacing w:val="-8"/>
        </w:rPr>
        <w:t xml:space="preserve"> </w:t>
      </w:r>
      <w:r>
        <w:t>del</w:t>
      </w:r>
      <w:r>
        <w:rPr>
          <w:spacing w:val="-8"/>
        </w:rPr>
        <w:t xml:space="preserve"> </w:t>
      </w:r>
      <w:r>
        <w:t>Estado</w:t>
      </w:r>
      <w:r>
        <w:rPr>
          <w:spacing w:val="-8"/>
        </w:rPr>
        <w:t xml:space="preserve"> </w:t>
      </w:r>
      <w:r>
        <w:t>colombiano,</w:t>
      </w:r>
      <w:r>
        <w:rPr>
          <w:spacing w:val="-8"/>
        </w:rPr>
        <w:t xml:space="preserve"> </w:t>
      </w:r>
      <w:r>
        <w:t>a</w:t>
      </w:r>
      <w:r>
        <w:rPr>
          <w:spacing w:val="-8"/>
        </w:rPr>
        <w:t xml:space="preserve"> </w:t>
      </w:r>
      <w:r>
        <w:t>la</w:t>
      </w:r>
      <w:r>
        <w:rPr>
          <w:spacing w:val="-8"/>
        </w:rPr>
        <w:t xml:space="preserve"> </w:t>
      </w:r>
      <w:r>
        <w:t>defensiva,</w:t>
      </w:r>
      <w:r>
        <w:rPr>
          <w:spacing w:val="-8"/>
        </w:rPr>
        <w:t xml:space="preserve"> </w:t>
      </w:r>
      <w:r>
        <w:t>comenzaba a diluir su peligrosidad y sus opciones de llegar o tomarse el poder se esfumaban.</w:t>
      </w:r>
    </w:p>
    <w:p w:rsidR="003804AC" w:rsidRDefault="00AF18A5" w:rsidP="00123953">
      <w:r>
        <w:t>La disputa por el tipo de régimen político, de Estado y de democracia se estaba desarrollando en estos años en la arena institucional. La Corte Constitucional atajó en 2006 la posibilidad de que los narcotraficantes, eje de la coalición violenta contrainsurgente, pudieran</w:t>
      </w:r>
      <w:r>
        <w:rPr>
          <w:spacing w:val="24"/>
        </w:rPr>
        <w:t xml:space="preserve"> </w:t>
      </w:r>
      <w:r>
        <w:t>ingresar</w:t>
      </w:r>
      <w:r>
        <w:rPr>
          <w:spacing w:val="28"/>
        </w:rPr>
        <w:t xml:space="preserve"> </w:t>
      </w:r>
      <w:r>
        <w:t>al</w:t>
      </w:r>
      <w:r>
        <w:rPr>
          <w:spacing w:val="28"/>
        </w:rPr>
        <w:t xml:space="preserve"> </w:t>
      </w:r>
      <w:r>
        <w:t>sistema</w:t>
      </w:r>
      <w:r>
        <w:rPr>
          <w:spacing w:val="28"/>
        </w:rPr>
        <w:t xml:space="preserve"> </w:t>
      </w:r>
      <w:r>
        <w:t>político</w:t>
      </w:r>
      <w:r>
        <w:rPr>
          <w:spacing w:val="27"/>
        </w:rPr>
        <w:t xml:space="preserve"> </w:t>
      </w:r>
      <w:r>
        <w:t>y</w:t>
      </w:r>
      <w:r>
        <w:rPr>
          <w:spacing w:val="26"/>
        </w:rPr>
        <w:t xml:space="preserve"> </w:t>
      </w:r>
      <w:r>
        <w:t>económico</w:t>
      </w:r>
      <w:r>
        <w:rPr>
          <w:spacing w:val="27"/>
        </w:rPr>
        <w:t xml:space="preserve"> </w:t>
      </w:r>
      <w:r>
        <w:t>investidos</w:t>
      </w:r>
      <w:r>
        <w:rPr>
          <w:spacing w:val="28"/>
        </w:rPr>
        <w:t xml:space="preserve"> </w:t>
      </w:r>
      <w:r>
        <w:t>como</w:t>
      </w:r>
      <w:r>
        <w:rPr>
          <w:spacing w:val="27"/>
        </w:rPr>
        <w:t xml:space="preserve"> </w:t>
      </w:r>
      <w:r>
        <w:t>delincuentes</w:t>
      </w:r>
      <w:r>
        <w:rPr>
          <w:spacing w:val="28"/>
        </w:rPr>
        <w:t xml:space="preserve"> </w:t>
      </w:r>
      <w:r>
        <w:rPr>
          <w:spacing w:val="-2"/>
        </w:rPr>
        <w:t>políticos</w:t>
      </w:r>
      <w:bookmarkStart w:id="163" w:name="_bookmark109"/>
      <w:bookmarkEnd w:id="163"/>
      <w:r w:rsidR="00123953">
        <w:rPr>
          <w:spacing w:val="-2"/>
        </w:rPr>
        <w:t xml:space="preserve"> </w:t>
      </w:r>
      <w:r>
        <w:t>luego</w:t>
      </w:r>
      <w:r>
        <w:rPr>
          <w:spacing w:val="-1"/>
        </w:rPr>
        <w:t xml:space="preserve"> </w:t>
      </w:r>
      <w:r>
        <w:t>de</w:t>
      </w:r>
      <w:r>
        <w:rPr>
          <w:spacing w:val="-1"/>
        </w:rPr>
        <w:t xml:space="preserve"> </w:t>
      </w:r>
      <w:r>
        <w:t>las</w:t>
      </w:r>
      <w:r>
        <w:rPr>
          <w:spacing w:val="-2"/>
        </w:rPr>
        <w:t xml:space="preserve"> </w:t>
      </w:r>
      <w:r>
        <w:t>negociaciones</w:t>
      </w:r>
      <w:r>
        <w:rPr>
          <w:spacing w:val="-1"/>
        </w:rPr>
        <w:t xml:space="preserve"> </w:t>
      </w:r>
      <w:r>
        <w:t>entre</w:t>
      </w:r>
      <w:r>
        <w:rPr>
          <w:spacing w:val="-1"/>
        </w:rPr>
        <w:t xml:space="preserve"> </w:t>
      </w:r>
      <w:r>
        <w:t>el</w:t>
      </w:r>
      <w:r>
        <w:rPr>
          <w:spacing w:val="-1"/>
        </w:rPr>
        <w:t xml:space="preserve"> </w:t>
      </w:r>
      <w:r>
        <w:t>gobierno</w:t>
      </w:r>
      <w:r>
        <w:rPr>
          <w:spacing w:val="-1"/>
        </w:rPr>
        <w:t xml:space="preserve"> </w:t>
      </w:r>
      <w:r>
        <w:t>y</w:t>
      </w:r>
      <w:r>
        <w:rPr>
          <w:spacing w:val="-2"/>
        </w:rPr>
        <w:t xml:space="preserve"> </w:t>
      </w:r>
      <w:r>
        <w:t>las</w:t>
      </w:r>
      <w:r>
        <w:rPr>
          <w:spacing w:val="-1"/>
        </w:rPr>
        <w:t xml:space="preserve"> </w:t>
      </w:r>
      <w:r>
        <w:t>AUC</w:t>
      </w:r>
      <w:r>
        <w:rPr>
          <w:spacing w:val="-2"/>
        </w:rPr>
        <w:t xml:space="preserve"> </w:t>
      </w:r>
      <w:r>
        <w:t>que</w:t>
      </w:r>
      <w:r>
        <w:rPr>
          <w:spacing w:val="-1"/>
        </w:rPr>
        <w:t xml:space="preserve"> </w:t>
      </w:r>
      <w:r>
        <w:t>llevaron</w:t>
      </w:r>
      <w:r>
        <w:rPr>
          <w:spacing w:val="-2"/>
        </w:rPr>
        <w:t xml:space="preserve"> </w:t>
      </w:r>
      <w:r>
        <w:t>a</w:t>
      </w:r>
      <w:r>
        <w:rPr>
          <w:spacing w:val="-1"/>
        </w:rPr>
        <w:t xml:space="preserve"> </w:t>
      </w:r>
      <w:r>
        <w:t>su</w:t>
      </w:r>
      <w:r>
        <w:rPr>
          <w:spacing w:val="-2"/>
        </w:rPr>
        <w:t xml:space="preserve"> </w:t>
      </w:r>
      <w:r>
        <w:t>desarme</w:t>
      </w:r>
      <w:r>
        <w:rPr>
          <w:spacing w:val="-1"/>
        </w:rPr>
        <w:t xml:space="preserve"> </w:t>
      </w:r>
      <w:r>
        <w:t>parcial</w:t>
      </w:r>
      <w:r w:rsidR="00123953">
        <w:rPr>
          <w:rStyle w:val="Refdenotaalpie"/>
        </w:rPr>
        <w:footnoteReference w:id="99"/>
      </w:r>
      <w:r>
        <w:t>. Al</w:t>
      </w:r>
      <w:r>
        <w:rPr>
          <w:spacing w:val="-2"/>
        </w:rPr>
        <w:t xml:space="preserve"> </w:t>
      </w:r>
      <w:r>
        <w:t>tumbar</w:t>
      </w:r>
      <w:r>
        <w:rPr>
          <w:spacing w:val="-2"/>
        </w:rPr>
        <w:t xml:space="preserve"> </w:t>
      </w:r>
      <w:r>
        <w:t>la</w:t>
      </w:r>
      <w:r>
        <w:rPr>
          <w:spacing w:val="-4"/>
        </w:rPr>
        <w:t xml:space="preserve"> </w:t>
      </w:r>
      <w:r>
        <w:t>figura</w:t>
      </w:r>
      <w:r>
        <w:rPr>
          <w:spacing w:val="-2"/>
        </w:rPr>
        <w:t xml:space="preserve"> </w:t>
      </w:r>
      <w:r>
        <w:t>de</w:t>
      </w:r>
      <w:r>
        <w:rPr>
          <w:spacing w:val="-2"/>
        </w:rPr>
        <w:t xml:space="preserve"> </w:t>
      </w:r>
      <w:r>
        <w:t>la</w:t>
      </w:r>
      <w:r>
        <w:rPr>
          <w:spacing w:val="-4"/>
        </w:rPr>
        <w:t xml:space="preserve"> </w:t>
      </w:r>
      <w:r>
        <w:t>«sedición»</w:t>
      </w:r>
      <w:r>
        <w:rPr>
          <w:spacing w:val="-3"/>
        </w:rPr>
        <w:t xml:space="preserve"> </w:t>
      </w:r>
      <w:r>
        <w:t>en</w:t>
      </w:r>
      <w:r>
        <w:rPr>
          <w:spacing w:val="-3"/>
        </w:rPr>
        <w:t xml:space="preserve"> </w:t>
      </w:r>
      <w:r>
        <w:t>la</w:t>
      </w:r>
      <w:r>
        <w:rPr>
          <w:spacing w:val="-2"/>
        </w:rPr>
        <w:t xml:space="preserve"> </w:t>
      </w:r>
      <w:r>
        <w:t>Ley</w:t>
      </w:r>
      <w:r>
        <w:rPr>
          <w:spacing w:val="-3"/>
        </w:rPr>
        <w:t xml:space="preserve"> </w:t>
      </w:r>
      <w:r>
        <w:t>de</w:t>
      </w:r>
      <w:r>
        <w:rPr>
          <w:spacing w:val="-2"/>
        </w:rPr>
        <w:t xml:space="preserve"> </w:t>
      </w:r>
      <w:r>
        <w:t>Justicia</w:t>
      </w:r>
      <w:r>
        <w:rPr>
          <w:spacing w:val="-2"/>
        </w:rPr>
        <w:t xml:space="preserve"> </w:t>
      </w:r>
      <w:r>
        <w:t>y</w:t>
      </w:r>
      <w:r>
        <w:rPr>
          <w:spacing w:val="-3"/>
        </w:rPr>
        <w:t xml:space="preserve"> </w:t>
      </w:r>
      <w:r>
        <w:t>Paz,</w:t>
      </w:r>
      <w:r>
        <w:rPr>
          <w:spacing w:val="-3"/>
        </w:rPr>
        <w:t xml:space="preserve"> </w:t>
      </w:r>
      <w:r>
        <w:t>la</w:t>
      </w:r>
      <w:r>
        <w:rPr>
          <w:spacing w:val="-2"/>
        </w:rPr>
        <w:t xml:space="preserve"> </w:t>
      </w:r>
      <w:r>
        <w:t>Corte</w:t>
      </w:r>
      <w:r>
        <w:rPr>
          <w:spacing w:val="-2"/>
        </w:rPr>
        <w:t xml:space="preserve"> </w:t>
      </w:r>
      <w:r>
        <w:t>le</w:t>
      </w:r>
      <w:r>
        <w:rPr>
          <w:spacing w:val="-2"/>
        </w:rPr>
        <w:t xml:space="preserve"> </w:t>
      </w:r>
      <w:r>
        <w:t>dio</w:t>
      </w:r>
      <w:r>
        <w:rPr>
          <w:spacing w:val="-3"/>
        </w:rPr>
        <w:t xml:space="preserve"> </w:t>
      </w:r>
      <w:r>
        <w:t>una</w:t>
      </w:r>
      <w:r>
        <w:rPr>
          <w:spacing w:val="-2"/>
        </w:rPr>
        <w:t xml:space="preserve"> </w:t>
      </w:r>
      <w:r>
        <w:t>estocada al corazón del proceso de desarme y legalización de las AUC. No podrían participar en política; sus bienes, que antes se pudieron considerar parte de una renta para sostener la guerra, quedaban expósitos; y, lo más importante, los jefes paramilitares podían ser extraditados, lo que efectivamente sucedió con catorce de ellos, en mayo de 2008.</w:t>
      </w:r>
    </w:p>
    <w:p w:rsidR="003804AC" w:rsidRDefault="00AF18A5" w:rsidP="00123953">
      <w:r>
        <w:t>La Corte Suprema de Justicia también investigó a la tercera parte del Congreso y a alcaldes, gobernadores y otros funcionarios que formaban parte de la coalición violenta contrainsurgente. Varios paramilitares evidenciaron los nexos entre el DAS y miembros de alto</w:t>
      </w:r>
      <w:r>
        <w:rPr>
          <w:spacing w:val="-15"/>
        </w:rPr>
        <w:t xml:space="preserve"> </w:t>
      </w:r>
      <w:r>
        <w:t>rango</w:t>
      </w:r>
      <w:r>
        <w:rPr>
          <w:spacing w:val="-15"/>
        </w:rPr>
        <w:t xml:space="preserve"> </w:t>
      </w:r>
      <w:r>
        <w:t>de</w:t>
      </w:r>
      <w:r>
        <w:rPr>
          <w:spacing w:val="-15"/>
        </w:rPr>
        <w:t xml:space="preserve"> </w:t>
      </w:r>
      <w:r>
        <w:t>la</w:t>
      </w:r>
      <w:r>
        <w:rPr>
          <w:spacing w:val="-15"/>
        </w:rPr>
        <w:t xml:space="preserve"> </w:t>
      </w:r>
      <w:r>
        <w:t>fuerza</w:t>
      </w:r>
      <w:r>
        <w:rPr>
          <w:spacing w:val="-15"/>
        </w:rPr>
        <w:t xml:space="preserve"> </w:t>
      </w:r>
      <w:r>
        <w:t>pública,</w:t>
      </w:r>
      <w:r>
        <w:rPr>
          <w:spacing w:val="-15"/>
        </w:rPr>
        <w:t xml:space="preserve"> </w:t>
      </w:r>
      <w:r>
        <w:t>en</w:t>
      </w:r>
      <w:r>
        <w:rPr>
          <w:spacing w:val="-15"/>
        </w:rPr>
        <w:t xml:space="preserve"> </w:t>
      </w:r>
      <w:r>
        <w:t>esa</w:t>
      </w:r>
      <w:r>
        <w:rPr>
          <w:spacing w:val="-15"/>
        </w:rPr>
        <w:t xml:space="preserve"> </w:t>
      </w:r>
      <w:r>
        <w:t>gran</w:t>
      </w:r>
      <w:r>
        <w:rPr>
          <w:spacing w:val="-15"/>
        </w:rPr>
        <w:t xml:space="preserve"> </w:t>
      </w:r>
      <w:r>
        <w:t>acumulación</w:t>
      </w:r>
      <w:r>
        <w:rPr>
          <w:spacing w:val="-15"/>
        </w:rPr>
        <w:t xml:space="preserve"> </w:t>
      </w:r>
      <w:r>
        <w:t>de</w:t>
      </w:r>
      <w:r>
        <w:rPr>
          <w:spacing w:val="-15"/>
        </w:rPr>
        <w:t xml:space="preserve"> </w:t>
      </w:r>
      <w:r>
        <w:t>poder</w:t>
      </w:r>
      <w:r>
        <w:rPr>
          <w:spacing w:val="-15"/>
        </w:rPr>
        <w:t xml:space="preserve"> </w:t>
      </w:r>
      <w:r>
        <w:t>que</w:t>
      </w:r>
      <w:r>
        <w:rPr>
          <w:spacing w:val="-15"/>
        </w:rPr>
        <w:t xml:space="preserve"> </w:t>
      </w:r>
      <w:r>
        <w:t>se</w:t>
      </w:r>
      <w:r>
        <w:rPr>
          <w:spacing w:val="-15"/>
        </w:rPr>
        <w:t xml:space="preserve"> </w:t>
      </w:r>
      <w:r>
        <w:t>había</w:t>
      </w:r>
      <w:r>
        <w:rPr>
          <w:spacing w:val="-15"/>
        </w:rPr>
        <w:t xml:space="preserve"> </w:t>
      </w:r>
      <w:r>
        <w:t>hecho</w:t>
      </w:r>
      <w:r>
        <w:rPr>
          <w:spacing w:val="-15"/>
        </w:rPr>
        <w:t xml:space="preserve"> </w:t>
      </w:r>
      <w:r>
        <w:t xml:space="preserve">mientras se libraba la contrainsurgencia. La otra pieza que se empezó a dibujar fue la del botín de guerra del que se habían apropiado </w:t>
      </w:r>
      <w:r>
        <w:lastRenderedPageBreak/>
        <w:t>importantes élites regionales: la tierra. Se mostró, por ejemplo, que instituciones llamadas a dar cuenta de la buena</w:t>
      </w:r>
      <w:r>
        <w:rPr>
          <w:spacing w:val="-1"/>
        </w:rPr>
        <w:t xml:space="preserve"> </w:t>
      </w:r>
      <w:r>
        <w:t>fe pública, como las notarías o el</w:t>
      </w:r>
      <w:r>
        <w:rPr>
          <w:spacing w:val="-3"/>
        </w:rPr>
        <w:t xml:space="preserve"> </w:t>
      </w:r>
      <w:r>
        <w:t>Instituto</w:t>
      </w:r>
      <w:r>
        <w:rPr>
          <w:spacing w:val="-6"/>
        </w:rPr>
        <w:t xml:space="preserve"> </w:t>
      </w:r>
      <w:r>
        <w:t>Colombiano</w:t>
      </w:r>
      <w:r>
        <w:rPr>
          <w:spacing w:val="-5"/>
        </w:rPr>
        <w:t xml:space="preserve"> </w:t>
      </w:r>
      <w:r>
        <w:t>de</w:t>
      </w:r>
      <w:r>
        <w:rPr>
          <w:spacing w:val="-3"/>
        </w:rPr>
        <w:t xml:space="preserve"> </w:t>
      </w:r>
      <w:r>
        <w:t>Desarrollo</w:t>
      </w:r>
      <w:r>
        <w:rPr>
          <w:spacing w:val="-3"/>
        </w:rPr>
        <w:t xml:space="preserve"> </w:t>
      </w:r>
      <w:r>
        <w:t>Rural</w:t>
      </w:r>
      <w:r>
        <w:rPr>
          <w:spacing w:val="-4"/>
        </w:rPr>
        <w:t xml:space="preserve"> </w:t>
      </w:r>
      <w:r>
        <w:t>(</w:t>
      </w:r>
      <w:proofErr w:type="spellStart"/>
      <w:r>
        <w:t>Incoder</w:t>
      </w:r>
      <w:proofErr w:type="spellEnd"/>
      <w:r>
        <w:t>)</w:t>
      </w:r>
      <w:r>
        <w:rPr>
          <w:spacing w:val="-4"/>
        </w:rPr>
        <w:t xml:space="preserve"> </w:t>
      </w:r>
      <w:r>
        <w:t>(que</w:t>
      </w:r>
      <w:r>
        <w:rPr>
          <w:spacing w:val="-3"/>
        </w:rPr>
        <w:t xml:space="preserve"> </w:t>
      </w:r>
      <w:r>
        <w:t>había</w:t>
      </w:r>
      <w:r>
        <w:rPr>
          <w:spacing w:val="-4"/>
        </w:rPr>
        <w:t xml:space="preserve"> </w:t>
      </w:r>
      <w:r>
        <w:t>reemplazado</w:t>
      </w:r>
      <w:r>
        <w:rPr>
          <w:spacing w:val="-3"/>
        </w:rPr>
        <w:t xml:space="preserve"> </w:t>
      </w:r>
      <w:r>
        <w:t>al</w:t>
      </w:r>
      <w:r>
        <w:rPr>
          <w:spacing w:val="-4"/>
        </w:rPr>
        <w:t xml:space="preserve"> </w:t>
      </w:r>
      <w:proofErr w:type="spellStart"/>
      <w:r>
        <w:t>Incora</w:t>
      </w:r>
      <w:proofErr w:type="spellEnd"/>
      <w:r>
        <w:t>),</w:t>
      </w:r>
      <w:r>
        <w:rPr>
          <w:spacing w:val="-5"/>
        </w:rPr>
        <w:t xml:space="preserve"> </w:t>
      </w:r>
      <w:r>
        <w:t>se habían prestado para el robo de tierras.</w:t>
      </w:r>
    </w:p>
    <w:p w:rsidR="0011361F" w:rsidRDefault="00AF18A5" w:rsidP="00123953">
      <w:r>
        <w:t>Durante</w:t>
      </w:r>
      <w:r>
        <w:rPr>
          <w:spacing w:val="-7"/>
        </w:rPr>
        <w:t xml:space="preserve"> </w:t>
      </w:r>
      <w:r>
        <w:t>esta</w:t>
      </w:r>
      <w:r>
        <w:rPr>
          <w:spacing w:val="-8"/>
        </w:rPr>
        <w:t xml:space="preserve"> </w:t>
      </w:r>
      <w:r>
        <w:t>primera</w:t>
      </w:r>
      <w:r>
        <w:rPr>
          <w:spacing w:val="-8"/>
        </w:rPr>
        <w:t xml:space="preserve"> </w:t>
      </w:r>
      <w:r>
        <w:t>década</w:t>
      </w:r>
      <w:r>
        <w:rPr>
          <w:spacing w:val="-7"/>
        </w:rPr>
        <w:t xml:space="preserve"> </w:t>
      </w:r>
      <w:r>
        <w:t>del</w:t>
      </w:r>
      <w:r>
        <w:rPr>
          <w:spacing w:val="-8"/>
        </w:rPr>
        <w:t xml:space="preserve"> </w:t>
      </w:r>
      <w:r>
        <w:t>milenio</w:t>
      </w:r>
      <w:r>
        <w:rPr>
          <w:spacing w:val="-7"/>
        </w:rPr>
        <w:t xml:space="preserve"> </w:t>
      </w:r>
      <w:r>
        <w:t>disminuyó</w:t>
      </w:r>
      <w:r>
        <w:rPr>
          <w:spacing w:val="-7"/>
        </w:rPr>
        <w:t xml:space="preserve"> </w:t>
      </w:r>
      <w:r>
        <w:t>la</w:t>
      </w:r>
      <w:r>
        <w:rPr>
          <w:spacing w:val="-7"/>
        </w:rPr>
        <w:t xml:space="preserve"> </w:t>
      </w:r>
      <w:r>
        <w:t>violencia</w:t>
      </w:r>
      <w:r>
        <w:rPr>
          <w:spacing w:val="-7"/>
        </w:rPr>
        <w:t xml:space="preserve"> </w:t>
      </w:r>
      <w:r>
        <w:t>–aunque</w:t>
      </w:r>
      <w:r>
        <w:rPr>
          <w:spacing w:val="-8"/>
        </w:rPr>
        <w:t xml:space="preserve"> </w:t>
      </w:r>
      <w:r>
        <w:t>hubo</w:t>
      </w:r>
      <w:r>
        <w:rPr>
          <w:spacing w:val="-7"/>
        </w:rPr>
        <w:t xml:space="preserve"> </w:t>
      </w:r>
      <w:r>
        <w:t>un</w:t>
      </w:r>
      <w:r>
        <w:rPr>
          <w:spacing w:val="-7"/>
        </w:rPr>
        <w:t xml:space="preserve"> </w:t>
      </w:r>
      <w:r>
        <w:t>pico</w:t>
      </w:r>
      <w:r>
        <w:rPr>
          <w:spacing w:val="-7"/>
        </w:rPr>
        <w:t xml:space="preserve"> </w:t>
      </w:r>
      <w:r>
        <w:t>en 2007 por las ejecuciones extrajudiciales–, pero se deterioró el clima democrático, que fue pugnaz y rico en señalamientos, persecución y estigmatización. Las instituciones quedaron afectadas por la forma en que las lógicas y los intereses de la guerra entraron en ellas o se profundizaron.</w:t>
      </w:r>
      <w:r>
        <w:rPr>
          <w:spacing w:val="-7"/>
        </w:rPr>
        <w:t xml:space="preserve"> </w:t>
      </w:r>
      <w:r>
        <w:t>Un</w:t>
      </w:r>
      <w:r>
        <w:rPr>
          <w:spacing w:val="-7"/>
        </w:rPr>
        <w:t xml:space="preserve"> </w:t>
      </w:r>
      <w:r>
        <w:t>ejemplo</w:t>
      </w:r>
      <w:r>
        <w:rPr>
          <w:spacing w:val="-7"/>
        </w:rPr>
        <w:t xml:space="preserve"> </w:t>
      </w:r>
      <w:r>
        <w:t>es</w:t>
      </w:r>
      <w:r>
        <w:rPr>
          <w:spacing w:val="-7"/>
        </w:rPr>
        <w:t xml:space="preserve"> </w:t>
      </w:r>
      <w:r>
        <w:t>el</w:t>
      </w:r>
      <w:r>
        <w:rPr>
          <w:spacing w:val="-7"/>
        </w:rPr>
        <w:t xml:space="preserve"> </w:t>
      </w:r>
      <w:r>
        <w:t>Congreso,</w:t>
      </w:r>
      <w:r>
        <w:rPr>
          <w:spacing w:val="-7"/>
        </w:rPr>
        <w:t xml:space="preserve"> </w:t>
      </w:r>
      <w:r>
        <w:t>que</w:t>
      </w:r>
      <w:r>
        <w:rPr>
          <w:spacing w:val="-8"/>
        </w:rPr>
        <w:t xml:space="preserve"> </w:t>
      </w:r>
      <w:r>
        <w:t>nunca</w:t>
      </w:r>
      <w:r>
        <w:rPr>
          <w:spacing w:val="-7"/>
        </w:rPr>
        <w:t xml:space="preserve"> </w:t>
      </w:r>
      <w:r>
        <w:t>ha</w:t>
      </w:r>
      <w:r>
        <w:rPr>
          <w:spacing w:val="-7"/>
        </w:rPr>
        <w:t xml:space="preserve"> </w:t>
      </w:r>
      <w:r>
        <w:t>logrado</w:t>
      </w:r>
      <w:r>
        <w:rPr>
          <w:spacing w:val="-7"/>
        </w:rPr>
        <w:t xml:space="preserve"> </w:t>
      </w:r>
      <w:r>
        <w:t>hacer</w:t>
      </w:r>
      <w:r>
        <w:rPr>
          <w:spacing w:val="-7"/>
        </w:rPr>
        <w:t xml:space="preserve"> </w:t>
      </w:r>
      <w:r>
        <w:t>un</w:t>
      </w:r>
      <w:r>
        <w:rPr>
          <w:spacing w:val="-7"/>
        </w:rPr>
        <w:t xml:space="preserve"> </w:t>
      </w:r>
      <w:r>
        <w:t>pare</w:t>
      </w:r>
      <w:r>
        <w:rPr>
          <w:spacing w:val="-7"/>
        </w:rPr>
        <w:t xml:space="preserve"> </w:t>
      </w:r>
      <w:r>
        <w:t>o</w:t>
      </w:r>
      <w:r>
        <w:rPr>
          <w:spacing w:val="-7"/>
        </w:rPr>
        <w:t xml:space="preserve"> </w:t>
      </w:r>
      <w:r>
        <w:t>un</w:t>
      </w:r>
      <w:r>
        <w:rPr>
          <w:spacing w:val="-7"/>
        </w:rPr>
        <w:t xml:space="preserve"> </w:t>
      </w:r>
      <w:r>
        <w:t>examen autocrítico</w:t>
      </w:r>
      <w:r>
        <w:rPr>
          <w:spacing w:val="-2"/>
        </w:rPr>
        <w:t xml:space="preserve"> </w:t>
      </w:r>
      <w:r>
        <w:t>sobre</w:t>
      </w:r>
      <w:r>
        <w:rPr>
          <w:spacing w:val="-2"/>
        </w:rPr>
        <w:t xml:space="preserve"> </w:t>
      </w:r>
      <w:r>
        <w:t>las</w:t>
      </w:r>
      <w:r>
        <w:rPr>
          <w:spacing w:val="-2"/>
        </w:rPr>
        <w:t xml:space="preserve"> </w:t>
      </w:r>
      <w:r>
        <w:t>prácticas</w:t>
      </w:r>
      <w:r>
        <w:rPr>
          <w:spacing w:val="-2"/>
        </w:rPr>
        <w:t xml:space="preserve"> </w:t>
      </w:r>
      <w:r>
        <w:t>oscuras</w:t>
      </w:r>
      <w:r>
        <w:rPr>
          <w:spacing w:val="-3"/>
        </w:rPr>
        <w:t xml:space="preserve"> </w:t>
      </w:r>
      <w:r>
        <w:t>en</w:t>
      </w:r>
      <w:r>
        <w:rPr>
          <w:spacing w:val="-2"/>
        </w:rPr>
        <w:t xml:space="preserve"> </w:t>
      </w:r>
      <w:r>
        <w:t>las</w:t>
      </w:r>
      <w:r>
        <w:rPr>
          <w:spacing w:val="-2"/>
        </w:rPr>
        <w:t xml:space="preserve"> </w:t>
      </w:r>
      <w:r>
        <w:t>que</w:t>
      </w:r>
      <w:r>
        <w:rPr>
          <w:spacing w:val="-2"/>
        </w:rPr>
        <w:t xml:space="preserve"> </w:t>
      </w:r>
      <w:r>
        <w:t>han</w:t>
      </w:r>
      <w:r>
        <w:rPr>
          <w:spacing w:val="-2"/>
        </w:rPr>
        <w:t xml:space="preserve"> </w:t>
      </w:r>
      <w:r>
        <w:t>incurrido</w:t>
      </w:r>
      <w:r>
        <w:rPr>
          <w:spacing w:val="-2"/>
        </w:rPr>
        <w:t xml:space="preserve"> </w:t>
      </w:r>
      <w:r>
        <w:t>tantos</w:t>
      </w:r>
      <w:r>
        <w:rPr>
          <w:spacing w:val="-2"/>
        </w:rPr>
        <w:t xml:space="preserve"> </w:t>
      </w:r>
      <w:r>
        <w:t>de</w:t>
      </w:r>
      <w:r>
        <w:rPr>
          <w:spacing w:val="-2"/>
        </w:rPr>
        <w:t xml:space="preserve"> </w:t>
      </w:r>
      <w:r>
        <w:t>sus</w:t>
      </w:r>
      <w:r>
        <w:rPr>
          <w:spacing w:val="-3"/>
        </w:rPr>
        <w:t xml:space="preserve"> </w:t>
      </w:r>
      <w:r>
        <w:t>miembros.</w:t>
      </w:r>
      <w:r>
        <w:rPr>
          <w:spacing w:val="-3"/>
        </w:rPr>
        <w:t xml:space="preserve"> </w:t>
      </w:r>
      <w:r>
        <w:t>Esta es</w:t>
      </w:r>
      <w:r>
        <w:rPr>
          <w:spacing w:val="-15"/>
        </w:rPr>
        <w:t xml:space="preserve"> </w:t>
      </w:r>
      <w:r>
        <w:t>hoy</w:t>
      </w:r>
      <w:r>
        <w:rPr>
          <w:spacing w:val="-15"/>
        </w:rPr>
        <w:t xml:space="preserve"> </w:t>
      </w:r>
      <w:r>
        <w:t>una</w:t>
      </w:r>
      <w:r>
        <w:rPr>
          <w:spacing w:val="-15"/>
        </w:rPr>
        <w:t xml:space="preserve"> </w:t>
      </w:r>
      <w:r>
        <w:t>de</w:t>
      </w:r>
      <w:r>
        <w:rPr>
          <w:spacing w:val="-15"/>
        </w:rPr>
        <w:t xml:space="preserve"> </w:t>
      </w:r>
      <w:r>
        <w:t>las</w:t>
      </w:r>
      <w:r>
        <w:rPr>
          <w:spacing w:val="-15"/>
        </w:rPr>
        <w:t xml:space="preserve"> </w:t>
      </w:r>
      <w:r>
        <w:t>instituciones</w:t>
      </w:r>
      <w:r>
        <w:rPr>
          <w:spacing w:val="-15"/>
        </w:rPr>
        <w:t xml:space="preserve"> </w:t>
      </w:r>
      <w:r>
        <w:t>con</w:t>
      </w:r>
      <w:r>
        <w:rPr>
          <w:spacing w:val="-15"/>
        </w:rPr>
        <w:t xml:space="preserve"> </w:t>
      </w:r>
      <w:r>
        <w:t>menos</w:t>
      </w:r>
      <w:r>
        <w:rPr>
          <w:spacing w:val="-15"/>
        </w:rPr>
        <w:t xml:space="preserve"> </w:t>
      </w:r>
      <w:r>
        <w:t>credibilidad</w:t>
      </w:r>
      <w:r>
        <w:rPr>
          <w:spacing w:val="-15"/>
        </w:rPr>
        <w:t xml:space="preserve"> </w:t>
      </w:r>
      <w:r>
        <w:t>del</w:t>
      </w:r>
      <w:r>
        <w:rPr>
          <w:spacing w:val="-15"/>
        </w:rPr>
        <w:t xml:space="preserve"> </w:t>
      </w:r>
      <w:r>
        <w:t>país.</w:t>
      </w:r>
      <w:r>
        <w:rPr>
          <w:spacing w:val="-15"/>
        </w:rPr>
        <w:t xml:space="preserve"> </w:t>
      </w:r>
      <w:r>
        <w:t>La</w:t>
      </w:r>
      <w:r>
        <w:rPr>
          <w:spacing w:val="-15"/>
        </w:rPr>
        <w:t xml:space="preserve"> </w:t>
      </w:r>
      <w:r>
        <w:t>fuerza</w:t>
      </w:r>
      <w:r>
        <w:rPr>
          <w:spacing w:val="-15"/>
        </w:rPr>
        <w:t xml:space="preserve"> </w:t>
      </w:r>
      <w:r>
        <w:t>pública,</w:t>
      </w:r>
      <w:r>
        <w:rPr>
          <w:spacing w:val="-15"/>
        </w:rPr>
        <w:t xml:space="preserve"> </w:t>
      </w:r>
      <w:r>
        <w:t>los</w:t>
      </w:r>
      <w:r>
        <w:rPr>
          <w:spacing w:val="-15"/>
        </w:rPr>
        <w:t xml:space="preserve"> </w:t>
      </w:r>
      <w:r>
        <w:t>partidos políticos y algunos tribunales que no llegaron al fondo del problema tampoco reconocieron completamente lo sucedido.</w:t>
      </w:r>
    </w:p>
    <w:p w:rsidR="003804AC" w:rsidRDefault="00AF18A5" w:rsidP="005E6FDC">
      <w:bookmarkStart w:id="164" w:name="_bookmark110"/>
      <w:bookmarkEnd w:id="164"/>
      <w:r>
        <w:t>Todas las guerras se ganan o se pierden en el campo político. Cualquier triunfo es vacuo si</w:t>
      </w:r>
      <w:r>
        <w:rPr>
          <w:spacing w:val="-1"/>
        </w:rPr>
        <w:t xml:space="preserve"> </w:t>
      </w:r>
      <w:r>
        <w:t>es</w:t>
      </w:r>
      <w:r>
        <w:rPr>
          <w:spacing w:val="-1"/>
        </w:rPr>
        <w:t xml:space="preserve"> </w:t>
      </w:r>
      <w:r>
        <w:t>ilegítimo,</w:t>
      </w:r>
      <w:r>
        <w:rPr>
          <w:spacing w:val="-1"/>
        </w:rPr>
        <w:t xml:space="preserve"> </w:t>
      </w:r>
      <w:r>
        <w:t>y</w:t>
      </w:r>
      <w:r>
        <w:rPr>
          <w:spacing w:val="-1"/>
        </w:rPr>
        <w:t xml:space="preserve"> </w:t>
      </w:r>
      <w:r>
        <w:t>la</w:t>
      </w:r>
      <w:r>
        <w:rPr>
          <w:spacing w:val="-2"/>
        </w:rPr>
        <w:t xml:space="preserve"> </w:t>
      </w:r>
      <w:r>
        <w:t>legitimidad</w:t>
      </w:r>
      <w:r>
        <w:rPr>
          <w:spacing w:val="-1"/>
        </w:rPr>
        <w:t xml:space="preserve"> </w:t>
      </w:r>
      <w:r>
        <w:t>está</w:t>
      </w:r>
      <w:r>
        <w:rPr>
          <w:spacing w:val="-2"/>
        </w:rPr>
        <w:t xml:space="preserve"> </w:t>
      </w:r>
      <w:r>
        <w:t>asociada</w:t>
      </w:r>
      <w:r>
        <w:rPr>
          <w:spacing w:val="-1"/>
        </w:rPr>
        <w:t xml:space="preserve"> </w:t>
      </w:r>
      <w:r>
        <w:t>a</w:t>
      </w:r>
      <w:r>
        <w:rPr>
          <w:spacing w:val="-1"/>
        </w:rPr>
        <w:t xml:space="preserve"> </w:t>
      </w:r>
      <w:r>
        <w:t>la</w:t>
      </w:r>
      <w:r>
        <w:rPr>
          <w:spacing w:val="-1"/>
        </w:rPr>
        <w:t xml:space="preserve"> </w:t>
      </w:r>
      <w:r>
        <w:t>dialéctica</w:t>
      </w:r>
      <w:r>
        <w:rPr>
          <w:spacing w:val="-2"/>
        </w:rPr>
        <w:t xml:space="preserve"> </w:t>
      </w:r>
      <w:r>
        <w:t>entre</w:t>
      </w:r>
      <w:r>
        <w:rPr>
          <w:spacing w:val="-2"/>
        </w:rPr>
        <w:t xml:space="preserve"> </w:t>
      </w:r>
      <w:r>
        <w:t>los</w:t>
      </w:r>
      <w:r>
        <w:rPr>
          <w:spacing w:val="-1"/>
        </w:rPr>
        <w:t xml:space="preserve"> </w:t>
      </w:r>
      <w:r>
        <w:t>medios</w:t>
      </w:r>
      <w:r>
        <w:rPr>
          <w:spacing w:val="-1"/>
        </w:rPr>
        <w:t xml:space="preserve"> </w:t>
      </w:r>
      <w:r>
        <w:t>y</w:t>
      </w:r>
      <w:r>
        <w:rPr>
          <w:spacing w:val="-1"/>
        </w:rPr>
        <w:t xml:space="preserve"> </w:t>
      </w:r>
      <w:r>
        <w:t>los</w:t>
      </w:r>
      <w:r>
        <w:rPr>
          <w:spacing w:val="-2"/>
        </w:rPr>
        <w:t xml:space="preserve"> </w:t>
      </w:r>
      <w:r>
        <w:t>fines.</w:t>
      </w:r>
      <w:r>
        <w:rPr>
          <w:spacing w:val="-1"/>
        </w:rPr>
        <w:t xml:space="preserve"> </w:t>
      </w:r>
      <w:r>
        <w:t>Las FARC-EP</w:t>
      </w:r>
      <w:r>
        <w:rPr>
          <w:spacing w:val="-4"/>
        </w:rPr>
        <w:t xml:space="preserve"> </w:t>
      </w:r>
      <w:r>
        <w:t>y</w:t>
      </w:r>
      <w:r>
        <w:rPr>
          <w:spacing w:val="-3"/>
        </w:rPr>
        <w:t xml:space="preserve"> </w:t>
      </w:r>
      <w:r>
        <w:t>el</w:t>
      </w:r>
      <w:r>
        <w:rPr>
          <w:spacing w:val="-4"/>
        </w:rPr>
        <w:t xml:space="preserve"> </w:t>
      </w:r>
      <w:r>
        <w:t>ELN</w:t>
      </w:r>
      <w:r>
        <w:rPr>
          <w:spacing w:val="-5"/>
        </w:rPr>
        <w:t xml:space="preserve"> </w:t>
      </w:r>
      <w:r>
        <w:t>perdieron</w:t>
      </w:r>
      <w:r>
        <w:rPr>
          <w:spacing w:val="-5"/>
        </w:rPr>
        <w:t xml:space="preserve"> </w:t>
      </w:r>
      <w:r>
        <w:t>la</w:t>
      </w:r>
      <w:r>
        <w:rPr>
          <w:spacing w:val="-4"/>
        </w:rPr>
        <w:t xml:space="preserve"> </w:t>
      </w:r>
      <w:r>
        <w:t>legitimidad</w:t>
      </w:r>
      <w:r>
        <w:rPr>
          <w:spacing w:val="-5"/>
        </w:rPr>
        <w:t xml:space="preserve"> </w:t>
      </w:r>
      <w:r>
        <w:t>cuando</w:t>
      </w:r>
      <w:r>
        <w:rPr>
          <w:spacing w:val="-5"/>
        </w:rPr>
        <w:t xml:space="preserve"> </w:t>
      </w:r>
      <w:r>
        <w:t>usaron</w:t>
      </w:r>
      <w:r>
        <w:rPr>
          <w:spacing w:val="-5"/>
        </w:rPr>
        <w:t xml:space="preserve"> </w:t>
      </w:r>
      <w:r>
        <w:t>métodos</w:t>
      </w:r>
      <w:r>
        <w:rPr>
          <w:spacing w:val="-4"/>
        </w:rPr>
        <w:t xml:space="preserve"> </w:t>
      </w:r>
      <w:r>
        <w:t>de</w:t>
      </w:r>
      <w:r>
        <w:rPr>
          <w:spacing w:val="-4"/>
        </w:rPr>
        <w:t xml:space="preserve"> </w:t>
      </w:r>
      <w:r>
        <w:t>terror,</w:t>
      </w:r>
      <w:r>
        <w:rPr>
          <w:spacing w:val="-5"/>
        </w:rPr>
        <w:t xml:space="preserve"> </w:t>
      </w:r>
      <w:r>
        <w:t>inhumanos</w:t>
      </w:r>
      <w:r>
        <w:rPr>
          <w:spacing w:val="-4"/>
        </w:rPr>
        <w:t xml:space="preserve"> </w:t>
      </w:r>
      <w:r>
        <w:t>y criminales</w:t>
      </w:r>
      <w:r>
        <w:rPr>
          <w:spacing w:val="-3"/>
        </w:rPr>
        <w:t xml:space="preserve"> </w:t>
      </w:r>
      <w:r>
        <w:t>para</w:t>
      </w:r>
      <w:r>
        <w:rPr>
          <w:spacing w:val="-3"/>
        </w:rPr>
        <w:t xml:space="preserve"> </w:t>
      </w:r>
      <w:r>
        <w:t>obtener</w:t>
      </w:r>
      <w:r>
        <w:rPr>
          <w:spacing w:val="-3"/>
        </w:rPr>
        <w:t xml:space="preserve"> </w:t>
      </w:r>
      <w:r>
        <w:t>sus</w:t>
      </w:r>
      <w:r>
        <w:rPr>
          <w:spacing w:val="-4"/>
        </w:rPr>
        <w:t xml:space="preserve"> </w:t>
      </w:r>
      <w:r>
        <w:t>fines,</w:t>
      </w:r>
      <w:r>
        <w:rPr>
          <w:spacing w:val="-4"/>
        </w:rPr>
        <w:t xml:space="preserve"> </w:t>
      </w:r>
      <w:r>
        <w:t>a</w:t>
      </w:r>
      <w:r>
        <w:rPr>
          <w:spacing w:val="-3"/>
        </w:rPr>
        <w:t xml:space="preserve"> </w:t>
      </w:r>
      <w:r>
        <w:t>pesar</w:t>
      </w:r>
      <w:r>
        <w:rPr>
          <w:spacing w:val="-3"/>
        </w:rPr>
        <w:t xml:space="preserve"> </w:t>
      </w:r>
      <w:r>
        <w:t>de</w:t>
      </w:r>
      <w:r>
        <w:rPr>
          <w:spacing w:val="-3"/>
        </w:rPr>
        <w:t xml:space="preserve"> </w:t>
      </w:r>
      <w:r>
        <w:t>que</w:t>
      </w:r>
      <w:r>
        <w:rPr>
          <w:spacing w:val="-3"/>
        </w:rPr>
        <w:t xml:space="preserve"> </w:t>
      </w:r>
      <w:r>
        <w:t>como</w:t>
      </w:r>
      <w:r>
        <w:rPr>
          <w:spacing w:val="-4"/>
        </w:rPr>
        <w:t xml:space="preserve"> </w:t>
      </w:r>
      <w:r>
        <w:t>rebeldes</w:t>
      </w:r>
      <w:r>
        <w:rPr>
          <w:spacing w:val="-3"/>
        </w:rPr>
        <w:t xml:space="preserve"> </w:t>
      </w:r>
      <w:r>
        <w:t>se</w:t>
      </w:r>
      <w:r>
        <w:rPr>
          <w:spacing w:val="-4"/>
        </w:rPr>
        <w:t xml:space="preserve"> </w:t>
      </w:r>
      <w:r>
        <w:t>les</w:t>
      </w:r>
      <w:r>
        <w:rPr>
          <w:spacing w:val="-3"/>
        </w:rPr>
        <w:t xml:space="preserve"> </w:t>
      </w:r>
      <w:r>
        <w:t>reconocieran</w:t>
      </w:r>
      <w:r>
        <w:rPr>
          <w:spacing w:val="-4"/>
        </w:rPr>
        <w:t xml:space="preserve"> </w:t>
      </w:r>
      <w:r>
        <w:t>en</w:t>
      </w:r>
      <w:r>
        <w:rPr>
          <w:spacing w:val="-4"/>
        </w:rPr>
        <w:t xml:space="preserve"> </w:t>
      </w:r>
      <w:r>
        <w:t>algún momento sus fines altruistas. Esto es aún más grave para el caso del Estado que también perdió.</w:t>
      </w:r>
      <w:r>
        <w:rPr>
          <w:spacing w:val="-10"/>
        </w:rPr>
        <w:t xml:space="preserve"> </w:t>
      </w:r>
      <w:r>
        <w:t>Los</w:t>
      </w:r>
      <w:r>
        <w:rPr>
          <w:spacing w:val="-10"/>
        </w:rPr>
        <w:t xml:space="preserve"> </w:t>
      </w:r>
      <w:r>
        <w:t>métodos</w:t>
      </w:r>
      <w:r>
        <w:rPr>
          <w:spacing w:val="-10"/>
        </w:rPr>
        <w:t xml:space="preserve"> </w:t>
      </w:r>
      <w:r>
        <w:t>ilegítimos</w:t>
      </w:r>
      <w:r>
        <w:rPr>
          <w:spacing w:val="-10"/>
        </w:rPr>
        <w:t xml:space="preserve"> </w:t>
      </w:r>
      <w:r>
        <w:t>son</w:t>
      </w:r>
      <w:r>
        <w:rPr>
          <w:spacing w:val="-10"/>
        </w:rPr>
        <w:t xml:space="preserve"> </w:t>
      </w:r>
      <w:r>
        <w:t>doblemente</w:t>
      </w:r>
      <w:r>
        <w:rPr>
          <w:spacing w:val="-10"/>
        </w:rPr>
        <w:t xml:space="preserve"> </w:t>
      </w:r>
      <w:r>
        <w:t>condenables</w:t>
      </w:r>
      <w:r>
        <w:rPr>
          <w:spacing w:val="-10"/>
        </w:rPr>
        <w:t xml:space="preserve"> </w:t>
      </w:r>
      <w:r>
        <w:t>si</w:t>
      </w:r>
      <w:r>
        <w:rPr>
          <w:spacing w:val="-10"/>
        </w:rPr>
        <w:t xml:space="preserve"> </w:t>
      </w:r>
      <w:r>
        <w:t>los</w:t>
      </w:r>
      <w:r>
        <w:rPr>
          <w:spacing w:val="-10"/>
        </w:rPr>
        <w:t xml:space="preserve"> </w:t>
      </w:r>
      <w:r>
        <w:t>practican</w:t>
      </w:r>
      <w:r>
        <w:rPr>
          <w:spacing w:val="-10"/>
        </w:rPr>
        <w:t xml:space="preserve"> </w:t>
      </w:r>
      <w:r>
        <w:t>las</w:t>
      </w:r>
      <w:r>
        <w:rPr>
          <w:spacing w:val="-10"/>
        </w:rPr>
        <w:t xml:space="preserve"> </w:t>
      </w:r>
      <w:r>
        <w:t>instituciones legalmente</w:t>
      </w:r>
      <w:r>
        <w:rPr>
          <w:spacing w:val="-15"/>
        </w:rPr>
        <w:t xml:space="preserve"> </w:t>
      </w:r>
      <w:r>
        <w:t>constituidas</w:t>
      </w:r>
      <w:r>
        <w:rPr>
          <w:spacing w:val="-15"/>
        </w:rPr>
        <w:t xml:space="preserve"> </w:t>
      </w:r>
      <w:r>
        <w:t>porque</w:t>
      </w:r>
      <w:r>
        <w:rPr>
          <w:spacing w:val="-15"/>
        </w:rPr>
        <w:t xml:space="preserve"> </w:t>
      </w:r>
      <w:r>
        <w:t>los</w:t>
      </w:r>
      <w:r>
        <w:rPr>
          <w:spacing w:val="-15"/>
        </w:rPr>
        <w:t xml:space="preserve"> </w:t>
      </w:r>
      <w:r>
        <w:t>ciudadanos</w:t>
      </w:r>
      <w:r>
        <w:rPr>
          <w:spacing w:val="-15"/>
        </w:rPr>
        <w:t xml:space="preserve"> </w:t>
      </w:r>
      <w:r>
        <w:t>han</w:t>
      </w:r>
      <w:r>
        <w:rPr>
          <w:spacing w:val="-15"/>
        </w:rPr>
        <w:t xml:space="preserve"> </w:t>
      </w:r>
      <w:r>
        <w:t>depositado</w:t>
      </w:r>
      <w:r>
        <w:rPr>
          <w:spacing w:val="-15"/>
        </w:rPr>
        <w:t xml:space="preserve"> </w:t>
      </w:r>
      <w:r>
        <w:t>en</w:t>
      </w:r>
      <w:r>
        <w:rPr>
          <w:spacing w:val="-15"/>
        </w:rPr>
        <w:t xml:space="preserve"> </w:t>
      </w:r>
      <w:r>
        <w:t>ellas</w:t>
      </w:r>
      <w:r>
        <w:rPr>
          <w:spacing w:val="-15"/>
        </w:rPr>
        <w:t xml:space="preserve"> </w:t>
      </w:r>
      <w:r>
        <w:t>su</w:t>
      </w:r>
      <w:r>
        <w:rPr>
          <w:spacing w:val="-15"/>
        </w:rPr>
        <w:t xml:space="preserve"> </w:t>
      </w:r>
      <w:r>
        <w:t>confianza.</w:t>
      </w:r>
      <w:r>
        <w:rPr>
          <w:spacing w:val="-15"/>
        </w:rPr>
        <w:t xml:space="preserve"> </w:t>
      </w:r>
      <w:r>
        <w:t>Además, porque el Estado funciona como un engranaje de pesos y contrapesos en los que cada institución</w:t>
      </w:r>
      <w:r>
        <w:rPr>
          <w:spacing w:val="-3"/>
        </w:rPr>
        <w:t xml:space="preserve"> </w:t>
      </w:r>
      <w:r>
        <w:t>tiene</w:t>
      </w:r>
      <w:r>
        <w:rPr>
          <w:spacing w:val="-3"/>
        </w:rPr>
        <w:t xml:space="preserve"> </w:t>
      </w:r>
      <w:r>
        <w:t>roles</w:t>
      </w:r>
      <w:r>
        <w:rPr>
          <w:spacing w:val="-4"/>
        </w:rPr>
        <w:t xml:space="preserve"> </w:t>
      </w:r>
      <w:r>
        <w:t>específicos</w:t>
      </w:r>
      <w:r>
        <w:rPr>
          <w:spacing w:val="-4"/>
        </w:rPr>
        <w:t xml:space="preserve"> </w:t>
      </w:r>
      <w:r>
        <w:t>para</w:t>
      </w:r>
      <w:r>
        <w:rPr>
          <w:spacing w:val="-3"/>
        </w:rPr>
        <w:t xml:space="preserve"> </w:t>
      </w:r>
      <w:r>
        <w:t>garantizar</w:t>
      </w:r>
      <w:r>
        <w:rPr>
          <w:spacing w:val="-4"/>
        </w:rPr>
        <w:t xml:space="preserve"> </w:t>
      </w:r>
      <w:r>
        <w:t>que</w:t>
      </w:r>
      <w:r>
        <w:rPr>
          <w:spacing w:val="-3"/>
        </w:rPr>
        <w:t xml:space="preserve"> </w:t>
      </w:r>
      <w:r>
        <w:t>no</w:t>
      </w:r>
      <w:r>
        <w:rPr>
          <w:spacing w:val="-3"/>
        </w:rPr>
        <w:t xml:space="preserve"> </w:t>
      </w:r>
      <w:r>
        <w:t>se</w:t>
      </w:r>
      <w:r>
        <w:rPr>
          <w:spacing w:val="-3"/>
        </w:rPr>
        <w:t xml:space="preserve"> </w:t>
      </w:r>
      <w:r>
        <w:t>presenten</w:t>
      </w:r>
      <w:r>
        <w:rPr>
          <w:spacing w:val="-5"/>
        </w:rPr>
        <w:t xml:space="preserve"> </w:t>
      </w:r>
      <w:r>
        <w:t>abusos</w:t>
      </w:r>
      <w:r>
        <w:rPr>
          <w:spacing w:val="-3"/>
        </w:rPr>
        <w:t xml:space="preserve"> </w:t>
      </w:r>
      <w:r>
        <w:t>de</w:t>
      </w:r>
      <w:r>
        <w:rPr>
          <w:spacing w:val="-3"/>
        </w:rPr>
        <w:t xml:space="preserve"> </w:t>
      </w:r>
      <w:r>
        <w:t>autoridad</w:t>
      </w:r>
      <w:r>
        <w:rPr>
          <w:spacing w:val="-3"/>
        </w:rPr>
        <w:t xml:space="preserve"> </w:t>
      </w:r>
      <w:r>
        <w:t xml:space="preserve">ni se violen los </w:t>
      </w:r>
      <w:r>
        <w:lastRenderedPageBreak/>
        <w:t>derechos del pueblo.</w:t>
      </w:r>
    </w:p>
    <w:p w:rsidR="003804AC" w:rsidRDefault="00AF18A5" w:rsidP="005E6FDC">
      <w:r>
        <w:t>Aunque</w:t>
      </w:r>
      <w:r>
        <w:rPr>
          <w:spacing w:val="-7"/>
        </w:rPr>
        <w:t xml:space="preserve"> </w:t>
      </w:r>
      <w:r>
        <w:t>en</w:t>
      </w:r>
      <w:r>
        <w:rPr>
          <w:spacing w:val="-7"/>
        </w:rPr>
        <w:t xml:space="preserve"> </w:t>
      </w:r>
      <w:r>
        <w:t>la</w:t>
      </w:r>
      <w:r>
        <w:rPr>
          <w:spacing w:val="-7"/>
        </w:rPr>
        <w:t xml:space="preserve"> </w:t>
      </w:r>
      <w:r>
        <w:t>era</w:t>
      </w:r>
      <w:r>
        <w:rPr>
          <w:spacing w:val="-8"/>
        </w:rPr>
        <w:t xml:space="preserve"> </w:t>
      </w:r>
      <w:r>
        <w:t>Uribe</w:t>
      </w:r>
      <w:r>
        <w:rPr>
          <w:spacing w:val="-8"/>
        </w:rPr>
        <w:t xml:space="preserve"> </w:t>
      </w:r>
      <w:r>
        <w:t>las</w:t>
      </w:r>
      <w:r>
        <w:rPr>
          <w:spacing w:val="-7"/>
        </w:rPr>
        <w:t xml:space="preserve"> </w:t>
      </w:r>
      <w:r>
        <w:t>fuerzas</w:t>
      </w:r>
      <w:r>
        <w:rPr>
          <w:spacing w:val="-8"/>
        </w:rPr>
        <w:t xml:space="preserve"> </w:t>
      </w:r>
      <w:r>
        <w:t>del</w:t>
      </w:r>
      <w:r>
        <w:rPr>
          <w:spacing w:val="-7"/>
        </w:rPr>
        <w:t xml:space="preserve"> </w:t>
      </w:r>
      <w:r>
        <w:t>Estado</w:t>
      </w:r>
      <w:r>
        <w:rPr>
          <w:spacing w:val="-7"/>
        </w:rPr>
        <w:t xml:space="preserve"> </w:t>
      </w:r>
      <w:r>
        <w:t>ganaron</w:t>
      </w:r>
      <w:r>
        <w:rPr>
          <w:spacing w:val="-7"/>
        </w:rPr>
        <w:t xml:space="preserve"> </w:t>
      </w:r>
      <w:r>
        <w:t>la</w:t>
      </w:r>
      <w:r>
        <w:rPr>
          <w:spacing w:val="-7"/>
        </w:rPr>
        <w:t xml:space="preserve"> </w:t>
      </w:r>
      <w:r>
        <w:t>ventaja</w:t>
      </w:r>
      <w:r>
        <w:rPr>
          <w:spacing w:val="-8"/>
        </w:rPr>
        <w:t xml:space="preserve"> </w:t>
      </w:r>
      <w:r>
        <w:t>de</w:t>
      </w:r>
      <w:r>
        <w:rPr>
          <w:spacing w:val="-8"/>
        </w:rPr>
        <w:t xml:space="preserve"> </w:t>
      </w:r>
      <w:r>
        <w:t>la</w:t>
      </w:r>
      <w:r>
        <w:rPr>
          <w:spacing w:val="-7"/>
        </w:rPr>
        <w:t xml:space="preserve"> </w:t>
      </w:r>
      <w:r>
        <w:t>guerra</w:t>
      </w:r>
      <w:r>
        <w:rPr>
          <w:spacing w:val="-8"/>
        </w:rPr>
        <w:t xml:space="preserve"> </w:t>
      </w:r>
      <w:r>
        <w:t>y</w:t>
      </w:r>
      <w:r>
        <w:rPr>
          <w:spacing w:val="-7"/>
        </w:rPr>
        <w:t xml:space="preserve"> </w:t>
      </w:r>
      <w:r>
        <w:t>rompieron el equilibrio negativo de esta al comenzar el siglo, en 2008, las ejecuciones extrajudiciales cometidas por miembros del Ejército se convirtieron en el epítome del juego perverso que puso los</w:t>
      </w:r>
      <w:r>
        <w:rPr>
          <w:spacing w:val="-1"/>
        </w:rPr>
        <w:t xml:space="preserve"> </w:t>
      </w:r>
      <w:r>
        <w:t>medios por</w:t>
      </w:r>
      <w:r>
        <w:rPr>
          <w:spacing w:val="-1"/>
        </w:rPr>
        <w:t xml:space="preserve"> </w:t>
      </w:r>
      <w:r>
        <w:t>encima</w:t>
      </w:r>
      <w:r>
        <w:rPr>
          <w:spacing w:val="-1"/>
        </w:rPr>
        <w:t xml:space="preserve"> </w:t>
      </w:r>
      <w:r>
        <w:t>de</w:t>
      </w:r>
      <w:r>
        <w:rPr>
          <w:spacing w:val="-1"/>
        </w:rPr>
        <w:t xml:space="preserve"> </w:t>
      </w:r>
      <w:r>
        <w:t>los</w:t>
      </w:r>
      <w:r>
        <w:rPr>
          <w:spacing w:val="-1"/>
        </w:rPr>
        <w:t xml:space="preserve"> </w:t>
      </w:r>
      <w:r>
        <w:t>fines. Más</w:t>
      </w:r>
      <w:r>
        <w:rPr>
          <w:spacing w:val="-1"/>
        </w:rPr>
        <w:t xml:space="preserve"> </w:t>
      </w:r>
      <w:r>
        <w:t>aún, fueron</w:t>
      </w:r>
      <w:r>
        <w:rPr>
          <w:spacing w:val="-1"/>
        </w:rPr>
        <w:t xml:space="preserve"> </w:t>
      </w:r>
      <w:r>
        <w:t>crímenes</w:t>
      </w:r>
      <w:r>
        <w:rPr>
          <w:spacing w:val="-1"/>
        </w:rPr>
        <w:t xml:space="preserve"> </w:t>
      </w:r>
      <w:r>
        <w:t>cometidos para</w:t>
      </w:r>
      <w:r>
        <w:rPr>
          <w:spacing w:val="-1"/>
        </w:rPr>
        <w:t xml:space="preserve"> </w:t>
      </w:r>
      <w:r>
        <w:t xml:space="preserve">sostener una farsa: la de que al enemigo se lo vencía aniquilándolo físicamente, que cada guerrillero muerto demostraba que el país tenía mayor seguridad y que el Ejército era el héroe de esa </w:t>
      </w:r>
      <w:r>
        <w:rPr>
          <w:spacing w:val="-2"/>
        </w:rPr>
        <w:t>gesta.</w:t>
      </w:r>
    </w:p>
    <w:p w:rsidR="003804AC" w:rsidRDefault="00AF18A5" w:rsidP="005E6FDC">
      <w:r>
        <w:t>A lo anterior se suma que miles de millones de dólares del Plan Colombia no lograron detener el narcotráfico,</w:t>
      </w:r>
      <w:r>
        <w:rPr>
          <w:spacing w:val="-1"/>
        </w:rPr>
        <w:t xml:space="preserve"> </w:t>
      </w:r>
      <w:r>
        <w:t>ni mucho</w:t>
      </w:r>
      <w:r>
        <w:rPr>
          <w:spacing w:val="-1"/>
        </w:rPr>
        <w:t xml:space="preserve"> </w:t>
      </w:r>
      <w:r>
        <w:t>menos resolver el</w:t>
      </w:r>
      <w:r>
        <w:rPr>
          <w:spacing w:val="-1"/>
        </w:rPr>
        <w:t xml:space="preserve"> </w:t>
      </w:r>
      <w:r>
        <w:t>problema del</w:t>
      </w:r>
      <w:r>
        <w:rPr>
          <w:spacing w:val="-1"/>
        </w:rPr>
        <w:t xml:space="preserve"> </w:t>
      </w:r>
      <w:r>
        <w:t>control</w:t>
      </w:r>
      <w:r>
        <w:rPr>
          <w:spacing w:val="-1"/>
        </w:rPr>
        <w:t xml:space="preserve"> </w:t>
      </w:r>
      <w:r>
        <w:t>territorial.</w:t>
      </w:r>
      <w:r>
        <w:rPr>
          <w:spacing w:val="-2"/>
        </w:rPr>
        <w:t xml:space="preserve"> </w:t>
      </w:r>
      <w:r>
        <w:t>Allí, de hecho,</w:t>
      </w:r>
      <w:r>
        <w:rPr>
          <w:spacing w:val="-6"/>
        </w:rPr>
        <w:t xml:space="preserve"> </w:t>
      </w:r>
      <w:r>
        <w:t>pulularon</w:t>
      </w:r>
      <w:r>
        <w:rPr>
          <w:spacing w:val="-6"/>
        </w:rPr>
        <w:t xml:space="preserve"> </w:t>
      </w:r>
      <w:r>
        <w:t>de</w:t>
      </w:r>
      <w:r>
        <w:rPr>
          <w:spacing w:val="-6"/>
        </w:rPr>
        <w:t xml:space="preserve"> </w:t>
      </w:r>
      <w:r>
        <w:t>nuevo</w:t>
      </w:r>
      <w:r>
        <w:rPr>
          <w:spacing w:val="-6"/>
        </w:rPr>
        <w:t xml:space="preserve"> </w:t>
      </w:r>
      <w:r>
        <w:t>redes</w:t>
      </w:r>
      <w:r>
        <w:rPr>
          <w:spacing w:val="-6"/>
        </w:rPr>
        <w:t xml:space="preserve"> </w:t>
      </w:r>
      <w:r>
        <w:t>criminales</w:t>
      </w:r>
      <w:r>
        <w:rPr>
          <w:spacing w:val="-6"/>
        </w:rPr>
        <w:t xml:space="preserve"> </w:t>
      </w:r>
      <w:r>
        <w:t>y</w:t>
      </w:r>
      <w:r>
        <w:rPr>
          <w:spacing w:val="-6"/>
        </w:rPr>
        <w:t xml:space="preserve"> </w:t>
      </w:r>
      <w:r>
        <w:t>coaliciones</w:t>
      </w:r>
      <w:r>
        <w:rPr>
          <w:spacing w:val="-6"/>
        </w:rPr>
        <w:t xml:space="preserve"> </w:t>
      </w:r>
      <w:r>
        <w:t>violentas</w:t>
      </w:r>
      <w:r>
        <w:rPr>
          <w:spacing w:val="-6"/>
        </w:rPr>
        <w:t xml:space="preserve"> </w:t>
      </w:r>
      <w:r>
        <w:t>de</w:t>
      </w:r>
      <w:r>
        <w:rPr>
          <w:spacing w:val="-6"/>
        </w:rPr>
        <w:t xml:space="preserve"> </w:t>
      </w:r>
      <w:r>
        <w:t>carácter</w:t>
      </w:r>
      <w:r>
        <w:rPr>
          <w:spacing w:val="-5"/>
        </w:rPr>
        <w:t xml:space="preserve"> </w:t>
      </w:r>
      <w:r>
        <w:t>más</w:t>
      </w:r>
      <w:r>
        <w:rPr>
          <w:spacing w:val="-7"/>
        </w:rPr>
        <w:t xml:space="preserve"> </w:t>
      </w:r>
      <w:r>
        <w:t>local.</w:t>
      </w:r>
      <w:r>
        <w:rPr>
          <w:spacing w:val="-6"/>
        </w:rPr>
        <w:t xml:space="preserve"> </w:t>
      </w:r>
      <w:r>
        <w:t>La corrupción, que en la narrativa oficial estaba solo en las regiones, alcanzó incluso la Corte Suprema</w:t>
      </w:r>
      <w:r>
        <w:rPr>
          <w:spacing w:val="-6"/>
        </w:rPr>
        <w:t xml:space="preserve"> </w:t>
      </w:r>
      <w:r>
        <w:t>de</w:t>
      </w:r>
      <w:r>
        <w:rPr>
          <w:spacing w:val="-7"/>
        </w:rPr>
        <w:t xml:space="preserve"> </w:t>
      </w:r>
      <w:r>
        <w:t>Justicia,</w:t>
      </w:r>
      <w:r>
        <w:rPr>
          <w:spacing w:val="-6"/>
        </w:rPr>
        <w:t xml:space="preserve"> </w:t>
      </w:r>
      <w:r>
        <w:t>por</w:t>
      </w:r>
      <w:r>
        <w:rPr>
          <w:spacing w:val="-7"/>
        </w:rPr>
        <w:t xml:space="preserve"> </w:t>
      </w:r>
      <w:r>
        <w:t>mencionar</w:t>
      </w:r>
      <w:r>
        <w:rPr>
          <w:spacing w:val="-5"/>
        </w:rPr>
        <w:t xml:space="preserve"> </w:t>
      </w:r>
      <w:r>
        <w:t>solo</w:t>
      </w:r>
      <w:r>
        <w:rPr>
          <w:spacing w:val="-6"/>
        </w:rPr>
        <w:t xml:space="preserve"> </w:t>
      </w:r>
      <w:r>
        <w:t>un</w:t>
      </w:r>
      <w:r>
        <w:rPr>
          <w:spacing w:val="-6"/>
        </w:rPr>
        <w:t xml:space="preserve"> </w:t>
      </w:r>
      <w:r>
        <w:t>estamento</w:t>
      </w:r>
      <w:r>
        <w:rPr>
          <w:spacing w:val="-6"/>
        </w:rPr>
        <w:t xml:space="preserve"> </w:t>
      </w:r>
      <w:r>
        <w:t>nacional.</w:t>
      </w:r>
      <w:r>
        <w:rPr>
          <w:spacing w:val="-6"/>
        </w:rPr>
        <w:t xml:space="preserve"> </w:t>
      </w:r>
      <w:r>
        <w:t>Estas</w:t>
      </w:r>
      <w:r>
        <w:rPr>
          <w:spacing w:val="-6"/>
        </w:rPr>
        <w:t xml:space="preserve"> </w:t>
      </w:r>
      <w:r>
        <w:t>realidades,</w:t>
      </w:r>
      <w:r>
        <w:rPr>
          <w:spacing w:val="-6"/>
        </w:rPr>
        <w:t xml:space="preserve"> </w:t>
      </w:r>
      <w:r>
        <w:t>sumadas</w:t>
      </w:r>
      <w:r>
        <w:rPr>
          <w:spacing w:val="-6"/>
        </w:rPr>
        <w:t xml:space="preserve"> </w:t>
      </w:r>
      <w:r>
        <w:t>a otras</w:t>
      </w:r>
      <w:r>
        <w:rPr>
          <w:spacing w:val="-3"/>
        </w:rPr>
        <w:t xml:space="preserve"> </w:t>
      </w:r>
      <w:r>
        <w:t>de</w:t>
      </w:r>
      <w:r>
        <w:rPr>
          <w:spacing w:val="-3"/>
        </w:rPr>
        <w:t xml:space="preserve"> </w:t>
      </w:r>
      <w:r>
        <w:t>orden</w:t>
      </w:r>
      <w:r>
        <w:rPr>
          <w:spacing w:val="-3"/>
        </w:rPr>
        <w:t xml:space="preserve"> </w:t>
      </w:r>
      <w:r>
        <w:t>económico</w:t>
      </w:r>
      <w:r>
        <w:rPr>
          <w:spacing w:val="-3"/>
        </w:rPr>
        <w:t xml:space="preserve"> </w:t>
      </w:r>
      <w:r>
        <w:t>e</w:t>
      </w:r>
      <w:r>
        <w:rPr>
          <w:spacing w:val="-3"/>
        </w:rPr>
        <w:t xml:space="preserve"> </w:t>
      </w:r>
      <w:r>
        <w:t>internacional,</w:t>
      </w:r>
      <w:r>
        <w:rPr>
          <w:spacing w:val="-3"/>
        </w:rPr>
        <w:t xml:space="preserve"> </w:t>
      </w:r>
      <w:r>
        <w:t>abrieron</w:t>
      </w:r>
      <w:r>
        <w:rPr>
          <w:spacing w:val="-3"/>
        </w:rPr>
        <w:t xml:space="preserve"> </w:t>
      </w:r>
      <w:r>
        <w:t>las</w:t>
      </w:r>
      <w:r>
        <w:rPr>
          <w:spacing w:val="-3"/>
        </w:rPr>
        <w:t xml:space="preserve"> </w:t>
      </w:r>
      <w:r>
        <w:t>puertas</w:t>
      </w:r>
      <w:r>
        <w:rPr>
          <w:spacing w:val="-4"/>
        </w:rPr>
        <w:t xml:space="preserve"> </w:t>
      </w:r>
      <w:r>
        <w:t>para</w:t>
      </w:r>
      <w:r>
        <w:rPr>
          <w:spacing w:val="-3"/>
        </w:rPr>
        <w:t xml:space="preserve"> </w:t>
      </w:r>
      <w:r>
        <w:t>una</w:t>
      </w:r>
      <w:r>
        <w:rPr>
          <w:spacing w:val="-3"/>
        </w:rPr>
        <w:t xml:space="preserve"> </w:t>
      </w:r>
      <w:r>
        <w:t>salida</w:t>
      </w:r>
      <w:r>
        <w:rPr>
          <w:spacing w:val="-3"/>
        </w:rPr>
        <w:t xml:space="preserve"> </w:t>
      </w:r>
      <w:r>
        <w:t>negociada</w:t>
      </w:r>
      <w:r>
        <w:rPr>
          <w:spacing w:val="-3"/>
        </w:rPr>
        <w:t xml:space="preserve"> </w:t>
      </w:r>
      <w:r>
        <w:t>del conflicto armado interno con las FARC-EP.</w:t>
      </w:r>
    </w:p>
    <w:p w:rsidR="003804AC" w:rsidRDefault="00AF18A5" w:rsidP="008A4207">
      <w:r>
        <w:t>En</w:t>
      </w:r>
      <w:r>
        <w:rPr>
          <w:spacing w:val="-4"/>
        </w:rPr>
        <w:t xml:space="preserve"> </w:t>
      </w:r>
      <w:r>
        <w:t>ese</w:t>
      </w:r>
      <w:r>
        <w:rPr>
          <w:spacing w:val="-3"/>
        </w:rPr>
        <w:t xml:space="preserve"> </w:t>
      </w:r>
      <w:r>
        <w:t>momento</w:t>
      </w:r>
      <w:r>
        <w:rPr>
          <w:spacing w:val="-4"/>
        </w:rPr>
        <w:t xml:space="preserve"> </w:t>
      </w:r>
      <w:r>
        <w:t>crucial,</w:t>
      </w:r>
      <w:r>
        <w:rPr>
          <w:spacing w:val="-5"/>
        </w:rPr>
        <w:t xml:space="preserve"> </w:t>
      </w:r>
      <w:r>
        <w:t>que</w:t>
      </w:r>
      <w:r>
        <w:rPr>
          <w:spacing w:val="-3"/>
        </w:rPr>
        <w:t xml:space="preserve"> </w:t>
      </w:r>
      <w:r>
        <w:t>bien</w:t>
      </w:r>
      <w:r>
        <w:rPr>
          <w:spacing w:val="-4"/>
        </w:rPr>
        <w:t xml:space="preserve"> </w:t>
      </w:r>
      <w:r>
        <w:t>se</w:t>
      </w:r>
      <w:r>
        <w:rPr>
          <w:spacing w:val="-3"/>
        </w:rPr>
        <w:t xml:space="preserve"> </w:t>
      </w:r>
      <w:r>
        <w:t>puede</w:t>
      </w:r>
      <w:r>
        <w:rPr>
          <w:spacing w:val="-3"/>
        </w:rPr>
        <w:t xml:space="preserve"> </w:t>
      </w:r>
      <w:r>
        <w:t>ubicar</w:t>
      </w:r>
      <w:r>
        <w:rPr>
          <w:spacing w:val="-3"/>
        </w:rPr>
        <w:t xml:space="preserve"> </w:t>
      </w:r>
      <w:r>
        <w:t>en</w:t>
      </w:r>
      <w:r>
        <w:rPr>
          <w:spacing w:val="-4"/>
        </w:rPr>
        <w:t xml:space="preserve"> </w:t>
      </w:r>
      <w:r>
        <w:t>2010,</w:t>
      </w:r>
      <w:r>
        <w:rPr>
          <w:spacing w:val="-4"/>
        </w:rPr>
        <w:t xml:space="preserve"> </w:t>
      </w:r>
      <w:r>
        <w:t>el</w:t>
      </w:r>
      <w:r>
        <w:rPr>
          <w:spacing w:val="-3"/>
        </w:rPr>
        <w:t xml:space="preserve"> </w:t>
      </w:r>
      <w:r>
        <w:t>presidente</w:t>
      </w:r>
      <w:r>
        <w:rPr>
          <w:spacing w:val="-3"/>
        </w:rPr>
        <w:t xml:space="preserve"> </w:t>
      </w:r>
      <w:r>
        <w:t>Uribe</w:t>
      </w:r>
      <w:r>
        <w:rPr>
          <w:spacing w:val="-3"/>
        </w:rPr>
        <w:t xml:space="preserve"> </w:t>
      </w:r>
      <w:r>
        <w:t>quiso</w:t>
      </w:r>
      <w:r>
        <w:rPr>
          <w:spacing w:val="-4"/>
        </w:rPr>
        <w:t xml:space="preserve"> </w:t>
      </w:r>
      <w:r>
        <w:t>una segunda</w:t>
      </w:r>
      <w:r>
        <w:rPr>
          <w:spacing w:val="27"/>
        </w:rPr>
        <w:t xml:space="preserve"> </w:t>
      </w:r>
      <w:r>
        <w:t>reelección</w:t>
      </w:r>
      <w:r>
        <w:rPr>
          <w:spacing w:val="30"/>
        </w:rPr>
        <w:t xml:space="preserve"> </w:t>
      </w:r>
      <w:r>
        <w:t>con</w:t>
      </w:r>
      <w:r>
        <w:rPr>
          <w:spacing w:val="29"/>
        </w:rPr>
        <w:t xml:space="preserve"> </w:t>
      </w:r>
      <w:r>
        <w:t>el</w:t>
      </w:r>
      <w:r>
        <w:rPr>
          <w:spacing w:val="30"/>
        </w:rPr>
        <w:t xml:space="preserve"> </w:t>
      </w:r>
      <w:r>
        <w:t>argumento</w:t>
      </w:r>
      <w:r>
        <w:rPr>
          <w:spacing w:val="29"/>
        </w:rPr>
        <w:t xml:space="preserve"> </w:t>
      </w:r>
      <w:r>
        <w:t>de</w:t>
      </w:r>
      <w:r>
        <w:rPr>
          <w:spacing w:val="30"/>
        </w:rPr>
        <w:t xml:space="preserve"> </w:t>
      </w:r>
      <w:r>
        <w:t>que</w:t>
      </w:r>
      <w:r>
        <w:rPr>
          <w:spacing w:val="29"/>
        </w:rPr>
        <w:t xml:space="preserve"> </w:t>
      </w:r>
      <w:r>
        <w:t>la</w:t>
      </w:r>
      <w:r>
        <w:rPr>
          <w:spacing w:val="30"/>
        </w:rPr>
        <w:t xml:space="preserve"> </w:t>
      </w:r>
      <w:r>
        <w:t>insurgencia</w:t>
      </w:r>
      <w:r>
        <w:rPr>
          <w:spacing w:val="28"/>
        </w:rPr>
        <w:t xml:space="preserve"> </w:t>
      </w:r>
      <w:r>
        <w:t>podía</w:t>
      </w:r>
      <w:r>
        <w:rPr>
          <w:spacing w:val="30"/>
        </w:rPr>
        <w:t xml:space="preserve"> </w:t>
      </w:r>
      <w:r>
        <w:t>ser</w:t>
      </w:r>
      <w:r>
        <w:rPr>
          <w:spacing w:val="29"/>
        </w:rPr>
        <w:t xml:space="preserve"> </w:t>
      </w:r>
      <w:r>
        <w:t>vencida</w:t>
      </w:r>
      <w:r>
        <w:rPr>
          <w:spacing w:val="30"/>
        </w:rPr>
        <w:t xml:space="preserve"> </w:t>
      </w:r>
      <w:r>
        <w:t>de</w:t>
      </w:r>
      <w:r>
        <w:rPr>
          <w:spacing w:val="30"/>
        </w:rPr>
        <w:t xml:space="preserve"> </w:t>
      </w:r>
      <w:r>
        <w:rPr>
          <w:spacing w:val="-2"/>
        </w:rPr>
        <w:t>manera</w:t>
      </w:r>
      <w:r w:rsidR="005E6FDC">
        <w:rPr>
          <w:spacing w:val="-2"/>
        </w:rPr>
        <w:t xml:space="preserve"> </w:t>
      </w:r>
      <w:r>
        <w:t xml:space="preserve">definitiva con cuatro años más en el poder. La Corte Constitucional evitó que esto </w:t>
      </w:r>
      <w:r>
        <w:rPr>
          <w:spacing w:val="-2"/>
        </w:rPr>
        <w:t>sucediera</w:t>
      </w:r>
      <w:r w:rsidR="005E6FDC">
        <w:rPr>
          <w:rStyle w:val="Refdenotaalpie"/>
          <w:spacing w:val="-2"/>
        </w:rPr>
        <w:footnoteReference w:id="100"/>
      </w:r>
      <w:r>
        <w:rPr>
          <w:spacing w:val="-2"/>
        </w:rPr>
        <w:t>.</w:t>
      </w:r>
    </w:p>
    <w:p w:rsidR="0011361F" w:rsidRDefault="00AF18A5" w:rsidP="004A6EF4">
      <w:pPr>
        <w:pStyle w:val="Ttulo3"/>
        <w:numPr>
          <w:ilvl w:val="1"/>
          <w:numId w:val="16"/>
        </w:numPr>
      </w:pPr>
      <w:bookmarkStart w:id="165" w:name="2.5._La_paz_¿estable_y_duradera?"/>
      <w:bookmarkStart w:id="166" w:name="_Toc112399553"/>
      <w:bookmarkEnd w:id="165"/>
      <w:r>
        <w:t>La</w:t>
      </w:r>
      <w:r>
        <w:rPr>
          <w:spacing w:val="-1"/>
        </w:rPr>
        <w:t xml:space="preserve"> </w:t>
      </w:r>
      <w:r>
        <w:t>paz</w:t>
      </w:r>
      <w:r>
        <w:rPr>
          <w:spacing w:val="-1"/>
        </w:rPr>
        <w:t xml:space="preserve"> </w:t>
      </w:r>
      <w:r>
        <w:t>¿</w:t>
      </w:r>
      <w:r w:rsidRPr="005E6FDC">
        <w:t>estable</w:t>
      </w:r>
      <w:r>
        <w:rPr>
          <w:spacing w:val="-1"/>
        </w:rPr>
        <w:t xml:space="preserve"> </w:t>
      </w:r>
      <w:r>
        <w:t xml:space="preserve">y </w:t>
      </w:r>
      <w:r>
        <w:rPr>
          <w:spacing w:val="-2"/>
        </w:rPr>
        <w:t>duradera?</w:t>
      </w:r>
      <w:bookmarkEnd w:id="166"/>
    </w:p>
    <w:p w:rsidR="003804AC" w:rsidRDefault="00AF18A5" w:rsidP="008A4207">
      <w:r>
        <w:lastRenderedPageBreak/>
        <w:t>Aunque</w:t>
      </w:r>
      <w:r>
        <w:rPr>
          <w:spacing w:val="-8"/>
        </w:rPr>
        <w:t xml:space="preserve"> </w:t>
      </w:r>
      <w:r>
        <w:t>Juan</w:t>
      </w:r>
      <w:r>
        <w:rPr>
          <w:spacing w:val="-8"/>
        </w:rPr>
        <w:t xml:space="preserve"> </w:t>
      </w:r>
      <w:r>
        <w:t>Manuel</w:t>
      </w:r>
      <w:r>
        <w:rPr>
          <w:spacing w:val="-8"/>
        </w:rPr>
        <w:t xml:space="preserve"> </w:t>
      </w:r>
      <w:r>
        <w:t>Santos</w:t>
      </w:r>
      <w:r>
        <w:rPr>
          <w:spacing w:val="-8"/>
        </w:rPr>
        <w:t xml:space="preserve"> </w:t>
      </w:r>
      <w:r>
        <w:t>ganó</w:t>
      </w:r>
      <w:r>
        <w:rPr>
          <w:spacing w:val="-8"/>
        </w:rPr>
        <w:t xml:space="preserve"> </w:t>
      </w:r>
      <w:r>
        <w:t>las</w:t>
      </w:r>
      <w:r>
        <w:rPr>
          <w:spacing w:val="-8"/>
        </w:rPr>
        <w:t xml:space="preserve"> </w:t>
      </w:r>
      <w:r>
        <w:t>elecciones</w:t>
      </w:r>
      <w:r>
        <w:rPr>
          <w:spacing w:val="-9"/>
        </w:rPr>
        <w:t xml:space="preserve"> </w:t>
      </w:r>
      <w:r>
        <w:t>en</w:t>
      </w:r>
      <w:r>
        <w:rPr>
          <w:spacing w:val="-8"/>
        </w:rPr>
        <w:t xml:space="preserve"> </w:t>
      </w:r>
      <w:r>
        <w:t>2010</w:t>
      </w:r>
      <w:r>
        <w:rPr>
          <w:spacing w:val="-8"/>
        </w:rPr>
        <w:t xml:space="preserve"> </w:t>
      </w:r>
      <w:r>
        <w:t>con</w:t>
      </w:r>
      <w:r>
        <w:rPr>
          <w:spacing w:val="-8"/>
        </w:rPr>
        <w:t xml:space="preserve"> </w:t>
      </w:r>
      <w:r>
        <w:t>el</w:t>
      </w:r>
      <w:r>
        <w:rPr>
          <w:spacing w:val="-8"/>
        </w:rPr>
        <w:t xml:space="preserve"> </w:t>
      </w:r>
      <w:r>
        <w:t>guiño</w:t>
      </w:r>
      <w:r>
        <w:rPr>
          <w:spacing w:val="-8"/>
        </w:rPr>
        <w:t xml:space="preserve"> </w:t>
      </w:r>
      <w:r>
        <w:t>y</w:t>
      </w:r>
      <w:r>
        <w:rPr>
          <w:spacing w:val="-8"/>
        </w:rPr>
        <w:t xml:space="preserve"> </w:t>
      </w:r>
      <w:r>
        <w:t>el</w:t>
      </w:r>
      <w:r>
        <w:rPr>
          <w:spacing w:val="-9"/>
        </w:rPr>
        <w:t xml:space="preserve"> </w:t>
      </w:r>
      <w:r>
        <w:t>capital</w:t>
      </w:r>
      <w:r>
        <w:rPr>
          <w:spacing w:val="-8"/>
        </w:rPr>
        <w:t xml:space="preserve"> </w:t>
      </w:r>
      <w:r>
        <w:t>político</w:t>
      </w:r>
      <w:r>
        <w:rPr>
          <w:spacing w:val="-8"/>
        </w:rPr>
        <w:t xml:space="preserve"> </w:t>
      </w:r>
      <w:r>
        <w:t>de Álvaro Uribe, la coalición de gobierno que formó o reestructuró estuvo desde un principio pensada en la negociación con las FARC-EP y el ELN. Por ello, Santos nombró una cúpula militar</w:t>
      </w:r>
      <w:r>
        <w:rPr>
          <w:spacing w:val="-1"/>
        </w:rPr>
        <w:t xml:space="preserve"> </w:t>
      </w:r>
      <w:r>
        <w:t>afín</w:t>
      </w:r>
      <w:r>
        <w:rPr>
          <w:spacing w:val="-3"/>
        </w:rPr>
        <w:t xml:space="preserve"> </w:t>
      </w:r>
      <w:r>
        <w:t>a</w:t>
      </w:r>
      <w:r>
        <w:rPr>
          <w:spacing w:val="-1"/>
        </w:rPr>
        <w:t xml:space="preserve"> </w:t>
      </w:r>
      <w:r>
        <w:t>ese</w:t>
      </w:r>
      <w:r>
        <w:rPr>
          <w:spacing w:val="-1"/>
        </w:rPr>
        <w:t xml:space="preserve"> </w:t>
      </w:r>
      <w:r>
        <w:t>propósito</w:t>
      </w:r>
      <w:r>
        <w:rPr>
          <w:spacing w:val="-1"/>
        </w:rPr>
        <w:t xml:space="preserve"> </w:t>
      </w:r>
      <w:r>
        <w:t>y</w:t>
      </w:r>
      <w:r>
        <w:rPr>
          <w:spacing w:val="-1"/>
        </w:rPr>
        <w:t xml:space="preserve"> </w:t>
      </w:r>
      <w:r>
        <w:t>enfocó</w:t>
      </w:r>
      <w:r>
        <w:rPr>
          <w:spacing w:val="-3"/>
        </w:rPr>
        <w:t xml:space="preserve"> </w:t>
      </w:r>
      <w:r>
        <w:t>su</w:t>
      </w:r>
      <w:r>
        <w:rPr>
          <w:spacing w:val="-1"/>
        </w:rPr>
        <w:t xml:space="preserve"> </w:t>
      </w:r>
      <w:r>
        <w:t>esfuerzo</w:t>
      </w:r>
      <w:r>
        <w:rPr>
          <w:spacing w:val="-3"/>
        </w:rPr>
        <w:t xml:space="preserve"> </w:t>
      </w:r>
      <w:r>
        <w:t>en</w:t>
      </w:r>
      <w:r>
        <w:rPr>
          <w:spacing w:val="-1"/>
        </w:rPr>
        <w:t xml:space="preserve"> </w:t>
      </w:r>
      <w:r>
        <w:t>materia</w:t>
      </w:r>
      <w:r>
        <w:rPr>
          <w:spacing w:val="-1"/>
        </w:rPr>
        <w:t xml:space="preserve"> </w:t>
      </w:r>
      <w:r>
        <w:t>internacional</w:t>
      </w:r>
      <w:r>
        <w:rPr>
          <w:spacing w:val="-2"/>
        </w:rPr>
        <w:t xml:space="preserve"> </w:t>
      </w:r>
      <w:r>
        <w:t>con</w:t>
      </w:r>
      <w:r>
        <w:rPr>
          <w:spacing w:val="-1"/>
        </w:rPr>
        <w:t xml:space="preserve"> </w:t>
      </w:r>
      <w:r>
        <w:t>esto</w:t>
      </w:r>
      <w:r>
        <w:rPr>
          <w:spacing w:val="-1"/>
        </w:rPr>
        <w:t xml:space="preserve"> </w:t>
      </w:r>
      <w:r>
        <w:t>en</w:t>
      </w:r>
      <w:r>
        <w:rPr>
          <w:spacing w:val="-2"/>
        </w:rPr>
        <w:t xml:space="preserve"> mente.</w:t>
      </w:r>
    </w:p>
    <w:p w:rsidR="003804AC" w:rsidRDefault="00AF18A5" w:rsidP="008A4207">
      <w:r>
        <w:t>Su siguiente paso definitivo fue reconocer que en Colombia había un conflicto armado interno</w:t>
      </w:r>
      <w:r>
        <w:rPr>
          <w:spacing w:val="-8"/>
        </w:rPr>
        <w:t xml:space="preserve"> </w:t>
      </w:r>
      <w:r>
        <w:t>y</w:t>
      </w:r>
      <w:r>
        <w:rPr>
          <w:spacing w:val="-8"/>
        </w:rPr>
        <w:t xml:space="preserve"> </w:t>
      </w:r>
      <w:r>
        <w:t>unas</w:t>
      </w:r>
      <w:r>
        <w:rPr>
          <w:spacing w:val="-8"/>
        </w:rPr>
        <w:t xml:space="preserve"> </w:t>
      </w:r>
      <w:r>
        <w:t>víctimas</w:t>
      </w:r>
      <w:r>
        <w:rPr>
          <w:spacing w:val="-9"/>
        </w:rPr>
        <w:t xml:space="preserve"> </w:t>
      </w:r>
      <w:r>
        <w:t>que</w:t>
      </w:r>
      <w:r>
        <w:rPr>
          <w:spacing w:val="-8"/>
        </w:rPr>
        <w:t xml:space="preserve"> </w:t>
      </w:r>
      <w:r>
        <w:t>tenían</w:t>
      </w:r>
      <w:r>
        <w:rPr>
          <w:spacing w:val="-8"/>
        </w:rPr>
        <w:t xml:space="preserve"> </w:t>
      </w:r>
      <w:r>
        <w:t>derecho</w:t>
      </w:r>
      <w:r>
        <w:rPr>
          <w:spacing w:val="-9"/>
        </w:rPr>
        <w:t xml:space="preserve"> </w:t>
      </w:r>
      <w:r>
        <w:t>a</w:t>
      </w:r>
      <w:r>
        <w:rPr>
          <w:spacing w:val="-8"/>
        </w:rPr>
        <w:t xml:space="preserve"> </w:t>
      </w:r>
      <w:r>
        <w:t>ser</w:t>
      </w:r>
      <w:r>
        <w:rPr>
          <w:spacing w:val="-9"/>
        </w:rPr>
        <w:t xml:space="preserve"> </w:t>
      </w:r>
      <w:r>
        <w:t>reparadas</w:t>
      </w:r>
      <w:r>
        <w:rPr>
          <w:spacing w:val="-8"/>
        </w:rPr>
        <w:t xml:space="preserve"> </w:t>
      </w:r>
      <w:r>
        <w:t>y</w:t>
      </w:r>
      <w:r>
        <w:rPr>
          <w:spacing w:val="-9"/>
        </w:rPr>
        <w:t xml:space="preserve"> </w:t>
      </w:r>
      <w:r>
        <w:t>restituidas.</w:t>
      </w:r>
      <w:r>
        <w:rPr>
          <w:spacing w:val="-9"/>
        </w:rPr>
        <w:t xml:space="preserve"> </w:t>
      </w:r>
      <w:r>
        <w:t>Este</w:t>
      </w:r>
      <w:r>
        <w:rPr>
          <w:spacing w:val="-8"/>
        </w:rPr>
        <w:t xml:space="preserve"> </w:t>
      </w:r>
      <w:r>
        <w:t>reconocimiento quedó</w:t>
      </w:r>
      <w:r>
        <w:rPr>
          <w:spacing w:val="-4"/>
        </w:rPr>
        <w:t xml:space="preserve"> </w:t>
      </w:r>
      <w:r>
        <w:t>consignado</w:t>
      </w:r>
      <w:r>
        <w:rPr>
          <w:spacing w:val="-4"/>
        </w:rPr>
        <w:t xml:space="preserve"> </w:t>
      </w:r>
      <w:r>
        <w:t>en</w:t>
      </w:r>
      <w:r>
        <w:rPr>
          <w:spacing w:val="-5"/>
        </w:rPr>
        <w:t xml:space="preserve"> </w:t>
      </w:r>
      <w:r>
        <w:t>la</w:t>
      </w:r>
      <w:r>
        <w:rPr>
          <w:spacing w:val="-5"/>
        </w:rPr>
        <w:t xml:space="preserve"> </w:t>
      </w:r>
      <w:r>
        <w:t>Ley</w:t>
      </w:r>
      <w:r>
        <w:rPr>
          <w:spacing w:val="-4"/>
        </w:rPr>
        <w:t xml:space="preserve"> </w:t>
      </w:r>
      <w:r>
        <w:t>de</w:t>
      </w:r>
      <w:r>
        <w:rPr>
          <w:spacing w:val="-3"/>
        </w:rPr>
        <w:t xml:space="preserve"> </w:t>
      </w:r>
      <w:r>
        <w:t>Víctimas</w:t>
      </w:r>
      <w:r>
        <w:rPr>
          <w:spacing w:val="-3"/>
        </w:rPr>
        <w:t xml:space="preserve"> </w:t>
      </w:r>
      <w:r>
        <w:t>que</w:t>
      </w:r>
      <w:r>
        <w:rPr>
          <w:spacing w:val="-5"/>
        </w:rPr>
        <w:t xml:space="preserve"> </w:t>
      </w:r>
      <w:r>
        <w:t>les</w:t>
      </w:r>
      <w:r>
        <w:rPr>
          <w:spacing w:val="-5"/>
        </w:rPr>
        <w:t xml:space="preserve"> </w:t>
      </w:r>
      <w:r>
        <w:t>daba</w:t>
      </w:r>
      <w:r>
        <w:rPr>
          <w:spacing w:val="-3"/>
        </w:rPr>
        <w:t xml:space="preserve"> </w:t>
      </w:r>
      <w:r>
        <w:t>a</w:t>
      </w:r>
      <w:r>
        <w:rPr>
          <w:spacing w:val="-5"/>
        </w:rPr>
        <w:t xml:space="preserve"> </w:t>
      </w:r>
      <w:r>
        <w:t>las</w:t>
      </w:r>
      <w:r>
        <w:rPr>
          <w:spacing w:val="-5"/>
        </w:rPr>
        <w:t xml:space="preserve"> </w:t>
      </w:r>
      <w:r>
        <w:t>guerrillas</w:t>
      </w:r>
      <w:r>
        <w:rPr>
          <w:spacing w:val="-3"/>
        </w:rPr>
        <w:t xml:space="preserve"> </w:t>
      </w:r>
      <w:r>
        <w:t>el</w:t>
      </w:r>
      <w:r>
        <w:rPr>
          <w:spacing w:val="-3"/>
        </w:rPr>
        <w:t xml:space="preserve"> </w:t>
      </w:r>
      <w:r>
        <w:t>carácter</w:t>
      </w:r>
      <w:r>
        <w:rPr>
          <w:spacing w:val="-3"/>
        </w:rPr>
        <w:t xml:space="preserve"> </w:t>
      </w:r>
      <w:r>
        <w:t>político</w:t>
      </w:r>
      <w:r>
        <w:rPr>
          <w:spacing w:val="-4"/>
        </w:rPr>
        <w:t xml:space="preserve"> </w:t>
      </w:r>
      <w:r>
        <w:t>que se</w:t>
      </w:r>
      <w:r>
        <w:rPr>
          <w:spacing w:val="-2"/>
        </w:rPr>
        <w:t xml:space="preserve"> </w:t>
      </w:r>
      <w:r>
        <w:t>les</w:t>
      </w:r>
      <w:r>
        <w:rPr>
          <w:spacing w:val="-2"/>
        </w:rPr>
        <w:t xml:space="preserve"> </w:t>
      </w:r>
      <w:r>
        <w:t>había</w:t>
      </w:r>
      <w:r>
        <w:rPr>
          <w:spacing w:val="-3"/>
        </w:rPr>
        <w:t xml:space="preserve"> </w:t>
      </w:r>
      <w:r>
        <w:t>negado</w:t>
      </w:r>
      <w:r>
        <w:rPr>
          <w:spacing w:val="-2"/>
        </w:rPr>
        <w:t xml:space="preserve"> </w:t>
      </w:r>
      <w:r>
        <w:t>durante</w:t>
      </w:r>
      <w:r>
        <w:rPr>
          <w:spacing w:val="-3"/>
        </w:rPr>
        <w:t xml:space="preserve"> </w:t>
      </w:r>
      <w:r>
        <w:t>los</w:t>
      </w:r>
      <w:r>
        <w:rPr>
          <w:spacing w:val="-2"/>
        </w:rPr>
        <w:t xml:space="preserve"> </w:t>
      </w:r>
      <w:r>
        <w:t>años</w:t>
      </w:r>
      <w:r>
        <w:rPr>
          <w:spacing w:val="-3"/>
        </w:rPr>
        <w:t xml:space="preserve"> </w:t>
      </w:r>
      <w:r>
        <w:t>anteriores.</w:t>
      </w:r>
      <w:r>
        <w:rPr>
          <w:spacing w:val="-2"/>
        </w:rPr>
        <w:t xml:space="preserve"> </w:t>
      </w:r>
      <w:r>
        <w:t>Esta</w:t>
      </w:r>
      <w:r>
        <w:rPr>
          <w:spacing w:val="-3"/>
        </w:rPr>
        <w:t xml:space="preserve"> </w:t>
      </w:r>
      <w:r>
        <w:t>también</w:t>
      </w:r>
      <w:r>
        <w:rPr>
          <w:spacing w:val="-5"/>
        </w:rPr>
        <w:t xml:space="preserve"> </w:t>
      </w:r>
      <w:r>
        <w:t>reconocía</w:t>
      </w:r>
      <w:r>
        <w:rPr>
          <w:spacing w:val="-3"/>
        </w:rPr>
        <w:t xml:space="preserve"> </w:t>
      </w:r>
      <w:r>
        <w:t>intrínsecamente</w:t>
      </w:r>
      <w:r>
        <w:rPr>
          <w:spacing w:val="-2"/>
        </w:rPr>
        <w:t xml:space="preserve"> </w:t>
      </w:r>
      <w:r>
        <w:t>que el</w:t>
      </w:r>
      <w:r>
        <w:rPr>
          <w:spacing w:val="-8"/>
        </w:rPr>
        <w:t xml:space="preserve"> </w:t>
      </w:r>
      <w:r>
        <w:t>Estado</w:t>
      </w:r>
      <w:r>
        <w:rPr>
          <w:spacing w:val="-8"/>
        </w:rPr>
        <w:t xml:space="preserve"> </w:t>
      </w:r>
      <w:r>
        <w:t>había</w:t>
      </w:r>
      <w:r>
        <w:rPr>
          <w:spacing w:val="-8"/>
        </w:rPr>
        <w:t xml:space="preserve"> </w:t>
      </w:r>
      <w:r>
        <w:t>sido</w:t>
      </w:r>
      <w:r>
        <w:rPr>
          <w:spacing w:val="-9"/>
        </w:rPr>
        <w:t xml:space="preserve"> </w:t>
      </w:r>
      <w:r>
        <w:t>responsable</w:t>
      </w:r>
      <w:r>
        <w:rPr>
          <w:spacing w:val="-9"/>
        </w:rPr>
        <w:t xml:space="preserve"> </w:t>
      </w:r>
      <w:r>
        <w:t>de</w:t>
      </w:r>
      <w:r>
        <w:rPr>
          <w:spacing w:val="-8"/>
        </w:rPr>
        <w:t xml:space="preserve"> </w:t>
      </w:r>
      <w:r>
        <w:t>violaciones</w:t>
      </w:r>
      <w:r>
        <w:rPr>
          <w:spacing w:val="-9"/>
        </w:rPr>
        <w:t xml:space="preserve"> </w:t>
      </w:r>
      <w:r>
        <w:t>de</w:t>
      </w:r>
      <w:r>
        <w:rPr>
          <w:spacing w:val="-8"/>
        </w:rPr>
        <w:t xml:space="preserve"> </w:t>
      </w:r>
      <w:r>
        <w:t>los</w:t>
      </w:r>
      <w:r>
        <w:rPr>
          <w:spacing w:val="-9"/>
        </w:rPr>
        <w:t xml:space="preserve"> </w:t>
      </w:r>
      <w:r>
        <w:t>DD.</w:t>
      </w:r>
      <w:r>
        <w:rPr>
          <w:spacing w:val="-8"/>
        </w:rPr>
        <w:t xml:space="preserve"> </w:t>
      </w:r>
      <w:r>
        <w:t>HH.</w:t>
      </w:r>
      <w:r>
        <w:rPr>
          <w:spacing w:val="-8"/>
        </w:rPr>
        <w:t xml:space="preserve"> </w:t>
      </w:r>
      <w:r>
        <w:t>e</w:t>
      </w:r>
      <w:r>
        <w:rPr>
          <w:spacing w:val="-8"/>
        </w:rPr>
        <w:t xml:space="preserve"> </w:t>
      </w:r>
      <w:r>
        <w:t>infracciones</w:t>
      </w:r>
      <w:r>
        <w:rPr>
          <w:spacing w:val="-8"/>
        </w:rPr>
        <w:t xml:space="preserve"> </w:t>
      </w:r>
      <w:r>
        <w:t>del</w:t>
      </w:r>
      <w:r>
        <w:rPr>
          <w:spacing w:val="-8"/>
        </w:rPr>
        <w:t xml:space="preserve"> </w:t>
      </w:r>
      <w:r>
        <w:t>DIH,</w:t>
      </w:r>
      <w:r>
        <w:rPr>
          <w:spacing w:val="-8"/>
        </w:rPr>
        <w:t xml:space="preserve"> </w:t>
      </w:r>
      <w:r>
        <w:t>pues se reconocía la existencia de víctimas de este</w:t>
      </w:r>
      <w:r w:rsidR="008A4207">
        <w:rPr>
          <w:rStyle w:val="Refdenotaalpie"/>
        </w:rPr>
        <w:footnoteReference w:id="101"/>
      </w:r>
      <w:r>
        <w:t>.</w:t>
      </w:r>
    </w:p>
    <w:p w:rsidR="003804AC" w:rsidRDefault="00AF18A5" w:rsidP="008A4207">
      <w:r>
        <w:t>Santos</w:t>
      </w:r>
      <w:r>
        <w:rPr>
          <w:spacing w:val="-2"/>
        </w:rPr>
        <w:t xml:space="preserve"> </w:t>
      </w:r>
      <w:r>
        <w:t>no</w:t>
      </w:r>
      <w:r>
        <w:rPr>
          <w:spacing w:val="-3"/>
        </w:rPr>
        <w:t xml:space="preserve"> </w:t>
      </w:r>
      <w:r>
        <w:t>detuvo</w:t>
      </w:r>
      <w:r>
        <w:rPr>
          <w:spacing w:val="-2"/>
        </w:rPr>
        <w:t xml:space="preserve"> </w:t>
      </w:r>
      <w:r>
        <w:t>la</w:t>
      </w:r>
      <w:r>
        <w:rPr>
          <w:spacing w:val="-2"/>
        </w:rPr>
        <w:t xml:space="preserve"> </w:t>
      </w:r>
      <w:r>
        <w:t>ofensiva</w:t>
      </w:r>
      <w:r>
        <w:rPr>
          <w:spacing w:val="-3"/>
        </w:rPr>
        <w:t xml:space="preserve"> </w:t>
      </w:r>
      <w:r>
        <w:t>militar</w:t>
      </w:r>
      <w:r>
        <w:rPr>
          <w:spacing w:val="-4"/>
        </w:rPr>
        <w:t xml:space="preserve"> </w:t>
      </w:r>
      <w:r>
        <w:t>contra</w:t>
      </w:r>
      <w:r>
        <w:rPr>
          <w:spacing w:val="-3"/>
        </w:rPr>
        <w:t xml:space="preserve"> </w:t>
      </w:r>
      <w:r>
        <w:t>las</w:t>
      </w:r>
      <w:r>
        <w:rPr>
          <w:spacing w:val="-2"/>
        </w:rPr>
        <w:t xml:space="preserve"> </w:t>
      </w:r>
      <w:r>
        <w:t>guerrillas,</w:t>
      </w:r>
      <w:r>
        <w:rPr>
          <w:spacing w:val="-2"/>
        </w:rPr>
        <w:t xml:space="preserve"> </w:t>
      </w:r>
      <w:r>
        <w:t>pero</w:t>
      </w:r>
      <w:r>
        <w:rPr>
          <w:spacing w:val="-3"/>
        </w:rPr>
        <w:t xml:space="preserve"> </w:t>
      </w:r>
      <w:r>
        <w:t>le</w:t>
      </w:r>
      <w:r>
        <w:rPr>
          <w:spacing w:val="-3"/>
        </w:rPr>
        <w:t xml:space="preserve"> </w:t>
      </w:r>
      <w:r>
        <w:t>tendió</w:t>
      </w:r>
      <w:r>
        <w:rPr>
          <w:spacing w:val="-2"/>
        </w:rPr>
        <w:t xml:space="preserve"> </w:t>
      </w:r>
      <w:r>
        <w:t>un</w:t>
      </w:r>
      <w:r>
        <w:rPr>
          <w:spacing w:val="-3"/>
        </w:rPr>
        <w:t xml:space="preserve"> </w:t>
      </w:r>
      <w:r>
        <w:t>ramo</w:t>
      </w:r>
      <w:r>
        <w:rPr>
          <w:spacing w:val="-2"/>
        </w:rPr>
        <w:t xml:space="preserve"> </w:t>
      </w:r>
      <w:r>
        <w:t>de</w:t>
      </w:r>
      <w:r>
        <w:rPr>
          <w:spacing w:val="-3"/>
        </w:rPr>
        <w:t xml:space="preserve"> </w:t>
      </w:r>
      <w:r>
        <w:t>olivo a las víctimas y, por medio de este, formó una coalición diferente a la que lo había elegido. La</w:t>
      </w:r>
      <w:r>
        <w:rPr>
          <w:spacing w:val="-1"/>
        </w:rPr>
        <w:t xml:space="preserve"> </w:t>
      </w:r>
      <w:r>
        <w:t>alianza</w:t>
      </w:r>
      <w:r>
        <w:rPr>
          <w:spacing w:val="-1"/>
        </w:rPr>
        <w:t xml:space="preserve"> </w:t>
      </w:r>
      <w:r>
        <w:t>política</w:t>
      </w:r>
      <w:r>
        <w:rPr>
          <w:spacing w:val="-1"/>
        </w:rPr>
        <w:t xml:space="preserve"> </w:t>
      </w:r>
      <w:r>
        <w:t>con</w:t>
      </w:r>
      <w:r>
        <w:rPr>
          <w:spacing w:val="-1"/>
        </w:rPr>
        <w:t xml:space="preserve"> </w:t>
      </w:r>
      <w:r>
        <w:t>la</w:t>
      </w:r>
      <w:r>
        <w:rPr>
          <w:spacing w:val="-1"/>
        </w:rPr>
        <w:t xml:space="preserve"> </w:t>
      </w:r>
      <w:r>
        <w:t>que</w:t>
      </w:r>
      <w:r>
        <w:rPr>
          <w:spacing w:val="-1"/>
        </w:rPr>
        <w:t xml:space="preserve"> </w:t>
      </w:r>
      <w:r>
        <w:t>gobernó</w:t>
      </w:r>
      <w:r>
        <w:rPr>
          <w:spacing w:val="-1"/>
        </w:rPr>
        <w:t xml:space="preserve"> </w:t>
      </w:r>
      <w:r>
        <w:t>Uribe</w:t>
      </w:r>
      <w:r>
        <w:rPr>
          <w:spacing w:val="-1"/>
        </w:rPr>
        <w:t xml:space="preserve"> </w:t>
      </w:r>
      <w:r>
        <w:t>era</w:t>
      </w:r>
      <w:r>
        <w:rPr>
          <w:spacing w:val="-2"/>
        </w:rPr>
        <w:t xml:space="preserve"> </w:t>
      </w:r>
      <w:r>
        <w:t>para</w:t>
      </w:r>
      <w:r>
        <w:rPr>
          <w:spacing w:val="-1"/>
        </w:rPr>
        <w:t xml:space="preserve"> </w:t>
      </w:r>
      <w:r>
        <w:t>ganar</w:t>
      </w:r>
      <w:r>
        <w:rPr>
          <w:spacing w:val="-1"/>
        </w:rPr>
        <w:t xml:space="preserve"> </w:t>
      </w:r>
      <w:r>
        <w:t>la</w:t>
      </w:r>
      <w:r>
        <w:rPr>
          <w:spacing w:val="-1"/>
        </w:rPr>
        <w:t xml:space="preserve"> </w:t>
      </w:r>
      <w:r>
        <w:t>guerra</w:t>
      </w:r>
      <w:r>
        <w:rPr>
          <w:spacing w:val="-1"/>
        </w:rPr>
        <w:t xml:space="preserve"> </w:t>
      </w:r>
      <w:r>
        <w:t>contra</w:t>
      </w:r>
      <w:r>
        <w:rPr>
          <w:spacing w:val="-1"/>
        </w:rPr>
        <w:t xml:space="preserve"> </w:t>
      </w:r>
      <w:r>
        <w:t>las</w:t>
      </w:r>
      <w:r>
        <w:rPr>
          <w:spacing w:val="-1"/>
        </w:rPr>
        <w:t xml:space="preserve"> </w:t>
      </w:r>
      <w:r>
        <w:t xml:space="preserve">FARC-EP y legalizar el </w:t>
      </w:r>
      <w:r>
        <w:rPr>
          <w:i/>
        </w:rPr>
        <w:t xml:space="preserve">statu quo </w:t>
      </w:r>
      <w:r>
        <w:t>de la coalición contrainsurgente de la que muchos habían sido parte directa o indirectamente. Al cambiar esa coalición, Santos indujo una ruptura necesaria en las élites en el poder.</w:t>
      </w:r>
    </w:p>
    <w:p w:rsidR="0011361F" w:rsidRDefault="00AF18A5" w:rsidP="008A43D1">
      <w:r>
        <w:t>En</w:t>
      </w:r>
      <w:r>
        <w:rPr>
          <w:spacing w:val="-11"/>
        </w:rPr>
        <w:t xml:space="preserve"> </w:t>
      </w:r>
      <w:r>
        <w:t>la</w:t>
      </w:r>
      <w:r>
        <w:rPr>
          <w:spacing w:val="-11"/>
        </w:rPr>
        <w:t xml:space="preserve"> </w:t>
      </w:r>
      <w:r>
        <w:t>guerra</w:t>
      </w:r>
      <w:r>
        <w:rPr>
          <w:spacing w:val="-12"/>
        </w:rPr>
        <w:t xml:space="preserve"> </w:t>
      </w:r>
      <w:r>
        <w:t>en</w:t>
      </w:r>
      <w:r>
        <w:rPr>
          <w:spacing w:val="-11"/>
        </w:rPr>
        <w:t xml:space="preserve"> </w:t>
      </w:r>
      <w:r>
        <w:t>Colombia</w:t>
      </w:r>
      <w:r>
        <w:rPr>
          <w:spacing w:val="-12"/>
        </w:rPr>
        <w:t xml:space="preserve"> </w:t>
      </w:r>
      <w:r>
        <w:t>se</w:t>
      </w:r>
      <w:r>
        <w:rPr>
          <w:spacing w:val="-11"/>
        </w:rPr>
        <w:t xml:space="preserve"> </w:t>
      </w:r>
      <w:r>
        <w:t>habían</w:t>
      </w:r>
      <w:r>
        <w:rPr>
          <w:spacing w:val="-11"/>
        </w:rPr>
        <w:t xml:space="preserve"> </w:t>
      </w:r>
      <w:r>
        <w:t>cometido</w:t>
      </w:r>
      <w:r>
        <w:rPr>
          <w:spacing w:val="-11"/>
        </w:rPr>
        <w:t xml:space="preserve"> </w:t>
      </w:r>
      <w:r>
        <w:t>tantos</w:t>
      </w:r>
      <w:r>
        <w:rPr>
          <w:spacing w:val="-11"/>
        </w:rPr>
        <w:t xml:space="preserve"> </w:t>
      </w:r>
      <w:r>
        <w:t>y</w:t>
      </w:r>
      <w:r>
        <w:rPr>
          <w:spacing w:val="-11"/>
        </w:rPr>
        <w:t xml:space="preserve"> </w:t>
      </w:r>
      <w:r>
        <w:t>tan</w:t>
      </w:r>
      <w:r>
        <w:rPr>
          <w:spacing w:val="-11"/>
        </w:rPr>
        <w:t xml:space="preserve"> </w:t>
      </w:r>
      <w:r>
        <w:t>horrorosos</w:t>
      </w:r>
      <w:r>
        <w:rPr>
          <w:spacing w:val="-11"/>
        </w:rPr>
        <w:t xml:space="preserve"> </w:t>
      </w:r>
      <w:r>
        <w:t>crímenes</w:t>
      </w:r>
      <w:r>
        <w:rPr>
          <w:spacing w:val="-11"/>
        </w:rPr>
        <w:t xml:space="preserve"> </w:t>
      </w:r>
      <w:r>
        <w:t>que</w:t>
      </w:r>
      <w:r>
        <w:rPr>
          <w:spacing w:val="-11"/>
        </w:rPr>
        <w:t xml:space="preserve"> </w:t>
      </w:r>
      <w:r>
        <w:t>Santos entendió</w:t>
      </w:r>
      <w:r>
        <w:rPr>
          <w:spacing w:val="-8"/>
        </w:rPr>
        <w:t xml:space="preserve"> </w:t>
      </w:r>
      <w:r>
        <w:t>que</w:t>
      </w:r>
      <w:r>
        <w:rPr>
          <w:spacing w:val="-9"/>
        </w:rPr>
        <w:t xml:space="preserve"> </w:t>
      </w:r>
      <w:r>
        <w:t>ninguna</w:t>
      </w:r>
      <w:r>
        <w:rPr>
          <w:spacing w:val="-8"/>
        </w:rPr>
        <w:t xml:space="preserve"> </w:t>
      </w:r>
      <w:r>
        <w:t>victoria</w:t>
      </w:r>
      <w:r>
        <w:rPr>
          <w:spacing w:val="-8"/>
        </w:rPr>
        <w:t xml:space="preserve"> </w:t>
      </w:r>
      <w:r>
        <w:t>sería</w:t>
      </w:r>
      <w:r>
        <w:rPr>
          <w:spacing w:val="-9"/>
        </w:rPr>
        <w:t xml:space="preserve"> </w:t>
      </w:r>
      <w:r>
        <w:t>legítima</w:t>
      </w:r>
      <w:r>
        <w:rPr>
          <w:spacing w:val="-8"/>
        </w:rPr>
        <w:t xml:space="preserve"> </w:t>
      </w:r>
      <w:r>
        <w:t>si</w:t>
      </w:r>
      <w:r>
        <w:rPr>
          <w:spacing w:val="-8"/>
        </w:rPr>
        <w:t xml:space="preserve"> </w:t>
      </w:r>
      <w:r>
        <w:t>no</w:t>
      </w:r>
      <w:r>
        <w:rPr>
          <w:spacing w:val="-10"/>
        </w:rPr>
        <w:t xml:space="preserve"> </w:t>
      </w:r>
      <w:r>
        <w:t>se</w:t>
      </w:r>
      <w:r>
        <w:rPr>
          <w:spacing w:val="-8"/>
        </w:rPr>
        <w:t xml:space="preserve"> </w:t>
      </w:r>
      <w:r>
        <w:t>reconocían</w:t>
      </w:r>
      <w:r>
        <w:rPr>
          <w:spacing w:val="-8"/>
        </w:rPr>
        <w:t xml:space="preserve"> </w:t>
      </w:r>
      <w:r>
        <w:t>o</w:t>
      </w:r>
      <w:r>
        <w:rPr>
          <w:spacing w:val="-8"/>
        </w:rPr>
        <w:t xml:space="preserve"> </w:t>
      </w:r>
      <w:r>
        <w:t>resarcían</w:t>
      </w:r>
      <w:r>
        <w:rPr>
          <w:spacing w:val="-10"/>
        </w:rPr>
        <w:t xml:space="preserve"> </w:t>
      </w:r>
      <w:r>
        <w:t>parte</w:t>
      </w:r>
      <w:r>
        <w:rPr>
          <w:spacing w:val="-9"/>
        </w:rPr>
        <w:t xml:space="preserve"> </w:t>
      </w:r>
      <w:r>
        <w:t>de</w:t>
      </w:r>
      <w:r>
        <w:rPr>
          <w:spacing w:val="-8"/>
        </w:rPr>
        <w:t xml:space="preserve"> </w:t>
      </w:r>
      <w:r>
        <w:t>ellos.</w:t>
      </w:r>
      <w:r>
        <w:rPr>
          <w:spacing w:val="-9"/>
        </w:rPr>
        <w:t xml:space="preserve"> </w:t>
      </w:r>
      <w:r>
        <w:t xml:space="preserve">La acumulación de tierras a partir del fraude, la corrupción y la violencia ocupaba un espacio especial en ese ramillete. En esa medida, la restitución de tierras fue un </w:t>
      </w:r>
      <w:r>
        <w:lastRenderedPageBreak/>
        <w:t>reconocimiento institucional de que ese robo sí se produjo y se produjo con sangre.</w:t>
      </w:r>
    </w:p>
    <w:p w:rsidR="003804AC" w:rsidRDefault="00AF18A5" w:rsidP="008A43D1">
      <w:bookmarkStart w:id="167" w:name="_bookmark112"/>
      <w:bookmarkStart w:id="168" w:name="_bookmark113"/>
      <w:bookmarkEnd w:id="167"/>
      <w:bookmarkEnd w:id="168"/>
      <w:r>
        <w:t>La ruptura entre Uribe y Santos no fue solo narrativa o ideológica. Esta supuso una bifurcación</w:t>
      </w:r>
      <w:r>
        <w:rPr>
          <w:spacing w:val="-5"/>
        </w:rPr>
        <w:t xml:space="preserve"> </w:t>
      </w:r>
      <w:r>
        <w:t>en</w:t>
      </w:r>
      <w:r>
        <w:rPr>
          <w:spacing w:val="-3"/>
        </w:rPr>
        <w:t xml:space="preserve"> </w:t>
      </w:r>
      <w:r>
        <w:t>el</w:t>
      </w:r>
      <w:r>
        <w:rPr>
          <w:spacing w:val="-3"/>
        </w:rPr>
        <w:t xml:space="preserve"> </w:t>
      </w:r>
      <w:r>
        <w:t>modelo</w:t>
      </w:r>
      <w:r>
        <w:rPr>
          <w:spacing w:val="-3"/>
        </w:rPr>
        <w:t xml:space="preserve"> </w:t>
      </w:r>
      <w:r>
        <w:t>de</w:t>
      </w:r>
      <w:r>
        <w:rPr>
          <w:spacing w:val="-3"/>
        </w:rPr>
        <w:t xml:space="preserve"> </w:t>
      </w:r>
      <w:r>
        <w:t>Estado,</w:t>
      </w:r>
      <w:r>
        <w:rPr>
          <w:spacing w:val="-5"/>
        </w:rPr>
        <w:t xml:space="preserve"> </w:t>
      </w:r>
      <w:r>
        <w:t>de</w:t>
      </w:r>
      <w:r>
        <w:rPr>
          <w:spacing w:val="-3"/>
        </w:rPr>
        <w:t xml:space="preserve"> </w:t>
      </w:r>
      <w:r>
        <w:t>democracia</w:t>
      </w:r>
      <w:r>
        <w:rPr>
          <w:spacing w:val="-3"/>
        </w:rPr>
        <w:t xml:space="preserve"> </w:t>
      </w:r>
      <w:r>
        <w:t>y</w:t>
      </w:r>
      <w:r>
        <w:rPr>
          <w:spacing w:val="-3"/>
        </w:rPr>
        <w:t xml:space="preserve"> </w:t>
      </w:r>
      <w:r>
        <w:t>de</w:t>
      </w:r>
      <w:r>
        <w:rPr>
          <w:spacing w:val="-3"/>
        </w:rPr>
        <w:t xml:space="preserve"> </w:t>
      </w:r>
      <w:r>
        <w:t>sociedad.</w:t>
      </w:r>
      <w:r>
        <w:rPr>
          <w:spacing w:val="-3"/>
        </w:rPr>
        <w:t xml:space="preserve"> </w:t>
      </w:r>
      <w:r>
        <w:t>Al</w:t>
      </w:r>
      <w:r>
        <w:rPr>
          <w:spacing w:val="-3"/>
        </w:rPr>
        <w:t xml:space="preserve"> </w:t>
      </w:r>
      <w:r>
        <w:t>reconocer</w:t>
      </w:r>
      <w:r>
        <w:rPr>
          <w:spacing w:val="-3"/>
        </w:rPr>
        <w:t xml:space="preserve"> </w:t>
      </w:r>
      <w:r>
        <w:t>el</w:t>
      </w:r>
      <w:r>
        <w:rPr>
          <w:spacing w:val="-3"/>
        </w:rPr>
        <w:t xml:space="preserve"> </w:t>
      </w:r>
      <w:r>
        <w:t>problema de la tierra, Santos recogió el legado de López Pumarejo y de Lleras Restrepo. Y al admitir la</w:t>
      </w:r>
      <w:r>
        <w:rPr>
          <w:spacing w:val="-3"/>
        </w:rPr>
        <w:t xml:space="preserve"> </w:t>
      </w:r>
      <w:r>
        <w:t>existencia</w:t>
      </w:r>
      <w:r>
        <w:rPr>
          <w:spacing w:val="-3"/>
        </w:rPr>
        <w:t xml:space="preserve"> </w:t>
      </w:r>
      <w:r>
        <w:t>del</w:t>
      </w:r>
      <w:r>
        <w:rPr>
          <w:spacing w:val="-3"/>
        </w:rPr>
        <w:t xml:space="preserve"> </w:t>
      </w:r>
      <w:r>
        <w:t>conflicto</w:t>
      </w:r>
      <w:r>
        <w:rPr>
          <w:spacing w:val="-3"/>
        </w:rPr>
        <w:t xml:space="preserve"> </w:t>
      </w:r>
      <w:r>
        <w:t>armado,</w:t>
      </w:r>
      <w:r>
        <w:rPr>
          <w:spacing w:val="-4"/>
        </w:rPr>
        <w:t xml:space="preserve"> </w:t>
      </w:r>
      <w:r>
        <w:t>le</w:t>
      </w:r>
      <w:r>
        <w:rPr>
          <w:spacing w:val="-3"/>
        </w:rPr>
        <w:t xml:space="preserve"> </w:t>
      </w:r>
      <w:r>
        <w:t>hizo</w:t>
      </w:r>
      <w:r>
        <w:rPr>
          <w:spacing w:val="-3"/>
        </w:rPr>
        <w:t xml:space="preserve"> </w:t>
      </w:r>
      <w:r>
        <w:t>honor</w:t>
      </w:r>
      <w:r>
        <w:rPr>
          <w:spacing w:val="-3"/>
        </w:rPr>
        <w:t xml:space="preserve"> </w:t>
      </w:r>
      <w:r>
        <w:t>a</w:t>
      </w:r>
      <w:r>
        <w:rPr>
          <w:spacing w:val="-3"/>
        </w:rPr>
        <w:t xml:space="preserve"> </w:t>
      </w:r>
      <w:r>
        <w:t>una</w:t>
      </w:r>
      <w:r>
        <w:rPr>
          <w:spacing w:val="-3"/>
        </w:rPr>
        <w:t xml:space="preserve"> </w:t>
      </w:r>
      <w:r>
        <w:t>tradición</w:t>
      </w:r>
      <w:r>
        <w:rPr>
          <w:spacing w:val="-3"/>
        </w:rPr>
        <w:t xml:space="preserve"> </w:t>
      </w:r>
      <w:r>
        <w:t>política</w:t>
      </w:r>
      <w:r>
        <w:rPr>
          <w:spacing w:val="-3"/>
        </w:rPr>
        <w:t xml:space="preserve"> </w:t>
      </w:r>
      <w:r>
        <w:t>en</w:t>
      </w:r>
      <w:r>
        <w:rPr>
          <w:spacing w:val="-3"/>
        </w:rPr>
        <w:t xml:space="preserve"> </w:t>
      </w:r>
      <w:r>
        <w:t>Colombia:</w:t>
      </w:r>
      <w:r>
        <w:rPr>
          <w:spacing w:val="-3"/>
        </w:rPr>
        <w:t xml:space="preserve"> </w:t>
      </w:r>
      <w:r>
        <w:t>la</w:t>
      </w:r>
      <w:r>
        <w:rPr>
          <w:spacing w:val="-3"/>
        </w:rPr>
        <w:t xml:space="preserve"> </w:t>
      </w:r>
      <w:r>
        <w:t>del diálogo</w:t>
      </w:r>
      <w:r>
        <w:rPr>
          <w:spacing w:val="-2"/>
        </w:rPr>
        <w:t xml:space="preserve"> </w:t>
      </w:r>
      <w:r>
        <w:t>nacional,</w:t>
      </w:r>
      <w:r>
        <w:rPr>
          <w:spacing w:val="-2"/>
        </w:rPr>
        <w:t xml:space="preserve"> </w:t>
      </w:r>
      <w:r>
        <w:t>la</w:t>
      </w:r>
      <w:r>
        <w:rPr>
          <w:spacing w:val="-2"/>
        </w:rPr>
        <w:t xml:space="preserve"> </w:t>
      </w:r>
      <w:r>
        <w:t>que</w:t>
      </w:r>
      <w:r>
        <w:rPr>
          <w:spacing w:val="-3"/>
        </w:rPr>
        <w:t xml:space="preserve"> </w:t>
      </w:r>
      <w:r>
        <w:t>iluminó</w:t>
      </w:r>
      <w:r>
        <w:rPr>
          <w:spacing w:val="-2"/>
        </w:rPr>
        <w:t xml:space="preserve"> </w:t>
      </w:r>
      <w:r>
        <w:t>momentos</w:t>
      </w:r>
      <w:r>
        <w:rPr>
          <w:spacing w:val="-2"/>
        </w:rPr>
        <w:t xml:space="preserve"> </w:t>
      </w:r>
      <w:r>
        <w:t>como</w:t>
      </w:r>
      <w:r>
        <w:rPr>
          <w:spacing w:val="-2"/>
        </w:rPr>
        <w:t xml:space="preserve"> </w:t>
      </w:r>
      <w:r>
        <w:t>la</w:t>
      </w:r>
      <w:r>
        <w:rPr>
          <w:spacing w:val="-2"/>
        </w:rPr>
        <w:t xml:space="preserve"> </w:t>
      </w:r>
      <w:r>
        <w:t>constituyente,</w:t>
      </w:r>
      <w:r>
        <w:rPr>
          <w:spacing w:val="-2"/>
        </w:rPr>
        <w:t xml:space="preserve"> </w:t>
      </w:r>
      <w:r>
        <w:t>en</w:t>
      </w:r>
      <w:r>
        <w:rPr>
          <w:spacing w:val="-2"/>
        </w:rPr>
        <w:t xml:space="preserve"> </w:t>
      </w:r>
      <w:r>
        <w:t>los</w:t>
      </w:r>
      <w:r>
        <w:rPr>
          <w:spacing w:val="-3"/>
        </w:rPr>
        <w:t xml:space="preserve"> </w:t>
      </w:r>
      <w:r>
        <w:t>que</w:t>
      </w:r>
      <w:r>
        <w:rPr>
          <w:spacing w:val="-2"/>
        </w:rPr>
        <w:t xml:space="preserve"> </w:t>
      </w:r>
      <w:r>
        <w:t>la</w:t>
      </w:r>
      <w:r>
        <w:rPr>
          <w:spacing w:val="-2"/>
        </w:rPr>
        <w:t xml:space="preserve"> </w:t>
      </w:r>
      <w:r>
        <w:t>democracia colombiana</w:t>
      </w:r>
      <w:r>
        <w:rPr>
          <w:spacing w:val="-15"/>
        </w:rPr>
        <w:t xml:space="preserve"> </w:t>
      </w:r>
      <w:r>
        <w:t>dio</w:t>
      </w:r>
      <w:r>
        <w:rPr>
          <w:spacing w:val="-15"/>
        </w:rPr>
        <w:t xml:space="preserve"> </w:t>
      </w:r>
      <w:r>
        <w:t>saltos</w:t>
      </w:r>
      <w:r>
        <w:rPr>
          <w:spacing w:val="-15"/>
        </w:rPr>
        <w:t xml:space="preserve"> </w:t>
      </w:r>
      <w:r>
        <w:t>hacia</w:t>
      </w:r>
      <w:r>
        <w:rPr>
          <w:spacing w:val="-15"/>
        </w:rPr>
        <w:t xml:space="preserve"> </w:t>
      </w:r>
      <w:r>
        <w:t>adelante.</w:t>
      </w:r>
      <w:r>
        <w:rPr>
          <w:spacing w:val="-15"/>
        </w:rPr>
        <w:t xml:space="preserve"> </w:t>
      </w:r>
      <w:r>
        <w:t>Según</w:t>
      </w:r>
      <w:r>
        <w:rPr>
          <w:spacing w:val="-15"/>
        </w:rPr>
        <w:t xml:space="preserve"> </w:t>
      </w:r>
      <w:r>
        <w:t>Santos,</w:t>
      </w:r>
      <w:r>
        <w:rPr>
          <w:spacing w:val="-15"/>
        </w:rPr>
        <w:t xml:space="preserve"> </w:t>
      </w:r>
      <w:r>
        <w:t>la</w:t>
      </w:r>
      <w:r>
        <w:rPr>
          <w:spacing w:val="-15"/>
        </w:rPr>
        <w:t xml:space="preserve"> </w:t>
      </w:r>
      <w:r>
        <w:t>negociación</w:t>
      </w:r>
      <w:r>
        <w:rPr>
          <w:spacing w:val="-15"/>
        </w:rPr>
        <w:t xml:space="preserve"> </w:t>
      </w:r>
      <w:r>
        <w:t>y</w:t>
      </w:r>
      <w:r>
        <w:rPr>
          <w:spacing w:val="-15"/>
        </w:rPr>
        <w:t xml:space="preserve"> </w:t>
      </w:r>
      <w:r>
        <w:t>el</w:t>
      </w:r>
      <w:r>
        <w:rPr>
          <w:spacing w:val="-15"/>
        </w:rPr>
        <w:t xml:space="preserve"> </w:t>
      </w:r>
      <w:r>
        <w:t>ingreso</w:t>
      </w:r>
      <w:r>
        <w:rPr>
          <w:spacing w:val="-15"/>
        </w:rPr>
        <w:t xml:space="preserve"> </w:t>
      </w:r>
      <w:r>
        <w:t>de</w:t>
      </w:r>
      <w:r>
        <w:rPr>
          <w:spacing w:val="-15"/>
        </w:rPr>
        <w:t xml:space="preserve"> </w:t>
      </w:r>
      <w:r>
        <w:t>las</w:t>
      </w:r>
      <w:r>
        <w:rPr>
          <w:spacing w:val="-15"/>
        </w:rPr>
        <w:t xml:space="preserve"> </w:t>
      </w:r>
      <w:r>
        <w:t>FARC- EP a la política permitiría que territorios en los que el Estado era fallido pudiesen incorporarse</w:t>
      </w:r>
      <w:r>
        <w:rPr>
          <w:spacing w:val="-4"/>
        </w:rPr>
        <w:t xml:space="preserve"> </w:t>
      </w:r>
      <w:r>
        <w:t>paulatina</w:t>
      </w:r>
      <w:r>
        <w:rPr>
          <w:spacing w:val="-3"/>
        </w:rPr>
        <w:t xml:space="preserve"> </w:t>
      </w:r>
      <w:r>
        <w:t>y</w:t>
      </w:r>
      <w:r>
        <w:rPr>
          <w:spacing w:val="-5"/>
        </w:rPr>
        <w:t xml:space="preserve"> </w:t>
      </w:r>
      <w:r>
        <w:t>pacíficamente</w:t>
      </w:r>
      <w:r>
        <w:rPr>
          <w:spacing w:val="-3"/>
        </w:rPr>
        <w:t xml:space="preserve"> </w:t>
      </w:r>
      <w:r>
        <w:t>a</w:t>
      </w:r>
      <w:r>
        <w:rPr>
          <w:spacing w:val="-3"/>
        </w:rPr>
        <w:t xml:space="preserve"> </w:t>
      </w:r>
      <w:r>
        <w:t>la</w:t>
      </w:r>
      <w:r>
        <w:rPr>
          <w:spacing w:val="-3"/>
        </w:rPr>
        <w:t xml:space="preserve"> </w:t>
      </w:r>
      <w:r>
        <w:t>nación.</w:t>
      </w:r>
      <w:r>
        <w:rPr>
          <w:spacing w:val="-3"/>
        </w:rPr>
        <w:t xml:space="preserve"> </w:t>
      </w:r>
      <w:r>
        <w:t>En</w:t>
      </w:r>
      <w:r>
        <w:rPr>
          <w:spacing w:val="-3"/>
        </w:rPr>
        <w:t xml:space="preserve"> </w:t>
      </w:r>
      <w:r>
        <w:t>su</w:t>
      </w:r>
      <w:r>
        <w:rPr>
          <w:spacing w:val="-3"/>
        </w:rPr>
        <w:t xml:space="preserve"> </w:t>
      </w:r>
      <w:r>
        <w:t>visión,</w:t>
      </w:r>
      <w:r>
        <w:rPr>
          <w:spacing w:val="-3"/>
        </w:rPr>
        <w:t xml:space="preserve"> </w:t>
      </w:r>
      <w:r>
        <w:t>se</w:t>
      </w:r>
      <w:r>
        <w:rPr>
          <w:spacing w:val="-3"/>
        </w:rPr>
        <w:t xml:space="preserve"> </w:t>
      </w:r>
      <w:r>
        <w:t>trataba,</w:t>
      </w:r>
      <w:r>
        <w:rPr>
          <w:spacing w:val="-3"/>
        </w:rPr>
        <w:t xml:space="preserve"> </w:t>
      </w:r>
      <w:r>
        <w:t>en</w:t>
      </w:r>
      <w:r>
        <w:rPr>
          <w:spacing w:val="-3"/>
        </w:rPr>
        <w:t xml:space="preserve"> </w:t>
      </w:r>
      <w:r>
        <w:t>definitiva,</w:t>
      </w:r>
      <w:r>
        <w:rPr>
          <w:spacing w:val="-3"/>
        </w:rPr>
        <w:t xml:space="preserve"> </w:t>
      </w:r>
      <w:r>
        <w:t>de una paz con un poco más de democracia y con un énfasis en las víctimas y los territorios.</w:t>
      </w:r>
    </w:p>
    <w:p w:rsidR="003804AC" w:rsidRDefault="00AF18A5" w:rsidP="008A43D1">
      <w:r>
        <w:t>Para 2014, sin embargo, Uribe se oponía a las políticas y el gobierno de su sucesor. Allí se</w:t>
      </w:r>
      <w:r>
        <w:rPr>
          <w:spacing w:val="-10"/>
        </w:rPr>
        <w:t xml:space="preserve"> </w:t>
      </w:r>
      <w:r>
        <w:t>produjo</w:t>
      </w:r>
      <w:r>
        <w:rPr>
          <w:spacing w:val="-10"/>
        </w:rPr>
        <w:t xml:space="preserve"> </w:t>
      </w:r>
      <w:r>
        <w:t>posiblemente</w:t>
      </w:r>
      <w:r>
        <w:rPr>
          <w:spacing w:val="-11"/>
        </w:rPr>
        <w:t xml:space="preserve"> </w:t>
      </w:r>
      <w:r>
        <w:t>el</w:t>
      </w:r>
      <w:r>
        <w:rPr>
          <w:spacing w:val="-10"/>
        </w:rPr>
        <w:t xml:space="preserve"> </w:t>
      </w:r>
      <w:r>
        <w:t>cambio</w:t>
      </w:r>
      <w:r>
        <w:rPr>
          <w:spacing w:val="-10"/>
        </w:rPr>
        <w:t xml:space="preserve"> </w:t>
      </w:r>
      <w:r>
        <w:t>más</w:t>
      </w:r>
      <w:r>
        <w:rPr>
          <w:spacing w:val="-10"/>
        </w:rPr>
        <w:t xml:space="preserve"> </w:t>
      </w:r>
      <w:r>
        <w:t>importante</w:t>
      </w:r>
      <w:r>
        <w:rPr>
          <w:spacing w:val="-10"/>
        </w:rPr>
        <w:t xml:space="preserve"> </w:t>
      </w:r>
      <w:r>
        <w:t>en</w:t>
      </w:r>
      <w:r>
        <w:rPr>
          <w:spacing w:val="-10"/>
        </w:rPr>
        <w:t xml:space="preserve"> </w:t>
      </w:r>
      <w:r>
        <w:t>el</w:t>
      </w:r>
      <w:r>
        <w:rPr>
          <w:spacing w:val="-10"/>
        </w:rPr>
        <w:t xml:space="preserve"> </w:t>
      </w:r>
      <w:r>
        <w:t>poder</w:t>
      </w:r>
      <w:r>
        <w:rPr>
          <w:spacing w:val="-10"/>
        </w:rPr>
        <w:t xml:space="preserve"> </w:t>
      </w:r>
      <w:r>
        <w:t>en</w:t>
      </w:r>
      <w:r>
        <w:rPr>
          <w:spacing w:val="-11"/>
        </w:rPr>
        <w:t xml:space="preserve"> </w:t>
      </w:r>
      <w:r>
        <w:t>Colombia</w:t>
      </w:r>
      <w:r>
        <w:rPr>
          <w:spacing w:val="-10"/>
        </w:rPr>
        <w:t xml:space="preserve"> </w:t>
      </w:r>
      <w:r>
        <w:t>del</w:t>
      </w:r>
      <w:r>
        <w:rPr>
          <w:spacing w:val="-10"/>
        </w:rPr>
        <w:t xml:space="preserve"> </w:t>
      </w:r>
      <w:r>
        <w:t>último</w:t>
      </w:r>
      <w:r>
        <w:rPr>
          <w:spacing w:val="-11"/>
        </w:rPr>
        <w:t xml:space="preserve"> </w:t>
      </w:r>
      <w:r>
        <w:t>siglo. Para ganar en segunda vuelta, Santos buscó una coalición con la izquierda, que, a pesar de tener</w:t>
      </w:r>
      <w:r>
        <w:rPr>
          <w:spacing w:val="-8"/>
        </w:rPr>
        <w:t xml:space="preserve"> </w:t>
      </w:r>
      <w:r>
        <w:t>reservas</w:t>
      </w:r>
      <w:r>
        <w:rPr>
          <w:spacing w:val="-7"/>
        </w:rPr>
        <w:t xml:space="preserve"> </w:t>
      </w:r>
      <w:r>
        <w:t>en</w:t>
      </w:r>
      <w:r>
        <w:rPr>
          <w:spacing w:val="-8"/>
        </w:rPr>
        <w:t xml:space="preserve"> </w:t>
      </w:r>
      <w:r>
        <w:t>muchos</w:t>
      </w:r>
      <w:r>
        <w:rPr>
          <w:spacing w:val="-7"/>
        </w:rPr>
        <w:t xml:space="preserve"> </w:t>
      </w:r>
      <w:r>
        <w:t>temas</w:t>
      </w:r>
      <w:r>
        <w:rPr>
          <w:spacing w:val="-8"/>
        </w:rPr>
        <w:t xml:space="preserve"> </w:t>
      </w:r>
      <w:r>
        <w:t>económicos</w:t>
      </w:r>
      <w:r>
        <w:rPr>
          <w:spacing w:val="-8"/>
        </w:rPr>
        <w:t xml:space="preserve"> </w:t>
      </w:r>
      <w:r>
        <w:t>y</w:t>
      </w:r>
      <w:r>
        <w:rPr>
          <w:spacing w:val="-7"/>
        </w:rPr>
        <w:t xml:space="preserve"> </w:t>
      </w:r>
      <w:r>
        <w:t>sociales,</w:t>
      </w:r>
      <w:r>
        <w:rPr>
          <w:spacing w:val="-7"/>
        </w:rPr>
        <w:t xml:space="preserve"> </w:t>
      </w:r>
      <w:r>
        <w:t>encontró</w:t>
      </w:r>
      <w:r>
        <w:rPr>
          <w:spacing w:val="-7"/>
        </w:rPr>
        <w:t xml:space="preserve"> </w:t>
      </w:r>
      <w:r>
        <w:t>en</w:t>
      </w:r>
      <w:r>
        <w:rPr>
          <w:spacing w:val="-8"/>
        </w:rPr>
        <w:t xml:space="preserve"> </w:t>
      </w:r>
      <w:r>
        <w:t>esa</w:t>
      </w:r>
      <w:r>
        <w:rPr>
          <w:spacing w:val="-8"/>
        </w:rPr>
        <w:t xml:space="preserve"> </w:t>
      </w:r>
      <w:r>
        <w:t>coyuntura</w:t>
      </w:r>
      <w:r>
        <w:rPr>
          <w:spacing w:val="-8"/>
        </w:rPr>
        <w:t xml:space="preserve"> </w:t>
      </w:r>
      <w:r>
        <w:t>el</w:t>
      </w:r>
      <w:r>
        <w:rPr>
          <w:spacing w:val="-8"/>
        </w:rPr>
        <w:t xml:space="preserve"> </w:t>
      </w:r>
      <w:r>
        <w:t>espacio para</w:t>
      </w:r>
      <w:r>
        <w:rPr>
          <w:spacing w:val="-9"/>
        </w:rPr>
        <w:t xml:space="preserve"> </w:t>
      </w:r>
      <w:r>
        <w:t>lo</w:t>
      </w:r>
      <w:r>
        <w:rPr>
          <w:spacing w:val="-9"/>
        </w:rPr>
        <w:t xml:space="preserve"> </w:t>
      </w:r>
      <w:r>
        <w:t>que</w:t>
      </w:r>
      <w:r>
        <w:rPr>
          <w:spacing w:val="-9"/>
        </w:rPr>
        <w:t xml:space="preserve"> </w:t>
      </w:r>
      <w:r>
        <w:t>Álvaro</w:t>
      </w:r>
      <w:r>
        <w:rPr>
          <w:spacing w:val="-9"/>
        </w:rPr>
        <w:t xml:space="preserve"> </w:t>
      </w:r>
      <w:r>
        <w:t>Gómez</w:t>
      </w:r>
      <w:r>
        <w:rPr>
          <w:spacing w:val="-9"/>
        </w:rPr>
        <w:t xml:space="preserve"> </w:t>
      </w:r>
      <w:r>
        <w:t>llamó</w:t>
      </w:r>
      <w:r>
        <w:rPr>
          <w:spacing w:val="-9"/>
        </w:rPr>
        <w:t xml:space="preserve"> </w:t>
      </w:r>
      <w:r>
        <w:t>un</w:t>
      </w:r>
      <w:r>
        <w:rPr>
          <w:spacing w:val="-9"/>
        </w:rPr>
        <w:t xml:space="preserve"> </w:t>
      </w:r>
      <w:r>
        <w:t>acuerdo</w:t>
      </w:r>
      <w:r>
        <w:rPr>
          <w:spacing w:val="-9"/>
        </w:rPr>
        <w:t xml:space="preserve"> </w:t>
      </w:r>
      <w:r>
        <w:t>sobre</w:t>
      </w:r>
      <w:r>
        <w:rPr>
          <w:spacing w:val="-9"/>
        </w:rPr>
        <w:t xml:space="preserve"> </w:t>
      </w:r>
      <w:r>
        <w:t>lo</w:t>
      </w:r>
      <w:r>
        <w:rPr>
          <w:spacing w:val="-9"/>
        </w:rPr>
        <w:t xml:space="preserve"> </w:t>
      </w:r>
      <w:r>
        <w:t>fundamental:</w:t>
      </w:r>
      <w:r>
        <w:rPr>
          <w:spacing w:val="-9"/>
        </w:rPr>
        <w:t xml:space="preserve"> </w:t>
      </w:r>
      <w:r>
        <w:t>buscar</w:t>
      </w:r>
      <w:r>
        <w:rPr>
          <w:spacing w:val="-9"/>
        </w:rPr>
        <w:t xml:space="preserve"> </w:t>
      </w:r>
      <w:r>
        <w:t>una</w:t>
      </w:r>
      <w:r>
        <w:rPr>
          <w:spacing w:val="-9"/>
        </w:rPr>
        <w:t xml:space="preserve"> </w:t>
      </w:r>
      <w:r>
        <w:t>salida</w:t>
      </w:r>
      <w:r>
        <w:rPr>
          <w:spacing w:val="-9"/>
        </w:rPr>
        <w:t xml:space="preserve"> </w:t>
      </w:r>
      <w:r>
        <w:t>política a la guerra. Había de por medio nueve millones de víctimas y una mezcla de odio, rabia, duda, pero también esperanza, alegría y contrición.</w:t>
      </w:r>
    </w:p>
    <w:p w:rsidR="003804AC" w:rsidRDefault="00AF18A5" w:rsidP="008A43D1">
      <w:r>
        <w:t xml:space="preserve">En 2016, el Acuerdo de Paz cerró un largo ciclo de idas y venidas entre la guerra y la búsqueda de la paz. El resultado final fue una inclusión a la democracia de sectores que no formaron parte de ella en el pasado en virtud de muchas razones. En particular, supuso el ingreso de las </w:t>
      </w:r>
      <w:r>
        <w:lastRenderedPageBreak/>
        <w:t>izquierdas que primero buscaron llegar al poder por las armas y que luego entendieron que al poder en Colombia debía llegarse por la ruta de la competencia política, y que la guerra es un despropósito y una iniquidad.</w:t>
      </w:r>
    </w:p>
    <w:p w:rsidR="003804AC" w:rsidRDefault="00AF18A5" w:rsidP="008A43D1">
      <w:r>
        <w:t>Hoy, al cerrar el capítulo de parte de la guerra insurgente, el país intenta superar la anomalía de una democracia violenta. El propósito de vivir en una democracia distinta aún tiene muchos retos por delante, entre otros: 1) consolidar la posibilidad de la alternancia pacífica, incluso más allá de las derechas y las izquierdas, entre diferentes alternativas de poder</w:t>
      </w:r>
      <w:r>
        <w:rPr>
          <w:spacing w:val="-15"/>
        </w:rPr>
        <w:t xml:space="preserve"> </w:t>
      </w:r>
      <w:r>
        <w:t>existentes</w:t>
      </w:r>
      <w:r>
        <w:rPr>
          <w:spacing w:val="-15"/>
        </w:rPr>
        <w:t xml:space="preserve"> </w:t>
      </w:r>
      <w:r>
        <w:t>en</w:t>
      </w:r>
      <w:r>
        <w:rPr>
          <w:spacing w:val="-15"/>
        </w:rPr>
        <w:t xml:space="preserve"> </w:t>
      </w:r>
      <w:r>
        <w:t>lo</w:t>
      </w:r>
      <w:r>
        <w:rPr>
          <w:spacing w:val="-15"/>
        </w:rPr>
        <w:t xml:space="preserve"> </w:t>
      </w:r>
      <w:r>
        <w:t>nacional,</w:t>
      </w:r>
      <w:r>
        <w:rPr>
          <w:spacing w:val="-15"/>
        </w:rPr>
        <w:t xml:space="preserve"> </w:t>
      </w:r>
      <w:r>
        <w:t>pero</w:t>
      </w:r>
      <w:r>
        <w:rPr>
          <w:spacing w:val="-15"/>
        </w:rPr>
        <w:t xml:space="preserve"> </w:t>
      </w:r>
      <w:r>
        <w:t>sobre</w:t>
      </w:r>
      <w:r>
        <w:rPr>
          <w:spacing w:val="-15"/>
        </w:rPr>
        <w:t xml:space="preserve"> </w:t>
      </w:r>
      <w:r>
        <w:t>todo</w:t>
      </w:r>
      <w:r>
        <w:rPr>
          <w:spacing w:val="-15"/>
        </w:rPr>
        <w:t xml:space="preserve"> </w:t>
      </w:r>
      <w:r>
        <w:t>en</w:t>
      </w:r>
      <w:r>
        <w:rPr>
          <w:spacing w:val="-15"/>
        </w:rPr>
        <w:t xml:space="preserve"> </w:t>
      </w:r>
      <w:r>
        <w:t>lo</w:t>
      </w:r>
      <w:r>
        <w:rPr>
          <w:spacing w:val="-15"/>
        </w:rPr>
        <w:t xml:space="preserve"> </w:t>
      </w:r>
      <w:r>
        <w:t>local;</w:t>
      </w:r>
      <w:r>
        <w:rPr>
          <w:spacing w:val="-15"/>
        </w:rPr>
        <w:t xml:space="preserve"> </w:t>
      </w:r>
      <w:r>
        <w:t>2)</w:t>
      </w:r>
      <w:r>
        <w:rPr>
          <w:spacing w:val="-15"/>
        </w:rPr>
        <w:t xml:space="preserve"> </w:t>
      </w:r>
      <w:r>
        <w:t>sacar</w:t>
      </w:r>
      <w:r>
        <w:rPr>
          <w:spacing w:val="-15"/>
        </w:rPr>
        <w:t xml:space="preserve"> </w:t>
      </w:r>
      <w:r>
        <w:t>las</w:t>
      </w:r>
      <w:r>
        <w:rPr>
          <w:spacing w:val="-15"/>
        </w:rPr>
        <w:t xml:space="preserve"> </w:t>
      </w:r>
      <w:r>
        <w:t>armas</w:t>
      </w:r>
      <w:r>
        <w:rPr>
          <w:spacing w:val="-15"/>
        </w:rPr>
        <w:t xml:space="preserve"> </w:t>
      </w:r>
      <w:r>
        <w:t>definitivamente de</w:t>
      </w:r>
      <w:r>
        <w:rPr>
          <w:spacing w:val="-15"/>
        </w:rPr>
        <w:t xml:space="preserve"> </w:t>
      </w:r>
      <w:r>
        <w:t>la</w:t>
      </w:r>
      <w:r>
        <w:rPr>
          <w:spacing w:val="-15"/>
        </w:rPr>
        <w:t xml:space="preserve"> </w:t>
      </w:r>
      <w:r>
        <w:t>política;</w:t>
      </w:r>
      <w:r>
        <w:rPr>
          <w:spacing w:val="-15"/>
        </w:rPr>
        <w:t xml:space="preserve"> </w:t>
      </w:r>
      <w:r>
        <w:t>3)</w:t>
      </w:r>
      <w:r>
        <w:rPr>
          <w:spacing w:val="-15"/>
        </w:rPr>
        <w:t xml:space="preserve"> </w:t>
      </w:r>
      <w:r>
        <w:t>abrir</w:t>
      </w:r>
      <w:r>
        <w:rPr>
          <w:spacing w:val="-15"/>
        </w:rPr>
        <w:t xml:space="preserve"> </w:t>
      </w:r>
      <w:r>
        <w:t>mayores</w:t>
      </w:r>
      <w:r>
        <w:rPr>
          <w:spacing w:val="-15"/>
        </w:rPr>
        <w:t xml:space="preserve"> </w:t>
      </w:r>
      <w:r>
        <w:t>espacios</w:t>
      </w:r>
      <w:r>
        <w:rPr>
          <w:spacing w:val="-15"/>
        </w:rPr>
        <w:t xml:space="preserve"> </w:t>
      </w:r>
      <w:r>
        <w:t>a</w:t>
      </w:r>
      <w:r>
        <w:rPr>
          <w:spacing w:val="-15"/>
        </w:rPr>
        <w:t xml:space="preserve"> </w:t>
      </w:r>
      <w:r>
        <w:t>las</w:t>
      </w:r>
      <w:r>
        <w:rPr>
          <w:spacing w:val="-15"/>
        </w:rPr>
        <w:t xml:space="preserve"> </w:t>
      </w:r>
      <w:r>
        <w:t>minorías</w:t>
      </w:r>
      <w:r>
        <w:rPr>
          <w:spacing w:val="-15"/>
        </w:rPr>
        <w:t xml:space="preserve"> </w:t>
      </w:r>
      <w:r>
        <w:t>y</w:t>
      </w:r>
      <w:r>
        <w:rPr>
          <w:spacing w:val="-15"/>
        </w:rPr>
        <w:t xml:space="preserve"> </w:t>
      </w:r>
      <w:r>
        <w:t>los</w:t>
      </w:r>
      <w:r>
        <w:rPr>
          <w:spacing w:val="-15"/>
        </w:rPr>
        <w:t xml:space="preserve"> </w:t>
      </w:r>
      <w:r>
        <w:t>grupos</w:t>
      </w:r>
      <w:r>
        <w:rPr>
          <w:spacing w:val="-15"/>
        </w:rPr>
        <w:t xml:space="preserve"> </w:t>
      </w:r>
      <w:r>
        <w:t>no</w:t>
      </w:r>
      <w:r>
        <w:rPr>
          <w:spacing w:val="-15"/>
        </w:rPr>
        <w:t xml:space="preserve"> </w:t>
      </w:r>
      <w:r>
        <w:t>hegemónicos;</w:t>
      </w:r>
      <w:r>
        <w:rPr>
          <w:spacing w:val="-15"/>
        </w:rPr>
        <w:t xml:space="preserve"> </w:t>
      </w:r>
      <w:r>
        <w:t>4)</w:t>
      </w:r>
      <w:r>
        <w:rPr>
          <w:spacing w:val="-15"/>
        </w:rPr>
        <w:t xml:space="preserve"> </w:t>
      </w:r>
      <w:r>
        <w:t>seguir avanzando</w:t>
      </w:r>
      <w:r>
        <w:rPr>
          <w:spacing w:val="24"/>
        </w:rPr>
        <w:t xml:space="preserve"> </w:t>
      </w:r>
      <w:r>
        <w:t>en</w:t>
      </w:r>
      <w:r>
        <w:rPr>
          <w:spacing w:val="29"/>
        </w:rPr>
        <w:t xml:space="preserve"> </w:t>
      </w:r>
      <w:r>
        <w:t>la</w:t>
      </w:r>
      <w:r>
        <w:rPr>
          <w:spacing w:val="27"/>
        </w:rPr>
        <w:t xml:space="preserve"> </w:t>
      </w:r>
      <w:r>
        <w:t>consolidación</w:t>
      </w:r>
      <w:r>
        <w:rPr>
          <w:spacing w:val="29"/>
        </w:rPr>
        <w:t xml:space="preserve"> </w:t>
      </w:r>
      <w:r>
        <w:t>de</w:t>
      </w:r>
      <w:r>
        <w:rPr>
          <w:spacing w:val="28"/>
        </w:rPr>
        <w:t xml:space="preserve"> </w:t>
      </w:r>
      <w:r>
        <w:t>normas</w:t>
      </w:r>
      <w:r>
        <w:rPr>
          <w:spacing w:val="28"/>
        </w:rPr>
        <w:t xml:space="preserve"> </w:t>
      </w:r>
      <w:r>
        <w:t>e</w:t>
      </w:r>
      <w:r>
        <w:rPr>
          <w:spacing w:val="28"/>
        </w:rPr>
        <w:t xml:space="preserve"> </w:t>
      </w:r>
      <w:r>
        <w:t>instituciones</w:t>
      </w:r>
      <w:r>
        <w:rPr>
          <w:spacing w:val="28"/>
        </w:rPr>
        <w:t xml:space="preserve"> </w:t>
      </w:r>
      <w:r>
        <w:t>que</w:t>
      </w:r>
      <w:r>
        <w:rPr>
          <w:spacing w:val="29"/>
        </w:rPr>
        <w:t xml:space="preserve"> </w:t>
      </w:r>
      <w:r>
        <w:t>profundicen</w:t>
      </w:r>
      <w:r>
        <w:rPr>
          <w:spacing w:val="28"/>
        </w:rPr>
        <w:t xml:space="preserve"> </w:t>
      </w:r>
      <w:r>
        <w:t>la</w:t>
      </w:r>
      <w:r>
        <w:rPr>
          <w:spacing w:val="28"/>
        </w:rPr>
        <w:t xml:space="preserve"> </w:t>
      </w:r>
      <w:r>
        <w:t>libertad,</w:t>
      </w:r>
      <w:r>
        <w:rPr>
          <w:spacing w:val="29"/>
        </w:rPr>
        <w:t xml:space="preserve"> </w:t>
      </w:r>
      <w:r>
        <w:rPr>
          <w:spacing w:val="-5"/>
        </w:rPr>
        <w:t>los</w:t>
      </w:r>
      <w:r w:rsidR="008A43D1">
        <w:t xml:space="preserve"> </w:t>
      </w:r>
      <w:r>
        <w:t>derechos</w:t>
      </w:r>
      <w:r>
        <w:rPr>
          <w:spacing w:val="-6"/>
        </w:rPr>
        <w:t xml:space="preserve"> </w:t>
      </w:r>
      <w:r>
        <w:t>y</w:t>
      </w:r>
      <w:r>
        <w:rPr>
          <w:spacing w:val="-5"/>
        </w:rPr>
        <w:t xml:space="preserve"> </w:t>
      </w:r>
      <w:r>
        <w:t>el</w:t>
      </w:r>
      <w:r>
        <w:rPr>
          <w:spacing w:val="-4"/>
        </w:rPr>
        <w:t xml:space="preserve"> </w:t>
      </w:r>
      <w:r>
        <w:t>buen</w:t>
      </w:r>
      <w:r>
        <w:rPr>
          <w:spacing w:val="-5"/>
        </w:rPr>
        <w:t xml:space="preserve"> </w:t>
      </w:r>
      <w:r>
        <w:t>vivir;</w:t>
      </w:r>
      <w:r>
        <w:rPr>
          <w:spacing w:val="-7"/>
        </w:rPr>
        <w:t xml:space="preserve"> </w:t>
      </w:r>
      <w:r>
        <w:t>5)</w:t>
      </w:r>
      <w:r>
        <w:rPr>
          <w:spacing w:val="-4"/>
        </w:rPr>
        <w:t xml:space="preserve"> </w:t>
      </w:r>
      <w:r>
        <w:t>cesar</w:t>
      </w:r>
      <w:r>
        <w:rPr>
          <w:spacing w:val="-6"/>
        </w:rPr>
        <w:t xml:space="preserve"> </w:t>
      </w:r>
      <w:r>
        <w:t>la</w:t>
      </w:r>
      <w:r>
        <w:rPr>
          <w:spacing w:val="-6"/>
        </w:rPr>
        <w:t xml:space="preserve"> </w:t>
      </w:r>
      <w:r>
        <w:t>crispación</w:t>
      </w:r>
      <w:r>
        <w:rPr>
          <w:spacing w:val="-5"/>
        </w:rPr>
        <w:t xml:space="preserve"> </w:t>
      </w:r>
      <w:r>
        <w:t>y</w:t>
      </w:r>
      <w:r>
        <w:rPr>
          <w:spacing w:val="-5"/>
        </w:rPr>
        <w:t xml:space="preserve"> </w:t>
      </w:r>
      <w:r>
        <w:t>serenar</w:t>
      </w:r>
      <w:r>
        <w:rPr>
          <w:spacing w:val="-4"/>
        </w:rPr>
        <w:t xml:space="preserve"> </w:t>
      </w:r>
      <w:r>
        <w:t>el</w:t>
      </w:r>
      <w:r>
        <w:rPr>
          <w:spacing w:val="-4"/>
        </w:rPr>
        <w:t xml:space="preserve"> </w:t>
      </w:r>
      <w:r>
        <w:t>debate</w:t>
      </w:r>
      <w:r>
        <w:rPr>
          <w:spacing w:val="-5"/>
        </w:rPr>
        <w:t xml:space="preserve"> </w:t>
      </w:r>
      <w:r>
        <w:t>público;</w:t>
      </w:r>
      <w:r>
        <w:rPr>
          <w:spacing w:val="-4"/>
        </w:rPr>
        <w:t xml:space="preserve"> </w:t>
      </w:r>
      <w:r>
        <w:t>y</w:t>
      </w:r>
      <w:r>
        <w:rPr>
          <w:spacing w:val="-5"/>
        </w:rPr>
        <w:t xml:space="preserve"> </w:t>
      </w:r>
      <w:r>
        <w:t>6)</w:t>
      </w:r>
      <w:r>
        <w:rPr>
          <w:spacing w:val="-4"/>
        </w:rPr>
        <w:t xml:space="preserve"> </w:t>
      </w:r>
      <w:r>
        <w:t>sacar</w:t>
      </w:r>
      <w:r>
        <w:rPr>
          <w:spacing w:val="-6"/>
        </w:rPr>
        <w:t xml:space="preserve"> </w:t>
      </w:r>
      <w:r>
        <w:t>a</w:t>
      </w:r>
      <w:r>
        <w:rPr>
          <w:spacing w:val="-6"/>
        </w:rPr>
        <w:t xml:space="preserve"> </w:t>
      </w:r>
      <w:r>
        <w:t>todas las</w:t>
      </w:r>
      <w:r>
        <w:rPr>
          <w:spacing w:val="-15"/>
        </w:rPr>
        <w:t xml:space="preserve"> </w:t>
      </w:r>
      <w:r>
        <w:t>mafias</w:t>
      </w:r>
      <w:r>
        <w:rPr>
          <w:spacing w:val="-15"/>
        </w:rPr>
        <w:t xml:space="preserve"> </w:t>
      </w:r>
      <w:r>
        <w:t>–y</w:t>
      </w:r>
      <w:r>
        <w:rPr>
          <w:spacing w:val="-15"/>
        </w:rPr>
        <w:t xml:space="preserve"> </w:t>
      </w:r>
      <w:r>
        <w:t>en</w:t>
      </w:r>
      <w:r>
        <w:rPr>
          <w:spacing w:val="-15"/>
        </w:rPr>
        <w:t xml:space="preserve"> </w:t>
      </w:r>
      <w:r>
        <w:t>especial</w:t>
      </w:r>
      <w:r>
        <w:rPr>
          <w:spacing w:val="-15"/>
        </w:rPr>
        <w:t xml:space="preserve"> </w:t>
      </w:r>
      <w:r>
        <w:t>a</w:t>
      </w:r>
      <w:r>
        <w:rPr>
          <w:spacing w:val="-15"/>
        </w:rPr>
        <w:t xml:space="preserve"> </w:t>
      </w:r>
      <w:r>
        <w:t>las</w:t>
      </w:r>
      <w:r>
        <w:rPr>
          <w:spacing w:val="-15"/>
        </w:rPr>
        <w:t xml:space="preserve"> </w:t>
      </w:r>
      <w:r>
        <w:t>del</w:t>
      </w:r>
      <w:r>
        <w:rPr>
          <w:spacing w:val="-15"/>
        </w:rPr>
        <w:t xml:space="preserve"> </w:t>
      </w:r>
      <w:r>
        <w:t>narcotráfico–</w:t>
      </w:r>
      <w:r>
        <w:rPr>
          <w:spacing w:val="-15"/>
        </w:rPr>
        <w:t xml:space="preserve"> </w:t>
      </w:r>
      <w:r>
        <w:t>del</w:t>
      </w:r>
      <w:r>
        <w:rPr>
          <w:spacing w:val="-15"/>
        </w:rPr>
        <w:t xml:space="preserve"> </w:t>
      </w:r>
      <w:r>
        <w:t>poder</w:t>
      </w:r>
      <w:r>
        <w:rPr>
          <w:spacing w:val="-15"/>
        </w:rPr>
        <w:t xml:space="preserve"> </w:t>
      </w:r>
      <w:r>
        <w:t>político,</w:t>
      </w:r>
      <w:r>
        <w:rPr>
          <w:spacing w:val="-15"/>
        </w:rPr>
        <w:t xml:space="preserve"> </w:t>
      </w:r>
      <w:r>
        <w:t>las</w:t>
      </w:r>
      <w:r>
        <w:rPr>
          <w:spacing w:val="-15"/>
        </w:rPr>
        <w:t xml:space="preserve"> </w:t>
      </w:r>
      <w:r>
        <w:t>instituciones</w:t>
      </w:r>
      <w:r>
        <w:rPr>
          <w:spacing w:val="-15"/>
        </w:rPr>
        <w:t xml:space="preserve"> </w:t>
      </w:r>
      <w:r>
        <w:t>del</w:t>
      </w:r>
      <w:r>
        <w:rPr>
          <w:spacing w:val="-15"/>
        </w:rPr>
        <w:t xml:space="preserve"> </w:t>
      </w:r>
      <w:r>
        <w:t>Estado y la vida social.</w:t>
      </w:r>
    </w:p>
    <w:p w:rsidR="003804AC" w:rsidRDefault="00AF18A5" w:rsidP="00B46A69">
      <w:r>
        <w:t>Pasar</w:t>
      </w:r>
      <w:r>
        <w:rPr>
          <w:spacing w:val="-13"/>
        </w:rPr>
        <w:t xml:space="preserve"> </w:t>
      </w:r>
      <w:r>
        <w:t>la</w:t>
      </w:r>
      <w:r>
        <w:rPr>
          <w:spacing w:val="-12"/>
        </w:rPr>
        <w:t xml:space="preserve"> </w:t>
      </w:r>
      <w:r>
        <w:t>página</w:t>
      </w:r>
      <w:r>
        <w:rPr>
          <w:spacing w:val="-12"/>
        </w:rPr>
        <w:t xml:space="preserve"> </w:t>
      </w:r>
      <w:r>
        <w:t>de</w:t>
      </w:r>
      <w:r>
        <w:rPr>
          <w:spacing w:val="-13"/>
        </w:rPr>
        <w:t xml:space="preserve"> </w:t>
      </w:r>
      <w:r>
        <w:t>la</w:t>
      </w:r>
      <w:r>
        <w:rPr>
          <w:spacing w:val="-13"/>
        </w:rPr>
        <w:t xml:space="preserve"> </w:t>
      </w:r>
      <w:r>
        <w:t>guerra</w:t>
      </w:r>
      <w:r>
        <w:rPr>
          <w:spacing w:val="-13"/>
        </w:rPr>
        <w:t xml:space="preserve"> </w:t>
      </w:r>
      <w:r>
        <w:t>le</w:t>
      </w:r>
      <w:r>
        <w:rPr>
          <w:spacing w:val="-12"/>
        </w:rPr>
        <w:t xml:space="preserve"> </w:t>
      </w:r>
      <w:r>
        <w:t>permitirá</w:t>
      </w:r>
      <w:r>
        <w:rPr>
          <w:spacing w:val="-12"/>
        </w:rPr>
        <w:t xml:space="preserve"> </w:t>
      </w:r>
      <w:r>
        <w:t>a</w:t>
      </w:r>
      <w:r>
        <w:rPr>
          <w:spacing w:val="-13"/>
        </w:rPr>
        <w:t xml:space="preserve"> </w:t>
      </w:r>
      <w:r>
        <w:t>Colombia</w:t>
      </w:r>
      <w:r>
        <w:rPr>
          <w:spacing w:val="-12"/>
        </w:rPr>
        <w:t xml:space="preserve"> </w:t>
      </w:r>
      <w:r>
        <w:t>abrir</w:t>
      </w:r>
      <w:r>
        <w:rPr>
          <w:spacing w:val="-13"/>
        </w:rPr>
        <w:t xml:space="preserve"> </w:t>
      </w:r>
      <w:r>
        <w:t>los</w:t>
      </w:r>
      <w:r>
        <w:rPr>
          <w:spacing w:val="-12"/>
        </w:rPr>
        <w:t xml:space="preserve"> </w:t>
      </w:r>
      <w:r>
        <w:t>debates</w:t>
      </w:r>
      <w:r>
        <w:rPr>
          <w:spacing w:val="-13"/>
        </w:rPr>
        <w:t xml:space="preserve"> </w:t>
      </w:r>
      <w:r>
        <w:t>que</w:t>
      </w:r>
      <w:r>
        <w:rPr>
          <w:spacing w:val="-13"/>
        </w:rPr>
        <w:t xml:space="preserve"> </w:t>
      </w:r>
      <w:r>
        <w:t>necesita</w:t>
      </w:r>
      <w:r>
        <w:rPr>
          <w:spacing w:val="-13"/>
        </w:rPr>
        <w:t xml:space="preserve"> </w:t>
      </w:r>
      <w:r>
        <w:t>en</w:t>
      </w:r>
      <w:r>
        <w:rPr>
          <w:spacing w:val="-13"/>
        </w:rPr>
        <w:t xml:space="preserve"> </w:t>
      </w:r>
      <w:r>
        <w:t>torno a la relación de las regiones con el Estado y a la confianza de los ciudadanos en las instituciones;</w:t>
      </w:r>
      <w:r>
        <w:rPr>
          <w:spacing w:val="-9"/>
        </w:rPr>
        <w:t xml:space="preserve"> </w:t>
      </w:r>
      <w:r>
        <w:t>sobre</w:t>
      </w:r>
      <w:r>
        <w:rPr>
          <w:spacing w:val="-10"/>
        </w:rPr>
        <w:t xml:space="preserve"> </w:t>
      </w:r>
      <w:r>
        <w:t>la</w:t>
      </w:r>
      <w:r>
        <w:rPr>
          <w:spacing w:val="-9"/>
        </w:rPr>
        <w:t xml:space="preserve"> </w:t>
      </w:r>
      <w:r>
        <w:t>verdad,</w:t>
      </w:r>
      <w:r>
        <w:rPr>
          <w:spacing w:val="-9"/>
        </w:rPr>
        <w:t xml:space="preserve"> </w:t>
      </w:r>
      <w:r>
        <w:t>la</w:t>
      </w:r>
      <w:r>
        <w:rPr>
          <w:spacing w:val="-10"/>
        </w:rPr>
        <w:t xml:space="preserve"> </w:t>
      </w:r>
      <w:r>
        <w:t>justicia</w:t>
      </w:r>
      <w:r>
        <w:rPr>
          <w:spacing w:val="-9"/>
        </w:rPr>
        <w:t xml:space="preserve"> </w:t>
      </w:r>
      <w:r>
        <w:t>y</w:t>
      </w:r>
      <w:r>
        <w:rPr>
          <w:spacing w:val="-9"/>
        </w:rPr>
        <w:t xml:space="preserve"> </w:t>
      </w:r>
      <w:r>
        <w:t>la</w:t>
      </w:r>
      <w:r>
        <w:rPr>
          <w:spacing w:val="-9"/>
        </w:rPr>
        <w:t xml:space="preserve"> </w:t>
      </w:r>
      <w:r>
        <w:t>reparación</w:t>
      </w:r>
      <w:r>
        <w:rPr>
          <w:spacing w:val="-9"/>
        </w:rPr>
        <w:t xml:space="preserve"> </w:t>
      </w:r>
      <w:r>
        <w:t>de</w:t>
      </w:r>
      <w:r>
        <w:rPr>
          <w:spacing w:val="-10"/>
        </w:rPr>
        <w:t xml:space="preserve"> </w:t>
      </w:r>
      <w:r>
        <w:t>las</w:t>
      </w:r>
      <w:r>
        <w:rPr>
          <w:spacing w:val="-9"/>
        </w:rPr>
        <w:t xml:space="preserve"> </w:t>
      </w:r>
      <w:r>
        <w:t>víctimas;</w:t>
      </w:r>
      <w:r>
        <w:rPr>
          <w:spacing w:val="-9"/>
        </w:rPr>
        <w:t xml:space="preserve"> </w:t>
      </w:r>
      <w:r>
        <w:t>resolver</w:t>
      </w:r>
      <w:r>
        <w:rPr>
          <w:spacing w:val="-9"/>
        </w:rPr>
        <w:t xml:space="preserve"> </w:t>
      </w:r>
      <w:r>
        <w:t>el</w:t>
      </w:r>
      <w:r>
        <w:rPr>
          <w:spacing w:val="-9"/>
        </w:rPr>
        <w:t xml:space="preserve"> </w:t>
      </w:r>
      <w:r>
        <w:t>problema del narcotráfico de manera autónoma como nación; establecer relaciones constructivas con la</w:t>
      </w:r>
      <w:r>
        <w:rPr>
          <w:spacing w:val="-2"/>
        </w:rPr>
        <w:t xml:space="preserve"> </w:t>
      </w:r>
      <w:r>
        <w:t>comunidad</w:t>
      </w:r>
      <w:r>
        <w:rPr>
          <w:spacing w:val="-2"/>
        </w:rPr>
        <w:t xml:space="preserve"> </w:t>
      </w:r>
      <w:r>
        <w:t>internacional;</w:t>
      </w:r>
      <w:r>
        <w:rPr>
          <w:spacing w:val="-3"/>
        </w:rPr>
        <w:t xml:space="preserve"> </w:t>
      </w:r>
      <w:r>
        <w:t>pensar</w:t>
      </w:r>
      <w:r>
        <w:rPr>
          <w:spacing w:val="-2"/>
        </w:rPr>
        <w:t xml:space="preserve"> </w:t>
      </w:r>
      <w:r>
        <w:t>en</w:t>
      </w:r>
      <w:r>
        <w:rPr>
          <w:spacing w:val="-2"/>
        </w:rPr>
        <w:t xml:space="preserve"> </w:t>
      </w:r>
      <w:r>
        <w:t>el</w:t>
      </w:r>
      <w:r>
        <w:rPr>
          <w:spacing w:val="-3"/>
        </w:rPr>
        <w:t xml:space="preserve"> </w:t>
      </w:r>
      <w:r>
        <w:t>modelo</w:t>
      </w:r>
      <w:r>
        <w:rPr>
          <w:spacing w:val="-3"/>
        </w:rPr>
        <w:t xml:space="preserve"> </w:t>
      </w:r>
      <w:r>
        <w:t>de</w:t>
      </w:r>
      <w:r>
        <w:rPr>
          <w:spacing w:val="-2"/>
        </w:rPr>
        <w:t xml:space="preserve"> </w:t>
      </w:r>
      <w:r>
        <w:t>seguridad</w:t>
      </w:r>
      <w:r>
        <w:rPr>
          <w:spacing w:val="-3"/>
        </w:rPr>
        <w:t xml:space="preserve"> </w:t>
      </w:r>
      <w:r>
        <w:t>y</w:t>
      </w:r>
      <w:r>
        <w:rPr>
          <w:spacing w:val="-2"/>
        </w:rPr>
        <w:t xml:space="preserve"> </w:t>
      </w:r>
      <w:r>
        <w:t>convivencia</w:t>
      </w:r>
      <w:r>
        <w:rPr>
          <w:spacing w:val="-2"/>
        </w:rPr>
        <w:t xml:space="preserve"> </w:t>
      </w:r>
      <w:r>
        <w:t>que</w:t>
      </w:r>
      <w:r>
        <w:rPr>
          <w:spacing w:val="-3"/>
        </w:rPr>
        <w:t xml:space="preserve"> </w:t>
      </w:r>
      <w:r>
        <w:t>requiere</w:t>
      </w:r>
      <w:r>
        <w:rPr>
          <w:spacing w:val="-3"/>
        </w:rPr>
        <w:t xml:space="preserve"> </w:t>
      </w:r>
      <w:r>
        <w:t>la construcción</w:t>
      </w:r>
      <w:r>
        <w:rPr>
          <w:spacing w:val="-15"/>
        </w:rPr>
        <w:t xml:space="preserve"> </w:t>
      </w:r>
      <w:r>
        <w:t>de</w:t>
      </w:r>
      <w:r>
        <w:rPr>
          <w:spacing w:val="-12"/>
        </w:rPr>
        <w:t xml:space="preserve"> </w:t>
      </w:r>
      <w:r>
        <w:t>una</w:t>
      </w:r>
      <w:r>
        <w:rPr>
          <w:spacing w:val="-12"/>
        </w:rPr>
        <w:t xml:space="preserve"> </w:t>
      </w:r>
      <w:r>
        <w:t>paz</w:t>
      </w:r>
      <w:r>
        <w:rPr>
          <w:spacing w:val="-12"/>
        </w:rPr>
        <w:t xml:space="preserve"> </w:t>
      </w:r>
      <w:r>
        <w:t>estable</w:t>
      </w:r>
      <w:r>
        <w:rPr>
          <w:spacing w:val="-11"/>
        </w:rPr>
        <w:t xml:space="preserve"> </w:t>
      </w:r>
      <w:r>
        <w:t>y</w:t>
      </w:r>
      <w:r>
        <w:rPr>
          <w:spacing w:val="-12"/>
        </w:rPr>
        <w:t xml:space="preserve"> </w:t>
      </w:r>
      <w:r>
        <w:t>duradera;</w:t>
      </w:r>
      <w:r>
        <w:rPr>
          <w:spacing w:val="-12"/>
        </w:rPr>
        <w:t xml:space="preserve"> </w:t>
      </w:r>
      <w:r>
        <w:t>y</w:t>
      </w:r>
      <w:r>
        <w:rPr>
          <w:spacing w:val="-13"/>
        </w:rPr>
        <w:t xml:space="preserve"> </w:t>
      </w:r>
      <w:r>
        <w:t>reconocernos</w:t>
      </w:r>
      <w:r>
        <w:rPr>
          <w:spacing w:val="-12"/>
        </w:rPr>
        <w:t xml:space="preserve"> </w:t>
      </w:r>
      <w:r>
        <w:t>como</w:t>
      </w:r>
      <w:r>
        <w:rPr>
          <w:spacing w:val="-11"/>
        </w:rPr>
        <w:t xml:space="preserve"> </w:t>
      </w:r>
      <w:r>
        <w:t>parte</w:t>
      </w:r>
      <w:r>
        <w:rPr>
          <w:spacing w:val="-12"/>
        </w:rPr>
        <w:t xml:space="preserve"> </w:t>
      </w:r>
      <w:r>
        <w:t>de</w:t>
      </w:r>
      <w:r>
        <w:rPr>
          <w:spacing w:val="-13"/>
        </w:rPr>
        <w:t xml:space="preserve"> </w:t>
      </w:r>
      <w:r>
        <w:t>una</w:t>
      </w:r>
      <w:r>
        <w:rPr>
          <w:spacing w:val="-12"/>
        </w:rPr>
        <w:t xml:space="preserve"> </w:t>
      </w:r>
      <w:r>
        <w:t>misma</w:t>
      </w:r>
      <w:r>
        <w:rPr>
          <w:spacing w:val="-11"/>
        </w:rPr>
        <w:t xml:space="preserve"> </w:t>
      </w:r>
      <w:r>
        <w:rPr>
          <w:spacing w:val="-2"/>
        </w:rPr>
        <w:t>nación.</w:t>
      </w:r>
    </w:p>
    <w:p w:rsidR="003804AC" w:rsidRDefault="00AF18A5" w:rsidP="00B46A69">
      <w:r>
        <w:t>Los</w:t>
      </w:r>
      <w:r>
        <w:rPr>
          <w:spacing w:val="-13"/>
        </w:rPr>
        <w:t xml:space="preserve"> </w:t>
      </w:r>
      <w:r>
        <w:t>años</w:t>
      </w:r>
      <w:r>
        <w:rPr>
          <w:spacing w:val="-13"/>
        </w:rPr>
        <w:t xml:space="preserve"> </w:t>
      </w:r>
      <w:r>
        <w:t>tras</w:t>
      </w:r>
      <w:r>
        <w:rPr>
          <w:spacing w:val="-13"/>
        </w:rPr>
        <w:t xml:space="preserve"> </w:t>
      </w:r>
      <w:r>
        <w:t>el</w:t>
      </w:r>
      <w:r>
        <w:rPr>
          <w:spacing w:val="-13"/>
        </w:rPr>
        <w:t xml:space="preserve"> </w:t>
      </w:r>
      <w:r>
        <w:t>Acuerdo</w:t>
      </w:r>
      <w:r>
        <w:rPr>
          <w:spacing w:val="-15"/>
        </w:rPr>
        <w:t xml:space="preserve"> </w:t>
      </w:r>
      <w:r>
        <w:t>han</w:t>
      </w:r>
      <w:r>
        <w:rPr>
          <w:spacing w:val="-13"/>
        </w:rPr>
        <w:t xml:space="preserve"> </w:t>
      </w:r>
      <w:r>
        <w:t>sido</w:t>
      </w:r>
      <w:r>
        <w:rPr>
          <w:spacing w:val="-13"/>
        </w:rPr>
        <w:t xml:space="preserve"> </w:t>
      </w:r>
      <w:r>
        <w:t>paradójicos,</w:t>
      </w:r>
      <w:r>
        <w:rPr>
          <w:spacing w:val="-13"/>
        </w:rPr>
        <w:t xml:space="preserve"> </w:t>
      </w:r>
      <w:r>
        <w:t>en</w:t>
      </w:r>
      <w:r>
        <w:rPr>
          <w:spacing w:val="-13"/>
        </w:rPr>
        <w:t xml:space="preserve"> </w:t>
      </w:r>
      <w:r>
        <w:t>la</w:t>
      </w:r>
      <w:r>
        <w:rPr>
          <w:spacing w:val="-13"/>
        </w:rPr>
        <w:t xml:space="preserve"> </w:t>
      </w:r>
      <w:r>
        <w:t>medida</w:t>
      </w:r>
      <w:r>
        <w:rPr>
          <w:spacing w:val="-13"/>
        </w:rPr>
        <w:t xml:space="preserve"> </w:t>
      </w:r>
      <w:r>
        <w:t>en</w:t>
      </w:r>
      <w:r>
        <w:rPr>
          <w:spacing w:val="-14"/>
        </w:rPr>
        <w:t xml:space="preserve"> </w:t>
      </w:r>
      <w:r>
        <w:t>que</w:t>
      </w:r>
      <w:r>
        <w:rPr>
          <w:spacing w:val="-13"/>
        </w:rPr>
        <w:t xml:space="preserve"> </w:t>
      </w:r>
      <w:r>
        <w:t>el</w:t>
      </w:r>
      <w:r>
        <w:rPr>
          <w:spacing w:val="-13"/>
        </w:rPr>
        <w:t xml:space="preserve"> </w:t>
      </w:r>
      <w:r>
        <w:t>cese</w:t>
      </w:r>
      <w:r>
        <w:rPr>
          <w:spacing w:val="-13"/>
        </w:rPr>
        <w:t xml:space="preserve"> </w:t>
      </w:r>
      <w:r>
        <w:t>de</w:t>
      </w:r>
      <w:r>
        <w:rPr>
          <w:spacing w:val="-13"/>
        </w:rPr>
        <w:t xml:space="preserve"> </w:t>
      </w:r>
      <w:r>
        <w:t>ese</w:t>
      </w:r>
      <w:r>
        <w:rPr>
          <w:spacing w:val="-13"/>
        </w:rPr>
        <w:t xml:space="preserve"> </w:t>
      </w:r>
      <w:r>
        <w:t xml:space="preserve">conflicto ha convivido con rasgos de la vieja guerra, en </w:t>
      </w:r>
      <w:r>
        <w:lastRenderedPageBreak/>
        <w:t>especial el uso de las armas para frenar la democracia. La violencia se ha ensañado con los líderes sociales debido a que estos son el mayor capital social de las regiones, pues son necesarios para garantizar una buena gobernanza en los territorios. Lo mismo ha sucedido con los excombatientes que dejaron la armas y confiaron su protección y sus vidas a su otrora enemigo: el Estado. Ha habido, además, una represión brutal contra las protestas, y una tentación de mantener la guerra en las instituciones, recreándola y tentando su regreso con la repetición de las ejecuciones extrajudiciales de civiles, los señalamientos y las acciones militares desproporcionadas</w:t>
      </w:r>
      <w:r w:rsidR="00B46A69">
        <w:rPr>
          <w:rStyle w:val="Refdenotaalpie"/>
        </w:rPr>
        <w:footnoteReference w:id="102"/>
      </w:r>
      <w:r>
        <w:t>.</w:t>
      </w:r>
    </w:p>
    <w:p w:rsidR="003804AC" w:rsidRDefault="00AF18A5" w:rsidP="00B46A69">
      <w:r>
        <w:t>También</w:t>
      </w:r>
      <w:r>
        <w:rPr>
          <w:spacing w:val="-15"/>
        </w:rPr>
        <w:t xml:space="preserve"> </w:t>
      </w:r>
      <w:r>
        <w:t>ha</w:t>
      </w:r>
      <w:r>
        <w:rPr>
          <w:spacing w:val="-15"/>
        </w:rPr>
        <w:t xml:space="preserve"> </w:t>
      </w:r>
      <w:r>
        <w:t>habido</w:t>
      </w:r>
      <w:r>
        <w:rPr>
          <w:spacing w:val="-15"/>
        </w:rPr>
        <w:t xml:space="preserve"> </w:t>
      </w:r>
      <w:r>
        <w:t>destellos:</w:t>
      </w:r>
      <w:r>
        <w:rPr>
          <w:spacing w:val="-15"/>
        </w:rPr>
        <w:t xml:space="preserve"> </w:t>
      </w:r>
      <w:r>
        <w:t>se</w:t>
      </w:r>
      <w:r>
        <w:rPr>
          <w:spacing w:val="-15"/>
        </w:rPr>
        <w:t xml:space="preserve"> </w:t>
      </w:r>
      <w:r>
        <w:t>ha</w:t>
      </w:r>
      <w:r>
        <w:rPr>
          <w:spacing w:val="-15"/>
        </w:rPr>
        <w:t xml:space="preserve"> </w:t>
      </w:r>
      <w:r>
        <w:t>vivido</w:t>
      </w:r>
      <w:r>
        <w:rPr>
          <w:spacing w:val="-14"/>
        </w:rPr>
        <w:t xml:space="preserve"> </w:t>
      </w:r>
      <w:r>
        <w:t>el</w:t>
      </w:r>
      <w:r>
        <w:rPr>
          <w:spacing w:val="-15"/>
        </w:rPr>
        <w:t xml:space="preserve"> </w:t>
      </w:r>
      <w:r>
        <w:t>despertar</w:t>
      </w:r>
      <w:r>
        <w:rPr>
          <w:spacing w:val="-15"/>
        </w:rPr>
        <w:t xml:space="preserve"> </w:t>
      </w:r>
      <w:r>
        <w:t>de</w:t>
      </w:r>
      <w:r>
        <w:rPr>
          <w:spacing w:val="-15"/>
        </w:rPr>
        <w:t xml:space="preserve"> </w:t>
      </w:r>
      <w:r>
        <w:t>los</w:t>
      </w:r>
      <w:r>
        <w:rPr>
          <w:spacing w:val="-15"/>
        </w:rPr>
        <w:t xml:space="preserve"> </w:t>
      </w:r>
      <w:r>
        <w:t>jóvenes</w:t>
      </w:r>
      <w:r>
        <w:rPr>
          <w:spacing w:val="-14"/>
        </w:rPr>
        <w:t xml:space="preserve"> </w:t>
      </w:r>
      <w:r>
        <w:t>y</w:t>
      </w:r>
      <w:r>
        <w:rPr>
          <w:spacing w:val="-15"/>
        </w:rPr>
        <w:t xml:space="preserve"> </w:t>
      </w:r>
      <w:r>
        <w:t>de</w:t>
      </w:r>
      <w:r>
        <w:rPr>
          <w:spacing w:val="-15"/>
        </w:rPr>
        <w:t xml:space="preserve"> </w:t>
      </w:r>
      <w:r>
        <w:t>muchos</w:t>
      </w:r>
      <w:r>
        <w:rPr>
          <w:spacing w:val="-14"/>
        </w:rPr>
        <w:t xml:space="preserve"> </w:t>
      </w:r>
      <w:r>
        <w:t>sectores que sin miedo vuelven</w:t>
      </w:r>
      <w:r>
        <w:rPr>
          <w:spacing w:val="-1"/>
        </w:rPr>
        <w:t xml:space="preserve"> </w:t>
      </w:r>
      <w:r>
        <w:t>a salir a</w:t>
      </w:r>
      <w:r>
        <w:rPr>
          <w:spacing w:val="-1"/>
        </w:rPr>
        <w:t xml:space="preserve"> </w:t>
      </w:r>
      <w:r>
        <w:t>las</w:t>
      </w:r>
      <w:r>
        <w:rPr>
          <w:spacing w:val="-1"/>
        </w:rPr>
        <w:t xml:space="preserve"> </w:t>
      </w:r>
      <w:r>
        <w:t>calles. Colombia crecientemente rechaza la guerra. En el país, no hay derecho a la guerra, pero sí a participar en política, que es el lugar de la controversia y del «no matarás».</w:t>
      </w:r>
    </w:p>
    <w:p w:rsidR="003804AC" w:rsidRDefault="00AF18A5" w:rsidP="00B46A69">
      <w:r>
        <w:t>Lo que sigue es fortalecer la democracia no violenta. Faltan normas, pero, sobre todo, sacudir a las instituciones para eliminar el legado que dejan tantas décadas de violencia y corrupción.</w:t>
      </w:r>
      <w:r>
        <w:rPr>
          <w:spacing w:val="3"/>
        </w:rPr>
        <w:t xml:space="preserve"> </w:t>
      </w:r>
      <w:r>
        <w:t>Estas</w:t>
      </w:r>
      <w:r>
        <w:rPr>
          <w:spacing w:val="6"/>
        </w:rPr>
        <w:t xml:space="preserve"> </w:t>
      </w:r>
      <w:r>
        <w:t>deben</w:t>
      </w:r>
      <w:r>
        <w:rPr>
          <w:spacing w:val="5"/>
        </w:rPr>
        <w:t xml:space="preserve"> </w:t>
      </w:r>
      <w:r>
        <w:t>recuperar</w:t>
      </w:r>
      <w:r>
        <w:rPr>
          <w:spacing w:val="6"/>
        </w:rPr>
        <w:t xml:space="preserve"> </w:t>
      </w:r>
      <w:r>
        <w:t>los</w:t>
      </w:r>
      <w:r>
        <w:rPr>
          <w:spacing w:val="6"/>
        </w:rPr>
        <w:t xml:space="preserve"> </w:t>
      </w:r>
      <w:r>
        <w:t>valores</w:t>
      </w:r>
      <w:r>
        <w:rPr>
          <w:spacing w:val="6"/>
        </w:rPr>
        <w:t xml:space="preserve"> </w:t>
      </w:r>
      <w:r>
        <w:t>que</w:t>
      </w:r>
      <w:r>
        <w:rPr>
          <w:spacing w:val="6"/>
        </w:rPr>
        <w:t xml:space="preserve"> </w:t>
      </w:r>
      <w:r>
        <w:t>hacen</w:t>
      </w:r>
      <w:r>
        <w:rPr>
          <w:spacing w:val="6"/>
        </w:rPr>
        <w:t xml:space="preserve"> </w:t>
      </w:r>
      <w:r>
        <w:t>que</w:t>
      </w:r>
      <w:r>
        <w:rPr>
          <w:spacing w:val="5"/>
        </w:rPr>
        <w:t xml:space="preserve"> </w:t>
      </w:r>
      <w:r>
        <w:t>la</w:t>
      </w:r>
      <w:r>
        <w:rPr>
          <w:spacing w:val="6"/>
        </w:rPr>
        <w:t xml:space="preserve"> </w:t>
      </w:r>
      <w:r>
        <w:t>democracia</w:t>
      </w:r>
      <w:r>
        <w:rPr>
          <w:spacing w:val="6"/>
        </w:rPr>
        <w:t xml:space="preserve"> </w:t>
      </w:r>
      <w:r>
        <w:t>sea</w:t>
      </w:r>
      <w:r>
        <w:rPr>
          <w:spacing w:val="6"/>
        </w:rPr>
        <w:t xml:space="preserve"> </w:t>
      </w:r>
      <w:r>
        <w:t>vigorosa:</w:t>
      </w:r>
      <w:r>
        <w:rPr>
          <w:spacing w:val="7"/>
        </w:rPr>
        <w:t xml:space="preserve"> </w:t>
      </w:r>
      <w:r>
        <w:rPr>
          <w:spacing w:val="-5"/>
        </w:rPr>
        <w:t>la</w:t>
      </w:r>
      <w:bookmarkStart w:id="169" w:name="_bookmark114"/>
      <w:bookmarkEnd w:id="169"/>
      <w:r w:rsidR="00B46A69">
        <w:t xml:space="preserve"> </w:t>
      </w:r>
      <w:r>
        <w:t>participación,</w:t>
      </w:r>
      <w:r>
        <w:rPr>
          <w:spacing w:val="-1"/>
        </w:rPr>
        <w:t xml:space="preserve"> </w:t>
      </w:r>
      <w:r>
        <w:t>el</w:t>
      </w:r>
      <w:r>
        <w:rPr>
          <w:spacing w:val="-1"/>
        </w:rPr>
        <w:t xml:space="preserve"> </w:t>
      </w:r>
      <w:r>
        <w:t>pluralismo,</w:t>
      </w:r>
      <w:r>
        <w:rPr>
          <w:spacing w:val="-1"/>
        </w:rPr>
        <w:t xml:space="preserve"> </w:t>
      </w:r>
      <w:r>
        <w:t>la</w:t>
      </w:r>
      <w:r>
        <w:rPr>
          <w:spacing w:val="-2"/>
        </w:rPr>
        <w:t xml:space="preserve"> </w:t>
      </w:r>
      <w:r>
        <w:t>transparencia,</w:t>
      </w:r>
      <w:r>
        <w:rPr>
          <w:spacing w:val="-1"/>
        </w:rPr>
        <w:t xml:space="preserve"> </w:t>
      </w:r>
      <w:r>
        <w:t>la</w:t>
      </w:r>
      <w:r>
        <w:rPr>
          <w:spacing w:val="-2"/>
        </w:rPr>
        <w:t xml:space="preserve"> </w:t>
      </w:r>
      <w:r>
        <w:t>diversidad,</w:t>
      </w:r>
      <w:r>
        <w:rPr>
          <w:spacing w:val="-1"/>
        </w:rPr>
        <w:t xml:space="preserve"> </w:t>
      </w:r>
      <w:r>
        <w:t>las</w:t>
      </w:r>
      <w:r>
        <w:rPr>
          <w:spacing w:val="-1"/>
        </w:rPr>
        <w:t xml:space="preserve"> </w:t>
      </w:r>
      <w:r>
        <w:t>libertades</w:t>
      </w:r>
      <w:r>
        <w:rPr>
          <w:spacing w:val="-2"/>
        </w:rPr>
        <w:t xml:space="preserve"> </w:t>
      </w:r>
      <w:r>
        <w:t>y,</w:t>
      </w:r>
      <w:r>
        <w:rPr>
          <w:spacing w:val="-1"/>
        </w:rPr>
        <w:t xml:space="preserve"> </w:t>
      </w:r>
      <w:r>
        <w:t>por</w:t>
      </w:r>
      <w:r>
        <w:rPr>
          <w:spacing w:val="-1"/>
        </w:rPr>
        <w:t xml:space="preserve"> </w:t>
      </w:r>
      <w:r>
        <w:t>supuesto,</w:t>
      </w:r>
      <w:r>
        <w:rPr>
          <w:spacing w:val="-1"/>
        </w:rPr>
        <w:t xml:space="preserve"> </w:t>
      </w:r>
      <w:r>
        <w:t>la imaginación moral de un mundo mejor.</w:t>
      </w:r>
    </w:p>
    <w:p w:rsidR="0011361F" w:rsidRPr="00B46A69" w:rsidRDefault="00AF18A5" w:rsidP="004A6EF4">
      <w:pPr>
        <w:pStyle w:val="Ttulo3"/>
        <w:numPr>
          <w:ilvl w:val="1"/>
          <w:numId w:val="16"/>
        </w:numPr>
      </w:pPr>
      <w:bookmarkStart w:id="170" w:name="2.6._Conclusiones"/>
      <w:bookmarkStart w:id="171" w:name="_Toc112399554"/>
      <w:bookmarkEnd w:id="170"/>
      <w:r w:rsidRPr="00B46A69">
        <w:t>Conclusiones</w:t>
      </w:r>
      <w:bookmarkEnd w:id="171"/>
    </w:p>
    <w:p w:rsidR="0011361F" w:rsidRPr="00B46A69" w:rsidRDefault="00AF18A5" w:rsidP="004A6EF4">
      <w:pPr>
        <w:pStyle w:val="Ttulo3"/>
        <w:numPr>
          <w:ilvl w:val="2"/>
          <w:numId w:val="16"/>
        </w:numPr>
      </w:pPr>
      <w:bookmarkStart w:id="172" w:name="2.6.1._Una_democracia_herida_por_la_guer"/>
      <w:bookmarkStart w:id="173" w:name="_Toc112399555"/>
      <w:bookmarkEnd w:id="172"/>
      <w:r w:rsidRPr="00B46A69">
        <w:t>Una democracia herida por la guerra</w:t>
      </w:r>
      <w:bookmarkEnd w:id="173"/>
    </w:p>
    <w:p w:rsidR="003804AC" w:rsidRDefault="00AF18A5" w:rsidP="003730C7">
      <w:r>
        <w:t xml:space="preserve">La violencia política se ha ejercido de manera simbólica y física en medio </w:t>
      </w:r>
      <w:r>
        <w:lastRenderedPageBreak/>
        <w:t>de la guerra. La estigmatización y la construcción ideológica del adversario como enemigo funcionó desde los años de la hegemonía conservadora y la Violencia bipartidista, y se continuó ejerciendo en el marco de la polaridad ideológica de la Guerra Fría. La construcción de los opositores como «enemigos internos» facilitó el ejercicio de la violencia política justamente porque convirtió en subversivos e insurgentes a quienes ejercieron legítimos derechos a la protesta como</w:t>
      </w:r>
      <w:r>
        <w:rPr>
          <w:spacing w:val="-15"/>
        </w:rPr>
        <w:t xml:space="preserve"> </w:t>
      </w:r>
      <w:r>
        <w:t>sindicalistas,</w:t>
      </w:r>
      <w:r>
        <w:rPr>
          <w:spacing w:val="-15"/>
        </w:rPr>
        <w:t xml:space="preserve"> </w:t>
      </w:r>
      <w:r>
        <w:t>campesinos,</w:t>
      </w:r>
      <w:r>
        <w:rPr>
          <w:spacing w:val="-15"/>
        </w:rPr>
        <w:t xml:space="preserve"> </w:t>
      </w:r>
      <w:r>
        <w:t>estudiantes</w:t>
      </w:r>
      <w:r>
        <w:rPr>
          <w:spacing w:val="-15"/>
        </w:rPr>
        <w:t xml:space="preserve"> </w:t>
      </w:r>
      <w:r>
        <w:t>o</w:t>
      </w:r>
      <w:r>
        <w:rPr>
          <w:spacing w:val="-15"/>
        </w:rPr>
        <w:t xml:space="preserve"> </w:t>
      </w:r>
      <w:r>
        <w:t>a</w:t>
      </w:r>
      <w:r>
        <w:rPr>
          <w:spacing w:val="-15"/>
        </w:rPr>
        <w:t xml:space="preserve"> </w:t>
      </w:r>
      <w:r>
        <w:t>quienes</w:t>
      </w:r>
      <w:r>
        <w:rPr>
          <w:spacing w:val="-15"/>
        </w:rPr>
        <w:t xml:space="preserve"> </w:t>
      </w:r>
      <w:r>
        <w:t>apostaron</w:t>
      </w:r>
      <w:r>
        <w:rPr>
          <w:spacing w:val="-15"/>
        </w:rPr>
        <w:t xml:space="preserve"> </w:t>
      </w:r>
      <w:r>
        <w:t>por</w:t>
      </w:r>
      <w:r>
        <w:rPr>
          <w:spacing w:val="-15"/>
        </w:rPr>
        <w:t xml:space="preserve"> </w:t>
      </w:r>
      <w:r>
        <w:t>la</w:t>
      </w:r>
      <w:r>
        <w:rPr>
          <w:spacing w:val="-15"/>
        </w:rPr>
        <w:t xml:space="preserve"> </w:t>
      </w:r>
      <w:r>
        <w:t>competencia</w:t>
      </w:r>
      <w:r>
        <w:rPr>
          <w:spacing w:val="-15"/>
        </w:rPr>
        <w:t xml:space="preserve"> </w:t>
      </w:r>
      <w:r>
        <w:t>política legal.</w:t>
      </w:r>
      <w:r>
        <w:rPr>
          <w:spacing w:val="-5"/>
        </w:rPr>
        <w:t xml:space="preserve"> </w:t>
      </w:r>
      <w:r>
        <w:t>Por</w:t>
      </w:r>
      <w:r>
        <w:rPr>
          <w:spacing w:val="-3"/>
        </w:rPr>
        <w:t xml:space="preserve"> </w:t>
      </w:r>
      <w:r>
        <w:t>parte</w:t>
      </w:r>
      <w:r>
        <w:rPr>
          <w:spacing w:val="-3"/>
        </w:rPr>
        <w:t xml:space="preserve"> </w:t>
      </w:r>
      <w:r>
        <w:t>de</w:t>
      </w:r>
      <w:r>
        <w:rPr>
          <w:spacing w:val="-3"/>
        </w:rPr>
        <w:t xml:space="preserve"> </w:t>
      </w:r>
      <w:r>
        <w:t>las</w:t>
      </w:r>
      <w:r>
        <w:rPr>
          <w:spacing w:val="-3"/>
        </w:rPr>
        <w:t xml:space="preserve"> </w:t>
      </w:r>
      <w:r>
        <w:t>insurgencias,</w:t>
      </w:r>
      <w:r>
        <w:rPr>
          <w:spacing w:val="-3"/>
        </w:rPr>
        <w:t xml:space="preserve"> </w:t>
      </w:r>
      <w:r>
        <w:t>la</w:t>
      </w:r>
      <w:r>
        <w:rPr>
          <w:spacing w:val="-4"/>
        </w:rPr>
        <w:t xml:space="preserve"> </w:t>
      </w:r>
      <w:r>
        <w:t>narrativa</w:t>
      </w:r>
      <w:r>
        <w:rPr>
          <w:spacing w:val="-3"/>
        </w:rPr>
        <w:t xml:space="preserve"> </w:t>
      </w:r>
      <w:r>
        <w:t>espejo</w:t>
      </w:r>
      <w:r>
        <w:rPr>
          <w:spacing w:val="-4"/>
        </w:rPr>
        <w:t xml:space="preserve"> </w:t>
      </w:r>
      <w:r>
        <w:t>convirtió</w:t>
      </w:r>
      <w:r>
        <w:rPr>
          <w:spacing w:val="-3"/>
        </w:rPr>
        <w:t xml:space="preserve"> </w:t>
      </w:r>
      <w:r>
        <w:t>en</w:t>
      </w:r>
      <w:r>
        <w:rPr>
          <w:spacing w:val="-3"/>
        </w:rPr>
        <w:t xml:space="preserve"> </w:t>
      </w:r>
      <w:r>
        <w:t>blancos</w:t>
      </w:r>
      <w:r>
        <w:rPr>
          <w:spacing w:val="-4"/>
        </w:rPr>
        <w:t xml:space="preserve"> </w:t>
      </w:r>
      <w:r>
        <w:t>de</w:t>
      </w:r>
      <w:r>
        <w:rPr>
          <w:spacing w:val="-3"/>
        </w:rPr>
        <w:t xml:space="preserve"> </w:t>
      </w:r>
      <w:r>
        <w:t>la</w:t>
      </w:r>
      <w:r>
        <w:rPr>
          <w:spacing w:val="-3"/>
        </w:rPr>
        <w:t xml:space="preserve"> </w:t>
      </w:r>
      <w:r>
        <w:t>violencia</w:t>
      </w:r>
      <w:r>
        <w:rPr>
          <w:spacing w:val="-3"/>
        </w:rPr>
        <w:t xml:space="preserve"> </w:t>
      </w:r>
      <w:r>
        <w:t>a quienes</w:t>
      </w:r>
      <w:r>
        <w:rPr>
          <w:spacing w:val="-8"/>
        </w:rPr>
        <w:t xml:space="preserve"> </w:t>
      </w:r>
      <w:r>
        <w:t>en</w:t>
      </w:r>
      <w:r>
        <w:rPr>
          <w:spacing w:val="-7"/>
        </w:rPr>
        <w:t xml:space="preserve"> </w:t>
      </w:r>
      <w:r>
        <w:t>una</w:t>
      </w:r>
      <w:r>
        <w:rPr>
          <w:spacing w:val="-7"/>
        </w:rPr>
        <w:t xml:space="preserve"> </w:t>
      </w:r>
      <w:r>
        <w:t>amplia</w:t>
      </w:r>
      <w:r>
        <w:rPr>
          <w:spacing w:val="-8"/>
        </w:rPr>
        <w:t xml:space="preserve"> </w:t>
      </w:r>
      <w:r>
        <w:t>gama</w:t>
      </w:r>
      <w:r>
        <w:rPr>
          <w:spacing w:val="-7"/>
        </w:rPr>
        <w:t xml:space="preserve"> </w:t>
      </w:r>
      <w:r>
        <w:t>de</w:t>
      </w:r>
      <w:r>
        <w:rPr>
          <w:spacing w:val="-8"/>
        </w:rPr>
        <w:t xml:space="preserve"> </w:t>
      </w:r>
      <w:r>
        <w:t>definiciones</w:t>
      </w:r>
      <w:r>
        <w:rPr>
          <w:spacing w:val="-8"/>
        </w:rPr>
        <w:t xml:space="preserve"> </w:t>
      </w:r>
      <w:r>
        <w:t>ellos</w:t>
      </w:r>
      <w:r>
        <w:rPr>
          <w:spacing w:val="-8"/>
        </w:rPr>
        <w:t xml:space="preserve"> </w:t>
      </w:r>
      <w:r>
        <w:t>consideraron</w:t>
      </w:r>
      <w:r>
        <w:rPr>
          <w:spacing w:val="-7"/>
        </w:rPr>
        <w:t xml:space="preserve"> </w:t>
      </w:r>
      <w:r>
        <w:t>el</w:t>
      </w:r>
      <w:r>
        <w:rPr>
          <w:spacing w:val="-7"/>
        </w:rPr>
        <w:t xml:space="preserve"> </w:t>
      </w:r>
      <w:r>
        <w:t>«enemigo</w:t>
      </w:r>
      <w:r>
        <w:rPr>
          <w:spacing w:val="-7"/>
        </w:rPr>
        <w:t xml:space="preserve"> </w:t>
      </w:r>
      <w:r>
        <w:t>de</w:t>
      </w:r>
      <w:r>
        <w:rPr>
          <w:spacing w:val="-7"/>
        </w:rPr>
        <w:t xml:space="preserve"> </w:t>
      </w:r>
      <w:r>
        <w:t>clase»:</w:t>
      </w:r>
      <w:r>
        <w:rPr>
          <w:spacing w:val="-7"/>
        </w:rPr>
        <w:t xml:space="preserve"> </w:t>
      </w:r>
      <w:r>
        <w:t>ricos, líderes</w:t>
      </w:r>
      <w:r>
        <w:rPr>
          <w:spacing w:val="-7"/>
        </w:rPr>
        <w:t xml:space="preserve"> </w:t>
      </w:r>
      <w:r>
        <w:t>de</w:t>
      </w:r>
      <w:r>
        <w:rPr>
          <w:spacing w:val="-7"/>
        </w:rPr>
        <w:t xml:space="preserve"> </w:t>
      </w:r>
      <w:r>
        <w:t>los</w:t>
      </w:r>
      <w:r>
        <w:rPr>
          <w:spacing w:val="-7"/>
        </w:rPr>
        <w:t xml:space="preserve"> </w:t>
      </w:r>
      <w:r>
        <w:t>partidos</w:t>
      </w:r>
      <w:r>
        <w:rPr>
          <w:spacing w:val="-7"/>
        </w:rPr>
        <w:t xml:space="preserve"> </w:t>
      </w:r>
      <w:r>
        <w:t>diferentes</w:t>
      </w:r>
      <w:r>
        <w:rPr>
          <w:spacing w:val="-7"/>
        </w:rPr>
        <w:t xml:space="preserve"> </w:t>
      </w:r>
      <w:r>
        <w:t>a</w:t>
      </w:r>
      <w:r>
        <w:rPr>
          <w:spacing w:val="-7"/>
        </w:rPr>
        <w:t xml:space="preserve"> </w:t>
      </w:r>
      <w:r>
        <w:t>la</w:t>
      </w:r>
      <w:r>
        <w:rPr>
          <w:spacing w:val="-7"/>
        </w:rPr>
        <w:t xml:space="preserve"> </w:t>
      </w:r>
      <w:r>
        <w:t>izquierda,</w:t>
      </w:r>
      <w:r>
        <w:rPr>
          <w:spacing w:val="-7"/>
        </w:rPr>
        <w:t xml:space="preserve"> </w:t>
      </w:r>
      <w:r>
        <w:t>funcionarios</w:t>
      </w:r>
      <w:r>
        <w:rPr>
          <w:spacing w:val="-7"/>
        </w:rPr>
        <w:t xml:space="preserve"> </w:t>
      </w:r>
      <w:r>
        <w:t>públicos,</w:t>
      </w:r>
      <w:r>
        <w:rPr>
          <w:spacing w:val="-7"/>
        </w:rPr>
        <w:t xml:space="preserve"> </w:t>
      </w:r>
      <w:r>
        <w:t>sospechosos</w:t>
      </w:r>
      <w:r>
        <w:rPr>
          <w:spacing w:val="-7"/>
        </w:rPr>
        <w:t xml:space="preserve"> </w:t>
      </w:r>
      <w:r>
        <w:t>e</w:t>
      </w:r>
      <w:r>
        <w:rPr>
          <w:spacing w:val="-7"/>
        </w:rPr>
        <w:t xml:space="preserve"> </w:t>
      </w:r>
      <w:r>
        <w:t>incluso ciudadanos extranjeros. Esta extensión de las lógicas de la guerra –la enemistad– al campo político –los</w:t>
      </w:r>
      <w:r>
        <w:rPr>
          <w:spacing w:val="1"/>
        </w:rPr>
        <w:t xml:space="preserve"> </w:t>
      </w:r>
      <w:r>
        <w:t>adversarios–</w:t>
      </w:r>
      <w:r>
        <w:rPr>
          <w:spacing w:val="2"/>
        </w:rPr>
        <w:t xml:space="preserve"> </w:t>
      </w:r>
      <w:r>
        <w:t>tuvo</w:t>
      </w:r>
      <w:r>
        <w:rPr>
          <w:spacing w:val="2"/>
        </w:rPr>
        <w:t xml:space="preserve"> </w:t>
      </w:r>
      <w:r>
        <w:t>consecuencias</w:t>
      </w:r>
      <w:r>
        <w:rPr>
          <w:spacing w:val="2"/>
        </w:rPr>
        <w:t xml:space="preserve"> </w:t>
      </w:r>
      <w:r>
        <w:t>graves</w:t>
      </w:r>
      <w:r>
        <w:rPr>
          <w:spacing w:val="2"/>
        </w:rPr>
        <w:t xml:space="preserve"> </w:t>
      </w:r>
      <w:r>
        <w:t>en</w:t>
      </w:r>
      <w:r>
        <w:rPr>
          <w:spacing w:val="2"/>
        </w:rPr>
        <w:t xml:space="preserve"> </w:t>
      </w:r>
      <w:r>
        <w:t>términos</w:t>
      </w:r>
      <w:r>
        <w:rPr>
          <w:spacing w:val="2"/>
        </w:rPr>
        <w:t xml:space="preserve"> </w:t>
      </w:r>
      <w:r>
        <w:t>de</w:t>
      </w:r>
      <w:r>
        <w:rPr>
          <w:spacing w:val="2"/>
        </w:rPr>
        <w:t xml:space="preserve"> </w:t>
      </w:r>
      <w:r>
        <w:t>violaciones</w:t>
      </w:r>
      <w:r>
        <w:rPr>
          <w:spacing w:val="2"/>
        </w:rPr>
        <w:t xml:space="preserve"> </w:t>
      </w:r>
      <w:r>
        <w:t>de</w:t>
      </w:r>
      <w:r>
        <w:rPr>
          <w:spacing w:val="2"/>
        </w:rPr>
        <w:t xml:space="preserve"> </w:t>
      </w:r>
      <w:r>
        <w:t>los</w:t>
      </w:r>
      <w:r>
        <w:rPr>
          <w:spacing w:val="3"/>
        </w:rPr>
        <w:t xml:space="preserve"> </w:t>
      </w:r>
      <w:r>
        <w:rPr>
          <w:spacing w:val="-5"/>
        </w:rPr>
        <w:t>DD.</w:t>
      </w:r>
      <w:r w:rsidR="003730C7">
        <w:rPr>
          <w:spacing w:val="-5"/>
        </w:rPr>
        <w:t xml:space="preserve"> </w:t>
      </w:r>
      <w:r>
        <w:t>HH. y de infracciones al DIH. En breve, se acudió al asesinato, a la amenaza, al atentado y al destierro a los competidores políticos.</w:t>
      </w:r>
    </w:p>
    <w:p w:rsidR="003804AC" w:rsidRDefault="00AF18A5" w:rsidP="003730C7">
      <w:r>
        <w:t>En el plano puramente electoral, Colombia debe reflexionar sobre dos aspectos centrales de su sistema democrático: la larga y traumática trayectoria para aceptar la alternación del poder</w:t>
      </w:r>
      <w:r>
        <w:rPr>
          <w:spacing w:val="-5"/>
        </w:rPr>
        <w:t xml:space="preserve"> </w:t>
      </w:r>
      <w:r>
        <w:t>y</w:t>
      </w:r>
      <w:r>
        <w:rPr>
          <w:spacing w:val="-6"/>
        </w:rPr>
        <w:t xml:space="preserve"> </w:t>
      </w:r>
      <w:r>
        <w:t>el</w:t>
      </w:r>
      <w:r>
        <w:rPr>
          <w:spacing w:val="-5"/>
        </w:rPr>
        <w:t xml:space="preserve"> </w:t>
      </w:r>
      <w:r>
        <w:t>difícil</w:t>
      </w:r>
      <w:r>
        <w:rPr>
          <w:spacing w:val="-5"/>
        </w:rPr>
        <w:t xml:space="preserve"> </w:t>
      </w:r>
      <w:r>
        <w:t>camino</w:t>
      </w:r>
      <w:r>
        <w:rPr>
          <w:spacing w:val="-7"/>
        </w:rPr>
        <w:t xml:space="preserve"> </w:t>
      </w:r>
      <w:r>
        <w:t>para</w:t>
      </w:r>
      <w:r>
        <w:rPr>
          <w:spacing w:val="-6"/>
        </w:rPr>
        <w:t xml:space="preserve"> </w:t>
      </w:r>
      <w:r>
        <w:t>aceptar</w:t>
      </w:r>
      <w:r>
        <w:rPr>
          <w:spacing w:val="-7"/>
        </w:rPr>
        <w:t xml:space="preserve"> </w:t>
      </w:r>
      <w:r>
        <w:t>el</w:t>
      </w:r>
      <w:r>
        <w:rPr>
          <w:spacing w:val="-5"/>
        </w:rPr>
        <w:t xml:space="preserve"> </w:t>
      </w:r>
      <w:r>
        <w:t>pluralismo</w:t>
      </w:r>
      <w:r>
        <w:rPr>
          <w:spacing w:val="-6"/>
        </w:rPr>
        <w:t xml:space="preserve"> </w:t>
      </w:r>
      <w:r>
        <w:t>como</w:t>
      </w:r>
      <w:r>
        <w:rPr>
          <w:spacing w:val="-6"/>
        </w:rPr>
        <w:t xml:space="preserve"> </w:t>
      </w:r>
      <w:r>
        <w:t>una</w:t>
      </w:r>
      <w:r>
        <w:rPr>
          <w:spacing w:val="-7"/>
        </w:rPr>
        <w:t xml:space="preserve"> </w:t>
      </w:r>
      <w:r>
        <w:t>condición</w:t>
      </w:r>
      <w:r>
        <w:rPr>
          <w:spacing w:val="-7"/>
        </w:rPr>
        <w:t xml:space="preserve"> </w:t>
      </w:r>
      <w:r>
        <w:t>esencial</w:t>
      </w:r>
      <w:r>
        <w:rPr>
          <w:spacing w:val="-5"/>
        </w:rPr>
        <w:t xml:space="preserve"> </w:t>
      </w:r>
      <w:r>
        <w:t>del</w:t>
      </w:r>
      <w:r>
        <w:rPr>
          <w:spacing w:val="-5"/>
        </w:rPr>
        <w:t xml:space="preserve"> </w:t>
      </w:r>
      <w:r>
        <w:t>sistema político, algo que requiere de gran madurez de parte de líderes y ciudadanos.</w:t>
      </w:r>
    </w:p>
    <w:p w:rsidR="003804AC" w:rsidRDefault="00AF18A5" w:rsidP="003730C7">
      <w:r>
        <w:t>Sobre la alternancia del poder, es importante observar que el Frente Nacional fue una fórmula para evitar la competencia</w:t>
      </w:r>
      <w:r>
        <w:rPr>
          <w:spacing w:val="-1"/>
        </w:rPr>
        <w:t xml:space="preserve"> </w:t>
      </w:r>
      <w:r>
        <w:t>debido a la</w:t>
      </w:r>
      <w:r>
        <w:rPr>
          <w:spacing w:val="-1"/>
        </w:rPr>
        <w:t xml:space="preserve"> </w:t>
      </w:r>
      <w:r>
        <w:t>violencia que esta podía</w:t>
      </w:r>
      <w:r>
        <w:rPr>
          <w:spacing w:val="-1"/>
        </w:rPr>
        <w:t xml:space="preserve"> </w:t>
      </w:r>
      <w:r>
        <w:t>desatar. En los años ochenta,</w:t>
      </w:r>
      <w:r>
        <w:rPr>
          <w:spacing w:val="-13"/>
        </w:rPr>
        <w:t xml:space="preserve"> </w:t>
      </w:r>
      <w:r>
        <w:t>esa</w:t>
      </w:r>
      <w:r>
        <w:rPr>
          <w:spacing w:val="-14"/>
        </w:rPr>
        <w:t xml:space="preserve"> </w:t>
      </w:r>
      <w:r>
        <w:t>competencia</w:t>
      </w:r>
      <w:r>
        <w:rPr>
          <w:spacing w:val="-13"/>
        </w:rPr>
        <w:t xml:space="preserve"> </w:t>
      </w:r>
      <w:r>
        <w:t>política</w:t>
      </w:r>
      <w:r>
        <w:rPr>
          <w:spacing w:val="-13"/>
        </w:rPr>
        <w:t xml:space="preserve"> </w:t>
      </w:r>
      <w:r>
        <w:t>fue</w:t>
      </w:r>
      <w:r>
        <w:rPr>
          <w:spacing w:val="-13"/>
        </w:rPr>
        <w:t xml:space="preserve"> </w:t>
      </w:r>
      <w:r>
        <w:t>aniquilada</w:t>
      </w:r>
      <w:r>
        <w:rPr>
          <w:spacing w:val="-13"/>
        </w:rPr>
        <w:t xml:space="preserve"> </w:t>
      </w:r>
      <w:r>
        <w:t>con</w:t>
      </w:r>
      <w:r>
        <w:rPr>
          <w:spacing w:val="-13"/>
        </w:rPr>
        <w:t xml:space="preserve"> </w:t>
      </w:r>
      <w:r>
        <w:t>la</w:t>
      </w:r>
      <w:r>
        <w:rPr>
          <w:spacing w:val="-13"/>
        </w:rPr>
        <w:t xml:space="preserve"> </w:t>
      </w:r>
      <w:r>
        <w:t>tortura,</w:t>
      </w:r>
      <w:r>
        <w:rPr>
          <w:spacing w:val="-13"/>
        </w:rPr>
        <w:t xml:space="preserve"> </w:t>
      </w:r>
      <w:r>
        <w:t>la</w:t>
      </w:r>
      <w:r>
        <w:rPr>
          <w:spacing w:val="-13"/>
        </w:rPr>
        <w:t xml:space="preserve"> </w:t>
      </w:r>
      <w:r>
        <w:t>desaparición</w:t>
      </w:r>
      <w:r>
        <w:rPr>
          <w:spacing w:val="-13"/>
        </w:rPr>
        <w:t xml:space="preserve"> </w:t>
      </w:r>
      <w:r>
        <w:t>y</w:t>
      </w:r>
      <w:r>
        <w:rPr>
          <w:spacing w:val="-13"/>
        </w:rPr>
        <w:t xml:space="preserve"> </w:t>
      </w:r>
      <w:r>
        <w:t>el</w:t>
      </w:r>
      <w:r>
        <w:rPr>
          <w:spacing w:val="-13"/>
        </w:rPr>
        <w:t xml:space="preserve"> </w:t>
      </w:r>
      <w:r>
        <w:t>asesinato. Los</w:t>
      </w:r>
      <w:r>
        <w:rPr>
          <w:spacing w:val="-2"/>
        </w:rPr>
        <w:t xml:space="preserve"> </w:t>
      </w:r>
      <w:r>
        <w:t>asesinatos</w:t>
      </w:r>
      <w:r>
        <w:rPr>
          <w:spacing w:val="-2"/>
        </w:rPr>
        <w:t xml:space="preserve"> </w:t>
      </w:r>
      <w:r>
        <w:t>de</w:t>
      </w:r>
      <w:r>
        <w:rPr>
          <w:spacing w:val="-3"/>
        </w:rPr>
        <w:t xml:space="preserve"> </w:t>
      </w:r>
      <w:r>
        <w:t>cuatro</w:t>
      </w:r>
      <w:r>
        <w:rPr>
          <w:spacing w:val="-3"/>
        </w:rPr>
        <w:t xml:space="preserve"> </w:t>
      </w:r>
      <w:r>
        <w:t>candidatos</w:t>
      </w:r>
      <w:r>
        <w:rPr>
          <w:spacing w:val="-2"/>
        </w:rPr>
        <w:t xml:space="preserve"> </w:t>
      </w:r>
      <w:r>
        <w:t>presidenciales</w:t>
      </w:r>
      <w:r>
        <w:rPr>
          <w:spacing w:val="-2"/>
        </w:rPr>
        <w:t xml:space="preserve"> </w:t>
      </w:r>
      <w:r>
        <w:t>para</w:t>
      </w:r>
      <w:r>
        <w:rPr>
          <w:spacing w:val="-3"/>
        </w:rPr>
        <w:t xml:space="preserve"> </w:t>
      </w:r>
      <w:r>
        <w:t>las</w:t>
      </w:r>
      <w:r>
        <w:rPr>
          <w:spacing w:val="-2"/>
        </w:rPr>
        <w:t xml:space="preserve"> </w:t>
      </w:r>
      <w:r>
        <w:t>elecciones</w:t>
      </w:r>
      <w:r>
        <w:rPr>
          <w:spacing w:val="-2"/>
        </w:rPr>
        <w:t xml:space="preserve"> </w:t>
      </w:r>
      <w:r>
        <w:t>de</w:t>
      </w:r>
      <w:r>
        <w:rPr>
          <w:spacing w:val="-4"/>
        </w:rPr>
        <w:t xml:space="preserve"> </w:t>
      </w:r>
      <w:r>
        <w:t>1990,</w:t>
      </w:r>
      <w:r>
        <w:rPr>
          <w:spacing w:val="-2"/>
        </w:rPr>
        <w:t xml:space="preserve"> </w:t>
      </w:r>
      <w:r>
        <w:t>el</w:t>
      </w:r>
      <w:r>
        <w:rPr>
          <w:spacing w:val="-3"/>
        </w:rPr>
        <w:t xml:space="preserve"> </w:t>
      </w:r>
      <w:r>
        <w:t xml:space="preserve">genocidio contra la UP y la ofensiva criminal contra </w:t>
      </w:r>
      <w:r>
        <w:lastRenderedPageBreak/>
        <w:t>movimientos políticos como A Luchar, el Frente Popular,</w:t>
      </w:r>
      <w:r>
        <w:rPr>
          <w:spacing w:val="8"/>
        </w:rPr>
        <w:t xml:space="preserve"> </w:t>
      </w:r>
      <w:r>
        <w:t>entre</w:t>
      </w:r>
      <w:r>
        <w:rPr>
          <w:spacing w:val="11"/>
        </w:rPr>
        <w:t xml:space="preserve"> </w:t>
      </w:r>
      <w:r>
        <w:t>otros,</w:t>
      </w:r>
      <w:r>
        <w:rPr>
          <w:spacing w:val="11"/>
        </w:rPr>
        <w:t xml:space="preserve"> </w:t>
      </w:r>
      <w:r>
        <w:t>son</w:t>
      </w:r>
      <w:r>
        <w:rPr>
          <w:spacing w:val="8"/>
        </w:rPr>
        <w:t xml:space="preserve"> </w:t>
      </w:r>
      <w:r>
        <w:t>prueba</w:t>
      </w:r>
      <w:r>
        <w:rPr>
          <w:spacing w:val="10"/>
        </w:rPr>
        <w:t xml:space="preserve"> </w:t>
      </w:r>
      <w:r>
        <w:t>de</w:t>
      </w:r>
      <w:r>
        <w:rPr>
          <w:spacing w:val="11"/>
        </w:rPr>
        <w:t xml:space="preserve"> </w:t>
      </w:r>
      <w:r>
        <w:t>ello.</w:t>
      </w:r>
      <w:r>
        <w:rPr>
          <w:spacing w:val="11"/>
        </w:rPr>
        <w:t xml:space="preserve"> </w:t>
      </w:r>
      <w:r>
        <w:t>La</w:t>
      </w:r>
      <w:r>
        <w:rPr>
          <w:spacing w:val="9"/>
        </w:rPr>
        <w:t xml:space="preserve"> </w:t>
      </w:r>
      <w:r>
        <w:t>guerra</w:t>
      </w:r>
      <w:r>
        <w:rPr>
          <w:spacing w:val="11"/>
        </w:rPr>
        <w:t xml:space="preserve"> </w:t>
      </w:r>
      <w:r>
        <w:t>de</w:t>
      </w:r>
      <w:r>
        <w:rPr>
          <w:spacing w:val="11"/>
        </w:rPr>
        <w:t xml:space="preserve"> </w:t>
      </w:r>
      <w:r>
        <w:t>exterminio</w:t>
      </w:r>
      <w:r>
        <w:rPr>
          <w:spacing w:val="11"/>
        </w:rPr>
        <w:t xml:space="preserve"> </w:t>
      </w:r>
      <w:r>
        <w:t>a</w:t>
      </w:r>
      <w:r>
        <w:rPr>
          <w:spacing w:val="9"/>
        </w:rPr>
        <w:t xml:space="preserve"> </w:t>
      </w:r>
      <w:r>
        <w:t>los</w:t>
      </w:r>
      <w:r>
        <w:rPr>
          <w:spacing w:val="11"/>
        </w:rPr>
        <w:t xml:space="preserve"> </w:t>
      </w:r>
      <w:r>
        <w:t>opositores</w:t>
      </w:r>
      <w:r>
        <w:rPr>
          <w:spacing w:val="11"/>
        </w:rPr>
        <w:t xml:space="preserve"> </w:t>
      </w:r>
      <w:r>
        <w:t>por</w:t>
      </w:r>
      <w:r>
        <w:rPr>
          <w:spacing w:val="10"/>
        </w:rPr>
        <w:t xml:space="preserve"> </w:t>
      </w:r>
      <w:r>
        <w:rPr>
          <w:spacing w:val="-2"/>
        </w:rPr>
        <w:t>parte</w:t>
      </w:r>
      <w:r w:rsidR="003730C7">
        <w:t xml:space="preserve"> </w:t>
      </w:r>
      <w:r>
        <w:t>de</w:t>
      </w:r>
      <w:r>
        <w:rPr>
          <w:spacing w:val="-6"/>
        </w:rPr>
        <w:t xml:space="preserve"> </w:t>
      </w:r>
      <w:r>
        <w:t>la</w:t>
      </w:r>
      <w:r>
        <w:rPr>
          <w:spacing w:val="-6"/>
        </w:rPr>
        <w:t xml:space="preserve"> </w:t>
      </w:r>
      <w:r>
        <w:t>coalición</w:t>
      </w:r>
      <w:r>
        <w:rPr>
          <w:spacing w:val="-6"/>
        </w:rPr>
        <w:t xml:space="preserve"> </w:t>
      </w:r>
      <w:r>
        <w:t>de</w:t>
      </w:r>
      <w:r>
        <w:rPr>
          <w:spacing w:val="-6"/>
        </w:rPr>
        <w:t xml:space="preserve"> </w:t>
      </w:r>
      <w:r>
        <w:t>extrema</w:t>
      </w:r>
      <w:r>
        <w:rPr>
          <w:spacing w:val="-6"/>
        </w:rPr>
        <w:t xml:space="preserve"> </w:t>
      </w:r>
      <w:r>
        <w:t>derecha</w:t>
      </w:r>
      <w:r>
        <w:rPr>
          <w:spacing w:val="-7"/>
        </w:rPr>
        <w:t xml:space="preserve"> </w:t>
      </w:r>
      <w:r>
        <w:t>–cuyo</w:t>
      </w:r>
      <w:r>
        <w:rPr>
          <w:spacing w:val="-6"/>
        </w:rPr>
        <w:t xml:space="preserve"> </w:t>
      </w:r>
      <w:r>
        <w:t>eje</w:t>
      </w:r>
      <w:r>
        <w:rPr>
          <w:spacing w:val="-7"/>
        </w:rPr>
        <w:t xml:space="preserve"> </w:t>
      </w:r>
      <w:r>
        <w:t>fueron</w:t>
      </w:r>
      <w:r>
        <w:rPr>
          <w:spacing w:val="-6"/>
        </w:rPr>
        <w:t xml:space="preserve"> </w:t>
      </w:r>
      <w:r>
        <w:t>los</w:t>
      </w:r>
      <w:r>
        <w:rPr>
          <w:spacing w:val="-6"/>
        </w:rPr>
        <w:t xml:space="preserve"> </w:t>
      </w:r>
      <w:r>
        <w:t>narcotraficantes</w:t>
      </w:r>
      <w:r>
        <w:rPr>
          <w:spacing w:val="-7"/>
        </w:rPr>
        <w:t xml:space="preserve"> </w:t>
      </w:r>
      <w:r>
        <w:t>y</w:t>
      </w:r>
      <w:r>
        <w:rPr>
          <w:spacing w:val="-6"/>
        </w:rPr>
        <w:t xml:space="preserve"> </w:t>
      </w:r>
      <w:r>
        <w:t>la</w:t>
      </w:r>
      <w:r>
        <w:rPr>
          <w:spacing w:val="-6"/>
        </w:rPr>
        <w:t xml:space="preserve"> </w:t>
      </w:r>
      <w:r>
        <w:t>fuerza</w:t>
      </w:r>
      <w:r>
        <w:rPr>
          <w:spacing w:val="-7"/>
        </w:rPr>
        <w:t xml:space="preserve"> </w:t>
      </w:r>
      <w:r>
        <w:t>pública– se extendió hasta muy entrado el nuevo siglo. Por las balas del paramilitarismo cayeron líderes de movimientos democráticos regionales y nacionales, defensores de derechos humanos, maestros, periodistas, líderes sociales, gobernantes locales y militantes de todos los partidos.</w:t>
      </w:r>
    </w:p>
    <w:p w:rsidR="003804AC" w:rsidRDefault="00AF18A5" w:rsidP="003730C7">
      <w:r>
        <w:t>Las guerrillas también eliminaron a sus adversarios a lo largo del conflicto. El ELN, por ejemplo,</w:t>
      </w:r>
      <w:r>
        <w:rPr>
          <w:spacing w:val="-7"/>
        </w:rPr>
        <w:t xml:space="preserve"> </w:t>
      </w:r>
      <w:r>
        <w:t>asesinó</w:t>
      </w:r>
      <w:r>
        <w:rPr>
          <w:spacing w:val="-7"/>
        </w:rPr>
        <w:t xml:space="preserve"> </w:t>
      </w:r>
      <w:r>
        <w:t>a</w:t>
      </w:r>
      <w:r>
        <w:rPr>
          <w:spacing w:val="-7"/>
        </w:rPr>
        <w:t xml:space="preserve"> </w:t>
      </w:r>
      <w:r>
        <w:t>sus</w:t>
      </w:r>
      <w:r>
        <w:rPr>
          <w:spacing w:val="-7"/>
        </w:rPr>
        <w:t xml:space="preserve"> </w:t>
      </w:r>
      <w:r>
        <w:t>críticos,</w:t>
      </w:r>
      <w:r>
        <w:rPr>
          <w:spacing w:val="-7"/>
        </w:rPr>
        <w:t xml:space="preserve"> </w:t>
      </w:r>
      <w:r>
        <w:t>como</w:t>
      </w:r>
      <w:r>
        <w:rPr>
          <w:spacing w:val="-8"/>
        </w:rPr>
        <w:t xml:space="preserve"> </w:t>
      </w:r>
      <w:r>
        <w:t>el</w:t>
      </w:r>
      <w:r>
        <w:rPr>
          <w:spacing w:val="-7"/>
        </w:rPr>
        <w:t xml:space="preserve"> </w:t>
      </w:r>
      <w:r>
        <w:t>obispo</w:t>
      </w:r>
      <w:r>
        <w:rPr>
          <w:spacing w:val="-7"/>
        </w:rPr>
        <w:t xml:space="preserve"> </w:t>
      </w:r>
      <w:r>
        <w:t>de</w:t>
      </w:r>
      <w:r>
        <w:rPr>
          <w:spacing w:val="-8"/>
        </w:rPr>
        <w:t xml:space="preserve"> </w:t>
      </w:r>
      <w:r>
        <w:t>Arauca,</w:t>
      </w:r>
      <w:r>
        <w:rPr>
          <w:spacing w:val="-7"/>
        </w:rPr>
        <w:t xml:space="preserve"> </w:t>
      </w:r>
      <w:r>
        <w:t>monseñor</w:t>
      </w:r>
      <w:r>
        <w:rPr>
          <w:spacing w:val="-7"/>
        </w:rPr>
        <w:t xml:space="preserve"> </w:t>
      </w:r>
      <w:r>
        <w:t>Jesús</w:t>
      </w:r>
      <w:r>
        <w:rPr>
          <w:spacing w:val="-8"/>
        </w:rPr>
        <w:t xml:space="preserve"> </w:t>
      </w:r>
      <w:r>
        <w:t>Emilio</w:t>
      </w:r>
      <w:r>
        <w:rPr>
          <w:spacing w:val="-7"/>
        </w:rPr>
        <w:t xml:space="preserve"> </w:t>
      </w:r>
      <w:r>
        <w:t>Jaramillo, y a Ricardo Lara Parada</w:t>
      </w:r>
      <w:r w:rsidR="003730C7">
        <w:rPr>
          <w:rStyle w:val="Refdenotaalpie"/>
        </w:rPr>
        <w:footnoteReference w:id="103"/>
      </w:r>
      <w:r>
        <w:t xml:space="preserve"> y a quienes se negaron o abandonaron pactos voluntarios o bajo presión con esta organización. Las FARC-EP eliminaron y secuestraron a alcaldes, concejales,</w:t>
      </w:r>
      <w:r>
        <w:rPr>
          <w:spacing w:val="-1"/>
        </w:rPr>
        <w:t xml:space="preserve"> </w:t>
      </w:r>
      <w:r>
        <w:t xml:space="preserve">diputados, gobernadores, congresistas, y en Caquetá, por ejemplo, acabaron con todo vestigio de las élites políticas establecidas, en ese caso, la línea </w:t>
      </w:r>
      <w:proofErr w:type="spellStart"/>
      <w:r>
        <w:t>turbayista</w:t>
      </w:r>
      <w:proofErr w:type="spellEnd"/>
      <w:r>
        <w:t xml:space="preserve"> del partido liberal. Las guerrillas y paramilitares usaron las armas para agenciar intereses propios, pero también para favorecer a sus aliados políticos. Dirigentes y militantes de todos los partidos acudieron a las estructuras armadas para realizar pactos y solicitar la eliminación de sus opositores. Esta forma de actuar se normalizó, sobre todo, en el periodo entre 1997 y 2006 alrededor del proyecto paramilitar.</w:t>
      </w:r>
    </w:p>
    <w:p w:rsidR="003804AC" w:rsidRDefault="00AF18A5" w:rsidP="003730C7">
      <w:r>
        <w:t>De hecho, la violencia como recurso para eliminar la competencia y la alternancia se extendió a los campos sociales y políticos. Guerras intestinas entre las FARC-EP y el ELN en</w:t>
      </w:r>
      <w:r>
        <w:rPr>
          <w:spacing w:val="-2"/>
        </w:rPr>
        <w:t xml:space="preserve"> </w:t>
      </w:r>
      <w:r>
        <w:t>Arauca,</w:t>
      </w:r>
      <w:r>
        <w:rPr>
          <w:spacing w:val="-5"/>
        </w:rPr>
        <w:t xml:space="preserve"> </w:t>
      </w:r>
      <w:r>
        <w:t>Catatumbo</w:t>
      </w:r>
      <w:r>
        <w:rPr>
          <w:spacing w:val="-5"/>
        </w:rPr>
        <w:t xml:space="preserve"> </w:t>
      </w:r>
      <w:r>
        <w:t>y</w:t>
      </w:r>
      <w:r>
        <w:rPr>
          <w:spacing w:val="-2"/>
        </w:rPr>
        <w:t xml:space="preserve"> </w:t>
      </w:r>
      <w:r>
        <w:t>Cauca,</w:t>
      </w:r>
      <w:r>
        <w:rPr>
          <w:spacing w:val="-2"/>
        </w:rPr>
        <w:t xml:space="preserve"> </w:t>
      </w:r>
      <w:r>
        <w:lastRenderedPageBreak/>
        <w:t>por</w:t>
      </w:r>
      <w:r>
        <w:rPr>
          <w:spacing w:val="-3"/>
        </w:rPr>
        <w:t xml:space="preserve"> </w:t>
      </w:r>
      <w:r>
        <w:t>mencionar</w:t>
      </w:r>
      <w:r>
        <w:rPr>
          <w:spacing w:val="-3"/>
        </w:rPr>
        <w:t xml:space="preserve"> </w:t>
      </w:r>
      <w:r>
        <w:t>solo</w:t>
      </w:r>
      <w:r>
        <w:rPr>
          <w:spacing w:val="-2"/>
        </w:rPr>
        <w:t xml:space="preserve"> </w:t>
      </w:r>
      <w:r>
        <w:t>unas</w:t>
      </w:r>
      <w:r>
        <w:rPr>
          <w:spacing w:val="-3"/>
        </w:rPr>
        <w:t xml:space="preserve"> </w:t>
      </w:r>
      <w:r>
        <w:t>regiones,</w:t>
      </w:r>
      <w:r>
        <w:rPr>
          <w:spacing w:val="-4"/>
        </w:rPr>
        <w:t xml:space="preserve"> </w:t>
      </w:r>
      <w:r>
        <w:t>terminaron</w:t>
      </w:r>
      <w:r>
        <w:rPr>
          <w:spacing w:val="-2"/>
        </w:rPr>
        <w:t xml:space="preserve"> </w:t>
      </w:r>
      <w:r>
        <w:t>en</w:t>
      </w:r>
      <w:r>
        <w:rPr>
          <w:spacing w:val="-3"/>
        </w:rPr>
        <w:t xml:space="preserve"> </w:t>
      </w:r>
      <w:r>
        <w:t>asesinatos de líderes sociales y políticos de ambos lados. En Urabá, la cruenta guerra entre las FARC- EP y los desmovilizados rearmados del EPL contribuyó al reciclaje del conflicto armado interno</w:t>
      </w:r>
      <w:r>
        <w:rPr>
          <w:spacing w:val="-5"/>
        </w:rPr>
        <w:t xml:space="preserve"> </w:t>
      </w:r>
      <w:r>
        <w:t>y</w:t>
      </w:r>
      <w:r>
        <w:rPr>
          <w:spacing w:val="-4"/>
        </w:rPr>
        <w:t xml:space="preserve"> </w:t>
      </w:r>
      <w:r>
        <w:t>a</w:t>
      </w:r>
      <w:r>
        <w:rPr>
          <w:spacing w:val="-5"/>
        </w:rPr>
        <w:t xml:space="preserve"> </w:t>
      </w:r>
      <w:r>
        <w:t>la</w:t>
      </w:r>
      <w:r>
        <w:rPr>
          <w:spacing w:val="-4"/>
        </w:rPr>
        <w:t xml:space="preserve"> </w:t>
      </w:r>
      <w:r>
        <w:t>construcción</w:t>
      </w:r>
      <w:r>
        <w:rPr>
          <w:spacing w:val="-4"/>
        </w:rPr>
        <w:t xml:space="preserve"> </w:t>
      </w:r>
      <w:r>
        <w:t>de</w:t>
      </w:r>
      <w:r>
        <w:rPr>
          <w:spacing w:val="-5"/>
        </w:rPr>
        <w:t xml:space="preserve"> </w:t>
      </w:r>
      <w:r>
        <w:t>un</w:t>
      </w:r>
      <w:r>
        <w:rPr>
          <w:spacing w:val="-4"/>
        </w:rPr>
        <w:t xml:space="preserve"> </w:t>
      </w:r>
      <w:r>
        <w:t>orden</w:t>
      </w:r>
      <w:r>
        <w:rPr>
          <w:spacing w:val="-4"/>
        </w:rPr>
        <w:t xml:space="preserve"> </w:t>
      </w:r>
      <w:r>
        <w:t>dictatorial</w:t>
      </w:r>
      <w:r>
        <w:rPr>
          <w:spacing w:val="-3"/>
        </w:rPr>
        <w:t xml:space="preserve"> </w:t>
      </w:r>
      <w:r>
        <w:t>por</w:t>
      </w:r>
      <w:r>
        <w:rPr>
          <w:spacing w:val="-5"/>
        </w:rPr>
        <w:t xml:space="preserve"> </w:t>
      </w:r>
      <w:r>
        <w:t>parte</w:t>
      </w:r>
      <w:r>
        <w:rPr>
          <w:spacing w:val="-5"/>
        </w:rPr>
        <w:t xml:space="preserve"> </w:t>
      </w:r>
      <w:r>
        <w:t>de</w:t>
      </w:r>
      <w:r>
        <w:rPr>
          <w:spacing w:val="-4"/>
        </w:rPr>
        <w:t xml:space="preserve"> </w:t>
      </w:r>
      <w:r>
        <w:t>los</w:t>
      </w:r>
      <w:r>
        <w:rPr>
          <w:spacing w:val="-5"/>
        </w:rPr>
        <w:t xml:space="preserve"> </w:t>
      </w:r>
      <w:r>
        <w:t>paramilitares</w:t>
      </w:r>
      <w:r>
        <w:rPr>
          <w:spacing w:val="-5"/>
        </w:rPr>
        <w:t xml:space="preserve"> </w:t>
      </w:r>
      <w:r>
        <w:t>en</w:t>
      </w:r>
      <w:r>
        <w:rPr>
          <w:spacing w:val="-5"/>
        </w:rPr>
        <w:t xml:space="preserve"> </w:t>
      </w:r>
      <w:r>
        <w:t>la</w:t>
      </w:r>
      <w:r>
        <w:rPr>
          <w:spacing w:val="-5"/>
        </w:rPr>
        <w:t xml:space="preserve"> </w:t>
      </w:r>
      <w:r>
        <w:rPr>
          <w:spacing w:val="-2"/>
        </w:rPr>
        <w:t>región.</w:t>
      </w:r>
    </w:p>
    <w:p w:rsidR="003804AC" w:rsidRDefault="00AF18A5" w:rsidP="003730C7">
      <w:r>
        <w:t>Los partidos políticos deben revisar estas historias, consignadas en miles de expedientes judiciales</w:t>
      </w:r>
      <w:r>
        <w:rPr>
          <w:spacing w:val="-9"/>
        </w:rPr>
        <w:t xml:space="preserve"> </w:t>
      </w:r>
      <w:r>
        <w:t>y</w:t>
      </w:r>
      <w:r>
        <w:rPr>
          <w:spacing w:val="-12"/>
        </w:rPr>
        <w:t xml:space="preserve"> </w:t>
      </w:r>
      <w:r>
        <w:t>en</w:t>
      </w:r>
      <w:r>
        <w:rPr>
          <w:spacing w:val="-9"/>
        </w:rPr>
        <w:t xml:space="preserve"> </w:t>
      </w:r>
      <w:r>
        <w:t>testimonios</w:t>
      </w:r>
      <w:r>
        <w:rPr>
          <w:spacing w:val="-9"/>
        </w:rPr>
        <w:t xml:space="preserve"> </w:t>
      </w:r>
      <w:r>
        <w:t>extrajudiciales,</w:t>
      </w:r>
      <w:r>
        <w:rPr>
          <w:spacing w:val="-10"/>
        </w:rPr>
        <w:t xml:space="preserve"> </w:t>
      </w:r>
      <w:r>
        <w:t>para</w:t>
      </w:r>
      <w:r>
        <w:rPr>
          <w:spacing w:val="-9"/>
        </w:rPr>
        <w:t xml:space="preserve"> </w:t>
      </w:r>
      <w:r>
        <w:t>hacer</w:t>
      </w:r>
      <w:r>
        <w:rPr>
          <w:spacing w:val="-10"/>
        </w:rPr>
        <w:t xml:space="preserve"> </w:t>
      </w:r>
      <w:r>
        <w:t>una</w:t>
      </w:r>
      <w:r>
        <w:rPr>
          <w:spacing w:val="-10"/>
        </w:rPr>
        <w:t xml:space="preserve"> </w:t>
      </w:r>
      <w:r>
        <w:t>revisión</w:t>
      </w:r>
      <w:r>
        <w:rPr>
          <w:spacing w:val="-9"/>
        </w:rPr>
        <w:t xml:space="preserve"> </w:t>
      </w:r>
      <w:r>
        <w:t>crítica</w:t>
      </w:r>
      <w:r>
        <w:rPr>
          <w:spacing w:val="-9"/>
        </w:rPr>
        <w:t xml:space="preserve"> </w:t>
      </w:r>
      <w:r>
        <w:t>de</w:t>
      </w:r>
      <w:r>
        <w:rPr>
          <w:spacing w:val="-9"/>
        </w:rPr>
        <w:t xml:space="preserve"> </w:t>
      </w:r>
      <w:r>
        <w:t>su</w:t>
      </w:r>
      <w:r>
        <w:rPr>
          <w:spacing w:val="-10"/>
        </w:rPr>
        <w:t xml:space="preserve"> </w:t>
      </w:r>
      <w:r>
        <w:t>pasado,</w:t>
      </w:r>
      <w:r>
        <w:rPr>
          <w:spacing w:val="-12"/>
        </w:rPr>
        <w:t xml:space="preserve"> </w:t>
      </w:r>
      <w:r>
        <w:t>pedir perdón</w:t>
      </w:r>
      <w:r>
        <w:rPr>
          <w:spacing w:val="6"/>
        </w:rPr>
        <w:t xml:space="preserve"> </w:t>
      </w:r>
      <w:r>
        <w:t>y</w:t>
      </w:r>
      <w:r>
        <w:rPr>
          <w:spacing w:val="8"/>
        </w:rPr>
        <w:t xml:space="preserve"> </w:t>
      </w:r>
      <w:r>
        <w:t>prometer</w:t>
      </w:r>
      <w:r>
        <w:rPr>
          <w:spacing w:val="9"/>
        </w:rPr>
        <w:t xml:space="preserve"> </w:t>
      </w:r>
      <w:r>
        <w:t>al</w:t>
      </w:r>
      <w:r>
        <w:rPr>
          <w:spacing w:val="9"/>
        </w:rPr>
        <w:t xml:space="preserve"> </w:t>
      </w:r>
      <w:r>
        <w:t>país</w:t>
      </w:r>
      <w:r>
        <w:rPr>
          <w:spacing w:val="9"/>
        </w:rPr>
        <w:t xml:space="preserve"> </w:t>
      </w:r>
      <w:r>
        <w:t>que</w:t>
      </w:r>
      <w:r>
        <w:rPr>
          <w:spacing w:val="8"/>
        </w:rPr>
        <w:t xml:space="preserve"> </w:t>
      </w:r>
      <w:r>
        <w:t>nunca</w:t>
      </w:r>
      <w:r>
        <w:rPr>
          <w:spacing w:val="7"/>
        </w:rPr>
        <w:t xml:space="preserve"> </w:t>
      </w:r>
      <w:r>
        <w:t>más</w:t>
      </w:r>
      <w:r>
        <w:rPr>
          <w:spacing w:val="8"/>
        </w:rPr>
        <w:t xml:space="preserve"> </w:t>
      </w:r>
      <w:r>
        <w:t>apelarán</w:t>
      </w:r>
      <w:r>
        <w:rPr>
          <w:spacing w:val="8"/>
        </w:rPr>
        <w:t xml:space="preserve"> </w:t>
      </w:r>
      <w:r>
        <w:t>a</w:t>
      </w:r>
      <w:r>
        <w:rPr>
          <w:spacing w:val="9"/>
        </w:rPr>
        <w:t xml:space="preserve"> </w:t>
      </w:r>
      <w:r>
        <w:t>la</w:t>
      </w:r>
      <w:r>
        <w:rPr>
          <w:spacing w:val="7"/>
        </w:rPr>
        <w:t xml:space="preserve"> </w:t>
      </w:r>
      <w:r>
        <w:t>muerte,</w:t>
      </w:r>
      <w:r>
        <w:rPr>
          <w:spacing w:val="8"/>
        </w:rPr>
        <w:t xml:space="preserve"> </w:t>
      </w:r>
      <w:r>
        <w:t>la</w:t>
      </w:r>
      <w:r>
        <w:rPr>
          <w:spacing w:val="7"/>
        </w:rPr>
        <w:t xml:space="preserve"> </w:t>
      </w:r>
      <w:r>
        <w:t>amenaza</w:t>
      </w:r>
      <w:r>
        <w:rPr>
          <w:spacing w:val="9"/>
        </w:rPr>
        <w:t xml:space="preserve"> </w:t>
      </w:r>
      <w:r>
        <w:t>o</w:t>
      </w:r>
      <w:r>
        <w:rPr>
          <w:spacing w:val="8"/>
        </w:rPr>
        <w:t xml:space="preserve"> </w:t>
      </w:r>
      <w:r>
        <w:t>el</w:t>
      </w:r>
      <w:r>
        <w:rPr>
          <w:spacing w:val="7"/>
        </w:rPr>
        <w:t xml:space="preserve"> </w:t>
      </w:r>
      <w:r>
        <w:t>exilio</w:t>
      </w:r>
      <w:r>
        <w:rPr>
          <w:spacing w:val="7"/>
        </w:rPr>
        <w:t xml:space="preserve"> </w:t>
      </w:r>
      <w:r>
        <w:t>en</w:t>
      </w:r>
      <w:r>
        <w:rPr>
          <w:spacing w:val="9"/>
        </w:rPr>
        <w:t xml:space="preserve"> </w:t>
      </w:r>
      <w:r>
        <w:rPr>
          <w:spacing w:val="-5"/>
        </w:rPr>
        <w:t>la</w:t>
      </w:r>
      <w:bookmarkStart w:id="174" w:name="_bookmark116"/>
      <w:bookmarkEnd w:id="174"/>
      <w:r w:rsidR="003730C7">
        <w:t xml:space="preserve"> </w:t>
      </w:r>
      <w:r>
        <w:t>competencia</w:t>
      </w:r>
      <w:r>
        <w:rPr>
          <w:spacing w:val="-3"/>
        </w:rPr>
        <w:t xml:space="preserve"> </w:t>
      </w:r>
      <w:r>
        <w:t>por</w:t>
      </w:r>
      <w:r>
        <w:rPr>
          <w:spacing w:val="-2"/>
        </w:rPr>
        <w:t xml:space="preserve"> </w:t>
      </w:r>
      <w:r>
        <w:t>el</w:t>
      </w:r>
      <w:r>
        <w:rPr>
          <w:spacing w:val="-2"/>
        </w:rPr>
        <w:t xml:space="preserve"> </w:t>
      </w:r>
      <w:r>
        <w:t>poder</w:t>
      </w:r>
      <w:r>
        <w:rPr>
          <w:spacing w:val="-2"/>
        </w:rPr>
        <w:t xml:space="preserve"> </w:t>
      </w:r>
      <w:r>
        <w:t>político.</w:t>
      </w:r>
      <w:r>
        <w:rPr>
          <w:spacing w:val="-2"/>
        </w:rPr>
        <w:t xml:space="preserve"> </w:t>
      </w:r>
      <w:r>
        <w:t>La</w:t>
      </w:r>
      <w:r>
        <w:rPr>
          <w:spacing w:val="-2"/>
        </w:rPr>
        <w:t xml:space="preserve"> </w:t>
      </w:r>
      <w:r>
        <w:t>inmoralidad</w:t>
      </w:r>
      <w:r>
        <w:rPr>
          <w:spacing w:val="-2"/>
        </w:rPr>
        <w:t xml:space="preserve"> </w:t>
      </w:r>
      <w:r>
        <w:t>del</w:t>
      </w:r>
      <w:r>
        <w:rPr>
          <w:spacing w:val="-2"/>
        </w:rPr>
        <w:t xml:space="preserve"> </w:t>
      </w:r>
      <w:r>
        <w:t>uso</w:t>
      </w:r>
      <w:r>
        <w:rPr>
          <w:spacing w:val="-2"/>
        </w:rPr>
        <w:t xml:space="preserve"> </w:t>
      </w:r>
      <w:r>
        <w:t>de</w:t>
      </w:r>
      <w:r>
        <w:rPr>
          <w:spacing w:val="-2"/>
        </w:rPr>
        <w:t xml:space="preserve"> </w:t>
      </w:r>
      <w:r>
        <w:t>la</w:t>
      </w:r>
      <w:r>
        <w:rPr>
          <w:spacing w:val="-2"/>
        </w:rPr>
        <w:t xml:space="preserve"> </w:t>
      </w:r>
      <w:r>
        <w:t>violencia,</w:t>
      </w:r>
      <w:r>
        <w:rPr>
          <w:spacing w:val="-2"/>
        </w:rPr>
        <w:t xml:space="preserve"> </w:t>
      </w:r>
      <w:r>
        <w:t>la</w:t>
      </w:r>
      <w:r>
        <w:rPr>
          <w:spacing w:val="-2"/>
        </w:rPr>
        <w:t xml:space="preserve"> </w:t>
      </w:r>
      <w:r>
        <w:t>corrupción</w:t>
      </w:r>
      <w:r>
        <w:rPr>
          <w:spacing w:val="-4"/>
        </w:rPr>
        <w:t xml:space="preserve"> </w:t>
      </w:r>
      <w:r>
        <w:t>y</w:t>
      </w:r>
      <w:r>
        <w:rPr>
          <w:spacing w:val="-2"/>
        </w:rPr>
        <w:t xml:space="preserve"> </w:t>
      </w:r>
      <w:r>
        <w:t>la mentira han resquebrajado la democracia representativa al punto que la comunidad política actualmente busca representaciones alternas a los partidos. Esa crisis de representación de estos</w:t>
      </w:r>
      <w:r>
        <w:rPr>
          <w:spacing w:val="-3"/>
        </w:rPr>
        <w:t xml:space="preserve"> </w:t>
      </w:r>
      <w:r>
        <w:t>deviene</w:t>
      </w:r>
      <w:r>
        <w:rPr>
          <w:spacing w:val="-3"/>
        </w:rPr>
        <w:t xml:space="preserve"> </w:t>
      </w:r>
      <w:r>
        <w:t>de</w:t>
      </w:r>
      <w:r>
        <w:rPr>
          <w:spacing w:val="-3"/>
        </w:rPr>
        <w:t xml:space="preserve"> </w:t>
      </w:r>
      <w:r>
        <w:t>su</w:t>
      </w:r>
      <w:r>
        <w:rPr>
          <w:spacing w:val="-4"/>
        </w:rPr>
        <w:t xml:space="preserve"> </w:t>
      </w:r>
      <w:r>
        <w:t>propio</w:t>
      </w:r>
      <w:r>
        <w:rPr>
          <w:spacing w:val="-4"/>
        </w:rPr>
        <w:t xml:space="preserve"> </w:t>
      </w:r>
      <w:r>
        <w:t>desdén</w:t>
      </w:r>
      <w:r>
        <w:rPr>
          <w:spacing w:val="-4"/>
        </w:rPr>
        <w:t xml:space="preserve"> </w:t>
      </w:r>
      <w:r>
        <w:t>por</w:t>
      </w:r>
      <w:r>
        <w:rPr>
          <w:spacing w:val="-3"/>
        </w:rPr>
        <w:t xml:space="preserve"> </w:t>
      </w:r>
      <w:r>
        <w:t>la</w:t>
      </w:r>
      <w:r>
        <w:rPr>
          <w:spacing w:val="-3"/>
        </w:rPr>
        <w:t xml:space="preserve"> </w:t>
      </w:r>
      <w:r>
        <w:t>democracia,</w:t>
      </w:r>
      <w:r>
        <w:rPr>
          <w:spacing w:val="-4"/>
        </w:rPr>
        <w:t xml:space="preserve"> </w:t>
      </w:r>
      <w:r>
        <w:t>el</w:t>
      </w:r>
      <w:r>
        <w:rPr>
          <w:spacing w:val="-3"/>
        </w:rPr>
        <w:t xml:space="preserve"> </w:t>
      </w:r>
      <w:r>
        <w:t>diálogo</w:t>
      </w:r>
      <w:r>
        <w:rPr>
          <w:spacing w:val="-4"/>
        </w:rPr>
        <w:t xml:space="preserve"> </w:t>
      </w:r>
      <w:r>
        <w:t>y</w:t>
      </w:r>
      <w:r>
        <w:rPr>
          <w:spacing w:val="-4"/>
        </w:rPr>
        <w:t xml:space="preserve"> </w:t>
      </w:r>
      <w:r>
        <w:t>la</w:t>
      </w:r>
      <w:r>
        <w:rPr>
          <w:spacing w:val="-3"/>
        </w:rPr>
        <w:t xml:space="preserve"> </w:t>
      </w:r>
      <w:r>
        <w:t>posibilidad</w:t>
      </w:r>
      <w:r>
        <w:rPr>
          <w:spacing w:val="-4"/>
        </w:rPr>
        <w:t xml:space="preserve"> </w:t>
      </w:r>
      <w:r>
        <w:t>de</w:t>
      </w:r>
      <w:r>
        <w:rPr>
          <w:spacing w:val="-3"/>
        </w:rPr>
        <w:t xml:space="preserve"> </w:t>
      </w:r>
      <w:r>
        <w:t>construir acuerdos civilizados.</w:t>
      </w:r>
    </w:p>
    <w:p w:rsidR="0011361F" w:rsidRPr="003730C7" w:rsidRDefault="00AF18A5" w:rsidP="004A6EF4">
      <w:pPr>
        <w:pStyle w:val="Ttulo3"/>
        <w:numPr>
          <w:ilvl w:val="2"/>
          <w:numId w:val="16"/>
        </w:numPr>
      </w:pPr>
      <w:bookmarkStart w:id="175" w:name="2.6.2._No_hay_derecho_a_la_guerra"/>
      <w:bookmarkStart w:id="176" w:name="_Toc112399556"/>
      <w:bookmarkEnd w:id="175"/>
      <w:r w:rsidRPr="003730C7">
        <w:t>No hay derecho a la guerra</w:t>
      </w:r>
      <w:bookmarkEnd w:id="176"/>
    </w:p>
    <w:p w:rsidR="003804AC" w:rsidRDefault="00AF18A5" w:rsidP="00D820B2">
      <w:r>
        <w:t>Si</w:t>
      </w:r>
      <w:r>
        <w:rPr>
          <w:spacing w:val="-1"/>
        </w:rPr>
        <w:t xml:space="preserve"> </w:t>
      </w:r>
      <w:r>
        <w:t>bien</w:t>
      </w:r>
      <w:r>
        <w:rPr>
          <w:spacing w:val="-1"/>
        </w:rPr>
        <w:t xml:space="preserve"> </w:t>
      </w:r>
      <w:r>
        <w:t>la</w:t>
      </w:r>
      <w:r>
        <w:rPr>
          <w:spacing w:val="-1"/>
        </w:rPr>
        <w:t xml:space="preserve"> </w:t>
      </w:r>
      <w:r>
        <w:t>historia</w:t>
      </w:r>
      <w:r>
        <w:rPr>
          <w:spacing w:val="-1"/>
        </w:rPr>
        <w:t xml:space="preserve"> </w:t>
      </w:r>
      <w:r>
        <w:t>muestra</w:t>
      </w:r>
      <w:r>
        <w:rPr>
          <w:spacing w:val="-1"/>
        </w:rPr>
        <w:t xml:space="preserve"> </w:t>
      </w:r>
      <w:r>
        <w:t>un</w:t>
      </w:r>
      <w:r>
        <w:rPr>
          <w:spacing w:val="-1"/>
        </w:rPr>
        <w:t xml:space="preserve"> </w:t>
      </w:r>
      <w:r>
        <w:t>país</w:t>
      </w:r>
      <w:r>
        <w:rPr>
          <w:spacing w:val="-1"/>
        </w:rPr>
        <w:t xml:space="preserve"> </w:t>
      </w:r>
      <w:r>
        <w:t>con</w:t>
      </w:r>
      <w:r>
        <w:rPr>
          <w:spacing w:val="-1"/>
        </w:rPr>
        <w:t xml:space="preserve"> </w:t>
      </w:r>
      <w:r>
        <w:t>una</w:t>
      </w:r>
      <w:r>
        <w:rPr>
          <w:spacing w:val="-1"/>
        </w:rPr>
        <w:t xml:space="preserve"> </w:t>
      </w:r>
      <w:r>
        <w:t>democracia</w:t>
      </w:r>
      <w:r>
        <w:rPr>
          <w:spacing w:val="-1"/>
        </w:rPr>
        <w:t xml:space="preserve"> </w:t>
      </w:r>
      <w:r>
        <w:t>restringida,</w:t>
      </w:r>
      <w:r>
        <w:rPr>
          <w:spacing w:val="-1"/>
        </w:rPr>
        <w:t xml:space="preserve"> </w:t>
      </w:r>
      <w:r>
        <w:t>imperfecta,</w:t>
      </w:r>
      <w:r>
        <w:rPr>
          <w:spacing w:val="-1"/>
        </w:rPr>
        <w:t xml:space="preserve"> </w:t>
      </w:r>
      <w:r>
        <w:t>semicerrada, con momentos oscuros donde el propio Estado usó la violencia ilegítima para detener la democratización, la guerra no ha servido para mejorar sino para profundizar las fallas de la democracia en el país. Colombia no es una dictadura y siempre han existido resquicios y espacios para ampliar la democracia e impulsar reformas de manera pacífica.</w:t>
      </w:r>
    </w:p>
    <w:p w:rsidR="003804AC" w:rsidRDefault="00AF18A5" w:rsidP="00D820B2">
      <w:r>
        <w:t>Se</w:t>
      </w:r>
      <w:r>
        <w:rPr>
          <w:spacing w:val="-15"/>
        </w:rPr>
        <w:t xml:space="preserve"> </w:t>
      </w:r>
      <w:r>
        <w:t>dirá,</w:t>
      </w:r>
      <w:r>
        <w:rPr>
          <w:spacing w:val="-15"/>
        </w:rPr>
        <w:t xml:space="preserve"> </w:t>
      </w:r>
      <w:r>
        <w:t>con</w:t>
      </w:r>
      <w:r>
        <w:rPr>
          <w:spacing w:val="-15"/>
        </w:rPr>
        <w:t xml:space="preserve"> </w:t>
      </w:r>
      <w:r>
        <w:t>razón,</w:t>
      </w:r>
      <w:r>
        <w:rPr>
          <w:spacing w:val="-15"/>
        </w:rPr>
        <w:t xml:space="preserve"> </w:t>
      </w:r>
      <w:r>
        <w:t>que</w:t>
      </w:r>
      <w:r>
        <w:rPr>
          <w:spacing w:val="-15"/>
        </w:rPr>
        <w:t xml:space="preserve"> </w:t>
      </w:r>
      <w:r>
        <w:t>los</w:t>
      </w:r>
      <w:r>
        <w:rPr>
          <w:spacing w:val="-15"/>
        </w:rPr>
        <w:t xml:space="preserve"> </w:t>
      </w:r>
      <w:r>
        <w:t>resquicios</w:t>
      </w:r>
      <w:r>
        <w:rPr>
          <w:spacing w:val="-15"/>
        </w:rPr>
        <w:t xml:space="preserve"> </w:t>
      </w:r>
      <w:r>
        <w:t>han</w:t>
      </w:r>
      <w:r>
        <w:rPr>
          <w:spacing w:val="-15"/>
        </w:rPr>
        <w:t xml:space="preserve"> </w:t>
      </w:r>
      <w:r>
        <w:t>sido</w:t>
      </w:r>
      <w:r>
        <w:rPr>
          <w:spacing w:val="-15"/>
        </w:rPr>
        <w:t xml:space="preserve"> </w:t>
      </w:r>
      <w:r>
        <w:t>estrechos,</w:t>
      </w:r>
      <w:r>
        <w:rPr>
          <w:spacing w:val="-15"/>
        </w:rPr>
        <w:t xml:space="preserve"> </w:t>
      </w:r>
      <w:r>
        <w:t>las</w:t>
      </w:r>
      <w:r>
        <w:rPr>
          <w:spacing w:val="-15"/>
        </w:rPr>
        <w:t xml:space="preserve"> </w:t>
      </w:r>
      <w:r>
        <w:t>reformas</w:t>
      </w:r>
      <w:r>
        <w:rPr>
          <w:spacing w:val="-15"/>
        </w:rPr>
        <w:t xml:space="preserve"> </w:t>
      </w:r>
      <w:r>
        <w:t>acotadas</w:t>
      </w:r>
      <w:r>
        <w:rPr>
          <w:spacing w:val="-15"/>
        </w:rPr>
        <w:t xml:space="preserve"> </w:t>
      </w:r>
      <w:r>
        <w:t>y</w:t>
      </w:r>
      <w:r>
        <w:rPr>
          <w:spacing w:val="-15"/>
        </w:rPr>
        <w:t xml:space="preserve"> </w:t>
      </w:r>
      <w:r>
        <w:t>los</w:t>
      </w:r>
      <w:r>
        <w:rPr>
          <w:spacing w:val="-15"/>
        </w:rPr>
        <w:t xml:space="preserve"> </w:t>
      </w:r>
      <w:r>
        <w:t>pactos traicionados.</w:t>
      </w:r>
      <w:r>
        <w:rPr>
          <w:spacing w:val="-4"/>
        </w:rPr>
        <w:t xml:space="preserve"> </w:t>
      </w:r>
      <w:r>
        <w:t>Después</w:t>
      </w:r>
      <w:r>
        <w:rPr>
          <w:spacing w:val="-3"/>
        </w:rPr>
        <w:t xml:space="preserve"> </w:t>
      </w:r>
      <w:r>
        <w:t>de</w:t>
      </w:r>
      <w:r>
        <w:rPr>
          <w:spacing w:val="-3"/>
        </w:rPr>
        <w:t xml:space="preserve"> </w:t>
      </w:r>
      <w:r>
        <w:t>todo,</w:t>
      </w:r>
      <w:r>
        <w:rPr>
          <w:spacing w:val="-4"/>
        </w:rPr>
        <w:t xml:space="preserve"> </w:t>
      </w:r>
      <w:r>
        <w:t>lo</w:t>
      </w:r>
      <w:r>
        <w:rPr>
          <w:spacing w:val="-4"/>
        </w:rPr>
        <w:t xml:space="preserve"> </w:t>
      </w:r>
      <w:r>
        <w:t>que</w:t>
      </w:r>
      <w:r>
        <w:rPr>
          <w:spacing w:val="-3"/>
        </w:rPr>
        <w:t xml:space="preserve"> </w:t>
      </w:r>
      <w:r>
        <w:t>se</w:t>
      </w:r>
      <w:r>
        <w:rPr>
          <w:spacing w:val="-3"/>
        </w:rPr>
        <w:t xml:space="preserve"> </w:t>
      </w:r>
      <w:r>
        <w:t>observa</w:t>
      </w:r>
      <w:r>
        <w:rPr>
          <w:spacing w:val="-5"/>
        </w:rPr>
        <w:t xml:space="preserve"> </w:t>
      </w:r>
      <w:r>
        <w:t>en</w:t>
      </w:r>
      <w:r>
        <w:rPr>
          <w:spacing w:val="-4"/>
        </w:rPr>
        <w:t xml:space="preserve"> </w:t>
      </w:r>
      <w:r>
        <w:t>la</w:t>
      </w:r>
      <w:r>
        <w:rPr>
          <w:spacing w:val="-3"/>
        </w:rPr>
        <w:t xml:space="preserve"> </w:t>
      </w:r>
      <w:r>
        <w:t>larga</w:t>
      </w:r>
      <w:r>
        <w:rPr>
          <w:spacing w:val="-3"/>
        </w:rPr>
        <w:t xml:space="preserve"> </w:t>
      </w:r>
      <w:r>
        <w:t>trayectoria</w:t>
      </w:r>
      <w:r>
        <w:rPr>
          <w:spacing w:val="-3"/>
        </w:rPr>
        <w:t xml:space="preserve"> </w:t>
      </w:r>
      <w:r>
        <w:t>del</w:t>
      </w:r>
      <w:r>
        <w:rPr>
          <w:spacing w:val="-3"/>
        </w:rPr>
        <w:t xml:space="preserve"> </w:t>
      </w:r>
      <w:r>
        <w:t>conflicto</w:t>
      </w:r>
      <w:r>
        <w:rPr>
          <w:spacing w:val="-4"/>
        </w:rPr>
        <w:t xml:space="preserve"> </w:t>
      </w:r>
      <w:r>
        <w:t>armado es que ha sido demasiado difícil conseguir la inclusión política, mantener las reformas y – aún más</w:t>
      </w:r>
      <w:r>
        <w:rPr>
          <w:spacing w:val="-1"/>
        </w:rPr>
        <w:t xml:space="preserve"> </w:t>
      </w:r>
      <w:r>
        <w:lastRenderedPageBreak/>
        <w:t>complicado– respetar los</w:t>
      </w:r>
      <w:r>
        <w:rPr>
          <w:spacing w:val="-1"/>
        </w:rPr>
        <w:t xml:space="preserve"> </w:t>
      </w:r>
      <w:r>
        <w:t>acuerdos. Pero la democracia no se abrió a</w:t>
      </w:r>
      <w:r>
        <w:rPr>
          <w:spacing w:val="-1"/>
        </w:rPr>
        <w:t xml:space="preserve"> </w:t>
      </w:r>
      <w:r>
        <w:t>tiros.</w:t>
      </w:r>
      <w:r>
        <w:rPr>
          <w:spacing w:val="-1"/>
        </w:rPr>
        <w:t xml:space="preserve"> </w:t>
      </w:r>
      <w:r>
        <w:t>Se abrió con</w:t>
      </w:r>
      <w:r>
        <w:rPr>
          <w:spacing w:val="-2"/>
        </w:rPr>
        <w:t xml:space="preserve"> </w:t>
      </w:r>
      <w:r>
        <w:t>el</w:t>
      </w:r>
      <w:r>
        <w:rPr>
          <w:spacing w:val="-3"/>
        </w:rPr>
        <w:t xml:space="preserve"> </w:t>
      </w:r>
      <w:r>
        <w:t>empuje</w:t>
      </w:r>
      <w:r>
        <w:rPr>
          <w:spacing w:val="-2"/>
        </w:rPr>
        <w:t xml:space="preserve"> </w:t>
      </w:r>
      <w:r>
        <w:t>de</w:t>
      </w:r>
      <w:r>
        <w:rPr>
          <w:spacing w:val="-2"/>
        </w:rPr>
        <w:t xml:space="preserve"> </w:t>
      </w:r>
      <w:r>
        <w:t>una</w:t>
      </w:r>
      <w:r>
        <w:rPr>
          <w:spacing w:val="-2"/>
        </w:rPr>
        <w:t xml:space="preserve"> </w:t>
      </w:r>
      <w:r>
        <w:t>ciudadanía</w:t>
      </w:r>
      <w:r>
        <w:rPr>
          <w:spacing w:val="-2"/>
        </w:rPr>
        <w:t xml:space="preserve"> </w:t>
      </w:r>
      <w:r>
        <w:t>que</w:t>
      </w:r>
      <w:r>
        <w:rPr>
          <w:spacing w:val="-3"/>
        </w:rPr>
        <w:t xml:space="preserve"> </w:t>
      </w:r>
      <w:r>
        <w:t>le</w:t>
      </w:r>
      <w:r>
        <w:rPr>
          <w:spacing w:val="-2"/>
        </w:rPr>
        <w:t xml:space="preserve"> </w:t>
      </w:r>
      <w:r>
        <w:t>dio</w:t>
      </w:r>
      <w:r>
        <w:rPr>
          <w:spacing w:val="-4"/>
        </w:rPr>
        <w:t xml:space="preserve"> </w:t>
      </w:r>
      <w:r>
        <w:t>la</w:t>
      </w:r>
      <w:r>
        <w:rPr>
          <w:spacing w:val="-3"/>
        </w:rPr>
        <w:t xml:space="preserve"> </w:t>
      </w:r>
      <w:r>
        <w:t>espalda</w:t>
      </w:r>
      <w:r>
        <w:rPr>
          <w:spacing w:val="-2"/>
        </w:rPr>
        <w:t xml:space="preserve"> </w:t>
      </w:r>
      <w:r>
        <w:t>a</w:t>
      </w:r>
      <w:r>
        <w:rPr>
          <w:spacing w:val="-3"/>
        </w:rPr>
        <w:t xml:space="preserve"> </w:t>
      </w:r>
      <w:r>
        <w:t>la</w:t>
      </w:r>
      <w:r>
        <w:rPr>
          <w:spacing w:val="-3"/>
        </w:rPr>
        <w:t xml:space="preserve"> </w:t>
      </w:r>
      <w:r>
        <w:t>guerra.</w:t>
      </w:r>
      <w:r>
        <w:rPr>
          <w:spacing w:val="-2"/>
        </w:rPr>
        <w:t xml:space="preserve"> </w:t>
      </w:r>
      <w:r>
        <w:t>La</w:t>
      </w:r>
      <w:r>
        <w:rPr>
          <w:spacing w:val="-3"/>
        </w:rPr>
        <w:t xml:space="preserve"> </w:t>
      </w:r>
      <w:r>
        <w:t>historia</w:t>
      </w:r>
      <w:r>
        <w:rPr>
          <w:spacing w:val="-3"/>
        </w:rPr>
        <w:t xml:space="preserve"> </w:t>
      </w:r>
      <w:r>
        <w:t>muestra</w:t>
      </w:r>
      <w:r>
        <w:rPr>
          <w:spacing w:val="-3"/>
        </w:rPr>
        <w:t xml:space="preserve"> </w:t>
      </w:r>
      <w:r>
        <w:t>que</w:t>
      </w:r>
      <w:r>
        <w:rPr>
          <w:spacing w:val="-2"/>
        </w:rPr>
        <w:t xml:space="preserve"> </w:t>
      </w:r>
      <w:r>
        <w:t>la democracia se abre con el diálogo y la construcción de acuerdos.</w:t>
      </w:r>
    </w:p>
    <w:p w:rsidR="003804AC" w:rsidRDefault="00AF18A5" w:rsidP="002408DB">
      <w:r>
        <w:t>Hay</w:t>
      </w:r>
      <w:r>
        <w:rPr>
          <w:spacing w:val="-1"/>
        </w:rPr>
        <w:t xml:space="preserve"> </w:t>
      </w:r>
      <w:r>
        <w:t>que</w:t>
      </w:r>
      <w:r>
        <w:rPr>
          <w:spacing w:val="-1"/>
        </w:rPr>
        <w:t xml:space="preserve"> </w:t>
      </w:r>
      <w:r>
        <w:t>mencionar</w:t>
      </w:r>
      <w:r>
        <w:rPr>
          <w:spacing w:val="-2"/>
        </w:rPr>
        <w:t xml:space="preserve"> </w:t>
      </w:r>
      <w:r>
        <w:t>que,</w:t>
      </w:r>
      <w:r>
        <w:rPr>
          <w:spacing w:val="-2"/>
        </w:rPr>
        <w:t xml:space="preserve"> </w:t>
      </w:r>
      <w:r>
        <w:t>aunque</w:t>
      </w:r>
      <w:r>
        <w:rPr>
          <w:spacing w:val="-2"/>
        </w:rPr>
        <w:t xml:space="preserve"> </w:t>
      </w:r>
      <w:r>
        <w:t>la</w:t>
      </w:r>
      <w:r>
        <w:rPr>
          <w:spacing w:val="-2"/>
        </w:rPr>
        <w:t xml:space="preserve"> </w:t>
      </w:r>
      <w:r>
        <w:t>guerra</w:t>
      </w:r>
      <w:r>
        <w:rPr>
          <w:spacing w:val="-2"/>
        </w:rPr>
        <w:t xml:space="preserve"> </w:t>
      </w:r>
      <w:r>
        <w:t>político-ideológica</w:t>
      </w:r>
      <w:r>
        <w:rPr>
          <w:spacing w:val="-2"/>
        </w:rPr>
        <w:t xml:space="preserve"> </w:t>
      </w:r>
      <w:r>
        <w:t>se</w:t>
      </w:r>
      <w:r>
        <w:rPr>
          <w:spacing w:val="-1"/>
        </w:rPr>
        <w:t xml:space="preserve"> </w:t>
      </w:r>
      <w:r>
        <w:t>ha</w:t>
      </w:r>
      <w:r>
        <w:rPr>
          <w:spacing w:val="-1"/>
        </w:rPr>
        <w:t xml:space="preserve"> </w:t>
      </w:r>
      <w:r>
        <w:t>superado</w:t>
      </w:r>
      <w:r>
        <w:rPr>
          <w:spacing w:val="-1"/>
        </w:rPr>
        <w:t xml:space="preserve"> </w:t>
      </w:r>
      <w:r>
        <w:t>a</w:t>
      </w:r>
      <w:r>
        <w:rPr>
          <w:spacing w:val="-1"/>
        </w:rPr>
        <w:t xml:space="preserve"> </w:t>
      </w:r>
      <w:r>
        <w:t>pedazos</w:t>
      </w:r>
      <w:r>
        <w:rPr>
          <w:spacing w:val="-1"/>
        </w:rPr>
        <w:t xml:space="preserve"> </w:t>
      </w:r>
      <w:r>
        <w:t>– aún sobrevive el conflicto armado interno con el ELN, por ejemplo– la disputa por rentas legales</w:t>
      </w:r>
      <w:r>
        <w:rPr>
          <w:spacing w:val="-8"/>
        </w:rPr>
        <w:t xml:space="preserve"> </w:t>
      </w:r>
      <w:r>
        <w:t>e</w:t>
      </w:r>
      <w:r>
        <w:rPr>
          <w:spacing w:val="-8"/>
        </w:rPr>
        <w:t xml:space="preserve"> </w:t>
      </w:r>
      <w:r>
        <w:t>ilegales</w:t>
      </w:r>
      <w:r>
        <w:rPr>
          <w:spacing w:val="-8"/>
        </w:rPr>
        <w:t xml:space="preserve"> </w:t>
      </w:r>
      <w:r>
        <w:t>se</w:t>
      </w:r>
      <w:r>
        <w:rPr>
          <w:spacing w:val="-8"/>
        </w:rPr>
        <w:t xml:space="preserve"> </w:t>
      </w:r>
      <w:r>
        <w:t>mantiene.</w:t>
      </w:r>
      <w:r>
        <w:rPr>
          <w:spacing w:val="-8"/>
        </w:rPr>
        <w:t xml:space="preserve"> </w:t>
      </w:r>
      <w:r>
        <w:t>A</w:t>
      </w:r>
      <w:r>
        <w:rPr>
          <w:spacing w:val="-9"/>
        </w:rPr>
        <w:t xml:space="preserve"> </w:t>
      </w:r>
      <w:r>
        <w:t>eso</w:t>
      </w:r>
      <w:r>
        <w:rPr>
          <w:spacing w:val="-8"/>
        </w:rPr>
        <w:t xml:space="preserve"> </w:t>
      </w:r>
      <w:r>
        <w:t>no</w:t>
      </w:r>
      <w:r>
        <w:rPr>
          <w:spacing w:val="-8"/>
        </w:rPr>
        <w:t xml:space="preserve"> </w:t>
      </w:r>
      <w:r>
        <w:t>se</w:t>
      </w:r>
      <w:r>
        <w:rPr>
          <w:spacing w:val="-8"/>
        </w:rPr>
        <w:t xml:space="preserve"> </w:t>
      </w:r>
      <w:r>
        <w:t>le</w:t>
      </w:r>
      <w:r>
        <w:rPr>
          <w:spacing w:val="-8"/>
        </w:rPr>
        <w:t xml:space="preserve"> </w:t>
      </w:r>
      <w:r>
        <w:t>puede</w:t>
      </w:r>
      <w:r>
        <w:rPr>
          <w:spacing w:val="-8"/>
        </w:rPr>
        <w:t xml:space="preserve"> </w:t>
      </w:r>
      <w:r>
        <w:t>llamar</w:t>
      </w:r>
      <w:r>
        <w:rPr>
          <w:spacing w:val="-8"/>
        </w:rPr>
        <w:t xml:space="preserve"> </w:t>
      </w:r>
      <w:r>
        <w:t>guerra</w:t>
      </w:r>
      <w:r>
        <w:rPr>
          <w:spacing w:val="-8"/>
        </w:rPr>
        <w:t xml:space="preserve"> </w:t>
      </w:r>
      <w:r>
        <w:t>–dado</w:t>
      </w:r>
      <w:r>
        <w:rPr>
          <w:spacing w:val="-8"/>
        </w:rPr>
        <w:t xml:space="preserve"> </w:t>
      </w:r>
      <w:r>
        <w:t>que</w:t>
      </w:r>
      <w:r>
        <w:rPr>
          <w:spacing w:val="-8"/>
        </w:rPr>
        <w:t xml:space="preserve"> </w:t>
      </w:r>
      <w:r>
        <w:t>no</w:t>
      </w:r>
      <w:r>
        <w:rPr>
          <w:spacing w:val="-8"/>
        </w:rPr>
        <w:t xml:space="preserve"> </w:t>
      </w:r>
      <w:r>
        <w:t>está</w:t>
      </w:r>
      <w:r>
        <w:rPr>
          <w:spacing w:val="-8"/>
        </w:rPr>
        <w:t xml:space="preserve"> </w:t>
      </w:r>
      <w:r>
        <w:t>en</w:t>
      </w:r>
      <w:r>
        <w:rPr>
          <w:spacing w:val="-8"/>
        </w:rPr>
        <w:t xml:space="preserve"> </w:t>
      </w:r>
      <w:r>
        <w:t>juego un cambio en las estructuras del Estado y del poder político–, así sean conflictos armados vigentes</w:t>
      </w:r>
      <w:r>
        <w:rPr>
          <w:spacing w:val="-7"/>
        </w:rPr>
        <w:t xml:space="preserve"> </w:t>
      </w:r>
      <w:r>
        <w:t>de</w:t>
      </w:r>
      <w:r>
        <w:rPr>
          <w:spacing w:val="-8"/>
        </w:rPr>
        <w:t xml:space="preserve"> </w:t>
      </w:r>
      <w:r>
        <w:t>características</w:t>
      </w:r>
      <w:r>
        <w:rPr>
          <w:spacing w:val="-7"/>
        </w:rPr>
        <w:t xml:space="preserve"> </w:t>
      </w:r>
      <w:r>
        <w:t>híbridas:</w:t>
      </w:r>
      <w:r>
        <w:rPr>
          <w:spacing w:val="-8"/>
        </w:rPr>
        <w:t xml:space="preserve"> </w:t>
      </w:r>
      <w:r>
        <w:t>por</w:t>
      </w:r>
      <w:r>
        <w:rPr>
          <w:spacing w:val="-7"/>
        </w:rPr>
        <w:t xml:space="preserve"> </w:t>
      </w:r>
      <w:r>
        <w:t>políticas</w:t>
      </w:r>
      <w:r>
        <w:rPr>
          <w:spacing w:val="-8"/>
        </w:rPr>
        <w:t xml:space="preserve"> </w:t>
      </w:r>
      <w:r>
        <w:t>y/o</w:t>
      </w:r>
      <w:r>
        <w:rPr>
          <w:spacing w:val="-7"/>
        </w:rPr>
        <w:t xml:space="preserve"> </w:t>
      </w:r>
      <w:r>
        <w:t>rentas.</w:t>
      </w:r>
      <w:r>
        <w:rPr>
          <w:spacing w:val="-8"/>
        </w:rPr>
        <w:t xml:space="preserve"> </w:t>
      </w:r>
      <w:r>
        <w:t>Estos</w:t>
      </w:r>
      <w:r>
        <w:rPr>
          <w:spacing w:val="-7"/>
        </w:rPr>
        <w:t xml:space="preserve"> </w:t>
      </w:r>
      <w:r>
        <w:t>tampoco</w:t>
      </w:r>
      <w:r>
        <w:rPr>
          <w:spacing w:val="-7"/>
        </w:rPr>
        <w:t xml:space="preserve"> </w:t>
      </w:r>
      <w:r>
        <w:t>se</w:t>
      </w:r>
      <w:r>
        <w:rPr>
          <w:spacing w:val="-7"/>
        </w:rPr>
        <w:t xml:space="preserve"> </w:t>
      </w:r>
      <w:r>
        <w:t>resolverán</w:t>
      </w:r>
      <w:r>
        <w:rPr>
          <w:spacing w:val="-7"/>
        </w:rPr>
        <w:t xml:space="preserve"> </w:t>
      </w:r>
      <w:r>
        <w:t>por la vía policial o militar exclusivamente, como lo ha demostrado la larga trayectoria de combate al narcotráfico. Se requiere culminar el proceso de negociación con el ELN, profundizar</w:t>
      </w:r>
      <w:r>
        <w:rPr>
          <w:spacing w:val="-9"/>
        </w:rPr>
        <w:t xml:space="preserve"> </w:t>
      </w:r>
      <w:r>
        <w:t>la</w:t>
      </w:r>
      <w:r>
        <w:rPr>
          <w:spacing w:val="-8"/>
        </w:rPr>
        <w:t xml:space="preserve"> </w:t>
      </w:r>
      <w:r>
        <w:t>implementación</w:t>
      </w:r>
      <w:r>
        <w:rPr>
          <w:spacing w:val="-8"/>
        </w:rPr>
        <w:t xml:space="preserve"> </w:t>
      </w:r>
      <w:r>
        <w:t>del</w:t>
      </w:r>
      <w:r>
        <w:rPr>
          <w:spacing w:val="-8"/>
        </w:rPr>
        <w:t xml:space="preserve"> </w:t>
      </w:r>
      <w:r>
        <w:t>Acuerdo</w:t>
      </w:r>
      <w:r>
        <w:rPr>
          <w:spacing w:val="-8"/>
        </w:rPr>
        <w:t xml:space="preserve"> </w:t>
      </w:r>
      <w:r>
        <w:t>con</w:t>
      </w:r>
      <w:r>
        <w:rPr>
          <w:spacing w:val="-8"/>
        </w:rPr>
        <w:t xml:space="preserve"> </w:t>
      </w:r>
      <w:r>
        <w:t>las</w:t>
      </w:r>
      <w:r>
        <w:rPr>
          <w:spacing w:val="-8"/>
        </w:rPr>
        <w:t xml:space="preserve"> </w:t>
      </w:r>
      <w:r>
        <w:t>FARC-EP</w:t>
      </w:r>
      <w:r>
        <w:rPr>
          <w:spacing w:val="-9"/>
        </w:rPr>
        <w:t xml:space="preserve"> </w:t>
      </w:r>
      <w:r>
        <w:t>y</w:t>
      </w:r>
      <w:r>
        <w:rPr>
          <w:spacing w:val="-8"/>
        </w:rPr>
        <w:t xml:space="preserve"> </w:t>
      </w:r>
      <w:r>
        <w:t>fórmulas</w:t>
      </w:r>
      <w:r>
        <w:rPr>
          <w:spacing w:val="-9"/>
        </w:rPr>
        <w:t xml:space="preserve"> </w:t>
      </w:r>
      <w:r>
        <w:t>de</w:t>
      </w:r>
      <w:r>
        <w:rPr>
          <w:spacing w:val="-8"/>
        </w:rPr>
        <w:t xml:space="preserve"> </w:t>
      </w:r>
      <w:r>
        <w:t>sometimiento</w:t>
      </w:r>
      <w:r>
        <w:rPr>
          <w:spacing w:val="-8"/>
        </w:rPr>
        <w:t xml:space="preserve"> </w:t>
      </w:r>
      <w:r>
        <w:t>a la justicia que pongan en el centro a las víctimas. El crimen organizado sigue alentando la violencia porque es funcional a sus intereses. Eso debe terminar a partir de un enfoque integral del problema.</w:t>
      </w:r>
    </w:p>
    <w:p w:rsidR="003804AC" w:rsidRDefault="00AF18A5" w:rsidP="002408DB">
      <w:r>
        <w:t>Pero esa es apenas una cara de la verdad. La otra cara es que, por esos resquicios, esos pactos</w:t>
      </w:r>
      <w:r>
        <w:rPr>
          <w:spacing w:val="-14"/>
        </w:rPr>
        <w:t xml:space="preserve"> </w:t>
      </w:r>
      <w:r>
        <w:t>y</w:t>
      </w:r>
      <w:r>
        <w:rPr>
          <w:spacing w:val="-13"/>
        </w:rPr>
        <w:t xml:space="preserve"> </w:t>
      </w:r>
      <w:r>
        <w:t>reformas,</w:t>
      </w:r>
      <w:r>
        <w:rPr>
          <w:spacing w:val="-14"/>
        </w:rPr>
        <w:t xml:space="preserve"> </w:t>
      </w:r>
      <w:r>
        <w:t>y</w:t>
      </w:r>
      <w:r>
        <w:rPr>
          <w:spacing w:val="-14"/>
        </w:rPr>
        <w:t xml:space="preserve"> </w:t>
      </w:r>
      <w:r>
        <w:t>también</w:t>
      </w:r>
      <w:r>
        <w:rPr>
          <w:spacing w:val="-13"/>
        </w:rPr>
        <w:t xml:space="preserve"> </w:t>
      </w:r>
      <w:r>
        <w:t>gracias</w:t>
      </w:r>
      <w:r>
        <w:rPr>
          <w:spacing w:val="-14"/>
        </w:rPr>
        <w:t xml:space="preserve"> </w:t>
      </w:r>
      <w:r>
        <w:t>al</w:t>
      </w:r>
      <w:r>
        <w:rPr>
          <w:spacing w:val="-13"/>
        </w:rPr>
        <w:t xml:space="preserve"> </w:t>
      </w:r>
      <w:r>
        <w:t>diálogo</w:t>
      </w:r>
      <w:r>
        <w:rPr>
          <w:spacing w:val="-14"/>
        </w:rPr>
        <w:t xml:space="preserve"> </w:t>
      </w:r>
      <w:r>
        <w:t>civilizado,</w:t>
      </w:r>
      <w:r>
        <w:rPr>
          <w:spacing w:val="-13"/>
        </w:rPr>
        <w:t xml:space="preserve"> </w:t>
      </w:r>
      <w:r>
        <w:t>sectores</w:t>
      </w:r>
      <w:r>
        <w:rPr>
          <w:spacing w:val="-14"/>
        </w:rPr>
        <w:t xml:space="preserve"> </w:t>
      </w:r>
      <w:r>
        <w:t>muy</w:t>
      </w:r>
      <w:r>
        <w:rPr>
          <w:spacing w:val="-14"/>
        </w:rPr>
        <w:t xml:space="preserve"> </w:t>
      </w:r>
      <w:r>
        <w:t>importantes</w:t>
      </w:r>
      <w:r>
        <w:rPr>
          <w:spacing w:val="-13"/>
        </w:rPr>
        <w:t xml:space="preserve"> </w:t>
      </w:r>
      <w:r>
        <w:t>del</w:t>
      </w:r>
      <w:r>
        <w:rPr>
          <w:spacing w:val="-14"/>
        </w:rPr>
        <w:t xml:space="preserve"> </w:t>
      </w:r>
      <w:r>
        <w:t>país, ignorados con frecuencia en las narrativas de la guerra, nos han legado aprendizajes democráticos</w:t>
      </w:r>
      <w:r>
        <w:rPr>
          <w:spacing w:val="-1"/>
        </w:rPr>
        <w:t xml:space="preserve"> </w:t>
      </w:r>
      <w:r>
        <w:t>muy</w:t>
      </w:r>
      <w:r>
        <w:rPr>
          <w:spacing w:val="-1"/>
        </w:rPr>
        <w:t xml:space="preserve"> </w:t>
      </w:r>
      <w:r>
        <w:t>importantes.</w:t>
      </w:r>
      <w:r>
        <w:rPr>
          <w:spacing w:val="-1"/>
        </w:rPr>
        <w:t xml:space="preserve"> </w:t>
      </w:r>
      <w:r>
        <w:t>Muchos,</w:t>
      </w:r>
      <w:r>
        <w:rPr>
          <w:spacing w:val="-1"/>
        </w:rPr>
        <w:t xml:space="preserve"> </w:t>
      </w:r>
      <w:r>
        <w:t>incluso,</w:t>
      </w:r>
      <w:r>
        <w:rPr>
          <w:spacing w:val="-2"/>
        </w:rPr>
        <w:t xml:space="preserve"> </w:t>
      </w:r>
      <w:r>
        <w:t>ofrendaron</w:t>
      </w:r>
      <w:r>
        <w:rPr>
          <w:spacing w:val="-2"/>
        </w:rPr>
        <w:t xml:space="preserve"> </w:t>
      </w:r>
      <w:r>
        <w:t>la</w:t>
      </w:r>
      <w:r>
        <w:rPr>
          <w:spacing w:val="-1"/>
        </w:rPr>
        <w:t xml:space="preserve"> </w:t>
      </w:r>
      <w:r>
        <w:t>vida</w:t>
      </w:r>
      <w:r>
        <w:rPr>
          <w:spacing w:val="-2"/>
        </w:rPr>
        <w:t xml:space="preserve"> </w:t>
      </w:r>
      <w:r>
        <w:t>para</w:t>
      </w:r>
      <w:r>
        <w:rPr>
          <w:spacing w:val="-3"/>
        </w:rPr>
        <w:t xml:space="preserve"> </w:t>
      </w:r>
      <w:r>
        <w:t>ello.</w:t>
      </w:r>
      <w:r>
        <w:rPr>
          <w:spacing w:val="-1"/>
        </w:rPr>
        <w:t xml:space="preserve"> </w:t>
      </w:r>
      <w:r>
        <w:t>La</w:t>
      </w:r>
      <w:r>
        <w:rPr>
          <w:spacing w:val="-1"/>
        </w:rPr>
        <w:t xml:space="preserve"> </w:t>
      </w:r>
      <w:r>
        <w:t>prueba</w:t>
      </w:r>
      <w:r>
        <w:rPr>
          <w:spacing w:val="-1"/>
        </w:rPr>
        <w:t xml:space="preserve"> </w:t>
      </w:r>
      <w:r>
        <w:t xml:space="preserve">de que la democracia en Colombia, con todas sus imperfecciones, nunca fue un escenario cerrado herméticamente es que las propias guerrillas, que buscaban un cambio radical del sistema, también optaron por participar de él cuando enarbolaron la combinación de todas las formas de lucha. El PCC mantuvo una relación política </w:t>
      </w:r>
      <w:r>
        <w:lastRenderedPageBreak/>
        <w:t>compleja con las FARC-EP por lo menos hasta el año 1991, pero, al mismo tiempo, participó en elecciones e influyó en la lucha social y política. Lo mismo ha hecho el ELN, que paulatinamente ha permeado instancias</w:t>
      </w:r>
      <w:r>
        <w:rPr>
          <w:spacing w:val="-12"/>
        </w:rPr>
        <w:t xml:space="preserve"> </w:t>
      </w:r>
      <w:r>
        <w:t>institucionales</w:t>
      </w:r>
      <w:r>
        <w:rPr>
          <w:spacing w:val="-12"/>
        </w:rPr>
        <w:t xml:space="preserve"> </w:t>
      </w:r>
      <w:r>
        <w:t>o</w:t>
      </w:r>
      <w:r>
        <w:rPr>
          <w:spacing w:val="-11"/>
        </w:rPr>
        <w:t xml:space="preserve"> </w:t>
      </w:r>
      <w:r>
        <w:t>del</w:t>
      </w:r>
      <w:r>
        <w:rPr>
          <w:spacing w:val="-11"/>
        </w:rPr>
        <w:t xml:space="preserve"> </w:t>
      </w:r>
      <w:r>
        <w:t>movimiento</w:t>
      </w:r>
      <w:r>
        <w:rPr>
          <w:spacing w:val="-11"/>
        </w:rPr>
        <w:t xml:space="preserve"> </w:t>
      </w:r>
      <w:r>
        <w:t>social</w:t>
      </w:r>
      <w:r>
        <w:rPr>
          <w:spacing w:val="-10"/>
        </w:rPr>
        <w:t xml:space="preserve"> </w:t>
      </w:r>
      <w:r>
        <w:t>como</w:t>
      </w:r>
      <w:r>
        <w:rPr>
          <w:spacing w:val="-11"/>
        </w:rPr>
        <w:t xml:space="preserve"> </w:t>
      </w:r>
      <w:r>
        <w:t>una</w:t>
      </w:r>
      <w:r>
        <w:rPr>
          <w:spacing w:val="-13"/>
        </w:rPr>
        <w:t xml:space="preserve"> </w:t>
      </w:r>
      <w:r>
        <w:t>manera</w:t>
      </w:r>
      <w:r>
        <w:rPr>
          <w:spacing w:val="-10"/>
        </w:rPr>
        <w:t xml:space="preserve"> </w:t>
      </w:r>
      <w:r>
        <w:t>de</w:t>
      </w:r>
      <w:r>
        <w:rPr>
          <w:spacing w:val="-12"/>
        </w:rPr>
        <w:t xml:space="preserve"> </w:t>
      </w:r>
      <w:r>
        <w:t>usar</w:t>
      </w:r>
      <w:r>
        <w:rPr>
          <w:spacing w:val="-11"/>
        </w:rPr>
        <w:t xml:space="preserve"> </w:t>
      </w:r>
      <w:r>
        <w:t>las</w:t>
      </w:r>
      <w:r>
        <w:rPr>
          <w:spacing w:val="-12"/>
        </w:rPr>
        <w:t xml:space="preserve"> </w:t>
      </w:r>
      <w:r>
        <w:t>posibilidades que</w:t>
      </w:r>
      <w:r>
        <w:rPr>
          <w:spacing w:val="-13"/>
        </w:rPr>
        <w:t xml:space="preserve"> </w:t>
      </w:r>
      <w:r>
        <w:t>da</w:t>
      </w:r>
      <w:r>
        <w:rPr>
          <w:spacing w:val="-13"/>
        </w:rPr>
        <w:t xml:space="preserve"> </w:t>
      </w:r>
      <w:r>
        <w:t>un</w:t>
      </w:r>
      <w:r>
        <w:rPr>
          <w:spacing w:val="-13"/>
        </w:rPr>
        <w:t xml:space="preserve"> </w:t>
      </w:r>
      <w:r>
        <w:t>sistema</w:t>
      </w:r>
      <w:r>
        <w:rPr>
          <w:spacing w:val="-13"/>
        </w:rPr>
        <w:t xml:space="preserve"> </w:t>
      </w:r>
      <w:r>
        <w:t>democrático</w:t>
      </w:r>
      <w:r>
        <w:rPr>
          <w:spacing w:val="-13"/>
        </w:rPr>
        <w:t xml:space="preserve"> </w:t>
      </w:r>
      <w:r>
        <w:t>para</w:t>
      </w:r>
      <w:r>
        <w:rPr>
          <w:spacing w:val="-13"/>
        </w:rPr>
        <w:t xml:space="preserve"> </w:t>
      </w:r>
      <w:r>
        <w:t>ponerlo</w:t>
      </w:r>
      <w:r>
        <w:rPr>
          <w:spacing w:val="-13"/>
        </w:rPr>
        <w:t xml:space="preserve"> </w:t>
      </w:r>
      <w:r>
        <w:t>en</w:t>
      </w:r>
      <w:r>
        <w:rPr>
          <w:spacing w:val="-13"/>
        </w:rPr>
        <w:t xml:space="preserve"> </w:t>
      </w:r>
      <w:r>
        <w:t>jaque.</w:t>
      </w:r>
      <w:r>
        <w:rPr>
          <w:spacing w:val="-13"/>
        </w:rPr>
        <w:t xml:space="preserve"> </w:t>
      </w:r>
      <w:r>
        <w:t>Este</w:t>
      </w:r>
      <w:r>
        <w:rPr>
          <w:spacing w:val="-13"/>
        </w:rPr>
        <w:t xml:space="preserve"> </w:t>
      </w:r>
      <w:r>
        <w:t>«derecho</w:t>
      </w:r>
      <w:r>
        <w:rPr>
          <w:spacing w:val="-13"/>
        </w:rPr>
        <w:t xml:space="preserve"> </w:t>
      </w:r>
      <w:r>
        <w:t>a</w:t>
      </w:r>
      <w:r>
        <w:rPr>
          <w:spacing w:val="-13"/>
        </w:rPr>
        <w:t xml:space="preserve"> </w:t>
      </w:r>
      <w:r>
        <w:t>la</w:t>
      </w:r>
      <w:r>
        <w:rPr>
          <w:spacing w:val="-13"/>
        </w:rPr>
        <w:t xml:space="preserve"> </w:t>
      </w:r>
      <w:r>
        <w:t>rebelión»,</w:t>
      </w:r>
      <w:r>
        <w:rPr>
          <w:spacing w:val="-13"/>
        </w:rPr>
        <w:t xml:space="preserve"> </w:t>
      </w:r>
      <w:r>
        <w:t>reservado en</w:t>
      </w:r>
      <w:r>
        <w:rPr>
          <w:spacing w:val="-15"/>
        </w:rPr>
        <w:t xml:space="preserve"> </w:t>
      </w:r>
      <w:r>
        <w:t>la</w:t>
      </w:r>
      <w:r>
        <w:rPr>
          <w:spacing w:val="-15"/>
        </w:rPr>
        <w:t xml:space="preserve"> </w:t>
      </w:r>
      <w:r>
        <w:t>comunidad</w:t>
      </w:r>
      <w:r>
        <w:rPr>
          <w:spacing w:val="-15"/>
        </w:rPr>
        <w:t xml:space="preserve"> </w:t>
      </w:r>
      <w:r>
        <w:t>internacional</w:t>
      </w:r>
      <w:r>
        <w:rPr>
          <w:spacing w:val="-15"/>
        </w:rPr>
        <w:t xml:space="preserve"> </w:t>
      </w:r>
      <w:r>
        <w:t>para</w:t>
      </w:r>
      <w:r>
        <w:rPr>
          <w:spacing w:val="-15"/>
        </w:rPr>
        <w:t xml:space="preserve"> </w:t>
      </w:r>
      <w:r>
        <w:t>quienes</w:t>
      </w:r>
      <w:r>
        <w:rPr>
          <w:spacing w:val="-14"/>
        </w:rPr>
        <w:t xml:space="preserve"> </w:t>
      </w:r>
      <w:r>
        <w:t>se</w:t>
      </w:r>
      <w:r>
        <w:rPr>
          <w:spacing w:val="-15"/>
        </w:rPr>
        <w:t xml:space="preserve"> </w:t>
      </w:r>
      <w:r>
        <w:t>levantan</w:t>
      </w:r>
      <w:r>
        <w:rPr>
          <w:spacing w:val="-15"/>
        </w:rPr>
        <w:t xml:space="preserve"> </w:t>
      </w:r>
      <w:r>
        <w:t>contra</w:t>
      </w:r>
      <w:r>
        <w:rPr>
          <w:spacing w:val="-15"/>
        </w:rPr>
        <w:t xml:space="preserve"> </w:t>
      </w:r>
      <w:r>
        <w:t>regímenes</w:t>
      </w:r>
      <w:r>
        <w:rPr>
          <w:spacing w:val="-15"/>
        </w:rPr>
        <w:t xml:space="preserve"> </w:t>
      </w:r>
      <w:r>
        <w:t>opresores,</w:t>
      </w:r>
      <w:r>
        <w:rPr>
          <w:spacing w:val="-15"/>
        </w:rPr>
        <w:t xml:space="preserve"> </w:t>
      </w:r>
      <w:r>
        <w:t>no</w:t>
      </w:r>
      <w:r>
        <w:rPr>
          <w:spacing w:val="-15"/>
        </w:rPr>
        <w:t xml:space="preserve"> </w:t>
      </w:r>
      <w:r>
        <w:t>aplica para el caso colombiano.</w:t>
      </w:r>
    </w:p>
    <w:p w:rsidR="003804AC" w:rsidRDefault="00AF18A5" w:rsidP="002408DB">
      <w:r>
        <w:t>Sería un largo debate decir si se aplicó en algún momento por las exclusiones que representó</w:t>
      </w:r>
      <w:r>
        <w:rPr>
          <w:spacing w:val="-3"/>
        </w:rPr>
        <w:t xml:space="preserve"> </w:t>
      </w:r>
      <w:r>
        <w:t>el</w:t>
      </w:r>
      <w:r>
        <w:rPr>
          <w:spacing w:val="-3"/>
        </w:rPr>
        <w:t xml:space="preserve"> </w:t>
      </w:r>
      <w:r>
        <w:t>Frente</w:t>
      </w:r>
      <w:r>
        <w:rPr>
          <w:spacing w:val="-3"/>
        </w:rPr>
        <w:t xml:space="preserve"> </w:t>
      </w:r>
      <w:r>
        <w:t>Nacional,</w:t>
      </w:r>
      <w:r>
        <w:rPr>
          <w:spacing w:val="-3"/>
        </w:rPr>
        <w:t xml:space="preserve"> </w:t>
      </w:r>
      <w:r>
        <w:t>por</w:t>
      </w:r>
      <w:r>
        <w:rPr>
          <w:spacing w:val="-4"/>
        </w:rPr>
        <w:t xml:space="preserve"> </w:t>
      </w:r>
      <w:r>
        <w:t>la</w:t>
      </w:r>
      <w:r>
        <w:rPr>
          <w:spacing w:val="-4"/>
        </w:rPr>
        <w:t xml:space="preserve"> </w:t>
      </w:r>
      <w:r>
        <w:t>«dictadura</w:t>
      </w:r>
      <w:r>
        <w:rPr>
          <w:spacing w:val="-3"/>
        </w:rPr>
        <w:t xml:space="preserve"> </w:t>
      </w:r>
      <w:r>
        <w:t>disfrazada»</w:t>
      </w:r>
      <w:r>
        <w:rPr>
          <w:spacing w:val="-3"/>
        </w:rPr>
        <w:t xml:space="preserve"> </w:t>
      </w:r>
      <w:r>
        <w:t>que</w:t>
      </w:r>
      <w:r>
        <w:rPr>
          <w:spacing w:val="-3"/>
        </w:rPr>
        <w:t xml:space="preserve"> </w:t>
      </w:r>
      <w:r>
        <w:t>hubo</w:t>
      </w:r>
      <w:r>
        <w:rPr>
          <w:spacing w:val="-3"/>
        </w:rPr>
        <w:t xml:space="preserve"> </w:t>
      </w:r>
      <w:r>
        <w:t>durante</w:t>
      </w:r>
      <w:r>
        <w:rPr>
          <w:spacing w:val="-3"/>
        </w:rPr>
        <w:t xml:space="preserve"> </w:t>
      </w:r>
      <w:r>
        <w:t>el</w:t>
      </w:r>
      <w:r>
        <w:rPr>
          <w:spacing w:val="-3"/>
        </w:rPr>
        <w:t xml:space="preserve"> </w:t>
      </w:r>
      <w:r>
        <w:t>Estatuto</w:t>
      </w:r>
      <w:r>
        <w:rPr>
          <w:spacing w:val="-3"/>
        </w:rPr>
        <w:t xml:space="preserve"> </w:t>
      </w:r>
      <w:r>
        <w:t>de Seguridad,</w:t>
      </w:r>
      <w:r>
        <w:rPr>
          <w:spacing w:val="-4"/>
        </w:rPr>
        <w:t xml:space="preserve"> </w:t>
      </w:r>
      <w:r>
        <w:t>o</w:t>
      </w:r>
      <w:r>
        <w:rPr>
          <w:spacing w:val="-5"/>
        </w:rPr>
        <w:t xml:space="preserve"> </w:t>
      </w:r>
      <w:r>
        <w:t>durante</w:t>
      </w:r>
      <w:r>
        <w:rPr>
          <w:spacing w:val="-5"/>
        </w:rPr>
        <w:t xml:space="preserve"> </w:t>
      </w:r>
      <w:r>
        <w:t>la</w:t>
      </w:r>
      <w:r>
        <w:rPr>
          <w:spacing w:val="-3"/>
        </w:rPr>
        <w:t xml:space="preserve"> </w:t>
      </w:r>
      <w:r>
        <w:t>guerra</w:t>
      </w:r>
      <w:r>
        <w:rPr>
          <w:spacing w:val="-5"/>
        </w:rPr>
        <w:t xml:space="preserve"> </w:t>
      </w:r>
      <w:r>
        <w:t>sucia</w:t>
      </w:r>
      <w:r>
        <w:rPr>
          <w:spacing w:val="-5"/>
        </w:rPr>
        <w:t xml:space="preserve"> </w:t>
      </w:r>
      <w:r>
        <w:t>de</w:t>
      </w:r>
      <w:r>
        <w:rPr>
          <w:spacing w:val="-3"/>
        </w:rPr>
        <w:t xml:space="preserve"> </w:t>
      </w:r>
      <w:r>
        <w:t>exterminio</w:t>
      </w:r>
      <w:r>
        <w:rPr>
          <w:spacing w:val="-5"/>
        </w:rPr>
        <w:t xml:space="preserve"> </w:t>
      </w:r>
      <w:r>
        <w:t>social</w:t>
      </w:r>
      <w:r>
        <w:rPr>
          <w:spacing w:val="-3"/>
        </w:rPr>
        <w:t xml:space="preserve"> </w:t>
      </w:r>
      <w:r>
        <w:t>y</w:t>
      </w:r>
      <w:r>
        <w:rPr>
          <w:spacing w:val="-4"/>
        </w:rPr>
        <w:t xml:space="preserve"> </w:t>
      </w:r>
      <w:r>
        <w:t>político</w:t>
      </w:r>
      <w:r>
        <w:rPr>
          <w:spacing w:val="-4"/>
        </w:rPr>
        <w:t xml:space="preserve"> </w:t>
      </w:r>
      <w:r>
        <w:t>alentada</w:t>
      </w:r>
      <w:r>
        <w:rPr>
          <w:spacing w:val="-3"/>
        </w:rPr>
        <w:t xml:space="preserve"> </w:t>
      </w:r>
      <w:r>
        <w:t>por</w:t>
      </w:r>
      <w:r>
        <w:rPr>
          <w:spacing w:val="-3"/>
        </w:rPr>
        <w:t xml:space="preserve"> </w:t>
      </w:r>
      <w:r>
        <w:t>sectores</w:t>
      </w:r>
      <w:r>
        <w:rPr>
          <w:spacing w:val="-4"/>
        </w:rPr>
        <w:t xml:space="preserve"> </w:t>
      </w:r>
      <w:r>
        <w:t>del Estado y las élites. Todo ello puede considerarse suficientemente opresivo. Sin embargo, la historia</w:t>
      </w:r>
      <w:r>
        <w:rPr>
          <w:spacing w:val="-13"/>
        </w:rPr>
        <w:t xml:space="preserve"> </w:t>
      </w:r>
      <w:r>
        <w:t>reciente</w:t>
      </w:r>
      <w:r>
        <w:rPr>
          <w:spacing w:val="-13"/>
        </w:rPr>
        <w:t xml:space="preserve"> </w:t>
      </w:r>
      <w:r>
        <w:t>prueba</w:t>
      </w:r>
      <w:r>
        <w:rPr>
          <w:spacing w:val="-14"/>
        </w:rPr>
        <w:t xml:space="preserve"> </w:t>
      </w:r>
      <w:r>
        <w:t>que</w:t>
      </w:r>
      <w:r>
        <w:rPr>
          <w:spacing w:val="-13"/>
        </w:rPr>
        <w:t xml:space="preserve"> </w:t>
      </w:r>
      <w:r>
        <w:t>la</w:t>
      </w:r>
      <w:r>
        <w:rPr>
          <w:spacing w:val="-13"/>
        </w:rPr>
        <w:t xml:space="preserve"> </w:t>
      </w:r>
      <w:r>
        <w:t>guerra</w:t>
      </w:r>
      <w:r>
        <w:rPr>
          <w:spacing w:val="-13"/>
        </w:rPr>
        <w:t xml:space="preserve"> </w:t>
      </w:r>
      <w:r>
        <w:t>no</w:t>
      </w:r>
      <w:r>
        <w:rPr>
          <w:spacing w:val="-13"/>
        </w:rPr>
        <w:t xml:space="preserve"> </w:t>
      </w:r>
      <w:r>
        <w:t>hizo</w:t>
      </w:r>
      <w:r>
        <w:rPr>
          <w:spacing w:val="-13"/>
        </w:rPr>
        <w:t xml:space="preserve"> </w:t>
      </w:r>
      <w:r>
        <w:t>más</w:t>
      </w:r>
      <w:r>
        <w:rPr>
          <w:spacing w:val="-13"/>
        </w:rPr>
        <w:t xml:space="preserve"> </w:t>
      </w:r>
      <w:r>
        <w:t>que</w:t>
      </w:r>
      <w:r>
        <w:rPr>
          <w:spacing w:val="-13"/>
        </w:rPr>
        <w:t xml:space="preserve"> </w:t>
      </w:r>
      <w:r>
        <w:t>profundizar</w:t>
      </w:r>
      <w:r>
        <w:rPr>
          <w:spacing w:val="-13"/>
        </w:rPr>
        <w:t xml:space="preserve"> </w:t>
      </w:r>
      <w:r>
        <w:t>los</w:t>
      </w:r>
      <w:r>
        <w:rPr>
          <w:spacing w:val="-13"/>
        </w:rPr>
        <w:t xml:space="preserve"> </w:t>
      </w:r>
      <w:r>
        <w:t>rasgos</w:t>
      </w:r>
      <w:r>
        <w:rPr>
          <w:spacing w:val="-13"/>
        </w:rPr>
        <w:t xml:space="preserve"> </w:t>
      </w:r>
      <w:r>
        <w:t>más</w:t>
      </w:r>
      <w:r>
        <w:rPr>
          <w:spacing w:val="-13"/>
        </w:rPr>
        <w:t xml:space="preserve"> </w:t>
      </w:r>
      <w:r>
        <w:t>autoritarios y criminales del régimen político. La violencia solo engendró más violencia. La violencia sigue engendrando violencia.</w:t>
      </w:r>
    </w:p>
    <w:p w:rsidR="003804AC" w:rsidRDefault="00AF18A5" w:rsidP="002408DB">
      <w:r>
        <w:t xml:space="preserve">En cambio, el abandono del uso ilegítimo de las armas por parte de los dos actores fundamentales de la guerra –Estado y guerrillas; o dicho en clave política, del campo de la contrainsurgencia que representa el </w:t>
      </w:r>
      <w:r>
        <w:rPr>
          <w:i/>
        </w:rPr>
        <w:t xml:space="preserve">statu quo </w:t>
      </w:r>
      <w:r>
        <w:t>y la insurgencia que representa el cambio revolucionario– ha permitido los avances democráticos.</w:t>
      </w:r>
    </w:p>
    <w:p w:rsidR="003804AC" w:rsidRDefault="00AF18A5" w:rsidP="00A1798E">
      <w:r>
        <w:t>La democratización y la paz han sido empujadas por la sociedad civil, organizada y no organizada,</w:t>
      </w:r>
      <w:r>
        <w:rPr>
          <w:spacing w:val="-3"/>
        </w:rPr>
        <w:t xml:space="preserve"> </w:t>
      </w:r>
      <w:r>
        <w:t>y</w:t>
      </w:r>
      <w:r>
        <w:rPr>
          <w:spacing w:val="-2"/>
        </w:rPr>
        <w:t xml:space="preserve"> </w:t>
      </w:r>
      <w:r>
        <w:t>por</w:t>
      </w:r>
      <w:r>
        <w:rPr>
          <w:spacing w:val="-2"/>
        </w:rPr>
        <w:t xml:space="preserve"> </w:t>
      </w:r>
      <w:r>
        <w:t>una</w:t>
      </w:r>
      <w:r>
        <w:rPr>
          <w:spacing w:val="-2"/>
        </w:rPr>
        <w:t xml:space="preserve"> </w:t>
      </w:r>
      <w:r>
        <w:t>confluencia</w:t>
      </w:r>
      <w:r>
        <w:rPr>
          <w:spacing w:val="-2"/>
        </w:rPr>
        <w:t xml:space="preserve"> </w:t>
      </w:r>
      <w:r>
        <w:t>de</w:t>
      </w:r>
      <w:r>
        <w:rPr>
          <w:spacing w:val="-3"/>
        </w:rPr>
        <w:t xml:space="preserve"> </w:t>
      </w:r>
      <w:r>
        <w:t>actores,</w:t>
      </w:r>
      <w:r>
        <w:rPr>
          <w:spacing w:val="-2"/>
        </w:rPr>
        <w:t xml:space="preserve"> </w:t>
      </w:r>
      <w:r>
        <w:t>nacionales</w:t>
      </w:r>
      <w:r>
        <w:rPr>
          <w:spacing w:val="-2"/>
        </w:rPr>
        <w:t xml:space="preserve"> </w:t>
      </w:r>
      <w:r>
        <w:t>e</w:t>
      </w:r>
      <w:r>
        <w:rPr>
          <w:spacing w:val="-2"/>
        </w:rPr>
        <w:t xml:space="preserve"> </w:t>
      </w:r>
      <w:r>
        <w:t>internacionales</w:t>
      </w:r>
      <w:r>
        <w:rPr>
          <w:spacing w:val="-3"/>
        </w:rPr>
        <w:t xml:space="preserve"> </w:t>
      </w:r>
      <w:r>
        <w:t>que</w:t>
      </w:r>
      <w:r>
        <w:rPr>
          <w:spacing w:val="-2"/>
        </w:rPr>
        <w:t xml:space="preserve"> </w:t>
      </w:r>
      <w:r>
        <w:t>han</w:t>
      </w:r>
      <w:r>
        <w:rPr>
          <w:spacing w:val="-2"/>
        </w:rPr>
        <w:t xml:space="preserve"> </w:t>
      </w:r>
      <w:r>
        <w:t>apostado por la salida política. Los procesos democráticos que se cristalizaron en la Constitución de 1991</w:t>
      </w:r>
      <w:r>
        <w:rPr>
          <w:spacing w:val="55"/>
          <w:w w:val="150"/>
        </w:rPr>
        <w:t xml:space="preserve"> </w:t>
      </w:r>
      <w:r>
        <w:t>tienen</w:t>
      </w:r>
      <w:r>
        <w:rPr>
          <w:spacing w:val="55"/>
          <w:w w:val="150"/>
        </w:rPr>
        <w:t xml:space="preserve"> </w:t>
      </w:r>
      <w:r>
        <w:t>detrás</w:t>
      </w:r>
      <w:r>
        <w:rPr>
          <w:spacing w:val="56"/>
          <w:w w:val="150"/>
        </w:rPr>
        <w:t xml:space="preserve"> </w:t>
      </w:r>
      <w:r>
        <w:t>la</w:t>
      </w:r>
      <w:r>
        <w:rPr>
          <w:spacing w:val="55"/>
          <w:w w:val="150"/>
        </w:rPr>
        <w:t xml:space="preserve"> </w:t>
      </w:r>
      <w:r>
        <w:t>agencia</w:t>
      </w:r>
      <w:r>
        <w:rPr>
          <w:spacing w:val="55"/>
          <w:w w:val="150"/>
        </w:rPr>
        <w:t xml:space="preserve"> </w:t>
      </w:r>
      <w:r>
        <w:t>de</w:t>
      </w:r>
      <w:r>
        <w:rPr>
          <w:spacing w:val="55"/>
          <w:w w:val="150"/>
        </w:rPr>
        <w:t xml:space="preserve"> </w:t>
      </w:r>
      <w:r>
        <w:t>movimientos</w:t>
      </w:r>
      <w:r>
        <w:rPr>
          <w:spacing w:val="55"/>
          <w:w w:val="150"/>
        </w:rPr>
        <w:t xml:space="preserve"> </w:t>
      </w:r>
      <w:r>
        <w:t>sociales</w:t>
      </w:r>
      <w:r>
        <w:rPr>
          <w:spacing w:val="55"/>
          <w:w w:val="150"/>
        </w:rPr>
        <w:t xml:space="preserve"> </w:t>
      </w:r>
      <w:r>
        <w:t>y</w:t>
      </w:r>
      <w:r>
        <w:rPr>
          <w:spacing w:val="56"/>
          <w:w w:val="150"/>
        </w:rPr>
        <w:t xml:space="preserve"> </w:t>
      </w:r>
      <w:r>
        <w:t>políticos</w:t>
      </w:r>
      <w:r>
        <w:rPr>
          <w:spacing w:val="56"/>
          <w:w w:val="150"/>
        </w:rPr>
        <w:t xml:space="preserve"> </w:t>
      </w:r>
      <w:r>
        <w:t>que,</w:t>
      </w:r>
      <w:r>
        <w:rPr>
          <w:spacing w:val="56"/>
          <w:w w:val="150"/>
        </w:rPr>
        <w:t xml:space="preserve"> </w:t>
      </w:r>
      <w:r>
        <w:lastRenderedPageBreak/>
        <w:t>de</w:t>
      </w:r>
      <w:r>
        <w:rPr>
          <w:spacing w:val="54"/>
          <w:w w:val="150"/>
        </w:rPr>
        <w:t xml:space="preserve"> </w:t>
      </w:r>
      <w:r>
        <w:rPr>
          <w:spacing w:val="-2"/>
        </w:rPr>
        <w:t>manera</w:t>
      </w:r>
      <w:r w:rsidR="00A1798E">
        <w:t xml:space="preserve"> </w:t>
      </w:r>
      <w:r>
        <w:t>democrática,</w:t>
      </w:r>
      <w:r>
        <w:rPr>
          <w:spacing w:val="-5"/>
        </w:rPr>
        <w:t xml:space="preserve"> </w:t>
      </w:r>
      <w:r>
        <w:t>empujaron</w:t>
      </w:r>
      <w:r>
        <w:rPr>
          <w:spacing w:val="-6"/>
        </w:rPr>
        <w:t xml:space="preserve"> </w:t>
      </w:r>
      <w:r>
        <w:t>tanto</w:t>
      </w:r>
      <w:r>
        <w:rPr>
          <w:spacing w:val="-6"/>
        </w:rPr>
        <w:t xml:space="preserve"> </w:t>
      </w:r>
      <w:r>
        <w:t>a</w:t>
      </w:r>
      <w:r>
        <w:rPr>
          <w:spacing w:val="-4"/>
        </w:rPr>
        <w:t xml:space="preserve"> </w:t>
      </w:r>
      <w:r>
        <w:t>la</w:t>
      </w:r>
      <w:r>
        <w:rPr>
          <w:spacing w:val="-4"/>
        </w:rPr>
        <w:t xml:space="preserve"> </w:t>
      </w:r>
      <w:r>
        <w:t>insurgencia</w:t>
      </w:r>
      <w:r>
        <w:rPr>
          <w:spacing w:val="-4"/>
        </w:rPr>
        <w:t xml:space="preserve"> </w:t>
      </w:r>
      <w:r>
        <w:t>como</w:t>
      </w:r>
      <w:r>
        <w:rPr>
          <w:spacing w:val="-5"/>
        </w:rPr>
        <w:t xml:space="preserve"> </w:t>
      </w:r>
      <w:r>
        <w:t>a</w:t>
      </w:r>
      <w:r>
        <w:rPr>
          <w:spacing w:val="-4"/>
        </w:rPr>
        <w:t xml:space="preserve"> </w:t>
      </w:r>
      <w:r>
        <w:t>sectores</w:t>
      </w:r>
      <w:r>
        <w:rPr>
          <w:spacing w:val="-5"/>
        </w:rPr>
        <w:t xml:space="preserve"> </w:t>
      </w:r>
      <w:r>
        <w:t>del</w:t>
      </w:r>
      <w:r>
        <w:rPr>
          <w:spacing w:val="-5"/>
        </w:rPr>
        <w:t xml:space="preserve"> </w:t>
      </w:r>
      <w:r>
        <w:t>establecimiento</w:t>
      </w:r>
      <w:r>
        <w:rPr>
          <w:spacing w:val="-6"/>
        </w:rPr>
        <w:t xml:space="preserve"> </w:t>
      </w:r>
      <w:r>
        <w:t>a</w:t>
      </w:r>
      <w:r>
        <w:rPr>
          <w:spacing w:val="-4"/>
        </w:rPr>
        <w:t xml:space="preserve"> </w:t>
      </w:r>
      <w:r>
        <w:t>aceptar que se necesitaba romper la exclusión heredada de la república conservadora.</w:t>
      </w:r>
    </w:p>
    <w:p w:rsidR="003804AC" w:rsidRDefault="00AF18A5" w:rsidP="00A1798E">
      <w:r>
        <w:t>En los momentos más determinantes del cambio político se han integrado sectores de todas las clases sociales, de diferentes ideologías, y de toda la nación, en su sentido más amplio. Gracias a ellos fue que se dio la Constitución de 1991 y el Acuerdo de Paz firmado en 2016. Ningún partido, ninguna élite y ningún movimiento puede lograr la paz de manera personal</w:t>
      </w:r>
      <w:r>
        <w:rPr>
          <w:spacing w:val="-3"/>
        </w:rPr>
        <w:t xml:space="preserve"> </w:t>
      </w:r>
      <w:r>
        <w:t>o</w:t>
      </w:r>
      <w:r>
        <w:rPr>
          <w:spacing w:val="-2"/>
        </w:rPr>
        <w:t xml:space="preserve"> </w:t>
      </w:r>
      <w:r>
        <w:t>unilateral.</w:t>
      </w:r>
      <w:r>
        <w:rPr>
          <w:spacing w:val="-2"/>
        </w:rPr>
        <w:t xml:space="preserve"> </w:t>
      </w:r>
      <w:r>
        <w:t>De</w:t>
      </w:r>
      <w:r>
        <w:rPr>
          <w:spacing w:val="-3"/>
        </w:rPr>
        <w:t xml:space="preserve"> </w:t>
      </w:r>
      <w:r>
        <w:t>hecho,</w:t>
      </w:r>
      <w:r>
        <w:rPr>
          <w:spacing w:val="-2"/>
        </w:rPr>
        <w:t xml:space="preserve"> </w:t>
      </w:r>
      <w:r>
        <w:t>la</w:t>
      </w:r>
      <w:r>
        <w:rPr>
          <w:spacing w:val="-2"/>
        </w:rPr>
        <w:t xml:space="preserve"> </w:t>
      </w:r>
      <w:r>
        <w:t>falta</w:t>
      </w:r>
      <w:r>
        <w:rPr>
          <w:spacing w:val="-2"/>
        </w:rPr>
        <w:t xml:space="preserve"> </w:t>
      </w:r>
      <w:r>
        <w:t>de</w:t>
      </w:r>
      <w:r>
        <w:rPr>
          <w:spacing w:val="-2"/>
        </w:rPr>
        <w:t xml:space="preserve"> </w:t>
      </w:r>
      <w:r>
        <w:t>concurrencia</w:t>
      </w:r>
      <w:r>
        <w:rPr>
          <w:spacing w:val="-2"/>
        </w:rPr>
        <w:t xml:space="preserve"> </w:t>
      </w:r>
      <w:r>
        <w:t>de</w:t>
      </w:r>
      <w:r>
        <w:rPr>
          <w:spacing w:val="-3"/>
        </w:rPr>
        <w:t xml:space="preserve"> </w:t>
      </w:r>
      <w:r>
        <w:t>sectores</w:t>
      </w:r>
      <w:r>
        <w:rPr>
          <w:spacing w:val="-3"/>
        </w:rPr>
        <w:t xml:space="preserve"> </w:t>
      </w:r>
      <w:r>
        <w:t>de</w:t>
      </w:r>
      <w:r>
        <w:rPr>
          <w:spacing w:val="-3"/>
        </w:rPr>
        <w:t xml:space="preserve"> </w:t>
      </w:r>
      <w:r>
        <w:t>las</w:t>
      </w:r>
      <w:r>
        <w:rPr>
          <w:spacing w:val="-3"/>
        </w:rPr>
        <w:t xml:space="preserve"> </w:t>
      </w:r>
      <w:r>
        <w:t>élites,</w:t>
      </w:r>
      <w:r>
        <w:rPr>
          <w:spacing w:val="-4"/>
        </w:rPr>
        <w:t xml:space="preserve"> </w:t>
      </w:r>
      <w:r>
        <w:t>el</w:t>
      </w:r>
      <w:r>
        <w:rPr>
          <w:spacing w:val="-2"/>
        </w:rPr>
        <w:t xml:space="preserve"> </w:t>
      </w:r>
      <w:r>
        <w:t>Estado</w:t>
      </w:r>
      <w:r>
        <w:rPr>
          <w:spacing w:val="-3"/>
        </w:rPr>
        <w:t xml:space="preserve"> </w:t>
      </w:r>
      <w:r>
        <w:t>o el pueblo ha significado la repetición del conflicto. Eso ocurrió en los años noventa y, una vez</w:t>
      </w:r>
      <w:r>
        <w:rPr>
          <w:spacing w:val="-12"/>
        </w:rPr>
        <w:t xml:space="preserve"> </w:t>
      </w:r>
      <w:r>
        <w:t>más,</w:t>
      </w:r>
      <w:r>
        <w:rPr>
          <w:spacing w:val="-12"/>
        </w:rPr>
        <w:t xml:space="preserve"> </w:t>
      </w:r>
      <w:r>
        <w:t>después</w:t>
      </w:r>
      <w:r>
        <w:rPr>
          <w:spacing w:val="-12"/>
        </w:rPr>
        <w:t xml:space="preserve"> </w:t>
      </w:r>
      <w:r>
        <w:t>de</w:t>
      </w:r>
      <w:r>
        <w:rPr>
          <w:spacing w:val="-12"/>
        </w:rPr>
        <w:t xml:space="preserve"> </w:t>
      </w:r>
      <w:r>
        <w:t>2016.</w:t>
      </w:r>
      <w:r>
        <w:rPr>
          <w:spacing w:val="-12"/>
        </w:rPr>
        <w:t xml:space="preserve"> </w:t>
      </w:r>
      <w:r>
        <w:t>El</w:t>
      </w:r>
      <w:r>
        <w:rPr>
          <w:spacing w:val="-12"/>
        </w:rPr>
        <w:t xml:space="preserve"> </w:t>
      </w:r>
      <w:r>
        <w:t>conflicto</w:t>
      </w:r>
      <w:r>
        <w:rPr>
          <w:spacing w:val="-12"/>
        </w:rPr>
        <w:t xml:space="preserve"> </w:t>
      </w:r>
      <w:r>
        <w:t>se</w:t>
      </w:r>
      <w:r>
        <w:rPr>
          <w:spacing w:val="-12"/>
        </w:rPr>
        <w:t xml:space="preserve"> </w:t>
      </w:r>
      <w:r>
        <w:t>perpetúa</w:t>
      </w:r>
      <w:r>
        <w:rPr>
          <w:spacing w:val="-12"/>
        </w:rPr>
        <w:t xml:space="preserve"> </w:t>
      </w:r>
      <w:r>
        <w:t>porque</w:t>
      </w:r>
      <w:r>
        <w:rPr>
          <w:spacing w:val="-12"/>
        </w:rPr>
        <w:t xml:space="preserve"> </w:t>
      </w:r>
      <w:r>
        <w:t>la</w:t>
      </w:r>
      <w:r>
        <w:rPr>
          <w:spacing w:val="-12"/>
        </w:rPr>
        <w:t xml:space="preserve"> </w:t>
      </w:r>
      <w:r>
        <w:t>paz</w:t>
      </w:r>
      <w:r>
        <w:rPr>
          <w:spacing w:val="-12"/>
        </w:rPr>
        <w:t xml:space="preserve"> </w:t>
      </w:r>
      <w:r>
        <w:t>no</w:t>
      </w:r>
      <w:r>
        <w:rPr>
          <w:spacing w:val="-12"/>
        </w:rPr>
        <w:t xml:space="preserve"> </w:t>
      </w:r>
      <w:r>
        <w:t>es</w:t>
      </w:r>
      <w:r>
        <w:rPr>
          <w:spacing w:val="-12"/>
        </w:rPr>
        <w:t xml:space="preserve"> </w:t>
      </w:r>
      <w:r>
        <w:t>un</w:t>
      </w:r>
      <w:r>
        <w:rPr>
          <w:spacing w:val="-12"/>
        </w:rPr>
        <w:t xml:space="preserve"> </w:t>
      </w:r>
      <w:r>
        <w:t>propósito</w:t>
      </w:r>
      <w:r>
        <w:rPr>
          <w:spacing w:val="-12"/>
        </w:rPr>
        <w:t xml:space="preserve"> </w:t>
      </w:r>
      <w:r>
        <w:t>nacional. La</w:t>
      </w:r>
      <w:r>
        <w:rPr>
          <w:spacing w:val="-13"/>
        </w:rPr>
        <w:t xml:space="preserve"> </w:t>
      </w:r>
      <w:r>
        <w:t>nación</w:t>
      </w:r>
      <w:r>
        <w:rPr>
          <w:spacing w:val="-14"/>
        </w:rPr>
        <w:t xml:space="preserve"> </w:t>
      </w:r>
      <w:r>
        <w:t>necesita</w:t>
      </w:r>
      <w:r>
        <w:rPr>
          <w:spacing w:val="-13"/>
        </w:rPr>
        <w:t xml:space="preserve"> </w:t>
      </w:r>
      <w:r>
        <w:t>enfilar</w:t>
      </w:r>
      <w:r>
        <w:rPr>
          <w:spacing w:val="-14"/>
        </w:rPr>
        <w:t xml:space="preserve"> </w:t>
      </w:r>
      <w:r>
        <w:t>sus</w:t>
      </w:r>
      <w:r>
        <w:rPr>
          <w:spacing w:val="-13"/>
        </w:rPr>
        <w:t xml:space="preserve"> </w:t>
      </w:r>
      <w:r>
        <w:t>esfuerzos</w:t>
      </w:r>
      <w:r>
        <w:rPr>
          <w:spacing w:val="-13"/>
        </w:rPr>
        <w:t xml:space="preserve"> </w:t>
      </w:r>
      <w:r>
        <w:t>en</w:t>
      </w:r>
      <w:r>
        <w:rPr>
          <w:spacing w:val="-13"/>
        </w:rPr>
        <w:t xml:space="preserve"> </w:t>
      </w:r>
      <w:r>
        <w:t>cerrar</w:t>
      </w:r>
      <w:r>
        <w:rPr>
          <w:spacing w:val="-13"/>
        </w:rPr>
        <w:t xml:space="preserve"> </w:t>
      </w:r>
      <w:r>
        <w:t>para</w:t>
      </w:r>
      <w:r>
        <w:rPr>
          <w:spacing w:val="-13"/>
        </w:rPr>
        <w:t xml:space="preserve"> </w:t>
      </w:r>
      <w:r>
        <w:t>siempre</w:t>
      </w:r>
      <w:r>
        <w:rPr>
          <w:spacing w:val="-14"/>
        </w:rPr>
        <w:t xml:space="preserve"> </w:t>
      </w:r>
      <w:r>
        <w:t>el</w:t>
      </w:r>
      <w:r>
        <w:rPr>
          <w:spacing w:val="-13"/>
        </w:rPr>
        <w:t xml:space="preserve"> </w:t>
      </w:r>
      <w:r>
        <w:t>capítulo</w:t>
      </w:r>
      <w:r>
        <w:rPr>
          <w:spacing w:val="-13"/>
        </w:rPr>
        <w:t xml:space="preserve"> </w:t>
      </w:r>
      <w:r>
        <w:t>de</w:t>
      </w:r>
      <w:r>
        <w:rPr>
          <w:spacing w:val="-13"/>
        </w:rPr>
        <w:t xml:space="preserve"> </w:t>
      </w:r>
      <w:r>
        <w:t>la</w:t>
      </w:r>
      <w:r>
        <w:rPr>
          <w:spacing w:val="-14"/>
        </w:rPr>
        <w:t xml:space="preserve"> </w:t>
      </w:r>
      <w:r>
        <w:t>guerra</w:t>
      </w:r>
      <w:r>
        <w:rPr>
          <w:spacing w:val="-13"/>
        </w:rPr>
        <w:t xml:space="preserve"> </w:t>
      </w:r>
      <w:r>
        <w:t>porque el</w:t>
      </w:r>
      <w:r>
        <w:rPr>
          <w:spacing w:val="-15"/>
        </w:rPr>
        <w:t xml:space="preserve"> </w:t>
      </w:r>
      <w:r>
        <w:t>pueblo</w:t>
      </w:r>
      <w:r>
        <w:rPr>
          <w:spacing w:val="-15"/>
        </w:rPr>
        <w:t xml:space="preserve"> </w:t>
      </w:r>
      <w:r>
        <w:t>colombiano</w:t>
      </w:r>
      <w:r>
        <w:rPr>
          <w:spacing w:val="-15"/>
        </w:rPr>
        <w:t xml:space="preserve"> </w:t>
      </w:r>
      <w:r>
        <w:t>ya</w:t>
      </w:r>
      <w:r>
        <w:rPr>
          <w:spacing w:val="-15"/>
        </w:rPr>
        <w:t xml:space="preserve"> </w:t>
      </w:r>
      <w:r>
        <w:t>no</w:t>
      </w:r>
      <w:r>
        <w:rPr>
          <w:spacing w:val="-15"/>
        </w:rPr>
        <w:t xml:space="preserve"> </w:t>
      </w:r>
      <w:r>
        <w:t>la</w:t>
      </w:r>
      <w:r>
        <w:rPr>
          <w:spacing w:val="-15"/>
        </w:rPr>
        <w:t xml:space="preserve"> </w:t>
      </w:r>
      <w:r>
        <w:t>quiere</w:t>
      </w:r>
      <w:r>
        <w:rPr>
          <w:spacing w:val="-15"/>
        </w:rPr>
        <w:t xml:space="preserve"> </w:t>
      </w:r>
      <w:r>
        <w:t>ni</w:t>
      </w:r>
      <w:r>
        <w:rPr>
          <w:spacing w:val="-15"/>
        </w:rPr>
        <w:t xml:space="preserve"> </w:t>
      </w:r>
      <w:r>
        <w:t>justifica.</w:t>
      </w:r>
      <w:r>
        <w:rPr>
          <w:spacing w:val="-15"/>
        </w:rPr>
        <w:t xml:space="preserve"> </w:t>
      </w:r>
      <w:r>
        <w:t>La</w:t>
      </w:r>
      <w:r>
        <w:rPr>
          <w:spacing w:val="-15"/>
        </w:rPr>
        <w:t xml:space="preserve"> </w:t>
      </w:r>
      <w:r>
        <w:t>guerra</w:t>
      </w:r>
      <w:r>
        <w:rPr>
          <w:spacing w:val="-15"/>
        </w:rPr>
        <w:t xml:space="preserve"> </w:t>
      </w:r>
      <w:r>
        <w:t>ya</w:t>
      </w:r>
      <w:r>
        <w:rPr>
          <w:spacing w:val="-15"/>
        </w:rPr>
        <w:t xml:space="preserve"> </w:t>
      </w:r>
      <w:r>
        <w:t>no</w:t>
      </w:r>
      <w:r>
        <w:rPr>
          <w:spacing w:val="-15"/>
        </w:rPr>
        <w:t xml:space="preserve"> </w:t>
      </w:r>
      <w:r>
        <w:t>necesita</w:t>
      </w:r>
      <w:r>
        <w:rPr>
          <w:spacing w:val="-15"/>
        </w:rPr>
        <w:t xml:space="preserve"> </w:t>
      </w:r>
      <w:r>
        <w:t>doctrinas,</w:t>
      </w:r>
      <w:r>
        <w:rPr>
          <w:spacing w:val="-15"/>
        </w:rPr>
        <w:t xml:space="preserve"> </w:t>
      </w:r>
      <w:r>
        <w:t>ejércitos, programas o rebeldes. La guerra no es el camino.</w:t>
      </w:r>
    </w:p>
    <w:p w:rsidR="0011361F" w:rsidRDefault="00AF18A5" w:rsidP="004A6EF4">
      <w:pPr>
        <w:pStyle w:val="Ttulo3"/>
        <w:numPr>
          <w:ilvl w:val="2"/>
          <w:numId w:val="16"/>
        </w:numPr>
      </w:pPr>
      <w:bookmarkStart w:id="177" w:name="2.6.3._La_paz_imperfecta"/>
      <w:bookmarkStart w:id="178" w:name="_Toc112399557"/>
      <w:bookmarkEnd w:id="177"/>
      <w:r w:rsidRPr="00A1798E">
        <w:t>La</w:t>
      </w:r>
      <w:r>
        <w:rPr>
          <w:spacing w:val="-1"/>
        </w:rPr>
        <w:t xml:space="preserve"> </w:t>
      </w:r>
      <w:r>
        <w:t>paz imperfecta</w:t>
      </w:r>
      <w:bookmarkEnd w:id="178"/>
    </w:p>
    <w:p w:rsidR="003804AC" w:rsidRDefault="00AF18A5" w:rsidP="007A62CA">
      <w:r>
        <w:t xml:space="preserve">No basta con el silencio de los fusiles. En Colombia se han producido varios procesos de desarmes de guerrillas y paramilitares sin que ello haya significado el fin de la guerra y las </w:t>
      </w:r>
      <w:r>
        <w:rPr>
          <w:spacing w:val="-2"/>
        </w:rPr>
        <w:t>violencias.</w:t>
      </w:r>
      <w:r>
        <w:rPr>
          <w:spacing w:val="-6"/>
        </w:rPr>
        <w:t xml:space="preserve"> </w:t>
      </w:r>
      <w:r>
        <w:rPr>
          <w:spacing w:val="-2"/>
        </w:rPr>
        <w:t>Para</w:t>
      </w:r>
      <w:r>
        <w:rPr>
          <w:spacing w:val="-5"/>
        </w:rPr>
        <w:t xml:space="preserve"> </w:t>
      </w:r>
      <w:r>
        <w:rPr>
          <w:spacing w:val="-2"/>
        </w:rPr>
        <w:t>dar</w:t>
      </w:r>
      <w:r>
        <w:rPr>
          <w:spacing w:val="-4"/>
        </w:rPr>
        <w:t xml:space="preserve"> </w:t>
      </w:r>
      <w:r>
        <w:rPr>
          <w:spacing w:val="-2"/>
        </w:rPr>
        <w:t>paso</w:t>
      </w:r>
      <w:r>
        <w:rPr>
          <w:spacing w:val="-6"/>
        </w:rPr>
        <w:t xml:space="preserve"> </w:t>
      </w:r>
      <w:r>
        <w:rPr>
          <w:spacing w:val="-2"/>
        </w:rPr>
        <w:t>al</w:t>
      </w:r>
      <w:r>
        <w:rPr>
          <w:spacing w:val="-4"/>
        </w:rPr>
        <w:t xml:space="preserve"> </w:t>
      </w:r>
      <w:r>
        <w:rPr>
          <w:spacing w:val="-2"/>
        </w:rPr>
        <w:t>Frente</w:t>
      </w:r>
      <w:r>
        <w:rPr>
          <w:spacing w:val="-5"/>
        </w:rPr>
        <w:t xml:space="preserve"> </w:t>
      </w:r>
      <w:r>
        <w:rPr>
          <w:spacing w:val="-2"/>
        </w:rPr>
        <w:t>Nacional,</w:t>
      </w:r>
      <w:r>
        <w:rPr>
          <w:spacing w:val="-6"/>
        </w:rPr>
        <w:t xml:space="preserve"> </w:t>
      </w:r>
      <w:r>
        <w:rPr>
          <w:spacing w:val="-2"/>
        </w:rPr>
        <w:t>las</w:t>
      </w:r>
      <w:r>
        <w:rPr>
          <w:spacing w:val="-5"/>
        </w:rPr>
        <w:t xml:space="preserve"> </w:t>
      </w:r>
      <w:r>
        <w:rPr>
          <w:spacing w:val="-2"/>
        </w:rPr>
        <w:t>guerrillas</w:t>
      </w:r>
      <w:r>
        <w:rPr>
          <w:spacing w:val="-6"/>
        </w:rPr>
        <w:t xml:space="preserve"> </w:t>
      </w:r>
      <w:r>
        <w:rPr>
          <w:spacing w:val="-2"/>
        </w:rPr>
        <w:t>liberales</w:t>
      </w:r>
      <w:r>
        <w:rPr>
          <w:spacing w:val="-6"/>
        </w:rPr>
        <w:t xml:space="preserve"> </w:t>
      </w:r>
      <w:r>
        <w:rPr>
          <w:spacing w:val="-2"/>
        </w:rPr>
        <w:t>y</w:t>
      </w:r>
      <w:r>
        <w:rPr>
          <w:spacing w:val="-5"/>
        </w:rPr>
        <w:t xml:space="preserve"> </w:t>
      </w:r>
      <w:r>
        <w:rPr>
          <w:spacing w:val="-2"/>
        </w:rPr>
        <w:t>comunistas</w:t>
      </w:r>
      <w:r>
        <w:rPr>
          <w:spacing w:val="-6"/>
        </w:rPr>
        <w:t xml:space="preserve"> </w:t>
      </w:r>
      <w:r>
        <w:rPr>
          <w:spacing w:val="-2"/>
        </w:rPr>
        <w:t>se</w:t>
      </w:r>
      <w:r>
        <w:rPr>
          <w:spacing w:val="-6"/>
        </w:rPr>
        <w:t xml:space="preserve"> </w:t>
      </w:r>
      <w:r>
        <w:rPr>
          <w:spacing w:val="-2"/>
        </w:rPr>
        <w:t xml:space="preserve">acogieron </w:t>
      </w:r>
      <w:r>
        <w:t>a la amnistía, pero pronto se rearmaron ante el poco éxito de las reformas –sobre todo la agraria–, la rehabilitación y la falta de un programa sostenido de reconciliación nacional después de la guerra civil. Luego, el segundo gobierno del Frente Nacional atacó militarmente</w:t>
      </w:r>
      <w:r>
        <w:rPr>
          <w:spacing w:val="-3"/>
        </w:rPr>
        <w:t xml:space="preserve"> </w:t>
      </w:r>
      <w:r>
        <w:t>el</w:t>
      </w:r>
      <w:r>
        <w:rPr>
          <w:spacing w:val="-2"/>
        </w:rPr>
        <w:t xml:space="preserve"> </w:t>
      </w:r>
      <w:r>
        <w:t>problema,</w:t>
      </w:r>
      <w:r>
        <w:rPr>
          <w:spacing w:val="-2"/>
        </w:rPr>
        <w:t xml:space="preserve"> </w:t>
      </w:r>
      <w:r>
        <w:t>destruyendo</w:t>
      </w:r>
      <w:r>
        <w:rPr>
          <w:spacing w:val="-2"/>
        </w:rPr>
        <w:t xml:space="preserve"> </w:t>
      </w:r>
      <w:r>
        <w:t>cualquier</w:t>
      </w:r>
      <w:r>
        <w:rPr>
          <w:spacing w:val="-3"/>
        </w:rPr>
        <w:t xml:space="preserve"> </w:t>
      </w:r>
      <w:r>
        <w:t>espacio</w:t>
      </w:r>
      <w:r>
        <w:rPr>
          <w:spacing w:val="-2"/>
        </w:rPr>
        <w:t xml:space="preserve"> </w:t>
      </w:r>
      <w:r>
        <w:t>para</w:t>
      </w:r>
      <w:r>
        <w:rPr>
          <w:spacing w:val="-3"/>
        </w:rPr>
        <w:t xml:space="preserve"> </w:t>
      </w:r>
      <w:r>
        <w:t>la</w:t>
      </w:r>
      <w:r>
        <w:rPr>
          <w:spacing w:val="-2"/>
        </w:rPr>
        <w:t xml:space="preserve"> </w:t>
      </w:r>
      <w:r>
        <w:t>paz,</w:t>
      </w:r>
      <w:r>
        <w:rPr>
          <w:spacing w:val="-3"/>
        </w:rPr>
        <w:t xml:space="preserve"> </w:t>
      </w:r>
      <w:r>
        <w:t>y</w:t>
      </w:r>
      <w:r>
        <w:rPr>
          <w:spacing w:val="-2"/>
        </w:rPr>
        <w:t xml:space="preserve"> </w:t>
      </w:r>
      <w:r>
        <w:t>armó</w:t>
      </w:r>
      <w:r>
        <w:rPr>
          <w:spacing w:val="-2"/>
        </w:rPr>
        <w:t xml:space="preserve"> </w:t>
      </w:r>
      <w:r>
        <w:t>a</w:t>
      </w:r>
      <w:r>
        <w:rPr>
          <w:spacing w:val="-2"/>
        </w:rPr>
        <w:t xml:space="preserve"> </w:t>
      </w:r>
      <w:r>
        <w:t>los</w:t>
      </w:r>
      <w:r>
        <w:rPr>
          <w:spacing w:val="-2"/>
        </w:rPr>
        <w:t xml:space="preserve"> </w:t>
      </w:r>
      <w:r>
        <w:t>civiles</w:t>
      </w:r>
      <w:r>
        <w:rPr>
          <w:spacing w:val="-3"/>
        </w:rPr>
        <w:t xml:space="preserve"> </w:t>
      </w:r>
      <w:r>
        <w:t>en autodefensas anticomunistas.</w:t>
      </w:r>
    </w:p>
    <w:p w:rsidR="003804AC" w:rsidRDefault="00AF18A5" w:rsidP="007A62CA">
      <w:r>
        <w:lastRenderedPageBreak/>
        <w:t>En los años ochenta, gran parte de la oposición de sectores en el poder a los intentos de paz</w:t>
      </w:r>
      <w:r>
        <w:rPr>
          <w:spacing w:val="-6"/>
        </w:rPr>
        <w:t xml:space="preserve"> </w:t>
      </w:r>
      <w:r>
        <w:t>nació</w:t>
      </w:r>
      <w:r>
        <w:rPr>
          <w:spacing w:val="-6"/>
        </w:rPr>
        <w:t xml:space="preserve"> </w:t>
      </w:r>
      <w:r>
        <w:t>del</w:t>
      </w:r>
      <w:r>
        <w:rPr>
          <w:spacing w:val="-6"/>
        </w:rPr>
        <w:t xml:space="preserve"> </w:t>
      </w:r>
      <w:r>
        <w:t>recelo</w:t>
      </w:r>
      <w:r>
        <w:rPr>
          <w:spacing w:val="-7"/>
        </w:rPr>
        <w:t xml:space="preserve"> </w:t>
      </w:r>
      <w:r>
        <w:t>a</w:t>
      </w:r>
      <w:r>
        <w:rPr>
          <w:spacing w:val="-6"/>
        </w:rPr>
        <w:t xml:space="preserve"> </w:t>
      </w:r>
      <w:r>
        <w:t>aceptar</w:t>
      </w:r>
      <w:r>
        <w:rPr>
          <w:spacing w:val="-7"/>
        </w:rPr>
        <w:t xml:space="preserve"> </w:t>
      </w:r>
      <w:r>
        <w:t>que</w:t>
      </w:r>
      <w:r>
        <w:rPr>
          <w:spacing w:val="-7"/>
        </w:rPr>
        <w:t xml:space="preserve"> </w:t>
      </w:r>
      <w:r>
        <w:t>la</w:t>
      </w:r>
      <w:r>
        <w:rPr>
          <w:spacing w:val="-7"/>
        </w:rPr>
        <w:t xml:space="preserve"> </w:t>
      </w:r>
      <w:r>
        <w:t>paz</w:t>
      </w:r>
      <w:r>
        <w:rPr>
          <w:spacing w:val="-6"/>
        </w:rPr>
        <w:t xml:space="preserve"> </w:t>
      </w:r>
      <w:r>
        <w:t>requiere</w:t>
      </w:r>
      <w:r>
        <w:rPr>
          <w:spacing w:val="-7"/>
        </w:rPr>
        <w:t xml:space="preserve"> </w:t>
      </w:r>
      <w:r>
        <w:t>reformas</w:t>
      </w:r>
      <w:r>
        <w:rPr>
          <w:spacing w:val="-6"/>
        </w:rPr>
        <w:t xml:space="preserve"> </w:t>
      </w:r>
      <w:r>
        <w:t>para</w:t>
      </w:r>
      <w:r>
        <w:rPr>
          <w:spacing w:val="-6"/>
        </w:rPr>
        <w:t xml:space="preserve"> </w:t>
      </w:r>
      <w:r>
        <w:t>cambiar</w:t>
      </w:r>
      <w:r>
        <w:rPr>
          <w:spacing w:val="-6"/>
        </w:rPr>
        <w:t xml:space="preserve"> </w:t>
      </w:r>
      <w:r>
        <w:t>no</w:t>
      </w:r>
      <w:r>
        <w:rPr>
          <w:spacing w:val="-6"/>
        </w:rPr>
        <w:t xml:space="preserve"> </w:t>
      </w:r>
      <w:r>
        <w:t>solo</w:t>
      </w:r>
      <w:r>
        <w:rPr>
          <w:spacing w:val="-7"/>
        </w:rPr>
        <w:t xml:space="preserve"> </w:t>
      </w:r>
      <w:r>
        <w:t>la</w:t>
      </w:r>
      <w:r>
        <w:rPr>
          <w:spacing w:val="-7"/>
        </w:rPr>
        <w:t xml:space="preserve"> </w:t>
      </w:r>
      <w:r>
        <w:t>exclusión social y política, sino también la inequidad y la injusticia social. Si bien se logró un avance fundamental con la Constitución de 1991 en ese sentido, diversas decisiones y contextos hicieron que los territorios quedaran a merced de los intereses de grupos de poder legales e ilegales,</w:t>
      </w:r>
      <w:r>
        <w:rPr>
          <w:spacing w:val="-15"/>
        </w:rPr>
        <w:t xml:space="preserve"> </w:t>
      </w:r>
      <w:r>
        <w:t>y</w:t>
      </w:r>
      <w:r>
        <w:rPr>
          <w:spacing w:val="-15"/>
        </w:rPr>
        <w:t xml:space="preserve"> </w:t>
      </w:r>
      <w:r>
        <w:t>que</w:t>
      </w:r>
      <w:r>
        <w:rPr>
          <w:spacing w:val="-15"/>
        </w:rPr>
        <w:t xml:space="preserve"> </w:t>
      </w:r>
      <w:r>
        <w:t>se</w:t>
      </w:r>
      <w:r>
        <w:rPr>
          <w:spacing w:val="-15"/>
        </w:rPr>
        <w:t xml:space="preserve"> </w:t>
      </w:r>
      <w:r>
        <w:t>constriñera</w:t>
      </w:r>
      <w:r>
        <w:rPr>
          <w:spacing w:val="-15"/>
        </w:rPr>
        <w:t xml:space="preserve"> </w:t>
      </w:r>
      <w:r>
        <w:t>la</w:t>
      </w:r>
      <w:r>
        <w:rPr>
          <w:spacing w:val="-15"/>
        </w:rPr>
        <w:t xml:space="preserve"> </w:t>
      </w:r>
      <w:r>
        <w:t>democracia</w:t>
      </w:r>
      <w:r>
        <w:rPr>
          <w:spacing w:val="-15"/>
        </w:rPr>
        <w:t xml:space="preserve"> </w:t>
      </w:r>
      <w:r>
        <w:t>y</w:t>
      </w:r>
      <w:r>
        <w:rPr>
          <w:spacing w:val="-15"/>
        </w:rPr>
        <w:t xml:space="preserve"> </w:t>
      </w:r>
      <w:r>
        <w:t>los</w:t>
      </w:r>
      <w:r>
        <w:rPr>
          <w:spacing w:val="-15"/>
        </w:rPr>
        <w:t xml:space="preserve"> </w:t>
      </w:r>
      <w:r>
        <w:t>derechos</w:t>
      </w:r>
      <w:r>
        <w:rPr>
          <w:spacing w:val="-15"/>
        </w:rPr>
        <w:t xml:space="preserve"> </w:t>
      </w:r>
      <w:r>
        <w:t>al</w:t>
      </w:r>
      <w:r>
        <w:rPr>
          <w:spacing w:val="-15"/>
        </w:rPr>
        <w:t xml:space="preserve"> </w:t>
      </w:r>
      <w:r>
        <w:t>extremo.</w:t>
      </w:r>
      <w:r>
        <w:rPr>
          <w:spacing w:val="-15"/>
        </w:rPr>
        <w:t xml:space="preserve"> </w:t>
      </w:r>
      <w:r>
        <w:t>Lo</w:t>
      </w:r>
      <w:r>
        <w:rPr>
          <w:spacing w:val="-15"/>
        </w:rPr>
        <w:t xml:space="preserve"> </w:t>
      </w:r>
      <w:r>
        <w:t>opuesto</w:t>
      </w:r>
      <w:r>
        <w:rPr>
          <w:spacing w:val="-15"/>
        </w:rPr>
        <w:t xml:space="preserve"> </w:t>
      </w:r>
      <w:r>
        <w:t>debía</w:t>
      </w:r>
      <w:r>
        <w:rPr>
          <w:spacing w:val="-15"/>
        </w:rPr>
        <w:t xml:space="preserve"> </w:t>
      </w:r>
      <w:r>
        <w:t>haber sucedido:</w:t>
      </w:r>
      <w:r>
        <w:rPr>
          <w:spacing w:val="21"/>
        </w:rPr>
        <w:t xml:space="preserve"> </w:t>
      </w:r>
      <w:r>
        <w:t>la</w:t>
      </w:r>
      <w:r>
        <w:rPr>
          <w:spacing w:val="23"/>
        </w:rPr>
        <w:t xml:space="preserve"> </w:t>
      </w:r>
      <w:r>
        <w:t>presencia</w:t>
      </w:r>
      <w:r>
        <w:rPr>
          <w:spacing w:val="23"/>
        </w:rPr>
        <w:t xml:space="preserve"> </w:t>
      </w:r>
      <w:r>
        <w:t>del</w:t>
      </w:r>
      <w:r>
        <w:rPr>
          <w:spacing w:val="24"/>
        </w:rPr>
        <w:t xml:space="preserve"> </w:t>
      </w:r>
      <w:r>
        <w:t>Estado</w:t>
      </w:r>
      <w:r>
        <w:rPr>
          <w:spacing w:val="24"/>
        </w:rPr>
        <w:t xml:space="preserve"> </w:t>
      </w:r>
      <w:r>
        <w:t>de</w:t>
      </w:r>
      <w:r>
        <w:rPr>
          <w:spacing w:val="23"/>
        </w:rPr>
        <w:t xml:space="preserve"> </w:t>
      </w:r>
      <w:r>
        <w:t>derecho</w:t>
      </w:r>
      <w:r>
        <w:rPr>
          <w:spacing w:val="24"/>
        </w:rPr>
        <w:t xml:space="preserve"> </w:t>
      </w:r>
      <w:r>
        <w:t>se</w:t>
      </w:r>
      <w:r>
        <w:rPr>
          <w:spacing w:val="22"/>
        </w:rPr>
        <w:t xml:space="preserve"> </w:t>
      </w:r>
      <w:r>
        <w:t>debía</w:t>
      </w:r>
      <w:r>
        <w:rPr>
          <w:spacing w:val="24"/>
        </w:rPr>
        <w:t xml:space="preserve"> </w:t>
      </w:r>
      <w:r>
        <w:t>haber</w:t>
      </w:r>
      <w:r>
        <w:rPr>
          <w:spacing w:val="22"/>
        </w:rPr>
        <w:t xml:space="preserve"> </w:t>
      </w:r>
      <w:r>
        <w:t>fortalecido</w:t>
      </w:r>
      <w:r>
        <w:rPr>
          <w:spacing w:val="23"/>
        </w:rPr>
        <w:t xml:space="preserve"> </w:t>
      </w:r>
      <w:r>
        <w:t>en</w:t>
      </w:r>
      <w:r>
        <w:rPr>
          <w:spacing w:val="24"/>
        </w:rPr>
        <w:t xml:space="preserve"> </w:t>
      </w:r>
      <w:r>
        <w:t>los</w:t>
      </w:r>
      <w:r>
        <w:rPr>
          <w:spacing w:val="23"/>
        </w:rPr>
        <w:t xml:space="preserve"> </w:t>
      </w:r>
      <w:r>
        <w:rPr>
          <w:spacing w:val="-2"/>
        </w:rPr>
        <w:t>territorios.</w:t>
      </w:r>
    </w:p>
    <w:p w:rsidR="003804AC" w:rsidRDefault="00AF18A5" w:rsidP="007A62CA">
      <w:r>
        <w:t>Esas decisiones y contextos lograron reversar lo poco que se había hecho en materia de reforma agraria y frenar el proceso de inclusión democrática en las regiones. Todo ello porque, de nuevo, se concibió la paz simplemente como el silencio de los fusiles, y porque se dejó a merced del mercado y de un Estado precario el desarrollo regional, el modelo de seguridad y la reconciliación.</w:t>
      </w:r>
    </w:p>
    <w:p w:rsidR="003804AC" w:rsidRDefault="00AF18A5" w:rsidP="007A62CA">
      <w:r>
        <w:t>En esta nueva oportunidad que tiene la paz, el reto de que no resurja la guerra es aún mayor. En los últimos veinte años, se ha vivido un proceso de desarme de las AUC y de las FARC-EP. Al mismo tiempo, ha habido un rápido reciclaje de los grupos armados emergentes y residuales, que se superpusieron en los territorios donde estas dos macroestructuras</w:t>
      </w:r>
      <w:r>
        <w:rPr>
          <w:spacing w:val="-6"/>
        </w:rPr>
        <w:t xml:space="preserve"> </w:t>
      </w:r>
      <w:r>
        <w:t>tuvieron</w:t>
      </w:r>
      <w:r>
        <w:rPr>
          <w:spacing w:val="-6"/>
        </w:rPr>
        <w:t xml:space="preserve"> </w:t>
      </w:r>
      <w:r>
        <w:t>dominio</w:t>
      </w:r>
      <w:r>
        <w:rPr>
          <w:spacing w:val="-6"/>
        </w:rPr>
        <w:t xml:space="preserve"> </w:t>
      </w:r>
      <w:r>
        <w:t>territorial,</w:t>
      </w:r>
      <w:r>
        <w:rPr>
          <w:spacing w:val="-6"/>
        </w:rPr>
        <w:t xml:space="preserve"> </w:t>
      </w:r>
      <w:r>
        <w:t>muy</w:t>
      </w:r>
      <w:r>
        <w:rPr>
          <w:spacing w:val="-6"/>
        </w:rPr>
        <w:t xml:space="preserve"> </w:t>
      </w:r>
      <w:r>
        <w:t>a</w:t>
      </w:r>
      <w:r>
        <w:rPr>
          <w:spacing w:val="-6"/>
        </w:rPr>
        <w:t xml:space="preserve"> </w:t>
      </w:r>
      <w:r>
        <w:t>pesar</w:t>
      </w:r>
      <w:r>
        <w:rPr>
          <w:spacing w:val="-6"/>
        </w:rPr>
        <w:t xml:space="preserve"> </w:t>
      </w:r>
      <w:r>
        <w:t>de</w:t>
      </w:r>
      <w:r>
        <w:rPr>
          <w:spacing w:val="-6"/>
        </w:rPr>
        <w:t xml:space="preserve"> </w:t>
      </w:r>
      <w:r>
        <w:t>que</w:t>
      </w:r>
      <w:r>
        <w:rPr>
          <w:spacing w:val="-6"/>
        </w:rPr>
        <w:t xml:space="preserve"> </w:t>
      </w:r>
      <w:r>
        <w:t>Colombia</w:t>
      </w:r>
      <w:r>
        <w:rPr>
          <w:spacing w:val="-6"/>
        </w:rPr>
        <w:t xml:space="preserve"> </w:t>
      </w:r>
      <w:r>
        <w:t>tiene</w:t>
      </w:r>
      <w:r>
        <w:rPr>
          <w:spacing w:val="-6"/>
        </w:rPr>
        <w:t xml:space="preserve"> </w:t>
      </w:r>
      <w:r>
        <w:t>uno</w:t>
      </w:r>
      <w:r>
        <w:rPr>
          <w:spacing w:val="-6"/>
        </w:rPr>
        <w:t xml:space="preserve"> </w:t>
      </w:r>
      <w:r>
        <w:t>de</w:t>
      </w:r>
      <w:r>
        <w:rPr>
          <w:spacing w:val="-6"/>
        </w:rPr>
        <w:t xml:space="preserve"> </w:t>
      </w:r>
      <w:r>
        <w:t>los aparatos</w:t>
      </w:r>
      <w:r>
        <w:rPr>
          <w:spacing w:val="-1"/>
        </w:rPr>
        <w:t xml:space="preserve"> </w:t>
      </w:r>
      <w:r>
        <w:t>militares</w:t>
      </w:r>
      <w:r>
        <w:rPr>
          <w:spacing w:val="-2"/>
        </w:rPr>
        <w:t xml:space="preserve"> </w:t>
      </w:r>
      <w:r>
        <w:t>más</w:t>
      </w:r>
      <w:r>
        <w:rPr>
          <w:spacing w:val="-1"/>
        </w:rPr>
        <w:t xml:space="preserve"> </w:t>
      </w:r>
      <w:r>
        <w:t>grandes</w:t>
      </w:r>
      <w:r>
        <w:rPr>
          <w:spacing w:val="-1"/>
        </w:rPr>
        <w:t xml:space="preserve"> </w:t>
      </w:r>
      <w:r>
        <w:t>del</w:t>
      </w:r>
      <w:r>
        <w:rPr>
          <w:spacing w:val="-1"/>
        </w:rPr>
        <w:t xml:space="preserve"> </w:t>
      </w:r>
      <w:r>
        <w:t>continente.</w:t>
      </w:r>
      <w:r>
        <w:rPr>
          <w:spacing w:val="-1"/>
        </w:rPr>
        <w:t xml:space="preserve"> </w:t>
      </w:r>
      <w:r>
        <w:t>La</w:t>
      </w:r>
      <w:r>
        <w:rPr>
          <w:spacing w:val="-1"/>
        </w:rPr>
        <w:t xml:space="preserve"> </w:t>
      </w:r>
      <w:r>
        <w:t>paz</w:t>
      </w:r>
      <w:r>
        <w:rPr>
          <w:spacing w:val="-2"/>
        </w:rPr>
        <w:t xml:space="preserve"> </w:t>
      </w:r>
      <w:r>
        <w:t>territorial</w:t>
      </w:r>
      <w:r>
        <w:rPr>
          <w:spacing w:val="-1"/>
        </w:rPr>
        <w:t xml:space="preserve"> </w:t>
      </w:r>
      <w:r>
        <w:t>es</w:t>
      </w:r>
      <w:r>
        <w:rPr>
          <w:spacing w:val="-1"/>
        </w:rPr>
        <w:t xml:space="preserve"> </w:t>
      </w:r>
      <w:r>
        <w:t>un</w:t>
      </w:r>
      <w:r>
        <w:rPr>
          <w:spacing w:val="-1"/>
        </w:rPr>
        <w:t xml:space="preserve"> </w:t>
      </w:r>
      <w:r>
        <w:t>proyecto</w:t>
      </w:r>
      <w:r>
        <w:rPr>
          <w:spacing w:val="-1"/>
        </w:rPr>
        <w:t xml:space="preserve"> </w:t>
      </w:r>
      <w:r>
        <w:t>que</w:t>
      </w:r>
      <w:r>
        <w:rPr>
          <w:spacing w:val="-2"/>
        </w:rPr>
        <w:t xml:space="preserve"> </w:t>
      </w:r>
      <w:r>
        <w:t>requiere del</w:t>
      </w:r>
      <w:r>
        <w:rPr>
          <w:spacing w:val="-15"/>
        </w:rPr>
        <w:t xml:space="preserve"> </w:t>
      </w:r>
      <w:r>
        <w:t>concurso</w:t>
      </w:r>
      <w:r>
        <w:rPr>
          <w:spacing w:val="-15"/>
        </w:rPr>
        <w:t xml:space="preserve"> </w:t>
      </w:r>
      <w:r>
        <w:t>nacional,</w:t>
      </w:r>
      <w:r>
        <w:rPr>
          <w:spacing w:val="-14"/>
        </w:rPr>
        <w:t xml:space="preserve"> </w:t>
      </w:r>
      <w:r>
        <w:t>de</w:t>
      </w:r>
      <w:r>
        <w:rPr>
          <w:spacing w:val="-15"/>
        </w:rPr>
        <w:t xml:space="preserve"> </w:t>
      </w:r>
      <w:r>
        <w:t>todos</w:t>
      </w:r>
      <w:r>
        <w:rPr>
          <w:spacing w:val="-14"/>
        </w:rPr>
        <w:t xml:space="preserve"> </w:t>
      </w:r>
      <w:r>
        <w:t>los</w:t>
      </w:r>
      <w:r>
        <w:rPr>
          <w:spacing w:val="-14"/>
        </w:rPr>
        <w:t xml:space="preserve"> </w:t>
      </w:r>
      <w:r>
        <w:t>poderes</w:t>
      </w:r>
      <w:r>
        <w:rPr>
          <w:spacing w:val="-14"/>
        </w:rPr>
        <w:t xml:space="preserve"> </w:t>
      </w:r>
      <w:r>
        <w:t>del</w:t>
      </w:r>
      <w:r>
        <w:rPr>
          <w:spacing w:val="-14"/>
        </w:rPr>
        <w:t xml:space="preserve"> </w:t>
      </w:r>
      <w:r>
        <w:t>Estado,</w:t>
      </w:r>
      <w:r>
        <w:rPr>
          <w:spacing w:val="-14"/>
        </w:rPr>
        <w:t xml:space="preserve"> </w:t>
      </w:r>
      <w:r>
        <w:t>de</w:t>
      </w:r>
      <w:r>
        <w:rPr>
          <w:spacing w:val="-14"/>
        </w:rPr>
        <w:t xml:space="preserve"> </w:t>
      </w:r>
      <w:r>
        <w:t>la</w:t>
      </w:r>
      <w:r>
        <w:rPr>
          <w:spacing w:val="-14"/>
        </w:rPr>
        <w:t xml:space="preserve"> </w:t>
      </w:r>
      <w:r>
        <w:t>sociedad</w:t>
      </w:r>
      <w:r>
        <w:rPr>
          <w:spacing w:val="-14"/>
        </w:rPr>
        <w:t xml:space="preserve"> </w:t>
      </w:r>
      <w:r>
        <w:t>civil</w:t>
      </w:r>
      <w:r>
        <w:rPr>
          <w:spacing w:val="-15"/>
        </w:rPr>
        <w:t xml:space="preserve"> </w:t>
      </w:r>
      <w:r>
        <w:t>y</w:t>
      </w:r>
      <w:r>
        <w:rPr>
          <w:spacing w:val="-14"/>
        </w:rPr>
        <w:t xml:space="preserve"> </w:t>
      </w:r>
      <w:r>
        <w:t>de</w:t>
      </w:r>
      <w:r>
        <w:rPr>
          <w:spacing w:val="-14"/>
        </w:rPr>
        <w:t xml:space="preserve"> </w:t>
      </w:r>
      <w:r>
        <w:t>la</w:t>
      </w:r>
      <w:r>
        <w:rPr>
          <w:spacing w:val="-14"/>
        </w:rPr>
        <w:t xml:space="preserve"> </w:t>
      </w:r>
      <w:r>
        <w:t xml:space="preserve">comunidad </w:t>
      </w:r>
      <w:r>
        <w:rPr>
          <w:spacing w:val="-2"/>
        </w:rPr>
        <w:t>internacional.</w:t>
      </w:r>
    </w:p>
    <w:p w:rsidR="003804AC" w:rsidRDefault="00AF18A5" w:rsidP="007A62CA">
      <w:r>
        <w:t>Lo</w:t>
      </w:r>
      <w:r>
        <w:rPr>
          <w:spacing w:val="-15"/>
        </w:rPr>
        <w:t xml:space="preserve"> </w:t>
      </w:r>
      <w:r>
        <w:t>que</w:t>
      </w:r>
      <w:r>
        <w:rPr>
          <w:spacing w:val="-15"/>
        </w:rPr>
        <w:t xml:space="preserve"> </w:t>
      </w:r>
      <w:r>
        <w:t>demuestra</w:t>
      </w:r>
      <w:r>
        <w:rPr>
          <w:spacing w:val="-15"/>
        </w:rPr>
        <w:t xml:space="preserve"> </w:t>
      </w:r>
      <w:r>
        <w:t>amargamente</w:t>
      </w:r>
      <w:r>
        <w:rPr>
          <w:spacing w:val="-15"/>
        </w:rPr>
        <w:t xml:space="preserve"> </w:t>
      </w:r>
      <w:r>
        <w:t>esta</w:t>
      </w:r>
      <w:r>
        <w:rPr>
          <w:spacing w:val="-15"/>
        </w:rPr>
        <w:t xml:space="preserve"> </w:t>
      </w:r>
      <w:r>
        <w:t>experiencia</w:t>
      </w:r>
      <w:r>
        <w:rPr>
          <w:spacing w:val="-15"/>
        </w:rPr>
        <w:t xml:space="preserve"> </w:t>
      </w:r>
      <w:r>
        <w:t>es</w:t>
      </w:r>
      <w:r>
        <w:rPr>
          <w:spacing w:val="-15"/>
        </w:rPr>
        <w:t xml:space="preserve"> </w:t>
      </w:r>
      <w:r>
        <w:t>que</w:t>
      </w:r>
      <w:r>
        <w:rPr>
          <w:spacing w:val="-15"/>
        </w:rPr>
        <w:t xml:space="preserve"> </w:t>
      </w:r>
      <w:r>
        <w:t>la</w:t>
      </w:r>
      <w:r>
        <w:rPr>
          <w:spacing w:val="-15"/>
        </w:rPr>
        <w:t xml:space="preserve"> </w:t>
      </w:r>
      <w:r>
        <w:t>paz</w:t>
      </w:r>
      <w:r>
        <w:rPr>
          <w:spacing w:val="-15"/>
        </w:rPr>
        <w:t xml:space="preserve"> </w:t>
      </w:r>
      <w:r>
        <w:t>no</w:t>
      </w:r>
      <w:r>
        <w:rPr>
          <w:spacing w:val="-15"/>
        </w:rPr>
        <w:t xml:space="preserve"> </w:t>
      </w:r>
      <w:r>
        <w:t>crece</w:t>
      </w:r>
      <w:r>
        <w:rPr>
          <w:spacing w:val="-15"/>
        </w:rPr>
        <w:t xml:space="preserve"> </w:t>
      </w:r>
      <w:r>
        <w:lastRenderedPageBreak/>
        <w:t>silvestre.</w:t>
      </w:r>
      <w:r>
        <w:rPr>
          <w:spacing w:val="-15"/>
        </w:rPr>
        <w:t xml:space="preserve"> </w:t>
      </w:r>
      <w:r>
        <w:t>Así</w:t>
      </w:r>
      <w:r>
        <w:rPr>
          <w:spacing w:val="-15"/>
        </w:rPr>
        <w:t xml:space="preserve"> </w:t>
      </w:r>
      <w:r>
        <w:t>como la guerra se mantuvo durante 60 años a partir de decisiones políticas de sus actores, la paz requiere</w:t>
      </w:r>
      <w:r>
        <w:rPr>
          <w:spacing w:val="-5"/>
        </w:rPr>
        <w:t xml:space="preserve"> </w:t>
      </w:r>
      <w:r>
        <w:t>decisión</w:t>
      </w:r>
      <w:r>
        <w:rPr>
          <w:spacing w:val="-5"/>
        </w:rPr>
        <w:t xml:space="preserve"> </w:t>
      </w:r>
      <w:r>
        <w:t>política</w:t>
      </w:r>
      <w:r>
        <w:rPr>
          <w:spacing w:val="-5"/>
        </w:rPr>
        <w:t xml:space="preserve"> </w:t>
      </w:r>
      <w:r>
        <w:t>y,</w:t>
      </w:r>
      <w:r>
        <w:rPr>
          <w:spacing w:val="-5"/>
        </w:rPr>
        <w:t xml:space="preserve"> </w:t>
      </w:r>
      <w:r>
        <w:t>como</w:t>
      </w:r>
      <w:r>
        <w:rPr>
          <w:spacing w:val="-5"/>
        </w:rPr>
        <w:t xml:space="preserve"> </w:t>
      </w:r>
      <w:r>
        <w:t>condición</w:t>
      </w:r>
      <w:r>
        <w:rPr>
          <w:spacing w:val="-5"/>
        </w:rPr>
        <w:t xml:space="preserve"> </w:t>
      </w:r>
      <w:r>
        <w:t>de</w:t>
      </w:r>
      <w:r>
        <w:rPr>
          <w:spacing w:val="-5"/>
        </w:rPr>
        <w:t xml:space="preserve"> </w:t>
      </w:r>
      <w:r>
        <w:t>la</w:t>
      </w:r>
      <w:r>
        <w:rPr>
          <w:spacing w:val="-5"/>
        </w:rPr>
        <w:t xml:space="preserve"> </w:t>
      </w:r>
      <w:r>
        <w:t>democracia,</w:t>
      </w:r>
      <w:r>
        <w:rPr>
          <w:spacing w:val="-5"/>
        </w:rPr>
        <w:t xml:space="preserve"> </w:t>
      </w:r>
      <w:r>
        <w:t>reglas</w:t>
      </w:r>
      <w:r>
        <w:rPr>
          <w:spacing w:val="-5"/>
        </w:rPr>
        <w:t xml:space="preserve"> </w:t>
      </w:r>
      <w:r>
        <w:t>de</w:t>
      </w:r>
      <w:r>
        <w:rPr>
          <w:spacing w:val="-5"/>
        </w:rPr>
        <w:t xml:space="preserve"> </w:t>
      </w:r>
      <w:r>
        <w:t>juego,</w:t>
      </w:r>
      <w:r>
        <w:rPr>
          <w:spacing w:val="-5"/>
        </w:rPr>
        <w:t xml:space="preserve"> </w:t>
      </w:r>
      <w:r>
        <w:t>instituciones y valores. La paz no requiere solo concitar la voluntad política de la nación –y, por tanto, buscar un</w:t>
      </w:r>
      <w:r>
        <w:rPr>
          <w:spacing w:val="-1"/>
        </w:rPr>
        <w:t xml:space="preserve"> </w:t>
      </w:r>
      <w:r>
        <w:t>nuevo gran</w:t>
      </w:r>
      <w:r>
        <w:rPr>
          <w:spacing w:val="-1"/>
        </w:rPr>
        <w:t xml:space="preserve"> </w:t>
      </w:r>
      <w:r>
        <w:t>acuerdo nacional– y una</w:t>
      </w:r>
      <w:r>
        <w:rPr>
          <w:spacing w:val="-1"/>
        </w:rPr>
        <w:t xml:space="preserve"> </w:t>
      </w:r>
      <w:r>
        <w:t>acción</w:t>
      </w:r>
      <w:r>
        <w:rPr>
          <w:spacing w:val="-1"/>
        </w:rPr>
        <w:t xml:space="preserve"> </w:t>
      </w:r>
      <w:r>
        <w:t>más</w:t>
      </w:r>
      <w:r>
        <w:rPr>
          <w:spacing w:val="-2"/>
        </w:rPr>
        <w:t xml:space="preserve"> </w:t>
      </w:r>
      <w:r>
        <w:t>democrática</w:t>
      </w:r>
      <w:r>
        <w:rPr>
          <w:spacing w:val="-1"/>
        </w:rPr>
        <w:t xml:space="preserve"> </w:t>
      </w:r>
      <w:r>
        <w:t>por parte</w:t>
      </w:r>
      <w:r>
        <w:rPr>
          <w:spacing w:val="-1"/>
        </w:rPr>
        <w:t xml:space="preserve"> </w:t>
      </w:r>
      <w:r>
        <w:t>del Estado y sus instituciones: es necesario sanar la profunda herida que lleva Colombia en su alma colectiva, fruto de las diferentes violencias que se superponen en su cuerpo.</w:t>
      </w:r>
    </w:p>
    <w:p w:rsidR="007A62CA" w:rsidRDefault="00AF18A5" w:rsidP="007A62CA">
      <w:r>
        <w:t>Como</w:t>
      </w:r>
      <w:r>
        <w:rPr>
          <w:spacing w:val="-2"/>
        </w:rPr>
        <w:t xml:space="preserve"> </w:t>
      </w:r>
      <w:r>
        <w:t>se</w:t>
      </w:r>
      <w:r>
        <w:rPr>
          <w:spacing w:val="-2"/>
        </w:rPr>
        <w:t xml:space="preserve"> </w:t>
      </w:r>
      <w:r>
        <w:t>ha</w:t>
      </w:r>
      <w:r>
        <w:rPr>
          <w:spacing w:val="-2"/>
        </w:rPr>
        <w:t xml:space="preserve"> </w:t>
      </w:r>
      <w:r>
        <w:t>visto</w:t>
      </w:r>
      <w:r>
        <w:rPr>
          <w:spacing w:val="-2"/>
        </w:rPr>
        <w:t xml:space="preserve"> </w:t>
      </w:r>
      <w:r>
        <w:t>en</w:t>
      </w:r>
      <w:r>
        <w:rPr>
          <w:spacing w:val="-2"/>
        </w:rPr>
        <w:t xml:space="preserve"> </w:t>
      </w:r>
      <w:r>
        <w:t>el</w:t>
      </w:r>
      <w:r>
        <w:rPr>
          <w:spacing w:val="-2"/>
        </w:rPr>
        <w:t xml:space="preserve"> </w:t>
      </w:r>
      <w:r>
        <w:t>pasado,</w:t>
      </w:r>
      <w:r>
        <w:rPr>
          <w:spacing w:val="-2"/>
        </w:rPr>
        <w:t xml:space="preserve"> </w:t>
      </w:r>
      <w:r>
        <w:t>la</w:t>
      </w:r>
      <w:r>
        <w:rPr>
          <w:spacing w:val="-2"/>
        </w:rPr>
        <w:t xml:space="preserve"> </w:t>
      </w:r>
      <w:r>
        <w:t>reconciliación</w:t>
      </w:r>
      <w:r>
        <w:rPr>
          <w:spacing w:val="-3"/>
        </w:rPr>
        <w:t xml:space="preserve"> </w:t>
      </w:r>
      <w:r>
        <w:t>no</w:t>
      </w:r>
      <w:r>
        <w:rPr>
          <w:spacing w:val="-2"/>
        </w:rPr>
        <w:t xml:space="preserve"> </w:t>
      </w:r>
      <w:r>
        <w:t>emerge</w:t>
      </w:r>
      <w:r>
        <w:rPr>
          <w:spacing w:val="-2"/>
        </w:rPr>
        <w:t xml:space="preserve"> </w:t>
      </w:r>
      <w:r>
        <w:t>exclusivamente</w:t>
      </w:r>
      <w:r>
        <w:rPr>
          <w:spacing w:val="-2"/>
        </w:rPr>
        <w:t xml:space="preserve"> </w:t>
      </w:r>
      <w:r>
        <w:t>de</w:t>
      </w:r>
      <w:r>
        <w:rPr>
          <w:spacing w:val="-2"/>
        </w:rPr>
        <w:t xml:space="preserve"> </w:t>
      </w:r>
      <w:r>
        <w:t>los</w:t>
      </w:r>
      <w:r>
        <w:rPr>
          <w:spacing w:val="-2"/>
        </w:rPr>
        <w:t xml:space="preserve"> </w:t>
      </w:r>
      <w:r>
        <w:t>pactos o</w:t>
      </w:r>
      <w:r>
        <w:rPr>
          <w:spacing w:val="-15"/>
        </w:rPr>
        <w:t xml:space="preserve"> </w:t>
      </w:r>
      <w:r>
        <w:t>los</w:t>
      </w:r>
      <w:r>
        <w:rPr>
          <w:spacing w:val="-15"/>
        </w:rPr>
        <w:t xml:space="preserve"> </w:t>
      </w:r>
      <w:r>
        <w:t>programas</w:t>
      </w:r>
      <w:r>
        <w:rPr>
          <w:spacing w:val="-14"/>
        </w:rPr>
        <w:t xml:space="preserve"> </w:t>
      </w:r>
      <w:r>
        <w:t>gubernamentales.</w:t>
      </w:r>
      <w:r>
        <w:rPr>
          <w:spacing w:val="-15"/>
        </w:rPr>
        <w:t xml:space="preserve"> </w:t>
      </w:r>
      <w:r>
        <w:t>Necesitamos</w:t>
      </w:r>
      <w:r>
        <w:rPr>
          <w:spacing w:val="-15"/>
        </w:rPr>
        <w:t xml:space="preserve"> </w:t>
      </w:r>
      <w:r>
        <w:t>la</w:t>
      </w:r>
      <w:r>
        <w:rPr>
          <w:spacing w:val="-14"/>
        </w:rPr>
        <w:t xml:space="preserve"> </w:t>
      </w:r>
      <w:r>
        <w:t>paz</w:t>
      </w:r>
      <w:r>
        <w:rPr>
          <w:spacing w:val="-15"/>
        </w:rPr>
        <w:t xml:space="preserve"> </w:t>
      </w:r>
      <w:r>
        <w:t>grande</w:t>
      </w:r>
      <w:r>
        <w:rPr>
          <w:spacing w:val="-15"/>
        </w:rPr>
        <w:t xml:space="preserve"> </w:t>
      </w:r>
      <w:r>
        <w:t>y</w:t>
      </w:r>
      <w:r>
        <w:rPr>
          <w:spacing w:val="-15"/>
        </w:rPr>
        <w:t xml:space="preserve"> </w:t>
      </w:r>
      <w:r>
        <w:t>la</w:t>
      </w:r>
      <w:r>
        <w:rPr>
          <w:spacing w:val="-14"/>
        </w:rPr>
        <w:t xml:space="preserve"> </w:t>
      </w:r>
      <w:r>
        <w:t>pequeña.</w:t>
      </w:r>
      <w:r>
        <w:rPr>
          <w:spacing w:val="-15"/>
        </w:rPr>
        <w:t xml:space="preserve"> </w:t>
      </w:r>
      <w:r>
        <w:t>Desarmar</w:t>
      </w:r>
      <w:r>
        <w:rPr>
          <w:spacing w:val="-15"/>
        </w:rPr>
        <w:t xml:space="preserve"> </w:t>
      </w:r>
      <w:r>
        <w:t>no</w:t>
      </w:r>
      <w:r>
        <w:rPr>
          <w:spacing w:val="-15"/>
        </w:rPr>
        <w:t xml:space="preserve"> </w:t>
      </w:r>
      <w:r>
        <w:t>solo las manos y los cuerpos, sino el lenguaje, la mente y el corazón. La paz exige construirnos como una comunidad de hermanos, en la diferencia, pero bajo el abrigo de lo que nos une. Tenemos que usar ese hilo que sutura las heridas para tejer por fin una nación diversa y pacífica. La convivencia, la no repetición y la reconciliación nacional necesitan ser un proyecto que permee todas las instituciones, los planes de gobierno, la cultura, el espacio simbólico</w:t>
      </w:r>
      <w:r>
        <w:rPr>
          <w:spacing w:val="-14"/>
        </w:rPr>
        <w:t xml:space="preserve"> </w:t>
      </w:r>
      <w:r>
        <w:t>y,</w:t>
      </w:r>
      <w:r>
        <w:rPr>
          <w:spacing w:val="-14"/>
        </w:rPr>
        <w:t xml:space="preserve"> </w:t>
      </w:r>
      <w:r>
        <w:t>sobre</w:t>
      </w:r>
      <w:r>
        <w:rPr>
          <w:spacing w:val="-14"/>
        </w:rPr>
        <w:t xml:space="preserve"> </w:t>
      </w:r>
      <w:r>
        <w:t>todo,</w:t>
      </w:r>
      <w:r>
        <w:rPr>
          <w:spacing w:val="-13"/>
        </w:rPr>
        <w:t xml:space="preserve"> </w:t>
      </w:r>
      <w:r>
        <w:t>a</w:t>
      </w:r>
      <w:r>
        <w:rPr>
          <w:spacing w:val="-14"/>
        </w:rPr>
        <w:t xml:space="preserve"> </w:t>
      </w:r>
      <w:r>
        <w:t>cada</w:t>
      </w:r>
      <w:r>
        <w:rPr>
          <w:spacing w:val="-14"/>
        </w:rPr>
        <w:t xml:space="preserve"> </w:t>
      </w:r>
      <w:r>
        <w:t>individuo,</w:t>
      </w:r>
      <w:r>
        <w:rPr>
          <w:spacing w:val="-13"/>
        </w:rPr>
        <w:t xml:space="preserve"> </w:t>
      </w:r>
      <w:r>
        <w:t>y,</w:t>
      </w:r>
      <w:r>
        <w:rPr>
          <w:spacing w:val="-13"/>
        </w:rPr>
        <w:t xml:space="preserve"> </w:t>
      </w:r>
      <w:r>
        <w:t>en</w:t>
      </w:r>
      <w:r>
        <w:rPr>
          <w:spacing w:val="-14"/>
        </w:rPr>
        <w:t xml:space="preserve"> </w:t>
      </w:r>
      <w:r>
        <w:t>especial,</w:t>
      </w:r>
      <w:r>
        <w:rPr>
          <w:spacing w:val="-13"/>
        </w:rPr>
        <w:t xml:space="preserve"> </w:t>
      </w:r>
      <w:r>
        <w:t>a</w:t>
      </w:r>
      <w:r>
        <w:rPr>
          <w:spacing w:val="-14"/>
        </w:rPr>
        <w:t xml:space="preserve"> </w:t>
      </w:r>
      <w:r>
        <w:t>los</w:t>
      </w:r>
      <w:r>
        <w:rPr>
          <w:spacing w:val="-14"/>
        </w:rPr>
        <w:t xml:space="preserve"> </w:t>
      </w:r>
      <w:r>
        <w:t>líderes.</w:t>
      </w:r>
      <w:r>
        <w:rPr>
          <w:spacing w:val="-14"/>
        </w:rPr>
        <w:t xml:space="preserve"> </w:t>
      </w:r>
      <w:r>
        <w:t>Solo</w:t>
      </w:r>
      <w:r>
        <w:rPr>
          <w:spacing w:val="-13"/>
        </w:rPr>
        <w:t xml:space="preserve"> </w:t>
      </w:r>
      <w:r>
        <w:t>así</w:t>
      </w:r>
      <w:r>
        <w:rPr>
          <w:spacing w:val="-13"/>
        </w:rPr>
        <w:t xml:space="preserve"> </w:t>
      </w:r>
      <w:r>
        <w:t>se</w:t>
      </w:r>
      <w:r>
        <w:rPr>
          <w:spacing w:val="-14"/>
        </w:rPr>
        <w:t xml:space="preserve"> </w:t>
      </w:r>
      <w:r>
        <w:t>podrá</w:t>
      </w:r>
      <w:r>
        <w:rPr>
          <w:spacing w:val="-14"/>
        </w:rPr>
        <w:t xml:space="preserve"> </w:t>
      </w:r>
      <w:r>
        <w:t>lograr construir una nación pacífica. La nación del «no matarás».</w:t>
      </w:r>
    </w:p>
    <w:p w:rsidR="007A62CA" w:rsidRDefault="007A62CA">
      <w:pPr>
        <w:spacing w:before="0" w:after="0" w:line="240" w:lineRule="auto"/>
      </w:pPr>
      <w:r>
        <w:br w:type="page"/>
      </w:r>
    </w:p>
    <w:p w:rsidR="003804AC" w:rsidRDefault="00AF18A5" w:rsidP="004A6EF4">
      <w:pPr>
        <w:pStyle w:val="Ttulo2"/>
        <w:numPr>
          <w:ilvl w:val="0"/>
          <w:numId w:val="16"/>
        </w:numPr>
      </w:pPr>
      <w:bookmarkStart w:id="179" w:name="3._VIOLACIONES_DE_DERECHOS_HUMANOS_E_INF"/>
      <w:bookmarkStart w:id="180" w:name="_Toc112399558"/>
      <w:bookmarkEnd w:id="179"/>
      <w:r>
        <w:lastRenderedPageBreak/>
        <w:t>VIOLACIONES</w:t>
      </w:r>
      <w:r>
        <w:rPr>
          <w:spacing w:val="-9"/>
        </w:rPr>
        <w:t xml:space="preserve"> </w:t>
      </w:r>
      <w:r>
        <w:t>DE</w:t>
      </w:r>
      <w:r>
        <w:rPr>
          <w:spacing w:val="-10"/>
        </w:rPr>
        <w:t xml:space="preserve"> </w:t>
      </w:r>
      <w:r>
        <w:t>DERECHOS</w:t>
      </w:r>
      <w:r>
        <w:rPr>
          <w:spacing w:val="-8"/>
        </w:rPr>
        <w:t xml:space="preserve"> </w:t>
      </w:r>
      <w:r>
        <w:t>HUMANOS</w:t>
      </w:r>
      <w:r>
        <w:rPr>
          <w:spacing w:val="-9"/>
        </w:rPr>
        <w:t xml:space="preserve"> </w:t>
      </w:r>
      <w:r>
        <w:t>E</w:t>
      </w:r>
      <w:r>
        <w:rPr>
          <w:spacing w:val="-10"/>
        </w:rPr>
        <w:t xml:space="preserve"> </w:t>
      </w:r>
      <w:r>
        <w:t>INFRACCIONES</w:t>
      </w:r>
      <w:r>
        <w:rPr>
          <w:spacing w:val="-8"/>
        </w:rPr>
        <w:t xml:space="preserve"> </w:t>
      </w:r>
      <w:r>
        <w:t>AL DERECHO INTERNACIONAL HUMANITARIO</w:t>
      </w:r>
      <w:bookmarkEnd w:id="180"/>
    </w:p>
    <w:p w:rsidR="003804AC" w:rsidRDefault="00AF18A5" w:rsidP="00645666">
      <w:r>
        <w:t>En Colombia no ha existido una sola generación que haya vivido en un país en paz. Como sociedad, hemos sufrido las consecuencias del conflicto armado persistente que ha dejado una estela de dolor y sufrimiento de la que tratamos de salir y una situación de exclusión y violencia histórica que necesita transformarse. Sucesivas generaciones en estos últimos sesenta años de conflicto armado han vivido con un horizonte en el que las violaciones de derechos humanos e infracciones al derecho internacional humanitario (DIH) han formado parte</w:t>
      </w:r>
      <w:r>
        <w:rPr>
          <w:spacing w:val="-5"/>
        </w:rPr>
        <w:t xml:space="preserve"> </w:t>
      </w:r>
      <w:r>
        <w:t>de</w:t>
      </w:r>
      <w:r>
        <w:rPr>
          <w:spacing w:val="-5"/>
        </w:rPr>
        <w:t xml:space="preserve"> </w:t>
      </w:r>
      <w:r>
        <w:t>sus</w:t>
      </w:r>
      <w:r>
        <w:rPr>
          <w:spacing w:val="-5"/>
        </w:rPr>
        <w:t xml:space="preserve"> </w:t>
      </w:r>
      <w:r>
        <w:t>vidas.</w:t>
      </w:r>
      <w:r>
        <w:rPr>
          <w:spacing w:val="-5"/>
        </w:rPr>
        <w:t xml:space="preserve"> </w:t>
      </w:r>
      <w:r>
        <w:t>Este</w:t>
      </w:r>
      <w:r>
        <w:rPr>
          <w:spacing w:val="-5"/>
        </w:rPr>
        <w:t xml:space="preserve"> </w:t>
      </w:r>
      <w:r>
        <w:t>capítulo</w:t>
      </w:r>
      <w:r>
        <w:rPr>
          <w:spacing w:val="-5"/>
        </w:rPr>
        <w:t xml:space="preserve"> </w:t>
      </w:r>
      <w:r>
        <w:t>habla</w:t>
      </w:r>
      <w:r>
        <w:rPr>
          <w:spacing w:val="-5"/>
        </w:rPr>
        <w:t xml:space="preserve"> </w:t>
      </w:r>
      <w:r>
        <w:t>de</w:t>
      </w:r>
      <w:r>
        <w:rPr>
          <w:spacing w:val="-5"/>
        </w:rPr>
        <w:t xml:space="preserve"> </w:t>
      </w:r>
      <w:r>
        <w:t>todas</w:t>
      </w:r>
      <w:r>
        <w:rPr>
          <w:spacing w:val="-5"/>
        </w:rPr>
        <w:t xml:space="preserve"> </w:t>
      </w:r>
      <w:r>
        <w:t>esas</w:t>
      </w:r>
      <w:r>
        <w:rPr>
          <w:spacing w:val="-5"/>
        </w:rPr>
        <w:t xml:space="preserve"> </w:t>
      </w:r>
      <w:r>
        <w:t>vidas</w:t>
      </w:r>
      <w:r>
        <w:rPr>
          <w:spacing w:val="-5"/>
        </w:rPr>
        <w:t xml:space="preserve"> </w:t>
      </w:r>
      <w:r>
        <w:t>que</w:t>
      </w:r>
      <w:r>
        <w:rPr>
          <w:spacing w:val="-5"/>
        </w:rPr>
        <w:t xml:space="preserve"> </w:t>
      </w:r>
      <w:r>
        <w:t>ya</w:t>
      </w:r>
      <w:r>
        <w:rPr>
          <w:spacing w:val="-5"/>
        </w:rPr>
        <w:t xml:space="preserve"> </w:t>
      </w:r>
      <w:r>
        <w:t>no</w:t>
      </w:r>
      <w:r>
        <w:rPr>
          <w:spacing w:val="-5"/>
        </w:rPr>
        <w:t xml:space="preserve"> </w:t>
      </w:r>
      <w:r>
        <w:t>pudieron</w:t>
      </w:r>
      <w:r>
        <w:rPr>
          <w:spacing w:val="-5"/>
        </w:rPr>
        <w:t xml:space="preserve"> </w:t>
      </w:r>
      <w:r>
        <w:t>ser</w:t>
      </w:r>
      <w:r>
        <w:rPr>
          <w:spacing w:val="-4"/>
        </w:rPr>
        <w:t xml:space="preserve"> </w:t>
      </w:r>
      <w:r>
        <w:t>vividas,</w:t>
      </w:r>
      <w:r>
        <w:rPr>
          <w:spacing w:val="-5"/>
        </w:rPr>
        <w:t xml:space="preserve"> </w:t>
      </w:r>
      <w:r>
        <w:t>de destrucción y de hechos que han marcado a familias y a comunidades. El relato de estas violaciones muestra las formas y maneras como se llevó a cabo la guerra, la experiencia de las</w:t>
      </w:r>
      <w:r>
        <w:rPr>
          <w:spacing w:val="-8"/>
        </w:rPr>
        <w:t xml:space="preserve"> </w:t>
      </w:r>
      <w:r>
        <w:t>víctimas</w:t>
      </w:r>
      <w:r>
        <w:rPr>
          <w:spacing w:val="-8"/>
        </w:rPr>
        <w:t xml:space="preserve"> </w:t>
      </w:r>
      <w:r>
        <w:t>y</w:t>
      </w:r>
      <w:r>
        <w:rPr>
          <w:spacing w:val="-8"/>
        </w:rPr>
        <w:t xml:space="preserve"> </w:t>
      </w:r>
      <w:r>
        <w:t>sobrevivientes</w:t>
      </w:r>
      <w:r>
        <w:rPr>
          <w:spacing w:val="-8"/>
        </w:rPr>
        <w:t xml:space="preserve"> </w:t>
      </w:r>
      <w:r>
        <w:t>está</w:t>
      </w:r>
      <w:r>
        <w:rPr>
          <w:spacing w:val="-8"/>
        </w:rPr>
        <w:t xml:space="preserve"> </w:t>
      </w:r>
      <w:r>
        <w:t>en</w:t>
      </w:r>
      <w:r>
        <w:rPr>
          <w:spacing w:val="-8"/>
        </w:rPr>
        <w:t xml:space="preserve"> </w:t>
      </w:r>
      <w:r>
        <w:t>los</w:t>
      </w:r>
      <w:r>
        <w:rPr>
          <w:spacing w:val="-8"/>
        </w:rPr>
        <w:t xml:space="preserve"> </w:t>
      </w:r>
      <w:r>
        <w:t>hechos,</w:t>
      </w:r>
      <w:r>
        <w:rPr>
          <w:spacing w:val="-9"/>
        </w:rPr>
        <w:t xml:space="preserve"> </w:t>
      </w:r>
      <w:r>
        <w:t>y</w:t>
      </w:r>
      <w:r>
        <w:rPr>
          <w:spacing w:val="-7"/>
        </w:rPr>
        <w:t xml:space="preserve"> </w:t>
      </w:r>
      <w:r>
        <w:t>las</w:t>
      </w:r>
      <w:r>
        <w:rPr>
          <w:spacing w:val="-8"/>
        </w:rPr>
        <w:t xml:space="preserve"> </w:t>
      </w:r>
      <w:r>
        <w:t>estadísticas</w:t>
      </w:r>
      <w:r>
        <w:rPr>
          <w:spacing w:val="-8"/>
        </w:rPr>
        <w:t xml:space="preserve"> </w:t>
      </w:r>
      <w:r>
        <w:t>que</w:t>
      </w:r>
      <w:r>
        <w:rPr>
          <w:spacing w:val="-8"/>
        </w:rPr>
        <w:t xml:space="preserve"> </w:t>
      </w:r>
      <w:r>
        <w:t>se</w:t>
      </w:r>
      <w:r>
        <w:rPr>
          <w:spacing w:val="-8"/>
        </w:rPr>
        <w:t xml:space="preserve"> </w:t>
      </w:r>
      <w:r>
        <w:t>recogen</w:t>
      </w:r>
      <w:r>
        <w:rPr>
          <w:spacing w:val="-8"/>
        </w:rPr>
        <w:t xml:space="preserve"> </w:t>
      </w:r>
      <w:r>
        <w:t>aquí</w:t>
      </w:r>
      <w:r>
        <w:rPr>
          <w:spacing w:val="-8"/>
        </w:rPr>
        <w:t xml:space="preserve"> </w:t>
      </w:r>
      <w:r>
        <w:t>no</w:t>
      </w:r>
      <w:r>
        <w:rPr>
          <w:spacing w:val="-8"/>
        </w:rPr>
        <w:t xml:space="preserve"> </w:t>
      </w:r>
      <w:r>
        <w:t xml:space="preserve">son cifras sino historias que explican las dinámicas del conflicto armado y la realidad de lo </w:t>
      </w:r>
      <w:r>
        <w:rPr>
          <w:spacing w:val="-2"/>
        </w:rPr>
        <w:t>intolerable.</w:t>
      </w:r>
    </w:p>
    <w:p w:rsidR="003804AC" w:rsidRDefault="00AF18A5" w:rsidP="00645666">
      <w:r>
        <w:t>Este es un conflicto armado que durante décadas ha tenido como víctima principal a la población</w:t>
      </w:r>
      <w:r>
        <w:rPr>
          <w:spacing w:val="-6"/>
        </w:rPr>
        <w:t xml:space="preserve"> </w:t>
      </w:r>
      <w:r>
        <w:t>civil,</w:t>
      </w:r>
      <w:r>
        <w:rPr>
          <w:spacing w:val="-6"/>
        </w:rPr>
        <w:t xml:space="preserve"> </w:t>
      </w:r>
      <w:r>
        <w:t>porque</w:t>
      </w:r>
      <w:r>
        <w:rPr>
          <w:spacing w:val="-7"/>
        </w:rPr>
        <w:t xml:space="preserve"> </w:t>
      </w:r>
      <w:r>
        <w:t>se</w:t>
      </w:r>
      <w:r>
        <w:rPr>
          <w:spacing w:val="-6"/>
        </w:rPr>
        <w:t xml:space="preserve"> </w:t>
      </w:r>
      <w:r>
        <w:t>ha</w:t>
      </w:r>
      <w:r>
        <w:rPr>
          <w:spacing w:val="-6"/>
        </w:rPr>
        <w:t xml:space="preserve"> </w:t>
      </w:r>
      <w:r>
        <w:t>desarrollado</w:t>
      </w:r>
      <w:r>
        <w:rPr>
          <w:spacing w:val="-6"/>
        </w:rPr>
        <w:t xml:space="preserve"> </w:t>
      </w:r>
      <w:r>
        <w:t>en</w:t>
      </w:r>
      <w:r>
        <w:rPr>
          <w:spacing w:val="-6"/>
        </w:rPr>
        <w:t xml:space="preserve"> </w:t>
      </w:r>
      <w:r>
        <w:t>medio</w:t>
      </w:r>
      <w:r>
        <w:rPr>
          <w:spacing w:val="-6"/>
        </w:rPr>
        <w:t xml:space="preserve"> </w:t>
      </w:r>
      <w:r>
        <w:t>de</w:t>
      </w:r>
      <w:r>
        <w:rPr>
          <w:spacing w:val="-6"/>
        </w:rPr>
        <w:t xml:space="preserve"> </w:t>
      </w:r>
      <w:r>
        <w:t>ella</w:t>
      </w:r>
      <w:r>
        <w:rPr>
          <w:spacing w:val="-6"/>
        </w:rPr>
        <w:t xml:space="preserve"> </w:t>
      </w:r>
      <w:r>
        <w:t>y</w:t>
      </w:r>
      <w:r>
        <w:rPr>
          <w:spacing w:val="-6"/>
        </w:rPr>
        <w:t xml:space="preserve"> </w:t>
      </w:r>
      <w:r>
        <w:t>porque</w:t>
      </w:r>
      <w:r>
        <w:rPr>
          <w:spacing w:val="-6"/>
        </w:rPr>
        <w:t xml:space="preserve"> </w:t>
      </w:r>
      <w:r>
        <w:t>controlar</w:t>
      </w:r>
      <w:r>
        <w:rPr>
          <w:spacing w:val="-6"/>
        </w:rPr>
        <w:t xml:space="preserve"> </w:t>
      </w:r>
      <w:r>
        <w:t>a</w:t>
      </w:r>
      <w:r>
        <w:rPr>
          <w:spacing w:val="-7"/>
        </w:rPr>
        <w:t xml:space="preserve"> </w:t>
      </w:r>
      <w:r>
        <w:t>la</w:t>
      </w:r>
      <w:r>
        <w:rPr>
          <w:spacing w:val="-6"/>
        </w:rPr>
        <w:t xml:space="preserve"> </w:t>
      </w:r>
      <w:r>
        <w:t>población se convirtió</w:t>
      </w:r>
      <w:r>
        <w:rPr>
          <w:spacing w:val="-1"/>
        </w:rPr>
        <w:t xml:space="preserve"> </w:t>
      </w:r>
      <w:r>
        <w:t>en la manera de tener poder sobre</w:t>
      </w:r>
      <w:r>
        <w:rPr>
          <w:spacing w:val="-1"/>
        </w:rPr>
        <w:t xml:space="preserve"> </w:t>
      </w:r>
      <w:r>
        <w:t>el territorio y</w:t>
      </w:r>
      <w:r>
        <w:rPr>
          <w:spacing w:val="-1"/>
        </w:rPr>
        <w:t xml:space="preserve"> </w:t>
      </w:r>
      <w:r>
        <w:t>el país. Conforme se</w:t>
      </w:r>
      <w:r>
        <w:rPr>
          <w:spacing w:val="-1"/>
        </w:rPr>
        <w:t xml:space="preserve"> </w:t>
      </w:r>
      <w:r>
        <w:t>fue</w:t>
      </w:r>
      <w:r>
        <w:rPr>
          <w:spacing w:val="-1"/>
        </w:rPr>
        <w:t xml:space="preserve"> </w:t>
      </w:r>
      <w:r>
        <w:t>dando la</w:t>
      </w:r>
      <w:r>
        <w:rPr>
          <w:spacing w:val="-3"/>
        </w:rPr>
        <w:t xml:space="preserve"> </w:t>
      </w:r>
      <w:r>
        <w:t>agudización</w:t>
      </w:r>
      <w:r>
        <w:rPr>
          <w:spacing w:val="-4"/>
        </w:rPr>
        <w:t xml:space="preserve"> </w:t>
      </w:r>
      <w:r>
        <w:t>del</w:t>
      </w:r>
      <w:r>
        <w:rPr>
          <w:spacing w:val="-3"/>
        </w:rPr>
        <w:t xml:space="preserve"> </w:t>
      </w:r>
      <w:r>
        <w:t>conflicto</w:t>
      </w:r>
      <w:r>
        <w:rPr>
          <w:spacing w:val="-4"/>
        </w:rPr>
        <w:t xml:space="preserve"> </w:t>
      </w:r>
      <w:r>
        <w:t>armado,</w:t>
      </w:r>
      <w:r>
        <w:rPr>
          <w:spacing w:val="-5"/>
        </w:rPr>
        <w:t xml:space="preserve"> </w:t>
      </w:r>
      <w:r>
        <w:t>la</w:t>
      </w:r>
      <w:r>
        <w:rPr>
          <w:spacing w:val="-3"/>
        </w:rPr>
        <w:t xml:space="preserve"> </w:t>
      </w:r>
      <w:r>
        <w:t>guerra</w:t>
      </w:r>
      <w:r>
        <w:rPr>
          <w:spacing w:val="-3"/>
        </w:rPr>
        <w:t xml:space="preserve"> </w:t>
      </w:r>
      <w:r>
        <w:t>fue</w:t>
      </w:r>
      <w:r>
        <w:rPr>
          <w:spacing w:val="-5"/>
        </w:rPr>
        <w:t xml:space="preserve"> </w:t>
      </w:r>
      <w:r>
        <w:t>afectando</w:t>
      </w:r>
      <w:r>
        <w:rPr>
          <w:spacing w:val="-4"/>
        </w:rPr>
        <w:t xml:space="preserve"> </w:t>
      </w:r>
      <w:r>
        <w:t>cada</w:t>
      </w:r>
      <w:r>
        <w:rPr>
          <w:spacing w:val="-3"/>
        </w:rPr>
        <w:t xml:space="preserve"> </w:t>
      </w:r>
      <w:r>
        <w:t>vez</w:t>
      </w:r>
      <w:r>
        <w:rPr>
          <w:spacing w:val="-3"/>
        </w:rPr>
        <w:t xml:space="preserve"> </w:t>
      </w:r>
      <w:r>
        <w:t>más</w:t>
      </w:r>
      <w:r>
        <w:rPr>
          <w:spacing w:val="-5"/>
        </w:rPr>
        <w:t xml:space="preserve"> </w:t>
      </w:r>
      <w:r>
        <w:t>a</w:t>
      </w:r>
      <w:r>
        <w:rPr>
          <w:spacing w:val="-3"/>
        </w:rPr>
        <w:t xml:space="preserve"> </w:t>
      </w:r>
      <w:r>
        <w:t>la</w:t>
      </w:r>
      <w:r>
        <w:rPr>
          <w:spacing w:val="-3"/>
        </w:rPr>
        <w:t xml:space="preserve"> </w:t>
      </w:r>
      <w:r>
        <w:t>población</w:t>
      </w:r>
      <w:r>
        <w:rPr>
          <w:spacing w:val="-4"/>
        </w:rPr>
        <w:t xml:space="preserve"> </w:t>
      </w:r>
      <w:r>
        <w:t>y</w:t>
      </w:r>
      <w:r>
        <w:rPr>
          <w:spacing w:val="-4"/>
        </w:rPr>
        <w:t xml:space="preserve"> </w:t>
      </w:r>
      <w:r>
        <w:t xml:space="preserve">a los territorios. Sus consecuencias no acaban cuando se frenan los picos de la violencia o cuando los hechos dejan de ser noticia. Tienen un impacto más allá, llegan hasta nuestros días. Esta es una guerra en la que las víctimas civiles han sufrido de manera </w:t>
      </w:r>
      <w:r>
        <w:lastRenderedPageBreak/>
        <w:t>simultánea múltiples</w:t>
      </w:r>
      <w:r>
        <w:rPr>
          <w:spacing w:val="-6"/>
        </w:rPr>
        <w:t xml:space="preserve"> </w:t>
      </w:r>
      <w:r>
        <w:t>violaciones</w:t>
      </w:r>
      <w:r>
        <w:rPr>
          <w:spacing w:val="-6"/>
        </w:rPr>
        <w:t xml:space="preserve"> </w:t>
      </w:r>
      <w:r>
        <w:t>de</w:t>
      </w:r>
      <w:r>
        <w:rPr>
          <w:spacing w:val="-7"/>
        </w:rPr>
        <w:t xml:space="preserve"> </w:t>
      </w:r>
      <w:r>
        <w:t>derechos</w:t>
      </w:r>
      <w:r>
        <w:rPr>
          <w:spacing w:val="-6"/>
        </w:rPr>
        <w:t xml:space="preserve"> </w:t>
      </w:r>
      <w:r>
        <w:t>humanos</w:t>
      </w:r>
      <w:r>
        <w:rPr>
          <w:spacing w:val="-6"/>
        </w:rPr>
        <w:t xml:space="preserve"> </w:t>
      </w:r>
      <w:r>
        <w:t>que</w:t>
      </w:r>
      <w:r>
        <w:rPr>
          <w:spacing w:val="-7"/>
        </w:rPr>
        <w:t xml:space="preserve"> </w:t>
      </w:r>
      <w:r>
        <w:t>se</w:t>
      </w:r>
      <w:r>
        <w:rPr>
          <w:spacing w:val="-6"/>
        </w:rPr>
        <w:t xml:space="preserve"> </w:t>
      </w:r>
      <w:r>
        <w:t>encadenaron</w:t>
      </w:r>
      <w:r>
        <w:rPr>
          <w:spacing w:val="-6"/>
        </w:rPr>
        <w:t xml:space="preserve"> </w:t>
      </w:r>
      <w:r>
        <w:t>entre</w:t>
      </w:r>
      <w:r>
        <w:rPr>
          <w:spacing w:val="-5"/>
        </w:rPr>
        <w:t xml:space="preserve"> </w:t>
      </w:r>
      <w:r>
        <w:t>sí,</w:t>
      </w:r>
      <w:r>
        <w:rPr>
          <w:spacing w:val="-8"/>
        </w:rPr>
        <w:t xml:space="preserve"> </w:t>
      </w:r>
      <w:r>
        <w:t>marcando</w:t>
      </w:r>
      <w:r>
        <w:rPr>
          <w:spacing w:val="-6"/>
        </w:rPr>
        <w:t xml:space="preserve"> </w:t>
      </w:r>
      <w:r>
        <w:t>sus</w:t>
      </w:r>
      <w:r>
        <w:rPr>
          <w:spacing w:val="-6"/>
        </w:rPr>
        <w:t xml:space="preserve"> </w:t>
      </w:r>
      <w:r>
        <w:t>vidas y las de sus familias y comunidades. Esta es una verdad de múltiples responsabilidades, en la</w:t>
      </w:r>
      <w:r>
        <w:rPr>
          <w:spacing w:val="-15"/>
        </w:rPr>
        <w:t xml:space="preserve"> </w:t>
      </w:r>
      <w:r>
        <w:t>que</w:t>
      </w:r>
      <w:r>
        <w:rPr>
          <w:spacing w:val="-15"/>
        </w:rPr>
        <w:t xml:space="preserve"> </w:t>
      </w:r>
      <w:r>
        <w:t>muchas</w:t>
      </w:r>
      <w:r>
        <w:rPr>
          <w:spacing w:val="-15"/>
        </w:rPr>
        <w:t xml:space="preserve"> </w:t>
      </w:r>
      <w:r>
        <w:t>veces</w:t>
      </w:r>
      <w:r>
        <w:rPr>
          <w:spacing w:val="-15"/>
        </w:rPr>
        <w:t xml:space="preserve"> </w:t>
      </w:r>
      <w:r>
        <w:t>las</w:t>
      </w:r>
      <w:r>
        <w:rPr>
          <w:spacing w:val="-15"/>
        </w:rPr>
        <w:t xml:space="preserve"> </w:t>
      </w:r>
      <w:r>
        <w:t>víctimas</w:t>
      </w:r>
      <w:r>
        <w:rPr>
          <w:spacing w:val="-15"/>
        </w:rPr>
        <w:t xml:space="preserve"> </w:t>
      </w:r>
      <w:r>
        <w:t>no</w:t>
      </w:r>
      <w:r>
        <w:rPr>
          <w:spacing w:val="-15"/>
        </w:rPr>
        <w:t xml:space="preserve"> </w:t>
      </w:r>
      <w:r>
        <w:t>supieron</w:t>
      </w:r>
      <w:r>
        <w:rPr>
          <w:spacing w:val="-15"/>
        </w:rPr>
        <w:t xml:space="preserve"> </w:t>
      </w:r>
      <w:r>
        <w:t>decir</w:t>
      </w:r>
      <w:r>
        <w:rPr>
          <w:spacing w:val="-15"/>
        </w:rPr>
        <w:t xml:space="preserve"> </w:t>
      </w:r>
      <w:r>
        <w:t>quién</w:t>
      </w:r>
      <w:r>
        <w:rPr>
          <w:spacing w:val="-15"/>
        </w:rPr>
        <w:t xml:space="preserve"> </w:t>
      </w:r>
      <w:r>
        <w:t>fue</w:t>
      </w:r>
      <w:r>
        <w:rPr>
          <w:spacing w:val="-15"/>
        </w:rPr>
        <w:t xml:space="preserve"> </w:t>
      </w:r>
      <w:r>
        <w:t>el</w:t>
      </w:r>
      <w:r>
        <w:rPr>
          <w:spacing w:val="-15"/>
        </w:rPr>
        <w:t xml:space="preserve"> </w:t>
      </w:r>
      <w:r>
        <w:t>responsable,</w:t>
      </w:r>
      <w:r>
        <w:rPr>
          <w:spacing w:val="-15"/>
        </w:rPr>
        <w:t xml:space="preserve"> </w:t>
      </w:r>
      <w:r>
        <w:t>quién</w:t>
      </w:r>
      <w:r>
        <w:rPr>
          <w:spacing w:val="-15"/>
        </w:rPr>
        <w:t xml:space="preserve"> </w:t>
      </w:r>
      <w:r>
        <w:t>las</w:t>
      </w:r>
      <w:r>
        <w:rPr>
          <w:spacing w:val="-15"/>
        </w:rPr>
        <w:t xml:space="preserve"> </w:t>
      </w:r>
      <w:r>
        <w:t xml:space="preserve">golpeó, quién asesinó, quién desapareció. En numerosas estadísticas aparece «autor desconocido». Por ello, la fotografía que muestra este capítulo es una historia colectiva de la que hacerse </w:t>
      </w:r>
      <w:r>
        <w:rPr>
          <w:spacing w:val="-2"/>
        </w:rPr>
        <w:t>cargo.</w:t>
      </w:r>
    </w:p>
    <w:p w:rsidR="003804AC" w:rsidRDefault="00AF18A5" w:rsidP="00645666">
      <w:r>
        <w:t>Los actores del conflicto armado han cometido múltiples y reiteradas violaciones de derechos humanos e infracciones del derecho internacional humanitario. Sus víctimas han sido –y siguen siendo– personas vinculadas a organizaciones y procesos sociales, pero las principales víctimas del conflicto armado en Colombia son civiles del común, las personas de</w:t>
      </w:r>
      <w:r>
        <w:rPr>
          <w:spacing w:val="-10"/>
        </w:rPr>
        <w:t xml:space="preserve"> </w:t>
      </w:r>
      <w:r>
        <w:t>a</w:t>
      </w:r>
      <w:r>
        <w:rPr>
          <w:spacing w:val="-10"/>
        </w:rPr>
        <w:t xml:space="preserve"> </w:t>
      </w:r>
      <w:r>
        <w:t>pie.</w:t>
      </w:r>
      <w:r>
        <w:rPr>
          <w:spacing w:val="-12"/>
        </w:rPr>
        <w:t xml:space="preserve"> </w:t>
      </w:r>
      <w:r>
        <w:t>La</w:t>
      </w:r>
      <w:r>
        <w:rPr>
          <w:spacing w:val="-12"/>
        </w:rPr>
        <w:t xml:space="preserve"> </w:t>
      </w:r>
      <w:r>
        <w:t>mayoría</w:t>
      </w:r>
      <w:r>
        <w:rPr>
          <w:spacing w:val="-10"/>
        </w:rPr>
        <w:t xml:space="preserve"> </w:t>
      </w:r>
      <w:r>
        <w:t>han</w:t>
      </w:r>
      <w:r>
        <w:rPr>
          <w:spacing w:val="-12"/>
        </w:rPr>
        <w:t xml:space="preserve"> </w:t>
      </w:r>
      <w:r>
        <w:t>sido</w:t>
      </w:r>
      <w:r>
        <w:rPr>
          <w:spacing w:val="-11"/>
        </w:rPr>
        <w:t xml:space="preserve"> </w:t>
      </w:r>
      <w:r>
        <w:t>aquellas</w:t>
      </w:r>
      <w:r>
        <w:rPr>
          <w:spacing w:val="-11"/>
        </w:rPr>
        <w:t xml:space="preserve"> </w:t>
      </w:r>
      <w:r>
        <w:t>que,</w:t>
      </w:r>
      <w:r>
        <w:rPr>
          <w:spacing w:val="-11"/>
        </w:rPr>
        <w:t xml:space="preserve"> </w:t>
      </w:r>
      <w:r>
        <w:t>además</w:t>
      </w:r>
      <w:r>
        <w:rPr>
          <w:spacing w:val="-10"/>
        </w:rPr>
        <w:t xml:space="preserve"> </w:t>
      </w:r>
      <w:r>
        <w:t>de</w:t>
      </w:r>
      <w:r>
        <w:rPr>
          <w:spacing w:val="-10"/>
        </w:rPr>
        <w:t xml:space="preserve"> </w:t>
      </w:r>
      <w:r>
        <w:t>ser</w:t>
      </w:r>
      <w:r>
        <w:rPr>
          <w:spacing w:val="-10"/>
        </w:rPr>
        <w:t xml:space="preserve"> </w:t>
      </w:r>
      <w:r>
        <w:t>víctimas</w:t>
      </w:r>
      <w:r>
        <w:rPr>
          <w:spacing w:val="-10"/>
        </w:rPr>
        <w:t xml:space="preserve"> </w:t>
      </w:r>
      <w:r>
        <w:t>de</w:t>
      </w:r>
      <w:r>
        <w:rPr>
          <w:spacing w:val="-10"/>
        </w:rPr>
        <w:t xml:space="preserve"> </w:t>
      </w:r>
      <w:r>
        <w:t>la</w:t>
      </w:r>
      <w:r>
        <w:rPr>
          <w:spacing w:val="-10"/>
        </w:rPr>
        <w:t xml:space="preserve"> </w:t>
      </w:r>
      <w:r>
        <w:t>violencia</w:t>
      </w:r>
      <w:r>
        <w:rPr>
          <w:spacing w:val="-10"/>
        </w:rPr>
        <w:t xml:space="preserve"> </w:t>
      </w:r>
      <w:r>
        <w:t>estructural que,</w:t>
      </w:r>
      <w:r>
        <w:rPr>
          <w:spacing w:val="-1"/>
        </w:rPr>
        <w:t xml:space="preserve"> </w:t>
      </w:r>
      <w:r>
        <w:t>sobreviviendo</w:t>
      </w:r>
      <w:r>
        <w:rPr>
          <w:spacing w:val="-1"/>
        </w:rPr>
        <w:t xml:space="preserve"> </w:t>
      </w:r>
      <w:r>
        <w:t>en</w:t>
      </w:r>
      <w:r>
        <w:rPr>
          <w:spacing w:val="-2"/>
        </w:rPr>
        <w:t xml:space="preserve"> </w:t>
      </w:r>
      <w:r>
        <w:t>medio</w:t>
      </w:r>
      <w:r>
        <w:rPr>
          <w:spacing w:val="-1"/>
        </w:rPr>
        <w:t xml:space="preserve"> </w:t>
      </w:r>
      <w:r>
        <w:t>la</w:t>
      </w:r>
      <w:r>
        <w:rPr>
          <w:spacing w:val="-1"/>
        </w:rPr>
        <w:t xml:space="preserve"> </w:t>
      </w:r>
      <w:r>
        <w:t>pobreza</w:t>
      </w:r>
      <w:r>
        <w:rPr>
          <w:spacing w:val="-1"/>
        </w:rPr>
        <w:t xml:space="preserve"> </w:t>
      </w:r>
      <w:r>
        <w:t>y</w:t>
      </w:r>
      <w:r>
        <w:rPr>
          <w:spacing w:val="-2"/>
        </w:rPr>
        <w:t xml:space="preserve"> </w:t>
      </w:r>
      <w:r>
        <w:t>la</w:t>
      </w:r>
      <w:r>
        <w:rPr>
          <w:spacing w:val="-2"/>
        </w:rPr>
        <w:t xml:space="preserve"> </w:t>
      </w:r>
      <w:r>
        <w:t>miseria</w:t>
      </w:r>
      <w:r>
        <w:rPr>
          <w:spacing w:val="-2"/>
        </w:rPr>
        <w:t xml:space="preserve"> </w:t>
      </w:r>
      <w:r>
        <w:t>en</w:t>
      </w:r>
      <w:r>
        <w:rPr>
          <w:spacing w:val="-1"/>
        </w:rPr>
        <w:t xml:space="preserve"> </w:t>
      </w:r>
      <w:r>
        <w:t>territorios</w:t>
      </w:r>
      <w:r>
        <w:rPr>
          <w:spacing w:val="-1"/>
        </w:rPr>
        <w:t xml:space="preserve"> </w:t>
      </w:r>
      <w:r>
        <w:t>atravesados</w:t>
      </w:r>
      <w:r>
        <w:rPr>
          <w:spacing w:val="-1"/>
        </w:rPr>
        <w:t xml:space="preserve"> </w:t>
      </w:r>
      <w:r>
        <w:t>por</w:t>
      </w:r>
      <w:r>
        <w:rPr>
          <w:spacing w:val="-2"/>
        </w:rPr>
        <w:t xml:space="preserve"> </w:t>
      </w:r>
      <w:r>
        <w:t>múltiples violencias y carencias, han sufrido también las consecuencias del conflicto armado.</w:t>
      </w:r>
    </w:p>
    <w:p w:rsidR="003804AC" w:rsidRDefault="00AF18A5" w:rsidP="00645666">
      <w:r>
        <w:t>Las</w:t>
      </w:r>
      <w:r>
        <w:rPr>
          <w:spacing w:val="-3"/>
        </w:rPr>
        <w:t xml:space="preserve"> </w:t>
      </w:r>
      <w:r>
        <w:t>numerosas</w:t>
      </w:r>
      <w:r>
        <w:rPr>
          <w:spacing w:val="-3"/>
        </w:rPr>
        <w:t xml:space="preserve"> </w:t>
      </w:r>
      <w:r>
        <w:t>violaciones</w:t>
      </w:r>
      <w:r>
        <w:rPr>
          <w:spacing w:val="-3"/>
        </w:rPr>
        <w:t xml:space="preserve"> </w:t>
      </w:r>
      <w:r>
        <w:t>de</w:t>
      </w:r>
      <w:r>
        <w:rPr>
          <w:spacing w:val="-3"/>
        </w:rPr>
        <w:t xml:space="preserve"> </w:t>
      </w:r>
      <w:r>
        <w:t>derechos</w:t>
      </w:r>
      <w:r>
        <w:rPr>
          <w:spacing w:val="-3"/>
        </w:rPr>
        <w:t xml:space="preserve"> </w:t>
      </w:r>
      <w:r>
        <w:t>humanos</w:t>
      </w:r>
      <w:r>
        <w:rPr>
          <w:spacing w:val="-3"/>
        </w:rPr>
        <w:t xml:space="preserve"> </w:t>
      </w:r>
      <w:r>
        <w:t>e</w:t>
      </w:r>
      <w:r>
        <w:rPr>
          <w:spacing w:val="-3"/>
        </w:rPr>
        <w:t xml:space="preserve"> </w:t>
      </w:r>
      <w:r>
        <w:t>infracciones</w:t>
      </w:r>
      <w:r>
        <w:rPr>
          <w:spacing w:val="-3"/>
        </w:rPr>
        <w:t xml:space="preserve"> </w:t>
      </w:r>
      <w:r>
        <w:t>del</w:t>
      </w:r>
      <w:r>
        <w:rPr>
          <w:spacing w:val="-3"/>
        </w:rPr>
        <w:t xml:space="preserve"> </w:t>
      </w:r>
      <w:r>
        <w:t>DIH</w:t>
      </w:r>
      <w:r>
        <w:rPr>
          <w:spacing w:val="-4"/>
        </w:rPr>
        <w:t xml:space="preserve"> </w:t>
      </w:r>
      <w:r>
        <w:t>que</w:t>
      </w:r>
      <w:r>
        <w:rPr>
          <w:spacing w:val="-3"/>
        </w:rPr>
        <w:t xml:space="preserve"> </w:t>
      </w:r>
      <w:r>
        <w:t>se</w:t>
      </w:r>
      <w:r>
        <w:rPr>
          <w:spacing w:val="-3"/>
        </w:rPr>
        <w:t xml:space="preserve"> </w:t>
      </w:r>
      <w:r>
        <w:t>han</w:t>
      </w:r>
      <w:r>
        <w:rPr>
          <w:spacing w:val="-3"/>
        </w:rPr>
        <w:t xml:space="preserve"> </w:t>
      </w:r>
      <w:r>
        <w:t>dado en el conflicto armado muestran la intencionalidad de las violencias y el tipo de ataques sufridos por la población civil. No se recogen aquí las víctimas en combates entre grupos armados o fuerza pública que forman parte de la dinámica de un conflicto armado, aunque ellas y sus familias también han sufrido el dolor y sus consecuencias.</w:t>
      </w:r>
    </w:p>
    <w:p w:rsidR="003804AC" w:rsidRDefault="00AF18A5" w:rsidP="00645666">
      <w:r>
        <w:t>Dar cuenta de los hechos no es fácil, y no puede hacerse sin el análisis de lo que constituyen patrones de violaciones, es decir, las maneras como esos hechos se relacionan entre sí y muestran la intencionalidad de los autores, las estrategias de la guerra y la forma como</w:t>
      </w:r>
      <w:r>
        <w:rPr>
          <w:spacing w:val="24"/>
        </w:rPr>
        <w:t xml:space="preserve"> </w:t>
      </w:r>
      <w:r>
        <w:t>se</w:t>
      </w:r>
      <w:r>
        <w:rPr>
          <w:spacing w:val="26"/>
        </w:rPr>
        <w:t xml:space="preserve"> </w:t>
      </w:r>
      <w:r>
        <w:t>llevó</w:t>
      </w:r>
      <w:r>
        <w:rPr>
          <w:spacing w:val="27"/>
        </w:rPr>
        <w:t xml:space="preserve"> </w:t>
      </w:r>
      <w:r>
        <w:t>a</w:t>
      </w:r>
      <w:r>
        <w:rPr>
          <w:spacing w:val="28"/>
        </w:rPr>
        <w:t xml:space="preserve"> </w:t>
      </w:r>
      <w:r>
        <w:lastRenderedPageBreak/>
        <w:t>cabo</w:t>
      </w:r>
      <w:r>
        <w:rPr>
          <w:spacing w:val="26"/>
        </w:rPr>
        <w:t xml:space="preserve"> </w:t>
      </w:r>
      <w:r>
        <w:t>la</w:t>
      </w:r>
      <w:r>
        <w:rPr>
          <w:spacing w:val="28"/>
        </w:rPr>
        <w:t xml:space="preserve"> </w:t>
      </w:r>
      <w:r>
        <w:t>violencia.</w:t>
      </w:r>
      <w:r>
        <w:rPr>
          <w:spacing w:val="25"/>
        </w:rPr>
        <w:t xml:space="preserve"> </w:t>
      </w:r>
      <w:r>
        <w:t>Así,</w:t>
      </w:r>
      <w:r>
        <w:rPr>
          <w:spacing w:val="26"/>
        </w:rPr>
        <w:t xml:space="preserve"> </w:t>
      </w:r>
      <w:r>
        <w:t>los</w:t>
      </w:r>
      <w:r>
        <w:rPr>
          <w:spacing w:val="28"/>
        </w:rPr>
        <w:t xml:space="preserve"> </w:t>
      </w:r>
      <w:r>
        <w:t>principales</w:t>
      </w:r>
      <w:r>
        <w:rPr>
          <w:spacing w:val="28"/>
        </w:rPr>
        <w:t xml:space="preserve"> </w:t>
      </w:r>
      <w:r>
        <w:t>hallazgos</w:t>
      </w:r>
      <w:r>
        <w:rPr>
          <w:spacing w:val="28"/>
        </w:rPr>
        <w:t xml:space="preserve"> </w:t>
      </w:r>
      <w:r>
        <w:t>sobre</w:t>
      </w:r>
      <w:r>
        <w:rPr>
          <w:spacing w:val="26"/>
        </w:rPr>
        <w:t xml:space="preserve"> </w:t>
      </w:r>
      <w:r>
        <w:t>16</w:t>
      </w:r>
      <w:r>
        <w:rPr>
          <w:spacing w:val="27"/>
        </w:rPr>
        <w:t xml:space="preserve"> </w:t>
      </w:r>
      <w:r>
        <w:t>violaciones</w:t>
      </w:r>
      <w:r>
        <w:rPr>
          <w:spacing w:val="28"/>
        </w:rPr>
        <w:t xml:space="preserve"> </w:t>
      </w:r>
      <w:r>
        <w:rPr>
          <w:spacing w:val="-5"/>
        </w:rPr>
        <w:t>de</w:t>
      </w:r>
      <w:r w:rsidR="00645666">
        <w:t xml:space="preserve"> </w:t>
      </w:r>
      <w:r>
        <w:t>derechos</w:t>
      </w:r>
      <w:r>
        <w:rPr>
          <w:spacing w:val="-2"/>
        </w:rPr>
        <w:t xml:space="preserve"> </w:t>
      </w:r>
      <w:r>
        <w:t>humanos</w:t>
      </w:r>
      <w:r>
        <w:rPr>
          <w:spacing w:val="-1"/>
        </w:rPr>
        <w:t xml:space="preserve"> </w:t>
      </w:r>
      <w:r>
        <w:t>e</w:t>
      </w:r>
      <w:r>
        <w:rPr>
          <w:spacing w:val="-2"/>
        </w:rPr>
        <w:t xml:space="preserve"> </w:t>
      </w:r>
      <w:r>
        <w:t>infracciones</w:t>
      </w:r>
      <w:r>
        <w:rPr>
          <w:spacing w:val="-1"/>
        </w:rPr>
        <w:t xml:space="preserve"> </w:t>
      </w:r>
      <w:r>
        <w:t>del</w:t>
      </w:r>
      <w:r>
        <w:rPr>
          <w:spacing w:val="-2"/>
        </w:rPr>
        <w:t xml:space="preserve"> </w:t>
      </w:r>
      <w:r>
        <w:t>derecho</w:t>
      </w:r>
      <w:r>
        <w:rPr>
          <w:spacing w:val="-2"/>
        </w:rPr>
        <w:t xml:space="preserve"> </w:t>
      </w:r>
      <w:r>
        <w:t>internacional</w:t>
      </w:r>
      <w:r>
        <w:rPr>
          <w:spacing w:val="-2"/>
        </w:rPr>
        <w:t xml:space="preserve"> </w:t>
      </w:r>
      <w:r>
        <w:t>humanitario</w:t>
      </w:r>
      <w:r>
        <w:rPr>
          <w:spacing w:val="-1"/>
        </w:rPr>
        <w:t xml:space="preserve"> </w:t>
      </w:r>
      <w:r>
        <w:t>que</w:t>
      </w:r>
      <w:r>
        <w:rPr>
          <w:spacing w:val="-1"/>
        </w:rPr>
        <w:t xml:space="preserve"> </w:t>
      </w:r>
      <w:r>
        <w:t>se</w:t>
      </w:r>
      <w:r>
        <w:rPr>
          <w:spacing w:val="-1"/>
        </w:rPr>
        <w:t xml:space="preserve"> </w:t>
      </w:r>
      <w:r>
        <w:t>presentan</w:t>
      </w:r>
      <w:r>
        <w:rPr>
          <w:spacing w:val="-1"/>
        </w:rPr>
        <w:t xml:space="preserve"> </w:t>
      </w:r>
      <w:r>
        <w:t xml:space="preserve">en este apartado pueden revisarse con mayor profundidad en el capítulo correspondiente del </w:t>
      </w:r>
      <w:r>
        <w:rPr>
          <w:spacing w:val="-2"/>
        </w:rPr>
        <w:t>informe</w:t>
      </w:r>
      <w:r w:rsidR="00645666">
        <w:rPr>
          <w:rStyle w:val="Refdenotaalpie"/>
          <w:spacing w:val="-2"/>
        </w:rPr>
        <w:footnoteReference w:id="104"/>
      </w:r>
      <w:r>
        <w:rPr>
          <w:spacing w:val="-2"/>
        </w:rPr>
        <w:t>.</w:t>
      </w:r>
    </w:p>
    <w:p w:rsidR="003804AC" w:rsidRDefault="00AF18A5" w:rsidP="00645666">
      <w:r>
        <w:t>Las violaciones e infracciones abordadas son: homicidios (masacres, ejecuciones extrajudiciales</w:t>
      </w:r>
      <w:r>
        <w:rPr>
          <w:spacing w:val="-13"/>
        </w:rPr>
        <w:t xml:space="preserve"> </w:t>
      </w:r>
      <w:r>
        <w:t>y</w:t>
      </w:r>
      <w:r>
        <w:rPr>
          <w:spacing w:val="-13"/>
        </w:rPr>
        <w:t xml:space="preserve"> </w:t>
      </w:r>
      <w:r>
        <w:t>asesinatos</w:t>
      </w:r>
      <w:r>
        <w:rPr>
          <w:spacing w:val="-13"/>
        </w:rPr>
        <w:t xml:space="preserve"> </w:t>
      </w:r>
      <w:r>
        <w:t>selectivos)</w:t>
      </w:r>
      <w:r>
        <w:rPr>
          <w:spacing w:val="-13"/>
        </w:rPr>
        <w:t xml:space="preserve"> </w:t>
      </w:r>
      <w:r>
        <w:t>y</w:t>
      </w:r>
      <w:r>
        <w:rPr>
          <w:spacing w:val="-13"/>
        </w:rPr>
        <w:t xml:space="preserve"> </w:t>
      </w:r>
      <w:r>
        <w:t>atentados</w:t>
      </w:r>
      <w:r>
        <w:rPr>
          <w:spacing w:val="-14"/>
        </w:rPr>
        <w:t xml:space="preserve"> </w:t>
      </w:r>
      <w:r>
        <w:t>al</w:t>
      </w:r>
      <w:r>
        <w:rPr>
          <w:spacing w:val="-13"/>
        </w:rPr>
        <w:t xml:space="preserve"> </w:t>
      </w:r>
      <w:r>
        <w:t>derecho</w:t>
      </w:r>
      <w:r>
        <w:rPr>
          <w:spacing w:val="-14"/>
        </w:rPr>
        <w:t xml:space="preserve"> </w:t>
      </w:r>
      <w:r>
        <w:t>a</w:t>
      </w:r>
      <w:r>
        <w:rPr>
          <w:spacing w:val="-14"/>
        </w:rPr>
        <w:t xml:space="preserve"> </w:t>
      </w:r>
      <w:r>
        <w:t>la</w:t>
      </w:r>
      <w:r>
        <w:rPr>
          <w:spacing w:val="-13"/>
        </w:rPr>
        <w:t xml:space="preserve"> </w:t>
      </w:r>
      <w:r>
        <w:t>vida;</w:t>
      </w:r>
      <w:r>
        <w:rPr>
          <w:spacing w:val="-13"/>
        </w:rPr>
        <w:t xml:space="preserve"> </w:t>
      </w:r>
      <w:r>
        <w:t>desaparición</w:t>
      </w:r>
      <w:r>
        <w:rPr>
          <w:spacing w:val="-14"/>
        </w:rPr>
        <w:t xml:space="preserve"> </w:t>
      </w:r>
      <w:r>
        <w:t>forzada; secuestro;</w:t>
      </w:r>
      <w:r>
        <w:rPr>
          <w:spacing w:val="-3"/>
        </w:rPr>
        <w:t xml:space="preserve"> </w:t>
      </w:r>
      <w:r>
        <w:t>torturas;</w:t>
      </w:r>
      <w:r>
        <w:rPr>
          <w:spacing w:val="-1"/>
        </w:rPr>
        <w:t xml:space="preserve"> </w:t>
      </w:r>
      <w:r>
        <w:t>detenciones</w:t>
      </w:r>
      <w:r>
        <w:rPr>
          <w:spacing w:val="-2"/>
        </w:rPr>
        <w:t xml:space="preserve"> </w:t>
      </w:r>
      <w:r>
        <w:t>arbitrarias;</w:t>
      </w:r>
      <w:r>
        <w:rPr>
          <w:spacing w:val="-1"/>
        </w:rPr>
        <w:t xml:space="preserve"> </w:t>
      </w:r>
      <w:r>
        <w:t>violencias</w:t>
      </w:r>
      <w:r>
        <w:rPr>
          <w:spacing w:val="-2"/>
        </w:rPr>
        <w:t xml:space="preserve"> </w:t>
      </w:r>
      <w:r>
        <w:t>sexuales;</w:t>
      </w:r>
      <w:r>
        <w:rPr>
          <w:spacing w:val="-1"/>
        </w:rPr>
        <w:t xml:space="preserve"> </w:t>
      </w:r>
      <w:r>
        <w:t>amenazas;</w:t>
      </w:r>
      <w:r>
        <w:rPr>
          <w:spacing w:val="-3"/>
        </w:rPr>
        <w:t xml:space="preserve"> </w:t>
      </w:r>
      <w:r>
        <w:t>reclutamiento</w:t>
      </w:r>
      <w:r>
        <w:rPr>
          <w:spacing w:val="-2"/>
        </w:rPr>
        <w:t xml:space="preserve"> </w:t>
      </w:r>
      <w:r>
        <w:t>de niños, niñas y adolescentes; trabajo forzoso; extorsión; ataques indiscriminados; ataques a bienes protegidos; desplazamiento forzado; confinamiento; despojo y pillaje. Muchas de estas acciones se dieron de manera conjunta, a veces en distintos momentos de la vida, y marcaron las biografías y la historia de familias y comunidades.</w:t>
      </w:r>
    </w:p>
    <w:p w:rsidR="0011361F" w:rsidRDefault="00AF18A5" w:rsidP="00645666">
      <w:r>
        <w:t>Estas violaciones e infracciones han sido perpetradas por los actores del conflicto en un contexto de extensión de la guerra y de buscar ganarla a toda costa. Cuando la Comisión realizó las primeras visitas a los territorios al inicio de su mandato, se reunió con muchas y diferentes víctimas y, si bien cada una quería saber de su caso, también señalaron a la Comisión que querían saber por qué pasó: una verdad que explique por qué. Las lógicas de la</w:t>
      </w:r>
      <w:r>
        <w:rPr>
          <w:spacing w:val="-15"/>
        </w:rPr>
        <w:t xml:space="preserve"> </w:t>
      </w:r>
      <w:r>
        <w:t>violencia</w:t>
      </w:r>
      <w:r>
        <w:rPr>
          <w:spacing w:val="-15"/>
        </w:rPr>
        <w:t xml:space="preserve"> </w:t>
      </w:r>
      <w:r>
        <w:t>que</w:t>
      </w:r>
      <w:r>
        <w:rPr>
          <w:spacing w:val="-15"/>
        </w:rPr>
        <w:t xml:space="preserve"> </w:t>
      </w:r>
      <w:r>
        <w:t>la</w:t>
      </w:r>
      <w:r>
        <w:rPr>
          <w:spacing w:val="-15"/>
        </w:rPr>
        <w:t xml:space="preserve"> </w:t>
      </w:r>
      <w:r>
        <w:t>Comisión</w:t>
      </w:r>
      <w:r>
        <w:rPr>
          <w:spacing w:val="-15"/>
        </w:rPr>
        <w:t xml:space="preserve"> </w:t>
      </w:r>
      <w:r>
        <w:t>ha</w:t>
      </w:r>
      <w:r>
        <w:rPr>
          <w:spacing w:val="-15"/>
        </w:rPr>
        <w:t xml:space="preserve"> </w:t>
      </w:r>
      <w:r>
        <w:t>identificado</w:t>
      </w:r>
      <w:r>
        <w:rPr>
          <w:spacing w:val="-15"/>
        </w:rPr>
        <w:t xml:space="preserve"> </w:t>
      </w:r>
      <w:r>
        <w:t>son</w:t>
      </w:r>
      <w:r>
        <w:rPr>
          <w:spacing w:val="-15"/>
        </w:rPr>
        <w:t xml:space="preserve"> </w:t>
      </w:r>
      <w:r>
        <w:t>varias.</w:t>
      </w:r>
      <w:r>
        <w:rPr>
          <w:spacing w:val="-15"/>
        </w:rPr>
        <w:t xml:space="preserve"> </w:t>
      </w:r>
      <w:r>
        <w:t>No</w:t>
      </w:r>
      <w:r>
        <w:rPr>
          <w:spacing w:val="-15"/>
        </w:rPr>
        <w:t xml:space="preserve"> </w:t>
      </w:r>
      <w:r>
        <w:t>obedecen</w:t>
      </w:r>
      <w:r>
        <w:rPr>
          <w:spacing w:val="-15"/>
        </w:rPr>
        <w:t xml:space="preserve"> </w:t>
      </w:r>
      <w:r>
        <w:t>a</w:t>
      </w:r>
      <w:r>
        <w:rPr>
          <w:spacing w:val="-15"/>
        </w:rPr>
        <w:t xml:space="preserve"> </w:t>
      </w:r>
      <w:r>
        <w:t>una</w:t>
      </w:r>
      <w:r>
        <w:rPr>
          <w:spacing w:val="-15"/>
        </w:rPr>
        <w:t xml:space="preserve"> </w:t>
      </w:r>
      <w:r>
        <w:t>única</w:t>
      </w:r>
      <w:r>
        <w:rPr>
          <w:spacing w:val="-15"/>
        </w:rPr>
        <w:t xml:space="preserve"> </w:t>
      </w:r>
      <w:r>
        <w:t xml:space="preserve">explicación. La mayor parte de las veces los combatientes actuaron orientados por una lógica del exterminio físico y simbólico de quien se consideraba enemigo por razones políticas, </w:t>
      </w:r>
      <w:r>
        <w:lastRenderedPageBreak/>
        <w:t>movimientos sociales o población civil a la que se estigmatizó desde diferentes bandos y grupos.</w:t>
      </w:r>
      <w:r>
        <w:rPr>
          <w:spacing w:val="-7"/>
        </w:rPr>
        <w:t xml:space="preserve"> </w:t>
      </w:r>
      <w:r>
        <w:t>Se</w:t>
      </w:r>
      <w:r>
        <w:rPr>
          <w:spacing w:val="-8"/>
        </w:rPr>
        <w:t xml:space="preserve"> </w:t>
      </w:r>
      <w:r>
        <w:t>trató</w:t>
      </w:r>
      <w:r>
        <w:rPr>
          <w:spacing w:val="-7"/>
        </w:rPr>
        <w:t xml:space="preserve"> </w:t>
      </w:r>
      <w:r>
        <w:t>de</w:t>
      </w:r>
      <w:r>
        <w:rPr>
          <w:spacing w:val="-8"/>
        </w:rPr>
        <w:t xml:space="preserve"> </w:t>
      </w:r>
      <w:r>
        <w:t>ganar</w:t>
      </w:r>
      <w:r>
        <w:rPr>
          <w:spacing w:val="-8"/>
        </w:rPr>
        <w:t xml:space="preserve"> </w:t>
      </w:r>
      <w:r>
        <w:t>la</w:t>
      </w:r>
      <w:r>
        <w:rPr>
          <w:spacing w:val="-7"/>
        </w:rPr>
        <w:t xml:space="preserve"> </w:t>
      </w:r>
      <w:r>
        <w:t>guerra</w:t>
      </w:r>
      <w:r>
        <w:rPr>
          <w:spacing w:val="-8"/>
        </w:rPr>
        <w:t xml:space="preserve"> </w:t>
      </w:r>
      <w:r>
        <w:t>controlando</w:t>
      </w:r>
      <w:r>
        <w:rPr>
          <w:spacing w:val="-7"/>
        </w:rPr>
        <w:t xml:space="preserve"> </w:t>
      </w:r>
      <w:r>
        <w:t>el</w:t>
      </w:r>
      <w:r>
        <w:rPr>
          <w:spacing w:val="-8"/>
        </w:rPr>
        <w:t xml:space="preserve"> </w:t>
      </w:r>
      <w:r>
        <w:t>tejido</w:t>
      </w:r>
      <w:r>
        <w:rPr>
          <w:spacing w:val="-7"/>
        </w:rPr>
        <w:t xml:space="preserve"> </w:t>
      </w:r>
      <w:r>
        <w:t>social.</w:t>
      </w:r>
      <w:r>
        <w:rPr>
          <w:spacing w:val="-8"/>
        </w:rPr>
        <w:t xml:space="preserve"> </w:t>
      </w:r>
      <w:r>
        <w:t>Una</w:t>
      </w:r>
      <w:r>
        <w:rPr>
          <w:spacing w:val="-7"/>
        </w:rPr>
        <w:t xml:space="preserve"> </w:t>
      </w:r>
      <w:r>
        <w:t>reconfiguración</w:t>
      </w:r>
      <w:r>
        <w:rPr>
          <w:spacing w:val="-8"/>
        </w:rPr>
        <w:t xml:space="preserve"> </w:t>
      </w:r>
      <w:r>
        <w:t>violenta del territorio mediante el desplazamiento forzado, el despojo de tierras, o el control de la política local y de las regiones. Las violaciones también se cometieron con la intención de obstruir la solución política del conflicto armado, como retaliaciones y respuesta a otros hechos, y también en los intentos de implementación de acuerdos de paz.</w:t>
      </w:r>
    </w:p>
    <w:p w:rsidR="003804AC" w:rsidRDefault="00AF18A5" w:rsidP="00645666">
      <w:bookmarkStart w:id="181" w:name="_bookmark118"/>
      <w:bookmarkEnd w:id="181"/>
      <w:r>
        <w:t>Las responsabilidades en las violaciones e infracciones han sido analizadas ya sea por la participación</w:t>
      </w:r>
      <w:r>
        <w:rPr>
          <w:spacing w:val="-9"/>
        </w:rPr>
        <w:t xml:space="preserve"> </w:t>
      </w:r>
      <w:r>
        <w:t>directa</w:t>
      </w:r>
      <w:r>
        <w:rPr>
          <w:spacing w:val="-10"/>
        </w:rPr>
        <w:t xml:space="preserve"> </w:t>
      </w:r>
      <w:r>
        <w:t>de</w:t>
      </w:r>
      <w:r>
        <w:rPr>
          <w:spacing w:val="-10"/>
        </w:rPr>
        <w:t xml:space="preserve"> </w:t>
      </w:r>
      <w:r>
        <w:t>los</w:t>
      </w:r>
      <w:r>
        <w:rPr>
          <w:spacing w:val="-9"/>
        </w:rPr>
        <w:t xml:space="preserve"> </w:t>
      </w:r>
      <w:r>
        <w:t>perpetradores,</w:t>
      </w:r>
      <w:r>
        <w:rPr>
          <w:spacing w:val="-9"/>
        </w:rPr>
        <w:t xml:space="preserve"> </w:t>
      </w:r>
      <w:r>
        <w:t>como</w:t>
      </w:r>
      <w:r>
        <w:rPr>
          <w:spacing w:val="-9"/>
        </w:rPr>
        <w:t xml:space="preserve"> </w:t>
      </w:r>
      <w:r>
        <w:t>por</w:t>
      </w:r>
      <w:r>
        <w:rPr>
          <w:spacing w:val="-9"/>
        </w:rPr>
        <w:t xml:space="preserve"> </w:t>
      </w:r>
      <w:r>
        <w:t>su</w:t>
      </w:r>
      <w:r>
        <w:rPr>
          <w:spacing w:val="-11"/>
        </w:rPr>
        <w:t xml:space="preserve"> </w:t>
      </w:r>
      <w:r>
        <w:t>colaboración</w:t>
      </w:r>
      <w:r>
        <w:rPr>
          <w:spacing w:val="-11"/>
        </w:rPr>
        <w:t xml:space="preserve"> </w:t>
      </w:r>
      <w:r>
        <w:t>o</w:t>
      </w:r>
      <w:r>
        <w:rPr>
          <w:spacing w:val="-9"/>
        </w:rPr>
        <w:t xml:space="preserve"> </w:t>
      </w:r>
      <w:r>
        <w:t>aquiescencia,</w:t>
      </w:r>
      <w:r>
        <w:rPr>
          <w:spacing w:val="-11"/>
        </w:rPr>
        <w:t xml:space="preserve"> </w:t>
      </w:r>
      <w:r>
        <w:t>en</w:t>
      </w:r>
      <w:r>
        <w:rPr>
          <w:spacing w:val="-11"/>
        </w:rPr>
        <w:t xml:space="preserve"> </w:t>
      </w:r>
      <w:r>
        <w:t xml:space="preserve">otros casos por las condiciones de desprotección o de colaboración en lo sucedido. Hay que tener en cuenta que para ello se utilizan los criterios y estándares internacionales en el análisis de violaciones de derechos humanos y del DIH, pero que además en varios casos los grupos armados fueron parte de otros entramados más amplios de redes de alianzas e intereses que hicieron posible el horror a gran escala que ha vivido Colombia y sus consecuencias hasta hoy en día. Los principales responsables identificados por la Comisión son el Estado colombiano, los grupos paramilitares, las guerrillas, el narcotráfico, los grupos </w:t>
      </w:r>
      <w:proofErr w:type="spellStart"/>
      <w:r>
        <w:t>posdesmovilización</w:t>
      </w:r>
      <w:proofErr w:type="spellEnd"/>
      <w:r>
        <w:t xml:space="preserve"> y los denominados terceros civiles.</w:t>
      </w:r>
    </w:p>
    <w:p w:rsidR="00645666" w:rsidRDefault="00645666" w:rsidP="00B04A7B">
      <w:pPr>
        <w:pStyle w:val="Ttulo3"/>
      </w:pPr>
      <w:bookmarkStart w:id="182" w:name="_Toc112399559"/>
      <w:r>
        <w:t>Fuentes de análisis cuantitativo</w:t>
      </w:r>
      <w:bookmarkEnd w:id="182"/>
    </w:p>
    <w:p w:rsidR="00645666" w:rsidRDefault="00645666" w:rsidP="00645666">
      <w:r>
        <w:t xml:space="preserve">El análisis cuantitativo de violaciones de derechos humanos pasa por diferentes bases de datos. La razón de esto es que ninguna base de datos es representativa del conflicto armado. Todas están sujetas a sesgos y subregistro. En este sentido, es necesario contrastar las fuentes que se utilizan para hacer un análisis más completo de los </w:t>
      </w:r>
      <w:r>
        <w:lastRenderedPageBreak/>
        <w:t>hechos. Además, el estudio también está sujeto a la disponibilidad de datos. En este capítulo se utiliza el siguiente criterio: para las cinco violaciones comprendidas por el proyecto JEP-CEV-HRDAG</w:t>
      </w:r>
      <w:r w:rsidR="00B04A7B">
        <w:rPr>
          <w:rStyle w:val="Refdenotaalpie"/>
        </w:rPr>
        <w:footnoteReference w:id="105"/>
      </w:r>
      <w:r>
        <w:t xml:space="preserve"> (homicidios, desaparición forzada, secuestro, reclutamiento y desplazamiento forzado) se utilizan estas cifras, ya que son el resultado de la integración y análisis de 112 bases de datos</w:t>
      </w:r>
      <w:r w:rsidR="00B04A7B">
        <w:rPr>
          <w:rStyle w:val="Refdenotaalpie"/>
        </w:rPr>
        <w:footnoteReference w:id="106"/>
      </w:r>
      <w:r>
        <w:t xml:space="preserve"> de la</w:t>
      </w:r>
      <w:r w:rsidR="00B04A7B">
        <w:t xml:space="preserve"> </w:t>
      </w:r>
      <w:r w:rsidR="00B04A7B" w:rsidRPr="00B04A7B">
        <w:t>información faltante</w:t>
      </w:r>
      <w:r w:rsidR="00B04A7B">
        <w:rPr>
          <w:rStyle w:val="Refdenotaalpie"/>
        </w:rPr>
        <w:footnoteReference w:id="107"/>
      </w:r>
      <w:r w:rsidR="00B04A7B" w:rsidRPr="00B04A7B">
        <w:t>. Para otras violaciones que se encuentran registradas tanto en el Centro Nacional de Memoria Histórica (CNMH) como en el Registro Único de Víctimas (RUV), se hace contrastación de estas fuentes. Por último, para las violaciones sobre las que no se encuentra información en este tipo de bases, se utiliza la base de datos de la Comisión de la Verdad. Además, esta última se utiliza para hablar de modalidades y contextos de las violaciones, ya que cuenta con información completa al respecto.</w:t>
      </w:r>
    </w:p>
    <w:p w:rsidR="003804AC" w:rsidRDefault="00AF18A5" w:rsidP="00B04A7B">
      <w:bookmarkStart w:id="183" w:name="_bookmark119"/>
      <w:bookmarkStart w:id="184" w:name="_bookmark120"/>
      <w:bookmarkEnd w:id="183"/>
      <w:bookmarkEnd w:id="184"/>
      <w:r>
        <w:rPr>
          <w:spacing w:val="-6"/>
        </w:rPr>
        <w:t>La</w:t>
      </w:r>
      <w:r w:rsidR="00B04A7B">
        <w:rPr>
          <w:spacing w:val="-6"/>
        </w:rPr>
        <w:t xml:space="preserve"> </w:t>
      </w:r>
      <w:r>
        <w:t>gráfica a continuación presenta la dimensión de cuatro violaciones analizadas por el Proyecto JEP-CEV-HRDAG en el tiempo</w:t>
      </w:r>
    </w:p>
    <w:p w:rsidR="00B04A7B" w:rsidRDefault="00AF18A5" w:rsidP="00B04A7B">
      <w:pPr>
        <w:pStyle w:val="Textoindependiente"/>
        <w:keepNext/>
        <w:ind w:left="505"/>
      </w:pPr>
      <w:bookmarkStart w:id="185" w:name="_bookmark121"/>
      <w:bookmarkStart w:id="186" w:name="_bookmark122"/>
      <w:bookmarkEnd w:id="185"/>
      <w:bookmarkEnd w:id="186"/>
      <w:r>
        <w:rPr>
          <w:noProof/>
          <w:sz w:val="20"/>
        </w:rPr>
        <w:lastRenderedPageBreak/>
        <w:drawing>
          <wp:inline distT="0" distB="0" distL="0" distR="0">
            <wp:extent cx="5648927" cy="3755136"/>
            <wp:effectExtent l="0" t="0" r="0" b="0"/>
            <wp:docPr id="3" name="image2.jpeg"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5648927" cy="3755136"/>
                    </a:xfrm>
                    <a:prstGeom prst="rect">
                      <a:avLst/>
                    </a:prstGeom>
                  </pic:spPr>
                </pic:pic>
              </a:graphicData>
            </a:graphic>
          </wp:inline>
        </w:drawing>
      </w:r>
    </w:p>
    <w:p w:rsidR="0011361F" w:rsidRDefault="00B04A7B" w:rsidP="00B04A7B">
      <w:pPr>
        <w:pStyle w:val="Descripcin"/>
        <w:rPr>
          <w:sz w:val="20"/>
        </w:rPr>
      </w:pPr>
      <w:r>
        <w:t xml:space="preserve">Gráfica </w:t>
      </w:r>
      <w:r w:rsidR="005F4072">
        <w:fldChar w:fldCharType="begin"/>
      </w:r>
      <w:r w:rsidR="005F4072">
        <w:instrText xml:space="preserve"> SEQ Gráfica \* ARABIC </w:instrText>
      </w:r>
      <w:r w:rsidR="005F4072">
        <w:fldChar w:fldCharType="separate"/>
      </w:r>
      <w:r w:rsidR="005F4072">
        <w:rPr>
          <w:noProof/>
        </w:rPr>
        <w:t>1</w:t>
      </w:r>
      <w:r w:rsidR="005F4072">
        <w:fldChar w:fldCharType="end"/>
      </w:r>
      <w:r w:rsidRPr="00DB4D5D">
        <w:t>. Cantidad de víctimas en el tiempo, acumulado por tipo de violencia según la integración final de datos</w:t>
      </w:r>
      <w:r w:rsidR="00BF447B">
        <w:rPr>
          <w:rStyle w:val="Refdenotaalpie"/>
        </w:rPr>
        <w:footnoteReference w:id="108"/>
      </w:r>
    </w:p>
    <w:p w:rsidR="0011361F" w:rsidRDefault="00AF18A5" w:rsidP="00BF447B">
      <w:r>
        <w:rPr>
          <w:i/>
        </w:rPr>
        <w:t>Fuente:</w:t>
      </w:r>
      <w:r>
        <w:rPr>
          <w:i/>
          <w:spacing w:val="-2"/>
        </w:rPr>
        <w:t xml:space="preserve"> </w:t>
      </w:r>
      <w:r>
        <w:rPr>
          <w:i/>
        </w:rPr>
        <w:t>Fuente:</w:t>
      </w:r>
      <w:r>
        <w:rPr>
          <w:i/>
          <w:spacing w:val="-2"/>
        </w:rPr>
        <w:t xml:space="preserve"> </w:t>
      </w:r>
      <w:r>
        <w:t>proyecto</w:t>
      </w:r>
      <w:r>
        <w:rPr>
          <w:spacing w:val="-2"/>
        </w:rPr>
        <w:t xml:space="preserve"> </w:t>
      </w:r>
      <w:r>
        <w:t>JEP-CEV-HRDAG.</w:t>
      </w:r>
      <w:r>
        <w:rPr>
          <w:spacing w:val="-2"/>
        </w:rPr>
        <w:t xml:space="preserve"> </w:t>
      </w:r>
      <w:r>
        <w:t>Corte</w:t>
      </w:r>
      <w:r>
        <w:rPr>
          <w:spacing w:val="-2"/>
        </w:rPr>
        <w:t xml:space="preserve"> </w:t>
      </w:r>
      <w:r>
        <w:t>26</w:t>
      </w:r>
      <w:r>
        <w:rPr>
          <w:spacing w:val="-2"/>
        </w:rPr>
        <w:t xml:space="preserve"> </w:t>
      </w:r>
      <w:r>
        <w:t>de</w:t>
      </w:r>
      <w:r>
        <w:rPr>
          <w:spacing w:val="-3"/>
        </w:rPr>
        <w:t xml:space="preserve"> </w:t>
      </w:r>
      <w:r>
        <w:t>junio</w:t>
      </w:r>
      <w:r>
        <w:rPr>
          <w:spacing w:val="-2"/>
        </w:rPr>
        <w:t xml:space="preserve"> </w:t>
      </w:r>
      <w:r>
        <w:t>de</w:t>
      </w:r>
      <w:r>
        <w:rPr>
          <w:spacing w:val="-1"/>
        </w:rPr>
        <w:t xml:space="preserve"> </w:t>
      </w:r>
      <w:r>
        <w:rPr>
          <w:spacing w:val="-2"/>
        </w:rPr>
        <w:t>2022.</w:t>
      </w:r>
    </w:p>
    <w:p w:rsidR="0011361F" w:rsidRDefault="00AF18A5" w:rsidP="002B6D10">
      <w:r>
        <w:t>Esta</w:t>
      </w:r>
      <w:r>
        <w:rPr>
          <w:spacing w:val="-3"/>
        </w:rPr>
        <w:t xml:space="preserve"> </w:t>
      </w:r>
      <w:r>
        <w:t>gráfica</w:t>
      </w:r>
      <w:r>
        <w:rPr>
          <w:spacing w:val="-5"/>
        </w:rPr>
        <w:t xml:space="preserve"> </w:t>
      </w:r>
      <w:r>
        <w:t>muestra</w:t>
      </w:r>
      <w:r>
        <w:rPr>
          <w:spacing w:val="-3"/>
        </w:rPr>
        <w:t xml:space="preserve"> </w:t>
      </w:r>
      <w:r>
        <w:t>la</w:t>
      </w:r>
      <w:r>
        <w:rPr>
          <w:spacing w:val="-5"/>
        </w:rPr>
        <w:t xml:space="preserve"> </w:t>
      </w:r>
      <w:r>
        <w:t>magnitud</w:t>
      </w:r>
      <w:r>
        <w:rPr>
          <w:spacing w:val="-4"/>
        </w:rPr>
        <w:t xml:space="preserve"> </w:t>
      </w:r>
      <w:r>
        <w:t>de</w:t>
      </w:r>
      <w:r>
        <w:rPr>
          <w:spacing w:val="-5"/>
        </w:rPr>
        <w:t xml:space="preserve"> </w:t>
      </w:r>
      <w:r>
        <w:t>la</w:t>
      </w:r>
      <w:r>
        <w:rPr>
          <w:spacing w:val="-3"/>
        </w:rPr>
        <w:t xml:space="preserve"> </w:t>
      </w:r>
      <w:r>
        <w:t>violencia</w:t>
      </w:r>
      <w:r>
        <w:rPr>
          <w:spacing w:val="-5"/>
        </w:rPr>
        <w:t xml:space="preserve"> </w:t>
      </w:r>
      <w:r>
        <w:t>en</w:t>
      </w:r>
      <w:r>
        <w:rPr>
          <w:spacing w:val="-4"/>
        </w:rPr>
        <w:t xml:space="preserve"> </w:t>
      </w:r>
      <w:r>
        <w:t>Colombia.</w:t>
      </w:r>
      <w:r>
        <w:rPr>
          <w:spacing w:val="-4"/>
        </w:rPr>
        <w:t xml:space="preserve"> </w:t>
      </w:r>
      <w:r>
        <w:t>De</w:t>
      </w:r>
      <w:r>
        <w:rPr>
          <w:spacing w:val="-3"/>
        </w:rPr>
        <w:t xml:space="preserve"> </w:t>
      </w:r>
      <w:r>
        <w:t>las</w:t>
      </w:r>
      <w:r>
        <w:rPr>
          <w:spacing w:val="-3"/>
        </w:rPr>
        <w:t xml:space="preserve"> </w:t>
      </w:r>
      <w:r>
        <w:t>violaciones</w:t>
      </w:r>
      <w:r>
        <w:rPr>
          <w:spacing w:val="-3"/>
        </w:rPr>
        <w:t xml:space="preserve"> </w:t>
      </w:r>
      <w:r>
        <w:t>analizadas por el Proyecto JEP-CEV-HRDAG, los homicidios son la gran mayoría, seguida de la desaparición forzada, el secuestro y el reclutamiento. En su conjunto, llevan a un pico muy pronunciado de víctimas en 2002 y luego descienden constantemente hasta tener un nuevo aumento, aunque más reducido, en 2007, principalmente la desaparición forzada y los homicidios.</w:t>
      </w:r>
      <w:r>
        <w:rPr>
          <w:spacing w:val="-5"/>
        </w:rPr>
        <w:t xml:space="preserve"> </w:t>
      </w:r>
      <w:r>
        <w:t>A</w:t>
      </w:r>
      <w:r>
        <w:rPr>
          <w:spacing w:val="-4"/>
        </w:rPr>
        <w:t xml:space="preserve"> </w:t>
      </w:r>
      <w:r>
        <w:t>partir</w:t>
      </w:r>
      <w:r>
        <w:rPr>
          <w:spacing w:val="-3"/>
        </w:rPr>
        <w:t xml:space="preserve"> </w:t>
      </w:r>
      <w:r>
        <w:t>de</w:t>
      </w:r>
      <w:r>
        <w:rPr>
          <w:spacing w:val="-3"/>
        </w:rPr>
        <w:t xml:space="preserve"> </w:t>
      </w:r>
      <w:r>
        <w:t>2010</w:t>
      </w:r>
      <w:r>
        <w:rPr>
          <w:spacing w:val="-4"/>
        </w:rPr>
        <w:t xml:space="preserve"> </w:t>
      </w:r>
      <w:r>
        <w:t>y</w:t>
      </w:r>
      <w:r>
        <w:rPr>
          <w:spacing w:val="-4"/>
        </w:rPr>
        <w:t xml:space="preserve"> </w:t>
      </w:r>
      <w:r>
        <w:t>hasta</w:t>
      </w:r>
      <w:r>
        <w:rPr>
          <w:spacing w:val="-4"/>
        </w:rPr>
        <w:t xml:space="preserve"> </w:t>
      </w:r>
      <w:r>
        <w:t>2016</w:t>
      </w:r>
      <w:r>
        <w:rPr>
          <w:spacing w:val="-4"/>
        </w:rPr>
        <w:t xml:space="preserve"> </w:t>
      </w:r>
      <w:r>
        <w:t>hay</w:t>
      </w:r>
      <w:r>
        <w:rPr>
          <w:spacing w:val="-4"/>
        </w:rPr>
        <w:t xml:space="preserve"> </w:t>
      </w:r>
      <w:r>
        <w:t>un</w:t>
      </w:r>
      <w:r>
        <w:rPr>
          <w:spacing w:val="-4"/>
        </w:rPr>
        <w:t xml:space="preserve"> </w:t>
      </w:r>
      <w:r>
        <w:t>permanente</w:t>
      </w:r>
      <w:r>
        <w:rPr>
          <w:spacing w:val="-5"/>
        </w:rPr>
        <w:t xml:space="preserve"> </w:t>
      </w:r>
      <w:r>
        <w:t>y</w:t>
      </w:r>
      <w:r>
        <w:rPr>
          <w:spacing w:val="-4"/>
        </w:rPr>
        <w:t xml:space="preserve"> </w:t>
      </w:r>
      <w:r>
        <w:t>gradual</w:t>
      </w:r>
      <w:r>
        <w:rPr>
          <w:spacing w:val="-4"/>
        </w:rPr>
        <w:t xml:space="preserve"> </w:t>
      </w:r>
      <w:r>
        <w:t>descenso,</w:t>
      </w:r>
      <w:r>
        <w:rPr>
          <w:spacing w:val="-4"/>
        </w:rPr>
        <w:t xml:space="preserve"> </w:t>
      </w:r>
      <w:r>
        <w:t>aunque</w:t>
      </w:r>
      <w:r>
        <w:rPr>
          <w:spacing w:val="-3"/>
        </w:rPr>
        <w:t xml:space="preserve"> </w:t>
      </w:r>
      <w:r>
        <w:t>la violencia</w:t>
      </w:r>
      <w:r>
        <w:rPr>
          <w:spacing w:val="-7"/>
        </w:rPr>
        <w:t xml:space="preserve"> </w:t>
      </w:r>
      <w:r>
        <w:t>persiste,</w:t>
      </w:r>
      <w:r>
        <w:rPr>
          <w:spacing w:val="-7"/>
        </w:rPr>
        <w:t xml:space="preserve"> </w:t>
      </w:r>
      <w:r>
        <w:t>sobre</w:t>
      </w:r>
      <w:r>
        <w:rPr>
          <w:spacing w:val="-8"/>
        </w:rPr>
        <w:t xml:space="preserve"> </w:t>
      </w:r>
      <w:r>
        <w:lastRenderedPageBreak/>
        <w:t>todo</w:t>
      </w:r>
      <w:r>
        <w:rPr>
          <w:spacing w:val="-7"/>
        </w:rPr>
        <w:t xml:space="preserve"> </w:t>
      </w:r>
      <w:r>
        <w:t>en</w:t>
      </w:r>
      <w:r>
        <w:rPr>
          <w:spacing w:val="-7"/>
        </w:rPr>
        <w:t xml:space="preserve"> </w:t>
      </w:r>
      <w:r>
        <w:t>relación</w:t>
      </w:r>
      <w:r>
        <w:rPr>
          <w:spacing w:val="-7"/>
        </w:rPr>
        <w:t xml:space="preserve"> </w:t>
      </w:r>
      <w:r>
        <w:t>con</w:t>
      </w:r>
      <w:r>
        <w:rPr>
          <w:spacing w:val="-7"/>
        </w:rPr>
        <w:t xml:space="preserve"> </w:t>
      </w:r>
      <w:r>
        <w:t>los</w:t>
      </w:r>
      <w:r>
        <w:rPr>
          <w:spacing w:val="-7"/>
        </w:rPr>
        <w:t xml:space="preserve"> </w:t>
      </w:r>
      <w:r>
        <w:t>homicidios</w:t>
      </w:r>
      <w:r>
        <w:rPr>
          <w:spacing w:val="-8"/>
        </w:rPr>
        <w:t xml:space="preserve"> </w:t>
      </w:r>
      <w:r>
        <w:t>que</w:t>
      </w:r>
      <w:r>
        <w:rPr>
          <w:spacing w:val="-7"/>
        </w:rPr>
        <w:t xml:space="preserve"> </w:t>
      </w:r>
      <w:r>
        <w:t>tienen</w:t>
      </w:r>
      <w:r>
        <w:rPr>
          <w:spacing w:val="-7"/>
        </w:rPr>
        <w:t xml:space="preserve"> </w:t>
      </w:r>
      <w:r>
        <w:t>una</w:t>
      </w:r>
      <w:r>
        <w:rPr>
          <w:spacing w:val="-7"/>
        </w:rPr>
        <w:t xml:space="preserve"> </w:t>
      </w:r>
      <w:r>
        <w:t>tendencia</w:t>
      </w:r>
      <w:r>
        <w:rPr>
          <w:spacing w:val="-8"/>
        </w:rPr>
        <w:t xml:space="preserve"> </w:t>
      </w:r>
      <w:r>
        <w:t>que</w:t>
      </w:r>
      <w:r>
        <w:rPr>
          <w:spacing w:val="-7"/>
        </w:rPr>
        <w:t xml:space="preserve"> </w:t>
      </w:r>
      <w:r>
        <w:t>se mantiene en el tiempo, inclusive con un aumento para el periodo 2017-2018, fechas en que el secuestro y el reclutamiento prácticamente están reducidos a sus mínimos</w:t>
      </w:r>
      <w:r w:rsidR="002B6D10">
        <w:rPr>
          <w:rStyle w:val="Refdenotaalpie"/>
        </w:rPr>
        <w:footnoteReference w:id="109"/>
      </w:r>
      <w:r>
        <w:t>.</w:t>
      </w:r>
    </w:p>
    <w:p w:rsidR="003804AC" w:rsidRDefault="00AF18A5" w:rsidP="002B6D10">
      <w:bookmarkStart w:id="187" w:name="_bookmark123"/>
      <w:bookmarkEnd w:id="187"/>
      <w:r>
        <w:t>El perfil de las víctimas en homicidio, desaparición forzada y secuestro correspondió en su mayoría a hombres, adultos, mestizos</w:t>
      </w:r>
      <w:r w:rsidR="00396E32">
        <w:rPr>
          <w:rStyle w:val="Refdenotaalpie"/>
        </w:rPr>
        <w:footnoteReference w:id="110"/>
      </w:r>
      <w:r>
        <w:t>. Este patrón es diferente en desplazamiento, donde el dato de mujeres es ligeramente superior (52</w:t>
      </w:r>
      <w:r>
        <w:rPr>
          <w:spacing w:val="-2"/>
        </w:rPr>
        <w:t xml:space="preserve"> </w:t>
      </w:r>
      <w:r>
        <w:t>%), así como la distribución entre adultos</w:t>
      </w:r>
      <w:r>
        <w:rPr>
          <w:spacing w:val="-15"/>
        </w:rPr>
        <w:t xml:space="preserve"> </w:t>
      </w:r>
      <w:r>
        <w:t>y</w:t>
      </w:r>
      <w:r>
        <w:rPr>
          <w:spacing w:val="-15"/>
        </w:rPr>
        <w:t xml:space="preserve"> </w:t>
      </w:r>
      <w:r>
        <w:t>menores</w:t>
      </w:r>
      <w:r>
        <w:rPr>
          <w:spacing w:val="-15"/>
        </w:rPr>
        <w:t xml:space="preserve"> </w:t>
      </w:r>
      <w:r>
        <w:t>de</w:t>
      </w:r>
      <w:r>
        <w:rPr>
          <w:spacing w:val="-15"/>
        </w:rPr>
        <w:t xml:space="preserve"> </w:t>
      </w:r>
      <w:r>
        <w:t>edad</w:t>
      </w:r>
      <w:r>
        <w:rPr>
          <w:spacing w:val="-15"/>
        </w:rPr>
        <w:t xml:space="preserve"> </w:t>
      </w:r>
      <w:r>
        <w:t>(prácticamente</w:t>
      </w:r>
      <w:r>
        <w:rPr>
          <w:spacing w:val="-15"/>
        </w:rPr>
        <w:t xml:space="preserve"> </w:t>
      </w:r>
      <w:r>
        <w:t>el</w:t>
      </w:r>
      <w:r>
        <w:rPr>
          <w:spacing w:val="-15"/>
        </w:rPr>
        <w:t xml:space="preserve"> </w:t>
      </w:r>
      <w:r>
        <w:t>50</w:t>
      </w:r>
      <w:r>
        <w:rPr>
          <w:spacing w:val="-8"/>
        </w:rPr>
        <w:t xml:space="preserve"> </w:t>
      </w:r>
      <w:r>
        <w:t>%).</w:t>
      </w:r>
      <w:r>
        <w:rPr>
          <w:spacing w:val="-15"/>
        </w:rPr>
        <w:t xml:space="preserve"> </w:t>
      </w:r>
      <w:r>
        <w:t>De</w:t>
      </w:r>
      <w:r>
        <w:rPr>
          <w:spacing w:val="-15"/>
        </w:rPr>
        <w:t xml:space="preserve"> </w:t>
      </w:r>
      <w:r>
        <w:t>las</w:t>
      </w:r>
      <w:r>
        <w:rPr>
          <w:spacing w:val="-15"/>
        </w:rPr>
        <w:t xml:space="preserve"> </w:t>
      </w:r>
      <w:r>
        <w:t>víctimas</w:t>
      </w:r>
      <w:r>
        <w:rPr>
          <w:spacing w:val="-15"/>
        </w:rPr>
        <w:t xml:space="preserve"> </w:t>
      </w:r>
      <w:r>
        <w:t>de</w:t>
      </w:r>
      <w:r>
        <w:rPr>
          <w:spacing w:val="-15"/>
        </w:rPr>
        <w:t xml:space="preserve"> </w:t>
      </w:r>
      <w:r>
        <w:t>reclutamiento,</w:t>
      </w:r>
      <w:r>
        <w:rPr>
          <w:spacing w:val="-15"/>
        </w:rPr>
        <w:t xml:space="preserve"> </w:t>
      </w:r>
      <w:r>
        <w:t>el</w:t>
      </w:r>
      <w:r>
        <w:rPr>
          <w:spacing w:val="-15"/>
        </w:rPr>
        <w:t xml:space="preserve"> </w:t>
      </w:r>
      <w:r>
        <w:t>30</w:t>
      </w:r>
      <w:r>
        <w:rPr>
          <w:spacing w:val="-3"/>
        </w:rPr>
        <w:t xml:space="preserve"> </w:t>
      </w:r>
      <w:r>
        <w:t>% eran niñas y el 70</w:t>
      </w:r>
      <w:r>
        <w:rPr>
          <w:spacing w:val="-4"/>
        </w:rPr>
        <w:t xml:space="preserve"> </w:t>
      </w:r>
      <w:r>
        <w:t>% niños. El dato referido a pueblos étnicos es mayor en reclutamiento y desplazamiento (aproximadamente 20</w:t>
      </w:r>
      <w:r>
        <w:rPr>
          <w:spacing w:val="-3"/>
        </w:rPr>
        <w:t xml:space="preserve"> </w:t>
      </w:r>
      <w:r>
        <w:t>%), respecto a los de homicidios (9</w:t>
      </w:r>
      <w:r>
        <w:rPr>
          <w:spacing w:val="-2"/>
        </w:rPr>
        <w:t xml:space="preserve"> </w:t>
      </w:r>
      <w:r>
        <w:t>%), secuestro y desaparición forzada (14</w:t>
      </w:r>
      <w:r>
        <w:rPr>
          <w:spacing w:val="-4"/>
        </w:rPr>
        <w:t xml:space="preserve"> </w:t>
      </w:r>
      <w:r>
        <w:t>% ambas)</w:t>
      </w:r>
      <w:r w:rsidR="00396E32">
        <w:rPr>
          <w:rStyle w:val="Refdenotaalpie"/>
        </w:rPr>
        <w:footnoteReference w:id="111"/>
      </w:r>
      <w:r>
        <w:t>, aunque en este caso hay que tener en cuenta el</w:t>
      </w:r>
      <w:r>
        <w:rPr>
          <w:spacing w:val="-3"/>
        </w:rPr>
        <w:t xml:space="preserve"> </w:t>
      </w:r>
      <w:r>
        <w:t>% de población general que representan y otros impactos diferenciales.</w:t>
      </w:r>
    </w:p>
    <w:p w:rsidR="0011361F" w:rsidRPr="002B6D10" w:rsidRDefault="00AF18A5" w:rsidP="004A6EF4">
      <w:pPr>
        <w:pStyle w:val="Ttulo3"/>
        <w:numPr>
          <w:ilvl w:val="1"/>
          <w:numId w:val="16"/>
        </w:numPr>
      </w:pPr>
      <w:bookmarkStart w:id="188" w:name="3.1._Los_civiles,_los_más_vulnerados_en_"/>
      <w:bookmarkStart w:id="189" w:name="_Toc112399560"/>
      <w:bookmarkEnd w:id="188"/>
      <w:r w:rsidRPr="002B6D10">
        <w:lastRenderedPageBreak/>
        <w:t>Los civiles, los más vulnerados en su derecho a la vida</w:t>
      </w:r>
      <w:bookmarkEnd w:id="189"/>
    </w:p>
    <w:p w:rsidR="003804AC" w:rsidRDefault="00AF18A5" w:rsidP="00396E32">
      <w:r>
        <w:t>«[L]a fiesta se estaba haciendo con el objetivo de reunir fondos para matrículas y comprar útiles</w:t>
      </w:r>
      <w:r>
        <w:rPr>
          <w:spacing w:val="-1"/>
        </w:rPr>
        <w:t xml:space="preserve"> </w:t>
      </w:r>
      <w:r>
        <w:t>de</w:t>
      </w:r>
      <w:r>
        <w:rPr>
          <w:spacing w:val="-1"/>
        </w:rPr>
        <w:t xml:space="preserve"> </w:t>
      </w:r>
      <w:r>
        <w:t>los</w:t>
      </w:r>
      <w:r>
        <w:rPr>
          <w:spacing w:val="-2"/>
        </w:rPr>
        <w:t xml:space="preserve"> </w:t>
      </w:r>
      <w:r>
        <w:t>niños</w:t>
      </w:r>
      <w:r>
        <w:rPr>
          <w:spacing w:val="-1"/>
        </w:rPr>
        <w:t xml:space="preserve"> </w:t>
      </w:r>
      <w:r>
        <w:t>[...].</w:t>
      </w:r>
      <w:r>
        <w:rPr>
          <w:spacing w:val="-1"/>
        </w:rPr>
        <w:t xml:space="preserve"> </w:t>
      </w:r>
      <w:r>
        <w:t>Estábamos</w:t>
      </w:r>
      <w:r>
        <w:rPr>
          <w:spacing w:val="-1"/>
        </w:rPr>
        <w:t xml:space="preserve"> </w:t>
      </w:r>
      <w:r>
        <w:t>bailando</w:t>
      </w:r>
      <w:r>
        <w:rPr>
          <w:spacing w:val="-1"/>
        </w:rPr>
        <w:t xml:space="preserve"> </w:t>
      </w:r>
      <w:r>
        <w:t>como</w:t>
      </w:r>
      <w:r>
        <w:rPr>
          <w:spacing w:val="-2"/>
        </w:rPr>
        <w:t xml:space="preserve"> </w:t>
      </w:r>
      <w:r>
        <w:t>tres,</w:t>
      </w:r>
      <w:r>
        <w:rPr>
          <w:spacing w:val="-1"/>
        </w:rPr>
        <w:t xml:space="preserve"> </w:t>
      </w:r>
      <w:r>
        <w:t>cuatro</w:t>
      </w:r>
      <w:r>
        <w:rPr>
          <w:spacing w:val="-3"/>
        </w:rPr>
        <w:t xml:space="preserve"> </w:t>
      </w:r>
      <w:r>
        <w:t>discos</w:t>
      </w:r>
      <w:r>
        <w:rPr>
          <w:spacing w:val="-1"/>
        </w:rPr>
        <w:t xml:space="preserve"> </w:t>
      </w:r>
      <w:r>
        <w:t>seguidos</w:t>
      </w:r>
      <w:r>
        <w:rPr>
          <w:spacing w:val="-1"/>
        </w:rPr>
        <w:t xml:space="preserve"> </w:t>
      </w:r>
      <w:r>
        <w:t>sin</w:t>
      </w:r>
      <w:r>
        <w:rPr>
          <w:spacing w:val="-1"/>
        </w:rPr>
        <w:t xml:space="preserve"> </w:t>
      </w:r>
      <w:r>
        <w:t>sentarnos, entonces</w:t>
      </w:r>
      <w:r>
        <w:rPr>
          <w:spacing w:val="-9"/>
        </w:rPr>
        <w:t xml:space="preserve"> </w:t>
      </w:r>
      <w:r>
        <w:t>me</w:t>
      </w:r>
      <w:r>
        <w:rPr>
          <w:spacing w:val="-10"/>
        </w:rPr>
        <w:t xml:space="preserve"> </w:t>
      </w:r>
      <w:r>
        <w:t>cansé</w:t>
      </w:r>
      <w:r>
        <w:rPr>
          <w:spacing w:val="-9"/>
        </w:rPr>
        <w:t xml:space="preserve"> </w:t>
      </w:r>
      <w:r>
        <w:t>y</w:t>
      </w:r>
      <w:r>
        <w:rPr>
          <w:spacing w:val="-9"/>
        </w:rPr>
        <w:t xml:space="preserve"> </w:t>
      </w:r>
      <w:r>
        <w:t>“¡ay,</w:t>
      </w:r>
      <w:r>
        <w:rPr>
          <w:spacing w:val="-9"/>
        </w:rPr>
        <w:t xml:space="preserve"> </w:t>
      </w:r>
      <w:r>
        <w:t>sentémonos</w:t>
      </w:r>
      <w:r>
        <w:rPr>
          <w:spacing w:val="-9"/>
        </w:rPr>
        <w:t xml:space="preserve"> </w:t>
      </w:r>
      <w:r>
        <w:t>porque</w:t>
      </w:r>
      <w:r>
        <w:rPr>
          <w:spacing w:val="-9"/>
        </w:rPr>
        <w:t xml:space="preserve"> </w:t>
      </w:r>
      <w:r>
        <w:t>estoy</w:t>
      </w:r>
      <w:r>
        <w:rPr>
          <w:spacing w:val="-9"/>
        </w:rPr>
        <w:t xml:space="preserve"> </w:t>
      </w:r>
      <w:r>
        <w:t>cansada!”.</w:t>
      </w:r>
      <w:r>
        <w:rPr>
          <w:spacing w:val="-9"/>
        </w:rPr>
        <w:t xml:space="preserve"> </w:t>
      </w:r>
      <w:r>
        <w:t>[...]</w:t>
      </w:r>
      <w:r>
        <w:rPr>
          <w:spacing w:val="-9"/>
        </w:rPr>
        <w:t xml:space="preserve"> </w:t>
      </w:r>
      <w:r>
        <w:t>cuando</w:t>
      </w:r>
      <w:r>
        <w:rPr>
          <w:spacing w:val="-9"/>
        </w:rPr>
        <w:t xml:space="preserve"> </w:t>
      </w:r>
      <w:r>
        <w:t>nos</w:t>
      </w:r>
      <w:r>
        <w:rPr>
          <w:spacing w:val="-9"/>
        </w:rPr>
        <w:t xml:space="preserve"> </w:t>
      </w:r>
      <w:r>
        <w:t>sentamos,</w:t>
      </w:r>
      <w:r>
        <w:rPr>
          <w:spacing w:val="-9"/>
        </w:rPr>
        <w:t xml:space="preserve"> </w:t>
      </w:r>
      <w:r>
        <w:t>yo veo que viene un grupo de hombres uniformados, del frente, de la carretera del frente, la principal, y empezó la gente a correr, la gente corría por todos lados, y yo, cuando la gente corrió, lo cogí a él: “¡Vamos, vamos!”. Y él me dice: “¡No, no, no, siéntate, ese es el Ejército!”.</w:t>
      </w:r>
      <w:r>
        <w:rPr>
          <w:spacing w:val="-6"/>
        </w:rPr>
        <w:t xml:space="preserve"> </w:t>
      </w:r>
      <w:r>
        <w:t>[...]</w:t>
      </w:r>
      <w:r>
        <w:rPr>
          <w:spacing w:val="-6"/>
        </w:rPr>
        <w:t xml:space="preserve"> </w:t>
      </w:r>
      <w:r>
        <w:t>pero</w:t>
      </w:r>
      <w:r>
        <w:rPr>
          <w:spacing w:val="-6"/>
        </w:rPr>
        <w:t xml:space="preserve"> </w:t>
      </w:r>
      <w:r>
        <w:t>no,</w:t>
      </w:r>
      <w:r>
        <w:rPr>
          <w:spacing w:val="-6"/>
        </w:rPr>
        <w:t xml:space="preserve"> </w:t>
      </w:r>
      <w:r>
        <w:t>esa</w:t>
      </w:r>
      <w:r>
        <w:rPr>
          <w:spacing w:val="-6"/>
        </w:rPr>
        <w:t xml:space="preserve"> </w:t>
      </w:r>
      <w:r>
        <w:t>gente</w:t>
      </w:r>
      <w:r>
        <w:rPr>
          <w:spacing w:val="-6"/>
        </w:rPr>
        <w:t xml:space="preserve"> </w:t>
      </w:r>
      <w:r>
        <w:t>no</w:t>
      </w:r>
      <w:r>
        <w:rPr>
          <w:spacing w:val="-6"/>
        </w:rPr>
        <w:t xml:space="preserve"> </w:t>
      </w:r>
      <w:r>
        <w:t>llegó</w:t>
      </w:r>
      <w:r>
        <w:rPr>
          <w:spacing w:val="-6"/>
        </w:rPr>
        <w:t xml:space="preserve"> </w:t>
      </w:r>
      <w:r>
        <w:t>como</w:t>
      </w:r>
      <w:r>
        <w:rPr>
          <w:spacing w:val="-7"/>
        </w:rPr>
        <w:t xml:space="preserve"> </w:t>
      </w:r>
      <w:r>
        <w:t>militares.</w:t>
      </w:r>
      <w:r>
        <w:rPr>
          <w:spacing w:val="-6"/>
        </w:rPr>
        <w:t xml:space="preserve"> </w:t>
      </w:r>
      <w:r>
        <w:t>Los</w:t>
      </w:r>
      <w:r>
        <w:rPr>
          <w:spacing w:val="-6"/>
        </w:rPr>
        <w:t xml:space="preserve"> </w:t>
      </w:r>
      <w:r>
        <w:t>que</w:t>
      </w:r>
      <w:r>
        <w:rPr>
          <w:spacing w:val="-6"/>
        </w:rPr>
        <w:t xml:space="preserve"> </w:t>
      </w:r>
      <w:r>
        <w:t>yo</w:t>
      </w:r>
      <w:r>
        <w:rPr>
          <w:spacing w:val="-6"/>
        </w:rPr>
        <w:t xml:space="preserve"> </w:t>
      </w:r>
      <w:r>
        <w:t>vi</w:t>
      </w:r>
      <w:r>
        <w:rPr>
          <w:spacing w:val="-6"/>
        </w:rPr>
        <w:t xml:space="preserve"> </w:t>
      </w:r>
      <w:r>
        <w:t>eran</w:t>
      </w:r>
      <w:r>
        <w:rPr>
          <w:spacing w:val="-6"/>
        </w:rPr>
        <w:t xml:space="preserve"> </w:t>
      </w:r>
      <w:r>
        <w:t>como</w:t>
      </w:r>
      <w:r>
        <w:rPr>
          <w:spacing w:val="-6"/>
        </w:rPr>
        <w:t xml:space="preserve"> </w:t>
      </w:r>
      <w:r>
        <w:t>seis,</w:t>
      </w:r>
      <w:r>
        <w:rPr>
          <w:spacing w:val="-6"/>
        </w:rPr>
        <w:t xml:space="preserve"> </w:t>
      </w:r>
      <w:r>
        <w:t>por ese lado, pero la gente después cuenta que había cuatro por todos los lados, zonas armadas. Esa</w:t>
      </w:r>
      <w:r>
        <w:rPr>
          <w:spacing w:val="14"/>
        </w:rPr>
        <w:t xml:space="preserve"> </w:t>
      </w:r>
      <w:r>
        <w:t>gente</w:t>
      </w:r>
      <w:r>
        <w:rPr>
          <w:spacing w:val="14"/>
        </w:rPr>
        <w:t xml:space="preserve"> </w:t>
      </w:r>
      <w:r>
        <w:t>llegó</w:t>
      </w:r>
      <w:r>
        <w:rPr>
          <w:spacing w:val="15"/>
        </w:rPr>
        <w:t xml:space="preserve"> </w:t>
      </w:r>
      <w:r>
        <w:t>disparando</w:t>
      </w:r>
      <w:r>
        <w:rPr>
          <w:spacing w:val="14"/>
        </w:rPr>
        <w:t xml:space="preserve"> </w:t>
      </w:r>
      <w:r>
        <w:t>de</w:t>
      </w:r>
      <w:r>
        <w:rPr>
          <w:spacing w:val="15"/>
        </w:rPr>
        <w:t xml:space="preserve"> </w:t>
      </w:r>
      <w:r>
        <w:t>una,</w:t>
      </w:r>
      <w:r>
        <w:rPr>
          <w:spacing w:val="14"/>
        </w:rPr>
        <w:t xml:space="preserve"> </w:t>
      </w:r>
      <w:r>
        <w:t>y</w:t>
      </w:r>
      <w:r>
        <w:rPr>
          <w:spacing w:val="14"/>
        </w:rPr>
        <w:t xml:space="preserve"> </w:t>
      </w:r>
      <w:r>
        <w:t>yo</w:t>
      </w:r>
      <w:r>
        <w:rPr>
          <w:spacing w:val="15"/>
        </w:rPr>
        <w:t xml:space="preserve"> </w:t>
      </w:r>
      <w:r>
        <w:t>lo</w:t>
      </w:r>
      <w:r>
        <w:rPr>
          <w:spacing w:val="14"/>
        </w:rPr>
        <w:t xml:space="preserve"> </w:t>
      </w:r>
      <w:r>
        <w:t>que</w:t>
      </w:r>
      <w:r>
        <w:rPr>
          <w:spacing w:val="15"/>
        </w:rPr>
        <w:t xml:space="preserve"> </w:t>
      </w:r>
      <w:r>
        <w:t>vi</w:t>
      </w:r>
      <w:r>
        <w:rPr>
          <w:spacing w:val="15"/>
        </w:rPr>
        <w:t xml:space="preserve"> </w:t>
      </w:r>
      <w:r>
        <w:t>fue</w:t>
      </w:r>
      <w:r>
        <w:rPr>
          <w:spacing w:val="14"/>
        </w:rPr>
        <w:t xml:space="preserve"> </w:t>
      </w:r>
      <w:r>
        <w:t>a</w:t>
      </w:r>
      <w:r>
        <w:rPr>
          <w:spacing w:val="15"/>
        </w:rPr>
        <w:t xml:space="preserve"> </w:t>
      </w:r>
      <w:r>
        <w:t>personas</w:t>
      </w:r>
      <w:r>
        <w:rPr>
          <w:spacing w:val="14"/>
        </w:rPr>
        <w:t xml:space="preserve"> </w:t>
      </w:r>
      <w:r>
        <w:t>tiradas,</w:t>
      </w:r>
      <w:r>
        <w:rPr>
          <w:spacing w:val="14"/>
        </w:rPr>
        <w:t xml:space="preserve"> </w:t>
      </w:r>
      <w:r>
        <w:t>muertas,</w:t>
      </w:r>
      <w:r>
        <w:rPr>
          <w:spacing w:val="14"/>
        </w:rPr>
        <w:t xml:space="preserve"> </w:t>
      </w:r>
      <w:r>
        <w:t>pero</w:t>
      </w:r>
      <w:r>
        <w:rPr>
          <w:spacing w:val="15"/>
        </w:rPr>
        <w:t xml:space="preserve"> </w:t>
      </w:r>
      <w:r>
        <w:rPr>
          <w:spacing w:val="-5"/>
        </w:rPr>
        <w:t>no</w:t>
      </w:r>
      <w:bookmarkStart w:id="190" w:name="_bookmark125"/>
      <w:bookmarkStart w:id="191" w:name="_bookmark126"/>
      <w:bookmarkEnd w:id="190"/>
      <w:bookmarkEnd w:id="191"/>
      <w:r w:rsidR="00396E32">
        <w:rPr>
          <w:spacing w:val="-5"/>
        </w:rPr>
        <w:t xml:space="preserve"> </w:t>
      </w:r>
      <w:r>
        <w:t xml:space="preserve">eran unos muertos así, eran personas desbaratadas, y entonces yo dije: “Van a matar a mi </w:t>
      </w:r>
      <w:r>
        <w:rPr>
          <w:spacing w:val="-2"/>
        </w:rPr>
        <w:t>esposo”»</w:t>
      </w:r>
      <w:r w:rsidR="00396E32">
        <w:rPr>
          <w:rStyle w:val="Refdenotaalpie"/>
          <w:spacing w:val="-2"/>
        </w:rPr>
        <w:footnoteReference w:id="112"/>
      </w:r>
      <w:r>
        <w:rPr>
          <w:spacing w:val="-2"/>
        </w:rPr>
        <w:t>.</w:t>
      </w:r>
    </w:p>
    <w:p w:rsidR="003804AC" w:rsidRDefault="00AF18A5" w:rsidP="00396E32">
      <w:r>
        <w:t>Cada</w:t>
      </w:r>
      <w:r>
        <w:rPr>
          <w:spacing w:val="-5"/>
        </w:rPr>
        <w:t xml:space="preserve"> </w:t>
      </w:r>
      <w:r>
        <w:t>uno</w:t>
      </w:r>
      <w:r>
        <w:rPr>
          <w:spacing w:val="-5"/>
        </w:rPr>
        <w:t xml:space="preserve"> </w:t>
      </w:r>
      <w:r>
        <w:t>de</w:t>
      </w:r>
      <w:r>
        <w:rPr>
          <w:spacing w:val="-3"/>
        </w:rPr>
        <w:t xml:space="preserve"> </w:t>
      </w:r>
      <w:r>
        <w:t>estos</w:t>
      </w:r>
      <w:r>
        <w:rPr>
          <w:spacing w:val="-5"/>
        </w:rPr>
        <w:t xml:space="preserve"> </w:t>
      </w:r>
      <w:r>
        <w:t>datos</w:t>
      </w:r>
      <w:r>
        <w:rPr>
          <w:spacing w:val="-5"/>
        </w:rPr>
        <w:t xml:space="preserve"> </w:t>
      </w:r>
      <w:r>
        <w:t>y</w:t>
      </w:r>
      <w:r>
        <w:rPr>
          <w:spacing w:val="-5"/>
        </w:rPr>
        <w:t xml:space="preserve"> </w:t>
      </w:r>
      <w:r>
        <w:t>cifras</w:t>
      </w:r>
      <w:r>
        <w:rPr>
          <w:spacing w:val="-5"/>
        </w:rPr>
        <w:t xml:space="preserve"> </w:t>
      </w:r>
      <w:r>
        <w:t>que</w:t>
      </w:r>
      <w:r>
        <w:rPr>
          <w:spacing w:val="-6"/>
        </w:rPr>
        <w:t xml:space="preserve"> </w:t>
      </w:r>
      <w:r>
        <w:t>se</w:t>
      </w:r>
      <w:r>
        <w:rPr>
          <w:spacing w:val="-5"/>
        </w:rPr>
        <w:t xml:space="preserve"> </w:t>
      </w:r>
      <w:r>
        <w:t>analizan</w:t>
      </w:r>
      <w:r>
        <w:rPr>
          <w:spacing w:val="-5"/>
        </w:rPr>
        <w:t xml:space="preserve"> </w:t>
      </w:r>
      <w:r>
        <w:t>aquí</w:t>
      </w:r>
      <w:r>
        <w:rPr>
          <w:spacing w:val="-4"/>
        </w:rPr>
        <w:t xml:space="preserve"> </w:t>
      </w:r>
      <w:r>
        <w:t>tiene</w:t>
      </w:r>
      <w:r>
        <w:rPr>
          <w:spacing w:val="-5"/>
        </w:rPr>
        <w:t xml:space="preserve"> </w:t>
      </w:r>
      <w:r>
        <w:t>una</w:t>
      </w:r>
      <w:r>
        <w:rPr>
          <w:spacing w:val="-5"/>
        </w:rPr>
        <w:t xml:space="preserve"> </w:t>
      </w:r>
      <w:r>
        <w:t>historia</w:t>
      </w:r>
      <w:r>
        <w:rPr>
          <w:spacing w:val="-5"/>
        </w:rPr>
        <w:t xml:space="preserve"> </w:t>
      </w:r>
      <w:r>
        <w:t>detrás</w:t>
      </w:r>
      <w:r>
        <w:rPr>
          <w:spacing w:val="-5"/>
        </w:rPr>
        <w:t xml:space="preserve"> </w:t>
      </w:r>
      <w:r>
        <w:t>que</w:t>
      </w:r>
      <w:r>
        <w:rPr>
          <w:spacing w:val="-5"/>
        </w:rPr>
        <w:t xml:space="preserve"> </w:t>
      </w:r>
      <w:r>
        <w:t>merece ser</w:t>
      </w:r>
      <w:r>
        <w:rPr>
          <w:spacing w:val="-2"/>
        </w:rPr>
        <w:t xml:space="preserve"> </w:t>
      </w:r>
      <w:r>
        <w:t>contada</w:t>
      </w:r>
      <w:r>
        <w:rPr>
          <w:spacing w:val="-2"/>
        </w:rPr>
        <w:t xml:space="preserve"> </w:t>
      </w:r>
      <w:r>
        <w:t>y</w:t>
      </w:r>
      <w:r>
        <w:rPr>
          <w:spacing w:val="-2"/>
        </w:rPr>
        <w:t xml:space="preserve"> </w:t>
      </w:r>
      <w:r>
        <w:t>respetada.</w:t>
      </w:r>
      <w:r>
        <w:rPr>
          <w:spacing w:val="-2"/>
        </w:rPr>
        <w:t xml:space="preserve"> </w:t>
      </w:r>
      <w:r>
        <w:t>Cientos</w:t>
      </w:r>
      <w:r>
        <w:rPr>
          <w:spacing w:val="-2"/>
        </w:rPr>
        <w:t xml:space="preserve"> </w:t>
      </w:r>
      <w:r>
        <w:t>de</w:t>
      </w:r>
      <w:r>
        <w:rPr>
          <w:spacing w:val="-2"/>
        </w:rPr>
        <w:t xml:space="preserve"> </w:t>
      </w:r>
      <w:r>
        <w:t>miles</w:t>
      </w:r>
      <w:r>
        <w:rPr>
          <w:spacing w:val="-2"/>
        </w:rPr>
        <w:t xml:space="preserve"> </w:t>
      </w:r>
      <w:r>
        <w:t>de</w:t>
      </w:r>
      <w:r>
        <w:rPr>
          <w:spacing w:val="-2"/>
        </w:rPr>
        <w:t xml:space="preserve"> </w:t>
      </w:r>
      <w:r>
        <w:t>homicidios</w:t>
      </w:r>
      <w:r>
        <w:rPr>
          <w:spacing w:val="-4"/>
        </w:rPr>
        <w:t xml:space="preserve"> </w:t>
      </w:r>
      <w:r>
        <w:t>se</w:t>
      </w:r>
      <w:r>
        <w:rPr>
          <w:spacing w:val="-2"/>
        </w:rPr>
        <w:t xml:space="preserve"> </w:t>
      </w:r>
      <w:r>
        <w:t>han</w:t>
      </w:r>
      <w:r>
        <w:rPr>
          <w:spacing w:val="-2"/>
        </w:rPr>
        <w:t xml:space="preserve"> </w:t>
      </w:r>
      <w:r>
        <w:t>dado</w:t>
      </w:r>
      <w:r>
        <w:rPr>
          <w:spacing w:val="-2"/>
        </w:rPr>
        <w:t xml:space="preserve"> </w:t>
      </w:r>
      <w:r>
        <w:t>en</w:t>
      </w:r>
      <w:r>
        <w:rPr>
          <w:spacing w:val="-1"/>
        </w:rPr>
        <w:t xml:space="preserve"> </w:t>
      </w:r>
      <w:r>
        <w:t>el</w:t>
      </w:r>
      <w:r>
        <w:rPr>
          <w:spacing w:val="-2"/>
        </w:rPr>
        <w:t xml:space="preserve"> </w:t>
      </w:r>
      <w:r>
        <w:t>conflicto</w:t>
      </w:r>
      <w:r>
        <w:rPr>
          <w:spacing w:val="-4"/>
        </w:rPr>
        <w:t xml:space="preserve"> </w:t>
      </w:r>
      <w:r>
        <w:t>armado. Eliminar</w:t>
      </w:r>
      <w:r>
        <w:rPr>
          <w:spacing w:val="-4"/>
        </w:rPr>
        <w:t xml:space="preserve"> </w:t>
      </w:r>
      <w:r>
        <w:t>al</w:t>
      </w:r>
      <w:r>
        <w:rPr>
          <w:spacing w:val="-4"/>
        </w:rPr>
        <w:t xml:space="preserve"> </w:t>
      </w:r>
      <w:r>
        <w:t>otro</w:t>
      </w:r>
      <w:r>
        <w:rPr>
          <w:spacing w:val="-5"/>
        </w:rPr>
        <w:t xml:space="preserve"> </w:t>
      </w:r>
      <w:r>
        <w:t>causándole</w:t>
      </w:r>
      <w:r>
        <w:rPr>
          <w:spacing w:val="-5"/>
        </w:rPr>
        <w:t xml:space="preserve"> </w:t>
      </w:r>
      <w:r>
        <w:t>la</w:t>
      </w:r>
      <w:r>
        <w:rPr>
          <w:spacing w:val="-5"/>
        </w:rPr>
        <w:t xml:space="preserve"> </w:t>
      </w:r>
      <w:r>
        <w:t>muerte</w:t>
      </w:r>
      <w:r>
        <w:rPr>
          <w:spacing w:val="-5"/>
        </w:rPr>
        <w:t xml:space="preserve"> </w:t>
      </w:r>
      <w:r>
        <w:t>es</w:t>
      </w:r>
      <w:r>
        <w:rPr>
          <w:spacing w:val="-5"/>
        </w:rPr>
        <w:t xml:space="preserve"> </w:t>
      </w:r>
      <w:r>
        <w:t>la</w:t>
      </w:r>
      <w:r>
        <w:rPr>
          <w:spacing w:val="-5"/>
        </w:rPr>
        <w:t xml:space="preserve"> </w:t>
      </w:r>
      <w:r>
        <w:t>expresión</w:t>
      </w:r>
      <w:r>
        <w:rPr>
          <w:spacing w:val="-5"/>
        </w:rPr>
        <w:t xml:space="preserve"> </w:t>
      </w:r>
      <w:r>
        <w:t>directa</w:t>
      </w:r>
      <w:r>
        <w:rPr>
          <w:spacing w:val="-6"/>
        </w:rPr>
        <w:t xml:space="preserve"> </w:t>
      </w:r>
      <w:r>
        <w:t>de</w:t>
      </w:r>
      <w:r>
        <w:rPr>
          <w:spacing w:val="-5"/>
        </w:rPr>
        <w:t xml:space="preserve"> </w:t>
      </w:r>
      <w:r>
        <w:t>la</w:t>
      </w:r>
      <w:r>
        <w:rPr>
          <w:spacing w:val="-5"/>
        </w:rPr>
        <w:t xml:space="preserve"> </w:t>
      </w:r>
      <w:r>
        <w:t>guerra.</w:t>
      </w:r>
      <w:r>
        <w:rPr>
          <w:spacing w:val="-6"/>
        </w:rPr>
        <w:t xml:space="preserve"> </w:t>
      </w:r>
      <w:r>
        <w:t>La</w:t>
      </w:r>
      <w:r>
        <w:rPr>
          <w:spacing w:val="-5"/>
        </w:rPr>
        <w:t xml:space="preserve"> </w:t>
      </w:r>
      <w:r>
        <w:t>mayor</w:t>
      </w:r>
      <w:r>
        <w:rPr>
          <w:spacing w:val="-4"/>
        </w:rPr>
        <w:t xml:space="preserve"> </w:t>
      </w:r>
      <w:r>
        <w:t>parte</w:t>
      </w:r>
      <w:r>
        <w:rPr>
          <w:spacing w:val="-5"/>
        </w:rPr>
        <w:t xml:space="preserve"> </w:t>
      </w:r>
      <w:r>
        <w:t>de esas muertes han sido intencionales, dirigidas contra una persona o grupo; otras han sido parte de acciones indiscriminadas, como por el uso de explosivos o minas.</w:t>
      </w:r>
    </w:p>
    <w:p w:rsidR="003804AC" w:rsidRDefault="00AF18A5" w:rsidP="00396E32">
      <w:r>
        <w:t>Según</w:t>
      </w:r>
      <w:r>
        <w:rPr>
          <w:spacing w:val="-15"/>
        </w:rPr>
        <w:t xml:space="preserve"> </w:t>
      </w:r>
      <w:r>
        <w:t>datos</w:t>
      </w:r>
      <w:r>
        <w:rPr>
          <w:spacing w:val="-15"/>
        </w:rPr>
        <w:t xml:space="preserve"> </w:t>
      </w:r>
      <w:r>
        <w:t>existentes</w:t>
      </w:r>
      <w:r>
        <w:rPr>
          <w:spacing w:val="-15"/>
        </w:rPr>
        <w:t xml:space="preserve"> </w:t>
      </w:r>
      <w:r>
        <w:t>en</w:t>
      </w:r>
      <w:r>
        <w:rPr>
          <w:spacing w:val="-15"/>
        </w:rPr>
        <w:t xml:space="preserve"> </w:t>
      </w:r>
      <w:r>
        <w:t>el</w:t>
      </w:r>
      <w:r>
        <w:rPr>
          <w:spacing w:val="-15"/>
        </w:rPr>
        <w:t xml:space="preserve"> </w:t>
      </w:r>
      <w:r>
        <w:t>país</w:t>
      </w:r>
      <w:r>
        <w:rPr>
          <w:spacing w:val="-15"/>
        </w:rPr>
        <w:t xml:space="preserve"> </w:t>
      </w:r>
      <w:r>
        <w:t>y</w:t>
      </w:r>
      <w:r>
        <w:rPr>
          <w:spacing w:val="-15"/>
        </w:rPr>
        <w:t xml:space="preserve"> </w:t>
      </w:r>
      <w:r>
        <w:t>analizados</w:t>
      </w:r>
      <w:r>
        <w:rPr>
          <w:spacing w:val="-15"/>
        </w:rPr>
        <w:t xml:space="preserve"> </w:t>
      </w:r>
      <w:r>
        <w:t>en</w:t>
      </w:r>
      <w:r>
        <w:rPr>
          <w:spacing w:val="-15"/>
        </w:rPr>
        <w:t xml:space="preserve"> </w:t>
      </w:r>
      <w:r>
        <w:t>el</w:t>
      </w:r>
      <w:r>
        <w:rPr>
          <w:spacing w:val="-15"/>
        </w:rPr>
        <w:t xml:space="preserve"> </w:t>
      </w:r>
      <w:r>
        <w:t>Proyecto</w:t>
      </w:r>
      <w:r>
        <w:rPr>
          <w:spacing w:val="-15"/>
        </w:rPr>
        <w:t xml:space="preserve"> </w:t>
      </w:r>
      <w:r>
        <w:t>JEP-CEV-HRDAG,</w:t>
      </w:r>
      <w:r>
        <w:rPr>
          <w:spacing w:val="31"/>
        </w:rPr>
        <w:t xml:space="preserve"> </w:t>
      </w:r>
      <w:r>
        <w:t>450.664 personas han perdido la vida a causa del conflicto armado entre 1985 y 2018</w:t>
      </w:r>
      <w:r w:rsidR="00396E32">
        <w:rPr>
          <w:rStyle w:val="Refdenotaalpie"/>
        </w:rPr>
        <w:footnoteReference w:id="113"/>
      </w:r>
      <w:r>
        <w:t>. Entre 1995 y</w:t>
      </w:r>
      <w:r>
        <w:rPr>
          <w:spacing w:val="-2"/>
        </w:rPr>
        <w:t xml:space="preserve"> </w:t>
      </w:r>
      <w:r>
        <w:t>2004,</w:t>
      </w:r>
      <w:r>
        <w:rPr>
          <w:spacing w:val="-2"/>
        </w:rPr>
        <w:t xml:space="preserve"> </w:t>
      </w:r>
      <w:r>
        <w:t>el</w:t>
      </w:r>
      <w:r>
        <w:rPr>
          <w:spacing w:val="-2"/>
        </w:rPr>
        <w:t xml:space="preserve"> </w:t>
      </w:r>
      <w:r>
        <w:t>periodo</w:t>
      </w:r>
      <w:r>
        <w:rPr>
          <w:spacing w:val="-3"/>
        </w:rPr>
        <w:t xml:space="preserve"> </w:t>
      </w:r>
      <w:r>
        <w:t>más</w:t>
      </w:r>
      <w:r>
        <w:rPr>
          <w:spacing w:val="-3"/>
        </w:rPr>
        <w:t xml:space="preserve"> </w:t>
      </w:r>
      <w:r>
        <w:t>álgido</w:t>
      </w:r>
      <w:r>
        <w:rPr>
          <w:spacing w:val="-2"/>
        </w:rPr>
        <w:t xml:space="preserve"> </w:t>
      </w:r>
      <w:r>
        <w:lastRenderedPageBreak/>
        <w:t>del</w:t>
      </w:r>
      <w:r>
        <w:rPr>
          <w:spacing w:val="-2"/>
        </w:rPr>
        <w:t xml:space="preserve"> </w:t>
      </w:r>
      <w:r>
        <w:t>conflicto,</w:t>
      </w:r>
      <w:r>
        <w:rPr>
          <w:spacing w:val="-2"/>
        </w:rPr>
        <w:t xml:space="preserve"> </w:t>
      </w:r>
      <w:r>
        <w:t>hubo</w:t>
      </w:r>
      <w:r>
        <w:rPr>
          <w:spacing w:val="-3"/>
        </w:rPr>
        <w:t xml:space="preserve"> </w:t>
      </w:r>
      <w:r>
        <w:t>aproximadamente</w:t>
      </w:r>
      <w:r>
        <w:rPr>
          <w:spacing w:val="-3"/>
        </w:rPr>
        <w:t xml:space="preserve"> </w:t>
      </w:r>
      <w:r>
        <w:t>la</w:t>
      </w:r>
      <w:r>
        <w:rPr>
          <w:spacing w:val="-3"/>
        </w:rPr>
        <w:t xml:space="preserve"> </w:t>
      </w:r>
      <w:r>
        <w:t>mitad</w:t>
      </w:r>
      <w:r>
        <w:rPr>
          <w:spacing w:val="-2"/>
        </w:rPr>
        <w:t xml:space="preserve"> </w:t>
      </w:r>
      <w:r>
        <w:t>de</w:t>
      </w:r>
      <w:r>
        <w:rPr>
          <w:spacing w:val="-2"/>
        </w:rPr>
        <w:t xml:space="preserve"> </w:t>
      </w:r>
      <w:r>
        <w:t>las</w:t>
      </w:r>
      <w:r>
        <w:rPr>
          <w:spacing w:val="-2"/>
        </w:rPr>
        <w:t xml:space="preserve"> </w:t>
      </w:r>
      <w:r>
        <w:t>víctimas (45 %).</w:t>
      </w:r>
    </w:p>
    <w:p w:rsidR="0011361F" w:rsidRDefault="00AF18A5" w:rsidP="00396E32">
      <w:r>
        <w:t>Según datos del Centro Nacional de Memoria Histórica, cerca del 80</w:t>
      </w:r>
      <w:r>
        <w:rPr>
          <w:spacing w:val="-4"/>
        </w:rPr>
        <w:t xml:space="preserve"> </w:t>
      </w:r>
      <w:r>
        <w:t>% de personas muertas en el conflicto fueron civiles y el 20</w:t>
      </w:r>
      <w:r>
        <w:rPr>
          <w:spacing w:val="-3"/>
        </w:rPr>
        <w:t xml:space="preserve"> </w:t>
      </w:r>
      <w:r>
        <w:t>% combatientes, sumando homicidios, desapariciones forzadas que fueron letales, personas muertas en el cautiverio y víctimas mortales de minas. O sea, que, de cada diez personas muertas de manera violenta en el conflicto armado, ocho eran civiles.</w:t>
      </w:r>
      <w:r w:rsidR="00396E32">
        <w:rPr>
          <w:rStyle w:val="Refdenotaalpie"/>
        </w:rPr>
        <w:footnoteReference w:id="114"/>
      </w:r>
      <w:r>
        <w:t xml:space="preserve"> Sin embargo, esos datos del CNMH no tenían en cuenta el número de desaparecidos que se conoce actualmente de 121.000, lo que eleva la cifra a 90</w:t>
      </w:r>
      <w:r>
        <w:rPr>
          <w:spacing w:val="-2"/>
        </w:rPr>
        <w:t xml:space="preserve"> </w:t>
      </w:r>
      <w:r>
        <w:t>% de víctimas civiles. La población civil fue la más afectada, por estar en medio del conflicto y porque fue las más involucrada y porque las violaciones e infracciones estuvieron dirigidas sobre todo contra ella.</w:t>
      </w:r>
    </w:p>
    <w:p w:rsidR="003804AC" w:rsidRDefault="00AF18A5" w:rsidP="00396E32">
      <w:bookmarkStart w:id="192" w:name="_bookmark127"/>
      <w:bookmarkStart w:id="193" w:name="_bookmark128"/>
      <w:bookmarkStart w:id="194" w:name="_bookmark129"/>
      <w:bookmarkEnd w:id="192"/>
      <w:bookmarkEnd w:id="193"/>
      <w:bookmarkEnd w:id="194"/>
      <w:r>
        <w:t>Señalar</w:t>
      </w:r>
      <w:r>
        <w:rPr>
          <w:spacing w:val="-7"/>
        </w:rPr>
        <w:t xml:space="preserve"> </w:t>
      </w:r>
      <w:r>
        <w:t>a</w:t>
      </w:r>
      <w:r>
        <w:rPr>
          <w:spacing w:val="-8"/>
        </w:rPr>
        <w:t xml:space="preserve"> </w:t>
      </w:r>
      <w:r>
        <w:t>los</w:t>
      </w:r>
      <w:r>
        <w:rPr>
          <w:spacing w:val="-8"/>
        </w:rPr>
        <w:t xml:space="preserve"> </w:t>
      </w:r>
      <w:r>
        <w:t>responsables</w:t>
      </w:r>
      <w:r>
        <w:rPr>
          <w:spacing w:val="-7"/>
        </w:rPr>
        <w:t xml:space="preserve"> </w:t>
      </w:r>
      <w:r>
        <w:t>no</w:t>
      </w:r>
      <w:r>
        <w:rPr>
          <w:spacing w:val="-7"/>
        </w:rPr>
        <w:t xml:space="preserve"> </w:t>
      </w:r>
      <w:r>
        <w:t>ha</w:t>
      </w:r>
      <w:r>
        <w:rPr>
          <w:spacing w:val="-7"/>
        </w:rPr>
        <w:t xml:space="preserve"> </w:t>
      </w:r>
      <w:r>
        <w:t>sido</w:t>
      </w:r>
      <w:r>
        <w:rPr>
          <w:spacing w:val="-8"/>
        </w:rPr>
        <w:t xml:space="preserve"> </w:t>
      </w:r>
      <w:r>
        <w:t>fácil</w:t>
      </w:r>
      <w:r>
        <w:rPr>
          <w:spacing w:val="-7"/>
        </w:rPr>
        <w:t xml:space="preserve"> </w:t>
      </w:r>
      <w:r>
        <w:t>en</w:t>
      </w:r>
      <w:r>
        <w:rPr>
          <w:spacing w:val="-7"/>
        </w:rPr>
        <w:t xml:space="preserve"> </w:t>
      </w:r>
      <w:r>
        <w:t>Colombia,</w:t>
      </w:r>
      <w:r>
        <w:rPr>
          <w:spacing w:val="-7"/>
        </w:rPr>
        <w:t xml:space="preserve"> </w:t>
      </w:r>
      <w:r>
        <w:t>lo</w:t>
      </w:r>
      <w:r>
        <w:rPr>
          <w:spacing w:val="-7"/>
        </w:rPr>
        <w:t xml:space="preserve"> </w:t>
      </w:r>
      <w:r>
        <w:t>que</w:t>
      </w:r>
      <w:r>
        <w:rPr>
          <w:spacing w:val="-7"/>
        </w:rPr>
        <w:t xml:space="preserve"> </w:t>
      </w:r>
      <w:r>
        <w:t>ha</w:t>
      </w:r>
      <w:r>
        <w:rPr>
          <w:spacing w:val="-7"/>
        </w:rPr>
        <w:t xml:space="preserve"> </w:t>
      </w:r>
      <w:r>
        <w:t>estado</w:t>
      </w:r>
      <w:r>
        <w:rPr>
          <w:spacing w:val="-8"/>
        </w:rPr>
        <w:t xml:space="preserve"> </w:t>
      </w:r>
      <w:r>
        <w:t>mediatizado</w:t>
      </w:r>
      <w:r>
        <w:rPr>
          <w:spacing w:val="-8"/>
        </w:rPr>
        <w:t xml:space="preserve"> </w:t>
      </w:r>
      <w:r>
        <w:t xml:space="preserve">por el grado de desconfianza de con quién se habla o de la relación con instituciones. En otros casos, el </w:t>
      </w:r>
      <w:r>
        <w:rPr>
          <w:i/>
        </w:rPr>
        <w:t xml:space="preserve">modus operandi </w:t>
      </w:r>
      <w:r>
        <w:t>de los autores también conduce al desconocimiento de los responsables. Por ejemplo, acciones llevadas a cabo en la noche, en medio de comunidades o lugares lejanos, cuando las víctimas estaban solas, o</w:t>
      </w:r>
      <w:r>
        <w:rPr>
          <w:spacing w:val="-1"/>
        </w:rPr>
        <w:t xml:space="preserve"> </w:t>
      </w:r>
      <w:r>
        <w:t xml:space="preserve">mediante el ocultamiento intencional de los autores, entre otras circunstancias. El desconocimiento del presunto responsable también muestra el nivel de impunidad de los hechos cuando esa identificación no depende de la víctima o de un testigo, sino de una investigación de lo </w:t>
      </w:r>
      <w:r>
        <w:lastRenderedPageBreak/>
        <w:t>sucedido.</w:t>
      </w:r>
    </w:p>
    <w:p w:rsidR="003804AC" w:rsidRDefault="00AF18A5" w:rsidP="0082603A">
      <w:r>
        <w:t>Según</w:t>
      </w:r>
      <w:r>
        <w:rPr>
          <w:spacing w:val="-11"/>
        </w:rPr>
        <w:t xml:space="preserve"> </w:t>
      </w:r>
      <w:r>
        <w:t>el</w:t>
      </w:r>
      <w:r>
        <w:rPr>
          <w:spacing w:val="-10"/>
        </w:rPr>
        <w:t xml:space="preserve"> </w:t>
      </w:r>
      <w:r>
        <w:t>estudio</w:t>
      </w:r>
      <w:r>
        <w:rPr>
          <w:spacing w:val="-11"/>
        </w:rPr>
        <w:t xml:space="preserve"> </w:t>
      </w:r>
      <w:r>
        <w:t>desarrollado</w:t>
      </w:r>
      <w:r>
        <w:rPr>
          <w:spacing w:val="-11"/>
        </w:rPr>
        <w:t xml:space="preserve"> </w:t>
      </w:r>
      <w:r>
        <w:t>por</w:t>
      </w:r>
      <w:r>
        <w:rPr>
          <w:spacing w:val="-10"/>
        </w:rPr>
        <w:t xml:space="preserve"> </w:t>
      </w:r>
      <w:r>
        <w:t>la</w:t>
      </w:r>
      <w:r>
        <w:rPr>
          <w:spacing w:val="-12"/>
        </w:rPr>
        <w:t xml:space="preserve"> </w:t>
      </w:r>
      <w:r>
        <w:t>Comisión</w:t>
      </w:r>
      <w:r>
        <w:rPr>
          <w:spacing w:val="-12"/>
        </w:rPr>
        <w:t xml:space="preserve"> </w:t>
      </w:r>
      <w:r>
        <w:t>junto</w:t>
      </w:r>
      <w:r>
        <w:rPr>
          <w:spacing w:val="-11"/>
        </w:rPr>
        <w:t xml:space="preserve"> </w:t>
      </w:r>
      <w:r>
        <w:t>con</w:t>
      </w:r>
      <w:r>
        <w:rPr>
          <w:spacing w:val="-11"/>
        </w:rPr>
        <w:t xml:space="preserve"> </w:t>
      </w:r>
      <w:r>
        <w:t>la</w:t>
      </w:r>
      <w:r>
        <w:rPr>
          <w:spacing w:val="-12"/>
        </w:rPr>
        <w:t xml:space="preserve"> </w:t>
      </w:r>
      <w:r>
        <w:t>JEP</w:t>
      </w:r>
      <w:r>
        <w:rPr>
          <w:spacing w:val="-11"/>
        </w:rPr>
        <w:t xml:space="preserve"> </w:t>
      </w:r>
      <w:r>
        <w:t>y</w:t>
      </w:r>
      <w:r>
        <w:rPr>
          <w:spacing w:val="-11"/>
        </w:rPr>
        <w:t xml:space="preserve"> </w:t>
      </w:r>
      <w:r>
        <w:t>HRDAG,</w:t>
      </w:r>
      <w:r>
        <w:rPr>
          <w:spacing w:val="-11"/>
        </w:rPr>
        <w:t xml:space="preserve"> </w:t>
      </w:r>
      <w:r>
        <w:t>los</w:t>
      </w:r>
      <w:r>
        <w:rPr>
          <w:spacing w:val="-11"/>
        </w:rPr>
        <w:t xml:space="preserve"> </w:t>
      </w:r>
      <w:r>
        <w:t>principales responsables de homicidios son los grupos paramilitares, con aproximadamente el 45</w:t>
      </w:r>
      <w:r>
        <w:rPr>
          <w:spacing w:val="-5"/>
        </w:rPr>
        <w:t xml:space="preserve"> </w:t>
      </w:r>
      <w:r>
        <w:t>% de la responsabilidad (205.028 víctimas), las guerrillas fueron responsables del 27</w:t>
      </w:r>
      <w:r>
        <w:rPr>
          <w:spacing w:val="-3"/>
        </w:rPr>
        <w:t xml:space="preserve"> </w:t>
      </w:r>
      <w:r>
        <w:t>% de las víctimas</w:t>
      </w:r>
      <w:r>
        <w:rPr>
          <w:spacing w:val="-8"/>
        </w:rPr>
        <w:t xml:space="preserve"> </w:t>
      </w:r>
      <w:r>
        <w:t>(122.813</w:t>
      </w:r>
      <w:r>
        <w:rPr>
          <w:spacing w:val="-8"/>
        </w:rPr>
        <w:t xml:space="preserve"> </w:t>
      </w:r>
      <w:r>
        <w:t>víctimas)</w:t>
      </w:r>
      <w:r>
        <w:rPr>
          <w:spacing w:val="-7"/>
        </w:rPr>
        <w:t xml:space="preserve"> </w:t>
      </w:r>
      <w:r>
        <w:t>y</w:t>
      </w:r>
      <w:r>
        <w:rPr>
          <w:spacing w:val="-8"/>
        </w:rPr>
        <w:t xml:space="preserve"> </w:t>
      </w:r>
      <w:r>
        <w:t>los</w:t>
      </w:r>
      <w:r>
        <w:rPr>
          <w:spacing w:val="-8"/>
        </w:rPr>
        <w:t xml:space="preserve"> </w:t>
      </w:r>
      <w:r>
        <w:t>agentes</w:t>
      </w:r>
      <w:r>
        <w:rPr>
          <w:spacing w:val="-8"/>
        </w:rPr>
        <w:t xml:space="preserve"> </w:t>
      </w:r>
      <w:r>
        <w:t>estatales</w:t>
      </w:r>
      <w:r>
        <w:rPr>
          <w:spacing w:val="-7"/>
        </w:rPr>
        <w:t xml:space="preserve"> </w:t>
      </w:r>
      <w:r>
        <w:t>directamente</w:t>
      </w:r>
      <w:r>
        <w:rPr>
          <w:spacing w:val="-8"/>
        </w:rPr>
        <w:t xml:space="preserve"> </w:t>
      </w:r>
      <w:r>
        <w:t>del</w:t>
      </w:r>
      <w:r>
        <w:rPr>
          <w:spacing w:val="-7"/>
        </w:rPr>
        <w:t xml:space="preserve"> </w:t>
      </w:r>
      <w:r>
        <w:t>12</w:t>
      </w:r>
      <w:r>
        <w:rPr>
          <w:spacing w:val="-5"/>
        </w:rPr>
        <w:t xml:space="preserve"> </w:t>
      </w:r>
      <w:r>
        <w:t>%</w:t>
      </w:r>
      <w:r>
        <w:rPr>
          <w:spacing w:val="-8"/>
        </w:rPr>
        <w:t xml:space="preserve"> </w:t>
      </w:r>
      <w:r>
        <w:t>(56.094</w:t>
      </w:r>
      <w:r>
        <w:rPr>
          <w:spacing w:val="-8"/>
        </w:rPr>
        <w:t xml:space="preserve"> </w:t>
      </w:r>
      <w:r>
        <w:t>víctimas). Del porcentaje de guerrillas,</w:t>
      </w:r>
      <w:r>
        <w:rPr>
          <w:spacing w:val="-1"/>
        </w:rPr>
        <w:t xml:space="preserve"> </w:t>
      </w:r>
      <w:r>
        <w:t>el 21</w:t>
      </w:r>
      <w:r>
        <w:rPr>
          <w:spacing w:val="-3"/>
        </w:rPr>
        <w:t xml:space="preserve"> </w:t>
      </w:r>
      <w:r>
        <w:t>%</w:t>
      </w:r>
      <w:r>
        <w:rPr>
          <w:spacing w:val="-1"/>
        </w:rPr>
        <w:t xml:space="preserve"> </w:t>
      </w:r>
      <w:r>
        <w:t>corresponde a las FARC-EP, el 4</w:t>
      </w:r>
      <w:r>
        <w:rPr>
          <w:spacing w:val="-3"/>
        </w:rPr>
        <w:t xml:space="preserve"> </w:t>
      </w:r>
      <w:r>
        <w:t>% al ELN</w:t>
      </w:r>
      <w:r>
        <w:rPr>
          <w:spacing w:val="-1"/>
        </w:rPr>
        <w:t xml:space="preserve"> </w:t>
      </w:r>
      <w:r>
        <w:t>y el 2</w:t>
      </w:r>
      <w:r>
        <w:rPr>
          <w:spacing w:val="-3"/>
        </w:rPr>
        <w:t xml:space="preserve"> </w:t>
      </w:r>
      <w:r>
        <w:t>%</w:t>
      </w:r>
      <w:r>
        <w:rPr>
          <w:spacing w:val="-1"/>
        </w:rPr>
        <w:t xml:space="preserve"> </w:t>
      </w:r>
      <w:r>
        <w:t>a otras guerrillas</w:t>
      </w:r>
      <w:r w:rsidR="0082603A">
        <w:rPr>
          <w:rStyle w:val="Refdenotaalpie"/>
        </w:rPr>
        <w:footnoteReference w:id="115"/>
      </w:r>
      <w:r>
        <w:t>.</w:t>
      </w:r>
    </w:p>
    <w:p w:rsidR="0082603A" w:rsidRDefault="0082603A" w:rsidP="0082603A">
      <w:pPr>
        <w:pStyle w:val="Descripcin"/>
        <w:keepNext/>
      </w:pPr>
      <w:bookmarkStart w:id="195" w:name="_bookmark130"/>
      <w:bookmarkStart w:id="196" w:name="_bookmark131"/>
      <w:bookmarkEnd w:id="195"/>
      <w:bookmarkEnd w:id="196"/>
      <w:r>
        <w:t xml:space="preserve">Gráfica </w:t>
      </w:r>
      <w:r w:rsidR="005F4072">
        <w:fldChar w:fldCharType="begin"/>
      </w:r>
      <w:r w:rsidR="005F4072">
        <w:instrText xml:space="preserve"> SEQ Gráfica \* ARABIC </w:instrText>
      </w:r>
      <w:r w:rsidR="005F4072">
        <w:fldChar w:fldCharType="separate"/>
      </w:r>
      <w:r w:rsidR="005F4072">
        <w:rPr>
          <w:noProof/>
        </w:rPr>
        <w:t>2</w:t>
      </w:r>
      <w:r w:rsidR="005F4072">
        <w:fldChar w:fldCharType="end"/>
      </w:r>
      <w:r w:rsidRPr="00D15D3F">
        <w:t>. Responsables de homicidios entre 1985 y 2018</w:t>
      </w:r>
      <w:r>
        <w:rPr>
          <w:rStyle w:val="Refdenotaalpie"/>
        </w:rPr>
        <w:footnoteReference w:id="116"/>
      </w:r>
    </w:p>
    <w:p w:rsidR="0011361F" w:rsidRDefault="00AF18A5">
      <w:pPr>
        <w:pStyle w:val="Textoindependiente"/>
        <w:ind w:left="505"/>
        <w:rPr>
          <w:sz w:val="20"/>
        </w:rPr>
      </w:pPr>
      <w:r>
        <w:rPr>
          <w:noProof/>
          <w:sz w:val="20"/>
        </w:rPr>
        <w:drawing>
          <wp:inline distT="0" distB="0" distL="0" distR="0">
            <wp:extent cx="4909198" cy="3305175"/>
            <wp:effectExtent l="0" t="0" r="5715" b="0"/>
            <wp:docPr id="5" name="image3.jpeg" descr="Paramilitares 45%. 200.000 víctimas&#10;FARC-EP 21%. 100.000 víctimas&#10;Agentes del estado 12%. 60.000 víctimas&#10;Otro 9% 50.000 víctimas&#10;Múltiple 6% &#10;ELN 4%&#10;Otra Guerril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stretch>
                      <a:fillRect/>
                    </a:stretch>
                  </pic:blipFill>
                  <pic:spPr>
                    <a:xfrm>
                      <a:off x="0" y="0"/>
                      <a:ext cx="4922329" cy="3314016"/>
                    </a:xfrm>
                    <a:prstGeom prst="rect">
                      <a:avLst/>
                    </a:prstGeom>
                  </pic:spPr>
                </pic:pic>
              </a:graphicData>
            </a:graphic>
          </wp:inline>
        </w:drawing>
      </w:r>
    </w:p>
    <w:p w:rsidR="003804AC" w:rsidRDefault="00AF18A5" w:rsidP="00AC256F">
      <w:r>
        <w:rPr>
          <w:i/>
        </w:rPr>
        <w:lastRenderedPageBreak/>
        <w:t xml:space="preserve">Fuente: </w:t>
      </w:r>
      <w:r>
        <w:t>JEP-CEV-HRDAG, «Proyecto conjunto de integración de datos y estimaciones estadísticas», corte del 26 de junio de 2022.</w:t>
      </w:r>
    </w:p>
    <w:p w:rsidR="003804AC" w:rsidRDefault="00AF18A5" w:rsidP="00AC256F">
      <w:r>
        <w:t>A continuación, se realiza un análisis de este conjunto de violaciones. Los homicidios son, en su mayoría, ejecuciones extrajudiciales y asesinatos. Las ejecuciones extrajudiciales son las llevadas a cabo por agentes estatales o por particulares cuando actuaron con el apoyo o aquiescencia del Estado. Los asesinatos selectivos son muertes premeditadas en contra de civiles o personas que se encontraban fuera de combate donde el responsable es un actor armado no estatal (por ejemplo, grupos guerrilleros y paramilitares o terceros no armados cuando actuaron con independencia y autonomía). Las masacres son hechos en los que se dan</w:t>
      </w:r>
      <w:r>
        <w:rPr>
          <w:spacing w:val="-1"/>
        </w:rPr>
        <w:t xml:space="preserve"> </w:t>
      </w:r>
      <w:r>
        <w:t>muertes de</w:t>
      </w:r>
      <w:r>
        <w:rPr>
          <w:spacing w:val="2"/>
        </w:rPr>
        <w:t xml:space="preserve"> </w:t>
      </w:r>
      <w:r>
        <w:t>varias</w:t>
      </w:r>
      <w:r>
        <w:rPr>
          <w:spacing w:val="1"/>
        </w:rPr>
        <w:t xml:space="preserve"> </w:t>
      </w:r>
      <w:r>
        <w:t>personas</w:t>
      </w:r>
      <w:r>
        <w:rPr>
          <w:spacing w:val="2"/>
        </w:rPr>
        <w:t xml:space="preserve"> </w:t>
      </w:r>
      <w:r>
        <w:t>en</w:t>
      </w:r>
      <w:r>
        <w:rPr>
          <w:spacing w:val="1"/>
        </w:rPr>
        <w:t xml:space="preserve"> </w:t>
      </w:r>
      <w:r>
        <w:t>un</w:t>
      </w:r>
      <w:r>
        <w:rPr>
          <w:spacing w:val="1"/>
        </w:rPr>
        <w:t xml:space="preserve"> </w:t>
      </w:r>
      <w:r>
        <w:t>mismo</w:t>
      </w:r>
      <w:r>
        <w:rPr>
          <w:spacing w:val="1"/>
        </w:rPr>
        <w:t xml:space="preserve"> </w:t>
      </w:r>
      <w:r>
        <w:t>lugar</w:t>
      </w:r>
      <w:r>
        <w:rPr>
          <w:spacing w:val="2"/>
        </w:rPr>
        <w:t xml:space="preserve"> </w:t>
      </w:r>
      <w:r>
        <w:t>o</w:t>
      </w:r>
      <w:r>
        <w:rPr>
          <w:spacing w:val="1"/>
        </w:rPr>
        <w:t xml:space="preserve"> </w:t>
      </w:r>
      <w:r>
        <w:t>tiempo.</w:t>
      </w:r>
      <w:r>
        <w:rPr>
          <w:spacing w:val="1"/>
        </w:rPr>
        <w:t xml:space="preserve"> </w:t>
      </w:r>
      <w:r>
        <w:t>En</w:t>
      </w:r>
      <w:r>
        <w:rPr>
          <w:spacing w:val="1"/>
        </w:rPr>
        <w:t xml:space="preserve"> </w:t>
      </w:r>
      <w:r>
        <w:t>general,</w:t>
      </w:r>
      <w:r>
        <w:rPr>
          <w:spacing w:val="1"/>
        </w:rPr>
        <w:t xml:space="preserve"> </w:t>
      </w:r>
      <w:r>
        <w:t>suponen</w:t>
      </w:r>
      <w:r>
        <w:rPr>
          <w:spacing w:val="1"/>
        </w:rPr>
        <w:t xml:space="preserve"> </w:t>
      </w:r>
      <w:r>
        <w:t>un</w:t>
      </w:r>
      <w:r>
        <w:rPr>
          <w:spacing w:val="1"/>
        </w:rPr>
        <w:t xml:space="preserve"> </w:t>
      </w:r>
      <w:r>
        <w:rPr>
          <w:spacing w:val="-2"/>
        </w:rPr>
        <w:t>ataque</w:t>
      </w:r>
      <w:r w:rsidR="00AC256F">
        <w:t xml:space="preserve"> </w:t>
      </w:r>
      <w:r>
        <w:t>colectivo a toda una comunidad o grupo contra el que se dirige la acción, y en algunas ocasiones se trató de actos masivos, junto con crueldades y atrocidades</w:t>
      </w:r>
      <w:r w:rsidR="00AC256F">
        <w:rPr>
          <w:rStyle w:val="Refdenotaalpie"/>
        </w:rPr>
        <w:footnoteReference w:id="117"/>
      </w:r>
      <w:r>
        <w:t>.</w:t>
      </w:r>
    </w:p>
    <w:p w:rsidR="003804AC" w:rsidRDefault="00AF18A5" w:rsidP="00AC256F">
      <w:r>
        <w:t>Los departamentos más afectados son Antioquia con 125.980 víctimas (28</w:t>
      </w:r>
      <w:r>
        <w:rPr>
          <w:spacing w:val="-3"/>
        </w:rPr>
        <w:t xml:space="preserve"> </w:t>
      </w:r>
      <w:r>
        <w:t>%), Valle del Cauca con 41.201 víctimas (9,1</w:t>
      </w:r>
      <w:r>
        <w:rPr>
          <w:spacing w:val="-2"/>
        </w:rPr>
        <w:t xml:space="preserve"> </w:t>
      </w:r>
      <w:r>
        <w:t>%), Norte de Santander con 21.418 víctimas (4,8</w:t>
      </w:r>
      <w:r>
        <w:rPr>
          <w:spacing w:val="-4"/>
        </w:rPr>
        <w:t xml:space="preserve"> </w:t>
      </w:r>
      <w:r>
        <w:t>%</w:t>
      </w:r>
      <w:r>
        <w:rPr>
          <w:spacing w:val="-2"/>
        </w:rPr>
        <w:t xml:space="preserve"> </w:t>
      </w:r>
      <w:r>
        <w:t>%), Cauca con 19.473 víctimas (4,3 %) y Cesar con 16.728 víctimas (3,7 %).</w:t>
      </w:r>
    </w:p>
    <w:p w:rsidR="0011361F" w:rsidRPr="002C3475" w:rsidRDefault="00AF18A5" w:rsidP="004A6EF4">
      <w:pPr>
        <w:pStyle w:val="Ttulo3"/>
        <w:numPr>
          <w:ilvl w:val="1"/>
          <w:numId w:val="16"/>
        </w:numPr>
      </w:pPr>
      <w:bookmarkStart w:id="197" w:name="3.2._Las_masacres"/>
      <w:bookmarkStart w:id="198" w:name="_Toc112399561"/>
      <w:bookmarkEnd w:id="197"/>
      <w:r w:rsidRPr="002C3475">
        <w:t>Las masacres</w:t>
      </w:r>
      <w:bookmarkEnd w:id="198"/>
    </w:p>
    <w:p w:rsidR="003804AC" w:rsidRDefault="00AF18A5" w:rsidP="002C3475">
      <w:r>
        <w:t xml:space="preserve">Las masacres demostraron que la violencia en Colombia no tenía límites. Desde las indiscriminadas hasta las más crueles, fueron usadas como forma de control social o de vaciamiento del territorio, y también para simplemente provocar terror entre las </w:t>
      </w:r>
      <w:r>
        <w:rPr>
          <w:spacing w:val="-2"/>
        </w:rPr>
        <w:t>comunidades.</w:t>
      </w:r>
    </w:p>
    <w:p w:rsidR="003804AC" w:rsidRDefault="00AF18A5" w:rsidP="00946653">
      <w:r>
        <w:lastRenderedPageBreak/>
        <w:t>«[...]</w:t>
      </w:r>
      <w:r>
        <w:rPr>
          <w:spacing w:val="-3"/>
        </w:rPr>
        <w:t xml:space="preserve"> </w:t>
      </w:r>
      <w:r>
        <w:t>entonces</w:t>
      </w:r>
      <w:r>
        <w:rPr>
          <w:spacing w:val="-3"/>
        </w:rPr>
        <w:t xml:space="preserve"> </w:t>
      </w:r>
      <w:r>
        <w:t>un</w:t>
      </w:r>
      <w:r>
        <w:rPr>
          <w:spacing w:val="-4"/>
        </w:rPr>
        <w:t xml:space="preserve"> </w:t>
      </w:r>
      <w:r>
        <w:t>compañero,</w:t>
      </w:r>
      <w:r>
        <w:rPr>
          <w:spacing w:val="-4"/>
        </w:rPr>
        <w:t xml:space="preserve"> </w:t>
      </w:r>
      <w:r>
        <w:t>un</w:t>
      </w:r>
      <w:r>
        <w:rPr>
          <w:spacing w:val="-4"/>
        </w:rPr>
        <w:t xml:space="preserve"> </w:t>
      </w:r>
      <w:r>
        <w:t>trabajador,</w:t>
      </w:r>
      <w:r>
        <w:rPr>
          <w:spacing w:val="-4"/>
        </w:rPr>
        <w:t xml:space="preserve"> </w:t>
      </w:r>
      <w:r>
        <w:t>se</w:t>
      </w:r>
      <w:r>
        <w:rPr>
          <w:spacing w:val="-3"/>
        </w:rPr>
        <w:t xml:space="preserve"> </w:t>
      </w:r>
      <w:r>
        <w:t>fue</w:t>
      </w:r>
      <w:r>
        <w:rPr>
          <w:spacing w:val="-3"/>
        </w:rPr>
        <w:t xml:space="preserve"> </w:t>
      </w:r>
      <w:r>
        <w:t>a</w:t>
      </w:r>
      <w:r>
        <w:rPr>
          <w:spacing w:val="-3"/>
        </w:rPr>
        <w:t xml:space="preserve"> </w:t>
      </w:r>
      <w:r>
        <w:t>sacar</w:t>
      </w:r>
      <w:r>
        <w:rPr>
          <w:spacing w:val="-4"/>
        </w:rPr>
        <w:t xml:space="preserve"> </w:t>
      </w:r>
      <w:r>
        <w:t>la</w:t>
      </w:r>
      <w:r>
        <w:rPr>
          <w:spacing w:val="-5"/>
        </w:rPr>
        <w:t xml:space="preserve"> </w:t>
      </w:r>
      <w:r>
        <w:t>maleta</w:t>
      </w:r>
      <w:r>
        <w:rPr>
          <w:spacing w:val="-3"/>
        </w:rPr>
        <w:t xml:space="preserve"> </w:t>
      </w:r>
      <w:r>
        <w:t>a</w:t>
      </w:r>
      <w:r>
        <w:rPr>
          <w:spacing w:val="-3"/>
        </w:rPr>
        <w:t xml:space="preserve"> </w:t>
      </w:r>
      <w:r>
        <w:t>la</w:t>
      </w:r>
      <w:r>
        <w:rPr>
          <w:spacing w:val="-5"/>
        </w:rPr>
        <w:t xml:space="preserve"> </w:t>
      </w:r>
      <w:r>
        <w:t>finca.</w:t>
      </w:r>
      <w:r>
        <w:rPr>
          <w:spacing w:val="-4"/>
        </w:rPr>
        <w:t xml:space="preserve"> </w:t>
      </w:r>
      <w:r>
        <w:t>Él</w:t>
      </w:r>
      <w:r>
        <w:rPr>
          <w:spacing w:val="-3"/>
        </w:rPr>
        <w:t xml:space="preserve"> </w:t>
      </w:r>
      <w:r>
        <w:t>arrancó para</w:t>
      </w:r>
      <w:r>
        <w:rPr>
          <w:spacing w:val="-8"/>
        </w:rPr>
        <w:t xml:space="preserve"> </w:t>
      </w:r>
      <w:r>
        <w:t>allá</w:t>
      </w:r>
      <w:r>
        <w:rPr>
          <w:spacing w:val="-8"/>
        </w:rPr>
        <w:t xml:space="preserve"> </w:t>
      </w:r>
      <w:r>
        <w:t>y</w:t>
      </w:r>
      <w:r>
        <w:rPr>
          <w:spacing w:val="-8"/>
        </w:rPr>
        <w:t xml:space="preserve"> </w:t>
      </w:r>
      <w:r>
        <w:t>ahí</w:t>
      </w:r>
      <w:r>
        <w:rPr>
          <w:spacing w:val="-8"/>
        </w:rPr>
        <w:t xml:space="preserve"> </w:t>
      </w:r>
      <w:r>
        <w:t>mismo</w:t>
      </w:r>
      <w:r>
        <w:rPr>
          <w:spacing w:val="-8"/>
        </w:rPr>
        <w:t xml:space="preserve"> </w:t>
      </w:r>
      <w:r>
        <w:t>ese</w:t>
      </w:r>
      <w:r>
        <w:rPr>
          <w:spacing w:val="-8"/>
        </w:rPr>
        <w:t xml:space="preserve"> </w:t>
      </w:r>
      <w:proofErr w:type="spellStart"/>
      <w:r>
        <w:t>man</w:t>
      </w:r>
      <w:proofErr w:type="spellEnd"/>
      <w:r>
        <w:rPr>
          <w:spacing w:val="-8"/>
        </w:rPr>
        <w:t xml:space="preserve"> </w:t>
      </w:r>
      <w:r>
        <w:t>lo</w:t>
      </w:r>
      <w:r>
        <w:rPr>
          <w:spacing w:val="-8"/>
        </w:rPr>
        <w:t xml:space="preserve"> </w:t>
      </w:r>
      <w:r>
        <w:t>mató</w:t>
      </w:r>
      <w:r>
        <w:rPr>
          <w:spacing w:val="-8"/>
        </w:rPr>
        <w:t xml:space="preserve"> </w:t>
      </w:r>
      <w:r>
        <w:t>al</w:t>
      </w:r>
      <w:r>
        <w:rPr>
          <w:spacing w:val="-8"/>
        </w:rPr>
        <w:t xml:space="preserve"> </w:t>
      </w:r>
      <w:r>
        <w:t>frente</w:t>
      </w:r>
      <w:r>
        <w:rPr>
          <w:spacing w:val="-8"/>
        </w:rPr>
        <w:t xml:space="preserve"> </w:t>
      </w:r>
      <w:r>
        <w:t>de</w:t>
      </w:r>
      <w:r>
        <w:rPr>
          <w:spacing w:val="-8"/>
        </w:rPr>
        <w:t xml:space="preserve"> </w:t>
      </w:r>
      <w:r>
        <w:t>nosotros,</w:t>
      </w:r>
      <w:r>
        <w:rPr>
          <w:spacing w:val="-8"/>
        </w:rPr>
        <w:t xml:space="preserve"> </w:t>
      </w:r>
      <w:r>
        <w:t>y</w:t>
      </w:r>
      <w:r>
        <w:rPr>
          <w:spacing w:val="-10"/>
        </w:rPr>
        <w:t xml:space="preserve"> </w:t>
      </w:r>
      <w:r>
        <w:t>al</w:t>
      </w:r>
      <w:r>
        <w:rPr>
          <w:spacing w:val="-8"/>
        </w:rPr>
        <w:t xml:space="preserve"> </w:t>
      </w:r>
      <w:r>
        <w:t>momentico</w:t>
      </w:r>
      <w:r>
        <w:rPr>
          <w:spacing w:val="-8"/>
        </w:rPr>
        <w:t xml:space="preserve"> </w:t>
      </w:r>
      <w:r>
        <w:t>el</w:t>
      </w:r>
      <w:r>
        <w:rPr>
          <w:spacing w:val="-8"/>
        </w:rPr>
        <w:t xml:space="preserve"> </w:t>
      </w:r>
      <w:proofErr w:type="spellStart"/>
      <w:r>
        <w:t>man</w:t>
      </w:r>
      <w:proofErr w:type="spellEnd"/>
      <w:r>
        <w:rPr>
          <w:spacing w:val="-8"/>
        </w:rPr>
        <w:t xml:space="preserve"> </w:t>
      </w:r>
      <w:r>
        <w:t>nos</w:t>
      </w:r>
      <w:r>
        <w:rPr>
          <w:spacing w:val="-8"/>
        </w:rPr>
        <w:t xml:space="preserve"> </w:t>
      </w:r>
      <w:r>
        <w:t>soltó una ráfaga así en los pies y nos dijo que nos daba tanto tiempo, o, si no, éramos objetivo militar. Al ver eso, a todo el mundo nos tocó salir corriendo hacia afuera, dejando las casas solas y todo, los bienes y todo, y nos fuimos de ahí para arriba por el camino, y eso una zozobra,</w:t>
      </w:r>
      <w:r>
        <w:rPr>
          <w:spacing w:val="-3"/>
        </w:rPr>
        <w:t xml:space="preserve"> </w:t>
      </w:r>
      <w:r>
        <w:t>porque</w:t>
      </w:r>
      <w:r>
        <w:rPr>
          <w:spacing w:val="-3"/>
        </w:rPr>
        <w:t xml:space="preserve"> </w:t>
      </w:r>
      <w:r>
        <w:t>comenzamos</w:t>
      </w:r>
      <w:r>
        <w:rPr>
          <w:spacing w:val="-3"/>
        </w:rPr>
        <w:t xml:space="preserve"> </w:t>
      </w:r>
      <w:r>
        <w:t>a</w:t>
      </w:r>
      <w:r>
        <w:rPr>
          <w:spacing w:val="-3"/>
        </w:rPr>
        <w:t xml:space="preserve"> </w:t>
      </w:r>
      <w:r>
        <w:t>encontrar</w:t>
      </w:r>
      <w:r>
        <w:rPr>
          <w:spacing w:val="-4"/>
        </w:rPr>
        <w:t xml:space="preserve"> </w:t>
      </w:r>
      <w:r>
        <w:t>muertos</w:t>
      </w:r>
      <w:r>
        <w:rPr>
          <w:spacing w:val="-3"/>
        </w:rPr>
        <w:t xml:space="preserve"> </w:t>
      </w:r>
      <w:r>
        <w:t>en</w:t>
      </w:r>
      <w:r>
        <w:rPr>
          <w:spacing w:val="-3"/>
        </w:rPr>
        <w:t xml:space="preserve"> </w:t>
      </w:r>
      <w:r>
        <w:t>un</w:t>
      </w:r>
      <w:r>
        <w:rPr>
          <w:spacing w:val="-3"/>
        </w:rPr>
        <w:t xml:space="preserve"> </w:t>
      </w:r>
      <w:r>
        <w:t>lado,</w:t>
      </w:r>
      <w:r>
        <w:rPr>
          <w:spacing w:val="-4"/>
        </w:rPr>
        <w:t xml:space="preserve"> </w:t>
      </w:r>
      <w:r>
        <w:t>en</w:t>
      </w:r>
      <w:r>
        <w:rPr>
          <w:spacing w:val="-3"/>
        </w:rPr>
        <w:t xml:space="preserve"> </w:t>
      </w:r>
      <w:r>
        <w:t>otro,</w:t>
      </w:r>
      <w:r>
        <w:rPr>
          <w:spacing w:val="-3"/>
        </w:rPr>
        <w:t xml:space="preserve"> </w:t>
      </w:r>
      <w:r>
        <w:t>y</w:t>
      </w:r>
      <w:r>
        <w:rPr>
          <w:spacing w:val="-3"/>
        </w:rPr>
        <w:t xml:space="preserve"> </w:t>
      </w:r>
      <w:r>
        <w:t>eso</w:t>
      </w:r>
      <w:r>
        <w:rPr>
          <w:spacing w:val="-3"/>
        </w:rPr>
        <w:t xml:space="preserve"> </w:t>
      </w:r>
      <w:r>
        <w:t>la</w:t>
      </w:r>
      <w:r>
        <w:rPr>
          <w:spacing w:val="-3"/>
        </w:rPr>
        <w:t xml:space="preserve"> </w:t>
      </w:r>
      <w:r>
        <w:t>sangre</w:t>
      </w:r>
      <w:r>
        <w:rPr>
          <w:spacing w:val="-4"/>
        </w:rPr>
        <w:t xml:space="preserve"> </w:t>
      </w:r>
      <w:r>
        <w:t>corría por el camino. Fue una cosa muy horrible»</w:t>
      </w:r>
      <w:r w:rsidR="00946653">
        <w:rPr>
          <w:rStyle w:val="Refdenotaalpie"/>
        </w:rPr>
        <w:footnoteReference w:id="118"/>
      </w:r>
      <w:r>
        <w:t>.</w:t>
      </w:r>
    </w:p>
    <w:p w:rsidR="003804AC" w:rsidRDefault="00AF18A5" w:rsidP="00FD4246">
      <w:r>
        <w:t>En esta masacre que refiere el testigo en abril de 2001, conocida como la masacre del Naya, fueron asesinadas 60 personas por paramilitares del Bloque Calima, de las AUC. En la masacre de El Salado, en febrero de 2000, fueron asesinadas 60 personas y fue llevada a cabo</w:t>
      </w:r>
      <w:r>
        <w:rPr>
          <w:spacing w:val="-10"/>
        </w:rPr>
        <w:t xml:space="preserve"> </w:t>
      </w:r>
      <w:r>
        <w:t>por</w:t>
      </w:r>
      <w:r>
        <w:rPr>
          <w:spacing w:val="-9"/>
        </w:rPr>
        <w:t xml:space="preserve"> </w:t>
      </w:r>
      <w:r>
        <w:t>el</w:t>
      </w:r>
      <w:r>
        <w:rPr>
          <w:spacing w:val="-9"/>
        </w:rPr>
        <w:t xml:space="preserve"> </w:t>
      </w:r>
      <w:r>
        <w:t>Bloque</w:t>
      </w:r>
      <w:r>
        <w:rPr>
          <w:spacing w:val="-10"/>
        </w:rPr>
        <w:t xml:space="preserve"> </w:t>
      </w:r>
      <w:r>
        <w:t>Norte</w:t>
      </w:r>
      <w:r>
        <w:rPr>
          <w:spacing w:val="-10"/>
        </w:rPr>
        <w:t xml:space="preserve"> </w:t>
      </w:r>
      <w:r>
        <w:t>y</w:t>
      </w:r>
      <w:r>
        <w:rPr>
          <w:spacing w:val="-10"/>
        </w:rPr>
        <w:t xml:space="preserve"> </w:t>
      </w:r>
      <w:r>
        <w:t>el</w:t>
      </w:r>
      <w:r>
        <w:rPr>
          <w:spacing w:val="-9"/>
        </w:rPr>
        <w:t xml:space="preserve"> </w:t>
      </w:r>
      <w:r>
        <w:t>Bloque</w:t>
      </w:r>
      <w:r>
        <w:rPr>
          <w:spacing w:val="-10"/>
        </w:rPr>
        <w:t xml:space="preserve"> </w:t>
      </w:r>
      <w:r>
        <w:t>Héroes</w:t>
      </w:r>
      <w:r>
        <w:rPr>
          <w:spacing w:val="-10"/>
        </w:rPr>
        <w:t xml:space="preserve"> </w:t>
      </w:r>
      <w:r>
        <w:t>de</w:t>
      </w:r>
      <w:r>
        <w:rPr>
          <w:spacing w:val="-10"/>
        </w:rPr>
        <w:t xml:space="preserve"> </w:t>
      </w:r>
      <w:r>
        <w:t>los</w:t>
      </w:r>
      <w:r>
        <w:rPr>
          <w:spacing w:val="-10"/>
        </w:rPr>
        <w:t xml:space="preserve"> </w:t>
      </w:r>
      <w:r>
        <w:t>Montes</w:t>
      </w:r>
      <w:r>
        <w:rPr>
          <w:spacing w:val="-10"/>
        </w:rPr>
        <w:t xml:space="preserve"> </w:t>
      </w:r>
      <w:r>
        <w:t>de</w:t>
      </w:r>
      <w:r>
        <w:rPr>
          <w:spacing w:val="-10"/>
        </w:rPr>
        <w:t xml:space="preserve"> </w:t>
      </w:r>
      <w:r>
        <w:t>María,</w:t>
      </w:r>
      <w:r>
        <w:rPr>
          <w:spacing w:val="-10"/>
        </w:rPr>
        <w:t xml:space="preserve"> </w:t>
      </w:r>
      <w:r>
        <w:t>de</w:t>
      </w:r>
      <w:r>
        <w:rPr>
          <w:spacing w:val="-10"/>
        </w:rPr>
        <w:t xml:space="preserve"> </w:t>
      </w:r>
      <w:r>
        <w:t>las</w:t>
      </w:r>
      <w:r>
        <w:rPr>
          <w:spacing w:val="-10"/>
        </w:rPr>
        <w:t xml:space="preserve"> </w:t>
      </w:r>
      <w:r>
        <w:t>AUC.</w:t>
      </w:r>
      <w:r>
        <w:rPr>
          <w:spacing w:val="80"/>
        </w:rPr>
        <w:t xml:space="preserve">  </w:t>
      </w:r>
      <w:r>
        <w:t>Ambos hechos contaron con el apoyo de miembros de las Fuerzas Militares y, en El Salado, con apoyo de helicópteros. La masacre de Bojayá fue perpetrada por el Frente José María Córdoba,</w:t>
      </w:r>
      <w:r>
        <w:rPr>
          <w:spacing w:val="-4"/>
        </w:rPr>
        <w:t xml:space="preserve"> </w:t>
      </w:r>
      <w:r>
        <w:t>de</w:t>
      </w:r>
      <w:r>
        <w:rPr>
          <w:spacing w:val="-3"/>
        </w:rPr>
        <w:t xml:space="preserve"> </w:t>
      </w:r>
      <w:r>
        <w:t>las</w:t>
      </w:r>
      <w:r>
        <w:rPr>
          <w:spacing w:val="-4"/>
        </w:rPr>
        <w:t xml:space="preserve"> </w:t>
      </w:r>
      <w:r>
        <w:t>FARC-EP,</w:t>
      </w:r>
      <w:r>
        <w:rPr>
          <w:spacing w:val="-3"/>
        </w:rPr>
        <w:t xml:space="preserve"> </w:t>
      </w:r>
      <w:r>
        <w:t>al</w:t>
      </w:r>
      <w:r>
        <w:rPr>
          <w:spacing w:val="-3"/>
        </w:rPr>
        <w:t xml:space="preserve"> </w:t>
      </w:r>
      <w:r>
        <w:t>lanzar</w:t>
      </w:r>
      <w:r>
        <w:rPr>
          <w:spacing w:val="-4"/>
        </w:rPr>
        <w:t xml:space="preserve"> </w:t>
      </w:r>
      <w:r>
        <w:t>un</w:t>
      </w:r>
      <w:r>
        <w:rPr>
          <w:spacing w:val="-3"/>
        </w:rPr>
        <w:t xml:space="preserve"> </w:t>
      </w:r>
      <w:r>
        <w:t>cilindro</w:t>
      </w:r>
      <w:r>
        <w:rPr>
          <w:spacing w:val="-5"/>
        </w:rPr>
        <w:t xml:space="preserve"> </w:t>
      </w:r>
      <w:r>
        <w:t>bomba</w:t>
      </w:r>
      <w:r>
        <w:rPr>
          <w:spacing w:val="-3"/>
        </w:rPr>
        <w:t xml:space="preserve"> </w:t>
      </w:r>
      <w:r>
        <w:t>que</w:t>
      </w:r>
      <w:r>
        <w:rPr>
          <w:spacing w:val="-4"/>
        </w:rPr>
        <w:t xml:space="preserve"> </w:t>
      </w:r>
      <w:r>
        <w:t>cayó</w:t>
      </w:r>
      <w:r>
        <w:rPr>
          <w:spacing w:val="-3"/>
        </w:rPr>
        <w:t xml:space="preserve"> </w:t>
      </w:r>
      <w:r>
        <w:t>en</w:t>
      </w:r>
      <w:r>
        <w:rPr>
          <w:spacing w:val="-3"/>
        </w:rPr>
        <w:t xml:space="preserve"> </w:t>
      </w:r>
      <w:r>
        <w:t>una</w:t>
      </w:r>
      <w:r>
        <w:rPr>
          <w:spacing w:val="-4"/>
        </w:rPr>
        <w:t xml:space="preserve"> </w:t>
      </w:r>
      <w:r>
        <w:t>iglesia</w:t>
      </w:r>
      <w:r>
        <w:rPr>
          <w:spacing w:val="-3"/>
        </w:rPr>
        <w:t xml:space="preserve"> </w:t>
      </w:r>
      <w:r>
        <w:t>en</w:t>
      </w:r>
      <w:r>
        <w:rPr>
          <w:spacing w:val="-4"/>
        </w:rPr>
        <w:t xml:space="preserve"> </w:t>
      </w:r>
      <w:r>
        <w:t>la</w:t>
      </w:r>
      <w:r>
        <w:rPr>
          <w:spacing w:val="-3"/>
        </w:rPr>
        <w:t xml:space="preserve"> </w:t>
      </w:r>
      <w:r>
        <w:t>que</w:t>
      </w:r>
      <w:r>
        <w:rPr>
          <w:spacing w:val="-3"/>
        </w:rPr>
        <w:t xml:space="preserve"> </w:t>
      </w:r>
      <w:r>
        <w:rPr>
          <w:spacing w:val="-5"/>
        </w:rPr>
        <w:t>los</w:t>
      </w:r>
      <w:bookmarkStart w:id="199" w:name="_bookmark133"/>
      <w:bookmarkStart w:id="200" w:name="_bookmark134"/>
      <w:bookmarkEnd w:id="199"/>
      <w:bookmarkEnd w:id="200"/>
      <w:r w:rsidR="00FD4246">
        <w:t xml:space="preserve"> </w:t>
      </w:r>
      <w:r>
        <w:t>pobladores</w:t>
      </w:r>
      <w:r>
        <w:rPr>
          <w:spacing w:val="-8"/>
        </w:rPr>
        <w:t xml:space="preserve"> </w:t>
      </w:r>
      <w:r>
        <w:t>se</w:t>
      </w:r>
      <w:r>
        <w:rPr>
          <w:spacing w:val="-7"/>
        </w:rPr>
        <w:t xml:space="preserve"> </w:t>
      </w:r>
      <w:r>
        <w:t>refugiaban</w:t>
      </w:r>
      <w:r>
        <w:rPr>
          <w:spacing w:val="-8"/>
        </w:rPr>
        <w:t xml:space="preserve"> </w:t>
      </w:r>
      <w:r>
        <w:t>del</w:t>
      </w:r>
      <w:r>
        <w:rPr>
          <w:spacing w:val="-7"/>
        </w:rPr>
        <w:t xml:space="preserve"> </w:t>
      </w:r>
      <w:r>
        <w:t>enfrentamiento</w:t>
      </w:r>
      <w:r>
        <w:rPr>
          <w:spacing w:val="-7"/>
        </w:rPr>
        <w:t xml:space="preserve"> </w:t>
      </w:r>
      <w:r>
        <w:t>de</w:t>
      </w:r>
      <w:r>
        <w:rPr>
          <w:spacing w:val="-7"/>
        </w:rPr>
        <w:t xml:space="preserve"> </w:t>
      </w:r>
      <w:r>
        <w:t>este</w:t>
      </w:r>
      <w:r>
        <w:rPr>
          <w:spacing w:val="-7"/>
        </w:rPr>
        <w:t xml:space="preserve"> </w:t>
      </w:r>
      <w:r>
        <w:t>grupo</w:t>
      </w:r>
      <w:r>
        <w:rPr>
          <w:spacing w:val="-7"/>
        </w:rPr>
        <w:t xml:space="preserve"> </w:t>
      </w:r>
      <w:r>
        <w:t>con</w:t>
      </w:r>
      <w:r>
        <w:rPr>
          <w:spacing w:val="-8"/>
        </w:rPr>
        <w:t xml:space="preserve"> </w:t>
      </w:r>
      <w:r>
        <w:t>el</w:t>
      </w:r>
      <w:r>
        <w:rPr>
          <w:spacing w:val="-7"/>
        </w:rPr>
        <w:t xml:space="preserve"> </w:t>
      </w:r>
      <w:r>
        <w:t>Bloque</w:t>
      </w:r>
      <w:r>
        <w:rPr>
          <w:spacing w:val="-7"/>
        </w:rPr>
        <w:t xml:space="preserve"> </w:t>
      </w:r>
      <w:proofErr w:type="spellStart"/>
      <w:r>
        <w:t>Élmer</w:t>
      </w:r>
      <w:proofErr w:type="spellEnd"/>
      <w:r>
        <w:rPr>
          <w:spacing w:val="-7"/>
        </w:rPr>
        <w:t xml:space="preserve"> </w:t>
      </w:r>
      <w:r>
        <w:t>Cárdenas</w:t>
      </w:r>
      <w:r>
        <w:rPr>
          <w:spacing w:val="-7"/>
        </w:rPr>
        <w:t xml:space="preserve"> </w:t>
      </w:r>
      <w:r>
        <w:t>de las AUC. Las víctimas fueron 81 personas, 47 de ellas eran niñas, niños y adolescentes</w:t>
      </w:r>
      <w:r w:rsidR="00FD4246">
        <w:rPr>
          <w:rStyle w:val="Refdenotaalpie"/>
        </w:rPr>
        <w:footnoteReference w:id="119"/>
      </w:r>
      <w:r>
        <w:t>.</w:t>
      </w:r>
    </w:p>
    <w:p w:rsidR="003804AC" w:rsidRDefault="00AF18A5" w:rsidP="00A73899">
      <w:r>
        <w:t>Si</w:t>
      </w:r>
      <w:r>
        <w:rPr>
          <w:spacing w:val="-4"/>
        </w:rPr>
        <w:t xml:space="preserve"> </w:t>
      </w:r>
      <w:r>
        <w:t>bien</w:t>
      </w:r>
      <w:r>
        <w:rPr>
          <w:spacing w:val="-6"/>
        </w:rPr>
        <w:t xml:space="preserve"> </w:t>
      </w:r>
      <w:r>
        <w:t>algunas</w:t>
      </w:r>
      <w:r>
        <w:rPr>
          <w:spacing w:val="-5"/>
        </w:rPr>
        <w:t xml:space="preserve"> </w:t>
      </w:r>
      <w:r>
        <w:t>masacres</w:t>
      </w:r>
      <w:r>
        <w:rPr>
          <w:spacing w:val="-5"/>
        </w:rPr>
        <w:t xml:space="preserve"> </w:t>
      </w:r>
      <w:r>
        <w:t>ocurrieron</w:t>
      </w:r>
      <w:r>
        <w:rPr>
          <w:spacing w:val="-6"/>
        </w:rPr>
        <w:t xml:space="preserve"> </w:t>
      </w:r>
      <w:r>
        <w:t>antes,</w:t>
      </w:r>
      <w:r>
        <w:rPr>
          <w:spacing w:val="-6"/>
        </w:rPr>
        <w:t xml:space="preserve"> </w:t>
      </w:r>
      <w:r>
        <w:t>su</w:t>
      </w:r>
      <w:r>
        <w:rPr>
          <w:spacing w:val="-5"/>
        </w:rPr>
        <w:t xml:space="preserve"> </w:t>
      </w:r>
      <w:r>
        <w:t>extensión</w:t>
      </w:r>
      <w:r>
        <w:rPr>
          <w:spacing w:val="-5"/>
        </w:rPr>
        <w:t xml:space="preserve"> </w:t>
      </w:r>
      <w:r>
        <w:t>en</w:t>
      </w:r>
      <w:r>
        <w:rPr>
          <w:spacing w:val="-6"/>
        </w:rPr>
        <w:t xml:space="preserve"> </w:t>
      </w:r>
      <w:r>
        <w:t>el</w:t>
      </w:r>
      <w:r>
        <w:rPr>
          <w:spacing w:val="-6"/>
        </w:rPr>
        <w:t xml:space="preserve"> </w:t>
      </w:r>
      <w:r>
        <w:t>tiempo</w:t>
      </w:r>
      <w:r>
        <w:rPr>
          <w:spacing w:val="-5"/>
        </w:rPr>
        <w:t xml:space="preserve"> </w:t>
      </w:r>
      <w:r>
        <w:t>y</w:t>
      </w:r>
      <w:r>
        <w:rPr>
          <w:spacing w:val="-6"/>
        </w:rPr>
        <w:t xml:space="preserve"> </w:t>
      </w:r>
      <w:r>
        <w:t>en</w:t>
      </w:r>
      <w:r>
        <w:rPr>
          <w:spacing w:val="-6"/>
        </w:rPr>
        <w:t xml:space="preserve"> </w:t>
      </w:r>
      <w:r>
        <w:t>la</w:t>
      </w:r>
      <w:r>
        <w:rPr>
          <w:spacing w:val="-5"/>
        </w:rPr>
        <w:t xml:space="preserve"> </w:t>
      </w:r>
      <w:r>
        <w:t>geografía</w:t>
      </w:r>
      <w:r>
        <w:rPr>
          <w:spacing w:val="-6"/>
        </w:rPr>
        <w:t xml:space="preserve"> </w:t>
      </w:r>
      <w:r>
        <w:t>del país</w:t>
      </w:r>
      <w:r>
        <w:rPr>
          <w:spacing w:val="-14"/>
        </w:rPr>
        <w:t xml:space="preserve"> </w:t>
      </w:r>
      <w:r>
        <w:t>se</w:t>
      </w:r>
      <w:r>
        <w:rPr>
          <w:spacing w:val="-15"/>
        </w:rPr>
        <w:t xml:space="preserve"> </w:t>
      </w:r>
      <w:r>
        <w:t>dio</w:t>
      </w:r>
      <w:r>
        <w:rPr>
          <w:spacing w:val="-15"/>
        </w:rPr>
        <w:t xml:space="preserve"> </w:t>
      </w:r>
      <w:r>
        <w:t>con</w:t>
      </w:r>
      <w:r>
        <w:rPr>
          <w:spacing w:val="-14"/>
        </w:rPr>
        <w:t xml:space="preserve"> </w:t>
      </w:r>
      <w:r>
        <w:t>la</w:t>
      </w:r>
      <w:r>
        <w:rPr>
          <w:spacing w:val="-14"/>
        </w:rPr>
        <w:t xml:space="preserve"> </w:t>
      </w:r>
      <w:r>
        <w:t>agudización</w:t>
      </w:r>
      <w:r>
        <w:rPr>
          <w:spacing w:val="-14"/>
        </w:rPr>
        <w:t xml:space="preserve"> </w:t>
      </w:r>
      <w:r>
        <w:t>del</w:t>
      </w:r>
      <w:r>
        <w:rPr>
          <w:spacing w:val="-14"/>
        </w:rPr>
        <w:t xml:space="preserve"> </w:t>
      </w:r>
      <w:r>
        <w:t>conflicto</w:t>
      </w:r>
      <w:r>
        <w:rPr>
          <w:spacing w:val="-14"/>
        </w:rPr>
        <w:t xml:space="preserve"> </w:t>
      </w:r>
      <w:r>
        <w:t>armado</w:t>
      </w:r>
      <w:r>
        <w:rPr>
          <w:spacing w:val="-14"/>
        </w:rPr>
        <w:t xml:space="preserve"> </w:t>
      </w:r>
      <w:r>
        <w:t>desde</w:t>
      </w:r>
      <w:r>
        <w:rPr>
          <w:spacing w:val="-15"/>
        </w:rPr>
        <w:t xml:space="preserve"> </w:t>
      </w:r>
      <w:r>
        <w:t>mediados</w:t>
      </w:r>
      <w:r>
        <w:rPr>
          <w:spacing w:val="-14"/>
        </w:rPr>
        <w:t xml:space="preserve"> </w:t>
      </w:r>
      <w:r>
        <w:t>de</w:t>
      </w:r>
      <w:r>
        <w:rPr>
          <w:spacing w:val="-15"/>
        </w:rPr>
        <w:t xml:space="preserve"> </w:t>
      </w:r>
      <w:r>
        <w:t>los</w:t>
      </w:r>
      <w:r>
        <w:rPr>
          <w:spacing w:val="-14"/>
        </w:rPr>
        <w:t xml:space="preserve"> </w:t>
      </w:r>
      <w:r>
        <w:t>años</w:t>
      </w:r>
      <w:r>
        <w:rPr>
          <w:spacing w:val="-14"/>
        </w:rPr>
        <w:t xml:space="preserve"> </w:t>
      </w:r>
      <w:r>
        <w:t>noventa</w:t>
      </w:r>
      <w:r>
        <w:rPr>
          <w:spacing w:val="-14"/>
        </w:rPr>
        <w:t xml:space="preserve"> </w:t>
      </w:r>
      <w:r>
        <w:t>hasta los</w:t>
      </w:r>
      <w:r>
        <w:rPr>
          <w:spacing w:val="-12"/>
        </w:rPr>
        <w:t xml:space="preserve"> </w:t>
      </w:r>
      <w:r>
        <w:t>primeros</w:t>
      </w:r>
      <w:r>
        <w:rPr>
          <w:spacing w:val="-13"/>
        </w:rPr>
        <w:t xml:space="preserve"> </w:t>
      </w:r>
      <w:r>
        <w:t>años</w:t>
      </w:r>
      <w:r>
        <w:rPr>
          <w:spacing w:val="-12"/>
        </w:rPr>
        <w:t xml:space="preserve"> </w:t>
      </w:r>
      <w:r>
        <w:t>del</w:t>
      </w:r>
      <w:r>
        <w:rPr>
          <w:spacing w:val="-13"/>
        </w:rPr>
        <w:t xml:space="preserve"> </w:t>
      </w:r>
      <w:r>
        <w:t>siglo</w:t>
      </w:r>
      <w:r>
        <w:rPr>
          <w:spacing w:val="-12"/>
        </w:rPr>
        <w:t xml:space="preserve"> </w:t>
      </w:r>
      <w:r>
        <w:t>XXI.</w:t>
      </w:r>
      <w:r>
        <w:rPr>
          <w:spacing w:val="-12"/>
        </w:rPr>
        <w:t xml:space="preserve"> </w:t>
      </w:r>
      <w:r>
        <w:t>Fue</w:t>
      </w:r>
      <w:r>
        <w:rPr>
          <w:spacing w:val="-13"/>
        </w:rPr>
        <w:t xml:space="preserve"> </w:t>
      </w:r>
      <w:r>
        <w:t>parte</w:t>
      </w:r>
      <w:r>
        <w:rPr>
          <w:spacing w:val="-13"/>
        </w:rPr>
        <w:t xml:space="preserve"> </w:t>
      </w:r>
      <w:r>
        <w:t>de</w:t>
      </w:r>
      <w:r>
        <w:rPr>
          <w:spacing w:val="-12"/>
        </w:rPr>
        <w:t xml:space="preserve"> </w:t>
      </w:r>
      <w:r>
        <w:t>una</w:t>
      </w:r>
      <w:r>
        <w:rPr>
          <w:spacing w:val="-13"/>
        </w:rPr>
        <w:t xml:space="preserve"> </w:t>
      </w:r>
      <w:r>
        <w:t>estrategia</w:t>
      </w:r>
      <w:r>
        <w:rPr>
          <w:spacing w:val="-12"/>
        </w:rPr>
        <w:t xml:space="preserve"> </w:t>
      </w:r>
      <w:r>
        <w:t>de</w:t>
      </w:r>
      <w:r>
        <w:rPr>
          <w:spacing w:val="-13"/>
        </w:rPr>
        <w:t xml:space="preserve"> </w:t>
      </w:r>
      <w:r>
        <w:t>terror</w:t>
      </w:r>
      <w:r>
        <w:rPr>
          <w:spacing w:val="-13"/>
        </w:rPr>
        <w:t xml:space="preserve"> </w:t>
      </w:r>
      <w:r>
        <w:t>en</w:t>
      </w:r>
      <w:r>
        <w:rPr>
          <w:spacing w:val="-12"/>
        </w:rPr>
        <w:t xml:space="preserve"> </w:t>
      </w:r>
      <w:r>
        <w:t>paralelo</w:t>
      </w:r>
      <w:r>
        <w:rPr>
          <w:spacing w:val="-13"/>
        </w:rPr>
        <w:t xml:space="preserve"> </w:t>
      </w:r>
      <w:r>
        <w:t>con</w:t>
      </w:r>
      <w:r>
        <w:rPr>
          <w:spacing w:val="-13"/>
        </w:rPr>
        <w:t xml:space="preserve"> </w:t>
      </w:r>
      <w:r>
        <w:t>la</w:t>
      </w:r>
      <w:r>
        <w:rPr>
          <w:spacing w:val="-14"/>
        </w:rPr>
        <w:t xml:space="preserve"> </w:t>
      </w:r>
      <w:r>
        <w:t xml:space="preserve">época de </w:t>
      </w:r>
      <w:r>
        <w:lastRenderedPageBreak/>
        <w:t>mayor expansión y confrontación territorial de los grupos armados, y especialmente del paramilitarismo. Entre 1958 y 2019, de acuerdo con el Centro Nacional de Memoria Histórica, se registraron al menos 4.237 masacres, y entre 1998 y 2002 ocurrió el mayor número. Se presentaron en el 62</w:t>
      </w:r>
      <w:r>
        <w:rPr>
          <w:spacing w:val="-1"/>
        </w:rPr>
        <w:t xml:space="preserve"> </w:t>
      </w:r>
      <w:r>
        <w:t>%</w:t>
      </w:r>
      <w:r w:rsidR="00A73899">
        <w:rPr>
          <w:rStyle w:val="Refdenotaalpie"/>
        </w:rPr>
        <w:footnoteReference w:id="120"/>
      </w:r>
      <w:r>
        <w:t xml:space="preserve"> de los municipios del país y han cobrado la vida de 24.600 personas. La gráfica siguiente muestra la evolución de las masacres en el tiempo.</w:t>
      </w:r>
    </w:p>
    <w:p w:rsidR="00A73899" w:rsidRDefault="00A73899" w:rsidP="00A73899">
      <w:pPr>
        <w:pStyle w:val="Descripcin"/>
        <w:keepNext/>
      </w:pPr>
      <w:bookmarkStart w:id="201" w:name="_bookmark135"/>
      <w:bookmarkStart w:id="202" w:name="_bookmark136"/>
      <w:bookmarkEnd w:id="201"/>
      <w:bookmarkEnd w:id="202"/>
      <w:r>
        <w:t xml:space="preserve">Gráfica </w:t>
      </w:r>
      <w:r w:rsidR="005F4072">
        <w:fldChar w:fldCharType="begin"/>
      </w:r>
      <w:r w:rsidR="005F4072">
        <w:instrText xml:space="preserve"> SEQ Gráfica \* ARABIC </w:instrText>
      </w:r>
      <w:r w:rsidR="005F4072">
        <w:fldChar w:fldCharType="separate"/>
      </w:r>
      <w:r w:rsidR="005F4072">
        <w:rPr>
          <w:noProof/>
        </w:rPr>
        <w:t>3</w:t>
      </w:r>
      <w:r w:rsidR="005F4072">
        <w:fldChar w:fldCharType="end"/>
      </w:r>
      <w:r w:rsidRPr="00314636">
        <w:t>. Masacres y número de víctimas por año (1958-2019)</w:t>
      </w:r>
    </w:p>
    <w:p w:rsidR="0011361F" w:rsidRDefault="00AF18A5">
      <w:pPr>
        <w:pStyle w:val="Textoindependiente"/>
        <w:ind w:left="505"/>
        <w:rPr>
          <w:sz w:val="20"/>
        </w:rPr>
      </w:pPr>
      <w:r>
        <w:rPr>
          <w:noProof/>
          <w:sz w:val="20"/>
        </w:rPr>
        <w:drawing>
          <wp:inline distT="0" distB="0" distL="0" distR="0">
            <wp:extent cx="4511675" cy="3573011"/>
            <wp:effectExtent l="0" t="0" r="3175" b="0"/>
            <wp:docPr id="7" name="image4.png"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stretch>
                      <a:fillRect/>
                    </a:stretch>
                  </pic:blipFill>
                  <pic:spPr>
                    <a:xfrm>
                      <a:off x="0" y="0"/>
                      <a:ext cx="4515398" cy="3575959"/>
                    </a:xfrm>
                    <a:prstGeom prst="rect">
                      <a:avLst/>
                    </a:prstGeom>
                  </pic:spPr>
                </pic:pic>
              </a:graphicData>
            </a:graphic>
          </wp:inline>
        </w:drawing>
      </w:r>
    </w:p>
    <w:p w:rsidR="003804AC" w:rsidRDefault="00AF18A5" w:rsidP="000C1619">
      <w:r>
        <w:rPr>
          <w:i/>
        </w:rPr>
        <w:t>Fuente:</w:t>
      </w:r>
      <w:r>
        <w:rPr>
          <w:i/>
          <w:spacing w:val="-15"/>
        </w:rPr>
        <w:t xml:space="preserve"> </w:t>
      </w:r>
      <w:r>
        <w:t>Elaboración</w:t>
      </w:r>
      <w:r>
        <w:rPr>
          <w:spacing w:val="-15"/>
        </w:rPr>
        <w:t xml:space="preserve"> </w:t>
      </w:r>
      <w:r>
        <w:t>de</w:t>
      </w:r>
      <w:r>
        <w:rPr>
          <w:spacing w:val="-15"/>
        </w:rPr>
        <w:t xml:space="preserve"> </w:t>
      </w:r>
      <w:r>
        <w:t>la</w:t>
      </w:r>
      <w:r>
        <w:rPr>
          <w:spacing w:val="-15"/>
        </w:rPr>
        <w:t xml:space="preserve"> </w:t>
      </w:r>
      <w:r>
        <w:t>Comisión</w:t>
      </w:r>
      <w:r>
        <w:rPr>
          <w:spacing w:val="-15"/>
        </w:rPr>
        <w:t xml:space="preserve"> </w:t>
      </w:r>
      <w:r>
        <w:t>de</w:t>
      </w:r>
      <w:r>
        <w:rPr>
          <w:spacing w:val="-15"/>
        </w:rPr>
        <w:t xml:space="preserve"> </w:t>
      </w:r>
      <w:r>
        <w:t>la</w:t>
      </w:r>
      <w:r>
        <w:rPr>
          <w:spacing w:val="-15"/>
        </w:rPr>
        <w:t xml:space="preserve"> </w:t>
      </w:r>
      <w:r>
        <w:t>Verdad,</w:t>
      </w:r>
      <w:r>
        <w:rPr>
          <w:spacing w:val="-15"/>
        </w:rPr>
        <w:t xml:space="preserve"> </w:t>
      </w:r>
      <w:r>
        <w:t>con</w:t>
      </w:r>
      <w:r>
        <w:rPr>
          <w:spacing w:val="-15"/>
        </w:rPr>
        <w:t xml:space="preserve"> </w:t>
      </w:r>
      <w:r>
        <w:t>datos</w:t>
      </w:r>
      <w:r>
        <w:rPr>
          <w:spacing w:val="-15"/>
        </w:rPr>
        <w:t xml:space="preserve"> </w:t>
      </w:r>
      <w:r>
        <w:t>del</w:t>
      </w:r>
      <w:r>
        <w:rPr>
          <w:spacing w:val="-15"/>
        </w:rPr>
        <w:t xml:space="preserve"> </w:t>
      </w:r>
      <w:r>
        <w:t>Centro</w:t>
      </w:r>
      <w:r>
        <w:rPr>
          <w:spacing w:val="-15"/>
        </w:rPr>
        <w:t xml:space="preserve"> </w:t>
      </w:r>
      <w:r>
        <w:t>Nacional</w:t>
      </w:r>
      <w:r>
        <w:rPr>
          <w:spacing w:val="-15"/>
        </w:rPr>
        <w:t xml:space="preserve"> </w:t>
      </w:r>
      <w:r>
        <w:t>de</w:t>
      </w:r>
      <w:r>
        <w:rPr>
          <w:spacing w:val="-15"/>
        </w:rPr>
        <w:t xml:space="preserve"> </w:t>
      </w:r>
      <w:r>
        <w:t xml:space="preserve">Memoria </w:t>
      </w:r>
      <w:r>
        <w:rPr>
          <w:spacing w:val="-2"/>
        </w:rPr>
        <w:t>Histórica.</w:t>
      </w:r>
    </w:p>
    <w:p w:rsidR="0011361F" w:rsidRDefault="00AF18A5" w:rsidP="000C1619">
      <w:r>
        <w:t>Después de la firma del Acuerdo de paz, según datos de Indepaz</w:t>
      </w:r>
      <w:r w:rsidR="000C1619">
        <w:rPr>
          <w:rStyle w:val="Refdenotaalpie"/>
        </w:rPr>
        <w:footnoteReference w:id="121"/>
      </w:r>
      <w:r>
        <w:t xml:space="preserve">, </w:t>
      </w:r>
      <w:r>
        <w:lastRenderedPageBreak/>
        <w:t>entre 2020 y 2022</w:t>
      </w:r>
      <w:r w:rsidR="000C1619">
        <w:rPr>
          <w:rStyle w:val="Refdenotaalpie"/>
        </w:rPr>
        <w:footnoteReference w:id="122"/>
      </w:r>
      <w:r>
        <w:t xml:space="preserve"> se registraron</w:t>
      </w:r>
      <w:r>
        <w:rPr>
          <w:spacing w:val="-9"/>
        </w:rPr>
        <w:t xml:space="preserve"> </w:t>
      </w:r>
      <w:r>
        <w:t>231</w:t>
      </w:r>
      <w:r>
        <w:rPr>
          <w:spacing w:val="-9"/>
        </w:rPr>
        <w:t xml:space="preserve"> </w:t>
      </w:r>
      <w:r>
        <w:t>masacres</w:t>
      </w:r>
      <w:r>
        <w:rPr>
          <w:spacing w:val="-9"/>
        </w:rPr>
        <w:t xml:space="preserve"> </w:t>
      </w:r>
      <w:r>
        <w:t>en</w:t>
      </w:r>
      <w:r>
        <w:rPr>
          <w:spacing w:val="-9"/>
        </w:rPr>
        <w:t xml:space="preserve"> </w:t>
      </w:r>
      <w:r>
        <w:t>el</w:t>
      </w:r>
      <w:r>
        <w:rPr>
          <w:spacing w:val="-9"/>
        </w:rPr>
        <w:t xml:space="preserve"> </w:t>
      </w:r>
      <w:r>
        <w:t>país,</w:t>
      </w:r>
      <w:r>
        <w:rPr>
          <w:spacing w:val="-9"/>
        </w:rPr>
        <w:t xml:space="preserve"> </w:t>
      </w:r>
      <w:r>
        <w:t>en</w:t>
      </w:r>
      <w:r>
        <w:rPr>
          <w:spacing w:val="-9"/>
        </w:rPr>
        <w:t xml:space="preserve"> </w:t>
      </w:r>
      <w:r>
        <w:t>las</w:t>
      </w:r>
      <w:r>
        <w:rPr>
          <w:spacing w:val="-9"/>
        </w:rPr>
        <w:t xml:space="preserve"> </w:t>
      </w:r>
      <w:r>
        <w:t>que</w:t>
      </w:r>
      <w:r>
        <w:rPr>
          <w:spacing w:val="-9"/>
        </w:rPr>
        <w:t xml:space="preserve"> </w:t>
      </w:r>
      <w:r>
        <w:t>han</w:t>
      </w:r>
      <w:r>
        <w:rPr>
          <w:spacing w:val="-9"/>
        </w:rPr>
        <w:t xml:space="preserve"> </w:t>
      </w:r>
      <w:r>
        <w:t>muerto</w:t>
      </w:r>
      <w:r>
        <w:rPr>
          <w:spacing w:val="-9"/>
        </w:rPr>
        <w:t xml:space="preserve"> </w:t>
      </w:r>
      <w:r>
        <w:t>877</w:t>
      </w:r>
      <w:r>
        <w:rPr>
          <w:spacing w:val="-9"/>
        </w:rPr>
        <w:t xml:space="preserve"> </w:t>
      </w:r>
      <w:r>
        <w:t>personas.</w:t>
      </w:r>
      <w:r>
        <w:rPr>
          <w:spacing w:val="-10"/>
        </w:rPr>
        <w:t xml:space="preserve"> </w:t>
      </w:r>
      <w:r>
        <w:t>La</w:t>
      </w:r>
      <w:r>
        <w:rPr>
          <w:spacing w:val="-9"/>
        </w:rPr>
        <w:t xml:space="preserve"> </w:t>
      </w:r>
      <w:r>
        <w:t xml:space="preserve">desmovilización de las FARC-EP y la ocupación de los territorios por parte de grupos </w:t>
      </w:r>
      <w:proofErr w:type="spellStart"/>
      <w:r>
        <w:t>posdemosvilización</w:t>
      </w:r>
      <w:proofErr w:type="spellEnd"/>
      <w:r>
        <w:t xml:space="preserve"> y disidencias</w:t>
      </w:r>
      <w:r>
        <w:rPr>
          <w:spacing w:val="-10"/>
        </w:rPr>
        <w:t xml:space="preserve"> </w:t>
      </w:r>
      <w:r>
        <w:t>de</w:t>
      </w:r>
      <w:r>
        <w:rPr>
          <w:spacing w:val="-9"/>
        </w:rPr>
        <w:t xml:space="preserve"> </w:t>
      </w:r>
      <w:r>
        <w:t>la</w:t>
      </w:r>
      <w:r>
        <w:rPr>
          <w:spacing w:val="-9"/>
        </w:rPr>
        <w:t xml:space="preserve"> </w:t>
      </w:r>
      <w:r>
        <w:t>guerrilla</w:t>
      </w:r>
      <w:r>
        <w:rPr>
          <w:spacing w:val="-9"/>
        </w:rPr>
        <w:t xml:space="preserve"> </w:t>
      </w:r>
      <w:r>
        <w:t>agravó</w:t>
      </w:r>
      <w:r>
        <w:rPr>
          <w:spacing w:val="-9"/>
        </w:rPr>
        <w:t xml:space="preserve"> </w:t>
      </w:r>
      <w:r>
        <w:t>el</w:t>
      </w:r>
      <w:r>
        <w:rPr>
          <w:spacing w:val="-9"/>
        </w:rPr>
        <w:t xml:space="preserve"> </w:t>
      </w:r>
      <w:r>
        <w:t>escenario</w:t>
      </w:r>
      <w:r>
        <w:rPr>
          <w:spacing w:val="-9"/>
        </w:rPr>
        <w:t xml:space="preserve"> </w:t>
      </w:r>
      <w:r>
        <w:t>de</w:t>
      </w:r>
      <w:r>
        <w:rPr>
          <w:spacing w:val="-9"/>
        </w:rPr>
        <w:t xml:space="preserve"> </w:t>
      </w:r>
      <w:r>
        <w:t>seguridad.</w:t>
      </w:r>
      <w:r>
        <w:rPr>
          <w:spacing w:val="-9"/>
        </w:rPr>
        <w:t xml:space="preserve"> </w:t>
      </w:r>
      <w:r>
        <w:t>Estos</w:t>
      </w:r>
      <w:r>
        <w:rPr>
          <w:spacing w:val="-9"/>
        </w:rPr>
        <w:t xml:space="preserve"> </w:t>
      </w:r>
      <w:r>
        <w:t>hechos</w:t>
      </w:r>
      <w:r>
        <w:rPr>
          <w:spacing w:val="-10"/>
        </w:rPr>
        <w:t xml:space="preserve"> </w:t>
      </w:r>
      <w:r>
        <w:t>se</w:t>
      </w:r>
      <w:r>
        <w:rPr>
          <w:spacing w:val="-9"/>
        </w:rPr>
        <w:t xml:space="preserve"> </w:t>
      </w:r>
      <w:r>
        <w:t>han</w:t>
      </w:r>
      <w:r>
        <w:rPr>
          <w:spacing w:val="-9"/>
        </w:rPr>
        <w:t xml:space="preserve"> </w:t>
      </w:r>
      <w:r>
        <w:t>concentrado en Cauca, Norte de Santander y Antioquia y en contra de campesinos y desmovilizados.</w:t>
      </w:r>
    </w:p>
    <w:p w:rsidR="003804AC" w:rsidRDefault="00AF18A5" w:rsidP="000C1619">
      <w:bookmarkStart w:id="203" w:name="_bookmark137"/>
      <w:bookmarkStart w:id="204" w:name="_bookmark138"/>
      <w:bookmarkEnd w:id="203"/>
      <w:bookmarkEnd w:id="204"/>
      <w:r>
        <w:t>Las masacres extendieron el terror por el país; han tenido un fuerte impacto en la paralización</w:t>
      </w:r>
      <w:r>
        <w:rPr>
          <w:spacing w:val="-14"/>
        </w:rPr>
        <w:t xml:space="preserve"> </w:t>
      </w:r>
      <w:r>
        <w:t>de</w:t>
      </w:r>
      <w:r>
        <w:rPr>
          <w:spacing w:val="-13"/>
        </w:rPr>
        <w:t xml:space="preserve"> </w:t>
      </w:r>
      <w:r>
        <w:t>grupos</w:t>
      </w:r>
      <w:r>
        <w:rPr>
          <w:spacing w:val="-13"/>
        </w:rPr>
        <w:t xml:space="preserve"> </w:t>
      </w:r>
      <w:r>
        <w:t>y</w:t>
      </w:r>
      <w:r>
        <w:rPr>
          <w:spacing w:val="-14"/>
        </w:rPr>
        <w:t xml:space="preserve"> </w:t>
      </w:r>
      <w:r>
        <w:t>de</w:t>
      </w:r>
      <w:r>
        <w:rPr>
          <w:spacing w:val="-13"/>
        </w:rPr>
        <w:t xml:space="preserve"> </w:t>
      </w:r>
      <w:r>
        <w:t>organizaciones</w:t>
      </w:r>
      <w:r>
        <w:rPr>
          <w:spacing w:val="-13"/>
        </w:rPr>
        <w:t xml:space="preserve"> </w:t>
      </w:r>
      <w:r>
        <w:t>y</w:t>
      </w:r>
      <w:r>
        <w:rPr>
          <w:spacing w:val="-13"/>
        </w:rPr>
        <w:t xml:space="preserve"> </w:t>
      </w:r>
      <w:r>
        <w:t>han</w:t>
      </w:r>
      <w:r>
        <w:rPr>
          <w:spacing w:val="-14"/>
        </w:rPr>
        <w:t xml:space="preserve"> </w:t>
      </w:r>
      <w:r>
        <w:t>desatado</w:t>
      </w:r>
      <w:r>
        <w:rPr>
          <w:spacing w:val="-13"/>
        </w:rPr>
        <w:t xml:space="preserve"> </w:t>
      </w:r>
      <w:r>
        <w:t>un</w:t>
      </w:r>
      <w:r>
        <w:rPr>
          <w:spacing w:val="-14"/>
        </w:rPr>
        <w:t xml:space="preserve"> </w:t>
      </w:r>
      <w:r>
        <w:t>mayor</w:t>
      </w:r>
      <w:r>
        <w:rPr>
          <w:spacing w:val="-13"/>
        </w:rPr>
        <w:t xml:space="preserve"> </w:t>
      </w:r>
      <w:r>
        <w:t>sentimiento</w:t>
      </w:r>
      <w:r>
        <w:rPr>
          <w:spacing w:val="-13"/>
        </w:rPr>
        <w:t xml:space="preserve"> </w:t>
      </w:r>
      <w:r>
        <w:t>de</w:t>
      </w:r>
      <w:r>
        <w:rPr>
          <w:spacing w:val="-13"/>
        </w:rPr>
        <w:t xml:space="preserve"> </w:t>
      </w:r>
      <w:r>
        <w:t>amenaza y de vulnerabilidad. Además, conllevaron un enorme impacto colectivo, alterando la cohesión comunitaria y aumentando el miedo y la desconfianza en las comunidades afectadas, además de la frecuencia con que se asociaron al desplazamiento forzado masivo, el despojo y las amenazas colectivas</w:t>
      </w:r>
      <w:r w:rsidR="003022B3">
        <w:rPr>
          <w:rStyle w:val="Refdenotaalpie"/>
        </w:rPr>
        <w:footnoteReference w:id="123"/>
      </w:r>
      <w:r>
        <w:t>.</w:t>
      </w:r>
    </w:p>
    <w:p w:rsidR="0011361F" w:rsidRPr="003022B3" w:rsidRDefault="00AF18A5" w:rsidP="004A6EF4">
      <w:pPr>
        <w:pStyle w:val="Ttulo3"/>
        <w:numPr>
          <w:ilvl w:val="1"/>
          <w:numId w:val="16"/>
        </w:numPr>
      </w:pPr>
      <w:bookmarkStart w:id="205" w:name="3.3._Ejecuciones_extrajudiciales_y_asesi"/>
      <w:bookmarkStart w:id="206" w:name="_Toc112399562"/>
      <w:bookmarkEnd w:id="205"/>
      <w:r w:rsidRPr="003022B3">
        <w:t>Ejecuciones extrajudiciales y asesinatos selectivos</w:t>
      </w:r>
      <w:bookmarkEnd w:id="206"/>
    </w:p>
    <w:p w:rsidR="003804AC" w:rsidRDefault="00AF18A5" w:rsidP="003022B3">
      <w:r>
        <w:t>La</w:t>
      </w:r>
      <w:r>
        <w:rPr>
          <w:spacing w:val="-3"/>
        </w:rPr>
        <w:t xml:space="preserve"> </w:t>
      </w:r>
      <w:r>
        <w:t>eliminación</w:t>
      </w:r>
      <w:r>
        <w:rPr>
          <w:spacing w:val="-3"/>
        </w:rPr>
        <w:t xml:space="preserve"> </w:t>
      </w:r>
      <w:r>
        <w:t>del</w:t>
      </w:r>
      <w:r>
        <w:rPr>
          <w:spacing w:val="-3"/>
        </w:rPr>
        <w:t xml:space="preserve"> </w:t>
      </w:r>
      <w:r>
        <w:t>opositor</w:t>
      </w:r>
      <w:r>
        <w:rPr>
          <w:spacing w:val="-3"/>
        </w:rPr>
        <w:t xml:space="preserve"> </w:t>
      </w:r>
      <w:r>
        <w:t>a</w:t>
      </w:r>
      <w:r>
        <w:rPr>
          <w:spacing w:val="-4"/>
        </w:rPr>
        <w:t xml:space="preserve"> </w:t>
      </w:r>
      <w:r>
        <w:t>como</w:t>
      </w:r>
      <w:r>
        <w:rPr>
          <w:spacing w:val="-5"/>
        </w:rPr>
        <w:t xml:space="preserve"> </w:t>
      </w:r>
      <w:r>
        <w:t>diera</w:t>
      </w:r>
      <w:r>
        <w:rPr>
          <w:spacing w:val="-4"/>
        </w:rPr>
        <w:t xml:space="preserve"> </w:t>
      </w:r>
      <w:r>
        <w:t>lugar</w:t>
      </w:r>
      <w:r>
        <w:rPr>
          <w:spacing w:val="-3"/>
        </w:rPr>
        <w:t xml:space="preserve"> </w:t>
      </w:r>
      <w:r>
        <w:t>fue</w:t>
      </w:r>
      <w:r>
        <w:rPr>
          <w:spacing w:val="-3"/>
        </w:rPr>
        <w:t xml:space="preserve"> </w:t>
      </w:r>
      <w:r>
        <w:t>una</w:t>
      </w:r>
      <w:r>
        <w:rPr>
          <w:spacing w:val="-3"/>
        </w:rPr>
        <w:t xml:space="preserve"> </w:t>
      </w:r>
      <w:r>
        <w:t>de</w:t>
      </w:r>
      <w:r>
        <w:rPr>
          <w:spacing w:val="-4"/>
        </w:rPr>
        <w:t xml:space="preserve"> </w:t>
      </w:r>
      <w:r>
        <w:t>las</w:t>
      </w:r>
      <w:r>
        <w:rPr>
          <w:spacing w:val="-6"/>
        </w:rPr>
        <w:t xml:space="preserve"> </w:t>
      </w:r>
      <w:r>
        <w:t>motivaciones</w:t>
      </w:r>
      <w:r>
        <w:rPr>
          <w:spacing w:val="-3"/>
        </w:rPr>
        <w:t xml:space="preserve"> </w:t>
      </w:r>
      <w:r>
        <w:t>centrales</w:t>
      </w:r>
      <w:r>
        <w:rPr>
          <w:spacing w:val="-3"/>
        </w:rPr>
        <w:t xml:space="preserve"> </w:t>
      </w:r>
      <w:r>
        <w:t>por</w:t>
      </w:r>
      <w:r>
        <w:rPr>
          <w:spacing w:val="-3"/>
        </w:rPr>
        <w:t xml:space="preserve"> </w:t>
      </w:r>
      <w:r>
        <w:t xml:space="preserve">las cuales se presentó tan alto número de ejecuciones extrajudiciales y asesinatos selectivos. Ganar la guerra, a cualquier costo, favoreció el crecimiento de muertes violentas para presentar civiles como si hubiesen pertenecido a grupos armados ilegales muertos en combate, muertes violentas dentro de los propios grupos guerrilleros, muertes violentas de modo individual de civiles vinculados con los partidos políticos y movimientos sociales y muertes hasta de ciudadanos del común, cuya investigación de los motivos solo </w:t>
      </w:r>
      <w:r>
        <w:lastRenderedPageBreak/>
        <w:t>le corresponde a la justicia.</w:t>
      </w:r>
    </w:p>
    <w:p w:rsidR="003804AC" w:rsidRDefault="00AF18A5" w:rsidP="005D3228">
      <w:r>
        <w:t>«En el 2012</w:t>
      </w:r>
      <w:r>
        <w:rPr>
          <w:spacing w:val="-1"/>
        </w:rPr>
        <w:t xml:space="preserve"> </w:t>
      </w:r>
      <w:r>
        <w:t>me mataron</w:t>
      </w:r>
      <w:r>
        <w:rPr>
          <w:spacing w:val="-1"/>
        </w:rPr>
        <w:t xml:space="preserve"> </w:t>
      </w:r>
      <w:r>
        <w:t>al hijo;</w:t>
      </w:r>
      <w:r>
        <w:rPr>
          <w:spacing w:val="-1"/>
        </w:rPr>
        <w:t xml:space="preserve"> </w:t>
      </w:r>
      <w:r>
        <w:t>ese</w:t>
      </w:r>
      <w:r>
        <w:rPr>
          <w:spacing w:val="-1"/>
        </w:rPr>
        <w:t xml:space="preserve"> </w:t>
      </w:r>
      <w:r>
        <w:t>sí lo</w:t>
      </w:r>
      <w:r>
        <w:rPr>
          <w:spacing w:val="-1"/>
        </w:rPr>
        <w:t xml:space="preserve"> </w:t>
      </w:r>
      <w:r>
        <w:t>mataron</w:t>
      </w:r>
      <w:r>
        <w:rPr>
          <w:spacing w:val="-2"/>
        </w:rPr>
        <w:t xml:space="preserve"> </w:t>
      </w:r>
      <w:r>
        <w:t>acá. Él</w:t>
      </w:r>
      <w:r>
        <w:rPr>
          <w:spacing w:val="-1"/>
        </w:rPr>
        <w:t xml:space="preserve"> </w:t>
      </w:r>
      <w:r>
        <w:t>tenía</w:t>
      </w:r>
      <w:r>
        <w:rPr>
          <w:spacing w:val="-1"/>
        </w:rPr>
        <w:t xml:space="preserve"> </w:t>
      </w:r>
      <w:r>
        <w:t>28 añitos, ya tenía esposa e</w:t>
      </w:r>
      <w:r>
        <w:rPr>
          <w:spacing w:val="-3"/>
        </w:rPr>
        <w:t xml:space="preserve"> </w:t>
      </w:r>
      <w:r>
        <w:t>hijos.</w:t>
      </w:r>
      <w:r>
        <w:rPr>
          <w:spacing w:val="-4"/>
        </w:rPr>
        <w:t xml:space="preserve"> </w:t>
      </w:r>
      <w:r>
        <w:t>Iba</w:t>
      </w:r>
      <w:r>
        <w:rPr>
          <w:spacing w:val="-3"/>
        </w:rPr>
        <w:t xml:space="preserve"> </w:t>
      </w:r>
      <w:r>
        <w:t>en</w:t>
      </w:r>
      <w:r>
        <w:rPr>
          <w:spacing w:val="-4"/>
        </w:rPr>
        <w:t xml:space="preserve"> </w:t>
      </w:r>
      <w:r>
        <w:t>una</w:t>
      </w:r>
      <w:r>
        <w:rPr>
          <w:spacing w:val="-3"/>
        </w:rPr>
        <w:t xml:space="preserve"> </w:t>
      </w:r>
      <w:r>
        <w:t>moto</w:t>
      </w:r>
      <w:r>
        <w:rPr>
          <w:spacing w:val="-5"/>
        </w:rPr>
        <w:t xml:space="preserve"> </w:t>
      </w:r>
      <w:r>
        <w:t>de</w:t>
      </w:r>
      <w:r>
        <w:rPr>
          <w:spacing w:val="-3"/>
        </w:rPr>
        <w:t xml:space="preserve"> </w:t>
      </w:r>
      <w:r>
        <w:t>parrillero</w:t>
      </w:r>
      <w:r>
        <w:rPr>
          <w:spacing w:val="-5"/>
        </w:rPr>
        <w:t xml:space="preserve"> </w:t>
      </w:r>
      <w:r>
        <w:t>y</w:t>
      </w:r>
      <w:r>
        <w:rPr>
          <w:spacing w:val="-4"/>
        </w:rPr>
        <w:t xml:space="preserve"> </w:t>
      </w:r>
      <w:r>
        <w:t>le</w:t>
      </w:r>
      <w:r>
        <w:rPr>
          <w:spacing w:val="-5"/>
        </w:rPr>
        <w:t xml:space="preserve"> </w:t>
      </w:r>
      <w:r>
        <w:t>hicieron</w:t>
      </w:r>
      <w:r>
        <w:rPr>
          <w:spacing w:val="-4"/>
        </w:rPr>
        <w:t xml:space="preserve"> </w:t>
      </w:r>
      <w:r>
        <w:t>el</w:t>
      </w:r>
      <w:r>
        <w:rPr>
          <w:spacing w:val="-3"/>
        </w:rPr>
        <w:t xml:space="preserve"> </w:t>
      </w:r>
      <w:r>
        <w:t>pare</w:t>
      </w:r>
      <w:r>
        <w:rPr>
          <w:spacing w:val="-5"/>
        </w:rPr>
        <w:t xml:space="preserve"> </w:t>
      </w:r>
      <w:r>
        <w:t>al</w:t>
      </w:r>
      <w:r>
        <w:rPr>
          <w:spacing w:val="-4"/>
        </w:rPr>
        <w:t xml:space="preserve"> </w:t>
      </w:r>
      <w:r>
        <w:t>señor,</w:t>
      </w:r>
      <w:r>
        <w:rPr>
          <w:spacing w:val="-4"/>
        </w:rPr>
        <w:t xml:space="preserve"> </w:t>
      </w:r>
      <w:r>
        <w:t>y</w:t>
      </w:r>
      <w:r>
        <w:rPr>
          <w:spacing w:val="-5"/>
        </w:rPr>
        <w:t xml:space="preserve"> </w:t>
      </w:r>
      <w:r>
        <w:t>el</w:t>
      </w:r>
      <w:r>
        <w:rPr>
          <w:spacing w:val="-4"/>
        </w:rPr>
        <w:t xml:space="preserve"> </w:t>
      </w:r>
      <w:r>
        <w:t>señor</w:t>
      </w:r>
      <w:r>
        <w:rPr>
          <w:spacing w:val="-3"/>
        </w:rPr>
        <w:t xml:space="preserve"> </w:t>
      </w:r>
      <w:r>
        <w:t>no</w:t>
      </w:r>
      <w:r>
        <w:rPr>
          <w:spacing w:val="-4"/>
        </w:rPr>
        <w:t xml:space="preserve"> </w:t>
      </w:r>
      <w:r>
        <w:t>quiso</w:t>
      </w:r>
      <w:r>
        <w:rPr>
          <w:spacing w:val="-5"/>
        </w:rPr>
        <w:t xml:space="preserve"> </w:t>
      </w:r>
      <w:r>
        <w:t>parar. I</w:t>
      </w:r>
      <w:r>
        <w:rPr>
          <w:spacing w:val="-4"/>
        </w:rPr>
        <w:t xml:space="preserve"> </w:t>
      </w:r>
      <w:r>
        <w:t>va</w:t>
      </w:r>
      <w:r>
        <w:rPr>
          <w:spacing w:val="-5"/>
        </w:rPr>
        <w:t xml:space="preserve"> </w:t>
      </w:r>
      <w:r>
        <w:t>un</w:t>
      </w:r>
      <w:r>
        <w:rPr>
          <w:spacing w:val="-5"/>
        </w:rPr>
        <w:t xml:space="preserve"> </w:t>
      </w:r>
      <w:r>
        <w:t>soldado</w:t>
      </w:r>
      <w:r>
        <w:rPr>
          <w:spacing w:val="-5"/>
        </w:rPr>
        <w:t xml:space="preserve"> </w:t>
      </w:r>
      <w:r>
        <w:t>y</w:t>
      </w:r>
      <w:r>
        <w:rPr>
          <w:spacing w:val="-5"/>
        </w:rPr>
        <w:t xml:space="preserve"> </w:t>
      </w:r>
      <w:r>
        <w:t>lo</w:t>
      </w:r>
      <w:r>
        <w:rPr>
          <w:spacing w:val="-5"/>
        </w:rPr>
        <w:t xml:space="preserve"> </w:t>
      </w:r>
      <w:r>
        <w:t>mató;</w:t>
      </w:r>
      <w:r>
        <w:rPr>
          <w:spacing w:val="-4"/>
        </w:rPr>
        <w:t xml:space="preserve"> </w:t>
      </w:r>
      <w:r>
        <w:t>le</w:t>
      </w:r>
      <w:r>
        <w:rPr>
          <w:spacing w:val="-5"/>
        </w:rPr>
        <w:t xml:space="preserve"> </w:t>
      </w:r>
      <w:r>
        <w:t>pegó</w:t>
      </w:r>
      <w:r>
        <w:rPr>
          <w:spacing w:val="-5"/>
        </w:rPr>
        <w:t xml:space="preserve"> </w:t>
      </w:r>
      <w:r>
        <w:t>un</w:t>
      </w:r>
      <w:r>
        <w:rPr>
          <w:spacing w:val="-6"/>
        </w:rPr>
        <w:t xml:space="preserve"> </w:t>
      </w:r>
      <w:r>
        <w:t>tiro</w:t>
      </w:r>
      <w:r>
        <w:rPr>
          <w:spacing w:val="-5"/>
        </w:rPr>
        <w:t xml:space="preserve"> </w:t>
      </w:r>
      <w:r>
        <w:t>por</w:t>
      </w:r>
      <w:r>
        <w:rPr>
          <w:spacing w:val="-4"/>
        </w:rPr>
        <w:t xml:space="preserve"> </w:t>
      </w:r>
      <w:r>
        <w:t>la</w:t>
      </w:r>
      <w:r>
        <w:rPr>
          <w:spacing w:val="-5"/>
        </w:rPr>
        <w:t xml:space="preserve"> </w:t>
      </w:r>
      <w:r>
        <w:t>espalda.</w:t>
      </w:r>
      <w:r>
        <w:rPr>
          <w:spacing w:val="-5"/>
        </w:rPr>
        <w:t xml:space="preserve"> </w:t>
      </w:r>
      <w:r>
        <w:t>No,</w:t>
      </w:r>
      <w:r>
        <w:rPr>
          <w:spacing w:val="-5"/>
        </w:rPr>
        <w:t xml:space="preserve"> </w:t>
      </w:r>
      <w:r>
        <w:t>eso</w:t>
      </w:r>
      <w:r>
        <w:rPr>
          <w:spacing w:val="-5"/>
        </w:rPr>
        <w:t xml:space="preserve"> </w:t>
      </w:r>
      <w:r>
        <w:t>desde</w:t>
      </w:r>
      <w:r>
        <w:rPr>
          <w:spacing w:val="-5"/>
        </w:rPr>
        <w:t xml:space="preserve"> </w:t>
      </w:r>
      <w:r>
        <w:t>ahí</w:t>
      </w:r>
      <w:r>
        <w:rPr>
          <w:spacing w:val="-6"/>
        </w:rPr>
        <w:t xml:space="preserve"> </w:t>
      </w:r>
      <w:r>
        <w:t>mi</w:t>
      </w:r>
      <w:r>
        <w:rPr>
          <w:spacing w:val="-4"/>
        </w:rPr>
        <w:t xml:space="preserve"> </w:t>
      </w:r>
      <w:r>
        <w:t>vida</w:t>
      </w:r>
      <w:r>
        <w:rPr>
          <w:spacing w:val="-5"/>
        </w:rPr>
        <w:t xml:space="preserve"> </w:t>
      </w:r>
      <w:r>
        <w:t>se</w:t>
      </w:r>
      <w:r>
        <w:rPr>
          <w:spacing w:val="-6"/>
        </w:rPr>
        <w:t xml:space="preserve"> </w:t>
      </w:r>
      <w:r>
        <w:t>acabó. Se</w:t>
      </w:r>
      <w:r>
        <w:rPr>
          <w:spacing w:val="-3"/>
        </w:rPr>
        <w:t xml:space="preserve"> </w:t>
      </w:r>
      <w:r>
        <w:t>acabó</w:t>
      </w:r>
      <w:r>
        <w:rPr>
          <w:spacing w:val="-4"/>
        </w:rPr>
        <w:t xml:space="preserve"> </w:t>
      </w:r>
      <w:r>
        <w:t>mi</w:t>
      </w:r>
      <w:r>
        <w:rPr>
          <w:spacing w:val="-4"/>
        </w:rPr>
        <w:t xml:space="preserve"> </w:t>
      </w:r>
      <w:r>
        <w:t>hogar,</w:t>
      </w:r>
      <w:r>
        <w:rPr>
          <w:spacing w:val="-4"/>
        </w:rPr>
        <w:t xml:space="preserve"> </w:t>
      </w:r>
      <w:r>
        <w:t>se</w:t>
      </w:r>
      <w:r>
        <w:rPr>
          <w:spacing w:val="-4"/>
        </w:rPr>
        <w:t xml:space="preserve"> </w:t>
      </w:r>
      <w:r>
        <w:t>acabó</w:t>
      </w:r>
      <w:r>
        <w:rPr>
          <w:spacing w:val="-4"/>
        </w:rPr>
        <w:t xml:space="preserve"> </w:t>
      </w:r>
      <w:r>
        <w:t>todo</w:t>
      </w:r>
      <w:r>
        <w:rPr>
          <w:spacing w:val="-4"/>
        </w:rPr>
        <w:t xml:space="preserve"> </w:t>
      </w:r>
      <w:r>
        <w:t>[...].</w:t>
      </w:r>
      <w:r>
        <w:rPr>
          <w:spacing w:val="-4"/>
        </w:rPr>
        <w:t xml:space="preserve"> </w:t>
      </w:r>
      <w:r>
        <w:t>A</w:t>
      </w:r>
      <w:r>
        <w:rPr>
          <w:spacing w:val="-4"/>
        </w:rPr>
        <w:t xml:space="preserve"> </w:t>
      </w:r>
      <w:r>
        <w:t>la</w:t>
      </w:r>
      <w:r>
        <w:rPr>
          <w:spacing w:val="-3"/>
        </w:rPr>
        <w:t xml:space="preserve"> </w:t>
      </w:r>
      <w:r>
        <w:t>salida</w:t>
      </w:r>
      <w:r>
        <w:rPr>
          <w:spacing w:val="-5"/>
        </w:rPr>
        <w:t xml:space="preserve"> </w:t>
      </w:r>
      <w:r>
        <w:t>de</w:t>
      </w:r>
      <w:r>
        <w:rPr>
          <w:spacing w:val="-3"/>
        </w:rPr>
        <w:t xml:space="preserve"> </w:t>
      </w:r>
      <w:proofErr w:type="spellStart"/>
      <w:r>
        <w:t>Gaitania</w:t>
      </w:r>
      <w:proofErr w:type="spellEnd"/>
      <w:r>
        <w:rPr>
          <w:spacing w:val="-3"/>
        </w:rPr>
        <w:t xml:space="preserve"> </w:t>
      </w:r>
      <w:r>
        <w:t>estaba</w:t>
      </w:r>
      <w:r>
        <w:rPr>
          <w:spacing w:val="-5"/>
        </w:rPr>
        <w:t xml:space="preserve"> </w:t>
      </w:r>
      <w:r>
        <w:t>tirado</w:t>
      </w:r>
      <w:r>
        <w:rPr>
          <w:spacing w:val="-5"/>
        </w:rPr>
        <w:t xml:space="preserve"> </w:t>
      </w:r>
      <w:r>
        <w:t>como</w:t>
      </w:r>
      <w:r>
        <w:rPr>
          <w:spacing w:val="-4"/>
        </w:rPr>
        <w:t xml:space="preserve"> </w:t>
      </w:r>
      <w:r>
        <w:t>si</w:t>
      </w:r>
      <w:r>
        <w:rPr>
          <w:spacing w:val="-3"/>
        </w:rPr>
        <w:t xml:space="preserve"> </w:t>
      </w:r>
      <w:r>
        <w:t>fuera</w:t>
      </w:r>
      <w:r>
        <w:rPr>
          <w:spacing w:val="-3"/>
        </w:rPr>
        <w:t xml:space="preserve"> </w:t>
      </w:r>
      <w:r>
        <w:t>un perro, y el Ejército ahí, porque decían que dizque... en la emisora salía que habían matado a un cabecilla de la guerrilla»</w:t>
      </w:r>
      <w:r w:rsidR="005D3228">
        <w:rPr>
          <w:rStyle w:val="Refdenotaalpie"/>
        </w:rPr>
        <w:footnoteReference w:id="124"/>
      </w:r>
      <w:r>
        <w:t>.</w:t>
      </w:r>
    </w:p>
    <w:p w:rsidR="003804AC" w:rsidRDefault="00AF18A5" w:rsidP="005D3228">
      <w:r>
        <w:t>Las ejecuciones extrajudiciales privan de la vida a personas civiles o combatientes por agentes</w:t>
      </w:r>
      <w:r>
        <w:rPr>
          <w:spacing w:val="-7"/>
        </w:rPr>
        <w:t xml:space="preserve"> </w:t>
      </w:r>
      <w:r>
        <w:t>del</w:t>
      </w:r>
      <w:r>
        <w:rPr>
          <w:spacing w:val="-8"/>
        </w:rPr>
        <w:t xml:space="preserve"> </w:t>
      </w:r>
      <w:r>
        <w:t>Estado</w:t>
      </w:r>
      <w:r>
        <w:rPr>
          <w:spacing w:val="-7"/>
        </w:rPr>
        <w:t xml:space="preserve"> </w:t>
      </w:r>
      <w:r>
        <w:t>o</w:t>
      </w:r>
      <w:r>
        <w:rPr>
          <w:spacing w:val="-7"/>
        </w:rPr>
        <w:t xml:space="preserve"> </w:t>
      </w:r>
      <w:r>
        <w:t>particulares</w:t>
      </w:r>
      <w:r>
        <w:rPr>
          <w:spacing w:val="-7"/>
        </w:rPr>
        <w:t xml:space="preserve"> </w:t>
      </w:r>
      <w:r>
        <w:t>con</w:t>
      </w:r>
      <w:r>
        <w:rPr>
          <w:spacing w:val="-8"/>
        </w:rPr>
        <w:t xml:space="preserve"> </w:t>
      </w:r>
      <w:r>
        <w:t>su</w:t>
      </w:r>
      <w:r>
        <w:rPr>
          <w:spacing w:val="-7"/>
        </w:rPr>
        <w:t xml:space="preserve"> </w:t>
      </w:r>
      <w:r>
        <w:t>apoyo</w:t>
      </w:r>
      <w:r>
        <w:rPr>
          <w:spacing w:val="-7"/>
        </w:rPr>
        <w:t xml:space="preserve"> </w:t>
      </w:r>
      <w:r>
        <w:t>o</w:t>
      </w:r>
      <w:r>
        <w:rPr>
          <w:spacing w:val="-7"/>
        </w:rPr>
        <w:t xml:space="preserve"> </w:t>
      </w:r>
      <w:r>
        <w:t>aquiescencia</w:t>
      </w:r>
      <w:r>
        <w:rPr>
          <w:spacing w:val="-8"/>
        </w:rPr>
        <w:t xml:space="preserve"> </w:t>
      </w:r>
      <w:r>
        <w:t>que</w:t>
      </w:r>
      <w:r>
        <w:rPr>
          <w:spacing w:val="-7"/>
        </w:rPr>
        <w:t xml:space="preserve"> </w:t>
      </w:r>
      <w:r>
        <w:t>estaban</w:t>
      </w:r>
      <w:r>
        <w:rPr>
          <w:spacing w:val="-8"/>
        </w:rPr>
        <w:t xml:space="preserve"> </w:t>
      </w:r>
      <w:r>
        <w:t>en</w:t>
      </w:r>
      <w:r>
        <w:rPr>
          <w:spacing w:val="-7"/>
        </w:rPr>
        <w:t xml:space="preserve"> </w:t>
      </w:r>
      <w:r>
        <w:t>condiciones</w:t>
      </w:r>
      <w:r>
        <w:rPr>
          <w:spacing w:val="-7"/>
        </w:rPr>
        <w:t xml:space="preserve"> </w:t>
      </w:r>
      <w:r>
        <w:t>de indefensión.</w:t>
      </w:r>
      <w:r>
        <w:rPr>
          <w:spacing w:val="24"/>
        </w:rPr>
        <w:t xml:space="preserve"> </w:t>
      </w:r>
      <w:r>
        <w:t>Según</w:t>
      </w:r>
      <w:r>
        <w:rPr>
          <w:spacing w:val="27"/>
        </w:rPr>
        <w:t xml:space="preserve"> </w:t>
      </w:r>
      <w:r>
        <w:t>la</w:t>
      </w:r>
      <w:r>
        <w:rPr>
          <w:spacing w:val="26"/>
        </w:rPr>
        <w:t xml:space="preserve"> </w:t>
      </w:r>
      <w:r>
        <w:t>información</w:t>
      </w:r>
      <w:r>
        <w:rPr>
          <w:spacing w:val="27"/>
        </w:rPr>
        <w:t xml:space="preserve"> </w:t>
      </w:r>
      <w:r>
        <w:t>del</w:t>
      </w:r>
      <w:r>
        <w:rPr>
          <w:spacing w:val="28"/>
        </w:rPr>
        <w:t xml:space="preserve"> </w:t>
      </w:r>
      <w:r>
        <w:t>CNMH,</w:t>
      </w:r>
      <w:r>
        <w:rPr>
          <w:spacing w:val="27"/>
        </w:rPr>
        <w:t xml:space="preserve"> </w:t>
      </w:r>
      <w:r>
        <w:t>en</w:t>
      </w:r>
      <w:r>
        <w:rPr>
          <w:spacing w:val="28"/>
        </w:rPr>
        <w:t xml:space="preserve"> </w:t>
      </w:r>
      <w:r>
        <w:t>el</w:t>
      </w:r>
      <w:r>
        <w:rPr>
          <w:spacing w:val="27"/>
        </w:rPr>
        <w:t xml:space="preserve"> </w:t>
      </w:r>
      <w:r>
        <w:t>56</w:t>
      </w:r>
      <w:r>
        <w:rPr>
          <w:spacing w:val="47"/>
        </w:rPr>
        <w:t xml:space="preserve"> </w:t>
      </w:r>
      <w:r>
        <w:t>%</w:t>
      </w:r>
      <w:r>
        <w:rPr>
          <w:spacing w:val="27"/>
        </w:rPr>
        <w:t xml:space="preserve"> </w:t>
      </w:r>
      <w:r>
        <w:t>de</w:t>
      </w:r>
      <w:r>
        <w:rPr>
          <w:spacing w:val="28"/>
        </w:rPr>
        <w:t xml:space="preserve"> </w:t>
      </w:r>
      <w:r>
        <w:t>los</w:t>
      </w:r>
      <w:r>
        <w:rPr>
          <w:spacing w:val="26"/>
        </w:rPr>
        <w:t xml:space="preserve"> </w:t>
      </w:r>
      <w:r>
        <w:t>municipios</w:t>
      </w:r>
      <w:r>
        <w:rPr>
          <w:spacing w:val="26"/>
        </w:rPr>
        <w:t xml:space="preserve"> </w:t>
      </w:r>
      <w:r>
        <w:t>del</w:t>
      </w:r>
      <w:r>
        <w:rPr>
          <w:spacing w:val="27"/>
        </w:rPr>
        <w:t xml:space="preserve"> </w:t>
      </w:r>
      <w:r>
        <w:t>país</w:t>
      </w:r>
      <w:r>
        <w:rPr>
          <w:spacing w:val="29"/>
        </w:rPr>
        <w:t xml:space="preserve"> </w:t>
      </w:r>
      <w:r>
        <w:rPr>
          <w:spacing w:val="-5"/>
        </w:rPr>
        <w:t>se</w:t>
      </w:r>
      <w:bookmarkStart w:id="207" w:name="_bookmark140"/>
      <w:bookmarkStart w:id="208" w:name="_bookmark141"/>
      <w:bookmarkEnd w:id="207"/>
      <w:bookmarkEnd w:id="208"/>
      <w:r w:rsidR="005D3228">
        <w:t xml:space="preserve"> </w:t>
      </w:r>
      <w:r>
        <w:t>registró al menos una ejecución extrajudicial en los últimos treinta años como parte del conflicto armado.</w:t>
      </w:r>
    </w:p>
    <w:p w:rsidR="003804AC" w:rsidRDefault="00AF18A5" w:rsidP="005D3228">
      <w:r>
        <w:rPr>
          <w:spacing w:val="-2"/>
        </w:rPr>
        <w:t>En</w:t>
      </w:r>
      <w:r>
        <w:rPr>
          <w:spacing w:val="-6"/>
        </w:rPr>
        <w:t xml:space="preserve"> </w:t>
      </w:r>
      <w:r>
        <w:rPr>
          <w:spacing w:val="-2"/>
        </w:rPr>
        <w:t>algunos</w:t>
      </w:r>
      <w:r>
        <w:rPr>
          <w:spacing w:val="-7"/>
        </w:rPr>
        <w:t xml:space="preserve"> </w:t>
      </w:r>
      <w:r>
        <w:rPr>
          <w:spacing w:val="-2"/>
        </w:rPr>
        <w:t>casos</w:t>
      </w:r>
      <w:r>
        <w:rPr>
          <w:spacing w:val="-7"/>
        </w:rPr>
        <w:t xml:space="preserve"> </w:t>
      </w:r>
      <w:r>
        <w:rPr>
          <w:spacing w:val="-2"/>
        </w:rPr>
        <w:t>las</w:t>
      </w:r>
      <w:r>
        <w:rPr>
          <w:spacing w:val="-7"/>
        </w:rPr>
        <w:t xml:space="preserve"> </w:t>
      </w:r>
      <w:r>
        <w:rPr>
          <w:spacing w:val="-2"/>
        </w:rPr>
        <w:t>ejecuciones</w:t>
      </w:r>
      <w:r>
        <w:rPr>
          <w:spacing w:val="-7"/>
        </w:rPr>
        <w:t xml:space="preserve"> </w:t>
      </w:r>
      <w:r>
        <w:rPr>
          <w:spacing w:val="-2"/>
        </w:rPr>
        <w:t>se</w:t>
      </w:r>
      <w:r>
        <w:rPr>
          <w:spacing w:val="-6"/>
        </w:rPr>
        <w:t xml:space="preserve"> </w:t>
      </w:r>
      <w:r>
        <w:rPr>
          <w:spacing w:val="-2"/>
        </w:rPr>
        <w:t>planearon</w:t>
      </w:r>
      <w:r>
        <w:rPr>
          <w:spacing w:val="-7"/>
        </w:rPr>
        <w:t xml:space="preserve"> </w:t>
      </w:r>
      <w:r>
        <w:rPr>
          <w:spacing w:val="-2"/>
        </w:rPr>
        <w:t>con</w:t>
      </w:r>
      <w:r>
        <w:rPr>
          <w:spacing w:val="-7"/>
        </w:rPr>
        <w:t xml:space="preserve"> </w:t>
      </w:r>
      <w:r>
        <w:rPr>
          <w:spacing w:val="-2"/>
        </w:rPr>
        <w:t>un</w:t>
      </w:r>
      <w:r>
        <w:rPr>
          <w:spacing w:val="-6"/>
        </w:rPr>
        <w:t xml:space="preserve"> </w:t>
      </w:r>
      <w:r>
        <w:rPr>
          <w:spacing w:val="-2"/>
        </w:rPr>
        <w:t>alto</w:t>
      </w:r>
      <w:r>
        <w:rPr>
          <w:spacing w:val="-6"/>
        </w:rPr>
        <w:t xml:space="preserve"> </w:t>
      </w:r>
      <w:r>
        <w:rPr>
          <w:spacing w:val="-2"/>
        </w:rPr>
        <w:t>grado</w:t>
      </w:r>
      <w:r>
        <w:rPr>
          <w:spacing w:val="-6"/>
        </w:rPr>
        <w:t xml:space="preserve"> </w:t>
      </w:r>
      <w:r>
        <w:rPr>
          <w:spacing w:val="-2"/>
        </w:rPr>
        <w:t>de</w:t>
      </w:r>
      <w:r>
        <w:rPr>
          <w:spacing w:val="-6"/>
        </w:rPr>
        <w:t xml:space="preserve"> </w:t>
      </w:r>
      <w:r>
        <w:rPr>
          <w:spacing w:val="-2"/>
        </w:rPr>
        <w:t>sofisticación,</w:t>
      </w:r>
      <w:r>
        <w:rPr>
          <w:spacing w:val="-6"/>
        </w:rPr>
        <w:t xml:space="preserve"> </w:t>
      </w:r>
      <w:r>
        <w:rPr>
          <w:spacing w:val="-2"/>
        </w:rPr>
        <w:t>y</w:t>
      </w:r>
      <w:r>
        <w:rPr>
          <w:spacing w:val="-7"/>
        </w:rPr>
        <w:t xml:space="preserve"> </w:t>
      </w:r>
      <w:r>
        <w:rPr>
          <w:spacing w:val="-2"/>
        </w:rPr>
        <w:t xml:space="preserve">existían </w:t>
      </w:r>
      <w:r>
        <w:t>aparatos criminales para perpetrarlas, como en el caso de las ejecuciones extrajudiciales cometidas por la fuerza pública, bajo la modalidad de presentar a civiles como si fuesen miembros de grupos armados ilegales muertos en combate. Estas se llevaron a cabo con un grado</w:t>
      </w:r>
      <w:r>
        <w:rPr>
          <w:spacing w:val="-14"/>
        </w:rPr>
        <w:t xml:space="preserve"> </w:t>
      </w:r>
      <w:r>
        <w:t>de</w:t>
      </w:r>
      <w:r>
        <w:rPr>
          <w:spacing w:val="-14"/>
        </w:rPr>
        <w:t xml:space="preserve"> </w:t>
      </w:r>
      <w:r>
        <w:t>organización</w:t>
      </w:r>
      <w:r>
        <w:rPr>
          <w:spacing w:val="-14"/>
        </w:rPr>
        <w:t xml:space="preserve"> </w:t>
      </w:r>
      <w:r>
        <w:t>que</w:t>
      </w:r>
      <w:r>
        <w:rPr>
          <w:spacing w:val="-14"/>
        </w:rPr>
        <w:t xml:space="preserve"> </w:t>
      </w:r>
      <w:r>
        <w:t>implicaba</w:t>
      </w:r>
      <w:r>
        <w:rPr>
          <w:spacing w:val="-14"/>
        </w:rPr>
        <w:t xml:space="preserve"> </w:t>
      </w:r>
      <w:r>
        <w:t>la</w:t>
      </w:r>
      <w:r>
        <w:rPr>
          <w:spacing w:val="-14"/>
        </w:rPr>
        <w:t xml:space="preserve"> </w:t>
      </w:r>
      <w:r>
        <w:t>planeación</w:t>
      </w:r>
      <w:r>
        <w:rPr>
          <w:spacing w:val="-15"/>
        </w:rPr>
        <w:t xml:space="preserve"> </w:t>
      </w:r>
      <w:r>
        <w:t>cuidadosa</w:t>
      </w:r>
      <w:r>
        <w:rPr>
          <w:spacing w:val="-15"/>
        </w:rPr>
        <w:t xml:space="preserve"> </w:t>
      </w:r>
      <w:r>
        <w:t>y</w:t>
      </w:r>
      <w:r>
        <w:rPr>
          <w:spacing w:val="-15"/>
        </w:rPr>
        <w:t xml:space="preserve"> </w:t>
      </w:r>
      <w:r>
        <w:t>una</w:t>
      </w:r>
      <w:r>
        <w:rPr>
          <w:spacing w:val="-14"/>
        </w:rPr>
        <w:t xml:space="preserve"> </w:t>
      </w:r>
      <w:r>
        <w:t>distribución</w:t>
      </w:r>
      <w:r>
        <w:rPr>
          <w:spacing w:val="-14"/>
        </w:rPr>
        <w:t xml:space="preserve"> </w:t>
      </w:r>
      <w:r>
        <w:t>de</w:t>
      </w:r>
      <w:r>
        <w:rPr>
          <w:spacing w:val="-15"/>
        </w:rPr>
        <w:t xml:space="preserve"> </w:t>
      </w:r>
      <w:r>
        <w:t xml:space="preserve">funciones en una estructura de mando. Los autores se sirvieron de la complicidad de paramilitares y algunos civiles y, para ocultar los crímenes, de la colaboración de algunos funcionarios del Estado (como de la Fiscalía, de la Justicia Penal Militar y de Medicina Legal). La JEP determinó que entre 2002 y 2008 se </w:t>
      </w:r>
      <w:r>
        <w:lastRenderedPageBreak/>
        <w:t>registraron por lo menos 6.402 víctimas de ejecuciones extrajudiciales en 31 departamentos del país, perpetradas bajo esta modalidad. A pesar de que</w:t>
      </w:r>
      <w:r>
        <w:rPr>
          <w:spacing w:val="-5"/>
        </w:rPr>
        <w:t xml:space="preserve"> </w:t>
      </w:r>
      <w:r>
        <w:t>existe</w:t>
      </w:r>
      <w:r>
        <w:rPr>
          <w:spacing w:val="-5"/>
        </w:rPr>
        <w:t xml:space="preserve"> </w:t>
      </w:r>
      <w:r>
        <w:t>un</w:t>
      </w:r>
      <w:r>
        <w:rPr>
          <w:spacing w:val="-5"/>
        </w:rPr>
        <w:t xml:space="preserve"> </w:t>
      </w:r>
      <w:r>
        <w:t>subregistro</w:t>
      </w:r>
      <w:r>
        <w:rPr>
          <w:spacing w:val="-5"/>
        </w:rPr>
        <w:t xml:space="preserve"> </w:t>
      </w:r>
      <w:r>
        <w:t>de</w:t>
      </w:r>
      <w:r>
        <w:rPr>
          <w:spacing w:val="-5"/>
        </w:rPr>
        <w:t xml:space="preserve"> </w:t>
      </w:r>
      <w:r>
        <w:t>épocas</w:t>
      </w:r>
      <w:r>
        <w:rPr>
          <w:spacing w:val="-6"/>
        </w:rPr>
        <w:t xml:space="preserve"> </w:t>
      </w:r>
      <w:r>
        <w:t>anteriores,</w:t>
      </w:r>
      <w:r>
        <w:rPr>
          <w:spacing w:val="-5"/>
        </w:rPr>
        <w:t xml:space="preserve"> </w:t>
      </w:r>
      <w:r>
        <w:t>según</w:t>
      </w:r>
      <w:r>
        <w:rPr>
          <w:spacing w:val="-5"/>
        </w:rPr>
        <w:t xml:space="preserve"> </w:t>
      </w:r>
      <w:r>
        <w:t>la</w:t>
      </w:r>
      <w:r>
        <w:rPr>
          <w:spacing w:val="-5"/>
        </w:rPr>
        <w:t xml:space="preserve"> </w:t>
      </w:r>
      <w:r>
        <w:t>JEP,</w:t>
      </w:r>
      <w:r>
        <w:rPr>
          <w:spacing w:val="-5"/>
        </w:rPr>
        <w:t xml:space="preserve"> </w:t>
      </w:r>
      <w:r>
        <w:t>ese</w:t>
      </w:r>
      <w:r>
        <w:rPr>
          <w:spacing w:val="-5"/>
        </w:rPr>
        <w:t xml:space="preserve"> </w:t>
      </w:r>
      <w:r>
        <w:t>periodo</w:t>
      </w:r>
      <w:r>
        <w:rPr>
          <w:spacing w:val="-5"/>
        </w:rPr>
        <w:t xml:space="preserve"> </w:t>
      </w:r>
      <w:r>
        <w:t>agrupa</w:t>
      </w:r>
      <w:r>
        <w:rPr>
          <w:spacing w:val="-5"/>
        </w:rPr>
        <w:t xml:space="preserve"> </w:t>
      </w:r>
      <w:r>
        <w:t>el</w:t>
      </w:r>
      <w:r>
        <w:rPr>
          <w:spacing w:val="-4"/>
        </w:rPr>
        <w:t xml:space="preserve"> </w:t>
      </w:r>
      <w:r>
        <w:t>78</w:t>
      </w:r>
      <w:r>
        <w:rPr>
          <w:spacing w:val="40"/>
        </w:rPr>
        <w:t xml:space="preserve"> </w:t>
      </w:r>
      <w:r>
        <w:t>%</w:t>
      </w:r>
      <w:r>
        <w:rPr>
          <w:spacing w:val="-4"/>
        </w:rPr>
        <w:t xml:space="preserve"> </w:t>
      </w:r>
      <w:r>
        <w:t>del total de las ejecuciones extrajudiciales de las que hay registro en el periodo comprendido entre 1978 y 2016 (8.208 personas asesinadas en ese tipo de acciones).</w:t>
      </w:r>
    </w:p>
    <w:p w:rsidR="003804AC" w:rsidRDefault="00AF18A5" w:rsidP="005D3228">
      <w:r>
        <w:t xml:space="preserve">El año en que más casos ocurrieron fue 2007, mientras que en 2008 disminuyeron de forma drástica, después de la destitución de 17 generales y mandos y de una investigación interna en el Ejército ante las denuncias de muchas familias, que habían sido negadas hasta </w:t>
      </w:r>
      <w:r>
        <w:rPr>
          <w:spacing w:val="-2"/>
        </w:rPr>
        <w:t>entonces.</w:t>
      </w:r>
    </w:p>
    <w:p w:rsidR="003804AC" w:rsidRDefault="00AF18A5" w:rsidP="005D3228">
      <w:r>
        <w:t>El</w:t>
      </w:r>
      <w:r>
        <w:rPr>
          <w:spacing w:val="-3"/>
        </w:rPr>
        <w:t xml:space="preserve"> </w:t>
      </w:r>
      <w:r>
        <w:t>contraste</w:t>
      </w:r>
      <w:r>
        <w:rPr>
          <w:spacing w:val="-4"/>
        </w:rPr>
        <w:t xml:space="preserve"> </w:t>
      </w:r>
      <w:r>
        <w:t>entre</w:t>
      </w:r>
      <w:r>
        <w:rPr>
          <w:spacing w:val="-3"/>
        </w:rPr>
        <w:t xml:space="preserve"> </w:t>
      </w:r>
      <w:r>
        <w:t>estos</w:t>
      </w:r>
      <w:r>
        <w:rPr>
          <w:spacing w:val="-5"/>
        </w:rPr>
        <w:t xml:space="preserve"> </w:t>
      </w:r>
      <w:r>
        <w:t>hechos</w:t>
      </w:r>
      <w:r>
        <w:rPr>
          <w:spacing w:val="-3"/>
        </w:rPr>
        <w:t xml:space="preserve"> </w:t>
      </w:r>
      <w:r>
        <w:t>y</w:t>
      </w:r>
      <w:r>
        <w:rPr>
          <w:spacing w:val="-3"/>
        </w:rPr>
        <w:t xml:space="preserve"> </w:t>
      </w:r>
      <w:r>
        <w:t>las</w:t>
      </w:r>
      <w:r>
        <w:rPr>
          <w:spacing w:val="-4"/>
        </w:rPr>
        <w:t xml:space="preserve"> </w:t>
      </w:r>
      <w:r>
        <w:t>masacres</w:t>
      </w:r>
      <w:r>
        <w:rPr>
          <w:spacing w:val="-3"/>
        </w:rPr>
        <w:t xml:space="preserve"> </w:t>
      </w:r>
      <w:r>
        <w:t>citadas</w:t>
      </w:r>
      <w:r>
        <w:rPr>
          <w:spacing w:val="-3"/>
        </w:rPr>
        <w:t xml:space="preserve"> </w:t>
      </w:r>
      <w:r>
        <w:t>muestra</w:t>
      </w:r>
      <w:r>
        <w:rPr>
          <w:spacing w:val="-3"/>
        </w:rPr>
        <w:t xml:space="preserve"> </w:t>
      </w:r>
      <w:r>
        <w:t>que</w:t>
      </w:r>
      <w:r>
        <w:rPr>
          <w:spacing w:val="-3"/>
        </w:rPr>
        <w:t xml:space="preserve"> </w:t>
      </w:r>
      <w:r>
        <w:t>mientras</w:t>
      </w:r>
      <w:r>
        <w:rPr>
          <w:spacing w:val="-3"/>
        </w:rPr>
        <w:t xml:space="preserve"> </w:t>
      </w:r>
      <w:r>
        <w:t>entre</w:t>
      </w:r>
      <w:r>
        <w:rPr>
          <w:spacing w:val="-3"/>
        </w:rPr>
        <w:t xml:space="preserve"> </w:t>
      </w:r>
      <w:r>
        <w:t>2001</w:t>
      </w:r>
      <w:r>
        <w:rPr>
          <w:spacing w:val="-3"/>
        </w:rPr>
        <w:t xml:space="preserve"> </w:t>
      </w:r>
      <w:r>
        <w:t>y 2007 las víctimas de masacres se redujeron de manera considerable debido a la desmovilización de las AUC, las ejecuciones extrajudiciales, durante esos mismos años, presentaron su mayor aumento.</w:t>
      </w:r>
    </w:p>
    <w:p w:rsidR="005D3228" w:rsidRDefault="005D3228" w:rsidP="005D3228">
      <w:pPr>
        <w:pStyle w:val="Descripcin"/>
        <w:keepNext/>
      </w:pPr>
      <w:r>
        <w:lastRenderedPageBreak/>
        <w:t xml:space="preserve">Gráfica </w:t>
      </w:r>
      <w:r w:rsidR="005F4072">
        <w:fldChar w:fldCharType="begin"/>
      </w:r>
      <w:r w:rsidR="005F4072">
        <w:instrText xml:space="preserve"> SEQ Gráfica \* ARABIC </w:instrText>
      </w:r>
      <w:r w:rsidR="005F4072">
        <w:fldChar w:fldCharType="separate"/>
      </w:r>
      <w:r w:rsidR="005F4072">
        <w:rPr>
          <w:noProof/>
        </w:rPr>
        <w:t>4</w:t>
      </w:r>
      <w:r w:rsidR="005F4072">
        <w:fldChar w:fldCharType="end"/>
      </w:r>
      <w:r w:rsidRPr="00C11B57">
        <w:t>. Víctimas de masacres y ejecuciones extrajudiciales entre 1985 y 2019</w:t>
      </w:r>
    </w:p>
    <w:p w:rsidR="0011361F" w:rsidRDefault="00AF18A5">
      <w:pPr>
        <w:pStyle w:val="Textoindependiente"/>
        <w:ind w:left="505"/>
        <w:rPr>
          <w:sz w:val="20"/>
        </w:rPr>
      </w:pPr>
      <w:r>
        <w:rPr>
          <w:noProof/>
          <w:sz w:val="20"/>
        </w:rPr>
        <w:drawing>
          <wp:inline distT="0" distB="0" distL="0" distR="0">
            <wp:extent cx="4463357" cy="3590925"/>
            <wp:effectExtent l="0" t="0" r="0" b="0"/>
            <wp:docPr id="9" name="image5.jpeg"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4464161" cy="3591572"/>
                    </a:xfrm>
                    <a:prstGeom prst="rect">
                      <a:avLst/>
                    </a:prstGeom>
                  </pic:spPr>
                </pic:pic>
              </a:graphicData>
            </a:graphic>
          </wp:inline>
        </w:drawing>
      </w:r>
    </w:p>
    <w:p w:rsidR="003804AC" w:rsidRDefault="00AF18A5" w:rsidP="005D3228">
      <w:r>
        <w:rPr>
          <w:i/>
        </w:rPr>
        <w:t xml:space="preserve">Fuente: </w:t>
      </w:r>
      <w:r>
        <w:t xml:space="preserve">Comisión de la Verdad, «Catálogo de </w:t>
      </w:r>
      <w:proofErr w:type="spellStart"/>
      <w:r>
        <w:t>microdatos</w:t>
      </w:r>
      <w:proofErr w:type="spellEnd"/>
      <w:r>
        <w:t>». Centro Nacional de Memoria Histórica, noviembre de 2021.</w:t>
      </w:r>
    </w:p>
    <w:p w:rsidR="0011361F" w:rsidRDefault="00AF18A5" w:rsidP="004A6EF4">
      <w:pPr>
        <w:pStyle w:val="Ttulo3"/>
        <w:numPr>
          <w:ilvl w:val="1"/>
          <w:numId w:val="16"/>
        </w:numPr>
      </w:pPr>
      <w:bookmarkStart w:id="209" w:name="3.4._Asesinatos_selectivos"/>
      <w:bookmarkStart w:id="210" w:name="_Toc112399563"/>
      <w:bookmarkEnd w:id="209"/>
      <w:r>
        <w:t>Asesinatos</w:t>
      </w:r>
      <w:r>
        <w:rPr>
          <w:spacing w:val="-2"/>
        </w:rPr>
        <w:t xml:space="preserve"> selectivos</w:t>
      </w:r>
      <w:bookmarkEnd w:id="210"/>
    </w:p>
    <w:p w:rsidR="003804AC" w:rsidRDefault="00AF18A5" w:rsidP="005D3228">
      <w:r>
        <w:t>La eliminación de quienes han sido considerados como «enemigos» fue el modo más extendido de hacer la guerra en Colombia. Se trata de la muerte directa, intencional, debido a la concepción del otro como un enemigo que hay que eliminar por motivos ideológicos o políticos o, simplemente,</w:t>
      </w:r>
      <w:r>
        <w:rPr>
          <w:spacing w:val="-1"/>
        </w:rPr>
        <w:t xml:space="preserve"> </w:t>
      </w:r>
      <w:r>
        <w:t>porque es un obstáculo</w:t>
      </w:r>
      <w:r>
        <w:rPr>
          <w:spacing w:val="-1"/>
        </w:rPr>
        <w:t xml:space="preserve"> </w:t>
      </w:r>
      <w:r>
        <w:t>para lograr</w:t>
      </w:r>
      <w:r>
        <w:rPr>
          <w:spacing w:val="-1"/>
        </w:rPr>
        <w:t xml:space="preserve"> </w:t>
      </w:r>
      <w:r>
        <w:t>el control del</w:t>
      </w:r>
      <w:r>
        <w:rPr>
          <w:spacing w:val="-1"/>
        </w:rPr>
        <w:t xml:space="preserve"> </w:t>
      </w:r>
      <w:r>
        <w:t>grupo armado, al considerarlo</w:t>
      </w:r>
      <w:r>
        <w:rPr>
          <w:spacing w:val="13"/>
        </w:rPr>
        <w:t xml:space="preserve"> </w:t>
      </w:r>
      <w:r>
        <w:t>sospechoso</w:t>
      </w:r>
      <w:r>
        <w:rPr>
          <w:spacing w:val="13"/>
        </w:rPr>
        <w:t xml:space="preserve"> </w:t>
      </w:r>
      <w:r>
        <w:t>o</w:t>
      </w:r>
      <w:r>
        <w:rPr>
          <w:spacing w:val="15"/>
        </w:rPr>
        <w:t xml:space="preserve"> </w:t>
      </w:r>
      <w:r>
        <w:t>simpatizante</w:t>
      </w:r>
      <w:r>
        <w:rPr>
          <w:spacing w:val="14"/>
        </w:rPr>
        <w:t xml:space="preserve"> </w:t>
      </w:r>
      <w:r>
        <w:t>del</w:t>
      </w:r>
      <w:r>
        <w:rPr>
          <w:spacing w:val="15"/>
        </w:rPr>
        <w:t xml:space="preserve"> </w:t>
      </w:r>
      <w:r>
        <w:t>bando</w:t>
      </w:r>
      <w:r>
        <w:rPr>
          <w:spacing w:val="15"/>
        </w:rPr>
        <w:t xml:space="preserve"> </w:t>
      </w:r>
      <w:r>
        <w:t>contrario</w:t>
      </w:r>
      <w:r>
        <w:rPr>
          <w:spacing w:val="14"/>
        </w:rPr>
        <w:t xml:space="preserve"> </w:t>
      </w:r>
      <w:r>
        <w:t>o,</w:t>
      </w:r>
      <w:r>
        <w:rPr>
          <w:spacing w:val="14"/>
        </w:rPr>
        <w:t xml:space="preserve"> </w:t>
      </w:r>
      <w:r>
        <w:t>en</w:t>
      </w:r>
      <w:r>
        <w:rPr>
          <w:spacing w:val="15"/>
        </w:rPr>
        <w:t xml:space="preserve"> </w:t>
      </w:r>
      <w:r>
        <w:t>otros</w:t>
      </w:r>
      <w:r>
        <w:rPr>
          <w:spacing w:val="14"/>
        </w:rPr>
        <w:t xml:space="preserve"> </w:t>
      </w:r>
      <w:r>
        <w:t>casos,</w:t>
      </w:r>
      <w:r>
        <w:rPr>
          <w:spacing w:val="14"/>
        </w:rPr>
        <w:t xml:space="preserve"> </w:t>
      </w:r>
      <w:r>
        <w:t>incluso,</w:t>
      </w:r>
      <w:r>
        <w:rPr>
          <w:spacing w:val="15"/>
        </w:rPr>
        <w:t xml:space="preserve"> </w:t>
      </w:r>
      <w:r>
        <w:rPr>
          <w:spacing w:val="-5"/>
        </w:rPr>
        <w:t>con</w:t>
      </w:r>
      <w:r w:rsidR="005D3228">
        <w:rPr>
          <w:spacing w:val="-5"/>
        </w:rPr>
        <w:t xml:space="preserve"> </w:t>
      </w:r>
      <w:r>
        <w:t xml:space="preserve">base en estigmas por su condición de género o por la situación de exclusión o marginación social. Las </w:t>
      </w:r>
      <w:r>
        <w:lastRenderedPageBreak/>
        <w:t>acusaciones de «guerrillero» o «sapo» antecedieron a muchos de ellos.</w:t>
      </w:r>
    </w:p>
    <w:p w:rsidR="003804AC" w:rsidRDefault="00AF18A5" w:rsidP="005D3228">
      <w:r>
        <w:t>Un sector contra el que se cometieron muchos de estos asesinatos fue el de los líderes comunitarios</w:t>
      </w:r>
      <w:r>
        <w:rPr>
          <w:spacing w:val="-13"/>
        </w:rPr>
        <w:t xml:space="preserve"> </w:t>
      </w:r>
      <w:r>
        <w:t>o</w:t>
      </w:r>
      <w:r>
        <w:rPr>
          <w:spacing w:val="-13"/>
        </w:rPr>
        <w:t xml:space="preserve"> </w:t>
      </w:r>
      <w:r>
        <w:t>políticos,</w:t>
      </w:r>
      <w:r>
        <w:rPr>
          <w:spacing w:val="-13"/>
        </w:rPr>
        <w:t xml:space="preserve"> </w:t>
      </w:r>
      <w:r>
        <w:t>como</w:t>
      </w:r>
      <w:r>
        <w:rPr>
          <w:spacing w:val="-13"/>
        </w:rPr>
        <w:t xml:space="preserve"> </w:t>
      </w:r>
      <w:r>
        <w:t>una</w:t>
      </w:r>
      <w:r>
        <w:rPr>
          <w:spacing w:val="-13"/>
        </w:rPr>
        <w:t xml:space="preserve"> </w:t>
      </w:r>
      <w:r>
        <w:t>forma</w:t>
      </w:r>
      <w:r>
        <w:rPr>
          <w:spacing w:val="-13"/>
        </w:rPr>
        <w:t xml:space="preserve"> </w:t>
      </w:r>
      <w:r>
        <w:t>de</w:t>
      </w:r>
      <w:r>
        <w:rPr>
          <w:spacing w:val="-13"/>
        </w:rPr>
        <w:t xml:space="preserve"> </w:t>
      </w:r>
      <w:r>
        <w:t>acabar</w:t>
      </w:r>
      <w:r>
        <w:rPr>
          <w:spacing w:val="-13"/>
        </w:rPr>
        <w:t xml:space="preserve"> </w:t>
      </w:r>
      <w:r>
        <w:t>con</w:t>
      </w:r>
      <w:r>
        <w:rPr>
          <w:spacing w:val="-13"/>
        </w:rPr>
        <w:t xml:space="preserve"> </w:t>
      </w:r>
      <w:r>
        <w:t>su</w:t>
      </w:r>
      <w:r>
        <w:rPr>
          <w:spacing w:val="-13"/>
        </w:rPr>
        <w:t xml:space="preserve"> </w:t>
      </w:r>
      <w:r>
        <w:t>resistencia,</w:t>
      </w:r>
      <w:r>
        <w:rPr>
          <w:spacing w:val="-13"/>
        </w:rPr>
        <w:t xml:space="preserve"> </w:t>
      </w:r>
      <w:r>
        <w:t>forzar</w:t>
      </w:r>
      <w:r>
        <w:rPr>
          <w:spacing w:val="-13"/>
        </w:rPr>
        <w:t xml:space="preserve"> </w:t>
      </w:r>
      <w:r>
        <w:t>la</w:t>
      </w:r>
      <w:r>
        <w:rPr>
          <w:spacing w:val="-13"/>
        </w:rPr>
        <w:t xml:space="preserve"> </w:t>
      </w:r>
      <w:r>
        <w:t>colaboración o producir una parálisis colectiva. Cuando los territorios de Colombia pasaron a ser escenarios de disputa entre grupos opuestos, en donde entraban y salían en diferentes momentos,</w:t>
      </w:r>
      <w:r>
        <w:rPr>
          <w:spacing w:val="-15"/>
        </w:rPr>
        <w:t xml:space="preserve"> </w:t>
      </w:r>
      <w:r>
        <w:t>la</w:t>
      </w:r>
      <w:r>
        <w:rPr>
          <w:spacing w:val="-14"/>
        </w:rPr>
        <w:t xml:space="preserve"> </w:t>
      </w:r>
      <w:r>
        <w:t>violencia</w:t>
      </w:r>
      <w:r>
        <w:rPr>
          <w:spacing w:val="-14"/>
        </w:rPr>
        <w:t xml:space="preserve"> </w:t>
      </w:r>
      <w:r>
        <w:t>contra</w:t>
      </w:r>
      <w:r>
        <w:rPr>
          <w:spacing w:val="-15"/>
        </w:rPr>
        <w:t xml:space="preserve"> </w:t>
      </w:r>
      <w:r>
        <w:t>la</w:t>
      </w:r>
      <w:r>
        <w:rPr>
          <w:spacing w:val="-14"/>
        </w:rPr>
        <w:t xml:space="preserve"> </w:t>
      </w:r>
      <w:r>
        <w:t>población</w:t>
      </w:r>
      <w:r>
        <w:rPr>
          <w:spacing w:val="-15"/>
        </w:rPr>
        <w:t xml:space="preserve"> </w:t>
      </w:r>
      <w:r>
        <w:t>civil</w:t>
      </w:r>
      <w:r>
        <w:rPr>
          <w:spacing w:val="-14"/>
        </w:rPr>
        <w:t xml:space="preserve"> </w:t>
      </w:r>
      <w:r>
        <w:t>aumentó</w:t>
      </w:r>
      <w:r>
        <w:rPr>
          <w:spacing w:val="-14"/>
        </w:rPr>
        <w:t xml:space="preserve"> </w:t>
      </w:r>
      <w:r>
        <w:t>y</w:t>
      </w:r>
      <w:r>
        <w:rPr>
          <w:spacing w:val="-15"/>
        </w:rPr>
        <w:t xml:space="preserve"> </w:t>
      </w:r>
      <w:r>
        <w:t>los</w:t>
      </w:r>
      <w:r>
        <w:rPr>
          <w:spacing w:val="-15"/>
        </w:rPr>
        <w:t xml:space="preserve"> </w:t>
      </w:r>
      <w:r>
        <w:t>asesinatos</w:t>
      </w:r>
      <w:r>
        <w:rPr>
          <w:spacing w:val="-15"/>
        </w:rPr>
        <w:t xml:space="preserve"> </w:t>
      </w:r>
      <w:r>
        <w:t>se</w:t>
      </w:r>
      <w:r>
        <w:rPr>
          <w:spacing w:val="-14"/>
        </w:rPr>
        <w:t xml:space="preserve"> </w:t>
      </w:r>
      <w:r>
        <w:t>extendieron</w:t>
      </w:r>
      <w:r>
        <w:rPr>
          <w:spacing w:val="-14"/>
        </w:rPr>
        <w:t xml:space="preserve"> </w:t>
      </w:r>
      <w:r>
        <w:t>bajo las</w:t>
      </w:r>
      <w:r>
        <w:rPr>
          <w:spacing w:val="-3"/>
        </w:rPr>
        <w:t xml:space="preserve"> </w:t>
      </w:r>
      <w:r>
        <w:t>acusaciones</w:t>
      </w:r>
      <w:r>
        <w:rPr>
          <w:spacing w:val="-3"/>
        </w:rPr>
        <w:t xml:space="preserve"> </w:t>
      </w:r>
      <w:r>
        <w:t>de</w:t>
      </w:r>
      <w:r>
        <w:rPr>
          <w:spacing w:val="-3"/>
        </w:rPr>
        <w:t xml:space="preserve"> </w:t>
      </w:r>
      <w:r>
        <w:t>que</w:t>
      </w:r>
      <w:r>
        <w:rPr>
          <w:spacing w:val="-3"/>
        </w:rPr>
        <w:t xml:space="preserve"> </w:t>
      </w:r>
      <w:r>
        <w:t>las</w:t>
      </w:r>
      <w:r>
        <w:rPr>
          <w:spacing w:val="-3"/>
        </w:rPr>
        <w:t xml:space="preserve"> </w:t>
      </w:r>
      <w:r>
        <w:t>víctimas</w:t>
      </w:r>
      <w:r>
        <w:rPr>
          <w:spacing w:val="-4"/>
        </w:rPr>
        <w:t xml:space="preserve"> </w:t>
      </w:r>
      <w:r>
        <w:t>habían</w:t>
      </w:r>
      <w:r>
        <w:rPr>
          <w:spacing w:val="-3"/>
        </w:rPr>
        <w:t xml:space="preserve"> </w:t>
      </w:r>
      <w:r>
        <w:t>colaborado</w:t>
      </w:r>
      <w:r>
        <w:rPr>
          <w:spacing w:val="-3"/>
        </w:rPr>
        <w:t xml:space="preserve"> </w:t>
      </w:r>
      <w:r>
        <w:t>con</w:t>
      </w:r>
      <w:r>
        <w:rPr>
          <w:spacing w:val="-5"/>
        </w:rPr>
        <w:t xml:space="preserve"> </w:t>
      </w:r>
      <w:r>
        <w:t>el</w:t>
      </w:r>
      <w:r>
        <w:rPr>
          <w:spacing w:val="-4"/>
        </w:rPr>
        <w:t xml:space="preserve"> </w:t>
      </w:r>
      <w:r>
        <w:t>otro</w:t>
      </w:r>
      <w:r>
        <w:rPr>
          <w:spacing w:val="-5"/>
        </w:rPr>
        <w:t xml:space="preserve"> </w:t>
      </w:r>
      <w:r>
        <w:t>bando,</w:t>
      </w:r>
      <w:r>
        <w:rPr>
          <w:spacing w:val="-5"/>
        </w:rPr>
        <w:t xml:space="preserve"> </w:t>
      </w:r>
      <w:r>
        <w:t>eran</w:t>
      </w:r>
      <w:r>
        <w:rPr>
          <w:spacing w:val="-5"/>
        </w:rPr>
        <w:t xml:space="preserve"> </w:t>
      </w:r>
      <w:r>
        <w:t>informantes</w:t>
      </w:r>
      <w:r>
        <w:rPr>
          <w:spacing w:val="-4"/>
        </w:rPr>
        <w:t xml:space="preserve"> </w:t>
      </w:r>
      <w:r>
        <w:t>o simplemente cruzaron las fronteras de esos territorios visitando otras comunidades u otros barrios, o desplazándose para comprar o hacer gestiones o por motivos de su trabajo; todas estas fueron con frecuencia causa de esos asesinatos. En menor medida, también lo fueron formas de control interno dentro de las organizaciones armadas, como asesinatos de integrantes de los mismos grupos armados que no acataron las reglas internas, tuvieron diferencias políticas o ideológicas con el grupo o intentaron desertar, lo que habitualmente se refiere como «ajusticiamientos» en una forma abusiva.</w:t>
      </w:r>
    </w:p>
    <w:p w:rsidR="003804AC" w:rsidRDefault="00AF18A5" w:rsidP="005D3228">
      <w:r>
        <w:t>Según</w:t>
      </w:r>
      <w:r>
        <w:rPr>
          <w:spacing w:val="19"/>
        </w:rPr>
        <w:t xml:space="preserve"> </w:t>
      </w:r>
      <w:r>
        <w:t>el</w:t>
      </w:r>
      <w:r>
        <w:rPr>
          <w:spacing w:val="20"/>
        </w:rPr>
        <w:t xml:space="preserve"> </w:t>
      </w:r>
      <w:r>
        <w:t>Centro</w:t>
      </w:r>
      <w:r>
        <w:rPr>
          <w:spacing w:val="19"/>
        </w:rPr>
        <w:t xml:space="preserve"> </w:t>
      </w:r>
      <w:r>
        <w:t>Nacional</w:t>
      </w:r>
      <w:r>
        <w:rPr>
          <w:spacing w:val="20"/>
        </w:rPr>
        <w:t xml:space="preserve"> </w:t>
      </w:r>
      <w:r>
        <w:t>de</w:t>
      </w:r>
      <w:r>
        <w:rPr>
          <w:spacing w:val="20"/>
        </w:rPr>
        <w:t xml:space="preserve"> </w:t>
      </w:r>
      <w:r>
        <w:t>Memoria</w:t>
      </w:r>
      <w:r>
        <w:rPr>
          <w:spacing w:val="19"/>
        </w:rPr>
        <w:t xml:space="preserve"> </w:t>
      </w:r>
      <w:r>
        <w:t>Histórica,</w:t>
      </w:r>
      <w:r>
        <w:rPr>
          <w:spacing w:val="19"/>
        </w:rPr>
        <w:t xml:space="preserve"> </w:t>
      </w:r>
      <w:r>
        <w:t>desde</w:t>
      </w:r>
      <w:r>
        <w:rPr>
          <w:spacing w:val="19"/>
        </w:rPr>
        <w:t xml:space="preserve"> </w:t>
      </w:r>
      <w:r>
        <w:t>1958</w:t>
      </w:r>
      <w:r>
        <w:rPr>
          <w:spacing w:val="20"/>
        </w:rPr>
        <w:t xml:space="preserve"> </w:t>
      </w:r>
      <w:r>
        <w:t>hasta</w:t>
      </w:r>
      <w:r>
        <w:rPr>
          <w:spacing w:val="19"/>
        </w:rPr>
        <w:t xml:space="preserve"> </w:t>
      </w:r>
      <w:r>
        <w:t>2021</w:t>
      </w:r>
      <w:r>
        <w:rPr>
          <w:spacing w:val="19"/>
        </w:rPr>
        <w:t xml:space="preserve"> </w:t>
      </w:r>
      <w:r>
        <w:t>se</w:t>
      </w:r>
      <w:r>
        <w:rPr>
          <w:spacing w:val="20"/>
        </w:rPr>
        <w:t xml:space="preserve"> </w:t>
      </w:r>
      <w:r>
        <w:rPr>
          <w:spacing w:val="-2"/>
        </w:rPr>
        <w:t>registraron</w:t>
      </w:r>
      <w:r w:rsidR="005D3228">
        <w:rPr>
          <w:spacing w:val="-2"/>
        </w:rPr>
        <w:t xml:space="preserve"> </w:t>
      </w:r>
      <w:r>
        <w:t>179.076 víctimas de asesinatos selectivos cometidos por grupos paramilitares, grupos guerrilleros y la fuerza pública</w:t>
      </w:r>
      <w:r w:rsidR="005D3228">
        <w:rPr>
          <w:rStyle w:val="Refdenotaalpie"/>
        </w:rPr>
        <w:footnoteReference w:id="125"/>
      </w:r>
      <w:r>
        <w:t xml:space="preserve">. Tras la firma del acuerdo de paz con las FARC-EP, aumentaron los asesinatos de líderes sociales y excombatientes de esa organización. Según el informe de abril de 2022 de la Misión de Verificación de la ONU en Colombia, desde la firma del Acuerdo de Paz </w:t>
      </w:r>
      <w:r>
        <w:lastRenderedPageBreak/>
        <w:t>hasta el 25 de marzo de 2022, 315 excombatientes de FARC-EP fueron asesinados y 27 desaparecidos forzosamente</w:t>
      </w:r>
      <w:r w:rsidR="005D3228">
        <w:rPr>
          <w:rStyle w:val="Refdenotaalpie"/>
        </w:rPr>
        <w:footnoteReference w:id="126"/>
      </w:r>
      <w:r>
        <w:t>. Por otra parte, Indepaz reporta que desde la firma del Acuerdo de Paz hasta marzo de 2022 han sido asesinadas 1.327 personas que ejercen el</w:t>
      </w:r>
      <w:r>
        <w:rPr>
          <w:spacing w:val="3"/>
        </w:rPr>
        <w:t xml:space="preserve"> </w:t>
      </w:r>
      <w:r>
        <w:t>liderazgo</w:t>
      </w:r>
      <w:r>
        <w:rPr>
          <w:spacing w:val="1"/>
        </w:rPr>
        <w:t xml:space="preserve"> </w:t>
      </w:r>
      <w:r>
        <w:t>social</w:t>
      </w:r>
      <w:r>
        <w:rPr>
          <w:spacing w:val="3"/>
        </w:rPr>
        <w:t xml:space="preserve"> </w:t>
      </w:r>
      <w:r>
        <w:t>o</w:t>
      </w:r>
      <w:r>
        <w:rPr>
          <w:spacing w:val="1"/>
        </w:rPr>
        <w:t xml:space="preserve"> </w:t>
      </w:r>
      <w:r>
        <w:t>la</w:t>
      </w:r>
      <w:r>
        <w:rPr>
          <w:spacing w:val="2"/>
        </w:rPr>
        <w:t xml:space="preserve"> </w:t>
      </w:r>
      <w:r>
        <w:t>defensa</w:t>
      </w:r>
      <w:r>
        <w:rPr>
          <w:spacing w:val="2"/>
        </w:rPr>
        <w:t xml:space="preserve"> </w:t>
      </w:r>
      <w:r>
        <w:t>de</w:t>
      </w:r>
      <w:r>
        <w:rPr>
          <w:spacing w:val="2"/>
        </w:rPr>
        <w:t xml:space="preserve"> </w:t>
      </w:r>
      <w:r>
        <w:t>derechos</w:t>
      </w:r>
      <w:r>
        <w:rPr>
          <w:spacing w:val="2"/>
        </w:rPr>
        <w:t xml:space="preserve"> </w:t>
      </w:r>
      <w:r>
        <w:t>humanos.</w:t>
      </w:r>
      <w:r>
        <w:rPr>
          <w:spacing w:val="2"/>
        </w:rPr>
        <w:t xml:space="preserve"> </w:t>
      </w:r>
      <w:r>
        <w:t>Por</w:t>
      </w:r>
      <w:r>
        <w:rPr>
          <w:spacing w:val="3"/>
        </w:rPr>
        <w:t xml:space="preserve"> </w:t>
      </w:r>
      <w:r>
        <w:t>su parte,</w:t>
      </w:r>
      <w:r>
        <w:rPr>
          <w:spacing w:val="1"/>
        </w:rPr>
        <w:t xml:space="preserve"> </w:t>
      </w:r>
      <w:r>
        <w:t>el</w:t>
      </w:r>
      <w:r>
        <w:rPr>
          <w:spacing w:val="2"/>
        </w:rPr>
        <w:t xml:space="preserve"> </w:t>
      </w:r>
      <w:r>
        <w:rPr>
          <w:spacing w:val="-2"/>
        </w:rPr>
        <w:t>Programa</w:t>
      </w:r>
      <w:bookmarkStart w:id="211" w:name="_bookmark143"/>
      <w:bookmarkStart w:id="212" w:name="_bookmark144"/>
      <w:bookmarkEnd w:id="211"/>
      <w:bookmarkEnd w:id="212"/>
      <w:r w:rsidR="005D3228">
        <w:rPr>
          <w:spacing w:val="-2"/>
        </w:rPr>
        <w:t xml:space="preserve"> </w:t>
      </w:r>
      <w:r>
        <w:t>Somos Defensores asegura que las personas que ejercen el liderazgo social o la defensa de derechos humanos asesinadas desde 2017 hasta 2021 son 723</w:t>
      </w:r>
      <w:r w:rsidR="005D3228">
        <w:rPr>
          <w:rStyle w:val="Refdenotaalpie"/>
        </w:rPr>
        <w:footnoteReference w:id="127"/>
      </w:r>
      <w:r>
        <w:t>. Las diferencias en estas cifras no ocultan la grave realidad y su impacto en las comunidades afectadas y el propio proceso de paz.</w:t>
      </w:r>
    </w:p>
    <w:p w:rsidR="003804AC" w:rsidRDefault="00AF18A5" w:rsidP="005D3228">
      <w:r>
        <w:t>De los registros existentes del CNMH sobre asesinatos selectivos, el 42</w:t>
      </w:r>
      <w:r>
        <w:rPr>
          <w:spacing w:val="-1"/>
        </w:rPr>
        <w:t xml:space="preserve"> </w:t>
      </w:r>
      <w:r>
        <w:t>% de los asesinatos</w:t>
      </w:r>
      <w:r>
        <w:rPr>
          <w:spacing w:val="-12"/>
        </w:rPr>
        <w:t xml:space="preserve"> </w:t>
      </w:r>
      <w:r>
        <w:t>se</w:t>
      </w:r>
      <w:r>
        <w:rPr>
          <w:spacing w:val="-13"/>
        </w:rPr>
        <w:t xml:space="preserve"> </w:t>
      </w:r>
      <w:r>
        <w:t>les</w:t>
      </w:r>
      <w:r>
        <w:rPr>
          <w:spacing w:val="-12"/>
        </w:rPr>
        <w:t xml:space="preserve"> </w:t>
      </w:r>
      <w:r>
        <w:t>atribuye</w:t>
      </w:r>
      <w:r>
        <w:rPr>
          <w:spacing w:val="-13"/>
        </w:rPr>
        <w:t xml:space="preserve"> </w:t>
      </w:r>
      <w:r>
        <w:t>a</w:t>
      </w:r>
      <w:r>
        <w:rPr>
          <w:spacing w:val="-12"/>
        </w:rPr>
        <w:t xml:space="preserve"> </w:t>
      </w:r>
      <w:r>
        <w:t>grupos</w:t>
      </w:r>
      <w:r>
        <w:rPr>
          <w:spacing w:val="-12"/>
        </w:rPr>
        <w:t xml:space="preserve"> </w:t>
      </w:r>
      <w:r>
        <w:t>paramilitares,</w:t>
      </w:r>
      <w:r>
        <w:rPr>
          <w:spacing w:val="-13"/>
        </w:rPr>
        <w:t xml:space="preserve"> </w:t>
      </w:r>
      <w:r>
        <w:t>seguido</w:t>
      </w:r>
      <w:r>
        <w:rPr>
          <w:spacing w:val="-12"/>
        </w:rPr>
        <w:t xml:space="preserve"> </w:t>
      </w:r>
      <w:r>
        <w:t>de</w:t>
      </w:r>
      <w:r>
        <w:rPr>
          <w:spacing w:val="-12"/>
        </w:rPr>
        <w:t xml:space="preserve"> </w:t>
      </w:r>
      <w:r>
        <w:t>las</w:t>
      </w:r>
      <w:r>
        <w:rPr>
          <w:spacing w:val="-12"/>
        </w:rPr>
        <w:t xml:space="preserve"> </w:t>
      </w:r>
      <w:r>
        <w:t>guerrillas</w:t>
      </w:r>
      <w:r>
        <w:rPr>
          <w:spacing w:val="-12"/>
        </w:rPr>
        <w:t xml:space="preserve"> </w:t>
      </w:r>
      <w:r>
        <w:t>con</w:t>
      </w:r>
      <w:r>
        <w:rPr>
          <w:spacing w:val="-12"/>
        </w:rPr>
        <w:t xml:space="preserve"> </w:t>
      </w:r>
      <w:r>
        <w:t>16</w:t>
      </w:r>
      <w:r>
        <w:rPr>
          <w:spacing w:val="-3"/>
        </w:rPr>
        <w:t xml:space="preserve"> </w:t>
      </w:r>
      <w:r>
        <w:t>%</w:t>
      </w:r>
      <w:r>
        <w:rPr>
          <w:spacing w:val="-12"/>
        </w:rPr>
        <w:t xml:space="preserve"> </w:t>
      </w:r>
      <w:r>
        <w:t>y</w:t>
      </w:r>
      <w:r>
        <w:rPr>
          <w:spacing w:val="-12"/>
        </w:rPr>
        <w:t xml:space="preserve"> </w:t>
      </w:r>
      <w:r>
        <w:t>agentes del Estado con 3</w:t>
      </w:r>
      <w:r>
        <w:rPr>
          <w:spacing w:val="-2"/>
        </w:rPr>
        <w:t xml:space="preserve"> </w:t>
      </w:r>
      <w:r>
        <w:t>%. Sin embargo, casi en cuatro de cada diez casos se desconoce la autoría (35</w:t>
      </w:r>
      <w:r>
        <w:rPr>
          <w:spacing w:val="-2"/>
        </w:rPr>
        <w:t xml:space="preserve"> </w:t>
      </w:r>
      <w:r>
        <w:t>%), ya sea por señalar que fueron «hombres armados», a veces sin distintivos, que actuaron</w:t>
      </w:r>
      <w:r>
        <w:rPr>
          <w:spacing w:val="-5"/>
        </w:rPr>
        <w:t xml:space="preserve"> </w:t>
      </w:r>
      <w:r>
        <w:t>de</w:t>
      </w:r>
      <w:r>
        <w:rPr>
          <w:spacing w:val="-6"/>
        </w:rPr>
        <w:t xml:space="preserve"> </w:t>
      </w:r>
      <w:r>
        <w:t>noche</w:t>
      </w:r>
      <w:r>
        <w:rPr>
          <w:spacing w:val="-5"/>
        </w:rPr>
        <w:t xml:space="preserve"> </w:t>
      </w:r>
      <w:r>
        <w:t>tratando</w:t>
      </w:r>
      <w:r>
        <w:rPr>
          <w:spacing w:val="-5"/>
        </w:rPr>
        <w:t xml:space="preserve"> </w:t>
      </w:r>
      <w:r>
        <w:t>de</w:t>
      </w:r>
      <w:r>
        <w:rPr>
          <w:spacing w:val="-5"/>
        </w:rPr>
        <w:t xml:space="preserve"> </w:t>
      </w:r>
      <w:r>
        <w:t>confundir</w:t>
      </w:r>
      <w:r>
        <w:rPr>
          <w:spacing w:val="-4"/>
        </w:rPr>
        <w:t xml:space="preserve"> </w:t>
      </w:r>
      <w:r>
        <w:t>su</w:t>
      </w:r>
      <w:r>
        <w:rPr>
          <w:spacing w:val="-6"/>
        </w:rPr>
        <w:t xml:space="preserve"> </w:t>
      </w:r>
      <w:r>
        <w:t>identidad,</w:t>
      </w:r>
      <w:r>
        <w:rPr>
          <w:spacing w:val="-5"/>
        </w:rPr>
        <w:t xml:space="preserve"> </w:t>
      </w:r>
      <w:r>
        <w:t>en</w:t>
      </w:r>
      <w:r>
        <w:rPr>
          <w:spacing w:val="-6"/>
        </w:rPr>
        <w:t xml:space="preserve"> </w:t>
      </w:r>
      <w:r>
        <w:t>momentos</w:t>
      </w:r>
      <w:r>
        <w:rPr>
          <w:spacing w:val="-6"/>
        </w:rPr>
        <w:t xml:space="preserve"> </w:t>
      </w:r>
      <w:r>
        <w:t>en</w:t>
      </w:r>
      <w:r>
        <w:rPr>
          <w:spacing w:val="-5"/>
        </w:rPr>
        <w:t xml:space="preserve"> </w:t>
      </w:r>
      <w:r>
        <w:t>que</w:t>
      </w:r>
      <w:r>
        <w:rPr>
          <w:spacing w:val="-5"/>
        </w:rPr>
        <w:t xml:space="preserve"> </w:t>
      </w:r>
      <w:r>
        <w:t>actuaron</w:t>
      </w:r>
      <w:r>
        <w:rPr>
          <w:spacing w:val="-6"/>
        </w:rPr>
        <w:t xml:space="preserve"> </w:t>
      </w:r>
      <w:r>
        <w:t>a</w:t>
      </w:r>
      <w:r>
        <w:rPr>
          <w:spacing w:val="-5"/>
        </w:rPr>
        <w:t xml:space="preserve"> </w:t>
      </w:r>
      <w:r>
        <w:t>la</w:t>
      </w:r>
      <w:r>
        <w:rPr>
          <w:spacing w:val="-5"/>
        </w:rPr>
        <w:t xml:space="preserve"> </w:t>
      </w:r>
      <w:r>
        <w:t>vez dos o más grupos, o por el miedo a señalar a los culpables o por falta de confianza</w:t>
      </w:r>
      <w:r w:rsidR="005D3228">
        <w:rPr>
          <w:rStyle w:val="Refdenotaalpie"/>
        </w:rPr>
        <w:footnoteReference w:id="128"/>
      </w:r>
      <w:r>
        <w:t>.</w:t>
      </w:r>
    </w:p>
    <w:p w:rsidR="003804AC" w:rsidRDefault="00AF18A5" w:rsidP="005D3228">
      <w:r>
        <w:t xml:space="preserve">Los asesinatos selectivos fueron parte de la violencia de distintos grupos </w:t>
      </w:r>
      <w:r>
        <w:lastRenderedPageBreak/>
        <w:t>armados, pero en</w:t>
      </w:r>
      <w:r>
        <w:rPr>
          <w:spacing w:val="-8"/>
        </w:rPr>
        <w:t xml:space="preserve"> </w:t>
      </w:r>
      <w:r>
        <w:t>algunas</w:t>
      </w:r>
      <w:r>
        <w:rPr>
          <w:spacing w:val="-8"/>
        </w:rPr>
        <w:t xml:space="preserve"> </w:t>
      </w:r>
      <w:r>
        <w:t>ocasiones</w:t>
      </w:r>
      <w:r>
        <w:rPr>
          <w:spacing w:val="-8"/>
        </w:rPr>
        <w:t xml:space="preserve"> </w:t>
      </w:r>
      <w:r>
        <w:t>se</w:t>
      </w:r>
      <w:r>
        <w:rPr>
          <w:spacing w:val="-8"/>
        </w:rPr>
        <w:t xml:space="preserve"> </w:t>
      </w:r>
      <w:r>
        <w:t>concentraron</w:t>
      </w:r>
      <w:r>
        <w:rPr>
          <w:spacing w:val="-10"/>
        </w:rPr>
        <w:t xml:space="preserve"> </w:t>
      </w:r>
      <w:r>
        <w:t>en</w:t>
      </w:r>
      <w:r>
        <w:rPr>
          <w:spacing w:val="-8"/>
        </w:rPr>
        <w:t xml:space="preserve"> </w:t>
      </w:r>
      <w:r>
        <w:t>cierto</w:t>
      </w:r>
      <w:r>
        <w:rPr>
          <w:spacing w:val="-8"/>
        </w:rPr>
        <w:t xml:space="preserve"> </w:t>
      </w:r>
      <w:r>
        <w:t>tipo</w:t>
      </w:r>
      <w:r>
        <w:rPr>
          <w:spacing w:val="-8"/>
        </w:rPr>
        <w:t xml:space="preserve"> </w:t>
      </w:r>
      <w:r>
        <w:t>de</w:t>
      </w:r>
      <w:r>
        <w:rPr>
          <w:spacing w:val="-8"/>
        </w:rPr>
        <w:t xml:space="preserve"> </w:t>
      </w:r>
      <w:r>
        <w:t>víctimas</w:t>
      </w:r>
      <w:r>
        <w:rPr>
          <w:spacing w:val="-8"/>
        </w:rPr>
        <w:t xml:space="preserve"> </w:t>
      </w:r>
      <w:r>
        <w:t>y</w:t>
      </w:r>
      <w:r>
        <w:rPr>
          <w:spacing w:val="-8"/>
        </w:rPr>
        <w:t xml:space="preserve"> </w:t>
      </w:r>
      <w:r>
        <w:t>territorios</w:t>
      </w:r>
      <w:r>
        <w:rPr>
          <w:spacing w:val="-8"/>
        </w:rPr>
        <w:t xml:space="preserve"> </w:t>
      </w:r>
      <w:r>
        <w:t>que</w:t>
      </w:r>
      <w:r>
        <w:rPr>
          <w:spacing w:val="-8"/>
        </w:rPr>
        <w:t xml:space="preserve"> </w:t>
      </w:r>
      <w:r>
        <w:t>se</w:t>
      </w:r>
      <w:r>
        <w:rPr>
          <w:spacing w:val="-8"/>
        </w:rPr>
        <w:t xml:space="preserve"> </w:t>
      </w:r>
      <w:r>
        <w:t>trataba</w:t>
      </w:r>
      <w:r>
        <w:rPr>
          <w:spacing w:val="-8"/>
        </w:rPr>
        <w:t xml:space="preserve"> </w:t>
      </w:r>
      <w:r>
        <w:t>de paralizar o conquistar. En algunos casos, especialmente contra organizaciones y sectores de oposición política, también formaron parte de una estrategia de exterminio. En el caso del partido político Unión Patriótica (UP), órganos judiciales en los ámbitos nacional e internacional, la JEP y la Comisión han establecido que hechos como la persecución</w:t>
      </w:r>
      <w:r w:rsidR="005D3228">
        <w:rPr>
          <w:rStyle w:val="Refdenotaalpie"/>
        </w:rPr>
        <w:footnoteReference w:id="129"/>
      </w:r>
      <w:r>
        <w:t>, los atentados,</w:t>
      </w:r>
      <w:r>
        <w:rPr>
          <w:spacing w:val="58"/>
        </w:rPr>
        <w:t xml:space="preserve"> </w:t>
      </w:r>
      <w:r>
        <w:t>los</w:t>
      </w:r>
      <w:r>
        <w:rPr>
          <w:spacing w:val="60"/>
        </w:rPr>
        <w:t xml:space="preserve"> </w:t>
      </w:r>
      <w:r>
        <w:t>hostigamientos,</w:t>
      </w:r>
      <w:r>
        <w:rPr>
          <w:spacing w:val="58"/>
        </w:rPr>
        <w:t xml:space="preserve"> </w:t>
      </w:r>
      <w:r>
        <w:t>las</w:t>
      </w:r>
      <w:r>
        <w:rPr>
          <w:spacing w:val="59"/>
        </w:rPr>
        <w:t xml:space="preserve"> </w:t>
      </w:r>
      <w:r>
        <w:t>desapariciones</w:t>
      </w:r>
      <w:r>
        <w:rPr>
          <w:spacing w:val="60"/>
        </w:rPr>
        <w:t xml:space="preserve"> </w:t>
      </w:r>
      <w:r>
        <w:t>forzadas</w:t>
      </w:r>
      <w:r>
        <w:rPr>
          <w:spacing w:val="59"/>
        </w:rPr>
        <w:t xml:space="preserve"> </w:t>
      </w:r>
      <w:r>
        <w:t>y</w:t>
      </w:r>
      <w:r>
        <w:rPr>
          <w:spacing w:val="60"/>
        </w:rPr>
        <w:t xml:space="preserve"> </w:t>
      </w:r>
      <w:r>
        <w:t>otros</w:t>
      </w:r>
      <w:r>
        <w:rPr>
          <w:spacing w:val="60"/>
        </w:rPr>
        <w:t xml:space="preserve"> </w:t>
      </w:r>
      <w:r>
        <w:t>hechos</w:t>
      </w:r>
      <w:r>
        <w:rPr>
          <w:spacing w:val="60"/>
        </w:rPr>
        <w:t xml:space="preserve"> </w:t>
      </w:r>
      <w:r>
        <w:t>de</w:t>
      </w:r>
      <w:r>
        <w:rPr>
          <w:spacing w:val="60"/>
        </w:rPr>
        <w:t xml:space="preserve"> </w:t>
      </w:r>
      <w:r>
        <w:rPr>
          <w:spacing w:val="-2"/>
        </w:rPr>
        <w:t>violencia</w:t>
      </w:r>
      <w:bookmarkStart w:id="213" w:name="_bookmark145"/>
      <w:bookmarkStart w:id="214" w:name="_bookmark146"/>
      <w:bookmarkStart w:id="215" w:name="_bookmark147"/>
      <w:bookmarkEnd w:id="213"/>
      <w:bookmarkEnd w:id="214"/>
      <w:bookmarkEnd w:id="215"/>
      <w:r w:rsidR="005D3228">
        <w:rPr>
          <w:spacing w:val="-2"/>
        </w:rPr>
        <w:t xml:space="preserve"> </w:t>
      </w:r>
      <w:r>
        <w:t>registran</w:t>
      </w:r>
      <w:r>
        <w:rPr>
          <w:spacing w:val="-15"/>
        </w:rPr>
        <w:t xml:space="preserve"> </w:t>
      </w:r>
      <w:r>
        <w:t>por</w:t>
      </w:r>
      <w:r>
        <w:rPr>
          <w:spacing w:val="-15"/>
        </w:rPr>
        <w:t xml:space="preserve"> </w:t>
      </w:r>
      <w:r>
        <w:t>lo</w:t>
      </w:r>
      <w:r>
        <w:rPr>
          <w:spacing w:val="-15"/>
        </w:rPr>
        <w:t xml:space="preserve"> </w:t>
      </w:r>
      <w:r>
        <w:t>menos</w:t>
      </w:r>
      <w:r>
        <w:rPr>
          <w:spacing w:val="-15"/>
        </w:rPr>
        <w:t xml:space="preserve"> </w:t>
      </w:r>
      <w:r>
        <w:t>8.300</w:t>
      </w:r>
      <w:r>
        <w:rPr>
          <w:spacing w:val="-15"/>
        </w:rPr>
        <w:t xml:space="preserve"> </w:t>
      </w:r>
      <w:r>
        <w:t>víctimas</w:t>
      </w:r>
      <w:r w:rsidR="005D3228">
        <w:rPr>
          <w:rStyle w:val="Refdenotaalpie"/>
        </w:rPr>
        <w:footnoteReference w:id="130"/>
      </w:r>
      <w:r>
        <w:t>;</w:t>
      </w:r>
      <w:r>
        <w:rPr>
          <w:spacing w:val="-15"/>
        </w:rPr>
        <w:t xml:space="preserve"> </w:t>
      </w:r>
      <w:r>
        <w:t>5.733</w:t>
      </w:r>
      <w:r>
        <w:rPr>
          <w:spacing w:val="-15"/>
        </w:rPr>
        <w:t xml:space="preserve"> </w:t>
      </w:r>
      <w:r>
        <w:t>de</w:t>
      </w:r>
      <w:r>
        <w:rPr>
          <w:spacing w:val="-15"/>
        </w:rPr>
        <w:t xml:space="preserve"> </w:t>
      </w:r>
      <w:r>
        <w:t>estos</w:t>
      </w:r>
      <w:r>
        <w:rPr>
          <w:spacing w:val="-15"/>
        </w:rPr>
        <w:t xml:space="preserve"> </w:t>
      </w:r>
      <w:r>
        <w:t>casos</w:t>
      </w:r>
      <w:r>
        <w:rPr>
          <w:spacing w:val="-15"/>
        </w:rPr>
        <w:t xml:space="preserve"> </w:t>
      </w:r>
      <w:r>
        <w:t>son</w:t>
      </w:r>
      <w:r>
        <w:rPr>
          <w:spacing w:val="-15"/>
        </w:rPr>
        <w:t xml:space="preserve"> </w:t>
      </w:r>
      <w:r>
        <w:t>asesinatos</w:t>
      </w:r>
      <w:r>
        <w:rPr>
          <w:spacing w:val="-15"/>
        </w:rPr>
        <w:t xml:space="preserve"> </w:t>
      </w:r>
      <w:r>
        <w:t>y</w:t>
      </w:r>
      <w:r>
        <w:rPr>
          <w:spacing w:val="-15"/>
        </w:rPr>
        <w:t xml:space="preserve"> </w:t>
      </w:r>
      <w:r>
        <w:t>desapariciones forzadas entre militantes y simpatizantes de la UP.</w:t>
      </w:r>
      <w:r w:rsidR="005D3228">
        <w:rPr>
          <w:rStyle w:val="Refdenotaalpie"/>
        </w:rPr>
        <w:footnoteReference w:id="131"/>
      </w:r>
      <w:r>
        <w:t>.</w:t>
      </w:r>
    </w:p>
    <w:p w:rsidR="003804AC" w:rsidRDefault="00AF18A5" w:rsidP="005D3228">
      <w:r>
        <w:t>El análisis del caso de la UP muestra que se trató de un plan sistemático y generalizado de exterminio como ha sido señalado por la Corte Interamericana de Derechos Humanos</w:t>
      </w:r>
      <w:r w:rsidR="005D3228">
        <w:rPr>
          <w:rStyle w:val="Refdenotaalpie"/>
        </w:rPr>
        <w:footnoteReference w:id="132"/>
      </w:r>
      <w:r>
        <w:t xml:space="preserve"> que configuró un «genocidio de carácter político»</w:t>
      </w:r>
      <w:r w:rsidR="005D3228">
        <w:rPr>
          <w:rStyle w:val="Refdenotaalpie"/>
        </w:rPr>
        <w:footnoteReference w:id="133"/>
      </w:r>
      <w:r>
        <w:t>. Los hechos se produjeron como un intento</w:t>
      </w:r>
      <w:r>
        <w:rPr>
          <w:spacing w:val="-15"/>
        </w:rPr>
        <w:t xml:space="preserve"> </w:t>
      </w:r>
      <w:r>
        <w:t>de</w:t>
      </w:r>
      <w:r>
        <w:rPr>
          <w:spacing w:val="-14"/>
        </w:rPr>
        <w:t xml:space="preserve"> </w:t>
      </w:r>
      <w:r>
        <w:t>disminuir</w:t>
      </w:r>
      <w:r>
        <w:rPr>
          <w:spacing w:val="-15"/>
        </w:rPr>
        <w:t xml:space="preserve"> </w:t>
      </w:r>
      <w:r>
        <w:t>la</w:t>
      </w:r>
      <w:r>
        <w:rPr>
          <w:spacing w:val="-15"/>
        </w:rPr>
        <w:t xml:space="preserve"> </w:t>
      </w:r>
      <w:r>
        <w:t>incidencia</w:t>
      </w:r>
      <w:r>
        <w:rPr>
          <w:spacing w:val="-14"/>
        </w:rPr>
        <w:t xml:space="preserve"> </w:t>
      </w:r>
      <w:r>
        <w:t>del</w:t>
      </w:r>
      <w:r>
        <w:rPr>
          <w:spacing w:val="-15"/>
        </w:rPr>
        <w:t xml:space="preserve"> </w:t>
      </w:r>
      <w:r>
        <w:t>poder</w:t>
      </w:r>
      <w:r>
        <w:rPr>
          <w:spacing w:val="-15"/>
        </w:rPr>
        <w:t xml:space="preserve"> </w:t>
      </w:r>
      <w:r>
        <w:t>del</w:t>
      </w:r>
      <w:r>
        <w:rPr>
          <w:spacing w:val="-14"/>
        </w:rPr>
        <w:t xml:space="preserve"> </w:t>
      </w:r>
      <w:r>
        <w:t>partido</w:t>
      </w:r>
      <w:r>
        <w:rPr>
          <w:spacing w:val="-15"/>
        </w:rPr>
        <w:t xml:space="preserve"> </w:t>
      </w:r>
      <w:r>
        <w:t>que</w:t>
      </w:r>
      <w:r>
        <w:rPr>
          <w:spacing w:val="-14"/>
        </w:rPr>
        <w:t xml:space="preserve"> </w:t>
      </w:r>
      <w:r>
        <w:t>suponía</w:t>
      </w:r>
      <w:r>
        <w:rPr>
          <w:spacing w:val="-15"/>
        </w:rPr>
        <w:t xml:space="preserve"> </w:t>
      </w:r>
      <w:r>
        <w:t>una</w:t>
      </w:r>
      <w:r>
        <w:rPr>
          <w:spacing w:val="-14"/>
        </w:rPr>
        <w:t xml:space="preserve"> </w:t>
      </w:r>
      <w:r>
        <w:t>esperanza</w:t>
      </w:r>
      <w:r>
        <w:rPr>
          <w:spacing w:val="-15"/>
        </w:rPr>
        <w:t xml:space="preserve"> </w:t>
      </w:r>
      <w:r>
        <w:lastRenderedPageBreak/>
        <w:t>de</w:t>
      </w:r>
      <w:r>
        <w:rPr>
          <w:spacing w:val="-15"/>
        </w:rPr>
        <w:t xml:space="preserve"> </w:t>
      </w:r>
      <w:r>
        <w:t>cambio, en el contexto de un incipiente acuerdo de paz con las FARC-EP en 1985, limitando sus posibilidades de acción y participación democrática, atacando sus bases organizativas y eliminando</w:t>
      </w:r>
      <w:r>
        <w:rPr>
          <w:spacing w:val="-3"/>
        </w:rPr>
        <w:t xml:space="preserve"> </w:t>
      </w:r>
      <w:r>
        <w:t>sus</w:t>
      </w:r>
      <w:r>
        <w:rPr>
          <w:spacing w:val="-2"/>
        </w:rPr>
        <w:t xml:space="preserve"> </w:t>
      </w:r>
      <w:r>
        <w:t>liderazgos</w:t>
      </w:r>
      <w:r>
        <w:rPr>
          <w:spacing w:val="-2"/>
        </w:rPr>
        <w:t xml:space="preserve"> </w:t>
      </w:r>
      <w:r>
        <w:t>en</w:t>
      </w:r>
      <w:r>
        <w:rPr>
          <w:spacing w:val="-2"/>
        </w:rPr>
        <w:t xml:space="preserve"> </w:t>
      </w:r>
      <w:r>
        <w:t>cabeza</w:t>
      </w:r>
      <w:r>
        <w:rPr>
          <w:spacing w:val="-3"/>
        </w:rPr>
        <w:t xml:space="preserve"> </w:t>
      </w:r>
      <w:r>
        <w:t>de</w:t>
      </w:r>
      <w:r>
        <w:rPr>
          <w:spacing w:val="-2"/>
        </w:rPr>
        <w:t xml:space="preserve"> </w:t>
      </w:r>
      <w:r>
        <w:t>alcaldes,</w:t>
      </w:r>
      <w:r>
        <w:rPr>
          <w:spacing w:val="-3"/>
        </w:rPr>
        <w:t xml:space="preserve"> </w:t>
      </w:r>
      <w:r>
        <w:t>concejales,</w:t>
      </w:r>
      <w:r>
        <w:rPr>
          <w:spacing w:val="-3"/>
        </w:rPr>
        <w:t xml:space="preserve"> </w:t>
      </w:r>
      <w:r>
        <w:t>congresistas,</w:t>
      </w:r>
      <w:r>
        <w:rPr>
          <w:spacing w:val="-2"/>
        </w:rPr>
        <w:t xml:space="preserve"> </w:t>
      </w:r>
      <w:r>
        <w:t>senadores</w:t>
      </w:r>
      <w:r>
        <w:rPr>
          <w:spacing w:val="-3"/>
        </w:rPr>
        <w:t xml:space="preserve"> </w:t>
      </w:r>
      <w:r>
        <w:t>y</w:t>
      </w:r>
      <w:r>
        <w:rPr>
          <w:spacing w:val="-2"/>
        </w:rPr>
        <w:t xml:space="preserve"> </w:t>
      </w:r>
      <w:r>
        <w:t>hasta dos candidatos presidenciales, además de militantes y familiares. Si bien hubo violencia de las</w:t>
      </w:r>
      <w:r>
        <w:rPr>
          <w:spacing w:val="-3"/>
        </w:rPr>
        <w:t xml:space="preserve"> </w:t>
      </w:r>
      <w:r>
        <w:t>propias</w:t>
      </w:r>
      <w:r>
        <w:rPr>
          <w:spacing w:val="-3"/>
        </w:rPr>
        <w:t xml:space="preserve"> </w:t>
      </w:r>
      <w:r>
        <w:t>guerrillas,</w:t>
      </w:r>
      <w:r>
        <w:rPr>
          <w:spacing w:val="-4"/>
        </w:rPr>
        <w:t xml:space="preserve"> </w:t>
      </w:r>
      <w:r>
        <w:t>en</w:t>
      </w:r>
      <w:r>
        <w:rPr>
          <w:spacing w:val="-5"/>
        </w:rPr>
        <w:t xml:space="preserve"> </w:t>
      </w:r>
      <w:r>
        <w:t>algunos</w:t>
      </w:r>
      <w:r>
        <w:rPr>
          <w:spacing w:val="-3"/>
        </w:rPr>
        <w:t xml:space="preserve"> </w:t>
      </w:r>
      <w:r>
        <w:t>ataques</w:t>
      </w:r>
      <w:r>
        <w:rPr>
          <w:spacing w:val="-3"/>
        </w:rPr>
        <w:t xml:space="preserve"> </w:t>
      </w:r>
      <w:r>
        <w:t>contra</w:t>
      </w:r>
      <w:r>
        <w:rPr>
          <w:spacing w:val="-4"/>
        </w:rPr>
        <w:t xml:space="preserve"> </w:t>
      </w:r>
      <w:r>
        <w:t>víctimas</w:t>
      </w:r>
      <w:r>
        <w:rPr>
          <w:spacing w:val="-3"/>
        </w:rPr>
        <w:t xml:space="preserve"> </w:t>
      </w:r>
      <w:r>
        <w:t>de</w:t>
      </w:r>
      <w:r>
        <w:rPr>
          <w:spacing w:val="-3"/>
        </w:rPr>
        <w:t xml:space="preserve"> </w:t>
      </w:r>
      <w:r>
        <w:t>la</w:t>
      </w:r>
      <w:r>
        <w:rPr>
          <w:spacing w:val="-5"/>
        </w:rPr>
        <w:t xml:space="preserve"> </w:t>
      </w:r>
      <w:r>
        <w:t>UP,</w:t>
      </w:r>
      <w:r>
        <w:rPr>
          <w:spacing w:val="-4"/>
        </w:rPr>
        <w:t xml:space="preserve"> </w:t>
      </w:r>
      <w:r>
        <w:t>según</w:t>
      </w:r>
      <w:r>
        <w:rPr>
          <w:spacing w:val="-4"/>
        </w:rPr>
        <w:t xml:space="preserve"> </w:t>
      </w:r>
      <w:r>
        <w:t>la</w:t>
      </w:r>
      <w:r>
        <w:rPr>
          <w:spacing w:val="-3"/>
        </w:rPr>
        <w:t xml:space="preserve"> </w:t>
      </w:r>
      <w:r>
        <w:t>información</w:t>
      </w:r>
      <w:r>
        <w:rPr>
          <w:spacing w:val="-4"/>
        </w:rPr>
        <w:t xml:space="preserve"> </w:t>
      </w:r>
      <w:r>
        <w:t>del proyecto integrado de datos JEP-CEV-HRDAG, en el 69</w:t>
      </w:r>
      <w:r>
        <w:rPr>
          <w:spacing w:val="-4"/>
        </w:rPr>
        <w:t xml:space="preserve"> </w:t>
      </w:r>
      <w:r>
        <w:t>% de los casos se identificó la responsabilidad paramilitar y/o militar y/o de agentes del Estado.</w:t>
      </w:r>
    </w:p>
    <w:p w:rsidR="0011361F" w:rsidRPr="00B6572D" w:rsidRDefault="00AF18A5" w:rsidP="004A6EF4">
      <w:pPr>
        <w:pStyle w:val="Ttulo3"/>
        <w:numPr>
          <w:ilvl w:val="1"/>
          <w:numId w:val="16"/>
        </w:numPr>
      </w:pPr>
      <w:bookmarkStart w:id="216" w:name="3.5._Atentados_al_derecho_a_la_vida"/>
      <w:bookmarkStart w:id="217" w:name="_Toc112399564"/>
      <w:bookmarkEnd w:id="216"/>
      <w:r w:rsidRPr="00B6572D">
        <w:t>Atentados al derecho a la vida</w:t>
      </w:r>
      <w:bookmarkEnd w:id="217"/>
    </w:p>
    <w:p w:rsidR="003804AC" w:rsidRDefault="00AF18A5" w:rsidP="00B6572D">
      <w:r>
        <w:t>«[...]</w:t>
      </w:r>
      <w:r>
        <w:rPr>
          <w:spacing w:val="-6"/>
        </w:rPr>
        <w:t xml:space="preserve"> </w:t>
      </w:r>
      <w:r>
        <w:t>en</w:t>
      </w:r>
      <w:r>
        <w:rPr>
          <w:spacing w:val="-6"/>
        </w:rPr>
        <w:t xml:space="preserve"> </w:t>
      </w:r>
      <w:r>
        <w:t>el</w:t>
      </w:r>
      <w:r>
        <w:rPr>
          <w:spacing w:val="-6"/>
        </w:rPr>
        <w:t xml:space="preserve"> </w:t>
      </w:r>
      <w:r>
        <w:t>caso</w:t>
      </w:r>
      <w:r>
        <w:rPr>
          <w:spacing w:val="-6"/>
        </w:rPr>
        <w:t xml:space="preserve"> </w:t>
      </w:r>
      <w:r>
        <w:t>mío</w:t>
      </w:r>
      <w:r>
        <w:rPr>
          <w:spacing w:val="-6"/>
        </w:rPr>
        <w:t xml:space="preserve"> </w:t>
      </w:r>
      <w:r>
        <w:t>del</w:t>
      </w:r>
      <w:r>
        <w:rPr>
          <w:spacing w:val="-7"/>
        </w:rPr>
        <w:t xml:space="preserve"> </w:t>
      </w:r>
      <w:r>
        <w:t>atentado</w:t>
      </w:r>
      <w:r>
        <w:rPr>
          <w:spacing w:val="-6"/>
        </w:rPr>
        <w:t xml:space="preserve"> </w:t>
      </w:r>
      <w:r>
        <w:t>en</w:t>
      </w:r>
      <w:r>
        <w:rPr>
          <w:spacing w:val="-6"/>
        </w:rPr>
        <w:t xml:space="preserve"> </w:t>
      </w:r>
      <w:r>
        <w:t>Aguachica</w:t>
      </w:r>
      <w:r>
        <w:rPr>
          <w:spacing w:val="-6"/>
        </w:rPr>
        <w:t xml:space="preserve"> </w:t>
      </w:r>
      <w:r>
        <w:t>[Cesar]</w:t>
      </w:r>
      <w:r>
        <w:rPr>
          <w:spacing w:val="-6"/>
        </w:rPr>
        <w:t xml:space="preserve"> </w:t>
      </w:r>
      <w:r>
        <w:t>finalizando</w:t>
      </w:r>
      <w:r>
        <w:rPr>
          <w:spacing w:val="-6"/>
        </w:rPr>
        <w:t xml:space="preserve"> </w:t>
      </w:r>
      <w:r>
        <w:t>el</w:t>
      </w:r>
      <w:r>
        <w:rPr>
          <w:spacing w:val="-6"/>
        </w:rPr>
        <w:t xml:space="preserve"> </w:t>
      </w:r>
      <w:r>
        <w:t>93,</w:t>
      </w:r>
      <w:r>
        <w:rPr>
          <w:spacing w:val="-6"/>
        </w:rPr>
        <w:t xml:space="preserve"> </w:t>
      </w:r>
      <w:r>
        <w:t>también</w:t>
      </w:r>
      <w:r>
        <w:rPr>
          <w:spacing w:val="-6"/>
        </w:rPr>
        <w:t xml:space="preserve"> </w:t>
      </w:r>
      <w:r>
        <w:t>todos</w:t>
      </w:r>
      <w:r>
        <w:rPr>
          <w:spacing w:val="-6"/>
        </w:rPr>
        <w:t xml:space="preserve"> </w:t>
      </w:r>
      <w:r>
        <w:t>esos antecedentes de denuncia que habíamos hecho de la ONG Minga en el Catatumbo, hoy en día</w:t>
      </w:r>
      <w:r>
        <w:rPr>
          <w:spacing w:val="-11"/>
        </w:rPr>
        <w:t xml:space="preserve"> </w:t>
      </w:r>
      <w:r>
        <w:t>considero</w:t>
      </w:r>
      <w:r>
        <w:rPr>
          <w:spacing w:val="-9"/>
        </w:rPr>
        <w:t xml:space="preserve"> </w:t>
      </w:r>
      <w:r>
        <w:t>que</w:t>
      </w:r>
      <w:r>
        <w:rPr>
          <w:spacing w:val="-8"/>
        </w:rPr>
        <w:t xml:space="preserve"> </w:t>
      </w:r>
      <w:r>
        <w:t>eso</w:t>
      </w:r>
      <w:r>
        <w:rPr>
          <w:spacing w:val="-10"/>
        </w:rPr>
        <w:t xml:space="preserve"> </w:t>
      </w:r>
      <w:r>
        <w:t>también</w:t>
      </w:r>
      <w:r>
        <w:rPr>
          <w:spacing w:val="-9"/>
        </w:rPr>
        <w:t xml:space="preserve"> </w:t>
      </w:r>
      <w:r>
        <w:t>hizo</w:t>
      </w:r>
      <w:r>
        <w:rPr>
          <w:spacing w:val="-11"/>
        </w:rPr>
        <w:t xml:space="preserve"> </w:t>
      </w:r>
      <w:r>
        <w:t>que</w:t>
      </w:r>
      <w:r>
        <w:rPr>
          <w:spacing w:val="-8"/>
        </w:rPr>
        <w:t xml:space="preserve"> </w:t>
      </w:r>
      <w:r>
        <w:t>esas</w:t>
      </w:r>
      <w:r>
        <w:rPr>
          <w:spacing w:val="-10"/>
        </w:rPr>
        <w:t xml:space="preserve"> </w:t>
      </w:r>
      <w:r>
        <w:t>fuerzas</w:t>
      </w:r>
      <w:r>
        <w:rPr>
          <w:spacing w:val="-8"/>
        </w:rPr>
        <w:t xml:space="preserve"> </w:t>
      </w:r>
      <w:r>
        <w:t>armadas</w:t>
      </w:r>
      <w:r>
        <w:rPr>
          <w:spacing w:val="-9"/>
        </w:rPr>
        <w:t xml:space="preserve"> </w:t>
      </w:r>
      <w:r>
        <w:t>de</w:t>
      </w:r>
      <w:r>
        <w:rPr>
          <w:spacing w:val="-9"/>
        </w:rPr>
        <w:t xml:space="preserve"> </w:t>
      </w:r>
      <w:r>
        <w:t>este</w:t>
      </w:r>
      <w:r>
        <w:rPr>
          <w:spacing w:val="-8"/>
        </w:rPr>
        <w:t xml:space="preserve"> </w:t>
      </w:r>
      <w:r>
        <w:t>país</w:t>
      </w:r>
      <w:r>
        <w:rPr>
          <w:spacing w:val="-9"/>
        </w:rPr>
        <w:t xml:space="preserve"> </w:t>
      </w:r>
      <w:r>
        <w:t>de</w:t>
      </w:r>
      <w:r>
        <w:rPr>
          <w:spacing w:val="-8"/>
        </w:rPr>
        <w:t xml:space="preserve"> </w:t>
      </w:r>
      <w:r>
        <w:t>extrema</w:t>
      </w:r>
      <w:r>
        <w:rPr>
          <w:spacing w:val="-10"/>
        </w:rPr>
        <w:t xml:space="preserve"> </w:t>
      </w:r>
      <w:r>
        <w:rPr>
          <w:spacing w:val="-2"/>
        </w:rPr>
        <w:t>derecha</w:t>
      </w:r>
      <w:bookmarkStart w:id="218" w:name="_bookmark149"/>
      <w:bookmarkStart w:id="219" w:name="_bookmark150"/>
      <w:bookmarkStart w:id="220" w:name="_bookmark151"/>
      <w:bookmarkStart w:id="221" w:name="_bookmark152"/>
      <w:bookmarkEnd w:id="218"/>
      <w:bookmarkEnd w:id="219"/>
      <w:bookmarkEnd w:id="220"/>
      <w:bookmarkEnd w:id="221"/>
      <w:r w:rsidR="00B6572D">
        <w:t xml:space="preserve"> </w:t>
      </w:r>
      <w:r>
        <w:t>nos ubicaran más rápido, y casi todos los que hicimos denuncia en esa época, cantidad de gente, pues todos fueron masacrados, asesinados, desaparecidos»</w:t>
      </w:r>
      <w:r w:rsidR="00F913F7">
        <w:rPr>
          <w:rStyle w:val="Refdenotaalpie"/>
        </w:rPr>
        <w:footnoteReference w:id="134"/>
      </w:r>
      <w:r>
        <w:t>.</w:t>
      </w:r>
    </w:p>
    <w:p w:rsidR="003804AC" w:rsidRDefault="00AF18A5" w:rsidP="00F913F7">
      <w:r>
        <w:t>Los atentados al derecho a la vida son en realidad un asesinato fallido o no consumado, muchas</w:t>
      </w:r>
      <w:r>
        <w:rPr>
          <w:spacing w:val="-2"/>
        </w:rPr>
        <w:t xml:space="preserve"> </w:t>
      </w:r>
      <w:r>
        <w:t>personas</w:t>
      </w:r>
      <w:r>
        <w:rPr>
          <w:spacing w:val="-2"/>
        </w:rPr>
        <w:t xml:space="preserve"> </w:t>
      </w:r>
      <w:r>
        <w:t>quedaron</w:t>
      </w:r>
      <w:r>
        <w:rPr>
          <w:spacing w:val="-2"/>
        </w:rPr>
        <w:t xml:space="preserve"> </w:t>
      </w:r>
      <w:r>
        <w:t>heridas</w:t>
      </w:r>
      <w:r>
        <w:rPr>
          <w:spacing w:val="-2"/>
        </w:rPr>
        <w:t xml:space="preserve"> </w:t>
      </w:r>
      <w:r>
        <w:t>e</w:t>
      </w:r>
      <w:r>
        <w:rPr>
          <w:spacing w:val="-3"/>
        </w:rPr>
        <w:t xml:space="preserve"> </w:t>
      </w:r>
      <w:r>
        <w:t>incluso</w:t>
      </w:r>
      <w:r>
        <w:rPr>
          <w:spacing w:val="-3"/>
        </w:rPr>
        <w:t xml:space="preserve"> </w:t>
      </w:r>
      <w:r>
        <w:t>algunas</w:t>
      </w:r>
      <w:r>
        <w:rPr>
          <w:spacing w:val="-2"/>
        </w:rPr>
        <w:t xml:space="preserve"> </w:t>
      </w:r>
      <w:r>
        <w:t>resultaron</w:t>
      </w:r>
      <w:r>
        <w:rPr>
          <w:spacing w:val="-2"/>
        </w:rPr>
        <w:t xml:space="preserve"> </w:t>
      </w:r>
      <w:r>
        <w:t>ilesas,</w:t>
      </w:r>
      <w:r>
        <w:rPr>
          <w:spacing w:val="-2"/>
        </w:rPr>
        <w:t xml:space="preserve"> </w:t>
      </w:r>
      <w:r>
        <w:t>pero</w:t>
      </w:r>
      <w:r>
        <w:rPr>
          <w:spacing w:val="-2"/>
        </w:rPr>
        <w:t xml:space="preserve"> </w:t>
      </w:r>
      <w:r>
        <w:t>con</w:t>
      </w:r>
      <w:r>
        <w:rPr>
          <w:spacing w:val="-2"/>
        </w:rPr>
        <w:t xml:space="preserve"> </w:t>
      </w:r>
      <w:r>
        <w:t>una</w:t>
      </w:r>
      <w:r>
        <w:rPr>
          <w:spacing w:val="-2"/>
        </w:rPr>
        <w:t xml:space="preserve"> </w:t>
      </w:r>
      <w:r>
        <w:t>fuerte</w:t>
      </w:r>
      <w:r>
        <w:rPr>
          <w:spacing w:val="-2"/>
        </w:rPr>
        <w:t xml:space="preserve"> </w:t>
      </w:r>
      <w:r>
        <w:t>y larga afectación posterior. A pesar del</w:t>
      </w:r>
      <w:r>
        <w:rPr>
          <w:spacing w:val="-1"/>
        </w:rPr>
        <w:t xml:space="preserve"> </w:t>
      </w:r>
      <w:r>
        <w:t>subregistro</w:t>
      </w:r>
      <w:r>
        <w:rPr>
          <w:spacing w:val="-1"/>
        </w:rPr>
        <w:t xml:space="preserve"> </w:t>
      </w:r>
      <w:r>
        <w:t>–porque muchas veces</w:t>
      </w:r>
      <w:r>
        <w:rPr>
          <w:spacing w:val="-1"/>
        </w:rPr>
        <w:t xml:space="preserve"> </w:t>
      </w:r>
      <w:r>
        <w:t>los sobrevivientes no</w:t>
      </w:r>
      <w:r>
        <w:rPr>
          <w:spacing w:val="-12"/>
        </w:rPr>
        <w:t xml:space="preserve"> </w:t>
      </w:r>
      <w:r>
        <w:t>denunciaron–,</w:t>
      </w:r>
      <w:r>
        <w:rPr>
          <w:spacing w:val="-12"/>
        </w:rPr>
        <w:t xml:space="preserve"> </w:t>
      </w:r>
      <w:r>
        <w:t>implican</w:t>
      </w:r>
      <w:r>
        <w:rPr>
          <w:spacing w:val="-12"/>
        </w:rPr>
        <w:t xml:space="preserve"> </w:t>
      </w:r>
      <w:r>
        <w:t>también</w:t>
      </w:r>
      <w:r>
        <w:rPr>
          <w:spacing w:val="-12"/>
        </w:rPr>
        <w:t xml:space="preserve"> </w:t>
      </w:r>
      <w:r>
        <w:t>planes,</w:t>
      </w:r>
      <w:r>
        <w:rPr>
          <w:spacing w:val="-12"/>
        </w:rPr>
        <w:t xml:space="preserve"> </w:t>
      </w:r>
      <w:r>
        <w:t>disponibilidad</w:t>
      </w:r>
      <w:r>
        <w:rPr>
          <w:spacing w:val="-12"/>
        </w:rPr>
        <w:t xml:space="preserve"> </w:t>
      </w:r>
      <w:r>
        <w:t>de</w:t>
      </w:r>
      <w:r>
        <w:rPr>
          <w:spacing w:val="-13"/>
        </w:rPr>
        <w:t xml:space="preserve"> </w:t>
      </w:r>
      <w:r>
        <w:t>recursos</w:t>
      </w:r>
      <w:r>
        <w:rPr>
          <w:spacing w:val="-12"/>
        </w:rPr>
        <w:t xml:space="preserve"> </w:t>
      </w:r>
      <w:r>
        <w:t>y</w:t>
      </w:r>
      <w:r>
        <w:rPr>
          <w:spacing w:val="-12"/>
        </w:rPr>
        <w:t xml:space="preserve"> </w:t>
      </w:r>
      <w:r>
        <w:t>esfuerzos</w:t>
      </w:r>
      <w:r>
        <w:rPr>
          <w:spacing w:val="-12"/>
        </w:rPr>
        <w:t xml:space="preserve"> </w:t>
      </w:r>
      <w:r>
        <w:t xml:space="preserve">orientados a la eliminación física de las víctimas. Como en el caso de muchos asesinatos, perpetrar un atentado requiere en general conocer a la víctima y sus rutinas, acciones de inteligencia o seguimientos. Varios casos de conocidos defensores de derechos </w:t>
      </w:r>
      <w:r>
        <w:lastRenderedPageBreak/>
        <w:t>humanos, por ejemplo, algunos de ellos murieron después en nuevas acciones tras haber sobrevivido a un atentado o sufrieron atentados que los llevaron al exilio,</w:t>
      </w:r>
    </w:p>
    <w:p w:rsidR="0011361F" w:rsidRPr="00C60073" w:rsidRDefault="00AF18A5" w:rsidP="004A6EF4">
      <w:pPr>
        <w:pStyle w:val="Ttulo3"/>
        <w:numPr>
          <w:ilvl w:val="1"/>
          <w:numId w:val="16"/>
        </w:numPr>
      </w:pPr>
      <w:bookmarkStart w:id="222" w:name="3.6._Desaparición_forzada"/>
      <w:bookmarkStart w:id="223" w:name="_Toc112399565"/>
      <w:bookmarkEnd w:id="222"/>
      <w:r w:rsidRPr="00C60073">
        <w:t>Desaparición forzada</w:t>
      </w:r>
      <w:bookmarkEnd w:id="223"/>
    </w:p>
    <w:p w:rsidR="003804AC" w:rsidRDefault="00AF18A5" w:rsidP="00C60073">
      <w:r>
        <w:t>La</w:t>
      </w:r>
      <w:r>
        <w:rPr>
          <w:spacing w:val="-15"/>
        </w:rPr>
        <w:t xml:space="preserve"> </w:t>
      </w:r>
      <w:r>
        <w:t>mayoría</w:t>
      </w:r>
      <w:r>
        <w:rPr>
          <w:spacing w:val="-15"/>
        </w:rPr>
        <w:t xml:space="preserve"> </w:t>
      </w:r>
      <w:r>
        <w:t>de</w:t>
      </w:r>
      <w:r>
        <w:rPr>
          <w:spacing w:val="-15"/>
        </w:rPr>
        <w:t xml:space="preserve"> </w:t>
      </w:r>
      <w:r>
        <w:t>esas</w:t>
      </w:r>
      <w:r>
        <w:rPr>
          <w:spacing w:val="-14"/>
        </w:rPr>
        <w:t xml:space="preserve"> </w:t>
      </w:r>
      <w:r>
        <w:t>personas</w:t>
      </w:r>
      <w:r>
        <w:rPr>
          <w:spacing w:val="-15"/>
        </w:rPr>
        <w:t xml:space="preserve"> </w:t>
      </w:r>
      <w:r>
        <w:t>fueron</w:t>
      </w:r>
      <w:r>
        <w:rPr>
          <w:spacing w:val="-15"/>
        </w:rPr>
        <w:t xml:space="preserve"> </w:t>
      </w:r>
      <w:r>
        <w:t>desaparecidas</w:t>
      </w:r>
      <w:r>
        <w:rPr>
          <w:spacing w:val="-14"/>
        </w:rPr>
        <w:t xml:space="preserve"> </w:t>
      </w:r>
      <w:r>
        <w:t>intencionalmente</w:t>
      </w:r>
      <w:r>
        <w:rPr>
          <w:spacing w:val="-15"/>
        </w:rPr>
        <w:t xml:space="preserve"> </w:t>
      </w:r>
      <w:r>
        <w:t>por</w:t>
      </w:r>
      <w:r>
        <w:rPr>
          <w:spacing w:val="-15"/>
        </w:rPr>
        <w:t xml:space="preserve"> </w:t>
      </w:r>
      <w:r>
        <w:t>lo</w:t>
      </w:r>
      <w:r>
        <w:rPr>
          <w:spacing w:val="-14"/>
        </w:rPr>
        <w:t xml:space="preserve"> </w:t>
      </w:r>
      <w:r>
        <w:t>que</w:t>
      </w:r>
      <w:r>
        <w:rPr>
          <w:spacing w:val="-15"/>
        </w:rPr>
        <w:t xml:space="preserve"> </w:t>
      </w:r>
      <w:r>
        <w:t>representaban para las partes en conflicto. La vinculación política o social fue uno de los motivos más determinantes que justificó esta violación. Una parte de víctimas lo fueron por ejercer liderazgos</w:t>
      </w:r>
      <w:r>
        <w:rPr>
          <w:spacing w:val="-15"/>
        </w:rPr>
        <w:t xml:space="preserve"> </w:t>
      </w:r>
      <w:r>
        <w:t>en</w:t>
      </w:r>
      <w:r>
        <w:rPr>
          <w:spacing w:val="-15"/>
        </w:rPr>
        <w:t xml:space="preserve"> </w:t>
      </w:r>
      <w:r>
        <w:t>un</w:t>
      </w:r>
      <w:r>
        <w:rPr>
          <w:spacing w:val="-15"/>
        </w:rPr>
        <w:t xml:space="preserve"> </w:t>
      </w:r>
      <w:r>
        <w:t>partido</w:t>
      </w:r>
      <w:r>
        <w:rPr>
          <w:spacing w:val="-15"/>
        </w:rPr>
        <w:t xml:space="preserve"> </w:t>
      </w:r>
      <w:r>
        <w:t>de</w:t>
      </w:r>
      <w:r>
        <w:rPr>
          <w:spacing w:val="-15"/>
        </w:rPr>
        <w:t xml:space="preserve"> </w:t>
      </w:r>
      <w:r>
        <w:t>izquierda</w:t>
      </w:r>
      <w:r>
        <w:rPr>
          <w:spacing w:val="-15"/>
        </w:rPr>
        <w:t xml:space="preserve"> </w:t>
      </w:r>
      <w:r>
        <w:t>o</w:t>
      </w:r>
      <w:r>
        <w:rPr>
          <w:spacing w:val="-15"/>
        </w:rPr>
        <w:t xml:space="preserve"> </w:t>
      </w:r>
      <w:r>
        <w:t>en</w:t>
      </w:r>
      <w:r>
        <w:rPr>
          <w:spacing w:val="-15"/>
        </w:rPr>
        <w:t xml:space="preserve"> </w:t>
      </w:r>
      <w:r>
        <w:t>un</w:t>
      </w:r>
      <w:r>
        <w:rPr>
          <w:spacing w:val="-15"/>
        </w:rPr>
        <w:t xml:space="preserve"> </w:t>
      </w:r>
      <w:r>
        <w:t>sindicato</w:t>
      </w:r>
      <w:r>
        <w:rPr>
          <w:spacing w:val="-15"/>
        </w:rPr>
        <w:t xml:space="preserve"> </w:t>
      </w:r>
      <w:r>
        <w:t>o</w:t>
      </w:r>
      <w:r>
        <w:rPr>
          <w:spacing w:val="-15"/>
        </w:rPr>
        <w:t xml:space="preserve"> </w:t>
      </w:r>
      <w:r>
        <w:t>trabajar</w:t>
      </w:r>
      <w:r>
        <w:rPr>
          <w:spacing w:val="-15"/>
        </w:rPr>
        <w:t xml:space="preserve"> </w:t>
      </w:r>
      <w:r>
        <w:t>en</w:t>
      </w:r>
      <w:r>
        <w:rPr>
          <w:spacing w:val="-15"/>
        </w:rPr>
        <w:t xml:space="preserve"> </w:t>
      </w:r>
      <w:r>
        <w:t>la</w:t>
      </w:r>
      <w:r>
        <w:rPr>
          <w:spacing w:val="-15"/>
        </w:rPr>
        <w:t xml:space="preserve"> </w:t>
      </w:r>
      <w:r>
        <w:t>defensa</w:t>
      </w:r>
      <w:r>
        <w:rPr>
          <w:spacing w:val="-15"/>
        </w:rPr>
        <w:t xml:space="preserve"> </w:t>
      </w:r>
      <w:r>
        <w:t>de</w:t>
      </w:r>
      <w:r>
        <w:rPr>
          <w:spacing w:val="-15"/>
        </w:rPr>
        <w:t xml:space="preserve"> </w:t>
      </w:r>
      <w:r>
        <w:t>los</w:t>
      </w:r>
      <w:r>
        <w:rPr>
          <w:spacing w:val="-15"/>
        </w:rPr>
        <w:t xml:space="preserve"> </w:t>
      </w:r>
      <w:r>
        <w:t>derechos humanos. Además de que, con el ocultamiento del destino y paradero de los desaparecidos, se</w:t>
      </w:r>
      <w:r>
        <w:rPr>
          <w:spacing w:val="-12"/>
        </w:rPr>
        <w:t xml:space="preserve"> </w:t>
      </w:r>
      <w:r>
        <w:t>enviaba</w:t>
      </w:r>
      <w:r>
        <w:rPr>
          <w:spacing w:val="-12"/>
        </w:rPr>
        <w:t xml:space="preserve"> </w:t>
      </w:r>
      <w:r>
        <w:t>un</w:t>
      </w:r>
      <w:r>
        <w:rPr>
          <w:spacing w:val="-12"/>
        </w:rPr>
        <w:t xml:space="preserve"> </w:t>
      </w:r>
      <w:r>
        <w:t>mensaje</w:t>
      </w:r>
      <w:r>
        <w:rPr>
          <w:spacing w:val="-12"/>
        </w:rPr>
        <w:t xml:space="preserve"> </w:t>
      </w:r>
      <w:r>
        <w:t>de</w:t>
      </w:r>
      <w:r>
        <w:rPr>
          <w:spacing w:val="-12"/>
        </w:rPr>
        <w:t xml:space="preserve"> </w:t>
      </w:r>
      <w:r>
        <w:t>terror</w:t>
      </w:r>
      <w:r>
        <w:rPr>
          <w:spacing w:val="-12"/>
        </w:rPr>
        <w:t xml:space="preserve"> </w:t>
      </w:r>
      <w:r>
        <w:t>tanto</w:t>
      </w:r>
      <w:r>
        <w:rPr>
          <w:spacing w:val="-13"/>
        </w:rPr>
        <w:t xml:space="preserve"> </w:t>
      </w:r>
      <w:r>
        <w:t>a</w:t>
      </w:r>
      <w:r>
        <w:rPr>
          <w:spacing w:val="-12"/>
        </w:rPr>
        <w:t xml:space="preserve"> </w:t>
      </w:r>
      <w:r>
        <w:t>los</w:t>
      </w:r>
      <w:r>
        <w:rPr>
          <w:spacing w:val="-12"/>
        </w:rPr>
        <w:t xml:space="preserve"> </w:t>
      </w:r>
      <w:r>
        <w:t>sectores</w:t>
      </w:r>
      <w:r>
        <w:rPr>
          <w:spacing w:val="-12"/>
        </w:rPr>
        <w:t xml:space="preserve"> </w:t>
      </w:r>
      <w:r>
        <w:t>a</w:t>
      </w:r>
      <w:r>
        <w:rPr>
          <w:spacing w:val="-12"/>
        </w:rPr>
        <w:t xml:space="preserve"> </w:t>
      </w:r>
      <w:r>
        <w:t>los</w:t>
      </w:r>
      <w:r>
        <w:rPr>
          <w:spacing w:val="-12"/>
        </w:rPr>
        <w:t xml:space="preserve"> </w:t>
      </w:r>
      <w:r>
        <w:t>que</w:t>
      </w:r>
      <w:r>
        <w:rPr>
          <w:spacing w:val="-12"/>
        </w:rPr>
        <w:t xml:space="preserve"> </w:t>
      </w:r>
      <w:r>
        <w:t>pertenecían</w:t>
      </w:r>
      <w:r>
        <w:rPr>
          <w:spacing w:val="-12"/>
        </w:rPr>
        <w:t xml:space="preserve"> </w:t>
      </w:r>
      <w:r>
        <w:t>estas</w:t>
      </w:r>
      <w:r>
        <w:rPr>
          <w:spacing w:val="-12"/>
        </w:rPr>
        <w:t xml:space="preserve"> </w:t>
      </w:r>
      <w:r>
        <w:t>víctimas</w:t>
      </w:r>
      <w:r>
        <w:rPr>
          <w:spacing w:val="-13"/>
        </w:rPr>
        <w:t xml:space="preserve"> </w:t>
      </w:r>
      <w:r>
        <w:t>como a sus familias.</w:t>
      </w:r>
    </w:p>
    <w:p w:rsidR="003804AC" w:rsidRDefault="00AF18A5" w:rsidP="00C60073">
      <w:r>
        <w:t>«A las personas las cogían, las mataban, las amarraban, las tiraban en el río. A veces les amarraban piedras o algo pesado para que las personas se fueran a las profundidades. Otros los tiraban al río y el mensaje era “el que los coja se muere”; en principio yo sé y tengo conocimiento. Yo soy de acá del campo. Algunas personas de nuestra comunidad y, por el significado de lo que representaba la persona humana, en muchos casos se recogían en las comunidades.</w:t>
      </w:r>
      <w:r>
        <w:rPr>
          <w:spacing w:val="-1"/>
        </w:rPr>
        <w:t xml:space="preserve"> </w:t>
      </w:r>
      <w:r>
        <w:t>Pero</w:t>
      </w:r>
      <w:r>
        <w:rPr>
          <w:spacing w:val="-1"/>
        </w:rPr>
        <w:t xml:space="preserve"> </w:t>
      </w:r>
      <w:r>
        <w:t>llegó</w:t>
      </w:r>
      <w:r>
        <w:rPr>
          <w:spacing w:val="-2"/>
        </w:rPr>
        <w:t xml:space="preserve"> </w:t>
      </w:r>
      <w:r>
        <w:t>un</w:t>
      </w:r>
      <w:r>
        <w:rPr>
          <w:spacing w:val="-1"/>
        </w:rPr>
        <w:t xml:space="preserve"> </w:t>
      </w:r>
      <w:r>
        <w:t>momento</w:t>
      </w:r>
      <w:r>
        <w:rPr>
          <w:spacing w:val="-1"/>
        </w:rPr>
        <w:t xml:space="preserve"> </w:t>
      </w:r>
      <w:r>
        <w:t>en que</w:t>
      </w:r>
      <w:r>
        <w:rPr>
          <w:spacing w:val="-1"/>
        </w:rPr>
        <w:t xml:space="preserve"> </w:t>
      </w:r>
      <w:r>
        <w:t>ya nadie lo</w:t>
      </w:r>
      <w:r>
        <w:rPr>
          <w:spacing w:val="-1"/>
        </w:rPr>
        <w:t xml:space="preserve"> </w:t>
      </w:r>
      <w:r>
        <w:t>podía</w:t>
      </w:r>
      <w:r>
        <w:rPr>
          <w:spacing w:val="-1"/>
        </w:rPr>
        <w:t xml:space="preserve"> </w:t>
      </w:r>
      <w:r>
        <w:t>hacer, porque</w:t>
      </w:r>
      <w:r>
        <w:rPr>
          <w:spacing w:val="-1"/>
        </w:rPr>
        <w:t xml:space="preserve"> </w:t>
      </w:r>
      <w:r>
        <w:t>el</w:t>
      </w:r>
      <w:r>
        <w:rPr>
          <w:spacing w:val="-1"/>
        </w:rPr>
        <w:t xml:space="preserve"> </w:t>
      </w:r>
      <w:r>
        <w:t xml:space="preserve">mensaje </w:t>
      </w:r>
      <w:r>
        <w:rPr>
          <w:spacing w:val="-5"/>
        </w:rPr>
        <w:t>era</w:t>
      </w:r>
      <w:r w:rsidR="00C60073">
        <w:rPr>
          <w:spacing w:val="-5"/>
        </w:rPr>
        <w:t xml:space="preserve"> </w:t>
      </w:r>
      <w:r>
        <w:t>“el</w:t>
      </w:r>
      <w:r>
        <w:rPr>
          <w:spacing w:val="-1"/>
        </w:rPr>
        <w:t xml:space="preserve"> </w:t>
      </w:r>
      <w:r>
        <w:t>que</w:t>
      </w:r>
      <w:r>
        <w:rPr>
          <w:spacing w:val="-1"/>
        </w:rPr>
        <w:t xml:space="preserve"> </w:t>
      </w:r>
      <w:r>
        <w:t>lo</w:t>
      </w:r>
      <w:r>
        <w:rPr>
          <w:spacing w:val="-2"/>
        </w:rPr>
        <w:t xml:space="preserve"> </w:t>
      </w:r>
      <w:r>
        <w:t>coja</w:t>
      </w:r>
      <w:r>
        <w:rPr>
          <w:spacing w:val="-1"/>
        </w:rPr>
        <w:t xml:space="preserve"> </w:t>
      </w:r>
      <w:r>
        <w:t>se</w:t>
      </w:r>
      <w:r>
        <w:rPr>
          <w:spacing w:val="-1"/>
        </w:rPr>
        <w:t xml:space="preserve"> </w:t>
      </w:r>
      <w:r>
        <w:t>muere”.</w:t>
      </w:r>
      <w:r>
        <w:rPr>
          <w:spacing w:val="-1"/>
        </w:rPr>
        <w:t xml:space="preserve"> </w:t>
      </w:r>
      <w:r>
        <w:t>Y</w:t>
      </w:r>
      <w:r>
        <w:rPr>
          <w:spacing w:val="-2"/>
        </w:rPr>
        <w:t xml:space="preserve"> </w:t>
      </w:r>
      <w:r>
        <w:t>muchas</w:t>
      </w:r>
      <w:r>
        <w:rPr>
          <w:spacing w:val="-2"/>
        </w:rPr>
        <w:t xml:space="preserve"> </w:t>
      </w:r>
      <w:r>
        <w:t>personas</w:t>
      </w:r>
      <w:r>
        <w:rPr>
          <w:spacing w:val="-1"/>
        </w:rPr>
        <w:t xml:space="preserve"> </w:t>
      </w:r>
      <w:r>
        <w:t>desaparecidas,</w:t>
      </w:r>
      <w:r>
        <w:rPr>
          <w:spacing w:val="-2"/>
        </w:rPr>
        <w:t xml:space="preserve"> </w:t>
      </w:r>
      <w:r>
        <w:t>que</w:t>
      </w:r>
      <w:r>
        <w:rPr>
          <w:spacing w:val="-1"/>
        </w:rPr>
        <w:t xml:space="preserve"> </w:t>
      </w:r>
      <w:r>
        <w:t>no</w:t>
      </w:r>
      <w:r>
        <w:rPr>
          <w:spacing w:val="-1"/>
        </w:rPr>
        <w:t xml:space="preserve"> </w:t>
      </w:r>
      <w:r>
        <w:t>se</w:t>
      </w:r>
      <w:r>
        <w:rPr>
          <w:spacing w:val="-1"/>
        </w:rPr>
        <w:t xml:space="preserve"> </w:t>
      </w:r>
      <w:r>
        <w:t>consiguieron</w:t>
      </w:r>
      <w:r>
        <w:rPr>
          <w:spacing w:val="-1"/>
        </w:rPr>
        <w:t xml:space="preserve"> </w:t>
      </w:r>
      <w:r>
        <w:t>jamás, posiblemente quedaron en los más profundo del río Atrato»</w:t>
      </w:r>
      <w:r w:rsidR="00487B13">
        <w:rPr>
          <w:rStyle w:val="Refdenotaalpie"/>
        </w:rPr>
        <w:footnoteReference w:id="135"/>
      </w:r>
      <w:r>
        <w:t>.</w:t>
      </w:r>
    </w:p>
    <w:p w:rsidR="003804AC" w:rsidRDefault="00AF18A5" w:rsidP="0089687F">
      <w:r>
        <w:t xml:space="preserve">La desaparición forzada de personas supone una violación del derecho a la vida que sustrae a la persona de su medio social y familiar, no se </w:t>
      </w:r>
      <w:r>
        <w:lastRenderedPageBreak/>
        <w:t>conoce qué pasó con ella, y los responsables</w:t>
      </w:r>
      <w:r>
        <w:rPr>
          <w:spacing w:val="-5"/>
        </w:rPr>
        <w:t xml:space="preserve"> </w:t>
      </w:r>
      <w:r>
        <w:t>no</w:t>
      </w:r>
      <w:r>
        <w:rPr>
          <w:spacing w:val="-4"/>
        </w:rPr>
        <w:t xml:space="preserve"> </w:t>
      </w:r>
      <w:r>
        <w:t>dan</w:t>
      </w:r>
      <w:r>
        <w:rPr>
          <w:spacing w:val="-4"/>
        </w:rPr>
        <w:t xml:space="preserve"> </w:t>
      </w:r>
      <w:r>
        <w:t>cuenta</w:t>
      </w:r>
      <w:r>
        <w:rPr>
          <w:spacing w:val="-3"/>
        </w:rPr>
        <w:t xml:space="preserve"> </w:t>
      </w:r>
      <w:r>
        <w:t>de</w:t>
      </w:r>
      <w:r>
        <w:rPr>
          <w:spacing w:val="-3"/>
        </w:rPr>
        <w:t xml:space="preserve"> </w:t>
      </w:r>
      <w:r>
        <w:t>lo</w:t>
      </w:r>
      <w:r>
        <w:rPr>
          <w:spacing w:val="-5"/>
        </w:rPr>
        <w:t xml:space="preserve"> </w:t>
      </w:r>
      <w:r>
        <w:t>sucedido,</w:t>
      </w:r>
      <w:r>
        <w:rPr>
          <w:spacing w:val="-4"/>
        </w:rPr>
        <w:t xml:space="preserve"> </w:t>
      </w:r>
      <w:r>
        <w:t>ocultan</w:t>
      </w:r>
      <w:r>
        <w:rPr>
          <w:spacing w:val="-4"/>
        </w:rPr>
        <w:t xml:space="preserve"> </w:t>
      </w:r>
      <w:r>
        <w:t>su</w:t>
      </w:r>
      <w:r>
        <w:rPr>
          <w:spacing w:val="-4"/>
        </w:rPr>
        <w:t xml:space="preserve"> </w:t>
      </w:r>
      <w:r>
        <w:t>destino,</w:t>
      </w:r>
      <w:r>
        <w:rPr>
          <w:spacing w:val="-5"/>
        </w:rPr>
        <w:t xml:space="preserve"> </w:t>
      </w:r>
      <w:r>
        <w:t>su</w:t>
      </w:r>
      <w:r>
        <w:rPr>
          <w:spacing w:val="-4"/>
        </w:rPr>
        <w:t xml:space="preserve"> </w:t>
      </w:r>
      <w:r>
        <w:t>muerte</w:t>
      </w:r>
      <w:r>
        <w:rPr>
          <w:spacing w:val="-3"/>
        </w:rPr>
        <w:t xml:space="preserve"> </w:t>
      </w:r>
      <w:r>
        <w:t>o</w:t>
      </w:r>
      <w:r>
        <w:rPr>
          <w:spacing w:val="-5"/>
        </w:rPr>
        <w:t xml:space="preserve"> </w:t>
      </w:r>
      <w:r>
        <w:t>lo</w:t>
      </w:r>
      <w:r>
        <w:rPr>
          <w:spacing w:val="-4"/>
        </w:rPr>
        <w:t xml:space="preserve"> </w:t>
      </w:r>
      <w:r>
        <w:t>que</w:t>
      </w:r>
      <w:r>
        <w:rPr>
          <w:spacing w:val="-3"/>
        </w:rPr>
        <w:t xml:space="preserve"> </w:t>
      </w:r>
      <w:r>
        <w:t>pasó.</w:t>
      </w:r>
      <w:r>
        <w:rPr>
          <w:spacing w:val="-5"/>
        </w:rPr>
        <w:t xml:space="preserve"> </w:t>
      </w:r>
      <w:r>
        <w:t xml:space="preserve">Para los familiares supone una herida abierta y el duelo permanece abierto debido a la imposibilidad de saber lo sucedido. En los casos de desapariciones forzadas donde se da la participación de agentes del Estado o de grupos con su aquiescencia, como los grupos paramilitares, al desconocimiento del destino se une el ocultamiento de la realidad o de las pruebas o la negación de información a los familiares. Otros muchos desaparecidos lo han sido tras ser reclutados, o personas secuestradas que murieron durante su cautividad, o que fueron asesinadas sobre todo por las guerrillas y de las cuales los familiares desconocen su </w:t>
      </w:r>
      <w:r>
        <w:rPr>
          <w:spacing w:val="-2"/>
        </w:rPr>
        <w:t>destino</w:t>
      </w:r>
    </w:p>
    <w:p w:rsidR="003804AC" w:rsidRDefault="00AF18A5" w:rsidP="0089687F">
      <w:r>
        <w:t>La práctica de la desaparición forzada ha estado asociada en Colombia a finales de los años</w:t>
      </w:r>
      <w:r>
        <w:rPr>
          <w:spacing w:val="-15"/>
        </w:rPr>
        <w:t xml:space="preserve"> </w:t>
      </w:r>
      <w:r>
        <w:t>setenta</w:t>
      </w:r>
      <w:r>
        <w:rPr>
          <w:spacing w:val="-14"/>
        </w:rPr>
        <w:t xml:space="preserve"> </w:t>
      </w:r>
      <w:r>
        <w:t>y</w:t>
      </w:r>
      <w:r>
        <w:rPr>
          <w:spacing w:val="-14"/>
        </w:rPr>
        <w:t xml:space="preserve"> </w:t>
      </w:r>
      <w:r>
        <w:t>ochenta</w:t>
      </w:r>
      <w:r>
        <w:rPr>
          <w:spacing w:val="-14"/>
        </w:rPr>
        <w:t xml:space="preserve"> </w:t>
      </w:r>
      <w:r>
        <w:t>con</w:t>
      </w:r>
      <w:r>
        <w:rPr>
          <w:spacing w:val="-14"/>
        </w:rPr>
        <w:t xml:space="preserve"> </w:t>
      </w:r>
      <w:r>
        <w:t>la</w:t>
      </w:r>
      <w:r>
        <w:rPr>
          <w:spacing w:val="-15"/>
        </w:rPr>
        <w:t xml:space="preserve"> </w:t>
      </w:r>
      <w:r>
        <w:t>implementación</w:t>
      </w:r>
      <w:r>
        <w:rPr>
          <w:spacing w:val="-14"/>
        </w:rPr>
        <w:t xml:space="preserve"> </w:t>
      </w:r>
      <w:r>
        <w:t>del</w:t>
      </w:r>
      <w:r>
        <w:rPr>
          <w:spacing w:val="-15"/>
        </w:rPr>
        <w:t xml:space="preserve"> </w:t>
      </w:r>
      <w:r>
        <w:t>Estatuto</w:t>
      </w:r>
      <w:r>
        <w:rPr>
          <w:spacing w:val="-14"/>
        </w:rPr>
        <w:t xml:space="preserve"> </w:t>
      </w:r>
      <w:r>
        <w:t>de</w:t>
      </w:r>
      <w:r>
        <w:rPr>
          <w:spacing w:val="-15"/>
        </w:rPr>
        <w:t xml:space="preserve"> </w:t>
      </w:r>
      <w:r>
        <w:t>Seguridad</w:t>
      </w:r>
      <w:r>
        <w:rPr>
          <w:spacing w:val="-15"/>
        </w:rPr>
        <w:t xml:space="preserve"> </w:t>
      </w:r>
      <w:r>
        <w:t>del</w:t>
      </w:r>
      <w:r>
        <w:rPr>
          <w:spacing w:val="-14"/>
        </w:rPr>
        <w:t xml:space="preserve"> </w:t>
      </w:r>
      <w:r>
        <w:t>gobierno</w:t>
      </w:r>
      <w:r>
        <w:rPr>
          <w:spacing w:val="-15"/>
        </w:rPr>
        <w:t xml:space="preserve"> </w:t>
      </w:r>
      <w:r>
        <w:t>de</w:t>
      </w:r>
      <w:r>
        <w:rPr>
          <w:spacing w:val="-14"/>
        </w:rPr>
        <w:t xml:space="preserve"> </w:t>
      </w:r>
      <w:r>
        <w:t>Julio César Turbay Ayala (1978-1982), cuando la desaparición forzada empezó a llevarse a cabo como</w:t>
      </w:r>
      <w:r>
        <w:rPr>
          <w:spacing w:val="-8"/>
        </w:rPr>
        <w:t xml:space="preserve"> </w:t>
      </w:r>
      <w:r>
        <w:t>una</w:t>
      </w:r>
      <w:r>
        <w:rPr>
          <w:spacing w:val="-8"/>
        </w:rPr>
        <w:t xml:space="preserve"> </w:t>
      </w:r>
      <w:r>
        <w:t>práctica</w:t>
      </w:r>
      <w:r>
        <w:rPr>
          <w:spacing w:val="-8"/>
        </w:rPr>
        <w:t xml:space="preserve"> </w:t>
      </w:r>
      <w:r>
        <w:t>contrainsurgente</w:t>
      </w:r>
      <w:r>
        <w:rPr>
          <w:spacing w:val="-8"/>
        </w:rPr>
        <w:t xml:space="preserve"> </w:t>
      </w:r>
      <w:r>
        <w:t>por</w:t>
      </w:r>
      <w:r>
        <w:rPr>
          <w:spacing w:val="-8"/>
        </w:rPr>
        <w:t xml:space="preserve"> </w:t>
      </w:r>
      <w:r>
        <w:t>parte</w:t>
      </w:r>
      <w:r>
        <w:rPr>
          <w:spacing w:val="-8"/>
        </w:rPr>
        <w:t xml:space="preserve"> </w:t>
      </w:r>
      <w:r>
        <w:t>de</w:t>
      </w:r>
      <w:r>
        <w:rPr>
          <w:spacing w:val="-9"/>
        </w:rPr>
        <w:t xml:space="preserve"> </w:t>
      </w:r>
      <w:r>
        <w:t>miembros</w:t>
      </w:r>
      <w:r>
        <w:rPr>
          <w:spacing w:val="-8"/>
        </w:rPr>
        <w:t xml:space="preserve"> </w:t>
      </w:r>
      <w:r>
        <w:t>de</w:t>
      </w:r>
      <w:r>
        <w:rPr>
          <w:spacing w:val="-8"/>
        </w:rPr>
        <w:t xml:space="preserve"> </w:t>
      </w:r>
      <w:r>
        <w:t>la</w:t>
      </w:r>
      <w:r>
        <w:rPr>
          <w:spacing w:val="-8"/>
        </w:rPr>
        <w:t xml:space="preserve"> </w:t>
      </w:r>
      <w:r>
        <w:t>institucionalidad</w:t>
      </w:r>
      <w:r>
        <w:rPr>
          <w:spacing w:val="-8"/>
        </w:rPr>
        <w:t xml:space="preserve"> </w:t>
      </w:r>
      <w:r>
        <w:t>armada</w:t>
      </w:r>
      <w:r w:rsidR="0089687F">
        <w:rPr>
          <w:rStyle w:val="Refdenotaalpie"/>
        </w:rPr>
        <w:footnoteReference w:id="136"/>
      </w:r>
      <w:r>
        <w:t>. En</w:t>
      </w:r>
      <w:r>
        <w:rPr>
          <w:spacing w:val="-6"/>
        </w:rPr>
        <w:t xml:space="preserve"> </w:t>
      </w:r>
      <w:r>
        <w:t>los</w:t>
      </w:r>
      <w:r>
        <w:rPr>
          <w:spacing w:val="-7"/>
        </w:rPr>
        <w:t xml:space="preserve"> </w:t>
      </w:r>
      <w:r>
        <w:t>años</w:t>
      </w:r>
      <w:r>
        <w:rPr>
          <w:spacing w:val="-7"/>
        </w:rPr>
        <w:t xml:space="preserve"> </w:t>
      </w:r>
      <w:r>
        <w:t>noventa,</w:t>
      </w:r>
      <w:r>
        <w:rPr>
          <w:spacing w:val="-7"/>
        </w:rPr>
        <w:t xml:space="preserve"> </w:t>
      </w:r>
      <w:r>
        <w:t>los</w:t>
      </w:r>
      <w:r>
        <w:rPr>
          <w:spacing w:val="-7"/>
        </w:rPr>
        <w:t xml:space="preserve"> </w:t>
      </w:r>
      <w:r>
        <w:t>grupos</w:t>
      </w:r>
      <w:r>
        <w:rPr>
          <w:spacing w:val="-6"/>
        </w:rPr>
        <w:t xml:space="preserve"> </w:t>
      </w:r>
      <w:r>
        <w:t>paramilitares</w:t>
      </w:r>
      <w:r>
        <w:rPr>
          <w:spacing w:val="-7"/>
        </w:rPr>
        <w:t xml:space="preserve"> </w:t>
      </w:r>
      <w:r>
        <w:t>usaron</w:t>
      </w:r>
      <w:r>
        <w:rPr>
          <w:spacing w:val="-6"/>
        </w:rPr>
        <w:t xml:space="preserve"> </w:t>
      </w:r>
      <w:r>
        <w:t>esta</w:t>
      </w:r>
      <w:r>
        <w:rPr>
          <w:spacing w:val="-6"/>
        </w:rPr>
        <w:t xml:space="preserve"> </w:t>
      </w:r>
      <w:r>
        <w:t>práctica,</w:t>
      </w:r>
      <w:r>
        <w:rPr>
          <w:spacing w:val="-7"/>
        </w:rPr>
        <w:t xml:space="preserve"> </w:t>
      </w:r>
      <w:r>
        <w:t>y</w:t>
      </w:r>
      <w:r>
        <w:rPr>
          <w:spacing w:val="-6"/>
        </w:rPr>
        <w:t xml:space="preserve"> </w:t>
      </w:r>
      <w:r>
        <w:t>en</w:t>
      </w:r>
      <w:r>
        <w:rPr>
          <w:spacing w:val="-7"/>
        </w:rPr>
        <w:t xml:space="preserve"> </w:t>
      </w:r>
      <w:r>
        <w:t>la</w:t>
      </w:r>
      <w:r>
        <w:rPr>
          <w:spacing w:val="-7"/>
        </w:rPr>
        <w:t xml:space="preserve"> </w:t>
      </w:r>
      <w:r>
        <w:t>década</w:t>
      </w:r>
      <w:r>
        <w:rPr>
          <w:spacing w:val="-6"/>
        </w:rPr>
        <w:t xml:space="preserve"> </w:t>
      </w:r>
      <w:r>
        <w:t>de</w:t>
      </w:r>
      <w:r>
        <w:rPr>
          <w:spacing w:val="-6"/>
        </w:rPr>
        <w:t xml:space="preserve"> </w:t>
      </w:r>
      <w:r>
        <w:t>2000</w:t>
      </w:r>
      <w:r>
        <w:rPr>
          <w:spacing w:val="-6"/>
        </w:rPr>
        <w:t xml:space="preserve"> </w:t>
      </w:r>
      <w:r>
        <w:t>de forma</w:t>
      </w:r>
      <w:r>
        <w:rPr>
          <w:spacing w:val="-11"/>
        </w:rPr>
        <w:t xml:space="preserve"> </w:t>
      </w:r>
      <w:r>
        <w:t>a</w:t>
      </w:r>
      <w:r>
        <w:rPr>
          <w:spacing w:val="-11"/>
        </w:rPr>
        <w:t xml:space="preserve"> </w:t>
      </w:r>
      <w:r>
        <w:t>veces</w:t>
      </w:r>
      <w:r>
        <w:rPr>
          <w:spacing w:val="-11"/>
        </w:rPr>
        <w:t xml:space="preserve"> </w:t>
      </w:r>
      <w:r>
        <w:t>masiva.</w:t>
      </w:r>
      <w:r>
        <w:rPr>
          <w:spacing w:val="-11"/>
        </w:rPr>
        <w:t xml:space="preserve"> </w:t>
      </w:r>
      <w:r>
        <w:t>A</w:t>
      </w:r>
      <w:r>
        <w:rPr>
          <w:spacing w:val="-11"/>
        </w:rPr>
        <w:t xml:space="preserve"> </w:t>
      </w:r>
      <w:r>
        <w:t>partir</w:t>
      </w:r>
      <w:r>
        <w:rPr>
          <w:spacing w:val="-10"/>
        </w:rPr>
        <w:t xml:space="preserve"> </w:t>
      </w:r>
      <w:r>
        <w:t>de</w:t>
      </w:r>
      <w:r>
        <w:rPr>
          <w:spacing w:val="-11"/>
        </w:rPr>
        <w:t xml:space="preserve"> </w:t>
      </w:r>
      <w:r>
        <w:t>1995</w:t>
      </w:r>
      <w:r>
        <w:rPr>
          <w:spacing w:val="-11"/>
        </w:rPr>
        <w:t xml:space="preserve"> </w:t>
      </w:r>
      <w:r>
        <w:t>inicia</w:t>
      </w:r>
      <w:r>
        <w:rPr>
          <w:spacing w:val="-11"/>
        </w:rPr>
        <w:t xml:space="preserve"> </w:t>
      </w:r>
      <w:r>
        <w:t>un</w:t>
      </w:r>
      <w:r>
        <w:rPr>
          <w:spacing w:val="-11"/>
        </w:rPr>
        <w:t xml:space="preserve"> </w:t>
      </w:r>
      <w:r>
        <w:t>crecimiento</w:t>
      </w:r>
      <w:r>
        <w:rPr>
          <w:spacing w:val="-11"/>
        </w:rPr>
        <w:t xml:space="preserve"> </w:t>
      </w:r>
      <w:r>
        <w:t>sostenido</w:t>
      </w:r>
      <w:r>
        <w:rPr>
          <w:spacing w:val="-11"/>
        </w:rPr>
        <w:t xml:space="preserve"> </w:t>
      </w:r>
      <w:r>
        <w:t>hasta</w:t>
      </w:r>
      <w:r>
        <w:rPr>
          <w:spacing w:val="-11"/>
        </w:rPr>
        <w:t xml:space="preserve"> </w:t>
      </w:r>
      <w:r>
        <w:t>llegar</w:t>
      </w:r>
      <w:r>
        <w:rPr>
          <w:spacing w:val="-10"/>
        </w:rPr>
        <w:t xml:space="preserve"> </w:t>
      </w:r>
      <w:r>
        <w:t>a</w:t>
      </w:r>
      <w:r>
        <w:rPr>
          <w:spacing w:val="-11"/>
        </w:rPr>
        <w:t xml:space="preserve"> </w:t>
      </w:r>
      <w:r>
        <w:t>su</w:t>
      </w:r>
      <w:r>
        <w:rPr>
          <w:spacing w:val="-11"/>
        </w:rPr>
        <w:t xml:space="preserve"> </w:t>
      </w:r>
      <w:r>
        <w:t>nivel más alto en 2002, para luego descender hasta 2006 y tener un nuevo aumento en 2007.</w:t>
      </w:r>
    </w:p>
    <w:p w:rsidR="00D35EF8" w:rsidRDefault="00D35EF8" w:rsidP="00D35EF8">
      <w:pPr>
        <w:pStyle w:val="Descripcin"/>
        <w:keepNext/>
      </w:pPr>
      <w:bookmarkStart w:id="224" w:name="_bookmark155"/>
      <w:bookmarkStart w:id="225" w:name="_bookmark156"/>
      <w:bookmarkEnd w:id="224"/>
      <w:bookmarkEnd w:id="225"/>
      <w:r>
        <w:lastRenderedPageBreak/>
        <w:t xml:space="preserve">Gráfica </w:t>
      </w:r>
      <w:r w:rsidR="005F4072">
        <w:fldChar w:fldCharType="begin"/>
      </w:r>
      <w:r w:rsidR="005F4072">
        <w:instrText xml:space="preserve"> SEQ Gráfica \* ARABIC </w:instrText>
      </w:r>
      <w:r w:rsidR="005F4072">
        <w:fldChar w:fldCharType="separate"/>
      </w:r>
      <w:r w:rsidR="005F4072">
        <w:rPr>
          <w:noProof/>
        </w:rPr>
        <w:t>5</w:t>
      </w:r>
      <w:r w:rsidR="005F4072">
        <w:fldChar w:fldCharType="end"/>
      </w:r>
      <w:r w:rsidRPr="00432B47">
        <w:t>. Víctimas de desaparición forzada por año, según la integración final de datos (1985- 2016)</w:t>
      </w:r>
    </w:p>
    <w:p w:rsidR="0011361F" w:rsidRDefault="00AF18A5">
      <w:pPr>
        <w:pStyle w:val="Textoindependiente"/>
        <w:ind w:left="565"/>
        <w:rPr>
          <w:sz w:val="20"/>
        </w:rPr>
      </w:pPr>
      <w:r>
        <w:rPr>
          <w:noProof/>
          <w:sz w:val="20"/>
        </w:rPr>
        <w:drawing>
          <wp:inline distT="0" distB="0" distL="0" distR="0">
            <wp:extent cx="5157207" cy="2895600"/>
            <wp:effectExtent l="0" t="0" r="5715" b="0"/>
            <wp:docPr id="11" name="image6.jpeg"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3" cstate="print"/>
                    <a:stretch>
                      <a:fillRect/>
                    </a:stretch>
                  </pic:blipFill>
                  <pic:spPr>
                    <a:xfrm>
                      <a:off x="0" y="0"/>
                      <a:ext cx="5164928" cy="2899935"/>
                    </a:xfrm>
                    <a:prstGeom prst="rect">
                      <a:avLst/>
                    </a:prstGeom>
                  </pic:spPr>
                </pic:pic>
              </a:graphicData>
            </a:graphic>
          </wp:inline>
        </w:drawing>
      </w:r>
    </w:p>
    <w:p w:rsidR="0011361F" w:rsidRPr="009102CF" w:rsidRDefault="00AF18A5" w:rsidP="009102CF">
      <w:r w:rsidRPr="009102CF">
        <w:t>Fuente: Proyecto JEP-CEV-HRDAG.</w:t>
      </w:r>
    </w:p>
    <w:p w:rsidR="003804AC" w:rsidRDefault="00AF18A5" w:rsidP="00510627">
      <w:r>
        <w:t>Por una parte, fue usada como una forma de terror, por otra para ocultar los hechos que estaban siendo muy visibles y de conocimiento público en esa época. El silencio teje una niebla</w:t>
      </w:r>
      <w:r>
        <w:rPr>
          <w:spacing w:val="-10"/>
        </w:rPr>
        <w:t xml:space="preserve"> </w:t>
      </w:r>
      <w:r>
        <w:t>en</w:t>
      </w:r>
      <w:r>
        <w:rPr>
          <w:spacing w:val="-11"/>
        </w:rPr>
        <w:t xml:space="preserve"> </w:t>
      </w:r>
      <w:r>
        <w:t>los</w:t>
      </w:r>
      <w:r>
        <w:rPr>
          <w:spacing w:val="-11"/>
        </w:rPr>
        <w:t xml:space="preserve"> </w:t>
      </w:r>
      <w:r>
        <w:t>familiares</w:t>
      </w:r>
      <w:r>
        <w:rPr>
          <w:spacing w:val="-10"/>
        </w:rPr>
        <w:t xml:space="preserve"> </w:t>
      </w:r>
      <w:r>
        <w:t>y</w:t>
      </w:r>
      <w:r>
        <w:rPr>
          <w:spacing w:val="-11"/>
        </w:rPr>
        <w:t xml:space="preserve"> </w:t>
      </w:r>
      <w:r>
        <w:t>la</w:t>
      </w:r>
      <w:r>
        <w:rPr>
          <w:spacing w:val="-10"/>
        </w:rPr>
        <w:t xml:space="preserve"> </w:t>
      </w:r>
      <w:r>
        <w:t>búsqueda</w:t>
      </w:r>
      <w:r>
        <w:rPr>
          <w:spacing w:val="-11"/>
        </w:rPr>
        <w:t xml:space="preserve"> </w:t>
      </w:r>
      <w:r>
        <w:t>se</w:t>
      </w:r>
      <w:r>
        <w:rPr>
          <w:spacing w:val="-10"/>
        </w:rPr>
        <w:t xml:space="preserve"> </w:t>
      </w:r>
      <w:r>
        <w:t>convierte</w:t>
      </w:r>
      <w:r>
        <w:rPr>
          <w:spacing w:val="-11"/>
        </w:rPr>
        <w:t xml:space="preserve"> </w:t>
      </w:r>
      <w:r>
        <w:t>en</w:t>
      </w:r>
      <w:r>
        <w:rPr>
          <w:spacing w:val="-10"/>
        </w:rPr>
        <w:t xml:space="preserve"> </w:t>
      </w:r>
      <w:r>
        <w:t>una</w:t>
      </w:r>
      <w:r>
        <w:rPr>
          <w:spacing w:val="-10"/>
        </w:rPr>
        <w:t xml:space="preserve"> </w:t>
      </w:r>
      <w:r>
        <w:t>lucha</w:t>
      </w:r>
      <w:r>
        <w:rPr>
          <w:spacing w:val="-10"/>
        </w:rPr>
        <w:t xml:space="preserve"> </w:t>
      </w:r>
      <w:r>
        <w:t>y</w:t>
      </w:r>
      <w:r>
        <w:rPr>
          <w:spacing w:val="-10"/>
        </w:rPr>
        <w:t xml:space="preserve"> </w:t>
      </w:r>
      <w:r>
        <w:t>un</w:t>
      </w:r>
      <w:r>
        <w:rPr>
          <w:spacing w:val="-10"/>
        </w:rPr>
        <w:t xml:space="preserve"> </w:t>
      </w:r>
      <w:r>
        <w:t>sentido</w:t>
      </w:r>
      <w:r>
        <w:rPr>
          <w:spacing w:val="-10"/>
        </w:rPr>
        <w:t xml:space="preserve"> </w:t>
      </w:r>
      <w:r>
        <w:t>para</w:t>
      </w:r>
      <w:r>
        <w:rPr>
          <w:spacing w:val="-10"/>
        </w:rPr>
        <w:t xml:space="preserve"> </w:t>
      </w:r>
      <w:r>
        <w:t>poder</w:t>
      </w:r>
      <w:r>
        <w:rPr>
          <w:spacing w:val="-11"/>
        </w:rPr>
        <w:t xml:space="preserve"> </w:t>
      </w:r>
      <w:r>
        <w:t>saber qué</w:t>
      </w:r>
      <w:r>
        <w:rPr>
          <w:spacing w:val="-2"/>
        </w:rPr>
        <w:t xml:space="preserve"> </w:t>
      </w:r>
      <w:r>
        <w:t>pasó</w:t>
      </w:r>
      <w:r>
        <w:rPr>
          <w:spacing w:val="-3"/>
        </w:rPr>
        <w:t xml:space="preserve"> </w:t>
      </w:r>
      <w:r>
        <w:t>y</w:t>
      </w:r>
      <w:r>
        <w:rPr>
          <w:spacing w:val="-2"/>
        </w:rPr>
        <w:t xml:space="preserve"> </w:t>
      </w:r>
      <w:r>
        <w:t>asimilar</w:t>
      </w:r>
      <w:r>
        <w:rPr>
          <w:spacing w:val="-2"/>
        </w:rPr>
        <w:t xml:space="preserve"> </w:t>
      </w:r>
      <w:r>
        <w:t>la</w:t>
      </w:r>
      <w:r>
        <w:rPr>
          <w:spacing w:val="-2"/>
        </w:rPr>
        <w:t xml:space="preserve"> </w:t>
      </w:r>
      <w:r>
        <w:t>pérdida</w:t>
      </w:r>
      <w:r>
        <w:rPr>
          <w:spacing w:val="-3"/>
        </w:rPr>
        <w:t xml:space="preserve"> </w:t>
      </w:r>
      <w:r>
        <w:t>o</w:t>
      </w:r>
      <w:r>
        <w:rPr>
          <w:spacing w:val="-2"/>
        </w:rPr>
        <w:t xml:space="preserve"> </w:t>
      </w:r>
      <w:r>
        <w:t>buscar</w:t>
      </w:r>
      <w:r>
        <w:rPr>
          <w:spacing w:val="-3"/>
        </w:rPr>
        <w:t xml:space="preserve"> </w:t>
      </w:r>
      <w:r>
        <w:t>justicia.</w:t>
      </w:r>
      <w:r>
        <w:rPr>
          <w:spacing w:val="-2"/>
        </w:rPr>
        <w:t xml:space="preserve"> </w:t>
      </w:r>
      <w:r>
        <w:t>Las</w:t>
      </w:r>
      <w:r>
        <w:rPr>
          <w:spacing w:val="-2"/>
        </w:rPr>
        <w:t xml:space="preserve"> </w:t>
      </w:r>
      <w:r>
        <w:t>atrocidades,</w:t>
      </w:r>
      <w:r>
        <w:rPr>
          <w:spacing w:val="-2"/>
        </w:rPr>
        <w:t xml:space="preserve"> </w:t>
      </w:r>
      <w:r>
        <w:t>como</w:t>
      </w:r>
      <w:r>
        <w:rPr>
          <w:spacing w:val="-2"/>
        </w:rPr>
        <w:t xml:space="preserve"> </w:t>
      </w:r>
      <w:r>
        <w:t>realizar</w:t>
      </w:r>
      <w:r>
        <w:rPr>
          <w:spacing w:val="-3"/>
        </w:rPr>
        <w:t xml:space="preserve"> </w:t>
      </w:r>
      <w:r>
        <w:t>mutilaciones de</w:t>
      </w:r>
      <w:r>
        <w:rPr>
          <w:spacing w:val="-3"/>
        </w:rPr>
        <w:t xml:space="preserve"> </w:t>
      </w:r>
      <w:r>
        <w:t>cuerpos,</w:t>
      </w:r>
      <w:r>
        <w:rPr>
          <w:spacing w:val="-5"/>
        </w:rPr>
        <w:t xml:space="preserve"> </w:t>
      </w:r>
      <w:r>
        <w:t>tirar</w:t>
      </w:r>
      <w:r>
        <w:rPr>
          <w:spacing w:val="-4"/>
        </w:rPr>
        <w:t xml:space="preserve"> </w:t>
      </w:r>
      <w:r>
        <w:t>sus</w:t>
      </w:r>
      <w:r>
        <w:rPr>
          <w:spacing w:val="-4"/>
        </w:rPr>
        <w:t xml:space="preserve"> </w:t>
      </w:r>
      <w:r>
        <w:t>restos</w:t>
      </w:r>
      <w:r>
        <w:rPr>
          <w:spacing w:val="-4"/>
        </w:rPr>
        <w:t xml:space="preserve"> </w:t>
      </w:r>
      <w:r>
        <w:t>a</w:t>
      </w:r>
      <w:r>
        <w:rPr>
          <w:spacing w:val="-3"/>
        </w:rPr>
        <w:t xml:space="preserve"> </w:t>
      </w:r>
      <w:r>
        <w:t>ríos,</w:t>
      </w:r>
      <w:r>
        <w:rPr>
          <w:spacing w:val="-4"/>
        </w:rPr>
        <w:t xml:space="preserve"> </w:t>
      </w:r>
      <w:r>
        <w:t>o</w:t>
      </w:r>
      <w:r>
        <w:rPr>
          <w:spacing w:val="-4"/>
        </w:rPr>
        <w:t xml:space="preserve"> </w:t>
      </w:r>
      <w:r>
        <w:t>quemarlos</w:t>
      </w:r>
      <w:r>
        <w:rPr>
          <w:spacing w:val="-4"/>
        </w:rPr>
        <w:t xml:space="preserve"> </w:t>
      </w:r>
      <w:r>
        <w:t>en</w:t>
      </w:r>
      <w:r>
        <w:rPr>
          <w:spacing w:val="-4"/>
        </w:rPr>
        <w:t xml:space="preserve"> </w:t>
      </w:r>
      <w:r>
        <w:t>hornos</w:t>
      </w:r>
      <w:r>
        <w:rPr>
          <w:spacing w:val="-4"/>
        </w:rPr>
        <w:t xml:space="preserve"> </w:t>
      </w:r>
      <w:r>
        <w:t>crematorios</w:t>
      </w:r>
      <w:r>
        <w:rPr>
          <w:spacing w:val="-5"/>
        </w:rPr>
        <w:t xml:space="preserve"> </w:t>
      </w:r>
      <w:r>
        <w:t>en</w:t>
      </w:r>
      <w:r>
        <w:rPr>
          <w:spacing w:val="-4"/>
        </w:rPr>
        <w:t xml:space="preserve"> </w:t>
      </w:r>
      <w:r>
        <w:t>otros</w:t>
      </w:r>
      <w:r>
        <w:rPr>
          <w:spacing w:val="-4"/>
        </w:rPr>
        <w:t xml:space="preserve"> </w:t>
      </w:r>
      <w:r>
        <w:t>momentos</w:t>
      </w:r>
      <w:r>
        <w:rPr>
          <w:spacing w:val="-4"/>
        </w:rPr>
        <w:t xml:space="preserve"> </w:t>
      </w:r>
      <w:r>
        <w:t>del conflicto armado, muestran la extensión de la deshumanización y del horror a gran escala. Dichas prácticas eran parte de sus escuelas de formación de grupos paramilitares.</w:t>
      </w:r>
    </w:p>
    <w:p w:rsidR="003804AC" w:rsidRDefault="00AF18A5" w:rsidP="00046698">
      <w:r>
        <w:t xml:space="preserve">La investigación de los casos de personas desaparecidas está sometida a muchas dificultades, porque se incluye en registros poco sistemáticos, se hacen denuncias ante diferentes instituciones u organizaciones y por </w:t>
      </w:r>
      <w:r>
        <w:lastRenderedPageBreak/>
        <w:t xml:space="preserve">el </w:t>
      </w:r>
      <w:r>
        <w:rPr>
          <w:i/>
        </w:rPr>
        <w:t xml:space="preserve">modus operandi </w:t>
      </w:r>
      <w:r>
        <w:t>de las mismas. Por ejemplo, personas de las que se denunció el reclutamiento y no se supo más de ellas, o las épocas</w:t>
      </w:r>
      <w:r>
        <w:rPr>
          <w:spacing w:val="-12"/>
        </w:rPr>
        <w:t xml:space="preserve"> </w:t>
      </w:r>
      <w:r>
        <w:t>en</w:t>
      </w:r>
      <w:r>
        <w:rPr>
          <w:spacing w:val="-12"/>
        </w:rPr>
        <w:t xml:space="preserve"> </w:t>
      </w:r>
      <w:r>
        <w:t>que</w:t>
      </w:r>
      <w:r>
        <w:rPr>
          <w:spacing w:val="-12"/>
        </w:rPr>
        <w:t xml:space="preserve"> </w:t>
      </w:r>
      <w:r>
        <w:t>no</w:t>
      </w:r>
      <w:r>
        <w:rPr>
          <w:spacing w:val="-12"/>
        </w:rPr>
        <w:t xml:space="preserve"> </w:t>
      </w:r>
      <w:r>
        <w:t>se</w:t>
      </w:r>
      <w:r>
        <w:rPr>
          <w:spacing w:val="-12"/>
        </w:rPr>
        <w:t xml:space="preserve"> </w:t>
      </w:r>
      <w:r>
        <w:t>registraban</w:t>
      </w:r>
      <w:r>
        <w:rPr>
          <w:spacing w:val="-12"/>
        </w:rPr>
        <w:t xml:space="preserve"> </w:t>
      </w:r>
      <w:r>
        <w:t>como</w:t>
      </w:r>
      <w:r>
        <w:rPr>
          <w:spacing w:val="-13"/>
        </w:rPr>
        <w:t xml:space="preserve"> </w:t>
      </w:r>
      <w:r>
        <w:t>personas</w:t>
      </w:r>
      <w:r>
        <w:rPr>
          <w:spacing w:val="-12"/>
        </w:rPr>
        <w:t xml:space="preserve"> </w:t>
      </w:r>
      <w:r>
        <w:t>desaparecidas</w:t>
      </w:r>
      <w:r>
        <w:rPr>
          <w:spacing w:val="-13"/>
        </w:rPr>
        <w:t xml:space="preserve"> </w:t>
      </w:r>
      <w:r>
        <w:t>sino</w:t>
      </w:r>
      <w:r>
        <w:rPr>
          <w:spacing w:val="-12"/>
        </w:rPr>
        <w:t xml:space="preserve"> </w:t>
      </w:r>
      <w:r>
        <w:t>como</w:t>
      </w:r>
      <w:r>
        <w:rPr>
          <w:spacing w:val="-12"/>
        </w:rPr>
        <w:t xml:space="preserve"> </w:t>
      </w:r>
      <w:r>
        <w:t>secuestradas.</w:t>
      </w:r>
      <w:r>
        <w:rPr>
          <w:spacing w:val="-14"/>
        </w:rPr>
        <w:t xml:space="preserve"> </w:t>
      </w:r>
      <w:r>
        <w:t>Según la</w:t>
      </w:r>
      <w:r>
        <w:rPr>
          <w:spacing w:val="29"/>
        </w:rPr>
        <w:t xml:space="preserve"> </w:t>
      </w:r>
      <w:r>
        <w:t>integración</w:t>
      </w:r>
      <w:r>
        <w:rPr>
          <w:spacing w:val="31"/>
        </w:rPr>
        <w:t xml:space="preserve"> </w:t>
      </w:r>
      <w:r>
        <w:t>de</w:t>
      </w:r>
      <w:r>
        <w:rPr>
          <w:spacing w:val="32"/>
        </w:rPr>
        <w:t xml:space="preserve"> </w:t>
      </w:r>
      <w:r>
        <w:t>datos</w:t>
      </w:r>
      <w:r>
        <w:rPr>
          <w:spacing w:val="31"/>
        </w:rPr>
        <w:t xml:space="preserve"> </w:t>
      </w:r>
      <w:r>
        <w:t>realizada</w:t>
      </w:r>
      <w:r>
        <w:rPr>
          <w:spacing w:val="31"/>
        </w:rPr>
        <w:t xml:space="preserve"> </w:t>
      </w:r>
      <w:r>
        <w:t>por</w:t>
      </w:r>
      <w:r>
        <w:rPr>
          <w:spacing w:val="31"/>
        </w:rPr>
        <w:t xml:space="preserve"> </w:t>
      </w:r>
      <w:r>
        <w:t>el</w:t>
      </w:r>
      <w:r>
        <w:rPr>
          <w:spacing w:val="32"/>
        </w:rPr>
        <w:t xml:space="preserve"> </w:t>
      </w:r>
      <w:r>
        <w:t>Proyecto</w:t>
      </w:r>
      <w:r>
        <w:rPr>
          <w:spacing w:val="30"/>
        </w:rPr>
        <w:t xml:space="preserve"> </w:t>
      </w:r>
      <w:r>
        <w:t>CEV-JEP-HRDAG,</w:t>
      </w:r>
      <w:r>
        <w:rPr>
          <w:spacing w:val="32"/>
        </w:rPr>
        <w:t xml:space="preserve"> </w:t>
      </w:r>
      <w:r>
        <w:t>la</w:t>
      </w:r>
      <w:r>
        <w:rPr>
          <w:spacing w:val="33"/>
        </w:rPr>
        <w:t xml:space="preserve"> </w:t>
      </w:r>
      <w:r>
        <w:t>Comisión</w:t>
      </w:r>
      <w:r>
        <w:rPr>
          <w:spacing w:val="31"/>
        </w:rPr>
        <w:t xml:space="preserve"> </w:t>
      </w:r>
      <w:r>
        <w:rPr>
          <w:spacing w:val="-2"/>
        </w:rPr>
        <w:t>puede</w:t>
      </w:r>
      <w:r w:rsidR="00046698">
        <w:rPr>
          <w:spacing w:val="-2"/>
        </w:rPr>
        <w:t xml:space="preserve"> </w:t>
      </w:r>
      <w:r>
        <w:t>afirmar que, en Colombia hay, alrededor de 121.768 personas fueron desaparecidas forzadamente en el marco del conflicto armado, en el periodo entre 1985 y 2016</w:t>
      </w:r>
      <w:r w:rsidR="00046698">
        <w:rPr>
          <w:rStyle w:val="Refdenotaalpie"/>
        </w:rPr>
        <w:footnoteReference w:id="137"/>
      </w:r>
      <w:r>
        <w:t>.</w:t>
      </w:r>
    </w:p>
    <w:p w:rsidR="003804AC" w:rsidRDefault="00AF18A5" w:rsidP="00046698">
      <w:r>
        <w:t>El Centro Nacional de Memoria Histórica, en el año 2016, encontró que 15 subregiones del país registraron niveles críticos de desaparición forzada entre 1970 y 2015, presentando más de mil víctimas a lo largo del periodo. Muchas de estas regiones coinciden con los hallazgos hechos por la Comisión. Entre ellos se encuentra: Oriente antioqueño y Valle de Aburrá, Urabá, Alto Sinú y San Jorge, Bajo Cauca antioqueño y Suroeste antioqueño, Sur del Valle del Cauca, Andén Pacífico Sur, Piedemonte Llanero y Catatumbo</w:t>
      </w:r>
      <w:r w:rsidR="009A789A">
        <w:rPr>
          <w:rStyle w:val="Refdenotaalpie"/>
        </w:rPr>
        <w:footnoteReference w:id="138"/>
      </w:r>
      <w:r>
        <w:t>. Según los informes</w:t>
      </w:r>
      <w:r>
        <w:rPr>
          <w:spacing w:val="-9"/>
        </w:rPr>
        <w:t xml:space="preserve"> </w:t>
      </w:r>
      <w:r>
        <w:t>entregados</w:t>
      </w:r>
      <w:r>
        <w:rPr>
          <w:spacing w:val="-9"/>
        </w:rPr>
        <w:t xml:space="preserve"> </w:t>
      </w:r>
      <w:r>
        <w:t>a</w:t>
      </w:r>
      <w:r>
        <w:rPr>
          <w:spacing w:val="-8"/>
        </w:rPr>
        <w:t xml:space="preserve"> </w:t>
      </w:r>
      <w:r>
        <w:t>la</w:t>
      </w:r>
      <w:r>
        <w:rPr>
          <w:spacing w:val="-10"/>
        </w:rPr>
        <w:t xml:space="preserve"> </w:t>
      </w:r>
      <w:r>
        <w:t>Comisión,</w:t>
      </w:r>
      <w:r>
        <w:rPr>
          <w:spacing w:val="-9"/>
        </w:rPr>
        <w:t xml:space="preserve"> </w:t>
      </w:r>
      <w:r>
        <w:t>en</w:t>
      </w:r>
      <w:r>
        <w:rPr>
          <w:spacing w:val="-8"/>
        </w:rPr>
        <w:t xml:space="preserve"> </w:t>
      </w:r>
      <w:r>
        <w:t>estos</w:t>
      </w:r>
      <w:r>
        <w:rPr>
          <w:spacing w:val="-8"/>
        </w:rPr>
        <w:t xml:space="preserve"> </w:t>
      </w:r>
      <w:r>
        <w:t>departamentos</w:t>
      </w:r>
      <w:r>
        <w:rPr>
          <w:spacing w:val="-9"/>
        </w:rPr>
        <w:t xml:space="preserve"> </w:t>
      </w:r>
      <w:r>
        <w:t>es</w:t>
      </w:r>
      <w:r>
        <w:rPr>
          <w:spacing w:val="-9"/>
        </w:rPr>
        <w:t xml:space="preserve"> </w:t>
      </w:r>
      <w:r>
        <w:t>diciente</w:t>
      </w:r>
      <w:r>
        <w:rPr>
          <w:spacing w:val="-9"/>
        </w:rPr>
        <w:t xml:space="preserve"> </w:t>
      </w:r>
      <w:r>
        <w:t>el</w:t>
      </w:r>
      <w:r>
        <w:rPr>
          <w:spacing w:val="-8"/>
        </w:rPr>
        <w:t xml:space="preserve"> </w:t>
      </w:r>
      <w:r>
        <w:t>hallazgo</w:t>
      </w:r>
      <w:r>
        <w:rPr>
          <w:spacing w:val="-8"/>
        </w:rPr>
        <w:t xml:space="preserve"> </w:t>
      </w:r>
      <w:r>
        <w:t>de</w:t>
      </w:r>
      <w:r>
        <w:rPr>
          <w:spacing w:val="-9"/>
        </w:rPr>
        <w:t xml:space="preserve"> </w:t>
      </w:r>
      <w:r>
        <w:t>cientos de cuerpos de personas no identificadas en fosas comunes, así como de cementerios municipales con numerosos restos de personas sin identificar</w:t>
      </w:r>
      <w:r w:rsidR="000909CC">
        <w:rPr>
          <w:rStyle w:val="Refdenotaalpie"/>
        </w:rPr>
        <w:footnoteReference w:id="139"/>
      </w:r>
      <w:r>
        <w:t xml:space="preserve">. Las dificultades de los procesos de búsqueda, falta de </w:t>
      </w:r>
      <w:r>
        <w:lastRenderedPageBreak/>
        <w:t>coordinación de instituciones y fragmentación de las investigaciones conllevan una enorme dificultad de estos procesos, además de la falta de acceso</w:t>
      </w:r>
      <w:r>
        <w:rPr>
          <w:spacing w:val="-11"/>
        </w:rPr>
        <w:t xml:space="preserve"> </w:t>
      </w:r>
      <w:r>
        <w:t>a</w:t>
      </w:r>
      <w:r>
        <w:rPr>
          <w:spacing w:val="-10"/>
        </w:rPr>
        <w:t xml:space="preserve"> </w:t>
      </w:r>
      <w:r>
        <w:t>información</w:t>
      </w:r>
      <w:r>
        <w:rPr>
          <w:spacing w:val="-11"/>
        </w:rPr>
        <w:t xml:space="preserve"> </w:t>
      </w:r>
      <w:r>
        <w:t>considerada</w:t>
      </w:r>
      <w:r>
        <w:rPr>
          <w:spacing w:val="-10"/>
        </w:rPr>
        <w:t xml:space="preserve"> </w:t>
      </w:r>
      <w:r>
        <w:t>reservada</w:t>
      </w:r>
      <w:r>
        <w:rPr>
          <w:spacing w:val="-10"/>
        </w:rPr>
        <w:t xml:space="preserve"> </w:t>
      </w:r>
      <w:r>
        <w:t>por</w:t>
      </w:r>
      <w:r>
        <w:rPr>
          <w:spacing w:val="-10"/>
        </w:rPr>
        <w:t xml:space="preserve"> </w:t>
      </w:r>
      <w:r>
        <w:t>parte</w:t>
      </w:r>
      <w:r>
        <w:rPr>
          <w:spacing w:val="-10"/>
        </w:rPr>
        <w:t xml:space="preserve"> </w:t>
      </w:r>
      <w:r>
        <w:t>de</w:t>
      </w:r>
      <w:r>
        <w:rPr>
          <w:spacing w:val="-10"/>
        </w:rPr>
        <w:t xml:space="preserve"> </w:t>
      </w:r>
      <w:r>
        <w:t>cuerpos</w:t>
      </w:r>
      <w:r>
        <w:rPr>
          <w:spacing w:val="-10"/>
        </w:rPr>
        <w:t xml:space="preserve"> </w:t>
      </w:r>
      <w:r>
        <w:t>de</w:t>
      </w:r>
      <w:r>
        <w:rPr>
          <w:spacing w:val="-10"/>
        </w:rPr>
        <w:t xml:space="preserve"> </w:t>
      </w:r>
      <w:r>
        <w:t>seguridad</w:t>
      </w:r>
      <w:r>
        <w:rPr>
          <w:spacing w:val="-11"/>
        </w:rPr>
        <w:t xml:space="preserve"> </w:t>
      </w:r>
      <w:r>
        <w:t>y</w:t>
      </w:r>
      <w:r>
        <w:rPr>
          <w:spacing w:val="-11"/>
        </w:rPr>
        <w:t xml:space="preserve"> </w:t>
      </w:r>
      <w:r>
        <w:t>del</w:t>
      </w:r>
      <w:r>
        <w:rPr>
          <w:spacing w:val="-10"/>
        </w:rPr>
        <w:t xml:space="preserve"> </w:t>
      </w:r>
      <w:r>
        <w:t>Ejército. La</w:t>
      </w:r>
      <w:r>
        <w:rPr>
          <w:spacing w:val="-14"/>
        </w:rPr>
        <w:t xml:space="preserve"> </w:t>
      </w:r>
      <w:r>
        <w:t>Comisión</w:t>
      </w:r>
      <w:r>
        <w:rPr>
          <w:spacing w:val="-14"/>
        </w:rPr>
        <w:t xml:space="preserve"> </w:t>
      </w:r>
      <w:r>
        <w:t>conoció</w:t>
      </w:r>
      <w:r>
        <w:rPr>
          <w:spacing w:val="-14"/>
        </w:rPr>
        <w:t xml:space="preserve"> </w:t>
      </w:r>
      <w:r>
        <w:t>numerosos</w:t>
      </w:r>
      <w:r>
        <w:rPr>
          <w:spacing w:val="-15"/>
        </w:rPr>
        <w:t xml:space="preserve"> </w:t>
      </w:r>
      <w:r>
        <w:t>relatos</w:t>
      </w:r>
      <w:r>
        <w:rPr>
          <w:spacing w:val="-14"/>
        </w:rPr>
        <w:t xml:space="preserve"> </w:t>
      </w:r>
      <w:r>
        <w:t>de</w:t>
      </w:r>
      <w:r>
        <w:rPr>
          <w:spacing w:val="-14"/>
        </w:rPr>
        <w:t xml:space="preserve"> </w:t>
      </w:r>
      <w:r>
        <w:t>que</w:t>
      </w:r>
      <w:r>
        <w:rPr>
          <w:spacing w:val="-14"/>
        </w:rPr>
        <w:t xml:space="preserve"> </w:t>
      </w:r>
      <w:r>
        <w:t>cientos</w:t>
      </w:r>
      <w:r>
        <w:rPr>
          <w:spacing w:val="-14"/>
        </w:rPr>
        <w:t xml:space="preserve"> </w:t>
      </w:r>
      <w:r>
        <w:t>de</w:t>
      </w:r>
      <w:r>
        <w:rPr>
          <w:spacing w:val="-15"/>
        </w:rPr>
        <w:t xml:space="preserve"> </w:t>
      </w:r>
      <w:r>
        <w:t>personas</w:t>
      </w:r>
      <w:r>
        <w:rPr>
          <w:spacing w:val="-14"/>
        </w:rPr>
        <w:t xml:space="preserve"> </w:t>
      </w:r>
      <w:r>
        <w:t>desaparecidas</w:t>
      </w:r>
      <w:r>
        <w:rPr>
          <w:spacing w:val="-14"/>
        </w:rPr>
        <w:t xml:space="preserve"> </w:t>
      </w:r>
      <w:r>
        <w:t>que</w:t>
      </w:r>
      <w:r>
        <w:rPr>
          <w:spacing w:val="-15"/>
        </w:rPr>
        <w:t xml:space="preserve"> </w:t>
      </w:r>
      <w:r>
        <w:t>fueron arrojadas al Canal del Dique (Caribe).</w:t>
      </w:r>
    </w:p>
    <w:p w:rsidR="003804AC" w:rsidRDefault="00AF18A5" w:rsidP="000909CC">
      <w:r>
        <w:t>La desaparición forzada</w:t>
      </w:r>
      <w:r>
        <w:rPr>
          <w:spacing w:val="-2"/>
        </w:rPr>
        <w:t xml:space="preserve"> </w:t>
      </w:r>
      <w:r>
        <w:t>ha sido</w:t>
      </w:r>
      <w:r>
        <w:rPr>
          <w:spacing w:val="-1"/>
        </w:rPr>
        <w:t xml:space="preserve"> </w:t>
      </w:r>
      <w:r>
        <w:t>una</w:t>
      </w:r>
      <w:r>
        <w:rPr>
          <w:spacing w:val="-1"/>
        </w:rPr>
        <w:t xml:space="preserve"> </w:t>
      </w:r>
      <w:r>
        <w:t>práctica</w:t>
      </w:r>
      <w:r>
        <w:rPr>
          <w:spacing w:val="-1"/>
        </w:rPr>
        <w:t xml:space="preserve"> </w:t>
      </w:r>
      <w:r>
        <w:t>sistemática</w:t>
      </w:r>
      <w:r>
        <w:rPr>
          <w:spacing w:val="-1"/>
        </w:rPr>
        <w:t xml:space="preserve"> </w:t>
      </w:r>
      <w:r>
        <w:t>perpetrada por</w:t>
      </w:r>
      <w:r>
        <w:rPr>
          <w:spacing w:val="-1"/>
        </w:rPr>
        <w:t xml:space="preserve"> </w:t>
      </w:r>
      <w:r>
        <w:t>la fuerza pública y por los grupos paramilitares, como lo determinaron los tribunales de Justicia y Paz entre 1999</w:t>
      </w:r>
      <w:r>
        <w:rPr>
          <w:spacing w:val="79"/>
        </w:rPr>
        <w:t xml:space="preserve"> </w:t>
      </w:r>
      <w:r>
        <w:t>y</w:t>
      </w:r>
      <w:r>
        <w:rPr>
          <w:spacing w:val="50"/>
          <w:w w:val="150"/>
        </w:rPr>
        <w:t xml:space="preserve"> </w:t>
      </w:r>
      <w:r>
        <w:t>2006.</w:t>
      </w:r>
      <w:r>
        <w:rPr>
          <w:spacing w:val="79"/>
        </w:rPr>
        <w:t xml:space="preserve"> </w:t>
      </w:r>
      <w:r>
        <w:t>Las</w:t>
      </w:r>
      <w:r>
        <w:rPr>
          <w:spacing w:val="50"/>
          <w:w w:val="150"/>
        </w:rPr>
        <w:t xml:space="preserve"> </w:t>
      </w:r>
      <w:r>
        <w:t>guerrillas,</w:t>
      </w:r>
      <w:r>
        <w:rPr>
          <w:spacing w:val="79"/>
        </w:rPr>
        <w:t xml:space="preserve"> </w:t>
      </w:r>
      <w:r>
        <w:t>particularmente</w:t>
      </w:r>
      <w:r>
        <w:rPr>
          <w:spacing w:val="79"/>
        </w:rPr>
        <w:t xml:space="preserve"> </w:t>
      </w:r>
      <w:r>
        <w:t>las</w:t>
      </w:r>
      <w:r>
        <w:rPr>
          <w:spacing w:val="50"/>
          <w:w w:val="150"/>
        </w:rPr>
        <w:t xml:space="preserve"> </w:t>
      </w:r>
      <w:r>
        <w:t>FARC-EP</w:t>
      </w:r>
      <w:r>
        <w:rPr>
          <w:spacing w:val="79"/>
        </w:rPr>
        <w:t xml:space="preserve"> </w:t>
      </w:r>
      <w:r>
        <w:t>y</w:t>
      </w:r>
      <w:r>
        <w:rPr>
          <w:spacing w:val="50"/>
          <w:w w:val="150"/>
        </w:rPr>
        <w:t xml:space="preserve"> </w:t>
      </w:r>
      <w:r>
        <w:t>el</w:t>
      </w:r>
      <w:r>
        <w:rPr>
          <w:spacing w:val="50"/>
          <w:w w:val="150"/>
        </w:rPr>
        <w:t xml:space="preserve"> </w:t>
      </w:r>
      <w:r>
        <w:t>ELN,</w:t>
      </w:r>
      <w:r>
        <w:rPr>
          <w:spacing w:val="50"/>
          <w:w w:val="150"/>
        </w:rPr>
        <w:t xml:space="preserve"> </w:t>
      </w:r>
      <w:r>
        <w:t>también</w:t>
      </w:r>
      <w:r>
        <w:rPr>
          <w:spacing w:val="50"/>
          <w:w w:val="150"/>
        </w:rPr>
        <w:t xml:space="preserve"> </w:t>
      </w:r>
      <w:r>
        <w:rPr>
          <w:spacing w:val="-5"/>
        </w:rPr>
        <w:t>son</w:t>
      </w:r>
      <w:bookmarkStart w:id="226" w:name="_bookmark157"/>
      <w:bookmarkStart w:id="227" w:name="_bookmark158"/>
      <w:bookmarkStart w:id="228" w:name="_bookmark159"/>
      <w:bookmarkEnd w:id="226"/>
      <w:bookmarkEnd w:id="227"/>
      <w:bookmarkEnd w:id="228"/>
      <w:r w:rsidR="000909CC">
        <w:t xml:space="preserve"> </w:t>
      </w:r>
      <w:r>
        <w:t>responsables de la desaparición de personas reclutadas, secuestradas o asesinadas sobre las que no se ha proporcionado información de su destino o lugares de entierro, cuyas familias han demandado durante años que proporcionen información. Los momentos en que se tiene mayor registro de desapariciones forzadas se corresponden con los de ejecuciones extrajudiciales.</w:t>
      </w:r>
      <w:r>
        <w:rPr>
          <w:spacing w:val="-4"/>
        </w:rPr>
        <w:t xml:space="preserve"> </w:t>
      </w:r>
      <w:r>
        <w:t>Es</w:t>
      </w:r>
      <w:r>
        <w:rPr>
          <w:spacing w:val="-4"/>
        </w:rPr>
        <w:t xml:space="preserve"> </w:t>
      </w:r>
      <w:r>
        <w:t>decir,</w:t>
      </w:r>
      <w:r>
        <w:rPr>
          <w:spacing w:val="-5"/>
        </w:rPr>
        <w:t xml:space="preserve"> </w:t>
      </w:r>
      <w:r>
        <w:t>se</w:t>
      </w:r>
      <w:r>
        <w:rPr>
          <w:spacing w:val="-4"/>
        </w:rPr>
        <w:t xml:space="preserve"> </w:t>
      </w:r>
      <w:r>
        <w:t>dieron</w:t>
      </w:r>
      <w:r>
        <w:rPr>
          <w:spacing w:val="-4"/>
        </w:rPr>
        <w:t xml:space="preserve"> </w:t>
      </w:r>
      <w:r>
        <w:t>en</w:t>
      </w:r>
      <w:r>
        <w:rPr>
          <w:spacing w:val="-5"/>
        </w:rPr>
        <w:t xml:space="preserve"> </w:t>
      </w:r>
      <w:r>
        <w:t>los</w:t>
      </w:r>
      <w:r>
        <w:rPr>
          <w:spacing w:val="-4"/>
        </w:rPr>
        <w:t xml:space="preserve"> </w:t>
      </w:r>
      <w:r>
        <w:t>mismos</w:t>
      </w:r>
      <w:r>
        <w:rPr>
          <w:spacing w:val="-4"/>
        </w:rPr>
        <w:t xml:space="preserve"> </w:t>
      </w:r>
      <w:r>
        <w:t>tiempos</w:t>
      </w:r>
      <w:r>
        <w:rPr>
          <w:spacing w:val="-4"/>
        </w:rPr>
        <w:t xml:space="preserve"> </w:t>
      </w:r>
      <w:r>
        <w:t>y</w:t>
      </w:r>
      <w:r>
        <w:rPr>
          <w:spacing w:val="-4"/>
        </w:rPr>
        <w:t xml:space="preserve"> </w:t>
      </w:r>
      <w:r>
        <w:t>con</w:t>
      </w:r>
      <w:r>
        <w:rPr>
          <w:spacing w:val="-4"/>
        </w:rPr>
        <w:t xml:space="preserve"> </w:t>
      </w:r>
      <w:r>
        <w:t>tendencias</w:t>
      </w:r>
      <w:r>
        <w:rPr>
          <w:spacing w:val="-5"/>
        </w:rPr>
        <w:t xml:space="preserve"> </w:t>
      </w:r>
      <w:r>
        <w:t>similares.</w:t>
      </w:r>
      <w:r>
        <w:rPr>
          <w:spacing w:val="-4"/>
        </w:rPr>
        <w:t xml:space="preserve"> </w:t>
      </w:r>
      <w:r>
        <w:t>Según declaraciones de líderes paramilitares, en algunos momentos del conflicto recibieron indicaciones de que había que tratar de desaparecer a las personas, porque los cuerpos que podían verse en calles o caminos llamaban mucho la atención y era conveniente ocultarlos. Lo</w:t>
      </w:r>
      <w:r>
        <w:rPr>
          <w:spacing w:val="-15"/>
        </w:rPr>
        <w:t xml:space="preserve"> </w:t>
      </w:r>
      <w:r>
        <w:t>que</w:t>
      </w:r>
      <w:r>
        <w:rPr>
          <w:spacing w:val="-15"/>
        </w:rPr>
        <w:t xml:space="preserve"> </w:t>
      </w:r>
      <w:r>
        <w:t>muestra</w:t>
      </w:r>
      <w:r>
        <w:rPr>
          <w:spacing w:val="-15"/>
        </w:rPr>
        <w:t xml:space="preserve"> </w:t>
      </w:r>
      <w:r>
        <w:t>una</w:t>
      </w:r>
      <w:r>
        <w:rPr>
          <w:spacing w:val="-15"/>
        </w:rPr>
        <w:t xml:space="preserve"> </w:t>
      </w:r>
      <w:r>
        <w:t>práctica</w:t>
      </w:r>
      <w:r>
        <w:rPr>
          <w:spacing w:val="-15"/>
        </w:rPr>
        <w:t xml:space="preserve"> </w:t>
      </w:r>
      <w:r>
        <w:t>deliberada</w:t>
      </w:r>
      <w:r>
        <w:rPr>
          <w:spacing w:val="-15"/>
        </w:rPr>
        <w:t xml:space="preserve"> </w:t>
      </w:r>
      <w:r>
        <w:t>de</w:t>
      </w:r>
      <w:r>
        <w:rPr>
          <w:spacing w:val="-15"/>
        </w:rPr>
        <w:t xml:space="preserve"> </w:t>
      </w:r>
      <w:r>
        <w:t>ocultamiento</w:t>
      </w:r>
      <w:r>
        <w:rPr>
          <w:spacing w:val="-15"/>
        </w:rPr>
        <w:t xml:space="preserve"> </w:t>
      </w:r>
      <w:r>
        <w:t>de</w:t>
      </w:r>
      <w:r>
        <w:rPr>
          <w:spacing w:val="-15"/>
        </w:rPr>
        <w:t xml:space="preserve"> </w:t>
      </w:r>
      <w:r>
        <w:t>los</w:t>
      </w:r>
      <w:r>
        <w:rPr>
          <w:spacing w:val="-15"/>
        </w:rPr>
        <w:t xml:space="preserve"> </w:t>
      </w:r>
      <w:r>
        <w:t>hechos</w:t>
      </w:r>
      <w:r>
        <w:rPr>
          <w:spacing w:val="-15"/>
        </w:rPr>
        <w:t xml:space="preserve"> </w:t>
      </w:r>
      <w:r>
        <w:t>como</w:t>
      </w:r>
      <w:r>
        <w:rPr>
          <w:spacing w:val="-15"/>
        </w:rPr>
        <w:t xml:space="preserve"> </w:t>
      </w:r>
      <w:r>
        <w:t>parte</w:t>
      </w:r>
      <w:r>
        <w:rPr>
          <w:spacing w:val="-15"/>
        </w:rPr>
        <w:t xml:space="preserve"> </w:t>
      </w:r>
      <w:r>
        <w:t>de</w:t>
      </w:r>
      <w:r>
        <w:rPr>
          <w:spacing w:val="-15"/>
        </w:rPr>
        <w:t xml:space="preserve"> </w:t>
      </w:r>
      <w:r>
        <w:t>su</w:t>
      </w:r>
      <w:r>
        <w:rPr>
          <w:spacing w:val="-15"/>
        </w:rPr>
        <w:t xml:space="preserve"> </w:t>
      </w:r>
      <w:r>
        <w:t>modo de operación.</w:t>
      </w:r>
    </w:p>
    <w:p w:rsidR="003804AC" w:rsidRDefault="00AF18A5" w:rsidP="00EE3A0C">
      <w:r>
        <w:t>La</w:t>
      </w:r>
      <w:r>
        <w:rPr>
          <w:spacing w:val="-10"/>
        </w:rPr>
        <w:t xml:space="preserve"> </w:t>
      </w:r>
      <w:r>
        <w:t>configuración</w:t>
      </w:r>
      <w:r>
        <w:rPr>
          <w:spacing w:val="-11"/>
        </w:rPr>
        <w:t xml:space="preserve"> </w:t>
      </w:r>
      <w:r>
        <w:t>de</w:t>
      </w:r>
      <w:r>
        <w:rPr>
          <w:spacing w:val="-12"/>
        </w:rPr>
        <w:t xml:space="preserve"> </w:t>
      </w:r>
      <w:r>
        <w:t>los</w:t>
      </w:r>
      <w:r>
        <w:rPr>
          <w:spacing w:val="-12"/>
        </w:rPr>
        <w:t xml:space="preserve"> </w:t>
      </w:r>
      <w:r>
        <w:t>impactos</w:t>
      </w:r>
      <w:r>
        <w:rPr>
          <w:spacing w:val="-11"/>
        </w:rPr>
        <w:t xml:space="preserve"> </w:t>
      </w:r>
      <w:r>
        <w:t>de</w:t>
      </w:r>
      <w:r>
        <w:rPr>
          <w:spacing w:val="-12"/>
        </w:rPr>
        <w:t xml:space="preserve"> </w:t>
      </w:r>
      <w:r>
        <w:t>la</w:t>
      </w:r>
      <w:r>
        <w:rPr>
          <w:spacing w:val="-10"/>
        </w:rPr>
        <w:t xml:space="preserve"> </w:t>
      </w:r>
      <w:r>
        <w:t>desaparición</w:t>
      </w:r>
      <w:r>
        <w:rPr>
          <w:spacing w:val="-11"/>
        </w:rPr>
        <w:t xml:space="preserve"> </w:t>
      </w:r>
      <w:r>
        <w:t>forzada</w:t>
      </w:r>
      <w:r>
        <w:rPr>
          <w:spacing w:val="-10"/>
        </w:rPr>
        <w:t xml:space="preserve"> </w:t>
      </w:r>
      <w:r>
        <w:t>se</w:t>
      </w:r>
      <w:r>
        <w:rPr>
          <w:spacing w:val="-10"/>
        </w:rPr>
        <w:t xml:space="preserve"> </w:t>
      </w:r>
      <w:r>
        <w:t>comprende</w:t>
      </w:r>
      <w:r>
        <w:rPr>
          <w:spacing w:val="-12"/>
        </w:rPr>
        <w:t xml:space="preserve"> </w:t>
      </w:r>
      <w:r>
        <w:t>mejor</w:t>
      </w:r>
      <w:r>
        <w:rPr>
          <w:spacing w:val="-10"/>
        </w:rPr>
        <w:t xml:space="preserve"> </w:t>
      </w:r>
      <w:r>
        <w:t>por</w:t>
      </w:r>
      <w:r>
        <w:rPr>
          <w:spacing w:val="-11"/>
        </w:rPr>
        <w:t xml:space="preserve"> </w:t>
      </w:r>
      <w:r>
        <w:t>esta conexión con otras violaciones de derechos humanos. Los familiares de la persona desaparecida</w:t>
      </w:r>
      <w:r>
        <w:rPr>
          <w:spacing w:val="16"/>
        </w:rPr>
        <w:t xml:space="preserve"> </w:t>
      </w:r>
      <w:r>
        <w:t>no</w:t>
      </w:r>
      <w:r>
        <w:rPr>
          <w:spacing w:val="18"/>
        </w:rPr>
        <w:t xml:space="preserve"> </w:t>
      </w:r>
      <w:r>
        <w:t>solo</w:t>
      </w:r>
      <w:r>
        <w:rPr>
          <w:spacing w:val="18"/>
        </w:rPr>
        <w:t xml:space="preserve"> </w:t>
      </w:r>
      <w:r>
        <w:t>enfrentan</w:t>
      </w:r>
      <w:r>
        <w:rPr>
          <w:spacing w:val="18"/>
        </w:rPr>
        <w:t xml:space="preserve"> </w:t>
      </w:r>
      <w:r>
        <w:t>la</w:t>
      </w:r>
      <w:r>
        <w:rPr>
          <w:spacing w:val="18"/>
        </w:rPr>
        <w:t xml:space="preserve"> </w:t>
      </w:r>
      <w:r>
        <w:t>incertidumbre</w:t>
      </w:r>
      <w:r>
        <w:rPr>
          <w:spacing w:val="18"/>
        </w:rPr>
        <w:t xml:space="preserve"> </w:t>
      </w:r>
      <w:r>
        <w:t>sobre</w:t>
      </w:r>
      <w:r>
        <w:rPr>
          <w:spacing w:val="17"/>
        </w:rPr>
        <w:t xml:space="preserve"> </w:t>
      </w:r>
      <w:r>
        <w:t>el</w:t>
      </w:r>
      <w:r>
        <w:rPr>
          <w:spacing w:val="19"/>
        </w:rPr>
        <w:t xml:space="preserve"> </w:t>
      </w:r>
      <w:r>
        <w:t>paradero</w:t>
      </w:r>
      <w:r>
        <w:rPr>
          <w:spacing w:val="17"/>
        </w:rPr>
        <w:t xml:space="preserve"> </w:t>
      </w:r>
      <w:r>
        <w:t>de</w:t>
      </w:r>
      <w:r>
        <w:rPr>
          <w:spacing w:val="18"/>
        </w:rPr>
        <w:t xml:space="preserve"> </w:t>
      </w:r>
      <w:r>
        <w:t>sus</w:t>
      </w:r>
      <w:r>
        <w:rPr>
          <w:spacing w:val="19"/>
        </w:rPr>
        <w:t xml:space="preserve"> </w:t>
      </w:r>
      <w:r>
        <w:t>seres</w:t>
      </w:r>
      <w:r>
        <w:rPr>
          <w:spacing w:val="18"/>
        </w:rPr>
        <w:t xml:space="preserve"> </w:t>
      </w:r>
      <w:r>
        <w:t>queridos</w:t>
      </w:r>
      <w:r>
        <w:rPr>
          <w:spacing w:val="19"/>
        </w:rPr>
        <w:t xml:space="preserve"> </w:t>
      </w:r>
      <w:r>
        <w:rPr>
          <w:spacing w:val="-10"/>
        </w:rPr>
        <w:t>–</w:t>
      </w:r>
    </w:p>
    <w:p w:rsidR="003804AC" w:rsidRDefault="00AF18A5" w:rsidP="00EE3A0C">
      <w:r>
        <w:lastRenderedPageBreak/>
        <w:t>¿dónde</w:t>
      </w:r>
      <w:r>
        <w:rPr>
          <w:spacing w:val="-8"/>
        </w:rPr>
        <w:t xml:space="preserve"> </w:t>
      </w:r>
      <w:r>
        <w:t>están?–</w:t>
      </w:r>
      <w:r>
        <w:rPr>
          <w:spacing w:val="-8"/>
        </w:rPr>
        <w:t xml:space="preserve"> </w:t>
      </w:r>
      <w:r>
        <w:t>sino</w:t>
      </w:r>
      <w:r>
        <w:rPr>
          <w:spacing w:val="-8"/>
        </w:rPr>
        <w:t xml:space="preserve"> </w:t>
      </w:r>
      <w:r>
        <w:t>también</w:t>
      </w:r>
      <w:r>
        <w:rPr>
          <w:spacing w:val="-8"/>
        </w:rPr>
        <w:t xml:space="preserve"> </w:t>
      </w:r>
      <w:r>
        <w:t>sobre</w:t>
      </w:r>
      <w:r>
        <w:rPr>
          <w:spacing w:val="-8"/>
        </w:rPr>
        <w:t xml:space="preserve"> </w:t>
      </w:r>
      <w:r>
        <w:t>el</w:t>
      </w:r>
      <w:r>
        <w:rPr>
          <w:spacing w:val="-9"/>
        </w:rPr>
        <w:t xml:space="preserve"> </w:t>
      </w:r>
      <w:r>
        <w:t>estado</w:t>
      </w:r>
      <w:r>
        <w:rPr>
          <w:spacing w:val="-8"/>
        </w:rPr>
        <w:t xml:space="preserve"> </w:t>
      </w:r>
      <w:r>
        <w:t>en</w:t>
      </w:r>
      <w:r>
        <w:rPr>
          <w:spacing w:val="-8"/>
        </w:rPr>
        <w:t xml:space="preserve"> </w:t>
      </w:r>
      <w:r>
        <w:t>el</w:t>
      </w:r>
      <w:r>
        <w:rPr>
          <w:spacing w:val="-9"/>
        </w:rPr>
        <w:t xml:space="preserve"> </w:t>
      </w:r>
      <w:r>
        <w:t>que</w:t>
      </w:r>
      <w:r>
        <w:rPr>
          <w:spacing w:val="-8"/>
        </w:rPr>
        <w:t xml:space="preserve"> </w:t>
      </w:r>
      <w:r>
        <w:t>se</w:t>
      </w:r>
      <w:r>
        <w:rPr>
          <w:spacing w:val="-8"/>
        </w:rPr>
        <w:t xml:space="preserve"> </w:t>
      </w:r>
      <w:r>
        <w:t>encuentran</w:t>
      </w:r>
      <w:r>
        <w:rPr>
          <w:spacing w:val="-8"/>
        </w:rPr>
        <w:t xml:space="preserve"> </w:t>
      </w:r>
      <w:r>
        <w:t>o</w:t>
      </w:r>
      <w:r>
        <w:rPr>
          <w:spacing w:val="-8"/>
        </w:rPr>
        <w:t xml:space="preserve"> </w:t>
      </w:r>
      <w:r>
        <w:t>cuáles</w:t>
      </w:r>
      <w:r>
        <w:rPr>
          <w:spacing w:val="-8"/>
        </w:rPr>
        <w:t xml:space="preserve"> </w:t>
      </w:r>
      <w:r>
        <w:t>habrán</w:t>
      </w:r>
      <w:r>
        <w:rPr>
          <w:spacing w:val="-8"/>
        </w:rPr>
        <w:t xml:space="preserve"> </w:t>
      </w:r>
      <w:r>
        <w:t>sido</w:t>
      </w:r>
      <w:r>
        <w:rPr>
          <w:spacing w:val="-8"/>
        </w:rPr>
        <w:t xml:space="preserve"> </w:t>
      </w:r>
      <w:r>
        <w:t>sus sufrimientos.</w:t>
      </w:r>
      <w:r>
        <w:rPr>
          <w:spacing w:val="-5"/>
        </w:rPr>
        <w:t xml:space="preserve"> </w:t>
      </w:r>
      <w:r>
        <w:t>Estas</w:t>
      </w:r>
      <w:r>
        <w:rPr>
          <w:spacing w:val="-5"/>
        </w:rPr>
        <w:t xml:space="preserve"> </w:t>
      </w:r>
      <w:r>
        <w:t>consideraciones</w:t>
      </w:r>
      <w:r>
        <w:rPr>
          <w:spacing w:val="-5"/>
        </w:rPr>
        <w:t xml:space="preserve"> </w:t>
      </w:r>
      <w:r>
        <w:t>no</w:t>
      </w:r>
      <w:r>
        <w:rPr>
          <w:spacing w:val="-5"/>
        </w:rPr>
        <w:t xml:space="preserve"> </w:t>
      </w:r>
      <w:r>
        <w:t>solo</w:t>
      </w:r>
      <w:r>
        <w:rPr>
          <w:spacing w:val="-5"/>
        </w:rPr>
        <w:t xml:space="preserve"> </w:t>
      </w:r>
      <w:r>
        <w:t>son</w:t>
      </w:r>
      <w:r>
        <w:rPr>
          <w:spacing w:val="-5"/>
        </w:rPr>
        <w:t xml:space="preserve"> </w:t>
      </w:r>
      <w:r>
        <w:t>parte</w:t>
      </w:r>
      <w:r>
        <w:rPr>
          <w:spacing w:val="-5"/>
        </w:rPr>
        <w:t xml:space="preserve"> </w:t>
      </w:r>
      <w:r>
        <w:t>del</w:t>
      </w:r>
      <w:r>
        <w:rPr>
          <w:spacing w:val="-4"/>
        </w:rPr>
        <w:t xml:space="preserve"> </w:t>
      </w:r>
      <w:r>
        <w:t>relato</w:t>
      </w:r>
      <w:r>
        <w:rPr>
          <w:spacing w:val="-5"/>
        </w:rPr>
        <w:t xml:space="preserve"> </w:t>
      </w:r>
      <w:r>
        <w:t>de</w:t>
      </w:r>
      <w:r>
        <w:rPr>
          <w:spacing w:val="-5"/>
        </w:rPr>
        <w:t xml:space="preserve"> </w:t>
      </w:r>
      <w:r>
        <w:t>los</w:t>
      </w:r>
      <w:r>
        <w:rPr>
          <w:spacing w:val="-5"/>
        </w:rPr>
        <w:t xml:space="preserve"> </w:t>
      </w:r>
      <w:r>
        <w:t>hechos</w:t>
      </w:r>
      <w:r>
        <w:rPr>
          <w:spacing w:val="-5"/>
        </w:rPr>
        <w:t xml:space="preserve"> </w:t>
      </w:r>
      <w:r>
        <w:t>o</w:t>
      </w:r>
      <w:r>
        <w:rPr>
          <w:spacing w:val="-5"/>
        </w:rPr>
        <w:t xml:space="preserve"> </w:t>
      </w:r>
      <w:r>
        <w:t>las</w:t>
      </w:r>
      <w:r>
        <w:rPr>
          <w:spacing w:val="-5"/>
        </w:rPr>
        <w:t xml:space="preserve"> </w:t>
      </w:r>
      <w:r>
        <w:t xml:space="preserve">víctimas, la desaparición forzada incluye en general la tortura como parte del </w:t>
      </w:r>
      <w:r>
        <w:rPr>
          <w:i/>
        </w:rPr>
        <w:t xml:space="preserve">modus operandi </w:t>
      </w:r>
      <w:r>
        <w:t>de los autores,</w:t>
      </w:r>
      <w:r>
        <w:rPr>
          <w:spacing w:val="-5"/>
        </w:rPr>
        <w:t xml:space="preserve"> </w:t>
      </w:r>
      <w:r>
        <w:t>y</w:t>
      </w:r>
      <w:r>
        <w:rPr>
          <w:spacing w:val="-6"/>
        </w:rPr>
        <w:t xml:space="preserve"> </w:t>
      </w:r>
      <w:r>
        <w:t>supone</w:t>
      </w:r>
      <w:r>
        <w:rPr>
          <w:spacing w:val="-5"/>
        </w:rPr>
        <w:t xml:space="preserve"> </w:t>
      </w:r>
      <w:r>
        <w:t>también</w:t>
      </w:r>
      <w:r>
        <w:rPr>
          <w:spacing w:val="-5"/>
        </w:rPr>
        <w:t xml:space="preserve"> </w:t>
      </w:r>
      <w:r>
        <w:t>no</w:t>
      </w:r>
      <w:r>
        <w:rPr>
          <w:spacing w:val="-5"/>
        </w:rPr>
        <w:t xml:space="preserve"> </w:t>
      </w:r>
      <w:r>
        <w:t>solo</w:t>
      </w:r>
      <w:r>
        <w:rPr>
          <w:spacing w:val="-5"/>
        </w:rPr>
        <w:t xml:space="preserve"> </w:t>
      </w:r>
      <w:r>
        <w:t>una</w:t>
      </w:r>
      <w:r>
        <w:rPr>
          <w:spacing w:val="-5"/>
        </w:rPr>
        <w:t xml:space="preserve"> </w:t>
      </w:r>
      <w:r>
        <w:t>herida</w:t>
      </w:r>
      <w:r>
        <w:rPr>
          <w:spacing w:val="-5"/>
        </w:rPr>
        <w:t xml:space="preserve"> </w:t>
      </w:r>
      <w:r>
        <w:t>permanente,</w:t>
      </w:r>
      <w:r>
        <w:rPr>
          <w:spacing w:val="-5"/>
        </w:rPr>
        <w:t xml:space="preserve"> </w:t>
      </w:r>
      <w:r>
        <w:t>sino</w:t>
      </w:r>
      <w:r>
        <w:rPr>
          <w:spacing w:val="-5"/>
        </w:rPr>
        <w:t xml:space="preserve"> </w:t>
      </w:r>
      <w:r>
        <w:t>un</w:t>
      </w:r>
      <w:r>
        <w:rPr>
          <w:spacing w:val="-5"/>
        </w:rPr>
        <w:t xml:space="preserve"> </w:t>
      </w:r>
      <w:r>
        <w:t>delito</w:t>
      </w:r>
      <w:r>
        <w:rPr>
          <w:spacing w:val="-5"/>
        </w:rPr>
        <w:t xml:space="preserve"> </w:t>
      </w:r>
      <w:r>
        <w:t>continuo,</w:t>
      </w:r>
      <w:r>
        <w:rPr>
          <w:spacing w:val="-5"/>
        </w:rPr>
        <w:t xml:space="preserve"> </w:t>
      </w:r>
      <w:r>
        <w:t>que</w:t>
      </w:r>
      <w:r>
        <w:rPr>
          <w:spacing w:val="-6"/>
        </w:rPr>
        <w:t xml:space="preserve"> </w:t>
      </w:r>
      <w:r>
        <w:t>sigue perpetrándose</w:t>
      </w:r>
      <w:r>
        <w:rPr>
          <w:spacing w:val="-1"/>
        </w:rPr>
        <w:t xml:space="preserve"> </w:t>
      </w:r>
      <w:r>
        <w:t>mientras</w:t>
      </w:r>
      <w:r>
        <w:rPr>
          <w:spacing w:val="-2"/>
        </w:rPr>
        <w:t xml:space="preserve"> </w:t>
      </w:r>
      <w:r>
        <w:t>se</w:t>
      </w:r>
      <w:r>
        <w:rPr>
          <w:spacing w:val="-1"/>
        </w:rPr>
        <w:t xml:space="preserve"> </w:t>
      </w:r>
      <w:r>
        <w:t>desconoce</w:t>
      </w:r>
      <w:r>
        <w:rPr>
          <w:spacing w:val="-1"/>
        </w:rPr>
        <w:t xml:space="preserve"> </w:t>
      </w:r>
      <w:r>
        <w:t>o</w:t>
      </w:r>
      <w:r>
        <w:rPr>
          <w:spacing w:val="-1"/>
        </w:rPr>
        <w:t xml:space="preserve"> </w:t>
      </w:r>
      <w:r>
        <w:t>no</w:t>
      </w:r>
      <w:r>
        <w:rPr>
          <w:spacing w:val="-1"/>
        </w:rPr>
        <w:t xml:space="preserve"> </w:t>
      </w:r>
      <w:r>
        <w:t>se</w:t>
      </w:r>
      <w:r>
        <w:rPr>
          <w:spacing w:val="-1"/>
        </w:rPr>
        <w:t xml:space="preserve"> </w:t>
      </w:r>
      <w:r>
        <w:t>proporciona</w:t>
      </w:r>
      <w:r>
        <w:rPr>
          <w:spacing w:val="-2"/>
        </w:rPr>
        <w:t xml:space="preserve"> </w:t>
      </w:r>
      <w:r>
        <w:t>información</w:t>
      </w:r>
      <w:r>
        <w:rPr>
          <w:spacing w:val="-1"/>
        </w:rPr>
        <w:t xml:space="preserve"> </w:t>
      </w:r>
      <w:r>
        <w:t>de</w:t>
      </w:r>
      <w:r>
        <w:rPr>
          <w:spacing w:val="-2"/>
        </w:rPr>
        <w:t xml:space="preserve"> </w:t>
      </w:r>
      <w:r>
        <w:t xml:space="preserve">los </w:t>
      </w:r>
      <w:r>
        <w:rPr>
          <w:spacing w:val="-2"/>
        </w:rPr>
        <w:t>desaparecidos.</w:t>
      </w:r>
    </w:p>
    <w:p w:rsidR="003804AC" w:rsidRDefault="00AF18A5" w:rsidP="00EE3A0C">
      <w:r>
        <w:t>La enorme cantidad de casos, la extensión en el tiempo y las consecuencias en las vidas de los familiares, así como la permanente búsqueda, caracterizan a las familias afectadas y suponen</w:t>
      </w:r>
      <w:r>
        <w:rPr>
          <w:spacing w:val="-2"/>
        </w:rPr>
        <w:t xml:space="preserve"> </w:t>
      </w:r>
      <w:r>
        <w:t>para</w:t>
      </w:r>
      <w:r>
        <w:rPr>
          <w:spacing w:val="-2"/>
        </w:rPr>
        <w:t xml:space="preserve"> </w:t>
      </w:r>
      <w:r>
        <w:t>el</w:t>
      </w:r>
      <w:r>
        <w:rPr>
          <w:spacing w:val="-2"/>
        </w:rPr>
        <w:t xml:space="preserve"> </w:t>
      </w:r>
      <w:r>
        <w:t>país,</w:t>
      </w:r>
      <w:r>
        <w:rPr>
          <w:spacing w:val="-3"/>
        </w:rPr>
        <w:t xml:space="preserve"> </w:t>
      </w:r>
      <w:r>
        <w:t>también,</w:t>
      </w:r>
      <w:r>
        <w:rPr>
          <w:spacing w:val="-4"/>
        </w:rPr>
        <w:t xml:space="preserve"> </w:t>
      </w:r>
      <w:r>
        <w:t>la</w:t>
      </w:r>
      <w:r>
        <w:rPr>
          <w:spacing w:val="-2"/>
        </w:rPr>
        <w:t xml:space="preserve"> </w:t>
      </w:r>
      <w:r>
        <w:t>imposibilidad</w:t>
      </w:r>
      <w:r>
        <w:rPr>
          <w:spacing w:val="-4"/>
        </w:rPr>
        <w:t xml:space="preserve"> </w:t>
      </w:r>
      <w:r>
        <w:t>de</w:t>
      </w:r>
      <w:r>
        <w:rPr>
          <w:spacing w:val="-2"/>
        </w:rPr>
        <w:t xml:space="preserve"> </w:t>
      </w:r>
      <w:r>
        <w:t>cerrar</w:t>
      </w:r>
      <w:r>
        <w:rPr>
          <w:spacing w:val="-2"/>
        </w:rPr>
        <w:t xml:space="preserve"> </w:t>
      </w:r>
      <w:r>
        <w:t>estos</w:t>
      </w:r>
      <w:r>
        <w:rPr>
          <w:spacing w:val="-2"/>
        </w:rPr>
        <w:t xml:space="preserve"> </w:t>
      </w:r>
      <w:r>
        <w:t>casos</w:t>
      </w:r>
      <w:r>
        <w:rPr>
          <w:spacing w:val="-2"/>
        </w:rPr>
        <w:t xml:space="preserve"> </w:t>
      </w:r>
      <w:r>
        <w:t>o</w:t>
      </w:r>
      <w:r>
        <w:rPr>
          <w:spacing w:val="-2"/>
        </w:rPr>
        <w:t xml:space="preserve"> </w:t>
      </w:r>
      <w:r>
        <w:t>los</w:t>
      </w:r>
      <w:r>
        <w:rPr>
          <w:spacing w:val="-2"/>
        </w:rPr>
        <w:t xml:space="preserve"> </w:t>
      </w:r>
      <w:r>
        <w:t>tiempos</w:t>
      </w:r>
      <w:r>
        <w:rPr>
          <w:spacing w:val="-2"/>
        </w:rPr>
        <w:t xml:space="preserve"> </w:t>
      </w:r>
      <w:r>
        <w:t>en</w:t>
      </w:r>
      <w:r>
        <w:rPr>
          <w:spacing w:val="-4"/>
        </w:rPr>
        <w:t xml:space="preserve"> </w:t>
      </w:r>
      <w:r>
        <w:t>que</w:t>
      </w:r>
      <w:r>
        <w:rPr>
          <w:spacing w:val="-2"/>
        </w:rPr>
        <w:t xml:space="preserve"> </w:t>
      </w:r>
      <w:r>
        <w:t>se pueden</w:t>
      </w:r>
      <w:r>
        <w:rPr>
          <w:spacing w:val="-15"/>
        </w:rPr>
        <w:t xml:space="preserve"> </w:t>
      </w:r>
      <w:r>
        <w:t>llevar</w:t>
      </w:r>
      <w:r>
        <w:rPr>
          <w:spacing w:val="-15"/>
        </w:rPr>
        <w:t xml:space="preserve"> </w:t>
      </w:r>
      <w:r>
        <w:t>a</w:t>
      </w:r>
      <w:r>
        <w:rPr>
          <w:spacing w:val="-15"/>
        </w:rPr>
        <w:t xml:space="preserve"> </w:t>
      </w:r>
      <w:r>
        <w:t>cabo</w:t>
      </w:r>
      <w:r>
        <w:rPr>
          <w:spacing w:val="-15"/>
        </w:rPr>
        <w:t xml:space="preserve"> </w:t>
      </w:r>
      <w:r>
        <w:t>las</w:t>
      </w:r>
      <w:r>
        <w:rPr>
          <w:spacing w:val="-15"/>
        </w:rPr>
        <w:t xml:space="preserve"> </w:t>
      </w:r>
      <w:r>
        <w:t>búsquedas.</w:t>
      </w:r>
      <w:r>
        <w:rPr>
          <w:spacing w:val="-15"/>
        </w:rPr>
        <w:t xml:space="preserve"> </w:t>
      </w:r>
      <w:r>
        <w:t>Si</w:t>
      </w:r>
      <w:r>
        <w:rPr>
          <w:spacing w:val="-15"/>
        </w:rPr>
        <w:t xml:space="preserve"> </w:t>
      </w:r>
      <w:r>
        <w:t>bien</w:t>
      </w:r>
      <w:r>
        <w:rPr>
          <w:spacing w:val="-15"/>
        </w:rPr>
        <w:t xml:space="preserve"> </w:t>
      </w:r>
      <w:r>
        <w:t>la</w:t>
      </w:r>
      <w:r>
        <w:rPr>
          <w:spacing w:val="-15"/>
        </w:rPr>
        <w:t xml:space="preserve"> </w:t>
      </w:r>
      <w:r>
        <w:t>creación</w:t>
      </w:r>
      <w:r>
        <w:rPr>
          <w:spacing w:val="-15"/>
        </w:rPr>
        <w:t xml:space="preserve"> </w:t>
      </w:r>
      <w:r>
        <w:t>de</w:t>
      </w:r>
      <w:r>
        <w:rPr>
          <w:spacing w:val="-15"/>
        </w:rPr>
        <w:t xml:space="preserve"> </w:t>
      </w:r>
      <w:r>
        <w:t>la</w:t>
      </w:r>
      <w:r>
        <w:rPr>
          <w:spacing w:val="-15"/>
        </w:rPr>
        <w:t xml:space="preserve"> </w:t>
      </w:r>
      <w:r>
        <w:t>Unidad</w:t>
      </w:r>
      <w:r>
        <w:rPr>
          <w:spacing w:val="-15"/>
        </w:rPr>
        <w:t xml:space="preserve"> </w:t>
      </w:r>
      <w:r>
        <w:t>de</w:t>
      </w:r>
      <w:r>
        <w:rPr>
          <w:spacing w:val="-15"/>
        </w:rPr>
        <w:t xml:space="preserve"> </w:t>
      </w:r>
      <w:r>
        <w:t>Búsqueda</w:t>
      </w:r>
      <w:r>
        <w:rPr>
          <w:spacing w:val="-15"/>
        </w:rPr>
        <w:t xml:space="preserve"> </w:t>
      </w:r>
      <w:r>
        <w:t>de</w:t>
      </w:r>
      <w:r>
        <w:rPr>
          <w:spacing w:val="-15"/>
        </w:rPr>
        <w:t xml:space="preserve"> </w:t>
      </w:r>
      <w:r>
        <w:t>Personas dadas por Desaparecidas (UBPD) ha supuesto un mecanismo clave para aglutinar estos esfuerzos,</w:t>
      </w:r>
      <w:r>
        <w:rPr>
          <w:spacing w:val="-11"/>
        </w:rPr>
        <w:t xml:space="preserve"> </w:t>
      </w:r>
      <w:r>
        <w:t>se</w:t>
      </w:r>
      <w:r>
        <w:rPr>
          <w:spacing w:val="-12"/>
        </w:rPr>
        <w:t xml:space="preserve"> </w:t>
      </w:r>
      <w:r>
        <w:t>necesita</w:t>
      </w:r>
      <w:r>
        <w:rPr>
          <w:spacing w:val="-11"/>
        </w:rPr>
        <w:t xml:space="preserve"> </w:t>
      </w:r>
      <w:r>
        <w:t>superar</w:t>
      </w:r>
      <w:r>
        <w:rPr>
          <w:spacing w:val="-12"/>
        </w:rPr>
        <w:t xml:space="preserve"> </w:t>
      </w:r>
      <w:r>
        <w:t>la</w:t>
      </w:r>
      <w:r>
        <w:rPr>
          <w:spacing w:val="-12"/>
        </w:rPr>
        <w:t xml:space="preserve"> </w:t>
      </w:r>
      <w:r>
        <w:t>fragmentación</w:t>
      </w:r>
      <w:r>
        <w:rPr>
          <w:spacing w:val="-11"/>
        </w:rPr>
        <w:t xml:space="preserve"> </w:t>
      </w:r>
      <w:r>
        <w:t>y</w:t>
      </w:r>
      <w:r>
        <w:rPr>
          <w:spacing w:val="-11"/>
        </w:rPr>
        <w:t xml:space="preserve"> </w:t>
      </w:r>
      <w:r>
        <w:t>la</w:t>
      </w:r>
      <w:r>
        <w:rPr>
          <w:spacing w:val="-12"/>
        </w:rPr>
        <w:t xml:space="preserve"> </w:t>
      </w:r>
      <w:r>
        <w:t>falta</w:t>
      </w:r>
      <w:r>
        <w:rPr>
          <w:spacing w:val="-11"/>
        </w:rPr>
        <w:t xml:space="preserve"> </w:t>
      </w:r>
      <w:r>
        <w:t>de</w:t>
      </w:r>
      <w:r>
        <w:rPr>
          <w:spacing w:val="-12"/>
        </w:rPr>
        <w:t xml:space="preserve"> </w:t>
      </w:r>
      <w:r>
        <w:t>coordinación</w:t>
      </w:r>
      <w:r>
        <w:rPr>
          <w:spacing w:val="-11"/>
        </w:rPr>
        <w:t xml:space="preserve"> </w:t>
      </w:r>
      <w:r>
        <w:t>de</w:t>
      </w:r>
      <w:r>
        <w:rPr>
          <w:spacing w:val="-12"/>
        </w:rPr>
        <w:t xml:space="preserve"> </w:t>
      </w:r>
      <w:r>
        <w:t>las</w:t>
      </w:r>
      <w:r>
        <w:rPr>
          <w:spacing w:val="-12"/>
        </w:rPr>
        <w:t xml:space="preserve"> </w:t>
      </w:r>
      <w:r>
        <w:t>instituciones, en</w:t>
      </w:r>
      <w:r>
        <w:rPr>
          <w:spacing w:val="-6"/>
        </w:rPr>
        <w:t xml:space="preserve"> </w:t>
      </w:r>
      <w:r>
        <w:t>un</w:t>
      </w:r>
      <w:r>
        <w:rPr>
          <w:spacing w:val="-6"/>
        </w:rPr>
        <w:t xml:space="preserve"> </w:t>
      </w:r>
      <w:r>
        <w:t>tiempo</w:t>
      </w:r>
      <w:r>
        <w:rPr>
          <w:spacing w:val="-6"/>
        </w:rPr>
        <w:t xml:space="preserve"> </w:t>
      </w:r>
      <w:r>
        <w:t>que</w:t>
      </w:r>
      <w:r>
        <w:rPr>
          <w:spacing w:val="-6"/>
        </w:rPr>
        <w:t xml:space="preserve"> </w:t>
      </w:r>
      <w:r>
        <w:t>sigue</w:t>
      </w:r>
      <w:r>
        <w:rPr>
          <w:spacing w:val="-7"/>
        </w:rPr>
        <w:t xml:space="preserve"> </w:t>
      </w:r>
      <w:r>
        <w:t>pasando</w:t>
      </w:r>
      <w:r>
        <w:rPr>
          <w:spacing w:val="-6"/>
        </w:rPr>
        <w:t xml:space="preserve"> </w:t>
      </w:r>
      <w:r>
        <w:t>y</w:t>
      </w:r>
      <w:r>
        <w:rPr>
          <w:spacing w:val="-6"/>
        </w:rPr>
        <w:t xml:space="preserve"> </w:t>
      </w:r>
      <w:r>
        <w:t>en</w:t>
      </w:r>
      <w:r>
        <w:rPr>
          <w:spacing w:val="-6"/>
        </w:rPr>
        <w:t xml:space="preserve"> </w:t>
      </w:r>
      <w:r>
        <w:t>el</w:t>
      </w:r>
      <w:r>
        <w:rPr>
          <w:spacing w:val="-6"/>
        </w:rPr>
        <w:t xml:space="preserve"> </w:t>
      </w:r>
      <w:r>
        <w:t>que</w:t>
      </w:r>
      <w:r>
        <w:rPr>
          <w:spacing w:val="-6"/>
        </w:rPr>
        <w:t xml:space="preserve"> </w:t>
      </w:r>
      <w:r>
        <w:t>las</w:t>
      </w:r>
      <w:r>
        <w:rPr>
          <w:spacing w:val="-6"/>
        </w:rPr>
        <w:t xml:space="preserve"> </w:t>
      </w:r>
      <w:r>
        <w:t>dificultades</w:t>
      </w:r>
      <w:r>
        <w:rPr>
          <w:spacing w:val="-7"/>
        </w:rPr>
        <w:t xml:space="preserve"> </w:t>
      </w:r>
      <w:r>
        <w:t>de</w:t>
      </w:r>
      <w:r>
        <w:rPr>
          <w:spacing w:val="-6"/>
        </w:rPr>
        <w:t xml:space="preserve"> </w:t>
      </w:r>
      <w:r>
        <w:t>los</w:t>
      </w:r>
      <w:r>
        <w:rPr>
          <w:spacing w:val="-6"/>
        </w:rPr>
        <w:t xml:space="preserve"> </w:t>
      </w:r>
      <w:r>
        <w:t>procesos</w:t>
      </w:r>
      <w:r>
        <w:rPr>
          <w:spacing w:val="-6"/>
        </w:rPr>
        <w:t xml:space="preserve"> </w:t>
      </w:r>
      <w:r>
        <w:t>de</w:t>
      </w:r>
      <w:r>
        <w:rPr>
          <w:spacing w:val="-6"/>
        </w:rPr>
        <w:t xml:space="preserve"> </w:t>
      </w:r>
      <w:r>
        <w:t>búsqueda</w:t>
      </w:r>
      <w:r>
        <w:rPr>
          <w:spacing w:val="-6"/>
        </w:rPr>
        <w:t xml:space="preserve"> </w:t>
      </w:r>
      <w:r>
        <w:t>irán en aumento. La situación es preocupante para la Comisión, que considera que se necesitan estrategias</w:t>
      </w:r>
      <w:r>
        <w:rPr>
          <w:spacing w:val="25"/>
        </w:rPr>
        <w:t xml:space="preserve"> </w:t>
      </w:r>
      <w:r>
        <w:t>de</w:t>
      </w:r>
      <w:r>
        <w:rPr>
          <w:spacing w:val="28"/>
        </w:rPr>
        <w:t xml:space="preserve"> </w:t>
      </w:r>
      <w:r>
        <w:t>alto</w:t>
      </w:r>
      <w:r>
        <w:rPr>
          <w:spacing w:val="27"/>
        </w:rPr>
        <w:t xml:space="preserve"> </w:t>
      </w:r>
      <w:r>
        <w:t>impacto</w:t>
      </w:r>
      <w:r>
        <w:rPr>
          <w:spacing w:val="27"/>
        </w:rPr>
        <w:t xml:space="preserve"> </w:t>
      </w:r>
      <w:r>
        <w:t>que</w:t>
      </w:r>
      <w:r>
        <w:rPr>
          <w:spacing w:val="28"/>
        </w:rPr>
        <w:t xml:space="preserve"> </w:t>
      </w:r>
      <w:r>
        <w:t>incluyan</w:t>
      </w:r>
      <w:r>
        <w:rPr>
          <w:spacing w:val="27"/>
        </w:rPr>
        <w:t xml:space="preserve"> </w:t>
      </w:r>
      <w:r>
        <w:t>el</w:t>
      </w:r>
      <w:r>
        <w:rPr>
          <w:spacing w:val="28"/>
        </w:rPr>
        <w:t xml:space="preserve"> </w:t>
      </w:r>
      <w:r>
        <w:t>cotejo</w:t>
      </w:r>
      <w:r>
        <w:rPr>
          <w:spacing w:val="26"/>
        </w:rPr>
        <w:t xml:space="preserve"> </w:t>
      </w:r>
      <w:r>
        <w:t>de</w:t>
      </w:r>
      <w:r>
        <w:rPr>
          <w:spacing w:val="28"/>
        </w:rPr>
        <w:t xml:space="preserve"> </w:t>
      </w:r>
      <w:r>
        <w:t>los</w:t>
      </w:r>
      <w:r>
        <w:rPr>
          <w:spacing w:val="27"/>
        </w:rPr>
        <w:t xml:space="preserve"> </w:t>
      </w:r>
      <w:r>
        <w:t>restos</w:t>
      </w:r>
      <w:r>
        <w:rPr>
          <w:spacing w:val="27"/>
        </w:rPr>
        <w:t xml:space="preserve"> </w:t>
      </w:r>
      <w:r>
        <w:t>ya</w:t>
      </w:r>
      <w:r>
        <w:rPr>
          <w:spacing w:val="28"/>
        </w:rPr>
        <w:t xml:space="preserve"> </w:t>
      </w:r>
      <w:r>
        <w:t>existentes</w:t>
      </w:r>
      <w:r>
        <w:rPr>
          <w:spacing w:val="27"/>
        </w:rPr>
        <w:t xml:space="preserve"> </w:t>
      </w:r>
      <w:r>
        <w:t>de</w:t>
      </w:r>
      <w:r>
        <w:rPr>
          <w:spacing w:val="28"/>
        </w:rPr>
        <w:t xml:space="preserve"> </w:t>
      </w:r>
      <w:r>
        <w:t>cerca</w:t>
      </w:r>
      <w:r>
        <w:rPr>
          <w:spacing w:val="28"/>
        </w:rPr>
        <w:t xml:space="preserve"> </w:t>
      </w:r>
      <w:r>
        <w:rPr>
          <w:spacing w:val="-5"/>
        </w:rPr>
        <w:t>de</w:t>
      </w:r>
      <w:r w:rsidR="00EE3A0C">
        <w:t xml:space="preserve"> </w:t>
      </w:r>
      <w:r>
        <w:t>25.000 personas, el censo de los lugares, la coordinación por medio de la UBPD y la colaboración de las instituciones para llevar a cabo dichas acciones.</w:t>
      </w:r>
    </w:p>
    <w:p w:rsidR="003804AC" w:rsidRDefault="00AF18A5" w:rsidP="00EE3A0C">
      <w:r>
        <w:t>Si bien existe una alta incertidumbre sobre la autoría (54</w:t>
      </w:r>
      <w:r>
        <w:rPr>
          <w:spacing w:val="-4"/>
        </w:rPr>
        <w:t xml:space="preserve"> </w:t>
      </w:r>
      <w:r>
        <w:t>% desconocido), a partir de los datos existentes el principal responsable son los grupos paramilitares, con 63.029 víctimas (el</w:t>
      </w:r>
      <w:r>
        <w:rPr>
          <w:spacing w:val="-7"/>
        </w:rPr>
        <w:t xml:space="preserve"> </w:t>
      </w:r>
      <w:r>
        <w:t>52</w:t>
      </w:r>
      <w:r>
        <w:rPr>
          <w:spacing w:val="-5"/>
        </w:rPr>
        <w:t xml:space="preserve"> </w:t>
      </w:r>
      <w:r>
        <w:t>%).</w:t>
      </w:r>
      <w:r>
        <w:rPr>
          <w:spacing w:val="-8"/>
        </w:rPr>
        <w:t xml:space="preserve"> </w:t>
      </w:r>
      <w:r>
        <w:t>Seguidos</w:t>
      </w:r>
      <w:r>
        <w:rPr>
          <w:spacing w:val="-7"/>
        </w:rPr>
        <w:t xml:space="preserve"> </w:t>
      </w:r>
      <w:r>
        <w:t>de</w:t>
      </w:r>
      <w:r>
        <w:rPr>
          <w:spacing w:val="-8"/>
        </w:rPr>
        <w:t xml:space="preserve"> </w:t>
      </w:r>
      <w:r>
        <w:t>las</w:t>
      </w:r>
      <w:r>
        <w:rPr>
          <w:spacing w:val="-7"/>
        </w:rPr>
        <w:t xml:space="preserve"> </w:t>
      </w:r>
      <w:r>
        <w:t>FARC-EP</w:t>
      </w:r>
      <w:r>
        <w:rPr>
          <w:spacing w:val="-7"/>
        </w:rPr>
        <w:t xml:space="preserve"> </w:t>
      </w:r>
      <w:r>
        <w:t>con</w:t>
      </w:r>
      <w:r>
        <w:rPr>
          <w:spacing w:val="-7"/>
        </w:rPr>
        <w:t xml:space="preserve"> </w:t>
      </w:r>
      <w:r>
        <w:t>29.410</w:t>
      </w:r>
      <w:r>
        <w:rPr>
          <w:spacing w:val="-7"/>
        </w:rPr>
        <w:t xml:space="preserve"> </w:t>
      </w:r>
      <w:r>
        <w:t>víctimas</w:t>
      </w:r>
      <w:r>
        <w:rPr>
          <w:spacing w:val="-7"/>
        </w:rPr>
        <w:t xml:space="preserve"> </w:t>
      </w:r>
      <w:r>
        <w:t>desaparecidas</w:t>
      </w:r>
      <w:r>
        <w:rPr>
          <w:spacing w:val="-8"/>
        </w:rPr>
        <w:t xml:space="preserve"> </w:t>
      </w:r>
      <w:r>
        <w:t>(el</w:t>
      </w:r>
      <w:r>
        <w:rPr>
          <w:spacing w:val="-8"/>
        </w:rPr>
        <w:t xml:space="preserve"> </w:t>
      </w:r>
      <w:r>
        <w:t>24</w:t>
      </w:r>
      <w:r>
        <w:rPr>
          <w:spacing w:val="-3"/>
        </w:rPr>
        <w:t xml:space="preserve"> </w:t>
      </w:r>
      <w:r>
        <w:t>%).</w:t>
      </w:r>
      <w:r>
        <w:rPr>
          <w:spacing w:val="-7"/>
        </w:rPr>
        <w:t xml:space="preserve"> </w:t>
      </w:r>
      <w:r>
        <w:t>En</w:t>
      </w:r>
      <w:r>
        <w:rPr>
          <w:spacing w:val="-7"/>
        </w:rPr>
        <w:t xml:space="preserve"> </w:t>
      </w:r>
      <w:r>
        <w:t>tercer lugar, se encuentra la categoría de responsables «múltiple», con 10.448 víctimas (el 9</w:t>
      </w:r>
      <w:r>
        <w:rPr>
          <w:spacing w:val="-2"/>
        </w:rPr>
        <w:t xml:space="preserve"> </w:t>
      </w:r>
      <w:r>
        <w:t xml:space="preserve">%), mientras que los agentes estatales son responsables </w:t>
      </w:r>
      <w:r>
        <w:lastRenderedPageBreak/>
        <w:t>del 8 %, es decir, 9.359 víctimas</w:t>
      </w:r>
      <w:r w:rsidR="00EE3A0C">
        <w:rPr>
          <w:rStyle w:val="Refdenotaalpie"/>
        </w:rPr>
        <w:footnoteReference w:id="140"/>
      </w:r>
      <w:r>
        <w:t>.</w:t>
      </w:r>
    </w:p>
    <w:p w:rsidR="0011361F" w:rsidRDefault="00AF18A5" w:rsidP="00EE3A0C">
      <w:r>
        <w:t>Además,</w:t>
      </w:r>
      <w:r>
        <w:rPr>
          <w:spacing w:val="38"/>
        </w:rPr>
        <w:t xml:space="preserve"> </w:t>
      </w:r>
      <w:r>
        <w:t>según</w:t>
      </w:r>
      <w:r>
        <w:rPr>
          <w:spacing w:val="39"/>
        </w:rPr>
        <w:t xml:space="preserve"> </w:t>
      </w:r>
      <w:r>
        <w:t>estos</w:t>
      </w:r>
      <w:r>
        <w:rPr>
          <w:spacing w:val="38"/>
        </w:rPr>
        <w:t xml:space="preserve"> </w:t>
      </w:r>
      <w:r>
        <w:t>mismos</w:t>
      </w:r>
      <w:r>
        <w:rPr>
          <w:spacing w:val="39"/>
        </w:rPr>
        <w:t xml:space="preserve"> </w:t>
      </w:r>
      <w:r>
        <w:t>datos,</w:t>
      </w:r>
      <w:r>
        <w:rPr>
          <w:spacing w:val="39"/>
        </w:rPr>
        <w:t xml:space="preserve"> </w:t>
      </w:r>
      <w:r>
        <w:t>el</w:t>
      </w:r>
      <w:r>
        <w:rPr>
          <w:spacing w:val="39"/>
        </w:rPr>
        <w:t xml:space="preserve"> </w:t>
      </w:r>
      <w:r>
        <w:t>departamento</w:t>
      </w:r>
      <w:r>
        <w:rPr>
          <w:spacing w:val="39"/>
        </w:rPr>
        <w:t xml:space="preserve"> </w:t>
      </w:r>
      <w:r>
        <w:t>más</w:t>
      </w:r>
      <w:r>
        <w:rPr>
          <w:spacing w:val="39"/>
        </w:rPr>
        <w:t xml:space="preserve"> </w:t>
      </w:r>
      <w:r>
        <w:t>afectado</w:t>
      </w:r>
      <w:r>
        <w:rPr>
          <w:spacing w:val="39"/>
        </w:rPr>
        <w:t xml:space="preserve"> </w:t>
      </w:r>
      <w:r>
        <w:t>es</w:t>
      </w:r>
      <w:r>
        <w:rPr>
          <w:spacing w:val="39"/>
        </w:rPr>
        <w:t xml:space="preserve"> </w:t>
      </w:r>
      <w:r>
        <w:t>Antioquia,</w:t>
      </w:r>
      <w:r>
        <w:rPr>
          <w:spacing w:val="38"/>
        </w:rPr>
        <w:t xml:space="preserve"> </w:t>
      </w:r>
      <w:r>
        <w:rPr>
          <w:spacing w:val="-5"/>
        </w:rPr>
        <w:t>con</w:t>
      </w:r>
      <w:r w:rsidR="00EE3A0C">
        <w:rPr>
          <w:spacing w:val="-5"/>
        </w:rPr>
        <w:t xml:space="preserve"> </w:t>
      </w:r>
      <w:r>
        <w:t>28.029</w:t>
      </w:r>
      <w:r>
        <w:rPr>
          <w:spacing w:val="25"/>
        </w:rPr>
        <w:t xml:space="preserve"> </w:t>
      </w:r>
      <w:r>
        <w:t>víctimas</w:t>
      </w:r>
      <w:r>
        <w:rPr>
          <w:spacing w:val="25"/>
        </w:rPr>
        <w:t xml:space="preserve"> </w:t>
      </w:r>
      <w:r>
        <w:t>(23</w:t>
      </w:r>
      <w:r>
        <w:rPr>
          <w:spacing w:val="-2"/>
        </w:rPr>
        <w:t xml:space="preserve"> </w:t>
      </w:r>
      <w:r>
        <w:t>%),</w:t>
      </w:r>
      <w:r>
        <w:rPr>
          <w:spacing w:val="24"/>
        </w:rPr>
        <w:t xml:space="preserve"> </w:t>
      </w:r>
      <w:r>
        <w:t>seguido</w:t>
      </w:r>
      <w:r>
        <w:rPr>
          <w:spacing w:val="26"/>
        </w:rPr>
        <w:t xml:space="preserve"> </w:t>
      </w:r>
      <w:r>
        <w:t>de</w:t>
      </w:r>
      <w:r>
        <w:rPr>
          <w:spacing w:val="24"/>
        </w:rPr>
        <w:t xml:space="preserve"> </w:t>
      </w:r>
      <w:r>
        <w:t>Valle</w:t>
      </w:r>
      <w:r>
        <w:rPr>
          <w:spacing w:val="25"/>
        </w:rPr>
        <w:t xml:space="preserve"> </w:t>
      </w:r>
      <w:r>
        <w:t>del</w:t>
      </w:r>
      <w:r>
        <w:rPr>
          <w:spacing w:val="25"/>
        </w:rPr>
        <w:t xml:space="preserve"> </w:t>
      </w:r>
      <w:r>
        <w:t>Cauca</w:t>
      </w:r>
      <w:r>
        <w:rPr>
          <w:spacing w:val="25"/>
        </w:rPr>
        <w:t xml:space="preserve"> </w:t>
      </w:r>
      <w:r>
        <w:t>con</w:t>
      </w:r>
      <w:r>
        <w:rPr>
          <w:spacing w:val="24"/>
        </w:rPr>
        <w:t xml:space="preserve"> </w:t>
      </w:r>
      <w:r>
        <w:t>8.626</w:t>
      </w:r>
      <w:r>
        <w:rPr>
          <w:spacing w:val="26"/>
        </w:rPr>
        <w:t xml:space="preserve"> </w:t>
      </w:r>
      <w:r>
        <w:t>víctimas</w:t>
      </w:r>
      <w:r>
        <w:rPr>
          <w:spacing w:val="25"/>
        </w:rPr>
        <w:t xml:space="preserve"> </w:t>
      </w:r>
      <w:r>
        <w:t>(7</w:t>
      </w:r>
      <w:r>
        <w:rPr>
          <w:spacing w:val="-2"/>
        </w:rPr>
        <w:t xml:space="preserve"> </w:t>
      </w:r>
      <w:r>
        <w:t>%),</w:t>
      </w:r>
      <w:r>
        <w:rPr>
          <w:spacing w:val="24"/>
        </w:rPr>
        <w:t xml:space="preserve"> </w:t>
      </w:r>
      <w:r>
        <w:t>Meta</w:t>
      </w:r>
      <w:r>
        <w:rPr>
          <w:spacing w:val="25"/>
        </w:rPr>
        <w:t xml:space="preserve"> </w:t>
      </w:r>
      <w:r>
        <w:rPr>
          <w:spacing w:val="-5"/>
        </w:rPr>
        <w:t>con</w:t>
      </w:r>
      <w:r w:rsidR="00EE3A0C">
        <w:rPr>
          <w:spacing w:val="-5"/>
        </w:rPr>
        <w:t xml:space="preserve"> </w:t>
      </w:r>
      <w:r>
        <w:t>8.542</w:t>
      </w:r>
      <w:r>
        <w:rPr>
          <w:spacing w:val="35"/>
        </w:rPr>
        <w:t xml:space="preserve"> </w:t>
      </w:r>
      <w:r>
        <w:t>víctimas</w:t>
      </w:r>
      <w:r>
        <w:rPr>
          <w:spacing w:val="36"/>
        </w:rPr>
        <w:t xml:space="preserve"> </w:t>
      </w:r>
      <w:r>
        <w:t>(7 %),</w:t>
      </w:r>
      <w:r>
        <w:rPr>
          <w:spacing w:val="35"/>
        </w:rPr>
        <w:t xml:space="preserve"> </w:t>
      </w:r>
      <w:r>
        <w:t>Bogotá</w:t>
      </w:r>
      <w:r>
        <w:rPr>
          <w:spacing w:val="37"/>
        </w:rPr>
        <w:t xml:space="preserve"> </w:t>
      </w:r>
      <w:r>
        <w:t>con</w:t>
      </w:r>
      <w:r>
        <w:rPr>
          <w:spacing w:val="37"/>
        </w:rPr>
        <w:t xml:space="preserve"> </w:t>
      </w:r>
      <w:r>
        <w:t>5.565</w:t>
      </w:r>
      <w:r>
        <w:rPr>
          <w:spacing w:val="37"/>
        </w:rPr>
        <w:t xml:space="preserve"> </w:t>
      </w:r>
      <w:r>
        <w:t>víctimas</w:t>
      </w:r>
      <w:r>
        <w:rPr>
          <w:spacing w:val="36"/>
        </w:rPr>
        <w:t xml:space="preserve"> </w:t>
      </w:r>
      <w:r>
        <w:t>(5 %)</w:t>
      </w:r>
      <w:r>
        <w:rPr>
          <w:spacing w:val="35"/>
        </w:rPr>
        <w:t xml:space="preserve"> </w:t>
      </w:r>
      <w:r>
        <w:t>y</w:t>
      </w:r>
      <w:r>
        <w:rPr>
          <w:spacing w:val="37"/>
        </w:rPr>
        <w:t xml:space="preserve"> </w:t>
      </w:r>
      <w:r>
        <w:t>Norte</w:t>
      </w:r>
      <w:r>
        <w:rPr>
          <w:spacing w:val="38"/>
        </w:rPr>
        <w:t xml:space="preserve"> </w:t>
      </w:r>
      <w:r>
        <w:t>de</w:t>
      </w:r>
      <w:r>
        <w:rPr>
          <w:spacing w:val="36"/>
        </w:rPr>
        <w:t xml:space="preserve"> </w:t>
      </w:r>
      <w:r>
        <w:t>Santander</w:t>
      </w:r>
      <w:r>
        <w:rPr>
          <w:spacing w:val="36"/>
        </w:rPr>
        <w:t xml:space="preserve"> </w:t>
      </w:r>
      <w:r>
        <w:t>con</w:t>
      </w:r>
      <w:r>
        <w:rPr>
          <w:spacing w:val="38"/>
        </w:rPr>
        <w:t xml:space="preserve"> </w:t>
      </w:r>
      <w:r>
        <w:rPr>
          <w:spacing w:val="-4"/>
        </w:rPr>
        <w:t>5207</w:t>
      </w:r>
      <w:r w:rsidR="00EE3A0C">
        <w:rPr>
          <w:spacing w:val="-4"/>
        </w:rPr>
        <w:t xml:space="preserve"> </w:t>
      </w:r>
      <w:r>
        <w:t>víctimas</w:t>
      </w:r>
      <w:r>
        <w:rPr>
          <w:spacing w:val="-2"/>
        </w:rPr>
        <w:t xml:space="preserve"> </w:t>
      </w:r>
      <w:r>
        <w:t>(4</w:t>
      </w:r>
      <w:r>
        <w:rPr>
          <w:spacing w:val="-2"/>
        </w:rPr>
        <w:t xml:space="preserve"> </w:t>
      </w:r>
      <w:r>
        <w:rPr>
          <w:spacing w:val="-5"/>
        </w:rPr>
        <w:t>%).</w:t>
      </w:r>
    </w:p>
    <w:p w:rsidR="0011361F" w:rsidRPr="00EE3A0C" w:rsidRDefault="00AF18A5" w:rsidP="004A6EF4">
      <w:pPr>
        <w:pStyle w:val="Ttulo3"/>
        <w:numPr>
          <w:ilvl w:val="1"/>
          <w:numId w:val="16"/>
        </w:numPr>
      </w:pPr>
      <w:bookmarkStart w:id="229" w:name="3.7._La_libertad_personal_vulnerada:_las"/>
      <w:bookmarkStart w:id="230" w:name="_Toc112399566"/>
      <w:bookmarkEnd w:id="229"/>
      <w:r w:rsidRPr="00EE3A0C">
        <w:t>La libertad personal vulnerada: las detenciones arbitrarias</w:t>
      </w:r>
      <w:bookmarkEnd w:id="230"/>
    </w:p>
    <w:p w:rsidR="003804AC" w:rsidRDefault="00AF18A5" w:rsidP="000A550F">
      <w:r>
        <w:t>Las detenciones arbitrarias en el conflicto armado fueron llevadas a cabo por agentes del Estado</w:t>
      </w:r>
      <w:r>
        <w:rPr>
          <w:spacing w:val="-10"/>
        </w:rPr>
        <w:t xml:space="preserve"> </w:t>
      </w:r>
      <w:r>
        <w:t>bajo</w:t>
      </w:r>
      <w:r>
        <w:rPr>
          <w:spacing w:val="-11"/>
        </w:rPr>
        <w:t xml:space="preserve"> </w:t>
      </w:r>
      <w:r>
        <w:t>acusaciones</w:t>
      </w:r>
      <w:r>
        <w:rPr>
          <w:spacing w:val="-11"/>
        </w:rPr>
        <w:t xml:space="preserve"> </w:t>
      </w:r>
      <w:r>
        <w:t>sin</w:t>
      </w:r>
      <w:r>
        <w:rPr>
          <w:spacing w:val="-10"/>
        </w:rPr>
        <w:t xml:space="preserve"> </w:t>
      </w:r>
      <w:r>
        <w:t>pruebas</w:t>
      </w:r>
      <w:r>
        <w:rPr>
          <w:spacing w:val="-9"/>
        </w:rPr>
        <w:t xml:space="preserve"> </w:t>
      </w:r>
      <w:r>
        <w:t>de</w:t>
      </w:r>
      <w:r>
        <w:rPr>
          <w:spacing w:val="-9"/>
        </w:rPr>
        <w:t xml:space="preserve"> </w:t>
      </w:r>
      <w:r>
        <w:t>pertenecer</w:t>
      </w:r>
      <w:r>
        <w:rPr>
          <w:spacing w:val="-9"/>
        </w:rPr>
        <w:t xml:space="preserve"> </w:t>
      </w:r>
      <w:r>
        <w:t>a</w:t>
      </w:r>
      <w:r>
        <w:rPr>
          <w:spacing w:val="-9"/>
        </w:rPr>
        <w:t xml:space="preserve"> </w:t>
      </w:r>
      <w:r>
        <w:t>un</w:t>
      </w:r>
      <w:r>
        <w:rPr>
          <w:spacing w:val="-10"/>
        </w:rPr>
        <w:t xml:space="preserve"> </w:t>
      </w:r>
      <w:r>
        <w:t>grupo</w:t>
      </w:r>
      <w:r>
        <w:rPr>
          <w:spacing w:val="-11"/>
        </w:rPr>
        <w:t xml:space="preserve"> </w:t>
      </w:r>
      <w:r>
        <w:t>armado</w:t>
      </w:r>
      <w:r>
        <w:rPr>
          <w:spacing w:val="-11"/>
        </w:rPr>
        <w:t xml:space="preserve"> </w:t>
      </w:r>
      <w:r>
        <w:t>ilegal,</w:t>
      </w:r>
      <w:r>
        <w:rPr>
          <w:spacing w:val="-10"/>
        </w:rPr>
        <w:t xml:space="preserve"> </w:t>
      </w:r>
      <w:r>
        <w:t>por</w:t>
      </w:r>
      <w:r>
        <w:rPr>
          <w:spacing w:val="-9"/>
        </w:rPr>
        <w:t xml:space="preserve"> </w:t>
      </w:r>
      <w:r>
        <w:t>sospecha</w:t>
      </w:r>
      <w:r>
        <w:rPr>
          <w:spacing w:val="-9"/>
        </w:rPr>
        <w:t xml:space="preserve"> </w:t>
      </w:r>
      <w:r>
        <w:t xml:space="preserve">de que saben algo, o con el fin de desestructurar organizaciones sociales, atemorizar a sus integrantes, u obstaculizar procesos sociales. Fueron usadas como antesala de otras violaciones como la tortura, violencias sexuales, la desaparición forzada o las ejecuciones </w:t>
      </w:r>
      <w:r>
        <w:rPr>
          <w:spacing w:val="-2"/>
        </w:rPr>
        <w:t>extrajudiciales.</w:t>
      </w:r>
    </w:p>
    <w:p w:rsidR="003804AC" w:rsidRDefault="00AF18A5" w:rsidP="000A550F">
      <w:r>
        <w:t>«Llegaron</w:t>
      </w:r>
      <w:r>
        <w:rPr>
          <w:spacing w:val="-7"/>
        </w:rPr>
        <w:t xml:space="preserve"> </w:t>
      </w:r>
      <w:r>
        <w:t>y</w:t>
      </w:r>
      <w:r>
        <w:rPr>
          <w:spacing w:val="-8"/>
        </w:rPr>
        <w:t xml:space="preserve"> </w:t>
      </w:r>
      <w:r>
        <w:t>empezaron</w:t>
      </w:r>
      <w:r>
        <w:rPr>
          <w:spacing w:val="-7"/>
        </w:rPr>
        <w:t xml:space="preserve"> </w:t>
      </w:r>
      <w:r>
        <w:t>a</w:t>
      </w:r>
      <w:r>
        <w:rPr>
          <w:spacing w:val="-8"/>
        </w:rPr>
        <w:t xml:space="preserve"> </w:t>
      </w:r>
      <w:r>
        <w:t>estigmatizar</w:t>
      </w:r>
      <w:r>
        <w:rPr>
          <w:spacing w:val="-7"/>
        </w:rPr>
        <w:t xml:space="preserve"> </w:t>
      </w:r>
      <w:r>
        <w:t>muchísimo</w:t>
      </w:r>
      <w:r>
        <w:rPr>
          <w:spacing w:val="-8"/>
        </w:rPr>
        <w:t xml:space="preserve"> </w:t>
      </w:r>
      <w:r>
        <w:t>a</w:t>
      </w:r>
      <w:r>
        <w:rPr>
          <w:spacing w:val="-7"/>
        </w:rPr>
        <w:t xml:space="preserve"> </w:t>
      </w:r>
      <w:r>
        <w:t>la</w:t>
      </w:r>
      <w:r>
        <w:rPr>
          <w:spacing w:val="-7"/>
        </w:rPr>
        <w:t xml:space="preserve"> </w:t>
      </w:r>
      <w:r>
        <w:t>gente.</w:t>
      </w:r>
      <w:r>
        <w:rPr>
          <w:spacing w:val="-7"/>
        </w:rPr>
        <w:t xml:space="preserve"> </w:t>
      </w:r>
      <w:r>
        <w:t>Se</w:t>
      </w:r>
      <w:r>
        <w:rPr>
          <w:spacing w:val="-7"/>
        </w:rPr>
        <w:t xml:space="preserve"> </w:t>
      </w:r>
      <w:r>
        <w:t>nos</w:t>
      </w:r>
      <w:r>
        <w:rPr>
          <w:spacing w:val="-7"/>
        </w:rPr>
        <w:t xml:space="preserve"> </w:t>
      </w:r>
      <w:r>
        <w:t>paraban</w:t>
      </w:r>
      <w:r>
        <w:rPr>
          <w:spacing w:val="-7"/>
        </w:rPr>
        <w:t xml:space="preserve"> </w:t>
      </w:r>
      <w:r>
        <w:t>y</w:t>
      </w:r>
      <w:r>
        <w:rPr>
          <w:spacing w:val="-7"/>
        </w:rPr>
        <w:t xml:space="preserve"> </w:t>
      </w:r>
      <w:r>
        <w:t>nos</w:t>
      </w:r>
      <w:r>
        <w:rPr>
          <w:spacing w:val="-7"/>
        </w:rPr>
        <w:t xml:space="preserve"> </w:t>
      </w:r>
      <w:r>
        <w:t>decían hasta de qué nos íbamos a morir, nos gritaban, nos amenazaban: “guerrilleros yo no sé qué, guerrillero sí sé más”. Eran demasiado arbitrarios. Empezaron a invitar a reuniones. Un día cualquiera llegaron a invitar a una reunión a toda la comunidad... que era una reunión con fines de bien comunitario y que teníamos que llevar la cédula. Nosotros caímos en ese jueguito</w:t>
      </w:r>
      <w:r>
        <w:rPr>
          <w:spacing w:val="-4"/>
        </w:rPr>
        <w:t xml:space="preserve"> </w:t>
      </w:r>
      <w:r>
        <w:t>y</w:t>
      </w:r>
      <w:r>
        <w:rPr>
          <w:spacing w:val="-4"/>
        </w:rPr>
        <w:t xml:space="preserve"> </w:t>
      </w:r>
      <w:r>
        <w:t>nos</w:t>
      </w:r>
      <w:r>
        <w:rPr>
          <w:spacing w:val="-3"/>
        </w:rPr>
        <w:t xml:space="preserve"> </w:t>
      </w:r>
      <w:r>
        <w:t>fuimos</w:t>
      </w:r>
      <w:r>
        <w:rPr>
          <w:spacing w:val="-3"/>
        </w:rPr>
        <w:t xml:space="preserve"> </w:t>
      </w:r>
      <w:r>
        <w:t>con</w:t>
      </w:r>
      <w:r>
        <w:rPr>
          <w:spacing w:val="-4"/>
        </w:rPr>
        <w:t xml:space="preserve"> </w:t>
      </w:r>
      <w:r>
        <w:t>eso</w:t>
      </w:r>
      <w:r>
        <w:rPr>
          <w:spacing w:val="-4"/>
        </w:rPr>
        <w:t xml:space="preserve"> </w:t>
      </w:r>
      <w:r>
        <w:t>en</w:t>
      </w:r>
      <w:r>
        <w:rPr>
          <w:spacing w:val="-4"/>
        </w:rPr>
        <w:t xml:space="preserve"> </w:t>
      </w:r>
      <w:r>
        <w:t>la</w:t>
      </w:r>
      <w:r>
        <w:rPr>
          <w:spacing w:val="-5"/>
        </w:rPr>
        <w:t xml:space="preserve"> </w:t>
      </w:r>
      <w:r>
        <w:t>mano</w:t>
      </w:r>
      <w:r>
        <w:rPr>
          <w:spacing w:val="-4"/>
        </w:rPr>
        <w:t xml:space="preserve"> </w:t>
      </w:r>
      <w:r>
        <w:t>y</w:t>
      </w:r>
      <w:r>
        <w:rPr>
          <w:spacing w:val="-4"/>
        </w:rPr>
        <w:t xml:space="preserve"> </w:t>
      </w:r>
      <w:r>
        <w:t>llegamos</w:t>
      </w:r>
      <w:r>
        <w:rPr>
          <w:spacing w:val="-3"/>
        </w:rPr>
        <w:t xml:space="preserve"> </w:t>
      </w:r>
      <w:r>
        <w:t>al</w:t>
      </w:r>
      <w:r>
        <w:rPr>
          <w:spacing w:val="-4"/>
        </w:rPr>
        <w:t xml:space="preserve"> </w:t>
      </w:r>
      <w:r>
        <w:t>colegio</w:t>
      </w:r>
      <w:r>
        <w:rPr>
          <w:spacing w:val="-4"/>
        </w:rPr>
        <w:t xml:space="preserve"> </w:t>
      </w:r>
      <w:r>
        <w:t>–porque</w:t>
      </w:r>
      <w:r>
        <w:rPr>
          <w:spacing w:val="-5"/>
        </w:rPr>
        <w:t xml:space="preserve"> </w:t>
      </w:r>
      <w:r>
        <w:t>allá</w:t>
      </w:r>
      <w:r>
        <w:rPr>
          <w:spacing w:val="-5"/>
        </w:rPr>
        <w:t xml:space="preserve"> </w:t>
      </w:r>
      <w:r>
        <w:t>fue</w:t>
      </w:r>
      <w:r>
        <w:rPr>
          <w:spacing w:val="-3"/>
        </w:rPr>
        <w:t xml:space="preserve"> </w:t>
      </w:r>
      <w:r>
        <w:t>adonde</w:t>
      </w:r>
      <w:r>
        <w:rPr>
          <w:spacing w:val="-3"/>
        </w:rPr>
        <w:t xml:space="preserve"> </w:t>
      </w:r>
      <w:r>
        <w:t>nos llevaron–.</w:t>
      </w:r>
      <w:r>
        <w:rPr>
          <w:spacing w:val="15"/>
        </w:rPr>
        <w:t xml:space="preserve"> </w:t>
      </w:r>
      <w:r>
        <w:lastRenderedPageBreak/>
        <w:t>Fuimos</w:t>
      </w:r>
      <w:r>
        <w:rPr>
          <w:spacing w:val="18"/>
        </w:rPr>
        <w:t xml:space="preserve"> </w:t>
      </w:r>
      <w:r>
        <w:t>y</w:t>
      </w:r>
      <w:r>
        <w:rPr>
          <w:spacing w:val="17"/>
        </w:rPr>
        <w:t xml:space="preserve"> </w:t>
      </w:r>
      <w:r>
        <w:t>como</w:t>
      </w:r>
      <w:r>
        <w:rPr>
          <w:spacing w:val="18"/>
        </w:rPr>
        <w:t xml:space="preserve"> </w:t>
      </w:r>
      <w:r>
        <w:t>eso</w:t>
      </w:r>
      <w:r>
        <w:rPr>
          <w:spacing w:val="17"/>
        </w:rPr>
        <w:t xml:space="preserve"> </w:t>
      </w:r>
      <w:r>
        <w:t>es</w:t>
      </w:r>
      <w:r>
        <w:rPr>
          <w:spacing w:val="18"/>
        </w:rPr>
        <w:t xml:space="preserve"> </w:t>
      </w:r>
      <w:r>
        <w:t>cerrado,</w:t>
      </w:r>
      <w:r>
        <w:rPr>
          <w:spacing w:val="18"/>
        </w:rPr>
        <w:t xml:space="preserve"> </w:t>
      </w:r>
      <w:r>
        <w:t>pues</w:t>
      </w:r>
      <w:r>
        <w:rPr>
          <w:spacing w:val="16"/>
        </w:rPr>
        <w:t xml:space="preserve"> </w:t>
      </w:r>
      <w:r>
        <w:t>cerraron.</w:t>
      </w:r>
      <w:r>
        <w:rPr>
          <w:spacing w:val="18"/>
        </w:rPr>
        <w:t xml:space="preserve"> </w:t>
      </w:r>
      <w:r>
        <w:t>Había</w:t>
      </w:r>
      <w:r>
        <w:rPr>
          <w:spacing w:val="17"/>
        </w:rPr>
        <w:t xml:space="preserve"> </w:t>
      </w:r>
      <w:r>
        <w:t>un</w:t>
      </w:r>
      <w:r>
        <w:rPr>
          <w:spacing w:val="18"/>
        </w:rPr>
        <w:t xml:space="preserve"> </w:t>
      </w:r>
      <w:r>
        <w:t>quiosco</w:t>
      </w:r>
      <w:r>
        <w:rPr>
          <w:spacing w:val="17"/>
        </w:rPr>
        <w:t xml:space="preserve"> </w:t>
      </w:r>
      <w:r>
        <w:t>y</w:t>
      </w:r>
      <w:r>
        <w:rPr>
          <w:spacing w:val="18"/>
        </w:rPr>
        <w:t xml:space="preserve"> </w:t>
      </w:r>
      <w:r>
        <w:t>nos</w:t>
      </w:r>
      <w:r>
        <w:rPr>
          <w:spacing w:val="18"/>
        </w:rPr>
        <w:t xml:space="preserve"> </w:t>
      </w:r>
      <w:r>
        <w:rPr>
          <w:spacing w:val="-2"/>
        </w:rPr>
        <w:t>hicieron</w:t>
      </w:r>
      <w:bookmarkStart w:id="231" w:name="_bookmark161"/>
      <w:bookmarkEnd w:id="231"/>
      <w:r w:rsidR="000A550F">
        <w:rPr>
          <w:spacing w:val="-2"/>
        </w:rPr>
        <w:t xml:space="preserve"> </w:t>
      </w:r>
      <w:r>
        <w:t>formar en fila. Allá en el quiosco había unos tipos encapuchados y empezaron a señalar: “Este</w:t>
      </w:r>
      <w:r>
        <w:rPr>
          <w:spacing w:val="-6"/>
        </w:rPr>
        <w:t xml:space="preserve"> </w:t>
      </w:r>
      <w:r>
        <w:t>sí,</w:t>
      </w:r>
      <w:r>
        <w:rPr>
          <w:spacing w:val="-6"/>
        </w:rPr>
        <w:t xml:space="preserve"> </w:t>
      </w:r>
      <w:r>
        <w:t>este</w:t>
      </w:r>
      <w:r>
        <w:rPr>
          <w:spacing w:val="-7"/>
        </w:rPr>
        <w:t xml:space="preserve"> </w:t>
      </w:r>
      <w:r>
        <w:t>no”,</w:t>
      </w:r>
      <w:r>
        <w:rPr>
          <w:spacing w:val="-6"/>
        </w:rPr>
        <w:t xml:space="preserve"> </w:t>
      </w:r>
      <w:r>
        <w:t>y</w:t>
      </w:r>
      <w:r>
        <w:rPr>
          <w:spacing w:val="-6"/>
        </w:rPr>
        <w:t xml:space="preserve"> </w:t>
      </w:r>
      <w:r>
        <w:t>empezaron</w:t>
      </w:r>
      <w:r>
        <w:rPr>
          <w:spacing w:val="-6"/>
        </w:rPr>
        <w:t xml:space="preserve"> </w:t>
      </w:r>
      <w:r>
        <w:t>a</w:t>
      </w:r>
      <w:r>
        <w:rPr>
          <w:spacing w:val="-6"/>
        </w:rPr>
        <w:t xml:space="preserve"> </w:t>
      </w:r>
      <w:r>
        <w:t>hacer</w:t>
      </w:r>
      <w:r>
        <w:rPr>
          <w:spacing w:val="-6"/>
        </w:rPr>
        <w:t xml:space="preserve"> </w:t>
      </w:r>
      <w:r>
        <w:t>la</w:t>
      </w:r>
      <w:r>
        <w:rPr>
          <w:spacing w:val="-6"/>
        </w:rPr>
        <w:t xml:space="preserve"> </w:t>
      </w:r>
      <w:r>
        <w:t>captura.</w:t>
      </w:r>
      <w:r>
        <w:rPr>
          <w:spacing w:val="-6"/>
        </w:rPr>
        <w:t xml:space="preserve"> </w:t>
      </w:r>
      <w:r>
        <w:t>Me</w:t>
      </w:r>
      <w:r>
        <w:rPr>
          <w:spacing w:val="-6"/>
        </w:rPr>
        <w:t xml:space="preserve"> </w:t>
      </w:r>
      <w:r>
        <w:t>parece</w:t>
      </w:r>
      <w:r>
        <w:rPr>
          <w:spacing w:val="-6"/>
        </w:rPr>
        <w:t xml:space="preserve"> </w:t>
      </w:r>
      <w:r>
        <w:t>que</w:t>
      </w:r>
      <w:r>
        <w:rPr>
          <w:spacing w:val="-6"/>
        </w:rPr>
        <w:t xml:space="preserve"> </w:t>
      </w:r>
      <w:r>
        <w:t>fueron</w:t>
      </w:r>
      <w:r>
        <w:rPr>
          <w:spacing w:val="-6"/>
        </w:rPr>
        <w:t xml:space="preserve"> </w:t>
      </w:r>
      <w:r>
        <w:t>22</w:t>
      </w:r>
      <w:r>
        <w:rPr>
          <w:spacing w:val="-6"/>
        </w:rPr>
        <w:t xml:space="preserve"> </w:t>
      </w:r>
      <w:r>
        <w:t>personas</w:t>
      </w:r>
      <w:r>
        <w:rPr>
          <w:spacing w:val="-6"/>
        </w:rPr>
        <w:t xml:space="preserve"> </w:t>
      </w:r>
      <w:r>
        <w:t>las</w:t>
      </w:r>
      <w:r>
        <w:rPr>
          <w:spacing w:val="-7"/>
        </w:rPr>
        <w:t xml:space="preserve"> </w:t>
      </w:r>
      <w:r>
        <w:t>que se llevaron esa vez»</w:t>
      </w:r>
      <w:r w:rsidR="000A550F">
        <w:rPr>
          <w:rStyle w:val="Refdenotaalpie"/>
        </w:rPr>
        <w:footnoteReference w:id="141"/>
      </w:r>
      <w:r>
        <w:t>.</w:t>
      </w:r>
    </w:p>
    <w:p w:rsidR="003804AC" w:rsidRDefault="00AF18A5" w:rsidP="000A550F">
      <w:r>
        <w:t>Las</w:t>
      </w:r>
      <w:r>
        <w:rPr>
          <w:spacing w:val="-15"/>
        </w:rPr>
        <w:t xml:space="preserve"> </w:t>
      </w:r>
      <w:r>
        <w:t>detenciones</w:t>
      </w:r>
      <w:r>
        <w:rPr>
          <w:spacing w:val="-15"/>
        </w:rPr>
        <w:t xml:space="preserve"> </w:t>
      </w:r>
      <w:r>
        <w:t>arbitrarias</w:t>
      </w:r>
      <w:r>
        <w:rPr>
          <w:spacing w:val="-15"/>
        </w:rPr>
        <w:t xml:space="preserve"> </w:t>
      </w:r>
      <w:r>
        <w:t>han</w:t>
      </w:r>
      <w:r>
        <w:rPr>
          <w:spacing w:val="-15"/>
        </w:rPr>
        <w:t xml:space="preserve"> </w:t>
      </w:r>
      <w:r>
        <w:t>sido</w:t>
      </w:r>
      <w:r>
        <w:rPr>
          <w:spacing w:val="-15"/>
        </w:rPr>
        <w:t xml:space="preserve"> </w:t>
      </w:r>
      <w:r>
        <w:t>usadas</w:t>
      </w:r>
      <w:r>
        <w:rPr>
          <w:spacing w:val="-15"/>
        </w:rPr>
        <w:t xml:space="preserve"> </w:t>
      </w:r>
      <w:r>
        <w:t>en</w:t>
      </w:r>
      <w:r>
        <w:rPr>
          <w:spacing w:val="-15"/>
        </w:rPr>
        <w:t xml:space="preserve"> </w:t>
      </w:r>
      <w:r>
        <w:t>el</w:t>
      </w:r>
      <w:r>
        <w:rPr>
          <w:spacing w:val="-15"/>
        </w:rPr>
        <w:t xml:space="preserve"> </w:t>
      </w:r>
      <w:r>
        <w:t>contexto</w:t>
      </w:r>
      <w:r>
        <w:rPr>
          <w:spacing w:val="-15"/>
        </w:rPr>
        <w:t xml:space="preserve"> </w:t>
      </w:r>
      <w:r>
        <w:t>de</w:t>
      </w:r>
      <w:r>
        <w:rPr>
          <w:spacing w:val="-15"/>
        </w:rPr>
        <w:t xml:space="preserve"> </w:t>
      </w:r>
      <w:r>
        <w:t>la</w:t>
      </w:r>
      <w:r>
        <w:rPr>
          <w:spacing w:val="-15"/>
        </w:rPr>
        <w:t xml:space="preserve"> </w:t>
      </w:r>
      <w:r>
        <w:t>estrategia</w:t>
      </w:r>
      <w:r>
        <w:rPr>
          <w:spacing w:val="-15"/>
        </w:rPr>
        <w:t xml:space="preserve"> </w:t>
      </w:r>
      <w:r>
        <w:t xml:space="preserve">contrainsurgente que desplegó el Estado por medio de la fuerza pública, y se implementaron (con diferentes intensidades según la época) para enfrentar los conflictos sociales y políticos. Desde 1958 </w:t>
      </w:r>
      <w:r>
        <w:rPr>
          <w:spacing w:val="-2"/>
        </w:rPr>
        <w:t>diversas</w:t>
      </w:r>
      <w:r>
        <w:rPr>
          <w:spacing w:val="-6"/>
        </w:rPr>
        <w:t xml:space="preserve"> </w:t>
      </w:r>
      <w:r>
        <w:rPr>
          <w:spacing w:val="-2"/>
        </w:rPr>
        <w:t>normas,</w:t>
      </w:r>
      <w:r>
        <w:rPr>
          <w:spacing w:val="-6"/>
        </w:rPr>
        <w:t xml:space="preserve"> </w:t>
      </w:r>
      <w:r>
        <w:rPr>
          <w:spacing w:val="-2"/>
        </w:rPr>
        <w:t>sumadas</w:t>
      </w:r>
      <w:r>
        <w:rPr>
          <w:spacing w:val="-6"/>
        </w:rPr>
        <w:t xml:space="preserve"> </w:t>
      </w:r>
      <w:r>
        <w:rPr>
          <w:spacing w:val="-2"/>
        </w:rPr>
        <w:t>a</w:t>
      </w:r>
      <w:r>
        <w:rPr>
          <w:spacing w:val="-6"/>
        </w:rPr>
        <w:t xml:space="preserve"> </w:t>
      </w:r>
      <w:r>
        <w:rPr>
          <w:spacing w:val="-2"/>
        </w:rPr>
        <w:t>los</w:t>
      </w:r>
      <w:r>
        <w:rPr>
          <w:spacing w:val="-6"/>
        </w:rPr>
        <w:t xml:space="preserve"> </w:t>
      </w:r>
      <w:r>
        <w:rPr>
          <w:spacing w:val="-2"/>
        </w:rPr>
        <w:t>estados</w:t>
      </w:r>
      <w:r>
        <w:rPr>
          <w:spacing w:val="-6"/>
        </w:rPr>
        <w:t xml:space="preserve"> </w:t>
      </w:r>
      <w:r>
        <w:rPr>
          <w:spacing w:val="-2"/>
        </w:rPr>
        <w:t>de</w:t>
      </w:r>
      <w:r>
        <w:rPr>
          <w:spacing w:val="-6"/>
        </w:rPr>
        <w:t xml:space="preserve"> </w:t>
      </w:r>
      <w:r>
        <w:rPr>
          <w:spacing w:val="-2"/>
        </w:rPr>
        <w:t>sitio</w:t>
      </w:r>
      <w:r>
        <w:rPr>
          <w:spacing w:val="-7"/>
        </w:rPr>
        <w:t xml:space="preserve"> </w:t>
      </w:r>
      <w:r>
        <w:rPr>
          <w:spacing w:val="-2"/>
        </w:rPr>
        <w:t>o</w:t>
      </w:r>
      <w:r>
        <w:rPr>
          <w:spacing w:val="-7"/>
        </w:rPr>
        <w:t xml:space="preserve"> </w:t>
      </w:r>
      <w:r>
        <w:rPr>
          <w:spacing w:val="-2"/>
        </w:rPr>
        <w:t>de</w:t>
      </w:r>
      <w:r>
        <w:rPr>
          <w:spacing w:val="-6"/>
        </w:rPr>
        <w:t xml:space="preserve"> </w:t>
      </w:r>
      <w:r>
        <w:rPr>
          <w:spacing w:val="-2"/>
        </w:rPr>
        <w:t>excepción,</w:t>
      </w:r>
      <w:r>
        <w:rPr>
          <w:spacing w:val="-6"/>
        </w:rPr>
        <w:t xml:space="preserve"> </w:t>
      </w:r>
      <w:r>
        <w:rPr>
          <w:spacing w:val="-2"/>
        </w:rPr>
        <w:t>han</w:t>
      </w:r>
      <w:r>
        <w:rPr>
          <w:spacing w:val="-6"/>
        </w:rPr>
        <w:t xml:space="preserve"> </w:t>
      </w:r>
      <w:r>
        <w:rPr>
          <w:spacing w:val="-2"/>
        </w:rPr>
        <w:t>facilitado</w:t>
      </w:r>
      <w:r>
        <w:rPr>
          <w:spacing w:val="-6"/>
        </w:rPr>
        <w:t xml:space="preserve"> </w:t>
      </w:r>
      <w:r>
        <w:rPr>
          <w:spacing w:val="-2"/>
        </w:rPr>
        <w:t>las</w:t>
      </w:r>
      <w:r>
        <w:rPr>
          <w:spacing w:val="-7"/>
        </w:rPr>
        <w:t xml:space="preserve"> </w:t>
      </w:r>
      <w:r>
        <w:rPr>
          <w:spacing w:val="-2"/>
        </w:rPr>
        <w:t xml:space="preserve">detenciones, </w:t>
      </w:r>
      <w:r>
        <w:t>limitando</w:t>
      </w:r>
      <w:r>
        <w:rPr>
          <w:spacing w:val="-5"/>
        </w:rPr>
        <w:t xml:space="preserve"> </w:t>
      </w:r>
      <w:r>
        <w:t>las</w:t>
      </w:r>
      <w:r>
        <w:rPr>
          <w:spacing w:val="-3"/>
        </w:rPr>
        <w:t xml:space="preserve"> </w:t>
      </w:r>
      <w:r>
        <w:t>garantías</w:t>
      </w:r>
      <w:r>
        <w:rPr>
          <w:spacing w:val="-4"/>
        </w:rPr>
        <w:t xml:space="preserve"> </w:t>
      </w:r>
      <w:r>
        <w:t>judiciales</w:t>
      </w:r>
      <w:r>
        <w:rPr>
          <w:spacing w:val="-4"/>
        </w:rPr>
        <w:t xml:space="preserve"> </w:t>
      </w:r>
      <w:r>
        <w:t>y</w:t>
      </w:r>
      <w:r>
        <w:rPr>
          <w:spacing w:val="-5"/>
        </w:rPr>
        <w:t xml:space="preserve"> </w:t>
      </w:r>
      <w:r>
        <w:t>muchas</w:t>
      </w:r>
      <w:r>
        <w:rPr>
          <w:spacing w:val="-4"/>
        </w:rPr>
        <w:t xml:space="preserve"> </w:t>
      </w:r>
      <w:r>
        <w:t>veces</w:t>
      </w:r>
      <w:r>
        <w:rPr>
          <w:spacing w:val="-3"/>
        </w:rPr>
        <w:t xml:space="preserve"> </w:t>
      </w:r>
      <w:r>
        <w:t>cobijando</w:t>
      </w:r>
      <w:r>
        <w:rPr>
          <w:spacing w:val="-5"/>
        </w:rPr>
        <w:t xml:space="preserve"> </w:t>
      </w:r>
      <w:r>
        <w:t>detenciones</w:t>
      </w:r>
      <w:r>
        <w:rPr>
          <w:spacing w:val="-4"/>
        </w:rPr>
        <w:t xml:space="preserve"> </w:t>
      </w:r>
      <w:r>
        <w:t>arbitrarias</w:t>
      </w:r>
      <w:r>
        <w:rPr>
          <w:spacing w:val="-4"/>
        </w:rPr>
        <w:t xml:space="preserve"> </w:t>
      </w:r>
      <w:r>
        <w:t>masivas. El Estatuto de Seguridad (1978-1982) o los años de inicio de la Política de Seguridad Democrática entre 2002 y 2004 se dieron de forma mucho más masiva.</w:t>
      </w:r>
    </w:p>
    <w:p w:rsidR="003804AC" w:rsidRDefault="00AF18A5" w:rsidP="000A550F">
      <w:r>
        <w:t>La</w:t>
      </w:r>
      <w:r>
        <w:rPr>
          <w:spacing w:val="-7"/>
        </w:rPr>
        <w:t xml:space="preserve"> </w:t>
      </w:r>
      <w:r>
        <w:t>Comisión</w:t>
      </w:r>
      <w:r>
        <w:rPr>
          <w:spacing w:val="-7"/>
        </w:rPr>
        <w:t xml:space="preserve"> </w:t>
      </w:r>
      <w:r>
        <w:t>entiende</w:t>
      </w:r>
      <w:r>
        <w:rPr>
          <w:spacing w:val="-8"/>
        </w:rPr>
        <w:t xml:space="preserve"> </w:t>
      </w:r>
      <w:r>
        <w:t>las</w:t>
      </w:r>
      <w:r>
        <w:rPr>
          <w:spacing w:val="-7"/>
        </w:rPr>
        <w:t xml:space="preserve"> </w:t>
      </w:r>
      <w:r>
        <w:t>detenciones</w:t>
      </w:r>
      <w:r>
        <w:rPr>
          <w:spacing w:val="-7"/>
        </w:rPr>
        <w:t xml:space="preserve"> </w:t>
      </w:r>
      <w:r>
        <w:t>arbitrarias</w:t>
      </w:r>
      <w:r>
        <w:rPr>
          <w:spacing w:val="-8"/>
        </w:rPr>
        <w:t xml:space="preserve"> </w:t>
      </w:r>
      <w:r>
        <w:t>como</w:t>
      </w:r>
      <w:r>
        <w:rPr>
          <w:spacing w:val="-7"/>
        </w:rPr>
        <w:t xml:space="preserve"> </w:t>
      </w:r>
      <w:r>
        <w:t>aquellas</w:t>
      </w:r>
      <w:r>
        <w:rPr>
          <w:spacing w:val="-7"/>
        </w:rPr>
        <w:t xml:space="preserve"> </w:t>
      </w:r>
      <w:r>
        <w:t>privaciones</w:t>
      </w:r>
      <w:r>
        <w:rPr>
          <w:spacing w:val="-7"/>
        </w:rPr>
        <w:t xml:space="preserve"> </w:t>
      </w:r>
      <w:r>
        <w:t>de</w:t>
      </w:r>
      <w:r>
        <w:rPr>
          <w:spacing w:val="-7"/>
        </w:rPr>
        <w:t xml:space="preserve"> </w:t>
      </w:r>
      <w:r>
        <w:t>la</w:t>
      </w:r>
      <w:r>
        <w:rPr>
          <w:spacing w:val="-7"/>
        </w:rPr>
        <w:t xml:space="preserve"> </w:t>
      </w:r>
      <w:r>
        <w:t>libertad efectuadas</w:t>
      </w:r>
      <w:r>
        <w:rPr>
          <w:spacing w:val="-2"/>
        </w:rPr>
        <w:t xml:space="preserve"> </w:t>
      </w:r>
      <w:r>
        <w:t>por</w:t>
      </w:r>
      <w:r>
        <w:rPr>
          <w:spacing w:val="-2"/>
        </w:rPr>
        <w:t xml:space="preserve"> </w:t>
      </w:r>
      <w:r>
        <w:t>agentes</w:t>
      </w:r>
      <w:r>
        <w:rPr>
          <w:spacing w:val="-2"/>
        </w:rPr>
        <w:t xml:space="preserve"> </w:t>
      </w:r>
      <w:r>
        <w:t>estatales,</w:t>
      </w:r>
      <w:r>
        <w:rPr>
          <w:spacing w:val="-2"/>
        </w:rPr>
        <w:t xml:space="preserve"> </w:t>
      </w:r>
      <w:r>
        <w:t>por</w:t>
      </w:r>
      <w:r>
        <w:rPr>
          <w:spacing w:val="-2"/>
        </w:rPr>
        <w:t xml:space="preserve"> </w:t>
      </w:r>
      <w:r>
        <w:t>razones</w:t>
      </w:r>
      <w:r>
        <w:rPr>
          <w:spacing w:val="-2"/>
        </w:rPr>
        <w:t xml:space="preserve"> </w:t>
      </w:r>
      <w:r>
        <w:t>y/o</w:t>
      </w:r>
      <w:r>
        <w:rPr>
          <w:spacing w:val="-2"/>
        </w:rPr>
        <w:t xml:space="preserve"> </w:t>
      </w:r>
      <w:r>
        <w:t>mediante</w:t>
      </w:r>
      <w:r>
        <w:rPr>
          <w:spacing w:val="-2"/>
        </w:rPr>
        <w:t xml:space="preserve"> </w:t>
      </w:r>
      <w:r>
        <w:t>procedimientos</w:t>
      </w:r>
      <w:r>
        <w:rPr>
          <w:spacing w:val="-2"/>
        </w:rPr>
        <w:t xml:space="preserve"> </w:t>
      </w:r>
      <w:r>
        <w:t>no</w:t>
      </w:r>
      <w:r>
        <w:rPr>
          <w:spacing w:val="-2"/>
        </w:rPr>
        <w:t xml:space="preserve"> </w:t>
      </w:r>
      <w:r>
        <w:t>contemplados en la ley. La arbitrariedad se manifiesta cuando a una persona detenida no se le ofrecen las garantías para llevar a cabo un debido proceso por un tribunal competente, independiente e imparcial, o cuando no existe una orden escrita de autoridad judicial competente ni hay captura en flagrancia, o cuando es llevada a cabo por agentes del Estado que no tienen la facultad</w:t>
      </w:r>
      <w:r>
        <w:rPr>
          <w:spacing w:val="-13"/>
        </w:rPr>
        <w:t xml:space="preserve"> </w:t>
      </w:r>
      <w:r>
        <w:t>para</w:t>
      </w:r>
      <w:r>
        <w:rPr>
          <w:spacing w:val="-13"/>
        </w:rPr>
        <w:t xml:space="preserve"> </w:t>
      </w:r>
      <w:r>
        <w:t>hacerlo,</w:t>
      </w:r>
      <w:r>
        <w:rPr>
          <w:spacing w:val="-13"/>
        </w:rPr>
        <w:t xml:space="preserve"> </w:t>
      </w:r>
      <w:r>
        <w:t>entre</w:t>
      </w:r>
      <w:r>
        <w:rPr>
          <w:spacing w:val="-13"/>
        </w:rPr>
        <w:t xml:space="preserve"> </w:t>
      </w:r>
      <w:r>
        <w:t>otras</w:t>
      </w:r>
      <w:r>
        <w:rPr>
          <w:spacing w:val="-13"/>
        </w:rPr>
        <w:t xml:space="preserve"> </w:t>
      </w:r>
      <w:r>
        <w:t>circunstancias.</w:t>
      </w:r>
      <w:r>
        <w:rPr>
          <w:spacing w:val="-14"/>
        </w:rPr>
        <w:t xml:space="preserve"> </w:t>
      </w:r>
      <w:r>
        <w:t>Durante</w:t>
      </w:r>
      <w:r>
        <w:rPr>
          <w:spacing w:val="-14"/>
        </w:rPr>
        <w:t xml:space="preserve"> </w:t>
      </w:r>
      <w:r>
        <w:t>las</w:t>
      </w:r>
      <w:r>
        <w:rPr>
          <w:spacing w:val="-14"/>
        </w:rPr>
        <w:t xml:space="preserve"> </w:t>
      </w:r>
      <w:r>
        <w:t>detenciones</w:t>
      </w:r>
      <w:r>
        <w:rPr>
          <w:spacing w:val="-14"/>
        </w:rPr>
        <w:t xml:space="preserve"> </w:t>
      </w:r>
      <w:r>
        <w:t>la</w:t>
      </w:r>
      <w:r>
        <w:rPr>
          <w:spacing w:val="-13"/>
        </w:rPr>
        <w:t xml:space="preserve"> </w:t>
      </w:r>
      <w:r>
        <w:t>víctima</w:t>
      </w:r>
      <w:r>
        <w:rPr>
          <w:spacing w:val="-13"/>
        </w:rPr>
        <w:t xml:space="preserve"> </w:t>
      </w:r>
      <w:r>
        <w:t>puede</w:t>
      </w:r>
      <w:r>
        <w:rPr>
          <w:spacing w:val="-13"/>
        </w:rPr>
        <w:t xml:space="preserve"> </w:t>
      </w:r>
      <w:r>
        <w:t xml:space="preserve">ser sometida a incomunicación o detención prolongada. El poder ejecutivo, una autoridad judicial o una administrativa ordenaron detenciones arbitrarias que no contaban con </w:t>
      </w:r>
      <w:r>
        <w:lastRenderedPageBreak/>
        <w:t>acusaciones o investigaciones previas, o se hacían bajo competencias de estados de sitio o conmoción,</w:t>
      </w:r>
      <w:r>
        <w:rPr>
          <w:spacing w:val="-7"/>
        </w:rPr>
        <w:t xml:space="preserve"> </w:t>
      </w:r>
      <w:r>
        <w:t>pero</w:t>
      </w:r>
      <w:r>
        <w:rPr>
          <w:spacing w:val="-6"/>
        </w:rPr>
        <w:t xml:space="preserve"> </w:t>
      </w:r>
      <w:r>
        <w:t>sin</w:t>
      </w:r>
      <w:r>
        <w:rPr>
          <w:spacing w:val="-6"/>
        </w:rPr>
        <w:t xml:space="preserve"> </w:t>
      </w:r>
      <w:r>
        <w:t>garantías</w:t>
      </w:r>
      <w:r>
        <w:rPr>
          <w:spacing w:val="-6"/>
        </w:rPr>
        <w:t xml:space="preserve"> </w:t>
      </w:r>
      <w:r>
        <w:t>legales</w:t>
      </w:r>
      <w:r>
        <w:rPr>
          <w:spacing w:val="-6"/>
        </w:rPr>
        <w:t xml:space="preserve"> </w:t>
      </w:r>
      <w:r>
        <w:t>para</w:t>
      </w:r>
      <w:r>
        <w:rPr>
          <w:spacing w:val="-6"/>
        </w:rPr>
        <w:t xml:space="preserve"> </w:t>
      </w:r>
      <w:r>
        <w:t>las</w:t>
      </w:r>
      <w:r>
        <w:rPr>
          <w:spacing w:val="-7"/>
        </w:rPr>
        <w:t xml:space="preserve"> </w:t>
      </w:r>
      <w:r>
        <w:t>personas</w:t>
      </w:r>
      <w:r>
        <w:rPr>
          <w:spacing w:val="-6"/>
        </w:rPr>
        <w:t xml:space="preserve"> </w:t>
      </w:r>
      <w:r>
        <w:t>detenidas;</w:t>
      </w:r>
      <w:r>
        <w:rPr>
          <w:spacing w:val="-6"/>
        </w:rPr>
        <w:t xml:space="preserve"> </w:t>
      </w:r>
      <w:r>
        <w:t>y</w:t>
      </w:r>
      <w:r>
        <w:rPr>
          <w:spacing w:val="-6"/>
        </w:rPr>
        <w:t xml:space="preserve"> </w:t>
      </w:r>
      <w:r>
        <w:t>otras</w:t>
      </w:r>
      <w:r>
        <w:rPr>
          <w:spacing w:val="-6"/>
        </w:rPr>
        <w:t xml:space="preserve"> </w:t>
      </w:r>
      <w:r>
        <w:t>fueron</w:t>
      </w:r>
      <w:r>
        <w:rPr>
          <w:spacing w:val="-6"/>
        </w:rPr>
        <w:t xml:space="preserve"> </w:t>
      </w:r>
      <w:r>
        <w:t>practicadas sin fundamento legal.</w:t>
      </w:r>
    </w:p>
    <w:p w:rsidR="003804AC" w:rsidRDefault="00AF18A5" w:rsidP="000A550F">
      <w:r>
        <w:t>Se registraron detenciones masivas arbitrarias en un periodo álgido del conflicto armado entre 2002 y 2008, en lugares como Arauca, Bolívar, Santander, Medellín, Eje Cafetero y Huila, entre otros. Las detenciones masivas no se respaldaron en evidencia, sino que fueron formas</w:t>
      </w:r>
      <w:r>
        <w:rPr>
          <w:spacing w:val="-6"/>
        </w:rPr>
        <w:t xml:space="preserve"> </w:t>
      </w:r>
      <w:r>
        <w:t>de</w:t>
      </w:r>
      <w:r>
        <w:rPr>
          <w:spacing w:val="-5"/>
        </w:rPr>
        <w:t xml:space="preserve"> </w:t>
      </w:r>
      <w:r>
        <w:t>criminalizar</w:t>
      </w:r>
      <w:r>
        <w:rPr>
          <w:spacing w:val="-6"/>
        </w:rPr>
        <w:t xml:space="preserve"> </w:t>
      </w:r>
      <w:r>
        <w:t>a</w:t>
      </w:r>
      <w:r>
        <w:rPr>
          <w:spacing w:val="-6"/>
        </w:rPr>
        <w:t xml:space="preserve"> </w:t>
      </w:r>
      <w:r>
        <w:t>sectores</w:t>
      </w:r>
      <w:r>
        <w:rPr>
          <w:spacing w:val="-5"/>
        </w:rPr>
        <w:t xml:space="preserve"> </w:t>
      </w:r>
      <w:r>
        <w:t>de</w:t>
      </w:r>
      <w:r>
        <w:rPr>
          <w:spacing w:val="-6"/>
        </w:rPr>
        <w:t xml:space="preserve"> </w:t>
      </w:r>
      <w:r>
        <w:t>la</w:t>
      </w:r>
      <w:r>
        <w:rPr>
          <w:spacing w:val="-5"/>
        </w:rPr>
        <w:t xml:space="preserve"> </w:t>
      </w:r>
      <w:r>
        <w:t>sociedad</w:t>
      </w:r>
      <w:r>
        <w:rPr>
          <w:spacing w:val="-6"/>
        </w:rPr>
        <w:t xml:space="preserve"> </w:t>
      </w:r>
      <w:r>
        <w:t>civil,</w:t>
      </w:r>
      <w:r>
        <w:rPr>
          <w:spacing w:val="-5"/>
        </w:rPr>
        <w:t xml:space="preserve"> </w:t>
      </w:r>
      <w:r>
        <w:t>bajo</w:t>
      </w:r>
      <w:r>
        <w:rPr>
          <w:spacing w:val="-6"/>
        </w:rPr>
        <w:t xml:space="preserve"> </w:t>
      </w:r>
      <w:r>
        <w:t>el</w:t>
      </w:r>
      <w:r>
        <w:rPr>
          <w:spacing w:val="-6"/>
        </w:rPr>
        <w:t xml:space="preserve"> </w:t>
      </w:r>
      <w:r>
        <w:t>estigma</w:t>
      </w:r>
      <w:r>
        <w:rPr>
          <w:spacing w:val="-5"/>
        </w:rPr>
        <w:t xml:space="preserve"> </w:t>
      </w:r>
      <w:r>
        <w:t>de</w:t>
      </w:r>
      <w:r>
        <w:rPr>
          <w:spacing w:val="-6"/>
        </w:rPr>
        <w:t xml:space="preserve"> </w:t>
      </w:r>
      <w:r>
        <w:t>enemigo</w:t>
      </w:r>
      <w:r>
        <w:rPr>
          <w:spacing w:val="-6"/>
        </w:rPr>
        <w:t xml:space="preserve"> </w:t>
      </w:r>
      <w:r>
        <w:t>interno.</w:t>
      </w:r>
      <w:r>
        <w:rPr>
          <w:spacing w:val="-5"/>
        </w:rPr>
        <w:t xml:space="preserve"> El</w:t>
      </w:r>
      <w:bookmarkStart w:id="232" w:name="_bookmark162"/>
      <w:bookmarkEnd w:id="232"/>
      <w:r w:rsidR="000A550F">
        <w:rPr>
          <w:spacing w:val="-5"/>
        </w:rPr>
        <w:t xml:space="preserve"> </w:t>
      </w:r>
      <w:r>
        <w:t>Estado capturó a cientos de personas sin pruebas y las sometió a interrogatorios y procesos para buscar información u obtener autoinculpaciones. En las detenciones arbitrarias la fabricación</w:t>
      </w:r>
      <w:r>
        <w:rPr>
          <w:spacing w:val="-5"/>
        </w:rPr>
        <w:t xml:space="preserve"> </w:t>
      </w:r>
      <w:r>
        <w:t>de</w:t>
      </w:r>
      <w:r>
        <w:rPr>
          <w:spacing w:val="-3"/>
        </w:rPr>
        <w:t xml:space="preserve"> </w:t>
      </w:r>
      <w:r>
        <w:t>pruebas</w:t>
      </w:r>
      <w:r>
        <w:rPr>
          <w:spacing w:val="-5"/>
        </w:rPr>
        <w:t xml:space="preserve"> </w:t>
      </w:r>
      <w:r>
        <w:t>falsas</w:t>
      </w:r>
      <w:r>
        <w:rPr>
          <w:spacing w:val="-4"/>
        </w:rPr>
        <w:t xml:space="preserve"> </w:t>
      </w:r>
      <w:r>
        <w:t>y</w:t>
      </w:r>
      <w:r>
        <w:rPr>
          <w:spacing w:val="-5"/>
        </w:rPr>
        <w:t xml:space="preserve"> </w:t>
      </w:r>
      <w:r>
        <w:t>la</w:t>
      </w:r>
      <w:r>
        <w:rPr>
          <w:spacing w:val="-3"/>
        </w:rPr>
        <w:t xml:space="preserve"> </w:t>
      </w:r>
      <w:r>
        <w:t>falta</w:t>
      </w:r>
      <w:r>
        <w:rPr>
          <w:spacing w:val="-3"/>
        </w:rPr>
        <w:t xml:space="preserve"> </w:t>
      </w:r>
      <w:r>
        <w:t>de</w:t>
      </w:r>
      <w:r>
        <w:rPr>
          <w:spacing w:val="-3"/>
        </w:rPr>
        <w:t xml:space="preserve"> </w:t>
      </w:r>
      <w:r>
        <w:t>independencia</w:t>
      </w:r>
      <w:r>
        <w:rPr>
          <w:spacing w:val="-3"/>
        </w:rPr>
        <w:t xml:space="preserve"> </w:t>
      </w:r>
      <w:r>
        <w:t>en</w:t>
      </w:r>
      <w:r>
        <w:rPr>
          <w:spacing w:val="-5"/>
        </w:rPr>
        <w:t xml:space="preserve"> </w:t>
      </w:r>
      <w:r>
        <w:t>la</w:t>
      </w:r>
      <w:r>
        <w:rPr>
          <w:spacing w:val="-3"/>
        </w:rPr>
        <w:t xml:space="preserve"> </w:t>
      </w:r>
      <w:r>
        <w:t>evaluación</w:t>
      </w:r>
      <w:r>
        <w:rPr>
          <w:spacing w:val="-5"/>
        </w:rPr>
        <w:t xml:space="preserve"> </w:t>
      </w:r>
      <w:r>
        <w:t>de</w:t>
      </w:r>
      <w:r>
        <w:rPr>
          <w:spacing w:val="-3"/>
        </w:rPr>
        <w:t xml:space="preserve"> </w:t>
      </w:r>
      <w:r>
        <w:t>los</w:t>
      </w:r>
      <w:r>
        <w:rPr>
          <w:spacing w:val="-4"/>
        </w:rPr>
        <w:t xml:space="preserve"> </w:t>
      </w:r>
      <w:r>
        <w:t>casos</w:t>
      </w:r>
      <w:r>
        <w:rPr>
          <w:spacing w:val="-5"/>
        </w:rPr>
        <w:t xml:space="preserve"> </w:t>
      </w:r>
      <w:r>
        <w:t>hacen parte del proceso, y la mayoría de personas detenidas quedan</w:t>
      </w:r>
      <w:r>
        <w:rPr>
          <w:spacing w:val="-1"/>
        </w:rPr>
        <w:t xml:space="preserve"> </w:t>
      </w:r>
      <w:r>
        <w:t>en libertad por la debilidad de las</w:t>
      </w:r>
      <w:r>
        <w:rPr>
          <w:spacing w:val="-15"/>
        </w:rPr>
        <w:t xml:space="preserve"> </w:t>
      </w:r>
      <w:r>
        <w:t>pruebas;</w:t>
      </w:r>
      <w:r>
        <w:rPr>
          <w:spacing w:val="-15"/>
        </w:rPr>
        <w:t xml:space="preserve"> </w:t>
      </w:r>
      <w:r>
        <w:t>muchas</w:t>
      </w:r>
      <w:r>
        <w:rPr>
          <w:spacing w:val="-15"/>
        </w:rPr>
        <w:t xml:space="preserve"> </w:t>
      </w:r>
      <w:r>
        <w:t>personas</w:t>
      </w:r>
      <w:r>
        <w:rPr>
          <w:spacing w:val="-15"/>
        </w:rPr>
        <w:t xml:space="preserve"> </w:t>
      </w:r>
      <w:r>
        <w:t>duran</w:t>
      </w:r>
      <w:r>
        <w:rPr>
          <w:spacing w:val="-15"/>
        </w:rPr>
        <w:t xml:space="preserve"> </w:t>
      </w:r>
      <w:r>
        <w:t>detenidas</w:t>
      </w:r>
      <w:r>
        <w:rPr>
          <w:spacing w:val="-15"/>
        </w:rPr>
        <w:t xml:space="preserve"> </w:t>
      </w:r>
      <w:r>
        <w:t>varios</w:t>
      </w:r>
      <w:r>
        <w:rPr>
          <w:spacing w:val="-15"/>
        </w:rPr>
        <w:t xml:space="preserve"> </w:t>
      </w:r>
      <w:r>
        <w:t>años</w:t>
      </w:r>
      <w:r>
        <w:rPr>
          <w:spacing w:val="-15"/>
        </w:rPr>
        <w:t xml:space="preserve"> </w:t>
      </w:r>
      <w:r>
        <w:t>hasta</w:t>
      </w:r>
      <w:r>
        <w:rPr>
          <w:spacing w:val="-15"/>
        </w:rPr>
        <w:t xml:space="preserve"> </w:t>
      </w:r>
      <w:r>
        <w:t>que</w:t>
      </w:r>
      <w:r>
        <w:rPr>
          <w:spacing w:val="-15"/>
        </w:rPr>
        <w:t xml:space="preserve"> </w:t>
      </w:r>
      <w:r>
        <w:t>los</w:t>
      </w:r>
      <w:r>
        <w:rPr>
          <w:spacing w:val="-15"/>
        </w:rPr>
        <w:t xml:space="preserve"> </w:t>
      </w:r>
      <w:r>
        <w:t>abogados</w:t>
      </w:r>
      <w:r>
        <w:rPr>
          <w:spacing w:val="-15"/>
        </w:rPr>
        <w:t xml:space="preserve"> </w:t>
      </w:r>
      <w:r>
        <w:t>demuestran la</w:t>
      </w:r>
      <w:r>
        <w:rPr>
          <w:spacing w:val="-2"/>
        </w:rPr>
        <w:t xml:space="preserve"> </w:t>
      </w:r>
      <w:r>
        <w:t>falsedad</w:t>
      </w:r>
      <w:r>
        <w:rPr>
          <w:spacing w:val="-2"/>
        </w:rPr>
        <w:t xml:space="preserve"> </w:t>
      </w:r>
      <w:r>
        <w:t>de</w:t>
      </w:r>
      <w:r>
        <w:rPr>
          <w:spacing w:val="-2"/>
        </w:rPr>
        <w:t xml:space="preserve"> </w:t>
      </w:r>
      <w:r>
        <w:t>las</w:t>
      </w:r>
      <w:r>
        <w:rPr>
          <w:spacing w:val="-2"/>
        </w:rPr>
        <w:t xml:space="preserve"> </w:t>
      </w:r>
      <w:r>
        <w:t>pruebas</w:t>
      </w:r>
      <w:r>
        <w:rPr>
          <w:spacing w:val="-2"/>
        </w:rPr>
        <w:t xml:space="preserve"> </w:t>
      </w:r>
      <w:r>
        <w:t>y</w:t>
      </w:r>
      <w:r>
        <w:rPr>
          <w:spacing w:val="-2"/>
        </w:rPr>
        <w:t xml:space="preserve"> </w:t>
      </w:r>
      <w:r>
        <w:t>consiguen</w:t>
      </w:r>
      <w:r>
        <w:rPr>
          <w:spacing w:val="-2"/>
        </w:rPr>
        <w:t xml:space="preserve"> </w:t>
      </w:r>
      <w:r>
        <w:t>su</w:t>
      </w:r>
      <w:r>
        <w:rPr>
          <w:spacing w:val="-2"/>
        </w:rPr>
        <w:t xml:space="preserve"> </w:t>
      </w:r>
      <w:r>
        <w:t>libertad.</w:t>
      </w:r>
      <w:r>
        <w:rPr>
          <w:spacing w:val="-2"/>
        </w:rPr>
        <w:t xml:space="preserve"> </w:t>
      </w:r>
      <w:r>
        <w:t>Sin</w:t>
      </w:r>
      <w:r>
        <w:rPr>
          <w:spacing w:val="-2"/>
        </w:rPr>
        <w:t xml:space="preserve"> </w:t>
      </w:r>
      <w:r>
        <w:t>embargo,</w:t>
      </w:r>
      <w:r>
        <w:rPr>
          <w:spacing w:val="-2"/>
        </w:rPr>
        <w:t xml:space="preserve"> </w:t>
      </w:r>
      <w:r>
        <w:t>la</w:t>
      </w:r>
      <w:r>
        <w:rPr>
          <w:spacing w:val="-2"/>
        </w:rPr>
        <w:t xml:space="preserve"> </w:t>
      </w:r>
      <w:r>
        <w:t>estigmatización</w:t>
      </w:r>
      <w:r>
        <w:rPr>
          <w:spacing w:val="-2"/>
        </w:rPr>
        <w:t xml:space="preserve"> </w:t>
      </w:r>
      <w:r>
        <w:t>continúa afectando a las víctimas, así se demuestre su inocencia.</w:t>
      </w:r>
    </w:p>
    <w:p w:rsidR="003804AC" w:rsidRDefault="00AF18A5" w:rsidP="000A550F">
      <w:r>
        <w:t>Buena</w:t>
      </w:r>
      <w:r>
        <w:rPr>
          <w:spacing w:val="-7"/>
        </w:rPr>
        <w:t xml:space="preserve"> </w:t>
      </w:r>
      <w:r>
        <w:t>parte</w:t>
      </w:r>
      <w:r>
        <w:rPr>
          <w:spacing w:val="-8"/>
        </w:rPr>
        <w:t xml:space="preserve"> </w:t>
      </w:r>
      <w:r>
        <w:t>de</w:t>
      </w:r>
      <w:r>
        <w:rPr>
          <w:spacing w:val="-7"/>
        </w:rPr>
        <w:t xml:space="preserve"> </w:t>
      </w:r>
      <w:r>
        <w:t>las</w:t>
      </w:r>
      <w:r>
        <w:rPr>
          <w:spacing w:val="-7"/>
        </w:rPr>
        <w:t xml:space="preserve"> </w:t>
      </w:r>
      <w:r>
        <w:t>detenciones</w:t>
      </w:r>
      <w:r>
        <w:rPr>
          <w:spacing w:val="-7"/>
        </w:rPr>
        <w:t xml:space="preserve"> </w:t>
      </w:r>
      <w:r>
        <w:t>arbitrarias</w:t>
      </w:r>
      <w:r>
        <w:rPr>
          <w:spacing w:val="-7"/>
        </w:rPr>
        <w:t xml:space="preserve"> </w:t>
      </w:r>
      <w:r>
        <w:t>se</w:t>
      </w:r>
      <w:r>
        <w:rPr>
          <w:spacing w:val="-7"/>
        </w:rPr>
        <w:t xml:space="preserve"> </w:t>
      </w:r>
      <w:r>
        <w:t>dan</w:t>
      </w:r>
      <w:r>
        <w:rPr>
          <w:spacing w:val="-8"/>
        </w:rPr>
        <w:t xml:space="preserve"> </w:t>
      </w:r>
      <w:r>
        <w:t>en</w:t>
      </w:r>
      <w:r>
        <w:rPr>
          <w:spacing w:val="-7"/>
        </w:rPr>
        <w:t xml:space="preserve"> </w:t>
      </w:r>
      <w:r>
        <w:t>contextos</w:t>
      </w:r>
      <w:r>
        <w:rPr>
          <w:spacing w:val="-8"/>
        </w:rPr>
        <w:t xml:space="preserve"> </w:t>
      </w:r>
      <w:r>
        <w:t>de</w:t>
      </w:r>
      <w:r>
        <w:rPr>
          <w:spacing w:val="-7"/>
        </w:rPr>
        <w:t xml:space="preserve"> </w:t>
      </w:r>
      <w:r>
        <w:t>desprotección,</w:t>
      </w:r>
      <w:r>
        <w:rPr>
          <w:spacing w:val="-7"/>
        </w:rPr>
        <w:t xml:space="preserve"> </w:t>
      </w:r>
      <w:r>
        <w:t>tienen</w:t>
      </w:r>
      <w:r>
        <w:rPr>
          <w:spacing w:val="-8"/>
        </w:rPr>
        <w:t xml:space="preserve"> </w:t>
      </w:r>
      <w:r>
        <w:t>un grave impacto familiar y social, representan pérdida de trabajo o señalamientos posteriores, y en otros casos se asocian con malos tratos y torturas. De los 831 hechos de detención arbitraria documentados en testimonios de la Comisión</w:t>
      </w:r>
      <w:r w:rsidR="000A550F">
        <w:rPr>
          <w:rStyle w:val="Refdenotaalpie"/>
        </w:rPr>
        <w:footnoteReference w:id="142"/>
      </w:r>
      <w:r>
        <w:t>, se dio con torturas en el 16</w:t>
      </w:r>
      <w:r>
        <w:rPr>
          <w:spacing w:val="-4"/>
        </w:rPr>
        <w:t xml:space="preserve"> </w:t>
      </w:r>
      <w:r>
        <w:t>% de los casos y amenazas en el 3</w:t>
      </w:r>
      <w:r>
        <w:rPr>
          <w:spacing w:val="-3"/>
        </w:rPr>
        <w:t xml:space="preserve"> </w:t>
      </w:r>
      <w:r>
        <w:t>%. Además, hubo ocasiones en las que se encadenaron tres violencias o más, como en el de detención con la tortura y la amenaza (5</w:t>
      </w:r>
      <w:r>
        <w:rPr>
          <w:spacing w:val="-2"/>
        </w:rPr>
        <w:t xml:space="preserve"> </w:t>
      </w:r>
      <w:r>
        <w:t>%), o de la tortura y la violencia sexual (1 %).</w:t>
      </w:r>
    </w:p>
    <w:p w:rsidR="003804AC" w:rsidRDefault="00AF18A5" w:rsidP="000A550F">
      <w:r>
        <w:lastRenderedPageBreak/>
        <w:t>La Comisión recibió informes de la sociedad civil que muestran algunas cifras de detenciones arbitrarias. Sin embargo, al no contar con fuentes de información oficiales, se presenta</w:t>
      </w:r>
      <w:r>
        <w:rPr>
          <w:spacing w:val="-4"/>
        </w:rPr>
        <w:t xml:space="preserve"> </w:t>
      </w:r>
      <w:r>
        <w:t>un</w:t>
      </w:r>
      <w:r>
        <w:rPr>
          <w:spacing w:val="-6"/>
        </w:rPr>
        <w:t xml:space="preserve"> </w:t>
      </w:r>
      <w:r>
        <w:t>significativo</w:t>
      </w:r>
      <w:r>
        <w:rPr>
          <w:spacing w:val="-6"/>
        </w:rPr>
        <w:t xml:space="preserve"> </w:t>
      </w:r>
      <w:r>
        <w:t>subregistro.</w:t>
      </w:r>
      <w:r>
        <w:rPr>
          <w:spacing w:val="-6"/>
        </w:rPr>
        <w:t xml:space="preserve"> </w:t>
      </w:r>
      <w:r>
        <w:t>Esto</w:t>
      </w:r>
      <w:r>
        <w:rPr>
          <w:spacing w:val="-6"/>
        </w:rPr>
        <w:t xml:space="preserve"> </w:t>
      </w:r>
      <w:r>
        <w:t>repercute</w:t>
      </w:r>
      <w:r>
        <w:rPr>
          <w:spacing w:val="-4"/>
        </w:rPr>
        <w:t xml:space="preserve"> </w:t>
      </w:r>
      <w:r>
        <w:t>en</w:t>
      </w:r>
      <w:r>
        <w:rPr>
          <w:spacing w:val="-6"/>
        </w:rPr>
        <w:t xml:space="preserve"> </w:t>
      </w:r>
      <w:r>
        <w:t>la</w:t>
      </w:r>
      <w:r>
        <w:rPr>
          <w:spacing w:val="-6"/>
        </w:rPr>
        <w:t xml:space="preserve"> </w:t>
      </w:r>
      <w:r>
        <w:t>imposibilidad</w:t>
      </w:r>
      <w:r>
        <w:rPr>
          <w:spacing w:val="-7"/>
        </w:rPr>
        <w:t xml:space="preserve"> </w:t>
      </w:r>
      <w:r>
        <w:t>de</w:t>
      </w:r>
      <w:r>
        <w:rPr>
          <w:spacing w:val="-4"/>
        </w:rPr>
        <w:t xml:space="preserve"> </w:t>
      </w:r>
      <w:r>
        <w:t>obtener</w:t>
      </w:r>
      <w:r>
        <w:rPr>
          <w:spacing w:val="-4"/>
        </w:rPr>
        <w:t xml:space="preserve"> </w:t>
      </w:r>
      <w:r>
        <w:t>una</w:t>
      </w:r>
      <w:r>
        <w:rPr>
          <w:spacing w:val="-4"/>
        </w:rPr>
        <w:t xml:space="preserve"> </w:t>
      </w:r>
      <w:r>
        <w:t>cifra total y unas tendencias claras. Según datos del Movimiento de Víctimas de Crímenes de Estado, el periodo del Estatuto de Seguridad (1978-1982) es donde más detenciones arbitrarias se registraron, con un total de 16.000 víctimas. El Centro de Investigación y Educación Popular registró que, entre 1990 y 2002 hubo 10.732 víctimas, situación que estaría</w:t>
      </w:r>
      <w:r>
        <w:rPr>
          <w:spacing w:val="-11"/>
        </w:rPr>
        <w:t xml:space="preserve"> </w:t>
      </w:r>
      <w:r>
        <w:t>relacionada</w:t>
      </w:r>
      <w:r>
        <w:rPr>
          <w:spacing w:val="-11"/>
        </w:rPr>
        <w:t xml:space="preserve"> </w:t>
      </w:r>
      <w:r>
        <w:t>con</w:t>
      </w:r>
      <w:r>
        <w:rPr>
          <w:spacing w:val="-11"/>
        </w:rPr>
        <w:t xml:space="preserve"> </w:t>
      </w:r>
      <w:r>
        <w:t>el</w:t>
      </w:r>
      <w:r>
        <w:rPr>
          <w:spacing w:val="-12"/>
        </w:rPr>
        <w:t xml:space="preserve"> </w:t>
      </w:r>
      <w:r>
        <w:t>Estado</w:t>
      </w:r>
      <w:r>
        <w:rPr>
          <w:spacing w:val="-11"/>
        </w:rPr>
        <w:t xml:space="preserve"> </w:t>
      </w:r>
      <w:r>
        <w:t>de</w:t>
      </w:r>
      <w:r>
        <w:rPr>
          <w:spacing w:val="-11"/>
        </w:rPr>
        <w:t xml:space="preserve"> </w:t>
      </w:r>
      <w:r>
        <w:t>sitio</w:t>
      </w:r>
      <w:r>
        <w:rPr>
          <w:spacing w:val="-11"/>
        </w:rPr>
        <w:t xml:space="preserve"> </w:t>
      </w:r>
      <w:r>
        <w:t>a</w:t>
      </w:r>
      <w:r>
        <w:rPr>
          <w:spacing w:val="-11"/>
        </w:rPr>
        <w:t xml:space="preserve"> </w:t>
      </w:r>
      <w:r>
        <w:t>comienzos</w:t>
      </w:r>
      <w:r>
        <w:rPr>
          <w:spacing w:val="-11"/>
        </w:rPr>
        <w:t xml:space="preserve"> </w:t>
      </w:r>
      <w:r>
        <w:t>de</w:t>
      </w:r>
      <w:r>
        <w:rPr>
          <w:spacing w:val="-11"/>
        </w:rPr>
        <w:t xml:space="preserve"> </w:t>
      </w:r>
      <w:r>
        <w:t>la</w:t>
      </w:r>
      <w:r>
        <w:rPr>
          <w:spacing w:val="-11"/>
        </w:rPr>
        <w:t xml:space="preserve"> </w:t>
      </w:r>
      <w:r>
        <w:t>década</w:t>
      </w:r>
      <w:r>
        <w:rPr>
          <w:spacing w:val="-11"/>
        </w:rPr>
        <w:t xml:space="preserve"> </w:t>
      </w:r>
      <w:r>
        <w:t>de</w:t>
      </w:r>
      <w:r>
        <w:rPr>
          <w:spacing w:val="-11"/>
        </w:rPr>
        <w:t xml:space="preserve"> </w:t>
      </w:r>
      <w:r>
        <w:t>los</w:t>
      </w:r>
      <w:r>
        <w:rPr>
          <w:spacing w:val="-11"/>
        </w:rPr>
        <w:t xml:space="preserve"> </w:t>
      </w:r>
      <w:r>
        <w:t>noventa</w:t>
      </w:r>
      <w:r>
        <w:rPr>
          <w:spacing w:val="-11"/>
        </w:rPr>
        <w:t xml:space="preserve"> </w:t>
      </w:r>
      <w:r>
        <w:t>y</w:t>
      </w:r>
      <w:r>
        <w:rPr>
          <w:spacing w:val="-11"/>
        </w:rPr>
        <w:t xml:space="preserve"> </w:t>
      </w:r>
      <w:r>
        <w:t>el</w:t>
      </w:r>
      <w:r>
        <w:rPr>
          <w:spacing w:val="-12"/>
        </w:rPr>
        <w:t xml:space="preserve"> </w:t>
      </w:r>
      <w:r>
        <w:t>Estado de conmoción que se vivió a partir de agosto de 2002. La Comisión Colombiana de Juristas plantea que desde 1990 hasta el año 2016 se registraron 5.985 detenciones arbitrarias. En contraste,</w:t>
      </w:r>
      <w:r>
        <w:rPr>
          <w:spacing w:val="-8"/>
        </w:rPr>
        <w:t xml:space="preserve"> </w:t>
      </w:r>
      <w:r>
        <w:t>el</w:t>
      </w:r>
      <w:r>
        <w:rPr>
          <w:spacing w:val="-9"/>
        </w:rPr>
        <w:t xml:space="preserve"> </w:t>
      </w:r>
      <w:r>
        <w:t>Comité</w:t>
      </w:r>
      <w:r>
        <w:rPr>
          <w:spacing w:val="-8"/>
        </w:rPr>
        <w:t xml:space="preserve"> </w:t>
      </w:r>
      <w:r>
        <w:t>de</w:t>
      </w:r>
      <w:r>
        <w:rPr>
          <w:spacing w:val="-8"/>
        </w:rPr>
        <w:t xml:space="preserve"> </w:t>
      </w:r>
      <w:r>
        <w:t>Solidaridad</w:t>
      </w:r>
      <w:r>
        <w:rPr>
          <w:spacing w:val="-8"/>
        </w:rPr>
        <w:t xml:space="preserve"> </w:t>
      </w:r>
      <w:r>
        <w:t>con</w:t>
      </w:r>
      <w:r>
        <w:rPr>
          <w:spacing w:val="-8"/>
        </w:rPr>
        <w:t xml:space="preserve"> </w:t>
      </w:r>
      <w:r>
        <w:t>los</w:t>
      </w:r>
      <w:r>
        <w:rPr>
          <w:spacing w:val="-8"/>
        </w:rPr>
        <w:t xml:space="preserve"> </w:t>
      </w:r>
      <w:r>
        <w:t>Presos</w:t>
      </w:r>
      <w:r>
        <w:rPr>
          <w:spacing w:val="-8"/>
        </w:rPr>
        <w:t xml:space="preserve"> </w:t>
      </w:r>
      <w:r>
        <w:t>Políticos</w:t>
      </w:r>
      <w:r>
        <w:rPr>
          <w:spacing w:val="-8"/>
        </w:rPr>
        <w:t xml:space="preserve"> </w:t>
      </w:r>
      <w:r>
        <w:t>entre</w:t>
      </w:r>
      <w:r>
        <w:rPr>
          <w:spacing w:val="-8"/>
        </w:rPr>
        <w:t xml:space="preserve"> </w:t>
      </w:r>
      <w:r>
        <w:t>2002</w:t>
      </w:r>
      <w:r>
        <w:rPr>
          <w:spacing w:val="-8"/>
        </w:rPr>
        <w:t xml:space="preserve"> </w:t>
      </w:r>
      <w:r>
        <w:t>y</w:t>
      </w:r>
      <w:r>
        <w:rPr>
          <w:spacing w:val="-9"/>
        </w:rPr>
        <w:t xml:space="preserve"> </w:t>
      </w:r>
      <w:r>
        <w:t>2004</w:t>
      </w:r>
      <w:r>
        <w:rPr>
          <w:spacing w:val="-8"/>
        </w:rPr>
        <w:t xml:space="preserve"> </w:t>
      </w:r>
      <w:r>
        <w:t>registró</w:t>
      </w:r>
      <w:r>
        <w:rPr>
          <w:spacing w:val="-8"/>
        </w:rPr>
        <w:t xml:space="preserve"> </w:t>
      </w:r>
      <w:r>
        <w:t>6.590 víctimas. Además, conviene resaltar el esfuerzo que se ha hecho desde el Centro de Cooperación</w:t>
      </w:r>
      <w:r>
        <w:rPr>
          <w:spacing w:val="-10"/>
        </w:rPr>
        <w:t xml:space="preserve"> </w:t>
      </w:r>
      <w:r>
        <w:t>al</w:t>
      </w:r>
      <w:r>
        <w:rPr>
          <w:spacing w:val="-8"/>
        </w:rPr>
        <w:t xml:space="preserve"> </w:t>
      </w:r>
      <w:r>
        <w:t>Indígena</w:t>
      </w:r>
      <w:r>
        <w:rPr>
          <w:spacing w:val="-8"/>
        </w:rPr>
        <w:t xml:space="preserve"> </w:t>
      </w:r>
      <w:r>
        <w:t>(</w:t>
      </w:r>
      <w:proofErr w:type="spellStart"/>
      <w:r>
        <w:t>Cecoin</w:t>
      </w:r>
      <w:proofErr w:type="spellEnd"/>
      <w:r>
        <w:t>)</w:t>
      </w:r>
      <w:r>
        <w:rPr>
          <w:spacing w:val="-8"/>
        </w:rPr>
        <w:t xml:space="preserve"> </w:t>
      </w:r>
      <w:r>
        <w:t>por</w:t>
      </w:r>
      <w:r>
        <w:rPr>
          <w:spacing w:val="-8"/>
        </w:rPr>
        <w:t xml:space="preserve"> </w:t>
      </w:r>
      <w:r>
        <w:t>referenciar</w:t>
      </w:r>
      <w:r>
        <w:rPr>
          <w:spacing w:val="-8"/>
        </w:rPr>
        <w:t xml:space="preserve"> </w:t>
      </w:r>
      <w:r>
        <w:t>a</w:t>
      </w:r>
      <w:r>
        <w:rPr>
          <w:spacing w:val="-8"/>
        </w:rPr>
        <w:t xml:space="preserve"> </w:t>
      </w:r>
      <w:r>
        <w:t>las</w:t>
      </w:r>
      <w:r>
        <w:rPr>
          <w:spacing w:val="-7"/>
        </w:rPr>
        <w:t xml:space="preserve"> </w:t>
      </w:r>
      <w:r>
        <w:t>víctimas</w:t>
      </w:r>
      <w:r>
        <w:rPr>
          <w:spacing w:val="-7"/>
        </w:rPr>
        <w:t xml:space="preserve"> </w:t>
      </w:r>
      <w:r>
        <w:t>indígenas</w:t>
      </w:r>
      <w:r>
        <w:rPr>
          <w:spacing w:val="-10"/>
        </w:rPr>
        <w:t xml:space="preserve"> </w:t>
      </w:r>
      <w:r>
        <w:t>que</w:t>
      </w:r>
      <w:r>
        <w:rPr>
          <w:spacing w:val="-7"/>
        </w:rPr>
        <w:t xml:space="preserve"> </w:t>
      </w:r>
      <w:r>
        <w:t>han</w:t>
      </w:r>
      <w:r>
        <w:rPr>
          <w:spacing w:val="-9"/>
        </w:rPr>
        <w:t xml:space="preserve"> </w:t>
      </w:r>
      <w:r>
        <w:t>sufrido</w:t>
      </w:r>
      <w:r>
        <w:rPr>
          <w:spacing w:val="-7"/>
        </w:rPr>
        <w:t xml:space="preserve"> </w:t>
      </w:r>
      <w:r>
        <w:rPr>
          <w:spacing w:val="-5"/>
        </w:rPr>
        <w:t>de</w:t>
      </w:r>
      <w:bookmarkStart w:id="233" w:name="_bookmark163"/>
      <w:bookmarkEnd w:id="233"/>
      <w:r w:rsidR="000A550F">
        <w:rPr>
          <w:spacing w:val="-5"/>
        </w:rPr>
        <w:t xml:space="preserve"> </w:t>
      </w:r>
      <w:r>
        <w:t>esta violación y que evidencia cómo esta población ha sido especialmente victimizada. Registrando un total de 2.493 víctimas entre 1974 y 2004</w:t>
      </w:r>
      <w:r w:rsidR="000A550F">
        <w:rPr>
          <w:rStyle w:val="Refdenotaalpie"/>
        </w:rPr>
        <w:footnoteReference w:id="143"/>
      </w:r>
      <w:r>
        <w:t>. Solo en el departamento del Tolima, en el marco de la recuperación de tierras, entre 1974 y 1984, cuando se tituló el primer resguardo, más de 280 indígenas fueron detenidos arbitrariamente</w:t>
      </w:r>
      <w:r w:rsidR="000A550F">
        <w:rPr>
          <w:rStyle w:val="Refdenotaalpie"/>
        </w:rPr>
        <w:footnoteReference w:id="144"/>
      </w:r>
      <w:r>
        <w:t>.</w:t>
      </w:r>
    </w:p>
    <w:p w:rsidR="0011361F" w:rsidRPr="00854459" w:rsidRDefault="00AF18A5" w:rsidP="004A6EF4">
      <w:pPr>
        <w:pStyle w:val="Ttulo3"/>
        <w:numPr>
          <w:ilvl w:val="1"/>
          <w:numId w:val="16"/>
        </w:numPr>
      </w:pPr>
      <w:bookmarkStart w:id="234" w:name="3.8._El_secuestro,_la_extorsión_y_el_pil"/>
      <w:bookmarkStart w:id="235" w:name="_Toc112399567"/>
      <w:bookmarkEnd w:id="234"/>
      <w:r w:rsidRPr="00854459">
        <w:t>El secuestro, la extorsión y el pillaje</w:t>
      </w:r>
      <w:bookmarkEnd w:id="235"/>
    </w:p>
    <w:p w:rsidR="003804AC" w:rsidRDefault="00AF18A5" w:rsidP="00183E7C">
      <w:r>
        <w:t>«El secuestro no tiene fecha de vencimiento, es decir, el secuestro no se acaba el día de la liberación.</w:t>
      </w:r>
      <w:r>
        <w:rPr>
          <w:spacing w:val="-12"/>
        </w:rPr>
        <w:t xml:space="preserve"> </w:t>
      </w:r>
      <w:r>
        <w:t>El</w:t>
      </w:r>
      <w:r>
        <w:rPr>
          <w:spacing w:val="-10"/>
        </w:rPr>
        <w:t xml:space="preserve"> </w:t>
      </w:r>
      <w:r>
        <w:t>secuestro</w:t>
      </w:r>
      <w:r>
        <w:rPr>
          <w:spacing w:val="-11"/>
        </w:rPr>
        <w:t xml:space="preserve"> </w:t>
      </w:r>
      <w:r>
        <w:t>es</w:t>
      </w:r>
      <w:r>
        <w:rPr>
          <w:spacing w:val="-11"/>
        </w:rPr>
        <w:t xml:space="preserve"> </w:t>
      </w:r>
      <w:r>
        <w:t>una</w:t>
      </w:r>
      <w:r>
        <w:rPr>
          <w:spacing w:val="-10"/>
        </w:rPr>
        <w:t xml:space="preserve"> </w:t>
      </w:r>
      <w:r>
        <w:t>realidad</w:t>
      </w:r>
      <w:r>
        <w:rPr>
          <w:spacing w:val="-11"/>
        </w:rPr>
        <w:t xml:space="preserve"> </w:t>
      </w:r>
      <w:r>
        <w:t>que</w:t>
      </w:r>
      <w:r>
        <w:rPr>
          <w:spacing w:val="-10"/>
        </w:rPr>
        <w:t xml:space="preserve"> </w:t>
      </w:r>
      <w:r>
        <w:t>se</w:t>
      </w:r>
      <w:r>
        <w:rPr>
          <w:spacing w:val="-11"/>
        </w:rPr>
        <w:t xml:space="preserve"> </w:t>
      </w:r>
      <w:r>
        <w:t>vuelve</w:t>
      </w:r>
      <w:r>
        <w:rPr>
          <w:spacing w:val="-10"/>
        </w:rPr>
        <w:t xml:space="preserve"> </w:t>
      </w:r>
      <w:r>
        <w:lastRenderedPageBreak/>
        <w:t>genética</w:t>
      </w:r>
      <w:r>
        <w:rPr>
          <w:spacing w:val="-11"/>
        </w:rPr>
        <w:t xml:space="preserve"> </w:t>
      </w:r>
      <w:r>
        <w:t>–si</w:t>
      </w:r>
      <w:r>
        <w:rPr>
          <w:spacing w:val="-10"/>
        </w:rPr>
        <w:t xml:space="preserve"> </w:t>
      </w:r>
      <w:r>
        <w:t>se</w:t>
      </w:r>
      <w:r>
        <w:rPr>
          <w:spacing w:val="-12"/>
        </w:rPr>
        <w:t xml:space="preserve"> </w:t>
      </w:r>
      <w:r>
        <w:t>quiere,</w:t>
      </w:r>
      <w:r>
        <w:rPr>
          <w:spacing w:val="-11"/>
        </w:rPr>
        <w:t xml:space="preserve"> </w:t>
      </w:r>
      <w:r>
        <w:t>del</w:t>
      </w:r>
      <w:r>
        <w:rPr>
          <w:spacing w:val="-10"/>
        </w:rPr>
        <w:t xml:space="preserve"> </w:t>
      </w:r>
      <w:r>
        <w:t xml:space="preserve">secuestrado– y que va a cambiar totalmente su manera de ser, su manera de ver la realidad, de </w:t>
      </w:r>
      <w:r>
        <w:rPr>
          <w:spacing w:val="-2"/>
        </w:rPr>
        <w:t>comunicarse»</w:t>
      </w:r>
      <w:r w:rsidR="00183E7C">
        <w:rPr>
          <w:rStyle w:val="Refdenotaalpie"/>
          <w:spacing w:val="-2"/>
        </w:rPr>
        <w:footnoteReference w:id="145"/>
      </w:r>
      <w:r>
        <w:rPr>
          <w:spacing w:val="-2"/>
        </w:rPr>
        <w:t>.</w:t>
      </w:r>
    </w:p>
    <w:p w:rsidR="003804AC" w:rsidRDefault="00AF18A5" w:rsidP="00183E7C">
      <w:r>
        <w:t>El secuestro o toma de rehenes, como lo denomina el DIH, es un crimen reconocido y repudiado por la sociedad colombiana. Supone la privación de la libertad de una o más personas por parte de un actor armado bajo intimidación, amenaza u otros medios, que condiciona</w:t>
      </w:r>
      <w:r>
        <w:rPr>
          <w:spacing w:val="-5"/>
        </w:rPr>
        <w:t xml:space="preserve"> </w:t>
      </w:r>
      <w:r>
        <w:t>la</w:t>
      </w:r>
      <w:r>
        <w:rPr>
          <w:spacing w:val="-5"/>
        </w:rPr>
        <w:t xml:space="preserve"> </w:t>
      </w:r>
      <w:r>
        <w:t>liberación</w:t>
      </w:r>
      <w:r>
        <w:rPr>
          <w:spacing w:val="-6"/>
        </w:rPr>
        <w:t xml:space="preserve"> </w:t>
      </w:r>
      <w:r>
        <w:t>o</w:t>
      </w:r>
      <w:r>
        <w:rPr>
          <w:spacing w:val="-5"/>
        </w:rPr>
        <w:t xml:space="preserve"> </w:t>
      </w:r>
      <w:r>
        <w:t>la</w:t>
      </w:r>
      <w:r>
        <w:rPr>
          <w:spacing w:val="-5"/>
        </w:rPr>
        <w:t xml:space="preserve"> </w:t>
      </w:r>
      <w:r>
        <w:t>seguridad</w:t>
      </w:r>
      <w:r>
        <w:rPr>
          <w:spacing w:val="-5"/>
        </w:rPr>
        <w:t xml:space="preserve"> </w:t>
      </w:r>
      <w:r>
        <w:t>e</w:t>
      </w:r>
      <w:r>
        <w:rPr>
          <w:spacing w:val="-5"/>
        </w:rPr>
        <w:t xml:space="preserve"> </w:t>
      </w:r>
      <w:r>
        <w:t>integridad</w:t>
      </w:r>
      <w:r>
        <w:rPr>
          <w:spacing w:val="-5"/>
        </w:rPr>
        <w:t xml:space="preserve"> </w:t>
      </w:r>
      <w:r>
        <w:t>personal</w:t>
      </w:r>
      <w:r>
        <w:rPr>
          <w:spacing w:val="-4"/>
        </w:rPr>
        <w:t xml:space="preserve"> </w:t>
      </w:r>
      <w:r>
        <w:t>de</w:t>
      </w:r>
      <w:r>
        <w:rPr>
          <w:spacing w:val="-5"/>
        </w:rPr>
        <w:t xml:space="preserve"> </w:t>
      </w:r>
      <w:r>
        <w:t>las</w:t>
      </w:r>
      <w:r>
        <w:rPr>
          <w:spacing w:val="-5"/>
        </w:rPr>
        <w:t xml:space="preserve"> </w:t>
      </w:r>
      <w:r>
        <w:t>víctimas</w:t>
      </w:r>
      <w:r>
        <w:rPr>
          <w:spacing w:val="-5"/>
        </w:rPr>
        <w:t xml:space="preserve"> </w:t>
      </w:r>
      <w:r>
        <w:t>a</w:t>
      </w:r>
      <w:r>
        <w:rPr>
          <w:spacing w:val="-5"/>
        </w:rPr>
        <w:t xml:space="preserve"> </w:t>
      </w:r>
      <w:r>
        <w:t>la</w:t>
      </w:r>
      <w:r>
        <w:rPr>
          <w:spacing w:val="-5"/>
        </w:rPr>
        <w:t xml:space="preserve"> </w:t>
      </w:r>
      <w:r>
        <w:t>satisfacción de exigencias económicas, políticas, militares y de control territorial, entre otras. Si bien la Corte Constitucional ha señalado que la toma de rehenes se configura en escenarios bélicos y</w:t>
      </w:r>
      <w:r>
        <w:rPr>
          <w:spacing w:val="-15"/>
        </w:rPr>
        <w:t xml:space="preserve"> </w:t>
      </w:r>
      <w:r>
        <w:t>que</w:t>
      </w:r>
      <w:r>
        <w:rPr>
          <w:spacing w:val="-15"/>
        </w:rPr>
        <w:t xml:space="preserve"> </w:t>
      </w:r>
      <w:r>
        <w:t>el</w:t>
      </w:r>
      <w:r>
        <w:rPr>
          <w:spacing w:val="-15"/>
        </w:rPr>
        <w:t xml:space="preserve"> </w:t>
      </w:r>
      <w:r>
        <w:t>secuestro</w:t>
      </w:r>
      <w:r>
        <w:rPr>
          <w:spacing w:val="-15"/>
        </w:rPr>
        <w:t xml:space="preserve"> </w:t>
      </w:r>
      <w:r>
        <w:t>extorsivo</w:t>
      </w:r>
      <w:r>
        <w:rPr>
          <w:spacing w:val="-15"/>
        </w:rPr>
        <w:t xml:space="preserve"> </w:t>
      </w:r>
      <w:r>
        <w:t>se</w:t>
      </w:r>
      <w:r>
        <w:rPr>
          <w:spacing w:val="-15"/>
        </w:rPr>
        <w:t xml:space="preserve"> </w:t>
      </w:r>
      <w:r>
        <w:t>establece</w:t>
      </w:r>
      <w:r>
        <w:rPr>
          <w:spacing w:val="-15"/>
        </w:rPr>
        <w:t xml:space="preserve"> </w:t>
      </w:r>
      <w:r>
        <w:t>en</w:t>
      </w:r>
      <w:r>
        <w:rPr>
          <w:spacing w:val="-15"/>
        </w:rPr>
        <w:t xml:space="preserve"> </w:t>
      </w:r>
      <w:r>
        <w:t>otros</w:t>
      </w:r>
      <w:r>
        <w:rPr>
          <w:spacing w:val="-15"/>
        </w:rPr>
        <w:t xml:space="preserve"> </w:t>
      </w:r>
      <w:r>
        <w:t>contextos,</w:t>
      </w:r>
      <w:r>
        <w:rPr>
          <w:spacing w:val="-15"/>
        </w:rPr>
        <w:t xml:space="preserve"> </w:t>
      </w:r>
      <w:r>
        <w:t>en</w:t>
      </w:r>
      <w:r>
        <w:rPr>
          <w:spacing w:val="-15"/>
        </w:rPr>
        <w:t xml:space="preserve"> </w:t>
      </w:r>
      <w:r>
        <w:t>la</w:t>
      </w:r>
      <w:r>
        <w:rPr>
          <w:spacing w:val="-15"/>
        </w:rPr>
        <w:t xml:space="preserve"> </w:t>
      </w:r>
      <w:r>
        <w:t>guerra</w:t>
      </w:r>
      <w:r>
        <w:rPr>
          <w:spacing w:val="-15"/>
        </w:rPr>
        <w:t xml:space="preserve"> </w:t>
      </w:r>
      <w:r>
        <w:t>el</w:t>
      </w:r>
      <w:r>
        <w:rPr>
          <w:spacing w:val="-15"/>
        </w:rPr>
        <w:t xml:space="preserve"> </w:t>
      </w:r>
      <w:r>
        <w:t>secuestro</w:t>
      </w:r>
      <w:r>
        <w:rPr>
          <w:spacing w:val="-15"/>
        </w:rPr>
        <w:t xml:space="preserve"> </w:t>
      </w:r>
      <w:r>
        <w:t>ha</w:t>
      </w:r>
      <w:r>
        <w:rPr>
          <w:spacing w:val="-15"/>
        </w:rPr>
        <w:t xml:space="preserve"> </w:t>
      </w:r>
      <w:r>
        <w:t>tenido finalidades políticas, extorsivas y militares.</w:t>
      </w:r>
    </w:p>
    <w:p w:rsidR="003804AC" w:rsidRDefault="00AF18A5" w:rsidP="00183E7C">
      <w:r>
        <w:t>Según el Proyecto JEP-CEV-HRDAG, alrededor de 50.770 fueron víctimas de secuestro y toma de rehenes en el marco del conflicto armado entre 1990 y 2018</w:t>
      </w:r>
      <w:r w:rsidR="00183E7C">
        <w:rPr>
          <w:rStyle w:val="Refdenotaalpie"/>
        </w:rPr>
        <w:footnoteReference w:id="146"/>
      </w:r>
      <w:r>
        <w:t>.</w:t>
      </w:r>
    </w:p>
    <w:p w:rsidR="003804AC" w:rsidRDefault="00AF18A5" w:rsidP="00183E7C">
      <w:r>
        <w:t>Los secuestros y la toma de rehenes han sido sobre todo llevados a cabo por las organizaciones guerrilleras y muchas veces durante muchos meses o años. Los mayores responsables</w:t>
      </w:r>
      <w:r>
        <w:rPr>
          <w:spacing w:val="39"/>
        </w:rPr>
        <w:t xml:space="preserve"> </w:t>
      </w:r>
      <w:r>
        <w:t>fueron</w:t>
      </w:r>
      <w:r>
        <w:rPr>
          <w:spacing w:val="41"/>
        </w:rPr>
        <w:t xml:space="preserve"> </w:t>
      </w:r>
      <w:r>
        <w:t>las</w:t>
      </w:r>
      <w:r>
        <w:rPr>
          <w:spacing w:val="41"/>
        </w:rPr>
        <w:t xml:space="preserve"> </w:t>
      </w:r>
      <w:r>
        <w:t>FARC-EP</w:t>
      </w:r>
      <w:r>
        <w:rPr>
          <w:spacing w:val="41"/>
        </w:rPr>
        <w:t xml:space="preserve"> </w:t>
      </w:r>
      <w:r>
        <w:t>con</w:t>
      </w:r>
      <w:r>
        <w:rPr>
          <w:spacing w:val="43"/>
        </w:rPr>
        <w:t xml:space="preserve"> </w:t>
      </w:r>
      <w:r>
        <w:t>40</w:t>
      </w:r>
      <w:r>
        <w:rPr>
          <w:spacing w:val="-1"/>
        </w:rPr>
        <w:t xml:space="preserve"> </w:t>
      </w:r>
      <w:r>
        <w:t>%</w:t>
      </w:r>
      <w:r>
        <w:rPr>
          <w:spacing w:val="42"/>
        </w:rPr>
        <w:t xml:space="preserve"> </w:t>
      </w:r>
      <w:r>
        <w:t>de</w:t>
      </w:r>
      <w:r>
        <w:rPr>
          <w:spacing w:val="41"/>
        </w:rPr>
        <w:t xml:space="preserve"> </w:t>
      </w:r>
      <w:r>
        <w:t>los</w:t>
      </w:r>
      <w:r>
        <w:rPr>
          <w:spacing w:val="42"/>
        </w:rPr>
        <w:t xml:space="preserve"> </w:t>
      </w:r>
      <w:r>
        <w:t>casos</w:t>
      </w:r>
      <w:r>
        <w:rPr>
          <w:spacing w:val="41"/>
        </w:rPr>
        <w:t xml:space="preserve"> </w:t>
      </w:r>
      <w:r>
        <w:t>(20.223</w:t>
      </w:r>
      <w:r>
        <w:rPr>
          <w:spacing w:val="42"/>
        </w:rPr>
        <w:t xml:space="preserve"> </w:t>
      </w:r>
      <w:r>
        <w:t>víctimas),</w:t>
      </w:r>
      <w:r>
        <w:rPr>
          <w:spacing w:val="41"/>
        </w:rPr>
        <w:t xml:space="preserve"> </w:t>
      </w:r>
      <w:r>
        <w:t>los</w:t>
      </w:r>
      <w:r>
        <w:rPr>
          <w:spacing w:val="42"/>
        </w:rPr>
        <w:t xml:space="preserve"> </w:t>
      </w:r>
      <w:r>
        <w:rPr>
          <w:spacing w:val="-2"/>
        </w:rPr>
        <w:t>grupos</w:t>
      </w:r>
      <w:bookmarkStart w:id="236" w:name="_bookmark165"/>
      <w:bookmarkStart w:id="237" w:name="_bookmark166"/>
      <w:bookmarkStart w:id="238" w:name="_bookmark167"/>
      <w:bookmarkStart w:id="239" w:name="_bookmark168"/>
      <w:bookmarkEnd w:id="236"/>
      <w:bookmarkEnd w:id="237"/>
      <w:bookmarkEnd w:id="238"/>
      <w:bookmarkEnd w:id="239"/>
      <w:r w:rsidR="00183E7C">
        <w:t xml:space="preserve"> </w:t>
      </w:r>
      <w:r>
        <w:t>paramilitares con el 24</w:t>
      </w:r>
      <w:r>
        <w:rPr>
          <w:spacing w:val="-3"/>
        </w:rPr>
        <w:t xml:space="preserve"> </w:t>
      </w:r>
      <w:r>
        <w:t>% (10.538 víctimas) y el ELN con 19</w:t>
      </w:r>
      <w:r>
        <w:rPr>
          <w:spacing w:val="-1"/>
        </w:rPr>
        <w:t xml:space="preserve"> </w:t>
      </w:r>
      <w:r>
        <w:t>% (9.538).</w:t>
      </w:r>
      <w:r w:rsidR="00183E7C">
        <w:rPr>
          <w:rStyle w:val="Refdenotaalpie"/>
        </w:rPr>
        <w:footnoteReference w:id="147"/>
      </w:r>
      <w:r>
        <w:t xml:space="preserve"> También los secuestros fueron llevados a cabo en un número considerable por otros </w:t>
      </w:r>
      <w:r>
        <w:lastRenderedPageBreak/>
        <w:t>grupos (9</w:t>
      </w:r>
      <w:r>
        <w:rPr>
          <w:spacing w:val="-2"/>
        </w:rPr>
        <w:t xml:space="preserve"> </w:t>
      </w:r>
      <w:r>
        <w:t>%)</w:t>
      </w:r>
      <w:r w:rsidR="00183E7C">
        <w:rPr>
          <w:rStyle w:val="Refdenotaalpie"/>
        </w:rPr>
        <w:footnoteReference w:id="148"/>
      </w:r>
      <w:r>
        <w:t>. En algunos casos también fueron cometidos por agentes del Estado.</w:t>
      </w:r>
    </w:p>
    <w:p w:rsidR="003804AC" w:rsidRDefault="00AF18A5" w:rsidP="009A67C5">
      <w:r>
        <w:t>Esta violación se presentó durante los diferentes periodos del conflicto armado, en la década de los sesenta sobre todo por el M-19, y en las décadas de los ochenta y noventa principalmente por las FARC-EP y el ELN. De 1995 a 2004 se incrementó el número de casos</w:t>
      </w:r>
      <w:r>
        <w:rPr>
          <w:spacing w:val="-1"/>
        </w:rPr>
        <w:t xml:space="preserve"> </w:t>
      </w:r>
      <w:r>
        <w:t>de</w:t>
      </w:r>
      <w:r>
        <w:rPr>
          <w:spacing w:val="-2"/>
        </w:rPr>
        <w:t xml:space="preserve"> </w:t>
      </w:r>
      <w:r>
        <w:t>manera</w:t>
      </w:r>
      <w:r>
        <w:rPr>
          <w:spacing w:val="-1"/>
        </w:rPr>
        <w:t xml:space="preserve"> </w:t>
      </w:r>
      <w:r>
        <w:t>vertiginosa:</w:t>
      </w:r>
      <w:r>
        <w:rPr>
          <w:spacing w:val="-1"/>
        </w:rPr>
        <w:t xml:space="preserve"> </w:t>
      </w:r>
      <w:r>
        <w:t>Se</w:t>
      </w:r>
      <w:r>
        <w:rPr>
          <w:spacing w:val="-2"/>
        </w:rPr>
        <w:t xml:space="preserve"> </w:t>
      </w:r>
      <w:r>
        <w:t>calcula</w:t>
      </w:r>
      <w:r>
        <w:rPr>
          <w:spacing w:val="-1"/>
        </w:rPr>
        <w:t xml:space="preserve"> </w:t>
      </w:r>
      <w:r>
        <w:t>que</w:t>
      </w:r>
      <w:r>
        <w:rPr>
          <w:spacing w:val="-2"/>
        </w:rPr>
        <w:t xml:space="preserve"> </w:t>
      </w:r>
      <w:r>
        <w:t>en</w:t>
      </w:r>
      <w:r>
        <w:rPr>
          <w:spacing w:val="-1"/>
        </w:rPr>
        <w:t xml:space="preserve"> </w:t>
      </w:r>
      <w:r>
        <w:t>esos</w:t>
      </w:r>
      <w:r>
        <w:rPr>
          <w:spacing w:val="-1"/>
        </w:rPr>
        <w:t xml:space="preserve"> </w:t>
      </w:r>
      <w:r>
        <w:t>10</w:t>
      </w:r>
      <w:r>
        <w:rPr>
          <w:spacing w:val="-1"/>
        </w:rPr>
        <w:t xml:space="preserve"> </w:t>
      </w:r>
      <w:r>
        <w:t>años</w:t>
      </w:r>
      <w:r>
        <w:rPr>
          <w:spacing w:val="-3"/>
        </w:rPr>
        <w:t xml:space="preserve"> </w:t>
      </w:r>
      <w:r>
        <w:t>hubo</w:t>
      </w:r>
      <w:r>
        <w:rPr>
          <w:spacing w:val="-1"/>
        </w:rPr>
        <w:t xml:space="preserve"> </w:t>
      </w:r>
      <w:r>
        <w:t>aproximadamente</w:t>
      </w:r>
      <w:r>
        <w:rPr>
          <w:spacing w:val="-3"/>
        </w:rPr>
        <w:t xml:space="preserve"> </w:t>
      </w:r>
      <w:r>
        <w:t>38.926 víctimas</w:t>
      </w:r>
      <w:r>
        <w:rPr>
          <w:spacing w:val="-11"/>
        </w:rPr>
        <w:t xml:space="preserve"> </w:t>
      </w:r>
      <w:r>
        <w:t>(77</w:t>
      </w:r>
      <w:r>
        <w:rPr>
          <w:spacing w:val="-4"/>
        </w:rPr>
        <w:t xml:space="preserve"> </w:t>
      </w:r>
      <w:r>
        <w:t>%</w:t>
      </w:r>
      <w:r>
        <w:rPr>
          <w:spacing w:val="-9"/>
        </w:rPr>
        <w:t xml:space="preserve"> </w:t>
      </w:r>
      <w:r>
        <w:t>del</w:t>
      </w:r>
      <w:r>
        <w:rPr>
          <w:spacing w:val="-9"/>
        </w:rPr>
        <w:t xml:space="preserve"> </w:t>
      </w:r>
      <w:r>
        <w:t>total</w:t>
      </w:r>
      <w:r>
        <w:rPr>
          <w:spacing w:val="-10"/>
        </w:rPr>
        <w:t xml:space="preserve"> </w:t>
      </w:r>
      <w:r>
        <w:t>de</w:t>
      </w:r>
      <w:r>
        <w:rPr>
          <w:spacing w:val="-9"/>
        </w:rPr>
        <w:t xml:space="preserve"> </w:t>
      </w:r>
      <w:r>
        <w:t>secuestros)</w:t>
      </w:r>
      <w:r>
        <w:rPr>
          <w:spacing w:val="-9"/>
        </w:rPr>
        <w:t xml:space="preserve"> </w:t>
      </w:r>
      <w:r>
        <w:t>y</w:t>
      </w:r>
      <w:r>
        <w:rPr>
          <w:spacing w:val="-10"/>
        </w:rPr>
        <w:t xml:space="preserve"> </w:t>
      </w:r>
      <w:r>
        <w:t>que</w:t>
      </w:r>
      <w:r>
        <w:rPr>
          <w:spacing w:val="-9"/>
        </w:rPr>
        <w:t xml:space="preserve"> </w:t>
      </w:r>
      <w:r>
        <w:t>solo</w:t>
      </w:r>
      <w:r>
        <w:rPr>
          <w:spacing w:val="-11"/>
        </w:rPr>
        <w:t xml:space="preserve"> </w:t>
      </w:r>
      <w:r>
        <w:t>entre</w:t>
      </w:r>
      <w:r>
        <w:rPr>
          <w:spacing w:val="-9"/>
        </w:rPr>
        <w:t xml:space="preserve"> </w:t>
      </w:r>
      <w:r>
        <w:t>2002</w:t>
      </w:r>
      <w:r>
        <w:rPr>
          <w:spacing w:val="-11"/>
        </w:rPr>
        <w:t xml:space="preserve"> </w:t>
      </w:r>
      <w:r>
        <w:t>y</w:t>
      </w:r>
      <w:r>
        <w:rPr>
          <w:spacing w:val="-10"/>
        </w:rPr>
        <w:t xml:space="preserve"> </w:t>
      </w:r>
      <w:r>
        <w:t>2003</w:t>
      </w:r>
      <w:r>
        <w:rPr>
          <w:spacing w:val="-10"/>
        </w:rPr>
        <w:t xml:space="preserve"> </w:t>
      </w:r>
      <w:r>
        <w:t>fueron</w:t>
      </w:r>
      <w:r>
        <w:rPr>
          <w:spacing w:val="-10"/>
        </w:rPr>
        <w:t xml:space="preserve"> </w:t>
      </w:r>
      <w:r>
        <w:t>11.643</w:t>
      </w:r>
      <w:r>
        <w:rPr>
          <w:spacing w:val="-10"/>
        </w:rPr>
        <w:t xml:space="preserve"> </w:t>
      </w:r>
      <w:r>
        <w:t>(23</w:t>
      </w:r>
      <w:r>
        <w:rPr>
          <w:spacing w:val="-2"/>
        </w:rPr>
        <w:t xml:space="preserve"> </w:t>
      </w:r>
      <w:r>
        <w:t>%</w:t>
      </w:r>
      <w:r>
        <w:rPr>
          <w:spacing w:val="-9"/>
        </w:rPr>
        <w:t xml:space="preserve"> </w:t>
      </w:r>
      <w:r>
        <w:t>del total).</w:t>
      </w:r>
      <w:r>
        <w:rPr>
          <w:spacing w:val="-3"/>
        </w:rPr>
        <w:t xml:space="preserve"> </w:t>
      </w:r>
      <w:r>
        <w:t>Estas</w:t>
      </w:r>
      <w:r>
        <w:rPr>
          <w:spacing w:val="-6"/>
        </w:rPr>
        <w:t xml:space="preserve"> </w:t>
      </w:r>
      <w:r>
        <w:t>cifras</w:t>
      </w:r>
      <w:r>
        <w:rPr>
          <w:spacing w:val="-3"/>
        </w:rPr>
        <w:t xml:space="preserve"> </w:t>
      </w:r>
      <w:r>
        <w:t>demuestran</w:t>
      </w:r>
      <w:r>
        <w:rPr>
          <w:spacing w:val="-5"/>
        </w:rPr>
        <w:t xml:space="preserve"> </w:t>
      </w:r>
      <w:r>
        <w:t>la</w:t>
      </w:r>
      <w:r>
        <w:rPr>
          <w:spacing w:val="-3"/>
        </w:rPr>
        <w:t xml:space="preserve"> </w:t>
      </w:r>
      <w:r>
        <w:t>masividad</w:t>
      </w:r>
      <w:r>
        <w:rPr>
          <w:spacing w:val="-5"/>
        </w:rPr>
        <w:t xml:space="preserve"> </w:t>
      </w:r>
      <w:r>
        <w:t>de</w:t>
      </w:r>
      <w:r>
        <w:rPr>
          <w:spacing w:val="-3"/>
        </w:rPr>
        <w:t xml:space="preserve"> </w:t>
      </w:r>
      <w:r>
        <w:t>estos</w:t>
      </w:r>
      <w:r>
        <w:rPr>
          <w:spacing w:val="-3"/>
        </w:rPr>
        <w:t xml:space="preserve"> </w:t>
      </w:r>
      <w:r>
        <w:t>hechos,</w:t>
      </w:r>
      <w:r>
        <w:rPr>
          <w:spacing w:val="-5"/>
        </w:rPr>
        <w:t xml:space="preserve"> </w:t>
      </w:r>
      <w:r>
        <w:t>lo</w:t>
      </w:r>
      <w:r>
        <w:rPr>
          <w:spacing w:val="-3"/>
        </w:rPr>
        <w:t xml:space="preserve"> </w:t>
      </w:r>
      <w:r>
        <w:t>que</w:t>
      </w:r>
      <w:r>
        <w:rPr>
          <w:spacing w:val="-3"/>
        </w:rPr>
        <w:t xml:space="preserve"> </w:t>
      </w:r>
      <w:r>
        <w:t>permite</w:t>
      </w:r>
      <w:r>
        <w:rPr>
          <w:spacing w:val="-3"/>
        </w:rPr>
        <w:t xml:space="preserve"> </w:t>
      </w:r>
      <w:r>
        <w:t>calificarla</w:t>
      </w:r>
      <w:r>
        <w:rPr>
          <w:spacing w:val="-4"/>
        </w:rPr>
        <w:t xml:space="preserve"> </w:t>
      </w:r>
      <w:r>
        <w:t>como una práctica generalizada desde mitad de los años noventa hasta 2004, cuando empieza a descender sustantivamente.</w:t>
      </w:r>
    </w:p>
    <w:p w:rsidR="00CA70BA" w:rsidRDefault="00CA70BA" w:rsidP="00CA70BA">
      <w:pPr>
        <w:pStyle w:val="Descripcin"/>
        <w:keepNext/>
      </w:pPr>
      <w:bookmarkStart w:id="240" w:name="_bookmark169"/>
      <w:bookmarkStart w:id="241" w:name="_bookmark170"/>
      <w:bookmarkEnd w:id="240"/>
      <w:bookmarkEnd w:id="241"/>
      <w:r>
        <w:t xml:space="preserve">Gráfica </w:t>
      </w:r>
      <w:r w:rsidR="005F4072">
        <w:fldChar w:fldCharType="begin"/>
      </w:r>
      <w:r w:rsidR="005F4072">
        <w:instrText xml:space="preserve"> SEQ Gráfica \* ARABIC </w:instrText>
      </w:r>
      <w:r w:rsidR="005F4072">
        <w:fldChar w:fldCharType="separate"/>
      </w:r>
      <w:r w:rsidR="005F4072">
        <w:rPr>
          <w:noProof/>
        </w:rPr>
        <w:t>6</w:t>
      </w:r>
      <w:r w:rsidR="005F4072">
        <w:fldChar w:fldCharType="end"/>
      </w:r>
      <w:r w:rsidRPr="002711AC">
        <w:t>. Víctimas de secuestro por año, según la integración final de datos</w:t>
      </w:r>
    </w:p>
    <w:p w:rsidR="0011361F" w:rsidRDefault="00AF18A5" w:rsidP="00CA70BA">
      <w:r w:rsidRPr="00CA70BA">
        <w:rPr>
          <w:noProof/>
        </w:rPr>
        <w:drawing>
          <wp:inline distT="0" distB="0" distL="0" distR="0">
            <wp:extent cx="3815975" cy="2514600"/>
            <wp:effectExtent l="0" t="0" r="0" b="0"/>
            <wp:docPr id="13" name="image7.jpeg"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4" cstate="print"/>
                    <a:stretch>
                      <a:fillRect/>
                    </a:stretch>
                  </pic:blipFill>
                  <pic:spPr>
                    <a:xfrm>
                      <a:off x="0" y="0"/>
                      <a:ext cx="3820730" cy="2517733"/>
                    </a:xfrm>
                    <a:prstGeom prst="rect">
                      <a:avLst/>
                    </a:prstGeom>
                  </pic:spPr>
                </pic:pic>
              </a:graphicData>
            </a:graphic>
          </wp:inline>
        </w:drawing>
      </w:r>
    </w:p>
    <w:p w:rsidR="0011361F" w:rsidRDefault="00AF18A5" w:rsidP="00CA70BA">
      <w:r>
        <w:rPr>
          <w:i/>
        </w:rPr>
        <w:t>Fuente</w:t>
      </w:r>
      <w:r>
        <w:t>:</w:t>
      </w:r>
      <w:r>
        <w:rPr>
          <w:spacing w:val="-3"/>
        </w:rPr>
        <w:t xml:space="preserve"> </w:t>
      </w:r>
      <w:r>
        <w:t>Proyecto</w:t>
      </w:r>
      <w:r>
        <w:rPr>
          <w:spacing w:val="-2"/>
        </w:rPr>
        <w:t xml:space="preserve"> </w:t>
      </w:r>
      <w:r>
        <w:t>de</w:t>
      </w:r>
      <w:r>
        <w:rPr>
          <w:spacing w:val="-3"/>
        </w:rPr>
        <w:t xml:space="preserve"> </w:t>
      </w:r>
      <w:r>
        <w:t>integración</w:t>
      </w:r>
      <w:r>
        <w:rPr>
          <w:spacing w:val="-2"/>
        </w:rPr>
        <w:t xml:space="preserve"> </w:t>
      </w:r>
      <w:r>
        <w:t>de</w:t>
      </w:r>
      <w:r>
        <w:rPr>
          <w:spacing w:val="-2"/>
        </w:rPr>
        <w:t xml:space="preserve"> </w:t>
      </w:r>
      <w:r>
        <w:t>datos</w:t>
      </w:r>
      <w:r>
        <w:rPr>
          <w:spacing w:val="-2"/>
        </w:rPr>
        <w:t xml:space="preserve"> </w:t>
      </w:r>
      <w:r>
        <w:t>JEP-CEV-HDRAG.</w:t>
      </w:r>
      <w:r>
        <w:rPr>
          <w:spacing w:val="-1"/>
        </w:rPr>
        <w:t xml:space="preserve"> </w:t>
      </w:r>
      <w:r>
        <w:t>Junio</w:t>
      </w:r>
      <w:r>
        <w:rPr>
          <w:spacing w:val="-2"/>
        </w:rPr>
        <w:t xml:space="preserve"> </w:t>
      </w:r>
      <w:r>
        <w:t>de</w:t>
      </w:r>
      <w:r>
        <w:rPr>
          <w:spacing w:val="-2"/>
        </w:rPr>
        <w:t xml:space="preserve"> </w:t>
      </w:r>
      <w:r>
        <w:rPr>
          <w:spacing w:val="-2"/>
        </w:rPr>
        <w:lastRenderedPageBreak/>
        <w:t>2021.</w:t>
      </w:r>
    </w:p>
    <w:p w:rsidR="003804AC" w:rsidRDefault="00AF18A5" w:rsidP="00CA70BA">
      <w:r>
        <w:t>Al comienzo de la década de los setenta las guerrillas recurrieron al secuestro económico y político;</w:t>
      </w:r>
      <w:r>
        <w:rPr>
          <w:spacing w:val="-15"/>
        </w:rPr>
        <w:t xml:space="preserve"> </w:t>
      </w:r>
      <w:r>
        <w:t>el</w:t>
      </w:r>
      <w:r>
        <w:rPr>
          <w:spacing w:val="-14"/>
        </w:rPr>
        <w:t xml:space="preserve"> </w:t>
      </w:r>
      <w:r>
        <w:t>primero</w:t>
      </w:r>
      <w:r>
        <w:rPr>
          <w:spacing w:val="-15"/>
        </w:rPr>
        <w:t xml:space="preserve"> </w:t>
      </w:r>
      <w:r>
        <w:t>era</w:t>
      </w:r>
      <w:r>
        <w:rPr>
          <w:spacing w:val="-15"/>
        </w:rPr>
        <w:t xml:space="preserve"> </w:t>
      </w:r>
      <w:r>
        <w:t>una</w:t>
      </w:r>
      <w:r>
        <w:rPr>
          <w:spacing w:val="-14"/>
        </w:rPr>
        <w:t xml:space="preserve"> </w:t>
      </w:r>
      <w:r>
        <w:t>de</w:t>
      </w:r>
      <w:r>
        <w:rPr>
          <w:spacing w:val="-15"/>
        </w:rPr>
        <w:t xml:space="preserve"> </w:t>
      </w:r>
      <w:r>
        <w:t>sus</w:t>
      </w:r>
      <w:r>
        <w:rPr>
          <w:spacing w:val="-15"/>
        </w:rPr>
        <w:t xml:space="preserve"> </w:t>
      </w:r>
      <w:r>
        <w:t>fuentes</w:t>
      </w:r>
      <w:r>
        <w:rPr>
          <w:spacing w:val="-15"/>
        </w:rPr>
        <w:t xml:space="preserve"> </w:t>
      </w:r>
      <w:r>
        <w:t>financieras</w:t>
      </w:r>
      <w:r>
        <w:rPr>
          <w:spacing w:val="-15"/>
        </w:rPr>
        <w:t xml:space="preserve"> </w:t>
      </w:r>
      <w:r>
        <w:t>más</w:t>
      </w:r>
      <w:r>
        <w:rPr>
          <w:spacing w:val="-15"/>
        </w:rPr>
        <w:t xml:space="preserve"> </w:t>
      </w:r>
      <w:r>
        <w:t>importantes</w:t>
      </w:r>
      <w:r>
        <w:rPr>
          <w:spacing w:val="-14"/>
        </w:rPr>
        <w:t xml:space="preserve"> </w:t>
      </w:r>
      <w:r>
        <w:t>y,</w:t>
      </w:r>
      <w:r>
        <w:rPr>
          <w:spacing w:val="-15"/>
        </w:rPr>
        <w:t xml:space="preserve"> </w:t>
      </w:r>
      <w:r>
        <w:t>el</w:t>
      </w:r>
      <w:r>
        <w:rPr>
          <w:spacing w:val="-15"/>
        </w:rPr>
        <w:t xml:space="preserve"> </w:t>
      </w:r>
      <w:r>
        <w:t>segundo,</w:t>
      </w:r>
      <w:r>
        <w:rPr>
          <w:spacing w:val="-14"/>
        </w:rPr>
        <w:t xml:space="preserve"> </w:t>
      </w:r>
      <w:r>
        <w:t>buscaba lograr objetivos que favorecieran su poder de negociación, coacción o confrontación. Las pretensiones económicas y/o políticas fueron una constante, el secuestro afectó primero a empresarios y miembros de las élites económicas y políticas del país y, posteriormente, su extensión e indiscriminación afectó a amplios sectores de la población. Esta es una práctica intencional y extendida en la que el desprecio por la vida y el sufrimiento de las víctimas y sus familias revelan el grado de deshumanización del conflicto armado.</w:t>
      </w:r>
    </w:p>
    <w:p w:rsidR="003804AC" w:rsidRDefault="00AF18A5" w:rsidP="00CA70BA">
      <w:r>
        <w:t>Según los datos integrados por el Proyecto CEV-JEP-HRDAG, el 78</w:t>
      </w:r>
      <w:r>
        <w:rPr>
          <w:spacing w:val="-4"/>
        </w:rPr>
        <w:t xml:space="preserve"> </w:t>
      </w:r>
      <w:r>
        <w:t>% de las víctimas eran hombres y el 22</w:t>
      </w:r>
      <w:r>
        <w:rPr>
          <w:spacing w:val="-4"/>
        </w:rPr>
        <w:t xml:space="preserve"> </w:t>
      </w:r>
      <w:r>
        <w:t>% mujeres. De las mujeres entrevistadas por la Comisión</w:t>
      </w:r>
      <w:r w:rsidR="00CA70BA">
        <w:rPr>
          <w:rStyle w:val="Refdenotaalpie"/>
        </w:rPr>
        <w:footnoteReference w:id="149"/>
      </w:r>
      <w:r>
        <w:t>, el 22</w:t>
      </w:r>
      <w:r>
        <w:rPr>
          <w:spacing w:val="-2"/>
        </w:rPr>
        <w:t xml:space="preserve"> </w:t>
      </w:r>
      <w:r>
        <w:t>% expresó que</w:t>
      </w:r>
      <w:r>
        <w:rPr>
          <w:spacing w:val="-1"/>
        </w:rPr>
        <w:t xml:space="preserve"> </w:t>
      </w:r>
      <w:r>
        <w:t>sufrió</w:t>
      </w:r>
      <w:r>
        <w:rPr>
          <w:spacing w:val="-1"/>
        </w:rPr>
        <w:t xml:space="preserve"> </w:t>
      </w:r>
      <w:r>
        <w:t>violencias</w:t>
      </w:r>
      <w:r>
        <w:rPr>
          <w:spacing w:val="-1"/>
        </w:rPr>
        <w:t xml:space="preserve"> </w:t>
      </w:r>
      <w:r>
        <w:t>sexuales durante su</w:t>
      </w:r>
      <w:r>
        <w:rPr>
          <w:spacing w:val="-1"/>
        </w:rPr>
        <w:t xml:space="preserve"> </w:t>
      </w:r>
      <w:r>
        <w:t>cautiverio.</w:t>
      </w:r>
      <w:r>
        <w:rPr>
          <w:spacing w:val="-2"/>
        </w:rPr>
        <w:t xml:space="preserve"> </w:t>
      </w:r>
      <w:r>
        <w:t xml:space="preserve">Muchas víctimas </w:t>
      </w:r>
      <w:r>
        <w:rPr>
          <w:spacing w:val="-2"/>
        </w:rPr>
        <w:t>entrevistadas</w:t>
      </w:r>
      <w:bookmarkStart w:id="242" w:name="_bookmark171"/>
      <w:bookmarkEnd w:id="242"/>
      <w:r w:rsidR="00CA70BA">
        <w:rPr>
          <w:spacing w:val="-2"/>
        </w:rPr>
        <w:t xml:space="preserve"> </w:t>
      </w:r>
      <w:r>
        <w:t>lo</w:t>
      </w:r>
      <w:r>
        <w:rPr>
          <w:spacing w:val="-15"/>
        </w:rPr>
        <w:t xml:space="preserve"> </w:t>
      </w:r>
      <w:r>
        <w:t>refirieron</w:t>
      </w:r>
      <w:r>
        <w:rPr>
          <w:spacing w:val="-15"/>
        </w:rPr>
        <w:t xml:space="preserve"> </w:t>
      </w:r>
      <w:r>
        <w:t>como</w:t>
      </w:r>
      <w:r>
        <w:rPr>
          <w:spacing w:val="-15"/>
        </w:rPr>
        <w:t xml:space="preserve"> </w:t>
      </w:r>
      <w:r>
        <w:t>una</w:t>
      </w:r>
      <w:r>
        <w:rPr>
          <w:spacing w:val="-15"/>
        </w:rPr>
        <w:t xml:space="preserve"> </w:t>
      </w:r>
      <w:r>
        <w:t>«muerte</w:t>
      </w:r>
      <w:r>
        <w:rPr>
          <w:spacing w:val="-15"/>
        </w:rPr>
        <w:t xml:space="preserve"> </w:t>
      </w:r>
      <w:r>
        <w:t>suspendida»,</w:t>
      </w:r>
      <w:r>
        <w:rPr>
          <w:spacing w:val="-15"/>
        </w:rPr>
        <w:t xml:space="preserve"> </w:t>
      </w:r>
      <w:r>
        <w:t>en</w:t>
      </w:r>
      <w:r>
        <w:rPr>
          <w:spacing w:val="-15"/>
        </w:rPr>
        <w:t xml:space="preserve"> </w:t>
      </w:r>
      <w:r>
        <w:t>la</w:t>
      </w:r>
      <w:r>
        <w:rPr>
          <w:spacing w:val="-15"/>
        </w:rPr>
        <w:t xml:space="preserve"> </w:t>
      </w:r>
      <w:r>
        <w:t>que</w:t>
      </w:r>
      <w:r>
        <w:rPr>
          <w:spacing w:val="-15"/>
        </w:rPr>
        <w:t xml:space="preserve"> </w:t>
      </w:r>
      <w:r>
        <w:t>vivieron</w:t>
      </w:r>
      <w:r>
        <w:rPr>
          <w:spacing w:val="-15"/>
        </w:rPr>
        <w:t xml:space="preserve"> </w:t>
      </w:r>
      <w:r>
        <w:t>una</w:t>
      </w:r>
      <w:r>
        <w:rPr>
          <w:spacing w:val="-15"/>
        </w:rPr>
        <w:t xml:space="preserve"> </w:t>
      </w:r>
      <w:r>
        <w:t>situación</w:t>
      </w:r>
      <w:r>
        <w:rPr>
          <w:spacing w:val="-15"/>
        </w:rPr>
        <w:t xml:space="preserve"> </w:t>
      </w:r>
      <w:r>
        <w:t>dura</w:t>
      </w:r>
      <w:r>
        <w:rPr>
          <w:spacing w:val="-15"/>
        </w:rPr>
        <w:t xml:space="preserve"> </w:t>
      </w:r>
      <w:r>
        <w:t>con</w:t>
      </w:r>
      <w:r>
        <w:rPr>
          <w:spacing w:val="-15"/>
        </w:rPr>
        <w:t xml:space="preserve"> </w:t>
      </w:r>
      <w:r>
        <w:t>fuertes restricciones</w:t>
      </w:r>
      <w:r>
        <w:rPr>
          <w:spacing w:val="-6"/>
        </w:rPr>
        <w:t xml:space="preserve"> </w:t>
      </w:r>
      <w:r>
        <w:t>y</w:t>
      </w:r>
      <w:r>
        <w:rPr>
          <w:spacing w:val="-5"/>
        </w:rPr>
        <w:t xml:space="preserve"> </w:t>
      </w:r>
      <w:r>
        <w:t>con</w:t>
      </w:r>
      <w:r>
        <w:rPr>
          <w:spacing w:val="-6"/>
        </w:rPr>
        <w:t xml:space="preserve"> </w:t>
      </w:r>
      <w:r>
        <w:t>la</w:t>
      </w:r>
      <w:r>
        <w:rPr>
          <w:spacing w:val="-6"/>
        </w:rPr>
        <w:t xml:space="preserve"> </w:t>
      </w:r>
      <w:r>
        <w:t>amenaza</w:t>
      </w:r>
      <w:r>
        <w:rPr>
          <w:spacing w:val="-5"/>
        </w:rPr>
        <w:t xml:space="preserve"> </w:t>
      </w:r>
      <w:r>
        <w:t>permanente</w:t>
      </w:r>
      <w:r>
        <w:rPr>
          <w:spacing w:val="-5"/>
        </w:rPr>
        <w:t xml:space="preserve"> </w:t>
      </w:r>
      <w:r>
        <w:t>de</w:t>
      </w:r>
      <w:r>
        <w:rPr>
          <w:spacing w:val="-6"/>
        </w:rPr>
        <w:t xml:space="preserve"> </w:t>
      </w:r>
      <w:r>
        <w:t>la</w:t>
      </w:r>
      <w:r>
        <w:rPr>
          <w:spacing w:val="-6"/>
        </w:rPr>
        <w:t xml:space="preserve"> </w:t>
      </w:r>
      <w:r>
        <w:t>muerte.</w:t>
      </w:r>
      <w:r>
        <w:rPr>
          <w:spacing w:val="-5"/>
        </w:rPr>
        <w:t xml:space="preserve"> </w:t>
      </w:r>
      <w:r>
        <w:t>Los</w:t>
      </w:r>
      <w:r>
        <w:rPr>
          <w:spacing w:val="-7"/>
        </w:rPr>
        <w:t xml:space="preserve"> </w:t>
      </w:r>
      <w:r>
        <w:t>familiares</w:t>
      </w:r>
      <w:r>
        <w:rPr>
          <w:spacing w:val="-6"/>
        </w:rPr>
        <w:t xml:space="preserve"> </w:t>
      </w:r>
      <w:r>
        <w:t>tuvieron</w:t>
      </w:r>
      <w:r>
        <w:rPr>
          <w:spacing w:val="-6"/>
        </w:rPr>
        <w:t xml:space="preserve"> </w:t>
      </w:r>
      <w:r>
        <w:t>incluso</w:t>
      </w:r>
      <w:r>
        <w:rPr>
          <w:spacing w:val="-5"/>
        </w:rPr>
        <w:t xml:space="preserve"> </w:t>
      </w:r>
      <w:r>
        <w:t>que participar en las negociaciones, siendo sometidos a una enorme presión e incertidumbre, además</w:t>
      </w:r>
      <w:r>
        <w:rPr>
          <w:spacing w:val="-8"/>
        </w:rPr>
        <w:t xml:space="preserve"> </w:t>
      </w:r>
      <w:r>
        <w:t>de</w:t>
      </w:r>
      <w:r>
        <w:rPr>
          <w:spacing w:val="-8"/>
        </w:rPr>
        <w:t xml:space="preserve"> </w:t>
      </w:r>
      <w:r>
        <w:t>una</w:t>
      </w:r>
      <w:r>
        <w:rPr>
          <w:spacing w:val="-8"/>
        </w:rPr>
        <w:t xml:space="preserve"> </w:t>
      </w:r>
      <w:r>
        <w:t>completa</w:t>
      </w:r>
      <w:r>
        <w:rPr>
          <w:spacing w:val="-8"/>
        </w:rPr>
        <w:t xml:space="preserve"> </w:t>
      </w:r>
      <w:r>
        <w:t>alteración</w:t>
      </w:r>
      <w:r>
        <w:rPr>
          <w:spacing w:val="-8"/>
        </w:rPr>
        <w:t xml:space="preserve"> </w:t>
      </w:r>
      <w:r>
        <w:t>de</w:t>
      </w:r>
      <w:r>
        <w:rPr>
          <w:spacing w:val="-8"/>
        </w:rPr>
        <w:t xml:space="preserve"> </w:t>
      </w:r>
      <w:r>
        <w:t>sus</w:t>
      </w:r>
      <w:r>
        <w:rPr>
          <w:spacing w:val="-8"/>
        </w:rPr>
        <w:t xml:space="preserve"> </w:t>
      </w:r>
      <w:r>
        <w:t>vidas</w:t>
      </w:r>
      <w:r>
        <w:rPr>
          <w:spacing w:val="-8"/>
        </w:rPr>
        <w:t xml:space="preserve"> </w:t>
      </w:r>
      <w:r>
        <w:t>e</w:t>
      </w:r>
      <w:r>
        <w:rPr>
          <w:spacing w:val="-8"/>
        </w:rPr>
        <w:t xml:space="preserve"> </w:t>
      </w:r>
      <w:r>
        <w:t>impacto</w:t>
      </w:r>
      <w:r>
        <w:rPr>
          <w:spacing w:val="-8"/>
        </w:rPr>
        <w:t xml:space="preserve"> </w:t>
      </w:r>
      <w:r>
        <w:t>durante</w:t>
      </w:r>
      <w:r>
        <w:rPr>
          <w:spacing w:val="-8"/>
        </w:rPr>
        <w:t xml:space="preserve"> </w:t>
      </w:r>
      <w:r>
        <w:t>meses,</w:t>
      </w:r>
      <w:r>
        <w:rPr>
          <w:spacing w:val="-8"/>
        </w:rPr>
        <w:t xml:space="preserve"> </w:t>
      </w:r>
      <w:r>
        <w:t>y</w:t>
      </w:r>
      <w:r>
        <w:rPr>
          <w:spacing w:val="-8"/>
        </w:rPr>
        <w:t xml:space="preserve"> </w:t>
      </w:r>
      <w:r>
        <w:t>en</w:t>
      </w:r>
      <w:r>
        <w:rPr>
          <w:spacing w:val="-8"/>
        </w:rPr>
        <w:t xml:space="preserve"> </w:t>
      </w:r>
      <w:r>
        <w:t>algunos</w:t>
      </w:r>
      <w:r>
        <w:rPr>
          <w:spacing w:val="-8"/>
        </w:rPr>
        <w:t xml:space="preserve"> </w:t>
      </w:r>
      <w:r>
        <w:t>casos durante</w:t>
      </w:r>
      <w:r>
        <w:rPr>
          <w:spacing w:val="-13"/>
        </w:rPr>
        <w:t xml:space="preserve"> </w:t>
      </w:r>
      <w:r>
        <w:t>los</w:t>
      </w:r>
      <w:r>
        <w:rPr>
          <w:spacing w:val="-12"/>
        </w:rPr>
        <w:t xml:space="preserve"> </w:t>
      </w:r>
      <w:r>
        <w:t>años</w:t>
      </w:r>
      <w:r>
        <w:rPr>
          <w:spacing w:val="-12"/>
        </w:rPr>
        <w:t xml:space="preserve"> </w:t>
      </w:r>
      <w:r>
        <w:t>que</w:t>
      </w:r>
      <w:r>
        <w:rPr>
          <w:spacing w:val="-12"/>
        </w:rPr>
        <w:t xml:space="preserve"> </w:t>
      </w:r>
      <w:r>
        <w:t>duró</w:t>
      </w:r>
      <w:r>
        <w:rPr>
          <w:spacing w:val="-13"/>
        </w:rPr>
        <w:t xml:space="preserve"> </w:t>
      </w:r>
      <w:r>
        <w:t>el</w:t>
      </w:r>
      <w:r>
        <w:rPr>
          <w:spacing w:val="-12"/>
        </w:rPr>
        <w:t xml:space="preserve"> </w:t>
      </w:r>
      <w:r>
        <w:t>secuestro.</w:t>
      </w:r>
      <w:r>
        <w:rPr>
          <w:spacing w:val="-13"/>
        </w:rPr>
        <w:t xml:space="preserve"> </w:t>
      </w:r>
      <w:r>
        <w:t>Una</w:t>
      </w:r>
      <w:r>
        <w:rPr>
          <w:spacing w:val="-12"/>
        </w:rPr>
        <w:t xml:space="preserve"> </w:t>
      </w:r>
      <w:r>
        <w:t>parte</w:t>
      </w:r>
      <w:r>
        <w:rPr>
          <w:spacing w:val="-12"/>
        </w:rPr>
        <w:t xml:space="preserve"> </w:t>
      </w:r>
      <w:r>
        <w:t>de</w:t>
      </w:r>
      <w:r>
        <w:rPr>
          <w:spacing w:val="-12"/>
        </w:rPr>
        <w:t xml:space="preserve"> </w:t>
      </w:r>
      <w:r>
        <w:t>ellos</w:t>
      </w:r>
      <w:r>
        <w:rPr>
          <w:spacing w:val="-13"/>
        </w:rPr>
        <w:t xml:space="preserve"> </w:t>
      </w:r>
      <w:r>
        <w:t>terminó</w:t>
      </w:r>
      <w:r>
        <w:rPr>
          <w:spacing w:val="-12"/>
        </w:rPr>
        <w:t xml:space="preserve"> </w:t>
      </w:r>
      <w:r>
        <w:t>con</w:t>
      </w:r>
      <w:r>
        <w:rPr>
          <w:spacing w:val="-12"/>
        </w:rPr>
        <w:t xml:space="preserve"> </w:t>
      </w:r>
      <w:r>
        <w:t>la</w:t>
      </w:r>
      <w:r>
        <w:rPr>
          <w:spacing w:val="-12"/>
        </w:rPr>
        <w:t xml:space="preserve"> </w:t>
      </w:r>
      <w:r>
        <w:t>muerte</w:t>
      </w:r>
      <w:r>
        <w:rPr>
          <w:spacing w:val="-12"/>
        </w:rPr>
        <w:t xml:space="preserve"> </w:t>
      </w:r>
      <w:r>
        <w:t>en</w:t>
      </w:r>
      <w:r>
        <w:rPr>
          <w:spacing w:val="-13"/>
        </w:rPr>
        <w:t xml:space="preserve"> </w:t>
      </w:r>
      <w:r>
        <w:t>cautiverio o con el homicidio de la víctima.</w:t>
      </w:r>
    </w:p>
    <w:p w:rsidR="0011361F" w:rsidRDefault="00AF18A5" w:rsidP="00A4155E">
      <w:r>
        <w:t xml:space="preserve">Los departamentos más afectados por esta violación son Antioquia con </w:t>
      </w:r>
      <w:r>
        <w:lastRenderedPageBreak/>
        <w:t>9.308 víctimas (20</w:t>
      </w:r>
      <w:r>
        <w:rPr>
          <w:spacing w:val="-3"/>
        </w:rPr>
        <w:t xml:space="preserve"> </w:t>
      </w:r>
      <w:r>
        <w:t>%),</w:t>
      </w:r>
      <w:r>
        <w:rPr>
          <w:spacing w:val="42"/>
        </w:rPr>
        <w:t xml:space="preserve"> </w:t>
      </w:r>
      <w:r>
        <w:t>Cesar</w:t>
      </w:r>
      <w:r>
        <w:rPr>
          <w:spacing w:val="42"/>
        </w:rPr>
        <w:t xml:space="preserve"> </w:t>
      </w:r>
      <w:r>
        <w:t>con</w:t>
      </w:r>
      <w:r>
        <w:rPr>
          <w:spacing w:val="42"/>
        </w:rPr>
        <w:t xml:space="preserve"> </w:t>
      </w:r>
      <w:r>
        <w:t>3.353</w:t>
      </w:r>
      <w:r>
        <w:rPr>
          <w:spacing w:val="42"/>
        </w:rPr>
        <w:t xml:space="preserve"> </w:t>
      </w:r>
      <w:r>
        <w:t>víctimas</w:t>
      </w:r>
      <w:r>
        <w:rPr>
          <w:spacing w:val="41"/>
        </w:rPr>
        <w:t xml:space="preserve"> </w:t>
      </w:r>
      <w:r>
        <w:t>(7</w:t>
      </w:r>
      <w:r>
        <w:rPr>
          <w:spacing w:val="-1"/>
        </w:rPr>
        <w:t xml:space="preserve"> </w:t>
      </w:r>
      <w:r>
        <w:t>%),</w:t>
      </w:r>
      <w:r>
        <w:rPr>
          <w:spacing w:val="42"/>
        </w:rPr>
        <w:t xml:space="preserve"> </w:t>
      </w:r>
      <w:r>
        <w:t>Norte</w:t>
      </w:r>
      <w:r>
        <w:rPr>
          <w:spacing w:val="41"/>
        </w:rPr>
        <w:t xml:space="preserve"> </w:t>
      </w:r>
      <w:r>
        <w:t>de</w:t>
      </w:r>
      <w:r>
        <w:rPr>
          <w:spacing w:val="42"/>
        </w:rPr>
        <w:t xml:space="preserve"> </w:t>
      </w:r>
      <w:r>
        <w:t>Santander</w:t>
      </w:r>
      <w:r>
        <w:rPr>
          <w:spacing w:val="42"/>
        </w:rPr>
        <w:t xml:space="preserve"> </w:t>
      </w:r>
      <w:r>
        <w:t>con</w:t>
      </w:r>
      <w:r>
        <w:rPr>
          <w:spacing w:val="42"/>
        </w:rPr>
        <w:t xml:space="preserve"> </w:t>
      </w:r>
      <w:r>
        <w:t>2.949</w:t>
      </w:r>
      <w:r>
        <w:rPr>
          <w:spacing w:val="42"/>
        </w:rPr>
        <w:t xml:space="preserve"> </w:t>
      </w:r>
      <w:r>
        <w:t>víctimas</w:t>
      </w:r>
      <w:r>
        <w:rPr>
          <w:spacing w:val="41"/>
        </w:rPr>
        <w:t xml:space="preserve"> </w:t>
      </w:r>
      <w:r>
        <w:t xml:space="preserve">(6 </w:t>
      </w:r>
      <w:r>
        <w:rPr>
          <w:spacing w:val="-5"/>
        </w:rPr>
        <w:t>%),</w:t>
      </w:r>
      <w:r w:rsidR="00A4155E">
        <w:rPr>
          <w:spacing w:val="-5"/>
        </w:rPr>
        <w:t xml:space="preserve"> </w:t>
      </w:r>
      <w:r>
        <w:t>Bolívar</w:t>
      </w:r>
      <w:r>
        <w:rPr>
          <w:spacing w:val="-1"/>
        </w:rPr>
        <w:t xml:space="preserve"> </w:t>
      </w:r>
      <w:r>
        <w:t>con</w:t>
      </w:r>
      <w:r>
        <w:rPr>
          <w:spacing w:val="-3"/>
        </w:rPr>
        <w:t xml:space="preserve"> </w:t>
      </w:r>
      <w:r>
        <w:t>2.611</w:t>
      </w:r>
      <w:r>
        <w:rPr>
          <w:spacing w:val="-1"/>
        </w:rPr>
        <w:t xml:space="preserve"> </w:t>
      </w:r>
      <w:r>
        <w:t>víctimas (6</w:t>
      </w:r>
      <w:r>
        <w:rPr>
          <w:spacing w:val="-1"/>
        </w:rPr>
        <w:t xml:space="preserve"> </w:t>
      </w:r>
      <w:r>
        <w:t>%)</w:t>
      </w:r>
      <w:r>
        <w:rPr>
          <w:spacing w:val="-1"/>
        </w:rPr>
        <w:t xml:space="preserve"> </w:t>
      </w:r>
      <w:r>
        <w:t>y</w:t>
      </w:r>
      <w:r>
        <w:rPr>
          <w:spacing w:val="-1"/>
        </w:rPr>
        <w:t xml:space="preserve"> </w:t>
      </w:r>
      <w:r>
        <w:t>Nariño con</w:t>
      </w:r>
      <w:r>
        <w:rPr>
          <w:spacing w:val="-1"/>
        </w:rPr>
        <w:t xml:space="preserve"> </w:t>
      </w:r>
      <w:r>
        <w:t>2.513</w:t>
      </w:r>
      <w:r>
        <w:rPr>
          <w:spacing w:val="-1"/>
        </w:rPr>
        <w:t xml:space="preserve"> </w:t>
      </w:r>
      <w:r>
        <w:t>víctimas</w:t>
      </w:r>
      <w:r>
        <w:rPr>
          <w:spacing w:val="-1"/>
        </w:rPr>
        <w:t xml:space="preserve"> </w:t>
      </w:r>
      <w:r>
        <w:t xml:space="preserve">(5 </w:t>
      </w:r>
      <w:r>
        <w:rPr>
          <w:spacing w:val="-5"/>
        </w:rPr>
        <w:t>%).</w:t>
      </w:r>
    </w:p>
    <w:p w:rsidR="003804AC" w:rsidRDefault="00AF18A5" w:rsidP="00A4155E">
      <w:r>
        <w:t>La mercantilización y deshumanización de la víctima por parte de los responsables la convierten</w:t>
      </w:r>
      <w:r>
        <w:rPr>
          <w:spacing w:val="-5"/>
        </w:rPr>
        <w:t xml:space="preserve"> </w:t>
      </w:r>
      <w:r>
        <w:t>en</w:t>
      </w:r>
      <w:r>
        <w:rPr>
          <w:spacing w:val="-5"/>
        </w:rPr>
        <w:t xml:space="preserve"> </w:t>
      </w:r>
      <w:r>
        <w:t>objeto</w:t>
      </w:r>
      <w:r>
        <w:rPr>
          <w:spacing w:val="-5"/>
        </w:rPr>
        <w:t xml:space="preserve"> </w:t>
      </w:r>
      <w:r>
        <w:t>de</w:t>
      </w:r>
      <w:r>
        <w:rPr>
          <w:spacing w:val="-5"/>
        </w:rPr>
        <w:t xml:space="preserve"> </w:t>
      </w:r>
      <w:r>
        <w:t>cambio,</w:t>
      </w:r>
      <w:r>
        <w:rPr>
          <w:spacing w:val="-5"/>
        </w:rPr>
        <w:t xml:space="preserve"> </w:t>
      </w:r>
      <w:r>
        <w:t>su</w:t>
      </w:r>
      <w:r>
        <w:rPr>
          <w:spacing w:val="-5"/>
        </w:rPr>
        <w:t xml:space="preserve"> </w:t>
      </w:r>
      <w:r>
        <w:t>vida</w:t>
      </w:r>
      <w:r>
        <w:rPr>
          <w:spacing w:val="-5"/>
        </w:rPr>
        <w:t xml:space="preserve"> </w:t>
      </w:r>
      <w:r>
        <w:t>se</w:t>
      </w:r>
      <w:r>
        <w:rPr>
          <w:spacing w:val="-5"/>
        </w:rPr>
        <w:t xml:space="preserve"> </w:t>
      </w:r>
      <w:r>
        <w:t>cambia</w:t>
      </w:r>
      <w:r>
        <w:rPr>
          <w:spacing w:val="-5"/>
        </w:rPr>
        <w:t xml:space="preserve"> </w:t>
      </w:r>
      <w:r>
        <w:t>por</w:t>
      </w:r>
      <w:r>
        <w:rPr>
          <w:spacing w:val="-4"/>
        </w:rPr>
        <w:t xml:space="preserve"> </w:t>
      </w:r>
      <w:r>
        <w:t>dinero</w:t>
      </w:r>
      <w:r>
        <w:rPr>
          <w:spacing w:val="-6"/>
        </w:rPr>
        <w:t xml:space="preserve"> </w:t>
      </w:r>
      <w:r>
        <w:t>o</w:t>
      </w:r>
      <w:r>
        <w:rPr>
          <w:spacing w:val="-5"/>
        </w:rPr>
        <w:t xml:space="preserve"> </w:t>
      </w:r>
      <w:r>
        <w:t>peticiones</w:t>
      </w:r>
      <w:r>
        <w:rPr>
          <w:spacing w:val="-6"/>
        </w:rPr>
        <w:t xml:space="preserve"> </w:t>
      </w:r>
      <w:r>
        <w:t>y</w:t>
      </w:r>
      <w:r>
        <w:rPr>
          <w:spacing w:val="-5"/>
        </w:rPr>
        <w:t xml:space="preserve"> </w:t>
      </w:r>
      <w:r>
        <w:t>si</w:t>
      </w:r>
      <w:r>
        <w:rPr>
          <w:spacing w:val="-4"/>
        </w:rPr>
        <w:t xml:space="preserve"> </w:t>
      </w:r>
      <w:r>
        <w:t>el</w:t>
      </w:r>
      <w:r>
        <w:rPr>
          <w:spacing w:val="-4"/>
        </w:rPr>
        <w:t xml:space="preserve"> </w:t>
      </w:r>
      <w:r>
        <w:t>objetivo</w:t>
      </w:r>
      <w:r>
        <w:rPr>
          <w:spacing w:val="-5"/>
        </w:rPr>
        <w:t xml:space="preserve"> </w:t>
      </w:r>
      <w:r>
        <w:t>no se logra, la víctima es asesinada. El pago del rescate no garantiza la vida de las personas secuestradas. Se registran casos en los que el grupo armado cobró el rescate varias veces y no entregaron a las personas ni vivas ni muertas, además de casos de personas muertas en cautiverio</w:t>
      </w:r>
      <w:r>
        <w:rPr>
          <w:spacing w:val="-4"/>
        </w:rPr>
        <w:t xml:space="preserve"> </w:t>
      </w:r>
      <w:r>
        <w:t>de</w:t>
      </w:r>
      <w:r>
        <w:rPr>
          <w:spacing w:val="-2"/>
        </w:rPr>
        <w:t xml:space="preserve"> </w:t>
      </w:r>
      <w:r>
        <w:t>los</w:t>
      </w:r>
      <w:r>
        <w:rPr>
          <w:spacing w:val="-3"/>
        </w:rPr>
        <w:t xml:space="preserve"> </w:t>
      </w:r>
      <w:r>
        <w:t>que</w:t>
      </w:r>
      <w:r>
        <w:rPr>
          <w:spacing w:val="-2"/>
        </w:rPr>
        <w:t xml:space="preserve"> </w:t>
      </w:r>
      <w:r>
        <w:t>no</w:t>
      </w:r>
      <w:r>
        <w:rPr>
          <w:spacing w:val="-5"/>
        </w:rPr>
        <w:t xml:space="preserve"> </w:t>
      </w:r>
      <w:r>
        <w:t>se</w:t>
      </w:r>
      <w:r>
        <w:rPr>
          <w:spacing w:val="-2"/>
        </w:rPr>
        <w:t xml:space="preserve"> </w:t>
      </w:r>
      <w:r>
        <w:t>entregaron</w:t>
      </w:r>
      <w:r>
        <w:rPr>
          <w:spacing w:val="-2"/>
        </w:rPr>
        <w:t xml:space="preserve"> </w:t>
      </w:r>
      <w:r>
        <w:t>sus</w:t>
      </w:r>
      <w:r>
        <w:rPr>
          <w:spacing w:val="-4"/>
        </w:rPr>
        <w:t xml:space="preserve"> </w:t>
      </w:r>
      <w:r>
        <w:t>restos.</w:t>
      </w:r>
      <w:r>
        <w:rPr>
          <w:spacing w:val="-4"/>
        </w:rPr>
        <w:t xml:space="preserve"> </w:t>
      </w:r>
      <w:r>
        <w:t>El</w:t>
      </w:r>
      <w:r>
        <w:rPr>
          <w:spacing w:val="-2"/>
        </w:rPr>
        <w:t xml:space="preserve"> </w:t>
      </w:r>
      <w:r>
        <w:t>secuestro</w:t>
      </w:r>
      <w:r>
        <w:rPr>
          <w:spacing w:val="-4"/>
        </w:rPr>
        <w:t xml:space="preserve"> </w:t>
      </w:r>
      <w:r>
        <w:t>por</w:t>
      </w:r>
      <w:r>
        <w:rPr>
          <w:spacing w:val="-2"/>
        </w:rPr>
        <w:t xml:space="preserve"> </w:t>
      </w:r>
      <w:r>
        <w:t>motivos</w:t>
      </w:r>
      <w:r>
        <w:rPr>
          <w:spacing w:val="-5"/>
        </w:rPr>
        <w:t xml:space="preserve"> </w:t>
      </w:r>
      <w:r>
        <w:t>políticos</w:t>
      </w:r>
      <w:r>
        <w:rPr>
          <w:spacing w:val="-3"/>
        </w:rPr>
        <w:t xml:space="preserve"> </w:t>
      </w:r>
      <w:r>
        <w:t>también cosificó a las víctimas, supuso una enorme presión sobre sus vidas que se convirtieron en objeto de coacción y desprecio, y que además quedaron en manos de sus captores y de situaciones políticas o económicas impredecibles, objeto de cambio, con el que esas exigencias y respuestas transan con su vida.</w:t>
      </w:r>
    </w:p>
    <w:p w:rsidR="003804AC" w:rsidRDefault="00AF18A5" w:rsidP="00A4155E">
      <w:r>
        <w:t>La Jurisdicción Especial para la Paz (JEP) abordó este crimen bajo el caso 01 (toma de rehenes, graves privaciones de la libertad y otros crímenes concurrentes cometidos por las Farc-EP). La JEP imputó al antiguo secretariado de las FARC-EP crímenes de lesa humanidad y crímenes de guerra por los secuestros que cometieron. Durante las audiencias de reconocimiento de sus crímenes, los miembros del secretariado de las FARC-EP reconocieron que durante el secuestro de las víctimas también se presentaron violencias sexuales, desapariciones forzadas, asesinatos, tratos crueles y degradantes, así como la imposición de trabajos forzados contra ellas. Las víctimas continúan padeciendo consecuencias en su salud física y mental.</w:t>
      </w:r>
    </w:p>
    <w:p w:rsidR="0011361F" w:rsidRDefault="00AF18A5" w:rsidP="004A6EF4">
      <w:pPr>
        <w:pStyle w:val="Ttulo3"/>
        <w:numPr>
          <w:ilvl w:val="1"/>
          <w:numId w:val="16"/>
        </w:numPr>
      </w:pPr>
      <w:bookmarkStart w:id="243" w:name="3.9._Extorsión"/>
      <w:bookmarkStart w:id="244" w:name="_Toc112399568"/>
      <w:bookmarkEnd w:id="243"/>
      <w:r>
        <w:lastRenderedPageBreak/>
        <w:t>Extorsión</w:t>
      </w:r>
      <w:bookmarkEnd w:id="244"/>
    </w:p>
    <w:p w:rsidR="003804AC" w:rsidRDefault="00AF18A5" w:rsidP="00E37A9A">
      <w:r>
        <w:t>«Estando</w:t>
      </w:r>
      <w:r>
        <w:rPr>
          <w:spacing w:val="-3"/>
        </w:rPr>
        <w:t xml:space="preserve"> </w:t>
      </w:r>
      <w:r>
        <w:t>yo</w:t>
      </w:r>
      <w:r>
        <w:rPr>
          <w:spacing w:val="-5"/>
        </w:rPr>
        <w:t xml:space="preserve"> </w:t>
      </w:r>
      <w:r>
        <w:t>en</w:t>
      </w:r>
      <w:r>
        <w:rPr>
          <w:spacing w:val="-3"/>
        </w:rPr>
        <w:t xml:space="preserve"> </w:t>
      </w:r>
      <w:r>
        <w:t>uno</w:t>
      </w:r>
      <w:r>
        <w:rPr>
          <w:spacing w:val="-3"/>
        </w:rPr>
        <w:t xml:space="preserve"> </w:t>
      </w:r>
      <w:r>
        <w:t>de</w:t>
      </w:r>
      <w:r>
        <w:rPr>
          <w:spacing w:val="-3"/>
        </w:rPr>
        <w:t xml:space="preserve"> </w:t>
      </w:r>
      <w:r>
        <w:t>los</w:t>
      </w:r>
      <w:r>
        <w:rPr>
          <w:spacing w:val="-3"/>
        </w:rPr>
        <w:t xml:space="preserve"> </w:t>
      </w:r>
      <w:r>
        <w:t>restaurantes</w:t>
      </w:r>
      <w:r>
        <w:rPr>
          <w:spacing w:val="-3"/>
        </w:rPr>
        <w:t xml:space="preserve"> </w:t>
      </w:r>
      <w:r>
        <w:t>que</w:t>
      </w:r>
      <w:r>
        <w:rPr>
          <w:spacing w:val="-4"/>
        </w:rPr>
        <w:t xml:space="preserve"> </w:t>
      </w:r>
      <w:r>
        <w:t>en</w:t>
      </w:r>
      <w:r>
        <w:rPr>
          <w:spacing w:val="-3"/>
        </w:rPr>
        <w:t xml:space="preserve"> </w:t>
      </w:r>
      <w:r>
        <w:t>ese</w:t>
      </w:r>
      <w:r>
        <w:rPr>
          <w:spacing w:val="-3"/>
        </w:rPr>
        <w:t xml:space="preserve"> </w:t>
      </w:r>
      <w:r>
        <w:t>momento</w:t>
      </w:r>
      <w:r>
        <w:rPr>
          <w:spacing w:val="-5"/>
        </w:rPr>
        <w:t xml:space="preserve"> </w:t>
      </w:r>
      <w:r>
        <w:t>tomaba</w:t>
      </w:r>
      <w:r>
        <w:rPr>
          <w:spacing w:val="-3"/>
        </w:rPr>
        <w:t xml:space="preserve"> </w:t>
      </w:r>
      <w:r>
        <w:t>en</w:t>
      </w:r>
      <w:r>
        <w:rPr>
          <w:spacing w:val="-5"/>
        </w:rPr>
        <w:t xml:space="preserve"> </w:t>
      </w:r>
      <w:r>
        <w:t>arriendo,</w:t>
      </w:r>
      <w:r>
        <w:rPr>
          <w:spacing w:val="-5"/>
        </w:rPr>
        <w:t xml:space="preserve"> </w:t>
      </w:r>
      <w:r>
        <w:t>empezaron a</w:t>
      </w:r>
      <w:r>
        <w:rPr>
          <w:spacing w:val="-3"/>
        </w:rPr>
        <w:t xml:space="preserve"> </w:t>
      </w:r>
      <w:r>
        <w:t>entrar</w:t>
      </w:r>
      <w:r>
        <w:rPr>
          <w:spacing w:val="-4"/>
        </w:rPr>
        <w:t xml:space="preserve"> </w:t>
      </w:r>
      <w:r>
        <w:t>las</w:t>
      </w:r>
      <w:r>
        <w:rPr>
          <w:spacing w:val="-3"/>
        </w:rPr>
        <w:t xml:space="preserve"> </w:t>
      </w:r>
      <w:r>
        <w:t>llamadas</w:t>
      </w:r>
      <w:r>
        <w:rPr>
          <w:spacing w:val="-3"/>
        </w:rPr>
        <w:t xml:space="preserve"> </w:t>
      </w:r>
      <w:r>
        <w:t>a</w:t>
      </w:r>
      <w:r>
        <w:rPr>
          <w:spacing w:val="-4"/>
        </w:rPr>
        <w:t xml:space="preserve"> </w:t>
      </w:r>
      <w:r>
        <w:t>las</w:t>
      </w:r>
      <w:r>
        <w:rPr>
          <w:spacing w:val="-3"/>
        </w:rPr>
        <w:t xml:space="preserve"> </w:t>
      </w:r>
      <w:r>
        <w:t>cuales</w:t>
      </w:r>
      <w:r>
        <w:rPr>
          <w:spacing w:val="-3"/>
        </w:rPr>
        <w:t xml:space="preserve"> </w:t>
      </w:r>
      <w:r>
        <w:t>estábamos</w:t>
      </w:r>
      <w:r>
        <w:rPr>
          <w:spacing w:val="-3"/>
        </w:rPr>
        <w:t xml:space="preserve"> </w:t>
      </w:r>
      <w:r>
        <w:t>acostumbradas,</w:t>
      </w:r>
      <w:r>
        <w:rPr>
          <w:spacing w:val="-5"/>
        </w:rPr>
        <w:t xml:space="preserve"> </w:t>
      </w:r>
      <w:r>
        <w:t>las</w:t>
      </w:r>
      <w:r>
        <w:rPr>
          <w:spacing w:val="-3"/>
        </w:rPr>
        <w:t xml:space="preserve"> </w:t>
      </w:r>
      <w:r>
        <w:t>llamadas</w:t>
      </w:r>
      <w:r>
        <w:rPr>
          <w:spacing w:val="-3"/>
        </w:rPr>
        <w:t xml:space="preserve"> </w:t>
      </w:r>
      <w:r>
        <w:t>extorsivas.</w:t>
      </w:r>
      <w:r>
        <w:rPr>
          <w:spacing w:val="-3"/>
        </w:rPr>
        <w:t xml:space="preserve"> </w:t>
      </w:r>
      <w:r>
        <w:t>Pero</w:t>
      </w:r>
      <w:r>
        <w:rPr>
          <w:spacing w:val="-3"/>
        </w:rPr>
        <w:t xml:space="preserve"> </w:t>
      </w:r>
      <w:r>
        <w:t>en ese</w:t>
      </w:r>
      <w:r>
        <w:rPr>
          <w:spacing w:val="-1"/>
        </w:rPr>
        <w:t xml:space="preserve"> </w:t>
      </w:r>
      <w:r>
        <w:t>caso</w:t>
      </w:r>
      <w:r>
        <w:rPr>
          <w:spacing w:val="-1"/>
        </w:rPr>
        <w:t xml:space="preserve"> </w:t>
      </w:r>
      <w:r>
        <w:t>no</w:t>
      </w:r>
      <w:r>
        <w:rPr>
          <w:spacing w:val="-2"/>
        </w:rPr>
        <w:t xml:space="preserve"> </w:t>
      </w:r>
      <w:r>
        <w:t>fue</w:t>
      </w:r>
      <w:r>
        <w:rPr>
          <w:spacing w:val="-1"/>
        </w:rPr>
        <w:t xml:space="preserve"> </w:t>
      </w:r>
      <w:r>
        <w:t>para</w:t>
      </w:r>
      <w:r>
        <w:rPr>
          <w:spacing w:val="-1"/>
        </w:rPr>
        <w:t xml:space="preserve"> </w:t>
      </w:r>
      <w:r>
        <w:t>mí,</w:t>
      </w:r>
      <w:r>
        <w:rPr>
          <w:spacing w:val="-2"/>
        </w:rPr>
        <w:t xml:space="preserve"> </w:t>
      </w:r>
      <w:r>
        <w:t>sino</w:t>
      </w:r>
      <w:r>
        <w:rPr>
          <w:spacing w:val="-1"/>
        </w:rPr>
        <w:t xml:space="preserve"> </w:t>
      </w:r>
      <w:r>
        <w:t>para</w:t>
      </w:r>
      <w:r>
        <w:rPr>
          <w:spacing w:val="-1"/>
        </w:rPr>
        <w:t xml:space="preserve"> </w:t>
      </w:r>
      <w:r>
        <w:t>la</w:t>
      </w:r>
      <w:r>
        <w:rPr>
          <w:spacing w:val="-2"/>
        </w:rPr>
        <w:t xml:space="preserve"> </w:t>
      </w:r>
      <w:r>
        <w:t>dueña</w:t>
      </w:r>
      <w:r>
        <w:rPr>
          <w:spacing w:val="-1"/>
        </w:rPr>
        <w:t xml:space="preserve"> </w:t>
      </w:r>
      <w:r>
        <w:t>del</w:t>
      </w:r>
      <w:r>
        <w:rPr>
          <w:spacing w:val="-2"/>
        </w:rPr>
        <w:t xml:space="preserve"> </w:t>
      </w:r>
      <w:r>
        <w:t>inmueble.</w:t>
      </w:r>
      <w:r>
        <w:rPr>
          <w:spacing w:val="-1"/>
        </w:rPr>
        <w:t xml:space="preserve"> </w:t>
      </w:r>
      <w:r>
        <w:t>Como</w:t>
      </w:r>
      <w:r>
        <w:rPr>
          <w:spacing w:val="-1"/>
        </w:rPr>
        <w:t xml:space="preserve"> </w:t>
      </w:r>
      <w:r>
        <w:t>la</w:t>
      </w:r>
      <w:r>
        <w:rPr>
          <w:spacing w:val="-1"/>
        </w:rPr>
        <w:t xml:space="preserve"> </w:t>
      </w:r>
      <w:r>
        <w:t>señora</w:t>
      </w:r>
      <w:r>
        <w:rPr>
          <w:spacing w:val="-1"/>
        </w:rPr>
        <w:t xml:space="preserve"> </w:t>
      </w:r>
      <w:r>
        <w:t>se</w:t>
      </w:r>
      <w:r>
        <w:rPr>
          <w:spacing w:val="-1"/>
        </w:rPr>
        <w:t xml:space="preserve"> </w:t>
      </w:r>
      <w:r>
        <w:t>negó</w:t>
      </w:r>
      <w:r>
        <w:rPr>
          <w:spacing w:val="-1"/>
        </w:rPr>
        <w:t xml:space="preserve"> </w:t>
      </w:r>
      <w:r>
        <w:t>a</w:t>
      </w:r>
      <w:r>
        <w:rPr>
          <w:spacing w:val="-2"/>
        </w:rPr>
        <w:t xml:space="preserve"> </w:t>
      </w:r>
      <w:r>
        <w:t>pagar</w:t>
      </w:r>
      <w:r>
        <w:rPr>
          <w:spacing w:val="-1"/>
        </w:rPr>
        <w:t xml:space="preserve"> </w:t>
      </w:r>
      <w:r>
        <w:t xml:space="preserve">la extorsión solicitada, nos pusieron una bomba. Nos mataron a la empleada que estaba en la </w:t>
      </w:r>
      <w:r>
        <w:rPr>
          <w:spacing w:val="-2"/>
        </w:rPr>
        <w:t>cocina»</w:t>
      </w:r>
      <w:r w:rsidR="00E37A9A">
        <w:rPr>
          <w:rStyle w:val="Refdenotaalpie"/>
          <w:spacing w:val="-2"/>
        </w:rPr>
        <w:footnoteReference w:id="150"/>
      </w:r>
      <w:r>
        <w:rPr>
          <w:spacing w:val="-2"/>
        </w:rPr>
        <w:t>.</w:t>
      </w:r>
    </w:p>
    <w:p w:rsidR="003804AC" w:rsidRDefault="00AF18A5" w:rsidP="00E37A9A">
      <w:r>
        <w:t>La</w:t>
      </w:r>
      <w:r>
        <w:rPr>
          <w:spacing w:val="-9"/>
        </w:rPr>
        <w:t xml:space="preserve"> </w:t>
      </w:r>
      <w:r>
        <w:t>extorsión</w:t>
      </w:r>
      <w:r>
        <w:rPr>
          <w:spacing w:val="-11"/>
        </w:rPr>
        <w:t xml:space="preserve"> </w:t>
      </w:r>
      <w:r>
        <w:t>es</w:t>
      </w:r>
      <w:r>
        <w:rPr>
          <w:spacing w:val="-9"/>
        </w:rPr>
        <w:t xml:space="preserve"> </w:t>
      </w:r>
      <w:r>
        <w:t>una</w:t>
      </w:r>
      <w:r>
        <w:rPr>
          <w:spacing w:val="-10"/>
        </w:rPr>
        <w:t xml:space="preserve"> </w:t>
      </w:r>
      <w:r>
        <w:t>política</w:t>
      </w:r>
      <w:r>
        <w:rPr>
          <w:spacing w:val="-9"/>
        </w:rPr>
        <w:t xml:space="preserve"> </w:t>
      </w:r>
      <w:r>
        <w:t>de</w:t>
      </w:r>
      <w:r>
        <w:rPr>
          <w:spacing w:val="-10"/>
        </w:rPr>
        <w:t xml:space="preserve"> </w:t>
      </w:r>
      <w:r>
        <w:t>los</w:t>
      </w:r>
      <w:r>
        <w:rPr>
          <w:spacing w:val="-9"/>
        </w:rPr>
        <w:t xml:space="preserve"> </w:t>
      </w:r>
      <w:r>
        <w:t>grupos</w:t>
      </w:r>
      <w:r>
        <w:rPr>
          <w:spacing w:val="-9"/>
        </w:rPr>
        <w:t xml:space="preserve"> </w:t>
      </w:r>
      <w:r>
        <w:t>armados</w:t>
      </w:r>
      <w:r>
        <w:rPr>
          <w:spacing w:val="-10"/>
        </w:rPr>
        <w:t xml:space="preserve"> </w:t>
      </w:r>
      <w:r>
        <w:t>no</w:t>
      </w:r>
      <w:r>
        <w:rPr>
          <w:spacing w:val="-9"/>
        </w:rPr>
        <w:t xml:space="preserve"> </w:t>
      </w:r>
      <w:r>
        <w:t>solo</w:t>
      </w:r>
      <w:r>
        <w:rPr>
          <w:spacing w:val="-11"/>
        </w:rPr>
        <w:t xml:space="preserve"> </w:t>
      </w:r>
      <w:r>
        <w:t>para</w:t>
      </w:r>
      <w:r>
        <w:rPr>
          <w:spacing w:val="-10"/>
        </w:rPr>
        <w:t xml:space="preserve"> </w:t>
      </w:r>
      <w:r>
        <w:t>recaudar</w:t>
      </w:r>
      <w:r>
        <w:rPr>
          <w:spacing w:val="-9"/>
        </w:rPr>
        <w:t xml:space="preserve"> </w:t>
      </w:r>
      <w:r>
        <w:t>dinero,</w:t>
      </w:r>
      <w:r>
        <w:rPr>
          <w:spacing w:val="-9"/>
        </w:rPr>
        <w:t xml:space="preserve"> </w:t>
      </w:r>
      <w:r>
        <w:t>sino</w:t>
      </w:r>
      <w:r>
        <w:rPr>
          <w:spacing w:val="-9"/>
        </w:rPr>
        <w:t xml:space="preserve"> </w:t>
      </w:r>
      <w:r>
        <w:t>para controlar los territorios; la víctima es forzada a un pago para poder trabajar y vivir. La extorsión</w:t>
      </w:r>
      <w:r>
        <w:rPr>
          <w:spacing w:val="-6"/>
        </w:rPr>
        <w:t xml:space="preserve"> </w:t>
      </w:r>
      <w:r>
        <w:t>es</w:t>
      </w:r>
      <w:r>
        <w:rPr>
          <w:spacing w:val="-7"/>
        </w:rPr>
        <w:t xml:space="preserve"> </w:t>
      </w:r>
      <w:r>
        <w:t>la</w:t>
      </w:r>
      <w:r>
        <w:rPr>
          <w:spacing w:val="-6"/>
        </w:rPr>
        <w:t xml:space="preserve"> </w:t>
      </w:r>
      <w:r>
        <w:t>imposición</w:t>
      </w:r>
      <w:r>
        <w:rPr>
          <w:spacing w:val="-7"/>
        </w:rPr>
        <w:t xml:space="preserve"> </w:t>
      </w:r>
      <w:r>
        <w:t>de</w:t>
      </w:r>
      <w:r>
        <w:rPr>
          <w:spacing w:val="-6"/>
        </w:rPr>
        <w:t xml:space="preserve"> </w:t>
      </w:r>
      <w:r>
        <w:t>una</w:t>
      </w:r>
      <w:r>
        <w:rPr>
          <w:spacing w:val="-7"/>
        </w:rPr>
        <w:t xml:space="preserve"> </w:t>
      </w:r>
      <w:r>
        <w:t>contribución</w:t>
      </w:r>
      <w:r>
        <w:rPr>
          <w:spacing w:val="-6"/>
        </w:rPr>
        <w:t xml:space="preserve"> </w:t>
      </w:r>
      <w:r>
        <w:t>patrimonial</w:t>
      </w:r>
      <w:r>
        <w:rPr>
          <w:spacing w:val="-7"/>
        </w:rPr>
        <w:t xml:space="preserve"> </w:t>
      </w:r>
      <w:r>
        <w:t>arbitraria</w:t>
      </w:r>
      <w:r>
        <w:rPr>
          <w:spacing w:val="-6"/>
        </w:rPr>
        <w:t xml:space="preserve"> </w:t>
      </w:r>
      <w:r>
        <w:t>a</w:t>
      </w:r>
      <w:r>
        <w:rPr>
          <w:spacing w:val="-7"/>
        </w:rPr>
        <w:t xml:space="preserve"> </w:t>
      </w:r>
      <w:r>
        <w:t>una</w:t>
      </w:r>
      <w:r>
        <w:rPr>
          <w:spacing w:val="-7"/>
        </w:rPr>
        <w:t xml:space="preserve"> </w:t>
      </w:r>
      <w:r>
        <w:t>persona</w:t>
      </w:r>
      <w:r>
        <w:rPr>
          <w:spacing w:val="-6"/>
        </w:rPr>
        <w:t xml:space="preserve"> </w:t>
      </w:r>
      <w:r>
        <w:t>por</w:t>
      </w:r>
      <w:r>
        <w:rPr>
          <w:spacing w:val="-7"/>
        </w:rPr>
        <w:t xml:space="preserve"> </w:t>
      </w:r>
      <w:r>
        <w:t>parte de</w:t>
      </w:r>
      <w:r>
        <w:rPr>
          <w:spacing w:val="2"/>
        </w:rPr>
        <w:t xml:space="preserve"> </w:t>
      </w:r>
      <w:r>
        <w:t>un</w:t>
      </w:r>
      <w:r>
        <w:rPr>
          <w:spacing w:val="3"/>
        </w:rPr>
        <w:t xml:space="preserve"> </w:t>
      </w:r>
      <w:r>
        <w:t>actor</w:t>
      </w:r>
      <w:r>
        <w:rPr>
          <w:spacing w:val="4"/>
        </w:rPr>
        <w:t xml:space="preserve"> </w:t>
      </w:r>
      <w:r>
        <w:t>del</w:t>
      </w:r>
      <w:r>
        <w:rPr>
          <w:spacing w:val="4"/>
        </w:rPr>
        <w:t xml:space="preserve"> </w:t>
      </w:r>
      <w:r>
        <w:t>conflicto</w:t>
      </w:r>
      <w:r>
        <w:rPr>
          <w:spacing w:val="3"/>
        </w:rPr>
        <w:t xml:space="preserve"> </w:t>
      </w:r>
      <w:r>
        <w:t>armado.</w:t>
      </w:r>
      <w:r>
        <w:rPr>
          <w:spacing w:val="3"/>
        </w:rPr>
        <w:t xml:space="preserve"> </w:t>
      </w:r>
      <w:r>
        <w:t>En</w:t>
      </w:r>
      <w:r>
        <w:rPr>
          <w:spacing w:val="2"/>
        </w:rPr>
        <w:t xml:space="preserve"> </w:t>
      </w:r>
      <w:r>
        <w:t>algunas</w:t>
      </w:r>
      <w:r>
        <w:rPr>
          <w:spacing w:val="5"/>
        </w:rPr>
        <w:t xml:space="preserve"> </w:t>
      </w:r>
      <w:r>
        <w:t>ocasiones</w:t>
      </w:r>
      <w:r>
        <w:rPr>
          <w:spacing w:val="4"/>
        </w:rPr>
        <w:t xml:space="preserve"> </w:t>
      </w:r>
      <w:r>
        <w:t>se</w:t>
      </w:r>
      <w:r>
        <w:rPr>
          <w:spacing w:val="5"/>
        </w:rPr>
        <w:t xml:space="preserve"> </w:t>
      </w:r>
      <w:r>
        <w:t>denominan</w:t>
      </w:r>
      <w:r>
        <w:rPr>
          <w:spacing w:val="3"/>
        </w:rPr>
        <w:t xml:space="preserve"> </w:t>
      </w:r>
      <w:r>
        <w:t>«vacunas»,</w:t>
      </w:r>
      <w:r>
        <w:rPr>
          <w:spacing w:val="4"/>
        </w:rPr>
        <w:t xml:space="preserve"> </w:t>
      </w:r>
      <w:r>
        <w:rPr>
          <w:spacing w:val="-2"/>
        </w:rPr>
        <w:t>«cuotas»,</w:t>
      </w:r>
      <w:r w:rsidR="00E37A9A">
        <w:rPr>
          <w:spacing w:val="-2"/>
        </w:rPr>
        <w:t xml:space="preserve"> </w:t>
      </w:r>
      <w:r>
        <w:t>«impuestos de guerra» o «contribuciones». Estas fueron cobradas tanto a multinacionales, grandes</w:t>
      </w:r>
      <w:r>
        <w:rPr>
          <w:spacing w:val="-15"/>
        </w:rPr>
        <w:t xml:space="preserve"> </w:t>
      </w:r>
      <w:r>
        <w:t>empresarios</w:t>
      </w:r>
      <w:r>
        <w:rPr>
          <w:spacing w:val="-15"/>
        </w:rPr>
        <w:t xml:space="preserve"> </w:t>
      </w:r>
      <w:r>
        <w:t>y</w:t>
      </w:r>
      <w:r>
        <w:rPr>
          <w:spacing w:val="-15"/>
        </w:rPr>
        <w:t xml:space="preserve"> </w:t>
      </w:r>
      <w:r>
        <w:t>ganaderos,</w:t>
      </w:r>
      <w:r>
        <w:rPr>
          <w:spacing w:val="-15"/>
        </w:rPr>
        <w:t xml:space="preserve"> </w:t>
      </w:r>
      <w:r>
        <w:t>como</w:t>
      </w:r>
      <w:r>
        <w:rPr>
          <w:spacing w:val="-15"/>
        </w:rPr>
        <w:t xml:space="preserve"> </w:t>
      </w:r>
      <w:r>
        <w:t>a</w:t>
      </w:r>
      <w:r>
        <w:rPr>
          <w:spacing w:val="-15"/>
        </w:rPr>
        <w:t xml:space="preserve"> </w:t>
      </w:r>
      <w:r>
        <w:t>pequeños</w:t>
      </w:r>
      <w:r>
        <w:rPr>
          <w:spacing w:val="-14"/>
        </w:rPr>
        <w:t xml:space="preserve"> </w:t>
      </w:r>
      <w:r>
        <w:t>productores,</w:t>
      </w:r>
      <w:r>
        <w:rPr>
          <w:spacing w:val="-14"/>
        </w:rPr>
        <w:t xml:space="preserve"> </w:t>
      </w:r>
      <w:r>
        <w:t>docentes,</w:t>
      </w:r>
      <w:r>
        <w:rPr>
          <w:spacing w:val="-15"/>
        </w:rPr>
        <w:t xml:space="preserve"> </w:t>
      </w:r>
      <w:r>
        <w:t>tenderos,</w:t>
      </w:r>
      <w:r>
        <w:rPr>
          <w:spacing w:val="-15"/>
        </w:rPr>
        <w:t xml:space="preserve"> </w:t>
      </w:r>
      <w:r>
        <w:t>taxistas, vendedores</w:t>
      </w:r>
      <w:r>
        <w:rPr>
          <w:spacing w:val="-12"/>
        </w:rPr>
        <w:t xml:space="preserve"> </w:t>
      </w:r>
      <w:r>
        <w:t>ambulantes</w:t>
      </w:r>
      <w:r>
        <w:rPr>
          <w:spacing w:val="-12"/>
        </w:rPr>
        <w:t xml:space="preserve"> </w:t>
      </w:r>
      <w:r>
        <w:t>o</w:t>
      </w:r>
      <w:r>
        <w:rPr>
          <w:spacing w:val="-11"/>
        </w:rPr>
        <w:t xml:space="preserve"> </w:t>
      </w:r>
      <w:r>
        <w:t>a</w:t>
      </w:r>
      <w:r>
        <w:rPr>
          <w:spacing w:val="-11"/>
        </w:rPr>
        <w:t xml:space="preserve"> </w:t>
      </w:r>
      <w:r>
        <w:t>cualquier</w:t>
      </w:r>
      <w:r>
        <w:rPr>
          <w:spacing w:val="-12"/>
        </w:rPr>
        <w:t xml:space="preserve"> </w:t>
      </w:r>
      <w:r>
        <w:t>persona</w:t>
      </w:r>
      <w:r>
        <w:rPr>
          <w:spacing w:val="-11"/>
        </w:rPr>
        <w:t xml:space="preserve"> </w:t>
      </w:r>
      <w:r>
        <w:t>con</w:t>
      </w:r>
      <w:r>
        <w:rPr>
          <w:spacing w:val="-12"/>
        </w:rPr>
        <w:t xml:space="preserve"> </w:t>
      </w:r>
      <w:r>
        <w:t>alguna</w:t>
      </w:r>
      <w:r>
        <w:rPr>
          <w:spacing w:val="-11"/>
        </w:rPr>
        <w:t xml:space="preserve"> </w:t>
      </w:r>
      <w:r>
        <w:t>actividad</w:t>
      </w:r>
      <w:r>
        <w:rPr>
          <w:spacing w:val="-11"/>
        </w:rPr>
        <w:t xml:space="preserve"> </w:t>
      </w:r>
      <w:r>
        <w:t>económica.</w:t>
      </w:r>
      <w:r>
        <w:rPr>
          <w:spacing w:val="-11"/>
        </w:rPr>
        <w:t xml:space="preserve"> </w:t>
      </w:r>
      <w:r>
        <w:t>Se</w:t>
      </w:r>
      <w:r>
        <w:rPr>
          <w:spacing w:val="-11"/>
        </w:rPr>
        <w:t xml:space="preserve"> </w:t>
      </w:r>
      <w:r>
        <w:t>trató</w:t>
      </w:r>
      <w:r>
        <w:rPr>
          <w:spacing w:val="-12"/>
        </w:rPr>
        <w:t xml:space="preserve"> </w:t>
      </w:r>
      <w:r>
        <w:t>de</w:t>
      </w:r>
      <w:r>
        <w:rPr>
          <w:spacing w:val="-11"/>
        </w:rPr>
        <w:t xml:space="preserve"> </w:t>
      </w:r>
      <w:r>
        <w:t>un mecanismo que permitió obtener una fuente de ingresos tanto a las guerrillas como a los grupos paramilitares.</w:t>
      </w:r>
    </w:p>
    <w:p w:rsidR="003804AC" w:rsidRDefault="00AF18A5" w:rsidP="00E37A9A">
      <w:r>
        <w:t>En las primeras décadas del conflicto armado fue sobre todo un cobro exclusivo para aquellos</w:t>
      </w:r>
      <w:r>
        <w:rPr>
          <w:spacing w:val="-15"/>
        </w:rPr>
        <w:t xml:space="preserve"> </w:t>
      </w:r>
      <w:r>
        <w:t>a</w:t>
      </w:r>
      <w:r>
        <w:rPr>
          <w:spacing w:val="-15"/>
        </w:rPr>
        <w:t xml:space="preserve"> </w:t>
      </w:r>
      <w:r>
        <w:t>quienes</w:t>
      </w:r>
      <w:r>
        <w:rPr>
          <w:spacing w:val="-15"/>
        </w:rPr>
        <w:t xml:space="preserve"> </w:t>
      </w:r>
      <w:r>
        <w:t>las</w:t>
      </w:r>
      <w:r>
        <w:rPr>
          <w:spacing w:val="-15"/>
        </w:rPr>
        <w:t xml:space="preserve"> </w:t>
      </w:r>
      <w:r>
        <w:t>guerrillas</w:t>
      </w:r>
      <w:r>
        <w:rPr>
          <w:spacing w:val="-15"/>
        </w:rPr>
        <w:t xml:space="preserve"> </w:t>
      </w:r>
      <w:r>
        <w:t>y</w:t>
      </w:r>
      <w:r>
        <w:rPr>
          <w:spacing w:val="-15"/>
        </w:rPr>
        <w:t xml:space="preserve"> </w:t>
      </w:r>
      <w:r>
        <w:t>paramilitares</w:t>
      </w:r>
      <w:r>
        <w:rPr>
          <w:spacing w:val="-15"/>
        </w:rPr>
        <w:t xml:space="preserve"> </w:t>
      </w:r>
      <w:r>
        <w:t>consideraban</w:t>
      </w:r>
      <w:r>
        <w:rPr>
          <w:spacing w:val="-15"/>
        </w:rPr>
        <w:t xml:space="preserve"> </w:t>
      </w:r>
      <w:r>
        <w:t>tenían</w:t>
      </w:r>
      <w:r>
        <w:rPr>
          <w:spacing w:val="-15"/>
        </w:rPr>
        <w:t xml:space="preserve"> </w:t>
      </w:r>
      <w:r>
        <w:t>un</w:t>
      </w:r>
      <w:r>
        <w:rPr>
          <w:spacing w:val="-15"/>
        </w:rPr>
        <w:t xml:space="preserve"> </w:t>
      </w:r>
      <w:r>
        <w:t>abundante</w:t>
      </w:r>
      <w:r>
        <w:rPr>
          <w:spacing w:val="-15"/>
        </w:rPr>
        <w:t xml:space="preserve"> </w:t>
      </w:r>
      <w:r>
        <w:t>patrimonio o poder, muchas veces con la amenaza de secuestro o asesinato. Con el tiempo se fue convirtiendo</w:t>
      </w:r>
      <w:r>
        <w:rPr>
          <w:spacing w:val="-2"/>
        </w:rPr>
        <w:t xml:space="preserve"> </w:t>
      </w:r>
      <w:r>
        <w:t>en</w:t>
      </w:r>
      <w:r>
        <w:rPr>
          <w:spacing w:val="-2"/>
        </w:rPr>
        <w:t xml:space="preserve"> </w:t>
      </w:r>
      <w:r>
        <w:t>una</w:t>
      </w:r>
      <w:r>
        <w:rPr>
          <w:spacing w:val="-2"/>
        </w:rPr>
        <w:t xml:space="preserve"> </w:t>
      </w:r>
      <w:r>
        <w:t>práctica</w:t>
      </w:r>
      <w:r>
        <w:rPr>
          <w:spacing w:val="-2"/>
        </w:rPr>
        <w:t xml:space="preserve"> </w:t>
      </w:r>
      <w:r>
        <w:t>impuesta</w:t>
      </w:r>
      <w:r>
        <w:rPr>
          <w:spacing w:val="-2"/>
        </w:rPr>
        <w:t xml:space="preserve"> </w:t>
      </w:r>
      <w:r>
        <w:t>a</w:t>
      </w:r>
      <w:r>
        <w:rPr>
          <w:spacing w:val="-2"/>
        </w:rPr>
        <w:t xml:space="preserve"> </w:t>
      </w:r>
      <w:r>
        <w:t>casi</w:t>
      </w:r>
      <w:r>
        <w:rPr>
          <w:spacing w:val="-2"/>
        </w:rPr>
        <w:t xml:space="preserve"> </w:t>
      </w:r>
      <w:r>
        <w:t>todos</w:t>
      </w:r>
      <w:r>
        <w:rPr>
          <w:spacing w:val="-2"/>
        </w:rPr>
        <w:t xml:space="preserve"> </w:t>
      </w:r>
      <w:r>
        <w:t>los</w:t>
      </w:r>
      <w:r>
        <w:rPr>
          <w:spacing w:val="-2"/>
        </w:rPr>
        <w:t xml:space="preserve"> </w:t>
      </w:r>
      <w:r>
        <w:t>habitantes</w:t>
      </w:r>
      <w:r>
        <w:rPr>
          <w:spacing w:val="-2"/>
        </w:rPr>
        <w:t xml:space="preserve"> </w:t>
      </w:r>
      <w:r>
        <w:t>que</w:t>
      </w:r>
      <w:r>
        <w:rPr>
          <w:spacing w:val="-2"/>
        </w:rPr>
        <w:t xml:space="preserve"> </w:t>
      </w:r>
      <w:r>
        <w:t>tuviesen</w:t>
      </w:r>
      <w:r>
        <w:rPr>
          <w:spacing w:val="-2"/>
        </w:rPr>
        <w:t xml:space="preserve"> </w:t>
      </w:r>
      <w:r>
        <w:t>una</w:t>
      </w:r>
      <w:r>
        <w:rPr>
          <w:spacing w:val="-2"/>
        </w:rPr>
        <w:t xml:space="preserve"> </w:t>
      </w:r>
      <w:r>
        <w:t>actividad económica</w:t>
      </w:r>
      <w:r>
        <w:rPr>
          <w:spacing w:val="28"/>
        </w:rPr>
        <w:t xml:space="preserve"> </w:t>
      </w:r>
      <w:r>
        <w:t>sin</w:t>
      </w:r>
      <w:r>
        <w:rPr>
          <w:spacing w:val="31"/>
        </w:rPr>
        <w:t xml:space="preserve"> </w:t>
      </w:r>
      <w:r>
        <w:t>importar</w:t>
      </w:r>
      <w:r>
        <w:rPr>
          <w:spacing w:val="30"/>
        </w:rPr>
        <w:t xml:space="preserve"> </w:t>
      </w:r>
      <w:r>
        <w:t>sus</w:t>
      </w:r>
      <w:r>
        <w:rPr>
          <w:spacing w:val="31"/>
        </w:rPr>
        <w:t xml:space="preserve"> </w:t>
      </w:r>
      <w:r>
        <w:t>ingresos,</w:t>
      </w:r>
      <w:r>
        <w:rPr>
          <w:spacing w:val="31"/>
        </w:rPr>
        <w:t xml:space="preserve"> </w:t>
      </w:r>
      <w:r>
        <w:t>quienes</w:t>
      </w:r>
      <w:r>
        <w:rPr>
          <w:spacing w:val="30"/>
        </w:rPr>
        <w:t xml:space="preserve"> </w:t>
      </w:r>
      <w:r>
        <w:t>fueron</w:t>
      </w:r>
      <w:r>
        <w:rPr>
          <w:spacing w:val="30"/>
        </w:rPr>
        <w:t xml:space="preserve"> </w:t>
      </w:r>
      <w:r>
        <w:t>obligados</w:t>
      </w:r>
      <w:r>
        <w:rPr>
          <w:spacing w:val="31"/>
        </w:rPr>
        <w:t xml:space="preserve"> </w:t>
      </w:r>
      <w:r>
        <w:t>a</w:t>
      </w:r>
      <w:r>
        <w:rPr>
          <w:spacing w:val="31"/>
        </w:rPr>
        <w:t xml:space="preserve"> </w:t>
      </w:r>
      <w:r>
        <w:t>pagar</w:t>
      </w:r>
      <w:r>
        <w:rPr>
          <w:spacing w:val="30"/>
        </w:rPr>
        <w:t xml:space="preserve"> </w:t>
      </w:r>
      <w:r>
        <w:t>cuotas,</w:t>
      </w:r>
      <w:r>
        <w:rPr>
          <w:spacing w:val="30"/>
        </w:rPr>
        <w:t xml:space="preserve"> </w:t>
      </w:r>
      <w:r>
        <w:t>aportes</w:t>
      </w:r>
      <w:r>
        <w:rPr>
          <w:spacing w:val="31"/>
        </w:rPr>
        <w:t xml:space="preserve"> </w:t>
      </w:r>
      <w:r>
        <w:rPr>
          <w:spacing w:val="-10"/>
        </w:rPr>
        <w:t>o</w:t>
      </w:r>
      <w:r w:rsidR="00E37A9A">
        <w:rPr>
          <w:spacing w:val="-10"/>
        </w:rPr>
        <w:t xml:space="preserve"> </w:t>
      </w:r>
      <w:r>
        <w:t xml:space="preserve">«vacunas». Mediante la </w:t>
      </w:r>
      <w:r>
        <w:lastRenderedPageBreak/>
        <w:t>extorsión los responsables desarticulan a las comunidades, las estigmatizan</w:t>
      </w:r>
      <w:r>
        <w:rPr>
          <w:spacing w:val="-1"/>
        </w:rPr>
        <w:t xml:space="preserve"> </w:t>
      </w:r>
      <w:r>
        <w:t>y las convierten</w:t>
      </w:r>
      <w:r>
        <w:rPr>
          <w:spacing w:val="-1"/>
        </w:rPr>
        <w:t xml:space="preserve"> </w:t>
      </w:r>
      <w:r>
        <w:t>en un</w:t>
      </w:r>
      <w:r>
        <w:rPr>
          <w:spacing w:val="-1"/>
        </w:rPr>
        <w:t xml:space="preserve"> </w:t>
      </w:r>
      <w:r>
        <w:t>eslabón de</w:t>
      </w:r>
      <w:r>
        <w:rPr>
          <w:spacing w:val="-1"/>
        </w:rPr>
        <w:t xml:space="preserve"> </w:t>
      </w:r>
      <w:r>
        <w:t>la</w:t>
      </w:r>
      <w:r>
        <w:rPr>
          <w:spacing w:val="-1"/>
        </w:rPr>
        <w:t xml:space="preserve"> </w:t>
      </w:r>
      <w:r>
        <w:t>financiación</w:t>
      </w:r>
      <w:r>
        <w:rPr>
          <w:spacing w:val="-2"/>
        </w:rPr>
        <w:t xml:space="preserve"> </w:t>
      </w:r>
      <w:r>
        <w:t>de grupos</w:t>
      </w:r>
      <w:r>
        <w:rPr>
          <w:spacing w:val="-1"/>
        </w:rPr>
        <w:t xml:space="preserve"> </w:t>
      </w:r>
      <w:r>
        <w:t>armados, y</w:t>
      </w:r>
      <w:r>
        <w:rPr>
          <w:spacing w:val="-1"/>
        </w:rPr>
        <w:t xml:space="preserve"> </w:t>
      </w:r>
      <w:r>
        <w:t>a veces por ello han sido acusadas por cada bando de ser colaboradoras del contrario. Destruye proyectos de vida, al obligar a quienes no pueden pagar a desistir de sus actividades productivas</w:t>
      </w:r>
      <w:r>
        <w:rPr>
          <w:spacing w:val="-8"/>
        </w:rPr>
        <w:t xml:space="preserve"> </w:t>
      </w:r>
      <w:r>
        <w:t>y</w:t>
      </w:r>
      <w:r>
        <w:rPr>
          <w:spacing w:val="-4"/>
        </w:rPr>
        <w:t xml:space="preserve"> </w:t>
      </w:r>
      <w:r>
        <w:t>económicas,</w:t>
      </w:r>
      <w:r>
        <w:rPr>
          <w:spacing w:val="-4"/>
        </w:rPr>
        <w:t xml:space="preserve"> </w:t>
      </w:r>
      <w:r>
        <w:t>cerrar</w:t>
      </w:r>
      <w:r>
        <w:rPr>
          <w:spacing w:val="-3"/>
        </w:rPr>
        <w:t xml:space="preserve"> </w:t>
      </w:r>
      <w:r>
        <w:t>sus</w:t>
      </w:r>
      <w:r>
        <w:rPr>
          <w:spacing w:val="-5"/>
        </w:rPr>
        <w:t xml:space="preserve"> </w:t>
      </w:r>
      <w:r>
        <w:t>negocios</w:t>
      </w:r>
      <w:r>
        <w:rPr>
          <w:spacing w:val="-4"/>
        </w:rPr>
        <w:t xml:space="preserve"> </w:t>
      </w:r>
      <w:r>
        <w:t>y</w:t>
      </w:r>
      <w:r>
        <w:rPr>
          <w:spacing w:val="-4"/>
        </w:rPr>
        <w:t xml:space="preserve"> </w:t>
      </w:r>
      <w:r>
        <w:t>abandonar</w:t>
      </w:r>
      <w:r>
        <w:rPr>
          <w:spacing w:val="-3"/>
        </w:rPr>
        <w:t xml:space="preserve"> </w:t>
      </w:r>
      <w:r>
        <w:t>sus</w:t>
      </w:r>
      <w:r>
        <w:rPr>
          <w:spacing w:val="-4"/>
        </w:rPr>
        <w:t xml:space="preserve"> </w:t>
      </w:r>
      <w:r>
        <w:t>tierras,</w:t>
      </w:r>
      <w:r>
        <w:rPr>
          <w:spacing w:val="-4"/>
        </w:rPr>
        <w:t xml:space="preserve"> </w:t>
      </w:r>
      <w:r>
        <w:t>a</w:t>
      </w:r>
      <w:r>
        <w:rPr>
          <w:spacing w:val="-4"/>
        </w:rPr>
        <w:t xml:space="preserve"> </w:t>
      </w:r>
      <w:r>
        <w:t>trasladarse</w:t>
      </w:r>
      <w:r>
        <w:rPr>
          <w:spacing w:val="-4"/>
        </w:rPr>
        <w:t xml:space="preserve"> </w:t>
      </w:r>
      <w:r>
        <w:t>de</w:t>
      </w:r>
      <w:r>
        <w:rPr>
          <w:spacing w:val="-5"/>
        </w:rPr>
        <w:t xml:space="preserve"> </w:t>
      </w:r>
      <w:r>
        <w:rPr>
          <w:spacing w:val="-2"/>
        </w:rPr>
        <w:t>lugar</w:t>
      </w:r>
      <w:bookmarkStart w:id="245" w:name="_bookmark173"/>
      <w:bookmarkEnd w:id="245"/>
      <w:r w:rsidR="00E37A9A">
        <w:rPr>
          <w:spacing w:val="-2"/>
        </w:rPr>
        <w:t xml:space="preserve"> </w:t>
      </w:r>
      <w:r>
        <w:t>y desempeñar actividades distintas, es frecuente que los responsables asesinen a quienes se resisten</w:t>
      </w:r>
      <w:r>
        <w:rPr>
          <w:spacing w:val="-15"/>
        </w:rPr>
        <w:t xml:space="preserve"> </w:t>
      </w:r>
      <w:r>
        <w:t>al</w:t>
      </w:r>
      <w:r>
        <w:rPr>
          <w:spacing w:val="-15"/>
        </w:rPr>
        <w:t xml:space="preserve"> </w:t>
      </w:r>
      <w:r>
        <w:t>pago</w:t>
      </w:r>
      <w:r>
        <w:rPr>
          <w:spacing w:val="-15"/>
        </w:rPr>
        <w:t xml:space="preserve"> </w:t>
      </w:r>
      <w:r>
        <w:t>forzado.</w:t>
      </w:r>
      <w:r>
        <w:rPr>
          <w:spacing w:val="-15"/>
        </w:rPr>
        <w:t xml:space="preserve"> </w:t>
      </w:r>
      <w:r>
        <w:t>Y</w:t>
      </w:r>
      <w:r>
        <w:rPr>
          <w:spacing w:val="-15"/>
        </w:rPr>
        <w:t xml:space="preserve"> </w:t>
      </w:r>
      <w:r>
        <w:t>hacerse</w:t>
      </w:r>
      <w:r>
        <w:rPr>
          <w:spacing w:val="-15"/>
        </w:rPr>
        <w:t xml:space="preserve"> </w:t>
      </w:r>
      <w:r>
        <w:t>parte</w:t>
      </w:r>
      <w:r>
        <w:rPr>
          <w:spacing w:val="-15"/>
        </w:rPr>
        <w:t xml:space="preserve"> </w:t>
      </w:r>
      <w:r>
        <w:t>de</w:t>
      </w:r>
      <w:r>
        <w:rPr>
          <w:spacing w:val="-15"/>
        </w:rPr>
        <w:t xml:space="preserve"> </w:t>
      </w:r>
      <w:r>
        <w:t>un</w:t>
      </w:r>
      <w:r>
        <w:rPr>
          <w:spacing w:val="-15"/>
        </w:rPr>
        <w:t xml:space="preserve"> </w:t>
      </w:r>
      <w:r>
        <w:t>control</w:t>
      </w:r>
      <w:r>
        <w:rPr>
          <w:spacing w:val="-15"/>
        </w:rPr>
        <w:t xml:space="preserve"> </w:t>
      </w:r>
      <w:r>
        <w:t>de</w:t>
      </w:r>
      <w:r>
        <w:rPr>
          <w:spacing w:val="-15"/>
        </w:rPr>
        <w:t xml:space="preserve"> </w:t>
      </w:r>
      <w:r>
        <w:t>la</w:t>
      </w:r>
      <w:r>
        <w:rPr>
          <w:spacing w:val="-15"/>
        </w:rPr>
        <w:t xml:space="preserve"> </w:t>
      </w:r>
      <w:r>
        <w:t>vida</w:t>
      </w:r>
      <w:r>
        <w:rPr>
          <w:spacing w:val="-15"/>
        </w:rPr>
        <w:t xml:space="preserve"> </w:t>
      </w:r>
      <w:r>
        <w:t>social</w:t>
      </w:r>
      <w:r>
        <w:rPr>
          <w:spacing w:val="-15"/>
        </w:rPr>
        <w:t xml:space="preserve"> </w:t>
      </w:r>
      <w:r>
        <w:t>y</w:t>
      </w:r>
      <w:r>
        <w:rPr>
          <w:spacing w:val="-15"/>
        </w:rPr>
        <w:t xml:space="preserve"> </w:t>
      </w:r>
      <w:r>
        <w:t>la</w:t>
      </w:r>
      <w:r>
        <w:rPr>
          <w:spacing w:val="-15"/>
        </w:rPr>
        <w:t xml:space="preserve"> </w:t>
      </w:r>
      <w:r>
        <w:t>ilegalidad</w:t>
      </w:r>
      <w:r>
        <w:rPr>
          <w:spacing w:val="-15"/>
        </w:rPr>
        <w:t xml:space="preserve"> </w:t>
      </w:r>
      <w:r>
        <w:t>armada, y muchas veces sin que el Estado ejerza un papel protector frente a esas dinámicas extendidas.</w:t>
      </w:r>
      <w:r>
        <w:rPr>
          <w:spacing w:val="9"/>
        </w:rPr>
        <w:t xml:space="preserve"> </w:t>
      </w:r>
      <w:r>
        <w:t>En</w:t>
      </w:r>
      <w:r>
        <w:rPr>
          <w:spacing w:val="12"/>
        </w:rPr>
        <w:t xml:space="preserve"> </w:t>
      </w:r>
      <w:r>
        <w:t>algunos</w:t>
      </w:r>
      <w:r>
        <w:rPr>
          <w:spacing w:val="12"/>
        </w:rPr>
        <w:t xml:space="preserve"> </w:t>
      </w:r>
      <w:r>
        <w:t>territorios</w:t>
      </w:r>
      <w:r>
        <w:rPr>
          <w:spacing w:val="12"/>
        </w:rPr>
        <w:t xml:space="preserve"> </w:t>
      </w:r>
      <w:r>
        <w:t>ha</w:t>
      </w:r>
      <w:r>
        <w:rPr>
          <w:spacing w:val="11"/>
        </w:rPr>
        <w:t xml:space="preserve"> </w:t>
      </w:r>
      <w:r>
        <w:t>funcionado</w:t>
      </w:r>
      <w:r>
        <w:rPr>
          <w:spacing w:val="11"/>
        </w:rPr>
        <w:t xml:space="preserve"> </w:t>
      </w:r>
      <w:r>
        <w:t>como</w:t>
      </w:r>
      <w:r>
        <w:rPr>
          <w:spacing w:val="12"/>
        </w:rPr>
        <w:t xml:space="preserve"> </w:t>
      </w:r>
      <w:r>
        <w:t>un</w:t>
      </w:r>
      <w:r>
        <w:rPr>
          <w:spacing w:val="12"/>
        </w:rPr>
        <w:t xml:space="preserve"> </w:t>
      </w:r>
      <w:r>
        <w:t>mecanismo</w:t>
      </w:r>
      <w:r>
        <w:rPr>
          <w:spacing w:val="12"/>
        </w:rPr>
        <w:t xml:space="preserve"> </w:t>
      </w:r>
      <w:r>
        <w:t>de</w:t>
      </w:r>
      <w:r>
        <w:rPr>
          <w:spacing w:val="11"/>
        </w:rPr>
        <w:t xml:space="preserve"> </w:t>
      </w:r>
      <w:r>
        <w:t>control,</w:t>
      </w:r>
      <w:r>
        <w:rPr>
          <w:spacing w:val="12"/>
        </w:rPr>
        <w:t xml:space="preserve"> </w:t>
      </w:r>
      <w:r>
        <w:t>como</w:t>
      </w:r>
      <w:r>
        <w:rPr>
          <w:spacing w:val="13"/>
        </w:rPr>
        <w:t xml:space="preserve"> </w:t>
      </w:r>
      <w:r>
        <w:rPr>
          <w:spacing w:val="-5"/>
        </w:rPr>
        <w:t>un</w:t>
      </w:r>
      <w:r w:rsidR="00E37A9A">
        <w:rPr>
          <w:spacing w:val="-5"/>
        </w:rPr>
        <w:t xml:space="preserve"> </w:t>
      </w:r>
      <w:r>
        <w:t>«cobro</w:t>
      </w:r>
      <w:r>
        <w:rPr>
          <w:spacing w:val="-13"/>
        </w:rPr>
        <w:t xml:space="preserve"> </w:t>
      </w:r>
      <w:r>
        <w:t>de</w:t>
      </w:r>
      <w:r>
        <w:rPr>
          <w:spacing w:val="-13"/>
        </w:rPr>
        <w:t xml:space="preserve"> </w:t>
      </w:r>
      <w:r>
        <w:t>impuestos».</w:t>
      </w:r>
      <w:r>
        <w:rPr>
          <w:spacing w:val="-14"/>
        </w:rPr>
        <w:t xml:space="preserve"> </w:t>
      </w:r>
      <w:r>
        <w:t>Estas</w:t>
      </w:r>
      <w:r>
        <w:rPr>
          <w:spacing w:val="-13"/>
        </w:rPr>
        <w:t xml:space="preserve"> </w:t>
      </w:r>
      <w:r>
        <w:t>redes</w:t>
      </w:r>
      <w:r>
        <w:rPr>
          <w:spacing w:val="-14"/>
        </w:rPr>
        <w:t xml:space="preserve"> </w:t>
      </w:r>
      <w:r>
        <w:t>no</w:t>
      </w:r>
      <w:r>
        <w:rPr>
          <w:spacing w:val="-13"/>
        </w:rPr>
        <w:t xml:space="preserve"> </w:t>
      </w:r>
      <w:r>
        <w:t>son</w:t>
      </w:r>
      <w:r>
        <w:rPr>
          <w:spacing w:val="-13"/>
        </w:rPr>
        <w:t xml:space="preserve"> </w:t>
      </w:r>
      <w:r>
        <w:t>clandestinas</w:t>
      </w:r>
      <w:r>
        <w:rPr>
          <w:spacing w:val="-13"/>
        </w:rPr>
        <w:t xml:space="preserve"> </w:t>
      </w:r>
      <w:r>
        <w:t>ni</w:t>
      </w:r>
      <w:r>
        <w:rPr>
          <w:spacing w:val="-13"/>
        </w:rPr>
        <w:t xml:space="preserve"> </w:t>
      </w:r>
      <w:r>
        <w:t>se</w:t>
      </w:r>
      <w:r>
        <w:rPr>
          <w:spacing w:val="-14"/>
        </w:rPr>
        <w:t xml:space="preserve"> </w:t>
      </w:r>
      <w:r>
        <w:t>dan</w:t>
      </w:r>
      <w:r>
        <w:rPr>
          <w:spacing w:val="-13"/>
        </w:rPr>
        <w:t xml:space="preserve"> </w:t>
      </w:r>
      <w:r>
        <w:t>en</w:t>
      </w:r>
      <w:r>
        <w:rPr>
          <w:spacing w:val="-13"/>
        </w:rPr>
        <w:t xml:space="preserve"> </w:t>
      </w:r>
      <w:r>
        <w:t>la</w:t>
      </w:r>
      <w:r>
        <w:rPr>
          <w:spacing w:val="-13"/>
        </w:rPr>
        <w:t xml:space="preserve"> </w:t>
      </w:r>
      <w:r>
        <w:t>actualidad</w:t>
      </w:r>
      <w:r>
        <w:rPr>
          <w:spacing w:val="-13"/>
        </w:rPr>
        <w:t xml:space="preserve"> </w:t>
      </w:r>
      <w:r>
        <w:t>en</w:t>
      </w:r>
      <w:r>
        <w:rPr>
          <w:spacing w:val="-14"/>
        </w:rPr>
        <w:t xml:space="preserve"> </w:t>
      </w:r>
      <w:r>
        <w:t>territorios donde no exista presencia del Estado.</w:t>
      </w:r>
    </w:p>
    <w:p w:rsidR="003804AC" w:rsidRDefault="00AF18A5" w:rsidP="00E37A9A">
      <w:r>
        <w:t>La</w:t>
      </w:r>
      <w:r>
        <w:rPr>
          <w:spacing w:val="-6"/>
        </w:rPr>
        <w:t xml:space="preserve"> </w:t>
      </w:r>
      <w:r>
        <w:t>Comisión</w:t>
      </w:r>
      <w:r>
        <w:rPr>
          <w:spacing w:val="-6"/>
        </w:rPr>
        <w:t xml:space="preserve"> </w:t>
      </w:r>
      <w:r>
        <w:t>en</w:t>
      </w:r>
      <w:r>
        <w:rPr>
          <w:spacing w:val="-6"/>
        </w:rPr>
        <w:t xml:space="preserve"> </w:t>
      </w:r>
      <w:r>
        <w:t>su</w:t>
      </w:r>
      <w:r>
        <w:rPr>
          <w:spacing w:val="-6"/>
        </w:rPr>
        <w:t xml:space="preserve"> </w:t>
      </w:r>
      <w:r>
        <w:t>propio</w:t>
      </w:r>
      <w:r>
        <w:rPr>
          <w:spacing w:val="-6"/>
        </w:rPr>
        <w:t xml:space="preserve"> </w:t>
      </w:r>
      <w:r>
        <w:t>ejercicio</w:t>
      </w:r>
      <w:r>
        <w:rPr>
          <w:spacing w:val="-7"/>
        </w:rPr>
        <w:t xml:space="preserve"> </w:t>
      </w:r>
      <w:r>
        <w:t>de</w:t>
      </w:r>
      <w:r>
        <w:rPr>
          <w:spacing w:val="-6"/>
        </w:rPr>
        <w:t xml:space="preserve"> </w:t>
      </w:r>
      <w:r>
        <w:t>escucha,</w:t>
      </w:r>
      <w:r>
        <w:rPr>
          <w:spacing w:val="-7"/>
        </w:rPr>
        <w:t xml:space="preserve"> </w:t>
      </w:r>
      <w:r>
        <w:t>documentó</w:t>
      </w:r>
      <w:r>
        <w:rPr>
          <w:spacing w:val="-7"/>
        </w:rPr>
        <w:t xml:space="preserve"> </w:t>
      </w:r>
      <w:r>
        <w:t>824</w:t>
      </w:r>
      <w:r>
        <w:rPr>
          <w:spacing w:val="-6"/>
        </w:rPr>
        <w:t xml:space="preserve"> </w:t>
      </w:r>
      <w:r>
        <w:t>hechos</w:t>
      </w:r>
      <w:r>
        <w:rPr>
          <w:spacing w:val="-6"/>
        </w:rPr>
        <w:t xml:space="preserve"> </w:t>
      </w:r>
      <w:r>
        <w:t>de</w:t>
      </w:r>
      <w:r>
        <w:rPr>
          <w:spacing w:val="-6"/>
        </w:rPr>
        <w:t xml:space="preserve"> </w:t>
      </w:r>
      <w:r>
        <w:t>extorsión</w:t>
      </w:r>
      <w:r>
        <w:rPr>
          <w:spacing w:val="-7"/>
        </w:rPr>
        <w:t xml:space="preserve"> </w:t>
      </w:r>
      <w:r>
        <w:t>entre 1985</w:t>
      </w:r>
      <w:r>
        <w:rPr>
          <w:spacing w:val="-8"/>
        </w:rPr>
        <w:t xml:space="preserve"> </w:t>
      </w:r>
      <w:r>
        <w:t>y</w:t>
      </w:r>
      <w:r>
        <w:rPr>
          <w:spacing w:val="-8"/>
        </w:rPr>
        <w:t xml:space="preserve"> </w:t>
      </w:r>
      <w:r>
        <w:t>2018.</w:t>
      </w:r>
      <w:r>
        <w:rPr>
          <w:spacing w:val="-8"/>
        </w:rPr>
        <w:t xml:space="preserve"> </w:t>
      </w:r>
      <w:r>
        <w:t>La</w:t>
      </w:r>
      <w:r>
        <w:rPr>
          <w:spacing w:val="-8"/>
        </w:rPr>
        <w:t xml:space="preserve"> </w:t>
      </w:r>
      <w:r>
        <w:t>Comisión</w:t>
      </w:r>
      <w:r>
        <w:rPr>
          <w:spacing w:val="-8"/>
        </w:rPr>
        <w:t xml:space="preserve"> </w:t>
      </w:r>
      <w:r>
        <w:t>registró</w:t>
      </w:r>
      <w:r>
        <w:rPr>
          <w:spacing w:val="-8"/>
        </w:rPr>
        <w:t xml:space="preserve"> </w:t>
      </w:r>
      <w:r>
        <w:t>hechos</w:t>
      </w:r>
      <w:r>
        <w:rPr>
          <w:spacing w:val="-8"/>
        </w:rPr>
        <w:t xml:space="preserve"> </w:t>
      </w:r>
      <w:r>
        <w:t>en</w:t>
      </w:r>
      <w:r>
        <w:rPr>
          <w:spacing w:val="-8"/>
        </w:rPr>
        <w:t xml:space="preserve"> </w:t>
      </w:r>
      <w:r>
        <w:t>particular</w:t>
      </w:r>
      <w:r>
        <w:rPr>
          <w:spacing w:val="-8"/>
        </w:rPr>
        <w:t xml:space="preserve"> </w:t>
      </w:r>
      <w:r>
        <w:t>entre</w:t>
      </w:r>
      <w:r>
        <w:rPr>
          <w:spacing w:val="-9"/>
        </w:rPr>
        <w:t xml:space="preserve"> </w:t>
      </w:r>
      <w:r>
        <w:t>1998</w:t>
      </w:r>
      <w:r>
        <w:rPr>
          <w:spacing w:val="-8"/>
        </w:rPr>
        <w:t xml:space="preserve"> </w:t>
      </w:r>
      <w:r>
        <w:t>y</w:t>
      </w:r>
      <w:r>
        <w:rPr>
          <w:spacing w:val="-8"/>
        </w:rPr>
        <w:t xml:space="preserve"> </w:t>
      </w:r>
      <w:r>
        <w:t>2005,</w:t>
      </w:r>
      <w:r>
        <w:rPr>
          <w:spacing w:val="-8"/>
        </w:rPr>
        <w:t xml:space="preserve"> </w:t>
      </w:r>
      <w:r>
        <w:t>periodo</w:t>
      </w:r>
      <w:r>
        <w:rPr>
          <w:spacing w:val="-8"/>
        </w:rPr>
        <w:t xml:space="preserve"> </w:t>
      </w:r>
      <w:r>
        <w:t>en</w:t>
      </w:r>
      <w:r>
        <w:rPr>
          <w:spacing w:val="-10"/>
        </w:rPr>
        <w:t xml:space="preserve"> </w:t>
      </w:r>
      <w:r>
        <w:t>el</w:t>
      </w:r>
      <w:r>
        <w:rPr>
          <w:spacing w:val="-8"/>
        </w:rPr>
        <w:t xml:space="preserve"> </w:t>
      </w:r>
      <w:r>
        <w:t>que tanto las guerrillas como los grupos paramilitares consolidaron su control en diversas zonas del país. Si bien el registro de estos hechos ha disminuido en la actualidad, se mantienen constantes</w:t>
      </w:r>
      <w:r>
        <w:rPr>
          <w:spacing w:val="-11"/>
        </w:rPr>
        <w:t xml:space="preserve"> </w:t>
      </w:r>
      <w:r>
        <w:t>en</w:t>
      </w:r>
      <w:r>
        <w:rPr>
          <w:spacing w:val="-12"/>
        </w:rPr>
        <w:t xml:space="preserve"> </w:t>
      </w:r>
      <w:r>
        <w:t>muchas</w:t>
      </w:r>
      <w:r>
        <w:rPr>
          <w:spacing w:val="-13"/>
        </w:rPr>
        <w:t xml:space="preserve"> </w:t>
      </w:r>
      <w:r>
        <w:t>regiones</w:t>
      </w:r>
      <w:r>
        <w:rPr>
          <w:spacing w:val="-11"/>
        </w:rPr>
        <w:t xml:space="preserve"> </w:t>
      </w:r>
      <w:r>
        <w:t>donde</w:t>
      </w:r>
      <w:r>
        <w:rPr>
          <w:spacing w:val="-11"/>
        </w:rPr>
        <w:t xml:space="preserve"> </w:t>
      </w:r>
      <w:r>
        <w:t>el</w:t>
      </w:r>
      <w:r>
        <w:rPr>
          <w:spacing w:val="-11"/>
        </w:rPr>
        <w:t xml:space="preserve"> </w:t>
      </w:r>
      <w:r>
        <w:t>control</w:t>
      </w:r>
      <w:r>
        <w:rPr>
          <w:spacing w:val="-12"/>
        </w:rPr>
        <w:t xml:space="preserve"> </w:t>
      </w:r>
      <w:r>
        <w:t>de</w:t>
      </w:r>
      <w:r>
        <w:rPr>
          <w:spacing w:val="-11"/>
        </w:rPr>
        <w:t xml:space="preserve"> </w:t>
      </w:r>
      <w:r>
        <w:t>grupos</w:t>
      </w:r>
      <w:r>
        <w:rPr>
          <w:spacing w:val="-12"/>
        </w:rPr>
        <w:t xml:space="preserve"> </w:t>
      </w:r>
      <w:r>
        <w:t>paramilitares</w:t>
      </w:r>
      <w:r>
        <w:rPr>
          <w:spacing w:val="-11"/>
        </w:rPr>
        <w:t xml:space="preserve"> </w:t>
      </w:r>
      <w:proofErr w:type="spellStart"/>
      <w:r>
        <w:t>posdesmovilización</w:t>
      </w:r>
      <w:proofErr w:type="spellEnd"/>
      <w:r>
        <w:t>, narcotráfico o grupos guerrilleros aún activos tienen fuerte presencia territorial. Los pagos por extorsión normalizados como «impuestos» por dichos grupos son un indicador del control territorial que tienen en diferentes regiones del país.</w:t>
      </w:r>
    </w:p>
    <w:p w:rsidR="003804AC" w:rsidRDefault="00AF18A5" w:rsidP="00E37A9A">
      <w:r>
        <w:t>La</w:t>
      </w:r>
      <w:r>
        <w:rPr>
          <w:spacing w:val="-7"/>
        </w:rPr>
        <w:t xml:space="preserve"> </w:t>
      </w:r>
      <w:r>
        <w:t>Comisión</w:t>
      </w:r>
      <w:r>
        <w:rPr>
          <w:spacing w:val="-7"/>
        </w:rPr>
        <w:t xml:space="preserve"> </w:t>
      </w:r>
      <w:r>
        <w:t>documentó</w:t>
      </w:r>
      <w:r>
        <w:rPr>
          <w:spacing w:val="-7"/>
        </w:rPr>
        <w:t xml:space="preserve"> </w:t>
      </w:r>
      <w:r>
        <w:t>el</w:t>
      </w:r>
      <w:r>
        <w:rPr>
          <w:spacing w:val="-7"/>
        </w:rPr>
        <w:t xml:space="preserve"> </w:t>
      </w:r>
      <w:r>
        <w:t>mayor</w:t>
      </w:r>
      <w:r>
        <w:rPr>
          <w:spacing w:val="-7"/>
        </w:rPr>
        <w:t xml:space="preserve"> </w:t>
      </w:r>
      <w:r>
        <w:t>número</w:t>
      </w:r>
      <w:r>
        <w:rPr>
          <w:spacing w:val="-7"/>
        </w:rPr>
        <w:t xml:space="preserve"> </w:t>
      </w:r>
      <w:r>
        <w:t>de</w:t>
      </w:r>
      <w:r>
        <w:rPr>
          <w:spacing w:val="-7"/>
        </w:rPr>
        <w:t xml:space="preserve"> </w:t>
      </w:r>
      <w:r>
        <w:t>hechos</w:t>
      </w:r>
      <w:r>
        <w:rPr>
          <w:spacing w:val="-7"/>
        </w:rPr>
        <w:t xml:space="preserve"> </w:t>
      </w:r>
      <w:r>
        <w:t>en</w:t>
      </w:r>
      <w:r>
        <w:rPr>
          <w:spacing w:val="-7"/>
        </w:rPr>
        <w:t xml:space="preserve"> </w:t>
      </w:r>
      <w:r>
        <w:t>el</w:t>
      </w:r>
      <w:r>
        <w:rPr>
          <w:spacing w:val="-8"/>
        </w:rPr>
        <w:t xml:space="preserve"> </w:t>
      </w:r>
      <w:r>
        <w:t>año</w:t>
      </w:r>
      <w:r>
        <w:rPr>
          <w:spacing w:val="-7"/>
        </w:rPr>
        <w:t xml:space="preserve"> </w:t>
      </w:r>
      <w:r>
        <w:t>2000,</w:t>
      </w:r>
      <w:r>
        <w:rPr>
          <w:spacing w:val="-7"/>
        </w:rPr>
        <w:t xml:space="preserve"> </w:t>
      </w:r>
      <w:r>
        <w:t>durante</w:t>
      </w:r>
      <w:r>
        <w:rPr>
          <w:spacing w:val="-7"/>
        </w:rPr>
        <w:t xml:space="preserve"> </w:t>
      </w:r>
      <w:r>
        <w:t>los</w:t>
      </w:r>
      <w:r>
        <w:rPr>
          <w:spacing w:val="-7"/>
        </w:rPr>
        <w:t xml:space="preserve"> </w:t>
      </w:r>
      <w:r>
        <w:t>diálogos de paz entre la guerrilla de las FARC-EP y el gobierno de Andrés Pastrana (1998-2002) en San</w:t>
      </w:r>
      <w:r>
        <w:rPr>
          <w:spacing w:val="-6"/>
        </w:rPr>
        <w:t xml:space="preserve"> </w:t>
      </w:r>
      <w:r>
        <w:t>Vicente</w:t>
      </w:r>
      <w:r>
        <w:rPr>
          <w:spacing w:val="-7"/>
        </w:rPr>
        <w:t xml:space="preserve"> </w:t>
      </w:r>
      <w:r>
        <w:t>del</w:t>
      </w:r>
      <w:r>
        <w:rPr>
          <w:spacing w:val="-6"/>
        </w:rPr>
        <w:t xml:space="preserve"> </w:t>
      </w:r>
      <w:r>
        <w:t>Caguán.</w:t>
      </w:r>
      <w:r>
        <w:rPr>
          <w:spacing w:val="-6"/>
        </w:rPr>
        <w:t xml:space="preserve"> </w:t>
      </w:r>
      <w:r>
        <w:t>Ese</w:t>
      </w:r>
      <w:r>
        <w:rPr>
          <w:spacing w:val="-6"/>
        </w:rPr>
        <w:t xml:space="preserve"> </w:t>
      </w:r>
      <w:r>
        <w:t>año</w:t>
      </w:r>
      <w:r>
        <w:rPr>
          <w:spacing w:val="-6"/>
        </w:rPr>
        <w:t xml:space="preserve"> </w:t>
      </w:r>
      <w:r>
        <w:t>se</w:t>
      </w:r>
      <w:r>
        <w:rPr>
          <w:spacing w:val="-6"/>
        </w:rPr>
        <w:t xml:space="preserve"> </w:t>
      </w:r>
      <w:r>
        <w:t>creó</w:t>
      </w:r>
      <w:r>
        <w:rPr>
          <w:spacing w:val="-6"/>
        </w:rPr>
        <w:t xml:space="preserve"> </w:t>
      </w:r>
      <w:r>
        <w:t>la</w:t>
      </w:r>
      <w:r>
        <w:rPr>
          <w:spacing w:val="-6"/>
        </w:rPr>
        <w:t xml:space="preserve"> </w:t>
      </w:r>
      <w:r>
        <w:t>Ley</w:t>
      </w:r>
      <w:r>
        <w:rPr>
          <w:spacing w:val="-6"/>
        </w:rPr>
        <w:t xml:space="preserve"> </w:t>
      </w:r>
      <w:r>
        <w:t>002</w:t>
      </w:r>
      <w:r>
        <w:rPr>
          <w:spacing w:val="-6"/>
        </w:rPr>
        <w:t xml:space="preserve"> </w:t>
      </w:r>
      <w:r>
        <w:t>en</w:t>
      </w:r>
      <w:r>
        <w:rPr>
          <w:spacing w:val="-6"/>
        </w:rPr>
        <w:t xml:space="preserve"> </w:t>
      </w:r>
      <w:r>
        <w:t>el</w:t>
      </w:r>
      <w:r>
        <w:rPr>
          <w:spacing w:val="-6"/>
        </w:rPr>
        <w:t xml:space="preserve"> </w:t>
      </w:r>
      <w:r>
        <w:t>marco</w:t>
      </w:r>
      <w:r>
        <w:rPr>
          <w:spacing w:val="-6"/>
        </w:rPr>
        <w:t xml:space="preserve"> </w:t>
      </w:r>
      <w:r>
        <w:t>del</w:t>
      </w:r>
      <w:r>
        <w:rPr>
          <w:spacing w:val="-6"/>
        </w:rPr>
        <w:t xml:space="preserve"> </w:t>
      </w:r>
      <w:r>
        <w:t>pleno</w:t>
      </w:r>
      <w:r>
        <w:rPr>
          <w:spacing w:val="-7"/>
        </w:rPr>
        <w:t xml:space="preserve"> </w:t>
      </w:r>
      <w:r>
        <w:t>del</w:t>
      </w:r>
      <w:r>
        <w:rPr>
          <w:spacing w:val="-6"/>
        </w:rPr>
        <w:t xml:space="preserve"> </w:t>
      </w:r>
      <w:r>
        <w:t>Estado</w:t>
      </w:r>
      <w:r>
        <w:rPr>
          <w:spacing w:val="-7"/>
        </w:rPr>
        <w:t xml:space="preserve"> </w:t>
      </w:r>
      <w:r>
        <w:t xml:space="preserve">Mayor </w:t>
      </w:r>
      <w:r>
        <w:lastRenderedPageBreak/>
        <w:t xml:space="preserve">Central de las FARC-EP, desarrollado entre el 21 y el 25 de marzo en </w:t>
      </w:r>
      <w:proofErr w:type="spellStart"/>
      <w:r>
        <w:t>Yarí</w:t>
      </w:r>
      <w:proofErr w:type="spellEnd"/>
      <w:r>
        <w:t>, Caquetá. Con dicha ley se acordó el cobro del impuesto para la paz, el cual representaban, aproximadamente, el 10 % de las ganancias de las empresas</w:t>
      </w:r>
      <w:r w:rsidR="00E37A9A">
        <w:rPr>
          <w:rStyle w:val="Refdenotaalpie"/>
        </w:rPr>
        <w:footnoteReference w:id="151"/>
      </w:r>
      <w:r>
        <w:t>.</w:t>
      </w:r>
    </w:p>
    <w:p w:rsidR="003804AC" w:rsidRDefault="00AF18A5" w:rsidP="00E37A9A">
      <w:r>
        <w:t>Con estos cobros de extorsión, tanto grupos guerrilleros como paramilitares, podían regular los precios de las mercancías, manejar instituciones de salud, escuelas y profesores, permitir el paso de víveres y la construcción de infraestructura, así como controlar diversas actividades</w:t>
      </w:r>
      <w:r>
        <w:rPr>
          <w:spacing w:val="-14"/>
        </w:rPr>
        <w:t xml:space="preserve"> </w:t>
      </w:r>
      <w:r>
        <w:t>de</w:t>
      </w:r>
      <w:r>
        <w:rPr>
          <w:spacing w:val="-13"/>
        </w:rPr>
        <w:t xml:space="preserve"> </w:t>
      </w:r>
      <w:r>
        <w:t>la</w:t>
      </w:r>
      <w:r>
        <w:rPr>
          <w:spacing w:val="-13"/>
        </w:rPr>
        <w:t xml:space="preserve"> </w:t>
      </w:r>
      <w:r>
        <w:t>comunidad.</w:t>
      </w:r>
      <w:r>
        <w:rPr>
          <w:spacing w:val="-13"/>
        </w:rPr>
        <w:t xml:space="preserve"> </w:t>
      </w:r>
      <w:r>
        <w:t>Los</w:t>
      </w:r>
      <w:r>
        <w:rPr>
          <w:spacing w:val="-13"/>
        </w:rPr>
        <w:t xml:space="preserve"> </w:t>
      </w:r>
      <w:r>
        <w:t>grupos</w:t>
      </w:r>
      <w:r>
        <w:rPr>
          <w:spacing w:val="-13"/>
        </w:rPr>
        <w:t xml:space="preserve"> </w:t>
      </w:r>
      <w:r>
        <w:t>armados</w:t>
      </w:r>
      <w:r>
        <w:rPr>
          <w:spacing w:val="-14"/>
        </w:rPr>
        <w:t xml:space="preserve"> </w:t>
      </w:r>
      <w:r>
        <w:t>ilegales</w:t>
      </w:r>
      <w:r>
        <w:rPr>
          <w:spacing w:val="-14"/>
        </w:rPr>
        <w:t xml:space="preserve"> </w:t>
      </w:r>
      <w:r>
        <w:t>impusieron</w:t>
      </w:r>
      <w:r>
        <w:rPr>
          <w:spacing w:val="-13"/>
        </w:rPr>
        <w:t xml:space="preserve"> </w:t>
      </w:r>
      <w:r>
        <w:t>diferentes</w:t>
      </w:r>
      <w:r>
        <w:rPr>
          <w:spacing w:val="-13"/>
        </w:rPr>
        <w:t xml:space="preserve"> </w:t>
      </w:r>
      <w:r>
        <w:t>castigos</w:t>
      </w:r>
      <w:r>
        <w:rPr>
          <w:spacing w:val="-13"/>
        </w:rPr>
        <w:t xml:space="preserve"> </w:t>
      </w:r>
      <w:r>
        <w:t>por el</w:t>
      </w:r>
      <w:r>
        <w:rPr>
          <w:spacing w:val="15"/>
        </w:rPr>
        <w:t xml:space="preserve"> </w:t>
      </w:r>
      <w:r>
        <w:t>incumplimiento</w:t>
      </w:r>
      <w:r>
        <w:rPr>
          <w:spacing w:val="17"/>
        </w:rPr>
        <w:t xml:space="preserve"> </w:t>
      </w:r>
      <w:r>
        <w:t>en</w:t>
      </w:r>
      <w:r>
        <w:rPr>
          <w:spacing w:val="17"/>
        </w:rPr>
        <w:t xml:space="preserve"> </w:t>
      </w:r>
      <w:r>
        <w:t>estos</w:t>
      </w:r>
      <w:r>
        <w:rPr>
          <w:spacing w:val="18"/>
        </w:rPr>
        <w:t xml:space="preserve"> </w:t>
      </w:r>
      <w:r>
        <w:t>pagos,</w:t>
      </w:r>
      <w:r>
        <w:rPr>
          <w:spacing w:val="15"/>
        </w:rPr>
        <w:t xml:space="preserve"> </w:t>
      </w:r>
      <w:r>
        <w:t>que</w:t>
      </w:r>
      <w:r>
        <w:rPr>
          <w:spacing w:val="17"/>
        </w:rPr>
        <w:t xml:space="preserve"> </w:t>
      </w:r>
      <w:r>
        <w:t>fueron</w:t>
      </w:r>
      <w:r>
        <w:rPr>
          <w:spacing w:val="15"/>
        </w:rPr>
        <w:t xml:space="preserve"> </w:t>
      </w:r>
      <w:r>
        <w:t>desde</w:t>
      </w:r>
      <w:r>
        <w:rPr>
          <w:spacing w:val="18"/>
        </w:rPr>
        <w:t xml:space="preserve"> </w:t>
      </w:r>
      <w:r>
        <w:t>el</w:t>
      </w:r>
      <w:r>
        <w:rPr>
          <w:spacing w:val="17"/>
        </w:rPr>
        <w:t xml:space="preserve"> </w:t>
      </w:r>
      <w:r>
        <w:t>aumento</w:t>
      </w:r>
      <w:r>
        <w:rPr>
          <w:spacing w:val="17"/>
        </w:rPr>
        <w:t xml:space="preserve"> </w:t>
      </w:r>
      <w:r>
        <w:t>del</w:t>
      </w:r>
      <w:r>
        <w:rPr>
          <w:spacing w:val="17"/>
        </w:rPr>
        <w:t xml:space="preserve"> </w:t>
      </w:r>
      <w:r>
        <w:t>valor</w:t>
      </w:r>
      <w:r>
        <w:rPr>
          <w:spacing w:val="18"/>
        </w:rPr>
        <w:t xml:space="preserve"> </w:t>
      </w:r>
      <w:r>
        <w:t>de</w:t>
      </w:r>
      <w:r>
        <w:rPr>
          <w:spacing w:val="17"/>
        </w:rPr>
        <w:t xml:space="preserve"> </w:t>
      </w:r>
      <w:r>
        <w:t>las</w:t>
      </w:r>
      <w:r>
        <w:rPr>
          <w:spacing w:val="17"/>
        </w:rPr>
        <w:t xml:space="preserve"> </w:t>
      </w:r>
      <w:r>
        <w:t>cuotas,</w:t>
      </w:r>
      <w:r>
        <w:rPr>
          <w:spacing w:val="18"/>
        </w:rPr>
        <w:t xml:space="preserve"> </w:t>
      </w:r>
      <w:r>
        <w:rPr>
          <w:spacing w:val="-5"/>
        </w:rPr>
        <w:t>la</w:t>
      </w:r>
      <w:bookmarkStart w:id="246" w:name="_bookmark174"/>
      <w:bookmarkEnd w:id="246"/>
      <w:r w:rsidR="00E37A9A">
        <w:rPr>
          <w:spacing w:val="-5"/>
        </w:rPr>
        <w:t xml:space="preserve"> </w:t>
      </w:r>
      <w:r>
        <w:t>prohibición</w:t>
      </w:r>
      <w:r>
        <w:rPr>
          <w:spacing w:val="-15"/>
        </w:rPr>
        <w:t xml:space="preserve"> </w:t>
      </w:r>
      <w:r>
        <w:t>de</w:t>
      </w:r>
      <w:r>
        <w:rPr>
          <w:spacing w:val="-15"/>
        </w:rPr>
        <w:t xml:space="preserve"> </w:t>
      </w:r>
      <w:r>
        <w:t>entrada</w:t>
      </w:r>
      <w:r>
        <w:rPr>
          <w:spacing w:val="-15"/>
        </w:rPr>
        <w:t xml:space="preserve"> </w:t>
      </w:r>
      <w:r>
        <w:t>de</w:t>
      </w:r>
      <w:r>
        <w:rPr>
          <w:spacing w:val="-15"/>
        </w:rPr>
        <w:t xml:space="preserve"> </w:t>
      </w:r>
      <w:r>
        <w:t>productos</w:t>
      </w:r>
      <w:r>
        <w:rPr>
          <w:spacing w:val="-15"/>
        </w:rPr>
        <w:t xml:space="preserve"> </w:t>
      </w:r>
      <w:r>
        <w:t>de</w:t>
      </w:r>
      <w:r>
        <w:rPr>
          <w:spacing w:val="-15"/>
        </w:rPr>
        <w:t xml:space="preserve"> </w:t>
      </w:r>
      <w:r>
        <w:t>primera</w:t>
      </w:r>
      <w:r>
        <w:rPr>
          <w:spacing w:val="-15"/>
        </w:rPr>
        <w:t xml:space="preserve"> </w:t>
      </w:r>
      <w:r>
        <w:t>necesidad,</w:t>
      </w:r>
      <w:r>
        <w:rPr>
          <w:spacing w:val="-15"/>
        </w:rPr>
        <w:t xml:space="preserve"> </w:t>
      </w:r>
      <w:r>
        <w:t>el</w:t>
      </w:r>
      <w:r>
        <w:rPr>
          <w:spacing w:val="-15"/>
        </w:rPr>
        <w:t xml:space="preserve"> </w:t>
      </w:r>
      <w:r>
        <w:t>cierre</w:t>
      </w:r>
      <w:r>
        <w:rPr>
          <w:spacing w:val="-15"/>
        </w:rPr>
        <w:t xml:space="preserve"> </w:t>
      </w:r>
      <w:r>
        <w:t>de</w:t>
      </w:r>
      <w:r>
        <w:rPr>
          <w:spacing w:val="-15"/>
        </w:rPr>
        <w:t xml:space="preserve"> </w:t>
      </w:r>
      <w:r>
        <w:t>las</w:t>
      </w:r>
      <w:r>
        <w:rPr>
          <w:spacing w:val="-15"/>
        </w:rPr>
        <w:t xml:space="preserve"> </w:t>
      </w:r>
      <w:r>
        <w:t>escuelas,</w:t>
      </w:r>
      <w:r>
        <w:rPr>
          <w:spacing w:val="-15"/>
        </w:rPr>
        <w:t xml:space="preserve"> </w:t>
      </w:r>
      <w:r>
        <w:t>el</w:t>
      </w:r>
      <w:r>
        <w:rPr>
          <w:spacing w:val="-15"/>
        </w:rPr>
        <w:t xml:space="preserve"> </w:t>
      </w:r>
      <w:r>
        <w:t>despido de profesores, hasta el desplazamiento forzado, la persecución, la desaparición y la muerte.</w:t>
      </w:r>
    </w:p>
    <w:p w:rsidR="003804AC" w:rsidRDefault="00AF18A5" w:rsidP="00E37A9A">
      <w:r>
        <w:t>Las</w:t>
      </w:r>
      <w:r>
        <w:rPr>
          <w:spacing w:val="-3"/>
        </w:rPr>
        <w:t xml:space="preserve"> </w:t>
      </w:r>
      <w:r>
        <w:t>extorsiones</w:t>
      </w:r>
      <w:r>
        <w:rPr>
          <w:spacing w:val="-3"/>
        </w:rPr>
        <w:t xml:space="preserve"> </w:t>
      </w:r>
      <w:r>
        <w:t>han</w:t>
      </w:r>
      <w:r>
        <w:rPr>
          <w:spacing w:val="-3"/>
        </w:rPr>
        <w:t xml:space="preserve"> </w:t>
      </w:r>
      <w:r>
        <w:t>desarticulado</w:t>
      </w:r>
      <w:r>
        <w:rPr>
          <w:spacing w:val="-3"/>
        </w:rPr>
        <w:t xml:space="preserve"> </w:t>
      </w:r>
      <w:r>
        <w:t>a</w:t>
      </w:r>
      <w:r>
        <w:rPr>
          <w:spacing w:val="-3"/>
        </w:rPr>
        <w:t xml:space="preserve"> </w:t>
      </w:r>
      <w:r>
        <w:t>las</w:t>
      </w:r>
      <w:r>
        <w:rPr>
          <w:spacing w:val="-3"/>
        </w:rPr>
        <w:t xml:space="preserve"> </w:t>
      </w:r>
      <w:r>
        <w:t>comunidades</w:t>
      </w:r>
      <w:r>
        <w:rPr>
          <w:spacing w:val="-3"/>
        </w:rPr>
        <w:t xml:space="preserve"> </w:t>
      </w:r>
      <w:r>
        <w:t>y</w:t>
      </w:r>
      <w:r>
        <w:rPr>
          <w:spacing w:val="-3"/>
        </w:rPr>
        <w:t xml:space="preserve"> </w:t>
      </w:r>
      <w:r>
        <w:t>las</w:t>
      </w:r>
      <w:r>
        <w:rPr>
          <w:spacing w:val="-3"/>
        </w:rPr>
        <w:t xml:space="preserve"> </w:t>
      </w:r>
      <w:r>
        <w:t>han</w:t>
      </w:r>
      <w:r>
        <w:rPr>
          <w:spacing w:val="-3"/>
        </w:rPr>
        <w:t xml:space="preserve"> </w:t>
      </w:r>
      <w:r>
        <w:t>involucrado</w:t>
      </w:r>
      <w:r>
        <w:rPr>
          <w:spacing w:val="-3"/>
        </w:rPr>
        <w:t xml:space="preserve"> </w:t>
      </w:r>
      <w:r>
        <w:t>forzadamente con recursos utilizados por los grupos en disputa; las han estigmatizado y convertido en objetivo militar, al ser acusadas por cada bando de ser colaboradores del contrario. Y han destruido sus proyectos de vida, al obligar a quienes no podían pagar a desistir de sus actividades productivas y económicas, cerrar sus negocios y abandonar sus tierras, a trasladarse de lugar y a cambiar sus modos de vida.</w:t>
      </w:r>
    </w:p>
    <w:p w:rsidR="0011361F" w:rsidRDefault="00AF18A5" w:rsidP="004A6EF4">
      <w:pPr>
        <w:pStyle w:val="Ttulo3"/>
        <w:numPr>
          <w:ilvl w:val="1"/>
          <w:numId w:val="16"/>
        </w:numPr>
      </w:pPr>
      <w:bookmarkStart w:id="247" w:name="3.10_Pillaje"/>
      <w:bookmarkEnd w:id="247"/>
      <w:r>
        <w:t xml:space="preserve"> </w:t>
      </w:r>
      <w:bookmarkStart w:id="248" w:name="_Toc112399569"/>
      <w:r>
        <w:t>Pillaje</w:t>
      </w:r>
      <w:bookmarkEnd w:id="248"/>
    </w:p>
    <w:p w:rsidR="003804AC" w:rsidRDefault="00AF18A5" w:rsidP="00EC72FE">
      <w:r>
        <w:t xml:space="preserve">«Yo trabajo, el trabajo mío era pescar y empezaron a llegar los </w:t>
      </w:r>
      <w:proofErr w:type="spellStart"/>
      <w:r>
        <w:t>paracos</w:t>
      </w:r>
      <w:proofErr w:type="spellEnd"/>
      <w:r>
        <w:t xml:space="preserve"> al Chocó, nosotros salíamos</w:t>
      </w:r>
      <w:r>
        <w:rPr>
          <w:spacing w:val="-8"/>
        </w:rPr>
        <w:t xml:space="preserve"> </w:t>
      </w:r>
      <w:r>
        <w:t>a</w:t>
      </w:r>
      <w:r>
        <w:rPr>
          <w:spacing w:val="-8"/>
        </w:rPr>
        <w:t xml:space="preserve"> </w:t>
      </w:r>
      <w:r>
        <w:t>pescar</w:t>
      </w:r>
      <w:r>
        <w:rPr>
          <w:spacing w:val="-8"/>
        </w:rPr>
        <w:t xml:space="preserve"> </w:t>
      </w:r>
      <w:r>
        <w:t>y</w:t>
      </w:r>
      <w:r>
        <w:rPr>
          <w:spacing w:val="-8"/>
        </w:rPr>
        <w:t xml:space="preserve"> </w:t>
      </w:r>
      <w:r>
        <w:t>cuando</w:t>
      </w:r>
      <w:r>
        <w:rPr>
          <w:spacing w:val="-8"/>
        </w:rPr>
        <w:t xml:space="preserve"> </w:t>
      </w:r>
      <w:r>
        <w:t>nosotros</w:t>
      </w:r>
      <w:r>
        <w:rPr>
          <w:spacing w:val="-9"/>
        </w:rPr>
        <w:t xml:space="preserve"> </w:t>
      </w:r>
      <w:r>
        <w:t>veníamos</w:t>
      </w:r>
      <w:r>
        <w:rPr>
          <w:spacing w:val="-8"/>
        </w:rPr>
        <w:t xml:space="preserve"> </w:t>
      </w:r>
      <w:r>
        <w:lastRenderedPageBreak/>
        <w:t>entrando</w:t>
      </w:r>
      <w:r>
        <w:rPr>
          <w:spacing w:val="-8"/>
        </w:rPr>
        <w:t xml:space="preserve"> </w:t>
      </w:r>
      <w:r>
        <w:t>ellos</w:t>
      </w:r>
      <w:r>
        <w:rPr>
          <w:spacing w:val="-9"/>
        </w:rPr>
        <w:t xml:space="preserve"> </w:t>
      </w:r>
      <w:r>
        <w:t>estaban</w:t>
      </w:r>
      <w:r>
        <w:rPr>
          <w:spacing w:val="-8"/>
        </w:rPr>
        <w:t xml:space="preserve"> </w:t>
      </w:r>
      <w:proofErr w:type="spellStart"/>
      <w:r>
        <w:t>esquiniados</w:t>
      </w:r>
      <w:proofErr w:type="spellEnd"/>
      <w:r>
        <w:rPr>
          <w:spacing w:val="-8"/>
        </w:rPr>
        <w:t xml:space="preserve"> </w:t>
      </w:r>
      <w:r>
        <w:t>y</w:t>
      </w:r>
      <w:r>
        <w:rPr>
          <w:spacing w:val="-8"/>
        </w:rPr>
        <w:t xml:space="preserve"> </w:t>
      </w:r>
      <w:r>
        <w:t>lo</w:t>
      </w:r>
      <w:r>
        <w:rPr>
          <w:spacing w:val="-9"/>
        </w:rPr>
        <w:t xml:space="preserve"> </w:t>
      </w:r>
      <w:r>
        <w:t>mejor que</w:t>
      </w:r>
      <w:r>
        <w:rPr>
          <w:spacing w:val="-13"/>
        </w:rPr>
        <w:t xml:space="preserve"> </w:t>
      </w:r>
      <w:r>
        <w:t>traíamos</w:t>
      </w:r>
      <w:r>
        <w:rPr>
          <w:spacing w:val="-14"/>
        </w:rPr>
        <w:t xml:space="preserve"> </w:t>
      </w:r>
      <w:r>
        <w:t>de</w:t>
      </w:r>
      <w:r>
        <w:rPr>
          <w:spacing w:val="-13"/>
        </w:rPr>
        <w:t xml:space="preserve"> </w:t>
      </w:r>
      <w:r>
        <w:t>producción,</w:t>
      </w:r>
      <w:r>
        <w:rPr>
          <w:spacing w:val="-13"/>
        </w:rPr>
        <w:t xml:space="preserve"> </w:t>
      </w:r>
      <w:r>
        <w:t>[dijeron:]</w:t>
      </w:r>
      <w:r>
        <w:rPr>
          <w:spacing w:val="-13"/>
        </w:rPr>
        <w:t xml:space="preserve"> </w:t>
      </w:r>
      <w:r>
        <w:t>“venga,</w:t>
      </w:r>
      <w:r>
        <w:rPr>
          <w:spacing w:val="-14"/>
        </w:rPr>
        <w:t xml:space="preserve"> </w:t>
      </w:r>
      <w:r>
        <w:t>traigan</w:t>
      </w:r>
      <w:r>
        <w:rPr>
          <w:spacing w:val="-13"/>
        </w:rPr>
        <w:t xml:space="preserve"> </w:t>
      </w:r>
      <w:r>
        <w:t>eso</w:t>
      </w:r>
      <w:r>
        <w:rPr>
          <w:spacing w:val="-14"/>
        </w:rPr>
        <w:t xml:space="preserve"> </w:t>
      </w:r>
      <w:r>
        <w:t>para</w:t>
      </w:r>
      <w:r>
        <w:rPr>
          <w:spacing w:val="-13"/>
        </w:rPr>
        <w:t xml:space="preserve"> </w:t>
      </w:r>
      <w:r>
        <w:t>acá</w:t>
      </w:r>
      <w:r>
        <w:rPr>
          <w:spacing w:val="-13"/>
        </w:rPr>
        <w:t xml:space="preserve"> </w:t>
      </w:r>
      <w:r>
        <w:t>que</w:t>
      </w:r>
      <w:r>
        <w:rPr>
          <w:spacing w:val="-13"/>
        </w:rPr>
        <w:t xml:space="preserve"> </w:t>
      </w:r>
      <w:r>
        <w:t>nosotros</w:t>
      </w:r>
      <w:r>
        <w:rPr>
          <w:spacing w:val="-13"/>
        </w:rPr>
        <w:t xml:space="preserve"> </w:t>
      </w:r>
      <w:r>
        <w:t>necesitamos escoger</w:t>
      </w:r>
      <w:r>
        <w:rPr>
          <w:spacing w:val="-2"/>
        </w:rPr>
        <w:t xml:space="preserve"> </w:t>
      </w:r>
      <w:r>
        <w:t>qué</w:t>
      </w:r>
      <w:r>
        <w:rPr>
          <w:spacing w:val="-3"/>
        </w:rPr>
        <w:t xml:space="preserve"> </w:t>
      </w:r>
      <w:r>
        <w:t>es</w:t>
      </w:r>
      <w:r>
        <w:rPr>
          <w:spacing w:val="-2"/>
        </w:rPr>
        <w:t xml:space="preserve"> </w:t>
      </w:r>
      <w:r>
        <w:t>lo</w:t>
      </w:r>
      <w:r>
        <w:rPr>
          <w:spacing w:val="-2"/>
        </w:rPr>
        <w:t xml:space="preserve"> </w:t>
      </w:r>
      <w:r>
        <w:t>que</w:t>
      </w:r>
      <w:r>
        <w:rPr>
          <w:spacing w:val="-2"/>
        </w:rPr>
        <w:t xml:space="preserve"> </w:t>
      </w:r>
      <w:r>
        <w:t>llevan</w:t>
      </w:r>
      <w:r>
        <w:rPr>
          <w:spacing w:val="-2"/>
        </w:rPr>
        <w:t xml:space="preserve"> </w:t>
      </w:r>
      <w:r>
        <w:t>ahí</w:t>
      </w:r>
      <w:r>
        <w:rPr>
          <w:spacing w:val="-2"/>
        </w:rPr>
        <w:t xml:space="preserve"> </w:t>
      </w:r>
      <w:r>
        <w:t>para</w:t>
      </w:r>
      <w:r>
        <w:rPr>
          <w:spacing w:val="-3"/>
        </w:rPr>
        <w:t xml:space="preserve"> </w:t>
      </w:r>
      <w:r>
        <w:t>nosotros</w:t>
      </w:r>
      <w:r>
        <w:rPr>
          <w:spacing w:val="-2"/>
        </w:rPr>
        <w:t xml:space="preserve"> </w:t>
      </w:r>
      <w:r>
        <w:t>comer”,</w:t>
      </w:r>
      <w:r>
        <w:rPr>
          <w:spacing w:val="-2"/>
        </w:rPr>
        <w:t xml:space="preserve"> </w:t>
      </w:r>
      <w:r>
        <w:t>y</w:t>
      </w:r>
      <w:r>
        <w:rPr>
          <w:spacing w:val="-2"/>
        </w:rPr>
        <w:t xml:space="preserve"> </w:t>
      </w:r>
      <w:r>
        <w:t>sin</w:t>
      </w:r>
      <w:r>
        <w:rPr>
          <w:spacing w:val="-4"/>
        </w:rPr>
        <w:t xml:space="preserve"> </w:t>
      </w:r>
      <w:r>
        <w:t>nosotros</w:t>
      </w:r>
      <w:r>
        <w:rPr>
          <w:spacing w:val="-2"/>
        </w:rPr>
        <w:t xml:space="preserve"> </w:t>
      </w:r>
      <w:r>
        <w:t>poderles</w:t>
      </w:r>
      <w:r>
        <w:rPr>
          <w:spacing w:val="-2"/>
        </w:rPr>
        <w:t xml:space="preserve"> </w:t>
      </w:r>
      <w:r>
        <w:t>decir</w:t>
      </w:r>
      <w:r>
        <w:rPr>
          <w:spacing w:val="-3"/>
        </w:rPr>
        <w:t xml:space="preserve"> </w:t>
      </w:r>
      <w:r>
        <w:t>nada.</w:t>
      </w:r>
      <w:r>
        <w:rPr>
          <w:spacing w:val="-2"/>
        </w:rPr>
        <w:t xml:space="preserve"> </w:t>
      </w:r>
      <w:r>
        <w:t>Y una parte por eso me vine de allá del Chocó, porque yo a mi esa gente no me cayó bien, y dije yo, no, yo me voy para otro lado, y en esos tenía a mi papá acá y él me dijo: “mijo, por qué</w:t>
      </w:r>
      <w:r>
        <w:rPr>
          <w:spacing w:val="-2"/>
        </w:rPr>
        <w:t xml:space="preserve"> </w:t>
      </w:r>
      <w:r>
        <w:t>no</w:t>
      </w:r>
      <w:r>
        <w:rPr>
          <w:spacing w:val="-2"/>
        </w:rPr>
        <w:t xml:space="preserve"> </w:t>
      </w:r>
      <w:r>
        <w:t>se</w:t>
      </w:r>
      <w:r>
        <w:rPr>
          <w:spacing w:val="-2"/>
        </w:rPr>
        <w:t xml:space="preserve"> </w:t>
      </w:r>
      <w:r>
        <w:t>viene</w:t>
      </w:r>
      <w:r>
        <w:rPr>
          <w:spacing w:val="-2"/>
        </w:rPr>
        <w:t xml:space="preserve"> </w:t>
      </w:r>
      <w:r>
        <w:t>para</w:t>
      </w:r>
      <w:r>
        <w:rPr>
          <w:spacing w:val="-3"/>
        </w:rPr>
        <w:t xml:space="preserve"> </w:t>
      </w:r>
      <w:r>
        <w:t>acá</w:t>
      </w:r>
      <w:r>
        <w:rPr>
          <w:spacing w:val="-3"/>
        </w:rPr>
        <w:t xml:space="preserve"> </w:t>
      </w:r>
      <w:r>
        <w:t>y</w:t>
      </w:r>
      <w:r>
        <w:rPr>
          <w:spacing w:val="-2"/>
        </w:rPr>
        <w:t xml:space="preserve"> </w:t>
      </w:r>
      <w:r>
        <w:t>nos</w:t>
      </w:r>
      <w:r>
        <w:rPr>
          <w:spacing w:val="-2"/>
        </w:rPr>
        <w:t xml:space="preserve"> </w:t>
      </w:r>
      <w:r>
        <w:t>estamos</w:t>
      </w:r>
      <w:r>
        <w:rPr>
          <w:spacing w:val="-2"/>
        </w:rPr>
        <w:t xml:space="preserve"> </w:t>
      </w:r>
      <w:r>
        <w:t>por</w:t>
      </w:r>
      <w:r>
        <w:rPr>
          <w:spacing w:val="-2"/>
        </w:rPr>
        <w:t xml:space="preserve"> </w:t>
      </w:r>
      <w:r>
        <w:t>acá</w:t>
      </w:r>
      <w:r>
        <w:rPr>
          <w:spacing w:val="-2"/>
        </w:rPr>
        <w:t xml:space="preserve"> </w:t>
      </w:r>
      <w:r>
        <w:t>unos</w:t>
      </w:r>
      <w:r>
        <w:rPr>
          <w:spacing w:val="-2"/>
        </w:rPr>
        <w:t xml:space="preserve"> </w:t>
      </w:r>
      <w:r>
        <w:t>días”.</w:t>
      </w:r>
      <w:r>
        <w:rPr>
          <w:spacing w:val="-2"/>
        </w:rPr>
        <w:t xml:space="preserve"> </w:t>
      </w:r>
      <w:r>
        <w:t>Me</w:t>
      </w:r>
      <w:r>
        <w:rPr>
          <w:spacing w:val="-2"/>
        </w:rPr>
        <w:t xml:space="preserve"> </w:t>
      </w:r>
      <w:r>
        <w:t>vine</w:t>
      </w:r>
      <w:r>
        <w:rPr>
          <w:spacing w:val="-2"/>
        </w:rPr>
        <w:t xml:space="preserve"> </w:t>
      </w:r>
      <w:r>
        <w:t>yo</w:t>
      </w:r>
      <w:r>
        <w:rPr>
          <w:spacing w:val="-2"/>
        </w:rPr>
        <w:t xml:space="preserve"> </w:t>
      </w:r>
      <w:r>
        <w:t>del</w:t>
      </w:r>
      <w:r>
        <w:rPr>
          <w:spacing w:val="-2"/>
        </w:rPr>
        <w:t xml:space="preserve"> </w:t>
      </w:r>
      <w:r>
        <w:t>Chocó</w:t>
      </w:r>
      <w:r>
        <w:rPr>
          <w:spacing w:val="-2"/>
        </w:rPr>
        <w:t xml:space="preserve"> </w:t>
      </w:r>
      <w:r>
        <w:t>porque</w:t>
      </w:r>
      <w:r>
        <w:rPr>
          <w:spacing w:val="-2"/>
        </w:rPr>
        <w:t xml:space="preserve"> </w:t>
      </w:r>
      <w:r>
        <w:t>en realidad que nosotros no podíamos llegar de pescar porque ellos escogían lo mejor»</w:t>
      </w:r>
      <w:r w:rsidR="00EC72FE">
        <w:rPr>
          <w:rStyle w:val="Refdenotaalpie"/>
        </w:rPr>
        <w:footnoteReference w:id="152"/>
      </w:r>
      <w:r>
        <w:t>.</w:t>
      </w:r>
    </w:p>
    <w:p w:rsidR="0011361F" w:rsidRDefault="00AF18A5" w:rsidP="00EC72FE">
      <w:r>
        <w:t>Esta víctima de pillaje de grupos paramilitares, afrocolombiana, pescador artesanal en Tadó, Chocó, relata que en 1988 el robo constante tuvo un impacto en su forma de vida y ocasionó</w:t>
      </w:r>
      <w:r>
        <w:rPr>
          <w:spacing w:val="-10"/>
        </w:rPr>
        <w:t xml:space="preserve"> </w:t>
      </w:r>
      <w:r>
        <w:t>su</w:t>
      </w:r>
      <w:r>
        <w:rPr>
          <w:spacing w:val="-11"/>
        </w:rPr>
        <w:t xml:space="preserve"> </w:t>
      </w:r>
      <w:r>
        <w:t>desplazamiento</w:t>
      </w:r>
      <w:r>
        <w:rPr>
          <w:spacing w:val="-10"/>
        </w:rPr>
        <w:t xml:space="preserve"> </w:t>
      </w:r>
      <w:r>
        <w:t>forzado.</w:t>
      </w:r>
      <w:r>
        <w:rPr>
          <w:spacing w:val="-11"/>
        </w:rPr>
        <w:t xml:space="preserve"> </w:t>
      </w:r>
      <w:r>
        <w:t>El</w:t>
      </w:r>
      <w:r>
        <w:rPr>
          <w:spacing w:val="-9"/>
        </w:rPr>
        <w:t xml:space="preserve"> </w:t>
      </w:r>
      <w:r>
        <w:t>pillaje</w:t>
      </w:r>
      <w:r>
        <w:rPr>
          <w:spacing w:val="-11"/>
        </w:rPr>
        <w:t xml:space="preserve"> </w:t>
      </w:r>
      <w:r>
        <w:t>es</w:t>
      </w:r>
      <w:r>
        <w:rPr>
          <w:spacing w:val="-11"/>
        </w:rPr>
        <w:t xml:space="preserve"> </w:t>
      </w:r>
      <w:r>
        <w:t>la</w:t>
      </w:r>
      <w:r>
        <w:rPr>
          <w:spacing w:val="-9"/>
        </w:rPr>
        <w:t xml:space="preserve"> </w:t>
      </w:r>
      <w:r>
        <w:t>apropiación</w:t>
      </w:r>
      <w:r>
        <w:rPr>
          <w:spacing w:val="-10"/>
        </w:rPr>
        <w:t xml:space="preserve"> </w:t>
      </w:r>
      <w:r>
        <w:t>o</w:t>
      </w:r>
      <w:r>
        <w:rPr>
          <w:spacing w:val="-10"/>
        </w:rPr>
        <w:t xml:space="preserve"> </w:t>
      </w:r>
      <w:r>
        <w:t>robo</w:t>
      </w:r>
      <w:r>
        <w:rPr>
          <w:spacing w:val="-10"/>
        </w:rPr>
        <w:t xml:space="preserve"> </w:t>
      </w:r>
      <w:r>
        <w:t>de</w:t>
      </w:r>
      <w:r>
        <w:rPr>
          <w:spacing w:val="-9"/>
        </w:rPr>
        <w:t xml:space="preserve"> </w:t>
      </w:r>
      <w:r>
        <w:t>bienes</w:t>
      </w:r>
      <w:r>
        <w:rPr>
          <w:spacing w:val="-9"/>
        </w:rPr>
        <w:t xml:space="preserve"> </w:t>
      </w:r>
      <w:r>
        <w:t>muebles</w:t>
      </w:r>
      <w:r>
        <w:rPr>
          <w:spacing w:val="-9"/>
        </w:rPr>
        <w:t xml:space="preserve"> </w:t>
      </w:r>
      <w:r>
        <w:t>de propiedad de una persona, organización o institución sin su consentimiento, efectuada por algún actor del conflicto armado. El robo de animales o enseres ha sido una forma de quedarse</w:t>
      </w:r>
      <w:r>
        <w:rPr>
          <w:spacing w:val="-3"/>
        </w:rPr>
        <w:t xml:space="preserve"> </w:t>
      </w:r>
      <w:r>
        <w:t>con</w:t>
      </w:r>
      <w:r>
        <w:rPr>
          <w:spacing w:val="-3"/>
        </w:rPr>
        <w:t xml:space="preserve"> </w:t>
      </w:r>
      <w:r>
        <w:t>objetos</w:t>
      </w:r>
      <w:r>
        <w:rPr>
          <w:spacing w:val="-3"/>
        </w:rPr>
        <w:t xml:space="preserve"> </w:t>
      </w:r>
      <w:r>
        <w:t>de</w:t>
      </w:r>
      <w:r>
        <w:rPr>
          <w:spacing w:val="-4"/>
        </w:rPr>
        <w:t xml:space="preserve"> </w:t>
      </w:r>
      <w:r>
        <w:t>las</w:t>
      </w:r>
      <w:r>
        <w:rPr>
          <w:spacing w:val="-3"/>
        </w:rPr>
        <w:t xml:space="preserve"> </w:t>
      </w:r>
      <w:r>
        <w:t>víctimas</w:t>
      </w:r>
      <w:r>
        <w:rPr>
          <w:spacing w:val="-5"/>
        </w:rPr>
        <w:t xml:space="preserve"> </w:t>
      </w:r>
      <w:r>
        <w:t>y</w:t>
      </w:r>
      <w:r>
        <w:rPr>
          <w:spacing w:val="-3"/>
        </w:rPr>
        <w:t xml:space="preserve"> </w:t>
      </w:r>
      <w:r>
        <w:t>propiedades</w:t>
      </w:r>
      <w:r>
        <w:rPr>
          <w:spacing w:val="-3"/>
        </w:rPr>
        <w:t xml:space="preserve"> </w:t>
      </w:r>
      <w:r>
        <w:t>para</w:t>
      </w:r>
      <w:r>
        <w:rPr>
          <w:spacing w:val="-4"/>
        </w:rPr>
        <w:t xml:space="preserve"> </w:t>
      </w:r>
      <w:r>
        <w:t>financiamiento</w:t>
      </w:r>
      <w:r>
        <w:rPr>
          <w:spacing w:val="-3"/>
        </w:rPr>
        <w:t xml:space="preserve"> </w:t>
      </w:r>
      <w:r>
        <w:t>o</w:t>
      </w:r>
      <w:r>
        <w:rPr>
          <w:spacing w:val="-5"/>
        </w:rPr>
        <w:t xml:space="preserve"> </w:t>
      </w:r>
      <w:r>
        <w:t>mantenimiento</w:t>
      </w:r>
      <w:r>
        <w:rPr>
          <w:spacing w:val="-3"/>
        </w:rPr>
        <w:t xml:space="preserve"> </w:t>
      </w:r>
      <w:r>
        <w:t>de los</w:t>
      </w:r>
      <w:r>
        <w:rPr>
          <w:spacing w:val="-6"/>
        </w:rPr>
        <w:t xml:space="preserve"> </w:t>
      </w:r>
      <w:r>
        <w:t>combatientes.</w:t>
      </w:r>
      <w:r>
        <w:rPr>
          <w:spacing w:val="-6"/>
        </w:rPr>
        <w:t xml:space="preserve"> </w:t>
      </w:r>
      <w:r>
        <w:t>También</w:t>
      </w:r>
      <w:r>
        <w:rPr>
          <w:spacing w:val="-6"/>
        </w:rPr>
        <w:t xml:space="preserve"> </w:t>
      </w:r>
      <w:r>
        <w:t>suponen</w:t>
      </w:r>
      <w:r>
        <w:rPr>
          <w:spacing w:val="-6"/>
        </w:rPr>
        <w:t xml:space="preserve"> </w:t>
      </w:r>
      <w:r>
        <w:t>una</w:t>
      </w:r>
      <w:r>
        <w:rPr>
          <w:spacing w:val="-6"/>
        </w:rPr>
        <w:t xml:space="preserve"> </w:t>
      </w:r>
      <w:r>
        <w:t>forma</w:t>
      </w:r>
      <w:r>
        <w:rPr>
          <w:spacing w:val="-6"/>
        </w:rPr>
        <w:t xml:space="preserve"> </w:t>
      </w:r>
      <w:r>
        <w:t>de</w:t>
      </w:r>
      <w:r>
        <w:rPr>
          <w:spacing w:val="-6"/>
        </w:rPr>
        <w:t xml:space="preserve"> </w:t>
      </w:r>
      <w:r>
        <w:t>estimular</w:t>
      </w:r>
      <w:r>
        <w:rPr>
          <w:spacing w:val="-6"/>
        </w:rPr>
        <w:t xml:space="preserve"> </w:t>
      </w:r>
      <w:r>
        <w:t>la</w:t>
      </w:r>
      <w:r>
        <w:rPr>
          <w:spacing w:val="-6"/>
        </w:rPr>
        <w:t xml:space="preserve"> </w:t>
      </w:r>
      <w:r>
        <w:t>violencia</w:t>
      </w:r>
      <w:r>
        <w:rPr>
          <w:spacing w:val="-6"/>
        </w:rPr>
        <w:t xml:space="preserve"> </w:t>
      </w:r>
      <w:r>
        <w:t>por</w:t>
      </w:r>
      <w:r>
        <w:rPr>
          <w:spacing w:val="-6"/>
        </w:rPr>
        <w:t xml:space="preserve"> </w:t>
      </w:r>
      <w:r>
        <w:t>parte</w:t>
      </w:r>
      <w:r>
        <w:rPr>
          <w:spacing w:val="-6"/>
        </w:rPr>
        <w:t xml:space="preserve"> </w:t>
      </w:r>
      <w:r>
        <w:t>de</w:t>
      </w:r>
      <w:r>
        <w:rPr>
          <w:spacing w:val="-7"/>
        </w:rPr>
        <w:t xml:space="preserve"> </w:t>
      </w:r>
      <w:r>
        <w:t>la</w:t>
      </w:r>
      <w:r>
        <w:rPr>
          <w:spacing w:val="-6"/>
        </w:rPr>
        <w:t xml:space="preserve"> </w:t>
      </w:r>
      <w:r>
        <w:t>tropa de diferentes actores armados. El robo opera como un estímulo de la violencia con un beneficio personal o para el grupo.</w:t>
      </w:r>
    </w:p>
    <w:p w:rsidR="003804AC" w:rsidRDefault="00AF18A5" w:rsidP="00051224">
      <w:bookmarkStart w:id="249" w:name="_bookmark176"/>
      <w:bookmarkEnd w:id="249"/>
      <w:r>
        <w:t>Puede ser una manera de reforzar el control territorial en zonas consolidadas, aunque en general</w:t>
      </w:r>
      <w:r>
        <w:rPr>
          <w:spacing w:val="-2"/>
        </w:rPr>
        <w:t xml:space="preserve"> </w:t>
      </w:r>
      <w:r>
        <w:t>se</w:t>
      </w:r>
      <w:r>
        <w:rPr>
          <w:spacing w:val="-3"/>
        </w:rPr>
        <w:t xml:space="preserve"> </w:t>
      </w:r>
      <w:r>
        <w:t>da</w:t>
      </w:r>
      <w:r>
        <w:rPr>
          <w:spacing w:val="-2"/>
        </w:rPr>
        <w:t xml:space="preserve"> </w:t>
      </w:r>
      <w:r>
        <w:t>más</w:t>
      </w:r>
      <w:r>
        <w:rPr>
          <w:spacing w:val="-3"/>
        </w:rPr>
        <w:t xml:space="preserve"> </w:t>
      </w:r>
      <w:r>
        <w:t>en</w:t>
      </w:r>
      <w:r>
        <w:rPr>
          <w:spacing w:val="-4"/>
        </w:rPr>
        <w:t xml:space="preserve"> </w:t>
      </w:r>
      <w:r>
        <w:t>territorios</w:t>
      </w:r>
      <w:r>
        <w:rPr>
          <w:spacing w:val="-3"/>
        </w:rPr>
        <w:t xml:space="preserve"> </w:t>
      </w:r>
      <w:r>
        <w:t>en</w:t>
      </w:r>
      <w:r>
        <w:rPr>
          <w:spacing w:val="-2"/>
        </w:rPr>
        <w:t xml:space="preserve"> </w:t>
      </w:r>
      <w:r>
        <w:t>disputa</w:t>
      </w:r>
      <w:r>
        <w:rPr>
          <w:spacing w:val="-2"/>
        </w:rPr>
        <w:t xml:space="preserve"> </w:t>
      </w:r>
      <w:r>
        <w:t>como</w:t>
      </w:r>
      <w:r>
        <w:rPr>
          <w:spacing w:val="-4"/>
        </w:rPr>
        <w:t xml:space="preserve"> </w:t>
      </w:r>
      <w:r>
        <w:t>forma</w:t>
      </w:r>
      <w:r>
        <w:rPr>
          <w:spacing w:val="-3"/>
        </w:rPr>
        <w:t xml:space="preserve"> </w:t>
      </w:r>
      <w:r>
        <w:t>de</w:t>
      </w:r>
      <w:r>
        <w:rPr>
          <w:spacing w:val="-3"/>
        </w:rPr>
        <w:t xml:space="preserve"> </w:t>
      </w:r>
      <w:r>
        <w:t>ataque</w:t>
      </w:r>
      <w:r>
        <w:rPr>
          <w:spacing w:val="-2"/>
        </w:rPr>
        <w:t xml:space="preserve"> </w:t>
      </w:r>
      <w:r>
        <w:t>a</w:t>
      </w:r>
      <w:r>
        <w:rPr>
          <w:spacing w:val="-2"/>
        </w:rPr>
        <w:t xml:space="preserve"> </w:t>
      </w:r>
      <w:r>
        <w:t>la</w:t>
      </w:r>
      <w:r>
        <w:rPr>
          <w:spacing w:val="-2"/>
        </w:rPr>
        <w:t xml:space="preserve"> </w:t>
      </w:r>
      <w:r>
        <w:t>población</w:t>
      </w:r>
      <w:r>
        <w:rPr>
          <w:spacing w:val="-4"/>
        </w:rPr>
        <w:t xml:space="preserve"> </w:t>
      </w:r>
      <w:r>
        <w:t>considerada enemiga.</w:t>
      </w:r>
      <w:r>
        <w:rPr>
          <w:spacing w:val="-4"/>
        </w:rPr>
        <w:t xml:space="preserve"> </w:t>
      </w:r>
      <w:r>
        <w:t>Sus</w:t>
      </w:r>
      <w:r>
        <w:rPr>
          <w:spacing w:val="-4"/>
        </w:rPr>
        <w:t xml:space="preserve"> </w:t>
      </w:r>
      <w:r>
        <w:t>víctimas</w:t>
      </w:r>
      <w:r>
        <w:rPr>
          <w:spacing w:val="-3"/>
        </w:rPr>
        <w:t xml:space="preserve"> </w:t>
      </w:r>
      <w:r>
        <w:t>pertenecen</w:t>
      </w:r>
      <w:r>
        <w:rPr>
          <w:spacing w:val="-4"/>
        </w:rPr>
        <w:t xml:space="preserve"> </w:t>
      </w:r>
      <w:r>
        <w:t>a</w:t>
      </w:r>
      <w:r>
        <w:rPr>
          <w:spacing w:val="-6"/>
        </w:rPr>
        <w:t xml:space="preserve"> </w:t>
      </w:r>
      <w:r>
        <w:t>un</w:t>
      </w:r>
      <w:r>
        <w:rPr>
          <w:spacing w:val="-4"/>
        </w:rPr>
        <w:t xml:space="preserve"> </w:t>
      </w:r>
      <w:r>
        <w:t>espectro</w:t>
      </w:r>
      <w:r>
        <w:rPr>
          <w:spacing w:val="-5"/>
        </w:rPr>
        <w:t xml:space="preserve"> </w:t>
      </w:r>
      <w:r>
        <w:t>amplio</w:t>
      </w:r>
      <w:r>
        <w:rPr>
          <w:spacing w:val="-4"/>
        </w:rPr>
        <w:t xml:space="preserve"> </w:t>
      </w:r>
      <w:r>
        <w:t>de</w:t>
      </w:r>
      <w:r>
        <w:rPr>
          <w:spacing w:val="-3"/>
        </w:rPr>
        <w:t xml:space="preserve"> </w:t>
      </w:r>
      <w:r>
        <w:t>personas,</w:t>
      </w:r>
      <w:r>
        <w:rPr>
          <w:spacing w:val="-5"/>
        </w:rPr>
        <w:t xml:space="preserve"> </w:t>
      </w:r>
      <w:r>
        <w:t>en</w:t>
      </w:r>
      <w:r>
        <w:rPr>
          <w:spacing w:val="-4"/>
        </w:rPr>
        <w:t xml:space="preserve"> </w:t>
      </w:r>
      <w:r>
        <w:t>realidad,</w:t>
      </w:r>
      <w:r>
        <w:rPr>
          <w:spacing w:val="-4"/>
        </w:rPr>
        <w:t xml:space="preserve"> </w:t>
      </w:r>
      <w:r>
        <w:t>todo</w:t>
      </w:r>
      <w:r>
        <w:rPr>
          <w:spacing w:val="-4"/>
        </w:rPr>
        <w:t xml:space="preserve"> </w:t>
      </w:r>
      <w:r>
        <w:t>el</w:t>
      </w:r>
      <w:r>
        <w:rPr>
          <w:spacing w:val="-3"/>
        </w:rPr>
        <w:t xml:space="preserve"> </w:t>
      </w:r>
      <w:r>
        <w:t xml:space="preserve">que tuviera alguna posesión corría riesgo de ser víctima de pillaje, especialmente en momentos de agudización de la guerra. En otras </w:t>
      </w:r>
      <w:r>
        <w:lastRenderedPageBreak/>
        <w:t>ocasiones el pillaje se ha dado como respuesta al no pago de vacunas o extorsiones. Han sido víctimas la población campesina minifundista y pequeños comerciantes; pero también grandes latifundistas o entidades bancarias. El pillaje se</w:t>
      </w:r>
      <w:r>
        <w:rPr>
          <w:spacing w:val="-8"/>
        </w:rPr>
        <w:t xml:space="preserve"> </w:t>
      </w:r>
      <w:r>
        <w:t>realiza</w:t>
      </w:r>
      <w:r>
        <w:rPr>
          <w:spacing w:val="-9"/>
        </w:rPr>
        <w:t xml:space="preserve"> </w:t>
      </w:r>
      <w:r>
        <w:t>bajo</w:t>
      </w:r>
      <w:r>
        <w:rPr>
          <w:spacing w:val="-8"/>
        </w:rPr>
        <w:t xml:space="preserve"> </w:t>
      </w:r>
      <w:r>
        <w:t>modalidades</w:t>
      </w:r>
      <w:r>
        <w:rPr>
          <w:spacing w:val="-8"/>
        </w:rPr>
        <w:t xml:space="preserve"> </w:t>
      </w:r>
      <w:r>
        <w:t>definidas</w:t>
      </w:r>
      <w:r>
        <w:rPr>
          <w:spacing w:val="-8"/>
        </w:rPr>
        <w:t xml:space="preserve"> </w:t>
      </w:r>
      <w:r>
        <w:t>que</w:t>
      </w:r>
      <w:r>
        <w:rPr>
          <w:spacing w:val="-9"/>
        </w:rPr>
        <w:t xml:space="preserve"> </w:t>
      </w:r>
      <w:r>
        <w:t>siguen</w:t>
      </w:r>
      <w:r>
        <w:rPr>
          <w:spacing w:val="-9"/>
        </w:rPr>
        <w:t xml:space="preserve"> </w:t>
      </w:r>
      <w:r>
        <w:t>lógicas</w:t>
      </w:r>
      <w:r>
        <w:rPr>
          <w:spacing w:val="-9"/>
        </w:rPr>
        <w:t xml:space="preserve"> </w:t>
      </w:r>
      <w:r>
        <w:t>económicas,</w:t>
      </w:r>
      <w:r>
        <w:rPr>
          <w:spacing w:val="-8"/>
        </w:rPr>
        <w:t xml:space="preserve"> </w:t>
      </w:r>
      <w:r>
        <w:t>simbólicas</w:t>
      </w:r>
      <w:r>
        <w:rPr>
          <w:spacing w:val="-8"/>
        </w:rPr>
        <w:t xml:space="preserve"> </w:t>
      </w:r>
      <w:r>
        <w:t>y</w:t>
      </w:r>
      <w:r>
        <w:rPr>
          <w:spacing w:val="-11"/>
        </w:rPr>
        <w:t xml:space="preserve"> </w:t>
      </w:r>
      <w:r>
        <w:t>militares. Se usa para financiar estructuras armadas, como un método de castigo contra simpatizantes o auxiliadores del bando contrario o como un aprovechamiento inmediato de alimentos y otras mercancías a partir de la apropiación. Algunas prácticas de pillaje han quedado normalizadas en la cotidianidad de los territorios, como si se tratase de cargas menores que la</w:t>
      </w:r>
      <w:r>
        <w:rPr>
          <w:spacing w:val="-8"/>
        </w:rPr>
        <w:t xml:space="preserve"> </w:t>
      </w:r>
      <w:r>
        <w:t>población</w:t>
      </w:r>
      <w:r>
        <w:rPr>
          <w:spacing w:val="-10"/>
        </w:rPr>
        <w:t xml:space="preserve"> </w:t>
      </w:r>
      <w:r>
        <w:t>civil</w:t>
      </w:r>
      <w:r>
        <w:rPr>
          <w:spacing w:val="-8"/>
        </w:rPr>
        <w:t xml:space="preserve"> </w:t>
      </w:r>
      <w:r>
        <w:t>debe</w:t>
      </w:r>
      <w:r>
        <w:rPr>
          <w:spacing w:val="-8"/>
        </w:rPr>
        <w:t xml:space="preserve"> </w:t>
      </w:r>
      <w:r>
        <w:t>soportar.</w:t>
      </w:r>
      <w:r>
        <w:rPr>
          <w:spacing w:val="-10"/>
        </w:rPr>
        <w:t xml:space="preserve"> </w:t>
      </w:r>
      <w:r>
        <w:t>Es</w:t>
      </w:r>
      <w:r>
        <w:rPr>
          <w:spacing w:val="-8"/>
        </w:rPr>
        <w:t xml:space="preserve"> </w:t>
      </w:r>
      <w:r>
        <w:t>reiterado</w:t>
      </w:r>
      <w:r>
        <w:rPr>
          <w:spacing w:val="-8"/>
        </w:rPr>
        <w:t xml:space="preserve"> </w:t>
      </w:r>
      <w:r>
        <w:t>que</w:t>
      </w:r>
      <w:r>
        <w:rPr>
          <w:spacing w:val="-9"/>
        </w:rPr>
        <w:t xml:space="preserve"> </w:t>
      </w:r>
      <w:r>
        <w:t>los</w:t>
      </w:r>
      <w:r>
        <w:rPr>
          <w:spacing w:val="-8"/>
        </w:rPr>
        <w:t xml:space="preserve"> </w:t>
      </w:r>
      <w:r>
        <w:t>combatientes</w:t>
      </w:r>
      <w:r>
        <w:rPr>
          <w:spacing w:val="-8"/>
        </w:rPr>
        <w:t xml:space="preserve"> </w:t>
      </w:r>
      <w:r>
        <w:t>se</w:t>
      </w:r>
      <w:r>
        <w:rPr>
          <w:spacing w:val="-9"/>
        </w:rPr>
        <w:t xml:space="preserve"> </w:t>
      </w:r>
      <w:r>
        <w:t>coman</w:t>
      </w:r>
      <w:r>
        <w:rPr>
          <w:spacing w:val="-8"/>
        </w:rPr>
        <w:t xml:space="preserve"> </w:t>
      </w:r>
      <w:r>
        <w:t>el</w:t>
      </w:r>
      <w:r>
        <w:rPr>
          <w:spacing w:val="-8"/>
        </w:rPr>
        <w:t xml:space="preserve"> </w:t>
      </w:r>
      <w:r>
        <w:t>ganado</w:t>
      </w:r>
      <w:r>
        <w:rPr>
          <w:spacing w:val="-11"/>
        </w:rPr>
        <w:t xml:space="preserve"> </w:t>
      </w:r>
      <w:r>
        <w:t>de</w:t>
      </w:r>
      <w:r>
        <w:rPr>
          <w:spacing w:val="-8"/>
        </w:rPr>
        <w:t xml:space="preserve"> </w:t>
      </w:r>
      <w:r>
        <w:t>las fincas</w:t>
      </w:r>
      <w:r>
        <w:rPr>
          <w:spacing w:val="-9"/>
        </w:rPr>
        <w:t xml:space="preserve"> </w:t>
      </w:r>
      <w:r>
        <w:t>por</w:t>
      </w:r>
      <w:r>
        <w:rPr>
          <w:spacing w:val="-9"/>
        </w:rPr>
        <w:t xml:space="preserve"> </w:t>
      </w:r>
      <w:r>
        <w:t>donde</w:t>
      </w:r>
      <w:r>
        <w:rPr>
          <w:spacing w:val="-9"/>
        </w:rPr>
        <w:t xml:space="preserve"> </w:t>
      </w:r>
      <w:r>
        <w:t>van</w:t>
      </w:r>
      <w:r>
        <w:rPr>
          <w:spacing w:val="-10"/>
        </w:rPr>
        <w:t xml:space="preserve"> </w:t>
      </w:r>
      <w:r>
        <w:t>pasando</w:t>
      </w:r>
      <w:r>
        <w:rPr>
          <w:spacing w:val="-10"/>
        </w:rPr>
        <w:t xml:space="preserve"> </w:t>
      </w:r>
      <w:r>
        <w:t>o</w:t>
      </w:r>
      <w:r>
        <w:rPr>
          <w:spacing w:val="-10"/>
        </w:rPr>
        <w:t xml:space="preserve"> </w:t>
      </w:r>
      <w:r>
        <w:t>pidan</w:t>
      </w:r>
      <w:r>
        <w:rPr>
          <w:spacing w:val="-10"/>
        </w:rPr>
        <w:t xml:space="preserve"> </w:t>
      </w:r>
      <w:r>
        <w:t>mercancías</w:t>
      </w:r>
      <w:r>
        <w:rPr>
          <w:spacing w:val="-10"/>
        </w:rPr>
        <w:t xml:space="preserve"> </w:t>
      </w:r>
      <w:r>
        <w:t>en</w:t>
      </w:r>
      <w:r>
        <w:rPr>
          <w:spacing w:val="-10"/>
        </w:rPr>
        <w:t xml:space="preserve"> </w:t>
      </w:r>
      <w:r>
        <w:t>las</w:t>
      </w:r>
      <w:r>
        <w:rPr>
          <w:spacing w:val="-9"/>
        </w:rPr>
        <w:t xml:space="preserve"> </w:t>
      </w:r>
      <w:r>
        <w:t>tiendas</w:t>
      </w:r>
      <w:r>
        <w:rPr>
          <w:spacing w:val="-9"/>
        </w:rPr>
        <w:t xml:space="preserve"> </w:t>
      </w:r>
      <w:r>
        <w:t>y</w:t>
      </w:r>
      <w:r>
        <w:rPr>
          <w:spacing w:val="-10"/>
        </w:rPr>
        <w:t xml:space="preserve"> </w:t>
      </w:r>
      <w:r>
        <w:t>no</w:t>
      </w:r>
      <w:r>
        <w:rPr>
          <w:spacing w:val="-10"/>
        </w:rPr>
        <w:t xml:space="preserve"> </w:t>
      </w:r>
      <w:r>
        <w:t>las</w:t>
      </w:r>
      <w:r>
        <w:rPr>
          <w:spacing w:val="-9"/>
        </w:rPr>
        <w:t xml:space="preserve"> </w:t>
      </w:r>
      <w:r>
        <w:t>paguen;</w:t>
      </w:r>
      <w:r>
        <w:rPr>
          <w:spacing w:val="-9"/>
        </w:rPr>
        <w:t xml:space="preserve"> </w:t>
      </w:r>
      <w:r>
        <w:t>las</w:t>
      </w:r>
      <w:r>
        <w:rPr>
          <w:spacing w:val="-9"/>
        </w:rPr>
        <w:t xml:space="preserve"> </w:t>
      </w:r>
      <w:r>
        <w:t>víctimas se ven obligadas a acceder porque son los victimarios quienes imponen la ley.</w:t>
      </w:r>
    </w:p>
    <w:p w:rsidR="003804AC" w:rsidRDefault="00AF18A5" w:rsidP="00051224">
      <w:r>
        <w:t>La</w:t>
      </w:r>
      <w:r>
        <w:rPr>
          <w:spacing w:val="-10"/>
        </w:rPr>
        <w:t xml:space="preserve"> </w:t>
      </w:r>
      <w:r>
        <w:t>Comisión</w:t>
      </w:r>
      <w:r>
        <w:rPr>
          <w:spacing w:val="-11"/>
        </w:rPr>
        <w:t xml:space="preserve"> </w:t>
      </w:r>
      <w:r>
        <w:t>es</w:t>
      </w:r>
      <w:r>
        <w:rPr>
          <w:spacing w:val="-10"/>
        </w:rPr>
        <w:t xml:space="preserve"> </w:t>
      </w:r>
      <w:r>
        <w:t>una</w:t>
      </w:r>
      <w:r>
        <w:rPr>
          <w:spacing w:val="-10"/>
        </w:rPr>
        <w:t xml:space="preserve"> </w:t>
      </w:r>
      <w:r>
        <w:t>de</w:t>
      </w:r>
      <w:r>
        <w:rPr>
          <w:spacing w:val="-11"/>
        </w:rPr>
        <w:t xml:space="preserve"> </w:t>
      </w:r>
      <w:r>
        <w:t>las</w:t>
      </w:r>
      <w:r>
        <w:rPr>
          <w:spacing w:val="-10"/>
        </w:rPr>
        <w:t xml:space="preserve"> </w:t>
      </w:r>
      <w:r>
        <w:t>pocas</w:t>
      </w:r>
      <w:r>
        <w:rPr>
          <w:spacing w:val="-11"/>
        </w:rPr>
        <w:t xml:space="preserve"> </w:t>
      </w:r>
      <w:r>
        <w:t>fuentes</w:t>
      </w:r>
      <w:r>
        <w:rPr>
          <w:spacing w:val="-10"/>
        </w:rPr>
        <w:t xml:space="preserve"> </w:t>
      </w:r>
      <w:r>
        <w:t>que</w:t>
      </w:r>
      <w:r>
        <w:rPr>
          <w:spacing w:val="-10"/>
        </w:rPr>
        <w:t xml:space="preserve"> </w:t>
      </w:r>
      <w:r>
        <w:t>ha</w:t>
      </w:r>
      <w:r>
        <w:rPr>
          <w:spacing w:val="-10"/>
        </w:rPr>
        <w:t xml:space="preserve"> </w:t>
      </w:r>
      <w:r>
        <w:t>registrado</w:t>
      </w:r>
      <w:r>
        <w:rPr>
          <w:spacing w:val="-11"/>
        </w:rPr>
        <w:t xml:space="preserve"> </w:t>
      </w:r>
      <w:r>
        <w:t>el</w:t>
      </w:r>
      <w:r>
        <w:rPr>
          <w:spacing w:val="-11"/>
        </w:rPr>
        <w:t xml:space="preserve"> </w:t>
      </w:r>
      <w:r>
        <w:t>pillaje</w:t>
      </w:r>
      <w:r>
        <w:rPr>
          <w:spacing w:val="-11"/>
        </w:rPr>
        <w:t xml:space="preserve"> </w:t>
      </w:r>
      <w:r>
        <w:t>en</w:t>
      </w:r>
      <w:r>
        <w:rPr>
          <w:spacing w:val="-11"/>
        </w:rPr>
        <w:t xml:space="preserve"> </w:t>
      </w:r>
      <w:r>
        <w:t>Colombia.</w:t>
      </w:r>
      <w:r>
        <w:rPr>
          <w:spacing w:val="-11"/>
        </w:rPr>
        <w:t xml:space="preserve"> </w:t>
      </w:r>
      <w:r>
        <w:t>Aunque sea</w:t>
      </w:r>
      <w:r>
        <w:rPr>
          <w:spacing w:val="-1"/>
        </w:rPr>
        <w:t xml:space="preserve"> </w:t>
      </w:r>
      <w:r>
        <w:t>una</w:t>
      </w:r>
      <w:r>
        <w:rPr>
          <w:spacing w:val="-2"/>
        </w:rPr>
        <w:t xml:space="preserve"> </w:t>
      </w:r>
      <w:r>
        <w:t>muestra</w:t>
      </w:r>
      <w:r>
        <w:rPr>
          <w:spacing w:val="-2"/>
        </w:rPr>
        <w:t xml:space="preserve"> </w:t>
      </w:r>
      <w:r>
        <w:t>pequeña,</w:t>
      </w:r>
      <w:r>
        <w:rPr>
          <w:spacing w:val="-1"/>
        </w:rPr>
        <w:t xml:space="preserve"> </w:t>
      </w:r>
      <w:r>
        <w:t>en</w:t>
      </w:r>
      <w:r>
        <w:rPr>
          <w:spacing w:val="-1"/>
        </w:rPr>
        <w:t xml:space="preserve"> </w:t>
      </w:r>
      <w:r>
        <w:t>el</w:t>
      </w:r>
      <w:r>
        <w:rPr>
          <w:spacing w:val="-1"/>
        </w:rPr>
        <w:t xml:space="preserve"> </w:t>
      </w:r>
      <w:r>
        <w:t>ejercicio</w:t>
      </w:r>
      <w:r>
        <w:rPr>
          <w:spacing w:val="-1"/>
        </w:rPr>
        <w:t xml:space="preserve"> </w:t>
      </w:r>
      <w:r>
        <w:t>de</w:t>
      </w:r>
      <w:r>
        <w:rPr>
          <w:spacing w:val="-2"/>
        </w:rPr>
        <w:t xml:space="preserve"> </w:t>
      </w:r>
      <w:r>
        <w:t>escucha</w:t>
      </w:r>
      <w:r>
        <w:rPr>
          <w:spacing w:val="-1"/>
        </w:rPr>
        <w:t xml:space="preserve"> </w:t>
      </w:r>
      <w:r>
        <w:t>se</w:t>
      </w:r>
      <w:r>
        <w:rPr>
          <w:spacing w:val="-1"/>
        </w:rPr>
        <w:t xml:space="preserve"> </w:t>
      </w:r>
      <w:r>
        <w:t>documentaron</w:t>
      </w:r>
      <w:r>
        <w:rPr>
          <w:spacing w:val="-2"/>
        </w:rPr>
        <w:t xml:space="preserve"> </w:t>
      </w:r>
      <w:r>
        <w:t>751</w:t>
      </w:r>
      <w:r>
        <w:rPr>
          <w:spacing w:val="-2"/>
        </w:rPr>
        <w:t xml:space="preserve"> </w:t>
      </w:r>
      <w:r>
        <w:t>hechos</w:t>
      </w:r>
      <w:r>
        <w:rPr>
          <w:spacing w:val="-1"/>
        </w:rPr>
        <w:t xml:space="preserve"> </w:t>
      </w:r>
      <w:r>
        <w:t>de</w:t>
      </w:r>
      <w:r>
        <w:rPr>
          <w:spacing w:val="-2"/>
        </w:rPr>
        <w:t xml:space="preserve"> </w:t>
      </w:r>
      <w:r>
        <w:t>pillaje, en</w:t>
      </w:r>
      <w:r>
        <w:rPr>
          <w:spacing w:val="-15"/>
        </w:rPr>
        <w:t xml:space="preserve"> </w:t>
      </w:r>
      <w:r>
        <w:t>el</w:t>
      </w:r>
      <w:r>
        <w:rPr>
          <w:spacing w:val="-15"/>
        </w:rPr>
        <w:t xml:space="preserve"> </w:t>
      </w:r>
      <w:r>
        <w:t>que</w:t>
      </w:r>
      <w:r>
        <w:rPr>
          <w:spacing w:val="-15"/>
        </w:rPr>
        <w:t xml:space="preserve"> </w:t>
      </w:r>
      <w:r>
        <w:t>los</w:t>
      </w:r>
      <w:r>
        <w:rPr>
          <w:spacing w:val="-15"/>
        </w:rPr>
        <w:t xml:space="preserve"> </w:t>
      </w:r>
      <w:r>
        <w:t>paramilitares</w:t>
      </w:r>
      <w:r>
        <w:rPr>
          <w:spacing w:val="-14"/>
        </w:rPr>
        <w:t xml:space="preserve"> </w:t>
      </w:r>
      <w:r>
        <w:t>fueron</w:t>
      </w:r>
      <w:r>
        <w:rPr>
          <w:spacing w:val="-14"/>
        </w:rPr>
        <w:t xml:space="preserve"> </w:t>
      </w:r>
      <w:r>
        <w:t>responsables</w:t>
      </w:r>
      <w:r>
        <w:rPr>
          <w:spacing w:val="-15"/>
        </w:rPr>
        <w:t xml:space="preserve"> </w:t>
      </w:r>
      <w:r>
        <w:t>del</w:t>
      </w:r>
      <w:r>
        <w:rPr>
          <w:spacing w:val="-15"/>
        </w:rPr>
        <w:t xml:space="preserve"> </w:t>
      </w:r>
      <w:r>
        <w:t>46</w:t>
      </w:r>
      <w:r>
        <w:rPr>
          <w:spacing w:val="-3"/>
        </w:rPr>
        <w:t xml:space="preserve"> </w:t>
      </w:r>
      <w:r>
        <w:t>%</w:t>
      </w:r>
      <w:r>
        <w:rPr>
          <w:spacing w:val="-14"/>
        </w:rPr>
        <w:t xml:space="preserve"> </w:t>
      </w:r>
      <w:r>
        <w:t>de</w:t>
      </w:r>
      <w:r>
        <w:rPr>
          <w:spacing w:val="-15"/>
        </w:rPr>
        <w:t xml:space="preserve"> </w:t>
      </w:r>
      <w:r>
        <w:t>los</w:t>
      </w:r>
      <w:r>
        <w:rPr>
          <w:spacing w:val="-15"/>
        </w:rPr>
        <w:t xml:space="preserve"> </w:t>
      </w:r>
      <w:r>
        <w:t>hechos,</w:t>
      </w:r>
      <w:r>
        <w:rPr>
          <w:spacing w:val="-15"/>
        </w:rPr>
        <w:t xml:space="preserve"> </w:t>
      </w:r>
      <w:r>
        <w:t>las</w:t>
      </w:r>
      <w:r>
        <w:rPr>
          <w:spacing w:val="-14"/>
        </w:rPr>
        <w:t xml:space="preserve"> </w:t>
      </w:r>
      <w:r>
        <w:t>guerrillas</w:t>
      </w:r>
      <w:r>
        <w:rPr>
          <w:spacing w:val="-14"/>
        </w:rPr>
        <w:t xml:space="preserve"> </w:t>
      </w:r>
      <w:r>
        <w:t>del</w:t>
      </w:r>
      <w:r>
        <w:rPr>
          <w:spacing w:val="-15"/>
        </w:rPr>
        <w:t xml:space="preserve"> </w:t>
      </w:r>
      <w:r>
        <w:t>33</w:t>
      </w:r>
      <w:r>
        <w:rPr>
          <w:spacing w:val="-4"/>
        </w:rPr>
        <w:t xml:space="preserve"> </w:t>
      </w:r>
      <w:r>
        <w:t>% y la fuerza pública del 17</w:t>
      </w:r>
      <w:r>
        <w:rPr>
          <w:spacing w:val="-1"/>
        </w:rPr>
        <w:t xml:space="preserve"> </w:t>
      </w:r>
      <w:r>
        <w:t>%. Fue precisamente entre 1998 y 2002 –periodo en que la Comisión documentó el mayor número de actos de pillaje– cuando se incrementaron las zonas en disputa y las incursiones a territorios controlados por los bandos «enemigos».</w:t>
      </w:r>
    </w:p>
    <w:p w:rsidR="003804AC" w:rsidRDefault="00AF18A5" w:rsidP="00051224">
      <w:r>
        <w:t>Entre los 751 actos de pillaje que documentó la Comisión el 72</w:t>
      </w:r>
      <w:r>
        <w:rPr>
          <w:spacing w:val="-2"/>
        </w:rPr>
        <w:t xml:space="preserve"> </w:t>
      </w:r>
      <w:r>
        <w:t>% se cometieron de manera conjunta con otras violaciones de derechos humanos, como amenazas, tortura y desplazamiento</w:t>
      </w:r>
      <w:r>
        <w:rPr>
          <w:spacing w:val="-5"/>
        </w:rPr>
        <w:t xml:space="preserve"> </w:t>
      </w:r>
      <w:r>
        <w:t>forzado.</w:t>
      </w:r>
      <w:r>
        <w:rPr>
          <w:spacing w:val="-7"/>
        </w:rPr>
        <w:t xml:space="preserve"> </w:t>
      </w:r>
      <w:r>
        <w:t>En</w:t>
      </w:r>
      <w:r>
        <w:rPr>
          <w:spacing w:val="-5"/>
        </w:rPr>
        <w:t xml:space="preserve"> </w:t>
      </w:r>
      <w:r>
        <w:t>el</w:t>
      </w:r>
      <w:r>
        <w:rPr>
          <w:spacing w:val="-5"/>
        </w:rPr>
        <w:t xml:space="preserve"> </w:t>
      </w:r>
      <w:r>
        <w:t>caso</w:t>
      </w:r>
      <w:r>
        <w:rPr>
          <w:spacing w:val="-5"/>
        </w:rPr>
        <w:t xml:space="preserve"> </w:t>
      </w:r>
      <w:r>
        <w:t>del</w:t>
      </w:r>
      <w:r>
        <w:rPr>
          <w:spacing w:val="-4"/>
        </w:rPr>
        <w:t xml:space="preserve"> </w:t>
      </w:r>
      <w:r>
        <w:t>desplazamiento</w:t>
      </w:r>
      <w:r>
        <w:rPr>
          <w:spacing w:val="-5"/>
        </w:rPr>
        <w:t xml:space="preserve"> </w:t>
      </w:r>
      <w:r>
        <w:t>masivo,</w:t>
      </w:r>
      <w:r>
        <w:rPr>
          <w:spacing w:val="-5"/>
        </w:rPr>
        <w:t xml:space="preserve"> </w:t>
      </w:r>
      <w:r>
        <w:t>los</w:t>
      </w:r>
      <w:r>
        <w:rPr>
          <w:spacing w:val="-6"/>
        </w:rPr>
        <w:t xml:space="preserve"> </w:t>
      </w:r>
      <w:r>
        <w:t>actores</w:t>
      </w:r>
      <w:r>
        <w:rPr>
          <w:spacing w:val="-4"/>
        </w:rPr>
        <w:t xml:space="preserve"> </w:t>
      </w:r>
      <w:r>
        <w:t>armados</w:t>
      </w:r>
      <w:r>
        <w:rPr>
          <w:spacing w:val="-6"/>
        </w:rPr>
        <w:t xml:space="preserve"> </w:t>
      </w:r>
      <w:r>
        <w:t xml:space="preserve">sacaron ventaja de la ausencia de las víctimas para hurtar sus pertenencias al entrar a sus casas y </w:t>
      </w:r>
      <w:r>
        <w:rPr>
          <w:spacing w:val="-2"/>
        </w:rPr>
        <w:t>saquearlas.</w:t>
      </w:r>
    </w:p>
    <w:p w:rsidR="003804AC" w:rsidRDefault="00AF18A5" w:rsidP="00051224">
      <w:r>
        <w:lastRenderedPageBreak/>
        <w:t>El</w:t>
      </w:r>
      <w:r>
        <w:rPr>
          <w:spacing w:val="-8"/>
        </w:rPr>
        <w:t xml:space="preserve"> </w:t>
      </w:r>
      <w:r>
        <w:t>pillaje</w:t>
      </w:r>
      <w:r>
        <w:rPr>
          <w:spacing w:val="-8"/>
        </w:rPr>
        <w:t xml:space="preserve"> </w:t>
      </w:r>
      <w:r>
        <w:t>tiene</w:t>
      </w:r>
      <w:r>
        <w:rPr>
          <w:spacing w:val="-8"/>
        </w:rPr>
        <w:t xml:space="preserve"> </w:t>
      </w:r>
      <w:r>
        <w:t>impactos</w:t>
      </w:r>
      <w:r>
        <w:rPr>
          <w:spacing w:val="-9"/>
        </w:rPr>
        <w:t xml:space="preserve"> </w:t>
      </w:r>
      <w:r>
        <w:t>en</w:t>
      </w:r>
      <w:r>
        <w:rPr>
          <w:spacing w:val="-8"/>
        </w:rPr>
        <w:t xml:space="preserve"> </w:t>
      </w:r>
      <w:r>
        <w:t>el</w:t>
      </w:r>
      <w:r>
        <w:rPr>
          <w:spacing w:val="-8"/>
        </w:rPr>
        <w:t xml:space="preserve"> </w:t>
      </w:r>
      <w:r>
        <w:t>proyecto</w:t>
      </w:r>
      <w:r>
        <w:rPr>
          <w:spacing w:val="-8"/>
        </w:rPr>
        <w:t xml:space="preserve"> </w:t>
      </w:r>
      <w:r>
        <w:t>de</w:t>
      </w:r>
      <w:r>
        <w:rPr>
          <w:spacing w:val="-8"/>
        </w:rPr>
        <w:t xml:space="preserve"> </w:t>
      </w:r>
      <w:r>
        <w:t>vida</w:t>
      </w:r>
      <w:r>
        <w:rPr>
          <w:spacing w:val="-8"/>
        </w:rPr>
        <w:t xml:space="preserve"> </w:t>
      </w:r>
      <w:r>
        <w:t>de</w:t>
      </w:r>
      <w:r>
        <w:rPr>
          <w:spacing w:val="-8"/>
        </w:rPr>
        <w:t xml:space="preserve"> </w:t>
      </w:r>
      <w:r>
        <w:t>las</w:t>
      </w:r>
      <w:r>
        <w:rPr>
          <w:spacing w:val="-8"/>
        </w:rPr>
        <w:t xml:space="preserve"> </w:t>
      </w:r>
      <w:r>
        <w:t>víctimas,</w:t>
      </w:r>
      <w:r>
        <w:rPr>
          <w:spacing w:val="-10"/>
        </w:rPr>
        <w:t xml:space="preserve"> </w:t>
      </w:r>
      <w:r>
        <w:t>afecta</w:t>
      </w:r>
      <w:r>
        <w:rPr>
          <w:spacing w:val="-8"/>
        </w:rPr>
        <w:t xml:space="preserve"> </w:t>
      </w:r>
      <w:r>
        <w:t>el</w:t>
      </w:r>
      <w:r>
        <w:rPr>
          <w:spacing w:val="-8"/>
        </w:rPr>
        <w:t xml:space="preserve"> </w:t>
      </w:r>
      <w:r>
        <w:t>patrimonio</w:t>
      </w:r>
      <w:r>
        <w:rPr>
          <w:spacing w:val="-8"/>
        </w:rPr>
        <w:t xml:space="preserve"> </w:t>
      </w:r>
      <w:r>
        <w:t>de</w:t>
      </w:r>
      <w:r>
        <w:rPr>
          <w:spacing w:val="-8"/>
        </w:rPr>
        <w:t xml:space="preserve"> </w:t>
      </w:r>
      <w:r>
        <w:t>las personas y puede eliminar el producto del trabajo de toda una vida o agotar las formas y medios</w:t>
      </w:r>
      <w:r>
        <w:rPr>
          <w:spacing w:val="-12"/>
        </w:rPr>
        <w:t xml:space="preserve"> </w:t>
      </w:r>
      <w:r>
        <w:t>de</w:t>
      </w:r>
      <w:r>
        <w:rPr>
          <w:spacing w:val="-10"/>
        </w:rPr>
        <w:t xml:space="preserve"> </w:t>
      </w:r>
      <w:r>
        <w:t>subsistencia.</w:t>
      </w:r>
      <w:r>
        <w:rPr>
          <w:spacing w:val="-12"/>
        </w:rPr>
        <w:t xml:space="preserve"> </w:t>
      </w:r>
      <w:r>
        <w:t>El</w:t>
      </w:r>
      <w:r>
        <w:rPr>
          <w:spacing w:val="-9"/>
        </w:rPr>
        <w:t xml:space="preserve"> </w:t>
      </w:r>
      <w:r>
        <w:t>pillaje</w:t>
      </w:r>
      <w:r>
        <w:rPr>
          <w:spacing w:val="-11"/>
        </w:rPr>
        <w:t xml:space="preserve"> </w:t>
      </w:r>
      <w:r>
        <w:t>ahoga</w:t>
      </w:r>
      <w:r>
        <w:rPr>
          <w:spacing w:val="-10"/>
        </w:rPr>
        <w:t xml:space="preserve"> </w:t>
      </w:r>
      <w:r>
        <w:t>economías</w:t>
      </w:r>
      <w:r>
        <w:rPr>
          <w:spacing w:val="-10"/>
        </w:rPr>
        <w:t xml:space="preserve"> </w:t>
      </w:r>
      <w:r>
        <w:t>locales</w:t>
      </w:r>
      <w:r>
        <w:rPr>
          <w:spacing w:val="-11"/>
        </w:rPr>
        <w:t xml:space="preserve"> </w:t>
      </w:r>
      <w:r>
        <w:t>y</w:t>
      </w:r>
      <w:r>
        <w:rPr>
          <w:spacing w:val="-11"/>
        </w:rPr>
        <w:t xml:space="preserve"> </w:t>
      </w:r>
      <w:r>
        <w:t>proyectos</w:t>
      </w:r>
      <w:r>
        <w:rPr>
          <w:spacing w:val="-11"/>
        </w:rPr>
        <w:t xml:space="preserve"> </w:t>
      </w:r>
      <w:r>
        <w:t>productivos,</w:t>
      </w:r>
      <w:r>
        <w:rPr>
          <w:spacing w:val="-11"/>
        </w:rPr>
        <w:t xml:space="preserve"> </w:t>
      </w:r>
      <w:r>
        <w:t>y</w:t>
      </w:r>
      <w:r>
        <w:rPr>
          <w:spacing w:val="-11"/>
        </w:rPr>
        <w:t xml:space="preserve"> </w:t>
      </w:r>
      <w:r>
        <w:rPr>
          <w:spacing w:val="-2"/>
        </w:rPr>
        <w:t>reduce</w:t>
      </w:r>
      <w:r w:rsidR="00051224">
        <w:t xml:space="preserve"> </w:t>
      </w:r>
      <w:r>
        <w:t>las</w:t>
      </w:r>
      <w:r>
        <w:rPr>
          <w:spacing w:val="-3"/>
        </w:rPr>
        <w:t xml:space="preserve"> </w:t>
      </w:r>
      <w:r>
        <w:t>opciones</w:t>
      </w:r>
      <w:r>
        <w:rPr>
          <w:spacing w:val="-4"/>
        </w:rPr>
        <w:t xml:space="preserve"> </w:t>
      </w:r>
      <w:r>
        <w:t>laborales</w:t>
      </w:r>
      <w:r>
        <w:rPr>
          <w:spacing w:val="-4"/>
        </w:rPr>
        <w:t xml:space="preserve"> </w:t>
      </w:r>
      <w:r>
        <w:t>de</w:t>
      </w:r>
      <w:r>
        <w:rPr>
          <w:spacing w:val="-4"/>
        </w:rPr>
        <w:t xml:space="preserve"> </w:t>
      </w:r>
      <w:r>
        <w:t>las</w:t>
      </w:r>
      <w:r>
        <w:rPr>
          <w:spacing w:val="-3"/>
        </w:rPr>
        <w:t xml:space="preserve"> </w:t>
      </w:r>
      <w:r>
        <w:t>poblaciones</w:t>
      </w:r>
      <w:r>
        <w:rPr>
          <w:spacing w:val="-3"/>
        </w:rPr>
        <w:t xml:space="preserve"> </w:t>
      </w:r>
      <w:r>
        <w:t>que</w:t>
      </w:r>
      <w:r>
        <w:rPr>
          <w:spacing w:val="-3"/>
        </w:rPr>
        <w:t xml:space="preserve"> </w:t>
      </w:r>
      <w:r>
        <w:t>en</w:t>
      </w:r>
      <w:r>
        <w:rPr>
          <w:spacing w:val="-5"/>
        </w:rPr>
        <w:t xml:space="preserve"> </w:t>
      </w:r>
      <w:r>
        <w:t>algunos</w:t>
      </w:r>
      <w:r>
        <w:rPr>
          <w:spacing w:val="-3"/>
        </w:rPr>
        <w:t xml:space="preserve"> </w:t>
      </w:r>
      <w:r>
        <w:t>casos</w:t>
      </w:r>
      <w:r>
        <w:rPr>
          <w:spacing w:val="-5"/>
        </w:rPr>
        <w:t xml:space="preserve"> </w:t>
      </w:r>
      <w:r>
        <w:t>son</w:t>
      </w:r>
      <w:r>
        <w:rPr>
          <w:spacing w:val="-3"/>
        </w:rPr>
        <w:t xml:space="preserve"> </w:t>
      </w:r>
      <w:r>
        <w:t>forzadas</w:t>
      </w:r>
      <w:r>
        <w:rPr>
          <w:spacing w:val="-3"/>
        </w:rPr>
        <w:t xml:space="preserve"> </w:t>
      </w:r>
      <w:r>
        <w:t>a</w:t>
      </w:r>
      <w:r>
        <w:rPr>
          <w:spacing w:val="-3"/>
        </w:rPr>
        <w:t xml:space="preserve"> </w:t>
      </w:r>
      <w:r>
        <w:t>hacer</w:t>
      </w:r>
      <w:r>
        <w:rPr>
          <w:spacing w:val="-3"/>
        </w:rPr>
        <w:t xml:space="preserve"> </w:t>
      </w:r>
      <w:r>
        <w:t>parte</w:t>
      </w:r>
      <w:r>
        <w:rPr>
          <w:spacing w:val="-3"/>
        </w:rPr>
        <w:t xml:space="preserve"> </w:t>
      </w:r>
      <w:r>
        <w:t>de economías ilegales, como los cultivos de uso ilícito.</w:t>
      </w:r>
    </w:p>
    <w:p w:rsidR="0011361F" w:rsidRPr="00051224" w:rsidRDefault="00AF18A5" w:rsidP="004A6EF4">
      <w:pPr>
        <w:pStyle w:val="Ttulo3"/>
        <w:numPr>
          <w:ilvl w:val="1"/>
          <w:numId w:val="16"/>
        </w:numPr>
      </w:pPr>
      <w:bookmarkStart w:id="250" w:name="3.11._Tortura"/>
      <w:bookmarkStart w:id="251" w:name="_Toc112399570"/>
      <w:bookmarkEnd w:id="250"/>
      <w:r w:rsidRPr="00051224">
        <w:t>Tortura</w:t>
      </w:r>
      <w:bookmarkEnd w:id="251"/>
    </w:p>
    <w:p w:rsidR="003804AC" w:rsidRDefault="00AF18A5" w:rsidP="00051224">
      <w:r>
        <w:t>La tortura se explica no solo como forma de obtener información o confesión, sino como modalidades de castigo, de represalia o venganza y hasta formas de discriminación.</w:t>
      </w:r>
    </w:p>
    <w:p w:rsidR="003804AC" w:rsidRDefault="00AF18A5" w:rsidP="00051224">
      <w:r>
        <w:t>«Empezaron a patearnos y empezaron a preguntarnos cosas que uno no sabía, o sea, nos preguntaban por unos nombres, [...] que si conocíamos a fulano, que si conocíamos unos nombres y apellidos. [...] Nos hacían preguntas referentes al obispo, de lo que conocíamos del obispo [...] o nos preguntaban que si recibía dinero, que si él daba dinero. Nos decían unos nombres de unas personas; no conocíamos, no sabíamos del asunto. Ahí nos pegaban, nos pegaban por la cabeza, por la cara y decían que estábamos mintiendo [...] Luego llegó otro y dice: “No, estos maricones vamos a hacerlos hablar”. Entonces nos cogieron, nos tiraron al suelo, nos empezaron a quitar la ropa, y yo escuchaba a mis compañeros cómo gritaban. Ya luego [...] empiezan a abusar de uno [...]. Desde el primer día [...] supimos que eran paramilitares porque ellos se identificaron como tal»</w:t>
      </w:r>
      <w:r w:rsidR="00051224">
        <w:rPr>
          <w:rStyle w:val="Refdenotaalpie"/>
        </w:rPr>
        <w:footnoteReference w:id="153"/>
      </w:r>
      <w:r>
        <w:t>.</w:t>
      </w:r>
    </w:p>
    <w:p w:rsidR="003804AC" w:rsidRDefault="00AF18A5" w:rsidP="00051224">
      <w:r>
        <w:t>La</w:t>
      </w:r>
      <w:r>
        <w:rPr>
          <w:spacing w:val="-12"/>
        </w:rPr>
        <w:t xml:space="preserve"> </w:t>
      </w:r>
      <w:r>
        <w:t>tortura</w:t>
      </w:r>
      <w:r>
        <w:rPr>
          <w:spacing w:val="-13"/>
        </w:rPr>
        <w:t xml:space="preserve"> </w:t>
      </w:r>
      <w:r>
        <w:t>se</w:t>
      </w:r>
      <w:r>
        <w:rPr>
          <w:spacing w:val="-13"/>
        </w:rPr>
        <w:t xml:space="preserve"> </w:t>
      </w:r>
      <w:r>
        <w:t>refiere</w:t>
      </w:r>
      <w:r>
        <w:rPr>
          <w:spacing w:val="-13"/>
        </w:rPr>
        <w:t xml:space="preserve"> </w:t>
      </w:r>
      <w:r>
        <w:t>a</w:t>
      </w:r>
      <w:r>
        <w:rPr>
          <w:spacing w:val="-12"/>
        </w:rPr>
        <w:t xml:space="preserve"> </w:t>
      </w:r>
      <w:r>
        <w:t>actos</w:t>
      </w:r>
      <w:r>
        <w:rPr>
          <w:spacing w:val="-12"/>
        </w:rPr>
        <w:t xml:space="preserve"> </w:t>
      </w:r>
      <w:r>
        <w:t>y</w:t>
      </w:r>
      <w:r>
        <w:rPr>
          <w:spacing w:val="-12"/>
        </w:rPr>
        <w:t xml:space="preserve"> </w:t>
      </w:r>
      <w:r>
        <w:t>omisiones</w:t>
      </w:r>
      <w:r>
        <w:rPr>
          <w:spacing w:val="-12"/>
        </w:rPr>
        <w:t xml:space="preserve"> </w:t>
      </w:r>
      <w:r>
        <w:t>que</w:t>
      </w:r>
      <w:r>
        <w:rPr>
          <w:spacing w:val="-13"/>
        </w:rPr>
        <w:t xml:space="preserve"> </w:t>
      </w:r>
      <w:r>
        <w:t>causan</w:t>
      </w:r>
      <w:r>
        <w:rPr>
          <w:spacing w:val="-12"/>
        </w:rPr>
        <w:t xml:space="preserve"> </w:t>
      </w:r>
      <w:r>
        <w:t>intencionalmente</w:t>
      </w:r>
      <w:r>
        <w:rPr>
          <w:spacing w:val="-12"/>
        </w:rPr>
        <w:t xml:space="preserve"> </w:t>
      </w:r>
      <w:r>
        <w:t>dolor</w:t>
      </w:r>
      <w:r>
        <w:rPr>
          <w:spacing w:val="-13"/>
        </w:rPr>
        <w:t xml:space="preserve"> </w:t>
      </w:r>
      <w:r>
        <w:t>o</w:t>
      </w:r>
      <w:r>
        <w:rPr>
          <w:spacing w:val="-12"/>
        </w:rPr>
        <w:t xml:space="preserve"> </w:t>
      </w:r>
      <w:r>
        <w:t xml:space="preserve">sufrimientos graves, físicos o mentales, a una persona, con el fin </w:t>
      </w:r>
      <w:r>
        <w:lastRenderedPageBreak/>
        <w:t>de obtener de ella o de un tercero información o confesión, castigarla por un acto cometido o intimidar o coaccionar a esa o a otras</w:t>
      </w:r>
      <w:r>
        <w:rPr>
          <w:spacing w:val="-7"/>
        </w:rPr>
        <w:t xml:space="preserve"> </w:t>
      </w:r>
      <w:r>
        <w:t>personas,</w:t>
      </w:r>
      <w:r>
        <w:rPr>
          <w:spacing w:val="-7"/>
        </w:rPr>
        <w:t xml:space="preserve"> </w:t>
      </w:r>
      <w:r>
        <w:t>o</w:t>
      </w:r>
      <w:r>
        <w:rPr>
          <w:spacing w:val="-7"/>
        </w:rPr>
        <w:t xml:space="preserve"> </w:t>
      </w:r>
      <w:r>
        <w:t>por</w:t>
      </w:r>
      <w:r>
        <w:rPr>
          <w:spacing w:val="-7"/>
        </w:rPr>
        <w:t xml:space="preserve"> </w:t>
      </w:r>
      <w:r>
        <w:t>cualquier</w:t>
      </w:r>
      <w:r>
        <w:rPr>
          <w:spacing w:val="-7"/>
        </w:rPr>
        <w:t xml:space="preserve"> </w:t>
      </w:r>
      <w:r>
        <w:t>razón</w:t>
      </w:r>
      <w:r>
        <w:rPr>
          <w:spacing w:val="-8"/>
        </w:rPr>
        <w:t xml:space="preserve"> </w:t>
      </w:r>
      <w:r>
        <w:t>basada</w:t>
      </w:r>
      <w:r>
        <w:rPr>
          <w:spacing w:val="-7"/>
        </w:rPr>
        <w:t xml:space="preserve"> </w:t>
      </w:r>
      <w:r>
        <w:t>en</w:t>
      </w:r>
      <w:r>
        <w:rPr>
          <w:spacing w:val="-7"/>
        </w:rPr>
        <w:t xml:space="preserve"> </w:t>
      </w:r>
      <w:r>
        <w:t>cualquier</w:t>
      </w:r>
      <w:r>
        <w:rPr>
          <w:spacing w:val="-7"/>
        </w:rPr>
        <w:t xml:space="preserve"> </w:t>
      </w:r>
      <w:r>
        <w:t>tipo</w:t>
      </w:r>
      <w:r>
        <w:rPr>
          <w:spacing w:val="-8"/>
        </w:rPr>
        <w:t xml:space="preserve"> </w:t>
      </w:r>
      <w:r>
        <w:t>de</w:t>
      </w:r>
      <w:r>
        <w:rPr>
          <w:spacing w:val="-7"/>
        </w:rPr>
        <w:t xml:space="preserve"> </w:t>
      </w:r>
      <w:r>
        <w:t>discriminación</w:t>
      </w:r>
      <w:r>
        <w:rPr>
          <w:spacing w:val="-7"/>
        </w:rPr>
        <w:t xml:space="preserve"> </w:t>
      </w:r>
      <w:r>
        <w:t>o</w:t>
      </w:r>
      <w:r>
        <w:rPr>
          <w:spacing w:val="-7"/>
        </w:rPr>
        <w:t xml:space="preserve"> </w:t>
      </w:r>
      <w:r>
        <w:t>con</w:t>
      </w:r>
      <w:r>
        <w:rPr>
          <w:spacing w:val="-7"/>
        </w:rPr>
        <w:t xml:space="preserve"> </w:t>
      </w:r>
      <w:r>
        <w:t>un</w:t>
      </w:r>
      <w:r>
        <w:rPr>
          <w:spacing w:val="-7"/>
        </w:rPr>
        <w:t xml:space="preserve"> </w:t>
      </w:r>
      <w:r>
        <w:t>fin ilegítimo</w:t>
      </w:r>
      <w:r>
        <w:rPr>
          <w:spacing w:val="-1"/>
        </w:rPr>
        <w:t xml:space="preserve"> </w:t>
      </w:r>
      <w:r>
        <w:t>por</w:t>
      </w:r>
      <w:r>
        <w:rPr>
          <w:spacing w:val="-1"/>
        </w:rPr>
        <w:t xml:space="preserve"> </w:t>
      </w:r>
      <w:r>
        <w:t>actores</w:t>
      </w:r>
      <w:r>
        <w:rPr>
          <w:spacing w:val="-2"/>
        </w:rPr>
        <w:t xml:space="preserve"> </w:t>
      </w:r>
      <w:r>
        <w:t>armados</w:t>
      </w:r>
      <w:r>
        <w:rPr>
          <w:spacing w:val="-1"/>
        </w:rPr>
        <w:t xml:space="preserve"> </w:t>
      </w:r>
      <w:r>
        <w:t>durante</w:t>
      </w:r>
      <w:r>
        <w:rPr>
          <w:spacing w:val="-1"/>
        </w:rPr>
        <w:t xml:space="preserve"> </w:t>
      </w:r>
      <w:r>
        <w:t>en</w:t>
      </w:r>
      <w:r>
        <w:rPr>
          <w:spacing w:val="-2"/>
        </w:rPr>
        <w:t xml:space="preserve"> </w:t>
      </w:r>
      <w:r>
        <w:t>el</w:t>
      </w:r>
      <w:r>
        <w:rPr>
          <w:spacing w:val="-1"/>
        </w:rPr>
        <w:t xml:space="preserve"> </w:t>
      </w:r>
      <w:r>
        <w:t>conflicto.</w:t>
      </w:r>
      <w:r>
        <w:rPr>
          <w:spacing w:val="-1"/>
        </w:rPr>
        <w:t xml:space="preserve"> </w:t>
      </w:r>
      <w:r>
        <w:t>La</w:t>
      </w:r>
      <w:r>
        <w:rPr>
          <w:spacing w:val="-2"/>
        </w:rPr>
        <w:t xml:space="preserve"> </w:t>
      </w:r>
      <w:r>
        <w:t>tortura</w:t>
      </w:r>
      <w:r>
        <w:rPr>
          <w:spacing w:val="-1"/>
        </w:rPr>
        <w:t xml:space="preserve"> </w:t>
      </w:r>
      <w:r>
        <w:t>utiliza</w:t>
      </w:r>
      <w:r>
        <w:rPr>
          <w:spacing w:val="-2"/>
        </w:rPr>
        <w:t xml:space="preserve"> </w:t>
      </w:r>
      <w:r>
        <w:t>métodos</w:t>
      </w:r>
      <w:r>
        <w:rPr>
          <w:spacing w:val="-2"/>
        </w:rPr>
        <w:t xml:space="preserve"> </w:t>
      </w:r>
      <w:r>
        <w:t>para</w:t>
      </w:r>
      <w:r>
        <w:rPr>
          <w:spacing w:val="-1"/>
        </w:rPr>
        <w:t xml:space="preserve"> </w:t>
      </w:r>
      <w:r>
        <w:t>anular la</w:t>
      </w:r>
      <w:r>
        <w:rPr>
          <w:spacing w:val="-5"/>
        </w:rPr>
        <w:t xml:space="preserve"> </w:t>
      </w:r>
      <w:r>
        <w:t>personalidad</w:t>
      </w:r>
      <w:r>
        <w:rPr>
          <w:spacing w:val="-5"/>
        </w:rPr>
        <w:t xml:space="preserve"> </w:t>
      </w:r>
      <w:r>
        <w:t>de</w:t>
      </w:r>
      <w:r>
        <w:rPr>
          <w:spacing w:val="-5"/>
        </w:rPr>
        <w:t xml:space="preserve"> </w:t>
      </w:r>
      <w:r>
        <w:t>la</w:t>
      </w:r>
      <w:r>
        <w:rPr>
          <w:spacing w:val="-5"/>
        </w:rPr>
        <w:t xml:space="preserve"> </w:t>
      </w:r>
      <w:r>
        <w:t>víctima</w:t>
      </w:r>
      <w:r>
        <w:rPr>
          <w:spacing w:val="-5"/>
        </w:rPr>
        <w:t xml:space="preserve"> </w:t>
      </w:r>
      <w:r>
        <w:t>o</w:t>
      </w:r>
      <w:r>
        <w:rPr>
          <w:spacing w:val="-5"/>
        </w:rPr>
        <w:t xml:space="preserve"> </w:t>
      </w:r>
      <w:r>
        <w:t>producir</w:t>
      </w:r>
      <w:r>
        <w:rPr>
          <w:spacing w:val="-4"/>
        </w:rPr>
        <w:t xml:space="preserve"> </w:t>
      </w:r>
      <w:r>
        <w:t>un</w:t>
      </w:r>
      <w:r>
        <w:rPr>
          <w:spacing w:val="-5"/>
        </w:rPr>
        <w:t xml:space="preserve"> </w:t>
      </w:r>
      <w:r>
        <w:t>quiebre</w:t>
      </w:r>
      <w:r>
        <w:rPr>
          <w:spacing w:val="-5"/>
        </w:rPr>
        <w:t xml:space="preserve"> </w:t>
      </w:r>
      <w:r>
        <w:t>en</w:t>
      </w:r>
      <w:r>
        <w:rPr>
          <w:spacing w:val="-5"/>
        </w:rPr>
        <w:t xml:space="preserve"> </w:t>
      </w:r>
      <w:r>
        <w:t>su</w:t>
      </w:r>
      <w:r>
        <w:rPr>
          <w:spacing w:val="-5"/>
        </w:rPr>
        <w:t xml:space="preserve"> </w:t>
      </w:r>
      <w:r>
        <w:t>identidad,</w:t>
      </w:r>
      <w:r>
        <w:rPr>
          <w:spacing w:val="-5"/>
        </w:rPr>
        <w:t xml:space="preserve"> </w:t>
      </w:r>
      <w:r>
        <w:t>constituyendo</w:t>
      </w:r>
      <w:r>
        <w:rPr>
          <w:spacing w:val="-5"/>
        </w:rPr>
        <w:t xml:space="preserve"> </w:t>
      </w:r>
      <w:r>
        <w:t>una</w:t>
      </w:r>
      <w:r>
        <w:rPr>
          <w:spacing w:val="-5"/>
        </w:rPr>
        <w:t xml:space="preserve"> </w:t>
      </w:r>
      <w:r>
        <w:t>grave violación</w:t>
      </w:r>
      <w:r>
        <w:rPr>
          <w:spacing w:val="-4"/>
        </w:rPr>
        <w:t xml:space="preserve"> </w:t>
      </w:r>
      <w:r>
        <w:t>de</w:t>
      </w:r>
      <w:r>
        <w:rPr>
          <w:spacing w:val="-5"/>
        </w:rPr>
        <w:t xml:space="preserve"> </w:t>
      </w:r>
      <w:r>
        <w:t>los</w:t>
      </w:r>
      <w:r>
        <w:rPr>
          <w:spacing w:val="-3"/>
        </w:rPr>
        <w:t xml:space="preserve"> </w:t>
      </w:r>
      <w:r>
        <w:t>derechos</w:t>
      </w:r>
      <w:r>
        <w:rPr>
          <w:spacing w:val="-3"/>
        </w:rPr>
        <w:t xml:space="preserve"> </w:t>
      </w:r>
      <w:r>
        <w:t>humanos</w:t>
      </w:r>
      <w:r>
        <w:rPr>
          <w:spacing w:val="-3"/>
        </w:rPr>
        <w:t xml:space="preserve"> </w:t>
      </w:r>
      <w:r>
        <w:t>y</w:t>
      </w:r>
      <w:r>
        <w:rPr>
          <w:spacing w:val="-5"/>
        </w:rPr>
        <w:t xml:space="preserve"> </w:t>
      </w:r>
      <w:r>
        <w:t>un</w:t>
      </w:r>
      <w:r>
        <w:rPr>
          <w:spacing w:val="-4"/>
        </w:rPr>
        <w:t xml:space="preserve"> </w:t>
      </w:r>
      <w:r>
        <w:t>crimen</w:t>
      </w:r>
      <w:r>
        <w:rPr>
          <w:spacing w:val="-4"/>
        </w:rPr>
        <w:t xml:space="preserve"> </w:t>
      </w:r>
      <w:r>
        <w:t>bajo</w:t>
      </w:r>
      <w:r>
        <w:rPr>
          <w:spacing w:val="-4"/>
        </w:rPr>
        <w:t xml:space="preserve"> </w:t>
      </w:r>
      <w:r>
        <w:t>el</w:t>
      </w:r>
      <w:r>
        <w:rPr>
          <w:spacing w:val="-3"/>
        </w:rPr>
        <w:t xml:space="preserve"> </w:t>
      </w:r>
      <w:r>
        <w:t>derecho</w:t>
      </w:r>
      <w:r>
        <w:rPr>
          <w:spacing w:val="-4"/>
        </w:rPr>
        <w:t xml:space="preserve"> </w:t>
      </w:r>
      <w:r>
        <w:t>penal</w:t>
      </w:r>
      <w:r>
        <w:rPr>
          <w:spacing w:val="-3"/>
        </w:rPr>
        <w:t xml:space="preserve"> </w:t>
      </w:r>
      <w:r>
        <w:t>internacional.</w:t>
      </w:r>
      <w:r>
        <w:rPr>
          <w:spacing w:val="-4"/>
        </w:rPr>
        <w:t xml:space="preserve"> </w:t>
      </w:r>
      <w:r>
        <w:t>Cuando se comete de forma sistemática o a gran escala, constituye un crimen de lesa humanidad, o un crimen de guerra cuando la practican los grupos armados.</w:t>
      </w:r>
    </w:p>
    <w:p w:rsidR="003804AC" w:rsidRDefault="00AF18A5" w:rsidP="00051224">
      <w:r>
        <w:t>La tortura se ha dado en Colombia principalmente en cuatro tipos de situaciones: 1) en detenciones</w:t>
      </w:r>
      <w:r>
        <w:rPr>
          <w:spacing w:val="8"/>
        </w:rPr>
        <w:t xml:space="preserve"> </w:t>
      </w:r>
      <w:r>
        <w:t>llevadas</w:t>
      </w:r>
      <w:r>
        <w:rPr>
          <w:spacing w:val="10"/>
        </w:rPr>
        <w:t xml:space="preserve"> </w:t>
      </w:r>
      <w:r>
        <w:t>a</w:t>
      </w:r>
      <w:r>
        <w:rPr>
          <w:spacing w:val="11"/>
        </w:rPr>
        <w:t xml:space="preserve"> </w:t>
      </w:r>
      <w:r>
        <w:t>cabo</w:t>
      </w:r>
      <w:r>
        <w:rPr>
          <w:spacing w:val="9"/>
        </w:rPr>
        <w:t xml:space="preserve"> </w:t>
      </w:r>
      <w:r>
        <w:t>por</w:t>
      </w:r>
      <w:r>
        <w:rPr>
          <w:spacing w:val="11"/>
        </w:rPr>
        <w:t xml:space="preserve"> </w:t>
      </w:r>
      <w:r>
        <w:t>policías</w:t>
      </w:r>
      <w:r>
        <w:rPr>
          <w:spacing w:val="10"/>
        </w:rPr>
        <w:t xml:space="preserve"> </w:t>
      </w:r>
      <w:r>
        <w:t>y</w:t>
      </w:r>
      <w:r>
        <w:rPr>
          <w:spacing w:val="10"/>
        </w:rPr>
        <w:t xml:space="preserve"> </w:t>
      </w:r>
      <w:r>
        <w:t>militares,</w:t>
      </w:r>
      <w:r>
        <w:rPr>
          <w:spacing w:val="9"/>
        </w:rPr>
        <w:t xml:space="preserve"> </w:t>
      </w:r>
      <w:r>
        <w:t>muchas</w:t>
      </w:r>
      <w:r>
        <w:rPr>
          <w:spacing w:val="9"/>
        </w:rPr>
        <w:t xml:space="preserve"> </w:t>
      </w:r>
      <w:r>
        <w:t>veces</w:t>
      </w:r>
      <w:r>
        <w:rPr>
          <w:spacing w:val="10"/>
        </w:rPr>
        <w:t xml:space="preserve"> </w:t>
      </w:r>
      <w:r>
        <w:t>en</w:t>
      </w:r>
      <w:r>
        <w:rPr>
          <w:spacing w:val="10"/>
        </w:rPr>
        <w:t xml:space="preserve"> </w:t>
      </w:r>
      <w:r>
        <w:t>contextos</w:t>
      </w:r>
      <w:r>
        <w:rPr>
          <w:spacing w:val="9"/>
        </w:rPr>
        <w:t xml:space="preserve"> </w:t>
      </w:r>
      <w:r>
        <w:t>de</w:t>
      </w:r>
      <w:r>
        <w:rPr>
          <w:spacing w:val="11"/>
        </w:rPr>
        <w:t xml:space="preserve"> </w:t>
      </w:r>
      <w:r>
        <w:rPr>
          <w:spacing w:val="-2"/>
        </w:rPr>
        <w:t>estados</w:t>
      </w:r>
      <w:bookmarkStart w:id="252" w:name="_bookmark178"/>
      <w:bookmarkEnd w:id="252"/>
      <w:r w:rsidR="00051224">
        <w:t xml:space="preserve"> </w:t>
      </w:r>
      <w:r>
        <w:t>de excepción que permitieron mantener al detenido durante días sin ninguna supervisión, y en instalaciones incluso con medios preparados para ello. 2) en masacres y ataques a comunidades o ejecuciones ejemplarizantes, donde los hechos se dieron ante la comunidad como atrocidades como crueldades o mutilaciones, la mayor parte de las veces llevadas a cabo por grupos paramilitares, 3) en las ejecuciones extrajudiciales y asesinatos, cuyos cuerpos aparecieron con señales de tortura por parte de diferentes autores, y 4) durante secuestros</w:t>
      </w:r>
      <w:r>
        <w:rPr>
          <w:spacing w:val="-15"/>
        </w:rPr>
        <w:t xml:space="preserve"> </w:t>
      </w:r>
      <w:r>
        <w:t>realizados</w:t>
      </w:r>
      <w:r>
        <w:rPr>
          <w:spacing w:val="-14"/>
        </w:rPr>
        <w:t xml:space="preserve"> </w:t>
      </w:r>
      <w:r>
        <w:t>por</w:t>
      </w:r>
      <w:r>
        <w:rPr>
          <w:spacing w:val="-15"/>
        </w:rPr>
        <w:t xml:space="preserve"> </w:t>
      </w:r>
      <w:r>
        <w:t>las</w:t>
      </w:r>
      <w:r>
        <w:rPr>
          <w:spacing w:val="-14"/>
        </w:rPr>
        <w:t xml:space="preserve"> </w:t>
      </w:r>
      <w:r>
        <w:t>FARC-EP</w:t>
      </w:r>
      <w:r>
        <w:rPr>
          <w:spacing w:val="-15"/>
        </w:rPr>
        <w:t xml:space="preserve"> </w:t>
      </w:r>
      <w:r>
        <w:t>donde</w:t>
      </w:r>
      <w:r>
        <w:rPr>
          <w:spacing w:val="-14"/>
        </w:rPr>
        <w:t xml:space="preserve"> </w:t>
      </w:r>
      <w:r>
        <w:t>sometieron</w:t>
      </w:r>
      <w:r>
        <w:rPr>
          <w:spacing w:val="-14"/>
        </w:rPr>
        <w:t xml:space="preserve"> </w:t>
      </w:r>
      <w:r>
        <w:t>a</w:t>
      </w:r>
      <w:r>
        <w:rPr>
          <w:spacing w:val="-15"/>
        </w:rPr>
        <w:t xml:space="preserve"> </w:t>
      </w:r>
      <w:r>
        <w:t>los</w:t>
      </w:r>
      <w:r>
        <w:rPr>
          <w:spacing w:val="-15"/>
        </w:rPr>
        <w:t xml:space="preserve"> </w:t>
      </w:r>
      <w:r>
        <w:t>secuestrados</w:t>
      </w:r>
      <w:r>
        <w:rPr>
          <w:spacing w:val="-15"/>
        </w:rPr>
        <w:t xml:space="preserve"> </w:t>
      </w:r>
      <w:r>
        <w:t>a</w:t>
      </w:r>
      <w:r>
        <w:rPr>
          <w:spacing w:val="-14"/>
        </w:rPr>
        <w:t xml:space="preserve"> </w:t>
      </w:r>
      <w:r>
        <w:t>humillaciones, encadenamientos, amenazas y prácticas inhumanas.</w:t>
      </w:r>
    </w:p>
    <w:p w:rsidR="003804AC" w:rsidRDefault="00AF18A5" w:rsidP="00051224">
      <w:r>
        <w:t>La mayor parte de las veces se lleva a cabo en condiciones de total indefensión y ocultamiento de los hechos, en contextos donde el responsable controla toda la situación de la víctima, especialmente en capturas ya sea en lugares remotos o centros de detención o cuarteles. Los sobrevivientes son presa del miedo a la denuncia y por la</w:t>
      </w:r>
      <w:r>
        <w:rPr>
          <w:spacing w:val="-1"/>
        </w:rPr>
        <w:t xml:space="preserve"> </w:t>
      </w:r>
      <w:r>
        <w:lastRenderedPageBreak/>
        <w:t>desconfianza en las instituciones, o son cuestionados en sus testimonios señalando que tienen que «probar» la tortura,</w:t>
      </w:r>
      <w:r>
        <w:rPr>
          <w:spacing w:val="-6"/>
        </w:rPr>
        <w:t xml:space="preserve"> </w:t>
      </w:r>
      <w:r>
        <w:t>cuando</w:t>
      </w:r>
      <w:r>
        <w:rPr>
          <w:spacing w:val="-6"/>
        </w:rPr>
        <w:t xml:space="preserve"> </w:t>
      </w:r>
      <w:r>
        <w:t>esta</w:t>
      </w:r>
      <w:r>
        <w:rPr>
          <w:spacing w:val="-6"/>
        </w:rPr>
        <w:t xml:space="preserve"> </w:t>
      </w:r>
      <w:r>
        <w:t>se</w:t>
      </w:r>
      <w:r>
        <w:rPr>
          <w:spacing w:val="-6"/>
        </w:rPr>
        <w:t xml:space="preserve"> </w:t>
      </w:r>
      <w:r>
        <w:t>ha</w:t>
      </w:r>
      <w:r>
        <w:rPr>
          <w:spacing w:val="-7"/>
        </w:rPr>
        <w:t xml:space="preserve"> </w:t>
      </w:r>
      <w:r>
        <w:t>realizado</w:t>
      </w:r>
      <w:r>
        <w:rPr>
          <w:spacing w:val="-6"/>
        </w:rPr>
        <w:t xml:space="preserve"> </w:t>
      </w:r>
      <w:r>
        <w:t>en</w:t>
      </w:r>
      <w:r>
        <w:rPr>
          <w:spacing w:val="-7"/>
        </w:rPr>
        <w:t xml:space="preserve"> </w:t>
      </w:r>
      <w:r>
        <w:t>condiciones</w:t>
      </w:r>
      <w:r>
        <w:rPr>
          <w:spacing w:val="-7"/>
        </w:rPr>
        <w:t xml:space="preserve"> </w:t>
      </w:r>
      <w:r>
        <w:t>de</w:t>
      </w:r>
      <w:r>
        <w:rPr>
          <w:spacing w:val="-6"/>
        </w:rPr>
        <w:t xml:space="preserve"> </w:t>
      </w:r>
      <w:r>
        <w:t>total</w:t>
      </w:r>
      <w:r>
        <w:rPr>
          <w:spacing w:val="-6"/>
        </w:rPr>
        <w:t xml:space="preserve"> </w:t>
      </w:r>
      <w:r>
        <w:t>indefensión</w:t>
      </w:r>
      <w:r>
        <w:rPr>
          <w:spacing w:val="-6"/>
        </w:rPr>
        <w:t xml:space="preserve"> </w:t>
      </w:r>
      <w:r>
        <w:t>y</w:t>
      </w:r>
      <w:r>
        <w:rPr>
          <w:spacing w:val="-6"/>
        </w:rPr>
        <w:t xml:space="preserve"> </w:t>
      </w:r>
      <w:r>
        <w:t>quienes</w:t>
      </w:r>
      <w:r>
        <w:rPr>
          <w:spacing w:val="-6"/>
        </w:rPr>
        <w:t xml:space="preserve"> </w:t>
      </w:r>
      <w:r>
        <w:t>la</w:t>
      </w:r>
      <w:r>
        <w:rPr>
          <w:spacing w:val="-6"/>
        </w:rPr>
        <w:t xml:space="preserve"> </w:t>
      </w:r>
      <w:r>
        <w:t xml:space="preserve">ejecutan muchas veces utilizan formas sofisticadas para no dejar huellas. En ocasiones, el asesinato de las víctimas o la dificultad para probar los hechos ocultan la verdadera magnitud de la </w:t>
      </w:r>
      <w:r>
        <w:rPr>
          <w:spacing w:val="-2"/>
        </w:rPr>
        <w:t>violación.</w:t>
      </w:r>
    </w:p>
    <w:p w:rsidR="003804AC" w:rsidRDefault="00AF18A5" w:rsidP="00051224">
      <w:r>
        <w:t>La gráfica siguiente compara las tendencias temporales de los 2.589 hechos de tortura documentados en el proceso de escucha de la Comisión, con la de los 7.571 registros del RUV, y muestra que coinciden en los principales periodos con un aumento exponencial a partir de 1995 y dos picos en 2000 y 2002</w:t>
      </w:r>
      <w:r w:rsidR="00051224">
        <w:rPr>
          <w:rStyle w:val="Refdenotaalpie"/>
        </w:rPr>
        <w:footnoteReference w:id="154"/>
      </w:r>
      <w:r>
        <w:t>. La Comisión, a diferencia del RUV que tiene datos solamente a partir de 1985, pudo documentar también el uso de la tortura de parte de miembros de la fuerza pública en el periodo del Estatuto de Seguridad, entre 1978 y 1982.</w:t>
      </w:r>
    </w:p>
    <w:p w:rsidR="00051224" w:rsidRDefault="00051224" w:rsidP="00051224">
      <w:pPr>
        <w:pStyle w:val="Descripcin"/>
        <w:keepNext/>
      </w:pPr>
      <w:bookmarkStart w:id="253" w:name="_bookmark179"/>
      <w:bookmarkEnd w:id="253"/>
      <w:r>
        <w:lastRenderedPageBreak/>
        <w:t xml:space="preserve">Gráfica </w:t>
      </w:r>
      <w:r w:rsidR="005F4072">
        <w:fldChar w:fldCharType="begin"/>
      </w:r>
      <w:r w:rsidR="005F4072">
        <w:instrText xml:space="preserve"> SEQ Gráfica \* ARABIC </w:instrText>
      </w:r>
      <w:r w:rsidR="005F4072">
        <w:fldChar w:fldCharType="separate"/>
      </w:r>
      <w:r w:rsidR="005F4072">
        <w:rPr>
          <w:noProof/>
        </w:rPr>
        <w:t>7</w:t>
      </w:r>
      <w:r w:rsidR="005F4072">
        <w:fldChar w:fldCharType="end"/>
      </w:r>
      <w:r w:rsidRPr="00D67549">
        <w:t>. Proporción de víctimas de tortura por año, según datos de la Comisión y del RUV (1970-2019)</w:t>
      </w:r>
    </w:p>
    <w:p w:rsidR="0011361F" w:rsidRDefault="00AF18A5" w:rsidP="00051224">
      <w:r w:rsidRPr="00051224">
        <w:rPr>
          <w:noProof/>
        </w:rPr>
        <w:drawing>
          <wp:inline distT="0" distB="0" distL="0" distR="0">
            <wp:extent cx="5608641" cy="2667000"/>
            <wp:effectExtent l="0" t="0" r="0" b="0"/>
            <wp:docPr id="15" name="image8.jpeg"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5" cstate="print"/>
                    <a:stretch>
                      <a:fillRect/>
                    </a:stretch>
                  </pic:blipFill>
                  <pic:spPr>
                    <a:xfrm>
                      <a:off x="0" y="0"/>
                      <a:ext cx="5608641" cy="2667000"/>
                    </a:xfrm>
                    <a:prstGeom prst="rect">
                      <a:avLst/>
                    </a:prstGeom>
                  </pic:spPr>
                </pic:pic>
              </a:graphicData>
            </a:graphic>
          </wp:inline>
        </w:drawing>
      </w:r>
    </w:p>
    <w:p w:rsidR="003804AC" w:rsidRDefault="00AF18A5" w:rsidP="00051224">
      <w:r>
        <w:rPr>
          <w:i/>
        </w:rPr>
        <w:t>Fuente</w:t>
      </w:r>
      <w:r>
        <w:t>: Elaboración propia a partir de los datos del RUV y de las entrevistas realizadas por la Comisión de la Verdad.</w:t>
      </w:r>
    </w:p>
    <w:p w:rsidR="003804AC" w:rsidRDefault="00AF18A5" w:rsidP="00051224">
      <w:r>
        <w:t>La Comisión identificó, a partir de testimonios, tres periodos críticos: 1) de 1978 a 1982,</w:t>
      </w:r>
      <w:r>
        <w:rPr>
          <w:spacing w:val="-4"/>
        </w:rPr>
        <w:t xml:space="preserve"> </w:t>
      </w:r>
      <w:r>
        <w:t>cuando</w:t>
      </w:r>
      <w:r>
        <w:rPr>
          <w:spacing w:val="-4"/>
        </w:rPr>
        <w:t xml:space="preserve"> </w:t>
      </w:r>
      <w:r>
        <w:t>estuvo</w:t>
      </w:r>
      <w:r>
        <w:rPr>
          <w:spacing w:val="-4"/>
        </w:rPr>
        <w:t xml:space="preserve"> </w:t>
      </w:r>
      <w:r>
        <w:t>vigente</w:t>
      </w:r>
      <w:r>
        <w:rPr>
          <w:spacing w:val="-4"/>
        </w:rPr>
        <w:t xml:space="preserve"> </w:t>
      </w:r>
      <w:r>
        <w:t>el</w:t>
      </w:r>
      <w:r>
        <w:rPr>
          <w:spacing w:val="-3"/>
        </w:rPr>
        <w:t xml:space="preserve"> </w:t>
      </w:r>
      <w:r>
        <w:t>Estatuto</w:t>
      </w:r>
      <w:r>
        <w:rPr>
          <w:spacing w:val="-4"/>
        </w:rPr>
        <w:t xml:space="preserve"> </w:t>
      </w:r>
      <w:r>
        <w:t>de</w:t>
      </w:r>
      <w:r>
        <w:rPr>
          <w:spacing w:val="-4"/>
        </w:rPr>
        <w:t xml:space="preserve"> </w:t>
      </w:r>
      <w:r>
        <w:t>Seguridad</w:t>
      </w:r>
      <w:r w:rsidR="00396F2B">
        <w:rPr>
          <w:rStyle w:val="Refdenotaalpie"/>
        </w:rPr>
        <w:footnoteReference w:id="155"/>
      </w:r>
      <w:r>
        <w:t>;</w:t>
      </w:r>
      <w:r>
        <w:rPr>
          <w:spacing w:val="-3"/>
        </w:rPr>
        <w:t xml:space="preserve"> </w:t>
      </w:r>
      <w:r>
        <w:t>2)</w:t>
      </w:r>
      <w:r>
        <w:rPr>
          <w:spacing w:val="-3"/>
        </w:rPr>
        <w:t xml:space="preserve"> </w:t>
      </w:r>
      <w:r>
        <w:t>de</w:t>
      </w:r>
      <w:r>
        <w:rPr>
          <w:spacing w:val="-4"/>
        </w:rPr>
        <w:t xml:space="preserve"> </w:t>
      </w:r>
      <w:r>
        <w:t>1985</w:t>
      </w:r>
      <w:r>
        <w:rPr>
          <w:spacing w:val="-4"/>
        </w:rPr>
        <w:t xml:space="preserve"> </w:t>
      </w:r>
      <w:r>
        <w:t>a</w:t>
      </w:r>
      <w:r>
        <w:rPr>
          <w:spacing w:val="-4"/>
        </w:rPr>
        <w:t xml:space="preserve"> </w:t>
      </w:r>
      <w:r>
        <w:t>1989,</w:t>
      </w:r>
      <w:r>
        <w:rPr>
          <w:spacing w:val="-4"/>
        </w:rPr>
        <w:t xml:space="preserve"> </w:t>
      </w:r>
      <w:r>
        <w:t>en</w:t>
      </w:r>
      <w:r>
        <w:rPr>
          <w:spacing w:val="-4"/>
        </w:rPr>
        <w:t xml:space="preserve"> </w:t>
      </w:r>
      <w:r>
        <w:t>medio</w:t>
      </w:r>
      <w:r>
        <w:rPr>
          <w:spacing w:val="-4"/>
        </w:rPr>
        <w:t xml:space="preserve"> </w:t>
      </w:r>
      <w:r>
        <w:t>de</w:t>
      </w:r>
      <w:r>
        <w:rPr>
          <w:spacing w:val="-5"/>
        </w:rPr>
        <w:t xml:space="preserve"> </w:t>
      </w:r>
      <w:r>
        <w:t>las rupturas de los diálogos y procesos de paz, el escalamiento de la confrontación militar y el auge de la llamada «guerra sucia», especialmente contra la UP y otros grupos y 3) desde mediados de la década de 1990 hasta 2005, con el proceso de expansión y consolidación territorial</w:t>
      </w:r>
      <w:r>
        <w:rPr>
          <w:spacing w:val="-9"/>
        </w:rPr>
        <w:t xml:space="preserve"> </w:t>
      </w:r>
      <w:r>
        <w:t>de</w:t>
      </w:r>
      <w:r>
        <w:rPr>
          <w:spacing w:val="-7"/>
        </w:rPr>
        <w:t xml:space="preserve"> </w:t>
      </w:r>
      <w:r>
        <w:t>los</w:t>
      </w:r>
      <w:r>
        <w:rPr>
          <w:spacing w:val="-7"/>
        </w:rPr>
        <w:t xml:space="preserve"> </w:t>
      </w:r>
      <w:r>
        <w:t>grupos</w:t>
      </w:r>
      <w:r>
        <w:rPr>
          <w:spacing w:val="-6"/>
        </w:rPr>
        <w:t xml:space="preserve"> </w:t>
      </w:r>
      <w:r>
        <w:t>paramilitares</w:t>
      </w:r>
      <w:r>
        <w:rPr>
          <w:spacing w:val="-8"/>
        </w:rPr>
        <w:t xml:space="preserve"> </w:t>
      </w:r>
      <w:r>
        <w:t>en</w:t>
      </w:r>
      <w:r>
        <w:rPr>
          <w:spacing w:val="-6"/>
        </w:rPr>
        <w:t xml:space="preserve"> </w:t>
      </w:r>
      <w:r>
        <w:t>varias</w:t>
      </w:r>
      <w:r>
        <w:rPr>
          <w:spacing w:val="-7"/>
        </w:rPr>
        <w:t xml:space="preserve"> </w:t>
      </w:r>
      <w:r>
        <w:t>regiones</w:t>
      </w:r>
      <w:r>
        <w:rPr>
          <w:spacing w:val="-7"/>
        </w:rPr>
        <w:t xml:space="preserve"> </w:t>
      </w:r>
      <w:r>
        <w:t>del</w:t>
      </w:r>
      <w:r>
        <w:rPr>
          <w:spacing w:val="-6"/>
        </w:rPr>
        <w:t xml:space="preserve"> </w:t>
      </w:r>
      <w:r>
        <w:t>país</w:t>
      </w:r>
      <w:r>
        <w:rPr>
          <w:spacing w:val="-7"/>
        </w:rPr>
        <w:t xml:space="preserve"> </w:t>
      </w:r>
      <w:r>
        <w:t>y</w:t>
      </w:r>
      <w:r>
        <w:rPr>
          <w:spacing w:val="-6"/>
        </w:rPr>
        <w:t xml:space="preserve"> </w:t>
      </w:r>
      <w:r>
        <w:t>la</w:t>
      </w:r>
      <w:r>
        <w:rPr>
          <w:spacing w:val="-8"/>
        </w:rPr>
        <w:t xml:space="preserve"> </w:t>
      </w:r>
      <w:r>
        <w:t>extensión</w:t>
      </w:r>
      <w:r>
        <w:rPr>
          <w:spacing w:val="-6"/>
        </w:rPr>
        <w:t xml:space="preserve"> </w:t>
      </w:r>
      <w:r>
        <w:t>del</w:t>
      </w:r>
      <w:r>
        <w:rPr>
          <w:spacing w:val="-7"/>
        </w:rPr>
        <w:t xml:space="preserve"> </w:t>
      </w:r>
      <w:r>
        <w:rPr>
          <w:spacing w:val="-2"/>
        </w:rPr>
        <w:t>secuestro.</w:t>
      </w:r>
    </w:p>
    <w:p w:rsidR="003804AC" w:rsidRDefault="00AF18A5" w:rsidP="00873F09">
      <w:r>
        <w:t xml:space="preserve">Dado el subregistro en las fuentes oficiales, sobre todo en hechos cuyo responsable es la fuerza pública, la Comisión revisó las fuentes disponibles y elaboró una base de datos de víctimas de tortura entre </w:t>
      </w:r>
      <w:r>
        <w:lastRenderedPageBreak/>
        <w:t>1978 y 1982</w:t>
      </w:r>
      <w:r w:rsidR="00396F2B">
        <w:rPr>
          <w:rStyle w:val="Refdenotaalpie"/>
        </w:rPr>
        <w:footnoteReference w:id="156"/>
      </w:r>
      <w:r>
        <w:t>. Allí se registraron 1.340 casos de tortura, correspondientes a 1.322 víctimas. De acuerdo con esa base de datos, con la expedición del Estatuto</w:t>
      </w:r>
      <w:r>
        <w:rPr>
          <w:spacing w:val="1"/>
        </w:rPr>
        <w:t xml:space="preserve"> </w:t>
      </w:r>
      <w:r>
        <w:t>de</w:t>
      </w:r>
      <w:r>
        <w:rPr>
          <w:spacing w:val="4"/>
        </w:rPr>
        <w:t xml:space="preserve"> </w:t>
      </w:r>
      <w:r>
        <w:t>Seguridad</w:t>
      </w:r>
      <w:r>
        <w:rPr>
          <w:spacing w:val="3"/>
        </w:rPr>
        <w:t xml:space="preserve"> </w:t>
      </w:r>
      <w:r>
        <w:t>y</w:t>
      </w:r>
      <w:r>
        <w:rPr>
          <w:spacing w:val="3"/>
        </w:rPr>
        <w:t xml:space="preserve"> </w:t>
      </w:r>
      <w:r>
        <w:t>durante</w:t>
      </w:r>
      <w:r>
        <w:rPr>
          <w:spacing w:val="4"/>
        </w:rPr>
        <w:t xml:space="preserve"> </w:t>
      </w:r>
      <w:r>
        <w:t>su</w:t>
      </w:r>
      <w:r>
        <w:rPr>
          <w:spacing w:val="3"/>
        </w:rPr>
        <w:t xml:space="preserve"> </w:t>
      </w:r>
      <w:r>
        <w:t>vigencia,</w:t>
      </w:r>
      <w:r>
        <w:rPr>
          <w:spacing w:val="3"/>
        </w:rPr>
        <w:t xml:space="preserve"> </w:t>
      </w:r>
      <w:r>
        <w:t>la</w:t>
      </w:r>
      <w:r>
        <w:rPr>
          <w:spacing w:val="4"/>
        </w:rPr>
        <w:t xml:space="preserve"> </w:t>
      </w:r>
      <w:r>
        <w:t>tortura</w:t>
      </w:r>
      <w:r>
        <w:rPr>
          <w:spacing w:val="4"/>
        </w:rPr>
        <w:t xml:space="preserve"> </w:t>
      </w:r>
      <w:r>
        <w:t>perpetrada</w:t>
      </w:r>
      <w:r>
        <w:rPr>
          <w:spacing w:val="4"/>
        </w:rPr>
        <w:t xml:space="preserve"> </w:t>
      </w:r>
      <w:r>
        <w:t>por</w:t>
      </w:r>
      <w:r>
        <w:rPr>
          <w:spacing w:val="4"/>
        </w:rPr>
        <w:t xml:space="preserve"> </w:t>
      </w:r>
      <w:r>
        <w:t>agentes</w:t>
      </w:r>
      <w:r>
        <w:rPr>
          <w:spacing w:val="4"/>
        </w:rPr>
        <w:t xml:space="preserve"> </w:t>
      </w:r>
      <w:r>
        <w:t>del</w:t>
      </w:r>
      <w:r>
        <w:rPr>
          <w:spacing w:val="4"/>
        </w:rPr>
        <w:t xml:space="preserve"> </w:t>
      </w:r>
      <w:r>
        <w:t>Estado</w:t>
      </w:r>
      <w:r>
        <w:rPr>
          <w:spacing w:val="3"/>
        </w:rPr>
        <w:t xml:space="preserve"> </w:t>
      </w:r>
      <w:r>
        <w:rPr>
          <w:spacing w:val="-5"/>
        </w:rPr>
        <w:t>se</w:t>
      </w:r>
      <w:bookmarkStart w:id="254" w:name="_bookmark180"/>
      <w:bookmarkStart w:id="255" w:name="_bookmark181"/>
      <w:bookmarkEnd w:id="254"/>
      <w:bookmarkEnd w:id="255"/>
      <w:r w:rsidR="00873F09">
        <w:rPr>
          <w:spacing w:val="-5"/>
        </w:rPr>
        <w:t xml:space="preserve"> </w:t>
      </w:r>
      <w:r>
        <w:t>agudizó</w:t>
      </w:r>
      <w:r w:rsidR="00396F2B">
        <w:rPr>
          <w:rStyle w:val="Refdenotaalpie"/>
        </w:rPr>
        <w:footnoteReference w:id="157"/>
      </w:r>
      <w:r>
        <w:t>. Los informes de Amnistía Internacional o el de la primera visita de la CIDH a Colombia, dieron cuenta de una práctica sistemática de torturas a detenidos. La práctica de la</w:t>
      </w:r>
      <w:r>
        <w:rPr>
          <w:spacing w:val="-6"/>
        </w:rPr>
        <w:t xml:space="preserve"> </w:t>
      </w:r>
      <w:r>
        <w:t>tortura</w:t>
      </w:r>
      <w:r>
        <w:rPr>
          <w:spacing w:val="-6"/>
        </w:rPr>
        <w:t xml:space="preserve"> </w:t>
      </w:r>
      <w:r>
        <w:t>durante</w:t>
      </w:r>
      <w:r>
        <w:rPr>
          <w:spacing w:val="-7"/>
        </w:rPr>
        <w:t xml:space="preserve"> </w:t>
      </w:r>
      <w:r>
        <w:t>esos</w:t>
      </w:r>
      <w:r>
        <w:rPr>
          <w:spacing w:val="-7"/>
        </w:rPr>
        <w:t xml:space="preserve"> </w:t>
      </w:r>
      <w:r>
        <w:t>años,</w:t>
      </w:r>
      <w:r>
        <w:rPr>
          <w:spacing w:val="-6"/>
        </w:rPr>
        <w:t xml:space="preserve"> </w:t>
      </w:r>
      <w:r>
        <w:t>debido</w:t>
      </w:r>
      <w:r>
        <w:rPr>
          <w:spacing w:val="-7"/>
        </w:rPr>
        <w:t xml:space="preserve"> </w:t>
      </w:r>
      <w:r>
        <w:t>a</w:t>
      </w:r>
      <w:r>
        <w:rPr>
          <w:spacing w:val="-6"/>
        </w:rPr>
        <w:t xml:space="preserve"> </w:t>
      </w:r>
      <w:r>
        <w:t>la</w:t>
      </w:r>
      <w:r>
        <w:rPr>
          <w:spacing w:val="-7"/>
        </w:rPr>
        <w:t xml:space="preserve"> </w:t>
      </w:r>
      <w:r>
        <w:t>generalidad</w:t>
      </w:r>
      <w:r>
        <w:rPr>
          <w:spacing w:val="-6"/>
        </w:rPr>
        <w:t xml:space="preserve"> </w:t>
      </w:r>
      <w:r>
        <w:t>y</w:t>
      </w:r>
      <w:r>
        <w:rPr>
          <w:spacing w:val="-6"/>
        </w:rPr>
        <w:t xml:space="preserve"> </w:t>
      </w:r>
      <w:r>
        <w:t>sistematicidad</w:t>
      </w:r>
      <w:r>
        <w:rPr>
          <w:spacing w:val="-6"/>
        </w:rPr>
        <w:t xml:space="preserve"> </w:t>
      </w:r>
      <w:r>
        <w:t>de</w:t>
      </w:r>
      <w:r>
        <w:rPr>
          <w:spacing w:val="-6"/>
        </w:rPr>
        <w:t xml:space="preserve"> </w:t>
      </w:r>
      <w:r>
        <w:t>los</w:t>
      </w:r>
      <w:r>
        <w:rPr>
          <w:spacing w:val="-6"/>
        </w:rPr>
        <w:t xml:space="preserve"> </w:t>
      </w:r>
      <w:r>
        <w:t>casos,</w:t>
      </w:r>
      <w:r>
        <w:rPr>
          <w:spacing w:val="-7"/>
        </w:rPr>
        <w:t xml:space="preserve"> </w:t>
      </w:r>
      <w:r>
        <w:t>supone</w:t>
      </w:r>
      <w:r>
        <w:rPr>
          <w:spacing w:val="-6"/>
        </w:rPr>
        <w:t xml:space="preserve"> </w:t>
      </w:r>
      <w:r>
        <w:t>un crimen de lesa humanidad.</w:t>
      </w:r>
    </w:p>
    <w:p w:rsidR="003804AC" w:rsidRDefault="00AF18A5" w:rsidP="00873F09">
      <w:r>
        <w:t>Durante el Estatuto de Seguridad, las facultades de policía judicial otorgadas a las Fuerzas Militares, el juzgamiento de civiles por tribunales militares y las «detenciones administrativas»</w:t>
      </w:r>
      <w:r>
        <w:rPr>
          <w:spacing w:val="-1"/>
        </w:rPr>
        <w:t xml:space="preserve"> </w:t>
      </w:r>
      <w:r>
        <w:t>de</w:t>
      </w:r>
      <w:r>
        <w:rPr>
          <w:spacing w:val="-1"/>
        </w:rPr>
        <w:t xml:space="preserve"> </w:t>
      </w:r>
      <w:r>
        <w:t>potenciales</w:t>
      </w:r>
      <w:r>
        <w:rPr>
          <w:spacing w:val="-1"/>
        </w:rPr>
        <w:t xml:space="preserve"> </w:t>
      </w:r>
      <w:r>
        <w:t>opositores</w:t>
      </w:r>
      <w:r>
        <w:rPr>
          <w:spacing w:val="-1"/>
        </w:rPr>
        <w:t xml:space="preserve"> </w:t>
      </w:r>
      <w:r>
        <w:t>políticos</w:t>
      </w:r>
      <w:r>
        <w:rPr>
          <w:spacing w:val="-1"/>
        </w:rPr>
        <w:t xml:space="preserve"> </w:t>
      </w:r>
      <w:r>
        <w:t>o</w:t>
      </w:r>
      <w:r>
        <w:rPr>
          <w:spacing w:val="-1"/>
        </w:rPr>
        <w:t xml:space="preserve"> </w:t>
      </w:r>
      <w:r>
        <w:t>sociales,</w:t>
      </w:r>
      <w:r>
        <w:rPr>
          <w:spacing w:val="-1"/>
        </w:rPr>
        <w:t xml:space="preserve"> </w:t>
      </w:r>
      <w:r>
        <w:t>ordenadas</w:t>
      </w:r>
      <w:r>
        <w:rPr>
          <w:spacing w:val="-2"/>
        </w:rPr>
        <w:t xml:space="preserve"> </w:t>
      </w:r>
      <w:r>
        <w:t>en</w:t>
      </w:r>
      <w:r>
        <w:rPr>
          <w:spacing w:val="-1"/>
        </w:rPr>
        <w:t xml:space="preserve"> </w:t>
      </w:r>
      <w:r>
        <w:t>uso</w:t>
      </w:r>
      <w:r>
        <w:rPr>
          <w:spacing w:val="-1"/>
        </w:rPr>
        <w:t xml:space="preserve"> </w:t>
      </w:r>
      <w:r>
        <w:t>de</w:t>
      </w:r>
      <w:r>
        <w:rPr>
          <w:spacing w:val="-1"/>
        </w:rPr>
        <w:t xml:space="preserve"> </w:t>
      </w:r>
      <w:r>
        <w:t>poderes de excepción, fueron los principales escenarios en que se practicó la tortura. Por lo general, las torturas estuvieron precedidas por una captura ejecutada por la fuerza pública. Hubo víctimas que fueron detenidas en más de una ocasión. Los lugares de tortura registrados en las denuncias en ese periodo, son principalmente instalaciones militares. En esos años, las instalaciones militares se constituyeron en espacios donde se desplegaron las prácticas de tortura.</w:t>
      </w:r>
      <w:r>
        <w:rPr>
          <w:spacing w:val="-11"/>
        </w:rPr>
        <w:t xml:space="preserve"> </w:t>
      </w:r>
      <w:r>
        <w:t>Uno</w:t>
      </w:r>
      <w:r>
        <w:rPr>
          <w:spacing w:val="-11"/>
        </w:rPr>
        <w:t xml:space="preserve"> </w:t>
      </w:r>
      <w:r>
        <w:t>de</w:t>
      </w:r>
      <w:r>
        <w:rPr>
          <w:spacing w:val="-11"/>
        </w:rPr>
        <w:t xml:space="preserve"> </w:t>
      </w:r>
      <w:r>
        <w:t>los</w:t>
      </w:r>
      <w:r>
        <w:rPr>
          <w:spacing w:val="-11"/>
        </w:rPr>
        <w:t xml:space="preserve"> </w:t>
      </w:r>
      <w:r>
        <w:t>lugares</w:t>
      </w:r>
      <w:r>
        <w:rPr>
          <w:spacing w:val="-11"/>
        </w:rPr>
        <w:t xml:space="preserve"> </w:t>
      </w:r>
      <w:r>
        <w:t>más</w:t>
      </w:r>
      <w:r>
        <w:rPr>
          <w:spacing w:val="-11"/>
        </w:rPr>
        <w:t xml:space="preserve"> </w:t>
      </w:r>
      <w:r>
        <w:t>mencionados</w:t>
      </w:r>
      <w:r>
        <w:rPr>
          <w:spacing w:val="-11"/>
        </w:rPr>
        <w:t xml:space="preserve"> </w:t>
      </w:r>
      <w:r>
        <w:t>en</w:t>
      </w:r>
      <w:r>
        <w:rPr>
          <w:spacing w:val="-11"/>
        </w:rPr>
        <w:t xml:space="preserve"> </w:t>
      </w:r>
      <w:r>
        <w:t>las</w:t>
      </w:r>
      <w:r>
        <w:rPr>
          <w:spacing w:val="-11"/>
        </w:rPr>
        <w:t xml:space="preserve"> </w:t>
      </w:r>
      <w:r>
        <w:t>denuncias</w:t>
      </w:r>
      <w:r>
        <w:rPr>
          <w:spacing w:val="-12"/>
        </w:rPr>
        <w:t xml:space="preserve"> </w:t>
      </w:r>
      <w:r>
        <w:t>conocidas</w:t>
      </w:r>
      <w:r>
        <w:rPr>
          <w:spacing w:val="-11"/>
        </w:rPr>
        <w:t xml:space="preserve"> </w:t>
      </w:r>
      <w:r>
        <w:t>por</w:t>
      </w:r>
      <w:r>
        <w:rPr>
          <w:spacing w:val="-10"/>
        </w:rPr>
        <w:t xml:space="preserve"> </w:t>
      </w:r>
      <w:r>
        <w:t>la</w:t>
      </w:r>
      <w:r>
        <w:rPr>
          <w:spacing w:val="-11"/>
        </w:rPr>
        <w:t xml:space="preserve"> </w:t>
      </w:r>
      <w:r>
        <w:t>Comisión</w:t>
      </w:r>
      <w:r>
        <w:rPr>
          <w:spacing w:val="-11"/>
        </w:rPr>
        <w:t xml:space="preserve"> </w:t>
      </w:r>
      <w:r>
        <w:t>fue la Escuela de Caballería de Usaquén, en Bogotá.</w:t>
      </w:r>
    </w:p>
    <w:p w:rsidR="0011361F" w:rsidRDefault="00AF18A5" w:rsidP="00873F09">
      <w:r>
        <w:lastRenderedPageBreak/>
        <w:t>Durante</w:t>
      </w:r>
      <w:r>
        <w:rPr>
          <w:spacing w:val="-5"/>
        </w:rPr>
        <w:t xml:space="preserve"> </w:t>
      </w:r>
      <w:r>
        <w:t>la</w:t>
      </w:r>
      <w:r>
        <w:rPr>
          <w:spacing w:val="-5"/>
        </w:rPr>
        <w:t xml:space="preserve"> </w:t>
      </w:r>
      <w:r>
        <w:t>década</w:t>
      </w:r>
      <w:r>
        <w:rPr>
          <w:spacing w:val="-5"/>
        </w:rPr>
        <w:t xml:space="preserve"> </w:t>
      </w:r>
      <w:r>
        <w:t>de</w:t>
      </w:r>
      <w:r>
        <w:rPr>
          <w:spacing w:val="-5"/>
        </w:rPr>
        <w:t xml:space="preserve"> </w:t>
      </w:r>
      <w:r>
        <w:t>los</w:t>
      </w:r>
      <w:r>
        <w:rPr>
          <w:spacing w:val="-6"/>
        </w:rPr>
        <w:t xml:space="preserve"> </w:t>
      </w:r>
      <w:r>
        <w:t>noventa</w:t>
      </w:r>
      <w:r>
        <w:rPr>
          <w:spacing w:val="-5"/>
        </w:rPr>
        <w:t xml:space="preserve"> </w:t>
      </w:r>
      <w:r>
        <w:t>la</w:t>
      </w:r>
      <w:r>
        <w:rPr>
          <w:spacing w:val="-5"/>
        </w:rPr>
        <w:t xml:space="preserve"> </w:t>
      </w:r>
      <w:r>
        <w:t>tortura</w:t>
      </w:r>
      <w:r>
        <w:rPr>
          <w:spacing w:val="-6"/>
        </w:rPr>
        <w:t xml:space="preserve"> </w:t>
      </w:r>
      <w:r>
        <w:t>se</w:t>
      </w:r>
      <w:r>
        <w:rPr>
          <w:spacing w:val="-5"/>
        </w:rPr>
        <w:t xml:space="preserve"> </w:t>
      </w:r>
      <w:r>
        <w:t>incrementó</w:t>
      </w:r>
      <w:r>
        <w:rPr>
          <w:spacing w:val="-5"/>
        </w:rPr>
        <w:t xml:space="preserve"> </w:t>
      </w:r>
      <w:r>
        <w:t>exponencialmente</w:t>
      </w:r>
      <w:r>
        <w:rPr>
          <w:spacing w:val="-5"/>
        </w:rPr>
        <w:t xml:space="preserve"> </w:t>
      </w:r>
      <w:r>
        <w:t>como</w:t>
      </w:r>
      <w:r>
        <w:rPr>
          <w:spacing w:val="-5"/>
        </w:rPr>
        <w:t xml:space="preserve"> </w:t>
      </w:r>
      <w:r>
        <w:t>una modalidad</w:t>
      </w:r>
      <w:r>
        <w:rPr>
          <w:spacing w:val="-5"/>
        </w:rPr>
        <w:t xml:space="preserve"> </w:t>
      </w:r>
      <w:r>
        <w:t>de</w:t>
      </w:r>
      <w:r>
        <w:rPr>
          <w:spacing w:val="-4"/>
        </w:rPr>
        <w:t xml:space="preserve"> </w:t>
      </w:r>
      <w:r>
        <w:t>violencia</w:t>
      </w:r>
      <w:r>
        <w:rPr>
          <w:spacing w:val="-4"/>
        </w:rPr>
        <w:t xml:space="preserve"> </w:t>
      </w:r>
      <w:r>
        <w:t>enmarcada</w:t>
      </w:r>
      <w:r>
        <w:rPr>
          <w:spacing w:val="-4"/>
        </w:rPr>
        <w:t xml:space="preserve"> </w:t>
      </w:r>
      <w:r>
        <w:t>en</w:t>
      </w:r>
      <w:r>
        <w:rPr>
          <w:spacing w:val="-6"/>
        </w:rPr>
        <w:t xml:space="preserve"> </w:t>
      </w:r>
      <w:r>
        <w:t>el</w:t>
      </w:r>
      <w:r>
        <w:rPr>
          <w:spacing w:val="-4"/>
        </w:rPr>
        <w:t xml:space="preserve"> </w:t>
      </w:r>
      <w:r>
        <w:t>despliegue</w:t>
      </w:r>
      <w:r>
        <w:rPr>
          <w:spacing w:val="-4"/>
        </w:rPr>
        <w:t xml:space="preserve"> </w:t>
      </w:r>
      <w:r>
        <w:t>de</w:t>
      </w:r>
      <w:r>
        <w:rPr>
          <w:spacing w:val="-4"/>
        </w:rPr>
        <w:t xml:space="preserve"> </w:t>
      </w:r>
      <w:r>
        <w:t>algunas</w:t>
      </w:r>
      <w:r>
        <w:rPr>
          <w:spacing w:val="-6"/>
        </w:rPr>
        <w:t xml:space="preserve"> </w:t>
      </w:r>
      <w:r>
        <w:t>masacres</w:t>
      </w:r>
      <w:r>
        <w:rPr>
          <w:spacing w:val="-4"/>
        </w:rPr>
        <w:t xml:space="preserve"> </w:t>
      </w:r>
      <w:r>
        <w:t>perpetradas</w:t>
      </w:r>
      <w:r>
        <w:rPr>
          <w:spacing w:val="-4"/>
        </w:rPr>
        <w:t xml:space="preserve"> </w:t>
      </w:r>
      <w:r>
        <w:t>por</w:t>
      </w:r>
      <w:r>
        <w:rPr>
          <w:spacing w:val="-4"/>
        </w:rPr>
        <w:t xml:space="preserve"> </w:t>
      </w:r>
      <w:r>
        <w:t>los grupos paramilitares. Estos grupos llevaron a cabo prácticas de sevicia como el desmembramiento,</w:t>
      </w:r>
      <w:r>
        <w:rPr>
          <w:spacing w:val="-9"/>
        </w:rPr>
        <w:t xml:space="preserve"> </w:t>
      </w:r>
      <w:r>
        <w:t>mutilación,</w:t>
      </w:r>
      <w:r>
        <w:rPr>
          <w:spacing w:val="-9"/>
        </w:rPr>
        <w:t xml:space="preserve"> </w:t>
      </w:r>
      <w:r>
        <w:t>decapitación,</w:t>
      </w:r>
      <w:r>
        <w:rPr>
          <w:spacing w:val="-9"/>
        </w:rPr>
        <w:t xml:space="preserve"> </w:t>
      </w:r>
      <w:r>
        <w:t>colgamiento,</w:t>
      </w:r>
      <w:r>
        <w:rPr>
          <w:spacing w:val="-9"/>
        </w:rPr>
        <w:t xml:space="preserve"> </w:t>
      </w:r>
      <w:r>
        <w:t>descargas</w:t>
      </w:r>
      <w:r>
        <w:rPr>
          <w:spacing w:val="-9"/>
        </w:rPr>
        <w:t xml:space="preserve"> </w:t>
      </w:r>
      <w:r>
        <w:t>eléctricas,</w:t>
      </w:r>
      <w:r>
        <w:rPr>
          <w:spacing w:val="-9"/>
        </w:rPr>
        <w:t xml:space="preserve"> </w:t>
      </w:r>
      <w:r>
        <w:t>quemaduras y heridas, violaciones y abusos sexuales, ataques con animales, entre otras. Durante las masacres era frecuente que las torturas se hicieran de manera pública y los paramilitares forzaban a las personas a presenciar las torturas de miembros de su comunidad. Estas prácticas eran enseñadas en las escuelas de entrenamiento, en donde las propias crueldades fueron parte del mismo.</w:t>
      </w:r>
    </w:p>
    <w:p w:rsidR="003804AC" w:rsidRDefault="00AF18A5" w:rsidP="00873F09">
      <w:bookmarkStart w:id="256" w:name="_bookmark182"/>
      <w:bookmarkEnd w:id="256"/>
      <w:r>
        <w:t>La tortura se practica de múltiples formas, puede ser física y/o psicológica. La tortura física</w:t>
      </w:r>
      <w:r>
        <w:rPr>
          <w:spacing w:val="-8"/>
        </w:rPr>
        <w:t xml:space="preserve"> </w:t>
      </w:r>
      <w:r>
        <w:t>ha</w:t>
      </w:r>
      <w:r>
        <w:rPr>
          <w:spacing w:val="-8"/>
        </w:rPr>
        <w:t xml:space="preserve"> </w:t>
      </w:r>
      <w:r>
        <w:t>sido</w:t>
      </w:r>
      <w:r>
        <w:rPr>
          <w:spacing w:val="-8"/>
        </w:rPr>
        <w:t xml:space="preserve"> </w:t>
      </w:r>
      <w:r>
        <w:t>la</w:t>
      </w:r>
      <w:r>
        <w:rPr>
          <w:spacing w:val="-8"/>
        </w:rPr>
        <w:t xml:space="preserve"> </w:t>
      </w:r>
      <w:r>
        <w:t>que</w:t>
      </w:r>
      <w:r>
        <w:rPr>
          <w:spacing w:val="-8"/>
        </w:rPr>
        <w:t xml:space="preserve"> </w:t>
      </w:r>
      <w:r>
        <w:t>mayor</w:t>
      </w:r>
      <w:r>
        <w:rPr>
          <w:spacing w:val="-8"/>
        </w:rPr>
        <w:t xml:space="preserve"> </w:t>
      </w:r>
      <w:r>
        <w:t>visibilidad</w:t>
      </w:r>
      <w:r>
        <w:rPr>
          <w:spacing w:val="-8"/>
        </w:rPr>
        <w:t xml:space="preserve"> </w:t>
      </w:r>
      <w:r>
        <w:t>ha</w:t>
      </w:r>
      <w:r>
        <w:rPr>
          <w:spacing w:val="-8"/>
        </w:rPr>
        <w:t xml:space="preserve"> </w:t>
      </w:r>
      <w:r>
        <w:t>tenido</w:t>
      </w:r>
      <w:r>
        <w:rPr>
          <w:spacing w:val="-8"/>
        </w:rPr>
        <w:t xml:space="preserve"> </w:t>
      </w:r>
      <w:r>
        <w:t>por</w:t>
      </w:r>
      <w:r>
        <w:rPr>
          <w:spacing w:val="-8"/>
        </w:rPr>
        <w:t xml:space="preserve"> </w:t>
      </w:r>
      <w:r>
        <w:t>el</w:t>
      </w:r>
      <w:r>
        <w:rPr>
          <w:spacing w:val="-8"/>
        </w:rPr>
        <w:t xml:space="preserve"> </w:t>
      </w:r>
      <w:r>
        <w:t>impacto</w:t>
      </w:r>
      <w:r>
        <w:rPr>
          <w:spacing w:val="-8"/>
        </w:rPr>
        <w:t xml:space="preserve"> </w:t>
      </w:r>
      <w:r>
        <w:t>sobre</w:t>
      </w:r>
      <w:r>
        <w:rPr>
          <w:spacing w:val="-8"/>
        </w:rPr>
        <w:t xml:space="preserve"> </w:t>
      </w:r>
      <w:r>
        <w:t>los</w:t>
      </w:r>
      <w:r>
        <w:rPr>
          <w:spacing w:val="-8"/>
        </w:rPr>
        <w:t xml:space="preserve"> </w:t>
      </w:r>
      <w:r>
        <w:t>cuerpos</w:t>
      </w:r>
      <w:r>
        <w:rPr>
          <w:spacing w:val="-8"/>
        </w:rPr>
        <w:t xml:space="preserve"> </w:t>
      </w:r>
      <w:r>
        <w:t>con</w:t>
      </w:r>
      <w:r>
        <w:rPr>
          <w:spacing w:val="-8"/>
        </w:rPr>
        <w:t xml:space="preserve"> </w:t>
      </w:r>
      <w:r>
        <w:t>golpes, descargas</w:t>
      </w:r>
      <w:r>
        <w:rPr>
          <w:spacing w:val="-14"/>
        </w:rPr>
        <w:t xml:space="preserve"> </w:t>
      </w:r>
      <w:r>
        <w:t>eléctricas</w:t>
      </w:r>
      <w:r>
        <w:rPr>
          <w:spacing w:val="-14"/>
        </w:rPr>
        <w:t xml:space="preserve"> </w:t>
      </w:r>
      <w:r>
        <w:t>o</w:t>
      </w:r>
      <w:r>
        <w:rPr>
          <w:spacing w:val="-15"/>
        </w:rPr>
        <w:t xml:space="preserve"> </w:t>
      </w:r>
      <w:r>
        <w:t>colgamientos.</w:t>
      </w:r>
      <w:r>
        <w:rPr>
          <w:spacing w:val="-15"/>
        </w:rPr>
        <w:t xml:space="preserve"> </w:t>
      </w:r>
      <w:r>
        <w:t>Otras</w:t>
      </w:r>
      <w:r>
        <w:rPr>
          <w:spacing w:val="-15"/>
        </w:rPr>
        <w:t xml:space="preserve"> </w:t>
      </w:r>
      <w:r>
        <w:t>modalidades</w:t>
      </w:r>
      <w:r>
        <w:rPr>
          <w:spacing w:val="-15"/>
        </w:rPr>
        <w:t xml:space="preserve"> </w:t>
      </w:r>
      <w:r>
        <w:t>incluyen</w:t>
      </w:r>
      <w:r>
        <w:rPr>
          <w:spacing w:val="-14"/>
        </w:rPr>
        <w:t xml:space="preserve"> </w:t>
      </w:r>
      <w:r>
        <w:t>las</w:t>
      </w:r>
      <w:r>
        <w:rPr>
          <w:spacing w:val="-14"/>
        </w:rPr>
        <w:t xml:space="preserve"> </w:t>
      </w:r>
      <w:r>
        <w:t>que</w:t>
      </w:r>
      <w:r>
        <w:rPr>
          <w:spacing w:val="-14"/>
        </w:rPr>
        <w:t xml:space="preserve"> </w:t>
      </w:r>
      <w:r>
        <w:t>dejan</w:t>
      </w:r>
      <w:r>
        <w:rPr>
          <w:spacing w:val="-14"/>
        </w:rPr>
        <w:t xml:space="preserve"> </w:t>
      </w:r>
      <w:r>
        <w:t>menos</w:t>
      </w:r>
      <w:r>
        <w:rPr>
          <w:spacing w:val="-15"/>
        </w:rPr>
        <w:t xml:space="preserve"> </w:t>
      </w:r>
      <w:r>
        <w:t>marcas visibles, como las maniobras de asfixia (bolsa y bañera), privar de alimentación a los detenidos o usar drogas. La tortura se ha dado, además, en esos contextos de detenciones e instalaciones</w:t>
      </w:r>
      <w:r>
        <w:rPr>
          <w:spacing w:val="-11"/>
        </w:rPr>
        <w:t xml:space="preserve"> </w:t>
      </w:r>
      <w:r>
        <w:t>militares</w:t>
      </w:r>
      <w:r>
        <w:rPr>
          <w:spacing w:val="-12"/>
        </w:rPr>
        <w:t xml:space="preserve"> </w:t>
      </w:r>
      <w:r>
        <w:t>especialmente</w:t>
      </w:r>
      <w:r>
        <w:rPr>
          <w:spacing w:val="-10"/>
        </w:rPr>
        <w:t xml:space="preserve"> </w:t>
      </w:r>
      <w:r>
        <w:t>con</w:t>
      </w:r>
      <w:r>
        <w:rPr>
          <w:spacing w:val="-11"/>
        </w:rPr>
        <w:t xml:space="preserve"> </w:t>
      </w:r>
      <w:r>
        <w:t>el</w:t>
      </w:r>
      <w:r>
        <w:rPr>
          <w:spacing w:val="-10"/>
        </w:rPr>
        <w:t xml:space="preserve"> </w:t>
      </w:r>
      <w:r>
        <w:t>uso</w:t>
      </w:r>
      <w:r>
        <w:rPr>
          <w:spacing w:val="-12"/>
        </w:rPr>
        <w:t xml:space="preserve"> </w:t>
      </w:r>
      <w:r>
        <w:t>de</w:t>
      </w:r>
      <w:r>
        <w:rPr>
          <w:spacing w:val="-10"/>
        </w:rPr>
        <w:t xml:space="preserve"> </w:t>
      </w:r>
      <w:r>
        <w:t>instrumentos,</w:t>
      </w:r>
      <w:r>
        <w:rPr>
          <w:spacing w:val="-11"/>
        </w:rPr>
        <w:t xml:space="preserve"> </w:t>
      </w:r>
      <w:r>
        <w:t>lugares</w:t>
      </w:r>
      <w:r>
        <w:rPr>
          <w:spacing w:val="-12"/>
        </w:rPr>
        <w:t xml:space="preserve"> </w:t>
      </w:r>
      <w:r>
        <w:t>que</w:t>
      </w:r>
      <w:r>
        <w:rPr>
          <w:spacing w:val="-10"/>
        </w:rPr>
        <w:t xml:space="preserve"> </w:t>
      </w:r>
      <w:r>
        <w:t>se</w:t>
      </w:r>
      <w:r>
        <w:rPr>
          <w:spacing w:val="-10"/>
        </w:rPr>
        <w:t xml:space="preserve"> </w:t>
      </w:r>
      <w:r>
        <w:t>utilizaron</w:t>
      </w:r>
      <w:r>
        <w:rPr>
          <w:spacing w:val="-11"/>
        </w:rPr>
        <w:t xml:space="preserve"> </w:t>
      </w:r>
      <w:r>
        <w:t>en múltiples</w:t>
      </w:r>
      <w:r>
        <w:rPr>
          <w:spacing w:val="-6"/>
        </w:rPr>
        <w:t xml:space="preserve"> </w:t>
      </w:r>
      <w:r>
        <w:t>ocasiones,</w:t>
      </w:r>
      <w:r>
        <w:rPr>
          <w:spacing w:val="-7"/>
        </w:rPr>
        <w:t xml:space="preserve"> </w:t>
      </w:r>
      <w:r>
        <w:t>como</w:t>
      </w:r>
      <w:r>
        <w:rPr>
          <w:spacing w:val="-6"/>
        </w:rPr>
        <w:t xml:space="preserve"> </w:t>
      </w:r>
      <w:r>
        <w:t>se</w:t>
      </w:r>
      <w:r>
        <w:rPr>
          <w:spacing w:val="-7"/>
        </w:rPr>
        <w:t xml:space="preserve"> </w:t>
      </w:r>
      <w:r>
        <w:t>señaló</w:t>
      </w:r>
      <w:r>
        <w:rPr>
          <w:spacing w:val="-6"/>
        </w:rPr>
        <w:t xml:space="preserve"> </w:t>
      </w:r>
      <w:r>
        <w:t>en</w:t>
      </w:r>
      <w:r>
        <w:rPr>
          <w:spacing w:val="-6"/>
        </w:rPr>
        <w:t xml:space="preserve"> </w:t>
      </w:r>
      <w:r>
        <w:t>el</w:t>
      </w:r>
      <w:r>
        <w:rPr>
          <w:spacing w:val="-6"/>
        </w:rPr>
        <w:t xml:space="preserve"> </w:t>
      </w:r>
      <w:r>
        <w:t>Cantón</w:t>
      </w:r>
      <w:r>
        <w:rPr>
          <w:spacing w:val="-6"/>
        </w:rPr>
        <w:t xml:space="preserve"> </w:t>
      </w:r>
      <w:r>
        <w:t>Norte</w:t>
      </w:r>
      <w:r>
        <w:rPr>
          <w:spacing w:val="-7"/>
        </w:rPr>
        <w:t xml:space="preserve"> </w:t>
      </w:r>
      <w:r>
        <w:t>en</w:t>
      </w:r>
      <w:r>
        <w:rPr>
          <w:spacing w:val="-7"/>
        </w:rPr>
        <w:t xml:space="preserve"> </w:t>
      </w:r>
      <w:r>
        <w:t>Bogotá,</w:t>
      </w:r>
      <w:r>
        <w:rPr>
          <w:spacing w:val="-6"/>
        </w:rPr>
        <w:t xml:space="preserve"> </w:t>
      </w:r>
      <w:r>
        <w:t>sobre</w:t>
      </w:r>
      <w:r>
        <w:rPr>
          <w:spacing w:val="-6"/>
        </w:rPr>
        <w:t xml:space="preserve"> </w:t>
      </w:r>
      <w:r>
        <w:t>el</w:t>
      </w:r>
      <w:r>
        <w:rPr>
          <w:spacing w:val="-7"/>
        </w:rPr>
        <w:t xml:space="preserve"> </w:t>
      </w:r>
      <w:r>
        <w:t>que</w:t>
      </w:r>
      <w:r>
        <w:rPr>
          <w:spacing w:val="-7"/>
        </w:rPr>
        <w:t xml:space="preserve"> </w:t>
      </w:r>
      <w:r>
        <w:t>la</w:t>
      </w:r>
      <w:r>
        <w:rPr>
          <w:spacing w:val="-6"/>
        </w:rPr>
        <w:t xml:space="preserve"> </w:t>
      </w:r>
      <w:r>
        <w:t>Comisión recogió testimonios de casos durante al menos una década (1978-1988), donde las caballerizas se utilizaron como lugares que contaban con piletas, barras de colgamientos y otras</w:t>
      </w:r>
      <w:r>
        <w:rPr>
          <w:spacing w:val="-14"/>
        </w:rPr>
        <w:t xml:space="preserve"> </w:t>
      </w:r>
      <w:r>
        <w:t>infraestructuras.</w:t>
      </w:r>
      <w:r>
        <w:rPr>
          <w:spacing w:val="-14"/>
        </w:rPr>
        <w:t xml:space="preserve"> </w:t>
      </w:r>
      <w:r>
        <w:t>Las</w:t>
      </w:r>
      <w:r>
        <w:rPr>
          <w:spacing w:val="-14"/>
        </w:rPr>
        <w:t xml:space="preserve"> </w:t>
      </w:r>
      <w:r>
        <w:t>víctimas</w:t>
      </w:r>
      <w:r>
        <w:rPr>
          <w:spacing w:val="-14"/>
        </w:rPr>
        <w:t xml:space="preserve"> </w:t>
      </w:r>
      <w:r>
        <w:t>estuvieron</w:t>
      </w:r>
      <w:r>
        <w:rPr>
          <w:spacing w:val="-14"/>
        </w:rPr>
        <w:t xml:space="preserve"> </w:t>
      </w:r>
      <w:r>
        <w:t>en</w:t>
      </w:r>
      <w:r>
        <w:rPr>
          <w:spacing w:val="-14"/>
        </w:rPr>
        <w:t xml:space="preserve"> </w:t>
      </w:r>
      <w:r>
        <w:t>condiciones</w:t>
      </w:r>
      <w:r>
        <w:rPr>
          <w:spacing w:val="-14"/>
        </w:rPr>
        <w:t xml:space="preserve"> </w:t>
      </w:r>
      <w:r>
        <w:t>de</w:t>
      </w:r>
      <w:r>
        <w:rPr>
          <w:spacing w:val="-14"/>
        </w:rPr>
        <w:t xml:space="preserve"> </w:t>
      </w:r>
      <w:r>
        <w:t>indefensión,</w:t>
      </w:r>
      <w:r>
        <w:rPr>
          <w:spacing w:val="-14"/>
        </w:rPr>
        <w:t xml:space="preserve"> </w:t>
      </w:r>
      <w:r>
        <w:t>de</w:t>
      </w:r>
      <w:r>
        <w:rPr>
          <w:spacing w:val="-14"/>
        </w:rPr>
        <w:t xml:space="preserve"> </w:t>
      </w:r>
      <w:r>
        <w:t>control</w:t>
      </w:r>
      <w:r>
        <w:rPr>
          <w:spacing w:val="-14"/>
        </w:rPr>
        <w:t xml:space="preserve"> </w:t>
      </w:r>
      <w:r>
        <w:t>total por</w:t>
      </w:r>
      <w:r>
        <w:rPr>
          <w:spacing w:val="-2"/>
        </w:rPr>
        <w:t xml:space="preserve"> </w:t>
      </w:r>
      <w:r>
        <w:t>los</w:t>
      </w:r>
      <w:r>
        <w:rPr>
          <w:spacing w:val="-2"/>
        </w:rPr>
        <w:t xml:space="preserve"> </w:t>
      </w:r>
      <w:r>
        <w:t>victimarios,</w:t>
      </w:r>
      <w:r>
        <w:rPr>
          <w:spacing w:val="-3"/>
        </w:rPr>
        <w:t xml:space="preserve"> </w:t>
      </w:r>
      <w:r>
        <w:t>de</w:t>
      </w:r>
      <w:r>
        <w:rPr>
          <w:spacing w:val="-2"/>
        </w:rPr>
        <w:t xml:space="preserve"> </w:t>
      </w:r>
      <w:r>
        <w:t>imposibilidad</w:t>
      </w:r>
      <w:r>
        <w:rPr>
          <w:spacing w:val="-2"/>
        </w:rPr>
        <w:t xml:space="preserve"> </w:t>
      </w:r>
      <w:r>
        <w:t>muchas</w:t>
      </w:r>
      <w:r>
        <w:rPr>
          <w:spacing w:val="-2"/>
        </w:rPr>
        <w:t xml:space="preserve"> </w:t>
      </w:r>
      <w:r>
        <w:t>veces</w:t>
      </w:r>
      <w:r>
        <w:rPr>
          <w:spacing w:val="-2"/>
        </w:rPr>
        <w:t xml:space="preserve"> </w:t>
      </w:r>
      <w:r>
        <w:t>de</w:t>
      </w:r>
      <w:r>
        <w:rPr>
          <w:spacing w:val="-2"/>
        </w:rPr>
        <w:t xml:space="preserve"> </w:t>
      </w:r>
      <w:r>
        <w:t>denunciar</w:t>
      </w:r>
      <w:r>
        <w:rPr>
          <w:spacing w:val="-2"/>
        </w:rPr>
        <w:t xml:space="preserve"> </w:t>
      </w:r>
      <w:r>
        <w:t>y</w:t>
      </w:r>
      <w:r>
        <w:rPr>
          <w:spacing w:val="-2"/>
        </w:rPr>
        <w:t xml:space="preserve"> </w:t>
      </w:r>
      <w:r>
        <w:t>con</w:t>
      </w:r>
      <w:r>
        <w:rPr>
          <w:spacing w:val="-2"/>
        </w:rPr>
        <w:t xml:space="preserve"> </w:t>
      </w:r>
      <w:r>
        <w:t>las</w:t>
      </w:r>
      <w:r>
        <w:rPr>
          <w:spacing w:val="-2"/>
        </w:rPr>
        <w:t xml:space="preserve"> </w:t>
      </w:r>
      <w:r>
        <w:t>secuelas</w:t>
      </w:r>
      <w:r>
        <w:rPr>
          <w:spacing w:val="-2"/>
        </w:rPr>
        <w:t xml:space="preserve"> </w:t>
      </w:r>
      <w:r>
        <w:t>físicas</w:t>
      </w:r>
      <w:r>
        <w:rPr>
          <w:spacing w:val="-2"/>
        </w:rPr>
        <w:t xml:space="preserve"> </w:t>
      </w:r>
      <w:r>
        <w:t>y psicológicas</w:t>
      </w:r>
      <w:r>
        <w:rPr>
          <w:spacing w:val="-13"/>
        </w:rPr>
        <w:t xml:space="preserve"> </w:t>
      </w:r>
      <w:r>
        <w:t>que</w:t>
      </w:r>
      <w:r>
        <w:rPr>
          <w:spacing w:val="-12"/>
        </w:rPr>
        <w:t xml:space="preserve"> </w:t>
      </w:r>
      <w:r>
        <w:t>deja</w:t>
      </w:r>
      <w:r>
        <w:rPr>
          <w:spacing w:val="-13"/>
        </w:rPr>
        <w:t xml:space="preserve"> </w:t>
      </w:r>
      <w:r>
        <w:t>la</w:t>
      </w:r>
      <w:r>
        <w:rPr>
          <w:spacing w:val="-13"/>
        </w:rPr>
        <w:t xml:space="preserve"> </w:t>
      </w:r>
      <w:r>
        <w:t>tortura.</w:t>
      </w:r>
      <w:r>
        <w:rPr>
          <w:spacing w:val="-13"/>
        </w:rPr>
        <w:t xml:space="preserve"> </w:t>
      </w:r>
      <w:r>
        <w:t>Algunas</w:t>
      </w:r>
      <w:r>
        <w:rPr>
          <w:spacing w:val="-12"/>
        </w:rPr>
        <w:t xml:space="preserve"> </w:t>
      </w:r>
      <w:r>
        <w:t>víctimas</w:t>
      </w:r>
      <w:r>
        <w:rPr>
          <w:spacing w:val="-13"/>
        </w:rPr>
        <w:t xml:space="preserve"> </w:t>
      </w:r>
      <w:r>
        <w:t>entrevistadas</w:t>
      </w:r>
      <w:r>
        <w:rPr>
          <w:spacing w:val="-12"/>
        </w:rPr>
        <w:t xml:space="preserve"> </w:t>
      </w:r>
      <w:r>
        <w:t>tuvieron</w:t>
      </w:r>
      <w:r>
        <w:rPr>
          <w:spacing w:val="-12"/>
        </w:rPr>
        <w:t xml:space="preserve"> </w:t>
      </w:r>
      <w:r>
        <w:t>muchas</w:t>
      </w:r>
      <w:r>
        <w:rPr>
          <w:spacing w:val="-12"/>
        </w:rPr>
        <w:t xml:space="preserve"> </w:t>
      </w:r>
      <w:r>
        <w:t xml:space="preserve">dificultades para hablar de lo sucedido, a pesar de que habían pasado más de 40 años del </w:t>
      </w:r>
      <w:r>
        <w:lastRenderedPageBreak/>
        <w:t>hecho, se quebraron</w:t>
      </w:r>
      <w:r>
        <w:rPr>
          <w:spacing w:val="-7"/>
        </w:rPr>
        <w:t xml:space="preserve"> </w:t>
      </w:r>
      <w:r>
        <w:t>en</w:t>
      </w:r>
      <w:r>
        <w:rPr>
          <w:spacing w:val="-7"/>
        </w:rPr>
        <w:t xml:space="preserve"> </w:t>
      </w:r>
      <w:r>
        <w:t>las</w:t>
      </w:r>
      <w:r>
        <w:rPr>
          <w:spacing w:val="-7"/>
        </w:rPr>
        <w:t xml:space="preserve"> </w:t>
      </w:r>
      <w:r>
        <w:t>entrevistas</w:t>
      </w:r>
      <w:r>
        <w:rPr>
          <w:spacing w:val="-7"/>
        </w:rPr>
        <w:t xml:space="preserve"> </w:t>
      </w:r>
      <w:r>
        <w:t>o</w:t>
      </w:r>
      <w:r>
        <w:rPr>
          <w:spacing w:val="-7"/>
        </w:rPr>
        <w:t xml:space="preserve"> </w:t>
      </w:r>
      <w:r>
        <w:t>no</w:t>
      </w:r>
      <w:r>
        <w:rPr>
          <w:spacing w:val="-7"/>
        </w:rPr>
        <w:t xml:space="preserve"> </w:t>
      </w:r>
      <w:r>
        <w:t>quisieron</w:t>
      </w:r>
      <w:r>
        <w:rPr>
          <w:spacing w:val="-7"/>
        </w:rPr>
        <w:t xml:space="preserve"> </w:t>
      </w:r>
      <w:r>
        <w:t>hablar</w:t>
      </w:r>
      <w:r>
        <w:rPr>
          <w:spacing w:val="-7"/>
        </w:rPr>
        <w:t xml:space="preserve"> </w:t>
      </w:r>
      <w:r>
        <w:t>de</w:t>
      </w:r>
      <w:r>
        <w:rPr>
          <w:spacing w:val="-7"/>
        </w:rPr>
        <w:t xml:space="preserve"> </w:t>
      </w:r>
      <w:r>
        <w:t>detalles</w:t>
      </w:r>
      <w:r>
        <w:rPr>
          <w:spacing w:val="-8"/>
        </w:rPr>
        <w:t xml:space="preserve"> </w:t>
      </w:r>
      <w:r>
        <w:t>de</w:t>
      </w:r>
      <w:r>
        <w:rPr>
          <w:spacing w:val="-7"/>
        </w:rPr>
        <w:t xml:space="preserve"> </w:t>
      </w:r>
      <w:r>
        <w:t>lo</w:t>
      </w:r>
      <w:r>
        <w:rPr>
          <w:spacing w:val="-7"/>
        </w:rPr>
        <w:t xml:space="preserve"> </w:t>
      </w:r>
      <w:r>
        <w:t>vivido,</w:t>
      </w:r>
      <w:r>
        <w:rPr>
          <w:spacing w:val="-8"/>
        </w:rPr>
        <w:t xml:space="preserve"> </w:t>
      </w:r>
      <w:r>
        <w:t>por</w:t>
      </w:r>
      <w:r>
        <w:rPr>
          <w:spacing w:val="-7"/>
        </w:rPr>
        <w:t xml:space="preserve"> </w:t>
      </w:r>
      <w:r>
        <w:t>el</w:t>
      </w:r>
      <w:r>
        <w:rPr>
          <w:spacing w:val="-7"/>
        </w:rPr>
        <w:t xml:space="preserve"> </w:t>
      </w:r>
      <w:r>
        <w:t>impacto</w:t>
      </w:r>
      <w:r>
        <w:rPr>
          <w:spacing w:val="-7"/>
        </w:rPr>
        <w:t xml:space="preserve"> </w:t>
      </w:r>
      <w:r>
        <w:t xml:space="preserve">del </w:t>
      </w:r>
      <w:r>
        <w:rPr>
          <w:spacing w:val="-2"/>
        </w:rPr>
        <w:t>recuerdo.</w:t>
      </w:r>
    </w:p>
    <w:p w:rsidR="003804AC" w:rsidRDefault="00AF18A5" w:rsidP="00650A2A">
      <w:r>
        <w:t>La tortura física incluyó golpes, con y sin instrumentos, colgamientos, descargas eléctricas, maniobras de asfixia, privaciones físicas, entre otras. La tortura psicológica buscaba el sometimiento mediante insultos, amenazas, privación de sueño. Presenciar la tortura</w:t>
      </w:r>
      <w:r>
        <w:rPr>
          <w:spacing w:val="-4"/>
        </w:rPr>
        <w:t xml:space="preserve"> </w:t>
      </w:r>
      <w:r>
        <w:t>de</w:t>
      </w:r>
      <w:r>
        <w:rPr>
          <w:spacing w:val="-4"/>
        </w:rPr>
        <w:t xml:space="preserve"> </w:t>
      </w:r>
      <w:r>
        <w:t>otras</w:t>
      </w:r>
      <w:r>
        <w:rPr>
          <w:spacing w:val="-4"/>
        </w:rPr>
        <w:t xml:space="preserve"> </w:t>
      </w:r>
      <w:r>
        <w:t>personas,</w:t>
      </w:r>
      <w:r>
        <w:rPr>
          <w:spacing w:val="-5"/>
        </w:rPr>
        <w:t xml:space="preserve"> </w:t>
      </w:r>
      <w:r>
        <w:t>el</w:t>
      </w:r>
      <w:r>
        <w:rPr>
          <w:spacing w:val="-4"/>
        </w:rPr>
        <w:t xml:space="preserve"> </w:t>
      </w:r>
      <w:r>
        <w:t>daño</w:t>
      </w:r>
      <w:r>
        <w:rPr>
          <w:spacing w:val="-5"/>
        </w:rPr>
        <w:t xml:space="preserve"> </w:t>
      </w:r>
      <w:r>
        <w:t>o</w:t>
      </w:r>
      <w:r>
        <w:rPr>
          <w:spacing w:val="-6"/>
        </w:rPr>
        <w:t xml:space="preserve"> </w:t>
      </w:r>
      <w:r>
        <w:t>las</w:t>
      </w:r>
      <w:r>
        <w:rPr>
          <w:spacing w:val="-5"/>
        </w:rPr>
        <w:t xml:space="preserve"> </w:t>
      </w:r>
      <w:r>
        <w:t>calumnias</w:t>
      </w:r>
      <w:r>
        <w:rPr>
          <w:spacing w:val="-6"/>
        </w:rPr>
        <w:t xml:space="preserve"> </w:t>
      </w:r>
      <w:r>
        <w:t>de</w:t>
      </w:r>
      <w:r>
        <w:rPr>
          <w:spacing w:val="-4"/>
        </w:rPr>
        <w:t xml:space="preserve"> </w:t>
      </w:r>
      <w:r>
        <w:t>familiares</w:t>
      </w:r>
      <w:r>
        <w:rPr>
          <w:spacing w:val="-5"/>
        </w:rPr>
        <w:t xml:space="preserve"> </w:t>
      </w:r>
      <w:r>
        <w:t>o</w:t>
      </w:r>
      <w:r>
        <w:rPr>
          <w:spacing w:val="-5"/>
        </w:rPr>
        <w:t xml:space="preserve"> </w:t>
      </w:r>
      <w:r>
        <w:t>personas</w:t>
      </w:r>
      <w:r>
        <w:rPr>
          <w:spacing w:val="-7"/>
        </w:rPr>
        <w:t xml:space="preserve"> </w:t>
      </w:r>
      <w:r>
        <w:t>cercanas</w:t>
      </w:r>
      <w:r>
        <w:rPr>
          <w:spacing w:val="-4"/>
        </w:rPr>
        <w:t xml:space="preserve"> </w:t>
      </w:r>
      <w:r>
        <w:t>hizo</w:t>
      </w:r>
      <w:r>
        <w:rPr>
          <w:spacing w:val="-5"/>
        </w:rPr>
        <w:t xml:space="preserve"> </w:t>
      </w:r>
      <w:r>
        <w:t>que las</w:t>
      </w:r>
      <w:r>
        <w:rPr>
          <w:spacing w:val="-11"/>
        </w:rPr>
        <w:t xml:space="preserve"> </w:t>
      </w:r>
      <w:r>
        <w:t>víctimas</w:t>
      </w:r>
      <w:r>
        <w:rPr>
          <w:spacing w:val="-12"/>
        </w:rPr>
        <w:t xml:space="preserve"> </w:t>
      </w:r>
      <w:r>
        <w:t>vivieran</w:t>
      </w:r>
      <w:r>
        <w:rPr>
          <w:spacing w:val="-11"/>
        </w:rPr>
        <w:t xml:space="preserve"> </w:t>
      </w:r>
      <w:r>
        <w:t>con</w:t>
      </w:r>
      <w:r>
        <w:rPr>
          <w:spacing w:val="-12"/>
        </w:rPr>
        <w:t xml:space="preserve"> </w:t>
      </w:r>
      <w:r>
        <w:t>miedo</w:t>
      </w:r>
      <w:r>
        <w:rPr>
          <w:spacing w:val="-12"/>
        </w:rPr>
        <w:t xml:space="preserve"> </w:t>
      </w:r>
      <w:r>
        <w:t>en</w:t>
      </w:r>
      <w:r>
        <w:rPr>
          <w:spacing w:val="-11"/>
        </w:rPr>
        <w:t xml:space="preserve"> </w:t>
      </w:r>
      <w:r>
        <w:t>sus</w:t>
      </w:r>
      <w:r>
        <w:rPr>
          <w:spacing w:val="-11"/>
        </w:rPr>
        <w:t xml:space="preserve"> </w:t>
      </w:r>
      <w:r>
        <w:t>territorios</w:t>
      </w:r>
      <w:r>
        <w:rPr>
          <w:spacing w:val="-12"/>
        </w:rPr>
        <w:t xml:space="preserve"> </w:t>
      </w:r>
      <w:r>
        <w:t>o</w:t>
      </w:r>
      <w:r>
        <w:rPr>
          <w:spacing w:val="-11"/>
        </w:rPr>
        <w:t xml:space="preserve"> </w:t>
      </w:r>
      <w:r>
        <w:t>tomaran</w:t>
      </w:r>
      <w:r>
        <w:rPr>
          <w:spacing w:val="-11"/>
        </w:rPr>
        <w:t xml:space="preserve"> </w:t>
      </w:r>
      <w:r>
        <w:t>la</w:t>
      </w:r>
      <w:r>
        <w:rPr>
          <w:spacing w:val="-12"/>
        </w:rPr>
        <w:t xml:space="preserve"> </w:t>
      </w:r>
      <w:r>
        <w:t>decisión</w:t>
      </w:r>
      <w:r>
        <w:rPr>
          <w:spacing w:val="-11"/>
        </w:rPr>
        <w:t xml:space="preserve"> </w:t>
      </w:r>
      <w:r>
        <w:t>de</w:t>
      </w:r>
      <w:r>
        <w:rPr>
          <w:spacing w:val="-12"/>
        </w:rPr>
        <w:t xml:space="preserve"> </w:t>
      </w:r>
      <w:r>
        <w:t>abandonarlo</w:t>
      </w:r>
      <w:r>
        <w:rPr>
          <w:spacing w:val="-12"/>
        </w:rPr>
        <w:t xml:space="preserve"> </w:t>
      </w:r>
      <w:r>
        <w:t xml:space="preserve">como un mecanismo de protección. </w:t>
      </w:r>
      <w:r>
        <w:rPr>
          <w:color w:val="3B4043"/>
        </w:rPr>
        <w:t>L</w:t>
      </w:r>
      <w:r>
        <w:t xml:space="preserve">os señalamientos y acusaciones de ser parte de algún grupo armado fueron una práctica recurrente en el contexto de la tortura psicológica. La fuerza pública fue el actor que más los usó para estigmatizar a determinados grupos sociales o a poblaciones en contextos de exterminio del opositor, represión de la protesta social o de operaciones contrainsurgentes. Las prácticas de tortura se derivaron en afectaciones psicológicas y físicas en un mismo evento violento, y tuvieron impactos individuales y </w:t>
      </w:r>
      <w:r>
        <w:rPr>
          <w:spacing w:val="-2"/>
        </w:rPr>
        <w:t>colectivos.</w:t>
      </w:r>
    </w:p>
    <w:p w:rsidR="0011361F" w:rsidRDefault="00AF18A5" w:rsidP="004A6EF4">
      <w:pPr>
        <w:pStyle w:val="Ttulo3"/>
        <w:numPr>
          <w:ilvl w:val="1"/>
          <w:numId w:val="16"/>
        </w:numPr>
      </w:pPr>
      <w:bookmarkStart w:id="257" w:name="3.12._Violencias_sexuales"/>
      <w:bookmarkStart w:id="258" w:name="_Toc112399571"/>
      <w:bookmarkEnd w:id="257"/>
      <w:r w:rsidRPr="00650A2A">
        <w:t>Violencias</w:t>
      </w:r>
      <w:r>
        <w:rPr>
          <w:spacing w:val="-2"/>
        </w:rPr>
        <w:t xml:space="preserve"> sexuales</w:t>
      </w:r>
      <w:bookmarkEnd w:id="258"/>
    </w:p>
    <w:p w:rsidR="003804AC" w:rsidRDefault="00AF18A5" w:rsidP="00942E0F">
      <w:r>
        <w:t>«En el retén yo iba caminando y se me acerca una camioneta, que “niña”, que “venga móntese”, que “¿</w:t>
      </w:r>
      <w:proofErr w:type="spellStart"/>
      <w:r>
        <w:t>pa</w:t>
      </w:r>
      <w:proofErr w:type="spellEnd"/>
      <w:r>
        <w:t xml:space="preserve"> </w:t>
      </w:r>
      <w:proofErr w:type="spellStart"/>
      <w:r>
        <w:t>donde</w:t>
      </w:r>
      <w:proofErr w:type="spellEnd"/>
      <w:r>
        <w:t xml:space="preserve"> va?”. Y yo: “No, no, no; ya llegué, muchas gracias, muchas gracias”. “No, venga, venga yo la llevo”. Cuando menos pensé fue que se bajó ese tipo de esa camioneta, me arrinconó y me puso un arma en la cabeza, ay [miedo] Dios mío, bueno. Entonces, yo forcejeé con él y bueno, que tal, y pum!, me pegó un cachazo y yo caí al piso. Se me tiró encima [..] y abusó sexualmente […], me amenazó, me dijo que él era un paramilitar que conocía a mi mamá, a mis hermanas, todo [...], que, si yo me ponía a denunciar o </w:t>
      </w:r>
      <w:r>
        <w:lastRenderedPageBreak/>
        <w:t>algo, me mataban a mí y a mi familia y se fue»</w:t>
      </w:r>
      <w:r w:rsidR="00942E0F">
        <w:rPr>
          <w:rStyle w:val="Refdenotaalpie"/>
        </w:rPr>
        <w:footnoteReference w:id="158"/>
      </w:r>
      <w:r>
        <w:t>.</w:t>
      </w:r>
    </w:p>
    <w:p w:rsidR="003804AC" w:rsidRDefault="00AF18A5" w:rsidP="00942E0F">
      <w:r>
        <w:t>Es</w:t>
      </w:r>
      <w:r>
        <w:rPr>
          <w:spacing w:val="-7"/>
        </w:rPr>
        <w:t xml:space="preserve"> </w:t>
      </w:r>
      <w:r>
        <w:t>la</w:t>
      </w:r>
      <w:r>
        <w:rPr>
          <w:spacing w:val="-7"/>
        </w:rPr>
        <w:t xml:space="preserve"> </w:t>
      </w:r>
      <w:r>
        <w:t>narración</w:t>
      </w:r>
      <w:r>
        <w:rPr>
          <w:spacing w:val="-7"/>
        </w:rPr>
        <w:t xml:space="preserve"> </w:t>
      </w:r>
      <w:r>
        <w:t>de</w:t>
      </w:r>
      <w:r>
        <w:rPr>
          <w:spacing w:val="-7"/>
        </w:rPr>
        <w:t xml:space="preserve"> </w:t>
      </w:r>
      <w:r>
        <w:t>una</w:t>
      </w:r>
      <w:r>
        <w:rPr>
          <w:spacing w:val="-7"/>
        </w:rPr>
        <w:t xml:space="preserve"> </w:t>
      </w:r>
      <w:r>
        <w:t>mujer,</w:t>
      </w:r>
      <w:r>
        <w:rPr>
          <w:spacing w:val="-7"/>
        </w:rPr>
        <w:t xml:space="preserve"> </w:t>
      </w:r>
      <w:r>
        <w:t>víctima</w:t>
      </w:r>
      <w:r>
        <w:rPr>
          <w:spacing w:val="-8"/>
        </w:rPr>
        <w:t xml:space="preserve"> </w:t>
      </w:r>
      <w:r>
        <w:t>del</w:t>
      </w:r>
      <w:r>
        <w:rPr>
          <w:spacing w:val="-7"/>
        </w:rPr>
        <w:t xml:space="preserve"> </w:t>
      </w:r>
      <w:r>
        <w:t>Bloque</w:t>
      </w:r>
      <w:r>
        <w:rPr>
          <w:spacing w:val="-8"/>
        </w:rPr>
        <w:t xml:space="preserve"> </w:t>
      </w:r>
      <w:r>
        <w:t>Metro</w:t>
      </w:r>
      <w:r>
        <w:rPr>
          <w:spacing w:val="-7"/>
        </w:rPr>
        <w:t xml:space="preserve"> </w:t>
      </w:r>
      <w:r>
        <w:t>de</w:t>
      </w:r>
      <w:r>
        <w:rPr>
          <w:spacing w:val="-8"/>
        </w:rPr>
        <w:t xml:space="preserve"> </w:t>
      </w:r>
      <w:r>
        <w:t>las</w:t>
      </w:r>
      <w:r>
        <w:rPr>
          <w:spacing w:val="-8"/>
        </w:rPr>
        <w:t xml:space="preserve"> </w:t>
      </w:r>
      <w:r>
        <w:t>AUC</w:t>
      </w:r>
      <w:r>
        <w:rPr>
          <w:spacing w:val="-8"/>
        </w:rPr>
        <w:t xml:space="preserve"> </w:t>
      </w:r>
      <w:r>
        <w:t>en</w:t>
      </w:r>
      <w:r>
        <w:rPr>
          <w:spacing w:val="-7"/>
        </w:rPr>
        <w:t xml:space="preserve"> </w:t>
      </w:r>
      <w:r>
        <w:t>1997</w:t>
      </w:r>
      <w:r>
        <w:rPr>
          <w:spacing w:val="-7"/>
        </w:rPr>
        <w:t xml:space="preserve"> </w:t>
      </w:r>
      <w:r>
        <w:t>cuando</w:t>
      </w:r>
      <w:r>
        <w:rPr>
          <w:spacing w:val="-7"/>
        </w:rPr>
        <w:t xml:space="preserve"> </w:t>
      </w:r>
      <w:r>
        <w:t>tenía 18 años, en el municipio de Guarne, Antioquia. Desde la Comisión se reconocen diversas modalidades de violencias sexuales que se cometieron durante el conflicto armado. Hacen parte</w:t>
      </w:r>
      <w:r>
        <w:rPr>
          <w:spacing w:val="-6"/>
        </w:rPr>
        <w:t xml:space="preserve"> </w:t>
      </w:r>
      <w:r>
        <w:t>de</w:t>
      </w:r>
      <w:r>
        <w:rPr>
          <w:spacing w:val="-6"/>
        </w:rPr>
        <w:t xml:space="preserve"> </w:t>
      </w:r>
      <w:r>
        <w:t>las</w:t>
      </w:r>
      <w:r>
        <w:rPr>
          <w:spacing w:val="-7"/>
        </w:rPr>
        <w:t xml:space="preserve"> </w:t>
      </w:r>
      <w:r>
        <w:t>violencias</w:t>
      </w:r>
      <w:r>
        <w:rPr>
          <w:spacing w:val="-6"/>
        </w:rPr>
        <w:t xml:space="preserve"> </w:t>
      </w:r>
      <w:r>
        <w:t>sexuales</w:t>
      </w:r>
      <w:r>
        <w:rPr>
          <w:spacing w:val="-7"/>
        </w:rPr>
        <w:t xml:space="preserve"> </w:t>
      </w:r>
      <w:r>
        <w:t>tanto</w:t>
      </w:r>
      <w:r>
        <w:rPr>
          <w:spacing w:val="-6"/>
        </w:rPr>
        <w:t xml:space="preserve"> </w:t>
      </w:r>
      <w:r>
        <w:t>las</w:t>
      </w:r>
      <w:r>
        <w:rPr>
          <w:spacing w:val="-6"/>
        </w:rPr>
        <w:t xml:space="preserve"> </w:t>
      </w:r>
      <w:r>
        <w:t>violaciones</w:t>
      </w:r>
      <w:r>
        <w:rPr>
          <w:spacing w:val="-6"/>
        </w:rPr>
        <w:t xml:space="preserve"> </w:t>
      </w:r>
      <w:r>
        <w:t>sexuales,</w:t>
      </w:r>
      <w:r>
        <w:rPr>
          <w:spacing w:val="-6"/>
        </w:rPr>
        <w:t xml:space="preserve"> </w:t>
      </w:r>
      <w:r>
        <w:t>la</w:t>
      </w:r>
      <w:r>
        <w:rPr>
          <w:spacing w:val="-6"/>
        </w:rPr>
        <w:t xml:space="preserve"> </w:t>
      </w:r>
      <w:r>
        <w:t>esclavitud</w:t>
      </w:r>
      <w:r>
        <w:rPr>
          <w:spacing w:val="-6"/>
        </w:rPr>
        <w:t xml:space="preserve"> </w:t>
      </w:r>
      <w:r>
        <w:t>sexual,</w:t>
      </w:r>
      <w:r>
        <w:rPr>
          <w:spacing w:val="-6"/>
        </w:rPr>
        <w:t xml:space="preserve"> </w:t>
      </w:r>
      <w:r>
        <w:t>como</w:t>
      </w:r>
      <w:r>
        <w:rPr>
          <w:spacing w:val="-6"/>
        </w:rPr>
        <w:t xml:space="preserve"> </w:t>
      </w:r>
      <w:r>
        <w:t>las amenazas</w:t>
      </w:r>
      <w:r>
        <w:rPr>
          <w:spacing w:val="-6"/>
        </w:rPr>
        <w:t xml:space="preserve"> </w:t>
      </w:r>
      <w:r>
        <w:t>de</w:t>
      </w:r>
      <w:r>
        <w:rPr>
          <w:spacing w:val="-6"/>
        </w:rPr>
        <w:t xml:space="preserve"> </w:t>
      </w:r>
      <w:r>
        <w:t>violación,</w:t>
      </w:r>
      <w:r>
        <w:rPr>
          <w:spacing w:val="-6"/>
        </w:rPr>
        <w:t xml:space="preserve"> </w:t>
      </w:r>
      <w:r>
        <w:t>el</w:t>
      </w:r>
      <w:r>
        <w:rPr>
          <w:spacing w:val="-5"/>
        </w:rPr>
        <w:t xml:space="preserve"> </w:t>
      </w:r>
      <w:r>
        <w:t>acoso</w:t>
      </w:r>
      <w:r>
        <w:rPr>
          <w:spacing w:val="-6"/>
        </w:rPr>
        <w:t xml:space="preserve"> </w:t>
      </w:r>
      <w:r>
        <w:t>sexual,</w:t>
      </w:r>
      <w:r>
        <w:rPr>
          <w:spacing w:val="-6"/>
        </w:rPr>
        <w:t xml:space="preserve"> </w:t>
      </w:r>
      <w:r>
        <w:t>el</w:t>
      </w:r>
      <w:r>
        <w:rPr>
          <w:spacing w:val="-5"/>
        </w:rPr>
        <w:t xml:space="preserve"> </w:t>
      </w:r>
      <w:r>
        <w:t>desnudo</w:t>
      </w:r>
      <w:r>
        <w:rPr>
          <w:spacing w:val="-6"/>
        </w:rPr>
        <w:t xml:space="preserve"> </w:t>
      </w:r>
      <w:r>
        <w:t>forzado</w:t>
      </w:r>
      <w:r>
        <w:rPr>
          <w:spacing w:val="-6"/>
        </w:rPr>
        <w:t xml:space="preserve"> </w:t>
      </w:r>
      <w:r>
        <w:t>y</w:t>
      </w:r>
      <w:r>
        <w:rPr>
          <w:spacing w:val="-6"/>
        </w:rPr>
        <w:t xml:space="preserve"> </w:t>
      </w:r>
      <w:r>
        <w:t>las</w:t>
      </w:r>
      <w:r>
        <w:rPr>
          <w:spacing w:val="-6"/>
        </w:rPr>
        <w:t xml:space="preserve"> </w:t>
      </w:r>
      <w:r>
        <w:t>prácticas</w:t>
      </w:r>
      <w:r>
        <w:rPr>
          <w:spacing w:val="-6"/>
        </w:rPr>
        <w:t xml:space="preserve"> </w:t>
      </w:r>
      <w:r>
        <w:t>denigrantes</w:t>
      </w:r>
      <w:r>
        <w:rPr>
          <w:spacing w:val="-6"/>
        </w:rPr>
        <w:t xml:space="preserve"> </w:t>
      </w:r>
      <w:r>
        <w:t>como humillaciones sexuales.</w:t>
      </w:r>
    </w:p>
    <w:p w:rsidR="0011361F" w:rsidRDefault="00AF18A5" w:rsidP="00942E0F">
      <w:r>
        <w:t>Las</w:t>
      </w:r>
      <w:r>
        <w:rPr>
          <w:spacing w:val="-6"/>
        </w:rPr>
        <w:t xml:space="preserve"> </w:t>
      </w:r>
      <w:r>
        <w:t>violencias</w:t>
      </w:r>
      <w:r>
        <w:rPr>
          <w:spacing w:val="-6"/>
        </w:rPr>
        <w:t xml:space="preserve"> </w:t>
      </w:r>
      <w:r>
        <w:t>sexuales</w:t>
      </w:r>
      <w:r>
        <w:rPr>
          <w:spacing w:val="-7"/>
        </w:rPr>
        <w:t xml:space="preserve"> </w:t>
      </w:r>
      <w:r>
        <w:t>han</w:t>
      </w:r>
      <w:r>
        <w:rPr>
          <w:spacing w:val="-6"/>
        </w:rPr>
        <w:t xml:space="preserve"> </w:t>
      </w:r>
      <w:r>
        <w:t>sido</w:t>
      </w:r>
      <w:r>
        <w:rPr>
          <w:spacing w:val="-6"/>
        </w:rPr>
        <w:t xml:space="preserve"> </w:t>
      </w:r>
      <w:r>
        <w:t>cometidas</w:t>
      </w:r>
      <w:r>
        <w:rPr>
          <w:spacing w:val="-6"/>
        </w:rPr>
        <w:t xml:space="preserve"> </w:t>
      </w:r>
      <w:r>
        <w:t>por</w:t>
      </w:r>
      <w:r>
        <w:rPr>
          <w:spacing w:val="-7"/>
        </w:rPr>
        <w:t xml:space="preserve"> </w:t>
      </w:r>
      <w:r>
        <w:t>los</w:t>
      </w:r>
      <w:r>
        <w:rPr>
          <w:spacing w:val="-6"/>
        </w:rPr>
        <w:t xml:space="preserve"> </w:t>
      </w:r>
      <w:r>
        <w:t>distintos</w:t>
      </w:r>
      <w:r>
        <w:rPr>
          <w:spacing w:val="-7"/>
        </w:rPr>
        <w:t xml:space="preserve"> </w:t>
      </w:r>
      <w:r>
        <w:t>actores</w:t>
      </w:r>
      <w:r>
        <w:rPr>
          <w:spacing w:val="-6"/>
        </w:rPr>
        <w:t xml:space="preserve"> </w:t>
      </w:r>
      <w:r>
        <w:t>del</w:t>
      </w:r>
      <w:r>
        <w:rPr>
          <w:spacing w:val="-6"/>
        </w:rPr>
        <w:t xml:space="preserve"> </w:t>
      </w:r>
      <w:r>
        <w:t>conflicto</w:t>
      </w:r>
      <w:r>
        <w:rPr>
          <w:spacing w:val="-6"/>
        </w:rPr>
        <w:t xml:space="preserve"> </w:t>
      </w:r>
      <w:r>
        <w:t>armado, en diferente</w:t>
      </w:r>
      <w:r>
        <w:rPr>
          <w:spacing w:val="-2"/>
        </w:rPr>
        <w:t xml:space="preserve"> </w:t>
      </w:r>
      <w:r>
        <w:t>medida</w:t>
      </w:r>
      <w:r>
        <w:rPr>
          <w:spacing w:val="-1"/>
        </w:rPr>
        <w:t xml:space="preserve"> </w:t>
      </w:r>
      <w:r>
        <w:t>y patrones</w:t>
      </w:r>
      <w:r>
        <w:rPr>
          <w:spacing w:val="-1"/>
        </w:rPr>
        <w:t xml:space="preserve"> </w:t>
      </w:r>
      <w:r>
        <w:t>de victimización.</w:t>
      </w:r>
      <w:r>
        <w:rPr>
          <w:spacing w:val="-1"/>
        </w:rPr>
        <w:t xml:space="preserve"> </w:t>
      </w:r>
      <w:r>
        <w:t>Este</w:t>
      </w:r>
      <w:r>
        <w:rPr>
          <w:spacing w:val="-1"/>
        </w:rPr>
        <w:t xml:space="preserve"> </w:t>
      </w:r>
      <w:r>
        <w:t>tipo</w:t>
      </w:r>
      <w:r>
        <w:rPr>
          <w:spacing w:val="-1"/>
        </w:rPr>
        <w:t xml:space="preserve"> </w:t>
      </w:r>
      <w:r>
        <w:t>de</w:t>
      </w:r>
      <w:r>
        <w:rPr>
          <w:spacing w:val="-1"/>
        </w:rPr>
        <w:t xml:space="preserve"> </w:t>
      </w:r>
      <w:r>
        <w:t>actos se</w:t>
      </w:r>
      <w:r>
        <w:rPr>
          <w:spacing w:val="-1"/>
        </w:rPr>
        <w:t xml:space="preserve"> </w:t>
      </w:r>
      <w:r>
        <w:t>cometieron</w:t>
      </w:r>
      <w:r>
        <w:rPr>
          <w:spacing w:val="-1"/>
        </w:rPr>
        <w:t xml:space="preserve"> </w:t>
      </w:r>
      <w:r>
        <w:t>casi en</w:t>
      </w:r>
      <w:r>
        <w:rPr>
          <w:spacing w:val="-1"/>
        </w:rPr>
        <w:t xml:space="preserve"> </w:t>
      </w:r>
      <w:r>
        <w:t>su totalidad</w:t>
      </w:r>
      <w:r>
        <w:rPr>
          <w:spacing w:val="-3"/>
        </w:rPr>
        <w:t xml:space="preserve"> </w:t>
      </w:r>
      <w:r>
        <w:t>por</w:t>
      </w:r>
      <w:r>
        <w:rPr>
          <w:spacing w:val="-4"/>
        </w:rPr>
        <w:t xml:space="preserve"> </w:t>
      </w:r>
      <w:r>
        <w:t>hombres.</w:t>
      </w:r>
      <w:r>
        <w:rPr>
          <w:spacing w:val="-3"/>
        </w:rPr>
        <w:t xml:space="preserve"> </w:t>
      </w:r>
      <w:r>
        <w:t>Sobre</w:t>
      </w:r>
      <w:r>
        <w:rPr>
          <w:spacing w:val="-3"/>
        </w:rPr>
        <w:t xml:space="preserve"> </w:t>
      </w:r>
      <w:r>
        <w:t>todo,</w:t>
      </w:r>
      <w:r>
        <w:rPr>
          <w:spacing w:val="-3"/>
        </w:rPr>
        <w:t xml:space="preserve"> </w:t>
      </w:r>
      <w:r>
        <w:t>se</w:t>
      </w:r>
      <w:r>
        <w:rPr>
          <w:spacing w:val="-3"/>
        </w:rPr>
        <w:t xml:space="preserve"> </w:t>
      </w:r>
      <w:r>
        <w:t>dirigen</w:t>
      </w:r>
      <w:r>
        <w:rPr>
          <w:spacing w:val="-3"/>
        </w:rPr>
        <w:t xml:space="preserve"> </w:t>
      </w:r>
      <w:r>
        <w:t>contra</w:t>
      </w:r>
      <w:r>
        <w:rPr>
          <w:spacing w:val="-4"/>
        </w:rPr>
        <w:t xml:space="preserve"> </w:t>
      </w:r>
      <w:r>
        <w:t>las</w:t>
      </w:r>
      <w:r>
        <w:rPr>
          <w:spacing w:val="-3"/>
        </w:rPr>
        <w:t xml:space="preserve"> </w:t>
      </w:r>
      <w:r>
        <w:t>mujeres</w:t>
      </w:r>
      <w:r>
        <w:rPr>
          <w:spacing w:val="-3"/>
        </w:rPr>
        <w:t xml:space="preserve"> </w:t>
      </w:r>
      <w:r>
        <w:t>en</w:t>
      </w:r>
      <w:r>
        <w:rPr>
          <w:spacing w:val="-5"/>
        </w:rPr>
        <w:t xml:space="preserve"> </w:t>
      </w:r>
      <w:r>
        <w:t>tres</w:t>
      </w:r>
      <w:r>
        <w:rPr>
          <w:spacing w:val="-3"/>
        </w:rPr>
        <w:t xml:space="preserve"> </w:t>
      </w:r>
      <w:r>
        <w:t>tipos</w:t>
      </w:r>
      <w:r>
        <w:rPr>
          <w:spacing w:val="-3"/>
        </w:rPr>
        <w:t xml:space="preserve"> </w:t>
      </w:r>
      <w:r>
        <w:t>de</w:t>
      </w:r>
      <w:r>
        <w:rPr>
          <w:spacing w:val="-3"/>
        </w:rPr>
        <w:t xml:space="preserve"> </w:t>
      </w:r>
      <w:r>
        <w:t>situaciones: los contextos de indefensión como capturas o detenciones; en el escenario de control territorial en las comunidades; o en el contexto de operativos y masacres. Las violencias sexuales</w:t>
      </w:r>
      <w:r>
        <w:rPr>
          <w:spacing w:val="-1"/>
        </w:rPr>
        <w:t xml:space="preserve"> </w:t>
      </w:r>
      <w:r>
        <w:t>en</w:t>
      </w:r>
      <w:r>
        <w:rPr>
          <w:spacing w:val="-1"/>
        </w:rPr>
        <w:t xml:space="preserve"> </w:t>
      </w:r>
      <w:r>
        <w:t>el conflicto</w:t>
      </w:r>
      <w:r>
        <w:rPr>
          <w:spacing w:val="-1"/>
        </w:rPr>
        <w:t xml:space="preserve"> </w:t>
      </w:r>
      <w:r>
        <w:t>armado</w:t>
      </w:r>
      <w:r>
        <w:rPr>
          <w:spacing w:val="-1"/>
        </w:rPr>
        <w:t xml:space="preserve"> </w:t>
      </w:r>
      <w:r>
        <w:t>son</w:t>
      </w:r>
      <w:r>
        <w:rPr>
          <w:spacing w:val="-1"/>
        </w:rPr>
        <w:t xml:space="preserve"> </w:t>
      </w:r>
      <w:r>
        <w:t>una expresión del poder</w:t>
      </w:r>
      <w:r>
        <w:rPr>
          <w:spacing w:val="-1"/>
        </w:rPr>
        <w:t xml:space="preserve"> </w:t>
      </w:r>
      <w:r>
        <w:t>sobre</w:t>
      </w:r>
      <w:r>
        <w:rPr>
          <w:spacing w:val="-1"/>
        </w:rPr>
        <w:t xml:space="preserve"> </w:t>
      </w:r>
      <w:r>
        <w:t>la vida y el cuerpo de las mujeres; ellas son marcadas por la posesión y el sometimiento de sus cuerpos y mentes. El ataque a su dignidad, su intimidad y su sexualidad constituyen una amenaza permanente sobre sus</w:t>
      </w:r>
      <w:r>
        <w:rPr>
          <w:spacing w:val="-1"/>
        </w:rPr>
        <w:t xml:space="preserve"> </w:t>
      </w:r>
      <w:r>
        <w:t>vidas y es</w:t>
      </w:r>
      <w:r>
        <w:rPr>
          <w:spacing w:val="-1"/>
        </w:rPr>
        <w:t xml:space="preserve"> </w:t>
      </w:r>
      <w:r>
        <w:t>una</w:t>
      </w:r>
      <w:r>
        <w:rPr>
          <w:spacing w:val="-1"/>
        </w:rPr>
        <w:t xml:space="preserve"> </w:t>
      </w:r>
      <w:r>
        <w:t>práctica de</w:t>
      </w:r>
      <w:r>
        <w:rPr>
          <w:spacing w:val="-1"/>
        </w:rPr>
        <w:t xml:space="preserve"> </w:t>
      </w:r>
      <w:r>
        <w:t>control de</w:t>
      </w:r>
      <w:r>
        <w:rPr>
          <w:spacing w:val="-1"/>
        </w:rPr>
        <w:t xml:space="preserve"> </w:t>
      </w:r>
      <w:r>
        <w:t>la</w:t>
      </w:r>
      <w:r>
        <w:rPr>
          <w:spacing w:val="-1"/>
        </w:rPr>
        <w:t xml:space="preserve"> </w:t>
      </w:r>
      <w:r>
        <w:t>población y</w:t>
      </w:r>
      <w:r>
        <w:rPr>
          <w:spacing w:val="-1"/>
        </w:rPr>
        <w:t xml:space="preserve"> </w:t>
      </w:r>
      <w:r>
        <w:t>de muchas</w:t>
      </w:r>
      <w:r>
        <w:rPr>
          <w:spacing w:val="-1"/>
        </w:rPr>
        <w:t xml:space="preserve"> </w:t>
      </w:r>
      <w:r>
        <w:t>veces de</w:t>
      </w:r>
      <w:r>
        <w:rPr>
          <w:spacing w:val="-1"/>
        </w:rPr>
        <w:t xml:space="preserve"> </w:t>
      </w:r>
      <w:r>
        <w:t>anulación de ejercicios de liderazgo de las mujeres.</w:t>
      </w:r>
    </w:p>
    <w:p w:rsidR="003804AC" w:rsidRDefault="00AF18A5" w:rsidP="00942E0F">
      <w:bookmarkStart w:id="259" w:name="_bookmark184"/>
      <w:bookmarkEnd w:id="259"/>
      <w:r>
        <w:t>Entre</w:t>
      </w:r>
      <w:r>
        <w:rPr>
          <w:spacing w:val="-9"/>
        </w:rPr>
        <w:t xml:space="preserve"> </w:t>
      </w:r>
      <w:r>
        <w:t>sus</w:t>
      </w:r>
      <w:r>
        <w:rPr>
          <w:spacing w:val="-10"/>
        </w:rPr>
        <w:t xml:space="preserve"> </w:t>
      </w:r>
      <w:r>
        <w:t>formas</w:t>
      </w:r>
      <w:r>
        <w:rPr>
          <w:spacing w:val="-9"/>
        </w:rPr>
        <w:t xml:space="preserve"> </w:t>
      </w:r>
      <w:r>
        <w:t>de</w:t>
      </w:r>
      <w:r>
        <w:rPr>
          <w:spacing w:val="-9"/>
        </w:rPr>
        <w:t xml:space="preserve"> </w:t>
      </w:r>
      <w:r>
        <w:t>violencias</w:t>
      </w:r>
      <w:r>
        <w:rPr>
          <w:spacing w:val="-9"/>
        </w:rPr>
        <w:t xml:space="preserve"> </w:t>
      </w:r>
      <w:r>
        <w:t>sexuales,</w:t>
      </w:r>
      <w:r>
        <w:rPr>
          <w:spacing w:val="-9"/>
        </w:rPr>
        <w:t xml:space="preserve"> </w:t>
      </w:r>
      <w:r>
        <w:t>los</w:t>
      </w:r>
      <w:r>
        <w:rPr>
          <w:spacing w:val="-9"/>
        </w:rPr>
        <w:t xml:space="preserve"> </w:t>
      </w:r>
      <w:r>
        <w:t>grupos</w:t>
      </w:r>
      <w:r>
        <w:rPr>
          <w:spacing w:val="-9"/>
        </w:rPr>
        <w:t xml:space="preserve"> </w:t>
      </w:r>
      <w:r>
        <w:t>paramilitares</w:t>
      </w:r>
      <w:r>
        <w:rPr>
          <w:spacing w:val="-9"/>
        </w:rPr>
        <w:t xml:space="preserve"> </w:t>
      </w:r>
      <w:r>
        <w:t>incluyeron</w:t>
      </w:r>
      <w:r>
        <w:rPr>
          <w:spacing w:val="-9"/>
        </w:rPr>
        <w:t xml:space="preserve"> </w:t>
      </w:r>
      <w:r>
        <w:t xml:space="preserve">mutilaciones o heridas en los cuerpos de sus víctimas, en </w:t>
      </w:r>
      <w:r>
        <w:lastRenderedPageBreak/>
        <w:t>ocasiones de manera pública. Así lo relató un hombre</w:t>
      </w:r>
      <w:r>
        <w:rPr>
          <w:spacing w:val="-9"/>
        </w:rPr>
        <w:t xml:space="preserve"> </w:t>
      </w:r>
      <w:r>
        <w:t>habitante</w:t>
      </w:r>
      <w:r>
        <w:rPr>
          <w:spacing w:val="-11"/>
        </w:rPr>
        <w:t xml:space="preserve"> </w:t>
      </w:r>
      <w:r>
        <w:t>de</w:t>
      </w:r>
      <w:r>
        <w:rPr>
          <w:spacing w:val="-9"/>
        </w:rPr>
        <w:t xml:space="preserve"> </w:t>
      </w:r>
      <w:r>
        <w:t>Vistahermosa,</w:t>
      </w:r>
      <w:r>
        <w:rPr>
          <w:spacing w:val="-11"/>
        </w:rPr>
        <w:t xml:space="preserve"> </w:t>
      </w:r>
      <w:r>
        <w:t>Meta,</w:t>
      </w:r>
      <w:r>
        <w:rPr>
          <w:spacing w:val="-11"/>
        </w:rPr>
        <w:t xml:space="preserve"> </w:t>
      </w:r>
      <w:r>
        <w:t>acerca</w:t>
      </w:r>
      <w:r>
        <w:rPr>
          <w:spacing w:val="-11"/>
        </w:rPr>
        <w:t xml:space="preserve"> </w:t>
      </w:r>
      <w:r>
        <w:t>de</w:t>
      </w:r>
      <w:r>
        <w:rPr>
          <w:spacing w:val="-9"/>
        </w:rPr>
        <w:t xml:space="preserve"> </w:t>
      </w:r>
      <w:r>
        <w:t>lo</w:t>
      </w:r>
      <w:r>
        <w:rPr>
          <w:spacing w:val="-11"/>
        </w:rPr>
        <w:t xml:space="preserve"> </w:t>
      </w:r>
      <w:r>
        <w:t>sucedido</w:t>
      </w:r>
      <w:r>
        <w:rPr>
          <w:spacing w:val="-10"/>
        </w:rPr>
        <w:t xml:space="preserve"> </w:t>
      </w:r>
      <w:r>
        <w:t>a</w:t>
      </w:r>
      <w:r>
        <w:rPr>
          <w:spacing w:val="-9"/>
        </w:rPr>
        <w:t xml:space="preserve"> </w:t>
      </w:r>
      <w:r>
        <w:t>inicios</w:t>
      </w:r>
      <w:r>
        <w:rPr>
          <w:spacing w:val="-11"/>
        </w:rPr>
        <w:t xml:space="preserve"> </w:t>
      </w:r>
      <w:r>
        <w:t>de</w:t>
      </w:r>
      <w:r>
        <w:rPr>
          <w:spacing w:val="-9"/>
        </w:rPr>
        <w:t xml:space="preserve"> </w:t>
      </w:r>
      <w:r>
        <w:t>los</w:t>
      </w:r>
      <w:r>
        <w:rPr>
          <w:spacing w:val="-11"/>
        </w:rPr>
        <w:t xml:space="preserve"> </w:t>
      </w:r>
      <w:r>
        <w:t>años</w:t>
      </w:r>
      <w:r>
        <w:rPr>
          <w:spacing w:val="-10"/>
        </w:rPr>
        <w:t xml:space="preserve"> </w:t>
      </w:r>
      <w:r>
        <w:t>noventa con la entrada del paramilitarismo a la región: «Había una muchacha que era novia de un comandante</w:t>
      </w:r>
      <w:r>
        <w:rPr>
          <w:spacing w:val="-11"/>
        </w:rPr>
        <w:t xml:space="preserve"> </w:t>
      </w:r>
      <w:r>
        <w:t>o</w:t>
      </w:r>
      <w:r>
        <w:rPr>
          <w:spacing w:val="-10"/>
        </w:rPr>
        <w:t xml:space="preserve"> </w:t>
      </w:r>
      <w:r>
        <w:t>mujer</w:t>
      </w:r>
      <w:r>
        <w:rPr>
          <w:spacing w:val="-9"/>
        </w:rPr>
        <w:t xml:space="preserve"> </w:t>
      </w:r>
      <w:r>
        <w:t>de</w:t>
      </w:r>
      <w:r>
        <w:rPr>
          <w:spacing w:val="-9"/>
        </w:rPr>
        <w:t xml:space="preserve"> </w:t>
      </w:r>
      <w:r>
        <w:t>un</w:t>
      </w:r>
      <w:r>
        <w:rPr>
          <w:spacing w:val="-10"/>
        </w:rPr>
        <w:t xml:space="preserve"> </w:t>
      </w:r>
      <w:r>
        <w:t>comandante</w:t>
      </w:r>
      <w:r>
        <w:rPr>
          <w:spacing w:val="-9"/>
        </w:rPr>
        <w:t xml:space="preserve"> </w:t>
      </w:r>
      <w:r>
        <w:t>[de</w:t>
      </w:r>
      <w:r>
        <w:rPr>
          <w:spacing w:val="-9"/>
        </w:rPr>
        <w:t xml:space="preserve"> </w:t>
      </w:r>
      <w:r>
        <w:t>las</w:t>
      </w:r>
      <w:r>
        <w:rPr>
          <w:spacing w:val="-9"/>
        </w:rPr>
        <w:t xml:space="preserve"> </w:t>
      </w:r>
      <w:r>
        <w:t>FARC-EP]</w:t>
      </w:r>
      <w:r>
        <w:rPr>
          <w:spacing w:val="-9"/>
        </w:rPr>
        <w:t xml:space="preserve"> </w:t>
      </w:r>
      <w:r>
        <w:t>y</w:t>
      </w:r>
      <w:r>
        <w:rPr>
          <w:spacing w:val="-10"/>
        </w:rPr>
        <w:t xml:space="preserve"> </w:t>
      </w:r>
      <w:r>
        <w:t>que</w:t>
      </w:r>
      <w:r>
        <w:rPr>
          <w:spacing w:val="-9"/>
        </w:rPr>
        <w:t xml:space="preserve"> </w:t>
      </w:r>
      <w:r>
        <w:t>la</w:t>
      </w:r>
      <w:r>
        <w:rPr>
          <w:spacing w:val="-9"/>
        </w:rPr>
        <w:t xml:space="preserve"> </w:t>
      </w:r>
      <w:r>
        <w:t>amarraron</w:t>
      </w:r>
      <w:r>
        <w:rPr>
          <w:spacing w:val="-10"/>
        </w:rPr>
        <w:t xml:space="preserve"> </w:t>
      </w:r>
      <w:r>
        <w:t>en</w:t>
      </w:r>
      <w:r>
        <w:rPr>
          <w:spacing w:val="-10"/>
        </w:rPr>
        <w:t xml:space="preserve"> </w:t>
      </w:r>
      <w:r>
        <w:t>plena</w:t>
      </w:r>
      <w:r>
        <w:rPr>
          <w:spacing w:val="-11"/>
        </w:rPr>
        <w:t xml:space="preserve"> </w:t>
      </w:r>
      <w:r>
        <w:t>plaza, desnuda, y que le quitaron los senos para sembrar el terror en la región»</w:t>
      </w:r>
      <w:r w:rsidR="00141331">
        <w:rPr>
          <w:rStyle w:val="Refdenotaalpie"/>
        </w:rPr>
        <w:footnoteReference w:id="159"/>
      </w:r>
      <w:r>
        <w:t>.</w:t>
      </w:r>
    </w:p>
    <w:p w:rsidR="003804AC" w:rsidRDefault="00AF18A5" w:rsidP="00141331">
      <w:r>
        <w:t>En el caso de las FARC-EP, se dieron especialmente violencias reproductivas, entre las que</w:t>
      </w:r>
      <w:r>
        <w:rPr>
          <w:spacing w:val="-9"/>
        </w:rPr>
        <w:t xml:space="preserve"> </w:t>
      </w:r>
      <w:r>
        <w:t>están</w:t>
      </w:r>
      <w:r>
        <w:rPr>
          <w:spacing w:val="-11"/>
        </w:rPr>
        <w:t xml:space="preserve"> </w:t>
      </w:r>
      <w:r>
        <w:t>la</w:t>
      </w:r>
      <w:r>
        <w:rPr>
          <w:spacing w:val="-10"/>
        </w:rPr>
        <w:t xml:space="preserve"> </w:t>
      </w:r>
      <w:r>
        <w:t>anticoncepción</w:t>
      </w:r>
      <w:r>
        <w:rPr>
          <w:spacing w:val="-9"/>
        </w:rPr>
        <w:t xml:space="preserve"> </w:t>
      </w:r>
      <w:r>
        <w:t>forzada,</w:t>
      </w:r>
      <w:r>
        <w:rPr>
          <w:spacing w:val="-11"/>
        </w:rPr>
        <w:t xml:space="preserve"> </w:t>
      </w:r>
      <w:r>
        <w:t>la</w:t>
      </w:r>
      <w:r>
        <w:rPr>
          <w:spacing w:val="-9"/>
        </w:rPr>
        <w:t xml:space="preserve"> </w:t>
      </w:r>
      <w:r>
        <w:t>esterilización</w:t>
      </w:r>
      <w:r>
        <w:rPr>
          <w:spacing w:val="-9"/>
        </w:rPr>
        <w:t xml:space="preserve"> </w:t>
      </w:r>
      <w:r>
        <w:t>forzada</w:t>
      </w:r>
      <w:r>
        <w:rPr>
          <w:spacing w:val="-9"/>
        </w:rPr>
        <w:t xml:space="preserve"> </w:t>
      </w:r>
      <w:r>
        <w:t>y</w:t>
      </w:r>
      <w:r>
        <w:rPr>
          <w:spacing w:val="-11"/>
        </w:rPr>
        <w:t xml:space="preserve"> </w:t>
      </w:r>
      <w:r>
        <w:t>el</w:t>
      </w:r>
      <w:r>
        <w:rPr>
          <w:spacing w:val="-10"/>
        </w:rPr>
        <w:t xml:space="preserve"> </w:t>
      </w:r>
      <w:r>
        <w:t>aborto</w:t>
      </w:r>
      <w:r>
        <w:rPr>
          <w:spacing w:val="-9"/>
        </w:rPr>
        <w:t xml:space="preserve"> </w:t>
      </w:r>
      <w:r>
        <w:t>forzado.</w:t>
      </w:r>
      <w:r>
        <w:rPr>
          <w:spacing w:val="-9"/>
        </w:rPr>
        <w:t xml:space="preserve"> </w:t>
      </w:r>
      <w:r>
        <w:t>Aunque</w:t>
      </w:r>
      <w:r>
        <w:rPr>
          <w:spacing w:val="-9"/>
        </w:rPr>
        <w:t xml:space="preserve"> </w:t>
      </w:r>
      <w:r>
        <w:t xml:space="preserve">las FARC-EP penalizaron en sus filas la violación sexual, incluso con «ajusticiamientos», la Comisión también recogió testimonios de violencias sexuales </w:t>
      </w:r>
      <w:proofErr w:type="spellStart"/>
      <w:r>
        <w:t>intrafilas</w:t>
      </w:r>
      <w:proofErr w:type="spellEnd"/>
      <w:r>
        <w:t xml:space="preserve"> y testimonios de mujeres víctimas civiles que sufrieron violaciones sexuales por miembros de este grupo.</w:t>
      </w:r>
    </w:p>
    <w:p w:rsidR="003804AC" w:rsidRDefault="00AF18A5" w:rsidP="00141331">
      <w:r>
        <w:t>En el caso de la fuerza pública, se registraron menos casos, pero existen registros de violación</w:t>
      </w:r>
      <w:r>
        <w:rPr>
          <w:spacing w:val="-1"/>
        </w:rPr>
        <w:t xml:space="preserve"> </w:t>
      </w:r>
      <w:r>
        <w:t>sexual</w:t>
      </w:r>
      <w:r>
        <w:rPr>
          <w:spacing w:val="-1"/>
        </w:rPr>
        <w:t xml:space="preserve"> </w:t>
      </w:r>
      <w:r>
        <w:t>documentada</w:t>
      </w:r>
      <w:r>
        <w:rPr>
          <w:spacing w:val="-2"/>
        </w:rPr>
        <w:t xml:space="preserve"> </w:t>
      </w:r>
      <w:r>
        <w:t>desde</w:t>
      </w:r>
      <w:r>
        <w:rPr>
          <w:spacing w:val="-1"/>
        </w:rPr>
        <w:t xml:space="preserve"> </w:t>
      </w:r>
      <w:r>
        <w:t>la</w:t>
      </w:r>
      <w:r>
        <w:rPr>
          <w:spacing w:val="-2"/>
        </w:rPr>
        <w:t xml:space="preserve"> </w:t>
      </w:r>
      <w:r>
        <w:t>época</w:t>
      </w:r>
      <w:r>
        <w:rPr>
          <w:spacing w:val="-2"/>
        </w:rPr>
        <w:t xml:space="preserve"> </w:t>
      </w:r>
      <w:r>
        <w:t>del</w:t>
      </w:r>
      <w:r>
        <w:rPr>
          <w:spacing w:val="-1"/>
        </w:rPr>
        <w:t xml:space="preserve"> </w:t>
      </w:r>
      <w:r>
        <w:t>Estatuto</w:t>
      </w:r>
      <w:r>
        <w:rPr>
          <w:spacing w:val="-1"/>
        </w:rPr>
        <w:t xml:space="preserve"> </w:t>
      </w:r>
      <w:r>
        <w:t>de</w:t>
      </w:r>
      <w:r>
        <w:rPr>
          <w:spacing w:val="-1"/>
        </w:rPr>
        <w:t xml:space="preserve"> </w:t>
      </w:r>
      <w:r>
        <w:t>Seguridad</w:t>
      </w:r>
      <w:r>
        <w:rPr>
          <w:spacing w:val="-2"/>
        </w:rPr>
        <w:t xml:space="preserve"> </w:t>
      </w:r>
      <w:r>
        <w:t>(1978</w:t>
      </w:r>
      <w:r>
        <w:rPr>
          <w:spacing w:val="-1"/>
        </w:rPr>
        <w:t xml:space="preserve"> </w:t>
      </w:r>
      <w:r>
        <w:t>a</w:t>
      </w:r>
      <w:r>
        <w:rPr>
          <w:spacing w:val="-1"/>
        </w:rPr>
        <w:t xml:space="preserve"> </w:t>
      </w:r>
      <w:r>
        <w:t>1982)</w:t>
      </w:r>
      <w:r>
        <w:rPr>
          <w:spacing w:val="-1"/>
        </w:rPr>
        <w:t xml:space="preserve"> </w:t>
      </w:r>
      <w:r>
        <w:t>en</w:t>
      </w:r>
      <w:r>
        <w:rPr>
          <w:spacing w:val="-2"/>
        </w:rPr>
        <w:t xml:space="preserve"> </w:t>
      </w:r>
      <w:r>
        <w:t>el contexto</w:t>
      </w:r>
      <w:r>
        <w:rPr>
          <w:spacing w:val="-5"/>
        </w:rPr>
        <w:t xml:space="preserve"> </w:t>
      </w:r>
      <w:r>
        <w:t>de</w:t>
      </w:r>
      <w:r>
        <w:rPr>
          <w:spacing w:val="-6"/>
        </w:rPr>
        <w:t xml:space="preserve"> </w:t>
      </w:r>
      <w:r>
        <w:t>detenciones</w:t>
      </w:r>
      <w:r>
        <w:rPr>
          <w:spacing w:val="-6"/>
        </w:rPr>
        <w:t xml:space="preserve"> </w:t>
      </w:r>
      <w:r>
        <w:t>y</w:t>
      </w:r>
      <w:r>
        <w:rPr>
          <w:spacing w:val="-5"/>
        </w:rPr>
        <w:t xml:space="preserve"> </w:t>
      </w:r>
      <w:r>
        <w:t>torturas,</w:t>
      </w:r>
      <w:r>
        <w:rPr>
          <w:spacing w:val="-5"/>
        </w:rPr>
        <w:t xml:space="preserve"> </w:t>
      </w:r>
      <w:r>
        <w:t>principalmente</w:t>
      </w:r>
      <w:r>
        <w:rPr>
          <w:spacing w:val="-4"/>
        </w:rPr>
        <w:t xml:space="preserve"> </w:t>
      </w:r>
      <w:r>
        <w:t>contra</w:t>
      </w:r>
      <w:r>
        <w:rPr>
          <w:spacing w:val="-6"/>
        </w:rPr>
        <w:t xml:space="preserve"> </w:t>
      </w:r>
      <w:r>
        <w:t>mujeres</w:t>
      </w:r>
      <w:r>
        <w:rPr>
          <w:spacing w:val="-4"/>
        </w:rPr>
        <w:t xml:space="preserve"> </w:t>
      </w:r>
      <w:r>
        <w:t>acusadas</w:t>
      </w:r>
      <w:r>
        <w:rPr>
          <w:spacing w:val="-5"/>
        </w:rPr>
        <w:t xml:space="preserve"> </w:t>
      </w:r>
      <w:r>
        <w:t>de</w:t>
      </w:r>
      <w:r>
        <w:rPr>
          <w:spacing w:val="-4"/>
        </w:rPr>
        <w:t xml:space="preserve"> </w:t>
      </w:r>
      <w:r>
        <w:t>guerrilleras</w:t>
      </w:r>
      <w:r>
        <w:rPr>
          <w:spacing w:val="-4"/>
        </w:rPr>
        <w:t xml:space="preserve"> </w:t>
      </w:r>
      <w:r>
        <w:t>o que formaban parte de grupos armados y que fueron detenidas. También la Comisión documentó</w:t>
      </w:r>
      <w:r>
        <w:rPr>
          <w:spacing w:val="-7"/>
        </w:rPr>
        <w:t xml:space="preserve"> </w:t>
      </w:r>
      <w:r>
        <w:t>casos</w:t>
      </w:r>
      <w:r>
        <w:rPr>
          <w:spacing w:val="-5"/>
        </w:rPr>
        <w:t xml:space="preserve"> </w:t>
      </w:r>
      <w:r>
        <w:t>de</w:t>
      </w:r>
      <w:r>
        <w:rPr>
          <w:spacing w:val="-6"/>
        </w:rPr>
        <w:t xml:space="preserve"> </w:t>
      </w:r>
      <w:r>
        <w:t>hombres</w:t>
      </w:r>
      <w:r>
        <w:rPr>
          <w:spacing w:val="-6"/>
        </w:rPr>
        <w:t xml:space="preserve"> </w:t>
      </w:r>
      <w:r>
        <w:t>que</w:t>
      </w:r>
      <w:r>
        <w:rPr>
          <w:spacing w:val="-5"/>
        </w:rPr>
        <w:t xml:space="preserve"> </w:t>
      </w:r>
      <w:r>
        <w:t>sufrieron</w:t>
      </w:r>
      <w:r>
        <w:rPr>
          <w:spacing w:val="-5"/>
        </w:rPr>
        <w:t xml:space="preserve"> </w:t>
      </w:r>
      <w:r>
        <w:t>violación</w:t>
      </w:r>
      <w:r>
        <w:rPr>
          <w:spacing w:val="-5"/>
        </w:rPr>
        <w:t xml:space="preserve"> </w:t>
      </w:r>
      <w:r>
        <w:t>sexual</w:t>
      </w:r>
      <w:r>
        <w:rPr>
          <w:spacing w:val="-6"/>
        </w:rPr>
        <w:t xml:space="preserve"> </w:t>
      </w:r>
      <w:r>
        <w:t>como</w:t>
      </w:r>
      <w:r>
        <w:rPr>
          <w:spacing w:val="-5"/>
        </w:rPr>
        <w:t xml:space="preserve"> </w:t>
      </w:r>
      <w:r>
        <w:t>parte</w:t>
      </w:r>
      <w:r>
        <w:rPr>
          <w:spacing w:val="-6"/>
        </w:rPr>
        <w:t xml:space="preserve"> </w:t>
      </w:r>
      <w:r>
        <w:t>de</w:t>
      </w:r>
      <w:r>
        <w:rPr>
          <w:spacing w:val="-5"/>
        </w:rPr>
        <w:t xml:space="preserve"> </w:t>
      </w:r>
      <w:r>
        <w:t>la</w:t>
      </w:r>
      <w:r>
        <w:rPr>
          <w:spacing w:val="-6"/>
        </w:rPr>
        <w:t xml:space="preserve"> </w:t>
      </w:r>
      <w:r>
        <w:t>tortura</w:t>
      </w:r>
      <w:r>
        <w:rPr>
          <w:spacing w:val="-7"/>
        </w:rPr>
        <w:t xml:space="preserve"> </w:t>
      </w:r>
      <w:r>
        <w:t>en</w:t>
      </w:r>
      <w:r>
        <w:rPr>
          <w:spacing w:val="-5"/>
        </w:rPr>
        <w:t xml:space="preserve"> </w:t>
      </w:r>
      <w:r>
        <w:t>esas circunstancias</w:t>
      </w:r>
      <w:r>
        <w:rPr>
          <w:spacing w:val="-4"/>
        </w:rPr>
        <w:t xml:space="preserve"> </w:t>
      </w:r>
      <w:r>
        <w:t>de</w:t>
      </w:r>
      <w:r>
        <w:rPr>
          <w:spacing w:val="-4"/>
        </w:rPr>
        <w:t xml:space="preserve"> </w:t>
      </w:r>
      <w:r>
        <w:t>detenciones.</w:t>
      </w:r>
      <w:r>
        <w:rPr>
          <w:spacing w:val="-5"/>
        </w:rPr>
        <w:t xml:space="preserve"> </w:t>
      </w:r>
      <w:r>
        <w:t>Debemos</w:t>
      </w:r>
      <w:r>
        <w:rPr>
          <w:spacing w:val="-5"/>
        </w:rPr>
        <w:t xml:space="preserve"> </w:t>
      </w:r>
      <w:r>
        <w:t>tener</w:t>
      </w:r>
      <w:r>
        <w:rPr>
          <w:spacing w:val="-4"/>
        </w:rPr>
        <w:t xml:space="preserve"> </w:t>
      </w:r>
      <w:r>
        <w:t>en</w:t>
      </w:r>
      <w:r>
        <w:rPr>
          <w:spacing w:val="-6"/>
        </w:rPr>
        <w:t xml:space="preserve"> </w:t>
      </w:r>
      <w:r>
        <w:t>cuenta</w:t>
      </w:r>
      <w:r>
        <w:rPr>
          <w:spacing w:val="-4"/>
        </w:rPr>
        <w:t xml:space="preserve"> </w:t>
      </w:r>
      <w:r>
        <w:t>que</w:t>
      </w:r>
      <w:r>
        <w:rPr>
          <w:spacing w:val="-6"/>
        </w:rPr>
        <w:t xml:space="preserve"> </w:t>
      </w:r>
      <w:r>
        <w:t>también</w:t>
      </w:r>
      <w:r>
        <w:rPr>
          <w:spacing w:val="-6"/>
        </w:rPr>
        <w:t xml:space="preserve"> </w:t>
      </w:r>
      <w:r>
        <w:t>las</w:t>
      </w:r>
      <w:r>
        <w:rPr>
          <w:spacing w:val="-4"/>
        </w:rPr>
        <w:t xml:space="preserve"> </w:t>
      </w:r>
      <w:r>
        <w:t>violencias</w:t>
      </w:r>
      <w:r>
        <w:rPr>
          <w:spacing w:val="-4"/>
        </w:rPr>
        <w:t xml:space="preserve"> </w:t>
      </w:r>
      <w:r>
        <w:t>sexuales fueron</w:t>
      </w:r>
      <w:r>
        <w:rPr>
          <w:spacing w:val="-15"/>
        </w:rPr>
        <w:t xml:space="preserve"> </w:t>
      </w:r>
      <w:r>
        <w:t>perpetradas</w:t>
      </w:r>
      <w:r>
        <w:rPr>
          <w:spacing w:val="-15"/>
        </w:rPr>
        <w:t xml:space="preserve"> </w:t>
      </w:r>
      <w:r>
        <w:t>contra</w:t>
      </w:r>
      <w:r>
        <w:rPr>
          <w:spacing w:val="-15"/>
        </w:rPr>
        <w:t xml:space="preserve"> </w:t>
      </w:r>
      <w:r>
        <w:t>mujeres</w:t>
      </w:r>
      <w:r>
        <w:rPr>
          <w:spacing w:val="-15"/>
        </w:rPr>
        <w:t xml:space="preserve"> </w:t>
      </w:r>
      <w:r>
        <w:t>y</w:t>
      </w:r>
      <w:r>
        <w:rPr>
          <w:spacing w:val="-15"/>
        </w:rPr>
        <w:t xml:space="preserve"> </w:t>
      </w:r>
      <w:r>
        <w:t>hombres</w:t>
      </w:r>
      <w:r>
        <w:rPr>
          <w:spacing w:val="-15"/>
        </w:rPr>
        <w:t xml:space="preserve"> </w:t>
      </w:r>
      <w:r>
        <w:t>en</w:t>
      </w:r>
      <w:r>
        <w:rPr>
          <w:spacing w:val="-15"/>
        </w:rPr>
        <w:t xml:space="preserve"> </w:t>
      </w:r>
      <w:r>
        <w:t>contextos</w:t>
      </w:r>
      <w:r>
        <w:rPr>
          <w:spacing w:val="-15"/>
        </w:rPr>
        <w:t xml:space="preserve"> </w:t>
      </w:r>
      <w:r>
        <w:t>de</w:t>
      </w:r>
      <w:r>
        <w:rPr>
          <w:spacing w:val="-15"/>
        </w:rPr>
        <w:t xml:space="preserve"> </w:t>
      </w:r>
      <w:r>
        <w:t>detenciones</w:t>
      </w:r>
      <w:r>
        <w:rPr>
          <w:spacing w:val="-15"/>
        </w:rPr>
        <w:t xml:space="preserve"> </w:t>
      </w:r>
      <w:r>
        <w:t>arbitrarias,</w:t>
      </w:r>
      <w:r>
        <w:rPr>
          <w:spacing w:val="-15"/>
        </w:rPr>
        <w:t xml:space="preserve"> </w:t>
      </w:r>
      <w:r>
        <w:t>torturas y</w:t>
      </w:r>
      <w:r>
        <w:rPr>
          <w:spacing w:val="-13"/>
        </w:rPr>
        <w:t xml:space="preserve"> </w:t>
      </w:r>
      <w:r>
        <w:t>ejecuciones</w:t>
      </w:r>
      <w:r>
        <w:rPr>
          <w:spacing w:val="-13"/>
        </w:rPr>
        <w:t xml:space="preserve"> </w:t>
      </w:r>
      <w:r>
        <w:t>extrajudiciales</w:t>
      </w:r>
      <w:r>
        <w:rPr>
          <w:spacing w:val="-13"/>
        </w:rPr>
        <w:t xml:space="preserve"> </w:t>
      </w:r>
      <w:r>
        <w:t>en</w:t>
      </w:r>
      <w:r>
        <w:rPr>
          <w:spacing w:val="-14"/>
        </w:rPr>
        <w:t xml:space="preserve"> </w:t>
      </w:r>
      <w:r>
        <w:t>las</w:t>
      </w:r>
      <w:r>
        <w:rPr>
          <w:spacing w:val="-13"/>
        </w:rPr>
        <w:t xml:space="preserve"> </w:t>
      </w:r>
      <w:r>
        <w:t>que</w:t>
      </w:r>
      <w:r>
        <w:rPr>
          <w:spacing w:val="-13"/>
        </w:rPr>
        <w:t xml:space="preserve"> </w:t>
      </w:r>
      <w:r>
        <w:t>se</w:t>
      </w:r>
      <w:r>
        <w:rPr>
          <w:spacing w:val="-13"/>
        </w:rPr>
        <w:t xml:space="preserve"> </w:t>
      </w:r>
      <w:r>
        <w:t>registraron</w:t>
      </w:r>
      <w:r>
        <w:rPr>
          <w:spacing w:val="-13"/>
        </w:rPr>
        <w:t xml:space="preserve"> </w:t>
      </w:r>
      <w:r>
        <w:t>prácticas</w:t>
      </w:r>
      <w:r>
        <w:rPr>
          <w:spacing w:val="-13"/>
        </w:rPr>
        <w:t xml:space="preserve"> </w:t>
      </w:r>
      <w:r>
        <w:t>de</w:t>
      </w:r>
      <w:r>
        <w:rPr>
          <w:spacing w:val="-13"/>
        </w:rPr>
        <w:t xml:space="preserve"> </w:t>
      </w:r>
      <w:r>
        <w:t>mutilación</w:t>
      </w:r>
      <w:r>
        <w:rPr>
          <w:spacing w:val="-13"/>
        </w:rPr>
        <w:t xml:space="preserve"> </w:t>
      </w:r>
      <w:r>
        <w:t>de</w:t>
      </w:r>
      <w:r>
        <w:rPr>
          <w:spacing w:val="-13"/>
        </w:rPr>
        <w:t xml:space="preserve"> </w:t>
      </w:r>
      <w:r>
        <w:t>los</w:t>
      </w:r>
      <w:r>
        <w:rPr>
          <w:spacing w:val="-13"/>
        </w:rPr>
        <w:t xml:space="preserve"> </w:t>
      </w:r>
      <w:r>
        <w:t>genitales de las víctimas, como formas de castigo y humillación.</w:t>
      </w:r>
    </w:p>
    <w:p w:rsidR="003804AC" w:rsidRDefault="00AF18A5" w:rsidP="00141331">
      <w:r>
        <w:t xml:space="preserve">En las violencias sexuales se presenta un gran subregistro por la falta de </w:t>
      </w:r>
      <w:r>
        <w:lastRenderedPageBreak/>
        <w:t>mecanismos adecuados y de garantías para la denuncia, por el estigma asociado de la violación, por las implicaciones</w:t>
      </w:r>
      <w:r>
        <w:rPr>
          <w:spacing w:val="-10"/>
        </w:rPr>
        <w:t xml:space="preserve"> </w:t>
      </w:r>
      <w:r>
        <w:t>subjetivas</w:t>
      </w:r>
      <w:r>
        <w:rPr>
          <w:spacing w:val="-12"/>
        </w:rPr>
        <w:t xml:space="preserve"> </w:t>
      </w:r>
      <w:r>
        <w:t>y</w:t>
      </w:r>
      <w:r>
        <w:rPr>
          <w:spacing w:val="-11"/>
        </w:rPr>
        <w:t xml:space="preserve"> </w:t>
      </w:r>
      <w:r>
        <w:t>familiares</w:t>
      </w:r>
      <w:r>
        <w:rPr>
          <w:spacing w:val="-12"/>
        </w:rPr>
        <w:t xml:space="preserve"> </w:t>
      </w:r>
      <w:r>
        <w:t>que</w:t>
      </w:r>
      <w:r>
        <w:rPr>
          <w:spacing w:val="-10"/>
        </w:rPr>
        <w:t xml:space="preserve"> </w:t>
      </w:r>
      <w:r>
        <w:t>acarrea,</w:t>
      </w:r>
      <w:r>
        <w:rPr>
          <w:spacing w:val="-12"/>
        </w:rPr>
        <w:t xml:space="preserve"> </w:t>
      </w:r>
      <w:r>
        <w:t>por</w:t>
      </w:r>
      <w:r>
        <w:rPr>
          <w:spacing w:val="-10"/>
        </w:rPr>
        <w:t xml:space="preserve"> </w:t>
      </w:r>
      <w:r>
        <w:t>la</w:t>
      </w:r>
      <w:r>
        <w:rPr>
          <w:spacing w:val="-10"/>
        </w:rPr>
        <w:t xml:space="preserve"> </w:t>
      </w:r>
      <w:r>
        <w:t>reiterada</w:t>
      </w:r>
      <w:r>
        <w:rPr>
          <w:spacing w:val="-10"/>
        </w:rPr>
        <w:t xml:space="preserve"> </w:t>
      </w:r>
      <w:r>
        <w:t>exposición</w:t>
      </w:r>
      <w:r>
        <w:rPr>
          <w:spacing w:val="-11"/>
        </w:rPr>
        <w:t xml:space="preserve"> </w:t>
      </w:r>
      <w:r>
        <w:t>de</w:t>
      </w:r>
      <w:r>
        <w:rPr>
          <w:spacing w:val="-10"/>
        </w:rPr>
        <w:t xml:space="preserve"> </w:t>
      </w:r>
      <w:r>
        <w:t>su</w:t>
      </w:r>
      <w:r>
        <w:rPr>
          <w:spacing w:val="-11"/>
        </w:rPr>
        <w:t xml:space="preserve"> </w:t>
      </w:r>
      <w:r>
        <w:t>intimidad y</w:t>
      </w:r>
      <w:r>
        <w:rPr>
          <w:spacing w:val="-12"/>
        </w:rPr>
        <w:t xml:space="preserve"> </w:t>
      </w:r>
      <w:r>
        <w:t>por</w:t>
      </w:r>
      <w:r>
        <w:rPr>
          <w:spacing w:val="-13"/>
        </w:rPr>
        <w:t xml:space="preserve"> </w:t>
      </w:r>
      <w:r>
        <w:t>la</w:t>
      </w:r>
      <w:r>
        <w:rPr>
          <w:spacing w:val="-13"/>
        </w:rPr>
        <w:t xml:space="preserve"> </w:t>
      </w:r>
      <w:r>
        <w:t>desprotección</w:t>
      </w:r>
      <w:r>
        <w:rPr>
          <w:spacing w:val="-12"/>
        </w:rPr>
        <w:t xml:space="preserve"> </w:t>
      </w:r>
      <w:r>
        <w:t>de</w:t>
      </w:r>
      <w:r>
        <w:rPr>
          <w:spacing w:val="-13"/>
        </w:rPr>
        <w:t xml:space="preserve"> </w:t>
      </w:r>
      <w:r>
        <w:t>las</w:t>
      </w:r>
      <w:r>
        <w:rPr>
          <w:spacing w:val="-12"/>
        </w:rPr>
        <w:t xml:space="preserve"> </w:t>
      </w:r>
      <w:r>
        <w:t>víctimas.</w:t>
      </w:r>
      <w:r>
        <w:rPr>
          <w:spacing w:val="-13"/>
        </w:rPr>
        <w:t xml:space="preserve"> </w:t>
      </w:r>
      <w:r>
        <w:t>De</w:t>
      </w:r>
      <w:r>
        <w:rPr>
          <w:spacing w:val="-12"/>
        </w:rPr>
        <w:t xml:space="preserve"> </w:t>
      </w:r>
      <w:r>
        <w:t>acuerdo</w:t>
      </w:r>
      <w:r>
        <w:rPr>
          <w:spacing w:val="-13"/>
        </w:rPr>
        <w:t xml:space="preserve"> </w:t>
      </w:r>
      <w:r>
        <w:t>con</w:t>
      </w:r>
      <w:r>
        <w:rPr>
          <w:spacing w:val="-12"/>
        </w:rPr>
        <w:t xml:space="preserve"> </w:t>
      </w:r>
      <w:r>
        <w:t>el</w:t>
      </w:r>
      <w:r>
        <w:rPr>
          <w:spacing w:val="-13"/>
        </w:rPr>
        <w:t xml:space="preserve"> </w:t>
      </w:r>
      <w:r>
        <w:t>Registro</w:t>
      </w:r>
      <w:r>
        <w:rPr>
          <w:spacing w:val="-12"/>
        </w:rPr>
        <w:t xml:space="preserve"> </w:t>
      </w:r>
      <w:r>
        <w:t>Único</w:t>
      </w:r>
      <w:r>
        <w:rPr>
          <w:spacing w:val="-13"/>
        </w:rPr>
        <w:t xml:space="preserve"> </w:t>
      </w:r>
      <w:r>
        <w:t>de</w:t>
      </w:r>
      <w:r>
        <w:rPr>
          <w:spacing w:val="-13"/>
        </w:rPr>
        <w:t xml:space="preserve"> </w:t>
      </w:r>
      <w:r>
        <w:t>Víctimas</w:t>
      </w:r>
      <w:r>
        <w:rPr>
          <w:spacing w:val="-13"/>
        </w:rPr>
        <w:t xml:space="preserve"> </w:t>
      </w:r>
      <w:r>
        <w:t>(RUV), en Colombia al menos 32.446 personas han sido víctimas de</w:t>
      </w:r>
      <w:r>
        <w:rPr>
          <w:spacing w:val="-1"/>
        </w:rPr>
        <w:t xml:space="preserve"> </w:t>
      </w:r>
      <w:r>
        <w:t>actos en contra de la libertad y la</w:t>
      </w:r>
      <w:r>
        <w:rPr>
          <w:spacing w:val="-6"/>
        </w:rPr>
        <w:t xml:space="preserve"> </w:t>
      </w:r>
      <w:r>
        <w:t>integridad</w:t>
      </w:r>
      <w:r>
        <w:rPr>
          <w:spacing w:val="-5"/>
        </w:rPr>
        <w:t xml:space="preserve"> </w:t>
      </w:r>
      <w:r>
        <w:t>sexual.</w:t>
      </w:r>
      <w:r>
        <w:rPr>
          <w:spacing w:val="-5"/>
        </w:rPr>
        <w:t xml:space="preserve"> </w:t>
      </w:r>
      <w:r>
        <w:t>Las</w:t>
      </w:r>
      <w:r>
        <w:rPr>
          <w:spacing w:val="-6"/>
        </w:rPr>
        <w:t xml:space="preserve"> </w:t>
      </w:r>
      <w:r>
        <w:t>mujeres</w:t>
      </w:r>
      <w:r>
        <w:rPr>
          <w:spacing w:val="-4"/>
        </w:rPr>
        <w:t xml:space="preserve"> </w:t>
      </w:r>
      <w:r>
        <w:t>y</w:t>
      </w:r>
      <w:r>
        <w:rPr>
          <w:spacing w:val="-5"/>
        </w:rPr>
        <w:t xml:space="preserve"> </w:t>
      </w:r>
      <w:r>
        <w:t>niñas</w:t>
      </w:r>
      <w:r>
        <w:rPr>
          <w:spacing w:val="-4"/>
        </w:rPr>
        <w:t xml:space="preserve"> </w:t>
      </w:r>
      <w:r>
        <w:t>fueron</w:t>
      </w:r>
      <w:r>
        <w:rPr>
          <w:spacing w:val="-4"/>
        </w:rPr>
        <w:t xml:space="preserve"> </w:t>
      </w:r>
      <w:r>
        <w:t>ampliamente</w:t>
      </w:r>
      <w:r>
        <w:rPr>
          <w:spacing w:val="-4"/>
        </w:rPr>
        <w:t xml:space="preserve"> </w:t>
      </w:r>
      <w:r>
        <w:t>las</w:t>
      </w:r>
      <w:r>
        <w:rPr>
          <w:spacing w:val="-5"/>
        </w:rPr>
        <w:t xml:space="preserve"> </w:t>
      </w:r>
      <w:r>
        <w:t>más</w:t>
      </w:r>
      <w:r>
        <w:rPr>
          <w:spacing w:val="-5"/>
        </w:rPr>
        <w:t xml:space="preserve"> </w:t>
      </w:r>
      <w:r>
        <w:t>afectadas,</w:t>
      </w:r>
      <w:r>
        <w:rPr>
          <w:spacing w:val="-5"/>
        </w:rPr>
        <w:t xml:space="preserve"> </w:t>
      </w:r>
      <w:r>
        <w:t>el</w:t>
      </w:r>
      <w:r>
        <w:rPr>
          <w:spacing w:val="-5"/>
        </w:rPr>
        <w:t xml:space="preserve"> </w:t>
      </w:r>
      <w:r>
        <w:t>92</w:t>
      </w:r>
      <w:r>
        <w:rPr>
          <w:spacing w:val="44"/>
        </w:rPr>
        <w:t xml:space="preserve"> </w:t>
      </w:r>
      <w:r>
        <w:t>%</w:t>
      </w:r>
      <w:r>
        <w:rPr>
          <w:spacing w:val="-2"/>
        </w:rPr>
        <w:t xml:space="preserve"> </w:t>
      </w:r>
      <w:r>
        <w:rPr>
          <w:spacing w:val="-5"/>
        </w:rPr>
        <w:t>del</w:t>
      </w:r>
      <w:bookmarkStart w:id="260" w:name="_bookmark185"/>
      <w:bookmarkEnd w:id="260"/>
      <w:r w:rsidR="00141331">
        <w:rPr>
          <w:spacing w:val="-5"/>
        </w:rPr>
        <w:t xml:space="preserve"> </w:t>
      </w:r>
      <w:r>
        <w:t>total</w:t>
      </w:r>
      <w:r>
        <w:rPr>
          <w:spacing w:val="-3"/>
        </w:rPr>
        <w:t xml:space="preserve"> </w:t>
      </w:r>
      <w:r>
        <w:t>de</w:t>
      </w:r>
      <w:r>
        <w:rPr>
          <w:spacing w:val="-2"/>
        </w:rPr>
        <w:t xml:space="preserve"> </w:t>
      </w:r>
      <w:r>
        <w:t>víctimas,</w:t>
      </w:r>
      <w:r>
        <w:rPr>
          <w:spacing w:val="-2"/>
        </w:rPr>
        <w:t xml:space="preserve"> </w:t>
      </w:r>
      <w:r>
        <w:t>particularmente</w:t>
      </w:r>
      <w:r>
        <w:rPr>
          <w:spacing w:val="-3"/>
        </w:rPr>
        <w:t xml:space="preserve"> </w:t>
      </w:r>
      <w:r>
        <w:t>las</w:t>
      </w:r>
      <w:r>
        <w:rPr>
          <w:spacing w:val="-3"/>
        </w:rPr>
        <w:t xml:space="preserve"> </w:t>
      </w:r>
      <w:r>
        <w:t>que</w:t>
      </w:r>
      <w:r>
        <w:rPr>
          <w:spacing w:val="-2"/>
        </w:rPr>
        <w:t xml:space="preserve"> </w:t>
      </w:r>
      <w:r>
        <w:t>habitan</w:t>
      </w:r>
      <w:r>
        <w:rPr>
          <w:spacing w:val="-5"/>
        </w:rPr>
        <w:t xml:space="preserve"> </w:t>
      </w:r>
      <w:r>
        <w:t>áreas</w:t>
      </w:r>
      <w:r>
        <w:rPr>
          <w:spacing w:val="-3"/>
        </w:rPr>
        <w:t xml:space="preserve"> </w:t>
      </w:r>
      <w:r>
        <w:t>rurales.</w:t>
      </w:r>
      <w:r>
        <w:rPr>
          <w:spacing w:val="-2"/>
        </w:rPr>
        <w:t xml:space="preserve"> </w:t>
      </w:r>
      <w:r>
        <w:t>Los</w:t>
      </w:r>
      <w:r>
        <w:rPr>
          <w:spacing w:val="-2"/>
        </w:rPr>
        <w:t xml:space="preserve"> </w:t>
      </w:r>
      <w:r>
        <w:t>mayores</w:t>
      </w:r>
      <w:r>
        <w:rPr>
          <w:spacing w:val="-2"/>
        </w:rPr>
        <w:t xml:space="preserve"> </w:t>
      </w:r>
      <w:r>
        <w:t>registros</w:t>
      </w:r>
      <w:r>
        <w:rPr>
          <w:spacing w:val="-4"/>
        </w:rPr>
        <w:t xml:space="preserve"> </w:t>
      </w:r>
      <w:r>
        <w:t>de</w:t>
      </w:r>
      <w:r>
        <w:rPr>
          <w:spacing w:val="-2"/>
        </w:rPr>
        <w:t xml:space="preserve"> </w:t>
      </w:r>
      <w:r>
        <w:t>las violencias sexuales asociadas a las propias dinámicas del conflicto armado se encuentran entre 1997 y 2005, años en los que también se perpetraron otros tipos de violaciones de derechos humanos en el contexto de agudización y extensión de la guerra, de manera particular en las áreas rurales.</w:t>
      </w:r>
    </w:p>
    <w:p w:rsidR="003804AC" w:rsidRDefault="00AF18A5" w:rsidP="00141331">
      <w:r>
        <w:t>La modalidad de violencia sexual más utilizada por grupos paramilitares, grupos guerrilleros y fuerza pública, según los hechos documentados en los testimonios recogidos por</w:t>
      </w:r>
      <w:r>
        <w:rPr>
          <w:spacing w:val="-6"/>
        </w:rPr>
        <w:t xml:space="preserve"> </w:t>
      </w:r>
      <w:r>
        <w:t>la</w:t>
      </w:r>
      <w:r>
        <w:rPr>
          <w:spacing w:val="-6"/>
        </w:rPr>
        <w:t xml:space="preserve"> </w:t>
      </w:r>
      <w:r>
        <w:t>Comisión.</w:t>
      </w:r>
      <w:r>
        <w:rPr>
          <w:spacing w:val="-6"/>
        </w:rPr>
        <w:t xml:space="preserve"> </w:t>
      </w:r>
      <w:r>
        <w:t>Esta</w:t>
      </w:r>
      <w:r>
        <w:rPr>
          <w:spacing w:val="-6"/>
        </w:rPr>
        <w:t xml:space="preserve"> </w:t>
      </w:r>
      <w:r>
        <w:t>gráfica</w:t>
      </w:r>
      <w:r>
        <w:rPr>
          <w:spacing w:val="-6"/>
        </w:rPr>
        <w:t xml:space="preserve"> </w:t>
      </w:r>
      <w:r>
        <w:t>no</w:t>
      </w:r>
      <w:r>
        <w:rPr>
          <w:spacing w:val="-6"/>
        </w:rPr>
        <w:t xml:space="preserve"> </w:t>
      </w:r>
      <w:r>
        <w:t>pretende</w:t>
      </w:r>
      <w:r>
        <w:rPr>
          <w:spacing w:val="-6"/>
        </w:rPr>
        <w:t xml:space="preserve"> </w:t>
      </w:r>
      <w:r>
        <w:t>demostrar</w:t>
      </w:r>
      <w:r>
        <w:rPr>
          <w:spacing w:val="-6"/>
        </w:rPr>
        <w:t xml:space="preserve"> </w:t>
      </w:r>
      <w:r>
        <w:t>la</w:t>
      </w:r>
      <w:r>
        <w:rPr>
          <w:spacing w:val="-6"/>
        </w:rPr>
        <w:t xml:space="preserve"> </w:t>
      </w:r>
      <w:r>
        <w:t>magnitud</w:t>
      </w:r>
      <w:r>
        <w:rPr>
          <w:spacing w:val="-6"/>
        </w:rPr>
        <w:t xml:space="preserve"> </w:t>
      </w:r>
      <w:r>
        <w:t>de</w:t>
      </w:r>
      <w:r>
        <w:rPr>
          <w:spacing w:val="-6"/>
        </w:rPr>
        <w:t xml:space="preserve"> </w:t>
      </w:r>
      <w:r>
        <w:t>las</w:t>
      </w:r>
      <w:r>
        <w:rPr>
          <w:spacing w:val="-6"/>
        </w:rPr>
        <w:t xml:space="preserve"> </w:t>
      </w:r>
      <w:r>
        <w:t>responsabilidades</w:t>
      </w:r>
      <w:r>
        <w:rPr>
          <w:spacing w:val="-6"/>
        </w:rPr>
        <w:t xml:space="preserve"> </w:t>
      </w:r>
      <w:r>
        <w:t>de cada actor o cuál cometió este crimen con más frecuencia. Por un lado, ilustra que tanto paramilitares como la guerrilla y la fuerza pública, la violación sexual fue la modalidad registrada como más frecuente, aún en diferente medida.</w:t>
      </w:r>
    </w:p>
    <w:p w:rsidR="003804AC" w:rsidRDefault="00AF18A5" w:rsidP="00141331">
      <w:r>
        <w:t>La violencia sexual y la violencia reproductiva al interior de los grupos armados aumentaron</w:t>
      </w:r>
      <w:r>
        <w:rPr>
          <w:spacing w:val="-15"/>
        </w:rPr>
        <w:t xml:space="preserve"> </w:t>
      </w:r>
      <w:r>
        <w:t>en</w:t>
      </w:r>
      <w:r>
        <w:rPr>
          <w:spacing w:val="-15"/>
        </w:rPr>
        <w:t xml:space="preserve"> </w:t>
      </w:r>
      <w:r>
        <w:t>el</w:t>
      </w:r>
      <w:r>
        <w:rPr>
          <w:spacing w:val="-15"/>
        </w:rPr>
        <w:t xml:space="preserve"> </w:t>
      </w:r>
      <w:r>
        <w:t>periodo</w:t>
      </w:r>
      <w:r>
        <w:rPr>
          <w:spacing w:val="-15"/>
        </w:rPr>
        <w:t xml:space="preserve"> </w:t>
      </w:r>
      <w:r>
        <w:t>de</w:t>
      </w:r>
      <w:r>
        <w:rPr>
          <w:spacing w:val="-15"/>
        </w:rPr>
        <w:t xml:space="preserve"> </w:t>
      </w:r>
      <w:r>
        <w:t>mayor</w:t>
      </w:r>
      <w:r>
        <w:rPr>
          <w:spacing w:val="-15"/>
        </w:rPr>
        <w:t xml:space="preserve"> </w:t>
      </w:r>
      <w:r>
        <w:t>agudización</w:t>
      </w:r>
      <w:r>
        <w:rPr>
          <w:spacing w:val="-15"/>
        </w:rPr>
        <w:t xml:space="preserve"> </w:t>
      </w:r>
      <w:r>
        <w:t>de</w:t>
      </w:r>
      <w:r>
        <w:rPr>
          <w:spacing w:val="-15"/>
        </w:rPr>
        <w:t xml:space="preserve"> </w:t>
      </w:r>
      <w:r>
        <w:t>la</w:t>
      </w:r>
      <w:r>
        <w:rPr>
          <w:spacing w:val="-15"/>
        </w:rPr>
        <w:t xml:space="preserve"> </w:t>
      </w:r>
      <w:r>
        <w:t>guerra,</w:t>
      </w:r>
      <w:r>
        <w:rPr>
          <w:spacing w:val="-14"/>
        </w:rPr>
        <w:t xml:space="preserve"> </w:t>
      </w:r>
      <w:r>
        <w:t>entre</w:t>
      </w:r>
      <w:r>
        <w:rPr>
          <w:spacing w:val="-15"/>
        </w:rPr>
        <w:t xml:space="preserve"> </w:t>
      </w:r>
      <w:r>
        <w:t>1996</w:t>
      </w:r>
      <w:r>
        <w:rPr>
          <w:spacing w:val="-15"/>
        </w:rPr>
        <w:t xml:space="preserve"> </w:t>
      </w:r>
      <w:r>
        <w:t>y</w:t>
      </w:r>
      <w:r>
        <w:rPr>
          <w:spacing w:val="-14"/>
        </w:rPr>
        <w:t xml:space="preserve"> </w:t>
      </w:r>
      <w:r>
        <w:t>2007.</w:t>
      </w:r>
      <w:r>
        <w:rPr>
          <w:spacing w:val="-15"/>
        </w:rPr>
        <w:t xml:space="preserve"> </w:t>
      </w:r>
      <w:r>
        <w:t>Por</w:t>
      </w:r>
      <w:r>
        <w:rPr>
          <w:spacing w:val="-14"/>
        </w:rPr>
        <w:t xml:space="preserve"> </w:t>
      </w:r>
      <w:r>
        <w:t>ejemplo, las FARC impusieron, en algunos de sus bloques, la planificación y el aborto para las combatientes</w:t>
      </w:r>
      <w:r>
        <w:rPr>
          <w:spacing w:val="-7"/>
        </w:rPr>
        <w:t xml:space="preserve"> </w:t>
      </w:r>
      <w:r>
        <w:t>sin</w:t>
      </w:r>
      <w:r>
        <w:rPr>
          <w:spacing w:val="-8"/>
        </w:rPr>
        <w:t xml:space="preserve"> </w:t>
      </w:r>
      <w:r>
        <w:t>importar</w:t>
      </w:r>
      <w:r>
        <w:rPr>
          <w:spacing w:val="-8"/>
        </w:rPr>
        <w:t xml:space="preserve"> </w:t>
      </w:r>
      <w:r>
        <w:t>las</w:t>
      </w:r>
      <w:r>
        <w:rPr>
          <w:spacing w:val="-7"/>
        </w:rPr>
        <w:t xml:space="preserve"> </w:t>
      </w:r>
      <w:r>
        <w:t>graves</w:t>
      </w:r>
      <w:r>
        <w:rPr>
          <w:spacing w:val="-8"/>
        </w:rPr>
        <w:t xml:space="preserve"> </w:t>
      </w:r>
      <w:r>
        <w:t>consecuencias</w:t>
      </w:r>
      <w:r>
        <w:rPr>
          <w:spacing w:val="-8"/>
        </w:rPr>
        <w:t xml:space="preserve"> </w:t>
      </w:r>
      <w:r>
        <w:t>físicas</w:t>
      </w:r>
      <w:r>
        <w:rPr>
          <w:spacing w:val="-8"/>
        </w:rPr>
        <w:t xml:space="preserve"> </w:t>
      </w:r>
      <w:r>
        <w:t>y</w:t>
      </w:r>
      <w:r>
        <w:rPr>
          <w:spacing w:val="-8"/>
        </w:rPr>
        <w:t xml:space="preserve"> </w:t>
      </w:r>
      <w:r>
        <w:t>psicológicas</w:t>
      </w:r>
      <w:r>
        <w:rPr>
          <w:spacing w:val="-8"/>
        </w:rPr>
        <w:t xml:space="preserve"> </w:t>
      </w:r>
      <w:r>
        <w:t>que</w:t>
      </w:r>
      <w:r>
        <w:rPr>
          <w:spacing w:val="-7"/>
        </w:rPr>
        <w:t xml:space="preserve"> </w:t>
      </w:r>
      <w:r>
        <w:t>padecieron</w:t>
      </w:r>
      <w:r>
        <w:rPr>
          <w:spacing w:val="-7"/>
        </w:rPr>
        <w:t xml:space="preserve"> </w:t>
      </w:r>
      <w:r>
        <w:t xml:space="preserve">las </w:t>
      </w:r>
      <w:r>
        <w:rPr>
          <w:spacing w:val="-2"/>
        </w:rPr>
        <w:t>mujeres</w:t>
      </w:r>
      <w:r w:rsidR="00141331">
        <w:rPr>
          <w:rStyle w:val="Refdenotaalpie"/>
          <w:spacing w:val="-2"/>
        </w:rPr>
        <w:footnoteReference w:id="160"/>
      </w:r>
      <w:r>
        <w:rPr>
          <w:spacing w:val="-2"/>
        </w:rPr>
        <w:t>.</w:t>
      </w:r>
    </w:p>
    <w:p w:rsidR="0011361F" w:rsidRDefault="00AF18A5" w:rsidP="004A6EF4">
      <w:pPr>
        <w:pStyle w:val="Ttulo3"/>
        <w:numPr>
          <w:ilvl w:val="1"/>
          <w:numId w:val="16"/>
        </w:numPr>
      </w:pPr>
      <w:bookmarkStart w:id="261" w:name="3.13._Amenazas_al_derecho_a_la_vida"/>
      <w:bookmarkStart w:id="262" w:name="_Toc112399572"/>
      <w:bookmarkEnd w:id="261"/>
      <w:r w:rsidRPr="00141331">
        <w:lastRenderedPageBreak/>
        <w:t>Amenazas</w:t>
      </w:r>
      <w:r>
        <w:rPr>
          <w:spacing w:val="-1"/>
        </w:rPr>
        <w:t xml:space="preserve"> </w:t>
      </w:r>
      <w:r>
        <w:t>al</w:t>
      </w:r>
      <w:r>
        <w:rPr>
          <w:spacing w:val="-1"/>
        </w:rPr>
        <w:t xml:space="preserve"> </w:t>
      </w:r>
      <w:r>
        <w:t>derecho</w:t>
      </w:r>
      <w:r>
        <w:rPr>
          <w:spacing w:val="-1"/>
        </w:rPr>
        <w:t xml:space="preserve"> </w:t>
      </w:r>
      <w:r>
        <w:t>a</w:t>
      </w:r>
      <w:r>
        <w:rPr>
          <w:spacing w:val="-1"/>
        </w:rPr>
        <w:t xml:space="preserve"> </w:t>
      </w:r>
      <w:r>
        <w:t>la</w:t>
      </w:r>
      <w:r>
        <w:rPr>
          <w:spacing w:val="-1"/>
        </w:rPr>
        <w:t xml:space="preserve"> </w:t>
      </w:r>
      <w:r>
        <w:rPr>
          <w:spacing w:val="-4"/>
        </w:rPr>
        <w:t>vida</w:t>
      </w:r>
      <w:bookmarkEnd w:id="262"/>
    </w:p>
    <w:p w:rsidR="003804AC" w:rsidRDefault="00AF18A5" w:rsidP="00506337">
      <w:r>
        <w:t>Las amenazas al derecho a la vida y a la integridad personal son una de las violaciones de derechos humanos más frecuentes, y que se relacionan con el conjunto de hechos de violencia. Con frecuencia la víctima de amenazas de muerte las recibe de manera reiterada. Las</w:t>
      </w:r>
      <w:r>
        <w:rPr>
          <w:spacing w:val="-2"/>
        </w:rPr>
        <w:t xml:space="preserve"> </w:t>
      </w:r>
      <w:r>
        <w:t>amenazas</w:t>
      </w:r>
      <w:r>
        <w:rPr>
          <w:spacing w:val="-2"/>
        </w:rPr>
        <w:t xml:space="preserve"> </w:t>
      </w:r>
      <w:r>
        <w:t>son,</w:t>
      </w:r>
      <w:r>
        <w:rPr>
          <w:spacing w:val="-2"/>
        </w:rPr>
        <w:t xml:space="preserve"> </w:t>
      </w:r>
      <w:r>
        <w:t>por</w:t>
      </w:r>
      <w:r>
        <w:rPr>
          <w:spacing w:val="-2"/>
        </w:rPr>
        <w:t xml:space="preserve"> </w:t>
      </w:r>
      <w:r>
        <w:t>lo</w:t>
      </w:r>
      <w:r>
        <w:rPr>
          <w:spacing w:val="-2"/>
        </w:rPr>
        <w:t xml:space="preserve"> </w:t>
      </w:r>
      <w:r>
        <w:t>general,</w:t>
      </w:r>
      <w:r>
        <w:rPr>
          <w:spacing w:val="-2"/>
        </w:rPr>
        <w:t xml:space="preserve"> </w:t>
      </w:r>
      <w:r>
        <w:t>la</w:t>
      </w:r>
      <w:r>
        <w:rPr>
          <w:spacing w:val="-3"/>
        </w:rPr>
        <w:t xml:space="preserve"> </w:t>
      </w:r>
      <w:r>
        <w:t>primera</w:t>
      </w:r>
      <w:r>
        <w:rPr>
          <w:spacing w:val="-2"/>
        </w:rPr>
        <w:t xml:space="preserve"> </w:t>
      </w:r>
      <w:r>
        <w:t>de</w:t>
      </w:r>
      <w:r>
        <w:rPr>
          <w:spacing w:val="-2"/>
        </w:rPr>
        <w:t xml:space="preserve"> </w:t>
      </w:r>
      <w:r>
        <w:t>una</w:t>
      </w:r>
      <w:r>
        <w:rPr>
          <w:spacing w:val="-2"/>
        </w:rPr>
        <w:t xml:space="preserve"> </w:t>
      </w:r>
      <w:r>
        <w:t>serie</w:t>
      </w:r>
      <w:r>
        <w:rPr>
          <w:spacing w:val="-2"/>
        </w:rPr>
        <w:t xml:space="preserve"> </w:t>
      </w:r>
      <w:r>
        <w:t>de</w:t>
      </w:r>
      <w:r>
        <w:rPr>
          <w:spacing w:val="-3"/>
        </w:rPr>
        <w:t xml:space="preserve"> </w:t>
      </w:r>
      <w:r>
        <w:t>violaciones;</w:t>
      </w:r>
      <w:r>
        <w:rPr>
          <w:spacing w:val="-2"/>
        </w:rPr>
        <w:t xml:space="preserve"> </w:t>
      </w:r>
      <w:r>
        <w:t>ellas</w:t>
      </w:r>
      <w:r>
        <w:rPr>
          <w:spacing w:val="-2"/>
        </w:rPr>
        <w:t xml:space="preserve"> </w:t>
      </w:r>
      <w:r>
        <w:t>se</w:t>
      </w:r>
      <w:r>
        <w:rPr>
          <w:spacing w:val="-2"/>
        </w:rPr>
        <w:t xml:space="preserve"> </w:t>
      </w:r>
      <w:r>
        <w:t>encadenan con el desplazamiento forzado, el exilio, el confinamiento, los atentados y homicidios, extorsiones,</w:t>
      </w:r>
      <w:r>
        <w:rPr>
          <w:spacing w:val="-7"/>
        </w:rPr>
        <w:t xml:space="preserve"> </w:t>
      </w:r>
      <w:r>
        <w:t>trabajos</w:t>
      </w:r>
      <w:r>
        <w:rPr>
          <w:spacing w:val="-6"/>
        </w:rPr>
        <w:t xml:space="preserve"> </w:t>
      </w:r>
      <w:r>
        <w:t>forzados,</w:t>
      </w:r>
      <w:r>
        <w:rPr>
          <w:spacing w:val="-5"/>
        </w:rPr>
        <w:t xml:space="preserve"> </w:t>
      </w:r>
      <w:r>
        <w:t>violencias</w:t>
      </w:r>
      <w:r>
        <w:rPr>
          <w:spacing w:val="-6"/>
        </w:rPr>
        <w:t xml:space="preserve"> </w:t>
      </w:r>
      <w:r>
        <w:t>sexuales</w:t>
      </w:r>
      <w:r>
        <w:rPr>
          <w:spacing w:val="-4"/>
        </w:rPr>
        <w:t xml:space="preserve"> </w:t>
      </w:r>
      <w:r>
        <w:t>y</w:t>
      </w:r>
      <w:r>
        <w:rPr>
          <w:spacing w:val="-5"/>
        </w:rPr>
        <w:t xml:space="preserve"> </w:t>
      </w:r>
      <w:r>
        <w:t>la</w:t>
      </w:r>
      <w:r>
        <w:rPr>
          <w:spacing w:val="-4"/>
        </w:rPr>
        <w:t xml:space="preserve"> </w:t>
      </w:r>
      <w:r>
        <w:t>tortura.</w:t>
      </w:r>
      <w:r>
        <w:rPr>
          <w:spacing w:val="-5"/>
        </w:rPr>
        <w:t xml:space="preserve"> </w:t>
      </w:r>
      <w:r>
        <w:t>Algunos</w:t>
      </w:r>
      <w:r>
        <w:rPr>
          <w:spacing w:val="-4"/>
        </w:rPr>
        <w:t xml:space="preserve"> </w:t>
      </w:r>
      <w:r>
        <w:t>de</w:t>
      </w:r>
      <w:r>
        <w:rPr>
          <w:spacing w:val="-6"/>
        </w:rPr>
        <w:t xml:space="preserve"> </w:t>
      </w:r>
      <w:r>
        <w:t>sus</w:t>
      </w:r>
      <w:r>
        <w:rPr>
          <w:spacing w:val="-4"/>
        </w:rPr>
        <w:t xml:space="preserve"> </w:t>
      </w:r>
      <w:r>
        <w:t>objetivos</w:t>
      </w:r>
      <w:r>
        <w:rPr>
          <w:spacing w:val="-4"/>
        </w:rPr>
        <w:t xml:space="preserve"> </w:t>
      </w:r>
      <w:r>
        <w:t>son la</w:t>
      </w:r>
      <w:r>
        <w:rPr>
          <w:spacing w:val="28"/>
        </w:rPr>
        <w:t xml:space="preserve"> </w:t>
      </w:r>
      <w:r>
        <w:t>imposición</w:t>
      </w:r>
      <w:r>
        <w:rPr>
          <w:spacing w:val="30"/>
        </w:rPr>
        <w:t xml:space="preserve"> </w:t>
      </w:r>
      <w:r>
        <w:t>de</w:t>
      </w:r>
      <w:r>
        <w:rPr>
          <w:spacing w:val="30"/>
        </w:rPr>
        <w:t xml:space="preserve"> </w:t>
      </w:r>
      <w:r>
        <w:t>una</w:t>
      </w:r>
      <w:r>
        <w:rPr>
          <w:spacing w:val="30"/>
        </w:rPr>
        <w:t xml:space="preserve"> </w:t>
      </w:r>
      <w:r>
        <w:t>relación</w:t>
      </w:r>
      <w:r>
        <w:rPr>
          <w:spacing w:val="30"/>
        </w:rPr>
        <w:t xml:space="preserve"> </w:t>
      </w:r>
      <w:r>
        <w:t>de</w:t>
      </w:r>
      <w:r>
        <w:rPr>
          <w:spacing w:val="30"/>
        </w:rPr>
        <w:t xml:space="preserve"> </w:t>
      </w:r>
      <w:r>
        <w:t>dominación</w:t>
      </w:r>
      <w:r>
        <w:rPr>
          <w:spacing w:val="30"/>
        </w:rPr>
        <w:t xml:space="preserve"> </w:t>
      </w:r>
      <w:r>
        <w:t>sobre</w:t>
      </w:r>
      <w:r>
        <w:rPr>
          <w:spacing w:val="30"/>
        </w:rPr>
        <w:t xml:space="preserve"> </w:t>
      </w:r>
      <w:r>
        <w:t>determinados</w:t>
      </w:r>
      <w:r>
        <w:rPr>
          <w:spacing w:val="30"/>
        </w:rPr>
        <w:t xml:space="preserve"> </w:t>
      </w:r>
      <w:r>
        <w:t>sectores</w:t>
      </w:r>
      <w:r>
        <w:rPr>
          <w:spacing w:val="31"/>
        </w:rPr>
        <w:t xml:space="preserve"> </w:t>
      </w:r>
      <w:r>
        <w:rPr>
          <w:spacing w:val="-2"/>
        </w:rPr>
        <w:t>poblacionales,</w:t>
      </w:r>
      <w:bookmarkStart w:id="263" w:name="_bookmark187"/>
      <w:bookmarkEnd w:id="263"/>
      <w:r w:rsidR="00506337">
        <w:rPr>
          <w:spacing w:val="-2"/>
        </w:rPr>
        <w:t xml:space="preserve"> </w:t>
      </w:r>
      <w:r>
        <w:t>mantener</w:t>
      </w:r>
      <w:r>
        <w:rPr>
          <w:spacing w:val="-6"/>
        </w:rPr>
        <w:t xml:space="preserve"> </w:t>
      </w:r>
      <w:r>
        <w:t>el</w:t>
      </w:r>
      <w:r>
        <w:rPr>
          <w:spacing w:val="-6"/>
        </w:rPr>
        <w:t xml:space="preserve"> </w:t>
      </w:r>
      <w:r>
        <w:t>control</w:t>
      </w:r>
      <w:r>
        <w:rPr>
          <w:spacing w:val="-5"/>
        </w:rPr>
        <w:t xml:space="preserve"> </w:t>
      </w:r>
      <w:r>
        <w:t>territorial</w:t>
      </w:r>
      <w:r>
        <w:rPr>
          <w:spacing w:val="-5"/>
        </w:rPr>
        <w:t xml:space="preserve"> </w:t>
      </w:r>
      <w:r>
        <w:t>por</w:t>
      </w:r>
      <w:r>
        <w:rPr>
          <w:spacing w:val="-6"/>
        </w:rPr>
        <w:t xml:space="preserve"> </w:t>
      </w:r>
      <w:r>
        <w:t>medio</w:t>
      </w:r>
      <w:r>
        <w:rPr>
          <w:spacing w:val="-6"/>
        </w:rPr>
        <w:t xml:space="preserve"> </w:t>
      </w:r>
      <w:r>
        <w:t>del</w:t>
      </w:r>
      <w:r>
        <w:rPr>
          <w:spacing w:val="-6"/>
        </w:rPr>
        <w:t xml:space="preserve"> </w:t>
      </w:r>
      <w:r>
        <w:t>terror,</w:t>
      </w:r>
      <w:r>
        <w:rPr>
          <w:spacing w:val="-6"/>
        </w:rPr>
        <w:t xml:space="preserve"> </w:t>
      </w:r>
      <w:r>
        <w:t>fracturar</w:t>
      </w:r>
      <w:r>
        <w:rPr>
          <w:spacing w:val="-5"/>
        </w:rPr>
        <w:t xml:space="preserve"> </w:t>
      </w:r>
      <w:r>
        <w:t>organizaciones,</w:t>
      </w:r>
      <w:r>
        <w:rPr>
          <w:spacing w:val="-6"/>
        </w:rPr>
        <w:t xml:space="preserve"> </w:t>
      </w:r>
      <w:r>
        <w:t>frenar</w:t>
      </w:r>
      <w:r>
        <w:rPr>
          <w:spacing w:val="-6"/>
        </w:rPr>
        <w:t xml:space="preserve"> </w:t>
      </w:r>
      <w:r>
        <w:t>procesos y acallar denuncias.</w:t>
      </w:r>
    </w:p>
    <w:p w:rsidR="003804AC" w:rsidRDefault="00AF18A5" w:rsidP="00506337">
      <w:r>
        <w:t>«La última vez que tuve un inconveniente con los llamados paramilitares (…) fue hace tres años en Barrancabermeja ya como líder social haciendo mi labor de capacitación en derechos sexuales y reproductivos. Muy amablemente me pidieron el favor que me fuera a menos que yo quisiera salir de ahí en un cajón, entonces, nuevamente duré bastante tiempo sin</w:t>
      </w:r>
      <w:r>
        <w:rPr>
          <w:spacing w:val="-6"/>
        </w:rPr>
        <w:t xml:space="preserve"> </w:t>
      </w:r>
      <w:r>
        <w:t>regresar</w:t>
      </w:r>
      <w:r>
        <w:rPr>
          <w:spacing w:val="-7"/>
        </w:rPr>
        <w:t xml:space="preserve"> </w:t>
      </w:r>
      <w:r>
        <w:t>a</w:t>
      </w:r>
      <w:r>
        <w:rPr>
          <w:spacing w:val="-6"/>
        </w:rPr>
        <w:t xml:space="preserve"> </w:t>
      </w:r>
      <w:r>
        <w:t>Barranca</w:t>
      </w:r>
      <w:r>
        <w:rPr>
          <w:spacing w:val="-6"/>
        </w:rPr>
        <w:t xml:space="preserve"> </w:t>
      </w:r>
      <w:r>
        <w:t>[...]</w:t>
      </w:r>
      <w:r>
        <w:rPr>
          <w:spacing w:val="-6"/>
        </w:rPr>
        <w:t xml:space="preserve"> </w:t>
      </w:r>
      <w:r>
        <w:t>ya</w:t>
      </w:r>
      <w:r>
        <w:rPr>
          <w:spacing w:val="-6"/>
        </w:rPr>
        <w:t xml:space="preserve"> </w:t>
      </w:r>
      <w:r>
        <w:t>estando</w:t>
      </w:r>
      <w:r>
        <w:rPr>
          <w:spacing w:val="-5"/>
        </w:rPr>
        <w:t xml:space="preserve"> </w:t>
      </w:r>
      <w:r>
        <w:t>acá</w:t>
      </w:r>
      <w:r>
        <w:rPr>
          <w:spacing w:val="-6"/>
        </w:rPr>
        <w:t xml:space="preserve"> </w:t>
      </w:r>
      <w:r>
        <w:t>en</w:t>
      </w:r>
      <w:r>
        <w:rPr>
          <w:spacing w:val="-6"/>
        </w:rPr>
        <w:t xml:space="preserve"> </w:t>
      </w:r>
      <w:r>
        <w:t>el</w:t>
      </w:r>
      <w:r>
        <w:rPr>
          <w:spacing w:val="-6"/>
        </w:rPr>
        <w:t xml:space="preserve"> </w:t>
      </w:r>
      <w:r>
        <w:t>área</w:t>
      </w:r>
      <w:r>
        <w:rPr>
          <w:spacing w:val="-6"/>
        </w:rPr>
        <w:t xml:space="preserve"> </w:t>
      </w:r>
      <w:r>
        <w:t>metropolitana,</w:t>
      </w:r>
      <w:r>
        <w:rPr>
          <w:spacing w:val="-6"/>
        </w:rPr>
        <w:t xml:space="preserve"> </w:t>
      </w:r>
      <w:r>
        <w:t>en</w:t>
      </w:r>
      <w:r>
        <w:rPr>
          <w:spacing w:val="-6"/>
        </w:rPr>
        <w:t xml:space="preserve"> </w:t>
      </w:r>
      <w:r>
        <w:t>Girón,</w:t>
      </w:r>
      <w:r>
        <w:rPr>
          <w:spacing w:val="-5"/>
        </w:rPr>
        <w:t xml:space="preserve"> </w:t>
      </w:r>
      <w:r>
        <w:t>ya</w:t>
      </w:r>
      <w:r>
        <w:rPr>
          <w:spacing w:val="-6"/>
        </w:rPr>
        <w:t xml:space="preserve"> </w:t>
      </w:r>
      <w:r>
        <w:t>por</w:t>
      </w:r>
      <w:r>
        <w:rPr>
          <w:spacing w:val="-6"/>
        </w:rPr>
        <w:t xml:space="preserve"> </w:t>
      </w:r>
      <w:r>
        <w:t>el</w:t>
      </w:r>
      <w:r>
        <w:rPr>
          <w:spacing w:val="-7"/>
        </w:rPr>
        <w:t xml:space="preserve"> </w:t>
      </w:r>
      <w:r>
        <w:t>tema de la orientación sexual, el rezago, el reducto que queda de paramilitares y esta gente que estaba</w:t>
      </w:r>
      <w:r>
        <w:rPr>
          <w:spacing w:val="-9"/>
        </w:rPr>
        <w:t xml:space="preserve"> </w:t>
      </w:r>
      <w:r>
        <w:t>aliada</w:t>
      </w:r>
      <w:r>
        <w:rPr>
          <w:spacing w:val="-9"/>
        </w:rPr>
        <w:t xml:space="preserve"> </w:t>
      </w:r>
      <w:r>
        <w:t>con</w:t>
      </w:r>
      <w:r>
        <w:rPr>
          <w:spacing w:val="-8"/>
        </w:rPr>
        <w:t xml:space="preserve"> </w:t>
      </w:r>
      <w:r>
        <w:t>los</w:t>
      </w:r>
      <w:r>
        <w:rPr>
          <w:spacing w:val="-9"/>
        </w:rPr>
        <w:t xml:space="preserve"> </w:t>
      </w:r>
      <w:r>
        <w:t>policías</w:t>
      </w:r>
      <w:r>
        <w:rPr>
          <w:spacing w:val="-8"/>
        </w:rPr>
        <w:t xml:space="preserve"> </w:t>
      </w:r>
      <w:r>
        <w:t>hizo</w:t>
      </w:r>
      <w:r>
        <w:rPr>
          <w:spacing w:val="-8"/>
        </w:rPr>
        <w:t xml:space="preserve"> </w:t>
      </w:r>
      <w:r>
        <w:t>que</w:t>
      </w:r>
      <w:r>
        <w:rPr>
          <w:spacing w:val="-8"/>
        </w:rPr>
        <w:t xml:space="preserve"> </w:t>
      </w:r>
      <w:r>
        <w:t>tuviéramos,</w:t>
      </w:r>
      <w:r>
        <w:rPr>
          <w:spacing w:val="-8"/>
        </w:rPr>
        <w:t xml:space="preserve"> </w:t>
      </w:r>
      <w:r>
        <w:t>nos</w:t>
      </w:r>
      <w:r>
        <w:rPr>
          <w:spacing w:val="-8"/>
        </w:rPr>
        <w:t xml:space="preserve"> </w:t>
      </w:r>
      <w:r>
        <w:t>hicieran</w:t>
      </w:r>
      <w:r>
        <w:rPr>
          <w:spacing w:val="-8"/>
        </w:rPr>
        <w:t xml:space="preserve"> </w:t>
      </w:r>
      <w:r>
        <w:t>varias</w:t>
      </w:r>
      <w:r>
        <w:rPr>
          <w:spacing w:val="-8"/>
        </w:rPr>
        <w:t xml:space="preserve"> </w:t>
      </w:r>
      <w:r>
        <w:t>amenazas</w:t>
      </w:r>
      <w:r>
        <w:rPr>
          <w:spacing w:val="-8"/>
        </w:rPr>
        <w:t xml:space="preserve"> </w:t>
      </w:r>
      <w:r>
        <w:t>por</w:t>
      </w:r>
      <w:r>
        <w:rPr>
          <w:spacing w:val="-8"/>
        </w:rPr>
        <w:t xml:space="preserve"> </w:t>
      </w:r>
      <w:r>
        <w:t>parte</w:t>
      </w:r>
      <w:r>
        <w:rPr>
          <w:spacing w:val="-8"/>
        </w:rPr>
        <w:t xml:space="preserve"> </w:t>
      </w:r>
      <w:r>
        <w:t xml:space="preserve">de los policías principalmente y algunos militares en Girón en el 2001, pero no fui el único, también muchas mujeres trans, por el </w:t>
      </w:r>
      <w:r>
        <w:lastRenderedPageBreak/>
        <w:t>tema de orientación»</w:t>
      </w:r>
      <w:r w:rsidR="00506337">
        <w:rPr>
          <w:rStyle w:val="Refdenotaalpie"/>
        </w:rPr>
        <w:footnoteReference w:id="161"/>
      </w:r>
      <w:r>
        <w:t>.</w:t>
      </w:r>
    </w:p>
    <w:p w:rsidR="003804AC" w:rsidRDefault="00AF18A5" w:rsidP="00506337">
      <w:r>
        <w:t>En</w:t>
      </w:r>
      <w:r>
        <w:rPr>
          <w:spacing w:val="-14"/>
        </w:rPr>
        <w:t xml:space="preserve"> </w:t>
      </w:r>
      <w:r>
        <w:t>los</w:t>
      </w:r>
      <w:r>
        <w:rPr>
          <w:spacing w:val="-14"/>
        </w:rPr>
        <w:t xml:space="preserve"> </w:t>
      </w:r>
      <w:r>
        <w:t>testimonios</w:t>
      </w:r>
      <w:r>
        <w:rPr>
          <w:spacing w:val="-15"/>
        </w:rPr>
        <w:t xml:space="preserve"> </w:t>
      </w:r>
      <w:r>
        <w:t>recogidos</w:t>
      </w:r>
      <w:r>
        <w:rPr>
          <w:spacing w:val="-14"/>
        </w:rPr>
        <w:t xml:space="preserve"> </w:t>
      </w:r>
      <w:r>
        <w:t>por</w:t>
      </w:r>
      <w:r>
        <w:rPr>
          <w:spacing w:val="-15"/>
        </w:rPr>
        <w:t xml:space="preserve"> </w:t>
      </w:r>
      <w:r>
        <w:t>la</w:t>
      </w:r>
      <w:r>
        <w:rPr>
          <w:spacing w:val="-15"/>
        </w:rPr>
        <w:t xml:space="preserve"> </w:t>
      </w:r>
      <w:r>
        <w:t>Comisión</w:t>
      </w:r>
      <w:r>
        <w:rPr>
          <w:spacing w:val="-15"/>
        </w:rPr>
        <w:t xml:space="preserve"> </w:t>
      </w:r>
      <w:r>
        <w:t>las</w:t>
      </w:r>
      <w:r>
        <w:rPr>
          <w:spacing w:val="-14"/>
        </w:rPr>
        <w:t xml:space="preserve"> </w:t>
      </w:r>
      <w:r>
        <w:t>tendencias</w:t>
      </w:r>
      <w:r>
        <w:rPr>
          <w:spacing w:val="-15"/>
        </w:rPr>
        <w:t xml:space="preserve"> </w:t>
      </w:r>
      <w:r>
        <w:t>de</w:t>
      </w:r>
      <w:r>
        <w:rPr>
          <w:spacing w:val="-14"/>
        </w:rPr>
        <w:t xml:space="preserve"> </w:t>
      </w:r>
      <w:r>
        <w:t>las</w:t>
      </w:r>
      <w:r>
        <w:rPr>
          <w:spacing w:val="-15"/>
        </w:rPr>
        <w:t xml:space="preserve"> </w:t>
      </w:r>
      <w:r>
        <w:t>amenazas</w:t>
      </w:r>
      <w:r>
        <w:rPr>
          <w:spacing w:val="-14"/>
        </w:rPr>
        <w:t xml:space="preserve"> </w:t>
      </w:r>
      <w:r>
        <w:t>se</w:t>
      </w:r>
      <w:r>
        <w:rPr>
          <w:spacing w:val="-15"/>
        </w:rPr>
        <w:t xml:space="preserve"> </w:t>
      </w:r>
      <w:r>
        <w:t>relacionan con el desplazamiento forzado, con el 2002 como año de máximo registro y una reducción posterior. Por su parte,</w:t>
      </w:r>
      <w:r>
        <w:rPr>
          <w:spacing w:val="-2"/>
        </w:rPr>
        <w:t xml:space="preserve"> </w:t>
      </w:r>
      <w:r>
        <w:t>el Registro</w:t>
      </w:r>
      <w:r>
        <w:rPr>
          <w:spacing w:val="-1"/>
        </w:rPr>
        <w:t xml:space="preserve"> </w:t>
      </w:r>
      <w:r>
        <w:t>Único de Víctimas</w:t>
      </w:r>
      <w:r>
        <w:rPr>
          <w:spacing w:val="-1"/>
        </w:rPr>
        <w:t xml:space="preserve"> </w:t>
      </w:r>
      <w:r>
        <w:t>registra 588.484 hechos y</w:t>
      </w:r>
      <w:r>
        <w:rPr>
          <w:spacing w:val="-1"/>
        </w:rPr>
        <w:t xml:space="preserve"> </w:t>
      </w:r>
      <w:r>
        <w:t>muestra un aumento álgido en 2000 y en 2002, momentos que coinciden con el fin del proceso del Caguán,</w:t>
      </w:r>
      <w:r>
        <w:rPr>
          <w:spacing w:val="-15"/>
        </w:rPr>
        <w:t xml:space="preserve"> </w:t>
      </w:r>
      <w:r>
        <w:t>la</w:t>
      </w:r>
      <w:r>
        <w:rPr>
          <w:spacing w:val="-15"/>
        </w:rPr>
        <w:t xml:space="preserve"> </w:t>
      </w:r>
      <w:r>
        <w:t>extensión</w:t>
      </w:r>
      <w:r>
        <w:rPr>
          <w:spacing w:val="-15"/>
        </w:rPr>
        <w:t xml:space="preserve"> </w:t>
      </w:r>
      <w:r>
        <w:t>de</w:t>
      </w:r>
      <w:r>
        <w:rPr>
          <w:spacing w:val="-15"/>
        </w:rPr>
        <w:t xml:space="preserve"> </w:t>
      </w:r>
      <w:r>
        <w:t>las</w:t>
      </w:r>
      <w:r>
        <w:rPr>
          <w:spacing w:val="-15"/>
        </w:rPr>
        <w:t xml:space="preserve"> </w:t>
      </w:r>
      <w:r>
        <w:t>masacres</w:t>
      </w:r>
      <w:r>
        <w:rPr>
          <w:spacing w:val="-15"/>
        </w:rPr>
        <w:t xml:space="preserve"> </w:t>
      </w:r>
      <w:r>
        <w:t>paramilitares,</w:t>
      </w:r>
      <w:r>
        <w:rPr>
          <w:spacing w:val="-15"/>
        </w:rPr>
        <w:t xml:space="preserve"> </w:t>
      </w:r>
      <w:r>
        <w:t>el</w:t>
      </w:r>
      <w:r>
        <w:rPr>
          <w:spacing w:val="-15"/>
        </w:rPr>
        <w:t xml:space="preserve"> </w:t>
      </w:r>
      <w:r>
        <w:t>secuestro</w:t>
      </w:r>
      <w:r>
        <w:rPr>
          <w:spacing w:val="-15"/>
        </w:rPr>
        <w:t xml:space="preserve"> </w:t>
      </w:r>
      <w:r>
        <w:t>y</w:t>
      </w:r>
      <w:r>
        <w:rPr>
          <w:spacing w:val="-15"/>
        </w:rPr>
        <w:t xml:space="preserve"> </w:t>
      </w:r>
      <w:r>
        <w:t>la</w:t>
      </w:r>
      <w:r>
        <w:rPr>
          <w:spacing w:val="-15"/>
        </w:rPr>
        <w:t xml:space="preserve"> </w:t>
      </w:r>
      <w:r>
        <w:t>agudización</w:t>
      </w:r>
      <w:r>
        <w:rPr>
          <w:spacing w:val="-15"/>
        </w:rPr>
        <w:t xml:space="preserve"> </w:t>
      </w:r>
      <w:r>
        <w:t>del</w:t>
      </w:r>
      <w:r>
        <w:rPr>
          <w:spacing w:val="-15"/>
        </w:rPr>
        <w:t xml:space="preserve"> </w:t>
      </w:r>
      <w:r>
        <w:t>conflicto armado. Si bien después el registro de amenazas disminuyó, de nuevo aumentó considerablemente en 2012, cuando se duplicaron los casos, comparado a una década antes</w:t>
      </w:r>
      <w:r w:rsidR="00506337">
        <w:rPr>
          <w:rStyle w:val="Refdenotaalpie"/>
        </w:rPr>
        <w:footnoteReference w:id="162"/>
      </w:r>
      <w:r>
        <w:t>.</w:t>
      </w:r>
      <w:r>
        <w:rPr>
          <w:spacing w:val="-4"/>
        </w:rPr>
        <w:t xml:space="preserve"> </w:t>
      </w:r>
      <w:r>
        <w:t>Luego</w:t>
      </w:r>
      <w:r>
        <w:rPr>
          <w:spacing w:val="-4"/>
        </w:rPr>
        <w:t xml:space="preserve"> </w:t>
      </w:r>
      <w:r>
        <w:t>esta</w:t>
      </w:r>
      <w:r>
        <w:rPr>
          <w:spacing w:val="-3"/>
        </w:rPr>
        <w:t xml:space="preserve"> </w:t>
      </w:r>
      <w:r>
        <w:t>tendencia</w:t>
      </w:r>
      <w:r>
        <w:rPr>
          <w:spacing w:val="-3"/>
        </w:rPr>
        <w:t xml:space="preserve"> </w:t>
      </w:r>
      <w:r>
        <w:t>se</w:t>
      </w:r>
      <w:r>
        <w:rPr>
          <w:spacing w:val="-3"/>
        </w:rPr>
        <w:t xml:space="preserve"> </w:t>
      </w:r>
      <w:r>
        <w:t>mantiene</w:t>
      </w:r>
      <w:r>
        <w:rPr>
          <w:spacing w:val="-3"/>
        </w:rPr>
        <w:t xml:space="preserve"> </w:t>
      </w:r>
      <w:r>
        <w:t>hasta</w:t>
      </w:r>
      <w:r>
        <w:rPr>
          <w:spacing w:val="-3"/>
        </w:rPr>
        <w:t xml:space="preserve"> </w:t>
      </w:r>
      <w:r>
        <w:t>2014</w:t>
      </w:r>
      <w:r>
        <w:rPr>
          <w:spacing w:val="-4"/>
        </w:rPr>
        <w:t xml:space="preserve"> </w:t>
      </w:r>
      <w:r>
        <w:t>y</w:t>
      </w:r>
      <w:r>
        <w:rPr>
          <w:spacing w:val="-4"/>
        </w:rPr>
        <w:t xml:space="preserve"> </w:t>
      </w:r>
      <w:r>
        <w:t>en</w:t>
      </w:r>
      <w:r>
        <w:rPr>
          <w:spacing w:val="-4"/>
        </w:rPr>
        <w:t xml:space="preserve"> </w:t>
      </w:r>
      <w:r>
        <w:t>2017</w:t>
      </w:r>
      <w:r>
        <w:rPr>
          <w:spacing w:val="-4"/>
        </w:rPr>
        <w:t xml:space="preserve"> </w:t>
      </w:r>
      <w:r>
        <w:t>el</w:t>
      </w:r>
      <w:r>
        <w:rPr>
          <w:spacing w:val="-3"/>
        </w:rPr>
        <w:t xml:space="preserve"> </w:t>
      </w:r>
      <w:r>
        <w:t>aumento</w:t>
      </w:r>
      <w:r>
        <w:rPr>
          <w:spacing w:val="-4"/>
        </w:rPr>
        <w:t xml:space="preserve"> </w:t>
      </w:r>
      <w:r>
        <w:t>de</w:t>
      </w:r>
      <w:r>
        <w:rPr>
          <w:spacing w:val="-3"/>
        </w:rPr>
        <w:t xml:space="preserve"> </w:t>
      </w:r>
      <w:r>
        <w:t>nuevo</w:t>
      </w:r>
      <w:r>
        <w:rPr>
          <w:spacing w:val="-4"/>
        </w:rPr>
        <w:t xml:space="preserve"> </w:t>
      </w:r>
      <w:r>
        <w:t>de</w:t>
      </w:r>
      <w:r>
        <w:rPr>
          <w:spacing w:val="-3"/>
        </w:rPr>
        <w:t xml:space="preserve"> </w:t>
      </w:r>
      <w:r>
        <w:t>las amenazas coincide con el periodo posterior a la firma del acuerdo de paz.</w:t>
      </w:r>
    </w:p>
    <w:p w:rsidR="003804AC" w:rsidRDefault="00AF18A5" w:rsidP="00506337">
      <w:r>
        <w:t>La</w:t>
      </w:r>
      <w:r>
        <w:rPr>
          <w:spacing w:val="-8"/>
        </w:rPr>
        <w:t xml:space="preserve"> </w:t>
      </w:r>
      <w:r>
        <w:t>combinación</w:t>
      </w:r>
      <w:r>
        <w:rPr>
          <w:spacing w:val="-8"/>
        </w:rPr>
        <w:t xml:space="preserve"> </w:t>
      </w:r>
      <w:r>
        <w:t>de</w:t>
      </w:r>
      <w:r>
        <w:rPr>
          <w:spacing w:val="-9"/>
        </w:rPr>
        <w:t xml:space="preserve"> </w:t>
      </w:r>
      <w:r>
        <w:t>las</w:t>
      </w:r>
      <w:r>
        <w:rPr>
          <w:spacing w:val="-8"/>
        </w:rPr>
        <w:t xml:space="preserve"> </w:t>
      </w:r>
      <w:r>
        <w:t>dos</w:t>
      </w:r>
      <w:r>
        <w:rPr>
          <w:spacing w:val="-8"/>
        </w:rPr>
        <w:t xml:space="preserve"> </w:t>
      </w:r>
      <w:r>
        <w:t>bases</w:t>
      </w:r>
      <w:r>
        <w:rPr>
          <w:spacing w:val="-8"/>
        </w:rPr>
        <w:t xml:space="preserve"> </w:t>
      </w:r>
      <w:r>
        <w:t>de</w:t>
      </w:r>
      <w:r>
        <w:rPr>
          <w:spacing w:val="-9"/>
        </w:rPr>
        <w:t xml:space="preserve"> </w:t>
      </w:r>
      <w:r>
        <w:t>datos</w:t>
      </w:r>
      <w:r>
        <w:rPr>
          <w:spacing w:val="-8"/>
        </w:rPr>
        <w:t xml:space="preserve"> </w:t>
      </w:r>
      <w:r>
        <w:t>muestra</w:t>
      </w:r>
      <w:r>
        <w:rPr>
          <w:spacing w:val="-8"/>
        </w:rPr>
        <w:t xml:space="preserve"> </w:t>
      </w:r>
      <w:r>
        <w:t>la</w:t>
      </w:r>
      <w:r>
        <w:rPr>
          <w:spacing w:val="-8"/>
        </w:rPr>
        <w:t xml:space="preserve"> </w:t>
      </w:r>
      <w:r>
        <w:t>persistencia</w:t>
      </w:r>
      <w:r>
        <w:rPr>
          <w:spacing w:val="-8"/>
        </w:rPr>
        <w:t xml:space="preserve"> </w:t>
      </w:r>
      <w:r>
        <w:t>de</w:t>
      </w:r>
      <w:r>
        <w:rPr>
          <w:spacing w:val="-9"/>
        </w:rPr>
        <w:t xml:space="preserve"> </w:t>
      </w:r>
      <w:r>
        <w:t>las</w:t>
      </w:r>
      <w:r>
        <w:rPr>
          <w:spacing w:val="-9"/>
        </w:rPr>
        <w:t xml:space="preserve"> </w:t>
      </w:r>
      <w:r>
        <w:t>amenazas</w:t>
      </w:r>
      <w:r>
        <w:rPr>
          <w:spacing w:val="-8"/>
        </w:rPr>
        <w:t xml:space="preserve"> </w:t>
      </w:r>
      <w:r>
        <w:t>durante los</w:t>
      </w:r>
      <w:r>
        <w:rPr>
          <w:spacing w:val="5"/>
        </w:rPr>
        <w:t xml:space="preserve"> </w:t>
      </w:r>
      <w:r>
        <w:t>últimos</w:t>
      </w:r>
      <w:r>
        <w:rPr>
          <w:spacing w:val="7"/>
        </w:rPr>
        <w:t xml:space="preserve"> </w:t>
      </w:r>
      <w:r>
        <w:t>20</w:t>
      </w:r>
      <w:r>
        <w:rPr>
          <w:spacing w:val="7"/>
        </w:rPr>
        <w:t xml:space="preserve"> </w:t>
      </w:r>
      <w:r>
        <w:t>años</w:t>
      </w:r>
      <w:r>
        <w:rPr>
          <w:spacing w:val="8"/>
        </w:rPr>
        <w:t xml:space="preserve"> </w:t>
      </w:r>
      <w:r>
        <w:t>de</w:t>
      </w:r>
      <w:r>
        <w:rPr>
          <w:spacing w:val="7"/>
        </w:rPr>
        <w:t xml:space="preserve"> </w:t>
      </w:r>
      <w:r>
        <w:t>conflicto</w:t>
      </w:r>
      <w:r>
        <w:rPr>
          <w:spacing w:val="8"/>
        </w:rPr>
        <w:t xml:space="preserve"> </w:t>
      </w:r>
      <w:r>
        <w:t>armado.</w:t>
      </w:r>
      <w:r>
        <w:rPr>
          <w:spacing w:val="7"/>
        </w:rPr>
        <w:t xml:space="preserve"> </w:t>
      </w:r>
      <w:r>
        <w:t>Hay</w:t>
      </w:r>
      <w:r>
        <w:rPr>
          <w:spacing w:val="8"/>
        </w:rPr>
        <w:t xml:space="preserve"> </w:t>
      </w:r>
      <w:r>
        <w:t>que</w:t>
      </w:r>
      <w:r>
        <w:rPr>
          <w:spacing w:val="7"/>
        </w:rPr>
        <w:t xml:space="preserve"> </w:t>
      </w:r>
      <w:r>
        <w:t>tener</w:t>
      </w:r>
      <w:r>
        <w:rPr>
          <w:spacing w:val="8"/>
        </w:rPr>
        <w:t xml:space="preserve"> </w:t>
      </w:r>
      <w:r>
        <w:t>en</w:t>
      </w:r>
      <w:r>
        <w:rPr>
          <w:spacing w:val="7"/>
        </w:rPr>
        <w:t xml:space="preserve"> </w:t>
      </w:r>
      <w:r>
        <w:t>cuenta</w:t>
      </w:r>
      <w:r>
        <w:rPr>
          <w:spacing w:val="8"/>
        </w:rPr>
        <w:t xml:space="preserve"> </w:t>
      </w:r>
      <w:r>
        <w:t>que</w:t>
      </w:r>
      <w:r>
        <w:rPr>
          <w:spacing w:val="7"/>
        </w:rPr>
        <w:t xml:space="preserve"> </w:t>
      </w:r>
      <w:r>
        <w:t>el</w:t>
      </w:r>
      <w:r>
        <w:rPr>
          <w:spacing w:val="7"/>
        </w:rPr>
        <w:t xml:space="preserve"> </w:t>
      </w:r>
      <w:r>
        <w:t>mantenimiento</w:t>
      </w:r>
      <w:r>
        <w:rPr>
          <w:spacing w:val="8"/>
        </w:rPr>
        <w:t xml:space="preserve"> </w:t>
      </w:r>
      <w:r>
        <w:rPr>
          <w:spacing w:val="-5"/>
        </w:rPr>
        <w:t>en</w:t>
      </w:r>
      <w:bookmarkStart w:id="264" w:name="_bookmark188"/>
      <w:bookmarkStart w:id="265" w:name="_bookmark189"/>
      <w:bookmarkEnd w:id="264"/>
      <w:bookmarkEnd w:id="265"/>
      <w:r w:rsidR="00506337">
        <w:t xml:space="preserve"> </w:t>
      </w:r>
      <w:r>
        <w:t>el tiempo de las amenazas conlleva también un impacto por la historia previa vivida. Las amenazas se dan en un contexto donde se llevaron a cabo masacres, asesinatos o desapariciones forzadas, por lo que su acción no puede verse de forma aislada sino como parte</w:t>
      </w:r>
      <w:r>
        <w:rPr>
          <w:spacing w:val="-6"/>
        </w:rPr>
        <w:t xml:space="preserve"> </w:t>
      </w:r>
      <w:r>
        <w:t>de</w:t>
      </w:r>
      <w:r>
        <w:rPr>
          <w:spacing w:val="-6"/>
        </w:rPr>
        <w:t xml:space="preserve"> </w:t>
      </w:r>
      <w:r>
        <w:t>la</w:t>
      </w:r>
      <w:r>
        <w:rPr>
          <w:spacing w:val="-6"/>
        </w:rPr>
        <w:t xml:space="preserve"> </w:t>
      </w:r>
      <w:r>
        <w:t>continuación</w:t>
      </w:r>
      <w:r>
        <w:rPr>
          <w:spacing w:val="-6"/>
        </w:rPr>
        <w:t xml:space="preserve"> </w:t>
      </w:r>
      <w:r>
        <w:t>del</w:t>
      </w:r>
      <w:r>
        <w:rPr>
          <w:spacing w:val="-6"/>
        </w:rPr>
        <w:t xml:space="preserve"> </w:t>
      </w:r>
      <w:r>
        <w:t>terror</w:t>
      </w:r>
      <w:r>
        <w:rPr>
          <w:spacing w:val="-6"/>
        </w:rPr>
        <w:t xml:space="preserve"> </w:t>
      </w:r>
      <w:r>
        <w:t>vivido,</w:t>
      </w:r>
      <w:r>
        <w:rPr>
          <w:spacing w:val="-6"/>
        </w:rPr>
        <w:t xml:space="preserve"> </w:t>
      </w:r>
      <w:r>
        <w:t>y</w:t>
      </w:r>
      <w:r>
        <w:rPr>
          <w:spacing w:val="-6"/>
        </w:rPr>
        <w:t xml:space="preserve"> </w:t>
      </w:r>
      <w:r>
        <w:t>sus</w:t>
      </w:r>
      <w:r>
        <w:rPr>
          <w:spacing w:val="-6"/>
        </w:rPr>
        <w:t xml:space="preserve"> </w:t>
      </w:r>
      <w:r>
        <w:t>consecuencias</w:t>
      </w:r>
      <w:r>
        <w:rPr>
          <w:spacing w:val="-6"/>
        </w:rPr>
        <w:t xml:space="preserve"> </w:t>
      </w:r>
      <w:r>
        <w:t>se</w:t>
      </w:r>
      <w:r>
        <w:rPr>
          <w:spacing w:val="-6"/>
        </w:rPr>
        <w:t xml:space="preserve"> </w:t>
      </w:r>
      <w:r>
        <w:t>relacionan</w:t>
      </w:r>
      <w:r>
        <w:rPr>
          <w:spacing w:val="-6"/>
        </w:rPr>
        <w:t xml:space="preserve"> </w:t>
      </w:r>
      <w:r>
        <w:t>con</w:t>
      </w:r>
      <w:r>
        <w:rPr>
          <w:spacing w:val="-6"/>
        </w:rPr>
        <w:t xml:space="preserve"> </w:t>
      </w:r>
      <w:r>
        <w:t>ese</w:t>
      </w:r>
      <w:r>
        <w:rPr>
          <w:spacing w:val="-6"/>
        </w:rPr>
        <w:t xml:space="preserve"> </w:t>
      </w:r>
      <w:r>
        <w:t xml:space="preserve">impacto </w:t>
      </w:r>
      <w:r>
        <w:rPr>
          <w:spacing w:val="-2"/>
        </w:rPr>
        <w:t>acumulativo.</w:t>
      </w:r>
    </w:p>
    <w:p w:rsidR="00C11103" w:rsidRDefault="00C11103" w:rsidP="00C11103">
      <w:pPr>
        <w:pStyle w:val="Descripcin"/>
        <w:keepNext/>
      </w:pPr>
      <w:r>
        <w:lastRenderedPageBreak/>
        <w:t xml:space="preserve">Gráfica </w:t>
      </w:r>
      <w:r w:rsidR="005F4072">
        <w:fldChar w:fldCharType="begin"/>
      </w:r>
      <w:r w:rsidR="005F4072">
        <w:instrText xml:space="preserve"> SEQ Gráfica \* ARABIC </w:instrText>
      </w:r>
      <w:r w:rsidR="005F4072">
        <w:fldChar w:fldCharType="separate"/>
      </w:r>
      <w:r w:rsidR="005F4072">
        <w:rPr>
          <w:noProof/>
        </w:rPr>
        <w:t>8</w:t>
      </w:r>
      <w:r w:rsidR="005F4072">
        <w:fldChar w:fldCharType="end"/>
      </w:r>
      <w:r w:rsidRPr="00175D61">
        <w:t>. Registro de amenazas según el RUV y las fichas de entrevistas de la Comisión, comparación de tendencia en el tiempo (1985-2018)</w:t>
      </w:r>
    </w:p>
    <w:p w:rsidR="0011361F" w:rsidRPr="00C11103" w:rsidRDefault="00AF18A5" w:rsidP="00C11103">
      <w:r w:rsidRPr="00C11103">
        <w:rPr>
          <w:noProof/>
        </w:rPr>
        <w:drawing>
          <wp:inline distT="0" distB="0" distL="0" distR="0">
            <wp:extent cx="4611475" cy="2791968"/>
            <wp:effectExtent l="0" t="0" r="0" b="0"/>
            <wp:docPr id="17" name="image9.png"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11475" cy="2791968"/>
                    </a:xfrm>
                    <a:prstGeom prst="rect">
                      <a:avLst/>
                    </a:prstGeom>
                  </pic:spPr>
                </pic:pic>
              </a:graphicData>
            </a:graphic>
          </wp:inline>
        </w:drawing>
      </w:r>
    </w:p>
    <w:p w:rsidR="0011361F" w:rsidRDefault="00AF18A5" w:rsidP="00C11103">
      <w:r>
        <w:rPr>
          <w:i/>
        </w:rPr>
        <w:t>Fuente:</w:t>
      </w:r>
      <w:r>
        <w:rPr>
          <w:i/>
          <w:spacing w:val="-4"/>
        </w:rPr>
        <w:t xml:space="preserve"> </w:t>
      </w:r>
      <w:r>
        <w:t>Comisión</w:t>
      </w:r>
      <w:r>
        <w:rPr>
          <w:spacing w:val="-1"/>
        </w:rPr>
        <w:t xml:space="preserve"> </w:t>
      </w:r>
      <w:r>
        <w:t>de</w:t>
      </w:r>
      <w:r>
        <w:rPr>
          <w:spacing w:val="-2"/>
        </w:rPr>
        <w:t xml:space="preserve"> </w:t>
      </w:r>
      <w:r>
        <w:t>la</w:t>
      </w:r>
      <w:r>
        <w:rPr>
          <w:spacing w:val="-2"/>
        </w:rPr>
        <w:t xml:space="preserve"> </w:t>
      </w:r>
      <w:r>
        <w:t>Verdad</w:t>
      </w:r>
      <w:r>
        <w:rPr>
          <w:spacing w:val="-1"/>
        </w:rPr>
        <w:t xml:space="preserve"> </w:t>
      </w:r>
      <w:r>
        <w:t>y</w:t>
      </w:r>
      <w:r>
        <w:rPr>
          <w:spacing w:val="-2"/>
        </w:rPr>
        <w:t xml:space="preserve"> </w:t>
      </w:r>
      <w:r>
        <w:t>Registro</w:t>
      </w:r>
      <w:r>
        <w:rPr>
          <w:spacing w:val="-1"/>
        </w:rPr>
        <w:t xml:space="preserve"> </w:t>
      </w:r>
      <w:r>
        <w:t>Único</w:t>
      </w:r>
      <w:r>
        <w:rPr>
          <w:spacing w:val="-2"/>
        </w:rPr>
        <w:t xml:space="preserve"> </w:t>
      </w:r>
      <w:r>
        <w:t>de</w:t>
      </w:r>
      <w:r>
        <w:rPr>
          <w:spacing w:val="-1"/>
        </w:rPr>
        <w:t xml:space="preserve"> </w:t>
      </w:r>
      <w:r>
        <w:t>Víctimas</w:t>
      </w:r>
      <w:r>
        <w:rPr>
          <w:spacing w:val="-1"/>
        </w:rPr>
        <w:t xml:space="preserve"> </w:t>
      </w:r>
      <w:r>
        <w:rPr>
          <w:spacing w:val="-2"/>
        </w:rPr>
        <w:t>(RUV).</w:t>
      </w:r>
    </w:p>
    <w:p w:rsidR="003804AC" w:rsidRDefault="00AF18A5" w:rsidP="005F7E7C">
      <w:r>
        <w:t>La</w:t>
      </w:r>
      <w:r>
        <w:rPr>
          <w:spacing w:val="-7"/>
        </w:rPr>
        <w:t xml:space="preserve"> </w:t>
      </w:r>
      <w:r>
        <w:t>mayor</w:t>
      </w:r>
      <w:r>
        <w:rPr>
          <w:spacing w:val="-8"/>
        </w:rPr>
        <w:t xml:space="preserve"> </w:t>
      </w:r>
      <w:r>
        <w:t>parte</w:t>
      </w:r>
      <w:r>
        <w:rPr>
          <w:spacing w:val="-7"/>
        </w:rPr>
        <w:t xml:space="preserve"> </w:t>
      </w:r>
      <w:r>
        <w:t>de</w:t>
      </w:r>
      <w:r>
        <w:rPr>
          <w:spacing w:val="-7"/>
        </w:rPr>
        <w:t xml:space="preserve"> </w:t>
      </w:r>
      <w:r>
        <w:t>las</w:t>
      </w:r>
      <w:r>
        <w:rPr>
          <w:spacing w:val="-7"/>
        </w:rPr>
        <w:t xml:space="preserve"> </w:t>
      </w:r>
      <w:r>
        <w:t>veces,</w:t>
      </w:r>
      <w:r>
        <w:rPr>
          <w:spacing w:val="-7"/>
        </w:rPr>
        <w:t xml:space="preserve"> </w:t>
      </w:r>
      <w:r>
        <w:t>las</w:t>
      </w:r>
      <w:r>
        <w:rPr>
          <w:spacing w:val="-7"/>
        </w:rPr>
        <w:t xml:space="preserve"> </w:t>
      </w:r>
      <w:r>
        <w:t>amenazas</w:t>
      </w:r>
      <w:r>
        <w:rPr>
          <w:spacing w:val="-7"/>
        </w:rPr>
        <w:t xml:space="preserve"> </w:t>
      </w:r>
      <w:r>
        <w:t>no</w:t>
      </w:r>
      <w:r>
        <w:rPr>
          <w:spacing w:val="-8"/>
        </w:rPr>
        <w:t xml:space="preserve"> </w:t>
      </w:r>
      <w:r>
        <w:t>se</w:t>
      </w:r>
      <w:r>
        <w:rPr>
          <w:spacing w:val="-8"/>
        </w:rPr>
        <w:t xml:space="preserve"> </w:t>
      </w:r>
      <w:r>
        <w:t>dan</w:t>
      </w:r>
      <w:r>
        <w:rPr>
          <w:spacing w:val="-7"/>
        </w:rPr>
        <w:t xml:space="preserve"> </w:t>
      </w:r>
      <w:r>
        <w:t>de</w:t>
      </w:r>
      <w:r>
        <w:rPr>
          <w:spacing w:val="-7"/>
        </w:rPr>
        <w:t xml:space="preserve"> </w:t>
      </w:r>
      <w:r>
        <w:t>forma</w:t>
      </w:r>
      <w:r>
        <w:rPr>
          <w:spacing w:val="-7"/>
        </w:rPr>
        <w:t xml:space="preserve"> </w:t>
      </w:r>
      <w:r>
        <w:t>aislada.</w:t>
      </w:r>
      <w:r>
        <w:rPr>
          <w:spacing w:val="-7"/>
        </w:rPr>
        <w:t xml:space="preserve"> </w:t>
      </w:r>
      <w:r>
        <w:t>El</w:t>
      </w:r>
      <w:r>
        <w:rPr>
          <w:spacing w:val="-8"/>
        </w:rPr>
        <w:t xml:space="preserve"> </w:t>
      </w:r>
      <w:r>
        <w:t>miedo</w:t>
      </w:r>
      <w:r>
        <w:rPr>
          <w:spacing w:val="-7"/>
        </w:rPr>
        <w:t xml:space="preserve"> </w:t>
      </w:r>
      <w:r>
        <w:t>y</w:t>
      </w:r>
      <w:r>
        <w:rPr>
          <w:spacing w:val="-8"/>
        </w:rPr>
        <w:t xml:space="preserve"> </w:t>
      </w:r>
      <w:r>
        <w:t>la</w:t>
      </w:r>
      <w:r>
        <w:rPr>
          <w:spacing w:val="-8"/>
        </w:rPr>
        <w:t xml:space="preserve"> </w:t>
      </w:r>
      <w:r>
        <w:t>parálisis que pretenden producir, el condicionamiento de la conducta o la voluntad de expulsión del territorio, hacen que se relacionen con otras violaciones. El propio contexto de violencia en muchas comunidades, hace que las amenazas no sean solo una acción como violación de derechos humanos, sino un contexto amenazante, al que se enfrentan las víctimas, y cuyos impactos se prolongan después del «hecho» a una vida que se hace más vulnerable, donde las</w:t>
      </w:r>
      <w:r>
        <w:rPr>
          <w:spacing w:val="-9"/>
        </w:rPr>
        <w:t xml:space="preserve"> </w:t>
      </w:r>
      <w:r>
        <w:t>personas</w:t>
      </w:r>
      <w:r>
        <w:rPr>
          <w:spacing w:val="-9"/>
        </w:rPr>
        <w:t xml:space="preserve"> </w:t>
      </w:r>
      <w:r>
        <w:t>conviven</w:t>
      </w:r>
      <w:r>
        <w:rPr>
          <w:spacing w:val="-9"/>
        </w:rPr>
        <w:t xml:space="preserve"> </w:t>
      </w:r>
      <w:r>
        <w:t>con</w:t>
      </w:r>
      <w:r>
        <w:rPr>
          <w:spacing w:val="-9"/>
        </w:rPr>
        <w:t xml:space="preserve"> </w:t>
      </w:r>
      <w:r>
        <w:t>la</w:t>
      </w:r>
      <w:r>
        <w:rPr>
          <w:spacing w:val="-9"/>
        </w:rPr>
        <w:t xml:space="preserve"> </w:t>
      </w:r>
      <w:r>
        <w:t>necesidad</w:t>
      </w:r>
      <w:r>
        <w:rPr>
          <w:spacing w:val="-9"/>
        </w:rPr>
        <w:t xml:space="preserve"> </w:t>
      </w:r>
      <w:r>
        <w:t>de</w:t>
      </w:r>
      <w:r>
        <w:rPr>
          <w:spacing w:val="-9"/>
        </w:rPr>
        <w:t xml:space="preserve"> </w:t>
      </w:r>
      <w:r>
        <w:t>prevención,</w:t>
      </w:r>
      <w:r>
        <w:rPr>
          <w:spacing w:val="-9"/>
        </w:rPr>
        <w:t xml:space="preserve"> </w:t>
      </w:r>
      <w:r>
        <w:t>de</w:t>
      </w:r>
      <w:r>
        <w:rPr>
          <w:spacing w:val="-9"/>
        </w:rPr>
        <w:t xml:space="preserve"> </w:t>
      </w:r>
      <w:r>
        <w:t>cambios</w:t>
      </w:r>
      <w:r>
        <w:rPr>
          <w:spacing w:val="-9"/>
        </w:rPr>
        <w:t xml:space="preserve"> </w:t>
      </w:r>
      <w:r>
        <w:t>en</w:t>
      </w:r>
      <w:r>
        <w:rPr>
          <w:spacing w:val="-9"/>
        </w:rPr>
        <w:t xml:space="preserve"> </w:t>
      </w:r>
      <w:r>
        <w:t>su</w:t>
      </w:r>
      <w:r>
        <w:rPr>
          <w:spacing w:val="-9"/>
        </w:rPr>
        <w:t xml:space="preserve"> </w:t>
      </w:r>
      <w:r>
        <w:t>comportamiento,</w:t>
      </w:r>
      <w:r>
        <w:rPr>
          <w:spacing w:val="-9"/>
        </w:rPr>
        <w:t xml:space="preserve"> </w:t>
      </w:r>
      <w:r>
        <w:t>de alteración de la vida familiar o del trabajo, para tratar de manejar el riesgo. Las víctimas de amenazas</w:t>
      </w:r>
      <w:r>
        <w:rPr>
          <w:spacing w:val="-11"/>
        </w:rPr>
        <w:t xml:space="preserve"> </w:t>
      </w:r>
      <w:r>
        <w:t>sufren,</w:t>
      </w:r>
      <w:r>
        <w:rPr>
          <w:spacing w:val="-11"/>
        </w:rPr>
        <w:t xml:space="preserve"> </w:t>
      </w:r>
      <w:r>
        <w:t>de</w:t>
      </w:r>
      <w:r>
        <w:rPr>
          <w:spacing w:val="-12"/>
        </w:rPr>
        <w:t xml:space="preserve"> </w:t>
      </w:r>
      <w:r>
        <w:t>manera</w:t>
      </w:r>
      <w:r>
        <w:rPr>
          <w:spacing w:val="-11"/>
        </w:rPr>
        <w:t xml:space="preserve"> </w:t>
      </w:r>
      <w:r>
        <w:t>simultánea,</w:t>
      </w:r>
      <w:r>
        <w:rPr>
          <w:spacing w:val="-11"/>
        </w:rPr>
        <w:t xml:space="preserve"> </w:t>
      </w:r>
      <w:r>
        <w:t>hechos</w:t>
      </w:r>
      <w:r>
        <w:rPr>
          <w:spacing w:val="-11"/>
        </w:rPr>
        <w:t xml:space="preserve"> </w:t>
      </w:r>
      <w:r>
        <w:t>de</w:t>
      </w:r>
      <w:r>
        <w:rPr>
          <w:spacing w:val="-11"/>
        </w:rPr>
        <w:t xml:space="preserve"> </w:t>
      </w:r>
      <w:r>
        <w:t>desplazamiento</w:t>
      </w:r>
      <w:r>
        <w:rPr>
          <w:spacing w:val="-11"/>
        </w:rPr>
        <w:t xml:space="preserve"> </w:t>
      </w:r>
      <w:r>
        <w:t>forzado,</w:t>
      </w:r>
      <w:r>
        <w:rPr>
          <w:spacing w:val="-11"/>
        </w:rPr>
        <w:t xml:space="preserve"> </w:t>
      </w:r>
      <w:r>
        <w:t>tortura,</w:t>
      </w:r>
      <w:r>
        <w:rPr>
          <w:spacing w:val="-11"/>
        </w:rPr>
        <w:t xml:space="preserve"> </w:t>
      </w:r>
      <w:r>
        <w:t>despojo, extorsión,</w:t>
      </w:r>
      <w:r>
        <w:rPr>
          <w:spacing w:val="29"/>
        </w:rPr>
        <w:t xml:space="preserve"> </w:t>
      </w:r>
      <w:r>
        <w:t>secuestro,</w:t>
      </w:r>
      <w:r>
        <w:rPr>
          <w:spacing w:val="29"/>
        </w:rPr>
        <w:t xml:space="preserve"> </w:t>
      </w:r>
      <w:r>
        <w:t>violencias</w:t>
      </w:r>
      <w:r>
        <w:rPr>
          <w:spacing w:val="30"/>
        </w:rPr>
        <w:t xml:space="preserve"> </w:t>
      </w:r>
      <w:r>
        <w:t>sexuales</w:t>
      </w:r>
      <w:r>
        <w:rPr>
          <w:spacing w:val="29"/>
        </w:rPr>
        <w:t xml:space="preserve"> </w:t>
      </w:r>
      <w:r>
        <w:t>y</w:t>
      </w:r>
      <w:r>
        <w:rPr>
          <w:spacing w:val="30"/>
        </w:rPr>
        <w:t xml:space="preserve"> </w:t>
      </w:r>
      <w:r>
        <w:t>atentados.</w:t>
      </w:r>
      <w:r>
        <w:rPr>
          <w:spacing w:val="29"/>
        </w:rPr>
        <w:t xml:space="preserve"> </w:t>
      </w:r>
      <w:r>
        <w:t>Como</w:t>
      </w:r>
      <w:r>
        <w:rPr>
          <w:spacing w:val="29"/>
        </w:rPr>
        <w:t xml:space="preserve"> </w:t>
      </w:r>
      <w:r>
        <w:t>puede</w:t>
      </w:r>
      <w:r>
        <w:rPr>
          <w:spacing w:val="30"/>
        </w:rPr>
        <w:t xml:space="preserve"> </w:t>
      </w:r>
      <w:r>
        <w:lastRenderedPageBreak/>
        <w:t>verse</w:t>
      </w:r>
      <w:r>
        <w:rPr>
          <w:spacing w:val="29"/>
        </w:rPr>
        <w:t xml:space="preserve"> </w:t>
      </w:r>
      <w:r>
        <w:t>en</w:t>
      </w:r>
      <w:r>
        <w:rPr>
          <w:spacing w:val="30"/>
        </w:rPr>
        <w:t xml:space="preserve"> </w:t>
      </w:r>
      <w:r>
        <w:t>la</w:t>
      </w:r>
      <w:r>
        <w:rPr>
          <w:spacing w:val="29"/>
        </w:rPr>
        <w:t xml:space="preserve"> </w:t>
      </w:r>
      <w:r>
        <w:t>gráfica,</w:t>
      </w:r>
      <w:r>
        <w:rPr>
          <w:spacing w:val="29"/>
        </w:rPr>
        <w:t xml:space="preserve"> </w:t>
      </w:r>
      <w:r>
        <w:rPr>
          <w:spacing w:val="-5"/>
        </w:rPr>
        <w:t>la</w:t>
      </w:r>
      <w:r w:rsidR="005F7E7C">
        <w:rPr>
          <w:spacing w:val="-5"/>
        </w:rPr>
        <w:t xml:space="preserve"> </w:t>
      </w:r>
      <w:r>
        <w:t>mayor</w:t>
      </w:r>
      <w:r>
        <w:rPr>
          <w:spacing w:val="-8"/>
        </w:rPr>
        <w:t xml:space="preserve"> </w:t>
      </w:r>
      <w:r>
        <w:t>parte</w:t>
      </w:r>
      <w:r>
        <w:rPr>
          <w:spacing w:val="-8"/>
        </w:rPr>
        <w:t xml:space="preserve"> </w:t>
      </w:r>
      <w:r>
        <w:t>de</w:t>
      </w:r>
      <w:r>
        <w:rPr>
          <w:spacing w:val="-8"/>
        </w:rPr>
        <w:t xml:space="preserve"> </w:t>
      </w:r>
      <w:r>
        <w:t>las</w:t>
      </w:r>
      <w:r>
        <w:rPr>
          <w:spacing w:val="-8"/>
        </w:rPr>
        <w:t xml:space="preserve"> </w:t>
      </w:r>
      <w:r>
        <w:t>veces,</w:t>
      </w:r>
      <w:r>
        <w:rPr>
          <w:spacing w:val="-8"/>
        </w:rPr>
        <w:t xml:space="preserve"> </w:t>
      </w:r>
      <w:r>
        <w:t>las</w:t>
      </w:r>
      <w:r>
        <w:rPr>
          <w:spacing w:val="-8"/>
        </w:rPr>
        <w:t xml:space="preserve"> </w:t>
      </w:r>
      <w:r>
        <w:t>amenazas</w:t>
      </w:r>
      <w:r>
        <w:rPr>
          <w:spacing w:val="-8"/>
        </w:rPr>
        <w:t xml:space="preserve"> </w:t>
      </w:r>
      <w:r>
        <w:t>son</w:t>
      </w:r>
      <w:r>
        <w:rPr>
          <w:spacing w:val="-8"/>
        </w:rPr>
        <w:t xml:space="preserve"> </w:t>
      </w:r>
      <w:r>
        <w:t>parte</w:t>
      </w:r>
      <w:r>
        <w:rPr>
          <w:spacing w:val="-8"/>
        </w:rPr>
        <w:t xml:space="preserve"> </w:t>
      </w:r>
      <w:r>
        <w:t>del</w:t>
      </w:r>
      <w:r>
        <w:rPr>
          <w:spacing w:val="-8"/>
        </w:rPr>
        <w:t xml:space="preserve"> </w:t>
      </w:r>
      <w:r>
        <w:t>desplazamiento</w:t>
      </w:r>
      <w:r>
        <w:rPr>
          <w:spacing w:val="-8"/>
        </w:rPr>
        <w:t xml:space="preserve"> </w:t>
      </w:r>
      <w:r>
        <w:t>forzado,</w:t>
      </w:r>
      <w:r>
        <w:rPr>
          <w:spacing w:val="-8"/>
        </w:rPr>
        <w:t xml:space="preserve"> </w:t>
      </w:r>
      <w:r>
        <w:t>lo</w:t>
      </w:r>
      <w:r>
        <w:rPr>
          <w:spacing w:val="-8"/>
        </w:rPr>
        <w:t xml:space="preserve"> </w:t>
      </w:r>
      <w:r>
        <w:t>que</w:t>
      </w:r>
      <w:r>
        <w:rPr>
          <w:spacing w:val="-8"/>
        </w:rPr>
        <w:t xml:space="preserve"> </w:t>
      </w:r>
      <w:r>
        <w:t>muestra no solo una asociación de consecuencias, sino muchas veces, una intencionalidad. De la misma manera que con las amenazas relacionadas al exilio. En varios casos la amenaza también es el hecho inmediatamente previo al homicidio.</w:t>
      </w:r>
    </w:p>
    <w:p w:rsidR="005F7E7C" w:rsidRDefault="005F7E7C" w:rsidP="005F7E7C">
      <w:pPr>
        <w:pStyle w:val="Descripcin"/>
        <w:keepNext/>
      </w:pPr>
      <w:r>
        <w:t xml:space="preserve">Gráfica </w:t>
      </w:r>
      <w:r w:rsidR="005F4072">
        <w:fldChar w:fldCharType="begin"/>
      </w:r>
      <w:r w:rsidR="005F4072">
        <w:instrText xml:space="preserve"> SEQ Gráfica \* ARABIC </w:instrText>
      </w:r>
      <w:r w:rsidR="005F4072">
        <w:fldChar w:fldCharType="separate"/>
      </w:r>
      <w:r w:rsidR="005F4072">
        <w:rPr>
          <w:noProof/>
        </w:rPr>
        <w:t>9</w:t>
      </w:r>
      <w:r w:rsidR="005F4072">
        <w:fldChar w:fldCharType="end"/>
      </w:r>
      <w:r w:rsidRPr="001D7B4A">
        <w:t>. Cadenas de violencias asociadas a las amenazas</w:t>
      </w:r>
      <w:r>
        <w:rPr>
          <w:rStyle w:val="Refdenotaalpie"/>
        </w:rPr>
        <w:footnoteReference w:id="163"/>
      </w:r>
    </w:p>
    <w:p w:rsidR="0011361F" w:rsidRPr="005F7E7C" w:rsidRDefault="00AF18A5" w:rsidP="005F7E7C">
      <w:r w:rsidRPr="005F7E7C">
        <w:rPr>
          <w:noProof/>
        </w:rPr>
        <w:drawing>
          <wp:inline distT="0" distB="0" distL="0" distR="0">
            <wp:extent cx="3481293" cy="3520440"/>
            <wp:effectExtent l="0" t="0" r="5080" b="3810"/>
            <wp:docPr id="19" name="image10.jpeg"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81293" cy="3520440"/>
                    </a:xfrm>
                    <a:prstGeom prst="rect">
                      <a:avLst/>
                    </a:prstGeom>
                  </pic:spPr>
                </pic:pic>
              </a:graphicData>
            </a:graphic>
          </wp:inline>
        </w:drawing>
      </w:r>
    </w:p>
    <w:p w:rsidR="003804AC" w:rsidRDefault="00AF18A5" w:rsidP="00541D39">
      <w:r>
        <w:rPr>
          <w:i/>
        </w:rPr>
        <w:t xml:space="preserve">Fuente: </w:t>
      </w:r>
      <w:r>
        <w:t>Base de datos de entrevistas a víctimas, familiares y testigos recogidas por la Comisión de la verdad.</w:t>
      </w:r>
    </w:p>
    <w:p w:rsidR="0011361F" w:rsidRDefault="00AF18A5" w:rsidP="005F7E7C">
      <w:r>
        <w:t xml:space="preserve">Las amenazas de muerte se llevan a cabo en general mediante medios que invisibilizan a los autores, lo que forma parte del contexto que las vuelve más siniestras. Pueden ser mediante llamadas telefónicas, panfletos, listas, cartas, o mensajes por correo electrónico y redes </w:t>
      </w:r>
      <w:r>
        <w:lastRenderedPageBreak/>
        <w:t>sociales que se pueden volver virales con facilidad.</w:t>
      </w:r>
    </w:p>
    <w:p w:rsidR="003804AC" w:rsidRDefault="00AF18A5" w:rsidP="00541D39">
      <w:bookmarkStart w:id="266" w:name="_bookmark190"/>
      <w:bookmarkEnd w:id="266"/>
      <w:r>
        <w:t>La</w:t>
      </w:r>
      <w:r>
        <w:rPr>
          <w:spacing w:val="-13"/>
        </w:rPr>
        <w:t xml:space="preserve"> </w:t>
      </w:r>
      <w:r>
        <w:t>amenaza</w:t>
      </w:r>
      <w:r>
        <w:rPr>
          <w:spacing w:val="-14"/>
        </w:rPr>
        <w:t xml:space="preserve"> </w:t>
      </w:r>
      <w:r>
        <w:t>no</w:t>
      </w:r>
      <w:r>
        <w:rPr>
          <w:spacing w:val="-13"/>
        </w:rPr>
        <w:t xml:space="preserve"> </w:t>
      </w:r>
      <w:r>
        <w:t>es</w:t>
      </w:r>
      <w:r>
        <w:rPr>
          <w:spacing w:val="-13"/>
        </w:rPr>
        <w:t xml:space="preserve"> </w:t>
      </w:r>
      <w:r>
        <w:t>una</w:t>
      </w:r>
      <w:r>
        <w:rPr>
          <w:spacing w:val="-14"/>
        </w:rPr>
        <w:t xml:space="preserve"> </w:t>
      </w:r>
      <w:r>
        <w:t>violación</w:t>
      </w:r>
      <w:r>
        <w:rPr>
          <w:spacing w:val="-14"/>
        </w:rPr>
        <w:t xml:space="preserve"> </w:t>
      </w:r>
      <w:r>
        <w:t>fortuita</w:t>
      </w:r>
      <w:r>
        <w:rPr>
          <w:spacing w:val="-13"/>
        </w:rPr>
        <w:t xml:space="preserve"> </w:t>
      </w:r>
      <w:r>
        <w:t>ni</w:t>
      </w:r>
      <w:r>
        <w:rPr>
          <w:spacing w:val="-14"/>
        </w:rPr>
        <w:t xml:space="preserve"> </w:t>
      </w:r>
      <w:r>
        <w:t>accidental,</w:t>
      </w:r>
      <w:r>
        <w:rPr>
          <w:spacing w:val="-14"/>
        </w:rPr>
        <w:t xml:space="preserve"> </w:t>
      </w:r>
      <w:r>
        <w:t>por</w:t>
      </w:r>
      <w:r>
        <w:rPr>
          <w:spacing w:val="-14"/>
        </w:rPr>
        <w:t xml:space="preserve"> </w:t>
      </w:r>
      <w:r>
        <w:t>el</w:t>
      </w:r>
      <w:r>
        <w:rPr>
          <w:spacing w:val="-14"/>
        </w:rPr>
        <w:t xml:space="preserve"> </w:t>
      </w:r>
      <w:r>
        <w:t>contrario,</w:t>
      </w:r>
      <w:r>
        <w:rPr>
          <w:spacing w:val="-15"/>
        </w:rPr>
        <w:t xml:space="preserve"> </w:t>
      </w:r>
      <w:r>
        <w:t>es</w:t>
      </w:r>
      <w:r>
        <w:rPr>
          <w:spacing w:val="-14"/>
        </w:rPr>
        <w:t xml:space="preserve"> </w:t>
      </w:r>
      <w:r>
        <w:t>un</w:t>
      </w:r>
      <w:r>
        <w:rPr>
          <w:spacing w:val="-13"/>
        </w:rPr>
        <w:t xml:space="preserve"> </w:t>
      </w:r>
      <w:r>
        <w:t>acto</w:t>
      </w:r>
      <w:r>
        <w:rPr>
          <w:spacing w:val="-14"/>
        </w:rPr>
        <w:t xml:space="preserve"> </w:t>
      </w:r>
      <w:r>
        <w:t>planeado en el cual el victimario tiene claro a quién va a dirigir la amenaza, el método y el medio a elegir, las palabras que va a usar, las exigencias que va a llevar a cabo y los resultados esperados. En general, se dirigen a la parálisis de la acción, a la expulsión del territorio o al exilio de la víctima. También tienen un componente colectivo cuando se trata de liderazgos sociales, étnicos o de grupos políticos, con impactos también colectivos. Y se orientan, con frecuencia,</w:t>
      </w:r>
      <w:r>
        <w:rPr>
          <w:spacing w:val="-2"/>
        </w:rPr>
        <w:t xml:space="preserve"> </w:t>
      </w:r>
      <w:r>
        <w:t>a</w:t>
      </w:r>
      <w:r>
        <w:rPr>
          <w:spacing w:val="-3"/>
        </w:rPr>
        <w:t xml:space="preserve"> </w:t>
      </w:r>
      <w:r>
        <w:t>quebrar</w:t>
      </w:r>
      <w:r>
        <w:rPr>
          <w:spacing w:val="-2"/>
        </w:rPr>
        <w:t xml:space="preserve"> </w:t>
      </w:r>
      <w:r>
        <w:t>el</w:t>
      </w:r>
      <w:r>
        <w:rPr>
          <w:spacing w:val="-2"/>
        </w:rPr>
        <w:t xml:space="preserve"> </w:t>
      </w:r>
      <w:r>
        <w:t>sentido</w:t>
      </w:r>
      <w:r>
        <w:rPr>
          <w:spacing w:val="-2"/>
        </w:rPr>
        <w:t xml:space="preserve"> </w:t>
      </w:r>
      <w:r>
        <w:t>de</w:t>
      </w:r>
      <w:r>
        <w:rPr>
          <w:spacing w:val="-2"/>
        </w:rPr>
        <w:t xml:space="preserve"> </w:t>
      </w:r>
      <w:r>
        <w:t>solidaridad,</w:t>
      </w:r>
      <w:r>
        <w:rPr>
          <w:spacing w:val="-2"/>
        </w:rPr>
        <w:t xml:space="preserve"> </w:t>
      </w:r>
      <w:r>
        <w:t>dado</w:t>
      </w:r>
      <w:r>
        <w:rPr>
          <w:spacing w:val="-2"/>
        </w:rPr>
        <w:t xml:space="preserve"> </w:t>
      </w:r>
      <w:r>
        <w:t>que</w:t>
      </w:r>
      <w:r>
        <w:rPr>
          <w:spacing w:val="-2"/>
        </w:rPr>
        <w:t xml:space="preserve"> </w:t>
      </w:r>
      <w:r>
        <w:t>hacen</w:t>
      </w:r>
      <w:r>
        <w:rPr>
          <w:spacing w:val="-2"/>
        </w:rPr>
        <w:t xml:space="preserve"> </w:t>
      </w:r>
      <w:r>
        <w:t>que</w:t>
      </w:r>
      <w:r>
        <w:rPr>
          <w:spacing w:val="-2"/>
        </w:rPr>
        <w:t xml:space="preserve"> </w:t>
      </w:r>
      <w:r>
        <w:t>la</w:t>
      </w:r>
      <w:r>
        <w:rPr>
          <w:spacing w:val="-2"/>
        </w:rPr>
        <w:t xml:space="preserve"> </w:t>
      </w:r>
      <w:r>
        <w:t>respuesta</w:t>
      </w:r>
      <w:r>
        <w:rPr>
          <w:spacing w:val="-2"/>
        </w:rPr>
        <w:t xml:space="preserve"> </w:t>
      </w:r>
      <w:r>
        <w:t>o</w:t>
      </w:r>
      <w:r>
        <w:rPr>
          <w:spacing w:val="-2"/>
        </w:rPr>
        <w:t xml:space="preserve"> </w:t>
      </w:r>
      <w:r>
        <w:t>el</w:t>
      </w:r>
      <w:r>
        <w:rPr>
          <w:spacing w:val="-2"/>
        </w:rPr>
        <w:t xml:space="preserve"> </w:t>
      </w:r>
      <w:r>
        <w:t>entorno social</w:t>
      </w:r>
      <w:r>
        <w:rPr>
          <w:spacing w:val="-4"/>
        </w:rPr>
        <w:t xml:space="preserve"> </w:t>
      </w:r>
      <w:r>
        <w:t>se</w:t>
      </w:r>
      <w:r>
        <w:rPr>
          <w:spacing w:val="-5"/>
        </w:rPr>
        <w:t xml:space="preserve"> </w:t>
      </w:r>
      <w:r>
        <w:t>vuelva</w:t>
      </w:r>
      <w:r>
        <w:rPr>
          <w:spacing w:val="-4"/>
        </w:rPr>
        <w:t xml:space="preserve"> </w:t>
      </w:r>
      <w:r>
        <w:t>más</w:t>
      </w:r>
      <w:r>
        <w:rPr>
          <w:spacing w:val="-6"/>
        </w:rPr>
        <w:t xml:space="preserve"> </w:t>
      </w:r>
      <w:r>
        <w:t>amenazante.</w:t>
      </w:r>
      <w:r>
        <w:rPr>
          <w:spacing w:val="-5"/>
        </w:rPr>
        <w:t xml:space="preserve"> </w:t>
      </w:r>
      <w:r>
        <w:t>Como</w:t>
      </w:r>
      <w:r>
        <w:rPr>
          <w:spacing w:val="-5"/>
        </w:rPr>
        <w:t xml:space="preserve"> </w:t>
      </w:r>
      <w:r>
        <w:t>señalaron</w:t>
      </w:r>
      <w:r>
        <w:rPr>
          <w:spacing w:val="-5"/>
        </w:rPr>
        <w:t xml:space="preserve"> </w:t>
      </w:r>
      <w:r>
        <w:t>algunos</w:t>
      </w:r>
      <w:r>
        <w:rPr>
          <w:spacing w:val="-5"/>
        </w:rPr>
        <w:t xml:space="preserve"> </w:t>
      </w:r>
      <w:r>
        <w:t>líderes</w:t>
      </w:r>
      <w:r>
        <w:rPr>
          <w:spacing w:val="-4"/>
        </w:rPr>
        <w:t xml:space="preserve"> </w:t>
      </w:r>
      <w:r>
        <w:t>amenazados</w:t>
      </w:r>
      <w:r>
        <w:rPr>
          <w:spacing w:val="-5"/>
        </w:rPr>
        <w:t xml:space="preserve"> </w:t>
      </w:r>
      <w:r>
        <w:t>que</w:t>
      </w:r>
      <w:r>
        <w:rPr>
          <w:spacing w:val="-4"/>
        </w:rPr>
        <w:t xml:space="preserve"> </w:t>
      </w:r>
      <w:r>
        <w:t>tuvieron que salir desplazados: «sentí que me convertí en un peligro para otros»; «nadie quería ya venir a mi casa».</w:t>
      </w:r>
    </w:p>
    <w:p w:rsidR="0011361F" w:rsidRDefault="00AF18A5" w:rsidP="004A6EF4">
      <w:pPr>
        <w:pStyle w:val="Ttulo3"/>
        <w:numPr>
          <w:ilvl w:val="1"/>
          <w:numId w:val="16"/>
        </w:numPr>
      </w:pPr>
      <w:bookmarkStart w:id="267" w:name="3.14._Reclutamiento_de_niños,_niñas_y_ad"/>
      <w:bookmarkStart w:id="268" w:name="_Toc112399573"/>
      <w:bookmarkEnd w:id="267"/>
      <w:r w:rsidRPr="00753456">
        <w:t>Reclutamiento</w:t>
      </w:r>
      <w:r>
        <w:rPr>
          <w:spacing w:val="-4"/>
        </w:rPr>
        <w:t xml:space="preserve"> </w:t>
      </w:r>
      <w:r>
        <w:t>de</w:t>
      </w:r>
      <w:r>
        <w:rPr>
          <w:spacing w:val="-3"/>
        </w:rPr>
        <w:t xml:space="preserve"> </w:t>
      </w:r>
      <w:r>
        <w:t>niños,</w:t>
      </w:r>
      <w:r>
        <w:rPr>
          <w:spacing w:val="-3"/>
        </w:rPr>
        <w:t xml:space="preserve"> </w:t>
      </w:r>
      <w:r>
        <w:t>niñas</w:t>
      </w:r>
      <w:r>
        <w:rPr>
          <w:spacing w:val="-2"/>
        </w:rPr>
        <w:t xml:space="preserve"> </w:t>
      </w:r>
      <w:r>
        <w:t>y</w:t>
      </w:r>
      <w:r>
        <w:rPr>
          <w:spacing w:val="-2"/>
        </w:rPr>
        <w:t xml:space="preserve"> </w:t>
      </w:r>
      <w:r>
        <w:t>adolescentes</w:t>
      </w:r>
      <w:r>
        <w:rPr>
          <w:spacing w:val="-2"/>
        </w:rPr>
        <w:t xml:space="preserve"> </w:t>
      </w:r>
      <w:r>
        <w:t>y</w:t>
      </w:r>
      <w:r>
        <w:rPr>
          <w:spacing w:val="-2"/>
        </w:rPr>
        <w:t xml:space="preserve"> </w:t>
      </w:r>
      <w:r>
        <w:t>trabajo</w:t>
      </w:r>
      <w:r>
        <w:rPr>
          <w:spacing w:val="-2"/>
        </w:rPr>
        <w:t xml:space="preserve"> forzoso</w:t>
      </w:r>
      <w:bookmarkEnd w:id="268"/>
    </w:p>
    <w:p w:rsidR="003804AC" w:rsidRDefault="00AF18A5" w:rsidP="0083161F">
      <w:r>
        <w:t>«[Mi</w:t>
      </w:r>
      <w:r>
        <w:rPr>
          <w:spacing w:val="-2"/>
        </w:rPr>
        <w:t xml:space="preserve"> </w:t>
      </w:r>
      <w:r>
        <w:t>mamá]</w:t>
      </w:r>
      <w:r>
        <w:rPr>
          <w:spacing w:val="-3"/>
        </w:rPr>
        <w:t xml:space="preserve"> </w:t>
      </w:r>
      <w:r>
        <w:t>se</w:t>
      </w:r>
      <w:r>
        <w:rPr>
          <w:spacing w:val="-2"/>
        </w:rPr>
        <w:t xml:space="preserve"> </w:t>
      </w:r>
      <w:r>
        <w:t>puso</w:t>
      </w:r>
      <w:r>
        <w:rPr>
          <w:spacing w:val="-2"/>
        </w:rPr>
        <w:t xml:space="preserve"> </w:t>
      </w:r>
      <w:r>
        <w:t>a</w:t>
      </w:r>
      <w:r>
        <w:rPr>
          <w:spacing w:val="-2"/>
        </w:rPr>
        <w:t xml:space="preserve"> </w:t>
      </w:r>
      <w:r>
        <w:t>llorar</w:t>
      </w:r>
      <w:r>
        <w:rPr>
          <w:spacing w:val="-2"/>
        </w:rPr>
        <w:t xml:space="preserve"> </w:t>
      </w:r>
      <w:r>
        <w:t>y</w:t>
      </w:r>
      <w:r>
        <w:rPr>
          <w:spacing w:val="-2"/>
        </w:rPr>
        <w:t xml:space="preserve"> </w:t>
      </w:r>
      <w:r>
        <w:t>me</w:t>
      </w:r>
      <w:r>
        <w:rPr>
          <w:spacing w:val="-2"/>
        </w:rPr>
        <w:t xml:space="preserve"> </w:t>
      </w:r>
      <w:r>
        <w:t>abrazó,</w:t>
      </w:r>
      <w:r>
        <w:rPr>
          <w:spacing w:val="-2"/>
        </w:rPr>
        <w:t xml:space="preserve"> </w:t>
      </w:r>
      <w:r>
        <w:t>dijo</w:t>
      </w:r>
      <w:r>
        <w:rPr>
          <w:spacing w:val="-2"/>
        </w:rPr>
        <w:t xml:space="preserve"> </w:t>
      </w:r>
      <w:r>
        <w:t>que</w:t>
      </w:r>
      <w:r>
        <w:rPr>
          <w:spacing w:val="-2"/>
        </w:rPr>
        <w:t xml:space="preserve"> </w:t>
      </w:r>
      <w:r>
        <w:t>no</w:t>
      </w:r>
      <w:r>
        <w:rPr>
          <w:spacing w:val="-2"/>
        </w:rPr>
        <w:t xml:space="preserve"> </w:t>
      </w:r>
      <w:r>
        <w:t>hiciera</w:t>
      </w:r>
      <w:r>
        <w:rPr>
          <w:spacing w:val="-3"/>
        </w:rPr>
        <w:t xml:space="preserve"> </w:t>
      </w:r>
      <w:r>
        <w:t>eso,</w:t>
      </w:r>
      <w:r>
        <w:rPr>
          <w:spacing w:val="-2"/>
        </w:rPr>
        <w:t xml:space="preserve"> </w:t>
      </w:r>
      <w:r>
        <w:t>que</w:t>
      </w:r>
      <w:r>
        <w:rPr>
          <w:spacing w:val="-2"/>
        </w:rPr>
        <w:t xml:space="preserve"> </w:t>
      </w:r>
      <w:r>
        <w:t>mejor</w:t>
      </w:r>
      <w:r>
        <w:rPr>
          <w:spacing w:val="-2"/>
        </w:rPr>
        <w:t xml:space="preserve"> </w:t>
      </w:r>
      <w:r>
        <w:t>ayudara</w:t>
      </w:r>
      <w:r>
        <w:rPr>
          <w:spacing w:val="-3"/>
        </w:rPr>
        <w:t xml:space="preserve"> </w:t>
      </w:r>
      <w:r>
        <w:t>a</w:t>
      </w:r>
      <w:r>
        <w:rPr>
          <w:spacing w:val="-3"/>
        </w:rPr>
        <w:t xml:space="preserve"> </w:t>
      </w:r>
      <w:r>
        <w:t>papá y</w:t>
      </w:r>
      <w:r>
        <w:rPr>
          <w:spacing w:val="-8"/>
        </w:rPr>
        <w:t xml:space="preserve"> </w:t>
      </w:r>
      <w:r>
        <w:t>yo</w:t>
      </w:r>
      <w:r>
        <w:rPr>
          <w:spacing w:val="-8"/>
        </w:rPr>
        <w:t xml:space="preserve"> </w:t>
      </w:r>
      <w:r>
        <w:t>le</w:t>
      </w:r>
      <w:r>
        <w:rPr>
          <w:spacing w:val="-8"/>
        </w:rPr>
        <w:t xml:space="preserve"> </w:t>
      </w:r>
      <w:r>
        <w:t>dije:</w:t>
      </w:r>
      <w:r>
        <w:rPr>
          <w:spacing w:val="-9"/>
        </w:rPr>
        <w:t xml:space="preserve"> </w:t>
      </w:r>
      <w:r>
        <w:t>“no,</w:t>
      </w:r>
      <w:r>
        <w:rPr>
          <w:spacing w:val="-8"/>
        </w:rPr>
        <w:t xml:space="preserve"> </w:t>
      </w:r>
      <w:r>
        <w:t>mamá,</w:t>
      </w:r>
      <w:r>
        <w:rPr>
          <w:spacing w:val="-10"/>
        </w:rPr>
        <w:t xml:space="preserve"> </w:t>
      </w:r>
      <w:r>
        <w:t>yo</w:t>
      </w:r>
      <w:r>
        <w:rPr>
          <w:spacing w:val="-8"/>
        </w:rPr>
        <w:t xml:space="preserve"> </w:t>
      </w:r>
      <w:r>
        <w:t>no</w:t>
      </w:r>
      <w:r>
        <w:rPr>
          <w:spacing w:val="-8"/>
        </w:rPr>
        <w:t xml:space="preserve"> </w:t>
      </w:r>
      <w:r>
        <w:t>aguanto</w:t>
      </w:r>
      <w:r>
        <w:rPr>
          <w:spacing w:val="-8"/>
        </w:rPr>
        <w:t xml:space="preserve"> </w:t>
      </w:r>
      <w:r>
        <w:t>más</w:t>
      </w:r>
      <w:r>
        <w:rPr>
          <w:spacing w:val="-10"/>
        </w:rPr>
        <w:t xml:space="preserve"> </w:t>
      </w:r>
      <w:r>
        <w:t>eso,</w:t>
      </w:r>
      <w:r>
        <w:rPr>
          <w:spacing w:val="-8"/>
        </w:rPr>
        <w:t xml:space="preserve"> </w:t>
      </w:r>
      <w:r>
        <w:t>yo</w:t>
      </w:r>
      <w:r>
        <w:rPr>
          <w:spacing w:val="-8"/>
        </w:rPr>
        <w:t xml:space="preserve"> </w:t>
      </w:r>
      <w:r>
        <w:t>quiero</w:t>
      </w:r>
      <w:r>
        <w:rPr>
          <w:spacing w:val="-10"/>
        </w:rPr>
        <w:t xml:space="preserve"> </w:t>
      </w:r>
      <w:r>
        <w:t>ayudarlos”.</w:t>
      </w:r>
      <w:r>
        <w:rPr>
          <w:spacing w:val="-10"/>
        </w:rPr>
        <w:t xml:space="preserve"> </w:t>
      </w:r>
      <w:r>
        <w:t>[…]</w:t>
      </w:r>
      <w:r>
        <w:rPr>
          <w:spacing w:val="-9"/>
        </w:rPr>
        <w:t xml:space="preserve"> </w:t>
      </w:r>
      <w:r>
        <w:t>Me</w:t>
      </w:r>
      <w:r>
        <w:rPr>
          <w:spacing w:val="-8"/>
        </w:rPr>
        <w:t xml:space="preserve"> </w:t>
      </w:r>
      <w:r>
        <w:t>gané</w:t>
      </w:r>
      <w:r>
        <w:rPr>
          <w:spacing w:val="-9"/>
        </w:rPr>
        <w:t xml:space="preserve"> </w:t>
      </w:r>
      <w:r>
        <w:t>500.000 pesos</w:t>
      </w:r>
      <w:r>
        <w:rPr>
          <w:spacing w:val="-2"/>
        </w:rPr>
        <w:t xml:space="preserve"> </w:t>
      </w:r>
      <w:r>
        <w:t>y</w:t>
      </w:r>
      <w:r>
        <w:rPr>
          <w:spacing w:val="-2"/>
        </w:rPr>
        <w:t xml:space="preserve"> </w:t>
      </w:r>
      <w:r>
        <w:t>el</w:t>
      </w:r>
      <w:r>
        <w:rPr>
          <w:spacing w:val="-2"/>
        </w:rPr>
        <w:t xml:space="preserve"> </w:t>
      </w:r>
      <w:r>
        <w:t>comandante</w:t>
      </w:r>
      <w:r>
        <w:rPr>
          <w:spacing w:val="-3"/>
        </w:rPr>
        <w:t xml:space="preserve"> </w:t>
      </w:r>
      <w:r>
        <w:t>me</w:t>
      </w:r>
      <w:r>
        <w:rPr>
          <w:spacing w:val="-2"/>
        </w:rPr>
        <w:t xml:space="preserve"> </w:t>
      </w:r>
      <w:r>
        <w:t>mandó</w:t>
      </w:r>
      <w:r>
        <w:rPr>
          <w:spacing w:val="-2"/>
        </w:rPr>
        <w:t xml:space="preserve"> </w:t>
      </w:r>
      <w:r>
        <w:t>a</w:t>
      </w:r>
      <w:r>
        <w:rPr>
          <w:spacing w:val="-3"/>
        </w:rPr>
        <w:t xml:space="preserve"> </w:t>
      </w:r>
      <w:r>
        <w:t>llamar,</w:t>
      </w:r>
      <w:r>
        <w:rPr>
          <w:spacing w:val="-2"/>
        </w:rPr>
        <w:t xml:space="preserve"> </w:t>
      </w:r>
      <w:r>
        <w:t>me</w:t>
      </w:r>
      <w:r>
        <w:rPr>
          <w:spacing w:val="-3"/>
        </w:rPr>
        <w:t xml:space="preserve"> </w:t>
      </w:r>
      <w:r>
        <w:t>dijo</w:t>
      </w:r>
      <w:r>
        <w:rPr>
          <w:spacing w:val="-2"/>
        </w:rPr>
        <w:t xml:space="preserve"> </w:t>
      </w:r>
      <w:r>
        <w:t>que</w:t>
      </w:r>
      <w:r>
        <w:rPr>
          <w:spacing w:val="-2"/>
        </w:rPr>
        <w:t xml:space="preserve"> </w:t>
      </w:r>
      <w:r>
        <w:t>si</w:t>
      </w:r>
      <w:r>
        <w:rPr>
          <w:spacing w:val="-2"/>
        </w:rPr>
        <w:t xml:space="preserve"> </w:t>
      </w:r>
      <w:r>
        <w:t>quería</w:t>
      </w:r>
      <w:r>
        <w:rPr>
          <w:spacing w:val="-2"/>
        </w:rPr>
        <w:t xml:space="preserve"> </w:t>
      </w:r>
      <w:r>
        <w:t>sacar</w:t>
      </w:r>
      <w:r>
        <w:rPr>
          <w:spacing w:val="-2"/>
        </w:rPr>
        <w:t xml:space="preserve"> </w:t>
      </w:r>
      <w:r>
        <w:t>a</w:t>
      </w:r>
      <w:r>
        <w:rPr>
          <w:spacing w:val="-3"/>
        </w:rPr>
        <w:t xml:space="preserve"> </w:t>
      </w:r>
      <w:r>
        <w:t>mi</w:t>
      </w:r>
      <w:r>
        <w:rPr>
          <w:spacing w:val="-2"/>
        </w:rPr>
        <w:t xml:space="preserve"> </w:t>
      </w:r>
      <w:r>
        <w:t>familia</w:t>
      </w:r>
      <w:r>
        <w:rPr>
          <w:spacing w:val="-3"/>
        </w:rPr>
        <w:t xml:space="preserve"> </w:t>
      </w:r>
      <w:r>
        <w:t>adelante que me metiera con ellos. Yo le dije que no sabía si fuera capaz, no sabía si aguantaría con el fusil, la maleta y toda esa vaina, me dijo que solamente era de miliciano»</w:t>
      </w:r>
      <w:r w:rsidR="0083161F">
        <w:rPr>
          <w:rStyle w:val="Refdenotaalpie"/>
        </w:rPr>
        <w:footnoteReference w:id="164"/>
      </w:r>
      <w:r>
        <w:t>.</w:t>
      </w:r>
    </w:p>
    <w:p w:rsidR="003804AC" w:rsidRDefault="00AF18A5" w:rsidP="0083161F">
      <w:r>
        <w:t>El</w:t>
      </w:r>
      <w:r>
        <w:rPr>
          <w:spacing w:val="-15"/>
        </w:rPr>
        <w:t xml:space="preserve"> </w:t>
      </w:r>
      <w:r>
        <w:t>reclutamiento</w:t>
      </w:r>
      <w:r>
        <w:rPr>
          <w:spacing w:val="-15"/>
        </w:rPr>
        <w:t xml:space="preserve"> </w:t>
      </w:r>
      <w:r>
        <w:t>de</w:t>
      </w:r>
      <w:r>
        <w:rPr>
          <w:spacing w:val="-15"/>
        </w:rPr>
        <w:t xml:space="preserve"> </w:t>
      </w:r>
      <w:r>
        <w:t>niños,</w:t>
      </w:r>
      <w:r>
        <w:rPr>
          <w:spacing w:val="-15"/>
        </w:rPr>
        <w:t xml:space="preserve"> </w:t>
      </w:r>
      <w:r>
        <w:t>niñas</w:t>
      </w:r>
      <w:r>
        <w:rPr>
          <w:spacing w:val="-15"/>
        </w:rPr>
        <w:t xml:space="preserve"> </w:t>
      </w:r>
      <w:r>
        <w:t>y</w:t>
      </w:r>
      <w:r>
        <w:rPr>
          <w:spacing w:val="-15"/>
        </w:rPr>
        <w:t xml:space="preserve"> </w:t>
      </w:r>
      <w:r>
        <w:t>adolescentes</w:t>
      </w:r>
      <w:r>
        <w:rPr>
          <w:spacing w:val="-15"/>
        </w:rPr>
        <w:t xml:space="preserve"> </w:t>
      </w:r>
      <w:r>
        <w:t>menores</w:t>
      </w:r>
      <w:r>
        <w:rPr>
          <w:spacing w:val="-15"/>
        </w:rPr>
        <w:t xml:space="preserve"> </w:t>
      </w:r>
      <w:r>
        <w:t>de</w:t>
      </w:r>
      <w:r>
        <w:rPr>
          <w:spacing w:val="-15"/>
        </w:rPr>
        <w:t xml:space="preserve"> </w:t>
      </w:r>
      <w:r>
        <w:t>15</w:t>
      </w:r>
      <w:r>
        <w:rPr>
          <w:spacing w:val="-15"/>
        </w:rPr>
        <w:t xml:space="preserve"> </w:t>
      </w:r>
      <w:r>
        <w:t>años</w:t>
      </w:r>
      <w:r>
        <w:rPr>
          <w:spacing w:val="-15"/>
        </w:rPr>
        <w:t xml:space="preserve"> </w:t>
      </w:r>
      <w:r>
        <w:t>es</w:t>
      </w:r>
      <w:r>
        <w:rPr>
          <w:spacing w:val="-15"/>
        </w:rPr>
        <w:t xml:space="preserve"> </w:t>
      </w:r>
      <w:r>
        <w:t>un</w:t>
      </w:r>
      <w:r>
        <w:rPr>
          <w:spacing w:val="-15"/>
        </w:rPr>
        <w:t xml:space="preserve"> </w:t>
      </w:r>
      <w:r>
        <w:t>crimen</w:t>
      </w:r>
      <w:r>
        <w:rPr>
          <w:spacing w:val="-15"/>
        </w:rPr>
        <w:t xml:space="preserve"> </w:t>
      </w:r>
      <w:r>
        <w:t>de</w:t>
      </w:r>
      <w:r>
        <w:rPr>
          <w:spacing w:val="-15"/>
        </w:rPr>
        <w:t xml:space="preserve"> </w:t>
      </w:r>
      <w:r>
        <w:t xml:space="preserve">guerra prohibido por el DIH. Esta práctica común y generalizada se ha dado desde hace décadas y persiste en la actualidad. </w:t>
      </w:r>
      <w:r>
        <w:lastRenderedPageBreak/>
        <w:t>También se presentó al interior de la fuerza pública en una época (tuvo</w:t>
      </w:r>
      <w:r>
        <w:rPr>
          <w:spacing w:val="-5"/>
        </w:rPr>
        <w:t xml:space="preserve"> </w:t>
      </w:r>
      <w:r>
        <w:t>personas</w:t>
      </w:r>
      <w:r>
        <w:rPr>
          <w:spacing w:val="-4"/>
        </w:rPr>
        <w:t xml:space="preserve"> </w:t>
      </w:r>
      <w:r>
        <w:t>menores</w:t>
      </w:r>
      <w:r>
        <w:rPr>
          <w:spacing w:val="-6"/>
        </w:rPr>
        <w:t xml:space="preserve"> </w:t>
      </w:r>
      <w:r>
        <w:t>de</w:t>
      </w:r>
      <w:r>
        <w:rPr>
          <w:spacing w:val="-4"/>
        </w:rPr>
        <w:t xml:space="preserve"> </w:t>
      </w:r>
      <w:r>
        <w:t>18</w:t>
      </w:r>
      <w:r>
        <w:rPr>
          <w:spacing w:val="-5"/>
        </w:rPr>
        <w:t xml:space="preserve"> </w:t>
      </w:r>
      <w:r>
        <w:t>años</w:t>
      </w:r>
      <w:r>
        <w:rPr>
          <w:spacing w:val="-6"/>
        </w:rPr>
        <w:t xml:space="preserve"> </w:t>
      </w:r>
      <w:r>
        <w:t>incorporadas</w:t>
      </w:r>
      <w:r>
        <w:rPr>
          <w:spacing w:val="-6"/>
        </w:rPr>
        <w:t xml:space="preserve"> </w:t>
      </w:r>
      <w:r>
        <w:t>al</w:t>
      </w:r>
      <w:r>
        <w:rPr>
          <w:spacing w:val="-4"/>
        </w:rPr>
        <w:t xml:space="preserve"> </w:t>
      </w:r>
      <w:r>
        <w:t>menos</w:t>
      </w:r>
      <w:r>
        <w:rPr>
          <w:spacing w:val="-4"/>
        </w:rPr>
        <w:t xml:space="preserve"> </w:t>
      </w:r>
      <w:r>
        <w:t>hasta</w:t>
      </w:r>
      <w:r>
        <w:rPr>
          <w:spacing w:val="-4"/>
        </w:rPr>
        <w:t xml:space="preserve"> </w:t>
      </w:r>
      <w:r>
        <w:t>1996,</w:t>
      </w:r>
      <w:r>
        <w:rPr>
          <w:spacing w:val="-5"/>
        </w:rPr>
        <w:t xml:space="preserve"> </w:t>
      </w:r>
      <w:r>
        <w:t>cuando</w:t>
      </w:r>
      <w:r>
        <w:rPr>
          <w:spacing w:val="-5"/>
        </w:rPr>
        <w:t xml:space="preserve"> </w:t>
      </w:r>
      <w:r>
        <w:t>era</w:t>
      </w:r>
      <w:r>
        <w:rPr>
          <w:spacing w:val="-6"/>
        </w:rPr>
        <w:t xml:space="preserve"> </w:t>
      </w:r>
      <w:r>
        <w:t>legal)</w:t>
      </w:r>
      <w:r>
        <w:rPr>
          <w:spacing w:val="-4"/>
        </w:rPr>
        <w:t xml:space="preserve"> </w:t>
      </w:r>
      <w:r>
        <w:t>con registros de informes, denuncias y testimonios sobre acciones cívico-militares o de infiltración e inteligencia, en las que involucran en actividades militares a niños y niñas.</w:t>
      </w:r>
    </w:p>
    <w:p w:rsidR="003804AC" w:rsidRDefault="00AF18A5" w:rsidP="0083161F">
      <w:r>
        <w:t>Entendemos por reclutamiento «cualquier modalidad de vinculación o involucramiento de niños, niñas y adolescentes en actividades de los grupos armados tanto legales (Fuerzas Militares) como ilegales (guerrillas y paramilitares) en el conflicto armado interno, ya sea que</w:t>
      </w:r>
      <w:r>
        <w:rPr>
          <w:spacing w:val="7"/>
        </w:rPr>
        <w:t xml:space="preserve"> </w:t>
      </w:r>
      <w:r>
        <w:t>dicha</w:t>
      </w:r>
      <w:r>
        <w:rPr>
          <w:spacing w:val="10"/>
        </w:rPr>
        <w:t xml:space="preserve"> </w:t>
      </w:r>
      <w:r>
        <w:t>participación</w:t>
      </w:r>
      <w:r>
        <w:rPr>
          <w:spacing w:val="8"/>
        </w:rPr>
        <w:t xml:space="preserve"> </w:t>
      </w:r>
      <w:r>
        <w:t>sea</w:t>
      </w:r>
      <w:r>
        <w:rPr>
          <w:spacing w:val="9"/>
        </w:rPr>
        <w:t xml:space="preserve"> </w:t>
      </w:r>
      <w:r>
        <w:t>directa</w:t>
      </w:r>
      <w:r>
        <w:rPr>
          <w:spacing w:val="10"/>
        </w:rPr>
        <w:t xml:space="preserve"> </w:t>
      </w:r>
      <w:r>
        <w:t>o</w:t>
      </w:r>
      <w:r>
        <w:rPr>
          <w:spacing w:val="8"/>
        </w:rPr>
        <w:t xml:space="preserve"> </w:t>
      </w:r>
      <w:r>
        <w:t>indirecta</w:t>
      </w:r>
      <w:r>
        <w:rPr>
          <w:spacing w:val="10"/>
        </w:rPr>
        <w:t xml:space="preserve"> </w:t>
      </w:r>
      <w:r>
        <w:t>en</w:t>
      </w:r>
      <w:r>
        <w:rPr>
          <w:spacing w:val="8"/>
        </w:rPr>
        <w:t xml:space="preserve"> </w:t>
      </w:r>
      <w:r>
        <w:t>las</w:t>
      </w:r>
      <w:r>
        <w:rPr>
          <w:spacing w:val="10"/>
        </w:rPr>
        <w:t xml:space="preserve"> </w:t>
      </w:r>
      <w:r>
        <w:t>hostilidades.</w:t>
      </w:r>
      <w:r>
        <w:rPr>
          <w:spacing w:val="9"/>
        </w:rPr>
        <w:t xml:space="preserve"> </w:t>
      </w:r>
      <w:r>
        <w:t>Las</w:t>
      </w:r>
      <w:r>
        <w:rPr>
          <w:spacing w:val="10"/>
        </w:rPr>
        <w:t xml:space="preserve"> </w:t>
      </w:r>
      <w:r>
        <w:t>acciones</w:t>
      </w:r>
      <w:r>
        <w:rPr>
          <w:spacing w:val="10"/>
        </w:rPr>
        <w:t xml:space="preserve"> </w:t>
      </w:r>
      <w:r>
        <w:t>o</w:t>
      </w:r>
      <w:r>
        <w:rPr>
          <w:spacing w:val="9"/>
        </w:rPr>
        <w:t xml:space="preserve"> </w:t>
      </w:r>
      <w:r>
        <w:t>roles</w:t>
      </w:r>
      <w:r>
        <w:rPr>
          <w:spacing w:val="10"/>
        </w:rPr>
        <w:t xml:space="preserve"> </w:t>
      </w:r>
      <w:r>
        <w:rPr>
          <w:spacing w:val="-5"/>
        </w:rPr>
        <w:t>que</w:t>
      </w:r>
      <w:bookmarkStart w:id="269" w:name="_bookmark192"/>
      <w:bookmarkEnd w:id="269"/>
      <w:r w:rsidR="0083161F">
        <w:rPr>
          <w:spacing w:val="-5"/>
        </w:rPr>
        <w:t xml:space="preserve"> </w:t>
      </w:r>
      <w:r>
        <w:t>se</w:t>
      </w:r>
      <w:r>
        <w:rPr>
          <w:spacing w:val="-12"/>
        </w:rPr>
        <w:t xml:space="preserve"> </w:t>
      </w:r>
      <w:r>
        <w:t>incluyen</w:t>
      </w:r>
      <w:r>
        <w:rPr>
          <w:spacing w:val="-13"/>
        </w:rPr>
        <w:t xml:space="preserve"> </w:t>
      </w:r>
      <w:r>
        <w:t>dentro</w:t>
      </w:r>
      <w:r>
        <w:rPr>
          <w:spacing w:val="-12"/>
        </w:rPr>
        <w:t xml:space="preserve"> </w:t>
      </w:r>
      <w:r>
        <w:t>de</w:t>
      </w:r>
      <w:r>
        <w:rPr>
          <w:spacing w:val="-12"/>
        </w:rPr>
        <w:t xml:space="preserve"> </w:t>
      </w:r>
      <w:r>
        <w:t>las</w:t>
      </w:r>
      <w:r>
        <w:rPr>
          <w:spacing w:val="-13"/>
        </w:rPr>
        <w:t xml:space="preserve"> </w:t>
      </w:r>
      <w:r>
        <w:t>formas</w:t>
      </w:r>
      <w:r>
        <w:rPr>
          <w:spacing w:val="-12"/>
        </w:rPr>
        <w:t xml:space="preserve"> </w:t>
      </w:r>
      <w:r>
        <w:t>de</w:t>
      </w:r>
      <w:r>
        <w:rPr>
          <w:spacing w:val="-12"/>
        </w:rPr>
        <w:t xml:space="preserve"> </w:t>
      </w:r>
      <w:r>
        <w:t>utilización</w:t>
      </w:r>
      <w:r>
        <w:rPr>
          <w:spacing w:val="-12"/>
        </w:rPr>
        <w:t xml:space="preserve"> </w:t>
      </w:r>
      <w:r>
        <w:t>son</w:t>
      </w:r>
      <w:r>
        <w:rPr>
          <w:spacing w:val="-12"/>
        </w:rPr>
        <w:t xml:space="preserve"> </w:t>
      </w:r>
      <w:r>
        <w:t>acciones</w:t>
      </w:r>
      <w:r>
        <w:rPr>
          <w:spacing w:val="-12"/>
        </w:rPr>
        <w:t xml:space="preserve"> </w:t>
      </w:r>
      <w:r>
        <w:t>bélicas,</w:t>
      </w:r>
      <w:r>
        <w:rPr>
          <w:spacing w:val="-12"/>
        </w:rPr>
        <w:t xml:space="preserve"> </w:t>
      </w:r>
      <w:r>
        <w:t>actividades</w:t>
      </w:r>
      <w:r>
        <w:rPr>
          <w:spacing w:val="-12"/>
        </w:rPr>
        <w:t xml:space="preserve"> </w:t>
      </w:r>
      <w:r>
        <w:t>de</w:t>
      </w:r>
      <w:r>
        <w:rPr>
          <w:spacing w:val="-12"/>
        </w:rPr>
        <w:t xml:space="preserve"> </w:t>
      </w:r>
      <w:r>
        <w:t>vigilancia e inteligencia, actividades logísticas o administrativas, actividades relacionadas con el narcotráfico y financiación u obtención de recursos para el actor armado».</w:t>
      </w:r>
    </w:p>
    <w:p w:rsidR="003804AC" w:rsidRDefault="00AF18A5" w:rsidP="0083161F">
      <w:r>
        <w:t>Las actividades que les impusieron fueron aquellas en las que los combatientes consideraban que podrían desempeñarse con mayor eficacia. Esto incluye combates, actividades de soporte, uso como guías, tareas de logística, abastecimiento o guardia de personas secuestradas. Además de la estrategia de reclutamiento de estos grupos, la falta de oportunidades y la desprotección social han sido parte del contexto favorecedor de la permanencia del reclutamiento en la actualidad</w:t>
      </w:r>
      <w:r w:rsidR="0083161F">
        <w:rPr>
          <w:rStyle w:val="Refdenotaalpie"/>
        </w:rPr>
        <w:footnoteReference w:id="165"/>
      </w:r>
      <w:r>
        <w:t>. Algunas condiciones que propician el reclutamiento son los contextos de violencia, pobreza, miseria, exclusión social y ausencia, violencia</w:t>
      </w:r>
      <w:r>
        <w:rPr>
          <w:spacing w:val="-15"/>
        </w:rPr>
        <w:t xml:space="preserve"> </w:t>
      </w:r>
      <w:r>
        <w:t>o</w:t>
      </w:r>
      <w:r>
        <w:rPr>
          <w:spacing w:val="-15"/>
        </w:rPr>
        <w:t xml:space="preserve"> </w:t>
      </w:r>
      <w:r>
        <w:t>abandono</w:t>
      </w:r>
      <w:r>
        <w:rPr>
          <w:spacing w:val="-15"/>
        </w:rPr>
        <w:t xml:space="preserve"> </w:t>
      </w:r>
      <w:r>
        <w:t>familiar.</w:t>
      </w:r>
      <w:r>
        <w:rPr>
          <w:spacing w:val="-15"/>
        </w:rPr>
        <w:t xml:space="preserve"> </w:t>
      </w:r>
      <w:r>
        <w:t>Aumentó</w:t>
      </w:r>
      <w:r>
        <w:rPr>
          <w:spacing w:val="-15"/>
        </w:rPr>
        <w:t xml:space="preserve"> </w:t>
      </w:r>
      <w:r>
        <w:t>el</w:t>
      </w:r>
      <w:r>
        <w:rPr>
          <w:spacing w:val="-15"/>
        </w:rPr>
        <w:t xml:space="preserve"> </w:t>
      </w:r>
      <w:r>
        <w:t>reclutamiento</w:t>
      </w:r>
      <w:r>
        <w:rPr>
          <w:spacing w:val="-15"/>
        </w:rPr>
        <w:t xml:space="preserve"> </w:t>
      </w:r>
      <w:r>
        <w:t>y</w:t>
      </w:r>
      <w:r>
        <w:rPr>
          <w:spacing w:val="-15"/>
        </w:rPr>
        <w:t xml:space="preserve"> </w:t>
      </w:r>
      <w:r>
        <w:t>uso</w:t>
      </w:r>
      <w:r>
        <w:rPr>
          <w:spacing w:val="-15"/>
        </w:rPr>
        <w:t xml:space="preserve"> </w:t>
      </w:r>
      <w:r>
        <w:t>de</w:t>
      </w:r>
      <w:r>
        <w:rPr>
          <w:spacing w:val="-15"/>
        </w:rPr>
        <w:t xml:space="preserve"> </w:t>
      </w:r>
      <w:r>
        <w:t>niños,</w:t>
      </w:r>
      <w:r>
        <w:rPr>
          <w:spacing w:val="-15"/>
        </w:rPr>
        <w:t xml:space="preserve"> </w:t>
      </w:r>
      <w:r>
        <w:t>niñas</w:t>
      </w:r>
      <w:r>
        <w:rPr>
          <w:spacing w:val="-15"/>
        </w:rPr>
        <w:t xml:space="preserve"> </w:t>
      </w:r>
      <w:r>
        <w:t>y</w:t>
      </w:r>
      <w:r>
        <w:rPr>
          <w:spacing w:val="-15"/>
        </w:rPr>
        <w:t xml:space="preserve"> </w:t>
      </w:r>
      <w:r>
        <w:t>adolescentes durante los periodos de mayor confrontación o de desdoblamiento de frentes.</w:t>
      </w:r>
    </w:p>
    <w:p w:rsidR="003804AC" w:rsidRDefault="00AF18A5" w:rsidP="0083161F">
      <w:r>
        <w:lastRenderedPageBreak/>
        <w:t>La</w:t>
      </w:r>
      <w:r>
        <w:rPr>
          <w:spacing w:val="-4"/>
        </w:rPr>
        <w:t xml:space="preserve"> </w:t>
      </w:r>
      <w:r>
        <w:t>vinculación</w:t>
      </w:r>
      <w:r>
        <w:rPr>
          <w:spacing w:val="-5"/>
        </w:rPr>
        <w:t xml:space="preserve"> </w:t>
      </w:r>
      <w:r>
        <w:t>nombra</w:t>
      </w:r>
      <w:r>
        <w:rPr>
          <w:spacing w:val="-6"/>
        </w:rPr>
        <w:t xml:space="preserve"> </w:t>
      </w:r>
      <w:r>
        <w:t>las</w:t>
      </w:r>
      <w:r>
        <w:rPr>
          <w:spacing w:val="-4"/>
        </w:rPr>
        <w:t xml:space="preserve"> </w:t>
      </w:r>
      <w:r>
        <w:t>distintas</w:t>
      </w:r>
      <w:r>
        <w:rPr>
          <w:spacing w:val="-4"/>
        </w:rPr>
        <w:t xml:space="preserve"> </w:t>
      </w:r>
      <w:r>
        <w:t>formas</w:t>
      </w:r>
      <w:r>
        <w:rPr>
          <w:spacing w:val="-6"/>
        </w:rPr>
        <w:t xml:space="preserve"> </w:t>
      </w:r>
      <w:r>
        <w:t>en</w:t>
      </w:r>
      <w:r>
        <w:rPr>
          <w:spacing w:val="-5"/>
        </w:rPr>
        <w:t xml:space="preserve"> </w:t>
      </w:r>
      <w:r>
        <w:t>que</w:t>
      </w:r>
      <w:r>
        <w:rPr>
          <w:spacing w:val="-4"/>
        </w:rPr>
        <w:t xml:space="preserve"> </w:t>
      </w:r>
      <w:r>
        <w:t>las</w:t>
      </w:r>
      <w:r>
        <w:rPr>
          <w:spacing w:val="-4"/>
        </w:rPr>
        <w:t xml:space="preserve"> </w:t>
      </w:r>
      <w:r>
        <w:t>niñas,</w:t>
      </w:r>
      <w:r>
        <w:rPr>
          <w:spacing w:val="-6"/>
        </w:rPr>
        <w:t xml:space="preserve"> </w:t>
      </w:r>
      <w:r>
        <w:t>niños</w:t>
      </w:r>
      <w:r>
        <w:rPr>
          <w:spacing w:val="-5"/>
        </w:rPr>
        <w:t xml:space="preserve"> </w:t>
      </w:r>
      <w:r>
        <w:t>y</w:t>
      </w:r>
      <w:r>
        <w:rPr>
          <w:spacing w:val="-5"/>
        </w:rPr>
        <w:t xml:space="preserve"> </w:t>
      </w:r>
      <w:r>
        <w:t>adolescentes</w:t>
      </w:r>
      <w:r>
        <w:rPr>
          <w:spacing w:val="-4"/>
        </w:rPr>
        <w:t xml:space="preserve"> </w:t>
      </w:r>
      <w:r>
        <w:t xml:space="preserve">pueden ser instrumentalizados, llevados a cumplir una tarea o asumir algún rol a favor de un actor armado, y se puede ejecutar mediante el uso y la utilización. La utilización no implica la participación directa en hostilidades, pero es igualmente </w:t>
      </w:r>
      <w:proofErr w:type="spellStart"/>
      <w:r>
        <w:t>victimizante</w:t>
      </w:r>
      <w:proofErr w:type="spellEnd"/>
      <w:r>
        <w:t xml:space="preserve"> porque vulnera derechos de la niñez y adolescencia, además del principio de distinción. La normatividad prohíbe</w:t>
      </w:r>
      <w:r>
        <w:rPr>
          <w:spacing w:val="-8"/>
        </w:rPr>
        <w:t xml:space="preserve"> </w:t>
      </w:r>
      <w:r>
        <w:t>cualquier</w:t>
      </w:r>
      <w:r>
        <w:rPr>
          <w:spacing w:val="-8"/>
        </w:rPr>
        <w:t xml:space="preserve"> </w:t>
      </w:r>
      <w:r>
        <w:t>forma</w:t>
      </w:r>
      <w:r>
        <w:rPr>
          <w:spacing w:val="-8"/>
        </w:rPr>
        <w:t xml:space="preserve"> </w:t>
      </w:r>
      <w:r>
        <w:t>de</w:t>
      </w:r>
      <w:r>
        <w:rPr>
          <w:spacing w:val="-7"/>
        </w:rPr>
        <w:t xml:space="preserve"> </w:t>
      </w:r>
      <w:r>
        <w:t>instrumentalización,</w:t>
      </w:r>
      <w:r>
        <w:rPr>
          <w:spacing w:val="-8"/>
        </w:rPr>
        <w:t xml:space="preserve"> </w:t>
      </w:r>
      <w:r>
        <w:t>relación,</w:t>
      </w:r>
      <w:r>
        <w:rPr>
          <w:spacing w:val="-7"/>
        </w:rPr>
        <w:t xml:space="preserve"> </w:t>
      </w:r>
      <w:r>
        <w:t>aproximación</w:t>
      </w:r>
      <w:r>
        <w:rPr>
          <w:spacing w:val="-7"/>
        </w:rPr>
        <w:t xml:space="preserve"> </w:t>
      </w:r>
      <w:r>
        <w:t>o</w:t>
      </w:r>
      <w:r>
        <w:rPr>
          <w:spacing w:val="-8"/>
        </w:rPr>
        <w:t xml:space="preserve"> </w:t>
      </w:r>
      <w:r>
        <w:t>abordaje</w:t>
      </w:r>
      <w:r>
        <w:rPr>
          <w:spacing w:val="-7"/>
        </w:rPr>
        <w:t xml:space="preserve"> </w:t>
      </w:r>
      <w:r>
        <w:t>por</w:t>
      </w:r>
      <w:r>
        <w:rPr>
          <w:spacing w:val="-7"/>
        </w:rPr>
        <w:t xml:space="preserve"> </w:t>
      </w:r>
      <w:r>
        <w:t>parte de</w:t>
      </w:r>
      <w:r>
        <w:rPr>
          <w:spacing w:val="-10"/>
        </w:rPr>
        <w:t xml:space="preserve"> </w:t>
      </w:r>
      <w:r>
        <w:t>los</w:t>
      </w:r>
      <w:r>
        <w:rPr>
          <w:spacing w:val="-10"/>
        </w:rPr>
        <w:t xml:space="preserve"> </w:t>
      </w:r>
      <w:r>
        <w:t>grupos</w:t>
      </w:r>
      <w:r>
        <w:rPr>
          <w:spacing w:val="-10"/>
        </w:rPr>
        <w:t xml:space="preserve"> </w:t>
      </w:r>
      <w:r>
        <w:t>armados,</w:t>
      </w:r>
      <w:r>
        <w:rPr>
          <w:spacing w:val="-11"/>
        </w:rPr>
        <w:t xml:space="preserve"> </w:t>
      </w:r>
      <w:r>
        <w:t>con</w:t>
      </w:r>
      <w:r>
        <w:rPr>
          <w:spacing w:val="-11"/>
        </w:rPr>
        <w:t xml:space="preserve"> </w:t>
      </w:r>
      <w:r>
        <w:t>la</w:t>
      </w:r>
      <w:r>
        <w:rPr>
          <w:spacing w:val="-10"/>
        </w:rPr>
        <w:t xml:space="preserve"> </w:t>
      </w:r>
      <w:r>
        <w:t>que</w:t>
      </w:r>
      <w:r>
        <w:rPr>
          <w:spacing w:val="-10"/>
        </w:rPr>
        <w:t xml:space="preserve"> </w:t>
      </w:r>
      <w:r>
        <w:t>pretendan</w:t>
      </w:r>
      <w:r>
        <w:rPr>
          <w:spacing w:val="-11"/>
        </w:rPr>
        <w:t xml:space="preserve"> </w:t>
      </w:r>
      <w:r>
        <w:t>beneficiarse</w:t>
      </w:r>
      <w:r>
        <w:rPr>
          <w:spacing w:val="-10"/>
        </w:rPr>
        <w:t xml:space="preserve"> </w:t>
      </w:r>
      <w:r>
        <w:t>de</w:t>
      </w:r>
      <w:r>
        <w:rPr>
          <w:spacing w:val="-10"/>
        </w:rPr>
        <w:t xml:space="preserve"> </w:t>
      </w:r>
      <w:r>
        <w:t>niñas,</w:t>
      </w:r>
      <w:r>
        <w:rPr>
          <w:spacing w:val="-10"/>
        </w:rPr>
        <w:t xml:space="preserve"> </w:t>
      </w:r>
      <w:r>
        <w:t>niños</w:t>
      </w:r>
      <w:r>
        <w:rPr>
          <w:spacing w:val="-10"/>
        </w:rPr>
        <w:t xml:space="preserve"> </w:t>
      </w:r>
      <w:r>
        <w:t>y</w:t>
      </w:r>
      <w:r>
        <w:rPr>
          <w:spacing w:val="-12"/>
        </w:rPr>
        <w:t xml:space="preserve"> </w:t>
      </w:r>
      <w:r>
        <w:t>adolescentes,</w:t>
      </w:r>
      <w:r>
        <w:rPr>
          <w:spacing w:val="-11"/>
        </w:rPr>
        <w:t xml:space="preserve"> </w:t>
      </w:r>
      <w:r>
        <w:t>más aún si pretenden que desempeñen cualquier función a su favor.</w:t>
      </w:r>
    </w:p>
    <w:p w:rsidR="003804AC" w:rsidRDefault="00AF18A5" w:rsidP="006378E0">
      <w:r>
        <w:t>Dentro</w:t>
      </w:r>
      <w:r>
        <w:rPr>
          <w:spacing w:val="-5"/>
        </w:rPr>
        <w:t xml:space="preserve"> </w:t>
      </w:r>
      <w:r>
        <w:t>de</w:t>
      </w:r>
      <w:r>
        <w:rPr>
          <w:spacing w:val="-5"/>
        </w:rPr>
        <w:t xml:space="preserve"> </w:t>
      </w:r>
      <w:r>
        <w:t>las</w:t>
      </w:r>
      <w:r>
        <w:rPr>
          <w:spacing w:val="-5"/>
        </w:rPr>
        <w:t xml:space="preserve"> </w:t>
      </w:r>
      <w:r>
        <w:t>actividades</w:t>
      </w:r>
      <w:r>
        <w:rPr>
          <w:spacing w:val="-5"/>
        </w:rPr>
        <w:t xml:space="preserve"> </w:t>
      </w:r>
      <w:r>
        <w:t>más</w:t>
      </w:r>
      <w:r>
        <w:rPr>
          <w:spacing w:val="-5"/>
        </w:rPr>
        <w:t xml:space="preserve"> </w:t>
      </w:r>
      <w:r>
        <w:t>recurrentes</w:t>
      </w:r>
      <w:r>
        <w:rPr>
          <w:spacing w:val="-5"/>
        </w:rPr>
        <w:t xml:space="preserve"> </w:t>
      </w:r>
      <w:r>
        <w:t>están</w:t>
      </w:r>
      <w:r>
        <w:rPr>
          <w:spacing w:val="-5"/>
        </w:rPr>
        <w:t xml:space="preserve"> </w:t>
      </w:r>
      <w:r>
        <w:t>las</w:t>
      </w:r>
      <w:r>
        <w:rPr>
          <w:spacing w:val="-5"/>
        </w:rPr>
        <w:t xml:space="preserve"> </w:t>
      </w:r>
      <w:r>
        <w:t>de</w:t>
      </w:r>
      <w:r>
        <w:rPr>
          <w:spacing w:val="-5"/>
        </w:rPr>
        <w:t xml:space="preserve"> </w:t>
      </w:r>
      <w:r>
        <w:t>informante,</w:t>
      </w:r>
      <w:r>
        <w:rPr>
          <w:spacing w:val="-5"/>
        </w:rPr>
        <w:t xml:space="preserve"> </w:t>
      </w:r>
      <w:r>
        <w:t>infiltrado</w:t>
      </w:r>
      <w:r>
        <w:rPr>
          <w:spacing w:val="-5"/>
        </w:rPr>
        <w:t xml:space="preserve"> </w:t>
      </w:r>
      <w:r>
        <w:t>y</w:t>
      </w:r>
      <w:r>
        <w:rPr>
          <w:spacing w:val="-5"/>
        </w:rPr>
        <w:t xml:space="preserve"> </w:t>
      </w:r>
      <w:r>
        <w:t>mensajero; otros niños, niñas y adolescentes menores de 18 años participaron en combates y muchos murieron.</w:t>
      </w:r>
      <w:r>
        <w:rPr>
          <w:spacing w:val="-15"/>
        </w:rPr>
        <w:t xml:space="preserve"> </w:t>
      </w:r>
      <w:r>
        <w:t>El</w:t>
      </w:r>
      <w:r>
        <w:rPr>
          <w:spacing w:val="-15"/>
        </w:rPr>
        <w:t xml:space="preserve"> </w:t>
      </w:r>
      <w:r>
        <w:t>deseo</w:t>
      </w:r>
      <w:r>
        <w:rPr>
          <w:spacing w:val="-15"/>
        </w:rPr>
        <w:t xml:space="preserve"> </w:t>
      </w:r>
      <w:r>
        <w:t>de</w:t>
      </w:r>
      <w:r>
        <w:rPr>
          <w:spacing w:val="-15"/>
        </w:rPr>
        <w:t xml:space="preserve"> </w:t>
      </w:r>
      <w:r>
        <w:t>venganza</w:t>
      </w:r>
      <w:r>
        <w:rPr>
          <w:spacing w:val="-15"/>
        </w:rPr>
        <w:t xml:space="preserve"> </w:t>
      </w:r>
      <w:r>
        <w:t>por</w:t>
      </w:r>
      <w:r>
        <w:rPr>
          <w:spacing w:val="-15"/>
        </w:rPr>
        <w:t xml:space="preserve"> </w:t>
      </w:r>
      <w:r>
        <w:t>el</w:t>
      </w:r>
      <w:r>
        <w:rPr>
          <w:spacing w:val="-15"/>
        </w:rPr>
        <w:t xml:space="preserve"> </w:t>
      </w:r>
      <w:r>
        <w:t>asesinato</w:t>
      </w:r>
      <w:r>
        <w:rPr>
          <w:spacing w:val="-15"/>
        </w:rPr>
        <w:t xml:space="preserve"> </w:t>
      </w:r>
      <w:r>
        <w:t>de</w:t>
      </w:r>
      <w:r>
        <w:rPr>
          <w:spacing w:val="-15"/>
        </w:rPr>
        <w:t xml:space="preserve"> </w:t>
      </w:r>
      <w:r>
        <w:t>seres</w:t>
      </w:r>
      <w:r>
        <w:rPr>
          <w:spacing w:val="-15"/>
        </w:rPr>
        <w:t xml:space="preserve"> </w:t>
      </w:r>
      <w:r>
        <w:t>queridos</w:t>
      </w:r>
      <w:r>
        <w:rPr>
          <w:spacing w:val="-15"/>
        </w:rPr>
        <w:t xml:space="preserve"> </w:t>
      </w:r>
      <w:r>
        <w:t>también</w:t>
      </w:r>
      <w:r>
        <w:rPr>
          <w:spacing w:val="-15"/>
        </w:rPr>
        <w:t xml:space="preserve"> </w:t>
      </w:r>
      <w:r>
        <w:t>se</w:t>
      </w:r>
      <w:r>
        <w:rPr>
          <w:spacing w:val="-15"/>
        </w:rPr>
        <w:t xml:space="preserve"> </w:t>
      </w:r>
      <w:r>
        <w:t>mencionó</w:t>
      </w:r>
      <w:r>
        <w:rPr>
          <w:spacing w:val="-15"/>
        </w:rPr>
        <w:t xml:space="preserve"> </w:t>
      </w:r>
      <w:r>
        <w:t>como motivo de ingreso en el grupo. En ocasiones la imposición es ejercida con violencia, amenazando a las víctimas y a sus familiares. También existen registros algunas acciones cívico-militares</w:t>
      </w:r>
      <w:r>
        <w:rPr>
          <w:spacing w:val="49"/>
        </w:rPr>
        <w:t xml:space="preserve"> </w:t>
      </w:r>
      <w:r>
        <w:t>que</w:t>
      </w:r>
      <w:r>
        <w:rPr>
          <w:spacing w:val="52"/>
        </w:rPr>
        <w:t xml:space="preserve"> </w:t>
      </w:r>
      <w:r>
        <w:t>pusieron</w:t>
      </w:r>
      <w:r>
        <w:rPr>
          <w:spacing w:val="51"/>
        </w:rPr>
        <w:t xml:space="preserve"> </w:t>
      </w:r>
      <w:r>
        <w:t>en</w:t>
      </w:r>
      <w:r>
        <w:rPr>
          <w:spacing w:val="50"/>
        </w:rPr>
        <w:t xml:space="preserve"> </w:t>
      </w:r>
      <w:r>
        <w:t>riesgo</w:t>
      </w:r>
      <w:r>
        <w:rPr>
          <w:spacing w:val="51"/>
        </w:rPr>
        <w:t xml:space="preserve"> </w:t>
      </w:r>
      <w:r>
        <w:t>o</w:t>
      </w:r>
      <w:r>
        <w:rPr>
          <w:spacing w:val="51"/>
        </w:rPr>
        <w:t xml:space="preserve"> </w:t>
      </w:r>
      <w:r>
        <w:t>utilizaron</w:t>
      </w:r>
      <w:r>
        <w:rPr>
          <w:spacing w:val="51"/>
        </w:rPr>
        <w:t xml:space="preserve"> </w:t>
      </w:r>
      <w:r>
        <w:t>niños</w:t>
      </w:r>
      <w:r>
        <w:rPr>
          <w:spacing w:val="50"/>
        </w:rPr>
        <w:t xml:space="preserve"> </w:t>
      </w:r>
      <w:r>
        <w:t>y</w:t>
      </w:r>
      <w:r>
        <w:rPr>
          <w:spacing w:val="51"/>
        </w:rPr>
        <w:t xml:space="preserve"> </w:t>
      </w:r>
      <w:r>
        <w:t>niñas,</w:t>
      </w:r>
      <w:r>
        <w:rPr>
          <w:spacing w:val="51"/>
        </w:rPr>
        <w:t xml:space="preserve"> </w:t>
      </w:r>
      <w:r>
        <w:t>de</w:t>
      </w:r>
      <w:r>
        <w:rPr>
          <w:spacing w:val="50"/>
        </w:rPr>
        <w:t xml:space="preserve"> </w:t>
      </w:r>
      <w:r>
        <w:t>interrogatorios</w:t>
      </w:r>
      <w:r>
        <w:rPr>
          <w:spacing w:val="50"/>
        </w:rPr>
        <w:t xml:space="preserve"> </w:t>
      </w:r>
      <w:r>
        <w:rPr>
          <w:spacing w:val="-10"/>
        </w:rPr>
        <w:t>e</w:t>
      </w:r>
      <w:bookmarkStart w:id="270" w:name="_bookmark193"/>
      <w:bookmarkEnd w:id="270"/>
      <w:r w:rsidR="006378E0">
        <w:rPr>
          <w:spacing w:val="-10"/>
        </w:rPr>
        <w:t xml:space="preserve"> </w:t>
      </w:r>
      <w:r>
        <w:t>imposición</w:t>
      </w:r>
      <w:r>
        <w:rPr>
          <w:spacing w:val="-9"/>
        </w:rPr>
        <w:t xml:space="preserve"> </w:t>
      </w:r>
      <w:r>
        <w:t>de</w:t>
      </w:r>
      <w:r>
        <w:rPr>
          <w:spacing w:val="-8"/>
        </w:rPr>
        <w:t xml:space="preserve"> </w:t>
      </w:r>
      <w:r>
        <w:t>patrullajes</w:t>
      </w:r>
      <w:r>
        <w:rPr>
          <w:spacing w:val="-8"/>
        </w:rPr>
        <w:t xml:space="preserve"> </w:t>
      </w:r>
      <w:r>
        <w:t>conjuntos</w:t>
      </w:r>
      <w:r>
        <w:rPr>
          <w:spacing w:val="-9"/>
        </w:rPr>
        <w:t xml:space="preserve"> </w:t>
      </w:r>
      <w:r>
        <w:t>con</w:t>
      </w:r>
      <w:r>
        <w:rPr>
          <w:spacing w:val="-8"/>
        </w:rPr>
        <w:t xml:space="preserve"> </w:t>
      </w:r>
      <w:r>
        <w:t>niñas,</w:t>
      </w:r>
      <w:r>
        <w:rPr>
          <w:spacing w:val="-8"/>
        </w:rPr>
        <w:t xml:space="preserve"> </w:t>
      </w:r>
      <w:r>
        <w:t>niños</w:t>
      </w:r>
      <w:r>
        <w:rPr>
          <w:spacing w:val="-8"/>
        </w:rPr>
        <w:t xml:space="preserve"> </w:t>
      </w:r>
      <w:r>
        <w:t>y</w:t>
      </w:r>
      <w:r>
        <w:rPr>
          <w:spacing w:val="-8"/>
        </w:rPr>
        <w:t xml:space="preserve"> </w:t>
      </w:r>
      <w:r>
        <w:t>adolescentes</w:t>
      </w:r>
      <w:r>
        <w:rPr>
          <w:spacing w:val="-8"/>
        </w:rPr>
        <w:t xml:space="preserve"> </w:t>
      </w:r>
      <w:r>
        <w:t>desvinculados</w:t>
      </w:r>
      <w:r>
        <w:rPr>
          <w:spacing w:val="-8"/>
        </w:rPr>
        <w:t xml:space="preserve"> </w:t>
      </w:r>
      <w:r>
        <w:t>de</w:t>
      </w:r>
      <w:r>
        <w:rPr>
          <w:spacing w:val="-9"/>
        </w:rPr>
        <w:t xml:space="preserve"> </w:t>
      </w:r>
      <w:r>
        <w:t>grupos armados,</w:t>
      </w:r>
      <w:r>
        <w:rPr>
          <w:spacing w:val="-5"/>
        </w:rPr>
        <w:t xml:space="preserve"> </w:t>
      </w:r>
      <w:r>
        <w:t>de</w:t>
      </w:r>
      <w:r>
        <w:rPr>
          <w:spacing w:val="-6"/>
        </w:rPr>
        <w:t xml:space="preserve"> </w:t>
      </w:r>
      <w:r>
        <w:t>la</w:t>
      </w:r>
      <w:r>
        <w:rPr>
          <w:spacing w:val="-3"/>
        </w:rPr>
        <w:t xml:space="preserve"> </w:t>
      </w:r>
      <w:r>
        <w:t>utilización</w:t>
      </w:r>
      <w:r>
        <w:rPr>
          <w:spacing w:val="-4"/>
        </w:rPr>
        <w:t xml:space="preserve"> </w:t>
      </w:r>
      <w:r>
        <w:t>de</w:t>
      </w:r>
      <w:r>
        <w:rPr>
          <w:spacing w:val="-3"/>
        </w:rPr>
        <w:t xml:space="preserve"> </w:t>
      </w:r>
      <w:r>
        <w:t>niñas</w:t>
      </w:r>
      <w:r>
        <w:rPr>
          <w:spacing w:val="-3"/>
        </w:rPr>
        <w:t xml:space="preserve"> </w:t>
      </w:r>
      <w:r>
        <w:t>y</w:t>
      </w:r>
      <w:r>
        <w:rPr>
          <w:spacing w:val="-6"/>
        </w:rPr>
        <w:t xml:space="preserve"> </w:t>
      </w:r>
      <w:r>
        <w:t>niños</w:t>
      </w:r>
      <w:r>
        <w:rPr>
          <w:spacing w:val="-3"/>
        </w:rPr>
        <w:t xml:space="preserve"> </w:t>
      </w:r>
      <w:r>
        <w:t>como</w:t>
      </w:r>
      <w:r>
        <w:rPr>
          <w:spacing w:val="-5"/>
        </w:rPr>
        <w:t xml:space="preserve"> </w:t>
      </w:r>
      <w:r>
        <w:t>informantes</w:t>
      </w:r>
      <w:r>
        <w:rPr>
          <w:spacing w:val="-5"/>
        </w:rPr>
        <w:t xml:space="preserve"> </w:t>
      </w:r>
      <w:r>
        <w:t>y</w:t>
      </w:r>
      <w:r>
        <w:rPr>
          <w:spacing w:val="-4"/>
        </w:rPr>
        <w:t xml:space="preserve"> </w:t>
      </w:r>
      <w:r>
        <w:t>de</w:t>
      </w:r>
      <w:r>
        <w:rPr>
          <w:spacing w:val="-5"/>
        </w:rPr>
        <w:t xml:space="preserve"> </w:t>
      </w:r>
      <w:r>
        <w:t>la</w:t>
      </w:r>
      <w:r>
        <w:rPr>
          <w:spacing w:val="-5"/>
        </w:rPr>
        <w:t xml:space="preserve"> </w:t>
      </w:r>
      <w:r>
        <w:t>infiltración</w:t>
      </w:r>
      <w:r>
        <w:rPr>
          <w:spacing w:val="-5"/>
        </w:rPr>
        <w:t xml:space="preserve"> </w:t>
      </w:r>
      <w:r>
        <w:t>de</w:t>
      </w:r>
      <w:r>
        <w:rPr>
          <w:spacing w:val="-5"/>
        </w:rPr>
        <w:t xml:space="preserve"> </w:t>
      </w:r>
      <w:r>
        <w:t>menores de edad en filas de grupos armados por parte de la fuerza pública. Cualquier tipo de vinculación</w:t>
      </w:r>
      <w:r>
        <w:rPr>
          <w:spacing w:val="-6"/>
        </w:rPr>
        <w:t xml:space="preserve"> </w:t>
      </w:r>
      <w:r>
        <w:t>de</w:t>
      </w:r>
      <w:r>
        <w:rPr>
          <w:spacing w:val="-5"/>
        </w:rPr>
        <w:t xml:space="preserve"> </w:t>
      </w:r>
      <w:r>
        <w:t>niños,</w:t>
      </w:r>
      <w:r>
        <w:rPr>
          <w:spacing w:val="-5"/>
        </w:rPr>
        <w:t xml:space="preserve"> </w:t>
      </w:r>
      <w:r>
        <w:t>niñas</w:t>
      </w:r>
      <w:r>
        <w:rPr>
          <w:spacing w:val="-5"/>
        </w:rPr>
        <w:t xml:space="preserve"> </w:t>
      </w:r>
      <w:r>
        <w:t>y</w:t>
      </w:r>
      <w:r>
        <w:rPr>
          <w:spacing w:val="-5"/>
        </w:rPr>
        <w:t xml:space="preserve"> </w:t>
      </w:r>
      <w:r>
        <w:t>adolescentes</w:t>
      </w:r>
      <w:r>
        <w:rPr>
          <w:spacing w:val="-5"/>
        </w:rPr>
        <w:t xml:space="preserve"> </w:t>
      </w:r>
      <w:r>
        <w:t>al</w:t>
      </w:r>
      <w:r>
        <w:rPr>
          <w:spacing w:val="-4"/>
        </w:rPr>
        <w:t xml:space="preserve"> </w:t>
      </w:r>
      <w:r>
        <w:t>conflicto</w:t>
      </w:r>
      <w:r>
        <w:rPr>
          <w:spacing w:val="-5"/>
        </w:rPr>
        <w:t xml:space="preserve"> </w:t>
      </w:r>
      <w:r>
        <w:t>armado</w:t>
      </w:r>
      <w:r>
        <w:rPr>
          <w:spacing w:val="-5"/>
        </w:rPr>
        <w:t xml:space="preserve"> </w:t>
      </w:r>
      <w:r>
        <w:t>los</w:t>
      </w:r>
      <w:r>
        <w:rPr>
          <w:spacing w:val="-5"/>
        </w:rPr>
        <w:t xml:space="preserve"> </w:t>
      </w:r>
      <w:r>
        <w:t>expone</w:t>
      </w:r>
      <w:r>
        <w:rPr>
          <w:spacing w:val="-5"/>
        </w:rPr>
        <w:t xml:space="preserve"> </w:t>
      </w:r>
      <w:r>
        <w:t>a</w:t>
      </w:r>
      <w:r>
        <w:rPr>
          <w:spacing w:val="-5"/>
        </w:rPr>
        <w:t xml:space="preserve"> </w:t>
      </w:r>
      <w:r>
        <w:t>condiciones</w:t>
      </w:r>
      <w:r>
        <w:rPr>
          <w:spacing w:val="-5"/>
        </w:rPr>
        <w:t xml:space="preserve"> </w:t>
      </w:r>
      <w:r>
        <w:t>que incrementan</w:t>
      </w:r>
      <w:r>
        <w:rPr>
          <w:spacing w:val="-13"/>
        </w:rPr>
        <w:t xml:space="preserve"> </w:t>
      </w:r>
      <w:r>
        <w:t>el</w:t>
      </w:r>
      <w:r>
        <w:rPr>
          <w:spacing w:val="-12"/>
        </w:rPr>
        <w:t xml:space="preserve"> </w:t>
      </w:r>
      <w:r>
        <w:t>riesgo</w:t>
      </w:r>
      <w:r>
        <w:rPr>
          <w:spacing w:val="-12"/>
        </w:rPr>
        <w:t xml:space="preserve"> </w:t>
      </w:r>
      <w:r>
        <w:t>de</w:t>
      </w:r>
      <w:r>
        <w:rPr>
          <w:spacing w:val="-13"/>
        </w:rPr>
        <w:t xml:space="preserve"> </w:t>
      </w:r>
      <w:r>
        <w:t>sufrir</w:t>
      </w:r>
      <w:r>
        <w:rPr>
          <w:spacing w:val="-12"/>
        </w:rPr>
        <w:t xml:space="preserve"> </w:t>
      </w:r>
      <w:r>
        <w:t>otras</w:t>
      </w:r>
      <w:r>
        <w:rPr>
          <w:spacing w:val="-12"/>
        </w:rPr>
        <w:t xml:space="preserve"> </w:t>
      </w:r>
      <w:r>
        <w:t>violaciones</w:t>
      </w:r>
      <w:r>
        <w:rPr>
          <w:spacing w:val="-12"/>
        </w:rPr>
        <w:t xml:space="preserve"> </w:t>
      </w:r>
      <w:r>
        <w:t>tales</w:t>
      </w:r>
      <w:r>
        <w:rPr>
          <w:spacing w:val="-12"/>
        </w:rPr>
        <w:t xml:space="preserve"> </w:t>
      </w:r>
      <w:r>
        <w:t>como</w:t>
      </w:r>
      <w:r>
        <w:rPr>
          <w:spacing w:val="-12"/>
        </w:rPr>
        <w:t xml:space="preserve"> </w:t>
      </w:r>
      <w:r>
        <w:t>la</w:t>
      </w:r>
      <w:r>
        <w:rPr>
          <w:spacing w:val="-13"/>
        </w:rPr>
        <w:t xml:space="preserve"> </w:t>
      </w:r>
      <w:r>
        <w:t>muerte</w:t>
      </w:r>
      <w:r>
        <w:rPr>
          <w:spacing w:val="-12"/>
        </w:rPr>
        <w:t xml:space="preserve"> </w:t>
      </w:r>
      <w:r>
        <w:t>y</w:t>
      </w:r>
      <w:r>
        <w:rPr>
          <w:spacing w:val="-12"/>
        </w:rPr>
        <w:t xml:space="preserve"> </w:t>
      </w:r>
      <w:r>
        <w:t>desaparición</w:t>
      </w:r>
      <w:r>
        <w:rPr>
          <w:spacing w:val="-12"/>
        </w:rPr>
        <w:t xml:space="preserve"> </w:t>
      </w:r>
      <w:r>
        <w:t>forzada, trabajos forzados, las amenazas, las violencias sexuales y el desplazamiento forzado. Este crimen</w:t>
      </w:r>
      <w:r>
        <w:rPr>
          <w:spacing w:val="-14"/>
        </w:rPr>
        <w:t xml:space="preserve"> </w:t>
      </w:r>
      <w:r>
        <w:t>tuvo</w:t>
      </w:r>
      <w:r>
        <w:rPr>
          <w:spacing w:val="-12"/>
        </w:rPr>
        <w:t xml:space="preserve"> </w:t>
      </w:r>
      <w:r>
        <w:t>un</w:t>
      </w:r>
      <w:r>
        <w:rPr>
          <w:spacing w:val="-12"/>
        </w:rPr>
        <w:t xml:space="preserve"> </w:t>
      </w:r>
      <w:r>
        <w:t>fuerte</w:t>
      </w:r>
      <w:r>
        <w:rPr>
          <w:spacing w:val="-12"/>
        </w:rPr>
        <w:t xml:space="preserve"> </w:t>
      </w:r>
      <w:r>
        <w:t>impacto</w:t>
      </w:r>
      <w:r>
        <w:rPr>
          <w:spacing w:val="-12"/>
        </w:rPr>
        <w:t xml:space="preserve"> </w:t>
      </w:r>
      <w:r>
        <w:t>no</w:t>
      </w:r>
      <w:r>
        <w:rPr>
          <w:spacing w:val="-11"/>
        </w:rPr>
        <w:t xml:space="preserve"> </w:t>
      </w:r>
      <w:r>
        <w:t>solo</w:t>
      </w:r>
      <w:r>
        <w:rPr>
          <w:spacing w:val="-12"/>
        </w:rPr>
        <w:t xml:space="preserve"> </w:t>
      </w:r>
      <w:r>
        <w:t>en</w:t>
      </w:r>
      <w:r>
        <w:rPr>
          <w:spacing w:val="-11"/>
        </w:rPr>
        <w:t xml:space="preserve"> </w:t>
      </w:r>
      <w:r>
        <w:t>las</w:t>
      </w:r>
      <w:r>
        <w:rPr>
          <w:spacing w:val="-11"/>
        </w:rPr>
        <w:t xml:space="preserve"> </w:t>
      </w:r>
      <w:r>
        <w:t>niñas,</w:t>
      </w:r>
      <w:r>
        <w:rPr>
          <w:spacing w:val="-12"/>
        </w:rPr>
        <w:t xml:space="preserve"> </w:t>
      </w:r>
      <w:r>
        <w:t>niños</w:t>
      </w:r>
      <w:r>
        <w:rPr>
          <w:spacing w:val="-11"/>
        </w:rPr>
        <w:t xml:space="preserve"> </w:t>
      </w:r>
      <w:r>
        <w:t>y</w:t>
      </w:r>
      <w:r>
        <w:rPr>
          <w:spacing w:val="-12"/>
        </w:rPr>
        <w:t xml:space="preserve"> </w:t>
      </w:r>
      <w:r>
        <w:t>adolescentes,</w:t>
      </w:r>
      <w:r>
        <w:rPr>
          <w:spacing w:val="-11"/>
        </w:rPr>
        <w:t xml:space="preserve"> </w:t>
      </w:r>
      <w:r>
        <w:t>sino</w:t>
      </w:r>
      <w:r>
        <w:rPr>
          <w:spacing w:val="-12"/>
        </w:rPr>
        <w:t xml:space="preserve"> </w:t>
      </w:r>
      <w:r>
        <w:t>en</w:t>
      </w:r>
      <w:r>
        <w:rPr>
          <w:spacing w:val="-11"/>
        </w:rPr>
        <w:t xml:space="preserve"> </w:t>
      </w:r>
      <w:r>
        <w:t>sus</w:t>
      </w:r>
      <w:r>
        <w:rPr>
          <w:spacing w:val="-11"/>
        </w:rPr>
        <w:t xml:space="preserve"> </w:t>
      </w:r>
      <w:r>
        <w:rPr>
          <w:spacing w:val="-2"/>
        </w:rPr>
        <w:t>familias.</w:t>
      </w:r>
    </w:p>
    <w:p w:rsidR="003804AC" w:rsidRDefault="00AF18A5" w:rsidP="006378E0">
      <w:r>
        <w:lastRenderedPageBreak/>
        <w:t>Los momentos de expansión territorial de</w:t>
      </w:r>
      <w:r>
        <w:rPr>
          <w:spacing w:val="-1"/>
        </w:rPr>
        <w:t xml:space="preserve"> </w:t>
      </w:r>
      <w:r>
        <w:t>los</w:t>
      </w:r>
      <w:r>
        <w:rPr>
          <w:spacing w:val="-1"/>
        </w:rPr>
        <w:t xml:space="preserve"> </w:t>
      </w:r>
      <w:r>
        <w:t>actores armados y de</w:t>
      </w:r>
      <w:r>
        <w:rPr>
          <w:spacing w:val="-1"/>
        </w:rPr>
        <w:t xml:space="preserve"> </w:t>
      </w:r>
      <w:r>
        <w:t>multiplicación de</w:t>
      </w:r>
      <w:r>
        <w:rPr>
          <w:spacing w:val="-1"/>
        </w:rPr>
        <w:t xml:space="preserve"> </w:t>
      </w:r>
      <w:r>
        <w:t>sus estructuras, así como los periodos de mayor conflicto entre actores armados influyen en la necesidad</w:t>
      </w:r>
      <w:r>
        <w:rPr>
          <w:spacing w:val="-6"/>
        </w:rPr>
        <w:t xml:space="preserve"> </w:t>
      </w:r>
      <w:r>
        <w:t>de</w:t>
      </w:r>
      <w:r>
        <w:rPr>
          <w:spacing w:val="-6"/>
        </w:rPr>
        <w:t xml:space="preserve"> </w:t>
      </w:r>
      <w:r>
        <w:t>tener</w:t>
      </w:r>
      <w:r>
        <w:rPr>
          <w:spacing w:val="-7"/>
        </w:rPr>
        <w:t xml:space="preserve"> </w:t>
      </w:r>
      <w:r>
        <w:t>más</w:t>
      </w:r>
      <w:r>
        <w:rPr>
          <w:spacing w:val="-8"/>
        </w:rPr>
        <w:t xml:space="preserve"> </w:t>
      </w:r>
      <w:r>
        <w:t>combatientes</w:t>
      </w:r>
      <w:r>
        <w:rPr>
          <w:spacing w:val="-6"/>
        </w:rPr>
        <w:t xml:space="preserve"> </w:t>
      </w:r>
      <w:r>
        <w:t>y</w:t>
      </w:r>
      <w:r>
        <w:rPr>
          <w:spacing w:val="-6"/>
        </w:rPr>
        <w:t xml:space="preserve"> </w:t>
      </w:r>
      <w:r>
        <w:t>potencian</w:t>
      </w:r>
      <w:r>
        <w:rPr>
          <w:spacing w:val="-6"/>
        </w:rPr>
        <w:t xml:space="preserve"> </w:t>
      </w:r>
      <w:r>
        <w:t>la</w:t>
      </w:r>
      <w:r>
        <w:rPr>
          <w:spacing w:val="-7"/>
        </w:rPr>
        <w:t xml:space="preserve"> </w:t>
      </w:r>
      <w:r>
        <w:t>intensidad</w:t>
      </w:r>
      <w:r>
        <w:rPr>
          <w:spacing w:val="-6"/>
        </w:rPr>
        <w:t xml:space="preserve"> </w:t>
      </w:r>
      <w:r>
        <w:t>de</w:t>
      </w:r>
      <w:r>
        <w:rPr>
          <w:spacing w:val="-7"/>
        </w:rPr>
        <w:t xml:space="preserve"> </w:t>
      </w:r>
      <w:r>
        <w:t>reclutamiento,</w:t>
      </w:r>
      <w:r>
        <w:rPr>
          <w:spacing w:val="-6"/>
        </w:rPr>
        <w:t xml:space="preserve"> </w:t>
      </w:r>
      <w:r>
        <w:t>así</w:t>
      </w:r>
      <w:r>
        <w:rPr>
          <w:spacing w:val="-7"/>
        </w:rPr>
        <w:t xml:space="preserve"> </w:t>
      </w:r>
      <w:r>
        <w:t>como</w:t>
      </w:r>
      <w:r>
        <w:rPr>
          <w:spacing w:val="-6"/>
        </w:rPr>
        <w:t xml:space="preserve"> </w:t>
      </w:r>
      <w:r>
        <w:t>la flexibilización de las normas que lo rigen.</w:t>
      </w:r>
    </w:p>
    <w:p w:rsidR="003804AC" w:rsidRDefault="00AF18A5" w:rsidP="006378E0">
      <w:r>
        <w:t>Según</w:t>
      </w:r>
      <w:r>
        <w:rPr>
          <w:spacing w:val="-8"/>
        </w:rPr>
        <w:t xml:space="preserve"> </w:t>
      </w:r>
      <w:r>
        <w:t>la</w:t>
      </w:r>
      <w:r>
        <w:rPr>
          <w:spacing w:val="-9"/>
        </w:rPr>
        <w:t xml:space="preserve"> </w:t>
      </w:r>
      <w:r>
        <w:t>integración</w:t>
      </w:r>
      <w:r>
        <w:rPr>
          <w:spacing w:val="-8"/>
        </w:rPr>
        <w:t xml:space="preserve"> </w:t>
      </w:r>
      <w:r>
        <w:t>final</w:t>
      </w:r>
      <w:r>
        <w:rPr>
          <w:spacing w:val="-8"/>
        </w:rPr>
        <w:t xml:space="preserve"> </w:t>
      </w:r>
      <w:r>
        <w:t>de</w:t>
      </w:r>
      <w:r>
        <w:rPr>
          <w:spacing w:val="-9"/>
        </w:rPr>
        <w:t xml:space="preserve"> </w:t>
      </w:r>
      <w:r>
        <w:t>datos</w:t>
      </w:r>
      <w:r>
        <w:rPr>
          <w:spacing w:val="-9"/>
        </w:rPr>
        <w:t xml:space="preserve"> </w:t>
      </w:r>
      <w:r>
        <w:t>del</w:t>
      </w:r>
      <w:r>
        <w:rPr>
          <w:spacing w:val="-8"/>
        </w:rPr>
        <w:t xml:space="preserve"> </w:t>
      </w:r>
      <w:r>
        <w:t>proyecto</w:t>
      </w:r>
      <w:r>
        <w:rPr>
          <w:spacing w:val="-11"/>
        </w:rPr>
        <w:t xml:space="preserve"> </w:t>
      </w:r>
      <w:r>
        <w:t>conjunto</w:t>
      </w:r>
      <w:r>
        <w:rPr>
          <w:spacing w:val="-9"/>
        </w:rPr>
        <w:t xml:space="preserve"> </w:t>
      </w:r>
      <w:r>
        <w:t>JEP-CEV-HRDAG,</w:t>
      </w:r>
      <w:r>
        <w:rPr>
          <w:spacing w:val="-8"/>
        </w:rPr>
        <w:t xml:space="preserve"> </w:t>
      </w:r>
      <w:r>
        <w:t>desde</w:t>
      </w:r>
      <w:r>
        <w:rPr>
          <w:spacing w:val="-8"/>
        </w:rPr>
        <w:t xml:space="preserve"> </w:t>
      </w:r>
      <w:r>
        <w:t>1990 hasta 2017 se registraron 16.238 casos de reclutamiento, de niños, niñas y adolescentes a lo largo del país. Además, teniendo en cuenta el potencial subregistro.</w:t>
      </w:r>
      <w:r w:rsidR="006378E0">
        <w:rPr>
          <w:rStyle w:val="Refdenotaalpie"/>
        </w:rPr>
        <w:footnoteReference w:id="166"/>
      </w:r>
      <w:r>
        <w:t xml:space="preserve"> La mayor intensidad de reclutamiento se registró en los departamentos de Meta, con 2.977 víctimas (18</w:t>
      </w:r>
      <w:r>
        <w:rPr>
          <w:spacing w:val="-2"/>
        </w:rPr>
        <w:t xml:space="preserve"> </w:t>
      </w:r>
      <w:r>
        <w:t>%), seguida de Antioquia, con 2.346 víctimas (14</w:t>
      </w:r>
      <w:r>
        <w:rPr>
          <w:spacing w:val="-3"/>
        </w:rPr>
        <w:t xml:space="preserve"> </w:t>
      </w:r>
      <w:r>
        <w:t>%), Guaviare. con 1.105 víctimas (7</w:t>
      </w:r>
      <w:r>
        <w:rPr>
          <w:spacing w:val="-2"/>
        </w:rPr>
        <w:t xml:space="preserve"> </w:t>
      </w:r>
      <w:r>
        <w:t>%), Caquetá, con 1.063 víctimas (6 %) y Cauca, con 838 víctimas (5 %).</w:t>
      </w:r>
    </w:p>
    <w:p w:rsidR="003804AC" w:rsidRDefault="00AF18A5" w:rsidP="00CB584D">
      <w:r>
        <w:t>La siguiente gráfica muestra un ascenso del reclutamiento entre 1995 y 2000, año en el que se observa la frecuencia más alta, con 1320 víctimas. Es en esos años se observa un aumento</w:t>
      </w:r>
      <w:r>
        <w:rPr>
          <w:spacing w:val="-15"/>
        </w:rPr>
        <w:t xml:space="preserve"> </w:t>
      </w:r>
      <w:r>
        <w:t>de</w:t>
      </w:r>
      <w:r>
        <w:rPr>
          <w:spacing w:val="-15"/>
        </w:rPr>
        <w:t xml:space="preserve"> </w:t>
      </w:r>
      <w:r>
        <w:t>la</w:t>
      </w:r>
      <w:r>
        <w:rPr>
          <w:spacing w:val="-15"/>
        </w:rPr>
        <w:t xml:space="preserve"> </w:t>
      </w:r>
      <w:r>
        <w:t>actividad</w:t>
      </w:r>
      <w:r>
        <w:rPr>
          <w:spacing w:val="-15"/>
        </w:rPr>
        <w:t xml:space="preserve"> </w:t>
      </w:r>
      <w:r>
        <w:t>militar</w:t>
      </w:r>
      <w:r>
        <w:rPr>
          <w:spacing w:val="-15"/>
        </w:rPr>
        <w:t xml:space="preserve"> </w:t>
      </w:r>
      <w:r>
        <w:t>de</w:t>
      </w:r>
      <w:r>
        <w:rPr>
          <w:spacing w:val="-15"/>
        </w:rPr>
        <w:t xml:space="preserve"> </w:t>
      </w:r>
      <w:r>
        <w:t>grupos</w:t>
      </w:r>
      <w:r>
        <w:rPr>
          <w:spacing w:val="-15"/>
        </w:rPr>
        <w:t xml:space="preserve"> </w:t>
      </w:r>
      <w:r>
        <w:t>guerrilleros,</w:t>
      </w:r>
      <w:r>
        <w:rPr>
          <w:spacing w:val="-15"/>
        </w:rPr>
        <w:t xml:space="preserve"> </w:t>
      </w:r>
      <w:r>
        <w:t>sobre</w:t>
      </w:r>
      <w:r>
        <w:rPr>
          <w:spacing w:val="-15"/>
        </w:rPr>
        <w:t xml:space="preserve"> </w:t>
      </w:r>
      <w:r>
        <w:t>todo</w:t>
      </w:r>
      <w:r>
        <w:rPr>
          <w:spacing w:val="-15"/>
        </w:rPr>
        <w:t xml:space="preserve"> </w:t>
      </w:r>
      <w:r>
        <w:t>las</w:t>
      </w:r>
      <w:r>
        <w:rPr>
          <w:spacing w:val="-15"/>
        </w:rPr>
        <w:t xml:space="preserve"> </w:t>
      </w:r>
      <w:r>
        <w:t>FARC-EP,</w:t>
      </w:r>
      <w:r>
        <w:rPr>
          <w:spacing w:val="-15"/>
        </w:rPr>
        <w:t xml:space="preserve"> </w:t>
      </w:r>
      <w:r>
        <w:t>es</w:t>
      </w:r>
      <w:r>
        <w:rPr>
          <w:spacing w:val="-15"/>
        </w:rPr>
        <w:t xml:space="preserve"> </w:t>
      </w:r>
      <w:r>
        <w:t>el</w:t>
      </w:r>
      <w:r>
        <w:rPr>
          <w:spacing w:val="-15"/>
        </w:rPr>
        <w:t xml:space="preserve"> </w:t>
      </w:r>
      <w:r>
        <w:t>periodo de máxima expansión de los grupos paramilitares y de incremento de operaciones militares de la fuerza pública. Las FARC-EP atacaron varias bases militares del Ejército Nacional</w:t>
      </w:r>
      <w:r w:rsidR="006378E0">
        <w:rPr>
          <w:rStyle w:val="Refdenotaalpie"/>
        </w:rPr>
        <w:footnoteReference w:id="167"/>
      </w:r>
      <w:r>
        <w:t>, y</w:t>
      </w:r>
      <w:r>
        <w:rPr>
          <w:spacing w:val="-13"/>
        </w:rPr>
        <w:t xml:space="preserve"> </w:t>
      </w:r>
      <w:r>
        <w:t>sostuvieron</w:t>
      </w:r>
      <w:r>
        <w:rPr>
          <w:spacing w:val="-11"/>
        </w:rPr>
        <w:t xml:space="preserve"> </w:t>
      </w:r>
      <w:r>
        <w:t>fuertes</w:t>
      </w:r>
      <w:r>
        <w:rPr>
          <w:spacing w:val="-11"/>
        </w:rPr>
        <w:t xml:space="preserve"> </w:t>
      </w:r>
      <w:r>
        <w:t>enfrentamientos</w:t>
      </w:r>
      <w:r>
        <w:rPr>
          <w:spacing w:val="-11"/>
        </w:rPr>
        <w:t xml:space="preserve"> </w:t>
      </w:r>
      <w:r>
        <w:t>con</w:t>
      </w:r>
      <w:r>
        <w:rPr>
          <w:spacing w:val="-12"/>
        </w:rPr>
        <w:t xml:space="preserve"> </w:t>
      </w:r>
      <w:r>
        <w:t>los</w:t>
      </w:r>
      <w:r>
        <w:rPr>
          <w:spacing w:val="-10"/>
        </w:rPr>
        <w:t xml:space="preserve"> </w:t>
      </w:r>
      <w:r>
        <w:t>paramilitares</w:t>
      </w:r>
      <w:r>
        <w:rPr>
          <w:spacing w:val="-12"/>
        </w:rPr>
        <w:t xml:space="preserve"> </w:t>
      </w:r>
      <w:r>
        <w:t>del</w:t>
      </w:r>
      <w:r>
        <w:rPr>
          <w:spacing w:val="-10"/>
        </w:rPr>
        <w:t xml:space="preserve"> </w:t>
      </w:r>
      <w:r>
        <w:t>Bloque</w:t>
      </w:r>
      <w:r>
        <w:rPr>
          <w:spacing w:val="-11"/>
        </w:rPr>
        <w:t xml:space="preserve"> </w:t>
      </w:r>
      <w:r>
        <w:t>Centauros</w:t>
      </w:r>
      <w:r>
        <w:rPr>
          <w:spacing w:val="-11"/>
        </w:rPr>
        <w:t xml:space="preserve"> </w:t>
      </w:r>
      <w:r>
        <w:t>en</w:t>
      </w:r>
      <w:r>
        <w:rPr>
          <w:spacing w:val="-11"/>
        </w:rPr>
        <w:t xml:space="preserve"> </w:t>
      </w:r>
      <w:r>
        <w:t>el</w:t>
      </w:r>
      <w:r>
        <w:rPr>
          <w:spacing w:val="-11"/>
        </w:rPr>
        <w:t xml:space="preserve"> </w:t>
      </w:r>
      <w:r>
        <w:rPr>
          <w:spacing w:val="-2"/>
        </w:rPr>
        <w:t>Meta;</w:t>
      </w:r>
      <w:bookmarkStart w:id="271" w:name="_bookmark194"/>
      <w:bookmarkStart w:id="272" w:name="_bookmark195"/>
      <w:bookmarkEnd w:id="271"/>
      <w:bookmarkEnd w:id="272"/>
      <w:r w:rsidR="00CB584D">
        <w:t xml:space="preserve"> </w:t>
      </w:r>
      <w:r>
        <w:t>al</w:t>
      </w:r>
      <w:r>
        <w:rPr>
          <w:spacing w:val="-3"/>
        </w:rPr>
        <w:t xml:space="preserve"> </w:t>
      </w:r>
      <w:r>
        <w:t>final</w:t>
      </w:r>
      <w:r>
        <w:rPr>
          <w:spacing w:val="-3"/>
        </w:rPr>
        <w:t xml:space="preserve"> </w:t>
      </w:r>
      <w:r>
        <w:t>de</w:t>
      </w:r>
      <w:r>
        <w:rPr>
          <w:spacing w:val="-4"/>
        </w:rPr>
        <w:t xml:space="preserve"> </w:t>
      </w:r>
      <w:r>
        <w:t>este</w:t>
      </w:r>
      <w:r>
        <w:rPr>
          <w:spacing w:val="-3"/>
        </w:rPr>
        <w:t xml:space="preserve"> </w:t>
      </w:r>
      <w:r>
        <w:t>periodo</w:t>
      </w:r>
      <w:r>
        <w:rPr>
          <w:spacing w:val="-5"/>
        </w:rPr>
        <w:t xml:space="preserve"> </w:t>
      </w:r>
      <w:r>
        <w:t>empezaron</w:t>
      </w:r>
      <w:r>
        <w:rPr>
          <w:spacing w:val="-3"/>
        </w:rPr>
        <w:t xml:space="preserve"> </w:t>
      </w:r>
      <w:r>
        <w:t>los</w:t>
      </w:r>
      <w:r>
        <w:rPr>
          <w:spacing w:val="-3"/>
        </w:rPr>
        <w:t xml:space="preserve"> </w:t>
      </w:r>
      <w:r>
        <w:t>diálogos</w:t>
      </w:r>
      <w:r>
        <w:rPr>
          <w:spacing w:val="-3"/>
        </w:rPr>
        <w:t xml:space="preserve"> </w:t>
      </w:r>
      <w:r>
        <w:t>del</w:t>
      </w:r>
      <w:r>
        <w:rPr>
          <w:spacing w:val="-3"/>
        </w:rPr>
        <w:t xml:space="preserve"> </w:t>
      </w:r>
      <w:r>
        <w:t>Caguán</w:t>
      </w:r>
      <w:r>
        <w:rPr>
          <w:spacing w:val="-5"/>
        </w:rPr>
        <w:t xml:space="preserve"> </w:t>
      </w:r>
      <w:r>
        <w:t>entre</w:t>
      </w:r>
      <w:r>
        <w:rPr>
          <w:spacing w:val="-4"/>
        </w:rPr>
        <w:t xml:space="preserve"> </w:t>
      </w:r>
      <w:r>
        <w:t>el</w:t>
      </w:r>
      <w:r>
        <w:rPr>
          <w:spacing w:val="-3"/>
        </w:rPr>
        <w:t xml:space="preserve"> </w:t>
      </w:r>
      <w:r>
        <w:t>Estado</w:t>
      </w:r>
      <w:r>
        <w:rPr>
          <w:spacing w:val="-3"/>
        </w:rPr>
        <w:t xml:space="preserve"> </w:t>
      </w:r>
      <w:r>
        <w:t>colombiano</w:t>
      </w:r>
      <w:r>
        <w:rPr>
          <w:spacing w:val="-3"/>
        </w:rPr>
        <w:t xml:space="preserve"> </w:t>
      </w:r>
      <w:r>
        <w:t>y</w:t>
      </w:r>
      <w:r>
        <w:rPr>
          <w:spacing w:val="-3"/>
        </w:rPr>
        <w:t xml:space="preserve"> </w:t>
      </w:r>
      <w:r>
        <w:t>las FARC-EP. Otros dos años con un alto número de casos de reclutamiento se presentan entre 2002</w:t>
      </w:r>
      <w:r>
        <w:rPr>
          <w:spacing w:val="-3"/>
        </w:rPr>
        <w:t xml:space="preserve"> </w:t>
      </w:r>
      <w:r>
        <w:t>(1.305</w:t>
      </w:r>
      <w:r>
        <w:rPr>
          <w:spacing w:val="-3"/>
        </w:rPr>
        <w:t xml:space="preserve"> </w:t>
      </w:r>
      <w:r>
        <w:t>víctimas)</w:t>
      </w:r>
      <w:r>
        <w:rPr>
          <w:spacing w:val="-3"/>
        </w:rPr>
        <w:t xml:space="preserve"> </w:t>
      </w:r>
      <w:r>
        <w:t>y</w:t>
      </w:r>
      <w:r>
        <w:rPr>
          <w:spacing w:val="-5"/>
        </w:rPr>
        <w:t xml:space="preserve"> </w:t>
      </w:r>
      <w:r>
        <w:t>2003</w:t>
      </w:r>
      <w:r>
        <w:rPr>
          <w:spacing w:val="-3"/>
        </w:rPr>
        <w:t xml:space="preserve"> </w:t>
      </w:r>
      <w:r>
        <w:t>(1.253</w:t>
      </w:r>
      <w:r>
        <w:rPr>
          <w:spacing w:val="-3"/>
        </w:rPr>
        <w:t xml:space="preserve"> </w:t>
      </w:r>
      <w:r>
        <w:lastRenderedPageBreak/>
        <w:t>víctimas)</w:t>
      </w:r>
      <w:r>
        <w:rPr>
          <w:spacing w:val="-3"/>
        </w:rPr>
        <w:t xml:space="preserve"> </w:t>
      </w:r>
      <w:r>
        <w:t>cuando</w:t>
      </w:r>
      <w:r>
        <w:rPr>
          <w:spacing w:val="-3"/>
        </w:rPr>
        <w:t xml:space="preserve"> </w:t>
      </w:r>
      <w:r>
        <w:t>se</w:t>
      </w:r>
      <w:r>
        <w:rPr>
          <w:spacing w:val="-3"/>
        </w:rPr>
        <w:t xml:space="preserve"> </w:t>
      </w:r>
      <w:r>
        <w:t>terminaron</w:t>
      </w:r>
      <w:r>
        <w:rPr>
          <w:spacing w:val="-5"/>
        </w:rPr>
        <w:t xml:space="preserve"> </w:t>
      </w:r>
      <w:r>
        <w:t>los</w:t>
      </w:r>
      <w:r>
        <w:rPr>
          <w:spacing w:val="-3"/>
        </w:rPr>
        <w:t xml:space="preserve"> </w:t>
      </w:r>
      <w:r>
        <w:t>diálogos</w:t>
      </w:r>
      <w:r>
        <w:rPr>
          <w:spacing w:val="-3"/>
        </w:rPr>
        <w:t xml:space="preserve"> </w:t>
      </w:r>
      <w:r>
        <w:t>de</w:t>
      </w:r>
      <w:r>
        <w:rPr>
          <w:spacing w:val="-3"/>
        </w:rPr>
        <w:t xml:space="preserve"> </w:t>
      </w:r>
      <w:r>
        <w:t>paz</w:t>
      </w:r>
      <w:r>
        <w:rPr>
          <w:spacing w:val="-3"/>
        </w:rPr>
        <w:t xml:space="preserve"> </w:t>
      </w:r>
      <w:r>
        <w:t>del Caguán</w:t>
      </w:r>
      <w:r>
        <w:rPr>
          <w:spacing w:val="-11"/>
        </w:rPr>
        <w:t xml:space="preserve"> </w:t>
      </w:r>
      <w:r>
        <w:t>y</w:t>
      </w:r>
      <w:r>
        <w:rPr>
          <w:spacing w:val="-11"/>
        </w:rPr>
        <w:t xml:space="preserve"> </w:t>
      </w:r>
      <w:r>
        <w:t>el</w:t>
      </w:r>
      <w:r>
        <w:rPr>
          <w:spacing w:val="-10"/>
        </w:rPr>
        <w:t xml:space="preserve"> </w:t>
      </w:r>
      <w:r>
        <w:t>conflicto</w:t>
      </w:r>
      <w:r>
        <w:rPr>
          <w:spacing w:val="-11"/>
        </w:rPr>
        <w:t xml:space="preserve"> </w:t>
      </w:r>
      <w:r>
        <w:t>entró</w:t>
      </w:r>
      <w:r>
        <w:rPr>
          <w:spacing w:val="-11"/>
        </w:rPr>
        <w:t xml:space="preserve"> </w:t>
      </w:r>
      <w:r>
        <w:t>en</w:t>
      </w:r>
      <w:r>
        <w:rPr>
          <w:spacing w:val="-11"/>
        </w:rPr>
        <w:t xml:space="preserve"> </w:t>
      </w:r>
      <w:r>
        <w:t>una</w:t>
      </w:r>
      <w:r>
        <w:rPr>
          <w:spacing w:val="-11"/>
        </w:rPr>
        <w:t xml:space="preserve"> </w:t>
      </w:r>
      <w:r>
        <w:t>nueva</w:t>
      </w:r>
      <w:r>
        <w:rPr>
          <w:spacing w:val="-11"/>
        </w:rPr>
        <w:t xml:space="preserve"> </w:t>
      </w:r>
      <w:r>
        <w:t>etapa</w:t>
      </w:r>
      <w:r>
        <w:rPr>
          <w:spacing w:val="-11"/>
        </w:rPr>
        <w:t xml:space="preserve"> </w:t>
      </w:r>
      <w:r>
        <w:t>de</w:t>
      </w:r>
      <w:r>
        <w:rPr>
          <w:spacing w:val="-12"/>
        </w:rPr>
        <w:t xml:space="preserve"> </w:t>
      </w:r>
      <w:r>
        <w:t>la</w:t>
      </w:r>
      <w:r>
        <w:rPr>
          <w:spacing w:val="-11"/>
        </w:rPr>
        <w:t xml:space="preserve"> </w:t>
      </w:r>
      <w:r>
        <w:t>confrontación.</w:t>
      </w:r>
      <w:r>
        <w:rPr>
          <w:spacing w:val="-11"/>
        </w:rPr>
        <w:t xml:space="preserve"> </w:t>
      </w:r>
      <w:r>
        <w:t>Datos</w:t>
      </w:r>
      <w:r>
        <w:rPr>
          <w:spacing w:val="-11"/>
        </w:rPr>
        <w:t xml:space="preserve"> </w:t>
      </w:r>
      <w:r>
        <w:t>relevantes</w:t>
      </w:r>
      <w:r>
        <w:rPr>
          <w:spacing w:val="-11"/>
        </w:rPr>
        <w:t xml:space="preserve"> </w:t>
      </w:r>
      <w:r>
        <w:t>en</w:t>
      </w:r>
      <w:r>
        <w:rPr>
          <w:spacing w:val="-11"/>
        </w:rPr>
        <w:t xml:space="preserve"> </w:t>
      </w:r>
      <w:r>
        <w:t>2007 (661 víctimas) y en 2013 (477 víctimas), periodo en que comienzan los acercamientos paulatinos para una salida política y termina con el inicio de los diálogos que dieron origen al proceso de paz entre este grupo y el Estado.</w:t>
      </w:r>
    </w:p>
    <w:p w:rsidR="00CB584D" w:rsidRDefault="00CB584D" w:rsidP="00CB584D">
      <w:pPr>
        <w:pStyle w:val="Descripcin"/>
        <w:keepNext/>
      </w:pPr>
      <w:r>
        <w:t xml:space="preserve">Gráfica </w:t>
      </w:r>
      <w:r w:rsidR="005F4072">
        <w:fldChar w:fldCharType="begin"/>
      </w:r>
      <w:r w:rsidR="005F4072">
        <w:instrText xml:space="preserve"> SEQ Gráfica \* ARABIC </w:instrText>
      </w:r>
      <w:r w:rsidR="005F4072">
        <w:fldChar w:fldCharType="separate"/>
      </w:r>
      <w:r w:rsidR="005F4072">
        <w:rPr>
          <w:noProof/>
        </w:rPr>
        <w:t>10</w:t>
      </w:r>
      <w:r w:rsidR="005F4072">
        <w:fldChar w:fldCharType="end"/>
      </w:r>
      <w:r w:rsidRPr="00445635">
        <w:t>. Víctimas de reclutamiento por año (1990-2017), según la integración final de datos</w:t>
      </w:r>
    </w:p>
    <w:p w:rsidR="0011361F" w:rsidRDefault="00AF18A5" w:rsidP="00CB584D">
      <w:pPr>
        <w:rPr>
          <w:sz w:val="23"/>
        </w:rPr>
      </w:pPr>
      <w:r w:rsidRPr="00CB584D">
        <w:rPr>
          <w:noProof/>
        </w:rPr>
        <w:drawing>
          <wp:inline distT="0" distB="0" distL="0" distR="0">
            <wp:extent cx="5418028" cy="3819144"/>
            <wp:effectExtent l="0" t="0" r="0" b="0"/>
            <wp:docPr id="21" name="image11.jpeg"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18028" cy="3819144"/>
                    </a:xfrm>
                    <a:prstGeom prst="rect">
                      <a:avLst/>
                    </a:prstGeom>
                  </pic:spPr>
                </pic:pic>
              </a:graphicData>
            </a:graphic>
          </wp:inline>
        </w:drawing>
      </w:r>
    </w:p>
    <w:p w:rsidR="0011361F" w:rsidRDefault="00AF18A5" w:rsidP="00CB584D">
      <w:r>
        <w:rPr>
          <w:i/>
        </w:rPr>
        <w:t>Fuente</w:t>
      </w:r>
      <w:r>
        <w:t>:</w:t>
      </w:r>
      <w:r>
        <w:rPr>
          <w:spacing w:val="-5"/>
        </w:rPr>
        <w:t xml:space="preserve"> </w:t>
      </w:r>
      <w:r>
        <w:t>Proyecto</w:t>
      </w:r>
      <w:r>
        <w:rPr>
          <w:spacing w:val="-4"/>
        </w:rPr>
        <w:t xml:space="preserve"> </w:t>
      </w:r>
      <w:r>
        <w:t>conjunto</w:t>
      </w:r>
      <w:r>
        <w:rPr>
          <w:spacing w:val="-4"/>
        </w:rPr>
        <w:t xml:space="preserve"> </w:t>
      </w:r>
      <w:r>
        <w:t>JEP-CEV-</w:t>
      </w:r>
      <w:r>
        <w:rPr>
          <w:spacing w:val="-2"/>
        </w:rPr>
        <w:t>HRDAG.</w:t>
      </w:r>
    </w:p>
    <w:p w:rsidR="003804AC" w:rsidRDefault="00AF18A5" w:rsidP="00E5616F">
      <w:r>
        <w:t>Después</w:t>
      </w:r>
      <w:r>
        <w:rPr>
          <w:spacing w:val="-2"/>
        </w:rPr>
        <w:t xml:space="preserve"> </w:t>
      </w:r>
      <w:r>
        <w:t>del</w:t>
      </w:r>
      <w:r>
        <w:rPr>
          <w:spacing w:val="-2"/>
        </w:rPr>
        <w:t xml:space="preserve"> </w:t>
      </w:r>
      <w:r>
        <w:t>acuerdo</w:t>
      </w:r>
      <w:r>
        <w:rPr>
          <w:spacing w:val="-2"/>
        </w:rPr>
        <w:t xml:space="preserve"> </w:t>
      </w:r>
      <w:r>
        <w:t>de</w:t>
      </w:r>
      <w:r>
        <w:rPr>
          <w:spacing w:val="-2"/>
        </w:rPr>
        <w:t xml:space="preserve"> </w:t>
      </w:r>
      <w:r>
        <w:t>paz,</w:t>
      </w:r>
      <w:r>
        <w:rPr>
          <w:spacing w:val="-2"/>
        </w:rPr>
        <w:t xml:space="preserve"> </w:t>
      </w:r>
      <w:r>
        <w:t>si</w:t>
      </w:r>
      <w:r>
        <w:rPr>
          <w:spacing w:val="-2"/>
        </w:rPr>
        <w:t xml:space="preserve"> </w:t>
      </w:r>
      <w:r>
        <w:t>bien</w:t>
      </w:r>
      <w:r>
        <w:rPr>
          <w:spacing w:val="-2"/>
        </w:rPr>
        <w:t xml:space="preserve"> </w:t>
      </w:r>
      <w:r>
        <w:t>se</w:t>
      </w:r>
      <w:r>
        <w:rPr>
          <w:spacing w:val="-3"/>
        </w:rPr>
        <w:t xml:space="preserve"> </w:t>
      </w:r>
      <w:r>
        <w:t>siguen</w:t>
      </w:r>
      <w:r>
        <w:rPr>
          <w:spacing w:val="-2"/>
        </w:rPr>
        <w:t xml:space="preserve"> </w:t>
      </w:r>
      <w:r>
        <w:t>dando</w:t>
      </w:r>
      <w:r>
        <w:rPr>
          <w:spacing w:val="-2"/>
        </w:rPr>
        <w:t xml:space="preserve"> </w:t>
      </w:r>
      <w:r>
        <w:t>varios</w:t>
      </w:r>
      <w:r>
        <w:rPr>
          <w:spacing w:val="-2"/>
        </w:rPr>
        <w:t xml:space="preserve"> </w:t>
      </w:r>
      <w:r>
        <w:t>casos</w:t>
      </w:r>
      <w:r>
        <w:rPr>
          <w:spacing w:val="-2"/>
        </w:rPr>
        <w:t xml:space="preserve"> </w:t>
      </w:r>
      <w:r>
        <w:t>de</w:t>
      </w:r>
      <w:r>
        <w:rPr>
          <w:spacing w:val="-2"/>
        </w:rPr>
        <w:t xml:space="preserve"> </w:t>
      </w:r>
      <w:r>
        <w:t>reclutamiento</w:t>
      </w:r>
      <w:r>
        <w:rPr>
          <w:spacing w:val="-2"/>
        </w:rPr>
        <w:t xml:space="preserve"> </w:t>
      </w:r>
      <w:r>
        <w:t>de</w:t>
      </w:r>
      <w:r>
        <w:rPr>
          <w:spacing w:val="-2"/>
        </w:rPr>
        <w:t xml:space="preserve"> </w:t>
      </w:r>
      <w:r>
        <w:t>niños, niñas</w:t>
      </w:r>
      <w:r>
        <w:rPr>
          <w:spacing w:val="-6"/>
        </w:rPr>
        <w:t xml:space="preserve"> </w:t>
      </w:r>
      <w:r>
        <w:t>y</w:t>
      </w:r>
      <w:r>
        <w:rPr>
          <w:spacing w:val="-6"/>
        </w:rPr>
        <w:t xml:space="preserve"> </w:t>
      </w:r>
      <w:r>
        <w:t>adolescentes,</w:t>
      </w:r>
      <w:r>
        <w:rPr>
          <w:spacing w:val="-6"/>
        </w:rPr>
        <w:t xml:space="preserve"> </w:t>
      </w:r>
      <w:r>
        <w:t>y</w:t>
      </w:r>
      <w:r>
        <w:rPr>
          <w:spacing w:val="-6"/>
        </w:rPr>
        <w:t xml:space="preserve"> </w:t>
      </w:r>
      <w:r>
        <w:t>constituye</w:t>
      </w:r>
      <w:r>
        <w:rPr>
          <w:spacing w:val="-6"/>
        </w:rPr>
        <w:t xml:space="preserve"> </w:t>
      </w:r>
      <w:r>
        <w:t>una</w:t>
      </w:r>
      <w:r>
        <w:rPr>
          <w:spacing w:val="-6"/>
        </w:rPr>
        <w:t xml:space="preserve"> </w:t>
      </w:r>
      <w:r>
        <w:t>grave</w:t>
      </w:r>
      <w:r>
        <w:rPr>
          <w:spacing w:val="-6"/>
        </w:rPr>
        <w:t xml:space="preserve"> </w:t>
      </w:r>
      <w:r>
        <w:t>infracción</w:t>
      </w:r>
      <w:r>
        <w:rPr>
          <w:spacing w:val="-6"/>
        </w:rPr>
        <w:t xml:space="preserve"> </w:t>
      </w:r>
      <w:r>
        <w:t>al</w:t>
      </w:r>
      <w:r>
        <w:rPr>
          <w:spacing w:val="-6"/>
        </w:rPr>
        <w:t xml:space="preserve"> </w:t>
      </w:r>
      <w:r>
        <w:t>DIH</w:t>
      </w:r>
      <w:r>
        <w:rPr>
          <w:spacing w:val="-7"/>
        </w:rPr>
        <w:t xml:space="preserve"> </w:t>
      </w:r>
      <w:r>
        <w:t>en</w:t>
      </w:r>
      <w:r>
        <w:rPr>
          <w:spacing w:val="-6"/>
        </w:rPr>
        <w:t xml:space="preserve"> </w:t>
      </w:r>
      <w:r>
        <w:t>el</w:t>
      </w:r>
      <w:r>
        <w:rPr>
          <w:spacing w:val="-6"/>
        </w:rPr>
        <w:t xml:space="preserve"> </w:t>
      </w:r>
      <w:r>
        <w:t>contexto</w:t>
      </w:r>
      <w:r>
        <w:rPr>
          <w:spacing w:val="-6"/>
        </w:rPr>
        <w:t xml:space="preserve"> </w:t>
      </w:r>
      <w:r>
        <w:t>de</w:t>
      </w:r>
      <w:r>
        <w:rPr>
          <w:spacing w:val="-6"/>
        </w:rPr>
        <w:t xml:space="preserve"> </w:t>
      </w:r>
      <w:r>
        <w:t>persistencia del</w:t>
      </w:r>
      <w:r>
        <w:rPr>
          <w:spacing w:val="-2"/>
        </w:rPr>
        <w:t xml:space="preserve"> </w:t>
      </w:r>
      <w:r>
        <w:t>conflicto.</w:t>
      </w:r>
      <w:r>
        <w:rPr>
          <w:spacing w:val="-2"/>
        </w:rPr>
        <w:t xml:space="preserve"> </w:t>
      </w:r>
      <w:r>
        <w:t>Informes</w:t>
      </w:r>
      <w:r>
        <w:rPr>
          <w:spacing w:val="-2"/>
        </w:rPr>
        <w:t xml:space="preserve"> </w:t>
      </w:r>
      <w:r>
        <w:t>de</w:t>
      </w:r>
      <w:r>
        <w:rPr>
          <w:spacing w:val="-2"/>
        </w:rPr>
        <w:t xml:space="preserve"> </w:t>
      </w:r>
      <w:r>
        <w:t>Naciones</w:t>
      </w:r>
      <w:r>
        <w:rPr>
          <w:spacing w:val="-3"/>
        </w:rPr>
        <w:t xml:space="preserve"> </w:t>
      </w:r>
      <w:r>
        <w:t>Unidas,</w:t>
      </w:r>
      <w:r>
        <w:rPr>
          <w:spacing w:val="-2"/>
        </w:rPr>
        <w:t xml:space="preserve"> </w:t>
      </w:r>
      <w:r>
        <w:t>Alertas</w:t>
      </w:r>
      <w:r>
        <w:rPr>
          <w:spacing w:val="-2"/>
        </w:rPr>
        <w:t xml:space="preserve"> </w:t>
      </w:r>
      <w:r>
        <w:t>Tempranas</w:t>
      </w:r>
      <w:r>
        <w:rPr>
          <w:spacing w:val="-2"/>
        </w:rPr>
        <w:t xml:space="preserve"> </w:t>
      </w:r>
      <w:r>
        <w:t>de</w:t>
      </w:r>
      <w:r>
        <w:rPr>
          <w:spacing w:val="-2"/>
        </w:rPr>
        <w:t xml:space="preserve"> </w:t>
      </w:r>
      <w:r>
        <w:t>la</w:t>
      </w:r>
      <w:r>
        <w:rPr>
          <w:spacing w:val="-2"/>
        </w:rPr>
        <w:t xml:space="preserve"> </w:t>
      </w:r>
      <w:r>
        <w:t>Defensoría</w:t>
      </w:r>
      <w:r>
        <w:rPr>
          <w:spacing w:val="-2"/>
        </w:rPr>
        <w:t xml:space="preserve"> </w:t>
      </w:r>
      <w:r>
        <w:t>del</w:t>
      </w:r>
      <w:r>
        <w:rPr>
          <w:spacing w:val="-3"/>
        </w:rPr>
        <w:t xml:space="preserve"> </w:t>
      </w:r>
      <w:r>
        <w:t>Pueblo e</w:t>
      </w:r>
      <w:r>
        <w:rPr>
          <w:spacing w:val="9"/>
        </w:rPr>
        <w:t xml:space="preserve"> </w:t>
      </w:r>
      <w:r>
        <w:lastRenderedPageBreak/>
        <w:t>informes</w:t>
      </w:r>
      <w:r>
        <w:rPr>
          <w:spacing w:val="12"/>
        </w:rPr>
        <w:t xml:space="preserve"> </w:t>
      </w:r>
      <w:r>
        <w:t>de</w:t>
      </w:r>
      <w:r>
        <w:rPr>
          <w:spacing w:val="11"/>
        </w:rPr>
        <w:t xml:space="preserve"> </w:t>
      </w:r>
      <w:r>
        <w:t>organizaciones</w:t>
      </w:r>
      <w:r>
        <w:rPr>
          <w:spacing w:val="12"/>
        </w:rPr>
        <w:t xml:space="preserve"> </w:t>
      </w:r>
      <w:r>
        <w:t>de</w:t>
      </w:r>
      <w:r>
        <w:rPr>
          <w:spacing w:val="12"/>
        </w:rPr>
        <w:t xml:space="preserve"> </w:t>
      </w:r>
      <w:r>
        <w:t>la</w:t>
      </w:r>
      <w:r>
        <w:rPr>
          <w:spacing w:val="11"/>
        </w:rPr>
        <w:t xml:space="preserve"> </w:t>
      </w:r>
      <w:r>
        <w:t>sociedad</w:t>
      </w:r>
      <w:r>
        <w:rPr>
          <w:spacing w:val="12"/>
        </w:rPr>
        <w:t xml:space="preserve"> </w:t>
      </w:r>
      <w:r>
        <w:t>civil</w:t>
      </w:r>
      <w:r>
        <w:rPr>
          <w:spacing w:val="11"/>
        </w:rPr>
        <w:t xml:space="preserve"> </w:t>
      </w:r>
      <w:r>
        <w:t>advierten</w:t>
      </w:r>
      <w:r>
        <w:rPr>
          <w:spacing w:val="12"/>
        </w:rPr>
        <w:t xml:space="preserve"> </w:t>
      </w:r>
      <w:r>
        <w:t>que</w:t>
      </w:r>
      <w:r>
        <w:rPr>
          <w:spacing w:val="12"/>
        </w:rPr>
        <w:t xml:space="preserve"> </w:t>
      </w:r>
      <w:r>
        <w:t>esta</w:t>
      </w:r>
      <w:r>
        <w:rPr>
          <w:spacing w:val="11"/>
        </w:rPr>
        <w:t xml:space="preserve"> </w:t>
      </w:r>
      <w:r>
        <w:t>infracción</w:t>
      </w:r>
      <w:r>
        <w:rPr>
          <w:spacing w:val="12"/>
        </w:rPr>
        <w:t xml:space="preserve"> </w:t>
      </w:r>
      <w:r>
        <w:t>persiste.</w:t>
      </w:r>
      <w:r>
        <w:rPr>
          <w:spacing w:val="12"/>
        </w:rPr>
        <w:t xml:space="preserve"> </w:t>
      </w:r>
      <w:r>
        <w:rPr>
          <w:color w:val="212121"/>
          <w:spacing w:val="-5"/>
        </w:rPr>
        <w:t>El</w:t>
      </w:r>
      <w:r w:rsidR="00E5616F">
        <w:rPr>
          <w:color w:val="212121"/>
          <w:spacing w:val="-5"/>
        </w:rPr>
        <w:t xml:space="preserve"> </w:t>
      </w:r>
      <w:r>
        <w:rPr>
          <w:color w:val="212121"/>
        </w:rPr>
        <w:t xml:space="preserve">Observatorio de Niñez y Conflicto Armado de la </w:t>
      </w:r>
      <w:proofErr w:type="spellStart"/>
      <w:r>
        <w:rPr>
          <w:color w:val="212121"/>
        </w:rPr>
        <w:t>Coalico</w:t>
      </w:r>
      <w:proofErr w:type="spellEnd"/>
      <w:r>
        <w:rPr>
          <w:color w:val="212121"/>
        </w:rPr>
        <w:t xml:space="preserve"> (ONCA) afirma que entre 2016 y el primer semestre de 2021 se han registrado 269 hechos de</w:t>
      </w:r>
      <w:r>
        <w:rPr>
          <w:color w:val="212121"/>
          <w:spacing w:val="-1"/>
        </w:rPr>
        <w:t xml:space="preserve"> </w:t>
      </w:r>
      <w:r>
        <w:rPr>
          <w:color w:val="212121"/>
        </w:rPr>
        <w:t xml:space="preserve">reclutamiento de niñas, niños y </w:t>
      </w:r>
      <w:r>
        <w:rPr>
          <w:color w:val="212121"/>
          <w:spacing w:val="-2"/>
        </w:rPr>
        <w:t>adolescentes</w:t>
      </w:r>
      <w:r w:rsidR="00E5616F">
        <w:rPr>
          <w:rStyle w:val="Refdenotaalpie"/>
          <w:color w:val="212121"/>
          <w:spacing w:val="-2"/>
        </w:rPr>
        <w:footnoteReference w:id="168"/>
      </w:r>
      <w:r>
        <w:rPr>
          <w:color w:val="212121"/>
          <w:spacing w:val="-2"/>
        </w:rPr>
        <w:t>.</w:t>
      </w:r>
    </w:p>
    <w:p w:rsidR="003804AC" w:rsidRDefault="00AF18A5" w:rsidP="00E5616F">
      <w:r>
        <w:t>Según datos del Proyecto conjunto JEP-CEV-HRDAG, el grupo que más niñas, niños y adolescentes reclutó entre 1990 y 2017 fueron las FARC-EP con 12.038 víctimas (75</w:t>
      </w:r>
      <w:r>
        <w:rPr>
          <w:spacing w:val="-4"/>
        </w:rPr>
        <w:t xml:space="preserve"> </w:t>
      </w:r>
      <w:r>
        <w:t>% del total), seguido de los paramilitares con 2.038 víctimas (13</w:t>
      </w:r>
      <w:r>
        <w:rPr>
          <w:spacing w:val="-2"/>
        </w:rPr>
        <w:t xml:space="preserve"> </w:t>
      </w:r>
      <w:r>
        <w:t>%) y el ELN con 1.391 víctimas (9</w:t>
      </w:r>
      <w:r>
        <w:rPr>
          <w:spacing w:val="-1"/>
        </w:rPr>
        <w:t xml:space="preserve"> </w:t>
      </w:r>
      <w:r>
        <w:t>%)</w:t>
      </w:r>
      <w:r w:rsidR="00E5616F">
        <w:rPr>
          <w:rStyle w:val="Refdenotaalpie"/>
        </w:rPr>
        <w:footnoteReference w:id="169"/>
      </w:r>
      <w:r w:rsidR="00E5616F">
        <w:t xml:space="preserve"> </w:t>
      </w:r>
      <w:r w:rsidR="00E5616F">
        <w:rPr>
          <w:rStyle w:val="Refdenotaalpie"/>
        </w:rPr>
        <w:footnoteReference w:id="170"/>
      </w:r>
      <w:r>
        <w:t xml:space="preserve">. Según el </w:t>
      </w:r>
      <w:r>
        <w:rPr>
          <w:color w:val="0D0D0D"/>
        </w:rPr>
        <w:t>Proyecto conjunto JEP-CEV-HRDAG, 4 de 10 víctimas de reclutamiento eran menores de 15 años (43 %)</w:t>
      </w:r>
      <w:r>
        <w:t>.</w:t>
      </w:r>
    </w:p>
    <w:p w:rsidR="003804AC" w:rsidRDefault="00AF18A5" w:rsidP="00E5616F">
      <w:r>
        <w:t>El reclutamiento y uso de los niños, niñas y adolescentes desarticula a sus familias y comunidades, tiene consecuencias especialmente graves en comunidades indígenas, donde la socialización bélica de los adolescentes provocó afectaciones comunitarias en la autonomía, autoridad o transmisión cultural. Además, familiares y comunidades pueden ser víctimas de actos de retaliación y estigmatización por otros grupos armados que consideran como</w:t>
      </w:r>
      <w:r>
        <w:rPr>
          <w:spacing w:val="-6"/>
        </w:rPr>
        <w:t xml:space="preserve"> </w:t>
      </w:r>
      <w:r>
        <w:t>parte</w:t>
      </w:r>
      <w:r>
        <w:rPr>
          <w:spacing w:val="-6"/>
        </w:rPr>
        <w:t xml:space="preserve"> </w:t>
      </w:r>
      <w:r>
        <w:t>del</w:t>
      </w:r>
      <w:r>
        <w:rPr>
          <w:spacing w:val="-6"/>
        </w:rPr>
        <w:t xml:space="preserve"> </w:t>
      </w:r>
      <w:r>
        <w:t>enemigo</w:t>
      </w:r>
      <w:r>
        <w:rPr>
          <w:spacing w:val="-7"/>
        </w:rPr>
        <w:t xml:space="preserve"> </w:t>
      </w:r>
      <w:r>
        <w:t>a</w:t>
      </w:r>
      <w:r>
        <w:rPr>
          <w:spacing w:val="-6"/>
        </w:rPr>
        <w:t xml:space="preserve"> </w:t>
      </w:r>
      <w:r>
        <w:t>los</w:t>
      </w:r>
      <w:r>
        <w:rPr>
          <w:spacing w:val="-6"/>
        </w:rPr>
        <w:t xml:space="preserve"> </w:t>
      </w:r>
      <w:r>
        <w:t>familiares</w:t>
      </w:r>
      <w:r>
        <w:rPr>
          <w:spacing w:val="-6"/>
        </w:rPr>
        <w:t xml:space="preserve"> </w:t>
      </w:r>
      <w:r>
        <w:t>de</w:t>
      </w:r>
      <w:r>
        <w:rPr>
          <w:spacing w:val="-6"/>
        </w:rPr>
        <w:t xml:space="preserve"> </w:t>
      </w:r>
      <w:r>
        <w:t>menores</w:t>
      </w:r>
      <w:r>
        <w:rPr>
          <w:spacing w:val="-6"/>
        </w:rPr>
        <w:t xml:space="preserve"> </w:t>
      </w:r>
      <w:r>
        <w:t>reclutados.</w:t>
      </w:r>
      <w:r>
        <w:rPr>
          <w:spacing w:val="-6"/>
        </w:rPr>
        <w:t xml:space="preserve"> </w:t>
      </w:r>
      <w:r>
        <w:t>Trunca</w:t>
      </w:r>
      <w:r>
        <w:rPr>
          <w:spacing w:val="-6"/>
        </w:rPr>
        <w:t xml:space="preserve"> </w:t>
      </w:r>
      <w:r>
        <w:t>el</w:t>
      </w:r>
      <w:r>
        <w:rPr>
          <w:spacing w:val="-6"/>
        </w:rPr>
        <w:t xml:space="preserve"> </w:t>
      </w:r>
      <w:r>
        <w:t>libre</w:t>
      </w:r>
      <w:r>
        <w:rPr>
          <w:spacing w:val="-6"/>
        </w:rPr>
        <w:t xml:space="preserve"> </w:t>
      </w:r>
      <w:r>
        <w:t>desarrollo</w:t>
      </w:r>
      <w:r>
        <w:rPr>
          <w:spacing w:val="-6"/>
        </w:rPr>
        <w:t xml:space="preserve"> </w:t>
      </w:r>
      <w:r>
        <w:t>de niñas</w:t>
      </w:r>
      <w:r>
        <w:rPr>
          <w:spacing w:val="-6"/>
        </w:rPr>
        <w:t xml:space="preserve"> </w:t>
      </w:r>
      <w:r>
        <w:t>y</w:t>
      </w:r>
      <w:r>
        <w:rPr>
          <w:spacing w:val="-6"/>
        </w:rPr>
        <w:t xml:space="preserve"> </w:t>
      </w:r>
      <w:r>
        <w:t>niños</w:t>
      </w:r>
      <w:r>
        <w:rPr>
          <w:spacing w:val="-6"/>
        </w:rPr>
        <w:t xml:space="preserve"> </w:t>
      </w:r>
      <w:r>
        <w:t>al</w:t>
      </w:r>
      <w:r>
        <w:rPr>
          <w:spacing w:val="-6"/>
        </w:rPr>
        <w:t xml:space="preserve"> </w:t>
      </w:r>
      <w:r>
        <w:t>privarlos</w:t>
      </w:r>
      <w:r>
        <w:rPr>
          <w:spacing w:val="-6"/>
        </w:rPr>
        <w:t xml:space="preserve"> </w:t>
      </w:r>
      <w:r>
        <w:t>de</w:t>
      </w:r>
      <w:r>
        <w:rPr>
          <w:spacing w:val="-6"/>
        </w:rPr>
        <w:t xml:space="preserve"> </w:t>
      </w:r>
      <w:r>
        <w:t>su</w:t>
      </w:r>
      <w:r>
        <w:rPr>
          <w:spacing w:val="-6"/>
        </w:rPr>
        <w:t xml:space="preserve"> </w:t>
      </w:r>
      <w:r>
        <w:t>niñez,</w:t>
      </w:r>
      <w:r>
        <w:rPr>
          <w:spacing w:val="-6"/>
        </w:rPr>
        <w:t xml:space="preserve"> </w:t>
      </w:r>
      <w:r>
        <w:t>una</w:t>
      </w:r>
      <w:r>
        <w:rPr>
          <w:spacing w:val="-6"/>
        </w:rPr>
        <w:t xml:space="preserve"> </w:t>
      </w:r>
      <w:r>
        <w:t>etapa</w:t>
      </w:r>
      <w:r>
        <w:rPr>
          <w:spacing w:val="-6"/>
        </w:rPr>
        <w:t xml:space="preserve"> </w:t>
      </w:r>
      <w:r>
        <w:t>fundamental</w:t>
      </w:r>
      <w:r>
        <w:rPr>
          <w:spacing w:val="-7"/>
        </w:rPr>
        <w:t xml:space="preserve"> </w:t>
      </w:r>
      <w:r>
        <w:t>para</w:t>
      </w:r>
      <w:r>
        <w:rPr>
          <w:spacing w:val="-6"/>
        </w:rPr>
        <w:t xml:space="preserve"> </w:t>
      </w:r>
      <w:r>
        <w:t>su</w:t>
      </w:r>
      <w:r>
        <w:rPr>
          <w:spacing w:val="-6"/>
        </w:rPr>
        <w:t xml:space="preserve"> </w:t>
      </w:r>
      <w:r>
        <w:t>desarrollo</w:t>
      </w:r>
      <w:r>
        <w:rPr>
          <w:spacing w:val="-6"/>
        </w:rPr>
        <w:t xml:space="preserve"> </w:t>
      </w:r>
      <w:r>
        <w:t>humano</w:t>
      </w:r>
      <w:r>
        <w:rPr>
          <w:spacing w:val="-6"/>
        </w:rPr>
        <w:t xml:space="preserve"> </w:t>
      </w:r>
      <w:r>
        <w:t>y</w:t>
      </w:r>
      <w:r>
        <w:rPr>
          <w:spacing w:val="-6"/>
        </w:rPr>
        <w:t xml:space="preserve"> </w:t>
      </w:r>
      <w:r>
        <w:t>su crecimiento.</w:t>
      </w:r>
      <w:r>
        <w:rPr>
          <w:spacing w:val="-11"/>
        </w:rPr>
        <w:t xml:space="preserve"> </w:t>
      </w:r>
      <w:r>
        <w:t>Las</w:t>
      </w:r>
      <w:r>
        <w:rPr>
          <w:spacing w:val="-9"/>
        </w:rPr>
        <w:t xml:space="preserve"> </w:t>
      </w:r>
      <w:r>
        <w:t>víctimas</w:t>
      </w:r>
      <w:r>
        <w:rPr>
          <w:spacing w:val="-10"/>
        </w:rPr>
        <w:t xml:space="preserve"> </w:t>
      </w:r>
      <w:r>
        <w:t>quedan</w:t>
      </w:r>
      <w:r>
        <w:rPr>
          <w:spacing w:val="-10"/>
        </w:rPr>
        <w:t xml:space="preserve"> </w:t>
      </w:r>
      <w:r>
        <w:t>inmersas</w:t>
      </w:r>
      <w:r>
        <w:rPr>
          <w:spacing w:val="-10"/>
        </w:rPr>
        <w:t xml:space="preserve"> </w:t>
      </w:r>
      <w:r>
        <w:t>en</w:t>
      </w:r>
      <w:r>
        <w:rPr>
          <w:spacing w:val="-10"/>
        </w:rPr>
        <w:t xml:space="preserve"> </w:t>
      </w:r>
      <w:r>
        <w:t>una</w:t>
      </w:r>
      <w:r>
        <w:rPr>
          <w:spacing w:val="-9"/>
        </w:rPr>
        <w:t xml:space="preserve"> </w:t>
      </w:r>
      <w:r>
        <w:t>violencia</w:t>
      </w:r>
      <w:r>
        <w:rPr>
          <w:spacing w:val="-11"/>
        </w:rPr>
        <w:t xml:space="preserve"> </w:t>
      </w:r>
      <w:r>
        <w:t>extrema</w:t>
      </w:r>
      <w:r>
        <w:rPr>
          <w:spacing w:val="-9"/>
        </w:rPr>
        <w:t xml:space="preserve"> </w:t>
      </w:r>
      <w:r>
        <w:lastRenderedPageBreak/>
        <w:t>y</w:t>
      </w:r>
      <w:r>
        <w:rPr>
          <w:spacing w:val="-10"/>
        </w:rPr>
        <w:t xml:space="preserve"> </w:t>
      </w:r>
      <w:r>
        <w:t>son</w:t>
      </w:r>
      <w:r>
        <w:rPr>
          <w:spacing w:val="-10"/>
        </w:rPr>
        <w:t xml:space="preserve"> </w:t>
      </w:r>
      <w:r>
        <w:t>expuestas</w:t>
      </w:r>
      <w:r>
        <w:rPr>
          <w:spacing w:val="-11"/>
        </w:rPr>
        <w:t xml:space="preserve"> </w:t>
      </w:r>
      <w:r>
        <w:t>a</w:t>
      </w:r>
      <w:r>
        <w:rPr>
          <w:spacing w:val="-9"/>
        </w:rPr>
        <w:t xml:space="preserve"> </w:t>
      </w:r>
      <w:r>
        <w:t xml:space="preserve">tratos crueles, a prácticas de guerra traumáticas, a daños físicos y emocionales graves y hasta a la </w:t>
      </w:r>
      <w:r>
        <w:rPr>
          <w:spacing w:val="-2"/>
        </w:rPr>
        <w:t>muerte.</w:t>
      </w:r>
    </w:p>
    <w:p w:rsidR="003804AC" w:rsidRDefault="00AF18A5" w:rsidP="00E5616F">
      <w:r>
        <w:t>Los grupos armados ilegales y la fuerza pública han involucrado a los niños, niños y adolescentes</w:t>
      </w:r>
      <w:r>
        <w:rPr>
          <w:spacing w:val="-15"/>
        </w:rPr>
        <w:t xml:space="preserve"> </w:t>
      </w:r>
      <w:r>
        <w:t>a</w:t>
      </w:r>
      <w:r>
        <w:rPr>
          <w:spacing w:val="-15"/>
        </w:rPr>
        <w:t xml:space="preserve"> </w:t>
      </w:r>
      <w:r>
        <w:t>una</w:t>
      </w:r>
      <w:r>
        <w:rPr>
          <w:spacing w:val="-14"/>
        </w:rPr>
        <w:t xml:space="preserve"> </w:t>
      </w:r>
      <w:r>
        <w:t>guerra</w:t>
      </w:r>
      <w:r>
        <w:rPr>
          <w:spacing w:val="-15"/>
        </w:rPr>
        <w:t xml:space="preserve"> </w:t>
      </w:r>
      <w:r>
        <w:t>que</w:t>
      </w:r>
      <w:r>
        <w:rPr>
          <w:spacing w:val="-14"/>
        </w:rPr>
        <w:t xml:space="preserve"> </w:t>
      </w:r>
      <w:r>
        <w:t>muy</w:t>
      </w:r>
      <w:r>
        <w:rPr>
          <w:spacing w:val="-14"/>
        </w:rPr>
        <w:t xml:space="preserve"> </w:t>
      </w:r>
      <w:r>
        <w:t>pocos</w:t>
      </w:r>
      <w:r>
        <w:rPr>
          <w:spacing w:val="-14"/>
        </w:rPr>
        <w:t xml:space="preserve"> </w:t>
      </w:r>
      <w:r>
        <w:t>comprenden</w:t>
      </w:r>
      <w:r>
        <w:rPr>
          <w:spacing w:val="-14"/>
        </w:rPr>
        <w:t xml:space="preserve"> </w:t>
      </w:r>
      <w:r>
        <w:t>y</w:t>
      </w:r>
      <w:r>
        <w:rPr>
          <w:spacing w:val="-14"/>
        </w:rPr>
        <w:t xml:space="preserve"> </w:t>
      </w:r>
      <w:r>
        <w:t>los</w:t>
      </w:r>
      <w:r>
        <w:rPr>
          <w:spacing w:val="-14"/>
        </w:rPr>
        <w:t xml:space="preserve"> </w:t>
      </w:r>
      <w:r>
        <w:t>fuerzan</w:t>
      </w:r>
      <w:r>
        <w:rPr>
          <w:spacing w:val="-14"/>
        </w:rPr>
        <w:t xml:space="preserve"> </w:t>
      </w:r>
      <w:r>
        <w:t>a</w:t>
      </w:r>
      <w:r>
        <w:rPr>
          <w:spacing w:val="-14"/>
        </w:rPr>
        <w:t xml:space="preserve"> </w:t>
      </w:r>
      <w:r>
        <w:t>tomar</w:t>
      </w:r>
      <w:r>
        <w:rPr>
          <w:spacing w:val="-15"/>
        </w:rPr>
        <w:t xml:space="preserve"> </w:t>
      </w:r>
      <w:r>
        <w:t>parte</w:t>
      </w:r>
      <w:r>
        <w:rPr>
          <w:spacing w:val="-14"/>
        </w:rPr>
        <w:t xml:space="preserve"> </w:t>
      </w:r>
      <w:r>
        <w:t>en</w:t>
      </w:r>
      <w:r>
        <w:rPr>
          <w:spacing w:val="-15"/>
        </w:rPr>
        <w:t xml:space="preserve"> </w:t>
      </w:r>
      <w:r>
        <w:t>acciones que</w:t>
      </w:r>
      <w:r>
        <w:rPr>
          <w:spacing w:val="2"/>
        </w:rPr>
        <w:t xml:space="preserve"> </w:t>
      </w:r>
      <w:r>
        <w:t>los</w:t>
      </w:r>
      <w:r>
        <w:rPr>
          <w:spacing w:val="2"/>
        </w:rPr>
        <w:t xml:space="preserve"> </w:t>
      </w:r>
      <w:r>
        <w:t>ponen</w:t>
      </w:r>
      <w:r>
        <w:rPr>
          <w:spacing w:val="2"/>
        </w:rPr>
        <w:t xml:space="preserve"> </w:t>
      </w:r>
      <w:r>
        <w:t>en</w:t>
      </w:r>
      <w:r>
        <w:rPr>
          <w:spacing w:val="2"/>
        </w:rPr>
        <w:t xml:space="preserve"> </w:t>
      </w:r>
      <w:r>
        <w:t>riesgo.</w:t>
      </w:r>
      <w:r>
        <w:rPr>
          <w:spacing w:val="2"/>
        </w:rPr>
        <w:t xml:space="preserve"> </w:t>
      </w:r>
      <w:r>
        <w:t>Para</w:t>
      </w:r>
      <w:r>
        <w:rPr>
          <w:spacing w:val="2"/>
        </w:rPr>
        <w:t xml:space="preserve"> </w:t>
      </w:r>
      <w:r>
        <w:t>los</w:t>
      </w:r>
      <w:r>
        <w:rPr>
          <w:spacing w:val="2"/>
        </w:rPr>
        <w:t xml:space="preserve"> </w:t>
      </w:r>
      <w:r>
        <w:t>niños</w:t>
      </w:r>
      <w:r>
        <w:rPr>
          <w:spacing w:val="2"/>
        </w:rPr>
        <w:t xml:space="preserve"> </w:t>
      </w:r>
      <w:r>
        <w:t>y</w:t>
      </w:r>
      <w:r>
        <w:rPr>
          <w:spacing w:val="3"/>
        </w:rPr>
        <w:t xml:space="preserve"> </w:t>
      </w:r>
      <w:r>
        <w:t>niñas,</w:t>
      </w:r>
      <w:r>
        <w:rPr>
          <w:spacing w:val="2"/>
        </w:rPr>
        <w:t xml:space="preserve"> </w:t>
      </w:r>
      <w:r>
        <w:t>durante</w:t>
      </w:r>
      <w:r>
        <w:rPr>
          <w:spacing w:val="1"/>
        </w:rPr>
        <w:t xml:space="preserve"> </w:t>
      </w:r>
      <w:r>
        <w:t>su</w:t>
      </w:r>
      <w:r>
        <w:rPr>
          <w:spacing w:val="2"/>
        </w:rPr>
        <w:t xml:space="preserve"> </w:t>
      </w:r>
      <w:r>
        <w:t>etapa</w:t>
      </w:r>
      <w:r>
        <w:rPr>
          <w:spacing w:val="3"/>
        </w:rPr>
        <w:t xml:space="preserve"> </w:t>
      </w:r>
      <w:r>
        <w:t>formativa</w:t>
      </w:r>
      <w:r>
        <w:rPr>
          <w:spacing w:val="1"/>
        </w:rPr>
        <w:t xml:space="preserve"> </w:t>
      </w:r>
      <w:r>
        <w:t>el</w:t>
      </w:r>
      <w:r>
        <w:rPr>
          <w:spacing w:val="3"/>
        </w:rPr>
        <w:t xml:space="preserve"> </w:t>
      </w:r>
      <w:r>
        <w:t>contexto</w:t>
      </w:r>
      <w:r>
        <w:rPr>
          <w:spacing w:val="1"/>
        </w:rPr>
        <w:t xml:space="preserve"> </w:t>
      </w:r>
      <w:r>
        <w:t>y</w:t>
      </w:r>
      <w:r>
        <w:rPr>
          <w:spacing w:val="3"/>
        </w:rPr>
        <w:t xml:space="preserve"> </w:t>
      </w:r>
      <w:r>
        <w:rPr>
          <w:spacing w:val="-5"/>
        </w:rPr>
        <w:t>las</w:t>
      </w:r>
      <w:bookmarkStart w:id="273" w:name="_bookmark196"/>
      <w:bookmarkStart w:id="274" w:name="_bookmark197"/>
      <w:bookmarkStart w:id="275" w:name="_bookmark198"/>
      <w:bookmarkEnd w:id="273"/>
      <w:bookmarkEnd w:id="274"/>
      <w:bookmarkEnd w:id="275"/>
      <w:r w:rsidR="00E5616F">
        <w:rPr>
          <w:spacing w:val="-5"/>
        </w:rPr>
        <w:t xml:space="preserve"> </w:t>
      </w:r>
      <w:r>
        <w:t>dinámicas</w:t>
      </w:r>
      <w:r>
        <w:rPr>
          <w:spacing w:val="-7"/>
        </w:rPr>
        <w:t xml:space="preserve"> </w:t>
      </w:r>
      <w:r>
        <w:t>de</w:t>
      </w:r>
      <w:r>
        <w:rPr>
          <w:spacing w:val="-7"/>
        </w:rPr>
        <w:t xml:space="preserve"> </w:t>
      </w:r>
      <w:r>
        <w:t>cohesión</w:t>
      </w:r>
      <w:r>
        <w:rPr>
          <w:spacing w:val="-7"/>
        </w:rPr>
        <w:t xml:space="preserve"> </w:t>
      </w:r>
      <w:r>
        <w:t>grupal</w:t>
      </w:r>
      <w:r>
        <w:rPr>
          <w:spacing w:val="-7"/>
        </w:rPr>
        <w:t xml:space="preserve"> </w:t>
      </w:r>
      <w:r>
        <w:t>suponen</w:t>
      </w:r>
      <w:r>
        <w:rPr>
          <w:spacing w:val="-7"/>
        </w:rPr>
        <w:t xml:space="preserve"> </w:t>
      </w:r>
      <w:r>
        <w:t>un</w:t>
      </w:r>
      <w:r>
        <w:rPr>
          <w:spacing w:val="-7"/>
        </w:rPr>
        <w:t xml:space="preserve"> </w:t>
      </w:r>
      <w:r>
        <w:t>refuerzo</w:t>
      </w:r>
      <w:r>
        <w:rPr>
          <w:spacing w:val="-7"/>
        </w:rPr>
        <w:t xml:space="preserve"> </w:t>
      </w:r>
      <w:r>
        <w:t>de</w:t>
      </w:r>
      <w:r>
        <w:rPr>
          <w:spacing w:val="-7"/>
        </w:rPr>
        <w:t xml:space="preserve"> </w:t>
      </w:r>
      <w:r>
        <w:t>su</w:t>
      </w:r>
      <w:r>
        <w:rPr>
          <w:spacing w:val="-7"/>
        </w:rPr>
        <w:t xml:space="preserve"> </w:t>
      </w:r>
      <w:r>
        <w:t>permanencia.</w:t>
      </w:r>
      <w:r>
        <w:rPr>
          <w:spacing w:val="-7"/>
        </w:rPr>
        <w:t xml:space="preserve"> </w:t>
      </w:r>
      <w:r>
        <w:t>A</w:t>
      </w:r>
      <w:r>
        <w:rPr>
          <w:spacing w:val="-8"/>
        </w:rPr>
        <w:t xml:space="preserve"> </w:t>
      </w:r>
      <w:r>
        <w:t>la</w:t>
      </w:r>
      <w:r>
        <w:rPr>
          <w:spacing w:val="-7"/>
        </w:rPr>
        <w:t xml:space="preserve"> </w:t>
      </w:r>
      <w:r>
        <w:t>vez,</w:t>
      </w:r>
      <w:r>
        <w:rPr>
          <w:spacing w:val="-8"/>
        </w:rPr>
        <w:t xml:space="preserve"> </w:t>
      </w:r>
      <w:r>
        <w:t>la</w:t>
      </w:r>
      <w:r>
        <w:rPr>
          <w:spacing w:val="-7"/>
        </w:rPr>
        <w:t xml:space="preserve"> </w:t>
      </w:r>
      <w:r>
        <w:t>dureza</w:t>
      </w:r>
      <w:r>
        <w:rPr>
          <w:spacing w:val="-7"/>
        </w:rPr>
        <w:t xml:space="preserve"> </w:t>
      </w:r>
      <w:r>
        <w:t>de la</w:t>
      </w:r>
      <w:r>
        <w:rPr>
          <w:spacing w:val="-8"/>
        </w:rPr>
        <w:t xml:space="preserve"> </w:t>
      </w:r>
      <w:r>
        <w:t>vida</w:t>
      </w:r>
      <w:r>
        <w:rPr>
          <w:spacing w:val="-8"/>
        </w:rPr>
        <w:t xml:space="preserve"> </w:t>
      </w:r>
      <w:r>
        <w:t>de</w:t>
      </w:r>
      <w:r>
        <w:rPr>
          <w:spacing w:val="-8"/>
        </w:rPr>
        <w:t xml:space="preserve"> </w:t>
      </w:r>
      <w:r>
        <w:t>los</w:t>
      </w:r>
      <w:r>
        <w:rPr>
          <w:spacing w:val="-8"/>
        </w:rPr>
        <w:t xml:space="preserve"> </w:t>
      </w:r>
      <w:r>
        <w:t>combatientes</w:t>
      </w:r>
      <w:r>
        <w:rPr>
          <w:spacing w:val="-8"/>
        </w:rPr>
        <w:t xml:space="preserve"> </w:t>
      </w:r>
      <w:r>
        <w:t>en</w:t>
      </w:r>
      <w:r>
        <w:rPr>
          <w:spacing w:val="-8"/>
        </w:rPr>
        <w:t xml:space="preserve"> </w:t>
      </w:r>
      <w:r>
        <w:t>el</w:t>
      </w:r>
      <w:r>
        <w:rPr>
          <w:spacing w:val="-8"/>
        </w:rPr>
        <w:t xml:space="preserve"> </w:t>
      </w:r>
      <w:r>
        <w:t>conflicto</w:t>
      </w:r>
      <w:r>
        <w:rPr>
          <w:spacing w:val="-8"/>
        </w:rPr>
        <w:t xml:space="preserve"> </w:t>
      </w:r>
      <w:r>
        <w:t>y</w:t>
      </w:r>
      <w:r>
        <w:rPr>
          <w:spacing w:val="-8"/>
        </w:rPr>
        <w:t xml:space="preserve"> </w:t>
      </w:r>
      <w:r>
        <w:t>las</w:t>
      </w:r>
      <w:r>
        <w:rPr>
          <w:spacing w:val="-8"/>
        </w:rPr>
        <w:t xml:space="preserve"> </w:t>
      </w:r>
      <w:r>
        <w:t>situaciones</w:t>
      </w:r>
      <w:r>
        <w:rPr>
          <w:spacing w:val="-8"/>
        </w:rPr>
        <w:t xml:space="preserve"> </w:t>
      </w:r>
      <w:r>
        <w:t>de</w:t>
      </w:r>
      <w:r>
        <w:rPr>
          <w:spacing w:val="-9"/>
        </w:rPr>
        <w:t xml:space="preserve"> </w:t>
      </w:r>
      <w:r>
        <w:t>violencia</w:t>
      </w:r>
      <w:r>
        <w:rPr>
          <w:spacing w:val="-8"/>
        </w:rPr>
        <w:t xml:space="preserve"> </w:t>
      </w:r>
      <w:r>
        <w:t>sufridas</w:t>
      </w:r>
      <w:r>
        <w:rPr>
          <w:spacing w:val="-8"/>
        </w:rPr>
        <w:t xml:space="preserve"> </w:t>
      </w:r>
      <w:r>
        <w:t>llevan</w:t>
      </w:r>
      <w:r>
        <w:rPr>
          <w:spacing w:val="-10"/>
        </w:rPr>
        <w:t xml:space="preserve"> </w:t>
      </w:r>
      <w:r>
        <w:t>a</w:t>
      </w:r>
      <w:r>
        <w:rPr>
          <w:spacing w:val="-8"/>
        </w:rPr>
        <w:t xml:space="preserve"> </w:t>
      </w:r>
      <w:r>
        <w:t>que muchos</w:t>
      </w:r>
      <w:r>
        <w:rPr>
          <w:spacing w:val="-8"/>
        </w:rPr>
        <w:t xml:space="preserve"> </w:t>
      </w:r>
      <w:r>
        <w:t>quieran</w:t>
      </w:r>
      <w:r>
        <w:rPr>
          <w:spacing w:val="-8"/>
        </w:rPr>
        <w:t xml:space="preserve"> </w:t>
      </w:r>
      <w:r>
        <w:t>salir</w:t>
      </w:r>
      <w:r>
        <w:rPr>
          <w:spacing w:val="-8"/>
        </w:rPr>
        <w:t xml:space="preserve"> </w:t>
      </w:r>
      <w:r>
        <w:t>del</w:t>
      </w:r>
      <w:r>
        <w:rPr>
          <w:spacing w:val="-8"/>
        </w:rPr>
        <w:t xml:space="preserve"> </w:t>
      </w:r>
      <w:r>
        <w:t>grupo.</w:t>
      </w:r>
      <w:r>
        <w:rPr>
          <w:spacing w:val="-8"/>
        </w:rPr>
        <w:t xml:space="preserve"> </w:t>
      </w:r>
      <w:r>
        <w:t>Los</w:t>
      </w:r>
      <w:r>
        <w:rPr>
          <w:spacing w:val="-8"/>
        </w:rPr>
        <w:t xml:space="preserve"> </w:t>
      </w:r>
      <w:r>
        <w:t>que</w:t>
      </w:r>
      <w:r>
        <w:rPr>
          <w:spacing w:val="-8"/>
        </w:rPr>
        <w:t xml:space="preserve"> </w:t>
      </w:r>
      <w:r>
        <w:t>lo</w:t>
      </w:r>
      <w:r>
        <w:rPr>
          <w:spacing w:val="-8"/>
        </w:rPr>
        <w:t xml:space="preserve"> </w:t>
      </w:r>
      <w:r>
        <w:t>han</w:t>
      </w:r>
      <w:r>
        <w:rPr>
          <w:spacing w:val="-8"/>
        </w:rPr>
        <w:t xml:space="preserve"> </w:t>
      </w:r>
      <w:r>
        <w:t>logrado</w:t>
      </w:r>
      <w:r>
        <w:rPr>
          <w:spacing w:val="-8"/>
        </w:rPr>
        <w:t xml:space="preserve"> </w:t>
      </w:r>
      <w:r>
        <w:t>debieron</w:t>
      </w:r>
      <w:r>
        <w:rPr>
          <w:spacing w:val="-8"/>
        </w:rPr>
        <w:t xml:space="preserve"> </w:t>
      </w:r>
      <w:r>
        <w:t>superar</w:t>
      </w:r>
      <w:r>
        <w:rPr>
          <w:spacing w:val="-8"/>
        </w:rPr>
        <w:t xml:space="preserve"> </w:t>
      </w:r>
      <w:r>
        <w:t>graves</w:t>
      </w:r>
      <w:r>
        <w:rPr>
          <w:spacing w:val="-8"/>
        </w:rPr>
        <w:t xml:space="preserve"> </w:t>
      </w:r>
      <w:r>
        <w:t>dificultades, muchos</w:t>
      </w:r>
      <w:r>
        <w:rPr>
          <w:spacing w:val="-15"/>
        </w:rPr>
        <w:t xml:space="preserve"> </w:t>
      </w:r>
      <w:r>
        <w:t>de</w:t>
      </w:r>
      <w:r>
        <w:rPr>
          <w:spacing w:val="-15"/>
        </w:rPr>
        <w:t xml:space="preserve"> </w:t>
      </w:r>
      <w:r>
        <w:t>los</w:t>
      </w:r>
      <w:r>
        <w:rPr>
          <w:spacing w:val="-15"/>
        </w:rPr>
        <w:t xml:space="preserve"> </w:t>
      </w:r>
      <w:r>
        <w:t>que</w:t>
      </w:r>
      <w:r>
        <w:rPr>
          <w:spacing w:val="-15"/>
        </w:rPr>
        <w:t xml:space="preserve"> </w:t>
      </w:r>
      <w:r>
        <w:t>no</w:t>
      </w:r>
      <w:r>
        <w:rPr>
          <w:spacing w:val="-15"/>
        </w:rPr>
        <w:t xml:space="preserve"> </w:t>
      </w:r>
      <w:r>
        <w:t>lo</w:t>
      </w:r>
      <w:r>
        <w:rPr>
          <w:spacing w:val="-15"/>
        </w:rPr>
        <w:t xml:space="preserve"> </w:t>
      </w:r>
      <w:r>
        <w:t>lograron</w:t>
      </w:r>
      <w:r>
        <w:rPr>
          <w:spacing w:val="-15"/>
        </w:rPr>
        <w:t xml:space="preserve"> </w:t>
      </w:r>
      <w:r>
        <w:t>fueron</w:t>
      </w:r>
      <w:r>
        <w:rPr>
          <w:spacing w:val="-15"/>
        </w:rPr>
        <w:t xml:space="preserve"> </w:t>
      </w:r>
      <w:r>
        <w:t>asesinados</w:t>
      </w:r>
      <w:r>
        <w:rPr>
          <w:spacing w:val="-15"/>
        </w:rPr>
        <w:t xml:space="preserve"> </w:t>
      </w:r>
      <w:r>
        <w:t>o</w:t>
      </w:r>
      <w:r>
        <w:rPr>
          <w:spacing w:val="-15"/>
        </w:rPr>
        <w:t xml:space="preserve"> </w:t>
      </w:r>
      <w:r>
        <w:t>torturados,</w:t>
      </w:r>
      <w:r>
        <w:rPr>
          <w:spacing w:val="-15"/>
        </w:rPr>
        <w:t xml:space="preserve"> </w:t>
      </w:r>
      <w:r>
        <w:t>también</w:t>
      </w:r>
      <w:r>
        <w:rPr>
          <w:spacing w:val="-15"/>
        </w:rPr>
        <w:t xml:space="preserve"> </w:t>
      </w:r>
      <w:r>
        <w:t>han</w:t>
      </w:r>
      <w:r>
        <w:rPr>
          <w:spacing w:val="-15"/>
        </w:rPr>
        <w:t xml:space="preserve"> </w:t>
      </w:r>
      <w:r>
        <w:t>sido</w:t>
      </w:r>
      <w:r>
        <w:rPr>
          <w:spacing w:val="-15"/>
        </w:rPr>
        <w:t xml:space="preserve"> </w:t>
      </w:r>
      <w:r>
        <w:t>asesinados algunos de quienes salieron de los grupos para ellos más que para nadie la guerra es un camino del que, a pesar de lo que se les prometió muchas veces, no tuvo vuelta atrás.</w:t>
      </w:r>
    </w:p>
    <w:p w:rsidR="0011361F" w:rsidRPr="00E5616F" w:rsidRDefault="00AF18A5" w:rsidP="004A6EF4">
      <w:pPr>
        <w:pStyle w:val="Ttulo3"/>
        <w:numPr>
          <w:ilvl w:val="1"/>
          <w:numId w:val="16"/>
        </w:numPr>
      </w:pPr>
      <w:bookmarkStart w:id="276" w:name="3.15._Trabajo_forzado"/>
      <w:bookmarkStart w:id="277" w:name="_Toc112399574"/>
      <w:bookmarkEnd w:id="276"/>
      <w:r>
        <w:t>Trabajo</w:t>
      </w:r>
      <w:r>
        <w:rPr>
          <w:spacing w:val="-2"/>
        </w:rPr>
        <w:t xml:space="preserve"> forzado</w:t>
      </w:r>
      <w:bookmarkEnd w:id="277"/>
    </w:p>
    <w:p w:rsidR="003804AC" w:rsidRDefault="00AF18A5" w:rsidP="00992601">
      <w:r>
        <w:t xml:space="preserve">«Cualquier vaina no les gustaba, de que de pronto no les vendieran algo, o que de pronto se negaran a… de estar por ahí, prestarles una olla, o cualquier favor que ellos pidieran. Últimamente, a la gente del campo la tenían como esclavitud a ellos; que </w:t>
      </w:r>
      <w:proofErr w:type="spellStart"/>
      <w:r>
        <w:t>pa</w:t>
      </w:r>
      <w:proofErr w:type="spellEnd"/>
      <w:r>
        <w:t xml:space="preserve"> donde ellos los mandaran,</w:t>
      </w:r>
      <w:r>
        <w:rPr>
          <w:spacing w:val="-7"/>
        </w:rPr>
        <w:t xml:space="preserve"> </w:t>
      </w:r>
      <w:r>
        <w:t>tenían</w:t>
      </w:r>
      <w:r>
        <w:rPr>
          <w:spacing w:val="-7"/>
        </w:rPr>
        <w:t xml:space="preserve"> </w:t>
      </w:r>
      <w:r>
        <w:t>que</w:t>
      </w:r>
      <w:r>
        <w:rPr>
          <w:spacing w:val="-7"/>
        </w:rPr>
        <w:t xml:space="preserve"> </w:t>
      </w:r>
      <w:r>
        <w:t>[...].</w:t>
      </w:r>
      <w:r>
        <w:rPr>
          <w:spacing w:val="-7"/>
        </w:rPr>
        <w:t xml:space="preserve"> </w:t>
      </w:r>
      <w:r>
        <w:t>“Vaya</w:t>
      </w:r>
      <w:r>
        <w:rPr>
          <w:spacing w:val="-7"/>
        </w:rPr>
        <w:t xml:space="preserve"> </w:t>
      </w:r>
      <w:r>
        <w:t>y</w:t>
      </w:r>
      <w:r>
        <w:rPr>
          <w:spacing w:val="-8"/>
        </w:rPr>
        <w:t xml:space="preserve"> </w:t>
      </w:r>
      <w:r>
        <w:t>me</w:t>
      </w:r>
      <w:r>
        <w:rPr>
          <w:spacing w:val="-7"/>
        </w:rPr>
        <w:t xml:space="preserve"> </w:t>
      </w:r>
      <w:r>
        <w:t>trae</w:t>
      </w:r>
      <w:r>
        <w:rPr>
          <w:spacing w:val="-7"/>
        </w:rPr>
        <w:t xml:space="preserve"> </w:t>
      </w:r>
      <w:r>
        <w:t>un</w:t>
      </w:r>
      <w:r>
        <w:rPr>
          <w:spacing w:val="-8"/>
        </w:rPr>
        <w:t xml:space="preserve"> </w:t>
      </w:r>
      <w:r>
        <w:t>mercado”.</w:t>
      </w:r>
      <w:r>
        <w:rPr>
          <w:spacing w:val="-7"/>
        </w:rPr>
        <w:t xml:space="preserve"> </w:t>
      </w:r>
      <w:r>
        <w:t>Allá</w:t>
      </w:r>
      <w:r>
        <w:rPr>
          <w:spacing w:val="-7"/>
        </w:rPr>
        <w:t xml:space="preserve"> </w:t>
      </w:r>
      <w:r>
        <w:t>al</w:t>
      </w:r>
      <w:r>
        <w:rPr>
          <w:spacing w:val="-7"/>
        </w:rPr>
        <w:t xml:space="preserve"> </w:t>
      </w:r>
      <w:r>
        <w:t>pueblo</w:t>
      </w:r>
      <w:r>
        <w:rPr>
          <w:spacing w:val="-9"/>
        </w:rPr>
        <w:t xml:space="preserve"> </w:t>
      </w:r>
      <w:r>
        <w:t>tocaba</w:t>
      </w:r>
      <w:r>
        <w:rPr>
          <w:spacing w:val="-7"/>
        </w:rPr>
        <w:t xml:space="preserve"> </w:t>
      </w:r>
      <w:r>
        <w:t>ir,</w:t>
      </w:r>
      <w:r>
        <w:rPr>
          <w:spacing w:val="-7"/>
        </w:rPr>
        <w:t xml:space="preserve"> </w:t>
      </w:r>
      <w:r>
        <w:t>y</w:t>
      </w:r>
      <w:r>
        <w:rPr>
          <w:spacing w:val="-8"/>
        </w:rPr>
        <w:t xml:space="preserve"> </w:t>
      </w:r>
      <w:r>
        <w:t>si</w:t>
      </w:r>
      <w:r>
        <w:rPr>
          <w:spacing w:val="-7"/>
        </w:rPr>
        <w:t xml:space="preserve"> </w:t>
      </w:r>
      <w:r>
        <w:t>no</w:t>
      </w:r>
      <w:r>
        <w:rPr>
          <w:spacing w:val="-7"/>
        </w:rPr>
        <w:t xml:space="preserve"> </w:t>
      </w:r>
      <w:r>
        <w:t>iba uno, pues… en esa época tocaba, cuando duró toda esa época de presencia de esa gente, tocaba cuando ellos dijeran: “Váyase del pueblo”, “Me trae un mercado”, “Me trae unas botas”, “Me trae tal, bueno, medias”, “Váyase usted”»</w:t>
      </w:r>
      <w:r w:rsidR="00992601">
        <w:rPr>
          <w:rStyle w:val="Refdenotaalpie"/>
        </w:rPr>
        <w:footnoteReference w:id="171"/>
      </w:r>
      <w:r>
        <w:t>.</w:t>
      </w:r>
    </w:p>
    <w:p w:rsidR="003804AC" w:rsidRDefault="00AF18A5" w:rsidP="00992601">
      <w:r>
        <w:t>Así</w:t>
      </w:r>
      <w:r>
        <w:rPr>
          <w:spacing w:val="-7"/>
        </w:rPr>
        <w:t xml:space="preserve"> </w:t>
      </w:r>
      <w:r>
        <w:t>lo</w:t>
      </w:r>
      <w:r>
        <w:rPr>
          <w:spacing w:val="-7"/>
        </w:rPr>
        <w:t xml:space="preserve"> </w:t>
      </w:r>
      <w:r>
        <w:t>relata</w:t>
      </w:r>
      <w:r>
        <w:rPr>
          <w:spacing w:val="-8"/>
        </w:rPr>
        <w:t xml:space="preserve"> </w:t>
      </w:r>
      <w:r>
        <w:t>la</w:t>
      </w:r>
      <w:r>
        <w:rPr>
          <w:spacing w:val="-7"/>
        </w:rPr>
        <w:t xml:space="preserve"> </w:t>
      </w:r>
      <w:r>
        <w:t>señora</w:t>
      </w:r>
      <w:r>
        <w:rPr>
          <w:spacing w:val="-7"/>
        </w:rPr>
        <w:t xml:space="preserve"> </w:t>
      </w:r>
      <w:r>
        <w:t>recordando</w:t>
      </w:r>
      <w:r>
        <w:rPr>
          <w:spacing w:val="-7"/>
        </w:rPr>
        <w:t xml:space="preserve"> </w:t>
      </w:r>
      <w:r>
        <w:t>cuando</w:t>
      </w:r>
      <w:r>
        <w:rPr>
          <w:spacing w:val="-7"/>
        </w:rPr>
        <w:t xml:space="preserve"> </w:t>
      </w:r>
      <w:r>
        <w:t>Frente</w:t>
      </w:r>
      <w:r>
        <w:rPr>
          <w:spacing w:val="-8"/>
        </w:rPr>
        <w:t xml:space="preserve"> </w:t>
      </w:r>
      <w:r>
        <w:t>David</w:t>
      </w:r>
      <w:r>
        <w:rPr>
          <w:spacing w:val="-7"/>
        </w:rPr>
        <w:t xml:space="preserve"> </w:t>
      </w:r>
      <w:r>
        <w:t>Suarez</w:t>
      </w:r>
      <w:r>
        <w:rPr>
          <w:spacing w:val="-7"/>
        </w:rPr>
        <w:t xml:space="preserve"> </w:t>
      </w:r>
      <w:r>
        <w:t>del</w:t>
      </w:r>
      <w:r>
        <w:rPr>
          <w:spacing w:val="-7"/>
        </w:rPr>
        <w:t xml:space="preserve"> </w:t>
      </w:r>
      <w:r>
        <w:t>ELN</w:t>
      </w:r>
      <w:r>
        <w:rPr>
          <w:spacing w:val="-7"/>
        </w:rPr>
        <w:t xml:space="preserve"> </w:t>
      </w:r>
      <w:r>
        <w:lastRenderedPageBreak/>
        <w:t>en</w:t>
      </w:r>
      <w:r>
        <w:rPr>
          <w:spacing w:val="-7"/>
        </w:rPr>
        <w:t xml:space="preserve"> </w:t>
      </w:r>
      <w:r>
        <w:t>Paya,</w:t>
      </w:r>
      <w:r>
        <w:rPr>
          <w:spacing w:val="-7"/>
        </w:rPr>
        <w:t xml:space="preserve"> </w:t>
      </w:r>
      <w:r>
        <w:t>Boyacá, en el año 2003imponía el trabajo forzado a las víctimas como retaliación por negarse a obedecer órdenes o requerimientos.</w:t>
      </w:r>
    </w:p>
    <w:p w:rsidR="003804AC" w:rsidRDefault="00AF18A5" w:rsidP="00992601">
      <w:r>
        <w:t>El</w:t>
      </w:r>
      <w:r>
        <w:rPr>
          <w:spacing w:val="-1"/>
        </w:rPr>
        <w:t xml:space="preserve"> </w:t>
      </w:r>
      <w:r>
        <w:t>trabajo</w:t>
      </w:r>
      <w:r>
        <w:rPr>
          <w:spacing w:val="-1"/>
        </w:rPr>
        <w:t xml:space="preserve"> </w:t>
      </w:r>
      <w:r>
        <w:t>forzado</w:t>
      </w:r>
      <w:r>
        <w:rPr>
          <w:spacing w:val="-1"/>
        </w:rPr>
        <w:t xml:space="preserve"> </w:t>
      </w:r>
      <w:r>
        <w:t>es</w:t>
      </w:r>
      <w:r>
        <w:rPr>
          <w:spacing w:val="-1"/>
        </w:rPr>
        <w:t xml:space="preserve"> </w:t>
      </w:r>
      <w:r>
        <w:t>una</w:t>
      </w:r>
      <w:r>
        <w:rPr>
          <w:spacing w:val="-2"/>
        </w:rPr>
        <w:t xml:space="preserve"> </w:t>
      </w:r>
      <w:r>
        <w:t>violación</w:t>
      </w:r>
      <w:r>
        <w:rPr>
          <w:spacing w:val="-1"/>
        </w:rPr>
        <w:t xml:space="preserve"> </w:t>
      </w:r>
      <w:r>
        <w:t>e</w:t>
      </w:r>
      <w:r>
        <w:rPr>
          <w:spacing w:val="-2"/>
        </w:rPr>
        <w:t xml:space="preserve"> </w:t>
      </w:r>
      <w:r>
        <w:t>infracción</w:t>
      </w:r>
      <w:r>
        <w:rPr>
          <w:spacing w:val="-1"/>
        </w:rPr>
        <w:t xml:space="preserve"> </w:t>
      </w:r>
      <w:r>
        <w:t>invisibilizada</w:t>
      </w:r>
      <w:r>
        <w:rPr>
          <w:spacing w:val="-2"/>
        </w:rPr>
        <w:t xml:space="preserve"> </w:t>
      </w:r>
      <w:r>
        <w:t>por</w:t>
      </w:r>
      <w:r>
        <w:rPr>
          <w:spacing w:val="-1"/>
        </w:rPr>
        <w:t xml:space="preserve"> </w:t>
      </w:r>
      <w:r>
        <w:t>el</w:t>
      </w:r>
      <w:r>
        <w:rPr>
          <w:spacing w:val="-1"/>
        </w:rPr>
        <w:t xml:space="preserve"> </w:t>
      </w:r>
      <w:r>
        <w:t>Estado,</w:t>
      </w:r>
      <w:r>
        <w:rPr>
          <w:spacing w:val="-1"/>
        </w:rPr>
        <w:t xml:space="preserve"> </w:t>
      </w:r>
      <w:r>
        <w:t>sus</w:t>
      </w:r>
      <w:r>
        <w:rPr>
          <w:spacing w:val="-1"/>
        </w:rPr>
        <w:t xml:space="preserve"> </w:t>
      </w:r>
      <w:r>
        <w:t xml:space="preserve">víctimas no tienen reconocimiento ni reparación ya que no se encuentra ni dentro de las líneas de investigación de la Fiscalía General de la Nación ni como hecho </w:t>
      </w:r>
      <w:proofErr w:type="spellStart"/>
      <w:r>
        <w:t>victimizante</w:t>
      </w:r>
      <w:proofErr w:type="spellEnd"/>
      <w:r>
        <w:t xml:space="preserve"> en la ley de víctimas. No se cuenta con información cuantitativa al respecto, sin embargo, la Comisión documentó 383 hechos de trabajo forzado. En estos relatos, las víctimas mencionan como responsables a las guerrillas y a los grupos paramilitares y, en menor medida, al Ejército Nacional. El trabajo forzado pone en peligro a su víctima ya que los grupos armados la identifican</w:t>
      </w:r>
      <w:r>
        <w:rPr>
          <w:spacing w:val="30"/>
        </w:rPr>
        <w:t xml:space="preserve"> </w:t>
      </w:r>
      <w:r>
        <w:t>como</w:t>
      </w:r>
      <w:r>
        <w:rPr>
          <w:spacing w:val="32"/>
        </w:rPr>
        <w:t xml:space="preserve"> </w:t>
      </w:r>
      <w:r>
        <w:t>colaboradora</w:t>
      </w:r>
      <w:r>
        <w:rPr>
          <w:spacing w:val="31"/>
        </w:rPr>
        <w:t xml:space="preserve"> </w:t>
      </w:r>
      <w:r>
        <w:t>o</w:t>
      </w:r>
      <w:r>
        <w:rPr>
          <w:spacing w:val="33"/>
        </w:rPr>
        <w:t xml:space="preserve"> </w:t>
      </w:r>
      <w:r>
        <w:t>parte</w:t>
      </w:r>
      <w:r>
        <w:rPr>
          <w:spacing w:val="33"/>
        </w:rPr>
        <w:t xml:space="preserve"> </w:t>
      </w:r>
      <w:r>
        <w:t>del</w:t>
      </w:r>
      <w:r>
        <w:rPr>
          <w:spacing w:val="33"/>
        </w:rPr>
        <w:t xml:space="preserve"> </w:t>
      </w:r>
      <w:r>
        <w:t>grupo</w:t>
      </w:r>
      <w:r>
        <w:rPr>
          <w:spacing w:val="32"/>
        </w:rPr>
        <w:t xml:space="preserve"> </w:t>
      </w:r>
      <w:r>
        <w:t>contrario;</w:t>
      </w:r>
      <w:r>
        <w:rPr>
          <w:spacing w:val="33"/>
        </w:rPr>
        <w:t xml:space="preserve"> </w:t>
      </w:r>
      <w:r>
        <w:t>muchas</w:t>
      </w:r>
      <w:r>
        <w:rPr>
          <w:spacing w:val="31"/>
        </w:rPr>
        <w:t xml:space="preserve"> </w:t>
      </w:r>
      <w:r>
        <w:t>han</w:t>
      </w:r>
      <w:r>
        <w:rPr>
          <w:spacing w:val="32"/>
        </w:rPr>
        <w:t xml:space="preserve"> </w:t>
      </w:r>
      <w:r>
        <w:t>sido</w:t>
      </w:r>
      <w:r>
        <w:rPr>
          <w:spacing w:val="32"/>
        </w:rPr>
        <w:t xml:space="preserve"> </w:t>
      </w:r>
      <w:r>
        <w:t>obligadas</w:t>
      </w:r>
      <w:r>
        <w:rPr>
          <w:spacing w:val="34"/>
        </w:rPr>
        <w:t xml:space="preserve"> </w:t>
      </w:r>
      <w:r>
        <w:rPr>
          <w:spacing w:val="-10"/>
        </w:rPr>
        <w:t>a</w:t>
      </w:r>
      <w:bookmarkStart w:id="278" w:name="_bookmark200"/>
      <w:bookmarkEnd w:id="278"/>
      <w:r w:rsidR="00992601">
        <w:rPr>
          <w:spacing w:val="-10"/>
        </w:rPr>
        <w:t xml:space="preserve"> </w:t>
      </w:r>
      <w:r>
        <w:t>realizar las mismas labores para distintos grupos armados, lo que incrementó su vulnerabilidad. También ha sido perpetrado como paso previo al reclutamiento forzado.</w:t>
      </w:r>
    </w:p>
    <w:p w:rsidR="003804AC" w:rsidRDefault="00AF18A5" w:rsidP="00992601">
      <w:r>
        <w:t>Se entiende por trabajo forzado y esclavitud como todos aquellos actos en que un grupo armado ejerce de facto un derecho de propiedad sobre una persona, pudiendo venderla, intercambiarla o someterla a trabajos no remunerados en contra de su voluntad. Según el convenio 29 de 1930 de la Organización Internacional del Trabajo (OIT), esta violación se entiende como «todo trabajo o servicio exigido a un individuo bajo la amenaza de una pena cualquiera y para el cual dicho individuo no se ofrece voluntariamente».</w:t>
      </w:r>
    </w:p>
    <w:p w:rsidR="003804AC" w:rsidRDefault="00AF18A5" w:rsidP="00992601">
      <w:r>
        <w:t>Los</w:t>
      </w:r>
      <w:r>
        <w:rPr>
          <w:spacing w:val="-13"/>
        </w:rPr>
        <w:t xml:space="preserve"> </w:t>
      </w:r>
      <w:r>
        <w:t>combatientes</w:t>
      </w:r>
      <w:r>
        <w:rPr>
          <w:spacing w:val="-14"/>
        </w:rPr>
        <w:t xml:space="preserve"> </w:t>
      </w:r>
      <w:r>
        <w:t>lo</w:t>
      </w:r>
      <w:r>
        <w:rPr>
          <w:spacing w:val="-13"/>
        </w:rPr>
        <w:t xml:space="preserve"> </w:t>
      </w:r>
      <w:r>
        <w:t>imponen</w:t>
      </w:r>
      <w:r>
        <w:rPr>
          <w:spacing w:val="-13"/>
        </w:rPr>
        <w:t xml:space="preserve"> </w:t>
      </w:r>
      <w:r>
        <w:t>en</w:t>
      </w:r>
      <w:r>
        <w:rPr>
          <w:spacing w:val="-13"/>
        </w:rPr>
        <w:t xml:space="preserve"> </w:t>
      </w:r>
      <w:r>
        <w:t>ocasiones</w:t>
      </w:r>
      <w:r>
        <w:rPr>
          <w:spacing w:val="-13"/>
        </w:rPr>
        <w:t xml:space="preserve"> </w:t>
      </w:r>
      <w:r>
        <w:t>a</w:t>
      </w:r>
      <w:r>
        <w:rPr>
          <w:spacing w:val="-14"/>
        </w:rPr>
        <w:t xml:space="preserve"> </w:t>
      </w:r>
      <w:r>
        <w:t>modo</w:t>
      </w:r>
      <w:r>
        <w:rPr>
          <w:spacing w:val="-13"/>
        </w:rPr>
        <w:t xml:space="preserve"> </w:t>
      </w:r>
      <w:r>
        <w:t>de</w:t>
      </w:r>
      <w:r>
        <w:rPr>
          <w:spacing w:val="-13"/>
        </w:rPr>
        <w:t xml:space="preserve"> </w:t>
      </w:r>
      <w:r>
        <w:t>castigo</w:t>
      </w:r>
      <w:r>
        <w:rPr>
          <w:spacing w:val="-14"/>
        </w:rPr>
        <w:t xml:space="preserve"> </w:t>
      </w:r>
      <w:r>
        <w:t>ejemplarizante,</w:t>
      </w:r>
      <w:r>
        <w:rPr>
          <w:spacing w:val="-13"/>
        </w:rPr>
        <w:t xml:space="preserve"> </w:t>
      </w:r>
      <w:r>
        <w:t>como</w:t>
      </w:r>
      <w:r>
        <w:rPr>
          <w:spacing w:val="-14"/>
        </w:rPr>
        <w:t xml:space="preserve"> </w:t>
      </w:r>
      <w:r>
        <w:t>forma de</w:t>
      </w:r>
      <w:r>
        <w:rPr>
          <w:spacing w:val="-4"/>
        </w:rPr>
        <w:t xml:space="preserve"> </w:t>
      </w:r>
      <w:r>
        <w:t>reforzar</w:t>
      </w:r>
      <w:r>
        <w:rPr>
          <w:spacing w:val="-4"/>
        </w:rPr>
        <w:t xml:space="preserve"> </w:t>
      </w:r>
      <w:r>
        <w:t>el</w:t>
      </w:r>
      <w:r>
        <w:rPr>
          <w:spacing w:val="-4"/>
        </w:rPr>
        <w:t xml:space="preserve"> </w:t>
      </w:r>
      <w:r>
        <w:t>control</w:t>
      </w:r>
      <w:r>
        <w:rPr>
          <w:spacing w:val="-4"/>
        </w:rPr>
        <w:t xml:space="preserve"> </w:t>
      </w:r>
      <w:r>
        <w:t>de</w:t>
      </w:r>
      <w:r>
        <w:rPr>
          <w:spacing w:val="-4"/>
        </w:rPr>
        <w:t xml:space="preserve"> </w:t>
      </w:r>
      <w:r>
        <w:t>la</w:t>
      </w:r>
      <w:r>
        <w:rPr>
          <w:spacing w:val="-4"/>
        </w:rPr>
        <w:t xml:space="preserve"> </w:t>
      </w:r>
      <w:r>
        <w:t>población</w:t>
      </w:r>
      <w:r>
        <w:rPr>
          <w:spacing w:val="-6"/>
        </w:rPr>
        <w:t xml:space="preserve"> </w:t>
      </w:r>
      <w:r>
        <w:t>y</w:t>
      </w:r>
      <w:r>
        <w:rPr>
          <w:spacing w:val="-5"/>
        </w:rPr>
        <w:t xml:space="preserve"> </w:t>
      </w:r>
      <w:r>
        <w:t>forzar</w:t>
      </w:r>
      <w:r>
        <w:rPr>
          <w:spacing w:val="-4"/>
        </w:rPr>
        <w:t xml:space="preserve"> </w:t>
      </w:r>
      <w:r>
        <w:t>a</w:t>
      </w:r>
      <w:r>
        <w:rPr>
          <w:spacing w:val="-6"/>
        </w:rPr>
        <w:t xml:space="preserve"> </w:t>
      </w:r>
      <w:r>
        <w:t>las</w:t>
      </w:r>
      <w:r>
        <w:rPr>
          <w:spacing w:val="-4"/>
        </w:rPr>
        <w:t xml:space="preserve"> </w:t>
      </w:r>
      <w:r>
        <w:t>víctimas</w:t>
      </w:r>
      <w:r>
        <w:rPr>
          <w:spacing w:val="-4"/>
        </w:rPr>
        <w:t xml:space="preserve"> </w:t>
      </w:r>
      <w:r>
        <w:t>a</w:t>
      </w:r>
      <w:r>
        <w:rPr>
          <w:spacing w:val="-7"/>
        </w:rPr>
        <w:t xml:space="preserve"> </w:t>
      </w:r>
      <w:r>
        <w:t>realizar</w:t>
      </w:r>
      <w:r>
        <w:rPr>
          <w:spacing w:val="-4"/>
        </w:rPr>
        <w:t xml:space="preserve"> </w:t>
      </w:r>
      <w:r>
        <w:t>actividades</w:t>
      </w:r>
      <w:r>
        <w:rPr>
          <w:spacing w:val="-4"/>
        </w:rPr>
        <w:t xml:space="preserve"> </w:t>
      </w:r>
      <w:r>
        <w:t>útiles</w:t>
      </w:r>
      <w:r>
        <w:rPr>
          <w:spacing w:val="-4"/>
        </w:rPr>
        <w:t xml:space="preserve"> </w:t>
      </w:r>
      <w:r>
        <w:t xml:space="preserve">para el grupo armado o </w:t>
      </w:r>
      <w:r>
        <w:lastRenderedPageBreak/>
        <w:t>terceros beneficiarios (lavar, cocinar, cultivar, transportar materiales, mercancías o información, apoyo logístico). Muchos de esos trabajos forzados son de carácter público y se imponen a la vista de las comunidades.</w:t>
      </w:r>
    </w:p>
    <w:p w:rsidR="003804AC" w:rsidRDefault="00AF18A5" w:rsidP="00813331">
      <w:r>
        <w:t>En algunos casos, la imposición duró unos pocos días, pero en otros se repitió durante varios años. Las modalidades del trabajo forzado identificadas en las entrevistas de la Comisión fueron: 1) trabajos dirigidos al mantenimiento o servicio de los actores armados y/o al cuidado de sus propiedades o propiedades de terceros; 2) tareas para la existencia, el sostenimiento y beneficio de los actores armados; 3) construcción y mantenimiento de infraestructuras como caminos o carreteras; y 4) acciones propias del personal sanitario.</w:t>
      </w:r>
    </w:p>
    <w:p w:rsidR="003804AC" w:rsidRDefault="00AF18A5" w:rsidP="00813331">
      <w:r>
        <w:t>El trabajo forzado se registra con mayor fuerza cuando los combatientes tienen mayor control del territorio. Esta práctica tiene un impacto considerable en mujeres y niñas y en comunidades afrodescendientes e indígenas. El sector más numeroso de víctimas de esta violación es la población dedicada a labores agrícolas, el campesinado y la población civil en condición de vulnerabilidad económica. El trabajo forzado se relaciona en cadenas de violaciones con el reclutamiento forzado, la violencia sexual, las torturas y las amenazas.</w:t>
      </w:r>
    </w:p>
    <w:p w:rsidR="0011361F" w:rsidRDefault="00AF18A5" w:rsidP="004A6EF4">
      <w:pPr>
        <w:pStyle w:val="Ttulo3"/>
        <w:numPr>
          <w:ilvl w:val="1"/>
          <w:numId w:val="16"/>
        </w:numPr>
      </w:pPr>
      <w:bookmarkStart w:id="279" w:name="3.16._La_violencia_indiscriminada:_los_a"/>
      <w:bookmarkStart w:id="280" w:name="_Toc112399575"/>
      <w:bookmarkEnd w:id="279"/>
      <w:r>
        <w:t>La</w:t>
      </w:r>
      <w:r>
        <w:rPr>
          <w:spacing w:val="-5"/>
        </w:rPr>
        <w:t xml:space="preserve"> </w:t>
      </w:r>
      <w:r>
        <w:t>violencia</w:t>
      </w:r>
      <w:r>
        <w:rPr>
          <w:spacing w:val="-4"/>
        </w:rPr>
        <w:t xml:space="preserve"> </w:t>
      </w:r>
      <w:r>
        <w:t>indiscriminada:</w:t>
      </w:r>
      <w:r>
        <w:rPr>
          <w:spacing w:val="-3"/>
        </w:rPr>
        <w:t xml:space="preserve"> </w:t>
      </w:r>
      <w:r>
        <w:t>los</w:t>
      </w:r>
      <w:r>
        <w:rPr>
          <w:spacing w:val="-2"/>
        </w:rPr>
        <w:t xml:space="preserve"> </w:t>
      </w:r>
      <w:r>
        <w:t>ataques</w:t>
      </w:r>
      <w:r>
        <w:rPr>
          <w:spacing w:val="-3"/>
        </w:rPr>
        <w:t xml:space="preserve"> </w:t>
      </w:r>
      <w:r>
        <w:rPr>
          <w:spacing w:val="-2"/>
        </w:rPr>
        <w:t>indiscriminados</w:t>
      </w:r>
      <w:bookmarkEnd w:id="280"/>
    </w:p>
    <w:p w:rsidR="003804AC" w:rsidRDefault="00AF18A5" w:rsidP="00813331">
      <w:r>
        <w:t>«Yo</w:t>
      </w:r>
      <w:r>
        <w:rPr>
          <w:spacing w:val="-11"/>
        </w:rPr>
        <w:t xml:space="preserve"> </w:t>
      </w:r>
      <w:r>
        <w:t>les</w:t>
      </w:r>
      <w:r>
        <w:rPr>
          <w:spacing w:val="-11"/>
        </w:rPr>
        <w:t xml:space="preserve"> </w:t>
      </w:r>
      <w:r>
        <w:t>digo</w:t>
      </w:r>
      <w:r>
        <w:rPr>
          <w:spacing w:val="-11"/>
        </w:rPr>
        <w:t xml:space="preserve"> </w:t>
      </w:r>
      <w:r>
        <w:t>a</w:t>
      </w:r>
      <w:r>
        <w:rPr>
          <w:spacing w:val="-11"/>
        </w:rPr>
        <w:t xml:space="preserve"> </w:t>
      </w:r>
      <w:r>
        <w:t>mis</w:t>
      </w:r>
      <w:r>
        <w:rPr>
          <w:spacing w:val="-11"/>
        </w:rPr>
        <w:t xml:space="preserve"> </w:t>
      </w:r>
      <w:r>
        <w:t>amigos:</w:t>
      </w:r>
      <w:r>
        <w:rPr>
          <w:spacing w:val="-10"/>
        </w:rPr>
        <w:t xml:space="preserve"> </w:t>
      </w:r>
      <w:r>
        <w:t>“el</w:t>
      </w:r>
      <w:r>
        <w:rPr>
          <w:spacing w:val="-10"/>
        </w:rPr>
        <w:t xml:space="preserve"> </w:t>
      </w:r>
      <w:r>
        <w:t>helicóptero</w:t>
      </w:r>
      <w:r>
        <w:rPr>
          <w:spacing w:val="-11"/>
        </w:rPr>
        <w:t xml:space="preserve"> </w:t>
      </w:r>
      <w:r>
        <w:t>nos</w:t>
      </w:r>
      <w:r>
        <w:rPr>
          <w:spacing w:val="-11"/>
        </w:rPr>
        <w:t xml:space="preserve"> </w:t>
      </w:r>
      <w:r>
        <w:t>está</w:t>
      </w:r>
      <w:r>
        <w:rPr>
          <w:spacing w:val="-11"/>
        </w:rPr>
        <w:t xml:space="preserve"> </w:t>
      </w:r>
      <w:r>
        <w:t>tirando</w:t>
      </w:r>
      <w:r>
        <w:rPr>
          <w:spacing w:val="-11"/>
        </w:rPr>
        <w:t xml:space="preserve"> </w:t>
      </w:r>
      <w:r>
        <w:t>papeles”.</w:t>
      </w:r>
      <w:r>
        <w:rPr>
          <w:spacing w:val="-11"/>
        </w:rPr>
        <w:t xml:space="preserve"> </w:t>
      </w:r>
      <w:r>
        <w:t>No</w:t>
      </w:r>
      <w:r>
        <w:rPr>
          <w:spacing w:val="-11"/>
        </w:rPr>
        <w:t xml:space="preserve"> </w:t>
      </w:r>
      <w:r>
        <w:t>termino</w:t>
      </w:r>
      <w:r>
        <w:rPr>
          <w:spacing w:val="-11"/>
        </w:rPr>
        <w:t xml:space="preserve"> </w:t>
      </w:r>
      <w:r>
        <w:t>de</w:t>
      </w:r>
      <w:r>
        <w:rPr>
          <w:spacing w:val="-11"/>
        </w:rPr>
        <w:t xml:space="preserve"> </w:t>
      </w:r>
      <w:r>
        <w:t>decir</w:t>
      </w:r>
      <w:r>
        <w:rPr>
          <w:spacing w:val="-10"/>
        </w:rPr>
        <w:t xml:space="preserve"> </w:t>
      </w:r>
      <w:r>
        <w:t>esa frase</w:t>
      </w:r>
      <w:r>
        <w:rPr>
          <w:spacing w:val="19"/>
        </w:rPr>
        <w:t xml:space="preserve"> </w:t>
      </w:r>
      <w:r>
        <w:t>cuando</w:t>
      </w:r>
      <w:r>
        <w:rPr>
          <w:spacing w:val="20"/>
        </w:rPr>
        <w:t xml:space="preserve"> </w:t>
      </w:r>
      <w:r>
        <w:t>en</w:t>
      </w:r>
      <w:r>
        <w:rPr>
          <w:spacing w:val="20"/>
        </w:rPr>
        <w:t xml:space="preserve"> </w:t>
      </w:r>
      <w:r>
        <w:t>el</w:t>
      </w:r>
      <w:r>
        <w:rPr>
          <w:spacing w:val="19"/>
        </w:rPr>
        <w:t xml:space="preserve"> </w:t>
      </w:r>
      <w:r>
        <w:t>momento</w:t>
      </w:r>
      <w:r>
        <w:rPr>
          <w:spacing w:val="19"/>
        </w:rPr>
        <w:t xml:space="preserve"> </w:t>
      </w:r>
      <w:r>
        <w:t>lo</w:t>
      </w:r>
      <w:r>
        <w:rPr>
          <w:spacing w:val="20"/>
        </w:rPr>
        <w:t xml:space="preserve"> </w:t>
      </w:r>
      <w:r>
        <w:t>que</w:t>
      </w:r>
      <w:r>
        <w:rPr>
          <w:spacing w:val="20"/>
        </w:rPr>
        <w:t xml:space="preserve"> </w:t>
      </w:r>
      <w:r>
        <w:t>siento</w:t>
      </w:r>
      <w:r>
        <w:rPr>
          <w:spacing w:val="21"/>
        </w:rPr>
        <w:t xml:space="preserve"> </w:t>
      </w:r>
      <w:r>
        <w:t>es</w:t>
      </w:r>
      <w:r>
        <w:rPr>
          <w:spacing w:val="18"/>
        </w:rPr>
        <w:t xml:space="preserve"> </w:t>
      </w:r>
      <w:r>
        <w:t>una</w:t>
      </w:r>
      <w:r>
        <w:rPr>
          <w:spacing w:val="20"/>
        </w:rPr>
        <w:t xml:space="preserve"> </w:t>
      </w:r>
      <w:r>
        <w:t>explosión</w:t>
      </w:r>
      <w:r>
        <w:rPr>
          <w:spacing w:val="20"/>
        </w:rPr>
        <w:t xml:space="preserve"> </w:t>
      </w:r>
      <w:r>
        <w:t>gigantesca.</w:t>
      </w:r>
      <w:r>
        <w:rPr>
          <w:spacing w:val="20"/>
        </w:rPr>
        <w:t xml:space="preserve"> </w:t>
      </w:r>
      <w:r>
        <w:t>Escucho</w:t>
      </w:r>
      <w:r>
        <w:rPr>
          <w:spacing w:val="19"/>
        </w:rPr>
        <w:t xml:space="preserve"> </w:t>
      </w:r>
      <w:r>
        <w:t>ya</w:t>
      </w:r>
      <w:r>
        <w:rPr>
          <w:spacing w:val="20"/>
        </w:rPr>
        <w:t xml:space="preserve"> </w:t>
      </w:r>
      <w:r>
        <w:t>a</w:t>
      </w:r>
      <w:r>
        <w:rPr>
          <w:spacing w:val="21"/>
        </w:rPr>
        <w:t xml:space="preserve"> </w:t>
      </w:r>
      <w:r>
        <w:rPr>
          <w:spacing w:val="-5"/>
        </w:rPr>
        <w:t>mis</w:t>
      </w:r>
      <w:r w:rsidR="00813331">
        <w:rPr>
          <w:spacing w:val="-5"/>
        </w:rPr>
        <w:t xml:space="preserve"> </w:t>
      </w:r>
      <w:r>
        <w:t>amigos</w:t>
      </w:r>
      <w:r>
        <w:rPr>
          <w:spacing w:val="-12"/>
        </w:rPr>
        <w:t xml:space="preserve"> </w:t>
      </w:r>
      <w:r>
        <w:t>llorar,</w:t>
      </w:r>
      <w:r>
        <w:rPr>
          <w:spacing w:val="-11"/>
        </w:rPr>
        <w:t xml:space="preserve"> </w:t>
      </w:r>
      <w:r>
        <w:t>pedir</w:t>
      </w:r>
      <w:r>
        <w:rPr>
          <w:spacing w:val="-10"/>
        </w:rPr>
        <w:t xml:space="preserve"> </w:t>
      </w:r>
      <w:r>
        <w:t>auxilio;</w:t>
      </w:r>
      <w:r>
        <w:rPr>
          <w:spacing w:val="-10"/>
        </w:rPr>
        <w:t xml:space="preserve"> </w:t>
      </w:r>
      <w:r>
        <w:t>observo</w:t>
      </w:r>
      <w:r>
        <w:rPr>
          <w:spacing w:val="-11"/>
        </w:rPr>
        <w:t xml:space="preserve"> </w:t>
      </w:r>
      <w:r>
        <w:t>a</w:t>
      </w:r>
      <w:r>
        <w:rPr>
          <w:spacing w:val="-12"/>
        </w:rPr>
        <w:t xml:space="preserve"> </w:t>
      </w:r>
      <w:r>
        <w:t>mi</w:t>
      </w:r>
      <w:r>
        <w:rPr>
          <w:spacing w:val="-10"/>
        </w:rPr>
        <w:t xml:space="preserve"> </w:t>
      </w:r>
      <w:r>
        <w:t>alrededor,</w:t>
      </w:r>
      <w:r>
        <w:rPr>
          <w:spacing w:val="-11"/>
        </w:rPr>
        <w:t xml:space="preserve"> </w:t>
      </w:r>
      <w:r>
        <w:t>observo</w:t>
      </w:r>
      <w:r>
        <w:rPr>
          <w:spacing w:val="-11"/>
        </w:rPr>
        <w:t xml:space="preserve"> </w:t>
      </w:r>
      <w:r>
        <w:t>a</w:t>
      </w:r>
      <w:r>
        <w:rPr>
          <w:spacing w:val="-12"/>
        </w:rPr>
        <w:t xml:space="preserve"> </w:t>
      </w:r>
      <w:r>
        <w:t>algunos</w:t>
      </w:r>
      <w:r>
        <w:rPr>
          <w:spacing w:val="-11"/>
        </w:rPr>
        <w:t xml:space="preserve"> </w:t>
      </w:r>
      <w:r>
        <w:t>que</w:t>
      </w:r>
      <w:r>
        <w:rPr>
          <w:spacing w:val="-12"/>
        </w:rPr>
        <w:t xml:space="preserve"> </w:t>
      </w:r>
      <w:r>
        <w:t>estaban</w:t>
      </w:r>
      <w:r>
        <w:rPr>
          <w:spacing w:val="-11"/>
        </w:rPr>
        <w:t xml:space="preserve"> </w:t>
      </w:r>
      <w:r>
        <w:t xml:space="preserve">conmigo, muertos, destrozados por las bombas […] como a 300 metros del pueblo. Vuelve el helicóptero nos </w:t>
      </w:r>
      <w:proofErr w:type="spellStart"/>
      <w:r>
        <w:t>rafaguea</w:t>
      </w:r>
      <w:proofErr w:type="spellEnd"/>
      <w:r>
        <w:t xml:space="preserve">, nos impide salir del pueblo </w:t>
      </w:r>
      <w:r>
        <w:lastRenderedPageBreak/>
        <w:t>viendo que íbamos población civil, heridos, entonces el finado Ángel saca su camisa blanca y la bate al helicóptero, y así nos dieron</w:t>
      </w:r>
      <w:r>
        <w:rPr>
          <w:spacing w:val="-8"/>
        </w:rPr>
        <w:t xml:space="preserve"> </w:t>
      </w:r>
      <w:r>
        <w:t>vía</w:t>
      </w:r>
      <w:r>
        <w:rPr>
          <w:spacing w:val="-8"/>
        </w:rPr>
        <w:t xml:space="preserve"> </w:t>
      </w:r>
      <w:r>
        <w:t>libre</w:t>
      </w:r>
      <w:r>
        <w:rPr>
          <w:spacing w:val="-8"/>
        </w:rPr>
        <w:t xml:space="preserve"> </w:t>
      </w:r>
      <w:r>
        <w:t>para</w:t>
      </w:r>
      <w:r>
        <w:rPr>
          <w:spacing w:val="-8"/>
        </w:rPr>
        <w:t xml:space="preserve"> </w:t>
      </w:r>
      <w:r>
        <w:t>salir</w:t>
      </w:r>
      <w:r>
        <w:rPr>
          <w:spacing w:val="-8"/>
        </w:rPr>
        <w:t xml:space="preserve"> </w:t>
      </w:r>
      <w:r>
        <w:t>a</w:t>
      </w:r>
      <w:r>
        <w:rPr>
          <w:spacing w:val="-8"/>
        </w:rPr>
        <w:t xml:space="preserve"> </w:t>
      </w:r>
      <w:r>
        <w:t>Tame.</w:t>
      </w:r>
      <w:r>
        <w:rPr>
          <w:spacing w:val="-8"/>
        </w:rPr>
        <w:t xml:space="preserve"> </w:t>
      </w:r>
      <w:r>
        <w:t>Mi</w:t>
      </w:r>
      <w:r>
        <w:rPr>
          <w:spacing w:val="-8"/>
        </w:rPr>
        <w:t xml:space="preserve"> </w:t>
      </w:r>
      <w:r>
        <w:t>papá</w:t>
      </w:r>
      <w:r>
        <w:rPr>
          <w:spacing w:val="-8"/>
        </w:rPr>
        <w:t xml:space="preserve"> </w:t>
      </w:r>
      <w:r>
        <w:t>se</w:t>
      </w:r>
      <w:r>
        <w:rPr>
          <w:spacing w:val="-8"/>
        </w:rPr>
        <w:t xml:space="preserve"> </w:t>
      </w:r>
      <w:r>
        <w:t>reencontró</w:t>
      </w:r>
      <w:r>
        <w:rPr>
          <w:spacing w:val="-8"/>
        </w:rPr>
        <w:t xml:space="preserve"> </w:t>
      </w:r>
      <w:r>
        <w:t>con</w:t>
      </w:r>
      <w:r>
        <w:rPr>
          <w:spacing w:val="-8"/>
        </w:rPr>
        <w:t xml:space="preserve"> </w:t>
      </w:r>
      <w:r>
        <w:t>nosotros</w:t>
      </w:r>
      <w:r>
        <w:rPr>
          <w:spacing w:val="-8"/>
        </w:rPr>
        <w:t xml:space="preserve"> </w:t>
      </w:r>
      <w:r>
        <w:t>y</w:t>
      </w:r>
      <w:r>
        <w:rPr>
          <w:spacing w:val="-8"/>
        </w:rPr>
        <w:t xml:space="preserve"> </w:t>
      </w:r>
      <w:r>
        <w:t>quedó</w:t>
      </w:r>
      <w:r>
        <w:rPr>
          <w:spacing w:val="-8"/>
        </w:rPr>
        <w:t xml:space="preserve"> </w:t>
      </w:r>
      <w:r>
        <w:t>atónito</w:t>
      </w:r>
      <w:r>
        <w:rPr>
          <w:spacing w:val="-10"/>
        </w:rPr>
        <w:t xml:space="preserve"> </w:t>
      </w:r>
      <w:r>
        <w:t>de</w:t>
      </w:r>
      <w:r>
        <w:rPr>
          <w:spacing w:val="-8"/>
        </w:rPr>
        <w:t xml:space="preserve"> </w:t>
      </w:r>
      <w:r>
        <w:t>ver su pueblo destruido y a sus hijas heridas. Muchos murieron desangrados en el camino»</w:t>
      </w:r>
      <w:r w:rsidR="00813331">
        <w:rPr>
          <w:rStyle w:val="Refdenotaalpie"/>
        </w:rPr>
        <w:footnoteReference w:id="172"/>
      </w:r>
      <w:r>
        <w:t>.</w:t>
      </w:r>
    </w:p>
    <w:p w:rsidR="003804AC" w:rsidRDefault="00AF18A5" w:rsidP="00813331">
      <w:r>
        <w:t>Los</w:t>
      </w:r>
      <w:r>
        <w:rPr>
          <w:spacing w:val="-12"/>
        </w:rPr>
        <w:t xml:space="preserve"> </w:t>
      </w:r>
      <w:r>
        <w:t>ataques</w:t>
      </w:r>
      <w:r>
        <w:rPr>
          <w:spacing w:val="-13"/>
        </w:rPr>
        <w:t xml:space="preserve"> </w:t>
      </w:r>
      <w:r>
        <w:t>indiscriminados</w:t>
      </w:r>
      <w:r>
        <w:rPr>
          <w:spacing w:val="-12"/>
        </w:rPr>
        <w:t xml:space="preserve"> </w:t>
      </w:r>
      <w:r>
        <w:t>son</w:t>
      </w:r>
      <w:r>
        <w:rPr>
          <w:spacing w:val="-12"/>
        </w:rPr>
        <w:t xml:space="preserve"> </w:t>
      </w:r>
      <w:r>
        <w:t>aquellas</w:t>
      </w:r>
      <w:r>
        <w:rPr>
          <w:spacing w:val="-12"/>
        </w:rPr>
        <w:t xml:space="preserve"> </w:t>
      </w:r>
      <w:r>
        <w:t>acciones</w:t>
      </w:r>
      <w:r>
        <w:rPr>
          <w:spacing w:val="-13"/>
        </w:rPr>
        <w:t xml:space="preserve"> </w:t>
      </w:r>
      <w:r>
        <w:t>bélicas</w:t>
      </w:r>
      <w:r>
        <w:rPr>
          <w:spacing w:val="-12"/>
        </w:rPr>
        <w:t xml:space="preserve"> </w:t>
      </w:r>
      <w:r>
        <w:t>que</w:t>
      </w:r>
      <w:r>
        <w:rPr>
          <w:spacing w:val="-13"/>
        </w:rPr>
        <w:t xml:space="preserve"> </w:t>
      </w:r>
      <w:r>
        <w:t>no</w:t>
      </w:r>
      <w:r>
        <w:rPr>
          <w:spacing w:val="-12"/>
        </w:rPr>
        <w:t xml:space="preserve"> </w:t>
      </w:r>
      <w:r>
        <w:t>están</w:t>
      </w:r>
      <w:r>
        <w:rPr>
          <w:spacing w:val="-12"/>
        </w:rPr>
        <w:t xml:space="preserve"> </w:t>
      </w:r>
      <w:r>
        <w:t>dirigidas</w:t>
      </w:r>
      <w:r>
        <w:rPr>
          <w:spacing w:val="-12"/>
        </w:rPr>
        <w:t xml:space="preserve"> </w:t>
      </w:r>
      <w:r>
        <w:t>de</w:t>
      </w:r>
      <w:r>
        <w:rPr>
          <w:spacing w:val="-12"/>
        </w:rPr>
        <w:t xml:space="preserve"> </w:t>
      </w:r>
      <w:r>
        <w:t>forma precisa contra otros actores armados o un objetivo militar y que, en consecuencia, ponen en riesgo o afectan a la población civil y a los bienes protegidos. Este tipo de ataques pueden darse porque se emplean armas o métodos de carácter masivo como explosivos; ejecutan ataques sin dirigirlos a objetivos militares concretos o los despliegan de forma indistinta contra objetivos militares, personas civiles y bienes protegidos.</w:t>
      </w:r>
    </w:p>
    <w:p w:rsidR="0011361F" w:rsidRDefault="00AF18A5" w:rsidP="00813331">
      <w:r>
        <w:t>Si bien algunas de estas acciones han sido en general parte de acciones bélicas de enfrentamiento o ataques entre grupos armados enfrentados, en estos casos las acciones se dieron en medio de comunidades, ciudades o lugares donde vive la población civil, que se convirtió de esta manera en parte de las víctimas. Entre esta acciones, destacan, por su notoriedad y su impacto sobre la población y bienes civiles, los combates abiertos y los bombardeos desde aeronaves en inmediaciones de centros poblados o viviendas rurales, la detonación de bombas y otros artefactos explosivos en lugares con presencia de población civil, las tomas armadas de poblaciones en las que se emplearon armas con efectos indiscriminados</w:t>
      </w:r>
      <w:r>
        <w:rPr>
          <w:spacing w:val="-8"/>
        </w:rPr>
        <w:t xml:space="preserve"> </w:t>
      </w:r>
      <w:r>
        <w:t>como</w:t>
      </w:r>
      <w:r>
        <w:rPr>
          <w:spacing w:val="-8"/>
        </w:rPr>
        <w:t xml:space="preserve"> </w:t>
      </w:r>
      <w:r>
        <w:t>bombas</w:t>
      </w:r>
      <w:r>
        <w:rPr>
          <w:spacing w:val="-8"/>
        </w:rPr>
        <w:t xml:space="preserve"> </w:t>
      </w:r>
      <w:r>
        <w:t>y</w:t>
      </w:r>
      <w:r>
        <w:rPr>
          <w:spacing w:val="-8"/>
        </w:rPr>
        <w:t xml:space="preserve"> </w:t>
      </w:r>
      <w:r>
        <w:t>artefactos</w:t>
      </w:r>
      <w:r>
        <w:rPr>
          <w:spacing w:val="-8"/>
        </w:rPr>
        <w:t xml:space="preserve"> </w:t>
      </w:r>
      <w:r>
        <w:t>explosivos</w:t>
      </w:r>
      <w:r>
        <w:rPr>
          <w:spacing w:val="-8"/>
        </w:rPr>
        <w:t xml:space="preserve"> </w:t>
      </w:r>
      <w:r>
        <w:t>improvisados,</w:t>
      </w:r>
      <w:r>
        <w:rPr>
          <w:spacing w:val="-8"/>
        </w:rPr>
        <w:t xml:space="preserve"> </w:t>
      </w:r>
      <w:r>
        <w:t>y</w:t>
      </w:r>
      <w:r>
        <w:rPr>
          <w:spacing w:val="-8"/>
        </w:rPr>
        <w:t xml:space="preserve"> </w:t>
      </w:r>
      <w:r>
        <w:t>también</w:t>
      </w:r>
      <w:r>
        <w:rPr>
          <w:spacing w:val="-8"/>
        </w:rPr>
        <w:t xml:space="preserve"> </w:t>
      </w:r>
      <w:r>
        <w:t>se</w:t>
      </w:r>
      <w:r>
        <w:rPr>
          <w:spacing w:val="-9"/>
        </w:rPr>
        <w:t xml:space="preserve"> </w:t>
      </w:r>
      <w:r>
        <w:t>registra</w:t>
      </w:r>
      <w:r>
        <w:rPr>
          <w:spacing w:val="-9"/>
        </w:rPr>
        <w:t xml:space="preserve"> </w:t>
      </w:r>
      <w:r>
        <w:t xml:space="preserve">la instalación de minas antipersona o el abandono de munición sin detonar. Todos ellas afectaron a civiles y </w:t>
      </w:r>
      <w:r>
        <w:lastRenderedPageBreak/>
        <w:t>a bienes protegidos, y en este último caso en 6 de cada 10 casos las víctimas fueron miembros de la fuerza pública.</w:t>
      </w:r>
    </w:p>
    <w:p w:rsidR="003804AC" w:rsidRDefault="00AF18A5" w:rsidP="00813331">
      <w:bookmarkStart w:id="281" w:name="_bookmark202"/>
      <w:bookmarkEnd w:id="281"/>
      <w:r>
        <w:t>Los grupos armados, principalmente las guerrillas, emplearon armas explosivas en espacios</w:t>
      </w:r>
      <w:r>
        <w:rPr>
          <w:spacing w:val="-13"/>
        </w:rPr>
        <w:t xml:space="preserve"> </w:t>
      </w:r>
      <w:r>
        <w:t>públicos,</w:t>
      </w:r>
      <w:r>
        <w:rPr>
          <w:spacing w:val="-13"/>
        </w:rPr>
        <w:t xml:space="preserve"> </w:t>
      </w:r>
      <w:r>
        <w:t>contra</w:t>
      </w:r>
      <w:r>
        <w:rPr>
          <w:spacing w:val="-14"/>
        </w:rPr>
        <w:t xml:space="preserve"> </w:t>
      </w:r>
      <w:r>
        <w:t>instalaciones</w:t>
      </w:r>
      <w:r>
        <w:rPr>
          <w:spacing w:val="-13"/>
        </w:rPr>
        <w:t xml:space="preserve"> </w:t>
      </w:r>
      <w:r>
        <w:t>militares</w:t>
      </w:r>
      <w:r>
        <w:rPr>
          <w:spacing w:val="-13"/>
        </w:rPr>
        <w:t xml:space="preserve"> </w:t>
      </w:r>
      <w:r>
        <w:t>o</w:t>
      </w:r>
      <w:r>
        <w:rPr>
          <w:spacing w:val="-14"/>
        </w:rPr>
        <w:t xml:space="preserve"> </w:t>
      </w:r>
      <w:r>
        <w:t>policiales</w:t>
      </w:r>
      <w:r>
        <w:rPr>
          <w:spacing w:val="-13"/>
        </w:rPr>
        <w:t xml:space="preserve"> </w:t>
      </w:r>
      <w:r>
        <w:t>en</w:t>
      </w:r>
      <w:r>
        <w:rPr>
          <w:spacing w:val="-14"/>
        </w:rPr>
        <w:t xml:space="preserve"> </w:t>
      </w:r>
      <w:r>
        <w:t>pueblos</w:t>
      </w:r>
      <w:r>
        <w:rPr>
          <w:spacing w:val="-13"/>
        </w:rPr>
        <w:t xml:space="preserve"> </w:t>
      </w:r>
      <w:r>
        <w:t>o</w:t>
      </w:r>
      <w:r>
        <w:rPr>
          <w:spacing w:val="-13"/>
        </w:rPr>
        <w:t xml:space="preserve"> </w:t>
      </w:r>
      <w:r>
        <w:t>ciudades</w:t>
      </w:r>
      <w:r>
        <w:rPr>
          <w:spacing w:val="-13"/>
        </w:rPr>
        <w:t xml:space="preserve"> </w:t>
      </w:r>
      <w:r>
        <w:t>y</w:t>
      </w:r>
      <w:r>
        <w:rPr>
          <w:spacing w:val="-13"/>
        </w:rPr>
        <w:t xml:space="preserve"> </w:t>
      </w:r>
      <w:r>
        <w:t>también contra bienes civiles, como escuelas, hospitales, iglesias, buses, empresas y negocios, ya fuera con una intencionalidad como parte de acciones de intimidación o ataques a sectores específicos o bien como ataques a instalaciones militares o convoyes que tuvieron este carácter</w:t>
      </w:r>
      <w:r>
        <w:rPr>
          <w:spacing w:val="-13"/>
        </w:rPr>
        <w:t xml:space="preserve"> </w:t>
      </w:r>
      <w:r>
        <w:t>indiscriminado.</w:t>
      </w:r>
      <w:r>
        <w:rPr>
          <w:spacing w:val="-13"/>
        </w:rPr>
        <w:t xml:space="preserve"> </w:t>
      </w:r>
      <w:r>
        <w:t>Los</w:t>
      </w:r>
      <w:r>
        <w:rPr>
          <w:spacing w:val="-12"/>
        </w:rPr>
        <w:t xml:space="preserve"> </w:t>
      </w:r>
      <w:r>
        <w:t>ataques</w:t>
      </w:r>
      <w:r>
        <w:rPr>
          <w:spacing w:val="-13"/>
        </w:rPr>
        <w:t xml:space="preserve"> </w:t>
      </w:r>
      <w:r>
        <w:t>incrementan</w:t>
      </w:r>
      <w:r>
        <w:rPr>
          <w:spacing w:val="-13"/>
        </w:rPr>
        <w:t xml:space="preserve"> </w:t>
      </w:r>
      <w:r>
        <w:t>el</w:t>
      </w:r>
      <w:r>
        <w:rPr>
          <w:spacing w:val="-12"/>
        </w:rPr>
        <w:t xml:space="preserve"> </w:t>
      </w:r>
      <w:r>
        <w:t>terror</w:t>
      </w:r>
      <w:r>
        <w:rPr>
          <w:spacing w:val="-12"/>
        </w:rPr>
        <w:t xml:space="preserve"> </w:t>
      </w:r>
      <w:r>
        <w:t>en</w:t>
      </w:r>
      <w:r>
        <w:rPr>
          <w:spacing w:val="-12"/>
        </w:rPr>
        <w:t xml:space="preserve"> </w:t>
      </w:r>
      <w:r>
        <w:t>las</w:t>
      </w:r>
      <w:r>
        <w:rPr>
          <w:spacing w:val="-12"/>
        </w:rPr>
        <w:t xml:space="preserve"> </w:t>
      </w:r>
      <w:r>
        <w:t>regiones,</w:t>
      </w:r>
      <w:r>
        <w:rPr>
          <w:spacing w:val="-13"/>
        </w:rPr>
        <w:t xml:space="preserve"> </w:t>
      </w:r>
      <w:r>
        <w:t>llevan</w:t>
      </w:r>
      <w:r>
        <w:rPr>
          <w:spacing w:val="-13"/>
        </w:rPr>
        <w:t xml:space="preserve"> </w:t>
      </w:r>
      <w:r>
        <w:t>a</w:t>
      </w:r>
      <w:r>
        <w:rPr>
          <w:spacing w:val="-12"/>
        </w:rPr>
        <w:t xml:space="preserve"> </w:t>
      </w:r>
      <w:r>
        <w:t>la</w:t>
      </w:r>
      <w:r>
        <w:rPr>
          <w:spacing w:val="-12"/>
        </w:rPr>
        <w:t xml:space="preserve"> </w:t>
      </w:r>
      <w:r>
        <w:t>quiebra a las víctimas, ocasionan desplazamiento forzado y dejan secuelas físicas y psicológicas en las víctimas sobrevivientes.</w:t>
      </w:r>
    </w:p>
    <w:p w:rsidR="003804AC" w:rsidRDefault="00AF18A5" w:rsidP="00813331">
      <w:r>
        <w:t>Las</w:t>
      </w:r>
      <w:r>
        <w:rPr>
          <w:spacing w:val="-4"/>
        </w:rPr>
        <w:t xml:space="preserve"> </w:t>
      </w:r>
      <w:r>
        <w:t>comunidades</w:t>
      </w:r>
      <w:r>
        <w:rPr>
          <w:spacing w:val="-4"/>
        </w:rPr>
        <w:t xml:space="preserve"> </w:t>
      </w:r>
      <w:r>
        <w:t>se</w:t>
      </w:r>
      <w:r>
        <w:rPr>
          <w:spacing w:val="-6"/>
        </w:rPr>
        <w:t xml:space="preserve"> </w:t>
      </w:r>
      <w:r>
        <w:t>vieron</w:t>
      </w:r>
      <w:r>
        <w:rPr>
          <w:spacing w:val="-5"/>
        </w:rPr>
        <w:t xml:space="preserve"> </w:t>
      </w:r>
      <w:r>
        <w:t>afectadas</w:t>
      </w:r>
      <w:r>
        <w:rPr>
          <w:spacing w:val="-5"/>
        </w:rPr>
        <w:t xml:space="preserve"> </w:t>
      </w:r>
      <w:r>
        <w:t>por</w:t>
      </w:r>
      <w:r>
        <w:rPr>
          <w:spacing w:val="-5"/>
        </w:rPr>
        <w:t xml:space="preserve"> </w:t>
      </w:r>
      <w:r>
        <w:t>los</w:t>
      </w:r>
      <w:r>
        <w:rPr>
          <w:spacing w:val="-6"/>
        </w:rPr>
        <w:t xml:space="preserve"> </w:t>
      </w:r>
      <w:r>
        <w:t>ataques</w:t>
      </w:r>
      <w:r>
        <w:rPr>
          <w:spacing w:val="-4"/>
        </w:rPr>
        <w:t xml:space="preserve"> </w:t>
      </w:r>
      <w:r>
        <w:t>aéreos</w:t>
      </w:r>
      <w:r>
        <w:rPr>
          <w:spacing w:val="-7"/>
        </w:rPr>
        <w:t xml:space="preserve"> </w:t>
      </w:r>
      <w:r>
        <w:t>sobre</w:t>
      </w:r>
      <w:r>
        <w:rPr>
          <w:spacing w:val="-4"/>
        </w:rPr>
        <w:t xml:space="preserve"> </w:t>
      </w:r>
      <w:r>
        <w:t>zonas</w:t>
      </w:r>
      <w:r>
        <w:rPr>
          <w:spacing w:val="-6"/>
        </w:rPr>
        <w:t xml:space="preserve"> </w:t>
      </w:r>
      <w:r>
        <w:t>con</w:t>
      </w:r>
      <w:r>
        <w:rPr>
          <w:spacing w:val="-5"/>
        </w:rPr>
        <w:t xml:space="preserve"> </w:t>
      </w:r>
      <w:r>
        <w:t>presencia</w:t>
      </w:r>
      <w:r>
        <w:rPr>
          <w:spacing w:val="-4"/>
        </w:rPr>
        <w:t xml:space="preserve"> </w:t>
      </w:r>
      <w:r>
        <w:t>de viviendas campesinas o en inmediaciones de centros poblados; en otros casos por ataques con explosivos dentro de las poblaciones con el uso de carros, motos, bicicletas o animales cargados de explosivos ubicados en calles y parques. Con el uso de este tipo de armas, los responsables aseguran un impacto masivo en sus acciones.</w:t>
      </w:r>
      <w:r>
        <w:rPr>
          <w:spacing w:val="-6"/>
        </w:rPr>
        <w:t xml:space="preserve"> </w:t>
      </w:r>
      <w:r>
        <w:t>Estos ataques también pueden configurar actos de perfidia, en los que los autores simulan una falsa condición de civiles para</w:t>
      </w:r>
      <w:r>
        <w:rPr>
          <w:spacing w:val="-3"/>
        </w:rPr>
        <w:t xml:space="preserve"> </w:t>
      </w:r>
      <w:r>
        <w:t>acercar</w:t>
      </w:r>
      <w:r>
        <w:rPr>
          <w:spacing w:val="-4"/>
        </w:rPr>
        <w:t xml:space="preserve"> </w:t>
      </w:r>
      <w:r>
        <w:t>las</w:t>
      </w:r>
      <w:r>
        <w:rPr>
          <w:spacing w:val="-3"/>
        </w:rPr>
        <w:t xml:space="preserve"> </w:t>
      </w:r>
      <w:r>
        <w:t>bombas</w:t>
      </w:r>
      <w:r>
        <w:rPr>
          <w:spacing w:val="-5"/>
        </w:rPr>
        <w:t xml:space="preserve"> </w:t>
      </w:r>
      <w:r>
        <w:t>a</w:t>
      </w:r>
      <w:r>
        <w:rPr>
          <w:spacing w:val="-3"/>
        </w:rPr>
        <w:t xml:space="preserve"> </w:t>
      </w:r>
      <w:r>
        <w:t>sus</w:t>
      </w:r>
      <w:r>
        <w:rPr>
          <w:spacing w:val="-4"/>
        </w:rPr>
        <w:t xml:space="preserve"> </w:t>
      </w:r>
      <w:r>
        <w:t>objetivos.</w:t>
      </w:r>
      <w:r>
        <w:rPr>
          <w:spacing w:val="-4"/>
        </w:rPr>
        <w:t xml:space="preserve"> </w:t>
      </w:r>
      <w:r>
        <w:t>Este</w:t>
      </w:r>
      <w:r>
        <w:rPr>
          <w:spacing w:val="-3"/>
        </w:rPr>
        <w:t xml:space="preserve"> </w:t>
      </w:r>
      <w:r>
        <w:t>tipo</w:t>
      </w:r>
      <w:r>
        <w:rPr>
          <w:spacing w:val="-5"/>
        </w:rPr>
        <w:t xml:space="preserve"> </w:t>
      </w:r>
      <w:r>
        <w:t>de</w:t>
      </w:r>
      <w:r>
        <w:rPr>
          <w:spacing w:val="-3"/>
        </w:rPr>
        <w:t xml:space="preserve"> </w:t>
      </w:r>
      <w:r>
        <w:t>ataques</w:t>
      </w:r>
      <w:r>
        <w:rPr>
          <w:spacing w:val="-3"/>
        </w:rPr>
        <w:t xml:space="preserve"> </w:t>
      </w:r>
      <w:r>
        <w:t>han</w:t>
      </w:r>
      <w:r>
        <w:rPr>
          <w:spacing w:val="-4"/>
        </w:rPr>
        <w:t xml:space="preserve"> </w:t>
      </w:r>
      <w:r>
        <w:t>afectado</w:t>
      </w:r>
      <w:r>
        <w:rPr>
          <w:spacing w:val="-5"/>
        </w:rPr>
        <w:t xml:space="preserve"> </w:t>
      </w:r>
      <w:r>
        <w:t>durante</w:t>
      </w:r>
      <w:r>
        <w:rPr>
          <w:spacing w:val="-3"/>
        </w:rPr>
        <w:t xml:space="preserve"> </w:t>
      </w:r>
      <w:r>
        <w:t>décadas</w:t>
      </w:r>
      <w:r>
        <w:rPr>
          <w:spacing w:val="-3"/>
        </w:rPr>
        <w:t xml:space="preserve"> </w:t>
      </w:r>
      <w:r>
        <w:t>a pueblos en zonas de conflicto.</w:t>
      </w:r>
    </w:p>
    <w:p w:rsidR="0011361F" w:rsidRDefault="00AF18A5" w:rsidP="00813331">
      <w:r>
        <w:t>Especialmente, las guerrillas emplearon artefactos explosivos para atacar objetivos militares, pero también para atentar directamente contra personas y bienes civiles. La base de</w:t>
      </w:r>
      <w:r>
        <w:rPr>
          <w:spacing w:val="-8"/>
        </w:rPr>
        <w:t xml:space="preserve"> </w:t>
      </w:r>
      <w:r>
        <w:t>datos</w:t>
      </w:r>
      <w:r>
        <w:rPr>
          <w:spacing w:val="-1"/>
        </w:rPr>
        <w:t xml:space="preserve"> </w:t>
      </w:r>
      <w:r>
        <w:t>de</w:t>
      </w:r>
      <w:r>
        <w:rPr>
          <w:spacing w:val="-2"/>
        </w:rPr>
        <w:t xml:space="preserve"> </w:t>
      </w:r>
      <w:r>
        <w:t>«atentados</w:t>
      </w:r>
      <w:r>
        <w:rPr>
          <w:spacing w:val="-1"/>
        </w:rPr>
        <w:t xml:space="preserve"> </w:t>
      </w:r>
      <w:r>
        <w:t>terroristas»</w:t>
      </w:r>
      <w:r>
        <w:rPr>
          <w:spacing w:val="-15"/>
        </w:rPr>
        <w:t xml:space="preserve"> </w:t>
      </w:r>
      <w:r>
        <w:t>del</w:t>
      </w:r>
      <w:r>
        <w:rPr>
          <w:spacing w:val="-1"/>
        </w:rPr>
        <w:t xml:space="preserve"> </w:t>
      </w:r>
      <w:r>
        <w:t>CNMH</w:t>
      </w:r>
      <w:r>
        <w:rPr>
          <w:spacing w:val="-2"/>
        </w:rPr>
        <w:t xml:space="preserve"> </w:t>
      </w:r>
      <w:r>
        <w:t>distingue</w:t>
      </w:r>
      <w:r>
        <w:rPr>
          <w:spacing w:val="-1"/>
        </w:rPr>
        <w:t xml:space="preserve"> </w:t>
      </w:r>
      <w:r>
        <w:t>estos</w:t>
      </w:r>
      <w:r>
        <w:rPr>
          <w:spacing w:val="-1"/>
        </w:rPr>
        <w:t xml:space="preserve"> </w:t>
      </w:r>
      <w:r>
        <w:t>ataques</w:t>
      </w:r>
      <w:r>
        <w:rPr>
          <w:spacing w:val="-2"/>
        </w:rPr>
        <w:t xml:space="preserve"> </w:t>
      </w:r>
      <w:r>
        <w:t>indiscriminados</w:t>
      </w:r>
      <w:r>
        <w:rPr>
          <w:spacing w:val="-1"/>
        </w:rPr>
        <w:t xml:space="preserve"> </w:t>
      </w:r>
      <w:r>
        <w:t xml:space="preserve">entre los dirigidos contra objetivos militares y los dirigidos contra personas y </w:t>
      </w:r>
      <w:r>
        <w:lastRenderedPageBreak/>
        <w:t>bienes civiles</w:t>
      </w:r>
      <w:r w:rsidR="00813331">
        <w:rPr>
          <w:rStyle w:val="Refdenotaalpie"/>
        </w:rPr>
        <w:footnoteReference w:id="173"/>
      </w:r>
      <w:r>
        <w:t>, a los</w:t>
      </w:r>
      <w:r>
        <w:rPr>
          <w:spacing w:val="-7"/>
        </w:rPr>
        <w:t xml:space="preserve"> </w:t>
      </w:r>
      <w:r>
        <w:t>que</w:t>
      </w:r>
      <w:r>
        <w:rPr>
          <w:spacing w:val="-7"/>
        </w:rPr>
        <w:t xml:space="preserve"> </w:t>
      </w:r>
      <w:r>
        <w:t>se</w:t>
      </w:r>
      <w:r>
        <w:rPr>
          <w:spacing w:val="-7"/>
        </w:rPr>
        <w:t xml:space="preserve"> </w:t>
      </w:r>
      <w:r>
        <w:t>suman</w:t>
      </w:r>
      <w:r>
        <w:rPr>
          <w:spacing w:val="-7"/>
        </w:rPr>
        <w:t xml:space="preserve"> </w:t>
      </w:r>
      <w:r>
        <w:t>aquellos</w:t>
      </w:r>
      <w:r>
        <w:rPr>
          <w:spacing w:val="-7"/>
        </w:rPr>
        <w:t xml:space="preserve"> </w:t>
      </w:r>
      <w:r>
        <w:t>casos</w:t>
      </w:r>
      <w:r>
        <w:rPr>
          <w:spacing w:val="-7"/>
        </w:rPr>
        <w:t xml:space="preserve"> </w:t>
      </w:r>
      <w:r>
        <w:t>en</w:t>
      </w:r>
      <w:r>
        <w:rPr>
          <w:spacing w:val="-7"/>
        </w:rPr>
        <w:t xml:space="preserve"> </w:t>
      </w:r>
      <w:r>
        <w:t>los</w:t>
      </w:r>
      <w:r>
        <w:rPr>
          <w:spacing w:val="-7"/>
        </w:rPr>
        <w:t xml:space="preserve"> </w:t>
      </w:r>
      <w:r>
        <w:t>que</w:t>
      </w:r>
      <w:r>
        <w:rPr>
          <w:spacing w:val="-7"/>
        </w:rPr>
        <w:t xml:space="preserve"> </w:t>
      </w:r>
      <w:r>
        <w:t>no</w:t>
      </w:r>
      <w:r>
        <w:rPr>
          <w:spacing w:val="-7"/>
        </w:rPr>
        <w:t xml:space="preserve"> </w:t>
      </w:r>
      <w:r>
        <w:t>se</w:t>
      </w:r>
      <w:r>
        <w:rPr>
          <w:spacing w:val="-7"/>
        </w:rPr>
        <w:t xml:space="preserve"> </w:t>
      </w:r>
      <w:r>
        <w:t>pudo</w:t>
      </w:r>
      <w:r>
        <w:rPr>
          <w:spacing w:val="-7"/>
        </w:rPr>
        <w:t xml:space="preserve"> </w:t>
      </w:r>
      <w:r>
        <w:t>establecer</w:t>
      </w:r>
      <w:r>
        <w:rPr>
          <w:spacing w:val="-7"/>
        </w:rPr>
        <w:t xml:space="preserve"> </w:t>
      </w:r>
      <w:r>
        <w:t>el</w:t>
      </w:r>
      <w:r>
        <w:rPr>
          <w:spacing w:val="-7"/>
        </w:rPr>
        <w:t xml:space="preserve"> </w:t>
      </w:r>
      <w:r>
        <w:t>presunto</w:t>
      </w:r>
      <w:r>
        <w:rPr>
          <w:spacing w:val="-7"/>
        </w:rPr>
        <w:t xml:space="preserve"> </w:t>
      </w:r>
      <w:r>
        <w:t>objetivo.</w:t>
      </w:r>
      <w:r>
        <w:rPr>
          <w:spacing w:val="-8"/>
        </w:rPr>
        <w:t xml:space="preserve"> </w:t>
      </w:r>
      <w:r>
        <w:t>De</w:t>
      </w:r>
      <w:r>
        <w:rPr>
          <w:spacing w:val="-7"/>
        </w:rPr>
        <w:t xml:space="preserve"> </w:t>
      </w:r>
      <w:r>
        <w:t>las 676 víctimas civiles registradas en esa base, 77</w:t>
      </w:r>
      <w:r>
        <w:rPr>
          <w:spacing w:val="-4"/>
        </w:rPr>
        <w:t xml:space="preserve"> </w:t>
      </w:r>
      <w:r>
        <w:t>% se dio en ataques a personas o bienes civiles, 21</w:t>
      </w:r>
      <w:r>
        <w:rPr>
          <w:spacing w:val="-3"/>
        </w:rPr>
        <w:t xml:space="preserve"> </w:t>
      </w:r>
      <w:r>
        <w:t>% en ataques a objetivos militares y el 2</w:t>
      </w:r>
      <w:r>
        <w:rPr>
          <w:spacing w:val="-3"/>
        </w:rPr>
        <w:t xml:space="preserve"> </w:t>
      </w:r>
      <w:r>
        <w:t xml:space="preserve">% restante contra objetivos no </w:t>
      </w:r>
      <w:r>
        <w:rPr>
          <w:spacing w:val="-2"/>
        </w:rPr>
        <w:t>establecidos.</w:t>
      </w:r>
    </w:p>
    <w:p w:rsidR="0011361F" w:rsidRDefault="00AF18A5" w:rsidP="00813331">
      <w:bookmarkStart w:id="282" w:name="_bookmark203"/>
      <w:bookmarkEnd w:id="282"/>
      <w:r>
        <w:t>Según estos datos, los momentos más álgidos de estas acciones se presentaron a finales de los años ochenta y los primeros años del siglo XXI, durante los periodos de expansión y consolidación de los grupos armados ilegales y la fuerza pública. Es durante este periodo cuando</w:t>
      </w:r>
      <w:r>
        <w:rPr>
          <w:spacing w:val="-10"/>
        </w:rPr>
        <w:t xml:space="preserve"> </w:t>
      </w:r>
      <w:r>
        <w:t>se</w:t>
      </w:r>
      <w:r>
        <w:rPr>
          <w:spacing w:val="-10"/>
        </w:rPr>
        <w:t xml:space="preserve"> </w:t>
      </w:r>
      <w:r>
        <w:t>llevan</w:t>
      </w:r>
      <w:r>
        <w:rPr>
          <w:spacing w:val="-10"/>
        </w:rPr>
        <w:t xml:space="preserve"> </w:t>
      </w:r>
      <w:r>
        <w:t>a</w:t>
      </w:r>
      <w:r>
        <w:rPr>
          <w:spacing w:val="-9"/>
        </w:rPr>
        <w:t xml:space="preserve"> </w:t>
      </w:r>
      <w:r>
        <w:t>cabo</w:t>
      </w:r>
      <w:r>
        <w:rPr>
          <w:spacing w:val="-11"/>
        </w:rPr>
        <w:t xml:space="preserve"> </w:t>
      </w:r>
      <w:r>
        <w:t>las</w:t>
      </w:r>
      <w:r>
        <w:rPr>
          <w:spacing w:val="-9"/>
        </w:rPr>
        <w:t xml:space="preserve"> </w:t>
      </w:r>
      <w:r>
        <w:t>tomas</w:t>
      </w:r>
      <w:r>
        <w:rPr>
          <w:spacing w:val="-9"/>
        </w:rPr>
        <w:t xml:space="preserve"> </w:t>
      </w:r>
      <w:r>
        <w:t>de</w:t>
      </w:r>
      <w:r>
        <w:rPr>
          <w:spacing w:val="-11"/>
        </w:rPr>
        <w:t xml:space="preserve"> </w:t>
      </w:r>
      <w:r>
        <w:t>poblaciones</w:t>
      </w:r>
      <w:r>
        <w:rPr>
          <w:spacing w:val="-11"/>
        </w:rPr>
        <w:t xml:space="preserve"> </w:t>
      </w:r>
      <w:r>
        <w:t>y</w:t>
      </w:r>
      <w:r>
        <w:rPr>
          <w:spacing w:val="-10"/>
        </w:rPr>
        <w:t xml:space="preserve"> </w:t>
      </w:r>
      <w:r>
        <w:t>bases</w:t>
      </w:r>
      <w:r>
        <w:rPr>
          <w:spacing w:val="-9"/>
        </w:rPr>
        <w:t xml:space="preserve"> </w:t>
      </w:r>
      <w:r>
        <w:t>militares</w:t>
      </w:r>
      <w:r>
        <w:rPr>
          <w:spacing w:val="-9"/>
        </w:rPr>
        <w:t xml:space="preserve"> </w:t>
      </w:r>
      <w:r>
        <w:t>por</w:t>
      </w:r>
      <w:r>
        <w:rPr>
          <w:spacing w:val="-9"/>
        </w:rPr>
        <w:t xml:space="preserve"> </w:t>
      </w:r>
      <w:r>
        <w:t>parte</w:t>
      </w:r>
      <w:r>
        <w:rPr>
          <w:spacing w:val="-9"/>
        </w:rPr>
        <w:t xml:space="preserve"> </w:t>
      </w:r>
      <w:r>
        <w:t>de</w:t>
      </w:r>
      <w:r>
        <w:rPr>
          <w:spacing w:val="-9"/>
        </w:rPr>
        <w:t xml:space="preserve"> </w:t>
      </w:r>
      <w:r>
        <w:t>las</w:t>
      </w:r>
      <w:r>
        <w:rPr>
          <w:spacing w:val="-9"/>
        </w:rPr>
        <w:t xml:space="preserve"> </w:t>
      </w:r>
      <w:r>
        <w:t>guerrillas. Así mismo la fuerza pública</w:t>
      </w:r>
      <w:r>
        <w:rPr>
          <w:spacing w:val="-1"/>
        </w:rPr>
        <w:t xml:space="preserve"> </w:t>
      </w:r>
      <w:r>
        <w:t>aumenta</w:t>
      </w:r>
      <w:r>
        <w:rPr>
          <w:spacing w:val="-1"/>
        </w:rPr>
        <w:t xml:space="preserve"> </w:t>
      </w:r>
      <w:r>
        <w:t>los ametrallamientos y</w:t>
      </w:r>
      <w:r>
        <w:rPr>
          <w:spacing w:val="-1"/>
        </w:rPr>
        <w:t xml:space="preserve"> </w:t>
      </w:r>
      <w:r>
        <w:t>bombardeos</w:t>
      </w:r>
      <w:r>
        <w:rPr>
          <w:spacing w:val="-1"/>
        </w:rPr>
        <w:t xml:space="preserve"> </w:t>
      </w:r>
      <w:r>
        <w:t>en ocasiones para retomar las poblaciones tomadas por las guerrillas.</w:t>
      </w:r>
    </w:p>
    <w:p w:rsidR="003804AC" w:rsidRDefault="00AF18A5" w:rsidP="00813331">
      <w:r>
        <w:t xml:space="preserve">A pesar del evidente subregistro, se puede observar en el número de civiles fallecidos y heridos relacionados con el número de combatientes muertos. Entre 1985 y 2021, en los ataques contra objetivos militares registrados, murieron 143 civiles y 59 combatientes; es decir, aproximadamente tres de cada cuatro víctimas fueron civiles, lo que evidencia las consecuencias de estas acciones indiscriminadas, en las que quienes son responsables </w:t>
      </w:r>
      <w:r>
        <w:rPr>
          <w:spacing w:val="-2"/>
        </w:rPr>
        <w:t>disminuyen</w:t>
      </w:r>
      <w:r>
        <w:rPr>
          <w:spacing w:val="-7"/>
        </w:rPr>
        <w:t xml:space="preserve"> </w:t>
      </w:r>
      <w:r>
        <w:rPr>
          <w:spacing w:val="-2"/>
        </w:rPr>
        <w:t>su</w:t>
      </w:r>
      <w:r>
        <w:rPr>
          <w:spacing w:val="-6"/>
        </w:rPr>
        <w:t xml:space="preserve"> </w:t>
      </w:r>
      <w:r>
        <w:rPr>
          <w:spacing w:val="-2"/>
        </w:rPr>
        <w:t>propia</w:t>
      </w:r>
      <w:r>
        <w:rPr>
          <w:spacing w:val="-7"/>
        </w:rPr>
        <w:t xml:space="preserve"> </w:t>
      </w:r>
      <w:r>
        <w:rPr>
          <w:spacing w:val="-2"/>
        </w:rPr>
        <w:t>vulnerabilidad</w:t>
      </w:r>
      <w:r>
        <w:rPr>
          <w:spacing w:val="-8"/>
        </w:rPr>
        <w:t xml:space="preserve"> </w:t>
      </w:r>
      <w:r>
        <w:rPr>
          <w:spacing w:val="-2"/>
        </w:rPr>
        <w:t>a</w:t>
      </w:r>
      <w:r>
        <w:rPr>
          <w:spacing w:val="-6"/>
        </w:rPr>
        <w:t xml:space="preserve"> </w:t>
      </w:r>
      <w:r>
        <w:rPr>
          <w:spacing w:val="-2"/>
        </w:rPr>
        <w:t>costa</w:t>
      </w:r>
      <w:r>
        <w:rPr>
          <w:spacing w:val="-6"/>
        </w:rPr>
        <w:t xml:space="preserve"> </w:t>
      </w:r>
      <w:r>
        <w:rPr>
          <w:spacing w:val="-2"/>
        </w:rPr>
        <w:t>de</w:t>
      </w:r>
      <w:r>
        <w:rPr>
          <w:spacing w:val="-6"/>
        </w:rPr>
        <w:t xml:space="preserve"> </w:t>
      </w:r>
      <w:r>
        <w:rPr>
          <w:spacing w:val="-2"/>
        </w:rPr>
        <w:t>aumentar</w:t>
      </w:r>
      <w:r>
        <w:rPr>
          <w:spacing w:val="-5"/>
        </w:rPr>
        <w:t xml:space="preserve"> </w:t>
      </w:r>
      <w:r>
        <w:rPr>
          <w:spacing w:val="-2"/>
        </w:rPr>
        <w:t>de</w:t>
      </w:r>
      <w:r>
        <w:rPr>
          <w:spacing w:val="-7"/>
        </w:rPr>
        <w:t xml:space="preserve"> </w:t>
      </w:r>
      <w:r>
        <w:rPr>
          <w:spacing w:val="-2"/>
        </w:rPr>
        <w:t>forma</w:t>
      </w:r>
      <w:r>
        <w:rPr>
          <w:spacing w:val="-7"/>
        </w:rPr>
        <w:t xml:space="preserve"> </w:t>
      </w:r>
      <w:r>
        <w:rPr>
          <w:spacing w:val="-2"/>
        </w:rPr>
        <w:t>extrema</w:t>
      </w:r>
      <w:r>
        <w:rPr>
          <w:spacing w:val="-7"/>
        </w:rPr>
        <w:t xml:space="preserve"> </w:t>
      </w:r>
      <w:r>
        <w:rPr>
          <w:spacing w:val="-2"/>
        </w:rPr>
        <w:t>la</w:t>
      </w:r>
      <w:r>
        <w:rPr>
          <w:spacing w:val="-6"/>
        </w:rPr>
        <w:t xml:space="preserve"> </w:t>
      </w:r>
      <w:r>
        <w:rPr>
          <w:spacing w:val="-2"/>
        </w:rPr>
        <w:t>de</w:t>
      </w:r>
      <w:r>
        <w:rPr>
          <w:spacing w:val="-7"/>
        </w:rPr>
        <w:t xml:space="preserve"> </w:t>
      </w:r>
      <w:r>
        <w:rPr>
          <w:spacing w:val="-2"/>
        </w:rPr>
        <w:t>la</w:t>
      </w:r>
      <w:r>
        <w:rPr>
          <w:spacing w:val="-7"/>
        </w:rPr>
        <w:t xml:space="preserve"> </w:t>
      </w:r>
      <w:r>
        <w:rPr>
          <w:spacing w:val="-2"/>
        </w:rPr>
        <w:t xml:space="preserve">población. </w:t>
      </w:r>
      <w:r>
        <w:t>La</w:t>
      </w:r>
      <w:r>
        <w:rPr>
          <w:spacing w:val="-15"/>
        </w:rPr>
        <w:t xml:space="preserve"> </w:t>
      </w:r>
      <w:r>
        <w:t>responsabilidad</w:t>
      </w:r>
      <w:r>
        <w:rPr>
          <w:spacing w:val="-15"/>
        </w:rPr>
        <w:t xml:space="preserve"> </w:t>
      </w:r>
      <w:r>
        <w:t>mayoritaria</w:t>
      </w:r>
      <w:r>
        <w:rPr>
          <w:spacing w:val="-15"/>
        </w:rPr>
        <w:t xml:space="preserve"> </w:t>
      </w:r>
      <w:r>
        <w:t>en</w:t>
      </w:r>
      <w:r>
        <w:rPr>
          <w:spacing w:val="-15"/>
        </w:rPr>
        <w:t xml:space="preserve"> </w:t>
      </w:r>
      <w:r>
        <w:t>estos</w:t>
      </w:r>
      <w:r>
        <w:rPr>
          <w:spacing w:val="-15"/>
        </w:rPr>
        <w:t xml:space="preserve"> </w:t>
      </w:r>
      <w:r>
        <w:t>actos</w:t>
      </w:r>
      <w:r>
        <w:rPr>
          <w:spacing w:val="-15"/>
        </w:rPr>
        <w:t xml:space="preserve"> </w:t>
      </w:r>
      <w:r>
        <w:t>se</w:t>
      </w:r>
      <w:r>
        <w:rPr>
          <w:spacing w:val="-15"/>
        </w:rPr>
        <w:t xml:space="preserve"> </w:t>
      </w:r>
      <w:r>
        <w:t>atribuye</w:t>
      </w:r>
      <w:r>
        <w:rPr>
          <w:spacing w:val="-15"/>
        </w:rPr>
        <w:t xml:space="preserve"> </w:t>
      </w:r>
      <w:r>
        <w:t>a</w:t>
      </w:r>
      <w:r>
        <w:rPr>
          <w:spacing w:val="-15"/>
        </w:rPr>
        <w:t xml:space="preserve"> </w:t>
      </w:r>
      <w:r>
        <w:t>las</w:t>
      </w:r>
      <w:r>
        <w:rPr>
          <w:spacing w:val="-15"/>
        </w:rPr>
        <w:t xml:space="preserve"> </w:t>
      </w:r>
      <w:r>
        <w:t>FARC-EP.</w:t>
      </w:r>
      <w:r>
        <w:rPr>
          <w:spacing w:val="-15"/>
        </w:rPr>
        <w:t xml:space="preserve"> </w:t>
      </w:r>
      <w:r>
        <w:t>El</w:t>
      </w:r>
      <w:r>
        <w:rPr>
          <w:spacing w:val="-15"/>
        </w:rPr>
        <w:t xml:space="preserve"> </w:t>
      </w:r>
      <w:r>
        <w:t>uso</w:t>
      </w:r>
      <w:r>
        <w:rPr>
          <w:spacing w:val="-15"/>
        </w:rPr>
        <w:t xml:space="preserve"> </w:t>
      </w:r>
      <w:r>
        <w:t>de</w:t>
      </w:r>
      <w:r>
        <w:rPr>
          <w:spacing w:val="-15"/>
        </w:rPr>
        <w:t xml:space="preserve"> </w:t>
      </w:r>
      <w:r>
        <w:t>artefactos explosivos</w:t>
      </w:r>
      <w:r>
        <w:rPr>
          <w:spacing w:val="-12"/>
        </w:rPr>
        <w:t xml:space="preserve"> </w:t>
      </w:r>
      <w:r>
        <w:t>contra</w:t>
      </w:r>
      <w:r>
        <w:rPr>
          <w:spacing w:val="-11"/>
        </w:rPr>
        <w:t xml:space="preserve"> </w:t>
      </w:r>
      <w:r>
        <w:t>objetivos</w:t>
      </w:r>
      <w:r>
        <w:rPr>
          <w:spacing w:val="-11"/>
        </w:rPr>
        <w:t xml:space="preserve"> </w:t>
      </w:r>
      <w:r>
        <w:t>militares</w:t>
      </w:r>
      <w:r>
        <w:rPr>
          <w:spacing w:val="-12"/>
        </w:rPr>
        <w:t xml:space="preserve"> </w:t>
      </w:r>
      <w:r>
        <w:t>fue</w:t>
      </w:r>
      <w:r>
        <w:rPr>
          <w:spacing w:val="-11"/>
        </w:rPr>
        <w:t xml:space="preserve"> </w:t>
      </w:r>
      <w:r>
        <w:t>un</w:t>
      </w:r>
      <w:r>
        <w:rPr>
          <w:spacing w:val="-11"/>
        </w:rPr>
        <w:t xml:space="preserve"> </w:t>
      </w:r>
      <w:r>
        <w:t>medio</w:t>
      </w:r>
      <w:r>
        <w:rPr>
          <w:spacing w:val="-11"/>
        </w:rPr>
        <w:t xml:space="preserve"> </w:t>
      </w:r>
      <w:r>
        <w:t>de</w:t>
      </w:r>
      <w:r>
        <w:rPr>
          <w:spacing w:val="-11"/>
        </w:rPr>
        <w:t xml:space="preserve"> </w:t>
      </w:r>
      <w:r>
        <w:t>guerra</w:t>
      </w:r>
      <w:r>
        <w:rPr>
          <w:spacing w:val="-11"/>
        </w:rPr>
        <w:t xml:space="preserve"> </w:t>
      </w:r>
      <w:r>
        <w:t>empleado</w:t>
      </w:r>
      <w:r>
        <w:rPr>
          <w:spacing w:val="-11"/>
        </w:rPr>
        <w:t xml:space="preserve"> </w:t>
      </w:r>
      <w:r>
        <w:t>por</w:t>
      </w:r>
      <w:r>
        <w:rPr>
          <w:spacing w:val="-12"/>
        </w:rPr>
        <w:t xml:space="preserve"> </w:t>
      </w:r>
      <w:r>
        <w:t>las</w:t>
      </w:r>
      <w:r>
        <w:rPr>
          <w:spacing w:val="-11"/>
        </w:rPr>
        <w:t xml:space="preserve"> </w:t>
      </w:r>
      <w:r>
        <w:t>guerrillas,</w:t>
      </w:r>
      <w:r>
        <w:rPr>
          <w:spacing w:val="-11"/>
        </w:rPr>
        <w:t xml:space="preserve"> </w:t>
      </w:r>
      <w:r>
        <w:t xml:space="preserve">con responsabilidad del 93 % de las </w:t>
      </w:r>
      <w:r>
        <w:lastRenderedPageBreak/>
        <w:t>víctimas civiles registradas por el CNMH</w:t>
      </w:r>
      <w:r w:rsidR="00813331">
        <w:rPr>
          <w:rStyle w:val="Refdenotaalpie"/>
        </w:rPr>
        <w:footnoteReference w:id="174"/>
      </w:r>
      <w:r>
        <w:t>.</w:t>
      </w:r>
    </w:p>
    <w:p w:rsidR="003804AC" w:rsidRDefault="00AF18A5" w:rsidP="00813331">
      <w:r>
        <w:t>En</w:t>
      </w:r>
      <w:r>
        <w:rPr>
          <w:spacing w:val="-2"/>
        </w:rPr>
        <w:t xml:space="preserve"> </w:t>
      </w:r>
      <w:r>
        <w:t>el</w:t>
      </w:r>
      <w:r>
        <w:rPr>
          <w:spacing w:val="-2"/>
        </w:rPr>
        <w:t xml:space="preserve"> </w:t>
      </w:r>
      <w:r>
        <w:t>caso</w:t>
      </w:r>
      <w:r>
        <w:rPr>
          <w:spacing w:val="-2"/>
        </w:rPr>
        <w:t xml:space="preserve"> </w:t>
      </w:r>
      <w:r>
        <w:t>de</w:t>
      </w:r>
      <w:r>
        <w:rPr>
          <w:spacing w:val="-2"/>
        </w:rPr>
        <w:t xml:space="preserve"> </w:t>
      </w:r>
      <w:r>
        <w:t>la</w:t>
      </w:r>
      <w:r>
        <w:rPr>
          <w:spacing w:val="-2"/>
        </w:rPr>
        <w:t xml:space="preserve"> </w:t>
      </w:r>
      <w:r>
        <w:t>fuerza</w:t>
      </w:r>
      <w:r>
        <w:rPr>
          <w:spacing w:val="-2"/>
        </w:rPr>
        <w:t xml:space="preserve"> </w:t>
      </w:r>
      <w:r>
        <w:t>pública,</w:t>
      </w:r>
      <w:r>
        <w:rPr>
          <w:spacing w:val="-3"/>
        </w:rPr>
        <w:t xml:space="preserve"> </w:t>
      </w:r>
      <w:r>
        <w:t>se</w:t>
      </w:r>
      <w:r>
        <w:rPr>
          <w:spacing w:val="-2"/>
        </w:rPr>
        <w:t xml:space="preserve"> </w:t>
      </w:r>
      <w:r>
        <w:t>registran</w:t>
      </w:r>
      <w:r>
        <w:rPr>
          <w:spacing w:val="-2"/>
        </w:rPr>
        <w:t xml:space="preserve"> </w:t>
      </w:r>
      <w:r>
        <w:t>bombardeos</w:t>
      </w:r>
      <w:r>
        <w:rPr>
          <w:spacing w:val="-2"/>
        </w:rPr>
        <w:t xml:space="preserve"> </w:t>
      </w:r>
      <w:r>
        <w:t>y</w:t>
      </w:r>
      <w:r>
        <w:rPr>
          <w:spacing w:val="-2"/>
        </w:rPr>
        <w:t xml:space="preserve"> </w:t>
      </w:r>
      <w:r>
        <w:t>ametrallamientos</w:t>
      </w:r>
      <w:r>
        <w:rPr>
          <w:spacing w:val="-2"/>
        </w:rPr>
        <w:t xml:space="preserve"> </w:t>
      </w:r>
      <w:r>
        <w:t>desde</w:t>
      </w:r>
      <w:r>
        <w:rPr>
          <w:spacing w:val="-2"/>
        </w:rPr>
        <w:t xml:space="preserve"> </w:t>
      </w:r>
      <w:r>
        <w:t>el</w:t>
      </w:r>
      <w:r>
        <w:rPr>
          <w:spacing w:val="-2"/>
        </w:rPr>
        <w:t xml:space="preserve"> </w:t>
      </w:r>
      <w:r>
        <w:t>aire que también han tenido efectos indiscriminados sobre la población civil y sus bienes. También</w:t>
      </w:r>
      <w:r>
        <w:rPr>
          <w:spacing w:val="-13"/>
        </w:rPr>
        <w:t xml:space="preserve"> </w:t>
      </w:r>
      <w:r>
        <w:t>se</w:t>
      </w:r>
      <w:r>
        <w:rPr>
          <w:spacing w:val="-14"/>
        </w:rPr>
        <w:t xml:space="preserve"> </w:t>
      </w:r>
      <w:r>
        <w:t>registran</w:t>
      </w:r>
      <w:r>
        <w:rPr>
          <w:spacing w:val="-13"/>
        </w:rPr>
        <w:t xml:space="preserve"> </w:t>
      </w:r>
      <w:r>
        <w:t>bombardeos</w:t>
      </w:r>
      <w:r>
        <w:rPr>
          <w:spacing w:val="-13"/>
        </w:rPr>
        <w:t xml:space="preserve"> </w:t>
      </w:r>
      <w:r>
        <w:t>directos</w:t>
      </w:r>
      <w:r>
        <w:rPr>
          <w:spacing w:val="-13"/>
        </w:rPr>
        <w:t xml:space="preserve"> </w:t>
      </w:r>
      <w:r>
        <w:t>de</w:t>
      </w:r>
      <w:r>
        <w:rPr>
          <w:spacing w:val="-13"/>
        </w:rPr>
        <w:t xml:space="preserve"> </w:t>
      </w:r>
      <w:r>
        <w:t>la</w:t>
      </w:r>
      <w:r>
        <w:rPr>
          <w:spacing w:val="-14"/>
        </w:rPr>
        <w:t xml:space="preserve"> </w:t>
      </w:r>
      <w:r>
        <w:t>Fuerza</w:t>
      </w:r>
      <w:r>
        <w:rPr>
          <w:spacing w:val="-12"/>
        </w:rPr>
        <w:t xml:space="preserve"> </w:t>
      </w:r>
      <w:r>
        <w:t>Aérea</w:t>
      </w:r>
      <w:r>
        <w:rPr>
          <w:spacing w:val="-12"/>
        </w:rPr>
        <w:t xml:space="preserve"> </w:t>
      </w:r>
      <w:r>
        <w:t>contra</w:t>
      </w:r>
      <w:r>
        <w:rPr>
          <w:spacing w:val="-13"/>
        </w:rPr>
        <w:t xml:space="preserve"> </w:t>
      </w:r>
      <w:r>
        <w:t>la</w:t>
      </w:r>
      <w:r>
        <w:rPr>
          <w:spacing w:val="-13"/>
        </w:rPr>
        <w:t xml:space="preserve"> </w:t>
      </w:r>
      <w:r>
        <w:t>población</w:t>
      </w:r>
      <w:r>
        <w:rPr>
          <w:spacing w:val="-13"/>
        </w:rPr>
        <w:t xml:space="preserve"> </w:t>
      </w:r>
      <w:r>
        <w:t>civil,</w:t>
      </w:r>
      <w:r>
        <w:rPr>
          <w:spacing w:val="-13"/>
        </w:rPr>
        <w:t xml:space="preserve"> </w:t>
      </w:r>
      <w:r>
        <w:t xml:space="preserve">como en el caso de Santo Domingo, en Tame, Arauca, que el 13 de diciembre de 1998 causó la muerte de 17 civiles, entre ellos seis niños, y 21 heridos, y la destrucción de las viviendas. </w:t>
      </w:r>
      <w:r>
        <w:rPr>
          <w:spacing w:val="-2"/>
        </w:rPr>
        <w:t>Otros</w:t>
      </w:r>
      <w:r>
        <w:rPr>
          <w:spacing w:val="-5"/>
        </w:rPr>
        <w:t xml:space="preserve"> </w:t>
      </w:r>
      <w:r>
        <w:rPr>
          <w:spacing w:val="-2"/>
        </w:rPr>
        <w:t>bombardeos</w:t>
      </w:r>
      <w:r>
        <w:rPr>
          <w:spacing w:val="-6"/>
        </w:rPr>
        <w:t xml:space="preserve"> </w:t>
      </w:r>
      <w:r>
        <w:rPr>
          <w:spacing w:val="-2"/>
        </w:rPr>
        <w:t>y</w:t>
      </w:r>
      <w:r>
        <w:rPr>
          <w:spacing w:val="-5"/>
        </w:rPr>
        <w:t xml:space="preserve"> </w:t>
      </w:r>
      <w:r>
        <w:rPr>
          <w:spacing w:val="-2"/>
        </w:rPr>
        <w:t>ametrallamientos</w:t>
      </w:r>
      <w:r>
        <w:rPr>
          <w:spacing w:val="-5"/>
        </w:rPr>
        <w:t xml:space="preserve"> </w:t>
      </w:r>
      <w:r>
        <w:rPr>
          <w:spacing w:val="-2"/>
        </w:rPr>
        <w:t>han</w:t>
      </w:r>
      <w:r>
        <w:rPr>
          <w:spacing w:val="-6"/>
        </w:rPr>
        <w:t xml:space="preserve"> </w:t>
      </w:r>
      <w:r>
        <w:rPr>
          <w:spacing w:val="-2"/>
        </w:rPr>
        <w:t>tenido</w:t>
      </w:r>
      <w:r>
        <w:rPr>
          <w:spacing w:val="-5"/>
        </w:rPr>
        <w:t xml:space="preserve"> </w:t>
      </w:r>
      <w:r>
        <w:rPr>
          <w:spacing w:val="-2"/>
        </w:rPr>
        <w:t>como</w:t>
      </w:r>
      <w:r>
        <w:rPr>
          <w:spacing w:val="-6"/>
        </w:rPr>
        <w:t xml:space="preserve"> </w:t>
      </w:r>
      <w:r>
        <w:rPr>
          <w:spacing w:val="-2"/>
        </w:rPr>
        <w:t>víctimas</w:t>
      </w:r>
      <w:r>
        <w:rPr>
          <w:spacing w:val="-6"/>
        </w:rPr>
        <w:t xml:space="preserve"> </w:t>
      </w:r>
      <w:r>
        <w:rPr>
          <w:spacing w:val="-2"/>
        </w:rPr>
        <w:t>a</w:t>
      </w:r>
      <w:r>
        <w:rPr>
          <w:spacing w:val="-5"/>
        </w:rPr>
        <w:t xml:space="preserve"> </w:t>
      </w:r>
      <w:r>
        <w:rPr>
          <w:spacing w:val="-2"/>
        </w:rPr>
        <w:t>niños,</w:t>
      </w:r>
      <w:r>
        <w:rPr>
          <w:spacing w:val="-6"/>
        </w:rPr>
        <w:t xml:space="preserve"> </w:t>
      </w:r>
      <w:r>
        <w:rPr>
          <w:spacing w:val="-2"/>
        </w:rPr>
        <w:t>niñas</w:t>
      </w:r>
      <w:r>
        <w:rPr>
          <w:spacing w:val="-5"/>
        </w:rPr>
        <w:t xml:space="preserve"> </w:t>
      </w:r>
      <w:r>
        <w:rPr>
          <w:spacing w:val="-2"/>
        </w:rPr>
        <w:t>y</w:t>
      </w:r>
      <w:r>
        <w:rPr>
          <w:spacing w:val="-6"/>
        </w:rPr>
        <w:t xml:space="preserve"> </w:t>
      </w:r>
      <w:r>
        <w:rPr>
          <w:spacing w:val="-2"/>
        </w:rPr>
        <w:t xml:space="preserve">adolescentes </w:t>
      </w:r>
      <w:r>
        <w:t>víctimas de reclutamiento por los grupos armados.</w:t>
      </w:r>
    </w:p>
    <w:p w:rsidR="003804AC" w:rsidRDefault="00AF18A5" w:rsidP="00813331">
      <w:r>
        <w:t>En la</w:t>
      </w:r>
      <w:r>
        <w:rPr>
          <w:spacing w:val="-1"/>
        </w:rPr>
        <w:t xml:space="preserve"> </w:t>
      </w:r>
      <w:r>
        <w:t>categoría</w:t>
      </w:r>
      <w:r>
        <w:rPr>
          <w:spacing w:val="-1"/>
        </w:rPr>
        <w:t xml:space="preserve"> </w:t>
      </w:r>
      <w:r>
        <w:t>de ataques indiscriminados</w:t>
      </w:r>
      <w:r>
        <w:rPr>
          <w:spacing w:val="-1"/>
        </w:rPr>
        <w:t xml:space="preserve"> </w:t>
      </w:r>
      <w:r>
        <w:t>también se incluyen las explosiones de</w:t>
      </w:r>
      <w:r>
        <w:rPr>
          <w:spacing w:val="-1"/>
        </w:rPr>
        <w:t xml:space="preserve"> </w:t>
      </w:r>
      <w:r>
        <w:t>minas antipersona, cuyo uso por las FARC-EP y el ELN fue generalizada a partir de 2001 hasta 2009,</w:t>
      </w:r>
      <w:r>
        <w:rPr>
          <w:spacing w:val="30"/>
        </w:rPr>
        <w:t xml:space="preserve"> </w:t>
      </w:r>
      <w:r>
        <w:t>como</w:t>
      </w:r>
      <w:r>
        <w:rPr>
          <w:spacing w:val="32"/>
        </w:rPr>
        <w:t xml:space="preserve"> </w:t>
      </w:r>
      <w:r>
        <w:t>parte</w:t>
      </w:r>
      <w:r>
        <w:rPr>
          <w:spacing w:val="32"/>
        </w:rPr>
        <w:t xml:space="preserve"> </w:t>
      </w:r>
      <w:r>
        <w:t>de</w:t>
      </w:r>
      <w:r>
        <w:rPr>
          <w:spacing w:val="32"/>
        </w:rPr>
        <w:t xml:space="preserve"> </w:t>
      </w:r>
      <w:r>
        <w:t>sus</w:t>
      </w:r>
      <w:r>
        <w:rPr>
          <w:spacing w:val="32"/>
        </w:rPr>
        <w:t xml:space="preserve"> </w:t>
      </w:r>
      <w:r>
        <w:t>estrategias</w:t>
      </w:r>
      <w:r>
        <w:rPr>
          <w:spacing w:val="31"/>
        </w:rPr>
        <w:t xml:space="preserve"> </w:t>
      </w:r>
      <w:r>
        <w:t>de</w:t>
      </w:r>
      <w:r>
        <w:rPr>
          <w:spacing w:val="33"/>
        </w:rPr>
        <w:t xml:space="preserve"> </w:t>
      </w:r>
      <w:r>
        <w:t>guerra</w:t>
      </w:r>
      <w:r>
        <w:rPr>
          <w:spacing w:val="31"/>
        </w:rPr>
        <w:t xml:space="preserve"> </w:t>
      </w:r>
      <w:r>
        <w:t>para</w:t>
      </w:r>
      <w:r>
        <w:rPr>
          <w:spacing w:val="32"/>
        </w:rPr>
        <w:t xml:space="preserve"> </w:t>
      </w:r>
      <w:r>
        <w:t>proteger</w:t>
      </w:r>
      <w:r>
        <w:rPr>
          <w:spacing w:val="33"/>
        </w:rPr>
        <w:t xml:space="preserve"> </w:t>
      </w:r>
      <w:r>
        <w:t>territorios</w:t>
      </w:r>
      <w:r>
        <w:rPr>
          <w:spacing w:val="32"/>
        </w:rPr>
        <w:t xml:space="preserve"> </w:t>
      </w:r>
      <w:r>
        <w:t>bajo</w:t>
      </w:r>
      <w:r>
        <w:rPr>
          <w:spacing w:val="32"/>
        </w:rPr>
        <w:t xml:space="preserve"> </w:t>
      </w:r>
      <w:r>
        <w:t>su</w:t>
      </w:r>
      <w:r>
        <w:rPr>
          <w:spacing w:val="32"/>
        </w:rPr>
        <w:t xml:space="preserve"> </w:t>
      </w:r>
      <w:r>
        <w:t>control</w:t>
      </w:r>
      <w:r>
        <w:rPr>
          <w:spacing w:val="34"/>
        </w:rPr>
        <w:t xml:space="preserve"> </w:t>
      </w:r>
      <w:r>
        <w:rPr>
          <w:spacing w:val="-10"/>
        </w:rPr>
        <w:t>o</w:t>
      </w:r>
      <w:bookmarkStart w:id="283" w:name="_bookmark204"/>
      <w:bookmarkEnd w:id="283"/>
      <w:r w:rsidR="00813331">
        <w:t xml:space="preserve"> </w:t>
      </w:r>
      <w:r>
        <w:t>controlar pasos o acceso a zonas a la par de los repliegues estratégicos de esas estructuras causados</w:t>
      </w:r>
      <w:r>
        <w:rPr>
          <w:spacing w:val="-7"/>
        </w:rPr>
        <w:t xml:space="preserve"> </w:t>
      </w:r>
      <w:r>
        <w:t>por</w:t>
      </w:r>
      <w:r>
        <w:rPr>
          <w:spacing w:val="-3"/>
        </w:rPr>
        <w:t xml:space="preserve"> </w:t>
      </w:r>
      <w:r>
        <w:t>la</w:t>
      </w:r>
      <w:r>
        <w:rPr>
          <w:spacing w:val="-6"/>
        </w:rPr>
        <w:t xml:space="preserve"> </w:t>
      </w:r>
      <w:r>
        <w:t>iniciativa</w:t>
      </w:r>
      <w:r>
        <w:rPr>
          <w:spacing w:val="-4"/>
        </w:rPr>
        <w:t xml:space="preserve"> </w:t>
      </w:r>
      <w:r>
        <w:t>militar</w:t>
      </w:r>
      <w:r>
        <w:rPr>
          <w:spacing w:val="-4"/>
        </w:rPr>
        <w:t xml:space="preserve"> </w:t>
      </w:r>
      <w:r>
        <w:t>de</w:t>
      </w:r>
      <w:r>
        <w:rPr>
          <w:spacing w:val="-4"/>
        </w:rPr>
        <w:t xml:space="preserve"> </w:t>
      </w:r>
      <w:r>
        <w:t>la</w:t>
      </w:r>
      <w:r>
        <w:rPr>
          <w:spacing w:val="-4"/>
        </w:rPr>
        <w:t xml:space="preserve"> </w:t>
      </w:r>
      <w:r>
        <w:t>fuerza</w:t>
      </w:r>
      <w:r>
        <w:rPr>
          <w:spacing w:val="-5"/>
        </w:rPr>
        <w:t xml:space="preserve"> </w:t>
      </w:r>
      <w:r>
        <w:t>pública</w:t>
      </w:r>
      <w:r>
        <w:rPr>
          <w:spacing w:val="-5"/>
        </w:rPr>
        <w:t xml:space="preserve"> </w:t>
      </w:r>
      <w:r>
        <w:t>y</w:t>
      </w:r>
      <w:r>
        <w:rPr>
          <w:spacing w:val="-5"/>
        </w:rPr>
        <w:t xml:space="preserve"> </w:t>
      </w:r>
      <w:r>
        <w:t>la</w:t>
      </w:r>
      <w:r>
        <w:rPr>
          <w:spacing w:val="-5"/>
        </w:rPr>
        <w:t xml:space="preserve"> </w:t>
      </w:r>
      <w:r>
        <w:t>expansión</w:t>
      </w:r>
      <w:r>
        <w:rPr>
          <w:spacing w:val="-4"/>
        </w:rPr>
        <w:t xml:space="preserve"> </w:t>
      </w:r>
      <w:r>
        <w:t>paramilitar</w:t>
      </w:r>
      <w:r>
        <w:rPr>
          <w:spacing w:val="-4"/>
        </w:rPr>
        <w:t xml:space="preserve"> </w:t>
      </w:r>
      <w:r>
        <w:t>de</w:t>
      </w:r>
      <w:r>
        <w:rPr>
          <w:spacing w:val="-5"/>
        </w:rPr>
        <w:t xml:space="preserve"> </w:t>
      </w:r>
      <w:r>
        <w:t>las</w:t>
      </w:r>
      <w:r>
        <w:rPr>
          <w:spacing w:val="-4"/>
        </w:rPr>
        <w:t xml:space="preserve"> AUC.</w:t>
      </w:r>
    </w:p>
    <w:p w:rsidR="004C7A34" w:rsidRDefault="004C7A34" w:rsidP="004C7A34">
      <w:pPr>
        <w:pStyle w:val="Descripcin"/>
        <w:keepNext/>
      </w:pPr>
      <w:r>
        <w:lastRenderedPageBreak/>
        <w:t xml:space="preserve">Gráfica </w:t>
      </w:r>
      <w:r w:rsidR="005F4072">
        <w:fldChar w:fldCharType="begin"/>
      </w:r>
      <w:r w:rsidR="005F4072">
        <w:instrText xml:space="preserve"> SEQ Gráfica \* ARABIC </w:instrText>
      </w:r>
      <w:r w:rsidR="005F4072">
        <w:fldChar w:fldCharType="separate"/>
      </w:r>
      <w:r w:rsidR="005F4072">
        <w:rPr>
          <w:noProof/>
        </w:rPr>
        <w:t>11</w:t>
      </w:r>
      <w:r w:rsidR="005F4072">
        <w:fldChar w:fldCharType="end"/>
      </w:r>
      <w:r w:rsidRPr="00825245">
        <w:t>. Casos de minas antipersona y municiones sin explotar, por fuente (1980-2022)</w:t>
      </w:r>
    </w:p>
    <w:p w:rsidR="0011361F" w:rsidRPr="004C7A34" w:rsidRDefault="00AF18A5" w:rsidP="004C7A34">
      <w:r w:rsidRPr="004C7A34">
        <w:rPr>
          <w:noProof/>
        </w:rPr>
        <w:drawing>
          <wp:inline distT="0" distB="0" distL="0" distR="0">
            <wp:extent cx="4704875" cy="2885217"/>
            <wp:effectExtent l="0" t="0" r="635" b="0"/>
            <wp:docPr id="23" name="image12.png"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04875" cy="2885217"/>
                    </a:xfrm>
                    <a:prstGeom prst="rect">
                      <a:avLst/>
                    </a:prstGeom>
                  </pic:spPr>
                </pic:pic>
              </a:graphicData>
            </a:graphic>
          </wp:inline>
        </w:drawing>
      </w:r>
    </w:p>
    <w:p w:rsidR="003804AC" w:rsidRDefault="00AF18A5" w:rsidP="00F04490">
      <w:r w:rsidRPr="00F04490">
        <w:t>Fuente: Registro de información de afectación por MAP y MUSE y Centro</w:t>
      </w:r>
      <w:r>
        <w:t xml:space="preserve"> Nacional de Memoria Histórica.</w:t>
      </w:r>
    </w:p>
    <w:p w:rsidR="003804AC" w:rsidRDefault="00AF18A5" w:rsidP="00F04490">
      <w:r>
        <w:t>Este</w:t>
      </w:r>
      <w:r>
        <w:rPr>
          <w:spacing w:val="-5"/>
        </w:rPr>
        <w:t xml:space="preserve"> </w:t>
      </w:r>
      <w:r>
        <w:t>tipo</w:t>
      </w:r>
      <w:r>
        <w:rPr>
          <w:spacing w:val="-5"/>
        </w:rPr>
        <w:t xml:space="preserve"> </w:t>
      </w:r>
      <w:r>
        <w:t>de</w:t>
      </w:r>
      <w:r>
        <w:rPr>
          <w:spacing w:val="-6"/>
        </w:rPr>
        <w:t xml:space="preserve"> </w:t>
      </w:r>
      <w:r>
        <w:t>armas</w:t>
      </w:r>
      <w:r>
        <w:rPr>
          <w:spacing w:val="-5"/>
        </w:rPr>
        <w:t xml:space="preserve"> </w:t>
      </w:r>
      <w:r>
        <w:t>se</w:t>
      </w:r>
      <w:r>
        <w:rPr>
          <w:spacing w:val="-5"/>
        </w:rPr>
        <w:t xml:space="preserve"> </w:t>
      </w:r>
      <w:r>
        <w:t>emplea</w:t>
      </w:r>
      <w:r>
        <w:rPr>
          <w:spacing w:val="-5"/>
        </w:rPr>
        <w:t xml:space="preserve"> </w:t>
      </w:r>
      <w:r>
        <w:t>sobre</w:t>
      </w:r>
      <w:r>
        <w:rPr>
          <w:spacing w:val="-6"/>
        </w:rPr>
        <w:t xml:space="preserve"> </w:t>
      </w:r>
      <w:r>
        <w:t>todo</w:t>
      </w:r>
      <w:r>
        <w:rPr>
          <w:spacing w:val="-5"/>
        </w:rPr>
        <w:t xml:space="preserve"> </w:t>
      </w:r>
      <w:r>
        <w:t>en</w:t>
      </w:r>
      <w:r>
        <w:rPr>
          <w:spacing w:val="-5"/>
        </w:rPr>
        <w:t xml:space="preserve"> </w:t>
      </w:r>
      <w:r>
        <w:t>las</w:t>
      </w:r>
      <w:r>
        <w:rPr>
          <w:spacing w:val="-5"/>
        </w:rPr>
        <w:t xml:space="preserve"> </w:t>
      </w:r>
      <w:r>
        <w:t>zonas</w:t>
      </w:r>
      <w:r>
        <w:rPr>
          <w:spacing w:val="-5"/>
        </w:rPr>
        <w:t xml:space="preserve"> </w:t>
      </w:r>
      <w:r>
        <w:t>en</w:t>
      </w:r>
      <w:r>
        <w:rPr>
          <w:spacing w:val="-5"/>
        </w:rPr>
        <w:t xml:space="preserve"> </w:t>
      </w:r>
      <w:r>
        <w:t>disputa,</w:t>
      </w:r>
      <w:r>
        <w:rPr>
          <w:spacing w:val="-5"/>
        </w:rPr>
        <w:t xml:space="preserve"> </w:t>
      </w:r>
      <w:r>
        <w:t>contiguas</w:t>
      </w:r>
      <w:r>
        <w:rPr>
          <w:spacing w:val="-6"/>
        </w:rPr>
        <w:t xml:space="preserve"> </w:t>
      </w:r>
      <w:r>
        <w:t>a</w:t>
      </w:r>
      <w:r>
        <w:rPr>
          <w:spacing w:val="-5"/>
        </w:rPr>
        <w:t xml:space="preserve"> </w:t>
      </w:r>
      <w:r>
        <w:t>las</w:t>
      </w:r>
      <w:r>
        <w:rPr>
          <w:spacing w:val="-5"/>
        </w:rPr>
        <w:t xml:space="preserve"> </w:t>
      </w:r>
      <w:r>
        <w:t>retaguardias de</w:t>
      </w:r>
      <w:r>
        <w:rPr>
          <w:spacing w:val="-2"/>
        </w:rPr>
        <w:t xml:space="preserve"> </w:t>
      </w:r>
      <w:r>
        <w:t>las</w:t>
      </w:r>
      <w:r>
        <w:rPr>
          <w:spacing w:val="-2"/>
        </w:rPr>
        <w:t xml:space="preserve"> </w:t>
      </w:r>
      <w:r>
        <w:t>guerrillas</w:t>
      </w:r>
      <w:r>
        <w:rPr>
          <w:spacing w:val="-2"/>
        </w:rPr>
        <w:t xml:space="preserve"> </w:t>
      </w:r>
      <w:r>
        <w:t>y</w:t>
      </w:r>
      <w:r>
        <w:rPr>
          <w:spacing w:val="-2"/>
        </w:rPr>
        <w:t xml:space="preserve"> </w:t>
      </w:r>
      <w:r>
        <w:t>en</w:t>
      </w:r>
      <w:r>
        <w:rPr>
          <w:spacing w:val="-2"/>
        </w:rPr>
        <w:t xml:space="preserve"> </w:t>
      </w:r>
      <w:r>
        <w:t>regiones</w:t>
      </w:r>
      <w:r>
        <w:rPr>
          <w:spacing w:val="-2"/>
        </w:rPr>
        <w:t xml:space="preserve"> </w:t>
      </w:r>
      <w:r>
        <w:t>con</w:t>
      </w:r>
      <w:r>
        <w:rPr>
          <w:spacing w:val="-2"/>
        </w:rPr>
        <w:t xml:space="preserve"> </w:t>
      </w:r>
      <w:r>
        <w:t>presencia</w:t>
      </w:r>
      <w:r>
        <w:rPr>
          <w:spacing w:val="-2"/>
        </w:rPr>
        <w:t xml:space="preserve"> </w:t>
      </w:r>
      <w:r>
        <w:t>de</w:t>
      </w:r>
      <w:r>
        <w:rPr>
          <w:spacing w:val="-2"/>
        </w:rPr>
        <w:t xml:space="preserve"> </w:t>
      </w:r>
      <w:r>
        <w:t>cultivos</w:t>
      </w:r>
      <w:r>
        <w:rPr>
          <w:spacing w:val="-2"/>
        </w:rPr>
        <w:t xml:space="preserve"> </w:t>
      </w:r>
      <w:r>
        <w:t>de</w:t>
      </w:r>
      <w:r>
        <w:rPr>
          <w:spacing w:val="-2"/>
        </w:rPr>
        <w:t xml:space="preserve"> </w:t>
      </w:r>
      <w:r>
        <w:t>uso</w:t>
      </w:r>
      <w:r>
        <w:rPr>
          <w:spacing w:val="-2"/>
        </w:rPr>
        <w:t xml:space="preserve"> </w:t>
      </w:r>
      <w:r>
        <w:t>ilícito,</w:t>
      </w:r>
      <w:r>
        <w:rPr>
          <w:spacing w:val="-2"/>
        </w:rPr>
        <w:t xml:space="preserve"> </w:t>
      </w:r>
      <w:r>
        <w:t>y</w:t>
      </w:r>
      <w:r>
        <w:rPr>
          <w:spacing w:val="-2"/>
        </w:rPr>
        <w:t xml:space="preserve"> </w:t>
      </w:r>
      <w:r>
        <w:t>pone</w:t>
      </w:r>
      <w:r>
        <w:rPr>
          <w:spacing w:val="-2"/>
        </w:rPr>
        <w:t xml:space="preserve"> </w:t>
      </w:r>
      <w:r>
        <w:t>en</w:t>
      </w:r>
      <w:r>
        <w:rPr>
          <w:spacing w:val="-2"/>
        </w:rPr>
        <w:t xml:space="preserve"> </w:t>
      </w:r>
      <w:r>
        <w:t>riesgo</w:t>
      </w:r>
      <w:r>
        <w:rPr>
          <w:spacing w:val="-2"/>
        </w:rPr>
        <w:t xml:space="preserve"> </w:t>
      </w:r>
      <w:r>
        <w:t>a</w:t>
      </w:r>
      <w:r>
        <w:rPr>
          <w:spacing w:val="-2"/>
        </w:rPr>
        <w:t xml:space="preserve"> </w:t>
      </w:r>
      <w:r>
        <w:t>las poblaciones en las zonas disputadas. Su carácter indiscriminado y su instalación en zonas cercanas</w:t>
      </w:r>
      <w:r>
        <w:rPr>
          <w:spacing w:val="-9"/>
        </w:rPr>
        <w:t xml:space="preserve"> </w:t>
      </w:r>
      <w:r>
        <w:t>a</w:t>
      </w:r>
      <w:r>
        <w:rPr>
          <w:spacing w:val="-9"/>
        </w:rPr>
        <w:t xml:space="preserve"> </w:t>
      </w:r>
      <w:r>
        <w:t>comunidades,</w:t>
      </w:r>
      <w:r>
        <w:rPr>
          <w:spacing w:val="-11"/>
        </w:rPr>
        <w:t xml:space="preserve"> </w:t>
      </w:r>
      <w:r>
        <w:t>sembradíos</w:t>
      </w:r>
      <w:r>
        <w:rPr>
          <w:spacing w:val="-9"/>
        </w:rPr>
        <w:t xml:space="preserve"> </w:t>
      </w:r>
      <w:r>
        <w:t>o</w:t>
      </w:r>
      <w:r>
        <w:rPr>
          <w:spacing w:val="-9"/>
        </w:rPr>
        <w:t xml:space="preserve"> </w:t>
      </w:r>
      <w:r>
        <w:t>rutas,</w:t>
      </w:r>
      <w:r>
        <w:rPr>
          <w:spacing w:val="-9"/>
        </w:rPr>
        <w:t xml:space="preserve"> </w:t>
      </w:r>
      <w:r>
        <w:t>afecta</w:t>
      </w:r>
      <w:r>
        <w:rPr>
          <w:spacing w:val="-9"/>
        </w:rPr>
        <w:t xml:space="preserve"> </w:t>
      </w:r>
      <w:r>
        <w:t>la</w:t>
      </w:r>
      <w:r>
        <w:rPr>
          <w:spacing w:val="-9"/>
        </w:rPr>
        <w:t xml:space="preserve"> </w:t>
      </w:r>
      <w:r>
        <w:t>vida</w:t>
      </w:r>
      <w:r>
        <w:rPr>
          <w:spacing w:val="-9"/>
        </w:rPr>
        <w:t xml:space="preserve"> </w:t>
      </w:r>
      <w:r>
        <w:t>de</w:t>
      </w:r>
      <w:r>
        <w:rPr>
          <w:spacing w:val="-9"/>
        </w:rPr>
        <w:t xml:space="preserve"> </w:t>
      </w:r>
      <w:r>
        <w:t>las</w:t>
      </w:r>
      <w:r>
        <w:rPr>
          <w:spacing w:val="-9"/>
        </w:rPr>
        <w:t xml:space="preserve"> </w:t>
      </w:r>
      <w:r>
        <w:t>comunidades</w:t>
      </w:r>
      <w:r>
        <w:rPr>
          <w:spacing w:val="-9"/>
        </w:rPr>
        <w:t xml:space="preserve"> </w:t>
      </w:r>
      <w:r>
        <w:t>instalando</w:t>
      </w:r>
      <w:r>
        <w:rPr>
          <w:spacing w:val="-9"/>
        </w:rPr>
        <w:t xml:space="preserve"> </w:t>
      </w:r>
      <w:r>
        <w:t>en ellas el miedo y la incertidumbre. El miedo a las minas antipersonales y otros artefactos explosivos ha ocasionado el confinamiento de las comunidades y la falta de acceso a sus sitios de siembra, caza o pesca, afectando su seguridad alimentaria. Respecto a los testimonios tomados por la Comisión, y si bien en la responsabilidad, existe un desconocimiento alto de la autoría (47,6</w:t>
      </w:r>
      <w:r>
        <w:rPr>
          <w:spacing w:val="-2"/>
        </w:rPr>
        <w:t xml:space="preserve"> </w:t>
      </w:r>
      <w:r>
        <w:t xml:space="preserve">%), el patrón del resto de los casos muestra que la responsabilidad fue especialmente de </w:t>
      </w:r>
      <w:r>
        <w:lastRenderedPageBreak/>
        <w:t>las FARC-EP (42,1 %) y el ELN (7,2 %).</w:t>
      </w:r>
    </w:p>
    <w:p w:rsidR="003804AC" w:rsidRDefault="00AF18A5" w:rsidP="00F04490">
      <w:r>
        <w:t>Las minas antipersona causan lesiones, mutilaciones y muertes a</w:t>
      </w:r>
      <w:r>
        <w:rPr>
          <w:spacing w:val="-1"/>
        </w:rPr>
        <w:t xml:space="preserve"> </w:t>
      </w:r>
      <w:r>
        <w:t>adultos</w:t>
      </w:r>
      <w:r>
        <w:rPr>
          <w:spacing w:val="-1"/>
        </w:rPr>
        <w:t xml:space="preserve"> </w:t>
      </w:r>
      <w:r>
        <w:t>y a niños, niñas y</w:t>
      </w:r>
      <w:r>
        <w:rPr>
          <w:spacing w:val="-3"/>
        </w:rPr>
        <w:t xml:space="preserve"> </w:t>
      </w:r>
      <w:r>
        <w:t>adolescentes,</w:t>
      </w:r>
      <w:r>
        <w:rPr>
          <w:spacing w:val="-2"/>
        </w:rPr>
        <w:t xml:space="preserve"> </w:t>
      </w:r>
      <w:r>
        <w:t>principalmente</w:t>
      </w:r>
      <w:r>
        <w:rPr>
          <w:spacing w:val="-1"/>
        </w:rPr>
        <w:t xml:space="preserve"> </w:t>
      </w:r>
      <w:r>
        <w:t>en</w:t>
      </w:r>
      <w:r>
        <w:rPr>
          <w:spacing w:val="-1"/>
        </w:rPr>
        <w:t xml:space="preserve"> </w:t>
      </w:r>
      <w:r>
        <w:t>áreas</w:t>
      </w:r>
      <w:r>
        <w:rPr>
          <w:spacing w:val="-1"/>
        </w:rPr>
        <w:t xml:space="preserve"> </w:t>
      </w:r>
      <w:r>
        <w:t>rurales.</w:t>
      </w:r>
      <w:r>
        <w:rPr>
          <w:spacing w:val="-1"/>
        </w:rPr>
        <w:t xml:space="preserve"> </w:t>
      </w:r>
      <w:r>
        <w:t>De</w:t>
      </w:r>
      <w:r>
        <w:rPr>
          <w:spacing w:val="-1"/>
        </w:rPr>
        <w:t xml:space="preserve"> </w:t>
      </w:r>
      <w:r>
        <w:t>acuerdo</w:t>
      </w:r>
      <w:r>
        <w:rPr>
          <w:spacing w:val="-1"/>
        </w:rPr>
        <w:t xml:space="preserve"> </w:t>
      </w:r>
      <w:r>
        <w:t>con</w:t>
      </w:r>
      <w:r>
        <w:rPr>
          <w:spacing w:val="-1"/>
        </w:rPr>
        <w:t xml:space="preserve"> </w:t>
      </w:r>
      <w:r>
        <w:t>el</w:t>
      </w:r>
      <w:r>
        <w:rPr>
          <w:spacing w:val="-1"/>
        </w:rPr>
        <w:t xml:space="preserve"> </w:t>
      </w:r>
      <w:r>
        <w:t>Registro</w:t>
      </w:r>
      <w:r>
        <w:rPr>
          <w:spacing w:val="-3"/>
        </w:rPr>
        <w:t xml:space="preserve"> </w:t>
      </w:r>
      <w:r>
        <w:t>MAP</w:t>
      </w:r>
      <w:r>
        <w:rPr>
          <w:spacing w:val="-2"/>
        </w:rPr>
        <w:t xml:space="preserve"> </w:t>
      </w:r>
      <w:r>
        <w:t>MUSE</w:t>
      </w:r>
      <w:r>
        <w:rPr>
          <w:spacing w:val="-1"/>
        </w:rPr>
        <w:t xml:space="preserve"> </w:t>
      </w:r>
      <w:r>
        <w:rPr>
          <w:spacing w:val="-5"/>
        </w:rPr>
        <w:t>de</w:t>
      </w:r>
      <w:r w:rsidR="00F04490">
        <w:rPr>
          <w:spacing w:val="-5"/>
        </w:rPr>
        <w:t xml:space="preserve"> </w:t>
      </w:r>
      <w:r>
        <w:t>la</w:t>
      </w:r>
      <w:r>
        <w:rPr>
          <w:spacing w:val="-2"/>
        </w:rPr>
        <w:t xml:space="preserve"> </w:t>
      </w:r>
      <w:r>
        <w:t>Acción</w:t>
      </w:r>
      <w:r>
        <w:rPr>
          <w:spacing w:val="-2"/>
        </w:rPr>
        <w:t xml:space="preserve"> </w:t>
      </w:r>
      <w:r>
        <w:t>Integral</w:t>
      </w:r>
      <w:r>
        <w:rPr>
          <w:spacing w:val="-2"/>
        </w:rPr>
        <w:t xml:space="preserve"> </w:t>
      </w:r>
      <w:r>
        <w:t>Contra</w:t>
      </w:r>
      <w:r>
        <w:rPr>
          <w:spacing w:val="-2"/>
        </w:rPr>
        <w:t xml:space="preserve"> </w:t>
      </w:r>
      <w:r>
        <w:t>Minas</w:t>
      </w:r>
      <w:r>
        <w:rPr>
          <w:spacing w:val="-2"/>
        </w:rPr>
        <w:t xml:space="preserve"> </w:t>
      </w:r>
      <w:r>
        <w:t>Antipersonal</w:t>
      </w:r>
      <w:r>
        <w:rPr>
          <w:spacing w:val="-2"/>
        </w:rPr>
        <w:t xml:space="preserve"> </w:t>
      </w:r>
      <w:r>
        <w:t>(AICMA)</w:t>
      </w:r>
      <w:r w:rsidR="00CA0D2F">
        <w:rPr>
          <w:rStyle w:val="Refdenotaalpie"/>
        </w:rPr>
        <w:footnoteReference w:id="175"/>
      </w:r>
      <w:r>
        <w:rPr>
          <w:spacing w:val="-2"/>
        </w:rPr>
        <w:t xml:space="preserve"> </w:t>
      </w:r>
      <w:r>
        <w:t>entre</w:t>
      </w:r>
      <w:r>
        <w:rPr>
          <w:spacing w:val="-2"/>
        </w:rPr>
        <w:t xml:space="preserve"> </w:t>
      </w:r>
      <w:r>
        <w:t>1990</w:t>
      </w:r>
      <w:r>
        <w:rPr>
          <w:spacing w:val="-2"/>
        </w:rPr>
        <w:t xml:space="preserve"> </w:t>
      </w:r>
      <w:r>
        <w:t>y</w:t>
      </w:r>
      <w:r>
        <w:rPr>
          <w:spacing w:val="-2"/>
        </w:rPr>
        <w:t xml:space="preserve"> </w:t>
      </w:r>
      <w:r>
        <w:t>2022</w:t>
      </w:r>
      <w:r>
        <w:rPr>
          <w:spacing w:val="-2"/>
        </w:rPr>
        <w:t xml:space="preserve"> </w:t>
      </w:r>
      <w:r>
        <w:t>se</w:t>
      </w:r>
      <w:r>
        <w:rPr>
          <w:spacing w:val="-2"/>
        </w:rPr>
        <w:t xml:space="preserve"> </w:t>
      </w:r>
      <w:r>
        <w:t>registraron 4.884 víctimas civiles, de las cuales 3.997 civiles fueron heridos y 887 murieron como consecuencia de la explosión de minas antipersona. De los heridos, 1.013 eran menores de edad, de los cuales 259 murieron. También se han registrado 7.286 víctimas de la fuerza pública con 5.832 heridos y 1.454 muertos por la explosión de minas antipersona. Es decir, del conjunto de víctimas por el uso de estos artefactos, tanto en muertos como heridos, alrededor del 40</w:t>
      </w:r>
      <w:r>
        <w:rPr>
          <w:spacing w:val="-2"/>
        </w:rPr>
        <w:t xml:space="preserve"> </w:t>
      </w:r>
      <w:r>
        <w:t>% de las víctimas fueron civiles y el 60</w:t>
      </w:r>
      <w:r>
        <w:rPr>
          <w:spacing w:val="-3"/>
        </w:rPr>
        <w:t xml:space="preserve"> </w:t>
      </w:r>
      <w:r>
        <w:t>% miembros de la fuerza pública. Del</w:t>
      </w:r>
      <w:r>
        <w:rPr>
          <w:spacing w:val="-10"/>
        </w:rPr>
        <w:t xml:space="preserve"> </w:t>
      </w:r>
      <w:r>
        <w:t>total</w:t>
      </w:r>
      <w:r>
        <w:rPr>
          <w:spacing w:val="-10"/>
        </w:rPr>
        <w:t xml:space="preserve"> </w:t>
      </w:r>
      <w:r>
        <w:t>de</w:t>
      </w:r>
      <w:r>
        <w:rPr>
          <w:spacing w:val="-12"/>
        </w:rPr>
        <w:t xml:space="preserve"> </w:t>
      </w:r>
      <w:r>
        <w:t>víctimas</w:t>
      </w:r>
      <w:r>
        <w:rPr>
          <w:spacing w:val="-12"/>
        </w:rPr>
        <w:t xml:space="preserve"> </w:t>
      </w:r>
      <w:r>
        <w:t>de</w:t>
      </w:r>
      <w:r>
        <w:rPr>
          <w:spacing w:val="-12"/>
        </w:rPr>
        <w:t xml:space="preserve"> </w:t>
      </w:r>
      <w:r>
        <w:t>las</w:t>
      </w:r>
      <w:r>
        <w:rPr>
          <w:spacing w:val="-10"/>
        </w:rPr>
        <w:t xml:space="preserve"> </w:t>
      </w:r>
      <w:r>
        <w:t>que</w:t>
      </w:r>
      <w:r>
        <w:rPr>
          <w:spacing w:val="-10"/>
        </w:rPr>
        <w:t xml:space="preserve"> </w:t>
      </w:r>
      <w:r>
        <w:t>se</w:t>
      </w:r>
      <w:r>
        <w:rPr>
          <w:spacing w:val="-10"/>
        </w:rPr>
        <w:t xml:space="preserve"> </w:t>
      </w:r>
      <w:r>
        <w:t>tiene</w:t>
      </w:r>
      <w:r>
        <w:rPr>
          <w:spacing w:val="-10"/>
        </w:rPr>
        <w:t xml:space="preserve"> </w:t>
      </w:r>
      <w:r>
        <w:t>conocimiento,</w:t>
      </w:r>
      <w:r>
        <w:rPr>
          <w:spacing w:val="-11"/>
        </w:rPr>
        <w:t xml:space="preserve"> </w:t>
      </w:r>
      <w:r>
        <w:t>alrededor</w:t>
      </w:r>
      <w:r>
        <w:rPr>
          <w:spacing w:val="-10"/>
        </w:rPr>
        <w:t xml:space="preserve"> </w:t>
      </w:r>
      <w:r>
        <w:t>del</w:t>
      </w:r>
      <w:r>
        <w:rPr>
          <w:spacing w:val="-11"/>
        </w:rPr>
        <w:t xml:space="preserve"> </w:t>
      </w:r>
      <w:r>
        <w:t>20</w:t>
      </w:r>
      <w:r>
        <w:rPr>
          <w:spacing w:val="-3"/>
        </w:rPr>
        <w:t xml:space="preserve"> </w:t>
      </w:r>
      <w:r>
        <w:t>%</w:t>
      </w:r>
      <w:r>
        <w:rPr>
          <w:spacing w:val="-11"/>
        </w:rPr>
        <w:t xml:space="preserve"> </w:t>
      </w:r>
      <w:r>
        <w:t>resultaron</w:t>
      </w:r>
      <w:r>
        <w:rPr>
          <w:spacing w:val="-12"/>
        </w:rPr>
        <w:t xml:space="preserve"> </w:t>
      </w:r>
      <w:r>
        <w:t>muertas y el 80 % resultaron heridas.</w:t>
      </w:r>
    </w:p>
    <w:p w:rsidR="003804AC" w:rsidRDefault="00AF18A5" w:rsidP="00C1326C">
      <w:r>
        <w:t xml:space="preserve">Un relato de un militar que cayó en un campo minado instalado por el Frente 14 de las FARC-EP en La Unión </w:t>
      </w:r>
      <w:proofErr w:type="spellStart"/>
      <w:r>
        <w:t>Peneya</w:t>
      </w:r>
      <w:proofErr w:type="spellEnd"/>
      <w:r>
        <w:t>, Montañita (Caquetá), el 2 de septiembre de 2004, muestra el</w:t>
      </w:r>
      <w:r>
        <w:rPr>
          <w:spacing w:val="-15"/>
        </w:rPr>
        <w:t xml:space="preserve"> </w:t>
      </w:r>
      <w:r>
        <w:t>impacto</w:t>
      </w:r>
      <w:r>
        <w:rPr>
          <w:spacing w:val="-15"/>
        </w:rPr>
        <w:t xml:space="preserve"> </w:t>
      </w:r>
      <w:r>
        <w:t>en</w:t>
      </w:r>
      <w:r>
        <w:rPr>
          <w:spacing w:val="-15"/>
        </w:rPr>
        <w:t xml:space="preserve"> </w:t>
      </w:r>
      <w:r>
        <w:t>varias</w:t>
      </w:r>
      <w:r>
        <w:rPr>
          <w:spacing w:val="-14"/>
        </w:rPr>
        <w:t xml:space="preserve"> </w:t>
      </w:r>
      <w:r>
        <w:t>víctimas,</w:t>
      </w:r>
      <w:r>
        <w:rPr>
          <w:spacing w:val="-15"/>
        </w:rPr>
        <w:t xml:space="preserve"> </w:t>
      </w:r>
      <w:r>
        <w:t>con</w:t>
      </w:r>
      <w:r>
        <w:rPr>
          <w:spacing w:val="-15"/>
        </w:rPr>
        <w:t xml:space="preserve"> </w:t>
      </w:r>
      <w:r>
        <w:t>mutilaciones</w:t>
      </w:r>
      <w:r>
        <w:rPr>
          <w:spacing w:val="-14"/>
        </w:rPr>
        <w:t xml:space="preserve"> </w:t>
      </w:r>
      <w:r>
        <w:t>y</w:t>
      </w:r>
      <w:r>
        <w:rPr>
          <w:spacing w:val="-15"/>
        </w:rPr>
        <w:t xml:space="preserve"> </w:t>
      </w:r>
      <w:r>
        <w:t>discapacidad</w:t>
      </w:r>
      <w:r>
        <w:rPr>
          <w:spacing w:val="-15"/>
        </w:rPr>
        <w:t xml:space="preserve"> </w:t>
      </w:r>
      <w:r>
        <w:t>posterior</w:t>
      </w:r>
      <w:r>
        <w:rPr>
          <w:spacing w:val="-14"/>
        </w:rPr>
        <w:t xml:space="preserve"> </w:t>
      </w:r>
      <w:r>
        <w:t>durante</w:t>
      </w:r>
      <w:r>
        <w:rPr>
          <w:spacing w:val="-14"/>
        </w:rPr>
        <w:t xml:space="preserve"> </w:t>
      </w:r>
      <w:r>
        <w:t>toda</w:t>
      </w:r>
      <w:r>
        <w:rPr>
          <w:spacing w:val="-14"/>
        </w:rPr>
        <w:t xml:space="preserve"> </w:t>
      </w:r>
      <w:r>
        <w:t>su</w:t>
      </w:r>
      <w:r>
        <w:rPr>
          <w:spacing w:val="-15"/>
        </w:rPr>
        <w:t xml:space="preserve"> </w:t>
      </w:r>
      <w:r>
        <w:rPr>
          <w:spacing w:val="-2"/>
        </w:rPr>
        <w:t>vida.</w:t>
      </w:r>
    </w:p>
    <w:p w:rsidR="003804AC" w:rsidRDefault="00AF18A5" w:rsidP="00C1326C">
      <w:r>
        <w:t>«Ahí resultó el soldado Gato, herido, perdió su pierna izquierda. Yo, inicialmente, perdí mi</w:t>
      </w:r>
      <w:r>
        <w:rPr>
          <w:spacing w:val="-15"/>
        </w:rPr>
        <w:t xml:space="preserve"> </w:t>
      </w:r>
      <w:r>
        <w:t>pierna</w:t>
      </w:r>
      <w:r>
        <w:rPr>
          <w:spacing w:val="-15"/>
        </w:rPr>
        <w:t xml:space="preserve"> </w:t>
      </w:r>
      <w:r>
        <w:t>izquierda</w:t>
      </w:r>
      <w:r>
        <w:rPr>
          <w:spacing w:val="-15"/>
        </w:rPr>
        <w:t xml:space="preserve"> </w:t>
      </w:r>
      <w:r>
        <w:t>también,</w:t>
      </w:r>
      <w:r>
        <w:rPr>
          <w:spacing w:val="-15"/>
        </w:rPr>
        <w:t xml:space="preserve"> </w:t>
      </w:r>
      <w:r>
        <w:t>a</w:t>
      </w:r>
      <w:r>
        <w:rPr>
          <w:spacing w:val="-15"/>
        </w:rPr>
        <w:t xml:space="preserve"> </w:t>
      </w:r>
      <w:r>
        <w:t>la</w:t>
      </w:r>
      <w:r>
        <w:rPr>
          <w:spacing w:val="-15"/>
        </w:rPr>
        <w:t xml:space="preserve"> </w:t>
      </w:r>
      <w:r>
        <w:t>altura</w:t>
      </w:r>
      <w:r>
        <w:rPr>
          <w:spacing w:val="-15"/>
        </w:rPr>
        <w:t xml:space="preserve"> </w:t>
      </w:r>
      <w:r>
        <w:t>de</w:t>
      </w:r>
      <w:r>
        <w:rPr>
          <w:spacing w:val="-15"/>
        </w:rPr>
        <w:t xml:space="preserve"> </w:t>
      </w:r>
      <w:r>
        <w:t>la</w:t>
      </w:r>
      <w:r>
        <w:rPr>
          <w:spacing w:val="-15"/>
        </w:rPr>
        <w:t xml:space="preserve"> </w:t>
      </w:r>
      <w:r>
        <w:t>rodilla;</w:t>
      </w:r>
      <w:r>
        <w:rPr>
          <w:spacing w:val="-15"/>
        </w:rPr>
        <w:t xml:space="preserve"> </w:t>
      </w:r>
      <w:r>
        <w:t>la</w:t>
      </w:r>
      <w:r>
        <w:rPr>
          <w:spacing w:val="-15"/>
        </w:rPr>
        <w:t xml:space="preserve"> </w:t>
      </w:r>
      <w:r>
        <w:t>derecha</w:t>
      </w:r>
      <w:r>
        <w:rPr>
          <w:spacing w:val="-15"/>
        </w:rPr>
        <w:t xml:space="preserve"> </w:t>
      </w:r>
      <w:r>
        <w:t>quedó</w:t>
      </w:r>
      <w:r>
        <w:rPr>
          <w:spacing w:val="-15"/>
        </w:rPr>
        <w:t xml:space="preserve"> </w:t>
      </w:r>
      <w:r>
        <w:t>con</w:t>
      </w:r>
      <w:r>
        <w:rPr>
          <w:spacing w:val="-15"/>
        </w:rPr>
        <w:t xml:space="preserve"> </w:t>
      </w:r>
      <w:r>
        <w:t>múltiples</w:t>
      </w:r>
      <w:r>
        <w:rPr>
          <w:spacing w:val="-15"/>
        </w:rPr>
        <w:t xml:space="preserve"> </w:t>
      </w:r>
      <w:r>
        <w:t>fracturas. Y</w:t>
      </w:r>
      <w:r>
        <w:rPr>
          <w:spacing w:val="-14"/>
        </w:rPr>
        <w:t xml:space="preserve"> </w:t>
      </w:r>
      <w:r>
        <w:t>atrás</w:t>
      </w:r>
      <w:r>
        <w:rPr>
          <w:spacing w:val="-13"/>
        </w:rPr>
        <w:t xml:space="preserve"> </w:t>
      </w:r>
      <w:r>
        <w:t>quedó</w:t>
      </w:r>
      <w:r>
        <w:rPr>
          <w:spacing w:val="-13"/>
        </w:rPr>
        <w:t xml:space="preserve"> </w:t>
      </w:r>
      <w:r>
        <w:t>El</w:t>
      </w:r>
      <w:r>
        <w:rPr>
          <w:spacing w:val="-13"/>
        </w:rPr>
        <w:t xml:space="preserve"> </w:t>
      </w:r>
      <w:r>
        <w:t>Flaco</w:t>
      </w:r>
      <w:r>
        <w:rPr>
          <w:spacing w:val="-13"/>
        </w:rPr>
        <w:t xml:space="preserve"> </w:t>
      </w:r>
      <w:r>
        <w:t>Arenas,</w:t>
      </w:r>
      <w:r>
        <w:rPr>
          <w:spacing w:val="-13"/>
        </w:rPr>
        <w:t xml:space="preserve"> </w:t>
      </w:r>
      <w:r>
        <w:t>el</w:t>
      </w:r>
      <w:r>
        <w:rPr>
          <w:spacing w:val="-13"/>
        </w:rPr>
        <w:t xml:space="preserve"> </w:t>
      </w:r>
      <w:r>
        <w:t>perdió</w:t>
      </w:r>
      <w:r>
        <w:rPr>
          <w:spacing w:val="-13"/>
        </w:rPr>
        <w:t xml:space="preserve"> </w:t>
      </w:r>
      <w:r>
        <w:t>todo</w:t>
      </w:r>
      <w:r>
        <w:rPr>
          <w:spacing w:val="-13"/>
        </w:rPr>
        <w:t xml:space="preserve"> </w:t>
      </w:r>
      <w:r>
        <w:t>el</w:t>
      </w:r>
      <w:r>
        <w:rPr>
          <w:spacing w:val="-13"/>
        </w:rPr>
        <w:t xml:space="preserve"> </w:t>
      </w:r>
      <w:r>
        <w:t>maxilar</w:t>
      </w:r>
      <w:r>
        <w:rPr>
          <w:spacing w:val="-13"/>
        </w:rPr>
        <w:t xml:space="preserve"> </w:t>
      </w:r>
      <w:r>
        <w:t>inferior,</w:t>
      </w:r>
      <w:r>
        <w:rPr>
          <w:spacing w:val="-13"/>
        </w:rPr>
        <w:t xml:space="preserve"> </w:t>
      </w:r>
      <w:r>
        <w:t>todo</w:t>
      </w:r>
      <w:r>
        <w:rPr>
          <w:spacing w:val="-13"/>
        </w:rPr>
        <w:t xml:space="preserve"> </w:t>
      </w:r>
      <w:r>
        <w:t>esto</w:t>
      </w:r>
      <w:r>
        <w:rPr>
          <w:spacing w:val="-13"/>
        </w:rPr>
        <w:t xml:space="preserve"> </w:t>
      </w:r>
      <w:r>
        <w:t>se</w:t>
      </w:r>
      <w:r>
        <w:rPr>
          <w:spacing w:val="-13"/>
        </w:rPr>
        <w:t xml:space="preserve"> </w:t>
      </w:r>
      <w:r>
        <w:t>lo</w:t>
      </w:r>
      <w:r>
        <w:rPr>
          <w:spacing w:val="-13"/>
        </w:rPr>
        <w:t xml:space="preserve"> </w:t>
      </w:r>
      <w:r>
        <w:t>voló</w:t>
      </w:r>
      <w:r>
        <w:rPr>
          <w:spacing w:val="-13"/>
        </w:rPr>
        <w:t xml:space="preserve"> </w:t>
      </w:r>
      <w:r>
        <w:t>la</w:t>
      </w:r>
      <w:r>
        <w:rPr>
          <w:spacing w:val="-13"/>
        </w:rPr>
        <w:t xml:space="preserve"> </w:t>
      </w:r>
      <w:r>
        <w:t>mina; y el cabo que iba atrás, el quedó con perforaciones en su cuerpo, eso después le causo la pérdida</w:t>
      </w:r>
      <w:r>
        <w:rPr>
          <w:spacing w:val="-11"/>
        </w:rPr>
        <w:t xml:space="preserve"> </w:t>
      </w:r>
      <w:r>
        <w:t>de</w:t>
      </w:r>
      <w:r>
        <w:rPr>
          <w:spacing w:val="-7"/>
        </w:rPr>
        <w:t xml:space="preserve"> </w:t>
      </w:r>
      <w:r>
        <w:t>un</w:t>
      </w:r>
      <w:r>
        <w:rPr>
          <w:spacing w:val="-7"/>
        </w:rPr>
        <w:t xml:space="preserve"> </w:t>
      </w:r>
      <w:r>
        <w:t>pulmón,</w:t>
      </w:r>
      <w:r>
        <w:rPr>
          <w:spacing w:val="-9"/>
        </w:rPr>
        <w:t xml:space="preserve"> </w:t>
      </w:r>
      <w:r>
        <w:t>un</w:t>
      </w:r>
      <w:r>
        <w:rPr>
          <w:spacing w:val="-7"/>
        </w:rPr>
        <w:t xml:space="preserve"> </w:t>
      </w:r>
      <w:r>
        <w:t>riñón</w:t>
      </w:r>
      <w:r>
        <w:rPr>
          <w:spacing w:val="-9"/>
        </w:rPr>
        <w:t xml:space="preserve"> </w:t>
      </w:r>
      <w:r>
        <w:t>y</w:t>
      </w:r>
      <w:r>
        <w:rPr>
          <w:spacing w:val="-7"/>
        </w:rPr>
        <w:t xml:space="preserve"> </w:t>
      </w:r>
      <w:r>
        <w:t>que</w:t>
      </w:r>
      <w:r>
        <w:rPr>
          <w:spacing w:val="-7"/>
        </w:rPr>
        <w:t xml:space="preserve"> </w:t>
      </w:r>
      <w:r>
        <w:t>sus</w:t>
      </w:r>
      <w:r>
        <w:rPr>
          <w:spacing w:val="-8"/>
        </w:rPr>
        <w:t xml:space="preserve"> </w:t>
      </w:r>
      <w:r>
        <w:t>intestinos</w:t>
      </w:r>
      <w:r>
        <w:rPr>
          <w:spacing w:val="-7"/>
        </w:rPr>
        <w:t xml:space="preserve"> </w:t>
      </w:r>
      <w:r>
        <w:t>fueran</w:t>
      </w:r>
      <w:r>
        <w:rPr>
          <w:spacing w:val="-9"/>
        </w:rPr>
        <w:t xml:space="preserve"> </w:t>
      </w:r>
      <w:r>
        <w:lastRenderedPageBreak/>
        <w:t>reemplazados</w:t>
      </w:r>
      <w:r>
        <w:rPr>
          <w:spacing w:val="-7"/>
        </w:rPr>
        <w:t xml:space="preserve"> </w:t>
      </w:r>
      <w:r>
        <w:t>por</w:t>
      </w:r>
      <w:r>
        <w:rPr>
          <w:spacing w:val="-7"/>
        </w:rPr>
        <w:t xml:space="preserve"> </w:t>
      </w:r>
      <w:r>
        <w:rPr>
          <w:spacing w:val="-2"/>
        </w:rPr>
        <w:t>mangueras»</w:t>
      </w:r>
      <w:r w:rsidR="00C1326C">
        <w:rPr>
          <w:rStyle w:val="Refdenotaalpie"/>
          <w:spacing w:val="-2"/>
        </w:rPr>
        <w:footnoteReference w:id="176"/>
      </w:r>
      <w:r>
        <w:rPr>
          <w:spacing w:val="-2"/>
        </w:rPr>
        <w:t>.</w:t>
      </w:r>
    </w:p>
    <w:p w:rsidR="0011361F" w:rsidRDefault="00AF18A5" w:rsidP="00CA0D2F">
      <w:r>
        <w:t>Los</w:t>
      </w:r>
      <w:r>
        <w:rPr>
          <w:spacing w:val="-6"/>
        </w:rPr>
        <w:t xml:space="preserve"> </w:t>
      </w:r>
      <w:r>
        <w:t>sufrimientos</w:t>
      </w:r>
      <w:r>
        <w:rPr>
          <w:spacing w:val="-6"/>
        </w:rPr>
        <w:t xml:space="preserve"> </w:t>
      </w:r>
      <w:r>
        <w:t>que</w:t>
      </w:r>
      <w:r>
        <w:rPr>
          <w:spacing w:val="-6"/>
        </w:rPr>
        <w:t xml:space="preserve"> </w:t>
      </w:r>
      <w:r>
        <w:t>producen</w:t>
      </w:r>
      <w:r>
        <w:rPr>
          <w:spacing w:val="-6"/>
        </w:rPr>
        <w:t xml:space="preserve"> </w:t>
      </w:r>
      <w:r>
        <w:t>ese</w:t>
      </w:r>
      <w:r>
        <w:rPr>
          <w:spacing w:val="-7"/>
        </w:rPr>
        <w:t xml:space="preserve"> </w:t>
      </w:r>
      <w:r>
        <w:t>tipo</w:t>
      </w:r>
      <w:r>
        <w:rPr>
          <w:spacing w:val="-6"/>
        </w:rPr>
        <w:t xml:space="preserve"> </w:t>
      </w:r>
      <w:r>
        <w:t>de</w:t>
      </w:r>
      <w:r>
        <w:rPr>
          <w:spacing w:val="-6"/>
        </w:rPr>
        <w:t xml:space="preserve"> </w:t>
      </w:r>
      <w:r>
        <w:t>armas</w:t>
      </w:r>
      <w:r>
        <w:rPr>
          <w:spacing w:val="-7"/>
        </w:rPr>
        <w:t xml:space="preserve"> </w:t>
      </w:r>
      <w:r>
        <w:t>se</w:t>
      </w:r>
      <w:r>
        <w:rPr>
          <w:spacing w:val="-6"/>
        </w:rPr>
        <w:t xml:space="preserve"> </w:t>
      </w:r>
      <w:r>
        <w:t>extienden</w:t>
      </w:r>
      <w:r>
        <w:rPr>
          <w:spacing w:val="-7"/>
        </w:rPr>
        <w:t xml:space="preserve"> </w:t>
      </w:r>
      <w:r>
        <w:t>el</w:t>
      </w:r>
      <w:r>
        <w:rPr>
          <w:spacing w:val="-6"/>
        </w:rPr>
        <w:t xml:space="preserve"> </w:t>
      </w:r>
      <w:r>
        <w:t>tiempo</w:t>
      </w:r>
      <w:r>
        <w:rPr>
          <w:spacing w:val="-6"/>
        </w:rPr>
        <w:t xml:space="preserve"> </w:t>
      </w:r>
      <w:r>
        <w:t>y</w:t>
      </w:r>
      <w:r>
        <w:rPr>
          <w:spacing w:val="-7"/>
        </w:rPr>
        <w:t xml:space="preserve"> </w:t>
      </w:r>
      <w:r>
        <w:t>las</w:t>
      </w:r>
      <w:r>
        <w:rPr>
          <w:spacing w:val="-6"/>
        </w:rPr>
        <w:t xml:space="preserve"> </w:t>
      </w:r>
      <w:r>
        <w:t>vidas</w:t>
      </w:r>
      <w:r>
        <w:rPr>
          <w:spacing w:val="-6"/>
        </w:rPr>
        <w:t xml:space="preserve"> </w:t>
      </w:r>
      <w:r>
        <w:t>de</w:t>
      </w:r>
      <w:r>
        <w:rPr>
          <w:spacing w:val="-7"/>
        </w:rPr>
        <w:t xml:space="preserve"> </w:t>
      </w:r>
      <w:r>
        <w:t>los sobrevivientes al causar graves heridas y discapacidades por la pérdida de extremidades o afectaciones especialmente a los sentidos y suponen un enorme impacto además en las familias y sistemas de cuidado, necesidades de salud (operaciones posteriores, prótesis a reemplazar)</w:t>
      </w:r>
      <w:r>
        <w:rPr>
          <w:spacing w:val="-13"/>
        </w:rPr>
        <w:t xml:space="preserve"> </w:t>
      </w:r>
      <w:r>
        <w:t>e</w:t>
      </w:r>
      <w:r>
        <w:rPr>
          <w:spacing w:val="-10"/>
        </w:rPr>
        <w:t xml:space="preserve"> </w:t>
      </w:r>
      <w:r>
        <w:t>interferencias</w:t>
      </w:r>
      <w:r>
        <w:rPr>
          <w:spacing w:val="-12"/>
        </w:rPr>
        <w:t xml:space="preserve"> </w:t>
      </w:r>
      <w:r>
        <w:t>en</w:t>
      </w:r>
      <w:r>
        <w:rPr>
          <w:spacing w:val="-11"/>
        </w:rPr>
        <w:t xml:space="preserve"> </w:t>
      </w:r>
      <w:r>
        <w:t>la</w:t>
      </w:r>
      <w:r>
        <w:rPr>
          <w:spacing w:val="-12"/>
        </w:rPr>
        <w:t xml:space="preserve"> </w:t>
      </w:r>
      <w:r>
        <w:t>integración</w:t>
      </w:r>
      <w:r>
        <w:rPr>
          <w:spacing w:val="-12"/>
        </w:rPr>
        <w:t xml:space="preserve"> </w:t>
      </w:r>
      <w:r>
        <w:t>social</w:t>
      </w:r>
      <w:r>
        <w:rPr>
          <w:spacing w:val="-10"/>
        </w:rPr>
        <w:t xml:space="preserve"> </w:t>
      </w:r>
      <w:r>
        <w:t>y</w:t>
      </w:r>
      <w:r>
        <w:rPr>
          <w:spacing w:val="-12"/>
        </w:rPr>
        <w:t xml:space="preserve"> </w:t>
      </w:r>
      <w:r>
        <w:t>familiar</w:t>
      </w:r>
      <w:r>
        <w:rPr>
          <w:spacing w:val="-11"/>
        </w:rPr>
        <w:t xml:space="preserve"> </w:t>
      </w:r>
      <w:r>
        <w:t>(discapacidades,</w:t>
      </w:r>
      <w:r>
        <w:rPr>
          <w:spacing w:val="-11"/>
        </w:rPr>
        <w:t xml:space="preserve"> </w:t>
      </w:r>
      <w:r>
        <w:t>dependencia, entre otras).</w:t>
      </w:r>
    </w:p>
    <w:p w:rsidR="0011361F" w:rsidRDefault="00AF18A5" w:rsidP="004A6EF4">
      <w:pPr>
        <w:pStyle w:val="Ttulo3"/>
        <w:numPr>
          <w:ilvl w:val="1"/>
          <w:numId w:val="16"/>
        </w:numPr>
      </w:pPr>
      <w:bookmarkStart w:id="284" w:name="_bookmark205"/>
      <w:bookmarkStart w:id="285" w:name="_bookmark206"/>
      <w:bookmarkStart w:id="286" w:name="3.17._Ataques_a_bienes_protegidos"/>
      <w:bookmarkStart w:id="287" w:name="_Toc112399576"/>
      <w:bookmarkEnd w:id="284"/>
      <w:bookmarkEnd w:id="285"/>
      <w:bookmarkEnd w:id="286"/>
      <w:r>
        <w:t>Ataques</w:t>
      </w:r>
      <w:r>
        <w:rPr>
          <w:spacing w:val="-2"/>
        </w:rPr>
        <w:t xml:space="preserve"> </w:t>
      </w:r>
      <w:r>
        <w:t>a</w:t>
      </w:r>
      <w:r>
        <w:rPr>
          <w:spacing w:val="-3"/>
        </w:rPr>
        <w:t xml:space="preserve"> </w:t>
      </w:r>
      <w:r>
        <w:t>bienes</w:t>
      </w:r>
      <w:r>
        <w:rPr>
          <w:spacing w:val="-2"/>
        </w:rPr>
        <w:t xml:space="preserve"> protegidos</w:t>
      </w:r>
      <w:bookmarkEnd w:id="287"/>
    </w:p>
    <w:p w:rsidR="003804AC" w:rsidRDefault="00AF18A5" w:rsidP="007469B4">
      <w:r>
        <w:t>«Mi casa me la quemó ese militar, me quemó con toda mi ropita, quedé yo con una mano adelante,</w:t>
      </w:r>
      <w:r>
        <w:rPr>
          <w:spacing w:val="-4"/>
        </w:rPr>
        <w:t xml:space="preserve"> </w:t>
      </w:r>
      <w:r>
        <w:t>otra</w:t>
      </w:r>
      <w:r>
        <w:rPr>
          <w:spacing w:val="-3"/>
        </w:rPr>
        <w:t xml:space="preserve"> </w:t>
      </w:r>
      <w:r>
        <w:t>atrás,</w:t>
      </w:r>
      <w:r>
        <w:rPr>
          <w:spacing w:val="-4"/>
        </w:rPr>
        <w:t xml:space="preserve"> </w:t>
      </w:r>
      <w:r>
        <w:t>la</w:t>
      </w:r>
      <w:r>
        <w:rPr>
          <w:spacing w:val="-5"/>
        </w:rPr>
        <w:t xml:space="preserve"> </w:t>
      </w:r>
      <w:r>
        <w:t>ropa</w:t>
      </w:r>
      <w:r>
        <w:rPr>
          <w:spacing w:val="-3"/>
        </w:rPr>
        <w:t xml:space="preserve"> </w:t>
      </w:r>
      <w:r>
        <w:t>de</w:t>
      </w:r>
      <w:r>
        <w:rPr>
          <w:spacing w:val="-3"/>
        </w:rPr>
        <w:t xml:space="preserve"> </w:t>
      </w:r>
      <w:r>
        <w:t>mis</w:t>
      </w:r>
      <w:r>
        <w:rPr>
          <w:spacing w:val="-3"/>
        </w:rPr>
        <w:t xml:space="preserve"> </w:t>
      </w:r>
      <w:r>
        <w:t>hijos,</w:t>
      </w:r>
      <w:r>
        <w:rPr>
          <w:spacing w:val="-4"/>
        </w:rPr>
        <w:t xml:space="preserve"> </w:t>
      </w:r>
      <w:r>
        <w:t>ellos…</w:t>
      </w:r>
      <w:r>
        <w:rPr>
          <w:spacing w:val="-5"/>
        </w:rPr>
        <w:t xml:space="preserve"> </w:t>
      </w:r>
      <w:r>
        <w:t>ropa</w:t>
      </w:r>
      <w:r>
        <w:rPr>
          <w:spacing w:val="-3"/>
        </w:rPr>
        <w:t xml:space="preserve"> </w:t>
      </w:r>
      <w:r>
        <w:t>de</w:t>
      </w:r>
      <w:r>
        <w:rPr>
          <w:spacing w:val="-3"/>
        </w:rPr>
        <w:t xml:space="preserve"> </w:t>
      </w:r>
      <w:r>
        <w:t>mis</w:t>
      </w:r>
      <w:r>
        <w:rPr>
          <w:spacing w:val="-5"/>
        </w:rPr>
        <w:t xml:space="preserve"> </w:t>
      </w:r>
      <w:r>
        <w:t>sobrinos</w:t>
      </w:r>
      <w:r>
        <w:rPr>
          <w:spacing w:val="-3"/>
        </w:rPr>
        <w:t xml:space="preserve"> </w:t>
      </w:r>
      <w:r>
        <w:t>y</w:t>
      </w:r>
      <w:r>
        <w:rPr>
          <w:spacing w:val="-4"/>
        </w:rPr>
        <w:t xml:space="preserve"> </w:t>
      </w:r>
      <w:r>
        <w:t>de</w:t>
      </w:r>
      <w:r>
        <w:rPr>
          <w:spacing w:val="-3"/>
        </w:rPr>
        <w:t xml:space="preserve"> </w:t>
      </w:r>
      <w:r>
        <w:t>mis</w:t>
      </w:r>
      <w:r>
        <w:rPr>
          <w:spacing w:val="-3"/>
        </w:rPr>
        <w:t xml:space="preserve"> </w:t>
      </w:r>
      <w:r>
        <w:t>hijos,</w:t>
      </w:r>
      <w:r>
        <w:rPr>
          <w:spacing w:val="-5"/>
        </w:rPr>
        <w:t xml:space="preserve"> </w:t>
      </w:r>
      <w:r>
        <w:t>porque yo tenía unos sobrinos huérfanos, ropa de niño, y me quemaron mi casa</w:t>
      </w:r>
      <w:r w:rsidR="007469B4">
        <w:rPr>
          <w:rStyle w:val="Refdenotaalpie"/>
        </w:rPr>
        <w:footnoteReference w:id="177"/>
      </w:r>
      <w:r>
        <w:t>».</w:t>
      </w:r>
    </w:p>
    <w:p w:rsidR="003804AC" w:rsidRDefault="00AF18A5" w:rsidP="007469B4">
      <w:r>
        <w:t>Es</w:t>
      </w:r>
      <w:r>
        <w:rPr>
          <w:spacing w:val="-15"/>
        </w:rPr>
        <w:t xml:space="preserve"> </w:t>
      </w:r>
      <w:r>
        <w:t>el</w:t>
      </w:r>
      <w:r>
        <w:rPr>
          <w:spacing w:val="-15"/>
        </w:rPr>
        <w:t xml:space="preserve"> </w:t>
      </w:r>
      <w:r>
        <w:t>relato</w:t>
      </w:r>
      <w:r>
        <w:rPr>
          <w:spacing w:val="-15"/>
        </w:rPr>
        <w:t xml:space="preserve"> </w:t>
      </w:r>
      <w:r>
        <w:t>de</w:t>
      </w:r>
      <w:r>
        <w:rPr>
          <w:spacing w:val="-15"/>
        </w:rPr>
        <w:t xml:space="preserve"> </w:t>
      </w:r>
      <w:r>
        <w:t>una</w:t>
      </w:r>
      <w:r>
        <w:rPr>
          <w:spacing w:val="-15"/>
        </w:rPr>
        <w:t xml:space="preserve"> </w:t>
      </w:r>
      <w:r>
        <w:t>víctima</w:t>
      </w:r>
      <w:r>
        <w:rPr>
          <w:spacing w:val="-15"/>
        </w:rPr>
        <w:t xml:space="preserve"> </w:t>
      </w:r>
      <w:r>
        <w:t>indígena,</w:t>
      </w:r>
      <w:r>
        <w:rPr>
          <w:spacing w:val="-15"/>
        </w:rPr>
        <w:t xml:space="preserve"> </w:t>
      </w:r>
      <w:r>
        <w:t>que</w:t>
      </w:r>
      <w:r>
        <w:rPr>
          <w:spacing w:val="-15"/>
        </w:rPr>
        <w:t xml:space="preserve"> </w:t>
      </w:r>
      <w:r>
        <w:t>ejerce</w:t>
      </w:r>
      <w:r>
        <w:rPr>
          <w:spacing w:val="-15"/>
        </w:rPr>
        <w:t xml:space="preserve"> </w:t>
      </w:r>
      <w:r>
        <w:t>el</w:t>
      </w:r>
      <w:r>
        <w:rPr>
          <w:spacing w:val="-15"/>
        </w:rPr>
        <w:t xml:space="preserve"> </w:t>
      </w:r>
      <w:r>
        <w:t>liderazgo</w:t>
      </w:r>
      <w:r>
        <w:rPr>
          <w:spacing w:val="-15"/>
        </w:rPr>
        <w:t xml:space="preserve"> </w:t>
      </w:r>
      <w:r>
        <w:t>social</w:t>
      </w:r>
      <w:r>
        <w:rPr>
          <w:spacing w:val="-15"/>
        </w:rPr>
        <w:t xml:space="preserve"> </w:t>
      </w:r>
      <w:r>
        <w:t>en</w:t>
      </w:r>
      <w:r>
        <w:rPr>
          <w:spacing w:val="-15"/>
        </w:rPr>
        <w:t xml:space="preserve"> </w:t>
      </w:r>
      <w:r>
        <w:t>su</w:t>
      </w:r>
      <w:r>
        <w:rPr>
          <w:spacing w:val="-15"/>
        </w:rPr>
        <w:t xml:space="preserve"> </w:t>
      </w:r>
      <w:r>
        <w:t>comunidad.</w:t>
      </w:r>
      <w:r>
        <w:rPr>
          <w:spacing w:val="-15"/>
        </w:rPr>
        <w:t xml:space="preserve"> </w:t>
      </w:r>
      <w:r>
        <w:t>Relata cómo,</w:t>
      </w:r>
      <w:r>
        <w:rPr>
          <w:spacing w:val="-10"/>
        </w:rPr>
        <w:t xml:space="preserve"> </w:t>
      </w:r>
      <w:r>
        <w:t>en</w:t>
      </w:r>
      <w:r>
        <w:rPr>
          <w:spacing w:val="-10"/>
        </w:rPr>
        <w:t xml:space="preserve"> </w:t>
      </w:r>
      <w:r>
        <w:t>2007</w:t>
      </w:r>
      <w:r>
        <w:rPr>
          <w:spacing w:val="-10"/>
        </w:rPr>
        <w:t xml:space="preserve"> </w:t>
      </w:r>
      <w:r>
        <w:t>en</w:t>
      </w:r>
      <w:r>
        <w:rPr>
          <w:spacing w:val="-10"/>
        </w:rPr>
        <w:t xml:space="preserve"> </w:t>
      </w:r>
      <w:r>
        <w:t>el</w:t>
      </w:r>
      <w:r>
        <w:rPr>
          <w:spacing w:val="-9"/>
        </w:rPr>
        <w:t xml:space="preserve"> </w:t>
      </w:r>
      <w:r>
        <w:t>Valle</w:t>
      </w:r>
      <w:r>
        <w:rPr>
          <w:spacing w:val="-9"/>
        </w:rPr>
        <w:t xml:space="preserve"> </w:t>
      </w:r>
      <w:r>
        <w:t>del</w:t>
      </w:r>
      <w:r>
        <w:rPr>
          <w:spacing w:val="-9"/>
        </w:rPr>
        <w:t xml:space="preserve"> </w:t>
      </w:r>
      <w:proofErr w:type="spellStart"/>
      <w:r>
        <w:t>Guamuéz</w:t>
      </w:r>
      <w:proofErr w:type="spellEnd"/>
      <w:r>
        <w:t>,</w:t>
      </w:r>
      <w:r>
        <w:rPr>
          <w:spacing w:val="-10"/>
        </w:rPr>
        <w:t xml:space="preserve"> </w:t>
      </w:r>
      <w:r>
        <w:t>Putumayo,</w:t>
      </w:r>
      <w:r>
        <w:rPr>
          <w:spacing w:val="-10"/>
        </w:rPr>
        <w:t xml:space="preserve"> </w:t>
      </w:r>
      <w:r>
        <w:t>un</w:t>
      </w:r>
      <w:r>
        <w:rPr>
          <w:spacing w:val="-10"/>
        </w:rPr>
        <w:t xml:space="preserve"> </w:t>
      </w:r>
      <w:r>
        <w:t>suboficial</w:t>
      </w:r>
      <w:r>
        <w:rPr>
          <w:spacing w:val="-9"/>
        </w:rPr>
        <w:t xml:space="preserve"> </w:t>
      </w:r>
      <w:r>
        <w:t>del</w:t>
      </w:r>
      <w:r>
        <w:rPr>
          <w:spacing w:val="-9"/>
        </w:rPr>
        <w:t xml:space="preserve"> </w:t>
      </w:r>
      <w:r>
        <w:t>Ejército</w:t>
      </w:r>
      <w:r>
        <w:rPr>
          <w:spacing w:val="-10"/>
        </w:rPr>
        <w:t xml:space="preserve"> </w:t>
      </w:r>
      <w:r>
        <w:t>quemó</w:t>
      </w:r>
      <w:r>
        <w:rPr>
          <w:spacing w:val="-10"/>
        </w:rPr>
        <w:t xml:space="preserve"> </w:t>
      </w:r>
      <w:r>
        <w:t>su</w:t>
      </w:r>
      <w:r>
        <w:rPr>
          <w:spacing w:val="-10"/>
        </w:rPr>
        <w:t xml:space="preserve"> </w:t>
      </w:r>
      <w:r>
        <w:t>casa por haber organizado una marcha contra el Ejército por las agresiones constantes de las que eran víctimas y por el asesinato de seis civiles. Los bienes que según el DIH no pueden constituir</w:t>
      </w:r>
      <w:r>
        <w:rPr>
          <w:spacing w:val="-4"/>
        </w:rPr>
        <w:t xml:space="preserve"> </w:t>
      </w:r>
      <w:r>
        <w:t>objetivos</w:t>
      </w:r>
      <w:r>
        <w:rPr>
          <w:spacing w:val="-5"/>
        </w:rPr>
        <w:t xml:space="preserve"> </w:t>
      </w:r>
      <w:r>
        <w:t>militares,</w:t>
      </w:r>
      <w:r>
        <w:rPr>
          <w:spacing w:val="-5"/>
        </w:rPr>
        <w:t xml:space="preserve"> </w:t>
      </w:r>
      <w:r>
        <w:t>como</w:t>
      </w:r>
      <w:r>
        <w:rPr>
          <w:spacing w:val="-5"/>
        </w:rPr>
        <w:t xml:space="preserve"> </w:t>
      </w:r>
      <w:r>
        <w:t>los</w:t>
      </w:r>
      <w:r>
        <w:rPr>
          <w:spacing w:val="-5"/>
        </w:rPr>
        <w:t xml:space="preserve"> </w:t>
      </w:r>
      <w:r>
        <w:t>elementos</w:t>
      </w:r>
      <w:r>
        <w:rPr>
          <w:spacing w:val="-5"/>
        </w:rPr>
        <w:t xml:space="preserve"> </w:t>
      </w:r>
      <w:r>
        <w:t>indispensables</w:t>
      </w:r>
      <w:r>
        <w:rPr>
          <w:spacing w:val="-4"/>
        </w:rPr>
        <w:t xml:space="preserve"> </w:t>
      </w:r>
      <w:r>
        <w:t>para</w:t>
      </w:r>
      <w:r>
        <w:rPr>
          <w:spacing w:val="-4"/>
        </w:rPr>
        <w:t xml:space="preserve"> </w:t>
      </w:r>
      <w:r>
        <w:t>la</w:t>
      </w:r>
      <w:r>
        <w:rPr>
          <w:spacing w:val="-6"/>
        </w:rPr>
        <w:t xml:space="preserve"> </w:t>
      </w:r>
      <w:r>
        <w:t>supervivencia</w:t>
      </w:r>
      <w:r>
        <w:rPr>
          <w:spacing w:val="-4"/>
        </w:rPr>
        <w:t xml:space="preserve"> </w:t>
      </w:r>
      <w:r>
        <w:t>de</w:t>
      </w:r>
      <w:r>
        <w:rPr>
          <w:spacing w:val="-4"/>
        </w:rPr>
        <w:t xml:space="preserve"> </w:t>
      </w:r>
      <w:r>
        <w:t>la población</w:t>
      </w:r>
      <w:r>
        <w:rPr>
          <w:spacing w:val="-6"/>
        </w:rPr>
        <w:t xml:space="preserve"> </w:t>
      </w:r>
      <w:r>
        <w:t>civil,</w:t>
      </w:r>
      <w:r>
        <w:rPr>
          <w:spacing w:val="-6"/>
        </w:rPr>
        <w:t xml:space="preserve"> </w:t>
      </w:r>
      <w:r>
        <w:t>las</w:t>
      </w:r>
      <w:r>
        <w:rPr>
          <w:spacing w:val="-6"/>
        </w:rPr>
        <w:t xml:space="preserve"> </w:t>
      </w:r>
      <w:r>
        <w:t>unidades</w:t>
      </w:r>
      <w:r>
        <w:rPr>
          <w:spacing w:val="-5"/>
        </w:rPr>
        <w:t xml:space="preserve"> </w:t>
      </w:r>
      <w:r>
        <w:t>y</w:t>
      </w:r>
      <w:r>
        <w:rPr>
          <w:spacing w:val="-6"/>
        </w:rPr>
        <w:t xml:space="preserve"> </w:t>
      </w:r>
      <w:r>
        <w:t>los</w:t>
      </w:r>
      <w:r>
        <w:rPr>
          <w:spacing w:val="-6"/>
        </w:rPr>
        <w:t xml:space="preserve"> </w:t>
      </w:r>
      <w:r>
        <w:t>medios</w:t>
      </w:r>
      <w:r>
        <w:rPr>
          <w:spacing w:val="-5"/>
        </w:rPr>
        <w:t xml:space="preserve"> </w:t>
      </w:r>
      <w:r>
        <w:t>de</w:t>
      </w:r>
      <w:r>
        <w:rPr>
          <w:spacing w:val="-6"/>
        </w:rPr>
        <w:t xml:space="preserve"> </w:t>
      </w:r>
      <w:r>
        <w:t>transporte</w:t>
      </w:r>
      <w:r>
        <w:rPr>
          <w:spacing w:val="-6"/>
        </w:rPr>
        <w:t xml:space="preserve"> </w:t>
      </w:r>
      <w:r>
        <w:t>sanitarios,</w:t>
      </w:r>
      <w:r>
        <w:rPr>
          <w:spacing w:val="-5"/>
        </w:rPr>
        <w:t xml:space="preserve"> </w:t>
      </w:r>
      <w:r>
        <w:t>los</w:t>
      </w:r>
      <w:r>
        <w:rPr>
          <w:spacing w:val="-5"/>
        </w:rPr>
        <w:t xml:space="preserve"> </w:t>
      </w:r>
      <w:r>
        <w:t>bienes</w:t>
      </w:r>
      <w:r>
        <w:rPr>
          <w:spacing w:val="-5"/>
        </w:rPr>
        <w:t xml:space="preserve"> </w:t>
      </w:r>
      <w:r>
        <w:t>culturales</w:t>
      </w:r>
      <w:r>
        <w:rPr>
          <w:spacing w:val="-6"/>
        </w:rPr>
        <w:t xml:space="preserve"> </w:t>
      </w:r>
      <w:r>
        <w:t>y</w:t>
      </w:r>
      <w:r>
        <w:rPr>
          <w:spacing w:val="-5"/>
        </w:rPr>
        <w:t xml:space="preserve"> </w:t>
      </w:r>
      <w:r>
        <w:t>los lugares de culto, los espacios educativos como escuelas, han sido objeto de ataques indiscriminados o han sido usados en enfrentamientos armados en diferentes momentos del conflicto armado.</w:t>
      </w:r>
    </w:p>
    <w:p w:rsidR="003804AC" w:rsidRDefault="00AF18A5" w:rsidP="007469B4">
      <w:r>
        <w:lastRenderedPageBreak/>
        <w:t>A medida que se agudizaron las confrontaciones, las guerrillas, los paramilitares y la fuerza</w:t>
      </w:r>
      <w:r>
        <w:rPr>
          <w:spacing w:val="-14"/>
        </w:rPr>
        <w:t xml:space="preserve"> </w:t>
      </w:r>
      <w:r>
        <w:t>pública</w:t>
      </w:r>
      <w:r>
        <w:rPr>
          <w:spacing w:val="-14"/>
        </w:rPr>
        <w:t xml:space="preserve"> </w:t>
      </w:r>
      <w:r>
        <w:t>llevaron</w:t>
      </w:r>
      <w:r>
        <w:rPr>
          <w:spacing w:val="-14"/>
        </w:rPr>
        <w:t xml:space="preserve"> </w:t>
      </w:r>
      <w:r>
        <w:t>a</w:t>
      </w:r>
      <w:r>
        <w:rPr>
          <w:spacing w:val="-15"/>
        </w:rPr>
        <w:t xml:space="preserve"> </w:t>
      </w:r>
      <w:r>
        <w:t>cabo</w:t>
      </w:r>
      <w:r>
        <w:rPr>
          <w:spacing w:val="-14"/>
        </w:rPr>
        <w:t xml:space="preserve"> </w:t>
      </w:r>
      <w:r>
        <w:t>ataques</w:t>
      </w:r>
      <w:r>
        <w:rPr>
          <w:spacing w:val="-14"/>
        </w:rPr>
        <w:t xml:space="preserve"> </w:t>
      </w:r>
      <w:r>
        <w:t>en</w:t>
      </w:r>
      <w:r>
        <w:rPr>
          <w:spacing w:val="-14"/>
        </w:rPr>
        <w:t xml:space="preserve"> </w:t>
      </w:r>
      <w:r>
        <w:t>que</w:t>
      </w:r>
      <w:r>
        <w:rPr>
          <w:spacing w:val="-14"/>
        </w:rPr>
        <w:t xml:space="preserve"> </w:t>
      </w:r>
      <w:r>
        <w:t>buscaron</w:t>
      </w:r>
      <w:r>
        <w:rPr>
          <w:spacing w:val="-14"/>
        </w:rPr>
        <w:t xml:space="preserve"> </w:t>
      </w:r>
      <w:r>
        <w:t>ventajas</w:t>
      </w:r>
      <w:r>
        <w:rPr>
          <w:spacing w:val="-14"/>
        </w:rPr>
        <w:t xml:space="preserve"> </w:t>
      </w:r>
      <w:r>
        <w:t>militares</w:t>
      </w:r>
      <w:r>
        <w:rPr>
          <w:spacing w:val="-15"/>
        </w:rPr>
        <w:t xml:space="preserve"> </w:t>
      </w:r>
      <w:r>
        <w:t>en</w:t>
      </w:r>
      <w:r>
        <w:rPr>
          <w:spacing w:val="-14"/>
        </w:rPr>
        <w:t xml:space="preserve"> </w:t>
      </w:r>
      <w:r>
        <w:t>territorios</w:t>
      </w:r>
      <w:r>
        <w:rPr>
          <w:spacing w:val="-15"/>
        </w:rPr>
        <w:t xml:space="preserve"> </w:t>
      </w:r>
      <w:r>
        <w:t>donde las comunidades fueron el espacio de disputa y enfrentamiento. Los ataques generan daños graves sobre casas, iglesias, escuelas, centros de salud y hospitales. Sumado al daño físico, los ataques transformaron modos de vida, afectan estructuras dedicadas a la educación o la religión, el trabajo municipal o la recreación. Dejan a las víctimas con sentimientos de desprotección e impotencia por la violación de los espacios colectivos o de protección comunitaria. Se registra de manera recurrente el uso deliberado de esos bienes protegidos como escudos en medio de los combates, o su ocupación para fines bélicos.</w:t>
      </w:r>
    </w:p>
    <w:p w:rsidR="0011361F" w:rsidRDefault="00AF18A5" w:rsidP="007469B4">
      <w:r>
        <w:t>De acuerdo con los datos del CNMH, entre 1985 y 2021 se registraron 21.197 hechos de ataques a bienes protegidos</w:t>
      </w:r>
      <w:r w:rsidR="007469B4">
        <w:rPr>
          <w:rStyle w:val="Refdenotaalpie"/>
        </w:rPr>
        <w:footnoteReference w:id="178"/>
      </w:r>
      <w:r>
        <w:t>, de los que fueron víctimas 6.772 civiles.</w:t>
      </w:r>
    </w:p>
    <w:p w:rsidR="007469B4" w:rsidRDefault="007469B4" w:rsidP="007469B4">
      <w:pPr>
        <w:pStyle w:val="Descripcin"/>
        <w:keepNext/>
      </w:pPr>
      <w:bookmarkStart w:id="288" w:name="_bookmark208"/>
      <w:bookmarkStart w:id="289" w:name="_bookmark209"/>
      <w:bookmarkEnd w:id="288"/>
      <w:bookmarkEnd w:id="289"/>
      <w:r>
        <w:lastRenderedPageBreak/>
        <w:t xml:space="preserve">Gráfica </w:t>
      </w:r>
      <w:r w:rsidR="005F4072">
        <w:fldChar w:fldCharType="begin"/>
      </w:r>
      <w:r w:rsidR="005F4072">
        <w:instrText xml:space="preserve"> SEQ Gráfica \* ARABIC </w:instrText>
      </w:r>
      <w:r w:rsidR="005F4072">
        <w:fldChar w:fldCharType="separate"/>
      </w:r>
      <w:r w:rsidR="005F4072">
        <w:rPr>
          <w:noProof/>
        </w:rPr>
        <w:t>12</w:t>
      </w:r>
      <w:r w:rsidR="005F4072">
        <w:fldChar w:fldCharType="end"/>
      </w:r>
      <w:r w:rsidRPr="008A1FAD">
        <w:t>. Hechos y civiles heridos en ataques a bienes protegidos (1985-2021)</w:t>
      </w:r>
    </w:p>
    <w:p w:rsidR="003804AC" w:rsidRDefault="00AF18A5" w:rsidP="007469B4">
      <w:pPr>
        <w:rPr>
          <w:sz w:val="20"/>
        </w:rPr>
      </w:pPr>
      <w:r w:rsidRPr="007469B4">
        <w:rPr>
          <w:noProof/>
        </w:rPr>
        <w:drawing>
          <wp:inline distT="0" distB="0" distL="0" distR="0">
            <wp:extent cx="5530459" cy="3504247"/>
            <wp:effectExtent l="0" t="0" r="0" b="0"/>
            <wp:docPr id="25" name="image13.png"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30459" cy="3504247"/>
                    </a:xfrm>
                    <a:prstGeom prst="rect">
                      <a:avLst/>
                    </a:prstGeom>
                  </pic:spPr>
                </pic:pic>
              </a:graphicData>
            </a:graphic>
          </wp:inline>
        </w:drawing>
      </w:r>
    </w:p>
    <w:p w:rsidR="0011361F" w:rsidRPr="00CA2E87" w:rsidRDefault="00AF18A5" w:rsidP="00CA2E87">
      <w:r w:rsidRPr="00CA2E87">
        <w:t>Fuente: Comisión de la Verdad y Centro Nacional de Memoria Histórica.</w:t>
      </w:r>
    </w:p>
    <w:p w:rsidR="003804AC" w:rsidRDefault="00AF18A5" w:rsidP="00CA2E87">
      <w:r>
        <w:t>La</w:t>
      </w:r>
      <w:r>
        <w:rPr>
          <w:spacing w:val="-13"/>
        </w:rPr>
        <w:t xml:space="preserve"> </w:t>
      </w:r>
      <w:r>
        <w:t>destrucción</w:t>
      </w:r>
      <w:r>
        <w:rPr>
          <w:spacing w:val="-13"/>
        </w:rPr>
        <w:t xml:space="preserve"> </w:t>
      </w:r>
      <w:r>
        <w:t>de</w:t>
      </w:r>
      <w:r>
        <w:rPr>
          <w:spacing w:val="-13"/>
        </w:rPr>
        <w:t xml:space="preserve"> </w:t>
      </w:r>
      <w:r>
        <w:t>centros</w:t>
      </w:r>
      <w:r>
        <w:rPr>
          <w:spacing w:val="-13"/>
        </w:rPr>
        <w:t xml:space="preserve"> </w:t>
      </w:r>
      <w:r>
        <w:t>poblados</w:t>
      </w:r>
      <w:r>
        <w:rPr>
          <w:spacing w:val="-13"/>
        </w:rPr>
        <w:t xml:space="preserve"> </w:t>
      </w:r>
      <w:r>
        <w:t>en</w:t>
      </w:r>
      <w:r>
        <w:rPr>
          <w:spacing w:val="-13"/>
        </w:rPr>
        <w:t xml:space="preserve"> </w:t>
      </w:r>
      <w:r>
        <w:t>medio</w:t>
      </w:r>
      <w:r>
        <w:rPr>
          <w:spacing w:val="-13"/>
        </w:rPr>
        <w:t xml:space="preserve"> </w:t>
      </w:r>
      <w:r>
        <w:t>de</w:t>
      </w:r>
      <w:r>
        <w:rPr>
          <w:spacing w:val="-13"/>
        </w:rPr>
        <w:t xml:space="preserve"> </w:t>
      </w:r>
      <w:r>
        <w:t>estrategias</w:t>
      </w:r>
      <w:r>
        <w:rPr>
          <w:spacing w:val="-13"/>
        </w:rPr>
        <w:t xml:space="preserve"> </w:t>
      </w:r>
      <w:r>
        <w:t>de</w:t>
      </w:r>
      <w:r>
        <w:rPr>
          <w:spacing w:val="-14"/>
        </w:rPr>
        <w:t xml:space="preserve"> </w:t>
      </w:r>
      <w:r>
        <w:t>arrasamiento</w:t>
      </w:r>
      <w:r>
        <w:rPr>
          <w:spacing w:val="-13"/>
        </w:rPr>
        <w:t xml:space="preserve"> </w:t>
      </w:r>
      <w:r>
        <w:t>son</w:t>
      </w:r>
      <w:r>
        <w:rPr>
          <w:spacing w:val="-13"/>
        </w:rPr>
        <w:t xml:space="preserve"> </w:t>
      </w:r>
      <w:r>
        <w:t>la</w:t>
      </w:r>
      <w:r>
        <w:rPr>
          <w:spacing w:val="-13"/>
        </w:rPr>
        <w:t xml:space="preserve"> </w:t>
      </w:r>
      <w:r>
        <w:t>forma</w:t>
      </w:r>
      <w:r>
        <w:rPr>
          <w:spacing w:val="-13"/>
        </w:rPr>
        <w:t xml:space="preserve"> </w:t>
      </w:r>
      <w:r>
        <w:t>más violenta de esas prácticas; fueron llevadas a cabo principalmente por los paramilitares y las guerrillas. Los ataques involucran otras violaciones o infracciones, como las masacres o las desapariciones forzadas.</w:t>
      </w:r>
      <w:r>
        <w:rPr>
          <w:spacing w:val="-1"/>
        </w:rPr>
        <w:t xml:space="preserve"> </w:t>
      </w:r>
      <w:r>
        <w:t>Las FARC-EP realizaron numerosas</w:t>
      </w:r>
      <w:r>
        <w:rPr>
          <w:spacing w:val="-1"/>
        </w:rPr>
        <w:t xml:space="preserve"> </w:t>
      </w:r>
      <w:r>
        <w:t>tomas</w:t>
      </w:r>
      <w:r>
        <w:rPr>
          <w:spacing w:val="-1"/>
        </w:rPr>
        <w:t xml:space="preserve"> </w:t>
      </w:r>
      <w:r>
        <w:t>de cascos urbanos para atacar puestos de policía, bases militares o sedes de entidades públicas, en las que el uso de armas indiscriminadas como bombas, cilindros u otras llevaron a destrucción de casas, instalaciones o incluso cuadras enteras.</w:t>
      </w:r>
    </w:p>
    <w:p w:rsidR="003804AC" w:rsidRDefault="00AF18A5" w:rsidP="00CA2E87">
      <w:r>
        <w:t xml:space="preserve">Entre los ataques a bienes protegidos se incluyen ataques a lugares de culto, ataques a bienes sanitarios, ataques a bienes culturales, ataques </w:t>
      </w:r>
      <w:r>
        <w:lastRenderedPageBreak/>
        <w:t>a la infraestructura energética y eléctrica,</w:t>
      </w:r>
      <w:r>
        <w:rPr>
          <w:spacing w:val="-10"/>
        </w:rPr>
        <w:t xml:space="preserve"> </w:t>
      </w:r>
      <w:r>
        <w:t>y</w:t>
      </w:r>
      <w:r>
        <w:rPr>
          <w:spacing w:val="-11"/>
        </w:rPr>
        <w:t xml:space="preserve"> </w:t>
      </w:r>
      <w:r>
        <w:t>finalmente</w:t>
      </w:r>
      <w:r>
        <w:rPr>
          <w:spacing w:val="-11"/>
        </w:rPr>
        <w:t xml:space="preserve"> </w:t>
      </w:r>
      <w:r>
        <w:t>ataques</w:t>
      </w:r>
      <w:r>
        <w:rPr>
          <w:spacing w:val="-9"/>
        </w:rPr>
        <w:t xml:space="preserve"> </w:t>
      </w:r>
      <w:r>
        <w:t>a</w:t>
      </w:r>
      <w:r>
        <w:rPr>
          <w:spacing w:val="-9"/>
        </w:rPr>
        <w:t xml:space="preserve"> </w:t>
      </w:r>
      <w:r>
        <w:t>oleoductos.</w:t>
      </w:r>
      <w:r>
        <w:rPr>
          <w:spacing w:val="-10"/>
        </w:rPr>
        <w:t xml:space="preserve"> </w:t>
      </w:r>
      <w:r>
        <w:t>Todos</w:t>
      </w:r>
      <w:r>
        <w:rPr>
          <w:spacing w:val="-10"/>
        </w:rPr>
        <w:t xml:space="preserve"> </w:t>
      </w:r>
      <w:r>
        <w:t>ellos</w:t>
      </w:r>
      <w:r>
        <w:rPr>
          <w:spacing w:val="-10"/>
        </w:rPr>
        <w:t xml:space="preserve"> </w:t>
      </w:r>
      <w:r>
        <w:t>con</w:t>
      </w:r>
      <w:r>
        <w:rPr>
          <w:spacing w:val="-12"/>
        </w:rPr>
        <w:t xml:space="preserve"> </w:t>
      </w:r>
      <w:r>
        <w:t>graves</w:t>
      </w:r>
      <w:r>
        <w:rPr>
          <w:spacing w:val="-11"/>
        </w:rPr>
        <w:t xml:space="preserve"> </w:t>
      </w:r>
      <w:r>
        <w:t>afectaciones</w:t>
      </w:r>
      <w:r>
        <w:rPr>
          <w:spacing w:val="-11"/>
        </w:rPr>
        <w:t xml:space="preserve"> </w:t>
      </w:r>
      <w:r>
        <w:t>para</w:t>
      </w:r>
      <w:r>
        <w:rPr>
          <w:spacing w:val="-11"/>
        </w:rPr>
        <w:t xml:space="preserve"> </w:t>
      </w:r>
      <w:r>
        <w:t>la</w:t>
      </w:r>
      <w:r>
        <w:rPr>
          <w:spacing w:val="-9"/>
        </w:rPr>
        <w:t xml:space="preserve"> </w:t>
      </w:r>
      <w:r>
        <w:t>vida de</w:t>
      </w:r>
      <w:r>
        <w:rPr>
          <w:spacing w:val="-9"/>
        </w:rPr>
        <w:t xml:space="preserve"> </w:t>
      </w:r>
      <w:r>
        <w:t>las</w:t>
      </w:r>
      <w:r>
        <w:rPr>
          <w:spacing w:val="-11"/>
        </w:rPr>
        <w:t xml:space="preserve"> </w:t>
      </w:r>
      <w:r>
        <w:t>comunidades</w:t>
      </w:r>
      <w:r>
        <w:rPr>
          <w:spacing w:val="-11"/>
        </w:rPr>
        <w:t xml:space="preserve"> </w:t>
      </w:r>
      <w:r>
        <w:t>afectadas</w:t>
      </w:r>
      <w:r>
        <w:rPr>
          <w:spacing w:val="-9"/>
        </w:rPr>
        <w:t xml:space="preserve"> </w:t>
      </w:r>
      <w:r>
        <w:t>y</w:t>
      </w:r>
      <w:r>
        <w:rPr>
          <w:spacing w:val="-11"/>
        </w:rPr>
        <w:t xml:space="preserve"> </w:t>
      </w:r>
      <w:r>
        <w:t>muchos</w:t>
      </w:r>
      <w:r>
        <w:rPr>
          <w:spacing w:val="-10"/>
        </w:rPr>
        <w:t xml:space="preserve"> </w:t>
      </w:r>
      <w:r>
        <w:t>de</w:t>
      </w:r>
      <w:r>
        <w:rPr>
          <w:spacing w:val="-9"/>
        </w:rPr>
        <w:t xml:space="preserve"> </w:t>
      </w:r>
      <w:r>
        <w:t>ellos</w:t>
      </w:r>
      <w:r>
        <w:rPr>
          <w:spacing w:val="-11"/>
        </w:rPr>
        <w:t xml:space="preserve"> </w:t>
      </w:r>
      <w:r>
        <w:t>con</w:t>
      </w:r>
      <w:r>
        <w:rPr>
          <w:spacing w:val="-10"/>
        </w:rPr>
        <w:t xml:space="preserve"> </w:t>
      </w:r>
      <w:r>
        <w:t>afectaciones</w:t>
      </w:r>
      <w:r>
        <w:rPr>
          <w:spacing w:val="-9"/>
        </w:rPr>
        <w:t xml:space="preserve"> </w:t>
      </w:r>
      <w:r>
        <w:t>para</w:t>
      </w:r>
      <w:r>
        <w:rPr>
          <w:spacing w:val="-9"/>
        </w:rPr>
        <w:t xml:space="preserve"> </w:t>
      </w:r>
      <w:r>
        <w:t>la</w:t>
      </w:r>
      <w:r>
        <w:rPr>
          <w:spacing w:val="-12"/>
        </w:rPr>
        <w:t xml:space="preserve"> </w:t>
      </w:r>
      <w:r>
        <w:t>naturaleza</w:t>
      </w:r>
      <w:r>
        <w:rPr>
          <w:spacing w:val="-11"/>
        </w:rPr>
        <w:t xml:space="preserve"> </w:t>
      </w:r>
      <w:r>
        <w:t>e</w:t>
      </w:r>
      <w:r>
        <w:rPr>
          <w:spacing w:val="-11"/>
        </w:rPr>
        <w:t xml:space="preserve"> </w:t>
      </w:r>
      <w:r>
        <w:t>incluso se</w:t>
      </w:r>
      <w:r>
        <w:rPr>
          <w:spacing w:val="45"/>
        </w:rPr>
        <w:t xml:space="preserve"> </w:t>
      </w:r>
      <w:r>
        <w:t>registran</w:t>
      </w:r>
      <w:r>
        <w:rPr>
          <w:spacing w:val="44"/>
        </w:rPr>
        <w:t xml:space="preserve"> </w:t>
      </w:r>
      <w:r>
        <w:t>víctimas</w:t>
      </w:r>
      <w:r>
        <w:rPr>
          <w:spacing w:val="44"/>
        </w:rPr>
        <w:t xml:space="preserve"> </w:t>
      </w:r>
      <w:r>
        <w:t>que</w:t>
      </w:r>
      <w:r>
        <w:rPr>
          <w:spacing w:val="46"/>
        </w:rPr>
        <w:t xml:space="preserve"> </w:t>
      </w:r>
      <w:r>
        <w:t>murieron</w:t>
      </w:r>
      <w:r>
        <w:rPr>
          <w:spacing w:val="44"/>
        </w:rPr>
        <w:t xml:space="preserve"> </w:t>
      </w:r>
      <w:r>
        <w:t>en</w:t>
      </w:r>
      <w:r>
        <w:rPr>
          <w:spacing w:val="45"/>
        </w:rPr>
        <w:t xml:space="preserve"> </w:t>
      </w:r>
      <w:r>
        <w:t>medio</w:t>
      </w:r>
      <w:r>
        <w:rPr>
          <w:spacing w:val="44"/>
        </w:rPr>
        <w:t xml:space="preserve"> </w:t>
      </w:r>
      <w:r>
        <w:t>del</w:t>
      </w:r>
      <w:r>
        <w:rPr>
          <w:spacing w:val="46"/>
        </w:rPr>
        <w:t xml:space="preserve"> </w:t>
      </w:r>
      <w:r>
        <w:t>fuego</w:t>
      </w:r>
      <w:r>
        <w:rPr>
          <w:spacing w:val="45"/>
        </w:rPr>
        <w:t xml:space="preserve"> </w:t>
      </w:r>
      <w:r>
        <w:t>provocado</w:t>
      </w:r>
      <w:r>
        <w:rPr>
          <w:spacing w:val="45"/>
        </w:rPr>
        <w:t xml:space="preserve"> </w:t>
      </w:r>
      <w:r>
        <w:t>como</w:t>
      </w:r>
      <w:r>
        <w:rPr>
          <w:spacing w:val="45"/>
        </w:rPr>
        <w:t xml:space="preserve"> </w:t>
      </w:r>
      <w:r>
        <w:t>en</w:t>
      </w:r>
      <w:r>
        <w:rPr>
          <w:spacing w:val="45"/>
        </w:rPr>
        <w:t xml:space="preserve"> </w:t>
      </w:r>
      <w:r>
        <w:t>el</w:t>
      </w:r>
      <w:r>
        <w:rPr>
          <w:spacing w:val="45"/>
        </w:rPr>
        <w:t xml:space="preserve"> </w:t>
      </w:r>
      <w:r>
        <w:t>caso</w:t>
      </w:r>
      <w:r>
        <w:rPr>
          <w:spacing w:val="46"/>
        </w:rPr>
        <w:t xml:space="preserve"> </w:t>
      </w:r>
      <w:r>
        <w:rPr>
          <w:spacing w:val="-5"/>
        </w:rPr>
        <w:t>de</w:t>
      </w:r>
      <w:r w:rsidR="00CA2E87">
        <w:t xml:space="preserve"> </w:t>
      </w:r>
      <w:r>
        <w:t>Machuca en un atentado del ELN contra el oleoducto Central de Colombia el 18 de octubre de 1998.</w:t>
      </w:r>
    </w:p>
    <w:p w:rsidR="003804AC" w:rsidRDefault="00AF18A5" w:rsidP="004A6EF4">
      <w:pPr>
        <w:pStyle w:val="Ttulo3"/>
        <w:numPr>
          <w:ilvl w:val="1"/>
          <w:numId w:val="16"/>
        </w:numPr>
      </w:pPr>
      <w:bookmarkStart w:id="290" w:name="3.18._La_libertad_de_residir,_circular_y"/>
      <w:bookmarkStart w:id="291" w:name="_Toc112399577"/>
      <w:bookmarkEnd w:id="290"/>
      <w:r>
        <w:t>La libertad de residir, circular y poseer: el desplazamiento forzado, el confinamiento y el despojo</w:t>
      </w:r>
      <w:bookmarkEnd w:id="291"/>
    </w:p>
    <w:p w:rsidR="003804AC" w:rsidRDefault="00AF18A5" w:rsidP="00E53DBB">
      <w:r>
        <w:t>Expulsar, encerrar y desplazar fue la práctica más frecuente en las que se vulneraron valores</w:t>
      </w:r>
      <w:r>
        <w:rPr>
          <w:spacing w:val="-6"/>
        </w:rPr>
        <w:t xml:space="preserve"> </w:t>
      </w:r>
      <w:r>
        <w:t>más</w:t>
      </w:r>
      <w:r>
        <w:rPr>
          <w:spacing w:val="-6"/>
        </w:rPr>
        <w:t xml:space="preserve"> </w:t>
      </w:r>
      <w:r>
        <w:t>importantes</w:t>
      </w:r>
      <w:r>
        <w:rPr>
          <w:spacing w:val="-5"/>
        </w:rPr>
        <w:t xml:space="preserve"> </w:t>
      </w:r>
      <w:r>
        <w:t>del</w:t>
      </w:r>
      <w:r>
        <w:rPr>
          <w:spacing w:val="-4"/>
        </w:rPr>
        <w:t xml:space="preserve"> </w:t>
      </w:r>
      <w:r>
        <w:t>ser</w:t>
      </w:r>
      <w:r>
        <w:rPr>
          <w:spacing w:val="-4"/>
        </w:rPr>
        <w:t xml:space="preserve"> </w:t>
      </w:r>
      <w:r>
        <w:t>humano:</w:t>
      </w:r>
      <w:r>
        <w:rPr>
          <w:spacing w:val="-4"/>
        </w:rPr>
        <w:t xml:space="preserve"> </w:t>
      </w:r>
      <w:r>
        <w:t>su</w:t>
      </w:r>
      <w:r>
        <w:rPr>
          <w:spacing w:val="-5"/>
        </w:rPr>
        <w:t xml:space="preserve"> </w:t>
      </w:r>
      <w:r>
        <w:t>residencia,</w:t>
      </w:r>
      <w:r>
        <w:rPr>
          <w:spacing w:val="-5"/>
        </w:rPr>
        <w:t xml:space="preserve"> </w:t>
      </w:r>
      <w:r>
        <w:t>su</w:t>
      </w:r>
      <w:r>
        <w:rPr>
          <w:spacing w:val="-5"/>
        </w:rPr>
        <w:t xml:space="preserve"> </w:t>
      </w:r>
      <w:r>
        <w:t>territorio,</w:t>
      </w:r>
      <w:r>
        <w:rPr>
          <w:spacing w:val="-5"/>
        </w:rPr>
        <w:t xml:space="preserve"> </w:t>
      </w:r>
      <w:r>
        <w:t>su</w:t>
      </w:r>
      <w:r>
        <w:rPr>
          <w:spacing w:val="-5"/>
        </w:rPr>
        <w:t xml:space="preserve"> </w:t>
      </w:r>
      <w:r>
        <w:t>libre</w:t>
      </w:r>
      <w:r>
        <w:rPr>
          <w:spacing w:val="-5"/>
        </w:rPr>
        <w:t xml:space="preserve"> </w:t>
      </w:r>
      <w:r>
        <w:t>circulación,</w:t>
      </w:r>
      <w:r>
        <w:rPr>
          <w:spacing w:val="-5"/>
        </w:rPr>
        <w:t xml:space="preserve"> </w:t>
      </w:r>
      <w:r>
        <w:t>sus propiedades.</w:t>
      </w:r>
      <w:r>
        <w:rPr>
          <w:spacing w:val="-12"/>
        </w:rPr>
        <w:t xml:space="preserve"> </w:t>
      </w:r>
      <w:r>
        <w:t>El</w:t>
      </w:r>
      <w:r>
        <w:rPr>
          <w:spacing w:val="-10"/>
        </w:rPr>
        <w:t xml:space="preserve"> </w:t>
      </w:r>
      <w:r>
        <w:t>control</w:t>
      </w:r>
      <w:r>
        <w:rPr>
          <w:spacing w:val="-10"/>
        </w:rPr>
        <w:t xml:space="preserve"> </w:t>
      </w:r>
      <w:r>
        <w:t>del</w:t>
      </w:r>
      <w:r>
        <w:rPr>
          <w:spacing w:val="-10"/>
        </w:rPr>
        <w:t xml:space="preserve"> </w:t>
      </w:r>
      <w:r>
        <w:t>espacio</w:t>
      </w:r>
      <w:r>
        <w:rPr>
          <w:spacing w:val="-11"/>
        </w:rPr>
        <w:t xml:space="preserve"> </w:t>
      </w:r>
      <w:r>
        <w:t>y</w:t>
      </w:r>
      <w:r>
        <w:rPr>
          <w:spacing w:val="-11"/>
        </w:rPr>
        <w:t xml:space="preserve"> </w:t>
      </w:r>
      <w:r>
        <w:t>de</w:t>
      </w:r>
      <w:r>
        <w:rPr>
          <w:spacing w:val="-11"/>
        </w:rPr>
        <w:t xml:space="preserve"> </w:t>
      </w:r>
      <w:r>
        <w:t>la</w:t>
      </w:r>
      <w:r>
        <w:rPr>
          <w:spacing w:val="-11"/>
        </w:rPr>
        <w:t xml:space="preserve"> </w:t>
      </w:r>
      <w:r>
        <w:t>riqueza</w:t>
      </w:r>
      <w:r>
        <w:rPr>
          <w:spacing w:val="-12"/>
        </w:rPr>
        <w:t xml:space="preserve"> </w:t>
      </w:r>
      <w:r>
        <w:t>con</w:t>
      </w:r>
      <w:r>
        <w:rPr>
          <w:spacing w:val="-11"/>
        </w:rPr>
        <w:t xml:space="preserve"> </w:t>
      </w:r>
      <w:r>
        <w:t>propósitos</w:t>
      </w:r>
      <w:r>
        <w:rPr>
          <w:spacing w:val="-11"/>
        </w:rPr>
        <w:t xml:space="preserve"> </w:t>
      </w:r>
      <w:r>
        <w:t>vinculados</w:t>
      </w:r>
      <w:r>
        <w:rPr>
          <w:spacing w:val="-11"/>
        </w:rPr>
        <w:t xml:space="preserve"> </w:t>
      </w:r>
      <w:r>
        <w:t>con</w:t>
      </w:r>
      <w:r>
        <w:rPr>
          <w:spacing w:val="-11"/>
        </w:rPr>
        <w:t xml:space="preserve"> </w:t>
      </w:r>
      <w:r>
        <w:t>el</w:t>
      </w:r>
      <w:r>
        <w:rPr>
          <w:spacing w:val="-10"/>
        </w:rPr>
        <w:t xml:space="preserve"> </w:t>
      </w:r>
      <w:r>
        <w:t>conflicto armado, se hizo más fácil sacando a la gente de sus hogares o de sus sitios habituales de trabajo o limitando su movilidad, o simplemente quitándole sus tierras. Huir se convirtió en una fórmula denigrante de salvar la vida perdiendo cosas y valores y, a veces, quedarse inmóvil</w:t>
      </w:r>
      <w:r>
        <w:rPr>
          <w:spacing w:val="-3"/>
        </w:rPr>
        <w:t xml:space="preserve"> </w:t>
      </w:r>
      <w:r>
        <w:t>por</w:t>
      </w:r>
      <w:r>
        <w:rPr>
          <w:spacing w:val="-4"/>
        </w:rPr>
        <w:t xml:space="preserve"> </w:t>
      </w:r>
      <w:r>
        <w:t>la</w:t>
      </w:r>
      <w:r>
        <w:rPr>
          <w:spacing w:val="-3"/>
        </w:rPr>
        <w:t xml:space="preserve"> </w:t>
      </w:r>
      <w:r>
        <w:t>fuerza</w:t>
      </w:r>
      <w:r>
        <w:rPr>
          <w:spacing w:val="-3"/>
        </w:rPr>
        <w:t xml:space="preserve"> </w:t>
      </w:r>
      <w:r>
        <w:t>representó</w:t>
      </w:r>
      <w:r>
        <w:rPr>
          <w:spacing w:val="-5"/>
        </w:rPr>
        <w:t xml:space="preserve"> </w:t>
      </w:r>
      <w:r>
        <w:t>también</w:t>
      </w:r>
      <w:r>
        <w:rPr>
          <w:spacing w:val="-4"/>
        </w:rPr>
        <w:t xml:space="preserve"> </w:t>
      </w:r>
      <w:r>
        <w:t>una</w:t>
      </w:r>
      <w:r>
        <w:rPr>
          <w:spacing w:val="-5"/>
        </w:rPr>
        <w:t xml:space="preserve"> </w:t>
      </w:r>
      <w:r>
        <w:t>coerción</w:t>
      </w:r>
      <w:r>
        <w:rPr>
          <w:spacing w:val="-5"/>
        </w:rPr>
        <w:t xml:space="preserve"> </w:t>
      </w:r>
      <w:r>
        <w:t>a</w:t>
      </w:r>
      <w:r>
        <w:rPr>
          <w:spacing w:val="-5"/>
        </w:rPr>
        <w:t xml:space="preserve"> </w:t>
      </w:r>
      <w:r>
        <w:t>la</w:t>
      </w:r>
      <w:r>
        <w:rPr>
          <w:spacing w:val="-5"/>
        </w:rPr>
        <w:t xml:space="preserve"> </w:t>
      </w:r>
      <w:r>
        <w:t>libertad,</w:t>
      </w:r>
      <w:r>
        <w:rPr>
          <w:spacing w:val="-5"/>
        </w:rPr>
        <w:t xml:space="preserve"> </w:t>
      </w:r>
      <w:r>
        <w:t>uno</w:t>
      </w:r>
      <w:r>
        <w:rPr>
          <w:spacing w:val="-4"/>
        </w:rPr>
        <w:t xml:space="preserve"> </w:t>
      </w:r>
      <w:r>
        <w:t>de</w:t>
      </w:r>
      <w:r>
        <w:rPr>
          <w:spacing w:val="-3"/>
        </w:rPr>
        <w:t xml:space="preserve"> </w:t>
      </w:r>
      <w:r>
        <w:t>los</w:t>
      </w:r>
      <w:r>
        <w:rPr>
          <w:spacing w:val="-5"/>
        </w:rPr>
        <w:t xml:space="preserve"> </w:t>
      </w:r>
      <w:r>
        <w:t>derechos</w:t>
      </w:r>
      <w:r>
        <w:rPr>
          <w:spacing w:val="-4"/>
        </w:rPr>
        <w:t xml:space="preserve"> </w:t>
      </w:r>
      <w:r>
        <w:t>más preciados del ser humano.</w:t>
      </w:r>
    </w:p>
    <w:p w:rsidR="003804AC" w:rsidRDefault="00AF18A5" w:rsidP="00E53DBB">
      <w:r>
        <w:t>«En</w:t>
      </w:r>
      <w:r>
        <w:rPr>
          <w:spacing w:val="-8"/>
        </w:rPr>
        <w:t xml:space="preserve"> </w:t>
      </w:r>
      <w:r>
        <w:t>el</w:t>
      </w:r>
      <w:r>
        <w:rPr>
          <w:spacing w:val="-8"/>
        </w:rPr>
        <w:t xml:space="preserve"> </w:t>
      </w:r>
      <w:r>
        <w:t>momento</w:t>
      </w:r>
      <w:r>
        <w:rPr>
          <w:spacing w:val="-8"/>
        </w:rPr>
        <w:t xml:space="preserve"> </w:t>
      </w:r>
      <w:r>
        <w:t>del</w:t>
      </w:r>
      <w:r>
        <w:rPr>
          <w:spacing w:val="-8"/>
        </w:rPr>
        <w:t xml:space="preserve"> </w:t>
      </w:r>
      <w:r>
        <w:t>desplazamiento</w:t>
      </w:r>
      <w:r>
        <w:rPr>
          <w:spacing w:val="-10"/>
        </w:rPr>
        <w:t xml:space="preserve"> </w:t>
      </w:r>
      <w:r>
        <w:t>yo</w:t>
      </w:r>
      <w:r>
        <w:rPr>
          <w:spacing w:val="-8"/>
        </w:rPr>
        <w:t xml:space="preserve"> </w:t>
      </w:r>
      <w:r>
        <w:t>salí</w:t>
      </w:r>
      <w:r>
        <w:rPr>
          <w:spacing w:val="-9"/>
        </w:rPr>
        <w:t xml:space="preserve"> </w:t>
      </w:r>
      <w:r>
        <w:t>con</w:t>
      </w:r>
      <w:r>
        <w:rPr>
          <w:spacing w:val="-10"/>
        </w:rPr>
        <w:t xml:space="preserve"> </w:t>
      </w:r>
      <w:r>
        <w:t>mi</w:t>
      </w:r>
      <w:r>
        <w:rPr>
          <w:spacing w:val="-8"/>
        </w:rPr>
        <w:t xml:space="preserve"> </w:t>
      </w:r>
      <w:r>
        <w:t>marido</w:t>
      </w:r>
      <w:r>
        <w:rPr>
          <w:spacing w:val="-8"/>
        </w:rPr>
        <w:t xml:space="preserve"> </w:t>
      </w:r>
      <w:r>
        <w:t>y</w:t>
      </w:r>
      <w:r>
        <w:rPr>
          <w:spacing w:val="-10"/>
        </w:rPr>
        <w:t xml:space="preserve"> </w:t>
      </w:r>
      <w:r>
        <w:t>mi</w:t>
      </w:r>
      <w:r>
        <w:rPr>
          <w:spacing w:val="-8"/>
        </w:rPr>
        <w:t xml:space="preserve"> </w:t>
      </w:r>
      <w:r>
        <w:t>niño</w:t>
      </w:r>
      <w:r>
        <w:rPr>
          <w:spacing w:val="-8"/>
        </w:rPr>
        <w:t xml:space="preserve"> </w:t>
      </w:r>
      <w:r>
        <w:t>que</w:t>
      </w:r>
      <w:r>
        <w:rPr>
          <w:spacing w:val="-9"/>
        </w:rPr>
        <w:t xml:space="preserve"> </w:t>
      </w:r>
      <w:r>
        <w:t>me</w:t>
      </w:r>
      <w:r>
        <w:rPr>
          <w:spacing w:val="-8"/>
        </w:rPr>
        <w:t xml:space="preserve"> </w:t>
      </w:r>
      <w:r>
        <w:t xml:space="preserve">acompañaba y los otros muchachos que ya estaban grandes. Nos fuimos para Mapiripán en una embarcación, una canoa. Nos mandaron una falca para que nos recogieran, </w:t>
      </w:r>
      <w:proofErr w:type="spellStart"/>
      <w:r>
        <w:t>pa</w:t>
      </w:r>
      <w:proofErr w:type="spellEnd"/>
      <w:r>
        <w:t xml:space="preserve"> que nos llevaran </w:t>
      </w:r>
      <w:proofErr w:type="spellStart"/>
      <w:r>
        <w:t>pa</w:t>
      </w:r>
      <w:proofErr w:type="spellEnd"/>
      <w:r>
        <w:t xml:space="preserve"> Mapiripán. Allá estaban todos y los que iban con nosotros, íbamos como 95 personas y nos hicimos en una casa. Después, como a las dos de la mañana, nos tocaron la puerta, pero nosotros no quisimos abrir. Nos quedamos quieticos, no contestamos ni nada. De</w:t>
      </w:r>
      <w:r>
        <w:rPr>
          <w:spacing w:val="-8"/>
        </w:rPr>
        <w:t xml:space="preserve"> </w:t>
      </w:r>
      <w:r>
        <w:t>todas</w:t>
      </w:r>
      <w:r>
        <w:rPr>
          <w:spacing w:val="-9"/>
        </w:rPr>
        <w:t xml:space="preserve"> </w:t>
      </w:r>
      <w:r>
        <w:t>maneras,</w:t>
      </w:r>
      <w:r>
        <w:rPr>
          <w:spacing w:val="-9"/>
        </w:rPr>
        <w:t xml:space="preserve"> </w:t>
      </w:r>
      <w:r>
        <w:t>el</w:t>
      </w:r>
      <w:r>
        <w:rPr>
          <w:spacing w:val="-9"/>
        </w:rPr>
        <w:t xml:space="preserve"> </w:t>
      </w:r>
      <w:r>
        <w:t>susto</w:t>
      </w:r>
      <w:r>
        <w:rPr>
          <w:spacing w:val="-8"/>
        </w:rPr>
        <w:t xml:space="preserve"> </w:t>
      </w:r>
      <w:r>
        <w:t>fue</w:t>
      </w:r>
      <w:r>
        <w:rPr>
          <w:spacing w:val="-9"/>
        </w:rPr>
        <w:t xml:space="preserve"> </w:t>
      </w:r>
      <w:r>
        <w:t>tremendo.</w:t>
      </w:r>
      <w:r>
        <w:rPr>
          <w:spacing w:val="-8"/>
        </w:rPr>
        <w:t xml:space="preserve"> </w:t>
      </w:r>
      <w:r>
        <w:t>Nos</w:t>
      </w:r>
      <w:r>
        <w:rPr>
          <w:spacing w:val="-8"/>
        </w:rPr>
        <w:t xml:space="preserve"> </w:t>
      </w:r>
      <w:r>
        <w:t>sacaron</w:t>
      </w:r>
      <w:r>
        <w:rPr>
          <w:spacing w:val="-8"/>
        </w:rPr>
        <w:t xml:space="preserve"> </w:t>
      </w:r>
      <w:r>
        <w:t>en</w:t>
      </w:r>
      <w:r>
        <w:rPr>
          <w:spacing w:val="-9"/>
        </w:rPr>
        <w:t xml:space="preserve"> </w:t>
      </w:r>
      <w:r>
        <w:t>avioneta,</w:t>
      </w:r>
      <w:r>
        <w:rPr>
          <w:spacing w:val="-9"/>
        </w:rPr>
        <w:t xml:space="preserve"> </w:t>
      </w:r>
      <w:r>
        <w:t>en</w:t>
      </w:r>
      <w:r>
        <w:rPr>
          <w:spacing w:val="-8"/>
        </w:rPr>
        <w:t xml:space="preserve"> </w:t>
      </w:r>
      <w:r>
        <w:t>ese</w:t>
      </w:r>
      <w:r>
        <w:rPr>
          <w:spacing w:val="-8"/>
        </w:rPr>
        <w:t xml:space="preserve"> </w:t>
      </w:r>
      <w:r>
        <w:t>avión</w:t>
      </w:r>
      <w:r>
        <w:rPr>
          <w:spacing w:val="-8"/>
        </w:rPr>
        <w:t xml:space="preserve"> </w:t>
      </w:r>
      <w:r>
        <w:t>de</w:t>
      </w:r>
      <w:r>
        <w:rPr>
          <w:spacing w:val="-9"/>
        </w:rPr>
        <w:t xml:space="preserve"> </w:t>
      </w:r>
      <w:r>
        <w:t>carga</w:t>
      </w:r>
      <w:r>
        <w:rPr>
          <w:spacing w:val="-8"/>
        </w:rPr>
        <w:t xml:space="preserve"> </w:t>
      </w:r>
      <w:r>
        <w:t xml:space="preserve">que </w:t>
      </w:r>
      <w:r>
        <w:lastRenderedPageBreak/>
        <w:t>entraban la remesa por ahí, porque allá no entran carros. Nosotros, asustados, nos fuimos para</w:t>
      </w:r>
      <w:r>
        <w:rPr>
          <w:spacing w:val="-4"/>
        </w:rPr>
        <w:t xml:space="preserve"> </w:t>
      </w:r>
      <w:r>
        <w:t>Bogotá…</w:t>
      </w:r>
      <w:r>
        <w:rPr>
          <w:spacing w:val="-5"/>
        </w:rPr>
        <w:t xml:space="preserve"> </w:t>
      </w:r>
      <w:r>
        <w:t>allá</w:t>
      </w:r>
      <w:r>
        <w:rPr>
          <w:spacing w:val="-4"/>
        </w:rPr>
        <w:t xml:space="preserve"> </w:t>
      </w:r>
      <w:r>
        <w:t>también</w:t>
      </w:r>
      <w:r>
        <w:rPr>
          <w:spacing w:val="-5"/>
        </w:rPr>
        <w:t xml:space="preserve"> </w:t>
      </w:r>
      <w:r>
        <w:t>aguantando</w:t>
      </w:r>
      <w:r>
        <w:rPr>
          <w:spacing w:val="-5"/>
        </w:rPr>
        <w:t xml:space="preserve"> </w:t>
      </w:r>
      <w:r>
        <w:t>hambre,</w:t>
      </w:r>
      <w:r>
        <w:rPr>
          <w:spacing w:val="-6"/>
        </w:rPr>
        <w:t xml:space="preserve"> </w:t>
      </w:r>
      <w:r>
        <w:t>por</w:t>
      </w:r>
      <w:r>
        <w:rPr>
          <w:spacing w:val="-4"/>
        </w:rPr>
        <w:t xml:space="preserve"> </w:t>
      </w:r>
      <w:r>
        <w:t>allá</w:t>
      </w:r>
      <w:r>
        <w:rPr>
          <w:spacing w:val="-4"/>
        </w:rPr>
        <w:t xml:space="preserve"> </w:t>
      </w:r>
      <w:r>
        <w:t>con</w:t>
      </w:r>
      <w:r>
        <w:rPr>
          <w:spacing w:val="-7"/>
        </w:rPr>
        <w:t xml:space="preserve"> </w:t>
      </w:r>
      <w:r>
        <w:t>miles</w:t>
      </w:r>
      <w:r>
        <w:rPr>
          <w:spacing w:val="-4"/>
        </w:rPr>
        <w:t xml:space="preserve"> </w:t>
      </w:r>
      <w:r>
        <w:t>de</w:t>
      </w:r>
      <w:r>
        <w:rPr>
          <w:spacing w:val="-4"/>
        </w:rPr>
        <w:t xml:space="preserve"> </w:t>
      </w:r>
      <w:r>
        <w:t>necesidades,</w:t>
      </w:r>
      <w:r>
        <w:rPr>
          <w:spacing w:val="-6"/>
        </w:rPr>
        <w:t xml:space="preserve"> </w:t>
      </w:r>
      <w:r>
        <w:t>sin</w:t>
      </w:r>
      <w:r>
        <w:rPr>
          <w:spacing w:val="-6"/>
        </w:rPr>
        <w:t xml:space="preserve"> </w:t>
      </w:r>
      <w:r>
        <w:t>tener la</w:t>
      </w:r>
      <w:r>
        <w:rPr>
          <w:spacing w:val="-9"/>
        </w:rPr>
        <w:t xml:space="preserve"> </w:t>
      </w:r>
      <w:r>
        <w:t>forma</w:t>
      </w:r>
      <w:r>
        <w:rPr>
          <w:spacing w:val="-9"/>
        </w:rPr>
        <w:t xml:space="preserve"> </w:t>
      </w:r>
      <w:r>
        <w:t>de</w:t>
      </w:r>
      <w:r>
        <w:rPr>
          <w:spacing w:val="-9"/>
        </w:rPr>
        <w:t xml:space="preserve"> </w:t>
      </w:r>
      <w:r>
        <w:t>vivir</w:t>
      </w:r>
      <w:r>
        <w:rPr>
          <w:spacing w:val="-9"/>
        </w:rPr>
        <w:t xml:space="preserve"> </w:t>
      </w:r>
      <w:r>
        <w:t>por</w:t>
      </w:r>
      <w:r>
        <w:rPr>
          <w:spacing w:val="-9"/>
        </w:rPr>
        <w:t xml:space="preserve"> </w:t>
      </w:r>
      <w:r>
        <w:t>dejar</w:t>
      </w:r>
      <w:r>
        <w:rPr>
          <w:spacing w:val="-9"/>
        </w:rPr>
        <w:t xml:space="preserve"> </w:t>
      </w:r>
      <w:r>
        <w:t>por</w:t>
      </w:r>
      <w:r>
        <w:rPr>
          <w:spacing w:val="-9"/>
        </w:rPr>
        <w:t xml:space="preserve"> </w:t>
      </w:r>
      <w:r>
        <w:t>allá</w:t>
      </w:r>
      <w:r>
        <w:rPr>
          <w:spacing w:val="-9"/>
        </w:rPr>
        <w:t xml:space="preserve"> </w:t>
      </w:r>
      <w:r>
        <w:t>todo</w:t>
      </w:r>
      <w:r>
        <w:rPr>
          <w:spacing w:val="-10"/>
        </w:rPr>
        <w:t xml:space="preserve"> </w:t>
      </w:r>
      <w:r>
        <w:t>botado.</w:t>
      </w:r>
      <w:r>
        <w:rPr>
          <w:spacing w:val="-10"/>
        </w:rPr>
        <w:t xml:space="preserve"> </w:t>
      </w:r>
      <w:r>
        <w:t>Y</w:t>
      </w:r>
      <w:r>
        <w:rPr>
          <w:spacing w:val="-10"/>
        </w:rPr>
        <w:t xml:space="preserve"> </w:t>
      </w:r>
      <w:r>
        <w:t>todavía</w:t>
      </w:r>
      <w:r>
        <w:rPr>
          <w:spacing w:val="-9"/>
        </w:rPr>
        <w:t xml:space="preserve"> </w:t>
      </w:r>
      <w:r>
        <w:t>seguimos,</w:t>
      </w:r>
      <w:r>
        <w:rPr>
          <w:spacing w:val="-10"/>
        </w:rPr>
        <w:t xml:space="preserve"> </w:t>
      </w:r>
      <w:r>
        <w:t>por</w:t>
      </w:r>
      <w:r>
        <w:rPr>
          <w:spacing w:val="-10"/>
        </w:rPr>
        <w:t xml:space="preserve"> </w:t>
      </w:r>
      <w:r>
        <w:t>lo</w:t>
      </w:r>
      <w:r>
        <w:rPr>
          <w:spacing w:val="-10"/>
        </w:rPr>
        <w:t xml:space="preserve"> </w:t>
      </w:r>
      <w:r>
        <w:t>mismo</w:t>
      </w:r>
      <w:r>
        <w:rPr>
          <w:spacing w:val="-10"/>
        </w:rPr>
        <w:t xml:space="preserve"> </w:t>
      </w:r>
      <w:r>
        <w:t>y</w:t>
      </w:r>
      <w:r>
        <w:rPr>
          <w:spacing w:val="-10"/>
        </w:rPr>
        <w:t xml:space="preserve"> </w:t>
      </w:r>
      <w:r>
        <w:t>estamos así, quién sabe hasta cuándo nos tendrán así con las necesidades»</w:t>
      </w:r>
      <w:r w:rsidR="00E53DBB">
        <w:rPr>
          <w:rStyle w:val="Refdenotaalpie"/>
        </w:rPr>
        <w:footnoteReference w:id="179"/>
      </w:r>
      <w:r>
        <w:t>.</w:t>
      </w:r>
    </w:p>
    <w:p w:rsidR="003804AC" w:rsidRDefault="00AF18A5" w:rsidP="00E53DBB">
      <w:r>
        <w:t>El</w:t>
      </w:r>
      <w:r>
        <w:rPr>
          <w:spacing w:val="-4"/>
        </w:rPr>
        <w:t xml:space="preserve"> </w:t>
      </w:r>
      <w:r>
        <w:t>desplazamiento</w:t>
      </w:r>
      <w:r>
        <w:rPr>
          <w:spacing w:val="-5"/>
        </w:rPr>
        <w:t xml:space="preserve"> </w:t>
      </w:r>
      <w:r>
        <w:t>forzado</w:t>
      </w:r>
      <w:r>
        <w:rPr>
          <w:spacing w:val="-5"/>
        </w:rPr>
        <w:t xml:space="preserve"> </w:t>
      </w:r>
      <w:r>
        <w:t>es</w:t>
      </w:r>
      <w:r>
        <w:rPr>
          <w:spacing w:val="-4"/>
        </w:rPr>
        <w:t xml:space="preserve"> </w:t>
      </w:r>
      <w:r>
        <w:t>una</w:t>
      </w:r>
      <w:r>
        <w:rPr>
          <w:spacing w:val="-4"/>
        </w:rPr>
        <w:t xml:space="preserve"> </w:t>
      </w:r>
      <w:r>
        <w:t>de</w:t>
      </w:r>
      <w:r>
        <w:rPr>
          <w:spacing w:val="-6"/>
        </w:rPr>
        <w:t xml:space="preserve"> </w:t>
      </w:r>
      <w:r>
        <w:t>las</w:t>
      </w:r>
      <w:r>
        <w:rPr>
          <w:spacing w:val="-4"/>
        </w:rPr>
        <w:t xml:space="preserve"> </w:t>
      </w:r>
      <w:r>
        <w:t>heridas</w:t>
      </w:r>
      <w:r>
        <w:rPr>
          <w:spacing w:val="-6"/>
        </w:rPr>
        <w:t xml:space="preserve"> </w:t>
      </w:r>
      <w:r>
        <w:t>más</w:t>
      </w:r>
      <w:r>
        <w:rPr>
          <w:spacing w:val="-4"/>
        </w:rPr>
        <w:t xml:space="preserve"> </w:t>
      </w:r>
      <w:r>
        <w:t>extensas</w:t>
      </w:r>
      <w:r>
        <w:rPr>
          <w:spacing w:val="-4"/>
        </w:rPr>
        <w:t xml:space="preserve"> </w:t>
      </w:r>
      <w:r>
        <w:t>y</w:t>
      </w:r>
      <w:r>
        <w:rPr>
          <w:spacing w:val="-5"/>
        </w:rPr>
        <w:t xml:space="preserve"> </w:t>
      </w:r>
      <w:r>
        <w:t>con</w:t>
      </w:r>
      <w:r>
        <w:rPr>
          <w:spacing w:val="-5"/>
        </w:rPr>
        <w:t xml:space="preserve"> </w:t>
      </w:r>
      <w:r>
        <w:t>un</w:t>
      </w:r>
      <w:r>
        <w:rPr>
          <w:spacing w:val="-5"/>
        </w:rPr>
        <w:t xml:space="preserve"> </w:t>
      </w:r>
      <w:r>
        <w:t>profundo</w:t>
      </w:r>
      <w:r>
        <w:rPr>
          <w:spacing w:val="-5"/>
        </w:rPr>
        <w:t xml:space="preserve"> </w:t>
      </w:r>
      <w:r>
        <w:t>impacto social,</w:t>
      </w:r>
      <w:r>
        <w:rPr>
          <w:spacing w:val="32"/>
        </w:rPr>
        <w:t xml:space="preserve"> </w:t>
      </w:r>
      <w:r>
        <w:t>de</w:t>
      </w:r>
      <w:r>
        <w:rPr>
          <w:spacing w:val="34"/>
        </w:rPr>
        <w:t xml:space="preserve"> </w:t>
      </w:r>
      <w:r>
        <w:t>reconfiguración</w:t>
      </w:r>
      <w:r>
        <w:rPr>
          <w:spacing w:val="34"/>
        </w:rPr>
        <w:t xml:space="preserve"> </w:t>
      </w:r>
      <w:r>
        <w:t>territorial</w:t>
      </w:r>
      <w:r>
        <w:rPr>
          <w:spacing w:val="33"/>
        </w:rPr>
        <w:t xml:space="preserve"> </w:t>
      </w:r>
      <w:r>
        <w:t>y</w:t>
      </w:r>
      <w:r>
        <w:rPr>
          <w:spacing w:val="35"/>
        </w:rPr>
        <w:t xml:space="preserve"> </w:t>
      </w:r>
      <w:r>
        <w:t>de</w:t>
      </w:r>
      <w:r>
        <w:rPr>
          <w:spacing w:val="33"/>
        </w:rPr>
        <w:t xml:space="preserve"> </w:t>
      </w:r>
      <w:r>
        <w:t>modos</w:t>
      </w:r>
      <w:r>
        <w:rPr>
          <w:spacing w:val="34"/>
        </w:rPr>
        <w:t xml:space="preserve"> </w:t>
      </w:r>
      <w:r>
        <w:t>de</w:t>
      </w:r>
      <w:r>
        <w:rPr>
          <w:spacing w:val="34"/>
        </w:rPr>
        <w:t xml:space="preserve"> </w:t>
      </w:r>
      <w:r>
        <w:t>vida</w:t>
      </w:r>
      <w:r>
        <w:rPr>
          <w:spacing w:val="35"/>
        </w:rPr>
        <w:t xml:space="preserve"> </w:t>
      </w:r>
      <w:r>
        <w:t>del</w:t>
      </w:r>
      <w:r>
        <w:rPr>
          <w:spacing w:val="34"/>
        </w:rPr>
        <w:t xml:space="preserve"> </w:t>
      </w:r>
      <w:r>
        <w:t>conflicto</w:t>
      </w:r>
      <w:r>
        <w:rPr>
          <w:spacing w:val="34"/>
        </w:rPr>
        <w:t xml:space="preserve"> </w:t>
      </w:r>
      <w:r>
        <w:t>armado.</w:t>
      </w:r>
      <w:r>
        <w:rPr>
          <w:spacing w:val="33"/>
        </w:rPr>
        <w:t xml:space="preserve"> </w:t>
      </w:r>
      <w:r>
        <w:t>Según</w:t>
      </w:r>
      <w:r>
        <w:rPr>
          <w:spacing w:val="35"/>
        </w:rPr>
        <w:t xml:space="preserve"> </w:t>
      </w:r>
      <w:r>
        <w:rPr>
          <w:spacing w:val="-5"/>
        </w:rPr>
        <w:t>la</w:t>
      </w:r>
      <w:bookmarkStart w:id="292" w:name="_bookmark211"/>
      <w:bookmarkEnd w:id="292"/>
      <w:r w:rsidR="00E53DBB">
        <w:rPr>
          <w:spacing w:val="-5"/>
        </w:rPr>
        <w:t xml:space="preserve"> </w:t>
      </w:r>
      <w:r>
        <w:t>integración de datos</w:t>
      </w:r>
      <w:r w:rsidR="00E53DBB">
        <w:rPr>
          <w:rStyle w:val="Refdenotaalpie"/>
        </w:rPr>
        <w:footnoteReference w:id="180"/>
      </w:r>
      <w:r>
        <w:t xml:space="preserve"> del proyecto conjunto JEP-CEV-HRDAG, entre 1985 y 2019 se registraron 7.752.964 víctimas de desplazamiento forzado dado que se trata de las víctimas con</w:t>
      </w:r>
      <w:r>
        <w:rPr>
          <w:spacing w:val="-5"/>
        </w:rPr>
        <w:t xml:space="preserve"> </w:t>
      </w:r>
      <w:r>
        <w:t>mayor</w:t>
      </w:r>
      <w:r>
        <w:rPr>
          <w:spacing w:val="-4"/>
        </w:rPr>
        <w:t xml:space="preserve"> </w:t>
      </w:r>
      <w:r>
        <w:t>identificación</w:t>
      </w:r>
      <w:r w:rsidR="00E53DBB">
        <w:rPr>
          <w:rStyle w:val="Refdenotaalpie"/>
        </w:rPr>
        <w:footnoteReference w:id="181"/>
      </w:r>
      <w:r>
        <w:t>.</w:t>
      </w:r>
      <w:r>
        <w:rPr>
          <w:spacing w:val="-5"/>
        </w:rPr>
        <w:t xml:space="preserve"> </w:t>
      </w:r>
      <w:r>
        <w:t>El</w:t>
      </w:r>
      <w:r>
        <w:rPr>
          <w:spacing w:val="-4"/>
        </w:rPr>
        <w:t xml:space="preserve"> </w:t>
      </w:r>
      <w:r>
        <w:t>RUV</w:t>
      </w:r>
      <w:r>
        <w:rPr>
          <w:spacing w:val="-5"/>
        </w:rPr>
        <w:t xml:space="preserve"> </w:t>
      </w:r>
      <w:r>
        <w:t>por</w:t>
      </w:r>
      <w:r>
        <w:rPr>
          <w:spacing w:val="-4"/>
        </w:rPr>
        <w:t xml:space="preserve"> </w:t>
      </w:r>
      <w:r>
        <w:t>su</w:t>
      </w:r>
      <w:r>
        <w:rPr>
          <w:spacing w:val="-5"/>
        </w:rPr>
        <w:t xml:space="preserve"> </w:t>
      </w:r>
      <w:r>
        <w:t>parte</w:t>
      </w:r>
      <w:r>
        <w:rPr>
          <w:spacing w:val="-5"/>
        </w:rPr>
        <w:t xml:space="preserve"> </w:t>
      </w:r>
      <w:r>
        <w:t>presenta</w:t>
      </w:r>
      <w:r>
        <w:rPr>
          <w:spacing w:val="-6"/>
        </w:rPr>
        <w:t xml:space="preserve"> </w:t>
      </w:r>
      <w:r>
        <w:t>la</w:t>
      </w:r>
      <w:r>
        <w:rPr>
          <w:spacing w:val="-5"/>
        </w:rPr>
        <w:t xml:space="preserve"> </w:t>
      </w:r>
      <w:r>
        <w:t>cifra</w:t>
      </w:r>
      <w:r>
        <w:rPr>
          <w:spacing w:val="-5"/>
        </w:rPr>
        <w:t xml:space="preserve"> </w:t>
      </w:r>
      <w:r>
        <w:t>de</w:t>
      </w:r>
      <w:r>
        <w:rPr>
          <w:spacing w:val="-6"/>
        </w:rPr>
        <w:t xml:space="preserve"> </w:t>
      </w:r>
      <w:r>
        <w:t>8.273.562,</w:t>
      </w:r>
      <w:r>
        <w:rPr>
          <w:spacing w:val="-5"/>
        </w:rPr>
        <w:t xml:space="preserve"> </w:t>
      </w:r>
      <w:r>
        <w:t>con</w:t>
      </w:r>
      <w:r>
        <w:rPr>
          <w:spacing w:val="-5"/>
        </w:rPr>
        <w:t xml:space="preserve"> </w:t>
      </w:r>
      <w:r>
        <w:t>corte</w:t>
      </w:r>
      <w:r>
        <w:rPr>
          <w:spacing w:val="-5"/>
        </w:rPr>
        <w:t xml:space="preserve"> </w:t>
      </w:r>
      <w:r>
        <w:t>al 31 de mayo de 2022</w:t>
      </w:r>
      <w:r w:rsidR="00E53DBB">
        <w:rPr>
          <w:rStyle w:val="Refdenotaalpie"/>
        </w:rPr>
        <w:footnoteReference w:id="182"/>
      </w:r>
      <w:r>
        <w:t>. Los efectos colectivos y sociales del desplazamiento son masivos.</w:t>
      </w:r>
    </w:p>
    <w:p w:rsidR="003804AC" w:rsidRDefault="00AF18A5" w:rsidP="00E53DBB">
      <w:r>
        <w:t>El</w:t>
      </w:r>
      <w:r>
        <w:rPr>
          <w:spacing w:val="-7"/>
        </w:rPr>
        <w:t xml:space="preserve"> </w:t>
      </w:r>
      <w:r>
        <w:t>desplazamiento</w:t>
      </w:r>
      <w:r>
        <w:rPr>
          <w:spacing w:val="-7"/>
        </w:rPr>
        <w:t xml:space="preserve"> </w:t>
      </w:r>
      <w:r>
        <w:t>forzado</w:t>
      </w:r>
      <w:r>
        <w:rPr>
          <w:spacing w:val="-7"/>
        </w:rPr>
        <w:t xml:space="preserve"> </w:t>
      </w:r>
      <w:r>
        <w:t>se</w:t>
      </w:r>
      <w:r>
        <w:rPr>
          <w:spacing w:val="-7"/>
        </w:rPr>
        <w:t xml:space="preserve"> </w:t>
      </w:r>
      <w:r>
        <w:t>presenta</w:t>
      </w:r>
      <w:r>
        <w:rPr>
          <w:spacing w:val="-7"/>
        </w:rPr>
        <w:t xml:space="preserve"> </w:t>
      </w:r>
      <w:r>
        <w:t>cuando</w:t>
      </w:r>
      <w:r>
        <w:rPr>
          <w:spacing w:val="-8"/>
        </w:rPr>
        <w:t xml:space="preserve"> </w:t>
      </w:r>
      <w:r>
        <w:t>personas</w:t>
      </w:r>
      <w:r>
        <w:rPr>
          <w:spacing w:val="-7"/>
        </w:rPr>
        <w:t xml:space="preserve"> </w:t>
      </w:r>
      <w:r>
        <w:t>o</w:t>
      </w:r>
      <w:r>
        <w:rPr>
          <w:spacing w:val="-7"/>
        </w:rPr>
        <w:t xml:space="preserve"> </w:t>
      </w:r>
      <w:r>
        <w:t>grupos</w:t>
      </w:r>
      <w:r>
        <w:rPr>
          <w:spacing w:val="-7"/>
        </w:rPr>
        <w:t xml:space="preserve"> </w:t>
      </w:r>
      <w:r>
        <w:t>de</w:t>
      </w:r>
      <w:r>
        <w:rPr>
          <w:spacing w:val="-7"/>
        </w:rPr>
        <w:t xml:space="preserve"> </w:t>
      </w:r>
      <w:r>
        <w:t>personas</w:t>
      </w:r>
      <w:r>
        <w:rPr>
          <w:spacing w:val="-7"/>
        </w:rPr>
        <w:t xml:space="preserve"> </w:t>
      </w:r>
      <w:r>
        <w:t>se</w:t>
      </w:r>
      <w:r>
        <w:rPr>
          <w:spacing w:val="-7"/>
        </w:rPr>
        <w:t xml:space="preserve"> </w:t>
      </w:r>
      <w:r>
        <w:t>han</w:t>
      </w:r>
      <w:r>
        <w:rPr>
          <w:spacing w:val="-8"/>
        </w:rPr>
        <w:t xml:space="preserve"> </w:t>
      </w:r>
      <w:r>
        <w:t>visto obligadas</w:t>
      </w:r>
      <w:r>
        <w:rPr>
          <w:spacing w:val="-12"/>
        </w:rPr>
        <w:t xml:space="preserve"> </w:t>
      </w:r>
      <w:r>
        <w:t>a</w:t>
      </w:r>
      <w:r>
        <w:rPr>
          <w:spacing w:val="-12"/>
        </w:rPr>
        <w:t xml:space="preserve"> </w:t>
      </w:r>
      <w:r>
        <w:t>salir</w:t>
      </w:r>
      <w:r>
        <w:rPr>
          <w:spacing w:val="-12"/>
        </w:rPr>
        <w:t xml:space="preserve"> </w:t>
      </w:r>
      <w:r>
        <w:t>por</w:t>
      </w:r>
      <w:r>
        <w:rPr>
          <w:spacing w:val="-12"/>
        </w:rPr>
        <w:t xml:space="preserve"> </w:t>
      </w:r>
      <w:r>
        <w:t>la</w:t>
      </w:r>
      <w:r>
        <w:rPr>
          <w:spacing w:val="-12"/>
        </w:rPr>
        <w:t xml:space="preserve"> </w:t>
      </w:r>
      <w:r>
        <w:t>fuerza</w:t>
      </w:r>
      <w:r>
        <w:rPr>
          <w:spacing w:val="-12"/>
        </w:rPr>
        <w:t xml:space="preserve"> </w:t>
      </w:r>
      <w:r>
        <w:t>o</w:t>
      </w:r>
      <w:r>
        <w:rPr>
          <w:spacing w:val="-12"/>
        </w:rPr>
        <w:t xml:space="preserve"> </w:t>
      </w:r>
      <w:r>
        <w:t>intimidación</w:t>
      </w:r>
      <w:r>
        <w:rPr>
          <w:spacing w:val="-12"/>
        </w:rPr>
        <w:t xml:space="preserve"> </w:t>
      </w:r>
      <w:r>
        <w:t>de</w:t>
      </w:r>
      <w:r>
        <w:rPr>
          <w:spacing w:val="-12"/>
        </w:rPr>
        <w:t xml:space="preserve"> </w:t>
      </w:r>
      <w:r>
        <w:t>su</w:t>
      </w:r>
      <w:r>
        <w:rPr>
          <w:spacing w:val="-13"/>
        </w:rPr>
        <w:t xml:space="preserve"> </w:t>
      </w:r>
      <w:r>
        <w:t>residencia</w:t>
      </w:r>
      <w:r>
        <w:rPr>
          <w:spacing w:val="-12"/>
        </w:rPr>
        <w:t xml:space="preserve"> </w:t>
      </w:r>
      <w:r>
        <w:t>o</w:t>
      </w:r>
      <w:r>
        <w:rPr>
          <w:spacing w:val="-13"/>
        </w:rPr>
        <w:t xml:space="preserve"> </w:t>
      </w:r>
      <w:r>
        <w:t>de</w:t>
      </w:r>
      <w:r>
        <w:rPr>
          <w:spacing w:val="-12"/>
        </w:rPr>
        <w:t xml:space="preserve"> </w:t>
      </w:r>
      <w:r>
        <w:t>su</w:t>
      </w:r>
      <w:r>
        <w:rPr>
          <w:spacing w:val="-12"/>
        </w:rPr>
        <w:t xml:space="preserve"> </w:t>
      </w:r>
      <w:r>
        <w:t>sitio</w:t>
      </w:r>
      <w:r>
        <w:rPr>
          <w:spacing w:val="-12"/>
        </w:rPr>
        <w:t xml:space="preserve"> </w:t>
      </w:r>
      <w:r>
        <w:t>habitual</w:t>
      </w:r>
      <w:r>
        <w:rPr>
          <w:spacing w:val="-12"/>
        </w:rPr>
        <w:t xml:space="preserve"> </w:t>
      </w:r>
      <w:r>
        <w:t>de</w:t>
      </w:r>
      <w:r>
        <w:rPr>
          <w:spacing w:val="-12"/>
        </w:rPr>
        <w:t xml:space="preserve"> </w:t>
      </w:r>
      <w:r>
        <w:t>trabajo, como</w:t>
      </w:r>
      <w:r>
        <w:rPr>
          <w:spacing w:val="-10"/>
        </w:rPr>
        <w:t xml:space="preserve"> </w:t>
      </w:r>
      <w:r>
        <w:t>resultado</w:t>
      </w:r>
      <w:r>
        <w:rPr>
          <w:spacing w:val="-10"/>
        </w:rPr>
        <w:t xml:space="preserve"> </w:t>
      </w:r>
      <w:r>
        <w:t>de</w:t>
      </w:r>
      <w:r>
        <w:rPr>
          <w:spacing w:val="-9"/>
        </w:rPr>
        <w:t xml:space="preserve"> </w:t>
      </w:r>
      <w:r>
        <w:t>un</w:t>
      </w:r>
      <w:r>
        <w:rPr>
          <w:spacing w:val="-10"/>
        </w:rPr>
        <w:t xml:space="preserve"> </w:t>
      </w:r>
      <w:r>
        <w:t>acto</w:t>
      </w:r>
      <w:r>
        <w:rPr>
          <w:spacing w:val="-10"/>
        </w:rPr>
        <w:t xml:space="preserve"> </w:t>
      </w:r>
      <w:r>
        <w:t>realizado</w:t>
      </w:r>
      <w:r>
        <w:rPr>
          <w:spacing w:val="-10"/>
        </w:rPr>
        <w:t xml:space="preserve"> </w:t>
      </w:r>
      <w:r>
        <w:t>por</w:t>
      </w:r>
      <w:r>
        <w:rPr>
          <w:spacing w:val="-9"/>
        </w:rPr>
        <w:t xml:space="preserve"> </w:t>
      </w:r>
      <w:r>
        <w:t>los</w:t>
      </w:r>
      <w:r>
        <w:rPr>
          <w:spacing w:val="-9"/>
        </w:rPr>
        <w:t xml:space="preserve"> </w:t>
      </w:r>
      <w:r>
        <w:t>actores</w:t>
      </w:r>
      <w:r>
        <w:rPr>
          <w:spacing w:val="-9"/>
        </w:rPr>
        <w:t xml:space="preserve"> </w:t>
      </w:r>
      <w:r>
        <w:t>del</w:t>
      </w:r>
      <w:r>
        <w:rPr>
          <w:spacing w:val="-9"/>
        </w:rPr>
        <w:t xml:space="preserve"> </w:t>
      </w:r>
      <w:r>
        <w:t>conflicto</w:t>
      </w:r>
      <w:r>
        <w:rPr>
          <w:spacing w:val="-10"/>
        </w:rPr>
        <w:t xml:space="preserve"> </w:t>
      </w:r>
      <w:r>
        <w:t>armado,</w:t>
      </w:r>
      <w:r>
        <w:rPr>
          <w:spacing w:val="-10"/>
        </w:rPr>
        <w:t xml:space="preserve"> </w:t>
      </w:r>
      <w:r>
        <w:t>o</w:t>
      </w:r>
      <w:r>
        <w:rPr>
          <w:spacing w:val="-11"/>
        </w:rPr>
        <w:t xml:space="preserve"> </w:t>
      </w:r>
      <w:r>
        <w:t>por</w:t>
      </w:r>
      <w:r>
        <w:rPr>
          <w:spacing w:val="-9"/>
        </w:rPr>
        <w:t xml:space="preserve"> </w:t>
      </w:r>
      <w:r>
        <w:t>una</w:t>
      </w:r>
      <w:r>
        <w:rPr>
          <w:spacing w:val="-9"/>
        </w:rPr>
        <w:t xml:space="preserve"> </w:t>
      </w:r>
      <w:r>
        <w:t xml:space="preserve">violación de </w:t>
      </w:r>
      <w:r>
        <w:lastRenderedPageBreak/>
        <w:t>derechos humanos o una infracción al derecho humanitario o para evitar los efectos propios del conflicto armado, siempre y cuando no hayan cruzado una frontera estatal internacionalmente reconocida.</w:t>
      </w:r>
    </w:p>
    <w:p w:rsidR="003804AC" w:rsidRDefault="00AF18A5" w:rsidP="00F234C2">
      <w:r>
        <w:t>El desplazamiento forzado provoca el rompimiento del modo de vida de las víctimas, quienes</w:t>
      </w:r>
      <w:r>
        <w:rPr>
          <w:spacing w:val="-8"/>
        </w:rPr>
        <w:t xml:space="preserve"> </w:t>
      </w:r>
      <w:r>
        <w:t>deben</w:t>
      </w:r>
      <w:r>
        <w:rPr>
          <w:spacing w:val="-8"/>
        </w:rPr>
        <w:t xml:space="preserve"> </w:t>
      </w:r>
      <w:r>
        <w:t>volver</w:t>
      </w:r>
      <w:r>
        <w:rPr>
          <w:spacing w:val="-8"/>
        </w:rPr>
        <w:t xml:space="preserve"> </w:t>
      </w:r>
      <w:r>
        <w:t>a</w:t>
      </w:r>
      <w:r>
        <w:rPr>
          <w:spacing w:val="-8"/>
        </w:rPr>
        <w:t xml:space="preserve"> </w:t>
      </w:r>
      <w:r>
        <w:t>empezar</w:t>
      </w:r>
      <w:r>
        <w:rPr>
          <w:spacing w:val="-8"/>
        </w:rPr>
        <w:t xml:space="preserve"> </w:t>
      </w:r>
      <w:r>
        <w:t>y</w:t>
      </w:r>
      <w:r>
        <w:rPr>
          <w:spacing w:val="-8"/>
        </w:rPr>
        <w:t xml:space="preserve"> </w:t>
      </w:r>
      <w:r>
        <w:t>reconstruir</w:t>
      </w:r>
      <w:r>
        <w:rPr>
          <w:spacing w:val="-8"/>
        </w:rPr>
        <w:t xml:space="preserve"> </w:t>
      </w:r>
      <w:r>
        <w:t>su</w:t>
      </w:r>
      <w:r>
        <w:rPr>
          <w:spacing w:val="-8"/>
        </w:rPr>
        <w:t xml:space="preserve"> </w:t>
      </w:r>
      <w:r>
        <w:t>vida</w:t>
      </w:r>
      <w:r>
        <w:rPr>
          <w:spacing w:val="-8"/>
        </w:rPr>
        <w:t xml:space="preserve"> </w:t>
      </w:r>
      <w:r>
        <w:t>muchas</w:t>
      </w:r>
      <w:r>
        <w:rPr>
          <w:spacing w:val="-8"/>
        </w:rPr>
        <w:t xml:space="preserve"> </w:t>
      </w:r>
      <w:r>
        <w:t>veces</w:t>
      </w:r>
      <w:r>
        <w:rPr>
          <w:spacing w:val="-8"/>
        </w:rPr>
        <w:t xml:space="preserve"> </w:t>
      </w:r>
      <w:r>
        <w:t>en</w:t>
      </w:r>
      <w:r>
        <w:rPr>
          <w:spacing w:val="-8"/>
        </w:rPr>
        <w:t xml:space="preserve"> </w:t>
      </w:r>
      <w:r>
        <w:t>barrios</w:t>
      </w:r>
      <w:r>
        <w:rPr>
          <w:spacing w:val="-8"/>
        </w:rPr>
        <w:t xml:space="preserve"> </w:t>
      </w:r>
      <w:r>
        <w:t>marginales</w:t>
      </w:r>
      <w:r>
        <w:rPr>
          <w:spacing w:val="-8"/>
        </w:rPr>
        <w:t xml:space="preserve"> </w:t>
      </w:r>
      <w:r>
        <w:t>de ciudades o en zonas de conflicto armado, en condiciones de desprotección. La pérdida de modos de vida, identidades fundamentalmente campesinas, posibilidades productivas y dinámicas</w:t>
      </w:r>
      <w:r>
        <w:rPr>
          <w:spacing w:val="-3"/>
        </w:rPr>
        <w:t xml:space="preserve"> </w:t>
      </w:r>
      <w:r>
        <w:t>culturales</w:t>
      </w:r>
      <w:r>
        <w:rPr>
          <w:spacing w:val="-3"/>
        </w:rPr>
        <w:t xml:space="preserve"> </w:t>
      </w:r>
      <w:r>
        <w:t>ha</w:t>
      </w:r>
      <w:r>
        <w:rPr>
          <w:spacing w:val="-5"/>
        </w:rPr>
        <w:t xml:space="preserve"> </w:t>
      </w:r>
      <w:r>
        <w:t>sido</w:t>
      </w:r>
      <w:r>
        <w:rPr>
          <w:spacing w:val="-4"/>
        </w:rPr>
        <w:t xml:space="preserve"> </w:t>
      </w:r>
      <w:r>
        <w:t>una</w:t>
      </w:r>
      <w:r>
        <w:rPr>
          <w:spacing w:val="-3"/>
        </w:rPr>
        <w:t xml:space="preserve"> </w:t>
      </w:r>
      <w:r>
        <w:t>catástrofe</w:t>
      </w:r>
      <w:r>
        <w:rPr>
          <w:spacing w:val="-3"/>
        </w:rPr>
        <w:t xml:space="preserve"> </w:t>
      </w:r>
      <w:r>
        <w:t>que</w:t>
      </w:r>
      <w:r>
        <w:rPr>
          <w:spacing w:val="-3"/>
        </w:rPr>
        <w:t xml:space="preserve"> </w:t>
      </w:r>
      <w:r>
        <w:t>si</w:t>
      </w:r>
      <w:r>
        <w:rPr>
          <w:spacing w:val="-3"/>
        </w:rPr>
        <w:t xml:space="preserve"> </w:t>
      </w:r>
      <w:r>
        <w:t>bien</w:t>
      </w:r>
      <w:r>
        <w:rPr>
          <w:spacing w:val="-4"/>
        </w:rPr>
        <w:t xml:space="preserve"> </w:t>
      </w:r>
      <w:r>
        <w:t>ha</w:t>
      </w:r>
      <w:r>
        <w:rPr>
          <w:spacing w:val="-5"/>
        </w:rPr>
        <w:t xml:space="preserve"> </w:t>
      </w:r>
      <w:r>
        <w:t>sido</w:t>
      </w:r>
      <w:r>
        <w:rPr>
          <w:spacing w:val="-4"/>
        </w:rPr>
        <w:t xml:space="preserve"> </w:t>
      </w:r>
      <w:r>
        <w:t>conocida</w:t>
      </w:r>
      <w:r>
        <w:rPr>
          <w:spacing w:val="-3"/>
        </w:rPr>
        <w:t xml:space="preserve"> </w:t>
      </w:r>
      <w:r>
        <w:t>en</w:t>
      </w:r>
      <w:r>
        <w:rPr>
          <w:spacing w:val="-4"/>
        </w:rPr>
        <w:t xml:space="preserve"> </w:t>
      </w:r>
      <w:r>
        <w:t>el</w:t>
      </w:r>
      <w:r>
        <w:rPr>
          <w:spacing w:val="-3"/>
        </w:rPr>
        <w:t xml:space="preserve"> </w:t>
      </w:r>
      <w:r>
        <w:t>país,</w:t>
      </w:r>
      <w:r>
        <w:rPr>
          <w:spacing w:val="-4"/>
        </w:rPr>
        <w:t xml:space="preserve"> </w:t>
      </w:r>
      <w:r>
        <w:t>es</w:t>
      </w:r>
      <w:r>
        <w:rPr>
          <w:spacing w:val="-5"/>
        </w:rPr>
        <w:t xml:space="preserve"> </w:t>
      </w:r>
      <w:r>
        <w:t>silente especialmente en cuanto sus efectos sociales. El desplazamiento forzado no solo está asociado a amenazas o hechos directos de violencia como homicidios de familiares y masacres, también tiene relación con un entramado de intereses que incluyen actores armados,</w:t>
      </w:r>
      <w:r>
        <w:rPr>
          <w:spacing w:val="-3"/>
        </w:rPr>
        <w:t xml:space="preserve"> </w:t>
      </w:r>
      <w:r>
        <w:t>políticos</w:t>
      </w:r>
      <w:r>
        <w:rPr>
          <w:spacing w:val="-1"/>
        </w:rPr>
        <w:t xml:space="preserve"> </w:t>
      </w:r>
      <w:r>
        <w:t>y</w:t>
      </w:r>
      <w:r>
        <w:rPr>
          <w:spacing w:val="-2"/>
        </w:rPr>
        <w:t xml:space="preserve"> </w:t>
      </w:r>
      <w:r>
        <w:t>económicos</w:t>
      </w:r>
      <w:r>
        <w:rPr>
          <w:spacing w:val="-2"/>
        </w:rPr>
        <w:t xml:space="preserve"> </w:t>
      </w:r>
      <w:r>
        <w:t>en</w:t>
      </w:r>
      <w:r>
        <w:rPr>
          <w:spacing w:val="-2"/>
        </w:rPr>
        <w:t xml:space="preserve"> </w:t>
      </w:r>
      <w:r>
        <w:t>el</w:t>
      </w:r>
      <w:r>
        <w:rPr>
          <w:spacing w:val="-1"/>
        </w:rPr>
        <w:t xml:space="preserve"> </w:t>
      </w:r>
      <w:r>
        <w:t>control</w:t>
      </w:r>
      <w:r>
        <w:rPr>
          <w:spacing w:val="-2"/>
        </w:rPr>
        <w:t xml:space="preserve"> </w:t>
      </w:r>
      <w:r>
        <w:t>y</w:t>
      </w:r>
      <w:r>
        <w:rPr>
          <w:spacing w:val="-2"/>
        </w:rPr>
        <w:t xml:space="preserve"> </w:t>
      </w:r>
      <w:r>
        <w:t>usufructo</w:t>
      </w:r>
      <w:r>
        <w:rPr>
          <w:spacing w:val="-1"/>
        </w:rPr>
        <w:t xml:space="preserve"> </w:t>
      </w:r>
      <w:r>
        <w:t>de</w:t>
      </w:r>
      <w:r>
        <w:rPr>
          <w:spacing w:val="-2"/>
        </w:rPr>
        <w:t xml:space="preserve"> </w:t>
      </w:r>
      <w:r>
        <w:t>los</w:t>
      </w:r>
      <w:r>
        <w:rPr>
          <w:spacing w:val="-1"/>
        </w:rPr>
        <w:t xml:space="preserve"> </w:t>
      </w:r>
      <w:r>
        <w:t>territorios</w:t>
      </w:r>
      <w:r>
        <w:rPr>
          <w:spacing w:val="-1"/>
        </w:rPr>
        <w:t xml:space="preserve"> </w:t>
      </w:r>
      <w:r>
        <w:t>a</w:t>
      </w:r>
      <w:r>
        <w:rPr>
          <w:spacing w:val="-1"/>
        </w:rPr>
        <w:t xml:space="preserve"> </w:t>
      </w:r>
      <w:r>
        <w:t>distinta</w:t>
      </w:r>
      <w:r>
        <w:rPr>
          <w:spacing w:val="-2"/>
        </w:rPr>
        <w:t xml:space="preserve"> </w:t>
      </w:r>
      <w:r>
        <w:t>escala. Estas</w:t>
      </w:r>
      <w:r>
        <w:rPr>
          <w:spacing w:val="3"/>
        </w:rPr>
        <w:t xml:space="preserve"> </w:t>
      </w:r>
      <w:r>
        <w:t>dinámicas</w:t>
      </w:r>
      <w:r>
        <w:rPr>
          <w:spacing w:val="6"/>
        </w:rPr>
        <w:t xml:space="preserve"> </w:t>
      </w:r>
      <w:r>
        <w:t>del</w:t>
      </w:r>
      <w:r>
        <w:rPr>
          <w:spacing w:val="5"/>
        </w:rPr>
        <w:t xml:space="preserve"> </w:t>
      </w:r>
      <w:r>
        <w:t>desplazamiento</w:t>
      </w:r>
      <w:r>
        <w:rPr>
          <w:spacing w:val="5"/>
        </w:rPr>
        <w:t xml:space="preserve"> </w:t>
      </w:r>
      <w:r>
        <w:t>en</w:t>
      </w:r>
      <w:r>
        <w:rPr>
          <w:spacing w:val="6"/>
        </w:rPr>
        <w:t xml:space="preserve"> </w:t>
      </w:r>
      <w:r>
        <w:t>la</w:t>
      </w:r>
      <w:r>
        <w:rPr>
          <w:spacing w:val="5"/>
        </w:rPr>
        <w:t xml:space="preserve"> </w:t>
      </w:r>
      <w:r>
        <w:t>disputa</w:t>
      </w:r>
      <w:r>
        <w:rPr>
          <w:spacing w:val="6"/>
        </w:rPr>
        <w:t xml:space="preserve"> </w:t>
      </w:r>
      <w:r>
        <w:t>por</w:t>
      </w:r>
      <w:r>
        <w:rPr>
          <w:spacing w:val="6"/>
        </w:rPr>
        <w:t xml:space="preserve"> </w:t>
      </w:r>
      <w:r>
        <w:t>la</w:t>
      </w:r>
      <w:r>
        <w:rPr>
          <w:spacing w:val="4"/>
        </w:rPr>
        <w:t xml:space="preserve"> </w:t>
      </w:r>
      <w:r>
        <w:t>tierra</w:t>
      </w:r>
      <w:r>
        <w:rPr>
          <w:spacing w:val="6"/>
        </w:rPr>
        <w:t xml:space="preserve"> </w:t>
      </w:r>
      <w:r>
        <w:t>y</w:t>
      </w:r>
      <w:r>
        <w:rPr>
          <w:spacing w:val="6"/>
        </w:rPr>
        <w:t xml:space="preserve"> </w:t>
      </w:r>
      <w:r>
        <w:t>en</w:t>
      </w:r>
      <w:r>
        <w:rPr>
          <w:spacing w:val="5"/>
        </w:rPr>
        <w:t xml:space="preserve"> </w:t>
      </w:r>
      <w:r>
        <w:t>su</w:t>
      </w:r>
      <w:r>
        <w:rPr>
          <w:spacing w:val="6"/>
        </w:rPr>
        <w:t xml:space="preserve"> </w:t>
      </w:r>
      <w:r>
        <w:t>consecuente</w:t>
      </w:r>
      <w:r>
        <w:rPr>
          <w:spacing w:val="6"/>
        </w:rPr>
        <w:t xml:space="preserve"> </w:t>
      </w:r>
      <w:r>
        <w:rPr>
          <w:spacing w:val="-2"/>
        </w:rPr>
        <w:t>despojo,</w:t>
      </w:r>
      <w:bookmarkStart w:id="293" w:name="_bookmark212"/>
      <w:bookmarkStart w:id="294" w:name="_bookmark213"/>
      <w:bookmarkStart w:id="295" w:name="_bookmark214"/>
      <w:bookmarkEnd w:id="293"/>
      <w:bookmarkEnd w:id="294"/>
      <w:bookmarkEnd w:id="295"/>
      <w:r w:rsidR="00F234C2">
        <w:rPr>
          <w:spacing w:val="-2"/>
        </w:rPr>
        <w:t xml:space="preserve"> </w:t>
      </w:r>
      <w:r>
        <w:t>explican la consolidación de poderes locales, el reciclaje del conflicto armado y la persistencia del desplazamiento en regiones como el Urabá antioqueño, el Darién chocoano o el suroccidente del país.</w:t>
      </w:r>
    </w:p>
    <w:p w:rsidR="003804AC" w:rsidRDefault="00AF18A5" w:rsidP="00F234C2">
      <w:r>
        <w:t>La población sufrió un desplazamiento igualmente masivo durante el periodo de la Violencia</w:t>
      </w:r>
      <w:r>
        <w:rPr>
          <w:spacing w:val="-8"/>
        </w:rPr>
        <w:t xml:space="preserve"> </w:t>
      </w:r>
      <w:r>
        <w:t>(1946-1958),</w:t>
      </w:r>
      <w:r>
        <w:rPr>
          <w:spacing w:val="-9"/>
        </w:rPr>
        <w:t xml:space="preserve"> </w:t>
      </w:r>
      <w:r>
        <w:t>y</w:t>
      </w:r>
      <w:r>
        <w:rPr>
          <w:spacing w:val="-8"/>
        </w:rPr>
        <w:t xml:space="preserve"> </w:t>
      </w:r>
      <w:r>
        <w:t>luego</w:t>
      </w:r>
      <w:r>
        <w:rPr>
          <w:spacing w:val="-8"/>
        </w:rPr>
        <w:t xml:space="preserve"> </w:t>
      </w:r>
      <w:r>
        <w:t>un</w:t>
      </w:r>
      <w:r>
        <w:rPr>
          <w:spacing w:val="-8"/>
        </w:rPr>
        <w:t xml:space="preserve"> </w:t>
      </w:r>
      <w:r>
        <w:t>nuevo</w:t>
      </w:r>
      <w:r>
        <w:rPr>
          <w:spacing w:val="-8"/>
        </w:rPr>
        <w:t xml:space="preserve"> </w:t>
      </w:r>
      <w:r>
        <w:t>ciclo</w:t>
      </w:r>
      <w:r>
        <w:rPr>
          <w:spacing w:val="-8"/>
        </w:rPr>
        <w:t xml:space="preserve"> </w:t>
      </w:r>
      <w:r>
        <w:t>de</w:t>
      </w:r>
      <w:r>
        <w:rPr>
          <w:spacing w:val="-8"/>
        </w:rPr>
        <w:t xml:space="preserve"> </w:t>
      </w:r>
      <w:r>
        <w:t>desplazamiento</w:t>
      </w:r>
      <w:r>
        <w:rPr>
          <w:spacing w:val="-9"/>
        </w:rPr>
        <w:t xml:space="preserve"> </w:t>
      </w:r>
      <w:r>
        <w:t>forzado</w:t>
      </w:r>
      <w:r>
        <w:rPr>
          <w:spacing w:val="-8"/>
        </w:rPr>
        <w:t xml:space="preserve"> </w:t>
      </w:r>
      <w:r>
        <w:t>masivo</w:t>
      </w:r>
      <w:r>
        <w:rPr>
          <w:spacing w:val="-9"/>
        </w:rPr>
        <w:t xml:space="preserve"> </w:t>
      </w:r>
      <w:r>
        <w:t>durante</w:t>
      </w:r>
      <w:r>
        <w:rPr>
          <w:spacing w:val="-9"/>
        </w:rPr>
        <w:t xml:space="preserve"> </w:t>
      </w:r>
      <w:r>
        <w:t>el conflicto armado de grandes proporciones, en el que a partir de 1995 y hasta 2002 tuvo su crecimiento</w:t>
      </w:r>
      <w:r>
        <w:rPr>
          <w:spacing w:val="-10"/>
        </w:rPr>
        <w:t xml:space="preserve"> </w:t>
      </w:r>
      <w:r>
        <w:t>mayor.</w:t>
      </w:r>
      <w:r>
        <w:rPr>
          <w:spacing w:val="-10"/>
        </w:rPr>
        <w:t xml:space="preserve"> </w:t>
      </w:r>
      <w:r>
        <w:t>En</w:t>
      </w:r>
      <w:r>
        <w:rPr>
          <w:spacing w:val="-10"/>
        </w:rPr>
        <w:t xml:space="preserve"> </w:t>
      </w:r>
      <w:r>
        <w:t>ese</w:t>
      </w:r>
      <w:r>
        <w:rPr>
          <w:spacing w:val="-10"/>
        </w:rPr>
        <w:t xml:space="preserve"> </w:t>
      </w:r>
      <w:r>
        <w:t>año</w:t>
      </w:r>
      <w:r>
        <w:rPr>
          <w:spacing w:val="-10"/>
        </w:rPr>
        <w:t xml:space="preserve"> </w:t>
      </w:r>
      <w:r>
        <w:t>se</w:t>
      </w:r>
      <w:r>
        <w:rPr>
          <w:spacing w:val="-10"/>
        </w:rPr>
        <w:t xml:space="preserve"> </w:t>
      </w:r>
      <w:r>
        <w:t>registra</w:t>
      </w:r>
      <w:r>
        <w:rPr>
          <w:spacing w:val="-9"/>
        </w:rPr>
        <w:t xml:space="preserve"> </w:t>
      </w:r>
      <w:r>
        <w:t>la</w:t>
      </w:r>
      <w:r>
        <w:rPr>
          <w:spacing w:val="-10"/>
        </w:rPr>
        <w:t xml:space="preserve"> </w:t>
      </w:r>
      <w:r>
        <w:t>cifra</w:t>
      </w:r>
      <w:r>
        <w:rPr>
          <w:spacing w:val="-10"/>
        </w:rPr>
        <w:t xml:space="preserve"> </w:t>
      </w:r>
      <w:r>
        <w:t>más</w:t>
      </w:r>
      <w:r>
        <w:rPr>
          <w:spacing w:val="-9"/>
        </w:rPr>
        <w:t xml:space="preserve"> </w:t>
      </w:r>
      <w:r>
        <w:t>elevada,</w:t>
      </w:r>
      <w:r>
        <w:rPr>
          <w:spacing w:val="-10"/>
        </w:rPr>
        <w:t xml:space="preserve"> </w:t>
      </w:r>
      <w:r>
        <w:t>con</w:t>
      </w:r>
      <w:r>
        <w:rPr>
          <w:spacing w:val="-10"/>
        </w:rPr>
        <w:t xml:space="preserve"> </w:t>
      </w:r>
      <w:r>
        <w:t>730.904</w:t>
      </w:r>
      <w:r>
        <w:rPr>
          <w:spacing w:val="-10"/>
        </w:rPr>
        <w:t xml:space="preserve"> </w:t>
      </w:r>
      <w:r>
        <w:t>víctimas</w:t>
      </w:r>
      <w:r w:rsidR="00F234C2">
        <w:rPr>
          <w:rStyle w:val="Refdenotaalpie"/>
        </w:rPr>
        <w:footnoteReference w:id="183"/>
      </w:r>
      <w:r>
        <w:t>.</w:t>
      </w:r>
      <w:r>
        <w:rPr>
          <w:spacing w:val="-10"/>
        </w:rPr>
        <w:t xml:space="preserve"> </w:t>
      </w:r>
      <w:r>
        <w:t xml:space="preserve">Esta situación agravó la crisis humanitaria en los </w:t>
      </w:r>
      <w:r>
        <w:lastRenderedPageBreak/>
        <w:t>territorios y ciudades. Después del aumento mencionado,</w:t>
      </w:r>
      <w:r>
        <w:rPr>
          <w:spacing w:val="-10"/>
        </w:rPr>
        <w:t xml:space="preserve"> </w:t>
      </w:r>
      <w:r>
        <w:t>hasta</w:t>
      </w:r>
      <w:r>
        <w:rPr>
          <w:spacing w:val="-9"/>
        </w:rPr>
        <w:t xml:space="preserve"> </w:t>
      </w:r>
      <w:r>
        <w:t>2008</w:t>
      </w:r>
      <w:r>
        <w:rPr>
          <w:spacing w:val="-11"/>
        </w:rPr>
        <w:t xml:space="preserve"> </w:t>
      </w:r>
      <w:r>
        <w:t>se</w:t>
      </w:r>
      <w:r>
        <w:rPr>
          <w:spacing w:val="-10"/>
        </w:rPr>
        <w:t xml:space="preserve"> </w:t>
      </w:r>
      <w:r>
        <w:t>mantuvo</w:t>
      </w:r>
      <w:r>
        <w:rPr>
          <w:spacing w:val="-11"/>
        </w:rPr>
        <w:t xml:space="preserve"> </w:t>
      </w:r>
      <w:r>
        <w:t>en</w:t>
      </w:r>
      <w:r>
        <w:rPr>
          <w:spacing w:val="-10"/>
        </w:rPr>
        <w:t xml:space="preserve"> </w:t>
      </w:r>
      <w:r>
        <w:t>niveles</w:t>
      </w:r>
      <w:r>
        <w:rPr>
          <w:spacing w:val="-9"/>
        </w:rPr>
        <w:t xml:space="preserve"> </w:t>
      </w:r>
      <w:r>
        <w:t>cercanos</w:t>
      </w:r>
      <w:r>
        <w:rPr>
          <w:spacing w:val="-10"/>
        </w:rPr>
        <w:t xml:space="preserve"> </w:t>
      </w:r>
      <w:r>
        <w:t>a</w:t>
      </w:r>
      <w:r>
        <w:rPr>
          <w:spacing w:val="-11"/>
        </w:rPr>
        <w:t xml:space="preserve"> </w:t>
      </w:r>
      <w:r>
        <w:t>las</w:t>
      </w:r>
      <w:r>
        <w:rPr>
          <w:spacing w:val="-11"/>
        </w:rPr>
        <w:t xml:space="preserve"> </w:t>
      </w:r>
      <w:r>
        <w:t>400.000</w:t>
      </w:r>
      <w:r>
        <w:rPr>
          <w:spacing w:val="-10"/>
        </w:rPr>
        <w:t xml:space="preserve"> </w:t>
      </w:r>
      <w:r>
        <w:t>víctimas</w:t>
      </w:r>
      <w:r>
        <w:rPr>
          <w:spacing w:val="-9"/>
        </w:rPr>
        <w:t xml:space="preserve"> </w:t>
      </w:r>
      <w:r>
        <w:t>anuales,</w:t>
      </w:r>
      <w:r>
        <w:rPr>
          <w:spacing w:val="-10"/>
        </w:rPr>
        <w:t xml:space="preserve"> </w:t>
      </w:r>
      <w:r>
        <w:t>para bajar</w:t>
      </w:r>
      <w:r>
        <w:rPr>
          <w:spacing w:val="-4"/>
        </w:rPr>
        <w:t xml:space="preserve"> </w:t>
      </w:r>
      <w:r>
        <w:t>y</w:t>
      </w:r>
      <w:r>
        <w:rPr>
          <w:spacing w:val="-5"/>
        </w:rPr>
        <w:t xml:space="preserve"> </w:t>
      </w:r>
      <w:r>
        <w:t>mantenerse</w:t>
      </w:r>
      <w:r>
        <w:rPr>
          <w:spacing w:val="-5"/>
        </w:rPr>
        <w:t xml:space="preserve"> </w:t>
      </w:r>
      <w:r>
        <w:t>hasta</w:t>
      </w:r>
      <w:r>
        <w:rPr>
          <w:spacing w:val="-6"/>
        </w:rPr>
        <w:t xml:space="preserve"> </w:t>
      </w:r>
      <w:r>
        <w:t>2014</w:t>
      </w:r>
      <w:r>
        <w:rPr>
          <w:spacing w:val="-5"/>
        </w:rPr>
        <w:t xml:space="preserve"> </w:t>
      </w:r>
      <w:r>
        <w:t>a</w:t>
      </w:r>
      <w:r>
        <w:rPr>
          <w:spacing w:val="-5"/>
        </w:rPr>
        <w:t xml:space="preserve"> </w:t>
      </w:r>
      <w:r>
        <w:t>cifras</w:t>
      </w:r>
      <w:r>
        <w:rPr>
          <w:spacing w:val="-5"/>
        </w:rPr>
        <w:t xml:space="preserve"> </w:t>
      </w:r>
      <w:r>
        <w:t>alrededor</w:t>
      </w:r>
      <w:r>
        <w:rPr>
          <w:spacing w:val="-4"/>
        </w:rPr>
        <w:t xml:space="preserve"> </w:t>
      </w:r>
      <w:r>
        <w:t>de</w:t>
      </w:r>
      <w:r>
        <w:rPr>
          <w:spacing w:val="-5"/>
        </w:rPr>
        <w:t xml:space="preserve"> </w:t>
      </w:r>
      <w:r>
        <w:t>las</w:t>
      </w:r>
      <w:r>
        <w:rPr>
          <w:spacing w:val="-5"/>
        </w:rPr>
        <w:t xml:space="preserve"> </w:t>
      </w:r>
      <w:r>
        <w:t>250.000</w:t>
      </w:r>
      <w:r>
        <w:rPr>
          <w:spacing w:val="-5"/>
        </w:rPr>
        <w:t xml:space="preserve"> </w:t>
      </w:r>
      <w:r>
        <w:t>víctimas</w:t>
      </w:r>
      <w:r>
        <w:rPr>
          <w:spacing w:val="-6"/>
        </w:rPr>
        <w:t xml:space="preserve"> </w:t>
      </w:r>
      <w:r>
        <w:t>y</w:t>
      </w:r>
      <w:r>
        <w:rPr>
          <w:spacing w:val="-5"/>
        </w:rPr>
        <w:t xml:space="preserve"> </w:t>
      </w:r>
      <w:r>
        <w:t>desde</w:t>
      </w:r>
      <w:r>
        <w:rPr>
          <w:spacing w:val="-5"/>
        </w:rPr>
        <w:t xml:space="preserve"> </w:t>
      </w:r>
      <w:r>
        <w:t>ahí</w:t>
      </w:r>
      <w:r>
        <w:rPr>
          <w:spacing w:val="-4"/>
        </w:rPr>
        <w:t xml:space="preserve"> </w:t>
      </w:r>
      <w:r>
        <w:t>ver</w:t>
      </w:r>
      <w:r>
        <w:rPr>
          <w:spacing w:val="-4"/>
        </w:rPr>
        <w:t xml:space="preserve"> </w:t>
      </w:r>
      <w:r>
        <w:t>una disminución sustancial que coincidió con la firma del Acuerdo de Paz en 2016.</w:t>
      </w:r>
    </w:p>
    <w:p w:rsidR="00F234C2" w:rsidRDefault="00F234C2" w:rsidP="00F234C2">
      <w:pPr>
        <w:pStyle w:val="Descripcin"/>
        <w:keepNext/>
      </w:pPr>
      <w:bookmarkStart w:id="296" w:name="_bookmark215"/>
      <w:bookmarkEnd w:id="296"/>
      <w:r>
        <w:t xml:space="preserve">Gráfica </w:t>
      </w:r>
      <w:r w:rsidR="005F4072">
        <w:fldChar w:fldCharType="begin"/>
      </w:r>
      <w:r w:rsidR="005F4072">
        <w:instrText xml:space="preserve"> SEQ Gráfica \* ARABIC </w:instrText>
      </w:r>
      <w:r w:rsidR="005F4072">
        <w:fldChar w:fldCharType="separate"/>
      </w:r>
      <w:r w:rsidR="005F4072">
        <w:rPr>
          <w:noProof/>
        </w:rPr>
        <w:t>13</w:t>
      </w:r>
      <w:r w:rsidR="005F4072">
        <w:fldChar w:fldCharType="end"/>
      </w:r>
      <w:r w:rsidRPr="009231BB">
        <w:t>. Número de desplazamientos forzados por año (1985-2019)</w:t>
      </w:r>
    </w:p>
    <w:p w:rsidR="0011361F" w:rsidRDefault="00AF18A5" w:rsidP="00F234C2">
      <w:r w:rsidRPr="00F234C2">
        <w:rPr>
          <w:noProof/>
        </w:rPr>
        <w:drawing>
          <wp:inline distT="0" distB="0" distL="0" distR="0">
            <wp:extent cx="5255788" cy="3703320"/>
            <wp:effectExtent l="0" t="0" r="0" b="0"/>
            <wp:docPr id="27" name="image14.jpeg"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1" cstate="print"/>
                    <a:stretch>
                      <a:fillRect/>
                    </a:stretch>
                  </pic:blipFill>
                  <pic:spPr>
                    <a:xfrm>
                      <a:off x="0" y="0"/>
                      <a:ext cx="5255788" cy="3703320"/>
                    </a:xfrm>
                    <a:prstGeom prst="rect">
                      <a:avLst/>
                    </a:prstGeom>
                  </pic:spPr>
                </pic:pic>
              </a:graphicData>
            </a:graphic>
          </wp:inline>
        </w:drawing>
      </w:r>
    </w:p>
    <w:p w:rsidR="0011361F" w:rsidRPr="00AF07FC" w:rsidRDefault="00AF18A5" w:rsidP="00AF07FC">
      <w:r w:rsidRPr="00AF07FC">
        <w:t>Fuente: Proyecto de integración de datos JEP-CEV-HRDAG. Corte a 26 de junio de 2022.</w:t>
      </w:r>
    </w:p>
    <w:p w:rsidR="0011361F" w:rsidRDefault="00AF18A5" w:rsidP="00AF07FC">
      <w:r>
        <w:t xml:space="preserve">Tras la firma de los Acuerdos de Paz, a pesar de la disminución, siguió la persistencia del desplazamiento forzado, con más de 100 mil víctimas por año, tanto individuales, como familiares y colectivos. De acuerdo con la información de la Consultoría para los Derechos Humanos y el </w:t>
      </w:r>
      <w:r>
        <w:lastRenderedPageBreak/>
        <w:t>Desplazamiento (</w:t>
      </w:r>
      <w:proofErr w:type="spellStart"/>
      <w:r>
        <w:t>Codhes</w:t>
      </w:r>
      <w:proofErr w:type="spellEnd"/>
      <w:r>
        <w:t>) se registraron entre 2017 y 2021 más de 223.366 víctimas</w:t>
      </w:r>
      <w:r>
        <w:rPr>
          <w:spacing w:val="-5"/>
        </w:rPr>
        <w:t xml:space="preserve"> </w:t>
      </w:r>
      <w:r>
        <w:t>solamente</w:t>
      </w:r>
      <w:r>
        <w:rPr>
          <w:spacing w:val="-4"/>
        </w:rPr>
        <w:t xml:space="preserve"> </w:t>
      </w:r>
      <w:r>
        <w:t>entre</w:t>
      </w:r>
      <w:r>
        <w:rPr>
          <w:spacing w:val="-4"/>
        </w:rPr>
        <w:t xml:space="preserve"> </w:t>
      </w:r>
      <w:r>
        <w:t>los</w:t>
      </w:r>
      <w:r>
        <w:rPr>
          <w:spacing w:val="-6"/>
        </w:rPr>
        <w:t xml:space="preserve"> </w:t>
      </w:r>
      <w:r>
        <w:t>desplazamientos</w:t>
      </w:r>
      <w:r>
        <w:rPr>
          <w:spacing w:val="-6"/>
        </w:rPr>
        <w:t xml:space="preserve"> </w:t>
      </w:r>
      <w:r>
        <w:t>forzados</w:t>
      </w:r>
      <w:r>
        <w:rPr>
          <w:spacing w:val="-6"/>
        </w:rPr>
        <w:t xml:space="preserve"> </w:t>
      </w:r>
      <w:r>
        <w:t>masivos.</w:t>
      </w:r>
      <w:r>
        <w:rPr>
          <w:spacing w:val="-4"/>
        </w:rPr>
        <w:t xml:space="preserve"> </w:t>
      </w:r>
      <w:r>
        <w:t>Las</w:t>
      </w:r>
      <w:r>
        <w:rPr>
          <w:spacing w:val="-5"/>
        </w:rPr>
        <w:t xml:space="preserve"> </w:t>
      </w:r>
      <w:r>
        <w:t>regiones</w:t>
      </w:r>
      <w:r>
        <w:rPr>
          <w:spacing w:val="-4"/>
        </w:rPr>
        <w:t xml:space="preserve"> </w:t>
      </w:r>
      <w:r>
        <w:t>más</w:t>
      </w:r>
      <w:r>
        <w:rPr>
          <w:spacing w:val="-4"/>
        </w:rPr>
        <w:t xml:space="preserve"> </w:t>
      </w:r>
      <w:r>
        <w:t>afectadas en estos hechos a partir de 2017 han sido la región del Pacífico, principalmente Chocó y Nariño, seguida de la región fronteriza de Norte de Santander, la región Caribe y la región Andina, principalmente Antioquia. El 2021 en particular fue el año en que esos desplazamientos masivos han registrado su dato más llamativo: 82.846 víctimas</w:t>
      </w:r>
      <w:r w:rsidR="00AF07FC">
        <w:rPr>
          <w:rStyle w:val="Refdenotaalpie"/>
        </w:rPr>
        <w:footnoteReference w:id="184"/>
      </w:r>
      <w:r>
        <w:t>.</w:t>
      </w:r>
    </w:p>
    <w:p w:rsidR="003804AC" w:rsidRDefault="00AF18A5" w:rsidP="00AF07FC">
      <w:bookmarkStart w:id="297" w:name="_bookmark216"/>
      <w:bookmarkEnd w:id="297"/>
      <w:r>
        <w:t>Según</w:t>
      </w:r>
      <w:r>
        <w:rPr>
          <w:spacing w:val="-13"/>
        </w:rPr>
        <w:t xml:space="preserve"> </w:t>
      </w:r>
      <w:r>
        <w:t>el</w:t>
      </w:r>
      <w:r>
        <w:rPr>
          <w:spacing w:val="-13"/>
        </w:rPr>
        <w:t xml:space="preserve"> </w:t>
      </w:r>
      <w:r>
        <w:t>proyecto</w:t>
      </w:r>
      <w:r>
        <w:rPr>
          <w:spacing w:val="-13"/>
        </w:rPr>
        <w:t xml:space="preserve"> </w:t>
      </w:r>
      <w:r>
        <w:t>conjunto</w:t>
      </w:r>
      <w:r>
        <w:rPr>
          <w:spacing w:val="-13"/>
        </w:rPr>
        <w:t xml:space="preserve"> </w:t>
      </w:r>
      <w:r>
        <w:t>JEP-CEV-HRDAG,</w:t>
      </w:r>
      <w:r>
        <w:rPr>
          <w:spacing w:val="-13"/>
        </w:rPr>
        <w:t xml:space="preserve"> </w:t>
      </w:r>
      <w:r>
        <w:t>en</w:t>
      </w:r>
      <w:r>
        <w:rPr>
          <w:spacing w:val="-13"/>
        </w:rPr>
        <w:t xml:space="preserve"> </w:t>
      </w:r>
      <w:r>
        <w:t>67</w:t>
      </w:r>
      <w:r>
        <w:rPr>
          <w:spacing w:val="-3"/>
        </w:rPr>
        <w:t xml:space="preserve"> </w:t>
      </w:r>
      <w:r>
        <w:t>%</w:t>
      </w:r>
      <w:r>
        <w:rPr>
          <w:spacing w:val="-13"/>
        </w:rPr>
        <w:t xml:space="preserve"> </w:t>
      </w:r>
      <w:r>
        <w:t>de</w:t>
      </w:r>
      <w:r>
        <w:rPr>
          <w:spacing w:val="-13"/>
        </w:rPr>
        <w:t xml:space="preserve"> </w:t>
      </w:r>
      <w:r>
        <w:t>los</w:t>
      </w:r>
      <w:r>
        <w:rPr>
          <w:spacing w:val="-13"/>
        </w:rPr>
        <w:t xml:space="preserve"> </w:t>
      </w:r>
      <w:r>
        <w:t>hechos</w:t>
      </w:r>
      <w:r>
        <w:rPr>
          <w:spacing w:val="-13"/>
        </w:rPr>
        <w:t xml:space="preserve"> </w:t>
      </w:r>
      <w:r>
        <w:t>de</w:t>
      </w:r>
      <w:r>
        <w:rPr>
          <w:spacing w:val="-14"/>
        </w:rPr>
        <w:t xml:space="preserve"> </w:t>
      </w:r>
      <w:r>
        <w:t>desplazamiento no se identifica a los responsables del desplazamiento forzado o aparece autor desconocido y,</w:t>
      </w:r>
      <w:r>
        <w:rPr>
          <w:spacing w:val="-1"/>
        </w:rPr>
        <w:t xml:space="preserve"> </w:t>
      </w:r>
      <w:r>
        <w:t>al</w:t>
      </w:r>
      <w:r>
        <w:rPr>
          <w:spacing w:val="-1"/>
        </w:rPr>
        <w:t xml:space="preserve"> </w:t>
      </w:r>
      <w:r>
        <w:t>ser</w:t>
      </w:r>
      <w:r>
        <w:rPr>
          <w:spacing w:val="-1"/>
        </w:rPr>
        <w:t xml:space="preserve"> </w:t>
      </w:r>
      <w:r>
        <w:t>tan</w:t>
      </w:r>
      <w:r>
        <w:rPr>
          <w:spacing w:val="-4"/>
        </w:rPr>
        <w:t xml:space="preserve"> </w:t>
      </w:r>
      <w:r>
        <w:t>pocos</w:t>
      </w:r>
      <w:r>
        <w:rPr>
          <w:spacing w:val="-1"/>
        </w:rPr>
        <w:t xml:space="preserve"> </w:t>
      </w:r>
      <w:r>
        <w:t>los</w:t>
      </w:r>
      <w:r>
        <w:rPr>
          <w:spacing w:val="-1"/>
        </w:rPr>
        <w:t xml:space="preserve"> </w:t>
      </w:r>
      <w:r>
        <w:t>datos</w:t>
      </w:r>
      <w:r>
        <w:rPr>
          <w:spacing w:val="-1"/>
        </w:rPr>
        <w:t xml:space="preserve"> </w:t>
      </w:r>
      <w:r>
        <w:t>a</w:t>
      </w:r>
      <w:r>
        <w:rPr>
          <w:spacing w:val="-1"/>
        </w:rPr>
        <w:t xml:space="preserve"> </w:t>
      </w:r>
      <w:r>
        <w:t>disposición,</w:t>
      </w:r>
      <w:r>
        <w:rPr>
          <w:spacing w:val="-1"/>
        </w:rPr>
        <w:t xml:space="preserve"> </w:t>
      </w:r>
      <w:r>
        <w:t>las</w:t>
      </w:r>
      <w:r>
        <w:rPr>
          <w:spacing w:val="-1"/>
        </w:rPr>
        <w:t xml:space="preserve"> </w:t>
      </w:r>
      <w:r>
        <w:t>cifras</w:t>
      </w:r>
      <w:r>
        <w:rPr>
          <w:spacing w:val="-1"/>
        </w:rPr>
        <w:t xml:space="preserve"> </w:t>
      </w:r>
      <w:r>
        <w:t>observables</w:t>
      </w:r>
      <w:r>
        <w:rPr>
          <w:spacing w:val="-1"/>
        </w:rPr>
        <w:t xml:space="preserve"> </w:t>
      </w:r>
      <w:r>
        <w:t>son</w:t>
      </w:r>
      <w:r>
        <w:rPr>
          <w:spacing w:val="-1"/>
        </w:rPr>
        <w:t xml:space="preserve"> </w:t>
      </w:r>
      <w:r>
        <w:t>poco</w:t>
      </w:r>
      <w:r>
        <w:rPr>
          <w:spacing w:val="-2"/>
        </w:rPr>
        <w:t xml:space="preserve"> </w:t>
      </w:r>
      <w:r>
        <w:t>confiables</w:t>
      </w:r>
      <w:r w:rsidR="00AF07FC">
        <w:rPr>
          <w:rStyle w:val="Refdenotaalpie"/>
        </w:rPr>
        <w:footnoteReference w:id="185"/>
      </w:r>
      <w:r>
        <w:t>.</w:t>
      </w:r>
      <w:r>
        <w:rPr>
          <w:spacing w:val="-1"/>
        </w:rPr>
        <w:t xml:space="preserve"> </w:t>
      </w:r>
      <w:r>
        <w:t xml:space="preserve">Los grupos guerrilleros, paramilitares y </w:t>
      </w:r>
      <w:proofErr w:type="spellStart"/>
      <w:r>
        <w:t>posdesmovilización</w:t>
      </w:r>
      <w:proofErr w:type="spellEnd"/>
      <w:r>
        <w:t>, así como la fuerza pública</w:t>
      </w:r>
      <w:r w:rsidR="00AF07FC">
        <w:rPr>
          <w:rStyle w:val="Refdenotaalpie"/>
        </w:rPr>
        <w:footnoteReference w:id="186"/>
      </w:r>
      <w:r>
        <w:t>, cometieron violaciones de derechos humanos e infracciones al DIH que traen como consecuencia que poblaciones enteras tengan como única salida huir de sus territorios.</w:t>
      </w:r>
    </w:p>
    <w:p w:rsidR="0011361F" w:rsidRDefault="00AF18A5" w:rsidP="00AF07FC">
      <w:r>
        <w:t>Según el proyecto conjunto JEP-CEV-HRDAG, el departamento más afectado fue Antioquia, con 1.480.596 víctimas (19</w:t>
      </w:r>
      <w:r>
        <w:rPr>
          <w:spacing w:val="-3"/>
        </w:rPr>
        <w:t xml:space="preserve"> </w:t>
      </w:r>
      <w:r>
        <w:t>%), seguido de Bolívar con 631.276 víctimas (8</w:t>
      </w:r>
      <w:r>
        <w:rPr>
          <w:spacing w:val="-3"/>
        </w:rPr>
        <w:t xml:space="preserve"> </w:t>
      </w:r>
      <w:r>
        <w:t>%), Magdalena</w:t>
      </w:r>
      <w:r>
        <w:rPr>
          <w:spacing w:val="15"/>
        </w:rPr>
        <w:t xml:space="preserve"> </w:t>
      </w:r>
      <w:r>
        <w:t>con</w:t>
      </w:r>
      <w:r>
        <w:rPr>
          <w:spacing w:val="18"/>
        </w:rPr>
        <w:t xml:space="preserve"> </w:t>
      </w:r>
      <w:r>
        <w:t>478.009</w:t>
      </w:r>
      <w:r>
        <w:rPr>
          <w:spacing w:val="17"/>
        </w:rPr>
        <w:t xml:space="preserve"> </w:t>
      </w:r>
      <w:r>
        <w:t>víctimas</w:t>
      </w:r>
      <w:r>
        <w:rPr>
          <w:spacing w:val="18"/>
        </w:rPr>
        <w:t xml:space="preserve"> </w:t>
      </w:r>
      <w:r>
        <w:lastRenderedPageBreak/>
        <w:t>(6</w:t>
      </w:r>
      <w:r>
        <w:rPr>
          <w:spacing w:val="-3"/>
        </w:rPr>
        <w:t xml:space="preserve"> </w:t>
      </w:r>
      <w:r>
        <w:t>%),</w:t>
      </w:r>
      <w:r>
        <w:rPr>
          <w:spacing w:val="18"/>
        </w:rPr>
        <w:t xml:space="preserve"> </w:t>
      </w:r>
      <w:r>
        <w:t>Nariño</w:t>
      </w:r>
      <w:r>
        <w:rPr>
          <w:spacing w:val="15"/>
        </w:rPr>
        <w:t xml:space="preserve"> </w:t>
      </w:r>
      <w:r>
        <w:t>con</w:t>
      </w:r>
      <w:r>
        <w:rPr>
          <w:spacing w:val="18"/>
        </w:rPr>
        <w:t xml:space="preserve"> </w:t>
      </w:r>
      <w:r>
        <w:t>442.695</w:t>
      </w:r>
      <w:r>
        <w:rPr>
          <w:spacing w:val="17"/>
        </w:rPr>
        <w:t xml:space="preserve"> </w:t>
      </w:r>
      <w:r>
        <w:t>(6 %)</w:t>
      </w:r>
      <w:r>
        <w:rPr>
          <w:spacing w:val="17"/>
        </w:rPr>
        <w:t xml:space="preserve"> </w:t>
      </w:r>
      <w:r>
        <w:t>y</w:t>
      </w:r>
      <w:r>
        <w:rPr>
          <w:spacing w:val="18"/>
        </w:rPr>
        <w:t xml:space="preserve"> </w:t>
      </w:r>
      <w:r>
        <w:t>Valle</w:t>
      </w:r>
      <w:r>
        <w:rPr>
          <w:spacing w:val="17"/>
        </w:rPr>
        <w:t xml:space="preserve"> </w:t>
      </w:r>
      <w:r>
        <w:t>del</w:t>
      </w:r>
      <w:r>
        <w:rPr>
          <w:spacing w:val="18"/>
        </w:rPr>
        <w:t xml:space="preserve"> </w:t>
      </w:r>
      <w:r>
        <w:t>Cauca</w:t>
      </w:r>
      <w:r>
        <w:rPr>
          <w:spacing w:val="18"/>
        </w:rPr>
        <w:t xml:space="preserve"> </w:t>
      </w:r>
      <w:r>
        <w:rPr>
          <w:spacing w:val="-5"/>
        </w:rPr>
        <w:t>con</w:t>
      </w:r>
      <w:r w:rsidR="00AF07FC">
        <w:rPr>
          <w:spacing w:val="-5"/>
        </w:rPr>
        <w:t xml:space="preserve"> </w:t>
      </w:r>
      <w:r>
        <w:t>435.455</w:t>
      </w:r>
      <w:r>
        <w:rPr>
          <w:spacing w:val="-1"/>
        </w:rPr>
        <w:t xml:space="preserve"> </w:t>
      </w:r>
      <w:r>
        <w:t>víctimas</w:t>
      </w:r>
      <w:r>
        <w:rPr>
          <w:spacing w:val="-1"/>
        </w:rPr>
        <w:t xml:space="preserve"> </w:t>
      </w:r>
      <w:r>
        <w:t xml:space="preserve">(6 </w:t>
      </w:r>
      <w:r>
        <w:rPr>
          <w:spacing w:val="-5"/>
        </w:rPr>
        <w:t>%).</w:t>
      </w:r>
    </w:p>
    <w:p w:rsidR="003804AC" w:rsidRDefault="00AF18A5" w:rsidP="00AF07FC">
      <w:r>
        <w:t>Si</w:t>
      </w:r>
      <w:r>
        <w:rPr>
          <w:spacing w:val="-6"/>
        </w:rPr>
        <w:t xml:space="preserve"> </w:t>
      </w:r>
      <w:r>
        <w:t>bien</w:t>
      </w:r>
      <w:r>
        <w:rPr>
          <w:spacing w:val="-7"/>
        </w:rPr>
        <w:t xml:space="preserve"> </w:t>
      </w:r>
      <w:r>
        <w:t>el</w:t>
      </w:r>
      <w:r>
        <w:rPr>
          <w:spacing w:val="-7"/>
        </w:rPr>
        <w:t xml:space="preserve"> </w:t>
      </w:r>
      <w:r>
        <w:t>desplazamiento</w:t>
      </w:r>
      <w:r>
        <w:rPr>
          <w:spacing w:val="-6"/>
        </w:rPr>
        <w:t xml:space="preserve"> </w:t>
      </w:r>
      <w:r>
        <w:t>forzado</w:t>
      </w:r>
      <w:r>
        <w:rPr>
          <w:spacing w:val="-6"/>
        </w:rPr>
        <w:t xml:space="preserve"> </w:t>
      </w:r>
      <w:r>
        <w:t>se</w:t>
      </w:r>
      <w:r>
        <w:rPr>
          <w:spacing w:val="-7"/>
        </w:rPr>
        <w:t xml:space="preserve"> </w:t>
      </w:r>
      <w:r>
        <w:t>da</w:t>
      </w:r>
      <w:r>
        <w:rPr>
          <w:spacing w:val="-6"/>
        </w:rPr>
        <w:t xml:space="preserve"> </w:t>
      </w:r>
      <w:r>
        <w:t>en</w:t>
      </w:r>
      <w:r>
        <w:rPr>
          <w:spacing w:val="-7"/>
        </w:rPr>
        <w:t xml:space="preserve"> </w:t>
      </w:r>
      <w:r>
        <w:t>contextos</w:t>
      </w:r>
      <w:r>
        <w:rPr>
          <w:spacing w:val="-6"/>
        </w:rPr>
        <w:t xml:space="preserve"> </w:t>
      </w:r>
      <w:r>
        <w:t>de</w:t>
      </w:r>
      <w:r>
        <w:rPr>
          <w:spacing w:val="-7"/>
        </w:rPr>
        <w:t xml:space="preserve"> </w:t>
      </w:r>
      <w:r>
        <w:t>amenaza</w:t>
      </w:r>
      <w:r>
        <w:rPr>
          <w:spacing w:val="-6"/>
        </w:rPr>
        <w:t xml:space="preserve"> </w:t>
      </w:r>
      <w:r>
        <w:t>para</w:t>
      </w:r>
      <w:r>
        <w:rPr>
          <w:spacing w:val="-7"/>
        </w:rPr>
        <w:t xml:space="preserve"> </w:t>
      </w:r>
      <w:r>
        <w:t>la</w:t>
      </w:r>
      <w:r>
        <w:rPr>
          <w:spacing w:val="-7"/>
        </w:rPr>
        <w:t xml:space="preserve"> </w:t>
      </w:r>
      <w:r>
        <w:t>vida</w:t>
      </w:r>
      <w:r>
        <w:rPr>
          <w:spacing w:val="-6"/>
        </w:rPr>
        <w:t xml:space="preserve"> </w:t>
      </w:r>
      <w:r>
        <w:t>de</w:t>
      </w:r>
      <w:r>
        <w:rPr>
          <w:spacing w:val="-7"/>
        </w:rPr>
        <w:t xml:space="preserve"> </w:t>
      </w:r>
      <w:r>
        <w:t>personas y</w:t>
      </w:r>
      <w:r>
        <w:rPr>
          <w:spacing w:val="-6"/>
        </w:rPr>
        <w:t xml:space="preserve"> </w:t>
      </w:r>
      <w:r>
        <w:t>familias,</w:t>
      </w:r>
      <w:r>
        <w:rPr>
          <w:spacing w:val="-7"/>
        </w:rPr>
        <w:t xml:space="preserve"> </w:t>
      </w:r>
      <w:r>
        <w:t>los</w:t>
      </w:r>
      <w:r>
        <w:rPr>
          <w:spacing w:val="-6"/>
        </w:rPr>
        <w:t xml:space="preserve"> </w:t>
      </w:r>
      <w:r>
        <w:t>testimonios</w:t>
      </w:r>
      <w:r>
        <w:rPr>
          <w:spacing w:val="-6"/>
        </w:rPr>
        <w:t xml:space="preserve"> </w:t>
      </w:r>
      <w:r>
        <w:t>recogidos</w:t>
      </w:r>
      <w:r>
        <w:rPr>
          <w:spacing w:val="-7"/>
        </w:rPr>
        <w:t xml:space="preserve"> </w:t>
      </w:r>
      <w:r>
        <w:t>por</w:t>
      </w:r>
      <w:r>
        <w:rPr>
          <w:spacing w:val="-5"/>
        </w:rPr>
        <w:t xml:space="preserve"> </w:t>
      </w:r>
      <w:r>
        <w:t>la</w:t>
      </w:r>
      <w:r>
        <w:rPr>
          <w:spacing w:val="-6"/>
        </w:rPr>
        <w:t xml:space="preserve"> </w:t>
      </w:r>
      <w:r>
        <w:t>Comisión</w:t>
      </w:r>
      <w:r>
        <w:rPr>
          <w:spacing w:val="-6"/>
        </w:rPr>
        <w:t xml:space="preserve"> </w:t>
      </w:r>
      <w:r>
        <w:t>indican</w:t>
      </w:r>
      <w:r>
        <w:rPr>
          <w:spacing w:val="-8"/>
        </w:rPr>
        <w:t xml:space="preserve"> </w:t>
      </w:r>
      <w:r>
        <w:t>que</w:t>
      </w:r>
      <w:r>
        <w:rPr>
          <w:spacing w:val="-6"/>
        </w:rPr>
        <w:t xml:space="preserve"> </w:t>
      </w:r>
      <w:r>
        <w:t>el</w:t>
      </w:r>
      <w:r>
        <w:rPr>
          <w:spacing w:val="-7"/>
        </w:rPr>
        <w:t xml:space="preserve"> </w:t>
      </w:r>
      <w:r>
        <w:t>desplazamiento</w:t>
      </w:r>
      <w:r>
        <w:rPr>
          <w:spacing w:val="-7"/>
        </w:rPr>
        <w:t xml:space="preserve"> </w:t>
      </w:r>
      <w:r>
        <w:t>forzado estuvo acompañado también de otras violaciones de derechos humanos. Al menos 37</w:t>
      </w:r>
      <w:r>
        <w:rPr>
          <w:spacing w:val="-2"/>
        </w:rPr>
        <w:t xml:space="preserve"> </w:t>
      </w:r>
      <w:r>
        <w:t>% de los</w:t>
      </w:r>
      <w:r>
        <w:rPr>
          <w:spacing w:val="-12"/>
        </w:rPr>
        <w:t xml:space="preserve"> </w:t>
      </w:r>
      <w:r>
        <w:t>12.190</w:t>
      </w:r>
      <w:r>
        <w:rPr>
          <w:spacing w:val="-12"/>
        </w:rPr>
        <w:t xml:space="preserve"> </w:t>
      </w:r>
      <w:r>
        <w:t>hechos</w:t>
      </w:r>
      <w:r>
        <w:rPr>
          <w:spacing w:val="-12"/>
        </w:rPr>
        <w:t xml:space="preserve"> </w:t>
      </w:r>
      <w:r>
        <w:t>de</w:t>
      </w:r>
      <w:r>
        <w:rPr>
          <w:spacing w:val="-12"/>
        </w:rPr>
        <w:t xml:space="preserve"> </w:t>
      </w:r>
      <w:r>
        <w:t>desplazamiento</w:t>
      </w:r>
      <w:r>
        <w:rPr>
          <w:spacing w:val="-13"/>
        </w:rPr>
        <w:t xml:space="preserve"> </w:t>
      </w:r>
      <w:r>
        <w:t>documentados</w:t>
      </w:r>
      <w:r>
        <w:rPr>
          <w:spacing w:val="-12"/>
        </w:rPr>
        <w:t xml:space="preserve"> </w:t>
      </w:r>
      <w:r>
        <w:t>por</w:t>
      </w:r>
      <w:r>
        <w:rPr>
          <w:spacing w:val="-11"/>
        </w:rPr>
        <w:t xml:space="preserve"> </w:t>
      </w:r>
      <w:r>
        <w:t>la</w:t>
      </w:r>
      <w:r>
        <w:rPr>
          <w:spacing w:val="-12"/>
        </w:rPr>
        <w:t xml:space="preserve"> </w:t>
      </w:r>
      <w:r>
        <w:t>Comisión</w:t>
      </w:r>
      <w:r>
        <w:rPr>
          <w:spacing w:val="-13"/>
        </w:rPr>
        <w:t xml:space="preserve"> </w:t>
      </w:r>
      <w:r>
        <w:t>se</w:t>
      </w:r>
      <w:r>
        <w:rPr>
          <w:spacing w:val="-12"/>
        </w:rPr>
        <w:t xml:space="preserve"> </w:t>
      </w:r>
      <w:r>
        <w:t>presentó</w:t>
      </w:r>
      <w:r>
        <w:rPr>
          <w:spacing w:val="-12"/>
        </w:rPr>
        <w:t xml:space="preserve"> </w:t>
      </w:r>
      <w:r>
        <w:t>en</w:t>
      </w:r>
      <w:r>
        <w:rPr>
          <w:spacing w:val="-12"/>
        </w:rPr>
        <w:t xml:space="preserve"> </w:t>
      </w:r>
      <w:r>
        <w:t xml:space="preserve">conjunto con amenazas, despojo, tortura, atentados, ataques indiscriminados, violencias sexuales y </w:t>
      </w:r>
      <w:r>
        <w:rPr>
          <w:spacing w:val="-2"/>
        </w:rPr>
        <w:t>reclutamiento.</w:t>
      </w:r>
    </w:p>
    <w:p w:rsidR="00944AB8" w:rsidRDefault="00944AB8" w:rsidP="00944AB8">
      <w:pPr>
        <w:pStyle w:val="Descripcin"/>
        <w:keepNext/>
      </w:pPr>
      <w:bookmarkStart w:id="298" w:name="_bookmark217"/>
      <w:bookmarkStart w:id="299" w:name="_bookmark218"/>
      <w:bookmarkEnd w:id="298"/>
      <w:bookmarkEnd w:id="299"/>
      <w:r>
        <w:t xml:space="preserve">Gráfica </w:t>
      </w:r>
      <w:r w:rsidR="005F4072">
        <w:fldChar w:fldCharType="begin"/>
      </w:r>
      <w:r w:rsidR="005F4072">
        <w:instrText xml:space="preserve"> SEQ Gráfica \* ARABIC </w:instrText>
      </w:r>
      <w:r w:rsidR="005F4072">
        <w:fldChar w:fldCharType="separate"/>
      </w:r>
      <w:r w:rsidR="005F4072">
        <w:rPr>
          <w:noProof/>
        </w:rPr>
        <w:t>14</w:t>
      </w:r>
      <w:r w:rsidR="005F4072">
        <w:fldChar w:fldCharType="end"/>
      </w:r>
      <w:r w:rsidRPr="00AF01CB">
        <w:t>. Hechos de desplazamiento forzado con otros tipos de violaciones de derechos humanos</w:t>
      </w:r>
      <w:r>
        <w:rPr>
          <w:rStyle w:val="Refdenotaalpie"/>
        </w:rPr>
        <w:footnoteReference w:id="187"/>
      </w:r>
    </w:p>
    <w:p w:rsidR="0011361F" w:rsidRDefault="00AF18A5" w:rsidP="00944AB8">
      <w:r w:rsidRPr="00944AB8">
        <w:rPr>
          <w:noProof/>
        </w:rPr>
        <w:drawing>
          <wp:inline distT="0" distB="0" distL="0" distR="0">
            <wp:extent cx="2723345" cy="3124200"/>
            <wp:effectExtent l="0" t="0" r="0" b="0"/>
            <wp:docPr id="29" name="image15.jpeg"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2" cstate="print"/>
                    <a:stretch>
                      <a:fillRect/>
                    </a:stretch>
                  </pic:blipFill>
                  <pic:spPr>
                    <a:xfrm>
                      <a:off x="0" y="0"/>
                      <a:ext cx="2723345" cy="3124200"/>
                    </a:xfrm>
                    <a:prstGeom prst="rect">
                      <a:avLst/>
                    </a:prstGeom>
                  </pic:spPr>
                </pic:pic>
              </a:graphicData>
            </a:graphic>
          </wp:inline>
        </w:drawing>
      </w:r>
    </w:p>
    <w:p w:rsidR="003804AC" w:rsidRDefault="00AF18A5" w:rsidP="00944AB8">
      <w:r w:rsidRPr="00944AB8">
        <w:t>Fuente: Base de datos de entrevistas a víctimas, familiares y testigos</w:t>
      </w:r>
      <w:r>
        <w:rPr>
          <w:spacing w:val="40"/>
        </w:rPr>
        <w:t xml:space="preserve"> </w:t>
      </w:r>
      <w:r>
        <w:t>recogidas</w:t>
      </w:r>
      <w:r>
        <w:rPr>
          <w:spacing w:val="40"/>
        </w:rPr>
        <w:t xml:space="preserve"> </w:t>
      </w:r>
      <w:r>
        <w:t>por</w:t>
      </w:r>
      <w:r>
        <w:rPr>
          <w:spacing w:val="40"/>
        </w:rPr>
        <w:t xml:space="preserve"> </w:t>
      </w:r>
      <w:r>
        <w:t>la Comisión de la verdad.</w:t>
      </w:r>
    </w:p>
    <w:p w:rsidR="0011361F" w:rsidRDefault="00AF18A5" w:rsidP="004A6EF4">
      <w:pPr>
        <w:pStyle w:val="Ttulo3"/>
        <w:numPr>
          <w:ilvl w:val="1"/>
          <w:numId w:val="16"/>
        </w:numPr>
      </w:pPr>
      <w:bookmarkStart w:id="300" w:name="3.19._Confinamiento"/>
      <w:bookmarkStart w:id="301" w:name="_Toc112399578"/>
      <w:bookmarkEnd w:id="300"/>
      <w:r w:rsidRPr="003627BA">
        <w:lastRenderedPageBreak/>
        <w:t>Confinamiento</w:t>
      </w:r>
      <w:bookmarkEnd w:id="301"/>
    </w:p>
    <w:p w:rsidR="003804AC" w:rsidRDefault="00AF18A5" w:rsidP="00B22898">
      <w:r>
        <w:t>«Que, si usted va a recoger la cosecha, le dicen: “Usted por ahí no puede transitar y no puede</w:t>
      </w:r>
      <w:r>
        <w:rPr>
          <w:spacing w:val="-1"/>
        </w:rPr>
        <w:t xml:space="preserve"> </w:t>
      </w:r>
      <w:r>
        <w:t>salir”.</w:t>
      </w:r>
      <w:r>
        <w:rPr>
          <w:spacing w:val="-2"/>
        </w:rPr>
        <w:t xml:space="preserve"> </w:t>
      </w:r>
      <w:r>
        <w:t>Entonces</w:t>
      </w:r>
      <w:r>
        <w:rPr>
          <w:spacing w:val="-1"/>
        </w:rPr>
        <w:t xml:space="preserve"> </w:t>
      </w:r>
      <w:r>
        <w:t>usted</w:t>
      </w:r>
      <w:r>
        <w:rPr>
          <w:spacing w:val="-1"/>
        </w:rPr>
        <w:t xml:space="preserve"> </w:t>
      </w:r>
      <w:r>
        <w:t>está</w:t>
      </w:r>
      <w:r>
        <w:rPr>
          <w:spacing w:val="-1"/>
        </w:rPr>
        <w:t xml:space="preserve"> </w:t>
      </w:r>
      <w:r>
        <w:t>preso,</w:t>
      </w:r>
      <w:r>
        <w:rPr>
          <w:spacing w:val="-1"/>
        </w:rPr>
        <w:t xml:space="preserve"> </w:t>
      </w:r>
      <w:r>
        <w:t>ya</w:t>
      </w:r>
      <w:r>
        <w:rPr>
          <w:spacing w:val="-1"/>
        </w:rPr>
        <w:t xml:space="preserve"> </w:t>
      </w:r>
      <w:r>
        <w:t>no</w:t>
      </w:r>
      <w:r>
        <w:rPr>
          <w:spacing w:val="-1"/>
        </w:rPr>
        <w:t xml:space="preserve"> </w:t>
      </w:r>
      <w:r>
        <w:t>tiene</w:t>
      </w:r>
      <w:r>
        <w:rPr>
          <w:spacing w:val="-1"/>
        </w:rPr>
        <w:t xml:space="preserve"> </w:t>
      </w:r>
      <w:r>
        <w:t>ni</w:t>
      </w:r>
      <w:r>
        <w:rPr>
          <w:spacing w:val="-1"/>
        </w:rPr>
        <w:t xml:space="preserve"> </w:t>
      </w:r>
      <w:r>
        <w:t>derecho</w:t>
      </w:r>
      <w:r>
        <w:rPr>
          <w:spacing w:val="-2"/>
        </w:rPr>
        <w:t xml:space="preserve"> </w:t>
      </w:r>
      <w:r>
        <w:t>a</w:t>
      </w:r>
      <w:r>
        <w:rPr>
          <w:spacing w:val="-1"/>
        </w:rPr>
        <w:t xml:space="preserve"> </w:t>
      </w:r>
      <w:r>
        <w:t>cultivar</w:t>
      </w:r>
      <w:r>
        <w:rPr>
          <w:spacing w:val="-1"/>
        </w:rPr>
        <w:t xml:space="preserve"> </w:t>
      </w:r>
      <w:r>
        <w:t>porque</w:t>
      </w:r>
      <w:r>
        <w:rPr>
          <w:spacing w:val="-1"/>
        </w:rPr>
        <w:t xml:space="preserve"> </w:t>
      </w:r>
      <w:r>
        <w:t>no</w:t>
      </w:r>
      <w:r>
        <w:rPr>
          <w:spacing w:val="-1"/>
        </w:rPr>
        <w:t xml:space="preserve"> </w:t>
      </w:r>
      <w:r>
        <w:t>tienes</w:t>
      </w:r>
      <w:r>
        <w:rPr>
          <w:spacing w:val="-1"/>
        </w:rPr>
        <w:t xml:space="preserve"> </w:t>
      </w:r>
      <w:r>
        <w:t>el permiso […], yo también me relaciono con los presidentes de las juntas de acción comunal, en estos momentos ellos también manifiestan lo mismo, que si van a recoger: “No, porque por acá no venga porque no respondemos, no sabemos qué puede pasar”»</w:t>
      </w:r>
      <w:r w:rsidR="00B22898">
        <w:rPr>
          <w:rStyle w:val="Refdenotaalpie"/>
        </w:rPr>
        <w:footnoteReference w:id="188"/>
      </w:r>
      <w:r>
        <w:t>.</w:t>
      </w:r>
    </w:p>
    <w:p w:rsidR="003804AC" w:rsidRDefault="00AF18A5" w:rsidP="00B22898">
      <w:r>
        <w:t>El confinamiento se presenta en regiones en las que los actores armados ejercen control territorial. Esta violación ha sido perpetrada por las guerrillas, los paramilitares y la fuerza pública;</w:t>
      </w:r>
      <w:r>
        <w:rPr>
          <w:spacing w:val="-10"/>
        </w:rPr>
        <w:t xml:space="preserve"> </w:t>
      </w:r>
      <w:r>
        <w:t>restringe</w:t>
      </w:r>
      <w:r>
        <w:rPr>
          <w:spacing w:val="-11"/>
        </w:rPr>
        <w:t xml:space="preserve"> </w:t>
      </w:r>
      <w:r>
        <w:t>la</w:t>
      </w:r>
      <w:r>
        <w:rPr>
          <w:spacing w:val="-11"/>
        </w:rPr>
        <w:t xml:space="preserve"> </w:t>
      </w:r>
      <w:r>
        <w:t>movilidad</w:t>
      </w:r>
      <w:r>
        <w:rPr>
          <w:spacing w:val="-10"/>
        </w:rPr>
        <w:t xml:space="preserve"> </w:t>
      </w:r>
      <w:r>
        <w:t>de</w:t>
      </w:r>
      <w:r>
        <w:rPr>
          <w:spacing w:val="-11"/>
        </w:rPr>
        <w:t xml:space="preserve"> </w:t>
      </w:r>
      <w:r>
        <w:t>personas</w:t>
      </w:r>
      <w:r>
        <w:rPr>
          <w:spacing w:val="-9"/>
        </w:rPr>
        <w:t xml:space="preserve"> </w:t>
      </w:r>
      <w:r>
        <w:t>consideradas</w:t>
      </w:r>
      <w:r>
        <w:rPr>
          <w:spacing w:val="-11"/>
        </w:rPr>
        <w:t xml:space="preserve"> </w:t>
      </w:r>
      <w:r>
        <w:t>como</w:t>
      </w:r>
      <w:r>
        <w:rPr>
          <w:spacing w:val="-11"/>
        </w:rPr>
        <w:t xml:space="preserve"> </w:t>
      </w:r>
      <w:r>
        <w:t>las</w:t>
      </w:r>
      <w:r>
        <w:rPr>
          <w:spacing w:val="-11"/>
        </w:rPr>
        <w:t xml:space="preserve"> </w:t>
      </w:r>
      <w:r>
        <w:t>bases</w:t>
      </w:r>
      <w:r>
        <w:rPr>
          <w:spacing w:val="-11"/>
        </w:rPr>
        <w:t xml:space="preserve"> </w:t>
      </w:r>
      <w:r>
        <w:t>del</w:t>
      </w:r>
      <w:r>
        <w:rPr>
          <w:spacing w:val="-9"/>
        </w:rPr>
        <w:t xml:space="preserve"> </w:t>
      </w:r>
      <w:r>
        <w:t>enemigo</w:t>
      </w:r>
      <w:r>
        <w:rPr>
          <w:spacing w:val="-11"/>
        </w:rPr>
        <w:t xml:space="preserve"> </w:t>
      </w:r>
      <w:r>
        <w:t>o</w:t>
      </w:r>
      <w:r>
        <w:rPr>
          <w:spacing w:val="-11"/>
        </w:rPr>
        <w:t xml:space="preserve"> </w:t>
      </w:r>
      <w:r>
        <w:t>como testigos tránsitos de personas y mercancías que no deben ser vistos. El confinamiento es impuesto</w:t>
      </w:r>
      <w:r>
        <w:rPr>
          <w:spacing w:val="-10"/>
        </w:rPr>
        <w:t xml:space="preserve"> </w:t>
      </w:r>
      <w:r>
        <w:t>buscando</w:t>
      </w:r>
      <w:r>
        <w:rPr>
          <w:spacing w:val="-10"/>
        </w:rPr>
        <w:t xml:space="preserve"> </w:t>
      </w:r>
      <w:r>
        <w:t>la</w:t>
      </w:r>
      <w:r>
        <w:rPr>
          <w:spacing w:val="-8"/>
        </w:rPr>
        <w:t xml:space="preserve"> </w:t>
      </w:r>
      <w:r>
        <w:t>ventaja</w:t>
      </w:r>
      <w:r>
        <w:rPr>
          <w:spacing w:val="-11"/>
        </w:rPr>
        <w:t xml:space="preserve"> </w:t>
      </w:r>
      <w:r>
        <w:t>en</w:t>
      </w:r>
      <w:r>
        <w:rPr>
          <w:spacing w:val="-10"/>
        </w:rPr>
        <w:t xml:space="preserve"> </w:t>
      </w:r>
      <w:r>
        <w:t>la</w:t>
      </w:r>
      <w:r>
        <w:rPr>
          <w:spacing w:val="-9"/>
        </w:rPr>
        <w:t xml:space="preserve"> </w:t>
      </w:r>
      <w:r>
        <w:t>disputa</w:t>
      </w:r>
      <w:r>
        <w:rPr>
          <w:spacing w:val="-10"/>
        </w:rPr>
        <w:t xml:space="preserve"> </w:t>
      </w:r>
      <w:r>
        <w:t>territorial,</w:t>
      </w:r>
      <w:r>
        <w:rPr>
          <w:spacing w:val="-11"/>
        </w:rPr>
        <w:t xml:space="preserve"> </w:t>
      </w:r>
      <w:r>
        <w:t>el</w:t>
      </w:r>
      <w:r>
        <w:rPr>
          <w:spacing w:val="-9"/>
        </w:rPr>
        <w:t xml:space="preserve"> </w:t>
      </w:r>
      <w:r>
        <w:t>control</w:t>
      </w:r>
      <w:r>
        <w:rPr>
          <w:spacing w:val="-9"/>
        </w:rPr>
        <w:t xml:space="preserve"> </w:t>
      </w:r>
      <w:r>
        <w:t>poblacional,</w:t>
      </w:r>
      <w:r>
        <w:rPr>
          <w:spacing w:val="-9"/>
        </w:rPr>
        <w:t xml:space="preserve"> </w:t>
      </w:r>
      <w:r>
        <w:t>la</w:t>
      </w:r>
      <w:r>
        <w:rPr>
          <w:spacing w:val="-11"/>
        </w:rPr>
        <w:t xml:space="preserve"> </w:t>
      </w:r>
      <w:r>
        <w:t>restricción</w:t>
      </w:r>
      <w:r>
        <w:rPr>
          <w:spacing w:val="-9"/>
        </w:rPr>
        <w:t xml:space="preserve"> </w:t>
      </w:r>
      <w:r>
        <w:rPr>
          <w:spacing w:val="-5"/>
        </w:rPr>
        <w:t>de</w:t>
      </w:r>
      <w:bookmarkStart w:id="302" w:name="_bookmark221"/>
      <w:bookmarkEnd w:id="302"/>
      <w:r w:rsidR="00B22898">
        <w:t xml:space="preserve"> </w:t>
      </w:r>
      <w:r>
        <w:t>movimientos o la represalia contra sectores sociales, personas o familias. A pesar de que algunas</w:t>
      </w:r>
      <w:r>
        <w:rPr>
          <w:spacing w:val="-9"/>
        </w:rPr>
        <w:t xml:space="preserve"> </w:t>
      </w:r>
      <w:r>
        <w:t>oficinas</w:t>
      </w:r>
      <w:r>
        <w:rPr>
          <w:spacing w:val="-9"/>
        </w:rPr>
        <w:t xml:space="preserve"> </w:t>
      </w:r>
      <w:r>
        <w:t>de</w:t>
      </w:r>
      <w:r>
        <w:rPr>
          <w:spacing w:val="-9"/>
        </w:rPr>
        <w:t xml:space="preserve"> </w:t>
      </w:r>
      <w:r>
        <w:t>la</w:t>
      </w:r>
      <w:r>
        <w:rPr>
          <w:spacing w:val="-9"/>
        </w:rPr>
        <w:t xml:space="preserve"> </w:t>
      </w:r>
      <w:r>
        <w:t>ONU</w:t>
      </w:r>
      <w:r>
        <w:rPr>
          <w:spacing w:val="-10"/>
        </w:rPr>
        <w:t xml:space="preserve"> </w:t>
      </w:r>
      <w:r>
        <w:t>como</w:t>
      </w:r>
      <w:r>
        <w:rPr>
          <w:spacing w:val="-9"/>
        </w:rPr>
        <w:t xml:space="preserve"> </w:t>
      </w:r>
      <w:proofErr w:type="spellStart"/>
      <w:r>
        <w:t>Acnur</w:t>
      </w:r>
      <w:proofErr w:type="spellEnd"/>
      <w:r>
        <w:rPr>
          <w:spacing w:val="-9"/>
        </w:rPr>
        <w:t xml:space="preserve"> </w:t>
      </w:r>
      <w:r>
        <w:t>y</w:t>
      </w:r>
      <w:r>
        <w:rPr>
          <w:spacing w:val="-9"/>
        </w:rPr>
        <w:t xml:space="preserve"> </w:t>
      </w:r>
      <w:r>
        <w:t>OCHA</w:t>
      </w:r>
      <w:r>
        <w:rPr>
          <w:spacing w:val="-9"/>
        </w:rPr>
        <w:t xml:space="preserve"> </w:t>
      </w:r>
      <w:r>
        <w:t>han</w:t>
      </w:r>
      <w:r>
        <w:rPr>
          <w:spacing w:val="-9"/>
        </w:rPr>
        <w:t xml:space="preserve"> </w:t>
      </w:r>
      <w:r>
        <w:t>documentado</w:t>
      </w:r>
      <w:r>
        <w:rPr>
          <w:spacing w:val="-9"/>
        </w:rPr>
        <w:t xml:space="preserve"> </w:t>
      </w:r>
      <w:r>
        <w:t>esta</w:t>
      </w:r>
      <w:r>
        <w:rPr>
          <w:spacing w:val="-9"/>
        </w:rPr>
        <w:t xml:space="preserve"> </w:t>
      </w:r>
      <w:r>
        <w:t>violación,</w:t>
      </w:r>
      <w:r>
        <w:rPr>
          <w:spacing w:val="-10"/>
        </w:rPr>
        <w:t xml:space="preserve"> </w:t>
      </w:r>
      <w:r>
        <w:t>es</w:t>
      </w:r>
      <w:r>
        <w:rPr>
          <w:spacing w:val="-9"/>
        </w:rPr>
        <w:t xml:space="preserve"> </w:t>
      </w:r>
      <w:r>
        <w:t>difícil establecer la verdadera dimensión de este crimen, debido a que ha ocurrido en lugares distantes</w:t>
      </w:r>
      <w:r>
        <w:rPr>
          <w:spacing w:val="-4"/>
        </w:rPr>
        <w:t xml:space="preserve"> </w:t>
      </w:r>
      <w:r>
        <w:t>de</w:t>
      </w:r>
      <w:r>
        <w:rPr>
          <w:spacing w:val="-5"/>
        </w:rPr>
        <w:t xml:space="preserve"> </w:t>
      </w:r>
      <w:r>
        <w:t>la</w:t>
      </w:r>
      <w:r>
        <w:rPr>
          <w:spacing w:val="-4"/>
        </w:rPr>
        <w:t xml:space="preserve"> </w:t>
      </w:r>
      <w:r>
        <w:t>geografía</w:t>
      </w:r>
      <w:r>
        <w:rPr>
          <w:spacing w:val="-5"/>
        </w:rPr>
        <w:t xml:space="preserve"> </w:t>
      </w:r>
      <w:r>
        <w:t>nacional,</w:t>
      </w:r>
      <w:r>
        <w:rPr>
          <w:spacing w:val="-4"/>
        </w:rPr>
        <w:t xml:space="preserve"> </w:t>
      </w:r>
      <w:r>
        <w:t>a</w:t>
      </w:r>
      <w:r>
        <w:rPr>
          <w:spacing w:val="-4"/>
        </w:rPr>
        <w:t xml:space="preserve"> </w:t>
      </w:r>
      <w:r>
        <w:t>las</w:t>
      </w:r>
      <w:r>
        <w:rPr>
          <w:spacing w:val="-4"/>
        </w:rPr>
        <w:t xml:space="preserve"> </w:t>
      </w:r>
      <w:r>
        <w:t>restricciones</w:t>
      </w:r>
      <w:r>
        <w:rPr>
          <w:spacing w:val="-4"/>
        </w:rPr>
        <w:t xml:space="preserve"> </w:t>
      </w:r>
      <w:r>
        <w:t>de</w:t>
      </w:r>
      <w:r>
        <w:rPr>
          <w:spacing w:val="-4"/>
        </w:rPr>
        <w:t xml:space="preserve"> </w:t>
      </w:r>
      <w:r>
        <w:t>movimiento</w:t>
      </w:r>
      <w:r>
        <w:rPr>
          <w:spacing w:val="-4"/>
        </w:rPr>
        <w:t xml:space="preserve"> </w:t>
      </w:r>
      <w:r>
        <w:t>propias</w:t>
      </w:r>
      <w:r>
        <w:rPr>
          <w:spacing w:val="-4"/>
        </w:rPr>
        <w:t xml:space="preserve"> </w:t>
      </w:r>
      <w:r>
        <w:t>de</w:t>
      </w:r>
      <w:r>
        <w:rPr>
          <w:spacing w:val="-4"/>
        </w:rPr>
        <w:t xml:space="preserve"> </w:t>
      </w:r>
      <w:r>
        <w:t>la</w:t>
      </w:r>
      <w:r>
        <w:rPr>
          <w:spacing w:val="-5"/>
        </w:rPr>
        <w:t xml:space="preserve"> </w:t>
      </w:r>
      <w:r>
        <w:t>infracción que dificultan las denuncias y a la ausencia de registros históricos continuos sobre este tipo de hechos.</w:t>
      </w:r>
    </w:p>
    <w:p w:rsidR="003804AC" w:rsidRDefault="00AF18A5" w:rsidP="00B22898">
      <w:r>
        <w:t>El</w:t>
      </w:r>
      <w:r>
        <w:rPr>
          <w:spacing w:val="-2"/>
        </w:rPr>
        <w:t xml:space="preserve"> </w:t>
      </w:r>
      <w:r>
        <w:t>confinamiento</w:t>
      </w:r>
      <w:r>
        <w:rPr>
          <w:spacing w:val="-3"/>
        </w:rPr>
        <w:t xml:space="preserve"> </w:t>
      </w:r>
      <w:r>
        <w:t>es</w:t>
      </w:r>
      <w:r>
        <w:rPr>
          <w:spacing w:val="-3"/>
        </w:rPr>
        <w:t xml:space="preserve"> </w:t>
      </w:r>
      <w:r>
        <w:t>la</w:t>
      </w:r>
      <w:r>
        <w:rPr>
          <w:spacing w:val="-3"/>
        </w:rPr>
        <w:t xml:space="preserve"> </w:t>
      </w:r>
      <w:r>
        <w:t>restricción</w:t>
      </w:r>
      <w:r>
        <w:rPr>
          <w:spacing w:val="-3"/>
        </w:rPr>
        <w:t xml:space="preserve"> </w:t>
      </w:r>
      <w:r>
        <w:t>de</w:t>
      </w:r>
      <w:r>
        <w:rPr>
          <w:spacing w:val="-3"/>
        </w:rPr>
        <w:t xml:space="preserve"> </w:t>
      </w:r>
      <w:r>
        <w:t>la</w:t>
      </w:r>
      <w:r>
        <w:rPr>
          <w:spacing w:val="-3"/>
        </w:rPr>
        <w:t xml:space="preserve"> </w:t>
      </w:r>
      <w:r>
        <w:t>movilidad</w:t>
      </w:r>
      <w:r>
        <w:rPr>
          <w:spacing w:val="-4"/>
        </w:rPr>
        <w:t xml:space="preserve"> </w:t>
      </w:r>
      <w:r>
        <w:t>impuesta</w:t>
      </w:r>
      <w:r>
        <w:rPr>
          <w:spacing w:val="-3"/>
        </w:rPr>
        <w:t xml:space="preserve"> </w:t>
      </w:r>
      <w:r>
        <w:t>a</w:t>
      </w:r>
      <w:r>
        <w:rPr>
          <w:spacing w:val="-3"/>
        </w:rPr>
        <w:t xml:space="preserve"> </w:t>
      </w:r>
      <w:r>
        <w:t>una</w:t>
      </w:r>
      <w:r>
        <w:rPr>
          <w:spacing w:val="-2"/>
        </w:rPr>
        <w:t xml:space="preserve"> </w:t>
      </w:r>
      <w:r>
        <w:t>persona</w:t>
      </w:r>
      <w:r>
        <w:rPr>
          <w:spacing w:val="-3"/>
        </w:rPr>
        <w:t xml:space="preserve"> </w:t>
      </w:r>
      <w:r>
        <w:t>o</w:t>
      </w:r>
      <w:r>
        <w:rPr>
          <w:spacing w:val="-2"/>
        </w:rPr>
        <w:t xml:space="preserve"> </w:t>
      </w:r>
      <w:r>
        <w:t>personas</w:t>
      </w:r>
      <w:r>
        <w:rPr>
          <w:spacing w:val="-2"/>
        </w:rPr>
        <w:t xml:space="preserve"> </w:t>
      </w:r>
      <w:r>
        <w:t>por actores del conflicto armado que les impiden salir de su entorno, ya sea personal, familiar o comunitario.</w:t>
      </w:r>
      <w:r>
        <w:rPr>
          <w:spacing w:val="-7"/>
        </w:rPr>
        <w:t xml:space="preserve"> </w:t>
      </w:r>
      <w:r>
        <w:t>A</w:t>
      </w:r>
      <w:r>
        <w:rPr>
          <w:spacing w:val="-6"/>
        </w:rPr>
        <w:t xml:space="preserve"> </w:t>
      </w:r>
      <w:r>
        <w:t>diferencia</w:t>
      </w:r>
      <w:r>
        <w:rPr>
          <w:spacing w:val="-6"/>
        </w:rPr>
        <w:t xml:space="preserve"> </w:t>
      </w:r>
      <w:r>
        <w:t>del</w:t>
      </w:r>
      <w:r>
        <w:rPr>
          <w:spacing w:val="-7"/>
        </w:rPr>
        <w:t xml:space="preserve"> </w:t>
      </w:r>
      <w:r>
        <w:t>desplazamiento</w:t>
      </w:r>
      <w:r>
        <w:rPr>
          <w:spacing w:val="-7"/>
        </w:rPr>
        <w:t xml:space="preserve"> </w:t>
      </w:r>
      <w:r>
        <w:t>forzado,</w:t>
      </w:r>
      <w:r>
        <w:rPr>
          <w:spacing w:val="-6"/>
        </w:rPr>
        <w:t xml:space="preserve"> </w:t>
      </w:r>
      <w:r>
        <w:t>el</w:t>
      </w:r>
      <w:r>
        <w:rPr>
          <w:spacing w:val="-5"/>
        </w:rPr>
        <w:t xml:space="preserve"> </w:t>
      </w:r>
      <w:r>
        <w:t>confinamiento</w:t>
      </w:r>
      <w:r>
        <w:rPr>
          <w:spacing w:val="-7"/>
        </w:rPr>
        <w:t xml:space="preserve"> </w:t>
      </w:r>
      <w:r>
        <w:t>no</w:t>
      </w:r>
      <w:r>
        <w:rPr>
          <w:spacing w:val="-6"/>
        </w:rPr>
        <w:t xml:space="preserve"> </w:t>
      </w:r>
      <w:r>
        <w:t>tiene</w:t>
      </w:r>
      <w:r>
        <w:rPr>
          <w:spacing w:val="-6"/>
        </w:rPr>
        <w:t xml:space="preserve"> </w:t>
      </w:r>
      <w:r>
        <w:t>un</w:t>
      </w:r>
      <w:r>
        <w:rPr>
          <w:spacing w:val="-7"/>
        </w:rPr>
        <w:t xml:space="preserve"> </w:t>
      </w:r>
      <w:r>
        <w:t xml:space="preserve">impacto </w:t>
      </w:r>
      <w:r>
        <w:lastRenderedPageBreak/>
        <w:t>poblacional directo en los centros económicos y políticos del país; suele darse en zonas disputadas por los actores armados durante periodos específicos y abarca distintas prácticas de control poblacional y territorial, circunstancias que impactan en la visibilidad, el reconocimiento y la comprensión de esta violación de derechos humanos.</w:t>
      </w:r>
    </w:p>
    <w:p w:rsidR="003804AC" w:rsidRDefault="00AF18A5" w:rsidP="0095540A">
      <w:r>
        <w:t>Los confinamientos documentados en las entrevistas de la Comisión se concentran sobre todo</w:t>
      </w:r>
      <w:r>
        <w:rPr>
          <w:spacing w:val="-2"/>
        </w:rPr>
        <w:t xml:space="preserve"> </w:t>
      </w:r>
      <w:r>
        <w:t>entre</w:t>
      </w:r>
      <w:r>
        <w:rPr>
          <w:spacing w:val="-2"/>
        </w:rPr>
        <w:t xml:space="preserve"> </w:t>
      </w:r>
      <w:r>
        <w:t>1997</w:t>
      </w:r>
      <w:r>
        <w:rPr>
          <w:spacing w:val="-2"/>
        </w:rPr>
        <w:t xml:space="preserve"> </w:t>
      </w:r>
      <w:r>
        <w:t>y</w:t>
      </w:r>
      <w:r>
        <w:rPr>
          <w:spacing w:val="-2"/>
        </w:rPr>
        <w:t xml:space="preserve"> </w:t>
      </w:r>
      <w:r>
        <w:t>2005,</w:t>
      </w:r>
      <w:r>
        <w:rPr>
          <w:spacing w:val="-1"/>
        </w:rPr>
        <w:t xml:space="preserve"> </w:t>
      </w:r>
      <w:r>
        <w:t>sus</w:t>
      </w:r>
      <w:r>
        <w:rPr>
          <w:spacing w:val="-2"/>
        </w:rPr>
        <w:t xml:space="preserve"> </w:t>
      </w:r>
      <w:r>
        <w:t>responsables</w:t>
      </w:r>
      <w:r>
        <w:rPr>
          <w:spacing w:val="-2"/>
        </w:rPr>
        <w:t xml:space="preserve"> </w:t>
      </w:r>
      <w:r>
        <w:t>hacen</w:t>
      </w:r>
      <w:r>
        <w:rPr>
          <w:spacing w:val="-2"/>
        </w:rPr>
        <w:t xml:space="preserve"> </w:t>
      </w:r>
      <w:r>
        <w:t>parte</w:t>
      </w:r>
      <w:r>
        <w:rPr>
          <w:spacing w:val="-2"/>
        </w:rPr>
        <w:t xml:space="preserve"> </w:t>
      </w:r>
      <w:r>
        <w:t>de</w:t>
      </w:r>
      <w:r>
        <w:rPr>
          <w:spacing w:val="-2"/>
        </w:rPr>
        <w:t xml:space="preserve"> </w:t>
      </w:r>
      <w:r>
        <w:t>grupos</w:t>
      </w:r>
      <w:r>
        <w:rPr>
          <w:spacing w:val="-2"/>
        </w:rPr>
        <w:t xml:space="preserve"> </w:t>
      </w:r>
      <w:r>
        <w:t>guerrilleros,</w:t>
      </w:r>
      <w:r>
        <w:rPr>
          <w:spacing w:val="-2"/>
        </w:rPr>
        <w:t xml:space="preserve"> </w:t>
      </w:r>
      <w:r>
        <w:t>paramilitares</w:t>
      </w:r>
      <w:r>
        <w:rPr>
          <w:spacing w:val="-2"/>
        </w:rPr>
        <w:t xml:space="preserve"> </w:t>
      </w:r>
      <w:r>
        <w:t>y de la fuerza pública. Fue durante esos años en que las FARC-EP concentraron parte de su fuerza</w:t>
      </w:r>
      <w:r>
        <w:rPr>
          <w:spacing w:val="-9"/>
        </w:rPr>
        <w:t xml:space="preserve"> </w:t>
      </w:r>
      <w:r>
        <w:t>armada</w:t>
      </w:r>
      <w:r>
        <w:rPr>
          <w:spacing w:val="-9"/>
        </w:rPr>
        <w:t xml:space="preserve"> </w:t>
      </w:r>
      <w:r>
        <w:t>en</w:t>
      </w:r>
      <w:r>
        <w:rPr>
          <w:spacing w:val="-10"/>
        </w:rPr>
        <w:t xml:space="preserve"> </w:t>
      </w:r>
      <w:r>
        <w:t>la</w:t>
      </w:r>
      <w:r>
        <w:rPr>
          <w:spacing w:val="-9"/>
        </w:rPr>
        <w:t xml:space="preserve"> </w:t>
      </w:r>
      <w:r>
        <w:t>zona</w:t>
      </w:r>
      <w:r>
        <w:rPr>
          <w:spacing w:val="-9"/>
        </w:rPr>
        <w:t xml:space="preserve"> </w:t>
      </w:r>
      <w:r>
        <w:t>de</w:t>
      </w:r>
      <w:r>
        <w:rPr>
          <w:spacing w:val="-9"/>
        </w:rPr>
        <w:t xml:space="preserve"> </w:t>
      </w:r>
      <w:r>
        <w:t>distensión,</w:t>
      </w:r>
      <w:r>
        <w:rPr>
          <w:spacing w:val="-10"/>
        </w:rPr>
        <w:t xml:space="preserve"> </w:t>
      </w:r>
      <w:r>
        <w:t>durante</w:t>
      </w:r>
      <w:r>
        <w:rPr>
          <w:spacing w:val="-9"/>
        </w:rPr>
        <w:t xml:space="preserve"> </w:t>
      </w:r>
      <w:r>
        <w:t>los</w:t>
      </w:r>
      <w:r>
        <w:rPr>
          <w:spacing w:val="-9"/>
        </w:rPr>
        <w:t xml:space="preserve"> </w:t>
      </w:r>
      <w:r>
        <w:t>diálogos</w:t>
      </w:r>
      <w:r>
        <w:rPr>
          <w:spacing w:val="-11"/>
        </w:rPr>
        <w:t xml:space="preserve"> </w:t>
      </w:r>
      <w:r>
        <w:t>de</w:t>
      </w:r>
      <w:r>
        <w:rPr>
          <w:spacing w:val="-9"/>
        </w:rPr>
        <w:t xml:space="preserve"> </w:t>
      </w:r>
      <w:r>
        <w:t>paz</w:t>
      </w:r>
      <w:r>
        <w:rPr>
          <w:spacing w:val="-9"/>
        </w:rPr>
        <w:t xml:space="preserve"> </w:t>
      </w:r>
      <w:r>
        <w:t>entre</w:t>
      </w:r>
      <w:r>
        <w:rPr>
          <w:spacing w:val="-9"/>
        </w:rPr>
        <w:t xml:space="preserve"> </w:t>
      </w:r>
      <w:r>
        <w:t>el</w:t>
      </w:r>
      <w:r>
        <w:rPr>
          <w:spacing w:val="-9"/>
        </w:rPr>
        <w:t xml:space="preserve"> </w:t>
      </w:r>
      <w:r>
        <w:t>Gobierno</w:t>
      </w:r>
      <w:r>
        <w:rPr>
          <w:spacing w:val="-11"/>
        </w:rPr>
        <w:t xml:space="preserve"> </w:t>
      </w:r>
      <w:r>
        <w:t>y</w:t>
      </w:r>
      <w:r>
        <w:rPr>
          <w:spacing w:val="-10"/>
        </w:rPr>
        <w:t xml:space="preserve"> </w:t>
      </w:r>
      <w:r>
        <w:t>dicha guerrilla en el gobierno</w:t>
      </w:r>
      <w:r>
        <w:rPr>
          <w:spacing w:val="-1"/>
        </w:rPr>
        <w:t xml:space="preserve"> </w:t>
      </w:r>
      <w:r>
        <w:t>de Andrés Pastrana (1998-2002) y la</w:t>
      </w:r>
      <w:r>
        <w:rPr>
          <w:spacing w:val="-1"/>
        </w:rPr>
        <w:t xml:space="preserve"> </w:t>
      </w:r>
      <w:r>
        <w:t>disputa de los territorios</w:t>
      </w:r>
      <w:r>
        <w:rPr>
          <w:spacing w:val="-1"/>
        </w:rPr>
        <w:t xml:space="preserve"> </w:t>
      </w:r>
      <w:r>
        <w:t>sobre los que habían ejercido influencia los grupos paramilitares posteriormente. De igual forma, en ese lapso se consolidaron y expandieron las AUC hasta 2005; la fuerza pública se modernizó tecnológica y operacionalmente por la puesta en marcha del Plan Colombia.</w:t>
      </w:r>
    </w:p>
    <w:p w:rsidR="003804AC" w:rsidRDefault="00AF18A5" w:rsidP="0095540A">
      <w:r>
        <w:t>El confinamiento también se relacionó con amenazas, desplazamiento forzado, tortura y ataques indiscriminados. De acuerdo con los testimonios recogidos por la Comisión, entre los</w:t>
      </w:r>
      <w:r>
        <w:rPr>
          <w:spacing w:val="71"/>
        </w:rPr>
        <w:t xml:space="preserve"> </w:t>
      </w:r>
      <w:r>
        <w:t>807</w:t>
      </w:r>
      <w:r>
        <w:rPr>
          <w:spacing w:val="70"/>
        </w:rPr>
        <w:t xml:space="preserve"> </w:t>
      </w:r>
      <w:r>
        <w:t>hechos</w:t>
      </w:r>
      <w:r w:rsidR="0095540A">
        <w:rPr>
          <w:rStyle w:val="Refdenotaalpie"/>
        </w:rPr>
        <w:footnoteReference w:id="189"/>
      </w:r>
      <w:r>
        <w:rPr>
          <w:spacing w:val="71"/>
        </w:rPr>
        <w:t xml:space="preserve"> </w:t>
      </w:r>
      <w:r>
        <w:t>documentados,</w:t>
      </w:r>
      <w:r>
        <w:rPr>
          <w:spacing w:val="70"/>
        </w:rPr>
        <w:t xml:space="preserve"> </w:t>
      </w:r>
      <w:r>
        <w:t>aproximadamente</w:t>
      </w:r>
      <w:r>
        <w:rPr>
          <w:spacing w:val="71"/>
        </w:rPr>
        <w:t xml:space="preserve"> </w:t>
      </w:r>
      <w:r>
        <w:t>el</w:t>
      </w:r>
      <w:r>
        <w:rPr>
          <w:spacing w:val="71"/>
        </w:rPr>
        <w:t xml:space="preserve"> </w:t>
      </w:r>
      <w:r>
        <w:t>62</w:t>
      </w:r>
      <w:r>
        <w:rPr>
          <w:spacing w:val="-1"/>
        </w:rPr>
        <w:t xml:space="preserve"> </w:t>
      </w:r>
      <w:r>
        <w:t>%</w:t>
      </w:r>
      <w:r>
        <w:rPr>
          <w:spacing w:val="71"/>
        </w:rPr>
        <w:t xml:space="preserve"> </w:t>
      </w:r>
      <w:r>
        <w:t>fue</w:t>
      </w:r>
      <w:r>
        <w:rPr>
          <w:spacing w:val="71"/>
        </w:rPr>
        <w:t xml:space="preserve"> </w:t>
      </w:r>
      <w:r>
        <w:t>cometido</w:t>
      </w:r>
      <w:r>
        <w:rPr>
          <w:spacing w:val="70"/>
        </w:rPr>
        <w:t xml:space="preserve"> </w:t>
      </w:r>
      <w:r>
        <w:t>de</w:t>
      </w:r>
      <w:r>
        <w:rPr>
          <w:spacing w:val="71"/>
        </w:rPr>
        <w:t xml:space="preserve"> </w:t>
      </w:r>
      <w:r>
        <w:rPr>
          <w:spacing w:val="-2"/>
        </w:rPr>
        <w:t>manera</w:t>
      </w:r>
      <w:bookmarkStart w:id="303" w:name="_bookmark222"/>
      <w:bookmarkEnd w:id="303"/>
      <w:r w:rsidR="0095540A">
        <w:rPr>
          <w:spacing w:val="-2"/>
        </w:rPr>
        <w:t xml:space="preserve"> </w:t>
      </w:r>
      <w:r>
        <w:t>conjunta con otras violaciones de derechos humanos e infracciones al DIH cómo las amenazas (10 %), el desplazamiento forzado (5 %) y ataques indiscriminados (4 %).</w:t>
      </w:r>
    </w:p>
    <w:p w:rsidR="003804AC" w:rsidRDefault="00AF18A5" w:rsidP="0095540A">
      <w:r>
        <w:t xml:space="preserve">Esta es otra infracción al DIH que no cesa. Según información de </w:t>
      </w:r>
      <w:proofErr w:type="spellStart"/>
      <w:r>
        <w:t>Acnur</w:t>
      </w:r>
      <w:proofErr w:type="spellEnd"/>
      <w:r>
        <w:t xml:space="preserve">, </w:t>
      </w:r>
      <w:r>
        <w:lastRenderedPageBreak/>
        <w:t>entre enero de 2019 y marzo de 2022 han sido confinadas al menos 183.702 personas, de las cuales la mayoría son afrocolombianas, campesinas e indígenas</w:t>
      </w:r>
      <w:r w:rsidR="0095540A">
        <w:rPr>
          <w:rStyle w:val="Refdenotaalpie"/>
        </w:rPr>
        <w:footnoteReference w:id="190"/>
      </w:r>
      <w:r>
        <w:t>. Los territorios afectados son aquellos en los que los actores armados tienen un alto nivel de control territorial. El uso de minas antipersona condujo a confinamientos de la población civil que vio restringida a espacios cada vez más limitados y no pudo transitar por aquellas zonas sobre las que había certeza o sospecha de la existencia de minas.</w:t>
      </w:r>
    </w:p>
    <w:p w:rsidR="0011361F" w:rsidRDefault="00AF18A5" w:rsidP="004A6EF4">
      <w:pPr>
        <w:pStyle w:val="Ttulo3"/>
        <w:numPr>
          <w:ilvl w:val="1"/>
          <w:numId w:val="16"/>
        </w:numPr>
      </w:pPr>
      <w:bookmarkStart w:id="304" w:name="3.20._Despojo_de_tierras"/>
      <w:bookmarkStart w:id="305" w:name="_Toc112399579"/>
      <w:bookmarkEnd w:id="304"/>
      <w:r w:rsidRPr="0095540A">
        <w:t>Despojo</w:t>
      </w:r>
      <w:r>
        <w:rPr>
          <w:spacing w:val="-2"/>
        </w:rPr>
        <w:t xml:space="preserve"> </w:t>
      </w:r>
      <w:r>
        <w:t>de</w:t>
      </w:r>
      <w:r>
        <w:rPr>
          <w:spacing w:val="-1"/>
        </w:rPr>
        <w:t xml:space="preserve"> </w:t>
      </w:r>
      <w:r>
        <w:rPr>
          <w:spacing w:val="-2"/>
        </w:rPr>
        <w:t>tierras</w:t>
      </w:r>
      <w:bookmarkEnd w:id="305"/>
    </w:p>
    <w:p w:rsidR="003804AC" w:rsidRDefault="00AF18A5" w:rsidP="0095540A">
      <w:r>
        <w:t xml:space="preserve">«Perdimos las tierras, perdimos todo, debido a eso mi papá y mi mamá se entristecieron, dejaron sus tierritas, se vinieron para Aguachica y a una persona campesina en el pueblo le va mal, se entristece porque la vida de uno es el campo, la vida de uno es estar pegado a las matas, </w:t>
      </w:r>
      <w:proofErr w:type="spellStart"/>
      <w:r>
        <w:t>checheriando</w:t>
      </w:r>
      <w:proofErr w:type="spellEnd"/>
      <w:r>
        <w:t xml:space="preserve"> con los animales, esa es la vida del campesino, el campesino en el pueblo sufre»</w:t>
      </w:r>
      <w:r w:rsidR="0095540A">
        <w:rPr>
          <w:rStyle w:val="Refdenotaalpie"/>
        </w:rPr>
        <w:footnoteReference w:id="191"/>
      </w:r>
      <w:r>
        <w:t>.</w:t>
      </w:r>
    </w:p>
    <w:p w:rsidR="003804AC" w:rsidRDefault="00AF18A5" w:rsidP="0095540A">
      <w:r>
        <w:t>El despojo está en la mayoría de los casos ligado al desplazamiento forzado. El despojo de</w:t>
      </w:r>
      <w:r>
        <w:rPr>
          <w:spacing w:val="-8"/>
        </w:rPr>
        <w:t xml:space="preserve"> </w:t>
      </w:r>
      <w:r>
        <w:t>tierras</w:t>
      </w:r>
      <w:r>
        <w:rPr>
          <w:spacing w:val="-8"/>
        </w:rPr>
        <w:t xml:space="preserve"> </w:t>
      </w:r>
      <w:r>
        <w:t>y</w:t>
      </w:r>
      <w:r>
        <w:rPr>
          <w:spacing w:val="-8"/>
        </w:rPr>
        <w:t xml:space="preserve"> </w:t>
      </w:r>
      <w:r>
        <w:t>territorios</w:t>
      </w:r>
      <w:r>
        <w:rPr>
          <w:spacing w:val="-8"/>
        </w:rPr>
        <w:t xml:space="preserve"> </w:t>
      </w:r>
      <w:r>
        <w:t>es</w:t>
      </w:r>
      <w:r>
        <w:rPr>
          <w:spacing w:val="-9"/>
        </w:rPr>
        <w:t xml:space="preserve"> </w:t>
      </w:r>
      <w:r>
        <w:t>un</w:t>
      </w:r>
      <w:r>
        <w:rPr>
          <w:spacing w:val="-8"/>
        </w:rPr>
        <w:t xml:space="preserve"> </w:t>
      </w:r>
      <w:r>
        <w:t>crimen</w:t>
      </w:r>
      <w:r>
        <w:rPr>
          <w:spacing w:val="-8"/>
        </w:rPr>
        <w:t xml:space="preserve"> </w:t>
      </w:r>
      <w:r>
        <w:t>que</w:t>
      </w:r>
      <w:r>
        <w:rPr>
          <w:spacing w:val="-8"/>
        </w:rPr>
        <w:t xml:space="preserve"> </w:t>
      </w:r>
      <w:r>
        <w:t>con</w:t>
      </w:r>
      <w:r>
        <w:rPr>
          <w:spacing w:val="-8"/>
        </w:rPr>
        <w:t xml:space="preserve"> </w:t>
      </w:r>
      <w:r>
        <w:t>fines</w:t>
      </w:r>
      <w:r>
        <w:rPr>
          <w:spacing w:val="-9"/>
        </w:rPr>
        <w:t xml:space="preserve"> </w:t>
      </w:r>
      <w:r>
        <w:t>económicos</w:t>
      </w:r>
      <w:r>
        <w:rPr>
          <w:spacing w:val="-9"/>
        </w:rPr>
        <w:t xml:space="preserve"> </w:t>
      </w:r>
      <w:r>
        <w:t>y</w:t>
      </w:r>
      <w:r>
        <w:rPr>
          <w:spacing w:val="-8"/>
        </w:rPr>
        <w:t xml:space="preserve"> </w:t>
      </w:r>
      <w:r>
        <w:t>militares</w:t>
      </w:r>
      <w:r>
        <w:rPr>
          <w:spacing w:val="-9"/>
        </w:rPr>
        <w:t xml:space="preserve"> </w:t>
      </w:r>
      <w:r>
        <w:t>motiva</w:t>
      </w:r>
      <w:r>
        <w:rPr>
          <w:spacing w:val="-8"/>
        </w:rPr>
        <w:t xml:space="preserve"> </w:t>
      </w:r>
      <w:r>
        <w:t>otras</w:t>
      </w:r>
      <w:r>
        <w:rPr>
          <w:spacing w:val="-9"/>
        </w:rPr>
        <w:t xml:space="preserve"> </w:t>
      </w:r>
      <w:r>
        <w:t>graves violaciones de los derechos humanos. La tierra, territorios y recursos naturales son un botín de</w:t>
      </w:r>
      <w:r>
        <w:rPr>
          <w:spacing w:val="-9"/>
        </w:rPr>
        <w:t xml:space="preserve"> </w:t>
      </w:r>
      <w:r>
        <w:t>guerra</w:t>
      </w:r>
      <w:r>
        <w:rPr>
          <w:spacing w:val="-9"/>
        </w:rPr>
        <w:t xml:space="preserve"> </w:t>
      </w:r>
      <w:r>
        <w:t>para</w:t>
      </w:r>
      <w:r>
        <w:rPr>
          <w:spacing w:val="-9"/>
        </w:rPr>
        <w:t xml:space="preserve"> </w:t>
      </w:r>
      <w:r>
        <w:t>entramados</w:t>
      </w:r>
      <w:r>
        <w:rPr>
          <w:spacing w:val="-9"/>
        </w:rPr>
        <w:t xml:space="preserve"> </w:t>
      </w:r>
      <w:r>
        <w:t>compuestos</w:t>
      </w:r>
      <w:r>
        <w:rPr>
          <w:spacing w:val="-9"/>
        </w:rPr>
        <w:t xml:space="preserve"> </w:t>
      </w:r>
      <w:r>
        <w:t>por</w:t>
      </w:r>
      <w:r>
        <w:rPr>
          <w:spacing w:val="-9"/>
        </w:rPr>
        <w:t xml:space="preserve"> </w:t>
      </w:r>
      <w:r>
        <w:t>diversos</w:t>
      </w:r>
      <w:r>
        <w:rPr>
          <w:spacing w:val="-9"/>
        </w:rPr>
        <w:t xml:space="preserve"> </w:t>
      </w:r>
      <w:r>
        <w:t>actores</w:t>
      </w:r>
      <w:r>
        <w:rPr>
          <w:spacing w:val="-9"/>
        </w:rPr>
        <w:t xml:space="preserve"> </w:t>
      </w:r>
      <w:r>
        <w:t>armados</w:t>
      </w:r>
      <w:r>
        <w:rPr>
          <w:spacing w:val="-9"/>
        </w:rPr>
        <w:t xml:space="preserve"> </w:t>
      </w:r>
      <w:r>
        <w:t>legales</w:t>
      </w:r>
      <w:r>
        <w:rPr>
          <w:spacing w:val="-9"/>
        </w:rPr>
        <w:t xml:space="preserve"> </w:t>
      </w:r>
      <w:r>
        <w:t>e</w:t>
      </w:r>
      <w:r>
        <w:rPr>
          <w:spacing w:val="-9"/>
        </w:rPr>
        <w:t xml:space="preserve"> </w:t>
      </w:r>
      <w:r>
        <w:t>ilegales.</w:t>
      </w:r>
      <w:r>
        <w:rPr>
          <w:spacing w:val="-11"/>
        </w:rPr>
        <w:t xml:space="preserve"> </w:t>
      </w:r>
      <w:r>
        <w:t>Estos han expulsado a las comunidades rurales de sus territorios, mediante el uso de mecanismos violentos, políticos, administrativos y judiciales</w:t>
      </w:r>
      <w:r>
        <w:rPr>
          <w:spacing w:val="-4"/>
        </w:rPr>
        <w:t xml:space="preserve"> </w:t>
      </w:r>
      <w:r>
        <w:t>para</w:t>
      </w:r>
      <w:r>
        <w:rPr>
          <w:spacing w:val="-3"/>
        </w:rPr>
        <w:t xml:space="preserve"> </w:t>
      </w:r>
      <w:r>
        <w:t>facilitar el proceso de acumulación de tierra en pocas manos, agravando la desigualdad y la problemática agraria.</w:t>
      </w:r>
    </w:p>
    <w:p w:rsidR="003804AC" w:rsidRDefault="00AF18A5" w:rsidP="00715045">
      <w:r>
        <w:lastRenderedPageBreak/>
        <w:t>Pese</w:t>
      </w:r>
      <w:r>
        <w:rPr>
          <w:spacing w:val="-12"/>
        </w:rPr>
        <w:t xml:space="preserve"> </w:t>
      </w:r>
      <w:r>
        <w:t>a</w:t>
      </w:r>
      <w:r>
        <w:rPr>
          <w:spacing w:val="-12"/>
        </w:rPr>
        <w:t xml:space="preserve"> </w:t>
      </w:r>
      <w:r>
        <w:t>que</w:t>
      </w:r>
      <w:r>
        <w:rPr>
          <w:spacing w:val="-12"/>
        </w:rPr>
        <w:t xml:space="preserve"> </w:t>
      </w:r>
      <w:r>
        <w:t>no</w:t>
      </w:r>
      <w:r>
        <w:rPr>
          <w:spacing w:val="-12"/>
        </w:rPr>
        <w:t xml:space="preserve"> </w:t>
      </w:r>
      <w:r>
        <w:t>es</w:t>
      </w:r>
      <w:r>
        <w:rPr>
          <w:spacing w:val="-12"/>
        </w:rPr>
        <w:t xml:space="preserve"> </w:t>
      </w:r>
      <w:r>
        <w:t>una</w:t>
      </w:r>
      <w:r>
        <w:rPr>
          <w:spacing w:val="-12"/>
        </w:rPr>
        <w:t xml:space="preserve"> </w:t>
      </w:r>
      <w:r>
        <w:t>práctica</w:t>
      </w:r>
      <w:r>
        <w:rPr>
          <w:spacing w:val="-12"/>
        </w:rPr>
        <w:t xml:space="preserve"> </w:t>
      </w:r>
      <w:r>
        <w:t>nueva</w:t>
      </w:r>
      <w:r>
        <w:rPr>
          <w:spacing w:val="-13"/>
        </w:rPr>
        <w:t xml:space="preserve"> </w:t>
      </w:r>
      <w:r>
        <w:t>y</w:t>
      </w:r>
      <w:r>
        <w:rPr>
          <w:spacing w:val="-12"/>
        </w:rPr>
        <w:t xml:space="preserve"> </w:t>
      </w:r>
      <w:r>
        <w:t>se</w:t>
      </w:r>
      <w:r>
        <w:rPr>
          <w:spacing w:val="-12"/>
        </w:rPr>
        <w:t xml:space="preserve"> </w:t>
      </w:r>
      <w:r>
        <w:t>ha</w:t>
      </w:r>
      <w:r>
        <w:rPr>
          <w:spacing w:val="-12"/>
        </w:rPr>
        <w:t xml:space="preserve"> </w:t>
      </w:r>
      <w:r>
        <w:t>perpetrado</w:t>
      </w:r>
      <w:r>
        <w:rPr>
          <w:spacing w:val="-12"/>
        </w:rPr>
        <w:t xml:space="preserve"> </w:t>
      </w:r>
      <w:r>
        <w:t>de</w:t>
      </w:r>
      <w:r>
        <w:rPr>
          <w:spacing w:val="-12"/>
        </w:rPr>
        <w:t xml:space="preserve"> </w:t>
      </w:r>
      <w:r>
        <w:t>manera</w:t>
      </w:r>
      <w:r>
        <w:rPr>
          <w:spacing w:val="-12"/>
        </w:rPr>
        <w:t xml:space="preserve"> </w:t>
      </w:r>
      <w:r>
        <w:t>masiva,</w:t>
      </w:r>
      <w:r>
        <w:rPr>
          <w:spacing w:val="-13"/>
        </w:rPr>
        <w:t xml:space="preserve"> </w:t>
      </w:r>
      <w:r>
        <w:t>no</w:t>
      </w:r>
      <w:r>
        <w:rPr>
          <w:spacing w:val="-12"/>
        </w:rPr>
        <w:t xml:space="preserve"> </w:t>
      </w:r>
      <w:r>
        <w:t>existen</w:t>
      </w:r>
      <w:r>
        <w:rPr>
          <w:spacing w:val="-12"/>
        </w:rPr>
        <w:t xml:space="preserve"> </w:t>
      </w:r>
      <w:r>
        <w:t>bases de datos que muestren la verdadera magnitud del despojo o que diferencien entre tierras despojadas</w:t>
      </w:r>
      <w:r>
        <w:rPr>
          <w:spacing w:val="7"/>
        </w:rPr>
        <w:t xml:space="preserve"> </w:t>
      </w:r>
      <w:r>
        <w:t>y</w:t>
      </w:r>
      <w:r>
        <w:rPr>
          <w:spacing w:val="8"/>
        </w:rPr>
        <w:t xml:space="preserve"> </w:t>
      </w:r>
      <w:r>
        <w:t>tierras</w:t>
      </w:r>
      <w:r>
        <w:rPr>
          <w:spacing w:val="8"/>
        </w:rPr>
        <w:t xml:space="preserve"> </w:t>
      </w:r>
      <w:r>
        <w:t>abandonadas</w:t>
      </w:r>
      <w:r>
        <w:rPr>
          <w:spacing w:val="9"/>
        </w:rPr>
        <w:t xml:space="preserve"> </w:t>
      </w:r>
      <w:r>
        <w:t>por</w:t>
      </w:r>
      <w:r>
        <w:rPr>
          <w:spacing w:val="9"/>
        </w:rPr>
        <w:t xml:space="preserve"> </w:t>
      </w:r>
      <w:r>
        <w:t>la</w:t>
      </w:r>
      <w:r>
        <w:rPr>
          <w:spacing w:val="8"/>
        </w:rPr>
        <w:t xml:space="preserve"> </w:t>
      </w:r>
      <w:r>
        <w:t>fuerza.</w:t>
      </w:r>
      <w:r>
        <w:rPr>
          <w:spacing w:val="7"/>
        </w:rPr>
        <w:t xml:space="preserve"> </w:t>
      </w:r>
      <w:r>
        <w:t>Tampoco</w:t>
      </w:r>
      <w:r>
        <w:rPr>
          <w:spacing w:val="9"/>
        </w:rPr>
        <w:t xml:space="preserve"> </w:t>
      </w:r>
      <w:r>
        <w:t>existe</w:t>
      </w:r>
      <w:r>
        <w:rPr>
          <w:spacing w:val="8"/>
        </w:rPr>
        <w:t xml:space="preserve"> </w:t>
      </w:r>
      <w:r>
        <w:t>en</w:t>
      </w:r>
      <w:r>
        <w:rPr>
          <w:spacing w:val="8"/>
        </w:rPr>
        <w:t xml:space="preserve"> </w:t>
      </w:r>
      <w:r>
        <w:t>la</w:t>
      </w:r>
      <w:r>
        <w:rPr>
          <w:spacing w:val="8"/>
        </w:rPr>
        <w:t xml:space="preserve"> </w:t>
      </w:r>
      <w:r>
        <w:t>ley</w:t>
      </w:r>
      <w:r>
        <w:rPr>
          <w:spacing w:val="9"/>
        </w:rPr>
        <w:t xml:space="preserve"> </w:t>
      </w:r>
      <w:r>
        <w:t>penal</w:t>
      </w:r>
      <w:r>
        <w:rPr>
          <w:spacing w:val="9"/>
        </w:rPr>
        <w:t xml:space="preserve"> </w:t>
      </w:r>
      <w:r>
        <w:t>el</w:t>
      </w:r>
      <w:r>
        <w:rPr>
          <w:spacing w:val="9"/>
        </w:rPr>
        <w:t xml:space="preserve"> </w:t>
      </w:r>
      <w:r>
        <w:t>delito</w:t>
      </w:r>
      <w:r>
        <w:rPr>
          <w:spacing w:val="9"/>
        </w:rPr>
        <w:t xml:space="preserve"> </w:t>
      </w:r>
      <w:r>
        <w:rPr>
          <w:spacing w:val="-5"/>
        </w:rPr>
        <w:t>de</w:t>
      </w:r>
      <w:bookmarkStart w:id="306" w:name="_bookmark224"/>
      <w:bookmarkStart w:id="307" w:name="_bookmark225"/>
      <w:bookmarkEnd w:id="306"/>
      <w:bookmarkEnd w:id="307"/>
      <w:r w:rsidR="00715045">
        <w:rPr>
          <w:spacing w:val="-5"/>
        </w:rPr>
        <w:t xml:space="preserve"> </w:t>
      </w:r>
      <w:r>
        <w:t>despojo. El despojo de tierras se puede vincular como eslabón en cadenas de violencia relacionadas con las amenazas, el homicidio y sobre todo con el desplazamiento forzado.</w:t>
      </w:r>
    </w:p>
    <w:p w:rsidR="003804AC" w:rsidRDefault="00AF18A5" w:rsidP="00715045">
      <w:r>
        <w:t>La</w:t>
      </w:r>
      <w:r>
        <w:rPr>
          <w:spacing w:val="-4"/>
        </w:rPr>
        <w:t xml:space="preserve"> </w:t>
      </w:r>
      <w:r>
        <w:t>Ley</w:t>
      </w:r>
      <w:r>
        <w:rPr>
          <w:spacing w:val="-4"/>
        </w:rPr>
        <w:t xml:space="preserve"> </w:t>
      </w:r>
      <w:r>
        <w:t>1448</w:t>
      </w:r>
      <w:r>
        <w:rPr>
          <w:spacing w:val="-3"/>
        </w:rPr>
        <w:t xml:space="preserve"> </w:t>
      </w:r>
      <w:r>
        <w:t>de</w:t>
      </w:r>
      <w:r>
        <w:rPr>
          <w:spacing w:val="-3"/>
        </w:rPr>
        <w:t xml:space="preserve"> </w:t>
      </w:r>
      <w:r>
        <w:t>2011</w:t>
      </w:r>
      <w:r>
        <w:rPr>
          <w:spacing w:val="-4"/>
        </w:rPr>
        <w:t xml:space="preserve"> </w:t>
      </w:r>
      <w:r>
        <w:t>(ley</w:t>
      </w:r>
      <w:r>
        <w:rPr>
          <w:spacing w:val="-4"/>
        </w:rPr>
        <w:t xml:space="preserve"> </w:t>
      </w:r>
      <w:r>
        <w:t>de</w:t>
      </w:r>
      <w:r>
        <w:rPr>
          <w:spacing w:val="-3"/>
        </w:rPr>
        <w:t xml:space="preserve"> </w:t>
      </w:r>
      <w:r>
        <w:t>víctimas</w:t>
      </w:r>
      <w:r>
        <w:rPr>
          <w:spacing w:val="-4"/>
        </w:rPr>
        <w:t xml:space="preserve"> </w:t>
      </w:r>
      <w:r>
        <w:t>y</w:t>
      </w:r>
      <w:r>
        <w:rPr>
          <w:spacing w:val="-4"/>
        </w:rPr>
        <w:t xml:space="preserve"> </w:t>
      </w:r>
      <w:r>
        <w:t>de</w:t>
      </w:r>
      <w:r>
        <w:rPr>
          <w:spacing w:val="-3"/>
        </w:rPr>
        <w:t xml:space="preserve"> </w:t>
      </w:r>
      <w:r>
        <w:t>restitución</w:t>
      </w:r>
      <w:r>
        <w:rPr>
          <w:spacing w:val="-4"/>
        </w:rPr>
        <w:t xml:space="preserve"> </w:t>
      </w:r>
      <w:r>
        <w:t>de</w:t>
      </w:r>
      <w:r>
        <w:rPr>
          <w:spacing w:val="-4"/>
        </w:rPr>
        <w:t xml:space="preserve"> </w:t>
      </w:r>
      <w:r>
        <w:t>tierras)</w:t>
      </w:r>
      <w:r>
        <w:rPr>
          <w:spacing w:val="-2"/>
        </w:rPr>
        <w:t xml:space="preserve"> </w:t>
      </w:r>
      <w:r>
        <w:t>definió</w:t>
      </w:r>
      <w:r>
        <w:rPr>
          <w:spacing w:val="-4"/>
        </w:rPr>
        <w:t xml:space="preserve"> </w:t>
      </w:r>
      <w:r>
        <w:t>el</w:t>
      </w:r>
      <w:r>
        <w:rPr>
          <w:spacing w:val="-3"/>
        </w:rPr>
        <w:t xml:space="preserve"> </w:t>
      </w:r>
      <w:r>
        <w:t>despojo</w:t>
      </w:r>
      <w:r>
        <w:rPr>
          <w:spacing w:val="-3"/>
        </w:rPr>
        <w:t xml:space="preserve"> </w:t>
      </w:r>
      <w:r>
        <w:rPr>
          <w:spacing w:val="-4"/>
        </w:rPr>
        <w:t>como</w:t>
      </w:r>
      <w:r w:rsidR="00715045">
        <w:t xml:space="preserve"> </w:t>
      </w:r>
      <w:r>
        <w:t>«la acción por medio de la cual, aprovechándose de la situación de violencia, se priva arbitrariamente a una persona de su propiedad, posesión u ocupación, ya sea de hecho, mediante</w:t>
      </w:r>
      <w:r>
        <w:rPr>
          <w:spacing w:val="-2"/>
        </w:rPr>
        <w:t xml:space="preserve"> </w:t>
      </w:r>
      <w:r>
        <w:t>negocio</w:t>
      </w:r>
      <w:r>
        <w:rPr>
          <w:spacing w:val="-2"/>
        </w:rPr>
        <w:t xml:space="preserve"> </w:t>
      </w:r>
      <w:r>
        <w:t>jurídico,</w:t>
      </w:r>
      <w:r>
        <w:rPr>
          <w:spacing w:val="-2"/>
        </w:rPr>
        <w:t xml:space="preserve"> </w:t>
      </w:r>
      <w:r>
        <w:t>acto</w:t>
      </w:r>
      <w:r>
        <w:rPr>
          <w:spacing w:val="-2"/>
        </w:rPr>
        <w:t xml:space="preserve"> </w:t>
      </w:r>
      <w:r>
        <w:t>administrativo,</w:t>
      </w:r>
      <w:r>
        <w:rPr>
          <w:spacing w:val="-2"/>
        </w:rPr>
        <w:t xml:space="preserve"> </w:t>
      </w:r>
      <w:r>
        <w:t>sentencia,</w:t>
      </w:r>
      <w:r>
        <w:rPr>
          <w:spacing w:val="-2"/>
        </w:rPr>
        <w:t xml:space="preserve"> </w:t>
      </w:r>
      <w:r>
        <w:t>o</w:t>
      </w:r>
      <w:r>
        <w:rPr>
          <w:spacing w:val="-2"/>
        </w:rPr>
        <w:t xml:space="preserve"> </w:t>
      </w:r>
      <w:r>
        <w:t>mediante</w:t>
      </w:r>
      <w:r>
        <w:rPr>
          <w:spacing w:val="-2"/>
        </w:rPr>
        <w:t xml:space="preserve"> </w:t>
      </w:r>
      <w:r>
        <w:t>la</w:t>
      </w:r>
      <w:r>
        <w:rPr>
          <w:spacing w:val="-2"/>
        </w:rPr>
        <w:t xml:space="preserve"> </w:t>
      </w:r>
      <w:r>
        <w:t>comisión</w:t>
      </w:r>
      <w:r>
        <w:rPr>
          <w:spacing w:val="-2"/>
        </w:rPr>
        <w:t xml:space="preserve"> </w:t>
      </w:r>
      <w:r>
        <w:t>de</w:t>
      </w:r>
      <w:r>
        <w:rPr>
          <w:spacing w:val="-2"/>
        </w:rPr>
        <w:t xml:space="preserve"> </w:t>
      </w:r>
      <w:r>
        <w:t>delitos asociados a la situación de violencia». La ley de víctimas concibe como responsables del despojo tanto a «[...] la persona que priva del derecho de propiedad, posesión, ocupación o tenencia del inmueble, como [...] quien realiza las amenazas o los actos de violencia, según fuere</w:t>
      </w:r>
      <w:r>
        <w:rPr>
          <w:spacing w:val="-13"/>
        </w:rPr>
        <w:t xml:space="preserve"> </w:t>
      </w:r>
      <w:r>
        <w:t>el</w:t>
      </w:r>
      <w:r>
        <w:rPr>
          <w:spacing w:val="-13"/>
        </w:rPr>
        <w:t xml:space="preserve"> </w:t>
      </w:r>
      <w:r>
        <w:t>caso».</w:t>
      </w:r>
      <w:r>
        <w:rPr>
          <w:spacing w:val="-12"/>
        </w:rPr>
        <w:t xml:space="preserve"> </w:t>
      </w:r>
      <w:r>
        <w:t>Sin</w:t>
      </w:r>
      <w:r>
        <w:rPr>
          <w:spacing w:val="-12"/>
        </w:rPr>
        <w:t xml:space="preserve"> </w:t>
      </w:r>
      <w:r>
        <w:t>embargo,</w:t>
      </w:r>
      <w:r>
        <w:rPr>
          <w:spacing w:val="-12"/>
        </w:rPr>
        <w:t xml:space="preserve"> </w:t>
      </w:r>
      <w:r>
        <w:t>los</w:t>
      </w:r>
      <w:r>
        <w:rPr>
          <w:spacing w:val="-13"/>
        </w:rPr>
        <w:t xml:space="preserve"> </w:t>
      </w:r>
      <w:r>
        <w:t>responsables</w:t>
      </w:r>
      <w:r>
        <w:rPr>
          <w:spacing w:val="-13"/>
        </w:rPr>
        <w:t xml:space="preserve"> </w:t>
      </w:r>
      <w:r>
        <w:t>del</w:t>
      </w:r>
      <w:r>
        <w:rPr>
          <w:spacing w:val="-13"/>
        </w:rPr>
        <w:t xml:space="preserve"> </w:t>
      </w:r>
      <w:r>
        <w:t>despojo</w:t>
      </w:r>
      <w:r>
        <w:rPr>
          <w:spacing w:val="-12"/>
        </w:rPr>
        <w:t xml:space="preserve"> </w:t>
      </w:r>
      <w:r>
        <w:t>gozan</w:t>
      </w:r>
      <w:r>
        <w:rPr>
          <w:spacing w:val="-12"/>
        </w:rPr>
        <w:t xml:space="preserve"> </w:t>
      </w:r>
      <w:r>
        <w:t>por</w:t>
      </w:r>
      <w:r>
        <w:rPr>
          <w:spacing w:val="-12"/>
        </w:rPr>
        <w:t xml:space="preserve"> </w:t>
      </w:r>
      <w:r>
        <w:t>lo</w:t>
      </w:r>
      <w:r>
        <w:rPr>
          <w:spacing w:val="-13"/>
        </w:rPr>
        <w:t xml:space="preserve"> </w:t>
      </w:r>
      <w:r>
        <w:t>general</w:t>
      </w:r>
      <w:r>
        <w:rPr>
          <w:spacing w:val="-13"/>
        </w:rPr>
        <w:t xml:space="preserve"> </w:t>
      </w:r>
      <w:r>
        <w:t>de</w:t>
      </w:r>
      <w:r>
        <w:rPr>
          <w:spacing w:val="-13"/>
        </w:rPr>
        <w:t xml:space="preserve"> </w:t>
      </w:r>
      <w:r>
        <w:t>impunidad, en parte porque no existe el delito de despojo en la legislación penal colombiana.</w:t>
      </w:r>
    </w:p>
    <w:p w:rsidR="003804AC" w:rsidRDefault="00AF18A5" w:rsidP="00715045">
      <w:r>
        <w:t>El despojo es una empresa criminal mediante la cual fueron arrebatadas propiedades y territorios</w:t>
      </w:r>
      <w:r>
        <w:rPr>
          <w:spacing w:val="-6"/>
        </w:rPr>
        <w:t xml:space="preserve"> </w:t>
      </w:r>
      <w:r>
        <w:t>a</w:t>
      </w:r>
      <w:r>
        <w:rPr>
          <w:spacing w:val="-7"/>
        </w:rPr>
        <w:t xml:space="preserve"> </w:t>
      </w:r>
      <w:r>
        <w:t>personas</w:t>
      </w:r>
      <w:r>
        <w:rPr>
          <w:spacing w:val="-6"/>
        </w:rPr>
        <w:t xml:space="preserve"> </w:t>
      </w:r>
      <w:r>
        <w:t>y</w:t>
      </w:r>
      <w:r>
        <w:rPr>
          <w:spacing w:val="-6"/>
        </w:rPr>
        <w:t xml:space="preserve"> </w:t>
      </w:r>
      <w:r>
        <w:t>comunidades</w:t>
      </w:r>
      <w:r>
        <w:rPr>
          <w:spacing w:val="-6"/>
        </w:rPr>
        <w:t xml:space="preserve"> </w:t>
      </w:r>
      <w:r>
        <w:t>durante</w:t>
      </w:r>
      <w:r>
        <w:rPr>
          <w:spacing w:val="-6"/>
        </w:rPr>
        <w:t xml:space="preserve"> </w:t>
      </w:r>
      <w:r>
        <w:t>el</w:t>
      </w:r>
      <w:r>
        <w:rPr>
          <w:spacing w:val="-6"/>
        </w:rPr>
        <w:t xml:space="preserve"> </w:t>
      </w:r>
      <w:r>
        <w:t>conflicto</w:t>
      </w:r>
      <w:r>
        <w:rPr>
          <w:spacing w:val="-6"/>
        </w:rPr>
        <w:t xml:space="preserve"> </w:t>
      </w:r>
      <w:r>
        <w:t>armado,</w:t>
      </w:r>
      <w:r>
        <w:rPr>
          <w:spacing w:val="-6"/>
        </w:rPr>
        <w:t xml:space="preserve"> </w:t>
      </w:r>
      <w:r>
        <w:t>y</w:t>
      </w:r>
      <w:r>
        <w:rPr>
          <w:spacing w:val="-6"/>
        </w:rPr>
        <w:t xml:space="preserve"> </w:t>
      </w:r>
      <w:r>
        <w:t>posibilitó</w:t>
      </w:r>
      <w:r>
        <w:rPr>
          <w:spacing w:val="-6"/>
        </w:rPr>
        <w:t xml:space="preserve"> </w:t>
      </w:r>
      <w:r>
        <w:t>o</w:t>
      </w:r>
      <w:r>
        <w:rPr>
          <w:spacing w:val="-6"/>
        </w:rPr>
        <w:t xml:space="preserve"> </w:t>
      </w:r>
      <w:r>
        <w:t>condujo</w:t>
      </w:r>
      <w:r>
        <w:rPr>
          <w:spacing w:val="-6"/>
        </w:rPr>
        <w:t xml:space="preserve"> </w:t>
      </w:r>
      <w:r>
        <w:t>a</w:t>
      </w:r>
      <w:r>
        <w:rPr>
          <w:spacing w:val="-6"/>
        </w:rPr>
        <w:t xml:space="preserve"> </w:t>
      </w:r>
      <w:r>
        <w:t>su apropiación</w:t>
      </w:r>
      <w:r>
        <w:rPr>
          <w:spacing w:val="-12"/>
        </w:rPr>
        <w:t xml:space="preserve"> </w:t>
      </w:r>
      <w:r>
        <w:t>por</w:t>
      </w:r>
      <w:r>
        <w:rPr>
          <w:spacing w:val="-10"/>
        </w:rPr>
        <w:t xml:space="preserve"> </w:t>
      </w:r>
      <w:r>
        <w:t>parte</w:t>
      </w:r>
      <w:r>
        <w:rPr>
          <w:spacing w:val="-11"/>
        </w:rPr>
        <w:t xml:space="preserve"> </w:t>
      </w:r>
      <w:r>
        <w:t>de</w:t>
      </w:r>
      <w:r>
        <w:rPr>
          <w:spacing w:val="-12"/>
        </w:rPr>
        <w:t xml:space="preserve"> </w:t>
      </w:r>
      <w:r>
        <w:t>terceros</w:t>
      </w:r>
      <w:r>
        <w:rPr>
          <w:spacing w:val="-11"/>
        </w:rPr>
        <w:t xml:space="preserve"> </w:t>
      </w:r>
      <w:r>
        <w:t>que</w:t>
      </w:r>
      <w:r>
        <w:rPr>
          <w:spacing w:val="-12"/>
        </w:rPr>
        <w:t xml:space="preserve"> </w:t>
      </w:r>
      <w:r>
        <w:t>se</w:t>
      </w:r>
      <w:r>
        <w:rPr>
          <w:spacing w:val="-11"/>
        </w:rPr>
        <w:t xml:space="preserve"> </w:t>
      </w:r>
      <w:r>
        <w:t>beneficiaron</w:t>
      </w:r>
      <w:r>
        <w:rPr>
          <w:spacing w:val="-11"/>
        </w:rPr>
        <w:t xml:space="preserve"> </w:t>
      </w:r>
      <w:r>
        <w:t>de</w:t>
      </w:r>
      <w:r>
        <w:rPr>
          <w:spacing w:val="-11"/>
        </w:rPr>
        <w:t xml:space="preserve"> </w:t>
      </w:r>
      <w:r>
        <w:t>la</w:t>
      </w:r>
      <w:r>
        <w:rPr>
          <w:spacing w:val="-11"/>
        </w:rPr>
        <w:t xml:space="preserve"> </w:t>
      </w:r>
      <w:r>
        <w:t>violencia</w:t>
      </w:r>
      <w:r>
        <w:rPr>
          <w:spacing w:val="-11"/>
        </w:rPr>
        <w:t xml:space="preserve"> </w:t>
      </w:r>
      <w:r>
        <w:t>y</w:t>
      </w:r>
      <w:r>
        <w:rPr>
          <w:spacing w:val="-11"/>
        </w:rPr>
        <w:t xml:space="preserve"> </w:t>
      </w:r>
      <w:r>
        <w:t>el</w:t>
      </w:r>
      <w:r>
        <w:rPr>
          <w:spacing w:val="-10"/>
        </w:rPr>
        <w:t xml:space="preserve"> </w:t>
      </w:r>
      <w:r>
        <w:t>sufrimiento</w:t>
      </w:r>
      <w:r>
        <w:rPr>
          <w:spacing w:val="-11"/>
        </w:rPr>
        <w:t xml:space="preserve"> </w:t>
      </w:r>
      <w:r>
        <w:t xml:space="preserve">causado a las víctimas. El despojo de tierras y territorios junto a la usurpación ilegítima de bienes comunes, estuvo mediado por la participación, en diferentes niveles, de grupos armados ilegales, políticos, servidores públicos civiles, élites locales económicas y empresariales, además de narcotraficantes. Estos consolidaron un complejo de alianzas con el propósito común de </w:t>
      </w:r>
      <w:r>
        <w:lastRenderedPageBreak/>
        <w:t>controlar la tierra en distintas regiones estratégicas en lo económico o lo militar. También se llevó a cabo para asegurar y robustecer actividades empresariales en zonas de conflicto armado; controlar las economías ilícitas; concentrar y acumular la tierra en manos de</w:t>
      </w:r>
      <w:r>
        <w:rPr>
          <w:spacing w:val="-2"/>
        </w:rPr>
        <w:t xml:space="preserve"> </w:t>
      </w:r>
      <w:r>
        <w:t>pocos</w:t>
      </w:r>
      <w:r>
        <w:rPr>
          <w:spacing w:val="-2"/>
        </w:rPr>
        <w:t xml:space="preserve"> </w:t>
      </w:r>
      <w:r>
        <w:t>propietarios</w:t>
      </w:r>
      <w:r>
        <w:rPr>
          <w:spacing w:val="-2"/>
        </w:rPr>
        <w:t xml:space="preserve"> </w:t>
      </w:r>
      <w:r>
        <w:t>mediante</w:t>
      </w:r>
      <w:r>
        <w:rPr>
          <w:spacing w:val="-2"/>
        </w:rPr>
        <w:t xml:space="preserve"> </w:t>
      </w:r>
      <w:r>
        <w:t>el</w:t>
      </w:r>
      <w:r>
        <w:rPr>
          <w:spacing w:val="-2"/>
        </w:rPr>
        <w:t xml:space="preserve"> </w:t>
      </w:r>
      <w:r>
        <w:t>uso</w:t>
      </w:r>
      <w:r>
        <w:rPr>
          <w:spacing w:val="-2"/>
        </w:rPr>
        <w:t xml:space="preserve"> </w:t>
      </w:r>
      <w:r>
        <w:t>de</w:t>
      </w:r>
      <w:r>
        <w:rPr>
          <w:spacing w:val="-2"/>
        </w:rPr>
        <w:t xml:space="preserve"> </w:t>
      </w:r>
      <w:r>
        <w:t>mecanismos</w:t>
      </w:r>
      <w:r>
        <w:rPr>
          <w:spacing w:val="-2"/>
        </w:rPr>
        <w:t xml:space="preserve"> </w:t>
      </w:r>
      <w:r>
        <w:t>violentos,</w:t>
      </w:r>
      <w:r>
        <w:rPr>
          <w:spacing w:val="-2"/>
        </w:rPr>
        <w:t xml:space="preserve"> </w:t>
      </w:r>
      <w:r>
        <w:t>políticos,</w:t>
      </w:r>
      <w:r>
        <w:rPr>
          <w:spacing w:val="-3"/>
        </w:rPr>
        <w:t xml:space="preserve"> </w:t>
      </w:r>
      <w:r>
        <w:t>administrativos</w:t>
      </w:r>
      <w:r>
        <w:rPr>
          <w:spacing w:val="-2"/>
        </w:rPr>
        <w:t xml:space="preserve"> </w:t>
      </w:r>
      <w:r>
        <w:t>y judiciales y así para acrecentar sus capitales. Este entramado de alianzas para el despojo, produjo una contrarreforma agraria impulsada por graves y sistemáticas violaciones de derechos humanos.</w:t>
      </w:r>
    </w:p>
    <w:p w:rsidR="003804AC" w:rsidRDefault="00AF18A5" w:rsidP="00715045">
      <w:r>
        <w:t>La</w:t>
      </w:r>
      <w:r>
        <w:rPr>
          <w:spacing w:val="-7"/>
        </w:rPr>
        <w:t xml:space="preserve"> </w:t>
      </w:r>
      <w:r>
        <w:t>Encuesta</w:t>
      </w:r>
      <w:r>
        <w:rPr>
          <w:spacing w:val="-8"/>
        </w:rPr>
        <w:t xml:space="preserve"> </w:t>
      </w:r>
      <w:r>
        <w:t>Nacional</w:t>
      </w:r>
      <w:r>
        <w:rPr>
          <w:spacing w:val="-7"/>
        </w:rPr>
        <w:t xml:space="preserve"> </w:t>
      </w:r>
      <w:r>
        <w:t>de</w:t>
      </w:r>
      <w:r>
        <w:rPr>
          <w:spacing w:val="-8"/>
        </w:rPr>
        <w:t xml:space="preserve"> </w:t>
      </w:r>
      <w:r>
        <w:t>Víctimas</w:t>
      </w:r>
      <w:r>
        <w:rPr>
          <w:spacing w:val="-7"/>
        </w:rPr>
        <w:t xml:space="preserve"> </w:t>
      </w:r>
      <w:r>
        <w:t>de</w:t>
      </w:r>
      <w:r>
        <w:rPr>
          <w:spacing w:val="-8"/>
        </w:rPr>
        <w:t xml:space="preserve"> </w:t>
      </w:r>
      <w:r>
        <w:t>la</w:t>
      </w:r>
      <w:r>
        <w:rPr>
          <w:spacing w:val="-7"/>
        </w:rPr>
        <w:t xml:space="preserve"> </w:t>
      </w:r>
      <w:r>
        <w:t>Contraloría</w:t>
      </w:r>
      <w:r>
        <w:rPr>
          <w:spacing w:val="-7"/>
        </w:rPr>
        <w:t xml:space="preserve"> </w:t>
      </w:r>
      <w:r>
        <w:t>de</w:t>
      </w:r>
      <w:r>
        <w:rPr>
          <w:spacing w:val="-7"/>
        </w:rPr>
        <w:t xml:space="preserve"> </w:t>
      </w:r>
      <w:r>
        <w:t>2013</w:t>
      </w:r>
      <w:r>
        <w:rPr>
          <w:spacing w:val="-7"/>
        </w:rPr>
        <w:t xml:space="preserve"> </w:t>
      </w:r>
      <w:r>
        <w:t>muestra</w:t>
      </w:r>
      <w:r>
        <w:rPr>
          <w:spacing w:val="-7"/>
        </w:rPr>
        <w:t xml:space="preserve"> </w:t>
      </w:r>
      <w:r>
        <w:t>que</w:t>
      </w:r>
      <w:r>
        <w:rPr>
          <w:spacing w:val="-8"/>
        </w:rPr>
        <w:t xml:space="preserve"> </w:t>
      </w:r>
      <w:r>
        <w:t>más</w:t>
      </w:r>
      <w:r>
        <w:rPr>
          <w:spacing w:val="-7"/>
        </w:rPr>
        <w:t xml:space="preserve"> </w:t>
      </w:r>
      <w:r>
        <w:t>de</w:t>
      </w:r>
      <w:r>
        <w:rPr>
          <w:spacing w:val="-7"/>
        </w:rPr>
        <w:t xml:space="preserve"> </w:t>
      </w:r>
      <w:r>
        <w:t>537.503 familias</w:t>
      </w:r>
      <w:r>
        <w:rPr>
          <w:spacing w:val="-7"/>
        </w:rPr>
        <w:t xml:space="preserve"> </w:t>
      </w:r>
      <w:r>
        <w:t>de</w:t>
      </w:r>
      <w:r>
        <w:rPr>
          <w:spacing w:val="-5"/>
        </w:rPr>
        <w:t xml:space="preserve"> </w:t>
      </w:r>
      <w:r>
        <w:t>civiles</w:t>
      </w:r>
      <w:r>
        <w:rPr>
          <w:spacing w:val="-4"/>
        </w:rPr>
        <w:t xml:space="preserve"> </w:t>
      </w:r>
      <w:r>
        <w:t>que</w:t>
      </w:r>
      <w:r>
        <w:rPr>
          <w:spacing w:val="-4"/>
        </w:rPr>
        <w:t xml:space="preserve"> </w:t>
      </w:r>
      <w:r>
        <w:t>han</w:t>
      </w:r>
      <w:r>
        <w:rPr>
          <w:spacing w:val="-4"/>
        </w:rPr>
        <w:t xml:space="preserve"> </w:t>
      </w:r>
      <w:r>
        <w:t>sido</w:t>
      </w:r>
      <w:r>
        <w:rPr>
          <w:spacing w:val="-5"/>
        </w:rPr>
        <w:t xml:space="preserve"> </w:t>
      </w:r>
      <w:r>
        <w:t>despojadas</w:t>
      </w:r>
      <w:r>
        <w:rPr>
          <w:spacing w:val="-4"/>
        </w:rPr>
        <w:t xml:space="preserve"> </w:t>
      </w:r>
      <w:r>
        <w:t>de</w:t>
      </w:r>
      <w:r>
        <w:rPr>
          <w:spacing w:val="-4"/>
        </w:rPr>
        <w:t xml:space="preserve"> </w:t>
      </w:r>
      <w:r>
        <w:t>sus</w:t>
      </w:r>
      <w:r>
        <w:rPr>
          <w:spacing w:val="-5"/>
        </w:rPr>
        <w:t xml:space="preserve"> </w:t>
      </w:r>
      <w:r>
        <w:t>tierras</w:t>
      </w:r>
      <w:r>
        <w:rPr>
          <w:spacing w:val="-5"/>
        </w:rPr>
        <w:t xml:space="preserve"> </w:t>
      </w:r>
      <w:r>
        <w:t>o</w:t>
      </w:r>
      <w:r>
        <w:rPr>
          <w:spacing w:val="-4"/>
        </w:rPr>
        <w:t xml:space="preserve"> </w:t>
      </w:r>
      <w:r>
        <w:t>las</w:t>
      </w:r>
      <w:r>
        <w:rPr>
          <w:spacing w:val="-6"/>
        </w:rPr>
        <w:t xml:space="preserve"> </w:t>
      </w:r>
      <w:r>
        <w:t>han</w:t>
      </w:r>
      <w:r>
        <w:rPr>
          <w:spacing w:val="-4"/>
        </w:rPr>
        <w:t xml:space="preserve"> </w:t>
      </w:r>
      <w:r>
        <w:t>tenido</w:t>
      </w:r>
      <w:r>
        <w:rPr>
          <w:spacing w:val="-4"/>
        </w:rPr>
        <w:t xml:space="preserve"> </w:t>
      </w:r>
      <w:r>
        <w:t>que</w:t>
      </w:r>
      <w:r>
        <w:rPr>
          <w:spacing w:val="-4"/>
        </w:rPr>
        <w:t xml:space="preserve"> </w:t>
      </w:r>
      <w:r>
        <w:t>abandonar</w:t>
      </w:r>
      <w:r>
        <w:rPr>
          <w:spacing w:val="-3"/>
        </w:rPr>
        <w:t xml:space="preserve"> </w:t>
      </w:r>
      <w:r>
        <w:t>a</w:t>
      </w:r>
      <w:r>
        <w:rPr>
          <w:spacing w:val="-5"/>
        </w:rPr>
        <w:t xml:space="preserve"> la</w:t>
      </w:r>
      <w:r w:rsidR="00715045">
        <w:t xml:space="preserve"> </w:t>
      </w:r>
      <w:r>
        <w:t>fuerza entre 1985 y 2013</w:t>
      </w:r>
      <w:r w:rsidR="00715045">
        <w:rPr>
          <w:rStyle w:val="Refdenotaalpie"/>
        </w:rPr>
        <w:footnoteReference w:id="192"/>
      </w:r>
      <w:r>
        <w:t xml:space="preserve"> y, según la misma fuente, más de ocho millones de hectáreas despojadas</w:t>
      </w:r>
      <w:r>
        <w:rPr>
          <w:spacing w:val="-11"/>
        </w:rPr>
        <w:t xml:space="preserve"> </w:t>
      </w:r>
      <w:r>
        <w:t>o</w:t>
      </w:r>
      <w:r>
        <w:rPr>
          <w:spacing w:val="-12"/>
        </w:rPr>
        <w:t xml:space="preserve"> </w:t>
      </w:r>
      <w:r>
        <w:t>abandonadas</w:t>
      </w:r>
      <w:r>
        <w:rPr>
          <w:spacing w:val="-11"/>
        </w:rPr>
        <w:t xml:space="preserve"> </w:t>
      </w:r>
      <w:r>
        <w:t>entre</w:t>
      </w:r>
      <w:r>
        <w:rPr>
          <w:spacing w:val="-11"/>
        </w:rPr>
        <w:t xml:space="preserve"> </w:t>
      </w:r>
      <w:r>
        <w:t>1995</w:t>
      </w:r>
      <w:r>
        <w:rPr>
          <w:spacing w:val="-12"/>
        </w:rPr>
        <w:t xml:space="preserve"> </w:t>
      </w:r>
      <w:r>
        <w:t>y</w:t>
      </w:r>
      <w:r>
        <w:rPr>
          <w:spacing w:val="-11"/>
        </w:rPr>
        <w:t xml:space="preserve"> </w:t>
      </w:r>
      <w:r>
        <w:t>2004,</w:t>
      </w:r>
      <w:r>
        <w:rPr>
          <w:spacing w:val="-11"/>
        </w:rPr>
        <w:t xml:space="preserve"> </w:t>
      </w:r>
      <w:r>
        <w:t>equivalentes</w:t>
      </w:r>
      <w:r>
        <w:rPr>
          <w:spacing w:val="-11"/>
        </w:rPr>
        <w:t xml:space="preserve"> </w:t>
      </w:r>
      <w:r>
        <w:t>al</w:t>
      </w:r>
      <w:r>
        <w:rPr>
          <w:spacing w:val="-10"/>
        </w:rPr>
        <w:t xml:space="preserve"> </w:t>
      </w:r>
      <w:r>
        <w:t>tamaño</w:t>
      </w:r>
      <w:r>
        <w:rPr>
          <w:spacing w:val="-11"/>
        </w:rPr>
        <w:t xml:space="preserve"> </w:t>
      </w:r>
      <w:r>
        <w:t>de</w:t>
      </w:r>
      <w:r>
        <w:rPr>
          <w:spacing w:val="-11"/>
        </w:rPr>
        <w:t xml:space="preserve"> </w:t>
      </w:r>
      <w:r>
        <w:t>países</w:t>
      </w:r>
      <w:r>
        <w:rPr>
          <w:spacing w:val="-11"/>
        </w:rPr>
        <w:t xml:space="preserve"> </w:t>
      </w:r>
      <w:r>
        <w:t>como</w:t>
      </w:r>
      <w:r>
        <w:rPr>
          <w:spacing w:val="-11"/>
        </w:rPr>
        <w:t xml:space="preserve"> </w:t>
      </w:r>
      <w:r>
        <w:t>Austria o</w:t>
      </w:r>
      <w:r>
        <w:rPr>
          <w:spacing w:val="-12"/>
        </w:rPr>
        <w:t xml:space="preserve"> </w:t>
      </w:r>
      <w:r>
        <w:t>a</w:t>
      </w:r>
      <w:r>
        <w:rPr>
          <w:spacing w:val="-12"/>
        </w:rPr>
        <w:t xml:space="preserve"> </w:t>
      </w:r>
      <w:r>
        <w:t>50</w:t>
      </w:r>
      <w:r>
        <w:rPr>
          <w:spacing w:val="-12"/>
        </w:rPr>
        <w:t xml:space="preserve"> </w:t>
      </w:r>
      <w:r>
        <w:t>veces</w:t>
      </w:r>
      <w:r>
        <w:rPr>
          <w:spacing w:val="-13"/>
        </w:rPr>
        <w:t xml:space="preserve"> </w:t>
      </w:r>
      <w:r>
        <w:t>la</w:t>
      </w:r>
      <w:r>
        <w:rPr>
          <w:spacing w:val="-12"/>
        </w:rPr>
        <w:t xml:space="preserve"> </w:t>
      </w:r>
      <w:r>
        <w:t>superficie</w:t>
      </w:r>
      <w:r>
        <w:rPr>
          <w:spacing w:val="-14"/>
        </w:rPr>
        <w:t xml:space="preserve"> </w:t>
      </w:r>
      <w:r>
        <w:t>de</w:t>
      </w:r>
      <w:r>
        <w:rPr>
          <w:spacing w:val="-12"/>
        </w:rPr>
        <w:t xml:space="preserve"> </w:t>
      </w:r>
      <w:r>
        <w:t>Bogotá.</w:t>
      </w:r>
      <w:r>
        <w:rPr>
          <w:spacing w:val="-12"/>
        </w:rPr>
        <w:t xml:space="preserve"> </w:t>
      </w:r>
      <w:r>
        <w:t>Estos</w:t>
      </w:r>
      <w:r>
        <w:rPr>
          <w:spacing w:val="-12"/>
        </w:rPr>
        <w:t xml:space="preserve"> </w:t>
      </w:r>
      <w:r>
        <w:t>datos</w:t>
      </w:r>
      <w:r>
        <w:rPr>
          <w:spacing w:val="-12"/>
        </w:rPr>
        <w:t xml:space="preserve"> </w:t>
      </w:r>
      <w:r>
        <w:t>permiten</w:t>
      </w:r>
      <w:r>
        <w:rPr>
          <w:spacing w:val="-12"/>
        </w:rPr>
        <w:t xml:space="preserve"> </w:t>
      </w:r>
      <w:r>
        <w:t>evidenciar</w:t>
      </w:r>
      <w:r>
        <w:rPr>
          <w:spacing w:val="-13"/>
        </w:rPr>
        <w:t xml:space="preserve"> </w:t>
      </w:r>
      <w:r>
        <w:t>el</w:t>
      </w:r>
      <w:r>
        <w:rPr>
          <w:spacing w:val="-13"/>
        </w:rPr>
        <w:t xml:space="preserve"> </w:t>
      </w:r>
      <w:r>
        <w:t>carácter</w:t>
      </w:r>
      <w:r>
        <w:rPr>
          <w:spacing w:val="-13"/>
        </w:rPr>
        <w:t xml:space="preserve"> </w:t>
      </w:r>
      <w:r>
        <w:t>generalizado de esta violación. Casi la totalidad de las víctimas queda condenada a sobrevivir en condiciones de desarraigo y pobreza, además de la pérdida de vínculos e identidad que supone para la población campesina y étnica, y la base material de su sustento.</w:t>
      </w:r>
    </w:p>
    <w:p w:rsidR="003804AC" w:rsidRDefault="00AF18A5" w:rsidP="00715045">
      <w:r>
        <w:t>El</w:t>
      </w:r>
      <w:r>
        <w:rPr>
          <w:spacing w:val="-13"/>
        </w:rPr>
        <w:t xml:space="preserve"> </w:t>
      </w:r>
      <w:r>
        <w:t>despojo</w:t>
      </w:r>
      <w:r>
        <w:rPr>
          <w:spacing w:val="-13"/>
        </w:rPr>
        <w:t xml:space="preserve"> </w:t>
      </w:r>
      <w:r>
        <w:t>tampoco</w:t>
      </w:r>
      <w:r>
        <w:rPr>
          <w:spacing w:val="-13"/>
        </w:rPr>
        <w:t xml:space="preserve"> </w:t>
      </w:r>
      <w:r>
        <w:t>es</w:t>
      </w:r>
      <w:r>
        <w:rPr>
          <w:spacing w:val="-13"/>
        </w:rPr>
        <w:t xml:space="preserve"> </w:t>
      </w:r>
      <w:r>
        <w:t>un</w:t>
      </w:r>
      <w:r>
        <w:rPr>
          <w:spacing w:val="-13"/>
        </w:rPr>
        <w:t xml:space="preserve"> </w:t>
      </w:r>
      <w:r>
        <w:t>hecho</w:t>
      </w:r>
      <w:r>
        <w:rPr>
          <w:spacing w:val="-13"/>
        </w:rPr>
        <w:t xml:space="preserve"> </w:t>
      </w:r>
      <w:r>
        <w:t>aleatorio,</w:t>
      </w:r>
      <w:r>
        <w:rPr>
          <w:spacing w:val="-13"/>
        </w:rPr>
        <w:t xml:space="preserve"> </w:t>
      </w:r>
      <w:r>
        <w:t>accidental</w:t>
      </w:r>
      <w:r>
        <w:rPr>
          <w:spacing w:val="-13"/>
        </w:rPr>
        <w:t xml:space="preserve"> </w:t>
      </w:r>
      <w:r>
        <w:t>o</w:t>
      </w:r>
      <w:r>
        <w:rPr>
          <w:spacing w:val="-13"/>
        </w:rPr>
        <w:t xml:space="preserve"> </w:t>
      </w:r>
      <w:r>
        <w:t>circunstancial,</w:t>
      </w:r>
      <w:r>
        <w:rPr>
          <w:spacing w:val="-13"/>
        </w:rPr>
        <w:t xml:space="preserve"> </w:t>
      </w:r>
      <w:r>
        <w:t>las</w:t>
      </w:r>
      <w:r>
        <w:rPr>
          <w:spacing w:val="-13"/>
        </w:rPr>
        <w:t xml:space="preserve"> </w:t>
      </w:r>
      <w:r>
        <w:t>tierras</w:t>
      </w:r>
      <w:r>
        <w:rPr>
          <w:spacing w:val="-13"/>
        </w:rPr>
        <w:t xml:space="preserve"> </w:t>
      </w:r>
      <w:r>
        <w:t>quedaron desocupadas por causa del desplazamiento forzado o en menor medida por motivos diferentes. Factores como la concentración de la propiedad y la especulación con la tierra, las</w:t>
      </w:r>
      <w:r>
        <w:rPr>
          <w:spacing w:val="-12"/>
        </w:rPr>
        <w:t xml:space="preserve"> </w:t>
      </w:r>
      <w:r>
        <w:t>disputas</w:t>
      </w:r>
      <w:r>
        <w:rPr>
          <w:spacing w:val="-13"/>
        </w:rPr>
        <w:t xml:space="preserve"> </w:t>
      </w:r>
      <w:r>
        <w:t>por</w:t>
      </w:r>
      <w:r>
        <w:rPr>
          <w:spacing w:val="-12"/>
        </w:rPr>
        <w:t xml:space="preserve"> </w:t>
      </w:r>
      <w:r>
        <w:t>los</w:t>
      </w:r>
      <w:r>
        <w:rPr>
          <w:spacing w:val="-12"/>
        </w:rPr>
        <w:t xml:space="preserve"> </w:t>
      </w:r>
      <w:r>
        <w:t>territorios</w:t>
      </w:r>
      <w:r>
        <w:rPr>
          <w:spacing w:val="-12"/>
        </w:rPr>
        <w:t xml:space="preserve"> </w:t>
      </w:r>
      <w:r>
        <w:t>estratégicos</w:t>
      </w:r>
      <w:r>
        <w:rPr>
          <w:spacing w:val="-12"/>
        </w:rPr>
        <w:t xml:space="preserve"> </w:t>
      </w:r>
      <w:r>
        <w:t>para</w:t>
      </w:r>
      <w:r>
        <w:rPr>
          <w:spacing w:val="-12"/>
        </w:rPr>
        <w:t xml:space="preserve"> </w:t>
      </w:r>
      <w:r>
        <w:t>el</w:t>
      </w:r>
      <w:r>
        <w:rPr>
          <w:spacing w:val="-13"/>
        </w:rPr>
        <w:t xml:space="preserve"> </w:t>
      </w:r>
      <w:r>
        <w:t>negocio</w:t>
      </w:r>
      <w:r>
        <w:rPr>
          <w:spacing w:val="-12"/>
        </w:rPr>
        <w:t xml:space="preserve"> </w:t>
      </w:r>
      <w:r>
        <w:t>del</w:t>
      </w:r>
      <w:r>
        <w:rPr>
          <w:spacing w:val="-13"/>
        </w:rPr>
        <w:t xml:space="preserve"> </w:t>
      </w:r>
      <w:r>
        <w:t>narcotráfico</w:t>
      </w:r>
      <w:r>
        <w:rPr>
          <w:spacing w:val="-13"/>
        </w:rPr>
        <w:t xml:space="preserve"> </w:t>
      </w:r>
      <w:r>
        <w:t>o</w:t>
      </w:r>
      <w:r>
        <w:rPr>
          <w:spacing w:val="-12"/>
        </w:rPr>
        <w:t xml:space="preserve"> </w:t>
      </w:r>
      <w:r>
        <w:t>para</w:t>
      </w:r>
      <w:r>
        <w:rPr>
          <w:spacing w:val="-12"/>
        </w:rPr>
        <w:t xml:space="preserve"> </w:t>
      </w:r>
      <w:r>
        <w:t>el</w:t>
      </w:r>
      <w:r>
        <w:rPr>
          <w:spacing w:val="-12"/>
        </w:rPr>
        <w:t xml:space="preserve"> </w:t>
      </w:r>
      <w:r>
        <w:t>beneficio de proyectos minero energéticos,</w:t>
      </w:r>
      <w:r>
        <w:rPr>
          <w:spacing w:val="-2"/>
        </w:rPr>
        <w:t xml:space="preserve"> </w:t>
      </w:r>
      <w:r>
        <w:t xml:space="preserve">agroindustriales, de </w:t>
      </w:r>
      <w:r>
        <w:lastRenderedPageBreak/>
        <w:t>infraestructura y de ganadería extensiva,</w:t>
      </w:r>
      <w:r>
        <w:rPr>
          <w:spacing w:val="-15"/>
        </w:rPr>
        <w:t xml:space="preserve"> </w:t>
      </w:r>
      <w:r>
        <w:t>propician</w:t>
      </w:r>
      <w:r>
        <w:rPr>
          <w:spacing w:val="-15"/>
        </w:rPr>
        <w:t xml:space="preserve"> </w:t>
      </w:r>
      <w:r>
        <w:t>estas</w:t>
      </w:r>
      <w:r>
        <w:rPr>
          <w:spacing w:val="-15"/>
        </w:rPr>
        <w:t xml:space="preserve"> </w:t>
      </w:r>
      <w:r>
        <w:t>dinámicas</w:t>
      </w:r>
      <w:r>
        <w:rPr>
          <w:spacing w:val="-15"/>
        </w:rPr>
        <w:t xml:space="preserve"> </w:t>
      </w:r>
      <w:r>
        <w:t>del</w:t>
      </w:r>
      <w:r>
        <w:rPr>
          <w:spacing w:val="-15"/>
        </w:rPr>
        <w:t xml:space="preserve"> </w:t>
      </w:r>
      <w:r>
        <w:t>despojo</w:t>
      </w:r>
      <w:r>
        <w:rPr>
          <w:spacing w:val="-15"/>
        </w:rPr>
        <w:t xml:space="preserve"> </w:t>
      </w:r>
      <w:r>
        <w:t>de</w:t>
      </w:r>
      <w:r>
        <w:rPr>
          <w:spacing w:val="-15"/>
        </w:rPr>
        <w:t xml:space="preserve"> </w:t>
      </w:r>
      <w:r>
        <w:t>tierras.</w:t>
      </w:r>
      <w:r>
        <w:rPr>
          <w:spacing w:val="-15"/>
        </w:rPr>
        <w:t xml:space="preserve"> </w:t>
      </w:r>
      <w:r>
        <w:t>En</w:t>
      </w:r>
      <w:r>
        <w:rPr>
          <w:spacing w:val="-15"/>
        </w:rPr>
        <w:t xml:space="preserve"> </w:t>
      </w:r>
      <w:r>
        <w:t>él</w:t>
      </w:r>
      <w:r>
        <w:rPr>
          <w:spacing w:val="-15"/>
        </w:rPr>
        <w:t xml:space="preserve"> </w:t>
      </w:r>
      <w:r>
        <w:t>pueden</w:t>
      </w:r>
      <w:r>
        <w:rPr>
          <w:spacing w:val="-15"/>
        </w:rPr>
        <w:t xml:space="preserve"> </w:t>
      </w:r>
      <w:r>
        <w:t>intervenir</w:t>
      </w:r>
      <w:r>
        <w:rPr>
          <w:spacing w:val="-15"/>
        </w:rPr>
        <w:t xml:space="preserve"> </w:t>
      </w:r>
      <w:r>
        <w:t>los</w:t>
      </w:r>
      <w:r>
        <w:rPr>
          <w:spacing w:val="-15"/>
        </w:rPr>
        <w:t xml:space="preserve"> </w:t>
      </w:r>
      <w:r>
        <w:t>grupos armados que desplazan forzadamente a la población, los beneficiarios que despojan a las víctimas</w:t>
      </w:r>
      <w:r>
        <w:rPr>
          <w:spacing w:val="-6"/>
        </w:rPr>
        <w:t xml:space="preserve"> </w:t>
      </w:r>
      <w:r>
        <w:t>mediante</w:t>
      </w:r>
      <w:r>
        <w:rPr>
          <w:spacing w:val="-6"/>
        </w:rPr>
        <w:t xml:space="preserve"> </w:t>
      </w:r>
      <w:r>
        <w:t>el</w:t>
      </w:r>
      <w:r>
        <w:rPr>
          <w:spacing w:val="-6"/>
        </w:rPr>
        <w:t xml:space="preserve"> </w:t>
      </w:r>
      <w:r>
        <w:t>robo,</w:t>
      </w:r>
      <w:r>
        <w:rPr>
          <w:spacing w:val="-5"/>
        </w:rPr>
        <w:t xml:space="preserve"> </w:t>
      </w:r>
      <w:r>
        <w:t>el</w:t>
      </w:r>
      <w:r>
        <w:rPr>
          <w:spacing w:val="-6"/>
        </w:rPr>
        <w:t xml:space="preserve"> </w:t>
      </w:r>
      <w:r>
        <w:t>engaño</w:t>
      </w:r>
      <w:r>
        <w:rPr>
          <w:spacing w:val="-6"/>
        </w:rPr>
        <w:t xml:space="preserve"> </w:t>
      </w:r>
      <w:r>
        <w:t>o</w:t>
      </w:r>
      <w:r>
        <w:rPr>
          <w:spacing w:val="-5"/>
        </w:rPr>
        <w:t xml:space="preserve"> </w:t>
      </w:r>
      <w:r>
        <w:t>la</w:t>
      </w:r>
      <w:r>
        <w:rPr>
          <w:spacing w:val="-6"/>
        </w:rPr>
        <w:t xml:space="preserve"> </w:t>
      </w:r>
      <w:r>
        <w:t>compra</w:t>
      </w:r>
      <w:r>
        <w:rPr>
          <w:spacing w:val="-6"/>
        </w:rPr>
        <w:t xml:space="preserve"> </w:t>
      </w:r>
      <w:r>
        <w:t>a</w:t>
      </w:r>
      <w:r>
        <w:rPr>
          <w:spacing w:val="-5"/>
        </w:rPr>
        <w:t xml:space="preserve"> </w:t>
      </w:r>
      <w:r>
        <w:t>precios</w:t>
      </w:r>
      <w:r>
        <w:rPr>
          <w:spacing w:val="-6"/>
        </w:rPr>
        <w:t xml:space="preserve"> </w:t>
      </w:r>
      <w:r>
        <w:t>irrisorios,</w:t>
      </w:r>
      <w:r>
        <w:rPr>
          <w:spacing w:val="-6"/>
        </w:rPr>
        <w:t xml:space="preserve"> </w:t>
      </w:r>
      <w:r>
        <w:t>y</w:t>
      </w:r>
      <w:r>
        <w:rPr>
          <w:spacing w:val="-5"/>
        </w:rPr>
        <w:t xml:space="preserve"> </w:t>
      </w:r>
      <w:r>
        <w:t>algunos</w:t>
      </w:r>
      <w:r>
        <w:rPr>
          <w:spacing w:val="-5"/>
        </w:rPr>
        <w:t xml:space="preserve"> </w:t>
      </w:r>
      <w:r>
        <w:t>funcionarios de instituciones como notarías y oficinas de registro de instrumentos públicos que legalizan el despojo, ayudadas por los vacíos normativos o mediante la violación de las leyes.</w:t>
      </w:r>
    </w:p>
    <w:p w:rsidR="003804AC" w:rsidRDefault="00AF18A5" w:rsidP="00715045">
      <w:r>
        <w:t>La ONG Forjando Futuros, que realiza seguimiento a las sentencias de restitución de tierras, indica que a la fecha han sido restituidas 532.498 hectáreas despojadas durante el conflicto,</w:t>
      </w:r>
      <w:r>
        <w:rPr>
          <w:spacing w:val="-5"/>
        </w:rPr>
        <w:t xml:space="preserve"> </w:t>
      </w:r>
      <w:r>
        <w:t>de</w:t>
      </w:r>
      <w:r>
        <w:rPr>
          <w:spacing w:val="-6"/>
        </w:rPr>
        <w:t xml:space="preserve"> </w:t>
      </w:r>
      <w:r>
        <w:t>las</w:t>
      </w:r>
      <w:r>
        <w:rPr>
          <w:spacing w:val="-5"/>
        </w:rPr>
        <w:t xml:space="preserve"> </w:t>
      </w:r>
      <w:r>
        <w:t>cuales</w:t>
      </w:r>
      <w:r>
        <w:rPr>
          <w:spacing w:val="-5"/>
        </w:rPr>
        <w:t xml:space="preserve"> </w:t>
      </w:r>
      <w:r>
        <w:t>276</w:t>
      </w:r>
      <w:r>
        <w:rPr>
          <w:spacing w:val="-5"/>
        </w:rPr>
        <w:t xml:space="preserve"> </w:t>
      </w:r>
      <w:r>
        <w:t>mil</w:t>
      </w:r>
      <w:r>
        <w:rPr>
          <w:spacing w:val="-6"/>
        </w:rPr>
        <w:t xml:space="preserve"> </w:t>
      </w:r>
      <w:r>
        <w:t>fueron</w:t>
      </w:r>
      <w:r>
        <w:rPr>
          <w:spacing w:val="-5"/>
        </w:rPr>
        <w:t xml:space="preserve"> </w:t>
      </w:r>
      <w:r>
        <w:t>usurpadas</w:t>
      </w:r>
      <w:r>
        <w:rPr>
          <w:spacing w:val="-6"/>
        </w:rPr>
        <w:t xml:space="preserve"> </w:t>
      </w:r>
      <w:r>
        <w:t>por</w:t>
      </w:r>
      <w:r>
        <w:rPr>
          <w:spacing w:val="-4"/>
        </w:rPr>
        <w:t xml:space="preserve"> </w:t>
      </w:r>
      <w:r>
        <w:t>acciones</w:t>
      </w:r>
      <w:r>
        <w:rPr>
          <w:spacing w:val="-6"/>
        </w:rPr>
        <w:t xml:space="preserve"> </w:t>
      </w:r>
      <w:r>
        <w:t>de</w:t>
      </w:r>
      <w:r>
        <w:rPr>
          <w:spacing w:val="-5"/>
        </w:rPr>
        <w:t xml:space="preserve"> </w:t>
      </w:r>
      <w:r>
        <w:t>grupos</w:t>
      </w:r>
      <w:r>
        <w:rPr>
          <w:spacing w:val="-5"/>
        </w:rPr>
        <w:t xml:space="preserve"> </w:t>
      </w:r>
      <w:r>
        <w:t>paramilitares</w:t>
      </w:r>
      <w:r>
        <w:rPr>
          <w:spacing w:val="-6"/>
        </w:rPr>
        <w:t xml:space="preserve"> </w:t>
      </w:r>
      <w:r>
        <w:t>y</w:t>
      </w:r>
      <w:r>
        <w:rPr>
          <w:spacing w:val="-5"/>
        </w:rPr>
        <w:t xml:space="preserve"> </w:t>
      </w:r>
      <w:r>
        <w:t>106 mil por acciones de grupos guerrilleros, principalmente. Las demás, las otras 149 mil hectáreas,</w:t>
      </w:r>
      <w:r>
        <w:rPr>
          <w:spacing w:val="-9"/>
        </w:rPr>
        <w:t xml:space="preserve"> </w:t>
      </w:r>
      <w:r>
        <w:t>fueron</w:t>
      </w:r>
      <w:r>
        <w:rPr>
          <w:spacing w:val="-9"/>
        </w:rPr>
        <w:t xml:space="preserve"> </w:t>
      </w:r>
      <w:r>
        <w:t>abandonadas</w:t>
      </w:r>
      <w:r>
        <w:rPr>
          <w:spacing w:val="-9"/>
        </w:rPr>
        <w:t xml:space="preserve"> </w:t>
      </w:r>
      <w:r>
        <w:t>forzosamente</w:t>
      </w:r>
      <w:r>
        <w:rPr>
          <w:spacing w:val="-9"/>
        </w:rPr>
        <w:t xml:space="preserve"> </w:t>
      </w:r>
      <w:r>
        <w:t>en</w:t>
      </w:r>
      <w:r>
        <w:rPr>
          <w:spacing w:val="-9"/>
        </w:rPr>
        <w:t xml:space="preserve"> </w:t>
      </w:r>
      <w:r>
        <w:t>su</w:t>
      </w:r>
      <w:r>
        <w:rPr>
          <w:spacing w:val="-9"/>
        </w:rPr>
        <w:t xml:space="preserve"> </w:t>
      </w:r>
      <w:r>
        <w:t>mayoría</w:t>
      </w:r>
      <w:r>
        <w:rPr>
          <w:spacing w:val="-9"/>
        </w:rPr>
        <w:t xml:space="preserve"> </w:t>
      </w:r>
      <w:r>
        <w:t>tras</w:t>
      </w:r>
      <w:r>
        <w:rPr>
          <w:spacing w:val="-9"/>
        </w:rPr>
        <w:t xml:space="preserve"> </w:t>
      </w:r>
      <w:r>
        <w:t>enfrentamientos</w:t>
      </w:r>
      <w:r>
        <w:rPr>
          <w:spacing w:val="-9"/>
        </w:rPr>
        <w:t xml:space="preserve"> </w:t>
      </w:r>
      <w:r>
        <w:t>provocados por actores armados</w:t>
      </w:r>
      <w:r w:rsidR="00715045">
        <w:rPr>
          <w:rStyle w:val="Refdenotaalpie"/>
        </w:rPr>
        <w:footnoteReference w:id="193"/>
      </w:r>
      <w:r>
        <w:t>.</w:t>
      </w:r>
    </w:p>
    <w:p w:rsidR="003804AC" w:rsidRDefault="00AF18A5" w:rsidP="00715045">
      <w:r>
        <w:t>En menor proporción, pero no menos grave, otros agentes del Estado también han sido responsables de esta violación por forjar alianzas con grupos paramilitares y ser cómplices del</w:t>
      </w:r>
      <w:r>
        <w:rPr>
          <w:spacing w:val="-12"/>
        </w:rPr>
        <w:t xml:space="preserve"> </w:t>
      </w:r>
      <w:r>
        <w:t>despojo</w:t>
      </w:r>
      <w:r>
        <w:rPr>
          <w:spacing w:val="-11"/>
        </w:rPr>
        <w:t xml:space="preserve"> </w:t>
      </w:r>
      <w:r>
        <w:t>desde</w:t>
      </w:r>
      <w:r>
        <w:rPr>
          <w:spacing w:val="-10"/>
        </w:rPr>
        <w:t xml:space="preserve"> </w:t>
      </w:r>
      <w:r>
        <w:t>sus</w:t>
      </w:r>
      <w:r>
        <w:rPr>
          <w:spacing w:val="-10"/>
        </w:rPr>
        <w:t xml:space="preserve"> </w:t>
      </w:r>
      <w:r>
        <w:t>puestos</w:t>
      </w:r>
      <w:r>
        <w:rPr>
          <w:spacing w:val="-10"/>
        </w:rPr>
        <w:t xml:space="preserve"> </w:t>
      </w:r>
      <w:r>
        <w:t>de</w:t>
      </w:r>
      <w:r>
        <w:rPr>
          <w:spacing w:val="-10"/>
        </w:rPr>
        <w:t xml:space="preserve"> </w:t>
      </w:r>
      <w:r>
        <w:t>poder,</w:t>
      </w:r>
      <w:r>
        <w:rPr>
          <w:spacing w:val="-10"/>
        </w:rPr>
        <w:t xml:space="preserve"> </w:t>
      </w:r>
      <w:r>
        <w:t>o</w:t>
      </w:r>
      <w:r>
        <w:rPr>
          <w:spacing w:val="-10"/>
        </w:rPr>
        <w:t xml:space="preserve"> </w:t>
      </w:r>
      <w:r>
        <w:t>por</w:t>
      </w:r>
      <w:r>
        <w:rPr>
          <w:spacing w:val="-9"/>
        </w:rPr>
        <w:t xml:space="preserve"> </w:t>
      </w:r>
      <w:r>
        <w:t>tener</w:t>
      </w:r>
      <w:r>
        <w:rPr>
          <w:spacing w:val="-9"/>
        </w:rPr>
        <w:t xml:space="preserve"> </w:t>
      </w:r>
      <w:r>
        <w:t>comportamientos</w:t>
      </w:r>
      <w:r>
        <w:rPr>
          <w:spacing w:val="-10"/>
        </w:rPr>
        <w:t xml:space="preserve"> </w:t>
      </w:r>
      <w:r>
        <w:t>omisivos</w:t>
      </w:r>
      <w:r>
        <w:rPr>
          <w:spacing w:val="-10"/>
        </w:rPr>
        <w:t xml:space="preserve"> </w:t>
      </w:r>
      <w:r>
        <w:t>que</w:t>
      </w:r>
      <w:r>
        <w:rPr>
          <w:spacing w:val="-10"/>
        </w:rPr>
        <w:t xml:space="preserve"> </w:t>
      </w:r>
      <w:r>
        <w:rPr>
          <w:spacing w:val="-2"/>
        </w:rPr>
        <w:t>conducen</w:t>
      </w:r>
      <w:bookmarkStart w:id="308" w:name="_bookmark226"/>
      <w:bookmarkStart w:id="309" w:name="_bookmark227"/>
      <w:bookmarkEnd w:id="308"/>
      <w:bookmarkEnd w:id="309"/>
      <w:r w:rsidR="00715045">
        <w:rPr>
          <w:spacing w:val="-2"/>
        </w:rPr>
        <w:t xml:space="preserve"> </w:t>
      </w:r>
      <w:r>
        <w:t xml:space="preserve">al éxodo masivo de poblaciones enteras y al despojo de sus tierras y territorios. Tal como </w:t>
      </w:r>
      <w:r>
        <w:rPr>
          <w:spacing w:val="-2"/>
        </w:rPr>
        <w:t>ocurrió</w:t>
      </w:r>
      <w:r>
        <w:rPr>
          <w:spacing w:val="-8"/>
        </w:rPr>
        <w:t xml:space="preserve"> </w:t>
      </w:r>
      <w:r>
        <w:rPr>
          <w:spacing w:val="-2"/>
        </w:rPr>
        <w:t>en</w:t>
      </w:r>
      <w:r>
        <w:rPr>
          <w:spacing w:val="-8"/>
        </w:rPr>
        <w:t xml:space="preserve"> </w:t>
      </w:r>
      <w:r>
        <w:rPr>
          <w:spacing w:val="-2"/>
        </w:rPr>
        <w:t>la</w:t>
      </w:r>
      <w:r>
        <w:rPr>
          <w:spacing w:val="-9"/>
        </w:rPr>
        <w:t xml:space="preserve"> </w:t>
      </w:r>
      <w:r>
        <w:rPr>
          <w:spacing w:val="-2"/>
        </w:rPr>
        <w:t>región</w:t>
      </w:r>
      <w:r>
        <w:rPr>
          <w:spacing w:val="-7"/>
        </w:rPr>
        <w:t xml:space="preserve"> </w:t>
      </w:r>
      <w:r>
        <w:rPr>
          <w:spacing w:val="-2"/>
        </w:rPr>
        <w:t>de</w:t>
      </w:r>
      <w:r>
        <w:rPr>
          <w:spacing w:val="-7"/>
        </w:rPr>
        <w:t xml:space="preserve"> </w:t>
      </w:r>
      <w:r>
        <w:rPr>
          <w:spacing w:val="-2"/>
        </w:rPr>
        <w:t>Urabá,</w:t>
      </w:r>
      <w:r>
        <w:rPr>
          <w:spacing w:val="-7"/>
        </w:rPr>
        <w:t xml:space="preserve"> </w:t>
      </w:r>
      <w:r>
        <w:rPr>
          <w:spacing w:val="-2"/>
        </w:rPr>
        <w:t>donde</w:t>
      </w:r>
      <w:r>
        <w:rPr>
          <w:spacing w:val="-8"/>
        </w:rPr>
        <w:t xml:space="preserve"> </w:t>
      </w:r>
      <w:r>
        <w:rPr>
          <w:spacing w:val="-2"/>
        </w:rPr>
        <w:t>la</w:t>
      </w:r>
      <w:r>
        <w:rPr>
          <w:spacing w:val="-6"/>
        </w:rPr>
        <w:t xml:space="preserve"> </w:t>
      </w:r>
      <w:r>
        <w:rPr>
          <w:spacing w:val="-2"/>
        </w:rPr>
        <w:t>fuerza</w:t>
      </w:r>
      <w:r>
        <w:rPr>
          <w:spacing w:val="-8"/>
        </w:rPr>
        <w:t xml:space="preserve"> </w:t>
      </w:r>
      <w:r>
        <w:rPr>
          <w:spacing w:val="-2"/>
        </w:rPr>
        <w:t>pública</w:t>
      </w:r>
      <w:r>
        <w:rPr>
          <w:spacing w:val="-7"/>
        </w:rPr>
        <w:t xml:space="preserve"> </w:t>
      </w:r>
      <w:r>
        <w:rPr>
          <w:spacing w:val="-2"/>
        </w:rPr>
        <w:t>participó</w:t>
      </w:r>
      <w:r>
        <w:rPr>
          <w:spacing w:val="-9"/>
        </w:rPr>
        <w:t xml:space="preserve"> </w:t>
      </w:r>
      <w:r>
        <w:rPr>
          <w:spacing w:val="-2"/>
        </w:rPr>
        <w:t>en</w:t>
      </w:r>
      <w:r>
        <w:rPr>
          <w:spacing w:val="-7"/>
        </w:rPr>
        <w:t xml:space="preserve"> </w:t>
      </w:r>
      <w:r>
        <w:rPr>
          <w:spacing w:val="-2"/>
        </w:rPr>
        <w:t>la</w:t>
      </w:r>
      <w:r>
        <w:rPr>
          <w:spacing w:val="-8"/>
        </w:rPr>
        <w:t xml:space="preserve"> </w:t>
      </w:r>
      <w:r>
        <w:rPr>
          <w:spacing w:val="-2"/>
        </w:rPr>
        <w:t>creación</w:t>
      </w:r>
      <w:r>
        <w:rPr>
          <w:spacing w:val="-7"/>
        </w:rPr>
        <w:t xml:space="preserve"> </w:t>
      </w:r>
      <w:r>
        <w:rPr>
          <w:spacing w:val="-2"/>
        </w:rPr>
        <w:t>de</w:t>
      </w:r>
      <w:r>
        <w:rPr>
          <w:spacing w:val="-7"/>
        </w:rPr>
        <w:t xml:space="preserve"> </w:t>
      </w:r>
      <w:r>
        <w:rPr>
          <w:spacing w:val="-2"/>
        </w:rPr>
        <w:t>las</w:t>
      </w:r>
      <w:r>
        <w:rPr>
          <w:spacing w:val="-7"/>
        </w:rPr>
        <w:t xml:space="preserve"> </w:t>
      </w:r>
      <w:r>
        <w:rPr>
          <w:spacing w:val="-2"/>
        </w:rPr>
        <w:t xml:space="preserve">Convivir, </w:t>
      </w:r>
      <w:r>
        <w:t>además</w:t>
      </w:r>
      <w:r>
        <w:rPr>
          <w:spacing w:val="-6"/>
        </w:rPr>
        <w:t xml:space="preserve"> </w:t>
      </w:r>
      <w:r>
        <w:t>de</w:t>
      </w:r>
      <w:r>
        <w:rPr>
          <w:spacing w:val="-6"/>
        </w:rPr>
        <w:t xml:space="preserve"> </w:t>
      </w:r>
      <w:r>
        <w:t>tejer</w:t>
      </w:r>
      <w:r>
        <w:rPr>
          <w:spacing w:val="-7"/>
        </w:rPr>
        <w:t xml:space="preserve"> </w:t>
      </w:r>
      <w:r>
        <w:t>alianzas</w:t>
      </w:r>
      <w:r>
        <w:rPr>
          <w:spacing w:val="-7"/>
        </w:rPr>
        <w:t xml:space="preserve"> </w:t>
      </w:r>
      <w:r>
        <w:t>con</w:t>
      </w:r>
      <w:r>
        <w:rPr>
          <w:spacing w:val="-6"/>
        </w:rPr>
        <w:t xml:space="preserve"> </w:t>
      </w:r>
      <w:r>
        <w:t>empresarios,</w:t>
      </w:r>
      <w:r>
        <w:rPr>
          <w:spacing w:val="-6"/>
        </w:rPr>
        <w:t xml:space="preserve"> </w:t>
      </w:r>
      <w:r>
        <w:t>narcotraficantes</w:t>
      </w:r>
      <w:r>
        <w:rPr>
          <w:spacing w:val="-6"/>
        </w:rPr>
        <w:t xml:space="preserve"> </w:t>
      </w:r>
      <w:r>
        <w:t>y</w:t>
      </w:r>
      <w:r>
        <w:rPr>
          <w:spacing w:val="-7"/>
        </w:rPr>
        <w:t xml:space="preserve"> </w:t>
      </w:r>
      <w:r>
        <w:t>ganaderos</w:t>
      </w:r>
      <w:r>
        <w:rPr>
          <w:spacing w:val="-6"/>
        </w:rPr>
        <w:t xml:space="preserve"> </w:t>
      </w:r>
      <w:r>
        <w:t>que</w:t>
      </w:r>
      <w:r>
        <w:rPr>
          <w:spacing w:val="-6"/>
        </w:rPr>
        <w:t xml:space="preserve"> </w:t>
      </w:r>
      <w:r>
        <w:t>se</w:t>
      </w:r>
      <w:r>
        <w:rPr>
          <w:spacing w:val="-6"/>
        </w:rPr>
        <w:t xml:space="preserve"> </w:t>
      </w:r>
      <w:r>
        <w:t>apropiaron</w:t>
      </w:r>
      <w:r>
        <w:rPr>
          <w:spacing w:val="-6"/>
        </w:rPr>
        <w:t xml:space="preserve"> </w:t>
      </w:r>
      <w:r>
        <w:t>de tierras rurales y territorios étnicos para la expansión de sus proyectos productivos.</w:t>
      </w:r>
    </w:p>
    <w:p w:rsidR="003804AC" w:rsidRDefault="00AF18A5" w:rsidP="00715045">
      <w:r>
        <w:t>La gráfica siguiente muestra la serie temporal de registros de despojo del RUV y del desplazamiento conjuntamente. La gráfica muestra que el despojo empieza a crecer desde 1991</w:t>
      </w:r>
      <w:r>
        <w:rPr>
          <w:spacing w:val="-15"/>
        </w:rPr>
        <w:t xml:space="preserve"> </w:t>
      </w:r>
      <w:r>
        <w:t>hasta</w:t>
      </w:r>
      <w:r>
        <w:rPr>
          <w:spacing w:val="-15"/>
        </w:rPr>
        <w:t xml:space="preserve"> </w:t>
      </w:r>
      <w:r>
        <w:t>2002,</w:t>
      </w:r>
      <w:r>
        <w:rPr>
          <w:spacing w:val="-15"/>
        </w:rPr>
        <w:t xml:space="preserve"> </w:t>
      </w:r>
      <w:r>
        <w:t>año</w:t>
      </w:r>
      <w:r>
        <w:rPr>
          <w:spacing w:val="-15"/>
        </w:rPr>
        <w:t xml:space="preserve"> </w:t>
      </w:r>
      <w:r>
        <w:t>en</w:t>
      </w:r>
      <w:r>
        <w:rPr>
          <w:spacing w:val="-15"/>
        </w:rPr>
        <w:t xml:space="preserve"> </w:t>
      </w:r>
      <w:r>
        <w:t>el</w:t>
      </w:r>
      <w:r>
        <w:rPr>
          <w:spacing w:val="-15"/>
        </w:rPr>
        <w:t xml:space="preserve"> </w:t>
      </w:r>
      <w:r>
        <w:t>que</w:t>
      </w:r>
      <w:r>
        <w:rPr>
          <w:spacing w:val="-15"/>
        </w:rPr>
        <w:t xml:space="preserve"> </w:t>
      </w:r>
      <w:r>
        <w:t>alcanza</w:t>
      </w:r>
      <w:r>
        <w:rPr>
          <w:spacing w:val="-15"/>
        </w:rPr>
        <w:t xml:space="preserve"> </w:t>
      </w:r>
      <w:r>
        <w:lastRenderedPageBreak/>
        <w:t>su</w:t>
      </w:r>
      <w:r>
        <w:rPr>
          <w:spacing w:val="-15"/>
        </w:rPr>
        <w:t xml:space="preserve"> </w:t>
      </w:r>
      <w:r>
        <w:t>pico</w:t>
      </w:r>
      <w:r>
        <w:rPr>
          <w:spacing w:val="-15"/>
        </w:rPr>
        <w:t xml:space="preserve"> </w:t>
      </w:r>
      <w:r>
        <w:t>máximo,</w:t>
      </w:r>
      <w:r>
        <w:rPr>
          <w:spacing w:val="-15"/>
        </w:rPr>
        <w:t xml:space="preserve"> </w:t>
      </w:r>
      <w:r>
        <w:t>de</w:t>
      </w:r>
      <w:r>
        <w:rPr>
          <w:spacing w:val="-15"/>
        </w:rPr>
        <w:t xml:space="preserve"> </w:t>
      </w:r>
      <w:r>
        <w:t>manera</w:t>
      </w:r>
      <w:r>
        <w:rPr>
          <w:spacing w:val="-15"/>
        </w:rPr>
        <w:t xml:space="preserve"> </w:t>
      </w:r>
      <w:r>
        <w:t>similar</w:t>
      </w:r>
      <w:r>
        <w:rPr>
          <w:spacing w:val="-15"/>
        </w:rPr>
        <w:t xml:space="preserve"> </w:t>
      </w:r>
      <w:r>
        <w:t>al</w:t>
      </w:r>
      <w:r>
        <w:rPr>
          <w:spacing w:val="-15"/>
        </w:rPr>
        <w:t xml:space="preserve"> </w:t>
      </w:r>
      <w:r>
        <w:t>comportamiento del desplazamiento forzado. Esta época coincide con el fracaso de los diálogos del Caguán con las FARC-EP (1998-2002) y de Maguncia con el ELN (1998), y con el proceso de expansión de los grupos paramilitares bajo la estrategia de «pueblos arrasados»</w:t>
      </w:r>
      <w:r w:rsidR="00715045">
        <w:rPr>
          <w:rStyle w:val="Refdenotaalpie"/>
        </w:rPr>
        <w:footnoteReference w:id="194"/>
      </w:r>
      <w:r>
        <w:t xml:space="preserve"> y su disputa con los grupos guerrilleros por el control territorial y la apropiación de los recursos </w:t>
      </w:r>
      <w:r>
        <w:rPr>
          <w:spacing w:val="-2"/>
        </w:rPr>
        <w:t>medioambientales</w:t>
      </w:r>
      <w:r w:rsidR="00715045">
        <w:rPr>
          <w:rStyle w:val="Refdenotaalpie"/>
          <w:spacing w:val="-2"/>
        </w:rPr>
        <w:footnoteReference w:id="195"/>
      </w:r>
      <w:r>
        <w:rPr>
          <w:spacing w:val="-2"/>
        </w:rPr>
        <w:t>.</w:t>
      </w:r>
    </w:p>
    <w:p w:rsidR="003804AC" w:rsidRDefault="00AF18A5" w:rsidP="00715045">
      <w:r>
        <w:t>El</w:t>
      </w:r>
      <w:r>
        <w:rPr>
          <w:spacing w:val="-14"/>
        </w:rPr>
        <w:t xml:space="preserve"> </w:t>
      </w:r>
      <w:r>
        <w:t>despojo</w:t>
      </w:r>
      <w:r>
        <w:rPr>
          <w:spacing w:val="-14"/>
        </w:rPr>
        <w:t xml:space="preserve"> </w:t>
      </w:r>
      <w:r>
        <w:t>de</w:t>
      </w:r>
      <w:r>
        <w:rPr>
          <w:spacing w:val="-14"/>
        </w:rPr>
        <w:t xml:space="preserve"> </w:t>
      </w:r>
      <w:r>
        <w:t>tierras</w:t>
      </w:r>
      <w:r>
        <w:rPr>
          <w:spacing w:val="-14"/>
        </w:rPr>
        <w:t xml:space="preserve"> </w:t>
      </w:r>
      <w:r>
        <w:t>tiene</w:t>
      </w:r>
      <w:r>
        <w:rPr>
          <w:spacing w:val="-14"/>
        </w:rPr>
        <w:t xml:space="preserve"> </w:t>
      </w:r>
      <w:r>
        <w:t>referencias</w:t>
      </w:r>
      <w:r>
        <w:rPr>
          <w:spacing w:val="-15"/>
        </w:rPr>
        <w:t xml:space="preserve"> </w:t>
      </w:r>
      <w:r>
        <w:t>inclusive</w:t>
      </w:r>
      <w:r>
        <w:rPr>
          <w:spacing w:val="-15"/>
        </w:rPr>
        <w:t xml:space="preserve"> </w:t>
      </w:r>
      <w:r>
        <w:t>anteriores</w:t>
      </w:r>
      <w:r>
        <w:rPr>
          <w:spacing w:val="-15"/>
        </w:rPr>
        <w:t xml:space="preserve"> </w:t>
      </w:r>
      <w:r>
        <w:t>a</w:t>
      </w:r>
      <w:r>
        <w:rPr>
          <w:spacing w:val="-14"/>
        </w:rPr>
        <w:t xml:space="preserve"> </w:t>
      </w:r>
      <w:r>
        <w:t>los</w:t>
      </w:r>
      <w:r>
        <w:rPr>
          <w:spacing w:val="-15"/>
        </w:rPr>
        <w:t xml:space="preserve"> </w:t>
      </w:r>
      <w:r>
        <w:t>datos</w:t>
      </w:r>
      <w:r>
        <w:rPr>
          <w:spacing w:val="-14"/>
        </w:rPr>
        <w:t xml:space="preserve"> </w:t>
      </w:r>
      <w:r>
        <w:t>conocidos</w:t>
      </w:r>
      <w:r>
        <w:rPr>
          <w:spacing w:val="-14"/>
        </w:rPr>
        <w:t xml:space="preserve"> </w:t>
      </w:r>
      <w:r>
        <w:t>y</w:t>
      </w:r>
      <w:r>
        <w:rPr>
          <w:spacing w:val="-14"/>
        </w:rPr>
        <w:t xml:space="preserve"> </w:t>
      </w:r>
      <w:r>
        <w:t>coincide con un proceso en el que se incrementa la concentración de la tierra en pocas manos: entre 1984 y 2003 las propiedades de más</w:t>
      </w:r>
      <w:r>
        <w:rPr>
          <w:spacing w:val="-1"/>
        </w:rPr>
        <w:t xml:space="preserve"> </w:t>
      </w:r>
      <w:r>
        <w:t>de 500 hectáreas pasaron de representar 32,7</w:t>
      </w:r>
      <w:r>
        <w:rPr>
          <w:spacing w:val="-3"/>
        </w:rPr>
        <w:t xml:space="preserve"> </w:t>
      </w:r>
      <w:r>
        <w:t>%</w:t>
      </w:r>
      <w:r>
        <w:rPr>
          <w:spacing w:val="-1"/>
        </w:rPr>
        <w:t xml:space="preserve"> </w:t>
      </w:r>
      <w:r>
        <w:t>(1984) al 62,6</w:t>
      </w:r>
      <w:r>
        <w:rPr>
          <w:spacing w:val="-2"/>
        </w:rPr>
        <w:t xml:space="preserve"> </w:t>
      </w:r>
      <w:r>
        <w:t>% (2003), mientras que la superficie de los predios de menos de veinte hectáreas se redujeron de 14,6</w:t>
      </w:r>
      <w:r>
        <w:rPr>
          <w:spacing w:val="-1"/>
        </w:rPr>
        <w:t xml:space="preserve"> </w:t>
      </w:r>
      <w:r>
        <w:t>% a 8,8</w:t>
      </w:r>
      <w:r>
        <w:rPr>
          <w:spacing w:val="-1"/>
        </w:rPr>
        <w:t xml:space="preserve"> </w:t>
      </w:r>
      <w:r>
        <w:t>%</w:t>
      </w:r>
      <w:r w:rsidR="00715045">
        <w:rPr>
          <w:rStyle w:val="Refdenotaalpie"/>
        </w:rPr>
        <w:footnoteReference w:id="196"/>
      </w:r>
      <w:r>
        <w:t>. Lo anterior indica que tanto el despojo como el desplazamiento forzado agravaron la inequitativa distribución de la tierra en Colombia.</w:t>
      </w:r>
    </w:p>
    <w:p w:rsidR="0011361F" w:rsidRDefault="00AF18A5" w:rsidP="00715045">
      <w:r>
        <w:t>El despojo cayó de manera drástica a partir de 2004, periodo que coincide, entre otros hechos, con la aprobación de la Ley de Justicia y Paz en 2005 y la desmovilización parcial de</w:t>
      </w:r>
      <w:r>
        <w:rPr>
          <w:spacing w:val="-5"/>
        </w:rPr>
        <w:t xml:space="preserve"> </w:t>
      </w:r>
      <w:r>
        <w:t>las</w:t>
      </w:r>
      <w:r>
        <w:rPr>
          <w:spacing w:val="-5"/>
        </w:rPr>
        <w:t xml:space="preserve"> </w:t>
      </w:r>
      <w:r>
        <w:t>AUC,</w:t>
      </w:r>
      <w:r>
        <w:rPr>
          <w:spacing w:val="-4"/>
        </w:rPr>
        <w:t xml:space="preserve"> </w:t>
      </w:r>
      <w:r>
        <w:t>y</w:t>
      </w:r>
      <w:r>
        <w:rPr>
          <w:spacing w:val="-5"/>
        </w:rPr>
        <w:t xml:space="preserve"> </w:t>
      </w:r>
      <w:r>
        <w:t>se</w:t>
      </w:r>
      <w:r>
        <w:rPr>
          <w:spacing w:val="-5"/>
        </w:rPr>
        <w:t xml:space="preserve"> </w:t>
      </w:r>
      <w:r>
        <w:t>fue</w:t>
      </w:r>
      <w:r>
        <w:rPr>
          <w:spacing w:val="-5"/>
        </w:rPr>
        <w:t xml:space="preserve"> </w:t>
      </w:r>
      <w:r>
        <w:t>reduciendo</w:t>
      </w:r>
      <w:r>
        <w:rPr>
          <w:spacing w:val="-5"/>
        </w:rPr>
        <w:t xml:space="preserve"> </w:t>
      </w:r>
      <w:r>
        <w:t>progresivamente</w:t>
      </w:r>
      <w:r>
        <w:rPr>
          <w:spacing w:val="-5"/>
        </w:rPr>
        <w:t xml:space="preserve"> </w:t>
      </w:r>
      <w:r>
        <w:t>hasta</w:t>
      </w:r>
      <w:r>
        <w:rPr>
          <w:spacing w:val="-5"/>
        </w:rPr>
        <w:t xml:space="preserve"> </w:t>
      </w:r>
      <w:r>
        <w:t>alcanzar</w:t>
      </w:r>
      <w:r>
        <w:rPr>
          <w:spacing w:val="-4"/>
        </w:rPr>
        <w:t xml:space="preserve"> </w:t>
      </w:r>
      <w:r>
        <w:t>su</w:t>
      </w:r>
      <w:r>
        <w:rPr>
          <w:spacing w:val="-5"/>
        </w:rPr>
        <w:t xml:space="preserve"> </w:t>
      </w:r>
      <w:r>
        <w:t>punto</w:t>
      </w:r>
      <w:r>
        <w:rPr>
          <w:spacing w:val="-6"/>
        </w:rPr>
        <w:t xml:space="preserve"> </w:t>
      </w:r>
      <w:r>
        <w:t>más</w:t>
      </w:r>
      <w:r>
        <w:rPr>
          <w:spacing w:val="-5"/>
        </w:rPr>
        <w:t xml:space="preserve"> </w:t>
      </w:r>
      <w:r>
        <w:t>bajo</w:t>
      </w:r>
      <w:r>
        <w:rPr>
          <w:spacing w:val="-5"/>
        </w:rPr>
        <w:t xml:space="preserve"> </w:t>
      </w:r>
      <w:r>
        <w:t>en</w:t>
      </w:r>
      <w:r>
        <w:rPr>
          <w:spacing w:val="-6"/>
        </w:rPr>
        <w:t xml:space="preserve"> </w:t>
      </w:r>
      <w:r>
        <w:t>2017, con</w:t>
      </w:r>
      <w:r>
        <w:rPr>
          <w:spacing w:val="-4"/>
        </w:rPr>
        <w:t xml:space="preserve"> </w:t>
      </w:r>
      <w:r>
        <w:t>los</w:t>
      </w:r>
      <w:r>
        <w:rPr>
          <w:spacing w:val="-1"/>
        </w:rPr>
        <w:t xml:space="preserve"> </w:t>
      </w:r>
      <w:r>
        <w:t>diálogos,</w:t>
      </w:r>
      <w:r>
        <w:rPr>
          <w:spacing w:val="-1"/>
        </w:rPr>
        <w:t xml:space="preserve"> </w:t>
      </w:r>
      <w:r>
        <w:t>firma</w:t>
      </w:r>
      <w:r>
        <w:rPr>
          <w:spacing w:val="-1"/>
        </w:rPr>
        <w:t xml:space="preserve"> </w:t>
      </w:r>
      <w:r>
        <w:t>y</w:t>
      </w:r>
      <w:r>
        <w:rPr>
          <w:spacing w:val="-4"/>
        </w:rPr>
        <w:t xml:space="preserve"> </w:t>
      </w:r>
      <w:r>
        <w:t>lenta</w:t>
      </w:r>
      <w:r>
        <w:rPr>
          <w:spacing w:val="-2"/>
        </w:rPr>
        <w:t xml:space="preserve"> </w:t>
      </w:r>
      <w:r>
        <w:t>implementación</w:t>
      </w:r>
      <w:r>
        <w:rPr>
          <w:spacing w:val="-1"/>
        </w:rPr>
        <w:t xml:space="preserve"> </w:t>
      </w:r>
      <w:r>
        <w:t>del</w:t>
      </w:r>
      <w:r>
        <w:rPr>
          <w:spacing w:val="-1"/>
        </w:rPr>
        <w:t xml:space="preserve"> </w:t>
      </w:r>
      <w:r>
        <w:t>Acuerdo</w:t>
      </w:r>
      <w:r>
        <w:rPr>
          <w:spacing w:val="-3"/>
        </w:rPr>
        <w:t xml:space="preserve"> </w:t>
      </w:r>
      <w:r>
        <w:t>Final</w:t>
      </w:r>
      <w:r>
        <w:rPr>
          <w:spacing w:val="-2"/>
        </w:rPr>
        <w:t xml:space="preserve"> </w:t>
      </w:r>
      <w:r>
        <w:t>de</w:t>
      </w:r>
      <w:r>
        <w:rPr>
          <w:spacing w:val="-1"/>
        </w:rPr>
        <w:t xml:space="preserve"> </w:t>
      </w:r>
      <w:r>
        <w:t>Paz</w:t>
      </w:r>
      <w:r>
        <w:rPr>
          <w:spacing w:val="-2"/>
        </w:rPr>
        <w:t xml:space="preserve"> </w:t>
      </w:r>
      <w:r>
        <w:t>con</w:t>
      </w:r>
      <w:r>
        <w:rPr>
          <w:spacing w:val="-1"/>
        </w:rPr>
        <w:t xml:space="preserve"> </w:t>
      </w:r>
      <w:r>
        <w:t>las</w:t>
      </w:r>
      <w:r>
        <w:rPr>
          <w:spacing w:val="-1"/>
        </w:rPr>
        <w:t xml:space="preserve"> </w:t>
      </w:r>
      <w:r>
        <w:t>FARC-</w:t>
      </w:r>
      <w:r>
        <w:rPr>
          <w:spacing w:val="-5"/>
        </w:rPr>
        <w:t>EP.</w:t>
      </w:r>
    </w:p>
    <w:p w:rsidR="009E7CF4" w:rsidRDefault="009E7CF4" w:rsidP="009E7CF4">
      <w:pPr>
        <w:pStyle w:val="Descripcin"/>
        <w:keepNext/>
      </w:pPr>
      <w:bookmarkStart w:id="310" w:name="_bookmark228"/>
      <w:bookmarkStart w:id="311" w:name="_bookmark229"/>
      <w:bookmarkStart w:id="312" w:name="_bookmark230"/>
      <w:bookmarkEnd w:id="310"/>
      <w:bookmarkEnd w:id="311"/>
      <w:bookmarkEnd w:id="312"/>
      <w:r>
        <w:lastRenderedPageBreak/>
        <w:t xml:space="preserve">Gráfica </w:t>
      </w:r>
      <w:r w:rsidR="005F4072">
        <w:fldChar w:fldCharType="begin"/>
      </w:r>
      <w:r w:rsidR="005F4072">
        <w:instrText xml:space="preserve"> SEQ Gráfica \* ARABIC </w:instrText>
      </w:r>
      <w:r w:rsidR="005F4072">
        <w:fldChar w:fldCharType="separate"/>
      </w:r>
      <w:r w:rsidR="005F4072">
        <w:rPr>
          <w:noProof/>
        </w:rPr>
        <w:t>15</w:t>
      </w:r>
      <w:r w:rsidR="005F4072">
        <w:fldChar w:fldCharType="end"/>
      </w:r>
      <w:r w:rsidRPr="00D4447E">
        <w:t>. Víctimas de desplazamiento forzado y despojo a nivel nacional (1985-2021)</w:t>
      </w:r>
    </w:p>
    <w:p w:rsidR="0011361F" w:rsidRPr="009E7CF4" w:rsidRDefault="00AF18A5" w:rsidP="009E7CF4">
      <w:r w:rsidRPr="009E7CF4">
        <w:rPr>
          <w:noProof/>
        </w:rPr>
        <w:drawing>
          <wp:inline distT="0" distB="0" distL="0" distR="0">
            <wp:extent cx="5420382" cy="3364991"/>
            <wp:effectExtent l="0" t="0" r="8890" b="6985"/>
            <wp:docPr id="31" name="image16.jpeg"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20382" cy="3364991"/>
                    </a:xfrm>
                    <a:prstGeom prst="rect">
                      <a:avLst/>
                    </a:prstGeom>
                  </pic:spPr>
                </pic:pic>
              </a:graphicData>
            </a:graphic>
          </wp:inline>
        </w:drawing>
      </w:r>
    </w:p>
    <w:p w:rsidR="0011361F" w:rsidRPr="005063CD" w:rsidRDefault="00AF18A5" w:rsidP="005063CD">
      <w:r w:rsidRPr="005063CD">
        <w:t>Fuente: Registro Único de Víctimas. Corte a 1 de enero de 2022.</w:t>
      </w:r>
    </w:p>
    <w:p w:rsidR="003804AC" w:rsidRDefault="00AF18A5" w:rsidP="005063CD">
      <w:r>
        <w:t>A pesar de la estrecha vinculación entre desplazamiento y despojo, en la gráfica anterior se observa una caída del registro de despojo, mientras que el desplazamiento forzado se mantuvo en el tiempo. Esto se explica con varios factores: por un lado, haya disminuido la denuncia del despojo, o que las comunidades desplazadas están retornando a su territorio después de ser desplazadas por la fuerza, también puede deberse a que las personas desplazadas no hayan sido propietarias o tenedoras de tierras u otros bienes.</w:t>
      </w:r>
    </w:p>
    <w:p w:rsidR="003804AC" w:rsidRDefault="00AF18A5" w:rsidP="005063CD">
      <w:r>
        <w:t>El desplazamiento forzado y el despojo no son violaciones que golpean solo a comunidades</w:t>
      </w:r>
      <w:r>
        <w:rPr>
          <w:spacing w:val="-8"/>
        </w:rPr>
        <w:t xml:space="preserve"> </w:t>
      </w:r>
      <w:r>
        <w:t>rurales.</w:t>
      </w:r>
      <w:r>
        <w:rPr>
          <w:spacing w:val="-8"/>
        </w:rPr>
        <w:t xml:space="preserve"> </w:t>
      </w:r>
      <w:r>
        <w:t>Ambos</w:t>
      </w:r>
      <w:r>
        <w:rPr>
          <w:spacing w:val="-8"/>
        </w:rPr>
        <w:t xml:space="preserve"> </w:t>
      </w:r>
      <w:r>
        <w:t>afectan</w:t>
      </w:r>
      <w:r>
        <w:rPr>
          <w:spacing w:val="-8"/>
        </w:rPr>
        <w:t xml:space="preserve"> </w:t>
      </w:r>
      <w:r>
        <w:t>también</w:t>
      </w:r>
      <w:r>
        <w:rPr>
          <w:spacing w:val="-8"/>
        </w:rPr>
        <w:t xml:space="preserve"> </w:t>
      </w:r>
      <w:r>
        <w:t>a</w:t>
      </w:r>
      <w:r>
        <w:rPr>
          <w:spacing w:val="-8"/>
        </w:rPr>
        <w:t xml:space="preserve"> </w:t>
      </w:r>
      <w:r>
        <w:t>comunidades</w:t>
      </w:r>
      <w:r>
        <w:rPr>
          <w:spacing w:val="-8"/>
        </w:rPr>
        <w:t xml:space="preserve"> </w:t>
      </w:r>
      <w:r>
        <w:t>que</w:t>
      </w:r>
      <w:r>
        <w:rPr>
          <w:spacing w:val="-8"/>
        </w:rPr>
        <w:t xml:space="preserve"> </w:t>
      </w:r>
      <w:r>
        <w:t>habitan</w:t>
      </w:r>
      <w:r>
        <w:rPr>
          <w:spacing w:val="-8"/>
        </w:rPr>
        <w:t xml:space="preserve"> </w:t>
      </w:r>
      <w:r>
        <w:t>barrios</w:t>
      </w:r>
      <w:r>
        <w:rPr>
          <w:spacing w:val="-9"/>
        </w:rPr>
        <w:t xml:space="preserve"> </w:t>
      </w:r>
      <w:r>
        <w:t xml:space="preserve">marginales de centros poblados intermedios y cabeceras </w:t>
      </w:r>
      <w:r>
        <w:lastRenderedPageBreak/>
        <w:t>departamentales. Ciudades capitales como Medellín, Bogotá, Cúcuta, Cartagena y Quibdó, entre otras, y ciudades intermedias como Buenaventura, Tumaco, Soacha, son a la vez centros receptores y expulsores de población desplazada.</w:t>
      </w:r>
      <w:r>
        <w:rPr>
          <w:spacing w:val="43"/>
        </w:rPr>
        <w:t xml:space="preserve"> </w:t>
      </w:r>
      <w:r>
        <w:t>La</w:t>
      </w:r>
      <w:r>
        <w:rPr>
          <w:spacing w:val="43"/>
        </w:rPr>
        <w:t xml:space="preserve"> </w:t>
      </w:r>
      <w:r>
        <w:t>urbanización</w:t>
      </w:r>
      <w:r>
        <w:rPr>
          <w:spacing w:val="43"/>
        </w:rPr>
        <w:t xml:space="preserve"> </w:t>
      </w:r>
      <w:r>
        <w:t>del</w:t>
      </w:r>
      <w:r>
        <w:rPr>
          <w:spacing w:val="44"/>
        </w:rPr>
        <w:t xml:space="preserve"> </w:t>
      </w:r>
      <w:r>
        <w:t>conflicto</w:t>
      </w:r>
      <w:r>
        <w:rPr>
          <w:spacing w:val="43"/>
        </w:rPr>
        <w:t xml:space="preserve"> </w:t>
      </w:r>
      <w:r>
        <w:t>armado,</w:t>
      </w:r>
      <w:r>
        <w:rPr>
          <w:spacing w:val="43"/>
        </w:rPr>
        <w:t xml:space="preserve"> </w:t>
      </w:r>
      <w:r>
        <w:t>1997-2005,</w:t>
      </w:r>
      <w:r>
        <w:rPr>
          <w:spacing w:val="43"/>
        </w:rPr>
        <w:t xml:space="preserve"> </w:t>
      </w:r>
      <w:r>
        <w:t>fue</w:t>
      </w:r>
      <w:r>
        <w:rPr>
          <w:spacing w:val="44"/>
        </w:rPr>
        <w:t xml:space="preserve"> </w:t>
      </w:r>
      <w:r>
        <w:t>el</w:t>
      </w:r>
      <w:r>
        <w:rPr>
          <w:spacing w:val="43"/>
        </w:rPr>
        <w:t xml:space="preserve"> </w:t>
      </w:r>
      <w:r>
        <w:t>periodo</w:t>
      </w:r>
      <w:r>
        <w:rPr>
          <w:spacing w:val="43"/>
        </w:rPr>
        <w:t xml:space="preserve"> </w:t>
      </w:r>
      <w:r>
        <w:t>de</w:t>
      </w:r>
      <w:r>
        <w:rPr>
          <w:spacing w:val="44"/>
        </w:rPr>
        <w:t xml:space="preserve"> </w:t>
      </w:r>
      <w:r>
        <w:rPr>
          <w:spacing w:val="-2"/>
        </w:rPr>
        <w:t>mayor</w:t>
      </w:r>
      <w:r w:rsidR="005063CD">
        <w:t xml:space="preserve"> </w:t>
      </w:r>
      <w:r>
        <w:t>intensidad en el desplazamiento forzado desde las ciudades. Sus principales víctimas son personas desplazadas de áreas rurales que llegan a las ciudades pensando que son lugares seguros, pero son revictimizadas por grupos armados y bandas delincuenciales que ejercen poder en esos barrios, en ocasiones obligándolas a nuevos desplazamientos y pérdidas.</w:t>
      </w:r>
    </w:p>
    <w:p w:rsidR="003804AC" w:rsidRDefault="00AF18A5" w:rsidP="004A6EF4">
      <w:pPr>
        <w:pStyle w:val="Ttulo3"/>
        <w:numPr>
          <w:ilvl w:val="1"/>
          <w:numId w:val="16"/>
        </w:numPr>
      </w:pPr>
      <w:bookmarkStart w:id="313" w:name="3.21._Responsabilidades_en_las_violacion"/>
      <w:bookmarkStart w:id="314" w:name="_Toc112399580"/>
      <w:bookmarkEnd w:id="313"/>
      <w:r w:rsidRPr="005063CD">
        <w:t>Responsabilidades</w:t>
      </w:r>
      <w:r>
        <w:t xml:space="preserve"> en las violaciones de derechos humanos e infracciones al DIH en el conflicto armado</w:t>
      </w:r>
      <w:bookmarkEnd w:id="314"/>
    </w:p>
    <w:p w:rsidR="003804AC" w:rsidRDefault="00AF18A5" w:rsidP="00F42276">
      <w:r>
        <w:t>Estas violaciones e infracciones de las que ha sido testigo la propia Comisión en su trabajo por</w:t>
      </w:r>
      <w:r>
        <w:rPr>
          <w:spacing w:val="-2"/>
        </w:rPr>
        <w:t xml:space="preserve"> </w:t>
      </w:r>
      <w:r>
        <w:t>el</w:t>
      </w:r>
      <w:r>
        <w:rPr>
          <w:spacing w:val="-2"/>
        </w:rPr>
        <w:t xml:space="preserve"> </w:t>
      </w:r>
      <w:r>
        <w:t>país</w:t>
      </w:r>
      <w:r>
        <w:rPr>
          <w:spacing w:val="-2"/>
        </w:rPr>
        <w:t xml:space="preserve"> </w:t>
      </w:r>
      <w:r>
        <w:t>y</w:t>
      </w:r>
      <w:r>
        <w:rPr>
          <w:spacing w:val="-4"/>
        </w:rPr>
        <w:t xml:space="preserve"> </w:t>
      </w:r>
      <w:r>
        <w:t>en</w:t>
      </w:r>
      <w:r>
        <w:rPr>
          <w:spacing w:val="-2"/>
        </w:rPr>
        <w:t xml:space="preserve"> </w:t>
      </w:r>
      <w:r>
        <w:t>el</w:t>
      </w:r>
      <w:r>
        <w:rPr>
          <w:spacing w:val="-2"/>
        </w:rPr>
        <w:t xml:space="preserve"> </w:t>
      </w:r>
      <w:r>
        <w:t>exilio,</w:t>
      </w:r>
      <w:r>
        <w:rPr>
          <w:spacing w:val="-4"/>
        </w:rPr>
        <w:t xml:space="preserve"> </w:t>
      </w:r>
      <w:r>
        <w:t>muestra</w:t>
      </w:r>
      <w:r>
        <w:rPr>
          <w:spacing w:val="-2"/>
        </w:rPr>
        <w:t xml:space="preserve"> </w:t>
      </w:r>
      <w:r>
        <w:t>el</w:t>
      </w:r>
      <w:r>
        <w:rPr>
          <w:spacing w:val="-3"/>
        </w:rPr>
        <w:t xml:space="preserve"> </w:t>
      </w:r>
      <w:r>
        <w:t>enorme</w:t>
      </w:r>
      <w:r>
        <w:rPr>
          <w:spacing w:val="-2"/>
        </w:rPr>
        <w:t xml:space="preserve"> </w:t>
      </w:r>
      <w:r>
        <w:t>impacto</w:t>
      </w:r>
      <w:r>
        <w:rPr>
          <w:spacing w:val="-2"/>
        </w:rPr>
        <w:t xml:space="preserve"> </w:t>
      </w:r>
      <w:r>
        <w:t>de</w:t>
      </w:r>
      <w:r>
        <w:rPr>
          <w:spacing w:val="-2"/>
        </w:rPr>
        <w:t xml:space="preserve"> </w:t>
      </w:r>
      <w:r>
        <w:t>la</w:t>
      </w:r>
      <w:r>
        <w:rPr>
          <w:spacing w:val="-2"/>
        </w:rPr>
        <w:t xml:space="preserve"> </w:t>
      </w:r>
      <w:r>
        <w:t>herida</w:t>
      </w:r>
      <w:r>
        <w:rPr>
          <w:spacing w:val="-2"/>
        </w:rPr>
        <w:t xml:space="preserve"> </w:t>
      </w:r>
      <w:r>
        <w:t>de</w:t>
      </w:r>
      <w:r>
        <w:rPr>
          <w:spacing w:val="-2"/>
        </w:rPr>
        <w:t xml:space="preserve"> </w:t>
      </w:r>
      <w:r>
        <w:t>Colombia.</w:t>
      </w:r>
      <w:r>
        <w:rPr>
          <w:spacing w:val="-2"/>
        </w:rPr>
        <w:t xml:space="preserve"> </w:t>
      </w:r>
      <w:r>
        <w:t>La</w:t>
      </w:r>
      <w:r>
        <w:rPr>
          <w:spacing w:val="-2"/>
        </w:rPr>
        <w:t xml:space="preserve"> </w:t>
      </w:r>
      <w:r>
        <w:t>guerra</w:t>
      </w:r>
      <w:r>
        <w:rPr>
          <w:spacing w:val="-2"/>
        </w:rPr>
        <w:t xml:space="preserve"> </w:t>
      </w:r>
      <w:r>
        <w:t>ha dejado</w:t>
      </w:r>
      <w:r>
        <w:rPr>
          <w:spacing w:val="-9"/>
        </w:rPr>
        <w:t xml:space="preserve"> </w:t>
      </w:r>
      <w:r>
        <w:t>muchas</w:t>
      </w:r>
      <w:r>
        <w:rPr>
          <w:spacing w:val="-9"/>
        </w:rPr>
        <w:t xml:space="preserve"> </w:t>
      </w:r>
      <w:r>
        <w:t>cicatrices</w:t>
      </w:r>
      <w:r>
        <w:rPr>
          <w:spacing w:val="-10"/>
        </w:rPr>
        <w:t xml:space="preserve"> </w:t>
      </w:r>
      <w:r>
        <w:t>en</w:t>
      </w:r>
      <w:r>
        <w:rPr>
          <w:spacing w:val="-9"/>
        </w:rPr>
        <w:t xml:space="preserve"> </w:t>
      </w:r>
      <w:r>
        <w:t>el</w:t>
      </w:r>
      <w:r>
        <w:rPr>
          <w:spacing w:val="-9"/>
        </w:rPr>
        <w:t xml:space="preserve"> </w:t>
      </w:r>
      <w:r>
        <w:t>tejido</w:t>
      </w:r>
      <w:r>
        <w:rPr>
          <w:spacing w:val="-9"/>
        </w:rPr>
        <w:t xml:space="preserve"> </w:t>
      </w:r>
      <w:r>
        <w:t>social,</w:t>
      </w:r>
      <w:r>
        <w:rPr>
          <w:spacing w:val="-9"/>
        </w:rPr>
        <w:t xml:space="preserve"> </w:t>
      </w:r>
      <w:r>
        <w:t>las</w:t>
      </w:r>
      <w:r>
        <w:rPr>
          <w:spacing w:val="-9"/>
        </w:rPr>
        <w:t xml:space="preserve"> </w:t>
      </w:r>
      <w:r>
        <w:t>biografías</w:t>
      </w:r>
      <w:r>
        <w:rPr>
          <w:spacing w:val="-9"/>
        </w:rPr>
        <w:t xml:space="preserve"> </w:t>
      </w:r>
      <w:r>
        <w:t>personales,</w:t>
      </w:r>
      <w:r>
        <w:rPr>
          <w:spacing w:val="-9"/>
        </w:rPr>
        <w:t xml:space="preserve"> </w:t>
      </w:r>
      <w:r>
        <w:t>las</w:t>
      </w:r>
      <w:r>
        <w:rPr>
          <w:spacing w:val="-9"/>
        </w:rPr>
        <w:t xml:space="preserve"> </w:t>
      </w:r>
      <w:r>
        <w:t>historias</w:t>
      </w:r>
      <w:r>
        <w:rPr>
          <w:spacing w:val="-9"/>
        </w:rPr>
        <w:t xml:space="preserve"> </w:t>
      </w:r>
      <w:r>
        <w:t>familiares y</w:t>
      </w:r>
      <w:r>
        <w:rPr>
          <w:spacing w:val="-14"/>
        </w:rPr>
        <w:t xml:space="preserve"> </w:t>
      </w:r>
      <w:r>
        <w:t>comunitarias,</w:t>
      </w:r>
      <w:r>
        <w:rPr>
          <w:spacing w:val="-14"/>
        </w:rPr>
        <w:t xml:space="preserve"> </w:t>
      </w:r>
      <w:r>
        <w:t>que</w:t>
      </w:r>
      <w:r>
        <w:rPr>
          <w:spacing w:val="-14"/>
        </w:rPr>
        <w:t xml:space="preserve"> </w:t>
      </w:r>
      <w:r>
        <w:t>recorren</w:t>
      </w:r>
      <w:r>
        <w:rPr>
          <w:spacing w:val="-14"/>
        </w:rPr>
        <w:t xml:space="preserve"> </w:t>
      </w:r>
      <w:r>
        <w:t>las</w:t>
      </w:r>
      <w:r>
        <w:rPr>
          <w:spacing w:val="-14"/>
        </w:rPr>
        <w:t xml:space="preserve"> </w:t>
      </w:r>
      <w:r>
        <w:t>geografías</w:t>
      </w:r>
      <w:r>
        <w:rPr>
          <w:spacing w:val="-14"/>
        </w:rPr>
        <w:t xml:space="preserve"> </w:t>
      </w:r>
      <w:r>
        <w:t>del</w:t>
      </w:r>
      <w:r>
        <w:rPr>
          <w:spacing w:val="-14"/>
        </w:rPr>
        <w:t xml:space="preserve"> </w:t>
      </w:r>
      <w:r>
        <w:t>conflicto</w:t>
      </w:r>
      <w:r>
        <w:rPr>
          <w:spacing w:val="-14"/>
        </w:rPr>
        <w:t xml:space="preserve"> </w:t>
      </w:r>
      <w:r>
        <w:t>en</w:t>
      </w:r>
      <w:r>
        <w:rPr>
          <w:spacing w:val="-14"/>
        </w:rPr>
        <w:t xml:space="preserve"> </w:t>
      </w:r>
      <w:r>
        <w:t>distintas</w:t>
      </w:r>
      <w:r>
        <w:rPr>
          <w:spacing w:val="-14"/>
        </w:rPr>
        <w:t xml:space="preserve"> </w:t>
      </w:r>
      <w:r>
        <w:t>épocas.</w:t>
      </w:r>
      <w:r>
        <w:rPr>
          <w:spacing w:val="-15"/>
        </w:rPr>
        <w:t xml:space="preserve"> </w:t>
      </w:r>
      <w:r>
        <w:t>Muchos</w:t>
      </w:r>
      <w:r>
        <w:rPr>
          <w:spacing w:val="-14"/>
        </w:rPr>
        <w:t xml:space="preserve"> </w:t>
      </w:r>
      <w:r>
        <w:t>de</w:t>
      </w:r>
      <w:r>
        <w:rPr>
          <w:spacing w:val="-15"/>
        </w:rPr>
        <w:t xml:space="preserve"> </w:t>
      </w:r>
      <w:r>
        <w:t>estos hechos</w:t>
      </w:r>
      <w:r>
        <w:rPr>
          <w:spacing w:val="-1"/>
        </w:rPr>
        <w:t xml:space="preserve"> </w:t>
      </w:r>
      <w:r>
        <w:t>traumáticos,</w:t>
      </w:r>
      <w:r>
        <w:rPr>
          <w:spacing w:val="-1"/>
        </w:rPr>
        <w:t xml:space="preserve"> </w:t>
      </w:r>
      <w:r>
        <w:t>violaciones</w:t>
      </w:r>
      <w:r>
        <w:rPr>
          <w:spacing w:val="-1"/>
        </w:rPr>
        <w:t xml:space="preserve"> </w:t>
      </w:r>
      <w:r>
        <w:t>de</w:t>
      </w:r>
      <w:r>
        <w:rPr>
          <w:spacing w:val="-2"/>
        </w:rPr>
        <w:t xml:space="preserve"> </w:t>
      </w:r>
      <w:r>
        <w:t>derechos</w:t>
      </w:r>
      <w:r>
        <w:rPr>
          <w:spacing w:val="-1"/>
        </w:rPr>
        <w:t xml:space="preserve"> </w:t>
      </w:r>
      <w:r>
        <w:t>humanos</w:t>
      </w:r>
      <w:r>
        <w:rPr>
          <w:spacing w:val="-1"/>
        </w:rPr>
        <w:t xml:space="preserve"> </w:t>
      </w:r>
      <w:r>
        <w:t>e</w:t>
      </w:r>
      <w:r>
        <w:rPr>
          <w:spacing w:val="-1"/>
        </w:rPr>
        <w:t xml:space="preserve"> </w:t>
      </w:r>
      <w:r>
        <w:t>infracciones</w:t>
      </w:r>
      <w:r>
        <w:rPr>
          <w:spacing w:val="-1"/>
        </w:rPr>
        <w:t xml:space="preserve"> </w:t>
      </w:r>
      <w:r>
        <w:t>al</w:t>
      </w:r>
      <w:r>
        <w:rPr>
          <w:spacing w:val="-2"/>
        </w:rPr>
        <w:t xml:space="preserve"> </w:t>
      </w:r>
      <w:r>
        <w:t>DIH</w:t>
      </w:r>
      <w:r>
        <w:rPr>
          <w:spacing w:val="-2"/>
        </w:rPr>
        <w:t xml:space="preserve"> </w:t>
      </w:r>
      <w:r>
        <w:t>permanecen</w:t>
      </w:r>
      <w:r>
        <w:rPr>
          <w:spacing w:val="-1"/>
        </w:rPr>
        <w:t xml:space="preserve"> </w:t>
      </w:r>
      <w:r>
        <w:t>en la memoria de las víctimas y de la sociedad, como muestras de lo intolerable. La violencia tiene un carácter intencional en el contexto del conflicto armado, orientada a tener control, ganar fuerza, paralizar, destruir al enemigo y así conquistar objetivos políticos o militares, cambios</w:t>
      </w:r>
      <w:r>
        <w:rPr>
          <w:spacing w:val="-14"/>
        </w:rPr>
        <w:t xml:space="preserve"> </w:t>
      </w:r>
      <w:r>
        <w:t>y</w:t>
      </w:r>
      <w:r>
        <w:rPr>
          <w:spacing w:val="-14"/>
        </w:rPr>
        <w:t xml:space="preserve"> </w:t>
      </w:r>
      <w:r>
        <w:t>transformaciones,</w:t>
      </w:r>
      <w:r>
        <w:rPr>
          <w:spacing w:val="-14"/>
        </w:rPr>
        <w:t xml:space="preserve"> </w:t>
      </w:r>
      <w:r>
        <w:t>seguridad</w:t>
      </w:r>
      <w:r>
        <w:rPr>
          <w:spacing w:val="-14"/>
        </w:rPr>
        <w:t xml:space="preserve"> </w:t>
      </w:r>
      <w:r>
        <w:t>y</w:t>
      </w:r>
      <w:r>
        <w:rPr>
          <w:spacing w:val="-14"/>
        </w:rPr>
        <w:t xml:space="preserve"> </w:t>
      </w:r>
      <w:r>
        <w:t>mantenimiento</w:t>
      </w:r>
      <w:r>
        <w:rPr>
          <w:spacing w:val="-14"/>
        </w:rPr>
        <w:t xml:space="preserve"> </w:t>
      </w:r>
      <w:r>
        <w:t>del</w:t>
      </w:r>
      <w:r>
        <w:rPr>
          <w:spacing w:val="-14"/>
        </w:rPr>
        <w:t xml:space="preserve"> </w:t>
      </w:r>
      <w:r>
        <w:t>status</w:t>
      </w:r>
      <w:r>
        <w:rPr>
          <w:spacing w:val="-14"/>
        </w:rPr>
        <w:t xml:space="preserve"> </w:t>
      </w:r>
      <w:r>
        <w:t>quo.</w:t>
      </w:r>
      <w:r>
        <w:rPr>
          <w:spacing w:val="-14"/>
        </w:rPr>
        <w:t xml:space="preserve"> </w:t>
      </w:r>
      <w:r>
        <w:t>Pero</w:t>
      </w:r>
      <w:r>
        <w:rPr>
          <w:spacing w:val="-14"/>
        </w:rPr>
        <w:t xml:space="preserve"> </w:t>
      </w:r>
      <w:r>
        <w:t>las</w:t>
      </w:r>
      <w:r>
        <w:rPr>
          <w:spacing w:val="-14"/>
        </w:rPr>
        <w:t xml:space="preserve"> </w:t>
      </w:r>
      <w:r>
        <w:t>dimensiones del</w:t>
      </w:r>
      <w:r>
        <w:rPr>
          <w:spacing w:val="-14"/>
        </w:rPr>
        <w:t xml:space="preserve"> </w:t>
      </w:r>
      <w:r>
        <w:t>conflicto</w:t>
      </w:r>
      <w:r>
        <w:rPr>
          <w:spacing w:val="-15"/>
        </w:rPr>
        <w:t xml:space="preserve"> </w:t>
      </w:r>
      <w:r>
        <w:t>muestran</w:t>
      </w:r>
      <w:r>
        <w:rPr>
          <w:spacing w:val="-14"/>
        </w:rPr>
        <w:t xml:space="preserve"> </w:t>
      </w:r>
      <w:r>
        <w:t>también</w:t>
      </w:r>
      <w:r>
        <w:rPr>
          <w:spacing w:val="-14"/>
        </w:rPr>
        <w:t xml:space="preserve"> </w:t>
      </w:r>
      <w:r>
        <w:t>responsabilidades</w:t>
      </w:r>
      <w:r>
        <w:rPr>
          <w:spacing w:val="-15"/>
        </w:rPr>
        <w:t xml:space="preserve"> </w:t>
      </w:r>
      <w:r>
        <w:t>éticas,</w:t>
      </w:r>
      <w:r>
        <w:rPr>
          <w:spacing w:val="-14"/>
        </w:rPr>
        <w:t xml:space="preserve"> </w:t>
      </w:r>
      <w:r>
        <w:t>históricas</w:t>
      </w:r>
      <w:r>
        <w:rPr>
          <w:spacing w:val="-14"/>
        </w:rPr>
        <w:t xml:space="preserve"> </w:t>
      </w:r>
      <w:r>
        <w:t>y</w:t>
      </w:r>
      <w:r>
        <w:rPr>
          <w:spacing w:val="-14"/>
        </w:rPr>
        <w:t xml:space="preserve"> </w:t>
      </w:r>
      <w:r>
        <w:t>políticas,</w:t>
      </w:r>
      <w:r>
        <w:rPr>
          <w:spacing w:val="-14"/>
        </w:rPr>
        <w:t xml:space="preserve"> </w:t>
      </w:r>
      <w:r>
        <w:t>desde</w:t>
      </w:r>
      <w:r>
        <w:rPr>
          <w:spacing w:val="-14"/>
        </w:rPr>
        <w:t xml:space="preserve"> </w:t>
      </w:r>
      <w:r>
        <w:t>el</w:t>
      </w:r>
      <w:r>
        <w:rPr>
          <w:spacing w:val="-15"/>
        </w:rPr>
        <w:t xml:space="preserve"> </w:t>
      </w:r>
      <w:r>
        <w:t>punto de vista y mandato extrajudicial de la Comisión.</w:t>
      </w:r>
    </w:p>
    <w:p w:rsidR="003804AC" w:rsidRDefault="00AF18A5" w:rsidP="00F42276">
      <w:r>
        <w:lastRenderedPageBreak/>
        <w:t>Un aspecto crucial relacionado con la violencia ocurrida en el contexto del conflicto armado</w:t>
      </w:r>
      <w:r>
        <w:rPr>
          <w:spacing w:val="-12"/>
        </w:rPr>
        <w:t xml:space="preserve"> </w:t>
      </w:r>
      <w:r>
        <w:t>son</w:t>
      </w:r>
      <w:r>
        <w:rPr>
          <w:spacing w:val="-12"/>
        </w:rPr>
        <w:t xml:space="preserve"> </w:t>
      </w:r>
      <w:r>
        <w:t>las</w:t>
      </w:r>
      <w:r>
        <w:rPr>
          <w:spacing w:val="-12"/>
        </w:rPr>
        <w:t xml:space="preserve"> </w:t>
      </w:r>
      <w:r>
        <w:t>responsabilidades</w:t>
      </w:r>
      <w:r>
        <w:rPr>
          <w:spacing w:val="-12"/>
        </w:rPr>
        <w:t xml:space="preserve"> </w:t>
      </w:r>
      <w:r>
        <w:t>de</w:t>
      </w:r>
      <w:r>
        <w:rPr>
          <w:spacing w:val="-12"/>
        </w:rPr>
        <w:t xml:space="preserve"> </w:t>
      </w:r>
      <w:r>
        <w:t>los</w:t>
      </w:r>
      <w:r>
        <w:rPr>
          <w:spacing w:val="-12"/>
        </w:rPr>
        <w:t xml:space="preserve"> </w:t>
      </w:r>
      <w:r>
        <w:t>diferentes</w:t>
      </w:r>
      <w:r>
        <w:rPr>
          <w:spacing w:val="-13"/>
        </w:rPr>
        <w:t xml:space="preserve"> </w:t>
      </w:r>
      <w:r>
        <w:t>actores</w:t>
      </w:r>
      <w:r>
        <w:rPr>
          <w:spacing w:val="-12"/>
        </w:rPr>
        <w:t xml:space="preserve"> </w:t>
      </w:r>
      <w:r>
        <w:t>que</w:t>
      </w:r>
      <w:r>
        <w:rPr>
          <w:spacing w:val="-13"/>
        </w:rPr>
        <w:t xml:space="preserve"> </w:t>
      </w:r>
      <w:r>
        <w:t>han</w:t>
      </w:r>
      <w:r>
        <w:rPr>
          <w:spacing w:val="-12"/>
        </w:rPr>
        <w:t xml:space="preserve"> </w:t>
      </w:r>
      <w:r>
        <w:t>participado</w:t>
      </w:r>
      <w:r>
        <w:rPr>
          <w:spacing w:val="-12"/>
        </w:rPr>
        <w:t xml:space="preserve"> </w:t>
      </w:r>
      <w:r>
        <w:t>en</w:t>
      </w:r>
      <w:r>
        <w:rPr>
          <w:spacing w:val="-12"/>
        </w:rPr>
        <w:t xml:space="preserve"> </w:t>
      </w:r>
      <w:r>
        <w:t>él.</w:t>
      </w:r>
      <w:r>
        <w:rPr>
          <w:spacing w:val="-12"/>
        </w:rPr>
        <w:t xml:space="preserve"> </w:t>
      </w:r>
      <w:r>
        <w:t>Agentes e instituciones estatales,</w:t>
      </w:r>
      <w:r>
        <w:rPr>
          <w:spacing w:val="-1"/>
        </w:rPr>
        <w:t xml:space="preserve"> </w:t>
      </w:r>
      <w:r>
        <w:t>grupos paramilitares y grupos guerrilleros, así como otros civiles o grupos</w:t>
      </w:r>
      <w:r>
        <w:rPr>
          <w:spacing w:val="-9"/>
        </w:rPr>
        <w:t xml:space="preserve"> </w:t>
      </w:r>
      <w:r>
        <w:t>que</w:t>
      </w:r>
      <w:r>
        <w:rPr>
          <w:spacing w:val="-9"/>
        </w:rPr>
        <w:t xml:space="preserve"> </w:t>
      </w:r>
      <w:r>
        <w:t>tuvieron</w:t>
      </w:r>
      <w:r>
        <w:rPr>
          <w:spacing w:val="-10"/>
        </w:rPr>
        <w:t xml:space="preserve"> </w:t>
      </w:r>
      <w:r>
        <w:t>diferentes</w:t>
      </w:r>
      <w:r>
        <w:rPr>
          <w:spacing w:val="-9"/>
        </w:rPr>
        <w:t xml:space="preserve"> </w:t>
      </w:r>
      <w:r>
        <w:t>tipos</w:t>
      </w:r>
      <w:r>
        <w:rPr>
          <w:spacing w:val="-11"/>
        </w:rPr>
        <w:t xml:space="preserve"> </w:t>
      </w:r>
      <w:r>
        <w:t>y</w:t>
      </w:r>
      <w:r>
        <w:rPr>
          <w:spacing w:val="-10"/>
        </w:rPr>
        <w:t xml:space="preserve"> </w:t>
      </w:r>
      <w:r>
        <w:t>grados</w:t>
      </w:r>
      <w:r>
        <w:rPr>
          <w:spacing w:val="-9"/>
        </w:rPr>
        <w:t xml:space="preserve"> </w:t>
      </w:r>
      <w:r>
        <w:t>de</w:t>
      </w:r>
      <w:r>
        <w:rPr>
          <w:spacing w:val="-9"/>
        </w:rPr>
        <w:t xml:space="preserve"> </w:t>
      </w:r>
      <w:r>
        <w:t>responsabilidad</w:t>
      </w:r>
      <w:r>
        <w:rPr>
          <w:spacing w:val="-10"/>
        </w:rPr>
        <w:t xml:space="preserve"> </w:t>
      </w:r>
      <w:r>
        <w:t>en</w:t>
      </w:r>
      <w:r>
        <w:rPr>
          <w:spacing w:val="-10"/>
        </w:rPr>
        <w:t xml:space="preserve"> </w:t>
      </w:r>
      <w:r>
        <w:t>las</w:t>
      </w:r>
      <w:r>
        <w:rPr>
          <w:spacing w:val="-9"/>
        </w:rPr>
        <w:t xml:space="preserve"> </w:t>
      </w:r>
      <w:r>
        <w:t>graves</w:t>
      </w:r>
      <w:r>
        <w:rPr>
          <w:spacing w:val="-9"/>
        </w:rPr>
        <w:t xml:space="preserve"> </w:t>
      </w:r>
      <w:r>
        <w:t>violaciones</w:t>
      </w:r>
      <w:r>
        <w:rPr>
          <w:spacing w:val="-9"/>
        </w:rPr>
        <w:t xml:space="preserve"> </w:t>
      </w:r>
      <w:r>
        <w:t>de derechos humanos y de graves infracciones al DIH.</w:t>
      </w:r>
    </w:p>
    <w:p w:rsidR="003804AC" w:rsidRDefault="00AF18A5" w:rsidP="00F42276">
      <w:r>
        <w:t>Son múltiples las responsabilidades en el conflicto armado y no se refieren solo a los autores materiales o la relación directa de responsable-víctima. Además, el esclarecimiento de las dinámicas del conflicto armado muestra que no solo se trata de “actores” o grupos armados, o personas que participaron directamente en las hostilidades. De diferentes maneras,</w:t>
      </w:r>
      <w:r>
        <w:rPr>
          <w:spacing w:val="5"/>
        </w:rPr>
        <w:t xml:space="preserve"> </w:t>
      </w:r>
      <w:r>
        <w:t>los</w:t>
      </w:r>
      <w:r>
        <w:rPr>
          <w:spacing w:val="7"/>
        </w:rPr>
        <w:t xml:space="preserve"> </w:t>
      </w:r>
      <w:r>
        <w:t>grupos</w:t>
      </w:r>
      <w:r>
        <w:rPr>
          <w:spacing w:val="7"/>
        </w:rPr>
        <w:t xml:space="preserve"> </w:t>
      </w:r>
      <w:r>
        <w:t>paramilitares,</w:t>
      </w:r>
      <w:r>
        <w:rPr>
          <w:spacing w:val="7"/>
        </w:rPr>
        <w:t xml:space="preserve"> </w:t>
      </w:r>
      <w:r>
        <w:t>los</w:t>
      </w:r>
      <w:r>
        <w:rPr>
          <w:spacing w:val="7"/>
        </w:rPr>
        <w:t xml:space="preserve"> </w:t>
      </w:r>
      <w:r>
        <w:t>grupos</w:t>
      </w:r>
      <w:r>
        <w:rPr>
          <w:spacing w:val="8"/>
        </w:rPr>
        <w:t xml:space="preserve"> </w:t>
      </w:r>
      <w:r>
        <w:t>guerrilleros,</w:t>
      </w:r>
      <w:r>
        <w:rPr>
          <w:spacing w:val="7"/>
        </w:rPr>
        <w:t xml:space="preserve"> </w:t>
      </w:r>
      <w:r>
        <w:t>las</w:t>
      </w:r>
      <w:r>
        <w:rPr>
          <w:spacing w:val="8"/>
        </w:rPr>
        <w:t xml:space="preserve"> </w:t>
      </w:r>
      <w:r>
        <w:t>entidades</w:t>
      </w:r>
      <w:r>
        <w:rPr>
          <w:spacing w:val="6"/>
        </w:rPr>
        <w:t xml:space="preserve"> </w:t>
      </w:r>
      <w:r>
        <w:t>estatales</w:t>
      </w:r>
      <w:r>
        <w:rPr>
          <w:spacing w:val="8"/>
        </w:rPr>
        <w:t xml:space="preserve"> </w:t>
      </w:r>
      <w:r>
        <w:t>y</w:t>
      </w:r>
      <w:r>
        <w:rPr>
          <w:spacing w:val="8"/>
        </w:rPr>
        <w:t xml:space="preserve"> </w:t>
      </w:r>
      <w:r>
        <w:rPr>
          <w:spacing w:val="-2"/>
        </w:rPr>
        <w:t>tercero</w:t>
      </w:r>
      <w:r w:rsidR="00F42276">
        <w:rPr>
          <w:spacing w:val="-2"/>
        </w:rPr>
        <w:t xml:space="preserve"> </w:t>
      </w:r>
      <w:r>
        <w:t>civiles del sector económico, político y élites regionales, han tejido y actuado mediante alianzas, en redes en donde confluyen mayores y menores niveles de responsabilidad.</w:t>
      </w:r>
    </w:p>
    <w:p w:rsidR="003804AC" w:rsidRDefault="00AF18A5" w:rsidP="00F42276">
      <w:r>
        <w:t>Si bien las responsabilidades penales se refieren a personas concretas frente a hechos específicos,</w:t>
      </w:r>
      <w:r>
        <w:rPr>
          <w:spacing w:val="-5"/>
        </w:rPr>
        <w:t xml:space="preserve"> </w:t>
      </w:r>
      <w:r>
        <w:t>demostrando</w:t>
      </w:r>
      <w:r>
        <w:rPr>
          <w:spacing w:val="-5"/>
        </w:rPr>
        <w:t xml:space="preserve"> </w:t>
      </w:r>
      <w:r>
        <w:t>en</w:t>
      </w:r>
      <w:r>
        <w:rPr>
          <w:spacing w:val="-5"/>
        </w:rPr>
        <w:t xml:space="preserve"> </w:t>
      </w:r>
      <w:r>
        <w:t>un</w:t>
      </w:r>
      <w:r>
        <w:rPr>
          <w:spacing w:val="-5"/>
        </w:rPr>
        <w:t xml:space="preserve"> </w:t>
      </w:r>
      <w:r>
        <w:t>juicio,</w:t>
      </w:r>
      <w:r>
        <w:rPr>
          <w:spacing w:val="-5"/>
        </w:rPr>
        <w:t xml:space="preserve"> </w:t>
      </w:r>
      <w:r>
        <w:t>con</w:t>
      </w:r>
      <w:r>
        <w:rPr>
          <w:spacing w:val="-5"/>
        </w:rPr>
        <w:t xml:space="preserve"> </w:t>
      </w:r>
      <w:r>
        <w:t>derecho</w:t>
      </w:r>
      <w:r>
        <w:rPr>
          <w:spacing w:val="-5"/>
        </w:rPr>
        <w:t xml:space="preserve"> </w:t>
      </w:r>
      <w:r>
        <w:t>a</w:t>
      </w:r>
      <w:r>
        <w:rPr>
          <w:spacing w:val="-5"/>
        </w:rPr>
        <w:t xml:space="preserve"> </w:t>
      </w:r>
      <w:r>
        <w:t>defensa</w:t>
      </w:r>
      <w:r>
        <w:rPr>
          <w:spacing w:val="-6"/>
        </w:rPr>
        <w:t xml:space="preserve"> </w:t>
      </w:r>
      <w:r>
        <w:t>y</w:t>
      </w:r>
      <w:r>
        <w:rPr>
          <w:spacing w:val="-5"/>
        </w:rPr>
        <w:t xml:space="preserve"> </w:t>
      </w:r>
      <w:r>
        <w:t>un</w:t>
      </w:r>
      <w:r>
        <w:rPr>
          <w:spacing w:val="-5"/>
        </w:rPr>
        <w:t xml:space="preserve"> </w:t>
      </w:r>
      <w:r>
        <w:t>contexto</w:t>
      </w:r>
      <w:r>
        <w:rPr>
          <w:spacing w:val="-5"/>
        </w:rPr>
        <w:t xml:space="preserve"> </w:t>
      </w:r>
      <w:r>
        <w:t>adversarial,</w:t>
      </w:r>
      <w:r>
        <w:rPr>
          <w:spacing w:val="-5"/>
        </w:rPr>
        <w:t xml:space="preserve"> </w:t>
      </w:r>
      <w:r>
        <w:t>esas circunstancias de responsabilidad penal les corresponden a los jueces. El mandato de la Comisión de la Verdad incluye esclarecer las responsabilidades colectivas extrajudiciales conforme</w:t>
      </w:r>
      <w:r>
        <w:rPr>
          <w:spacing w:val="23"/>
        </w:rPr>
        <w:t xml:space="preserve"> </w:t>
      </w:r>
      <w:r>
        <w:t>al</w:t>
      </w:r>
      <w:r>
        <w:rPr>
          <w:spacing w:val="25"/>
        </w:rPr>
        <w:t xml:space="preserve"> </w:t>
      </w:r>
      <w:r>
        <w:t>mandato</w:t>
      </w:r>
      <w:r>
        <w:rPr>
          <w:spacing w:val="25"/>
        </w:rPr>
        <w:t xml:space="preserve"> </w:t>
      </w:r>
      <w:r>
        <w:t>del</w:t>
      </w:r>
      <w:r>
        <w:rPr>
          <w:spacing w:val="25"/>
        </w:rPr>
        <w:t xml:space="preserve"> </w:t>
      </w:r>
      <w:r>
        <w:t>numeral</w:t>
      </w:r>
      <w:r>
        <w:rPr>
          <w:spacing w:val="26"/>
        </w:rPr>
        <w:t xml:space="preserve"> </w:t>
      </w:r>
      <w:r>
        <w:t>2,</w:t>
      </w:r>
      <w:r>
        <w:rPr>
          <w:spacing w:val="25"/>
        </w:rPr>
        <w:t xml:space="preserve"> </w:t>
      </w:r>
      <w:r>
        <w:t>del</w:t>
      </w:r>
      <w:r>
        <w:rPr>
          <w:spacing w:val="25"/>
        </w:rPr>
        <w:t xml:space="preserve"> </w:t>
      </w:r>
      <w:r>
        <w:t>artículo</w:t>
      </w:r>
      <w:r>
        <w:rPr>
          <w:spacing w:val="25"/>
        </w:rPr>
        <w:t xml:space="preserve"> </w:t>
      </w:r>
      <w:r>
        <w:t>2°</w:t>
      </w:r>
      <w:r>
        <w:rPr>
          <w:spacing w:val="25"/>
        </w:rPr>
        <w:t xml:space="preserve"> </w:t>
      </w:r>
      <w:r>
        <w:t>del</w:t>
      </w:r>
      <w:r>
        <w:rPr>
          <w:spacing w:val="26"/>
        </w:rPr>
        <w:t xml:space="preserve"> </w:t>
      </w:r>
      <w:r>
        <w:t>Decreto</w:t>
      </w:r>
      <w:r>
        <w:rPr>
          <w:spacing w:val="25"/>
        </w:rPr>
        <w:t xml:space="preserve"> </w:t>
      </w:r>
      <w:r>
        <w:t>588</w:t>
      </w:r>
      <w:r>
        <w:rPr>
          <w:spacing w:val="25"/>
        </w:rPr>
        <w:t xml:space="preserve"> </w:t>
      </w:r>
      <w:r>
        <w:t>de</w:t>
      </w:r>
      <w:r w:rsidR="00F42276">
        <w:t xml:space="preserve"> </w:t>
      </w:r>
      <w:r>
        <w:rPr>
          <w:spacing w:val="-2"/>
        </w:rPr>
        <w:t>2017:</w:t>
      </w:r>
    </w:p>
    <w:p w:rsidR="003804AC" w:rsidRDefault="00AF18A5" w:rsidP="00F42276">
      <w:pPr>
        <w:pStyle w:val="Textoindependiente"/>
        <w:ind w:right="1336"/>
        <w:jc w:val="both"/>
      </w:pPr>
      <w:r>
        <w:t>«responsabilidades colectivas del Estado, incluyendo del Gobierno y los demás poderes públicos, de las FARC-EP, de los paramilitares, así como de cualquier otro grupo, organización».</w:t>
      </w:r>
      <w:r>
        <w:rPr>
          <w:spacing w:val="-8"/>
        </w:rPr>
        <w:t xml:space="preserve"> </w:t>
      </w:r>
      <w:r>
        <w:t>La</w:t>
      </w:r>
      <w:r>
        <w:rPr>
          <w:spacing w:val="-8"/>
        </w:rPr>
        <w:t xml:space="preserve"> </w:t>
      </w:r>
      <w:r>
        <w:t>Comisión</w:t>
      </w:r>
      <w:r>
        <w:rPr>
          <w:spacing w:val="-8"/>
        </w:rPr>
        <w:t xml:space="preserve"> </w:t>
      </w:r>
      <w:r>
        <w:t>tiene,</w:t>
      </w:r>
      <w:r>
        <w:rPr>
          <w:spacing w:val="-8"/>
        </w:rPr>
        <w:t xml:space="preserve"> </w:t>
      </w:r>
      <w:r>
        <w:t>pues,</w:t>
      </w:r>
      <w:r>
        <w:rPr>
          <w:spacing w:val="-8"/>
        </w:rPr>
        <w:t xml:space="preserve"> </w:t>
      </w:r>
      <w:r>
        <w:t>un</w:t>
      </w:r>
      <w:r>
        <w:rPr>
          <w:spacing w:val="-8"/>
        </w:rPr>
        <w:t xml:space="preserve"> </w:t>
      </w:r>
      <w:r>
        <w:t>mandato</w:t>
      </w:r>
      <w:r>
        <w:rPr>
          <w:spacing w:val="-8"/>
        </w:rPr>
        <w:t xml:space="preserve"> </w:t>
      </w:r>
      <w:r>
        <w:t>para</w:t>
      </w:r>
      <w:r>
        <w:rPr>
          <w:spacing w:val="-9"/>
        </w:rPr>
        <w:t xml:space="preserve"> </w:t>
      </w:r>
      <w:r>
        <w:lastRenderedPageBreak/>
        <w:t>señalar</w:t>
      </w:r>
      <w:r>
        <w:rPr>
          <w:spacing w:val="-9"/>
        </w:rPr>
        <w:t xml:space="preserve"> </w:t>
      </w:r>
      <w:r>
        <w:t>las</w:t>
      </w:r>
      <w:r>
        <w:rPr>
          <w:spacing w:val="-8"/>
        </w:rPr>
        <w:t xml:space="preserve"> </w:t>
      </w:r>
      <w:r>
        <w:t>responsabilidades</w:t>
      </w:r>
      <w:r w:rsidR="00881DC9">
        <w:rPr>
          <w:rStyle w:val="Refdenotaalpie"/>
        </w:rPr>
        <w:footnoteReference w:id="197"/>
      </w:r>
      <w:r>
        <w:rPr>
          <w:spacing w:val="-8"/>
        </w:rPr>
        <w:t xml:space="preserve"> </w:t>
      </w:r>
      <w:r>
        <w:t>de carácter extrajudicial que pueden ser entendidas como históricas, éticas, políticas y sociales de</w:t>
      </w:r>
      <w:r>
        <w:rPr>
          <w:spacing w:val="-9"/>
        </w:rPr>
        <w:t xml:space="preserve"> </w:t>
      </w:r>
      <w:r>
        <w:t>un</w:t>
      </w:r>
      <w:r>
        <w:rPr>
          <w:spacing w:val="-9"/>
        </w:rPr>
        <w:t xml:space="preserve"> </w:t>
      </w:r>
      <w:r>
        <w:t>hecho</w:t>
      </w:r>
      <w:r>
        <w:rPr>
          <w:spacing w:val="-9"/>
        </w:rPr>
        <w:t xml:space="preserve"> </w:t>
      </w:r>
      <w:r>
        <w:t>perpetrado</w:t>
      </w:r>
      <w:r>
        <w:rPr>
          <w:spacing w:val="-9"/>
        </w:rPr>
        <w:t xml:space="preserve"> </w:t>
      </w:r>
      <w:r>
        <w:t>por</w:t>
      </w:r>
      <w:r>
        <w:rPr>
          <w:spacing w:val="-9"/>
        </w:rPr>
        <w:t xml:space="preserve"> </w:t>
      </w:r>
      <w:r>
        <w:t>quienes</w:t>
      </w:r>
      <w:r>
        <w:rPr>
          <w:spacing w:val="-9"/>
        </w:rPr>
        <w:t xml:space="preserve"> </w:t>
      </w:r>
      <w:r>
        <w:t>participaron</w:t>
      </w:r>
      <w:r>
        <w:rPr>
          <w:spacing w:val="-9"/>
        </w:rPr>
        <w:t xml:space="preserve"> </w:t>
      </w:r>
      <w:r>
        <w:t>de</w:t>
      </w:r>
      <w:r>
        <w:rPr>
          <w:spacing w:val="-9"/>
        </w:rPr>
        <w:t xml:space="preserve"> </w:t>
      </w:r>
      <w:r>
        <w:t>manera</w:t>
      </w:r>
      <w:r>
        <w:rPr>
          <w:spacing w:val="-9"/>
        </w:rPr>
        <w:t xml:space="preserve"> </w:t>
      </w:r>
      <w:r>
        <w:t>directa</w:t>
      </w:r>
      <w:r>
        <w:rPr>
          <w:spacing w:val="-9"/>
        </w:rPr>
        <w:t xml:space="preserve"> </w:t>
      </w:r>
      <w:r>
        <w:t>o</w:t>
      </w:r>
      <w:r>
        <w:rPr>
          <w:spacing w:val="-9"/>
        </w:rPr>
        <w:t xml:space="preserve"> </w:t>
      </w:r>
      <w:r>
        <w:t>indirecta</w:t>
      </w:r>
      <w:r>
        <w:rPr>
          <w:spacing w:val="-9"/>
        </w:rPr>
        <w:t xml:space="preserve"> </w:t>
      </w:r>
      <w:r>
        <w:t>en</w:t>
      </w:r>
      <w:r>
        <w:rPr>
          <w:spacing w:val="-9"/>
        </w:rPr>
        <w:t xml:space="preserve"> </w:t>
      </w:r>
      <w:r>
        <w:t>el</w:t>
      </w:r>
      <w:r>
        <w:rPr>
          <w:spacing w:val="-9"/>
        </w:rPr>
        <w:t xml:space="preserve"> </w:t>
      </w:r>
      <w:r>
        <w:t xml:space="preserve">conflicto </w:t>
      </w:r>
      <w:r>
        <w:rPr>
          <w:spacing w:val="-2"/>
        </w:rPr>
        <w:t>armado.</w:t>
      </w:r>
    </w:p>
    <w:p w:rsidR="003804AC" w:rsidRDefault="00AF18A5" w:rsidP="00881DC9">
      <w:r>
        <w:t>El</w:t>
      </w:r>
      <w:r>
        <w:rPr>
          <w:spacing w:val="-2"/>
        </w:rPr>
        <w:t xml:space="preserve"> </w:t>
      </w:r>
      <w:r>
        <w:t>enfrentamiento</w:t>
      </w:r>
      <w:r>
        <w:rPr>
          <w:spacing w:val="-2"/>
        </w:rPr>
        <w:t xml:space="preserve"> </w:t>
      </w:r>
      <w:r>
        <w:t>inicial</w:t>
      </w:r>
      <w:r>
        <w:rPr>
          <w:spacing w:val="-2"/>
        </w:rPr>
        <w:t xml:space="preserve"> </w:t>
      </w:r>
      <w:r>
        <w:t>entre</w:t>
      </w:r>
      <w:r>
        <w:rPr>
          <w:spacing w:val="-3"/>
        </w:rPr>
        <w:t xml:space="preserve"> </w:t>
      </w:r>
      <w:r>
        <w:t>la</w:t>
      </w:r>
      <w:r>
        <w:rPr>
          <w:spacing w:val="-3"/>
        </w:rPr>
        <w:t xml:space="preserve"> </w:t>
      </w:r>
      <w:r>
        <w:t>fuerza</w:t>
      </w:r>
      <w:r>
        <w:rPr>
          <w:spacing w:val="-2"/>
        </w:rPr>
        <w:t xml:space="preserve"> </w:t>
      </w:r>
      <w:r>
        <w:t>pública</w:t>
      </w:r>
      <w:r>
        <w:rPr>
          <w:spacing w:val="-3"/>
        </w:rPr>
        <w:t xml:space="preserve"> </w:t>
      </w:r>
      <w:r>
        <w:t>y</w:t>
      </w:r>
      <w:r>
        <w:rPr>
          <w:spacing w:val="-2"/>
        </w:rPr>
        <w:t xml:space="preserve"> </w:t>
      </w:r>
      <w:r>
        <w:t>las</w:t>
      </w:r>
      <w:r>
        <w:rPr>
          <w:spacing w:val="-2"/>
        </w:rPr>
        <w:t xml:space="preserve"> </w:t>
      </w:r>
      <w:r>
        <w:t>guerrillas,</w:t>
      </w:r>
      <w:r>
        <w:rPr>
          <w:spacing w:val="-2"/>
        </w:rPr>
        <w:t xml:space="preserve"> </w:t>
      </w:r>
      <w:r>
        <w:t>posteriormente</w:t>
      </w:r>
      <w:r>
        <w:rPr>
          <w:spacing w:val="-3"/>
        </w:rPr>
        <w:t xml:space="preserve"> </w:t>
      </w:r>
      <w:r>
        <w:t>agravada con la participación paulatina de los grupos paramilitares y también de otros agentes del Estado y sectores civiles, hace que estos actores sean responsables de ese universo de víctimas que, según el resultado final de la integración de bases de datos del proyecto JEP- CEV-HRDAG, corresponde a 450.666 muertos, 121.768 desaparecidos de manera forzada, 50.770</w:t>
      </w:r>
      <w:r>
        <w:rPr>
          <w:spacing w:val="-10"/>
        </w:rPr>
        <w:t xml:space="preserve"> </w:t>
      </w:r>
      <w:r>
        <w:t>secuestrados,</w:t>
      </w:r>
      <w:r>
        <w:rPr>
          <w:spacing w:val="-10"/>
        </w:rPr>
        <w:t xml:space="preserve"> </w:t>
      </w:r>
      <w:r>
        <w:rPr>
          <w:color w:val="212121"/>
        </w:rPr>
        <w:t>16.238</w:t>
      </w:r>
      <w:r>
        <w:rPr>
          <w:color w:val="212121"/>
          <w:spacing w:val="-10"/>
        </w:rPr>
        <w:t xml:space="preserve"> </w:t>
      </w:r>
      <w:r>
        <w:rPr>
          <w:color w:val="212121"/>
        </w:rPr>
        <w:t>niños,</w:t>
      </w:r>
      <w:r>
        <w:rPr>
          <w:color w:val="212121"/>
          <w:spacing w:val="-10"/>
        </w:rPr>
        <w:t xml:space="preserve"> </w:t>
      </w:r>
      <w:r>
        <w:rPr>
          <w:color w:val="212121"/>
        </w:rPr>
        <w:t>niñas</w:t>
      </w:r>
      <w:r>
        <w:rPr>
          <w:color w:val="212121"/>
          <w:spacing w:val="-10"/>
        </w:rPr>
        <w:t xml:space="preserve"> </w:t>
      </w:r>
      <w:r>
        <w:rPr>
          <w:color w:val="212121"/>
        </w:rPr>
        <w:t>y</w:t>
      </w:r>
      <w:r>
        <w:rPr>
          <w:color w:val="212121"/>
          <w:spacing w:val="-10"/>
        </w:rPr>
        <w:t xml:space="preserve"> </w:t>
      </w:r>
      <w:r>
        <w:rPr>
          <w:color w:val="212121"/>
        </w:rPr>
        <w:t>adolescentes</w:t>
      </w:r>
      <w:r>
        <w:rPr>
          <w:color w:val="212121"/>
          <w:spacing w:val="-10"/>
        </w:rPr>
        <w:t xml:space="preserve"> </w:t>
      </w:r>
      <w:r>
        <w:t>reclutados</w:t>
      </w:r>
      <w:r>
        <w:rPr>
          <w:spacing w:val="-10"/>
        </w:rPr>
        <w:t xml:space="preserve"> </w:t>
      </w:r>
      <w:r>
        <w:t>y</w:t>
      </w:r>
      <w:r>
        <w:rPr>
          <w:spacing w:val="-10"/>
        </w:rPr>
        <w:t xml:space="preserve"> </w:t>
      </w:r>
      <w:r>
        <w:t>alrededor</w:t>
      </w:r>
      <w:r>
        <w:rPr>
          <w:spacing w:val="-10"/>
        </w:rPr>
        <w:t xml:space="preserve"> </w:t>
      </w:r>
      <w:r>
        <w:t>de</w:t>
      </w:r>
      <w:r>
        <w:rPr>
          <w:spacing w:val="-10"/>
        </w:rPr>
        <w:t xml:space="preserve"> </w:t>
      </w:r>
      <w:r>
        <w:t>8</w:t>
      </w:r>
      <w:r>
        <w:rPr>
          <w:spacing w:val="-10"/>
        </w:rPr>
        <w:t xml:space="preserve"> </w:t>
      </w:r>
      <w:r>
        <w:t xml:space="preserve">millones de desplazados. Asimismo, de acuerdo con los registros oficiales y el estudio realizado por la Comisión junto con el </w:t>
      </w:r>
      <w:proofErr w:type="spellStart"/>
      <w:r>
        <w:t>Acnur</w:t>
      </w:r>
      <w:proofErr w:type="spellEnd"/>
      <w:r>
        <w:t xml:space="preserve"> para el periodo entre 1982 a 2020, más de un millón de personas que tuvieron que salir del país, buscar protección internacional con diferentes estatus o reconocimiento a diferentes países. Aunque existen muchas zonas grises en estas atribuciones de responsabilidad, y las cadenas de víctimas y responsables se mezclan en ocasiones, esa situación demuestra que establecer esas responsabilidades es algo complejo, pero</w:t>
      </w:r>
      <w:r>
        <w:rPr>
          <w:spacing w:val="7"/>
        </w:rPr>
        <w:t xml:space="preserve"> </w:t>
      </w:r>
      <w:r>
        <w:t>no</w:t>
      </w:r>
      <w:r>
        <w:rPr>
          <w:spacing w:val="9"/>
        </w:rPr>
        <w:t xml:space="preserve"> </w:t>
      </w:r>
      <w:r>
        <w:t>confuso.</w:t>
      </w:r>
      <w:r>
        <w:rPr>
          <w:spacing w:val="9"/>
        </w:rPr>
        <w:t xml:space="preserve"> </w:t>
      </w:r>
      <w:r>
        <w:t>Tantas</w:t>
      </w:r>
      <w:r>
        <w:rPr>
          <w:spacing w:val="8"/>
        </w:rPr>
        <w:t xml:space="preserve"> </w:t>
      </w:r>
      <w:r>
        <w:t>víctimas</w:t>
      </w:r>
      <w:r>
        <w:rPr>
          <w:spacing w:val="10"/>
        </w:rPr>
        <w:t xml:space="preserve"> </w:t>
      </w:r>
      <w:r>
        <w:t>producto</w:t>
      </w:r>
      <w:r>
        <w:rPr>
          <w:spacing w:val="9"/>
        </w:rPr>
        <w:t xml:space="preserve"> </w:t>
      </w:r>
      <w:r>
        <w:t>de</w:t>
      </w:r>
      <w:r>
        <w:rPr>
          <w:spacing w:val="10"/>
        </w:rPr>
        <w:t xml:space="preserve"> </w:t>
      </w:r>
      <w:r>
        <w:t>tantas</w:t>
      </w:r>
      <w:r>
        <w:rPr>
          <w:spacing w:val="10"/>
        </w:rPr>
        <w:t xml:space="preserve"> </w:t>
      </w:r>
      <w:r>
        <w:t>violaciones</w:t>
      </w:r>
      <w:r>
        <w:rPr>
          <w:spacing w:val="10"/>
        </w:rPr>
        <w:t xml:space="preserve"> </w:t>
      </w:r>
      <w:r>
        <w:t>e</w:t>
      </w:r>
      <w:r>
        <w:rPr>
          <w:spacing w:val="10"/>
        </w:rPr>
        <w:t xml:space="preserve"> </w:t>
      </w:r>
      <w:r>
        <w:t>infracciones</w:t>
      </w:r>
      <w:r>
        <w:rPr>
          <w:spacing w:val="10"/>
        </w:rPr>
        <w:t xml:space="preserve"> </w:t>
      </w:r>
      <w:r>
        <w:rPr>
          <w:spacing w:val="-2"/>
        </w:rPr>
        <w:t>perpetradas</w:t>
      </w:r>
      <w:bookmarkStart w:id="315" w:name="_bookmark232"/>
      <w:bookmarkEnd w:id="315"/>
      <w:r w:rsidR="00881DC9">
        <w:rPr>
          <w:spacing w:val="-2"/>
        </w:rPr>
        <w:t xml:space="preserve"> </w:t>
      </w:r>
      <w:r>
        <w:t>por tantos actores armados y con tantos intereses políticos y económicos, incluso con tan altas tasas de impunidad, no logran ocultar dichas responsabilidades.</w:t>
      </w:r>
    </w:p>
    <w:p w:rsidR="003804AC" w:rsidRDefault="00AF18A5" w:rsidP="00881DC9">
      <w:r>
        <w:t xml:space="preserve">La responsabilidad del Estado en el conflicto armado, que debe respetar </w:t>
      </w:r>
      <w:r>
        <w:lastRenderedPageBreak/>
        <w:t>y garantizar los derechos de los colombianos y colombianas y de cualquier persona sujeta a su jurisdicción, se</w:t>
      </w:r>
      <w:r>
        <w:rPr>
          <w:spacing w:val="-1"/>
        </w:rPr>
        <w:t xml:space="preserve"> </w:t>
      </w:r>
      <w:r>
        <w:t>configura</w:t>
      </w:r>
      <w:r>
        <w:rPr>
          <w:spacing w:val="-2"/>
        </w:rPr>
        <w:t xml:space="preserve"> </w:t>
      </w:r>
      <w:r>
        <w:t>tanto</w:t>
      </w:r>
      <w:r>
        <w:rPr>
          <w:spacing w:val="-1"/>
        </w:rPr>
        <w:t xml:space="preserve"> </w:t>
      </w:r>
      <w:r>
        <w:t>por</w:t>
      </w:r>
      <w:r>
        <w:rPr>
          <w:spacing w:val="-1"/>
        </w:rPr>
        <w:t xml:space="preserve"> </w:t>
      </w:r>
      <w:r>
        <w:t>su</w:t>
      </w:r>
      <w:r>
        <w:rPr>
          <w:spacing w:val="-2"/>
        </w:rPr>
        <w:t xml:space="preserve"> </w:t>
      </w:r>
      <w:r>
        <w:t>participación</w:t>
      </w:r>
      <w:r>
        <w:rPr>
          <w:spacing w:val="-1"/>
        </w:rPr>
        <w:t xml:space="preserve"> </w:t>
      </w:r>
      <w:r>
        <w:t>directa</w:t>
      </w:r>
      <w:r>
        <w:rPr>
          <w:spacing w:val="-1"/>
        </w:rPr>
        <w:t xml:space="preserve"> </w:t>
      </w:r>
      <w:r>
        <w:t>en</w:t>
      </w:r>
      <w:r>
        <w:rPr>
          <w:spacing w:val="-1"/>
        </w:rPr>
        <w:t xml:space="preserve"> </w:t>
      </w:r>
      <w:r>
        <w:t>violaciones</w:t>
      </w:r>
      <w:r>
        <w:rPr>
          <w:spacing w:val="-2"/>
        </w:rPr>
        <w:t xml:space="preserve"> </w:t>
      </w:r>
      <w:r>
        <w:t>graves</w:t>
      </w:r>
      <w:r>
        <w:rPr>
          <w:spacing w:val="-1"/>
        </w:rPr>
        <w:t xml:space="preserve"> </w:t>
      </w:r>
      <w:r>
        <w:t>de</w:t>
      </w:r>
      <w:r>
        <w:rPr>
          <w:spacing w:val="-1"/>
        </w:rPr>
        <w:t xml:space="preserve"> </w:t>
      </w:r>
      <w:r>
        <w:t>derechos</w:t>
      </w:r>
      <w:r>
        <w:rPr>
          <w:spacing w:val="-1"/>
        </w:rPr>
        <w:t xml:space="preserve"> </w:t>
      </w:r>
      <w:r>
        <w:t>humanos</w:t>
      </w:r>
      <w:r>
        <w:rPr>
          <w:spacing w:val="-1"/>
        </w:rPr>
        <w:t xml:space="preserve"> </w:t>
      </w:r>
      <w:r>
        <w:t>e infracciones al DIH por miembros de las instituciones, como por su falta de prevención, investigación y sanción de dichas violaciones e infracciones. Dicha responsabilidad no se limita exclusivamente a la fuerza pública en su rol de garante de velar por la seguridad e integridad</w:t>
      </w:r>
      <w:r>
        <w:rPr>
          <w:spacing w:val="-2"/>
        </w:rPr>
        <w:t xml:space="preserve"> </w:t>
      </w:r>
      <w:r>
        <w:t>de</w:t>
      </w:r>
      <w:r>
        <w:rPr>
          <w:spacing w:val="-2"/>
        </w:rPr>
        <w:t xml:space="preserve"> </w:t>
      </w:r>
      <w:r>
        <w:t>los</w:t>
      </w:r>
      <w:r>
        <w:rPr>
          <w:spacing w:val="-2"/>
        </w:rPr>
        <w:t xml:space="preserve"> </w:t>
      </w:r>
      <w:r>
        <w:t>ciudadanos,</w:t>
      </w:r>
      <w:r>
        <w:rPr>
          <w:spacing w:val="-2"/>
        </w:rPr>
        <w:t xml:space="preserve"> </w:t>
      </w:r>
      <w:r>
        <w:t>sino</w:t>
      </w:r>
      <w:r>
        <w:rPr>
          <w:spacing w:val="-2"/>
        </w:rPr>
        <w:t xml:space="preserve"> </w:t>
      </w:r>
      <w:r>
        <w:t>también</w:t>
      </w:r>
      <w:r>
        <w:rPr>
          <w:spacing w:val="-2"/>
        </w:rPr>
        <w:t xml:space="preserve"> </w:t>
      </w:r>
      <w:r>
        <w:t>se</w:t>
      </w:r>
      <w:r>
        <w:rPr>
          <w:spacing w:val="-2"/>
        </w:rPr>
        <w:t xml:space="preserve"> </w:t>
      </w:r>
      <w:r>
        <w:t>extiende</w:t>
      </w:r>
      <w:r>
        <w:rPr>
          <w:spacing w:val="-2"/>
        </w:rPr>
        <w:t xml:space="preserve"> </w:t>
      </w:r>
      <w:r>
        <w:t>a</w:t>
      </w:r>
      <w:r>
        <w:rPr>
          <w:spacing w:val="-2"/>
        </w:rPr>
        <w:t xml:space="preserve"> </w:t>
      </w:r>
      <w:r>
        <w:t>otros</w:t>
      </w:r>
      <w:r>
        <w:rPr>
          <w:spacing w:val="-3"/>
        </w:rPr>
        <w:t xml:space="preserve"> </w:t>
      </w:r>
      <w:r>
        <w:t>agentes</w:t>
      </w:r>
      <w:r>
        <w:rPr>
          <w:spacing w:val="-2"/>
        </w:rPr>
        <w:t xml:space="preserve"> </w:t>
      </w:r>
      <w:r>
        <w:t>del</w:t>
      </w:r>
      <w:r>
        <w:rPr>
          <w:spacing w:val="-3"/>
        </w:rPr>
        <w:t xml:space="preserve"> </w:t>
      </w:r>
      <w:r>
        <w:t>Estado.</w:t>
      </w:r>
      <w:r>
        <w:rPr>
          <w:spacing w:val="-2"/>
        </w:rPr>
        <w:t xml:space="preserve"> </w:t>
      </w:r>
      <w:r>
        <w:t>En</w:t>
      </w:r>
      <w:r>
        <w:rPr>
          <w:spacing w:val="-2"/>
        </w:rPr>
        <w:t xml:space="preserve"> </w:t>
      </w:r>
      <w:r>
        <w:t>la</w:t>
      </w:r>
      <w:r>
        <w:rPr>
          <w:spacing w:val="-2"/>
        </w:rPr>
        <w:t xml:space="preserve"> </w:t>
      </w:r>
      <w:r>
        <w:t>JEP se encuentran más de 500 comparecientes miembros del ejército responsables de participar en</w:t>
      </w:r>
      <w:r>
        <w:rPr>
          <w:spacing w:val="65"/>
        </w:rPr>
        <w:t xml:space="preserve"> </w:t>
      </w:r>
      <w:r>
        <w:t>las</w:t>
      </w:r>
      <w:r>
        <w:rPr>
          <w:spacing w:val="67"/>
        </w:rPr>
        <w:t xml:space="preserve"> </w:t>
      </w:r>
      <w:r>
        <w:t>ejecuciones</w:t>
      </w:r>
      <w:r>
        <w:rPr>
          <w:spacing w:val="67"/>
        </w:rPr>
        <w:t xml:space="preserve"> </w:t>
      </w:r>
      <w:r>
        <w:t>extrajudiciales</w:t>
      </w:r>
      <w:r>
        <w:rPr>
          <w:spacing w:val="66"/>
        </w:rPr>
        <w:t xml:space="preserve"> </w:t>
      </w:r>
      <w:r>
        <w:t>de</w:t>
      </w:r>
      <w:r>
        <w:rPr>
          <w:spacing w:val="68"/>
        </w:rPr>
        <w:t xml:space="preserve"> </w:t>
      </w:r>
      <w:r>
        <w:t>civiles</w:t>
      </w:r>
      <w:r>
        <w:rPr>
          <w:spacing w:val="66"/>
        </w:rPr>
        <w:t xml:space="preserve"> </w:t>
      </w:r>
      <w:r>
        <w:t>presentadas</w:t>
      </w:r>
      <w:r>
        <w:rPr>
          <w:spacing w:val="67"/>
        </w:rPr>
        <w:t xml:space="preserve"> </w:t>
      </w:r>
      <w:r>
        <w:t>de</w:t>
      </w:r>
      <w:r>
        <w:rPr>
          <w:spacing w:val="67"/>
        </w:rPr>
        <w:t xml:space="preserve"> </w:t>
      </w:r>
      <w:r>
        <w:t>manera</w:t>
      </w:r>
      <w:r>
        <w:rPr>
          <w:spacing w:val="67"/>
        </w:rPr>
        <w:t xml:space="preserve"> </w:t>
      </w:r>
      <w:r>
        <w:t>fraudulenta</w:t>
      </w:r>
      <w:r>
        <w:rPr>
          <w:spacing w:val="68"/>
        </w:rPr>
        <w:t xml:space="preserve"> </w:t>
      </w:r>
      <w:r>
        <w:rPr>
          <w:spacing w:val="-4"/>
        </w:rPr>
        <w:t>como</w:t>
      </w:r>
    </w:p>
    <w:p w:rsidR="003804AC" w:rsidRDefault="00AF18A5" w:rsidP="00881DC9">
      <w:r>
        <w:t>«muertes</w:t>
      </w:r>
      <w:r>
        <w:rPr>
          <w:spacing w:val="-4"/>
        </w:rPr>
        <w:t xml:space="preserve"> </w:t>
      </w:r>
      <w:r>
        <w:t>en</w:t>
      </w:r>
      <w:r>
        <w:rPr>
          <w:spacing w:val="-7"/>
        </w:rPr>
        <w:t xml:space="preserve"> </w:t>
      </w:r>
      <w:r>
        <w:t>combate»,</w:t>
      </w:r>
      <w:r>
        <w:rPr>
          <w:spacing w:val="-5"/>
        </w:rPr>
        <w:t xml:space="preserve"> </w:t>
      </w:r>
      <w:r>
        <w:t>especialmente</w:t>
      </w:r>
      <w:r>
        <w:rPr>
          <w:spacing w:val="-4"/>
        </w:rPr>
        <w:t xml:space="preserve"> </w:t>
      </w:r>
      <w:r>
        <w:t>entre</w:t>
      </w:r>
      <w:r>
        <w:rPr>
          <w:spacing w:val="-4"/>
        </w:rPr>
        <w:t xml:space="preserve"> </w:t>
      </w:r>
      <w:r>
        <w:t>2002-2008,</w:t>
      </w:r>
      <w:r>
        <w:rPr>
          <w:spacing w:val="-5"/>
        </w:rPr>
        <w:t xml:space="preserve"> </w:t>
      </w:r>
      <w:r>
        <w:t>y</w:t>
      </w:r>
      <w:r>
        <w:rPr>
          <w:spacing w:val="-5"/>
        </w:rPr>
        <w:t xml:space="preserve"> </w:t>
      </w:r>
      <w:r>
        <w:t>la</w:t>
      </w:r>
      <w:r>
        <w:rPr>
          <w:spacing w:val="-6"/>
        </w:rPr>
        <w:t xml:space="preserve"> </w:t>
      </w:r>
      <w:r>
        <w:t>Comisión</w:t>
      </w:r>
      <w:r>
        <w:rPr>
          <w:spacing w:val="-6"/>
        </w:rPr>
        <w:t xml:space="preserve"> </w:t>
      </w:r>
      <w:r>
        <w:t>señala</w:t>
      </w:r>
      <w:r>
        <w:rPr>
          <w:spacing w:val="-4"/>
        </w:rPr>
        <w:t xml:space="preserve"> </w:t>
      </w:r>
      <w:r>
        <w:t>que</w:t>
      </w:r>
      <w:r>
        <w:rPr>
          <w:spacing w:val="-6"/>
        </w:rPr>
        <w:t xml:space="preserve"> </w:t>
      </w:r>
      <w:r>
        <w:t>no</w:t>
      </w:r>
      <w:r>
        <w:rPr>
          <w:spacing w:val="-6"/>
        </w:rPr>
        <w:t xml:space="preserve"> </w:t>
      </w:r>
      <w:r>
        <w:t>se</w:t>
      </w:r>
      <w:r>
        <w:rPr>
          <w:spacing w:val="-4"/>
        </w:rPr>
        <w:t xml:space="preserve"> </w:t>
      </w:r>
      <w:r>
        <w:t>trata de casos aislados o responsabilidades individuales de un número elevado de militares, sino que incluye también responsabilidad institucional de las Fuerzas Armadas en esos casos. También</w:t>
      </w:r>
      <w:r>
        <w:rPr>
          <w:spacing w:val="-5"/>
        </w:rPr>
        <w:t xml:space="preserve"> </w:t>
      </w:r>
      <w:r>
        <w:t>existe</w:t>
      </w:r>
      <w:r>
        <w:rPr>
          <w:spacing w:val="-4"/>
        </w:rPr>
        <w:t xml:space="preserve"> </w:t>
      </w:r>
      <w:r>
        <w:t>responsabilidad</w:t>
      </w:r>
      <w:r>
        <w:rPr>
          <w:spacing w:val="-5"/>
        </w:rPr>
        <w:t xml:space="preserve"> </w:t>
      </w:r>
      <w:r>
        <w:t>institucional</w:t>
      </w:r>
      <w:r>
        <w:rPr>
          <w:spacing w:val="-4"/>
        </w:rPr>
        <w:t xml:space="preserve"> </w:t>
      </w:r>
      <w:r>
        <w:t>en</w:t>
      </w:r>
      <w:r>
        <w:rPr>
          <w:spacing w:val="-5"/>
        </w:rPr>
        <w:t xml:space="preserve"> </w:t>
      </w:r>
      <w:r>
        <w:t>algunos</w:t>
      </w:r>
      <w:r>
        <w:rPr>
          <w:spacing w:val="-4"/>
        </w:rPr>
        <w:t xml:space="preserve"> </w:t>
      </w:r>
      <w:r>
        <w:t>magnicidios</w:t>
      </w:r>
      <w:r>
        <w:rPr>
          <w:spacing w:val="-4"/>
        </w:rPr>
        <w:t xml:space="preserve"> </w:t>
      </w:r>
      <w:r>
        <w:t>y</w:t>
      </w:r>
      <w:r>
        <w:rPr>
          <w:spacing w:val="-5"/>
        </w:rPr>
        <w:t xml:space="preserve"> </w:t>
      </w:r>
      <w:r>
        <w:t>atentados</w:t>
      </w:r>
      <w:r>
        <w:rPr>
          <w:spacing w:val="-4"/>
        </w:rPr>
        <w:t xml:space="preserve"> </w:t>
      </w:r>
      <w:r>
        <w:t>en</w:t>
      </w:r>
      <w:r>
        <w:rPr>
          <w:spacing w:val="-5"/>
        </w:rPr>
        <w:t xml:space="preserve"> </w:t>
      </w:r>
      <w:r>
        <w:t>su</w:t>
      </w:r>
      <w:r>
        <w:rPr>
          <w:spacing w:val="-5"/>
        </w:rPr>
        <w:t xml:space="preserve"> </w:t>
      </w:r>
      <w:r>
        <w:t>nexo con el accionar de grupos paramilitares, además, se destacan las responsabilidades de otras autoridades públicas, como aquellos que entorpecieron precisamente la investigación y sanción de graves violaciones e infracciones.</w:t>
      </w:r>
    </w:p>
    <w:p w:rsidR="003804AC" w:rsidRDefault="00AF18A5" w:rsidP="00881DC9">
      <w:r>
        <w:t>La</w:t>
      </w:r>
      <w:r>
        <w:rPr>
          <w:spacing w:val="-15"/>
        </w:rPr>
        <w:t xml:space="preserve"> </w:t>
      </w:r>
      <w:r>
        <w:t>impunidad</w:t>
      </w:r>
      <w:r>
        <w:rPr>
          <w:spacing w:val="-15"/>
        </w:rPr>
        <w:t xml:space="preserve"> </w:t>
      </w:r>
      <w:r>
        <w:t>ha</w:t>
      </w:r>
      <w:r>
        <w:rPr>
          <w:spacing w:val="-15"/>
        </w:rPr>
        <w:t xml:space="preserve"> </w:t>
      </w:r>
      <w:r>
        <w:t>favorecido,</w:t>
      </w:r>
      <w:r>
        <w:rPr>
          <w:spacing w:val="-15"/>
        </w:rPr>
        <w:t xml:space="preserve"> </w:t>
      </w:r>
      <w:r>
        <w:t>entre</w:t>
      </w:r>
      <w:r>
        <w:rPr>
          <w:spacing w:val="-15"/>
        </w:rPr>
        <w:t xml:space="preserve"> </w:t>
      </w:r>
      <w:r>
        <w:t>otros</w:t>
      </w:r>
      <w:r>
        <w:rPr>
          <w:spacing w:val="-15"/>
        </w:rPr>
        <w:t xml:space="preserve"> </w:t>
      </w:r>
      <w:r>
        <w:t>efectos,</w:t>
      </w:r>
      <w:r>
        <w:rPr>
          <w:spacing w:val="-15"/>
        </w:rPr>
        <w:t xml:space="preserve"> </w:t>
      </w:r>
      <w:r>
        <w:t>la</w:t>
      </w:r>
      <w:r>
        <w:rPr>
          <w:spacing w:val="-15"/>
        </w:rPr>
        <w:t xml:space="preserve"> </w:t>
      </w:r>
      <w:r>
        <w:t>persistencia</w:t>
      </w:r>
      <w:r>
        <w:rPr>
          <w:spacing w:val="-15"/>
        </w:rPr>
        <w:t xml:space="preserve"> </w:t>
      </w:r>
      <w:r>
        <w:t>de</w:t>
      </w:r>
      <w:r>
        <w:rPr>
          <w:spacing w:val="-15"/>
        </w:rPr>
        <w:t xml:space="preserve"> </w:t>
      </w:r>
      <w:r>
        <w:t>violaciones</w:t>
      </w:r>
      <w:r>
        <w:rPr>
          <w:spacing w:val="-15"/>
        </w:rPr>
        <w:t xml:space="preserve"> </w:t>
      </w:r>
      <w:r>
        <w:t>de</w:t>
      </w:r>
      <w:r>
        <w:rPr>
          <w:spacing w:val="-15"/>
        </w:rPr>
        <w:t xml:space="preserve"> </w:t>
      </w:r>
      <w:r>
        <w:t>derechos humanos, así como de crímenes de guerra y de lesa humanidad. La Fiscalía General de la Nación en no pocas ocasiones ha sido omisiva en la investigación y acusación de graves violaciones de los derechos humanos e infracciones al DIH de los que se han beneficiado actores</w:t>
      </w:r>
      <w:r>
        <w:rPr>
          <w:spacing w:val="-2"/>
        </w:rPr>
        <w:t xml:space="preserve"> </w:t>
      </w:r>
      <w:r>
        <w:t>armados,</w:t>
      </w:r>
      <w:r>
        <w:rPr>
          <w:spacing w:val="-2"/>
        </w:rPr>
        <w:t xml:space="preserve"> </w:t>
      </w:r>
      <w:r>
        <w:t>algunas</w:t>
      </w:r>
      <w:r>
        <w:rPr>
          <w:spacing w:val="-3"/>
        </w:rPr>
        <w:t xml:space="preserve"> </w:t>
      </w:r>
      <w:r>
        <w:t>empresas</w:t>
      </w:r>
      <w:r>
        <w:rPr>
          <w:spacing w:val="-2"/>
        </w:rPr>
        <w:t xml:space="preserve"> </w:t>
      </w:r>
      <w:r>
        <w:t>nacionales,</w:t>
      </w:r>
      <w:r>
        <w:rPr>
          <w:spacing w:val="-2"/>
        </w:rPr>
        <w:t xml:space="preserve"> </w:t>
      </w:r>
      <w:r>
        <w:t>multinacionales,</w:t>
      </w:r>
      <w:r>
        <w:rPr>
          <w:spacing w:val="-2"/>
        </w:rPr>
        <w:t xml:space="preserve"> </w:t>
      </w:r>
      <w:r>
        <w:t>actores</w:t>
      </w:r>
      <w:r>
        <w:rPr>
          <w:spacing w:val="-2"/>
        </w:rPr>
        <w:t xml:space="preserve"> </w:t>
      </w:r>
      <w:r>
        <w:t>políticos</w:t>
      </w:r>
      <w:r>
        <w:rPr>
          <w:spacing w:val="-2"/>
        </w:rPr>
        <w:t xml:space="preserve"> </w:t>
      </w:r>
      <w:r>
        <w:t>y</w:t>
      </w:r>
      <w:r>
        <w:rPr>
          <w:spacing w:val="-3"/>
        </w:rPr>
        <w:t xml:space="preserve"> </w:t>
      </w:r>
      <w:r>
        <w:t>terceros. Por</w:t>
      </w:r>
      <w:r>
        <w:rPr>
          <w:spacing w:val="-13"/>
        </w:rPr>
        <w:t xml:space="preserve"> </w:t>
      </w:r>
      <w:r>
        <w:t>el</w:t>
      </w:r>
      <w:r>
        <w:rPr>
          <w:spacing w:val="-13"/>
        </w:rPr>
        <w:t xml:space="preserve"> </w:t>
      </w:r>
      <w:r>
        <w:t>momento,</w:t>
      </w:r>
      <w:r>
        <w:rPr>
          <w:spacing w:val="-13"/>
        </w:rPr>
        <w:t xml:space="preserve"> </w:t>
      </w:r>
      <w:r>
        <w:t>la</w:t>
      </w:r>
      <w:r>
        <w:rPr>
          <w:spacing w:val="-13"/>
        </w:rPr>
        <w:t xml:space="preserve"> </w:t>
      </w:r>
      <w:r>
        <w:t>investigación</w:t>
      </w:r>
      <w:r>
        <w:rPr>
          <w:spacing w:val="-13"/>
        </w:rPr>
        <w:t xml:space="preserve"> </w:t>
      </w:r>
      <w:r>
        <w:t>y</w:t>
      </w:r>
      <w:r>
        <w:rPr>
          <w:spacing w:val="-13"/>
        </w:rPr>
        <w:t xml:space="preserve"> </w:t>
      </w:r>
      <w:r>
        <w:t>judicialización</w:t>
      </w:r>
      <w:r>
        <w:rPr>
          <w:spacing w:val="-14"/>
        </w:rPr>
        <w:t xml:space="preserve"> </w:t>
      </w:r>
      <w:r>
        <w:t>contra</w:t>
      </w:r>
      <w:r>
        <w:rPr>
          <w:spacing w:val="-13"/>
        </w:rPr>
        <w:t xml:space="preserve"> </w:t>
      </w:r>
      <w:r>
        <w:t>sus</w:t>
      </w:r>
      <w:r>
        <w:rPr>
          <w:spacing w:val="-13"/>
        </w:rPr>
        <w:t xml:space="preserve"> </w:t>
      </w:r>
      <w:r>
        <w:t>responsables</w:t>
      </w:r>
      <w:r>
        <w:rPr>
          <w:spacing w:val="-13"/>
        </w:rPr>
        <w:t xml:space="preserve"> </w:t>
      </w:r>
      <w:r>
        <w:t>se</w:t>
      </w:r>
      <w:r>
        <w:rPr>
          <w:spacing w:val="-13"/>
        </w:rPr>
        <w:t xml:space="preserve"> </w:t>
      </w:r>
      <w:r>
        <w:t>limita</w:t>
      </w:r>
      <w:r>
        <w:rPr>
          <w:spacing w:val="-13"/>
        </w:rPr>
        <w:t xml:space="preserve"> </w:t>
      </w:r>
      <w:r>
        <w:t>a</w:t>
      </w:r>
      <w:r>
        <w:rPr>
          <w:spacing w:val="-13"/>
        </w:rPr>
        <w:t xml:space="preserve"> </w:t>
      </w:r>
      <w:r>
        <w:t xml:space="preserve">algunas </w:t>
      </w:r>
      <w:r>
        <w:lastRenderedPageBreak/>
        <w:t>investigaciones archivadas, estancadas o refundidas, o a algunas sentencias dictadas por la justicia ordinaria o justicia transicional.</w:t>
      </w:r>
    </w:p>
    <w:p w:rsidR="003804AC" w:rsidRDefault="00AF18A5" w:rsidP="00881DC9">
      <w:r>
        <w:t>Son</w:t>
      </w:r>
      <w:r>
        <w:rPr>
          <w:spacing w:val="-14"/>
        </w:rPr>
        <w:t xml:space="preserve"> </w:t>
      </w:r>
      <w:r>
        <w:t>preocupantes</w:t>
      </w:r>
      <w:r>
        <w:rPr>
          <w:spacing w:val="-14"/>
        </w:rPr>
        <w:t xml:space="preserve"> </w:t>
      </w:r>
      <w:r>
        <w:t>los</w:t>
      </w:r>
      <w:r>
        <w:rPr>
          <w:spacing w:val="-14"/>
        </w:rPr>
        <w:t xml:space="preserve"> </w:t>
      </w:r>
      <w:r>
        <w:t>ataques</w:t>
      </w:r>
      <w:r>
        <w:rPr>
          <w:spacing w:val="-14"/>
        </w:rPr>
        <w:t xml:space="preserve"> </w:t>
      </w:r>
      <w:r>
        <w:t>a</w:t>
      </w:r>
      <w:r>
        <w:rPr>
          <w:spacing w:val="-14"/>
        </w:rPr>
        <w:t xml:space="preserve"> </w:t>
      </w:r>
      <w:r>
        <w:t>los</w:t>
      </w:r>
      <w:r>
        <w:rPr>
          <w:spacing w:val="-14"/>
        </w:rPr>
        <w:t xml:space="preserve"> </w:t>
      </w:r>
      <w:r>
        <w:t>procesos</w:t>
      </w:r>
      <w:r>
        <w:rPr>
          <w:spacing w:val="-14"/>
        </w:rPr>
        <w:t xml:space="preserve"> </w:t>
      </w:r>
      <w:r>
        <w:t>de</w:t>
      </w:r>
      <w:r>
        <w:rPr>
          <w:spacing w:val="-14"/>
        </w:rPr>
        <w:t xml:space="preserve"> </w:t>
      </w:r>
      <w:r>
        <w:t>esclarecimiento</w:t>
      </w:r>
      <w:r>
        <w:rPr>
          <w:spacing w:val="-14"/>
        </w:rPr>
        <w:t xml:space="preserve"> </w:t>
      </w:r>
      <w:r>
        <w:t>de</w:t>
      </w:r>
      <w:r>
        <w:rPr>
          <w:spacing w:val="-14"/>
        </w:rPr>
        <w:t xml:space="preserve"> </w:t>
      </w:r>
      <w:r>
        <w:t>los</w:t>
      </w:r>
      <w:r>
        <w:rPr>
          <w:spacing w:val="-14"/>
        </w:rPr>
        <w:t xml:space="preserve"> </w:t>
      </w:r>
      <w:r>
        <w:t>crímenes</w:t>
      </w:r>
      <w:r>
        <w:rPr>
          <w:spacing w:val="-14"/>
        </w:rPr>
        <w:t xml:space="preserve"> </w:t>
      </w:r>
      <w:r>
        <w:t>cometidos en el marco del conflicto armado, al amenazar o asesinar a los comparecientes y sus familiares</w:t>
      </w:r>
      <w:r>
        <w:rPr>
          <w:spacing w:val="-10"/>
        </w:rPr>
        <w:t xml:space="preserve"> </w:t>
      </w:r>
      <w:r>
        <w:t>por</w:t>
      </w:r>
      <w:r>
        <w:rPr>
          <w:spacing w:val="-8"/>
        </w:rPr>
        <w:t xml:space="preserve"> </w:t>
      </w:r>
      <w:r>
        <w:t>la</w:t>
      </w:r>
      <w:r>
        <w:rPr>
          <w:spacing w:val="-8"/>
        </w:rPr>
        <w:t xml:space="preserve"> </w:t>
      </w:r>
      <w:r>
        <w:t>verdad</w:t>
      </w:r>
      <w:r>
        <w:rPr>
          <w:spacing w:val="-9"/>
        </w:rPr>
        <w:t xml:space="preserve"> </w:t>
      </w:r>
      <w:r>
        <w:t>que</w:t>
      </w:r>
      <w:r>
        <w:rPr>
          <w:spacing w:val="-8"/>
        </w:rPr>
        <w:t xml:space="preserve"> </w:t>
      </w:r>
      <w:r>
        <w:t>han</w:t>
      </w:r>
      <w:r>
        <w:rPr>
          <w:spacing w:val="-8"/>
        </w:rPr>
        <w:t xml:space="preserve"> </w:t>
      </w:r>
      <w:r>
        <w:t>contado</w:t>
      </w:r>
      <w:r>
        <w:rPr>
          <w:spacing w:val="-9"/>
        </w:rPr>
        <w:t xml:space="preserve"> </w:t>
      </w:r>
      <w:r>
        <w:t>al</w:t>
      </w:r>
      <w:r>
        <w:rPr>
          <w:spacing w:val="-8"/>
        </w:rPr>
        <w:t xml:space="preserve"> </w:t>
      </w:r>
      <w:r>
        <w:t>país.</w:t>
      </w:r>
      <w:r>
        <w:rPr>
          <w:spacing w:val="-10"/>
        </w:rPr>
        <w:t xml:space="preserve"> </w:t>
      </w:r>
      <w:r>
        <w:t>También</w:t>
      </w:r>
      <w:r>
        <w:rPr>
          <w:spacing w:val="-9"/>
        </w:rPr>
        <w:t xml:space="preserve"> </w:t>
      </w:r>
      <w:r>
        <w:t>el</w:t>
      </w:r>
      <w:r>
        <w:rPr>
          <w:spacing w:val="-8"/>
        </w:rPr>
        <w:t xml:space="preserve"> </w:t>
      </w:r>
      <w:r>
        <w:t>asesinato</w:t>
      </w:r>
      <w:r>
        <w:rPr>
          <w:spacing w:val="-9"/>
        </w:rPr>
        <w:t xml:space="preserve"> </w:t>
      </w:r>
      <w:r>
        <w:t>de</w:t>
      </w:r>
      <w:r>
        <w:rPr>
          <w:spacing w:val="-10"/>
        </w:rPr>
        <w:t xml:space="preserve"> </w:t>
      </w:r>
      <w:r>
        <w:t>líderes</w:t>
      </w:r>
      <w:r>
        <w:rPr>
          <w:spacing w:val="-8"/>
        </w:rPr>
        <w:t xml:space="preserve"> </w:t>
      </w:r>
      <w:r>
        <w:t>tras</w:t>
      </w:r>
      <w:r>
        <w:rPr>
          <w:spacing w:val="-8"/>
        </w:rPr>
        <w:t xml:space="preserve"> </w:t>
      </w:r>
      <w:r>
        <w:t>la</w:t>
      </w:r>
      <w:r>
        <w:rPr>
          <w:spacing w:val="-7"/>
        </w:rPr>
        <w:t xml:space="preserve"> </w:t>
      </w:r>
      <w:r>
        <w:rPr>
          <w:spacing w:val="-2"/>
        </w:rPr>
        <w:t>firma</w:t>
      </w:r>
      <w:r w:rsidR="00881DC9">
        <w:rPr>
          <w:spacing w:val="-2"/>
        </w:rPr>
        <w:t xml:space="preserve"> </w:t>
      </w:r>
      <w:r>
        <w:t>del acuerdo de paz con las FARC-EP. Esto limita el acceso a la verdad, la reconciliación genuina de la sociedad y las garantías de no repetición.</w:t>
      </w:r>
    </w:p>
    <w:p w:rsidR="003804AC" w:rsidRDefault="00AF18A5" w:rsidP="00881DC9">
      <w:r>
        <w:t>El Estado colombiano también compromete su responsabilidad por la existencia del paramilitarismo y por el accionar de estos grupos. Aunque hasta finales de la década de los ochenta los grupos paramilitares actuaron como agentes del Estado, en razón de las autorizaciones</w:t>
      </w:r>
      <w:r>
        <w:rPr>
          <w:spacing w:val="-8"/>
        </w:rPr>
        <w:t xml:space="preserve"> </w:t>
      </w:r>
      <w:r>
        <w:t>legales</w:t>
      </w:r>
      <w:r>
        <w:rPr>
          <w:spacing w:val="-8"/>
        </w:rPr>
        <w:t xml:space="preserve"> </w:t>
      </w:r>
      <w:r>
        <w:t>existentes</w:t>
      </w:r>
      <w:r>
        <w:rPr>
          <w:spacing w:val="-8"/>
        </w:rPr>
        <w:t xml:space="preserve"> </w:t>
      </w:r>
      <w:r>
        <w:t>para</w:t>
      </w:r>
      <w:r>
        <w:rPr>
          <w:spacing w:val="-9"/>
        </w:rPr>
        <w:t xml:space="preserve"> </w:t>
      </w:r>
      <w:r>
        <w:t>su</w:t>
      </w:r>
      <w:r>
        <w:rPr>
          <w:spacing w:val="-8"/>
        </w:rPr>
        <w:t xml:space="preserve"> </w:t>
      </w:r>
      <w:r>
        <w:t>conformación</w:t>
      </w:r>
      <w:r>
        <w:rPr>
          <w:spacing w:val="-8"/>
        </w:rPr>
        <w:t xml:space="preserve"> </w:t>
      </w:r>
      <w:r>
        <w:t>y</w:t>
      </w:r>
      <w:r>
        <w:rPr>
          <w:spacing w:val="-8"/>
        </w:rPr>
        <w:t xml:space="preserve"> </w:t>
      </w:r>
      <w:r>
        <w:t>funcionamiento,</w:t>
      </w:r>
      <w:r>
        <w:rPr>
          <w:spacing w:val="-9"/>
        </w:rPr>
        <w:t xml:space="preserve"> </w:t>
      </w:r>
      <w:r>
        <w:t>así</w:t>
      </w:r>
      <w:r>
        <w:rPr>
          <w:spacing w:val="-8"/>
        </w:rPr>
        <w:t xml:space="preserve"> </w:t>
      </w:r>
      <w:r>
        <w:t>como</w:t>
      </w:r>
      <w:r>
        <w:rPr>
          <w:spacing w:val="-8"/>
        </w:rPr>
        <w:t xml:space="preserve"> </w:t>
      </w:r>
      <w:r>
        <w:t xml:space="preserve">contaron con cobertura legal entre 1995-1997 con el funcionamiento de las Convivir. A partir de finales de la década de los noventa y en dos mil que algunos miembros de la fuerza pública </w:t>
      </w:r>
      <w:r>
        <w:rPr>
          <w:spacing w:val="-2"/>
        </w:rPr>
        <w:t xml:space="preserve">actuaron conjuntamente con grupos paramilitares en supuestas operaciones contrainsurgentes </w:t>
      </w:r>
      <w:r>
        <w:t>que</w:t>
      </w:r>
      <w:r>
        <w:rPr>
          <w:spacing w:val="-2"/>
        </w:rPr>
        <w:t xml:space="preserve"> </w:t>
      </w:r>
      <w:r>
        <w:t>generaron</w:t>
      </w:r>
      <w:r>
        <w:rPr>
          <w:spacing w:val="-2"/>
        </w:rPr>
        <w:t xml:space="preserve"> </w:t>
      </w:r>
      <w:r>
        <w:t>graves</w:t>
      </w:r>
      <w:r>
        <w:rPr>
          <w:spacing w:val="-2"/>
        </w:rPr>
        <w:t xml:space="preserve"> </w:t>
      </w:r>
      <w:r>
        <w:t>violaciones</w:t>
      </w:r>
      <w:r>
        <w:rPr>
          <w:spacing w:val="-2"/>
        </w:rPr>
        <w:t xml:space="preserve"> </w:t>
      </w:r>
      <w:r>
        <w:t>de</w:t>
      </w:r>
      <w:r>
        <w:rPr>
          <w:spacing w:val="-3"/>
        </w:rPr>
        <w:t xml:space="preserve"> </w:t>
      </w:r>
      <w:r>
        <w:t>derechos</w:t>
      </w:r>
      <w:r>
        <w:rPr>
          <w:spacing w:val="-2"/>
        </w:rPr>
        <w:t xml:space="preserve"> </w:t>
      </w:r>
      <w:r>
        <w:t>humanos</w:t>
      </w:r>
      <w:r>
        <w:rPr>
          <w:spacing w:val="-2"/>
        </w:rPr>
        <w:t xml:space="preserve"> </w:t>
      </w:r>
      <w:r>
        <w:t>e</w:t>
      </w:r>
      <w:r>
        <w:rPr>
          <w:spacing w:val="-2"/>
        </w:rPr>
        <w:t xml:space="preserve"> </w:t>
      </w:r>
      <w:r>
        <w:t>infracciones</w:t>
      </w:r>
      <w:r>
        <w:rPr>
          <w:spacing w:val="-2"/>
        </w:rPr>
        <w:t xml:space="preserve"> </w:t>
      </w:r>
      <w:r>
        <w:t>al</w:t>
      </w:r>
      <w:r>
        <w:rPr>
          <w:spacing w:val="-2"/>
        </w:rPr>
        <w:t xml:space="preserve"> </w:t>
      </w:r>
      <w:r>
        <w:t>DIH.</w:t>
      </w:r>
      <w:r>
        <w:rPr>
          <w:spacing w:val="-2"/>
        </w:rPr>
        <w:t xml:space="preserve"> </w:t>
      </w:r>
      <w:r>
        <w:t>A</w:t>
      </w:r>
      <w:r>
        <w:rPr>
          <w:spacing w:val="-2"/>
        </w:rPr>
        <w:t xml:space="preserve"> </w:t>
      </w:r>
      <w:r>
        <w:t>pesar</w:t>
      </w:r>
      <w:r>
        <w:rPr>
          <w:spacing w:val="-2"/>
        </w:rPr>
        <w:t xml:space="preserve"> </w:t>
      </w:r>
      <w:r>
        <w:t>de</w:t>
      </w:r>
      <w:r>
        <w:rPr>
          <w:spacing w:val="-2"/>
        </w:rPr>
        <w:t xml:space="preserve"> </w:t>
      </w:r>
      <w:r>
        <w:t>la cantidad</w:t>
      </w:r>
      <w:r>
        <w:rPr>
          <w:spacing w:val="-5"/>
        </w:rPr>
        <w:t xml:space="preserve"> </w:t>
      </w:r>
      <w:r>
        <w:t>de</w:t>
      </w:r>
      <w:r>
        <w:rPr>
          <w:spacing w:val="-4"/>
        </w:rPr>
        <w:t xml:space="preserve"> </w:t>
      </w:r>
      <w:r>
        <w:t>denuncias</w:t>
      </w:r>
      <w:r>
        <w:rPr>
          <w:spacing w:val="-4"/>
        </w:rPr>
        <w:t xml:space="preserve"> </w:t>
      </w:r>
      <w:r>
        <w:t>que</w:t>
      </w:r>
      <w:r>
        <w:rPr>
          <w:spacing w:val="-4"/>
        </w:rPr>
        <w:t xml:space="preserve"> </w:t>
      </w:r>
      <w:r>
        <w:t>trataron</w:t>
      </w:r>
      <w:r>
        <w:rPr>
          <w:spacing w:val="-5"/>
        </w:rPr>
        <w:t xml:space="preserve"> </w:t>
      </w:r>
      <w:r>
        <w:t>de</w:t>
      </w:r>
      <w:r>
        <w:rPr>
          <w:spacing w:val="-4"/>
        </w:rPr>
        <w:t xml:space="preserve"> </w:t>
      </w:r>
      <w:r>
        <w:t>enfrentar</w:t>
      </w:r>
      <w:r>
        <w:rPr>
          <w:spacing w:val="-5"/>
        </w:rPr>
        <w:t xml:space="preserve"> </w:t>
      </w:r>
      <w:r>
        <w:t>los</w:t>
      </w:r>
      <w:r>
        <w:rPr>
          <w:spacing w:val="-5"/>
        </w:rPr>
        <w:t xml:space="preserve"> </w:t>
      </w:r>
      <w:r>
        <w:t>hechos,</w:t>
      </w:r>
      <w:r>
        <w:rPr>
          <w:spacing w:val="-5"/>
        </w:rPr>
        <w:t xml:space="preserve"> </w:t>
      </w:r>
      <w:r>
        <w:t>el</w:t>
      </w:r>
      <w:r>
        <w:rPr>
          <w:spacing w:val="-4"/>
        </w:rPr>
        <w:t xml:space="preserve"> </w:t>
      </w:r>
      <w:r>
        <w:t>negacionismo</w:t>
      </w:r>
      <w:r>
        <w:rPr>
          <w:spacing w:val="-5"/>
        </w:rPr>
        <w:t xml:space="preserve"> </w:t>
      </w:r>
      <w:r>
        <w:t>de</w:t>
      </w:r>
      <w:r>
        <w:rPr>
          <w:spacing w:val="-4"/>
        </w:rPr>
        <w:t xml:space="preserve"> </w:t>
      </w:r>
      <w:r>
        <w:t>esta</w:t>
      </w:r>
      <w:r>
        <w:rPr>
          <w:spacing w:val="-4"/>
        </w:rPr>
        <w:t xml:space="preserve"> </w:t>
      </w:r>
      <w:r>
        <w:t>realidad se convirtió en un factor de la persistencia del paramilitarismo y su extensión en el país.</w:t>
      </w:r>
    </w:p>
    <w:p w:rsidR="003804AC" w:rsidRDefault="00AF18A5" w:rsidP="00881DC9">
      <w:r>
        <w:t>El paramilitarismo no se trató de simples grupos armados ilegales o ejércitos privados. Fue un entramado de relaciones estrechas entre diversos sectores del narcotráfico, la economía legal e ilegal, el Estado y sectores políticos y empresariales de la sociedad civil, desde el orden regional y nacional, que contribuyeron en su creación, funcionamiento y expansión,</w:t>
      </w:r>
      <w:r>
        <w:rPr>
          <w:spacing w:val="-8"/>
        </w:rPr>
        <w:t xml:space="preserve"> </w:t>
      </w:r>
      <w:r>
        <w:t>con</w:t>
      </w:r>
      <w:r>
        <w:rPr>
          <w:spacing w:val="-7"/>
        </w:rPr>
        <w:t xml:space="preserve"> </w:t>
      </w:r>
      <w:r>
        <w:t>diferentes</w:t>
      </w:r>
      <w:r>
        <w:rPr>
          <w:spacing w:val="-7"/>
        </w:rPr>
        <w:t xml:space="preserve"> </w:t>
      </w:r>
      <w:r>
        <w:t>propósitos</w:t>
      </w:r>
      <w:r>
        <w:rPr>
          <w:spacing w:val="-8"/>
        </w:rPr>
        <w:t xml:space="preserve"> </w:t>
      </w:r>
      <w:r>
        <w:t>como</w:t>
      </w:r>
      <w:r>
        <w:rPr>
          <w:spacing w:val="-7"/>
        </w:rPr>
        <w:t xml:space="preserve"> </w:t>
      </w:r>
      <w:r>
        <w:t>la</w:t>
      </w:r>
      <w:r>
        <w:rPr>
          <w:spacing w:val="-7"/>
        </w:rPr>
        <w:t xml:space="preserve"> </w:t>
      </w:r>
      <w:r>
        <w:t>lucha</w:t>
      </w:r>
      <w:r>
        <w:rPr>
          <w:spacing w:val="-7"/>
        </w:rPr>
        <w:t xml:space="preserve"> </w:t>
      </w:r>
      <w:r>
        <w:t>antisubversiva</w:t>
      </w:r>
      <w:r>
        <w:rPr>
          <w:spacing w:val="-7"/>
        </w:rPr>
        <w:t xml:space="preserve"> </w:t>
      </w:r>
      <w:r>
        <w:t>y</w:t>
      </w:r>
      <w:r>
        <w:rPr>
          <w:spacing w:val="-8"/>
        </w:rPr>
        <w:t xml:space="preserve"> </w:t>
      </w:r>
      <w:r>
        <w:t>el</w:t>
      </w:r>
      <w:r>
        <w:rPr>
          <w:spacing w:val="-8"/>
        </w:rPr>
        <w:t xml:space="preserve"> </w:t>
      </w:r>
      <w:r>
        <w:lastRenderedPageBreak/>
        <w:t>control</w:t>
      </w:r>
      <w:r>
        <w:rPr>
          <w:spacing w:val="-7"/>
        </w:rPr>
        <w:t xml:space="preserve"> </w:t>
      </w:r>
      <w:r>
        <w:t>de</w:t>
      </w:r>
      <w:r>
        <w:rPr>
          <w:spacing w:val="-7"/>
        </w:rPr>
        <w:t xml:space="preserve"> </w:t>
      </w:r>
      <w:r>
        <w:t>economías lícitas e ilícitas. Los vínculos entre los grupos paramilitares y la fuerza pública fueron más evidentes de lo que se sabía, y nunca fueron reconocidos. La relación de sectores de las Fuerzas</w:t>
      </w:r>
      <w:r>
        <w:rPr>
          <w:spacing w:val="-15"/>
        </w:rPr>
        <w:t xml:space="preserve"> </w:t>
      </w:r>
      <w:r>
        <w:t>Militares</w:t>
      </w:r>
      <w:r>
        <w:rPr>
          <w:spacing w:val="-15"/>
        </w:rPr>
        <w:t xml:space="preserve"> </w:t>
      </w:r>
      <w:r>
        <w:t>con</w:t>
      </w:r>
      <w:r>
        <w:rPr>
          <w:spacing w:val="-15"/>
        </w:rPr>
        <w:t xml:space="preserve"> </w:t>
      </w:r>
      <w:r>
        <w:t>las</w:t>
      </w:r>
      <w:r>
        <w:rPr>
          <w:spacing w:val="-15"/>
        </w:rPr>
        <w:t xml:space="preserve"> </w:t>
      </w:r>
      <w:r>
        <w:t>autodefensas</w:t>
      </w:r>
      <w:r>
        <w:rPr>
          <w:spacing w:val="-15"/>
        </w:rPr>
        <w:t xml:space="preserve"> </w:t>
      </w:r>
      <w:r>
        <w:t>y</w:t>
      </w:r>
      <w:r>
        <w:rPr>
          <w:spacing w:val="-15"/>
        </w:rPr>
        <w:t xml:space="preserve"> </w:t>
      </w:r>
      <w:r>
        <w:t>paramilitares</w:t>
      </w:r>
      <w:r>
        <w:rPr>
          <w:spacing w:val="-15"/>
        </w:rPr>
        <w:t xml:space="preserve"> </w:t>
      </w:r>
      <w:r>
        <w:t>fue</w:t>
      </w:r>
      <w:r>
        <w:rPr>
          <w:spacing w:val="-15"/>
        </w:rPr>
        <w:t xml:space="preserve"> </w:t>
      </w:r>
      <w:r>
        <w:t>determinante</w:t>
      </w:r>
      <w:r>
        <w:rPr>
          <w:spacing w:val="-15"/>
        </w:rPr>
        <w:t xml:space="preserve"> </w:t>
      </w:r>
      <w:r>
        <w:t>tanto</w:t>
      </w:r>
      <w:r>
        <w:rPr>
          <w:spacing w:val="-15"/>
        </w:rPr>
        <w:t xml:space="preserve"> </w:t>
      </w:r>
      <w:r>
        <w:t>para</w:t>
      </w:r>
      <w:r>
        <w:rPr>
          <w:spacing w:val="-15"/>
        </w:rPr>
        <w:t xml:space="preserve"> </w:t>
      </w:r>
      <w:r>
        <w:t>la</w:t>
      </w:r>
      <w:r>
        <w:rPr>
          <w:spacing w:val="-15"/>
        </w:rPr>
        <w:t xml:space="preserve"> </w:t>
      </w:r>
      <w:r>
        <w:t>creación de estas, como para su expansión y consolidación. Las Fuerzas Militares y los gobiernos tienen una corresponsabilidad con el paramilitarismo en lo que ello ha supuesto para las víctimas y el país.</w:t>
      </w:r>
    </w:p>
    <w:p w:rsidR="003804AC" w:rsidRDefault="00AF18A5" w:rsidP="00881DC9">
      <w:r>
        <w:rPr>
          <w:color w:val="212121"/>
        </w:rPr>
        <w:t>El paramilitarismo empleó formas de violencia cada vez más crueles y de forma más masiva, n</w:t>
      </w:r>
      <w:r>
        <w:t>o solo para combatir a las guerrillas y atacar a quienes consideraba sus bases sociales, sino que controló el narcotráfico para beneficio propio y de muchas personas, incluyendo políticos, empresarios y agentes del Estado. Los narcotraficantes se han introducido</w:t>
      </w:r>
      <w:r>
        <w:rPr>
          <w:spacing w:val="44"/>
        </w:rPr>
        <w:t xml:space="preserve"> </w:t>
      </w:r>
      <w:r>
        <w:t>en</w:t>
      </w:r>
      <w:r>
        <w:rPr>
          <w:spacing w:val="45"/>
        </w:rPr>
        <w:t xml:space="preserve"> </w:t>
      </w:r>
      <w:r>
        <w:t>la</w:t>
      </w:r>
      <w:r>
        <w:rPr>
          <w:spacing w:val="46"/>
        </w:rPr>
        <w:t xml:space="preserve"> </w:t>
      </w:r>
      <w:r>
        <w:t>política</w:t>
      </w:r>
      <w:r>
        <w:rPr>
          <w:spacing w:val="47"/>
        </w:rPr>
        <w:t xml:space="preserve"> </w:t>
      </w:r>
      <w:r>
        <w:t>al</w:t>
      </w:r>
      <w:r>
        <w:rPr>
          <w:spacing w:val="46"/>
        </w:rPr>
        <w:t xml:space="preserve"> </w:t>
      </w:r>
      <w:r>
        <w:t>acceder</w:t>
      </w:r>
      <w:r>
        <w:rPr>
          <w:spacing w:val="45"/>
        </w:rPr>
        <w:t xml:space="preserve"> </w:t>
      </w:r>
      <w:r>
        <w:t>incluso</w:t>
      </w:r>
      <w:r>
        <w:rPr>
          <w:spacing w:val="46"/>
        </w:rPr>
        <w:t xml:space="preserve"> </w:t>
      </w:r>
      <w:r>
        <w:t>a</w:t>
      </w:r>
      <w:r>
        <w:rPr>
          <w:spacing w:val="46"/>
        </w:rPr>
        <w:t xml:space="preserve"> </w:t>
      </w:r>
      <w:r>
        <w:t>cargos</w:t>
      </w:r>
      <w:r>
        <w:rPr>
          <w:spacing w:val="46"/>
        </w:rPr>
        <w:t xml:space="preserve"> </w:t>
      </w:r>
      <w:r>
        <w:t>públicos</w:t>
      </w:r>
      <w:r>
        <w:rPr>
          <w:spacing w:val="47"/>
        </w:rPr>
        <w:t xml:space="preserve"> </w:t>
      </w:r>
      <w:r>
        <w:t>de</w:t>
      </w:r>
      <w:r>
        <w:rPr>
          <w:spacing w:val="46"/>
        </w:rPr>
        <w:t xml:space="preserve"> </w:t>
      </w:r>
      <w:r>
        <w:t>elección</w:t>
      </w:r>
      <w:r>
        <w:rPr>
          <w:spacing w:val="45"/>
        </w:rPr>
        <w:t xml:space="preserve"> </w:t>
      </w:r>
      <w:r>
        <w:t>popular.</w:t>
      </w:r>
      <w:r>
        <w:rPr>
          <w:spacing w:val="45"/>
        </w:rPr>
        <w:t xml:space="preserve"> </w:t>
      </w:r>
      <w:r>
        <w:rPr>
          <w:spacing w:val="-5"/>
        </w:rPr>
        <w:t>La</w:t>
      </w:r>
      <w:r w:rsidR="00881DC9">
        <w:rPr>
          <w:spacing w:val="-5"/>
        </w:rPr>
        <w:t xml:space="preserve"> </w:t>
      </w:r>
      <w:r>
        <w:t>«parapolítica»</w:t>
      </w:r>
      <w:r>
        <w:rPr>
          <w:spacing w:val="7"/>
        </w:rPr>
        <w:t xml:space="preserve"> </w:t>
      </w:r>
      <w:r>
        <w:t>dio</w:t>
      </w:r>
      <w:r>
        <w:rPr>
          <w:spacing w:val="9"/>
        </w:rPr>
        <w:t xml:space="preserve"> </w:t>
      </w:r>
      <w:r>
        <w:t>a</w:t>
      </w:r>
      <w:r>
        <w:rPr>
          <w:spacing w:val="8"/>
        </w:rPr>
        <w:t xml:space="preserve"> </w:t>
      </w:r>
      <w:r>
        <w:t>entender</w:t>
      </w:r>
      <w:r>
        <w:rPr>
          <w:spacing w:val="10"/>
        </w:rPr>
        <w:t xml:space="preserve"> </w:t>
      </w:r>
      <w:r>
        <w:t>que</w:t>
      </w:r>
      <w:r>
        <w:rPr>
          <w:spacing w:val="8"/>
        </w:rPr>
        <w:t xml:space="preserve"> </w:t>
      </w:r>
      <w:r>
        <w:t>fueron</w:t>
      </w:r>
      <w:r>
        <w:rPr>
          <w:spacing w:val="10"/>
        </w:rPr>
        <w:t xml:space="preserve"> </w:t>
      </w:r>
      <w:r>
        <w:t>los</w:t>
      </w:r>
      <w:r>
        <w:rPr>
          <w:spacing w:val="8"/>
        </w:rPr>
        <w:t xml:space="preserve"> </w:t>
      </w:r>
      <w:r>
        <w:t>políticos</w:t>
      </w:r>
      <w:r>
        <w:rPr>
          <w:spacing w:val="10"/>
        </w:rPr>
        <w:t xml:space="preserve"> </w:t>
      </w:r>
      <w:r>
        <w:t>quienes</w:t>
      </w:r>
      <w:r>
        <w:rPr>
          <w:spacing w:val="10"/>
        </w:rPr>
        <w:t xml:space="preserve"> </w:t>
      </w:r>
      <w:r>
        <w:t>buscaron</w:t>
      </w:r>
      <w:r>
        <w:rPr>
          <w:spacing w:val="8"/>
        </w:rPr>
        <w:t xml:space="preserve"> </w:t>
      </w:r>
      <w:r>
        <w:t>a</w:t>
      </w:r>
      <w:r>
        <w:rPr>
          <w:spacing w:val="8"/>
        </w:rPr>
        <w:t xml:space="preserve"> </w:t>
      </w:r>
      <w:r>
        <w:t>los</w:t>
      </w:r>
      <w:r>
        <w:rPr>
          <w:spacing w:val="11"/>
        </w:rPr>
        <w:t xml:space="preserve"> </w:t>
      </w:r>
      <w:r>
        <w:rPr>
          <w:spacing w:val="-2"/>
        </w:rPr>
        <w:t>paramilitares,</w:t>
      </w:r>
      <w:r w:rsidR="00881DC9">
        <w:rPr>
          <w:spacing w:val="-2"/>
        </w:rPr>
        <w:t xml:space="preserve"> </w:t>
      </w:r>
      <w:r>
        <w:t>con el aliciente del narcotráfico de por medio. No solo los recursos del narcotráfico han servido para financiar numerosas campañas electorales, sino que han beneficiado a muchos políticos</w:t>
      </w:r>
      <w:r>
        <w:rPr>
          <w:spacing w:val="-11"/>
        </w:rPr>
        <w:t xml:space="preserve"> </w:t>
      </w:r>
      <w:r>
        <w:t>en</w:t>
      </w:r>
      <w:r>
        <w:rPr>
          <w:spacing w:val="-11"/>
        </w:rPr>
        <w:t xml:space="preserve"> </w:t>
      </w:r>
      <w:r>
        <w:t>el</w:t>
      </w:r>
      <w:r>
        <w:rPr>
          <w:spacing w:val="-9"/>
        </w:rPr>
        <w:t xml:space="preserve"> </w:t>
      </w:r>
      <w:r>
        <w:t>ámbito</w:t>
      </w:r>
      <w:r>
        <w:rPr>
          <w:spacing w:val="-11"/>
        </w:rPr>
        <w:t xml:space="preserve"> </w:t>
      </w:r>
      <w:r>
        <w:t>local,</w:t>
      </w:r>
      <w:r>
        <w:rPr>
          <w:spacing w:val="-10"/>
        </w:rPr>
        <w:t xml:space="preserve"> </w:t>
      </w:r>
      <w:r>
        <w:t>departamental</w:t>
      </w:r>
      <w:r>
        <w:rPr>
          <w:spacing w:val="-9"/>
        </w:rPr>
        <w:t xml:space="preserve"> </w:t>
      </w:r>
      <w:r>
        <w:t>y</w:t>
      </w:r>
      <w:r>
        <w:rPr>
          <w:spacing w:val="-10"/>
        </w:rPr>
        <w:t xml:space="preserve"> </w:t>
      </w:r>
      <w:r>
        <w:t>nacional.</w:t>
      </w:r>
      <w:r>
        <w:rPr>
          <w:spacing w:val="-10"/>
        </w:rPr>
        <w:t xml:space="preserve"> </w:t>
      </w:r>
      <w:r>
        <w:t>La</w:t>
      </w:r>
      <w:r>
        <w:rPr>
          <w:spacing w:val="-11"/>
        </w:rPr>
        <w:t xml:space="preserve"> </w:t>
      </w:r>
      <w:r>
        <w:t>economía</w:t>
      </w:r>
      <w:r>
        <w:rPr>
          <w:spacing w:val="-9"/>
        </w:rPr>
        <w:t xml:space="preserve"> </w:t>
      </w:r>
      <w:r>
        <w:t>del</w:t>
      </w:r>
      <w:r>
        <w:rPr>
          <w:spacing w:val="-10"/>
        </w:rPr>
        <w:t xml:space="preserve"> </w:t>
      </w:r>
      <w:r>
        <w:t>país</w:t>
      </w:r>
      <w:r>
        <w:rPr>
          <w:spacing w:val="-9"/>
        </w:rPr>
        <w:t xml:space="preserve"> </w:t>
      </w:r>
      <w:r>
        <w:t>no</w:t>
      </w:r>
      <w:r>
        <w:rPr>
          <w:spacing w:val="-11"/>
        </w:rPr>
        <w:t xml:space="preserve"> </w:t>
      </w:r>
      <w:r>
        <w:t>se</w:t>
      </w:r>
      <w:r>
        <w:rPr>
          <w:spacing w:val="-9"/>
        </w:rPr>
        <w:t xml:space="preserve"> </w:t>
      </w:r>
      <w:r>
        <w:t>explica</w:t>
      </w:r>
      <w:r>
        <w:rPr>
          <w:spacing w:val="-11"/>
        </w:rPr>
        <w:t xml:space="preserve"> </w:t>
      </w:r>
      <w:r>
        <w:t>sin el</w:t>
      </w:r>
      <w:r>
        <w:rPr>
          <w:spacing w:val="-8"/>
        </w:rPr>
        <w:t xml:space="preserve"> </w:t>
      </w:r>
      <w:r>
        <w:t>narcotráfico</w:t>
      </w:r>
      <w:r>
        <w:rPr>
          <w:spacing w:val="-8"/>
        </w:rPr>
        <w:t xml:space="preserve"> </w:t>
      </w:r>
      <w:r>
        <w:t>y</w:t>
      </w:r>
      <w:r>
        <w:rPr>
          <w:spacing w:val="-8"/>
        </w:rPr>
        <w:t xml:space="preserve"> </w:t>
      </w:r>
      <w:r>
        <w:t>esto</w:t>
      </w:r>
      <w:r>
        <w:rPr>
          <w:spacing w:val="-9"/>
        </w:rPr>
        <w:t xml:space="preserve"> </w:t>
      </w:r>
      <w:r>
        <w:t>involucra</w:t>
      </w:r>
      <w:r>
        <w:rPr>
          <w:spacing w:val="-8"/>
        </w:rPr>
        <w:t xml:space="preserve"> </w:t>
      </w:r>
      <w:r>
        <w:t>una</w:t>
      </w:r>
      <w:r>
        <w:rPr>
          <w:spacing w:val="-8"/>
        </w:rPr>
        <w:t xml:space="preserve"> </w:t>
      </w:r>
      <w:r>
        <w:t>responsabilidad</w:t>
      </w:r>
      <w:r>
        <w:rPr>
          <w:spacing w:val="-8"/>
        </w:rPr>
        <w:t xml:space="preserve"> </w:t>
      </w:r>
      <w:r>
        <w:t>colectiva</w:t>
      </w:r>
      <w:r>
        <w:rPr>
          <w:spacing w:val="-9"/>
        </w:rPr>
        <w:t xml:space="preserve"> </w:t>
      </w:r>
      <w:r>
        <w:t>e</w:t>
      </w:r>
      <w:r>
        <w:rPr>
          <w:spacing w:val="-8"/>
        </w:rPr>
        <w:t xml:space="preserve"> </w:t>
      </w:r>
      <w:r>
        <w:t>institucional.</w:t>
      </w:r>
      <w:r>
        <w:rPr>
          <w:spacing w:val="-8"/>
        </w:rPr>
        <w:t xml:space="preserve"> </w:t>
      </w:r>
      <w:r>
        <w:t>La</w:t>
      </w:r>
      <w:r>
        <w:rPr>
          <w:spacing w:val="-8"/>
        </w:rPr>
        <w:t xml:space="preserve"> </w:t>
      </w:r>
      <w:r>
        <w:t>gravedad</w:t>
      </w:r>
      <w:r>
        <w:rPr>
          <w:spacing w:val="-8"/>
        </w:rPr>
        <w:t xml:space="preserve"> </w:t>
      </w:r>
      <w:r>
        <w:t>de esta alianza explica en buena parte la persistencia del conflicto armado.</w:t>
      </w:r>
    </w:p>
    <w:p w:rsidR="0011361F" w:rsidRDefault="00AF18A5" w:rsidP="00881DC9">
      <w:r>
        <w:t>Un mayor nivel de complejidad y distribución coordinada de roles son las redes con intereses económicos, que han financiado y patrocinado a diferentes actores armados. Algunas</w:t>
      </w:r>
      <w:r>
        <w:rPr>
          <w:spacing w:val="-3"/>
        </w:rPr>
        <w:t xml:space="preserve"> </w:t>
      </w:r>
      <w:r>
        <w:t>organizaciones,</w:t>
      </w:r>
      <w:r>
        <w:rPr>
          <w:spacing w:val="-4"/>
        </w:rPr>
        <w:t xml:space="preserve"> </w:t>
      </w:r>
      <w:r>
        <w:t>élites</w:t>
      </w:r>
      <w:r>
        <w:rPr>
          <w:spacing w:val="-3"/>
        </w:rPr>
        <w:t xml:space="preserve"> </w:t>
      </w:r>
      <w:r>
        <w:t>políticas</w:t>
      </w:r>
      <w:r>
        <w:rPr>
          <w:spacing w:val="-3"/>
        </w:rPr>
        <w:t xml:space="preserve"> </w:t>
      </w:r>
      <w:r>
        <w:t>y</w:t>
      </w:r>
      <w:r>
        <w:rPr>
          <w:spacing w:val="-3"/>
        </w:rPr>
        <w:t xml:space="preserve"> </w:t>
      </w:r>
      <w:r>
        <w:t>empresas</w:t>
      </w:r>
      <w:r>
        <w:rPr>
          <w:spacing w:val="-3"/>
        </w:rPr>
        <w:t xml:space="preserve"> </w:t>
      </w:r>
      <w:r>
        <w:t>terminaron</w:t>
      </w:r>
      <w:r>
        <w:rPr>
          <w:spacing w:val="-3"/>
        </w:rPr>
        <w:t xml:space="preserve"> </w:t>
      </w:r>
      <w:r>
        <w:t>lucrándose</w:t>
      </w:r>
      <w:r>
        <w:rPr>
          <w:spacing w:val="-3"/>
        </w:rPr>
        <w:t xml:space="preserve"> </w:t>
      </w:r>
      <w:r>
        <w:t>y</w:t>
      </w:r>
      <w:r>
        <w:rPr>
          <w:spacing w:val="-3"/>
        </w:rPr>
        <w:t xml:space="preserve"> </w:t>
      </w:r>
      <w:r>
        <w:t>beneficiándose de</w:t>
      </w:r>
      <w:r>
        <w:rPr>
          <w:spacing w:val="-15"/>
        </w:rPr>
        <w:t xml:space="preserve"> </w:t>
      </w:r>
      <w:r>
        <w:t>la</w:t>
      </w:r>
      <w:r>
        <w:rPr>
          <w:spacing w:val="-15"/>
        </w:rPr>
        <w:t xml:space="preserve"> </w:t>
      </w:r>
      <w:r>
        <w:t>guerra,</w:t>
      </w:r>
      <w:r>
        <w:rPr>
          <w:spacing w:val="-15"/>
        </w:rPr>
        <w:t xml:space="preserve"> </w:t>
      </w:r>
      <w:r>
        <w:t>en</w:t>
      </w:r>
      <w:r>
        <w:rPr>
          <w:spacing w:val="-15"/>
        </w:rPr>
        <w:t xml:space="preserve"> </w:t>
      </w:r>
      <w:r>
        <w:t>ciertos</w:t>
      </w:r>
      <w:r>
        <w:rPr>
          <w:spacing w:val="-15"/>
        </w:rPr>
        <w:t xml:space="preserve"> </w:t>
      </w:r>
      <w:r>
        <w:t>casos</w:t>
      </w:r>
      <w:r>
        <w:rPr>
          <w:spacing w:val="-15"/>
        </w:rPr>
        <w:t xml:space="preserve"> </w:t>
      </w:r>
      <w:r>
        <w:t>siendo</w:t>
      </w:r>
      <w:r>
        <w:rPr>
          <w:spacing w:val="-15"/>
        </w:rPr>
        <w:t xml:space="preserve"> </w:t>
      </w:r>
      <w:r>
        <w:t>no</w:t>
      </w:r>
      <w:r>
        <w:rPr>
          <w:spacing w:val="-15"/>
        </w:rPr>
        <w:t xml:space="preserve"> </w:t>
      </w:r>
      <w:r>
        <w:t>sólo</w:t>
      </w:r>
      <w:r>
        <w:rPr>
          <w:spacing w:val="-15"/>
        </w:rPr>
        <w:t xml:space="preserve"> </w:t>
      </w:r>
      <w:r>
        <w:t>cómplices,</w:t>
      </w:r>
      <w:r>
        <w:rPr>
          <w:spacing w:val="-15"/>
        </w:rPr>
        <w:t xml:space="preserve"> </w:t>
      </w:r>
      <w:r>
        <w:t>sino</w:t>
      </w:r>
      <w:r>
        <w:rPr>
          <w:spacing w:val="-15"/>
        </w:rPr>
        <w:t xml:space="preserve"> </w:t>
      </w:r>
      <w:r>
        <w:t>promotores</w:t>
      </w:r>
      <w:r>
        <w:rPr>
          <w:spacing w:val="-15"/>
        </w:rPr>
        <w:t xml:space="preserve"> </w:t>
      </w:r>
      <w:r>
        <w:t>de</w:t>
      </w:r>
      <w:r>
        <w:rPr>
          <w:spacing w:val="-15"/>
        </w:rPr>
        <w:t xml:space="preserve"> </w:t>
      </w:r>
      <w:r>
        <w:t>graves</w:t>
      </w:r>
      <w:r>
        <w:rPr>
          <w:spacing w:val="-15"/>
        </w:rPr>
        <w:t xml:space="preserve"> </w:t>
      </w:r>
      <w:r>
        <w:t>violaciones de derechos humanos e infracciones al DIH. También los terceros han asumido diversos roles,</w:t>
      </w:r>
      <w:r>
        <w:rPr>
          <w:spacing w:val="-12"/>
        </w:rPr>
        <w:t xml:space="preserve"> </w:t>
      </w:r>
      <w:r>
        <w:t>desde</w:t>
      </w:r>
      <w:r>
        <w:rPr>
          <w:spacing w:val="-13"/>
        </w:rPr>
        <w:t xml:space="preserve"> </w:t>
      </w:r>
      <w:r>
        <w:t>papeles</w:t>
      </w:r>
      <w:r>
        <w:rPr>
          <w:spacing w:val="-12"/>
        </w:rPr>
        <w:t xml:space="preserve"> </w:t>
      </w:r>
      <w:r>
        <w:t>directos</w:t>
      </w:r>
      <w:r>
        <w:rPr>
          <w:spacing w:val="-12"/>
        </w:rPr>
        <w:t xml:space="preserve"> </w:t>
      </w:r>
      <w:r>
        <w:t>(instigar,</w:t>
      </w:r>
      <w:r>
        <w:rPr>
          <w:spacing w:val="-12"/>
        </w:rPr>
        <w:t xml:space="preserve"> </w:t>
      </w:r>
      <w:r>
        <w:lastRenderedPageBreak/>
        <w:t>patrocinar,</w:t>
      </w:r>
      <w:r>
        <w:rPr>
          <w:spacing w:val="-13"/>
        </w:rPr>
        <w:t xml:space="preserve"> </w:t>
      </w:r>
      <w:r>
        <w:t>cooperar)</w:t>
      </w:r>
      <w:r>
        <w:rPr>
          <w:spacing w:val="-11"/>
        </w:rPr>
        <w:t xml:space="preserve"> </w:t>
      </w:r>
      <w:r>
        <w:t>hasta</w:t>
      </w:r>
      <w:r>
        <w:rPr>
          <w:spacing w:val="-12"/>
        </w:rPr>
        <w:t xml:space="preserve"> </w:t>
      </w:r>
      <w:r>
        <w:t>dar</w:t>
      </w:r>
      <w:r>
        <w:rPr>
          <w:spacing w:val="-11"/>
        </w:rPr>
        <w:t xml:space="preserve"> </w:t>
      </w:r>
      <w:r>
        <w:t>apoyos</w:t>
      </w:r>
      <w:r>
        <w:rPr>
          <w:spacing w:val="-12"/>
        </w:rPr>
        <w:t xml:space="preserve"> </w:t>
      </w:r>
      <w:r>
        <w:t>pasivos</w:t>
      </w:r>
      <w:r>
        <w:rPr>
          <w:spacing w:val="-13"/>
        </w:rPr>
        <w:t xml:space="preserve"> </w:t>
      </w:r>
      <w:r>
        <w:t>(tolerar y omitir una debida diligencia) beneficiándose de la guerra.</w:t>
      </w:r>
    </w:p>
    <w:p w:rsidR="003804AC" w:rsidRDefault="00AF18A5" w:rsidP="00881DC9">
      <w:r>
        <w:t>Las diferentes organizaciones guerrilleras cometieron graves infracciones del DIH y abusos</w:t>
      </w:r>
      <w:r>
        <w:rPr>
          <w:spacing w:val="-2"/>
        </w:rPr>
        <w:t xml:space="preserve"> </w:t>
      </w:r>
      <w:r>
        <w:t>de</w:t>
      </w:r>
      <w:r>
        <w:rPr>
          <w:spacing w:val="-2"/>
        </w:rPr>
        <w:t xml:space="preserve"> </w:t>
      </w:r>
      <w:r>
        <w:t>derechos</w:t>
      </w:r>
      <w:r>
        <w:rPr>
          <w:spacing w:val="-2"/>
        </w:rPr>
        <w:t xml:space="preserve"> </w:t>
      </w:r>
      <w:r>
        <w:t>humanos</w:t>
      </w:r>
      <w:r>
        <w:rPr>
          <w:spacing w:val="-2"/>
        </w:rPr>
        <w:t xml:space="preserve"> </w:t>
      </w:r>
      <w:r>
        <w:t>de</w:t>
      </w:r>
      <w:r>
        <w:rPr>
          <w:spacing w:val="-2"/>
        </w:rPr>
        <w:t xml:space="preserve"> </w:t>
      </w:r>
      <w:r>
        <w:t>forma</w:t>
      </w:r>
      <w:r>
        <w:rPr>
          <w:spacing w:val="-2"/>
        </w:rPr>
        <w:t xml:space="preserve"> </w:t>
      </w:r>
      <w:r>
        <w:t>extensiva.</w:t>
      </w:r>
      <w:r>
        <w:rPr>
          <w:spacing w:val="-2"/>
        </w:rPr>
        <w:t xml:space="preserve"> </w:t>
      </w:r>
      <w:r>
        <w:t>Las</w:t>
      </w:r>
      <w:r>
        <w:rPr>
          <w:spacing w:val="-2"/>
        </w:rPr>
        <w:t xml:space="preserve"> </w:t>
      </w:r>
      <w:r>
        <w:t>guerrillas</w:t>
      </w:r>
      <w:r>
        <w:rPr>
          <w:spacing w:val="-2"/>
        </w:rPr>
        <w:t xml:space="preserve"> </w:t>
      </w:r>
      <w:r>
        <w:t>son</w:t>
      </w:r>
      <w:r>
        <w:rPr>
          <w:spacing w:val="-3"/>
        </w:rPr>
        <w:t xml:space="preserve"> </w:t>
      </w:r>
      <w:r>
        <w:t>responsables,</w:t>
      </w:r>
      <w:r>
        <w:rPr>
          <w:spacing w:val="-3"/>
        </w:rPr>
        <w:t xml:space="preserve"> </w:t>
      </w:r>
      <w:r>
        <w:t>en</w:t>
      </w:r>
      <w:r>
        <w:rPr>
          <w:spacing w:val="-3"/>
        </w:rPr>
        <w:t xml:space="preserve"> </w:t>
      </w:r>
      <w:r>
        <w:t>primer lugar, por haber tomado decisiones de orden político y estratégico que llevaron a un crecimiento y expansión de su violencia en el territorio nacional con un gran impacto en la población</w:t>
      </w:r>
      <w:r>
        <w:rPr>
          <w:spacing w:val="-10"/>
        </w:rPr>
        <w:t xml:space="preserve"> </w:t>
      </w:r>
      <w:r>
        <w:t>civil.</w:t>
      </w:r>
      <w:r>
        <w:rPr>
          <w:spacing w:val="-10"/>
        </w:rPr>
        <w:t xml:space="preserve"> </w:t>
      </w:r>
      <w:r>
        <w:t>Aún</w:t>
      </w:r>
      <w:r>
        <w:rPr>
          <w:spacing w:val="-10"/>
        </w:rPr>
        <w:t xml:space="preserve"> </w:t>
      </w:r>
      <w:r>
        <w:t>con</w:t>
      </w:r>
      <w:r>
        <w:rPr>
          <w:spacing w:val="-10"/>
        </w:rPr>
        <w:t xml:space="preserve"> </w:t>
      </w:r>
      <w:r>
        <w:t>sus</w:t>
      </w:r>
      <w:r>
        <w:rPr>
          <w:spacing w:val="-9"/>
        </w:rPr>
        <w:t xml:space="preserve"> </w:t>
      </w:r>
      <w:r>
        <w:t>diferencias,</w:t>
      </w:r>
      <w:r>
        <w:rPr>
          <w:spacing w:val="-10"/>
        </w:rPr>
        <w:t xml:space="preserve"> </w:t>
      </w:r>
      <w:r>
        <w:t>todas</w:t>
      </w:r>
      <w:r>
        <w:rPr>
          <w:spacing w:val="-9"/>
        </w:rPr>
        <w:t xml:space="preserve"> </w:t>
      </w:r>
      <w:r>
        <w:t>las</w:t>
      </w:r>
      <w:r>
        <w:rPr>
          <w:spacing w:val="-11"/>
        </w:rPr>
        <w:t xml:space="preserve"> </w:t>
      </w:r>
      <w:r>
        <w:t>guerrillas</w:t>
      </w:r>
      <w:r>
        <w:rPr>
          <w:spacing w:val="-9"/>
        </w:rPr>
        <w:t xml:space="preserve"> </w:t>
      </w:r>
      <w:r>
        <w:t>consideraron</w:t>
      </w:r>
      <w:r>
        <w:rPr>
          <w:spacing w:val="-10"/>
        </w:rPr>
        <w:t xml:space="preserve"> </w:t>
      </w:r>
      <w:r>
        <w:t>en</w:t>
      </w:r>
      <w:r>
        <w:rPr>
          <w:spacing w:val="-10"/>
        </w:rPr>
        <w:t xml:space="preserve"> </w:t>
      </w:r>
      <w:r>
        <w:t>algún</w:t>
      </w:r>
      <w:r>
        <w:rPr>
          <w:spacing w:val="-10"/>
        </w:rPr>
        <w:t xml:space="preserve"> </w:t>
      </w:r>
      <w:r>
        <w:t>momento que se estaban dando las condiciones para una insurrección general de las mayorías en Colombia, y fue esta argumentación la que terminó justificando y encubriendo las afectaciones cada vez más amplias que sufrió la sociedad colombiana por causa de su violencia. Entre esas decisiones, resalta la política implementada por las FARC-EP a partir del año 1997 de secuestrar a policías y militares, para presionar un canje por guerrilleros recluidos en las cárceles del país y también de secuestrar y/o asesinar a líderes políticos, congresistas, gobernadores, alcaldes, y miembros de asambleas departamentales y concejos municipales. La vida, la libertad, y la dignidad humana fueron subordinadas a la guerra.</w:t>
      </w:r>
    </w:p>
    <w:p w:rsidR="003804AC" w:rsidRDefault="00AF18A5" w:rsidP="00881DC9">
      <w:r>
        <w:t>En segundo lugar, son responsables por haber supeditado su relación con la población civil</w:t>
      </w:r>
      <w:r>
        <w:rPr>
          <w:spacing w:val="-14"/>
        </w:rPr>
        <w:t xml:space="preserve"> </w:t>
      </w:r>
      <w:r>
        <w:t>al</w:t>
      </w:r>
      <w:r>
        <w:rPr>
          <w:spacing w:val="-11"/>
        </w:rPr>
        <w:t xml:space="preserve"> </w:t>
      </w:r>
      <w:r>
        <w:t>cumplimiento</w:t>
      </w:r>
      <w:r>
        <w:rPr>
          <w:spacing w:val="-13"/>
        </w:rPr>
        <w:t xml:space="preserve"> </w:t>
      </w:r>
      <w:r>
        <w:t>de</w:t>
      </w:r>
      <w:r>
        <w:rPr>
          <w:spacing w:val="-12"/>
        </w:rPr>
        <w:t xml:space="preserve"> </w:t>
      </w:r>
      <w:r>
        <w:t>resultados</w:t>
      </w:r>
      <w:r>
        <w:rPr>
          <w:spacing w:val="-12"/>
        </w:rPr>
        <w:t xml:space="preserve"> </w:t>
      </w:r>
      <w:r>
        <w:t>en</w:t>
      </w:r>
      <w:r>
        <w:rPr>
          <w:spacing w:val="-11"/>
        </w:rPr>
        <w:t xml:space="preserve"> </w:t>
      </w:r>
      <w:r>
        <w:t>el</w:t>
      </w:r>
      <w:r>
        <w:rPr>
          <w:spacing w:val="-13"/>
        </w:rPr>
        <w:t xml:space="preserve"> </w:t>
      </w:r>
      <w:r>
        <w:t>campo</w:t>
      </w:r>
      <w:r>
        <w:rPr>
          <w:spacing w:val="-12"/>
        </w:rPr>
        <w:t xml:space="preserve"> </w:t>
      </w:r>
      <w:r>
        <w:t>militar.</w:t>
      </w:r>
      <w:r>
        <w:rPr>
          <w:spacing w:val="-12"/>
        </w:rPr>
        <w:t xml:space="preserve"> </w:t>
      </w:r>
      <w:r>
        <w:t>Bajo</w:t>
      </w:r>
      <w:r>
        <w:rPr>
          <w:spacing w:val="-12"/>
        </w:rPr>
        <w:t xml:space="preserve"> </w:t>
      </w:r>
      <w:r>
        <w:t>ese</w:t>
      </w:r>
      <w:r>
        <w:rPr>
          <w:spacing w:val="-13"/>
        </w:rPr>
        <w:t xml:space="preserve"> </w:t>
      </w:r>
      <w:r>
        <w:t>marco,</w:t>
      </w:r>
      <w:r>
        <w:rPr>
          <w:spacing w:val="-12"/>
        </w:rPr>
        <w:t xml:space="preserve"> </w:t>
      </w:r>
      <w:r>
        <w:t>convirtieron</w:t>
      </w:r>
      <w:r>
        <w:rPr>
          <w:spacing w:val="-13"/>
        </w:rPr>
        <w:t xml:space="preserve"> </w:t>
      </w:r>
      <w:r>
        <w:rPr>
          <w:spacing w:val="-2"/>
        </w:rPr>
        <w:t>barrios,</w:t>
      </w:r>
      <w:r w:rsidR="00881DC9">
        <w:rPr>
          <w:spacing w:val="-2"/>
        </w:rPr>
        <w:t xml:space="preserve"> </w:t>
      </w:r>
      <w:r>
        <w:t>veredas</w:t>
      </w:r>
      <w:r>
        <w:rPr>
          <w:spacing w:val="-9"/>
        </w:rPr>
        <w:t xml:space="preserve"> </w:t>
      </w:r>
      <w:r>
        <w:t>y</w:t>
      </w:r>
      <w:r>
        <w:rPr>
          <w:spacing w:val="-11"/>
        </w:rPr>
        <w:t xml:space="preserve"> </w:t>
      </w:r>
      <w:r>
        <w:t>comunidades</w:t>
      </w:r>
      <w:r>
        <w:rPr>
          <w:spacing w:val="-9"/>
        </w:rPr>
        <w:t xml:space="preserve"> </w:t>
      </w:r>
      <w:r>
        <w:t>en</w:t>
      </w:r>
      <w:r>
        <w:rPr>
          <w:spacing w:val="-9"/>
        </w:rPr>
        <w:t xml:space="preserve"> </w:t>
      </w:r>
      <w:r>
        <w:t>espacios</w:t>
      </w:r>
      <w:r>
        <w:rPr>
          <w:spacing w:val="-9"/>
        </w:rPr>
        <w:t xml:space="preserve"> </w:t>
      </w:r>
      <w:r>
        <w:t>de</w:t>
      </w:r>
      <w:r>
        <w:rPr>
          <w:spacing w:val="-9"/>
        </w:rPr>
        <w:t xml:space="preserve"> </w:t>
      </w:r>
      <w:r>
        <w:t>guerra</w:t>
      </w:r>
      <w:r>
        <w:rPr>
          <w:spacing w:val="-9"/>
        </w:rPr>
        <w:t xml:space="preserve"> </w:t>
      </w:r>
      <w:r>
        <w:t>o</w:t>
      </w:r>
      <w:r>
        <w:rPr>
          <w:spacing w:val="-9"/>
        </w:rPr>
        <w:t xml:space="preserve"> </w:t>
      </w:r>
      <w:r>
        <w:t>lugares</w:t>
      </w:r>
      <w:r>
        <w:rPr>
          <w:spacing w:val="-9"/>
        </w:rPr>
        <w:t xml:space="preserve"> </w:t>
      </w:r>
      <w:r>
        <w:t>de</w:t>
      </w:r>
      <w:r>
        <w:rPr>
          <w:spacing w:val="-10"/>
        </w:rPr>
        <w:t xml:space="preserve"> </w:t>
      </w:r>
      <w:r>
        <w:t>reclutamiento.</w:t>
      </w:r>
      <w:r>
        <w:rPr>
          <w:spacing w:val="-9"/>
        </w:rPr>
        <w:t xml:space="preserve"> </w:t>
      </w:r>
      <w:r>
        <w:t>El</w:t>
      </w:r>
      <w:r>
        <w:rPr>
          <w:spacing w:val="-9"/>
        </w:rPr>
        <w:t xml:space="preserve"> </w:t>
      </w:r>
      <w:r>
        <w:t>“todo</w:t>
      </w:r>
      <w:r>
        <w:rPr>
          <w:spacing w:val="-9"/>
        </w:rPr>
        <w:t xml:space="preserve"> </w:t>
      </w:r>
      <w:r>
        <w:t>vale”</w:t>
      </w:r>
      <w:r>
        <w:rPr>
          <w:spacing w:val="-10"/>
        </w:rPr>
        <w:t xml:space="preserve"> </w:t>
      </w:r>
      <w:r>
        <w:t>para ganar</w:t>
      </w:r>
      <w:r>
        <w:rPr>
          <w:spacing w:val="-2"/>
        </w:rPr>
        <w:t xml:space="preserve"> </w:t>
      </w:r>
      <w:r>
        <w:t>la</w:t>
      </w:r>
      <w:r>
        <w:rPr>
          <w:spacing w:val="-2"/>
        </w:rPr>
        <w:t xml:space="preserve"> </w:t>
      </w:r>
      <w:r>
        <w:t>guerra</w:t>
      </w:r>
      <w:r>
        <w:rPr>
          <w:spacing w:val="-2"/>
        </w:rPr>
        <w:t xml:space="preserve"> </w:t>
      </w:r>
      <w:r>
        <w:t>llevó</w:t>
      </w:r>
      <w:r>
        <w:rPr>
          <w:spacing w:val="-2"/>
        </w:rPr>
        <w:t xml:space="preserve"> </w:t>
      </w:r>
      <w:r>
        <w:t>al</w:t>
      </w:r>
      <w:r>
        <w:rPr>
          <w:spacing w:val="-2"/>
        </w:rPr>
        <w:t xml:space="preserve"> </w:t>
      </w:r>
      <w:r>
        <w:t>involucramiento</w:t>
      </w:r>
      <w:r>
        <w:rPr>
          <w:spacing w:val="-2"/>
        </w:rPr>
        <w:t xml:space="preserve"> </w:t>
      </w:r>
      <w:r>
        <w:t>con</w:t>
      </w:r>
      <w:r>
        <w:rPr>
          <w:spacing w:val="-2"/>
        </w:rPr>
        <w:t xml:space="preserve"> </w:t>
      </w:r>
      <w:r>
        <w:t>el</w:t>
      </w:r>
      <w:r>
        <w:rPr>
          <w:spacing w:val="-2"/>
        </w:rPr>
        <w:t xml:space="preserve"> </w:t>
      </w:r>
      <w:r>
        <w:t>narcotráfico</w:t>
      </w:r>
      <w:r>
        <w:rPr>
          <w:spacing w:val="-2"/>
        </w:rPr>
        <w:t xml:space="preserve"> </w:t>
      </w:r>
      <w:r>
        <w:t>y</w:t>
      </w:r>
      <w:r>
        <w:rPr>
          <w:spacing w:val="-4"/>
        </w:rPr>
        <w:t xml:space="preserve"> </w:t>
      </w:r>
      <w:r>
        <w:t>donde</w:t>
      </w:r>
      <w:r>
        <w:rPr>
          <w:spacing w:val="-2"/>
        </w:rPr>
        <w:t xml:space="preserve"> </w:t>
      </w:r>
      <w:r>
        <w:t>el</w:t>
      </w:r>
      <w:r>
        <w:rPr>
          <w:spacing w:val="-2"/>
        </w:rPr>
        <w:t xml:space="preserve"> </w:t>
      </w:r>
      <w:r>
        <w:t>desprecio</w:t>
      </w:r>
      <w:r>
        <w:rPr>
          <w:spacing w:val="-2"/>
        </w:rPr>
        <w:t xml:space="preserve"> </w:t>
      </w:r>
      <w:r>
        <w:t>por</w:t>
      </w:r>
      <w:r>
        <w:rPr>
          <w:spacing w:val="-2"/>
        </w:rPr>
        <w:t xml:space="preserve"> </w:t>
      </w:r>
      <w:r>
        <w:t>la</w:t>
      </w:r>
      <w:r>
        <w:rPr>
          <w:spacing w:val="-2"/>
        </w:rPr>
        <w:t xml:space="preserve"> </w:t>
      </w:r>
      <w:r>
        <w:t>vida de la gente considerada parte del enemigo fue parte de su modus operandi.</w:t>
      </w:r>
    </w:p>
    <w:p w:rsidR="003804AC" w:rsidRDefault="00AF18A5" w:rsidP="00881DC9">
      <w:r>
        <w:t xml:space="preserve">En tercer lugar, son responsables porque, a pesar de la masividad y </w:t>
      </w:r>
      <w:r>
        <w:lastRenderedPageBreak/>
        <w:t>sistematicidad de la violencia guerrillera, no tomaron decisiones ni implementaron políticas que frenaran y previnieran de manera efectiva la comisión de graves infracciones al DIH. En los años de mayor confrontación armada, las guerrillas, pero especialmente las FARC-EP y el ELN, usaron métodos y medios prohibidos como minas antipersonales o los llamados cilindros bomba que terminaron afectando indistintamente a civiles y combatientes con muertes de pobladores</w:t>
      </w:r>
      <w:r>
        <w:rPr>
          <w:spacing w:val="-14"/>
        </w:rPr>
        <w:t xml:space="preserve"> </w:t>
      </w:r>
      <w:r>
        <w:t>de</w:t>
      </w:r>
      <w:r>
        <w:rPr>
          <w:spacing w:val="-13"/>
        </w:rPr>
        <w:t xml:space="preserve"> </w:t>
      </w:r>
      <w:r>
        <w:t>todas</w:t>
      </w:r>
      <w:r>
        <w:rPr>
          <w:spacing w:val="-14"/>
        </w:rPr>
        <w:t xml:space="preserve"> </w:t>
      </w:r>
      <w:r>
        <w:t>las</w:t>
      </w:r>
      <w:r>
        <w:rPr>
          <w:spacing w:val="-14"/>
        </w:rPr>
        <w:t xml:space="preserve"> </w:t>
      </w:r>
      <w:r>
        <w:t>edades.</w:t>
      </w:r>
      <w:r>
        <w:rPr>
          <w:spacing w:val="-13"/>
        </w:rPr>
        <w:t xml:space="preserve"> </w:t>
      </w:r>
      <w:r>
        <w:t>Cometieron</w:t>
      </w:r>
      <w:r>
        <w:rPr>
          <w:spacing w:val="-13"/>
        </w:rPr>
        <w:t xml:space="preserve"> </w:t>
      </w:r>
      <w:r>
        <w:t>asesinatos</w:t>
      </w:r>
      <w:r>
        <w:rPr>
          <w:spacing w:val="-13"/>
        </w:rPr>
        <w:t xml:space="preserve"> </w:t>
      </w:r>
      <w:r>
        <w:t>de</w:t>
      </w:r>
      <w:r>
        <w:rPr>
          <w:spacing w:val="-14"/>
        </w:rPr>
        <w:t xml:space="preserve"> </w:t>
      </w:r>
      <w:r>
        <w:t>personas</w:t>
      </w:r>
      <w:r>
        <w:rPr>
          <w:spacing w:val="-13"/>
        </w:rPr>
        <w:t xml:space="preserve"> </w:t>
      </w:r>
      <w:r>
        <w:t>puestas</w:t>
      </w:r>
      <w:r>
        <w:rPr>
          <w:spacing w:val="-13"/>
        </w:rPr>
        <w:t xml:space="preserve"> </w:t>
      </w:r>
      <w:r>
        <w:t>fuera</w:t>
      </w:r>
      <w:r>
        <w:rPr>
          <w:spacing w:val="-13"/>
        </w:rPr>
        <w:t xml:space="preserve"> </w:t>
      </w:r>
      <w:r>
        <w:t>de</w:t>
      </w:r>
      <w:r>
        <w:rPr>
          <w:spacing w:val="-14"/>
        </w:rPr>
        <w:t xml:space="preserve"> </w:t>
      </w:r>
      <w:r>
        <w:t>combate, mantuvieron a las personas secuestradas en condiciones que constituyen torturas y tratos crueles,</w:t>
      </w:r>
      <w:r>
        <w:rPr>
          <w:spacing w:val="-5"/>
        </w:rPr>
        <w:t xml:space="preserve"> </w:t>
      </w:r>
      <w:r>
        <w:t>inhumanos</w:t>
      </w:r>
      <w:r>
        <w:rPr>
          <w:spacing w:val="-5"/>
        </w:rPr>
        <w:t xml:space="preserve"> </w:t>
      </w:r>
      <w:r>
        <w:t>y</w:t>
      </w:r>
      <w:r>
        <w:rPr>
          <w:spacing w:val="-5"/>
        </w:rPr>
        <w:t xml:space="preserve"> </w:t>
      </w:r>
      <w:r>
        <w:t>degradantes,</w:t>
      </w:r>
      <w:r>
        <w:rPr>
          <w:spacing w:val="-5"/>
        </w:rPr>
        <w:t xml:space="preserve"> </w:t>
      </w:r>
      <w:r>
        <w:t>y</w:t>
      </w:r>
      <w:r>
        <w:rPr>
          <w:spacing w:val="-5"/>
        </w:rPr>
        <w:t xml:space="preserve"> </w:t>
      </w:r>
      <w:r>
        <w:t>en</w:t>
      </w:r>
      <w:r>
        <w:rPr>
          <w:spacing w:val="-5"/>
        </w:rPr>
        <w:t xml:space="preserve"> </w:t>
      </w:r>
      <w:r>
        <w:t>varios</w:t>
      </w:r>
      <w:r>
        <w:rPr>
          <w:spacing w:val="-5"/>
        </w:rPr>
        <w:t xml:space="preserve"> </w:t>
      </w:r>
      <w:r>
        <w:t>casos</w:t>
      </w:r>
      <w:r>
        <w:rPr>
          <w:spacing w:val="-5"/>
        </w:rPr>
        <w:t xml:space="preserve"> </w:t>
      </w:r>
      <w:r>
        <w:t>las</w:t>
      </w:r>
      <w:r>
        <w:rPr>
          <w:spacing w:val="-5"/>
        </w:rPr>
        <w:t xml:space="preserve"> </w:t>
      </w:r>
      <w:r>
        <w:t>asesinaron</w:t>
      </w:r>
      <w:r>
        <w:rPr>
          <w:spacing w:val="-5"/>
        </w:rPr>
        <w:t xml:space="preserve"> </w:t>
      </w:r>
      <w:r>
        <w:t>por</w:t>
      </w:r>
      <w:r>
        <w:rPr>
          <w:spacing w:val="-4"/>
        </w:rPr>
        <w:t xml:space="preserve"> </w:t>
      </w:r>
      <w:r>
        <w:t>querer</w:t>
      </w:r>
      <w:r>
        <w:rPr>
          <w:spacing w:val="-4"/>
        </w:rPr>
        <w:t xml:space="preserve"> </w:t>
      </w:r>
      <w:r>
        <w:t>escapar</w:t>
      </w:r>
      <w:r>
        <w:rPr>
          <w:spacing w:val="-4"/>
        </w:rPr>
        <w:t xml:space="preserve"> </w:t>
      </w:r>
      <w:r>
        <w:t>o</w:t>
      </w:r>
      <w:r>
        <w:rPr>
          <w:spacing w:val="-6"/>
        </w:rPr>
        <w:t xml:space="preserve"> </w:t>
      </w:r>
      <w:r>
        <w:t>ante la</w:t>
      </w:r>
      <w:r>
        <w:rPr>
          <w:spacing w:val="-11"/>
        </w:rPr>
        <w:t xml:space="preserve"> </w:t>
      </w:r>
      <w:r>
        <w:t>inminencia</w:t>
      </w:r>
      <w:r>
        <w:rPr>
          <w:spacing w:val="-11"/>
        </w:rPr>
        <w:t xml:space="preserve"> </w:t>
      </w:r>
      <w:r>
        <w:t>de</w:t>
      </w:r>
      <w:r>
        <w:rPr>
          <w:spacing w:val="-11"/>
        </w:rPr>
        <w:t xml:space="preserve"> </w:t>
      </w:r>
      <w:r>
        <w:t>un</w:t>
      </w:r>
      <w:r>
        <w:rPr>
          <w:spacing w:val="-11"/>
        </w:rPr>
        <w:t xml:space="preserve"> </w:t>
      </w:r>
      <w:r>
        <w:t>rescate</w:t>
      </w:r>
      <w:r>
        <w:rPr>
          <w:spacing w:val="-11"/>
        </w:rPr>
        <w:t xml:space="preserve"> </w:t>
      </w:r>
      <w:r>
        <w:t>por</w:t>
      </w:r>
      <w:r>
        <w:rPr>
          <w:spacing w:val="-10"/>
        </w:rPr>
        <w:t xml:space="preserve"> </w:t>
      </w:r>
      <w:r>
        <w:t>las</w:t>
      </w:r>
      <w:r>
        <w:rPr>
          <w:spacing w:val="-11"/>
        </w:rPr>
        <w:t xml:space="preserve"> </w:t>
      </w:r>
      <w:r>
        <w:t>Fuerzas</w:t>
      </w:r>
      <w:r>
        <w:rPr>
          <w:spacing w:val="-11"/>
        </w:rPr>
        <w:t xml:space="preserve"> </w:t>
      </w:r>
      <w:r>
        <w:t>Militares;</w:t>
      </w:r>
      <w:r>
        <w:rPr>
          <w:spacing w:val="-10"/>
        </w:rPr>
        <w:t xml:space="preserve"> </w:t>
      </w:r>
      <w:r>
        <w:t>reclutaron</w:t>
      </w:r>
      <w:r>
        <w:rPr>
          <w:spacing w:val="-11"/>
        </w:rPr>
        <w:t xml:space="preserve"> </w:t>
      </w:r>
      <w:r>
        <w:t>niñas</w:t>
      </w:r>
      <w:r>
        <w:rPr>
          <w:spacing w:val="-11"/>
        </w:rPr>
        <w:t xml:space="preserve"> </w:t>
      </w:r>
      <w:r>
        <w:t>y</w:t>
      </w:r>
      <w:r>
        <w:rPr>
          <w:spacing w:val="-11"/>
        </w:rPr>
        <w:t xml:space="preserve"> </w:t>
      </w:r>
      <w:r>
        <w:t>niños</w:t>
      </w:r>
      <w:r>
        <w:rPr>
          <w:spacing w:val="-11"/>
        </w:rPr>
        <w:t xml:space="preserve"> </w:t>
      </w:r>
      <w:r>
        <w:t>que</w:t>
      </w:r>
      <w:r>
        <w:rPr>
          <w:spacing w:val="-11"/>
        </w:rPr>
        <w:t xml:space="preserve"> </w:t>
      </w:r>
      <w:r>
        <w:t>no</w:t>
      </w:r>
      <w:r>
        <w:rPr>
          <w:spacing w:val="-11"/>
        </w:rPr>
        <w:t xml:space="preserve"> </w:t>
      </w:r>
      <w:r>
        <w:t>estaban en condiciones de decidir sobre reclutamiento y se encontraban en condiciones de vulnerabilidad y grave desprotección social del Estado y la sociedad. Practicaron fusilamientos en contra de la población civil o de sus propios miembros acusados de pertenecer al bando enemigo. Por otra parte, las guerrillas fueron responsables también de extorsiones y la captura de rentas del Estado y el control del poder político en las zonas en que han tenido una presencia durante décadas, atacando incluso a los responsables políticos elegidos, lo que supone un ataque a la democracia.</w:t>
      </w:r>
    </w:p>
    <w:p w:rsidR="003804AC" w:rsidRDefault="00AF18A5" w:rsidP="00881DC9">
      <w:r>
        <w:t>Finalmente,</w:t>
      </w:r>
      <w:r>
        <w:rPr>
          <w:spacing w:val="-7"/>
        </w:rPr>
        <w:t xml:space="preserve"> </w:t>
      </w:r>
      <w:r>
        <w:t>se</w:t>
      </w:r>
      <w:r>
        <w:rPr>
          <w:spacing w:val="-4"/>
        </w:rPr>
        <w:t xml:space="preserve"> </w:t>
      </w:r>
      <w:r>
        <w:t>destacan</w:t>
      </w:r>
      <w:r>
        <w:rPr>
          <w:spacing w:val="-6"/>
        </w:rPr>
        <w:t xml:space="preserve"> </w:t>
      </w:r>
      <w:r>
        <w:t>las</w:t>
      </w:r>
      <w:r>
        <w:rPr>
          <w:spacing w:val="-4"/>
        </w:rPr>
        <w:t xml:space="preserve"> </w:t>
      </w:r>
      <w:r>
        <w:t>responsabilidades</w:t>
      </w:r>
      <w:r>
        <w:rPr>
          <w:spacing w:val="-4"/>
        </w:rPr>
        <w:t xml:space="preserve"> </w:t>
      </w:r>
      <w:r>
        <w:t>de</w:t>
      </w:r>
      <w:r>
        <w:rPr>
          <w:spacing w:val="-4"/>
        </w:rPr>
        <w:t xml:space="preserve"> </w:t>
      </w:r>
      <w:r>
        <w:t>los</w:t>
      </w:r>
      <w:r>
        <w:rPr>
          <w:spacing w:val="-4"/>
        </w:rPr>
        <w:t xml:space="preserve"> </w:t>
      </w:r>
      <w:r>
        <w:t>grupos</w:t>
      </w:r>
      <w:r>
        <w:rPr>
          <w:spacing w:val="-6"/>
        </w:rPr>
        <w:t xml:space="preserve"> </w:t>
      </w:r>
      <w:r>
        <w:t>armados</w:t>
      </w:r>
      <w:r>
        <w:rPr>
          <w:spacing w:val="-4"/>
        </w:rPr>
        <w:t xml:space="preserve"> </w:t>
      </w:r>
      <w:proofErr w:type="spellStart"/>
      <w:r>
        <w:t>posdesmovilización</w:t>
      </w:r>
      <w:proofErr w:type="spellEnd"/>
      <w:r>
        <w:t xml:space="preserve"> en</w:t>
      </w:r>
      <w:r>
        <w:rPr>
          <w:spacing w:val="-1"/>
        </w:rPr>
        <w:t xml:space="preserve"> </w:t>
      </w:r>
      <w:r>
        <w:t>infracciones</w:t>
      </w:r>
      <w:r>
        <w:rPr>
          <w:spacing w:val="-1"/>
        </w:rPr>
        <w:t xml:space="preserve"> </w:t>
      </w:r>
      <w:r>
        <w:t>graves</w:t>
      </w:r>
      <w:r>
        <w:rPr>
          <w:spacing w:val="-1"/>
        </w:rPr>
        <w:t xml:space="preserve"> </w:t>
      </w:r>
      <w:r>
        <w:t>al</w:t>
      </w:r>
      <w:r>
        <w:rPr>
          <w:spacing w:val="-1"/>
        </w:rPr>
        <w:t xml:space="preserve"> </w:t>
      </w:r>
      <w:r>
        <w:t>DIH.</w:t>
      </w:r>
      <w:r>
        <w:rPr>
          <w:spacing w:val="-1"/>
        </w:rPr>
        <w:t xml:space="preserve"> </w:t>
      </w:r>
      <w:r>
        <w:t>Las</w:t>
      </w:r>
      <w:r>
        <w:rPr>
          <w:spacing w:val="-1"/>
        </w:rPr>
        <w:t xml:space="preserve"> </w:t>
      </w:r>
      <w:r>
        <w:t>disidencias</w:t>
      </w:r>
      <w:r>
        <w:rPr>
          <w:spacing w:val="-2"/>
        </w:rPr>
        <w:t xml:space="preserve"> </w:t>
      </w:r>
      <w:r>
        <w:t>de</w:t>
      </w:r>
      <w:r>
        <w:rPr>
          <w:spacing w:val="-1"/>
        </w:rPr>
        <w:t xml:space="preserve"> </w:t>
      </w:r>
      <w:r>
        <w:t>las</w:t>
      </w:r>
      <w:r>
        <w:rPr>
          <w:spacing w:val="-2"/>
        </w:rPr>
        <w:t xml:space="preserve"> </w:t>
      </w:r>
      <w:r>
        <w:t>FARC-EP,</w:t>
      </w:r>
      <w:r>
        <w:rPr>
          <w:spacing w:val="-1"/>
        </w:rPr>
        <w:t xml:space="preserve"> </w:t>
      </w:r>
      <w:r>
        <w:t>la</w:t>
      </w:r>
      <w:r>
        <w:rPr>
          <w:spacing w:val="-1"/>
        </w:rPr>
        <w:t xml:space="preserve"> </w:t>
      </w:r>
      <w:r>
        <w:t>Segunda</w:t>
      </w:r>
      <w:r>
        <w:rPr>
          <w:spacing w:val="-1"/>
        </w:rPr>
        <w:t xml:space="preserve"> </w:t>
      </w:r>
      <w:r>
        <w:t>Marquetalia,</w:t>
      </w:r>
      <w:r>
        <w:rPr>
          <w:spacing w:val="-2"/>
        </w:rPr>
        <w:t xml:space="preserve"> </w:t>
      </w:r>
      <w:r>
        <w:t>la guerrilla</w:t>
      </w:r>
      <w:r>
        <w:rPr>
          <w:spacing w:val="-3"/>
        </w:rPr>
        <w:t xml:space="preserve"> </w:t>
      </w:r>
      <w:r>
        <w:t>del</w:t>
      </w:r>
      <w:r>
        <w:rPr>
          <w:spacing w:val="-4"/>
        </w:rPr>
        <w:t xml:space="preserve"> </w:t>
      </w:r>
      <w:r>
        <w:t>ELN,</w:t>
      </w:r>
      <w:r>
        <w:rPr>
          <w:spacing w:val="-3"/>
        </w:rPr>
        <w:t xml:space="preserve"> </w:t>
      </w:r>
      <w:r>
        <w:t>son</w:t>
      </w:r>
      <w:r>
        <w:rPr>
          <w:spacing w:val="-3"/>
        </w:rPr>
        <w:t xml:space="preserve"> </w:t>
      </w:r>
      <w:r>
        <w:t>responsables</w:t>
      </w:r>
      <w:r>
        <w:rPr>
          <w:spacing w:val="-4"/>
        </w:rPr>
        <w:t xml:space="preserve"> </w:t>
      </w:r>
      <w:r>
        <w:t>de</w:t>
      </w:r>
      <w:r>
        <w:rPr>
          <w:spacing w:val="-3"/>
        </w:rPr>
        <w:t xml:space="preserve"> </w:t>
      </w:r>
      <w:r>
        <w:t>la</w:t>
      </w:r>
      <w:r>
        <w:rPr>
          <w:spacing w:val="-4"/>
        </w:rPr>
        <w:t xml:space="preserve"> </w:t>
      </w:r>
      <w:r>
        <w:t>continuidad</w:t>
      </w:r>
      <w:r>
        <w:rPr>
          <w:spacing w:val="-3"/>
        </w:rPr>
        <w:t xml:space="preserve"> </w:t>
      </w:r>
      <w:r>
        <w:t>de</w:t>
      </w:r>
      <w:r>
        <w:rPr>
          <w:spacing w:val="-4"/>
        </w:rPr>
        <w:t xml:space="preserve"> </w:t>
      </w:r>
      <w:r>
        <w:t>la</w:t>
      </w:r>
      <w:r>
        <w:rPr>
          <w:spacing w:val="-3"/>
        </w:rPr>
        <w:t xml:space="preserve"> </w:t>
      </w:r>
      <w:r>
        <w:t>guerra</w:t>
      </w:r>
      <w:r>
        <w:rPr>
          <w:spacing w:val="-4"/>
        </w:rPr>
        <w:t xml:space="preserve"> </w:t>
      </w:r>
      <w:r>
        <w:t>en</w:t>
      </w:r>
      <w:r>
        <w:rPr>
          <w:spacing w:val="-5"/>
        </w:rPr>
        <w:t xml:space="preserve"> </w:t>
      </w:r>
      <w:r>
        <w:t>muchos</w:t>
      </w:r>
      <w:r>
        <w:rPr>
          <w:spacing w:val="-3"/>
        </w:rPr>
        <w:t xml:space="preserve"> </w:t>
      </w:r>
      <w:r>
        <w:t>territorios</w:t>
      </w:r>
      <w:r>
        <w:rPr>
          <w:spacing w:val="-3"/>
        </w:rPr>
        <w:t xml:space="preserve"> </w:t>
      </w:r>
      <w:r>
        <w:t>con un</w:t>
      </w:r>
      <w:r>
        <w:rPr>
          <w:spacing w:val="-5"/>
        </w:rPr>
        <w:t xml:space="preserve"> </w:t>
      </w:r>
      <w:r>
        <w:t>enorme</w:t>
      </w:r>
      <w:r>
        <w:rPr>
          <w:spacing w:val="-6"/>
        </w:rPr>
        <w:t xml:space="preserve"> </w:t>
      </w:r>
      <w:r>
        <w:t>impacto</w:t>
      </w:r>
      <w:r>
        <w:rPr>
          <w:spacing w:val="-6"/>
        </w:rPr>
        <w:t xml:space="preserve"> </w:t>
      </w:r>
      <w:r>
        <w:t>en</w:t>
      </w:r>
      <w:r>
        <w:rPr>
          <w:spacing w:val="-5"/>
        </w:rPr>
        <w:t xml:space="preserve"> </w:t>
      </w:r>
      <w:r>
        <w:t>la</w:t>
      </w:r>
      <w:r>
        <w:rPr>
          <w:spacing w:val="-6"/>
        </w:rPr>
        <w:t xml:space="preserve"> </w:t>
      </w:r>
      <w:r>
        <w:t>población</w:t>
      </w:r>
      <w:r>
        <w:rPr>
          <w:spacing w:val="-6"/>
        </w:rPr>
        <w:t xml:space="preserve"> </w:t>
      </w:r>
      <w:r>
        <w:t>civil.</w:t>
      </w:r>
      <w:r>
        <w:rPr>
          <w:spacing w:val="-5"/>
        </w:rPr>
        <w:t xml:space="preserve"> </w:t>
      </w:r>
      <w:r>
        <w:t>Las</w:t>
      </w:r>
      <w:r>
        <w:rPr>
          <w:spacing w:val="-4"/>
        </w:rPr>
        <w:t xml:space="preserve"> </w:t>
      </w:r>
      <w:r>
        <w:t>autodenominadas</w:t>
      </w:r>
      <w:r>
        <w:rPr>
          <w:spacing w:val="-4"/>
        </w:rPr>
        <w:t xml:space="preserve"> </w:t>
      </w:r>
      <w:r>
        <w:t>Autodefensas</w:t>
      </w:r>
      <w:r>
        <w:rPr>
          <w:spacing w:val="-4"/>
        </w:rPr>
        <w:t xml:space="preserve"> </w:t>
      </w:r>
      <w:proofErr w:type="spellStart"/>
      <w:r>
        <w:t>Gaitanistas</w:t>
      </w:r>
      <w:proofErr w:type="spellEnd"/>
      <w:r>
        <w:rPr>
          <w:spacing w:val="-4"/>
        </w:rPr>
        <w:t xml:space="preserve"> </w:t>
      </w:r>
      <w:r>
        <w:t xml:space="preserve">de Colombia es el grupo más comprometido en esta violencia, que van desde el reclutamiento de niñas, niños y </w:t>
      </w:r>
      <w:r>
        <w:lastRenderedPageBreak/>
        <w:t>adolescentes, pasando por el desplazamiento forzado de comunidades campesinas y étnicas, hasta el asesinato de excombatientes de las FARC–EP y el asesinato de</w:t>
      </w:r>
      <w:r>
        <w:rPr>
          <w:spacing w:val="32"/>
        </w:rPr>
        <w:t xml:space="preserve"> </w:t>
      </w:r>
      <w:r>
        <w:t>líderes</w:t>
      </w:r>
      <w:r>
        <w:rPr>
          <w:spacing w:val="34"/>
        </w:rPr>
        <w:t xml:space="preserve"> </w:t>
      </w:r>
      <w:r>
        <w:t>sociales.</w:t>
      </w:r>
      <w:r>
        <w:rPr>
          <w:spacing w:val="33"/>
        </w:rPr>
        <w:t xml:space="preserve"> </w:t>
      </w:r>
      <w:r>
        <w:t>La</w:t>
      </w:r>
      <w:r>
        <w:rPr>
          <w:spacing w:val="32"/>
        </w:rPr>
        <w:t xml:space="preserve"> </w:t>
      </w:r>
      <w:r>
        <w:t>frustración</w:t>
      </w:r>
      <w:r>
        <w:rPr>
          <w:spacing w:val="33"/>
        </w:rPr>
        <w:t xml:space="preserve"> </w:t>
      </w:r>
      <w:r>
        <w:t>de</w:t>
      </w:r>
      <w:r>
        <w:rPr>
          <w:spacing w:val="34"/>
        </w:rPr>
        <w:t xml:space="preserve"> </w:t>
      </w:r>
      <w:r>
        <w:t>las</w:t>
      </w:r>
      <w:r>
        <w:rPr>
          <w:spacing w:val="34"/>
        </w:rPr>
        <w:t xml:space="preserve"> </w:t>
      </w:r>
      <w:r>
        <w:t>expectativas</w:t>
      </w:r>
      <w:r>
        <w:rPr>
          <w:spacing w:val="34"/>
        </w:rPr>
        <w:t xml:space="preserve"> </w:t>
      </w:r>
      <w:r>
        <w:t>de</w:t>
      </w:r>
      <w:r>
        <w:rPr>
          <w:spacing w:val="32"/>
        </w:rPr>
        <w:t xml:space="preserve"> </w:t>
      </w:r>
      <w:r>
        <w:t>paz</w:t>
      </w:r>
      <w:r>
        <w:rPr>
          <w:spacing w:val="35"/>
        </w:rPr>
        <w:t xml:space="preserve"> </w:t>
      </w:r>
      <w:r>
        <w:t>son</w:t>
      </w:r>
      <w:r>
        <w:rPr>
          <w:spacing w:val="33"/>
        </w:rPr>
        <w:t xml:space="preserve"> </w:t>
      </w:r>
      <w:r>
        <w:t>un</w:t>
      </w:r>
      <w:r>
        <w:rPr>
          <w:spacing w:val="32"/>
        </w:rPr>
        <w:t xml:space="preserve"> </w:t>
      </w:r>
      <w:r>
        <w:t>enorme</w:t>
      </w:r>
      <w:r>
        <w:rPr>
          <w:spacing w:val="32"/>
        </w:rPr>
        <w:t xml:space="preserve"> </w:t>
      </w:r>
      <w:r>
        <w:t>riesgo</w:t>
      </w:r>
      <w:r>
        <w:rPr>
          <w:spacing w:val="34"/>
        </w:rPr>
        <w:t xml:space="preserve"> </w:t>
      </w:r>
      <w:r>
        <w:rPr>
          <w:spacing w:val="-4"/>
        </w:rPr>
        <w:t>para</w:t>
      </w:r>
      <w:r w:rsidR="00881DC9">
        <w:t xml:space="preserve"> </w:t>
      </w:r>
      <w:r>
        <w:t>Colombia, una demanda de la sociedad que debe ser respondida de manera diferente por dichos grupos para la consolidación y extensión de la paz y la democracia.</w:t>
      </w:r>
    </w:p>
    <w:p w:rsidR="00F973AA" w:rsidRDefault="00AF18A5" w:rsidP="00881DC9">
      <w:r>
        <w:t>Tener</w:t>
      </w:r>
      <w:r>
        <w:rPr>
          <w:spacing w:val="-8"/>
        </w:rPr>
        <w:t xml:space="preserve"> </w:t>
      </w:r>
      <w:r>
        <w:t>tantas</w:t>
      </w:r>
      <w:r>
        <w:rPr>
          <w:spacing w:val="-9"/>
        </w:rPr>
        <w:t xml:space="preserve"> </w:t>
      </w:r>
      <w:r>
        <w:t>violaciones</w:t>
      </w:r>
      <w:r>
        <w:rPr>
          <w:spacing w:val="-9"/>
        </w:rPr>
        <w:t xml:space="preserve"> </w:t>
      </w:r>
      <w:r>
        <w:t>de</w:t>
      </w:r>
      <w:r>
        <w:rPr>
          <w:spacing w:val="-8"/>
        </w:rPr>
        <w:t xml:space="preserve"> </w:t>
      </w:r>
      <w:r>
        <w:t>derechos</w:t>
      </w:r>
      <w:r>
        <w:rPr>
          <w:spacing w:val="-9"/>
        </w:rPr>
        <w:t xml:space="preserve"> </w:t>
      </w:r>
      <w:r>
        <w:t>humanos</w:t>
      </w:r>
      <w:r>
        <w:rPr>
          <w:spacing w:val="-8"/>
        </w:rPr>
        <w:t xml:space="preserve"> </w:t>
      </w:r>
      <w:r>
        <w:t>e</w:t>
      </w:r>
      <w:r>
        <w:rPr>
          <w:spacing w:val="-8"/>
        </w:rPr>
        <w:t xml:space="preserve"> </w:t>
      </w:r>
      <w:r>
        <w:t>infracciones</w:t>
      </w:r>
      <w:r>
        <w:rPr>
          <w:spacing w:val="-9"/>
        </w:rPr>
        <w:t xml:space="preserve"> </w:t>
      </w:r>
      <w:r>
        <w:t>al</w:t>
      </w:r>
      <w:r>
        <w:rPr>
          <w:spacing w:val="-8"/>
        </w:rPr>
        <w:t xml:space="preserve"> </w:t>
      </w:r>
      <w:r>
        <w:t>DIH,</w:t>
      </w:r>
      <w:r>
        <w:rPr>
          <w:spacing w:val="-8"/>
        </w:rPr>
        <w:t xml:space="preserve"> </w:t>
      </w:r>
      <w:r>
        <w:t>durante</w:t>
      </w:r>
      <w:r>
        <w:rPr>
          <w:spacing w:val="-8"/>
        </w:rPr>
        <w:t xml:space="preserve"> </w:t>
      </w:r>
      <w:r>
        <w:t>tantos</w:t>
      </w:r>
      <w:r>
        <w:rPr>
          <w:spacing w:val="-8"/>
        </w:rPr>
        <w:t xml:space="preserve"> </w:t>
      </w:r>
      <w:r>
        <w:t>años, en casi todos los rincones del país, realizadas por los diferentes actores del conflicto, contra millones</w:t>
      </w:r>
      <w:r>
        <w:rPr>
          <w:spacing w:val="-12"/>
        </w:rPr>
        <w:t xml:space="preserve"> </w:t>
      </w:r>
      <w:r>
        <w:t>de</w:t>
      </w:r>
      <w:r>
        <w:rPr>
          <w:spacing w:val="-13"/>
        </w:rPr>
        <w:t xml:space="preserve"> </w:t>
      </w:r>
      <w:r>
        <w:t>personas,</w:t>
      </w:r>
      <w:r>
        <w:rPr>
          <w:spacing w:val="-12"/>
        </w:rPr>
        <w:t xml:space="preserve"> </w:t>
      </w:r>
      <w:r>
        <w:t>hizo</w:t>
      </w:r>
      <w:r>
        <w:rPr>
          <w:spacing w:val="-12"/>
        </w:rPr>
        <w:t xml:space="preserve"> </w:t>
      </w:r>
      <w:r>
        <w:t>que</w:t>
      </w:r>
      <w:r>
        <w:rPr>
          <w:spacing w:val="-12"/>
        </w:rPr>
        <w:t xml:space="preserve"> </w:t>
      </w:r>
      <w:r>
        <w:t>Colombia</w:t>
      </w:r>
      <w:r>
        <w:rPr>
          <w:spacing w:val="-12"/>
        </w:rPr>
        <w:t xml:space="preserve"> </w:t>
      </w:r>
      <w:r>
        <w:t>fuese</w:t>
      </w:r>
      <w:r>
        <w:rPr>
          <w:spacing w:val="-12"/>
        </w:rPr>
        <w:t xml:space="preserve"> </w:t>
      </w:r>
      <w:r>
        <w:t>reconocida</w:t>
      </w:r>
      <w:r>
        <w:rPr>
          <w:spacing w:val="-12"/>
        </w:rPr>
        <w:t xml:space="preserve"> </w:t>
      </w:r>
      <w:r>
        <w:t>como</w:t>
      </w:r>
      <w:r>
        <w:rPr>
          <w:spacing w:val="-12"/>
        </w:rPr>
        <w:t xml:space="preserve"> </w:t>
      </w:r>
      <w:r>
        <w:t>una</w:t>
      </w:r>
      <w:r>
        <w:rPr>
          <w:spacing w:val="-12"/>
        </w:rPr>
        <w:t xml:space="preserve"> </w:t>
      </w:r>
      <w:r>
        <w:t>de</w:t>
      </w:r>
      <w:r>
        <w:rPr>
          <w:spacing w:val="-12"/>
        </w:rPr>
        <w:t xml:space="preserve"> </w:t>
      </w:r>
      <w:r>
        <w:t>las</w:t>
      </w:r>
      <w:r>
        <w:rPr>
          <w:spacing w:val="-12"/>
        </w:rPr>
        <w:t xml:space="preserve"> </w:t>
      </w:r>
      <w:r>
        <w:t>democracias</w:t>
      </w:r>
      <w:r>
        <w:rPr>
          <w:spacing w:val="-12"/>
        </w:rPr>
        <w:t xml:space="preserve"> </w:t>
      </w:r>
      <w:r>
        <w:t>más violentas del</w:t>
      </w:r>
      <w:r>
        <w:rPr>
          <w:spacing w:val="-1"/>
        </w:rPr>
        <w:t xml:space="preserve"> </w:t>
      </w:r>
      <w:r>
        <w:t>mundo. Qué paradoja que un país que se jacta de tener una de las democracias más</w:t>
      </w:r>
      <w:r>
        <w:rPr>
          <w:spacing w:val="-4"/>
        </w:rPr>
        <w:t xml:space="preserve"> </w:t>
      </w:r>
      <w:r>
        <w:t>antiguas</w:t>
      </w:r>
      <w:r>
        <w:rPr>
          <w:spacing w:val="-5"/>
        </w:rPr>
        <w:t xml:space="preserve"> </w:t>
      </w:r>
      <w:r>
        <w:t>del</w:t>
      </w:r>
      <w:r>
        <w:rPr>
          <w:spacing w:val="-4"/>
        </w:rPr>
        <w:t xml:space="preserve"> </w:t>
      </w:r>
      <w:r>
        <w:t>continente</w:t>
      </w:r>
      <w:r>
        <w:rPr>
          <w:spacing w:val="-4"/>
        </w:rPr>
        <w:t xml:space="preserve"> </w:t>
      </w:r>
      <w:r>
        <w:t>americano</w:t>
      </w:r>
      <w:r>
        <w:rPr>
          <w:spacing w:val="-5"/>
        </w:rPr>
        <w:t xml:space="preserve"> </w:t>
      </w:r>
      <w:r>
        <w:t>sea</w:t>
      </w:r>
      <w:r>
        <w:rPr>
          <w:spacing w:val="-5"/>
        </w:rPr>
        <w:t xml:space="preserve"> </w:t>
      </w:r>
      <w:r>
        <w:t>una</w:t>
      </w:r>
      <w:r>
        <w:rPr>
          <w:spacing w:val="-4"/>
        </w:rPr>
        <w:t xml:space="preserve"> </w:t>
      </w:r>
      <w:r>
        <w:t>sociedad</w:t>
      </w:r>
      <w:r>
        <w:rPr>
          <w:spacing w:val="-5"/>
        </w:rPr>
        <w:t xml:space="preserve"> </w:t>
      </w:r>
      <w:r>
        <w:t>que</w:t>
      </w:r>
      <w:r>
        <w:rPr>
          <w:spacing w:val="-5"/>
        </w:rPr>
        <w:t xml:space="preserve"> </w:t>
      </w:r>
      <w:r>
        <w:t>se</w:t>
      </w:r>
      <w:r>
        <w:rPr>
          <w:spacing w:val="-4"/>
        </w:rPr>
        <w:t xml:space="preserve"> </w:t>
      </w:r>
      <w:r>
        <w:t>haya</w:t>
      </w:r>
      <w:r>
        <w:rPr>
          <w:spacing w:val="-4"/>
        </w:rPr>
        <w:t xml:space="preserve"> </w:t>
      </w:r>
      <w:r>
        <w:t>atacado</w:t>
      </w:r>
      <w:r>
        <w:rPr>
          <w:spacing w:val="-5"/>
        </w:rPr>
        <w:t xml:space="preserve"> </w:t>
      </w:r>
      <w:r>
        <w:t>a</w:t>
      </w:r>
      <w:r>
        <w:rPr>
          <w:spacing w:val="-4"/>
        </w:rPr>
        <w:t xml:space="preserve"> </w:t>
      </w:r>
      <w:r>
        <w:t>sí</w:t>
      </w:r>
      <w:r>
        <w:rPr>
          <w:spacing w:val="-5"/>
        </w:rPr>
        <w:t xml:space="preserve"> </w:t>
      </w:r>
      <w:r>
        <w:t>misma</w:t>
      </w:r>
      <w:r>
        <w:rPr>
          <w:spacing w:val="-4"/>
        </w:rPr>
        <w:t xml:space="preserve"> </w:t>
      </w:r>
      <w:r>
        <w:t>con semejantes</w:t>
      </w:r>
      <w:r>
        <w:rPr>
          <w:spacing w:val="-2"/>
        </w:rPr>
        <w:t xml:space="preserve"> </w:t>
      </w:r>
      <w:r>
        <w:t>niveles</w:t>
      </w:r>
      <w:r>
        <w:rPr>
          <w:spacing w:val="-1"/>
        </w:rPr>
        <w:t xml:space="preserve"> </w:t>
      </w:r>
      <w:r>
        <w:t>de</w:t>
      </w:r>
      <w:r>
        <w:rPr>
          <w:spacing w:val="-1"/>
        </w:rPr>
        <w:t xml:space="preserve"> </w:t>
      </w:r>
      <w:r>
        <w:t>violencia.</w:t>
      </w:r>
      <w:r>
        <w:rPr>
          <w:spacing w:val="-1"/>
        </w:rPr>
        <w:t xml:space="preserve"> </w:t>
      </w:r>
      <w:r>
        <w:t>Y</w:t>
      </w:r>
      <w:r>
        <w:rPr>
          <w:spacing w:val="-2"/>
        </w:rPr>
        <w:t xml:space="preserve"> </w:t>
      </w:r>
      <w:r>
        <w:t>no</w:t>
      </w:r>
      <w:r>
        <w:rPr>
          <w:spacing w:val="-1"/>
        </w:rPr>
        <w:t xml:space="preserve"> </w:t>
      </w:r>
      <w:r>
        <w:t>fue</w:t>
      </w:r>
      <w:r>
        <w:rPr>
          <w:spacing w:val="-1"/>
        </w:rPr>
        <w:t xml:space="preserve"> </w:t>
      </w:r>
      <w:r>
        <w:t>una</w:t>
      </w:r>
      <w:r>
        <w:rPr>
          <w:spacing w:val="-1"/>
        </w:rPr>
        <w:t xml:space="preserve"> </w:t>
      </w:r>
      <w:r>
        <w:t>violencia</w:t>
      </w:r>
      <w:r>
        <w:rPr>
          <w:spacing w:val="-1"/>
        </w:rPr>
        <w:t xml:space="preserve"> </w:t>
      </w:r>
      <w:r>
        <w:t>cualquiera.</w:t>
      </w:r>
      <w:r>
        <w:rPr>
          <w:spacing w:val="-2"/>
        </w:rPr>
        <w:t xml:space="preserve"> </w:t>
      </w:r>
      <w:r>
        <w:t>Fueron</w:t>
      </w:r>
      <w:r>
        <w:rPr>
          <w:spacing w:val="-1"/>
        </w:rPr>
        <w:t xml:space="preserve"> </w:t>
      </w:r>
      <w:r>
        <w:t>miles</w:t>
      </w:r>
      <w:r>
        <w:rPr>
          <w:spacing w:val="-1"/>
        </w:rPr>
        <w:t xml:space="preserve"> </w:t>
      </w:r>
      <w:r>
        <w:t>y</w:t>
      </w:r>
      <w:r>
        <w:rPr>
          <w:spacing w:val="-3"/>
        </w:rPr>
        <w:t xml:space="preserve"> </w:t>
      </w:r>
      <w:r>
        <w:t>miles</w:t>
      </w:r>
      <w:r>
        <w:rPr>
          <w:spacing w:val="-1"/>
        </w:rPr>
        <w:t xml:space="preserve"> </w:t>
      </w:r>
      <w:r>
        <w:t>de hechos que afectaron durante décadas sobre todo a civiles, en la gran mayoría de los casos en</w:t>
      </w:r>
      <w:r>
        <w:rPr>
          <w:spacing w:val="-5"/>
        </w:rPr>
        <w:t xml:space="preserve"> </w:t>
      </w:r>
      <w:r>
        <w:t>absoluta</w:t>
      </w:r>
      <w:r>
        <w:rPr>
          <w:spacing w:val="-5"/>
        </w:rPr>
        <w:t xml:space="preserve"> </w:t>
      </w:r>
      <w:r>
        <w:t>indefensión,</w:t>
      </w:r>
      <w:r>
        <w:rPr>
          <w:spacing w:val="-6"/>
        </w:rPr>
        <w:t xml:space="preserve"> </w:t>
      </w:r>
      <w:r>
        <w:t>que</w:t>
      </w:r>
      <w:r>
        <w:rPr>
          <w:spacing w:val="-5"/>
        </w:rPr>
        <w:t xml:space="preserve"> </w:t>
      </w:r>
      <w:r>
        <w:t>no</w:t>
      </w:r>
      <w:r>
        <w:rPr>
          <w:spacing w:val="-5"/>
        </w:rPr>
        <w:t xml:space="preserve"> </w:t>
      </w:r>
      <w:r>
        <w:t>eran</w:t>
      </w:r>
      <w:r>
        <w:rPr>
          <w:spacing w:val="-5"/>
        </w:rPr>
        <w:t xml:space="preserve"> </w:t>
      </w:r>
      <w:r>
        <w:t>partícipes</w:t>
      </w:r>
      <w:r>
        <w:rPr>
          <w:spacing w:val="-5"/>
        </w:rPr>
        <w:t xml:space="preserve"> </w:t>
      </w:r>
      <w:r>
        <w:t>directos</w:t>
      </w:r>
      <w:r>
        <w:rPr>
          <w:spacing w:val="-5"/>
        </w:rPr>
        <w:t xml:space="preserve"> </w:t>
      </w:r>
      <w:r>
        <w:t>en</w:t>
      </w:r>
      <w:r>
        <w:rPr>
          <w:spacing w:val="-5"/>
        </w:rPr>
        <w:t xml:space="preserve"> </w:t>
      </w:r>
      <w:r>
        <w:t>las</w:t>
      </w:r>
      <w:r>
        <w:rPr>
          <w:spacing w:val="-6"/>
        </w:rPr>
        <w:t xml:space="preserve"> </w:t>
      </w:r>
      <w:r>
        <w:t>hostilidades.</w:t>
      </w:r>
      <w:r>
        <w:rPr>
          <w:spacing w:val="-5"/>
        </w:rPr>
        <w:t xml:space="preserve"> </w:t>
      </w:r>
      <w:r>
        <w:t>El</w:t>
      </w:r>
      <w:r>
        <w:rPr>
          <w:spacing w:val="-4"/>
        </w:rPr>
        <w:t xml:space="preserve"> </w:t>
      </w:r>
      <w:r>
        <w:t>irrespeto</w:t>
      </w:r>
      <w:r>
        <w:rPr>
          <w:spacing w:val="-5"/>
        </w:rPr>
        <w:t xml:space="preserve"> </w:t>
      </w:r>
      <w:r>
        <w:t>a</w:t>
      </w:r>
      <w:r>
        <w:rPr>
          <w:spacing w:val="-5"/>
        </w:rPr>
        <w:t xml:space="preserve"> </w:t>
      </w:r>
      <w:r>
        <w:t>las leyes</w:t>
      </w:r>
      <w:r>
        <w:rPr>
          <w:spacing w:val="-2"/>
        </w:rPr>
        <w:t xml:space="preserve"> </w:t>
      </w:r>
      <w:r>
        <w:t>de</w:t>
      </w:r>
      <w:r>
        <w:rPr>
          <w:spacing w:val="-2"/>
        </w:rPr>
        <w:t xml:space="preserve"> </w:t>
      </w:r>
      <w:r>
        <w:t>la</w:t>
      </w:r>
      <w:r>
        <w:rPr>
          <w:spacing w:val="-2"/>
        </w:rPr>
        <w:t xml:space="preserve"> </w:t>
      </w:r>
      <w:r>
        <w:t>guerra</w:t>
      </w:r>
      <w:r>
        <w:rPr>
          <w:spacing w:val="-2"/>
        </w:rPr>
        <w:t xml:space="preserve"> </w:t>
      </w:r>
      <w:r>
        <w:t>fue</w:t>
      </w:r>
      <w:r>
        <w:rPr>
          <w:spacing w:val="-2"/>
        </w:rPr>
        <w:t xml:space="preserve"> </w:t>
      </w:r>
      <w:r>
        <w:t>acompañado</w:t>
      </w:r>
      <w:r>
        <w:rPr>
          <w:spacing w:val="-2"/>
        </w:rPr>
        <w:t xml:space="preserve"> </w:t>
      </w:r>
      <w:r>
        <w:t>de</w:t>
      </w:r>
      <w:r>
        <w:rPr>
          <w:spacing w:val="-2"/>
        </w:rPr>
        <w:t xml:space="preserve"> </w:t>
      </w:r>
      <w:r>
        <w:t>prácticas</w:t>
      </w:r>
      <w:r>
        <w:rPr>
          <w:spacing w:val="-2"/>
        </w:rPr>
        <w:t xml:space="preserve"> </w:t>
      </w:r>
      <w:r>
        <w:t>inhumanas</w:t>
      </w:r>
      <w:r>
        <w:rPr>
          <w:spacing w:val="-2"/>
        </w:rPr>
        <w:t xml:space="preserve"> </w:t>
      </w:r>
      <w:r>
        <w:t>donde</w:t>
      </w:r>
      <w:r>
        <w:rPr>
          <w:spacing w:val="-2"/>
        </w:rPr>
        <w:t xml:space="preserve"> </w:t>
      </w:r>
      <w:r>
        <w:t>la</w:t>
      </w:r>
      <w:r>
        <w:rPr>
          <w:spacing w:val="-2"/>
        </w:rPr>
        <w:t xml:space="preserve"> </w:t>
      </w:r>
      <w:r>
        <w:t>sevicia</w:t>
      </w:r>
      <w:r>
        <w:rPr>
          <w:spacing w:val="-2"/>
        </w:rPr>
        <w:t xml:space="preserve"> </w:t>
      </w:r>
      <w:r>
        <w:t>y</w:t>
      </w:r>
      <w:r>
        <w:rPr>
          <w:spacing w:val="-2"/>
        </w:rPr>
        <w:t xml:space="preserve"> </w:t>
      </w:r>
      <w:r>
        <w:t>la</w:t>
      </w:r>
      <w:r>
        <w:rPr>
          <w:spacing w:val="-2"/>
        </w:rPr>
        <w:t xml:space="preserve"> </w:t>
      </w:r>
      <w:r>
        <w:t>crueldad</w:t>
      </w:r>
      <w:r>
        <w:rPr>
          <w:spacing w:val="-2"/>
        </w:rPr>
        <w:t xml:space="preserve"> </w:t>
      </w:r>
      <w:r>
        <w:t>no tuvieron ningún límite. Sufrió la niña y el anciano, la mujer y la persona LGTBIQ+, el campesino y el habitante urbano, la población indígena y la afrocolombiana, la costeña y la paisa, todas y todos sin ninguna contemplación. ¿Qué hizo posible estas violaciones e infracciones? Precisamente este Informe Final intenta ofrecer algunas explicaciones. Esta profunda herida a la democracia en Colombia se empieza a sanar con verdad, justicia, reparación y con garantías de no repetición.</w:t>
      </w:r>
    </w:p>
    <w:p w:rsidR="00F973AA" w:rsidRDefault="00F973AA">
      <w:pPr>
        <w:spacing w:before="0" w:after="0" w:line="240" w:lineRule="auto"/>
      </w:pPr>
      <w:r>
        <w:br w:type="page"/>
      </w:r>
    </w:p>
    <w:p w:rsidR="0011361F" w:rsidRDefault="00AF18A5" w:rsidP="004A6EF4">
      <w:pPr>
        <w:pStyle w:val="Ttulo2"/>
        <w:numPr>
          <w:ilvl w:val="0"/>
          <w:numId w:val="16"/>
        </w:numPr>
      </w:pPr>
      <w:bookmarkStart w:id="316" w:name="4._INSURGENCIAS"/>
      <w:bookmarkStart w:id="317" w:name="_Toc112399581"/>
      <w:bookmarkEnd w:id="316"/>
      <w:r>
        <w:lastRenderedPageBreak/>
        <w:t>INSURGENCIAS</w:t>
      </w:r>
      <w:bookmarkEnd w:id="317"/>
    </w:p>
    <w:p w:rsidR="003804AC" w:rsidRDefault="00AF18A5" w:rsidP="00825FF7">
      <w:r>
        <w:t>Los grupos insurgentes, desde sus orígenes en los años sesenta y setenta,</w:t>
      </w:r>
      <w:r>
        <w:rPr>
          <w:spacing w:val="-1"/>
        </w:rPr>
        <w:t xml:space="preserve"> </w:t>
      </w:r>
      <w:r>
        <w:t>estuvieron ligados al</w:t>
      </w:r>
      <w:r>
        <w:rPr>
          <w:spacing w:val="-9"/>
        </w:rPr>
        <w:t xml:space="preserve"> </w:t>
      </w:r>
      <w:r>
        <w:t>campesinado</w:t>
      </w:r>
      <w:r>
        <w:rPr>
          <w:spacing w:val="-10"/>
        </w:rPr>
        <w:t xml:space="preserve"> </w:t>
      </w:r>
      <w:r>
        <w:t>y</w:t>
      </w:r>
      <w:r>
        <w:rPr>
          <w:spacing w:val="-10"/>
        </w:rPr>
        <w:t xml:space="preserve"> </w:t>
      </w:r>
      <w:r>
        <w:t>a</w:t>
      </w:r>
      <w:r>
        <w:rPr>
          <w:spacing w:val="-9"/>
        </w:rPr>
        <w:t xml:space="preserve"> </w:t>
      </w:r>
      <w:r>
        <w:t>los</w:t>
      </w:r>
      <w:r>
        <w:rPr>
          <w:spacing w:val="-9"/>
        </w:rPr>
        <w:t xml:space="preserve"> </w:t>
      </w:r>
      <w:r>
        <w:t>colonos</w:t>
      </w:r>
      <w:r>
        <w:rPr>
          <w:spacing w:val="-9"/>
        </w:rPr>
        <w:t xml:space="preserve"> </w:t>
      </w:r>
      <w:r>
        <w:t>que</w:t>
      </w:r>
      <w:r>
        <w:rPr>
          <w:spacing w:val="-9"/>
        </w:rPr>
        <w:t xml:space="preserve"> </w:t>
      </w:r>
      <w:r>
        <w:t>huían</w:t>
      </w:r>
      <w:r>
        <w:rPr>
          <w:spacing w:val="-10"/>
        </w:rPr>
        <w:t xml:space="preserve"> </w:t>
      </w:r>
      <w:r>
        <w:t>de</w:t>
      </w:r>
      <w:r>
        <w:rPr>
          <w:spacing w:val="-9"/>
        </w:rPr>
        <w:t xml:space="preserve"> </w:t>
      </w:r>
      <w:r>
        <w:t>la</w:t>
      </w:r>
      <w:r>
        <w:rPr>
          <w:spacing w:val="-9"/>
        </w:rPr>
        <w:t xml:space="preserve"> </w:t>
      </w:r>
      <w:r>
        <w:t>violencia</w:t>
      </w:r>
      <w:r>
        <w:rPr>
          <w:spacing w:val="-9"/>
        </w:rPr>
        <w:t xml:space="preserve"> </w:t>
      </w:r>
      <w:r>
        <w:t>partidista</w:t>
      </w:r>
      <w:r>
        <w:rPr>
          <w:spacing w:val="-9"/>
        </w:rPr>
        <w:t xml:space="preserve"> </w:t>
      </w:r>
      <w:r>
        <w:t>de</w:t>
      </w:r>
      <w:r>
        <w:rPr>
          <w:spacing w:val="-9"/>
        </w:rPr>
        <w:t xml:space="preserve"> </w:t>
      </w:r>
      <w:r>
        <w:t>mediados</w:t>
      </w:r>
      <w:r>
        <w:rPr>
          <w:spacing w:val="-9"/>
        </w:rPr>
        <w:t xml:space="preserve"> </w:t>
      </w:r>
      <w:r>
        <w:t>del</w:t>
      </w:r>
      <w:r>
        <w:rPr>
          <w:spacing w:val="-9"/>
        </w:rPr>
        <w:t xml:space="preserve"> </w:t>
      </w:r>
      <w:r>
        <w:t>siglo</w:t>
      </w:r>
      <w:r>
        <w:rPr>
          <w:spacing w:val="-10"/>
        </w:rPr>
        <w:t xml:space="preserve"> </w:t>
      </w:r>
      <w:r>
        <w:t>XX hacia las zonas de colonización. Luego, en los años ochenta, en el contexto de su enfrentamiento con el Estado y su persistencia en la lucha contra un régimen político al que calificaron de excluyente, se expandieron territorialmente a regiones donde el Estado no había</w:t>
      </w:r>
      <w:r>
        <w:rPr>
          <w:spacing w:val="-5"/>
        </w:rPr>
        <w:t xml:space="preserve"> </w:t>
      </w:r>
      <w:r>
        <w:t>resuelto</w:t>
      </w:r>
      <w:r>
        <w:rPr>
          <w:spacing w:val="-5"/>
        </w:rPr>
        <w:t xml:space="preserve"> </w:t>
      </w:r>
      <w:r>
        <w:t>las</w:t>
      </w:r>
      <w:r>
        <w:rPr>
          <w:spacing w:val="-5"/>
        </w:rPr>
        <w:t xml:space="preserve"> </w:t>
      </w:r>
      <w:r>
        <w:t>demandas</w:t>
      </w:r>
      <w:r>
        <w:rPr>
          <w:spacing w:val="-5"/>
        </w:rPr>
        <w:t xml:space="preserve"> </w:t>
      </w:r>
      <w:r>
        <w:t>y</w:t>
      </w:r>
      <w:r>
        <w:rPr>
          <w:spacing w:val="-5"/>
        </w:rPr>
        <w:t xml:space="preserve"> </w:t>
      </w:r>
      <w:r>
        <w:t>conflictos</w:t>
      </w:r>
      <w:r>
        <w:rPr>
          <w:spacing w:val="-5"/>
        </w:rPr>
        <w:t xml:space="preserve"> </w:t>
      </w:r>
      <w:r>
        <w:t>por</w:t>
      </w:r>
      <w:r>
        <w:rPr>
          <w:spacing w:val="-4"/>
        </w:rPr>
        <w:t xml:space="preserve"> </w:t>
      </w:r>
      <w:r>
        <w:t>la</w:t>
      </w:r>
      <w:r>
        <w:rPr>
          <w:spacing w:val="-5"/>
        </w:rPr>
        <w:t xml:space="preserve"> </w:t>
      </w:r>
      <w:r>
        <w:t>tenencia</w:t>
      </w:r>
      <w:r>
        <w:rPr>
          <w:spacing w:val="-5"/>
        </w:rPr>
        <w:t xml:space="preserve"> </w:t>
      </w:r>
      <w:r>
        <w:t>de</w:t>
      </w:r>
      <w:r>
        <w:rPr>
          <w:spacing w:val="-6"/>
        </w:rPr>
        <w:t xml:space="preserve"> </w:t>
      </w:r>
      <w:r>
        <w:t>la</w:t>
      </w:r>
      <w:r>
        <w:rPr>
          <w:spacing w:val="-6"/>
        </w:rPr>
        <w:t xml:space="preserve"> </w:t>
      </w:r>
      <w:r>
        <w:t>tierra.</w:t>
      </w:r>
      <w:r>
        <w:rPr>
          <w:spacing w:val="-5"/>
        </w:rPr>
        <w:t xml:space="preserve"> </w:t>
      </w:r>
      <w:r>
        <w:t>Estas</w:t>
      </w:r>
      <w:r>
        <w:rPr>
          <w:spacing w:val="-6"/>
        </w:rPr>
        <w:t xml:space="preserve"> </w:t>
      </w:r>
      <w:r>
        <w:t>situaciones</w:t>
      </w:r>
      <w:r>
        <w:rPr>
          <w:spacing w:val="-6"/>
        </w:rPr>
        <w:t xml:space="preserve"> </w:t>
      </w:r>
      <w:r>
        <w:t>fueron decisivas para el escalamiento del conflicto armado, que se hizo mucho más ostensible a partir de los años noventa, cuando la guerrilla, los grupos paramilitares y la fuerza pública fueron responsables del agravamiento de la crisis humanitaria que padeció el país durante más de sesenta años.</w:t>
      </w:r>
    </w:p>
    <w:p w:rsidR="003804AC" w:rsidRDefault="00AF18A5" w:rsidP="00825FF7">
      <w:r>
        <w:t>Algunas guerrillas se desmovilizaron alrededor de la aprobación de la Constitución de 1991,</w:t>
      </w:r>
      <w:r>
        <w:rPr>
          <w:spacing w:val="-2"/>
        </w:rPr>
        <w:t xml:space="preserve"> </w:t>
      </w:r>
      <w:r>
        <w:t>como</w:t>
      </w:r>
      <w:r>
        <w:rPr>
          <w:spacing w:val="-2"/>
        </w:rPr>
        <w:t xml:space="preserve"> </w:t>
      </w:r>
      <w:r>
        <w:t>el</w:t>
      </w:r>
      <w:r>
        <w:rPr>
          <w:spacing w:val="-2"/>
        </w:rPr>
        <w:t xml:space="preserve"> </w:t>
      </w:r>
      <w:r>
        <w:t>Ejército</w:t>
      </w:r>
      <w:r>
        <w:rPr>
          <w:spacing w:val="-2"/>
        </w:rPr>
        <w:t xml:space="preserve"> </w:t>
      </w:r>
      <w:r>
        <w:t>Popular</w:t>
      </w:r>
      <w:r>
        <w:rPr>
          <w:spacing w:val="-2"/>
        </w:rPr>
        <w:t xml:space="preserve"> </w:t>
      </w:r>
      <w:r>
        <w:t>de</w:t>
      </w:r>
      <w:r>
        <w:rPr>
          <w:spacing w:val="-2"/>
        </w:rPr>
        <w:t xml:space="preserve"> </w:t>
      </w:r>
      <w:r>
        <w:t>Liberación</w:t>
      </w:r>
      <w:r>
        <w:rPr>
          <w:spacing w:val="-2"/>
        </w:rPr>
        <w:t xml:space="preserve"> </w:t>
      </w:r>
      <w:r>
        <w:t>(EPL),</w:t>
      </w:r>
      <w:r>
        <w:rPr>
          <w:spacing w:val="-2"/>
        </w:rPr>
        <w:t xml:space="preserve"> </w:t>
      </w:r>
      <w:r>
        <w:t>el</w:t>
      </w:r>
      <w:r>
        <w:rPr>
          <w:spacing w:val="-2"/>
        </w:rPr>
        <w:t xml:space="preserve"> </w:t>
      </w:r>
      <w:r>
        <w:t>Movimiento</w:t>
      </w:r>
      <w:r>
        <w:rPr>
          <w:spacing w:val="-2"/>
        </w:rPr>
        <w:t xml:space="preserve"> </w:t>
      </w:r>
      <w:r>
        <w:t>19</w:t>
      </w:r>
      <w:r>
        <w:rPr>
          <w:spacing w:val="-2"/>
        </w:rPr>
        <w:t xml:space="preserve"> </w:t>
      </w:r>
      <w:r>
        <w:t>de</w:t>
      </w:r>
      <w:r>
        <w:rPr>
          <w:spacing w:val="-2"/>
        </w:rPr>
        <w:t xml:space="preserve"> </w:t>
      </w:r>
      <w:r>
        <w:t>abril</w:t>
      </w:r>
      <w:r>
        <w:rPr>
          <w:spacing w:val="-2"/>
        </w:rPr>
        <w:t xml:space="preserve"> </w:t>
      </w:r>
      <w:r>
        <w:t>(M-19)</w:t>
      </w:r>
      <w:r>
        <w:rPr>
          <w:spacing w:val="-2"/>
        </w:rPr>
        <w:t xml:space="preserve"> </w:t>
      </w:r>
      <w:r>
        <w:t>y</w:t>
      </w:r>
      <w:r>
        <w:rPr>
          <w:spacing w:val="-2"/>
        </w:rPr>
        <w:t xml:space="preserve"> </w:t>
      </w:r>
      <w:r>
        <w:t>el Quintín Lame, entre otras. Mientras las Fuerzas Armadas Revolucionarias de Colombia- Ejército del Pueblo (FARC-EP) y el Ejército de Liberación Nacional (ELN) permanecieron en</w:t>
      </w:r>
      <w:r>
        <w:rPr>
          <w:spacing w:val="47"/>
        </w:rPr>
        <w:t xml:space="preserve"> </w:t>
      </w:r>
      <w:r>
        <w:t>el</w:t>
      </w:r>
      <w:r>
        <w:rPr>
          <w:spacing w:val="49"/>
        </w:rPr>
        <w:t xml:space="preserve"> </w:t>
      </w:r>
      <w:r>
        <w:t>alzamiento</w:t>
      </w:r>
      <w:r>
        <w:rPr>
          <w:spacing w:val="49"/>
        </w:rPr>
        <w:t xml:space="preserve"> </w:t>
      </w:r>
      <w:r>
        <w:t>armado</w:t>
      </w:r>
      <w:r>
        <w:rPr>
          <w:spacing w:val="49"/>
        </w:rPr>
        <w:t xml:space="preserve"> </w:t>
      </w:r>
      <w:r>
        <w:t>y</w:t>
      </w:r>
      <w:r>
        <w:rPr>
          <w:spacing w:val="49"/>
        </w:rPr>
        <w:t xml:space="preserve"> </w:t>
      </w:r>
      <w:r>
        <w:t>son</w:t>
      </w:r>
      <w:r>
        <w:rPr>
          <w:spacing w:val="49"/>
        </w:rPr>
        <w:t xml:space="preserve"> </w:t>
      </w:r>
      <w:r>
        <w:t>responsables</w:t>
      </w:r>
      <w:r>
        <w:rPr>
          <w:spacing w:val="50"/>
        </w:rPr>
        <w:t xml:space="preserve"> </w:t>
      </w:r>
      <w:r>
        <w:t>de</w:t>
      </w:r>
      <w:r>
        <w:rPr>
          <w:spacing w:val="49"/>
        </w:rPr>
        <w:t xml:space="preserve"> </w:t>
      </w:r>
      <w:r>
        <w:t>mantener</w:t>
      </w:r>
      <w:r>
        <w:rPr>
          <w:spacing w:val="49"/>
        </w:rPr>
        <w:t xml:space="preserve"> </w:t>
      </w:r>
      <w:r>
        <w:t>a</w:t>
      </w:r>
      <w:r>
        <w:rPr>
          <w:spacing w:val="49"/>
        </w:rPr>
        <w:t xml:space="preserve"> </w:t>
      </w:r>
      <w:r>
        <w:t>toda</w:t>
      </w:r>
      <w:r>
        <w:rPr>
          <w:spacing w:val="49"/>
        </w:rPr>
        <w:t xml:space="preserve"> </w:t>
      </w:r>
      <w:r>
        <w:t>costa</w:t>
      </w:r>
      <w:r>
        <w:rPr>
          <w:spacing w:val="49"/>
        </w:rPr>
        <w:t xml:space="preserve"> </w:t>
      </w:r>
      <w:r>
        <w:t>la</w:t>
      </w:r>
      <w:r>
        <w:rPr>
          <w:spacing w:val="50"/>
        </w:rPr>
        <w:t xml:space="preserve"> </w:t>
      </w:r>
      <w:r>
        <w:rPr>
          <w:spacing w:val="-2"/>
        </w:rPr>
        <w:t>organización</w:t>
      </w:r>
      <w:r w:rsidR="00825FF7">
        <w:t xml:space="preserve"> </w:t>
      </w:r>
      <w:r>
        <w:t>político-militar como un objetivo prioritario. En su insistencia en la lucha armada como medio</w:t>
      </w:r>
      <w:r>
        <w:rPr>
          <w:spacing w:val="-8"/>
        </w:rPr>
        <w:t xml:space="preserve"> </w:t>
      </w:r>
      <w:r>
        <w:t>para</w:t>
      </w:r>
      <w:r>
        <w:rPr>
          <w:spacing w:val="-8"/>
        </w:rPr>
        <w:t xml:space="preserve"> </w:t>
      </w:r>
      <w:r>
        <w:t>lograr</w:t>
      </w:r>
      <w:r>
        <w:rPr>
          <w:spacing w:val="-8"/>
        </w:rPr>
        <w:t xml:space="preserve"> </w:t>
      </w:r>
      <w:r>
        <w:t>sus</w:t>
      </w:r>
      <w:r>
        <w:rPr>
          <w:spacing w:val="-9"/>
        </w:rPr>
        <w:t xml:space="preserve"> </w:t>
      </w:r>
      <w:r>
        <w:t>fines</w:t>
      </w:r>
      <w:r>
        <w:rPr>
          <w:spacing w:val="-8"/>
        </w:rPr>
        <w:t xml:space="preserve"> </w:t>
      </w:r>
      <w:r>
        <w:t>políticos,</w:t>
      </w:r>
      <w:r>
        <w:rPr>
          <w:spacing w:val="-10"/>
        </w:rPr>
        <w:t xml:space="preserve"> </w:t>
      </w:r>
      <w:r>
        <w:t>ejecutaron</w:t>
      </w:r>
      <w:r>
        <w:rPr>
          <w:spacing w:val="-8"/>
        </w:rPr>
        <w:t xml:space="preserve"> </w:t>
      </w:r>
      <w:r>
        <w:t>graves</w:t>
      </w:r>
      <w:r>
        <w:rPr>
          <w:spacing w:val="-8"/>
        </w:rPr>
        <w:t xml:space="preserve"> </w:t>
      </w:r>
      <w:r>
        <w:t>infracciones</w:t>
      </w:r>
      <w:r>
        <w:rPr>
          <w:spacing w:val="-8"/>
        </w:rPr>
        <w:t xml:space="preserve"> </w:t>
      </w:r>
      <w:r>
        <w:t>al</w:t>
      </w:r>
      <w:r>
        <w:rPr>
          <w:spacing w:val="-8"/>
        </w:rPr>
        <w:t xml:space="preserve"> </w:t>
      </w:r>
      <w:r>
        <w:t>derecho</w:t>
      </w:r>
      <w:r>
        <w:rPr>
          <w:spacing w:val="-8"/>
        </w:rPr>
        <w:t xml:space="preserve"> </w:t>
      </w:r>
      <w:r>
        <w:t xml:space="preserve">internacional humanitario (DIH), y su presencia y actuación tuvieron implicaciones negativas en el desarrollo de importantes regiones del país, afectaron el buen vivir de las comunidades campesinas, indígenas y afrodescendientes en las regiones donde hicieron presencia y, de igual forma, impidieron la consolidación de fuerzas alternativas civiles e </w:t>
      </w:r>
      <w:r>
        <w:lastRenderedPageBreak/>
        <w:t>impactaron la participación política.</w:t>
      </w:r>
    </w:p>
    <w:p w:rsidR="003804AC" w:rsidRDefault="00AF18A5" w:rsidP="00825FF7">
      <w:r>
        <w:t>Esa</w:t>
      </w:r>
      <w:r>
        <w:rPr>
          <w:spacing w:val="-11"/>
        </w:rPr>
        <w:t xml:space="preserve"> </w:t>
      </w:r>
      <w:r>
        <w:t>persistencia</w:t>
      </w:r>
      <w:r>
        <w:rPr>
          <w:spacing w:val="-11"/>
        </w:rPr>
        <w:t xml:space="preserve"> </w:t>
      </w:r>
      <w:r>
        <w:t>de</w:t>
      </w:r>
      <w:r>
        <w:rPr>
          <w:spacing w:val="-12"/>
        </w:rPr>
        <w:t xml:space="preserve"> </w:t>
      </w:r>
      <w:r>
        <w:t>la</w:t>
      </w:r>
      <w:r>
        <w:rPr>
          <w:spacing w:val="-12"/>
        </w:rPr>
        <w:t xml:space="preserve"> </w:t>
      </w:r>
      <w:r>
        <w:t>guerra</w:t>
      </w:r>
      <w:r>
        <w:rPr>
          <w:spacing w:val="-12"/>
        </w:rPr>
        <w:t xml:space="preserve"> </w:t>
      </w:r>
      <w:r>
        <w:t>insurgente</w:t>
      </w:r>
      <w:r>
        <w:rPr>
          <w:spacing w:val="-11"/>
        </w:rPr>
        <w:t xml:space="preserve"> </w:t>
      </w:r>
      <w:r>
        <w:t>se</w:t>
      </w:r>
      <w:r>
        <w:rPr>
          <w:spacing w:val="-12"/>
        </w:rPr>
        <w:t xml:space="preserve"> </w:t>
      </w:r>
      <w:r>
        <w:t>explica</w:t>
      </w:r>
      <w:r>
        <w:rPr>
          <w:spacing w:val="-11"/>
        </w:rPr>
        <w:t xml:space="preserve"> </w:t>
      </w:r>
      <w:r>
        <w:t>no</w:t>
      </w:r>
      <w:r>
        <w:rPr>
          <w:spacing w:val="-11"/>
        </w:rPr>
        <w:t xml:space="preserve"> </w:t>
      </w:r>
      <w:r>
        <w:t>solo</w:t>
      </w:r>
      <w:r>
        <w:rPr>
          <w:spacing w:val="-12"/>
        </w:rPr>
        <w:t xml:space="preserve"> </w:t>
      </w:r>
      <w:r>
        <w:t>por</w:t>
      </w:r>
      <w:r>
        <w:rPr>
          <w:spacing w:val="-12"/>
        </w:rPr>
        <w:t xml:space="preserve"> </w:t>
      </w:r>
      <w:r>
        <w:t>la</w:t>
      </w:r>
      <w:r>
        <w:rPr>
          <w:spacing w:val="-11"/>
        </w:rPr>
        <w:t xml:space="preserve"> </w:t>
      </w:r>
      <w:r>
        <w:t>decisión</w:t>
      </w:r>
      <w:r>
        <w:rPr>
          <w:spacing w:val="-12"/>
        </w:rPr>
        <w:t xml:space="preserve"> </w:t>
      </w:r>
      <w:r>
        <w:t>de</w:t>
      </w:r>
      <w:r>
        <w:rPr>
          <w:spacing w:val="-11"/>
        </w:rPr>
        <w:t xml:space="preserve"> </w:t>
      </w:r>
      <w:r>
        <w:t>los</w:t>
      </w:r>
      <w:r>
        <w:rPr>
          <w:spacing w:val="-12"/>
        </w:rPr>
        <w:t xml:space="preserve"> </w:t>
      </w:r>
      <w:r>
        <w:t>miembros de la guerrilla de mantener el alzamiento armado, sino también por la permanencia de los factores objetivos que han alimentado la reproducción incesante del conflicto armado, que han sido básicamente dos. De un lado, el modelo económico imperante, que ha favorecido los intereses económicos de las élites y desprotegido a los sectores más vulnerables, como los</w:t>
      </w:r>
      <w:r>
        <w:rPr>
          <w:spacing w:val="-1"/>
        </w:rPr>
        <w:t xml:space="preserve"> </w:t>
      </w:r>
      <w:r>
        <w:t>campesinos,</w:t>
      </w:r>
      <w:r>
        <w:rPr>
          <w:spacing w:val="-1"/>
        </w:rPr>
        <w:t xml:space="preserve"> </w:t>
      </w:r>
      <w:r>
        <w:t>las</w:t>
      </w:r>
      <w:r>
        <w:rPr>
          <w:spacing w:val="-1"/>
        </w:rPr>
        <w:t xml:space="preserve"> </w:t>
      </w:r>
      <w:r>
        <w:t>comunidades</w:t>
      </w:r>
      <w:r>
        <w:rPr>
          <w:spacing w:val="-1"/>
        </w:rPr>
        <w:t xml:space="preserve"> </w:t>
      </w:r>
      <w:r>
        <w:t>étnicas</w:t>
      </w:r>
      <w:r>
        <w:rPr>
          <w:spacing w:val="-1"/>
        </w:rPr>
        <w:t xml:space="preserve"> </w:t>
      </w:r>
      <w:r>
        <w:t>y</w:t>
      </w:r>
      <w:r>
        <w:rPr>
          <w:spacing w:val="-1"/>
        </w:rPr>
        <w:t xml:space="preserve"> </w:t>
      </w:r>
      <w:r>
        <w:t>los</w:t>
      </w:r>
      <w:r>
        <w:rPr>
          <w:spacing w:val="-1"/>
        </w:rPr>
        <w:t xml:space="preserve"> </w:t>
      </w:r>
      <w:r>
        <w:t>pobladores</w:t>
      </w:r>
      <w:r>
        <w:rPr>
          <w:spacing w:val="-1"/>
        </w:rPr>
        <w:t xml:space="preserve"> </w:t>
      </w:r>
      <w:r>
        <w:t>urbanos</w:t>
      </w:r>
      <w:r>
        <w:rPr>
          <w:spacing w:val="-1"/>
        </w:rPr>
        <w:t xml:space="preserve"> </w:t>
      </w:r>
      <w:r>
        <w:t>sometidos</w:t>
      </w:r>
      <w:r>
        <w:rPr>
          <w:spacing w:val="-1"/>
        </w:rPr>
        <w:t xml:space="preserve"> </w:t>
      </w:r>
      <w:r>
        <w:t>a</w:t>
      </w:r>
      <w:r>
        <w:rPr>
          <w:spacing w:val="-1"/>
        </w:rPr>
        <w:t xml:space="preserve"> </w:t>
      </w:r>
      <w:r>
        <w:t>altos</w:t>
      </w:r>
      <w:r>
        <w:rPr>
          <w:spacing w:val="-1"/>
        </w:rPr>
        <w:t xml:space="preserve"> </w:t>
      </w:r>
      <w:r>
        <w:t>niveles de</w:t>
      </w:r>
      <w:r>
        <w:rPr>
          <w:spacing w:val="-15"/>
        </w:rPr>
        <w:t xml:space="preserve"> </w:t>
      </w:r>
      <w:r>
        <w:t>pobreza,</w:t>
      </w:r>
      <w:r>
        <w:rPr>
          <w:spacing w:val="-15"/>
        </w:rPr>
        <w:t xml:space="preserve"> </w:t>
      </w:r>
      <w:r>
        <w:t>informalidad</w:t>
      </w:r>
      <w:r>
        <w:rPr>
          <w:spacing w:val="-15"/>
        </w:rPr>
        <w:t xml:space="preserve"> </w:t>
      </w:r>
      <w:r>
        <w:t>económica</w:t>
      </w:r>
      <w:r>
        <w:rPr>
          <w:spacing w:val="-15"/>
        </w:rPr>
        <w:t xml:space="preserve"> </w:t>
      </w:r>
      <w:r>
        <w:t>y</w:t>
      </w:r>
      <w:r>
        <w:rPr>
          <w:spacing w:val="-15"/>
        </w:rPr>
        <w:t xml:space="preserve"> </w:t>
      </w:r>
      <w:r>
        <w:t>carencia</w:t>
      </w:r>
      <w:r>
        <w:rPr>
          <w:spacing w:val="-15"/>
        </w:rPr>
        <w:t xml:space="preserve"> </w:t>
      </w:r>
      <w:r>
        <w:t>de</w:t>
      </w:r>
      <w:r>
        <w:rPr>
          <w:spacing w:val="-15"/>
        </w:rPr>
        <w:t xml:space="preserve"> </w:t>
      </w:r>
      <w:r>
        <w:t>bienes</w:t>
      </w:r>
      <w:r>
        <w:rPr>
          <w:spacing w:val="-15"/>
        </w:rPr>
        <w:t xml:space="preserve"> </w:t>
      </w:r>
      <w:r>
        <w:t>públicos;</w:t>
      </w:r>
      <w:r>
        <w:rPr>
          <w:spacing w:val="-15"/>
        </w:rPr>
        <w:t xml:space="preserve"> </w:t>
      </w:r>
      <w:r>
        <w:t>y</w:t>
      </w:r>
      <w:r>
        <w:rPr>
          <w:spacing w:val="-14"/>
        </w:rPr>
        <w:t xml:space="preserve"> </w:t>
      </w:r>
      <w:r>
        <w:t>de</w:t>
      </w:r>
      <w:r>
        <w:rPr>
          <w:spacing w:val="-15"/>
        </w:rPr>
        <w:t xml:space="preserve"> </w:t>
      </w:r>
      <w:r>
        <w:t>otro</w:t>
      </w:r>
      <w:r>
        <w:rPr>
          <w:spacing w:val="-14"/>
        </w:rPr>
        <w:t xml:space="preserve"> </w:t>
      </w:r>
      <w:r>
        <w:t>lado,</w:t>
      </w:r>
      <w:r>
        <w:rPr>
          <w:spacing w:val="-15"/>
        </w:rPr>
        <w:t xml:space="preserve"> </w:t>
      </w:r>
      <w:r>
        <w:t>la</w:t>
      </w:r>
      <w:r>
        <w:rPr>
          <w:spacing w:val="-15"/>
        </w:rPr>
        <w:t xml:space="preserve"> </w:t>
      </w:r>
      <w:r>
        <w:t>ausencia de consolidación de una democracia con mayor participación y representación política de importantes sectores de la población, más allá de la clase política tradicional.</w:t>
      </w:r>
    </w:p>
    <w:p w:rsidR="003804AC" w:rsidRDefault="00AF18A5" w:rsidP="00825FF7">
      <w:r>
        <w:t>Colombia ha vivido el conflicto armado más largo de América Latina, con un número importante de movimientos guerrilleros con características distintas en cada caso. La Comisión de la Verdad ha identificado los siguientes seis hallazgos relacionados con la persistencia de los grupos insurgentes en el país:</w:t>
      </w:r>
    </w:p>
    <w:p w:rsidR="003804AC" w:rsidRDefault="00AF18A5" w:rsidP="004A6EF4">
      <w:pPr>
        <w:pStyle w:val="Prrafodelista"/>
        <w:numPr>
          <w:ilvl w:val="0"/>
          <w:numId w:val="19"/>
        </w:numPr>
      </w:pPr>
      <w:r>
        <w:t>Los grupos insurgentes, en desarrollo de sus objetivos políticos y militares, ejecutaron graves</w:t>
      </w:r>
      <w:r w:rsidRPr="00825FF7">
        <w:rPr>
          <w:spacing w:val="-15"/>
        </w:rPr>
        <w:t xml:space="preserve"> </w:t>
      </w:r>
      <w:r>
        <w:t>infracciones</w:t>
      </w:r>
      <w:r w:rsidRPr="00825FF7">
        <w:rPr>
          <w:spacing w:val="-15"/>
        </w:rPr>
        <w:t xml:space="preserve"> </w:t>
      </w:r>
      <w:r>
        <w:t>al</w:t>
      </w:r>
      <w:r w:rsidRPr="00825FF7">
        <w:rPr>
          <w:spacing w:val="-14"/>
        </w:rPr>
        <w:t xml:space="preserve"> </w:t>
      </w:r>
      <w:r>
        <w:t>derecho</w:t>
      </w:r>
      <w:r w:rsidRPr="00825FF7">
        <w:rPr>
          <w:spacing w:val="-15"/>
        </w:rPr>
        <w:t xml:space="preserve"> </w:t>
      </w:r>
      <w:r>
        <w:t>internacional</w:t>
      </w:r>
      <w:r w:rsidRPr="00825FF7">
        <w:rPr>
          <w:spacing w:val="-14"/>
        </w:rPr>
        <w:t xml:space="preserve"> </w:t>
      </w:r>
      <w:r>
        <w:t>humanitario</w:t>
      </w:r>
      <w:r w:rsidRPr="00825FF7">
        <w:rPr>
          <w:spacing w:val="-15"/>
        </w:rPr>
        <w:t xml:space="preserve"> </w:t>
      </w:r>
      <w:r>
        <w:t>que</w:t>
      </w:r>
      <w:r w:rsidRPr="00825FF7">
        <w:rPr>
          <w:spacing w:val="-15"/>
        </w:rPr>
        <w:t xml:space="preserve"> </w:t>
      </w:r>
      <w:r>
        <w:t>afectaron</w:t>
      </w:r>
      <w:r w:rsidRPr="00825FF7">
        <w:rPr>
          <w:spacing w:val="-14"/>
        </w:rPr>
        <w:t xml:space="preserve"> </w:t>
      </w:r>
      <w:r>
        <w:t>a</w:t>
      </w:r>
      <w:r w:rsidRPr="00825FF7">
        <w:rPr>
          <w:spacing w:val="-15"/>
        </w:rPr>
        <w:t xml:space="preserve"> </w:t>
      </w:r>
      <w:r>
        <w:t>diversos</w:t>
      </w:r>
      <w:r w:rsidRPr="00825FF7">
        <w:rPr>
          <w:spacing w:val="-15"/>
        </w:rPr>
        <w:t xml:space="preserve"> </w:t>
      </w:r>
      <w:r>
        <w:t>sectores de la sociedad colombiana y a las comunidades de las zonas donde hacían presencia. Dichas</w:t>
      </w:r>
      <w:r w:rsidRPr="00825FF7">
        <w:rPr>
          <w:spacing w:val="-7"/>
        </w:rPr>
        <w:t xml:space="preserve"> </w:t>
      </w:r>
      <w:r>
        <w:t>afectaciones</w:t>
      </w:r>
      <w:r w:rsidRPr="00825FF7">
        <w:rPr>
          <w:spacing w:val="-8"/>
        </w:rPr>
        <w:t xml:space="preserve"> </w:t>
      </w:r>
      <w:r>
        <w:t>se</w:t>
      </w:r>
      <w:r w:rsidRPr="00825FF7">
        <w:rPr>
          <w:spacing w:val="-7"/>
        </w:rPr>
        <w:t xml:space="preserve"> </w:t>
      </w:r>
      <w:r>
        <w:t>hicieron</w:t>
      </w:r>
      <w:r w:rsidRPr="00825FF7">
        <w:rPr>
          <w:spacing w:val="-8"/>
        </w:rPr>
        <w:t xml:space="preserve"> </w:t>
      </w:r>
      <w:r>
        <w:t>cada</w:t>
      </w:r>
      <w:r w:rsidRPr="00825FF7">
        <w:rPr>
          <w:spacing w:val="-8"/>
        </w:rPr>
        <w:t xml:space="preserve"> </w:t>
      </w:r>
      <w:r>
        <w:t>vez</w:t>
      </w:r>
      <w:r w:rsidRPr="00825FF7">
        <w:rPr>
          <w:spacing w:val="-7"/>
        </w:rPr>
        <w:t xml:space="preserve"> </w:t>
      </w:r>
      <w:r>
        <w:t>más</w:t>
      </w:r>
      <w:r w:rsidRPr="00825FF7">
        <w:rPr>
          <w:spacing w:val="-8"/>
        </w:rPr>
        <w:t xml:space="preserve"> </w:t>
      </w:r>
      <w:r>
        <w:t>agudas</w:t>
      </w:r>
      <w:r w:rsidRPr="00825FF7">
        <w:rPr>
          <w:spacing w:val="-7"/>
        </w:rPr>
        <w:t xml:space="preserve"> </w:t>
      </w:r>
      <w:r>
        <w:t>en</w:t>
      </w:r>
      <w:r w:rsidRPr="00825FF7">
        <w:rPr>
          <w:spacing w:val="-7"/>
        </w:rPr>
        <w:t xml:space="preserve"> </w:t>
      </w:r>
      <w:r>
        <w:t>el</w:t>
      </w:r>
      <w:r w:rsidRPr="00825FF7">
        <w:rPr>
          <w:spacing w:val="-7"/>
        </w:rPr>
        <w:t xml:space="preserve"> </w:t>
      </w:r>
      <w:r>
        <w:t>marco</w:t>
      </w:r>
      <w:r w:rsidRPr="00825FF7">
        <w:rPr>
          <w:spacing w:val="-7"/>
        </w:rPr>
        <w:t xml:space="preserve"> </w:t>
      </w:r>
      <w:r>
        <w:t>de</w:t>
      </w:r>
      <w:r w:rsidRPr="00825FF7">
        <w:rPr>
          <w:spacing w:val="-8"/>
        </w:rPr>
        <w:t xml:space="preserve"> </w:t>
      </w:r>
      <w:r>
        <w:t>la</w:t>
      </w:r>
      <w:r w:rsidRPr="00825FF7">
        <w:rPr>
          <w:spacing w:val="-7"/>
        </w:rPr>
        <w:t xml:space="preserve"> </w:t>
      </w:r>
      <w:r>
        <w:t>prolongación</w:t>
      </w:r>
      <w:r w:rsidRPr="00825FF7">
        <w:rPr>
          <w:spacing w:val="-7"/>
        </w:rPr>
        <w:t xml:space="preserve"> </w:t>
      </w:r>
      <w:r>
        <w:t>de</w:t>
      </w:r>
      <w:r w:rsidRPr="00825FF7">
        <w:rPr>
          <w:spacing w:val="-8"/>
        </w:rPr>
        <w:t xml:space="preserve"> </w:t>
      </w:r>
      <w:r>
        <w:t xml:space="preserve">la </w:t>
      </w:r>
      <w:r w:rsidRPr="00825FF7">
        <w:rPr>
          <w:spacing w:val="-2"/>
        </w:rPr>
        <w:t>confrontación.</w:t>
      </w:r>
    </w:p>
    <w:p w:rsidR="003804AC" w:rsidRDefault="00AF18A5" w:rsidP="004A6EF4">
      <w:pPr>
        <w:pStyle w:val="Prrafodelista"/>
        <w:numPr>
          <w:ilvl w:val="0"/>
          <w:numId w:val="19"/>
        </w:numPr>
      </w:pPr>
      <w:r>
        <w:t>Los grupos insurgentes buscaron en diferentes momentos una salida al conflicto armado a</w:t>
      </w:r>
      <w:r w:rsidRPr="00825FF7">
        <w:rPr>
          <w:spacing w:val="-1"/>
        </w:rPr>
        <w:t xml:space="preserve"> </w:t>
      </w:r>
      <w:r>
        <w:t>través</w:t>
      </w:r>
      <w:r w:rsidRPr="00825FF7">
        <w:rPr>
          <w:spacing w:val="-2"/>
        </w:rPr>
        <w:t xml:space="preserve"> </w:t>
      </w:r>
      <w:r>
        <w:t>de</w:t>
      </w:r>
      <w:r w:rsidRPr="00825FF7">
        <w:rPr>
          <w:spacing w:val="-1"/>
        </w:rPr>
        <w:t xml:space="preserve"> </w:t>
      </w:r>
      <w:r>
        <w:t>procesos</w:t>
      </w:r>
      <w:r w:rsidRPr="00825FF7">
        <w:rPr>
          <w:spacing w:val="-2"/>
        </w:rPr>
        <w:t xml:space="preserve"> </w:t>
      </w:r>
      <w:r>
        <w:t>de</w:t>
      </w:r>
      <w:r w:rsidRPr="00825FF7">
        <w:rPr>
          <w:spacing w:val="-1"/>
        </w:rPr>
        <w:t xml:space="preserve"> </w:t>
      </w:r>
      <w:r>
        <w:t>negociación</w:t>
      </w:r>
      <w:r w:rsidRPr="00825FF7">
        <w:rPr>
          <w:spacing w:val="-1"/>
        </w:rPr>
        <w:t xml:space="preserve"> </w:t>
      </w:r>
      <w:r>
        <w:t>y</w:t>
      </w:r>
      <w:r w:rsidRPr="00825FF7">
        <w:rPr>
          <w:spacing w:val="-2"/>
        </w:rPr>
        <w:t xml:space="preserve"> </w:t>
      </w:r>
      <w:r>
        <w:t>acuerdos</w:t>
      </w:r>
      <w:r w:rsidRPr="00825FF7">
        <w:rPr>
          <w:spacing w:val="-1"/>
        </w:rPr>
        <w:t xml:space="preserve"> </w:t>
      </w:r>
      <w:r>
        <w:t>con</w:t>
      </w:r>
      <w:r w:rsidRPr="00825FF7">
        <w:rPr>
          <w:spacing w:val="-1"/>
        </w:rPr>
        <w:t xml:space="preserve"> </w:t>
      </w:r>
      <w:r>
        <w:t>los</w:t>
      </w:r>
      <w:r w:rsidRPr="00825FF7">
        <w:rPr>
          <w:spacing w:val="-2"/>
        </w:rPr>
        <w:t xml:space="preserve"> </w:t>
      </w:r>
      <w:r>
        <w:t>respectivos</w:t>
      </w:r>
      <w:r w:rsidRPr="00825FF7">
        <w:rPr>
          <w:spacing w:val="-1"/>
        </w:rPr>
        <w:t xml:space="preserve"> </w:t>
      </w:r>
      <w:r>
        <w:t>Gobiernos,</w:t>
      </w:r>
      <w:r w:rsidRPr="00825FF7">
        <w:rPr>
          <w:spacing w:val="-1"/>
        </w:rPr>
        <w:t xml:space="preserve"> </w:t>
      </w:r>
      <w:r>
        <w:t>los</w:t>
      </w:r>
      <w:r w:rsidRPr="00825FF7">
        <w:rPr>
          <w:spacing w:val="-2"/>
        </w:rPr>
        <w:t xml:space="preserve"> </w:t>
      </w:r>
      <w:r>
        <w:t xml:space="preserve">cuales tuvieron </w:t>
      </w:r>
      <w:r>
        <w:lastRenderedPageBreak/>
        <w:t>resultados y desenlaces contrastantes: desde el exitoso proceso de acuerdos con el</w:t>
      </w:r>
      <w:r w:rsidRPr="00825FF7">
        <w:rPr>
          <w:spacing w:val="40"/>
        </w:rPr>
        <w:t xml:space="preserve"> </w:t>
      </w:r>
      <w:r>
        <w:t>M-19,</w:t>
      </w:r>
      <w:r w:rsidRPr="00825FF7">
        <w:rPr>
          <w:spacing w:val="40"/>
        </w:rPr>
        <w:t xml:space="preserve"> </w:t>
      </w:r>
      <w:r>
        <w:t>el</w:t>
      </w:r>
      <w:r w:rsidRPr="00825FF7">
        <w:rPr>
          <w:spacing w:val="40"/>
        </w:rPr>
        <w:t xml:space="preserve"> </w:t>
      </w:r>
      <w:r>
        <w:t>EPL</w:t>
      </w:r>
      <w:r w:rsidRPr="00825FF7">
        <w:rPr>
          <w:spacing w:val="40"/>
        </w:rPr>
        <w:t xml:space="preserve"> </w:t>
      </w:r>
      <w:r>
        <w:t>y</w:t>
      </w:r>
      <w:r w:rsidRPr="00825FF7">
        <w:rPr>
          <w:spacing w:val="40"/>
        </w:rPr>
        <w:t xml:space="preserve"> </w:t>
      </w:r>
      <w:r>
        <w:t>otras</w:t>
      </w:r>
      <w:r w:rsidRPr="00825FF7">
        <w:rPr>
          <w:spacing w:val="40"/>
        </w:rPr>
        <w:t xml:space="preserve"> </w:t>
      </w:r>
      <w:r>
        <w:t>agrupaciones</w:t>
      </w:r>
      <w:r w:rsidRPr="00825FF7">
        <w:rPr>
          <w:spacing w:val="40"/>
        </w:rPr>
        <w:t xml:space="preserve"> </w:t>
      </w:r>
      <w:r>
        <w:t>guerrilleras</w:t>
      </w:r>
      <w:r w:rsidRPr="00825FF7">
        <w:rPr>
          <w:spacing w:val="40"/>
        </w:rPr>
        <w:t xml:space="preserve"> </w:t>
      </w:r>
      <w:r>
        <w:t>en</w:t>
      </w:r>
      <w:r w:rsidRPr="00825FF7">
        <w:rPr>
          <w:spacing w:val="40"/>
        </w:rPr>
        <w:t xml:space="preserve"> </w:t>
      </w:r>
      <w:r>
        <w:t>el</w:t>
      </w:r>
      <w:r w:rsidRPr="00825FF7">
        <w:rPr>
          <w:spacing w:val="40"/>
        </w:rPr>
        <w:t xml:space="preserve"> </w:t>
      </w:r>
      <w:r>
        <w:t>contexto</w:t>
      </w:r>
      <w:r w:rsidRPr="00825FF7">
        <w:rPr>
          <w:spacing w:val="40"/>
        </w:rPr>
        <w:t xml:space="preserve"> </w:t>
      </w:r>
      <w:r>
        <w:t>del</w:t>
      </w:r>
      <w:r w:rsidRPr="00825FF7">
        <w:rPr>
          <w:spacing w:val="40"/>
        </w:rPr>
        <w:t xml:space="preserve"> </w:t>
      </w:r>
      <w:r>
        <w:t>proceso</w:t>
      </w:r>
      <w:r w:rsidRPr="00825FF7">
        <w:rPr>
          <w:spacing w:val="40"/>
        </w:rPr>
        <w:t xml:space="preserve"> </w:t>
      </w:r>
      <w:r>
        <w:t>de</w:t>
      </w:r>
      <w:r w:rsidRPr="00825FF7">
        <w:rPr>
          <w:spacing w:val="40"/>
        </w:rPr>
        <w:t xml:space="preserve"> </w:t>
      </w:r>
      <w:r>
        <w:t>la</w:t>
      </w:r>
      <w:r w:rsidR="00825FF7">
        <w:t xml:space="preserve"> </w:t>
      </w:r>
      <w:r w:rsidRPr="00825FF7">
        <w:rPr>
          <w:spacing w:val="-2"/>
        </w:rPr>
        <w:t>Asamblea</w:t>
      </w:r>
      <w:r w:rsidRPr="00825FF7">
        <w:rPr>
          <w:spacing w:val="-5"/>
        </w:rPr>
        <w:t xml:space="preserve"> </w:t>
      </w:r>
      <w:r w:rsidRPr="00825FF7">
        <w:rPr>
          <w:spacing w:val="-2"/>
        </w:rPr>
        <w:t>Nacional</w:t>
      </w:r>
      <w:r w:rsidRPr="00825FF7">
        <w:rPr>
          <w:spacing w:val="-3"/>
        </w:rPr>
        <w:t xml:space="preserve"> </w:t>
      </w:r>
      <w:r w:rsidRPr="00825FF7">
        <w:rPr>
          <w:spacing w:val="-2"/>
        </w:rPr>
        <w:t>Constituyente</w:t>
      </w:r>
      <w:r w:rsidRPr="00825FF7">
        <w:rPr>
          <w:spacing w:val="-5"/>
        </w:rPr>
        <w:t xml:space="preserve"> </w:t>
      </w:r>
      <w:r w:rsidRPr="00825FF7">
        <w:rPr>
          <w:spacing w:val="-2"/>
        </w:rPr>
        <w:t>de</w:t>
      </w:r>
      <w:r w:rsidRPr="00825FF7">
        <w:rPr>
          <w:spacing w:val="-5"/>
        </w:rPr>
        <w:t xml:space="preserve"> </w:t>
      </w:r>
      <w:r w:rsidRPr="00825FF7">
        <w:rPr>
          <w:spacing w:val="-2"/>
        </w:rPr>
        <w:t>1991,</w:t>
      </w:r>
      <w:r w:rsidRPr="00825FF7">
        <w:rPr>
          <w:spacing w:val="-4"/>
        </w:rPr>
        <w:t xml:space="preserve"> </w:t>
      </w:r>
      <w:r w:rsidRPr="00825FF7">
        <w:rPr>
          <w:spacing w:val="-2"/>
        </w:rPr>
        <w:t>pasando</w:t>
      </w:r>
      <w:r w:rsidRPr="00825FF7">
        <w:rPr>
          <w:spacing w:val="-4"/>
        </w:rPr>
        <w:t xml:space="preserve"> </w:t>
      </w:r>
      <w:r w:rsidRPr="00825FF7">
        <w:rPr>
          <w:spacing w:val="-2"/>
        </w:rPr>
        <w:t>por</w:t>
      </w:r>
      <w:r w:rsidRPr="00825FF7">
        <w:rPr>
          <w:spacing w:val="-5"/>
        </w:rPr>
        <w:t xml:space="preserve"> </w:t>
      </w:r>
      <w:r w:rsidRPr="00825FF7">
        <w:rPr>
          <w:spacing w:val="-2"/>
        </w:rPr>
        <w:t>los</w:t>
      </w:r>
      <w:r w:rsidRPr="00825FF7">
        <w:rPr>
          <w:spacing w:val="-4"/>
        </w:rPr>
        <w:t xml:space="preserve"> </w:t>
      </w:r>
      <w:r w:rsidRPr="00825FF7">
        <w:rPr>
          <w:spacing w:val="-2"/>
        </w:rPr>
        <w:t>frustrados</w:t>
      </w:r>
      <w:r w:rsidRPr="00825FF7">
        <w:rPr>
          <w:spacing w:val="-5"/>
        </w:rPr>
        <w:t xml:space="preserve"> </w:t>
      </w:r>
      <w:r w:rsidRPr="00825FF7">
        <w:rPr>
          <w:spacing w:val="-2"/>
        </w:rPr>
        <w:t>diálogos</w:t>
      </w:r>
      <w:r w:rsidRPr="00825FF7">
        <w:rPr>
          <w:spacing w:val="-4"/>
        </w:rPr>
        <w:t xml:space="preserve"> </w:t>
      </w:r>
      <w:r w:rsidRPr="00825FF7">
        <w:rPr>
          <w:spacing w:val="-2"/>
        </w:rPr>
        <w:t>y</w:t>
      </w:r>
      <w:r w:rsidRPr="00825FF7">
        <w:rPr>
          <w:spacing w:val="-4"/>
        </w:rPr>
        <w:t xml:space="preserve"> </w:t>
      </w:r>
      <w:r w:rsidRPr="00825FF7">
        <w:rPr>
          <w:spacing w:val="-2"/>
        </w:rPr>
        <w:t xml:space="preserve">acuerdos </w:t>
      </w:r>
      <w:r>
        <w:t>logrados en el gobierno de Belisario Betancur a mediados de los años ochenta o las infructuosas negociaciones con el ELN y las FARC-EP durante el gobierno de Andrés Pastrana Arango (1998-2002), que no lograron sentar las bases de una paz estable y duradera</w:t>
      </w:r>
      <w:r w:rsidRPr="00825FF7">
        <w:rPr>
          <w:spacing w:val="-6"/>
        </w:rPr>
        <w:t xml:space="preserve"> </w:t>
      </w:r>
      <w:r>
        <w:t>y,</w:t>
      </w:r>
      <w:r w:rsidRPr="00825FF7">
        <w:rPr>
          <w:spacing w:val="-6"/>
        </w:rPr>
        <w:t xml:space="preserve"> </w:t>
      </w:r>
      <w:r>
        <w:t>por</w:t>
      </w:r>
      <w:r w:rsidRPr="00825FF7">
        <w:rPr>
          <w:spacing w:val="-5"/>
        </w:rPr>
        <w:t xml:space="preserve"> </w:t>
      </w:r>
      <w:r>
        <w:t>el</w:t>
      </w:r>
      <w:r w:rsidRPr="00825FF7">
        <w:rPr>
          <w:spacing w:val="-6"/>
        </w:rPr>
        <w:t xml:space="preserve"> </w:t>
      </w:r>
      <w:r>
        <w:t>contrario,</w:t>
      </w:r>
      <w:r w:rsidRPr="00825FF7">
        <w:rPr>
          <w:spacing w:val="-6"/>
        </w:rPr>
        <w:t xml:space="preserve"> </w:t>
      </w:r>
      <w:r>
        <w:t>tras</w:t>
      </w:r>
      <w:r w:rsidRPr="00825FF7">
        <w:rPr>
          <w:spacing w:val="-6"/>
        </w:rPr>
        <w:t xml:space="preserve"> </w:t>
      </w:r>
      <w:r>
        <w:t>ellos</w:t>
      </w:r>
      <w:r w:rsidRPr="00825FF7">
        <w:rPr>
          <w:spacing w:val="-6"/>
        </w:rPr>
        <w:t xml:space="preserve"> </w:t>
      </w:r>
      <w:r>
        <w:t>aumentó</w:t>
      </w:r>
      <w:r w:rsidRPr="00825FF7">
        <w:rPr>
          <w:spacing w:val="-6"/>
        </w:rPr>
        <w:t xml:space="preserve"> </w:t>
      </w:r>
      <w:r>
        <w:t>la</w:t>
      </w:r>
      <w:r w:rsidRPr="00825FF7">
        <w:rPr>
          <w:spacing w:val="-6"/>
        </w:rPr>
        <w:t xml:space="preserve"> </w:t>
      </w:r>
      <w:r>
        <w:t>confrontación</w:t>
      </w:r>
      <w:r w:rsidRPr="00825FF7">
        <w:rPr>
          <w:spacing w:val="-6"/>
        </w:rPr>
        <w:t xml:space="preserve"> </w:t>
      </w:r>
      <w:r>
        <w:t>armada</w:t>
      </w:r>
      <w:r w:rsidRPr="00825FF7">
        <w:rPr>
          <w:spacing w:val="-6"/>
        </w:rPr>
        <w:t xml:space="preserve"> </w:t>
      </w:r>
      <w:r>
        <w:t>y</w:t>
      </w:r>
      <w:r w:rsidRPr="00825FF7">
        <w:rPr>
          <w:spacing w:val="-6"/>
        </w:rPr>
        <w:t xml:space="preserve"> </w:t>
      </w:r>
      <w:r>
        <w:t>se</w:t>
      </w:r>
      <w:r w:rsidRPr="00825FF7">
        <w:rPr>
          <w:spacing w:val="-6"/>
        </w:rPr>
        <w:t xml:space="preserve"> </w:t>
      </w:r>
      <w:r>
        <w:t>mantuvieron los factores de persistencia que explican la larga duración del conflicto armado colombiano,</w:t>
      </w:r>
      <w:r w:rsidRPr="00825FF7">
        <w:rPr>
          <w:spacing w:val="-5"/>
        </w:rPr>
        <w:t xml:space="preserve"> </w:t>
      </w:r>
      <w:r>
        <w:t>hasta</w:t>
      </w:r>
      <w:r w:rsidRPr="00825FF7">
        <w:rPr>
          <w:spacing w:val="-4"/>
        </w:rPr>
        <w:t xml:space="preserve"> </w:t>
      </w:r>
      <w:r>
        <w:t>el</w:t>
      </w:r>
      <w:r w:rsidRPr="00825FF7">
        <w:rPr>
          <w:spacing w:val="-3"/>
        </w:rPr>
        <w:t xml:space="preserve"> </w:t>
      </w:r>
      <w:r>
        <w:t>Acuerdo</w:t>
      </w:r>
      <w:r w:rsidRPr="00825FF7">
        <w:rPr>
          <w:spacing w:val="-3"/>
        </w:rPr>
        <w:t xml:space="preserve"> </w:t>
      </w:r>
      <w:r>
        <w:t>de</w:t>
      </w:r>
      <w:r w:rsidRPr="00825FF7">
        <w:rPr>
          <w:spacing w:val="-3"/>
        </w:rPr>
        <w:t xml:space="preserve"> </w:t>
      </w:r>
      <w:r>
        <w:t>Paz</w:t>
      </w:r>
      <w:r w:rsidRPr="00825FF7">
        <w:rPr>
          <w:spacing w:val="-3"/>
        </w:rPr>
        <w:t xml:space="preserve"> </w:t>
      </w:r>
      <w:r>
        <w:t>con</w:t>
      </w:r>
      <w:r w:rsidRPr="00825FF7">
        <w:rPr>
          <w:spacing w:val="-3"/>
        </w:rPr>
        <w:t xml:space="preserve"> </w:t>
      </w:r>
      <w:r>
        <w:t>las</w:t>
      </w:r>
      <w:r w:rsidRPr="00825FF7">
        <w:rPr>
          <w:spacing w:val="-3"/>
        </w:rPr>
        <w:t xml:space="preserve"> </w:t>
      </w:r>
      <w:r>
        <w:t>FARC-EP,</w:t>
      </w:r>
      <w:r w:rsidRPr="00825FF7">
        <w:rPr>
          <w:spacing w:val="-3"/>
        </w:rPr>
        <w:t xml:space="preserve"> </w:t>
      </w:r>
      <w:r>
        <w:t>un</w:t>
      </w:r>
      <w:r w:rsidRPr="00825FF7">
        <w:rPr>
          <w:spacing w:val="-3"/>
        </w:rPr>
        <w:t xml:space="preserve"> </w:t>
      </w:r>
      <w:r>
        <w:t>hito</w:t>
      </w:r>
      <w:r w:rsidRPr="00825FF7">
        <w:rPr>
          <w:spacing w:val="-3"/>
        </w:rPr>
        <w:t xml:space="preserve"> </w:t>
      </w:r>
      <w:r>
        <w:t>nuevo</w:t>
      </w:r>
      <w:r w:rsidRPr="00825FF7">
        <w:rPr>
          <w:spacing w:val="-3"/>
        </w:rPr>
        <w:t xml:space="preserve"> </w:t>
      </w:r>
      <w:r>
        <w:t>y</w:t>
      </w:r>
      <w:r w:rsidRPr="00825FF7">
        <w:rPr>
          <w:spacing w:val="-6"/>
        </w:rPr>
        <w:t xml:space="preserve"> </w:t>
      </w:r>
      <w:r>
        <w:t>determinante</w:t>
      </w:r>
      <w:r w:rsidRPr="00825FF7">
        <w:rPr>
          <w:spacing w:val="-3"/>
        </w:rPr>
        <w:t xml:space="preserve"> </w:t>
      </w:r>
      <w:r>
        <w:t>de un escenario de transición política y construcción de la paz que debe ampliarse.</w:t>
      </w:r>
    </w:p>
    <w:p w:rsidR="003804AC" w:rsidRDefault="00AF18A5" w:rsidP="004A6EF4">
      <w:pPr>
        <w:pStyle w:val="Prrafodelista"/>
        <w:numPr>
          <w:ilvl w:val="0"/>
          <w:numId w:val="19"/>
        </w:numPr>
      </w:pPr>
      <w:r>
        <w:t>Los grupos insurgentes, en desarrollo de sus objetivos de control del territorio y la población, construyeron diferentes formas de relacionarse con sectores de la población civil que llevaron a formas de control y órdenes violentos basados en la coacción de las armas</w:t>
      </w:r>
      <w:r w:rsidRPr="00825FF7">
        <w:rPr>
          <w:spacing w:val="-4"/>
        </w:rPr>
        <w:t xml:space="preserve"> </w:t>
      </w:r>
      <w:r>
        <w:t>y</w:t>
      </w:r>
      <w:r w:rsidRPr="00825FF7">
        <w:rPr>
          <w:spacing w:val="-6"/>
        </w:rPr>
        <w:t xml:space="preserve"> </w:t>
      </w:r>
      <w:r>
        <w:t>el</w:t>
      </w:r>
      <w:r w:rsidRPr="00825FF7">
        <w:rPr>
          <w:spacing w:val="-4"/>
        </w:rPr>
        <w:t xml:space="preserve"> </w:t>
      </w:r>
      <w:r>
        <w:t>autoritarismo</w:t>
      </w:r>
      <w:r w:rsidRPr="00825FF7">
        <w:rPr>
          <w:spacing w:val="-6"/>
        </w:rPr>
        <w:t xml:space="preserve"> </w:t>
      </w:r>
      <w:r>
        <w:t>en</w:t>
      </w:r>
      <w:r w:rsidRPr="00825FF7">
        <w:rPr>
          <w:spacing w:val="-5"/>
        </w:rPr>
        <w:t xml:space="preserve"> </w:t>
      </w:r>
      <w:r>
        <w:t>las</w:t>
      </w:r>
      <w:r w:rsidRPr="00825FF7">
        <w:rPr>
          <w:spacing w:val="-4"/>
        </w:rPr>
        <w:t xml:space="preserve"> </w:t>
      </w:r>
      <w:r>
        <w:t>regiones</w:t>
      </w:r>
      <w:r w:rsidRPr="00825FF7">
        <w:rPr>
          <w:spacing w:val="-4"/>
        </w:rPr>
        <w:t xml:space="preserve"> </w:t>
      </w:r>
      <w:r>
        <w:t>donde</w:t>
      </w:r>
      <w:r w:rsidRPr="00825FF7">
        <w:rPr>
          <w:spacing w:val="-4"/>
        </w:rPr>
        <w:t xml:space="preserve"> </w:t>
      </w:r>
      <w:r>
        <w:t>tuvieron</w:t>
      </w:r>
      <w:r w:rsidRPr="00825FF7">
        <w:rPr>
          <w:spacing w:val="-5"/>
        </w:rPr>
        <w:t xml:space="preserve"> </w:t>
      </w:r>
      <w:r>
        <w:t>fuerte</w:t>
      </w:r>
      <w:r w:rsidRPr="00825FF7">
        <w:rPr>
          <w:spacing w:val="-4"/>
        </w:rPr>
        <w:t xml:space="preserve"> </w:t>
      </w:r>
      <w:r>
        <w:t>presencia.</w:t>
      </w:r>
      <w:r w:rsidRPr="00825FF7">
        <w:rPr>
          <w:spacing w:val="-6"/>
        </w:rPr>
        <w:t xml:space="preserve"> </w:t>
      </w:r>
      <w:r>
        <w:t>Esto</w:t>
      </w:r>
      <w:r w:rsidRPr="00825FF7">
        <w:rPr>
          <w:spacing w:val="-5"/>
        </w:rPr>
        <w:t xml:space="preserve"> </w:t>
      </w:r>
      <w:r>
        <w:t>fue</w:t>
      </w:r>
      <w:r w:rsidRPr="00825FF7">
        <w:rPr>
          <w:spacing w:val="-4"/>
        </w:rPr>
        <w:t xml:space="preserve"> </w:t>
      </w:r>
      <w:r>
        <w:t>posible por</w:t>
      </w:r>
      <w:r w:rsidRPr="00825FF7">
        <w:rPr>
          <w:spacing w:val="-13"/>
        </w:rPr>
        <w:t xml:space="preserve"> </w:t>
      </w:r>
      <w:r>
        <w:t>la</w:t>
      </w:r>
      <w:r w:rsidRPr="00825FF7">
        <w:rPr>
          <w:spacing w:val="-13"/>
        </w:rPr>
        <w:t xml:space="preserve"> </w:t>
      </w:r>
      <w:r>
        <w:t>confluencia</w:t>
      </w:r>
      <w:r w:rsidRPr="00825FF7">
        <w:rPr>
          <w:spacing w:val="-13"/>
        </w:rPr>
        <w:t xml:space="preserve"> </w:t>
      </w:r>
      <w:r>
        <w:t>en</w:t>
      </w:r>
      <w:r w:rsidRPr="00825FF7">
        <w:rPr>
          <w:spacing w:val="-13"/>
        </w:rPr>
        <w:t xml:space="preserve"> </w:t>
      </w:r>
      <w:r>
        <w:t>estas</w:t>
      </w:r>
      <w:r w:rsidRPr="00825FF7">
        <w:rPr>
          <w:spacing w:val="-13"/>
        </w:rPr>
        <w:t xml:space="preserve"> </w:t>
      </w:r>
      <w:r>
        <w:t>regiones</w:t>
      </w:r>
      <w:r w:rsidRPr="00825FF7">
        <w:rPr>
          <w:spacing w:val="-13"/>
        </w:rPr>
        <w:t xml:space="preserve"> </w:t>
      </w:r>
      <w:r>
        <w:t>de</w:t>
      </w:r>
      <w:r w:rsidRPr="00825FF7">
        <w:rPr>
          <w:spacing w:val="-13"/>
        </w:rPr>
        <w:t xml:space="preserve"> </w:t>
      </w:r>
      <w:r>
        <w:t>factores</w:t>
      </w:r>
      <w:r w:rsidRPr="00825FF7">
        <w:rPr>
          <w:spacing w:val="-13"/>
        </w:rPr>
        <w:t xml:space="preserve"> </w:t>
      </w:r>
      <w:r>
        <w:t>como</w:t>
      </w:r>
      <w:r w:rsidRPr="00825FF7">
        <w:rPr>
          <w:spacing w:val="-13"/>
        </w:rPr>
        <w:t xml:space="preserve"> </w:t>
      </w:r>
      <w:r>
        <w:t>la</w:t>
      </w:r>
      <w:r w:rsidRPr="00825FF7">
        <w:rPr>
          <w:spacing w:val="-13"/>
        </w:rPr>
        <w:t xml:space="preserve"> </w:t>
      </w:r>
      <w:r>
        <w:t>ausencia</w:t>
      </w:r>
      <w:r w:rsidRPr="00825FF7">
        <w:rPr>
          <w:spacing w:val="-13"/>
        </w:rPr>
        <w:t xml:space="preserve"> </w:t>
      </w:r>
      <w:r>
        <w:t>de</w:t>
      </w:r>
      <w:r w:rsidRPr="00825FF7">
        <w:rPr>
          <w:spacing w:val="-13"/>
        </w:rPr>
        <w:t xml:space="preserve"> </w:t>
      </w:r>
      <w:r>
        <w:t>una</w:t>
      </w:r>
      <w:r w:rsidRPr="00825FF7">
        <w:rPr>
          <w:spacing w:val="-13"/>
        </w:rPr>
        <w:t xml:space="preserve"> </w:t>
      </w:r>
      <w:r>
        <w:t>presencia</w:t>
      </w:r>
      <w:r w:rsidRPr="00825FF7">
        <w:rPr>
          <w:spacing w:val="-13"/>
        </w:rPr>
        <w:t xml:space="preserve"> </w:t>
      </w:r>
      <w:r>
        <w:t>integral del</w:t>
      </w:r>
      <w:r w:rsidRPr="00825FF7">
        <w:rPr>
          <w:spacing w:val="-6"/>
        </w:rPr>
        <w:t xml:space="preserve"> </w:t>
      </w:r>
      <w:r>
        <w:t>Estado,</w:t>
      </w:r>
      <w:r w:rsidRPr="00825FF7">
        <w:rPr>
          <w:spacing w:val="-6"/>
        </w:rPr>
        <w:t xml:space="preserve"> </w:t>
      </w:r>
      <w:r>
        <w:t>cuyas</w:t>
      </w:r>
      <w:r w:rsidRPr="00825FF7">
        <w:rPr>
          <w:spacing w:val="-6"/>
        </w:rPr>
        <w:t xml:space="preserve"> </w:t>
      </w:r>
      <w:r>
        <w:t>fallas</w:t>
      </w:r>
      <w:r w:rsidRPr="00825FF7">
        <w:rPr>
          <w:spacing w:val="-6"/>
        </w:rPr>
        <w:t xml:space="preserve"> </w:t>
      </w:r>
      <w:r>
        <w:t>en</w:t>
      </w:r>
      <w:r w:rsidRPr="00825FF7">
        <w:rPr>
          <w:spacing w:val="-6"/>
        </w:rPr>
        <w:t xml:space="preserve"> </w:t>
      </w:r>
      <w:r>
        <w:t>la</w:t>
      </w:r>
      <w:r w:rsidRPr="00825FF7">
        <w:rPr>
          <w:spacing w:val="-6"/>
        </w:rPr>
        <w:t xml:space="preserve"> </w:t>
      </w:r>
      <w:r>
        <w:t>necesidad</w:t>
      </w:r>
      <w:r w:rsidRPr="00825FF7">
        <w:rPr>
          <w:spacing w:val="-6"/>
        </w:rPr>
        <w:t xml:space="preserve"> </w:t>
      </w:r>
      <w:r>
        <w:t>de</w:t>
      </w:r>
      <w:r w:rsidRPr="00825FF7">
        <w:rPr>
          <w:spacing w:val="-6"/>
        </w:rPr>
        <w:t xml:space="preserve"> </w:t>
      </w:r>
      <w:r>
        <w:t>regulación</w:t>
      </w:r>
      <w:r w:rsidRPr="00825FF7">
        <w:rPr>
          <w:spacing w:val="-6"/>
        </w:rPr>
        <w:t xml:space="preserve"> </w:t>
      </w:r>
      <w:r>
        <w:t>de</w:t>
      </w:r>
      <w:r w:rsidRPr="00825FF7">
        <w:rPr>
          <w:spacing w:val="-6"/>
        </w:rPr>
        <w:t xml:space="preserve"> </w:t>
      </w:r>
      <w:r>
        <w:t>los</w:t>
      </w:r>
      <w:r w:rsidRPr="00825FF7">
        <w:rPr>
          <w:spacing w:val="-6"/>
        </w:rPr>
        <w:t xml:space="preserve"> </w:t>
      </w:r>
      <w:r>
        <w:t>pobladores</w:t>
      </w:r>
      <w:r w:rsidRPr="00825FF7">
        <w:rPr>
          <w:spacing w:val="-7"/>
        </w:rPr>
        <w:t xml:space="preserve"> </w:t>
      </w:r>
      <w:r>
        <w:t>fue</w:t>
      </w:r>
      <w:r w:rsidRPr="00825FF7">
        <w:rPr>
          <w:spacing w:val="-6"/>
        </w:rPr>
        <w:t xml:space="preserve"> </w:t>
      </w:r>
      <w:r>
        <w:t>sustituida</w:t>
      </w:r>
      <w:r w:rsidRPr="00825FF7">
        <w:rPr>
          <w:spacing w:val="-7"/>
        </w:rPr>
        <w:t xml:space="preserve"> </w:t>
      </w:r>
      <w:r>
        <w:t>por las guerrillas, y por la marginalidad en la vida económica y política a la que fueron sometidos estos territorios y sus habitantes.</w:t>
      </w:r>
    </w:p>
    <w:p w:rsidR="003804AC" w:rsidRDefault="00AF18A5" w:rsidP="004A6EF4">
      <w:pPr>
        <w:pStyle w:val="Prrafodelista"/>
        <w:numPr>
          <w:ilvl w:val="0"/>
          <w:numId w:val="19"/>
        </w:numPr>
      </w:pPr>
      <w:r>
        <w:t xml:space="preserve">Los grupos insurgentes, a través del relacionamiento con los movimientos sociales y la izquierda política legal, y la infiltración y los intentos de instrumentalización de los mismos, trataron de crear, mantener y consolidar una incidencia en la vida política </w:t>
      </w:r>
      <w:r>
        <w:lastRenderedPageBreak/>
        <w:t>nacional, regional y local. Todo ello generó dificultades para mantener proyectos autónomos</w:t>
      </w:r>
      <w:r w:rsidRPr="00825FF7">
        <w:rPr>
          <w:spacing w:val="-9"/>
        </w:rPr>
        <w:t xml:space="preserve"> </w:t>
      </w:r>
      <w:r>
        <w:t>y</w:t>
      </w:r>
      <w:r w:rsidRPr="00825FF7">
        <w:rPr>
          <w:spacing w:val="-8"/>
        </w:rPr>
        <w:t xml:space="preserve"> </w:t>
      </w:r>
      <w:r>
        <w:t>cerró</w:t>
      </w:r>
      <w:r w:rsidRPr="00825FF7">
        <w:rPr>
          <w:spacing w:val="-9"/>
        </w:rPr>
        <w:t xml:space="preserve"> </w:t>
      </w:r>
      <w:r>
        <w:t>el</w:t>
      </w:r>
      <w:r w:rsidRPr="00825FF7">
        <w:rPr>
          <w:spacing w:val="-8"/>
        </w:rPr>
        <w:t xml:space="preserve"> </w:t>
      </w:r>
      <w:r>
        <w:t>espacio</w:t>
      </w:r>
      <w:r w:rsidRPr="00825FF7">
        <w:rPr>
          <w:spacing w:val="-8"/>
        </w:rPr>
        <w:t xml:space="preserve"> </w:t>
      </w:r>
      <w:r>
        <w:t>para</w:t>
      </w:r>
      <w:r w:rsidRPr="00825FF7">
        <w:rPr>
          <w:spacing w:val="-8"/>
        </w:rPr>
        <w:t xml:space="preserve"> </w:t>
      </w:r>
      <w:r>
        <w:t>alternativas</w:t>
      </w:r>
      <w:r w:rsidRPr="00825FF7">
        <w:rPr>
          <w:spacing w:val="-8"/>
        </w:rPr>
        <w:t xml:space="preserve"> </w:t>
      </w:r>
      <w:r>
        <w:t>civiles</w:t>
      </w:r>
      <w:r w:rsidRPr="00825FF7">
        <w:rPr>
          <w:spacing w:val="-9"/>
        </w:rPr>
        <w:t xml:space="preserve"> </w:t>
      </w:r>
      <w:r>
        <w:t>en</w:t>
      </w:r>
      <w:r w:rsidRPr="00825FF7">
        <w:rPr>
          <w:spacing w:val="-8"/>
        </w:rPr>
        <w:t xml:space="preserve"> </w:t>
      </w:r>
      <w:r>
        <w:t>un</w:t>
      </w:r>
      <w:r w:rsidRPr="00825FF7">
        <w:rPr>
          <w:spacing w:val="-8"/>
        </w:rPr>
        <w:t xml:space="preserve"> </w:t>
      </w:r>
      <w:r>
        <w:t>contexto</w:t>
      </w:r>
      <w:r w:rsidRPr="00825FF7">
        <w:rPr>
          <w:spacing w:val="-8"/>
        </w:rPr>
        <w:t xml:space="preserve"> </w:t>
      </w:r>
      <w:r>
        <w:t>de</w:t>
      </w:r>
      <w:r w:rsidRPr="00825FF7">
        <w:rPr>
          <w:spacing w:val="-9"/>
        </w:rPr>
        <w:t xml:space="preserve"> </w:t>
      </w:r>
      <w:r>
        <w:t>agudización</w:t>
      </w:r>
      <w:r w:rsidRPr="00825FF7">
        <w:rPr>
          <w:spacing w:val="-8"/>
        </w:rPr>
        <w:t xml:space="preserve"> </w:t>
      </w:r>
      <w:r>
        <w:t>de</w:t>
      </w:r>
      <w:r w:rsidRPr="00825FF7">
        <w:rPr>
          <w:spacing w:val="-8"/>
        </w:rPr>
        <w:t xml:space="preserve"> </w:t>
      </w:r>
      <w:r>
        <w:t>la guerra y de sus secuelas posteriores. También fue utilizado para atacar expresiones políticas que trataban de</w:t>
      </w:r>
      <w:r w:rsidRPr="00825FF7">
        <w:rPr>
          <w:spacing w:val="-1"/>
        </w:rPr>
        <w:t xml:space="preserve"> </w:t>
      </w:r>
      <w:r>
        <w:t>abrir un espacio para la</w:t>
      </w:r>
      <w:r w:rsidRPr="00825FF7">
        <w:rPr>
          <w:spacing w:val="-1"/>
        </w:rPr>
        <w:t xml:space="preserve"> </w:t>
      </w:r>
      <w:r>
        <w:t>democracia</w:t>
      </w:r>
      <w:r w:rsidRPr="00825FF7">
        <w:rPr>
          <w:spacing w:val="-1"/>
        </w:rPr>
        <w:t xml:space="preserve"> </w:t>
      </w:r>
      <w:r>
        <w:t>y la paz, como el caso de la Unión Patriótica (UP), partido al que se acusó de supuesta identidad con la guerrilla mientras se llevaba a cabo su exterminio.</w:t>
      </w:r>
    </w:p>
    <w:p w:rsidR="003804AC" w:rsidRDefault="00AF18A5" w:rsidP="004A6EF4">
      <w:pPr>
        <w:pStyle w:val="Prrafodelista"/>
        <w:numPr>
          <w:ilvl w:val="0"/>
          <w:numId w:val="19"/>
        </w:numPr>
      </w:pPr>
      <w:r>
        <w:t>Para el desarrollo de sus objetivos militares y políticos, las guerrillas fueron actores centrales en las disputas por el poder político local y regional en sus zonas de presencia; en algunos momentos impusieron su poder armado y en otros atacaron directamente a representantes políticos, afectando, por ende, la precaria democracia colombiana. La extensión de estos ataques, especialmente a partir de finales de los años noventa, supuso</w:t>
      </w:r>
      <w:r w:rsidR="00825FF7">
        <w:t xml:space="preserve"> </w:t>
      </w:r>
      <w:r>
        <w:t>un enorme impacto también en la población civil, que vio como sus representantes eran objeto de amenazas, atentados e incluso, en algunos casos, masacres.</w:t>
      </w:r>
    </w:p>
    <w:p w:rsidR="003804AC" w:rsidRDefault="00AF18A5" w:rsidP="004A6EF4">
      <w:pPr>
        <w:pStyle w:val="Prrafodelista"/>
        <w:numPr>
          <w:ilvl w:val="0"/>
          <w:numId w:val="19"/>
        </w:numPr>
        <w:tabs>
          <w:tab w:val="left" w:pos="505"/>
        </w:tabs>
        <w:ind w:right="1337"/>
      </w:pPr>
      <w:r>
        <w:t>Finalmente, la solución a los problemas estructurales no fue la guerra, al contrario, los problemas se acrecentaron con el conflicto armado interno.</w:t>
      </w:r>
    </w:p>
    <w:p w:rsidR="003804AC" w:rsidRDefault="00AF18A5" w:rsidP="00825FF7">
      <w:r>
        <w:t>Las guerrillas colombianas surgieron en la década de 1960 con la expectativa de tomar el poder,</w:t>
      </w:r>
      <w:r>
        <w:rPr>
          <w:spacing w:val="-2"/>
        </w:rPr>
        <w:t xml:space="preserve"> </w:t>
      </w:r>
      <w:r>
        <w:t>basándose</w:t>
      </w:r>
      <w:r>
        <w:rPr>
          <w:spacing w:val="-2"/>
        </w:rPr>
        <w:t xml:space="preserve"> </w:t>
      </w:r>
      <w:r>
        <w:t>en</w:t>
      </w:r>
      <w:r>
        <w:rPr>
          <w:spacing w:val="-2"/>
        </w:rPr>
        <w:t xml:space="preserve"> </w:t>
      </w:r>
      <w:r>
        <w:t>el</w:t>
      </w:r>
      <w:r>
        <w:rPr>
          <w:spacing w:val="-2"/>
        </w:rPr>
        <w:t xml:space="preserve"> </w:t>
      </w:r>
      <w:r>
        <w:t>discurso</w:t>
      </w:r>
      <w:r>
        <w:rPr>
          <w:spacing w:val="-3"/>
        </w:rPr>
        <w:t xml:space="preserve"> </w:t>
      </w:r>
      <w:r>
        <w:t>de</w:t>
      </w:r>
      <w:r>
        <w:rPr>
          <w:spacing w:val="-2"/>
        </w:rPr>
        <w:t xml:space="preserve"> </w:t>
      </w:r>
      <w:r>
        <w:t>superar</w:t>
      </w:r>
      <w:r>
        <w:rPr>
          <w:spacing w:val="-2"/>
        </w:rPr>
        <w:t xml:space="preserve"> </w:t>
      </w:r>
      <w:r>
        <w:t>la</w:t>
      </w:r>
      <w:r>
        <w:rPr>
          <w:spacing w:val="-2"/>
        </w:rPr>
        <w:t xml:space="preserve"> </w:t>
      </w:r>
      <w:r>
        <w:t>exclusión</w:t>
      </w:r>
      <w:r>
        <w:rPr>
          <w:spacing w:val="-2"/>
        </w:rPr>
        <w:t xml:space="preserve"> </w:t>
      </w:r>
      <w:r>
        <w:t>política</w:t>
      </w:r>
      <w:r>
        <w:rPr>
          <w:spacing w:val="-2"/>
        </w:rPr>
        <w:t xml:space="preserve"> </w:t>
      </w:r>
      <w:r>
        <w:t>y</w:t>
      </w:r>
      <w:r>
        <w:rPr>
          <w:spacing w:val="-2"/>
        </w:rPr>
        <w:t xml:space="preserve"> </w:t>
      </w:r>
      <w:r>
        <w:t>cambiar</w:t>
      </w:r>
      <w:r>
        <w:rPr>
          <w:spacing w:val="-3"/>
        </w:rPr>
        <w:t xml:space="preserve"> </w:t>
      </w:r>
      <w:r>
        <w:t>las</w:t>
      </w:r>
      <w:r>
        <w:rPr>
          <w:spacing w:val="-2"/>
        </w:rPr>
        <w:t xml:space="preserve"> </w:t>
      </w:r>
      <w:r>
        <w:t>situaciones</w:t>
      </w:r>
      <w:r>
        <w:rPr>
          <w:spacing w:val="-2"/>
        </w:rPr>
        <w:t xml:space="preserve"> </w:t>
      </w:r>
      <w:r>
        <w:t>de desigualdad y pobreza dominantes. Mientras en la mayor parte de los países de América Latina esos conflictos armados tuvieron una menor duración, en Colombia la acción de las guerrillas y el conflicto armado con</w:t>
      </w:r>
      <w:r>
        <w:rPr>
          <w:spacing w:val="-1"/>
        </w:rPr>
        <w:t xml:space="preserve"> </w:t>
      </w:r>
      <w:r>
        <w:t>el Estado se</w:t>
      </w:r>
      <w:r>
        <w:rPr>
          <w:spacing w:val="-1"/>
        </w:rPr>
        <w:t xml:space="preserve"> </w:t>
      </w:r>
      <w:r>
        <w:t>ha extendido durante sesenta años,</w:t>
      </w:r>
      <w:r>
        <w:rPr>
          <w:spacing w:val="-1"/>
        </w:rPr>
        <w:t xml:space="preserve"> </w:t>
      </w:r>
      <w:r>
        <w:t xml:space="preserve">hasta la actualidad. En Colombia han </w:t>
      </w:r>
      <w:r>
        <w:lastRenderedPageBreak/>
        <w:t>existido y persistido diferentes tipos de organizaciones insurgentes, como guerrillas de orientación foquista, inspiradas en la Revolución cubana como el ELN, o las FARC-EP, que en sus orígenes fue una guerrilla campesina y partisana, y</w:t>
      </w:r>
      <w:r>
        <w:rPr>
          <w:spacing w:val="-5"/>
        </w:rPr>
        <w:t xml:space="preserve"> </w:t>
      </w:r>
      <w:r>
        <w:t>que</w:t>
      </w:r>
      <w:r>
        <w:rPr>
          <w:spacing w:val="-5"/>
        </w:rPr>
        <w:t xml:space="preserve"> </w:t>
      </w:r>
      <w:r>
        <w:t>con</w:t>
      </w:r>
      <w:r>
        <w:rPr>
          <w:spacing w:val="-5"/>
        </w:rPr>
        <w:t xml:space="preserve"> </w:t>
      </w:r>
      <w:r>
        <w:t>el</w:t>
      </w:r>
      <w:r>
        <w:rPr>
          <w:spacing w:val="-6"/>
        </w:rPr>
        <w:t xml:space="preserve"> </w:t>
      </w:r>
      <w:r>
        <w:t>tiempo</w:t>
      </w:r>
      <w:r>
        <w:rPr>
          <w:spacing w:val="-5"/>
        </w:rPr>
        <w:t xml:space="preserve"> </w:t>
      </w:r>
      <w:r>
        <w:t>se</w:t>
      </w:r>
      <w:r>
        <w:rPr>
          <w:spacing w:val="-6"/>
        </w:rPr>
        <w:t xml:space="preserve"> </w:t>
      </w:r>
      <w:r>
        <w:t>transformó</w:t>
      </w:r>
      <w:r>
        <w:rPr>
          <w:spacing w:val="-5"/>
        </w:rPr>
        <w:t xml:space="preserve"> </w:t>
      </w:r>
      <w:r>
        <w:t>en</w:t>
      </w:r>
      <w:r>
        <w:rPr>
          <w:spacing w:val="-6"/>
        </w:rPr>
        <w:t xml:space="preserve"> </w:t>
      </w:r>
      <w:r>
        <w:t>un</w:t>
      </w:r>
      <w:r>
        <w:rPr>
          <w:spacing w:val="-5"/>
        </w:rPr>
        <w:t xml:space="preserve"> </w:t>
      </w:r>
      <w:r>
        <w:t>poderoso</w:t>
      </w:r>
      <w:r>
        <w:rPr>
          <w:spacing w:val="-5"/>
        </w:rPr>
        <w:t xml:space="preserve"> </w:t>
      </w:r>
      <w:r>
        <w:t>grupo</w:t>
      </w:r>
      <w:r>
        <w:rPr>
          <w:spacing w:val="-5"/>
        </w:rPr>
        <w:t xml:space="preserve"> </w:t>
      </w:r>
      <w:r>
        <w:t>armado</w:t>
      </w:r>
      <w:r>
        <w:rPr>
          <w:spacing w:val="-5"/>
        </w:rPr>
        <w:t xml:space="preserve"> </w:t>
      </w:r>
      <w:r>
        <w:t>y</w:t>
      </w:r>
      <w:r>
        <w:rPr>
          <w:spacing w:val="-5"/>
        </w:rPr>
        <w:t xml:space="preserve"> </w:t>
      </w:r>
      <w:r>
        <w:t>el</w:t>
      </w:r>
      <w:r>
        <w:rPr>
          <w:spacing w:val="-6"/>
        </w:rPr>
        <w:t xml:space="preserve"> </w:t>
      </w:r>
      <w:r>
        <w:t>mayor</w:t>
      </w:r>
      <w:r>
        <w:rPr>
          <w:spacing w:val="-4"/>
        </w:rPr>
        <w:t xml:space="preserve"> </w:t>
      </w:r>
      <w:r>
        <w:t>reto</w:t>
      </w:r>
      <w:r>
        <w:rPr>
          <w:spacing w:val="-5"/>
        </w:rPr>
        <w:t xml:space="preserve"> </w:t>
      </w:r>
      <w:r>
        <w:t>militar</w:t>
      </w:r>
      <w:r>
        <w:rPr>
          <w:spacing w:val="-4"/>
        </w:rPr>
        <w:t xml:space="preserve"> </w:t>
      </w:r>
      <w:r>
        <w:t>para el Estado y las Fuerzas Militares. También guerrillas de orientación maoísta, como el EPL, que</w:t>
      </w:r>
      <w:r>
        <w:rPr>
          <w:spacing w:val="-6"/>
        </w:rPr>
        <w:t xml:space="preserve"> </w:t>
      </w:r>
      <w:r>
        <w:t>tras</w:t>
      </w:r>
      <w:r>
        <w:rPr>
          <w:spacing w:val="-6"/>
        </w:rPr>
        <w:t xml:space="preserve"> </w:t>
      </w:r>
      <w:r>
        <w:t>varios</w:t>
      </w:r>
      <w:r>
        <w:rPr>
          <w:spacing w:val="-6"/>
        </w:rPr>
        <w:t xml:space="preserve"> </w:t>
      </w:r>
      <w:r>
        <w:t>momentos</w:t>
      </w:r>
      <w:r>
        <w:rPr>
          <w:spacing w:val="-6"/>
        </w:rPr>
        <w:t xml:space="preserve"> </w:t>
      </w:r>
      <w:r>
        <w:t>de</w:t>
      </w:r>
      <w:r>
        <w:rPr>
          <w:spacing w:val="-6"/>
        </w:rPr>
        <w:t xml:space="preserve"> </w:t>
      </w:r>
      <w:r>
        <w:t>crisis</w:t>
      </w:r>
      <w:r>
        <w:rPr>
          <w:spacing w:val="-6"/>
        </w:rPr>
        <w:t xml:space="preserve"> </w:t>
      </w:r>
      <w:r>
        <w:t>y</w:t>
      </w:r>
      <w:r>
        <w:rPr>
          <w:spacing w:val="-7"/>
        </w:rPr>
        <w:t xml:space="preserve"> </w:t>
      </w:r>
      <w:r>
        <w:t>recomposición</w:t>
      </w:r>
      <w:r>
        <w:rPr>
          <w:spacing w:val="-6"/>
        </w:rPr>
        <w:t xml:space="preserve"> </w:t>
      </w:r>
      <w:r>
        <w:t>se</w:t>
      </w:r>
      <w:r>
        <w:rPr>
          <w:spacing w:val="-6"/>
        </w:rPr>
        <w:t xml:space="preserve"> </w:t>
      </w:r>
      <w:r>
        <w:t>terminó</w:t>
      </w:r>
      <w:r>
        <w:rPr>
          <w:spacing w:val="-6"/>
        </w:rPr>
        <w:t xml:space="preserve"> </w:t>
      </w:r>
      <w:r>
        <w:t>desmovilizando</w:t>
      </w:r>
      <w:r>
        <w:rPr>
          <w:spacing w:val="-6"/>
        </w:rPr>
        <w:t xml:space="preserve"> </w:t>
      </w:r>
      <w:r>
        <w:t>a</w:t>
      </w:r>
      <w:r>
        <w:rPr>
          <w:spacing w:val="-6"/>
        </w:rPr>
        <w:t xml:space="preserve"> </w:t>
      </w:r>
      <w:r>
        <w:t>comienzos de la década de los noventa</w:t>
      </w:r>
      <w:r w:rsidR="00907C2F">
        <w:rPr>
          <w:rStyle w:val="Refdenotaalpie"/>
        </w:rPr>
        <w:footnoteReference w:id="198"/>
      </w:r>
      <w:r>
        <w:t>. Así mismo surgieron guerrillas de origen urbano, de corte nacionalista, con visión democrática de la revolución y objetivos menos radicales que las anteriores,</w:t>
      </w:r>
      <w:r>
        <w:rPr>
          <w:spacing w:val="-5"/>
        </w:rPr>
        <w:t xml:space="preserve"> </w:t>
      </w:r>
      <w:r>
        <w:t>como</w:t>
      </w:r>
      <w:r>
        <w:rPr>
          <w:spacing w:val="-5"/>
        </w:rPr>
        <w:t xml:space="preserve"> </w:t>
      </w:r>
      <w:r>
        <w:t>el</w:t>
      </w:r>
      <w:r>
        <w:rPr>
          <w:spacing w:val="-5"/>
        </w:rPr>
        <w:t xml:space="preserve"> </w:t>
      </w:r>
      <w:r>
        <w:t>M-19,</w:t>
      </w:r>
      <w:r>
        <w:rPr>
          <w:spacing w:val="-5"/>
        </w:rPr>
        <w:t xml:space="preserve"> </w:t>
      </w:r>
      <w:r>
        <w:t>nacido</w:t>
      </w:r>
      <w:r>
        <w:rPr>
          <w:spacing w:val="-5"/>
        </w:rPr>
        <w:t xml:space="preserve"> </w:t>
      </w:r>
      <w:r>
        <w:t>del</w:t>
      </w:r>
      <w:r>
        <w:rPr>
          <w:spacing w:val="-6"/>
        </w:rPr>
        <w:t xml:space="preserve"> </w:t>
      </w:r>
      <w:r>
        <w:t>fraude</w:t>
      </w:r>
      <w:r>
        <w:rPr>
          <w:spacing w:val="-5"/>
        </w:rPr>
        <w:t xml:space="preserve"> </w:t>
      </w:r>
      <w:r>
        <w:t>electoral</w:t>
      </w:r>
      <w:r>
        <w:rPr>
          <w:spacing w:val="-5"/>
        </w:rPr>
        <w:t xml:space="preserve"> </w:t>
      </w:r>
      <w:r>
        <w:t>de</w:t>
      </w:r>
      <w:r>
        <w:rPr>
          <w:spacing w:val="-5"/>
        </w:rPr>
        <w:t xml:space="preserve"> </w:t>
      </w:r>
      <w:r>
        <w:t>1970</w:t>
      </w:r>
      <w:r w:rsidR="00907C2F">
        <w:rPr>
          <w:rStyle w:val="Refdenotaalpie"/>
        </w:rPr>
        <w:footnoteReference w:id="199"/>
      </w:r>
      <w:r>
        <w:rPr>
          <w:spacing w:val="-5"/>
        </w:rPr>
        <w:t xml:space="preserve"> </w:t>
      </w:r>
      <w:r>
        <w:t>y</w:t>
      </w:r>
      <w:r>
        <w:rPr>
          <w:spacing w:val="-5"/>
        </w:rPr>
        <w:t xml:space="preserve"> </w:t>
      </w:r>
      <w:r>
        <w:t>que</w:t>
      </w:r>
      <w:r>
        <w:rPr>
          <w:spacing w:val="-5"/>
        </w:rPr>
        <w:t xml:space="preserve"> </w:t>
      </w:r>
      <w:r>
        <w:t>fue</w:t>
      </w:r>
      <w:r>
        <w:rPr>
          <w:spacing w:val="-5"/>
        </w:rPr>
        <w:t xml:space="preserve"> </w:t>
      </w:r>
      <w:r>
        <w:t>uno</w:t>
      </w:r>
      <w:r>
        <w:rPr>
          <w:spacing w:val="-5"/>
        </w:rPr>
        <w:t xml:space="preserve"> </w:t>
      </w:r>
      <w:r>
        <w:t>de</w:t>
      </w:r>
      <w:r>
        <w:rPr>
          <w:spacing w:val="-5"/>
        </w:rPr>
        <w:t xml:space="preserve"> </w:t>
      </w:r>
      <w:r>
        <w:t>los</w:t>
      </w:r>
      <w:r>
        <w:rPr>
          <w:spacing w:val="-5"/>
        </w:rPr>
        <w:t xml:space="preserve"> </w:t>
      </w:r>
      <w:r>
        <w:t>grupos insurgentes de mayor protagonismo en los años ochenta. Tanto el M-19 como el EPL, tras varios reveses militares y replanteamientos políticos se desmovilizaron y se incorporaron a la vida política legal para participar en el proceso de la Asamblea Nacional Constituyente y en la formulación de la Constitución de 1991</w:t>
      </w:r>
      <w:r w:rsidR="00214B4B">
        <w:rPr>
          <w:rStyle w:val="Refdenotaalpie"/>
        </w:rPr>
        <w:footnoteReference w:id="200"/>
      </w:r>
      <w:r>
        <w:t>.</w:t>
      </w:r>
    </w:p>
    <w:p w:rsidR="003804AC" w:rsidRDefault="00AF18A5" w:rsidP="00907C2F">
      <w:r>
        <w:t>En cuanto a sus estrategias militares, todas las guerrillas usaron el secuestro como forma de</w:t>
      </w:r>
      <w:r>
        <w:rPr>
          <w:spacing w:val="-15"/>
        </w:rPr>
        <w:t xml:space="preserve"> </w:t>
      </w:r>
      <w:r>
        <w:t>financiamiento</w:t>
      </w:r>
      <w:r>
        <w:rPr>
          <w:spacing w:val="-15"/>
        </w:rPr>
        <w:t xml:space="preserve"> </w:t>
      </w:r>
      <w:r>
        <w:t>o</w:t>
      </w:r>
      <w:r>
        <w:rPr>
          <w:spacing w:val="-15"/>
        </w:rPr>
        <w:t xml:space="preserve"> </w:t>
      </w:r>
      <w:r>
        <w:t>presión</w:t>
      </w:r>
      <w:r>
        <w:rPr>
          <w:spacing w:val="-15"/>
        </w:rPr>
        <w:t xml:space="preserve"> </w:t>
      </w:r>
      <w:r>
        <w:t>política,</w:t>
      </w:r>
      <w:r>
        <w:rPr>
          <w:spacing w:val="-15"/>
        </w:rPr>
        <w:t xml:space="preserve"> </w:t>
      </w:r>
      <w:r>
        <w:t>y</w:t>
      </w:r>
      <w:r>
        <w:rPr>
          <w:spacing w:val="-14"/>
        </w:rPr>
        <w:t xml:space="preserve"> </w:t>
      </w:r>
      <w:r>
        <w:t>cometieron</w:t>
      </w:r>
      <w:r>
        <w:rPr>
          <w:spacing w:val="-15"/>
        </w:rPr>
        <w:t xml:space="preserve"> </w:t>
      </w:r>
      <w:r>
        <w:t>atentados</w:t>
      </w:r>
      <w:r>
        <w:rPr>
          <w:spacing w:val="-15"/>
        </w:rPr>
        <w:t xml:space="preserve"> </w:t>
      </w:r>
      <w:r>
        <w:t>y</w:t>
      </w:r>
      <w:r>
        <w:rPr>
          <w:spacing w:val="-15"/>
        </w:rPr>
        <w:t xml:space="preserve"> </w:t>
      </w:r>
      <w:r>
        <w:t>asesinatos</w:t>
      </w:r>
      <w:r>
        <w:rPr>
          <w:spacing w:val="-14"/>
        </w:rPr>
        <w:t xml:space="preserve"> </w:t>
      </w:r>
      <w:r>
        <w:t>contra</w:t>
      </w:r>
      <w:r>
        <w:rPr>
          <w:spacing w:val="-15"/>
        </w:rPr>
        <w:t xml:space="preserve"> </w:t>
      </w:r>
      <w:r>
        <w:t>personas</w:t>
      </w:r>
      <w:r>
        <w:rPr>
          <w:spacing w:val="-15"/>
        </w:rPr>
        <w:t xml:space="preserve"> </w:t>
      </w:r>
      <w:r>
        <w:t>que representaban</w:t>
      </w:r>
      <w:r>
        <w:rPr>
          <w:spacing w:val="68"/>
        </w:rPr>
        <w:t xml:space="preserve"> </w:t>
      </w:r>
      <w:r>
        <w:t>diferentes</w:t>
      </w:r>
      <w:r>
        <w:rPr>
          <w:spacing w:val="68"/>
        </w:rPr>
        <w:t xml:space="preserve"> </w:t>
      </w:r>
      <w:r>
        <w:t>sectores</w:t>
      </w:r>
      <w:r>
        <w:rPr>
          <w:spacing w:val="70"/>
        </w:rPr>
        <w:t xml:space="preserve"> </w:t>
      </w:r>
      <w:r>
        <w:t>de</w:t>
      </w:r>
      <w:r>
        <w:rPr>
          <w:spacing w:val="70"/>
        </w:rPr>
        <w:t xml:space="preserve"> </w:t>
      </w:r>
      <w:r>
        <w:t>poder</w:t>
      </w:r>
      <w:r>
        <w:rPr>
          <w:spacing w:val="69"/>
        </w:rPr>
        <w:t xml:space="preserve"> </w:t>
      </w:r>
      <w:r>
        <w:t>económico</w:t>
      </w:r>
      <w:r>
        <w:rPr>
          <w:spacing w:val="69"/>
        </w:rPr>
        <w:t xml:space="preserve"> </w:t>
      </w:r>
      <w:r>
        <w:t>y</w:t>
      </w:r>
      <w:r>
        <w:rPr>
          <w:spacing w:val="68"/>
        </w:rPr>
        <w:t xml:space="preserve"> </w:t>
      </w:r>
      <w:r>
        <w:t>político</w:t>
      </w:r>
      <w:r>
        <w:rPr>
          <w:spacing w:val="69"/>
        </w:rPr>
        <w:t xml:space="preserve"> </w:t>
      </w:r>
      <w:r>
        <w:t>que</w:t>
      </w:r>
      <w:r>
        <w:rPr>
          <w:spacing w:val="68"/>
        </w:rPr>
        <w:t xml:space="preserve"> </w:t>
      </w:r>
      <w:r>
        <w:t>señalaron</w:t>
      </w:r>
      <w:r>
        <w:rPr>
          <w:spacing w:val="68"/>
        </w:rPr>
        <w:t xml:space="preserve"> </w:t>
      </w:r>
      <w:r>
        <w:rPr>
          <w:spacing w:val="-4"/>
        </w:rPr>
        <w:t>como</w:t>
      </w:r>
      <w:bookmarkStart w:id="318" w:name="_bookmark235"/>
      <w:bookmarkStart w:id="319" w:name="_bookmark236"/>
      <w:bookmarkEnd w:id="318"/>
      <w:bookmarkEnd w:id="319"/>
      <w:r w:rsidR="00907C2F">
        <w:rPr>
          <w:spacing w:val="-4"/>
        </w:rPr>
        <w:t xml:space="preserve"> </w:t>
      </w:r>
      <w:r>
        <w:t xml:space="preserve">enemigos. A partir de los años noventa, la extensión e indiscriminación de sus objetivos fueron cada vez mayores, así como las afectaciones a la población civil. También sufrieron numerosas bajas en combate y muertes en otras circunstancias, con alto costo en vidas humanas que </w:t>
      </w:r>
      <w:r>
        <w:lastRenderedPageBreak/>
        <w:t>no han sido, por lo general, consideradas.</w:t>
      </w:r>
    </w:p>
    <w:p w:rsidR="003804AC" w:rsidRDefault="00AF18A5" w:rsidP="00907C2F">
      <w:r>
        <w:t>El desarrollo de una guerra irregular contra el Estado afectó y victimizó a diferentes sectores de la sociedad, dependiendo del momento histórico y el territorio. En los lugares donde las guerrillas tuvieron fuerte presencia impusieron formas de control sobre la población civil y el territorio, mediante el ejercicio de violencia y coacción armada, cometiendo numerosas infracciones al derecho internacional humanitario que afectaron a la población civil y la vida comunitaria.</w:t>
      </w:r>
    </w:p>
    <w:p w:rsidR="003804AC" w:rsidRDefault="00AF18A5" w:rsidP="00907C2F">
      <w:r>
        <w:t>En</w:t>
      </w:r>
      <w:r>
        <w:rPr>
          <w:spacing w:val="-12"/>
        </w:rPr>
        <w:t xml:space="preserve"> </w:t>
      </w:r>
      <w:r>
        <w:t>esa</w:t>
      </w:r>
      <w:r>
        <w:rPr>
          <w:spacing w:val="-12"/>
        </w:rPr>
        <w:t xml:space="preserve"> </w:t>
      </w:r>
      <w:r>
        <w:t>dirección,</w:t>
      </w:r>
      <w:r>
        <w:rPr>
          <w:spacing w:val="-12"/>
        </w:rPr>
        <w:t xml:space="preserve"> </w:t>
      </w:r>
      <w:r>
        <w:t>desarrollaron</w:t>
      </w:r>
      <w:r>
        <w:rPr>
          <w:spacing w:val="-12"/>
        </w:rPr>
        <w:t xml:space="preserve"> </w:t>
      </w:r>
      <w:r>
        <w:t>acciones</w:t>
      </w:r>
      <w:r>
        <w:rPr>
          <w:spacing w:val="-12"/>
        </w:rPr>
        <w:t xml:space="preserve"> </w:t>
      </w:r>
      <w:r>
        <w:t>violentas</w:t>
      </w:r>
      <w:r>
        <w:rPr>
          <w:spacing w:val="-12"/>
        </w:rPr>
        <w:t xml:space="preserve"> </w:t>
      </w:r>
      <w:r>
        <w:t>contra</w:t>
      </w:r>
      <w:r>
        <w:rPr>
          <w:spacing w:val="-13"/>
        </w:rPr>
        <w:t xml:space="preserve"> </w:t>
      </w:r>
      <w:r>
        <w:t>las</w:t>
      </w:r>
      <w:r>
        <w:rPr>
          <w:spacing w:val="-13"/>
        </w:rPr>
        <w:t xml:space="preserve"> </w:t>
      </w:r>
      <w:r>
        <w:t>élites</w:t>
      </w:r>
      <w:r>
        <w:rPr>
          <w:spacing w:val="-12"/>
        </w:rPr>
        <w:t xml:space="preserve"> </w:t>
      </w:r>
      <w:r>
        <w:t>políticas</w:t>
      </w:r>
      <w:r>
        <w:rPr>
          <w:spacing w:val="-12"/>
        </w:rPr>
        <w:t xml:space="preserve"> </w:t>
      </w:r>
      <w:r>
        <w:t>y</w:t>
      </w:r>
      <w:r>
        <w:rPr>
          <w:spacing w:val="-12"/>
        </w:rPr>
        <w:t xml:space="preserve"> </w:t>
      </w:r>
      <w:r>
        <w:t>económicas, servidores públicos e integrantes y familiares de miembros de la fuerza pública, grupos paramilitares y ex miembros de grupos guerrilleros. A su vez, las guerrillas han buscado incidir o forzar las acciones de organizaciones sociales, partidos y movimientos políticos, tratando de limitar su autonomía para ganar poder, deslegitimar al Estado, aumentar su incidencia política o fortalecer su presencia territorial. Sin embargo, los movimientos sociales y políticos de izquierda, así como numerosas experiencias comunitarias y pueblos étnicos, han mantenido sus agendas y demandas sociales que reclaman autonomía ante las tentativas</w:t>
      </w:r>
      <w:r>
        <w:rPr>
          <w:spacing w:val="-8"/>
        </w:rPr>
        <w:t xml:space="preserve"> </w:t>
      </w:r>
      <w:r>
        <w:t>de</w:t>
      </w:r>
      <w:r>
        <w:rPr>
          <w:spacing w:val="-9"/>
        </w:rPr>
        <w:t xml:space="preserve"> </w:t>
      </w:r>
      <w:r>
        <w:t>cooptación</w:t>
      </w:r>
      <w:r>
        <w:rPr>
          <w:spacing w:val="-10"/>
        </w:rPr>
        <w:t xml:space="preserve"> </w:t>
      </w:r>
      <w:r>
        <w:t>por</w:t>
      </w:r>
      <w:r>
        <w:rPr>
          <w:spacing w:val="-8"/>
        </w:rPr>
        <w:t xml:space="preserve"> </w:t>
      </w:r>
      <w:r>
        <w:t>parte</w:t>
      </w:r>
      <w:r>
        <w:rPr>
          <w:spacing w:val="-8"/>
        </w:rPr>
        <w:t xml:space="preserve"> </w:t>
      </w:r>
      <w:r>
        <w:t>de</w:t>
      </w:r>
      <w:r>
        <w:rPr>
          <w:spacing w:val="-9"/>
        </w:rPr>
        <w:t xml:space="preserve"> </w:t>
      </w:r>
      <w:r>
        <w:t>las</w:t>
      </w:r>
      <w:r>
        <w:rPr>
          <w:spacing w:val="-8"/>
        </w:rPr>
        <w:t xml:space="preserve"> </w:t>
      </w:r>
      <w:r>
        <w:t>guerrillas</w:t>
      </w:r>
      <w:r>
        <w:rPr>
          <w:spacing w:val="-9"/>
        </w:rPr>
        <w:t xml:space="preserve"> </w:t>
      </w:r>
      <w:r>
        <w:t>y</w:t>
      </w:r>
      <w:r>
        <w:rPr>
          <w:spacing w:val="-8"/>
        </w:rPr>
        <w:t xml:space="preserve"> </w:t>
      </w:r>
      <w:r>
        <w:t>un</w:t>
      </w:r>
      <w:r>
        <w:rPr>
          <w:spacing w:val="-8"/>
        </w:rPr>
        <w:t xml:space="preserve"> </w:t>
      </w:r>
      <w:r>
        <w:t>contexto</w:t>
      </w:r>
      <w:r>
        <w:rPr>
          <w:spacing w:val="-8"/>
        </w:rPr>
        <w:t xml:space="preserve"> </w:t>
      </w:r>
      <w:r>
        <w:t>de</w:t>
      </w:r>
      <w:r>
        <w:rPr>
          <w:spacing w:val="-8"/>
        </w:rPr>
        <w:t xml:space="preserve"> </w:t>
      </w:r>
      <w:r>
        <w:t>ataques</w:t>
      </w:r>
      <w:r>
        <w:rPr>
          <w:spacing w:val="-8"/>
        </w:rPr>
        <w:t xml:space="preserve"> </w:t>
      </w:r>
      <w:r>
        <w:t>y</w:t>
      </w:r>
      <w:r>
        <w:rPr>
          <w:spacing w:val="-8"/>
        </w:rPr>
        <w:t xml:space="preserve"> </w:t>
      </w:r>
      <w:r>
        <w:t>persecución</w:t>
      </w:r>
      <w:r>
        <w:rPr>
          <w:spacing w:val="-8"/>
        </w:rPr>
        <w:t xml:space="preserve"> </w:t>
      </w:r>
      <w:r>
        <w:t>de otros sectores.</w:t>
      </w:r>
    </w:p>
    <w:p w:rsidR="003804AC" w:rsidRDefault="00AF18A5" w:rsidP="00907C2F">
      <w:r>
        <w:t>La</w:t>
      </w:r>
      <w:r>
        <w:rPr>
          <w:spacing w:val="-3"/>
        </w:rPr>
        <w:t xml:space="preserve"> </w:t>
      </w:r>
      <w:r>
        <w:t>inicial</w:t>
      </w:r>
      <w:r>
        <w:rPr>
          <w:spacing w:val="-3"/>
        </w:rPr>
        <w:t xml:space="preserve"> </w:t>
      </w:r>
      <w:r>
        <w:t>utopía</w:t>
      </w:r>
      <w:r>
        <w:rPr>
          <w:spacing w:val="-3"/>
        </w:rPr>
        <w:t xml:space="preserve"> </w:t>
      </w:r>
      <w:r>
        <w:t>armada</w:t>
      </w:r>
      <w:r>
        <w:rPr>
          <w:spacing w:val="-3"/>
        </w:rPr>
        <w:t xml:space="preserve"> </w:t>
      </w:r>
      <w:r>
        <w:t>de</w:t>
      </w:r>
      <w:r>
        <w:rPr>
          <w:spacing w:val="-3"/>
        </w:rPr>
        <w:t xml:space="preserve"> </w:t>
      </w:r>
      <w:r>
        <w:t>estos</w:t>
      </w:r>
      <w:r>
        <w:rPr>
          <w:spacing w:val="-3"/>
        </w:rPr>
        <w:t xml:space="preserve"> </w:t>
      </w:r>
      <w:r>
        <w:t>grupos</w:t>
      </w:r>
      <w:r>
        <w:rPr>
          <w:spacing w:val="-3"/>
        </w:rPr>
        <w:t xml:space="preserve"> </w:t>
      </w:r>
      <w:r>
        <w:t>en</w:t>
      </w:r>
      <w:r>
        <w:rPr>
          <w:spacing w:val="-4"/>
        </w:rPr>
        <w:t xml:space="preserve"> </w:t>
      </w:r>
      <w:r>
        <w:t>los</w:t>
      </w:r>
      <w:r>
        <w:rPr>
          <w:spacing w:val="-3"/>
        </w:rPr>
        <w:t xml:space="preserve"> </w:t>
      </w:r>
      <w:r>
        <w:t>años</w:t>
      </w:r>
      <w:r>
        <w:rPr>
          <w:spacing w:val="-3"/>
        </w:rPr>
        <w:t xml:space="preserve"> </w:t>
      </w:r>
      <w:r>
        <w:t>sesenta</w:t>
      </w:r>
      <w:r>
        <w:rPr>
          <w:spacing w:val="-4"/>
        </w:rPr>
        <w:t xml:space="preserve"> </w:t>
      </w:r>
      <w:r>
        <w:t>y</w:t>
      </w:r>
      <w:r>
        <w:rPr>
          <w:spacing w:val="-3"/>
        </w:rPr>
        <w:t xml:space="preserve"> </w:t>
      </w:r>
      <w:r>
        <w:t>setenta</w:t>
      </w:r>
      <w:r>
        <w:rPr>
          <w:spacing w:val="-3"/>
        </w:rPr>
        <w:t xml:space="preserve"> </w:t>
      </w:r>
      <w:r>
        <w:t>se</w:t>
      </w:r>
      <w:r>
        <w:rPr>
          <w:spacing w:val="-5"/>
        </w:rPr>
        <w:t xml:space="preserve"> </w:t>
      </w:r>
      <w:r>
        <w:t>basaba</w:t>
      </w:r>
      <w:r>
        <w:rPr>
          <w:spacing w:val="-3"/>
        </w:rPr>
        <w:t xml:space="preserve"> </w:t>
      </w:r>
      <w:r>
        <w:t>en</w:t>
      </w:r>
      <w:r>
        <w:rPr>
          <w:spacing w:val="-3"/>
        </w:rPr>
        <w:t xml:space="preserve"> </w:t>
      </w:r>
      <w:r>
        <w:t>que</w:t>
      </w:r>
      <w:r>
        <w:rPr>
          <w:spacing w:val="-3"/>
        </w:rPr>
        <w:t xml:space="preserve"> </w:t>
      </w:r>
      <w:r>
        <w:t xml:space="preserve">la </w:t>
      </w:r>
      <w:r>
        <w:rPr>
          <w:spacing w:val="-2"/>
        </w:rPr>
        <w:t>combinación</w:t>
      </w:r>
      <w:r>
        <w:rPr>
          <w:spacing w:val="-4"/>
        </w:rPr>
        <w:t xml:space="preserve"> </w:t>
      </w:r>
      <w:r>
        <w:rPr>
          <w:spacing w:val="-2"/>
        </w:rPr>
        <w:t>entre</w:t>
      </w:r>
      <w:r>
        <w:rPr>
          <w:spacing w:val="-4"/>
        </w:rPr>
        <w:t xml:space="preserve"> </w:t>
      </w:r>
      <w:r>
        <w:rPr>
          <w:spacing w:val="-2"/>
        </w:rPr>
        <w:t>lucha</w:t>
      </w:r>
      <w:r>
        <w:rPr>
          <w:spacing w:val="-6"/>
        </w:rPr>
        <w:t xml:space="preserve"> </w:t>
      </w:r>
      <w:r>
        <w:rPr>
          <w:spacing w:val="-2"/>
        </w:rPr>
        <w:t>armada,</w:t>
      </w:r>
      <w:r>
        <w:rPr>
          <w:spacing w:val="-6"/>
        </w:rPr>
        <w:t xml:space="preserve"> </w:t>
      </w:r>
      <w:r>
        <w:rPr>
          <w:spacing w:val="-2"/>
        </w:rPr>
        <w:t>movilización</w:t>
      </w:r>
      <w:r>
        <w:rPr>
          <w:spacing w:val="-6"/>
        </w:rPr>
        <w:t xml:space="preserve"> </w:t>
      </w:r>
      <w:r>
        <w:rPr>
          <w:spacing w:val="-2"/>
        </w:rPr>
        <w:t>social</w:t>
      </w:r>
      <w:r>
        <w:rPr>
          <w:spacing w:val="-6"/>
        </w:rPr>
        <w:t xml:space="preserve"> </w:t>
      </w:r>
      <w:r>
        <w:rPr>
          <w:spacing w:val="-2"/>
        </w:rPr>
        <w:t>y</w:t>
      </w:r>
      <w:r>
        <w:rPr>
          <w:spacing w:val="-4"/>
        </w:rPr>
        <w:t xml:space="preserve"> </w:t>
      </w:r>
      <w:r>
        <w:rPr>
          <w:spacing w:val="-2"/>
        </w:rPr>
        <w:t>formación</w:t>
      </w:r>
      <w:r>
        <w:rPr>
          <w:spacing w:val="-4"/>
        </w:rPr>
        <w:t xml:space="preserve"> </w:t>
      </w:r>
      <w:r>
        <w:rPr>
          <w:spacing w:val="-2"/>
        </w:rPr>
        <w:t>de</w:t>
      </w:r>
      <w:r>
        <w:rPr>
          <w:spacing w:val="-6"/>
        </w:rPr>
        <w:t xml:space="preserve"> </w:t>
      </w:r>
      <w:r>
        <w:rPr>
          <w:spacing w:val="-2"/>
        </w:rPr>
        <w:t>la</w:t>
      </w:r>
      <w:r>
        <w:rPr>
          <w:spacing w:val="-6"/>
        </w:rPr>
        <w:t xml:space="preserve"> </w:t>
      </w:r>
      <w:r>
        <w:rPr>
          <w:spacing w:val="-2"/>
        </w:rPr>
        <w:t>«conciencia</w:t>
      </w:r>
      <w:r>
        <w:rPr>
          <w:spacing w:val="-4"/>
        </w:rPr>
        <w:t xml:space="preserve"> </w:t>
      </w:r>
      <w:r>
        <w:rPr>
          <w:spacing w:val="-2"/>
        </w:rPr>
        <w:t>de</w:t>
      </w:r>
      <w:r>
        <w:rPr>
          <w:spacing w:val="-6"/>
        </w:rPr>
        <w:t xml:space="preserve"> </w:t>
      </w:r>
      <w:r>
        <w:rPr>
          <w:spacing w:val="-2"/>
        </w:rPr>
        <w:t xml:space="preserve">clase» </w:t>
      </w:r>
      <w:r>
        <w:t>de</w:t>
      </w:r>
      <w:r>
        <w:rPr>
          <w:spacing w:val="-10"/>
        </w:rPr>
        <w:t xml:space="preserve"> </w:t>
      </w:r>
      <w:r>
        <w:t>obreros,</w:t>
      </w:r>
      <w:r>
        <w:rPr>
          <w:spacing w:val="-12"/>
        </w:rPr>
        <w:t xml:space="preserve"> </w:t>
      </w:r>
      <w:r>
        <w:t>campesinos,</w:t>
      </w:r>
      <w:r>
        <w:rPr>
          <w:spacing w:val="-12"/>
        </w:rPr>
        <w:t xml:space="preserve"> </w:t>
      </w:r>
      <w:r>
        <w:t>estudiantes</w:t>
      </w:r>
      <w:r>
        <w:rPr>
          <w:spacing w:val="-12"/>
        </w:rPr>
        <w:t xml:space="preserve"> </w:t>
      </w:r>
      <w:r>
        <w:t>y</w:t>
      </w:r>
      <w:r>
        <w:rPr>
          <w:spacing w:val="-11"/>
        </w:rPr>
        <w:t xml:space="preserve"> </w:t>
      </w:r>
      <w:r>
        <w:t>sectores</w:t>
      </w:r>
      <w:r>
        <w:rPr>
          <w:spacing w:val="-10"/>
        </w:rPr>
        <w:t xml:space="preserve"> </w:t>
      </w:r>
      <w:r>
        <w:t>de</w:t>
      </w:r>
      <w:r>
        <w:rPr>
          <w:spacing w:val="-12"/>
        </w:rPr>
        <w:t xml:space="preserve"> </w:t>
      </w:r>
      <w:r>
        <w:t>la</w:t>
      </w:r>
      <w:r>
        <w:rPr>
          <w:spacing w:val="-10"/>
        </w:rPr>
        <w:t xml:space="preserve"> </w:t>
      </w:r>
      <w:r>
        <w:t>clase</w:t>
      </w:r>
      <w:r>
        <w:rPr>
          <w:spacing w:val="-10"/>
        </w:rPr>
        <w:t xml:space="preserve"> </w:t>
      </w:r>
      <w:r>
        <w:t>media,</w:t>
      </w:r>
      <w:r>
        <w:rPr>
          <w:spacing w:val="-11"/>
        </w:rPr>
        <w:t xml:space="preserve"> </w:t>
      </w:r>
      <w:r>
        <w:t>dirigida</w:t>
      </w:r>
      <w:r>
        <w:rPr>
          <w:spacing w:val="-10"/>
        </w:rPr>
        <w:t xml:space="preserve"> </w:t>
      </w:r>
      <w:r>
        <w:t>por</w:t>
      </w:r>
      <w:r>
        <w:rPr>
          <w:spacing w:val="-10"/>
        </w:rPr>
        <w:t xml:space="preserve"> </w:t>
      </w:r>
      <w:r>
        <w:t>una</w:t>
      </w:r>
      <w:r>
        <w:rPr>
          <w:spacing w:val="-10"/>
        </w:rPr>
        <w:t xml:space="preserve"> </w:t>
      </w:r>
      <w:r>
        <w:t>vanguardia militar y política, llegaría a hacer la revolución. Estos planteamientos se transformaron con el</w:t>
      </w:r>
      <w:r>
        <w:rPr>
          <w:spacing w:val="-2"/>
        </w:rPr>
        <w:t xml:space="preserve"> </w:t>
      </w:r>
      <w:r>
        <w:t>tiempo</w:t>
      </w:r>
      <w:r>
        <w:rPr>
          <w:spacing w:val="-2"/>
        </w:rPr>
        <w:t xml:space="preserve"> </w:t>
      </w:r>
      <w:r>
        <w:t>en</w:t>
      </w:r>
      <w:r>
        <w:rPr>
          <w:spacing w:val="-4"/>
        </w:rPr>
        <w:t xml:space="preserve"> </w:t>
      </w:r>
      <w:r>
        <w:t>una</w:t>
      </w:r>
      <w:r>
        <w:rPr>
          <w:spacing w:val="-2"/>
        </w:rPr>
        <w:t xml:space="preserve"> </w:t>
      </w:r>
      <w:r>
        <w:t>guerra</w:t>
      </w:r>
      <w:r>
        <w:rPr>
          <w:spacing w:val="-2"/>
        </w:rPr>
        <w:t xml:space="preserve"> </w:t>
      </w:r>
      <w:r>
        <w:t>cada</w:t>
      </w:r>
      <w:r>
        <w:rPr>
          <w:spacing w:val="-2"/>
        </w:rPr>
        <w:t xml:space="preserve"> </w:t>
      </w:r>
      <w:r>
        <w:t>vez</w:t>
      </w:r>
      <w:r>
        <w:rPr>
          <w:spacing w:val="-2"/>
        </w:rPr>
        <w:t xml:space="preserve"> </w:t>
      </w:r>
      <w:r>
        <w:t>más</w:t>
      </w:r>
      <w:r>
        <w:rPr>
          <w:spacing w:val="-2"/>
        </w:rPr>
        <w:t xml:space="preserve"> </w:t>
      </w:r>
      <w:r>
        <w:t>indiscriminada</w:t>
      </w:r>
      <w:r>
        <w:rPr>
          <w:spacing w:val="-2"/>
        </w:rPr>
        <w:t xml:space="preserve"> </w:t>
      </w:r>
      <w:r>
        <w:t>y</w:t>
      </w:r>
      <w:r>
        <w:rPr>
          <w:spacing w:val="-2"/>
        </w:rPr>
        <w:t xml:space="preserve"> </w:t>
      </w:r>
      <w:r>
        <w:t>contradictoria</w:t>
      </w:r>
      <w:r>
        <w:rPr>
          <w:spacing w:val="-2"/>
        </w:rPr>
        <w:t xml:space="preserve"> </w:t>
      </w:r>
      <w:r>
        <w:t>en</w:t>
      </w:r>
      <w:r>
        <w:rPr>
          <w:spacing w:val="-4"/>
        </w:rPr>
        <w:t xml:space="preserve"> </w:t>
      </w:r>
      <w:r>
        <w:t>sus</w:t>
      </w:r>
      <w:r>
        <w:rPr>
          <w:spacing w:val="-2"/>
        </w:rPr>
        <w:t xml:space="preserve"> </w:t>
      </w:r>
      <w:r>
        <w:t>proclamas,</w:t>
      </w:r>
      <w:r>
        <w:rPr>
          <w:spacing w:val="-2"/>
        </w:rPr>
        <w:t xml:space="preserve"> </w:t>
      </w:r>
      <w:r>
        <w:t>que hizo</w:t>
      </w:r>
      <w:r>
        <w:rPr>
          <w:spacing w:val="-4"/>
        </w:rPr>
        <w:t xml:space="preserve"> </w:t>
      </w:r>
      <w:r>
        <w:t>más</w:t>
      </w:r>
      <w:r>
        <w:rPr>
          <w:spacing w:val="-5"/>
        </w:rPr>
        <w:t xml:space="preserve"> </w:t>
      </w:r>
      <w:r>
        <w:t>imposibles</w:t>
      </w:r>
      <w:r>
        <w:rPr>
          <w:spacing w:val="-5"/>
        </w:rPr>
        <w:t xml:space="preserve"> </w:t>
      </w:r>
      <w:r>
        <w:t>sus</w:t>
      </w:r>
      <w:r>
        <w:rPr>
          <w:spacing w:val="-5"/>
        </w:rPr>
        <w:t xml:space="preserve"> </w:t>
      </w:r>
      <w:r>
        <w:t>objetivos</w:t>
      </w:r>
      <w:r>
        <w:rPr>
          <w:spacing w:val="-3"/>
        </w:rPr>
        <w:t xml:space="preserve"> </w:t>
      </w:r>
      <w:r>
        <w:lastRenderedPageBreak/>
        <w:t>iniciales,</w:t>
      </w:r>
      <w:r>
        <w:rPr>
          <w:spacing w:val="-4"/>
        </w:rPr>
        <w:t xml:space="preserve"> </w:t>
      </w:r>
      <w:r>
        <w:t>con</w:t>
      </w:r>
      <w:r>
        <w:rPr>
          <w:spacing w:val="-5"/>
        </w:rPr>
        <w:t xml:space="preserve"> </w:t>
      </w:r>
      <w:r>
        <w:t>enorme</w:t>
      </w:r>
      <w:r>
        <w:rPr>
          <w:spacing w:val="-5"/>
        </w:rPr>
        <w:t xml:space="preserve"> </w:t>
      </w:r>
      <w:r>
        <w:t>impacto</w:t>
      </w:r>
      <w:r>
        <w:rPr>
          <w:spacing w:val="-4"/>
        </w:rPr>
        <w:t xml:space="preserve"> </w:t>
      </w:r>
      <w:r>
        <w:t>sobre</w:t>
      </w:r>
      <w:r>
        <w:rPr>
          <w:spacing w:val="-5"/>
        </w:rPr>
        <w:t xml:space="preserve"> </w:t>
      </w:r>
      <w:r>
        <w:t>la</w:t>
      </w:r>
      <w:r>
        <w:rPr>
          <w:spacing w:val="-5"/>
        </w:rPr>
        <w:t xml:space="preserve"> </w:t>
      </w:r>
      <w:r>
        <w:t>población</w:t>
      </w:r>
      <w:r>
        <w:rPr>
          <w:spacing w:val="-5"/>
        </w:rPr>
        <w:t xml:space="preserve"> </w:t>
      </w:r>
      <w:r>
        <w:t>civil,</w:t>
      </w:r>
      <w:r>
        <w:rPr>
          <w:spacing w:val="-4"/>
        </w:rPr>
        <w:t xml:space="preserve"> </w:t>
      </w:r>
      <w:r>
        <w:t>en ocasiones por las violaciones cometidas por las guerrillas, en otras por la vulnerabilidad en que quedaron las comunidades y los estigmas y señalamientos de la contrainsurgencia.</w:t>
      </w:r>
    </w:p>
    <w:p w:rsidR="003804AC" w:rsidRDefault="00AF18A5" w:rsidP="00907C2F">
      <w:r>
        <w:t>Desde los años ochenta, los grupos insurgentes fueron organizando y ampliando sus actuaciones</w:t>
      </w:r>
      <w:r>
        <w:rPr>
          <w:spacing w:val="-11"/>
        </w:rPr>
        <w:t xml:space="preserve"> </w:t>
      </w:r>
      <w:r>
        <w:t>en</w:t>
      </w:r>
      <w:r>
        <w:rPr>
          <w:spacing w:val="-10"/>
        </w:rPr>
        <w:t xml:space="preserve"> </w:t>
      </w:r>
      <w:r>
        <w:t>su</w:t>
      </w:r>
      <w:r>
        <w:rPr>
          <w:spacing w:val="-10"/>
        </w:rPr>
        <w:t xml:space="preserve"> </w:t>
      </w:r>
      <w:r>
        <w:t>intento</w:t>
      </w:r>
      <w:r>
        <w:rPr>
          <w:spacing w:val="-11"/>
        </w:rPr>
        <w:t xml:space="preserve"> </w:t>
      </w:r>
      <w:r>
        <w:t>de</w:t>
      </w:r>
      <w:r>
        <w:rPr>
          <w:spacing w:val="-9"/>
        </w:rPr>
        <w:t xml:space="preserve"> </w:t>
      </w:r>
      <w:r>
        <w:t>toma</w:t>
      </w:r>
      <w:r>
        <w:rPr>
          <w:spacing w:val="-9"/>
        </w:rPr>
        <w:t xml:space="preserve"> </w:t>
      </w:r>
      <w:r>
        <w:t>del</w:t>
      </w:r>
      <w:r>
        <w:rPr>
          <w:spacing w:val="-9"/>
        </w:rPr>
        <w:t xml:space="preserve"> </w:t>
      </w:r>
      <w:r>
        <w:t>poder</w:t>
      </w:r>
      <w:r>
        <w:rPr>
          <w:spacing w:val="-9"/>
        </w:rPr>
        <w:t xml:space="preserve"> </w:t>
      </w:r>
      <w:r>
        <w:t>o</w:t>
      </w:r>
      <w:r>
        <w:rPr>
          <w:spacing w:val="-10"/>
        </w:rPr>
        <w:t xml:space="preserve"> </w:t>
      </w:r>
      <w:r>
        <w:t>como</w:t>
      </w:r>
      <w:r>
        <w:rPr>
          <w:spacing w:val="-10"/>
        </w:rPr>
        <w:t xml:space="preserve"> </w:t>
      </w:r>
      <w:r>
        <w:t>retaguardia</w:t>
      </w:r>
      <w:r>
        <w:rPr>
          <w:spacing w:val="-9"/>
        </w:rPr>
        <w:t xml:space="preserve"> </w:t>
      </w:r>
      <w:r>
        <w:t>de</w:t>
      </w:r>
      <w:r>
        <w:rPr>
          <w:spacing w:val="-9"/>
        </w:rPr>
        <w:t xml:space="preserve"> </w:t>
      </w:r>
      <w:r>
        <w:t>apoyo</w:t>
      </w:r>
      <w:r>
        <w:rPr>
          <w:spacing w:val="-10"/>
        </w:rPr>
        <w:t xml:space="preserve"> </w:t>
      </w:r>
      <w:r>
        <w:t>a</w:t>
      </w:r>
      <w:r>
        <w:rPr>
          <w:spacing w:val="-9"/>
        </w:rPr>
        <w:t xml:space="preserve"> </w:t>
      </w:r>
      <w:r>
        <w:t>las</w:t>
      </w:r>
      <w:r>
        <w:rPr>
          <w:spacing w:val="-9"/>
        </w:rPr>
        <w:t xml:space="preserve"> </w:t>
      </w:r>
      <w:r>
        <w:t>luchas</w:t>
      </w:r>
      <w:r>
        <w:rPr>
          <w:spacing w:val="-9"/>
        </w:rPr>
        <w:t xml:space="preserve"> </w:t>
      </w:r>
      <w:r>
        <w:t>civiles. Sin embargo, lejos de lograr los objetivos que pretendían, la agudización y la extensión de las dinámicas del conflicto armado contribuyeron de forma intolerable al sufrimiento de las víctimas y a la imposibilidad de alternativas democráticas no violentas a través de la organización,</w:t>
      </w:r>
      <w:r>
        <w:rPr>
          <w:spacing w:val="-8"/>
        </w:rPr>
        <w:t xml:space="preserve"> </w:t>
      </w:r>
      <w:r>
        <w:t>la</w:t>
      </w:r>
      <w:r>
        <w:rPr>
          <w:spacing w:val="-9"/>
        </w:rPr>
        <w:t xml:space="preserve"> </w:t>
      </w:r>
      <w:r>
        <w:t>movilización</w:t>
      </w:r>
      <w:r>
        <w:rPr>
          <w:spacing w:val="-10"/>
        </w:rPr>
        <w:t xml:space="preserve"> </w:t>
      </w:r>
      <w:r>
        <w:t>social,</w:t>
      </w:r>
      <w:r>
        <w:rPr>
          <w:spacing w:val="-10"/>
        </w:rPr>
        <w:t xml:space="preserve"> </w:t>
      </w:r>
      <w:r>
        <w:t>el</w:t>
      </w:r>
      <w:r>
        <w:rPr>
          <w:spacing w:val="-9"/>
        </w:rPr>
        <w:t xml:space="preserve"> </w:t>
      </w:r>
      <w:r>
        <w:t>diálogo</w:t>
      </w:r>
      <w:r>
        <w:rPr>
          <w:spacing w:val="-8"/>
        </w:rPr>
        <w:t xml:space="preserve"> </w:t>
      </w:r>
      <w:r>
        <w:t>y</w:t>
      </w:r>
      <w:r>
        <w:rPr>
          <w:spacing w:val="-11"/>
        </w:rPr>
        <w:t xml:space="preserve"> </w:t>
      </w:r>
      <w:r>
        <w:t>la</w:t>
      </w:r>
      <w:r>
        <w:rPr>
          <w:spacing w:val="-8"/>
        </w:rPr>
        <w:t xml:space="preserve"> </w:t>
      </w:r>
      <w:r>
        <w:t>política.</w:t>
      </w:r>
      <w:r>
        <w:rPr>
          <w:spacing w:val="-10"/>
        </w:rPr>
        <w:t xml:space="preserve"> </w:t>
      </w:r>
      <w:r>
        <w:t>En</w:t>
      </w:r>
      <w:r>
        <w:rPr>
          <w:spacing w:val="-8"/>
        </w:rPr>
        <w:t xml:space="preserve"> </w:t>
      </w:r>
      <w:r>
        <w:t>esos</w:t>
      </w:r>
      <w:r>
        <w:rPr>
          <w:spacing w:val="-9"/>
        </w:rPr>
        <w:t xml:space="preserve"> </w:t>
      </w:r>
      <w:r>
        <w:t>años,</w:t>
      </w:r>
      <w:r>
        <w:rPr>
          <w:spacing w:val="-10"/>
        </w:rPr>
        <w:t xml:space="preserve"> </w:t>
      </w:r>
      <w:r>
        <w:t>el</w:t>
      </w:r>
      <w:r>
        <w:rPr>
          <w:spacing w:val="-9"/>
        </w:rPr>
        <w:t xml:space="preserve"> </w:t>
      </w:r>
      <w:r>
        <w:t>intento</w:t>
      </w:r>
      <w:r>
        <w:rPr>
          <w:spacing w:val="-8"/>
        </w:rPr>
        <w:t xml:space="preserve"> </w:t>
      </w:r>
      <w:r>
        <w:t>de</w:t>
      </w:r>
      <w:r>
        <w:rPr>
          <w:spacing w:val="-11"/>
        </w:rPr>
        <w:t xml:space="preserve"> </w:t>
      </w:r>
      <w:r>
        <w:t>crear un proceso de paz con las FARC-EP, mediante el experimento de la UP, fracasó por el exterminio</w:t>
      </w:r>
      <w:r>
        <w:rPr>
          <w:spacing w:val="-4"/>
        </w:rPr>
        <w:t xml:space="preserve"> </w:t>
      </w:r>
      <w:r>
        <w:t>al</w:t>
      </w:r>
      <w:r>
        <w:rPr>
          <w:spacing w:val="-3"/>
        </w:rPr>
        <w:t xml:space="preserve"> </w:t>
      </w:r>
      <w:r>
        <w:t>que</w:t>
      </w:r>
      <w:r>
        <w:rPr>
          <w:spacing w:val="-5"/>
        </w:rPr>
        <w:t xml:space="preserve"> </w:t>
      </w:r>
      <w:r>
        <w:t>fue</w:t>
      </w:r>
      <w:r>
        <w:rPr>
          <w:spacing w:val="-5"/>
        </w:rPr>
        <w:t xml:space="preserve"> </w:t>
      </w:r>
      <w:r>
        <w:t>sometido</w:t>
      </w:r>
      <w:r>
        <w:rPr>
          <w:spacing w:val="-4"/>
        </w:rPr>
        <w:t xml:space="preserve"> </w:t>
      </w:r>
      <w:r>
        <w:t>este</w:t>
      </w:r>
      <w:r>
        <w:rPr>
          <w:spacing w:val="-5"/>
        </w:rPr>
        <w:t xml:space="preserve"> </w:t>
      </w:r>
      <w:r>
        <w:t>grupo</w:t>
      </w:r>
      <w:r>
        <w:rPr>
          <w:spacing w:val="-4"/>
        </w:rPr>
        <w:t xml:space="preserve"> </w:t>
      </w:r>
      <w:r>
        <w:t>político,</w:t>
      </w:r>
      <w:r>
        <w:rPr>
          <w:spacing w:val="-4"/>
        </w:rPr>
        <w:t xml:space="preserve"> </w:t>
      </w:r>
      <w:r>
        <w:t>lo</w:t>
      </w:r>
      <w:r>
        <w:rPr>
          <w:spacing w:val="-5"/>
        </w:rPr>
        <w:t xml:space="preserve"> </w:t>
      </w:r>
      <w:r>
        <w:t>que</w:t>
      </w:r>
      <w:r>
        <w:rPr>
          <w:spacing w:val="-5"/>
        </w:rPr>
        <w:t xml:space="preserve"> </w:t>
      </w:r>
      <w:r>
        <w:t>reforzó</w:t>
      </w:r>
      <w:r>
        <w:rPr>
          <w:spacing w:val="-4"/>
        </w:rPr>
        <w:t xml:space="preserve"> </w:t>
      </w:r>
      <w:r>
        <w:t>de</w:t>
      </w:r>
      <w:r>
        <w:rPr>
          <w:spacing w:val="-3"/>
        </w:rPr>
        <w:t xml:space="preserve"> </w:t>
      </w:r>
      <w:r>
        <w:t>nuevo</w:t>
      </w:r>
      <w:r>
        <w:rPr>
          <w:spacing w:val="-4"/>
        </w:rPr>
        <w:t xml:space="preserve"> </w:t>
      </w:r>
      <w:r>
        <w:t>el</w:t>
      </w:r>
      <w:r>
        <w:rPr>
          <w:spacing w:val="-4"/>
        </w:rPr>
        <w:t xml:space="preserve"> </w:t>
      </w:r>
      <w:r>
        <w:t>cierre</w:t>
      </w:r>
      <w:r>
        <w:rPr>
          <w:spacing w:val="-6"/>
        </w:rPr>
        <w:t xml:space="preserve"> </w:t>
      </w:r>
      <w:r>
        <w:t>político y la agudización de la opción armada.</w:t>
      </w:r>
    </w:p>
    <w:p w:rsidR="003804AC" w:rsidRDefault="00AF18A5" w:rsidP="00907C2F">
      <w:r>
        <w:t xml:space="preserve">En una estrategia de intensificación de la confrontación armada, a partir de los años noventa, las FARC-EP y el ELN, que no se desmovilizaron tras los procesos de paz con el EPL, el </w:t>
      </w:r>
      <w:proofErr w:type="spellStart"/>
      <w:r>
        <w:t>Quintin</w:t>
      </w:r>
      <w:proofErr w:type="spellEnd"/>
      <w:r>
        <w:t xml:space="preserve"> Lame, el M-19 y la CRS llevaron la guerra a todos los escenarios sociales, es decir, salieron de los territorios donde había estado concentrada la confrontación – especialmente en el sur del país– y trataron de llevarla a las ciudades y centros de poder político o económico. La predominancia de la dimensión militar del conflicto armado y de las estrategias de fortalecimiento en armas, dinero y efectivos, y una mayor influencia de la economía de la coca y el narcotráfico, llevaron a una política de crecimiento de frentes y presencia de las guerrillas en buena parte del país, con planteamientos cada vez más autoritarios y aumento de la violencia por parte de sus mandos, a través de homicidios selectivos</w:t>
      </w:r>
      <w:r>
        <w:rPr>
          <w:spacing w:val="-5"/>
        </w:rPr>
        <w:t xml:space="preserve"> </w:t>
      </w:r>
      <w:r>
        <w:lastRenderedPageBreak/>
        <w:t>contra</w:t>
      </w:r>
      <w:r>
        <w:rPr>
          <w:spacing w:val="-5"/>
        </w:rPr>
        <w:t xml:space="preserve"> </w:t>
      </w:r>
      <w:r>
        <w:t>la</w:t>
      </w:r>
      <w:r>
        <w:rPr>
          <w:spacing w:val="-5"/>
        </w:rPr>
        <w:t xml:space="preserve"> </w:t>
      </w:r>
      <w:r>
        <w:t>política</w:t>
      </w:r>
      <w:r>
        <w:rPr>
          <w:spacing w:val="-5"/>
        </w:rPr>
        <w:t xml:space="preserve"> </w:t>
      </w:r>
      <w:r>
        <w:t>local,</w:t>
      </w:r>
      <w:r>
        <w:rPr>
          <w:spacing w:val="-5"/>
        </w:rPr>
        <w:t xml:space="preserve"> </w:t>
      </w:r>
      <w:r>
        <w:t>tomas</w:t>
      </w:r>
      <w:r>
        <w:rPr>
          <w:spacing w:val="-5"/>
        </w:rPr>
        <w:t xml:space="preserve"> </w:t>
      </w:r>
      <w:r>
        <w:t>guerrilleras,</w:t>
      </w:r>
      <w:r>
        <w:rPr>
          <w:spacing w:val="-5"/>
        </w:rPr>
        <w:t xml:space="preserve"> </w:t>
      </w:r>
      <w:r>
        <w:t>uso</w:t>
      </w:r>
      <w:r>
        <w:rPr>
          <w:spacing w:val="-5"/>
        </w:rPr>
        <w:t xml:space="preserve"> </w:t>
      </w:r>
      <w:r>
        <w:t>de</w:t>
      </w:r>
      <w:r>
        <w:rPr>
          <w:spacing w:val="-6"/>
        </w:rPr>
        <w:t xml:space="preserve"> </w:t>
      </w:r>
      <w:r>
        <w:t>armas</w:t>
      </w:r>
      <w:r>
        <w:rPr>
          <w:spacing w:val="-5"/>
        </w:rPr>
        <w:t xml:space="preserve"> </w:t>
      </w:r>
      <w:r>
        <w:t>no</w:t>
      </w:r>
      <w:r>
        <w:rPr>
          <w:spacing w:val="-5"/>
        </w:rPr>
        <w:t xml:space="preserve"> </w:t>
      </w:r>
      <w:r>
        <w:t>convencionales</w:t>
      </w:r>
      <w:r>
        <w:rPr>
          <w:spacing w:val="-5"/>
        </w:rPr>
        <w:t xml:space="preserve"> </w:t>
      </w:r>
      <w:r>
        <w:t>contra la población, secuestros, reclutamiento forzado, entre otros.</w:t>
      </w:r>
    </w:p>
    <w:p w:rsidR="003804AC" w:rsidRDefault="00AF18A5" w:rsidP="00907C2F">
      <w:r>
        <w:t>La</w:t>
      </w:r>
      <w:r>
        <w:rPr>
          <w:spacing w:val="-11"/>
        </w:rPr>
        <w:t xml:space="preserve"> </w:t>
      </w:r>
      <w:r>
        <w:t>agudización</w:t>
      </w:r>
      <w:r>
        <w:rPr>
          <w:spacing w:val="-11"/>
        </w:rPr>
        <w:t xml:space="preserve"> </w:t>
      </w:r>
      <w:r>
        <w:t>y</w:t>
      </w:r>
      <w:r>
        <w:rPr>
          <w:spacing w:val="-11"/>
        </w:rPr>
        <w:t xml:space="preserve"> </w:t>
      </w:r>
      <w:r>
        <w:t>las</w:t>
      </w:r>
      <w:r>
        <w:rPr>
          <w:spacing w:val="-11"/>
        </w:rPr>
        <w:t xml:space="preserve"> </w:t>
      </w:r>
      <w:r>
        <w:t>estrategias</w:t>
      </w:r>
      <w:r>
        <w:rPr>
          <w:spacing w:val="-11"/>
        </w:rPr>
        <w:t xml:space="preserve"> </w:t>
      </w:r>
      <w:r>
        <w:t>cada</w:t>
      </w:r>
      <w:r>
        <w:rPr>
          <w:spacing w:val="-12"/>
        </w:rPr>
        <w:t xml:space="preserve"> </w:t>
      </w:r>
      <w:r>
        <w:t>vez</w:t>
      </w:r>
      <w:r>
        <w:rPr>
          <w:spacing w:val="-11"/>
        </w:rPr>
        <w:t xml:space="preserve"> </w:t>
      </w:r>
      <w:r>
        <w:t>más</w:t>
      </w:r>
      <w:r>
        <w:rPr>
          <w:spacing w:val="-11"/>
        </w:rPr>
        <w:t xml:space="preserve"> </w:t>
      </w:r>
      <w:r>
        <w:t>indiscriminadas</w:t>
      </w:r>
      <w:r>
        <w:rPr>
          <w:spacing w:val="-11"/>
        </w:rPr>
        <w:t xml:space="preserve"> </w:t>
      </w:r>
      <w:r>
        <w:t>de</w:t>
      </w:r>
      <w:r>
        <w:rPr>
          <w:spacing w:val="-11"/>
        </w:rPr>
        <w:t xml:space="preserve"> </w:t>
      </w:r>
      <w:r>
        <w:t>las</w:t>
      </w:r>
      <w:r>
        <w:rPr>
          <w:spacing w:val="-11"/>
        </w:rPr>
        <w:t xml:space="preserve"> </w:t>
      </w:r>
      <w:r>
        <w:t>guerrillas</w:t>
      </w:r>
      <w:r>
        <w:rPr>
          <w:spacing w:val="-12"/>
        </w:rPr>
        <w:t xml:space="preserve"> </w:t>
      </w:r>
      <w:r>
        <w:t xml:space="preserve">implicaron la consideración de lo militar por encima de cualquier otro principio y la negación de la humanidad del otro, así como la </w:t>
      </w:r>
      <w:proofErr w:type="spellStart"/>
      <w:r>
        <w:t>invisibilización</w:t>
      </w:r>
      <w:proofErr w:type="spellEnd"/>
      <w:r>
        <w:t xml:space="preserve"> de los impactos en la población. El planteamiento</w:t>
      </w:r>
      <w:r>
        <w:rPr>
          <w:spacing w:val="-2"/>
        </w:rPr>
        <w:t xml:space="preserve"> </w:t>
      </w:r>
      <w:r>
        <w:t>unívoco</w:t>
      </w:r>
      <w:r>
        <w:rPr>
          <w:spacing w:val="-2"/>
        </w:rPr>
        <w:t xml:space="preserve"> </w:t>
      </w:r>
      <w:r>
        <w:t>de</w:t>
      </w:r>
      <w:r>
        <w:rPr>
          <w:spacing w:val="-2"/>
        </w:rPr>
        <w:t xml:space="preserve"> </w:t>
      </w:r>
      <w:r>
        <w:t>que</w:t>
      </w:r>
      <w:r>
        <w:rPr>
          <w:spacing w:val="-2"/>
        </w:rPr>
        <w:t xml:space="preserve"> </w:t>
      </w:r>
      <w:r>
        <w:t>se</w:t>
      </w:r>
      <w:r>
        <w:rPr>
          <w:spacing w:val="-2"/>
        </w:rPr>
        <w:t xml:space="preserve"> </w:t>
      </w:r>
      <w:r>
        <w:t>trataba</w:t>
      </w:r>
      <w:r>
        <w:rPr>
          <w:spacing w:val="-2"/>
        </w:rPr>
        <w:t xml:space="preserve"> </w:t>
      </w:r>
      <w:r>
        <w:t>de</w:t>
      </w:r>
      <w:r>
        <w:rPr>
          <w:spacing w:val="-2"/>
        </w:rPr>
        <w:t xml:space="preserve"> </w:t>
      </w:r>
      <w:r>
        <w:t>una</w:t>
      </w:r>
      <w:r>
        <w:rPr>
          <w:spacing w:val="-2"/>
        </w:rPr>
        <w:t xml:space="preserve"> </w:t>
      </w:r>
      <w:r>
        <w:t>guerra</w:t>
      </w:r>
      <w:r>
        <w:rPr>
          <w:spacing w:val="-2"/>
        </w:rPr>
        <w:t xml:space="preserve"> </w:t>
      </w:r>
      <w:r>
        <w:t>contra</w:t>
      </w:r>
      <w:r>
        <w:rPr>
          <w:spacing w:val="-3"/>
        </w:rPr>
        <w:t xml:space="preserve"> </w:t>
      </w:r>
      <w:r>
        <w:t>el</w:t>
      </w:r>
      <w:r>
        <w:rPr>
          <w:spacing w:val="-2"/>
        </w:rPr>
        <w:t xml:space="preserve"> </w:t>
      </w:r>
      <w:r>
        <w:t>Estado</w:t>
      </w:r>
      <w:r>
        <w:rPr>
          <w:spacing w:val="-2"/>
        </w:rPr>
        <w:t xml:space="preserve"> </w:t>
      </w:r>
      <w:r>
        <w:t>en</w:t>
      </w:r>
      <w:r>
        <w:rPr>
          <w:spacing w:val="-4"/>
        </w:rPr>
        <w:t xml:space="preserve"> </w:t>
      </w:r>
      <w:r>
        <w:t>la</w:t>
      </w:r>
      <w:r>
        <w:rPr>
          <w:spacing w:val="-2"/>
        </w:rPr>
        <w:t xml:space="preserve"> </w:t>
      </w:r>
      <w:r>
        <w:t>que</w:t>
      </w:r>
      <w:r>
        <w:rPr>
          <w:spacing w:val="-2"/>
        </w:rPr>
        <w:t xml:space="preserve"> </w:t>
      </w:r>
      <w:r>
        <w:t>todo</w:t>
      </w:r>
      <w:r>
        <w:rPr>
          <w:spacing w:val="-2"/>
        </w:rPr>
        <w:t xml:space="preserve"> </w:t>
      </w:r>
      <w:r>
        <w:t>valía, llevó</w:t>
      </w:r>
      <w:r>
        <w:rPr>
          <w:spacing w:val="-10"/>
        </w:rPr>
        <w:t xml:space="preserve"> </w:t>
      </w:r>
      <w:r>
        <w:t>no</w:t>
      </w:r>
      <w:r>
        <w:rPr>
          <w:spacing w:val="-10"/>
        </w:rPr>
        <w:t xml:space="preserve"> </w:t>
      </w:r>
      <w:r>
        <w:t>solo</w:t>
      </w:r>
      <w:r>
        <w:rPr>
          <w:spacing w:val="-11"/>
        </w:rPr>
        <w:t xml:space="preserve"> </w:t>
      </w:r>
      <w:r>
        <w:t>a</w:t>
      </w:r>
      <w:r>
        <w:rPr>
          <w:spacing w:val="-9"/>
        </w:rPr>
        <w:t xml:space="preserve"> </w:t>
      </w:r>
      <w:r>
        <w:t>un</w:t>
      </w:r>
      <w:r>
        <w:rPr>
          <w:spacing w:val="-10"/>
        </w:rPr>
        <w:t xml:space="preserve"> </w:t>
      </w:r>
      <w:r>
        <w:t>enorme</w:t>
      </w:r>
      <w:r>
        <w:rPr>
          <w:spacing w:val="-11"/>
        </w:rPr>
        <w:t xml:space="preserve"> </w:t>
      </w:r>
      <w:r>
        <w:t>sufrimiento</w:t>
      </w:r>
      <w:r>
        <w:rPr>
          <w:spacing w:val="-11"/>
        </w:rPr>
        <w:t xml:space="preserve"> </w:t>
      </w:r>
      <w:r>
        <w:t>colectivo,</w:t>
      </w:r>
      <w:r>
        <w:rPr>
          <w:spacing w:val="-10"/>
        </w:rPr>
        <w:t xml:space="preserve"> </w:t>
      </w:r>
      <w:r>
        <w:t>sino</w:t>
      </w:r>
      <w:r>
        <w:rPr>
          <w:spacing w:val="-10"/>
        </w:rPr>
        <w:t xml:space="preserve"> </w:t>
      </w:r>
      <w:r>
        <w:t>también</w:t>
      </w:r>
      <w:r>
        <w:rPr>
          <w:spacing w:val="-10"/>
        </w:rPr>
        <w:t xml:space="preserve"> </w:t>
      </w:r>
      <w:r>
        <w:t>a</w:t>
      </w:r>
      <w:r>
        <w:rPr>
          <w:spacing w:val="-11"/>
        </w:rPr>
        <w:t xml:space="preserve"> </w:t>
      </w:r>
      <w:r>
        <w:t>retardar</w:t>
      </w:r>
      <w:r>
        <w:rPr>
          <w:spacing w:val="-10"/>
        </w:rPr>
        <w:t xml:space="preserve"> </w:t>
      </w:r>
      <w:r>
        <w:t>los</w:t>
      </w:r>
      <w:r>
        <w:rPr>
          <w:spacing w:val="-11"/>
        </w:rPr>
        <w:t xml:space="preserve"> </w:t>
      </w:r>
      <w:r>
        <w:t>cambios</w:t>
      </w:r>
      <w:r>
        <w:rPr>
          <w:spacing w:val="-9"/>
        </w:rPr>
        <w:t xml:space="preserve"> </w:t>
      </w:r>
      <w:r>
        <w:t>sociales mediante</w:t>
      </w:r>
      <w:r>
        <w:rPr>
          <w:spacing w:val="-9"/>
        </w:rPr>
        <w:t xml:space="preserve"> </w:t>
      </w:r>
      <w:r>
        <w:t>las</w:t>
      </w:r>
      <w:r>
        <w:rPr>
          <w:spacing w:val="-9"/>
        </w:rPr>
        <w:t xml:space="preserve"> </w:t>
      </w:r>
      <w:r>
        <w:t>armas,</w:t>
      </w:r>
      <w:r>
        <w:rPr>
          <w:spacing w:val="-8"/>
        </w:rPr>
        <w:t xml:space="preserve"> </w:t>
      </w:r>
      <w:r>
        <w:t>debido</w:t>
      </w:r>
      <w:r>
        <w:rPr>
          <w:spacing w:val="-8"/>
        </w:rPr>
        <w:t xml:space="preserve"> </w:t>
      </w:r>
      <w:r>
        <w:t>al</w:t>
      </w:r>
      <w:r>
        <w:rPr>
          <w:spacing w:val="-8"/>
        </w:rPr>
        <w:t xml:space="preserve"> </w:t>
      </w:r>
      <w:r>
        <w:t>fortalecimiento</w:t>
      </w:r>
      <w:r>
        <w:rPr>
          <w:spacing w:val="-8"/>
        </w:rPr>
        <w:t xml:space="preserve"> </w:t>
      </w:r>
      <w:r>
        <w:t>de</w:t>
      </w:r>
      <w:r>
        <w:rPr>
          <w:spacing w:val="-9"/>
        </w:rPr>
        <w:t xml:space="preserve"> </w:t>
      </w:r>
      <w:r>
        <w:t>alternativas</w:t>
      </w:r>
      <w:r>
        <w:rPr>
          <w:spacing w:val="-9"/>
        </w:rPr>
        <w:t xml:space="preserve"> </w:t>
      </w:r>
      <w:r>
        <w:t>autoritarias</w:t>
      </w:r>
      <w:r>
        <w:rPr>
          <w:spacing w:val="-10"/>
        </w:rPr>
        <w:t xml:space="preserve"> </w:t>
      </w:r>
      <w:r>
        <w:t>y</w:t>
      </w:r>
      <w:r>
        <w:rPr>
          <w:spacing w:val="-8"/>
        </w:rPr>
        <w:t xml:space="preserve"> </w:t>
      </w:r>
      <w:r>
        <w:t>violentas</w:t>
      </w:r>
      <w:r>
        <w:rPr>
          <w:spacing w:val="-8"/>
        </w:rPr>
        <w:t xml:space="preserve"> </w:t>
      </w:r>
      <w:r>
        <w:t>como</w:t>
      </w:r>
      <w:r>
        <w:rPr>
          <w:spacing w:val="-8"/>
        </w:rPr>
        <w:t xml:space="preserve"> </w:t>
      </w:r>
      <w:r>
        <w:t>el paramilitarismo y la lucha contrainsurgente, que, en el enfrentamiento contra las guerrillas, consideró a ciertos sectores de la población civil como enemigos a eliminar.</w:t>
      </w:r>
    </w:p>
    <w:p w:rsidR="0011361F" w:rsidRPr="00BC1EE3" w:rsidRDefault="00AF18A5" w:rsidP="004A6EF4">
      <w:pPr>
        <w:pStyle w:val="Ttulo3"/>
        <w:numPr>
          <w:ilvl w:val="1"/>
          <w:numId w:val="16"/>
        </w:numPr>
      </w:pPr>
      <w:bookmarkStart w:id="320" w:name="4.1._Contextos,_transformaciones_estraté"/>
      <w:bookmarkStart w:id="321" w:name="_Toc112399582"/>
      <w:bookmarkEnd w:id="320"/>
      <w:r w:rsidRPr="00907C2F">
        <w:t>Contextos</w:t>
      </w:r>
      <w:r>
        <w:t>,</w:t>
      </w:r>
      <w:r>
        <w:rPr>
          <w:spacing w:val="-6"/>
        </w:rPr>
        <w:t xml:space="preserve"> </w:t>
      </w:r>
      <w:r>
        <w:t>transformaciones</w:t>
      </w:r>
      <w:r>
        <w:rPr>
          <w:spacing w:val="-3"/>
        </w:rPr>
        <w:t xml:space="preserve"> </w:t>
      </w:r>
      <w:r>
        <w:t>estratégicas</w:t>
      </w:r>
      <w:r>
        <w:rPr>
          <w:spacing w:val="-5"/>
        </w:rPr>
        <w:t xml:space="preserve"> </w:t>
      </w:r>
      <w:r>
        <w:t>e</w:t>
      </w:r>
      <w:r>
        <w:rPr>
          <w:spacing w:val="-2"/>
        </w:rPr>
        <w:t xml:space="preserve"> </w:t>
      </w:r>
      <w:r>
        <w:t>intensificación</w:t>
      </w:r>
      <w:r>
        <w:rPr>
          <w:spacing w:val="-4"/>
        </w:rPr>
        <w:t xml:space="preserve"> </w:t>
      </w:r>
      <w:r>
        <w:t>de</w:t>
      </w:r>
      <w:r>
        <w:rPr>
          <w:spacing w:val="-2"/>
        </w:rPr>
        <w:t xml:space="preserve"> </w:t>
      </w:r>
      <w:r>
        <w:t>la</w:t>
      </w:r>
      <w:r>
        <w:rPr>
          <w:spacing w:val="-2"/>
        </w:rPr>
        <w:t xml:space="preserve"> violencia</w:t>
      </w:r>
      <w:bookmarkEnd w:id="321"/>
    </w:p>
    <w:p w:rsidR="003804AC" w:rsidRDefault="00AF18A5" w:rsidP="00A076E2">
      <w:r>
        <w:t>En desarrollo de sus objetivos revolucionarios en los años sesenta, las guerrillas buscaron relaciones</w:t>
      </w:r>
      <w:r>
        <w:rPr>
          <w:spacing w:val="-10"/>
        </w:rPr>
        <w:t xml:space="preserve"> </w:t>
      </w:r>
      <w:r>
        <w:t>y</w:t>
      </w:r>
      <w:r>
        <w:rPr>
          <w:spacing w:val="-11"/>
        </w:rPr>
        <w:t xml:space="preserve"> </w:t>
      </w:r>
      <w:r>
        <w:t>apoyos</w:t>
      </w:r>
      <w:r>
        <w:rPr>
          <w:spacing w:val="-9"/>
        </w:rPr>
        <w:t xml:space="preserve"> </w:t>
      </w:r>
      <w:r>
        <w:t>en</w:t>
      </w:r>
      <w:r>
        <w:rPr>
          <w:spacing w:val="-9"/>
        </w:rPr>
        <w:t xml:space="preserve"> </w:t>
      </w:r>
      <w:r>
        <w:t>distintas</w:t>
      </w:r>
      <w:r>
        <w:rPr>
          <w:spacing w:val="-9"/>
        </w:rPr>
        <w:t xml:space="preserve"> </w:t>
      </w:r>
      <w:r>
        <w:t>partes</w:t>
      </w:r>
      <w:r>
        <w:rPr>
          <w:spacing w:val="-9"/>
        </w:rPr>
        <w:t xml:space="preserve"> </w:t>
      </w:r>
      <w:r>
        <w:t>del</w:t>
      </w:r>
      <w:r>
        <w:rPr>
          <w:spacing w:val="-9"/>
        </w:rPr>
        <w:t xml:space="preserve"> </w:t>
      </w:r>
      <w:r>
        <w:t>país.</w:t>
      </w:r>
      <w:r>
        <w:rPr>
          <w:spacing w:val="-9"/>
        </w:rPr>
        <w:t xml:space="preserve"> </w:t>
      </w:r>
      <w:r>
        <w:t>Esta</w:t>
      </w:r>
      <w:r>
        <w:rPr>
          <w:spacing w:val="-9"/>
        </w:rPr>
        <w:t xml:space="preserve"> </w:t>
      </w:r>
      <w:r>
        <w:t>inserción</w:t>
      </w:r>
      <w:r>
        <w:rPr>
          <w:spacing w:val="-11"/>
        </w:rPr>
        <w:t xml:space="preserve"> </w:t>
      </w:r>
      <w:r>
        <w:t>los</w:t>
      </w:r>
      <w:r>
        <w:rPr>
          <w:spacing w:val="-9"/>
        </w:rPr>
        <w:t xml:space="preserve"> </w:t>
      </w:r>
      <w:r>
        <w:t>llevó</w:t>
      </w:r>
      <w:r>
        <w:rPr>
          <w:spacing w:val="-9"/>
        </w:rPr>
        <w:t xml:space="preserve"> </w:t>
      </w:r>
      <w:r>
        <w:t>a</w:t>
      </w:r>
      <w:r>
        <w:rPr>
          <w:spacing w:val="-10"/>
        </w:rPr>
        <w:t xml:space="preserve"> </w:t>
      </w:r>
      <w:r>
        <w:t>considerar</w:t>
      </w:r>
      <w:r>
        <w:rPr>
          <w:spacing w:val="-9"/>
        </w:rPr>
        <w:t xml:space="preserve"> </w:t>
      </w:r>
      <w:r>
        <w:t>regiones como «sus» territorios. Específicamente, las FARC se asentaron e insertaron en las zonas altas y medias de las cordilleras andinas en Sumapaz, El Pato y El Guayabero, y en el norte del Cauca, así como en el sur del Tolima, donde quedaba Marquetalia, cuyo bombardeo, ataque</w:t>
      </w:r>
      <w:r>
        <w:rPr>
          <w:spacing w:val="-7"/>
        </w:rPr>
        <w:t xml:space="preserve"> </w:t>
      </w:r>
      <w:r>
        <w:t>y</w:t>
      </w:r>
      <w:r>
        <w:rPr>
          <w:spacing w:val="-7"/>
        </w:rPr>
        <w:t xml:space="preserve"> </w:t>
      </w:r>
      <w:r>
        <w:t>ocupación</w:t>
      </w:r>
      <w:r>
        <w:rPr>
          <w:spacing w:val="-7"/>
        </w:rPr>
        <w:t xml:space="preserve"> </w:t>
      </w:r>
      <w:r>
        <w:t>por</w:t>
      </w:r>
      <w:r>
        <w:rPr>
          <w:spacing w:val="-8"/>
        </w:rPr>
        <w:t xml:space="preserve"> </w:t>
      </w:r>
      <w:r>
        <w:t>parte</w:t>
      </w:r>
      <w:r>
        <w:rPr>
          <w:spacing w:val="-7"/>
        </w:rPr>
        <w:t xml:space="preserve"> </w:t>
      </w:r>
      <w:r>
        <w:t>del</w:t>
      </w:r>
      <w:r>
        <w:rPr>
          <w:spacing w:val="-7"/>
        </w:rPr>
        <w:t xml:space="preserve"> </w:t>
      </w:r>
      <w:r>
        <w:t>Ejército</w:t>
      </w:r>
      <w:r>
        <w:rPr>
          <w:spacing w:val="-7"/>
        </w:rPr>
        <w:t xml:space="preserve"> </w:t>
      </w:r>
      <w:r>
        <w:t>en</w:t>
      </w:r>
      <w:r>
        <w:rPr>
          <w:spacing w:val="-8"/>
        </w:rPr>
        <w:t xml:space="preserve"> </w:t>
      </w:r>
      <w:r>
        <w:t>1964</w:t>
      </w:r>
      <w:r>
        <w:rPr>
          <w:spacing w:val="-8"/>
        </w:rPr>
        <w:t xml:space="preserve"> </w:t>
      </w:r>
      <w:r>
        <w:t>se</w:t>
      </w:r>
      <w:r>
        <w:rPr>
          <w:spacing w:val="-7"/>
        </w:rPr>
        <w:t xml:space="preserve"> </w:t>
      </w:r>
      <w:r>
        <w:t>convirtió</w:t>
      </w:r>
      <w:r>
        <w:rPr>
          <w:spacing w:val="-8"/>
        </w:rPr>
        <w:t xml:space="preserve"> </w:t>
      </w:r>
      <w:r>
        <w:t>en</w:t>
      </w:r>
      <w:r>
        <w:rPr>
          <w:spacing w:val="-7"/>
        </w:rPr>
        <w:t xml:space="preserve"> </w:t>
      </w:r>
      <w:r>
        <w:t>el</w:t>
      </w:r>
      <w:r>
        <w:rPr>
          <w:spacing w:val="-7"/>
        </w:rPr>
        <w:t xml:space="preserve"> </w:t>
      </w:r>
      <w:r>
        <w:t>hecho</w:t>
      </w:r>
      <w:r>
        <w:rPr>
          <w:spacing w:val="-8"/>
        </w:rPr>
        <w:t xml:space="preserve"> </w:t>
      </w:r>
      <w:r>
        <w:t>fundacional</w:t>
      </w:r>
      <w:r>
        <w:rPr>
          <w:spacing w:val="-8"/>
        </w:rPr>
        <w:t xml:space="preserve"> </w:t>
      </w:r>
      <w:r>
        <w:t>de</w:t>
      </w:r>
      <w:r>
        <w:rPr>
          <w:spacing w:val="-7"/>
        </w:rPr>
        <w:t xml:space="preserve"> </w:t>
      </w:r>
      <w:r>
        <w:t>las guerrillas de las FARC</w:t>
      </w:r>
      <w:r w:rsidR="00E55AA3">
        <w:rPr>
          <w:rStyle w:val="Refdenotaalpie"/>
        </w:rPr>
        <w:footnoteReference w:id="201"/>
      </w:r>
      <w:r>
        <w:t xml:space="preserve">. El EPL se insertó en las partes altas y medias de los ríos Sinú y </w:t>
      </w:r>
      <w:r>
        <w:lastRenderedPageBreak/>
        <w:t>San</w:t>
      </w:r>
      <w:r>
        <w:rPr>
          <w:spacing w:val="-5"/>
        </w:rPr>
        <w:t xml:space="preserve"> </w:t>
      </w:r>
      <w:r>
        <w:t>Jorge,</w:t>
      </w:r>
      <w:r>
        <w:rPr>
          <w:spacing w:val="-5"/>
        </w:rPr>
        <w:t xml:space="preserve"> </w:t>
      </w:r>
      <w:r>
        <w:t>en</w:t>
      </w:r>
      <w:r>
        <w:rPr>
          <w:spacing w:val="-5"/>
        </w:rPr>
        <w:t xml:space="preserve"> </w:t>
      </w:r>
      <w:r>
        <w:t>el</w:t>
      </w:r>
      <w:r>
        <w:rPr>
          <w:spacing w:val="-4"/>
        </w:rPr>
        <w:t xml:space="preserve"> </w:t>
      </w:r>
      <w:r>
        <w:t>sur</w:t>
      </w:r>
      <w:r>
        <w:rPr>
          <w:spacing w:val="-4"/>
        </w:rPr>
        <w:t xml:space="preserve"> </w:t>
      </w:r>
      <w:r>
        <w:t>de</w:t>
      </w:r>
      <w:r>
        <w:rPr>
          <w:spacing w:val="-5"/>
        </w:rPr>
        <w:t xml:space="preserve"> </w:t>
      </w:r>
      <w:r>
        <w:t>Córdoba,</w:t>
      </w:r>
      <w:r>
        <w:rPr>
          <w:spacing w:val="-5"/>
        </w:rPr>
        <w:t xml:space="preserve"> </w:t>
      </w:r>
      <w:r>
        <w:t>en</w:t>
      </w:r>
      <w:r>
        <w:rPr>
          <w:spacing w:val="-5"/>
        </w:rPr>
        <w:t xml:space="preserve"> </w:t>
      </w:r>
      <w:r>
        <w:t>el</w:t>
      </w:r>
      <w:r>
        <w:rPr>
          <w:spacing w:val="-4"/>
        </w:rPr>
        <w:t xml:space="preserve"> </w:t>
      </w:r>
      <w:r>
        <w:t>contexto</w:t>
      </w:r>
      <w:r>
        <w:rPr>
          <w:spacing w:val="-5"/>
        </w:rPr>
        <w:t xml:space="preserve"> </w:t>
      </w:r>
      <w:r>
        <w:t>de</w:t>
      </w:r>
      <w:r>
        <w:rPr>
          <w:spacing w:val="-5"/>
        </w:rPr>
        <w:t xml:space="preserve"> </w:t>
      </w:r>
      <w:r>
        <w:t>la</w:t>
      </w:r>
      <w:r>
        <w:rPr>
          <w:spacing w:val="-5"/>
        </w:rPr>
        <w:t xml:space="preserve"> </w:t>
      </w:r>
      <w:r>
        <w:t>lucha</w:t>
      </w:r>
      <w:r>
        <w:rPr>
          <w:spacing w:val="-5"/>
        </w:rPr>
        <w:t xml:space="preserve"> </w:t>
      </w:r>
      <w:r>
        <w:t>por</w:t>
      </w:r>
      <w:r>
        <w:rPr>
          <w:spacing w:val="-4"/>
        </w:rPr>
        <w:t xml:space="preserve"> </w:t>
      </w:r>
      <w:r>
        <w:t>la</w:t>
      </w:r>
      <w:r>
        <w:rPr>
          <w:spacing w:val="-5"/>
        </w:rPr>
        <w:t xml:space="preserve"> </w:t>
      </w:r>
      <w:r>
        <w:t>tierra</w:t>
      </w:r>
      <w:r>
        <w:rPr>
          <w:spacing w:val="-5"/>
        </w:rPr>
        <w:t xml:space="preserve"> </w:t>
      </w:r>
      <w:r>
        <w:t>entre</w:t>
      </w:r>
      <w:r>
        <w:rPr>
          <w:spacing w:val="-5"/>
        </w:rPr>
        <w:t xml:space="preserve"> </w:t>
      </w:r>
      <w:r>
        <w:t>el</w:t>
      </w:r>
      <w:r>
        <w:rPr>
          <w:spacing w:val="-4"/>
        </w:rPr>
        <w:t xml:space="preserve"> </w:t>
      </w:r>
      <w:r>
        <w:t>campesinado y</w:t>
      </w:r>
      <w:r>
        <w:rPr>
          <w:spacing w:val="-3"/>
        </w:rPr>
        <w:t xml:space="preserve"> </w:t>
      </w:r>
      <w:r>
        <w:t>los</w:t>
      </w:r>
      <w:r>
        <w:rPr>
          <w:spacing w:val="-4"/>
        </w:rPr>
        <w:t xml:space="preserve"> </w:t>
      </w:r>
      <w:r>
        <w:t>terratenientes.</w:t>
      </w:r>
      <w:r>
        <w:rPr>
          <w:spacing w:val="-3"/>
        </w:rPr>
        <w:t xml:space="preserve"> </w:t>
      </w:r>
      <w:r>
        <w:t>El</w:t>
      </w:r>
      <w:r>
        <w:rPr>
          <w:spacing w:val="-3"/>
        </w:rPr>
        <w:t xml:space="preserve"> </w:t>
      </w:r>
      <w:r>
        <w:t>ELN</w:t>
      </w:r>
      <w:r>
        <w:rPr>
          <w:spacing w:val="-4"/>
        </w:rPr>
        <w:t xml:space="preserve"> </w:t>
      </w:r>
      <w:r>
        <w:t>lo</w:t>
      </w:r>
      <w:r>
        <w:rPr>
          <w:spacing w:val="-3"/>
        </w:rPr>
        <w:t xml:space="preserve"> </w:t>
      </w:r>
      <w:r>
        <w:t>hizo</w:t>
      </w:r>
      <w:r>
        <w:rPr>
          <w:spacing w:val="-5"/>
        </w:rPr>
        <w:t xml:space="preserve"> </w:t>
      </w:r>
      <w:r>
        <w:t>en</w:t>
      </w:r>
      <w:r>
        <w:rPr>
          <w:spacing w:val="-3"/>
        </w:rPr>
        <w:t xml:space="preserve"> </w:t>
      </w:r>
      <w:r>
        <w:t>el</w:t>
      </w:r>
      <w:r>
        <w:rPr>
          <w:spacing w:val="-3"/>
        </w:rPr>
        <w:t xml:space="preserve"> </w:t>
      </w:r>
      <w:r>
        <w:t>Magdalena</w:t>
      </w:r>
      <w:r>
        <w:rPr>
          <w:spacing w:val="-3"/>
        </w:rPr>
        <w:t xml:space="preserve"> </w:t>
      </w:r>
      <w:r>
        <w:t>Medio</w:t>
      </w:r>
      <w:r>
        <w:rPr>
          <w:spacing w:val="-3"/>
        </w:rPr>
        <w:t xml:space="preserve"> </w:t>
      </w:r>
      <w:r>
        <w:t>santandereano,</w:t>
      </w:r>
      <w:r>
        <w:rPr>
          <w:spacing w:val="-3"/>
        </w:rPr>
        <w:t xml:space="preserve"> </w:t>
      </w:r>
      <w:r>
        <w:t>en</w:t>
      </w:r>
      <w:r>
        <w:rPr>
          <w:spacing w:val="-3"/>
        </w:rPr>
        <w:t xml:space="preserve"> </w:t>
      </w:r>
      <w:r>
        <w:t>la</w:t>
      </w:r>
      <w:r>
        <w:rPr>
          <w:spacing w:val="-4"/>
        </w:rPr>
        <w:t xml:space="preserve"> </w:t>
      </w:r>
      <w:r>
        <w:t>serranía</w:t>
      </w:r>
      <w:r>
        <w:rPr>
          <w:spacing w:val="-3"/>
        </w:rPr>
        <w:t xml:space="preserve"> </w:t>
      </w:r>
      <w:r>
        <w:t>de los</w:t>
      </w:r>
      <w:r>
        <w:rPr>
          <w:spacing w:val="-1"/>
        </w:rPr>
        <w:t xml:space="preserve"> </w:t>
      </w:r>
      <w:proofErr w:type="spellStart"/>
      <w:r>
        <w:t>Yariguíes</w:t>
      </w:r>
      <w:proofErr w:type="spellEnd"/>
      <w:r>
        <w:t>,</w:t>
      </w:r>
      <w:r>
        <w:rPr>
          <w:spacing w:val="-1"/>
        </w:rPr>
        <w:t xml:space="preserve"> </w:t>
      </w:r>
      <w:r>
        <w:t>desde</w:t>
      </w:r>
      <w:r>
        <w:rPr>
          <w:spacing w:val="-2"/>
        </w:rPr>
        <w:t xml:space="preserve"> </w:t>
      </w:r>
      <w:r>
        <w:t>donde</w:t>
      </w:r>
      <w:r>
        <w:rPr>
          <w:spacing w:val="-1"/>
        </w:rPr>
        <w:t xml:space="preserve"> </w:t>
      </w:r>
      <w:r>
        <w:t>incursionó</w:t>
      </w:r>
      <w:r>
        <w:rPr>
          <w:spacing w:val="-1"/>
        </w:rPr>
        <w:t xml:space="preserve"> </w:t>
      </w:r>
      <w:r>
        <w:t>hacia</w:t>
      </w:r>
      <w:r>
        <w:rPr>
          <w:spacing w:val="-1"/>
        </w:rPr>
        <w:t xml:space="preserve"> </w:t>
      </w:r>
      <w:r>
        <w:t>el</w:t>
      </w:r>
      <w:r>
        <w:rPr>
          <w:spacing w:val="-1"/>
        </w:rPr>
        <w:t xml:space="preserve"> </w:t>
      </w:r>
      <w:r>
        <w:t>nordeste</w:t>
      </w:r>
      <w:r>
        <w:rPr>
          <w:spacing w:val="-2"/>
        </w:rPr>
        <w:t xml:space="preserve"> </w:t>
      </w:r>
      <w:r>
        <w:t>antioqueño</w:t>
      </w:r>
      <w:r>
        <w:rPr>
          <w:spacing w:val="-1"/>
        </w:rPr>
        <w:t xml:space="preserve"> </w:t>
      </w:r>
      <w:r>
        <w:t>y</w:t>
      </w:r>
      <w:r>
        <w:rPr>
          <w:spacing w:val="-1"/>
        </w:rPr>
        <w:t xml:space="preserve"> </w:t>
      </w:r>
      <w:r>
        <w:t>el</w:t>
      </w:r>
      <w:r>
        <w:rPr>
          <w:spacing w:val="-2"/>
        </w:rPr>
        <w:t xml:space="preserve"> </w:t>
      </w:r>
      <w:r>
        <w:t>sur</w:t>
      </w:r>
      <w:r>
        <w:rPr>
          <w:spacing w:val="-1"/>
        </w:rPr>
        <w:t xml:space="preserve"> </w:t>
      </w:r>
      <w:r>
        <w:t>de</w:t>
      </w:r>
      <w:r>
        <w:rPr>
          <w:spacing w:val="-2"/>
        </w:rPr>
        <w:t xml:space="preserve"> </w:t>
      </w:r>
      <w:r>
        <w:t>Bolívar</w:t>
      </w:r>
      <w:r>
        <w:rPr>
          <w:spacing w:val="-1"/>
        </w:rPr>
        <w:t xml:space="preserve"> </w:t>
      </w:r>
      <w:r>
        <w:t>en</w:t>
      </w:r>
      <w:r>
        <w:rPr>
          <w:spacing w:val="-2"/>
        </w:rPr>
        <w:t xml:space="preserve"> </w:t>
      </w:r>
      <w:r>
        <w:t>la serranía</w:t>
      </w:r>
      <w:r>
        <w:rPr>
          <w:spacing w:val="-5"/>
        </w:rPr>
        <w:t xml:space="preserve"> </w:t>
      </w:r>
      <w:r>
        <w:t>de</w:t>
      </w:r>
      <w:r>
        <w:rPr>
          <w:spacing w:val="-6"/>
        </w:rPr>
        <w:t xml:space="preserve"> </w:t>
      </w:r>
      <w:r>
        <w:t>San</w:t>
      </w:r>
      <w:r>
        <w:rPr>
          <w:spacing w:val="-5"/>
        </w:rPr>
        <w:t xml:space="preserve"> </w:t>
      </w:r>
      <w:r>
        <w:t>Lucas.</w:t>
      </w:r>
      <w:r>
        <w:rPr>
          <w:spacing w:val="-5"/>
        </w:rPr>
        <w:t xml:space="preserve"> </w:t>
      </w:r>
      <w:r>
        <w:t>Desde</w:t>
      </w:r>
      <w:r>
        <w:rPr>
          <w:spacing w:val="-5"/>
        </w:rPr>
        <w:t xml:space="preserve"> </w:t>
      </w:r>
      <w:r>
        <w:t>mediados</w:t>
      </w:r>
      <w:r>
        <w:rPr>
          <w:spacing w:val="-5"/>
        </w:rPr>
        <w:t xml:space="preserve"> </w:t>
      </w:r>
      <w:r>
        <w:t>de</w:t>
      </w:r>
      <w:r>
        <w:rPr>
          <w:spacing w:val="-5"/>
        </w:rPr>
        <w:t xml:space="preserve"> </w:t>
      </w:r>
      <w:r>
        <w:t>los</w:t>
      </w:r>
      <w:r>
        <w:rPr>
          <w:spacing w:val="-5"/>
        </w:rPr>
        <w:t xml:space="preserve"> </w:t>
      </w:r>
      <w:r>
        <w:t>años</w:t>
      </w:r>
      <w:r>
        <w:rPr>
          <w:spacing w:val="-5"/>
        </w:rPr>
        <w:t xml:space="preserve"> </w:t>
      </w:r>
      <w:r>
        <w:t>setenta,</w:t>
      </w:r>
      <w:r>
        <w:rPr>
          <w:spacing w:val="-6"/>
        </w:rPr>
        <w:t xml:space="preserve"> </w:t>
      </w:r>
      <w:r>
        <w:t>el</w:t>
      </w:r>
      <w:r>
        <w:rPr>
          <w:spacing w:val="-4"/>
        </w:rPr>
        <w:t xml:space="preserve"> </w:t>
      </w:r>
      <w:r>
        <w:t>M-19</w:t>
      </w:r>
      <w:r>
        <w:rPr>
          <w:spacing w:val="-5"/>
        </w:rPr>
        <w:t xml:space="preserve"> </w:t>
      </w:r>
      <w:r>
        <w:t>hizo</w:t>
      </w:r>
      <w:r>
        <w:rPr>
          <w:spacing w:val="-5"/>
        </w:rPr>
        <w:t xml:space="preserve"> </w:t>
      </w:r>
      <w:r>
        <w:t>presencia</w:t>
      </w:r>
      <w:r>
        <w:rPr>
          <w:spacing w:val="-6"/>
        </w:rPr>
        <w:t xml:space="preserve"> </w:t>
      </w:r>
      <w:r>
        <w:t>en</w:t>
      </w:r>
      <w:r>
        <w:rPr>
          <w:spacing w:val="-5"/>
        </w:rPr>
        <w:t xml:space="preserve"> </w:t>
      </w:r>
      <w:r>
        <w:t xml:space="preserve">zonas urbanas como Bogotá y Cali, y luego en el sur del piedemonte de Caquetá, en Putumayo y en el norte del Cauca, en el marco de las disputas por la tierra entre indígenas y </w:t>
      </w:r>
      <w:r>
        <w:rPr>
          <w:spacing w:val="-2"/>
        </w:rPr>
        <w:t>terratenientes</w:t>
      </w:r>
      <w:r w:rsidR="00EF6202">
        <w:rPr>
          <w:rStyle w:val="Refdenotaalpie"/>
          <w:spacing w:val="-2"/>
        </w:rPr>
        <w:footnoteReference w:id="202"/>
      </w:r>
      <w:r>
        <w:rPr>
          <w:spacing w:val="-2"/>
        </w:rPr>
        <w:t>.</w:t>
      </w:r>
    </w:p>
    <w:p w:rsidR="003804AC" w:rsidRDefault="00AF18A5" w:rsidP="000B5836">
      <w:r>
        <w:t>Los</w:t>
      </w:r>
      <w:r>
        <w:rPr>
          <w:spacing w:val="-11"/>
        </w:rPr>
        <w:t xml:space="preserve"> </w:t>
      </w:r>
      <w:r>
        <w:t>años</w:t>
      </w:r>
      <w:r>
        <w:rPr>
          <w:spacing w:val="-11"/>
        </w:rPr>
        <w:t xml:space="preserve"> </w:t>
      </w:r>
      <w:r>
        <w:t>iniciales</w:t>
      </w:r>
      <w:r>
        <w:rPr>
          <w:spacing w:val="-11"/>
        </w:rPr>
        <w:t xml:space="preserve"> </w:t>
      </w:r>
      <w:r>
        <w:t>del</w:t>
      </w:r>
      <w:r>
        <w:rPr>
          <w:spacing w:val="-10"/>
        </w:rPr>
        <w:t xml:space="preserve"> </w:t>
      </w:r>
      <w:r>
        <w:t>ELN,</w:t>
      </w:r>
      <w:r>
        <w:rPr>
          <w:spacing w:val="-11"/>
        </w:rPr>
        <w:t xml:space="preserve"> </w:t>
      </w:r>
      <w:r>
        <w:t>entre</w:t>
      </w:r>
      <w:r>
        <w:rPr>
          <w:spacing w:val="-11"/>
        </w:rPr>
        <w:t xml:space="preserve"> </w:t>
      </w:r>
      <w:r>
        <w:t>1964</w:t>
      </w:r>
      <w:r>
        <w:rPr>
          <w:spacing w:val="-11"/>
        </w:rPr>
        <w:t xml:space="preserve"> </w:t>
      </w:r>
      <w:r>
        <w:t>y</w:t>
      </w:r>
      <w:r>
        <w:rPr>
          <w:spacing w:val="-11"/>
        </w:rPr>
        <w:t xml:space="preserve"> </w:t>
      </w:r>
      <w:r>
        <w:t>hasta</w:t>
      </w:r>
      <w:r>
        <w:rPr>
          <w:spacing w:val="-11"/>
        </w:rPr>
        <w:t xml:space="preserve"> </w:t>
      </w:r>
      <w:r>
        <w:t>la</w:t>
      </w:r>
      <w:r>
        <w:rPr>
          <w:spacing w:val="-12"/>
        </w:rPr>
        <w:t xml:space="preserve"> </w:t>
      </w:r>
      <w:r>
        <w:t>gran</w:t>
      </w:r>
      <w:r>
        <w:rPr>
          <w:spacing w:val="-11"/>
        </w:rPr>
        <w:t xml:space="preserve"> </w:t>
      </w:r>
      <w:r>
        <w:t>crisis</w:t>
      </w:r>
      <w:r>
        <w:rPr>
          <w:spacing w:val="-11"/>
        </w:rPr>
        <w:t xml:space="preserve"> </w:t>
      </w:r>
      <w:r>
        <w:t>de</w:t>
      </w:r>
      <w:r>
        <w:rPr>
          <w:spacing w:val="-11"/>
        </w:rPr>
        <w:t xml:space="preserve"> </w:t>
      </w:r>
      <w:r>
        <w:t>1977,</w:t>
      </w:r>
      <w:r>
        <w:rPr>
          <w:spacing w:val="-11"/>
        </w:rPr>
        <w:t xml:space="preserve"> </w:t>
      </w:r>
      <w:r>
        <w:t>estuvieron</w:t>
      </w:r>
      <w:r>
        <w:rPr>
          <w:spacing w:val="-12"/>
        </w:rPr>
        <w:t xml:space="preserve"> </w:t>
      </w:r>
      <w:r>
        <w:t xml:space="preserve">marcados por muchas vicisitudes, tensiones y problemas internos. Muchas de estas tensiones fueron dirimidas a través de purgas, fusilamientos </w:t>
      </w:r>
      <w:proofErr w:type="spellStart"/>
      <w:r>
        <w:t>intrafilas</w:t>
      </w:r>
      <w:proofErr w:type="spellEnd"/>
      <w:r>
        <w:t xml:space="preserve"> o asesinatos a disidentes, que llevaron al grupo a una coyuntura crítica y a la casi extinción del proyecto armado. Este momento explica la trayectoria organizacional</w:t>
      </w:r>
      <w:r>
        <w:rPr>
          <w:spacing w:val="-1"/>
        </w:rPr>
        <w:t xml:space="preserve"> </w:t>
      </w:r>
      <w:r>
        <w:t>futura del ELN</w:t>
      </w:r>
      <w:r>
        <w:rPr>
          <w:spacing w:val="-1"/>
        </w:rPr>
        <w:t xml:space="preserve"> </w:t>
      </w:r>
      <w:r>
        <w:t>y sus formas de relacionamiento</w:t>
      </w:r>
      <w:r>
        <w:rPr>
          <w:spacing w:val="-1"/>
        </w:rPr>
        <w:t xml:space="preserve"> </w:t>
      </w:r>
      <w:r>
        <w:t>con la población civil, pues fue dejado de lado el liderazgo caudillista y draconiano de Fabio Vásquez</w:t>
      </w:r>
      <w:r>
        <w:rPr>
          <w:spacing w:val="5"/>
        </w:rPr>
        <w:t xml:space="preserve"> </w:t>
      </w:r>
      <w:r>
        <w:t>Castaño</w:t>
      </w:r>
      <w:r>
        <w:rPr>
          <w:spacing w:val="8"/>
        </w:rPr>
        <w:t xml:space="preserve"> </w:t>
      </w:r>
      <w:r>
        <w:t>por</w:t>
      </w:r>
      <w:r>
        <w:rPr>
          <w:spacing w:val="9"/>
        </w:rPr>
        <w:t xml:space="preserve"> </w:t>
      </w:r>
      <w:r>
        <w:t>otro</w:t>
      </w:r>
      <w:r>
        <w:rPr>
          <w:spacing w:val="8"/>
        </w:rPr>
        <w:t xml:space="preserve"> </w:t>
      </w:r>
      <w:r>
        <w:t>estilo</w:t>
      </w:r>
      <w:r>
        <w:rPr>
          <w:spacing w:val="7"/>
        </w:rPr>
        <w:t xml:space="preserve"> </w:t>
      </w:r>
      <w:r>
        <w:t>de</w:t>
      </w:r>
      <w:r>
        <w:rPr>
          <w:spacing w:val="7"/>
        </w:rPr>
        <w:t xml:space="preserve"> </w:t>
      </w:r>
      <w:r>
        <w:t>organización</w:t>
      </w:r>
      <w:r>
        <w:rPr>
          <w:spacing w:val="8"/>
        </w:rPr>
        <w:t xml:space="preserve"> </w:t>
      </w:r>
      <w:r>
        <w:t>más</w:t>
      </w:r>
      <w:r>
        <w:rPr>
          <w:spacing w:val="8"/>
        </w:rPr>
        <w:t xml:space="preserve"> </w:t>
      </w:r>
      <w:r>
        <w:t>federada</w:t>
      </w:r>
      <w:r>
        <w:rPr>
          <w:spacing w:val="8"/>
        </w:rPr>
        <w:t xml:space="preserve"> </w:t>
      </w:r>
      <w:r>
        <w:t>y</w:t>
      </w:r>
      <w:r>
        <w:rPr>
          <w:spacing w:val="7"/>
        </w:rPr>
        <w:t xml:space="preserve"> </w:t>
      </w:r>
      <w:r>
        <w:t>deliberativa</w:t>
      </w:r>
      <w:r>
        <w:rPr>
          <w:spacing w:val="8"/>
        </w:rPr>
        <w:t xml:space="preserve"> </w:t>
      </w:r>
      <w:r>
        <w:t>en</w:t>
      </w:r>
      <w:r>
        <w:rPr>
          <w:spacing w:val="8"/>
        </w:rPr>
        <w:t xml:space="preserve"> </w:t>
      </w:r>
      <w:r>
        <w:t>la</w:t>
      </w:r>
      <w:r>
        <w:rPr>
          <w:spacing w:val="8"/>
        </w:rPr>
        <w:t xml:space="preserve"> </w:t>
      </w:r>
      <w:r>
        <w:t>toma</w:t>
      </w:r>
      <w:r>
        <w:rPr>
          <w:spacing w:val="8"/>
        </w:rPr>
        <w:t xml:space="preserve"> </w:t>
      </w:r>
      <w:r>
        <w:rPr>
          <w:spacing w:val="-5"/>
        </w:rPr>
        <w:t>de</w:t>
      </w:r>
      <w:bookmarkStart w:id="322" w:name="_bookmark238"/>
      <w:bookmarkStart w:id="323" w:name="_bookmark239"/>
      <w:bookmarkEnd w:id="322"/>
      <w:bookmarkEnd w:id="323"/>
      <w:r w:rsidR="000B5836">
        <w:rPr>
          <w:spacing w:val="-5"/>
        </w:rPr>
        <w:t xml:space="preserve"> </w:t>
      </w:r>
      <w:r>
        <w:t>decisiones. En los años ochenta, los relevos de liderazgos llevaron a la federalización del ELN y colegiaron el mando, cambiaron de estrategia armada, se abrieron más a las organizaciones</w:t>
      </w:r>
      <w:r>
        <w:rPr>
          <w:spacing w:val="-9"/>
        </w:rPr>
        <w:t xml:space="preserve"> </w:t>
      </w:r>
      <w:r>
        <w:t>sociales</w:t>
      </w:r>
      <w:r>
        <w:rPr>
          <w:spacing w:val="-11"/>
        </w:rPr>
        <w:t xml:space="preserve"> </w:t>
      </w:r>
      <w:r>
        <w:t>y</w:t>
      </w:r>
      <w:r>
        <w:rPr>
          <w:spacing w:val="-10"/>
        </w:rPr>
        <w:t xml:space="preserve"> </w:t>
      </w:r>
      <w:r>
        <w:t>reformaron</w:t>
      </w:r>
      <w:r>
        <w:rPr>
          <w:spacing w:val="-10"/>
        </w:rPr>
        <w:t xml:space="preserve"> </w:t>
      </w:r>
      <w:r>
        <w:t>el</w:t>
      </w:r>
      <w:r>
        <w:rPr>
          <w:spacing w:val="-9"/>
        </w:rPr>
        <w:t xml:space="preserve"> </w:t>
      </w:r>
      <w:r>
        <w:t>discurso</w:t>
      </w:r>
      <w:r>
        <w:rPr>
          <w:spacing w:val="-11"/>
        </w:rPr>
        <w:t xml:space="preserve"> </w:t>
      </w:r>
      <w:r>
        <w:t>político,</w:t>
      </w:r>
      <w:r>
        <w:rPr>
          <w:spacing w:val="-10"/>
        </w:rPr>
        <w:t xml:space="preserve"> </w:t>
      </w:r>
      <w:r>
        <w:t>al</w:t>
      </w:r>
      <w:r>
        <w:rPr>
          <w:spacing w:val="-10"/>
        </w:rPr>
        <w:t xml:space="preserve"> </w:t>
      </w:r>
      <w:r>
        <w:t>punto</w:t>
      </w:r>
      <w:r>
        <w:rPr>
          <w:spacing w:val="-10"/>
        </w:rPr>
        <w:t xml:space="preserve"> </w:t>
      </w:r>
      <w:r>
        <w:t>de</w:t>
      </w:r>
      <w:r>
        <w:rPr>
          <w:spacing w:val="-9"/>
        </w:rPr>
        <w:t xml:space="preserve"> </w:t>
      </w:r>
      <w:r>
        <w:t>que</w:t>
      </w:r>
      <w:r>
        <w:rPr>
          <w:spacing w:val="-11"/>
        </w:rPr>
        <w:t xml:space="preserve"> </w:t>
      </w:r>
      <w:r>
        <w:t>fue</w:t>
      </w:r>
      <w:r>
        <w:rPr>
          <w:spacing w:val="-9"/>
        </w:rPr>
        <w:t xml:space="preserve"> </w:t>
      </w:r>
      <w:r>
        <w:t>la</w:t>
      </w:r>
      <w:r>
        <w:rPr>
          <w:spacing w:val="-9"/>
        </w:rPr>
        <w:t xml:space="preserve"> </w:t>
      </w:r>
      <w:r>
        <w:t>guerrilla</w:t>
      </w:r>
      <w:r>
        <w:rPr>
          <w:spacing w:val="-9"/>
        </w:rPr>
        <w:t xml:space="preserve"> </w:t>
      </w:r>
      <w:r>
        <w:t>que más creció en pie de fuerza y en presencia territorial en esa década</w:t>
      </w:r>
      <w:r w:rsidR="000B5836">
        <w:rPr>
          <w:rStyle w:val="Refdenotaalpie"/>
        </w:rPr>
        <w:footnoteReference w:id="203"/>
      </w:r>
      <w:r>
        <w:t xml:space="preserve">. En ese momento, </w:t>
      </w:r>
      <w:r>
        <w:lastRenderedPageBreak/>
        <w:t xml:space="preserve">en sus planteamientos pasaron de considerarse una vanguardia que buscaba tomar el poder, a una retaguardia que acompañaba al «pueblo» en la toma de este a través de una democracia </w:t>
      </w:r>
      <w:r>
        <w:rPr>
          <w:spacing w:val="-2"/>
        </w:rPr>
        <w:t>directa.</w:t>
      </w:r>
      <w:r>
        <w:rPr>
          <w:spacing w:val="-4"/>
        </w:rPr>
        <w:t xml:space="preserve"> </w:t>
      </w:r>
      <w:r>
        <w:rPr>
          <w:spacing w:val="-2"/>
        </w:rPr>
        <w:t>Una</w:t>
      </w:r>
      <w:r>
        <w:rPr>
          <w:spacing w:val="-7"/>
        </w:rPr>
        <w:t xml:space="preserve"> </w:t>
      </w:r>
      <w:r>
        <w:rPr>
          <w:spacing w:val="-2"/>
        </w:rPr>
        <w:t>transformación</w:t>
      </w:r>
      <w:r>
        <w:rPr>
          <w:spacing w:val="-4"/>
        </w:rPr>
        <w:t xml:space="preserve"> </w:t>
      </w:r>
      <w:r>
        <w:rPr>
          <w:spacing w:val="-2"/>
        </w:rPr>
        <w:t>que</w:t>
      </w:r>
      <w:r>
        <w:rPr>
          <w:spacing w:val="-4"/>
        </w:rPr>
        <w:t xml:space="preserve"> </w:t>
      </w:r>
      <w:r>
        <w:rPr>
          <w:spacing w:val="-2"/>
        </w:rPr>
        <w:t>sintetizaron</w:t>
      </w:r>
      <w:r>
        <w:rPr>
          <w:spacing w:val="-6"/>
        </w:rPr>
        <w:t xml:space="preserve"> </w:t>
      </w:r>
      <w:r>
        <w:rPr>
          <w:spacing w:val="-2"/>
        </w:rPr>
        <w:t>en</w:t>
      </w:r>
      <w:r>
        <w:rPr>
          <w:spacing w:val="-6"/>
        </w:rPr>
        <w:t xml:space="preserve"> </w:t>
      </w:r>
      <w:r>
        <w:rPr>
          <w:spacing w:val="-2"/>
        </w:rPr>
        <w:t>lo</w:t>
      </w:r>
      <w:r>
        <w:rPr>
          <w:spacing w:val="-6"/>
        </w:rPr>
        <w:t xml:space="preserve"> </w:t>
      </w:r>
      <w:r>
        <w:rPr>
          <w:spacing w:val="-2"/>
        </w:rPr>
        <w:t>que</w:t>
      </w:r>
      <w:r>
        <w:rPr>
          <w:spacing w:val="-4"/>
        </w:rPr>
        <w:t xml:space="preserve"> </w:t>
      </w:r>
      <w:r>
        <w:rPr>
          <w:spacing w:val="-2"/>
        </w:rPr>
        <w:t>denominaron</w:t>
      </w:r>
      <w:r>
        <w:rPr>
          <w:spacing w:val="-4"/>
        </w:rPr>
        <w:t xml:space="preserve"> </w:t>
      </w:r>
      <w:r>
        <w:rPr>
          <w:spacing w:val="-2"/>
        </w:rPr>
        <w:t>la</w:t>
      </w:r>
      <w:r>
        <w:rPr>
          <w:spacing w:val="-4"/>
        </w:rPr>
        <w:t xml:space="preserve"> </w:t>
      </w:r>
      <w:r>
        <w:rPr>
          <w:spacing w:val="-2"/>
        </w:rPr>
        <w:t>construcción</w:t>
      </w:r>
      <w:r>
        <w:rPr>
          <w:spacing w:val="-4"/>
        </w:rPr>
        <w:t xml:space="preserve"> </w:t>
      </w:r>
      <w:r>
        <w:rPr>
          <w:spacing w:val="-2"/>
        </w:rPr>
        <w:t>del</w:t>
      </w:r>
      <w:r>
        <w:rPr>
          <w:spacing w:val="-6"/>
        </w:rPr>
        <w:t xml:space="preserve"> </w:t>
      </w:r>
      <w:r>
        <w:rPr>
          <w:spacing w:val="-2"/>
        </w:rPr>
        <w:t>poder popular.</w:t>
      </w:r>
    </w:p>
    <w:p w:rsidR="003804AC" w:rsidRDefault="00AF18A5" w:rsidP="000B5836">
      <w:r>
        <w:t>Entre 1964 y 1977, las FARC pueden ser caracterizadas como una guerrilla partisana, defensiva en lo militar, con un lento crecimiento territorial y organizativo, y prácticamente confinada</w:t>
      </w:r>
      <w:r>
        <w:rPr>
          <w:spacing w:val="-13"/>
        </w:rPr>
        <w:t xml:space="preserve"> </w:t>
      </w:r>
      <w:r>
        <w:t>en</w:t>
      </w:r>
      <w:r>
        <w:rPr>
          <w:spacing w:val="-14"/>
        </w:rPr>
        <w:t xml:space="preserve"> </w:t>
      </w:r>
      <w:r>
        <w:t>los</w:t>
      </w:r>
      <w:r>
        <w:rPr>
          <w:spacing w:val="-14"/>
        </w:rPr>
        <w:t xml:space="preserve"> </w:t>
      </w:r>
      <w:r>
        <w:t>territorios</w:t>
      </w:r>
      <w:r>
        <w:rPr>
          <w:spacing w:val="-13"/>
        </w:rPr>
        <w:t xml:space="preserve"> </w:t>
      </w:r>
      <w:r>
        <w:t>de</w:t>
      </w:r>
      <w:r>
        <w:rPr>
          <w:spacing w:val="-13"/>
        </w:rPr>
        <w:t xml:space="preserve"> </w:t>
      </w:r>
      <w:r>
        <w:t>colonización</w:t>
      </w:r>
      <w:r>
        <w:rPr>
          <w:spacing w:val="-14"/>
        </w:rPr>
        <w:t xml:space="preserve"> </w:t>
      </w:r>
      <w:r>
        <w:t>armada</w:t>
      </w:r>
      <w:r>
        <w:rPr>
          <w:spacing w:val="-13"/>
        </w:rPr>
        <w:t xml:space="preserve"> </w:t>
      </w:r>
      <w:r>
        <w:t>donde</w:t>
      </w:r>
      <w:r>
        <w:rPr>
          <w:spacing w:val="-13"/>
        </w:rPr>
        <w:t xml:space="preserve"> </w:t>
      </w:r>
      <w:r>
        <w:t>lograron</w:t>
      </w:r>
      <w:r>
        <w:rPr>
          <w:spacing w:val="-14"/>
        </w:rPr>
        <w:t xml:space="preserve"> </w:t>
      </w:r>
      <w:r>
        <w:t>la</w:t>
      </w:r>
      <w:r>
        <w:rPr>
          <w:spacing w:val="-13"/>
        </w:rPr>
        <w:t xml:space="preserve"> </w:t>
      </w:r>
      <w:r>
        <w:t>construcción</w:t>
      </w:r>
      <w:r>
        <w:rPr>
          <w:spacing w:val="-13"/>
        </w:rPr>
        <w:t xml:space="preserve"> </w:t>
      </w:r>
      <w:r>
        <w:t>de</w:t>
      </w:r>
      <w:r>
        <w:rPr>
          <w:spacing w:val="-14"/>
        </w:rPr>
        <w:t xml:space="preserve"> </w:t>
      </w:r>
      <w:r>
        <w:t>fuertes lazos de identidad política y comunitaria con la población civil. Luego, entre 1978 y 1991, las</w:t>
      </w:r>
      <w:r>
        <w:rPr>
          <w:spacing w:val="-15"/>
        </w:rPr>
        <w:t xml:space="preserve"> </w:t>
      </w:r>
      <w:r>
        <w:t>FARC</w:t>
      </w:r>
      <w:r>
        <w:rPr>
          <w:spacing w:val="-15"/>
        </w:rPr>
        <w:t xml:space="preserve"> </w:t>
      </w:r>
      <w:r>
        <w:t>decidieron</w:t>
      </w:r>
      <w:r>
        <w:rPr>
          <w:spacing w:val="-15"/>
        </w:rPr>
        <w:t xml:space="preserve"> </w:t>
      </w:r>
      <w:r>
        <w:t>pasar</w:t>
      </w:r>
      <w:r>
        <w:rPr>
          <w:spacing w:val="-15"/>
        </w:rPr>
        <w:t xml:space="preserve"> </w:t>
      </w:r>
      <w:r>
        <w:t>a</w:t>
      </w:r>
      <w:r>
        <w:rPr>
          <w:spacing w:val="-15"/>
        </w:rPr>
        <w:t xml:space="preserve"> </w:t>
      </w:r>
      <w:r>
        <w:t>una</w:t>
      </w:r>
      <w:r>
        <w:rPr>
          <w:spacing w:val="-15"/>
        </w:rPr>
        <w:t xml:space="preserve"> </w:t>
      </w:r>
      <w:r>
        <w:t>fase</w:t>
      </w:r>
      <w:r>
        <w:rPr>
          <w:spacing w:val="-15"/>
        </w:rPr>
        <w:t xml:space="preserve"> </w:t>
      </w:r>
      <w:r>
        <w:t>de</w:t>
      </w:r>
      <w:r>
        <w:rPr>
          <w:spacing w:val="-14"/>
        </w:rPr>
        <w:t xml:space="preserve"> </w:t>
      </w:r>
      <w:r>
        <w:t>guerrilla</w:t>
      </w:r>
      <w:r>
        <w:rPr>
          <w:spacing w:val="-15"/>
        </w:rPr>
        <w:t xml:space="preserve"> </w:t>
      </w:r>
      <w:r>
        <w:t>ofensiva</w:t>
      </w:r>
      <w:r>
        <w:rPr>
          <w:spacing w:val="-15"/>
        </w:rPr>
        <w:t xml:space="preserve"> </w:t>
      </w:r>
      <w:r>
        <w:t>y</w:t>
      </w:r>
      <w:r>
        <w:rPr>
          <w:spacing w:val="-14"/>
        </w:rPr>
        <w:t xml:space="preserve"> </w:t>
      </w:r>
      <w:r>
        <w:t>se</w:t>
      </w:r>
      <w:r>
        <w:rPr>
          <w:spacing w:val="-15"/>
        </w:rPr>
        <w:t xml:space="preserve"> </w:t>
      </w:r>
      <w:r>
        <w:t>dotaron</w:t>
      </w:r>
      <w:r>
        <w:rPr>
          <w:spacing w:val="-15"/>
        </w:rPr>
        <w:t xml:space="preserve"> </w:t>
      </w:r>
      <w:r>
        <w:t>de</w:t>
      </w:r>
      <w:r>
        <w:rPr>
          <w:spacing w:val="-14"/>
        </w:rPr>
        <w:t xml:space="preserve"> </w:t>
      </w:r>
      <w:r>
        <w:t>un</w:t>
      </w:r>
      <w:r>
        <w:rPr>
          <w:spacing w:val="-14"/>
        </w:rPr>
        <w:t xml:space="preserve"> </w:t>
      </w:r>
      <w:r>
        <w:t>plan</w:t>
      </w:r>
      <w:r>
        <w:rPr>
          <w:spacing w:val="-15"/>
        </w:rPr>
        <w:t xml:space="preserve"> </w:t>
      </w:r>
      <w:r>
        <w:t>estratégico hacia la toma del poder que quedó plasmado en la Séptima Conferencia, realizada en 1982, año que también añadieron a su nombre el epíteto de Ejército del Pueblo (EP). A su vez, comenzó su</w:t>
      </w:r>
      <w:r>
        <w:rPr>
          <w:spacing w:val="-1"/>
        </w:rPr>
        <w:t xml:space="preserve"> </w:t>
      </w:r>
      <w:r>
        <w:t>inserción gradual en las economías regionales de la coca, lo cual transformó de manera radical las relaciones que había establecido esta guerrilla con los pobladores en sus zonas de influencia.</w:t>
      </w:r>
    </w:p>
    <w:p w:rsidR="003804AC" w:rsidRDefault="00AF18A5" w:rsidP="000B5836">
      <w:r>
        <w:t>En</w:t>
      </w:r>
      <w:r>
        <w:rPr>
          <w:spacing w:val="-15"/>
        </w:rPr>
        <w:t xml:space="preserve"> </w:t>
      </w:r>
      <w:r>
        <w:t>los</w:t>
      </w:r>
      <w:r>
        <w:rPr>
          <w:spacing w:val="-15"/>
        </w:rPr>
        <w:t xml:space="preserve"> </w:t>
      </w:r>
      <w:r>
        <w:t>ochenta,</w:t>
      </w:r>
      <w:r>
        <w:rPr>
          <w:spacing w:val="-15"/>
        </w:rPr>
        <w:t xml:space="preserve"> </w:t>
      </w:r>
      <w:r>
        <w:t>el</w:t>
      </w:r>
      <w:r>
        <w:rPr>
          <w:spacing w:val="-15"/>
        </w:rPr>
        <w:t xml:space="preserve"> </w:t>
      </w:r>
      <w:r>
        <w:t>auge</w:t>
      </w:r>
      <w:r>
        <w:rPr>
          <w:spacing w:val="-15"/>
        </w:rPr>
        <w:t xml:space="preserve"> </w:t>
      </w:r>
      <w:r>
        <w:t>del</w:t>
      </w:r>
      <w:r>
        <w:rPr>
          <w:spacing w:val="-15"/>
        </w:rPr>
        <w:t xml:space="preserve"> </w:t>
      </w:r>
      <w:r>
        <w:t>narcotráfico</w:t>
      </w:r>
      <w:r>
        <w:rPr>
          <w:spacing w:val="-15"/>
        </w:rPr>
        <w:t xml:space="preserve"> </w:t>
      </w:r>
      <w:r>
        <w:t>y</w:t>
      </w:r>
      <w:r>
        <w:rPr>
          <w:spacing w:val="-15"/>
        </w:rPr>
        <w:t xml:space="preserve"> </w:t>
      </w:r>
      <w:r>
        <w:t>la</w:t>
      </w:r>
      <w:r>
        <w:rPr>
          <w:spacing w:val="-15"/>
        </w:rPr>
        <w:t xml:space="preserve"> </w:t>
      </w:r>
      <w:r>
        <w:t>consolidación</w:t>
      </w:r>
      <w:r>
        <w:rPr>
          <w:spacing w:val="-15"/>
        </w:rPr>
        <w:t xml:space="preserve"> </w:t>
      </w:r>
      <w:r>
        <w:t>y</w:t>
      </w:r>
      <w:r>
        <w:rPr>
          <w:spacing w:val="-15"/>
        </w:rPr>
        <w:t xml:space="preserve"> </w:t>
      </w:r>
      <w:r>
        <w:t>expansión</w:t>
      </w:r>
      <w:r>
        <w:rPr>
          <w:spacing w:val="-15"/>
        </w:rPr>
        <w:t xml:space="preserve"> </w:t>
      </w:r>
      <w:r>
        <w:t>del</w:t>
      </w:r>
      <w:r>
        <w:rPr>
          <w:spacing w:val="-15"/>
        </w:rPr>
        <w:t xml:space="preserve"> </w:t>
      </w:r>
      <w:r>
        <w:t xml:space="preserve">paramilitarismo promovieron transformaciones decisivas en el conflicto. Del conflicto binario típico de la Guerra Fría que enfrentaba a dos contendientes con sus respectivas narrativas políticas, Colombia pasó a un conflicto complejo insurgente-contrainsurgente de múltiples actores y </w:t>
      </w:r>
      <w:r>
        <w:rPr>
          <w:spacing w:val="-2"/>
        </w:rPr>
        <w:t>violencias.</w:t>
      </w:r>
      <w:r>
        <w:rPr>
          <w:spacing w:val="-8"/>
        </w:rPr>
        <w:t xml:space="preserve"> </w:t>
      </w:r>
      <w:r>
        <w:rPr>
          <w:spacing w:val="-2"/>
        </w:rPr>
        <w:t>En</w:t>
      </w:r>
      <w:r>
        <w:rPr>
          <w:spacing w:val="-6"/>
        </w:rPr>
        <w:t xml:space="preserve"> </w:t>
      </w:r>
      <w:r>
        <w:rPr>
          <w:spacing w:val="-2"/>
        </w:rPr>
        <w:t>adelante,</w:t>
      </w:r>
      <w:r>
        <w:rPr>
          <w:spacing w:val="-6"/>
        </w:rPr>
        <w:t xml:space="preserve"> </w:t>
      </w:r>
      <w:r>
        <w:rPr>
          <w:spacing w:val="-2"/>
        </w:rPr>
        <w:t>el</w:t>
      </w:r>
      <w:r>
        <w:rPr>
          <w:spacing w:val="-5"/>
        </w:rPr>
        <w:t xml:space="preserve"> </w:t>
      </w:r>
      <w:r>
        <w:rPr>
          <w:spacing w:val="-2"/>
        </w:rPr>
        <w:t>país</w:t>
      </w:r>
      <w:r>
        <w:rPr>
          <w:spacing w:val="-5"/>
        </w:rPr>
        <w:t xml:space="preserve"> </w:t>
      </w:r>
      <w:r>
        <w:rPr>
          <w:spacing w:val="-2"/>
        </w:rPr>
        <w:t>comenzó</w:t>
      </w:r>
      <w:r>
        <w:rPr>
          <w:spacing w:val="-6"/>
        </w:rPr>
        <w:t xml:space="preserve"> </w:t>
      </w:r>
      <w:r>
        <w:rPr>
          <w:spacing w:val="-2"/>
        </w:rPr>
        <w:t>a</w:t>
      </w:r>
      <w:r>
        <w:rPr>
          <w:spacing w:val="-6"/>
        </w:rPr>
        <w:t xml:space="preserve"> </w:t>
      </w:r>
      <w:r>
        <w:rPr>
          <w:spacing w:val="-2"/>
        </w:rPr>
        <w:t>afrontar</w:t>
      </w:r>
      <w:r>
        <w:rPr>
          <w:spacing w:val="-6"/>
        </w:rPr>
        <w:t xml:space="preserve"> </w:t>
      </w:r>
      <w:r>
        <w:rPr>
          <w:spacing w:val="-2"/>
        </w:rPr>
        <w:t>múltiples</w:t>
      </w:r>
      <w:r>
        <w:rPr>
          <w:spacing w:val="-6"/>
        </w:rPr>
        <w:t xml:space="preserve"> </w:t>
      </w:r>
      <w:r>
        <w:rPr>
          <w:spacing w:val="-2"/>
        </w:rPr>
        <w:t>guerras</w:t>
      </w:r>
      <w:r>
        <w:rPr>
          <w:spacing w:val="-7"/>
        </w:rPr>
        <w:t xml:space="preserve"> </w:t>
      </w:r>
      <w:r>
        <w:rPr>
          <w:spacing w:val="-2"/>
        </w:rPr>
        <w:t>y</w:t>
      </w:r>
      <w:r>
        <w:rPr>
          <w:spacing w:val="-5"/>
        </w:rPr>
        <w:t xml:space="preserve"> </w:t>
      </w:r>
      <w:r>
        <w:rPr>
          <w:spacing w:val="-2"/>
        </w:rPr>
        <w:lastRenderedPageBreak/>
        <w:t>dinámicas</w:t>
      </w:r>
      <w:r>
        <w:rPr>
          <w:spacing w:val="-6"/>
        </w:rPr>
        <w:t xml:space="preserve"> </w:t>
      </w:r>
      <w:r>
        <w:rPr>
          <w:spacing w:val="-2"/>
        </w:rPr>
        <w:t>de</w:t>
      </w:r>
      <w:r>
        <w:rPr>
          <w:spacing w:val="-5"/>
        </w:rPr>
        <w:t xml:space="preserve"> </w:t>
      </w:r>
      <w:r>
        <w:rPr>
          <w:spacing w:val="-2"/>
        </w:rPr>
        <w:t>violencia</w:t>
      </w:r>
      <w:bookmarkStart w:id="324" w:name="_bookmark240"/>
      <w:bookmarkEnd w:id="324"/>
      <w:r w:rsidR="000B5836">
        <w:rPr>
          <w:spacing w:val="-2"/>
        </w:rPr>
        <w:t xml:space="preserve"> </w:t>
      </w:r>
      <w:r>
        <w:t>articuladas</w:t>
      </w:r>
      <w:r>
        <w:rPr>
          <w:spacing w:val="-1"/>
        </w:rPr>
        <w:t xml:space="preserve"> </w:t>
      </w:r>
      <w:r>
        <w:t>con</w:t>
      </w:r>
      <w:r>
        <w:rPr>
          <w:spacing w:val="-1"/>
        </w:rPr>
        <w:t xml:space="preserve"> </w:t>
      </w:r>
      <w:r>
        <w:t>el</w:t>
      </w:r>
      <w:r>
        <w:rPr>
          <w:spacing w:val="-1"/>
        </w:rPr>
        <w:t xml:space="preserve"> </w:t>
      </w:r>
      <w:r>
        <w:t>conflicto</w:t>
      </w:r>
      <w:r>
        <w:rPr>
          <w:spacing w:val="-1"/>
        </w:rPr>
        <w:t xml:space="preserve"> </w:t>
      </w:r>
      <w:r>
        <w:t>armado:</w:t>
      </w:r>
      <w:r>
        <w:rPr>
          <w:spacing w:val="-1"/>
        </w:rPr>
        <w:t xml:space="preserve"> </w:t>
      </w:r>
      <w:r>
        <w:t>la</w:t>
      </w:r>
      <w:r>
        <w:rPr>
          <w:spacing w:val="-1"/>
        </w:rPr>
        <w:t xml:space="preserve"> </w:t>
      </w:r>
      <w:r>
        <w:t>guerra</w:t>
      </w:r>
      <w:r>
        <w:rPr>
          <w:spacing w:val="-1"/>
        </w:rPr>
        <w:t xml:space="preserve"> </w:t>
      </w:r>
      <w:r>
        <w:t>contra</w:t>
      </w:r>
      <w:r>
        <w:rPr>
          <w:spacing w:val="-1"/>
        </w:rPr>
        <w:t xml:space="preserve"> </w:t>
      </w:r>
      <w:r>
        <w:t>el</w:t>
      </w:r>
      <w:r>
        <w:rPr>
          <w:spacing w:val="-1"/>
        </w:rPr>
        <w:t xml:space="preserve"> </w:t>
      </w:r>
      <w:r>
        <w:t>narcotráfico,</w:t>
      </w:r>
      <w:r>
        <w:rPr>
          <w:spacing w:val="-1"/>
        </w:rPr>
        <w:t xml:space="preserve"> </w:t>
      </w:r>
      <w:r>
        <w:t>la</w:t>
      </w:r>
      <w:r>
        <w:rPr>
          <w:spacing w:val="-1"/>
        </w:rPr>
        <w:t xml:space="preserve"> </w:t>
      </w:r>
      <w:r>
        <w:t>guerra</w:t>
      </w:r>
      <w:r>
        <w:rPr>
          <w:spacing w:val="-1"/>
        </w:rPr>
        <w:t xml:space="preserve"> </w:t>
      </w:r>
      <w:r>
        <w:t>entre</w:t>
      </w:r>
      <w:r>
        <w:rPr>
          <w:spacing w:val="-1"/>
        </w:rPr>
        <w:t xml:space="preserve"> </w:t>
      </w:r>
      <w:r>
        <w:t>carteles, la guerra contra las guerrillas y la guerra que, en su momento, se denominó sucia, desatada por los grupos paramilitares contra los habitantes de las zonas de influencia de los grupos guerrilleros y, en particular, contra los movimientos sociales y políticos de oposición.</w:t>
      </w:r>
    </w:p>
    <w:p w:rsidR="003804AC" w:rsidRDefault="00AF18A5" w:rsidP="000B5836">
      <w:r>
        <w:t>Si bien</w:t>
      </w:r>
      <w:r>
        <w:rPr>
          <w:spacing w:val="-1"/>
        </w:rPr>
        <w:t xml:space="preserve"> </w:t>
      </w:r>
      <w:r>
        <w:t>el</w:t>
      </w:r>
      <w:r>
        <w:rPr>
          <w:spacing w:val="-1"/>
        </w:rPr>
        <w:t xml:space="preserve"> </w:t>
      </w:r>
      <w:r>
        <w:t>paramilitarismo fue</w:t>
      </w:r>
      <w:r>
        <w:rPr>
          <w:spacing w:val="-1"/>
        </w:rPr>
        <w:t xml:space="preserve"> </w:t>
      </w:r>
      <w:r>
        <w:t>auspiciado por el</w:t>
      </w:r>
      <w:r>
        <w:rPr>
          <w:spacing w:val="-1"/>
        </w:rPr>
        <w:t xml:space="preserve"> </w:t>
      </w:r>
      <w:r>
        <w:t>Estado desde inicios</w:t>
      </w:r>
      <w:r>
        <w:rPr>
          <w:spacing w:val="-1"/>
        </w:rPr>
        <w:t xml:space="preserve"> </w:t>
      </w:r>
      <w:r>
        <w:t>de</w:t>
      </w:r>
      <w:r>
        <w:rPr>
          <w:spacing w:val="-1"/>
        </w:rPr>
        <w:t xml:space="preserve"> </w:t>
      </w:r>
      <w:r>
        <w:t>los años</w:t>
      </w:r>
      <w:r>
        <w:rPr>
          <w:spacing w:val="-1"/>
        </w:rPr>
        <w:t xml:space="preserve"> </w:t>
      </w:r>
      <w:r>
        <w:t>sesenta, desde finales de los años setenta y durante la década de los ochenta, con la intensificación del conflicto en varias regiones del país, especialmente por las acciones guerrilleras contra ganaderos</w:t>
      </w:r>
      <w:r>
        <w:rPr>
          <w:spacing w:val="-15"/>
        </w:rPr>
        <w:t xml:space="preserve"> </w:t>
      </w:r>
      <w:r>
        <w:t>y</w:t>
      </w:r>
      <w:r>
        <w:rPr>
          <w:spacing w:val="-15"/>
        </w:rPr>
        <w:t xml:space="preserve"> </w:t>
      </w:r>
      <w:r>
        <w:t>la</w:t>
      </w:r>
      <w:r>
        <w:rPr>
          <w:spacing w:val="-14"/>
        </w:rPr>
        <w:t xml:space="preserve"> </w:t>
      </w:r>
      <w:r>
        <w:t>clase</w:t>
      </w:r>
      <w:r>
        <w:rPr>
          <w:spacing w:val="-15"/>
        </w:rPr>
        <w:t xml:space="preserve"> </w:t>
      </w:r>
      <w:r>
        <w:t>política</w:t>
      </w:r>
      <w:r>
        <w:rPr>
          <w:spacing w:val="-15"/>
        </w:rPr>
        <w:t xml:space="preserve"> </w:t>
      </w:r>
      <w:r>
        <w:t>regional</w:t>
      </w:r>
      <w:r>
        <w:rPr>
          <w:spacing w:val="-15"/>
        </w:rPr>
        <w:t xml:space="preserve"> </w:t>
      </w:r>
      <w:r>
        <w:t>en</w:t>
      </w:r>
      <w:r>
        <w:rPr>
          <w:spacing w:val="-14"/>
        </w:rPr>
        <w:t xml:space="preserve"> </w:t>
      </w:r>
      <w:r>
        <w:t>regiones</w:t>
      </w:r>
      <w:r>
        <w:rPr>
          <w:spacing w:val="-15"/>
        </w:rPr>
        <w:t xml:space="preserve"> </w:t>
      </w:r>
      <w:r>
        <w:t>como</w:t>
      </w:r>
      <w:r>
        <w:rPr>
          <w:spacing w:val="-14"/>
        </w:rPr>
        <w:t xml:space="preserve"> </w:t>
      </w:r>
      <w:r>
        <w:t>el</w:t>
      </w:r>
      <w:r>
        <w:rPr>
          <w:spacing w:val="-14"/>
        </w:rPr>
        <w:t xml:space="preserve"> </w:t>
      </w:r>
      <w:r>
        <w:t>Magdalena</w:t>
      </w:r>
      <w:r>
        <w:rPr>
          <w:spacing w:val="-15"/>
        </w:rPr>
        <w:t xml:space="preserve"> </w:t>
      </w:r>
      <w:r>
        <w:t>Medio,</w:t>
      </w:r>
      <w:r>
        <w:rPr>
          <w:spacing w:val="-14"/>
        </w:rPr>
        <w:t xml:space="preserve"> </w:t>
      </w:r>
      <w:r>
        <w:t>sur</w:t>
      </w:r>
      <w:r>
        <w:rPr>
          <w:spacing w:val="-15"/>
        </w:rPr>
        <w:t xml:space="preserve"> </w:t>
      </w:r>
      <w:r>
        <w:t>de</w:t>
      </w:r>
      <w:r>
        <w:rPr>
          <w:spacing w:val="-15"/>
        </w:rPr>
        <w:t xml:space="preserve"> </w:t>
      </w:r>
      <w:r>
        <w:t>Córdoba, Urabá</w:t>
      </w:r>
      <w:r>
        <w:rPr>
          <w:spacing w:val="-15"/>
        </w:rPr>
        <w:t xml:space="preserve"> </w:t>
      </w:r>
      <w:r>
        <w:t>y</w:t>
      </w:r>
      <w:r>
        <w:rPr>
          <w:spacing w:val="-15"/>
        </w:rPr>
        <w:t xml:space="preserve"> </w:t>
      </w:r>
      <w:r>
        <w:t>en</w:t>
      </w:r>
      <w:r>
        <w:rPr>
          <w:spacing w:val="-15"/>
        </w:rPr>
        <w:t xml:space="preserve"> </w:t>
      </w:r>
      <w:r>
        <w:t>menor</w:t>
      </w:r>
      <w:r>
        <w:rPr>
          <w:spacing w:val="-15"/>
        </w:rPr>
        <w:t xml:space="preserve"> </w:t>
      </w:r>
      <w:r>
        <w:t>medida</w:t>
      </w:r>
      <w:r>
        <w:rPr>
          <w:spacing w:val="-15"/>
        </w:rPr>
        <w:t xml:space="preserve"> </w:t>
      </w:r>
      <w:r>
        <w:t>en</w:t>
      </w:r>
      <w:r>
        <w:rPr>
          <w:spacing w:val="-15"/>
        </w:rPr>
        <w:t xml:space="preserve"> </w:t>
      </w:r>
      <w:r>
        <w:t>los</w:t>
      </w:r>
      <w:r>
        <w:rPr>
          <w:spacing w:val="-15"/>
        </w:rPr>
        <w:t xml:space="preserve"> </w:t>
      </w:r>
      <w:r>
        <w:t>llanos</w:t>
      </w:r>
      <w:r>
        <w:rPr>
          <w:spacing w:val="-15"/>
        </w:rPr>
        <w:t xml:space="preserve"> </w:t>
      </w:r>
      <w:r>
        <w:t>orientales,</w:t>
      </w:r>
      <w:r>
        <w:rPr>
          <w:spacing w:val="-15"/>
        </w:rPr>
        <w:t xml:space="preserve"> </w:t>
      </w:r>
      <w:r>
        <w:t>fue</w:t>
      </w:r>
      <w:r>
        <w:rPr>
          <w:spacing w:val="-15"/>
        </w:rPr>
        <w:t xml:space="preserve"> </w:t>
      </w:r>
      <w:r>
        <w:t>reforzado</w:t>
      </w:r>
      <w:r>
        <w:rPr>
          <w:spacing w:val="-15"/>
        </w:rPr>
        <w:t xml:space="preserve"> </w:t>
      </w:r>
      <w:r>
        <w:t>con</w:t>
      </w:r>
      <w:r>
        <w:rPr>
          <w:spacing w:val="-15"/>
        </w:rPr>
        <w:t xml:space="preserve"> </w:t>
      </w:r>
      <w:r>
        <w:t>el</w:t>
      </w:r>
      <w:r>
        <w:rPr>
          <w:spacing w:val="-15"/>
        </w:rPr>
        <w:t xml:space="preserve"> </w:t>
      </w:r>
      <w:r>
        <w:t>auspicio</w:t>
      </w:r>
      <w:r>
        <w:rPr>
          <w:spacing w:val="-15"/>
        </w:rPr>
        <w:t xml:space="preserve"> </w:t>
      </w:r>
      <w:r>
        <w:t>de</w:t>
      </w:r>
      <w:r>
        <w:rPr>
          <w:spacing w:val="-15"/>
        </w:rPr>
        <w:t xml:space="preserve"> </w:t>
      </w:r>
      <w:r>
        <w:t>las</w:t>
      </w:r>
      <w:r>
        <w:rPr>
          <w:spacing w:val="-15"/>
        </w:rPr>
        <w:t xml:space="preserve"> </w:t>
      </w:r>
      <w:r>
        <w:t>Fuerzas Militares y en defensa, según su narrativa, de los sectores económicos y políticos más afectados</w:t>
      </w:r>
      <w:r>
        <w:rPr>
          <w:spacing w:val="-9"/>
        </w:rPr>
        <w:t xml:space="preserve"> </w:t>
      </w:r>
      <w:r>
        <w:t>por</w:t>
      </w:r>
      <w:r>
        <w:rPr>
          <w:spacing w:val="-9"/>
        </w:rPr>
        <w:t xml:space="preserve"> </w:t>
      </w:r>
      <w:r>
        <w:t>la</w:t>
      </w:r>
      <w:r>
        <w:rPr>
          <w:spacing w:val="-9"/>
        </w:rPr>
        <w:t xml:space="preserve"> </w:t>
      </w:r>
      <w:r>
        <w:t>violencia</w:t>
      </w:r>
      <w:r>
        <w:rPr>
          <w:spacing w:val="-9"/>
        </w:rPr>
        <w:t xml:space="preserve"> </w:t>
      </w:r>
      <w:r>
        <w:t>guerrillera.</w:t>
      </w:r>
      <w:r>
        <w:rPr>
          <w:spacing w:val="-11"/>
        </w:rPr>
        <w:t xml:space="preserve"> </w:t>
      </w:r>
      <w:r>
        <w:t>Una</w:t>
      </w:r>
      <w:r>
        <w:rPr>
          <w:spacing w:val="-9"/>
        </w:rPr>
        <w:t xml:space="preserve"> </w:t>
      </w:r>
      <w:r>
        <w:t>parte</w:t>
      </w:r>
      <w:r>
        <w:rPr>
          <w:spacing w:val="-9"/>
        </w:rPr>
        <w:t xml:space="preserve"> </w:t>
      </w:r>
      <w:r>
        <w:t>de</w:t>
      </w:r>
      <w:r>
        <w:rPr>
          <w:spacing w:val="-9"/>
        </w:rPr>
        <w:t xml:space="preserve"> </w:t>
      </w:r>
      <w:r>
        <w:t>dichos</w:t>
      </w:r>
      <w:r>
        <w:rPr>
          <w:spacing w:val="-9"/>
        </w:rPr>
        <w:t xml:space="preserve"> </w:t>
      </w:r>
      <w:r>
        <w:t>sectores</w:t>
      </w:r>
      <w:r>
        <w:rPr>
          <w:spacing w:val="-9"/>
        </w:rPr>
        <w:t xml:space="preserve"> </w:t>
      </w:r>
      <w:r>
        <w:t>se</w:t>
      </w:r>
      <w:r>
        <w:rPr>
          <w:spacing w:val="-11"/>
        </w:rPr>
        <w:t xml:space="preserve"> </w:t>
      </w:r>
      <w:r>
        <w:t>alió</w:t>
      </w:r>
      <w:r>
        <w:rPr>
          <w:spacing w:val="-11"/>
        </w:rPr>
        <w:t xml:space="preserve"> </w:t>
      </w:r>
      <w:r>
        <w:t>con</w:t>
      </w:r>
      <w:r>
        <w:rPr>
          <w:spacing w:val="-9"/>
        </w:rPr>
        <w:t xml:space="preserve"> </w:t>
      </w:r>
      <w:r>
        <w:t>el</w:t>
      </w:r>
      <w:r>
        <w:rPr>
          <w:spacing w:val="-9"/>
        </w:rPr>
        <w:t xml:space="preserve"> </w:t>
      </w:r>
      <w:r>
        <w:t xml:space="preserve">narcotráfico para la creación del grupo Muerte A Secuestradores (MAS) en 1981, Este grupo y la evolución posterior de las diferentes organizaciones es analizada en otros capítulos de este </w:t>
      </w:r>
      <w:r>
        <w:rPr>
          <w:spacing w:val="-2"/>
        </w:rPr>
        <w:t>informe.</w:t>
      </w:r>
    </w:p>
    <w:p w:rsidR="003804AC" w:rsidRDefault="00AF18A5" w:rsidP="007A5430">
      <w:r>
        <w:t>La expansión de las FARC-EP en los años ochenta no tuvo</w:t>
      </w:r>
      <w:r>
        <w:rPr>
          <w:spacing w:val="-1"/>
        </w:rPr>
        <w:t xml:space="preserve"> </w:t>
      </w:r>
      <w:r>
        <w:t>solamente un componente de crecimiento militar, sino también una apuesta por la inserción en la política a través del acuerdo</w:t>
      </w:r>
      <w:r>
        <w:rPr>
          <w:spacing w:val="-4"/>
        </w:rPr>
        <w:t xml:space="preserve"> </w:t>
      </w:r>
      <w:r>
        <w:t>de</w:t>
      </w:r>
      <w:r>
        <w:rPr>
          <w:spacing w:val="-3"/>
        </w:rPr>
        <w:t xml:space="preserve"> </w:t>
      </w:r>
      <w:r>
        <w:t>La</w:t>
      </w:r>
      <w:r>
        <w:rPr>
          <w:spacing w:val="-2"/>
        </w:rPr>
        <w:t xml:space="preserve"> </w:t>
      </w:r>
      <w:r>
        <w:t>Uribe</w:t>
      </w:r>
      <w:r>
        <w:rPr>
          <w:spacing w:val="-3"/>
        </w:rPr>
        <w:t xml:space="preserve"> </w:t>
      </w:r>
      <w:r>
        <w:t>y</w:t>
      </w:r>
      <w:r>
        <w:rPr>
          <w:spacing w:val="-2"/>
        </w:rPr>
        <w:t xml:space="preserve"> </w:t>
      </w:r>
      <w:r>
        <w:t>la</w:t>
      </w:r>
      <w:r>
        <w:rPr>
          <w:spacing w:val="-2"/>
        </w:rPr>
        <w:t xml:space="preserve"> </w:t>
      </w:r>
      <w:r>
        <w:t>creación</w:t>
      </w:r>
      <w:r>
        <w:rPr>
          <w:spacing w:val="-4"/>
        </w:rPr>
        <w:t xml:space="preserve"> </w:t>
      </w:r>
      <w:r>
        <w:t>e</w:t>
      </w:r>
      <w:r>
        <w:rPr>
          <w:spacing w:val="-3"/>
        </w:rPr>
        <w:t xml:space="preserve"> </w:t>
      </w:r>
      <w:r>
        <w:t>impulso</w:t>
      </w:r>
      <w:r>
        <w:rPr>
          <w:spacing w:val="-4"/>
        </w:rPr>
        <w:t xml:space="preserve"> </w:t>
      </w:r>
      <w:r>
        <w:t>de</w:t>
      </w:r>
      <w:r>
        <w:rPr>
          <w:spacing w:val="-3"/>
        </w:rPr>
        <w:t xml:space="preserve"> </w:t>
      </w:r>
      <w:r>
        <w:t>la</w:t>
      </w:r>
      <w:r>
        <w:rPr>
          <w:spacing w:val="-2"/>
        </w:rPr>
        <w:t xml:space="preserve"> </w:t>
      </w:r>
      <w:r>
        <w:t>UP</w:t>
      </w:r>
      <w:r w:rsidR="007A5430">
        <w:rPr>
          <w:rStyle w:val="Refdenotaalpie"/>
        </w:rPr>
        <w:footnoteReference w:id="204"/>
      </w:r>
      <w:r>
        <w:rPr>
          <w:spacing w:val="-2"/>
        </w:rPr>
        <w:t xml:space="preserve"> </w:t>
      </w:r>
      <w:r>
        <w:t>como</w:t>
      </w:r>
      <w:r>
        <w:rPr>
          <w:spacing w:val="-4"/>
        </w:rPr>
        <w:t xml:space="preserve"> </w:t>
      </w:r>
      <w:r>
        <w:t>parte</w:t>
      </w:r>
      <w:r>
        <w:rPr>
          <w:spacing w:val="-3"/>
        </w:rPr>
        <w:t xml:space="preserve"> </w:t>
      </w:r>
      <w:r>
        <w:t>de</w:t>
      </w:r>
      <w:r>
        <w:rPr>
          <w:spacing w:val="-2"/>
        </w:rPr>
        <w:t xml:space="preserve"> </w:t>
      </w:r>
      <w:r>
        <w:t>una</w:t>
      </w:r>
      <w:r>
        <w:rPr>
          <w:spacing w:val="-3"/>
        </w:rPr>
        <w:t xml:space="preserve"> </w:t>
      </w:r>
      <w:r>
        <w:t>salida</w:t>
      </w:r>
      <w:r>
        <w:rPr>
          <w:spacing w:val="-2"/>
        </w:rPr>
        <w:t xml:space="preserve"> </w:t>
      </w:r>
      <w:r>
        <w:t>política</w:t>
      </w:r>
      <w:r>
        <w:rPr>
          <w:spacing w:val="-2"/>
        </w:rPr>
        <w:t xml:space="preserve"> </w:t>
      </w:r>
      <w:r>
        <w:t>al conflicto en el contexto de los diálogos con el presidente Belisario Betancur a mediados de esa década. Sin embargo, la estigmatización de los miembros de la UP por parte del Estado y</w:t>
      </w:r>
      <w:r>
        <w:rPr>
          <w:spacing w:val="-12"/>
        </w:rPr>
        <w:t xml:space="preserve"> </w:t>
      </w:r>
      <w:r>
        <w:t>de</w:t>
      </w:r>
      <w:r>
        <w:rPr>
          <w:spacing w:val="-12"/>
        </w:rPr>
        <w:t xml:space="preserve"> </w:t>
      </w:r>
      <w:r>
        <w:t>los</w:t>
      </w:r>
      <w:r>
        <w:rPr>
          <w:spacing w:val="-12"/>
        </w:rPr>
        <w:t xml:space="preserve"> </w:t>
      </w:r>
      <w:r>
        <w:t>grupos</w:t>
      </w:r>
      <w:r>
        <w:rPr>
          <w:spacing w:val="-12"/>
        </w:rPr>
        <w:t xml:space="preserve"> </w:t>
      </w:r>
      <w:r>
        <w:t>paramilitares,</w:t>
      </w:r>
      <w:r>
        <w:rPr>
          <w:spacing w:val="-12"/>
        </w:rPr>
        <w:t xml:space="preserve"> </w:t>
      </w:r>
      <w:r>
        <w:t>así</w:t>
      </w:r>
      <w:r>
        <w:rPr>
          <w:spacing w:val="-12"/>
        </w:rPr>
        <w:t xml:space="preserve"> </w:t>
      </w:r>
      <w:r>
        <w:t>como</w:t>
      </w:r>
      <w:r>
        <w:rPr>
          <w:spacing w:val="-12"/>
        </w:rPr>
        <w:t xml:space="preserve"> </w:t>
      </w:r>
      <w:r>
        <w:t>su</w:t>
      </w:r>
      <w:r>
        <w:rPr>
          <w:spacing w:val="-12"/>
        </w:rPr>
        <w:t xml:space="preserve"> </w:t>
      </w:r>
      <w:r>
        <w:t>oposición</w:t>
      </w:r>
      <w:r>
        <w:rPr>
          <w:spacing w:val="-12"/>
        </w:rPr>
        <w:t xml:space="preserve"> </w:t>
      </w:r>
      <w:r>
        <w:t>a</w:t>
      </w:r>
      <w:r>
        <w:rPr>
          <w:spacing w:val="-12"/>
        </w:rPr>
        <w:t xml:space="preserve"> </w:t>
      </w:r>
      <w:r>
        <w:t>la</w:t>
      </w:r>
      <w:r>
        <w:rPr>
          <w:spacing w:val="-12"/>
        </w:rPr>
        <w:t xml:space="preserve"> </w:t>
      </w:r>
      <w:r>
        <w:t>existencia</w:t>
      </w:r>
      <w:r>
        <w:rPr>
          <w:spacing w:val="-12"/>
        </w:rPr>
        <w:t xml:space="preserve"> </w:t>
      </w:r>
      <w:r>
        <w:t>de</w:t>
      </w:r>
      <w:r>
        <w:rPr>
          <w:spacing w:val="-13"/>
        </w:rPr>
        <w:t xml:space="preserve"> </w:t>
      </w:r>
      <w:r>
        <w:t>una</w:t>
      </w:r>
      <w:r>
        <w:rPr>
          <w:spacing w:val="-13"/>
        </w:rPr>
        <w:t xml:space="preserve"> </w:t>
      </w:r>
      <w:r>
        <w:t>alternativa</w:t>
      </w:r>
      <w:r>
        <w:rPr>
          <w:spacing w:val="-13"/>
        </w:rPr>
        <w:t xml:space="preserve"> </w:t>
      </w:r>
      <w:r>
        <w:t xml:space="preserve">política al bipartidismo, llevó </w:t>
      </w:r>
      <w:r>
        <w:lastRenderedPageBreak/>
        <w:t>al exterminio del naciente partido, lo cual implicó el repliegue militar de la guerrilla y su persistencia en la guerra. Adicionalmente, esto supuso la mayor radicalización de las FARC-EP y el inicio de su autonomización política en relación con el Partido Comunista.</w:t>
      </w:r>
    </w:p>
    <w:p w:rsidR="003804AC" w:rsidRDefault="00AF18A5" w:rsidP="007A5430">
      <w:r>
        <w:t>Para</w:t>
      </w:r>
      <w:r>
        <w:rPr>
          <w:spacing w:val="-3"/>
        </w:rPr>
        <w:t xml:space="preserve"> </w:t>
      </w:r>
      <w:r>
        <w:t>mediados</w:t>
      </w:r>
      <w:r>
        <w:rPr>
          <w:spacing w:val="-3"/>
        </w:rPr>
        <w:t xml:space="preserve"> </w:t>
      </w:r>
      <w:r>
        <w:t>de</w:t>
      </w:r>
      <w:r>
        <w:rPr>
          <w:spacing w:val="-3"/>
        </w:rPr>
        <w:t xml:space="preserve"> </w:t>
      </w:r>
      <w:r>
        <w:t>la</w:t>
      </w:r>
      <w:r>
        <w:rPr>
          <w:spacing w:val="-3"/>
        </w:rPr>
        <w:t xml:space="preserve"> </w:t>
      </w:r>
      <w:r>
        <w:t>década</w:t>
      </w:r>
      <w:r>
        <w:rPr>
          <w:spacing w:val="-3"/>
        </w:rPr>
        <w:t xml:space="preserve"> </w:t>
      </w:r>
      <w:r>
        <w:t>de</w:t>
      </w:r>
      <w:r>
        <w:rPr>
          <w:spacing w:val="-3"/>
        </w:rPr>
        <w:t xml:space="preserve"> </w:t>
      </w:r>
      <w:r>
        <w:t>los</w:t>
      </w:r>
      <w:r>
        <w:rPr>
          <w:spacing w:val="-3"/>
        </w:rPr>
        <w:t xml:space="preserve"> </w:t>
      </w:r>
      <w:r>
        <w:t>noventa,</w:t>
      </w:r>
      <w:r>
        <w:rPr>
          <w:spacing w:val="-3"/>
        </w:rPr>
        <w:t xml:space="preserve"> </w:t>
      </w:r>
      <w:r>
        <w:t>las</w:t>
      </w:r>
      <w:r>
        <w:rPr>
          <w:spacing w:val="-3"/>
        </w:rPr>
        <w:t xml:space="preserve"> </w:t>
      </w:r>
      <w:r>
        <w:t>FARC-EP</w:t>
      </w:r>
      <w:r>
        <w:rPr>
          <w:spacing w:val="-4"/>
        </w:rPr>
        <w:t xml:space="preserve"> </w:t>
      </w:r>
      <w:r>
        <w:t>llegaron</w:t>
      </w:r>
      <w:r>
        <w:rPr>
          <w:spacing w:val="-3"/>
        </w:rPr>
        <w:t xml:space="preserve"> </w:t>
      </w:r>
      <w:r>
        <w:t>a</w:t>
      </w:r>
      <w:r>
        <w:rPr>
          <w:spacing w:val="-3"/>
        </w:rPr>
        <w:t xml:space="preserve"> </w:t>
      </w:r>
      <w:r>
        <w:t>estar</w:t>
      </w:r>
      <w:r>
        <w:rPr>
          <w:spacing w:val="-4"/>
        </w:rPr>
        <w:t xml:space="preserve"> </w:t>
      </w:r>
      <w:r>
        <w:t>en</w:t>
      </w:r>
      <w:r>
        <w:rPr>
          <w:spacing w:val="-3"/>
        </w:rPr>
        <w:t xml:space="preserve"> </w:t>
      </w:r>
      <w:r>
        <w:t>condiciones militares,</w:t>
      </w:r>
      <w:r>
        <w:rPr>
          <w:spacing w:val="21"/>
        </w:rPr>
        <w:t xml:space="preserve"> </w:t>
      </w:r>
      <w:r>
        <w:t>financieras,</w:t>
      </w:r>
      <w:r>
        <w:rPr>
          <w:spacing w:val="25"/>
        </w:rPr>
        <w:t xml:space="preserve"> </w:t>
      </w:r>
      <w:r>
        <w:t>logísticas</w:t>
      </w:r>
      <w:r>
        <w:rPr>
          <w:spacing w:val="25"/>
        </w:rPr>
        <w:t xml:space="preserve"> </w:t>
      </w:r>
      <w:r>
        <w:t>y</w:t>
      </w:r>
      <w:r>
        <w:rPr>
          <w:spacing w:val="24"/>
        </w:rPr>
        <w:t xml:space="preserve"> </w:t>
      </w:r>
      <w:r>
        <w:t>organizativas</w:t>
      </w:r>
      <w:r>
        <w:rPr>
          <w:spacing w:val="25"/>
        </w:rPr>
        <w:t xml:space="preserve"> </w:t>
      </w:r>
      <w:r>
        <w:t>suficientemente</w:t>
      </w:r>
      <w:r>
        <w:rPr>
          <w:spacing w:val="24"/>
        </w:rPr>
        <w:t xml:space="preserve"> </w:t>
      </w:r>
      <w:r>
        <w:t>fuertes</w:t>
      </w:r>
      <w:r>
        <w:rPr>
          <w:spacing w:val="25"/>
        </w:rPr>
        <w:t xml:space="preserve"> </w:t>
      </w:r>
      <w:r>
        <w:t>para</w:t>
      </w:r>
      <w:r>
        <w:rPr>
          <w:spacing w:val="24"/>
        </w:rPr>
        <w:t xml:space="preserve"> </w:t>
      </w:r>
      <w:r>
        <w:t>insertarse</w:t>
      </w:r>
      <w:r>
        <w:rPr>
          <w:spacing w:val="25"/>
        </w:rPr>
        <w:t xml:space="preserve"> </w:t>
      </w:r>
      <w:r>
        <w:rPr>
          <w:spacing w:val="-5"/>
        </w:rPr>
        <w:t>en</w:t>
      </w:r>
      <w:bookmarkStart w:id="325" w:name="_bookmark241"/>
      <w:bookmarkEnd w:id="325"/>
      <w:r w:rsidR="007A5430">
        <w:rPr>
          <w:spacing w:val="-5"/>
        </w:rPr>
        <w:t xml:space="preserve"> </w:t>
      </w:r>
      <w:r>
        <w:t>importantes regiones del país que rebasaban su antigua presencia en las zonas de colonización,</w:t>
      </w:r>
      <w:r>
        <w:rPr>
          <w:spacing w:val="-9"/>
        </w:rPr>
        <w:t xml:space="preserve"> </w:t>
      </w:r>
      <w:r>
        <w:t>y</w:t>
      </w:r>
      <w:r>
        <w:rPr>
          <w:spacing w:val="-9"/>
        </w:rPr>
        <w:t xml:space="preserve"> </w:t>
      </w:r>
      <w:r>
        <w:t>se</w:t>
      </w:r>
      <w:r>
        <w:rPr>
          <w:spacing w:val="-10"/>
        </w:rPr>
        <w:t xml:space="preserve"> </w:t>
      </w:r>
      <w:r>
        <w:t>expandieron</w:t>
      </w:r>
      <w:r>
        <w:rPr>
          <w:spacing w:val="-11"/>
        </w:rPr>
        <w:t xml:space="preserve"> </w:t>
      </w:r>
      <w:r>
        <w:t>hacia</w:t>
      </w:r>
      <w:r>
        <w:rPr>
          <w:spacing w:val="-10"/>
        </w:rPr>
        <w:t xml:space="preserve"> </w:t>
      </w:r>
      <w:r>
        <w:t>áreas</w:t>
      </w:r>
      <w:r>
        <w:rPr>
          <w:spacing w:val="-10"/>
        </w:rPr>
        <w:t xml:space="preserve"> </w:t>
      </w:r>
      <w:r>
        <w:t>de</w:t>
      </w:r>
      <w:r>
        <w:rPr>
          <w:spacing w:val="-9"/>
        </w:rPr>
        <w:t xml:space="preserve"> </w:t>
      </w:r>
      <w:r>
        <w:t>desarrollo</w:t>
      </w:r>
      <w:r>
        <w:rPr>
          <w:spacing w:val="-11"/>
        </w:rPr>
        <w:t xml:space="preserve"> </w:t>
      </w:r>
      <w:r>
        <w:t>intermedio,</w:t>
      </w:r>
      <w:r>
        <w:rPr>
          <w:spacing w:val="-11"/>
        </w:rPr>
        <w:t xml:space="preserve"> </w:t>
      </w:r>
      <w:r>
        <w:t>con</w:t>
      </w:r>
      <w:r>
        <w:rPr>
          <w:spacing w:val="-11"/>
        </w:rPr>
        <w:t xml:space="preserve"> </w:t>
      </w:r>
      <w:r>
        <w:t>redes</w:t>
      </w:r>
      <w:r>
        <w:rPr>
          <w:spacing w:val="-9"/>
        </w:rPr>
        <w:t xml:space="preserve"> </w:t>
      </w:r>
      <w:r>
        <w:t>de</w:t>
      </w:r>
      <w:r>
        <w:rPr>
          <w:spacing w:val="-10"/>
        </w:rPr>
        <w:t xml:space="preserve"> </w:t>
      </w:r>
      <w:r>
        <w:t>milicias</w:t>
      </w:r>
      <w:r>
        <w:rPr>
          <w:spacing w:val="-10"/>
        </w:rPr>
        <w:t xml:space="preserve"> </w:t>
      </w:r>
      <w:r>
        <w:t>en Medellín, Bogotá y Cali. En la Octava Conferencia de las FARC-EP, desarrollada en 1993, se realizaron ajustes a su Plan Estratégico de 1982 que permiten entender su trayectoria de organización armada. Por ejemplo, la decisión de conformar un ejército capaz de perpetrar golpes contra las Fuerzas Militares con alto valor estratégico o el propósito de urbanizar el conflicto armado y volcar la estrategia militar a la presencia en las ciudades, con prioridad en Bogotá, que condujo a impulsar las Milicias Bolivarianas</w:t>
      </w:r>
      <w:r w:rsidR="007A5430">
        <w:rPr>
          <w:rStyle w:val="Refdenotaalpie"/>
        </w:rPr>
        <w:footnoteReference w:id="205"/>
      </w:r>
      <w:r>
        <w:t>. También se formalizó el distanciamiento con el Partido Comunista, que se expresó en la creación del Partido Comunista Clandestino, con un pensamiento político autónomo, plasmado en lo que denominaron «Plataforma para un nuevo Gobierno de reconciliación y reconstrucción nacional»</w:t>
      </w:r>
      <w:r w:rsidR="007A5430">
        <w:rPr>
          <w:rStyle w:val="Refdenotaalpie"/>
        </w:rPr>
        <w:footnoteReference w:id="206"/>
      </w:r>
      <w:r>
        <w:t xml:space="preserve"> .</w:t>
      </w:r>
    </w:p>
    <w:p w:rsidR="003804AC" w:rsidRDefault="00AF18A5" w:rsidP="007A5430">
      <w:r>
        <w:t>Por su parte, el ELN para los años noventa mostró todos los pesos y limitaciones que le acarrearon tener la estructura organizativa que desarrolló en los años ochenta. Al retroceso territorial y social derivado de la expansión paramilitar en sus zonas de influencia, se sumó el</w:t>
      </w:r>
      <w:r>
        <w:rPr>
          <w:spacing w:val="-15"/>
        </w:rPr>
        <w:t xml:space="preserve"> </w:t>
      </w:r>
      <w:r>
        <w:lastRenderedPageBreak/>
        <w:t>deterioro</w:t>
      </w:r>
      <w:r>
        <w:rPr>
          <w:spacing w:val="-15"/>
        </w:rPr>
        <w:t xml:space="preserve"> </w:t>
      </w:r>
      <w:r>
        <w:t>de</w:t>
      </w:r>
      <w:r>
        <w:rPr>
          <w:spacing w:val="-14"/>
        </w:rPr>
        <w:t xml:space="preserve"> </w:t>
      </w:r>
      <w:r>
        <w:t>su</w:t>
      </w:r>
      <w:r>
        <w:rPr>
          <w:spacing w:val="-14"/>
        </w:rPr>
        <w:t xml:space="preserve"> </w:t>
      </w:r>
      <w:r>
        <w:t>imagen</w:t>
      </w:r>
      <w:r>
        <w:rPr>
          <w:spacing w:val="-14"/>
        </w:rPr>
        <w:t xml:space="preserve"> </w:t>
      </w:r>
      <w:r>
        <w:t>ante</w:t>
      </w:r>
      <w:r>
        <w:rPr>
          <w:spacing w:val="-14"/>
        </w:rPr>
        <w:t xml:space="preserve"> </w:t>
      </w:r>
      <w:r>
        <w:t>la</w:t>
      </w:r>
      <w:r>
        <w:rPr>
          <w:spacing w:val="-14"/>
        </w:rPr>
        <w:t xml:space="preserve"> </w:t>
      </w:r>
      <w:r>
        <w:t>opinión</w:t>
      </w:r>
      <w:r>
        <w:rPr>
          <w:spacing w:val="-14"/>
        </w:rPr>
        <w:t xml:space="preserve"> </w:t>
      </w:r>
      <w:r>
        <w:t>pública</w:t>
      </w:r>
      <w:r>
        <w:rPr>
          <w:spacing w:val="-15"/>
        </w:rPr>
        <w:t xml:space="preserve"> </w:t>
      </w:r>
      <w:r>
        <w:t>por</w:t>
      </w:r>
      <w:r>
        <w:rPr>
          <w:spacing w:val="-14"/>
        </w:rPr>
        <w:t xml:space="preserve"> </w:t>
      </w:r>
      <w:r>
        <w:t>los</w:t>
      </w:r>
      <w:r>
        <w:rPr>
          <w:spacing w:val="-14"/>
        </w:rPr>
        <w:t xml:space="preserve"> </w:t>
      </w:r>
      <w:r>
        <w:t>ataques</w:t>
      </w:r>
      <w:r>
        <w:rPr>
          <w:spacing w:val="-14"/>
        </w:rPr>
        <w:t xml:space="preserve"> </w:t>
      </w:r>
      <w:r>
        <w:t>a</w:t>
      </w:r>
      <w:r>
        <w:rPr>
          <w:spacing w:val="-14"/>
        </w:rPr>
        <w:t xml:space="preserve"> </w:t>
      </w:r>
      <w:r>
        <w:t>la</w:t>
      </w:r>
      <w:r>
        <w:rPr>
          <w:spacing w:val="-14"/>
        </w:rPr>
        <w:t xml:space="preserve"> </w:t>
      </w:r>
      <w:r>
        <w:t>infraestructura</w:t>
      </w:r>
      <w:r>
        <w:rPr>
          <w:spacing w:val="-14"/>
        </w:rPr>
        <w:t xml:space="preserve"> </w:t>
      </w:r>
      <w:r>
        <w:t>petrolera, las campañas extorsivas a las empresas y los secuestros masivos. El 18 de octubre de 1998, en</w:t>
      </w:r>
      <w:r>
        <w:rPr>
          <w:spacing w:val="-7"/>
        </w:rPr>
        <w:t xml:space="preserve"> </w:t>
      </w:r>
      <w:r>
        <w:t>el</w:t>
      </w:r>
      <w:r>
        <w:rPr>
          <w:spacing w:val="-7"/>
        </w:rPr>
        <w:t xml:space="preserve"> </w:t>
      </w:r>
      <w:r>
        <w:t>corregimiento</w:t>
      </w:r>
      <w:r>
        <w:rPr>
          <w:spacing w:val="-7"/>
        </w:rPr>
        <w:t xml:space="preserve"> </w:t>
      </w:r>
      <w:r>
        <w:t>de</w:t>
      </w:r>
      <w:r>
        <w:rPr>
          <w:spacing w:val="-7"/>
        </w:rPr>
        <w:t xml:space="preserve"> </w:t>
      </w:r>
      <w:r>
        <w:t>Machuca,</w:t>
      </w:r>
      <w:r>
        <w:rPr>
          <w:spacing w:val="-7"/>
        </w:rPr>
        <w:t xml:space="preserve"> </w:t>
      </w:r>
      <w:r>
        <w:t>en</w:t>
      </w:r>
      <w:r>
        <w:rPr>
          <w:spacing w:val="-7"/>
        </w:rPr>
        <w:t xml:space="preserve"> </w:t>
      </w:r>
      <w:r>
        <w:t>Segovia,</w:t>
      </w:r>
      <w:r>
        <w:rPr>
          <w:spacing w:val="-7"/>
        </w:rPr>
        <w:t xml:space="preserve"> </w:t>
      </w:r>
      <w:r>
        <w:t>Antioquia,</w:t>
      </w:r>
      <w:r>
        <w:rPr>
          <w:spacing w:val="-7"/>
        </w:rPr>
        <w:t xml:space="preserve"> </w:t>
      </w:r>
      <w:r>
        <w:t>un</w:t>
      </w:r>
      <w:r>
        <w:rPr>
          <w:spacing w:val="-7"/>
        </w:rPr>
        <w:t xml:space="preserve"> </w:t>
      </w:r>
      <w:r>
        <w:t>atentado</w:t>
      </w:r>
      <w:r>
        <w:rPr>
          <w:spacing w:val="-7"/>
        </w:rPr>
        <w:t xml:space="preserve"> </w:t>
      </w:r>
      <w:r>
        <w:t>del</w:t>
      </w:r>
      <w:r>
        <w:rPr>
          <w:spacing w:val="-7"/>
        </w:rPr>
        <w:t xml:space="preserve"> </w:t>
      </w:r>
      <w:r>
        <w:t>ELN</w:t>
      </w:r>
      <w:r>
        <w:rPr>
          <w:spacing w:val="-8"/>
        </w:rPr>
        <w:t xml:space="preserve"> </w:t>
      </w:r>
      <w:r>
        <w:t>a</w:t>
      </w:r>
      <w:r>
        <w:rPr>
          <w:spacing w:val="-7"/>
        </w:rPr>
        <w:t xml:space="preserve"> </w:t>
      </w:r>
      <w:r>
        <w:t>un</w:t>
      </w:r>
      <w:r>
        <w:rPr>
          <w:spacing w:val="-7"/>
        </w:rPr>
        <w:t xml:space="preserve"> </w:t>
      </w:r>
      <w:r>
        <w:t>tramo</w:t>
      </w:r>
      <w:r>
        <w:rPr>
          <w:spacing w:val="-7"/>
        </w:rPr>
        <w:t xml:space="preserve"> </w:t>
      </w:r>
      <w:r>
        <w:t>del Oleoducto Central de Colombia generó una explosión que produjo 84 muertos. El impacto directo lo recibió una comunidad olvidada y en graves condiciones de pobreza en la actualidad, como pudo constatar la Comisión. Ese suceso marcó una nueva ruptura en los intentos de conversación entre el Estado y el ELN.</w:t>
      </w:r>
    </w:p>
    <w:p w:rsidR="003804AC" w:rsidRDefault="00AF18A5" w:rsidP="007A5430">
      <w:r>
        <w:t>Las acciones del ELN, además de atentados a infraestructuras o ataques a la fuerza pública, también llevaron al control y fuerte influencia en importantes zonas del nororiente del</w:t>
      </w:r>
      <w:r>
        <w:rPr>
          <w:spacing w:val="8"/>
        </w:rPr>
        <w:t xml:space="preserve"> </w:t>
      </w:r>
      <w:r>
        <w:t>país,</w:t>
      </w:r>
      <w:r>
        <w:rPr>
          <w:spacing w:val="9"/>
        </w:rPr>
        <w:t xml:space="preserve"> </w:t>
      </w:r>
      <w:r>
        <w:t>que</w:t>
      </w:r>
      <w:r>
        <w:rPr>
          <w:spacing w:val="10"/>
        </w:rPr>
        <w:t xml:space="preserve"> </w:t>
      </w:r>
      <w:r>
        <w:t>se</w:t>
      </w:r>
      <w:r>
        <w:rPr>
          <w:spacing w:val="9"/>
        </w:rPr>
        <w:t xml:space="preserve"> </w:t>
      </w:r>
      <w:r>
        <w:t>mantuvieron</w:t>
      </w:r>
      <w:r>
        <w:rPr>
          <w:spacing w:val="10"/>
        </w:rPr>
        <w:t xml:space="preserve"> </w:t>
      </w:r>
      <w:r>
        <w:t>en</w:t>
      </w:r>
      <w:r>
        <w:rPr>
          <w:spacing w:val="9"/>
        </w:rPr>
        <w:t xml:space="preserve"> </w:t>
      </w:r>
      <w:r>
        <w:t>especial</w:t>
      </w:r>
      <w:r>
        <w:rPr>
          <w:spacing w:val="10"/>
        </w:rPr>
        <w:t xml:space="preserve"> </w:t>
      </w:r>
      <w:r>
        <w:t>a</w:t>
      </w:r>
      <w:r>
        <w:rPr>
          <w:spacing w:val="10"/>
        </w:rPr>
        <w:t xml:space="preserve"> </w:t>
      </w:r>
      <w:r>
        <w:t>partir</w:t>
      </w:r>
      <w:r>
        <w:rPr>
          <w:spacing w:val="10"/>
        </w:rPr>
        <w:t xml:space="preserve"> </w:t>
      </w:r>
      <w:r>
        <w:t>de</w:t>
      </w:r>
      <w:r>
        <w:rPr>
          <w:spacing w:val="10"/>
        </w:rPr>
        <w:t xml:space="preserve"> </w:t>
      </w:r>
      <w:r>
        <w:t>acciones</w:t>
      </w:r>
      <w:r>
        <w:rPr>
          <w:spacing w:val="8"/>
        </w:rPr>
        <w:t xml:space="preserve"> </w:t>
      </w:r>
      <w:r>
        <w:t>como</w:t>
      </w:r>
      <w:r>
        <w:rPr>
          <w:spacing w:val="9"/>
        </w:rPr>
        <w:t xml:space="preserve"> </w:t>
      </w:r>
      <w:r>
        <w:t>secuestros,</w:t>
      </w:r>
      <w:r>
        <w:rPr>
          <w:spacing w:val="10"/>
        </w:rPr>
        <w:t xml:space="preserve"> </w:t>
      </w:r>
      <w:r>
        <w:rPr>
          <w:spacing w:val="-2"/>
        </w:rPr>
        <w:t>extorsiones,</w:t>
      </w:r>
      <w:bookmarkStart w:id="326" w:name="_bookmark242"/>
      <w:bookmarkStart w:id="327" w:name="_bookmark243"/>
      <w:bookmarkEnd w:id="326"/>
      <w:bookmarkEnd w:id="327"/>
      <w:r w:rsidR="007A5430">
        <w:t xml:space="preserve"> </w:t>
      </w:r>
      <w:proofErr w:type="spellStart"/>
      <w:r>
        <w:t>boleteos</w:t>
      </w:r>
      <w:proofErr w:type="spellEnd"/>
      <w:r>
        <w:t>. La manera como dicha guerrilla se insertó en determinados territorios, incidiendo en la población campesina, con procesos de colonización como el de Arauca, y convirtiéndose en una forma de autoridad local, es lo que le ha permitido tener un grado importante de control social, presencia en dichos territorios, influencia en los políticos y autoridades para la negociación de presupuestos o políticas, así como incidencia en las dinámicas y lógicas del conflicto armado.</w:t>
      </w:r>
    </w:p>
    <w:p w:rsidR="003804AC" w:rsidRDefault="00AF18A5" w:rsidP="007A5430">
      <w:r>
        <w:t>En la etapa de mayor intensificación y expansión territorial del conflicto armado, entre 1992</w:t>
      </w:r>
      <w:r>
        <w:rPr>
          <w:spacing w:val="-5"/>
        </w:rPr>
        <w:t xml:space="preserve"> </w:t>
      </w:r>
      <w:r>
        <w:t>y</w:t>
      </w:r>
      <w:r>
        <w:rPr>
          <w:spacing w:val="-5"/>
        </w:rPr>
        <w:t xml:space="preserve"> </w:t>
      </w:r>
      <w:r>
        <w:t>2002,</w:t>
      </w:r>
      <w:r>
        <w:rPr>
          <w:spacing w:val="-5"/>
        </w:rPr>
        <w:t xml:space="preserve"> </w:t>
      </w:r>
      <w:r>
        <w:t>se</w:t>
      </w:r>
      <w:r>
        <w:rPr>
          <w:spacing w:val="-5"/>
        </w:rPr>
        <w:t xml:space="preserve"> </w:t>
      </w:r>
      <w:r>
        <w:t>produjeron</w:t>
      </w:r>
      <w:r>
        <w:rPr>
          <w:spacing w:val="-5"/>
        </w:rPr>
        <w:t xml:space="preserve"> </w:t>
      </w:r>
      <w:r>
        <w:t>importantes</w:t>
      </w:r>
      <w:r>
        <w:rPr>
          <w:spacing w:val="-5"/>
        </w:rPr>
        <w:t xml:space="preserve"> </w:t>
      </w:r>
      <w:r>
        <w:t>cambios</w:t>
      </w:r>
      <w:r>
        <w:rPr>
          <w:spacing w:val="-6"/>
        </w:rPr>
        <w:t xml:space="preserve"> </w:t>
      </w:r>
      <w:r>
        <w:t>en</w:t>
      </w:r>
      <w:r>
        <w:rPr>
          <w:spacing w:val="-5"/>
        </w:rPr>
        <w:t xml:space="preserve"> </w:t>
      </w:r>
      <w:r>
        <w:t>los</w:t>
      </w:r>
      <w:r>
        <w:rPr>
          <w:spacing w:val="-5"/>
        </w:rPr>
        <w:t xml:space="preserve"> </w:t>
      </w:r>
      <w:r>
        <w:t>patrones</w:t>
      </w:r>
      <w:r>
        <w:rPr>
          <w:spacing w:val="-5"/>
        </w:rPr>
        <w:t xml:space="preserve"> </w:t>
      </w:r>
      <w:r>
        <w:t>espaciales</w:t>
      </w:r>
      <w:r>
        <w:rPr>
          <w:spacing w:val="-5"/>
        </w:rPr>
        <w:t xml:space="preserve"> </w:t>
      </w:r>
      <w:r>
        <w:t>de</w:t>
      </w:r>
      <w:r>
        <w:rPr>
          <w:spacing w:val="-5"/>
        </w:rPr>
        <w:t xml:space="preserve"> </w:t>
      </w:r>
      <w:r>
        <w:t>las</w:t>
      </w:r>
      <w:r>
        <w:rPr>
          <w:spacing w:val="-5"/>
        </w:rPr>
        <w:t xml:space="preserve"> </w:t>
      </w:r>
      <w:r>
        <w:t>dinámicas del</w:t>
      </w:r>
      <w:r>
        <w:rPr>
          <w:spacing w:val="-9"/>
        </w:rPr>
        <w:t xml:space="preserve"> </w:t>
      </w:r>
      <w:r>
        <w:t>conflicto.</w:t>
      </w:r>
      <w:r>
        <w:rPr>
          <w:spacing w:val="-10"/>
        </w:rPr>
        <w:t xml:space="preserve"> </w:t>
      </w:r>
      <w:r>
        <w:t>De</w:t>
      </w:r>
      <w:r>
        <w:rPr>
          <w:spacing w:val="-9"/>
        </w:rPr>
        <w:t xml:space="preserve"> </w:t>
      </w:r>
      <w:r>
        <w:t>un</w:t>
      </w:r>
      <w:r>
        <w:rPr>
          <w:spacing w:val="-10"/>
        </w:rPr>
        <w:t xml:space="preserve"> </w:t>
      </w:r>
      <w:r>
        <w:t>lado,</w:t>
      </w:r>
      <w:r>
        <w:rPr>
          <w:spacing w:val="-11"/>
        </w:rPr>
        <w:t xml:space="preserve"> </w:t>
      </w:r>
      <w:r>
        <w:t>las</w:t>
      </w:r>
      <w:r>
        <w:rPr>
          <w:spacing w:val="-9"/>
        </w:rPr>
        <w:t xml:space="preserve"> </w:t>
      </w:r>
      <w:r>
        <w:t>guerrillas</w:t>
      </w:r>
      <w:r>
        <w:rPr>
          <w:spacing w:val="-10"/>
        </w:rPr>
        <w:t xml:space="preserve"> </w:t>
      </w:r>
      <w:r>
        <w:t>se</w:t>
      </w:r>
      <w:r>
        <w:rPr>
          <w:spacing w:val="-10"/>
        </w:rPr>
        <w:t xml:space="preserve"> </w:t>
      </w:r>
      <w:r>
        <w:t>expandieron</w:t>
      </w:r>
      <w:r>
        <w:rPr>
          <w:spacing w:val="-10"/>
        </w:rPr>
        <w:t xml:space="preserve"> </w:t>
      </w:r>
      <w:r>
        <w:t>a</w:t>
      </w:r>
      <w:r>
        <w:rPr>
          <w:spacing w:val="-11"/>
        </w:rPr>
        <w:t xml:space="preserve"> </w:t>
      </w:r>
      <w:r>
        <w:t>zonas</w:t>
      </w:r>
      <w:r>
        <w:rPr>
          <w:spacing w:val="-11"/>
        </w:rPr>
        <w:t xml:space="preserve"> </w:t>
      </w:r>
      <w:r>
        <w:t>más</w:t>
      </w:r>
      <w:r>
        <w:rPr>
          <w:spacing w:val="-11"/>
        </w:rPr>
        <w:t xml:space="preserve"> </w:t>
      </w:r>
      <w:r>
        <w:t>articuladas</w:t>
      </w:r>
      <w:r>
        <w:rPr>
          <w:spacing w:val="-9"/>
        </w:rPr>
        <w:t xml:space="preserve"> </w:t>
      </w:r>
      <w:r>
        <w:t>a</w:t>
      </w:r>
      <w:r>
        <w:rPr>
          <w:spacing w:val="-11"/>
        </w:rPr>
        <w:t xml:space="preserve"> </w:t>
      </w:r>
      <w:r>
        <w:t>la</w:t>
      </w:r>
      <w:r>
        <w:rPr>
          <w:spacing w:val="-9"/>
        </w:rPr>
        <w:t xml:space="preserve"> </w:t>
      </w:r>
      <w:r>
        <w:t xml:space="preserve">economía nacional e incluso hicieron presencia en regiones centrales para el desarrollo económico; y, por otra parte, los grupos paramilitares lograron consolidarse en el norte del país y comenzaron a disputar el control del territorio, la población y las economías cocaleras que las guerrillas </w:t>
      </w:r>
      <w:r>
        <w:lastRenderedPageBreak/>
        <w:t>mantenían en sus retaguardias, en las zonas de colonización en la Orinoquía y la Amazonía, para el caso de las FARC-EP</w:t>
      </w:r>
      <w:r w:rsidR="00DD4F7C">
        <w:rPr>
          <w:rStyle w:val="Refdenotaalpie"/>
        </w:rPr>
        <w:footnoteReference w:id="207"/>
      </w:r>
      <w:r>
        <w:t>.</w:t>
      </w:r>
    </w:p>
    <w:p w:rsidR="003804AC" w:rsidRDefault="00AF18A5" w:rsidP="00E91EA8">
      <w:r>
        <w:t>A partir de 1997, los grupos paramilitares, con la aquiescencia de las Fuerzas Militares, arreciaron</w:t>
      </w:r>
      <w:r>
        <w:rPr>
          <w:spacing w:val="-10"/>
        </w:rPr>
        <w:t xml:space="preserve"> </w:t>
      </w:r>
      <w:r>
        <w:t>su</w:t>
      </w:r>
      <w:r>
        <w:rPr>
          <w:spacing w:val="-10"/>
        </w:rPr>
        <w:t xml:space="preserve"> </w:t>
      </w:r>
      <w:r>
        <w:t>ofensiva</w:t>
      </w:r>
      <w:r>
        <w:rPr>
          <w:spacing w:val="-10"/>
        </w:rPr>
        <w:t xml:space="preserve"> </w:t>
      </w:r>
      <w:r>
        <w:t>en</w:t>
      </w:r>
      <w:r>
        <w:rPr>
          <w:spacing w:val="-10"/>
        </w:rPr>
        <w:t xml:space="preserve"> </w:t>
      </w:r>
      <w:r>
        <w:t>el</w:t>
      </w:r>
      <w:r>
        <w:rPr>
          <w:spacing w:val="-10"/>
        </w:rPr>
        <w:t xml:space="preserve"> </w:t>
      </w:r>
      <w:r>
        <w:t>norte</w:t>
      </w:r>
      <w:r>
        <w:rPr>
          <w:spacing w:val="-10"/>
        </w:rPr>
        <w:t xml:space="preserve"> </w:t>
      </w:r>
      <w:r>
        <w:t>del</w:t>
      </w:r>
      <w:r>
        <w:rPr>
          <w:spacing w:val="-10"/>
        </w:rPr>
        <w:t xml:space="preserve"> </w:t>
      </w:r>
      <w:r>
        <w:t>país</w:t>
      </w:r>
      <w:r>
        <w:rPr>
          <w:spacing w:val="-11"/>
        </w:rPr>
        <w:t xml:space="preserve"> </w:t>
      </w:r>
      <w:r>
        <w:t>para</w:t>
      </w:r>
      <w:r>
        <w:rPr>
          <w:spacing w:val="-10"/>
        </w:rPr>
        <w:t xml:space="preserve"> </w:t>
      </w:r>
      <w:r>
        <w:t>disputar</w:t>
      </w:r>
      <w:r>
        <w:rPr>
          <w:spacing w:val="-10"/>
        </w:rPr>
        <w:t xml:space="preserve"> </w:t>
      </w:r>
      <w:r>
        <w:t>el</w:t>
      </w:r>
      <w:r>
        <w:rPr>
          <w:spacing w:val="-10"/>
        </w:rPr>
        <w:t xml:space="preserve"> </w:t>
      </w:r>
      <w:r>
        <w:t>control</w:t>
      </w:r>
      <w:r>
        <w:rPr>
          <w:spacing w:val="-10"/>
        </w:rPr>
        <w:t xml:space="preserve"> </w:t>
      </w:r>
      <w:r>
        <w:t>del</w:t>
      </w:r>
      <w:r>
        <w:rPr>
          <w:spacing w:val="-10"/>
        </w:rPr>
        <w:t xml:space="preserve"> </w:t>
      </w:r>
      <w:r>
        <w:t>territorio</w:t>
      </w:r>
      <w:r>
        <w:rPr>
          <w:spacing w:val="-10"/>
        </w:rPr>
        <w:t xml:space="preserve"> </w:t>
      </w:r>
      <w:r>
        <w:t>y</w:t>
      </w:r>
      <w:r>
        <w:rPr>
          <w:spacing w:val="-11"/>
        </w:rPr>
        <w:t xml:space="preserve"> </w:t>
      </w:r>
      <w:r>
        <w:t>la</w:t>
      </w:r>
      <w:r>
        <w:rPr>
          <w:spacing w:val="-10"/>
        </w:rPr>
        <w:t xml:space="preserve"> </w:t>
      </w:r>
      <w:r>
        <w:t>población a las guerrillas de las FARC-EP y el ELN en las siguientes regiones del Caribe: los Montes de</w:t>
      </w:r>
      <w:r>
        <w:rPr>
          <w:spacing w:val="-15"/>
        </w:rPr>
        <w:t xml:space="preserve"> </w:t>
      </w:r>
      <w:r>
        <w:t>María</w:t>
      </w:r>
      <w:r>
        <w:rPr>
          <w:spacing w:val="-15"/>
        </w:rPr>
        <w:t xml:space="preserve"> </w:t>
      </w:r>
      <w:r>
        <w:t>y</w:t>
      </w:r>
      <w:r>
        <w:rPr>
          <w:spacing w:val="-15"/>
        </w:rPr>
        <w:t xml:space="preserve"> </w:t>
      </w:r>
      <w:r>
        <w:t>las</w:t>
      </w:r>
      <w:r>
        <w:rPr>
          <w:spacing w:val="-15"/>
        </w:rPr>
        <w:t xml:space="preserve"> </w:t>
      </w:r>
      <w:r>
        <w:t>sabanas</w:t>
      </w:r>
      <w:r>
        <w:rPr>
          <w:spacing w:val="-15"/>
        </w:rPr>
        <w:t xml:space="preserve"> </w:t>
      </w:r>
      <w:r>
        <w:t>de</w:t>
      </w:r>
      <w:r>
        <w:rPr>
          <w:spacing w:val="-15"/>
        </w:rPr>
        <w:t xml:space="preserve"> </w:t>
      </w:r>
      <w:r>
        <w:t>Córdoba</w:t>
      </w:r>
      <w:r>
        <w:rPr>
          <w:spacing w:val="-15"/>
        </w:rPr>
        <w:t xml:space="preserve"> </w:t>
      </w:r>
      <w:r>
        <w:t>y</w:t>
      </w:r>
      <w:r>
        <w:rPr>
          <w:spacing w:val="-15"/>
        </w:rPr>
        <w:t xml:space="preserve"> </w:t>
      </w:r>
      <w:r>
        <w:t>Sucre,</w:t>
      </w:r>
      <w:r>
        <w:rPr>
          <w:spacing w:val="-15"/>
        </w:rPr>
        <w:t xml:space="preserve"> </w:t>
      </w:r>
      <w:r>
        <w:t>la</w:t>
      </w:r>
      <w:r>
        <w:rPr>
          <w:spacing w:val="-15"/>
        </w:rPr>
        <w:t xml:space="preserve"> </w:t>
      </w:r>
      <w:r>
        <w:t>zona</w:t>
      </w:r>
      <w:r>
        <w:rPr>
          <w:spacing w:val="-15"/>
        </w:rPr>
        <w:t xml:space="preserve"> </w:t>
      </w:r>
      <w:r>
        <w:t>bananera</w:t>
      </w:r>
      <w:r>
        <w:rPr>
          <w:spacing w:val="-15"/>
        </w:rPr>
        <w:t xml:space="preserve"> </w:t>
      </w:r>
      <w:r>
        <w:t>del</w:t>
      </w:r>
      <w:r>
        <w:rPr>
          <w:spacing w:val="-15"/>
        </w:rPr>
        <w:t xml:space="preserve"> </w:t>
      </w:r>
      <w:r>
        <w:t>Magdalena,</w:t>
      </w:r>
      <w:r>
        <w:rPr>
          <w:spacing w:val="-15"/>
        </w:rPr>
        <w:t xml:space="preserve"> </w:t>
      </w:r>
      <w:r>
        <w:t>la</w:t>
      </w:r>
      <w:r>
        <w:rPr>
          <w:spacing w:val="-15"/>
        </w:rPr>
        <w:t xml:space="preserve"> </w:t>
      </w:r>
      <w:r>
        <w:t>Sierra</w:t>
      </w:r>
      <w:r>
        <w:rPr>
          <w:spacing w:val="-15"/>
        </w:rPr>
        <w:t xml:space="preserve"> </w:t>
      </w:r>
      <w:r>
        <w:t>Nevada de Santa Marta, el sur de La Guajira y la serranía del Perijá. Mientras, la situación en el sur del país fue muy diferente: las FARC-EP se extendieron y consolidaron su retaguardia estratégica en la Orinoquía y la Amazonía,</w:t>
      </w:r>
      <w:r>
        <w:rPr>
          <w:spacing w:val="-3"/>
        </w:rPr>
        <w:t xml:space="preserve"> </w:t>
      </w:r>
      <w:r>
        <w:t>teniendo como centro de ese despliegue la posterior zona de distensión en la que se desarrollarían los diálogos del Caguán con el presidente Andrés Pastrana (1998-2002). Todo ello no solo marcó las dinámicas de grupos armados, sino que tuvo un profundo impacto en la población civil.</w:t>
      </w:r>
    </w:p>
    <w:p w:rsidR="003804AC" w:rsidRDefault="00AF18A5" w:rsidP="00DD4F7C">
      <w:r>
        <w:t>Esa situación implicó la consolidación de corredores estratégicos en función de las dinámicas</w:t>
      </w:r>
      <w:r>
        <w:rPr>
          <w:spacing w:val="67"/>
        </w:rPr>
        <w:t xml:space="preserve"> </w:t>
      </w:r>
      <w:r>
        <w:t>militares</w:t>
      </w:r>
      <w:r>
        <w:rPr>
          <w:spacing w:val="71"/>
        </w:rPr>
        <w:t xml:space="preserve"> </w:t>
      </w:r>
      <w:r>
        <w:t>que</w:t>
      </w:r>
      <w:r>
        <w:rPr>
          <w:spacing w:val="71"/>
        </w:rPr>
        <w:t xml:space="preserve"> </w:t>
      </w:r>
      <w:r>
        <w:t>comprometieron</w:t>
      </w:r>
      <w:r>
        <w:rPr>
          <w:spacing w:val="70"/>
        </w:rPr>
        <w:t xml:space="preserve"> </w:t>
      </w:r>
      <w:r>
        <w:t>buena</w:t>
      </w:r>
      <w:r>
        <w:rPr>
          <w:spacing w:val="71"/>
        </w:rPr>
        <w:t xml:space="preserve"> </w:t>
      </w:r>
      <w:r>
        <w:t>parte</w:t>
      </w:r>
      <w:r>
        <w:rPr>
          <w:spacing w:val="71"/>
        </w:rPr>
        <w:t xml:space="preserve"> </w:t>
      </w:r>
      <w:r>
        <w:t>de</w:t>
      </w:r>
      <w:r>
        <w:rPr>
          <w:spacing w:val="70"/>
        </w:rPr>
        <w:t xml:space="preserve"> </w:t>
      </w:r>
      <w:r>
        <w:t>la</w:t>
      </w:r>
      <w:r>
        <w:rPr>
          <w:spacing w:val="70"/>
        </w:rPr>
        <w:t xml:space="preserve"> </w:t>
      </w:r>
      <w:r>
        <w:t>geografía</w:t>
      </w:r>
      <w:r>
        <w:rPr>
          <w:spacing w:val="71"/>
        </w:rPr>
        <w:t xml:space="preserve"> </w:t>
      </w:r>
      <w:r>
        <w:t>nacional</w:t>
      </w:r>
      <w:r>
        <w:rPr>
          <w:spacing w:val="70"/>
        </w:rPr>
        <w:t xml:space="preserve"> </w:t>
      </w:r>
      <w:r>
        <w:t>y</w:t>
      </w:r>
      <w:r>
        <w:rPr>
          <w:spacing w:val="71"/>
        </w:rPr>
        <w:t xml:space="preserve"> </w:t>
      </w:r>
      <w:r>
        <w:rPr>
          <w:spacing w:val="-5"/>
        </w:rPr>
        <w:t>que</w:t>
      </w:r>
      <w:bookmarkStart w:id="328" w:name="_bookmark244"/>
      <w:bookmarkEnd w:id="328"/>
      <w:r w:rsidR="00DD4F7C">
        <w:rPr>
          <w:spacing w:val="-5"/>
        </w:rPr>
        <w:t xml:space="preserve"> </w:t>
      </w:r>
      <w:r>
        <w:t>compartían</w:t>
      </w:r>
      <w:r>
        <w:rPr>
          <w:spacing w:val="-9"/>
        </w:rPr>
        <w:t xml:space="preserve"> </w:t>
      </w:r>
      <w:r>
        <w:t>las</w:t>
      </w:r>
      <w:r>
        <w:rPr>
          <w:spacing w:val="-8"/>
        </w:rPr>
        <w:t xml:space="preserve"> </w:t>
      </w:r>
      <w:r>
        <w:t>siguientes</w:t>
      </w:r>
      <w:r>
        <w:rPr>
          <w:spacing w:val="-9"/>
        </w:rPr>
        <w:t xml:space="preserve"> </w:t>
      </w:r>
      <w:r>
        <w:t>características:</w:t>
      </w:r>
      <w:r>
        <w:rPr>
          <w:spacing w:val="-9"/>
        </w:rPr>
        <w:t xml:space="preserve"> </w:t>
      </w:r>
      <w:r>
        <w:t>eran</w:t>
      </w:r>
      <w:r>
        <w:rPr>
          <w:spacing w:val="-9"/>
        </w:rPr>
        <w:t xml:space="preserve"> </w:t>
      </w:r>
      <w:r>
        <w:t>centrales</w:t>
      </w:r>
      <w:r>
        <w:rPr>
          <w:spacing w:val="-9"/>
        </w:rPr>
        <w:t xml:space="preserve"> </w:t>
      </w:r>
      <w:r>
        <w:t>para</w:t>
      </w:r>
      <w:r>
        <w:rPr>
          <w:spacing w:val="-9"/>
        </w:rPr>
        <w:t xml:space="preserve"> </w:t>
      </w:r>
      <w:r>
        <w:t>la</w:t>
      </w:r>
      <w:r>
        <w:rPr>
          <w:spacing w:val="-9"/>
        </w:rPr>
        <w:t xml:space="preserve"> </w:t>
      </w:r>
      <w:r>
        <w:t>movilidad</w:t>
      </w:r>
      <w:r>
        <w:rPr>
          <w:spacing w:val="-8"/>
        </w:rPr>
        <w:t xml:space="preserve"> </w:t>
      </w:r>
      <w:r>
        <w:t>propia</w:t>
      </w:r>
      <w:r>
        <w:rPr>
          <w:spacing w:val="-8"/>
        </w:rPr>
        <w:t xml:space="preserve"> </w:t>
      </w:r>
      <w:r>
        <w:t>de</w:t>
      </w:r>
      <w:r>
        <w:rPr>
          <w:spacing w:val="-9"/>
        </w:rPr>
        <w:t xml:space="preserve"> </w:t>
      </w:r>
      <w:r>
        <w:t>la</w:t>
      </w:r>
      <w:r>
        <w:rPr>
          <w:spacing w:val="-8"/>
        </w:rPr>
        <w:t xml:space="preserve"> </w:t>
      </w:r>
      <w:r>
        <w:t>guerra insurgente y contrainsurgente, así como para los objetivos estratégicos, tácticos y operacionales</w:t>
      </w:r>
      <w:r>
        <w:rPr>
          <w:spacing w:val="-14"/>
        </w:rPr>
        <w:t xml:space="preserve"> </w:t>
      </w:r>
      <w:r>
        <w:t>de</w:t>
      </w:r>
      <w:r>
        <w:rPr>
          <w:spacing w:val="-15"/>
        </w:rPr>
        <w:t xml:space="preserve"> </w:t>
      </w:r>
      <w:r>
        <w:t>las</w:t>
      </w:r>
      <w:r>
        <w:rPr>
          <w:spacing w:val="-14"/>
        </w:rPr>
        <w:t xml:space="preserve"> </w:t>
      </w:r>
      <w:r>
        <w:t>Fuerzas</w:t>
      </w:r>
      <w:r>
        <w:rPr>
          <w:spacing w:val="-14"/>
        </w:rPr>
        <w:t xml:space="preserve"> </w:t>
      </w:r>
      <w:r>
        <w:t>Militares</w:t>
      </w:r>
      <w:r>
        <w:rPr>
          <w:spacing w:val="-15"/>
        </w:rPr>
        <w:t xml:space="preserve"> </w:t>
      </w:r>
      <w:r>
        <w:t>y</w:t>
      </w:r>
      <w:r>
        <w:rPr>
          <w:spacing w:val="-14"/>
        </w:rPr>
        <w:t xml:space="preserve"> </w:t>
      </w:r>
      <w:r>
        <w:t>los</w:t>
      </w:r>
      <w:r>
        <w:rPr>
          <w:spacing w:val="-15"/>
        </w:rPr>
        <w:t xml:space="preserve"> </w:t>
      </w:r>
      <w:r>
        <w:t>grupos</w:t>
      </w:r>
      <w:r>
        <w:rPr>
          <w:spacing w:val="-15"/>
        </w:rPr>
        <w:t xml:space="preserve"> </w:t>
      </w:r>
      <w:r>
        <w:t>armados.</w:t>
      </w:r>
      <w:r>
        <w:rPr>
          <w:spacing w:val="-14"/>
        </w:rPr>
        <w:t xml:space="preserve"> </w:t>
      </w:r>
      <w:r>
        <w:t>Eran</w:t>
      </w:r>
      <w:r>
        <w:rPr>
          <w:spacing w:val="-14"/>
        </w:rPr>
        <w:t xml:space="preserve"> </w:t>
      </w:r>
      <w:r>
        <w:t>vitales</w:t>
      </w:r>
      <w:r>
        <w:rPr>
          <w:spacing w:val="-14"/>
        </w:rPr>
        <w:t xml:space="preserve"> </w:t>
      </w:r>
      <w:r>
        <w:t>para</w:t>
      </w:r>
      <w:r>
        <w:rPr>
          <w:spacing w:val="-14"/>
        </w:rPr>
        <w:t xml:space="preserve"> </w:t>
      </w:r>
      <w:r>
        <w:t>la</w:t>
      </w:r>
      <w:r>
        <w:rPr>
          <w:spacing w:val="-14"/>
        </w:rPr>
        <w:t xml:space="preserve"> </w:t>
      </w:r>
      <w:r>
        <w:t>consecución de los recursos necesarios para el desarrollo de la guerra, lo que implicaba el control de las economías ilegales, especialmente el narcotráfico y la minería ilegal. Y lo más importante, ante el hecho de que el Estado no había logrado ganar la legitimidad y confianza de sus pobladores</w:t>
      </w:r>
      <w:r>
        <w:rPr>
          <w:spacing w:val="-15"/>
        </w:rPr>
        <w:t xml:space="preserve"> </w:t>
      </w:r>
      <w:r>
        <w:t>frente</w:t>
      </w:r>
      <w:r>
        <w:rPr>
          <w:spacing w:val="-15"/>
        </w:rPr>
        <w:t xml:space="preserve"> </w:t>
      </w:r>
      <w:r>
        <w:t>a</w:t>
      </w:r>
      <w:r>
        <w:rPr>
          <w:spacing w:val="-15"/>
        </w:rPr>
        <w:t xml:space="preserve"> </w:t>
      </w:r>
      <w:r>
        <w:t>las</w:t>
      </w:r>
      <w:r>
        <w:rPr>
          <w:spacing w:val="-15"/>
        </w:rPr>
        <w:t xml:space="preserve"> </w:t>
      </w:r>
      <w:r>
        <w:t>conflictividades</w:t>
      </w:r>
      <w:r>
        <w:rPr>
          <w:spacing w:val="-15"/>
        </w:rPr>
        <w:t xml:space="preserve"> </w:t>
      </w:r>
      <w:r>
        <w:lastRenderedPageBreak/>
        <w:t>sociales,</w:t>
      </w:r>
      <w:r>
        <w:rPr>
          <w:spacing w:val="-15"/>
        </w:rPr>
        <w:t xml:space="preserve"> </w:t>
      </w:r>
      <w:r>
        <w:t>políticas,</w:t>
      </w:r>
      <w:r>
        <w:rPr>
          <w:spacing w:val="-15"/>
        </w:rPr>
        <w:t xml:space="preserve"> </w:t>
      </w:r>
      <w:r>
        <w:t>económicas</w:t>
      </w:r>
      <w:r>
        <w:rPr>
          <w:spacing w:val="-14"/>
        </w:rPr>
        <w:t xml:space="preserve"> </w:t>
      </w:r>
      <w:r>
        <w:t>e</w:t>
      </w:r>
      <w:r>
        <w:rPr>
          <w:spacing w:val="-15"/>
        </w:rPr>
        <w:t xml:space="preserve"> </w:t>
      </w:r>
      <w:r>
        <w:t>incluso</w:t>
      </w:r>
      <w:r>
        <w:rPr>
          <w:spacing w:val="-14"/>
        </w:rPr>
        <w:t xml:space="preserve"> </w:t>
      </w:r>
      <w:r>
        <w:t>ambientales, allí la regulación armada y el control violento fueron asumidos por los grupos armados.</w:t>
      </w:r>
    </w:p>
    <w:p w:rsidR="003804AC" w:rsidRDefault="00AF18A5" w:rsidP="00DD4F7C">
      <w:r>
        <w:t xml:space="preserve">Por otra parte, en esa época las FARC-EP llevaron a cabo grandes operativos militares contra bases del Ejército o la Policía, como el ataque a </w:t>
      </w:r>
      <w:proofErr w:type="spellStart"/>
      <w:r>
        <w:t>Patascoy</w:t>
      </w:r>
      <w:proofErr w:type="spellEnd"/>
      <w:r>
        <w:t xml:space="preserve"> (Nariño), Las Delicias (Putumayo),</w:t>
      </w:r>
      <w:r>
        <w:rPr>
          <w:spacing w:val="-2"/>
        </w:rPr>
        <w:t xml:space="preserve"> </w:t>
      </w:r>
      <w:r>
        <w:t>la</w:t>
      </w:r>
      <w:r>
        <w:rPr>
          <w:spacing w:val="-1"/>
        </w:rPr>
        <w:t xml:space="preserve"> </w:t>
      </w:r>
      <w:r>
        <w:t>base</w:t>
      </w:r>
      <w:r>
        <w:rPr>
          <w:spacing w:val="-1"/>
        </w:rPr>
        <w:t xml:space="preserve"> </w:t>
      </w:r>
      <w:r>
        <w:t>antinarcóticos</w:t>
      </w:r>
      <w:r>
        <w:rPr>
          <w:spacing w:val="-1"/>
        </w:rPr>
        <w:t xml:space="preserve"> </w:t>
      </w:r>
      <w:r>
        <w:t>de</w:t>
      </w:r>
      <w:r>
        <w:rPr>
          <w:spacing w:val="-1"/>
        </w:rPr>
        <w:t xml:space="preserve"> </w:t>
      </w:r>
      <w:r>
        <w:t>la</w:t>
      </w:r>
      <w:r>
        <w:rPr>
          <w:spacing w:val="-1"/>
        </w:rPr>
        <w:t xml:space="preserve"> </w:t>
      </w:r>
      <w:r>
        <w:t>Policía</w:t>
      </w:r>
      <w:r>
        <w:rPr>
          <w:spacing w:val="-2"/>
        </w:rPr>
        <w:t xml:space="preserve"> </w:t>
      </w:r>
      <w:r>
        <w:t>en</w:t>
      </w:r>
      <w:r>
        <w:rPr>
          <w:spacing w:val="-1"/>
        </w:rPr>
        <w:t xml:space="preserve"> </w:t>
      </w:r>
      <w:r>
        <w:t>Miraflores</w:t>
      </w:r>
      <w:r>
        <w:rPr>
          <w:spacing w:val="-1"/>
        </w:rPr>
        <w:t xml:space="preserve"> </w:t>
      </w:r>
      <w:r>
        <w:t>(Guaviare)</w:t>
      </w:r>
      <w:r>
        <w:rPr>
          <w:spacing w:val="-2"/>
        </w:rPr>
        <w:t xml:space="preserve"> </w:t>
      </w:r>
      <w:r>
        <w:t>o</w:t>
      </w:r>
      <w:r>
        <w:rPr>
          <w:spacing w:val="-1"/>
        </w:rPr>
        <w:t xml:space="preserve"> </w:t>
      </w:r>
      <w:r>
        <w:t>el</w:t>
      </w:r>
      <w:r>
        <w:rPr>
          <w:spacing w:val="-1"/>
        </w:rPr>
        <w:t xml:space="preserve"> </w:t>
      </w:r>
      <w:r>
        <w:t>ataque</w:t>
      </w:r>
      <w:r>
        <w:rPr>
          <w:spacing w:val="-2"/>
        </w:rPr>
        <w:t xml:space="preserve"> </w:t>
      </w:r>
      <w:r>
        <w:t>a</w:t>
      </w:r>
      <w:r>
        <w:rPr>
          <w:spacing w:val="-1"/>
        </w:rPr>
        <w:t xml:space="preserve"> </w:t>
      </w:r>
      <w:r>
        <w:t>Mitú (Vaupés), entre otros. Un cambio de la guerra de guerrillas a una movilización de fuertes contingentes de guerrilleros y enfrentamientos bélicos con cientos de efectivos. La intensificación del conflicto y su expansión territorial tuvieron fuertes consecuencias sobre el desarrollo económico nacional y de algunas regiones. Los empresarios ponen esto en evidencia</w:t>
      </w:r>
      <w:r>
        <w:rPr>
          <w:spacing w:val="-3"/>
        </w:rPr>
        <w:t xml:space="preserve"> </w:t>
      </w:r>
      <w:r>
        <w:t>en</w:t>
      </w:r>
      <w:r>
        <w:rPr>
          <w:spacing w:val="-5"/>
        </w:rPr>
        <w:t xml:space="preserve"> </w:t>
      </w:r>
      <w:r>
        <w:t>su</w:t>
      </w:r>
      <w:r>
        <w:rPr>
          <w:spacing w:val="-4"/>
        </w:rPr>
        <w:t xml:space="preserve"> </w:t>
      </w:r>
      <w:r>
        <w:t>informe</w:t>
      </w:r>
      <w:r>
        <w:rPr>
          <w:spacing w:val="-5"/>
        </w:rPr>
        <w:t xml:space="preserve"> </w:t>
      </w:r>
      <w:r>
        <w:t>«Empresa</w:t>
      </w:r>
      <w:r>
        <w:rPr>
          <w:spacing w:val="-3"/>
        </w:rPr>
        <w:t xml:space="preserve"> </w:t>
      </w:r>
      <w:r>
        <w:t>y</w:t>
      </w:r>
      <w:r>
        <w:rPr>
          <w:spacing w:val="-6"/>
        </w:rPr>
        <w:t xml:space="preserve"> </w:t>
      </w:r>
      <w:r>
        <w:t>conflicto</w:t>
      </w:r>
      <w:r>
        <w:rPr>
          <w:spacing w:val="-5"/>
        </w:rPr>
        <w:t xml:space="preserve"> </w:t>
      </w:r>
      <w:r>
        <w:t>armado</w:t>
      </w:r>
      <w:r>
        <w:rPr>
          <w:spacing w:val="-4"/>
        </w:rPr>
        <w:t xml:space="preserve"> </w:t>
      </w:r>
      <w:r>
        <w:t>en</w:t>
      </w:r>
      <w:r>
        <w:rPr>
          <w:spacing w:val="-4"/>
        </w:rPr>
        <w:t xml:space="preserve"> </w:t>
      </w:r>
      <w:r>
        <w:t>Colombia»,</w:t>
      </w:r>
      <w:r>
        <w:rPr>
          <w:spacing w:val="-4"/>
        </w:rPr>
        <w:t xml:space="preserve"> </w:t>
      </w:r>
      <w:r>
        <w:t>en</w:t>
      </w:r>
      <w:r>
        <w:rPr>
          <w:spacing w:val="-6"/>
        </w:rPr>
        <w:t xml:space="preserve"> </w:t>
      </w:r>
      <w:r>
        <w:t>el</w:t>
      </w:r>
      <w:r>
        <w:rPr>
          <w:spacing w:val="-3"/>
        </w:rPr>
        <w:t xml:space="preserve"> </w:t>
      </w:r>
      <w:r>
        <w:t>que</w:t>
      </w:r>
      <w:r>
        <w:rPr>
          <w:spacing w:val="-3"/>
        </w:rPr>
        <w:t xml:space="preserve"> </w:t>
      </w:r>
      <w:r>
        <w:t>afirman:</w:t>
      </w:r>
      <w:r>
        <w:rPr>
          <w:spacing w:val="-3"/>
        </w:rPr>
        <w:t xml:space="preserve"> </w:t>
      </w:r>
      <w:r>
        <w:t>«El conflicto armado generó daños graves a la infraestructura y a la actividad económica en algunas regiones y tuvo un efecto destructivo sobre la economía contrarrestado, quizás, por la preservación del orden democrático, la gestión macroeconómica y la adaptación empresarial»</w:t>
      </w:r>
      <w:r w:rsidR="00DD4F7C">
        <w:rPr>
          <w:rStyle w:val="Refdenotaalpie"/>
        </w:rPr>
        <w:footnoteReference w:id="208"/>
      </w:r>
      <w:r>
        <w:t xml:space="preserve"> </w:t>
      </w:r>
    </w:p>
    <w:p w:rsidR="003804AC" w:rsidRDefault="00AF18A5" w:rsidP="00DD4F7C">
      <w:r>
        <w:t>El informe pone el acento en el impacto generado específicamente por parte de las guerrillas, a quienes destaca como protagonistas de la afectación a las empresas</w:t>
      </w:r>
      <w:r w:rsidR="00DD4F7C">
        <w:rPr>
          <w:rStyle w:val="Refdenotaalpie"/>
        </w:rPr>
        <w:footnoteReference w:id="209"/>
      </w:r>
      <w:r>
        <w:t>. Los impactos no fueron homogéneos, hubo sectores y regiones afectados de forma más acentuada, con efectos diferenciados, donde se destacan zonas en las que el Estado no garantizaba la protección:</w:t>
      </w:r>
    </w:p>
    <w:p w:rsidR="003804AC" w:rsidRDefault="00AF18A5" w:rsidP="00DD4F7C">
      <w:r>
        <w:t>[L]os</w:t>
      </w:r>
      <w:r>
        <w:rPr>
          <w:spacing w:val="-7"/>
        </w:rPr>
        <w:t xml:space="preserve"> </w:t>
      </w:r>
      <w:r>
        <w:t>sectores</w:t>
      </w:r>
      <w:r>
        <w:rPr>
          <w:spacing w:val="-7"/>
        </w:rPr>
        <w:t xml:space="preserve"> </w:t>
      </w:r>
      <w:r>
        <w:t>que</w:t>
      </w:r>
      <w:r>
        <w:rPr>
          <w:spacing w:val="-7"/>
        </w:rPr>
        <w:t xml:space="preserve"> </w:t>
      </w:r>
      <w:r>
        <w:t>se</w:t>
      </w:r>
      <w:r>
        <w:rPr>
          <w:spacing w:val="-7"/>
        </w:rPr>
        <w:t xml:space="preserve"> </w:t>
      </w:r>
      <w:r>
        <w:t>consideraron</w:t>
      </w:r>
      <w:r>
        <w:rPr>
          <w:spacing w:val="-6"/>
        </w:rPr>
        <w:t xml:space="preserve"> </w:t>
      </w:r>
      <w:r>
        <w:t>más</w:t>
      </w:r>
      <w:r>
        <w:rPr>
          <w:spacing w:val="-7"/>
        </w:rPr>
        <w:t xml:space="preserve"> </w:t>
      </w:r>
      <w:r>
        <w:t>afectados</w:t>
      </w:r>
      <w:r>
        <w:rPr>
          <w:spacing w:val="-7"/>
        </w:rPr>
        <w:t xml:space="preserve"> </w:t>
      </w:r>
      <w:r>
        <w:t>fueron</w:t>
      </w:r>
      <w:r>
        <w:rPr>
          <w:spacing w:val="-6"/>
        </w:rPr>
        <w:t xml:space="preserve"> </w:t>
      </w:r>
      <w:r>
        <w:t>el</w:t>
      </w:r>
      <w:r>
        <w:rPr>
          <w:spacing w:val="-7"/>
        </w:rPr>
        <w:t xml:space="preserve"> </w:t>
      </w:r>
      <w:r>
        <w:t>agropecuario,</w:t>
      </w:r>
      <w:r>
        <w:rPr>
          <w:spacing w:val="-6"/>
        </w:rPr>
        <w:t xml:space="preserve"> </w:t>
      </w:r>
      <w:r>
        <w:t>el</w:t>
      </w:r>
      <w:r>
        <w:rPr>
          <w:spacing w:val="-7"/>
        </w:rPr>
        <w:t xml:space="preserve"> </w:t>
      </w:r>
      <w:r>
        <w:t>minero-energético,</w:t>
      </w:r>
      <w:r>
        <w:rPr>
          <w:spacing w:val="-7"/>
        </w:rPr>
        <w:t xml:space="preserve"> </w:t>
      </w:r>
      <w:r>
        <w:t>el turismo</w:t>
      </w:r>
      <w:r>
        <w:rPr>
          <w:spacing w:val="-14"/>
        </w:rPr>
        <w:t xml:space="preserve"> </w:t>
      </w:r>
      <w:r>
        <w:t>y</w:t>
      </w:r>
      <w:r>
        <w:rPr>
          <w:spacing w:val="-14"/>
        </w:rPr>
        <w:t xml:space="preserve"> </w:t>
      </w:r>
      <w:r>
        <w:t>el</w:t>
      </w:r>
      <w:r>
        <w:rPr>
          <w:spacing w:val="-14"/>
        </w:rPr>
        <w:t xml:space="preserve"> </w:t>
      </w:r>
      <w:r>
        <w:t>transporte,</w:t>
      </w:r>
      <w:r>
        <w:rPr>
          <w:spacing w:val="-13"/>
        </w:rPr>
        <w:t xml:space="preserve"> </w:t>
      </w:r>
      <w:r>
        <w:t>y</w:t>
      </w:r>
      <w:r>
        <w:rPr>
          <w:spacing w:val="-14"/>
        </w:rPr>
        <w:t xml:space="preserve"> </w:t>
      </w:r>
      <w:r>
        <w:t>las</w:t>
      </w:r>
      <w:r>
        <w:rPr>
          <w:spacing w:val="-14"/>
        </w:rPr>
        <w:t xml:space="preserve"> </w:t>
      </w:r>
      <w:r>
        <w:t>principales</w:t>
      </w:r>
      <w:r>
        <w:rPr>
          <w:spacing w:val="-14"/>
        </w:rPr>
        <w:t xml:space="preserve"> </w:t>
      </w:r>
      <w:r>
        <w:t>variables</w:t>
      </w:r>
      <w:r>
        <w:rPr>
          <w:spacing w:val="-14"/>
        </w:rPr>
        <w:t xml:space="preserve"> </w:t>
      </w:r>
      <w:r>
        <w:t>explicativas</w:t>
      </w:r>
      <w:r>
        <w:rPr>
          <w:spacing w:val="-14"/>
        </w:rPr>
        <w:t xml:space="preserve"> </w:t>
      </w:r>
      <w:r>
        <w:t>que</w:t>
      </w:r>
      <w:r>
        <w:rPr>
          <w:spacing w:val="-14"/>
        </w:rPr>
        <w:t xml:space="preserve"> </w:t>
      </w:r>
      <w:r>
        <w:t>se</w:t>
      </w:r>
      <w:r>
        <w:rPr>
          <w:spacing w:val="-14"/>
        </w:rPr>
        <w:t xml:space="preserve"> </w:t>
      </w:r>
      <w:r>
        <w:t>señalaron</w:t>
      </w:r>
      <w:r>
        <w:rPr>
          <w:spacing w:val="-14"/>
        </w:rPr>
        <w:t xml:space="preserve"> </w:t>
      </w:r>
      <w:r>
        <w:t>fueron</w:t>
      </w:r>
      <w:r>
        <w:rPr>
          <w:spacing w:val="-14"/>
        </w:rPr>
        <w:t xml:space="preserve"> </w:t>
      </w:r>
      <w:r>
        <w:t>la</w:t>
      </w:r>
      <w:r>
        <w:rPr>
          <w:spacing w:val="-14"/>
        </w:rPr>
        <w:t xml:space="preserve"> </w:t>
      </w:r>
      <w:r>
        <w:t>ubicación</w:t>
      </w:r>
      <w:bookmarkStart w:id="329" w:name="_bookmark245"/>
      <w:bookmarkStart w:id="330" w:name="_bookmark246"/>
      <w:bookmarkEnd w:id="329"/>
      <w:bookmarkEnd w:id="330"/>
      <w:r w:rsidR="00DD4F7C">
        <w:t xml:space="preserve"> </w:t>
      </w:r>
      <w:r>
        <w:lastRenderedPageBreak/>
        <w:t>geográfica de las empresas, la importancia estratégica de estas para los actores del conflicto y la baja capacidad del Estado. En otras palabras, la ubicación en regiones distantes donde el Estado no era capaz de ofrecer protección era un factor muy importante de vulnerabilidad. Los sectores más</w:t>
      </w:r>
      <w:r>
        <w:rPr>
          <w:spacing w:val="-14"/>
        </w:rPr>
        <w:t xml:space="preserve"> </w:t>
      </w:r>
      <w:r>
        <w:t>afectados</w:t>
      </w:r>
      <w:r>
        <w:rPr>
          <w:spacing w:val="-14"/>
        </w:rPr>
        <w:t xml:space="preserve"> </w:t>
      </w:r>
      <w:r>
        <w:t>que</w:t>
      </w:r>
      <w:r>
        <w:rPr>
          <w:spacing w:val="-14"/>
        </w:rPr>
        <w:t xml:space="preserve"> </w:t>
      </w:r>
      <w:r>
        <w:t>coinciden</w:t>
      </w:r>
      <w:r>
        <w:rPr>
          <w:spacing w:val="-13"/>
        </w:rPr>
        <w:t xml:space="preserve"> </w:t>
      </w:r>
      <w:r>
        <w:t>con</w:t>
      </w:r>
      <w:r>
        <w:rPr>
          <w:spacing w:val="-14"/>
        </w:rPr>
        <w:t xml:space="preserve"> </w:t>
      </w:r>
      <w:r>
        <w:t>los</w:t>
      </w:r>
      <w:r>
        <w:rPr>
          <w:spacing w:val="-14"/>
        </w:rPr>
        <w:t xml:space="preserve"> </w:t>
      </w:r>
      <w:r>
        <w:t>datos</w:t>
      </w:r>
      <w:r>
        <w:rPr>
          <w:spacing w:val="-14"/>
        </w:rPr>
        <w:t xml:space="preserve"> </w:t>
      </w:r>
      <w:r>
        <w:t>de</w:t>
      </w:r>
      <w:r>
        <w:rPr>
          <w:spacing w:val="-13"/>
        </w:rPr>
        <w:t xml:space="preserve"> </w:t>
      </w:r>
      <w:r>
        <w:t>secuestro,</w:t>
      </w:r>
      <w:r>
        <w:rPr>
          <w:spacing w:val="-14"/>
        </w:rPr>
        <w:t xml:space="preserve"> </w:t>
      </w:r>
      <w:r>
        <w:t>por</w:t>
      </w:r>
      <w:r>
        <w:rPr>
          <w:spacing w:val="-14"/>
        </w:rPr>
        <w:t xml:space="preserve"> </w:t>
      </w:r>
      <w:r>
        <w:t>ejemplo,</w:t>
      </w:r>
      <w:r>
        <w:rPr>
          <w:spacing w:val="-14"/>
        </w:rPr>
        <w:t xml:space="preserve"> </w:t>
      </w:r>
      <w:r>
        <w:t>tienen</w:t>
      </w:r>
      <w:r>
        <w:rPr>
          <w:spacing w:val="-13"/>
        </w:rPr>
        <w:t xml:space="preserve"> </w:t>
      </w:r>
      <w:r>
        <w:t>en</w:t>
      </w:r>
      <w:r>
        <w:rPr>
          <w:spacing w:val="-14"/>
        </w:rPr>
        <w:t xml:space="preserve"> </w:t>
      </w:r>
      <w:r>
        <w:t>común</w:t>
      </w:r>
      <w:r>
        <w:rPr>
          <w:spacing w:val="-14"/>
        </w:rPr>
        <w:t xml:space="preserve"> </w:t>
      </w:r>
      <w:r>
        <w:t>su</w:t>
      </w:r>
      <w:r>
        <w:rPr>
          <w:spacing w:val="-14"/>
        </w:rPr>
        <w:t xml:space="preserve"> </w:t>
      </w:r>
      <w:r>
        <w:t>ubicación geográfica</w:t>
      </w:r>
      <w:r>
        <w:rPr>
          <w:spacing w:val="-9"/>
        </w:rPr>
        <w:t xml:space="preserve"> </w:t>
      </w:r>
      <w:r>
        <w:t>y</w:t>
      </w:r>
      <w:r>
        <w:rPr>
          <w:spacing w:val="-9"/>
        </w:rPr>
        <w:t xml:space="preserve"> </w:t>
      </w:r>
      <w:r>
        <w:t>el</w:t>
      </w:r>
      <w:r>
        <w:rPr>
          <w:spacing w:val="-9"/>
        </w:rPr>
        <w:t xml:space="preserve"> </w:t>
      </w:r>
      <w:r>
        <w:t>uso</w:t>
      </w:r>
      <w:r>
        <w:rPr>
          <w:spacing w:val="-9"/>
        </w:rPr>
        <w:t xml:space="preserve"> </w:t>
      </w:r>
      <w:r>
        <w:t>intensivo</w:t>
      </w:r>
      <w:r>
        <w:rPr>
          <w:spacing w:val="-9"/>
        </w:rPr>
        <w:t xml:space="preserve"> </w:t>
      </w:r>
      <w:r>
        <w:t>de</w:t>
      </w:r>
      <w:r>
        <w:rPr>
          <w:spacing w:val="-9"/>
        </w:rPr>
        <w:t xml:space="preserve"> </w:t>
      </w:r>
      <w:r>
        <w:t>la</w:t>
      </w:r>
      <w:r>
        <w:rPr>
          <w:spacing w:val="-10"/>
        </w:rPr>
        <w:t xml:space="preserve"> </w:t>
      </w:r>
      <w:r>
        <w:t>precaria</w:t>
      </w:r>
      <w:r>
        <w:rPr>
          <w:spacing w:val="-9"/>
        </w:rPr>
        <w:t xml:space="preserve"> </w:t>
      </w:r>
      <w:r>
        <w:t>red</w:t>
      </w:r>
      <w:r>
        <w:rPr>
          <w:spacing w:val="-9"/>
        </w:rPr>
        <w:t xml:space="preserve"> </w:t>
      </w:r>
      <w:r>
        <w:t>vial</w:t>
      </w:r>
      <w:r>
        <w:rPr>
          <w:spacing w:val="-9"/>
        </w:rPr>
        <w:t xml:space="preserve"> </w:t>
      </w:r>
      <w:r>
        <w:t>nacional,</w:t>
      </w:r>
      <w:r>
        <w:rPr>
          <w:spacing w:val="-9"/>
        </w:rPr>
        <w:t xml:space="preserve"> </w:t>
      </w:r>
      <w:r>
        <w:t>que</w:t>
      </w:r>
      <w:r>
        <w:rPr>
          <w:spacing w:val="-9"/>
        </w:rPr>
        <w:t xml:space="preserve"> </w:t>
      </w:r>
      <w:r>
        <w:t>fue</w:t>
      </w:r>
      <w:r>
        <w:rPr>
          <w:spacing w:val="-9"/>
        </w:rPr>
        <w:t xml:space="preserve"> </w:t>
      </w:r>
      <w:r>
        <w:t>fácil</w:t>
      </w:r>
      <w:r>
        <w:rPr>
          <w:spacing w:val="-9"/>
        </w:rPr>
        <w:t xml:space="preserve"> </w:t>
      </w:r>
      <w:r>
        <w:t>presa</w:t>
      </w:r>
      <w:r>
        <w:rPr>
          <w:spacing w:val="-9"/>
        </w:rPr>
        <w:t xml:space="preserve"> </w:t>
      </w:r>
      <w:r>
        <w:t>de</w:t>
      </w:r>
      <w:r>
        <w:rPr>
          <w:spacing w:val="-9"/>
        </w:rPr>
        <w:t xml:space="preserve"> </w:t>
      </w:r>
      <w:r>
        <w:t>la</w:t>
      </w:r>
      <w:r>
        <w:rPr>
          <w:spacing w:val="-9"/>
        </w:rPr>
        <w:t xml:space="preserve"> </w:t>
      </w:r>
      <w:r>
        <w:t>interferencia violenta de los distintos grupos armados ilegales</w:t>
      </w:r>
      <w:r w:rsidR="00DD4F7C">
        <w:rPr>
          <w:rStyle w:val="Refdenotaalpie"/>
        </w:rPr>
        <w:footnoteReference w:id="210"/>
      </w:r>
      <w:r>
        <w:t>.</w:t>
      </w:r>
    </w:p>
    <w:p w:rsidR="003804AC" w:rsidRDefault="00AF18A5" w:rsidP="00DD4F7C">
      <w:r>
        <w:t>A</w:t>
      </w:r>
      <w:r>
        <w:rPr>
          <w:spacing w:val="-4"/>
        </w:rPr>
        <w:t xml:space="preserve"> </w:t>
      </w:r>
      <w:r>
        <w:t>finales</w:t>
      </w:r>
      <w:r>
        <w:rPr>
          <w:spacing w:val="-4"/>
        </w:rPr>
        <w:t xml:space="preserve"> </w:t>
      </w:r>
      <w:r>
        <w:t>de</w:t>
      </w:r>
      <w:r>
        <w:rPr>
          <w:spacing w:val="-5"/>
        </w:rPr>
        <w:t xml:space="preserve"> </w:t>
      </w:r>
      <w:r>
        <w:t>la</w:t>
      </w:r>
      <w:r>
        <w:rPr>
          <w:spacing w:val="-4"/>
        </w:rPr>
        <w:t xml:space="preserve"> </w:t>
      </w:r>
      <w:r>
        <w:t>década</w:t>
      </w:r>
      <w:r>
        <w:rPr>
          <w:spacing w:val="-4"/>
        </w:rPr>
        <w:t xml:space="preserve"> </w:t>
      </w:r>
      <w:r>
        <w:t>de</w:t>
      </w:r>
      <w:r>
        <w:rPr>
          <w:spacing w:val="-5"/>
        </w:rPr>
        <w:t xml:space="preserve"> </w:t>
      </w:r>
      <w:r>
        <w:t>1990</w:t>
      </w:r>
      <w:r>
        <w:rPr>
          <w:spacing w:val="-4"/>
        </w:rPr>
        <w:t xml:space="preserve"> </w:t>
      </w:r>
      <w:r>
        <w:t>y</w:t>
      </w:r>
      <w:r>
        <w:rPr>
          <w:spacing w:val="-4"/>
        </w:rPr>
        <w:t xml:space="preserve"> </w:t>
      </w:r>
      <w:r>
        <w:t>comienzos</w:t>
      </w:r>
      <w:r>
        <w:rPr>
          <w:spacing w:val="-4"/>
        </w:rPr>
        <w:t xml:space="preserve"> </w:t>
      </w:r>
      <w:r>
        <w:t>de</w:t>
      </w:r>
      <w:r>
        <w:rPr>
          <w:spacing w:val="-4"/>
        </w:rPr>
        <w:t xml:space="preserve"> </w:t>
      </w:r>
      <w:r>
        <w:t>la</w:t>
      </w:r>
      <w:r>
        <w:rPr>
          <w:spacing w:val="-5"/>
        </w:rPr>
        <w:t xml:space="preserve"> </w:t>
      </w:r>
      <w:r>
        <w:t>de</w:t>
      </w:r>
      <w:r>
        <w:rPr>
          <w:spacing w:val="-4"/>
        </w:rPr>
        <w:t xml:space="preserve"> </w:t>
      </w:r>
      <w:r>
        <w:t>2000,</w:t>
      </w:r>
      <w:r>
        <w:rPr>
          <w:spacing w:val="-4"/>
        </w:rPr>
        <w:t xml:space="preserve"> </w:t>
      </w:r>
      <w:r>
        <w:t>en</w:t>
      </w:r>
      <w:r>
        <w:rPr>
          <w:spacing w:val="-4"/>
        </w:rPr>
        <w:t xml:space="preserve"> </w:t>
      </w:r>
      <w:r>
        <w:t>el</w:t>
      </w:r>
      <w:r>
        <w:rPr>
          <w:spacing w:val="-3"/>
        </w:rPr>
        <w:t xml:space="preserve"> </w:t>
      </w:r>
      <w:r>
        <w:t>contexto</w:t>
      </w:r>
      <w:r>
        <w:rPr>
          <w:spacing w:val="-4"/>
        </w:rPr>
        <w:t xml:space="preserve"> </w:t>
      </w:r>
      <w:r>
        <w:t>de</w:t>
      </w:r>
      <w:r>
        <w:rPr>
          <w:spacing w:val="-4"/>
        </w:rPr>
        <w:t xml:space="preserve"> </w:t>
      </w:r>
      <w:r>
        <w:t>los</w:t>
      </w:r>
      <w:r>
        <w:rPr>
          <w:spacing w:val="-4"/>
        </w:rPr>
        <w:t xml:space="preserve"> </w:t>
      </w:r>
      <w:r>
        <w:t>diálogos</w:t>
      </w:r>
      <w:r>
        <w:rPr>
          <w:spacing w:val="-4"/>
        </w:rPr>
        <w:t xml:space="preserve"> </w:t>
      </w:r>
      <w:r>
        <w:t>del Caguán, mientras el Gobierno desarrollaba los diálogos con las FARC-EP y el ELN, se produjo</w:t>
      </w:r>
      <w:r>
        <w:rPr>
          <w:spacing w:val="-15"/>
        </w:rPr>
        <w:t xml:space="preserve"> </w:t>
      </w:r>
      <w:r>
        <w:t>la</w:t>
      </w:r>
      <w:r>
        <w:rPr>
          <w:spacing w:val="-15"/>
        </w:rPr>
        <w:t xml:space="preserve"> </w:t>
      </w:r>
      <w:r>
        <w:t>mayor</w:t>
      </w:r>
      <w:r>
        <w:rPr>
          <w:spacing w:val="-15"/>
        </w:rPr>
        <w:t xml:space="preserve"> </w:t>
      </w:r>
      <w:r>
        <w:t>intensificación</w:t>
      </w:r>
      <w:r>
        <w:rPr>
          <w:spacing w:val="-15"/>
        </w:rPr>
        <w:t xml:space="preserve"> </w:t>
      </w:r>
      <w:r>
        <w:t>del</w:t>
      </w:r>
      <w:r>
        <w:rPr>
          <w:spacing w:val="-15"/>
        </w:rPr>
        <w:t xml:space="preserve"> </w:t>
      </w:r>
      <w:r>
        <w:t>conflicto</w:t>
      </w:r>
      <w:r>
        <w:rPr>
          <w:spacing w:val="-15"/>
        </w:rPr>
        <w:t xml:space="preserve"> </w:t>
      </w:r>
      <w:r>
        <w:t>con</w:t>
      </w:r>
      <w:r>
        <w:rPr>
          <w:spacing w:val="-15"/>
        </w:rPr>
        <w:t xml:space="preserve"> </w:t>
      </w:r>
      <w:r>
        <w:t>expansión</w:t>
      </w:r>
      <w:r>
        <w:rPr>
          <w:spacing w:val="-15"/>
        </w:rPr>
        <w:t xml:space="preserve"> </w:t>
      </w:r>
      <w:r>
        <w:t>territorial</w:t>
      </w:r>
      <w:r>
        <w:rPr>
          <w:spacing w:val="-15"/>
        </w:rPr>
        <w:t xml:space="preserve"> </w:t>
      </w:r>
      <w:r>
        <w:t>de</w:t>
      </w:r>
      <w:r>
        <w:rPr>
          <w:spacing w:val="-15"/>
        </w:rPr>
        <w:t xml:space="preserve"> </w:t>
      </w:r>
      <w:r>
        <w:t>los</w:t>
      </w:r>
      <w:r>
        <w:rPr>
          <w:spacing w:val="-15"/>
        </w:rPr>
        <w:t xml:space="preserve"> </w:t>
      </w:r>
      <w:r>
        <w:t>grupos</w:t>
      </w:r>
      <w:r>
        <w:rPr>
          <w:spacing w:val="-15"/>
        </w:rPr>
        <w:t xml:space="preserve"> </w:t>
      </w:r>
      <w:r>
        <w:t>armados y los grupos paramilitares. A sangre y fuego contra la población civil, pretendiendo ser reconocidos como tercer actor en el conflicto armado. Todo esto llevó a que alcanzaran los mayores niveles de violaciones de los derechos humanos e infracciones graves al derecho internacional</w:t>
      </w:r>
      <w:r>
        <w:rPr>
          <w:spacing w:val="-2"/>
        </w:rPr>
        <w:t xml:space="preserve"> </w:t>
      </w:r>
      <w:r>
        <w:t>humanitario:</w:t>
      </w:r>
      <w:r>
        <w:rPr>
          <w:spacing w:val="-2"/>
        </w:rPr>
        <w:t xml:space="preserve"> </w:t>
      </w:r>
      <w:r>
        <w:t>secuestros,</w:t>
      </w:r>
      <w:r>
        <w:rPr>
          <w:spacing w:val="-3"/>
        </w:rPr>
        <w:t xml:space="preserve"> </w:t>
      </w:r>
      <w:r>
        <w:t>masacres,</w:t>
      </w:r>
      <w:r>
        <w:rPr>
          <w:spacing w:val="-4"/>
        </w:rPr>
        <w:t xml:space="preserve"> </w:t>
      </w:r>
      <w:r>
        <w:t>ejecuciones</w:t>
      </w:r>
      <w:r>
        <w:rPr>
          <w:spacing w:val="-4"/>
        </w:rPr>
        <w:t xml:space="preserve"> </w:t>
      </w:r>
      <w:r>
        <w:t>extrajudiciales,</w:t>
      </w:r>
      <w:r>
        <w:rPr>
          <w:spacing w:val="-3"/>
        </w:rPr>
        <w:t xml:space="preserve"> </w:t>
      </w:r>
      <w:r>
        <w:t>desapariciones forzadas, violencias sexuales, en las que la población civil fue la mayor víctima.</w:t>
      </w:r>
    </w:p>
    <w:p w:rsidR="003804AC" w:rsidRDefault="00AF18A5" w:rsidP="00DD4F7C">
      <w:r>
        <w:t>En</w:t>
      </w:r>
      <w:r>
        <w:rPr>
          <w:spacing w:val="-13"/>
        </w:rPr>
        <w:t xml:space="preserve"> </w:t>
      </w:r>
      <w:r>
        <w:t>esa</w:t>
      </w:r>
      <w:r>
        <w:rPr>
          <w:spacing w:val="-13"/>
        </w:rPr>
        <w:t xml:space="preserve"> </w:t>
      </w:r>
      <w:r>
        <w:t>etapa,</w:t>
      </w:r>
      <w:r>
        <w:rPr>
          <w:spacing w:val="-13"/>
        </w:rPr>
        <w:t xml:space="preserve"> </w:t>
      </w:r>
      <w:r>
        <w:t>las</w:t>
      </w:r>
      <w:r>
        <w:rPr>
          <w:spacing w:val="-13"/>
        </w:rPr>
        <w:t xml:space="preserve"> </w:t>
      </w:r>
      <w:r>
        <w:t>partes</w:t>
      </w:r>
      <w:r>
        <w:rPr>
          <w:spacing w:val="-13"/>
        </w:rPr>
        <w:t xml:space="preserve"> </w:t>
      </w:r>
      <w:r>
        <w:t>en</w:t>
      </w:r>
      <w:r>
        <w:rPr>
          <w:spacing w:val="-13"/>
        </w:rPr>
        <w:t xml:space="preserve"> </w:t>
      </w:r>
      <w:r>
        <w:t>contienda,</w:t>
      </w:r>
      <w:r>
        <w:rPr>
          <w:spacing w:val="-14"/>
        </w:rPr>
        <w:t xml:space="preserve"> </w:t>
      </w:r>
      <w:r>
        <w:t>al</w:t>
      </w:r>
      <w:r>
        <w:rPr>
          <w:spacing w:val="-13"/>
        </w:rPr>
        <w:t xml:space="preserve"> </w:t>
      </w:r>
      <w:r>
        <w:t>tiempo</w:t>
      </w:r>
      <w:r>
        <w:rPr>
          <w:spacing w:val="-13"/>
        </w:rPr>
        <w:t xml:space="preserve"> </w:t>
      </w:r>
      <w:r>
        <w:t>que</w:t>
      </w:r>
      <w:r>
        <w:rPr>
          <w:spacing w:val="-14"/>
        </w:rPr>
        <w:t xml:space="preserve"> </w:t>
      </w:r>
      <w:r>
        <w:t>se</w:t>
      </w:r>
      <w:r>
        <w:rPr>
          <w:spacing w:val="-13"/>
        </w:rPr>
        <w:t xml:space="preserve"> </w:t>
      </w:r>
      <w:r>
        <w:t>sentaban</w:t>
      </w:r>
      <w:r>
        <w:rPr>
          <w:spacing w:val="-13"/>
        </w:rPr>
        <w:t xml:space="preserve"> </w:t>
      </w:r>
      <w:r>
        <w:t>en</w:t>
      </w:r>
      <w:r>
        <w:rPr>
          <w:spacing w:val="-13"/>
        </w:rPr>
        <w:t xml:space="preserve"> </w:t>
      </w:r>
      <w:r>
        <w:t>la</w:t>
      </w:r>
      <w:r>
        <w:rPr>
          <w:spacing w:val="-13"/>
        </w:rPr>
        <w:t xml:space="preserve"> </w:t>
      </w:r>
      <w:r>
        <w:t>mesa</w:t>
      </w:r>
      <w:r>
        <w:rPr>
          <w:spacing w:val="-14"/>
        </w:rPr>
        <w:t xml:space="preserve"> </w:t>
      </w:r>
      <w:r>
        <w:t>de</w:t>
      </w:r>
      <w:r>
        <w:rPr>
          <w:spacing w:val="-13"/>
        </w:rPr>
        <w:t xml:space="preserve"> </w:t>
      </w:r>
      <w:r>
        <w:t>negociación, no</w:t>
      </w:r>
      <w:r>
        <w:rPr>
          <w:spacing w:val="-3"/>
        </w:rPr>
        <w:t xml:space="preserve"> </w:t>
      </w:r>
      <w:r>
        <w:t>renunciaron</w:t>
      </w:r>
      <w:r>
        <w:rPr>
          <w:spacing w:val="-3"/>
        </w:rPr>
        <w:t xml:space="preserve"> </w:t>
      </w:r>
      <w:r>
        <w:t>a</w:t>
      </w:r>
      <w:r>
        <w:rPr>
          <w:spacing w:val="-3"/>
        </w:rPr>
        <w:t xml:space="preserve"> </w:t>
      </w:r>
      <w:r>
        <w:t>sus</w:t>
      </w:r>
      <w:r>
        <w:rPr>
          <w:spacing w:val="-4"/>
        </w:rPr>
        <w:t xml:space="preserve"> </w:t>
      </w:r>
      <w:r>
        <w:t>objetivos</w:t>
      </w:r>
      <w:r>
        <w:rPr>
          <w:spacing w:val="-4"/>
        </w:rPr>
        <w:t xml:space="preserve"> </w:t>
      </w:r>
      <w:r>
        <w:t>militares</w:t>
      </w:r>
      <w:r>
        <w:rPr>
          <w:spacing w:val="-3"/>
        </w:rPr>
        <w:t xml:space="preserve"> </w:t>
      </w:r>
      <w:r>
        <w:t>y</w:t>
      </w:r>
      <w:r>
        <w:rPr>
          <w:spacing w:val="-5"/>
        </w:rPr>
        <w:t xml:space="preserve"> </w:t>
      </w:r>
      <w:r>
        <w:t>políticos</w:t>
      </w:r>
      <w:r>
        <w:rPr>
          <w:spacing w:val="-3"/>
        </w:rPr>
        <w:t xml:space="preserve"> </w:t>
      </w:r>
      <w:r>
        <w:t>de</w:t>
      </w:r>
      <w:r>
        <w:rPr>
          <w:spacing w:val="-3"/>
        </w:rPr>
        <w:t xml:space="preserve"> </w:t>
      </w:r>
      <w:r>
        <w:t>derrotar</w:t>
      </w:r>
      <w:r>
        <w:rPr>
          <w:spacing w:val="-3"/>
        </w:rPr>
        <w:t xml:space="preserve"> </w:t>
      </w:r>
      <w:r>
        <w:t>al</w:t>
      </w:r>
      <w:r>
        <w:rPr>
          <w:spacing w:val="-3"/>
        </w:rPr>
        <w:t xml:space="preserve"> </w:t>
      </w:r>
      <w:r>
        <w:t>adversario.</w:t>
      </w:r>
      <w:r>
        <w:rPr>
          <w:spacing w:val="-3"/>
        </w:rPr>
        <w:t xml:space="preserve"> </w:t>
      </w:r>
      <w:r>
        <w:t>De</w:t>
      </w:r>
      <w:r>
        <w:rPr>
          <w:spacing w:val="-3"/>
        </w:rPr>
        <w:t xml:space="preserve"> </w:t>
      </w:r>
      <w:r>
        <w:t>un</w:t>
      </w:r>
      <w:r>
        <w:rPr>
          <w:spacing w:val="-5"/>
        </w:rPr>
        <w:t xml:space="preserve"> </w:t>
      </w:r>
      <w:r>
        <w:t>lado,</w:t>
      </w:r>
      <w:r>
        <w:rPr>
          <w:spacing w:val="-3"/>
        </w:rPr>
        <w:t xml:space="preserve"> </w:t>
      </w:r>
      <w:r>
        <w:t xml:space="preserve">las FARC-EP prosiguieron con su expansión territorial y fortalecimiento de las estructuras decididas en desarrollo de su Plan Estratégico para la toma del poder, y, de otro lado, el Gobierno no descartó la derrota militar de los grupos insurgentes, lo cual se plasmó en el Plan Colombia. Entre tanto, los grupos </w:t>
      </w:r>
      <w:r>
        <w:lastRenderedPageBreak/>
        <w:t>paramilitares de las Autodefensas Unidas de Colombia (AUC) llevaron adelante una campaña de terror que obstaculizó el intento de avanzar en los diálogos de paz.</w:t>
      </w:r>
    </w:p>
    <w:p w:rsidR="0011361F" w:rsidRDefault="00AF18A5" w:rsidP="00FB5D2A">
      <w:r>
        <w:t>La combinación ambigua, durante el gobierno de Andrés Pastrana (1998-2002), entre la retórica</w:t>
      </w:r>
      <w:r>
        <w:rPr>
          <w:spacing w:val="-1"/>
        </w:rPr>
        <w:t xml:space="preserve"> </w:t>
      </w:r>
      <w:r>
        <w:t>de</w:t>
      </w:r>
      <w:r>
        <w:rPr>
          <w:spacing w:val="-1"/>
        </w:rPr>
        <w:t xml:space="preserve"> </w:t>
      </w:r>
      <w:r>
        <w:t>la paz</w:t>
      </w:r>
      <w:r>
        <w:rPr>
          <w:spacing w:val="-1"/>
        </w:rPr>
        <w:t xml:space="preserve"> </w:t>
      </w:r>
      <w:r>
        <w:t>y</w:t>
      </w:r>
      <w:r>
        <w:rPr>
          <w:spacing w:val="-1"/>
        </w:rPr>
        <w:t xml:space="preserve"> </w:t>
      </w:r>
      <w:r>
        <w:t>los hechos de</w:t>
      </w:r>
      <w:r>
        <w:rPr>
          <w:spacing w:val="-1"/>
        </w:rPr>
        <w:t xml:space="preserve"> </w:t>
      </w:r>
      <w:r>
        <w:t>guerra,</w:t>
      </w:r>
      <w:r>
        <w:rPr>
          <w:spacing w:val="-1"/>
        </w:rPr>
        <w:t xml:space="preserve"> </w:t>
      </w:r>
      <w:r>
        <w:t>y entre</w:t>
      </w:r>
      <w:r>
        <w:rPr>
          <w:spacing w:val="-1"/>
        </w:rPr>
        <w:t xml:space="preserve"> </w:t>
      </w:r>
      <w:r>
        <w:t>la</w:t>
      </w:r>
      <w:r>
        <w:rPr>
          <w:spacing w:val="-1"/>
        </w:rPr>
        <w:t xml:space="preserve"> </w:t>
      </w:r>
      <w:r>
        <w:t>lógica militar y</w:t>
      </w:r>
      <w:r>
        <w:rPr>
          <w:spacing w:val="-1"/>
        </w:rPr>
        <w:t xml:space="preserve"> </w:t>
      </w:r>
      <w:r>
        <w:t>la</w:t>
      </w:r>
      <w:r>
        <w:rPr>
          <w:spacing w:val="-1"/>
        </w:rPr>
        <w:t xml:space="preserve"> </w:t>
      </w:r>
      <w:r>
        <w:t>política,</w:t>
      </w:r>
      <w:r>
        <w:rPr>
          <w:spacing w:val="-1"/>
        </w:rPr>
        <w:t xml:space="preserve"> </w:t>
      </w:r>
      <w:r>
        <w:t>los</w:t>
      </w:r>
      <w:r>
        <w:rPr>
          <w:spacing w:val="-1"/>
        </w:rPr>
        <w:t xml:space="preserve"> </w:t>
      </w:r>
      <w:r>
        <w:t>abusos de las FARC-EP en la zona de despeje, la oposición al proceso de paz de sectores de la fuerza pública y la arremetida paramilitar, hicieron incierta la agenda de negociación, bloquearon de manera directa el desarrollo de los diálogos y, finalmente, lo llevaron a su fracaso a comienzos de 2002.</w:t>
      </w:r>
    </w:p>
    <w:p w:rsidR="003804AC" w:rsidRDefault="00AF18A5" w:rsidP="00FB5D2A">
      <w:bookmarkStart w:id="331" w:name="_bookmark247"/>
      <w:bookmarkEnd w:id="331"/>
      <w:r>
        <w:t>Esa situación cambió con la política de defensa y seguridad democrática, que marcó un punto de inflexión importante en el conflicto armado interno. En efecto, durante los dos gobiernos de Álvaro Uribe Vélez (2002-2010), al tiempo que se desarrollaron las negociaciones con las AUC, se implementó el mayor esfuerzo bélico y militar para derrotar a</w:t>
      </w:r>
      <w:r>
        <w:rPr>
          <w:spacing w:val="-5"/>
        </w:rPr>
        <w:t xml:space="preserve"> </w:t>
      </w:r>
      <w:r>
        <w:t>las</w:t>
      </w:r>
      <w:r>
        <w:rPr>
          <w:spacing w:val="-5"/>
        </w:rPr>
        <w:t xml:space="preserve"> </w:t>
      </w:r>
      <w:r>
        <w:t>guerrillas.</w:t>
      </w:r>
      <w:r>
        <w:rPr>
          <w:spacing w:val="-5"/>
        </w:rPr>
        <w:t xml:space="preserve"> </w:t>
      </w:r>
      <w:r>
        <w:t>La</w:t>
      </w:r>
      <w:r>
        <w:rPr>
          <w:spacing w:val="-5"/>
        </w:rPr>
        <w:t xml:space="preserve"> </w:t>
      </w:r>
      <w:r>
        <w:t>arremetida</w:t>
      </w:r>
      <w:r>
        <w:rPr>
          <w:spacing w:val="-5"/>
        </w:rPr>
        <w:t xml:space="preserve"> </w:t>
      </w:r>
      <w:r>
        <w:t>contra</w:t>
      </w:r>
      <w:r>
        <w:rPr>
          <w:spacing w:val="-6"/>
        </w:rPr>
        <w:t xml:space="preserve"> </w:t>
      </w:r>
      <w:r>
        <w:t>las</w:t>
      </w:r>
      <w:r>
        <w:rPr>
          <w:spacing w:val="-5"/>
        </w:rPr>
        <w:t xml:space="preserve"> </w:t>
      </w:r>
      <w:r>
        <w:t>guerrillas</w:t>
      </w:r>
      <w:r>
        <w:rPr>
          <w:spacing w:val="-5"/>
        </w:rPr>
        <w:t xml:space="preserve"> </w:t>
      </w:r>
      <w:r>
        <w:t>se</w:t>
      </w:r>
      <w:r>
        <w:rPr>
          <w:spacing w:val="-5"/>
        </w:rPr>
        <w:t xml:space="preserve"> </w:t>
      </w:r>
      <w:r>
        <w:t>concretó</w:t>
      </w:r>
      <w:r>
        <w:rPr>
          <w:spacing w:val="-5"/>
        </w:rPr>
        <w:t xml:space="preserve"> </w:t>
      </w:r>
      <w:r>
        <w:t>en</w:t>
      </w:r>
      <w:r>
        <w:rPr>
          <w:spacing w:val="-5"/>
        </w:rPr>
        <w:t xml:space="preserve"> </w:t>
      </w:r>
      <w:r>
        <w:t>el</w:t>
      </w:r>
      <w:r>
        <w:rPr>
          <w:spacing w:val="-4"/>
        </w:rPr>
        <w:t xml:space="preserve"> </w:t>
      </w:r>
      <w:r>
        <w:t>Plan</w:t>
      </w:r>
      <w:r>
        <w:rPr>
          <w:spacing w:val="-5"/>
        </w:rPr>
        <w:t xml:space="preserve"> </w:t>
      </w:r>
      <w:r>
        <w:t>Colombia</w:t>
      </w:r>
      <w:r>
        <w:rPr>
          <w:spacing w:val="-5"/>
        </w:rPr>
        <w:t xml:space="preserve"> </w:t>
      </w:r>
      <w:r>
        <w:t>y</w:t>
      </w:r>
      <w:r>
        <w:rPr>
          <w:spacing w:val="-6"/>
        </w:rPr>
        <w:t xml:space="preserve"> </w:t>
      </w:r>
      <w:r>
        <w:t>el</w:t>
      </w:r>
      <w:r>
        <w:rPr>
          <w:spacing w:val="-4"/>
        </w:rPr>
        <w:t xml:space="preserve"> </w:t>
      </w:r>
      <w:r>
        <w:t>Plan Patriota, e implicó el repliegue guerrillero hacia zonas de retaguardia. Según el hoy general retirado</w:t>
      </w:r>
      <w:r>
        <w:rPr>
          <w:spacing w:val="-4"/>
        </w:rPr>
        <w:t xml:space="preserve"> </w:t>
      </w:r>
      <w:r>
        <w:t>Carlos</w:t>
      </w:r>
      <w:r>
        <w:rPr>
          <w:spacing w:val="-3"/>
        </w:rPr>
        <w:t xml:space="preserve"> </w:t>
      </w:r>
      <w:r>
        <w:t>Alberto</w:t>
      </w:r>
      <w:r>
        <w:rPr>
          <w:spacing w:val="-5"/>
        </w:rPr>
        <w:t xml:space="preserve"> </w:t>
      </w:r>
      <w:r>
        <w:t>Ospina</w:t>
      </w:r>
      <w:r>
        <w:rPr>
          <w:spacing w:val="-3"/>
        </w:rPr>
        <w:t xml:space="preserve"> </w:t>
      </w:r>
      <w:r>
        <w:t>Ovalle,</w:t>
      </w:r>
      <w:r>
        <w:rPr>
          <w:spacing w:val="-4"/>
        </w:rPr>
        <w:t xml:space="preserve"> </w:t>
      </w:r>
      <w:r>
        <w:t>el</w:t>
      </w:r>
      <w:r>
        <w:rPr>
          <w:spacing w:val="-3"/>
        </w:rPr>
        <w:t xml:space="preserve"> </w:t>
      </w:r>
      <w:r>
        <w:t>objetivo</w:t>
      </w:r>
      <w:r>
        <w:rPr>
          <w:spacing w:val="-4"/>
        </w:rPr>
        <w:t xml:space="preserve"> </w:t>
      </w:r>
      <w:r>
        <w:t>era</w:t>
      </w:r>
      <w:r>
        <w:rPr>
          <w:spacing w:val="-2"/>
        </w:rPr>
        <w:t xml:space="preserve"> </w:t>
      </w:r>
      <w:r>
        <w:t>lograr</w:t>
      </w:r>
      <w:r>
        <w:rPr>
          <w:spacing w:val="-4"/>
        </w:rPr>
        <w:t xml:space="preserve"> </w:t>
      </w:r>
      <w:r>
        <w:t>afectar</w:t>
      </w:r>
      <w:r>
        <w:rPr>
          <w:spacing w:val="-3"/>
        </w:rPr>
        <w:t xml:space="preserve"> </w:t>
      </w:r>
      <w:r>
        <w:t>la</w:t>
      </w:r>
      <w:r>
        <w:rPr>
          <w:spacing w:val="-3"/>
        </w:rPr>
        <w:t xml:space="preserve"> </w:t>
      </w:r>
      <w:r>
        <w:t>logística,</w:t>
      </w:r>
      <w:r>
        <w:rPr>
          <w:spacing w:val="-4"/>
        </w:rPr>
        <w:t xml:space="preserve"> </w:t>
      </w:r>
      <w:r>
        <w:t>las</w:t>
      </w:r>
      <w:r>
        <w:rPr>
          <w:spacing w:val="-4"/>
        </w:rPr>
        <w:t xml:space="preserve"> </w:t>
      </w:r>
      <w:r>
        <w:t>redes</w:t>
      </w:r>
      <w:r>
        <w:rPr>
          <w:spacing w:val="-3"/>
        </w:rPr>
        <w:t xml:space="preserve"> </w:t>
      </w:r>
      <w:r>
        <w:t>de apoyo, la estructura y las líneas de comunicación de esa guerrilla, así como neutralizar los planes militares de las FARC-EP</w:t>
      </w:r>
      <w:r w:rsidR="00FB5D2A">
        <w:rPr>
          <w:rStyle w:val="Refdenotaalpie"/>
        </w:rPr>
        <w:footnoteReference w:id="211"/>
      </w:r>
      <w:r>
        <w:t>.</w:t>
      </w:r>
      <w:r>
        <w:rPr>
          <w:spacing w:val="-1"/>
        </w:rPr>
        <w:t xml:space="preserve"> </w:t>
      </w:r>
      <w:r>
        <w:t xml:space="preserve">La política de seguridad democrática, en conjunto con el despliegue de los grupos paramilitares, implicó el repliegue de las guerrillas a zonas de </w:t>
      </w:r>
      <w:r>
        <w:rPr>
          <w:spacing w:val="-2"/>
        </w:rPr>
        <w:t>retaguardia</w:t>
      </w:r>
      <w:r>
        <w:rPr>
          <w:spacing w:val="-5"/>
        </w:rPr>
        <w:t xml:space="preserve"> </w:t>
      </w:r>
      <w:r>
        <w:rPr>
          <w:spacing w:val="-2"/>
        </w:rPr>
        <w:t>históricas</w:t>
      </w:r>
      <w:r>
        <w:rPr>
          <w:spacing w:val="-4"/>
        </w:rPr>
        <w:t xml:space="preserve"> </w:t>
      </w:r>
      <w:r>
        <w:rPr>
          <w:spacing w:val="-2"/>
        </w:rPr>
        <w:t>y</w:t>
      </w:r>
      <w:r>
        <w:rPr>
          <w:spacing w:val="-5"/>
        </w:rPr>
        <w:t xml:space="preserve"> </w:t>
      </w:r>
      <w:r>
        <w:rPr>
          <w:spacing w:val="-2"/>
        </w:rPr>
        <w:t>la</w:t>
      </w:r>
      <w:r>
        <w:rPr>
          <w:spacing w:val="-4"/>
        </w:rPr>
        <w:t xml:space="preserve"> </w:t>
      </w:r>
      <w:r>
        <w:rPr>
          <w:spacing w:val="-2"/>
        </w:rPr>
        <w:t>consolidación</w:t>
      </w:r>
      <w:r>
        <w:rPr>
          <w:spacing w:val="-4"/>
        </w:rPr>
        <w:t xml:space="preserve"> </w:t>
      </w:r>
      <w:r>
        <w:rPr>
          <w:spacing w:val="-2"/>
        </w:rPr>
        <w:t>de</w:t>
      </w:r>
      <w:r>
        <w:rPr>
          <w:spacing w:val="-5"/>
        </w:rPr>
        <w:t xml:space="preserve"> </w:t>
      </w:r>
      <w:r>
        <w:rPr>
          <w:spacing w:val="-2"/>
        </w:rPr>
        <w:t>la</w:t>
      </w:r>
      <w:r>
        <w:rPr>
          <w:spacing w:val="-5"/>
        </w:rPr>
        <w:t xml:space="preserve"> </w:t>
      </w:r>
      <w:r>
        <w:rPr>
          <w:spacing w:val="-2"/>
        </w:rPr>
        <w:t>disputa</w:t>
      </w:r>
      <w:r>
        <w:rPr>
          <w:spacing w:val="-4"/>
        </w:rPr>
        <w:t xml:space="preserve"> </w:t>
      </w:r>
      <w:r>
        <w:rPr>
          <w:spacing w:val="-2"/>
        </w:rPr>
        <w:t>por</w:t>
      </w:r>
      <w:r>
        <w:rPr>
          <w:spacing w:val="-5"/>
        </w:rPr>
        <w:t xml:space="preserve"> </w:t>
      </w:r>
      <w:r>
        <w:rPr>
          <w:spacing w:val="-2"/>
        </w:rPr>
        <w:t>las</w:t>
      </w:r>
      <w:r>
        <w:rPr>
          <w:spacing w:val="-5"/>
        </w:rPr>
        <w:t xml:space="preserve"> </w:t>
      </w:r>
      <w:r>
        <w:rPr>
          <w:spacing w:val="-2"/>
        </w:rPr>
        <w:t>zonas</w:t>
      </w:r>
      <w:r>
        <w:rPr>
          <w:spacing w:val="-4"/>
        </w:rPr>
        <w:t xml:space="preserve"> </w:t>
      </w:r>
      <w:r>
        <w:rPr>
          <w:spacing w:val="-2"/>
        </w:rPr>
        <w:t>fronterizas,</w:t>
      </w:r>
      <w:r>
        <w:rPr>
          <w:spacing w:val="-5"/>
        </w:rPr>
        <w:t xml:space="preserve"> </w:t>
      </w:r>
      <w:r>
        <w:rPr>
          <w:spacing w:val="-2"/>
        </w:rPr>
        <w:t xml:space="preserve">especialmente </w:t>
      </w:r>
      <w:r>
        <w:t>en</w:t>
      </w:r>
      <w:r>
        <w:rPr>
          <w:spacing w:val="-7"/>
        </w:rPr>
        <w:t xml:space="preserve"> </w:t>
      </w:r>
      <w:r>
        <w:t>la</w:t>
      </w:r>
      <w:r>
        <w:rPr>
          <w:spacing w:val="-4"/>
        </w:rPr>
        <w:t xml:space="preserve"> </w:t>
      </w:r>
      <w:r>
        <w:t>franja</w:t>
      </w:r>
      <w:r>
        <w:rPr>
          <w:spacing w:val="-4"/>
        </w:rPr>
        <w:t xml:space="preserve"> </w:t>
      </w:r>
      <w:r>
        <w:t>fronteriza</w:t>
      </w:r>
      <w:r>
        <w:rPr>
          <w:spacing w:val="-4"/>
        </w:rPr>
        <w:t xml:space="preserve"> </w:t>
      </w:r>
      <w:r>
        <w:t>nororiental</w:t>
      </w:r>
      <w:r>
        <w:rPr>
          <w:spacing w:val="-4"/>
        </w:rPr>
        <w:t xml:space="preserve"> </w:t>
      </w:r>
      <w:r>
        <w:t>del</w:t>
      </w:r>
      <w:r>
        <w:rPr>
          <w:spacing w:val="-3"/>
        </w:rPr>
        <w:t xml:space="preserve"> </w:t>
      </w:r>
      <w:r>
        <w:t>país</w:t>
      </w:r>
      <w:r>
        <w:rPr>
          <w:spacing w:val="-4"/>
        </w:rPr>
        <w:t xml:space="preserve"> </w:t>
      </w:r>
      <w:r>
        <w:t>(Catatumbo</w:t>
      </w:r>
      <w:r>
        <w:rPr>
          <w:spacing w:val="-4"/>
        </w:rPr>
        <w:t xml:space="preserve"> </w:t>
      </w:r>
      <w:r>
        <w:t>y</w:t>
      </w:r>
      <w:r>
        <w:rPr>
          <w:spacing w:val="-5"/>
        </w:rPr>
        <w:t xml:space="preserve"> </w:t>
      </w:r>
      <w:r>
        <w:t>piedemonte</w:t>
      </w:r>
      <w:r>
        <w:rPr>
          <w:spacing w:val="-4"/>
        </w:rPr>
        <w:t xml:space="preserve"> </w:t>
      </w:r>
      <w:r>
        <w:t>araucano)</w:t>
      </w:r>
      <w:r>
        <w:rPr>
          <w:spacing w:val="-3"/>
        </w:rPr>
        <w:t xml:space="preserve"> </w:t>
      </w:r>
      <w:r>
        <w:t>y</w:t>
      </w:r>
      <w:r>
        <w:rPr>
          <w:spacing w:val="-4"/>
        </w:rPr>
        <w:t xml:space="preserve"> </w:t>
      </w:r>
      <w:r>
        <w:t>el</w:t>
      </w:r>
      <w:r>
        <w:rPr>
          <w:spacing w:val="-3"/>
        </w:rPr>
        <w:t xml:space="preserve"> </w:t>
      </w:r>
      <w:r>
        <w:rPr>
          <w:spacing w:val="-2"/>
        </w:rPr>
        <w:t>Pacífico.</w:t>
      </w:r>
    </w:p>
    <w:p w:rsidR="003804AC" w:rsidRDefault="00AF18A5" w:rsidP="00FB5D2A">
      <w:r>
        <w:lastRenderedPageBreak/>
        <w:t>Mientras, en los campos político, militar y estratégico, el jefe máximo de las FARC-EP, Manuel Marulanda Vélez, desarrolló una dimensión complementaria al Plan Estratégico en diciembre de 2002 en torno a la construcción del Nuevo Poder. Su propuesta consistió en ejercer el gobierno de las FARC-EP en las zonas que estaban bajo su dominio, en la lógica de acumular fuerzas para la toma generalizada del poder y la construcción de un nuevo Estado. Marulanda afirmó en un documento interno de las FARC-EP lo siguiente:</w:t>
      </w:r>
    </w:p>
    <w:p w:rsidR="003804AC" w:rsidRDefault="00AF18A5" w:rsidP="00FB5D2A">
      <w:r>
        <w:t>Cuando se logra consolidar dichos territorios, las autoridades del estado no pueden</w:t>
      </w:r>
      <w:r>
        <w:rPr>
          <w:spacing w:val="-3"/>
        </w:rPr>
        <w:t xml:space="preserve"> </w:t>
      </w:r>
      <w:r>
        <w:t>seguir gobernando, tienen que ser reemplazadas por las FARC como un nuevo poder sin suplantar las organizaciones</w:t>
      </w:r>
      <w:r>
        <w:rPr>
          <w:spacing w:val="-2"/>
        </w:rPr>
        <w:t xml:space="preserve"> </w:t>
      </w:r>
      <w:r>
        <w:t>populares</w:t>
      </w:r>
      <w:r>
        <w:rPr>
          <w:spacing w:val="-2"/>
        </w:rPr>
        <w:t xml:space="preserve"> </w:t>
      </w:r>
      <w:r>
        <w:t>de</w:t>
      </w:r>
      <w:r>
        <w:rPr>
          <w:spacing w:val="-2"/>
        </w:rPr>
        <w:t xml:space="preserve"> </w:t>
      </w:r>
      <w:r>
        <w:t>masas,</w:t>
      </w:r>
      <w:r>
        <w:rPr>
          <w:spacing w:val="-2"/>
        </w:rPr>
        <w:t xml:space="preserve"> </w:t>
      </w:r>
      <w:r>
        <w:t>para</w:t>
      </w:r>
      <w:r>
        <w:rPr>
          <w:spacing w:val="-2"/>
        </w:rPr>
        <w:t xml:space="preserve"> </w:t>
      </w:r>
      <w:r>
        <w:t>cubrirlas</w:t>
      </w:r>
      <w:r>
        <w:rPr>
          <w:spacing w:val="-2"/>
        </w:rPr>
        <w:t xml:space="preserve"> </w:t>
      </w:r>
      <w:r>
        <w:t>de</w:t>
      </w:r>
      <w:r>
        <w:rPr>
          <w:spacing w:val="-2"/>
        </w:rPr>
        <w:t xml:space="preserve"> </w:t>
      </w:r>
      <w:r>
        <w:t>la</w:t>
      </w:r>
      <w:r>
        <w:rPr>
          <w:spacing w:val="-2"/>
        </w:rPr>
        <w:t xml:space="preserve"> </w:t>
      </w:r>
      <w:r>
        <w:t>acción</w:t>
      </w:r>
      <w:r>
        <w:rPr>
          <w:spacing w:val="-1"/>
        </w:rPr>
        <w:t xml:space="preserve"> </w:t>
      </w:r>
      <w:r>
        <w:t>violenta</w:t>
      </w:r>
      <w:r>
        <w:rPr>
          <w:spacing w:val="-2"/>
        </w:rPr>
        <w:t xml:space="preserve"> </w:t>
      </w:r>
      <w:r>
        <w:t>del</w:t>
      </w:r>
      <w:r>
        <w:rPr>
          <w:spacing w:val="-2"/>
        </w:rPr>
        <w:t xml:space="preserve"> </w:t>
      </w:r>
      <w:r>
        <w:t>enemigo</w:t>
      </w:r>
      <w:r>
        <w:rPr>
          <w:spacing w:val="-1"/>
        </w:rPr>
        <w:t xml:space="preserve"> </w:t>
      </w:r>
      <w:r>
        <w:t>cuando</w:t>
      </w:r>
      <w:r>
        <w:rPr>
          <w:spacing w:val="-3"/>
        </w:rPr>
        <w:t xml:space="preserve"> </w:t>
      </w:r>
      <w:r>
        <w:t>trate nuevamente de recuperar el poder perdido, para que ellas puedan mantener la legalidad y nos sirvan</w:t>
      </w:r>
      <w:r>
        <w:rPr>
          <w:spacing w:val="-7"/>
        </w:rPr>
        <w:t xml:space="preserve"> </w:t>
      </w:r>
      <w:r>
        <w:t>de</w:t>
      </w:r>
      <w:r>
        <w:rPr>
          <w:spacing w:val="-8"/>
        </w:rPr>
        <w:t xml:space="preserve"> </w:t>
      </w:r>
      <w:r>
        <w:t>fuente</w:t>
      </w:r>
      <w:r>
        <w:rPr>
          <w:spacing w:val="-8"/>
        </w:rPr>
        <w:t xml:space="preserve"> </w:t>
      </w:r>
      <w:r>
        <w:t>de</w:t>
      </w:r>
      <w:r>
        <w:rPr>
          <w:spacing w:val="-8"/>
        </w:rPr>
        <w:t xml:space="preserve"> </w:t>
      </w:r>
      <w:r>
        <w:t>apoyo,</w:t>
      </w:r>
      <w:r>
        <w:rPr>
          <w:spacing w:val="-9"/>
        </w:rPr>
        <w:t xml:space="preserve"> </w:t>
      </w:r>
      <w:r>
        <w:t>naturalmente</w:t>
      </w:r>
      <w:r>
        <w:rPr>
          <w:spacing w:val="-7"/>
        </w:rPr>
        <w:t xml:space="preserve"> </w:t>
      </w:r>
      <w:r>
        <w:t>las</w:t>
      </w:r>
      <w:r>
        <w:rPr>
          <w:spacing w:val="-8"/>
        </w:rPr>
        <w:t xml:space="preserve"> </w:t>
      </w:r>
      <w:r>
        <w:t>no</w:t>
      </w:r>
      <w:r>
        <w:rPr>
          <w:spacing w:val="-7"/>
        </w:rPr>
        <w:t xml:space="preserve"> </w:t>
      </w:r>
      <w:r>
        <w:t>perseguidas</w:t>
      </w:r>
      <w:r>
        <w:rPr>
          <w:spacing w:val="-8"/>
        </w:rPr>
        <w:t xml:space="preserve"> </w:t>
      </w:r>
      <w:r>
        <w:t>por</w:t>
      </w:r>
      <w:r>
        <w:rPr>
          <w:spacing w:val="-8"/>
        </w:rPr>
        <w:t xml:space="preserve"> </w:t>
      </w:r>
      <w:r>
        <w:t>el</w:t>
      </w:r>
      <w:r>
        <w:rPr>
          <w:spacing w:val="-8"/>
        </w:rPr>
        <w:t xml:space="preserve"> </w:t>
      </w:r>
      <w:r>
        <w:t>enemigo</w:t>
      </w:r>
      <w:r>
        <w:rPr>
          <w:spacing w:val="-7"/>
        </w:rPr>
        <w:t xml:space="preserve"> </w:t>
      </w:r>
      <w:r>
        <w:t>porque</w:t>
      </w:r>
      <w:r>
        <w:rPr>
          <w:spacing w:val="-8"/>
        </w:rPr>
        <w:t xml:space="preserve"> </w:t>
      </w:r>
      <w:r>
        <w:t>no</w:t>
      </w:r>
      <w:r>
        <w:rPr>
          <w:spacing w:val="-7"/>
        </w:rPr>
        <w:t xml:space="preserve"> </w:t>
      </w:r>
      <w:r>
        <w:t>conocen</w:t>
      </w:r>
      <w:r>
        <w:rPr>
          <w:spacing w:val="-9"/>
        </w:rPr>
        <w:t xml:space="preserve"> </w:t>
      </w:r>
      <w:r>
        <w:t>sus actividades</w:t>
      </w:r>
      <w:r>
        <w:rPr>
          <w:spacing w:val="-14"/>
        </w:rPr>
        <w:t xml:space="preserve"> </w:t>
      </w:r>
      <w:r>
        <w:t>y</w:t>
      </w:r>
      <w:r>
        <w:rPr>
          <w:spacing w:val="-14"/>
        </w:rPr>
        <w:t xml:space="preserve"> </w:t>
      </w:r>
      <w:r>
        <w:t>las</w:t>
      </w:r>
      <w:r>
        <w:rPr>
          <w:spacing w:val="-14"/>
        </w:rPr>
        <w:t xml:space="preserve"> </w:t>
      </w:r>
      <w:r>
        <w:t>perseguidas</w:t>
      </w:r>
      <w:r>
        <w:rPr>
          <w:spacing w:val="-13"/>
        </w:rPr>
        <w:t xml:space="preserve"> </w:t>
      </w:r>
      <w:r>
        <w:t>se</w:t>
      </w:r>
      <w:r>
        <w:rPr>
          <w:spacing w:val="-14"/>
        </w:rPr>
        <w:t xml:space="preserve"> </w:t>
      </w:r>
      <w:r>
        <w:t>pondrán</w:t>
      </w:r>
      <w:r>
        <w:rPr>
          <w:spacing w:val="-14"/>
        </w:rPr>
        <w:t xml:space="preserve"> </w:t>
      </w:r>
      <w:r>
        <w:t>a</w:t>
      </w:r>
      <w:r>
        <w:rPr>
          <w:spacing w:val="-14"/>
        </w:rPr>
        <w:t xml:space="preserve"> </w:t>
      </w:r>
      <w:r>
        <w:t>paz</w:t>
      </w:r>
      <w:r>
        <w:rPr>
          <w:spacing w:val="-13"/>
        </w:rPr>
        <w:t xml:space="preserve"> </w:t>
      </w:r>
      <w:r>
        <w:t>y</w:t>
      </w:r>
      <w:r>
        <w:rPr>
          <w:spacing w:val="-14"/>
        </w:rPr>
        <w:t xml:space="preserve"> </w:t>
      </w:r>
      <w:r>
        <w:t>salvo</w:t>
      </w:r>
      <w:r>
        <w:rPr>
          <w:spacing w:val="-14"/>
        </w:rPr>
        <w:t xml:space="preserve"> </w:t>
      </w:r>
      <w:r>
        <w:t>al</w:t>
      </w:r>
      <w:r>
        <w:rPr>
          <w:spacing w:val="-14"/>
        </w:rPr>
        <w:t xml:space="preserve"> </w:t>
      </w:r>
      <w:r>
        <w:t>lado</w:t>
      </w:r>
      <w:r>
        <w:rPr>
          <w:spacing w:val="-13"/>
        </w:rPr>
        <w:t xml:space="preserve"> </w:t>
      </w:r>
      <w:r>
        <w:t>de</w:t>
      </w:r>
      <w:r>
        <w:rPr>
          <w:spacing w:val="-14"/>
        </w:rPr>
        <w:t xml:space="preserve"> </w:t>
      </w:r>
      <w:r>
        <w:t>las</w:t>
      </w:r>
      <w:r>
        <w:rPr>
          <w:spacing w:val="-14"/>
        </w:rPr>
        <w:t xml:space="preserve"> </w:t>
      </w:r>
      <w:r>
        <w:t>FARC</w:t>
      </w:r>
      <w:r>
        <w:rPr>
          <w:spacing w:val="-13"/>
        </w:rPr>
        <w:t xml:space="preserve"> </w:t>
      </w:r>
      <w:r>
        <w:t>o</w:t>
      </w:r>
      <w:r>
        <w:rPr>
          <w:spacing w:val="-14"/>
        </w:rPr>
        <w:t xml:space="preserve"> </w:t>
      </w:r>
      <w:r>
        <w:t>el</w:t>
      </w:r>
      <w:r>
        <w:rPr>
          <w:spacing w:val="-14"/>
        </w:rPr>
        <w:t xml:space="preserve"> </w:t>
      </w:r>
      <w:r>
        <w:t>partido</w:t>
      </w:r>
      <w:r>
        <w:rPr>
          <w:spacing w:val="-13"/>
        </w:rPr>
        <w:t xml:space="preserve"> </w:t>
      </w:r>
      <w:r>
        <w:t>clandestino. En</w:t>
      </w:r>
      <w:r>
        <w:rPr>
          <w:spacing w:val="-6"/>
        </w:rPr>
        <w:t xml:space="preserve"> </w:t>
      </w:r>
      <w:r>
        <w:t>estas</w:t>
      </w:r>
      <w:r>
        <w:rPr>
          <w:spacing w:val="-7"/>
        </w:rPr>
        <w:t xml:space="preserve"> </w:t>
      </w:r>
      <w:r>
        <w:t>regiones</w:t>
      </w:r>
      <w:r>
        <w:rPr>
          <w:spacing w:val="-7"/>
        </w:rPr>
        <w:t xml:space="preserve"> </w:t>
      </w:r>
      <w:r>
        <w:t>se</w:t>
      </w:r>
      <w:r>
        <w:rPr>
          <w:spacing w:val="-7"/>
        </w:rPr>
        <w:t xml:space="preserve"> </w:t>
      </w:r>
      <w:r>
        <w:t>crean</w:t>
      </w:r>
      <w:r>
        <w:rPr>
          <w:spacing w:val="-6"/>
        </w:rPr>
        <w:t xml:space="preserve"> </w:t>
      </w:r>
      <w:r>
        <w:t>bases</w:t>
      </w:r>
      <w:r>
        <w:rPr>
          <w:spacing w:val="-6"/>
        </w:rPr>
        <w:t xml:space="preserve"> </w:t>
      </w:r>
      <w:r>
        <w:t>económicas</w:t>
      </w:r>
      <w:r>
        <w:rPr>
          <w:spacing w:val="-7"/>
        </w:rPr>
        <w:t xml:space="preserve"> </w:t>
      </w:r>
      <w:r>
        <w:t>consistentes</w:t>
      </w:r>
      <w:r>
        <w:rPr>
          <w:spacing w:val="-7"/>
        </w:rPr>
        <w:t xml:space="preserve"> </w:t>
      </w:r>
      <w:r>
        <w:t>en</w:t>
      </w:r>
      <w:r>
        <w:rPr>
          <w:spacing w:val="-6"/>
        </w:rPr>
        <w:t xml:space="preserve"> </w:t>
      </w:r>
      <w:r>
        <w:t>ganadería,</w:t>
      </w:r>
      <w:r>
        <w:rPr>
          <w:spacing w:val="-7"/>
        </w:rPr>
        <w:t xml:space="preserve"> </w:t>
      </w:r>
      <w:r>
        <w:t>caña,</w:t>
      </w:r>
      <w:r>
        <w:rPr>
          <w:spacing w:val="-7"/>
        </w:rPr>
        <w:t xml:space="preserve"> </w:t>
      </w:r>
      <w:r>
        <w:t>plátano,</w:t>
      </w:r>
      <w:r>
        <w:rPr>
          <w:spacing w:val="-7"/>
        </w:rPr>
        <w:t xml:space="preserve"> </w:t>
      </w:r>
      <w:r>
        <w:t>yuca,</w:t>
      </w:r>
      <w:r>
        <w:rPr>
          <w:spacing w:val="-7"/>
        </w:rPr>
        <w:t xml:space="preserve"> </w:t>
      </w:r>
      <w:r>
        <w:t>maíz, cerdos y aves</w:t>
      </w:r>
      <w:r w:rsidR="00FB5D2A">
        <w:rPr>
          <w:rStyle w:val="Refdenotaalpie"/>
        </w:rPr>
        <w:footnoteReference w:id="212"/>
      </w:r>
      <w:r>
        <w:t>.</w:t>
      </w:r>
    </w:p>
    <w:p w:rsidR="003804AC" w:rsidRDefault="00AF18A5" w:rsidP="00FB5D2A">
      <w:r>
        <w:t>Por su parte, entre 1999 y 2009, el ELN se replegó a sus territorios de retaguardia (Catatumbo,</w:t>
      </w:r>
      <w:r>
        <w:rPr>
          <w:spacing w:val="9"/>
        </w:rPr>
        <w:t xml:space="preserve"> </w:t>
      </w:r>
      <w:r>
        <w:t>el</w:t>
      </w:r>
      <w:r>
        <w:rPr>
          <w:spacing w:val="12"/>
        </w:rPr>
        <w:t xml:space="preserve"> </w:t>
      </w:r>
      <w:r>
        <w:t>sur</w:t>
      </w:r>
      <w:r>
        <w:rPr>
          <w:spacing w:val="12"/>
        </w:rPr>
        <w:t xml:space="preserve"> </w:t>
      </w:r>
      <w:r>
        <w:t>de</w:t>
      </w:r>
      <w:r>
        <w:rPr>
          <w:spacing w:val="12"/>
        </w:rPr>
        <w:t xml:space="preserve"> </w:t>
      </w:r>
      <w:r>
        <w:t>Bolívar,</w:t>
      </w:r>
      <w:r>
        <w:rPr>
          <w:spacing w:val="13"/>
        </w:rPr>
        <w:t xml:space="preserve"> </w:t>
      </w:r>
      <w:r>
        <w:t>Cauca,</w:t>
      </w:r>
      <w:r>
        <w:rPr>
          <w:spacing w:val="12"/>
        </w:rPr>
        <w:t xml:space="preserve"> </w:t>
      </w:r>
      <w:r>
        <w:t>Bajo</w:t>
      </w:r>
      <w:r>
        <w:rPr>
          <w:spacing w:val="12"/>
        </w:rPr>
        <w:t xml:space="preserve"> </w:t>
      </w:r>
      <w:r>
        <w:t>Cauca,</w:t>
      </w:r>
      <w:r>
        <w:rPr>
          <w:spacing w:val="12"/>
        </w:rPr>
        <w:t xml:space="preserve"> </w:t>
      </w:r>
      <w:r>
        <w:t>Cesar</w:t>
      </w:r>
      <w:r>
        <w:rPr>
          <w:spacing w:val="12"/>
        </w:rPr>
        <w:t xml:space="preserve"> </w:t>
      </w:r>
      <w:r>
        <w:t>y</w:t>
      </w:r>
      <w:r>
        <w:rPr>
          <w:spacing w:val="12"/>
        </w:rPr>
        <w:t xml:space="preserve"> </w:t>
      </w:r>
      <w:r>
        <w:t>Chocó)</w:t>
      </w:r>
      <w:r>
        <w:rPr>
          <w:spacing w:val="12"/>
        </w:rPr>
        <w:t xml:space="preserve"> </w:t>
      </w:r>
      <w:r>
        <w:t>para</w:t>
      </w:r>
      <w:r>
        <w:rPr>
          <w:spacing w:val="11"/>
        </w:rPr>
        <w:t xml:space="preserve"> </w:t>
      </w:r>
      <w:r>
        <w:t>evadir</w:t>
      </w:r>
      <w:r>
        <w:rPr>
          <w:spacing w:val="12"/>
        </w:rPr>
        <w:t xml:space="preserve"> </w:t>
      </w:r>
      <w:r>
        <w:t>el</w:t>
      </w:r>
      <w:r>
        <w:rPr>
          <w:spacing w:val="13"/>
        </w:rPr>
        <w:t xml:space="preserve"> </w:t>
      </w:r>
      <w:r>
        <w:rPr>
          <w:spacing w:val="-2"/>
        </w:rPr>
        <w:t>desgaste</w:t>
      </w:r>
      <w:bookmarkStart w:id="332" w:name="_bookmark248"/>
      <w:bookmarkStart w:id="333" w:name="_bookmark249"/>
      <w:bookmarkEnd w:id="332"/>
      <w:bookmarkEnd w:id="333"/>
      <w:r w:rsidR="00FB5D2A">
        <w:t xml:space="preserve"> </w:t>
      </w:r>
      <w:r>
        <w:t>militar que suponía la campaña contrainsurgente estatal de la política de seguridad democrática</w:t>
      </w:r>
      <w:r>
        <w:rPr>
          <w:spacing w:val="-9"/>
        </w:rPr>
        <w:t xml:space="preserve"> </w:t>
      </w:r>
      <w:r>
        <w:t>y</w:t>
      </w:r>
      <w:r>
        <w:rPr>
          <w:spacing w:val="-9"/>
        </w:rPr>
        <w:t xml:space="preserve"> </w:t>
      </w:r>
      <w:r>
        <w:t>la</w:t>
      </w:r>
      <w:r>
        <w:rPr>
          <w:spacing w:val="-9"/>
        </w:rPr>
        <w:t xml:space="preserve"> </w:t>
      </w:r>
      <w:r>
        <w:t>expansión</w:t>
      </w:r>
      <w:r>
        <w:rPr>
          <w:spacing w:val="-9"/>
        </w:rPr>
        <w:t xml:space="preserve"> </w:t>
      </w:r>
      <w:r>
        <w:t>paramilitar.</w:t>
      </w:r>
      <w:r>
        <w:rPr>
          <w:spacing w:val="-9"/>
        </w:rPr>
        <w:t xml:space="preserve"> </w:t>
      </w:r>
      <w:r>
        <w:t>Esta</w:t>
      </w:r>
      <w:r>
        <w:rPr>
          <w:spacing w:val="-9"/>
        </w:rPr>
        <w:t xml:space="preserve"> </w:t>
      </w:r>
      <w:r>
        <w:t>situación</w:t>
      </w:r>
      <w:r>
        <w:rPr>
          <w:spacing w:val="-9"/>
        </w:rPr>
        <w:t xml:space="preserve"> </w:t>
      </w:r>
      <w:r>
        <w:t>contrastó</w:t>
      </w:r>
      <w:r>
        <w:rPr>
          <w:spacing w:val="-9"/>
        </w:rPr>
        <w:t xml:space="preserve"> </w:t>
      </w:r>
      <w:r>
        <w:t>con</w:t>
      </w:r>
      <w:r>
        <w:rPr>
          <w:spacing w:val="-9"/>
        </w:rPr>
        <w:t xml:space="preserve"> </w:t>
      </w:r>
      <w:r>
        <w:t>Arauca,</w:t>
      </w:r>
      <w:r>
        <w:rPr>
          <w:spacing w:val="-9"/>
        </w:rPr>
        <w:t xml:space="preserve"> </w:t>
      </w:r>
      <w:r>
        <w:t>donde</w:t>
      </w:r>
      <w:r>
        <w:rPr>
          <w:spacing w:val="-9"/>
        </w:rPr>
        <w:t xml:space="preserve"> </w:t>
      </w:r>
      <w:r>
        <w:t>el</w:t>
      </w:r>
      <w:r>
        <w:rPr>
          <w:spacing w:val="-9"/>
        </w:rPr>
        <w:t xml:space="preserve"> </w:t>
      </w:r>
      <w:r>
        <w:t>Frente Domingo</w:t>
      </w:r>
      <w:r>
        <w:rPr>
          <w:spacing w:val="-9"/>
        </w:rPr>
        <w:t xml:space="preserve"> </w:t>
      </w:r>
      <w:r>
        <w:t>Laín</w:t>
      </w:r>
      <w:r>
        <w:rPr>
          <w:spacing w:val="-9"/>
        </w:rPr>
        <w:t xml:space="preserve"> </w:t>
      </w:r>
      <w:r>
        <w:t>se</w:t>
      </w:r>
      <w:r>
        <w:rPr>
          <w:spacing w:val="-9"/>
        </w:rPr>
        <w:t xml:space="preserve"> </w:t>
      </w:r>
      <w:r>
        <w:t>había</w:t>
      </w:r>
      <w:r>
        <w:rPr>
          <w:spacing w:val="-9"/>
        </w:rPr>
        <w:t xml:space="preserve"> </w:t>
      </w:r>
      <w:r>
        <w:t>consolidado,</w:t>
      </w:r>
      <w:r>
        <w:rPr>
          <w:spacing w:val="-11"/>
        </w:rPr>
        <w:t xml:space="preserve"> </w:t>
      </w:r>
      <w:r>
        <w:t>pues</w:t>
      </w:r>
      <w:r>
        <w:rPr>
          <w:spacing w:val="-9"/>
        </w:rPr>
        <w:t xml:space="preserve"> </w:t>
      </w:r>
      <w:r>
        <w:t>su</w:t>
      </w:r>
      <w:r>
        <w:rPr>
          <w:spacing w:val="-9"/>
        </w:rPr>
        <w:t xml:space="preserve"> </w:t>
      </w:r>
      <w:r>
        <w:t>forma</w:t>
      </w:r>
      <w:r>
        <w:rPr>
          <w:spacing w:val="-9"/>
        </w:rPr>
        <w:t xml:space="preserve"> </w:t>
      </w:r>
      <w:r>
        <w:t>de</w:t>
      </w:r>
      <w:r>
        <w:rPr>
          <w:spacing w:val="-9"/>
        </w:rPr>
        <w:t xml:space="preserve"> </w:t>
      </w:r>
      <w:r>
        <w:t>inserción</w:t>
      </w:r>
      <w:r>
        <w:rPr>
          <w:spacing w:val="-9"/>
        </w:rPr>
        <w:t xml:space="preserve"> </w:t>
      </w:r>
      <w:r>
        <w:t>le</w:t>
      </w:r>
      <w:r>
        <w:rPr>
          <w:spacing w:val="-9"/>
        </w:rPr>
        <w:t xml:space="preserve"> </w:t>
      </w:r>
      <w:r>
        <w:t>permitió</w:t>
      </w:r>
      <w:r>
        <w:rPr>
          <w:spacing w:val="-11"/>
        </w:rPr>
        <w:t xml:space="preserve"> </w:t>
      </w:r>
      <w:r>
        <w:t>el</w:t>
      </w:r>
      <w:r>
        <w:rPr>
          <w:spacing w:val="-9"/>
        </w:rPr>
        <w:t xml:space="preserve"> </w:t>
      </w:r>
      <w:r>
        <w:t xml:space="preserve">afianzamiento de apoyos sociales bastante fuertes en región del </w:t>
      </w:r>
      <w:proofErr w:type="spellStart"/>
      <w:r>
        <w:t>Sarare</w:t>
      </w:r>
      <w:proofErr w:type="spellEnd"/>
      <w:r>
        <w:t>, que a la postre le dieron la oportunidad</w:t>
      </w:r>
      <w:r>
        <w:rPr>
          <w:spacing w:val="-12"/>
        </w:rPr>
        <w:t xml:space="preserve"> </w:t>
      </w:r>
      <w:r>
        <w:t>de</w:t>
      </w:r>
      <w:r>
        <w:rPr>
          <w:spacing w:val="-11"/>
        </w:rPr>
        <w:t xml:space="preserve"> </w:t>
      </w:r>
      <w:r>
        <w:t>incidir</w:t>
      </w:r>
      <w:r>
        <w:rPr>
          <w:spacing w:val="-10"/>
        </w:rPr>
        <w:t xml:space="preserve"> </w:t>
      </w:r>
      <w:r>
        <w:t>no</w:t>
      </w:r>
      <w:r>
        <w:rPr>
          <w:spacing w:val="-12"/>
        </w:rPr>
        <w:t xml:space="preserve"> </w:t>
      </w:r>
      <w:r>
        <w:t>solo</w:t>
      </w:r>
      <w:r>
        <w:rPr>
          <w:spacing w:val="-12"/>
        </w:rPr>
        <w:t xml:space="preserve"> </w:t>
      </w:r>
      <w:r>
        <w:t>en</w:t>
      </w:r>
      <w:r>
        <w:rPr>
          <w:spacing w:val="-12"/>
        </w:rPr>
        <w:t xml:space="preserve"> </w:t>
      </w:r>
      <w:r>
        <w:lastRenderedPageBreak/>
        <w:t>los</w:t>
      </w:r>
      <w:r>
        <w:rPr>
          <w:spacing w:val="-12"/>
        </w:rPr>
        <w:t xml:space="preserve"> </w:t>
      </w:r>
      <w:r>
        <w:t>procesos</w:t>
      </w:r>
      <w:r>
        <w:rPr>
          <w:spacing w:val="-12"/>
        </w:rPr>
        <w:t xml:space="preserve"> </w:t>
      </w:r>
      <w:r>
        <w:t>organizativos,</w:t>
      </w:r>
      <w:r>
        <w:rPr>
          <w:spacing w:val="-12"/>
        </w:rPr>
        <w:t xml:space="preserve"> </w:t>
      </w:r>
      <w:r>
        <w:t>sino</w:t>
      </w:r>
      <w:r>
        <w:rPr>
          <w:spacing w:val="-11"/>
        </w:rPr>
        <w:t xml:space="preserve"> </w:t>
      </w:r>
      <w:r>
        <w:t>también</w:t>
      </w:r>
      <w:r>
        <w:rPr>
          <w:spacing w:val="-12"/>
        </w:rPr>
        <w:t xml:space="preserve"> </w:t>
      </w:r>
      <w:r>
        <w:t>en</w:t>
      </w:r>
      <w:r>
        <w:rPr>
          <w:spacing w:val="-11"/>
        </w:rPr>
        <w:t xml:space="preserve"> </w:t>
      </w:r>
      <w:r>
        <w:t>el</w:t>
      </w:r>
      <w:r>
        <w:rPr>
          <w:spacing w:val="-12"/>
        </w:rPr>
        <w:t xml:space="preserve"> </w:t>
      </w:r>
      <w:r>
        <w:t>tipo</w:t>
      </w:r>
      <w:r>
        <w:rPr>
          <w:spacing w:val="-11"/>
        </w:rPr>
        <w:t xml:space="preserve"> </w:t>
      </w:r>
      <w:r>
        <w:t>de</w:t>
      </w:r>
      <w:r>
        <w:rPr>
          <w:spacing w:val="-13"/>
        </w:rPr>
        <w:t xml:space="preserve"> </w:t>
      </w:r>
      <w:r>
        <w:t>orden social</w:t>
      </w:r>
      <w:r>
        <w:rPr>
          <w:spacing w:val="-1"/>
        </w:rPr>
        <w:t xml:space="preserve"> </w:t>
      </w:r>
      <w:r>
        <w:t>y</w:t>
      </w:r>
      <w:r>
        <w:rPr>
          <w:spacing w:val="-1"/>
        </w:rPr>
        <w:t xml:space="preserve"> </w:t>
      </w:r>
      <w:r>
        <w:t>político,</w:t>
      </w:r>
      <w:r>
        <w:rPr>
          <w:spacing w:val="-1"/>
        </w:rPr>
        <w:t xml:space="preserve"> </w:t>
      </w:r>
      <w:r>
        <w:t>e</w:t>
      </w:r>
      <w:r>
        <w:rPr>
          <w:spacing w:val="-2"/>
        </w:rPr>
        <w:t xml:space="preserve"> </w:t>
      </w:r>
      <w:r>
        <w:t>incluso</w:t>
      </w:r>
      <w:r>
        <w:rPr>
          <w:spacing w:val="-1"/>
        </w:rPr>
        <w:t xml:space="preserve"> </w:t>
      </w:r>
      <w:r>
        <w:t>en</w:t>
      </w:r>
      <w:r>
        <w:rPr>
          <w:spacing w:val="-1"/>
        </w:rPr>
        <w:t xml:space="preserve"> </w:t>
      </w:r>
      <w:r>
        <w:t>la</w:t>
      </w:r>
      <w:r>
        <w:rPr>
          <w:spacing w:val="-1"/>
        </w:rPr>
        <w:t xml:space="preserve"> </w:t>
      </w:r>
      <w:r>
        <w:t>emergencia</w:t>
      </w:r>
      <w:r>
        <w:rPr>
          <w:spacing w:val="-1"/>
        </w:rPr>
        <w:t xml:space="preserve"> </w:t>
      </w:r>
      <w:r>
        <w:t>de</w:t>
      </w:r>
      <w:r>
        <w:rPr>
          <w:spacing w:val="-2"/>
        </w:rPr>
        <w:t xml:space="preserve"> </w:t>
      </w:r>
      <w:r>
        <w:t>las</w:t>
      </w:r>
      <w:r>
        <w:rPr>
          <w:spacing w:val="-1"/>
        </w:rPr>
        <w:t xml:space="preserve"> </w:t>
      </w:r>
      <w:r>
        <w:t>élites</w:t>
      </w:r>
      <w:r>
        <w:rPr>
          <w:spacing w:val="-1"/>
        </w:rPr>
        <w:t xml:space="preserve"> </w:t>
      </w:r>
      <w:r>
        <w:t>políticas</w:t>
      </w:r>
      <w:r>
        <w:rPr>
          <w:spacing w:val="-1"/>
        </w:rPr>
        <w:t xml:space="preserve"> </w:t>
      </w:r>
      <w:r>
        <w:t>y</w:t>
      </w:r>
      <w:r>
        <w:rPr>
          <w:spacing w:val="-1"/>
        </w:rPr>
        <w:t xml:space="preserve"> </w:t>
      </w:r>
      <w:r>
        <w:t>económicas</w:t>
      </w:r>
      <w:r>
        <w:rPr>
          <w:spacing w:val="-1"/>
        </w:rPr>
        <w:t xml:space="preserve"> </w:t>
      </w:r>
      <w:r>
        <w:t>de</w:t>
      </w:r>
      <w:r>
        <w:rPr>
          <w:spacing w:val="-1"/>
        </w:rPr>
        <w:t xml:space="preserve"> </w:t>
      </w:r>
      <w:r>
        <w:t>la</w:t>
      </w:r>
      <w:r>
        <w:rPr>
          <w:spacing w:val="-2"/>
        </w:rPr>
        <w:t xml:space="preserve"> </w:t>
      </w:r>
      <w:r>
        <w:t>región y la génesis del Estado local.</w:t>
      </w:r>
    </w:p>
    <w:p w:rsidR="003804AC" w:rsidRDefault="00AF18A5" w:rsidP="00FB5D2A">
      <w:r>
        <w:t>La situación de ofensiva militar y la negación de la existencia de un conflicto armado alejaron cualquier posibilidad de iniciar un proceso de negociación con las guerrillas en los tiempos de Álvaro Uribe en el Ejecutivo, pero la situación se transformó con la llegada de Juan</w:t>
      </w:r>
      <w:r>
        <w:rPr>
          <w:spacing w:val="-7"/>
        </w:rPr>
        <w:t xml:space="preserve"> </w:t>
      </w:r>
      <w:r>
        <w:t>Manuel</w:t>
      </w:r>
      <w:r>
        <w:rPr>
          <w:spacing w:val="-7"/>
        </w:rPr>
        <w:t xml:space="preserve"> </w:t>
      </w:r>
      <w:r>
        <w:t>Santos</w:t>
      </w:r>
      <w:r>
        <w:rPr>
          <w:spacing w:val="-7"/>
        </w:rPr>
        <w:t xml:space="preserve"> </w:t>
      </w:r>
      <w:r>
        <w:t>(2010-2018)</w:t>
      </w:r>
      <w:r>
        <w:rPr>
          <w:spacing w:val="-7"/>
        </w:rPr>
        <w:t xml:space="preserve"> </w:t>
      </w:r>
      <w:r>
        <w:t>al</w:t>
      </w:r>
      <w:r>
        <w:rPr>
          <w:spacing w:val="-8"/>
        </w:rPr>
        <w:t xml:space="preserve"> </w:t>
      </w:r>
      <w:r>
        <w:t>poder.</w:t>
      </w:r>
      <w:r>
        <w:rPr>
          <w:spacing w:val="-7"/>
        </w:rPr>
        <w:t xml:space="preserve"> </w:t>
      </w:r>
      <w:r>
        <w:t>En</w:t>
      </w:r>
      <w:r>
        <w:rPr>
          <w:spacing w:val="-7"/>
        </w:rPr>
        <w:t xml:space="preserve"> </w:t>
      </w:r>
      <w:r>
        <w:t>efecto,</w:t>
      </w:r>
      <w:r>
        <w:rPr>
          <w:spacing w:val="-7"/>
        </w:rPr>
        <w:t xml:space="preserve"> </w:t>
      </w:r>
      <w:r>
        <w:t>los</w:t>
      </w:r>
      <w:r>
        <w:rPr>
          <w:spacing w:val="-8"/>
        </w:rPr>
        <w:t xml:space="preserve"> </w:t>
      </w:r>
      <w:r>
        <w:t>acuerdos</w:t>
      </w:r>
      <w:r>
        <w:rPr>
          <w:spacing w:val="-7"/>
        </w:rPr>
        <w:t xml:space="preserve"> </w:t>
      </w:r>
      <w:r>
        <w:t>de</w:t>
      </w:r>
      <w:r>
        <w:rPr>
          <w:spacing w:val="-7"/>
        </w:rPr>
        <w:t xml:space="preserve"> </w:t>
      </w:r>
      <w:r>
        <w:t>La</w:t>
      </w:r>
      <w:r>
        <w:rPr>
          <w:spacing w:val="-8"/>
        </w:rPr>
        <w:t xml:space="preserve"> </w:t>
      </w:r>
      <w:r>
        <w:t>Habana</w:t>
      </w:r>
      <w:r>
        <w:rPr>
          <w:spacing w:val="-7"/>
        </w:rPr>
        <w:t xml:space="preserve"> </w:t>
      </w:r>
      <w:r>
        <w:t>alcanzados bajo su Gobierno trazaron una hoja de ruta de corto, mediano y largo plazo para superar los factores</w:t>
      </w:r>
      <w:r>
        <w:rPr>
          <w:spacing w:val="-15"/>
        </w:rPr>
        <w:t xml:space="preserve"> </w:t>
      </w:r>
      <w:r>
        <w:t>que</w:t>
      </w:r>
      <w:r>
        <w:rPr>
          <w:spacing w:val="-15"/>
        </w:rPr>
        <w:t xml:space="preserve"> </w:t>
      </w:r>
      <w:r>
        <w:t>explican</w:t>
      </w:r>
      <w:r>
        <w:rPr>
          <w:spacing w:val="-15"/>
        </w:rPr>
        <w:t xml:space="preserve"> </w:t>
      </w:r>
      <w:r>
        <w:t>la</w:t>
      </w:r>
      <w:r>
        <w:rPr>
          <w:spacing w:val="-15"/>
        </w:rPr>
        <w:t xml:space="preserve"> </w:t>
      </w:r>
      <w:r>
        <w:t>persistencia</w:t>
      </w:r>
      <w:r>
        <w:rPr>
          <w:spacing w:val="-15"/>
        </w:rPr>
        <w:t xml:space="preserve"> </w:t>
      </w:r>
      <w:r>
        <w:t>del</w:t>
      </w:r>
      <w:r>
        <w:rPr>
          <w:spacing w:val="-15"/>
        </w:rPr>
        <w:t xml:space="preserve"> </w:t>
      </w:r>
      <w:r>
        <w:t>conflicto</w:t>
      </w:r>
      <w:r>
        <w:rPr>
          <w:spacing w:val="-15"/>
        </w:rPr>
        <w:t xml:space="preserve"> </w:t>
      </w:r>
      <w:r>
        <w:t>armado.</w:t>
      </w:r>
      <w:r>
        <w:rPr>
          <w:spacing w:val="-15"/>
        </w:rPr>
        <w:t xml:space="preserve"> </w:t>
      </w:r>
      <w:r>
        <w:t>Los</w:t>
      </w:r>
      <w:r>
        <w:rPr>
          <w:spacing w:val="-15"/>
        </w:rPr>
        <w:t xml:space="preserve"> </w:t>
      </w:r>
      <w:r>
        <w:t>acuerdos</w:t>
      </w:r>
      <w:r>
        <w:rPr>
          <w:spacing w:val="-15"/>
        </w:rPr>
        <w:t xml:space="preserve"> </w:t>
      </w:r>
      <w:r>
        <w:t>fundamentales</w:t>
      </w:r>
      <w:r>
        <w:rPr>
          <w:spacing w:val="-15"/>
        </w:rPr>
        <w:t xml:space="preserve"> </w:t>
      </w:r>
      <w:r>
        <w:t>giran, pues, en torno al problema del desarrollo rural y de la concentración de la tenencia de la tierra; la cuestión del narcotráfico y los cultivos de uso ilícito; la participación política y la reincorporación a la vida civil de los excombatientes; y, finalmente, la verdad, justicia y reparación</w:t>
      </w:r>
      <w:r>
        <w:rPr>
          <w:spacing w:val="-3"/>
        </w:rPr>
        <w:t xml:space="preserve"> </w:t>
      </w:r>
      <w:r>
        <w:t>para</w:t>
      </w:r>
      <w:r>
        <w:rPr>
          <w:spacing w:val="-3"/>
        </w:rPr>
        <w:t xml:space="preserve"> </w:t>
      </w:r>
      <w:r>
        <w:t>alcanzar</w:t>
      </w:r>
      <w:r>
        <w:rPr>
          <w:spacing w:val="-4"/>
        </w:rPr>
        <w:t xml:space="preserve"> </w:t>
      </w:r>
      <w:r>
        <w:t>por</w:t>
      </w:r>
      <w:r>
        <w:rPr>
          <w:spacing w:val="-2"/>
        </w:rPr>
        <w:t xml:space="preserve"> </w:t>
      </w:r>
      <w:r>
        <w:t>fin</w:t>
      </w:r>
      <w:r>
        <w:rPr>
          <w:spacing w:val="-3"/>
        </w:rPr>
        <w:t xml:space="preserve"> </w:t>
      </w:r>
      <w:r>
        <w:t>la</w:t>
      </w:r>
      <w:r>
        <w:rPr>
          <w:spacing w:val="-3"/>
        </w:rPr>
        <w:t xml:space="preserve"> </w:t>
      </w:r>
      <w:r>
        <w:t>reconciliación</w:t>
      </w:r>
      <w:r>
        <w:rPr>
          <w:spacing w:val="-3"/>
        </w:rPr>
        <w:t xml:space="preserve"> </w:t>
      </w:r>
      <w:r>
        <w:t>entre</w:t>
      </w:r>
      <w:r>
        <w:rPr>
          <w:spacing w:val="-3"/>
        </w:rPr>
        <w:t xml:space="preserve"> </w:t>
      </w:r>
      <w:r>
        <w:t>los</w:t>
      </w:r>
      <w:r>
        <w:rPr>
          <w:spacing w:val="-3"/>
        </w:rPr>
        <w:t xml:space="preserve"> </w:t>
      </w:r>
      <w:r>
        <w:t>colombianos</w:t>
      </w:r>
      <w:r>
        <w:rPr>
          <w:spacing w:val="-2"/>
        </w:rPr>
        <w:t xml:space="preserve"> </w:t>
      </w:r>
      <w:r>
        <w:t>y</w:t>
      </w:r>
      <w:r>
        <w:rPr>
          <w:spacing w:val="-3"/>
        </w:rPr>
        <w:t xml:space="preserve"> </w:t>
      </w:r>
      <w:r>
        <w:t>las</w:t>
      </w:r>
      <w:r>
        <w:rPr>
          <w:spacing w:val="-3"/>
        </w:rPr>
        <w:t xml:space="preserve"> </w:t>
      </w:r>
      <w:r>
        <w:t>colombianas</w:t>
      </w:r>
      <w:r>
        <w:rPr>
          <w:spacing w:val="-2"/>
        </w:rPr>
        <w:t xml:space="preserve"> </w:t>
      </w:r>
      <w:r>
        <w:t>y lograr una paz estable y duradera.</w:t>
      </w:r>
    </w:p>
    <w:p w:rsidR="003804AC" w:rsidRDefault="00AF18A5" w:rsidP="00FB5D2A">
      <w:r>
        <w:t>Durante</w:t>
      </w:r>
      <w:r>
        <w:rPr>
          <w:spacing w:val="-13"/>
        </w:rPr>
        <w:t xml:space="preserve"> </w:t>
      </w:r>
      <w:r>
        <w:t>el</w:t>
      </w:r>
      <w:r>
        <w:rPr>
          <w:spacing w:val="-13"/>
        </w:rPr>
        <w:t xml:space="preserve"> </w:t>
      </w:r>
      <w:r>
        <w:t>último</w:t>
      </w:r>
      <w:r>
        <w:rPr>
          <w:spacing w:val="-12"/>
        </w:rPr>
        <w:t xml:space="preserve"> </w:t>
      </w:r>
      <w:r>
        <w:t>año</w:t>
      </w:r>
      <w:r>
        <w:rPr>
          <w:spacing w:val="-13"/>
        </w:rPr>
        <w:t xml:space="preserve"> </w:t>
      </w:r>
      <w:r>
        <w:t>de</w:t>
      </w:r>
      <w:r>
        <w:rPr>
          <w:spacing w:val="-13"/>
        </w:rPr>
        <w:t xml:space="preserve"> </w:t>
      </w:r>
      <w:r>
        <w:t>negociación</w:t>
      </w:r>
      <w:r>
        <w:rPr>
          <w:spacing w:val="-13"/>
        </w:rPr>
        <w:t xml:space="preserve"> </w:t>
      </w:r>
      <w:r>
        <w:t>y</w:t>
      </w:r>
      <w:r>
        <w:rPr>
          <w:spacing w:val="-12"/>
        </w:rPr>
        <w:t xml:space="preserve"> </w:t>
      </w:r>
      <w:r>
        <w:t>los</w:t>
      </w:r>
      <w:r>
        <w:rPr>
          <w:spacing w:val="-12"/>
        </w:rPr>
        <w:t xml:space="preserve"> </w:t>
      </w:r>
      <w:r>
        <w:t>primeros</w:t>
      </w:r>
      <w:r>
        <w:rPr>
          <w:spacing w:val="-12"/>
        </w:rPr>
        <w:t xml:space="preserve"> </w:t>
      </w:r>
      <w:r>
        <w:t>años</w:t>
      </w:r>
      <w:r>
        <w:rPr>
          <w:spacing w:val="-13"/>
        </w:rPr>
        <w:t xml:space="preserve"> </w:t>
      </w:r>
      <w:r>
        <w:t>de</w:t>
      </w:r>
      <w:r>
        <w:rPr>
          <w:spacing w:val="-13"/>
        </w:rPr>
        <w:t xml:space="preserve"> </w:t>
      </w:r>
      <w:r>
        <w:t>implementación</w:t>
      </w:r>
      <w:r>
        <w:rPr>
          <w:spacing w:val="-12"/>
        </w:rPr>
        <w:t xml:space="preserve"> </w:t>
      </w:r>
      <w:r>
        <w:t>del</w:t>
      </w:r>
      <w:r>
        <w:rPr>
          <w:spacing w:val="-11"/>
        </w:rPr>
        <w:t xml:space="preserve"> </w:t>
      </w:r>
      <w:r>
        <w:t>Acuerdo de</w:t>
      </w:r>
      <w:r>
        <w:rPr>
          <w:spacing w:val="-15"/>
        </w:rPr>
        <w:t xml:space="preserve"> </w:t>
      </w:r>
      <w:r>
        <w:t>Paz</w:t>
      </w:r>
      <w:r>
        <w:rPr>
          <w:spacing w:val="-15"/>
        </w:rPr>
        <w:t xml:space="preserve"> </w:t>
      </w:r>
      <w:r>
        <w:t>con</w:t>
      </w:r>
      <w:r>
        <w:rPr>
          <w:spacing w:val="-15"/>
        </w:rPr>
        <w:t xml:space="preserve"> </w:t>
      </w:r>
      <w:r>
        <w:t>las</w:t>
      </w:r>
      <w:r>
        <w:rPr>
          <w:spacing w:val="-15"/>
        </w:rPr>
        <w:t xml:space="preserve"> </w:t>
      </w:r>
      <w:r>
        <w:t>FARC-EP,</w:t>
      </w:r>
      <w:r>
        <w:rPr>
          <w:spacing w:val="-15"/>
        </w:rPr>
        <w:t xml:space="preserve"> </w:t>
      </w:r>
      <w:r>
        <w:t>fue</w:t>
      </w:r>
      <w:r>
        <w:rPr>
          <w:spacing w:val="-15"/>
        </w:rPr>
        <w:t xml:space="preserve"> </w:t>
      </w:r>
      <w:r>
        <w:t>evidente</w:t>
      </w:r>
      <w:r>
        <w:rPr>
          <w:spacing w:val="-15"/>
        </w:rPr>
        <w:t xml:space="preserve"> </w:t>
      </w:r>
      <w:r>
        <w:t>el</w:t>
      </w:r>
      <w:r>
        <w:rPr>
          <w:spacing w:val="-15"/>
        </w:rPr>
        <w:t xml:space="preserve"> </w:t>
      </w:r>
      <w:r>
        <w:t>descenso</w:t>
      </w:r>
      <w:r>
        <w:rPr>
          <w:spacing w:val="-15"/>
        </w:rPr>
        <w:t xml:space="preserve"> </w:t>
      </w:r>
      <w:r>
        <w:t>de</w:t>
      </w:r>
      <w:r>
        <w:rPr>
          <w:spacing w:val="-15"/>
        </w:rPr>
        <w:t xml:space="preserve"> </w:t>
      </w:r>
      <w:r>
        <w:t>los</w:t>
      </w:r>
      <w:r>
        <w:rPr>
          <w:spacing w:val="-15"/>
        </w:rPr>
        <w:t xml:space="preserve"> </w:t>
      </w:r>
      <w:r>
        <w:t>indicadores</w:t>
      </w:r>
      <w:r>
        <w:rPr>
          <w:spacing w:val="-15"/>
        </w:rPr>
        <w:t xml:space="preserve"> </w:t>
      </w:r>
      <w:r>
        <w:t>de</w:t>
      </w:r>
      <w:r>
        <w:rPr>
          <w:spacing w:val="-15"/>
        </w:rPr>
        <w:t xml:space="preserve"> </w:t>
      </w:r>
      <w:r>
        <w:t>violencia</w:t>
      </w:r>
      <w:r>
        <w:rPr>
          <w:spacing w:val="-15"/>
        </w:rPr>
        <w:t xml:space="preserve"> </w:t>
      </w:r>
      <w:r>
        <w:t>en</w:t>
      </w:r>
      <w:r>
        <w:rPr>
          <w:spacing w:val="-15"/>
        </w:rPr>
        <w:t xml:space="preserve"> </w:t>
      </w:r>
      <w:r>
        <w:t>distintas regiones</w:t>
      </w:r>
      <w:r>
        <w:rPr>
          <w:spacing w:val="-6"/>
        </w:rPr>
        <w:t xml:space="preserve"> </w:t>
      </w:r>
      <w:r>
        <w:t>del</w:t>
      </w:r>
      <w:r>
        <w:rPr>
          <w:spacing w:val="-6"/>
        </w:rPr>
        <w:t xml:space="preserve"> </w:t>
      </w:r>
      <w:r>
        <w:t>país.</w:t>
      </w:r>
      <w:r>
        <w:rPr>
          <w:spacing w:val="-5"/>
        </w:rPr>
        <w:t xml:space="preserve"> </w:t>
      </w:r>
      <w:r>
        <w:t>Un</w:t>
      </w:r>
      <w:r>
        <w:rPr>
          <w:spacing w:val="-5"/>
        </w:rPr>
        <w:t xml:space="preserve"> </w:t>
      </w:r>
      <w:r>
        <w:t>panorama</w:t>
      </w:r>
      <w:r>
        <w:rPr>
          <w:spacing w:val="-5"/>
        </w:rPr>
        <w:t xml:space="preserve"> </w:t>
      </w:r>
      <w:r>
        <w:t>positivo</w:t>
      </w:r>
      <w:r>
        <w:rPr>
          <w:spacing w:val="-5"/>
        </w:rPr>
        <w:t xml:space="preserve"> </w:t>
      </w:r>
      <w:r>
        <w:t>que,</w:t>
      </w:r>
      <w:r>
        <w:rPr>
          <w:spacing w:val="-5"/>
        </w:rPr>
        <w:t xml:space="preserve"> </w:t>
      </w:r>
      <w:r>
        <w:t>como</w:t>
      </w:r>
      <w:r>
        <w:rPr>
          <w:spacing w:val="-5"/>
        </w:rPr>
        <w:t xml:space="preserve"> </w:t>
      </w:r>
      <w:r>
        <w:t>en</w:t>
      </w:r>
      <w:r>
        <w:rPr>
          <w:spacing w:val="-5"/>
        </w:rPr>
        <w:t xml:space="preserve"> </w:t>
      </w:r>
      <w:r>
        <w:t>el</w:t>
      </w:r>
      <w:r>
        <w:rPr>
          <w:spacing w:val="-4"/>
        </w:rPr>
        <w:t xml:space="preserve"> </w:t>
      </w:r>
      <w:r>
        <w:t>pasado</w:t>
      </w:r>
      <w:r>
        <w:rPr>
          <w:spacing w:val="-5"/>
        </w:rPr>
        <w:t xml:space="preserve"> </w:t>
      </w:r>
      <w:r>
        <w:t>con</w:t>
      </w:r>
      <w:r>
        <w:rPr>
          <w:spacing w:val="-5"/>
        </w:rPr>
        <w:t xml:space="preserve"> </w:t>
      </w:r>
      <w:r>
        <w:t>otros</w:t>
      </w:r>
      <w:r>
        <w:rPr>
          <w:spacing w:val="-6"/>
        </w:rPr>
        <w:t xml:space="preserve"> </w:t>
      </w:r>
      <w:r>
        <w:t>procesos</w:t>
      </w:r>
      <w:r>
        <w:rPr>
          <w:spacing w:val="-5"/>
        </w:rPr>
        <w:t xml:space="preserve"> </w:t>
      </w:r>
      <w:r>
        <w:t>de</w:t>
      </w:r>
      <w:r>
        <w:rPr>
          <w:spacing w:val="-6"/>
        </w:rPr>
        <w:t xml:space="preserve"> </w:t>
      </w:r>
      <w:r>
        <w:t>paz</w:t>
      </w:r>
      <w:r>
        <w:rPr>
          <w:spacing w:val="-5"/>
        </w:rPr>
        <w:t xml:space="preserve"> </w:t>
      </w:r>
      <w:r>
        <w:t>y acuerdos</w:t>
      </w:r>
      <w:r>
        <w:rPr>
          <w:spacing w:val="-15"/>
        </w:rPr>
        <w:t xml:space="preserve"> </w:t>
      </w:r>
      <w:r>
        <w:t>con</w:t>
      </w:r>
      <w:r>
        <w:rPr>
          <w:spacing w:val="-15"/>
        </w:rPr>
        <w:t xml:space="preserve"> </w:t>
      </w:r>
      <w:r>
        <w:t>las</w:t>
      </w:r>
      <w:r>
        <w:rPr>
          <w:spacing w:val="-15"/>
        </w:rPr>
        <w:t xml:space="preserve"> </w:t>
      </w:r>
      <w:r>
        <w:t>guerrillas,</w:t>
      </w:r>
      <w:r>
        <w:rPr>
          <w:spacing w:val="-15"/>
        </w:rPr>
        <w:t xml:space="preserve"> </w:t>
      </w:r>
      <w:r>
        <w:t>fue</w:t>
      </w:r>
      <w:r>
        <w:rPr>
          <w:spacing w:val="-15"/>
        </w:rPr>
        <w:t xml:space="preserve"> </w:t>
      </w:r>
      <w:r>
        <w:t>aprovechado</w:t>
      </w:r>
      <w:r>
        <w:rPr>
          <w:spacing w:val="-15"/>
        </w:rPr>
        <w:t xml:space="preserve"> </w:t>
      </w:r>
      <w:r>
        <w:t>por</w:t>
      </w:r>
      <w:r>
        <w:rPr>
          <w:spacing w:val="-15"/>
        </w:rPr>
        <w:t xml:space="preserve"> </w:t>
      </w:r>
      <w:r>
        <w:t>el</w:t>
      </w:r>
      <w:r>
        <w:rPr>
          <w:spacing w:val="-15"/>
        </w:rPr>
        <w:t xml:space="preserve"> </w:t>
      </w:r>
      <w:r>
        <w:t>movimiento</w:t>
      </w:r>
      <w:r>
        <w:rPr>
          <w:spacing w:val="-15"/>
        </w:rPr>
        <w:t xml:space="preserve"> </w:t>
      </w:r>
      <w:r>
        <w:t>social</w:t>
      </w:r>
      <w:r>
        <w:rPr>
          <w:spacing w:val="-15"/>
        </w:rPr>
        <w:t xml:space="preserve"> </w:t>
      </w:r>
      <w:r>
        <w:t>como</w:t>
      </w:r>
      <w:r>
        <w:rPr>
          <w:spacing w:val="-15"/>
        </w:rPr>
        <w:t xml:space="preserve"> </w:t>
      </w:r>
      <w:r>
        <w:t>oportunidad</w:t>
      </w:r>
      <w:r>
        <w:rPr>
          <w:spacing w:val="-15"/>
        </w:rPr>
        <w:t xml:space="preserve"> </w:t>
      </w:r>
      <w:r>
        <w:t>para tramitar sus demandas sociales represadas por la vía pacífica.</w:t>
      </w:r>
    </w:p>
    <w:p w:rsidR="003804AC" w:rsidRDefault="00AF18A5" w:rsidP="00FB5D2A">
      <w:r>
        <w:t>Pronto</w:t>
      </w:r>
      <w:r>
        <w:rPr>
          <w:spacing w:val="-4"/>
        </w:rPr>
        <w:t xml:space="preserve"> </w:t>
      </w:r>
      <w:r>
        <w:t>este</w:t>
      </w:r>
      <w:r>
        <w:rPr>
          <w:spacing w:val="-5"/>
        </w:rPr>
        <w:t xml:space="preserve"> </w:t>
      </w:r>
      <w:r>
        <w:t>esfuerzo</w:t>
      </w:r>
      <w:r>
        <w:rPr>
          <w:spacing w:val="-4"/>
        </w:rPr>
        <w:t xml:space="preserve"> </w:t>
      </w:r>
      <w:r>
        <w:t>de</w:t>
      </w:r>
      <w:r>
        <w:rPr>
          <w:spacing w:val="-3"/>
        </w:rPr>
        <w:t xml:space="preserve"> </w:t>
      </w:r>
      <w:r>
        <w:t>resistencia</w:t>
      </w:r>
      <w:r>
        <w:rPr>
          <w:spacing w:val="-3"/>
        </w:rPr>
        <w:t xml:space="preserve"> </w:t>
      </w:r>
      <w:r>
        <w:t>y</w:t>
      </w:r>
      <w:r>
        <w:rPr>
          <w:spacing w:val="-5"/>
        </w:rPr>
        <w:t xml:space="preserve"> </w:t>
      </w:r>
      <w:r>
        <w:t>de</w:t>
      </w:r>
      <w:r>
        <w:rPr>
          <w:spacing w:val="-3"/>
        </w:rPr>
        <w:t xml:space="preserve"> </w:t>
      </w:r>
      <w:r>
        <w:t>valor</w:t>
      </w:r>
      <w:r>
        <w:rPr>
          <w:spacing w:val="-3"/>
        </w:rPr>
        <w:t xml:space="preserve"> </w:t>
      </w:r>
      <w:r>
        <w:t>comenzaría</w:t>
      </w:r>
      <w:r>
        <w:rPr>
          <w:spacing w:val="-3"/>
        </w:rPr>
        <w:t xml:space="preserve"> </w:t>
      </w:r>
      <w:r>
        <w:t>a</w:t>
      </w:r>
      <w:r>
        <w:rPr>
          <w:spacing w:val="-3"/>
        </w:rPr>
        <w:t xml:space="preserve"> </w:t>
      </w:r>
      <w:r>
        <w:t>ser</w:t>
      </w:r>
      <w:r>
        <w:rPr>
          <w:spacing w:val="-3"/>
        </w:rPr>
        <w:t xml:space="preserve"> </w:t>
      </w:r>
      <w:r>
        <w:t>revertido.</w:t>
      </w:r>
      <w:r>
        <w:rPr>
          <w:spacing w:val="-5"/>
        </w:rPr>
        <w:t xml:space="preserve"> </w:t>
      </w:r>
      <w:r>
        <w:t>El</w:t>
      </w:r>
      <w:r>
        <w:rPr>
          <w:spacing w:val="-3"/>
        </w:rPr>
        <w:t xml:space="preserve"> </w:t>
      </w:r>
      <w:r>
        <w:t>desarrollo</w:t>
      </w:r>
      <w:r>
        <w:rPr>
          <w:spacing w:val="-4"/>
        </w:rPr>
        <w:t xml:space="preserve"> </w:t>
      </w:r>
      <w:r>
        <w:t>de las</w:t>
      </w:r>
      <w:r>
        <w:rPr>
          <w:spacing w:val="-4"/>
        </w:rPr>
        <w:t xml:space="preserve"> </w:t>
      </w:r>
      <w:r>
        <w:t>negociaciones,</w:t>
      </w:r>
      <w:r>
        <w:rPr>
          <w:spacing w:val="-4"/>
        </w:rPr>
        <w:t xml:space="preserve"> </w:t>
      </w:r>
      <w:r>
        <w:t>sus</w:t>
      </w:r>
      <w:r>
        <w:rPr>
          <w:spacing w:val="-4"/>
        </w:rPr>
        <w:t xml:space="preserve"> </w:t>
      </w:r>
      <w:r>
        <w:t>contenidos</w:t>
      </w:r>
      <w:r>
        <w:rPr>
          <w:spacing w:val="-4"/>
        </w:rPr>
        <w:t xml:space="preserve"> </w:t>
      </w:r>
      <w:r>
        <w:t>y</w:t>
      </w:r>
      <w:r>
        <w:rPr>
          <w:spacing w:val="-4"/>
        </w:rPr>
        <w:t xml:space="preserve"> </w:t>
      </w:r>
      <w:r>
        <w:t>su</w:t>
      </w:r>
      <w:r>
        <w:rPr>
          <w:spacing w:val="-4"/>
        </w:rPr>
        <w:t xml:space="preserve"> </w:t>
      </w:r>
      <w:r>
        <w:t>implementación</w:t>
      </w:r>
      <w:r>
        <w:rPr>
          <w:spacing w:val="-5"/>
        </w:rPr>
        <w:t xml:space="preserve"> </w:t>
      </w:r>
      <w:r>
        <w:t>se</w:t>
      </w:r>
      <w:r>
        <w:rPr>
          <w:spacing w:val="-4"/>
        </w:rPr>
        <w:t xml:space="preserve"> </w:t>
      </w:r>
      <w:r>
        <w:t>enfrentaron</w:t>
      </w:r>
      <w:r>
        <w:rPr>
          <w:spacing w:val="-5"/>
        </w:rPr>
        <w:t xml:space="preserve"> </w:t>
      </w:r>
      <w:r>
        <w:t>a</w:t>
      </w:r>
      <w:r>
        <w:rPr>
          <w:spacing w:val="-4"/>
        </w:rPr>
        <w:t xml:space="preserve"> </w:t>
      </w:r>
      <w:r>
        <w:t>problemas</w:t>
      </w:r>
      <w:r>
        <w:rPr>
          <w:spacing w:val="-4"/>
        </w:rPr>
        <w:t xml:space="preserve"> </w:t>
      </w:r>
      <w:r>
        <w:t>como</w:t>
      </w:r>
      <w:r>
        <w:rPr>
          <w:spacing w:val="-4"/>
        </w:rPr>
        <w:t xml:space="preserve"> </w:t>
      </w:r>
      <w:r>
        <w:t xml:space="preserve">las fallas en la </w:t>
      </w:r>
      <w:r>
        <w:lastRenderedPageBreak/>
        <w:t>comunicación para promocionar los beneficios de la paz; la incapacidad del Estado</w:t>
      </w:r>
      <w:r>
        <w:rPr>
          <w:spacing w:val="-5"/>
        </w:rPr>
        <w:t xml:space="preserve"> </w:t>
      </w:r>
      <w:r>
        <w:t>en</w:t>
      </w:r>
      <w:r>
        <w:rPr>
          <w:spacing w:val="-6"/>
        </w:rPr>
        <w:t xml:space="preserve"> </w:t>
      </w:r>
      <w:r>
        <w:t>los</w:t>
      </w:r>
      <w:r>
        <w:rPr>
          <w:spacing w:val="-5"/>
        </w:rPr>
        <w:t xml:space="preserve"> </w:t>
      </w:r>
      <w:r>
        <w:t>niveles</w:t>
      </w:r>
      <w:r>
        <w:rPr>
          <w:spacing w:val="-6"/>
        </w:rPr>
        <w:t xml:space="preserve"> </w:t>
      </w:r>
      <w:r>
        <w:t>locales</w:t>
      </w:r>
      <w:r>
        <w:rPr>
          <w:spacing w:val="-6"/>
        </w:rPr>
        <w:t xml:space="preserve"> </w:t>
      </w:r>
      <w:r>
        <w:t>y</w:t>
      </w:r>
      <w:r>
        <w:rPr>
          <w:spacing w:val="-5"/>
        </w:rPr>
        <w:t xml:space="preserve"> </w:t>
      </w:r>
      <w:proofErr w:type="spellStart"/>
      <w:r>
        <w:t>sublocales</w:t>
      </w:r>
      <w:proofErr w:type="spellEnd"/>
      <w:r>
        <w:rPr>
          <w:spacing w:val="-6"/>
        </w:rPr>
        <w:t xml:space="preserve"> </w:t>
      </w:r>
      <w:r>
        <w:t>para</w:t>
      </w:r>
      <w:r>
        <w:rPr>
          <w:spacing w:val="-4"/>
        </w:rPr>
        <w:t xml:space="preserve"> </w:t>
      </w:r>
      <w:r>
        <w:t>hacer</w:t>
      </w:r>
      <w:r>
        <w:rPr>
          <w:spacing w:val="-5"/>
        </w:rPr>
        <w:t xml:space="preserve"> </w:t>
      </w:r>
      <w:r>
        <w:t>una</w:t>
      </w:r>
      <w:r>
        <w:rPr>
          <w:spacing w:val="-4"/>
        </w:rPr>
        <w:t xml:space="preserve"> </w:t>
      </w:r>
      <w:r>
        <w:t>presencia</w:t>
      </w:r>
      <w:r>
        <w:rPr>
          <w:spacing w:val="-6"/>
        </w:rPr>
        <w:t xml:space="preserve"> </w:t>
      </w:r>
      <w:r>
        <w:t>integral;</w:t>
      </w:r>
      <w:r>
        <w:rPr>
          <w:spacing w:val="-5"/>
        </w:rPr>
        <w:t xml:space="preserve"> </w:t>
      </w:r>
      <w:r>
        <w:t>la</w:t>
      </w:r>
      <w:r>
        <w:rPr>
          <w:spacing w:val="-6"/>
        </w:rPr>
        <w:t xml:space="preserve"> </w:t>
      </w:r>
      <w:r>
        <w:t>resistencia</w:t>
      </w:r>
      <w:r>
        <w:rPr>
          <w:spacing w:val="-4"/>
        </w:rPr>
        <w:t xml:space="preserve"> </w:t>
      </w:r>
      <w:r>
        <w:t>de los</w:t>
      </w:r>
      <w:r>
        <w:rPr>
          <w:spacing w:val="66"/>
        </w:rPr>
        <w:t xml:space="preserve"> </w:t>
      </w:r>
      <w:r>
        <w:t>poderes</w:t>
      </w:r>
      <w:r>
        <w:rPr>
          <w:spacing w:val="67"/>
        </w:rPr>
        <w:t xml:space="preserve"> </w:t>
      </w:r>
      <w:r>
        <w:t>locales</w:t>
      </w:r>
      <w:r>
        <w:rPr>
          <w:spacing w:val="68"/>
        </w:rPr>
        <w:t xml:space="preserve"> </w:t>
      </w:r>
      <w:r>
        <w:t>y</w:t>
      </w:r>
      <w:r>
        <w:rPr>
          <w:spacing w:val="67"/>
        </w:rPr>
        <w:t xml:space="preserve"> </w:t>
      </w:r>
      <w:r>
        <w:t>regionales</w:t>
      </w:r>
      <w:r>
        <w:rPr>
          <w:spacing w:val="68"/>
        </w:rPr>
        <w:t xml:space="preserve"> </w:t>
      </w:r>
      <w:r>
        <w:t>a</w:t>
      </w:r>
      <w:r>
        <w:rPr>
          <w:spacing w:val="67"/>
        </w:rPr>
        <w:t xml:space="preserve"> </w:t>
      </w:r>
      <w:r>
        <w:t>las</w:t>
      </w:r>
      <w:r>
        <w:rPr>
          <w:spacing w:val="69"/>
        </w:rPr>
        <w:t xml:space="preserve"> </w:t>
      </w:r>
      <w:r>
        <w:t>reformas</w:t>
      </w:r>
      <w:r>
        <w:rPr>
          <w:spacing w:val="68"/>
        </w:rPr>
        <w:t xml:space="preserve"> </w:t>
      </w:r>
      <w:r>
        <w:t>y</w:t>
      </w:r>
      <w:r>
        <w:rPr>
          <w:spacing w:val="68"/>
        </w:rPr>
        <w:t xml:space="preserve"> </w:t>
      </w:r>
      <w:r>
        <w:t>los</w:t>
      </w:r>
      <w:r>
        <w:rPr>
          <w:spacing w:val="68"/>
        </w:rPr>
        <w:t xml:space="preserve"> </w:t>
      </w:r>
      <w:r>
        <w:t>diálogos;</w:t>
      </w:r>
      <w:r>
        <w:rPr>
          <w:spacing w:val="67"/>
        </w:rPr>
        <w:t xml:space="preserve"> </w:t>
      </w:r>
      <w:r>
        <w:t>la</w:t>
      </w:r>
      <w:r>
        <w:rPr>
          <w:spacing w:val="67"/>
        </w:rPr>
        <w:t xml:space="preserve"> </w:t>
      </w:r>
      <w:r>
        <w:t>desconfianza</w:t>
      </w:r>
      <w:r>
        <w:rPr>
          <w:spacing w:val="68"/>
        </w:rPr>
        <w:t xml:space="preserve"> </w:t>
      </w:r>
      <w:r>
        <w:t>y</w:t>
      </w:r>
      <w:r>
        <w:rPr>
          <w:spacing w:val="69"/>
        </w:rPr>
        <w:t xml:space="preserve"> </w:t>
      </w:r>
      <w:r>
        <w:rPr>
          <w:spacing w:val="-5"/>
        </w:rPr>
        <w:t>el</w:t>
      </w:r>
      <w:r w:rsidR="00FB5D2A">
        <w:rPr>
          <w:spacing w:val="-5"/>
        </w:rPr>
        <w:t xml:space="preserve"> </w:t>
      </w:r>
      <w:r>
        <w:t>escepticismo de una parte importante de la población; y la hostilidad de algunos medios de comunicación y sectores políticos para con el acuerdo de paz con las FARC-EP</w:t>
      </w:r>
      <w:r w:rsidR="00FB5D2A">
        <w:rPr>
          <w:rStyle w:val="Refdenotaalpie"/>
        </w:rPr>
        <w:footnoteReference w:id="213"/>
      </w:r>
      <w:r>
        <w:t>.</w:t>
      </w:r>
    </w:p>
    <w:p w:rsidR="003804AC" w:rsidRDefault="00AF18A5" w:rsidP="00FB5D2A">
      <w:r>
        <w:t>El</w:t>
      </w:r>
      <w:r>
        <w:rPr>
          <w:spacing w:val="-6"/>
        </w:rPr>
        <w:t xml:space="preserve"> </w:t>
      </w:r>
      <w:r>
        <w:t>triunfo</w:t>
      </w:r>
      <w:r>
        <w:rPr>
          <w:spacing w:val="-6"/>
        </w:rPr>
        <w:t xml:space="preserve"> </w:t>
      </w:r>
      <w:r>
        <w:t>del</w:t>
      </w:r>
      <w:r>
        <w:rPr>
          <w:spacing w:val="-6"/>
        </w:rPr>
        <w:t xml:space="preserve"> </w:t>
      </w:r>
      <w:r>
        <w:t>«No»,</w:t>
      </w:r>
      <w:r>
        <w:rPr>
          <w:spacing w:val="-6"/>
        </w:rPr>
        <w:t xml:space="preserve"> </w:t>
      </w:r>
      <w:r>
        <w:t>por</w:t>
      </w:r>
      <w:r>
        <w:rPr>
          <w:spacing w:val="-4"/>
        </w:rPr>
        <w:t xml:space="preserve"> </w:t>
      </w:r>
      <w:r>
        <w:t>una</w:t>
      </w:r>
      <w:r>
        <w:rPr>
          <w:spacing w:val="-6"/>
        </w:rPr>
        <w:t xml:space="preserve"> </w:t>
      </w:r>
      <w:r>
        <w:t>diferencia</w:t>
      </w:r>
      <w:r>
        <w:rPr>
          <w:spacing w:val="-6"/>
        </w:rPr>
        <w:t xml:space="preserve"> </w:t>
      </w:r>
      <w:r>
        <w:t>de</w:t>
      </w:r>
      <w:r>
        <w:rPr>
          <w:spacing w:val="-6"/>
        </w:rPr>
        <w:t xml:space="preserve"> </w:t>
      </w:r>
      <w:r>
        <w:t>60.000</w:t>
      </w:r>
      <w:r>
        <w:rPr>
          <w:spacing w:val="-6"/>
        </w:rPr>
        <w:t xml:space="preserve"> </w:t>
      </w:r>
      <w:r>
        <w:t>votos</w:t>
      </w:r>
      <w:r>
        <w:rPr>
          <w:spacing w:val="-6"/>
        </w:rPr>
        <w:t xml:space="preserve"> </w:t>
      </w:r>
      <w:r>
        <w:t>y</w:t>
      </w:r>
      <w:r>
        <w:rPr>
          <w:spacing w:val="-6"/>
        </w:rPr>
        <w:t xml:space="preserve"> </w:t>
      </w:r>
      <w:r>
        <w:t>con</w:t>
      </w:r>
      <w:r>
        <w:rPr>
          <w:spacing w:val="-5"/>
        </w:rPr>
        <w:t xml:space="preserve"> </w:t>
      </w:r>
      <w:r>
        <w:t>una</w:t>
      </w:r>
      <w:r>
        <w:rPr>
          <w:spacing w:val="-6"/>
        </w:rPr>
        <w:t xml:space="preserve"> </w:t>
      </w:r>
      <w:r>
        <w:t>abstención</w:t>
      </w:r>
      <w:r>
        <w:rPr>
          <w:spacing w:val="-6"/>
        </w:rPr>
        <w:t xml:space="preserve"> </w:t>
      </w:r>
      <w:r>
        <w:t>del</w:t>
      </w:r>
      <w:r>
        <w:rPr>
          <w:spacing w:val="-6"/>
        </w:rPr>
        <w:t xml:space="preserve"> </w:t>
      </w:r>
      <w:r>
        <w:t>62</w:t>
      </w:r>
      <w:r>
        <w:rPr>
          <w:spacing w:val="-2"/>
        </w:rPr>
        <w:t xml:space="preserve"> </w:t>
      </w:r>
      <w:r>
        <w:t>%</w:t>
      </w:r>
      <w:r>
        <w:rPr>
          <w:spacing w:val="-5"/>
        </w:rPr>
        <w:t xml:space="preserve"> </w:t>
      </w:r>
      <w:r>
        <w:t>en la</w:t>
      </w:r>
      <w:r>
        <w:rPr>
          <w:spacing w:val="-7"/>
        </w:rPr>
        <w:t xml:space="preserve"> </w:t>
      </w:r>
      <w:r>
        <w:t>refrendación</w:t>
      </w:r>
      <w:r>
        <w:rPr>
          <w:spacing w:val="-6"/>
        </w:rPr>
        <w:t xml:space="preserve"> </w:t>
      </w:r>
      <w:r>
        <w:t>del</w:t>
      </w:r>
      <w:r>
        <w:rPr>
          <w:spacing w:val="-7"/>
        </w:rPr>
        <w:t xml:space="preserve"> </w:t>
      </w:r>
      <w:r>
        <w:t>Acuerdo</w:t>
      </w:r>
      <w:r>
        <w:rPr>
          <w:spacing w:val="-6"/>
        </w:rPr>
        <w:t xml:space="preserve"> </w:t>
      </w:r>
      <w:r>
        <w:t>Final</w:t>
      </w:r>
      <w:r>
        <w:rPr>
          <w:spacing w:val="-5"/>
        </w:rPr>
        <w:t xml:space="preserve"> </w:t>
      </w:r>
      <w:r>
        <w:t>para</w:t>
      </w:r>
      <w:r>
        <w:rPr>
          <w:spacing w:val="-7"/>
        </w:rPr>
        <w:t xml:space="preserve"> </w:t>
      </w:r>
      <w:r>
        <w:t>la</w:t>
      </w:r>
      <w:r>
        <w:rPr>
          <w:spacing w:val="-6"/>
        </w:rPr>
        <w:t xml:space="preserve"> </w:t>
      </w:r>
      <w:r>
        <w:t>Terminación</w:t>
      </w:r>
      <w:r>
        <w:rPr>
          <w:spacing w:val="-6"/>
        </w:rPr>
        <w:t xml:space="preserve"> </w:t>
      </w:r>
      <w:r>
        <w:t>del</w:t>
      </w:r>
      <w:r>
        <w:rPr>
          <w:spacing w:val="-7"/>
        </w:rPr>
        <w:t xml:space="preserve"> </w:t>
      </w:r>
      <w:r>
        <w:t>Conflicto</w:t>
      </w:r>
      <w:r>
        <w:rPr>
          <w:spacing w:val="-7"/>
        </w:rPr>
        <w:t xml:space="preserve"> </w:t>
      </w:r>
      <w:r>
        <w:t>en</w:t>
      </w:r>
      <w:r>
        <w:rPr>
          <w:spacing w:val="-6"/>
        </w:rPr>
        <w:t xml:space="preserve"> </w:t>
      </w:r>
      <w:r>
        <w:t>Colombia,</w:t>
      </w:r>
      <w:r>
        <w:rPr>
          <w:spacing w:val="-6"/>
        </w:rPr>
        <w:t xml:space="preserve"> </w:t>
      </w:r>
      <w:r>
        <w:t>facilitó</w:t>
      </w:r>
      <w:r>
        <w:rPr>
          <w:spacing w:val="-6"/>
        </w:rPr>
        <w:t xml:space="preserve"> </w:t>
      </w:r>
      <w:r>
        <w:t>el escenario de polarización y deslegitimación de lo pactado en La Habana y determinó los límites en la implementación de dicho acuerdo, favoreciendo con ello la persistencia del conflicto</w:t>
      </w:r>
      <w:r>
        <w:rPr>
          <w:spacing w:val="-8"/>
        </w:rPr>
        <w:t xml:space="preserve"> </w:t>
      </w:r>
      <w:r>
        <w:t>armado.</w:t>
      </w:r>
      <w:r>
        <w:rPr>
          <w:spacing w:val="-7"/>
        </w:rPr>
        <w:t xml:space="preserve"> </w:t>
      </w:r>
      <w:r>
        <w:t>Ese</w:t>
      </w:r>
      <w:r>
        <w:rPr>
          <w:spacing w:val="-8"/>
        </w:rPr>
        <w:t xml:space="preserve"> </w:t>
      </w:r>
      <w:r>
        <w:t>resultado</w:t>
      </w:r>
      <w:r>
        <w:rPr>
          <w:spacing w:val="-7"/>
        </w:rPr>
        <w:t xml:space="preserve"> </w:t>
      </w:r>
      <w:r>
        <w:t>minó</w:t>
      </w:r>
      <w:r>
        <w:rPr>
          <w:spacing w:val="-7"/>
        </w:rPr>
        <w:t xml:space="preserve"> </w:t>
      </w:r>
      <w:r>
        <w:t>la</w:t>
      </w:r>
      <w:r>
        <w:rPr>
          <w:spacing w:val="-8"/>
        </w:rPr>
        <w:t xml:space="preserve"> </w:t>
      </w:r>
      <w:r>
        <w:t>confianza,</w:t>
      </w:r>
      <w:r>
        <w:rPr>
          <w:spacing w:val="-7"/>
        </w:rPr>
        <w:t xml:space="preserve"> </w:t>
      </w:r>
      <w:r>
        <w:t>alimentó</w:t>
      </w:r>
      <w:r>
        <w:rPr>
          <w:spacing w:val="-7"/>
        </w:rPr>
        <w:t xml:space="preserve"> </w:t>
      </w:r>
      <w:r>
        <w:t>la</w:t>
      </w:r>
      <w:r>
        <w:rPr>
          <w:spacing w:val="-8"/>
        </w:rPr>
        <w:t xml:space="preserve"> </w:t>
      </w:r>
      <w:r>
        <w:t>estigmatización</w:t>
      </w:r>
      <w:r>
        <w:rPr>
          <w:spacing w:val="-7"/>
        </w:rPr>
        <w:t xml:space="preserve"> </w:t>
      </w:r>
      <w:r>
        <w:t>y</w:t>
      </w:r>
      <w:r>
        <w:rPr>
          <w:spacing w:val="-8"/>
        </w:rPr>
        <w:t xml:space="preserve"> </w:t>
      </w:r>
      <w:r>
        <w:t>condicionó el proceso de reincorporación política, económica y social de los excombatientes de las FARC-EP, situación agravada por la división interna de las FARC-EP y la emergencia de disidencias que se han convertido en un factor directo de inseguridad para los excombatientes.</w:t>
      </w:r>
      <w:r w:rsidR="00FB5D2A">
        <w:rPr>
          <w:rStyle w:val="Refdenotaalpie"/>
        </w:rPr>
        <w:footnoteReference w:id="214"/>
      </w:r>
      <w:r>
        <w:t xml:space="preserve"> El Estado no cumplió con la promesa de atender las demandas en los territorios que desocuparon las FARC-EP. A partir de 2018, la oposición del Ejecutivo y el partido</w:t>
      </w:r>
      <w:r>
        <w:rPr>
          <w:spacing w:val="-1"/>
        </w:rPr>
        <w:t xml:space="preserve"> </w:t>
      </w:r>
      <w:r>
        <w:t>de</w:t>
      </w:r>
      <w:r>
        <w:rPr>
          <w:spacing w:val="-1"/>
        </w:rPr>
        <w:t xml:space="preserve"> </w:t>
      </w:r>
      <w:r>
        <w:t>gobierno</w:t>
      </w:r>
      <w:r>
        <w:rPr>
          <w:spacing w:val="-1"/>
        </w:rPr>
        <w:t xml:space="preserve"> </w:t>
      </w:r>
      <w:r>
        <w:t>a</w:t>
      </w:r>
      <w:r>
        <w:rPr>
          <w:spacing w:val="-2"/>
        </w:rPr>
        <w:t xml:space="preserve"> </w:t>
      </w:r>
      <w:r>
        <w:t>asumir</w:t>
      </w:r>
      <w:r>
        <w:rPr>
          <w:spacing w:val="-2"/>
        </w:rPr>
        <w:t xml:space="preserve"> </w:t>
      </w:r>
      <w:r>
        <w:t>el</w:t>
      </w:r>
      <w:r>
        <w:rPr>
          <w:spacing w:val="-2"/>
        </w:rPr>
        <w:t xml:space="preserve"> </w:t>
      </w:r>
      <w:r>
        <w:t>acuerdo</w:t>
      </w:r>
      <w:r>
        <w:rPr>
          <w:spacing w:val="-1"/>
        </w:rPr>
        <w:t xml:space="preserve"> </w:t>
      </w:r>
      <w:r>
        <w:t>y</w:t>
      </w:r>
      <w:r>
        <w:rPr>
          <w:spacing w:val="-1"/>
        </w:rPr>
        <w:t xml:space="preserve"> </w:t>
      </w:r>
      <w:r>
        <w:t>el</w:t>
      </w:r>
      <w:r>
        <w:rPr>
          <w:spacing w:val="-2"/>
        </w:rPr>
        <w:t xml:space="preserve"> </w:t>
      </w:r>
      <w:r>
        <w:t>cuestionamiento</w:t>
      </w:r>
      <w:r>
        <w:rPr>
          <w:spacing w:val="-3"/>
        </w:rPr>
        <w:t xml:space="preserve"> </w:t>
      </w:r>
      <w:r>
        <w:t>de</w:t>
      </w:r>
      <w:r>
        <w:rPr>
          <w:spacing w:val="-1"/>
        </w:rPr>
        <w:t xml:space="preserve"> </w:t>
      </w:r>
      <w:r>
        <w:t>algunas</w:t>
      </w:r>
      <w:r>
        <w:rPr>
          <w:spacing w:val="-2"/>
        </w:rPr>
        <w:t xml:space="preserve"> </w:t>
      </w:r>
      <w:r>
        <w:t>de</w:t>
      </w:r>
      <w:r>
        <w:rPr>
          <w:spacing w:val="-1"/>
        </w:rPr>
        <w:t xml:space="preserve"> </w:t>
      </w:r>
      <w:r>
        <w:t>las</w:t>
      </w:r>
      <w:r>
        <w:rPr>
          <w:spacing w:val="-2"/>
        </w:rPr>
        <w:t xml:space="preserve"> </w:t>
      </w:r>
      <w:r>
        <w:t>instituciones del Sistema Integral para la Paz, enmarcaron el posicionamiento de un discurso que ha desestimado las dimensiones políticas del acuerdo con las FARC-EP.</w:t>
      </w:r>
    </w:p>
    <w:p w:rsidR="003804AC" w:rsidRDefault="00AF18A5" w:rsidP="00FB5D2A">
      <w:r>
        <w:lastRenderedPageBreak/>
        <w:t>Por otro lado, el ELN emprendió en este contexto de implementación un proceso de expansión territorial, dentro de una nueva trayectoria militar y organizacional</w:t>
      </w:r>
      <w:r w:rsidR="00FB5D2A">
        <w:rPr>
          <w:rStyle w:val="Refdenotaalpie"/>
        </w:rPr>
        <w:footnoteReference w:id="215"/>
      </w:r>
      <w:r>
        <w:t>. Este reacomodo, si bien antecedió al Acuerdo de Paz con las FARC-EP, fue facilitado por su repunte</w:t>
      </w:r>
      <w:r>
        <w:rPr>
          <w:spacing w:val="20"/>
        </w:rPr>
        <w:t xml:space="preserve"> </w:t>
      </w:r>
      <w:r>
        <w:t>militar</w:t>
      </w:r>
      <w:r>
        <w:rPr>
          <w:spacing w:val="24"/>
        </w:rPr>
        <w:t xml:space="preserve"> </w:t>
      </w:r>
      <w:r>
        <w:t>y</w:t>
      </w:r>
      <w:r>
        <w:rPr>
          <w:spacing w:val="23"/>
        </w:rPr>
        <w:t xml:space="preserve"> </w:t>
      </w:r>
      <w:r>
        <w:t>la</w:t>
      </w:r>
      <w:r>
        <w:rPr>
          <w:spacing w:val="23"/>
        </w:rPr>
        <w:t xml:space="preserve"> </w:t>
      </w:r>
      <w:r>
        <w:t>diversificación</w:t>
      </w:r>
      <w:r>
        <w:rPr>
          <w:spacing w:val="23"/>
        </w:rPr>
        <w:t xml:space="preserve"> </w:t>
      </w:r>
      <w:r>
        <w:t>de</w:t>
      </w:r>
      <w:r>
        <w:rPr>
          <w:spacing w:val="24"/>
        </w:rPr>
        <w:t xml:space="preserve"> </w:t>
      </w:r>
      <w:r>
        <w:t>sus</w:t>
      </w:r>
      <w:r>
        <w:rPr>
          <w:spacing w:val="23"/>
        </w:rPr>
        <w:t xml:space="preserve"> </w:t>
      </w:r>
      <w:r>
        <w:t>fuentes</w:t>
      </w:r>
      <w:r>
        <w:rPr>
          <w:spacing w:val="24"/>
        </w:rPr>
        <w:t xml:space="preserve"> </w:t>
      </w:r>
      <w:r>
        <w:t>de</w:t>
      </w:r>
      <w:r>
        <w:rPr>
          <w:spacing w:val="24"/>
        </w:rPr>
        <w:t xml:space="preserve"> </w:t>
      </w:r>
      <w:r>
        <w:t>recursos.</w:t>
      </w:r>
      <w:r>
        <w:rPr>
          <w:spacing w:val="23"/>
        </w:rPr>
        <w:t xml:space="preserve"> </w:t>
      </w:r>
      <w:r>
        <w:t>En</w:t>
      </w:r>
      <w:r>
        <w:rPr>
          <w:spacing w:val="24"/>
        </w:rPr>
        <w:t xml:space="preserve"> </w:t>
      </w:r>
      <w:r>
        <w:t>años</w:t>
      </w:r>
      <w:r>
        <w:rPr>
          <w:spacing w:val="23"/>
        </w:rPr>
        <w:t xml:space="preserve"> </w:t>
      </w:r>
      <w:r>
        <w:t>recientes,</w:t>
      </w:r>
      <w:r>
        <w:rPr>
          <w:spacing w:val="23"/>
        </w:rPr>
        <w:t xml:space="preserve"> </w:t>
      </w:r>
      <w:r>
        <w:t>el</w:t>
      </w:r>
      <w:r>
        <w:rPr>
          <w:spacing w:val="23"/>
        </w:rPr>
        <w:t xml:space="preserve"> </w:t>
      </w:r>
      <w:r>
        <w:rPr>
          <w:spacing w:val="-5"/>
        </w:rPr>
        <w:t>ELN</w:t>
      </w:r>
      <w:bookmarkStart w:id="334" w:name="_bookmark250"/>
      <w:bookmarkStart w:id="335" w:name="_bookmark251"/>
      <w:bookmarkStart w:id="336" w:name="_bookmark252"/>
      <w:bookmarkEnd w:id="334"/>
      <w:bookmarkEnd w:id="335"/>
      <w:bookmarkEnd w:id="336"/>
      <w:r w:rsidR="00FB5D2A">
        <w:t xml:space="preserve"> </w:t>
      </w:r>
      <w:r>
        <w:t>aumentó</w:t>
      </w:r>
      <w:r>
        <w:rPr>
          <w:spacing w:val="-9"/>
        </w:rPr>
        <w:t xml:space="preserve"> </w:t>
      </w:r>
      <w:r>
        <w:t>su</w:t>
      </w:r>
      <w:r>
        <w:rPr>
          <w:spacing w:val="-9"/>
        </w:rPr>
        <w:t xml:space="preserve"> </w:t>
      </w:r>
      <w:r>
        <w:t>pie</w:t>
      </w:r>
      <w:r>
        <w:rPr>
          <w:spacing w:val="-8"/>
        </w:rPr>
        <w:t xml:space="preserve"> </w:t>
      </w:r>
      <w:r>
        <w:t>de</w:t>
      </w:r>
      <w:r>
        <w:rPr>
          <w:spacing w:val="-9"/>
        </w:rPr>
        <w:t xml:space="preserve"> </w:t>
      </w:r>
      <w:r>
        <w:t>fuerza:</w:t>
      </w:r>
      <w:r>
        <w:rPr>
          <w:spacing w:val="-8"/>
        </w:rPr>
        <w:t xml:space="preserve"> </w:t>
      </w:r>
      <w:r>
        <w:t>para</w:t>
      </w:r>
      <w:r>
        <w:rPr>
          <w:spacing w:val="-8"/>
        </w:rPr>
        <w:t xml:space="preserve"> </w:t>
      </w:r>
      <w:r>
        <w:t>2016</w:t>
      </w:r>
      <w:r>
        <w:rPr>
          <w:spacing w:val="-9"/>
        </w:rPr>
        <w:t xml:space="preserve"> </w:t>
      </w:r>
      <w:r>
        <w:t>contaba</w:t>
      </w:r>
      <w:r>
        <w:rPr>
          <w:spacing w:val="-9"/>
        </w:rPr>
        <w:t xml:space="preserve"> </w:t>
      </w:r>
      <w:r>
        <w:t>con</w:t>
      </w:r>
      <w:r>
        <w:rPr>
          <w:spacing w:val="-9"/>
        </w:rPr>
        <w:t xml:space="preserve"> </w:t>
      </w:r>
      <w:r>
        <w:t>2.972</w:t>
      </w:r>
      <w:r>
        <w:rPr>
          <w:spacing w:val="-8"/>
        </w:rPr>
        <w:t xml:space="preserve"> </w:t>
      </w:r>
      <w:r>
        <w:t>integrantes</w:t>
      </w:r>
      <w:r>
        <w:rPr>
          <w:spacing w:val="-9"/>
        </w:rPr>
        <w:t xml:space="preserve"> </w:t>
      </w:r>
      <w:r>
        <w:t>(entre</w:t>
      </w:r>
      <w:r>
        <w:rPr>
          <w:spacing w:val="-9"/>
        </w:rPr>
        <w:t xml:space="preserve"> </w:t>
      </w:r>
      <w:r>
        <w:t>hombres</w:t>
      </w:r>
      <w:r>
        <w:rPr>
          <w:spacing w:val="-9"/>
        </w:rPr>
        <w:t xml:space="preserve"> </w:t>
      </w:r>
      <w:r>
        <w:t>y</w:t>
      </w:r>
      <w:r>
        <w:rPr>
          <w:spacing w:val="-9"/>
        </w:rPr>
        <w:t xml:space="preserve"> </w:t>
      </w:r>
      <w:r>
        <w:t>mujeres en armas y redes de apoyo), en 2019 pasó a 4.879 y en 2021 llegó a 5.187 miembros (2.570 hombres y mujeres en armas), según el Ministerio de Defensa</w:t>
      </w:r>
      <w:r w:rsidR="00FB5D2A">
        <w:rPr>
          <w:rStyle w:val="Refdenotaalpie"/>
        </w:rPr>
        <w:footnoteReference w:id="216"/>
      </w:r>
      <w:r>
        <w:t>.</w:t>
      </w:r>
    </w:p>
    <w:p w:rsidR="003804AC" w:rsidRDefault="00AF18A5" w:rsidP="00FB5D2A">
      <w:r>
        <w:t>Este proceso se caracterizó por una expansión que, más que abarcar nuevas zonas del territorio nacional, es decir, arribar a áreas donde no había tenido presencia, como Caquetá, Putumayo</w:t>
      </w:r>
      <w:r>
        <w:rPr>
          <w:spacing w:val="-15"/>
        </w:rPr>
        <w:t xml:space="preserve"> </w:t>
      </w:r>
      <w:r>
        <w:t>o</w:t>
      </w:r>
      <w:r>
        <w:rPr>
          <w:spacing w:val="-15"/>
        </w:rPr>
        <w:t xml:space="preserve"> </w:t>
      </w:r>
      <w:r>
        <w:t>la</w:t>
      </w:r>
      <w:r>
        <w:rPr>
          <w:spacing w:val="-15"/>
        </w:rPr>
        <w:t xml:space="preserve"> </w:t>
      </w:r>
      <w:r>
        <w:t>costa</w:t>
      </w:r>
      <w:r>
        <w:rPr>
          <w:spacing w:val="-14"/>
        </w:rPr>
        <w:t xml:space="preserve"> </w:t>
      </w:r>
      <w:r>
        <w:t>Caribe,</w:t>
      </w:r>
      <w:r>
        <w:rPr>
          <w:spacing w:val="-14"/>
        </w:rPr>
        <w:t xml:space="preserve"> </w:t>
      </w:r>
      <w:r>
        <w:t>se</w:t>
      </w:r>
      <w:r>
        <w:rPr>
          <w:spacing w:val="-14"/>
        </w:rPr>
        <w:t xml:space="preserve"> </w:t>
      </w:r>
      <w:r>
        <w:t>consolidó</w:t>
      </w:r>
      <w:r>
        <w:rPr>
          <w:spacing w:val="-14"/>
        </w:rPr>
        <w:t xml:space="preserve"> </w:t>
      </w:r>
      <w:r>
        <w:t>o</w:t>
      </w:r>
      <w:r>
        <w:rPr>
          <w:spacing w:val="-14"/>
        </w:rPr>
        <w:t xml:space="preserve"> </w:t>
      </w:r>
      <w:r>
        <w:t>intenta</w:t>
      </w:r>
      <w:r>
        <w:rPr>
          <w:spacing w:val="-15"/>
        </w:rPr>
        <w:t xml:space="preserve"> </w:t>
      </w:r>
      <w:r>
        <w:t>hacerlo</w:t>
      </w:r>
      <w:r>
        <w:rPr>
          <w:spacing w:val="-14"/>
        </w:rPr>
        <w:t xml:space="preserve"> </w:t>
      </w:r>
      <w:r>
        <w:t>en</w:t>
      </w:r>
      <w:r>
        <w:rPr>
          <w:spacing w:val="-14"/>
        </w:rPr>
        <w:t xml:space="preserve"> </w:t>
      </w:r>
      <w:r>
        <w:t>las</w:t>
      </w:r>
      <w:r>
        <w:rPr>
          <w:spacing w:val="-14"/>
        </w:rPr>
        <w:t xml:space="preserve"> </w:t>
      </w:r>
      <w:r>
        <w:t>zonas</w:t>
      </w:r>
      <w:r>
        <w:rPr>
          <w:spacing w:val="-14"/>
        </w:rPr>
        <w:t xml:space="preserve"> </w:t>
      </w:r>
      <w:r>
        <w:t>adyacentes</w:t>
      </w:r>
      <w:r>
        <w:rPr>
          <w:spacing w:val="-15"/>
        </w:rPr>
        <w:t xml:space="preserve"> </w:t>
      </w:r>
      <w:r>
        <w:t>a</w:t>
      </w:r>
      <w:r>
        <w:rPr>
          <w:spacing w:val="-14"/>
        </w:rPr>
        <w:t xml:space="preserve"> </w:t>
      </w:r>
      <w:r>
        <w:t>sus</w:t>
      </w:r>
      <w:r>
        <w:rPr>
          <w:spacing w:val="-15"/>
        </w:rPr>
        <w:t xml:space="preserve"> </w:t>
      </w:r>
      <w:r>
        <w:t xml:space="preserve">áreas de dominio, en particular en antiguos espacios de control </w:t>
      </w:r>
      <w:proofErr w:type="spellStart"/>
      <w:r>
        <w:t>fariano</w:t>
      </w:r>
      <w:proofErr w:type="spellEnd"/>
      <w:r>
        <w:t>, como en los casos de regiones como Antioquia, Chocó, Catatumbo, Arauca, sur de Bolívar y Cauca, entre otros. En</w:t>
      </w:r>
      <w:r>
        <w:rPr>
          <w:spacing w:val="-15"/>
        </w:rPr>
        <w:t xml:space="preserve"> </w:t>
      </w:r>
      <w:r>
        <w:t>todas</w:t>
      </w:r>
      <w:r>
        <w:rPr>
          <w:spacing w:val="-15"/>
        </w:rPr>
        <w:t xml:space="preserve"> </w:t>
      </w:r>
      <w:r>
        <w:t>estas</w:t>
      </w:r>
      <w:r>
        <w:rPr>
          <w:spacing w:val="-15"/>
        </w:rPr>
        <w:t xml:space="preserve"> </w:t>
      </w:r>
      <w:r>
        <w:t>áreas</w:t>
      </w:r>
      <w:r>
        <w:rPr>
          <w:spacing w:val="-15"/>
        </w:rPr>
        <w:t xml:space="preserve"> </w:t>
      </w:r>
      <w:r>
        <w:t>se</w:t>
      </w:r>
      <w:r>
        <w:rPr>
          <w:spacing w:val="-15"/>
        </w:rPr>
        <w:t xml:space="preserve"> </w:t>
      </w:r>
      <w:r>
        <w:t>han</w:t>
      </w:r>
      <w:r>
        <w:rPr>
          <w:spacing w:val="-15"/>
        </w:rPr>
        <w:t xml:space="preserve"> </w:t>
      </w:r>
      <w:r>
        <w:t>fortalecido</w:t>
      </w:r>
      <w:r>
        <w:rPr>
          <w:spacing w:val="-15"/>
        </w:rPr>
        <w:t xml:space="preserve"> </w:t>
      </w:r>
      <w:r>
        <w:t>militar,</w:t>
      </w:r>
      <w:r>
        <w:rPr>
          <w:spacing w:val="-15"/>
        </w:rPr>
        <w:t xml:space="preserve"> </w:t>
      </w:r>
      <w:r>
        <w:t>política</w:t>
      </w:r>
      <w:r>
        <w:rPr>
          <w:spacing w:val="-15"/>
        </w:rPr>
        <w:t xml:space="preserve"> </w:t>
      </w:r>
      <w:r>
        <w:t>y</w:t>
      </w:r>
      <w:r>
        <w:rPr>
          <w:spacing w:val="-15"/>
        </w:rPr>
        <w:t xml:space="preserve"> </w:t>
      </w:r>
      <w:r>
        <w:t>socialmente,</w:t>
      </w:r>
      <w:r>
        <w:rPr>
          <w:spacing w:val="-15"/>
        </w:rPr>
        <w:t xml:space="preserve"> </w:t>
      </w:r>
      <w:r>
        <w:t>bajo</w:t>
      </w:r>
      <w:r>
        <w:rPr>
          <w:spacing w:val="-15"/>
        </w:rPr>
        <w:t xml:space="preserve"> </w:t>
      </w:r>
      <w:r>
        <w:t>una</w:t>
      </w:r>
      <w:r>
        <w:rPr>
          <w:spacing w:val="-15"/>
        </w:rPr>
        <w:t xml:space="preserve"> </w:t>
      </w:r>
      <w:r>
        <w:t>particularidad: es una insurgencia más enfrascada en luchas territoriales –en algunas zonas en disputa por diferentes</w:t>
      </w:r>
      <w:r>
        <w:rPr>
          <w:spacing w:val="-7"/>
        </w:rPr>
        <w:t xml:space="preserve"> </w:t>
      </w:r>
      <w:r>
        <w:t>etapas</w:t>
      </w:r>
      <w:r>
        <w:rPr>
          <w:spacing w:val="-7"/>
        </w:rPr>
        <w:t xml:space="preserve"> </w:t>
      </w:r>
      <w:r>
        <w:t>de</w:t>
      </w:r>
      <w:r>
        <w:rPr>
          <w:spacing w:val="-7"/>
        </w:rPr>
        <w:t xml:space="preserve"> </w:t>
      </w:r>
      <w:r>
        <w:t>producción</w:t>
      </w:r>
      <w:r>
        <w:rPr>
          <w:spacing w:val="-7"/>
        </w:rPr>
        <w:t xml:space="preserve"> </w:t>
      </w:r>
      <w:r>
        <w:t>del</w:t>
      </w:r>
      <w:r>
        <w:rPr>
          <w:spacing w:val="-6"/>
        </w:rPr>
        <w:t xml:space="preserve"> </w:t>
      </w:r>
      <w:r>
        <w:t>narcotráfico</w:t>
      </w:r>
      <w:r>
        <w:rPr>
          <w:spacing w:val="-7"/>
        </w:rPr>
        <w:t xml:space="preserve"> </w:t>
      </w:r>
      <w:r>
        <w:t>(cultivo,</w:t>
      </w:r>
      <w:r>
        <w:rPr>
          <w:spacing w:val="-7"/>
        </w:rPr>
        <w:t xml:space="preserve"> </w:t>
      </w:r>
      <w:r>
        <w:t>producción</w:t>
      </w:r>
      <w:r>
        <w:rPr>
          <w:spacing w:val="-7"/>
        </w:rPr>
        <w:t xml:space="preserve"> </w:t>
      </w:r>
      <w:r>
        <w:t>y</w:t>
      </w:r>
      <w:r>
        <w:rPr>
          <w:spacing w:val="-7"/>
        </w:rPr>
        <w:t xml:space="preserve"> </w:t>
      </w:r>
      <w:r>
        <w:t>comercialización),</w:t>
      </w:r>
      <w:r>
        <w:rPr>
          <w:spacing w:val="-7"/>
        </w:rPr>
        <w:t xml:space="preserve"> </w:t>
      </w:r>
      <w:r>
        <w:t xml:space="preserve">la minería y otras rentas– que en </w:t>
      </w:r>
      <w:r>
        <w:lastRenderedPageBreak/>
        <w:t>desafiar directamente al Estado colombiano</w:t>
      </w:r>
      <w:r w:rsidR="00FB5D2A">
        <w:rPr>
          <w:rStyle w:val="Refdenotaalpie"/>
        </w:rPr>
        <w:footnoteReference w:id="217"/>
      </w:r>
      <w:r>
        <w:t>. Esto muestra una guerrilla más robusta en términos militares y presencia territorial, pero apostada en los márgenes</w:t>
      </w:r>
      <w:r>
        <w:rPr>
          <w:spacing w:val="-12"/>
        </w:rPr>
        <w:t xml:space="preserve"> </w:t>
      </w:r>
      <w:r>
        <w:t>del</w:t>
      </w:r>
      <w:r>
        <w:rPr>
          <w:spacing w:val="-11"/>
        </w:rPr>
        <w:t xml:space="preserve"> </w:t>
      </w:r>
      <w:r>
        <w:t>país</w:t>
      </w:r>
      <w:r>
        <w:rPr>
          <w:spacing w:val="-12"/>
        </w:rPr>
        <w:t xml:space="preserve"> </w:t>
      </w:r>
      <w:r>
        <w:t>y</w:t>
      </w:r>
      <w:r>
        <w:rPr>
          <w:spacing w:val="-12"/>
        </w:rPr>
        <w:t xml:space="preserve"> </w:t>
      </w:r>
      <w:r>
        <w:t>en</w:t>
      </w:r>
      <w:r>
        <w:rPr>
          <w:spacing w:val="-12"/>
        </w:rPr>
        <w:t xml:space="preserve"> </w:t>
      </w:r>
      <w:r>
        <w:t>dinámicas</w:t>
      </w:r>
      <w:r>
        <w:rPr>
          <w:spacing w:val="-12"/>
        </w:rPr>
        <w:t xml:space="preserve"> </w:t>
      </w:r>
      <w:r>
        <w:t>y</w:t>
      </w:r>
      <w:r>
        <w:rPr>
          <w:spacing w:val="-12"/>
        </w:rPr>
        <w:t xml:space="preserve"> </w:t>
      </w:r>
      <w:r>
        <w:t>lógicas</w:t>
      </w:r>
      <w:r>
        <w:rPr>
          <w:spacing w:val="-12"/>
        </w:rPr>
        <w:t xml:space="preserve"> </w:t>
      </w:r>
      <w:r>
        <w:t>que</w:t>
      </w:r>
      <w:r>
        <w:rPr>
          <w:spacing w:val="-12"/>
        </w:rPr>
        <w:t xml:space="preserve"> </w:t>
      </w:r>
      <w:r>
        <w:t>no</w:t>
      </w:r>
      <w:r>
        <w:rPr>
          <w:spacing w:val="-12"/>
        </w:rPr>
        <w:t xml:space="preserve"> </w:t>
      </w:r>
      <w:r>
        <w:t>desafían</w:t>
      </w:r>
      <w:r>
        <w:rPr>
          <w:spacing w:val="-12"/>
        </w:rPr>
        <w:t xml:space="preserve"> </w:t>
      </w:r>
      <w:r>
        <w:t>directamente</w:t>
      </w:r>
      <w:r>
        <w:rPr>
          <w:spacing w:val="-12"/>
        </w:rPr>
        <w:t xml:space="preserve"> </w:t>
      </w:r>
      <w:r>
        <w:t>el</w:t>
      </w:r>
      <w:r>
        <w:rPr>
          <w:spacing w:val="-12"/>
        </w:rPr>
        <w:t xml:space="preserve"> </w:t>
      </w:r>
      <w:r>
        <w:t>poder</w:t>
      </w:r>
      <w:r>
        <w:rPr>
          <w:spacing w:val="-11"/>
        </w:rPr>
        <w:t xml:space="preserve"> </w:t>
      </w:r>
      <w:r>
        <w:t>del</w:t>
      </w:r>
      <w:r>
        <w:rPr>
          <w:spacing w:val="-11"/>
        </w:rPr>
        <w:t xml:space="preserve"> </w:t>
      </w:r>
      <w:r>
        <w:t>Estado, aunque sí plantean retos en materia de seguridad y orden público por los graves impactos humanitarios que arrojan sus acciones armadas o ataques realizados contra instalaciones militares, así como los realizados en Bogotá contra la escuela de Policía o en Cúcuta.</w:t>
      </w:r>
    </w:p>
    <w:p w:rsidR="003804AC" w:rsidRDefault="00AF18A5" w:rsidP="004A6EF4">
      <w:pPr>
        <w:pStyle w:val="Ttulo3"/>
        <w:numPr>
          <w:ilvl w:val="1"/>
          <w:numId w:val="16"/>
        </w:numPr>
      </w:pPr>
      <w:bookmarkStart w:id="337" w:name="4.2._El_punto_de_no_retorno:_financiamie"/>
      <w:bookmarkStart w:id="338" w:name="_Toc112399583"/>
      <w:bookmarkEnd w:id="337"/>
      <w:r>
        <w:t>El</w:t>
      </w:r>
      <w:r>
        <w:rPr>
          <w:spacing w:val="-4"/>
        </w:rPr>
        <w:t xml:space="preserve"> </w:t>
      </w:r>
      <w:r>
        <w:t>punto</w:t>
      </w:r>
      <w:r>
        <w:rPr>
          <w:spacing w:val="-5"/>
        </w:rPr>
        <w:t xml:space="preserve"> </w:t>
      </w:r>
      <w:r>
        <w:t>de</w:t>
      </w:r>
      <w:r>
        <w:rPr>
          <w:spacing w:val="-4"/>
        </w:rPr>
        <w:t xml:space="preserve"> </w:t>
      </w:r>
      <w:r>
        <w:t>no</w:t>
      </w:r>
      <w:r>
        <w:rPr>
          <w:spacing w:val="-5"/>
        </w:rPr>
        <w:t xml:space="preserve"> </w:t>
      </w:r>
      <w:r>
        <w:t>retorno:</w:t>
      </w:r>
      <w:r>
        <w:rPr>
          <w:spacing w:val="-4"/>
        </w:rPr>
        <w:t xml:space="preserve"> </w:t>
      </w:r>
      <w:r>
        <w:t>financiamiento</w:t>
      </w:r>
      <w:r>
        <w:rPr>
          <w:spacing w:val="-5"/>
        </w:rPr>
        <w:t xml:space="preserve"> </w:t>
      </w:r>
      <w:r>
        <w:t>de</w:t>
      </w:r>
      <w:r>
        <w:rPr>
          <w:spacing w:val="-6"/>
        </w:rPr>
        <w:t xml:space="preserve"> </w:t>
      </w:r>
      <w:r>
        <w:t>la</w:t>
      </w:r>
      <w:r>
        <w:rPr>
          <w:spacing w:val="-5"/>
        </w:rPr>
        <w:t xml:space="preserve"> </w:t>
      </w:r>
      <w:r>
        <w:t>guerra,</w:t>
      </w:r>
      <w:r>
        <w:rPr>
          <w:spacing w:val="-5"/>
        </w:rPr>
        <w:t xml:space="preserve"> </w:t>
      </w:r>
      <w:r>
        <w:t>control</w:t>
      </w:r>
      <w:r>
        <w:rPr>
          <w:spacing w:val="-4"/>
        </w:rPr>
        <w:t xml:space="preserve"> </w:t>
      </w:r>
      <w:r>
        <w:t>territorial</w:t>
      </w:r>
      <w:r>
        <w:rPr>
          <w:spacing w:val="-4"/>
        </w:rPr>
        <w:t xml:space="preserve"> </w:t>
      </w:r>
      <w:r>
        <w:t>y</w:t>
      </w:r>
      <w:r>
        <w:rPr>
          <w:spacing w:val="-5"/>
        </w:rPr>
        <w:t xml:space="preserve"> </w:t>
      </w:r>
      <w:r>
        <w:t>deterioro de las relaciones con la población civil</w:t>
      </w:r>
      <w:bookmarkEnd w:id="338"/>
    </w:p>
    <w:p w:rsidR="003804AC" w:rsidRDefault="00AF18A5" w:rsidP="004B7E6A">
      <w:r>
        <w:t>Los grandes pilares de financiación de las FARC-EP a partir de los años noventa, en el escalonamiento de la violencia, que llevaron al crecimiento militar durante este periodo, fueron el involucramiento en el narcotráfico y el secuestro. Durante esos años se dio cada vez</w:t>
      </w:r>
      <w:r>
        <w:rPr>
          <w:spacing w:val="-1"/>
        </w:rPr>
        <w:t xml:space="preserve"> </w:t>
      </w:r>
      <w:r>
        <w:t>más</w:t>
      </w:r>
      <w:r>
        <w:rPr>
          <w:spacing w:val="-1"/>
        </w:rPr>
        <w:t xml:space="preserve"> </w:t>
      </w:r>
      <w:r>
        <w:t>una</w:t>
      </w:r>
      <w:r>
        <w:rPr>
          <w:spacing w:val="-2"/>
        </w:rPr>
        <w:t xml:space="preserve"> </w:t>
      </w:r>
      <w:r>
        <w:t>mayor</w:t>
      </w:r>
      <w:r>
        <w:rPr>
          <w:spacing w:val="-2"/>
        </w:rPr>
        <w:t xml:space="preserve"> </w:t>
      </w:r>
      <w:r>
        <w:t>participación</w:t>
      </w:r>
      <w:r>
        <w:rPr>
          <w:spacing w:val="-1"/>
        </w:rPr>
        <w:t xml:space="preserve"> </w:t>
      </w:r>
      <w:r>
        <w:t>de</w:t>
      </w:r>
      <w:r>
        <w:rPr>
          <w:spacing w:val="-2"/>
        </w:rPr>
        <w:t xml:space="preserve"> </w:t>
      </w:r>
      <w:r>
        <w:t>las</w:t>
      </w:r>
      <w:r>
        <w:rPr>
          <w:spacing w:val="-1"/>
        </w:rPr>
        <w:t xml:space="preserve"> </w:t>
      </w:r>
      <w:r>
        <w:t>FARC-EP</w:t>
      </w:r>
      <w:r>
        <w:rPr>
          <w:spacing w:val="-1"/>
        </w:rPr>
        <w:t xml:space="preserve"> </w:t>
      </w:r>
      <w:r>
        <w:t>en</w:t>
      </w:r>
      <w:r>
        <w:rPr>
          <w:spacing w:val="-1"/>
        </w:rPr>
        <w:t xml:space="preserve"> </w:t>
      </w:r>
      <w:r>
        <w:t>las</w:t>
      </w:r>
      <w:r>
        <w:rPr>
          <w:spacing w:val="-1"/>
        </w:rPr>
        <w:t xml:space="preserve"> </w:t>
      </w:r>
      <w:r>
        <w:t>diferentes</w:t>
      </w:r>
      <w:r>
        <w:rPr>
          <w:spacing w:val="-2"/>
        </w:rPr>
        <w:t xml:space="preserve"> </w:t>
      </w:r>
      <w:r>
        <w:t>etapas</w:t>
      </w:r>
      <w:r>
        <w:rPr>
          <w:spacing w:val="-1"/>
        </w:rPr>
        <w:t xml:space="preserve"> </w:t>
      </w:r>
      <w:r>
        <w:t>de</w:t>
      </w:r>
      <w:r>
        <w:rPr>
          <w:spacing w:val="-2"/>
        </w:rPr>
        <w:t xml:space="preserve"> </w:t>
      </w:r>
      <w:r>
        <w:t>las</w:t>
      </w:r>
      <w:r>
        <w:rPr>
          <w:spacing w:val="-2"/>
        </w:rPr>
        <w:t xml:space="preserve"> </w:t>
      </w:r>
      <w:r>
        <w:t>economías regionales</w:t>
      </w:r>
      <w:r>
        <w:rPr>
          <w:spacing w:val="5"/>
        </w:rPr>
        <w:t xml:space="preserve"> </w:t>
      </w:r>
      <w:r>
        <w:t>de</w:t>
      </w:r>
      <w:r>
        <w:rPr>
          <w:spacing w:val="6"/>
        </w:rPr>
        <w:t xml:space="preserve"> </w:t>
      </w:r>
      <w:r>
        <w:t>la</w:t>
      </w:r>
      <w:r>
        <w:rPr>
          <w:spacing w:val="6"/>
        </w:rPr>
        <w:t xml:space="preserve"> </w:t>
      </w:r>
      <w:r>
        <w:t>coca.</w:t>
      </w:r>
      <w:r>
        <w:rPr>
          <w:spacing w:val="6"/>
        </w:rPr>
        <w:t xml:space="preserve"> </w:t>
      </w:r>
      <w:r>
        <w:t>Al</w:t>
      </w:r>
      <w:r>
        <w:rPr>
          <w:spacing w:val="4"/>
        </w:rPr>
        <w:t xml:space="preserve"> </w:t>
      </w:r>
      <w:r>
        <w:t>comienzo</w:t>
      </w:r>
      <w:r>
        <w:rPr>
          <w:spacing w:val="6"/>
        </w:rPr>
        <w:t xml:space="preserve"> </w:t>
      </w:r>
      <w:r>
        <w:t>de</w:t>
      </w:r>
      <w:r>
        <w:rPr>
          <w:spacing w:val="6"/>
        </w:rPr>
        <w:t xml:space="preserve"> </w:t>
      </w:r>
      <w:r>
        <w:t>los</w:t>
      </w:r>
      <w:r>
        <w:rPr>
          <w:spacing w:val="6"/>
        </w:rPr>
        <w:t xml:space="preserve"> </w:t>
      </w:r>
      <w:r>
        <w:t>años</w:t>
      </w:r>
      <w:r>
        <w:rPr>
          <w:spacing w:val="4"/>
        </w:rPr>
        <w:t xml:space="preserve"> </w:t>
      </w:r>
      <w:r>
        <w:t>ochenta,</w:t>
      </w:r>
      <w:r>
        <w:rPr>
          <w:spacing w:val="6"/>
        </w:rPr>
        <w:t xml:space="preserve"> </w:t>
      </w:r>
      <w:r>
        <w:t>en</w:t>
      </w:r>
      <w:r>
        <w:rPr>
          <w:spacing w:val="5"/>
        </w:rPr>
        <w:t xml:space="preserve"> </w:t>
      </w:r>
      <w:r>
        <w:t>el</w:t>
      </w:r>
      <w:r>
        <w:rPr>
          <w:spacing w:val="5"/>
        </w:rPr>
        <w:t xml:space="preserve"> </w:t>
      </w:r>
      <w:r>
        <w:t>sur</w:t>
      </w:r>
      <w:r>
        <w:rPr>
          <w:spacing w:val="5"/>
        </w:rPr>
        <w:t xml:space="preserve"> </w:t>
      </w:r>
      <w:r>
        <w:t>del</w:t>
      </w:r>
      <w:r>
        <w:rPr>
          <w:spacing w:val="5"/>
        </w:rPr>
        <w:t xml:space="preserve"> </w:t>
      </w:r>
      <w:r>
        <w:t>país,</w:t>
      </w:r>
      <w:r>
        <w:rPr>
          <w:spacing w:val="6"/>
        </w:rPr>
        <w:t xml:space="preserve"> </w:t>
      </w:r>
      <w:r>
        <w:t>las</w:t>
      </w:r>
      <w:r>
        <w:rPr>
          <w:spacing w:val="6"/>
        </w:rPr>
        <w:t xml:space="preserve"> </w:t>
      </w:r>
      <w:r>
        <w:t>FARC-EP</w:t>
      </w:r>
      <w:r>
        <w:rPr>
          <w:spacing w:val="6"/>
        </w:rPr>
        <w:t xml:space="preserve"> </w:t>
      </w:r>
      <w:r>
        <w:rPr>
          <w:spacing w:val="-5"/>
        </w:rPr>
        <w:t>se</w:t>
      </w:r>
      <w:bookmarkStart w:id="339" w:name="_bookmark254"/>
      <w:bookmarkStart w:id="340" w:name="_bookmark255"/>
      <w:bookmarkEnd w:id="339"/>
      <w:bookmarkEnd w:id="340"/>
      <w:r w:rsidR="004B7E6A">
        <w:rPr>
          <w:spacing w:val="-5"/>
        </w:rPr>
        <w:t xml:space="preserve"> </w:t>
      </w:r>
      <w:r>
        <w:t>opusieron</w:t>
      </w:r>
      <w:r>
        <w:rPr>
          <w:spacing w:val="-13"/>
        </w:rPr>
        <w:t xml:space="preserve"> </w:t>
      </w:r>
      <w:r>
        <w:t>a</w:t>
      </w:r>
      <w:r>
        <w:rPr>
          <w:spacing w:val="-13"/>
        </w:rPr>
        <w:t xml:space="preserve"> </w:t>
      </w:r>
      <w:r>
        <w:t>la</w:t>
      </w:r>
      <w:r>
        <w:rPr>
          <w:spacing w:val="-13"/>
        </w:rPr>
        <w:t xml:space="preserve"> </w:t>
      </w:r>
      <w:r>
        <w:t>siembra</w:t>
      </w:r>
      <w:r>
        <w:rPr>
          <w:spacing w:val="-13"/>
        </w:rPr>
        <w:t xml:space="preserve"> </w:t>
      </w:r>
      <w:r>
        <w:t>de</w:t>
      </w:r>
      <w:r>
        <w:rPr>
          <w:spacing w:val="-14"/>
        </w:rPr>
        <w:t xml:space="preserve"> </w:t>
      </w:r>
      <w:r>
        <w:t>marihuana</w:t>
      </w:r>
      <w:r>
        <w:rPr>
          <w:spacing w:val="-13"/>
        </w:rPr>
        <w:t xml:space="preserve"> </w:t>
      </w:r>
      <w:r>
        <w:t>y</w:t>
      </w:r>
      <w:r>
        <w:rPr>
          <w:spacing w:val="-13"/>
        </w:rPr>
        <w:t xml:space="preserve"> </w:t>
      </w:r>
      <w:r>
        <w:t>coca</w:t>
      </w:r>
      <w:r>
        <w:rPr>
          <w:spacing w:val="-13"/>
        </w:rPr>
        <w:t xml:space="preserve"> </w:t>
      </w:r>
      <w:r>
        <w:t>por</w:t>
      </w:r>
      <w:r>
        <w:rPr>
          <w:spacing w:val="-13"/>
        </w:rPr>
        <w:t xml:space="preserve"> </w:t>
      </w:r>
      <w:r>
        <w:t>parte</w:t>
      </w:r>
      <w:r>
        <w:rPr>
          <w:spacing w:val="-13"/>
        </w:rPr>
        <w:t xml:space="preserve"> </w:t>
      </w:r>
      <w:r>
        <w:t>de</w:t>
      </w:r>
      <w:r>
        <w:rPr>
          <w:spacing w:val="-13"/>
        </w:rPr>
        <w:t xml:space="preserve"> </w:t>
      </w:r>
      <w:r>
        <w:t>los</w:t>
      </w:r>
      <w:r>
        <w:rPr>
          <w:spacing w:val="-13"/>
        </w:rPr>
        <w:t xml:space="preserve"> </w:t>
      </w:r>
      <w:r>
        <w:t>colonos,</w:t>
      </w:r>
      <w:r>
        <w:rPr>
          <w:spacing w:val="-13"/>
        </w:rPr>
        <w:t xml:space="preserve"> </w:t>
      </w:r>
      <w:r>
        <w:t>pero</w:t>
      </w:r>
      <w:r>
        <w:rPr>
          <w:spacing w:val="-14"/>
        </w:rPr>
        <w:t xml:space="preserve"> </w:t>
      </w:r>
      <w:r>
        <w:t>esa</w:t>
      </w:r>
      <w:r>
        <w:rPr>
          <w:spacing w:val="-13"/>
        </w:rPr>
        <w:t xml:space="preserve"> </w:t>
      </w:r>
      <w:r>
        <w:t>posición</w:t>
      </w:r>
      <w:r>
        <w:rPr>
          <w:spacing w:val="-13"/>
        </w:rPr>
        <w:t xml:space="preserve"> </w:t>
      </w:r>
      <w:r>
        <w:t>inicial cambió</w:t>
      </w:r>
      <w:r>
        <w:rPr>
          <w:spacing w:val="-5"/>
        </w:rPr>
        <w:t xml:space="preserve"> </w:t>
      </w:r>
      <w:r>
        <w:t>en</w:t>
      </w:r>
      <w:r>
        <w:rPr>
          <w:spacing w:val="-5"/>
        </w:rPr>
        <w:t xml:space="preserve"> </w:t>
      </w:r>
      <w:r>
        <w:t>la</w:t>
      </w:r>
      <w:r>
        <w:rPr>
          <w:spacing w:val="-4"/>
        </w:rPr>
        <w:t xml:space="preserve"> </w:t>
      </w:r>
      <w:r>
        <w:t>Séptima</w:t>
      </w:r>
      <w:r>
        <w:rPr>
          <w:spacing w:val="-3"/>
        </w:rPr>
        <w:t xml:space="preserve"> </w:t>
      </w:r>
      <w:r>
        <w:t>Conferencia,</w:t>
      </w:r>
      <w:r>
        <w:rPr>
          <w:spacing w:val="-5"/>
        </w:rPr>
        <w:t xml:space="preserve"> </w:t>
      </w:r>
      <w:r>
        <w:t>cuando</w:t>
      </w:r>
      <w:r>
        <w:rPr>
          <w:spacing w:val="-3"/>
        </w:rPr>
        <w:t xml:space="preserve"> </w:t>
      </w:r>
      <w:r>
        <w:t>adoptaron</w:t>
      </w:r>
      <w:r>
        <w:rPr>
          <w:spacing w:val="-3"/>
        </w:rPr>
        <w:t xml:space="preserve"> </w:t>
      </w:r>
      <w:r>
        <w:t>la</w:t>
      </w:r>
      <w:r>
        <w:rPr>
          <w:spacing w:val="-3"/>
        </w:rPr>
        <w:t xml:space="preserve"> </w:t>
      </w:r>
      <w:r>
        <w:t>política</w:t>
      </w:r>
      <w:r>
        <w:rPr>
          <w:spacing w:val="-3"/>
        </w:rPr>
        <w:t xml:space="preserve"> </w:t>
      </w:r>
      <w:r>
        <w:t>del</w:t>
      </w:r>
      <w:r>
        <w:rPr>
          <w:spacing w:val="-4"/>
        </w:rPr>
        <w:t xml:space="preserve"> </w:t>
      </w:r>
      <w:r>
        <w:t>cobro</w:t>
      </w:r>
      <w:r>
        <w:rPr>
          <w:spacing w:val="-5"/>
        </w:rPr>
        <w:t xml:space="preserve"> </w:t>
      </w:r>
      <w:r>
        <w:t>de</w:t>
      </w:r>
      <w:r>
        <w:rPr>
          <w:spacing w:val="-3"/>
        </w:rPr>
        <w:t xml:space="preserve"> </w:t>
      </w:r>
      <w:r>
        <w:t>impuesto</w:t>
      </w:r>
      <w:r>
        <w:rPr>
          <w:spacing w:val="-5"/>
        </w:rPr>
        <w:t xml:space="preserve"> </w:t>
      </w:r>
      <w:r>
        <w:t>a</w:t>
      </w:r>
      <w:r>
        <w:rPr>
          <w:spacing w:val="-3"/>
        </w:rPr>
        <w:t xml:space="preserve"> </w:t>
      </w:r>
      <w:r>
        <w:t>los compradores</w:t>
      </w:r>
      <w:r>
        <w:rPr>
          <w:spacing w:val="-11"/>
        </w:rPr>
        <w:t xml:space="preserve"> </w:t>
      </w:r>
      <w:r>
        <w:t>de</w:t>
      </w:r>
      <w:r>
        <w:rPr>
          <w:spacing w:val="-10"/>
        </w:rPr>
        <w:t xml:space="preserve"> </w:t>
      </w:r>
      <w:r>
        <w:t>pasta</w:t>
      </w:r>
      <w:r>
        <w:rPr>
          <w:spacing w:val="-10"/>
        </w:rPr>
        <w:t xml:space="preserve"> </w:t>
      </w:r>
      <w:r>
        <w:t>base</w:t>
      </w:r>
      <w:r>
        <w:rPr>
          <w:spacing w:val="-11"/>
        </w:rPr>
        <w:t xml:space="preserve"> </w:t>
      </w:r>
      <w:r>
        <w:t>de</w:t>
      </w:r>
      <w:r>
        <w:rPr>
          <w:spacing w:val="-10"/>
        </w:rPr>
        <w:t xml:space="preserve"> </w:t>
      </w:r>
      <w:r>
        <w:t>coca</w:t>
      </w:r>
      <w:r>
        <w:rPr>
          <w:spacing w:val="-10"/>
        </w:rPr>
        <w:t xml:space="preserve"> </w:t>
      </w:r>
      <w:r>
        <w:t>y,</w:t>
      </w:r>
      <w:r>
        <w:rPr>
          <w:spacing w:val="-12"/>
        </w:rPr>
        <w:t xml:space="preserve"> </w:t>
      </w:r>
      <w:r>
        <w:t>finalmente,</w:t>
      </w:r>
      <w:r>
        <w:rPr>
          <w:spacing w:val="-12"/>
        </w:rPr>
        <w:t xml:space="preserve"> </w:t>
      </w:r>
      <w:r>
        <w:t>se</w:t>
      </w:r>
      <w:r>
        <w:rPr>
          <w:spacing w:val="-11"/>
        </w:rPr>
        <w:t xml:space="preserve"> </w:t>
      </w:r>
      <w:r>
        <w:t>involucraron</w:t>
      </w:r>
      <w:r>
        <w:rPr>
          <w:spacing w:val="-11"/>
        </w:rPr>
        <w:t xml:space="preserve"> </w:t>
      </w:r>
      <w:r>
        <w:t>de</w:t>
      </w:r>
      <w:r>
        <w:rPr>
          <w:spacing w:val="-12"/>
        </w:rPr>
        <w:t xml:space="preserve"> </w:t>
      </w:r>
      <w:r>
        <w:t>forma</w:t>
      </w:r>
      <w:r>
        <w:rPr>
          <w:spacing w:val="-12"/>
        </w:rPr>
        <w:t xml:space="preserve"> </w:t>
      </w:r>
      <w:r>
        <w:t>creciente</w:t>
      </w:r>
      <w:r>
        <w:rPr>
          <w:spacing w:val="-10"/>
        </w:rPr>
        <w:t xml:space="preserve"> </w:t>
      </w:r>
      <w:r>
        <w:t>en</w:t>
      </w:r>
      <w:r>
        <w:rPr>
          <w:spacing w:val="-12"/>
        </w:rPr>
        <w:t xml:space="preserve"> </w:t>
      </w:r>
      <w:r>
        <w:t>otras etapas de la cadena productiva del narcotráfico.</w:t>
      </w:r>
    </w:p>
    <w:p w:rsidR="003804AC" w:rsidRDefault="00AF18A5" w:rsidP="004B7E6A">
      <w:r>
        <w:t xml:space="preserve">La avidez por la consecución de recursos para desarrollar sus objetivos </w:t>
      </w:r>
      <w:r>
        <w:lastRenderedPageBreak/>
        <w:t>militares y estratégicos de los años noventa y dos mil llevó a las FARC-EP, en varias de las zonas productoras de coca en el suroriente, a dar el paso a progresivamente controlar el mercado, es decir, imponer precios a la pasta básica de cocaína e intermediar con los carteles para su salida.</w:t>
      </w:r>
      <w:r>
        <w:rPr>
          <w:spacing w:val="-11"/>
        </w:rPr>
        <w:t xml:space="preserve"> </w:t>
      </w:r>
      <w:r>
        <w:t>Investigaciones</w:t>
      </w:r>
      <w:r>
        <w:rPr>
          <w:spacing w:val="-11"/>
        </w:rPr>
        <w:t xml:space="preserve"> </w:t>
      </w:r>
      <w:r>
        <w:t>previas</w:t>
      </w:r>
      <w:r>
        <w:rPr>
          <w:spacing w:val="-12"/>
        </w:rPr>
        <w:t xml:space="preserve"> </w:t>
      </w:r>
      <w:r>
        <w:t>señalan</w:t>
      </w:r>
      <w:r>
        <w:rPr>
          <w:spacing w:val="-11"/>
        </w:rPr>
        <w:t xml:space="preserve"> </w:t>
      </w:r>
      <w:r>
        <w:t>que</w:t>
      </w:r>
      <w:r>
        <w:rPr>
          <w:spacing w:val="-11"/>
        </w:rPr>
        <w:t xml:space="preserve"> </w:t>
      </w:r>
      <w:r>
        <w:t>el</w:t>
      </w:r>
      <w:r>
        <w:rPr>
          <w:spacing w:val="-12"/>
        </w:rPr>
        <w:t xml:space="preserve"> </w:t>
      </w:r>
      <w:r>
        <w:t>narcotráfico</w:t>
      </w:r>
      <w:r>
        <w:rPr>
          <w:spacing w:val="-12"/>
        </w:rPr>
        <w:t xml:space="preserve"> </w:t>
      </w:r>
      <w:r>
        <w:t>representaba</w:t>
      </w:r>
      <w:r>
        <w:rPr>
          <w:spacing w:val="-11"/>
        </w:rPr>
        <w:t xml:space="preserve"> </w:t>
      </w:r>
      <w:r>
        <w:t>cerca</w:t>
      </w:r>
      <w:r>
        <w:rPr>
          <w:spacing w:val="-11"/>
        </w:rPr>
        <w:t xml:space="preserve"> </w:t>
      </w:r>
      <w:r>
        <w:t>del</w:t>
      </w:r>
      <w:r>
        <w:rPr>
          <w:spacing w:val="-12"/>
        </w:rPr>
        <w:t xml:space="preserve"> </w:t>
      </w:r>
      <w:r>
        <w:t>41</w:t>
      </w:r>
      <w:r>
        <w:rPr>
          <w:spacing w:val="-4"/>
        </w:rPr>
        <w:t xml:space="preserve"> </w:t>
      </w:r>
      <w:r>
        <w:t>%</w:t>
      </w:r>
      <w:r>
        <w:rPr>
          <w:spacing w:val="-12"/>
        </w:rPr>
        <w:t xml:space="preserve"> </w:t>
      </w:r>
      <w:r>
        <w:t>de</w:t>
      </w:r>
      <w:r>
        <w:rPr>
          <w:spacing w:val="-11"/>
        </w:rPr>
        <w:t xml:space="preserve"> </w:t>
      </w:r>
      <w:r>
        <w:t>los ingresos de la organización guerrillera para este periodo, que a su vez coincide con el pico de secuestros</w:t>
      </w:r>
      <w:r w:rsidR="004B7E6A">
        <w:rPr>
          <w:rStyle w:val="Refdenotaalpie"/>
        </w:rPr>
        <w:footnoteReference w:id="218"/>
      </w:r>
      <w:r>
        <w:t>. Esto les permitió la obtención de mayores recursos y posibilitó el crecimiento de efectivos, armamento y la mejora sustancial de su infraestructura militar.</w:t>
      </w:r>
    </w:p>
    <w:p w:rsidR="003804AC" w:rsidRDefault="00AF18A5" w:rsidP="004B7E6A">
      <w:r>
        <w:t>Este involucramiento de las FARC-EP en los eslabones de producción de coca en los territorios no permite concluir que esta guerrilla se transformó en un cartel o que perdiera definitivamente sus objetivos políticos, pero tampoco se pueden desdeñar los impactos que tuvo</w:t>
      </w:r>
      <w:r>
        <w:rPr>
          <w:spacing w:val="-15"/>
        </w:rPr>
        <w:t xml:space="preserve"> </w:t>
      </w:r>
      <w:r>
        <w:t>este</w:t>
      </w:r>
      <w:r>
        <w:rPr>
          <w:spacing w:val="-15"/>
        </w:rPr>
        <w:t xml:space="preserve"> </w:t>
      </w:r>
      <w:r>
        <w:t>involucramiento</w:t>
      </w:r>
      <w:r>
        <w:rPr>
          <w:spacing w:val="-15"/>
        </w:rPr>
        <w:t xml:space="preserve"> </w:t>
      </w:r>
      <w:r>
        <w:t>en</w:t>
      </w:r>
      <w:r>
        <w:rPr>
          <w:spacing w:val="-15"/>
        </w:rPr>
        <w:t xml:space="preserve"> </w:t>
      </w:r>
      <w:r>
        <w:t>sus</w:t>
      </w:r>
      <w:r>
        <w:rPr>
          <w:spacing w:val="-15"/>
        </w:rPr>
        <w:t xml:space="preserve"> </w:t>
      </w:r>
      <w:r>
        <w:t>dinámicas</w:t>
      </w:r>
      <w:r>
        <w:rPr>
          <w:spacing w:val="-15"/>
        </w:rPr>
        <w:t xml:space="preserve"> </w:t>
      </w:r>
      <w:r>
        <w:t>organizativas</w:t>
      </w:r>
      <w:r>
        <w:rPr>
          <w:spacing w:val="-15"/>
        </w:rPr>
        <w:t xml:space="preserve"> </w:t>
      </w:r>
      <w:r>
        <w:t>y</w:t>
      </w:r>
      <w:r>
        <w:rPr>
          <w:spacing w:val="-15"/>
        </w:rPr>
        <w:t xml:space="preserve"> </w:t>
      </w:r>
      <w:r>
        <w:t>los</w:t>
      </w:r>
      <w:r>
        <w:rPr>
          <w:spacing w:val="-15"/>
        </w:rPr>
        <w:t xml:space="preserve"> </w:t>
      </w:r>
      <w:r>
        <w:t>problemas</w:t>
      </w:r>
      <w:r>
        <w:rPr>
          <w:spacing w:val="-15"/>
        </w:rPr>
        <w:t xml:space="preserve"> </w:t>
      </w:r>
      <w:r>
        <w:t>de</w:t>
      </w:r>
      <w:r>
        <w:rPr>
          <w:spacing w:val="-15"/>
        </w:rPr>
        <w:t xml:space="preserve"> </w:t>
      </w:r>
      <w:r>
        <w:t>mando</w:t>
      </w:r>
      <w:r>
        <w:rPr>
          <w:spacing w:val="-15"/>
        </w:rPr>
        <w:t xml:space="preserve"> </w:t>
      </w:r>
      <w:r>
        <w:t>y</w:t>
      </w:r>
      <w:r>
        <w:rPr>
          <w:spacing w:val="-15"/>
        </w:rPr>
        <w:t xml:space="preserve"> </w:t>
      </w:r>
      <w:r>
        <w:t>control que</w:t>
      </w:r>
      <w:r>
        <w:rPr>
          <w:spacing w:val="-15"/>
        </w:rPr>
        <w:t xml:space="preserve"> </w:t>
      </w:r>
      <w:r>
        <w:t>generó,</w:t>
      </w:r>
      <w:r>
        <w:rPr>
          <w:spacing w:val="-15"/>
        </w:rPr>
        <w:t xml:space="preserve"> </w:t>
      </w:r>
      <w:r>
        <w:t>específicamente</w:t>
      </w:r>
      <w:r>
        <w:rPr>
          <w:spacing w:val="-15"/>
        </w:rPr>
        <w:t xml:space="preserve"> </w:t>
      </w:r>
      <w:r>
        <w:t>dentro</w:t>
      </w:r>
      <w:r>
        <w:rPr>
          <w:spacing w:val="-15"/>
        </w:rPr>
        <w:t xml:space="preserve"> </w:t>
      </w:r>
      <w:r>
        <w:t>de</w:t>
      </w:r>
      <w:r>
        <w:rPr>
          <w:spacing w:val="-15"/>
        </w:rPr>
        <w:t xml:space="preserve"> </w:t>
      </w:r>
      <w:r>
        <w:t>mandos</w:t>
      </w:r>
      <w:r>
        <w:rPr>
          <w:spacing w:val="-15"/>
        </w:rPr>
        <w:t xml:space="preserve"> </w:t>
      </w:r>
      <w:r>
        <w:t>medios</w:t>
      </w:r>
      <w:r w:rsidR="00EA44CD">
        <w:rPr>
          <w:rStyle w:val="Refdenotaalpie"/>
        </w:rPr>
        <w:footnoteReference w:id="219"/>
      </w:r>
      <w:r>
        <w:t>,</w:t>
      </w:r>
      <w:r>
        <w:rPr>
          <w:spacing w:val="-15"/>
        </w:rPr>
        <w:t xml:space="preserve"> </w:t>
      </w:r>
      <w:r>
        <w:t>como</w:t>
      </w:r>
      <w:r>
        <w:rPr>
          <w:spacing w:val="-15"/>
        </w:rPr>
        <w:t xml:space="preserve"> </w:t>
      </w:r>
      <w:r>
        <w:t>violencia</w:t>
      </w:r>
      <w:r>
        <w:rPr>
          <w:spacing w:val="-15"/>
        </w:rPr>
        <w:t xml:space="preserve"> </w:t>
      </w:r>
      <w:r>
        <w:t>contra</w:t>
      </w:r>
      <w:r>
        <w:rPr>
          <w:spacing w:val="-15"/>
        </w:rPr>
        <w:t xml:space="preserve"> </w:t>
      </w:r>
      <w:r>
        <w:t>la</w:t>
      </w:r>
      <w:r>
        <w:rPr>
          <w:spacing w:val="-15"/>
        </w:rPr>
        <w:t xml:space="preserve"> </w:t>
      </w:r>
      <w:r>
        <w:t>población civil y contra la tropa, no acatamiento de las orientaciones de las Conferencias y del Secretariado,</w:t>
      </w:r>
      <w:r>
        <w:rPr>
          <w:spacing w:val="-4"/>
        </w:rPr>
        <w:t xml:space="preserve"> </w:t>
      </w:r>
      <w:r>
        <w:t>deserciones</w:t>
      </w:r>
      <w:r>
        <w:rPr>
          <w:spacing w:val="-4"/>
        </w:rPr>
        <w:t xml:space="preserve"> </w:t>
      </w:r>
      <w:r>
        <w:t>con</w:t>
      </w:r>
      <w:r>
        <w:rPr>
          <w:spacing w:val="-4"/>
        </w:rPr>
        <w:t xml:space="preserve"> </w:t>
      </w:r>
      <w:r>
        <w:t>dinero</w:t>
      </w:r>
      <w:r>
        <w:rPr>
          <w:spacing w:val="-6"/>
        </w:rPr>
        <w:t xml:space="preserve"> </w:t>
      </w:r>
      <w:r>
        <w:t>de</w:t>
      </w:r>
      <w:r>
        <w:rPr>
          <w:spacing w:val="-4"/>
        </w:rPr>
        <w:t xml:space="preserve"> </w:t>
      </w:r>
      <w:r>
        <w:t>finanzas,</w:t>
      </w:r>
      <w:r>
        <w:rPr>
          <w:spacing w:val="-6"/>
        </w:rPr>
        <w:t xml:space="preserve"> </w:t>
      </w:r>
      <w:r>
        <w:t>enriquecimiento</w:t>
      </w:r>
      <w:r>
        <w:rPr>
          <w:spacing w:val="-4"/>
        </w:rPr>
        <w:t xml:space="preserve"> </w:t>
      </w:r>
      <w:r>
        <w:t>personal</w:t>
      </w:r>
      <w:r>
        <w:rPr>
          <w:spacing w:val="-4"/>
        </w:rPr>
        <w:t xml:space="preserve"> </w:t>
      </w:r>
      <w:r>
        <w:t>y</w:t>
      </w:r>
      <w:r>
        <w:rPr>
          <w:spacing w:val="-4"/>
        </w:rPr>
        <w:t xml:space="preserve"> </w:t>
      </w:r>
      <w:r>
        <w:t>disposición</w:t>
      </w:r>
      <w:r>
        <w:rPr>
          <w:spacing w:val="-4"/>
        </w:rPr>
        <w:t xml:space="preserve"> </w:t>
      </w:r>
      <w:r>
        <w:t>de algunos frentes al servicio de narcotraficantes. Esto cambió la relación con la población de las</w:t>
      </w:r>
      <w:r>
        <w:rPr>
          <w:spacing w:val="-3"/>
        </w:rPr>
        <w:t xml:space="preserve"> </w:t>
      </w:r>
      <w:r>
        <w:t>regiones</w:t>
      </w:r>
      <w:r>
        <w:rPr>
          <w:spacing w:val="-5"/>
        </w:rPr>
        <w:t xml:space="preserve"> </w:t>
      </w:r>
      <w:r>
        <w:t>cocaleras</w:t>
      </w:r>
      <w:r>
        <w:rPr>
          <w:spacing w:val="-3"/>
        </w:rPr>
        <w:t xml:space="preserve"> </w:t>
      </w:r>
      <w:r>
        <w:t>hacia</w:t>
      </w:r>
      <w:r>
        <w:rPr>
          <w:spacing w:val="-3"/>
        </w:rPr>
        <w:t xml:space="preserve"> </w:t>
      </w:r>
      <w:r>
        <w:t>un</w:t>
      </w:r>
      <w:r>
        <w:rPr>
          <w:spacing w:val="-4"/>
        </w:rPr>
        <w:t xml:space="preserve"> </w:t>
      </w:r>
      <w:r>
        <w:t>control</w:t>
      </w:r>
      <w:r>
        <w:rPr>
          <w:spacing w:val="-3"/>
        </w:rPr>
        <w:t xml:space="preserve"> </w:t>
      </w:r>
      <w:r>
        <w:t>cada</w:t>
      </w:r>
      <w:r>
        <w:rPr>
          <w:spacing w:val="-3"/>
        </w:rPr>
        <w:t xml:space="preserve"> </w:t>
      </w:r>
      <w:r>
        <w:t>vez</w:t>
      </w:r>
      <w:r>
        <w:rPr>
          <w:spacing w:val="-5"/>
        </w:rPr>
        <w:t xml:space="preserve"> </w:t>
      </w:r>
      <w:r>
        <w:t>más</w:t>
      </w:r>
      <w:r>
        <w:rPr>
          <w:spacing w:val="-3"/>
        </w:rPr>
        <w:t xml:space="preserve"> </w:t>
      </w:r>
      <w:r>
        <w:t>autoritario,</w:t>
      </w:r>
      <w:r>
        <w:rPr>
          <w:spacing w:val="-4"/>
        </w:rPr>
        <w:t xml:space="preserve"> </w:t>
      </w:r>
      <w:r>
        <w:t>y</w:t>
      </w:r>
      <w:r>
        <w:rPr>
          <w:spacing w:val="-4"/>
        </w:rPr>
        <w:t xml:space="preserve"> </w:t>
      </w:r>
      <w:r>
        <w:t>donde</w:t>
      </w:r>
      <w:r>
        <w:rPr>
          <w:spacing w:val="-3"/>
        </w:rPr>
        <w:t xml:space="preserve"> </w:t>
      </w:r>
      <w:r>
        <w:t>el</w:t>
      </w:r>
      <w:r>
        <w:rPr>
          <w:spacing w:val="-3"/>
        </w:rPr>
        <w:t xml:space="preserve"> </w:t>
      </w:r>
      <w:r>
        <w:t>poder</w:t>
      </w:r>
      <w:r>
        <w:rPr>
          <w:spacing w:val="-3"/>
        </w:rPr>
        <w:t xml:space="preserve"> </w:t>
      </w:r>
      <w:r>
        <w:t>del</w:t>
      </w:r>
      <w:r>
        <w:rPr>
          <w:spacing w:val="-4"/>
        </w:rPr>
        <w:t xml:space="preserve"> </w:t>
      </w:r>
      <w:r>
        <w:t>dinero y la protección del negocio se convirtieron en objetivos estratégicos con conflictos permanentes por la producción, con amenazas, desplazamiento forzado y, en general, el endurecimiento en las relaciones con la población civil.</w:t>
      </w:r>
    </w:p>
    <w:p w:rsidR="003804AC" w:rsidRDefault="00AF18A5" w:rsidP="00EA44CD">
      <w:r>
        <w:rPr>
          <w:sz w:val="22"/>
        </w:rPr>
        <w:lastRenderedPageBreak/>
        <w:t xml:space="preserve">El vínculo </w:t>
      </w:r>
      <w:r>
        <w:t>del ELN con la economía cocalera presenta una trayectoria distinta a la de las FARC-EP</w:t>
      </w:r>
      <w:r>
        <w:rPr>
          <w:spacing w:val="7"/>
        </w:rPr>
        <w:t xml:space="preserve"> </w:t>
      </w:r>
      <w:r>
        <w:t>por</w:t>
      </w:r>
      <w:r>
        <w:rPr>
          <w:spacing w:val="11"/>
        </w:rPr>
        <w:t xml:space="preserve"> </w:t>
      </w:r>
      <w:r>
        <w:t>dos</w:t>
      </w:r>
      <w:r>
        <w:rPr>
          <w:spacing w:val="10"/>
        </w:rPr>
        <w:t xml:space="preserve"> </w:t>
      </w:r>
      <w:r>
        <w:t>razones.</w:t>
      </w:r>
      <w:r>
        <w:rPr>
          <w:spacing w:val="11"/>
        </w:rPr>
        <w:t xml:space="preserve"> </w:t>
      </w:r>
      <w:r>
        <w:t>Primero,</w:t>
      </w:r>
      <w:r>
        <w:rPr>
          <w:spacing w:val="9"/>
        </w:rPr>
        <w:t xml:space="preserve"> </w:t>
      </w:r>
      <w:r>
        <w:t>porque</w:t>
      </w:r>
      <w:r>
        <w:rPr>
          <w:spacing w:val="10"/>
        </w:rPr>
        <w:t xml:space="preserve"> </w:t>
      </w:r>
      <w:r>
        <w:t>la</w:t>
      </w:r>
      <w:r>
        <w:rPr>
          <w:spacing w:val="11"/>
        </w:rPr>
        <w:t xml:space="preserve"> </w:t>
      </w:r>
      <w:r>
        <w:t>asunción</w:t>
      </w:r>
      <w:r>
        <w:rPr>
          <w:spacing w:val="10"/>
        </w:rPr>
        <w:t xml:space="preserve"> </w:t>
      </w:r>
      <w:r>
        <w:t>de</w:t>
      </w:r>
      <w:r>
        <w:rPr>
          <w:spacing w:val="10"/>
        </w:rPr>
        <w:t xml:space="preserve"> </w:t>
      </w:r>
      <w:r>
        <w:t>la</w:t>
      </w:r>
      <w:r>
        <w:rPr>
          <w:spacing w:val="11"/>
        </w:rPr>
        <w:t xml:space="preserve"> </w:t>
      </w:r>
      <w:r>
        <w:t>comandancia</w:t>
      </w:r>
      <w:r>
        <w:rPr>
          <w:spacing w:val="10"/>
        </w:rPr>
        <w:t xml:space="preserve"> </w:t>
      </w:r>
      <w:r>
        <w:t>de</w:t>
      </w:r>
      <w:r>
        <w:rPr>
          <w:spacing w:val="11"/>
        </w:rPr>
        <w:t xml:space="preserve"> </w:t>
      </w:r>
      <w:r>
        <w:t>una</w:t>
      </w:r>
      <w:r>
        <w:rPr>
          <w:spacing w:val="11"/>
        </w:rPr>
        <w:t xml:space="preserve"> </w:t>
      </w:r>
      <w:r>
        <w:rPr>
          <w:spacing w:val="-2"/>
        </w:rPr>
        <w:t>postura</w:t>
      </w:r>
      <w:bookmarkStart w:id="341" w:name="_bookmark256"/>
      <w:bookmarkStart w:id="342" w:name="_bookmark257"/>
      <w:bookmarkEnd w:id="341"/>
      <w:bookmarkEnd w:id="342"/>
      <w:r w:rsidR="00EA44CD">
        <w:rPr>
          <w:spacing w:val="-2"/>
        </w:rPr>
        <w:t xml:space="preserve"> </w:t>
      </w:r>
      <w:r>
        <w:t>moralista y prohibicionista respecto a las formas legítimas de consecución de recursos para la lucha armada y la revolución produjo una vinculación tardía y diferenciada espacial y temporalmente. Este giro en el terreno concreto se debió a presiones tanto externas como internas en la organización que explican en el presente una brecha entre el discurso de la organización nacional y la realidad concreta de sus frentes.</w:t>
      </w:r>
    </w:p>
    <w:p w:rsidR="003804AC" w:rsidRDefault="00AF18A5" w:rsidP="00EA44CD">
      <w:r>
        <w:t>Entre</w:t>
      </w:r>
      <w:r>
        <w:rPr>
          <w:spacing w:val="-15"/>
        </w:rPr>
        <w:t xml:space="preserve"> </w:t>
      </w:r>
      <w:r>
        <w:t>las</w:t>
      </w:r>
      <w:r>
        <w:rPr>
          <w:spacing w:val="-15"/>
        </w:rPr>
        <w:t xml:space="preserve"> </w:t>
      </w:r>
      <w:r>
        <w:t>presiones</w:t>
      </w:r>
      <w:r>
        <w:rPr>
          <w:spacing w:val="-15"/>
        </w:rPr>
        <w:t xml:space="preserve"> </w:t>
      </w:r>
      <w:r>
        <w:t>externas</w:t>
      </w:r>
      <w:r>
        <w:rPr>
          <w:spacing w:val="-15"/>
        </w:rPr>
        <w:t xml:space="preserve"> </w:t>
      </w:r>
      <w:r>
        <w:t>hay</w:t>
      </w:r>
      <w:r>
        <w:rPr>
          <w:spacing w:val="-15"/>
        </w:rPr>
        <w:t xml:space="preserve"> </w:t>
      </w:r>
      <w:r>
        <w:t>que</w:t>
      </w:r>
      <w:r>
        <w:rPr>
          <w:spacing w:val="-15"/>
        </w:rPr>
        <w:t xml:space="preserve"> </w:t>
      </w:r>
      <w:r>
        <w:t>señalar</w:t>
      </w:r>
      <w:r>
        <w:rPr>
          <w:spacing w:val="-15"/>
        </w:rPr>
        <w:t xml:space="preserve"> </w:t>
      </w:r>
      <w:r>
        <w:t>las</w:t>
      </w:r>
      <w:r>
        <w:rPr>
          <w:spacing w:val="-15"/>
        </w:rPr>
        <w:t xml:space="preserve"> </w:t>
      </w:r>
      <w:r>
        <w:t>demandas</w:t>
      </w:r>
      <w:r>
        <w:rPr>
          <w:spacing w:val="-15"/>
        </w:rPr>
        <w:t xml:space="preserve"> </w:t>
      </w:r>
      <w:r>
        <w:t>y</w:t>
      </w:r>
      <w:r>
        <w:rPr>
          <w:spacing w:val="-15"/>
        </w:rPr>
        <w:t xml:space="preserve"> </w:t>
      </w:r>
      <w:r>
        <w:t>peticiones</w:t>
      </w:r>
      <w:r>
        <w:rPr>
          <w:spacing w:val="-15"/>
        </w:rPr>
        <w:t xml:space="preserve"> </w:t>
      </w:r>
      <w:r>
        <w:t>de</w:t>
      </w:r>
      <w:r>
        <w:rPr>
          <w:spacing w:val="-15"/>
        </w:rPr>
        <w:t xml:space="preserve"> </w:t>
      </w:r>
      <w:r>
        <w:t>las</w:t>
      </w:r>
      <w:r>
        <w:rPr>
          <w:spacing w:val="-15"/>
        </w:rPr>
        <w:t xml:space="preserve"> </w:t>
      </w:r>
      <w:r>
        <w:t>comunidades donde</w:t>
      </w:r>
      <w:r>
        <w:rPr>
          <w:spacing w:val="-4"/>
        </w:rPr>
        <w:t xml:space="preserve"> </w:t>
      </w:r>
      <w:r>
        <w:t>esta</w:t>
      </w:r>
      <w:r>
        <w:rPr>
          <w:spacing w:val="-6"/>
        </w:rPr>
        <w:t xml:space="preserve"> </w:t>
      </w:r>
      <w:r>
        <w:t>insurgencia</w:t>
      </w:r>
      <w:r>
        <w:rPr>
          <w:spacing w:val="-4"/>
        </w:rPr>
        <w:t xml:space="preserve"> </w:t>
      </w:r>
      <w:r>
        <w:t>tenía</w:t>
      </w:r>
      <w:r>
        <w:rPr>
          <w:spacing w:val="-4"/>
        </w:rPr>
        <w:t xml:space="preserve"> </w:t>
      </w:r>
      <w:r>
        <w:t>presencia</w:t>
      </w:r>
      <w:r>
        <w:rPr>
          <w:spacing w:val="-4"/>
        </w:rPr>
        <w:t xml:space="preserve"> </w:t>
      </w:r>
      <w:r>
        <w:t>para</w:t>
      </w:r>
      <w:r>
        <w:rPr>
          <w:spacing w:val="-4"/>
        </w:rPr>
        <w:t xml:space="preserve"> </w:t>
      </w:r>
      <w:r>
        <w:t>que</w:t>
      </w:r>
      <w:r>
        <w:rPr>
          <w:spacing w:val="-4"/>
        </w:rPr>
        <w:t xml:space="preserve"> </w:t>
      </w:r>
      <w:r>
        <w:t>se</w:t>
      </w:r>
      <w:r>
        <w:rPr>
          <w:spacing w:val="-4"/>
        </w:rPr>
        <w:t xml:space="preserve"> </w:t>
      </w:r>
      <w:r>
        <w:t>permitiera</w:t>
      </w:r>
      <w:r>
        <w:rPr>
          <w:spacing w:val="-6"/>
        </w:rPr>
        <w:t xml:space="preserve"> </w:t>
      </w:r>
      <w:r>
        <w:t>la</w:t>
      </w:r>
      <w:r>
        <w:rPr>
          <w:spacing w:val="-4"/>
        </w:rPr>
        <w:t xml:space="preserve"> </w:t>
      </w:r>
      <w:r>
        <w:t>introducción</w:t>
      </w:r>
      <w:r>
        <w:rPr>
          <w:spacing w:val="-5"/>
        </w:rPr>
        <w:t xml:space="preserve"> </w:t>
      </w:r>
      <w:r>
        <w:t>y</w:t>
      </w:r>
      <w:r>
        <w:rPr>
          <w:spacing w:val="-5"/>
        </w:rPr>
        <w:t xml:space="preserve"> </w:t>
      </w:r>
      <w:r>
        <w:t>desarrollo</w:t>
      </w:r>
      <w:r>
        <w:rPr>
          <w:spacing w:val="-5"/>
        </w:rPr>
        <w:t xml:space="preserve"> </w:t>
      </w:r>
      <w:r>
        <w:t>de cultivos</w:t>
      </w:r>
      <w:r>
        <w:rPr>
          <w:spacing w:val="-11"/>
        </w:rPr>
        <w:t xml:space="preserve"> </w:t>
      </w:r>
      <w:r>
        <w:t>ilícitos,</w:t>
      </w:r>
      <w:r>
        <w:rPr>
          <w:spacing w:val="-11"/>
        </w:rPr>
        <w:t xml:space="preserve"> </w:t>
      </w:r>
      <w:r>
        <w:t>como</w:t>
      </w:r>
      <w:r>
        <w:rPr>
          <w:spacing w:val="-11"/>
        </w:rPr>
        <w:t xml:space="preserve"> </w:t>
      </w:r>
      <w:r>
        <w:t>sucedió</w:t>
      </w:r>
      <w:r>
        <w:rPr>
          <w:spacing w:val="-11"/>
        </w:rPr>
        <w:t xml:space="preserve"> </w:t>
      </w:r>
      <w:r>
        <w:t>en</w:t>
      </w:r>
      <w:r>
        <w:rPr>
          <w:spacing w:val="-11"/>
        </w:rPr>
        <w:t xml:space="preserve"> </w:t>
      </w:r>
      <w:r>
        <w:t>el</w:t>
      </w:r>
      <w:r>
        <w:rPr>
          <w:spacing w:val="-12"/>
        </w:rPr>
        <w:t xml:space="preserve"> </w:t>
      </w:r>
      <w:r>
        <w:t>Cauca</w:t>
      </w:r>
      <w:r>
        <w:rPr>
          <w:spacing w:val="-11"/>
        </w:rPr>
        <w:t xml:space="preserve"> </w:t>
      </w:r>
      <w:r>
        <w:t>a</w:t>
      </w:r>
      <w:r>
        <w:rPr>
          <w:spacing w:val="-11"/>
        </w:rPr>
        <w:t xml:space="preserve"> </w:t>
      </w:r>
      <w:r>
        <w:t>finales</w:t>
      </w:r>
      <w:r>
        <w:rPr>
          <w:spacing w:val="-11"/>
        </w:rPr>
        <w:t xml:space="preserve"> </w:t>
      </w:r>
      <w:r>
        <w:t>de</w:t>
      </w:r>
      <w:r>
        <w:rPr>
          <w:spacing w:val="-11"/>
        </w:rPr>
        <w:t xml:space="preserve"> </w:t>
      </w:r>
      <w:r>
        <w:t>los</w:t>
      </w:r>
      <w:r>
        <w:rPr>
          <w:spacing w:val="-11"/>
        </w:rPr>
        <w:t xml:space="preserve"> </w:t>
      </w:r>
      <w:r>
        <w:t>años</w:t>
      </w:r>
      <w:r>
        <w:rPr>
          <w:spacing w:val="-11"/>
        </w:rPr>
        <w:t xml:space="preserve"> </w:t>
      </w:r>
      <w:r>
        <w:t>noventa,</w:t>
      </w:r>
      <w:r>
        <w:rPr>
          <w:spacing w:val="-12"/>
        </w:rPr>
        <w:t xml:space="preserve"> </w:t>
      </w:r>
      <w:r>
        <w:t>debido</w:t>
      </w:r>
      <w:r>
        <w:rPr>
          <w:spacing w:val="-11"/>
        </w:rPr>
        <w:t xml:space="preserve"> </w:t>
      </w:r>
      <w:r>
        <w:t>a</w:t>
      </w:r>
      <w:r>
        <w:rPr>
          <w:spacing w:val="-11"/>
        </w:rPr>
        <w:t xml:space="preserve"> </w:t>
      </w:r>
      <w:r>
        <w:t>la</w:t>
      </w:r>
      <w:r>
        <w:rPr>
          <w:spacing w:val="-12"/>
        </w:rPr>
        <w:t xml:space="preserve"> </w:t>
      </w:r>
      <w:r>
        <w:t>ausencia de alternativas económicas para muchas comunidades campesinas. Dentro de las presiones internas hay que destacar la emergencia y ascenso de una nueva generación de cuadros medios</w:t>
      </w:r>
      <w:r>
        <w:rPr>
          <w:spacing w:val="-1"/>
        </w:rPr>
        <w:t xml:space="preserve"> </w:t>
      </w:r>
      <w:r>
        <w:t>que</w:t>
      </w:r>
      <w:r>
        <w:rPr>
          <w:spacing w:val="-1"/>
        </w:rPr>
        <w:t xml:space="preserve"> </w:t>
      </w:r>
      <w:r>
        <w:t>se valieron</w:t>
      </w:r>
      <w:r>
        <w:rPr>
          <w:spacing w:val="-2"/>
        </w:rPr>
        <w:t xml:space="preserve"> </w:t>
      </w:r>
      <w:r>
        <w:t>de la</w:t>
      </w:r>
      <w:r>
        <w:rPr>
          <w:spacing w:val="-1"/>
        </w:rPr>
        <w:t xml:space="preserve"> </w:t>
      </w:r>
      <w:r>
        <w:t>coca para aumentar sus bases</w:t>
      </w:r>
      <w:r>
        <w:rPr>
          <w:spacing w:val="-1"/>
        </w:rPr>
        <w:t xml:space="preserve"> </w:t>
      </w:r>
      <w:r>
        <w:t>sociales y pie</w:t>
      </w:r>
      <w:r>
        <w:rPr>
          <w:spacing w:val="-1"/>
        </w:rPr>
        <w:t xml:space="preserve"> </w:t>
      </w:r>
      <w:r>
        <w:t>de fuerza</w:t>
      </w:r>
      <w:r>
        <w:rPr>
          <w:spacing w:val="-1"/>
        </w:rPr>
        <w:t xml:space="preserve"> </w:t>
      </w:r>
      <w:r>
        <w:t>gracias</w:t>
      </w:r>
      <w:r>
        <w:rPr>
          <w:spacing w:val="-1"/>
        </w:rPr>
        <w:t xml:space="preserve"> </w:t>
      </w:r>
      <w:r>
        <w:t>a los recursos provenientes de dicha economía.</w:t>
      </w:r>
    </w:p>
    <w:p w:rsidR="003804AC" w:rsidRDefault="00AF18A5" w:rsidP="00EA44CD">
      <w:r>
        <w:t>El tardío arribo del ELN a la economía cocalera y la condición federada de esta guerrilla explican las diferentes formas de inserción en esa economía. El Domingo Laín en Arauca mantuvo su postura prohibicionista y radical de no involucrarse con la coca, en lo cual tuvo que</w:t>
      </w:r>
      <w:r>
        <w:rPr>
          <w:spacing w:val="-1"/>
        </w:rPr>
        <w:t xml:space="preserve"> </w:t>
      </w:r>
      <w:r>
        <w:t>ver</w:t>
      </w:r>
      <w:r>
        <w:rPr>
          <w:spacing w:val="-1"/>
        </w:rPr>
        <w:t xml:space="preserve"> </w:t>
      </w:r>
      <w:r>
        <w:t>la</w:t>
      </w:r>
      <w:r>
        <w:rPr>
          <w:spacing w:val="-1"/>
        </w:rPr>
        <w:t xml:space="preserve"> </w:t>
      </w:r>
      <w:r>
        <w:t>disputa</w:t>
      </w:r>
      <w:r>
        <w:rPr>
          <w:spacing w:val="-1"/>
        </w:rPr>
        <w:t xml:space="preserve"> </w:t>
      </w:r>
      <w:r>
        <w:t>armada</w:t>
      </w:r>
      <w:r>
        <w:rPr>
          <w:spacing w:val="-1"/>
        </w:rPr>
        <w:t xml:space="preserve"> </w:t>
      </w:r>
      <w:r>
        <w:t>con</w:t>
      </w:r>
      <w:r>
        <w:rPr>
          <w:spacing w:val="-1"/>
        </w:rPr>
        <w:t xml:space="preserve"> </w:t>
      </w:r>
      <w:r>
        <w:t>el</w:t>
      </w:r>
      <w:r>
        <w:rPr>
          <w:spacing w:val="-1"/>
        </w:rPr>
        <w:t xml:space="preserve"> </w:t>
      </w:r>
      <w:r>
        <w:t>Frente</w:t>
      </w:r>
      <w:r>
        <w:rPr>
          <w:spacing w:val="-1"/>
        </w:rPr>
        <w:t xml:space="preserve"> </w:t>
      </w:r>
      <w:r>
        <w:t>10</w:t>
      </w:r>
      <w:r>
        <w:rPr>
          <w:spacing w:val="-1"/>
        </w:rPr>
        <w:t xml:space="preserve"> </w:t>
      </w:r>
      <w:r>
        <w:t>de</w:t>
      </w:r>
      <w:r>
        <w:rPr>
          <w:spacing w:val="-1"/>
        </w:rPr>
        <w:t xml:space="preserve"> </w:t>
      </w:r>
      <w:r>
        <w:t>las</w:t>
      </w:r>
      <w:r>
        <w:rPr>
          <w:spacing w:val="-2"/>
        </w:rPr>
        <w:t xml:space="preserve"> </w:t>
      </w:r>
      <w:r>
        <w:t>FARC-EP, entre</w:t>
      </w:r>
      <w:r>
        <w:rPr>
          <w:spacing w:val="-1"/>
        </w:rPr>
        <w:t xml:space="preserve"> </w:t>
      </w:r>
      <w:r>
        <w:t>2005</w:t>
      </w:r>
      <w:r>
        <w:rPr>
          <w:spacing w:val="-1"/>
        </w:rPr>
        <w:t xml:space="preserve"> </w:t>
      </w:r>
      <w:r>
        <w:t>y</w:t>
      </w:r>
      <w:r>
        <w:rPr>
          <w:spacing w:val="-2"/>
        </w:rPr>
        <w:t xml:space="preserve"> </w:t>
      </w:r>
      <w:r>
        <w:t>2010.</w:t>
      </w:r>
      <w:r>
        <w:rPr>
          <w:spacing w:val="-1"/>
        </w:rPr>
        <w:t xml:space="preserve"> </w:t>
      </w:r>
      <w:r>
        <w:t>Después</w:t>
      </w:r>
      <w:r>
        <w:rPr>
          <w:spacing w:val="-1"/>
        </w:rPr>
        <w:t xml:space="preserve"> </w:t>
      </w:r>
      <w:r>
        <w:t>de 2006 están los casos de los frentes del Chocó, Cauca y sur de Bolívar, que con el cobro del gramaje</w:t>
      </w:r>
      <w:r>
        <w:rPr>
          <w:spacing w:val="-1"/>
        </w:rPr>
        <w:t xml:space="preserve"> </w:t>
      </w:r>
      <w:r>
        <w:t>se</w:t>
      </w:r>
      <w:r>
        <w:rPr>
          <w:spacing w:val="-1"/>
        </w:rPr>
        <w:t xml:space="preserve"> </w:t>
      </w:r>
      <w:r>
        <w:t>empezaron</w:t>
      </w:r>
      <w:r>
        <w:rPr>
          <w:spacing w:val="-1"/>
        </w:rPr>
        <w:t xml:space="preserve"> </w:t>
      </w:r>
      <w:r>
        <w:t>a</w:t>
      </w:r>
      <w:r>
        <w:rPr>
          <w:spacing w:val="-1"/>
        </w:rPr>
        <w:t xml:space="preserve"> </w:t>
      </w:r>
      <w:r>
        <w:t>relacionar</w:t>
      </w:r>
      <w:r>
        <w:rPr>
          <w:spacing w:val="-1"/>
        </w:rPr>
        <w:t xml:space="preserve"> </w:t>
      </w:r>
      <w:r>
        <w:t>de</w:t>
      </w:r>
      <w:r>
        <w:rPr>
          <w:spacing w:val="-1"/>
        </w:rPr>
        <w:t xml:space="preserve"> </w:t>
      </w:r>
      <w:r>
        <w:t>manera</w:t>
      </w:r>
      <w:r>
        <w:rPr>
          <w:spacing w:val="-2"/>
        </w:rPr>
        <w:t xml:space="preserve"> </w:t>
      </w:r>
      <w:r>
        <w:t>tangencial,</w:t>
      </w:r>
      <w:r>
        <w:rPr>
          <w:spacing w:val="-1"/>
        </w:rPr>
        <w:t xml:space="preserve"> </w:t>
      </w:r>
      <w:r>
        <w:t>y</w:t>
      </w:r>
      <w:r>
        <w:rPr>
          <w:spacing w:val="-1"/>
        </w:rPr>
        <w:t xml:space="preserve"> </w:t>
      </w:r>
      <w:r>
        <w:t>de</w:t>
      </w:r>
      <w:r>
        <w:rPr>
          <w:spacing w:val="-1"/>
        </w:rPr>
        <w:t xml:space="preserve"> </w:t>
      </w:r>
      <w:r>
        <w:t>acuerdo</w:t>
      </w:r>
      <w:r>
        <w:rPr>
          <w:spacing w:val="-1"/>
        </w:rPr>
        <w:t xml:space="preserve"> </w:t>
      </w:r>
      <w:r>
        <w:t>a</w:t>
      </w:r>
      <w:r>
        <w:rPr>
          <w:spacing w:val="-2"/>
        </w:rPr>
        <w:t xml:space="preserve"> </w:t>
      </w:r>
      <w:r>
        <w:t>sus</w:t>
      </w:r>
      <w:r>
        <w:rPr>
          <w:spacing w:val="-1"/>
        </w:rPr>
        <w:t xml:space="preserve"> </w:t>
      </w:r>
      <w:r>
        <w:t>posibilidades</w:t>
      </w:r>
      <w:r>
        <w:rPr>
          <w:spacing w:val="-1"/>
        </w:rPr>
        <w:t xml:space="preserve"> </w:t>
      </w:r>
      <w:r>
        <w:t>y alianzas, con otros grupos armados. Finalmente, están las estructuras de Cauca, Nariño y Catatumbo,</w:t>
      </w:r>
      <w:r>
        <w:rPr>
          <w:spacing w:val="-12"/>
        </w:rPr>
        <w:t xml:space="preserve"> </w:t>
      </w:r>
      <w:r>
        <w:t>que</w:t>
      </w:r>
      <w:r>
        <w:rPr>
          <w:spacing w:val="-9"/>
        </w:rPr>
        <w:t xml:space="preserve"> </w:t>
      </w:r>
      <w:r>
        <w:t>se</w:t>
      </w:r>
      <w:r>
        <w:rPr>
          <w:spacing w:val="-11"/>
        </w:rPr>
        <w:t xml:space="preserve"> </w:t>
      </w:r>
      <w:r>
        <w:t>metieron</w:t>
      </w:r>
      <w:r>
        <w:rPr>
          <w:spacing w:val="-10"/>
        </w:rPr>
        <w:t xml:space="preserve"> </w:t>
      </w:r>
      <w:r>
        <w:t>de</w:t>
      </w:r>
      <w:r>
        <w:rPr>
          <w:spacing w:val="-11"/>
        </w:rPr>
        <w:t xml:space="preserve"> </w:t>
      </w:r>
      <w:r>
        <w:t>lleno</w:t>
      </w:r>
      <w:r>
        <w:rPr>
          <w:spacing w:val="-12"/>
        </w:rPr>
        <w:t xml:space="preserve"> </w:t>
      </w:r>
      <w:r>
        <w:t>en</w:t>
      </w:r>
      <w:r>
        <w:rPr>
          <w:spacing w:val="-10"/>
        </w:rPr>
        <w:t xml:space="preserve"> </w:t>
      </w:r>
      <w:r>
        <w:t>el</w:t>
      </w:r>
      <w:r>
        <w:rPr>
          <w:spacing w:val="-9"/>
        </w:rPr>
        <w:t xml:space="preserve"> </w:t>
      </w:r>
      <w:r>
        <w:lastRenderedPageBreak/>
        <w:t>narcotráfico</w:t>
      </w:r>
      <w:r>
        <w:rPr>
          <w:spacing w:val="-11"/>
        </w:rPr>
        <w:t xml:space="preserve"> </w:t>
      </w:r>
      <w:r>
        <w:t>después</w:t>
      </w:r>
      <w:r>
        <w:rPr>
          <w:spacing w:val="-9"/>
        </w:rPr>
        <w:t xml:space="preserve"> </w:t>
      </w:r>
      <w:r>
        <w:t>de</w:t>
      </w:r>
      <w:r>
        <w:rPr>
          <w:spacing w:val="-9"/>
        </w:rPr>
        <w:t xml:space="preserve"> </w:t>
      </w:r>
      <w:r>
        <w:t>2008,</w:t>
      </w:r>
      <w:r>
        <w:rPr>
          <w:spacing w:val="-11"/>
        </w:rPr>
        <w:t xml:space="preserve"> </w:t>
      </w:r>
      <w:r>
        <w:t>tanto</w:t>
      </w:r>
      <w:r>
        <w:rPr>
          <w:spacing w:val="-10"/>
        </w:rPr>
        <w:t xml:space="preserve"> </w:t>
      </w:r>
      <w:r>
        <w:t>en</w:t>
      </w:r>
      <w:r>
        <w:rPr>
          <w:spacing w:val="-11"/>
        </w:rPr>
        <w:t xml:space="preserve"> </w:t>
      </w:r>
      <w:r>
        <w:t>los</w:t>
      </w:r>
      <w:r>
        <w:rPr>
          <w:spacing w:val="-9"/>
        </w:rPr>
        <w:t xml:space="preserve"> </w:t>
      </w:r>
      <w:r>
        <w:t>cultivos como en las etapas de transformación, ofreciendo seguridad a las rutas de Nariño y Catatumbo. La única excepción sigue siendo el Frente de Guerra Oriental, donde no hay cultivos y se cobra por el paso de droga hacia Venezuela.</w:t>
      </w:r>
    </w:p>
    <w:p w:rsidR="003804AC" w:rsidRDefault="00AF18A5" w:rsidP="00EA44CD">
      <w:r>
        <w:t>Pero también se debe señalar que el ELN sí se vinculó con otras economías ilegales. En el caso de la minería, la relación es de larga data, particularmente desde los años ochenta, cuando algunas de sus estructuras empezaron a regular y dar trámite a las explotaciones de minas auríferas artesanales y legales de aluvión en las zonas donde tenían presencia. Por ejemplo,</w:t>
      </w:r>
      <w:r>
        <w:rPr>
          <w:spacing w:val="-6"/>
        </w:rPr>
        <w:t xml:space="preserve"> </w:t>
      </w:r>
      <w:r>
        <w:t>en</w:t>
      </w:r>
      <w:r>
        <w:rPr>
          <w:spacing w:val="-7"/>
        </w:rPr>
        <w:t xml:space="preserve"> </w:t>
      </w:r>
      <w:r>
        <w:t>los</w:t>
      </w:r>
      <w:r>
        <w:rPr>
          <w:spacing w:val="-6"/>
        </w:rPr>
        <w:t xml:space="preserve"> </w:t>
      </w:r>
      <w:r>
        <w:t>yacimientos</w:t>
      </w:r>
      <w:r>
        <w:rPr>
          <w:spacing w:val="-6"/>
        </w:rPr>
        <w:t xml:space="preserve"> </w:t>
      </w:r>
      <w:r>
        <w:t>del</w:t>
      </w:r>
      <w:r>
        <w:rPr>
          <w:spacing w:val="-6"/>
        </w:rPr>
        <w:t xml:space="preserve"> </w:t>
      </w:r>
      <w:r>
        <w:t>sur</w:t>
      </w:r>
      <w:r>
        <w:rPr>
          <w:spacing w:val="-6"/>
        </w:rPr>
        <w:t xml:space="preserve"> </w:t>
      </w:r>
      <w:r>
        <w:t>de</w:t>
      </w:r>
      <w:r>
        <w:rPr>
          <w:spacing w:val="-6"/>
        </w:rPr>
        <w:t xml:space="preserve"> </w:t>
      </w:r>
      <w:r>
        <w:t>Bolívar,</w:t>
      </w:r>
      <w:r>
        <w:rPr>
          <w:spacing w:val="-6"/>
        </w:rPr>
        <w:t xml:space="preserve"> </w:t>
      </w:r>
      <w:r>
        <w:t>el</w:t>
      </w:r>
      <w:r>
        <w:rPr>
          <w:spacing w:val="-7"/>
        </w:rPr>
        <w:t xml:space="preserve"> </w:t>
      </w:r>
      <w:r>
        <w:t>Bajo</w:t>
      </w:r>
      <w:r>
        <w:rPr>
          <w:spacing w:val="-6"/>
        </w:rPr>
        <w:t xml:space="preserve"> </w:t>
      </w:r>
      <w:r>
        <w:t>Cauca,</w:t>
      </w:r>
      <w:r>
        <w:rPr>
          <w:spacing w:val="-6"/>
        </w:rPr>
        <w:t xml:space="preserve"> </w:t>
      </w:r>
      <w:r>
        <w:t>Cauca</w:t>
      </w:r>
      <w:r>
        <w:rPr>
          <w:spacing w:val="-6"/>
        </w:rPr>
        <w:t xml:space="preserve"> </w:t>
      </w:r>
      <w:r>
        <w:t>y</w:t>
      </w:r>
      <w:r>
        <w:rPr>
          <w:spacing w:val="-6"/>
        </w:rPr>
        <w:t xml:space="preserve"> </w:t>
      </w:r>
      <w:r>
        <w:t>Chocó.</w:t>
      </w:r>
      <w:r>
        <w:rPr>
          <w:spacing w:val="-6"/>
        </w:rPr>
        <w:t xml:space="preserve"> </w:t>
      </w:r>
      <w:r>
        <w:t>Para</w:t>
      </w:r>
      <w:r>
        <w:rPr>
          <w:spacing w:val="-6"/>
        </w:rPr>
        <w:t xml:space="preserve"> </w:t>
      </w:r>
      <w:r>
        <w:t>los</w:t>
      </w:r>
      <w:r>
        <w:rPr>
          <w:spacing w:val="-7"/>
        </w:rPr>
        <w:t xml:space="preserve"> </w:t>
      </w:r>
      <w:r>
        <w:t>años noventa,</w:t>
      </w:r>
      <w:r>
        <w:rPr>
          <w:spacing w:val="68"/>
        </w:rPr>
        <w:t xml:space="preserve"> </w:t>
      </w:r>
      <w:r>
        <w:t>también</w:t>
      </w:r>
      <w:r>
        <w:rPr>
          <w:spacing w:val="71"/>
        </w:rPr>
        <w:t xml:space="preserve"> </w:t>
      </w:r>
      <w:r>
        <w:t>se</w:t>
      </w:r>
      <w:r>
        <w:rPr>
          <w:spacing w:val="71"/>
        </w:rPr>
        <w:t xml:space="preserve"> </w:t>
      </w:r>
      <w:r>
        <w:t>vinculó</w:t>
      </w:r>
      <w:r>
        <w:rPr>
          <w:spacing w:val="71"/>
        </w:rPr>
        <w:t xml:space="preserve"> </w:t>
      </w:r>
      <w:r>
        <w:t>con</w:t>
      </w:r>
      <w:r>
        <w:rPr>
          <w:spacing w:val="69"/>
        </w:rPr>
        <w:t xml:space="preserve"> </w:t>
      </w:r>
      <w:r>
        <w:t>dinámicas</w:t>
      </w:r>
      <w:r>
        <w:rPr>
          <w:spacing w:val="70"/>
        </w:rPr>
        <w:t xml:space="preserve"> </w:t>
      </w:r>
      <w:r>
        <w:t>productivas</w:t>
      </w:r>
      <w:r>
        <w:rPr>
          <w:spacing w:val="71"/>
        </w:rPr>
        <w:t xml:space="preserve"> </w:t>
      </w:r>
      <w:r>
        <w:t>ilegales</w:t>
      </w:r>
      <w:r>
        <w:rPr>
          <w:spacing w:val="71"/>
        </w:rPr>
        <w:t xml:space="preserve"> </w:t>
      </w:r>
      <w:r>
        <w:t>y</w:t>
      </w:r>
      <w:r>
        <w:rPr>
          <w:spacing w:val="71"/>
        </w:rPr>
        <w:t xml:space="preserve"> </w:t>
      </w:r>
      <w:r>
        <w:t>criminales,</w:t>
      </w:r>
      <w:r>
        <w:rPr>
          <w:spacing w:val="71"/>
        </w:rPr>
        <w:t xml:space="preserve"> </w:t>
      </w:r>
      <w:r>
        <w:t>con</w:t>
      </w:r>
      <w:r>
        <w:rPr>
          <w:spacing w:val="71"/>
        </w:rPr>
        <w:t xml:space="preserve"> </w:t>
      </w:r>
      <w:r>
        <w:rPr>
          <w:spacing w:val="-5"/>
        </w:rPr>
        <w:t>la</w:t>
      </w:r>
      <w:r w:rsidR="00EA44CD">
        <w:t xml:space="preserve"> </w:t>
      </w:r>
      <w:r>
        <w:t>introducción de maquinaria pesada para la extracción del mineral. Esto le generó fricciones al</w:t>
      </w:r>
      <w:r>
        <w:rPr>
          <w:spacing w:val="-15"/>
        </w:rPr>
        <w:t xml:space="preserve"> </w:t>
      </w:r>
      <w:r>
        <w:t>ELN</w:t>
      </w:r>
      <w:r>
        <w:rPr>
          <w:spacing w:val="-15"/>
        </w:rPr>
        <w:t xml:space="preserve"> </w:t>
      </w:r>
      <w:r>
        <w:t>en</w:t>
      </w:r>
      <w:r>
        <w:rPr>
          <w:spacing w:val="-14"/>
        </w:rPr>
        <w:t xml:space="preserve"> </w:t>
      </w:r>
      <w:r>
        <w:t>ciertas</w:t>
      </w:r>
      <w:r>
        <w:rPr>
          <w:spacing w:val="-15"/>
        </w:rPr>
        <w:t xml:space="preserve"> </w:t>
      </w:r>
      <w:r>
        <w:t>zonas</w:t>
      </w:r>
      <w:r>
        <w:rPr>
          <w:spacing w:val="-15"/>
        </w:rPr>
        <w:t xml:space="preserve"> </w:t>
      </w:r>
      <w:r>
        <w:t>del</w:t>
      </w:r>
      <w:r>
        <w:rPr>
          <w:spacing w:val="-14"/>
        </w:rPr>
        <w:t xml:space="preserve"> </w:t>
      </w:r>
      <w:r>
        <w:t>país,</w:t>
      </w:r>
      <w:r>
        <w:rPr>
          <w:spacing w:val="-15"/>
        </w:rPr>
        <w:t xml:space="preserve"> </w:t>
      </w:r>
      <w:r>
        <w:t>porque</w:t>
      </w:r>
      <w:r>
        <w:rPr>
          <w:spacing w:val="-15"/>
        </w:rPr>
        <w:t xml:space="preserve"> </w:t>
      </w:r>
      <w:r>
        <w:t>los</w:t>
      </w:r>
      <w:r>
        <w:rPr>
          <w:spacing w:val="-14"/>
        </w:rPr>
        <w:t xml:space="preserve"> </w:t>
      </w:r>
      <w:r>
        <w:t>explotadores</w:t>
      </w:r>
      <w:r>
        <w:rPr>
          <w:spacing w:val="-15"/>
        </w:rPr>
        <w:t xml:space="preserve"> </w:t>
      </w:r>
      <w:r>
        <w:t>tradicionales</w:t>
      </w:r>
      <w:r>
        <w:rPr>
          <w:spacing w:val="-14"/>
        </w:rPr>
        <w:t xml:space="preserve"> </w:t>
      </w:r>
      <w:r>
        <w:t>y</w:t>
      </w:r>
      <w:r>
        <w:rPr>
          <w:spacing w:val="-15"/>
        </w:rPr>
        <w:t xml:space="preserve"> </w:t>
      </w:r>
      <w:r>
        <w:t>artesanales</w:t>
      </w:r>
      <w:r>
        <w:rPr>
          <w:spacing w:val="-14"/>
        </w:rPr>
        <w:t xml:space="preserve"> </w:t>
      </w:r>
      <w:r>
        <w:t>se</w:t>
      </w:r>
      <w:r>
        <w:rPr>
          <w:spacing w:val="-15"/>
        </w:rPr>
        <w:t xml:space="preserve"> </w:t>
      </w:r>
      <w:r>
        <w:t xml:space="preserve">vieron marginados y afectados. En algunos casos, por esas fricciones, el ELN perdió el control de ciertos distritos mineros a lo largo de los años. Por ejemplo, en el Bajo Cauca, con la expansión paramilitar, o en tiempo reciente con las autodenominadas Autodefensas </w:t>
      </w:r>
      <w:proofErr w:type="spellStart"/>
      <w:r>
        <w:t>Gaitanistas</w:t>
      </w:r>
      <w:proofErr w:type="spellEnd"/>
      <w:r>
        <w:t xml:space="preserve"> de Colombia (AGC) en áreas del San Juan en Chocó.</w:t>
      </w:r>
    </w:p>
    <w:p w:rsidR="003804AC" w:rsidRDefault="00AF18A5" w:rsidP="00EA44CD">
      <w:r>
        <w:t>En</w:t>
      </w:r>
      <w:r>
        <w:rPr>
          <w:spacing w:val="-3"/>
        </w:rPr>
        <w:t xml:space="preserve"> </w:t>
      </w:r>
      <w:r>
        <w:rPr>
          <w:sz w:val="22"/>
        </w:rPr>
        <w:t>el</w:t>
      </w:r>
      <w:r>
        <w:rPr>
          <w:spacing w:val="-2"/>
          <w:sz w:val="22"/>
        </w:rPr>
        <w:t xml:space="preserve"> </w:t>
      </w:r>
      <w:r>
        <w:rPr>
          <w:sz w:val="22"/>
        </w:rPr>
        <w:t>caso</w:t>
      </w:r>
      <w:r>
        <w:rPr>
          <w:spacing w:val="-2"/>
          <w:sz w:val="22"/>
        </w:rPr>
        <w:t xml:space="preserve"> </w:t>
      </w:r>
      <w:r>
        <w:rPr>
          <w:sz w:val="22"/>
        </w:rPr>
        <w:t>tanto</w:t>
      </w:r>
      <w:r>
        <w:rPr>
          <w:spacing w:val="-2"/>
          <w:sz w:val="22"/>
        </w:rPr>
        <w:t xml:space="preserve"> </w:t>
      </w:r>
      <w:r>
        <w:rPr>
          <w:sz w:val="22"/>
        </w:rPr>
        <w:t>del</w:t>
      </w:r>
      <w:r>
        <w:rPr>
          <w:spacing w:val="-3"/>
          <w:sz w:val="22"/>
        </w:rPr>
        <w:t xml:space="preserve"> </w:t>
      </w:r>
      <w:r>
        <w:t>ELN</w:t>
      </w:r>
      <w:r>
        <w:rPr>
          <w:spacing w:val="-4"/>
        </w:rPr>
        <w:t xml:space="preserve"> </w:t>
      </w:r>
      <w:r>
        <w:rPr>
          <w:sz w:val="22"/>
        </w:rPr>
        <w:t>como</w:t>
      </w:r>
      <w:r>
        <w:rPr>
          <w:spacing w:val="-2"/>
          <w:sz w:val="22"/>
        </w:rPr>
        <w:t xml:space="preserve"> </w:t>
      </w:r>
      <w:r>
        <w:rPr>
          <w:sz w:val="22"/>
        </w:rPr>
        <w:t>de</w:t>
      </w:r>
      <w:r>
        <w:rPr>
          <w:spacing w:val="-3"/>
          <w:sz w:val="22"/>
        </w:rPr>
        <w:t xml:space="preserve"> </w:t>
      </w:r>
      <w:r>
        <w:rPr>
          <w:sz w:val="22"/>
        </w:rPr>
        <w:t xml:space="preserve">las </w:t>
      </w:r>
      <w:r>
        <w:t>FARC</w:t>
      </w:r>
      <w:r>
        <w:rPr>
          <w:sz w:val="22"/>
        </w:rPr>
        <w:t>-EP</w:t>
      </w:r>
      <w:r>
        <w:t>,</w:t>
      </w:r>
      <w:r>
        <w:rPr>
          <w:spacing w:val="-3"/>
        </w:rPr>
        <w:t xml:space="preserve"> </w:t>
      </w:r>
      <w:r>
        <w:t>la</w:t>
      </w:r>
      <w:r>
        <w:rPr>
          <w:spacing w:val="-3"/>
        </w:rPr>
        <w:t xml:space="preserve"> </w:t>
      </w:r>
      <w:r>
        <w:t>priorización</w:t>
      </w:r>
      <w:r>
        <w:rPr>
          <w:spacing w:val="-3"/>
        </w:rPr>
        <w:t xml:space="preserve"> </w:t>
      </w:r>
      <w:r>
        <w:t>de</w:t>
      </w:r>
      <w:r>
        <w:rPr>
          <w:spacing w:val="-3"/>
        </w:rPr>
        <w:t xml:space="preserve"> </w:t>
      </w:r>
      <w:r>
        <w:t>los</w:t>
      </w:r>
      <w:r>
        <w:rPr>
          <w:spacing w:val="-4"/>
        </w:rPr>
        <w:t xml:space="preserve"> </w:t>
      </w:r>
      <w:r>
        <w:t>objetivos</w:t>
      </w:r>
      <w:r>
        <w:rPr>
          <w:spacing w:val="-4"/>
        </w:rPr>
        <w:t xml:space="preserve"> </w:t>
      </w:r>
      <w:r>
        <w:t>militares</w:t>
      </w:r>
      <w:r>
        <w:rPr>
          <w:spacing w:val="-4"/>
        </w:rPr>
        <w:t xml:space="preserve"> </w:t>
      </w:r>
      <w:r>
        <w:t xml:space="preserve">y un mayor involucramiento en la regulación de los mercados derivados de las economías ilegales, como el narcotráfico y la minería ilegal implicaron un </w:t>
      </w:r>
      <w:r>
        <w:rPr>
          <w:sz w:val="22"/>
        </w:rPr>
        <w:t xml:space="preserve">quiebre </w:t>
      </w:r>
      <w:r>
        <w:t>definitivo de las relaciones iniciales con la población civil, en las que anteriormente fue central lo que los grupos guerrilleros denominaron el trabajo político y de organización de los pobladores en los territorios donde hicieron presencia.</w:t>
      </w:r>
    </w:p>
    <w:p w:rsidR="003804AC" w:rsidRDefault="00AF18A5" w:rsidP="00EA44CD">
      <w:r>
        <w:lastRenderedPageBreak/>
        <w:t xml:space="preserve">Todas estas dinámicas han conllevado </w:t>
      </w:r>
      <w:r>
        <w:rPr>
          <w:sz w:val="22"/>
        </w:rPr>
        <w:t xml:space="preserve">asimismo </w:t>
      </w:r>
      <w:r>
        <w:t>desafíos en los procesos de negociación hacia</w:t>
      </w:r>
      <w:r>
        <w:rPr>
          <w:spacing w:val="-15"/>
        </w:rPr>
        <w:t xml:space="preserve"> </w:t>
      </w:r>
      <w:r>
        <w:t>la</w:t>
      </w:r>
      <w:r>
        <w:rPr>
          <w:spacing w:val="-15"/>
        </w:rPr>
        <w:t xml:space="preserve"> </w:t>
      </w:r>
      <w:r>
        <w:t>paz</w:t>
      </w:r>
      <w:r>
        <w:rPr>
          <w:spacing w:val="-15"/>
        </w:rPr>
        <w:t xml:space="preserve"> </w:t>
      </w:r>
      <w:r>
        <w:t>con</w:t>
      </w:r>
      <w:r>
        <w:rPr>
          <w:spacing w:val="-15"/>
        </w:rPr>
        <w:t xml:space="preserve"> </w:t>
      </w:r>
      <w:r>
        <w:t>estos</w:t>
      </w:r>
      <w:r>
        <w:rPr>
          <w:spacing w:val="-15"/>
        </w:rPr>
        <w:t xml:space="preserve"> </w:t>
      </w:r>
      <w:r>
        <w:t>movimientos</w:t>
      </w:r>
      <w:r>
        <w:rPr>
          <w:spacing w:val="-15"/>
        </w:rPr>
        <w:t xml:space="preserve"> </w:t>
      </w:r>
      <w:r>
        <w:t>guerrilleros.</w:t>
      </w:r>
      <w:r>
        <w:rPr>
          <w:spacing w:val="-15"/>
        </w:rPr>
        <w:t xml:space="preserve"> </w:t>
      </w:r>
      <w:r>
        <w:t>En</w:t>
      </w:r>
      <w:r>
        <w:rPr>
          <w:spacing w:val="-15"/>
        </w:rPr>
        <w:t xml:space="preserve"> </w:t>
      </w:r>
      <w:r>
        <w:t>el</w:t>
      </w:r>
      <w:r>
        <w:rPr>
          <w:spacing w:val="-15"/>
        </w:rPr>
        <w:t xml:space="preserve"> </w:t>
      </w:r>
      <w:r>
        <w:t>caso</w:t>
      </w:r>
      <w:r>
        <w:rPr>
          <w:spacing w:val="-15"/>
        </w:rPr>
        <w:t xml:space="preserve"> </w:t>
      </w:r>
      <w:r>
        <w:t>de</w:t>
      </w:r>
      <w:r>
        <w:rPr>
          <w:spacing w:val="-15"/>
        </w:rPr>
        <w:t xml:space="preserve"> </w:t>
      </w:r>
      <w:r>
        <w:t>las</w:t>
      </w:r>
      <w:r>
        <w:rPr>
          <w:spacing w:val="-15"/>
        </w:rPr>
        <w:t xml:space="preserve"> </w:t>
      </w:r>
      <w:r>
        <w:t>FARC-EP,</w:t>
      </w:r>
      <w:r>
        <w:rPr>
          <w:spacing w:val="-15"/>
        </w:rPr>
        <w:t xml:space="preserve"> </w:t>
      </w:r>
      <w:r>
        <w:t>la</w:t>
      </w:r>
      <w:r>
        <w:rPr>
          <w:spacing w:val="-15"/>
        </w:rPr>
        <w:t xml:space="preserve"> </w:t>
      </w:r>
      <w:r>
        <w:t>consideración en</w:t>
      </w:r>
      <w:r>
        <w:rPr>
          <w:spacing w:val="-8"/>
        </w:rPr>
        <w:t xml:space="preserve"> </w:t>
      </w:r>
      <w:r>
        <w:t>la</w:t>
      </w:r>
      <w:r>
        <w:rPr>
          <w:spacing w:val="-8"/>
        </w:rPr>
        <w:t xml:space="preserve"> </w:t>
      </w:r>
      <w:r>
        <w:t>negociación</w:t>
      </w:r>
      <w:r>
        <w:rPr>
          <w:spacing w:val="-8"/>
        </w:rPr>
        <w:t xml:space="preserve"> </w:t>
      </w:r>
      <w:r>
        <w:t>del</w:t>
      </w:r>
      <w:r>
        <w:rPr>
          <w:spacing w:val="-8"/>
        </w:rPr>
        <w:t xml:space="preserve"> </w:t>
      </w:r>
      <w:r>
        <w:t>delito</w:t>
      </w:r>
      <w:r>
        <w:rPr>
          <w:spacing w:val="-8"/>
        </w:rPr>
        <w:t xml:space="preserve"> </w:t>
      </w:r>
      <w:r>
        <w:t>político</w:t>
      </w:r>
      <w:r>
        <w:rPr>
          <w:spacing w:val="-8"/>
        </w:rPr>
        <w:t xml:space="preserve"> </w:t>
      </w:r>
      <w:r>
        <w:t>y</w:t>
      </w:r>
      <w:r>
        <w:rPr>
          <w:spacing w:val="-8"/>
        </w:rPr>
        <w:t xml:space="preserve"> </w:t>
      </w:r>
      <w:r>
        <w:t>conexos,</w:t>
      </w:r>
      <w:r>
        <w:rPr>
          <w:spacing w:val="-8"/>
        </w:rPr>
        <w:t xml:space="preserve"> </w:t>
      </w:r>
      <w:r>
        <w:t>que</w:t>
      </w:r>
      <w:r>
        <w:rPr>
          <w:spacing w:val="-8"/>
        </w:rPr>
        <w:t xml:space="preserve"> </w:t>
      </w:r>
      <w:r>
        <w:t>incluyó</w:t>
      </w:r>
      <w:r>
        <w:rPr>
          <w:spacing w:val="-8"/>
        </w:rPr>
        <w:t xml:space="preserve"> </w:t>
      </w:r>
      <w:r>
        <w:t>el</w:t>
      </w:r>
      <w:r>
        <w:rPr>
          <w:spacing w:val="-8"/>
        </w:rPr>
        <w:t xml:space="preserve"> </w:t>
      </w:r>
      <w:r>
        <w:t>narcotráfico,</w:t>
      </w:r>
      <w:r>
        <w:rPr>
          <w:spacing w:val="-9"/>
        </w:rPr>
        <w:t xml:space="preserve"> </w:t>
      </w:r>
      <w:r>
        <w:t>fue</w:t>
      </w:r>
      <w:r>
        <w:rPr>
          <w:spacing w:val="-8"/>
        </w:rPr>
        <w:t xml:space="preserve"> </w:t>
      </w:r>
      <w:r>
        <w:t>determinante para</w:t>
      </w:r>
      <w:r>
        <w:rPr>
          <w:spacing w:val="-7"/>
        </w:rPr>
        <w:t xml:space="preserve"> </w:t>
      </w:r>
      <w:r>
        <w:t>poder</w:t>
      </w:r>
      <w:r>
        <w:rPr>
          <w:spacing w:val="-7"/>
        </w:rPr>
        <w:t xml:space="preserve"> </w:t>
      </w:r>
      <w:r>
        <w:t>avanzar</w:t>
      </w:r>
      <w:r>
        <w:rPr>
          <w:spacing w:val="-7"/>
        </w:rPr>
        <w:t xml:space="preserve"> </w:t>
      </w:r>
      <w:r>
        <w:t>en</w:t>
      </w:r>
      <w:r>
        <w:rPr>
          <w:spacing w:val="-8"/>
        </w:rPr>
        <w:t xml:space="preserve"> </w:t>
      </w:r>
      <w:r>
        <w:t>el</w:t>
      </w:r>
      <w:r>
        <w:rPr>
          <w:spacing w:val="-8"/>
        </w:rPr>
        <w:t xml:space="preserve"> </w:t>
      </w:r>
      <w:r>
        <w:t>proceso.</w:t>
      </w:r>
      <w:r>
        <w:rPr>
          <w:spacing w:val="-7"/>
        </w:rPr>
        <w:t xml:space="preserve"> </w:t>
      </w:r>
      <w:r>
        <w:t>En</w:t>
      </w:r>
      <w:r>
        <w:rPr>
          <w:spacing w:val="-9"/>
        </w:rPr>
        <w:t xml:space="preserve"> </w:t>
      </w:r>
      <w:r>
        <w:t>el</w:t>
      </w:r>
      <w:r>
        <w:rPr>
          <w:spacing w:val="-7"/>
        </w:rPr>
        <w:t xml:space="preserve"> </w:t>
      </w:r>
      <w:r>
        <w:t>caso</w:t>
      </w:r>
      <w:r>
        <w:rPr>
          <w:spacing w:val="-7"/>
        </w:rPr>
        <w:t xml:space="preserve"> </w:t>
      </w:r>
      <w:r>
        <w:t>del</w:t>
      </w:r>
      <w:r>
        <w:rPr>
          <w:spacing w:val="-7"/>
        </w:rPr>
        <w:t xml:space="preserve"> </w:t>
      </w:r>
      <w:r>
        <w:t>ELN,</w:t>
      </w:r>
      <w:r>
        <w:rPr>
          <w:spacing w:val="-7"/>
        </w:rPr>
        <w:t xml:space="preserve"> </w:t>
      </w:r>
      <w:r>
        <w:t>sus</w:t>
      </w:r>
      <w:r>
        <w:rPr>
          <w:spacing w:val="-7"/>
        </w:rPr>
        <w:t xml:space="preserve"> </w:t>
      </w:r>
      <w:r>
        <w:t>condiciones</w:t>
      </w:r>
      <w:r>
        <w:rPr>
          <w:spacing w:val="-7"/>
        </w:rPr>
        <w:t xml:space="preserve"> </w:t>
      </w:r>
      <w:r>
        <w:t>de</w:t>
      </w:r>
      <w:r>
        <w:rPr>
          <w:spacing w:val="-8"/>
        </w:rPr>
        <w:t xml:space="preserve"> </w:t>
      </w:r>
      <w:r>
        <w:t>control</w:t>
      </w:r>
      <w:r>
        <w:rPr>
          <w:spacing w:val="-7"/>
        </w:rPr>
        <w:t xml:space="preserve"> </w:t>
      </w:r>
      <w:r>
        <w:t xml:space="preserve">económico y político en varias regiones conllevan nuevos modelos y reivindicaciones para un eventual proceso de paz. En todos los casos, el mantenimiento de estas economías ilegales </w:t>
      </w:r>
      <w:r>
        <w:rPr>
          <w:sz w:val="22"/>
        </w:rPr>
        <w:t xml:space="preserve">acarrea </w:t>
      </w:r>
      <w:r>
        <w:t>mayores</w:t>
      </w:r>
      <w:r>
        <w:rPr>
          <w:spacing w:val="-2"/>
        </w:rPr>
        <w:t xml:space="preserve"> </w:t>
      </w:r>
      <w:r>
        <w:t>impactos</w:t>
      </w:r>
      <w:r>
        <w:rPr>
          <w:spacing w:val="-1"/>
        </w:rPr>
        <w:t xml:space="preserve"> </w:t>
      </w:r>
      <w:r>
        <w:rPr>
          <w:sz w:val="22"/>
        </w:rPr>
        <w:t xml:space="preserve">para </w:t>
      </w:r>
      <w:r>
        <w:t>la</w:t>
      </w:r>
      <w:r>
        <w:rPr>
          <w:spacing w:val="-1"/>
        </w:rPr>
        <w:t xml:space="preserve"> </w:t>
      </w:r>
      <w:r>
        <w:t>población</w:t>
      </w:r>
      <w:r>
        <w:rPr>
          <w:spacing w:val="-2"/>
        </w:rPr>
        <w:t xml:space="preserve"> </w:t>
      </w:r>
      <w:r>
        <w:t>civil,</w:t>
      </w:r>
      <w:r>
        <w:rPr>
          <w:spacing w:val="-1"/>
        </w:rPr>
        <w:t xml:space="preserve"> </w:t>
      </w:r>
      <w:r>
        <w:t>a</w:t>
      </w:r>
      <w:r>
        <w:rPr>
          <w:spacing w:val="-1"/>
        </w:rPr>
        <w:t xml:space="preserve"> </w:t>
      </w:r>
      <w:r>
        <w:t>la</w:t>
      </w:r>
      <w:r>
        <w:rPr>
          <w:spacing w:val="-1"/>
        </w:rPr>
        <w:t xml:space="preserve"> </w:t>
      </w:r>
      <w:r>
        <w:t>vez</w:t>
      </w:r>
      <w:r>
        <w:rPr>
          <w:spacing w:val="-1"/>
        </w:rPr>
        <w:t xml:space="preserve"> </w:t>
      </w:r>
      <w:r>
        <w:t>que</w:t>
      </w:r>
      <w:r>
        <w:rPr>
          <w:spacing w:val="-1"/>
        </w:rPr>
        <w:t xml:space="preserve"> </w:t>
      </w:r>
      <w:r>
        <w:t>supone</w:t>
      </w:r>
      <w:r>
        <w:rPr>
          <w:spacing w:val="-1"/>
        </w:rPr>
        <w:t xml:space="preserve"> </w:t>
      </w:r>
      <w:r>
        <w:t>una</w:t>
      </w:r>
      <w:r>
        <w:rPr>
          <w:spacing w:val="-1"/>
        </w:rPr>
        <w:t xml:space="preserve"> </w:t>
      </w:r>
      <w:r>
        <w:t>mayor</w:t>
      </w:r>
      <w:r>
        <w:rPr>
          <w:spacing w:val="-2"/>
        </w:rPr>
        <w:t xml:space="preserve"> </w:t>
      </w:r>
      <w:r>
        <w:t>centralidad</w:t>
      </w:r>
      <w:r>
        <w:rPr>
          <w:spacing w:val="-2"/>
        </w:rPr>
        <w:t xml:space="preserve"> </w:t>
      </w:r>
      <w:r>
        <w:t>para</w:t>
      </w:r>
      <w:r>
        <w:rPr>
          <w:spacing w:val="-1"/>
        </w:rPr>
        <w:t xml:space="preserve"> </w:t>
      </w:r>
      <w:r>
        <w:t>el mantenimiento de la guerrilla y su relación con modelos productivos locales, ligados a numerosas formas de violencia.</w:t>
      </w:r>
    </w:p>
    <w:p w:rsidR="003804AC" w:rsidRDefault="00AF18A5" w:rsidP="004A6EF4">
      <w:pPr>
        <w:pStyle w:val="Ttulo3"/>
        <w:numPr>
          <w:ilvl w:val="1"/>
          <w:numId w:val="16"/>
        </w:numPr>
      </w:pPr>
      <w:bookmarkStart w:id="343" w:name="4.3._Infracciones_graves_al_derecho_inte"/>
      <w:bookmarkStart w:id="344" w:name="_Toc112399584"/>
      <w:bookmarkEnd w:id="343"/>
      <w:r w:rsidRPr="00EA44CD">
        <w:t>Infracciones</w:t>
      </w:r>
      <w:r>
        <w:rPr>
          <w:spacing w:val="-1"/>
        </w:rPr>
        <w:t xml:space="preserve"> </w:t>
      </w:r>
      <w:r>
        <w:t>graves</w:t>
      </w:r>
      <w:r>
        <w:rPr>
          <w:spacing w:val="-1"/>
        </w:rPr>
        <w:t xml:space="preserve"> </w:t>
      </w:r>
      <w:r>
        <w:t>al derecho</w:t>
      </w:r>
      <w:r>
        <w:rPr>
          <w:spacing w:val="-2"/>
        </w:rPr>
        <w:t xml:space="preserve"> </w:t>
      </w:r>
      <w:r>
        <w:t>internacional humanitario</w:t>
      </w:r>
      <w:r>
        <w:rPr>
          <w:spacing w:val="-1"/>
        </w:rPr>
        <w:t xml:space="preserve"> </w:t>
      </w:r>
      <w:r>
        <w:t>y</w:t>
      </w:r>
      <w:r>
        <w:rPr>
          <w:spacing w:val="-1"/>
        </w:rPr>
        <w:t xml:space="preserve"> </w:t>
      </w:r>
      <w:r>
        <w:t>responsabilidad</w:t>
      </w:r>
      <w:r>
        <w:rPr>
          <w:spacing w:val="-2"/>
        </w:rPr>
        <w:t xml:space="preserve"> </w:t>
      </w:r>
      <w:r>
        <w:t>de</w:t>
      </w:r>
      <w:r>
        <w:rPr>
          <w:spacing w:val="-1"/>
        </w:rPr>
        <w:t xml:space="preserve"> </w:t>
      </w:r>
      <w:r>
        <w:t>las insurgencias en la crisis humanitaria</w:t>
      </w:r>
      <w:bookmarkEnd w:id="344"/>
    </w:p>
    <w:p w:rsidR="003804AC" w:rsidRDefault="00AF18A5" w:rsidP="006D5E5D">
      <w:r>
        <w:t>La</w:t>
      </w:r>
      <w:r>
        <w:rPr>
          <w:spacing w:val="-8"/>
        </w:rPr>
        <w:t xml:space="preserve"> </w:t>
      </w:r>
      <w:r>
        <w:t>guerra</w:t>
      </w:r>
      <w:r>
        <w:rPr>
          <w:spacing w:val="-8"/>
        </w:rPr>
        <w:t xml:space="preserve"> </w:t>
      </w:r>
      <w:r>
        <w:t>se</w:t>
      </w:r>
      <w:r>
        <w:rPr>
          <w:spacing w:val="-9"/>
        </w:rPr>
        <w:t xml:space="preserve"> </w:t>
      </w:r>
      <w:r>
        <w:t>dio</w:t>
      </w:r>
      <w:r>
        <w:rPr>
          <w:spacing w:val="-8"/>
        </w:rPr>
        <w:t xml:space="preserve"> </w:t>
      </w:r>
      <w:r>
        <w:t>en</w:t>
      </w:r>
      <w:r>
        <w:rPr>
          <w:spacing w:val="-8"/>
        </w:rPr>
        <w:t xml:space="preserve"> </w:t>
      </w:r>
      <w:r>
        <w:t>medio</w:t>
      </w:r>
      <w:r>
        <w:rPr>
          <w:spacing w:val="-8"/>
        </w:rPr>
        <w:t xml:space="preserve"> </w:t>
      </w:r>
      <w:r>
        <w:t>de</w:t>
      </w:r>
      <w:r>
        <w:rPr>
          <w:spacing w:val="-8"/>
        </w:rPr>
        <w:t xml:space="preserve"> </w:t>
      </w:r>
      <w:r>
        <w:t>la</w:t>
      </w:r>
      <w:r>
        <w:rPr>
          <w:spacing w:val="-8"/>
        </w:rPr>
        <w:t xml:space="preserve"> </w:t>
      </w:r>
      <w:r>
        <w:t>población</w:t>
      </w:r>
      <w:r>
        <w:rPr>
          <w:spacing w:val="-8"/>
        </w:rPr>
        <w:t xml:space="preserve"> </w:t>
      </w:r>
      <w:r>
        <w:t>civil,</w:t>
      </w:r>
      <w:r>
        <w:rPr>
          <w:spacing w:val="-8"/>
        </w:rPr>
        <w:t xml:space="preserve"> </w:t>
      </w:r>
      <w:r>
        <w:t>a</w:t>
      </w:r>
      <w:r>
        <w:rPr>
          <w:spacing w:val="-8"/>
        </w:rPr>
        <w:t xml:space="preserve"> </w:t>
      </w:r>
      <w:r>
        <w:t>la</w:t>
      </w:r>
      <w:r>
        <w:rPr>
          <w:spacing w:val="-8"/>
        </w:rPr>
        <w:t xml:space="preserve"> </w:t>
      </w:r>
      <w:r>
        <w:t>que</w:t>
      </w:r>
      <w:r>
        <w:rPr>
          <w:spacing w:val="-8"/>
        </w:rPr>
        <w:t xml:space="preserve"> </w:t>
      </w:r>
      <w:r>
        <w:t>se</w:t>
      </w:r>
      <w:r>
        <w:rPr>
          <w:spacing w:val="-8"/>
        </w:rPr>
        <w:t xml:space="preserve"> </w:t>
      </w:r>
      <w:r>
        <w:t>trató</w:t>
      </w:r>
      <w:r>
        <w:rPr>
          <w:spacing w:val="-8"/>
        </w:rPr>
        <w:t xml:space="preserve"> </w:t>
      </w:r>
      <w:r>
        <w:t>de</w:t>
      </w:r>
      <w:r>
        <w:rPr>
          <w:spacing w:val="-8"/>
        </w:rPr>
        <w:t xml:space="preserve"> </w:t>
      </w:r>
      <w:r>
        <w:t>involucrar</w:t>
      </w:r>
      <w:r>
        <w:rPr>
          <w:spacing w:val="-8"/>
        </w:rPr>
        <w:t xml:space="preserve"> </w:t>
      </w:r>
      <w:r>
        <w:t>y</w:t>
      </w:r>
      <w:r>
        <w:rPr>
          <w:spacing w:val="-8"/>
        </w:rPr>
        <w:t xml:space="preserve"> </w:t>
      </w:r>
      <w:r>
        <w:t>contra</w:t>
      </w:r>
      <w:r>
        <w:rPr>
          <w:spacing w:val="-8"/>
        </w:rPr>
        <w:t xml:space="preserve"> </w:t>
      </w:r>
      <w:r>
        <w:t>la</w:t>
      </w:r>
      <w:r>
        <w:rPr>
          <w:spacing w:val="-8"/>
        </w:rPr>
        <w:t xml:space="preserve"> </w:t>
      </w:r>
      <w:r>
        <w:t>que se actuó de diferentes maneras. Las guerrillas utilizaron entre sus estrategias de guerra el secuestro y los asesinatos selectivos, además de los ataques a infraestructuras, incluyendo aquellas que estaban en las comunidades o en las ciudades, así como las tomas guerrilleras, orientadas</w:t>
      </w:r>
      <w:r>
        <w:rPr>
          <w:spacing w:val="35"/>
        </w:rPr>
        <w:t xml:space="preserve"> </w:t>
      </w:r>
      <w:r>
        <w:t>a</w:t>
      </w:r>
      <w:r>
        <w:rPr>
          <w:spacing w:val="34"/>
        </w:rPr>
        <w:t xml:space="preserve"> </w:t>
      </w:r>
      <w:r>
        <w:t>destruir</w:t>
      </w:r>
      <w:r>
        <w:rPr>
          <w:spacing w:val="35"/>
        </w:rPr>
        <w:t xml:space="preserve"> </w:t>
      </w:r>
      <w:r>
        <w:t>instalaciones</w:t>
      </w:r>
      <w:r>
        <w:rPr>
          <w:spacing w:val="34"/>
        </w:rPr>
        <w:t xml:space="preserve"> </w:t>
      </w:r>
      <w:r>
        <w:t>militares</w:t>
      </w:r>
      <w:r>
        <w:rPr>
          <w:spacing w:val="35"/>
        </w:rPr>
        <w:t xml:space="preserve"> </w:t>
      </w:r>
      <w:r>
        <w:t>u</w:t>
      </w:r>
      <w:r>
        <w:rPr>
          <w:spacing w:val="33"/>
        </w:rPr>
        <w:t xml:space="preserve"> </w:t>
      </w:r>
      <w:r>
        <w:t>otras,</w:t>
      </w:r>
      <w:r>
        <w:rPr>
          <w:spacing w:val="35"/>
        </w:rPr>
        <w:t xml:space="preserve"> </w:t>
      </w:r>
      <w:r>
        <w:t>con</w:t>
      </w:r>
      <w:r>
        <w:rPr>
          <w:spacing w:val="35"/>
        </w:rPr>
        <w:t xml:space="preserve"> </w:t>
      </w:r>
      <w:r>
        <w:t>enorme</w:t>
      </w:r>
      <w:r>
        <w:rPr>
          <w:spacing w:val="35"/>
        </w:rPr>
        <w:t xml:space="preserve"> </w:t>
      </w:r>
      <w:r>
        <w:t>afectación</w:t>
      </w:r>
      <w:r>
        <w:rPr>
          <w:spacing w:val="35"/>
        </w:rPr>
        <w:t xml:space="preserve"> </w:t>
      </w:r>
      <w:r>
        <w:t>a</w:t>
      </w:r>
      <w:r>
        <w:rPr>
          <w:spacing w:val="35"/>
        </w:rPr>
        <w:t xml:space="preserve"> </w:t>
      </w:r>
      <w:r>
        <w:t>las</w:t>
      </w:r>
      <w:r>
        <w:rPr>
          <w:spacing w:val="35"/>
        </w:rPr>
        <w:t xml:space="preserve"> </w:t>
      </w:r>
      <w:r>
        <w:rPr>
          <w:spacing w:val="-2"/>
        </w:rPr>
        <w:t>propias</w:t>
      </w:r>
      <w:r w:rsidR="006D5E5D">
        <w:t xml:space="preserve"> </w:t>
      </w:r>
      <w:r>
        <w:t>comunidades</w:t>
      </w:r>
      <w:r>
        <w:rPr>
          <w:spacing w:val="-3"/>
        </w:rPr>
        <w:t xml:space="preserve"> </w:t>
      </w:r>
      <w:r>
        <w:t>por</w:t>
      </w:r>
      <w:r>
        <w:rPr>
          <w:spacing w:val="-3"/>
        </w:rPr>
        <w:t xml:space="preserve"> </w:t>
      </w:r>
      <w:r>
        <w:t>combates</w:t>
      </w:r>
      <w:r>
        <w:rPr>
          <w:spacing w:val="-3"/>
        </w:rPr>
        <w:t xml:space="preserve"> </w:t>
      </w:r>
      <w:r>
        <w:t>en</w:t>
      </w:r>
      <w:r>
        <w:rPr>
          <w:spacing w:val="-5"/>
        </w:rPr>
        <w:t xml:space="preserve"> </w:t>
      </w:r>
      <w:r>
        <w:t>las</w:t>
      </w:r>
      <w:r>
        <w:rPr>
          <w:spacing w:val="-3"/>
        </w:rPr>
        <w:t xml:space="preserve"> </w:t>
      </w:r>
      <w:r>
        <w:t>comunidades,</w:t>
      </w:r>
      <w:r>
        <w:rPr>
          <w:spacing w:val="-5"/>
        </w:rPr>
        <w:t xml:space="preserve"> </w:t>
      </w:r>
      <w:r>
        <w:t>con</w:t>
      </w:r>
      <w:r>
        <w:rPr>
          <w:spacing w:val="-3"/>
        </w:rPr>
        <w:t xml:space="preserve"> </w:t>
      </w:r>
      <w:r>
        <w:t>afectación,</w:t>
      </w:r>
      <w:r>
        <w:rPr>
          <w:spacing w:val="-3"/>
        </w:rPr>
        <w:t xml:space="preserve"> </w:t>
      </w:r>
      <w:r>
        <w:t>entre</w:t>
      </w:r>
      <w:r>
        <w:rPr>
          <w:spacing w:val="-3"/>
        </w:rPr>
        <w:t xml:space="preserve"> </w:t>
      </w:r>
      <w:r>
        <w:t>otras,</w:t>
      </w:r>
      <w:r>
        <w:rPr>
          <w:spacing w:val="-3"/>
        </w:rPr>
        <w:t xml:space="preserve"> </w:t>
      </w:r>
      <w:r>
        <w:t>a</w:t>
      </w:r>
      <w:r>
        <w:rPr>
          <w:spacing w:val="-4"/>
        </w:rPr>
        <w:t xml:space="preserve"> </w:t>
      </w:r>
      <w:r>
        <w:t>las</w:t>
      </w:r>
      <w:r>
        <w:rPr>
          <w:spacing w:val="-4"/>
        </w:rPr>
        <w:t xml:space="preserve"> </w:t>
      </w:r>
      <w:r>
        <w:t>escuelas,</w:t>
      </w:r>
      <w:r>
        <w:rPr>
          <w:spacing w:val="-3"/>
        </w:rPr>
        <w:t xml:space="preserve"> </w:t>
      </w:r>
      <w:r>
        <w:t>o el uso de cilindros-bomba y otras armas indiscriminadas como minas antipersona, que convirtieron los territorios y las comunidades en escenarios de violencia donde no había ningún respeto por la población civil.</w:t>
      </w:r>
    </w:p>
    <w:p w:rsidR="003804AC" w:rsidRDefault="00AF18A5" w:rsidP="006D5E5D">
      <w:r>
        <w:t>Los</w:t>
      </w:r>
      <w:r>
        <w:rPr>
          <w:spacing w:val="-4"/>
        </w:rPr>
        <w:t xml:space="preserve"> </w:t>
      </w:r>
      <w:r>
        <w:t>grupos</w:t>
      </w:r>
      <w:r>
        <w:rPr>
          <w:spacing w:val="-6"/>
        </w:rPr>
        <w:t xml:space="preserve"> </w:t>
      </w:r>
      <w:r>
        <w:t>guerrilleros,</w:t>
      </w:r>
      <w:r>
        <w:rPr>
          <w:spacing w:val="-6"/>
        </w:rPr>
        <w:t xml:space="preserve"> </w:t>
      </w:r>
      <w:r>
        <w:t>en</w:t>
      </w:r>
      <w:r>
        <w:rPr>
          <w:spacing w:val="-5"/>
        </w:rPr>
        <w:t xml:space="preserve"> </w:t>
      </w:r>
      <w:r>
        <w:t>desarrollo</w:t>
      </w:r>
      <w:r>
        <w:rPr>
          <w:spacing w:val="-5"/>
        </w:rPr>
        <w:t xml:space="preserve"> </w:t>
      </w:r>
      <w:r>
        <w:t>de</w:t>
      </w:r>
      <w:r>
        <w:rPr>
          <w:spacing w:val="-4"/>
        </w:rPr>
        <w:t xml:space="preserve"> </w:t>
      </w:r>
      <w:r>
        <w:t>sus</w:t>
      </w:r>
      <w:r>
        <w:rPr>
          <w:spacing w:val="-4"/>
        </w:rPr>
        <w:t xml:space="preserve"> </w:t>
      </w:r>
      <w:r>
        <w:t>objetivos</w:t>
      </w:r>
      <w:r>
        <w:rPr>
          <w:spacing w:val="-6"/>
        </w:rPr>
        <w:t xml:space="preserve"> </w:t>
      </w:r>
      <w:r>
        <w:t>militares</w:t>
      </w:r>
      <w:r>
        <w:rPr>
          <w:spacing w:val="-4"/>
        </w:rPr>
        <w:t xml:space="preserve"> </w:t>
      </w:r>
      <w:r>
        <w:t>y</w:t>
      </w:r>
      <w:r>
        <w:rPr>
          <w:spacing w:val="-5"/>
        </w:rPr>
        <w:t xml:space="preserve"> </w:t>
      </w:r>
      <w:r>
        <w:t>de</w:t>
      </w:r>
      <w:r>
        <w:rPr>
          <w:spacing w:val="-6"/>
        </w:rPr>
        <w:t xml:space="preserve"> </w:t>
      </w:r>
      <w:r>
        <w:lastRenderedPageBreak/>
        <w:t>control</w:t>
      </w:r>
      <w:r>
        <w:rPr>
          <w:spacing w:val="-4"/>
        </w:rPr>
        <w:t xml:space="preserve"> </w:t>
      </w:r>
      <w:r>
        <w:t>del</w:t>
      </w:r>
      <w:r>
        <w:rPr>
          <w:spacing w:val="-4"/>
        </w:rPr>
        <w:t xml:space="preserve"> </w:t>
      </w:r>
      <w:r>
        <w:t>territorio y la población, victimizaron a la población civil, en particular a determinados sectores políticos</w:t>
      </w:r>
      <w:r>
        <w:rPr>
          <w:spacing w:val="-15"/>
        </w:rPr>
        <w:t xml:space="preserve"> </w:t>
      </w:r>
      <w:r>
        <w:t>y</w:t>
      </w:r>
      <w:r>
        <w:rPr>
          <w:spacing w:val="-15"/>
        </w:rPr>
        <w:t xml:space="preserve"> </w:t>
      </w:r>
      <w:r>
        <w:t>económicos</w:t>
      </w:r>
      <w:r>
        <w:rPr>
          <w:spacing w:val="-15"/>
        </w:rPr>
        <w:t xml:space="preserve"> </w:t>
      </w:r>
      <w:r>
        <w:t>a</w:t>
      </w:r>
      <w:r>
        <w:rPr>
          <w:spacing w:val="-15"/>
        </w:rPr>
        <w:t xml:space="preserve"> </w:t>
      </w:r>
      <w:r>
        <w:t>los</w:t>
      </w:r>
      <w:r>
        <w:rPr>
          <w:spacing w:val="-15"/>
        </w:rPr>
        <w:t xml:space="preserve"> </w:t>
      </w:r>
      <w:r>
        <w:t>que</w:t>
      </w:r>
      <w:r>
        <w:rPr>
          <w:spacing w:val="-15"/>
        </w:rPr>
        <w:t xml:space="preserve"> </w:t>
      </w:r>
      <w:r>
        <w:t>declararon</w:t>
      </w:r>
      <w:r>
        <w:rPr>
          <w:spacing w:val="-14"/>
        </w:rPr>
        <w:t xml:space="preserve"> </w:t>
      </w:r>
      <w:r>
        <w:t>objetivo</w:t>
      </w:r>
      <w:r>
        <w:rPr>
          <w:spacing w:val="-15"/>
        </w:rPr>
        <w:t xml:space="preserve"> </w:t>
      </w:r>
      <w:r>
        <w:t>militar.</w:t>
      </w:r>
      <w:r>
        <w:rPr>
          <w:spacing w:val="-15"/>
        </w:rPr>
        <w:t xml:space="preserve"> </w:t>
      </w:r>
      <w:r>
        <w:t>Si</w:t>
      </w:r>
      <w:r>
        <w:rPr>
          <w:spacing w:val="-15"/>
        </w:rPr>
        <w:t xml:space="preserve"> </w:t>
      </w:r>
      <w:r>
        <w:t>bien</w:t>
      </w:r>
      <w:r>
        <w:rPr>
          <w:spacing w:val="-15"/>
        </w:rPr>
        <w:t xml:space="preserve"> </w:t>
      </w:r>
      <w:r>
        <w:t>en</w:t>
      </w:r>
      <w:r>
        <w:rPr>
          <w:spacing w:val="-15"/>
        </w:rPr>
        <w:t xml:space="preserve"> </w:t>
      </w:r>
      <w:r>
        <w:t>todo</w:t>
      </w:r>
      <w:r>
        <w:rPr>
          <w:spacing w:val="-14"/>
        </w:rPr>
        <w:t xml:space="preserve"> </w:t>
      </w:r>
      <w:r>
        <w:t>conflicto</w:t>
      </w:r>
      <w:r>
        <w:rPr>
          <w:spacing w:val="-15"/>
        </w:rPr>
        <w:t xml:space="preserve"> </w:t>
      </w:r>
      <w:r>
        <w:t>armado es consustancial al mismo la consideración del otro bando como enemigo, en el caso de las guerrillas la extensión de la noción de enemigo incluyó la consideración de los sectores económicos o políticos dominantes como parte del «enemigo de clase», interpretación extendida</w:t>
      </w:r>
      <w:r>
        <w:rPr>
          <w:spacing w:val="-6"/>
        </w:rPr>
        <w:t xml:space="preserve"> </w:t>
      </w:r>
      <w:r>
        <w:t>a</w:t>
      </w:r>
      <w:r>
        <w:rPr>
          <w:spacing w:val="-6"/>
        </w:rPr>
        <w:t xml:space="preserve"> </w:t>
      </w:r>
      <w:r>
        <w:t>los</w:t>
      </w:r>
      <w:r>
        <w:rPr>
          <w:spacing w:val="-6"/>
        </w:rPr>
        <w:t xml:space="preserve"> </w:t>
      </w:r>
      <w:r>
        <w:t>políticos,</w:t>
      </w:r>
      <w:r>
        <w:rPr>
          <w:spacing w:val="-7"/>
        </w:rPr>
        <w:t xml:space="preserve"> </w:t>
      </w:r>
      <w:r>
        <w:t>a</w:t>
      </w:r>
      <w:r>
        <w:rPr>
          <w:spacing w:val="-6"/>
        </w:rPr>
        <w:t xml:space="preserve"> </w:t>
      </w:r>
      <w:r>
        <w:t>la</w:t>
      </w:r>
      <w:r>
        <w:rPr>
          <w:spacing w:val="-6"/>
        </w:rPr>
        <w:t xml:space="preserve"> </w:t>
      </w:r>
      <w:r>
        <w:t>élite</w:t>
      </w:r>
      <w:r>
        <w:rPr>
          <w:spacing w:val="-6"/>
        </w:rPr>
        <w:t xml:space="preserve"> </w:t>
      </w:r>
      <w:r>
        <w:t>y,</w:t>
      </w:r>
      <w:r>
        <w:rPr>
          <w:spacing w:val="-6"/>
        </w:rPr>
        <w:t xml:space="preserve"> </w:t>
      </w:r>
      <w:r>
        <w:t>en</w:t>
      </w:r>
      <w:r>
        <w:rPr>
          <w:spacing w:val="-6"/>
        </w:rPr>
        <w:t xml:space="preserve"> </w:t>
      </w:r>
      <w:r>
        <w:t>general,</w:t>
      </w:r>
      <w:r>
        <w:rPr>
          <w:spacing w:val="-7"/>
        </w:rPr>
        <w:t xml:space="preserve"> </w:t>
      </w:r>
      <w:r>
        <w:t>a</w:t>
      </w:r>
      <w:r>
        <w:rPr>
          <w:spacing w:val="-6"/>
        </w:rPr>
        <w:t xml:space="preserve"> </w:t>
      </w:r>
      <w:r>
        <w:t>cualquier</w:t>
      </w:r>
      <w:r>
        <w:rPr>
          <w:spacing w:val="-6"/>
        </w:rPr>
        <w:t xml:space="preserve"> </w:t>
      </w:r>
      <w:r>
        <w:t>persona</w:t>
      </w:r>
      <w:r>
        <w:rPr>
          <w:spacing w:val="-6"/>
        </w:rPr>
        <w:t xml:space="preserve"> </w:t>
      </w:r>
      <w:r>
        <w:t>adinerada</w:t>
      </w:r>
      <w:r>
        <w:rPr>
          <w:spacing w:val="-6"/>
        </w:rPr>
        <w:t xml:space="preserve"> </w:t>
      </w:r>
      <w:r>
        <w:t>o</w:t>
      </w:r>
      <w:r>
        <w:rPr>
          <w:spacing w:val="-6"/>
        </w:rPr>
        <w:t xml:space="preserve"> </w:t>
      </w:r>
      <w:r>
        <w:t xml:space="preserve">detentadora </w:t>
      </w:r>
      <w:r>
        <w:rPr>
          <w:spacing w:val="-2"/>
        </w:rPr>
        <w:t>de</w:t>
      </w:r>
      <w:r>
        <w:rPr>
          <w:spacing w:val="-5"/>
        </w:rPr>
        <w:t xml:space="preserve"> </w:t>
      </w:r>
      <w:r>
        <w:rPr>
          <w:spacing w:val="-2"/>
        </w:rPr>
        <w:t>poder</w:t>
      </w:r>
      <w:r>
        <w:rPr>
          <w:spacing w:val="-7"/>
        </w:rPr>
        <w:t xml:space="preserve"> </w:t>
      </w:r>
      <w:r>
        <w:rPr>
          <w:spacing w:val="-2"/>
        </w:rPr>
        <w:t>público.</w:t>
      </w:r>
      <w:r>
        <w:rPr>
          <w:spacing w:val="-5"/>
        </w:rPr>
        <w:t xml:space="preserve"> </w:t>
      </w:r>
      <w:r>
        <w:rPr>
          <w:spacing w:val="-2"/>
        </w:rPr>
        <w:t>Al</w:t>
      </w:r>
      <w:r>
        <w:rPr>
          <w:spacing w:val="-7"/>
        </w:rPr>
        <w:t xml:space="preserve"> </w:t>
      </w:r>
      <w:r>
        <w:rPr>
          <w:spacing w:val="-2"/>
        </w:rPr>
        <w:t>tiempo</w:t>
      </w:r>
      <w:r>
        <w:rPr>
          <w:spacing w:val="-5"/>
        </w:rPr>
        <w:t xml:space="preserve"> </w:t>
      </w:r>
      <w:r>
        <w:rPr>
          <w:spacing w:val="-2"/>
        </w:rPr>
        <w:t>que</w:t>
      </w:r>
      <w:r>
        <w:rPr>
          <w:spacing w:val="-5"/>
        </w:rPr>
        <w:t xml:space="preserve"> </w:t>
      </w:r>
      <w:r>
        <w:rPr>
          <w:spacing w:val="-2"/>
        </w:rPr>
        <w:t>esos</w:t>
      </w:r>
      <w:r>
        <w:rPr>
          <w:spacing w:val="-7"/>
        </w:rPr>
        <w:t xml:space="preserve"> </w:t>
      </w:r>
      <w:r>
        <w:rPr>
          <w:spacing w:val="-2"/>
        </w:rPr>
        <w:t>sectores</w:t>
      </w:r>
      <w:r>
        <w:rPr>
          <w:spacing w:val="-7"/>
        </w:rPr>
        <w:t xml:space="preserve"> </w:t>
      </w:r>
      <w:r>
        <w:rPr>
          <w:spacing w:val="-2"/>
        </w:rPr>
        <w:t>fueron</w:t>
      </w:r>
      <w:r>
        <w:rPr>
          <w:spacing w:val="-5"/>
        </w:rPr>
        <w:t xml:space="preserve"> </w:t>
      </w:r>
      <w:r>
        <w:rPr>
          <w:spacing w:val="-2"/>
        </w:rPr>
        <w:t>considerados</w:t>
      </w:r>
      <w:r>
        <w:rPr>
          <w:spacing w:val="-5"/>
        </w:rPr>
        <w:t xml:space="preserve"> </w:t>
      </w:r>
      <w:r>
        <w:rPr>
          <w:spacing w:val="-2"/>
        </w:rPr>
        <w:t>enemigos,</w:t>
      </w:r>
      <w:r>
        <w:rPr>
          <w:spacing w:val="-5"/>
        </w:rPr>
        <w:t xml:space="preserve"> </w:t>
      </w:r>
      <w:r>
        <w:rPr>
          <w:spacing w:val="-2"/>
        </w:rPr>
        <w:t>fueron</w:t>
      </w:r>
      <w:r>
        <w:rPr>
          <w:spacing w:val="-5"/>
        </w:rPr>
        <w:t xml:space="preserve"> </w:t>
      </w:r>
      <w:r>
        <w:rPr>
          <w:spacing w:val="-2"/>
        </w:rPr>
        <w:t>la</w:t>
      </w:r>
      <w:r>
        <w:rPr>
          <w:spacing w:val="-5"/>
        </w:rPr>
        <w:t xml:space="preserve"> </w:t>
      </w:r>
      <w:r>
        <w:rPr>
          <w:spacing w:val="-2"/>
        </w:rPr>
        <w:t xml:space="preserve">fuente </w:t>
      </w:r>
      <w:r>
        <w:t>de</w:t>
      </w:r>
      <w:r>
        <w:rPr>
          <w:spacing w:val="-15"/>
        </w:rPr>
        <w:t xml:space="preserve"> </w:t>
      </w:r>
      <w:r>
        <w:t>financiación</w:t>
      </w:r>
      <w:r>
        <w:rPr>
          <w:spacing w:val="-15"/>
        </w:rPr>
        <w:t xml:space="preserve"> </w:t>
      </w:r>
      <w:r>
        <w:t>y</w:t>
      </w:r>
      <w:r>
        <w:rPr>
          <w:spacing w:val="-15"/>
        </w:rPr>
        <w:t xml:space="preserve"> </w:t>
      </w:r>
      <w:r>
        <w:t>personas</w:t>
      </w:r>
      <w:r>
        <w:rPr>
          <w:spacing w:val="-15"/>
        </w:rPr>
        <w:t xml:space="preserve"> </w:t>
      </w:r>
      <w:r>
        <w:t>que</w:t>
      </w:r>
      <w:r>
        <w:rPr>
          <w:spacing w:val="-14"/>
        </w:rPr>
        <w:t xml:space="preserve"> </w:t>
      </w:r>
      <w:r>
        <w:t>podían</w:t>
      </w:r>
      <w:r>
        <w:rPr>
          <w:spacing w:val="-15"/>
        </w:rPr>
        <w:t xml:space="preserve"> </w:t>
      </w:r>
      <w:r>
        <w:t>utilizar</w:t>
      </w:r>
      <w:r>
        <w:rPr>
          <w:spacing w:val="-15"/>
        </w:rPr>
        <w:t xml:space="preserve"> </w:t>
      </w:r>
      <w:r>
        <w:t>para</w:t>
      </w:r>
      <w:r>
        <w:rPr>
          <w:spacing w:val="-15"/>
        </w:rPr>
        <w:t xml:space="preserve"> </w:t>
      </w:r>
      <w:r>
        <w:t>presionar</w:t>
      </w:r>
      <w:r>
        <w:rPr>
          <w:spacing w:val="-15"/>
        </w:rPr>
        <w:t xml:space="preserve"> </w:t>
      </w:r>
      <w:r>
        <w:t>a</w:t>
      </w:r>
      <w:r>
        <w:rPr>
          <w:spacing w:val="-15"/>
        </w:rPr>
        <w:t xml:space="preserve"> </w:t>
      </w:r>
      <w:r>
        <w:t>los</w:t>
      </w:r>
      <w:r>
        <w:rPr>
          <w:spacing w:val="-14"/>
        </w:rPr>
        <w:t xml:space="preserve"> </w:t>
      </w:r>
      <w:r>
        <w:t>aliados</w:t>
      </w:r>
      <w:r>
        <w:rPr>
          <w:spacing w:val="-15"/>
        </w:rPr>
        <w:t xml:space="preserve"> </w:t>
      </w:r>
      <w:r>
        <w:t>de</w:t>
      </w:r>
      <w:r>
        <w:rPr>
          <w:spacing w:val="-15"/>
        </w:rPr>
        <w:t xml:space="preserve"> </w:t>
      </w:r>
      <w:r>
        <w:t>clase</w:t>
      </w:r>
      <w:r>
        <w:rPr>
          <w:spacing w:val="-14"/>
        </w:rPr>
        <w:t xml:space="preserve"> </w:t>
      </w:r>
      <w:r>
        <w:t>y</w:t>
      </w:r>
      <w:r>
        <w:rPr>
          <w:spacing w:val="-15"/>
        </w:rPr>
        <w:t xml:space="preserve"> </w:t>
      </w:r>
      <w:r>
        <w:t>al</w:t>
      </w:r>
      <w:r>
        <w:rPr>
          <w:spacing w:val="-15"/>
        </w:rPr>
        <w:t xml:space="preserve"> </w:t>
      </w:r>
      <w:r>
        <w:t>Estado para conseguir réditos políticos y propagandísticos. Esa visión extendió la práctica de la extorsión y el secuestro. Ampliar la noción del enemigo a quien se opusiera a su proyecto armado conllevó una acción cada vez más indiscriminada e incierta. Cualquiera podía convertirse en objetivo de un secuestro en una carretera, padecer una toma en la comunidad o ser atacado por estar en contra del proyecto guerrillero o ser considerado un obstáculo.</w:t>
      </w:r>
    </w:p>
    <w:p w:rsidR="0011361F" w:rsidRDefault="00AF18A5" w:rsidP="004A6EF4">
      <w:pPr>
        <w:pStyle w:val="Ttulo4"/>
        <w:numPr>
          <w:ilvl w:val="2"/>
          <w:numId w:val="16"/>
        </w:numPr>
      </w:pPr>
      <w:bookmarkStart w:id="345" w:name="4.3.1._La_muerte_suspendida_del_secuestr"/>
      <w:bookmarkEnd w:id="345"/>
      <w:r>
        <w:t>La</w:t>
      </w:r>
      <w:r>
        <w:rPr>
          <w:spacing w:val="-3"/>
        </w:rPr>
        <w:t xml:space="preserve"> </w:t>
      </w:r>
      <w:r>
        <w:t>muerte</w:t>
      </w:r>
      <w:r>
        <w:rPr>
          <w:spacing w:val="-2"/>
        </w:rPr>
        <w:t xml:space="preserve"> </w:t>
      </w:r>
      <w:r>
        <w:t>suspendida</w:t>
      </w:r>
      <w:r>
        <w:rPr>
          <w:spacing w:val="-2"/>
        </w:rPr>
        <w:t xml:space="preserve"> </w:t>
      </w:r>
      <w:r>
        <w:t>del</w:t>
      </w:r>
      <w:r>
        <w:rPr>
          <w:spacing w:val="-2"/>
        </w:rPr>
        <w:t xml:space="preserve"> secuestro</w:t>
      </w:r>
    </w:p>
    <w:p w:rsidR="003804AC" w:rsidRDefault="00AF18A5" w:rsidP="00D34CC0">
      <w:r>
        <w:t xml:space="preserve">El secuestro es, sin duda, una de las modalidades de violencia que expresa los niveles de deshumanización que alcanzó el conflicto armado colombiano. Muchos secuestrados y sus familias describieron a la Comisión esos meses y muchas veces años en que se prolongó su cautiverio, especialmente en el caso de las FARC-EP, el cual sufrieron como una muerte en </w:t>
      </w:r>
      <w:r>
        <w:rPr>
          <w:spacing w:val="-2"/>
        </w:rPr>
        <w:t>vida,</w:t>
      </w:r>
      <w:r>
        <w:rPr>
          <w:spacing w:val="-6"/>
        </w:rPr>
        <w:t xml:space="preserve"> </w:t>
      </w:r>
      <w:r>
        <w:rPr>
          <w:spacing w:val="-2"/>
        </w:rPr>
        <w:t>como</w:t>
      </w:r>
      <w:r>
        <w:rPr>
          <w:spacing w:val="-6"/>
        </w:rPr>
        <w:t xml:space="preserve"> </w:t>
      </w:r>
      <w:r>
        <w:rPr>
          <w:spacing w:val="-2"/>
        </w:rPr>
        <w:t>una</w:t>
      </w:r>
      <w:r>
        <w:rPr>
          <w:spacing w:val="-6"/>
        </w:rPr>
        <w:t xml:space="preserve"> </w:t>
      </w:r>
      <w:r>
        <w:rPr>
          <w:spacing w:val="-2"/>
        </w:rPr>
        <w:t>muerte</w:t>
      </w:r>
      <w:r>
        <w:rPr>
          <w:spacing w:val="-7"/>
        </w:rPr>
        <w:t xml:space="preserve"> </w:t>
      </w:r>
      <w:r>
        <w:rPr>
          <w:spacing w:val="-2"/>
        </w:rPr>
        <w:t>suspendida</w:t>
      </w:r>
      <w:r>
        <w:rPr>
          <w:spacing w:val="-7"/>
        </w:rPr>
        <w:t xml:space="preserve"> </w:t>
      </w:r>
      <w:r>
        <w:rPr>
          <w:spacing w:val="-2"/>
        </w:rPr>
        <w:t>en</w:t>
      </w:r>
      <w:r>
        <w:rPr>
          <w:spacing w:val="-7"/>
        </w:rPr>
        <w:t xml:space="preserve"> </w:t>
      </w:r>
      <w:r>
        <w:rPr>
          <w:spacing w:val="-2"/>
        </w:rPr>
        <w:t>el</w:t>
      </w:r>
      <w:r>
        <w:rPr>
          <w:spacing w:val="-4"/>
        </w:rPr>
        <w:t xml:space="preserve"> </w:t>
      </w:r>
      <w:r>
        <w:rPr>
          <w:spacing w:val="-2"/>
        </w:rPr>
        <w:t>tiempo,</w:t>
      </w:r>
      <w:r>
        <w:rPr>
          <w:spacing w:val="-6"/>
        </w:rPr>
        <w:t xml:space="preserve"> </w:t>
      </w:r>
      <w:r>
        <w:rPr>
          <w:spacing w:val="-2"/>
        </w:rPr>
        <w:t>vivida</w:t>
      </w:r>
      <w:r>
        <w:rPr>
          <w:spacing w:val="-6"/>
        </w:rPr>
        <w:t xml:space="preserve"> </w:t>
      </w:r>
      <w:r>
        <w:rPr>
          <w:spacing w:val="-2"/>
        </w:rPr>
        <w:t>en</w:t>
      </w:r>
      <w:r>
        <w:rPr>
          <w:spacing w:val="-7"/>
        </w:rPr>
        <w:t xml:space="preserve"> </w:t>
      </w:r>
      <w:r>
        <w:rPr>
          <w:spacing w:val="-2"/>
        </w:rPr>
        <w:t>paralelo</w:t>
      </w:r>
      <w:r>
        <w:rPr>
          <w:spacing w:val="-6"/>
        </w:rPr>
        <w:t xml:space="preserve"> </w:t>
      </w:r>
      <w:r>
        <w:rPr>
          <w:spacing w:val="-2"/>
        </w:rPr>
        <w:t>entre</w:t>
      </w:r>
      <w:r>
        <w:rPr>
          <w:spacing w:val="-7"/>
        </w:rPr>
        <w:t xml:space="preserve"> </w:t>
      </w:r>
      <w:r>
        <w:rPr>
          <w:spacing w:val="-2"/>
        </w:rPr>
        <w:t>quienes</w:t>
      </w:r>
      <w:r>
        <w:rPr>
          <w:spacing w:val="-6"/>
        </w:rPr>
        <w:t xml:space="preserve"> </w:t>
      </w:r>
      <w:r>
        <w:rPr>
          <w:spacing w:val="-2"/>
        </w:rPr>
        <w:t xml:space="preserve">permanecían </w:t>
      </w:r>
      <w:r>
        <w:t xml:space="preserve">secuestrados y sus familias. La sociedad colombiana conoció su drama en programas de radio, se hicieron manifestaciones públicas de rechazo, se multiplicaron </w:t>
      </w:r>
      <w:r>
        <w:lastRenderedPageBreak/>
        <w:t>las imágenes en televisión para mostrar las condiciones en que muchos civiles, militares o policías se encontraban,</w:t>
      </w:r>
      <w:r>
        <w:rPr>
          <w:spacing w:val="-3"/>
        </w:rPr>
        <w:t xml:space="preserve"> </w:t>
      </w:r>
      <w:r>
        <w:t>contribuyendo</w:t>
      </w:r>
      <w:r>
        <w:rPr>
          <w:spacing w:val="-3"/>
        </w:rPr>
        <w:t xml:space="preserve"> </w:t>
      </w:r>
      <w:r>
        <w:t>enormemente</w:t>
      </w:r>
      <w:r>
        <w:rPr>
          <w:spacing w:val="-4"/>
        </w:rPr>
        <w:t xml:space="preserve"> </w:t>
      </w:r>
      <w:r>
        <w:t>al</w:t>
      </w:r>
      <w:r>
        <w:rPr>
          <w:spacing w:val="-4"/>
        </w:rPr>
        <w:t xml:space="preserve"> </w:t>
      </w:r>
      <w:r>
        <w:t>rechazo</w:t>
      </w:r>
      <w:r>
        <w:rPr>
          <w:spacing w:val="-3"/>
        </w:rPr>
        <w:t xml:space="preserve"> </w:t>
      </w:r>
      <w:r>
        <w:t>público</w:t>
      </w:r>
      <w:r>
        <w:rPr>
          <w:spacing w:val="-3"/>
        </w:rPr>
        <w:t xml:space="preserve"> </w:t>
      </w:r>
      <w:r>
        <w:t>y</w:t>
      </w:r>
      <w:r>
        <w:rPr>
          <w:spacing w:val="-3"/>
        </w:rPr>
        <w:t xml:space="preserve"> </w:t>
      </w:r>
      <w:r>
        <w:t>a</w:t>
      </w:r>
      <w:r>
        <w:rPr>
          <w:spacing w:val="-4"/>
        </w:rPr>
        <w:t xml:space="preserve"> </w:t>
      </w:r>
      <w:r>
        <w:t>la</w:t>
      </w:r>
      <w:r>
        <w:rPr>
          <w:spacing w:val="-3"/>
        </w:rPr>
        <w:t xml:space="preserve"> </w:t>
      </w:r>
      <w:r>
        <w:t>consideración</w:t>
      </w:r>
      <w:r>
        <w:rPr>
          <w:spacing w:val="-3"/>
        </w:rPr>
        <w:t xml:space="preserve"> </w:t>
      </w:r>
      <w:r>
        <w:t>de</w:t>
      </w:r>
      <w:r>
        <w:rPr>
          <w:spacing w:val="-4"/>
        </w:rPr>
        <w:t xml:space="preserve"> </w:t>
      </w:r>
      <w:r>
        <w:t>la</w:t>
      </w:r>
      <w:r>
        <w:rPr>
          <w:spacing w:val="-4"/>
        </w:rPr>
        <w:t xml:space="preserve"> </w:t>
      </w:r>
      <w:r>
        <w:t>falta de humanidad de los captores.</w:t>
      </w:r>
    </w:p>
    <w:p w:rsidR="003804AC" w:rsidRDefault="00AF18A5" w:rsidP="00D34CC0">
      <w:r>
        <w:t>Sin embargo, a pesar del rechazo social, los grupos guerrilleros convirtieron el secuestro en</w:t>
      </w:r>
      <w:r>
        <w:rPr>
          <w:spacing w:val="-9"/>
        </w:rPr>
        <w:t xml:space="preserve"> </w:t>
      </w:r>
      <w:r>
        <w:t>uno</w:t>
      </w:r>
      <w:r>
        <w:rPr>
          <w:spacing w:val="-9"/>
        </w:rPr>
        <w:t xml:space="preserve"> </w:t>
      </w:r>
      <w:r>
        <w:t>de</w:t>
      </w:r>
      <w:r>
        <w:rPr>
          <w:spacing w:val="-9"/>
        </w:rPr>
        <w:t xml:space="preserve"> </w:t>
      </w:r>
      <w:r>
        <w:t>sus</w:t>
      </w:r>
      <w:r>
        <w:rPr>
          <w:spacing w:val="-9"/>
        </w:rPr>
        <w:t xml:space="preserve"> </w:t>
      </w:r>
      <w:r>
        <w:t>principales</w:t>
      </w:r>
      <w:r>
        <w:rPr>
          <w:spacing w:val="-10"/>
        </w:rPr>
        <w:t xml:space="preserve"> </w:t>
      </w:r>
      <w:r>
        <w:t>patrones</w:t>
      </w:r>
      <w:r>
        <w:rPr>
          <w:spacing w:val="-9"/>
        </w:rPr>
        <w:t xml:space="preserve"> </w:t>
      </w:r>
      <w:r>
        <w:t>de</w:t>
      </w:r>
      <w:r>
        <w:rPr>
          <w:spacing w:val="-10"/>
        </w:rPr>
        <w:t xml:space="preserve"> </w:t>
      </w:r>
      <w:r>
        <w:t>violencia.</w:t>
      </w:r>
      <w:r>
        <w:rPr>
          <w:spacing w:val="-9"/>
        </w:rPr>
        <w:t xml:space="preserve"> </w:t>
      </w:r>
      <w:r>
        <w:t>Los</w:t>
      </w:r>
      <w:r>
        <w:rPr>
          <w:spacing w:val="-9"/>
        </w:rPr>
        <w:t xml:space="preserve"> </w:t>
      </w:r>
      <w:r>
        <w:t>secuestros</w:t>
      </w:r>
      <w:r>
        <w:rPr>
          <w:spacing w:val="-9"/>
        </w:rPr>
        <w:t xml:space="preserve"> </w:t>
      </w:r>
      <w:r>
        <w:t>y</w:t>
      </w:r>
      <w:r>
        <w:rPr>
          <w:spacing w:val="-10"/>
        </w:rPr>
        <w:t xml:space="preserve"> </w:t>
      </w:r>
      <w:r>
        <w:t>la</w:t>
      </w:r>
      <w:r>
        <w:rPr>
          <w:spacing w:val="-10"/>
        </w:rPr>
        <w:t xml:space="preserve"> </w:t>
      </w:r>
      <w:r>
        <w:t>toma</w:t>
      </w:r>
      <w:r>
        <w:rPr>
          <w:spacing w:val="-10"/>
        </w:rPr>
        <w:t xml:space="preserve"> </w:t>
      </w:r>
      <w:r>
        <w:t>de</w:t>
      </w:r>
      <w:r>
        <w:rPr>
          <w:spacing w:val="-9"/>
        </w:rPr>
        <w:t xml:space="preserve"> </w:t>
      </w:r>
      <w:r>
        <w:t>rehenes</w:t>
      </w:r>
      <w:r>
        <w:rPr>
          <w:spacing w:val="-9"/>
        </w:rPr>
        <w:t xml:space="preserve"> </w:t>
      </w:r>
      <w:r>
        <w:t>han</w:t>
      </w:r>
      <w:r>
        <w:rPr>
          <w:spacing w:val="-9"/>
        </w:rPr>
        <w:t xml:space="preserve"> </w:t>
      </w:r>
      <w:r>
        <w:t>sido sobre todo llevados a cabo por las organizaciones guerrilleras y muchas veces durante muchos</w:t>
      </w:r>
      <w:r>
        <w:rPr>
          <w:spacing w:val="-11"/>
        </w:rPr>
        <w:t xml:space="preserve"> </w:t>
      </w:r>
      <w:r>
        <w:t>meses</w:t>
      </w:r>
      <w:r>
        <w:rPr>
          <w:spacing w:val="-9"/>
        </w:rPr>
        <w:t xml:space="preserve"> </w:t>
      </w:r>
      <w:r>
        <w:t>o</w:t>
      </w:r>
      <w:r>
        <w:rPr>
          <w:spacing w:val="-10"/>
        </w:rPr>
        <w:t xml:space="preserve"> </w:t>
      </w:r>
      <w:r>
        <w:t>años.</w:t>
      </w:r>
      <w:r>
        <w:rPr>
          <w:spacing w:val="-10"/>
        </w:rPr>
        <w:t xml:space="preserve"> </w:t>
      </w:r>
      <w:r>
        <w:t>Los</w:t>
      </w:r>
      <w:r>
        <w:rPr>
          <w:spacing w:val="-10"/>
        </w:rPr>
        <w:t xml:space="preserve"> </w:t>
      </w:r>
      <w:r>
        <w:t>mayores</w:t>
      </w:r>
      <w:r>
        <w:rPr>
          <w:spacing w:val="-11"/>
        </w:rPr>
        <w:t xml:space="preserve"> </w:t>
      </w:r>
      <w:r>
        <w:t>responsables</w:t>
      </w:r>
      <w:r>
        <w:rPr>
          <w:spacing w:val="-11"/>
        </w:rPr>
        <w:t xml:space="preserve"> </w:t>
      </w:r>
      <w:r>
        <w:t>fueron</w:t>
      </w:r>
      <w:r>
        <w:rPr>
          <w:spacing w:val="-11"/>
        </w:rPr>
        <w:t xml:space="preserve"> </w:t>
      </w:r>
      <w:r>
        <w:t>las</w:t>
      </w:r>
      <w:r>
        <w:rPr>
          <w:spacing w:val="-11"/>
        </w:rPr>
        <w:t xml:space="preserve"> </w:t>
      </w:r>
      <w:r>
        <w:t>FARC-EP</w:t>
      </w:r>
      <w:r>
        <w:rPr>
          <w:spacing w:val="-10"/>
        </w:rPr>
        <w:t xml:space="preserve"> </w:t>
      </w:r>
      <w:r>
        <w:t>con</w:t>
      </w:r>
      <w:r>
        <w:rPr>
          <w:spacing w:val="-10"/>
        </w:rPr>
        <w:t xml:space="preserve"> </w:t>
      </w:r>
      <w:r>
        <w:t>40</w:t>
      </w:r>
      <w:r>
        <w:rPr>
          <w:spacing w:val="-3"/>
        </w:rPr>
        <w:t xml:space="preserve"> </w:t>
      </w:r>
      <w:r>
        <w:t>%</w:t>
      </w:r>
      <w:r>
        <w:rPr>
          <w:spacing w:val="-9"/>
        </w:rPr>
        <w:t xml:space="preserve"> </w:t>
      </w:r>
      <w:r>
        <w:t>de</w:t>
      </w:r>
      <w:r>
        <w:rPr>
          <w:spacing w:val="-11"/>
        </w:rPr>
        <w:t xml:space="preserve"> </w:t>
      </w:r>
      <w:r>
        <w:t>los</w:t>
      </w:r>
      <w:r>
        <w:rPr>
          <w:spacing w:val="-10"/>
        </w:rPr>
        <w:t xml:space="preserve"> </w:t>
      </w:r>
      <w:r>
        <w:t>casos (20.223</w:t>
      </w:r>
      <w:r>
        <w:rPr>
          <w:spacing w:val="-12"/>
        </w:rPr>
        <w:t xml:space="preserve"> </w:t>
      </w:r>
      <w:r>
        <w:t>víctimas),</w:t>
      </w:r>
      <w:r>
        <w:rPr>
          <w:spacing w:val="-13"/>
        </w:rPr>
        <w:t xml:space="preserve"> </w:t>
      </w:r>
      <w:r>
        <w:t>los</w:t>
      </w:r>
      <w:r>
        <w:rPr>
          <w:spacing w:val="-13"/>
        </w:rPr>
        <w:t xml:space="preserve"> </w:t>
      </w:r>
      <w:r>
        <w:t>grupos</w:t>
      </w:r>
      <w:r>
        <w:rPr>
          <w:spacing w:val="-12"/>
        </w:rPr>
        <w:t xml:space="preserve"> </w:t>
      </w:r>
      <w:r>
        <w:t>paramilitares</w:t>
      </w:r>
      <w:r>
        <w:rPr>
          <w:spacing w:val="-13"/>
        </w:rPr>
        <w:t xml:space="preserve"> </w:t>
      </w:r>
      <w:r>
        <w:t>con</w:t>
      </w:r>
      <w:r>
        <w:rPr>
          <w:spacing w:val="-13"/>
        </w:rPr>
        <w:t xml:space="preserve"> </w:t>
      </w:r>
      <w:r>
        <w:t>el</w:t>
      </w:r>
      <w:r>
        <w:rPr>
          <w:spacing w:val="-13"/>
        </w:rPr>
        <w:t xml:space="preserve"> </w:t>
      </w:r>
      <w:r>
        <w:t>24</w:t>
      </w:r>
      <w:r>
        <w:rPr>
          <w:spacing w:val="-3"/>
        </w:rPr>
        <w:t xml:space="preserve"> </w:t>
      </w:r>
      <w:r>
        <w:t>%</w:t>
      </w:r>
      <w:r>
        <w:rPr>
          <w:spacing w:val="-12"/>
        </w:rPr>
        <w:t xml:space="preserve"> </w:t>
      </w:r>
      <w:r>
        <w:t>(10.538</w:t>
      </w:r>
      <w:r>
        <w:rPr>
          <w:spacing w:val="-12"/>
        </w:rPr>
        <w:t xml:space="preserve"> </w:t>
      </w:r>
      <w:r>
        <w:t>víctimas)</w:t>
      </w:r>
      <w:r>
        <w:rPr>
          <w:spacing w:val="-13"/>
        </w:rPr>
        <w:t xml:space="preserve"> </w:t>
      </w:r>
      <w:r>
        <w:t>y</w:t>
      </w:r>
      <w:r>
        <w:rPr>
          <w:spacing w:val="-12"/>
        </w:rPr>
        <w:t xml:space="preserve"> </w:t>
      </w:r>
      <w:r>
        <w:t>el</w:t>
      </w:r>
      <w:r>
        <w:rPr>
          <w:spacing w:val="-12"/>
        </w:rPr>
        <w:t xml:space="preserve"> </w:t>
      </w:r>
      <w:r>
        <w:t>ELN</w:t>
      </w:r>
      <w:r>
        <w:rPr>
          <w:spacing w:val="-13"/>
        </w:rPr>
        <w:t xml:space="preserve"> </w:t>
      </w:r>
      <w:r>
        <w:t>con</w:t>
      </w:r>
      <w:r>
        <w:rPr>
          <w:spacing w:val="-12"/>
        </w:rPr>
        <w:t xml:space="preserve"> </w:t>
      </w:r>
      <w:r>
        <w:t>19</w:t>
      </w:r>
      <w:r>
        <w:rPr>
          <w:spacing w:val="-4"/>
        </w:rPr>
        <w:t xml:space="preserve"> </w:t>
      </w:r>
      <w:r>
        <w:t>% (9.538).</w:t>
      </w:r>
      <w:r w:rsidR="00D34CC0">
        <w:rPr>
          <w:rStyle w:val="Refdenotaalpie"/>
        </w:rPr>
        <w:footnoteReference w:id="220"/>
      </w:r>
      <w:r>
        <w:t xml:space="preserve"> También los secuestros fueron llevados a cabo en un número considerable por otros grupos (9 %)</w:t>
      </w:r>
      <w:r w:rsidR="00D34CC0">
        <w:rPr>
          <w:rStyle w:val="Refdenotaalpie"/>
        </w:rPr>
        <w:footnoteReference w:id="221"/>
      </w:r>
      <w:r>
        <w:t>. En algunos casos también fueron cometidos por agentes del Estado.</w:t>
      </w:r>
    </w:p>
    <w:p w:rsidR="003804AC" w:rsidRDefault="00AF18A5" w:rsidP="00D34CC0">
      <w:r>
        <w:t>Como medio de financiación, o como mecanismo de presión al Gobierno y a la sociedad para obtener reconocimiento o liberar a detenidos, se usó la capacidad de producir sufrimiento en los secuestrados y familiares. Como una balanza en una agenda de negociación,</w:t>
      </w:r>
      <w:r>
        <w:rPr>
          <w:spacing w:val="-6"/>
        </w:rPr>
        <w:t xml:space="preserve"> </w:t>
      </w:r>
      <w:r>
        <w:t>o</w:t>
      </w:r>
      <w:r>
        <w:rPr>
          <w:spacing w:val="-5"/>
        </w:rPr>
        <w:t xml:space="preserve"> </w:t>
      </w:r>
      <w:r>
        <w:t>una</w:t>
      </w:r>
      <w:r>
        <w:rPr>
          <w:spacing w:val="-5"/>
        </w:rPr>
        <w:t xml:space="preserve"> </w:t>
      </w:r>
      <w:r>
        <w:t>forma</w:t>
      </w:r>
      <w:r>
        <w:rPr>
          <w:spacing w:val="-6"/>
        </w:rPr>
        <w:t xml:space="preserve"> </w:t>
      </w:r>
      <w:r>
        <w:t>de</w:t>
      </w:r>
      <w:r>
        <w:rPr>
          <w:spacing w:val="-5"/>
        </w:rPr>
        <w:t xml:space="preserve"> </w:t>
      </w:r>
      <w:r>
        <w:t>mantener</w:t>
      </w:r>
      <w:r>
        <w:rPr>
          <w:spacing w:val="-5"/>
        </w:rPr>
        <w:t xml:space="preserve"> </w:t>
      </w:r>
      <w:r>
        <w:t>el</w:t>
      </w:r>
      <w:r>
        <w:rPr>
          <w:spacing w:val="-5"/>
        </w:rPr>
        <w:t xml:space="preserve"> </w:t>
      </w:r>
      <w:r>
        <w:t>poder,</w:t>
      </w:r>
      <w:r>
        <w:rPr>
          <w:spacing w:val="-5"/>
        </w:rPr>
        <w:t xml:space="preserve"> </w:t>
      </w:r>
      <w:r>
        <w:t>recursos</w:t>
      </w:r>
      <w:r>
        <w:rPr>
          <w:spacing w:val="-5"/>
        </w:rPr>
        <w:t xml:space="preserve"> </w:t>
      </w:r>
      <w:r>
        <w:t>económicos</w:t>
      </w:r>
      <w:r>
        <w:rPr>
          <w:spacing w:val="-5"/>
        </w:rPr>
        <w:t xml:space="preserve"> </w:t>
      </w:r>
      <w:r>
        <w:t>y</w:t>
      </w:r>
      <w:r>
        <w:rPr>
          <w:spacing w:val="-6"/>
        </w:rPr>
        <w:t xml:space="preserve"> </w:t>
      </w:r>
      <w:r>
        <w:t>capacidad</w:t>
      </w:r>
      <w:r>
        <w:rPr>
          <w:spacing w:val="-5"/>
        </w:rPr>
        <w:t xml:space="preserve"> </w:t>
      </w:r>
      <w:r>
        <w:t>de</w:t>
      </w:r>
      <w:r>
        <w:rPr>
          <w:spacing w:val="-6"/>
        </w:rPr>
        <w:t xml:space="preserve"> </w:t>
      </w:r>
      <w:r>
        <w:t>control a través de la violencia en muchas regiones del país. La crueldad, la masividad de su ocurrencia y su persistencia a lo largo del tiempo y la prolongación de la condición de secuestrados durante años, así como los episodios de matar a secuestrados en casos de confrontación</w:t>
      </w:r>
      <w:r>
        <w:rPr>
          <w:spacing w:val="-6"/>
        </w:rPr>
        <w:t xml:space="preserve"> </w:t>
      </w:r>
      <w:r>
        <w:t>armada</w:t>
      </w:r>
      <w:r>
        <w:rPr>
          <w:spacing w:val="-6"/>
        </w:rPr>
        <w:t xml:space="preserve"> </w:t>
      </w:r>
      <w:r>
        <w:t>o</w:t>
      </w:r>
      <w:r>
        <w:rPr>
          <w:spacing w:val="-6"/>
        </w:rPr>
        <w:t xml:space="preserve"> </w:t>
      </w:r>
      <w:r>
        <w:lastRenderedPageBreak/>
        <w:t>ante</w:t>
      </w:r>
      <w:r>
        <w:rPr>
          <w:spacing w:val="-6"/>
        </w:rPr>
        <w:t xml:space="preserve"> </w:t>
      </w:r>
      <w:r>
        <w:t>intentos</w:t>
      </w:r>
      <w:r>
        <w:rPr>
          <w:spacing w:val="-7"/>
        </w:rPr>
        <w:t xml:space="preserve"> </w:t>
      </w:r>
      <w:r>
        <w:t>de</w:t>
      </w:r>
      <w:r>
        <w:rPr>
          <w:spacing w:val="-6"/>
        </w:rPr>
        <w:t xml:space="preserve"> </w:t>
      </w:r>
      <w:r>
        <w:t>liberación,</w:t>
      </w:r>
      <w:r>
        <w:rPr>
          <w:spacing w:val="-6"/>
        </w:rPr>
        <w:t xml:space="preserve"> </w:t>
      </w:r>
      <w:r>
        <w:t>convirtieron</w:t>
      </w:r>
      <w:r>
        <w:rPr>
          <w:spacing w:val="-6"/>
        </w:rPr>
        <w:t xml:space="preserve"> </w:t>
      </w:r>
      <w:r>
        <w:t>a</w:t>
      </w:r>
      <w:r>
        <w:rPr>
          <w:spacing w:val="-6"/>
        </w:rPr>
        <w:t xml:space="preserve"> </w:t>
      </w:r>
      <w:r>
        <w:t>esta</w:t>
      </w:r>
      <w:r>
        <w:rPr>
          <w:spacing w:val="-6"/>
        </w:rPr>
        <w:t xml:space="preserve"> </w:t>
      </w:r>
      <w:r>
        <w:t>práctica</w:t>
      </w:r>
      <w:r>
        <w:rPr>
          <w:spacing w:val="-6"/>
        </w:rPr>
        <w:t xml:space="preserve"> </w:t>
      </w:r>
      <w:r>
        <w:t>en</w:t>
      </w:r>
      <w:r>
        <w:rPr>
          <w:spacing w:val="-6"/>
        </w:rPr>
        <w:t xml:space="preserve"> </w:t>
      </w:r>
      <w:r>
        <w:t>una</w:t>
      </w:r>
      <w:r>
        <w:rPr>
          <w:spacing w:val="-6"/>
        </w:rPr>
        <w:t xml:space="preserve"> </w:t>
      </w:r>
      <w:r>
        <w:t>de</w:t>
      </w:r>
      <w:r>
        <w:rPr>
          <w:spacing w:val="-6"/>
        </w:rPr>
        <w:t xml:space="preserve"> </w:t>
      </w:r>
      <w:r>
        <w:t>las más despiadadas cometidas por las guerrillas.</w:t>
      </w:r>
    </w:p>
    <w:p w:rsidR="003804AC" w:rsidRDefault="00AF18A5" w:rsidP="004556FF">
      <w:r>
        <w:t>Como parte de su trabajo, la Comisión de la Verdad ha llevado a cabo numerosos actos de reconocimiento del secuestro, como un acto de justicia y respeto por la dignidad de las víctimas,</w:t>
      </w:r>
      <w:r>
        <w:rPr>
          <w:spacing w:val="-3"/>
        </w:rPr>
        <w:t xml:space="preserve"> </w:t>
      </w:r>
      <w:r>
        <w:t>a</w:t>
      </w:r>
      <w:r>
        <w:rPr>
          <w:spacing w:val="-3"/>
        </w:rPr>
        <w:t xml:space="preserve"> </w:t>
      </w:r>
      <w:r>
        <w:t>la</w:t>
      </w:r>
      <w:r>
        <w:rPr>
          <w:spacing w:val="-3"/>
        </w:rPr>
        <w:t xml:space="preserve"> </w:t>
      </w:r>
      <w:r>
        <w:t>vez</w:t>
      </w:r>
      <w:r>
        <w:rPr>
          <w:spacing w:val="-3"/>
        </w:rPr>
        <w:t xml:space="preserve"> </w:t>
      </w:r>
      <w:r>
        <w:t>que</w:t>
      </w:r>
      <w:r>
        <w:rPr>
          <w:spacing w:val="-3"/>
        </w:rPr>
        <w:t xml:space="preserve"> </w:t>
      </w:r>
      <w:r>
        <w:t>un</w:t>
      </w:r>
      <w:r>
        <w:rPr>
          <w:spacing w:val="-3"/>
        </w:rPr>
        <w:t xml:space="preserve"> </w:t>
      </w:r>
      <w:r>
        <w:t>reconocimiento</w:t>
      </w:r>
      <w:r>
        <w:rPr>
          <w:spacing w:val="-3"/>
        </w:rPr>
        <w:t xml:space="preserve"> </w:t>
      </w:r>
      <w:r>
        <w:t>social</w:t>
      </w:r>
      <w:r>
        <w:rPr>
          <w:spacing w:val="-3"/>
        </w:rPr>
        <w:t xml:space="preserve"> </w:t>
      </w:r>
      <w:r>
        <w:t>de</w:t>
      </w:r>
      <w:r>
        <w:rPr>
          <w:spacing w:val="-3"/>
        </w:rPr>
        <w:t xml:space="preserve"> </w:t>
      </w:r>
      <w:r>
        <w:t>una</w:t>
      </w:r>
      <w:r>
        <w:rPr>
          <w:spacing w:val="-3"/>
        </w:rPr>
        <w:t xml:space="preserve"> </w:t>
      </w:r>
      <w:r>
        <w:t>práctica</w:t>
      </w:r>
      <w:r>
        <w:rPr>
          <w:spacing w:val="-3"/>
        </w:rPr>
        <w:t xml:space="preserve"> </w:t>
      </w:r>
      <w:r>
        <w:t>que</w:t>
      </w:r>
      <w:r>
        <w:rPr>
          <w:spacing w:val="-3"/>
        </w:rPr>
        <w:t xml:space="preserve"> </w:t>
      </w:r>
      <w:r>
        <w:t>conllevó</w:t>
      </w:r>
      <w:r>
        <w:rPr>
          <w:spacing w:val="-3"/>
        </w:rPr>
        <w:t xml:space="preserve"> </w:t>
      </w:r>
      <w:r>
        <w:t>un</w:t>
      </w:r>
      <w:r>
        <w:rPr>
          <w:spacing w:val="-3"/>
        </w:rPr>
        <w:t xml:space="preserve"> </w:t>
      </w:r>
      <w:r>
        <w:t>sentimiento general de repudio de la población colombiana; el testimonio del nivel de amenaza que vivieron</w:t>
      </w:r>
      <w:r>
        <w:rPr>
          <w:spacing w:val="-2"/>
        </w:rPr>
        <w:t xml:space="preserve"> </w:t>
      </w:r>
      <w:r>
        <w:t>muchos</w:t>
      </w:r>
      <w:r>
        <w:rPr>
          <w:spacing w:val="-2"/>
        </w:rPr>
        <w:t xml:space="preserve"> </w:t>
      </w:r>
      <w:r>
        <w:t>por</w:t>
      </w:r>
      <w:r>
        <w:rPr>
          <w:spacing w:val="-2"/>
        </w:rPr>
        <w:t xml:space="preserve"> </w:t>
      </w:r>
      <w:r>
        <w:t>habitar</w:t>
      </w:r>
      <w:r>
        <w:rPr>
          <w:spacing w:val="-2"/>
        </w:rPr>
        <w:t xml:space="preserve"> </w:t>
      </w:r>
      <w:r>
        <w:t>en</w:t>
      </w:r>
      <w:r>
        <w:rPr>
          <w:spacing w:val="-2"/>
        </w:rPr>
        <w:t xml:space="preserve"> </w:t>
      </w:r>
      <w:r>
        <w:t>ciertos</w:t>
      </w:r>
      <w:r>
        <w:rPr>
          <w:spacing w:val="-2"/>
        </w:rPr>
        <w:t xml:space="preserve"> </w:t>
      </w:r>
      <w:r>
        <w:t>lugares,</w:t>
      </w:r>
      <w:r>
        <w:rPr>
          <w:spacing w:val="-2"/>
        </w:rPr>
        <w:t xml:space="preserve"> </w:t>
      </w:r>
      <w:r>
        <w:t>tener</w:t>
      </w:r>
      <w:r>
        <w:rPr>
          <w:spacing w:val="-2"/>
        </w:rPr>
        <w:t xml:space="preserve"> </w:t>
      </w:r>
      <w:r>
        <w:t>un</w:t>
      </w:r>
      <w:r>
        <w:rPr>
          <w:spacing w:val="-2"/>
        </w:rPr>
        <w:t xml:space="preserve"> </w:t>
      </w:r>
      <w:r>
        <w:t>negocio</w:t>
      </w:r>
      <w:r>
        <w:rPr>
          <w:spacing w:val="-2"/>
        </w:rPr>
        <w:t xml:space="preserve"> </w:t>
      </w:r>
      <w:r>
        <w:t>o</w:t>
      </w:r>
      <w:r>
        <w:rPr>
          <w:spacing w:val="-2"/>
        </w:rPr>
        <w:t xml:space="preserve"> </w:t>
      </w:r>
      <w:r>
        <w:t>transitar</w:t>
      </w:r>
      <w:r>
        <w:rPr>
          <w:spacing w:val="-2"/>
        </w:rPr>
        <w:t xml:space="preserve"> </w:t>
      </w:r>
      <w:r>
        <w:t>en</w:t>
      </w:r>
      <w:r>
        <w:rPr>
          <w:spacing w:val="-2"/>
        </w:rPr>
        <w:t xml:space="preserve"> </w:t>
      </w:r>
      <w:r>
        <w:t>determinadas carreteras. Un excombatiente de las FARC-EP reconoció:</w:t>
      </w:r>
    </w:p>
    <w:p w:rsidR="003804AC" w:rsidRDefault="00AF18A5" w:rsidP="004556FF">
      <w:r>
        <w:t>«Las</w:t>
      </w:r>
      <w:r>
        <w:rPr>
          <w:spacing w:val="-3"/>
        </w:rPr>
        <w:t xml:space="preserve"> </w:t>
      </w:r>
      <w:r>
        <w:t>palabras</w:t>
      </w:r>
      <w:r>
        <w:rPr>
          <w:spacing w:val="-3"/>
        </w:rPr>
        <w:t xml:space="preserve"> </w:t>
      </w:r>
      <w:r>
        <w:t>no</w:t>
      </w:r>
      <w:r>
        <w:rPr>
          <w:spacing w:val="-4"/>
        </w:rPr>
        <w:t xml:space="preserve"> </w:t>
      </w:r>
      <w:r>
        <w:t>sanan</w:t>
      </w:r>
      <w:r>
        <w:rPr>
          <w:spacing w:val="-4"/>
        </w:rPr>
        <w:t xml:space="preserve"> </w:t>
      </w:r>
      <w:r>
        <w:t>ni</w:t>
      </w:r>
      <w:r>
        <w:rPr>
          <w:spacing w:val="-3"/>
        </w:rPr>
        <w:t xml:space="preserve"> </w:t>
      </w:r>
      <w:r>
        <w:t>reparan</w:t>
      </w:r>
      <w:r>
        <w:rPr>
          <w:spacing w:val="-4"/>
        </w:rPr>
        <w:t xml:space="preserve"> </w:t>
      </w:r>
      <w:r>
        <w:t>la</w:t>
      </w:r>
      <w:r>
        <w:rPr>
          <w:spacing w:val="-5"/>
        </w:rPr>
        <w:t xml:space="preserve"> </w:t>
      </w:r>
      <w:r>
        <w:t>pérdida</w:t>
      </w:r>
      <w:r>
        <w:rPr>
          <w:spacing w:val="-3"/>
        </w:rPr>
        <w:t xml:space="preserve"> </w:t>
      </w:r>
      <w:r>
        <w:t>de</w:t>
      </w:r>
      <w:r>
        <w:rPr>
          <w:spacing w:val="-3"/>
        </w:rPr>
        <w:t xml:space="preserve"> </w:t>
      </w:r>
      <w:r>
        <w:t>sus</w:t>
      </w:r>
      <w:r>
        <w:rPr>
          <w:spacing w:val="-3"/>
        </w:rPr>
        <w:t xml:space="preserve"> </w:t>
      </w:r>
      <w:r>
        <w:t>seres</w:t>
      </w:r>
      <w:r>
        <w:rPr>
          <w:spacing w:val="-3"/>
        </w:rPr>
        <w:t xml:space="preserve"> </w:t>
      </w:r>
      <w:r>
        <w:t>queridos,</w:t>
      </w:r>
      <w:r>
        <w:rPr>
          <w:spacing w:val="-4"/>
        </w:rPr>
        <w:t xml:space="preserve"> </w:t>
      </w:r>
      <w:r>
        <w:t>porque</w:t>
      </w:r>
      <w:r>
        <w:rPr>
          <w:spacing w:val="-3"/>
        </w:rPr>
        <w:t xml:space="preserve"> </w:t>
      </w:r>
      <w:r>
        <w:t>es</w:t>
      </w:r>
      <w:r>
        <w:rPr>
          <w:spacing w:val="-3"/>
        </w:rPr>
        <w:t xml:space="preserve"> </w:t>
      </w:r>
      <w:r>
        <w:t>muy</w:t>
      </w:r>
      <w:r>
        <w:rPr>
          <w:spacing w:val="-4"/>
        </w:rPr>
        <w:t xml:space="preserve"> </w:t>
      </w:r>
      <w:r>
        <w:t>duro</w:t>
      </w:r>
      <w:r>
        <w:rPr>
          <w:spacing w:val="-4"/>
        </w:rPr>
        <w:t xml:space="preserve"> </w:t>
      </w:r>
      <w:r>
        <w:t>y uno</w:t>
      </w:r>
      <w:r>
        <w:rPr>
          <w:spacing w:val="-5"/>
        </w:rPr>
        <w:t xml:space="preserve"> </w:t>
      </w:r>
      <w:r>
        <w:t>no</w:t>
      </w:r>
      <w:r>
        <w:rPr>
          <w:spacing w:val="-3"/>
        </w:rPr>
        <w:t xml:space="preserve"> </w:t>
      </w:r>
      <w:r>
        <w:t>tiene</w:t>
      </w:r>
      <w:r>
        <w:rPr>
          <w:spacing w:val="-3"/>
        </w:rPr>
        <w:t xml:space="preserve"> </w:t>
      </w:r>
      <w:r>
        <w:t>palabras</w:t>
      </w:r>
      <w:r>
        <w:rPr>
          <w:spacing w:val="-2"/>
        </w:rPr>
        <w:t xml:space="preserve"> </w:t>
      </w:r>
      <w:r>
        <w:t>para</w:t>
      </w:r>
      <w:r>
        <w:rPr>
          <w:spacing w:val="-2"/>
        </w:rPr>
        <w:t xml:space="preserve"> </w:t>
      </w:r>
      <w:r>
        <w:t>expresar</w:t>
      </w:r>
      <w:r>
        <w:rPr>
          <w:spacing w:val="-1"/>
        </w:rPr>
        <w:t xml:space="preserve"> </w:t>
      </w:r>
      <w:r>
        <w:t>en</w:t>
      </w:r>
      <w:r>
        <w:rPr>
          <w:spacing w:val="-3"/>
        </w:rPr>
        <w:t xml:space="preserve"> </w:t>
      </w:r>
      <w:r>
        <w:t>una</w:t>
      </w:r>
      <w:r>
        <w:rPr>
          <w:spacing w:val="-2"/>
        </w:rPr>
        <w:t xml:space="preserve"> </w:t>
      </w:r>
      <w:r>
        <w:t>situación</w:t>
      </w:r>
      <w:r>
        <w:rPr>
          <w:spacing w:val="-2"/>
        </w:rPr>
        <w:t xml:space="preserve"> </w:t>
      </w:r>
      <w:r>
        <w:t>tan</w:t>
      </w:r>
      <w:r>
        <w:rPr>
          <w:spacing w:val="-3"/>
        </w:rPr>
        <w:t xml:space="preserve"> </w:t>
      </w:r>
      <w:r>
        <w:t>dura…</w:t>
      </w:r>
      <w:r>
        <w:rPr>
          <w:spacing w:val="-2"/>
        </w:rPr>
        <w:t xml:space="preserve"> </w:t>
      </w:r>
      <w:r>
        <w:t>Esto</w:t>
      </w:r>
      <w:r>
        <w:rPr>
          <w:spacing w:val="-3"/>
        </w:rPr>
        <w:t xml:space="preserve"> </w:t>
      </w:r>
      <w:r>
        <w:t>fue</w:t>
      </w:r>
      <w:r>
        <w:rPr>
          <w:spacing w:val="-4"/>
        </w:rPr>
        <w:t xml:space="preserve"> </w:t>
      </w:r>
      <w:r>
        <w:t>por</w:t>
      </w:r>
      <w:r>
        <w:rPr>
          <w:spacing w:val="-1"/>
        </w:rPr>
        <w:t xml:space="preserve"> </w:t>
      </w:r>
      <w:r>
        <w:t>una</w:t>
      </w:r>
      <w:r>
        <w:rPr>
          <w:spacing w:val="-2"/>
        </w:rPr>
        <w:t xml:space="preserve"> </w:t>
      </w:r>
      <w:r>
        <w:t>lucha,</w:t>
      </w:r>
      <w:r>
        <w:rPr>
          <w:spacing w:val="-2"/>
        </w:rPr>
        <w:t xml:space="preserve"> </w:t>
      </w:r>
      <w:r>
        <w:rPr>
          <w:spacing w:val="-4"/>
        </w:rPr>
        <w:t>pero</w:t>
      </w:r>
      <w:bookmarkStart w:id="346" w:name="_bookmark259"/>
      <w:bookmarkStart w:id="347" w:name="_bookmark260"/>
      <w:bookmarkEnd w:id="346"/>
      <w:bookmarkEnd w:id="347"/>
      <w:r w:rsidR="004556FF">
        <w:t xml:space="preserve"> </w:t>
      </w:r>
      <w:r>
        <w:t>me pongo en el lugar de</w:t>
      </w:r>
      <w:r>
        <w:rPr>
          <w:spacing w:val="-1"/>
        </w:rPr>
        <w:t xml:space="preserve"> </w:t>
      </w:r>
      <w:r>
        <w:t>las familias</w:t>
      </w:r>
      <w:r>
        <w:rPr>
          <w:spacing w:val="-1"/>
        </w:rPr>
        <w:t xml:space="preserve"> </w:t>
      </w:r>
      <w:r>
        <w:t>y… muy duro… Hay un mayor reconocimiento</w:t>
      </w:r>
      <w:r>
        <w:rPr>
          <w:spacing w:val="-1"/>
        </w:rPr>
        <w:t xml:space="preserve"> </w:t>
      </w:r>
      <w:r>
        <w:t>de que las</w:t>
      </w:r>
      <w:r>
        <w:rPr>
          <w:spacing w:val="-9"/>
        </w:rPr>
        <w:t xml:space="preserve"> </w:t>
      </w:r>
      <w:r>
        <w:t>FARC</w:t>
      </w:r>
      <w:r>
        <w:rPr>
          <w:spacing w:val="-10"/>
        </w:rPr>
        <w:t xml:space="preserve"> </w:t>
      </w:r>
      <w:r>
        <w:t>no</w:t>
      </w:r>
      <w:r>
        <w:rPr>
          <w:spacing w:val="-9"/>
        </w:rPr>
        <w:t xml:space="preserve"> </w:t>
      </w:r>
      <w:r>
        <w:t>debieron</w:t>
      </w:r>
      <w:r>
        <w:rPr>
          <w:spacing w:val="-11"/>
        </w:rPr>
        <w:t xml:space="preserve"> </w:t>
      </w:r>
      <w:r>
        <w:t>usar</w:t>
      </w:r>
      <w:r>
        <w:rPr>
          <w:spacing w:val="-9"/>
        </w:rPr>
        <w:t xml:space="preserve"> </w:t>
      </w:r>
      <w:r>
        <w:t>el</w:t>
      </w:r>
      <w:r>
        <w:rPr>
          <w:spacing w:val="-9"/>
        </w:rPr>
        <w:t xml:space="preserve"> </w:t>
      </w:r>
      <w:r>
        <w:t>secuestro</w:t>
      </w:r>
      <w:r>
        <w:rPr>
          <w:spacing w:val="-9"/>
        </w:rPr>
        <w:t xml:space="preserve"> </w:t>
      </w:r>
      <w:r>
        <w:t>“como</w:t>
      </w:r>
      <w:r>
        <w:rPr>
          <w:spacing w:val="-9"/>
        </w:rPr>
        <w:t xml:space="preserve"> </w:t>
      </w:r>
      <w:r>
        <w:t>arma</w:t>
      </w:r>
      <w:r>
        <w:rPr>
          <w:spacing w:val="-9"/>
        </w:rPr>
        <w:t xml:space="preserve"> </w:t>
      </w:r>
      <w:r>
        <w:t>para</w:t>
      </w:r>
      <w:r>
        <w:rPr>
          <w:spacing w:val="-9"/>
        </w:rPr>
        <w:t xml:space="preserve"> </w:t>
      </w:r>
      <w:r>
        <w:t>lograr</w:t>
      </w:r>
      <w:r>
        <w:rPr>
          <w:spacing w:val="-9"/>
        </w:rPr>
        <w:t xml:space="preserve"> </w:t>
      </w:r>
      <w:r>
        <w:t>un</w:t>
      </w:r>
      <w:r>
        <w:rPr>
          <w:spacing w:val="-9"/>
        </w:rPr>
        <w:t xml:space="preserve"> </w:t>
      </w:r>
      <w:r>
        <w:t>fin</w:t>
      </w:r>
      <w:r>
        <w:rPr>
          <w:spacing w:val="-9"/>
        </w:rPr>
        <w:t xml:space="preserve"> </w:t>
      </w:r>
      <w:r>
        <w:t>político”</w:t>
      </w:r>
      <w:r>
        <w:rPr>
          <w:spacing w:val="-10"/>
        </w:rPr>
        <w:t xml:space="preserve"> </w:t>
      </w:r>
      <w:r>
        <w:t>[…].</w:t>
      </w:r>
      <w:r>
        <w:rPr>
          <w:spacing w:val="-9"/>
        </w:rPr>
        <w:t xml:space="preserve"> </w:t>
      </w:r>
      <w:r>
        <w:t>Hemos entendido que no es cierto que en la guerra se puede hacer de todo o todo es válido […]. Tenemos que decir que esto nunca debió haber pasado»</w:t>
      </w:r>
      <w:r w:rsidR="004556FF">
        <w:rPr>
          <w:rStyle w:val="Refdenotaalpie"/>
        </w:rPr>
        <w:footnoteReference w:id="222"/>
      </w:r>
      <w:r>
        <w:t>.</w:t>
      </w:r>
    </w:p>
    <w:p w:rsidR="003804AC" w:rsidRDefault="00AF18A5" w:rsidP="004556FF">
      <w:r>
        <w:t>El secuestro se convirtió en uno de los temas y nudos centrales en las diferentes negociaciones</w:t>
      </w:r>
      <w:r>
        <w:rPr>
          <w:spacing w:val="-1"/>
        </w:rPr>
        <w:t xml:space="preserve"> </w:t>
      </w:r>
      <w:r>
        <w:t>que</w:t>
      </w:r>
      <w:r>
        <w:rPr>
          <w:spacing w:val="-1"/>
        </w:rPr>
        <w:t xml:space="preserve"> </w:t>
      </w:r>
      <w:r>
        <w:t>se</w:t>
      </w:r>
      <w:r>
        <w:rPr>
          <w:spacing w:val="-1"/>
        </w:rPr>
        <w:t xml:space="preserve"> </w:t>
      </w:r>
      <w:r>
        <w:t>han</w:t>
      </w:r>
      <w:r>
        <w:rPr>
          <w:spacing w:val="-1"/>
        </w:rPr>
        <w:t xml:space="preserve"> </w:t>
      </w:r>
      <w:r>
        <w:t>desarrollado</w:t>
      </w:r>
      <w:r>
        <w:rPr>
          <w:spacing w:val="-1"/>
        </w:rPr>
        <w:t xml:space="preserve"> </w:t>
      </w:r>
      <w:r>
        <w:t>con</w:t>
      </w:r>
      <w:r>
        <w:rPr>
          <w:spacing w:val="-1"/>
        </w:rPr>
        <w:t xml:space="preserve"> </w:t>
      </w:r>
      <w:r>
        <w:t>los</w:t>
      </w:r>
      <w:r>
        <w:rPr>
          <w:spacing w:val="-1"/>
        </w:rPr>
        <w:t xml:space="preserve"> </w:t>
      </w:r>
      <w:r>
        <w:t>grupos</w:t>
      </w:r>
      <w:r>
        <w:rPr>
          <w:spacing w:val="-1"/>
        </w:rPr>
        <w:t xml:space="preserve"> </w:t>
      </w:r>
      <w:r>
        <w:t>guerrilleros,</w:t>
      </w:r>
      <w:r>
        <w:rPr>
          <w:spacing w:val="-1"/>
        </w:rPr>
        <w:t xml:space="preserve"> </w:t>
      </w:r>
      <w:r>
        <w:t>ya</w:t>
      </w:r>
      <w:r>
        <w:rPr>
          <w:spacing w:val="-1"/>
        </w:rPr>
        <w:t xml:space="preserve"> </w:t>
      </w:r>
      <w:r>
        <w:t>sea</w:t>
      </w:r>
      <w:r>
        <w:rPr>
          <w:spacing w:val="-1"/>
        </w:rPr>
        <w:t xml:space="preserve"> </w:t>
      </w:r>
      <w:r>
        <w:t>para</w:t>
      </w:r>
      <w:r>
        <w:rPr>
          <w:spacing w:val="-1"/>
        </w:rPr>
        <w:t xml:space="preserve"> </w:t>
      </w:r>
      <w:r>
        <w:t>avanzar</w:t>
      </w:r>
      <w:r>
        <w:rPr>
          <w:spacing w:val="-1"/>
        </w:rPr>
        <w:t xml:space="preserve"> </w:t>
      </w:r>
      <w:r>
        <w:t>en</w:t>
      </w:r>
      <w:r>
        <w:rPr>
          <w:spacing w:val="-1"/>
        </w:rPr>
        <w:t xml:space="preserve"> </w:t>
      </w:r>
      <w:r>
        <w:t>la agenda</w:t>
      </w:r>
      <w:r>
        <w:rPr>
          <w:spacing w:val="-11"/>
        </w:rPr>
        <w:t xml:space="preserve"> </w:t>
      </w:r>
      <w:r>
        <w:t>o</w:t>
      </w:r>
      <w:r>
        <w:rPr>
          <w:spacing w:val="-11"/>
        </w:rPr>
        <w:t xml:space="preserve"> </w:t>
      </w:r>
      <w:r>
        <w:t>como</w:t>
      </w:r>
      <w:r>
        <w:rPr>
          <w:spacing w:val="-11"/>
        </w:rPr>
        <w:t xml:space="preserve"> </w:t>
      </w:r>
      <w:r>
        <w:t>hecho</w:t>
      </w:r>
      <w:r>
        <w:rPr>
          <w:spacing w:val="-11"/>
        </w:rPr>
        <w:t xml:space="preserve"> </w:t>
      </w:r>
      <w:r>
        <w:t>que</w:t>
      </w:r>
      <w:r>
        <w:rPr>
          <w:spacing w:val="-11"/>
        </w:rPr>
        <w:t xml:space="preserve"> </w:t>
      </w:r>
      <w:r>
        <w:t>motivó</w:t>
      </w:r>
      <w:r>
        <w:rPr>
          <w:spacing w:val="-11"/>
        </w:rPr>
        <w:t xml:space="preserve"> </w:t>
      </w:r>
      <w:r>
        <w:t>su</w:t>
      </w:r>
      <w:r>
        <w:rPr>
          <w:spacing w:val="-12"/>
        </w:rPr>
        <w:t xml:space="preserve"> </w:t>
      </w:r>
      <w:r>
        <w:t>definitiva</w:t>
      </w:r>
      <w:r>
        <w:rPr>
          <w:spacing w:val="-11"/>
        </w:rPr>
        <w:t xml:space="preserve"> </w:t>
      </w:r>
      <w:r>
        <w:t>ruptura.</w:t>
      </w:r>
      <w:r>
        <w:rPr>
          <w:spacing w:val="-11"/>
        </w:rPr>
        <w:t xml:space="preserve"> </w:t>
      </w:r>
      <w:r>
        <w:t>No</w:t>
      </w:r>
      <w:r>
        <w:rPr>
          <w:spacing w:val="-11"/>
        </w:rPr>
        <w:t xml:space="preserve"> </w:t>
      </w:r>
      <w:r>
        <w:t>cabe</w:t>
      </w:r>
      <w:r>
        <w:rPr>
          <w:spacing w:val="-11"/>
        </w:rPr>
        <w:t xml:space="preserve"> </w:t>
      </w:r>
      <w:r>
        <w:t>duda</w:t>
      </w:r>
      <w:r>
        <w:rPr>
          <w:spacing w:val="-11"/>
        </w:rPr>
        <w:t xml:space="preserve"> </w:t>
      </w:r>
      <w:r>
        <w:t>que</w:t>
      </w:r>
      <w:r>
        <w:rPr>
          <w:spacing w:val="-11"/>
        </w:rPr>
        <w:t xml:space="preserve"> </w:t>
      </w:r>
      <w:r>
        <w:t>la</w:t>
      </w:r>
      <w:r>
        <w:rPr>
          <w:spacing w:val="-11"/>
        </w:rPr>
        <w:t xml:space="preserve"> </w:t>
      </w:r>
      <w:r>
        <w:t>masificación</w:t>
      </w:r>
      <w:r>
        <w:rPr>
          <w:spacing w:val="-11"/>
        </w:rPr>
        <w:t xml:space="preserve"> </w:t>
      </w:r>
      <w:r>
        <w:t>del secuestro por parte de las insurgencias fue uno de los aspectos que más contribuyó al deterioro de la pretensión de legitimidad de su lucha a nivel nacional e internacional. El secuestro pone en evidencia las paradojas a las que se llega en una guerra que se prolonga, pues las guerrillas</w:t>
      </w:r>
      <w:r>
        <w:rPr>
          <w:spacing w:val="-2"/>
        </w:rPr>
        <w:t xml:space="preserve"> </w:t>
      </w:r>
      <w:r>
        <w:t xml:space="preserve">en su narrativa </w:t>
      </w:r>
      <w:r>
        <w:lastRenderedPageBreak/>
        <w:t>insisten en que su lucha armada se justificaba ante la injusticia y desigualdad del orden capitalista, pero mediante la masificación del secuestro convirtieron</w:t>
      </w:r>
      <w:r>
        <w:rPr>
          <w:spacing w:val="-3"/>
        </w:rPr>
        <w:t xml:space="preserve"> </w:t>
      </w:r>
      <w:r>
        <w:t>a</w:t>
      </w:r>
      <w:r>
        <w:rPr>
          <w:spacing w:val="-3"/>
        </w:rPr>
        <w:t xml:space="preserve"> </w:t>
      </w:r>
      <w:r>
        <w:t>las</w:t>
      </w:r>
      <w:r>
        <w:rPr>
          <w:spacing w:val="-2"/>
        </w:rPr>
        <w:t xml:space="preserve"> </w:t>
      </w:r>
      <w:r>
        <w:t>personas</w:t>
      </w:r>
      <w:r>
        <w:rPr>
          <w:spacing w:val="-2"/>
        </w:rPr>
        <w:t xml:space="preserve"> </w:t>
      </w:r>
      <w:r>
        <w:t>secuestradas</w:t>
      </w:r>
      <w:r>
        <w:rPr>
          <w:spacing w:val="-2"/>
        </w:rPr>
        <w:t xml:space="preserve"> </w:t>
      </w:r>
      <w:r>
        <w:t>en</w:t>
      </w:r>
      <w:r>
        <w:rPr>
          <w:spacing w:val="-3"/>
        </w:rPr>
        <w:t xml:space="preserve"> </w:t>
      </w:r>
      <w:r>
        <w:t>una</w:t>
      </w:r>
      <w:r>
        <w:rPr>
          <w:spacing w:val="-3"/>
        </w:rPr>
        <w:t xml:space="preserve"> </w:t>
      </w:r>
      <w:r>
        <w:t>mercancía,</w:t>
      </w:r>
      <w:r>
        <w:rPr>
          <w:spacing w:val="-3"/>
        </w:rPr>
        <w:t xml:space="preserve"> </w:t>
      </w:r>
      <w:r>
        <w:t>es</w:t>
      </w:r>
      <w:r>
        <w:rPr>
          <w:spacing w:val="-2"/>
        </w:rPr>
        <w:t xml:space="preserve"> </w:t>
      </w:r>
      <w:r>
        <w:t>decir,</w:t>
      </w:r>
      <w:r>
        <w:rPr>
          <w:spacing w:val="-4"/>
        </w:rPr>
        <w:t xml:space="preserve"> </w:t>
      </w:r>
      <w:r>
        <w:t>en</w:t>
      </w:r>
      <w:r>
        <w:rPr>
          <w:spacing w:val="-3"/>
        </w:rPr>
        <w:t xml:space="preserve"> </w:t>
      </w:r>
      <w:r>
        <w:t>la</w:t>
      </w:r>
      <w:r>
        <w:rPr>
          <w:spacing w:val="-3"/>
        </w:rPr>
        <w:t xml:space="preserve"> </w:t>
      </w:r>
      <w:r>
        <w:t>máxima</w:t>
      </w:r>
      <w:r>
        <w:rPr>
          <w:spacing w:val="-3"/>
        </w:rPr>
        <w:t xml:space="preserve"> </w:t>
      </w:r>
      <w:r>
        <w:t>expresión de la cosificación del tipo de sociedad y Estado que decían estar combatiendo.</w:t>
      </w:r>
    </w:p>
    <w:p w:rsidR="003804AC" w:rsidRDefault="00AF18A5" w:rsidP="004556FF">
      <w:r>
        <w:t>El</w:t>
      </w:r>
      <w:r>
        <w:rPr>
          <w:spacing w:val="-2"/>
        </w:rPr>
        <w:t xml:space="preserve"> </w:t>
      </w:r>
      <w:r>
        <w:t>secuestro</w:t>
      </w:r>
      <w:r>
        <w:rPr>
          <w:spacing w:val="-3"/>
        </w:rPr>
        <w:t xml:space="preserve"> </w:t>
      </w:r>
      <w:r>
        <w:t>implicó</w:t>
      </w:r>
      <w:r>
        <w:rPr>
          <w:spacing w:val="-2"/>
        </w:rPr>
        <w:t xml:space="preserve"> </w:t>
      </w:r>
      <w:r>
        <w:t>malos</w:t>
      </w:r>
      <w:r>
        <w:rPr>
          <w:spacing w:val="-2"/>
        </w:rPr>
        <w:t xml:space="preserve"> </w:t>
      </w:r>
      <w:r>
        <w:t>tratos</w:t>
      </w:r>
      <w:r>
        <w:rPr>
          <w:spacing w:val="-2"/>
        </w:rPr>
        <w:t xml:space="preserve"> </w:t>
      </w:r>
      <w:r>
        <w:t>y</w:t>
      </w:r>
      <w:r>
        <w:rPr>
          <w:spacing w:val="-2"/>
        </w:rPr>
        <w:t xml:space="preserve"> </w:t>
      </w:r>
      <w:r>
        <w:t>torturas,</w:t>
      </w:r>
      <w:r>
        <w:rPr>
          <w:spacing w:val="-2"/>
        </w:rPr>
        <w:t xml:space="preserve"> </w:t>
      </w:r>
      <w:r>
        <w:t>muchas</w:t>
      </w:r>
      <w:r>
        <w:rPr>
          <w:spacing w:val="-2"/>
        </w:rPr>
        <w:t xml:space="preserve"> </w:t>
      </w:r>
      <w:r>
        <w:t>veces</w:t>
      </w:r>
      <w:r>
        <w:rPr>
          <w:spacing w:val="-2"/>
        </w:rPr>
        <w:t xml:space="preserve"> </w:t>
      </w:r>
      <w:r>
        <w:t>por</w:t>
      </w:r>
      <w:r>
        <w:rPr>
          <w:spacing w:val="-2"/>
        </w:rPr>
        <w:t xml:space="preserve"> </w:t>
      </w:r>
      <w:r>
        <w:t>las</w:t>
      </w:r>
      <w:r>
        <w:rPr>
          <w:spacing w:val="-3"/>
        </w:rPr>
        <w:t xml:space="preserve"> </w:t>
      </w:r>
      <w:r>
        <w:t>condiciones</w:t>
      </w:r>
      <w:r>
        <w:rPr>
          <w:spacing w:val="-2"/>
        </w:rPr>
        <w:t xml:space="preserve"> </w:t>
      </w:r>
      <w:r>
        <w:t>en</w:t>
      </w:r>
      <w:r>
        <w:rPr>
          <w:spacing w:val="-2"/>
        </w:rPr>
        <w:t xml:space="preserve"> </w:t>
      </w:r>
      <w:r>
        <w:t>las</w:t>
      </w:r>
      <w:r>
        <w:rPr>
          <w:spacing w:val="-3"/>
        </w:rPr>
        <w:t xml:space="preserve"> </w:t>
      </w:r>
      <w:r>
        <w:t>que estuvieron</w:t>
      </w:r>
      <w:r>
        <w:rPr>
          <w:spacing w:val="-7"/>
        </w:rPr>
        <w:t xml:space="preserve"> </w:t>
      </w:r>
      <w:r>
        <w:t>las</w:t>
      </w:r>
      <w:r>
        <w:rPr>
          <w:spacing w:val="-7"/>
        </w:rPr>
        <w:t xml:space="preserve"> </w:t>
      </w:r>
      <w:r>
        <w:t>personas</w:t>
      </w:r>
      <w:r>
        <w:rPr>
          <w:spacing w:val="-8"/>
        </w:rPr>
        <w:t xml:space="preserve"> </w:t>
      </w:r>
      <w:r>
        <w:t>secuestradas.</w:t>
      </w:r>
      <w:r>
        <w:rPr>
          <w:spacing w:val="-7"/>
        </w:rPr>
        <w:t xml:space="preserve"> </w:t>
      </w:r>
      <w:r>
        <w:t>El</w:t>
      </w:r>
      <w:r>
        <w:rPr>
          <w:spacing w:val="-7"/>
        </w:rPr>
        <w:t xml:space="preserve"> </w:t>
      </w:r>
      <w:r>
        <w:t>siguiente</w:t>
      </w:r>
      <w:r>
        <w:rPr>
          <w:spacing w:val="-7"/>
        </w:rPr>
        <w:t xml:space="preserve"> </w:t>
      </w:r>
      <w:r>
        <w:t>testimonio</w:t>
      </w:r>
      <w:r>
        <w:rPr>
          <w:spacing w:val="-8"/>
        </w:rPr>
        <w:t xml:space="preserve"> </w:t>
      </w:r>
      <w:r>
        <w:t>de</w:t>
      </w:r>
      <w:r>
        <w:rPr>
          <w:spacing w:val="-7"/>
        </w:rPr>
        <w:t xml:space="preserve"> </w:t>
      </w:r>
      <w:r>
        <w:t>un</w:t>
      </w:r>
      <w:r>
        <w:rPr>
          <w:spacing w:val="-7"/>
        </w:rPr>
        <w:t xml:space="preserve"> </w:t>
      </w:r>
      <w:r>
        <w:t>secuestrado</w:t>
      </w:r>
      <w:r>
        <w:rPr>
          <w:spacing w:val="-8"/>
        </w:rPr>
        <w:t xml:space="preserve"> </w:t>
      </w:r>
      <w:r>
        <w:t>es</w:t>
      </w:r>
      <w:r>
        <w:rPr>
          <w:spacing w:val="-7"/>
        </w:rPr>
        <w:t xml:space="preserve"> </w:t>
      </w:r>
      <w:r>
        <w:t>ilustrativo de</w:t>
      </w:r>
      <w:r>
        <w:rPr>
          <w:spacing w:val="-2"/>
        </w:rPr>
        <w:t xml:space="preserve"> </w:t>
      </w:r>
      <w:r>
        <w:t>cómo</w:t>
      </w:r>
      <w:r>
        <w:rPr>
          <w:spacing w:val="-2"/>
        </w:rPr>
        <w:t xml:space="preserve"> </w:t>
      </w:r>
      <w:r>
        <w:t>las guerrillas convirtieron la vida y la libertad de sus víctimas en una</w:t>
      </w:r>
      <w:r>
        <w:rPr>
          <w:spacing w:val="-2"/>
        </w:rPr>
        <w:t xml:space="preserve"> </w:t>
      </w:r>
      <w:r>
        <w:t>mercancía y una extorsión afectiva y económica a las familias:</w:t>
      </w:r>
    </w:p>
    <w:p w:rsidR="0011361F" w:rsidRDefault="00AF18A5" w:rsidP="004556FF">
      <w:r>
        <w:t>«Mi secuestro fue... llegamos a un acuerdo, fue de 180 millones de pesos en el año 2003 –una cifra exageradísima–, de los cuales entregamos 140 millones de pesos y les quedé debiendo 40 millones de pesos. Esos 140 millones de pesos yo creo que ha sido el Teletón más</w:t>
      </w:r>
      <w:r>
        <w:rPr>
          <w:spacing w:val="-3"/>
        </w:rPr>
        <w:t xml:space="preserve"> </w:t>
      </w:r>
      <w:r>
        <w:t>grande</w:t>
      </w:r>
      <w:r>
        <w:rPr>
          <w:spacing w:val="-4"/>
        </w:rPr>
        <w:t xml:space="preserve"> </w:t>
      </w:r>
      <w:r>
        <w:t>que</w:t>
      </w:r>
      <w:r>
        <w:rPr>
          <w:spacing w:val="-3"/>
        </w:rPr>
        <w:t xml:space="preserve"> </w:t>
      </w:r>
      <w:r>
        <w:t>ha</w:t>
      </w:r>
      <w:r>
        <w:rPr>
          <w:spacing w:val="-3"/>
        </w:rPr>
        <w:t xml:space="preserve"> </w:t>
      </w:r>
      <w:r>
        <w:t>habido</w:t>
      </w:r>
      <w:r>
        <w:rPr>
          <w:spacing w:val="-3"/>
        </w:rPr>
        <w:t xml:space="preserve"> </w:t>
      </w:r>
      <w:r>
        <w:t>en</w:t>
      </w:r>
      <w:r>
        <w:rPr>
          <w:spacing w:val="-3"/>
        </w:rPr>
        <w:t xml:space="preserve"> </w:t>
      </w:r>
      <w:r>
        <w:t>Magangué</w:t>
      </w:r>
      <w:r>
        <w:rPr>
          <w:spacing w:val="-3"/>
        </w:rPr>
        <w:t xml:space="preserve"> </w:t>
      </w:r>
      <w:r>
        <w:t>de</w:t>
      </w:r>
      <w:r>
        <w:rPr>
          <w:spacing w:val="-4"/>
        </w:rPr>
        <w:t xml:space="preserve"> </w:t>
      </w:r>
      <w:r>
        <w:t>los</w:t>
      </w:r>
      <w:r>
        <w:rPr>
          <w:spacing w:val="-3"/>
        </w:rPr>
        <w:t xml:space="preserve"> </w:t>
      </w:r>
      <w:r>
        <w:t>amigos,</w:t>
      </w:r>
      <w:r>
        <w:rPr>
          <w:spacing w:val="-3"/>
        </w:rPr>
        <w:t xml:space="preserve"> </w:t>
      </w:r>
      <w:r>
        <w:t>porque</w:t>
      </w:r>
      <w:r>
        <w:rPr>
          <w:spacing w:val="-3"/>
        </w:rPr>
        <w:t xml:space="preserve"> </w:t>
      </w:r>
      <w:r>
        <w:t>yo</w:t>
      </w:r>
      <w:r>
        <w:rPr>
          <w:spacing w:val="-3"/>
        </w:rPr>
        <w:t xml:space="preserve"> </w:t>
      </w:r>
      <w:r>
        <w:t>no</w:t>
      </w:r>
      <w:r>
        <w:rPr>
          <w:spacing w:val="-5"/>
        </w:rPr>
        <w:t xml:space="preserve"> </w:t>
      </w:r>
      <w:r>
        <w:t>tenía</w:t>
      </w:r>
      <w:r>
        <w:rPr>
          <w:spacing w:val="-3"/>
        </w:rPr>
        <w:t xml:space="preserve"> </w:t>
      </w:r>
      <w:r>
        <w:t>la</w:t>
      </w:r>
      <w:r>
        <w:rPr>
          <w:spacing w:val="-3"/>
        </w:rPr>
        <w:t xml:space="preserve"> </w:t>
      </w:r>
      <w:r>
        <w:t>plata,</w:t>
      </w:r>
      <w:r>
        <w:rPr>
          <w:spacing w:val="-5"/>
        </w:rPr>
        <w:t xml:space="preserve"> </w:t>
      </w:r>
      <w:r>
        <w:t>sino</w:t>
      </w:r>
      <w:r>
        <w:rPr>
          <w:spacing w:val="-3"/>
        </w:rPr>
        <w:t xml:space="preserve"> </w:t>
      </w:r>
      <w:r>
        <w:t>que se hizo una recolecta importante. A mi señora le tocó vender parte de los semovientes que teníamos en la finca. Y, además de eso, nos tocó acudir a unos créditos»</w:t>
      </w:r>
      <w:r w:rsidR="004556FF">
        <w:rPr>
          <w:rStyle w:val="Refdenotaalpie"/>
        </w:rPr>
        <w:footnoteReference w:id="223"/>
      </w:r>
      <w:r>
        <w:t>.</w:t>
      </w:r>
    </w:p>
    <w:p w:rsidR="003804AC" w:rsidRDefault="00AF18A5" w:rsidP="004556FF">
      <w:bookmarkStart w:id="348" w:name="_bookmark261"/>
      <w:bookmarkStart w:id="349" w:name="_bookmark262"/>
      <w:bookmarkEnd w:id="348"/>
      <w:bookmarkEnd w:id="349"/>
      <w:r>
        <w:t xml:space="preserve">En el contexto a que se hecho mención se desbordaron los secuestros por parte de las </w:t>
      </w:r>
      <w:r>
        <w:rPr>
          <w:spacing w:val="-2"/>
        </w:rPr>
        <w:t>FARC-EP,</w:t>
      </w:r>
      <w:r>
        <w:rPr>
          <w:spacing w:val="-6"/>
        </w:rPr>
        <w:t xml:space="preserve"> </w:t>
      </w:r>
      <w:r>
        <w:rPr>
          <w:spacing w:val="-2"/>
        </w:rPr>
        <w:t>que</w:t>
      </w:r>
      <w:r>
        <w:rPr>
          <w:spacing w:val="-6"/>
        </w:rPr>
        <w:t xml:space="preserve"> </w:t>
      </w:r>
      <w:r>
        <w:rPr>
          <w:spacing w:val="-2"/>
        </w:rPr>
        <w:t>alcanzaron</w:t>
      </w:r>
      <w:r>
        <w:rPr>
          <w:spacing w:val="-6"/>
        </w:rPr>
        <w:t xml:space="preserve"> </w:t>
      </w:r>
      <w:r>
        <w:rPr>
          <w:spacing w:val="-2"/>
        </w:rPr>
        <w:t>su</w:t>
      </w:r>
      <w:r>
        <w:rPr>
          <w:spacing w:val="-6"/>
        </w:rPr>
        <w:t xml:space="preserve"> </w:t>
      </w:r>
      <w:r>
        <w:rPr>
          <w:spacing w:val="-2"/>
        </w:rPr>
        <w:t>mayor</w:t>
      </w:r>
      <w:r>
        <w:rPr>
          <w:spacing w:val="-7"/>
        </w:rPr>
        <w:t xml:space="preserve"> </w:t>
      </w:r>
      <w:r>
        <w:rPr>
          <w:spacing w:val="-2"/>
        </w:rPr>
        <w:t>frecuencia</w:t>
      </w:r>
      <w:r>
        <w:rPr>
          <w:spacing w:val="-7"/>
        </w:rPr>
        <w:t xml:space="preserve"> </w:t>
      </w:r>
      <w:r>
        <w:rPr>
          <w:spacing w:val="-2"/>
        </w:rPr>
        <w:t>en</w:t>
      </w:r>
      <w:r>
        <w:rPr>
          <w:spacing w:val="-7"/>
        </w:rPr>
        <w:t xml:space="preserve"> </w:t>
      </w:r>
      <w:r>
        <w:rPr>
          <w:spacing w:val="-2"/>
        </w:rPr>
        <w:t>2002,</w:t>
      </w:r>
      <w:r>
        <w:rPr>
          <w:spacing w:val="-6"/>
        </w:rPr>
        <w:t xml:space="preserve"> </w:t>
      </w:r>
      <w:r>
        <w:rPr>
          <w:spacing w:val="-2"/>
        </w:rPr>
        <w:t>si</w:t>
      </w:r>
      <w:r>
        <w:rPr>
          <w:spacing w:val="-7"/>
        </w:rPr>
        <w:t xml:space="preserve"> </w:t>
      </w:r>
      <w:r>
        <w:rPr>
          <w:spacing w:val="-2"/>
        </w:rPr>
        <w:t>bien</w:t>
      </w:r>
      <w:r>
        <w:rPr>
          <w:spacing w:val="-6"/>
        </w:rPr>
        <w:t xml:space="preserve"> </w:t>
      </w:r>
      <w:r>
        <w:rPr>
          <w:spacing w:val="-2"/>
        </w:rPr>
        <w:t>empezaron</w:t>
      </w:r>
      <w:r>
        <w:rPr>
          <w:spacing w:val="-7"/>
        </w:rPr>
        <w:t xml:space="preserve"> </w:t>
      </w:r>
      <w:r>
        <w:rPr>
          <w:spacing w:val="-2"/>
        </w:rPr>
        <w:t>a</w:t>
      </w:r>
      <w:r>
        <w:rPr>
          <w:spacing w:val="-6"/>
        </w:rPr>
        <w:t xml:space="preserve"> </w:t>
      </w:r>
      <w:r>
        <w:rPr>
          <w:spacing w:val="-2"/>
        </w:rPr>
        <w:t>aumentar</w:t>
      </w:r>
      <w:r>
        <w:rPr>
          <w:spacing w:val="-7"/>
        </w:rPr>
        <w:t xml:space="preserve"> </w:t>
      </w:r>
      <w:r>
        <w:rPr>
          <w:spacing w:val="-2"/>
        </w:rPr>
        <w:t xml:space="preserve">contra </w:t>
      </w:r>
      <w:r>
        <w:t>miembros de la fuerza pública en 1998, tras masivos golpes de mano a militares realizados desde</w:t>
      </w:r>
      <w:r>
        <w:rPr>
          <w:spacing w:val="-3"/>
        </w:rPr>
        <w:t xml:space="preserve"> </w:t>
      </w:r>
      <w:r>
        <w:t>la</w:t>
      </w:r>
      <w:r>
        <w:rPr>
          <w:spacing w:val="-3"/>
        </w:rPr>
        <w:t xml:space="preserve"> </w:t>
      </w:r>
      <w:r>
        <w:t>transición</w:t>
      </w:r>
      <w:r>
        <w:rPr>
          <w:spacing w:val="-4"/>
        </w:rPr>
        <w:t xml:space="preserve"> </w:t>
      </w:r>
      <w:r>
        <w:t>del</w:t>
      </w:r>
      <w:r>
        <w:rPr>
          <w:spacing w:val="-3"/>
        </w:rPr>
        <w:t xml:space="preserve"> </w:t>
      </w:r>
      <w:r>
        <w:t>Gobierno</w:t>
      </w:r>
      <w:r>
        <w:rPr>
          <w:spacing w:val="-4"/>
        </w:rPr>
        <w:t xml:space="preserve"> </w:t>
      </w:r>
      <w:r>
        <w:t>de</w:t>
      </w:r>
      <w:r>
        <w:rPr>
          <w:spacing w:val="-3"/>
        </w:rPr>
        <w:t xml:space="preserve"> </w:t>
      </w:r>
      <w:r>
        <w:t>Ernesto</w:t>
      </w:r>
      <w:r>
        <w:rPr>
          <w:spacing w:val="-4"/>
        </w:rPr>
        <w:t xml:space="preserve"> </w:t>
      </w:r>
      <w:r>
        <w:t>Samper</w:t>
      </w:r>
      <w:r>
        <w:rPr>
          <w:spacing w:val="-3"/>
        </w:rPr>
        <w:t xml:space="preserve"> </w:t>
      </w:r>
      <w:r>
        <w:t>al</w:t>
      </w:r>
      <w:r>
        <w:rPr>
          <w:spacing w:val="-3"/>
        </w:rPr>
        <w:t xml:space="preserve"> </w:t>
      </w:r>
      <w:r>
        <w:t>de</w:t>
      </w:r>
      <w:r>
        <w:rPr>
          <w:spacing w:val="-3"/>
        </w:rPr>
        <w:t xml:space="preserve"> </w:t>
      </w:r>
      <w:r>
        <w:t>Andrés</w:t>
      </w:r>
      <w:r>
        <w:rPr>
          <w:spacing w:val="-3"/>
        </w:rPr>
        <w:t xml:space="preserve"> </w:t>
      </w:r>
      <w:r>
        <w:t>Pastrana.</w:t>
      </w:r>
      <w:r>
        <w:rPr>
          <w:spacing w:val="-5"/>
        </w:rPr>
        <w:t xml:space="preserve"> </w:t>
      </w:r>
      <w:r>
        <w:t>En</w:t>
      </w:r>
      <w:r>
        <w:rPr>
          <w:spacing w:val="-4"/>
        </w:rPr>
        <w:t xml:space="preserve"> </w:t>
      </w:r>
      <w:r>
        <w:t>resumen,</w:t>
      </w:r>
      <w:r>
        <w:rPr>
          <w:spacing w:val="-4"/>
        </w:rPr>
        <w:t xml:space="preserve"> </w:t>
      </w:r>
      <w:r>
        <w:t xml:space="preserve">hay que resaltar que el secuestro es, indudablemente, uno de los patrones de violencia de las FARC-EP. Al comienzo dirigido contra </w:t>
      </w:r>
      <w:r>
        <w:lastRenderedPageBreak/>
        <w:t>ganaderos, comerciantes y notables locales con el objetivo de financiar la organización armada; y luego, sin abandonar los secuestros por motivos económicos, para sumar la toma de rehenes de miembros de la fuerza pública y los secuestros de políticos con el objetivo de presionar el canje humanitario, es decir, el intercambio de secuestrados por guerrilleros detenidos.</w:t>
      </w:r>
    </w:p>
    <w:p w:rsidR="003804AC" w:rsidRDefault="00AF18A5" w:rsidP="003B2C1A">
      <w:r>
        <w:t>Por</w:t>
      </w:r>
      <w:r>
        <w:rPr>
          <w:spacing w:val="-3"/>
        </w:rPr>
        <w:t xml:space="preserve"> </w:t>
      </w:r>
      <w:r>
        <w:t>todo</w:t>
      </w:r>
      <w:r>
        <w:rPr>
          <w:spacing w:val="-3"/>
        </w:rPr>
        <w:t xml:space="preserve"> </w:t>
      </w:r>
      <w:r>
        <w:t>lo</w:t>
      </w:r>
      <w:r>
        <w:rPr>
          <w:spacing w:val="-5"/>
        </w:rPr>
        <w:t xml:space="preserve"> </w:t>
      </w:r>
      <w:r>
        <w:t>anterior,</w:t>
      </w:r>
      <w:r>
        <w:rPr>
          <w:spacing w:val="-4"/>
        </w:rPr>
        <w:t xml:space="preserve"> </w:t>
      </w:r>
      <w:r>
        <w:t>la</w:t>
      </w:r>
      <w:r>
        <w:rPr>
          <w:spacing w:val="-4"/>
        </w:rPr>
        <w:t xml:space="preserve"> </w:t>
      </w:r>
      <w:r>
        <w:t>Comisión</w:t>
      </w:r>
      <w:r>
        <w:rPr>
          <w:spacing w:val="-3"/>
        </w:rPr>
        <w:t xml:space="preserve"> </w:t>
      </w:r>
      <w:r>
        <w:t>de</w:t>
      </w:r>
      <w:r>
        <w:rPr>
          <w:spacing w:val="-4"/>
        </w:rPr>
        <w:t xml:space="preserve"> </w:t>
      </w:r>
      <w:r>
        <w:t>Verdad</w:t>
      </w:r>
      <w:r>
        <w:rPr>
          <w:spacing w:val="-3"/>
        </w:rPr>
        <w:t xml:space="preserve"> </w:t>
      </w:r>
      <w:r>
        <w:t>puede</w:t>
      </w:r>
      <w:r>
        <w:rPr>
          <w:spacing w:val="-3"/>
        </w:rPr>
        <w:t xml:space="preserve"> </w:t>
      </w:r>
      <w:r>
        <w:t>afirmar</w:t>
      </w:r>
      <w:r>
        <w:rPr>
          <w:spacing w:val="-3"/>
        </w:rPr>
        <w:t xml:space="preserve"> </w:t>
      </w:r>
      <w:r>
        <w:t>que</w:t>
      </w:r>
      <w:r>
        <w:rPr>
          <w:spacing w:val="-3"/>
        </w:rPr>
        <w:t xml:space="preserve"> </w:t>
      </w:r>
      <w:r>
        <w:t>el</w:t>
      </w:r>
      <w:r>
        <w:rPr>
          <w:spacing w:val="-3"/>
        </w:rPr>
        <w:t xml:space="preserve"> </w:t>
      </w:r>
      <w:r>
        <w:t>secuestro</w:t>
      </w:r>
      <w:r>
        <w:rPr>
          <w:spacing w:val="-3"/>
        </w:rPr>
        <w:t xml:space="preserve"> </w:t>
      </w:r>
      <w:r>
        <w:t>de</w:t>
      </w:r>
      <w:r>
        <w:rPr>
          <w:spacing w:val="-3"/>
        </w:rPr>
        <w:t xml:space="preserve"> </w:t>
      </w:r>
      <w:r>
        <w:t>civiles</w:t>
      </w:r>
      <w:r>
        <w:rPr>
          <w:spacing w:val="-4"/>
        </w:rPr>
        <w:t xml:space="preserve"> </w:t>
      </w:r>
      <w:r>
        <w:t>por parte de las organizaciones guerrilleras constituyó un crimen de guerra. La privación de libertad</w:t>
      </w:r>
      <w:r>
        <w:rPr>
          <w:spacing w:val="-5"/>
        </w:rPr>
        <w:t xml:space="preserve"> </w:t>
      </w:r>
      <w:r>
        <w:t>de</w:t>
      </w:r>
      <w:r>
        <w:rPr>
          <w:spacing w:val="-4"/>
        </w:rPr>
        <w:t xml:space="preserve"> </w:t>
      </w:r>
      <w:r>
        <w:t>una</w:t>
      </w:r>
      <w:r>
        <w:rPr>
          <w:spacing w:val="-4"/>
        </w:rPr>
        <w:t xml:space="preserve"> </w:t>
      </w:r>
      <w:r>
        <w:t>persona</w:t>
      </w:r>
      <w:r>
        <w:rPr>
          <w:spacing w:val="-6"/>
        </w:rPr>
        <w:t xml:space="preserve"> </w:t>
      </w:r>
      <w:r>
        <w:t>dentro</w:t>
      </w:r>
      <w:r>
        <w:rPr>
          <w:spacing w:val="-5"/>
        </w:rPr>
        <w:t xml:space="preserve"> </w:t>
      </w:r>
      <w:r>
        <w:t>del</w:t>
      </w:r>
      <w:r>
        <w:rPr>
          <w:spacing w:val="-4"/>
        </w:rPr>
        <w:t xml:space="preserve"> </w:t>
      </w:r>
      <w:r>
        <w:t>marco</w:t>
      </w:r>
      <w:r>
        <w:rPr>
          <w:spacing w:val="-5"/>
        </w:rPr>
        <w:t xml:space="preserve"> </w:t>
      </w:r>
      <w:r>
        <w:t>del</w:t>
      </w:r>
      <w:r>
        <w:rPr>
          <w:spacing w:val="-5"/>
        </w:rPr>
        <w:t xml:space="preserve"> </w:t>
      </w:r>
      <w:r>
        <w:t>conflicto</w:t>
      </w:r>
      <w:r>
        <w:rPr>
          <w:spacing w:val="-5"/>
        </w:rPr>
        <w:t xml:space="preserve"> </w:t>
      </w:r>
      <w:r>
        <w:t>armado,</w:t>
      </w:r>
      <w:r>
        <w:rPr>
          <w:spacing w:val="-6"/>
        </w:rPr>
        <w:t xml:space="preserve"> </w:t>
      </w:r>
      <w:r>
        <w:t>seguida</w:t>
      </w:r>
      <w:r>
        <w:rPr>
          <w:spacing w:val="-4"/>
        </w:rPr>
        <w:t xml:space="preserve"> </w:t>
      </w:r>
      <w:r>
        <w:t>de</w:t>
      </w:r>
      <w:r>
        <w:rPr>
          <w:spacing w:val="-4"/>
        </w:rPr>
        <w:t xml:space="preserve"> </w:t>
      </w:r>
      <w:r>
        <w:t>la</w:t>
      </w:r>
      <w:r>
        <w:rPr>
          <w:spacing w:val="-4"/>
        </w:rPr>
        <w:t xml:space="preserve"> </w:t>
      </w:r>
      <w:r>
        <w:t>formulación</w:t>
      </w:r>
      <w:r>
        <w:rPr>
          <w:spacing w:val="-5"/>
        </w:rPr>
        <w:t xml:space="preserve"> </w:t>
      </w:r>
      <w:r>
        <w:t>de una exigencia para garantizar su libertad o seguridad, es una toma de rehenes, según el derecho internacional humanitario. Pero, además, las condiciones infrahumanas en que se dieron dichas detenciones, así como los tratos inhumanos que sufrieron muchas personas, deben ser calificados como torturas.</w:t>
      </w:r>
    </w:p>
    <w:p w:rsidR="003804AC" w:rsidRDefault="00AF18A5" w:rsidP="004A6EF4">
      <w:pPr>
        <w:pStyle w:val="Ttulo4"/>
        <w:numPr>
          <w:ilvl w:val="2"/>
          <w:numId w:val="16"/>
        </w:numPr>
      </w:pPr>
      <w:bookmarkStart w:id="350" w:name="4.3.2._El_crecimiento_militar_y_el_agrav"/>
      <w:bookmarkEnd w:id="350"/>
      <w:r>
        <w:t xml:space="preserve">El crecimiento militar y el agravamiento de la crisis humanitaria: tomas, arrasamiento de pueblos, uso indiscriminado de armas no convencionales y minas </w:t>
      </w:r>
      <w:r>
        <w:rPr>
          <w:spacing w:val="-2"/>
        </w:rPr>
        <w:t>antipersona</w:t>
      </w:r>
    </w:p>
    <w:p w:rsidR="003804AC" w:rsidRDefault="00AF18A5" w:rsidP="003B2C1A">
      <w:r>
        <w:t>El proceso de mayor afectación a población civil se produjo cuando se generalizaron las tomas</w:t>
      </w:r>
      <w:r>
        <w:rPr>
          <w:spacing w:val="-15"/>
        </w:rPr>
        <w:t xml:space="preserve"> </w:t>
      </w:r>
      <w:r>
        <w:t>de</w:t>
      </w:r>
      <w:r>
        <w:rPr>
          <w:spacing w:val="-15"/>
        </w:rPr>
        <w:t xml:space="preserve"> </w:t>
      </w:r>
      <w:r>
        <w:t>poblados</w:t>
      </w:r>
      <w:r>
        <w:rPr>
          <w:spacing w:val="-15"/>
        </w:rPr>
        <w:t xml:space="preserve"> </w:t>
      </w:r>
      <w:r>
        <w:t>y</w:t>
      </w:r>
      <w:r>
        <w:rPr>
          <w:spacing w:val="-15"/>
        </w:rPr>
        <w:t xml:space="preserve"> </w:t>
      </w:r>
      <w:r>
        <w:t>las</w:t>
      </w:r>
      <w:r>
        <w:rPr>
          <w:spacing w:val="-15"/>
        </w:rPr>
        <w:t xml:space="preserve"> </w:t>
      </w:r>
      <w:r>
        <w:t>guerrillas</w:t>
      </w:r>
      <w:r>
        <w:rPr>
          <w:spacing w:val="-15"/>
        </w:rPr>
        <w:t xml:space="preserve"> </w:t>
      </w:r>
      <w:r>
        <w:t>pasaron</w:t>
      </w:r>
      <w:r>
        <w:rPr>
          <w:spacing w:val="-14"/>
        </w:rPr>
        <w:t xml:space="preserve"> </w:t>
      </w:r>
      <w:r>
        <w:t>a</w:t>
      </w:r>
      <w:r>
        <w:rPr>
          <w:spacing w:val="-15"/>
        </w:rPr>
        <w:t xml:space="preserve"> </w:t>
      </w:r>
      <w:r>
        <w:t>utilizar</w:t>
      </w:r>
      <w:r>
        <w:rPr>
          <w:spacing w:val="-15"/>
        </w:rPr>
        <w:t xml:space="preserve"> </w:t>
      </w:r>
      <w:r>
        <w:t>armas</w:t>
      </w:r>
      <w:r>
        <w:rPr>
          <w:spacing w:val="-15"/>
        </w:rPr>
        <w:t xml:space="preserve"> </w:t>
      </w:r>
      <w:r>
        <w:t>como</w:t>
      </w:r>
      <w:r>
        <w:rPr>
          <w:spacing w:val="-15"/>
        </w:rPr>
        <w:t xml:space="preserve"> </w:t>
      </w:r>
      <w:r>
        <w:t>explosivos,</w:t>
      </w:r>
      <w:r>
        <w:rPr>
          <w:spacing w:val="-15"/>
        </w:rPr>
        <w:t xml:space="preserve"> </w:t>
      </w:r>
      <w:r>
        <w:t>cilindros-bomba u otros artefactos con gran poder de destrucción y capacidad de producir víctimas indiscriminadas. Los ataques a infraestructuras militares, policiales y civiles llevaron a una violencia</w:t>
      </w:r>
      <w:r>
        <w:rPr>
          <w:spacing w:val="-8"/>
        </w:rPr>
        <w:t xml:space="preserve"> </w:t>
      </w:r>
      <w:r>
        <w:t>que</w:t>
      </w:r>
      <w:r>
        <w:rPr>
          <w:spacing w:val="-8"/>
        </w:rPr>
        <w:t xml:space="preserve"> </w:t>
      </w:r>
      <w:r>
        <w:t>afectó</w:t>
      </w:r>
      <w:r>
        <w:rPr>
          <w:spacing w:val="-8"/>
        </w:rPr>
        <w:t xml:space="preserve"> </w:t>
      </w:r>
      <w:r>
        <w:t>de</w:t>
      </w:r>
      <w:r>
        <w:rPr>
          <w:spacing w:val="-9"/>
        </w:rPr>
        <w:t xml:space="preserve"> </w:t>
      </w:r>
      <w:r>
        <w:t>forma</w:t>
      </w:r>
      <w:r>
        <w:rPr>
          <w:spacing w:val="-9"/>
        </w:rPr>
        <w:t xml:space="preserve"> </w:t>
      </w:r>
      <w:r>
        <w:t>masiva</w:t>
      </w:r>
      <w:r>
        <w:rPr>
          <w:spacing w:val="-9"/>
        </w:rPr>
        <w:t xml:space="preserve"> </w:t>
      </w:r>
      <w:r>
        <w:t>a</w:t>
      </w:r>
      <w:r>
        <w:rPr>
          <w:spacing w:val="-8"/>
        </w:rPr>
        <w:t xml:space="preserve"> </w:t>
      </w:r>
      <w:r>
        <w:t>la</w:t>
      </w:r>
      <w:r>
        <w:rPr>
          <w:spacing w:val="-8"/>
        </w:rPr>
        <w:t xml:space="preserve"> </w:t>
      </w:r>
      <w:r>
        <w:t>población</w:t>
      </w:r>
      <w:r>
        <w:rPr>
          <w:spacing w:val="-8"/>
        </w:rPr>
        <w:t xml:space="preserve"> </w:t>
      </w:r>
      <w:r>
        <w:t>civil.</w:t>
      </w:r>
      <w:r>
        <w:rPr>
          <w:spacing w:val="-8"/>
        </w:rPr>
        <w:t xml:space="preserve"> </w:t>
      </w:r>
      <w:r>
        <w:t>Un</w:t>
      </w:r>
      <w:r>
        <w:rPr>
          <w:spacing w:val="-10"/>
        </w:rPr>
        <w:t xml:space="preserve"> </w:t>
      </w:r>
      <w:r>
        <w:t>ejemplo</w:t>
      </w:r>
      <w:r>
        <w:rPr>
          <w:spacing w:val="-8"/>
        </w:rPr>
        <w:t xml:space="preserve"> </w:t>
      </w:r>
      <w:r>
        <w:t>ocurrió</w:t>
      </w:r>
      <w:r>
        <w:rPr>
          <w:spacing w:val="-10"/>
        </w:rPr>
        <w:t xml:space="preserve"> </w:t>
      </w:r>
      <w:r>
        <w:t>el</w:t>
      </w:r>
      <w:r>
        <w:rPr>
          <w:spacing w:val="-8"/>
        </w:rPr>
        <w:t xml:space="preserve"> </w:t>
      </w:r>
      <w:r>
        <w:t>7</w:t>
      </w:r>
      <w:r>
        <w:rPr>
          <w:spacing w:val="-8"/>
        </w:rPr>
        <w:t xml:space="preserve"> </w:t>
      </w:r>
      <w:r>
        <w:t>de</w:t>
      </w:r>
      <w:r>
        <w:rPr>
          <w:spacing w:val="-8"/>
        </w:rPr>
        <w:t xml:space="preserve"> </w:t>
      </w:r>
      <w:r>
        <w:t>febrero de</w:t>
      </w:r>
      <w:r>
        <w:rPr>
          <w:spacing w:val="-2"/>
        </w:rPr>
        <w:t xml:space="preserve"> </w:t>
      </w:r>
      <w:r>
        <w:t>2003</w:t>
      </w:r>
      <w:r>
        <w:rPr>
          <w:spacing w:val="-2"/>
        </w:rPr>
        <w:t xml:space="preserve"> </w:t>
      </w:r>
      <w:r>
        <w:t>con</w:t>
      </w:r>
      <w:r>
        <w:rPr>
          <w:spacing w:val="-3"/>
        </w:rPr>
        <w:t xml:space="preserve"> </w:t>
      </w:r>
      <w:r>
        <w:t>el</w:t>
      </w:r>
      <w:r>
        <w:rPr>
          <w:spacing w:val="-2"/>
        </w:rPr>
        <w:t xml:space="preserve"> </w:t>
      </w:r>
      <w:r>
        <w:t>atentado</w:t>
      </w:r>
      <w:r>
        <w:rPr>
          <w:spacing w:val="-3"/>
        </w:rPr>
        <w:t xml:space="preserve"> </w:t>
      </w:r>
      <w:r>
        <w:t>al</w:t>
      </w:r>
      <w:r>
        <w:rPr>
          <w:spacing w:val="-2"/>
        </w:rPr>
        <w:t xml:space="preserve"> </w:t>
      </w:r>
      <w:r>
        <w:t>Club</w:t>
      </w:r>
      <w:r>
        <w:rPr>
          <w:spacing w:val="-2"/>
        </w:rPr>
        <w:t xml:space="preserve"> </w:t>
      </w:r>
      <w:r>
        <w:t>El</w:t>
      </w:r>
      <w:r>
        <w:rPr>
          <w:spacing w:val="-3"/>
        </w:rPr>
        <w:t xml:space="preserve"> </w:t>
      </w:r>
      <w:r>
        <w:t>Nogal,</w:t>
      </w:r>
      <w:r>
        <w:rPr>
          <w:spacing w:val="-2"/>
        </w:rPr>
        <w:t xml:space="preserve"> </w:t>
      </w:r>
      <w:r>
        <w:t>en</w:t>
      </w:r>
      <w:r>
        <w:rPr>
          <w:spacing w:val="-2"/>
        </w:rPr>
        <w:t xml:space="preserve"> </w:t>
      </w:r>
      <w:r>
        <w:t>Bogotá,</w:t>
      </w:r>
      <w:r>
        <w:rPr>
          <w:spacing w:val="-2"/>
        </w:rPr>
        <w:t xml:space="preserve"> </w:t>
      </w:r>
      <w:r>
        <w:t>un</w:t>
      </w:r>
      <w:r>
        <w:rPr>
          <w:spacing w:val="-3"/>
        </w:rPr>
        <w:t xml:space="preserve"> </w:t>
      </w:r>
      <w:r>
        <w:t>lugar</w:t>
      </w:r>
      <w:r>
        <w:rPr>
          <w:spacing w:val="-3"/>
        </w:rPr>
        <w:t xml:space="preserve"> </w:t>
      </w:r>
      <w:r>
        <w:t>de</w:t>
      </w:r>
      <w:r>
        <w:rPr>
          <w:spacing w:val="-2"/>
        </w:rPr>
        <w:t xml:space="preserve"> </w:t>
      </w:r>
      <w:r>
        <w:t>esparcimiento,</w:t>
      </w:r>
      <w:r>
        <w:rPr>
          <w:spacing w:val="-3"/>
        </w:rPr>
        <w:t xml:space="preserve"> </w:t>
      </w:r>
      <w:r>
        <w:t>encuentros y</w:t>
      </w:r>
      <w:r>
        <w:rPr>
          <w:spacing w:val="-6"/>
        </w:rPr>
        <w:t xml:space="preserve"> </w:t>
      </w:r>
      <w:r>
        <w:t>deporte</w:t>
      </w:r>
      <w:r>
        <w:rPr>
          <w:spacing w:val="-6"/>
        </w:rPr>
        <w:t xml:space="preserve"> </w:t>
      </w:r>
      <w:r>
        <w:t>de</w:t>
      </w:r>
      <w:r>
        <w:rPr>
          <w:spacing w:val="-7"/>
        </w:rPr>
        <w:t xml:space="preserve"> </w:t>
      </w:r>
      <w:r>
        <w:t>numerosas</w:t>
      </w:r>
      <w:r>
        <w:rPr>
          <w:spacing w:val="-7"/>
        </w:rPr>
        <w:t xml:space="preserve"> </w:t>
      </w:r>
      <w:r>
        <w:lastRenderedPageBreak/>
        <w:t>personas</w:t>
      </w:r>
      <w:r>
        <w:rPr>
          <w:spacing w:val="-6"/>
        </w:rPr>
        <w:t xml:space="preserve"> </w:t>
      </w:r>
      <w:r>
        <w:t>de</w:t>
      </w:r>
      <w:r>
        <w:rPr>
          <w:spacing w:val="-7"/>
        </w:rPr>
        <w:t xml:space="preserve"> </w:t>
      </w:r>
      <w:r>
        <w:t>alto</w:t>
      </w:r>
      <w:r>
        <w:rPr>
          <w:spacing w:val="-6"/>
        </w:rPr>
        <w:t xml:space="preserve"> </w:t>
      </w:r>
      <w:r>
        <w:t>estatus</w:t>
      </w:r>
      <w:r>
        <w:rPr>
          <w:spacing w:val="-6"/>
        </w:rPr>
        <w:t xml:space="preserve"> </w:t>
      </w:r>
      <w:r>
        <w:t>económico,</w:t>
      </w:r>
      <w:r>
        <w:rPr>
          <w:spacing w:val="-6"/>
        </w:rPr>
        <w:t xml:space="preserve"> </w:t>
      </w:r>
      <w:r>
        <w:t>atacado</w:t>
      </w:r>
      <w:r>
        <w:rPr>
          <w:spacing w:val="-6"/>
        </w:rPr>
        <w:t xml:space="preserve"> </w:t>
      </w:r>
      <w:r>
        <w:t>por</w:t>
      </w:r>
      <w:r>
        <w:rPr>
          <w:spacing w:val="-6"/>
        </w:rPr>
        <w:t xml:space="preserve"> </w:t>
      </w:r>
      <w:r>
        <w:t>las</w:t>
      </w:r>
      <w:r>
        <w:rPr>
          <w:spacing w:val="-6"/>
        </w:rPr>
        <w:t xml:space="preserve"> </w:t>
      </w:r>
      <w:r>
        <w:t>FARC-EP</w:t>
      </w:r>
      <w:r>
        <w:rPr>
          <w:spacing w:val="-6"/>
        </w:rPr>
        <w:t xml:space="preserve"> </w:t>
      </w:r>
      <w:r>
        <w:t>al</w:t>
      </w:r>
      <w:r>
        <w:rPr>
          <w:spacing w:val="-6"/>
        </w:rPr>
        <w:t xml:space="preserve"> </w:t>
      </w:r>
      <w:r>
        <w:t>ser considerado</w:t>
      </w:r>
      <w:r>
        <w:rPr>
          <w:spacing w:val="-15"/>
        </w:rPr>
        <w:t xml:space="preserve"> </w:t>
      </w:r>
      <w:r>
        <w:t>como</w:t>
      </w:r>
      <w:r>
        <w:rPr>
          <w:spacing w:val="-15"/>
        </w:rPr>
        <w:t xml:space="preserve"> </w:t>
      </w:r>
      <w:r>
        <w:t>un</w:t>
      </w:r>
      <w:r>
        <w:rPr>
          <w:spacing w:val="-15"/>
        </w:rPr>
        <w:t xml:space="preserve"> </w:t>
      </w:r>
      <w:r>
        <w:t>espacio</w:t>
      </w:r>
      <w:r>
        <w:rPr>
          <w:spacing w:val="-15"/>
        </w:rPr>
        <w:t xml:space="preserve"> </w:t>
      </w:r>
      <w:r>
        <w:t>de</w:t>
      </w:r>
      <w:r>
        <w:rPr>
          <w:spacing w:val="-15"/>
        </w:rPr>
        <w:t xml:space="preserve"> </w:t>
      </w:r>
      <w:r>
        <w:t>contactos</w:t>
      </w:r>
      <w:r>
        <w:rPr>
          <w:spacing w:val="-14"/>
        </w:rPr>
        <w:t xml:space="preserve"> </w:t>
      </w:r>
      <w:r>
        <w:t>y</w:t>
      </w:r>
      <w:r>
        <w:rPr>
          <w:spacing w:val="-15"/>
        </w:rPr>
        <w:t xml:space="preserve"> </w:t>
      </w:r>
      <w:r>
        <w:t>reuniones</w:t>
      </w:r>
      <w:r>
        <w:rPr>
          <w:spacing w:val="-14"/>
        </w:rPr>
        <w:t xml:space="preserve"> </w:t>
      </w:r>
      <w:r>
        <w:t>de</w:t>
      </w:r>
      <w:r>
        <w:rPr>
          <w:spacing w:val="-15"/>
        </w:rPr>
        <w:t xml:space="preserve"> </w:t>
      </w:r>
      <w:r>
        <w:t>miembros</w:t>
      </w:r>
      <w:r>
        <w:rPr>
          <w:spacing w:val="-14"/>
        </w:rPr>
        <w:t xml:space="preserve"> </w:t>
      </w:r>
      <w:r>
        <w:t>del</w:t>
      </w:r>
      <w:r>
        <w:rPr>
          <w:spacing w:val="-15"/>
        </w:rPr>
        <w:t xml:space="preserve"> </w:t>
      </w:r>
      <w:r>
        <w:t>Gobierno</w:t>
      </w:r>
      <w:r>
        <w:rPr>
          <w:spacing w:val="-14"/>
        </w:rPr>
        <w:t xml:space="preserve"> </w:t>
      </w:r>
      <w:r>
        <w:t>con</w:t>
      </w:r>
      <w:r>
        <w:rPr>
          <w:spacing w:val="-15"/>
        </w:rPr>
        <w:t xml:space="preserve"> </w:t>
      </w:r>
      <w:r>
        <w:t>líderes paramilitares.</w:t>
      </w:r>
      <w:r>
        <w:rPr>
          <w:spacing w:val="30"/>
        </w:rPr>
        <w:t xml:space="preserve"> </w:t>
      </w:r>
      <w:r>
        <w:t>Convertido</w:t>
      </w:r>
      <w:r>
        <w:rPr>
          <w:spacing w:val="30"/>
        </w:rPr>
        <w:t xml:space="preserve"> </w:t>
      </w:r>
      <w:r>
        <w:t>en</w:t>
      </w:r>
      <w:r>
        <w:rPr>
          <w:spacing w:val="30"/>
        </w:rPr>
        <w:t xml:space="preserve"> </w:t>
      </w:r>
      <w:r>
        <w:t>objetivo</w:t>
      </w:r>
      <w:r>
        <w:rPr>
          <w:spacing w:val="31"/>
        </w:rPr>
        <w:t xml:space="preserve"> </w:t>
      </w:r>
      <w:r>
        <w:t>militar</w:t>
      </w:r>
      <w:r>
        <w:rPr>
          <w:spacing w:val="30"/>
        </w:rPr>
        <w:t xml:space="preserve"> </w:t>
      </w:r>
      <w:r>
        <w:t>para</w:t>
      </w:r>
      <w:r>
        <w:rPr>
          <w:spacing w:val="30"/>
        </w:rPr>
        <w:t xml:space="preserve"> </w:t>
      </w:r>
      <w:r>
        <w:t>las</w:t>
      </w:r>
      <w:r>
        <w:rPr>
          <w:spacing w:val="30"/>
        </w:rPr>
        <w:t xml:space="preserve"> </w:t>
      </w:r>
      <w:r>
        <w:t>FARC-EP,</w:t>
      </w:r>
      <w:r>
        <w:rPr>
          <w:spacing w:val="30"/>
        </w:rPr>
        <w:t xml:space="preserve"> </w:t>
      </w:r>
      <w:r>
        <w:t>el</w:t>
      </w:r>
      <w:r>
        <w:rPr>
          <w:spacing w:val="31"/>
        </w:rPr>
        <w:t xml:space="preserve"> </w:t>
      </w:r>
      <w:r>
        <w:t>ataque</w:t>
      </w:r>
      <w:r>
        <w:rPr>
          <w:spacing w:val="30"/>
        </w:rPr>
        <w:t xml:space="preserve"> </w:t>
      </w:r>
      <w:r>
        <w:t>con</w:t>
      </w:r>
      <w:r>
        <w:rPr>
          <w:spacing w:val="30"/>
        </w:rPr>
        <w:t xml:space="preserve"> </w:t>
      </w:r>
      <w:r>
        <w:t>un</w:t>
      </w:r>
      <w:r>
        <w:rPr>
          <w:spacing w:val="30"/>
        </w:rPr>
        <w:t xml:space="preserve"> </w:t>
      </w:r>
      <w:r>
        <w:rPr>
          <w:spacing w:val="-2"/>
        </w:rPr>
        <w:t>carro-</w:t>
      </w:r>
      <w:r>
        <w:t>bomba causó la muerte de 36 personas y más de 100 heridos, muchos de ellos de extrema gravedad, y representó simbólicamente un ataque al sentido de seguridad colectivo en la capital del país, y no solo de las élites que ahí se reunían. Otras acciones indiscriminadas realizadas por la guerrilla fueron: atentados con animales como portadores de explosivos, carros-bomba</w:t>
      </w:r>
      <w:r>
        <w:rPr>
          <w:spacing w:val="-3"/>
        </w:rPr>
        <w:t xml:space="preserve"> </w:t>
      </w:r>
      <w:r>
        <w:t>en</w:t>
      </w:r>
      <w:r>
        <w:rPr>
          <w:spacing w:val="-4"/>
        </w:rPr>
        <w:t xml:space="preserve"> </w:t>
      </w:r>
      <w:r>
        <w:t>lugares</w:t>
      </w:r>
      <w:r>
        <w:rPr>
          <w:spacing w:val="-5"/>
        </w:rPr>
        <w:t xml:space="preserve"> </w:t>
      </w:r>
      <w:r>
        <w:t>de</w:t>
      </w:r>
      <w:r>
        <w:rPr>
          <w:spacing w:val="-3"/>
        </w:rPr>
        <w:t xml:space="preserve"> </w:t>
      </w:r>
      <w:r>
        <w:t>paso</w:t>
      </w:r>
      <w:r>
        <w:rPr>
          <w:spacing w:val="-4"/>
        </w:rPr>
        <w:t xml:space="preserve"> </w:t>
      </w:r>
      <w:r>
        <w:t>o</w:t>
      </w:r>
      <w:r>
        <w:rPr>
          <w:spacing w:val="-4"/>
        </w:rPr>
        <w:t xml:space="preserve"> </w:t>
      </w:r>
      <w:r>
        <w:t>de</w:t>
      </w:r>
      <w:r>
        <w:rPr>
          <w:spacing w:val="-5"/>
        </w:rPr>
        <w:t xml:space="preserve"> </w:t>
      </w:r>
      <w:r>
        <w:t>vivienda</w:t>
      </w:r>
      <w:r>
        <w:rPr>
          <w:spacing w:val="-3"/>
        </w:rPr>
        <w:t xml:space="preserve"> </w:t>
      </w:r>
      <w:r>
        <w:t>de</w:t>
      </w:r>
      <w:r>
        <w:rPr>
          <w:spacing w:val="-5"/>
        </w:rPr>
        <w:t xml:space="preserve"> </w:t>
      </w:r>
      <w:r>
        <w:t>la</w:t>
      </w:r>
      <w:r>
        <w:rPr>
          <w:spacing w:val="-3"/>
        </w:rPr>
        <w:t xml:space="preserve"> </w:t>
      </w:r>
      <w:r>
        <w:t>población</w:t>
      </w:r>
      <w:r>
        <w:rPr>
          <w:spacing w:val="-4"/>
        </w:rPr>
        <w:t xml:space="preserve"> </w:t>
      </w:r>
      <w:r>
        <w:t>civil</w:t>
      </w:r>
      <w:r>
        <w:rPr>
          <w:spacing w:val="-3"/>
        </w:rPr>
        <w:t xml:space="preserve"> </w:t>
      </w:r>
      <w:r>
        <w:t>y</w:t>
      </w:r>
      <w:r>
        <w:rPr>
          <w:spacing w:val="-4"/>
        </w:rPr>
        <w:t xml:space="preserve"> </w:t>
      </w:r>
      <w:r>
        <w:t>ataques</w:t>
      </w:r>
      <w:r>
        <w:rPr>
          <w:spacing w:val="-3"/>
        </w:rPr>
        <w:t xml:space="preserve"> </w:t>
      </w:r>
      <w:r>
        <w:t>con</w:t>
      </w:r>
      <w:r>
        <w:rPr>
          <w:spacing w:val="-4"/>
        </w:rPr>
        <w:t xml:space="preserve"> </w:t>
      </w:r>
      <w:r>
        <w:t>cilindros- bomba contra instalaciones militares o policiales, situadas en medio de pueblos o ciudades.</w:t>
      </w:r>
    </w:p>
    <w:p w:rsidR="003804AC" w:rsidRDefault="00AF18A5" w:rsidP="003B2C1A">
      <w:r>
        <w:t>Todas esas formas de llevar y extender la guerra generaron muchas víctimas civiles y supusieron un desprecio por la población civil. Simplemente, la capacidad de hacer daño o la visión del otro como un enemigo a eliminar pasaron por encima de cualquier consideración. Un pescador sobreviviente de la toma de Simití, Bolívar, perpetrada por el ELN en 1999, relató así ese impacto:</w:t>
      </w:r>
    </w:p>
    <w:p w:rsidR="003804AC" w:rsidRDefault="00AF18A5" w:rsidP="003B2C1A">
      <w:r>
        <w:t>«Las dos tomas guerrilleras que se dieron en el municipio de Simití a cargo del Ejército de Liberación Nacional, ELN, afectaron duramente a mi familia, la afectaron psicológicamente. Yo era un pescador que me encontraba en la ciénaga, nos tocó salir huyendo porque desafortunadamente los bombazos, las ráfagas, y todo se escuchaba clarito en</w:t>
      </w:r>
      <w:r>
        <w:rPr>
          <w:spacing w:val="-15"/>
        </w:rPr>
        <w:t xml:space="preserve"> </w:t>
      </w:r>
      <w:r>
        <w:t>el</w:t>
      </w:r>
      <w:r>
        <w:rPr>
          <w:spacing w:val="-15"/>
        </w:rPr>
        <w:t xml:space="preserve"> </w:t>
      </w:r>
      <w:r>
        <w:t>gran</w:t>
      </w:r>
      <w:r>
        <w:rPr>
          <w:spacing w:val="-15"/>
        </w:rPr>
        <w:t xml:space="preserve"> </w:t>
      </w:r>
      <w:r>
        <w:t>complejo</w:t>
      </w:r>
      <w:r>
        <w:rPr>
          <w:spacing w:val="-15"/>
        </w:rPr>
        <w:t xml:space="preserve"> </w:t>
      </w:r>
      <w:r>
        <w:t>cenagoso</w:t>
      </w:r>
      <w:r>
        <w:rPr>
          <w:spacing w:val="-15"/>
        </w:rPr>
        <w:t xml:space="preserve"> </w:t>
      </w:r>
      <w:r>
        <w:t>que</w:t>
      </w:r>
      <w:r>
        <w:rPr>
          <w:spacing w:val="-15"/>
        </w:rPr>
        <w:t xml:space="preserve"> </w:t>
      </w:r>
      <w:r>
        <w:t>tenemos.</w:t>
      </w:r>
      <w:r>
        <w:rPr>
          <w:spacing w:val="-15"/>
        </w:rPr>
        <w:t xml:space="preserve"> </w:t>
      </w:r>
      <w:r>
        <w:t>Nos</w:t>
      </w:r>
      <w:r>
        <w:rPr>
          <w:spacing w:val="-15"/>
        </w:rPr>
        <w:t xml:space="preserve"> </w:t>
      </w:r>
      <w:r>
        <w:t>tocó</w:t>
      </w:r>
      <w:r>
        <w:rPr>
          <w:spacing w:val="-15"/>
        </w:rPr>
        <w:t xml:space="preserve"> </w:t>
      </w:r>
      <w:r>
        <w:t>refugiarnos</w:t>
      </w:r>
      <w:r>
        <w:rPr>
          <w:spacing w:val="-15"/>
        </w:rPr>
        <w:t xml:space="preserve"> </w:t>
      </w:r>
      <w:r>
        <w:t>en</w:t>
      </w:r>
      <w:r>
        <w:rPr>
          <w:spacing w:val="-15"/>
        </w:rPr>
        <w:t xml:space="preserve"> </w:t>
      </w:r>
      <w:r>
        <w:t>fincas</w:t>
      </w:r>
      <w:r>
        <w:rPr>
          <w:spacing w:val="-15"/>
        </w:rPr>
        <w:t xml:space="preserve"> </w:t>
      </w:r>
      <w:r>
        <w:t>aledañas</w:t>
      </w:r>
      <w:r>
        <w:rPr>
          <w:spacing w:val="-15"/>
        </w:rPr>
        <w:t xml:space="preserve"> </w:t>
      </w:r>
      <w:r>
        <w:t>y</w:t>
      </w:r>
      <w:r>
        <w:rPr>
          <w:spacing w:val="-15"/>
        </w:rPr>
        <w:t xml:space="preserve"> </w:t>
      </w:r>
      <w:r>
        <w:t>todavía no encontramos la reparación sobre estas dos tomas guerrilleras»</w:t>
      </w:r>
      <w:r w:rsidR="003B2C1A">
        <w:rPr>
          <w:rStyle w:val="Refdenotaalpie"/>
        </w:rPr>
        <w:footnoteReference w:id="224"/>
      </w:r>
      <w:r>
        <w:t>.</w:t>
      </w:r>
    </w:p>
    <w:p w:rsidR="003804AC" w:rsidRDefault="00AF18A5" w:rsidP="003B2C1A">
      <w:r>
        <w:lastRenderedPageBreak/>
        <w:t>El</w:t>
      </w:r>
      <w:r>
        <w:rPr>
          <w:spacing w:val="-2"/>
        </w:rPr>
        <w:t xml:space="preserve"> </w:t>
      </w:r>
      <w:r>
        <w:t>uso</w:t>
      </w:r>
      <w:r>
        <w:rPr>
          <w:spacing w:val="-2"/>
        </w:rPr>
        <w:t xml:space="preserve"> </w:t>
      </w:r>
      <w:r>
        <w:t>de</w:t>
      </w:r>
      <w:r>
        <w:rPr>
          <w:spacing w:val="-3"/>
        </w:rPr>
        <w:t xml:space="preserve"> </w:t>
      </w:r>
      <w:r>
        <w:t>explosivos</w:t>
      </w:r>
      <w:r>
        <w:rPr>
          <w:spacing w:val="-3"/>
        </w:rPr>
        <w:t xml:space="preserve"> </w:t>
      </w:r>
      <w:r>
        <w:t>improvisados</w:t>
      </w:r>
      <w:r>
        <w:rPr>
          <w:spacing w:val="-3"/>
        </w:rPr>
        <w:t xml:space="preserve"> </w:t>
      </w:r>
      <w:r>
        <w:t>jugó</w:t>
      </w:r>
      <w:r>
        <w:rPr>
          <w:spacing w:val="-2"/>
        </w:rPr>
        <w:t xml:space="preserve"> </w:t>
      </w:r>
      <w:r>
        <w:t>un</w:t>
      </w:r>
      <w:r>
        <w:rPr>
          <w:spacing w:val="-2"/>
        </w:rPr>
        <w:t xml:space="preserve"> </w:t>
      </w:r>
      <w:r>
        <w:t>papel</w:t>
      </w:r>
      <w:r>
        <w:rPr>
          <w:spacing w:val="-2"/>
        </w:rPr>
        <w:t xml:space="preserve"> </w:t>
      </w:r>
      <w:r>
        <w:t>determinante</w:t>
      </w:r>
      <w:r>
        <w:rPr>
          <w:spacing w:val="-2"/>
        </w:rPr>
        <w:t xml:space="preserve"> </w:t>
      </w:r>
      <w:r>
        <w:t>en</w:t>
      </w:r>
      <w:r>
        <w:rPr>
          <w:spacing w:val="-3"/>
        </w:rPr>
        <w:t xml:space="preserve"> </w:t>
      </w:r>
      <w:r>
        <w:t>la</w:t>
      </w:r>
      <w:r>
        <w:rPr>
          <w:spacing w:val="-3"/>
        </w:rPr>
        <w:t xml:space="preserve"> </w:t>
      </w:r>
      <w:r>
        <w:t>estrategia</w:t>
      </w:r>
      <w:r>
        <w:rPr>
          <w:spacing w:val="-3"/>
        </w:rPr>
        <w:t xml:space="preserve"> </w:t>
      </w:r>
      <w:r>
        <w:t>de</w:t>
      </w:r>
      <w:r>
        <w:rPr>
          <w:spacing w:val="-3"/>
        </w:rPr>
        <w:t xml:space="preserve"> </w:t>
      </w:r>
      <w:r>
        <w:t>ataque. Muchas tomas guerrilleras se dieron con el uso de los cilindros-bomba y otras armas construidas de forma artesanal como granadas de mortero, cohetes e incluso minas antipersona. Debido a sus características –imprecisión, volatilidad, inestabilidad–, estas armas no convencionales no solamente afectaron las estaciones de Policía, sino también viviendas y otros bienes protegidos como escuelas, centros de salud e iglesias. El caso de Caldono, Cauca, ilustra esta situación respecto a las tomas:</w:t>
      </w:r>
    </w:p>
    <w:p w:rsidR="003804AC" w:rsidRDefault="00AF18A5" w:rsidP="003B2C1A">
      <w:r>
        <w:t>«Entre</w:t>
      </w:r>
      <w:r>
        <w:rPr>
          <w:spacing w:val="-9"/>
        </w:rPr>
        <w:t xml:space="preserve"> </w:t>
      </w:r>
      <w:r>
        <w:t>el</w:t>
      </w:r>
      <w:r>
        <w:rPr>
          <w:spacing w:val="-8"/>
        </w:rPr>
        <w:t xml:space="preserve"> </w:t>
      </w:r>
      <w:r>
        <w:t>97</w:t>
      </w:r>
      <w:r>
        <w:rPr>
          <w:spacing w:val="-11"/>
        </w:rPr>
        <w:t xml:space="preserve"> </w:t>
      </w:r>
      <w:r>
        <w:t>y</w:t>
      </w:r>
      <w:r>
        <w:rPr>
          <w:spacing w:val="-8"/>
        </w:rPr>
        <w:t xml:space="preserve"> </w:t>
      </w:r>
      <w:r>
        <w:t>el</w:t>
      </w:r>
      <w:r>
        <w:rPr>
          <w:spacing w:val="-8"/>
        </w:rPr>
        <w:t xml:space="preserve"> </w:t>
      </w:r>
      <w:r>
        <w:t>99</w:t>
      </w:r>
      <w:r>
        <w:rPr>
          <w:spacing w:val="-10"/>
        </w:rPr>
        <w:t xml:space="preserve"> </w:t>
      </w:r>
      <w:r>
        <w:t>hubo</w:t>
      </w:r>
      <w:r>
        <w:rPr>
          <w:spacing w:val="-10"/>
        </w:rPr>
        <w:t xml:space="preserve"> </w:t>
      </w:r>
      <w:r>
        <w:t>unas</w:t>
      </w:r>
      <w:r>
        <w:rPr>
          <w:spacing w:val="-8"/>
        </w:rPr>
        <w:t xml:space="preserve"> </w:t>
      </w:r>
      <w:r>
        <w:t>cuentas</w:t>
      </w:r>
      <w:r>
        <w:rPr>
          <w:spacing w:val="-9"/>
        </w:rPr>
        <w:t xml:space="preserve"> </w:t>
      </w:r>
      <w:r>
        <w:t>que,</w:t>
      </w:r>
      <w:r>
        <w:rPr>
          <w:spacing w:val="-8"/>
        </w:rPr>
        <w:t xml:space="preserve"> </w:t>
      </w:r>
      <w:r>
        <w:t>si</w:t>
      </w:r>
      <w:r>
        <w:rPr>
          <w:spacing w:val="-8"/>
        </w:rPr>
        <w:t xml:space="preserve"> </w:t>
      </w:r>
      <w:r>
        <w:t>me</w:t>
      </w:r>
      <w:r>
        <w:rPr>
          <w:spacing w:val="-8"/>
        </w:rPr>
        <w:t xml:space="preserve"> </w:t>
      </w:r>
      <w:r>
        <w:t>agarro</w:t>
      </w:r>
      <w:r>
        <w:rPr>
          <w:spacing w:val="-10"/>
        </w:rPr>
        <w:t xml:space="preserve"> </w:t>
      </w:r>
      <w:r>
        <w:t>a</w:t>
      </w:r>
      <w:r>
        <w:rPr>
          <w:spacing w:val="-8"/>
        </w:rPr>
        <w:t xml:space="preserve"> </w:t>
      </w:r>
      <w:r>
        <w:t>enumerarlas,</w:t>
      </w:r>
      <w:r>
        <w:rPr>
          <w:spacing w:val="-8"/>
        </w:rPr>
        <w:t xml:space="preserve"> </w:t>
      </w:r>
      <w:r>
        <w:t>no</w:t>
      </w:r>
      <w:r>
        <w:rPr>
          <w:spacing w:val="-10"/>
        </w:rPr>
        <w:t xml:space="preserve"> </w:t>
      </w:r>
      <w:r>
        <w:t>acabamos</w:t>
      </w:r>
      <w:r>
        <w:rPr>
          <w:spacing w:val="-8"/>
        </w:rPr>
        <w:t xml:space="preserve"> </w:t>
      </w:r>
      <w:r>
        <w:t>hoy. Pero</w:t>
      </w:r>
      <w:r>
        <w:rPr>
          <w:spacing w:val="12"/>
        </w:rPr>
        <w:t xml:space="preserve"> </w:t>
      </w:r>
      <w:r>
        <w:t>duele</w:t>
      </w:r>
      <w:r>
        <w:rPr>
          <w:spacing w:val="15"/>
        </w:rPr>
        <w:t xml:space="preserve"> </w:t>
      </w:r>
      <w:r>
        <w:t>porque</w:t>
      </w:r>
      <w:r>
        <w:rPr>
          <w:spacing w:val="14"/>
        </w:rPr>
        <w:t xml:space="preserve"> </w:t>
      </w:r>
      <w:r>
        <w:t>este</w:t>
      </w:r>
      <w:r>
        <w:rPr>
          <w:spacing w:val="14"/>
        </w:rPr>
        <w:t xml:space="preserve"> </w:t>
      </w:r>
      <w:r>
        <w:t>barrio,</w:t>
      </w:r>
      <w:r>
        <w:rPr>
          <w:spacing w:val="15"/>
        </w:rPr>
        <w:t xml:space="preserve"> </w:t>
      </w:r>
      <w:r>
        <w:t>que</w:t>
      </w:r>
      <w:r>
        <w:rPr>
          <w:spacing w:val="13"/>
        </w:rPr>
        <w:t xml:space="preserve"> </w:t>
      </w:r>
      <w:r>
        <w:t>es</w:t>
      </w:r>
      <w:r>
        <w:rPr>
          <w:spacing w:val="15"/>
        </w:rPr>
        <w:t xml:space="preserve"> </w:t>
      </w:r>
      <w:r>
        <w:t>el</w:t>
      </w:r>
      <w:r>
        <w:rPr>
          <w:spacing w:val="16"/>
        </w:rPr>
        <w:t xml:space="preserve"> </w:t>
      </w:r>
      <w:r>
        <w:t>barrio</w:t>
      </w:r>
      <w:r>
        <w:rPr>
          <w:spacing w:val="14"/>
        </w:rPr>
        <w:t xml:space="preserve"> </w:t>
      </w:r>
      <w:r>
        <w:t>El</w:t>
      </w:r>
      <w:r>
        <w:rPr>
          <w:spacing w:val="16"/>
        </w:rPr>
        <w:t xml:space="preserve"> </w:t>
      </w:r>
      <w:r>
        <w:t>Jardín</w:t>
      </w:r>
      <w:r>
        <w:rPr>
          <w:spacing w:val="15"/>
        </w:rPr>
        <w:t xml:space="preserve"> </w:t>
      </w:r>
      <w:r>
        <w:t>y</w:t>
      </w:r>
      <w:r>
        <w:rPr>
          <w:spacing w:val="14"/>
        </w:rPr>
        <w:t xml:space="preserve"> </w:t>
      </w:r>
      <w:r>
        <w:t>el</w:t>
      </w:r>
      <w:r>
        <w:rPr>
          <w:spacing w:val="16"/>
        </w:rPr>
        <w:t xml:space="preserve"> </w:t>
      </w:r>
      <w:r>
        <w:t>barrio</w:t>
      </w:r>
      <w:r>
        <w:rPr>
          <w:spacing w:val="15"/>
        </w:rPr>
        <w:t xml:space="preserve"> </w:t>
      </w:r>
      <w:r>
        <w:t>de</w:t>
      </w:r>
      <w:r>
        <w:rPr>
          <w:spacing w:val="14"/>
        </w:rPr>
        <w:t xml:space="preserve"> </w:t>
      </w:r>
      <w:r>
        <w:t>La</w:t>
      </w:r>
      <w:r>
        <w:rPr>
          <w:spacing w:val="15"/>
        </w:rPr>
        <w:t xml:space="preserve"> </w:t>
      </w:r>
      <w:r>
        <w:t>Plaza,</w:t>
      </w:r>
      <w:r>
        <w:rPr>
          <w:spacing w:val="15"/>
        </w:rPr>
        <w:t xml:space="preserve"> </w:t>
      </w:r>
      <w:r>
        <w:rPr>
          <w:spacing w:val="-2"/>
        </w:rPr>
        <w:t>quedaron</w:t>
      </w:r>
      <w:bookmarkStart w:id="351" w:name="_bookmark263"/>
      <w:bookmarkEnd w:id="351"/>
      <w:r w:rsidR="003B2C1A">
        <w:t xml:space="preserve"> </w:t>
      </w:r>
      <w:r>
        <w:t>casi</w:t>
      </w:r>
      <w:r>
        <w:rPr>
          <w:spacing w:val="-15"/>
        </w:rPr>
        <w:t xml:space="preserve"> </w:t>
      </w:r>
      <w:r>
        <w:t>destruidos.</w:t>
      </w:r>
      <w:r>
        <w:rPr>
          <w:spacing w:val="-15"/>
        </w:rPr>
        <w:t xml:space="preserve"> </w:t>
      </w:r>
      <w:r>
        <w:t>No</w:t>
      </w:r>
      <w:r>
        <w:rPr>
          <w:spacing w:val="-15"/>
        </w:rPr>
        <w:t xml:space="preserve"> </w:t>
      </w:r>
      <w:r>
        <w:t>solamente</w:t>
      </w:r>
      <w:r>
        <w:rPr>
          <w:spacing w:val="-15"/>
        </w:rPr>
        <w:t xml:space="preserve"> </w:t>
      </w:r>
      <w:r>
        <w:t>tumbaron</w:t>
      </w:r>
      <w:r>
        <w:rPr>
          <w:spacing w:val="-15"/>
        </w:rPr>
        <w:t xml:space="preserve"> </w:t>
      </w:r>
      <w:r>
        <w:t>la</w:t>
      </w:r>
      <w:r>
        <w:rPr>
          <w:spacing w:val="-15"/>
        </w:rPr>
        <w:t xml:space="preserve"> </w:t>
      </w:r>
      <w:r>
        <w:t>escuela,</w:t>
      </w:r>
      <w:r>
        <w:rPr>
          <w:spacing w:val="-15"/>
        </w:rPr>
        <w:t xml:space="preserve"> </w:t>
      </w:r>
      <w:r>
        <w:t>sino</w:t>
      </w:r>
      <w:r>
        <w:rPr>
          <w:spacing w:val="-15"/>
        </w:rPr>
        <w:t xml:space="preserve"> </w:t>
      </w:r>
      <w:r>
        <w:t>todas</w:t>
      </w:r>
      <w:r>
        <w:rPr>
          <w:spacing w:val="-15"/>
        </w:rPr>
        <w:t xml:space="preserve"> </w:t>
      </w:r>
      <w:r>
        <w:t>las</w:t>
      </w:r>
      <w:r>
        <w:rPr>
          <w:spacing w:val="-15"/>
        </w:rPr>
        <w:t xml:space="preserve"> </w:t>
      </w:r>
      <w:r>
        <w:t>viviendas</w:t>
      </w:r>
      <w:r>
        <w:rPr>
          <w:spacing w:val="-15"/>
        </w:rPr>
        <w:t xml:space="preserve"> </w:t>
      </w:r>
      <w:r>
        <w:t>que</w:t>
      </w:r>
      <w:r>
        <w:rPr>
          <w:spacing w:val="-15"/>
        </w:rPr>
        <w:t xml:space="preserve"> </w:t>
      </w:r>
      <w:r>
        <w:t>había,</w:t>
      </w:r>
      <w:r>
        <w:rPr>
          <w:spacing w:val="-15"/>
        </w:rPr>
        <w:t xml:space="preserve"> </w:t>
      </w:r>
      <w:r>
        <w:t>porque los cilindros eran de cuarenta libras o de cien libras. Cuando caía un cilindro de cuarenta libras, tumbaba veinte casas»</w:t>
      </w:r>
      <w:r w:rsidR="003B2C1A">
        <w:rPr>
          <w:rStyle w:val="Refdenotaalpie"/>
        </w:rPr>
        <w:footnoteReference w:id="225"/>
      </w:r>
      <w:r>
        <w:t>.</w:t>
      </w:r>
    </w:p>
    <w:p w:rsidR="003804AC" w:rsidRDefault="00AF18A5" w:rsidP="003B2C1A">
      <w:r>
        <w:t>Asimismo, el uso de minas antipersona por parte de la guerrilla como forma de defensa de sus</w:t>
      </w:r>
      <w:r>
        <w:rPr>
          <w:spacing w:val="-1"/>
        </w:rPr>
        <w:t xml:space="preserve"> </w:t>
      </w:r>
      <w:r>
        <w:t>territorios o</w:t>
      </w:r>
      <w:r>
        <w:rPr>
          <w:spacing w:val="-1"/>
        </w:rPr>
        <w:t xml:space="preserve"> </w:t>
      </w:r>
      <w:r>
        <w:t>campamentos produjo muchas víctimas</w:t>
      </w:r>
      <w:r>
        <w:rPr>
          <w:spacing w:val="-2"/>
        </w:rPr>
        <w:t xml:space="preserve"> </w:t>
      </w:r>
      <w:r>
        <w:t>civiles,</w:t>
      </w:r>
      <w:r>
        <w:rPr>
          <w:spacing w:val="-1"/>
        </w:rPr>
        <w:t xml:space="preserve"> </w:t>
      </w:r>
      <w:r>
        <w:t>así</w:t>
      </w:r>
      <w:r>
        <w:rPr>
          <w:spacing w:val="-1"/>
        </w:rPr>
        <w:t xml:space="preserve"> </w:t>
      </w:r>
      <w:r>
        <w:t>como la extensión de la amenaza a los territorios de vida de las comunidades. Igualmente, produjo numerosas víctimas entre las Fuerzas Militares, la mayor parte de ellas soldados que vieron amputadas sus</w:t>
      </w:r>
      <w:r>
        <w:rPr>
          <w:spacing w:val="-2"/>
        </w:rPr>
        <w:t xml:space="preserve"> </w:t>
      </w:r>
      <w:r>
        <w:t>vidas</w:t>
      </w:r>
      <w:r>
        <w:rPr>
          <w:spacing w:val="-2"/>
        </w:rPr>
        <w:t xml:space="preserve"> </w:t>
      </w:r>
      <w:r>
        <w:t>y</w:t>
      </w:r>
      <w:r>
        <w:rPr>
          <w:spacing w:val="-3"/>
        </w:rPr>
        <w:t xml:space="preserve"> </w:t>
      </w:r>
      <w:r>
        <w:t>sufrieron</w:t>
      </w:r>
      <w:r>
        <w:rPr>
          <w:spacing w:val="-2"/>
        </w:rPr>
        <w:t xml:space="preserve"> </w:t>
      </w:r>
      <w:r>
        <w:t>numerosos</w:t>
      </w:r>
      <w:r>
        <w:rPr>
          <w:spacing w:val="-3"/>
        </w:rPr>
        <w:t xml:space="preserve"> </w:t>
      </w:r>
      <w:r>
        <w:t>problemas</w:t>
      </w:r>
      <w:r>
        <w:rPr>
          <w:spacing w:val="-2"/>
        </w:rPr>
        <w:t xml:space="preserve"> </w:t>
      </w:r>
      <w:r>
        <w:t>de</w:t>
      </w:r>
      <w:r>
        <w:rPr>
          <w:spacing w:val="-2"/>
        </w:rPr>
        <w:t xml:space="preserve"> </w:t>
      </w:r>
      <w:r>
        <w:t>salud,</w:t>
      </w:r>
      <w:r>
        <w:rPr>
          <w:spacing w:val="-2"/>
        </w:rPr>
        <w:t xml:space="preserve"> </w:t>
      </w:r>
      <w:r>
        <w:t>adaptación</w:t>
      </w:r>
      <w:r>
        <w:rPr>
          <w:spacing w:val="-2"/>
        </w:rPr>
        <w:t xml:space="preserve"> </w:t>
      </w:r>
      <w:r>
        <w:t>y</w:t>
      </w:r>
      <w:r>
        <w:rPr>
          <w:spacing w:val="-2"/>
        </w:rPr>
        <w:t xml:space="preserve"> </w:t>
      </w:r>
      <w:r>
        <w:t>las</w:t>
      </w:r>
      <w:r>
        <w:rPr>
          <w:spacing w:val="-2"/>
        </w:rPr>
        <w:t xml:space="preserve"> </w:t>
      </w:r>
      <w:r>
        <w:t>consecuencias</w:t>
      </w:r>
      <w:r>
        <w:rPr>
          <w:spacing w:val="-3"/>
        </w:rPr>
        <w:t xml:space="preserve"> </w:t>
      </w:r>
      <w:r>
        <w:t>de</w:t>
      </w:r>
      <w:r>
        <w:rPr>
          <w:spacing w:val="-2"/>
        </w:rPr>
        <w:t xml:space="preserve"> </w:t>
      </w:r>
      <w:r>
        <w:t>esto sobre sus familias. De 12.170 víctimas de minas de las que existe registro, 20</w:t>
      </w:r>
      <w:r>
        <w:rPr>
          <w:spacing w:val="-2"/>
        </w:rPr>
        <w:t xml:space="preserve"> </w:t>
      </w:r>
      <w:r>
        <w:t>% resultaron muertas y 80</w:t>
      </w:r>
      <w:r>
        <w:rPr>
          <w:spacing w:val="-2"/>
        </w:rPr>
        <w:t xml:space="preserve"> </w:t>
      </w:r>
      <w:r>
        <w:t>% heridas. Y del conjunto de las víctimas, 60</w:t>
      </w:r>
      <w:r>
        <w:rPr>
          <w:spacing w:val="-2"/>
        </w:rPr>
        <w:t xml:space="preserve"> </w:t>
      </w:r>
      <w:r>
        <w:t>% fueron militares y un 40</w:t>
      </w:r>
      <w:r>
        <w:rPr>
          <w:spacing w:val="-1"/>
        </w:rPr>
        <w:t xml:space="preserve"> </w:t>
      </w:r>
      <w:r>
        <w:t xml:space="preserve">% </w:t>
      </w:r>
      <w:r>
        <w:rPr>
          <w:spacing w:val="-2"/>
        </w:rPr>
        <w:t>civiles.</w:t>
      </w:r>
    </w:p>
    <w:p w:rsidR="0011361F" w:rsidRDefault="00AF18A5" w:rsidP="004A6EF4">
      <w:pPr>
        <w:pStyle w:val="Ttulo4"/>
        <w:numPr>
          <w:ilvl w:val="2"/>
          <w:numId w:val="16"/>
        </w:numPr>
      </w:pPr>
      <w:bookmarkStart w:id="352" w:name="4.3.3._Reclutamiento_forzado_de_menores"/>
      <w:bookmarkEnd w:id="352"/>
      <w:r>
        <w:t>Reclutamiento</w:t>
      </w:r>
      <w:r>
        <w:rPr>
          <w:spacing w:val="-3"/>
        </w:rPr>
        <w:t xml:space="preserve"> </w:t>
      </w:r>
      <w:r w:rsidRPr="004B74A4">
        <w:t>forzado</w:t>
      </w:r>
      <w:r>
        <w:rPr>
          <w:spacing w:val="-3"/>
        </w:rPr>
        <w:t xml:space="preserve"> </w:t>
      </w:r>
      <w:r>
        <w:t>de</w:t>
      </w:r>
      <w:r>
        <w:rPr>
          <w:spacing w:val="-2"/>
        </w:rPr>
        <w:t xml:space="preserve"> menores</w:t>
      </w:r>
    </w:p>
    <w:p w:rsidR="003804AC" w:rsidRDefault="00AF18A5" w:rsidP="004B74A4">
      <w:r>
        <w:lastRenderedPageBreak/>
        <w:t>Otro elemento de creciente impacto en la población civil fue el reclutamiento de menores. La Sala de Reconocimiento de Verdad, de Responsabilidad y de Determinación de los Hechos y Conductas (SRVR) de la Jurisdicción Especial para la Paz (JEP), que estudia el caso</w:t>
      </w:r>
      <w:r>
        <w:rPr>
          <w:spacing w:val="-6"/>
        </w:rPr>
        <w:t xml:space="preserve"> </w:t>
      </w:r>
      <w:r>
        <w:t>007,</w:t>
      </w:r>
      <w:r>
        <w:rPr>
          <w:spacing w:val="-6"/>
        </w:rPr>
        <w:t xml:space="preserve"> </w:t>
      </w:r>
      <w:r>
        <w:t>«Reclutamiento</w:t>
      </w:r>
      <w:r>
        <w:rPr>
          <w:spacing w:val="-6"/>
        </w:rPr>
        <w:t xml:space="preserve"> </w:t>
      </w:r>
      <w:r>
        <w:t>y</w:t>
      </w:r>
      <w:r>
        <w:rPr>
          <w:spacing w:val="-7"/>
        </w:rPr>
        <w:t xml:space="preserve"> </w:t>
      </w:r>
      <w:r>
        <w:t>utilización</w:t>
      </w:r>
      <w:r>
        <w:rPr>
          <w:spacing w:val="-6"/>
        </w:rPr>
        <w:t xml:space="preserve"> </w:t>
      </w:r>
      <w:r>
        <w:t>de</w:t>
      </w:r>
      <w:r>
        <w:rPr>
          <w:spacing w:val="-6"/>
        </w:rPr>
        <w:t xml:space="preserve"> </w:t>
      </w:r>
      <w:r>
        <w:t>niñas</w:t>
      </w:r>
      <w:r>
        <w:rPr>
          <w:spacing w:val="-8"/>
        </w:rPr>
        <w:t xml:space="preserve"> </w:t>
      </w:r>
      <w:r>
        <w:t>y</w:t>
      </w:r>
      <w:r>
        <w:rPr>
          <w:spacing w:val="-6"/>
        </w:rPr>
        <w:t xml:space="preserve"> </w:t>
      </w:r>
      <w:r>
        <w:t>niños</w:t>
      </w:r>
      <w:r>
        <w:rPr>
          <w:spacing w:val="-6"/>
        </w:rPr>
        <w:t xml:space="preserve"> </w:t>
      </w:r>
      <w:r>
        <w:t>en</w:t>
      </w:r>
      <w:r>
        <w:rPr>
          <w:spacing w:val="-7"/>
        </w:rPr>
        <w:t xml:space="preserve"> </w:t>
      </w:r>
      <w:r>
        <w:t>el</w:t>
      </w:r>
      <w:r>
        <w:rPr>
          <w:spacing w:val="-7"/>
        </w:rPr>
        <w:t xml:space="preserve"> </w:t>
      </w:r>
      <w:r>
        <w:t>conflicto</w:t>
      </w:r>
      <w:r>
        <w:rPr>
          <w:spacing w:val="-7"/>
        </w:rPr>
        <w:t xml:space="preserve"> </w:t>
      </w:r>
      <w:r>
        <w:t>armado»,</w:t>
      </w:r>
      <w:r>
        <w:rPr>
          <w:spacing w:val="-6"/>
        </w:rPr>
        <w:t xml:space="preserve"> </w:t>
      </w:r>
      <w:r>
        <w:t>aborda</w:t>
      </w:r>
      <w:r>
        <w:rPr>
          <w:spacing w:val="-6"/>
        </w:rPr>
        <w:t xml:space="preserve"> </w:t>
      </w:r>
      <w:r>
        <w:t>este fenómeno</w:t>
      </w:r>
      <w:r>
        <w:rPr>
          <w:spacing w:val="-14"/>
        </w:rPr>
        <w:t xml:space="preserve"> </w:t>
      </w:r>
      <w:r>
        <w:t>siguiendo</w:t>
      </w:r>
      <w:r>
        <w:rPr>
          <w:spacing w:val="-14"/>
        </w:rPr>
        <w:t xml:space="preserve"> </w:t>
      </w:r>
      <w:r>
        <w:t>la</w:t>
      </w:r>
      <w:r>
        <w:rPr>
          <w:spacing w:val="-14"/>
        </w:rPr>
        <w:t xml:space="preserve"> </w:t>
      </w:r>
      <w:r>
        <w:t>Declaración</w:t>
      </w:r>
      <w:r>
        <w:rPr>
          <w:spacing w:val="-14"/>
        </w:rPr>
        <w:t xml:space="preserve"> </w:t>
      </w:r>
      <w:r>
        <w:t>de</w:t>
      </w:r>
      <w:r>
        <w:rPr>
          <w:spacing w:val="-14"/>
        </w:rPr>
        <w:t xml:space="preserve"> </w:t>
      </w:r>
      <w:r>
        <w:t>Principios</w:t>
      </w:r>
      <w:r>
        <w:rPr>
          <w:spacing w:val="-14"/>
        </w:rPr>
        <w:t xml:space="preserve"> </w:t>
      </w:r>
      <w:r>
        <w:t>de</w:t>
      </w:r>
      <w:r>
        <w:rPr>
          <w:spacing w:val="-14"/>
        </w:rPr>
        <w:t xml:space="preserve"> </w:t>
      </w:r>
      <w:r>
        <w:t>Ciudad</w:t>
      </w:r>
      <w:r>
        <w:rPr>
          <w:spacing w:val="-14"/>
        </w:rPr>
        <w:t xml:space="preserve"> </w:t>
      </w:r>
      <w:r>
        <w:t>del</w:t>
      </w:r>
      <w:r>
        <w:rPr>
          <w:spacing w:val="-14"/>
        </w:rPr>
        <w:t xml:space="preserve"> </w:t>
      </w:r>
      <w:r>
        <w:t>Cabo</w:t>
      </w:r>
      <w:r>
        <w:rPr>
          <w:spacing w:val="-14"/>
        </w:rPr>
        <w:t xml:space="preserve"> </w:t>
      </w:r>
      <w:r>
        <w:t>del</w:t>
      </w:r>
      <w:r>
        <w:rPr>
          <w:spacing w:val="-14"/>
        </w:rPr>
        <w:t xml:space="preserve"> </w:t>
      </w:r>
      <w:r>
        <w:t>30</w:t>
      </w:r>
      <w:r>
        <w:rPr>
          <w:spacing w:val="-14"/>
        </w:rPr>
        <w:t xml:space="preserve"> </w:t>
      </w:r>
      <w:r>
        <w:t>de</w:t>
      </w:r>
      <w:r>
        <w:rPr>
          <w:spacing w:val="-14"/>
        </w:rPr>
        <w:t xml:space="preserve"> </w:t>
      </w:r>
      <w:r>
        <w:t>abril</w:t>
      </w:r>
      <w:r>
        <w:rPr>
          <w:spacing w:val="-14"/>
        </w:rPr>
        <w:t xml:space="preserve"> </w:t>
      </w:r>
      <w:r>
        <w:t>de</w:t>
      </w:r>
      <w:r>
        <w:rPr>
          <w:spacing w:val="-14"/>
        </w:rPr>
        <w:t xml:space="preserve"> </w:t>
      </w:r>
      <w:r>
        <w:t>1997, que entiende por niño o niña reclutado:</w:t>
      </w:r>
    </w:p>
    <w:p w:rsidR="003804AC" w:rsidRDefault="00AF18A5" w:rsidP="004B74A4">
      <w:r>
        <w:t>[t]oda</w:t>
      </w:r>
      <w:r>
        <w:rPr>
          <w:spacing w:val="-9"/>
        </w:rPr>
        <w:t xml:space="preserve"> </w:t>
      </w:r>
      <w:r>
        <w:t>persona</w:t>
      </w:r>
      <w:r>
        <w:rPr>
          <w:spacing w:val="-9"/>
        </w:rPr>
        <w:t xml:space="preserve"> </w:t>
      </w:r>
      <w:r>
        <w:t>menor</w:t>
      </w:r>
      <w:r>
        <w:rPr>
          <w:spacing w:val="-8"/>
        </w:rPr>
        <w:t xml:space="preserve"> </w:t>
      </w:r>
      <w:r>
        <w:t>de</w:t>
      </w:r>
      <w:r>
        <w:rPr>
          <w:spacing w:val="-9"/>
        </w:rPr>
        <w:t xml:space="preserve"> </w:t>
      </w:r>
      <w:r>
        <w:t>18</w:t>
      </w:r>
      <w:r>
        <w:rPr>
          <w:spacing w:val="-8"/>
        </w:rPr>
        <w:t xml:space="preserve"> </w:t>
      </w:r>
      <w:r>
        <w:t>[años],</w:t>
      </w:r>
      <w:r>
        <w:rPr>
          <w:spacing w:val="-9"/>
        </w:rPr>
        <w:t xml:space="preserve"> </w:t>
      </w:r>
      <w:r>
        <w:t>que</w:t>
      </w:r>
      <w:r>
        <w:rPr>
          <w:spacing w:val="-10"/>
        </w:rPr>
        <w:t xml:space="preserve"> </w:t>
      </w:r>
      <w:r>
        <w:t>forma</w:t>
      </w:r>
      <w:r>
        <w:rPr>
          <w:spacing w:val="-9"/>
        </w:rPr>
        <w:t xml:space="preserve"> </w:t>
      </w:r>
      <w:r>
        <w:t>parte</w:t>
      </w:r>
      <w:r>
        <w:rPr>
          <w:spacing w:val="-9"/>
        </w:rPr>
        <w:t xml:space="preserve"> </w:t>
      </w:r>
      <w:r>
        <w:t>de</w:t>
      </w:r>
      <w:r>
        <w:rPr>
          <w:spacing w:val="-9"/>
        </w:rPr>
        <w:t xml:space="preserve"> </w:t>
      </w:r>
      <w:r>
        <w:t>cualquier</w:t>
      </w:r>
      <w:r>
        <w:rPr>
          <w:spacing w:val="-8"/>
        </w:rPr>
        <w:t xml:space="preserve"> </w:t>
      </w:r>
      <w:r>
        <w:t>tipo</w:t>
      </w:r>
      <w:r>
        <w:rPr>
          <w:spacing w:val="-9"/>
        </w:rPr>
        <w:t xml:space="preserve"> </w:t>
      </w:r>
      <w:r>
        <w:t>de</w:t>
      </w:r>
      <w:r>
        <w:rPr>
          <w:spacing w:val="-9"/>
        </w:rPr>
        <w:t xml:space="preserve"> </w:t>
      </w:r>
      <w:r>
        <w:t>fuerza</w:t>
      </w:r>
      <w:r>
        <w:rPr>
          <w:spacing w:val="-10"/>
        </w:rPr>
        <w:t xml:space="preserve"> </w:t>
      </w:r>
      <w:r>
        <w:t>o</w:t>
      </w:r>
      <w:r>
        <w:rPr>
          <w:spacing w:val="-8"/>
        </w:rPr>
        <w:t xml:space="preserve"> </w:t>
      </w:r>
      <w:r>
        <w:t>grupo</w:t>
      </w:r>
      <w:r>
        <w:rPr>
          <w:spacing w:val="-9"/>
        </w:rPr>
        <w:t xml:space="preserve"> </w:t>
      </w:r>
      <w:r>
        <w:t>armado regular</w:t>
      </w:r>
      <w:r>
        <w:rPr>
          <w:spacing w:val="-4"/>
        </w:rPr>
        <w:t xml:space="preserve"> </w:t>
      </w:r>
      <w:r>
        <w:t>o</w:t>
      </w:r>
      <w:r>
        <w:rPr>
          <w:spacing w:val="-4"/>
        </w:rPr>
        <w:t xml:space="preserve"> </w:t>
      </w:r>
      <w:r>
        <w:t>irregular</w:t>
      </w:r>
      <w:r>
        <w:rPr>
          <w:spacing w:val="-4"/>
        </w:rPr>
        <w:t xml:space="preserve"> </w:t>
      </w:r>
      <w:r>
        <w:t>en</w:t>
      </w:r>
      <w:r>
        <w:rPr>
          <w:spacing w:val="-4"/>
        </w:rPr>
        <w:t xml:space="preserve"> </w:t>
      </w:r>
      <w:r>
        <w:t>cualquier</w:t>
      </w:r>
      <w:r>
        <w:rPr>
          <w:spacing w:val="-4"/>
        </w:rPr>
        <w:t xml:space="preserve"> </w:t>
      </w:r>
      <w:r>
        <w:t>función</w:t>
      </w:r>
      <w:r>
        <w:rPr>
          <w:spacing w:val="-5"/>
        </w:rPr>
        <w:t xml:space="preserve"> </w:t>
      </w:r>
      <w:r>
        <w:t>distinta</w:t>
      </w:r>
      <w:r>
        <w:rPr>
          <w:spacing w:val="-5"/>
        </w:rPr>
        <w:t xml:space="preserve"> </w:t>
      </w:r>
      <w:r>
        <w:t>a</w:t>
      </w:r>
      <w:r>
        <w:rPr>
          <w:spacing w:val="-6"/>
        </w:rPr>
        <w:t xml:space="preserve"> </w:t>
      </w:r>
      <w:r>
        <w:t>la</w:t>
      </w:r>
      <w:r>
        <w:rPr>
          <w:spacing w:val="-5"/>
        </w:rPr>
        <w:t xml:space="preserve"> </w:t>
      </w:r>
      <w:r>
        <w:t>de</w:t>
      </w:r>
      <w:r>
        <w:rPr>
          <w:spacing w:val="-5"/>
        </w:rPr>
        <w:t xml:space="preserve"> </w:t>
      </w:r>
      <w:r>
        <w:t>ser</w:t>
      </w:r>
      <w:r>
        <w:rPr>
          <w:spacing w:val="-4"/>
        </w:rPr>
        <w:t xml:space="preserve"> </w:t>
      </w:r>
      <w:r>
        <w:t>únicamente</w:t>
      </w:r>
      <w:r>
        <w:rPr>
          <w:spacing w:val="-5"/>
        </w:rPr>
        <w:t xml:space="preserve"> </w:t>
      </w:r>
      <w:r>
        <w:t>un</w:t>
      </w:r>
      <w:r>
        <w:rPr>
          <w:spacing w:val="-5"/>
        </w:rPr>
        <w:t xml:space="preserve"> </w:t>
      </w:r>
      <w:r>
        <w:t>miembro</w:t>
      </w:r>
      <w:r>
        <w:rPr>
          <w:spacing w:val="-4"/>
        </w:rPr>
        <w:t xml:space="preserve"> </w:t>
      </w:r>
      <w:r>
        <w:t>de</w:t>
      </w:r>
      <w:r>
        <w:rPr>
          <w:spacing w:val="-5"/>
        </w:rPr>
        <w:t xml:space="preserve"> </w:t>
      </w:r>
      <w:r>
        <w:t>familia. Esto incluye a los cocineros, cargadores, mensajeros y a los que acompañen a dichos grupos, además</w:t>
      </w:r>
      <w:r>
        <w:rPr>
          <w:spacing w:val="-4"/>
        </w:rPr>
        <w:t xml:space="preserve"> </w:t>
      </w:r>
      <w:r>
        <w:t>de</w:t>
      </w:r>
      <w:r>
        <w:rPr>
          <w:spacing w:val="-4"/>
        </w:rPr>
        <w:t xml:space="preserve"> </w:t>
      </w:r>
      <w:r>
        <w:t>las</w:t>
      </w:r>
      <w:r>
        <w:rPr>
          <w:spacing w:val="-4"/>
        </w:rPr>
        <w:t xml:space="preserve"> </w:t>
      </w:r>
      <w:r>
        <w:t>niñas</w:t>
      </w:r>
      <w:r>
        <w:rPr>
          <w:spacing w:val="-4"/>
        </w:rPr>
        <w:t xml:space="preserve"> </w:t>
      </w:r>
      <w:r>
        <w:t>reclutadas</w:t>
      </w:r>
      <w:r>
        <w:rPr>
          <w:spacing w:val="-4"/>
        </w:rPr>
        <w:t xml:space="preserve"> </w:t>
      </w:r>
      <w:r>
        <w:t>para</w:t>
      </w:r>
      <w:r>
        <w:rPr>
          <w:spacing w:val="-4"/>
        </w:rPr>
        <w:t xml:space="preserve"> </w:t>
      </w:r>
      <w:r>
        <w:t>propósitos</w:t>
      </w:r>
      <w:r>
        <w:rPr>
          <w:spacing w:val="-4"/>
        </w:rPr>
        <w:t xml:space="preserve"> </w:t>
      </w:r>
      <w:r>
        <w:t>sexuales.</w:t>
      </w:r>
      <w:r>
        <w:rPr>
          <w:spacing w:val="-4"/>
        </w:rPr>
        <w:t xml:space="preserve"> </w:t>
      </w:r>
      <w:r>
        <w:t>Por</w:t>
      </w:r>
      <w:r>
        <w:rPr>
          <w:spacing w:val="-4"/>
        </w:rPr>
        <w:t xml:space="preserve"> </w:t>
      </w:r>
      <w:r>
        <w:t>tanto,</w:t>
      </w:r>
      <w:r>
        <w:rPr>
          <w:spacing w:val="-4"/>
        </w:rPr>
        <w:t xml:space="preserve"> </w:t>
      </w:r>
      <w:r>
        <w:t>no</w:t>
      </w:r>
      <w:r>
        <w:rPr>
          <w:spacing w:val="-4"/>
        </w:rPr>
        <w:t xml:space="preserve"> </w:t>
      </w:r>
      <w:r>
        <w:t>solo</w:t>
      </w:r>
      <w:r>
        <w:rPr>
          <w:spacing w:val="-4"/>
        </w:rPr>
        <w:t xml:space="preserve"> </w:t>
      </w:r>
      <w:r>
        <w:t>se</w:t>
      </w:r>
      <w:r>
        <w:rPr>
          <w:spacing w:val="-4"/>
        </w:rPr>
        <w:t xml:space="preserve"> </w:t>
      </w:r>
      <w:r>
        <w:t>refiere</w:t>
      </w:r>
      <w:r>
        <w:rPr>
          <w:spacing w:val="-4"/>
        </w:rPr>
        <w:t xml:space="preserve"> </w:t>
      </w:r>
      <w:r>
        <w:t>a</w:t>
      </w:r>
      <w:r>
        <w:rPr>
          <w:spacing w:val="-4"/>
        </w:rPr>
        <w:t xml:space="preserve"> </w:t>
      </w:r>
      <w:r>
        <w:t>un</w:t>
      </w:r>
      <w:r>
        <w:rPr>
          <w:spacing w:val="-4"/>
        </w:rPr>
        <w:t xml:space="preserve"> </w:t>
      </w:r>
      <w:r>
        <w:t>niño que está portando o ha portado armas</w:t>
      </w:r>
      <w:r w:rsidR="004B74A4">
        <w:rPr>
          <w:rStyle w:val="Refdenotaalpie"/>
        </w:rPr>
        <w:footnoteReference w:id="226"/>
      </w:r>
      <w:r>
        <w:t>.</w:t>
      </w:r>
    </w:p>
    <w:p w:rsidR="003804AC" w:rsidRDefault="00AF18A5" w:rsidP="004B74A4">
      <w:r>
        <w:t>Las FARC-EP, especialmente, pero también el ELN, pasaron a considerar el reclutamiento de menores en sus filas como una forma de fortalecimiento militar extensiva. Niños y niñas sin la capacidad de decidir por su edad y condiciones sociales, sin posibilidades de salir de la</w:t>
      </w:r>
      <w:r>
        <w:rPr>
          <w:spacing w:val="-6"/>
        </w:rPr>
        <w:t xml:space="preserve"> </w:t>
      </w:r>
      <w:r>
        <w:t>guerra,</w:t>
      </w:r>
      <w:r>
        <w:rPr>
          <w:spacing w:val="-7"/>
        </w:rPr>
        <w:t xml:space="preserve"> </w:t>
      </w:r>
      <w:r>
        <w:t>utilizando</w:t>
      </w:r>
      <w:r>
        <w:rPr>
          <w:spacing w:val="-6"/>
        </w:rPr>
        <w:t xml:space="preserve"> </w:t>
      </w:r>
      <w:r>
        <w:t>la</w:t>
      </w:r>
      <w:r>
        <w:rPr>
          <w:spacing w:val="-7"/>
        </w:rPr>
        <w:t xml:space="preserve"> </w:t>
      </w:r>
      <w:r>
        <w:t>propia</w:t>
      </w:r>
      <w:r>
        <w:rPr>
          <w:spacing w:val="-5"/>
        </w:rPr>
        <w:t xml:space="preserve"> </w:t>
      </w:r>
      <w:r>
        <w:t>desprotección</w:t>
      </w:r>
      <w:r>
        <w:rPr>
          <w:spacing w:val="-6"/>
        </w:rPr>
        <w:t xml:space="preserve"> </w:t>
      </w:r>
      <w:r>
        <w:t>del</w:t>
      </w:r>
      <w:r>
        <w:rPr>
          <w:spacing w:val="-5"/>
        </w:rPr>
        <w:t xml:space="preserve"> </w:t>
      </w:r>
      <w:r>
        <w:t>Estado</w:t>
      </w:r>
      <w:r>
        <w:rPr>
          <w:spacing w:val="-6"/>
        </w:rPr>
        <w:t xml:space="preserve"> </w:t>
      </w:r>
      <w:r>
        <w:t>como</w:t>
      </w:r>
      <w:r>
        <w:rPr>
          <w:spacing w:val="-6"/>
        </w:rPr>
        <w:t xml:space="preserve"> </w:t>
      </w:r>
      <w:r>
        <w:t>un</w:t>
      </w:r>
      <w:r>
        <w:rPr>
          <w:spacing w:val="-6"/>
        </w:rPr>
        <w:t xml:space="preserve"> </w:t>
      </w:r>
      <w:r>
        <w:t>mecanismo</w:t>
      </w:r>
      <w:r>
        <w:rPr>
          <w:spacing w:val="-5"/>
        </w:rPr>
        <w:t xml:space="preserve"> </w:t>
      </w:r>
      <w:r>
        <w:t>para</w:t>
      </w:r>
      <w:r>
        <w:rPr>
          <w:spacing w:val="-6"/>
        </w:rPr>
        <w:t xml:space="preserve"> </w:t>
      </w:r>
      <w:r>
        <w:t>facilitar</w:t>
      </w:r>
      <w:r>
        <w:rPr>
          <w:spacing w:val="-5"/>
        </w:rPr>
        <w:t xml:space="preserve"> su</w:t>
      </w:r>
      <w:bookmarkStart w:id="353" w:name="_bookmark264"/>
      <w:bookmarkStart w:id="354" w:name="_bookmark265"/>
      <w:bookmarkEnd w:id="353"/>
      <w:bookmarkEnd w:id="354"/>
      <w:r w:rsidR="004B74A4">
        <w:t xml:space="preserve"> </w:t>
      </w:r>
      <w:r>
        <w:t>reclutamiento, o estimulando la participación de menores que a su vez habían sido víctimas o habían perdido familiares a manos del Ejército o los grupos paramilitares, sin tener en cuenta</w:t>
      </w:r>
      <w:r>
        <w:rPr>
          <w:spacing w:val="-15"/>
        </w:rPr>
        <w:t xml:space="preserve"> </w:t>
      </w:r>
      <w:r>
        <w:t>los</w:t>
      </w:r>
      <w:r>
        <w:rPr>
          <w:spacing w:val="-15"/>
        </w:rPr>
        <w:t xml:space="preserve"> </w:t>
      </w:r>
      <w:r>
        <w:t>impactos</w:t>
      </w:r>
      <w:r>
        <w:rPr>
          <w:spacing w:val="-14"/>
        </w:rPr>
        <w:t xml:space="preserve"> </w:t>
      </w:r>
      <w:r>
        <w:t>que</w:t>
      </w:r>
      <w:r>
        <w:rPr>
          <w:spacing w:val="-15"/>
        </w:rPr>
        <w:t xml:space="preserve"> </w:t>
      </w:r>
      <w:r>
        <w:t>todo</w:t>
      </w:r>
      <w:r>
        <w:rPr>
          <w:spacing w:val="-14"/>
        </w:rPr>
        <w:t xml:space="preserve"> </w:t>
      </w:r>
      <w:r>
        <w:t>ello</w:t>
      </w:r>
      <w:r>
        <w:rPr>
          <w:spacing w:val="-15"/>
        </w:rPr>
        <w:t xml:space="preserve"> </w:t>
      </w:r>
      <w:r>
        <w:t>iba</w:t>
      </w:r>
      <w:r>
        <w:rPr>
          <w:spacing w:val="-15"/>
        </w:rPr>
        <w:t xml:space="preserve"> </w:t>
      </w:r>
      <w:r>
        <w:t>a</w:t>
      </w:r>
      <w:r>
        <w:rPr>
          <w:spacing w:val="-14"/>
        </w:rPr>
        <w:t xml:space="preserve"> </w:t>
      </w:r>
      <w:r>
        <w:t>suponer.</w:t>
      </w:r>
      <w:r>
        <w:rPr>
          <w:spacing w:val="-14"/>
        </w:rPr>
        <w:t xml:space="preserve"> </w:t>
      </w:r>
      <w:r>
        <w:t>El</w:t>
      </w:r>
      <w:r>
        <w:rPr>
          <w:spacing w:val="-14"/>
        </w:rPr>
        <w:t xml:space="preserve"> </w:t>
      </w:r>
      <w:r>
        <w:t>reclutamiento</w:t>
      </w:r>
      <w:r>
        <w:rPr>
          <w:spacing w:val="-14"/>
        </w:rPr>
        <w:t xml:space="preserve"> </w:t>
      </w:r>
      <w:r>
        <w:t>conllevó</w:t>
      </w:r>
      <w:r>
        <w:rPr>
          <w:spacing w:val="-15"/>
        </w:rPr>
        <w:t xml:space="preserve"> </w:t>
      </w:r>
      <w:r>
        <w:t>mayor</w:t>
      </w:r>
      <w:r>
        <w:rPr>
          <w:spacing w:val="-15"/>
        </w:rPr>
        <w:t xml:space="preserve"> </w:t>
      </w:r>
      <w:r>
        <w:t xml:space="preserve">sufrimiento para muchas familias que vieron cómo sus hijos eran llevados en medio de formas de estímulo, utilización o seducción para formar parte de la guerra, y sobre quienes ejercían coacción y control </w:t>
      </w:r>
      <w:r>
        <w:lastRenderedPageBreak/>
        <w:t>interno cuando se querían salir del grupo.</w:t>
      </w:r>
    </w:p>
    <w:p w:rsidR="003804AC" w:rsidRDefault="00AF18A5" w:rsidP="004B74A4">
      <w:r>
        <w:t>En el informe «Las heridas de las FARC-EP»</w:t>
      </w:r>
      <w:r w:rsidR="004B74A4">
        <w:rPr>
          <w:rStyle w:val="Refdenotaalpie"/>
        </w:rPr>
        <w:footnoteReference w:id="227"/>
      </w:r>
      <w:r>
        <w:t xml:space="preserve"> se puede observar que esta guerrilla fue el grupo armado que más incurrió en esta violación del derecho internacional humanitario. </w:t>
      </w:r>
      <w:r>
        <w:rPr>
          <w:color w:val="212121"/>
        </w:rPr>
        <w:t>Según la integración final de datos del proyecto conjunto JEP-CEV-HRDAG, desde 1990 hasta 2017 se registraron 16.238 casos de reclutamiento, de niños, niñas y adolescentes a lo largo del país, aunque las estimaciones teniendo en cuenta el potencial subregistro son mayores. La mayor intensidad de reclutamiento se registró en los departamentos de Meta, Antioquia, Guaviare, Caquetá y Cauca</w:t>
      </w:r>
      <w:r>
        <w:t>.</w:t>
      </w:r>
    </w:p>
    <w:p w:rsidR="003804AC" w:rsidRDefault="004B74A4" w:rsidP="004B74A4">
      <w:r>
        <w:t>“</w:t>
      </w:r>
      <w:r w:rsidR="00AF18A5">
        <w:t>En</w:t>
      </w:r>
      <w:r w:rsidR="00AF18A5">
        <w:rPr>
          <w:spacing w:val="-7"/>
        </w:rPr>
        <w:t xml:space="preserve"> </w:t>
      </w:r>
      <w:r w:rsidR="00AF18A5">
        <w:t>los</w:t>
      </w:r>
      <w:r w:rsidR="00AF18A5">
        <w:rPr>
          <w:spacing w:val="-8"/>
        </w:rPr>
        <w:t xml:space="preserve"> </w:t>
      </w:r>
      <w:r w:rsidR="00AF18A5">
        <w:t>tres</w:t>
      </w:r>
      <w:r w:rsidR="00AF18A5">
        <w:rPr>
          <w:spacing w:val="-8"/>
        </w:rPr>
        <w:t xml:space="preserve"> </w:t>
      </w:r>
      <w:r w:rsidR="00AF18A5">
        <w:t>departamentos</w:t>
      </w:r>
      <w:r w:rsidR="00AF18A5">
        <w:rPr>
          <w:spacing w:val="-8"/>
        </w:rPr>
        <w:t xml:space="preserve"> </w:t>
      </w:r>
      <w:r w:rsidR="00AF18A5">
        <w:t>se</w:t>
      </w:r>
      <w:r w:rsidR="00AF18A5">
        <w:rPr>
          <w:spacing w:val="-8"/>
        </w:rPr>
        <w:t xml:space="preserve"> </w:t>
      </w:r>
      <w:r w:rsidR="00AF18A5">
        <w:t>registraron</w:t>
      </w:r>
      <w:r w:rsidR="00AF18A5">
        <w:rPr>
          <w:spacing w:val="-6"/>
        </w:rPr>
        <w:t xml:space="preserve"> </w:t>
      </w:r>
      <w:r w:rsidR="00AF18A5">
        <w:t>cerca</w:t>
      </w:r>
      <w:r w:rsidR="00AF18A5">
        <w:rPr>
          <w:spacing w:val="-8"/>
        </w:rPr>
        <w:t xml:space="preserve"> </w:t>
      </w:r>
      <w:r w:rsidR="00AF18A5">
        <w:t>de</w:t>
      </w:r>
      <w:r w:rsidR="00AF18A5">
        <w:rPr>
          <w:spacing w:val="-8"/>
        </w:rPr>
        <w:t xml:space="preserve"> </w:t>
      </w:r>
      <w:r w:rsidR="00AF18A5">
        <w:t>4.700</w:t>
      </w:r>
      <w:r w:rsidR="00AF18A5">
        <w:rPr>
          <w:spacing w:val="-7"/>
        </w:rPr>
        <w:t xml:space="preserve"> </w:t>
      </w:r>
      <w:r w:rsidR="00AF18A5">
        <w:t>reclutamientos</w:t>
      </w:r>
      <w:r w:rsidR="00AF18A5">
        <w:rPr>
          <w:spacing w:val="-8"/>
        </w:rPr>
        <w:t xml:space="preserve"> </w:t>
      </w:r>
      <w:r w:rsidR="00AF18A5">
        <w:t>de</w:t>
      </w:r>
      <w:r w:rsidR="00AF18A5">
        <w:rPr>
          <w:spacing w:val="-8"/>
        </w:rPr>
        <w:t xml:space="preserve"> </w:t>
      </w:r>
      <w:r w:rsidR="00AF18A5">
        <w:t>menores</w:t>
      </w:r>
      <w:r w:rsidR="00AF18A5">
        <w:rPr>
          <w:spacing w:val="-8"/>
        </w:rPr>
        <w:t xml:space="preserve"> </w:t>
      </w:r>
      <w:r w:rsidR="00AF18A5">
        <w:t>de</w:t>
      </w:r>
      <w:r w:rsidR="00AF18A5">
        <w:rPr>
          <w:spacing w:val="-8"/>
        </w:rPr>
        <w:t xml:space="preserve"> </w:t>
      </w:r>
      <w:r w:rsidR="00AF18A5">
        <w:t>edad, donde municipios como Vistahermosa, La Uribe, San José del Guaviare, San Vicente del Caguán, Mesetas y Miraflores fueron los más afectados por el crimen de lesa humanidad. Todos estos municipios fueron zonas donde las FARC-EP tuvieron un amplio control territorial, específicamente del Bloque Oriental y Sur, los dos bloques con mayor número de</w:t>
      </w:r>
      <w:r w:rsidR="00AF18A5">
        <w:rPr>
          <w:spacing w:val="-12"/>
        </w:rPr>
        <w:t xml:space="preserve"> </w:t>
      </w:r>
      <w:r w:rsidR="00AF18A5">
        <w:t>combatientes</w:t>
      </w:r>
      <w:r w:rsidR="00AF18A5">
        <w:rPr>
          <w:spacing w:val="-12"/>
        </w:rPr>
        <w:t xml:space="preserve"> </w:t>
      </w:r>
      <w:r w:rsidR="00AF18A5">
        <w:t>de</w:t>
      </w:r>
      <w:r w:rsidR="00AF18A5">
        <w:rPr>
          <w:spacing w:val="-12"/>
        </w:rPr>
        <w:t xml:space="preserve"> </w:t>
      </w:r>
      <w:r w:rsidR="00AF18A5">
        <w:t>las</w:t>
      </w:r>
      <w:r w:rsidR="00AF18A5">
        <w:rPr>
          <w:spacing w:val="-12"/>
        </w:rPr>
        <w:t xml:space="preserve"> </w:t>
      </w:r>
      <w:r w:rsidR="00AF18A5">
        <w:t>FARC-EP.</w:t>
      </w:r>
      <w:r w:rsidR="00AF18A5">
        <w:rPr>
          <w:spacing w:val="-11"/>
        </w:rPr>
        <w:t xml:space="preserve"> </w:t>
      </w:r>
      <w:r w:rsidR="00AF18A5">
        <w:t>Asimismo,</w:t>
      </w:r>
      <w:r w:rsidR="00AF18A5">
        <w:rPr>
          <w:spacing w:val="-11"/>
        </w:rPr>
        <w:t xml:space="preserve"> </w:t>
      </w:r>
      <w:r w:rsidR="00AF18A5">
        <w:t>es</w:t>
      </w:r>
      <w:r w:rsidR="00AF18A5">
        <w:rPr>
          <w:spacing w:val="-12"/>
        </w:rPr>
        <w:t xml:space="preserve"> </w:t>
      </w:r>
      <w:r w:rsidR="00AF18A5">
        <w:t>evidente</w:t>
      </w:r>
      <w:r w:rsidR="00AF18A5">
        <w:rPr>
          <w:spacing w:val="-12"/>
        </w:rPr>
        <w:t xml:space="preserve"> </w:t>
      </w:r>
      <w:r w:rsidR="00AF18A5">
        <w:t>que</w:t>
      </w:r>
      <w:r w:rsidR="00AF18A5">
        <w:rPr>
          <w:spacing w:val="-12"/>
        </w:rPr>
        <w:t xml:space="preserve"> </w:t>
      </w:r>
      <w:r w:rsidR="00AF18A5">
        <w:t>el</w:t>
      </w:r>
      <w:r w:rsidR="00AF18A5">
        <w:rPr>
          <w:spacing w:val="-12"/>
        </w:rPr>
        <w:t xml:space="preserve"> </w:t>
      </w:r>
      <w:r w:rsidR="00AF18A5">
        <w:t>departamento</w:t>
      </w:r>
      <w:r w:rsidR="00AF18A5">
        <w:rPr>
          <w:spacing w:val="-11"/>
        </w:rPr>
        <w:t xml:space="preserve"> </w:t>
      </w:r>
      <w:r w:rsidR="00AF18A5">
        <w:t>de</w:t>
      </w:r>
      <w:r w:rsidR="00AF18A5">
        <w:rPr>
          <w:spacing w:val="-12"/>
        </w:rPr>
        <w:t xml:space="preserve"> </w:t>
      </w:r>
      <w:r w:rsidR="00AF18A5">
        <w:t>Antioquia también fue gravemente afectado por las políticas de reclutamiento de las FARC-EP</w:t>
      </w:r>
      <w:r>
        <w:rPr>
          <w:rStyle w:val="Refdenotaalpie"/>
        </w:rPr>
        <w:footnoteReference w:id="228"/>
      </w:r>
      <w:r w:rsidR="00AF18A5">
        <w:t>.</w:t>
      </w:r>
      <w:r>
        <w:t>”</w:t>
      </w:r>
    </w:p>
    <w:p w:rsidR="003804AC" w:rsidRDefault="00AF18A5" w:rsidP="004B74A4">
      <w:r>
        <w:t>Este</w:t>
      </w:r>
      <w:r>
        <w:rPr>
          <w:spacing w:val="-9"/>
        </w:rPr>
        <w:t xml:space="preserve"> </w:t>
      </w:r>
      <w:r>
        <w:t>fenómeno</w:t>
      </w:r>
      <w:r>
        <w:rPr>
          <w:spacing w:val="-9"/>
        </w:rPr>
        <w:t xml:space="preserve"> </w:t>
      </w:r>
      <w:r>
        <w:t>de</w:t>
      </w:r>
      <w:r>
        <w:rPr>
          <w:spacing w:val="-9"/>
        </w:rPr>
        <w:t xml:space="preserve"> </w:t>
      </w:r>
      <w:r>
        <w:t>reclutamiento</w:t>
      </w:r>
      <w:r>
        <w:rPr>
          <w:spacing w:val="-9"/>
        </w:rPr>
        <w:t xml:space="preserve"> </w:t>
      </w:r>
      <w:r>
        <w:t>a</w:t>
      </w:r>
      <w:r>
        <w:rPr>
          <w:spacing w:val="-9"/>
        </w:rPr>
        <w:t xml:space="preserve"> </w:t>
      </w:r>
      <w:r>
        <w:t>gran</w:t>
      </w:r>
      <w:r>
        <w:rPr>
          <w:spacing w:val="-9"/>
        </w:rPr>
        <w:t xml:space="preserve"> </w:t>
      </w:r>
      <w:r>
        <w:t>escala</w:t>
      </w:r>
      <w:r>
        <w:rPr>
          <w:spacing w:val="-9"/>
        </w:rPr>
        <w:t xml:space="preserve"> </w:t>
      </w:r>
      <w:r>
        <w:t>en</w:t>
      </w:r>
      <w:r>
        <w:rPr>
          <w:spacing w:val="-11"/>
        </w:rPr>
        <w:t xml:space="preserve"> </w:t>
      </w:r>
      <w:r>
        <w:t>las</w:t>
      </w:r>
      <w:r>
        <w:rPr>
          <w:spacing w:val="-9"/>
        </w:rPr>
        <w:t xml:space="preserve"> </w:t>
      </w:r>
      <w:r>
        <w:t>regiones</w:t>
      </w:r>
      <w:r>
        <w:rPr>
          <w:spacing w:val="-9"/>
        </w:rPr>
        <w:t xml:space="preserve"> </w:t>
      </w:r>
      <w:r>
        <w:t>históricamente</w:t>
      </w:r>
      <w:r>
        <w:rPr>
          <w:spacing w:val="-9"/>
        </w:rPr>
        <w:t xml:space="preserve"> </w:t>
      </w:r>
      <w:r>
        <w:t>controladas</w:t>
      </w:r>
      <w:r>
        <w:rPr>
          <w:spacing w:val="-9"/>
        </w:rPr>
        <w:t xml:space="preserve"> </w:t>
      </w:r>
      <w:r>
        <w:t>por las FARC-EP se mantuvo como una dinámica constante para el fortalecimiento de la guerrilla.</w:t>
      </w:r>
      <w:r>
        <w:rPr>
          <w:spacing w:val="-5"/>
        </w:rPr>
        <w:t xml:space="preserve"> </w:t>
      </w:r>
      <w:r>
        <w:t>Los</w:t>
      </w:r>
      <w:r>
        <w:rPr>
          <w:spacing w:val="-5"/>
        </w:rPr>
        <w:t xml:space="preserve"> </w:t>
      </w:r>
      <w:r>
        <w:t>años</w:t>
      </w:r>
      <w:r>
        <w:rPr>
          <w:spacing w:val="-5"/>
        </w:rPr>
        <w:t xml:space="preserve"> </w:t>
      </w:r>
      <w:r>
        <w:t>de</w:t>
      </w:r>
      <w:r>
        <w:rPr>
          <w:spacing w:val="-5"/>
        </w:rPr>
        <w:t xml:space="preserve"> </w:t>
      </w:r>
      <w:r>
        <w:t>mayor</w:t>
      </w:r>
      <w:r>
        <w:rPr>
          <w:spacing w:val="-4"/>
        </w:rPr>
        <w:t xml:space="preserve"> </w:t>
      </w:r>
      <w:r>
        <w:t>reclutamiento</w:t>
      </w:r>
      <w:r>
        <w:rPr>
          <w:spacing w:val="-5"/>
        </w:rPr>
        <w:t xml:space="preserve"> </w:t>
      </w:r>
      <w:r>
        <w:t>fue</w:t>
      </w:r>
      <w:r>
        <w:rPr>
          <w:spacing w:val="-5"/>
        </w:rPr>
        <w:t xml:space="preserve"> </w:t>
      </w:r>
      <w:r>
        <w:t>el</w:t>
      </w:r>
      <w:r>
        <w:rPr>
          <w:spacing w:val="-6"/>
        </w:rPr>
        <w:t xml:space="preserve"> </w:t>
      </w:r>
      <w:r>
        <w:t>último</w:t>
      </w:r>
      <w:r>
        <w:rPr>
          <w:spacing w:val="-5"/>
        </w:rPr>
        <w:t xml:space="preserve"> </w:t>
      </w:r>
      <w:r>
        <w:t>de</w:t>
      </w:r>
      <w:r>
        <w:rPr>
          <w:spacing w:val="-5"/>
        </w:rPr>
        <w:t xml:space="preserve"> </w:t>
      </w:r>
      <w:r>
        <w:t>los</w:t>
      </w:r>
      <w:r>
        <w:rPr>
          <w:spacing w:val="-5"/>
        </w:rPr>
        <w:t xml:space="preserve"> </w:t>
      </w:r>
      <w:r>
        <w:t>Diálogos</w:t>
      </w:r>
      <w:r>
        <w:rPr>
          <w:spacing w:val="-5"/>
        </w:rPr>
        <w:t xml:space="preserve"> </w:t>
      </w:r>
      <w:r>
        <w:t>de</w:t>
      </w:r>
      <w:r>
        <w:rPr>
          <w:spacing w:val="-5"/>
        </w:rPr>
        <w:t xml:space="preserve"> </w:t>
      </w:r>
      <w:r>
        <w:t>El</w:t>
      </w:r>
      <w:r>
        <w:rPr>
          <w:spacing w:val="-4"/>
        </w:rPr>
        <w:t xml:space="preserve"> </w:t>
      </w:r>
      <w:r>
        <w:t>Caguán,</w:t>
      </w:r>
      <w:r>
        <w:rPr>
          <w:spacing w:val="-5"/>
        </w:rPr>
        <w:t xml:space="preserve"> </w:t>
      </w:r>
      <w:r>
        <w:t>(año 2000,</w:t>
      </w:r>
      <w:r>
        <w:rPr>
          <w:spacing w:val="-11"/>
        </w:rPr>
        <w:t xml:space="preserve"> </w:t>
      </w:r>
      <w:r>
        <w:t>con</w:t>
      </w:r>
      <w:r>
        <w:rPr>
          <w:spacing w:val="-11"/>
        </w:rPr>
        <w:t xml:space="preserve"> </w:t>
      </w:r>
      <w:r>
        <w:t>1320</w:t>
      </w:r>
      <w:r>
        <w:rPr>
          <w:spacing w:val="-11"/>
        </w:rPr>
        <w:t xml:space="preserve"> </w:t>
      </w:r>
      <w:r>
        <w:t>víctimas),</w:t>
      </w:r>
      <w:r>
        <w:rPr>
          <w:spacing w:val="-11"/>
        </w:rPr>
        <w:t xml:space="preserve"> </w:t>
      </w:r>
      <w:r>
        <w:t>así</w:t>
      </w:r>
      <w:r>
        <w:rPr>
          <w:spacing w:val="-11"/>
        </w:rPr>
        <w:t xml:space="preserve"> </w:t>
      </w:r>
      <w:r>
        <w:t>como</w:t>
      </w:r>
      <w:r>
        <w:rPr>
          <w:spacing w:val="-11"/>
        </w:rPr>
        <w:t xml:space="preserve"> </w:t>
      </w:r>
      <w:r>
        <w:t>los</w:t>
      </w:r>
      <w:r>
        <w:rPr>
          <w:spacing w:val="-10"/>
        </w:rPr>
        <w:t xml:space="preserve"> </w:t>
      </w:r>
      <w:r>
        <w:t>inmediatamente</w:t>
      </w:r>
      <w:r>
        <w:rPr>
          <w:spacing w:val="-10"/>
        </w:rPr>
        <w:t xml:space="preserve"> </w:t>
      </w:r>
      <w:r>
        <w:t>posteriores</w:t>
      </w:r>
      <w:r>
        <w:rPr>
          <w:spacing w:val="-10"/>
        </w:rPr>
        <w:t xml:space="preserve"> </w:t>
      </w:r>
      <w:r>
        <w:t>de</w:t>
      </w:r>
      <w:r>
        <w:rPr>
          <w:spacing w:val="-10"/>
        </w:rPr>
        <w:t xml:space="preserve"> </w:t>
      </w:r>
      <w:r>
        <w:lastRenderedPageBreak/>
        <w:t>2002</w:t>
      </w:r>
      <w:r>
        <w:rPr>
          <w:spacing w:val="-11"/>
        </w:rPr>
        <w:t xml:space="preserve"> </w:t>
      </w:r>
      <w:r>
        <w:t>(1.305</w:t>
      </w:r>
      <w:r>
        <w:rPr>
          <w:spacing w:val="-11"/>
        </w:rPr>
        <w:t xml:space="preserve"> </w:t>
      </w:r>
      <w:r>
        <w:t>víctimas) y 2003 (1.253 víctimas) cuando el conflicto entró en una nueva etapa de la confrontación.</w:t>
      </w:r>
    </w:p>
    <w:p w:rsidR="003804AC" w:rsidRDefault="00AF18A5" w:rsidP="004B74A4">
      <w:r>
        <w:t>En el caso de las FARC-EP, el reclutamiento y la utilización de niñas y niños hizo parte de</w:t>
      </w:r>
      <w:r>
        <w:rPr>
          <w:spacing w:val="-12"/>
        </w:rPr>
        <w:t xml:space="preserve"> </w:t>
      </w:r>
      <w:r>
        <w:t>las</w:t>
      </w:r>
      <w:r>
        <w:rPr>
          <w:spacing w:val="-12"/>
        </w:rPr>
        <w:t xml:space="preserve"> </w:t>
      </w:r>
      <w:r>
        <w:t>decisiones</w:t>
      </w:r>
      <w:r>
        <w:rPr>
          <w:spacing w:val="-12"/>
        </w:rPr>
        <w:t xml:space="preserve"> </w:t>
      </w:r>
      <w:r>
        <w:t>que</w:t>
      </w:r>
      <w:r>
        <w:rPr>
          <w:spacing w:val="-12"/>
        </w:rPr>
        <w:t xml:space="preserve"> </w:t>
      </w:r>
      <w:r>
        <w:t>tomó</w:t>
      </w:r>
      <w:r>
        <w:rPr>
          <w:spacing w:val="-12"/>
        </w:rPr>
        <w:t xml:space="preserve"> </w:t>
      </w:r>
      <w:r>
        <w:t>la</w:t>
      </w:r>
      <w:r>
        <w:rPr>
          <w:spacing w:val="-12"/>
        </w:rPr>
        <w:t xml:space="preserve"> </w:t>
      </w:r>
      <w:r>
        <w:t>guerrilla</w:t>
      </w:r>
      <w:r>
        <w:rPr>
          <w:spacing w:val="-12"/>
        </w:rPr>
        <w:t xml:space="preserve"> </w:t>
      </w:r>
      <w:r>
        <w:t>en</w:t>
      </w:r>
      <w:r>
        <w:rPr>
          <w:spacing w:val="-13"/>
        </w:rPr>
        <w:t xml:space="preserve"> </w:t>
      </w:r>
      <w:r>
        <w:t>la</w:t>
      </w:r>
      <w:r>
        <w:rPr>
          <w:spacing w:val="-12"/>
        </w:rPr>
        <w:t xml:space="preserve"> </w:t>
      </w:r>
      <w:r>
        <w:t>Séptima</w:t>
      </w:r>
      <w:r>
        <w:rPr>
          <w:spacing w:val="-12"/>
        </w:rPr>
        <w:t xml:space="preserve"> </w:t>
      </w:r>
      <w:r>
        <w:t>Conferencia,</w:t>
      </w:r>
      <w:r>
        <w:rPr>
          <w:spacing w:val="-12"/>
        </w:rPr>
        <w:t xml:space="preserve"> </w:t>
      </w:r>
      <w:r>
        <w:t>con</w:t>
      </w:r>
      <w:r>
        <w:rPr>
          <w:spacing w:val="-13"/>
        </w:rPr>
        <w:t xml:space="preserve"> </w:t>
      </w:r>
      <w:r>
        <w:t>la</w:t>
      </w:r>
      <w:r>
        <w:rPr>
          <w:spacing w:val="-12"/>
        </w:rPr>
        <w:t xml:space="preserve"> </w:t>
      </w:r>
      <w:r>
        <w:t>finalidad</w:t>
      </w:r>
      <w:r>
        <w:rPr>
          <w:spacing w:val="-12"/>
        </w:rPr>
        <w:t xml:space="preserve"> </w:t>
      </w:r>
      <w:r>
        <w:t>de</w:t>
      </w:r>
      <w:r>
        <w:rPr>
          <w:spacing w:val="-12"/>
        </w:rPr>
        <w:t xml:space="preserve"> </w:t>
      </w:r>
      <w:r>
        <w:t>cumplir sus</w:t>
      </w:r>
      <w:r>
        <w:rPr>
          <w:spacing w:val="16"/>
        </w:rPr>
        <w:t xml:space="preserve"> </w:t>
      </w:r>
      <w:r>
        <w:t>objetivos</w:t>
      </w:r>
      <w:r>
        <w:rPr>
          <w:spacing w:val="18"/>
        </w:rPr>
        <w:t xml:space="preserve"> </w:t>
      </w:r>
      <w:r>
        <w:t>de</w:t>
      </w:r>
      <w:r>
        <w:rPr>
          <w:spacing w:val="19"/>
        </w:rPr>
        <w:t xml:space="preserve"> </w:t>
      </w:r>
      <w:r>
        <w:t>crecimiento.</w:t>
      </w:r>
      <w:r>
        <w:rPr>
          <w:spacing w:val="18"/>
        </w:rPr>
        <w:t xml:space="preserve"> </w:t>
      </w:r>
      <w:r>
        <w:t>Si</w:t>
      </w:r>
      <w:r>
        <w:rPr>
          <w:spacing w:val="19"/>
        </w:rPr>
        <w:t xml:space="preserve"> </w:t>
      </w:r>
      <w:r>
        <w:t>bien</w:t>
      </w:r>
      <w:r>
        <w:rPr>
          <w:spacing w:val="18"/>
        </w:rPr>
        <w:t xml:space="preserve"> </w:t>
      </w:r>
      <w:r>
        <w:t>las</w:t>
      </w:r>
      <w:r>
        <w:rPr>
          <w:spacing w:val="19"/>
        </w:rPr>
        <w:t xml:space="preserve"> </w:t>
      </w:r>
      <w:r>
        <w:t>normativas</w:t>
      </w:r>
      <w:r>
        <w:rPr>
          <w:spacing w:val="18"/>
        </w:rPr>
        <w:t xml:space="preserve"> </w:t>
      </w:r>
      <w:r>
        <w:t>internas</w:t>
      </w:r>
      <w:r>
        <w:rPr>
          <w:spacing w:val="18"/>
        </w:rPr>
        <w:t xml:space="preserve"> </w:t>
      </w:r>
      <w:r>
        <w:t>definían</w:t>
      </w:r>
      <w:r>
        <w:rPr>
          <w:spacing w:val="18"/>
        </w:rPr>
        <w:t xml:space="preserve"> </w:t>
      </w:r>
      <w:r>
        <w:t>los</w:t>
      </w:r>
      <w:r>
        <w:rPr>
          <w:spacing w:val="18"/>
        </w:rPr>
        <w:t xml:space="preserve"> </w:t>
      </w:r>
      <w:r>
        <w:t>límites</w:t>
      </w:r>
      <w:r>
        <w:rPr>
          <w:spacing w:val="18"/>
        </w:rPr>
        <w:t xml:space="preserve"> </w:t>
      </w:r>
      <w:r>
        <w:t>entre</w:t>
      </w:r>
      <w:r>
        <w:rPr>
          <w:spacing w:val="19"/>
        </w:rPr>
        <w:t xml:space="preserve"> </w:t>
      </w:r>
      <w:r>
        <w:rPr>
          <w:spacing w:val="-5"/>
        </w:rPr>
        <w:t>los</w:t>
      </w:r>
      <w:bookmarkStart w:id="355" w:name="_bookmark266"/>
      <w:bookmarkStart w:id="356" w:name="_bookmark267"/>
      <w:bookmarkEnd w:id="355"/>
      <w:bookmarkEnd w:id="356"/>
      <w:r w:rsidR="004B74A4">
        <w:rPr>
          <w:spacing w:val="-5"/>
        </w:rPr>
        <w:t xml:space="preserve"> </w:t>
      </w:r>
      <w:r>
        <w:t>quince</w:t>
      </w:r>
      <w:r>
        <w:rPr>
          <w:spacing w:val="-1"/>
        </w:rPr>
        <w:t xml:space="preserve"> </w:t>
      </w:r>
      <w:r>
        <w:t>y</w:t>
      </w:r>
      <w:r>
        <w:rPr>
          <w:spacing w:val="-1"/>
        </w:rPr>
        <w:t xml:space="preserve"> </w:t>
      </w:r>
      <w:r>
        <w:t>los</w:t>
      </w:r>
      <w:r>
        <w:rPr>
          <w:spacing w:val="-2"/>
        </w:rPr>
        <w:t xml:space="preserve"> </w:t>
      </w:r>
      <w:r>
        <w:t>treinta</w:t>
      </w:r>
      <w:r>
        <w:rPr>
          <w:spacing w:val="-1"/>
        </w:rPr>
        <w:t xml:space="preserve"> </w:t>
      </w:r>
      <w:r>
        <w:t>años,</w:t>
      </w:r>
      <w:r>
        <w:rPr>
          <w:spacing w:val="-2"/>
        </w:rPr>
        <w:t xml:space="preserve"> </w:t>
      </w:r>
      <w:r>
        <w:t>reconocieron</w:t>
      </w:r>
      <w:r>
        <w:rPr>
          <w:spacing w:val="-1"/>
        </w:rPr>
        <w:t xml:space="preserve"> </w:t>
      </w:r>
      <w:r>
        <w:t>la</w:t>
      </w:r>
      <w:r>
        <w:rPr>
          <w:spacing w:val="-1"/>
        </w:rPr>
        <w:t xml:space="preserve"> </w:t>
      </w:r>
      <w:r>
        <w:t>autonomía</w:t>
      </w:r>
      <w:r>
        <w:rPr>
          <w:spacing w:val="-1"/>
        </w:rPr>
        <w:t xml:space="preserve"> </w:t>
      </w:r>
      <w:r>
        <w:t>de</w:t>
      </w:r>
      <w:r>
        <w:rPr>
          <w:spacing w:val="-2"/>
        </w:rPr>
        <w:t xml:space="preserve"> </w:t>
      </w:r>
      <w:r>
        <w:t>los</w:t>
      </w:r>
      <w:r>
        <w:rPr>
          <w:spacing w:val="-1"/>
        </w:rPr>
        <w:t xml:space="preserve"> </w:t>
      </w:r>
      <w:r>
        <w:t>bloques</w:t>
      </w:r>
      <w:r>
        <w:rPr>
          <w:spacing w:val="-1"/>
        </w:rPr>
        <w:t xml:space="preserve"> </w:t>
      </w:r>
      <w:r>
        <w:t>y</w:t>
      </w:r>
      <w:r>
        <w:rPr>
          <w:spacing w:val="-1"/>
        </w:rPr>
        <w:t xml:space="preserve"> </w:t>
      </w:r>
      <w:r>
        <w:t>frentes</w:t>
      </w:r>
      <w:r>
        <w:rPr>
          <w:spacing w:val="-1"/>
        </w:rPr>
        <w:t xml:space="preserve"> </w:t>
      </w:r>
      <w:r>
        <w:t>en</w:t>
      </w:r>
      <w:r>
        <w:rPr>
          <w:spacing w:val="-1"/>
        </w:rPr>
        <w:t xml:space="preserve"> </w:t>
      </w:r>
      <w:r>
        <w:t>cuanto</w:t>
      </w:r>
      <w:r>
        <w:rPr>
          <w:spacing w:val="-1"/>
        </w:rPr>
        <w:t xml:space="preserve"> </w:t>
      </w:r>
      <w:r>
        <w:t>a</w:t>
      </w:r>
      <w:r>
        <w:rPr>
          <w:spacing w:val="-1"/>
        </w:rPr>
        <w:t xml:space="preserve"> </w:t>
      </w:r>
      <w:r>
        <w:t>las formas de incrementar su pie de fuerza y fortalecerse económicamente. Se le abrió así la puerta</w:t>
      </w:r>
      <w:r>
        <w:rPr>
          <w:spacing w:val="-7"/>
        </w:rPr>
        <w:t xml:space="preserve"> </w:t>
      </w:r>
      <w:r>
        <w:t>a</w:t>
      </w:r>
      <w:r>
        <w:rPr>
          <w:spacing w:val="-8"/>
        </w:rPr>
        <w:t xml:space="preserve"> </w:t>
      </w:r>
      <w:r>
        <w:t>que</w:t>
      </w:r>
      <w:r>
        <w:rPr>
          <w:spacing w:val="-7"/>
        </w:rPr>
        <w:t xml:space="preserve"> </w:t>
      </w:r>
      <w:r>
        <w:t>se</w:t>
      </w:r>
      <w:r>
        <w:rPr>
          <w:spacing w:val="-8"/>
        </w:rPr>
        <w:t xml:space="preserve"> </w:t>
      </w:r>
      <w:r>
        <w:t>dieran</w:t>
      </w:r>
      <w:r>
        <w:rPr>
          <w:spacing w:val="-7"/>
        </w:rPr>
        <w:t xml:space="preserve"> </w:t>
      </w:r>
      <w:r>
        <w:t>procesos</w:t>
      </w:r>
      <w:r>
        <w:rPr>
          <w:spacing w:val="-8"/>
        </w:rPr>
        <w:t xml:space="preserve"> </w:t>
      </w:r>
      <w:r>
        <w:t>«irregulares»</w:t>
      </w:r>
      <w:r>
        <w:rPr>
          <w:spacing w:val="-7"/>
        </w:rPr>
        <w:t xml:space="preserve"> </w:t>
      </w:r>
      <w:r>
        <w:t>de</w:t>
      </w:r>
      <w:r>
        <w:rPr>
          <w:spacing w:val="-8"/>
        </w:rPr>
        <w:t xml:space="preserve"> </w:t>
      </w:r>
      <w:r>
        <w:t>reclutamiento</w:t>
      </w:r>
      <w:r>
        <w:rPr>
          <w:spacing w:val="-7"/>
        </w:rPr>
        <w:t xml:space="preserve"> </w:t>
      </w:r>
      <w:r>
        <w:t>forzado</w:t>
      </w:r>
      <w:r>
        <w:rPr>
          <w:spacing w:val="-8"/>
        </w:rPr>
        <w:t xml:space="preserve"> </w:t>
      </w:r>
      <w:r>
        <w:t>de</w:t>
      </w:r>
      <w:r>
        <w:rPr>
          <w:spacing w:val="-8"/>
        </w:rPr>
        <w:t xml:space="preserve"> </w:t>
      </w:r>
      <w:r>
        <w:t>menores</w:t>
      </w:r>
      <w:r>
        <w:rPr>
          <w:spacing w:val="-7"/>
        </w:rPr>
        <w:t xml:space="preserve"> </w:t>
      </w:r>
      <w:r>
        <w:t>a</w:t>
      </w:r>
      <w:r>
        <w:rPr>
          <w:spacing w:val="-8"/>
        </w:rPr>
        <w:t xml:space="preserve"> </w:t>
      </w:r>
      <w:r>
        <w:t>lo</w:t>
      </w:r>
      <w:r>
        <w:rPr>
          <w:spacing w:val="-7"/>
        </w:rPr>
        <w:t xml:space="preserve"> </w:t>
      </w:r>
      <w:r>
        <w:t xml:space="preserve">largo y ancho del territorio nacional, con el objetivo de cumplir con el despliegue de frentes en nuevos territorios. De esta manera, junto con otras violaciones del derecho internacional humanitario, se laceró la relación entre la población civil y las FARC-EP, que fueron perdiendo las bases sociales sobre las que se sostenían militar y económicamente, así como cualquier legitimidad frente a la opinión pública mayoritaria del país, que repudió este </w:t>
      </w:r>
      <w:r>
        <w:rPr>
          <w:spacing w:val="-2"/>
        </w:rPr>
        <w:t>reclutamiento.</w:t>
      </w:r>
    </w:p>
    <w:p w:rsidR="003804AC" w:rsidRDefault="00AF18A5" w:rsidP="004B74A4">
      <w:r>
        <w:t>Relatos</w:t>
      </w:r>
      <w:r>
        <w:rPr>
          <w:spacing w:val="-8"/>
        </w:rPr>
        <w:t xml:space="preserve"> </w:t>
      </w:r>
      <w:r>
        <w:t>obtenidos</w:t>
      </w:r>
      <w:r>
        <w:rPr>
          <w:spacing w:val="-8"/>
        </w:rPr>
        <w:t xml:space="preserve"> </w:t>
      </w:r>
      <w:r>
        <w:t>por</w:t>
      </w:r>
      <w:r>
        <w:rPr>
          <w:spacing w:val="-8"/>
        </w:rPr>
        <w:t xml:space="preserve"> </w:t>
      </w:r>
      <w:r>
        <w:t>la</w:t>
      </w:r>
      <w:r>
        <w:rPr>
          <w:spacing w:val="-9"/>
        </w:rPr>
        <w:t xml:space="preserve"> </w:t>
      </w:r>
      <w:r>
        <w:t>Comisión</w:t>
      </w:r>
      <w:r>
        <w:rPr>
          <w:spacing w:val="-8"/>
        </w:rPr>
        <w:t xml:space="preserve"> </w:t>
      </w:r>
      <w:r>
        <w:t>dan</w:t>
      </w:r>
      <w:r>
        <w:rPr>
          <w:spacing w:val="-8"/>
        </w:rPr>
        <w:t xml:space="preserve"> </w:t>
      </w:r>
      <w:r>
        <w:t>muestra</w:t>
      </w:r>
      <w:r>
        <w:rPr>
          <w:spacing w:val="-8"/>
        </w:rPr>
        <w:t xml:space="preserve"> </w:t>
      </w:r>
      <w:r>
        <w:t>de</w:t>
      </w:r>
      <w:r>
        <w:rPr>
          <w:spacing w:val="-9"/>
        </w:rPr>
        <w:t xml:space="preserve"> </w:t>
      </w:r>
      <w:r>
        <w:t>la</w:t>
      </w:r>
      <w:r>
        <w:rPr>
          <w:spacing w:val="-8"/>
        </w:rPr>
        <w:t xml:space="preserve"> </w:t>
      </w:r>
      <w:r>
        <w:t>heterogeneidad</w:t>
      </w:r>
      <w:r>
        <w:rPr>
          <w:spacing w:val="-8"/>
        </w:rPr>
        <w:t xml:space="preserve"> </w:t>
      </w:r>
      <w:r>
        <w:t>del</w:t>
      </w:r>
      <w:r>
        <w:rPr>
          <w:spacing w:val="-8"/>
        </w:rPr>
        <w:t xml:space="preserve"> </w:t>
      </w:r>
      <w:r>
        <w:t>reclutamiento</w:t>
      </w:r>
      <w:r>
        <w:rPr>
          <w:spacing w:val="-8"/>
        </w:rPr>
        <w:t xml:space="preserve"> </w:t>
      </w:r>
      <w:r>
        <w:t>de menores, que no siempre se produjo por las mismas razones. En algunos lugares de la Amazonía,</w:t>
      </w:r>
      <w:r>
        <w:rPr>
          <w:spacing w:val="-6"/>
        </w:rPr>
        <w:t xml:space="preserve"> </w:t>
      </w:r>
      <w:r>
        <w:t>por</w:t>
      </w:r>
      <w:r>
        <w:rPr>
          <w:spacing w:val="-5"/>
        </w:rPr>
        <w:t xml:space="preserve"> </w:t>
      </w:r>
      <w:r>
        <w:t>ejemplo,</w:t>
      </w:r>
      <w:r>
        <w:rPr>
          <w:spacing w:val="-7"/>
        </w:rPr>
        <w:t xml:space="preserve"> </w:t>
      </w:r>
      <w:r>
        <w:t>el</w:t>
      </w:r>
      <w:r>
        <w:rPr>
          <w:spacing w:val="-5"/>
        </w:rPr>
        <w:t xml:space="preserve"> </w:t>
      </w:r>
      <w:r>
        <w:t>aumento</w:t>
      </w:r>
      <w:r>
        <w:rPr>
          <w:spacing w:val="-7"/>
        </w:rPr>
        <w:t xml:space="preserve"> </w:t>
      </w:r>
      <w:r>
        <w:t>del</w:t>
      </w:r>
      <w:r>
        <w:rPr>
          <w:spacing w:val="-5"/>
        </w:rPr>
        <w:t xml:space="preserve"> </w:t>
      </w:r>
      <w:r>
        <w:t>reclutamiento</w:t>
      </w:r>
      <w:r>
        <w:rPr>
          <w:spacing w:val="-7"/>
        </w:rPr>
        <w:t xml:space="preserve"> </w:t>
      </w:r>
      <w:r>
        <w:t>se</w:t>
      </w:r>
      <w:r>
        <w:rPr>
          <w:spacing w:val="-6"/>
        </w:rPr>
        <w:t xml:space="preserve"> </w:t>
      </w:r>
      <w:r>
        <w:t>basó</w:t>
      </w:r>
      <w:r>
        <w:rPr>
          <w:spacing w:val="-6"/>
        </w:rPr>
        <w:t xml:space="preserve"> </w:t>
      </w:r>
      <w:r>
        <w:t>en</w:t>
      </w:r>
      <w:r>
        <w:rPr>
          <w:spacing w:val="-6"/>
        </w:rPr>
        <w:t xml:space="preserve"> </w:t>
      </w:r>
      <w:r>
        <w:t>que</w:t>
      </w:r>
      <w:r>
        <w:rPr>
          <w:spacing w:val="-7"/>
        </w:rPr>
        <w:t xml:space="preserve"> </w:t>
      </w:r>
      <w:r>
        <w:t>la</w:t>
      </w:r>
      <w:r>
        <w:rPr>
          <w:spacing w:val="-6"/>
        </w:rPr>
        <w:t xml:space="preserve"> </w:t>
      </w:r>
      <w:r>
        <w:t>guerrilla</w:t>
      </w:r>
      <w:r>
        <w:rPr>
          <w:spacing w:val="-6"/>
        </w:rPr>
        <w:t xml:space="preserve"> </w:t>
      </w:r>
      <w:r>
        <w:t>logró</w:t>
      </w:r>
      <w:r>
        <w:rPr>
          <w:spacing w:val="-6"/>
        </w:rPr>
        <w:t xml:space="preserve"> </w:t>
      </w:r>
      <w:r>
        <w:t>hacer sentir acogidos a los menores, en un contexto de fuerte desprotección. Mientras que, en la Provincia de Rionegro, en Cundinamarca, las técnicas implicaron la persuasión o la seducción,</w:t>
      </w:r>
      <w:r>
        <w:rPr>
          <w:spacing w:val="-9"/>
        </w:rPr>
        <w:t xml:space="preserve"> </w:t>
      </w:r>
      <w:r>
        <w:t>que</w:t>
      </w:r>
      <w:r>
        <w:rPr>
          <w:spacing w:val="-8"/>
        </w:rPr>
        <w:t xml:space="preserve"> </w:t>
      </w:r>
      <w:r>
        <w:t>devenían</w:t>
      </w:r>
      <w:r>
        <w:rPr>
          <w:spacing w:val="-10"/>
        </w:rPr>
        <w:t xml:space="preserve"> </w:t>
      </w:r>
      <w:r>
        <w:t>luego</w:t>
      </w:r>
      <w:r>
        <w:rPr>
          <w:spacing w:val="-8"/>
        </w:rPr>
        <w:t xml:space="preserve"> </w:t>
      </w:r>
      <w:r>
        <w:t>en</w:t>
      </w:r>
      <w:r>
        <w:rPr>
          <w:spacing w:val="-9"/>
        </w:rPr>
        <w:t xml:space="preserve"> </w:t>
      </w:r>
      <w:r>
        <w:t>el</w:t>
      </w:r>
      <w:r>
        <w:rPr>
          <w:spacing w:val="-9"/>
        </w:rPr>
        <w:t xml:space="preserve"> </w:t>
      </w:r>
      <w:r>
        <w:t>reclutamiento</w:t>
      </w:r>
      <w:r>
        <w:rPr>
          <w:spacing w:val="-8"/>
        </w:rPr>
        <w:t xml:space="preserve"> </w:t>
      </w:r>
      <w:r>
        <w:t>forzado</w:t>
      </w:r>
      <w:r>
        <w:rPr>
          <w:spacing w:val="-8"/>
        </w:rPr>
        <w:t xml:space="preserve"> </w:t>
      </w:r>
      <w:r>
        <w:t>propiamente</w:t>
      </w:r>
      <w:r>
        <w:rPr>
          <w:spacing w:val="-9"/>
        </w:rPr>
        <w:t xml:space="preserve"> </w:t>
      </w:r>
      <w:r>
        <w:t>dicho.</w:t>
      </w:r>
      <w:r>
        <w:rPr>
          <w:spacing w:val="-8"/>
        </w:rPr>
        <w:t xml:space="preserve"> </w:t>
      </w:r>
      <w:r>
        <w:t>Estas</w:t>
      </w:r>
      <w:r>
        <w:rPr>
          <w:spacing w:val="-9"/>
        </w:rPr>
        <w:t xml:space="preserve"> </w:t>
      </w:r>
      <w:r>
        <w:t>tácticas fueron frecuentes y consistieron en encomendar a jóvenes guerrilleros y guerrilleras, considerados atractivos, vincular adolescentes. La estrategia fue corroborada por excombatientes:</w:t>
      </w:r>
      <w:r>
        <w:rPr>
          <w:spacing w:val="-2"/>
        </w:rPr>
        <w:t xml:space="preserve"> </w:t>
      </w:r>
      <w:r>
        <w:t>«si</w:t>
      </w:r>
      <w:r>
        <w:rPr>
          <w:spacing w:val="-2"/>
        </w:rPr>
        <w:t xml:space="preserve"> </w:t>
      </w:r>
      <w:r>
        <w:t>había</w:t>
      </w:r>
      <w:r>
        <w:rPr>
          <w:spacing w:val="-2"/>
        </w:rPr>
        <w:t xml:space="preserve"> </w:t>
      </w:r>
      <w:r>
        <w:t>posibilidades</w:t>
      </w:r>
      <w:r>
        <w:rPr>
          <w:spacing w:val="-2"/>
        </w:rPr>
        <w:t xml:space="preserve"> </w:t>
      </w:r>
      <w:r>
        <w:t>de</w:t>
      </w:r>
      <w:r>
        <w:rPr>
          <w:spacing w:val="-2"/>
        </w:rPr>
        <w:t xml:space="preserve"> </w:t>
      </w:r>
      <w:r>
        <w:t>reclutar</w:t>
      </w:r>
      <w:r>
        <w:rPr>
          <w:spacing w:val="-2"/>
        </w:rPr>
        <w:t xml:space="preserve"> </w:t>
      </w:r>
      <w:r>
        <w:lastRenderedPageBreak/>
        <w:t>había</w:t>
      </w:r>
      <w:r>
        <w:rPr>
          <w:spacing w:val="-2"/>
        </w:rPr>
        <w:t xml:space="preserve"> </w:t>
      </w:r>
      <w:r>
        <w:t>que</w:t>
      </w:r>
      <w:r>
        <w:rPr>
          <w:spacing w:val="-3"/>
        </w:rPr>
        <w:t xml:space="preserve"> </w:t>
      </w:r>
      <w:r>
        <w:t>hacerlo</w:t>
      </w:r>
      <w:r>
        <w:rPr>
          <w:spacing w:val="-2"/>
        </w:rPr>
        <w:t xml:space="preserve"> </w:t>
      </w:r>
      <w:r>
        <w:t>[…]</w:t>
      </w:r>
      <w:r>
        <w:rPr>
          <w:spacing w:val="-3"/>
        </w:rPr>
        <w:t xml:space="preserve"> </w:t>
      </w:r>
      <w:r>
        <w:t>la</w:t>
      </w:r>
      <w:r>
        <w:rPr>
          <w:spacing w:val="-2"/>
        </w:rPr>
        <w:t xml:space="preserve"> </w:t>
      </w:r>
      <w:r>
        <w:t>que</w:t>
      </w:r>
      <w:r>
        <w:rPr>
          <w:spacing w:val="-3"/>
        </w:rPr>
        <w:t xml:space="preserve"> </w:t>
      </w:r>
      <w:r>
        <w:t>más</w:t>
      </w:r>
      <w:r>
        <w:rPr>
          <w:spacing w:val="-3"/>
        </w:rPr>
        <w:t xml:space="preserve"> </w:t>
      </w:r>
      <w:r>
        <w:t>se</w:t>
      </w:r>
      <w:r>
        <w:rPr>
          <w:spacing w:val="-2"/>
        </w:rPr>
        <w:t xml:space="preserve"> </w:t>
      </w:r>
      <w:r>
        <w:t>usa es ese tema del enamoramiento»</w:t>
      </w:r>
      <w:r w:rsidR="004B74A4">
        <w:rPr>
          <w:rStyle w:val="Refdenotaalpie"/>
        </w:rPr>
        <w:footnoteReference w:id="229"/>
      </w:r>
      <w:r>
        <w:t>. También es importante considerar que el reclutamiento tuvo impacto en otros hechos de violencia como el desplazamiento, en la medida en que las familias</w:t>
      </w:r>
      <w:r>
        <w:rPr>
          <w:spacing w:val="-10"/>
        </w:rPr>
        <w:t xml:space="preserve"> </w:t>
      </w:r>
      <w:r>
        <w:t>de</w:t>
      </w:r>
      <w:r>
        <w:rPr>
          <w:spacing w:val="-10"/>
        </w:rPr>
        <w:t xml:space="preserve"> </w:t>
      </w:r>
      <w:r>
        <w:t>las</w:t>
      </w:r>
      <w:r>
        <w:rPr>
          <w:spacing w:val="-10"/>
        </w:rPr>
        <w:t xml:space="preserve"> </w:t>
      </w:r>
      <w:r>
        <w:t>zonas</w:t>
      </w:r>
      <w:r>
        <w:rPr>
          <w:spacing w:val="-10"/>
        </w:rPr>
        <w:t xml:space="preserve"> </w:t>
      </w:r>
      <w:r>
        <w:t>de</w:t>
      </w:r>
      <w:r>
        <w:rPr>
          <w:spacing w:val="-12"/>
        </w:rPr>
        <w:t xml:space="preserve"> </w:t>
      </w:r>
      <w:r>
        <w:t>influencia</w:t>
      </w:r>
      <w:r>
        <w:rPr>
          <w:spacing w:val="-10"/>
        </w:rPr>
        <w:t xml:space="preserve"> </w:t>
      </w:r>
      <w:r>
        <w:t>guerrillera</w:t>
      </w:r>
      <w:r>
        <w:rPr>
          <w:spacing w:val="-10"/>
        </w:rPr>
        <w:t xml:space="preserve"> </w:t>
      </w:r>
      <w:r>
        <w:t>como</w:t>
      </w:r>
      <w:r>
        <w:rPr>
          <w:spacing w:val="-11"/>
        </w:rPr>
        <w:t xml:space="preserve"> </w:t>
      </w:r>
      <w:r>
        <w:t>los</w:t>
      </w:r>
      <w:r>
        <w:rPr>
          <w:spacing w:val="-11"/>
        </w:rPr>
        <w:t xml:space="preserve"> </w:t>
      </w:r>
      <w:r>
        <w:t>Llanos,</w:t>
      </w:r>
      <w:r>
        <w:rPr>
          <w:spacing w:val="-12"/>
        </w:rPr>
        <w:t xml:space="preserve"> </w:t>
      </w:r>
      <w:r>
        <w:t>Putumayo,</w:t>
      </w:r>
      <w:r>
        <w:rPr>
          <w:spacing w:val="-12"/>
        </w:rPr>
        <w:t xml:space="preserve"> </w:t>
      </w:r>
      <w:r>
        <w:t>Caquetá,</w:t>
      </w:r>
      <w:r>
        <w:rPr>
          <w:spacing w:val="-11"/>
        </w:rPr>
        <w:t xml:space="preserve"> </w:t>
      </w:r>
      <w:r>
        <w:t>Vichada y</w:t>
      </w:r>
      <w:r>
        <w:rPr>
          <w:spacing w:val="-2"/>
        </w:rPr>
        <w:t xml:space="preserve"> </w:t>
      </w:r>
      <w:r>
        <w:t>Guaviare</w:t>
      </w:r>
      <w:r>
        <w:rPr>
          <w:spacing w:val="-2"/>
        </w:rPr>
        <w:t xml:space="preserve"> </w:t>
      </w:r>
      <w:r>
        <w:t>decidieron</w:t>
      </w:r>
      <w:r>
        <w:rPr>
          <w:spacing w:val="-1"/>
        </w:rPr>
        <w:t xml:space="preserve"> </w:t>
      </w:r>
      <w:r>
        <w:t>abandonar</w:t>
      </w:r>
      <w:r>
        <w:rPr>
          <w:spacing w:val="-2"/>
        </w:rPr>
        <w:t xml:space="preserve"> </w:t>
      </w:r>
      <w:r>
        <w:t>sus</w:t>
      </w:r>
      <w:r>
        <w:rPr>
          <w:spacing w:val="-1"/>
        </w:rPr>
        <w:t xml:space="preserve"> </w:t>
      </w:r>
      <w:r>
        <w:t>tierras</w:t>
      </w:r>
      <w:r>
        <w:rPr>
          <w:spacing w:val="-1"/>
        </w:rPr>
        <w:t xml:space="preserve"> </w:t>
      </w:r>
      <w:r>
        <w:t>para</w:t>
      </w:r>
      <w:r>
        <w:rPr>
          <w:spacing w:val="-2"/>
        </w:rPr>
        <w:t xml:space="preserve"> </w:t>
      </w:r>
      <w:r>
        <w:t>evitar</w:t>
      </w:r>
      <w:r>
        <w:rPr>
          <w:spacing w:val="-2"/>
        </w:rPr>
        <w:t xml:space="preserve"> </w:t>
      </w:r>
      <w:r>
        <w:t>el</w:t>
      </w:r>
      <w:r>
        <w:rPr>
          <w:spacing w:val="-2"/>
        </w:rPr>
        <w:t xml:space="preserve"> </w:t>
      </w:r>
      <w:r>
        <w:t>reclutamiento</w:t>
      </w:r>
      <w:r>
        <w:rPr>
          <w:spacing w:val="-1"/>
        </w:rPr>
        <w:t xml:space="preserve"> </w:t>
      </w:r>
      <w:r>
        <w:t>de</w:t>
      </w:r>
      <w:r>
        <w:rPr>
          <w:spacing w:val="-2"/>
        </w:rPr>
        <w:t xml:space="preserve"> </w:t>
      </w:r>
      <w:r>
        <w:t>sus</w:t>
      </w:r>
      <w:r>
        <w:rPr>
          <w:spacing w:val="-1"/>
        </w:rPr>
        <w:t xml:space="preserve"> </w:t>
      </w:r>
      <w:r>
        <w:t>hijos</w:t>
      </w:r>
      <w:r>
        <w:rPr>
          <w:spacing w:val="-1"/>
        </w:rPr>
        <w:t xml:space="preserve"> </w:t>
      </w:r>
      <w:r>
        <w:t>e</w:t>
      </w:r>
      <w:r>
        <w:rPr>
          <w:spacing w:val="-2"/>
        </w:rPr>
        <w:t xml:space="preserve"> hijas.</w:t>
      </w:r>
    </w:p>
    <w:p w:rsidR="0011361F" w:rsidRDefault="00AF18A5" w:rsidP="004A6EF4">
      <w:pPr>
        <w:pStyle w:val="Ttulo4"/>
        <w:numPr>
          <w:ilvl w:val="2"/>
          <w:numId w:val="16"/>
        </w:numPr>
      </w:pPr>
      <w:bookmarkStart w:id="357" w:name="4.3.4._Purgas_y_disputas_entre_guerrilla"/>
      <w:bookmarkEnd w:id="357"/>
      <w:r>
        <w:t>Purgas</w:t>
      </w:r>
      <w:r>
        <w:rPr>
          <w:spacing w:val="-2"/>
        </w:rPr>
        <w:t xml:space="preserve"> </w:t>
      </w:r>
      <w:r>
        <w:t>y</w:t>
      </w:r>
      <w:r>
        <w:rPr>
          <w:spacing w:val="-2"/>
        </w:rPr>
        <w:t xml:space="preserve"> </w:t>
      </w:r>
      <w:r>
        <w:t>disputas</w:t>
      </w:r>
      <w:r>
        <w:rPr>
          <w:spacing w:val="-3"/>
        </w:rPr>
        <w:t xml:space="preserve"> </w:t>
      </w:r>
      <w:r>
        <w:t>entre</w:t>
      </w:r>
      <w:r>
        <w:rPr>
          <w:spacing w:val="-1"/>
        </w:rPr>
        <w:t xml:space="preserve"> </w:t>
      </w:r>
      <w:r>
        <w:rPr>
          <w:spacing w:val="-2"/>
        </w:rPr>
        <w:t>guerrillas</w:t>
      </w:r>
    </w:p>
    <w:p w:rsidR="003804AC" w:rsidRDefault="00AF18A5" w:rsidP="00EB0C3D">
      <w:r>
        <w:t>El concepto de enemigo también fue utilizado por las guerrillas como una forma de acabar con disidencias internas o señalar a quienes desertaron, a quienes se desencantaron de sus planteamientos,</w:t>
      </w:r>
      <w:r>
        <w:rPr>
          <w:spacing w:val="25"/>
        </w:rPr>
        <w:t xml:space="preserve"> </w:t>
      </w:r>
      <w:r>
        <w:t>se</w:t>
      </w:r>
      <w:r>
        <w:rPr>
          <w:spacing w:val="28"/>
        </w:rPr>
        <w:t xml:space="preserve"> </w:t>
      </w:r>
      <w:r>
        <w:t>cansaron</w:t>
      </w:r>
      <w:r>
        <w:rPr>
          <w:spacing w:val="27"/>
        </w:rPr>
        <w:t xml:space="preserve"> </w:t>
      </w:r>
      <w:r>
        <w:t>de</w:t>
      </w:r>
      <w:r>
        <w:rPr>
          <w:spacing w:val="26"/>
        </w:rPr>
        <w:t xml:space="preserve"> </w:t>
      </w:r>
      <w:r>
        <w:t>la</w:t>
      </w:r>
      <w:r>
        <w:rPr>
          <w:spacing w:val="28"/>
        </w:rPr>
        <w:t xml:space="preserve"> </w:t>
      </w:r>
      <w:r>
        <w:t>guerra</w:t>
      </w:r>
      <w:r>
        <w:rPr>
          <w:spacing w:val="28"/>
        </w:rPr>
        <w:t xml:space="preserve"> </w:t>
      </w:r>
      <w:r>
        <w:t>o</w:t>
      </w:r>
      <w:r>
        <w:rPr>
          <w:spacing w:val="26"/>
        </w:rPr>
        <w:t xml:space="preserve"> </w:t>
      </w:r>
      <w:r>
        <w:t>decidieron</w:t>
      </w:r>
      <w:r>
        <w:rPr>
          <w:spacing w:val="27"/>
        </w:rPr>
        <w:t xml:space="preserve"> </w:t>
      </w:r>
      <w:r>
        <w:t>que</w:t>
      </w:r>
      <w:r>
        <w:rPr>
          <w:spacing w:val="26"/>
        </w:rPr>
        <w:t xml:space="preserve"> </w:t>
      </w:r>
      <w:r>
        <w:t>la</w:t>
      </w:r>
      <w:r>
        <w:rPr>
          <w:spacing w:val="28"/>
        </w:rPr>
        <w:t xml:space="preserve"> </w:t>
      </w:r>
      <w:r>
        <w:t>solución</w:t>
      </w:r>
      <w:r>
        <w:rPr>
          <w:spacing w:val="27"/>
        </w:rPr>
        <w:t xml:space="preserve"> </w:t>
      </w:r>
      <w:r>
        <w:t>no</w:t>
      </w:r>
      <w:r>
        <w:rPr>
          <w:spacing w:val="27"/>
        </w:rPr>
        <w:t xml:space="preserve"> </w:t>
      </w:r>
      <w:r>
        <w:t>eran</w:t>
      </w:r>
      <w:r>
        <w:rPr>
          <w:spacing w:val="26"/>
        </w:rPr>
        <w:t xml:space="preserve"> </w:t>
      </w:r>
      <w:r>
        <w:t>las</w:t>
      </w:r>
      <w:r>
        <w:rPr>
          <w:spacing w:val="29"/>
        </w:rPr>
        <w:t xml:space="preserve"> </w:t>
      </w:r>
      <w:r>
        <w:rPr>
          <w:spacing w:val="-2"/>
        </w:rPr>
        <w:t>armas,</w:t>
      </w:r>
      <w:bookmarkStart w:id="358" w:name="_bookmark268"/>
      <w:bookmarkEnd w:id="358"/>
      <w:r w:rsidR="00EB0C3D">
        <w:t xml:space="preserve"> </w:t>
      </w:r>
      <w:r>
        <w:t>quienes frecuentemente fueron tratados como traidores y vendidos, y señalados para irse o morir.</w:t>
      </w:r>
      <w:r>
        <w:rPr>
          <w:spacing w:val="-2"/>
        </w:rPr>
        <w:t xml:space="preserve"> </w:t>
      </w:r>
      <w:r>
        <w:t>Algunas situaciones extremas se dieron cuando en las guerrillas se llevaron a cabo purgas por paranoia, riesgo de infiltración o por conflictos con otros grupos por motivos de control del territorio o disputas sobre recursos.</w:t>
      </w:r>
    </w:p>
    <w:p w:rsidR="003804AC" w:rsidRDefault="00AF18A5" w:rsidP="00EB0C3D">
      <w:r>
        <w:t>Como</w:t>
      </w:r>
      <w:r>
        <w:rPr>
          <w:spacing w:val="-7"/>
        </w:rPr>
        <w:t xml:space="preserve"> </w:t>
      </w:r>
      <w:r>
        <w:t>ya</w:t>
      </w:r>
      <w:r>
        <w:rPr>
          <w:spacing w:val="-7"/>
        </w:rPr>
        <w:t xml:space="preserve"> </w:t>
      </w:r>
      <w:r>
        <w:t>se</w:t>
      </w:r>
      <w:r>
        <w:rPr>
          <w:spacing w:val="-7"/>
        </w:rPr>
        <w:t xml:space="preserve"> </w:t>
      </w:r>
      <w:r>
        <w:t>señaló,</w:t>
      </w:r>
      <w:r>
        <w:rPr>
          <w:spacing w:val="-7"/>
        </w:rPr>
        <w:t xml:space="preserve"> </w:t>
      </w:r>
      <w:r>
        <w:t>los</w:t>
      </w:r>
      <w:r>
        <w:rPr>
          <w:spacing w:val="-7"/>
        </w:rPr>
        <w:t xml:space="preserve"> </w:t>
      </w:r>
      <w:r>
        <w:t>años</w:t>
      </w:r>
      <w:r>
        <w:rPr>
          <w:spacing w:val="-7"/>
        </w:rPr>
        <w:t xml:space="preserve"> </w:t>
      </w:r>
      <w:r>
        <w:t>iniciales</w:t>
      </w:r>
      <w:r>
        <w:rPr>
          <w:spacing w:val="-8"/>
        </w:rPr>
        <w:t xml:space="preserve"> </w:t>
      </w:r>
      <w:r>
        <w:t>del</w:t>
      </w:r>
      <w:r>
        <w:rPr>
          <w:spacing w:val="-7"/>
        </w:rPr>
        <w:t xml:space="preserve"> </w:t>
      </w:r>
      <w:r>
        <w:t>ELN</w:t>
      </w:r>
      <w:r>
        <w:rPr>
          <w:spacing w:val="-8"/>
        </w:rPr>
        <w:t xml:space="preserve"> </w:t>
      </w:r>
      <w:r>
        <w:t>estuvieron</w:t>
      </w:r>
      <w:r>
        <w:rPr>
          <w:spacing w:val="-7"/>
        </w:rPr>
        <w:t xml:space="preserve"> </w:t>
      </w:r>
      <w:r>
        <w:t>marcados</w:t>
      </w:r>
      <w:r>
        <w:rPr>
          <w:spacing w:val="-7"/>
        </w:rPr>
        <w:t xml:space="preserve"> </w:t>
      </w:r>
      <w:r>
        <w:t>por</w:t>
      </w:r>
      <w:r>
        <w:rPr>
          <w:spacing w:val="-7"/>
        </w:rPr>
        <w:t xml:space="preserve"> </w:t>
      </w:r>
      <w:r>
        <w:t>muchas</w:t>
      </w:r>
      <w:r>
        <w:rPr>
          <w:spacing w:val="-7"/>
        </w:rPr>
        <w:t xml:space="preserve"> </w:t>
      </w:r>
      <w:r>
        <w:t>tensiones y problemas internos, que fueron dirimidos a través de purgas que llevaron al grupo a una coyuntura crítica y a casi a la extinción de su proyecto armado. Igualmente, según los testimonios</w:t>
      </w:r>
      <w:r>
        <w:rPr>
          <w:spacing w:val="-12"/>
        </w:rPr>
        <w:t xml:space="preserve"> </w:t>
      </w:r>
      <w:r>
        <w:t>recopilados</w:t>
      </w:r>
      <w:r>
        <w:rPr>
          <w:spacing w:val="-12"/>
        </w:rPr>
        <w:t xml:space="preserve"> </w:t>
      </w:r>
      <w:r>
        <w:t>por</w:t>
      </w:r>
      <w:r>
        <w:rPr>
          <w:spacing w:val="-10"/>
        </w:rPr>
        <w:t xml:space="preserve"> </w:t>
      </w:r>
      <w:r>
        <w:t>la</w:t>
      </w:r>
      <w:r>
        <w:rPr>
          <w:spacing w:val="-11"/>
        </w:rPr>
        <w:t xml:space="preserve"> </w:t>
      </w:r>
      <w:r>
        <w:t>Comisión,</w:t>
      </w:r>
      <w:r>
        <w:rPr>
          <w:spacing w:val="-11"/>
        </w:rPr>
        <w:t xml:space="preserve"> </w:t>
      </w:r>
      <w:r>
        <w:t>entre</w:t>
      </w:r>
      <w:r>
        <w:rPr>
          <w:spacing w:val="-11"/>
        </w:rPr>
        <w:t xml:space="preserve"> </w:t>
      </w:r>
      <w:r>
        <w:t>noviembre</w:t>
      </w:r>
      <w:r>
        <w:rPr>
          <w:spacing w:val="-11"/>
        </w:rPr>
        <w:t xml:space="preserve"> </w:t>
      </w:r>
      <w:r>
        <w:t>de</w:t>
      </w:r>
      <w:r>
        <w:rPr>
          <w:spacing w:val="-12"/>
        </w:rPr>
        <w:t xml:space="preserve"> </w:t>
      </w:r>
      <w:r>
        <w:t>1985</w:t>
      </w:r>
      <w:r>
        <w:rPr>
          <w:spacing w:val="-11"/>
        </w:rPr>
        <w:t xml:space="preserve"> </w:t>
      </w:r>
      <w:r>
        <w:t>y</w:t>
      </w:r>
      <w:r>
        <w:rPr>
          <w:spacing w:val="-11"/>
        </w:rPr>
        <w:t xml:space="preserve"> </w:t>
      </w:r>
      <w:r>
        <w:t>enero</w:t>
      </w:r>
      <w:r>
        <w:rPr>
          <w:spacing w:val="-11"/>
        </w:rPr>
        <w:t xml:space="preserve"> </w:t>
      </w:r>
      <w:r>
        <w:t>de</w:t>
      </w:r>
      <w:r>
        <w:rPr>
          <w:spacing w:val="-11"/>
        </w:rPr>
        <w:t xml:space="preserve"> </w:t>
      </w:r>
      <w:r>
        <w:t>1986,</w:t>
      </w:r>
      <w:r>
        <w:rPr>
          <w:spacing w:val="-11"/>
        </w:rPr>
        <w:t xml:space="preserve"> </w:t>
      </w:r>
      <w:r>
        <w:t>el</w:t>
      </w:r>
      <w:r>
        <w:rPr>
          <w:spacing w:val="-12"/>
        </w:rPr>
        <w:t xml:space="preserve"> </w:t>
      </w:r>
      <w:r>
        <w:t xml:space="preserve">Frente Ricardo Franco, grupo guerrillero disidente de las FARC-EP, comandado por José </w:t>
      </w:r>
      <w:proofErr w:type="spellStart"/>
      <w:r>
        <w:t>Fedor</w:t>
      </w:r>
      <w:proofErr w:type="spellEnd"/>
      <w:r>
        <w:t xml:space="preserve"> Rey,</w:t>
      </w:r>
      <w:r>
        <w:rPr>
          <w:spacing w:val="-2"/>
        </w:rPr>
        <w:t xml:space="preserve"> </w:t>
      </w:r>
      <w:r>
        <w:t>alias</w:t>
      </w:r>
      <w:r>
        <w:rPr>
          <w:spacing w:val="-3"/>
        </w:rPr>
        <w:t xml:space="preserve"> </w:t>
      </w:r>
      <w:r>
        <w:t>Javier</w:t>
      </w:r>
      <w:r>
        <w:rPr>
          <w:spacing w:val="-2"/>
        </w:rPr>
        <w:t xml:space="preserve"> </w:t>
      </w:r>
      <w:r>
        <w:t>Delgado,</w:t>
      </w:r>
      <w:r>
        <w:rPr>
          <w:spacing w:val="-2"/>
        </w:rPr>
        <w:t xml:space="preserve"> </w:t>
      </w:r>
      <w:r>
        <w:t>y</w:t>
      </w:r>
      <w:r>
        <w:rPr>
          <w:spacing w:val="-2"/>
        </w:rPr>
        <w:t xml:space="preserve"> </w:t>
      </w:r>
      <w:r>
        <w:t>Hernando</w:t>
      </w:r>
      <w:r>
        <w:rPr>
          <w:spacing w:val="-2"/>
        </w:rPr>
        <w:t xml:space="preserve"> </w:t>
      </w:r>
      <w:r>
        <w:t>Pizarro,</w:t>
      </w:r>
      <w:r>
        <w:rPr>
          <w:spacing w:val="-2"/>
        </w:rPr>
        <w:t xml:space="preserve"> </w:t>
      </w:r>
      <w:r>
        <w:t>asesinó</w:t>
      </w:r>
      <w:r>
        <w:rPr>
          <w:spacing w:val="-2"/>
        </w:rPr>
        <w:t xml:space="preserve"> </w:t>
      </w:r>
      <w:r>
        <w:t>a</w:t>
      </w:r>
      <w:r>
        <w:rPr>
          <w:spacing w:val="-2"/>
        </w:rPr>
        <w:t xml:space="preserve"> </w:t>
      </w:r>
      <w:r>
        <w:t>164</w:t>
      </w:r>
      <w:r>
        <w:rPr>
          <w:spacing w:val="-3"/>
        </w:rPr>
        <w:t xml:space="preserve"> </w:t>
      </w:r>
      <w:r>
        <w:t>combatientes</w:t>
      </w:r>
      <w:r>
        <w:rPr>
          <w:spacing w:val="-2"/>
        </w:rPr>
        <w:t xml:space="preserve"> </w:t>
      </w:r>
      <w:r>
        <w:t>que</w:t>
      </w:r>
      <w:r>
        <w:rPr>
          <w:spacing w:val="-2"/>
        </w:rPr>
        <w:t xml:space="preserve"> </w:t>
      </w:r>
      <w:r>
        <w:t>hacían</w:t>
      </w:r>
      <w:r>
        <w:rPr>
          <w:spacing w:val="-2"/>
        </w:rPr>
        <w:t xml:space="preserve"> </w:t>
      </w:r>
      <w:r>
        <w:t>parte de</w:t>
      </w:r>
      <w:r>
        <w:rPr>
          <w:spacing w:val="-4"/>
        </w:rPr>
        <w:t xml:space="preserve"> </w:t>
      </w:r>
      <w:r>
        <w:t>la</w:t>
      </w:r>
      <w:r>
        <w:rPr>
          <w:spacing w:val="-4"/>
        </w:rPr>
        <w:t xml:space="preserve"> </w:t>
      </w:r>
      <w:r>
        <w:t>organización,</w:t>
      </w:r>
      <w:r>
        <w:rPr>
          <w:spacing w:val="-5"/>
        </w:rPr>
        <w:t xml:space="preserve"> </w:t>
      </w:r>
      <w:r>
        <w:t>en</w:t>
      </w:r>
      <w:r>
        <w:rPr>
          <w:spacing w:val="-5"/>
        </w:rPr>
        <w:t xml:space="preserve"> </w:t>
      </w:r>
      <w:r>
        <w:t>un</w:t>
      </w:r>
      <w:r>
        <w:rPr>
          <w:spacing w:val="-5"/>
        </w:rPr>
        <w:t xml:space="preserve"> </w:t>
      </w:r>
      <w:r>
        <w:t>contexto</w:t>
      </w:r>
      <w:r>
        <w:rPr>
          <w:spacing w:val="-5"/>
        </w:rPr>
        <w:t xml:space="preserve"> </w:t>
      </w:r>
      <w:r>
        <w:t>de</w:t>
      </w:r>
      <w:r>
        <w:rPr>
          <w:spacing w:val="-4"/>
        </w:rPr>
        <w:t xml:space="preserve"> </w:t>
      </w:r>
      <w:r>
        <w:t>alta</w:t>
      </w:r>
      <w:r>
        <w:rPr>
          <w:spacing w:val="-4"/>
        </w:rPr>
        <w:t xml:space="preserve"> </w:t>
      </w:r>
      <w:r>
        <w:t>infiltración</w:t>
      </w:r>
      <w:r>
        <w:rPr>
          <w:spacing w:val="-5"/>
        </w:rPr>
        <w:t xml:space="preserve"> </w:t>
      </w:r>
      <w:r>
        <w:t>por</w:t>
      </w:r>
      <w:r>
        <w:rPr>
          <w:spacing w:val="-4"/>
        </w:rPr>
        <w:t xml:space="preserve"> </w:t>
      </w:r>
      <w:r>
        <w:t>parte</w:t>
      </w:r>
      <w:r>
        <w:rPr>
          <w:spacing w:val="-4"/>
        </w:rPr>
        <w:t xml:space="preserve"> </w:t>
      </w:r>
      <w:r>
        <w:t>de</w:t>
      </w:r>
      <w:r>
        <w:rPr>
          <w:spacing w:val="-4"/>
        </w:rPr>
        <w:t xml:space="preserve"> </w:t>
      </w:r>
      <w:r>
        <w:t>las</w:t>
      </w:r>
      <w:r>
        <w:rPr>
          <w:spacing w:val="-4"/>
        </w:rPr>
        <w:t xml:space="preserve"> </w:t>
      </w:r>
      <w:r>
        <w:t>Fuerzas</w:t>
      </w:r>
      <w:r>
        <w:rPr>
          <w:spacing w:val="-4"/>
        </w:rPr>
        <w:t xml:space="preserve"> </w:t>
      </w:r>
      <w:r>
        <w:t>Militares.</w:t>
      </w:r>
      <w:r>
        <w:rPr>
          <w:spacing w:val="-5"/>
        </w:rPr>
        <w:t xml:space="preserve"> </w:t>
      </w:r>
      <w:r>
        <w:t xml:space="preserve">Los </w:t>
      </w:r>
      <w:r>
        <w:lastRenderedPageBreak/>
        <w:t>testimonios señalan asimismo que las víctimas fueron torturadas, asesinadas con armas cortopunzantes y, en muchas ocasiones, enterradas vivas</w:t>
      </w:r>
      <w:r w:rsidR="00EB0C3D">
        <w:rPr>
          <w:rStyle w:val="Refdenotaalpie"/>
        </w:rPr>
        <w:footnoteReference w:id="230"/>
      </w:r>
      <w:r>
        <w:t xml:space="preserve">, acusadas de ser infiltradas del </w:t>
      </w:r>
      <w:r>
        <w:rPr>
          <w:spacing w:val="-2"/>
        </w:rPr>
        <w:t>Ejército.</w:t>
      </w:r>
    </w:p>
    <w:p w:rsidR="0011361F" w:rsidRDefault="00AF18A5" w:rsidP="00EB0C3D">
      <w:r>
        <w:t xml:space="preserve">También ilustran esa violencia las </w:t>
      </w:r>
      <w:proofErr w:type="spellStart"/>
      <w:r>
        <w:t>intrafilas</w:t>
      </w:r>
      <w:proofErr w:type="spellEnd"/>
      <w:r>
        <w:t xml:space="preserve"> o purgas ocurridas en 1988 en el Magdalena Medio, donde tuvo lugar una de las más grandes de un grupo guerrillero en la historia del conflicto armado en Colombia. En los departamentos de Santander, Bolívar y Norte de Santander, donde se ubicaban los frentes 4, 11, 12, 20, 23, 24 y 33, el Secretariado de las FARC-EP</w:t>
      </w:r>
      <w:r>
        <w:rPr>
          <w:spacing w:val="-9"/>
        </w:rPr>
        <w:t xml:space="preserve"> </w:t>
      </w:r>
      <w:r>
        <w:t>dio</w:t>
      </w:r>
      <w:r>
        <w:rPr>
          <w:spacing w:val="-9"/>
        </w:rPr>
        <w:t xml:space="preserve"> </w:t>
      </w:r>
      <w:r>
        <w:t>la</w:t>
      </w:r>
      <w:r>
        <w:rPr>
          <w:spacing w:val="-9"/>
        </w:rPr>
        <w:t xml:space="preserve"> </w:t>
      </w:r>
      <w:r>
        <w:t>orden</w:t>
      </w:r>
      <w:r>
        <w:rPr>
          <w:spacing w:val="-9"/>
        </w:rPr>
        <w:t xml:space="preserve"> </w:t>
      </w:r>
      <w:r>
        <w:t>de</w:t>
      </w:r>
      <w:r>
        <w:rPr>
          <w:spacing w:val="-9"/>
        </w:rPr>
        <w:t xml:space="preserve"> </w:t>
      </w:r>
      <w:r>
        <w:t>conformar</w:t>
      </w:r>
      <w:r>
        <w:rPr>
          <w:spacing w:val="-10"/>
        </w:rPr>
        <w:t xml:space="preserve"> </w:t>
      </w:r>
      <w:r>
        <w:t>el</w:t>
      </w:r>
      <w:r>
        <w:rPr>
          <w:spacing w:val="-9"/>
        </w:rPr>
        <w:t xml:space="preserve"> </w:t>
      </w:r>
      <w:r>
        <w:t>Bloque</w:t>
      </w:r>
      <w:r>
        <w:rPr>
          <w:spacing w:val="-9"/>
        </w:rPr>
        <w:t xml:space="preserve"> </w:t>
      </w:r>
      <w:r>
        <w:t>Magdalena</w:t>
      </w:r>
      <w:r>
        <w:rPr>
          <w:spacing w:val="-9"/>
        </w:rPr>
        <w:t xml:space="preserve"> </w:t>
      </w:r>
      <w:r>
        <w:t>Medio.</w:t>
      </w:r>
      <w:r>
        <w:rPr>
          <w:spacing w:val="-9"/>
        </w:rPr>
        <w:t xml:space="preserve"> </w:t>
      </w:r>
      <w:r>
        <w:t>Para</w:t>
      </w:r>
      <w:r>
        <w:rPr>
          <w:spacing w:val="-9"/>
        </w:rPr>
        <w:t xml:space="preserve"> </w:t>
      </w:r>
      <w:r>
        <w:t>cumplir</w:t>
      </w:r>
      <w:r>
        <w:rPr>
          <w:spacing w:val="-9"/>
        </w:rPr>
        <w:t xml:space="preserve"> </w:t>
      </w:r>
      <w:r>
        <w:t>con</w:t>
      </w:r>
      <w:r>
        <w:rPr>
          <w:spacing w:val="-9"/>
        </w:rPr>
        <w:t xml:space="preserve"> </w:t>
      </w:r>
      <w:r>
        <w:t>este</w:t>
      </w:r>
      <w:r>
        <w:rPr>
          <w:spacing w:val="-9"/>
        </w:rPr>
        <w:t xml:space="preserve"> </w:t>
      </w:r>
      <w:r>
        <w:t>fin, los jefes del grupo guerrillero enviaron a un elegido representante de la UP a la Cámara por Cundinamarca para el periodo 1986-1990, que, ante el comienzo del genocidio contra el partido y amenazas contra su vida, había decidido volver a las filas guerrilleras. Según los testimonios aportados por los sobrevivientes de la masacre, asumió la comandancia del Frente 11 debido a los cambios internos por una supuesta red de infiltración ordenada por organismos de inteligencia del Estado, lo que llevó a numerosos ajusticiamientos.</w:t>
      </w:r>
    </w:p>
    <w:p w:rsidR="003804AC" w:rsidRDefault="00AF18A5" w:rsidP="00EB0C3D">
      <w:bookmarkStart w:id="359" w:name="_bookmark269"/>
      <w:bookmarkEnd w:id="359"/>
      <w:r>
        <w:t>Además de estas disputas internas violentas y la práctica de ajusticiamientos, los enfrentamientos entre guerrillas han tenido en algunos periodos históricos un alto costo en víctimas de la población civil. Por ejemplo, en Arauca y el Catatumbo, que sufrieron el impacto</w:t>
      </w:r>
      <w:r>
        <w:rPr>
          <w:spacing w:val="-12"/>
        </w:rPr>
        <w:t xml:space="preserve"> </w:t>
      </w:r>
      <w:r>
        <w:t>de</w:t>
      </w:r>
      <w:r>
        <w:rPr>
          <w:spacing w:val="-13"/>
        </w:rPr>
        <w:t xml:space="preserve"> </w:t>
      </w:r>
      <w:r>
        <w:t>la</w:t>
      </w:r>
      <w:r>
        <w:rPr>
          <w:spacing w:val="-12"/>
        </w:rPr>
        <w:t xml:space="preserve"> </w:t>
      </w:r>
      <w:r>
        <w:t>guerra</w:t>
      </w:r>
      <w:r>
        <w:rPr>
          <w:spacing w:val="-12"/>
        </w:rPr>
        <w:t xml:space="preserve"> </w:t>
      </w:r>
      <w:r>
        <w:t>entre</w:t>
      </w:r>
      <w:r>
        <w:rPr>
          <w:spacing w:val="-12"/>
        </w:rPr>
        <w:t xml:space="preserve"> </w:t>
      </w:r>
      <w:r>
        <w:t>las</w:t>
      </w:r>
      <w:r>
        <w:rPr>
          <w:spacing w:val="-13"/>
        </w:rPr>
        <w:t xml:space="preserve"> </w:t>
      </w:r>
      <w:r>
        <w:t>FARC-EP,</w:t>
      </w:r>
      <w:r>
        <w:rPr>
          <w:spacing w:val="-12"/>
        </w:rPr>
        <w:t xml:space="preserve"> </w:t>
      </w:r>
      <w:r>
        <w:t>el</w:t>
      </w:r>
      <w:r>
        <w:rPr>
          <w:spacing w:val="-12"/>
        </w:rPr>
        <w:t xml:space="preserve"> </w:t>
      </w:r>
      <w:r>
        <w:t>ELN</w:t>
      </w:r>
      <w:r>
        <w:rPr>
          <w:spacing w:val="-14"/>
        </w:rPr>
        <w:t xml:space="preserve"> </w:t>
      </w:r>
      <w:r>
        <w:t>y</w:t>
      </w:r>
      <w:r>
        <w:rPr>
          <w:spacing w:val="-12"/>
        </w:rPr>
        <w:t xml:space="preserve"> </w:t>
      </w:r>
      <w:r>
        <w:t>las</w:t>
      </w:r>
      <w:r>
        <w:rPr>
          <w:spacing w:val="-13"/>
        </w:rPr>
        <w:t xml:space="preserve"> </w:t>
      </w:r>
      <w:r>
        <w:t>disidencias</w:t>
      </w:r>
      <w:r>
        <w:rPr>
          <w:spacing w:val="-12"/>
        </w:rPr>
        <w:t xml:space="preserve"> </w:t>
      </w:r>
      <w:r>
        <w:t>del</w:t>
      </w:r>
      <w:r>
        <w:rPr>
          <w:spacing w:val="-12"/>
        </w:rPr>
        <w:t xml:space="preserve"> </w:t>
      </w:r>
      <w:r>
        <w:t>EPL</w:t>
      </w:r>
      <w:r>
        <w:rPr>
          <w:spacing w:val="-13"/>
        </w:rPr>
        <w:t xml:space="preserve"> </w:t>
      </w:r>
      <w:r>
        <w:t>(los</w:t>
      </w:r>
      <w:r>
        <w:rPr>
          <w:spacing w:val="-13"/>
        </w:rPr>
        <w:t xml:space="preserve"> </w:t>
      </w:r>
      <w:proofErr w:type="spellStart"/>
      <w:r>
        <w:t>Pelusos</w:t>
      </w:r>
      <w:proofErr w:type="spellEnd"/>
      <w:r>
        <w:t>).</w:t>
      </w:r>
      <w:r>
        <w:rPr>
          <w:spacing w:val="-12"/>
        </w:rPr>
        <w:t xml:space="preserve"> </w:t>
      </w:r>
      <w:r>
        <w:t>Esta situación afectó a la población civil y a las organizaciones comunitarias, las cuales fueron señaladas de ser colaboradoras del grupo contrario. En Arauca, entre 2005 y 2010, el conflicto</w:t>
      </w:r>
      <w:r>
        <w:rPr>
          <w:spacing w:val="-1"/>
        </w:rPr>
        <w:t xml:space="preserve"> </w:t>
      </w:r>
      <w:r>
        <w:t>entre</w:t>
      </w:r>
      <w:r>
        <w:rPr>
          <w:spacing w:val="-1"/>
        </w:rPr>
        <w:t xml:space="preserve"> </w:t>
      </w:r>
      <w:r>
        <w:t>el</w:t>
      </w:r>
      <w:r>
        <w:rPr>
          <w:spacing w:val="-1"/>
        </w:rPr>
        <w:t xml:space="preserve"> </w:t>
      </w:r>
      <w:r>
        <w:t>ELN</w:t>
      </w:r>
      <w:r>
        <w:rPr>
          <w:spacing w:val="-2"/>
        </w:rPr>
        <w:t xml:space="preserve"> </w:t>
      </w:r>
      <w:r>
        <w:t>y</w:t>
      </w:r>
      <w:r>
        <w:rPr>
          <w:spacing w:val="-3"/>
        </w:rPr>
        <w:t xml:space="preserve"> </w:t>
      </w:r>
      <w:r>
        <w:t>las</w:t>
      </w:r>
      <w:r>
        <w:rPr>
          <w:spacing w:val="-1"/>
        </w:rPr>
        <w:t xml:space="preserve"> </w:t>
      </w:r>
      <w:r>
        <w:t>FARC-EP</w:t>
      </w:r>
      <w:r>
        <w:rPr>
          <w:spacing w:val="-2"/>
        </w:rPr>
        <w:t xml:space="preserve"> </w:t>
      </w:r>
      <w:r>
        <w:t>se</w:t>
      </w:r>
      <w:r>
        <w:rPr>
          <w:spacing w:val="-1"/>
        </w:rPr>
        <w:t xml:space="preserve"> </w:t>
      </w:r>
      <w:r>
        <w:t>agudizó</w:t>
      </w:r>
      <w:r>
        <w:rPr>
          <w:spacing w:val="-2"/>
        </w:rPr>
        <w:t xml:space="preserve"> </w:t>
      </w:r>
      <w:r>
        <w:t>al</w:t>
      </w:r>
      <w:r>
        <w:rPr>
          <w:spacing w:val="-1"/>
        </w:rPr>
        <w:t xml:space="preserve"> </w:t>
      </w:r>
      <w:r>
        <w:t>punto</w:t>
      </w:r>
      <w:r>
        <w:rPr>
          <w:spacing w:val="-1"/>
        </w:rPr>
        <w:t xml:space="preserve"> </w:t>
      </w:r>
      <w:r>
        <w:t>de</w:t>
      </w:r>
      <w:r>
        <w:rPr>
          <w:spacing w:val="-2"/>
        </w:rPr>
        <w:t xml:space="preserve"> </w:t>
      </w:r>
      <w:r>
        <w:t>que</w:t>
      </w:r>
      <w:r>
        <w:rPr>
          <w:spacing w:val="-1"/>
        </w:rPr>
        <w:t xml:space="preserve"> </w:t>
      </w:r>
      <w:r>
        <w:t>se</w:t>
      </w:r>
      <w:r>
        <w:rPr>
          <w:spacing w:val="-1"/>
        </w:rPr>
        <w:t xml:space="preserve"> </w:t>
      </w:r>
      <w:r>
        <w:t>presentó</w:t>
      </w:r>
      <w:r>
        <w:rPr>
          <w:spacing w:val="-1"/>
        </w:rPr>
        <w:t xml:space="preserve"> </w:t>
      </w:r>
      <w:r>
        <w:t>un</w:t>
      </w:r>
      <w:r>
        <w:rPr>
          <w:spacing w:val="-1"/>
        </w:rPr>
        <w:t xml:space="preserve"> </w:t>
      </w:r>
      <w:r>
        <w:t>alto</w:t>
      </w:r>
      <w:r>
        <w:rPr>
          <w:spacing w:val="-1"/>
        </w:rPr>
        <w:t xml:space="preserve"> </w:t>
      </w:r>
      <w:r>
        <w:t xml:space="preserve">índice de </w:t>
      </w:r>
      <w:r>
        <w:lastRenderedPageBreak/>
        <w:t>desplazamiento y homicidios. Este caso impactó, consternó y resquebrajó a las comunidades, y creó en ellas una suspicacia que, por iniciativa de estas mismas, a través de organizaciones</w:t>
      </w:r>
      <w:r>
        <w:rPr>
          <w:spacing w:val="-5"/>
        </w:rPr>
        <w:t xml:space="preserve"> </w:t>
      </w:r>
      <w:r>
        <w:t>civiles</w:t>
      </w:r>
      <w:r>
        <w:rPr>
          <w:spacing w:val="-5"/>
        </w:rPr>
        <w:t xml:space="preserve"> </w:t>
      </w:r>
      <w:r>
        <w:t>y</w:t>
      </w:r>
      <w:r>
        <w:rPr>
          <w:spacing w:val="-6"/>
        </w:rPr>
        <w:t xml:space="preserve"> </w:t>
      </w:r>
      <w:r>
        <w:t>sociales,</w:t>
      </w:r>
      <w:r>
        <w:rPr>
          <w:spacing w:val="-6"/>
        </w:rPr>
        <w:t xml:space="preserve"> </w:t>
      </w:r>
      <w:r>
        <w:t>con</w:t>
      </w:r>
      <w:r>
        <w:rPr>
          <w:spacing w:val="-5"/>
        </w:rPr>
        <w:t xml:space="preserve"> </w:t>
      </w:r>
      <w:r>
        <w:t>ayuda</w:t>
      </w:r>
      <w:r>
        <w:rPr>
          <w:spacing w:val="-5"/>
        </w:rPr>
        <w:t xml:space="preserve"> </w:t>
      </w:r>
      <w:r>
        <w:t>de</w:t>
      </w:r>
      <w:r>
        <w:rPr>
          <w:spacing w:val="-6"/>
        </w:rPr>
        <w:t xml:space="preserve"> </w:t>
      </w:r>
      <w:r>
        <w:t>la</w:t>
      </w:r>
      <w:r>
        <w:rPr>
          <w:spacing w:val="-5"/>
        </w:rPr>
        <w:t xml:space="preserve"> </w:t>
      </w:r>
      <w:r>
        <w:t>Iglesia</w:t>
      </w:r>
      <w:r>
        <w:rPr>
          <w:spacing w:val="-6"/>
        </w:rPr>
        <w:t xml:space="preserve"> </w:t>
      </w:r>
      <w:r>
        <w:t>católica,</w:t>
      </w:r>
      <w:r>
        <w:rPr>
          <w:spacing w:val="-6"/>
        </w:rPr>
        <w:t xml:space="preserve"> </w:t>
      </w:r>
      <w:r>
        <w:t>llevó</w:t>
      </w:r>
      <w:r>
        <w:rPr>
          <w:spacing w:val="-5"/>
        </w:rPr>
        <w:t xml:space="preserve"> </w:t>
      </w:r>
      <w:r>
        <w:t>a</w:t>
      </w:r>
      <w:r>
        <w:rPr>
          <w:spacing w:val="-6"/>
        </w:rPr>
        <w:t xml:space="preserve"> </w:t>
      </w:r>
      <w:r>
        <w:t>que</w:t>
      </w:r>
      <w:r>
        <w:rPr>
          <w:spacing w:val="-5"/>
        </w:rPr>
        <w:t xml:space="preserve"> </w:t>
      </w:r>
      <w:r>
        <w:t>se</w:t>
      </w:r>
      <w:r>
        <w:rPr>
          <w:spacing w:val="-5"/>
        </w:rPr>
        <w:t xml:space="preserve"> </w:t>
      </w:r>
      <w:r>
        <w:t>organizaran para</w:t>
      </w:r>
      <w:r>
        <w:rPr>
          <w:spacing w:val="-8"/>
        </w:rPr>
        <w:t xml:space="preserve"> </w:t>
      </w:r>
      <w:r>
        <w:t>reclamar</w:t>
      </w:r>
      <w:r>
        <w:rPr>
          <w:spacing w:val="-8"/>
        </w:rPr>
        <w:t xml:space="preserve"> </w:t>
      </w:r>
      <w:r>
        <w:t>el</w:t>
      </w:r>
      <w:r>
        <w:rPr>
          <w:spacing w:val="-8"/>
        </w:rPr>
        <w:t xml:space="preserve"> </w:t>
      </w:r>
      <w:r>
        <w:t>fin</w:t>
      </w:r>
      <w:r>
        <w:rPr>
          <w:spacing w:val="-8"/>
        </w:rPr>
        <w:t xml:space="preserve"> </w:t>
      </w:r>
      <w:r>
        <w:t>de</w:t>
      </w:r>
      <w:r>
        <w:rPr>
          <w:spacing w:val="-8"/>
        </w:rPr>
        <w:t xml:space="preserve"> </w:t>
      </w:r>
      <w:r>
        <w:t>la</w:t>
      </w:r>
      <w:r>
        <w:rPr>
          <w:spacing w:val="-9"/>
        </w:rPr>
        <w:t xml:space="preserve"> </w:t>
      </w:r>
      <w:r>
        <w:t>violencia</w:t>
      </w:r>
      <w:r>
        <w:rPr>
          <w:spacing w:val="-8"/>
        </w:rPr>
        <w:t xml:space="preserve"> </w:t>
      </w:r>
      <w:r>
        <w:t>en</w:t>
      </w:r>
      <w:r>
        <w:rPr>
          <w:spacing w:val="-8"/>
        </w:rPr>
        <w:t xml:space="preserve"> </w:t>
      </w:r>
      <w:r>
        <w:t>sus</w:t>
      </w:r>
      <w:r>
        <w:rPr>
          <w:spacing w:val="-8"/>
        </w:rPr>
        <w:t xml:space="preserve"> </w:t>
      </w:r>
      <w:r>
        <w:t>territorios.</w:t>
      </w:r>
      <w:r>
        <w:rPr>
          <w:spacing w:val="-8"/>
        </w:rPr>
        <w:t xml:space="preserve"> </w:t>
      </w:r>
      <w:r>
        <w:t>Es</w:t>
      </w:r>
      <w:r>
        <w:rPr>
          <w:spacing w:val="-8"/>
        </w:rPr>
        <w:t xml:space="preserve"> </w:t>
      </w:r>
      <w:r>
        <w:t>así</w:t>
      </w:r>
      <w:r>
        <w:rPr>
          <w:spacing w:val="-8"/>
        </w:rPr>
        <w:t xml:space="preserve"> </w:t>
      </w:r>
      <w:r>
        <w:t>como</w:t>
      </w:r>
      <w:r>
        <w:rPr>
          <w:spacing w:val="-8"/>
        </w:rPr>
        <w:t xml:space="preserve"> </w:t>
      </w:r>
      <w:r>
        <w:t>entre</w:t>
      </w:r>
      <w:r>
        <w:rPr>
          <w:spacing w:val="-8"/>
        </w:rPr>
        <w:t xml:space="preserve"> </w:t>
      </w:r>
      <w:r>
        <w:t>2008</w:t>
      </w:r>
      <w:r>
        <w:rPr>
          <w:spacing w:val="-8"/>
        </w:rPr>
        <w:t xml:space="preserve"> </w:t>
      </w:r>
      <w:r>
        <w:t>y</w:t>
      </w:r>
      <w:r>
        <w:rPr>
          <w:spacing w:val="-8"/>
        </w:rPr>
        <w:t xml:space="preserve"> </w:t>
      </w:r>
      <w:r>
        <w:t>2010</w:t>
      </w:r>
      <w:r>
        <w:rPr>
          <w:spacing w:val="-8"/>
        </w:rPr>
        <w:t xml:space="preserve"> </w:t>
      </w:r>
      <w:r>
        <w:t>se</w:t>
      </w:r>
      <w:r>
        <w:rPr>
          <w:spacing w:val="-7"/>
        </w:rPr>
        <w:t xml:space="preserve"> </w:t>
      </w:r>
      <w:r>
        <w:t>inició una</w:t>
      </w:r>
      <w:r>
        <w:rPr>
          <w:spacing w:val="-3"/>
        </w:rPr>
        <w:t xml:space="preserve"> </w:t>
      </w:r>
      <w:r>
        <w:t>comisión</w:t>
      </w:r>
      <w:r>
        <w:rPr>
          <w:spacing w:val="-4"/>
        </w:rPr>
        <w:t xml:space="preserve"> </w:t>
      </w:r>
      <w:r>
        <w:t>de</w:t>
      </w:r>
      <w:r>
        <w:rPr>
          <w:spacing w:val="-3"/>
        </w:rPr>
        <w:t xml:space="preserve"> </w:t>
      </w:r>
      <w:r>
        <w:t>paz</w:t>
      </w:r>
      <w:r>
        <w:rPr>
          <w:spacing w:val="-3"/>
        </w:rPr>
        <w:t xml:space="preserve"> </w:t>
      </w:r>
      <w:r>
        <w:t>que</w:t>
      </w:r>
      <w:r>
        <w:rPr>
          <w:spacing w:val="-5"/>
        </w:rPr>
        <w:t xml:space="preserve"> </w:t>
      </w:r>
      <w:r>
        <w:t>condujo</w:t>
      </w:r>
      <w:r>
        <w:rPr>
          <w:spacing w:val="-5"/>
        </w:rPr>
        <w:t xml:space="preserve"> </w:t>
      </w:r>
      <w:r>
        <w:t>a</w:t>
      </w:r>
      <w:r>
        <w:rPr>
          <w:spacing w:val="-3"/>
        </w:rPr>
        <w:t xml:space="preserve"> </w:t>
      </w:r>
      <w:r>
        <w:t>unos</w:t>
      </w:r>
      <w:r>
        <w:rPr>
          <w:spacing w:val="-3"/>
        </w:rPr>
        <w:t xml:space="preserve"> </w:t>
      </w:r>
      <w:r>
        <w:t>pactos</w:t>
      </w:r>
      <w:r>
        <w:rPr>
          <w:spacing w:val="-3"/>
        </w:rPr>
        <w:t xml:space="preserve"> </w:t>
      </w:r>
      <w:r>
        <w:t>de</w:t>
      </w:r>
      <w:r>
        <w:rPr>
          <w:spacing w:val="-3"/>
        </w:rPr>
        <w:t xml:space="preserve"> </w:t>
      </w:r>
      <w:r>
        <w:t>convivencia</w:t>
      </w:r>
      <w:r>
        <w:rPr>
          <w:spacing w:val="-3"/>
        </w:rPr>
        <w:t xml:space="preserve"> </w:t>
      </w:r>
      <w:r>
        <w:t>y</w:t>
      </w:r>
      <w:r>
        <w:rPr>
          <w:spacing w:val="-4"/>
        </w:rPr>
        <w:t xml:space="preserve"> </w:t>
      </w:r>
      <w:r>
        <w:t>paz</w:t>
      </w:r>
      <w:r>
        <w:rPr>
          <w:spacing w:val="-3"/>
        </w:rPr>
        <w:t xml:space="preserve"> </w:t>
      </w:r>
      <w:r>
        <w:t>en</w:t>
      </w:r>
      <w:r>
        <w:rPr>
          <w:spacing w:val="-5"/>
        </w:rPr>
        <w:t xml:space="preserve"> </w:t>
      </w:r>
      <w:r>
        <w:t>la</w:t>
      </w:r>
      <w:r>
        <w:rPr>
          <w:spacing w:val="-5"/>
        </w:rPr>
        <w:t xml:space="preserve"> </w:t>
      </w:r>
      <w:r>
        <w:t>región</w:t>
      </w:r>
      <w:r w:rsidR="00EB0C3D">
        <w:rPr>
          <w:rStyle w:val="Refdenotaalpie"/>
        </w:rPr>
        <w:footnoteReference w:id="231"/>
      </w:r>
      <w:r>
        <w:t>.</w:t>
      </w:r>
      <w:r>
        <w:rPr>
          <w:spacing w:val="-4"/>
        </w:rPr>
        <w:t xml:space="preserve"> </w:t>
      </w:r>
      <w:r>
        <w:t>Allí,</w:t>
      </w:r>
      <w:r>
        <w:rPr>
          <w:spacing w:val="-6"/>
        </w:rPr>
        <w:t xml:space="preserve"> </w:t>
      </w:r>
      <w:r>
        <w:t>el papel</w:t>
      </w:r>
      <w:r>
        <w:rPr>
          <w:spacing w:val="-8"/>
        </w:rPr>
        <w:t xml:space="preserve"> </w:t>
      </w:r>
      <w:r>
        <w:t>del</w:t>
      </w:r>
      <w:r>
        <w:rPr>
          <w:spacing w:val="-8"/>
        </w:rPr>
        <w:t xml:space="preserve"> </w:t>
      </w:r>
      <w:r>
        <w:t>petróleo,</w:t>
      </w:r>
      <w:r>
        <w:rPr>
          <w:spacing w:val="-8"/>
        </w:rPr>
        <w:t xml:space="preserve"> </w:t>
      </w:r>
      <w:r>
        <w:t>la</w:t>
      </w:r>
      <w:r>
        <w:rPr>
          <w:spacing w:val="-8"/>
        </w:rPr>
        <w:t xml:space="preserve"> </w:t>
      </w:r>
      <w:r>
        <w:t>frontera,</w:t>
      </w:r>
      <w:r>
        <w:rPr>
          <w:spacing w:val="-8"/>
        </w:rPr>
        <w:t xml:space="preserve"> </w:t>
      </w:r>
      <w:r>
        <w:t>así</w:t>
      </w:r>
      <w:r>
        <w:rPr>
          <w:spacing w:val="-8"/>
        </w:rPr>
        <w:t xml:space="preserve"> </w:t>
      </w:r>
      <w:r>
        <w:t>como</w:t>
      </w:r>
      <w:r>
        <w:rPr>
          <w:spacing w:val="-8"/>
        </w:rPr>
        <w:t xml:space="preserve"> </w:t>
      </w:r>
      <w:r>
        <w:t>la</w:t>
      </w:r>
      <w:r>
        <w:rPr>
          <w:spacing w:val="-8"/>
        </w:rPr>
        <w:t xml:space="preserve"> </w:t>
      </w:r>
      <w:r>
        <w:t>cooptación</w:t>
      </w:r>
      <w:r>
        <w:rPr>
          <w:spacing w:val="-8"/>
        </w:rPr>
        <w:t xml:space="preserve"> </w:t>
      </w:r>
      <w:r>
        <w:t>de</w:t>
      </w:r>
      <w:r>
        <w:rPr>
          <w:spacing w:val="-8"/>
        </w:rPr>
        <w:t xml:space="preserve"> </w:t>
      </w:r>
      <w:r>
        <w:t>la</w:t>
      </w:r>
      <w:r>
        <w:rPr>
          <w:spacing w:val="-8"/>
        </w:rPr>
        <w:t xml:space="preserve"> </w:t>
      </w:r>
      <w:r>
        <w:t>vida</w:t>
      </w:r>
      <w:r>
        <w:rPr>
          <w:spacing w:val="-8"/>
        </w:rPr>
        <w:t xml:space="preserve"> </w:t>
      </w:r>
      <w:r>
        <w:t>política</w:t>
      </w:r>
      <w:r>
        <w:rPr>
          <w:spacing w:val="-8"/>
        </w:rPr>
        <w:t xml:space="preserve"> </w:t>
      </w:r>
      <w:r>
        <w:t>y</w:t>
      </w:r>
      <w:r>
        <w:rPr>
          <w:spacing w:val="-10"/>
        </w:rPr>
        <w:t xml:space="preserve"> </w:t>
      </w:r>
      <w:r>
        <w:t>de</w:t>
      </w:r>
      <w:r>
        <w:rPr>
          <w:spacing w:val="-8"/>
        </w:rPr>
        <w:t xml:space="preserve"> </w:t>
      </w:r>
      <w:r>
        <w:t>la</w:t>
      </w:r>
      <w:r>
        <w:rPr>
          <w:spacing w:val="-8"/>
        </w:rPr>
        <w:t xml:space="preserve"> </w:t>
      </w:r>
      <w:r>
        <w:t>organización social han sido determinantes para la comprensión del conflicto armado</w:t>
      </w:r>
      <w:r w:rsidR="00EB0C3D">
        <w:rPr>
          <w:rStyle w:val="Refdenotaalpie"/>
        </w:rPr>
        <w:footnoteReference w:id="232"/>
      </w:r>
      <w:r>
        <w:t>.</w:t>
      </w:r>
    </w:p>
    <w:p w:rsidR="0011361F" w:rsidRDefault="00AF18A5" w:rsidP="00EB0C3D">
      <w:r>
        <w:t>La lógica de enfrentamientos entre grupos guerrilleros por el control del territorio se replica desde 2017 hasta la actualidad en las disputas de las disidencias de las FARC-EP, tanto las que sostienen entre ellas –hasta hace poco lideradas por Gentil Duarte versus la Segunda Marquetalia– como las que libran contra el ELN, especialmente en Arauca y la frontera con Venezuela. Aunque también tienen lugar en Cauca y Nariño. Los llamados a acuerdos humanitarios y la protección de la población civil suponen no solo una demanda para detener la violencia contra la población, sino una apuesta por la no continuación de la guerra en el país.</w:t>
      </w:r>
    </w:p>
    <w:p w:rsidR="003804AC" w:rsidRDefault="00AF18A5" w:rsidP="004A6EF4">
      <w:pPr>
        <w:pStyle w:val="Ttulo4"/>
        <w:numPr>
          <w:ilvl w:val="2"/>
          <w:numId w:val="16"/>
        </w:numPr>
      </w:pPr>
      <w:bookmarkStart w:id="360" w:name="_bookmark270"/>
      <w:bookmarkStart w:id="361" w:name="_bookmark271"/>
      <w:bookmarkStart w:id="362" w:name="4.3.5._Violaciones_de_los_derechos_human"/>
      <w:bookmarkEnd w:id="360"/>
      <w:bookmarkEnd w:id="361"/>
      <w:bookmarkEnd w:id="362"/>
      <w:r>
        <w:t xml:space="preserve">Violaciones de los derechos humanos contra combatientes, sus familias y sus </w:t>
      </w:r>
      <w:r>
        <w:rPr>
          <w:spacing w:val="-2"/>
        </w:rPr>
        <w:t>entornos</w:t>
      </w:r>
    </w:p>
    <w:p w:rsidR="003804AC" w:rsidRDefault="00AF18A5" w:rsidP="000247B3">
      <w:r>
        <w:t>Finalmente,</w:t>
      </w:r>
      <w:r>
        <w:rPr>
          <w:spacing w:val="-14"/>
        </w:rPr>
        <w:t xml:space="preserve"> </w:t>
      </w:r>
      <w:r>
        <w:t>la</w:t>
      </w:r>
      <w:r>
        <w:rPr>
          <w:spacing w:val="-12"/>
        </w:rPr>
        <w:t xml:space="preserve"> </w:t>
      </w:r>
      <w:r>
        <w:t>guerra</w:t>
      </w:r>
      <w:r>
        <w:rPr>
          <w:spacing w:val="-13"/>
        </w:rPr>
        <w:t xml:space="preserve"> </w:t>
      </w:r>
      <w:r>
        <w:t>también</w:t>
      </w:r>
      <w:r>
        <w:rPr>
          <w:spacing w:val="-13"/>
        </w:rPr>
        <w:t xml:space="preserve"> </w:t>
      </w:r>
      <w:r>
        <w:t>jugó</w:t>
      </w:r>
      <w:r>
        <w:rPr>
          <w:spacing w:val="-13"/>
        </w:rPr>
        <w:t xml:space="preserve"> </w:t>
      </w:r>
      <w:r>
        <w:t>en</w:t>
      </w:r>
      <w:r>
        <w:rPr>
          <w:spacing w:val="-12"/>
        </w:rPr>
        <w:t xml:space="preserve"> </w:t>
      </w:r>
      <w:r>
        <w:t>contra</w:t>
      </w:r>
      <w:r>
        <w:rPr>
          <w:spacing w:val="-12"/>
        </w:rPr>
        <w:t xml:space="preserve"> </w:t>
      </w:r>
      <w:r>
        <w:t>de</w:t>
      </w:r>
      <w:r>
        <w:rPr>
          <w:spacing w:val="-13"/>
        </w:rPr>
        <w:t xml:space="preserve"> </w:t>
      </w:r>
      <w:r>
        <w:t>muchos</w:t>
      </w:r>
      <w:r>
        <w:rPr>
          <w:spacing w:val="-12"/>
        </w:rPr>
        <w:t xml:space="preserve"> </w:t>
      </w:r>
      <w:r>
        <w:t>guerrilleros,</w:t>
      </w:r>
      <w:r>
        <w:rPr>
          <w:spacing w:val="-12"/>
        </w:rPr>
        <w:t xml:space="preserve"> </w:t>
      </w:r>
      <w:r>
        <w:t>o</w:t>
      </w:r>
      <w:r>
        <w:rPr>
          <w:spacing w:val="-12"/>
        </w:rPr>
        <w:t xml:space="preserve"> </w:t>
      </w:r>
      <w:r>
        <w:t>personas</w:t>
      </w:r>
      <w:r>
        <w:rPr>
          <w:spacing w:val="-13"/>
        </w:rPr>
        <w:t xml:space="preserve"> </w:t>
      </w:r>
      <w:r>
        <w:t xml:space="preserve">sospechosas de serlo, que fueron objeto ejecuciones extrajudiciales fuera de combate, torturas y tratos </w:t>
      </w:r>
      <w:r>
        <w:rPr>
          <w:spacing w:val="-2"/>
        </w:rPr>
        <w:t>crueles,</w:t>
      </w:r>
      <w:r>
        <w:rPr>
          <w:spacing w:val="-6"/>
        </w:rPr>
        <w:t xml:space="preserve"> </w:t>
      </w:r>
      <w:r>
        <w:rPr>
          <w:spacing w:val="-2"/>
        </w:rPr>
        <w:t>inhumanos</w:t>
      </w:r>
      <w:r>
        <w:rPr>
          <w:spacing w:val="-4"/>
        </w:rPr>
        <w:t xml:space="preserve"> </w:t>
      </w:r>
      <w:r>
        <w:rPr>
          <w:spacing w:val="-2"/>
        </w:rPr>
        <w:t>y</w:t>
      </w:r>
      <w:r>
        <w:rPr>
          <w:spacing w:val="-6"/>
        </w:rPr>
        <w:t xml:space="preserve"> </w:t>
      </w:r>
      <w:r>
        <w:rPr>
          <w:spacing w:val="-2"/>
        </w:rPr>
        <w:lastRenderedPageBreak/>
        <w:t>degradantes,</w:t>
      </w:r>
      <w:r>
        <w:rPr>
          <w:spacing w:val="-6"/>
        </w:rPr>
        <w:t xml:space="preserve"> </w:t>
      </w:r>
      <w:r>
        <w:rPr>
          <w:spacing w:val="-2"/>
        </w:rPr>
        <w:t>regularmente</w:t>
      </w:r>
      <w:r>
        <w:rPr>
          <w:spacing w:val="-6"/>
        </w:rPr>
        <w:t xml:space="preserve"> </w:t>
      </w:r>
      <w:r>
        <w:rPr>
          <w:spacing w:val="-2"/>
        </w:rPr>
        <w:t>en</w:t>
      </w:r>
      <w:r>
        <w:rPr>
          <w:spacing w:val="-4"/>
        </w:rPr>
        <w:t xml:space="preserve"> </w:t>
      </w:r>
      <w:r>
        <w:rPr>
          <w:spacing w:val="-2"/>
        </w:rPr>
        <w:t>el</w:t>
      </w:r>
      <w:r>
        <w:rPr>
          <w:spacing w:val="-6"/>
        </w:rPr>
        <w:t xml:space="preserve"> </w:t>
      </w:r>
      <w:r>
        <w:rPr>
          <w:spacing w:val="-2"/>
        </w:rPr>
        <w:t>marco</w:t>
      </w:r>
      <w:r>
        <w:rPr>
          <w:spacing w:val="-4"/>
        </w:rPr>
        <w:t xml:space="preserve"> </w:t>
      </w:r>
      <w:r>
        <w:rPr>
          <w:spacing w:val="-2"/>
        </w:rPr>
        <w:t>de</w:t>
      </w:r>
      <w:r>
        <w:rPr>
          <w:spacing w:val="-4"/>
        </w:rPr>
        <w:t xml:space="preserve"> </w:t>
      </w:r>
      <w:r>
        <w:rPr>
          <w:spacing w:val="-2"/>
        </w:rPr>
        <w:t>detenciones,</w:t>
      </w:r>
      <w:r>
        <w:rPr>
          <w:spacing w:val="-4"/>
        </w:rPr>
        <w:t xml:space="preserve"> </w:t>
      </w:r>
      <w:r>
        <w:rPr>
          <w:spacing w:val="-2"/>
        </w:rPr>
        <w:t>bien</w:t>
      </w:r>
      <w:r>
        <w:rPr>
          <w:spacing w:val="-6"/>
        </w:rPr>
        <w:t xml:space="preserve"> </w:t>
      </w:r>
      <w:r>
        <w:rPr>
          <w:spacing w:val="-2"/>
        </w:rPr>
        <w:t>fueran</w:t>
      </w:r>
      <w:r>
        <w:rPr>
          <w:spacing w:val="-4"/>
        </w:rPr>
        <w:t xml:space="preserve"> </w:t>
      </w:r>
      <w:r>
        <w:rPr>
          <w:spacing w:val="-2"/>
        </w:rPr>
        <w:t xml:space="preserve">estas </w:t>
      </w:r>
      <w:r>
        <w:t xml:space="preserve">legales o ilegales. El estudio «Violencia contrainsurgente. Informe sobre violaciones a los derechos humanos atribuibles al Estado» analiza estos casos y establece tres tipos de </w:t>
      </w:r>
      <w:r>
        <w:rPr>
          <w:spacing w:val="-2"/>
        </w:rPr>
        <w:t>modalidades:</w:t>
      </w:r>
    </w:p>
    <w:p w:rsidR="0011361F" w:rsidRDefault="00AF18A5" w:rsidP="000247B3">
      <w:r>
        <w:t>En primer lugar, las torturas ejecutadas por actores no estatales que actuaban en connivencia con el Estado; en segundo lugar, las realizadas por agentes estatales durante el proceso de captura y retención o al interior de los establecimientos carcelarios; y, en tercer lugar, aquellas conductas que, aunque su catalogación como tortura puede ser dudosa, representan por lo menos tratos crueles, inhumanos o degradantes, perpetrados por agentes estatales durante el procedimiento de captura y retención o al interior de los establecimientos de reclusión</w:t>
      </w:r>
      <w:r w:rsidR="000247B3">
        <w:rPr>
          <w:rStyle w:val="Refdenotaalpie"/>
        </w:rPr>
        <w:footnoteReference w:id="233"/>
      </w:r>
      <w:r>
        <w:t>.</w:t>
      </w:r>
    </w:p>
    <w:p w:rsidR="0011361F" w:rsidRDefault="00AF18A5" w:rsidP="000247B3">
      <w:r>
        <w:t>El</w:t>
      </w:r>
      <w:r>
        <w:rPr>
          <w:spacing w:val="-1"/>
        </w:rPr>
        <w:t xml:space="preserve"> </w:t>
      </w:r>
      <w:r>
        <w:t>siguiente</w:t>
      </w:r>
      <w:r>
        <w:rPr>
          <w:spacing w:val="-2"/>
        </w:rPr>
        <w:t xml:space="preserve"> </w:t>
      </w:r>
      <w:r>
        <w:t>es</w:t>
      </w:r>
      <w:r>
        <w:rPr>
          <w:spacing w:val="-1"/>
        </w:rPr>
        <w:t xml:space="preserve"> </w:t>
      </w:r>
      <w:r>
        <w:t>un relato</w:t>
      </w:r>
      <w:r>
        <w:rPr>
          <w:spacing w:val="-3"/>
        </w:rPr>
        <w:t xml:space="preserve"> </w:t>
      </w:r>
      <w:r>
        <w:t>por</w:t>
      </w:r>
      <w:r>
        <w:rPr>
          <w:spacing w:val="-1"/>
        </w:rPr>
        <w:t xml:space="preserve"> </w:t>
      </w:r>
      <w:r>
        <w:t>parte de</w:t>
      </w:r>
      <w:r>
        <w:rPr>
          <w:spacing w:val="-2"/>
        </w:rPr>
        <w:t xml:space="preserve"> </w:t>
      </w:r>
      <w:r>
        <w:t>un</w:t>
      </w:r>
      <w:r>
        <w:rPr>
          <w:spacing w:val="-1"/>
        </w:rPr>
        <w:t xml:space="preserve"> </w:t>
      </w:r>
      <w:r>
        <w:t xml:space="preserve">guerrillero </w:t>
      </w:r>
      <w:r>
        <w:rPr>
          <w:spacing w:val="-2"/>
        </w:rPr>
        <w:t>capturado:</w:t>
      </w:r>
    </w:p>
    <w:p w:rsidR="003804AC" w:rsidRDefault="00AF18A5" w:rsidP="000247B3">
      <w:r>
        <w:t xml:space="preserve">Me desnudaron de pies a manos y me colgaron como cuando cuelgan un marrano, con la cabeza hacia abajo totalmente desnudo me amarraron de los pies; ahí llegó un policía bajito y me dijo: </w:t>
      </w:r>
      <w:r>
        <w:rPr>
          <w:sz w:val="20"/>
        </w:rPr>
        <w:t>«B</w:t>
      </w:r>
      <w:r>
        <w:t>ueno, hermano, comenzó la terapia. Habla o habla</w:t>
      </w:r>
      <w:r>
        <w:rPr>
          <w:sz w:val="20"/>
        </w:rPr>
        <w:t>»</w:t>
      </w:r>
      <w:r>
        <w:t xml:space="preserve">. Me dijo: </w:t>
      </w:r>
      <w:r>
        <w:rPr>
          <w:sz w:val="20"/>
        </w:rPr>
        <w:t>«A</w:t>
      </w:r>
      <w:r>
        <w:t>quí los más hombres</w:t>
      </w:r>
      <w:r>
        <w:rPr>
          <w:spacing w:val="-11"/>
        </w:rPr>
        <w:t xml:space="preserve"> </w:t>
      </w:r>
      <w:r>
        <w:t>han</w:t>
      </w:r>
      <w:r>
        <w:rPr>
          <w:spacing w:val="-10"/>
        </w:rPr>
        <w:t xml:space="preserve"> </w:t>
      </w:r>
      <w:r>
        <w:t>hablado</w:t>
      </w:r>
      <w:r>
        <w:rPr>
          <w:sz w:val="20"/>
        </w:rPr>
        <w:t>»</w:t>
      </w:r>
      <w:r>
        <w:t>;</w:t>
      </w:r>
      <w:r>
        <w:rPr>
          <w:spacing w:val="-11"/>
        </w:rPr>
        <w:t xml:space="preserve"> </w:t>
      </w:r>
      <w:r>
        <w:t>me</w:t>
      </w:r>
      <w:r>
        <w:rPr>
          <w:spacing w:val="-11"/>
        </w:rPr>
        <w:t xml:space="preserve"> </w:t>
      </w:r>
      <w:r>
        <w:t>pone</w:t>
      </w:r>
      <w:r>
        <w:rPr>
          <w:spacing w:val="-11"/>
        </w:rPr>
        <w:t xml:space="preserve"> </w:t>
      </w:r>
      <w:r>
        <w:t>una</w:t>
      </w:r>
      <w:r>
        <w:rPr>
          <w:spacing w:val="-11"/>
        </w:rPr>
        <w:t xml:space="preserve"> </w:t>
      </w:r>
      <w:r>
        <w:t>toalla</w:t>
      </w:r>
      <w:r>
        <w:rPr>
          <w:spacing w:val="-11"/>
        </w:rPr>
        <w:t xml:space="preserve"> </w:t>
      </w:r>
      <w:r>
        <w:t>en</w:t>
      </w:r>
      <w:r>
        <w:rPr>
          <w:spacing w:val="-10"/>
        </w:rPr>
        <w:t xml:space="preserve"> </w:t>
      </w:r>
      <w:r>
        <w:t>la</w:t>
      </w:r>
      <w:r>
        <w:rPr>
          <w:spacing w:val="-11"/>
        </w:rPr>
        <w:t xml:space="preserve"> </w:t>
      </w:r>
      <w:r>
        <w:t>cabeza</w:t>
      </w:r>
      <w:r>
        <w:rPr>
          <w:spacing w:val="-11"/>
        </w:rPr>
        <w:t xml:space="preserve"> </w:t>
      </w:r>
      <w:r>
        <w:t>y</w:t>
      </w:r>
      <w:r>
        <w:rPr>
          <w:spacing w:val="-10"/>
        </w:rPr>
        <w:t xml:space="preserve"> </w:t>
      </w:r>
      <w:r>
        <w:t>comienza</w:t>
      </w:r>
      <w:r>
        <w:rPr>
          <w:spacing w:val="-10"/>
        </w:rPr>
        <w:t xml:space="preserve"> </w:t>
      </w:r>
      <w:r>
        <w:t>a</w:t>
      </w:r>
      <w:r>
        <w:rPr>
          <w:spacing w:val="-11"/>
        </w:rPr>
        <w:t xml:space="preserve"> </w:t>
      </w:r>
      <w:r>
        <w:t>ensayar</w:t>
      </w:r>
      <w:r>
        <w:rPr>
          <w:spacing w:val="-11"/>
        </w:rPr>
        <w:t xml:space="preserve"> </w:t>
      </w:r>
      <w:r>
        <w:t>boxeo</w:t>
      </w:r>
      <w:r>
        <w:rPr>
          <w:spacing w:val="-10"/>
        </w:rPr>
        <w:t xml:space="preserve"> </w:t>
      </w:r>
      <w:r>
        <w:t>conmigo ahí amarrado. Calculo que la toalla la colocaban para que no quedara marcado, después de eso el hijueputa trae unas agujas y comienza a metérmelas por la cabeza</w:t>
      </w:r>
      <w:r w:rsidR="000247B3">
        <w:rPr>
          <w:rStyle w:val="Refdenotaalpie"/>
        </w:rPr>
        <w:footnoteReference w:id="234"/>
      </w:r>
      <w:r>
        <w:t>.</w:t>
      </w:r>
    </w:p>
    <w:p w:rsidR="003804AC" w:rsidRDefault="00AF18A5" w:rsidP="000247B3">
      <w:r>
        <w:t>Familiares de miembros del Secretariado de las FARC-EP fueron también objeto de amenazas, desapariciones forzadas y torturas, como expresaron en el siguiente testimonio:</w:t>
      </w:r>
    </w:p>
    <w:p w:rsidR="003804AC" w:rsidRDefault="00AF18A5" w:rsidP="000247B3">
      <w:r>
        <w:lastRenderedPageBreak/>
        <w:t>«Pero con nosotros sí se utilizaron estrategias, secuestraron nuestros familiares, asesinaron</w:t>
      </w:r>
      <w:r>
        <w:rPr>
          <w:spacing w:val="-2"/>
        </w:rPr>
        <w:t xml:space="preserve"> </w:t>
      </w:r>
      <w:r>
        <w:t>los</w:t>
      </w:r>
      <w:r>
        <w:rPr>
          <w:spacing w:val="-2"/>
        </w:rPr>
        <w:t xml:space="preserve"> </w:t>
      </w:r>
      <w:r>
        <w:t>familiares</w:t>
      </w:r>
      <w:r>
        <w:rPr>
          <w:spacing w:val="-2"/>
        </w:rPr>
        <w:t xml:space="preserve"> </w:t>
      </w:r>
      <w:r>
        <w:t>utilizando</w:t>
      </w:r>
      <w:r>
        <w:rPr>
          <w:spacing w:val="-3"/>
        </w:rPr>
        <w:t xml:space="preserve"> </w:t>
      </w:r>
      <w:r>
        <w:t>paramilitares,</w:t>
      </w:r>
      <w:r>
        <w:rPr>
          <w:spacing w:val="-2"/>
        </w:rPr>
        <w:t xml:space="preserve"> </w:t>
      </w:r>
      <w:r>
        <w:t>y</w:t>
      </w:r>
      <w:r>
        <w:rPr>
          <w:spacing w:val="-2"/>
        </w:rPr>
        <w:t xml:space="preserve"> </w:t>
      </w:r>
      <w:r>
        <w:t>varios</w:t>
      </w:r>
      <w:r>
        <w:rPr>
          <w:spacing w:val="-2"/>
        </w:rPr>
        <w:t xml:space="preserve"> </w:t>
      </w:r>
      <w:r>
        <w:t>de</w:t>
      </w:r>
      <w:r>
        <w:rPr>
          <w:spacing w:val="-2"/>
        </w:rPr>
        <w:t xml:space="preserve"> </w:t>
      </w:r>
      <w:r>
        <w:t>los</w:t>
      </w:r>
      <w:r>
        <w:rPr>
          <w:spacing w:val="-2"/>
        </w:rPr>
        <w:t xml:space="preserve"> </w:t>
      </w:r>
      <w:r>
        <w:t>que</w:t>
      </w:r>
      <w:r>
        <w:rPr>
          <w:spacing w:val="-2"/>
        </w:rPr>
        <w:t xml:space="preserve"> </w:t>
      </w:r>
      <w:r>
        <w:t>estamos</w:t>
      </w:r>
      <w:r>
        <w:rPr>
          <w:spacing w:val="-2"/>
        </w:rPr>
        <w:t xml:space="preserve"> </w:t>
      </w:r>
      <w:r>
        <w:t>aquí</w:t>
      </w:r>
      <w:r>
        <w:rPr>
          <w:spacing w:val="-2"/>
        </w:rPr>
        <w:t xml:space="preserve"> </w:t>
      </w:r>
      <w:r>
        <w:t xml:space="preserve">sentados </w:t>
      </w:r>
      <w:r>
        <w:rPr>
          <w:spacing w:val="-2"/>
        </w:rPr>
        <w:t>tenemos</w:t>
      </w:r>
      <w:r>
        <w:rPr>
          <w:spacing w:val="-9"/>
        </w:rPr>
        <w:t xml:space="preserve"> </w:t>
      </w:r>
      <w:r>
        <w:rPr>
          <w:spacing w:val="-2"/>
        </w:rPr>
        <w:t>historias</w:t>
      </w:r>
      <w:r>
        <w:rPr>
          <w:spacing w:val="-7"/>
        </w:rPr>
        <w:t xml:space="preserve"> </w:t>
      </w:r>
      <w:r>
        <w:rPr>
          <w:spacing w:val="-2"/>
        </w:rPr>
        <w:t>que</w:t>
      </w:r>
      <w:r>
        <w:rPr>
          <w:spacing w:val="-7"/>
        </w:rPr>
        <w:t xml:space="preserve"> </w:t>
      </w:r>
      <w:r>
        <w:rPr>
          <w:spacing w:val="-2"/>
        </w:rPr>
        <w:t>contar</w:t>
      </w:r>
      <w:r>
        <w:rPr>
          <w:spacing w:val="-5"/>
        </w:rPr>
        <w:t xml:space="preserve"> </w:t>
      </w:r>
      <w:r>
        <w:rPr>
          <w:spacing w:val="-2"/>
        </w:rPr>
        <w:t>de</w:t>
      </w:r>
      <w:r>
        <w:rPr>
          <w:spacing w:val="-7"/>
        </w:rPr>
        <w:t xml:space="preserve"> </w:t>
      </w:r>
      <w:r>
        <w:rPr>
          <w:spacing w:val="-2"/>
        </w:rPr>
        <w:t>que,</w:t>
      </w:r>
      <w:r>
        <w:rPr>
          <w:spacing w:val="-8"/>
        </w:rPr>
        <w:t xml:space="preserve"> </w:t>
      </w:r>
      <w:r>
        <w:rPr>
          <w:spacing w:val="-2"/>
        </w:rPr>
        <w:t>bueno,</w:t>
      </w:r>
      <w:r>
        <w:rPr>
          <w:spacing w:val="-6"/>
        </w:rPr>
        <w:t xml:space="preserve"> </w:t>
      </w:r>
      <w:r>
        <w:rPr>
          <w:spacing w:val="-2"/>
        </w:rPr>
        <w:t>que</w:t>
      </w:r>
      <w:r>
        <w:rPr>
          <w:spacing w:val="-7"/>
        </w:rPr>
        <w:t xml:space="preserve"> </w:t>
      </w:r>
      <w:r>
        <w:rPr>
          <w:spacing w:val="-2"/>
        </w:rPr>
        <w:t>por</w:t>
      </w:r>
      <w:r>
        <w:rPr>
          <w:spacing w:val="-6"/>
        </w:rPr>
        <w:t xml:space="preserve"> </w:t>
      </w:r>
      <w:r>
        <w:rPr>
          <w:spacing w:val="-2"/>
        </w:rPr>
        <w:t>el</w:t>
      </w:r>
      <w:r>
        <w:rPr>
          <w:spacing w:val="-7"/>
        </w:rPr>
        <w:t xml:space="preserve"> </w:t>
      </w:r>
      <w:r>
        <w:rPr>
          <w:spacing w:val="-2"/>
        </w:rPr>
        <w:t>simple</w:t>
      </w:r>
      <w:r>
        <w:rPr>
          <w:spacing w:val="-8"/>
        </w:rPr>
        <w:t xml:space="preserve"> </w:t>
      </w:r>
      <w:r>
        <w:rPr>
          <w:spacing w:val="-2"/>
        </w:rPr>
        <w:t>hecho</w:t>
      </w:r>
      <w:r>
        <w:rPr>
          <w:spacing w:val="-7"/>
        </w:rPr>
        <w:t xml:space="preserve"> </w:t>
      </w:r>
      <w:r>
        <w:rPr>
          <w:spacing w:val="-2"/>
        </w:rPr>
        <w:t>de</w:t>
      </w:r>
      <w:r>
        <w:rPr>
          <w:spacing w:val="-7"/>
        </w:rPr>
        <w:t xml:space="preserve"> </w:t>
      </w:r>
      <w:r>
        <w:rPr>
          <w:spacing w:val="-2"/>
        </w:rPr>
        <w:t>ser</w:t>
      </w:r>
      <w:r>
        <w:rPr>
          <w:spacing w:val="-8"/>
        </w:rPr>
        <w:t xml:space="preserve"> </w:t>
      </w:r>
      <w:r>
        <w:rPr>
          <w:spacing w:val="-2"/>
        </w:rPr>
        <w:t>familiares</w:t>
      </w:r>
      <w:r>
        <w:rPr>
          <w:spacing w:val="-7"/>
        </w:rPr>
        <w:t xml:space="preserve"> </w:t>
      </w:r>
      <w:r>
        <w:rPr>
          <w:spacing w:val="-2"/>
        </w:rPr>
        <w:t>nuestros</w:t>
      </w:r>
      <w:bookmarkStart w:id="363" w:name="_bookmark272"/>
      <w:bookmarkStart w:id="364" w:name="_bookmark273"/>
      <w:bookmarkEnd w:id="363"/>
      <w:bookmarkEnd w:id="364"/>
      <w:r w:rsidR="000247B3">
        <w:t xml:space="preserve"> </w:t>
      </w:r>
      <w:r>
        <w:t>los mataron, a Timo [alias Timochenko]le mataron un hermano, varios familiares, a mí me asesinaron y descuartizaron mi hermana, que no tenía nada que ver con esto»</w:t>
      </w:r>
      <w:r w:rsidR="000247B3">
        <w:rPr>
          <w:rStyle w:val="Refdenotaalpie"/>
        </w:rPr>
        <w:footnoteReference w:id="235"/>
      </w:r>
      <w:r>
        <w:t>.</w:t>
      </w:r>
    </w:p>
    <w:p w:rsidR="0011361F" w:rsidRDefault="00AF18A5" w:rsidP="004A6EF4">
      <w:pPr>
        <w:pStyle w:val="Ttulo3"/>
        <w:numPr>
          <w:ilvl w:val="1"/>
          <w:numId w:val="16"/>
        </w:numPr>
      </w:pPr>
      <w:bookmarkStart w:id="365" w:name="4.4._Órdenes_violentos_guerrilleros_y_re"/>
      <w:bookmarkStart w:id="366" w:name="_Toc112399585"/>
      <w:bookmarkEnd w:id="365"/>
      <w:r>
        <w:t>Órdenes</w:t>
      </w:r>
      <w:r>
        <w:rPr>
          <w:spacing w:val="-4"/>
        </w:rPr>
        <w:t xml:space="preserve"> </w:t>
      </w:r>
      <w:r w:rsidRPr="00957E59">
        <w:t>violentos</w:t>
      </w:r>
      <w:r>
        <w:rPr>
          <w:spacing w:val="-3"/>
        </w:rPr>
        <w:t xml:space="preserve"> </w:t>
      </w:r>
      <w:r>
        <w:t>guerrilleros</w:t>
      </w:r>
      <w:r>
        <w:rPr>
          <w:spacing w:val="-2"/>
        </w:rPr>
        <w:t xml:space="preserve"> </w:t>
      </w:r>
      <w:r>
        <w:t>y</w:t>
      </w:r>
      <w:r>
        <w:rPr>
          <w:spacing w:val="-2"/>
        </w:rPr>
        <w:t xml:space="preserve"> </w:t>
      </w:r>
      <w:r>
        <w:t>relaciones</w:t>
      </w:r>
      <w:r>
        <w:rPr>
          <w:spacing w:val="-2"/>
        </w:rPr>
        <w:t xml:space="preserve"> </w:t>
      </w:r>
      <w:r>
        <w:t>con</w:t>
      </w:r>
      <w:r>
        <w:rPr>
          <w:spacing w:val="-2"/>
        </w:rPr>
        <w:t xml:space="preserve"> </w:t>
      </w:r>
      <w:r>
        <w:t>la</w:t>
      </w:r>
      <w:r>
        <w:rPr>
          <w:spacing w:val="-2"/>
        </w:rPr>
        <w:t xml:space="preserve"> </w:t>
      </w:r>
      <w:r>
        <w:t>población</w:t>
      </w:r>
      <w:r>
        <w:rPr>
          <w:spacing w:val="-2"/>
        </w:rPr>
        <w:t xml:space="preserve"> civil</w:t>
      </w:r>
      <w:bookmarkEnd w:id="366"/>
    </w:p>
    <w:p w:rsidR="003804AC" w:rsidRDefault="00AF18A5" w:rsidP="00015A22">
      <w:r>
        <w:t>En el caso colombiano, el Estado ha mostrado una incapacidad o limitación a la hora de integrar ciertos territorios y poblaciones, y sus políticas de integración o presencia han sido selectivas</w:t>
      </w:r>
      <w:r>
        <w:rPr>
          <w:spacing w:val="-2"/>
        </w:rPr>
        <w:t xml:space="preserve"> </w:t>
      </w:r>
      <w:r>
        <w:t>con</w:t>
      </w:r>
      <w:r>
        <w:rPr>
          <w:spacing w:val="-2"/>
        </w:rPr>
        <w:t xml:space="preserve"> </w:t>
      </w:r>
      <w:r>
        <w:t>ciertos</w:t>
      </w:r>
      <w:r>
        <w:rPr>
          <w:spacing w:val="-2"/>
        </w:rPr>
        <w:t xml:space="preserve"> </w:t>
      </w:r>
      <w:r>
        <w:t>territorios</w:t>
      </w:r>
      <w:r>
        <w:rPr>
          <w:spacing w:val="-2"/>
        </w:rPr>
        <w:t xml:space="preserve"> </w:t>
      </w:r>
      <w:r>
        <w:t>conflictivos,</w:t>
      </w:r>
      <w:r>
        <w:rPr>
          <w:spacing w:val="-2"/>
        </w:rPr>
        <w:t xml:space="preserve"> </w:t>
      </w:r>
      <w:r>
        <w:t>y</w:t>
      </w:r>
      <w:r>
        <w:rPr>
          <w:spacing w:val="-2"/>
        </w:rPr>
        <w:t xml:space="preserve"> </w:t>
      </w:r>
      <w:r>
        <w:t>muchas</w:t>
      </w:r>
      <w:r>
        <w:rPr>
          <w:spacing w:val="-2"/>
        </w:rPr>
        <w:t xml:space="preserve"> </w:t>
      </w:r>
      <w:r>
        <w:t>veces</w:t>
      </w:r>
      <w:r>
        <w:rPr>
          <w:spacing w:val="-3"/>
        </w:rPr>
        <w:t xml:space="preserve"> </w:t>
      </w:r>
      <w:r>
        <w:t>limitadas</w:t>
      </w:r>
      <w:r>
        <w:rPr>
          <w:spacing w:val="-2"/>
        </w:rPr>
        <w:t xml:space="preserve"> </w:t>
      </w:r>
      <w:r>
        <w:t>al</w:t>
      </w:r>
      <w:r>
        <w:rPr>
          <w:spacing w:val="-3"/>
        </w:rPr>
        <w:t xml:space="preserve"> </w:t>
      </w:r>
      <w:r>
        <w:t>poder</w:t>
      </w:r>
      <w:r>
        <w:rPr>
          <w:spacing w:val="-2"/>
        </w:rPr>
        <w:t xml:space="preserve"> </w:t>
      </w:r>
      <w:r>
        <w:t>militar.</w:t>
      </w:r>
      <w:r>
        <w:rPr>
          <w:spacing w:val="-2"/>
        </w:rPr>
        <w:t xml:space="preserve"> </w:t>
      </w:r>
      <w:r>
        <w:t>Los grupos armados, aprovechando en muchos casos esta situación, controlaron, impusieron normas, regularon la vida social a través de sus principios y su capacidad de coacción y violencia</w:t>
      </w:r>
      <w:r>
        <w:rPr>
          <w:spacing w:val="-6"/>
        </w:rPr>
        <w:t xml:space="preserve"> </w:t>
      </w:r>
      <w:r>
        <w:t>en</w:t>
      </w:r>
      <w:r>
        <w:rPr>
          <w:spacing w:val="-6"/>
        </w:rPr>
        <w:t xml:space="preserve"> </w:t>
      </w:r>
      <w:r>
        <w:t>sus</w:t>
      </w:r>
      <w:r>
        <w:rPr>
          <w:spacing w:val="-6"/>
        </w:rPr>
        <w:t xml:space="preserve"> </w:t>
      </w:r>
      <w:r>
        <w:t>zonas</w:t>
      </w:r>
      <w:r>
        <w:rPr>
          <w:spacing w:val="-6"/>
        </w:rPr>
        <w:t xml:space="preserve"> </w:t>
      </w:r>
      <w:r>
        <w:t>de</w:t>
      </w:r>
      <w:r>
        <w:rPr>
          <w:spacing w:val="-6"/>
        </w:rPr>
        <w:t xml:space="preserve"> </w:t>
      </w:r>
      <w:r>
        <w:t>influencia,</w:t>
      </w:r>
      <w:r>
        <w:rPr>
          <w:spacing w:val="-7"/>
        </w:rPr>
        <w:t xml:space="preserve"> </w:t>
      </w:r>
      <w:r>
        <w:t>lo</w:t>
      </w:r>
      <w:r>
        <w:rPr>
          <w:spacing w:val="-6"/>
        </w:rPr>
        <w:t xml:space="preserve"> </w:t>
      </w:r>
      <w:r>
        <w:t>que</w:t>
      </w:r>
      <w:r>
        <w:rPr>
          <w:spacing w:val="-6"/>
        </w:rPr>
        <w:t xml:space="preserve"> </w:t>
      </w:r>
      <w:r>
        <w:t>implicó</w:t>
      </w:r>
      <w:r>
        <w:rPr>
          <w:spacing w:val="-6"/>
        </w:rPr>
        <w:t xml:space="preserve"> </w:t>
      </w:r>
      <w:r>
        <w:t>que</w:t>
      </w:r>
      <w:r>
        <w:rPr>
          <w:spacing w:val="-6"/>
        </w:rPr>
        <w:t xml:space="preserve"> </w:t>
      </w:r>
      <w:r>
        <w:t>en</w:t>
      </w:r>
      <w:r>
        <w:rPr>
          <w:spacing w:val="-6"/>
        </w:rPr>
        <w:t xml:space="preserve"> </w:t>
      </w:r>
      <w:r>
        <w:t>algunos</w:t>
      </w:r>
      <w:r>
        <w:rPr>
          <w:spacing w:val="-6"/>
        </w:rPr>
        <w:t xml:space="preserve"> </w:t>
      </w:r>
      <w:r>
        <w:t>territorios</w:t>
      </w:r>
      <w:r>
        <w:rPr>
          <w:spacing w:val="-6"/>
        </w:rPr>
        <w:t xml:space="preserve"> </w:t>
      </w:r>
      <w:r>
        <w:t>reemplazaran, sustituyeran o suplantaran las funciones del Estado.</w:t>
      </w:r>
    </w:p>
    <w:p w:rsidR="003804AC" w:rsidRDefault="00AF18A5" w:rsidP="00015A22">
      <w:r>
        <w:t>Para</w:t>
      </w:r>
      <w:r>
        <w:rPr>
          <w:spacing w:val="-7"/>
        </w:rPr>
        <w:t xml:space="preserve"> </w:t>
      </w:r>
      <w:r>
        <w:t>que</w:t>
      </w:r>
      <w:r>
        <w:rPr>
          <w:spacing w:val="-7"/>
        </w:rPr>
        <w:t xml:space="preserve"> </w:t>
      </w:r>
      <w:r>
        <w:t>eso</w:t>
      </w:r>
      <w:r>
        <w:rPr>
          <w:spacing w:val="-8"/>
        </w:rPr>
        <w:t xml:space="preserve"> </w:t>
      </w:r>
      <w:r>
        <w:t>fuera</w:t>
      </w:r>
      <w:r>
        <w:rPr>
          <w:spacing w:val="-7"/>
        </w:rPr>
        <w:t xml:space="preserve"> </w:t>
      </w:r>
      <w:r>
        <w:t>posible,</w:t>
      </w:r>
      <w:r>
        <w:rPr>
          <w:spacing w:val="-7"/>
        </w:rPr>
        <w:t xml:space="preserve"> </w:t>
      </w:r>
      <w:r>
        <w:t>desde</w:t>
      </w:r>
      <w:r>
        <w:rPr>
          <w:spacing w:val="-7"/>
        </w:rPr>
        <w:t xml:space="preserve"> </w:t>
      </w:r>
      <w:r>
        <w:t>sus</w:t>
      </w:r>
      <w:r>
        <w:rPr>
          <w:spacing w:val="-8"/>
        </w:rPr>
        <w:t xml:space="preserve"> </w:t>
      </w:r>
      <w:r>
        <w:t>orígenes</w:t>
      </w:r>
      <w:r>
        <w:rPr>
          <w:spacing w:val="-8"/>
        </w:rPr>
        <w:t xml:space="preserve"> </w:t>
      </w:r>
      <w:r>
        <w:t>en</w:t>
      </w:r>
      <w:r>
        <w:rPr>
          <w:spacing w:val="-7"/>
        </w:rPr>
        <w:t xml:space="preserve"> </w:t>
      </w:r>
      <w:r>
        <w:t>los</w:t>
      </w:r>
      <w:r>
        <w:rPr>
          <w:spacing w:val="-7"/>
        </w:rPr>
        <w:t xml:space="preserve"> </w:t>
      </w:r>
      <w:r>
        <w:t>años</w:t>
      </w:r>
      <w:r>
        <w:rPr>
          <w:spacing w:val="-7"/>
        </w:rPr>
        <w:t xml:space="preserve"> </w:t>
      </w:r>
      <w:r>
        <w:t>sesenta</w:t>
      </w:r>
      <w:r>
        <w:rPr>
          <w:spacing w:val="-7"/>
        </w:rPr>
        <w:t xml:space="preserve"> </w:t>
      </w:r>
      <w:r>
        <w:t>y</w:t>
      </w:r>
      <w:r>
        <w:rPr>
          <w:spacing w:val="-7"/>
        </w:rPr>
        <w:t xml:space="preserve"> </w:t>
      </w:r>
      <w:r>
        <w:t>setenta</w:t>
      </w:r>
      <w:r>
        <w:rPr>
          <w:spacing w:val="-8"/>
        </w:rPr>
        <w:t xml:space="preserve"> </w:t>
      </w:r>
      <w:r>
        <w:t>y</w:t>
      </w:r>
      <w:r>
        <w:rPr>
          <w:spacing w:val="-7"/>
        </w:rPr>
        <w:t xml:space="preserve"> </w:t>
      </w:r>
      <w:r>
        <w:t>en</w:t>
      </w:r>
      <w:r>
        <w:rPr>
          <w:spacing w:val="-7"/>
        </w:rPr>
        <w:t xml:space="preserve"> </w:t>
      </w:r>
      <w:r>
        <w:t>la</w:t>
      </w:r>
      <w:r>
        <w:rPr>
          <w:spacing w:val="-7"/>
        </w:rPr>
        <w:t xml:space="preserve"> </w:t>
      </w:r>
      <w:r>
        <w:t>década de</w:t>
      </w:r>
      <w:r>
        <w:rPr>
          <w:spacing w:val="-12"/>
        </w:rPr>
        <w:t xml:space="preserve"> </w:t>
      </w:r>
      <w:r>
        <w:t>los</w:t>
      </w:r>
      <w:r>
        <w:rPr>
          <w:spacing w:val="-12"/>
        </w:rPr>
        <w:t xml:space="preserve"> </w:t>
      </w:r>
      <w:r>
        <w:t>ochenta,</w:t>
      </w:r>
      <w:r>
        <w:rPr>
          <w:spacing w:val="-12"/>
        </w:rPr>
        <w:t xml:space="preserve"> </w:t>
      </w:r>
      <w:r>
        <w:t>trataron</w:t>
      </w:r>
      <w:r>
        <w:rPr>
          <w:spacing w:val="-12"/>
        </w:rPr>
        <w:t xml:space="preserve"> </w:t>
      </w:r>
      <w:r>
        <w:t>de</w:t>
      </w:r>
      <w:r>
        <w:rPr>
          <w:spacing w:val="-12"/>
        </w:rPr>
        <w:t xml:space="preserve"> </w:t>
      </w:r>
      <w:r>
        <w:t>canalizar</w:t>
      </w:r>
      <w:r>
        <w:rPr>
          <w:spacing w:val="-12"/>
        </w:rPr>
        <w:t xml:space="preserve"> </w:t>
      </w:r>
      <w:r>
        <w:t>las</w:t>
      </w:r>
      <w:r>
        <w:rPr>
          <w:spacing w:val="-12"/>
        </w:rPr>
        <w:t xml:space="preserve"> </w:t>
      </w:r>
      <w:r>
        <w:t>demandas</w:t>
      </w:r>
      <w:r>
        <w:rPr>
          <w:spacing w:val="-13"/>
        </w:rPr>
        <w:t xml:space="preserve"> </w:t>
      </w:r>
      <w:r>
        <w:t>sociales</w:t>
      </w:r>
      <w:r>
        <w:rPr>
          <w:spacing w:val="-12"/>
        </w:rPr>
        <w:t xml:space="preserve"> </w:t>
      </w:r>
      <w:r>
        <w:t>de</w:t>
      </w:r>
      <w:r>
        <w:rPr>
          <w:spacing w:val="-12"/>
        </w:rPr>
        <w:t xml:space="preserve"> </w:t>
      </w:r>
      <w:r>
        <w:t>las</w:t>
      </w:r>
      <w:r>
        <w:rPr>
          <w:spacing w:val="-12"/>
        </w:rPr>
        <w:t xml:space="preserve"> </w:t>
      </w:r>
      <w:r>
        <w:t>poblaciones</w:t>
      </w:r>
      <w:r>
        <w:rPr>
          <w:spacing w:val="-12"/>
        </w:rPr>
        <w:t xml:space="preserve"> </w:t>
      </w:r>
      <w:r>
        <w:t>donde</w:t>
      </w:r>
      <w:r>
        <w:rPr>
          <w:spacing w:val="-12"/>
        </w:rPr>
        <w:t xml:space="preserve"> </w:t>
      </w:r>
      <w:r>
        <w:t xml:space="preserve">lograron insertarse o sintonizar con ellas. Los testimonios recogidos por la Comisión dan cuenta de vínculos políticos y sociales con la población y las organizaciones sociales en zonas de su </w:t>
      </w:r>
      <w:r>
        <w:rPr>
          <w:spacing w:val="-2"/>
        </w:rPr>
        <w:t>influencia.</w:t>
      </w:r>
      <w:r>
        <w:rPr>
          <w:spacing w:val="-6"/>
        </w:rPr>
        <w:t xml:space="preserve"> </w:t>
      </w:r>
      <w:r>
        <w:rPr>
          <w:spacing w:val="-2"/>
        </w:rPr>
        <w:t>En</w:t>
      </w:r>
      <w:r>
        <w:rPr>
          <w:spacing w:val="-5"/>
        </w:rPr>
        <w:t xml:space="preserve"> </w:t>
      </w:r>
      <w:r>
        <w:rPr>
          <w:spacing w:val="-2"/>
        </w:rPr>
        <w:t>ese</w:t>
      </w:r>
      <w:r>
        <w:rPr>
          <w:spacing w:val="-6"/>
        </w:rPr>
        <w:t xml:space="preserve"> </w:t>
      </w:r>
      <w:r>
        <w:rPr>
          <w:spacing w:val="-2"/>
        </w:rPr>
        <w:t>momento,</w:t>
      </w:r>
      <w:r>
        <w:rPr>
          <w:spacing w:val="-5"/>
        </w:rPr>
        <w:t xml:space="preserve"> </w:t>
      </w:r>
      <w:r>
        <w:rPr>
          <w:spacing w:val="-2"/>
        </w:rPr>
        <w:t>los</w:t>
      </w:r>
      <w:r>
        <w:rPr>
          <w:spacing w:val="-6"/>
        </w:rPr>
        <w:t xml:space="preserve"> </w:t>
      </w:r>
      <w:r>
        <w:rPr>
          <w:spacing w:val="-2"/>
        </w:rPr>
        <w:t>grupos</w:t>
      </w:r>
      <w:r>
        <w:rPr>
          <w:spacing w:val="-5"/>
        </w:rPr>
        <w:t xml:space="preserve"> </w:t>
      </w:r>
      <w:r>
        <w:rPr>
          <w:spacing w:val="-2"/>
        </w:rPr>
        <w:t>guerrilleros</w:t>
      </w:r>
      <w:r>
        <w:rPr>
          <w:spacing w:val="-5"/>
        </w:rPr>
        <w:t xml:space="preserve"> </w:t>
      </w:r>
      <w:r>
        <w:rPr>
          <w:spacing w:val="-2"/>
        </w:rPr>
        <w:t>se</w:t>
      </w:r>
      <w:r>
        <w:rPr>
          <w:spacing w:val="-6"/>
        </w:rPr>
        <w:t xml:space="preserve"> </w:t>
      </w:r>
      <w:r>
        <w:rPr>
          <w:spacing w:val="-2"/>
        </w:rPr>
        <w:t>introdujeron</w:t>
      </w:r>
      <w:r>
        <w:rPr>
          <w:spacing w:val="-5"/>
        </w:rPr>
        <w:t xml:space="preserve"> </w:t>
      </w:r>
      <w:r>
        <w:rPr>
          <w:spacing w:val="-2"/>
        </w:rPr>
        <w:t>y</w:t>
      </w:r>
      <w:r>
        <w:rPr>
          <w:spacing w:val="-6"/>
        </w:rPr>
        <w:t xml:space="preserve"> </w:t>
      </w:r>
      <w:r>
        <w:rPr>
          <w:spacing w:val="-2"/>
        </w:rPr>
        <w:t>se</w:t>
      </w:r>
      <w:r>
        <w:rPr>
          <w:spacing w:val="-6"/>
        </w:rPr>
        <w:t xml:space="preserve"> </w:t>
      </w:r>
      <w:r>
        <w:rPr>
          <w:spacing w:val="-2"/>
        </w:rPr>
        <w:t>asentaron</w:t>
      </w:r>
      <w:r>
        <w:rPr>
          <w:spacing w:val="-6"/>
        </w:rPr>
        <w:t xml:space="preserve"> </w:t>
      </w:r>
      <w:r>
        <w:rPr>
          <w:spacing w:val="-2"/>
        </w:rPr>
        <w:t>en</w:t>
      </w:r>
      <w:r>
        <w:rPr>
          <w:spacing w:val="-6"/>
        </w:rPr>
        <w:t xml:space="preserve"> </w:t>
      </w:r>
      <w:r>
        <w:rPr>
          <w:spacing w:val="-2"/>
        </w:rPr>
        <w:t xml:space="preserve">aquellos </w:t>
      </w:r>
      <w:r>
        <w:t xml:space="preserve">territorios </w:t>
      </w:r>
      <w:r>
        <w:lastRenderedPageBreak/>
        <w:t>donde convergieron los siguientes factores: el sentimiento de agravio de los campesinos y colonos derivado de los conflictos por la desigualdad en el acceso, uso y tenencia de la tierra y la inseguridad en los títulos de propiedad; y problemas de exclusión política y de estigmatización que pesaban sobre esas regiones y sus pobladores, por cuanto sus identidades y preferencias políticas no cabían en el acuerdo bipartidista que le dio fundamento al Frente Nacional.</w:t>
      </w:r>
    </w:p>
    <w:p w:rsidR="003804AC" w:rsidRDefault="00AF18A5" w:rsidP="00015A22">
      <w:r>
        <w:t>Por su parte, los respectivos Gobiernos del Frente Nacional, las Fuerzas Militares y las élites</w:t>
      </w:r>
      <w:r>
        <w:rPr>
          <w:spacing w:val="38"/>
        </w:rPr>
        <w:t xml:space="preserve"> </w:t>
      </w:r>
      <w:r>
        <w:t>políticas</w:t>
      </w:r>
      <w:r>
        <w:rPr>
          <w:spacing w:val="41"/>
        </w:rPr>
        <w:t xml:space="preserve"> </w:t>
      </w:r>
      <w:r>
        <w:t>y</w:t>
      </w:r>
      <w:r>
        <w:rPr>
          <w:spacing w:val="40"/>
        </w:rPr>
        <w:t xml:space="preserve"> </w:t>
      </w:r>
      <w:r>
        <w:t>económicas</w:t>
      </w:r>
      <w:r>
        <w:rPr>
          <w:spacing w:val="41"/>
        </w:rPr>
        <w:t xml:space="preserve"> </w:t>
      </w:r>
      <w:r>
        <w:t>llevaron</w:t>
      </w:r>
      <w:r>
        <w:rPr>
          <w:spacing w:val="41"/>
        </w:rPr>
        <w:t xml:space="preserve"> </w:t>
      </w:r>
      <w:r>
        <w:t>la</w:t>
      </w:r>
      <w:r>
        <w:rPr>
          <w:spacing w:val="40"/>
        </w:rPr>
        <w:t xml:space="preserve"> </w:t>
      </w:r>
      <w:r>
        <w:t>lógica</w:t>
      </w:r>
      <w:r>
        <w:rPr>
          <w:spacing w:val="40"/>
        </w:rPr>
        <w:t xml:space="preserve"> </w:t>
      </w:r>
      <w:r>
        <w:t>y</w:t>
      </w:r>
      <w:r>
        <w:rPr>
          <w:spacing w:val="41"/>
        </w:rPr>
        <w:t xml:space="preserve"> </w:t>
      </w:r>
      <w:r>
        <w:t>la</w:t>
      </w:r>
      <w:r>
        <w:rPr>
          <w:spacing w:val="40"/>
        </w:rPr>
        <w:t xml:space="preserve"> </w:t>
      </w:r>
      <w:r>
        <w:t>doctrina</w:t>
      </w:r>
      <w:r>
        <w:rPr>
          <w:spacing w:val="41"/>
        </w:rPr>
        <w:t xml:space="preserve"> </w:t>
      </w:r>
      <w:r>
        <w:t>del</w:t>
      </w:r>
      <w:r>
        <w:rPr>
          <w:spacing w:val="41"/>
        </w:rPr>
        <w:t xml:space="preserve"> </w:t>
      </w:r>
      <w:r>
        <w:t>enemigo</w:t>
      </w:r>
      <w:r>
        <w:rPr>
          <w:spacing w:val="40"/>
        </w:rPr>
        <w:t xml:space="preserve"> </w:t>
      </w:r>
      <w:r>
        <w:t>interno</w:t>
      </w:r>
      <w:r>
        <w:rPr>
          <w:spacing w:val="41"/>
        </w:rPr>
        <w:t xml:space="preserve"> </w:t>
      </w:r>
      <w:r>
        <w:t>y</w:t>
      </w:r>
      <w:r>
        <w:rPr>
          <w:spacing w:val="41"/>
        </w:rPr>
        <w:t xml:space="preserve"> </w:t>
      </w:r>
      <w:r>
        <w:rPr>
          <w:spacing w:val="-5"/>
        </w:rPr>
        <w:t>del</w:t>
      </w:r>
      <w:r w:rsidR="00015A22">
        <w:rPr>
          <w:spacing w:val="-5"/>
        </w:rPr>
        <w:t xml:space="preserve"> </w:t>
      </w:r>
      <w:r>
        <w:t>«peligro comunista» hasta sus últimas consecuencias. En ese contexto, se les dio el tratamiento de «zonas rojas» a las regiones en las que se asentaron los grupos guerrilleros, considerando</w:t>
      </w:r>
      <w:r>
        <w:rPr>
          <w:spacing w:val="5"/>
        </w:rPr>
        <w:t xml:space="preserve"> </w:t>
      </w:r>
      <w:r>
        <w:t>a</w:t>
      </w:r>
      <w:r>
        <w:rPr>
          <w:spacing w:val="8"/>
        </w:rPr>
        <w:t xml:space="preserve"> </w:t>
      </w:r>
      <w:r>
        <w:t>la</w:t>
      </w:r>
      <w:r>
        <w:rPr>
          <w:spacing w:val="8"/>
        </w:rPr>
        <w:t xml:space="preserve"> </w:t>
      </w:r>
      <w:r>
        <w:t>población</w:t>
      </w:r>
      <w:r>
        <w:rPr>
          <w:spacing w:val="7"/>
        </w:rPr>
        <w:t xml:space="preserve"> </w:t>
      </w:r>
      <w:r>
        <w:t>civil</w:t>
      </w:r>
      <w:r>
        <w:rPr>
          <w:spacing w:val="9"/>
        </w:rPr>
        <w:t xml:space="preserve"> </w:t>
      </w:r>
      <w:r>
        <w:t>como</w:t>
      </w:r>
      <w:r>
        <w:rPr>
          <w:spacing w:val="8"/>
        </w:rPr>
        <w:t xml:space="preserve"> </w:t>
      </w:r>
      <w:r>
        <w:t>enemigo.</w:t>
      </w:r>
      <w:r>
        <w:rPr>
          <w:spacing w:val="7"/>
        </w:rPr>
        <w:t xml:space="preserve"> </w:t>
      </w:r>
      <w:r>
        <w:t>En</w:t>
      </w:r>
      <w:r>
        <w:rPr>
          <w:spacing w:val="8"/>
        </w:rPr>
        <w:t xml:space="preserve"> </w:t>
      </w:r>
      <w:r>
        <w:t>estas</w:t>
      </w:r>
      <w:r>
        <w:rPr>
          <w:spacing w:val="8"/>
        </w:rPr>
        <w:t xml:space="preserve"> </w:t>
      </w:r>
      <w:r>
        <w:t>zonas,</w:t>
      </w:r>
      <w:r>
        <w:rPr>
          <w:spacing w:val="8"/>
        </w:rPr>
        <w:t xml:space="preserve"> </w:t>
      </w:r>
      <w:r>
        <w:t>bajo</w:t>
      </w:r>
      <w:r>
        <w:rPr>
          <w:spacing w:val="6"/>
        </w:rPr>
        <w:t xml:space="preserve"> </w:t>
      </w:r>
      <w:r>
        <w:t>la</w:t>
      </w:r>
      <w:r>
        <w:rPr>
          <w:spacing w:val="7"/>
        </w:rPr>
        <w:t xml:space="preserve"> </w:t>
      </w:r>
      <w:r>
        <w:t>justificación</w:t>
      </w:r>
      <w:r>
        <w:rPr>
          <w:spacing w:val="8"/>
        </w:rPr>
        <w:t xml:space="preserve"> </w:t>
      </w:r>
      <w:r>
        <w:t>de</w:t>
      </w:r>
      <w:r>
        <w:rPr>
          <w:spacing w:val="8"/>
        </w:rPr>
        <w:t xml:space="preserve"> </w:t>
      </w:r>
      <w:r>
        <w:rPr>
          <w:spacing w:val="-5"/>
        </w:rPr>
        <w:t>la</w:t>
      </w:r>
      <w:bookmarkStart w:id="367" w:name="_bookmark275"/>
      <w:bookmarkEnd w:id="367"/>
      <w:r w:rsidR="00015A22">
        <w:rPr>
          <w:spacing w:val="-5"/>
        </w:rPr>
        <w:t xml:space="preserve"> </w:t>
      </w:r>
      <w:r>
        <w:t xml:space="preserve">lucha contrainsurgente, los derechos más elementales de sus pobladores se vieron suspendidos y sus habitantes fueron objeto de prácticas sistemáticas de violaciones de los derechos humanos e infracciones graves al derecho internacional humanitario, todo con el fin de acabar en los territorios con el apoyo, supuesto o real, a la guerrilla donde esta hacía </w:t>
      </w:r>
      <w:r>
        <w:rPr>
          <w:spacing w:val="-2"/>
        </w:rPr>
        <w:t>presencia.</w:t>
      </w:r>
    </w:p>
    <w:p w:rsidR="003804AC" w:rsidRDefault="00AF18A5" w:rsidP="00015A22">
      <w:r>
        <w:t>El control territorial y social, incluyendo las relaciones con la población civil que las FARC-EP configuraron en las regiones, se puede caracterizar en tres tipos. Primero, de relación</w:t>
      </w:r>
      <w:r>
        <w:rPr>
          <w:spacing w:val="-13"/>
        </w:rPr>
        <w:t xml:space="preserve"> </w:t>
      </w:r>
      <w:r>
        <w:t>cotidiana</w:t>
      </w:r>
      <w:r>
        <w:rPr>
          <w:spacing w:val="-13"/>
        </w:rPr>
        <w:t xml:space="preserve"> </w:t>
      </w:r>
      <w:r>
        <w:t>e</w:t>
      </w:r>
      <w:r>
        <w:rPr>
          <w:spacing w:val="-13"/>
        </w:rPr>
        <w:t xml:space="preserve"> </w:t>
      </w:r>
      <w:r>
        <w:t>identidad</w:t>
      </w:r>
      <w:r>
        <w:rPr>
          <w:spacing w:val="-13"/>
        </w:rPr>
        <w:t xml:space="preserve"> </w:t>
      </w:r>
      <w:r>
        <w:t>política,</w:t>
      </w:r>
      <w:r>
        <w:rPr>
          <w:spacing w:val="-13"/>
        </w:rPr>
        <w:t xml:space="preserve"> </w:t>
      </w:r>
      <w:r>
        <w:t>especialmente</w:t>
      </w:r>
      <w:r>
        <w:rPr>
          <w:spacing w:val="-13"/>
        </w:rPr>
        <w:t xml:space="preserve"> </w:t>
      </w:r>
      <w:r>
        <w:t>en</w:t>
      </w:r>
      <w:r>
        <w:rPr>
          <w:spacing w:val="-13"/>
        </w:rPr>
        <w:t xml:space="preserve"> </w:t>
      </w:r>
      <w:r>
        <w:t>aquellas</w:t>
      </w:r>
      <w:r>
        <w:rPr>
          <w:spacing w:val="-13"/>
        </w:rPr>
        <w:t xml:space="preserve"> </w:t>
      </w:r>
      <w:r>
        <w:t>regiones</w:t>
      </w:r>
      <w:r>
        <w:rPr>
          <w:spacing w:val="-14"/>
        </w:rPr>
        <w:t xml:space="preserve"> </w:t>
      </w:r>
      <w:r>
        <w:t>donde</w:t>
      </w:r>
      <w:r>
        <w:rPr>
          <w:spacing w:val="-13"/>
        </w:rPr>
        <w:t xml:space="preserve"> </w:t>
      </w:r>
      <w:r>
        <w:t>la</w:t>
      </w:r>
      <w:r>
        <w:rPr>
          <w:spacing w:val="-13"/>
        </w:rPr>
        <w:t xml:space="preserve"> </w:t>
      </w:r>
      <w:r>
        <w:t>presencia de</w:t>
      </w:r>
      <w:r>
        <w:rPr>
          <w:spacing w:val="-7"/>
        </w:rPr>
        <w:t xml:space="preserve"> </w:t>
      </w:r>
      <w:r>
        <w:t>esa</w:t>
      </w:r>
      <w:r>
        <w:rPr>
          <w:spacing w:val="-8"/>
        </w:rPr>
        <w:t xml:space="preserve"> </w:t>
      </w:r>
      <w:r>
        <w:t>guerrilla</w:t>
      </w:r>
      <w:r>
        <w:rPr>
          <w:spacing w:val="-8"/>
        </w:rPr>
        <w:t xml:space="preserve"> </w:t>
      </w:r>
      <w:r>
        <w:t>fue</w:t>
      </w:r>
      <w:r>
        <w:rPr>
          <w:spacing w:val="-8"/>
        </w:rPr>
        <w:t xml:space="preserve"> </w:t>
      </w:r>
      <w:r>
        <w:t>histórica</w:t>
      </w:r>
      <w:r>
        <w:rPr>
          <w:spacing w:val="-7"/>
        </w:rPr>
        <w:t xml:space="preserve"> </w:t>
      </w:r>
      <w:r>
        <w:t>desde</w:t>
      </w:r>
      <w:r>
        <w:rPr>
          <w:spacing w:val="-8"/>
        </w:rPr>
        <w:t xml:space="preserve"> </w:t>
      </w:r>
      <w:r>
        <w:t>los</w:t>
      </w:r>
      <w:r>
        <w:rPr>
          <w:spacing w:val="-8"/>
        </w:rPr>
        <w:t xml:space="preserve"> </w:t>
      </w:r>
      <w:r>
        <w:t>años</w:t>
      </w:r>
      <w:r>
        <w:rPr>
          <w:spacing w:val="-9"/>
        </w:rPr>
        <w:t xml:space="preserve"> </w:t>
      </w:r>
      <w:r>
        <w:t>sesenta</w:t>
      </w:r>
      <w:r>
        <w:rPr>
          <w:spacing w:val="-7"/>
        </w:rPr>
        <w:t xml:space="preserve"> </w:t>
      </w:r>
      <w:r>
        <w:t>y</w:t>
      </w:r>
      <w:r>
        <w:rPr>
          <w:spacing w:val="-7"/>
        </w:rPr>
        <w:t xml:space="preserve"> </w:t>
      </w:r>
      <w:r>
        <w:t>setenta,</w:t>
      </w:r>
      <w:r>
        <w:rPr>
          <w:spacing w:val="-8"/>
        </w:rPr>
        <w:t xml:space="preserve"> </w:t>
      </w:r>
      <w:r>
        <w:t>como,</w:t>
      </w:r>
      <w:r>
        <w:rPr>
          <w:spacing w:val="-7"/>
        </w:rPr>
        <w:t xml:space="preserve"> </w:t>
      </w:r>
      <w:r>
        <w:t>por</w:t>
      </w:r>
      <w:r>
        <w:rPr>
          <w:spacing w:val="-8"/>
        </w:rPr>
        <w:t xml:space="preserve"> </w:t>
      </w:r>
      <w:r>
        <w:t>ejemplo,</w:t>
      </w:r>
      <w:r>
        <w:rPr>
          <w:spacing w:val="-8"/>
        </w:rPr>
        <w:t xml:space="preserve"> </w:t>
      </w:r>
      <w:r>
        <w:t>el</w:t>
      </w:r>
      <w:r>
        <w:rPr>
          <w:spacing w:val="-7"/>
        </w:rPr>
        <w:t xml:space="preserve"> </w:t>
      </w:r>
      <w:r>
        <w:t>valle</w:t>
      </w:r>
      <w:r>
        <w:rPr>
          <w:spacing w:val="-7"/>
        </w:rPr>
        <w:t xml:space="preserve"> </w:t>
      </w:r>
      <w:r>
        <w:t>del río Cimitarra y la zona sur del Magdalena Medio, o en ciertas zonas de Urabá</w:t>
      </w:r>
      <w:r w:rsidR="005963F9">
        <w:rPr>
          <w:rStyle w:val="Refdenotaalpie"/>
        </w:rPr>
        <w:footnoteReference w:id="236"/>
      </w:r>
      <w:r>
        <w:t xml:space="preserve">, el alto Ariari, El Pato y El Caguán, en los </w:t>
      </w:r>
      <w:r>
        <w:lastRenderedPageBreak/>
        <w:t>departamentos de Caquetá y Meta. En estas zonas, la guerrilla</w:t>
      </w:r>
      <w:r>
        <w:rPr>
          <w:spacing w:val="-14"/>
        </w:rPr>
        <w:t xml:space="preserve"> </w:t>
      </w:r>
      <w:r>
        <w:t>logró</w:t>
      </w:r>
      <w:r>
        <w:rPr>
          <w:spacing w:val="-14"/>
        </w:rPr>
        <w:t xml:space="preserve"> </w:t>
      </w:r>
      <w:r>
        <w:t>tener</w:t>
      </w:r>
      <w:r>
        <w:rPr>
          <w:spacing w:val="-14"/>
        </w:rPr>
        <w:t xml:space="preserve"> </w:t>
      </w:r>
      <w:r>
        <w:t>presencia</w:t>
      </w:r>
      <w:r>
        <w:rPr>
          <w:spacing w:val="-14"/>
        </w:rPr>
        <w:t xml:space="preserve"> </w:t>
      </w:r>
      <w:r>
        <w:t>y</w:t>
      </w:r>
      <w:r>
        <w:rPr>
          <w:spacing w:val="-14"/>
        </w:rPr>
        <w:t xml:space="preserve"> </w:t>
      </w:r>
      <w:r>
        <w:t>control</w:t>
      </w:r>
      <w:r>
        <w:rPr>
          <w:spacing w:val="-14"/>
        </w:rPr>
        <w:t xml:space="preserve"> </w:t>
      </w:r>
      <w:r>
        <w:t>donde</w:t>
      </w:r>
      <w:r>
        <w:rPr>
          <w:spacing w:val="-14"/>
        </w:rPr>
        <w:t xml:space="preserve"> </w:t>
      </w:r>
      <w:r>
        <w:t>convergían</w:t>
      </w:r>
      <w:r>
        <w:rPr>
          <w:spacing w:val="-15"/>
        </w:rPr>
        <w:t xml:space="preserve"> </w:t>
      </w:r>
      <w:r>
        <w:t>las</w:t>
      </w:r>
      <w:r>
        <w:rPr>
          <w:spacing w:val="-15"/>
        </w:rPr>
        <w:t xml:space="preserve"> </w:t>
      </w:r>
      <w:r>
        <w:t>identidades</w:t>
      </w:r>
      <w:r>
        <w:rPr>
          <w:spacing w:val="-14"/>
        </w:rPr>
        <w:t xml:space="preserve"> </w:t>
      </w:r>
      <w:r>
        <w:t>políticas,</w:t>
      </w:r>
      <w:r>
        <w:rPr>
          <w:spacing w:val="-14"/>
        </w:rPr>
        <w:t xml:space="preserve"> </w:t>
      </w:r>
      <w:r>
        <w:t>veredales y territoriales con las redes familiares.</w:t>
      </w:r>
    </w:p>
    <w:p w:rsidR="003804AC" w:rsidRDefault="00AF18A5" w:rsidP="00015A22">
      <w:r>
        <w:t>Segundo, en otras regiones, de relación motivada por el pragmatismo y el oportunismo, especialmente donde hicieron presencia tardía y la relación se basó en control territorial y regulación</w:t>
      </w:r>
      <w:r>
        <w:rPr>
          <w:spacing w:val="-15"/>
        </w:rPr>
        <w:t xml:space="preserve"> </w:t>
      </w:r>
      <w:r>
        <w:t>de</w:t>
      </w:r>
      <w:r>
        <w:rPr>
          <w:spacing w:val="-15"/>
        </w:rPr>
        <w:t xml:space="preserve"> </w:t>
      </w:r>
      <w:r>
        <w:t>economías</w:t>
      </w:r>
      <w:r>
        <w:rPr>
          <w:spacing w:val="-15"/>
        </w:rPr>
        <w:t xml:space="preserve"> </w:t>
      </w:r>
      <w:r>
        <w:t>ilegales,</w:t>
      </w:r>
      <w:r>
        <w:rPr>
          <w:spacing w:val="-15"/>
        </w:rPr>
        <w:t xml:space="preserve"> </w:t>
      </w:r>
      <w:r>
        <w:t>especialmente</w:t>
      </w:r>
      <w:r>
        <w:rPr>
          <w:spacing w:val="-15"/>
        </w:rPr>
        <w:t xml:space="preserve"> </w:t>
      </w:r>
      <w:r>
        <w:t>de</w:t>
      </w:r>
      <w:r>
        <w:rPr>
          <w:spacing w:val="-15"/>
        </w:rPr>
        <w:t xml:space="preserve"> </w:t>
      </w:r>
      <w:r>
        <w:t>la</w:t>
      </w:r>
      <w:r>
        <w:rPr>
          <w:spacing w:val="-15"/>
        </w:rPr>
        <w:t xml:space="preserve"> </w:t>
      </w:r>
      <w:r>
        <w:t>coca,</w:t>
      </w:r>
      <w:r>
        <w:rPr>
          <w:spacing w:val="-15"/>
        </w:rPr>
        <w:t xml:space="preserve"> </w:t>
      </w:r>
      <w:r>
        <w:t>como,</w:t>
      </w:r>
      <w:r>
        <w:rPr>
          <w:spacing w:val="-15"/>
        </w:rPr>
        <w:t xml:space="preserve"> </w:t>
      </w:r>
      <w:r>
        <w:t>por</w:t>
      </w:r>
      <w:r>
        <w:rPr>
          <w:spacing w:val="-15"/>
        </w:rPr>
        <w:t xml:space="preserve"> </w:t>
      </w:r>
      <w:r>
        <w:t>ejemplo,</w:t>
      </w:r>
      <w:r>
        <w:rPr>
          <w:spacing w:val="-15"/>
        </w:rPr>
        <w:t xml:space="preserve"> </w:t>
      </w:r>
      <w:r>
        <w:t>en</w:t>
      </w:r>
      <w:r>
        <w:rPr>
          <w:spacing w:val="-15"/>
        </w:rPr>
        <w:t xml:space="preserve"> </w:t>
      </w:r>
      <w:r>
        <w:t>la</w:t>
      </w:r>
      <w:r>
        <w:rPr>
          <w:spacing w:val="-15"/>
        </w:rPr>
        <w:t xml:space="preserve"> </w:t>
      </w:r>
      <w:r>
        <w:t>frontera con Brasil, el bajo y medio Putumayo y en el Pacífico nariñense. Y, finalmente, de relación de oposición y rechazo frente a la presencia de la guerrilla, que fue evidente en aquellas regiones donde hicieron presencia en función de su expansión militar de mediados de los años noventa y comienzos de los dos mil. Por ejemplo, el oriente antioqueño y el occidente de Cundinamarca, entre otras muchas donde la extensión de la guerra llevó a niveles crecientes</w:t>
      </w:r>
      <w:r>
        <w:rPr>
          <w:spacing w:val="-2"/>
        </w:rPr>
        <w:t xml:space="preserve"> </w:t>
      </w:r>
      <w:r>
        <w:t>de</w:t>
      </w:r>
      <w:r>
        <w:rPr>
          <w:spacing w:val="-2"/>
        </w:rPr>
        <w:t xml:space="preserve"> </w:t>
      </w:r>
      <w:r>
        <w:t>control</w:t>
      </w:r>
      <w:r>
        <w:rPr>
          <w:spacing w:val="-2"/>
        </w:rPr>
        <w:t xml:space="preserve"> </w:t>
      </w:r>
      <w:r>
        <w:t>y</w:t>
      </w:r>
      <w:r>
        <w:rPr>
          <w:spacing w:val="-2"/>
        </w:rPr>
        <w:t xml:space="preserve"> </w:t>
      </w:r>
      <w:r>
        <w:t>violencia</w:t>
      </w:r>
      <w:r>
        <w:rPr>
          <w:spacing w:val="-2"/>
        </w:rPr>
        <w:t xml:space="preserve"> </w:t>
      </w:r>
      <w:r>
        <w:t>contra</w:t>
      </w:r>
      <w:r>
        <w:rPr>
          <w:spacing w:val="-2"/>
        </w:rPr>
        <w:t xml:space="preserve"> </w:t>
      </w:r>
      <w:r>
        <w:t>la</w:t>
      </w:r>
      <w:r>
        <w:rPr>
          <w:spacing w:val="-2"/>
        </w:rPr>
        <w:t xml:space="preserve"> </w:t>
      </w:r>
      <w:r>
        <w:t>población</w:t>
      </w:r>
      <w:r>
        <w:rPr>
          <w:spacing w:val="-2"/>
        </w:rPr>
        <w:t xml:space="preserve"> </w:t>
      </w:r>
      <w:r>
        <w:t>civil</w:t>
      </w:r>
      <w:r>
        <w:rPr>
          <w:spacing w:val="-2"/>
        </w:rPr>
        <w:t xml:space="preserve"> </w:t>
      </w:r>
      <w:r>
        <w:t>y</w:t>
      </w:r>
      <w:r>
        <w:rPr>
          <w:spacing w:val="-2"/>
        </w:rPr>
        <w:t xml:space="preserve"> </w:t>
      </w:r>
      <w:r>
        <w:t>comunidades</w:t>
      </w:r>
      <w:r>
        <w:rPr>
          <w:spacing w:val="-2"/>
        </w:rPr>
        <w:t xml:space="preserve"> </w:t>
      </w:r>
      <w:r>
        <w:t>étnicas</w:t>
      </w:r>
      <w:r>
        <w:rPr>
          <w:spacing w:val="-2"/>
        </w:rPr>
        <w:t xml:space="preserve"> </w:t>
      </w:r>
      <w:r>
        <w:t>en</w:t>
      </w:r>
      <w:r>
        <w:rPr>
          <w:spacing w:val="-2"/>
        </w:rPr>
        <w:t xml:space="preserve"> </w:t>
      </w:r>
      <w:r>
        <w:t xml:space="preserve">muchos </w:t>
      </w:r>
      <w:r>
        <w:rPr>
          <w:spacing w:val="-2"/>
        </w:rPr>
        <w:t>casos.</w:t>
      </w:r>
    </w:p>
    <w:p w:rsidR="003804AC" w:rsidRDefault="00AF18A5" w:rsidP="005963F9">
      <w:r>
        <w:t xml:space="preserve">En cuanto al EPL, siguiendo sus principios maoístas ligados a la guerra popular y </w:t>
      </w:r>
      <w:r>
        <w:rPr>
          <w:spacing w:val="-2"/>
        </w:rPr>
        <w:t>prolongada,</w:t>
      </w:r>
      <w:r>
        <w:rPr>
          <w:spacing w:val="-9"/>
        </w:rPr>
        <w:t xml:space="preserve"> </w:t>
      </w:r>
      <w:r>
        <w:rPr>
          <w:spacing w:val="-2"/>
        </w:rPr>
        <w:t>decidió</w:t>
      </w:r>
      <w:r>
        <w:rPr>
          <w:spacing w:val="-7"/>
        </w:rPr>
        <w:t xml:space="preserve"> </w:t>
      </w:r>
      <w:r>
        <w:rPr>
          <w:spacing w:val="-2"/>
        </w:rPr>
        <w:t>insertarse</w:t>
      </w:r>
      <w:r>
        <w:rPr>
          <w:spacing w:val="-7"/>
        </w:rPr>
        <w:t xml:space="preserve"> </w:t>
      </w:r>
      <w:r>
        <w:rPr>
          <w:spacing w:val="-2"/>
        </w:rPr>
        <w:t>en</w:t>
      </w:r>
      <w:r>
        <w:rPr>
          <w:spacing w:val="-5"/>
        </w:rPr>
        <w:t xml:space="preserve"> </w:t>
      </w:r>
      <w:r>
        <w:rPr>
          <w:spacing w:val="-2"/>
        </w:rPr>
        <w:t>el</w:t>
      </w:r>
      <w:r>
        <w:rPr>
          <w:spacing w:val="-4"/>
        </w:rPr>
        <w:t xml:space="preserve"> </w:t>
      </w:r>
      <w:r>
        <w:rPr>
          <w:spacing w:val="-2"/>
        </w:rPr>
        <w:t>sur</w:t>
      </w:r>
      <w:r>
        <w:rPr>
          <w:spacing w:val="-5"/>
        </w:rPr>
        <w:t xml:space="preserve"> </w:t>
      </w:r>
      <w:r>
        <w:rPr>
          <w:spacing w:val="-2"/>
        </w:rPr>
        <w:t>de</w:t>
      </w:r>
      <w:r>
        <w:rPr>
          <w:spacing w:val="-5"/>
        </w:rPr>
        <w:t xml:space="preserve"> </w:t>
      </w:r>
      <w:r>
        <w:rPr>
          <w:spacing w:val="-2"/>
        </w:rPr>
        <w:t>Córdoba,</w:t>
      </w:r>
      <w:r>
        <w:rPr>
          <w:spacing w:val="-6"/>
        </w:rPr>
        <w:t xml:space="preserve"> </w:t>
      </w:r>
      <w:r>
        <w:rPr>
          <w:spacing w:val="-2"/>
        </w:rPr>
        <w:t>donde</w:t>
      </w:r>
      <w:r>
        <w:rPr>
          <w:spacing w:val="-5"/>
        </w:rPr>
        <w:t xml:space="preserve"> </w:t>
      </w:r>
      <w:r>
        <w:rPr>
          <w:spacing w:val="-2"/>
        </w:rPr>
        <w:t>las</w:t>
      </w:r>
      <w:r>
        <w:rPr>
          <w:spacing w:val="-6"/>
        </w:rPr>
        <w:t xml:space="preserve"> </w:t>
      </w:r>
      <w:r>
        <w:rPr>
          <w:spacing w:val="-2"/>
        </w:rPr>
        <w:t>disputas</w:t>
      </w:r>
      <w:r>
        <w:rPr>
          <w:spacing w:val="-5"/>
        </w:rPr>
        <w:t xml:space="preserve"> </w:t>
      </w:r>
      <w:r>
        <w:rPr>
          <w:spacing w:val="-2"/>
        </w:rPr>
        <w:t>por</w:t>
      </w:r>
      <w:r>
        <w:rPr>
          <w:spacing w:val="-4"/>
        </w:rPr>
        <w:t xml:space="preserve"> </w:t>
      </w:r>
      <w:r>
        <w:rPr>
          <w:spacing w:val="-2"/>
        </w:rPr>
        <w:t>la</w:t>
      </w:r>
      <w:r>
        <w:rPr>
          <w:spacing w:val="-6"/>
        </w:rPr>
        <w:t xml:space="preserve"> </w:t>
      </w:r>
      <w:r>
        <w:rPr>
          <w:spacing w:val="-2"/>
        </w:rPr>
        <w:t>tierra</w:t>
      </w:r>
      <w:r>
        <w:rPr>
          <w:spacing w:val="-5"/>
        </w:rPr>
        <w:t xml:space="preserve"> </w:t>
      </w:r>
      <w:r>
        <w:rPr>
          <w:spacing w:val="-2"/>
        </w:rPr>
        <w:t>generaban</w:t>
      </w:r>
      <w:bookmarkStart w:id="368" w:name="_bookmark276"/>
      <w:bookmarkEnd w:id="368"/>
      <w:r w:rsidR="005963F9">
        <w:rPr>
          <w:spacing w:val="-2"/>
        </w:rPr>
        <w:t xml:space="preserve"> </w:t>
      </w:r>
      <w:r>
        <w:t>inconformidad</w:t>
      </w:r>
      <w:r>
        <w:rPr>
          <w:spacing w:val="-10"/>
        </w:rPr>
        <w:t xml:space="preserve"> </w:t>
      </w:r>
      <w:r>
        <w:t>en</w:t>
      </w:r>
      <w:r>
        <w:rPr>
          <w:spacing w:val="-10"/>
        </w:rPr>
        <w:t xml:space="preserve"> </w:t>
      </w:r>
      <w:r>
        <w:t>los</w:t>
      </w:r>
      <w:r>
        <w:rPr>
          <w:spacing w:val="-9"/>
        </w:rPr>
        <w:t xml:space="preserve"> </w:t>
      </w:r>
      <w:r>
        <w:t>campesinos,</w:t>
      </w:r>
      <w:r>
        <w:rPr>
          <w:spacing w:val="-10"/>
        </w:rPr>
        <w:t xml:space="preserve"> </w:t>
      </w:r>
      <w:r>
        <w:t>que</w:t>
      </w:r>
      <w:r>
        <w:rPr>
          <w:spacing w:val="-9"/>
        </w:rPr>
        <w:t xml:space="preserve"> </w:t>
      </w:r>
      <w:r>
        <w:t>facilitaban</w:t>
      </w:r>
      <w:r>
        <w:rPr>
          <w:spacing w:val="-10"/>
        </w:rPr>
        <w:t xml:space="preserve"> </w:t>
      </w:r>
      <w:r>
        <w:t>su</w:t>
      </w:r>
      <w:r>
        <w:rPr>
          <w:spacing w:val="-10"/>
        </w:rPr>
        <w:t xml:space="preserve"> </w:t>
      </w:r>
      <w:r>
        <w:t>trabajo</w:t>
      </w:r>
      <w:r>
        <w:rPr>
          <w:spacing w:val="-11"/>
        </w:rPr>
        <w:t xml:space="preserve"> </w:t>
      </w:r>
      <w:r>
        <w:t>político</w:t>
      </w:r>
      <w:r>
        <w:rPr>
          <w:spacing w:val="-10"/>
        </w:rPr>
        <w:t xml:space="preserve"> </w:t>
      </w:r>
      <w:r>
        <w:t>y</w:t>
      </w:r>
      <w:r>
        <w:rPr>
          <w:spacing w:val="-10"/>
        </w:rPr>
        <w:t xml:space="preserve"> </w:t>
      </w:r>
      <w:r>
        <w:t>social</w:t>
      </w:r>
      <w:r w:rsidR="005963F9">
        <w:rPr>
          <w:rStyle w:val="Refdenotaalpie"/>
        </w:rPr>
        <w:footnoteReference w:id="237"/>
      </w:r>
      <w:r>
        <w:t>.</w:t>
      </w:r>
      <w:r>
        <w:rPr>
          <w:spacing w:val="-10"/>
        </w:rPr>
        <w:t xml:space="preserve"> </w:t>
      </w:r>
      <w:r>
        <w:t>Por</w:t>
      </w:r>
      <w:r>
        <w:rPr>
          <w:spacing w:val="-9"/>
        </w:rPr>
        <w:t xml:space="preserve"> </w:t>
      </w:r>
      <w:r>
        <w:t>su</w:t>
      </w:r>
      <w:r>
        <w:rPr>
          <w:spacing w:val="-8"/>
        </w:rPr>
        <w:t xml:space="preserve"> </w:t>
      </w:r>
      <w:r>
        <w:t>parte, el control territorial y social del ELN también tuvo variaciones. Con el cambio de rumbo y la nueva dirección en los años ochenta, en cabeza de Manuel Pérez y Nicolás Rodríguez, alias</w:t>
      </w:r>
      <w:r>
        <w:rPr>
          <w:spacing w:val="-10"/>
        </w:rPr>
        <w:t xml:space="preserve"> </w:t>
      </w:r>
      <w:r>
        <w:t>Gabino,</w:t>
      </w:r>
      <w:r>
        <w:rPr>
          <w:spacing w:val="-10"/>
        </w:rPr>
        <w:t xml:space="preserve"> </w:t>
      </w:r>
      <w:r>
        <w:t>las</w:t>
      </w:r>
      <w:r>
        <w:rPr>
          <w:spacing w:val="-11"/>
        </w:rPr>
        <w:t xml:space="preserve"> </w:t>
      </w:r>
      <w:r>
        <w:t>estrategias</w:t>
      </w:r>
      <w:r>
        <w:rPr>
          <w:spacing w:val="-9"/>
        </w:rPr>
        <w:t xml:space="preserve"> </w:t>
      </w:r>
      <w:r>
        <w:t>de</w:t>
      </w:r>
      <w:r>
        <w:rPr>
          <w:spacing w:val="-11"/>
        </w:rPr>
        <w:t xml:space="preserve"> </w:t>
      </w:r>
      <w:r>
        <w:t>articulación</w:t>
      </w:r>
      <w:r>
        <w:rPr>
          <w:spacing w:val="-10"/>
        </w:rPr>
        <w:t xml:space="preserve"> </w:t>
      </w:r>
      <w:r>
        <w:t>con</w:t>
      </w:r>
      <w:r>
        <w:rPr>
          <w:spacing w:val="-11"/>
        </w:rPr>
        <w:t xml:space="preserve"> </w:t>
      </w:r>
      <w:r>
        <w:t>la</w:t>
      </w:r>
      <w:r>
        <w:rPr>
          <w:spacing w:val="-12"/>
        </w:rPr>
        <w:t xml:space="preserve"> </w:t>
      </w:r>
      <w:r>
        <w:t>población</w:t>
      </w:r>
      <w:r>
        <w:rPr>
          <w:spacing w:val="-11"/>
        </w:rPr>
        <w:t xml:space="preserve"> </w:t>
      </w:r>
      <w:r>
        <w:t>civil</w:t>
      </w:r>
      <w:r>
        <w:rPr>
          <w:spacing w:val="-9"/>
        </w:rPr>
        <w:t xml:space="preserve"> </w:t>
      </w:r>
      <w:r>
        <w:t>pasaron</w:t>
      </w:r>
      <w:r>
        <w:rPr>
          <w:spacing w:val="-11"/>
        </w:rPr>
        <w:t xml:space="preserve"> </w:t>
      </w:r>
      <w:r>
        <w:t>por</w:t>
      </w:r>
      <w:r>
        <w:rPr>
          <w:spacing w:val="-9"/>
        </w:rPr>
        <w:t xml:space="preserve"> </w:t>
      </w:r>
      <w:r>
        <w:t>la</w:t>
      </w:r>
      <w:r>
        <w:rPr>
          <w:spacing w:val="-11"/>
        </w:rPr>
        <w:t xml:space="preserve"> </w:t>
      </w:r>
      <w:r>
        <w:t>vinculación, infiltración o cooptación de las agendas reivindicativas de los pobladores en torno al incumplimiento estatal de ciertas políticas y las demandas de integración y reconocimiento de</w:t>
      </w:r>
      <w:r>
        <w:rPr>
          <w:spacing w:val="-7"/>
        </w:rPr>
        <w:t xml:space="preserve"> </w:t>
      </w:r>
      <w:r>
        <w:t>estos,</w:t>
      </w:r>
      <w:r>
        <w:rPr>
          <w:spacing w:val="-7"/>
        </w:rPr>
        <w:t xml:space="preserve"> </w:t>
      </w:r>
      <w:r>
        <w:t>que</w:t>
      </w:r>
      <w:r>
        <w:rPr>
          <w:spacing w:val="-8"/>
        </w:rPr>
        <w:t xml:space="preserve"> </w:t>
      </w:r>
      <w:r>
        <w:t>contrastaba</w:t>
      </w:r>
      <w:r>
        <w:rPr>
          <w:spacing w:val="-8"/>
        </w:rPr>
        <w:t xml:space="preserve"> </w:t>
      </w:r>
      <w:r>
        <w:t>con</w:t>
      </w:r>
      <w:r>
        <w:rPr>
          <w:spacing w:val="-7"/>
        </w:rPr>
        <w:t xml:space="preserve"> </w:t>
      </w:r>
      <w:r>
        <w:t>las</w:t>
      </w:r>
      <w:r>
        <w:rPr>
          <w:spacing w:val="-7"/>
        </w:rPr>
        <w:t xml:space="preserve"> </w:t>
      </w:r>
      <w:r>
        <w:t>enormes</w:t>
      </w:r>
      <w:r>
        <w:rPr>
          <w:spacing w:val="-7"/>
        </w:rPr>
        <w:t xml:space="preserve"> </w:t>
      </w:r>
      <w:r>
        <w:lastRenderedPageBreak/>
        <w:t>dificultades</w:t>
      </w:r>
      <w:r>
        <w:rPr>
          <w:spacing w:val="-7"/>
        </w:rPr>
        <w:t xml:space="preserve"> </w:t>
      </w:r>
      <w:r>
        <w:t>de</w:t>
      </w:r>
      <w:r>
        <w:rPr>
          <w:spacing w:val="-8"/>
        </w:rPr>
        <w:t xml:space="preserve"> </w:t>
      </w:r>
      <w:r>
        <w:t>la</w:t>
      </w:r>
      <w:r>
        <w:rPr>
          <w:spacing w:val="-7"/>
        </w:rPr>
        <w:t xml:space="preserve"> </w:t>
      </w:r>
      <w:r>
        <w:t>etapa</w:t>
      </w:r>
      <w:r>
        <w:rPr>
          <w:spacing w:val="-7"/>
        </w:rPr>
        <w:t xml:space="preserve"> </w:t>
      </w:r>
      <w:r>
        <w:t>fundacional.</w:t>
      </w:r>
      <w:r>
        <w:rPr>
          <w:spacing w:val="-7"/>
        </w:rPr>
        <w:t xml:space="preserve"> </w:t>
      </w:r>
      <w:r>
        <w:t>Luego</w:t>
      </w:r>
      <w:r>
        <w:rPr>
          <w:spacing w:val="-7"/>
        </w:rPr>
        <w:t xml:space="preserve"> </w:t>
      </w:r>
      <w:r>
        <w:t>de</w:t>
      </w:r>
      <w:r>
        <w:rPr>
          <w:spacing w:val="-7"/>
        </w:rPr>
        <w:t xml:space="preserve"> </w:t>
      </w:r>
      <w:r>
        <w:t>esta vinculación</w:t>
      </w:r>
      <w:r>
        <w:rPr>
          <w:spacing w:val="-5"/>
        </w:rPr>
        <w:t xml:space="preserve"> </w:t>
      </w:r>
      <w:r>
        <w:t>más</w:t>
      </w:r>
      <w:r>
        <w:rPr>
          <w:spacing w:val="-3"/>
        </w:rPr>
        <w:t xml:space="preserve"> </w:t>
      </w:r>
      <w:r>
        <w:t>o</w:t>
      </w:r>
      <w:r>
        <w:rPr>
          <w:spacing w:val="-4"/>
        </w:rPr>
        <w:t xml:space="preserve"> </w:t>
      </w:r>
      <w:r>
        <w:t>menos</w:t>
      </w:r>
      <w:r>
        <w:rPr>
          <w:spacing w:val="-4"/>
        </w:rPr>
        <w:t xml:space="preserve"> </w:t>
      </w:r>
      <w:r>
        <w:t>pacífica</w:t>
      </w:r>
      <w:r>
        <w:rPr>
          <w:spacing w:val="-5"/>
        </w:rPr>
        <w:t xml:space="preserve"> </w:t>
      </w:r>
      <w:r>
        <w:t>en</w:t>
      </w:r>
      <w:r>
        <w:rPr>
          <w:spacing w:val="-5"/>
        </w:rPr>
        <w:t xml:space="preserve"> </w:t>
      </w:r>
      <w:r>
        <w:t>los</w:t>
      </w:r>
      <w:r>
        <w:rPr>
          <w:spacing w:val="-4"/>
        </w:rPr>
        <w:t xml:space="preserve"> </w:t>
      </w:r>
      <w:r>
        <w:t>años</w:t>
      </w:r>
      <w:r>
        <w:rPr>
          <w:spacing w:val="-4"/>
        </w:rPr>
        <w:t xml:space="preserve"> </w:t>
      </w:r>
      <w:r>
        <w:t>ochenta,</w:t>
      </w:r>
      <w:r>
        <w:rPr>
          <w:spacing w:val="-4"/>
        </w:rPr>
        <w:t xml:space="preserve"> </w:t>
      </w:r>
      <w:r>
        <w:t>se</w:t>
      </w:r>
      <w:r>
        <w:rPr>
          <w:spacing w:val="-4"/>
        </w:rPr>
        <w:t xml:space="preserve"> </w:t>
      </w:r>
      <w:r>
        <w:t>pasó</w:t>
      </w:r>
      <w:r>
        <w:rPr>
          <w:spacing w:val="-4"/>
        </w:rPr>
        <w:t xml:space="preserve"> </w:t>
      </w:r>
      <w:r>
        <w:t>a</w:t>
      </w:r>
      <w:r>
        <w:rPr>
          <w:spacing w:val="-3"/>
        </w:rPr>
        <w:t xml:space="preserve"> </w:t>
      </w:r>
      <w:r>
        <w:t>momentos</w:t>
      </w:r>
      <w:r>
        <w:rPr>
          <w:spacing w:val="-4"/>
        </w:rPr>
        <w:t xml:space="preserve"> </w:t>
      </w:r>
      <w:r>
        <w:t>de</w:t>
      </w:r>
      <w:r>
        <w:rPr>
          <w:spacing w:val="-3"/>
        </w:rPr>
        <w:t xml:space="preserve"> </w:t>
      </w:r>
      <w:r>
        <w:t>alta</w:t>
      </w:r>
      <w:r>
        <w:rPr>
          <w:spacing w:val="-3"/>
        </w:rPr>
        <w:t xml:space="preserve"> </w:t>
      </w:r>
      <w:r>
        <w:t>tensión</w:t>
      </w:r>
      <w:r>
        <w:rPr>
          <w:spacing w:val="-4"/>
        </w:rPr>
        <w:t xml:space="preserve"> </w:t>
      </w:r>
      <w:r>
        <w:t>y quiebre en los años noventa, por cuenta de los objetivos armados del ELN y las formas de explotación de recursos de sus estructuras.</w:t>
      </w:r>
    </w:p>
    <w:p w:rsidR="003804AC" w:rsidRDefault="00AF18A5" w:rsidP="0043702C">
      <w:r>
        <w:t>La construcción de esas formas de presencia armada y control sobre la población y el territorio implicó la regulación de las actividades económicas de las comunidades, además de la injerencia en la resolución de los conflictos de la vida comunitaria. Todo ello afianzó el</w:t>
      </w:r>
      <w:r>
        <w:rPr>
          <w:spacing w:val="-2"/>
        </w:rPr>
        <w:t xml:space="preserve"> </w:t>
      </w:r>
      <w:r>
        <w:t>modo</w:t>
      </w:r>
      <w:r>
        <w:rPr>
          <w:spacing w:val="-4"/>
        </w:rPr>
        <w:t xml:space="preserve"> </w:t>
      </w:r>
      <w:r>
        <w:t>militarista</w:t>
      </w:r>
      <w:r>
        <w:rPr>
          <w:spacing w:val="-3"/>
        </w:rPr>
        <w:t xml:space="preserve"> </w:t>
      </w:r>
      <w:r>
        <w:t>de</w:t>
      </w:r>
      <w:r>
        <w:rPr>
          <w:spacing w:val="-2"/>
        </w:rPr>
        <w:t xml:space="preserve"> </w:t>
      </w:r>
      <w:r>
        <w:t>afrontar</w:t>
      </w:r>
      <w:r>
        <w:rPr>
          <w:spacing w:val="-3"/>
        </w:rPr>
        <w:t xml:space="preserve"> </w:t>
      </w:r>
      <w:r>
        <w:t>los</w:t>
      </w:r>
      <w:r>
        <w:rPr>
          <w:spacing w:val="-2"/>
        </w:rPr>
        <w:t xml:space="preserve"> </w:t>
      </w:r>
      <w:r>
        <w:t>problemas</w:t>
      </w:r>
      <w:r>
        <w:rPr>
          <w:spacing w:val="-2"/>
        </w:rPr>
        <w:t xml:space="preserve"> </w:t>
      </w:r>
      <w:r>
        <w:t>y</w:t>
      </w:r>
      <w:r>
        <w:rPr>
          <w:spacing w:val="-4"/>
        </w:rPr>
        <w:t xml:space="preserve"> </w:t>
      </w:r>
      <w:r>
        <w:t>la</w:t>
      </w:r>
      <w:r>
        <w:rPr>
          <w:spacing w:val="-3"/>
        </w:rPr>
        <w:t xml:space="preserve"> </w:t>
      </w:r>
      <w:r>
        <w:t>imposición</w:t>
      </w:r>
      <w:r>
        <w:rPr>
          <w:spacing w:val="-2"/>
        </w:rPr>
        <w:t xml:space="preserve"> </w:t>
      </w:r>
      <w:r>
        <w:t>de</w:t>
      </w:r>
      <w:r>
        <w:rPr>
          <w:spacing w:val="-2"/>
        </w:rPr>
        <w:t xml:space="preserve"> </w:t>
      </w:r>
      <w:r>
        <w:t>las</w:t>
      </w:r>
      <w:r>
        <w:rPr>
          <w:spacing w:val="-4"/>
        </w:rPr>
        <w:t xml:space="preserve"> </w:t>
      </w:r>
      <w:r>
        <w:t>armas,</w:t>
      </w:r>
      <w:r>
        <w:rPr>
          <w:spacing w:val="-4"/>
        </w:rPr>
        <w:t xml:space="preserve"> </w:t>
      </w:r>
      <w:r>
        <w:t>a</w:t>
      </w:r>
      <w:r>
        <w:rPr>
          <w:spacing w:val="-2"/>
        </w:rPr>
        <w:t xml:space="preserve"> </w:t>
      </w:r>
      <w:r>
        <w:t>veces</w:t>
      </w:r>
      <w:r>
        <w:rPr>
          <w:spacing w:val="-3"/>
        </w:rPr>
        <w:t xml:space="preserve"> </w:t>
      </w:r>
      <w:r>
        <w:t>de</w:t>
      </w:r>
      <w:r>
        <w:rPr>
          <w:spacing w:val="-3"/>
        </w:rPr>
        <w:t xml:space="preserve"> </w:t>
      </w:r>
      <w:r>
        <w:t>forma brutal con castigos o ejecuciones. El caso del municipio de Topaipí en el occidente de Cundinamarca, donde hizo presencia el Frente 22 de las FARC-EP desde los años ochenta, es ilustrativo de la rápida transformación de un orden, al principio aceptado, pero que luego sería rechazado por los abusos de la guerrilla. Un habitante de la región, en su testimonio ante la Comisión, afirmó:</w:t>
      </w:r>
    </w:p>
    <w:p w:rsidR="0011361F" w:rsidRDefault="00AF18A5" w:rsidP="0043702C">
      <w:r>
        <w:t>«[E]</w:t>
      </w:r>
      <w:proofErr w:type="spellStart"/>
      <w:r>
        <w:t>llos</w:t>
      </w:r>
      <w:proofErr w:type="spellEnd"/>
      <w:r>
        <w:rPr>
          <w:spacing w:val="-12"/>
        </w:rPr>
        <w:t xml:space="preserve"> </w:t>
      </w:r>
      <w:r>
        <w:t>explicaban</w:t>
      </w:r>
      <w:r>
        <w:rPr>
          <w:spacing w:val="-12"/>
        </w:rPr>
        <w:t xml:space="preserve"> </w:t>
      </w:r>
      <w:r>
        <w:t>todo</w:t>
      </w:r>
      <w:r>
        <w:rPr>
          <w:spacing w:val="-13"/>
        </w:rPr>
        <w:t xml:space="preserve"> </w:t>
      </w:r>
      <w:r>
        <w:t>eso</w:t>
      </w:r>
      <w:r>
        <w:rPr>
          <w:spacing w:val="-12"/>
        </w:rPr>
        <w:t xml:space="preserve"> </w:t>
      </w:r>
      <w:r>
        <w:t>de</w:t>
      </w:r>
      <w:r>
        <w:rPr>
          <w:spacing w:val="-12"/>
        </w:rPr>
        <w:t xml:space="preserve"> </w:t>
      </w:r>
      <w:r>
        <w:t>la</w:t>
      </w:r>
      <w:r>
        <w:rPr>
          <w:spacing w:val="-12"/>
        </w:rPr>
        <w:t xml:space="preserve"> </w:t>
      </w:r>
      <w:r>
        <w:t>revolución</w:t>
      </w:r>
      <w:r>
        <w:rPr>
          <w:spacing w:val="-12"/>
        </w:rPr>
        <w:t xml:space="preserve"> </w:t>
      </w:r>
      <w:r>
        <w:t>y</w:t>
      </w:r>
      <w:r>
        <w:rPr>
          <w:spacing w:val="-13"/>
        </w:rPr>
        <w:t xml:space="preserve"> </w:t>
      </w:r>
      <w:r>
        <w:t>todo</w:t>
      </w:r>
      <w:r>
        <w:rPr>
          <w:spacing w:val="-12"/>
        </w:rPr>
        <w:t xml:space="preserve"> </w:t>
      </w:r>
      <w:r>
        <w:t>eso</w:t>
      </w:r>
      <w:r>
        <w:rPr>
          <w:spacing w:val="-12"/>
        </w:rPr>
        <w:t xml:space="preserve"> </w:t>
      </w:r>
      <w:r>
        <w:t>que</w:t>
      </w:r>
      <w:r>
        <w:rPr>
          <w:spacing w:val="-12"/>
        </w:rPr>
        <w:t xml:space="preserve"> </w:t>
      </w:r>
      <w:r>
        <w:t>por</w:t>
      </w:r>
      <w:r>
        <w:rPr>
          <w:spacing w:val="-12"/>
        </w:rPr>
        <w:t xml:space="preserve"> </w:t>
      </w:r>
      <w:r>
        <w:t>qué</w:t>
      </w:r>
      <w:r>
        <w:rPr>
          <w:spacing w:val="-12"/>
        </w:rPr>
        <w:t xml:space="preserve"> </w:t>
      </w:r>
      <w:r>
        <w:t>venían,</w:t>
      </w:r>
      <w:r>
        <w:rPr>
          <w:spacing w:val="-12"/>
        </w:rPr>
        <w:t xml:space="preserve"> </w:t>
      </w:r>
      <w:r>
        <w:t>si</w:t>
      </w:r>
      <w:r>
        <w:rPr>
          <w:spacing w:val="-12"/>
        </w:rPr>
        <w:t xml:space="preserve"> </w:t>
      </w:r>
      <w:r>
        <w:t>nos</w:t>
      </w:r>
      <w:r>
        <w:rPr>
          <w:spacing w:val="-12"/>
        </w:rPr>
        <w:t xml:space="preserve"> </w:t>
      </w:r>
      <w:r>
        <w:t>parecía bien esto que estaba haciendo el Gobierno, los grandes terratenientes que explotaban a la gente,</w:t>
      </w:r>
      <w:r>
        <w:rPr>
          <w:spacing w:val="-1"/>
        </w:rPr>
        <w:t xml:space="preserve"> </w:t>
      </w:r>
      <w:r>
        <w:t>que</w:t>
      </w:r>
      <w:r>
        <w:rPr>
          <w:spacing w:val="-1"/>
        </w:rPr>
        <w:t xml:space="preserve"> </w:t>
      </w:r>
      <w:r>
        <w:t>todo</w:t>
      </w:r>
      <w:r>
        <w:rPr>
          <w:spacing w:val="-1"/>
        </w:rPr>
        <w:t xml:space="preserve"> </w:t>
      </w:r>
      <w:r>
        <w:t>eso,</w:t>
      </w:r>
      <w:r>
        <w:rPr>
          <w:spacing w:val="-1"/>
        </w:rPr>
        <w:t xml:space="preserve"> </w:t>
      </w:r>
      <w:r>
        <w:t>[...]</w:t>
      </w:r>
      <w:r>
        <w:rPr>
          <w:spacing w:val="-1"/>
        </w:rPr>
        <w:t xml:space="preserve"> </w:t>
      </w:r>
      <w:r>
        <w:t>pero</w:t>
      </w:r>
      <w:r>
        <w:rPr>
          <w:spacing w:val="-1"/>
        </w:rPr>
        <w:t xml:space="preserve"> </w:t>
      </w:r>
      <w:r>
        <w:t>después</w:t>
      </w:r>
      <w:r>
        <w:rPr>
          <w:spacing w:val="-1"/>
        </w:rPr>
        <w:t xml:space="preserve"> </w:t>
      </w:r>
      <w:r>
        <w:t>no,</w:t>
      </w:r>
      <w:r>
        <w:rPr>
          <w:spacing w:val="-1"/>
        </w:rPr>
        <w:t xml:space="preserve"> </w:t>
      </w:r>
      <w:r>
        <w:t>ya</w:t>
      </w:r>
      <w:r>
        <w:rPr>
          <w:spacing w:val="-1"/>
        </w:rPr>
        <w:t xml:space="preserve"> </w:t>
      </w:r>
      <w:r>
        <w:t>no, yo</w:t>
      </w:r>
      <w:r>
        <w:rPr>
          <w:spacing w:val="-1"/>
        </w:rPr>
        <w:t xml:space="preserve"> </w:t>
      </w:r>
      <w:r>
        <w:t>ya</w:t>
      </w:r>
      <w:r>
        <w:rPr>
          <w:spacing w:val="-1"/>
        </w:rPr>
        <w:t xml:space="preserve"> </w:t>
      </w:r>
      <w:r>
        <w:t>me</w:t>
      </w:r>
      <w:r>
        <w:rPr>
          <w:spacing w:val="-1"/>
        </w:rPr>
        <w:t xml:space="preserve"> </w:t>
      </w:r>
      <w:r>
        <w:t>vine</w:t>
      </w:r>
      <w:r>
        <w:rPr>
          <w:spacing w:val="-1"/>
        </w:rPr>
        <w:t xml:space="preserve"> </w:t>
      </w:r>
      <w:r>
        <w:t>de</w:t>
      </w:r>
      <w:r>
        <w:rPr>
          <w:spacing w:val="-1"/>
        </w:rPr>
        <w:t xml:space="preserve"> </w:t>
      </w:r>
      <w:r>
        <w:t>allá</w:t>
      </w:r>
      <w:r>
        <w:rPr>
          <w:spacing w:val="-1"/>
        </w:rPr>
        <w:t xml:space="preserve"> </w:t>
      </w:r>
      <w:r>
        <w:t>y</w:t>
      </w:r>
      <w:r>
        <w:rPr>
          <w:spacing w:val="-1"/>
        </w:rPr>
        <w:t xml:space="preserve"> </w:t>
      </w:r>
      <w:r>
        <w:t>ahí</w:t>
      </w:r>
      <w:r>
        <w:rPr>
          <w:spacing w:val="-1"/>
        </w:rPr>
        <w:t xml:space="preserve"> </w:t>
      </w:r>
      <w:r>
        <w:t>se</w:t>
      </w:r>
      <w:r>
        <w:rPr>
          <w:spacing w:val="-1"/>
        </w:rPr>
        <w:t xml:space="preserve"> </w:t>
      </w:r>
      <w:r>
        <w:t>fueron</w:t>
      </w:r>
      <w:r>
        <w:rPr>
          <w:spacing w:val="-1"/>
        </w:rPr>
        <w:t xml:space="preserve"> </w:t>
      </w:r>
      <w:r>
        <w:t>como expandiendo y así a los grandes finqueros y eso, empezaron a hacer pagar a la gente un salario,</w:t>
      </w:r>
      <w:r>
        <w:rPr>
          <w:spacing w:val="-8"/>
        </w:rPr>
        <w:t xml:space="preserve"> </w:t>
      </w:r>
      <w:r>
        <w:t>y</w:t>
      </w:r>
      <w:r>
        <w:rPr>
          <w:spacing w:val="-8"/>
        </w:rPr>
        <w:t xml:space="preserve"> </w:t>
      </w:r>
      <w:r>
        <w:t>los</w:t>
      </w:r>
      <w:r>
        <w:rPr>
          <w:spacing w:val="-9"/>
        </w:rPr>
        <w:t xml:space="preserve"> </w:t>
      </w:r>
      <w:r>
        <w:t>sábados</w:t>
      </w:r>
      <w:r>
        <w:rPr>
          <w:spacing w:val="-8"/>
        </w:rPr>
        <w:t xml:space="preserve"> </w:t>
      </w:r>
      <w:r>
        <w:t>y</w:t>
      </w:r>
      <w:r>
        <w:rPr>
          <w:spacing w:val="-8"/>
        </w:rPr>
        <w:t xml:space="preserve"> </w:t>
      </w:r>
      <w:r>
        <w:t>los</w:t>
      </w:r>
      <w:r>
        <w:rPr>
          <w:spacing w:val="-8"/>
        </w:rPr>
        <w:t xml:space="preserve"> </w:t>
      </w:r>
      <w:r>
        <w:t>domingos</w:t>
      </w:r>
      <w:r>
        <w:rPr>
          <w:spacing w:val="-9"/>
        </w:rPr>
        <w:t xml:space="preserve"> </w:t>
      </w:r>
      <w:r>
        <w:t>que</w:t>
      </w:r>
      <w:r>
        <w:rPr>
          <w:spacing w:val="-8"/>
        </w:rPr>
        <w:t xml:space="preserve"> </w:t>
      </w:r>
      <w:r>
        <w:t>no</w:t>
      </w:r>
      <w:r>
        <w:rPr>
          <w:spacing w:val="-8"/>
        </w:rPr>
        <w:t xml:space="preserve"> </w:t>
      </w:r>
      <w:r>
        <w:t>se</w:t>
      </w:r>
      <w:r>
        <w:rPr>
          <w:spacing w:val="-8"/>
        </w:rPr>
        <w:t xml:space="preserve"> </w:t>
      </w:r>
      <w:r>
        <w:t>pagaban</w:t>
      </w:r>
      <w:r>
        <w:rPr>
          <w:spacing w:val="-8"/>
        </w:rPr>
        <w:t xml:space="preserve"> </w:t>
      </w:r>
      <w:r>
        <w:t>[...]</w:t>
      </w:r>
      <w:r>
        <w:rPr>
          <w:spacing w:val="-8"/>
        </w:rPr>
        <w:t xml:space="preserve"> </w:t>
      </w:r>
      <w:r>
        <w:t>reconocerle</w:t>
      </w:r>
      <w:r>
        <w:rPr>
          <w:spacing w:val="-8"/>
        </w:rPr>
        <w:t xml:space="preserve"> </w:t>
      </w:r>
      <w:r>
        <w:t>la</w:t>
      </w:r>
      <w:r>
        <w:rPr>
          <w:spacing w:val="-8"/>
        </w:rPr>
        <w:t xml:space="preserve"> </w:t>
      </w:r>
      <w:r>
        <w:t>semana</w:t>
      </w:r>
      <w:r>
        <w:rPr>
          <w:spacing w:val="-8"/>
        </w:rPr>
        <w:t xml:space="preserve"> </w:t>
      </w:r>
      <w:r>
        <w:t>completa y como hacerle reconocer los derechos. [...]</w:t>
      </w:r>
    </w:p>
    <w:p w:rsidR="003804AC" w:rsidRDefault="00AF18A5" w:rsidP="0043702C">
      <w:bookmarkStart w:id="369" w:name="_bookmark277"/>
      <w:bookmarkEnd w:id="369"/>
      <w:r>
        <w:t>»[El</w:t>
      </w:r>
      <w:r>
        <w:rPr>
          <w:spacing w:val="-4"/>
        </w:rPr>
        <w:t xml:space="preserve"> </w:t>
      </w:r>
      <w:r>
        <w:t>conflicto</w:t>
      </w:r>
      <w:r>
        <w:rPr>
          <w:spacing w:val="-5"/>
        </w:rPr>
        <w:t xml:space="preserve"> </w:t>
      </w:r>
      <w:r>
        <w:t>empezó]</w:t>
      </w:r>
      <w:r>
        <w:rPr>
          <w:spacing w:val="-4"/>
        </w:rPr>
        <w:t xml:space="preserve"> </w:t>
      </w:r>
      <w:r>
        <w:t>porque</w:t>
      </w:r>
      <w:r>
        <w:rPr>
          <w:spacing w:val="-5"/>
        </w:rPr>
        <w:t xml:space="preserve"> </w:t>
      </w:r>
      <w:r>
        <w:t>la</w:t>
      </w:r>
      <w:r>
        <w:rPr>
          <w:spacing w:val="-5"/>
        </w:rPr>
        <w:t xml:space="preserve"> </w:t>
      </w:r>
      <w:r>
        <w:t>gente</w:t>
      </w:r>
      <w:r>
        <w:rPr>
          <w:spacing w:val="-5"/>
        </w:rPr>
        <w:t xml:space="preserve"> </w:t>
      </w:r>
      <w:r>
        <w:t>ya</w:t>
      </w:r>
      <w:r>
        <w:rPr>
          <w:spacing w:val="-5"/>
        </w:rPr>
        <w:t xml:space="preserve"> </w:t>
      </w:r>
      <w:r>
        <w:t>se</w:t>
      </w:r>
      <w:r>
        <w:rPr>
          <w:spacing w:val="-5"/>
        </w:rPr>
        <w:t xml:space="preserve"> </w:t>
      </w:r>
      <w:r>
        <w:t>empezó</w:t>
      </w:r>
      <w:r>
        <w:rPr>
          <w:spacing w:val="-5"/>
        </w:rPr>
        <w:t xml:space="preserve"> </w:t>
      </w:r>
      <w:r>
        <w:t>a</w:t>
      </w:r>
      <w:r>
        <w:rPr>
          <w:spacing w:val="-5"/>
        </w:rPr>
        <w:t xml:space="preserve"> </w:t>
      </w:r>
      <w:r>
        <w:t>cansar,</w:t>
      </w:r>
      <w:r>
        <w:rPr>
          <w:spacing w:val="-5"/>
        </w:rPr>
        <w:t xml:space="preserve"> </w:t>
      </w:r>
      <w:r>
        <w:t>ya</w:t>
      </w:r>
      <w:r>
        <w:rPr>
          <w:spacing w:val="-5"/>
        </w:rPr>
        <w:t xml:space="preserve"> </w:t>
      </w:r>
      <w:r>
        <w:t>empezaron</w:t>
      </w:r>
      <w:r>
        <w:rPr>
          <w:spacing w:val="-5"/>
        </w:rPr>
        <w:t xml:space="preserve"> </w:t>
      </w:r>
      <w:r>
        <w:t>los</w:t>
      </w:r>
      <w:r>
        <w:rPr>
          <w:spacing w:val="-5"/>
        </w:rPr>
        <w:t xml:space="preserve"> </w:t>
      </w:r>
      <w:r>
        <w:t>abusos, a</w:t>
      </w:r>
      <w:r>
        <w:rPr>
          <w:spacing w:val="-8"/>
        </w:rPr>
        <w:t xml:space="preserve"> </w:t>
      </w:r>
      <w:r>
        <w:t>pedir</w:t>
      </w:r>
      <w:r>
        <w:rPr>
          <w:spacing w:val="-8"/>
        </w:rPr>
        <w:t xml:space="preserve"> </w:t>
      </w:r>
      <w:r>
        <w:t>plata</w:t>
      </w:r>
      <w:r>
        <w:rPr>
          <w:spacing w:val="-10"/>
        </w:rPr>
        <w:t xml:space="preserve"> </w:t>
      </w:r>
      <w:r>
        <w:t>por</w:t>
      </w:r>
      <w:r>
        <w:rPr>
          <w:spacing w:val="-8"/>
        </w:rPr>
        <w:t xml:space="preserve"> </w:t>
      </w:r>
      <w:r>
        <w:t>todo,</w:t>
      </w:r>
      <w:r>
        <w:rPr>
          <w:spacing w:val="-9"/>
        </w:rPr>
        <w:t xml:space="preserve"> </w:t>
      </w:r>
      <w:r>
        <w:t>por</w:t>
      </w:r>
      <w:r>
        <w:rPr>
          <w:spacing w:val="-8"/>
        </w:rPr>
        <w:t xml:space="preserve"> </w:t>
      </w:r>
      <w:r>
        <w:t>ejemplo,</w:t>
      </w:r>
      <w:r>
        <w:rPr>
          <w:spacing w:val="-9"/>
        </w:rPr>
        <w:t xml:space="preserve"> </w:t>
      </w:r>
      <w:r>
        <w:t>ya</w:t>
      </w:r>
      <w:r>
        <w:rPr>
          <w:spacing w:val="-8"/>
        </w:rPr>
        <w:t xml:space="preserve"> </w:t>
      </w:r>
      <w:r>
        <w:t>se</w:t>
      </w:r>
      <w:r>
        <w:rPr>
          <w:spacing w:val="-8"/>
        </w:rPr>
        <w:t xml:space="preserve"> </w:t>
      </w:r>
      <w:r>
        <w:t>paraban</w:t>
      </w:r>
      <w:r>
        <w:rPr>
          <w:spacing w:val="-10"/>
        </w:rPr>
        <w:t xml:space="preserve"> </w:t>
      </w:r>
      <w:r>
        <w:t>a</w:t>
      </w:r>
      <w:r>
        <w:rPr>
          <w:spacing w:val="-8"/>
        </w:rPr>
        <w:t xml:space="preserve"> </w:t>
      </w:r>
      <w:r>
        <w:t>la</w:t>
      </w:r>
      <w:r>
        <w:rPr>
          <w:spacing w:val="-8"/>
        </w:rPr>
        <w:t xml:space="preserve"> </w:t>
      </w:r>
      <w:r>
        <w:t>entrada</w:t>
      </w:r>
      <w:r>
        <w:rPr>
          <w:spacing w:val="-10"/>
        </w:rPr>
        <w:t xml:space="preserve"> </w:t>
      </w:r>
      <w:r>
        <w:t>del</w:t>
      </w:r>
      <w:r>
        <w:rPr>
          <w:spacing w:val="-8"/>
        </w:rPr>
        <w:t xml:space="preserve"> </w:t>
      </w:r>
      <w:r>
        <w:t>pueblo</w:t>
      </w:r>
      <w:r>
        <w:rPr>
          <w:spacing w:val="-9"/>
        </w:rPr>
        <w:t xml:space="preserve"> </w:t>
      </w:r>
      <w:r>
        <w:t>y</w:t>
      </w:r>
      <w:r>
        <w:rPr>
          <w:spacing w:val="-10"/>
        </w:rPr>
        <w:t xml:space="preserve"> </w:t>
      </w:r>
      <w:r>
        <w:t>que,</w:t>
      </w:r>
      <w:r>
        <w:rPr>
          <w:spacing w:val="-9"/>
        </w:rPr>
        <w:t xml:space="preserve"> </w:t>
      </w:r>
      <w:r>
        <w:t>si</w:t>
      </w:r>
      <w:r>
        <w:rPr>
          <w:spacing w:val="-8"/>
        </w:rPr>
        <w:t xml:space="preserve"> </w:t>
      </w:r>
      <w:r>
        <w:t>usted</w:t>
      </w:r>
      <w:r>
        <w:rPr>
          <w:spacing w:val="-10"/>
        </w:rPr>
        <w:t xml:space="preserve"> </w:t>
      </w:r>
      <w:r>
        <w:t xml:space="preserve">traía una carga de naranja, de caña o de panela, entonces tocaba darles la mitad a ellos, </w:t>
      </w:r>
      <w:r>
        <w:lastRenderedPageBreak/>
        <w:t>que si ganado, que los que tuvieran carro les tocaba dar una cuota que por el transporte, y que tenían que colaborar»</w:t>
      </w:r>
      <w:r w:rsidR="0043702C">
        <w:rPr>
          <w:rStyle w:val="Refdenotaalpie"/>
        </w:rPr>
        <w:footnoteReference w:id="238"/>
      </w:r>
      <w:r>
        <w:t>.</w:t>
      </w:r>
    </w:p>
    <w:p w:rsidR="003804AC" w:rsidRDefault="00AF18A5" w:rsidP="0043702C">
      <w:r>
        <w:t>En</w:t>
      </w:r>
      <w:r>
        <w:rPr>
          <w:spacing w:val="-6"/>
        </w:rPr>
        <w:t xml:space="preserve"> </w:t>
      </w:r>
      <w:r>
        <w:t>la</w:t>
      </w:r>
      <w:r>
        <w:rPr>
          <w:spacing w:val="-6"/>
        </w:rPr>
        <w:t xml:space="preserve"> </w:t>
      </w:r>
      <w:r>
        <w:t>construcción</w:t>
      </w:r>
      <w:r>
        <w:rPr>
          <w:spacing w:val="-6"/>
        </w:rPr>
        <w:t xml:space="preserve"> </w:t>
      </w:r>
      <w:r>
        <w:t>de</w:t>
      </w:r>
      <w:r>
        <w:rPr>
          <w:spacing w:val="-7"/>
        </w:rPr>
        <w:t xml:space="preserve"> </w:t>
      </w:r>
      <w:r>
        <w:t>estas</w:t>
      </w:r>
      <w:r>
        <w:rPr>
          <w:spacing w:val="-7"/>
        </w:rPr>
        <w:t xml:space="preserve"> </w:t>
      </w:r>
      <w:r>
        <w:t>formas</w:t>
      </w:r>
      <w:r>
        <w:rPr>
          <w:spacing w:val="-6"/>
        </w:rPr>
        <w:t xml:space="preserve"> </w:t>
      </w:r>
      <w:r>
        <w:t>de</w:t>
      </w:r>
      <w:r>
        <w:rPr>
          <w:spacing w:val="-6"/>
        </w:rPr>
        <w:t xml:space="preserve"> </w:t>
      </w:r>
      <w:r>
        <w:t>presencia</w:t>
      </w:r>
      <w:r>
        <w:rPr>
          <w:spacing w:val="-7"/>
        </w:rPr>
        <w:t xml:space="preserve"> </w:t>
      </w:r>
      <w:r>
        <w:t>y</w:t>
      </w:r>
      <w:r>
        <w:rPr>
          <w:spacing w:val="-6"/>
        </w:rPr>
        <w:t xml:space="preserve"> </w:t>
      </w:r>
      <w:r>
        <w:t>control</w:t>
      </w:r>
      <w:r>
        <w:rPr>
          <w:spacing w:val="-5"/>
        </w:rPr>
        <w:t xml:space="preserve"> </w:t>
      </w:r>
      <w:r>
        <w:t>violento</w:t>
      </w:r>
      <w:r>
        <w:rPr>
          <w:spacing w:val="-7"/>
        </w:rPr>
        <w:t xml:space="preserve"> </w:t>
      </w:r>
      <w:r>
        <w:t>fueron</w:t>
      </w:r>
      <w:r>
        <w:rPr>
          <w:spacing w:val="-7"/>
        </w:rPr>
        <w:t xml:space="preserve"> </w:t>
      </w:r>
      <w:r>
        <w:t>frecuentes</w:t>
      </w:r>
      <w:r>
        <w:rPr>
          <w:spacing w:val="-7"/>
        </w:rPr>
        <w:t xml:space="preserve"> </w:t>
      </w:r>
      <w:r>
        <w:t>altos niveles de violencia y constreñimiento. En el sur</w:t>
      </w:r>
      <w:r>
        <w:rPr>
          <w:spacing w:val="-1"/>
        </w:rPr>
        <w:t xml:space="preserve"> </w:t>
      </w:r>
      <w:r>
        <w:t>del país, un</w:t>
      </w:r>
      <w:r>
        <w:rPr>
          <w:spacing w:val="-1"/>
        </w:rPr>
        <w:t xml:space="preserve"> </w:t>
      </w:r>
      <w:r>
        <w:t>colono relató así las amenazas de que fue víctima por no querer involucrarse con la coca:</w:t>
      </w:r>
    </w:p>
    <w:p w:rsidR="003804AC" w:rsidRDefault="00AF18A5" w:rsidP="0043702C">
      <w:r>
        <w:t xml:space="preserve">«Me dijeron la guerrilla que sembrar coca [...]. Digo: “No, yo no estoy acostumbrado a eso”. Dijo: “Vos salís cargado de dos racimos de plátano, llegas sudadito al pueblo </w:t>
      </w:r>
      <w:proofErr w:type="spellStart"/>
      <w:r>
        <w:t>pa</w:t>
      </w:r>
      <w:proofErr w:type="spellEnd"/>
      <w:r>
        <w:t xml:space="preserve">' vendérselo [...]”. “Y vos </w:t>
      </w:r>
      <w:proofErr w:type="spellStart"/>
      <w:r>
        <w:t>sembrás</w:t>
      </w:r>
      <w:proofErr w:type="spellEnd"/>
      <w:r>
        <w:t xml:space="preserve"> coca” decía. “Si acaso un kilo lo llevas en un talego ahí”, dijo. “Lo llevas ahí en la mano y vas a recibir dos millones, tres millones de pesos. Le dije: “No, señor, [...] yo me gusta trabajar lícitamente, no”. Porque si yo salgo al mercado con la arroba de yuca o arroba de maíz no tengo peligro, pero si salgo con coca me cogen, me voy a la cárcel, se queda mi familia sola. Entonces me dijo: “[...] si no vas a obedecer, te vuelas de</w:t>
      </w:r>
      <w:r>
        <w:rPr>
          <w:spacing w:val="-2"/>
        </w:rPr>
        <w:t xml:space="preserve"> </w:t>
      </w:r>
      <w:r>
        <w:t>aquí</w:t>
      </w:r>
      <w:r>
        <w:rPr>
          <w:spacing w:val="-3"/>
        </w:rPr>
        <w:t xml:space="preserve"> </w:t>
      </w:r>
      <w:r>
        <w:t>ya.</w:t>
      </w:r>
      <w:r>
        <w:rPr>
          <w:spacing w:val="-4"/>
        </w:rPr>
        <w:t xml:space="preserve"> </w:t>
      </w:r>
      <w:r>
        <w:t>Y</w:t>
      </w:r>
      <w:r>
        <w:rPr>
          <w:spacing w:val="-3"/>
        </w:rPr>
        <w:t xml:space="preserve"> </w:t>
      </w:r>
      <w:r>
        <w:t>al</w:t>
      </w:r>
      <w:r>
        <w:rPr>
          <w:spacing w:val="-2"/>
        </w:rPr>
        <w:t xml:space="preserve"> </w:t>
      </w:r>
      <w:r>
        <w:t>hijo</w:t>
      </w:r>
      <w:r>
        <w:rPr>
          <w:spacing w:val="-2"/>
        </w:rPr>
        <w:t xml:space="preserve"> </w:t>
      </w:r>
      <w:r>
        <w:t>tuyo</w:t>
      </w:r>
      <w:r>
        <w:rPr>
          <w:spacing w:val="-2"/>
        </w:rPr>
        <w:t xml:space="preserve"> </w:t>
      </w:r>
      <w:r>
        <w:t>lo</w:t>
      </w:r>
      <w:r>
        <w:rPr>
          <w:spacing w:val="-4"/>
        </w:rPr>
        <w:t xml:space="preserve"> </w:t>
      </w:r>
      <w:r>
        <w:t>llevamos</w:t>
      </w:r>
      <w:r>
        <w:rPr>
          <w:spacing w:val="-2"/>
        </w:rPr>
        <w:t xml:space="preserve"> </w:t>
      </w:r>
      <w:r>
        <w:t>al</w:t>
      </w:r>
      <w:r>
        <w:rPr>
          <w:spacing w:val="-3"/>
        </w:rPr>
        <w:t xml:space="preserve"> </w:t>
      </w:r>
      <w:r>
        <w:t>lado</w:t>
      </w:r>
      <w:r>
        <w:rPr>
          <w:spacing w:val="-2"/>
        </w:rPr>
        <w:t xml:space="preserve"> </w:t>
      </w:r>
      <w:r>
        <w:t>de</w:t>
      </w:r>
      <w:r>
        <w:rPr>
          <w:spacing w:val="-3"/>
        </w:rPr>
        <w:t xml:space="preserve"> </w:t>
      </w:r>
      <w:r>
        <w:t>nosotros,</w:t>
      </w:r>
      <w:r>
        <w:rPr>
          <w:spacing w:val="-4"/>
        </w:rPr>
        <w:t xml:space="preserve"> </w:t>
      </w:r>
      <w:r>
        <w:t>y</w:t>
      </w:r>
      <w:r>
        <w:rPr>
          <w:spacing w:val="-4"/>
        </w:rPr>
        <w:t xml:space="preserve"> </w:t>
      </w:r>
      <w:r>
        <w:t>ustedes</w:t>
      </w:r>
      <w:r>
        <w:rPr>
          <w:spacing w:val="-3"/>
        </w:rPr>
        <w:t xml:space="preserve"> </w:t>
      </w:r>
      <w:r>
        <w:t>quedan</w:t>
      </w:r>
      <w:r>
        <w:rPr>
          <w:spacing w:val="-2"/>
        </w:rPr>
        <w:t xml:space="preserve"> </w:t>
      </w:r>
      <w:r>
        <w:t>por</w:t>
      </w:r>
      <w:r>
        <w:rPr>
          <w:spacing w:val="-3"/>
        </w:rPr>
        <w:t xml:space="preserve"> </w:t>
      </w:r>
      <w:r>
        <w:t>ahí</w:t>
      </w:r>
      <w:r>
        <w:rPr>
          <w:spacing w:val="-3"/>
        </w:rPr>
        <w:t xml:space="preserve"> </w:t>
      </w:r>
      <w:r>
        <w:t xml:space="preserve">tirados”. [...] Entonces nosotros dijimos: “¿Cómo vamos a hacer eso? Que se quede todo y mejor vámonos”. Así fue que estábamos, no teníamos plata [...] cogimos en un canasto unas ocho gallinas y nos volamos, y la ropita no más. [...] Nosotros </w:t>
      </w:r>
      <w:proofErr w:type="spellStart"/>
      <w:r>
        <w:t>pa</w:t>
      </w:r>
      <w:proofErr w:type="spellEnd"/>
      <w:r>
        <w:t>' que no se vaya el hijo a la guerrilla, salimos»</w:t>
      </w:r>
      <w:r w:rsidR="0043702C">
        <w:rPr>
          <w:rStyle w:val="Refdenotaalpie"/>
        </w:rPr>
        <w:footnoteReference w:id="239"/>
      </w:r>
      <w:r>
        <w:t>.</w:t>
      </w:r>
    </w:p>
    <w:p w:rsidR="003804AC" w:rsidRDefault="00AF18A5" w:rsidP="0043702C">
      <w:r>
        <w:t>Para entender la permanencia en el tiempo de las guerrillas en sus zonas de influencia, conviene</w:t>
      </w:r>
      <w:r>
        <w:rPr>
          <w:spacing w:val="-3"/>
        </w:rPr>
        <w:t xml:space="preserve"> </w:t>
      </w:r>
      <w:r>
        <w:t>analizar</w:t>
      </w:r>
      <w:r>
        <w:rPr>
          <w:spacing w:val="-3"/>
        </w:rPr>
        <w:t xml:space="preserve"> </w:t>
      </w:r>
      <w:r>
        <w:t>las</w:t>
      </w:r>
      <w:r>
        <w:rPr>
          <w:spacing w:val="-3"/>
        </w:rPr>
        <w:t xml:space="preserve"> </w:t>
      </w:r>
      <w:r>
        <w:t>estrategias</w:t>
      </w:r>
      <w:r>
        <w:rPr>
          <w:spacing w:val="-3"/>
        </w:rPr>
        <w:t xml:space="preserve"> </w:t>
      </w:r>
      <w:r>
        <w:t>que</w:t>
      </w:r>
      <w:r>
        <w:rPr>
          <w:spacing w:val="-4"/>
        </w:rPr>
        <w:t xml:space="preserve"> </w:t>
      </w:r>
      <w:r>
        <w:t>adoptaron,</w:t>
      </w:r>
      <w:r>
        <w:rPr>
          <w:spacing w:val="-3"/>
        </w:rPr>
        <w:t xml:space="preserve"> </w:t>
      </w:r>
      <w:r>
        <w:t>por</w:t>
      </w:r>
      <w:r>
        <w:rPr>
          <w:spacing w:val="-3"/>
        </w:rPr>
        <w:t xml:space="preserve"> </w:t>
      </w:r>
      <w:r>
        <w:t>ejemplo,</w:t>
      </w:r>
      <w:r>
        <w:rPr>
          <w:spacing w:val="-3"/>
        </w:rPr>
        <w:t xml:space="preserve"> </w:t>
      </w:r>
      <w:r>
        <w:t>las</w:t>
      </w:r>
      <w:r>
        <w:rPr>
          <w:spacing w:val="-3"/>
        </w:rPr>
        <w:t xml:space="preserve"> </w:t>
      </w:r>
      <w:r>
        <w:t>FARC-EP,</w:t>
      </w:r>
      <w:r>
        <w:rPr>
          <w:spacing w:val="-3"/>
        </w:rPr>
        <w:t xml:space="preserve"> </w:t>
      </w:r>
      <w:r>
        <w:t>para</w:t>
      </w:r>
      <w:r>
        <w:rPr>
          <w:spacing w:val="-3"/>
        </w:rPr>
        <w:t xml:space="preserve"> </w:t>
      </w:r>
      <w:r>
        <w:t>interactuar con</w:t>
      </w:r>
      <w:r>
        <w:rPr>
          <w:spacing w:val="-1"/>
        </w:rPr>
        <w:t xml:space="preserve"> </w:t>
      </w:r>
      <w:r>
        <w:t>civiles,</w:t>
      </w:r>
      <w:r>
        <w:rPr>
          <w:spacing w:val="-2"/>
        </w:rPr>
        <w:t xml:space="preserve"> </w:t>
      </w:r>
      <w:r>
        <w:t>los</w:t>
      </w:r>
      <w:r>
        <w:rPr>
          <w:spacing w:val="-1"/>
        </w:rPr>
        <w:t xml:space="preserve"> </w:t>
      </w:r>
      <w:r>
        <w:t>procesos</w:t>
      </w:r>
      <w:r>
        <w:rPr>
          <w:spacing w:val="-2"/>
        </w:rPr>
        <w:t xml:space="preserve"> </w:t>
      </w:r>
      <w:r>
        <w:lastRenderedPageBreak/>
        <w:t>organizativos,</w:t>
      </w:r>
      <w:r>
        <w:rPr>
          <w:spacing w:val="-1"/>
        </w:rPr>
        <w:t xml:space="preserve"> </w:t>
      </w:r>
      <w:r>
        <w:t>sus</w:t>
      </w:r>
      <w:r>
        <w:rPr>
          <w:spacing w:val="-1"/>
        </w:rPr>
        <w:t xml:space="preserve"> </w:t>
      </w:r>
      <w:r>
        <w:t>reivindicaciones</w:t>
      </w:r>
      <w:r>
        <w:rPr>
          <w:spacing w:val="-1"/>
        </w:rPr>
        <w:t xml:space="preserve"> </w:t>
      </w:r>
      <w:r>
        <w:t>y</w:t>
      </w:r>
      <w:r>
        <w:rPr>
          <w:spacing w:val="-2"/>
        </w:rPr>
        <w:t xml:space="preserve"> </w:t>
      </w:r>
      <w:r>
        <w:t>el</w:t>
      </w:r>
      <w:r>
        <w:rPr>
          <w:spacing w:val="-2"/>
        </w:rPr>
        <w:t xml:space="preserve"> </w:t>
      </w:r>
      <w:r>
        <w:t>tipo</w:t>
      </w:r>
      <w:r>
        <w:rPr>
          <w:spacing w:val="-1"/>
        </w:rPr>
        <w:t xml:space="preserve"> </w:t>
      </w:r>
      <w:r>
        <w:t>de</w:t>
      </w:r>
      <w:r>
        <w:rPr>
          <w:spacing w:val="-1"/>
        </w:rPr>
        <w:t xml:space="preserve"> </w:t>
      </w:r>
      <w:r>
        <w:t>presencia</w:t>
      </w:r>
      <w:r>
        <w:rPr>
          <w:spacing w:val="-1"/>
        </w:rPr>
        <w:t xml:space="preserve"> </w:t>
      </w:r>
      <w:r>
        <w:t>estatal</w:t>
      </w:r>
      <w:r w:rsidR="0043702C">
        <w:rPr>
          <w:rStyle w:val="Refdenotaalpie"/>
        </w:rPr>
        <w:footnoteReference w:id="240"/>
      </w:r>
      <w:r>
        <w:t>. La</w:t>
      </w:r>
      <w:r>
        <w:rPr>
          <w:spacing w:val="-16"/>
        </w:rPr>
        <w:t xml:space="preserve"> </w:t>
      </w:r>
      <w:r>
        <w:t>presencia</w:t>
      </w:r>
      <w:r>
        <w:rPr>
          <w:spacing w:val="-14"/>
        </w:rPr>
        <w:t xml:space="preserve"> </w:t>
      </w:r>
      <w:r>
        <w:t>y</w:t>
      </w:r>
      <w:r>
        <w:rPr>
          <w:spacing w:val="-13"/>
        </w:rPr>
        <w:t xml:space="preserve"> </w:t>
      </w:r>
      <w:r>
        <w:t>control</w:t>
      </w:r>
      <w:r>
        <w:rPr>
          <w:spacing w:val="-13"/>
        </w:rPr>
        <w:t xml:space="preserve"> </w:t>
      </w:r>
      <w:r>
        <w:t>armado</w:t>
      </w:r>
      <w:r>
        <w:rPr>
          <w:spacing w:val="-12"/>
        </w:rPr>
        <w:t xml:space="preserve"> </w:t>
      </w:r>
      <w:r>
        <w:t>más</w:t>
      </w:r>
      <w:r>
        <w:rPr>
          <w:spacing w:val="-13"/>
        </w:rPr>
        <w:t xml:space="preserve"> </w:t>
      </w:r>
      <w:r>
        <w:t>consolidados</w:t>
      </w:r>
      <w:r>
        <w:rPr>
          <w:spacing w:val="-15"/>
        </w:rPr>
        <w:t xml:space="preserve"> </w:t>
      </w:r>
      <w:r>
        <w:t>fueron</w:t>
      </w:r>
      <w:r>
        <w:rPr>
          <w:spacing w:val="-15"/>
        </w:rPr>
        <w:t xml:space="preserve"> </w:t>
      </w:r>
      <w:r>
        <w:t>instaurados</w:t>
      </w:r>
      <w:r>
        <w:rPr>
          <w:spacing w:val="-13"/>
        </w:rPr>
        <w:t xml:space="preserve"> </w:t>
      </w:r>
      <w:r>
        <w:t>en</w:t>
      </w:r>
      <w:r>
        <w:rPr>
          <w:spacing w:val="-15"/>
        </w:rPr>
        <w:t xml:space="preserve"> </w:t>
      </w:r>
      <w:r>
        <w:t>zonas</w:t>
      </w:r>
      <w:r>
        <w:rPr>
          <w:spacing w:val="-13"/>
        </w:rPr>
        <w:t xml:space="preserve"> </w:t>
      </w:r>
      <w:r>
        <w:t>de</w:t>
      </w:r>
      <w:r>
        <w:rPr>
          <w:spacing w:val="-12"/>
        </w:rPr>
        <w:t xml:space="preserve"> </w:t>
      </w:r>
      <w:r>
        <w:rPr>
          <w:spacing w:val="-2"/>
        </w:rPr>
        <w:t>colonización</w:t>
      </w:r>
      <w:bookmarkStart w:id="370" w:name="_bookmark278"/>
      <w:bookmarkStart w:id="371" w:name="_bookmark279"/>
      <w:bookmarkStart w:id="372" w:name="_bookmark280"/>
      <w:bookmarkEnd w:id="370"/>
      <w:bookmarkEnd w:id="371"/>
      <w:bookmarkEnd w:id="372"/>
      <w:r w:rsidR="0043702C">
        <w:t xml:space="preserve"> </w:t>
      </w:r>
      <w:r>
        <w:t>y marginales en las que los lazos sociales empezaban a tejerse y no había estructuras de autoridad</w:t>
      </w:r>
      <w:r>
        <w:rPr>
          <w:spacing w:val="-9"/>
        </w:rPr>
        <w:t xml:space="preserve"> </w:t>
      </w:r>
      <w:r>
        <w:t>definidas.</w:t>
      </w:r>
      <w:r>
        <w:rPr>
          <w:spacing w:val="-9"/>
        </w:rPr>
        <w:t xml:space="preserve"> </w:t>
      </w:r>
      <w:r>
        <w:t>Por</w:t>
      </w:r>
      <w:r>
        <w:rPr>
          <w:spacing w:val="-10"/>
        </w:rPr>
        <w:t xml:space="preserve"> </w:t>
      </w:r>
      <w:r>
        <w:t>el</w:t>
      </w:r>
      <w:r>
        <w:rPr>
          <w:spacing w:val="-9"/>
        </w:rPr>
        <w:t xml:space="preserve"> </w:t>
      </w:r>
      <w:r>
        <w:t>contrario,</w:t>
      </w:r>
      <w:r>
        <w:rPr>
          <w:spacing w:val="-11"/>
        </w:rPr>
        <w:t xml:space="preserve"> </w:t>
      </w:r>
      <w:r>
        <w:t>en</w:t>
      </w:r>
      <w:r>
        <w:rPr>
          <w:spacing w:val="-9"/>
        </w:rPr>
        <w:t xml:space="preserve"> </w:t>
      </w:r>
      <w:r>
        <w:t>zonas</w:t>
      </w:r>
      <w:r>
        <w:rPr>
          <w:spacing w:val="-9"/>
        </w:rPr>
        <w:t xml:space="preserve"> </w:t>
      </w:r>
      <w:r>
        <w:t>donde</w:t>
      </w:r>
      <w:r>
        <w:rPr>
          <w:spacing w:val="-9"/>
        </w:rPr>
        <w:t xml:space="preserve"> </w:t>
      </w:r>
      <w:r>
        <w:t>ya</w:t>
      </w:r>
      <w:r>
        <w:rPr>
          <w:spacing w:val="-9"/>
        </w:rPr>
        <w:t xml:space="preserve"> </w:t>
      </w:r>
      <w:r>
        <w:t>había</w:t>
      </w:r>
      <w:r>
        <w:rPr>
          <w:spacing w:val="-10"/>
        </w:rPr>
        <w:t xml:space="preserve"> </w:t>
      </w:r>
      <w:r>
        <w:t>autoridad,</w:t>
      </w:r>
      <w:r>
        <w:rPr>
          <w:spacing w:val="-9"/>
        </w:rPr>
        <w:t xml:space="preserve"> </w:t>
      </w:r>
      <w:r>
        <w:t>bien</w:t>
      </w:r>
      <w:r>
        <w:rPr>
          <w:spacing w:val="-9"/>
        </w:rPr>
        <w:t xml:space="preserve"> </w:t>
      </w:r>
      <w:r>
        <w:t>sea</w:t>
      </w:r>
      <w:r>
        <w:rPr>
          <w:spacing w:val="-10"/>
        </w:rPr>
        <w:t xml:space="preserve"> </w:t>
      </w:r>
      <w:r>
        <w:t>estatal</w:t>
      </w:r>
      <w:r>
        <w:rPr>
          <w:spacing w:val="-9"/>
        </w:rPr>
        <w:t xml:space="preserve"> </w:t>
      </w:r>
      <w:r>
        <w:t>o</w:t>
      </w:r>
      <w:r>
        <w:rPr>
          <w:spacing w:val="-9"/>
        </w:rPr>
        <w:t xml:space="preserve"> </w:t>
      </w:r>
      <w:r>
        <w:t>de comunidades étnicas, y una cohesión comunitaria, la instauración de un orden violento insurgente se dificultó, como sucedió en el Cauca. Tal fue el caso de la Asociación de Consejos</w:t>
      </w:r>
      <w:r>
        <w:rPr>
          <w:spacing w:val="-11"/>
        </w:rPr>
        <w:t xml:space="preserve"> </w:t>
      </w:r>
      <w:r>
        <w:t>Comunitarios</w:t>
      </w:r>
      <w:r>
        <w:rPr>
          <w:spacing w:val="-11"/>
        </w:rPr>
        <w:t xml:space="preserve"> </w:t>
      </w:r>
      <w:r>
        <w:t>del</w:t>
      </w:r>
      <w:r>
        <w:rPr>
          <w:spacing w:val="-10"/>
        </w:rPr>
        <w:t xml:space="preserve"> </w:t>
      </w:r>
      <w:r>
        <w:t>Norte</w:t>
      </w:r>
      <w:r>
        <w:rPr>
          <w:spacing w:val="-10"/>
        </w:rPr>
        <w:t xml:space="preserve"> </w:t>
      </w:r>
      <w:r>
        <w:t>del</w:t>
      </w:r>
      <w:r>
        <w:rPr>
          <w:spacing w:val="-11"/>
        </w:rPr>
        <w:t xml:space="preserve"> </w:t>
      </w:r>
      <w:r>
        <w:t>Cauca,</w:t>
      </w:r>
      <w:r>
        <w:rPr>
          <w:spacing w:val="-11"/>
        </w:rPr>
        <w:t xml:space="preserve"> </w:t>
      </w:r>
      <w:r>
        <w:t>donde</w:t>
      </w:r>
      <w:r>
        <w:rPr>
          <w:spacing w:val="-10"/>
        </w:rPr>
        <w:t xml:space="preserve"> </w:t>
      </w:r>
      <w:r>
        <w:t>la</w:t>
      </w:r>
      <w:r>
        <w:rPr>
          <w:spacing w:val="-10"/>
        </w:rPr>
        <w:t xml:space="preserve"> </w:t>
      </w:r>
      <w:r>
        <w:t>población</w:t>
      </w:r>
      <w:r>
        <w:rPr>
          <w:spacing w:val="-11"/>
        </w:rPr>
        <w:t xml:space="preserve"> </w:t>
      </w:r>
      <w:r>
        <w:t>ya</w:t>
      </w:r>
      <w:r>
        <w:rPr>
          <w:spacing w:val="-10"/>
        </w:rPr>
        <w:t xml:space="preserve"> </w:t>
      </w:r>
      <w:r>
        <w:t>tenía</w:t>
      </w:r>
      <w:r>
        <w:rPr>
          <w:spacing w:val="-10"/>
        </w:rPr>
        <w:t xml:space="preserve"> </w:t>
      </w:r>
      <w:r>
        <w:t>establecidas</w:t>
      </w:r>
      <w:r>
        <w:rPr>
          <w:spacing w:val="-12"/>
        </w:rPr>
        <w:t xml:space="preserve"> </w:t>
      </w:r>
      <w:r>
        <w:t>formas de regulación y autoridades autónomas, por lo que la inserción de los grupos insurgentes implicó daños económicos y culturales a las comunidades:</w:t>
      </w:r>
    </w:p>
    <w:p w:rsidR="003804AC" w:rsidRDefault="00AF18A5" w:rsidP="0043702C">
      <w:r>
        <w:t>La</w:t>
      </w:r>
      <w:r>
        <w:rPr>
          <w:spacing w:val="-7"/>
        </w:rPr>
        <w:t xml:space="preserve"> </w:t>
      </w:r>
      <w:r>
        <w:t>presencia</w:t>
      </w:r>
      <w:r>
        <w:rPr>
          <w:spacing w:val="-6"/>
        </w:rPr>
        <w:t xml:space="preserve"> </w:t>
      </w:r>
      <w:r>
        <w:t>de</w:t>
      </w:r>
      <w:r>
        <w:rPr>
          <w:spacing w:val="-7"/>
        </w:rPr>
        <w:t xml:space="preserve"> </w:t>
      </w:r>
      <w:r>
        <w:t>las</w:t>
      </w:r>
      <w:r>
        <w:rPr>
          <w:spacing w:val="-7"/>
        </w:rPr>
        <w:t xml:space="preserve"> </w:t>
      </w:r>
      <w:r>
        <w:t>FARC-EP</w:t>
      </w:r>
      <w:r>
        <w:rPr>
          <w:spacing w:val="-7"/>
        </w:rPr>
        <w:t xml:space="preserve"> </w:t>
      </w:r>
      <w:r>
        <w:t>y</w:t>
      </w:r>
      <w:r>
        <w:rPr>
          <w:spacing w:val="-6"/>
        </w:rPr>
        <w:t xml:space="preserve"> </w:t>
      </w:r>
      <w:r>
        <w:t>la</w:t>
      </w:r>
      <w:r>
        <w:rPr>
          <w:spacing w:val="-7"/>
        </w:rPr>
        <w:t xml:space="preserve"> </w:t>
      </w:r>
      <w:r>
        <w:t>confrontación</w:t>
      </w:r>
      <w:r>
        <w:rPr>
          <w:spacing w:val="-6"/>
        </w:rPr>
        <w:t xml:space="preserve"> </w:t>
      </w:r>
      <w:r>
        <w:t>armada</w:t>
      </w:r>
      <w:r>
        <w:rPr>
          <w:spacing w:val="-7"/>
        </w:rPr>
        <w:t xml:space="preserve"> </w:t>
      </w:r>
      <w:r>
        <w:t>por</w:t>
      </w:r>
      <w:r>
        <w:rPr>
          <w:spacing w:val="-7"/>
        </w:rPr>
        <w:t xml:space="preserve"> </w:t>
      </w:r>
      <w:r>
        <w:t>más</w:t>
      </w:r>
      <w:r>
        <w:rPr>
          <w:spacing w:val="-7"/>
        </w:rPr>
        <w:t xml:space="preserve"> </w:t>
      </w:r>
      <w:r>
        <w:t>de</w:t>
      </w:r>
      <w:r>
        <w:rPr>
          <w:spacing w:val="-7"/>
        </w:rPr>
        <w:t xml:space="preserve"> </w:t>
      </w:r>
      <w:r>
        <w:t>tres</w:t>
      </w:r>
      <w:r>
        <w:rPr>
          <w:spacing w:val="-7"/>
        </w:rPr>
        <w:t xml:space="preserve"> </w:t>
      </w:r>
      <w:r>
        <w:t>décadas</w:t>
      </w:r>
      <w:r>
        <w:rPr>
          <w:spacing w:val="-6"/>
        </w:rPr>
        <w:t xml:space="preserve"> </w:t>
      </w:r>
      <w:r>
        <w:t>contra</w:t>
      </w:r>
      <w:r>
        <w:rPr>
          <w:spacing w:val="-7"/>
        </w:rPr>
        <w:t xml:space="preserve"> </w:t>
      </w:r>
      <w:r>
        <w:t>el</w:t>
      </w:r>
      <w:r>
        <w:rPr>
          <w:spacing w:val="-7"/>
        </w:rPr>
        <w:t xml:space="preserve"> </w:t>
      </w:r>
      <w:r>
        <w:t>Estado en diversas regiones del norte del Cauca ocasionó daños en la estructura económica y cultural de las comunidades negras. Bajo el fragor armado se fracturaron los ciclos de producción para la subsistencia, establecidos por la agricultura, la pesca y la minería. Asimismo, se produjeron rupturas del tejido social de los territorios colectivos y sus formas organizativas propias, volviéndonos más vulnerables a influencias foráneas y alterando sus costumbres ancestrales</w:t>
      </w:r>
      <w:r w:rsidR="0043702C">
        <w:rPr>
          <w:rStyle w:val="Refdenotaalpie"/>
        </w:rPr>
        <w:footnoteReference w:id="241"/>
      </w:r>
      <w:r>
        <w:t>.</w:t>
      </w:r>
    </w:p>
    <w:p w:rsidR="003804AC" w:rsidRDefault="00AF18A5" w:rsidP="0043702C">
      <w:r>
        <w:t>La</w:t>
      </w:r>
      <w:r>
        <w:rPr>
          <w:spacing w:val="-14"/>
        </w:rPr>
        <w:t xml:space="preserve"> </w:t>
      </w:r>
      <w:r>
        <w:t>forma</w:t>
      </w:r>
      <w:r>
        <w:rPr>
          <w:spacing w:val="-15"/>
        </w:rPr>
        <w:t xml:space="preserve"> </w:t>
      </w:r>
      <w:r>
        <w:t>de</w:t>
      </w:r>
      <w:r>
        <w:rPr>
          <w:spacing w:val="-14"/>
        </w:rPr>
        <w:t xml:space="preserve"> </w:t>
      </w:r>
      <w:r>
        <w:t>insertarse</w:t>
      </w:r>
      <w:r>
        <w:rPr>
          <w:spacing w:val="-14"/>
        </w:rPr>
        <w:t xml:space="preserve"> </w:t>
      </w:r>
      <w:r>
        <w:t>inicialmente</w:t>
      </w:r>
      <w:r>
        <w:rPr>
          <w:spacing w:val="-15"/>
        </w:rPr>
        <w:t xml:space="preserve"> </w:t>
      </w:r>
      <w:r>
        <w:t>fue</w:t>
      </w:r>
      <w:r>
        <w:rPr>
          <w:spacing w:val="-14"/>
        </w:rPr>
        <w:t xml:space="preserve"> </w:t>
      </w:r>
      <w:r>
        <w:t>a</w:t>
      </w:r>
      <w:r>
        <w:rPr>
          <w:spacing w:val="-14"/>
        </w:rPr>
        <w:t xml:space="preserve"> </w:t>
      </w:r>
      <w:r>
        <w:t>través</w:t>
      </w:r>
      <w:r>
        <w:rPr>
          <w:spacing w:val="-15"/>
        </w:rPr>
        <w:t xml:space="preserve"> </w:t>
      </w:r>
      <w:r>
        <w:t>de</w:t>
      </w:r>
      <w:r>
        <w:rPr>
          <w:spacing w:val="-15"/>
        </w:rPr>
        <w:t xml:space="preserve"> </w:t>
      </w:r>
      <w:r>
        <w:t>la</w:t>
      </w:r>
      <w:r>
        <w:rPr>
          <w:spacing w:val="-14"/>
        </w:rPr>
        <w:t xml:space="preserve"> </w:t>
      </w:r>
      <w:r>
        <w:t>presencia</w:t>
      </w:r>
      <w:r>
        <w:rPr>
          <w:spacing w:val="-14"/>
        </w:rPr>
        <w:t xml:space="preserve"> </w:t>
      </w:r>
      <w:r>
        <w:t>por</w:t>
      </w:r>
      <w:r>
        <w:rPr>
          <w:spacing w:val="-15"/>
        </w:rPr>
        <w:t xml:space="preserve"> </w:t>
      </w:r>
      <w:r>
        <w:t>la</w:t>
      </w:r>
      <w:r>
        <w:rPr>
          <w:spacing w:val="-14"/>
        </w:rPr>
        <w:t xml:space="preserve"> </w:t>
      </w:r>
      <w:r>
        <w:t>preocupación</w:t>
      </w:r>
      <w:r>
        <w:rPr>
          <w:spacing w:val="-15"/>
        </w:rPr>
        <w:t xml:space="preserve"> </w:t>
      </w:r>
      <w:r>
        <w:t>por</w:t>
      </w:r>
      <w:r>
        <w:rPr>
          <w:spacing w:val="-15"/>
        </w:rPr>
        <w:t xml:space="preserve"> </w:t>
      </w:r>
      <w:r>
        <w:t>temas de</w:t>
      </w:r>
      <w:r>
        <w:rPr>
          <w:spacing w:val="-15"/>
        </w:rPr>
        <w:t xml:space="preserve"> </w:t>
      </w:r>
      <w:r>
        <w:t>la</w:t>
      </w:r>
      <w:r>
        <w:rPr>
          <w:spacing w:val="-15"/>
        </w:rPr>
        <w:t xml:space="preserve"> </w:t>
      </w:r>
      <w:r>
        <w:t>gente,</w:t>
      </w:r>
      <w:r>
        <w:rPr>
          <w:spacing w:val="-15"/>
        </w:rPr>
        <w:t xml:space="preserve"> </w:t>
      </w:r>
      <w:r>
        <w:t>luego</w:t>
      </w:r>
      <w:r>
        <w:rPr>
          <w:spacing w:val="-15"/>
        </w:rPr>
        <w:t xml:space="preserve"> </w:t>
      </w:r>
      <w:r>
        <w:t>imposición</w:t>
      </w:r>
      <w:r>
        <w:rPr>
          <w:spacing w:val="-15"/>
        </w:rPr>
        <w:t xml:space="preserve"> </w:t>
      </w:r>
      <w:r>
        <w:t>de</w:t>
      </w:r>
      <w:r>
        <w:rPr>
          <w:spacing w:val="-15"/>
        </w:rPr>
        <w:t xml:space="preserve"> </w:t>
      </w:r>
      <w:r>
        <w:t>las</w:t>
      </w:r>
      <w:r>
        <w:rPr>
          <w:spacing w:val="-15"/>
        </w:rPr>
        <w:t xml:space="preserve"> </w:t>
      </w:r>
      <w:r>
        <w:t>órdenes</w:t>
      </w:r>
      <w:r>
        <w:rPr>
          <w:spacing w:val="-15"/>
        </w:rPr>
        <w:t xml:space="preserve"> </w:t>
      </w:r>
      <w:r>
        <w:t>sociales</w:t>
      </w:r>
      <w:r>
        <w:rPr>
          <w:spacing w:val="-15"/>
        </w:rPr>
        <w:t xml:space="preserve"> </w:t>
      </w:r>
      <w:r>
        <w:t>con</w:t>
      </w:r>
      <w:r>
        <w:rPr>
          <w:spacing w:val="-15"/>
        </w:rPr>
        <w:t xml:space="preserve"> </w:t>
      </w:r>
      <w:r>
        <w:t>fusil</w:t>
      </w:r>
      <w:r>
        <w:rPr>
          <w:spacing w:val="-15"/>
        </w:rPr>
        <w:t xml:space="preserve"> </w:t>
      </w:r>
      <w:r>
        <w:t>en</w:t>
      </w:r>
      <w:r>
        <w:rPr>
          <w:spacing w:val="-15"/>
        </w:rPr>
        <w:t xml:space="preserve"> </w:t>
      </w:r>
      <w:r>
        <w:t>mano</w:t>
      </w:r>
      <w:r>
        <w:rPr>
          <w:spacing w:val="-15"/>
        </w:rPr>
        <w:t xml:space="preserve"> </w:t>
      </w:r>
      <w:r>
        <w:t>y</w:t>
      </w:r>
      <w:r>
        <w:rPr>
          <w:spacing w:val="-15"/>
        </w:rPr>
        <w:t xml:space="preserve"> </w:t>
      </w:r>
      <w:r>
        <w:t>la</w:t>
      </w:r>
      <w:r>
        <w:rPr>
          <w:spacing w:val="-15"/>
        </w:rPr>
        <w:t xml:space="preserve"> </w:t>
      </w:r>
      <w:r>
        <w:t>imposición</w:t>
      </w:r>
      <w:r>
        <w:rPr>
          <w:spacing w:val="-15"/>
        </w:rPr>
        <w:t xml:space="preserve"> </w:t>
      </w:r>
      <w:r>
        <w:t>militar obligando</w:t>
      </w:r>
      <w:r>
        <w:rPr>
          <w:spacing w:val="-4"/>
        </w:rPr>
        <w:t xml:space="preserve"> </w:t>
      </w:r>
      <w:r>
        <w:t>a</w:t>
      </w:r>
      <w:r>
        <w:rPr>
          <w:spacing w:val="-5"/>
        </w:rPr>
        <w:t xml:space="preserve"> </w:t>
      </w:r>
      <w:r>
        <w:t>la</w:t>
      </w:r>
      <w:r>
        <w:rPr>
          <w:spacing w:val="-3"/>
        </w:rPr>
        <w:t xml:space="preserve"> </w:t>
      </w:r>
      <w:r>
        <w:t>población</w:t>
      </w:r>
      <w:r>
        <w:rPr>
          <w:spacing w:val="-5"/>
        </w:rPr>
        <w:t xml:space="preserve"> </w:t>
      </w:r>
      <w:r>
        <w:t>a</w:t>
      </w:r>
      <w:r>
        <w:rPr>
          <w:spacing w:val="-3"/>
        </w:rPr>
        <w:t xml:space="preserve"> </w:t>
      </w:r>
      <w:r>
        <w:t>hacer</w:t>
      </w:r>
      <w:r>
        <w:rPr>
          <w:spacing w:val="-3"/>
        </w:rPr>
        <w:t xml:space="preserve"> </w:t>
      </w:r>
      <w:r>
        <w:t>tareas</w:t>
      </w:r>
      <w:r>
        <w:rPr>
          <w:spacing w:val="-3"/>
        </w:rPr>
        <w:t xml:space="preserve"> </w:t>
      </w:r>
      <w:r>
        <w:t>funcionales</w:t>
      </w:r>
      <w:r>
        <w:rPr>
          <w:spacing w:val="-3"/>
        </w:rPr>
        <w:t xml:space="preserve"> </w:t>
      </w:r>
      <w:r>
        <w:t>a</w:t>
      </w:r>
      <w:r>
        <w:rPr>
          <w:spacing w:val="-3"/>
        </w:rPr>
        <w:t xml:space="preserve"> </w:t>
      </w:r>
      <w:r>
        <w:t>su</w:t>
      </w:r>
      <w:r>
        <w:rPr>
          <w:spacing w:val="-4"/>
        </w:rPr>
        <w:t xml:space="preserve"> </w:t>
      </w:r>
      <w:r>
        <w:t>guerra,</w:t>
      </w:r>
      <w:r>
        <w:rPr>
          <w:spacing w:val="-4"/>
        </w:rPr>
        <w:t xml:space="preserve"> </w:t>
      </w:r>
      <w:r>
        <w:t>exponiendo</w:t>
      </w:r>
      <w:r>
        <w:rPr>
          <w:spacing w:val="-4"/>
        </w:rPr>
        <w:t xml:space="preserve"> </w:t>
      </w:r>
      <w:r>
        <w:t>a</w:t>
      </w:r>
      <w:r>
        <w:rPr>
          <w:spacing w:val="-3"/>
        </w:rPr>
        <w:t xml:space="preserve"> </w:t>
      </w:r>
      <w:r>
        <w:t>la</w:t>
      </w:r>
      <w:r>
        <w:rPr>
          <w:spacing w:val="-3"/>
        </w:rPr>
        <w:t xml:space="preserve"> </w:t>
      </w:r>
      <w:r>
        <w:t>gente</w:t>
      </w:r>
      <w:r>
        <w:rPr>
          <w:spacing w:val="-3"/>
        </w:rPr>
        <w:t xml:space="preserve"> </w:t>
      </w:r>
      <w:r>
        <w:t xml:space="preserve">frente a sus contrarios. Esto se pudo hacer más fácil por falta de presencia del </w:t>
      </w:r>
      <w:r>
        <w:lastRenderedPageBreak/>
        <w:t>Estado. La tensión entre los intentos de cooptación de las organizaciones sociales y el reclamo de estas de su autonomía, con lo cual eran considerados como gente poco fiables o enemigos, fue muy frecuente con las comunidades indígenas.</w:t>
      </w:r>
    </w:p>
    <w:p w:rsidR="0011361F" w:rsidRDefault="00AF18A5" w:rsidP="004A6EF4">
      <w:pPr>
        <w:pStyle w:val="Ttulo4"/>
        <w:numPr>
          <w:ilvl w:val="2"/>
          <w:numId w:val="16"/>
        </w:numPr>
      </w:pPr>
      <w:bookmarkStart w:id="373" w:name="4.4.1._Casos_ilustrativos:_entendiendo_l"/>
      <w:bookmarkEnd w:id="373"/>
      <w:r>
        <w:t>Casos</w:t>
      </w:r>
      <w:r>
        <w:rPr>
          <w:spacing w:val="-3"/>
        </w:rPr>
        <w:t xml:space="preserve"> </w:t>
      </w:r>
      <w:r w:rsidRPr="0043702C">
        <w:t>ilustrativos</w:t>
      </w:r>
      <w:r>
        <w:t>:</w:t>
      </w:r>
      <w:r>
        <w:rPr>
          <w:spacing w:val="-3"/>
        </w:rPr>
        <w:t xml:space="preserve"> </w:t>
      </w:r>
      <w:r>
        <w:t>entendiendo</w:t>
      </w:r>
      <w:r>
        <w:rPr>
          <w:spacing w:val="-2"/>
        </w:rPr>
        <w:t xml:space="preserve"> </w:t>
      </w:r>
      <w:r>
        <w:t>la</w:t>
      </w:r>
      <w:r>
        <w:rPr>
          <w:spacing w:val="-3"/>
        </w:rPr>
        <w:t xml:space="preserve"> </w:t>
      </w:r>
      <w:r>
        <w:t>inserción</w:t>
      </w:r>
      <w:r>
        <w:rPr>
          <w:spacing w:val="-3"/>
        </w:rPr>
        <w:t xml:space="preserve"> </w:t>
      </w:r>
      <w:r>
        <w:rPr>
          <w:spacing w:val="-4"/>
        </w:rPr>
        <w:t>local</w:t>
      </w:r>
    </w:p>
    <w:p w:rsidR="003804AC" w:rsidRDefault="00AF18A5" w:rsidP="00DA060F">
      <w:r>
        <w:t>Cuatro</w:t>
      </w:r>
      <w:r>
        <w:rPr>
          <w:spacing w:val="-5"/>
        </w:rPr>
        <w:t xml:space="preserve"> </w:t>
      </w:r>
      <w:r>
        <w:t>casos</w:t>
      </w:r>
      <w:r>
        <w:rPr>
          <w:spacing w:val="-5"/>
        </w:rPr>
        <w:t xml:space="preserve"> </w:t>
      </w:r>
      <w:r>
        <w:t>son</w:t>
      </w:r>
      <w:r>
        <w:rPr>
          <w:spacing w:val="-5"/>
        </w:rPr>
        <w:t xml:space="preserve"> </w:t>
      </w:r>
      <w:r>
        <w:t>ilustrativos</w:t>
      </w:r>
      <w:r>
        <w:rPr>
          <w:spacing w:val="-5"/>
        </w:rPr>
        <w:t xml:space="preserve"> </w:t>
      </w:r>
      <w:r>
        <w:t>de</w:t>
      </w:r>
      <w:r>
        <w:rPr>
          <w:spacing w:val="-5"/>
        </w:rPr>
        <w:t xml:space="preserve"> </w:t>
      </w:r>
      <w:r>
        <w:t>las</w:t>
      </w:r>
      <w:r>
        <w:rPr>
          <w:spacing w:val="-5"/>
        </w:rPr>
        <w:t xml:space="preserve"> </w:t>
      </w:r>
      <w:r>
        <w:t>diferencias</w:t>
      </w:r>
      <w:r>
        <w:rPr>
          <w:spacing w:val="-5"/>
        </w:rPr>
        <w:t xml:space="preserve"> </w:t>
      </w:r>
      <w:r>
        <w:t>entre</w:t>
      </w:r>
      <w:r>
        <w:rPr>
          <w:spacing w:val="-5"/>
        </w:rPr>
        <w:t xml:space="preserve"> </w:t>
      </w:r>
      <w:r>
        <w:t>los</w:t>
      </w:r>
      <w:r>
        <w:rPr>
          <w:spacing w:val="-5"/>
        </w:rPr>
        <w:t xml:space="preserve"> </w:t>
      </w:r>
      <w:r>
        <w:t>órdenes</w:t>
      </w:r>
      <w:r>
        <w:rPr>
          <w:spacing w:val="-5"/>
        </w:rPr>
        <w:t xml:space="preserve"> </w:t>
      </w:r>
      <w:r>
        <w:t>violentos</w:t>
      </w:r>
      <w:r>
        <w:rPr>
          <w:spacing w:val="-5"/>
        </w:rPr>
        <w:t xml:space="preserve"> </w:t>
      </w:r>
      <w:r>
        <w:t>de</w:t>
      </w:r>
      <w:r>
        <w:rPr>
          <w:spacing w:val="-5"/>
        </w:rPr>
        <w:t xml:space="preserve"> </w:t>
      </w:r>
      <w:r>
        <w:t>las</w:t>
      </w:r>
      <w:r>
        <w:rPr>
          <w:spacing w:val="-5"/>
        </w:rPr>
        <w:t xml:space="preserve"> </w:t>
      </w:r>
      <w:r>
        <w:t>guerrillas</w:t>
      </w:r>
      <w:r>
        <w:rPr>
          <w:spacing w:val="-5"/>
        </w:rPr>
        <w:t xml:space="preserve"> </w:t>
      </w:r>
      <w:r>
        <w:t>y de</w:t>
      </w:r>
      <w:r>
        <w:rPr>
          <w:spacing w:val="-1"/>
        </w:rPr>
        <w:t xml:space="preserve"> </w:t>
      </w:r>
      <w:r>
        <w:t>los</w:t>
      </w:r>
      <w:r>
        <w:rPr>
          <w:spacing w:val="-1"/>
        </w:rPr>
        <w:t xml:space="preserve"> </w:t>
      </w:r>
      <w:r>
        <w:t>diversos</w:t>
      </w:r>
      <w:r>
        <w:rPr>
          <w:spacing w:val="-1"/>
        </w:rPr>
        <w:t xml:space="preserve"> </w:t>
      </w:r>
      <w:r>
        <w:t>niveles</w:t>
      </w:r>
      <w:r>
        <w:rPr>
          <w:spacing w:val="-1"/>
        </w:rPr>
        <w:t xml:space="preserve"> </w:t>
      </w:r>
      <w:r>
        <w:t>de</w:t>
      </w:r>
      <w:r>
        <w:rPr>
          <w:spacing w:val="-1"/>
        </w:rPr>
        <w:t xml:space="preserve"> </w:t>
      </w:r>
      <w:r>
        <w:t>legitimidad</w:t>
      </w:r>
      <w:r>
        <w:rPr>
          <w:spacing w:val="-1"/>
        </w:rPr>
        <w:t xml:space="preserve"> </w:t>
      </w:r>
      <w:r>
        <w:t>y</w:t>
      </w:r>
      <w:r>
        <w:rPr>
          <w:spacing w:val="-1"/>
        </w:rPr>
        <w:t xml:space="preserve"> </w:t>
      </w:r>
      <w:r>
        <w:t>coacción</w:t>
      </w:r>
      <w:r>
        <w:rPr>
          <w:spacing w:val="-1"/>
        </w:rPr>
        <w:t xml:space="preserve"> </w:t>
      </w:r>
      <w:r>
        <w:t>que</w:t>
      </w:r>
      <w:r>
        <w:rPr>
          <w:spacing w:val="-1"/>
        </w:rPr>
        <w:t xml:space="preserve"> </w:t>
      </w:r>
      <w:r>
        <w:t>alcanzaron,</w:t>
      </w:r>
      <w:r>
        <w:rPr>
          <w:spacing w:val="-1"/>
        </w:rPr>
        <w:t xml:space="preserve"> </w:t>
      </w:r>
      <w:r>
        <w:t>según</w:t>
      </w:r>
      <w:r>
        <w:rPr>
          <w:spacing w:val="-1"/>
        </w:rPr>
        <w:t xml:space="preserve"> </w:t>
      </w:r>
      <w:r>
        <w:t>los</w:t>
      </w:r>
      <w:r>
        <w:rPr>
          <w:spacing w:val="-1"/>
        </w:rPr>
        <w:t xml:space="preserve"> </w:t>
      </w:r>
      <w:r>
        <w:t>momentos</w:t>
      </w:r>
      <w:r>
        <w:rPr>
          <w:spacing w:val="-1"/>
        </w:rPr>
        <w:t xml:space="preserve"> </w:t>
      </w:r>
      <w:r>
        <w:t>de</w:t>
      </w:r>
      <w:r>
        <w:rPr>
          <w:spacing w:val="-1"/>
        </w:rPr>
        <w:t xml:space="preserve"> </w:t>
      </w:r>
      <w:r>
        <w:t>la guerra y las dinámicas territoriales: i) la colonización cocalera de los años ochenta, que permitió</w:t>
      </w:r>
      <w:r>
        <w:rPr>
          <w:spacing w:val="-12"/>
        </w:rPr>
        <w:t xml:space="preserve"> </w:t>
      </w:r>
      <w:r>
        <w:t>la</w:t>
      </w:r>
      <w:r>
        <w:rPr>
          <w:spacing w:val="-8"/>
        </w:rPr>
        <w:t xml:space="preserve"> </w:t>
      </w:r>
      <w:r>
        <w:t>inserción,</w:t>
      </w:r>
      <w:r>
        <w:rPr>
          <w:spacing w:val="-10"/>
        </w:rPr>
        <w:t xml:space="preserve"> </w:t>
      </w:r>
      <w:r>
        <w:t>asentamiento</w:t>
      </w:r>
      <w:r>
        <w:rPr>
          <w:spacing w:val="-10"/>
        </w:rPr>
        <w:t xml:space="preserve"> </w:t>
      </w:r>
      <w:r>
        <w:t>y</w:t>
      </w:r>
      <w:r>
        <w:rPr>
          <w:spacing w:val="-9"/>
        </w:rPr>
        <w:t xml:space="preserve"> </w:t>
      </w:r>
      <w:r>
        <w:t>expansión</w:t>
      </w:r>
      <w:r>
        <w:rPr>
          <w:spacing w:val="-10"/>
        </w:rPr>
        <w:t xml:space="preserve"> </w:t>
      </w:r>
      <w:r>
        <w:t>de</w:t>
      </w:r>
      <w:r>
        <w:rPr>
          <w:spacing w:val="-7"/>
        </w:rPr>
        <w:t xml:space="preserve"> </w:t>
      </w:r>
      <w:r>
        <w:t>las</w:t>
      </w:r>
      <w:r>
        <w:rPr>
          <w:spacing w:val="-8"/>
        </w:rPr>
        <w:t xml:space="preserve"> </w:t>
      </w:r>
      <w:r>
        <w:t>FARC-EP</w:t>
      </w:r>
      <w:r>
        <w:rPr>
          <w:spacing w:val="-9"/>
        </w:rPr>
        <w:t xml:space="preserve"> </w:t>
      </w:r>
      <w:r>
        <w:t>en</w:t>
      </w:r>
      <w:r>
        <w:rPr>
          <w:spacing w:val="-9"/>
        </w:rPr>
        <w:t xml:space="preserve"> </w:t>
      </w:r>
      <w:r>
        <w:t>el</w:t>
      </w:r>
      <w:r>
        <w:rPr>
          <w:spacing w:val="-8"/>
        </w:rPr>
        <w:t xml:space="preserve"> </w:t>
      </w:r>
      <w:r>
        <w:t>medio</w:t>
      </w:r>
      <w:r>
        <w:rPr>
          <w:spacing w:val="-9"/>
        </w:rPr>
        <w:t xml:space="preserve"> </w:t>
      </w:r>
      <w:r>
        <w:t>y</w:t>
      </w:r>
      <w:r>
        <w:rPr>
          <w:spacing w:val="-9"/>
        </w:rPr>
        <w:t xml:space="preserve"> </w:t>
      </w:r>
      <w:r>
        <w:t>bajo</w:t>
      </w:r>
      <w:r>
        <w:rPr>
          <w:spacing w:val="-8"/>
        </w:rPr>
        <w:t xml:space="preserve"> </w:t>
      </w:r>
      <w:r>
        <w:rPr>
          <w:spacing w:val="-2"/>
        </w:rPr>
        <w:t>Caguán;</w:t>
      </w:r>
      <w:r w:rsidR="00DA060F">
        <w:rPr>
          <w:spacing w:val="-2"/>
        </w:rPr>
        <w:t xml:space="preserve"> </w:t>
      </w:r>
      <w:proofErr w:type="spellStart"/>
      <w:r>
        <w:t>ii</w:t>
      </w:r>
      <w:proofErr w:type="spellEnd"/>
      <w:r>
        <w:t xml:space="preserve">) la inserción de las FARC-EP en los años noventa en </w:t>
      </w:r>
      <w:proofErr w:type="spellStart"/>
      <w:r>
        <w:t>Taraira</w:t>
      </w:r>
      <w:proofErr w:type="spellEnd"/>
      <w:r>
        <w:t>, en la frontera con Brasil, donde la presencia de esa guerrilla fue más esporádica y estuvo más bien en función de sus objetivos</w:t>
      </w:r>
      <w:r>
        <w:rPr>
          <w:spacing w:val="14"/>
        </w:rPr>
        <w:t xml:space="preserve"> </w:t>
      </w:r>
      <w:r>
        <w:t>militares;</w:t>
      </w:r>
      <w:r>
        <w:rPr>
          <w:spacing w:val="17"/>
        </w:rPr>
        <w:t xml:space="preserve"> </w:t>
      </w:r>
      <w:proofErr w:type="spellStart"/>
      <w:r>
        <w:t>iii</w:t>
      </w:r>
      <w:proofErr w:type="spellEnd"/>
      <w:r>
        <w:t>)</w:t>
      </w:r>
      <w:r>
        <w:rPr>
          <w:spacing w:val="16"/>
        </w:rPr>
        <w:t xml:space="preserve"> </w:t>
      </w:r>
      <w:r>
        <w:t>el</w:t>
      </w:r>
      <w:r>
        <w:rPr>
          <w:spacing w:val="17"/>
        </w:rPr>
        <w:t xml:space="preserve"> </w:t>
      </w:r>
      <w:r>
        <w:t>orden</w:t>
      </w:r>
      <w:r>
        <w:rPr>
          <w:spacing w:val="16"/>
        </w:rPr>
        <w:t xml:space="preserve"> </w:t>
      </w:r>
      <w:r>
        <w:t>violento</w:t>
      </w:r>
      <w:r>
        <w:rPr>
          <w:spacing w:val="17"/>
        </w:rPr>
        <w:t xml:space="preserve"> </w:t>
      </w:r>
      <w:r>
        <w:t>que</w:t>
      </w:r>
      <w:r>
        <w:rPr>
          <w:spacing w:val="16"/>
        </w:rPr>
        <w:t xml:space="preserve"> </w:t>
      </w:r>
      <w:r>
        <w:t>establecieron</w:t>
      </w:r>
      <w:r>
        <w:rPr>
          <w:spacing w:val="14"/>
        </w:rPr>
        <w:t xml:space="preserve"> </w:t>
      </w:r>
      <w:r>
        <w:t>las</w:t>
      </w:r>
      <w:r>
        <w:rPr>
          <w:spacing w:val="17"/>
        </w:rPr>
        <w:t xml:space="preserve"> </w:t>
      </w:r>
      <w:r>
        <w:t>FARC-EP</w:t>
      </w:r>
      <w:r>
        <w:rPr>
          <w:spacing w:val="15"/>
        </w:rPr>
        <w:t xml:space="preserve"> </w:t>
      </w:r>
      <w:r>
        <w:t>con</w:t>
      </w:r>
      <w:r>
        <w:rPr>
          <w:spacing w:val="17"/>
        </w:rPr>
        <w:t xml:space="preserve"> </w:t>
      </w:r>
      <w:r>
        <w:t>la</w:t>
      </w:r>
      <w:r>
        <w:rPr>
          <w:spacing w:val="17"/>
        </w:rPr>
        <w:t xml:space="preserve"> </w:t>
      </w:r>
      <w:r>
        <w:rPr>
          <w:spacing w:val="-2"/>
        </w:rPr>
        <w:t>población</w:t>
      </w:r>
      <w:bookmarkStart w:id="374" w:name="_bookmark281"/>
      <w:bookmarkEnd w:id="374"/>
      <w:r w:rsidR="00DA060F">
        <w:t xml:space="preserve"> </w:t>
      </w:r>
      <w:r>
        <w:t xml:space="preserve">civil antes y durante la zona de distensión en el contexto de los diálogos del Caguán; y </w:t>
      </w:r>
      <w:proofErr w:type="spellStart"/>
      <w:r>
        <w:t>iv</w:t>
      </w:r>
      <w:proofErr w:type="spellEnd"/>
      <w:r>
        <w:t xml:space="preserve">), el caso de la presencia histórica del ELN en la región del </w:t>
      </w:r>
      <w:proofErr w:type="spellStart"/>
      <w:r>
        <w:t>Sarare</w:t>
      </w:r>
      <w:proofErr w:type="spellEnd"/>
      <w:r>
        <w:t xml:space="preserve"> en Arauca.</w:t>
      </w:r>
    </w:p>
    <w:p w:rsidR="003804AC" w:rsidRDefault="00AF18A5" w:rsidP="00DA060F">
      <w:r>
        <w:t>Caracterizar</w:t>
      </w:r>
      <w:r>
        <w:rPr>
          <w:spacing w:val="-4"/>
        </w:rPr>
        <w:t xml:space="preserve"> </w:t>
      </w:r>
      <w:r>
        <w:t>estas</w:t>
      </w:r>
      <w:r>
        <w:rPr>
          <w:spacing w:val="-3"/>
        </w:rPr>
        <w:t xml:space="preserve"> </w:t>
      </w:r>
      <w:r>
        <w:t>formas</w:t>
      </w:r>
      <w:r>
        <w:rPr>
          <w:spacing w:val="-4"/>
        </w:rPr>
        <w:t xml:space="preserve"> </w:t>
      </w:r>
      <w:r>
        <w:t>de</w:t>
      </w:r>
      <w:r>
        <w:rPr>
          <w:spacing w:val="-3"/>
        </w:rPr>
        <w:t xml:space="preserve"> </w:t>
      </w:r>
      <w:r>
        <w:t>presencia</w:t>
      </w:r>
      <w:r>
        <w:rPr>
          <w:spacing w:val="-3"/>
        </w:rPr>
        <w:t xml:space="preserve"> </w:t>
      </w:r>
      <w:r>
        <w:t>y</w:t>
      </w:r>
      <w:r>
        <w:rPr>
          <w:spacing w:val="-4"/>
        </w:rPr>
        <w:t xml:space="preserve"> </w:t>
      </w:r>
      <w:r>
        <w:t>relación</w:t>
      </w:r>
      <w:r>
        <w:rPr>
          <w:spacing w:val="-5"/>
        </w:rPr>
        <w:t xml:space="preserve"> </w:t>
      </w:r>
      <w:r>
        <w:t>es</w:t>
      </w:r>
      <w:r>
        <w:rPr>
          <w:spacing w:val="-3"/>
        </w:rPr>
        <w:t xml:space="preserve"> </w:t>
      </w:r>
      <w:r>
        <w:t>importante</w:t>
      </w:r>
      <w:r>
        <w:rPr>
          <w:spacing w:val="-3"/>
        </w:rPr>
        <w:t xml:space="preserve"> </w:t>
      </w:r>
      <w:r>
        <w:t>para</w:t>
      </w:r>
      <w:r>
        <w:rPr>
          <w:spacing w:val="-3"/>
        </w:rPr>
        <w:t xml:space="preserve"> </w:t>
      </w:r>
      <w:r>
        <w:t>entender</w:t>
      </w:r>
      <w:r>
        <w:rPr>
          <w:spacing w:val="-3"/>
        </w:rPr>
        <w:t xml:space="preserve"> </w:t>
      </w:r>
      <w:r>
        <w:t>los</w:t>
      </w:r>
      <w:r>
        <w:rPr>
          <w:spacing w:val="-4"/>
        </w:rPr>
        <w:t xml:space="preserve"> </w:t>
      </w:r>
      <w:r>
        <w:t>retos</w:t>
      </w:r>
      <w:r>
        <w:rPr>
          <w:spacing w:val="-5"/>
        </w:rPr>
        <w:t xml:space="preserve"> </w:t>
      </w:r>
      <w:r>
        <w:t>de la reconstrucción de la convivencia en muchas regiones, así como para comprender los mecanismos</w:t>
      </w:r>
      <w:r>
        <w:rPr>
          <w:spacing w:val="-10"/>
        </w:rPr>
        <w:t xml:space="preserve"> </w:t>
      </w:r>
      <w:r>
        <w:t>que</w:t>
      </w:r>
      <w:r>
        <w:rPr>
          <w:spacing w:val="-10"/>
        </w:rPr>
        <w:t xml:space="preserve"> </w:t>
      </w:r>
      <w:r>
        <w:t>muestran</w:t>
      </w:r>
      <w:r>
        <w:rPr>
          <w:spacing w:val="-9"/>
        </w:rPr>
        <w:t xml:space="preserve"> </w:t>
      </w:r>
      <w:r>
        <w:t>esta</w:t>
      </w:r>
      <w:r>
        <w:rPr>
          <w:spacing w:val="-10"/>
        </w:rPr>
        <w:t xml:space="preserve"> </w:t>
      </w:r>
      <w:r>
        <w:t>influencia</w:t>
      </w:r>
      <w:r>
        <w:rPr>
          <w:spacing w:val="-9"/>
        </w:rPr>
        <w:t xml:space="preserve"> </w:t>
      </w:r>
      <w:r>
        <w:t>y</w:t>
      </w:r>
      <w:r>
        <w:rPr>
          <w:spacing w:val="-11"/>
        </w:rPr>
        <w:t xml:space="preserve"> </w:t>
      </w:r>
      <w:r>
        <w:t>los</w:t>
      </w:r>
      <w:r>
        <w:rPr>
          <w:spacing w:val="-9"/>
        </w:rPr>
        <w:t xml:space="preserve"> </w:t>
      </w:r>
      <w:r>
        <w:t>desafíos</w:t>
      </w:r>
      <w:r>
        <w:rPr>
          <w:spacing w:val="-10"/>
        </w:rPr>
        <w:t xml:space="preserve"> </w:t>
      </w:r>
      <w:r>
        <w:t>para</w:t>
      </w:r>
      <w:r>
        <w:rPr>
          <w:spacing w:val="-10"/>
        </w:rPr>
        <w:t xml:space="preserve"> </w:t>
      </w:r>
      <w:r>
        <w:t>impulsar</w:t>
      </w:r>
      <w:r>
        <w:rPr>
          <w:spacing w:val="-10"/>
        </w:rPr>
        <w:t xml:space="preserve"> </w:t>
      </w:r>
      <w:r>
        <w:t>la</w:t>
      </w:r>
      <w:r>
        <w:rPr>
          <w:spacing w:val="-10"/>
        </w:rPr>
        <w:t xml:space="preserve"> </w:t>
      </w:r>
      <w:r>
        <w:t>construcción</w:t>
      </w:r>
      <w:r>
        <w:rPr>
          <w:spacing w:val="-11"/>
        </w:rPr>
        <w:t xml:space="preserve"> </w:t>
      </w:r>
      <w:r>
        <w:t>de</w:t>
      </w:r>
      <w:r>
        <w:rPr>
          <w:spacing w:val="-9"/>
        </w:rPr>
        <w:t xml:space="preserve"> </w:t>
      </w:r>
      <w:r>
        <w:t>paz desde diferentes territorios. En estas regiones donde la influencia fuerte se dio desde hace décadas,</w:t>
      </w:r>
      <w:r>
        <w:rPr>
          <w:spacing w:val="-11"/>
        </w:rPr>
        <w:t xml:space="preserve"> </w:t>
      </w:r>
      <w:r>
        <w:t>en</w:t>
      </w:r>
      <w:r>
        <w:rPr>
          <w:spacing w:val="-11"/>
        </w:rPr>
        <w:t xml:space="preserve"> </w:t>
      </w:r>
      <w:r>
        <w:t>contextos</w:t>
      </w:r>
      <w:r>
        <w:rPr>
          <w:spacing w:val="-11"/>
        </w:rPr>
        <w:t xml:space="preserve"> </w:t>
      </w:r>
      <w:r>
        <w:t>de</w:t>
      </w:r>
      <w:r>
        <w:rPr>
          <w:spacing w:val="-11"/>
        </w:rPr>
        <w:t xml:space="preserve"> </w:t>
      </w:r>
      <w:r>
        <w:t>baja</w:t>
      </w:r>
      <w:r>
        <w:rPr>
          <w:spacing w:val="-10"/>
        </w:rPr>
        <w:t xml:space="preserve"> </w:t>
      </w:r>
      <w:r>
        <w:t>presencia</w:t>
      </w:r>
      <w:r>
        <w:rPr>
          <w:spacing w:val="-10"/>
        </w:rPr>
        <w:t xml:space="preserve"> </w:t>
      </w:r>
      <w:r>
        <w:t>estatal,</w:t>
      </w:r>
      <w:r>
        <w:rPr>
          <w:spacing w:val="-11"/>
        </w:rPr>
        <w:t xml:space="preserve"> </w:t>
      </w:r>
      <w:r>
        <w:t>especialmente</w:t>
      </w:r>
      <w:r>
        <w:rPr>
          <w:spacing w:val="-10"/>
        </w:rPr>
        <w:t xml:space="preserve"> </w:t>
      </w:r>
      <w:r>
        <w:t>de</w:t>
      </w:r>
      <w:r>
        <w:rPr>
          <w:spacing w:val="-10"/>
        </w:rPr>
        <w:t xml:space="preserve"> </w:t>
      </w:r>
      <w:r>
        <w:t>un</w:t>
      </w:r>
      <w:r>
        <w:rPr>
          <w:spacing w:val="-11"/>
        </w:rPr>
        <w:t xml:space="preserve"> </w:t>
      </w:r>
      <w:r>
        <w:t>Estado</w:t>
      </w:r>
      <w:r>
        <w:rPr>
          <w:spacing w:val="-11"/>
        </w:rPr>
        <w:t xml:space="preserve"> </w:t>
      </w:r>
      <w:r>
        <w:t>social</w:t>
      </w:r>
      <w:r>
        <w:rPr>
          <w:spacing w:val="-10"/>
        </w:rPr>
        <w:t xml:space="preserve"> </w:t>
      </w:r>
      <w:r>
        <w:t>y</w:t>
      </w:r>
      <w:r>
        <w:rPr>
          <w:spacing w:val="-11"/>
        </w:rPr>
        <w:t xml:space="preserve"> </w:t>
      </w:r>
      <w:r>
        <w:t>civil</w:t>
      </w:r>
      <w:r>
        <w:rPr>
          <w:spacing w:val="-11"/>
        </w:rPr>
        <w:t xml:space="preserve"> </w:t>
      </w:r>
      <w:r>
        <w:t>que entendiera</w:t>
      </w:r>
      <w:r>
        <w:rPr>
          <w:spacing w:val="-10"/>
        </w:rPr>
        <w:t xml:space="preserve"> </w:t>
      </w:r>
      <w:r>
        <w:t>los</w:t>
      </w:r>
      <w:r>
        <w:rPr>
          <w:spacing w:val="-9"/>
        </w:rPr>
        <w:t xml:space="preserve"> </w:t>
      </w:r>
      <w:r>
        <w:t>problemas</w:t>
      </w:r>
      <w:r>
        <w:rPr>
          <w:spacing w:val="-9"/>
        </w:rPr>
        <w:t xml:space="preserve"> </w:t>
      </w:r>
      <w:r>
        <w:t>de</w:t>
      </w:r>
      <w:r>
        <w:rPr>
          <w:spacing w:val="-9"/>
        </w:rPr>
        <w:t xml:space="preserve"> </w:t>
      </w:r>
      <w:r>
        <w:t>la</w:t>
      </w:r>
      <w:r>
        <w:rPr>
          <w:spacing w:val="-10"/>
        </w:rPr>
        <w:t xml:space="preserve"> </w:t>
      </w:r>
      <w:r>
        <w:t>región</w:t>
      </w:r>
      <w:r>
        <w:rPr>
          <w:spacing w:val="-9"/>
        </w:rPr>
        <w:t xml:space="preserve"> </w:t>
      </w:r>
      <w:r>
        <w:t>y</w:t>
      </w:r>
      <w:r>
        <w:rPr>
          <w:spacing w:val="-9"/>
        </w:rPr>
        <w:t xml:space="preserve"> </w:t>
      </w:r>
      <w:r>
        <w:t>las</w:t>
      </w:r>
      <w:r>
        <w:rPr>
          <w:spacing w:val="-11"/>
        </w:rPr>
        <w:t xml:space="preserve"> </w:t>
      </w:r>
      <w:r>
        <w:t>comunidades,</w:t>
      </w:r>
      <w:r>
        <w:rPr>
          <w:spacing w:val="-9"/>
        </w:rPr>
        <w:t xml:space="preserve"> </w:t>
      </w:r>
      <w:r>
        <w:t>y</w:t>
      </w:r>
      <w:r>
        <w:rPr>
          <w:spacing w:val="-9"/>
        </w:rPr>
        <w:t xml:space="preserve"> </w:t>
      </w:r>
      <w:r>
        <w:t>donde</w:t>
      </w:r>
      <w:r>
        <w:rPr>
          <w:spacing w:val="-9"/>
        </w:rPr>
        <w:t xml:space="preserve"> </w:t>
      </w:r>
      <w:r>
        <w:t>la</w:t>
      </w:r>
      <w:r>
        <w:rPr>
          <w:spacing w:val="-10"/>
        </w:rPr>
        <w:t xml:space="preserve"> </w:t>
      </w:r>
      <w:r>
        <w:t>respuesta</w:t>
      </w:r>
      <w:r>
        <w:rPr>
          <w:spacing w:val="-9"/>
        </w:rPr>
        <w:t xml:space="preserve"> </w:t>
      </w:r>
      <w:r>
        <w:t>del</w:t>
      </w:r>
      <w:r>
        <w:rPr>
          <w:spacing w:val="-9"/>
        </w:rPr>
        <w:t xml:space="preserve"> </w:t>
      </w:r>
      <w:r>
        <w:t>Estado</w:t>
      </w:r>
      <w:r>
        <w:rPr>
          <w:spacing w:val="-9"/>
        </w:rPr>
        <w:t xml:space="preserve"> </w:t>
      </w:r>
      <w:r>
        <w:t>fue en general mayor militarización, con violencia que afectó a la población civil, se dio mayor distancia y desconfianza con las autoridades.</w:t>
      </w:r>
    </w:p>
    <w:p w:rsidR="0011361F" w:rsidRDefault="00AF18A5" w:rsidP="00DA060F">
      <w:pPr>
        <w:pStyle w:val="Ttulo5"/>
      </w:pPr>
      <w:r>
        <w:lastRenderedPageBreak/>
        <w:t>Colonización</w:t>
      </w:r>
      <w:r>
        <w:rPr>
          <w:spacing w:val="-2"/>
        </w:rPr>
        <w:t xml:space="preserve"> </w:t>
      </w:r>
      <w:r>
        <w:t>cocalera</w:t>
      </w:r>
      <w:r>
        <w:rPr>
          <w:spacing w:val="-1"/>
        </w:rPr>
        <w:t xml:space="preserve"> </w:t>
      </w:r>
      <w:r>
        <w:t>en</w:t>
      </w:r>
      <w:r>
        <w:rPr>
          <w:spacing w:val="-2"/>
        </w:rPr>
        <w:t xml:space="preserve"> </w:t>
      </w:r>
      <w:r>
        <w:t>el</w:t>
      </w:r>
      <w:r>
        <w:rPr>
          <w:spacing w:val="-1"/>
        </w:rPr>
        <w:t xml:space="preserve"> </w:t>
      </w:r>
      <w:r>
        <w:t>medio</w:t>
      </w:r>
      <w:r>
        <w:rPr>
          <w:spacing w:val="-1"/>
        </w:rPr>
        <w:t xml:space="preserve"> </w:t>
      </w:r>
      <w:r>
        <w:t>y</w:t>
      </w:r>
      <w:r>
        <w:rPr>
          <w:spacing w:val="-2"/>
        </w:rPr>
        <w:t xml:space="preserve"> </w:t>
      </w:r>
      <w:r>
        <w:t>bajo</w:t>
      </w:r>
      <w:r>
        <w:rPr>
          <w:spacing w:val="-1"/>
        </w:rPr>
        <w:t xml:space="preserve"> </w:t>
      </w:r>
      <w:r>
        <w:rPr>
          <w:spacing w:val="-2"/>
        </w:rPr>
        <w:t>Caguán</w:t>
      </w:r>
    </w:p>
    <w:p w:rsidR="003804AC" w:rsidRDefault="00AF18A5" w:rsidP="00DA060F">
      <w:r>
        <w:t xml:space="preserve">En Peñas Coloradas, un pueblo que se estableció en 1983 en el bajo Caguán por familias provenientes de Huila, Tolima, Cauca, Valle y Santander que venían huyendo del hambre y de la Violencia, las FARC-EP lograron consolidar un orden </w:t>
      </w:r>
      <w:proofErr w:type="spellStart"/>
      <w:r>
        <w:t>contraestatal</w:t>
      </w:r>
      <w:proofErr w:type="spellEnd"/>
      <w:r>
        <w:t xml:space="preserve"> y se insertaron de manera efectiva en el territorio. En efecto, para los pobladores de Peñas Coloradas, la configuración de ese orden violento guerrillero fue el resultado del abandono estatal y el interés de la</w:t>
      </w:r>
      <w:r>
        <w:rPr>
          <w:spacing w:val="-1"/>
        </w:rPr>
        <w:t xml:space="preserve"> </w:t>
      </w:r>
      <w:r>
        <w:t>guerrilla en</w:t>
      </w:r>
      <w:r>
        <w:rPr>
          <w:spacing w:val="-2"/>
        </w:rPr>
        <w:t xml:space="preserve"> </w:t>
      </w:r>
      <w:r>
        <w:t>consolidarse</w:t>
      </w:r>
      <w:r>
        <w:rPr>
          <w:spacing w:val="-1"/>
        </w:rPr>
        <w:t xml:space="preserve"> </w:t>
      </w:r>
      <w:r>
        <w:t>como</w:t>
      </w:r>
      <w:r>
        <w:rPr>
          <w:spacing w:val="-1"/>
        </w:rPr>
        <w:t xml:space="preserve"> </w:t>
      </w:r>
      <w:r>
        <w:t>la</w:t>
      </w:r>
      <w:r>
        <w:rPr>
          <w:spacing w:val="-1"/>
        </w:rPr>
        <w:t xml:space="preserve"> </w:t>
      </w:r>
      <w:r>
        <w:t>autoridad</w:t>
      </w:r>
      <w:r>
        <w:rPr>
          <w:spacing w:val="-1"/>
        </w:rPr>
        <w:t xml:space="preserve"> </w:t>
      </w:r>
      <w:r>
        <w:t>de</w:t>
      </w:r>
      <w:r>
        <w:rPr>
          <w:spacing w:val="-1"/>
        </w:rPr>
        <w:t xml:space="preserve"> </w:t>
      </w:r>
      <w:r>
        <w:t>la</w:t>
      </w:r>
      <w:r>
        <w:rPr>
          <w:spacing w:val="-1"/>
        </w:rPr>
        <w:t xml:space="preserve"> </w:t>
      </w:r>
      <w:r>
        <w:t>región.</w:t>
      </w:r>
      <w:r>
        <w:rPr>
          <w:spacing w:val="-1"/>
        </w:rPr>
        <w:t xml:space="preserve"> </w:t>
      </w:r>
      <w:r>
        <w:t>La autoridad en</w:t>
      </w:r>
      <w:r>
        <w:rPr>
          <w:spacing w:val="-2"/>
        </w:rPr>
        <w:t xml:space="preserve"> </w:t>
      </w:r>
      <w:r>
        <w:t xml:space="preserve">Peñas Coloradas y en otros centros poblados de Cartagena del </w:t>
      </w:r>
      <w:proofErr w:type="spellStart"/>
      <w:r>
        <w:t>Chairá</w:t>
      </w:r>
      <w:proofErr w:type="spellEnd"/>
      <w:r>
        <w:t xml:space="preserve"> fue detentada por dos instancias: la primera, las juntas de acción comunal, como en otros territorios del país, y la guerrilla</w:t>
      </w:r>
      <w:r>
        <w:rPr>
          <w:spacing w:val="-15"/>
        </w:rPr>
        <w:t xml:space="preserve"> </w:t>
      </w:r>
      <w:r>
        <w:t>como</w:t>
      </w:r>
      <w:r>
        <w:rPr>
          <w:spacing w:val="-15"/>
        </w:rPr>
        <w:t xml:space="preserve"> </w:t>
      </w:r>
      <w:r>
        <w:t>máxima</w:t>
      </w:r>
      <w:r>
        <w:rPr>
          <w:spacing w:val="-15"/>
        </w:rPr>
        <w:t xml:space="preserve"> </w:t>
      </w:r>
      <w:r>
        <w:t>instancia</w:t>
      </w:r>
      <w:r>
        <w:rPr>
          <w:spacing w:val="-15"/>
        </w:rPr>
        <w:t xml:space="preserve"> </w:t>
      </w:r>
      <w:r>
        <w:t>de</w:t>
      </w:r>
      <w:r>
        <w:rPr>
          <w:spacing w:val="-15"/>
        </w:rPr>
        <w:t xml:space="preserve"> </w:t>
      </w:r>
      <w:r>
        <w:t>decisión.</w:t>
      </w:r>
      <w:r>
        <w:rPr>
          <w:spacing w:val="-15"/>
        </w:rPr>
        <w:t xml:space="preserve"> </w:t>
      </w:r>
      <w:r>
        <w:t>Así,</w:t>
      </w:r>
      <w:r>
        <w:rPr>
          <w:spacing w:val="-15"/>
        </w:rPr>
        <w:t xml:space="preserve"> </w:t>
      </w:r>
      <w:r>
        <w:t>algunos</w:t>
      </w:r>
      <w:r>
        <w:rPr>
          <w:spacing w:val="-15"/>
        </w:rPr>
        <w:t xml:space="preserve"> </w:t>
      </w:r>
      <w:r>
        <w:t>asuntos</w:t>
      </w:r>
      <w:r>
        <w:rPr>
          <w:spacing w:val="-15"/>
        </w:rPr>
        <w:t xml:space="preserve"> </w:t>
      </w:r>
      <w:r>
        <w:t>eran</w:t>
      </w:r>
      <w:r>
        <w:rPr>
          <w:spacing w:val="-15"/>
        </w:rPr>
        <w:t xml:space="preserve"> </w:t>
      </w:r>
      <w:r>
        <w:t>resueltos</w:t>
      </w:r>
      <w:r>
        <w:rPr>
          <w:spacing w:val="-15"/>
        </w:rPr>
        <w:t xml:space="preserve"> </w:t>
      </w:r>
      <w:r>
        <w:t>por</w:t>
      </w:r>
      <w:r>
        <w:rPr>
          <w:spacing w:val="-15"/>
        </w:rPr>
        <w:t xml:space="preserve"> </w:t>
      </w:r>
      <w:r>
        <w:t>la</w:t>
      </w:r>
      <w:r>
        <w:rPr>
          <w:spacing w:val="-15"/>
        </w:rPr>
        <w:t xml:space="preserve"> </w:t>
      </w:r>
      <w:r>
        <w:t>junta, pero de todas maneras la última y máxima autoridad era la guerrilla.</w:t>
      </w:r>
    </w:p>
    <w:p w:rsidR="003804AC" w:rsidRDefault="00AF18A5" w:rsidP="00DA060F">
      <w:r>
        <w:t>Al ser una zona cocalera, las FARC-EP se financiaban allí a partir del cobro de un impuesto a los compradores de pasta base de coca. La actividad reguladora de la guerrilla permitió</w:t>
      </w:r>
      <w:r>
        <w:rPr>
          <w:spacing w:val="-7"/>
        </w:rPr>
        <w:t xml:space="preserve"> </w:t>
      </w:r>
      <w:r>
        <w:t>impulsar</w:t>
      </w:r>
      <w:r>
        <w:rPr>
          <w:spacing w:val="-5"/>
        </w:rPr>
        <w:t xml:space="preserve"> </w:t>
      </w:r>
      <w:r>
        <w:t>un</w:t>
      </w:r>
      <w:r>
        <w:rPr>
          <w:spacing w:val="-6"/>
        </w:rPr>
        <w:t xml:space="preserve"> </w:t>
      </w:r>
      <w:r>
        <w:t>proceso</w:t>
      </w:r>
      <w:r>
        <w:rPr>
          <w:spacing w:val="-6"/>
        </w:rPr>
        <w:t xml:space="preserve"> </w:t>
      </w:r>
      <w:r>
        <w:t>de</w:t>
      </w:r>
      <w:r>
        <w:rPr>
          <w:spacing w:val="-6"/>
        </w:rPr>
        <w:t xml:space="preserve"> </w:t>
      </w:r>
      <w:r>
        <w:t>reorganización</w:t>
      </w:r>
      <w:r>
        <w:rPr>
          <w:spacing w:val="-7"/>
        </w:rPr>
        <w:t xml:space="preserve"> </w:t>
      </w:r>
      <w:r>
        <w:t>del</w:t>
      </w:r>
      <w:r>
        <w:rPr>
          <w:spacing w:val="-5"/>
        </w:rPr>
        <w:t xml:space="preserve"> </w:t>
      </w:r>
      <w:r>
        <w:t>mercado</w:t>
      </w:r>
      <w:r>
        <w:rPr>
          <w:spacing w:val="-7"/>
        </w:rPr>
        <w:t xml:space="preserve"> </w:t>
      </w:r>
      <w:r>
        <w:t>que</w:t>
      </w:r>
      <w:r>
        <w:rPr>
          <w:spacing w:val="-6"/>
        </w:rPr>
        <w:t xml:space="preserve"> </w:t>
      </w:r>
      <w:r>
        <w:t>consistió</w:t>
      </w:r>
      <w:r>
        <w:rPr>
          <w:spacing w:val="-6"/>
        </w:rPr>
        <w:t xml:space="preserve"> </w:t>
      </w:r>
      <w:r>
        <w:t>en</w:t>
      </w:r>
      <w:r>
        <w:rPr>
          <w:spacing w:val="-6"/>
        </w:rPr>
        <w:t xml:space="preserve"> </w:t>
      </w:r>
      <w:r>
        <w:t>la</w:t>
      </w:r>
      <w:r>
        <w:rPr>
          <w:spacing w:val="-6"/>
        </w:rPr>
        <w:t xml:space="preserve"> </w:t>
      </w:r>
      <w:r>
        <w:t>eliminación de la intermediación de los compradores, conocidos como lavaperros, que evadían el pago del</w:t>
      </w:r>
      <w:r>
        <w:rPr>
          <w:spacing w:val="-4"/>
        </w:rPr>
        <w:t xml:space="preserve"> </w:t>
      </w:r>
      <w:r>
        <w:t>impuesto,</w:t>
      </w:r>
      <w:r>
        <w:rPr>
          <w:spacing w:val="-5"/>
        </w:rPr>
        <w:t xml:space="preserve"> </w:t>
      </w:r>
      <w:r>
        <w:t>promovían</w:t>
      </w:r>
      <w:r>
        <w:rPr>
          <w:spacing w:val="-5"/>
        </w:rPr>
        <w:t xml:space="preserve"> </w:t>
      </w:r>
      <w:r>
        <w:t>la</w:t>
      </w:r>
      <w:r>
        <w:rPr>
          <w:spacing w:val="-4"/>
        </w:rPr>
        <w:t xml:space="preserve"> </w:t>
      </w:r>
      <w:r>
        <w:t>prostitución</w:t>
      </w:r>
      <w:r>
        <w:rPr>
          <w:spacing w:val="-5"/>
        </w:rPr>
        <w:t xml:space="preserve"> </w:t>
      </w:r>
      <w:r>
        <w:t>de</w:t>
      </w:r>
      <w:r>
        <w:rPr>
          <w:spacing w:val="-4"/>
        </w:rPr>
        <w:t xml:space="preserve"> </w:t>
      </w:r>
      <w:r>
        <w:t>niñas</w:t>
      </w:r>
      <w:r>
        <w:rPr>
          <w:spacing w:val="-4"/>
        </w:rPr>
        <w:t xml:space="preserve"> </w:t>
      </w:r>
      <w:r>
        <w:t>y</w:t>
      </w:r>
      <w:r>
        <w:rPr>
          <w:spacing w:val="-5"/>
        </w:rPr>
        <w:t xml:space="preserve"> </w:t>
      </w:r>
      <w:r>
        <w:t>estafaban</w:t>
      </w:r>
      <w:r>
        <w:rPr>
          <w:spacing w:val="-5"/>
        </w:rPr>
        <w:t xml:space="preserve"> </w:t>
      </w:r>
      <w:r>
        <w:t>a</w:t>
      </w:r>
      <w:r>
        <w:rPr>
          <w:spacing w:val="-4"/>
        </w:rPr>
        <w:t xml:space="preserve"> </w:t>
      </w:r>
      <w:r>
        <w:t>los</w:t>
      </w:r>
      <w:r>
        <w:rPr>
          <w:spacing w:val="-6"/>
        </w:rPr>
        <w:t xml:space="preserve"> </w:t>
      </w:r>
      <w:r>
        <w:t>campesinos.</w:t>
      </w:r>
      <w:r>
        <w:rPr>
          <w:spacing w:val="-5"/>
        </w:rPr>
        <w:t xml:space="preserve"> </w:t>
      </w:r>
      <w:r>
        <w:t>Este</w:t>
      </w:r>
      <w:r>
        <w:rPr>
          <w:spacing w:val="-6"/>
        </w:rPr>
        <w:t xml:space="preserve"> </w:t>
      </w:r>
      <w:r>
        <w:t>proceso aseguró a la guerrilla la favorabilidad de la población, ya que permitió un mayor margen de ganancia</w:t>
      </w:r>
      <w:r>
        <w:rPr>
          <w:spacing w:val="-7"/>
        </w:rPr>
        <w:t xml:space="preserve"> </w:t>
      </w:r>
      <w:r>
        <w:t>para</w:t>
      </w:r>
      <w:r>
        <w:rPr>
          <w:spacing w:val="-5"/>
        </w:rPr>
        <w:t xml:space="preserve"> </w:t>
      </w:r>
      <w:r>
        <w:t>la</w:t>
      </w:r>
      <w:r>
        <w:rPr>
          <w:spacing w:val="-5"/>
        </w:rPr>
        <w:t xml:space="preserve"> </w:t>
      </w:r>
      <w:r>
        <w:t>organización</w:t>
      </w:r>
      <w:r>
        <w:rPr>
          <w:spacing w:val="-5"/>
        </w:rPr>
        <w:t xml:space="preserve"> </w:t>
      </w:r>
      <w:r>
        <w:t>y</w:t>
      </w:r>
      <w:r>
        <w:rPr>
          <w:spacing w:val="-5"/>
        </w:rPr>
        <w:t xml:space="preserve"> </w:t>
      </w:r>
      <w:r>
        <w:t>los</w:t>
      </w:r>
      <w:r>
        <w:rPr>
          <w:spacing w:val="-6"/>
        </w:rPr>
        <w:t xml:space="preserve"> </w:t>
      </w:r>
      <w:r>
        <w:t>campesinos,</w:t>
      </w:r>
      <w:r>
        <w:rPr>
          <w:spacing w:val="-6"/>
        </w:rPr>
        <w:t xml:space="preserve"> </w:t>
      </w:r>
      <w:r>
        <w:t>y</w:t>
      </w:r>
      <w:r>
        <w:rPr>
          <w:spacing w:val="-6"/>
        </w:rPr>
        <w:t xml:space="preserve"> </w:t>
      </w:r>
      <w:r>
        <w:t>favoreció</w:t>
      </w:r>
      <w:r>
        <w:rPr>
          <w:spacing w:val="-5"/>
        </w:rPr>
        <w:t xml:space="preserve"> </w:t>
      </w:r>
      <w:r>
        <w:t>el</w:t>
      </w:r>
      <w:r>
        <w:rPr>
          <w:spacing w:val="-6"/>
        </w:rPr>
        <w:t xml:space="preserve"> </w:t>
      </w:r>
      <w:r>
        <w:t>mejoramiento</w:t>
      </w:r>
      <w:r>
        <w:rPr>
          <w:spacing w:val="-5"/>
        </w:rPr>
        <w:t xml:space="preserve"> </w:t>
      </w:r>
      <w:r>
        <w:t>de</w:t>
      </w:r>
      <w:r>
        <w:rPr>
          <w:spacing w:val="-5"/>
        </w:rPr>
        <w:t xml:space="preserve"> </w:t>
      </w:r>
      <w:r>
        <w:rPr>
          <w:spacing w:val="-2"/>
        </w:rPr>
        <w:t>condiciones</w:t>
      </w:r>
      <w:r w:rsidR="00DA060F">
        <w:t xml:space="preserve"> </w:t>
      </w:r>
      <w:r>
        <w:t xml:space="preserve">de vida a partir de la construcción de infraestructura e incentivos a la ganadería. Para esto último, la guerrilla estableció un acuerdo con la población según el cual un porcentaje del dinero recolectado sería destinado a obras que beneficiaran a la región: carreteras, infraestructura educativa y de salud y promoción de la </w:t>
      </w:r>
      <w:r>
        <w:lastRenderedPageBreak/>
        <w:t>economía ganadera.</w:t>
      </w:r>
    </w:p>
    <w:p w:rsidR="0011361F" w:rsidRDefault="00AF18A5" w:rsidP="00DA060F">
      <w:pPr>
        <w:pStyle w:val="Ttulo5"/>
      </w:pPr>
      <w:r>
        <w:t>Inserción</w:t>
      </w:r>
      <w:r>
        <w:rPr>
          <w:spacing w:val="-3"/>
        </w:rPr>
        <w:t xml:space="preserve"> </w:t>
      </w:r>
      <w:r>
        <w:t>de</w:t>
      </w:r>
      <w:r>
        <w:rPr>
          <w:spacing w:val="-2"/>
        </w:rPr>
        <w:t xml:space="preserve"> </w:t>
      </w:r>
      <w:r>
        <w:t>las</w:t>
      </w:r>
      <w:r>
        <w:rPr>
          <w:spacing w:val="-2"/>
        </w:rPr>
        <w:t xml:space="preserve"> </w:t>
      </w:r>
      <w:r>
        <w:t>FARC-EP</w:t>
      </w:r>
      <w:r>
        <w:rPr>
          <w:spacing w:val="-3"/>
        </w:rPr>
        <w:t xml:space="preserve"> </w:t>
      </w:r>
      <w:r>
        <w:t>en</w:t>
      </w:r>
      <w:r>
        <w:rPr>
          <w:spacing w:val="-2"/>
        </w:rPr>
        <w:t xml:space="preserve"> </w:t>
      </w:r>
      <w:proofErr w:type="spellStart"/>
      <w:r>
        <w:rPr>
          <w:spacing w:val="-2"/>
        </w:rPr>
        <w:t>Taraira</w:t>
      </w:r>
      <w:proofErr w:type="spellEnd"/>
    </w:p>
    <w:p w:rsidR="003804AC" w:rsidRDefault="00AF18A5" w:rsidP="00DA060F">
      <w:r>
        <w:t>En</w:t>
      </w:r>
      <w:r>
        <w:rPr>
          <w:spacing w:val="-4"/>
        </w:rPr>
        <w:t xml:space="preserve"> </w:t>
      </w:r>
      <w:r>
        <w:t>contraste,</w:t>
      </w:r>
      <w:r>
        <w:rPr>
          <w:spacing w:val="-4"/>
        </w:rPr>
        <w:t xml:space="preserve"> </w:t>
      </w:r>
      <w:r>
        <w:t>la</w:t>
      </w:r>
      <w:r>
        <w:rPr>
          <w:spacing w:val="-3"/>
        </w:rPr>
        <w:t xml:space="preserve"> </w:t>
      </w:r>
      <w:r>
        <w:t>economía</w:t>
      </w:r>
      <w:r>
        <w:rPr>
          <w:spacing w:val="-3"/>
        </w:rPr>
        <w:t xml:space="preserve"> </w:t>
      </w:r>
      <w:r>
        <w:t>de</w:t>
      </w:r>
      <w:r>
        <w:rPr>
          <w:spacing w:val="-3"/>
        </w:rPr>
        <w:t xml:space="preserve"> </w:t>
      </w:r>
      <w:proofErr w:type="spellStart"/>
      <w:r>
        <w:t>Taraira</w:t>
      </w:r>
      <w:proofErr w:type="spellEnd"/>
      <w:r>
        <w:rPr>
          <w:spacing w:val="-5"/>
        </w:rPr>
        <w:t xml:space="preserve"> </w:t>
      </w:r>
      <w:r>
        <w:t>–que</w:t>
      </w:r>
      <w:r>
        <w:rPr>
          <w:spacing w:val="-3"/>
        </w:rPr>
        <w:t xml:space="preserve"> </w:t>
      </w:r>
      <w:r>
        <w:t>giraba</w:t>
      </w:r>
      <w:r>
        <w:rPr>
          <w:spacing w:val="-5"/>
        </w:rPr>
        <w:t xml:space="preserve"> </w:t>
      </w:r>
      <w:r>
        <w:t>en</w:t>
      </w:r>
      <w:r>
        <w:rPr>
          <w:spacing w:val="-4"/>
        </w:rPr>
        <w:t xml:space="preserve"> </w:t>
      </w:r>
      <w:r>
        <w:t>torno</w:t>
      </w:r>
      <w:r>
        <w:rPr>
          <w:spacing w:val="-4"/>
        </w:rPr>
        <w:t xml:space="preserve"> </w:t>
      </w:r>
      <w:r>
        <w:t>a</w:t>
      </w:r>
      <w:r>
        <w:rPr>
          <w:spacing w:val="-5"/>
        </w:rPr>
        <w:t xml:space="preserve"> </w:t>
      </w:r>
      <w:r>
        <w:t>la</w:t>
      </w:r>
      <w:r>
        <w:rPr>
          <w:spacing w:val="-5"/>
        </w:rPr>
        <w:t xml:space="preserve"> </w:t>
      </w:r>
      <w:r>
        <w:t>minería</w:t>
      </w:r>
      <w:r>
        <w:rPr>
          <w:spacing w:val="-5"/>
        </w:rPr>
        <w:t xml:space="preserve"> </w:t>
      </w:r>
      <w:r>
        <w:t>(yacimientos</w:t>
      </w:r>
      <w:r>
        <w:rPr>
          <w:spacing w:val="-3"/>
        </w:rPr>
        <w:t xml:space="preserve"> </w:t>
      </w:r>
      <w:r>
        <w:t>de</w:t>
      </w:r>
      <w:r>
        <w:rPr>
          <w:spacing w:val="-5"/>
        </w:rPr>
        <w:t xml:space="preserve"> </w:t>
      </w:r>
      <w:r>
        <w:t>oro), la pesca y la explotación forestal– y su poblamiento estuvieron marcados por la economía extractivista minera, que atraía trabajadores y trabajadoras masivamente. La llegada de las FARC-EP al territorio se dio en el marco de la expansión de frentes en desarrollo del Plan Estratégico.</w:t>
      </w:r>
      <w:r>
        <w:rPr>
          <w:spacing w:val="-7"/>
        </w:rPr>
        <w:t xml:space="preserve"> </w:t>
      </w:r>
      <w:r>
        <w:t>El</w:t>
      </w:r>
      <w:r>
        <w:rPr>
          <w:spacing w:val="-4"/>
        </w:rPr>
        <w:t xml:space="preserve"> </w:t>
      </w:r>
      <w:r>
        <w:t>control</w:t>
      </w:r>
      <w:r>
        <w:rPr>
          <w:spacing w:val="-5"/>
        </w:rPr>
        <w:t xml:space="preserve"> </w:t>
      </w:r>
      <w:r>
        <w:t>ejercido</w:t>
      </w:r>
      <w:r>
        <w:rPr>
          <w:spacing w:val="-6"/>
        </w:rPr>
        <w:t xml:space="preserve"> </w:t>
      </w:r>
      <w:r>
        <w:t>en</w:t>
      </w:r>
      <w:r>
        <w:rPr>
          <w:spacing w:val="-5"/>
        </w:rPr>
        <w:t xml:space="preserve"> </w:t>
      </w:r>
      <w:proofErr w:type="spellStart"/>
      <w:r>
        <w:t>Taraira</w:t>
      </w:r>
      <w:proofErr w:type="spellEnd"/>
      <w:r>
        <w:rPr>
          <w:spacing w:val="-4"/>
        </w:rPr>
        <w:t xml:space="preserve"> </w:t>
      </w:r>
      <w:r>
        <w:t>tuvo</w:t>
      </w:r>
      <w:r>
        <w:rPr>
          <w:spacing w:val="-6"/>
        </w:rPr>
        <w:t xml:space="preserve"> </w:t>
      </w:r>
      <w:r>
        <w:t>un</w:t>
      </w:r>
      <w:r>
        <w:rPr>
          <w:spacing w:val="-6"/>
        </w:rPr>
        <w:t xml:space="preserve"> </w:t>
      </w:r>
      <w:r>
        <w:t>énfasis</w:t>
      </w:r>
      <w:r>
        <w:rPr>
          <w:spacing w:val="-5"/>
        </w:rPr>
        <w:t xml:space="preserve"> </w:t>
      </w:r>
      <w:r>
        <w:t>económico</w:t>
      </w:r>
      <w:r>
        <w:rPr>
          <w:spacing w:val="-6"/>
        </w:rPr>
        <w:t xml:space="preserve"> </w:t>
      </w:r>
      <w:r>
        <w:t>con</w:t>
      </w:r>
      <w:r>
        <w:rPr>
          <w:spacing w:val="-6"/>
        </w:rPr>
        <w:t xml:space="preserve"> </w:t>
      </w:r>
      <w:r>
        <w:t>el</w:t>
      </w:r>
      <w:r>
        <w:rPr>
          <w:spacing w:val="-4"/>
        </w:rPr>
        <w:t xml:space="preserve"> </w:t>
      </w:r>
      <w:r>
        <w:t>establecimiento del impuesto que se efectuaba en oro, de acuerdo con la producción general. Un poblador señaló:</w:t>
      </w:r>
      <w:r>
        <w:rPr>
          <w:spacing w:val="-15"/>
        </w:rPr>
        <w:t xml:space="preserve"> </w:t>
      </w:r>
      <w:r>
        <w:t>«Ellos</w:t>
      </w:r>
      <w:r>
        <w:rPr>
          <w:spacing w:val="-13"/>
        </w:rPr>
        <w:t xml:space="preserve"> </w:t>
      </w:r>
      <w:r>
        <w:t>tenían</w:t>
      </w:r>
      <w:r>
        <w:rPr>
          <w:spacing w:val="-3"/>
        </w:rPr>
        <w:t xml:space="preserve"> </w:t>
      </w:r>
      <w:r>
        <w:t>creo</w:t>
      </w:r>
      <w:r>
        <w:rPr>
          <w:spacing w:val="-15"/>
        </w:rPr>
        <w:t xml:space="preserve"> </w:t>
      </w:r>
      <w:r>
        <w:t>que</w:t>
      </w:r>
      <w:r>
        <w:rPr>
          <w:spacing w:val="-15"/>
        </w:rPr>
        <w:t xml:space="preserve"> </w:t>
      </w:r>
      <w:r>
        <w:t>un</w:t>
      </w:r>
      <w:r>
        <w:rPr>
          <w:spacing w:val="-15"/>
        </w:rPr>
        <w:t xml:space="preserve"> </w:t>
      </w:r>
      <w:r>
        <w:t>tope,</w:t>
      </w:r>
      <w:r>
        <w:rPr>
          <w:spacing w:val="-15"/>
        </w:rPr>
        <w:t xml:space="preserve"> </w:t>
      </w:r>
      <w:r>
        <w:t>creo</w:t>
      </w:r>
      <w:r>
        <w:rPr>
          <w:spacing w:val="-15"/>
        </w:rPr>
        <w:t xml:space="preserve"> </w:t>
      </w:r>
      <w:r>
        <w:t>que</w:t>
      </w:r>
      <w:r>
        <w:rPr>
          <w:spacing w:val="-15"/>
        </w:rPr>
        <w:t xml:space="preserve"> </w:t>
      </w:r>
      <w:r>
        <w:t>era</w:t>
      </w:r>
      <w:r>
        <w:rPr>
          <w:spacing w:val="-15"/>
        </w:rPr>
        <w:t xml:space="preserve"> </w:t>
      </w:r>
      <w:r>
        <w:t>por</w:t>
      </w:r>
      <w:r>
        <w:rPr>
          <w:spacing w:val="-15"/>
        </w:rPr>
        <w:t xml:space="preserve"> </w:t>
      </w:r>
      <w:r>
        <w:t>cada</w:t>
      </w:r>
      <w:r>
        <w:rPr>
          <w:spacing w:val="-15"/>
        </w:rPr>
        <w:t xml:space="preserve"> </w:t>
      </w:r>
      <w:r>
        <w:t>minero</w:t>
      </w:r>
      <w:r>
        <w:rPr>
          <w:spacing w:val="-15"/>
        </w:rPr>
        <w:t xml:space="preserve"> </w:t>
      </w:r>
      <w:r>
        <w:t>que</w:t>
      </w:r>
      <w:r>
        <w:rPr>
          <w:spacing w:val="-4"/>
        </w:rPr>
        <w:t xml:space="preserve"> </w:t>
      </w:r>
      <w:r>
        <w:t>había,</w:t>
      </w:r>
      <w:r>
        <w:rPr>
          <w:spacing w:val="-15"/>
        </w:rPr>
        <w:t xml:space="preserve"> </w:t>
      </w:r>
      <w:r>
        <w:t>que</w:t>
      </w:r>
      <w:r>
        <w:rPr>
          <w:spacing w:val="-15"/>
        </w:rPr>
        <w:t xml:space="preserve"> </w:t>
      </w:r>
      <w:r>
        <w:t>trabajaba, cobraban como 40 o 50 gramos de oro</w:t>
      </w:r>
      <w:r>
        <w:rPr>
          <w:spacing w:val="-2"/>
        </w:rPr>
        <w:t xml:space="preserve"> </w:t>
      </w:r>
      <w:r>
        <w:t>mensual, y habíamos más de 500 mineros, claro, era muchos mineros»</w:t>
      </w:r>
      <w:r w:rsidR="00DA060F">
        <w:rPr>
          <w:rStyle w:val="Refdenotaalpie"/>
        </w:rPr>
        <w:footnoteReference w:id="242"/>
      </w:r>
      <w:r>
        <w:t>.</w:t>
      </w:r>
    </w:p>
    <w:p w:rsidR="003804AC" w:rsidRDefault="00AF18A5" w:rsidP="00DA060F">
      <w:r>
        <w:t>Desde</w:t>
      </w:r>
      <w:r>
        <w:rPr>
          <w:spacing w:val="-9"/>
        </w:rPr>
        <w:t xml:space="preserve"> </w:t>
      </w:r>
      <w:r>
        <w:t>el</w:t>
      </w:r>
      <w:r>
        <w:rPr>
          <w:spacing w:val="-10"/>
        </w:rPr>
        <w:t xml:space="preserve"> </w:t>
      </w:r>
      <w:r>
        <w:t>comienzo</w:t>
      </w:r>
      <w:r>
        <w:rPr>
          <w:spacing w:val="-11"/>
        </w:rPr>
        <w:t xml:space="preserve"> </w:t>
      </w:r>
      <w:r>
        <w:t>la</w:t>
      </w:r>
      <w:r>
        <w:rPr>
          <w:spacing w:val="-10"/>
        </w:rPr>
        <w:t xml:space="preserve"> </w:t>
      </w:r>
      <w:r>
        <w:t>guerrilla</w:t>
      </w:r>
      <w:r>
        <w:rPr>
          <w:spacing w:val="-9"/>
        </w:rPr>
        <w:t xml:space="preserve"> </w:t>
      </w:r>
      <w:r>
        <w:t>trató</w:t>
      </w:r>
      <w:r>
        <w:rPr>
          <w:spacing w:val="-11"/>
        </w:rPr>
        <w:t xml:space="preserve"> </w:t>
      </w:r>
      <w:r>
        <w:t>de</w:t>
      </w:r>
      <w:r>
        <w:rPr>
          <w:spacing w:val="-9"/>
        </w:rPr>
        <w:t xml:space="preserve"> </w:t>
      </w:r>
      <w:r>
        <w:t>imponer</w:t>
      </w:r>
      <w:r>
        <w:rPr>
          <w:spacing w:val="-10"/>
        </w:rPr>
        <w:t xml:space="preserve"> </w:t>
      </w:r>
      <w:r>
        <w:t>las</w:t>
      </w:r>
      <w:r>
        <w:rPr>
          <w:spacing w:val="-9"/>
        </w:rPr>
        <w:t xml:space="preserve"> </w:t>
      </w:r>
      <w:r>
        <w:t>normas</w:t>
      </w:r>
      <w:r>
        <w:rPr>
          <w:spacing w:val="-9"/>
        </w:rPr>
        <w:t xml:space="preserve"> </w:t>
      </w:r>
      <w:r>
        <w:t>de</w:t>
      </w:r>
      <w:r>
        <w:rPr>
          <w:spacing w:val="-9"/>
        </w:rPr>
        <w:t xml:space="preserve"> </w:t>
      </w:r>
      <w:r>
        <w:t>convivencia,</w:t>
      </w:r>
      <w:r>
        <w:rPr>
          <w:spacing w:val="-9"/>
        </w:rPr>
        <w:t xml:space="preserve"> </w:t>
      </w:r>
      <w:r>
        <w:t>ya</w:t>
      </w:r>
      <w:r>
        <w:rPr>
          <w:spacing w:val="-9"/>
        </w:rPr>
        <w:t xml:space="preserve"> </w:t>
      </w:r>
      <w:r>
        <w:t>que</w:t>
      </w:r>
      <w:r>
        <w:rPr>
          <w:spacing w:val="-10"/>
        </w:rPr>
        <w:t xml:space="preserve"> </w:t>
      </w:r>
      <w:r>
        <w:t>la</w:t>
      </w:r>
      <w:r>
        <w:rPr>
          <w:spacing w:val="-10"/>
        </w:rPr>
        <w:t xml:space="preserve"> </w:t>
      </w:r>
      <w:r>
        <w:t>falta de orden y control característica de las zonas de colonización que escapan a la regulación estatal, implicaba que los conflictos fueran resueltos de forma violenta: «Todos llegaban armados,</w:t>
      </w:r>
      <w:r>
        <w:rPr>
          <w:spacing w:val="-3"/>
        </w:rPr>
        <w:t xml:space="preserve"> </w:t>
      </w:r>
      <w:r>
        <w:t>pero</w:t>
      </w:r>
      <w:r>
        <w:rPr>
          <w:spacing w:val="-2"/>
        </w:rPr>
        <w:t xml:space="preserve"> </w:t>
      </w:r>
      <w:r>
        <w:t>esto</w:t>
      </w:r>
      <w:r>
        <w:rPr>
          <w:spacing w:val="-3"/>
        </w:rPr>
        <w:t xml:space="preserve"> </w:t>
      </w:r>
      <w:r>
        <w:t>lo</w:t>
      </w:r>
      <w:r>
        <w:rPr>
          <w:spacing w:val="-3"/>
        </w:rPr>
        <w:t xml:space="preserve"> </w:t>
      </w:r>
      <w:r>
        <w:t>controla</w:t>
      </w:r>
      <w:r>
        <w:rPr>
          <w:spacing w:val="-2"/>
        </w:rPr>
        <w:t xml:space="preserve"> </w:t>
      </w:r>
      <w:r>
        <w:t>rápidamente</w:t>
      </w:r>
      <w:r>
        <w:rPr>
          <w:spacing w:val="-3"/>
        </w:rPr>
        <w:t xml:space="preserve"> </w:t>
      </w:r>
      <w:r>
        <w:t>las</w:t>
      </w:r>
      <w:r>
        <w:rPr>
          <w:spacing w:val="-3"/>
        </w:rPr>
        <w:t xml:space="preserve"> </w:t>
      </w:r>
      <w:r>
        <w:t>FARC,</w:t>
      </w:r>
      <w:r>
        <w:rPr>
          <w:spacing w:val="-2"/>
        </w:rPr>
        <w:t xml:space="preserve"> </w:t>
      </w:r>
      <w:r>
        <w:t>que</w:t>
      </w:r>
      <w:r>
        <w:rPr>
          <w:spacing w:val="-2"/>
        </w:rPr>
        <w:t xml:space="preserve"> </w:t>
      </w:r>
      <w:r>
        <w:t>les</w:t>
      </w:r>
      <w:r>
        <w:rPr>
          <w:spacing w:val="-2"/>
        </w:rPr>
        <w:t xml:space="preserve"> </w:t>
      </w:r>
      <w:r>
        <w:t>quita</w:t>
      </w:r>
      <w:r>
        <w:rPr>
          <w:spacing w:val="-3"/>
        </w:rPr>
        <w:t xml:space="preserve"> </w:t>
      </w:r>
      <w:r>
        <w:t>las</w:t>
      </w:r>
      <w:r>
        <w:rPr>
          <w:spacing w:val="-2"/>
        </w:rPr>
        <w:t xml:space="preserve"> </w:t>
      </w:r>
      <w:r>
        <w:t>armas</w:t>
      </w:r>
      <w:r>
        <w:rPr>
          <w:spacing w:val="-2"/>
        </w:rPr>
        <w:t xml:space="preserve"> </w:t>
      </w:r>
      <w:r>
        <w:t>y</w:t>
      </w:r>
      <w:r>
        <w:rPr>
          <w:spacing w:val="-3"/>
        </w:rPr>
        <w:t xml:space="preserve"> </w:t>
      </w:r>
      <w:r>
        <w:t>monopoliza el uso de las armas»</w:t>
      </w:r>
      <w:r w:rsidR="00DA060F">
        <w:rPr>
          <w:rStyle w:val="Refdenotaalpie"/>
        </w:rPr>
        <w:footnoteReference w:id="243"/>
      </w:r>
      <w:r>
        <w:t>. Las normas incluían la prohibición de peleas, robos, consumo de drogas,</w:t>
      </w:r>
      <w:r>
        <w:rPr>
          <w:spacing w:val="-6"/>
        </w:rPr>
        <w:t xml:space="preserve"> </w:t>
      </w:r>
      <w:r>
        <w:t>estafas.</w:t>
      </w:r>
      <w:r>
        <w:rPr>
          <w:spacing w:val="-6"/>
        </w:rPr>
        <w:t xml:space="preserve"> </w:t>
      </w:r>
      <w:r>
        <w:t>Esto</w:t>
      </w:r>
      <w:r>
        <w:rPr>
          <w:spacing w:val="-6"/>
        </w:rPr>
        <w:t xml:space="preserve"> </w:t>
      </w:r>
      <w:r>
        <w:t>daba</w:t>
      </w:r>
      <w:r>
        <w:rPr>
          <w:spacing w:val="-6"/>
        </w:rPr>
        <w:t xml:space="preserve"> </w:t>
      </w:r>
      <w:r>
        <w:t>sensación</w:t>
      </w:r>
      <w:r>
        <w:rPr>
          <w:spacing w:val="-7"/>
        </w:rPr>
        <w:t xml:space="preserve"> </w:t>
      </w:r>
      <w:r>
        <w:t>de</w:t>
      </w:r>
      <w:r>
        <w:rPr>
          <w:spacing w:val="-6"/>
        </w:rPr>
        <w:t xml:space="preserve"> </w:t>
      </w:r>
      <w:r>
        <w:t>seguridad</w:t>
      </w:r>
      <w:r>
        <w:rPr>
          <w:spacing w:val="-7"/>
        </w:rPr>
        <w:t xml:space="preserve"> </w:t>
      </w:r>
      <w:r>
        <w:t>a</w:t>
      </w:r>
      <w:r>
        <w:rPr>
          <w:spacing w:val="-6"/>
        </w:rPr>
        <w:t xml:space="preserve"> </w:t>
      </w:r>
      <w:r>
        <w:t>la</w:t>
      </w:r>
      <w:r>
        <w:rPr>
          <w:spacing w:val="-6"/>
        </w:rPr>
        <w:t xml:space="preserve"> </w:t>
      </w:r>
      <w:r>
        <w:t>población,</w:t>
      </w:r>
      <w:r>
        <w:rPr>
          <w:spacing w:val="-6"/>
        </w:rPr>
        <w:t xml:space="preserve"> </w:t>
      </w:r>
      <w:r>
        <w:t>por</w:t>
      </w:r>
      <w:r>
        <w:rPr>
          <w:spacing w:val="-6"/>
        </w:rPr>
        <w:t xml:space="preserve"> </w:t>
      </w:r>
      <w:r>
        <w:t>eso</w:t>
      </w:r>
      <w:r>
        <w:rPr>
          <w:spacing w:val="-7"/>
        </w:rPr>
        <w:t xml:space="preserve"> </w:t>
      </w:r>
      <w:r>
        <w:t>había</w:t>
      </w:r>
      <w:r>
        <w:rPr>
          <w:spacing w:val="-6"/>
        </w:rPr>
        <w:t xml:space="preserve"> </w:t>
      </w:r>
      <w:r>
        <w:t>un</w:t>
      </w:r>
      <w:r>
        <w:rPr>
          <w:spacing w:val="-6"/>
        </w:rPr>
        <w:t xml:space="preserve"> </w:t>
      </w:r>
      <w:r>
        <w:t>sentido</w:t>
      </w:r>
      <w:r>
        <w:rPr>
          <w:spacing w:val="-6"/>
        </w:rPr>
        <w:t xml:space="preserve"> </w:t>
      </w:r>
      <w:r>
        <w:t xml:space="preserve">de agradecimiento hacia la guerrilla: «Sí, ellos tenían el orden, ellos nos protegían… hacían también reuniones de nada de robo, nada de estar robando a nadie, porque el que </w:t>
      </w:r>
      <w:r>
        <w:rPr>
          <w:spacing w:val="-2"/>
        </w:rPr>
        <w:t>robaba…»</w:t>
      </w:r>
      <w:r w:rsidR="00DA060F">
        <w:rPr>
          <w:rStyle w:val="Refdenotaalpie"/>
          <w:spacing w:val="-2"/>
        </w:rPr>
        <w:footnoteReference w:id="244"/>
      </w:r>
      <w:r>
        <w:rPr>
          <w:spacing w:val="-2"/>
        </w:rPr>
        <w:t>.</w:t>
      </w:r>
    </w:p>
    <w:p w:rsidR="003804AC" w:rsidRDefault="00AF18A5" w:rsidP="00DA060F">
      <w:r>
        <w:lastRenderedPageBreak/>
        <w:t>La</w:t>
      </w:r>
      <w:r>
        <w:rPr>
          <w:spacing w:val="-9"/>
        </w:rPr>
        <w:t xml:space="preserve"> </w:t>
      </w:r>
      <w:r>
        <w:t>situación</w:t>
      </w:r>
      <w:r>
        <w:rPr>
          <w:spacing w:val="-12"/>
        </w:rPr>
        <w:t xml:space="preserve"> </w:t>
      </w:r>
      <w:r>
        <w:t>cambió</w:t>
      </w:r>
      <w:r>
        <w:rPr>
          <w:spacing w:val="-11"/>
        </w:rPr>
        <w:t xml:space="preserve"> </w:t>
      </w:r>
      <w:r>
        <w:t>hacia</w:t>
      </w:r>
      <w:r>
        <w:rPr>
          <w:spacing w:val="-9"/>
        </w:rPr>
        <w:t xml:space="preserve"> </w:t>
      </w:r>
      <w:r>
        <w:t>2002,</w:t>
      </w:r>
      <w:r>
        <w:rPr>
          <w:spacing w:val="-9"/>
        </w:rPr>
        <w:t xml:space="preserve"> </w:t>
      </w:r>
      <w:r>
        <w:t>cuando</w:t>
      </w:r>
      <w:r>
        <w:rPr>
          <w:spacing w:val="-9"/>
        </w:rPr>
        <w:t xml:space="preserve"> </w:t>
      </w:r>
      <w:r>
        <w:t>las</w:t>
      </w:r>
      <w:r>
        <w:rPr>
          <w:spacing w:val="-10"/>
        </w:rPr>
        <w:t xml:space="preserve"> </w:t>
      </w:r>
      <w:r>
        <w:t>FARC-EP</w:t>
      </w:r>
      <w:r>
        <w:rPr>
          <w:spacing w:val="-10"/>
        </w:rPr>
        <w:t xml:space="preserve"> </w:t>
      </w:r>
      <w:r>
        <w:t>impusieron</w:t>
      </w:r>
      <w:r>
        <w:rPr>
          <w:spacing w:val="-10"/>
        </w:rPr>
        <w:t xml:space="preserve"> </w:t>
      </w:r>
      <w:r>
        <w:t>un</w:t>
      </w:r>
      <w:r>
        <w:rPr>
          <w:spacing w:val="-11"/>
        </w:rPr>
        <w:t xml:space="preserve"> </w:t>
      </w:r>
      <w:r>
        <w:t>tipo</w:t>
      </w:r>
      <w:r>
        <w:rPr>
          <w:spacing w:val="-12"/>
        </w:rPr>
        <w:t xml:space="preserve"> </w:t>
      </w:r>
      <w:r>
        <w:t>de</w:t>
      </w:r>
      <w:r>
        <w:rPr>
          <w:spacing w:val="-9"/>
        </w:rPr>
        <w:t xml:space="preserve"> </w:t>
      </w:r>
      <w:r>
        <w:t>relación</w:t>
      </w:r>
      <w:r>
        <w:rPr>
          <w:spacing w:val="-9"/>
        </w:rPr>
        <w:t xml:space="preserve"> </w:t>
      </w:r>
      <w:r>
        <w:t>con la</w:t>
      </w:r>
      <w:r>
        <w:rPr>
          <w:spacing w:val="-15"/>
        </w:rPr>
        <w:t xml:space="preserve"> </w:t>
      </w:r>
      <w:r>
        <w:t>administración</w:t>
      </w:r>
      <w:r>
        <w:rPr>
          <w:spacing w:val="-13"/>
        </w:rPr>
        <w:t xml:space="preserve"> </w:t>
      </w:r>
      <w:r>
        <w:t>municipal</w:t>
      </w:r>
      <w:r>
        <w:rPr>
          <w:spacing w:val="-13"/>
        </w:rPr>
        <w:t xml:space="preserve"> </w:t>
      </w:r>
      <w:r>
        <w:t>a</w:t>
      </w:r>
      <w:r>
        <w:rPr>
          <w:spacing w:val="-13"/>
        </w:rPr>
        <w:t xml:space="preserve"> </w:t>
      </w:r>
      <w:r>
        <w:t>través</w:t>
      </w:r>
      <w:r>
        <w:rPr>
          <w:spacing w:val="-13"/>
        </w:rPr>
        <w:t xml:space="preserve"> </w:t>
      </w:r>
      <w:r>
        <w:t>de</w:t>
      </w:r>
      <w:r>
        <w:rPr>
          <w:spacing w:val="-13"/>
        </w:rPr>
        <w:t xml:space="preserve"> </w:t>
      </w:r>
      <w:r>
        <w:t>la</w:t>
      </w:r>
      <w:r>
        <w:rPr>
          <w:spacing w:val="-13"/>
        </w:rPr>
        <w:t xml:space="preserve"> </w:t>
      </w:r>
      <w:r>
        <w:t>cual</w:t>
      </w:r>
      <w:r>
        <w:rPr>
          <w:spacing w:val="-12"/>
        </w:rPr>
        <w:t xml:space="preserve"> </w:t>
      </w:r>
      <w:r>
        <w:t>se</w:t>
      </w:r>
      <w:r>
        <w:rPr>
          <w:spacing w:val="-13"/>
        </w:rPr>
        <w:t xml:space="preserve"> </w:t>
      </w:r>
      <w:r>
        <w:t>apropiaban</w:t>
      </w:r>
      <w:r>
        <w:rPr>
          <w:spacing w:val="-13"/>
        </w:rPr>
        <w:t xml:space="preserve"> </w:t>
      </w:r>
      <w:r>
        <w:t>de</w:t>
      </w:r>
      <w:r>
        <w:rPr>
          <w:spacing w:val="-13"/>
        </w:rPr>
        <w:t xml:space="preserve"> </w:t>
      </w:r>
      <w:r>
        <w:t>manera</w:t>
      </w:r>
      <w:r>
        <w:rPr>
          <w:spacing w:val="-13"/>
        </w:rPr>
        <w:t xml:space="preserve"> </w:t>
      </w:r>
      <w:r>
        <w:t>ilegal,</w:t>
      </w:r>
      <w:r>
        <w:rPr>
          <w:spacing w:val="-13"/>
        </w:rPr>
        <w:t xml:space="preserve"> </w:t>
      </w:r>
      <w:r>
        <w:t>de</w:t>
      </w:r>
      <w:r>
        <w:rPr>
          <w:spacing w:val="-13"/>
        </w:rPr>
        <w:t xml:space="preserve"> </w:t>
      </w:r>
      <w:r>
        <w:t>buena</w:t>
      </w:r>
      <w:r>
        <w:rPr>
          <w:spacing w:val="-12"/>
        </w:rPr>
        <w:t xml:space="preserve"> </w:t>
      </w:r>
      <w:r>
        <w:rPr>
          <w:spacing w:val="-2"/>
        </w:rPr>
        <w:t>parte</w:t>
      </w:r>
      <w:bookmarkStart w:id="375" w:name="_bookmark282"/>
      <w:bookmarkStart w:id="376" w:name="_bookmark283"/>
      <w:bookmarkStart w:id="377" w:name="_bookmark284"/>
      <w:bookmarkEnd w:id="375"/>
      <w:bookmarkEnd w:id="376"/>
      <w:bookmarkEnd w:id="377"/>
      <w:r w:rsidR="00DA060F">
        <w:t xml:space="preserve"> </w:t>
      </w:r>
      <w:r>
        <w:t>del presupuesto. Según una entrevista colectiva realizada por la Comisión de la Verdad, la guerrilla obligaba al alcalde a darle contratos y ponía a trabajar a los pobladores en la construcción de obras civiles como canchas, adecuaciones de la pista, puentes, pero se quedaba con el dinero asignado por la alcaldía para el pago a los trabajadores</w:t>
      </w:r>
      <w:r w:rsidR="00DA060F">
        <w:rPr>
          <w:rStyle w:val="Refdenotaalpie"/>
        </w:rPr>
        <w:footnoteReference w:id="245"/>
      </w:r>
      <w:r>
        <w:t>. Más grave aún, entre 2002 y 2003, la guerrilla impidió que los concejales pudieran aspirar a las elecciones</w:t>
      </w:r>
      <w:r>
        <w:rPr>
          <w:spacing w:val="-3"/>
        </w:rPr>
        <w:t xml:space="preserve"> </w:t>
      </w:r>
      <w:r>
        <w:t>y</w:t>
      </w:r>
      <w:r>
        <w:rPr>
          <w:spacing w:val="-5"/>
        </w:rPr>
        <w:t xml:space="preserve"> </w:t>
      </w:r>
      <w:r>
        <w:t>expulsaron</w:t>
      </w:r>
      <w:r>
        <w:rPr>
          <w:spacing w:val="-5"/>
        </w:rPr>
        <w:t xml:space="preserve"> </w:t>
      </w:r>
      <w:r>
        <w:t>a</w:t>
      </w:r>
      <w:r>
        <w:rPr>
          <w:spacing w:val="-3"/>
        </w:rPr>
        <w:t xml:space="preserve"> </w:t>
      </w:r>
      <w:r>
        <w:t>los</w:t>
      </w:r>
      <w:r>
        <w:rPr>
          <w:spacing w:val="-3"/>
        </w:rPr>
        <w:t xml:space="preserve"> </w:t>
      </w:r>
      <w:r>
        <w:t>funcionarios</w:t>
      </w:r>
      <w:r>
        <w:rPr>
          <w:spacing w:val="-3"/>
        </w:rPr>
        <w:t xml:space="preserve"> </w:t>
      </w:r>
      <w:r>
        <w:t>del</w:t>
      </w:r>
      <w:r>
        <w:rPr>
          <w:spacing w:val="-3"/>
        </w:rPr>
        <w:t xml:space="preserve"> </w:t>
      </w:r>
      <w:r>
        <w:t>gobierno</w:t>
      </w:r>
      <w:r>
        <w:rPr>
          <w:spacing w:val="-3"/>
        </w:rPr>
        <w:t xml:space="preserve"> </w:t>
      </w:r>
      <w:r>
        <w:t>municipal</w:t>
      </w:r>
      <w:r>
        <w:rPr>
          <w:spacing w:val="-3"/>
        </w:rPr>
        <w:t xml:space="preserve"> </w:t>
      </w:r>
      <w:r>
        <w:t>y</w:t>
      </w:r>
      <w:r>
        <w:rPr>
          <w:spacing w:val="-3"/>
        </w:rPr>
        <w:t xml:space="preserve"> </w:t>
      </w:r>
      <w:r>
        <w:t>quemaron</w:t>
      </w:r>
      <w:r>
        <w:rPr>
          <w:spacing w:val="-3"/>
        </w:rPr>
        <w:t xml:space="preserve"> </w:t>
      </w:r>
      <w:r>
        <w:t>las</w:t>
      </w:r>
      <w:r>
        <w:rPr>
          <w:spacing w:val="-3"/>
        </w:rPr>
        <w:t xml:space="preserve"> </w:t>
      </w:r>
      <w:r>
        <w:t>urnas.</w:t>
      </w:r>
      <w:r>
        <w:rPr>
          <w:spacing w:val="-3"/>
        </w:rPr>
        <w:t xml:space="preserve"> </w:t>
      </w:r>
      <w:r>
        <w:t xml:space="preserve">En </w:t>
      </w:r>
      <w:proofErr w:type="spellStart"/>
      <w:r>
        <w:t>Taraira</w:t>
      </w:r>
      <w:proofErr w:type="spellEnd"/>
      <w:r>
        <w:t xml:space="preserve"> fue clara la transformación del orden guerrillero: durante la primera etapa, la autoridad guerrillera tenía legitimidad entre la población por su aporte a la seguridad y la reducción de la violencia; pero en la segunda etapa hubo comportamientos autoritarios rechazados, como la imposición de trabajo sin remuneración en obras civiles y, posteriormente, agresiones contra algunos pobladores y la restricción de las actividades </w:t>
      </w:r>
      <w:r>
        <w:rPr>
          <w:spacing w:val="-2"/>
        </w:rPr>
        <w:t>políticas.</w:t>
      </w:r>
    </w:p>
    <w:p w:rsidR="0011361F" w:rsidRDefault="00AF18A5" w:rsidP="00DA060F">
      <w:pPr>
        <w:pStyle w:val="Ttulo5"/>
      </w:pPr>
      <w:r>
        <w:t>Orden</w:t>
      </w:r>
      <w:r>
        <w:rPr>
          <w:spacing w:val="-2"/>
        </w:rPr>
        <w:t xml:space="preserve"> </w:t>
      </w:r>
      <w:r>
        <w:t>violento</w:t>
      </w:r>
      <w:r>
        <w:rPr>
          <w:spacing w:val="-1"/>
        </w:rPr>
        <w:t xml:space="preserve"> </w:t>
      </w:r>
      <w:r>
        <w:t>en</w:t>
      </w:r>
      <w:r>
        <w:rPr>
          <w:spacing w:val="-2"/>
        </w:rPr>
        <w:t xml:space="preserve"> </w:t>
      </w:r>
      <w:r>
        <w:t>la</w:t>
      </w:r>
      <w:r>
        <w:rPr>
          <w:spacing w:val="-1"/>
        </w:rPr>
        <w:t xml:space="preserve"> </w:t>
      </w:r>
      <w:r>
        <w:t>zona</w:t>
      </w:r>
      <w:r>
        <w:rPr>
          <w:spacing w:val="-1"/>
        </w:rPr>
        <w:t xml:space="preserve"> </w:t>
      </w:r>
      <w:r>
        <w:t>de</w:t>
      </w:r>
      <w:r>
        <w:rPr>
          <w:spacing w:val="-1"/>
        </w:rPr>
        <w:t xml:space="preserve"> </w:t>
      </w:r>
      <w:r>
        <w:t>despeje</w:t>
      </w:r>
      <w:r>
        <w:rPr>
          <w:spacing w:val="-1"/>
        </w:rPr>
        <w:t xml:space="preserve"> </w:t>
      </w:r>
      <w:r>
        <w:t xml:space="preserve">del </w:t>
      </w:r>
      <w:r>
        <w:rPr>
          <w:spacing w:val="-2"/>
        </w:rPr>
        <w:t>Caguán</w:t>
      </w:r>
    </w:p>
    <w:p w:rsidR="003804AC" w:rsidRDefault="00AF18A5" w:rsidP="00467929">
      <w:r>
        <w:t>Los</w:t>
      </w:r>
      <w:r>
        <w:rPr>
          <w:spacing w:val="-15"/>
        </w:rPr>
        <w:t xml:space="preserve"> </w:t>
      </w:r>
      <w:r>
        <w:t>diálogos</w:t>
      </w:r>
      <w:r>
        <w:rPr>
          <w:spacing w:val="-15"/>
        </w:rPr>
        <w:t xml:space="preserve"> </w:t>
      </w:r>
      <w:r>
        <w:t>del</w:t>
      </w:r>
      <w:r>
        <w:rPr>
          <w:spacing w:val="-15"/>
        </w:rPr>
        <w:t xml:space="preserve"> </w:t>
      </w:r>
      <w:r>
        <w:t>Caguán</w:t>
      </w:r>
      <w:r>
        <w:rPr>
          <w:spacing w:val="-15"/>
        </w:rPr>
        <w:t xml:space="preserve"> </w:t>
      </w:r>
      <w:r>
        <w:t>terminaron</w:t>
      </w:r>
      <w:r>
        <w:rPr>
          <w:spacing w:val="-15"/>
        </w:rPr>
        <w:t xml:space="preserve"> </w:t>
      </w:r>
      <w:r>
        <w:t>por</w:t>
      </w:r>
      <w:r>
        <w:rPr>
          <w:spacing w:val="-15"/>
        </w:rPr>
        <w:t xml:space="preserve"> </w:t>
      </w:r>
      <w:r>
        <w:t>imponer</w:t>
      </w:r>
      <w:r>
        <w:rPr>
          <w:spacing w:val="-15"/>
        </w:rPr>
        <w:t xml:space="preserve"> </w:t>
      </w:r>
      <w:r>
        <w:t>drásticos</w:t>
      </w:r>
      <w:r>
        <w:rPr>
          <w:spacing w:val="-15"/>
        </w:rPr>
        <w:t xml:space="preserve"> </w:t>
      </w:r>
      <w:r>
        <w:t>cambios</w:t>
      </w:r>
      <w:r>
        <w:rPr>
          <w:spacing w:val="-15"/>
        </w:rPr>
        <w:t xml:space="preserve"> </w:t>
      </w:r>
      <w:r>
        <w:t>en</w:t>
      </w:r>
      <w:r>
        <w:rPr>
          <w:spacing w:val="-15"/>
        </w:rPr>
        <w:t xml:space="preserve"> </w:t>
      </w:r>
      <w:r>
        <w:t>la</w:t>
      </w:r>
      <w:r>
        <w:rPr>
          <w:spacing w:val="-15"/>
        </w:rPr>
        <w:t xml:space="preserve"> </w:t>
      </w:r>
      <w:r>
        <w:t>presencia</w:t>
      </w:r>
      <w:r>
        <w:rPr>
          <w:spacing w:val="-15"/>
        </w:rPr>
        <w:t xml:space="preserve"> </w:t>
      </w:r>
      <w:r>
        <w:t>y</w:t>
      </w:r>
      <w:r>
        <w:rPr>
          <w:spacing w:val="-15"/>
        </w:rPr>
        <w:t xml:space="preserve"> </w:t>
      </w:r>
      <w:r>
        <w:t>relación de las FARC-EP con la población y los territorios. La creación de la zona de despeje –San Vicente</w:t>
      </w:r>
      <w:r>
        <w:rPr>
          <w:spacing w:val="-5"/>
        </w:rPr>
        <w:t xml:space="preserve"> </w:t>
      </w:r>
      <w:r>
        <w:t>del</w:t>
      </w:r>
      <w:r>
        <w:rPr>
          <w:spacing w:val="-6"/>
        </w:rPr>
        <w:t xml:space="preserve"> </w:t>
      </w:r>
      <w:r>
        <w:t>Caguán</w:t>
      </w:r>
      <w:r>
        <w:rPr>
          <w:spacing w:val="-5"/>
        </w:rPr>
        <w:t xml:space="preserve"> </w:t>
      </w:r>
      <w:r>
        <w:t>en</w:t>
      </w:r>
      <w:r>
        <w:rPr>
          <w:spacing w:val="-5"/>
        </w:rPr>
        <w:t xml:space="preserve"> </w:t>
      </w:r>
      <w:r>
        <w:t>Caquetá,</w:t>
      </w:r>
      <w:r>
        <w:rPr>
          <w:spacing w:val="-5"/>
        </w:rPr>
        <w:t xml:space="preserve"> </w:t>
      </w:r>
      <w:r>
        <w:t>y</w:t>
      </w:r>
      <w:r>
        <w:rPr>
          <w:spacing w:val="-6"/>
        </w:rPr>
        <w:t xml:space="preserve"> </w:t>
      </w:r>
      <w:r>
        <w:t>La</w:t>
      </w:r>
      <w:r>
        <w:rPr>
          <w:spacing w:val="-5"/>
        </w:rPr>
        <w:t xml:space="preserve"> </w:t>
      </w:r>
      <w:r>
        <w:t>Uribe,</w:t>
      </w:r>
      <w:r>
        <w:rPr>
          <w:spacing w:val="-5"/>
        </w:rPr>
        <w:t xml:space="preserve"> </w:t>
      </w:r>
      <w:r>
        <w:t>Mesetas,</w:t>
      </w:r>
      <w:r>
        <w:rPr>
          <w:spacing w:val="-5"/>
        </w:rPr>
        <w:t xml:space="preserve"> </w:t>
      </w:r>
      <w:r>
        <w:t>La</w:t>
      </w:r>
      <w:r>
        <w:rPr>
          <w:spacing w:val="-6"/>
        </w:rPr>
        <w:t xml:space="preserve"> </w:t>
      </w:r>
      <w:r>
        <w:t>Macarena</w:t>
      </w:r>
      <w:r>
        <w:rPr>
          <w:spacing w:val="-5"/>
        </w:rPr>
        <w:t xml:space="preserve"> </w:t>
      </w:r>
      <w:r>
        <w:t>y</w:t>
      </w:r>
      <w:r>
        <w:rPr>
          <w:spacing w:val="-5"/>
        </w:rPr>
        <w:t xml:space="preserve"> </w:t>
      </w:r>
      <w:r>
        <w:t>Vistahermosa</w:t>
      </w:r>
      <w:r>
        <w:rPr>
          <w:spacing w:val="-6"/>
        </w:rPr>
        <w:t xml:space="preserve"> </w:t>
      </w:r>
      <w:r>
        <w:t>en</w:t>
      </w:r>
      <w:r>
        <w:rPr>
          <w:spacing w:val="-5"/>
        </w:rPr>
        <w:t xml:space="preserve"> </w:t>
      </w:r>
      <w:r>
        <w:t>Meta – en 1998 implicó el retiro de la presencia judicial y militar en los municipios allí ubicados para</w:t>
      </w:r>
      <w:r>
        <w:rPr>
          <w:spacing w:val="-8"/>
        </w:rPr>
        <w:t xml:space="preserve"> </w:t>
      </w:r>
      <w:r>
        <w:t>brindar</w:t>
      </w:r>
      <w:r>
        <w:rPr>
          <w:spacing w:val="-9"/>
        </w:rPr>
        <w:t xml:space="preserve"> </w:t>
      </w:r>
      <w:r>
        <w:t>garantías</w:t>
      </w:r>
      <w:r>
        <w:rPr>
          <w:spacing w:val="-8"/>
        </w:rPr>
        <w:t xml:space="preserve"> </w:t>
      </w:r>
      <w:r>
        <w:t>y</w:t>
      </w:r>
      <w:r>
        <w:rPr>
          <w:spacing w:val="-8"/>
        </w:rPr>
        <w:t xml:space="preserve"> </w:t>
      </w:r>
      <w:r>
        <w:t>condiciones</w:t>
      </w:r>
      <w:r>
        <w:rPr>
          <w:spacing w:val="-8"/>
        </w:rPr>
        <w:t xml:space="preserve"> </w:t>
      </w:r>
      <w:r>
        <w:t>para</w:t>
      </w:r>
      <w:r>
        <w:rPr>
          <w:spacing w:val="-8"/>
        </w:rPr>
        <w:t xml:space="preserve"> </w:t>
      </w:r>
      <w:r>
        <w:t>el</w:t>
      </w:r>
      <w:r>
        <w:rPr>
          <w:spacing w:val="-8"/>
        </w:rPr>
        <w:t xml:space="preserve"> </w:t>
      </w:r>
      <w:r>
        <w:t>diálogo</w:t>
      </w:r>
      <w:r>
        <w:rPr>
          <w:spacing w:val="-8"/>
        </w:rPr>
        <w:t xml:space="preserve"> </w:t>
      </w:r>
      <w:r>
        <w:t>y</w:t>
      </w:r>
      <w:r>
        <w:rPr>
          <w:spacing w:val="-8"/>
        </w:rPr>
        <w:t xml:space="preserve"> </w:t>
      </w:r>
      <w:r>
        <w:t>facilitar</w:t>
      </w:r>
      <w:r>
        <w:rPr>
          <w:spacing w:val="-8"/>
        </w:rPr>
        <w:t xml:space="preserve"> </w:t>
      </w:r>
      <w:r>
        <w:t>la</w:t>
      </w:r>
      <w:r>
        <w:rPr>
          <w:spacing w:val="-8"/>
        </w:rPr>
        <w:t xml:space="preserve"> </w:t>
      </w:r>
      <w:r>
        <w:t>negociación</w:t>
      </w:r>
      <w:r>
        <w:rPr>
          <w:spacing w:val="-8"/>
        </w:rPr>
        <w:t xml:space="preserve"> </w:t>
      </w:r>
      <w:r>
        <w:t>con</w:t>
      </w:r>
      <w:r>
        <w:rPr>
          <w:spacing w:val="-8"/>
        </w:rPr>
        <w:t xml:space="preserve"> </w:t>
      </w:r>
      <w:r>
        <w:t>las</w:t>
      </w:r>
      <w:r>
        <w:rPr>
          <w:spacing w:val="-8"/>
        </w:rPr>
        <w:t xml:space="preserve"> </w:t>
      </w:r>
      <w:r>
        <w:t>FARC- EP.</w:t>
      </w:r>
      <w:r>
        <w:rPr>
          <w:spacing w:val="-7"/>
        </w:rPr>
        <w:t xml:space="preserve"> </w:t>
      </w:r>
      <w:r>
        <w:t>Pero</w:t>
      </w:r>
      <w:r>
        <w:rPr>
          <w:spacing w:val="-7"/>
        </w:rPr>
        <w:t xml:space="preserve"> </w:t>
      </w:r>
      <w:r>
        <w:t>hay</w:t>
      </w:r>
      <w:r>
        <w:rPr>
          <w:spacing w:val="-7"/>
        </w:rPr>
        <w:t xml:space="preserve"> </w:t>
      </w:r>
      <w:r>
        <w:t>que</w:t>
      </w:r>
      <w:r>
        <w:rPr>
          <w:spacing w:val="-8"/>
        </w:rPr>
        <w:t xml:space="preserve"> </w:t>
      </w:r>
      <w:r>
        <w:t>resaltar</w:t>
      </w:r>
      <w:r>
        <w:rPr>
          <w:spacing w:val="-7"/>
        </w:rPr>
        <w:t xml:space="preserve"> </w:t>
      </w:r>
      <w:r>
        <w:t>que,</w:t>
      </w:r>
      <w:r>
        <w:rPr>
          <w:spacing w:val="-8"/>
        </w:rPr>
        <w:t xml:space="preserve"> </w:t>
      </w:r>
      <w:r>
        <w:t>desde</w:t>
      </w:r>
      <w:r>
        <w:rPr>
          <w:spacing w:val="-9"/>
        </w:rPr>
        <w:t xml:space="preserve"> </w:t>
      </w:r>
      <w:r>
        <w:t>antes,</w:t>
      </w:r>
      <w:r>
        <w:rPr>
          <w:spacing w:val="-8"/>
        </w:rPr>
        <w:t xml:space="preserve"> </w:t>
      </w:r>
      <w:r>
        <w:t>la</w:t>
      </w:r>
      <w:r>
        <w:rPr>
          <w:spacing w:val="-8"/>
        </w:rPr>
        <w:t xml:space="preserve"> </w:t>
      </w:r>
      <w:r>
        <w:t>guerrilla</w:t>
      </w:r>
      <w:r>
        <w:rPr>
          <w:spacing w:val="-8"/>
        </w:rPr>
        <w:t xml:space="preserve"> </w:t>
      </w:r>
      <w:r>
        <w:t>era</w:t>
      </w:r>
      <w:r>
        <w:rPr>
          <w:spacing w:val="-7"/>
        </w:rPr>
        <w:t xml:space="preserve"> </w:t>
      </w:r>
      <w:r>
        <w:t>ya</w:t>
      </w:r>
      <w:r>
        <w:rPr>
          <w:spacing w:val="-9"/>
        </w:rPr>
        <w:t xml:space="preserve"> </w:t>
      </w:r>
      <w:r>
        <w:t>parte</w:t>
      </w:r>
      <w:r>
        <w:rPr>
          <w:spacing w:val="-8"/>
        </w:rPr>
        <w:t xml:space="preserve"> </w:t>
      </w:r>
      <w:r>
        <w:t>del</w:t>
      </w:r>
      <w:r>
        <w:rPr>
          <w:spacing w:val="-8"/>
        </w:rPr>
        <w:t xml:space="preserve"> </w:t>
      </w:r>
      <w:r>
        <w:t>paisaje</w:t>
      </w:r>
      <w:r>
        <w:rPr>
          <w:spacing w:val="-8"/>
        </w:rPr>
        <w:t xml:space="preserve"> </w:t>
      </w:r>
      <w:r>
        <w:t>y</w:t>
      </w:r>
      <w:r>
        <w:rPr>
          <w:spacing w:val="-7"/>
        </w:rPr>
        <w:t xml:space="preserve"> </w:t>
      </w:r>
      <w:r>
        <w:t>para</w:t>
      </w:r>
      <w:r>
        <w:rPr>
          <w:spacing w:val="-8"/>
        </w:rPr>
        <w:t xml:space="preserve"> </w:t>
      </w:r>
      <w:r>
        <w:t xml:space="preserve">muchos de los </w:t>
      </w:r>
      <w:proofErr w:type="spellStart"/>
      <w:r>
        <w:t>testimoniantes</w:t>
      </w:r>
      <w:proofErr w:type="spellEnd"/>
      <w:r>
        <w:t xml:space="preserve"> </w:t>
      </w:r>
      <w:r>
        <w:lastRenderedPageBreak/>
        <w:t>ante la Comisión de la Verdad, cuando comenzó el despeje, «ya estábamos despejados»</w:t>
      </w:r>
      <w:r w:rsidR="00467929">
        <w:rPr>
          <w:rStyle w:val="Refdenotaalpie"/>
        </w:rPr>
        <w:footnoteReference w:id="246"/>
      </w:r>
      <w:r>
        <w:t>. Estos municipios eran su retaguardia estratégica, sus territorios liberados y autónomos</w:t>
      </w:r>
      <w:r w:rsidR="00467929">
        <w:rPr>
          <w:rStyle w:val="Refdenotaalpie"/>
        </w:rPr>
        <w:footnoteReference w:id="247"/>
      </w:r>
      <w:r>
        <w:t>.</w:t>
      </w:r>
    </w:p>
    <w:p w:rsidR="003804AC" w:rsidRDefault="00AF18A5" w:rsidP="00467929">
      <w:r>
        <w:t>Sin embargo, también es importante tener en cuenta que ni la guerrilla tenía consolidada la</w:t>
      </w:r>
      <w:r>
        <w:rPr>
          <w:spacing w:val="-15"/>
        </w:rPr>
        <w:t xml:space="preserve"> </w:t>
      </w:r>
      <w:r>
        <w:t>región</w:t>
      </w:r>
      <w:r>
        <w:rPr>
          <w:spacing w:val="-14"/>
        </w:rPr>
        <w:t xml:space="preserve"> </w:t>
      </w:r>
      <w:r>
        <w:t>que</w:t>
      </w:r>
      <w:r>
        <w:rPr>
          <w:spacing w:val="-14"/>
        </w:rPr>
        <w:t xml:space="preserve"> </w:t>
      </w:r>
      <w:r>
        <w:t>fue</w:t>
      </w:r>
      <w:r>
        <w:rPr>
          <w:spacing w:val="-14"/>
        </w:rPr>
        <w:t xml:space="preserve"> </w:t>
      </w:r>
      <w:r>
        <w:t>despejada</w:t>
      </w:r>
      <w:r>
        <w:rPr>
          <w:spacing w:val="-14"/>
        </w:rPr>
        <w:t xml:space="preserve"> </w:t>
      </w:r>
      <w:r>
        <w:t>ni</w:t>
      </w:r>
      <w:r>
        <w:rPr>
          <w:spacing w:val="-14"/>
        </w:rPr>
        <w:t xml:space="preserve"> </w:t>
      </w:r>
      <w:r>
        <w:t>tampoco</w:t>
      </w:r>
      <w:r>
        <w:rPr>
          <w:spacing w:val="-14"/>
        </w:rPr>
        <w:t xml:space="preserve"> </w:t>
      </w:r>
      <w:r>
        <w:t>el</w:t>
      </w:r>
      <w:r>
        <w:rPr>
          <w:spacing w:val="-14"/>
        </w:rPr>
        <w:t xml:space="preserve"> </w:t>
      </w:r>
      <w:r>
        <w:t>orden</w:t>
      </w:r>
      <w:r>
        <w:rPr>
          <w:spacing w:val="-14"/>
        </w:rPr>
        <w:t xml:space="preserve"> </w:t>
      </w:r>
      <w:r>
        <w:t>estatal</w:t>
      </w:r>
      <w:r>
        <w:rPr>
          <w:spacing w:val="-14"/>
        </w:rPr>
        <w:t xml:space="preserve"> </w:t>
      </w:r>
      <w:r>
        <w:t>fue</w:t>
      </w:r>
      <w:r>
        <w:rPr>
          <w:spacing w:val="-14"/>
        </w:rPr>
        <w:t xml:space="preserve"> </w:t>
      </w:r>
      <w:r>
        <w:t>hegemónico.</w:t>
      </w:r>
      <w:r>
        <w:rPr>
          <w:spacing w:val="-15"/>
        </w:rPr>
        <w:t xml:space="preserve"> </w:t>
      </w:r>
      <w:r>
        <w:t>Durante</w:t>
      </w:r>
      <w:r>
        <w:rPr>
          <w:spacing w:val="-14"/>
        </w:rPr>
        <w:t xml:space="preserve"> </w:t>
      </w:r>
      <w:r>
        <w:t>los</w:t>
      </w:r>
      <w:r>
        <w:rPr>
          <w:spacing w:val="-14"/>
        </w:rPr>
        <w:t xml:space="preserve"> </w:t>
      </w:r>
      <w:r>
        <w:t>tres</w:t>
      </w:r>
      <w:r>
        <w:rPr>
          <w:spacing w:val="-14"/>
        </w:rPr>
        <w:t xml:space="preserve"> </w:t>
      </w:r>
      <w:r>
        <w:t>años que</w:t>
      </w:r>
      <w:r>
        <w:rPr>
          <w:spacing w:val="1"/>
        </w:rPr>
        <w:t xml:space="preserve"> </w:t>
      </w:r>
      <w:r>
        <w:t>duraron</w:t>
      </w:r>
      <w:r>
        <w:rPr>
          <w:spacing w:val="2"/>
        </w:rPr>
        <w:t xml:space="preserve"> </w:t>
      </w:r>
      <w:r>
        <w:t>los</w:t>
      </w:r>
      <w:r>
        <w:rPr>
          <w:spacing w:val="1"/>
        </w:rPr>
        <w:t xml:space="preserve"> </w:t>
      </w:r>
      <w:r>
        <w:t>diálogos,</w:t>
      </w:r>
      <w:r>
        <w:rPr>
          <w:spacing w:val="1"/>
        </w:rPr>
        <w:t xml:space="preserve"> </w:t>
      </w:r>
      <w:r>
        <w:t>los</w:t>
      </w:r>
      <w:r>
        <w:rPr>
          <w:spacing w:val="2"/>
        </w:rPr>
        <w:t xml:space="preserve"> </w:t>
      </w:r>
      <w:r>
        <w:t>pobladores</w:t>
      </w:r>
      <w:r>
        <w:rPr>
          <w:spacing w:val="1"/>
        </w:rPr>
        <w:t xml:space="preserve"> </w:t>
      </w:r>
      <w:r>
        <w:t>de</w:t>
      </w:r>
      <w:r>
        <w:rPr>
          <w:spacing w:val="2"/>
        </w:rPr>
        <w:t xml:space="preserve"> </w:t>
      </w:r>
      <w:r>
        <w:t>la</w:t>
      </w:r>
      <w:r>
        <w:rPr>
          <w:spacing w:val="2"/>
        </w:rPr>
        <w:t xml:space="preserve"> </w:t>
      </w:r>
      <w:r>
        <w:t>zona</w:t>
      </w:r>
      <w:r>
        <w:rPr>
          <w:spacing w:val="1"/>
        </w:rPr>
        <w:t xml:space="preserve"> </w:t>
      </w:r>
      <w:r>
        <w:t>se</w:t>
      </w:r>
      <w:r>
        <w:rPr>
          <w:spacing w:val="2"/>
        </w:rPr>
        <w:t xml:space="preserve"> </w:t>
      </w:r>
      <w:r>
        <w:t>vieron</w:t>
      </w:r>
      <w:r>
        <w:rPr>
          <w:spacing w:val="1"/>
        </w:rPr>
        <w:t xml:space="preserve"> </w:t>
      </w:r>
      <w:r>
        <w:t>sometidos</w:t>
      </w:r>
      <w:r>
        <w:rPr>
          <w:spacing w:val="2"/>
        </w:rPr>
        <w:t xml:space="preserve"> </w:t>
      </w:r>
      <w:r>
        <w:t>a</w:t>
      </w:r>
      <w:r>
        <w:rPr>
          <w:spacing w:val="2"/>
        </w:rPr>
        <w:t xml:space="preserve"> </w:t>
      </w:r>
      <w:r>
        <w:t>vivir</w:t>
      </w:r>
      <w:r>
        <w:rPr>
          <w:spacing w:val="1"/>
        </w:rPr>
        <w:t xml:space="preserve"> </w:t>
      </w:r>
      <w:r>
        <w:t>en</w:t>
      </w:r>
      <w:r>
        <w:rPr>
          <w:spacing w:val="2"/>
        </w:rPr>
        <w:t xml:space="preserve"> </w:t>
      </w:r>
      <w:r>
        <w:t>medio</w:t>
      </w:r>
      <w:r>
        <w:rPr>
          <w:spacing w:val="2"/>
        </w:rPr>
        <w:t xml:space="preserve"> </w:t>
      </w:r>
      <w:r>
        <w:rPr>
          <w:spacing w:val="-5"/>
        </w:rPr>
        <w:t>de</w:t>
      </w:r>
      <w:bookmarkStart w:id="378" w:name="_bookmark285"/>
      <w:bookmarkStart w:id="379" w:name="_bookmark286"/>
      <w:bookmarkStart w:id="380" w:name="_bookmark287"/>
      <w:bookmarkEnd w:id="378"/>
      <w:bookmarkEnd w:id="379"/>
      <w:bookmarkEnd w:id="380"/>
      <w:r w:rsidR="00467929">
        <w:t xml:space="preserve"> </w:t>
      </w:r>
      <w:r>
        <w:t>una</w:t>
      </w:r>
      <w:r>
        <w:rPr>
          <w:spacing w:val="-5"/>
        </w:rPr>
        <w:t xml:space="preserve"> </w:t>
      </w:r>
      <w:r>
        <w:t>regulación</w:t>
      </w:r>
      <w:r>
        <w:rPr>
          <w:spacing w:val="-5"/>
        </w:rPr>
        <w:t xml:space="preserve"> </w:t>
      </w:r>
      <w:r>
        <w:t>de</w:t>
      </w:r>
      <w:r>
        <w:rPr>
          <w:spacing w:val="-5"/>
        </w:rPr>
        <w:t xml:space="preserve"> </w:t>
      </w:r>
      <w:r>
        <w:t>las</w:t>
      </w:r>
      <w:r>
        <w:rPr>
          <w:spacing w:val="-5"/>
        </w:rPr>
        <w:t xml:space="preserve"> </w:t>
      </w:r>
      <w:r>
        <w:t>instituciones</w:t>
      </w:r>
      <w:r>
        <w:rPr>
          <w:spacing w:val="-5"/>
        </w:rPr>
        <w:t xml:space="preserve"> </w:t>
      </w:r>
      <w:r>
        <w:t>estatales</w:t>
      </w:r>
      <w:r>
        <w:rPr>
          <w:spacing w:val="-5"/>
        </w:rPr>
        <w:t xml:space="preserve"> </w:t>
      </w:r>
      <w:r>
        <w:t>precaria</w:t>
      </w:r>
      <w:r>
        <w:rPr>
          <w:spacing w:val="-5"/>
        </w:rPr>
        <w:t xml:space="preserve"> </w:t>
      </w:r>
      <w:r>
        <w:t>y</w:t>
      </w:r>
      <w:r>
        <w:rPr>
          <w:spacing w:val="-5"/>
        </w:rPr>
        <w:t xml:space="preserve"> </w:t>
      </w:r>
      <w:r>
        <w:t>del</w:t>
      </w:r>
      <w:r>
        <w:rPr>
          <w:spacing w:val="-4"/>
        </w:rPr>
        <w:t xml:space="preserve"> </w:t>
      </w:r>
      <w:r>
        <w:t>orden</w:t>
      </w:r>
      <w:r>
        <w:rPr>
          <w:spacing w:val="-5"/>
        </w:rPr>
        <w:t xml:space="preserve"> </w:t>
      </w:r>
      <w:r>
        <w:t>de</w:t>
      </w:r>
      <w:r>
        <w:rPr>
          <w:spacing w:val="-5"/>
        </w:rPr>
        <w:t xml:space="preserve"> </w:t>
      </w:r>
      <w:r>
        <w:t>la</w:t>
      </w:r>
      <w:r>
        <w:rPr>
          <w:spacing w:val="-5"/>
        </w:rPr>
        <w:t xml:space="preserve"> </w:t>
      </w:r>
      <w:r>
        <w:t>guerra</w:t>
      </w:r>
      <w:r>
        <w:rPr>
          <w:spacing w:val="-5"/>
        </w:rPr>
        <w:t xml:space="preserve"> </w:t>
      </w:r>
      <w:r>
        <w:t>impuesto</w:t>
      </w:r>
      <w:r>
        <w:rPr>
          <w:spacing w:val="-5"/>
        </w:rPr>
        <w:t xml:space="preserve"> </w:t>
      </w:r>
      <w:r>
        <w:t>sobre el territorio por las FARC-EP. Las fronteras de la zona se ampliaron con los «despejes paralelos»,</w:t>
      </w:r>
      <w:r>
        <w:rPr>
          <w:spacing w:val="-1"/>
        </w:rPr>
        <w:t xml:space="preserve"> </w:t>
      </w:r>
      <w:r>
        <w:t>pues en Lejanías, El Castillo, Puerto</w:t>
      </w:r>
      <w:r>
        <w:rPr>
          <w:spacing w:val="-1"/>
        </w:rPr>
        <w:t xml:space="preserve"> </w:t>
      </w:r>
      <w:r>
        <w:t>Lleras y Puerto Rico, en</w:t>
      </w:r>
      <w:r>
        <w:rPr>
          <w:spacing w:val="-1"/>
        </w:rPr>
        <w:t xml:space="preserve"> </w:t>
      </w:r>
      <w:r>
        <w:t>Meta, así como en Cartagena</w:t>
      </w:r>
      <w:r>
        <w:rPr>
          <w:spacing w:val="-6"/>
        </w:rPr>
        <w:t xml:space="preserve"> </w:t>
      </w:r>
      <w:r>
        <w:t>del</w:t>
      </w:r>
      <w:r>
        <w:rPr>
          <w:spacing w:val="-4"/>
        </w:rPr>
        <w:t xml:space="preserve"> </w:t>
      </w:r>
      <w:proofErr w:type="spellStart"/>
      <w:r>
        <w:t>Chairá</w:t>
      </w:r>
      <w:proofErr w:type="spellEnd"/>
      <w:r>
        <w:rPr>
          <w:spacing w:val="-5"/>
        </w:rPr>
        <w:t xml:space="preserve"> </w:t>
      </w:r>
      <w:r>
        <w:t>y</w:t>
      </w:r>
      <w:r>
        <w:rPr>
          <w:spacing w:val="-6"/>
        </w:rPr>
        <w:t xml:space="preserve"> </w:t>
      </w:r>
      <w:r>
        <w:t>Puerto</w:t>
      </w:r>
      <w:r>
        <w:rPr>
          <w:spacing w:val="-5"/>
        </w:rPr>
        <w:t xml:space="preserve"> </w:t>
      </w:r>
      <w:r>
        <w:t>Rico,</w:t>
      </w:r>
      <w:r>
        <w:rPr>
          <w:spacing w:val="-6"/>
        </w:rPr>
        <w:t xml:space="preserve"> </w:t>
      </w:r>
      <w:r>
        <w:t>en</w:t>
      </w:r>
      <w:r>
        <w:rPr>
          <w:spacing w:val="-5"/>
        </w:rPr>
        <w:t xml:space="preserve"> </w:t>
      </w:r>
      <w:r>
        <w:t>Caquetá,</w:t>
      </w:r>
      <w:r>
        <w:rPr>
          <w:spacing w:val="-6"/>
        </w:rPr>
        <w:t xml:space="preserve"> </w:t>
      </w:r>
      <w:r>
        <w:t>se</w:t>
      </w:r>
      <w:r>
        <w:rPr>
          <w:spacing w:val="-5"/>
        </w:rPr>
        <w:t xml:space="preserve"> </w:t>
      </w:r>
      <w:r>
        <w:t>redujo</w:t>
      </w:r>
      <w:r>
        <w:rPr>
          <w:spacing w:val="-5"/>
        </w:rPr>
        <w:t xml:space="preserve"> </w:t>
      </w:r>
      <w:r>
        <w:t>la</w:t>
      </w:r>
      <w:r>
        <w:rPr>
          <w:spacing w:val="-6"/>
        </w:rPr>
        <w:t xml:space="preserve"> </w:t>
      </w:r>
      <w:r>
        <w:t>presencia</w:t>
      </w:r>
      <w:r>
        <w:rPr>
          <w:spacing w:val="-6"/>
        </w:rPr>
        <w:t xml:space="preserve"> </w:t>
      </w:r>
      <w:r>
        <w:t>militar.</w:t>
      </w:r>
      <w:r>
        <w:rPr>
          <w:spacing w:val="-6"/>
        </w:rPr>
        <w:t xml:space="preserve"> </w:t>
      </w:r>
      <w:r>
        <w:t>Incluso</w:t>
      </w:r>
      <w:r>
        <w:rPr>
          <w:spacing w:val="-6"/>
        </w:rPr>
        <w:t xml:space="preserve"> </w:t>
      </w:r>
      <w:r>
        <w:t>en</w:t>
      </w:r>
      <w:r>
        <w:rPr>
          <w:spacing w:val="-5"/>
        </w:rPr>
        <w:t xml:space="preserve"> </w:t>
      </w:r>
      <w:r>
        <w:t>El Retorno,</w:t>
      </w:r>
      <w:r>
        <w:rPr>
          <w:spacing w:val="-9"/>
        </w:rPr>
        <w:t xml:space="preserve"> </w:t>
      </w:r>
      <w:r>
        <w:t>Calamar</w:t>
      </w:r>
      <w:r>
        <w:rPr>
          <w:spacing w:val="-9"/>
        </w:rPr>
        <w:t xml:space="preserve"> </w:t>
      </w:r>
      <w:r>
        <w:t>y</w:t>
      </w:r>
      <w:r>
        <w:rPr>
          <w:spacing w:val="-9"/>
        </w:rPr>
        <w:t xml:space="preserve"> </w:t>
      </w:r>
      <w:r>
        <w:t>Miraflores,</w:t>
      </w:r>
      <w:r>
        <w:rPr>
          <w:spacing w:val="-9"/>
        </w:rPr>
        <w:t xml:space="preserve"> </w:t>
      </w:r>
      <w:r>
        <w:t>en</w:t>
      </w:r>
      <w:r>
        <w:rPr>
          <w:spacing w:val="-9"/>
        </w:rPr>
        <w:t xml:space="preserve"> </w:t>
      </w:r>
      <w:r>
        <w:t>Guaviare,</w:t>
      </w:r>
      <w:r>
        <w:rPr>
          <w:spacing w:val="-9"/>
        </w:rPr>
        <w:t xml:space="preserve"> </w:t>
      </w:r>
      <w:r>
        <w:t>territorios</w:t>
      </w:r>
      <w:r>
        <w:rPr>
          <w:spacing w:val="-9"/>
        </w:rPr>
        <w:t xml:space="preserve"> </w:t>
      </w:r>
      <w:r>
        <w:t>de</w:t>
      </w:r>
      <w:r>
        <w:rPr>
          <w:spacing w:val="-9"/>
        </w:rPr>
        <w:t xml:space="preserve"> </w:t>
      </w:r>
      <w:r>
        <w:t>fuerte</w:t>
      </w:r>
      <w:r>
        <w:rPr>
          <w:spacing w:val="-9"/>
        </w:rPr>
        <w:t xml:space="preserve"> </w:t>
      </w:r>
      <w:r>
        <w:t>presencia</w:t>
      </w:r>
      <w:r>
        <w:rPr>
          <w:spacing w:val="-10"/>
        </w:rPr>
        <w:t xml:space="preserve"> </w:t>
      </w:r>
      <w:r>
        <w:t>de</w:t>
      </w:r>
      <w:r>
        <w:rPr>
          <w:spacing w:val="-9"/>
        </w:rPr>
        <w:t xml:space="preserve"> </w:t>
      </w:r>
      <w:r>
        <w:t>las</w:t>
      </w:r>
      <w:r>
        <w:rPr>
          <w:spacing w:val="-9"/>
        </w:rPr>
        <w:t xml:space="preserve"> </w:t>
      </w:r>
      <w:r>
        <w:t>FARC-EP, se</w:t>
      </w:r>
      <w:r>
        <w:rPr>
          <w:spacing w:val="-8"/>
        </w:rPr>
        <w:t xml:space="preserve"> </w:t>
      </w:r>
      <w:r>
        <w:t>trató</w:t>
      </w:r>
      <w:r>
        <w:rPr>
          <w:spacing w:val="-9"/>
        </w:rPr>
        <w:t xml:space="preserve"> </w:t>
      </w:r>
      <w:r>
        <w:t>de</w:t>
      </w:r>
      <w:r>
        <w:rPr>
          <w:spacing w:val="-8"/>
        </w:rPr>
        <w:t xml:space="preserve"> </w:t>
      </w:r>
      <w:r>
        <w:t>crear</w:t>
      </w:r>
      <w:r>
        <w:rPr>
          <w:spacing w:val="-8"/>
        </w:rPr>
        <w:t xml:space="preserve"> </w:t>
      </w:r>
      <w:r>
        <w:t>el</w:t>
      </w:r>
      <w:r>
        <w:rPr>
          <w:spacing w:val="-8"/>
        </w:rPr>
        <w:t xml:space="preserve"> </w:t>
      </w:r>
      <w:r>
        <w:t>experimento</w:t>
      </w:r>
      <w:r>
        <w:rPr>
          <w:spacing w:val="-8"/>
        </w:rPr>
        <w:t xml:space="preserve"> </w:t>
      </w:r>
      <w:r>
        <w:t>piloto</w:t>
      </w:r>
      <w:r>
        <w:rPr>
          <w:spacing w:val="-10"/>
        </w:rPr>
        <w:t xml:space="preserve"> </w:t>
      </w:r>
      <w:r>
        <w:t>de</w:t>
      </w:r>
      <w:r>
        <w:rPr>
          <w:spacing w:val="-8"/>
        </w:rPr>
        <w:t xml:space="preserve"> </w:t>
      </w:r>
      <w:r>
        <w:t>la</w:t>
      </w:r>
      <w:r>
        <w:rPr>
          <w:spacing w:val="-8"/>
        </w:rPr>
        <w:t xml:space="preserve"> </w:t>
      </w:r>
      <w:r>
        <w:t>idea</w:t>
      </w:r>
      <w:r>
        <w:rPr>
          <w:spacing w:val="-8"/>
        </w:rPr>
        <w:t xml:space="preserve"> </w:t>
      </w:r>
      <w:r>
        <w:t>de</w:t>
      </w:r>
      <w:r>
        <w:rPr>
          <w:spacing w:val="-8"/>
        </w:rPr>
        <w:t xml:space="preserve"> </w:t>
      </w:r>
      <w:r>
        <w:t>un</w:t>
      </w:r>
      <w:r>
        <w:rPr>
          <w:spacing w:val="-8"/>
        </w:rPr>
        <w:t xml:space="preserve"> </w:t>
      </w:r>
      <w:r>
        <w:t>Estado</w:t>
      </w:r>
      <w:r>
        <w:rPr>
          <w:spacing w:val="-8"/>
        </w:rPr>
        <w:t xml:space="preserve"> </w:t>
      </w:r>
      <w:r>
        <w:t>dual,</w:t>
      </w:r>
      <w:r>
        <w:rPr>
          <w:spacing w:val="-8"/>
        </w:rPr>
        <w:t xml:space="preserve"> </w:t>
      </w:r>
      <w:r>
        <w:t>por</w:t>
      </w:r>
      <w:r>
        <w:rPr>
          <w:spacing w:val="-8"/>
        </w:rPr>
        <w:t xml:space="preserve"> </w:t>
      </w:r>
      <w:r>
        <w:t>cuanto</w:t>
      </w:r>
      <w:r>
        <w:rPr>
          <w:spacing w:val="-8"/>
        </w:rPr>
        <w:t xml:space="preserve"> </w:t>
      </w:r>
      <w:r>
        <w:t>allí</w:t>
      </w:r>
      <w:r>
        <w:rPr>
          <w:spacing w:val="-8"/>
        </w:rPr>
        <w:t xml:space="preserve"> </w:t>
      </w:r>
      <w:r>
        <w:t>se</w:t>
      </w:r>
      <w:r>
        <w:rPr>
          <w:spacing w:val="-8"/>
        </w:rPr>
        <w:t xml:space="preserve"> </w:t>
      </w:r>
      <w:r>
        <w:t>crearon las</w:t>
      </w:r>
      <w:r>
        <w:rPr>
          <w:spacing w:val="-6"/>
        </w:rPr>
        <w:t xml:space="preserve"> </w:t>
      </w:r>
      <w:r>
        <w:t>Asambleas</w:t>
      </w:r>
      <w:r>
        <w:rPr>
          <w:spacing w:val="-6"/>
        </w:rPr>
        <w:t xml:space="preserve"> </w:t>
      </w:r>
      <w:r>
        <w:t>de</w:t>
      </w:r>
      <w:r>
        <w:rPr>
          <w:spacing w:val="-7"/>
        </w:rPr>
        <w:t xml:space="preserve"> </w:t>
      </w:r>
      <w:r>
        <w:t>Poder</w:t>
      </w:r>
      <w:r>
        <w:rPr>
          <w:spacing w:val="-8"/>
        </w:rPr>
        <w:t xml:space="preserve"> </w:t>
      </w:r>
      <w:r>
        <w:t>Popular</w:t>
      </w:r>
      <w:r>
        <w:rPr>
          <w:spacing w:val="-7"/>
        </w:rPr>
        <w:t xml:space="preserve"> </w:t>
      </w:r>
      <w:r>
        <w:t>en</w:t>
      </w:r>
      <w:r>
        <w:rPr>
          <w:spacing w:val="-6"/>
        </w:rPr>
        <w:t xml:space="preserve"> </w:t>
      </w:r>
      <w:r>
        <w:t>cada</w:t>
      </w:r>
      <w:r>
        <w:rPr>
          <w:spacing w:val="-6"/>
        </w:rPr>
        <w:t xml:space="preserve"> </w:t>
      </w:r>
      <w:r>
        <w:t>barrio,</w:t>
      </w:r>
      <w:r>
        <w:rPr>
          <w:spacing w:val="-7"/>
        </w:rPr>
        <w:t xml:space="preserve"> </w:t>
      </w:r>
      <w:r>
        <w:t>vereda,</w:t>
      </w:r>
      <w:r>
        <w:rPr>
          <w:spacing w:val="-7"/>
        </w:rPr>
        <w:t xml:space="preserve"> </w:t>
      </w:r>
      <w:r>
        <w:t>localidad</w:t>
      </w:r>
      <w:r>
        <w:rPr>
          <w:spacing w:val="-6"/>
        </w:rPr>
        <w:t xml:space="preserve"> </w:t>
      </w:r>
      <w:r>
        <w:t>y</w:t>
      </w:r>
      <w:r>
        <w:rPr>
          <w:spacing w:val="-7"/>
        </w:rPr>
        <w:t xml:space="preserve"> </w:t>
      </w:r>
      <w:r>
        <w:t>municipio,</w:t>
      </w:r>
      <w:r>
        <w:rPr>
          <w:spacing w:val="-6"/>
        </w:rPr>
        <w:t xml:space="preserve"> </w:t>
      </w:r>
      <w:r>
        <w:t>que</w:t>
      </w:r>
      <w:r>
        <w:rPr>
          <w:spacing w:val="-6"/>
        </w:rPr>
        <w:t xml:space="preserve"> </w:t>
      </w:r>
      <w:r>
        <w:t>contaban con responsabilidades de organización de la población, propaganda, recreación, cultura y deporte, finanzas, obras y desarrollo, educación, control y registro, transporte e infraestructura vial y defensa</w:t>
      </w:r>
      <w:r w:rsidR="00723920">
        <w:rPr>
          <w:rStyle w:val="Refdenotaalpie"/>
        </w:rPr>
        <w:footnoteReference w:id="248"/>
      </w:r>
      <w:r>
        <w:t>.</w:t>
      </w:r>
    </w:p>
    <w:p w:rsidR="003804AC" w:rsidRDefault="00AF18A5" w:rsidP="00467929">
      <w:r>
        <w:t>Pero la decisión de impedir cualquier presencia o actuación de las autoridades estatales, incluidas</w:t>
      </w:r>
      <w:r>
        <w:rPr>
          <w:spacing w:val="-7"/>
        </w:rPr>
        <w:t xml:space="preserve"> </w:t>
      </w:r>
      <w:r>
        <w:t>las</w:t>
      </w:r>
      <w:r>
        <w:rPr>
          <w:spacing w:val="-7"/>
        </w:rPr>
        <w:t xml:space="preserve"> </w:t>
      </w:r>
      <w:r>
        <w:t>locales</w:t>
      </w:r>
      <w:r>
        <w:rPr>
          <w:spacing w:val="-6"/>
        </w:rPr>
        <w:t xml:space="preserve"> </w:t>
      </w:r>
      <w:r>
        <w:t>y</w:t>
      </w:r>
      <w:r>
        <w:rPr>
          <w:spacing w:val="-7"/>
        </w:rPr>
        <w:t xml:space="preserve"> </w:t>
      </w:r>
      <w:r>
        <w:t>regionales,</w:t>
      </w:r>
      <w:r>
        <w:rPr>
          <w:spacing w:val="-6"/>
        </w:rPr>
        <w:t xml:space="preserve"> </w:t>
      </w:r>
      <w:r>
        <w:t>implicó</w:t>
      </w:r>
      <w:r>
        <w:rPr>
          <w:spacing w:val="-7"/>
        </w:rPr>
        <w:t xml:space="preserve"> </w:t>
      </w:r>
      <w:r>
        <w:t>el</w:t>
      </w:r>
      <w:r>
        <w:rPr>
          <w:spacing w:val="-6"/>
        </w:rPr>
        <w:t xml:space="preserve"> </w:t>
      </w:r>
      <w:r>
        <w:t>aumento</w:t>
      </w:r>
      <w:r>
        <w:rPr>
          <w:spacing w:val="-6"/>
        </w:rPr>
        <w:t xml:space="preserve"> </w:t>
      </w:r>
      <w:r>
        <w:t>de</w:t>
      </w:r>
      <w:r>
        <w:rPr>
          <w:spacing w:val="-7"/>
        </w:rPr>
        <w:t xml:space="preserve"> </w:t>
      </w:r>
      <w:r>
        <w:t>las</w:t>
      </w:r>
      <w:r>
        <w:rPr>
          <w:spacing w:val="-7"/>
        </w:rPr>
        <w:t xml:space="preserve"> </w:t>
      </w:r>
      <w:r>
        <w:t>tensiones</w:t>
      </w:r>
      <w:r>
        <w:rPr>
          <w:spacing w:val="-8"/>
        </w:rPr>
        <w:t xml:space="preserve"> </w:t>
      </w:r>
      <w:r>
        <w:t>con</w:t>
      </w:r>
      <w:r>
        <w:rPr>
          <w:spacing w:val="-6"/>
        </w:rPr>
        <w:t xml:space="preserve"> </w:t>
      </w:r>
      <w:r>
        <w:t>los</w:t>
      </w:r>
      <w:r>
        <w:rPr>
          <w:spacing w:val="-6"/>
        </w:rPr>
        <w:t xml:space="preserve"> </w:t>
      </w:r>
      <w:r>
        <w:t>pobladores,</w:t>
      </w:r>
      <w:r>
        <w:rPr>
          <w:spacing w:val="-6"/>
        </w:rPr>
        <w:t xml:space="preserve"> </w:t>
      </w:r>
      <w:r>
        <w:t xml:space="preserve">ya que para los habitantes de esas zonas una de sus reivindicaciones centrales era la presencia </w:t>
      </w:r>
      <w:r>
        <w:lastRenderedPageBreak/>
        <w:t>más efectiva del Estado y su incorporación en igualdad de derechos a la vida política y económica</w:t>
      </w:r>
      <w:r>
        <w:rPr>
          <w:spacing w:val="-7"/>
        </w:rPr>
        <w:t xml:space="preserve"> </w:t>
      </w:r>
      <w:r>
        <w:t>del</w:t>
      </w:r>
      <w:r>
        <w:rPr>
          <w:spacing w:val="-7"/>
        </w:rPr>
        <w:t xml:space="preserve"> </w:t>
      </w:r>
      <w:r>
        <w:t>país.</w:t>
      </w:r>
      <w:r>
        <w:rPr>
          <w:spacing w:val="-7"/>
        </w:rPr>
        <w:t xml:space="preserve"> </w:t>
      </w:r>
      <w:r>
        <w:t>Estas</w:t>
      </w:r>
      <w:r>
        <w:rPr>
          <w:spacing w:val="-7"/>
        </w:rPr>
        <w:t xml:space="preserve"> </w:t>
      </w:r>
      <w:r>
        <w:t>reivindicaciones</w:t>
      </w:r>
      <w:r>
        <w:rPr>
          <w:spacing w:val="-7"/>
        </w:rPr>
        <w:t xml:space="preserve"> </w:t>
      </w:r>
      <w:r>
        <w:t>chocaban</w:t>
      </w:r>
      <w:r>
        <w:rPr>
          <w:spacing w:val="-7"/>
        </w:rPr>
        <w:t xml:space="preserve"> </w:t>
      </w:r>
      <w:r>
        <w:t>con</w:t>
      </w:r>
      <w:r>
        <w:rPr>
          <w:spacing w:val="-7"/>
        </w:rPr>
        <w:t xml:space="preserve"> </w:t>
      </w:r>
      <w:r>
        <w:t>la</w:t>
      </w:r>
      <w:r>
        <w:rPr>
          <w:spacing w:val="-7"/>
        </w:rPr>
        <w:t xml:space="preserve"> </w:t>
      </w:r>
      <w:r>
        <w:t>idea</w:t>
      </w:r>
      <w:r>
        <w:rPr>
          <w:spacing w:val="-7"/>
        </w:rPr>
        <w:t xml:space="preserve"> </w:t>
      </w:r>
      <w:r>
        <w:t>de</w:t>
      </w:r>
      <w:r>
        <w:rPr>
          <w:spacing w:val="-7"/>
        </w:rPr>
        <w:t xml:space="preserve"> </w:t>
      </w:r>
      <w:r>
        <w:t>las</w:t>
      </w:r>
      <w:r>
        <w:rPr>
          <w:spacing w:val="-7"/>
        </w:rPr>
        <w:t xml:space="preserve"> </w:t>
      </w:r>
      <w:r>
        <w:t>FARC-EP,</w:t>
      </w:r>
      <w:r>
        <w:rPr>
          <w:spacing w:val="-7"/>
        </w:rPr>
        <w:t xml:space="preserve"> </w:t>
      </w:r>
      <w:r>
        <w:t>que</w:t>
      </w:r>
      <w:r>
        <w:rPr>
          <w:spacing w:val="-6"/>
        </w:rPr>
        <w:t xml:space="preserve"> </w:t>
      </w:r>
      <w:r>
        <w:t>ahora enfatizaban en un control más militar de los territorios, donde la presencia de programas o autoridades</w:t>
      </w:r>
      <w:r>
        <w:rPr>
          <w:spacing w:val="-6"/>
        </w:rPr>
        <w:t xml:space="preserve"> </w:t>
      </w:r>
      <w:r>
        <w:t>estatales</w:t>
      </w:r>
      <w:r>
        <w:rPr>
          <w:spacing w:val="-3"/>
        </w:rPr>
        <w:t xml:space="preserve"> </w:t>
      </w:r>
      <w:r>
        <w:t>no</w:t>
      </w:r>
      <w:r>
        <w:rPr>
          <w:spacing w:val="-5"/>
        </w:rPr>
        <w:t xml:space="preserve"> </w:t>
      </w:r>
      <w:r>
        <w:t>era</w:t>
      </w:r>
      <w:r>
        <w:rPr>
          <w:spacing w:val="-3"/>
        </w:rPr>
        <w:t xml:space="preserve"> </w:t>
      </w:r>
      <w:r>
        <w:t>pertinente</w:t>
      </w:r>
      <w:r>
        <w:rPr>
          <w:spacing w:val="-3"/>
        </w:rPr>
        <w:t xml:space="preserve"> </w:t>
      </w:r>
      <w:r>
        <w:t>para</w:t>
      </w:r>
      <w:r>
        <w:rPr>
          <w:spacing w:val="-4"/>
        </w:rPr>
        <w:t xml:space="preserve"> </w:t>
      </w:r>
      <w:r>
        <w:t>su</w:t>
      </w:r>
      <w:r>
        <w:rPr>
          <w:spacing w:val="-5"/>
        </w:rPr>
        <w:t xml:space="preserve"> </w:t>
      </w:r>
      <w:r>
        <w:t>relacionamiento</w:t>
      </w:r>
      <w:r>
        <w:rPr>
          <w:spacing w:val="-3"/>
        </w:rPr>
        <w:t xml:space="preserve"> </w:t>
      </w:r>
      <w:r>
        <w:t>con</w:t>
      </w:r>
      <w:r>
        <w:rPr>
          <w:spacing w:val="-3"/>
        </w:rPr>
        <w:t xml:space="preserve"> </w:t>
      </w:r>
      <w:r>
        <w:t>la</w:t>
      </w:r>
      <w:r>
        <w:rPr>
          <w:spacing w:val="-3"/>
        </w:rPr>
        <w:t xml:space="preserve"> </w:t>
      </w:r>
      <w:r>
        <w:t>población</w:t>
      </w:r>
      <w:r>
        <w:rPr>
          <w:spacing w:val="-5"/>
        </w:rPr>
        <w:t xml:space="preserve"> </w:t>
      </w:r>
      <w:r>
        <w:t>y</w:t>
      </w:r>
      <w:r>
        <w:rPr>
          <w:spacing w:val="-3"/>
        </w:rPr>
        <w:t xml:space="preserve"> </w:t>
      </w:r>
      <w:r>
        <w:t>su</w:t>
      </w:r>
      <w:r>
        <w:rPr>
          <w:spacing w:val="-5"/>
        </w:rPr>
        <w:t xml:space="preserve"> </w:t>
      </w:r>
      <w:r>
        <w:t>control del</w:t>
      </w:r>
      <w:r>
        <w:rPr>
          <w:spacing w:val="-10"/>
        </w:rPr>
        <w:t xml:space="preserve"> </w:t>
      </w:r>
      <w:r>
        <w:t>territorio.</w:t>
      </w:r>
      <w:r>
        <w:rPr>
          <w:spacing w:val="-11"/>
        </w:rPr>
        <w:t xml:space="preserve"> </w:t>
      </w:r>
      <w:r>
        <w:t>Por</w:t>
      </w:r>
      <w:r>
        <w:rPr>
          <w:spacing w:val="-10"/>
        </w:rPr>
        <w:t xml:space="preserve"> </w:t>
      </w:r>
      <w:r>
        <w:t>ejemplo,</w:t>
      </w:r>
      <w:r>
        <w:rPr>
          <w:spacing w:val="-11"/>
        </w:rPr>
        <w:t xml:space="preserve"> </w:t>
      </w:r>
      <w:r>
        <w:t>en</w:t>
      </w:r>
      <w:r>
        <w:rPr>
          <w:spacing w:val="-11"/>
        </w:rPr>
        <w:t xml:space="preserve"> </w:t>
      </w:r>
      <w:r>
        <w:t>municipios</w:t>
      </w:r>
      <w:r>
        <w:rPr>
          <w:spacing w:val="-10"/>
        </w:rPr>
        <w:t xml:space="preserve"> </w:t>
      </w:r>
      <w:r>
        <w:t>como</w:t>
      </w:r>
      <w:r>
        <w:rPr>
          <w:spacing w:val="-11"/>
        </w:rPr>
        <w:t xml:space="preserve"> </w:t>
      </w:r>
      <w:r>
        <w:t>Vistahermosa,</w:t>
      </w:r>
      <w:r>
        <w:rPr>
          <w:spacing w:val="-12"/>
        </w:rPr>
        <w:t xml:space="preserve"> </w:t>
      </w:r>
      <w:r>
        <w:t>en</w:t>
      </w:r>
      <w:r>
        <w:rPr>
          <w:spacing w:val="-11"/>
        </w:rPr>
        <w:t xml:space="preserve"> </w:t>
      </w:r>
      <w:r>
        <w:t>donde</w:t>
      </w:r>
      <w:r>
        <w:rPr>
          <w:spacing w:val="-10"/>
        </w:rPr>
        <w:t xml:space="preserve"> </w:t>
      </w:r>
      <w:r>
        <w:t>no</w:t>
      </w:r>
      <w:r>
        <w:rPr>
          <w:spacing w:val="-12"/>
        </w:rPr>
        <w:t xml:space="preserve"> </w:t>
      </w:r>
      <w:r>
        <w:t>había</w:t>
      </w:r>
      <w:r>
        <w:rPr>
          <w:spacing w:val="-10"/>
        </w:rPr>
        <w:t xml:space="preserve"> </w:t>
      </w:r>
      <w:r>
        <w:t>hegemonía de la guerrilla ni del orden estatal inicialmente</w:t>
      </w:r>
      <w:r w:rsidR="00723920">
        <w:rPr>
          <w:rStyle w:val="Refdenotaalpie"/>
        </w:rPr>
        <w:footnoteReference w:id="249"/>
      </w:r>
      <w:r>
        <w:t>, el vacío dejado por las instituciones del Estado</w:t>
      </w:r>
      <w:r>
        <w:rPr>
          <w:spacing w:val="-12"/>
        </w:rPr>
        <w:t xml:space="preserve"> </w:t>
      </w:r>
      <w:r>
        <w:t>facilitó</w:t>
      </w:r>
      <w:r>
        <w:rPr>
          <w:spacing w:val="-12"/>
        </w:rPr>
        <w:t xml:space="preserve"> </w:t>
      </w:r>
      <w:r>
        <w:t>el</w:t>
      </w:r>
      <w:r>
        <w:rPr>
          <w:spacing w:val="-11"/>
        </w:rPr>
        <w:t xml:space="preserve"> </w:t>
      </w:r>
      <w:r>
        <w:t>afianzamiento</w:t>
      </w:r>
      <w:r>
        <w:rPr>
          <w:spacing w:val="-12"/>
        </w:rPr>
        <w:t xml:space="preserve"> </w:t>
      </w:r>
      <w:r>
        <w:t>del</w:t>
      </w:r>
      <w:r>
        <w:rPr>
          <w:spacing w:val="-13"/>
        </w:rPr>
        <w:t xml:space="preserve"> </w:t>
      </w:r>
      <w:r>
        <w:t>control</w:t>
      </w:r>
      <w:r>
        <w:rPr>
          <w:spacing w:val="-13"/>
        </w:rPr>
        <w:t xml:space="preserve"> </w:t>
      </w:r>
      <w:r>
        <w:t>insurgente.</w:t>
      </w:r>
      <w:r>
        <w:rPr>
          <w:spacing w:val="-12"/>
        </w:rPr>
        <w:t xml:space="preserve"> </w:t>
      </w:r>
      <w:r>
        <w:t>En</w:t>
      </w:r>
      <w:r>
        <w:rPr>
          <w:spacing w:val="-12"/>
        </w:rPr>
        <w:t xml:space="preserve"> </w:t>
      </w:r>
      <w:r>
        <w:t>numerosos</w:t>
      </w:r>
      <w:r>
        <w:rPr>
          <w:spacing w:val="-13"/>
        </w:rPr>
        <w:t xml:space="preserve"> </w:t>
      </w:r>
      <w:r>
        <w:t>testimonios</w:t>
      </w:r>
      <w:r>
        <w:rPr>
          <w:spacing w:val="-13"/>
        </w:rPr>
        <w:t xml:space="preserve"> </w:t>
      </w:r>
      <w:r>
        <w:t>se</w:t>
      </w:r>
      <w:r>
        <w:rPr>
          <w:spacing w:val="-13"/>
        </w:rPr>
        <w:t xml:space="preserve"> </w:t>
      </w:r>
      <w:r>
        <w:t>muestra la relación entre el orden impuesto y los castigos severos, incluso la muerte, para quienes violaran las reglas.</w:t>
      </w:r>
    </w:p>
    <w:p w:rsidR="003804AC" w:rsidRPr="00723920" w:rsidRDefault="00AF18A5" w:rsidP="00723920">
      <w:r>
        <w:t>«Yo pude identificar que la relación entre guerrilla y civiles es buena aquí en Vistahermosa</w:t>
      </w:r>
      <w:r>
        <w:rPr>
          <w:spacing w:val="-10"/>
        </w:rPr>
        <w:t xml:space="preserve"> </w:t>
      </w:r>
      <w:r>
        <w:t>[…]</w:t>
      </w:r>
      <w:r>
        <w:rPr>
          <w:spacing w:val="-11"/>
        </w:rPr>
        <w:t xml:space="preserve"> </w:t>
      </w:r>
      <w:r>
        <w:t>Se</w:t>
      </w:r>
      <w:r>
        <w:rPr>
          <w:spacing w:val="-12"/>
        </w:rPr>
        <w:t xml:space="preserve"> </w:t>
      </w:r>
      <w:r>
        <w:t>tomaba</w:t>
      </w:r>
      <w:r>
        <w:rPr>
          <w:spacing w:val="-12"/>
        </w:rPr>
        <w:t xml:space="preserve"> </w:t>
      </w:r>
      <w:r>
        <w:t>mucho,</w:t>
      </w:r>
      <w:r>
        <w:rPr>
          <w:spacing w:val="-11"/>
        </w:rPr>
        <w:t xml:space="preserve"> </w:t>
      </w:r>
      <w:r>
        <w:t>pero</w:t>
      </w:r>
      <w:r>
        <w:rPr>
          <w:spacing w:val="-12"/>
        </w:rPr>
        <w:t xml:space="preserve"> </w:t>
      </w:r>
      <w:r>
        <w:t>ellos</w:t>
      </w:r>
      <w:r>
        <w:rPr>
          <w:spacing w:val="-10"/>
        </w:rPr>
        <w:t xml:space="preserve"> </w:t>
      </w:r>
      <w:r>
        <w:t>tenían</w:t>
      </w:r>
      <w:r>
        <w:rPr>
          <w:spacing w:val="-11"/>
        </w:rPr>
        <w:t xml:space="preserve"> </w:t>
      </w:r>
      <w:r>
        <w:t>unos</w:t>
      </w:r>
      <w:r>
        <w:rPr>
          <w:spacing w:val="-12"/>
        </w:rPr>
        <w:t xml:space="preserve"> </w:t>
      </w:r>
      <w:r>
        <w:t>horarios</w:t>
      </w:r>
      <w:r>
        <w:rPr>
          <w:spacing w:val="-11"/>
        </w:rPr>
        <w:t xml:space="preserve"> </w:t>
      </w:r>
      <w:r>
        <w:t>y</w:t>
      </w:r>
      <w:r>
        <w:rPr>
          <w:spacing w:val="-12"/>
        </w:rPr>
        <w:t xml:space="preserve"> </w:t>
      </w:r>
      <w:r>
        <w:t>tenían</w:t>
      </w:r>
      <w:r>
        <w:rPr>
          <w:spacing w:val="-11"/>
        </w:rPr>
        <w:t xml:space="preserve"> </w:t>
      </w:r>
      <w:r>
        <w:t>que</w:t>
      </w:r>
      <w:r>
        <w:rPr>
          <w:spacing w:val="-12"/>
        </w:rPr>
        <w:t xml:space="preserve"> </w:t>
      </w:r>
      <w:r>
        <w:t>respetarse, y</w:t>
      </w:r>
      <w:r>
        <w:rPr>
          <w:spacing w:val="10"/>
        </w:rPr>
        <w:t xml:space="preserve"> </w:t>
      </w:r>
      <w:r>
        <w:t>sobre</w:t>
      </w:r>
      <w:r>
        <w:rPr>
          <w:spacing w:val="13"/>
        </w:rPr>
        <w:t xml:space="preserve"> </w:t>
      </w:r>
      <w:r>
        <w:t>todo</w:t>
      </w:r>
      <w:r>
        <w:rPr>
          <w:spacing w:val="13"/>
        </w:rPr>
        <w:t xml:space="preserve"> </w:t>
      </w:r>
      <w:r>
        <w:t>en</w:t>
      </w:r>
      <w:r>
        <w:rPr>
          <w:spacing w:val="13"/>
        </w:rPr>
        <w:t xml:space="preserve"> </w:t>
      </w:r>
      <w:r>
        <w:t>esas</w:t>
      </w:r>
      <w:r>
        <w:rPr>
          <w:spacing w:val="13"/>
        </w:rPr>
        <w:t xml:space="preserve"> </w:t>
      </w:r>
      <w:r>
        <w:t>veredas</w:t>
      </w:r>
      <w:r>
        <w:rPr>
          <w:spacing w:val="13"/>
        </w:rPr>
        <w:t xml:space="preserve"> </w:t>
      </w:r>
      <w:r>
        <w:t>no</w:t>
      </w:r>
      <w:r>
        <w:rPr>
          <w:spacing w:val="13"/>
        </w:rPr>
        <w:t xml:space="preserve"> </w:t>
      </w:r>
      <w:r>
        <w:t>se</w:t>
      </w:r>
      <w:r>
        <w:rPr>
          <w:spacing w:val="12"/>
        </w:rPr>
        <w:t xml:space="preserve"> </w:t>
      </w:r>
      <w:r>
        <w:t>podía</w:t>
      </w:r>
      <w:r>
        <w:rPr>
          <w:spacing w:val="12"/>
        </w:rPr>
        <w:t xml:space="preserve"> </w:t>
      </w:r>
      <w:r>
        <w:t>agredir</w:t>
      </w:r>
      <w:r>
        <w:rPr>
          <w:spacing w:val="13"/>
        </w:rPr>
        <w:t xml:space="preserve"> </w:t>
      </w:r>
      <w:r>
        <w:t>a</w:t>
      </w:r>
      <w:r>
        <w:rPr>
          <w:spacing w:val="13"/>
        </w:rPr>
        <w:t xml:space="preserve"> </w:t>
      </w:r>
      <w:r>
        <w:t>otro,</w:t>
      </w:r>
      <w:r>
        <w:rPr>
          <w:spacing w:val="13"/>
        </w:rPr>
        <w:t xml:space="preserve"> </w:t>
      </w:r>
      <w:r>
        <w:t>los</w:t>
      </w:r>
      <w:r>
        <w:rPr>
          <w:spacing w:val="11"/>
        </w:rPr>
        <w:t xml:space="preserve"> </w:t>
      </w:r>
      <w:r>
        <w:t>negocios</w:t>
      </w:r>
      <w:r>
        <w:rPr>
          <w:spacing w:val="13"/>
        </w:rPr>
        <w:t xml:space="preserve"> </w:t>
      </w:r>
      <w:r>
        <w:t>tenían</w:t>
      </w:r>
      <w:r>
        <w:rPr>
          <w:spacing w:val="13"/>
        </w:rPr>
        <w:t xml:space="preserve"> </w:t>
      </w:r>
      <w:r>
        <w:t>que</w:t>
      </w:r>
      <w:r>
        <w:rPr>
          <w:spacing w:val="13"/>
        </w:rPr>
        <w:t xml:space="preserve"> </w:t>
      </w:r>
      <w:r>
        <w:rPr>
          <w:spacing w:val="-2"/>
        </w:rPr>
        <w:t>respetarse</w:t>
      </w:r>
      <w:bookmarkStart w:id="381" w:name="_bookmark288"/>
      <w:bookmarkStart w:id="382" w:name="_bookmark289"/>
      <w:bookmarkEnd w:id="381"/>
      <w:bookmarkEnd w:id="382"/>
      <w:r w:rsidR="00723920">
        <w:rPr>
          <w:spacing w:val="-2"/>
        </w:rPr>
        <w:t xml:space="preserve"> </w:t>
      </w:r>
      <w:r>
        <w:t>como</w:t>
      </w:r>
      <w:r>
        <w:rPr>
          <w:spacing w:val="-15"/>
        </w:rPr>
        <w:t xml:space="preserve"> </w:t>
      </w:r>
      <w:r>
        <w:t>se</w:t>
      </w:r>
      <w:r>
        <w:rPr>
          <w:spacing w:val="-15"/>
        </w:rPr>
        <w:t xml:space="preserve"> </w:t>
      </w:r>
      <w:r>
        <w:t>pactaban,</w:t>
      </w:r>
      <w:r>
        <w:rPr>
          <w:spacing w:val="-15"/>
        </w:rPr>
        <w:t xml:space="preserve"> </w:t>
      </w:r>
      <w:r>
        <w:t>no</w:t>
      </w:r>
      <w:r>
        <w:rPr>
          <w:spacing w:val="-15"/>
        </w:rPr>
        <w:t xml:space="preserve"> </w:t>
      </w:r>
      <w:r>
        <w:t>se</w:t>
      </w:r>
      <w:r>
        <w:rPr>
          <w:spacing w:val="-15"/>
        </w:rPr>
        <w:t xml:space="preserve"> </w:t>
      </w:r>
      <w:r>
        <w:t>podía</w:t>
      </w:r>
      <w:r>
        <w:rPr>
          <w:spacing w:val="-15"/>
        </w:rPr>
        <w:t xml:space="preserve"> </w:t>
      </w:r>
      <w:r>
        <w:t>robar,</w:t>
      </w:r>
      <w:r>
        <w:rPr>
          <w:spacing w:val="-15"/>
        </w:rPr>
        <w:t xml:space="preserve"> </w:t>
      </w:r>
      <w:r>
        <w:t>quien</w:t>
      </w:r>
      <w:r>
        <w:rPr>
          <w:spacing w:val="-15"/>
        </w:rPr>
        <w:t xml:space="preserve"> </w:t>
      </w:r>
      <w:r>
        <w:t>se</w:t>
      </w:r>
      <w:r>
        <w:rPr>
          <w:spacing w:val="-15"/>
        </w:rPr>
        <w:t xml:space="preserve"> </w:t>
      </w:r>
      <w:r>
        <w:t>robara</w:t>
      </w:r>
      <w:r>
        <w:rPr>
          <w:spacing w:val="-15"/>
        </w:rPr>
        <w:t xml:space="preserve"> </w:t>
      </w:r>
      <w:r>
        <w:t>un</w:t>
      </w:r>
      <w:r>
        <w:rPr>
          <w:spacing w:val="-15"/>
        </w:rPr>
        <w:t xml:space="preserve"> </w:t>
      </w:r>
      <w:r>
        <w:t>animal</w:t>
      </w:r>
      <w:r>
        <w:rPr>
          <w:spacing w:val="-15"/>
        </w:rPr>
        <w:t xml:space="preserve"> </w:t>
      </w:r>
      <w:r>
        <w:t>era</w:t>
      </w:r>
      <w:r>
        <w:rPr>
          <w:spacing w:val="-15"/>
        </w:rPr>
        <w:t xml:space="preserve"> </w:t>
      </w:r>
      <w:r>
        <w:t>la</w:t>
      </w:r>
      <w:r>
        <w:rPr>
          <w:spacing w:val="-15"/>
        </w:rPr>
        <w:t xml:space="preserve"> </w:t>
      </w:r>
      <w:r>
        <w:t>muerte,</w:t>
      </w:r>
      <w:r>
        <w:rPr>
          <w:spacing w:val="-15"/>
        </w:rPr>
        <w:t xml:space="preserve"> </w:t>
      </w:r>
      <w:r>
        <w:t>lo</w:t>
      </w:r>
      <w:r>
        <w:rPr>
          <w:spacing w:val="-15"/>
        </w:rPr>
        <w:t xml:space="preserve"> </w:t>
      </w:r>
      <w:r>
        <w:t>desaparecían, lo</w:t>
      </w:r>
      <w:r>
        <w:rPr>
          <w:spacing w:val="-1"/>
        </w:rPr>
        <w:t xml:space="preserve"> </w:t>
      </w:r>
      <w:r>
        <w:t>mataban,</w:t>
      </w:r>
      <w:r>
        <w:rPr>
          <w:spacing w:val="-2"/>
        </w:rPr>
        <w:t xml:space="preserve"> </w:t>
      </w:r>
      <w:r>
        <w:t>lo</w:t>
      </w:r>
      <w:r>
        <w:rPr>
          <w:spacing w:val="-1"/>
        </w:rPr>
        <w:t xml:space="preserve"> </w:t>
      </w:r>
      <w:r>
        <w:t>botaban</w:t>
      </w:r>
      <w:r>
        <w:rPr>
          <w:spacing w:val="-2"/>
        </w:rPr>
        <w:t xml:space="preserve"> </w:t>
      </w:r>
      <w:r>
        <w:t>al</w:t>
      </w:r>
      <w:r>
        <w:rPr>
          <w:spacing w:val="-1"/>
        </w:rPr>
        <w:t xml:space="preserve"> </w:t>
      </w:r>
      <w:r>
        <w:t>río,</w:t>
      </w:r>
      <w:r>
        <w:rPr>
          <w:spacing w:val="-2"/>
        </w:rPr>
        <w:t xml:space="preserve"> </w:t>
      </w:r>
      <w:r>
        <w:t>no</w:t>
      </w:r>
      <w:r>
        <w:rPr>
          <w:spacing w:val="-1"/>
        </w:rPr>
        <w:t xml:space="preserve"> </w:t>
      </w:r>
      <w:r>
        <w:t>había</w:t>
      </w:r>
      <w:r>
        <w:rPr>
          <w:spacing w:val="-1"/>
        </w:rPr>
        <w:t xml:space="preserve"> </w:t>
      </w:r>
      <w:r>
        <w:t>un</w:t>
      </w:r>
      <w:r>
        <w:rPr>
          <w:spacing w:val="-1"/>
        </w:rPr>
        <w:t xml:space="preserve"> </w:t>
      </w:r>
      <w:r>
        <w:t>violador,</w:t>
      </w:r>
      <w:r>
        <w:rPr>
          <w:spacing w:val="-1"/>
        </w:rPr>
        <w:t xml:space="preserve"> </w:t>
      </w:r>
      <w:r>
        <w:t>no</w:t>
      </w:r>
      <w:r>
        <w:rPr>
          <w:spacing w:val="-1"/>
        </w:rPr>
        <w:t xml:space="preserve"> </w:t>
      </w:r>
      <w:r>
        <w:t>se</w:t>
      </w:r>
      <w:r>
        <w:rPr>
          <w:spacing w:val="-1"/>
        </w:rPr>
        <w:t xml:space="preserve"> </w:t>
      </w:r>
      <w:r>
        <w:t>podía</w:t>
      </w:r>
      <w:r>
        <w:rPr>
          <w:spacing w:val="-1"/>
        </w:rPr>
        <w:t xml:space="preserve"> </w:t>
      </w:r>
      <w:r>
        <w:t>ir</w:t>
      </w:r>
      <w:r>
        <w:rPr>
          <w:spacing w:val="-1"/>
        </w:rPr>
        <w:t xml:space="preserve"> </w:t>
      </w:r>
      <w:r>
        <w:t>a</w:t>
      </w:r>
      <w:r>
        <w:rPr>
          <w:spacing w:val="-1"/>
        </w:rPr>
        <w:t xml:space="preserve"> </w:t>
      </w:r>
      <w:r>
        <w:t>abusar</w:t>
      </w:r>
      <w:r>
        <w:rPr>
          <w:spacing w:val="-1"/>
        </w:rPr>
        <w:t xml:space="preserve"> </w:t>
      </w:r>
      <w:r>
        <w:t>de</w:t>
      </w:r>
      <w:r>
        <w:rPr>
          <w:spacing w:val="-1"/>
        </w:rPr>
        <w:t xml:space="preserve"> </w:t>
      </w:r>
      <w:r>
        <w:t>un</w:t>
      </w:r>
      <w:r>
        <w:rPr>
          <w:spacing w:val="-1"/>
        </w:rPr>
        <w:t xml:space="preserve"> </w:t>
      </w:r>
      <w:r>
        <w:t>niño,</w:t>
      </w:r>
      <w:r>
        <w:rPr>
          <w:spacing w:val="-1"/>
        </w:rPr>
        <w:t xml:space="preserve"> </w:t>
      </w:r>
      <w:r>
        <w:t>todas esas</w:t>
      </w:r>
      <w:r>
        <w:rPr>
          <w:spacing w:val="-5"/>
        </w:rPr>
        <w:t xml:space="preserve"> </w:t>
      </w:r>
      <w:r>
        <w:t>normas</w:t>
      </w:r>
      <w:r>
        <w:rPr>
          <w:spacing w:val="-5"/>
        </w:rPr>
        <w:t xml:space="preserve"> </w:t>
      </w:r>
      <w:r>
        <w:t>las</w:t>
      </w:r>
      <w:r>
        <w:rPr>
          <w:spacing w:val="-5"/>
        </w:rPr>
        <w:t xml:space="preserve"> </w:t>
      </w:r>
      <w:r>
        <w:t>tenía</w:t>
      </w:r>
      <w:r>
        <w:rPr>
          <w:spacing w:val="-5"/>
        </w:rPr>
        <w:t xml:space="preserve"> </w:t>
      </w:r>
      <w:r>
        <w:t>la</w:t>
      </w:r>
      <w:r>
        <w:rPr>
          <w:spacing w:val="-5"/>
        </w:rPr>
        <w:t xml:space="preserve"> </w:t>
      </w:r>
      <w:r>
        <w:t>guerrilla.</w:t>
      </w:r>
      <w:r>
        <w:rPr>
          <w:spacing w:val="-6"/>
        </w:rPr>
        <w:t xml:space="preserve"> </w:t>
      </w:r>
      <w:r>
        <w:t>Porque</w:t>
      </w:r>
      <w:r>
        <w:rPr>
          <w:spacing w:val="-5"/>
        </w:rPr>
        <w:t xml:space="preserve"> </w:t>
      </w:r>
      <w:r>
        <w:t>si</w:t>
      </w:r>
      <w:r>
        <w:rPr>
          <w:spacing w:val="-5"/>
        </w:rPr>
        <w:t xml:space="preserve"> </w:t>
      </w:r>
      <w:r>
        <w:t>algo</w:t>
      </w:r>
      <w:r>
        <w:rPr>
          <w:spacing w:val="-5"/>
        </w:rPr>
        <w:t xml:space="preserve"> </w:t>
      </w:r>
      <w:r>
        <w:t>había</w:t>
      </w:r>
      <w:r>
        <w:rPr>
          <w:spacing w:val="-5"/>
        </w:rPr>
        <w:t xml:space="preserve"> </w:t>
      </w:r>
      <w:r>
        <w:t>y</w:t>
      </w:r>
      <w:r>
        <w:rPr>
          <w:spacing w:val="-5"/>
        </w:rPr>
        <w:t xml:space="preserve"> </w:t>
      </w:r>
      <w:r>
        <w:t>yo</w:t>
      </w:r>
      <w:r>
        <w:rPr>
          <w:spacing w:val="-5"/>
        </w:rPr>
        <w:t xml:space="preserve"> </w:t>
      </w:r>
      <w:r>
        <w:t>doy</w:t>
      </w:r>
      <w:r>
        <w:rPr>
          <w:spacing w:val="-5"/>
        </w:rPr>
        <w:t xml:space="preserve"> </w:t>
      </w:r>
      <w:r>
        <w:t>fe</w:t>
      </w:r>
      <w:r>
        <w:rPr>
          <w:spacing w:val="-5"/>
        </w:rPr>
        <w:t xml:space="preserve"> </w:t>
      </w:r>
      <w:r>
        <w:t>de</w:t>
      </w:r>
      <w:r>
        <w:rPr>
          <w:spacing w:val="-5"/>
        </w:rPr>
        <w:t xml:space="preserve"> </w:t>
      </w:r>
      <w:r>
        <w:t>eso,</w:t>
      </w:r>
      <w:r>
        <w:rPr>
          <w:spacing w:val="-5"/>
        </w:rPr>
        <w:t xml:space="preserve"> </w:t>
      </w:r>
      <w:r>
        <w:t>es</w:t>
      </w:r>
      <w:r>
        <w:rPr>
          <w:spacing w:val="-5"/>
        </w:rPr>
        <w:t xml:space="preserve"> </w:t>
      </w:r>
      <w:r>
        <w:t>que</w:t>
      </w:r>
      <w:r>
        <w:rPr>
          <w:spacing w:val="-5"/>
        </w:rPr>
        <w:t xml:space="preserve"> </w:t>
      </w:r>
      <w:r>
        <w:t>usted</w:t>
      </w:r>
      <w:r>
        <w:rPr>
          <w:spacing w:val="-5"/>
        </w:rPr>
        <w:t xml:space="preserve"> </w:t>
      </w:r>
      <w:r>
        <w:t>como mujer podía quedarse sola en el monte, en una finca ocho, quince, veinte días, y nadie se atrevía</w:t>
      </w:r>
      <w:r>
        <w:rPr>
          <w:spacing w:val="-7"/>
        </w:rPr>
        <w:t xml:space="preserve"> </w:t>
      </w:r>
      <w:r>
        <w:t>a</w:t>
      </w:r>
      <w:r>
        <w:rPr>
          <w:spacing w:val="-8"/>
        </w:rPr>
        <w:t xml:space="preserve"> </w:t>
      </w:r>
      <w:r>
        <w:t>tocarla,</w:t>
      </w:r>
      <w:r>
        <w:rPr>
          <w:spacing w:val="-8"/>
        </w:rPr>
        <w:t xml:space="preserve"> </w:t>
      </w:r>
      <w:r>
        <w:t>o</w:t>
      </w:r>
      <w:r>
        <w:rPr>
          <w:spacing w:val="-7"/>
        </w:rPr>
        <w:t xml:space="preserve"> </w:t>
      </w:r>
      <w:r>
        <w:t>con</w:t>
      </w:r>
      <w:r>
        <w:rPr>
          <w:spacing w:val="-7"/>
        </w:rPr>
        <w:t xml:space="preserve"> </w:t>
      </w:r>
      <w:r>
        <w:t>una</w:t>
      </w:r>
      <w:r>
        <w:rPr>
          <w:spacing w:val="-7"/>
        </w:rPr>
        <w:t xml:space="preserve"> </w:t>
      </w:r>
      <w:r>
        <w:t>niña,</w:t>
      </w:r>
      <w:r>
        <w:rPr>
          <w:spacing w:val="-8"/>
        </w:rPr>
        <w:t xml:space="preserve"> </w:t>
      </w:r>
      <w:r>
        <w:t>eso</w:t>
      </w:r>
      <w:r>
        <w:rPr>
          <w:spacing w:val="-8"/>
        </w:rPr>
        <w:t xml:space="preserve"> </w:t>
      </w:r>
      <w:r>
        <w:t>no</w:t>
      </w:r>
      <w:r>
        <w:rPr>
          <w:spacing w:val="-7"/>
        </w:rPr>
        <w:t xml:space="preserve"> </w:t>
      </w:r>
      <w:r>
        <w:t>existía</w:t>
      </w:r>
      <w:r>
        <w:rPr>
          <w:spacing w:val="-7"/>
        </w:rPr>
        <w:t xml:space="preserve"> </w:t>
      </w:r>
      <w:r>
        <w:t>porque</w:t>
      </w:r>
      <w:r>
        <w:rPr>
          <w:spacing w:val="-7"/>
        </w:rPr>
        <w:t xml:space="preserve"> </w:t>
      </w:r>
      <w:r>
        <w:t>se</w:t>
      </w:r>
      <w:r>
        <w:rPr>
          <w:spacing w:val="-8"/>
        </w:rPr>
        <w:t xml:space="preserve"> </w:t>
      </w:r>
      <w:r>
        <w:t>sabía</w:t>
      </w:r>
      <w:r>
        <w:rPr>
          <w:spacing w:val="-7"/>
        </w:rPr>
        <w:t xml:space="preserve"> </w:t>
      </w:r>
      <w:r>
        <w:t>que</w:t>
      </w:r>
      <w:r>
        <w:rPr>
          <w:spacing w:val="-7"/>
        </w:rPr>
        <w:t xml:space="preserve"> </w:t>
      </w:r>
      <w:r>
        <w:t>el</w:t>
      </w:r>
      <w:r>
        <w:rPr>
          <w:spacing w:val="-7"/>
        </w:rPr>
        <w:t xml:space="preserve"> </w:t>
      </w:r>
      <w:r>
        <w:t>que</w:t>
      </w:r>
      <w:r>
        <w:rPr>
          <w:spacing w:val="-8"/>
        </w:rPr>
        <w:t xml:space="preserve"> </w:t>
      </w:r>
      <w:r>
        <w:t>atentara</w:t>
      </w:r>
      <w:r>
        <w:rPr>
          <w:spacing w:val="-8"/>
        </w:rPr>
        <w:t xml:space="preserve"> </w:t>
      </w:r>
      <w:r>
        <w:t>contra</w:t>
      </w:r>
      <w:r>
        <w:rPr>
          <w:spacing w:val="-7"/>
        </w:rPr>
        <w:t xml:space="preserve"> </w:t>
      </w:r>
      <w:r>
        <w:t>eso se moría»</w:t>
      </w:r>
      <w:r w:rsidR="00D108AD">
        <w:rPr>
          <w:rStyle w:val="Refdenotaalpie"/>
        </w:rPr>
        <w:footnoteReference w:id="250"/>
      </w:r>
      <w:r>
        <w:t>.</w:t>
      </w:r>
    </w:p>
    <w:p w:rsidR="003804AC" w:rsidRDefault="00AF18A5" w:rsidP="00D108AD">
      <w:r>
        <w:t xml:space="preserve">Numerosas formas de violencia contra la población se dieron en ese </w:t>
      </w:r>
      <w:r>
        <w:lastRenderedPageBreak/>
        <w:t>escenario y las perspectivas que los pobladores tienen de lo acontecido son diferentes. Así, para una pobladora de Vistahermosa: «Eso fue un secuestro, es que yo siempre he dicho que Vistahermosa debe ser reparada colectivamente por haber sido secuestrados, no podíamos hacer nada sin autorización de la guerrilla»</w:t>
      </w:r>
      <w:r w:rsidR="00D108AD">
        <w:rPr>
          <w:rStyle w:val="Refdenotaalpie"/>
        </w:rPr>
        <w:footnoteReference w:id="251"/>
      </w:r>
      <w:r>
        <w:t>.</w:t>
      </w:r>
    </w:p>
    <w:p w:rsidR="003804AC" w:rsidRDefault="00AF18A5" w:rsidP="00D108AD">
      <w:r>
        <w:t>Las condiciones políticas y las tensiones a raíz de las características político-militares de la</w:t>
      </w:r>
      <w:r>
        <w:rPr>
          <w:spacing w:val="-11"/>
        </w:rPr>
        <w:t xml:space="preserve"> </w:t>
      </w:r>
      <w:r>
        <w:t>ocupación</w:t>
      </w:r>
      <w:r>
        <w:rPr>
          <w:spacing w:val="-12"/>
        </w:rPr>
        <w:t xml:space="preserve"> </w:t>
      </w:r>
      <w:r>
        <w:t>de</w:t>
      </w:r>
      <w:r>
        <w:rPr>
          <w:spacing w:val="-11"/>
        </w:rPr>
        <w:t xml:space="preserve"> </w:t>
      </w:r>
      <w:r>
        <w:t>las</w:t>
      </w:r>
      <w:r>
        <w:rPr>
          <w:spacing w:val="-11"/>
        </w:rPr>
        <w:t xml:space="preserve"> </w:t>
      </w:r>
      <w:r>
        <w:t>FARC-EP</w:t>
      </w:r>
      <w:r>
        <w:rPr>
          <w:spacing w:val="-11"/>
        </w:rPr>
        <w:t xml:space="preserve"> </w:t>
      </w:r>
      <w:r>
        <w:t>de</w:t>
      </w:r>
      <w:r>
        <w:rPr>
          <w:spacing w:val="-11"/>
        </w:rPr>
        <w:t xml:space="preserve"> </w:t>
      </w:r>
      <w:r>
        <w:t>los</w:t>
      </w:r>
      <w:r>
        <w:rPr>
          <w:spacing w:val="-11"/>
        </w:rPr>
        <w:t xml:space="preserve"> </w:t>
      </w:r>
      <w:r>
        <w:t>territorios</w:t>
      </w:r>
      <w:r>
        <w:rPr>
          <w:spacing w:val="-11"/>
        </w:rPr>
        <w:t xml:space="preserve"> </w:t>
      </w:r>
      <w:r>
        <w:t>que</w:t>
      </w:r>
      <w:r>
        <w:rPr>
          <w:spacing w:val="-11"/>
        </w:rPr>
        <w:t xml:space="preserve"> </w:t>
      </w:r>
      <w:r>
        <w:t>conformaron</w:t>
      </w:r>
      <w:r>
        <w:rPr>
          <w:spacing w:val="-11"/>
        </w:rPr>
        <w:t xml:space="preserve"> </w:t>
      </w:r>
      <w:r>
        <w:t>la</w:t>
      </w:r>
      <w:r>
        <w:rPr>
          <w:spacing w:val="-11"/>
        </w:rPr>
        <w:t xml:space="preserve"> </w:t>
      </w:r>
      <w:r>
        <w:t>zona</w:t>
      </w:r>
      <w:r>
        <w:rPr>
          <w:spacing w:val="-11"/>
        </w:rPr>
        <w:t xml:space="preserve"> </w:t>
      </w:r>
      <w:r>
        <w:t>de</w:t>
      </w:r>
      <w:r>
        <w:rPr>
          <w:spacing w:val="-11"/>
        </w:rPr>
        <w:t xml:space="preserve"> </w:t>
      </w:r>
      <w:r>
        <w:t>despeje</w:t>
      </w:r>
      <w:r>
        <w:rPr>
          <w:spacing w:val="-11"/>
        </w:rPr>
        <w:t xml:space="preserve"> </w:t>
      </w:r>
      <w:r>
        <w:t>se</w:t>
      </w:r>
      <w:r>
        <w:rPr>
          <w:spacing w:val="-12"/>
        </w:rPr>
        <w:t xml:space="preserve"> </w:t>
      </w:r>
      <w:r>
        <w:t>vieron especialmente reflejadas en la expulsión de funcionarios públicos y judiciales, así como en la</w:t>
      </w:r>
      <w:r>
        <w:rPr>
          <w:spacing w:val="-8"/>
        </w:rPr>
        <w:t xml:space="preserve"> </w:t>
      </w:r>
      <w:r>
        <w:t>reiterada</w:t>
      </w:r>
      <w:r>
        <w:rPr>
          <w:spacing w:val="-11"/>
        </w:rPr>
        <w:t xml:space="preserve"> </w:t>
      </w:r>
      <w:r>
        <w:t>negativa</w:t>
      </w:r>
      <w:r>
        <w:rPr>
          <w:spacing w:val="-8"/>
        </w:rPr>
        <w:t xml:space="preserve"> </w:t>
      </w:r>
      <w:r>
        <w:t>de</w:t>
      </w:r>
      <w:r>
        <w:rPr>
          <w:spacing w:val="-9"/>
        </w:rPr>
        <w:t xml:space="preserve"> </w:t>
      </w:r>
      <w:r>
        <w:t>esa</w:t>
      </w:r>
      <w:r>
        <w:rPr>
          <w:spacing w:val="-8"/>
        </w:rPr>
        <w:t xml:space="preserve"> </w:t>
      </w:r>
      <w:r>
        <w:t>guerrilla</w:t>
      </w:r>
      <w:r>
        <w:rPr>
          <w:spacing w:val="-10"/>
        </w:rPr>
        <w:t xml:space="preserve"> </w:t>
      </w:r>
      <w:r>
        <w:t>a</w:t>
      </w:r>
      <w:r>
        <w:rPr>
          <w:spacing w:val="-8"/>
        </w:rPr>
        <w:t xml:space="preserve"> </w:t>
      </w:r>
      <w:r>
        <w:t>la</w:t>
      </w:r>
      <w:r>
        <w:rPr>
          <w:spacing w:val="-8"/>
        </w:rPr>
        <w:t xml:space="preserve"> </w:t>
      </w:r>
      <w:r>
        <w:t>presencia</w:t>
      </w:r>
      <w:r>
        <w:rPr>
          <w:spacing w:val="-8"/>
        </w:rPr>
        <w:t xml:space="preserve"> </w:t>
      </w:r>
      <w:r>
        <w:t>del</w:t>
      </w:r>
      <w:r>
        <w:rPr>
          <w:spacing w:val="-8"/>
        </w:rPr>
        <w:t xml:space="preserve"> </w:t>
      </w:r>
      <w:r>
        <w:t>Estado</w:t>
      </w:r>
      <w:r>
        <w:rPr>
          <w:spacing w:val="-10"/>
        </w:rPr>
        <w:t xml:space="preserve"> </w:t>
      </w:r>
      <w:r>
        <w:t>en</w:t>
      </w:r>
      <w:r>
        <w:rPr>
          <w:spacing w:val="-8"/>
        </w:rPr>
        <w:t xml:space="preserve"> </w:t>
      </w:r>
      <w:r>
        <w:t>las</w:t>
      </w:r>
      <w:r>
        <w:rPr>
          <w:spacing w:val="-9"/>
        </w:rPr>
        <w:t xml:space="preserve"> </w:t>
      </w:r>
      <w:r>
        <w:t>regiones</w:t>
      </w:r>
      <w:r>
        <w:rPr>
          <w:spacing w:val="-8"/>
        </w:rPr>
        <w:t xml:space="preserve"> </w:t>
      </w:r>
      <w:r>
        <w:t>bajo</w:t>
      </w:r>
      <w:r>
        <w:rPr>
          <w:spacing w:val="-8"/>
        </w:rPr>
        <w:t xml:space="preserve"> </w:t>
      </w:r>
      <w:r>
        <w:t>su</w:t>
      </w:r>
      <w:r>
        <w:rPr>
          <w:spacing w:val="-10"/>
        </w:rPr>
        <w:t xml:space="preserve"> </w:t>
      </w:r>
      <w:r>
        <w:t>control. Tras el fin del despeje, la intensificación del conflicto en la zona impactó en las dinámicas cotidianas de las comunidades y el funcionamiento de los gobiernos locales.</w:t>
      </w:r>
    </w:p>
    <w:p w:rsidR="003804AC" w:rsidRDefault="00AF18A5" w:rsidP="00D108AD">
      <w:r>
        <w:t>«Sí.</w:t>
      </w:r>
      <w:r>
        <w:rPr>
          <w:spacing w:val="-11"/>
        </w:rPr>
        <w:t xml:space="preserve"> </w:t>
      </w:r>
      <w:r>
        <w:t>Demasiado</w:t>
      </w:r>
      <w:r>
        <w:rPr>
          <w:spacing w:val="-11"/>
        </w:rPr>
        <w:t xml:space="preserve"> </w:t>
      </w:r>
      <w:r>
        <w:t>impacto:</w:t>
      </w:r>
      <w:r>
        <w:rPr>
          <w:spacing w:val="-10"/>
        </w:rPr>
        <w:t xml:space="preserve"> </w:t>
      </w:r>
      <w:r>
        <w:t>le</w:t>
      </w:r>
      <w:r>
        <w:rPr>
          <w:spacing w:val="-11"/>
        </w:rPr>
        <w:t xml:space="preserve"> </w:t>
      </w:r>
      <w:r>
        <w:t>tocó</w:t>
      </w:r>
      <w:r>
        <w:rPr>
          <w:spacing w:val="-11"/>
        </w:rPr>
        <w:t xml:space="preserve"> </w:t>
      </w:r>
      <w:r>
        <w:t>irse</w:t>
      </w:r>
      <w:r>
        <w:rPr>
          <w:spacing w:val="-12"/>
        </w:rPr>
        <w:t xml:space="preserve"> </w:t>
      </w:r>
      <w:r>
        <w:t>a</w:t>
      </w:r>
      <w:r>
        <w:rPr>
          <w:spacing w:val="-11"/>
        </w:rPr>
        <w:t xml:space="preserve"> </w:t>
      </w:r>
      <w:r>
        <w:t>la</w:t>
      </w:r>
      <w:r>
        <w:rPr>
          <w:spacing w:val="-11"/>
        </w:rPr>
        <w:t xml:space="preserve"> </w:t>
      </w:r>
      <w:r>
        <w:t>administración</w:t>
      </w:r>
      <w:r>
        <w:rPr>
          <w:spacing w:val="-11"/>
        </w:rPr>
        <w:t xml:space="preserve"> </w:t>
      </w:r>
      <w:r>
        <w:t>de</w:t>
      </w:r>
      <w:r>
        <w:rPr>
          <w:spacing w:val="-11"/>
        </w:rPr>
        <w:t xml:space="preserve"> </w:t>
      </w:r>
      <w:r>
        <w:t>aquí.</w:t>
      </w:r>
      <w:r>
        <w:rPr>
          <w:spacing w:val="-11"/>
        </w:rPr>
        <w:t xml:space="preserve"> </w:t>
      </w:r>
      <w:r>
        <w:t>Eso</w:t>
      </w:r>
      <w:r>
        <w:rPr>
          <w:spacing w:val="-11"/>
        </w:rPr>
        <w:t xml:space="preserve"> </w:t>
      </w:r>
      <w:r>
        <w:t>después</w:t>
      </w:r>
      <w:r>
        <w:rPr>
          <w:spacing w:val="-11"/>
        </w:rPr>
        <w:t xml:space="preserve"> </w:t>
      </w:r>
      <w:r>
        <w:t>del</w:t>
      </w:r>
      <w:r>
        <w:rPr>
          <w:spacing w:val="-10"/>
        </w:rPr>
        <w:t xml:space="preserve"> </w:t>
      </w:r>
      <w:r>
        <w:t>despeje, pues</w:t>
      </w:r>
      <w:r>
        <w:rPr>
          <w:spacing w:val="-15"/>
        </w:rPr>
        <w:t xml:space="preserve"> </w:t>
      </w:r>
      <w:r>
        <w:t>metieron</w:t>
      </w:r>
      <w:r>
        <w:rPr>
          <w:spacing w:val="-15"/>
        </w:rPr>
        <w:t xml:space="preserve"> </w:t>
      </w:r>
      <w:r>
        <w:t>una</w:t>
      </w:r>
      <w:r>
        <w:rPr>
          <w:spacing w:val="-15"/>
        </w:rPr>
        <w:t xml:space="preserve"> </w:t>
      </w:r>
      <w:r>
        <w:t>bomba.</w:t>
      </w:r>
      <w:r>
        <w:rPr>
          <w:spacing w:val="-15"/>
        </w:rPr>
        <w:t xml:space="preserve"> </w:t>
      </w:r>
      <w:r>
        <w:t>Se</w:t>
      </w:r>
      <w:r>
        <w:rPr>
          <w:spacing w:val="-15"/>
        </w:rPr>
        <w:t xml:space="preserve"> </w:t>
      </w:r>
      <w:r>
        <w:t>metieron</w:t>
      </w:r>
      <w:r>
        <w:rPr>
          <w:spacing w:val="-15"/>
        </w:rPr>
        <w:t xml:space="preserve"> </w:t>
      </w:r>
      <w:r>
        <w:t>por</w:t>
      </w:r>
      <w:r>
        <w:rPr>
          <w:spacing w:val="-15"/>
        </w:rPr>
        <w:t xml:space="preserve"> </w:t>
      </w:r>
      <w:r>
        <w:t>ahí</w:t>
      </w:r>
      <w:r>
        <w:rPr>
          <w:spacing w:val="-15"/>
        </w:rPr>
        <w:t xml:space="preserve"> </w:t>
      </w:r>
      <w:r>
        <w:t>por</w:t>
      </w:r>
      <w:r>
        <w:rPr>
          <w:spacing w:val="-15"/>
        </w:rPr>
        <w:t xml:space="preserve"> </w:t>
      </w:r>
      <w:r>
        <w:t>la</w:t>
      </w:r>
      <w:r>
        <w:rPr>
          <w:spacing w:val="-15"/>
        </w:rPr>
        <w:t xml:space="preserve"> </w:t>
      </w:r>
      <w:r>
        <w:t>orilla</w:t>
      </w:r>
      <w:r>
        <w:rPr>
          <w:spacing w:val="-15"/>
        </w:rPr>
        <w:t xml:space="preserve"> </w:t>
      </w:r>
      <w:r>
        <w:t>del</w:t>
      </w:r>
      <w:r>
        <w:rPr>
          <w:spacing w:val="-15"/>
        </w:rPr>
        <w:t xml:space="preserve"> </w:t>
      </w:r>
      <w:r>
        <w:t>río,</w:t>
      </w:r>
      <w:r>
        <w:rPr>
          <w:spacing w:val="-15"/>
        </w:rPr>
        <w:t xml:space="preserve"> </w:t>
      </w:r>
      <w:r>
        <w:t>por</w:t>
      </w:r>
      <w:r>
        <w:rPr>
          <w:spacing w:val="-15"/>
        </w:rPr>
        <w:t xml:space="preserve"> </w:t>
      </w:r>
      <w:r>
        <w:t>la</w:t>
      </w:r>
      <w:r>
        <w:rPr>
          <w:spacing w:val="-15"/>
        </w:rPr>
        <w:t xml:space="preserve"> </w:t>
      </w:r>
      <w:r>
        <w:t>alcantarilla</w:t>
      </w:r>
      <w:r>
        <w:rPr>
          <w:spacing w:val="-15"/>
        </w:rPr>
        <w:t xml:space="preserve"> </w:t>
      </w:r>
      <w:r>
        <w:t>metieron una bomba y tumbaron la Alcaldía. Entonces, al tumbar la Alcaldía, pues la mayoría de los funcionarios se fueron para Florencia. La única que me quedé trabajando acá fui yo, aquí. Aquí</w:t>
      </w:r>
      <w:r>
        <w:rPr>
          <w:spacing w:val="-4"/>
        </w:rPr>
        <w:t xml:space="preserve"> </w:t>
      </w:r>
      <w:r>
        <w:t>en</w:t>
      </w:r>
      <w:r>
        <w:rPr>
          <w:spacing w:val="-5"/>
        </w:rPr>
        <w:t xml:space="preserve"> </w:t>
      </w:r>
      <w:r>
        <w:t>esta</w:t>
      </w:r>
      <w:r>
        <w:rPr>
          <w:spacing w:val="-6"/>
        </w:rPr>
        <w:t xml:space="preserve"> </w:t>
      </w:r>
      <w:r>
        <w:t>casita</w:t>
      </w:r>
      <w:r>
        <w:rPr>
          <w:spacing w:val="-5"/>
        </w:rPr>
        <w:t xml:space="preserve"> </w:t>
      </w:r>
      <w:r>
        <w:t>trabajé</w:t>
      </w:r>
      <w:r>
        <w:rPr>
          <w:spacing w:val="-5"/>
        </w:rPr>
        <w:t xml:space="preserve"> </w:t>
      </w:r>
      <w:r>
        <w:t>en</w:t>
      </w:r>
      <w:r>
        <w:rPr>
          <w:spacing w:val="-5"/>
        </w:rPr>
        <w:t xml:space="preserve"> </w:t>
      </w:r>
      <w:r>
        <w:t>la</w:t>
      </w:r>
      <w:r>
        <w:rPr>
          <w:spacing w:val="-5"/>
        </w:rPr>
        <w:t xml:space="preserve"> </w:t>
      </w:r>
      <w:r>
        <w:t>parte</w:t>
      </w:r>
      <w:r>
        <w:rPr>
          <w:spacing w:val="-6"/>
        </w:rPr>
        <w:t xml:space="preserve"> </w:t>
      </w:r>
      <w:r>
        <w:t>educativa</w:t>
      </w:r>
      <w:r>
        <w:rPr>
          <w:spacing w:val="-5"/>
        </w:rPr>
        <w:t xml:space="preserve"> </w:t>
      </w:r>
      <w:r>
        <w:t>porque</w:t>
      </w:r>
      <w:r>
        <w:rPr>
          <w:spacing w:val="-5"/>
        </w:rPr>
        <w:t xml:space="preserve"> </w:t>
      </w:r>
      <w:r>
        <w:t>yo</w:t>
      </w:r>
      <w:r>
        <w:rPr>
          <w:spacing w:val="-5"/>
        </w:rPr>
        <w:t xml:space="preserve"> </w:t>
      </w:r>
      <w:r>
        <w:t>era</w:t>
      </w:r>
      <w:r>
        <w:rPr>
          <w:spacing w:val="-5"/>
        </w:rPr>
        <w:t xml:space="preserve"> </w:t>
      </w:r>
      <w:r>
        <w:t>la</w:t>
      </w:r>
      <w:r>
        <w:rPr>
          <w:spacing w:val="-5"/>
        </w:rPr>
        <w:t xml:space="preserve"> </w:t>
      </w:r>
      <w:r>
        <w:t>coordinadora</w:t>
      </w:r>
      <w:r>
        <w:rPr>
          <w:spacing w:val="-5"/>
        </w:rPr>
        <w:t xml:space="preserve"> </w:t>
      </w:r>
      <w:r>
        <w:t>de</w:t>
      </w:r>
      <w:r>
        <w:rPr>
          <w:spacing w:val="-5"/>
        </w:rPr>
        <w:t xml:space="preserve"> </w:t>
      </w:r>
      <w:r>
        <w:t>educación, y</w:t>
      </w:r>
      <w:r>
        <w:rPr>
          <w:spacing w:val="-7"/>
        </w:rPr>
        <w:t xml:space="preserve"> </w:t>
      </w:r>
      <w:r>
        <w:t>aquí</w:t>
      </w:r>
      <w:r>
        <w:rPr>
          <w:spacing w:val="-8"/>
        </w:rPr>
        <w:t xml:space="preserve"> </w:t>
      </w:r>
      <w:r>
        <w:t>manejaba</w:t>
      </w:r>
      <w:r>
        <w:rPr>
          <w:spacing w:val="-8"/>
        </w:rPr>
        <w:t xml:space="preserve"> </w:t>
      </w:r>
      <w:r>
        <w:t>a</w:t>
      </w:r>
      <w:r>
        <w:rPr>
          <w:spacing w:val="-8"/>
        </w:rPr>
        <w:t xml:space="preserve"> </w:t>
      </w:r>
      <w:r>
        <w:t>todos</w:t>
      </w:r>
      <w:r>
        <w:rPr>
          <w:spacing w:val="-8"/>
        </w:rPr>
        <w:t xml:space="preserve"> </w:t>
      </w:r>
      <w:r>
        <w:t>los</w:t>
      </w:r>
      <w:r>
        <w:rPr>
          <w:spacing w:val="-8"/>
        </w:rPr>
        <w:t xml:space="preserve"> </w:t>
      </w:r>
      <w:r>
        <w:t>maestros:</w:t>
      </w:r>
      <w:r>
        <w:rPr>
          <w:spacing w:val="-7"/>
        </w:rPr>
        <w:t xml:space="preserve"> </w:t>
      </w:r>
      <w:r>
        <w:t>hacían</w:t>
      </w:r>
      <w:r>
        <w:rPr>
          <w:spacing w:val="-8"/>
        </w:rPr>
        <w:t xml:space="preserve"> </w:t>
      </w:r>
      <w:r>
        <w:t>una</w:t>
      </w:r>
      <w:r>
        <w:rPr>
          <w:spacing w:val="-8"/>
        </w:rPr>
        <w:t xml:space="preserve"> </w:t>
      </w:r>
      <w:r>
        <w:t>fila</w:t>
      </w:r>
      <w:r>
        <w:rPr>
          <w:spacing w:val="-7"/>
        </w:rPr>
        <w:t xml:space="preserve"> </w:t>
      </w:r>
      <w:r>
        <w:t>allá</w:t>
      </w:r>
      <w:r>
        <w:rPr>
          <w:spacing w:val="-8"/>
        </w:rPr>
        <w:t xml:space="preserve"> </w:t>
      </w:r>
      <w:r>
        <w:t>abajo,</w:t>
      </w:r>
      <w:r>
        <w:rPr>
          <w:spacing w:val="-7"/>
        </w:rPr>
        <w:t xml:space="preserve"> </w:t>
      </w:r>
      <w:r>
        <w:t>por</w:t>
      </w:r>
      <w:r>
        <w:rPr>
          <w:spacing w:val="-7"/>
        </w:rPr>
        <w:t xml:space="preserve"> </w:t>
      </w:r>
      <w:r>
        <w:t>donde</w:t>
      </w:r>
      <w:r>
        <w:rPr>
          <w:spacing w:val="-8"/>
        </w:rPr>
        <w:t xml:space="preserve"> </w:t>
      </w:r>
      <w:r>
        <w:t>me</w:t>
      </w:r>
      <w:r>
        <w:rPr>
          <w:spacing w:val="-8"/>
        </w:rPr>
        <w:t xml:space="preserve"> </w:t>
      </w:r>
      <w:r>
        <w:t>mandaban</w:t>
      </w:r>
      <w:r>
        <w:rPr>
          <w:spacing w:val="-7"/>
        </w:rPr>
        <w:t xml:space="preserve"> </w:t>
      </w:r>
      <w:r>
        <w:t>los cheques,</w:t>
      </w:r>
      <w:r>
        <w:rPr>
          <w:spacing w:val="5"/>
        </w:rPr>
        <w:t xml:space="preserve"> </w:t>
      </w:r>
      <w:r>
        <w:t>y</w:t>
      </w:r>
      <w:r>
        <w:rPr>
          <w:spacing w:val="5"/>
        </w:rPr>
        <w:t xml:space="preserve"> </w:t>
      </w:r>
      <w:r>
        <w:t>me</w:t>
      </w:r>
      <w:r>
        <w:rPr>
          <w:spacing w:val="5"/>
        </w:rPr>
        <w:t xml:space="preserve"> </w:t>
      </w:r>
      <w:r>
        <w:t>tocaba</w:t>
      </w:r>
      <w:r>
        <w:rPr>
          <w:spacing w:val="5"/>
        </w:rPr>
        <w:t xml:space="preserve"> </w:t>
      </w:r>
      <w:r>
        <w:t>entregárselos</w:t>
      </w:r>
      <w:r>
        <w:rPr>
          <w:spacing w:val="5"/>
        </w:rPr>
        <w:t xml:space="preserve"> </w:t>
      </w:r>
      <w:r>
        <w:t>a</w:t>
      </w:r>
      <w:r>
        <w:rPr>
          <w:spacing w:val="5"/>
        </w:rPr>
        <w:t xml:space="preserve"> </w:t>
      </w:r>
      <w:r>
        <w:t>ellos</w:t>
      </w:r>
      <w:r>
        <w:rPr>
          <w:spacing w:val="5"/>
        </w:rPr>
        <w:t xml:space="preserve"> </w:t>
      </w:r>
      <w:r>
        <w:t>ahí,</w:t>
      </w:r>
      <w:r>
        <w:rPr>
          <w:spacing w:val="5"/>
        </w:rPr>
        <w:t xml:space="preserve"> </w:t>
      </w:r>
      <w:r>
        <w:t>pero</w:t>
      </w:r>
      <w:r>
        <w:rPr>
          <w:spacing w:val="5"/>
        </w:rPr>
        <w:t xml:space="preserve"> </w:t>
      </w:r>
      <w:r>
        <w:t>desde</w:t>
      </w:r>
      <w:r>
        <w:rPr>
          <w:spacing w:val="5"/>
        </w:rPr>
        <w:t xml:space="preserve"> </w:t>
      </w:r>
      <w:r>
        <w:t>aquí</w:t>
      </w:r>
      <w:r>
        <w:rPr>
          <w:spacing w:val="5"/>
        </w:rPr>
        <w:t xml:space="preserve"> </w:t>
      </w:r>
      <w:r>
        <w:t>manejamos</w:t>
      </w:r>
      <w:r>
        <w:rPr>
          <w:spacing w:val="5"/>
        </w:rPr>
        <w:t xml:space="preserve"> </w:t>
      </w:r>
      <w:r>
        <w:t>la</w:t>
      </w:r>
      <w:r>
        <w:rPr>
          <w:spacing w:val="5"/>
        </w:rPr>
        <w:t xml:space="preserve"> </w:t>
      </w:r>
      <w:r>
        <w:t>educación.</w:t>
      </w:r>
      <w:r>
        <w:rPr>
          <w:spacing w:val="6"/>
        </w:rPr>
        <w:t xml:space="preserve"> </w:t>
      </w:r>
      <w:r>
        <w:rPr>
          <w:spacing w:val="-10"/>
        </w:rPr>
        <w:t>Y</w:t>
      </w:r>
      <w:bookmarkStart w:id="383" w:name="_bookmark290"/>
      <w:bookmarkStart w:id="384" w:name="_bookmark291"/>
      <w:bookmarkEnd w:id="383"/>
      <w:bookmarkEnd w:id="384"/>
      <w:r w:rsidR="00D108AD">
        <w:rPr>
          <w:spacing w:val="-10"/>
        </w:rPr>
        <w:t xml:space="preserve"> </w:t>
      </w:r>
      <w:r>
        <w:t>pues yo fui la única que no me fui por lo que, a pesar de los problemas que había tenido la Alcaldía,</w:t>
      </w:r>
      <w:r>
        <w:rPr>
          <w:spacing w:val="-6"/>
        </w:rPr>
        <w:t xml:space="preserve"> </w:t>
      </w:r>
      <w:r>
        <w:t>no</w:t>
      </w:r>
      <w:r>
        <w:rPr>
          <w:spacing w:val="-6"/>
        </w:rPr>
        <w:t xml:space="preserve"> </w:t>
      </w:r>
      <w:r>
        <w:t>tuve</w:t>
      </w:r>
      <w:r>
        <w:rPr>
          <w:spacing w:val="-6"/>
        </w:rPr>
        <w:t xml:space="preserve"> </w:t>
      </w:r>
      <w:r>
        <w:t>problemas</w:t>
      </w:r>
      <w:r>
        <w:rPr>
          <w:spacing w:val="-6"/>
        </w:rPr>
        <w:t xml:space="preserve"> </w:t>
      </w:r>
      <w:r>
        <w:t>así</w:t>
      </w:r>
      <w:r>
        <w:rPr>
          <w:spacing w:val="-6"/>
        </w:rPr>
        <w:t xml:space="preserve"> </w:t>
      </w:r>
      <w:r>
        <w:t>que</w:t>
      </w:r>
      <w:r>
        <w:rPr>
          <w:spacing w:val="-7"/>
        </w:rPr>
        <w:t xml:space="preserve"> </w:t>
      </w:r>
      <w:r>
        <w:t>digamos.</w:t>
      </w:r>
      <w:r>
        <w:rPr>
          <w:spacing w:val="-6"/>
        </w:rPr>
        <w:t xml:space="preserve"> </w:t>
      </w:r>
      <w:r>
        <w:t>Por</w:t>
      </w:r>
      <w:r>
        <w:rPr>
          <w:spacing w:val="-6"/>
        </w:rPr>
        <w:t xml:space="preserve"> </w:t>
      </w:r>
      <w:r>
        <w:t>la</w:t>
      </w:r>
      <w:r>
        <w:rPr>
          <w:spacing w:val="-6"/>
        </w:rPr>
        <w:t xml:space="preserve"> </w:t>
      </w:r>
      <w:r>
        <w:t>forma</w:t>
      </w:r>
      <w:r>
        <w:rPr>
          <w:spacing w:val="-7"/>
        </w:rPr>
        <w:t xml:space="preserve"> </w:t>
      </w:r>
      <w:r>
        <w:t>mía</w:t>
      </w:r>
      <w:r>
        <w:rPr>
          <w:spacing w:val="-6"/>
        </w:rPr>
        <w:t xml:space="preserve"> </w:t>
      </w:r>
      <w:r>
        <w:t>de</w:t>
      </w:r>
      <w:r>
        <w:rPr>
          <w:spacing w:val="-6"/>
        </w:rPr>
        <w:t xml:space="preserve"> </w:t>
      </w:r>
      <w:r>
        <w:t>ser,</w:t>
      </w:r>
      <w:r>
        <w:rPr>
          <w:spacing w:val="-6"/>
        </w:rPr>
        <w:t xml:space="preserve"> </w:t>
      </w:r>
      <w:r>
        <w:t>con</w:t>
      </w:r>
      <w:r>
        <w:rPr>
          <w:spacing w:val="-6"/>
        </w:rPr>
        <w:t xml:space="preserve"> </w:t>
      </w:r>
      <w:r>
        <w:t>la</w:t>
      </w:r>
      <w:r>
        <w:rPr>
          <w:spacing w:val="-6"/>
        </w:rPr>
        <w:t xml:space="preserve"> </w:t>
      </w:r>
      <w:r>
        <w:t>gente</w:t>
      </w:r>
      <w:r>
        <w:rPr>
          <w:spacing w:val="-7"/>
        </w:rPr>
        <w:t xml:space="preserve"> </w:t>
      </w:r>
      <w:r>
        <w:lastRenderedPageBreak/>
        <w:t>misma,</w:t>
      </w:r>
      <w:r>
        <w:rPr>
          <w:spacing w:val="-6"/>
        </w:rPr>
        <w:t xml:space="preserve"> </w:t>
      </w:r>
      <w:r>
        <w:t>o sea, con mis compañeros de trabajo, no hubo problema»</w:t>
      </w:r>
      <w:r w:rsidR="00D108AD">
        <w:rPr>
          <w:rStyle w:val="Refdenotaalpie"/>
        </w:rPr>
        <w:footnoteReference w:id="252"/>
      </w:r>
      <w:r>
        <w:t>.</w:t>
      </w:r>
    </w:p>
    <w:p w:rsidR="003804AC" w:rsidRDefault="00AF18A5" w:rsidP="00D108AD">
      <w:r>
        <w:t>Los diálogos del Caguán se convirtieron en un importante punto de inflexión para la transformación</w:t>
      </w:r>
      <w:r>
        <w:rPr>
          <w:spacing w:val="-11"/>
        </w:rPr>
        <w:t xml:space="preserve"> </w:t>
      </w:r>
      <w:r>
        <w:t>de</w:t>
      </w:r>
      <w:r>
        <w:rPr>
          <w:spacing w:val="-10"/>
        </w:rPr>
        <w:t xml:space="preserve"> </w:t>
      </w:r>
      <w:r>
        <w:t>los</w:t>
      </w:r>
      <w:r>
        <w:rPr>
          <w:spacing w:val="-10"/>
        </w:rPr>
        <w:t xml:space="preserve"> </w:t>
      </w:r>
      <w:r>
        <w:t>órdenes</w:t>
      </w:r>
      <w:r>
        <w:rPr>
          <w:spacing w:val="-10"/>
        </w:rPr>
        <w:t xml:space="preserve"> </w:t>
      </w:r>
      <w:r>
        <w:t>violentos</w:t>
      </w:r>
      <w:r>
        <w:rPr>
          <w:spacing w:val="-10"/>
        </w:rPr>
        <w:t xml:space="preserve"> </w:t>
      </w:r>
      <w:r>
        <w:t>que</w:t>
      </w:r>
      <w:r>
        <w:rPr>
          <w:spacing w:val="-10"/>
        </w:rPr>
        <w:t xml:space="preserve"> </w:t>
      </w:r>
      <w:r>
        <w:t>las</w:t>
      </w:r>
      <w:r>
        <w:rPr>
          <w:spacing w:val="-10"/>
        </w:rPr>
        <w:t xml:space="preserve"> </w:t>
      </w:r>
      <w:r>
        <w:t>FARC-EP</w:t>
      </w:r>
      <w:r>
        <w:rPr>
          <w:spacing w:val="-10"/>
        </w:rPr>
        <w:t xml:space="preserve"> </w:t>
      </w:r>
      <w:r>
        <w:t>habían</w:t>
      </w:r>
      <w:r>
        <w:rPr>
          <w:spacing w:val="-11"/>
        </w:rPr>
        <w:t xml:space="preserve"> </w:t>
      </w:r>
      <w:r>
        <w:t>construido</w:t>
      </w:r>
      <w:r>
        <w:rPr>
          <w:spacing w:val="-11"/>
        </w:rPr>
        <w:t xml:space="preserve"> </w:t>
      </w:r>
      <w:r>
        <w:t>en</w:t>
      </w:r>
      <w:r>
        <w:rPr>
          <w:spacing w:val="-11"/>
        </w:rPr>
        <w:t xml:space="preserve"> </w:t>
      </w:r>
      <w:r>
        <w:t>sus</w:t>
      </w:r>
      <w:r>
        <w:rPr>
          <w:spacing w:val="-10"/>
        </w:rPr>
        <w:t xml:space="preserve"> </w:t>
      </w:r>
      <w:r>
        <w:t>zonas</w:t>
      </w:r>
      <w:r>
        <w:rPr>
          <w:spacing w:val="-10"/>
        </w:rPr>
        <w:t xml:space="preserve"> </w:t>
      </w:r>
      <w:r>
        <w:t>de retaguardia en el sur del país, por dos factores principales: de un lado, por las acciones desmedidas</w:t>
      </w:r>
      <w:r>
        <w:rPr>
          <w:spacing w:val="-8"/>
        </w:rPr>
        <w:t xml:space="preserve"> </w:t>
      </w:r>
      <w:r>
        <w:t>de</w:t>
      </w:r>
      <w:r>
        <w:rPr>
          <w:spacing w:val="-7"/>
        </w:rPr>
        <w:t xml:space="preserve"> </w:t>
      </w:r>
      <w:r>
        <w:t>esa</w:t>
      </w:r>
      <w:r>
        <w:rPr>
          <w:spacing w:val="-7"/>
        </w:rPr>
        <w:t xml:space="preserve"> </w:t>
      </w:r>
      <w:r>
        <w:t>guerrilla</w:t>
      </w:r>
      <w:r>
        <w:rPr>
          <w:spacing w:val="-7"/>
        </w:rPr>
        <w:t xml:space="preserve"> </w:t>
      </w:r>
      <w:r>
        <w:t>en</w:t>
      </w:r>
      <w:r>
        <w:rPr>
          <w:spacing w:val="-7"/>
        </w:rPr>
        <w:t xml:space="preserve"> </w:t>
      </w:r>
      <w:r>
        <w:t>la</w:t>
      </w:r>
      <w:r>
        <w:rPr>
          <w:spacing w:val="-7"/>
        </w:rPr>
        <w:t xml:space="preserve"> </w:t>
      </w:r>
      <w:r>
        <w:t>zona</w:t>
      </w:r>
      <w:r>
        <w:rPr>
          <w:spacing w:val="-7"/>
        </w:rPr>
        <w:t xml:space="preserve"> </w:t>
      </w:r>
      <w:r>
        <w:t>de</w:t>
      </w:r>
      <w:r>
        <w:rPr>
          <w:spacing w:val="-7"/>
        </w:rPr>
        <w:t xml:space="preserve"> </w:t>
      </w:r>
      <w:r>
        <w:t>distensión</w:t>
      </w:r>
      <w:r>
        <w:rPr>
          <w:spacing w:val="-7"/>
        </w:rPr>
        <w:t xml:space="preserve"> </w:t>
      </w:r>
      <w:r>
        <w:t>y</w:t>
      </w:r>
      <w:r>
        <w:rPr>
          <w:spacing w:val="-7"/>
        </w:rPr>
        <w:t xml:space="preserve"> </w:t>
      </w:r>
      <w:r>
        <w:t>sus</w:t>
      </w:r>
      <w:r>
        <w:rPr>
          <w:spacing w:val="-7"/>
        </w:rPr>
        <w:t xml:space="preserve"> </w:t>
      </w:r>
      <w:r>
        <w:t>regiones</w:t>
      </w:r>
      <w:r>
        <w:rPr>
          <w:spacing w:val="-7"/>
        </w:rPr>
        <w:t xml:space="preserve"> </w:t>
      </w:r>
      <w:r>
        <w:t>contiguas;</w:t>
      </w:r>
      <w:r>
        <w:rPr>
          <w:spacing w:val="-7"/>
        </w:rPr>
        <w:t xml:space="preserve"> </w:t>
      </w:r>
      <w:r>
        <w:t>y</w:t>
      </w:r>
      <w:r>
        <w:rPr>
          <w:spacing w:val="-7"/>
        </w:rPr>
        <w:t xml:space="preserve"> </w:t>
      </w:r>
      <w:r>
        <w:t>de</w:t>
      </w:r>
      <w:r>
        <w:rPr>
          <w:spacing w:val="-7"/>
        </w:rPr>
        <w:t xml:space="preserve"> </w:t>
      </w:r>
      <w:r>
        <w:t>otro</w:t>
      </w:r>
      <w:r>
        <w:rPr>
          <w:spacing w:val="-8"/>
        </w:rPr>
        <w:t xml:space="preserve"> </w:t>
      </w:r>
      <w:r>
        <w:t>lado, por la decisión del Estado de recuperar a sangre y fuego la zona despejada y la incursión de grupos paramilitares.</w:t>
      </w:r>
    </w:p>
    <w:p w:rsidR="0011361F" w:rsidRDefault="00AF18A5" w:rsidP="00D108AD">
      <w:pPr>
        <w:pStyle w:val="Ttulo5"/>
      </w:pPr>
      <w:r>
        <w:t>La</w:t>
      </w:r>
      <w:r>
        <w:rPr>
          <w:spacing w:val="-2"/>
        </w:rPr>
        <w:t xml:space="preserve"> </w:t>
      </w:r>
      <w:r w:rsidRPr="00D108AD">
        <w:t>presencia</w:t>
      </w:r>
      <w:r>
        <w:rPr>
          <w:spacing w:val="-1"/>
        </w:rPr>
        <w:t xml:space="preserve"> </w:t>
      </w:r>
      <w:r>
        <w:t>histórica</w:t>
      </w:r>
      <w:r>
        <w:rPr>
          <w:spacing w:val="-1"/>
        </w:rPr>
        <w:t xml:space="preserve"> </w:t>
      </w:r>
      <w:r>
        <w:t>del</w:t>
      </w:r>
      <w:r>
        <w:rPr>
          <w:spacing w:val="-2"/>
        </w:rPr>
        <w:t xml:space="preserve"> </w:t>
      </w:r>
      <w:r>
        <w:t>ELN</w:t>
      </w:r>
      <w:r>
        <w:rPr>
          <w:spacing w:val="-2"/>
        </w:rPr>
        <w:t xml:space="preserve"> </w:t>
      </w:r>
      <w:r>
        <w:t>en</w:t>
      </w:r>
      <w:r>
        <w:rPr>
          <w:spacing w:val="-2"/>
        </w:rPr>
        <w:t xml:space="preserve"> </w:t>
      </w:r>
      <w:r>
        <w:t>el</w:t>
      </w:r>
      <w:r>
        <w:rPr>
          <w:spacing w:val="-1"/>
        </w:rPr>
        <w:t xml:space="preserve"> </w:t>
      </w:r>
      <w:proofErr w:type="spellStart"/>
      <w:r>
        <w:rPr>
          <w:spacing w:val="-2"/>
        </w:rPr>
        <w:t>Sarare</w:t>
      </w:r>
      <w:proofErr w:type="spellEnd"/>
    </w:p>
    <w:p w:rsidR="003804AC" w:rsidRDefault="00AF18A5" w:rsidP="00BD6DB7">
      <w:r>
        <w:t>El ELN, desde los años setenta y comienzos de los ochenta, logró consolidarse en Arauca y establecer</w:t>
      </w:r>
      <w:r>
        <w:rPr>
          <w:spacing w:val="-3"/>
        </w:rPr>
        <w:t xml:space="preserve"> </w:t>
      </w:r>
      <w:r>
        <w:t>un</w:t>
      </w:r>
      <w:r>
        <w:rPr>
          <w:spacing w:val="-3"/>
        </w:rPr>
        <w:t xml:space="preserve"> </w:t>
      </w:r>
      <w:r>
        <w:t>orden</w:t>
      </w:r>
      <w:r>
        <w:rPr>
          <w:spacing w:val="-5"/>
        </w:rPr>
        <w:t xml:space="preserve"> </w:t>
      </w:r>
      <w:r>
        <w:t>autoritario</w:t>
      </w:r>
      <w:r>
        <w:rPr>
          <w:spacing w:val="-5"/>
        </w:rPr>
        <w:t xml:space="preserve"> </w:t>
      </w:r>
      <w:r>
        <w:t>alternativo</w:t>
      </w:r>
      <w:r>
        <w:rPr>
          <w:spacing w:val="-5"/>
        </w:rPr>
        <w:t xml:space="preserve"> </w:t>
      </w:r>
      <w:r>
        <w:t>al</w:t>
      </w:r>
      <w:r>
        <w:rPr>
          <w:spacing w:val="-3"/>
        </w:rPr>
        <w:t xml:space="preserve"> </w:t>
      </w:r>
      <w:r>
        <w:t>del</w:t>
      </w:r>
      <w:r>
        <w:rPr>
          <w:spacing w:val="-4"/>
        </w:rPr>
        <w:t xml:space="preserve"> </w:t>
      </w:r>
      <w:r>
        <w:t>Estado</w:t>
      </w:r>
      <w:r>
        <w:rPr>
          <w:spacing w:val="-3"/>
        </w:rPr>
        <w:t xml:space="preserve"> </w:t>
      </w:r>
      <w:r>
        <w:t>en</w:t>
      </w:r>
      <w:r>
        <w:rPr>
          <w:spacing w:val="-5"/>
        </w:rPr>
        <w:t xml:space="preserve"> </w:t>
      </w:r>
      <w:r>
        <w:t>el</w:t>
      </w:r>
      <w:r>
        <w:rPr>
          <w:spacing w:val="-4"/>
        </w:rPr>
        <w:t xml:space="preserve"> </w:t>
      </w:r>
      <w:r>
        <w:t>contexto</w:t>
      </w:r>
      <w:r>
        <w:rPr>
          <w:spacing w:val="-3"/>
        </w:rPr>
        <w:t xml:space="preserve"> </w:t>
      </w:r>
      <w:r>
        <w:t>de</w:t>
      </w:r>
      <w:r>
        <w:rPr>
          <w:spacing w:val="-4"/>
        </w:rPr>
        <w:t xml:space="preserve"> </w:t>
      </w:r>
      <w:r>
        <w:t>las</w:t>
      </w:r>
      <w:r>
        <w:rPr>
          <w:spacing w:val="-4"/>
        </w:rPr>
        <w:t xml:space="preserve"> </w:t>
      </w:r>
      <w:r>
        <w:t>movilizaciones campesinas</w:t>
      </w:r>
      <w:r>
        <w:rPr>
          <w:spacing w:val="-6"/>
        </w:rPr>
        <w:t xml:space="preserve"> </w:t>
      </w:r>
      <w:r>
        <w:t>ante</w:t>
      </w:r>
      <w:r>
        <w:rPr>
          <w:spacing w:val="-5"/>
        </w:rPr>
        <w:t xml:space="preserve"> </w:t>
      </w:r>
      <w:r>
        <w:t>los</w:t>
      </w:r>
      <w:r>
        <w:rPr>
          <w:spacing w:val="-5"/>
        </w:rPr>
        <w:t xml:space="preserve"> </w:t>
      </w:r>
      <w:r>
        <w:t>incumplimientos</w:t>
      </w:r>
      <w:r>
        <w:rPr>
          <w:spacing w:val="-6"/>
        </w:rPr>
        <w:t xml:space="preserve"> </w:t>
      </w:r>
      <w:r>
        <w:t>del</w:t>
      </w:r>
      <w:r>
        <w:rPr>
          <w:spacing w:val="-4"/>
        </w:rPr>
        <w:t xml:space="preserve"> </w:t>
      </w:r>
      <w:r>
        <w:t>Estado</w:t>
      </w:r>
      <w:r>
        <w:rPr>
          <w:spacing w:val="-6"/>
        </w:rPr>
        <w:t xml:space="preserve"> </w:t>
      </w:r>
      <w:r>
        <w:t>frente</w:t>
      </w:r>
      <w:r>
        <w:rPr>
          <w:spacing w:val="-6"/>
        </w:rPr>
        <w:t xml:space="preserve"> </w:t>
      </w:r>
      <w:r>
        <w:t>a</w:t>
      </w:r>
      <w:r>
        <w:rPr>
          <w:spacing w:val="-5"/>
        </w:rPr>
        <w:t xml:space="preserve"> </w:t>
      </w:r>
      <w:r>
        <w:t>las</w:t>
      </w:r>
      <w:r>
        <w:rPr>
          <w:spacing w:val="-6"/>
        </w:rPr>
        <w:t xml:space="preserve"> </w:t>
      </w:r>
      <w:r>
        <w:t>políticas</w:t>
      </w:r>
      <w:r>
        <w:rPr>
          <w:spacing w:val="-5"/>
        </w:rPr>
        <w:t xml:space="preserve"> </w:t>
      </w:r>
      <w:r>
        <w:t>de</w:t>
      </w:r>
      <w:r>
        <w:rPr>
          <w:spacing w:val="-5"/>
        </w:rPr>
        <w:t xml:space="preserve"> </w:t>
      </w:r>
      <w:r>
        <w:t>parcelación</w:t>
      </w:r>
      <w:r w:rsidR="00BD6DB7">
        <w:rPr>
          <w:rStyle w:val="Refdenotaalpie"/>
        </w:rPr>
        <w:footnoteReference w:id="253"/>
      </w:r>
      <w:r>
        <w:t>.</w:t>
      </w:r>
      <w:r>
        <w:rPr>
          <w:spacing w:val="-5"/>
        </w:rPr>
        <w:t xml:space="preserve"> </w:t>
      </w:r>
      <w:r>
        <w:t xml:space="preserve">Este proceso no se puede entender sin la dinámica de configuración territorial del </w:t>
      </w:r>
      <w:proofErr w:type="spellStart"/>
      <w:r>
        <w:t>Sarare</w:t>
      </w:r>
      <w:proofErr w:type="spellEnd"/>
      <w:r>
        <w:t>, con la acción colonizadora que se dio a partir de 1956, con acento en las zonas de lo que hoy son los</w:t>
      </w:r>
      <w:r>
        <w:rPr>
          <w:spacing w:val="-10"/>
        </w:rPr>
        <w:t xml:space="preserve"> </w:t>
      </w:r>
      <w:r>
        <w:t>municipios</w:t>
      </w:r>
      <w:r>
        <w:rPr>
          <w:spacing w:val="-10"/>
        </w:rPr>
        <w:t xml:space="preserve"> </w:t>
      </w:r>
      <w:r>
        <w:t>de</w:t>
      </w:r>
      <w:r>
        <w:rPr>
          <w:spacing w:val="-10"/>
        </w:rPr>
        <w:t xml:space="preserve"> </w:t>
      </w:r>
      <w:r>
        <w:t>Saravena,</w:t>
      </w:r>
      <w:r>
        <w:rPr>
          <w:spacing w:val="-11"/>
        </w:rPr>
        <w:t xml:space="preserve"> </w:t>
      </w:r>
      <w:r>
        <w:t>Tame,</w:t>
      </w:r>
      <w:r>
        <w:rPr>
          <w:spacing w:val="-12"/>
        </w:rPr>
        <w:t xml:space="preserve"> </w:t>
      </w:r>
      <w:r>
        <w:t>Arauquita</w:t>
      </w:r>
      <w:r>
        <w:rPr>
          <w:spacing w:val="-10"/>
        </w:rPr>
        <w:t xml:space="preserve"> </w:t>
      </w:r>
      <w:r>
        <w:t>y</w:t>
      </w:r>
      <w:r>
        <w:rPr>
          <w:spacing w:val="-12"/>
        </w:rPr>
        <w:t xml:space="preserve"> </w:t>
      </w:r>
      <w:r>
        <w:t>Fortul.</w:t>
      </w:r>
      <w:r>
        <w:rPr>
          <w:spacing w:val="-12"/>
        </w:rPr>
        <w:t xml:space="preserve"> </w:t>
      </w:r>
      <w:r>
        <w:t>En</w:t>
      </w:r>
      <w:r>
        <w:rPr>
          <w:spacing w:val="-11"/>
        </w:rPr>
        <w:t xml:space="preserve"> </w:t>
      </w:r>
      <w:r>
        <w:t>su</w:t>
      </w:r>
      <w:r>
        <w:rPr>
          <w:spacing w:val="-13"/>
        </w:rPr>
        <w:t xml:space="preserve"> </w:t>
      </w:r>
      <w:r>
        <w:t>mayoría,</w:t>
      </w:r>
      <w:r>
        <w:rPr>
          <w:spacing w:val="-12"/>
        </w:rPr>
        <w:t xml:space="preserve"> </w:t>
      </w:r>
      <w:r>
        <w:t>los</w:t>
      </w:r>
      <w:r>
        <w:rPr>
          <w:spacing w:val="-12"/>
        </w:rPr>
        <w:t xml:space="preserve"> </w:t>
      </w:r>
      <w:r>
        <w:t>colonos</w:t>
      </w:r>
      <w:r>
        <w:rPr>
          <w:spacing w:val="-12"/>
        </w:rPr>
        <w:t xml:space="preserve"> </w:t>
      </w:r>
      <w:r>
        <w:t>provenían de Norte de Santander, huyendo de la violencia bipartidista y en busca de tierra</w:t>
      </w:r>
      <w:r w:rsidR="00BD6DB7">
        <w:rPr>
          <w:rStyle w:val="Refdenotaalpie"/>
        </w:rPr>
        <w:footnoteReference w:id="254"/>
      </w:r>
      <w:r>
        <w:t>.</w:t>
      </w:r>
    </w:p>
    <w:p w:rsidR="003804AC" w:rsidRDefault="00AF18A5" w:rsidP="00BD6DB7">
      <w:r>
        <w:t xml:space="preserve">En el </w:t>
      </w:r>
      <w:proofErr w:type="spellStart"/>
      <w:r>
        <w:t>Sarare</w:t>
      </w:r>
      <w:proofErr w:type="spellEnd"/>
      <w:r>
        <w:t>, el Estado incentivó en esa época el proceso de colonización, dirigida, primero,</w:t>
      </w:r>
      <w:r>
        <w:rPr>
          <w:spacing w:val="-12"/>
        </w:rPr>
        <w:t xml:space="preserve"> </w:t>
      </w:r>
      <w:r>
        <w:t>por</w:t>
      </w:r>
      <w:r>
        <w:rPr>
          <w:spacing w:val="-13"/>
        </w:rPr>
        <w:t xml:space="preserve"> </w:t>
      </w:r>
      <w:r>
        <w:t>la</w:t>
      </w:r>
      <w:r>
        <w:rPr>
          <w:spacing w:val="-13"/>
        </w:rPr>
        <w:t xml:space="preserve"> </w:t>
      </w:r>
      <w:r>
        <w:t>Caja</w:t>
      </w:r>
      <w:r>
        <w:rPr>
          <w:spacing w:val="-13"/>
        </w:rPr>
        <w:t xml:space="preserve"> </w:t>
      </w:r>
      <w:r>
        <w:t>Agraria</w:t>
      </w:r>
      <w:r>
        <w:rPr>
          <w:spacing w:val="-13"/>
        </w:rPr>
        <w:t xml:space="preserve"> </w:t>
      </w:r>
      <w:r>
        <w:t>(1956),</w:t>
      </w:r>
      <w:r>
        <w:rPr>
          <w:spacing w:val="-13"/>
        </w:rPr>
        <w:t xml:space="preserve"> </w:t>
      </w:r>
      <w:r>
        <w:t>y</w:t>
      </w:r>
      <w:r>
        <w:rPr>
          <w:spacing w:val="-12"/>
        </w:rPr>
        <w:t xml:space="preserve"> </w:t>
      </w:r>
      <w:r>
        <w:t>luego</w:t>
      </w:r>
      <w:r>
        <w:rPr>
          <w:spacing w:val="-13"/>
        </w:rPr>
        <w:t xml:space="preserve"> </w:t>
      </w:r>
      <w:r>
        <w:t>por</w:t>
      </w:r>
      <w:r>
        <w:rPr>
          <w:spacing w:val="-14"/>
        </w:rPr>
        <w:t xml:space="preserve"> </w:t>
      </w:r>
      <w:r>
        <w:t>el</w:t>
      </w:r>
      <w:r>
        <w:rPr>
          <w:spacing w:val="-13"/>
        </w:rPr>
        <w:t xml:space="preserve"> </w:t>
      </w:r>
      <w:r>
        <w:t>Instituto</w:t>
      </w:r>
      <w:r>
        <w:rPr>
          <w:spacing w:val="-14"/>
        </w:rPr>
        <w:t xml:space="preserve"> </w:t>
      </w:r>
      <w:r>
        <w:t>Colombiano</w:t>
      </w:r>
      <w:r>
        <w:rPr>
          <w:spacing w:val="-13"/>
        </w:rPr>
        <w:t xml:space="preserve"> </w:t>
      </w:r>
      <w:r>
        <w:t>de</w:t>
      </w:r>
      <w:r>
        <w:rPr>
          <w:spacing w:val="-13"/>
        </w:rPr>
        <w:t xml:space="preserve"> </w:t>
      </w:r>
      <w:r>
        <w:t>la</w:t>
      </w:r>
      <w:r>
        <w:rPr>
          <w:spacing w:val="-12"/>
        </w:rPr>
        <w:t xml:space="preserve"> </w:t>
      </w:r>
      <w:r>
        <w:t>Reforma</w:t>
      </w:r>
      <w:r>
        <w:rPr>
          <w:spacing w:val="-12"/>
        </w:rPr>
        <w:t xml:space="preserve"> </w:t>
      </w:r>
      <w:r>
        <w:t>Rural (</w:t>
      </w:r>
      <w:proofErr w:type="spellStart"/>
      <w:r>
        <w:t>Incora</w:t>
      </w:r>
      <w:proofErr w:type="spellEnd"/>
      <w:r>
        <w:t xml:space="preserve">), con el apoyo del </w:t>
      </w:r>
      <w:r>
        <w:lastRenderedPageBreak/>
        <w:t>Banco Mundial</w:t>
      </w:r>
      <w:r w:rsidR="00BD6DB7">
        <w:rPr>
          <w:rStyle w:val="Refdenotaalpie"/>
        </w:rPr>
        <w:footnoteReference w:id="255"/>
      </w:r>
      <w:r>
        <w:t>, bajo el proyecto denominado Arauca 1. Los liderazgos</w:t>
      </w:r>
      <w:r>
        <w:rPr>
          <w:spacing w:val="-2"/>
        </w:rPr>
        <w:t xml:space="preserve"> </w:t>
      </w:r>
      <w:r>
        <w:t>formados</w:t>
      </w:r>
      <w:r>
        <w:rPr>
          <w:spacing w:val="1"/>
        </w:rPr>
        <w:t xml:space="preserve"> </w:t>
      </w:r>
      <w:r>
        <w:t>en</w:t>
      </w:r>
      <w:r>
        <w:rPr>
          <w:spacing w:val="1"/>
        </w:rPr>
        <w:t xml:space="preserve"> </w:t>
      </w:r>
      <w:r>
        <w:t>este</w:t>
      </w:r>
      <w:r>
        <w:rPr>
          <w:spacing w:val="2"/>
        </w:rPr>
        <w:t xml:space="preserve"> </w:t>
      </w:r>
      <w:r>
        <w:t>proceso,</w:t>
      </w:r>
      <w:r>
        <w:rPr>
          <w:spacing w:val="1"/>
        </w:rPr>
        <w:t xml:space="preserve"> </w:t>
      </w:r>
      <w:r>
        <w:t>sumados</w:t>
      </w:r>
      <w:r>
        <w:rPr>
          <w:spacing w:val="1"/>
        </w:rPr>
        <w:t xml:space="preserve"> </w:t>
      </w:r>
      <w:r>
        <w:t>a</w:t>
      </w:r>
      <w:r>
        <w:rPr>
          <w:spacing w:val="1"/>
        </w:rPr>
        <w:t xml:space="preserve"> </w:t>
      </w:r>
      <w:r>
        <w:t>la</w:t>
      </w:r>
      <w:r>
        <w:rPr>
          <w:spacing w:val="2"/>
        </w:rPr>
        <w:t xml:space="preserve"> </w:t>
      </w:r>
      <w:r>
        <w:t>respuesta represiva</w:t>
      </w:r>
      <w:r>
        <w:rPr>
          <w:spacing w:val="2"/>
        </w:rPr>
        <w:t xml:space="preserve"> </w:t>
      </w:r>
      <w:r>
        <w:t>estatal,</w:t>
      </w:r>
      <w:r>
        <w:rPr>
          <w:spacing w:val="1"/>
        </w:rPr>
        <w:t xml:space="preserve"> </w:t>
      </w:r>
      <w:r>
        <w:t>enmarcan</w:t>
      </w:r>
      <w:r>
        <w:rPr>
          <w:spacing w:val="2"/>
        </w:rPr>
        <w:t xml:space="preserve"> </w:t>
      </w:r>
      <w:r>
        <w:rPr>
          <w:spacing w:val="-5"/>
        </w:rPr>
        <w:t>los</w:t>
      </w:r>
      <w:bookmarkStart w:id="385" w:name="_bookmark292"/>
      <w:bookmarkStart w:id="386" w:name="_bookmark293"/>
      <w:bookmarkStart w:id="387" w:name="_bookmark294"/>
      <w:bookmarkStart w:id="388" w:name="_bookmark295"/>
      <w:bookmarkEnd w:id="385"/>
      <w:bookmarkEnd w:id="386"/>
      <w:bookmarkEnd w:id="387"/>
      <w:bookmarkEnd w:id="388"/>
      <w:r w:rsidR="00BD6DB7">
        <w:t xml:space="preserve"> </w:t>
      </w:r>
      <w:r>
        <w:t>inicios del Domingo Laín y posteriormente del Frente de Guerra Oriental. Esta estructura insurgente crece y se entrama con las necesidades del territorio y la población civil</w:t>
      </w:r>
      <w:r w:rsidR="00BD6DB7">
        <w:rPr>
          <w:rStyle w:val="Refdenotaalpie"/>
        </w:rPr>
        <w:footnoteReference w:id="256"/>
      </w:r>
      <w:r>
        <w:t>.</w:t>
      </w:r>
    </w:p>
    <w:p w:rsidR="003804AC" w:rsidRDefault="00AF18A5" w:rsidP="00BD6DB7">
      <w:r>
        <w:t xml:space="preserve">Este contexto permitió al ELN ofertar y regular formas de tramitación y control a los habitantes rurales y de los nacientes cascos urbanos del </w:t>
      </w:r>
      <w:proofErr w:type="spellStart"/>
      <w:r>
        <w:t>Sarare</w:t>
      </w:r>
      <w:proofErr w:type="spellEnd"/>
      <w:r w:rsidR="00BD6DB7">
        <w:rPr>
          <w:rStyle w:val="Refdenotaalpie"/>
        </w:rPr>
        <w:footnoteReference w:id="257"/>
      </w:r>
      <w:r>
        <w:t>. Estas normas fueron legitimadas con la creación –algunas veces de forma consensuada con las comunidades y otras</w:t>
      </w:r>
      <w:r>
        <w:rPr>
          <w:spacing w:val="-11"/>
        </w:rPr>
        <w:t xml:space="preserve"> </w:t>
      </w:r>
      <w:r>
        <w:t>no–</w:t>
      </w:r>
      <w:r>
        <w:rPr>
          <w:spacing w:val="-11"/>
        </w:rPr>
        <w:t xml:space="preserve"> </w:t>
      </w:r>
      <w:r>
        <w:t>de</w:t>
      </w:r>
      <w:r>
        <w:rPr>
          <w:spacing w:val="-11"/>
        </w:rPr>
        <w:t xml:space="preserve"> </w:t>
      </w:r>
      <w:r>
        <w:t>manuales</w:t>
      </w:r>
      <w:r>
        <w:rPr>
          <w:spacing w:val="-10"/>
        </w:rPr>
        <w:t xml:space="preserve"> </w:t>
      </w:r>
      <w:r>
        <w:t>de</w:t>
      </w:r>
      <w:r>
        <w:rPr>
          <w:spacing w:val="-11"/>
        </w:rPr>
        <w:t xml:space="preserve"> </w:t>
      </w:r>
      <w:r>
        <w:t>convivencia</w:t>
      </w:r>
      <w:r>
        <w:rPr>
          <w:spacing w:val="-11"/>
        </w:rPr>
        <w:t xml:space="preserve"> </w:t>
      </w:r>
      <w:r>
        <w:t>que</w:t>
      </w:r>
      <w:r>
        <w:rPr>
          <w:spacing w:val="-10"/>
        </w:rPr>
        <w:t xml:space="preserve"> </w:t>
      </w:r>
      <w:r>
        <w:t>estandarizaron</w:t>
      </w:r>
      <w:r>
        <w:rPr>
          <w:spacing w:val="-11"/>
        </w:rPr>
        <w:t xml:space="preserve"> </w:t>
      </w:r>
      <w:r>
        <w:t>las</w:t>
      </w:r>
      <w:r>
        <w:rPr>
          <w:spacing w:val="-10"/>
        </w:rPr>
        <w:t xml:space="preserve"> </w:t>
      </w:r>
      <w:r>
        <w:t>faltas</w:t>
      </w:r>
      <w:r>
        <w:rPr>
          <w:spacing w:val="-11"/>
        </w:rPr>
        <w:t xml:space="preserve"> </w:t>
      </w:r>
      <w:r>
        <w:t>y</w:t>
      </w:r>
      <w:r>
        <w:rPr>
          <w:spacing w:val="-11"/>
        </w:rPr>
        <w:t xml:space="preserve"> </w:t>
      </w:r>
      <w:r>
        <w:t>castigos</w:t>
      </w:r>
      <w:r>
        <w:rPr>
          <w:spacing w:val="-11"/>
        </w:rPr>
        <w:t xml:space="preserve"> </w:t>
      </w:r>
      <w:r>
        <w:t>de</w:t>
      </w:r>
      <w:r>
        <w:rPr>
          <w:spacing w:val="-10"/>
        </w:rPr>
        <w:t xml:space="preserve"> </w:t>
      </w:r>
      <w:r>
        <w:t>acuerdo</w:t>
      </w:r>
      <w:r>
        <w:rPr>
          <w:spacing w:val="-11"/>
        </w:rPr>
        <w:t xml:space="preserve"> </w:t>
      </w:r>
      <w:r>
        <w:t>con la infracción. Este poder social, más el descubrimiento del petróleo y la elección popular de alcaldes</w:t>
      </w:r>
      <w:r>
        <w:rPr>
          <w:spacing w:val="-9"/>
        </w:rPr>
        <w:t xml:space="preserve"> </w:t>
      </w:r>
      <w:r>
        <w:t>en</w:t>
      </w:r>
      <w:r>
        <w:rPr>
          <w:spacing w:val="-8"/>
        </w:rPr>
        <w:t xml:space="preserve"> </w:t>
      </w:r>
      <w:r>
        <w:t>los</w:t>
      </w:r>
      <w:r>
        <w:rPr>
          <w:spacing w:val="-8"/>
        </w:rPr>
        <w:t xml:space="preserve"> </w:t>
      </w:r>
      <w:r>
        <w:t>años</w:t>
      </w:r>
      <w:r>
        <w:rPr>
          <w:spacing w:val="-8"/>
        </w:rPr>
        <w:t xml:space="preserve"> </w:t>
      </w:r>
      <w:r>
        <w:t>ochenta</w:t>
      </w:r>
      <w:r>
        <w:rPr>
          <w:spacing w:val="-8"/>
        </w:rPr>
        <w:t xml:space="preserve"> </w:t>
      </w:r>
      <w:r>
        <w:t>de</w:t>
      </w:r>
      <w:r>
        <w:rPr>
          <w:spacing w:val="-9"/>
        </w:rPr>
        <w:t xml:space="preserve"> </w:t>
      </w:r>
      <w:r>
        <w:t>la</w:t>
      </w:r>
      <w:r>
        <w:rPr>
          <w:spacing w:val="-9"/>
        </w:rPr>
        <w:t xml:space="preserve"> </w:t>
      </w:r>
      <w:r>
        <w:t>mano</w:t>
      </w:r>
      <w:r>
        <w:rPr>
          <w:spacing w:val="-8"/>
        </w:rPr>
        <w:t xml:space="preserve"> </w:t>
      </w:r>
      <w:r>
        <w:t>de</w:t>
      </w:r>
      <w:r>
        <w:rPr>
          <w:spacing w:val="-8"/>
        </w:rPr>
        <w:t xml:space="preserve"> </w:t>
      </w:r>
      <w:r>
        <w:t>algunas</w:t>
      </w:r>
      <w:r>
        <w:rPr>
          <w:spacing w:val="-8"/>
        </w:rPr>
        <w:t xml:space="preserve"> </w:t>
      </w:r>
      <w:r>
        <w:t>redes</w:t>
      </w:r>
      <w:r>
        <w:rPr>
          <w:spacing w:val="-8"/>
        </w:rPr>
        <w:t xml:space="preserve"> </w:t>
      </w:r>
      <w:r>
        <w:t>políticas</w:t>
      </w:r>
      <w:r>
        <w:rPr>
          <w:spacing w:val="-8"/>
        </w:rPr>
        <w:t xml:space="preserve"> </w:t>
      </w:r>
      <w:r>
        <w:t>liberales,</w:t>
      </w:r>
      <w:r>
        <w:rPr>
          <w:spacing w:val="-8"/>
        </w:rPr>
        <w:t xml:space="preserve"> </w:t>
      </w:r>
      <w:r>
        <w:t>le</w:t>
      </w:r>
      <w:r>
        <w:rPr>
          <w:spacing w:val="-8"/>
        </w:rPr>
        <w:t xml:space="preserve"> </w:t>
      </w:r>
      <w:r>
        <w:t>permitieron</w:t>
      </w:r>
      <w:r>
        <w:rPr>
          <w:spacing w:val="-8"/>
        </w:rPr>
        <w:t xml:space="preserve"> </w:t>
      </w:r>
      <w:r>
        <w:t xml:space="preserve">al ELN tener la hegemonía en el </w:t>
      </w:r>
      <w:proofErr w:type="spellStart"/>
      <w:r>
        <w:t>Sarare</w:t>
      </w:r>
      <w:proofErr w:type="spellEnd"/>
      <w:r>
        <w:t xml:space="preserve"> y configurar un entramado de alianzas que se reforzó entre sí: su relación con las comunidades se vio potencializada con el poder político (redes liberales)</w:t>
      </w:r>
      <w:r>
        <w:rPr>
          <w:spacing w:val="-9"/>
        </w:rPr>
        <w:t xml:space="preserve"> </w:t>
      </w:r>
      <w:r>
        <w:t>y</w:t>
      </w:r>
      <w:r>
        <w:rPr>
          <w:spacing w:val="-9"/>
        </w:rPr>
        <w:t xml:space="preserve"> </w:t>
      </w:r>
      <w:r>
        <w:t>económico</w:t>
      </w:r>
      <w:r>
        <w:rPr>
          <w:spacing w:val="-9"/>
        </w:rPr>
        <w:t xml:space="preserve"> </w:t>
      </w:r>
      <w:r>
        <w:t>(petróleo),</w:t>
      </w:r>
      <w:r>
        <w:rPr>
          <w:spacing w:val="-9"/>
        </w:rPr>
        <w:t xml:space="preserve"> </w:t>
      </w:r>
      <w:r>
        <w:t>y,</w:t>
      </w:r>
      <w:r>
        <w:rPr>
          <w:spacing w:val="-9"/>
        </w:rPr>
        <w:t xml:space="preserve"> </w:t>
      </w:r>
      <w:r>
        <w:t>a</w:t>
      </w:r>
      <w:r>
        <w:rPr>
          <w:spacing w:val="-9"/>
        </w:rPr>
        <w:t xml:space="preserve"> </w:t>
      </w:r>
      <w:r>
        <w:t>su</w:t>
      </w:r>
      <w:r>
        <w:rPr>
          <w:spacing w:val="-9"/>
        </w:rPr>
        <w:t xml:space="preserve"> </w:t>
      </w:r>
      <w:r>
        <w:t>vez,</w:t>
      </w:r>
      <w:r>
        <w:rPr>
          <w:spacing w:val="-9"/>
        </w:rPr>
        <w:t xml:space="preserve"> </w:t>
      </w:r>
      <w:r>
        <w:t>estos</w:t>
      </w:r>
      <w:r>
        <w:rPr>
          <w:spacing w:val="-9"/>
        </w:rPr>
        <w:t xml:space="preserve"> </w:t>
      </w:r>
      <w:r>
        <w:t>dos</w:t>
      </w:r>
      <w:r>
        <w:rPr>
          <w:spacing w:val="-9"/>
        </w:rPr>
        <w:t xml:space="preserve"> </w:t>
      </w:r>
      <w:r>
        <w:t>últimos</w:t>
      </w:r>
      <w:r>
        <w:rPr>
          <w:spacing w:val="-9"/>
        </w:rPr>
        <w:t xml:space="preserve"> </w:t>
      </w:r>
      <w:r>
        <w:t>ámbitos</w:t>
      </w:r>
      <w:r>
        <w:rPr>
          <w:spacing w:val="-9"/>
        </w:rPr>
        <w:t xml:space="preserve"> </w:t>
      </w:r>
      <w:r>
        <w:t>reforzaban</w:t>
      </w:r>
      <w:r>
        <w:rPr>
          <w:spacing w:val="-9"/>
        </w:rPr>
        <w:t xml:space="preserve"> </w:t>
      </w:r>
      <w:r>
        <w:t>su</w:t>
      </w:r>
      <w:r>
        <w:rPr>
          <w:spacing w:val="-9"/>
        </w:rPr>
        <w:t xml:space="preserve"> </w:t>
      </w:r>
      <w:r>
        <w:t>papel, al irrigar y beneficiar a las comunidades con las rentas petroleras «como cualquier otra maquinaria política del bipartidismo tradicional»</w:t>
      </w:r>
      <w:r w:rsidR="00BD6DB7">
        <w:rPr>
          <w:rStyle w:val="Refdenotaalpie"/>
        </w:rPr>
        <w:footnoteReference w:id="258"/>
      </w:r>
      <w:r w:rsidR="00BD6DB7">
        <w:t xml:space="preserve"> </w:t>
      </w:r>
      <w:r w:rsidR="00BD6DB7">
        <w:rPr>
          <w:rStyle w:val="Refdenotaalpie"/>
        </w:rPr>
        <w:footnoteReference w:id="259"/>
      </w:r>
      <w:r>
        <w:t>.</w:t>
      </w:r>
    </w:p>
    <w:p w:rsidR="003804AC" w:rsidRDefault="00AF18A5" w:rsidP="00BD6DB7">
      <w:r>
        <w:t xml:space="preserve">Algo parecido hizo esta guerrilla en otras zonas del país. En el Bajo </w:t>
      </w:r>
      <w:r>
        <w:lastRenderedPageBreak/>
        <w:t>Cauca influenciaron y regularon las explotaciones y organizaciones de campesinos y colonos mineros</w:t>
      </w:r>
      <w:r w:rsidR="00BD6DB7">
        <w:rPr>
          <w:rStyle w:val="Refdenotaalpie"/>
        </w:rPr>
        <w:footnoteReference w:id="260"/>
      </w:r>
      <w:r>
        <w:t>. En Cauca</w:t>
      </w:r>
      <w:r>
        <w:rPr>
          <w:spacing w:val="-5"/>
        </w:rPr>
        <w:t xml:space="preserve"> </w:t>
      </w:r>
      <w:r>
        <w:t>trabajaron</w:t>
      </w:r>
      <w:r>
        <w:rPr>
          <w:spacing w:val="-5"/>
        </w:rPr>
        <w:t xml:space="preserve"> </w:t>
      </w:r>
      <w:r>
        <w:t>de</w:t>
      </w:r>
      <w:r>
        <w:rPr>
          <w:spacing w:val="-6"/>
        </w:rPr>
        <w:t xml:space="preserve"> </w:t>
      </w:r>
      <w:r>
        <w:t>la</w:t>
      </w:r>
      <w:r>
        <w:rPr>
          <w:spacing w:val="-6"/>
        </w:rPr>
        <w:t xml:space="preserve"> </w:t>
      </w:r>
      <w:r>
        <w:t>mano</w:t>
      </w:r>
      <w:r>
        <w:rPr>
          <w:spacing w:val="-5"/>
        </w:rPr>
        <w:t xml:space="preserve"> </w:t>
      </w:r>
      <w:r>
        <w:t>del</w:t>
      </w:r>
      <w:r>
        <w:rPr>
          <w:spacing w:val="-6"/>
        </w:rPr>
        <w:t xml:space="preserve"> </w:t>
      </w:r>
      <w:r>
        <w:t>campesinado</w:t>
      </w:r>
      <w:r>
        <w:rPr>
          <w:spacing w:val="-6"/>
        </w:rPr>
        <w:t xml:space="preserve"> </w:t>
      </w:r>
      <w:r>
        <w:t>andino</w:t>
      </w:r>
      <w:r>
        <w:rPr>
          <w:spacing w:val="-5"/>
        </w:rPr>
        <w:t xml:space="preserve"> </w:t>
      </w:r>
      <w:r>
        <w:t>que</w:t>
      </w:r>
      <w:r>
        <w:rPr>
          <w:spacing w:val="-5"/>
        </w:rPr>
        <w:t xml:space="preserve"> </w:t>
      </w:r>
      <w:r>
        <w:t>se</w:t>
      </w:r>
      <w:r>
        <w:rPr>
          <w:spacing w:val="-5"/>
        </w:rPr>
        <w:t xml:space="preserve"> </w:t>
      </w:r>
      <w:r>
        <w:t>fue</w:t>
      </w:r>
      <w:r>
        <w:rPr>
          <w:spacing w:val="-5"/>
        </w:rPr>
        <w:t xml:space="preserve"> </w:t>
      </w:r>
      <w:r>
        <w:t>asentando</w:t>
      </w:r>
      <w:r>
        <w:rPr>
          <w:spacing w:val="-5"/>
        </w:rPr>
        <w:t xml:space="preserve"> </w:t>
      </w:r>
      <w:r>
        <w:t>en</w:t>
      </w:r>
      <w:r>
        <w:rPr>
          <w:spacing w:val="-5"/>
        </w:rPr>
        <w:t xml:space="preserve"> </w:t>
      </w:r>
      <w:r>
        <w:t>el</w:t>
      </w:r>
      <w:r>
        <w:rPr>
          <w:spacing w:val="-6"/>
        </w:rPr>
        <w:t xml:space="preserve"> </w:t>
      </w:r>
      <w:r>
        <w:t>piedemonte y</w:t>
      </w:r>
      <w:r>
        <w:rPr>
          <w:spacing w:val="-4"/>
        </w:rPr>
        <w:t xml:space="preserve"> </w:t>
      </w:r>
      <w:r>
        <w:t>que</w:t>
      </w:r>
      <w:r>
        <w:rPr>
          <w:spacing w:val="-4"/>
        </w:rPr>
        <w:t xml:space="preserve"> </w:t>
      </w:r>
      <w:r>
        <w:t>estaba</w:t>
      </w:r>
      <w:r>
        <w:rPr>
          <w:spacing w:val="-5"/>
        </w:rPr>
        <w:t xml:space="preserve"> </w:t>
      </w:r>
      <w:r>
        <w:t>en</w:t>
      </w:r>
      <w:r>
        <w:rPr>
          <w:spacing w:val="-4"/>
        </w:rPr>
        <w:t xml:space="preserve"> </w:t>
      </w:r>
      <w:r>
        <w:t>tensión</w:t>
      </w:r>
      <w:r>
        <w:rPr>
          <w:spacing w:val="-4"/>
        </w:rPr>
        <w:t xml:space="preserve"> </w:t>
      </w:r>
      <w:r>
        <w:t>con</w:t>
      </w:r>
      <w:r>
        <w:rPr>
          <w:spacing w:val="-4"/>
        </w:rPr>
        <w:t xml:space="preserve"> </w:t>
      </w:r>
      <w:r>
        <w:t>las</w:t>
      </w:r>
      <w:r>
        <w:rPr>
          <w:spacing w:val="-4"/>
        </w:rPr>
        <w:t xml:space="preserve"> </w:t>
      </w:r>
      <w:r>
        <w:t>comunidades</w:t>
      </w:r>
      <w:r>
        <w:rPr>
          <w:spacing w:val="-4"/>
        </w:rPr>
        <w:t xml:space="preserve"> </w:t>
      </w:r>
      <w:r>
        <w:t>negras</w:t>
      </w:r>
      <w:r>
        <w:rPr>
          <w:spacing w:val="-4"/>
        </w:rPr>
        <w:t xml:space="preserve"> </w:t>
      </w:r>
      <w:r>
        <w:t>e</w:t>
      </w:r>
      <w:r>
        <w:rPr>
          <w:spacing w:val="-4"/>
        </w:rPr>
        <w:t xml:space="preserve"> </w:t>
      </w:r>
      <w:r>
        <w:t>indígenas</w:t>
      </w:r>
      <w:r w:rsidR="00BD6DB7">
        <w:rPr>
          <w:rStyle w:val="Refdenotaalpie"/>
        </w:rPr>
        <w:footnoteReference w:id="261"/>
      </w:r>
      <w:r>
        <w:t>.</w:t>
      </w:r>
      <w:r>
        <w:rPr>
          <w:spacing w:val="-4"/>
        </w:rPr>
        <w:t xml:space="preserve"> </w:t>
      </w:r>
      <w:r>
        <w:t>En</w:t>
      </w:r>
      <w:r>
        <w:rPr>
          <w:spacing w:val="-4"/>
        </w:rPr>
        <w:t xml:space="preserve"> </w:t>
      </w:r>
      <w:r>
        <w:t>el</w:t>
      </w:r>
      <w:r>
        <w:rPr>
          <w:spacing w:val="-3"/>
        </w:rPr>
        <w:t xml:space="preserve"> </w:t>
      </w:r>
      <w:r>
        <w:t>Cesar</w:t>
      </w:r>
      <w:r>
        <w:rPr>
          <w:spacing w:val="-3"/>
        </w:rPr>
        <w:t xml:space="preserve"> </w:t>
      </w:r>
      <w:r>
        <w:t>y</w:t>
      </w:r>
      <w:r>
        <w:rPr>
          <w:spacing w:val="-4"/>
        </w:rPr>
        <w:t xml:space="preserve"> </w:t>
      </w:r>
      <w:r>
        <w:t>La</w:t>
      </w:r>
      <w:r>
        <w:rPr>
          <w:spacing w:val="-4"/>
        </w:rPr>
        <w:t xml:space="preserve"> </w:t>
      </w:r>
      <w:r>
        <w:t>Guajira buscaron</w:t>
      </w:r>
      <w:r>
        <w:rPr>
          <w:spacing w:val="-11"/>
        </w:rPr>
        <w:t xml:space="preserve"> </w:t>
      </w:r>
      <w:r>
        <w:t>incidir</w:t>
      </w:r>
      <w:r>
        <w:rPr>
          <w:spacing w:val="-10"/>
        </w:rPr>
        <w:t xml:space="preserve"> </w:t>
      </w:r>
      <w:r>
        <w:t>en</w:t>
      </w:r>
      <w:r>
        <w:rPr>
          <w:spacing w:val="-9"/>
        </w:rPr>
        <w:t xml:space="preserve"> </w:t>
      </w:r>
      <w:r>
        <w:t>los</w:t>
      </w:r>
      <w:r>
        <w:rPr>
          <w:spacing w:val="-9"/>
        </w:rPr>
        <w:t xml:space="preserve"> </w:t>
      </w:r>
      <w:r>
        <w:t>pliegos</w:t>
      </w:r>
      <w:r>
        <w:rPr>
          <w:spacing w:val="-9"/>
        </w:rPr>
        <w:t xml:space="preserve"> </w:t>
      </w:r>
      <w:r>
        <w:t>de</w:t>
      </w:r>
      <w:r>
        <w:rPr>
          <w:spacing w:val="-9"/>
        </w:rPr>
        <w:t xml:space="preserve"> </w:t>
      </w:r>
      <w:r>
        <w:t>peticiones</w:t>
      </w:r>
      <w:r>
        <w:rPr>
          <w:spacing w:val="-9"/>
        </w:rPr>
        <w:t xml:space="preserve"> </w:t>
      </w:r>
      <w:r>
        <w:t>de</w:t>
      </w:r>
      <w:r>
        <w:rPr>
          <w:spacing w:val="-10"/>
        </w:rPr>
        <w:t xml:space="preserve"> </w:t>
      </w:r>
      <w:r>
        <w:t>los</w:t>
      </w:r>
      <w:r>
        <w:rPr>
          <w:spacing w:val="-10"/>
        </w:rPr>
        <w:t xml:space="preserve"> </w:t>
      </w:r>
      <w:r>
        <w:t>trabajadores</w:t>
      </w:r>
      <w:r>
        <w:rPr>
          <w:spacing w:val="-10"/>
        </w:rPr>
        <w:t xml:space="preserve"> </w:t>
      </w:r>
      <w:r>
        <w:t>palmeros,</w:t>
      </w:r>
      <w:r>
        <w:rPr>
          <w:spacing w:val="-9"/>
        </w:rPr>
        <w:t xml:space="preserve"> </w:t>
      </w:r>
      <w:r>
        <w:t>de</w:t>
      </w:r>
      <w:r>
        <w:rPr>
          <w:spacing w:val="-9"/>
        </w:rPr>
        <w:t xml:space="preserve"> </w:t>
      </w:r>
      <w:r>
        <w:t>los</w:t>
      </w:r>
      <w:r>
        <w:rPr>
          <w:spacing w:val="-9"/>
        </w:rPr>
        <w:t xml:space="preserve"> </w:t>
      </w:r>
      <w:r>
        <w:t>campesinos expropiados</w:t>
      </w:r>
      <w:r>
        <w:rPr>
          <w:spacing w:val="-13"/>
        </w:rPr>
        <w:t xml:space="preserve"> </w:t>
      </w:r>
      <w:r>
        <w:t>por</w:t>
      </w:r>
      <w:r>
        <w:rPr>
          <w:spacing w:val="-10"/>
        </w:rPr>
        <w:t xml:space="preserve"> </w:t>
      </w:r>
      <w:r>
        <w:t>El</w:t>
      </w:r>
      <w:r>
        <w:rPr>
          <w:spacing w:val="-10"/>
        </w:rPr>
        <w:t xml:space="preserve"> </w:t>
      </w:r>
      <w:r>
        <w:t>Cerrejón</w:t>
      </w:r>
      <w:r>
        <w:rPr>
          <w:spacing w:val="-11"/>
        </w:rPr>
        <w:t xml:space="preserve"> </w:t>
      </w:r>
      <w:r>
        <w:t>y</w:t>
      </w:r>
      <w:r>
        <w:rPr>
          <w:spacing w:val="-11"/>
        </w:rPr>
        <w:t xml:space="preserve"> </w:t>
      </w:r>
      <w:r>
        <w:t>sobre</w:t>
      </w:r>
      <w:r>
        <w:rPr>
          <w:spacing w:val="-12"/>
        </w:rPr>
        <w:t xml:space="preserve"> </w:t>
      </w:r>
      <w:r>
        <w:t>las</w:t>
      </w:r>
      <w:r>
        <w:rPr>
          <w:spacing w:val="-10"/>
        </w:rPr>
        <w:t xml:space="preserve"> </w:t>
      </w:r>
      <w:r>
        <w:t>comunidades</w:t>
      </w:r>
      <w:r>
        <w:rPr>
          <w:spacing w:val="-10"/>
        </w:rPr>
        <w:t xml:space="preserve"> </w:t>
      </w:r>
      <w:r>
        <w:t>indígenas</w:t>
      </w:r>
      <w:r>
        <w:rPr>
          <w:spacing w:val="-10"/>
        </w:rPr>
        <w:t xml:space="preserve"> </w:t>
      </w:r>
      <w:r>
        <w:t>de</w:t>
      </w:r>
      <w:r>
        <w:rPr>
          <w:spacing w:val="-10"/>
        </w:rPr>
        <w:t xml:space="preserve"> </w:t>
      </w:r>
      <w:r>
        <w:t>la</w:t>
      </w:r>
      <w:r>
        <w:rPr>
          <w:spacing w:val="-10"/>
        </w:rPr>
        <w:t xml:space="preserve"> </w:t>
      </w:r>
      <w:r>
        <w:t>Sierra</w:t>
      </w:r>
      <w:r>
        <w:rPr>
          <w:spacing w:val="-12"/>
        </w:rPr>
        <w:t xml:space="preserve"> </w:t>
      </w:r>
      <w:r>
        <w:t>Nevada</w:t>
      </w:r>
      <w:r>
        <w:rPr>
          <w:spacing w:val="-10"/>
        </w:rPr>
        <w:t xml:space="preserve"> </w:t>
      </w:r>
      <w:r>
        <w:t>de</w:t>
      </w:r>
      <w:r>
        <w:rPr>
          <w:spacing w:val="-12"/>
        </w:rPr>
        <w:t xml:space="preserve"> </w:t>
      </w:r>
      <w:r>
        <w:t>Santa Marta</w:t>
      </w:r>
      <w:r w:rsidR="00BD6DB7">
        <w:rPr>
          <w:rStyle w:val="Refdenotaalpie"/>
        </w:rPr>
        <w:footnoteReference w:id="262"/>
      </w:r>
      <w:r>
        <w:t>.</w:t>
      </w:r>
      <w:r>
        <w:rPr>
          <w:spacing w:val="5"/>
        </w:rPr>
        <w:t xml:space="preserve"> </w:t>
      </w:r>
      <w:r>
        <w:t>En</w:t>
      </w:r>
      <w:r>
        <w:rPr>
          <w:spacing w:val="5"/>
        </w:rPr>
        <w:t xml:space="preserve"> </w:t>
      </w:r>
      <w:r>
        <w:t>Catatumbo</w:t>
      </w:r>
      <w:r>
        <w:rPr>
          <w:spacing w:val="5"/>
        </w:rPr>
        <w:t xml:space="preserve"> </w:t>
      </w:r>
      <w:r>
        <w:t>buscaron</w:t>
      </w:r>
      <w:r>
        <w:rPr>
          <w:spacing w:val="3"/>
        </w:rPr>
        <w:t xml:space="preserve"> </w:t>
      </w:r>
      <w:r>
        <w:t>tener</w:t>
      </w:r>
      <w:r>
        <w:rPr>
          <w:spacing w:val="4"/>
        </w:rPr>
        <w:t xml:space="preserve"> </w:t>
      </w:r>
      <w:r>
        <w:t>incidencia</w:t>
      </w:r>
      <w:r>
        <w:rPr>
          <w:spacing w:val="4"/>
        </w:rPr>
        <w:t xml:space="preserve"> </w:t>
      </w:r>
      <w:r>
        <w:t>en</w:t>
      </w:r>
      <w:r>
        <w:rPr>
          <w:spacing w:val="5"/>
        </w:rPr>
        <w:t xml:space="preserve"> </w:t>
      </w:r>
      <w:r>
        <w:t>las</w:t>
      </w:r>
      <w:r>
        <w:rPr>
          <w:spacing w:val="6"/>
        </w:rPr>
        <w:t xml:space="preserve"> </w:t>
      </w:r>
      <w:r>
        <w:t>demandas</w:t>
      </w:r>
      <w:r>
        <w:rPr>
          <w:spacing w:val="5"/>
        </w:rPr>
        <w:t xml:space="preserve"> </w:t>
      </w:r>
      <w:r>
        <w:t>de</w:t>
      </w:r>
      <w:r>
        <w:rPr>
          <w:spacing w:val="5"/>
        </w:rPr>
        <w:t xml:space="preserve"> </w:t>
      </w:r>
      <w:r>
        <w:t>las</w:t>
      </w:r>
      <w:r>
        <w:rPr>
          <w:spacing w:val="5"/>
        </w:rPr>
        <w:t xml:space="preserve"> </w:t>
      </w:r>
      <w:r>
        <w:t>familias</w:t>
      </w:r>
      <w:r>
        <w:rPr>
          <w:spacing w:val="5"/>
        </w:rPr>
        <w:t xml:space="preserve"> </w:t>
      </w:r>
      <w:r>
        <w:rPr>
          <w:spacing w:val="-2"/>
        </w:rPr>
        <w:t>colonas,</w:t>
      </w:r>
      <w:bookmarkStart w:id="389" w:name="_bookmark301"/>
      <w:bookmarkStart w:id="390" w:name="_bookmark302"/>
      <w:bookmarkEnd w:id="389"/>
      <w:bookmarkEnd w:id="390"/>
      <w:r w:rsidR="00BD6DB7">
        <w:rPr>
          <w:spacing w:val="-2"/>
        </w:rPr>
        <w:t xml:space="preserve"> </w:t>
      </w:r>
      <w:r>
        <w:t>de los obreros petroleros y de la gente que huyó del mundo andino por la Violencia</w:t>
      </w:r>
      <w:r w:rsidR="00BD6DB7">
        <w:rPr>
          <w:rStyle w:val="Refdenotaalpie"/>
        </w:rPr>
        <w:footnoteReference w:id="263"/>
      </w:r>
      <w:r>
        <w:rPr>
          <w:vertAlign w:val="superscript"/>
        </w:rPr>
        <w:t>,</w:t>
      </w:r>
      <w:r>
        <w:rPr>
          <w:spacing w:val="-14"/>
        </w:rPr>
        <w:t xml:space="preserve"> </w:t>
      </w:r>
      <w:r>
        <w:t>Las demandas eran por la formalización de las propiedades, un trato menos militarizado y la provisión</w:t>
      </w:r>
      <w:r>
        <w:rPr>
          <w:spacing w:val="-5"/>
        </w:rPr>
        <w:t xml:space="preserve"> </w:t>
      </w:r>
      <w:r>
        <w:t>de</w:t>
      </w:r>
      <w:r>
        <w:rPr>
          <w:spacing w:val="-6"/>
        </w:rPr>
        <w:t xml:space="preserve"> </w:t>
      </w:r>
      <w:r>
        <w:t>una</w:t>
      </w:r>
      <w:r>
        <w:rPr>
          <w:spacing w:val="-5"/>
        </w:rPr>
        <w:t xml:space="preserve"> </w:t>
      </w:r>
      <w:r>
        <w:t>mejor</w:t>
      </w:r>
      <w:r>
        <w:rPr>
          <w:spacing w:val="-4"/>
        </w:rPr>
        <w:t xml:space="preserve"> </w:t>
      </w:r>
      <w:r>
        <w:t>infraestructura</w:t>
      </w:r>
      <w:r>
        <w:rPr>
          <w:spacing w:val="-5"/>
        </w:rPr>
        <w:t xml:space="preserve"> </w:t>
      </w:r>
      <w:r>
        <w:t>y</w:t>
      </w:r>
      <w:r>
        <w:rPr>
          <w:spacing w:val="-5"/>
        </w:rPr>
        <w:t xml:space="preserve"> </w:t>
      </w:r>
      <w:r>
        <w:t>servicios</w:t>
      </w:r>
      <w:r>
        <w:rPr>
          <w:spacing w:val="-6"/>
        </w:rPr>
        <w:t xml:space="preserve"> </w:t>
      </w:r>
      <w:r>
        <w:t>básicos.</w:t>
      </w:r>
      <w:r>
        <w:rPr>
          <w:spacing w:val="-5"/>
        </w:rPr>
        <w:t xml:space="preserve"> </w:t>
      </w:r>
      <w:r>
        <w:t>Finalmente,</w:t>
      </w:r>
      <w:r>
        <w:rPr>
          <w:spacing w:val="-5"/>
        </w:rPr>
        <w:t xml:space="preserve"> </w:t>
      </w:r>
      <w:r>
        <w:t>en</w:t>
      </w:r>
      <w:r>
        <w:rPr>
          <w:spacing w:val="-5"/>
        </w:rPr>
        <w:t xml:space="preserve"> </w:t>
      </w:r>
      <w:r>
        <w:t>el</w:t>
      </w:r>
      <w:r>
        <w:rPr>
          <w:spacing w:val="-4"/>
        </w:rPr>
        <w:t xml:space="preserve"> </w:t>
      </w:r>
      <w:r>
        <w:t>caso</w:t>
      </w:r>
      <w:r>
        <w:rPr>
          <w:spacing w:val="-5"/>
        </w:rPr>
        <w:t xml:space="preserve"> </w:t>
      </w:r>
      <w:r>
        <w:t>del</w:t>
      </w:r>
      <w:r>
        <w:rPr>
          <w:spacing w:val="-4"/>
        </w:rPr>
        <w:t xml:space="preserve"> </w:t>
      </w:r>
      <w:r>
        <w:t>sur</w:t>
      </w:r>
      <w:r>
        <w:rPr>
          <w:spacing w:val="-4"/>
        </w:rPr>
        <w:t xml:space="preserve"> </w:t>
      </w:r>
      <w:r>
        <w:t xml:space="preserve">del Bolívar, tuvo un papel relevante organizando el proceso colonizador y la explotación </w:t>
      </w:r>
      <w:r>
        <w:rPr>
          <w:spacing w:val="-2"/>
        </w:rPr>
        <w:t>aurífera</w:t>
      </w:r>
      <w:r w:rsidR="00BD6DB7">
        <w:rPr>
          <w:rStyle w:val="Refdenotaalpie"/>
          <w:spacing w:val="-2"/>
        </w:rPr>
        <w:footnoteReference w:id="264"/>
      </w:r>
      <w:r>
        <w:rPr>
          <w:spacing w:val="-2"/>
        </w:rPr>
        <w:t>.</w:t>
      </w:r>
    </w:p>
    <w:p w:rsidR="003804AC" w:rsidRDefault="00AF18A5" w:rsidP="00BD6DB7">
      <w:r>
        <w:t>En conclusión, la inserción de los grupos guerrilleros en los territorios a que se ha hecho mención</w:t>
      </w:r>
      <w:r>
        <w:rPr>
          <w:spacing w:val="-5"/>
        </w:rPr>
        <w:t xml:space="preserve"> </w:t>
      </w:r>
      <w:r>
        <w:t>y</w:t>
      </w:r>
      <w:r>
        <w:rPr>
          <w:spacing w:val="-6"/>
        </w:rPr>
        <w:t xml:space="preserve"> </w:t>
      </w:r>
      <w:r>
        <w:t>la</w:t>
      </w:r>
      <w:r>
        <w:rPr>
          <w:spacing w:val="-4"/>
        </w:rPr>
        <w:t xml:space="preserve"> </w:t>
      </w:r>
      <w:r>
        <w:t>posibilidad</w:t>
      </w:r>
      <w:r>
        <w:rPr>
          <w:spacing w:val="-5"/>
        </w:rPr>
        <w:t xml:space="preserve"> </w:t>
      </w:r>
      <w:r>
        <w:t>que</w:t>
      </w:r>
      <w:r>
        <w:rPr>
          <w:spacing w:val="-4"/>
        </w:rPr>
        <w:t xml:space="preserve"> </w:t>
      </w:r>
      <w:r>
        <w:t>tuvieron</w:t>
      </w:r>
      <w:r>
        <w:rPr>
          <w:spacing w:val="-5"/>
        </w:rPr>
        <w:t xml:space="preserve"> </w:t>
      </w:r>
      <w:r>
        <w:t>de</w:t>
      </w:r>
      <w:r>
        <w:rPr>
          <w:spacing w:val="-4"/>
        </w:rPr>
        <w:t xml:space="preserve"> </w:t>
      </w:r>
      <w:r>
        <w:t>mantener</w:t>
      </w:r>
      <w:r>
        <w:rPr>
          <w:spacing w:val="-4"/>
        </w:rPr>
        <w:t xml:space="preserve"> </w:t>
      </w:r>
      <w:r>
        <w:t>su</w:t>
      </w:r>
      <w:r>
        <w:rPr>
          <w:spacing w:val="-5"/>
        </w:rPr>
        <w:t xml:space="preserve"> </w:t>
      </w:r>
      <w:r>
        <w:t>presencia</w:t>
      </w:r>
      <w:r>
        <w:rPr>
          <w:spacing w:val="-4"/>
        </w:rPr>
        <w:t xml:space="preserve"> </w:t>
      </w:r>
      <w:r>
        <w:t>y</w:t>
      </w:r>
      <w:r>
        <w:rPr>
          <w:spacing w:val="-5"/>
        </w:rPr>
        <w:t xml:space="preserve"> </w:t>
      </w:r>
      <w:r>
        <w:t>posteriormente</w:t>
      </w:r>
      <w:r>
        <w:rPr>
          <w:spacing w:val="-4"/>
        </w:rPr>
        <w:t xml:space="preserve"> </w:t>
      </w:r>
      <w:r>
        <w:t xml:space="preserve">configurar órdenes violentos se debió, además de su propia capacidad organizativa y control armado, sobre todo a la incapacidad del Estado para ganarse la confianza de los </w:t>
      </w:r>
      <w:r>
        <w:lastRenderedPageBreak/>
        <w:t>pobladores y ser considerado legítimo, para tramitar por la vía pacífica los conflictos sociales, políticos, económicos y ambientales de esas comunidades. Esta situación de escasa legitimidad y capacidad de regulación ha sido un factor de persistencia del conflicto que explica la posibilidad de que grupos armados distintos al Estado hayan podido suplir sus funciones en algunos territorios.</w:t>
      </w:r>
    </w:p>
    <w:p w:rsidR="0011361F" w:rsidRDefault="00AF18A5" w:rsidP="004A6EF4">
      <w:pPr>
        <w:pStyle w:val="Ttulo3"/>
        <w:numPr>
          <w:ilvl w:val="1"/>
          <w:numId w:val="16"/>
        </w:numPr>
      </w:pPr>
      <w:bookmarkStart w:id="391" w:name="4.5._Entramados_guerrilleros,_partidos_p"/>
      <w:bookmarkStart w:id="392" w:name="_Toc112399586"/>
      <w:bookmarkEnd w:id="391"/>
      <w:r>
        <w:t>Entramados</w:t>
      </w:r>
      <w:r>
        <w:rPr>
          <w:spacing w:val="-5"/>
        </w:rPr>
        <w:t xml:space="preserve"> </w:t>
      </w:r>
      <w:r>
        <w:t>guerrilleros,</w:t>
      </w:r>
      <w:r>
        <w:rPr>
          <w:spacing w:val="-4"/>
        </w:rPr>
        <w:t xml:space="preserve"> </w:t>
      </w:r>
      <w:r w:rsidRPr="004850C7">
        <w:t>partidos</w:t>
      </w:r>
      <w:r>
        <w:rPr>
          <w:spacing w:val="-3"/>
        </w:rPr>
        <w:t xml:space="preserve"> </w:t>
      </w:r>
      <w:r>
        <w:t>políticos</w:t>
      </w:r>
      <w:r>
        <w:rPr>
          <w:spacing w:val="-3"/>
        </w:rPr>
        <w:t xml:space="preserve"> </w:t>
      </w:r>
      <w:r>
        <w:t>y</w:t>
      </w:r>
      <w:r>
        <w:rPr>
          <w:spacing w:val="-3"/>
        </w:rPr>
        <w:t xml:space="preserve"> </w:t>
      </w:r>
      <w:r>
        <w:t>movimientos</w:t>
      </w:r>
      <w:r>
        <w:rPr>
          <w:spacing w:val="-3"/>
        </w:rPr>
        <w:t xml:space="preserve"> </w:t>
      </w:r>
      <w:r>
        <w:rPr>
          <w:spacing w:val="-2"/>
        </w:rPr>
        <w:t>sociales</w:t>
      </w:r>
      <w:bookmarkEnd w:id="392"/>
    </w:p>
    <w:p w:rsidR="0011361F" w:rsidRDefault="00AF18A5" w:rsidP="0089178C">
      <w:r>
        <w:t>La guerra en Colombia no se ha dado solo entre los aparatos armados, sino que también ha involucrado a diferentes sectores de la población. Para las guerrillas, tener relación con diferentes sectores de la población civil ha sido parte central de su modo de actuación y de sus estrategias. Para ello configuraron redes de relaciones más o menos estables que involucraron a diferentes sectores sociales, económicos y políticos, ya fuera que compartieran el proyecto revolucionario, se sintonizaran con los reclamos sociales de las comunidades</w:t>
      </w:r>
      <w:r>
        <w:rPr>
          <w:spacing w:val="-3"/>
        </w:rPr>
        <w:t xml:space="preserve"> </w:t>
      </w:r>
      <w:r>
        <w:t>o</w:t>
      </w:r>
      <w:r>
        <w:rPr>
          <w:spacing w:val="-3"/>
        </w:rPr>
        <w:t xml:space="preserve"> </w:t>
      </w:r>
      <w:r>
        <w:t>se</w:t>
      </w:r>
      <w:r>
        <w:rPr>
          <w:spacing w:val="-3"/>
        </w:rPr>
        <w:t xml:space="preserve"> </w:t>
      </w:r>
      <w:r>
        <w:t>relacionaran</w:t>
      </w:r>
      <w:r>
        <w:rPr>
          <w:spacing w:val="-3"/>
        </w:rPr>
        <w:t xml:space="preserve"> </w:t>
      </w:r>
      <w:r>
        <w:t>a</w:t>
      </w:r>
      <w:r>
        <w:rPr>
          <w:spacing w:val="-3"/>
        </w:rPr>
        <w:t xml:space="preserve"> </w:t>
      </w:r>
      <w:r>
        <w:t>través</w:t>
      </w:r>
      <w:r>
        <w:rPr>
          <w:spacing w:val="-3"/>
        </w:rPr>
        <w:t xml:space="preserve"> </w:t>
      </w:r>
      <w:r>
        <w:t>de</w:t>
      </w:r>
      <w:r>
        <w:rPr>
          <w:spacing w:val="-3"/>
        </w:rPr>
        <w:t xml:space="preserve"> </w:t>
      </w:r>
      <w:r>
        <w:t>la</w:t>
      </w:r>
      <w:r>
        <w:rPr>
          <w:spacing w:val="-3"/>
        </w:rPr>
        <w:t xml:space="preserve"> </w:t>
      </w:r>
      <w:r>
        <w:t>coacción</w:t>
      </w:r>
      <w:r>
        <w:rPr>
          <w:spacing w:val="-3"/>
        </w:rPr>
        <w:t xml:space="preserve"> </w:t>
      </w:r>
      <w:r>
        <w:t>y</w:t>
      </w:r>
      <w:r>
        <w:rPr>
          <w:spacing w:val="-3"/>
        </w:rPr>
        <w:t xml:space="preserve"> </w:t>
      </w:r>
      <w:r>
        <w:t>el</w:t>
      </w:r>
      <w:r>
        <w:rPr>
          <w:spacing w:val="-3"/>
        </w:rPr>
        <w:t xml:space="preserve"> </w:t>
      </w:r>
      <w:r>
        <w:t>compromiso</w:t>
      </w:r>
      <w:r>
        <w:rPr>
          <w:spacing w:val="-5"/>
        </w:rPr>
        <w:t xml:space="preserve"> </w:t>
      </w:r>
      <w:r>
        <w:t>en</w:t>
      </w:r>
      <w:r>
        <w:rPr>
          <w:spacing w:val="-3"/>
        </w:rPr>
        <w:t xml:space="preserve"> </w:t>
      </w:r>
      <w:r>
        <w:t>vínculos</w:t>
      </w:r>
      <w:r>
        <w:rPr>
          <w:spacing w:val="-5"/>
        </w:rPr>
        <w:t xml:space="preserve"> </w:t>
      </w:r>
      <w:r>
        <w:t>estables funcionales a la guerra.</w:t>
      </w:r>
    </w:p>
    <w:p w:rsidR="003804AC" w:rsidRDefault="00AF18A5" w:rsidP="0089178C">
      <w:bookmarkStart w:id="393" w:name="_bookmark304"/>
      <w:bookmarkStart w:id="394" w:name="_bookmark305"/>
      <w:bookmarkEnd w:id="393"/>
      <w:bookmarkEnd w:id="394"/>
      <w:r>
        <w:t>En</w:t>
      </w:r>
      <w:r>
        <w:rPr>
          <w:spacing w:val="-15"/>
        </w:rPr>
        <w:t xml:space="preserve"> </w:t>
      </w:r>
      <w:r>
        <w:t>sus</w:t>
      </w:r>
      <w:r>
        <w:rPr>
          <w:spacing w:val="-15"/>
        </w:rPr>
        <w:t xml:space="preserve"> </w:t>
      </w:r>
      <w:r>
        <w:t>orígenes,</w:t>
      </w:r>
      <w:r>
        <w:rPr>
          <w:spacing w:val="-15"/>
        </w:rPr>
        <w:t xml:space="preserve"> </w:t>
      </w:r>
      <w:r>
        <w:t>las</w:t>
      </w:r>
      <w:r>
        <w:rPr>
          <w:spacing w:val="-15"/>
        </w:rPr>
        <w:t xml:space="preserve"> </w:t>
      </w:r>
      <w:r>
        <w:t>guerrillas</w:t>
      </w:r>
      <w:r>
        <w:rPr>
          <w:spacing w:val="-15"/>
        </w:rPr>
        <w:t xml:space="preserve"> </w:t>
      </w:r>
      <w:r>
        <w:t>se</w:t>
      </w:r>
      <w:r>
        <w:rPr>
          <w:spacing w:val="-15"/>
        </w:rPr>
        <w:t xml:space="preserve"> </w:t>
      </w:r>
      <w:r>
        <w:t>sumaron</w:t>
      </w:r>
      <w:r>
        <w:rPr>
          <w:spacing w:val="-15"/>
        </w:rPr>
        <w:t xml:space="preserve"> </w:t>
      </w:r>
      <w:r>
        <w:t>a</w:t>
      </w:r>
      <w:r>
        <w:rPr>
          <w:spacing w:val="-15"/>
        </w:rPr>
        <w:t xml:space="preserve"> </w:t>
      </w:r>
      <w:r>
        <w:t>demandas</w:t>
      </w:r>
      <w:r>
        <w:rPr>
          <w:spacing w:val="-14"/>
        </w:rPr>
        <w:t xml:space="preserve"> </w:t>
      </w:r>
      <w:r>
        <w:t>sociales</w:t>
      </w:r>
      <w:r>
        <w:rPr>
          <w:spacing w:val="-15"/>
        </w:rPr>
        <w:t xml:space="preserve"> </w:t>
      </w:r>
      <w:r>
        <w:t>existentes</w:t>
      </w:r>
      <w:r>
        <w:rPr>
          <w:spacing w:val="-15"/>
        </w:rPr>
        <w:t xml:space="preserve"> </w:t>
      </w:r>
      <w:r>
        <w:t>y,</w:t>
      </w:r>
      <w:r>
        <w:rPr>
          <w:spacing w:val="-15"/>
        </w:rPr>
        <w:t xml:space="preserve"> </w:t>
      </w:r>
      <w:r>
        <w:t>en</w:t>
      </w:r>
      <w:r>
        <w:rPr>
          <w:spacing w:val="-15"/>
        </w:rPr>
        <w:t xml:space="preserve"> </w:t>
      </w:r>
      <w:r>
        <w:t>otros</w:t>
      </w:r>
      <w:r>
        <w:rPr>
          <w:spacing w:val="-15"/>
        </w:rPr>
        <w:t xml:space="preserve"> </w:t>
      </w:r>
      <w:r>
        <w:t>casos, trataron de influir en el campesinado y sectores populares; también, por su misma composición y concepción política, procuraron entablar lazos políticos con las organizaciones</w:t>
      </w:r>
      <w:r>
        <w:rPr>
          <w:spacing w:val="-1"/>
        </w:rPr>
        <w:t xml:space="preserve"> </w:t>
      </w:r>
      <w:r>
        <w:t>sociales</w:t>
      </w:r>
      <w:r>
        <w:rPr>
          <w:spacing w:val="-2"/>
        </w:rPr>
        <w:t xml:space="preserve"> </w:t>
      </w:r>
      <w:r>
        <w:t>y</w:t>
      </w:r>
      <w:r>
        <w:rPr>
          <w:spacing w:val="-1"/>
        </w:rPr>
        <w:t xml:space="preserve"> </w:t>
      </w:r>
      <w:r>
        <w:t>las</w:t>
      </w:r>
      <w:r>
        <w:rPr>
          <w:spacing w:val="-1"/>
        </w:rPr>
        <w:t xml:space="preserve"> </w:t>
      </w:r>
      <w:r>
        <w:t>comunidades.</w:t>
      </w:r>
      <w:r>
        <w:rPr>
          <w:spacing w:val="-1"/>
        </w:rPr>
        <w:t xml:space="preserve"> </w:t>
      </w:r>
      <w:r>
        <w:t>En</w:t>
      </w:r>
      <w:r>
        <w:rPr>
          <w:spacing w:val="-1"/>
        </w:rPr>
        <w:t xml:space="preserve"> </w:t>
      </w:r>
      <w:r>
        <w:t>general,</w:t>
      </w:r>
      <w:r>
        <w:rPr>
          <w:spacing w:val="-1"/>
        </w:rPr>
        <w:t xml:space="preserve"> </w:t>
      </w:r>
      <w:r>
        <w:t>conforme</w:t>
      </w:r>
      <w:r>
        <w:rPr>
          <w:spacing w:val="-1"/>
        </w:rPr>
        <w:t xml:space="preserve"> </w:t>
      </w:r>
      <w:r>
        <w:t>se</w:t>
      </w:r>
      <w:r>
        <w:rPr>
          <w:spacing w:val="-1"/>
        </w:rPr>
        <w:t xml:space="preserve"> </w:t>
      </w:r>
      <w:r>
        <w:t>extendió</w:t>
      </w:r>
      <w:r>
        <w:rPr>
          <w:spacing w:val="-1"/>
        </w:rPr>
        <w:t xml:space="preserve"> </w:t>
      </w:r>
      <w:r>
        <w:t>y</w:t>
      </w:r>
      <w:r>
        <w:rPr>
          <w:spacing w:val="-1"/>
        </w:rPr>
        <w:t xml:space="preserve"> </w:t>
      </w:r>
      <w:r>
        <w:t>se</w:t>
      </w:r>
      <w:r>
        <w:rPr>
          <w:spacing w:val="-1"/>
        </w:rPr>
        <w:t xml:space="preserve"> </w:t>
      </w:r>
      <w:r>
        <w:t>alargó</w:t>
      </w:r>
      <w:r>
        <w:rPr>
          <w:spacing w:val="-1"/>
        </w:rPr>
        <w:t xml:space="preserve"> </w:t>
      </w:r>
      <w:r>
        <w:t>en el tiempo el</w:t>
      </w:r>
      <w:r>
        <w:rPr>
          <w:spacing w:val="-1"/>
        </w:rPr>
        <w:t xml:space="preserve"> </w:t>
      </w:r>
      <w:r>
        <w:t>conflicto</w:t>
      </w:r>
      <w:r>
        <w:rPr>
          <w:spacing w:val="-1"/>
        </w:rPr>
        <w:t xml:space="preserve"> </w:t>
      </w:r>
      <w:r>
        <w:t>armado, estas</w:t>
      </w:r>
      <w:r>
        <w:rPr>
          <w:spacing w:val="-2"/>
        </w:rPr>
        <w:t xml:space="preserve"> </w:t>
      </w:r>
      <w:r>
        <w:t>relaciones</w:t>
      </w:r>
      <w:r>
        <w:rPr>
          <w:spacing w:val="-1"/>
        </w:rPr>
        <w:t xml:space="preserve"> </w:t>
      </w:r>
      <w:r>
        <w:t>se fueron haciendo cada vez más autoritarias y devinieron en numerosas ocasiones en confrontación y disputas cuando se quisieron imponer por la fuerza de las armas.</w:t>
      </w:r>
    </w:p>
    <w:p w:rsidR="003804AC" w:rsidRDefault="00AF18A5" w:rsidP="0089178C">
      <w:r>
        <w:t xml:space="preserve">Estas dinámicas han sido bastante cambiantes de acuerdo con los </w:t>
      </w:r>
      <w:r>
        <w:lastRenderedPageBreak/>
        <w:t>tiempos de la guerra, pero</w:t>
      </w:r>
      <w:r>
        <w:rPr>
          <w:spacing w:val="-5"/>
        </w:rPr>
        <w:t xml:space="preserve"> </w:t>
      </w:r>
      <w:r>
        <w:t>también</w:t>
      </w:r>
      <w:r>
        <w:rPr>
          <w:spacing w:val="-5"/>
        </w:rPr>
        <w:t xml:space="preserve"> </w:t>
      </w:r>
      <w:r>
        <w:t>variaron</w:t>
      </w:r>
      <w:r>
        <w:rPr>
          <w:spacing w:val="-5"/>
        </w:rPr>
        <w:t xml:space="preserve"> </w:t>
      </w:r>
      <w:r>
        <w:t>de</w:t>
      </w:r>
      <w:r>
        <w:rPr>
          <w:spacing w:val="-5"/>
        </w:rPr>
        <w:t xml:space="preserve"> </w:t>
      </w:r>
      <w:r>
        <w:t>organización</w:t>
      </w:r>
      <w:r>
        <w:rPr>
          <w:spacing w:val="-5"/>
        </w:rPr>
        <w:t xml:space="preserve"> </w:t>
      </w:r>
      <w:r>
        <w:t>a</w:t>
      </w:r>
      <w:r>
        <w:rPr>
          <w:spacing w:val="-5"/>
        </w:rPr>
        <w:t xml:space="preserve"> </w:t>
      </w:r>
      <w:r>
        <w:t>organización,</w:t>
      </w:r>
      <w:r>
        <w:rPr>
          <w:spacing w:val="-5"/>
        </w:rPr>
        <w:t xml:space="preserve"> </w:t>
      </w:r>
      <w:r>
        <w:t>en</w:t>
      </w:r>
      <w:r>
        <w:rPr>
          <w:spacing w:val="-5"/>
        </w:rPr>
        <w:t xml:space="preserve"> </w:t>
      </w:r>
      <w:r>
        <w:t>función</w:t>
      </w:r>
      <w:r>
        <w:rPr>
          <w:spacing w:val="-5"/>
        </w:rPr>
        <w:t xml:space="preserve"> </w:t>
      </w:r>
      <w:r>
        <w:t>del</w:t>
      </w:r>
      <w:r>
        <w:rPr>
          <w:spacing w:val="-4"/>
        </w:rPr>
        <w:t xml:space="preserve"> </w:t>
      </w:r>
      <w:r>
        <w:t>territorio</w:t>
      </w:r>
      <w:r>
        <w:rPr>
          <w:spacing w:val="-5"/>
        </w:rPr>
        <w:t xml:space="preserve"> </w:t>
      </w:r>
      <w:r>
        <w:t>y</w:t>
      </w:r>
      <w:r>
        <w:rPr>
          <w:spacing w:val="-5"/>
        </w:rPr>
        <w:t xml:space="preserve"> </w:t>
      </w:r>
      <w:r>
        <w:t>de</w:t>
      </w:r>
      <w:r>
        <w:rPr>
          <w:spacing w:val="-5"/>
        </w:rPr>
        <w:t xml:space="preserve"> </w:t>
      </w:r>
      <w:r>
        <w:t>acuerdo con diversos procesos en distintas escalas (internacional, nacional y local). En términos ideológicos, las guerrillas han tratado también de aumentar su influencia no solo mediante las dinámicas militares, sino políticas y sociales, buscando influenciar a diferentes movimientos sociales, comunidades o pueblos, ya sea por compartir elementos ideológicos, por reivindicar luchas sociales o imponiendo órdenes violentos.</w:t>
      </w:r>
    </w:p>
    <w:p w:rsidR="003804AC" w:rsidRDefault="00AF18A5" w:rsidP="0089178C">
      <w:r>
        <w:t>Entender esta superposición de luchas no significa identificar a los sectores que hacen demandas sociales con las guerrillas ni establecer un vínculo entre ellos, cuestión determinante para estigmatizar a los movimientos sociales o políticos, o a los sectores de diferentes comunidades campesinas y étnicas, fundamentalmente. Este señalamiento, de hecho, ha llevado a recurrentes violaciones de derechos humanos, persecución, masacres, ejecuciones extrajudiciales, en una visión del enemigo interno que ha criminalizado por décadas a los movimientos y organizaciones sociales. La falta de entendimiento de esta cuestión ha llevado a la búsqueda de soluciones militares que constituyeron una forma de reforzar la dinámica del conflicto armado.</w:t>
      </w:r>
    </w:p>
    <w:p w:rsidR="003804AC" w:rsidRDefault="00AF18A5" w:rsidP="0089178C">
      <w:r>
        <w:t>Las guerrillas han intentado cooptar organizaciones para tener apoyo, recursos o influir en sus demandas para ganar poder político. Estas dinámicas han sido distintas en diferentes momentos históricos o grupos armados y han estado sometidas a múltiples contradicciones políticas o étnicas. Mientras algunas guerrillas intentaron a través de su actuación militar tener legitimidad social con golpes de efecto audaces o ataques contra sectores económicos importantes</w:t>
      </w:r>
      <w:r>
        <w:rPr>
          <w:spacing w:val="-2"/>
        </w:rPr>
        <w:t xml:space="preserve"> </w:t>
      </w:r>
      <w:r>
        <w:t>en áreas urbanas, como</w:t>
      </w:r>
      <w:r>
        <w:rPr>
          <w:spacing w:val="-1"/>
        </w:rPr>
        <w:t xml:space="preserve"> </w:t>
      </w:r>
      <w:r>
        <w:t>el</w:t>
      </w:r>
      <w:r>
        <w:rPr>
          <w:spacing w:val="-1"/>
        </w:rPr>
        <w:t xml:space="preserve"> </w:t>
      </w:r>
      <w:r>
        <w:t>M-19</w:t>
      </w:r>
      <w:r>
        <w:rPr>
          <w:spacing w:val="-1"/>
        </w:rPr>
        <w:t xml:space="preserve"> </w:t>
      </w:r>
      <w:r>
        <w:t>en</w:t>
      </w:r>
      <w:r>
        <w:rPr>
          <w:spacing w:val="-1"/>
        </w:rPr>
        <w:t xml:space="preserve"> </w:t>
      </w:r>
      <w:r>
        <w:t>los años setenta</w:t>
      </w:r>
      <w:r>
        <w:rPr>
          <w:spacing w:val="-1"/>
        </w:rPr>
        <w:t xml:space="preserve"> </w:t>
      </w:r>
      <w:r>
        <w:t xml:space="preserve">y ochenta –que también </w:t>
      </w:r>
      <w:r>
        <w:rPr>
          <w:spacing w:val="-5"/>
        </w:rPr>
        <w:t>fue</w:t>
      </w:r>
    </w:p>
    <w:p w:rsidR="003804AC" w:rsidRDefault="00AF18A5" w:rsidP="0089178C">
      <w:r>
        <w:lastRenderedPageBreak/>
        <w:t>autor</w:t>
      </w:r>
      <w:r>
        <w:rPr>
          <w:spacing w:val="-1"/>
        </w:rPr>
        <w:t xml:space="preserve"> </w:t>
      </w:r>
      <w:r>
        <w:t>del</w:t>
      </w:r>
      <w:r>
        <w:rPr>
          <w:spacing w:val="-1"/>
        </w:rPr>
        <w:t xml:space="preserve"> </w:t>
      </w:r>
      <w:r>
        <w:t>asalto</w:t>
      </w:r>
      <w:r>
        <w:rPr>
          <w:spacing w:val="-1"/>
        </w:rPr>
        <w:t xml:space="preserve"> </w:t>
      </w:r>
      <w:r>
        <w:t>armado</w:t>
      </w:r>
      <w:r>
        <w:rPr>
          <w:spacing w:val="-1"/>
        </w:rPr>
        <w:t xml:space="preserve"> </w:t>
      </w:r>
      <w:r>
        <w:t>al</w:t>
      </w:r>
      <w:r>
        <w:rPr>
          <w:spacing w:val="-1"/>
        </w:rPr>
        <w:t xml:space="preserve"> </w:t>
      </w:r>
      <w:r>
        <w:t>Palacio</w:t>
      </w:r>
      <w:r>
        <w:rPr>
          <w:spacing w:val="-1"/>
        </w:rPr>
        <w:t xml:space="preserve"> </w:t>
      </w:r>
      <w:r>
        <w:t>de</w:t>
      </w:r>
      <w:r>
        <w:rPr>
          <w:spacing w:val="-2"/>
        </w:rPr>
        <w:t xml:space="preserve"> </w:t>
      </w:r>
      <w:r>
        <w:t>Justicia</w:t>
      </w:r>
      <w:r>
        <w:rPr>
          <w:spacing w:val="-1"/>
        </w:rPr>
        <w:t xml:space="preserve"> </w:t>
      </w:r>
      <w:r>
        <w:t>en</w:t>
      </w:r>
      <w:r>
        <w:rPr>
          <w:spacing w:val="-1"/>
        </w:rPr>
        <w:t xml:space="preserve"> </w:t>
      </w:r>
      <w:r>
        <w:t>1985–,</w:t>
      </w:r>
      <w:r>
        <w:rPr>
          <w:spacing w:val="-1"/>
        </w:rPr>
        <w:t xml:space="preserve"> </w:t>
      </w:r>
      <w:r>
        <w:t>otras</w:t>
      </w:r>
      <w:r>
        <w:rPr>
          <w:spacing w:val="-1"/>
        </w:rPr>
        <w:t xml:space="preserve"> </w:t>
      </w:r>
      <w:r>
        <w:t>como</w:t>
      </w:r>
      <w:r>
        <w:rPr>
          <w:spacing w:val="-1"/>
        </w:rPr>
        <w:t xml:space="preserve"> </w:t>
      </w:r>
      <w:r>
        <w:t>las</w:t>
      </w:r>
      <w:r>
        <w:rPr>
          <w:spacing w:val="-1"/>
        </w:rPr>
        <w:t xml:space="preserve"> </w:t>
      </w:r>
      <w:r>
        <w:t>FARC-EP, el</w:t>
      </w:r>
      <w:r>
        <w:rPr>
          <w:spacing w:val="-1"/>
        </w:rPr>
        <w:t xml:space="preserve"> </w:t>
      </w:r>
      <w:r>
        <w:t>ELN o el EPL desarrollaron sus bases de trabajo en áreas rurales más desprotegidas, donde mantuvieron durante años una relación estrecha con la población y el territorio, justamente debido a su presencia cotidiana.</w:t>
      </w:r>
    </w:p>
    <w:p w:rsidR="003804AC" w:rsidRDefault="00AF18A5" w:rsidP="0089178C">
      <w:r>
        <w:t>Los cambios de las relaciones entre la movilización social y las insurgencias tuvieron momentos, lugares y maneras distintas de expresarse de acuerdo con los involucrados: no siempre se dio por imposición, ni tampoco hubo una relación simbiótica. Hubo debates, tensiones</w:t>
      </w:r>
      <w:r>
        <w:rPr>
          <w:spacing w:val="-2"/>
        </w:rPr>
        <w:t xml:space="preserve"> </w:t>
      </w:r>
      <w:r>
        <w:t>y</w:t>
      </w:r>
      <w:r>
        <w:rPr>
          <w:spacing w:val="-2"/>
        </w:rPr>
        <w:t xml:space="preserve"> </w:t>
      </w:r>
      <w:r>
        <w:t>también</w:t>
      </w:r>
      <w:r>
        <w:rPr>
          <w:spacing w:val="-2"/>
        </w:rPr>
        <w:t xml:space="preserve"> </w:t>
      </w:r>
      <w:r>
        <w:t>muchas</w:t>
      </w:r>
      <w:r>
        <w:rPr>
          <w:spacing w:val="-2"/>
        </w:rPr>
        <w:t xml:space="preserve"> </w:t>
      </w:r>
      <w:r>
        <w:t>resistencias</w:t>
      </w:r>
      <w:r>
        <w:rPr>
          <w:spacing w:val="-2"/>
        </w:rPr>
        <w:t xml:space="preserve"> </w:t>
      </w:r>
      <w:r>
        <w:t>en</w:t>
      </w:r>
      <w:r>
        <w:rPr>
          <w:spacing w:val="-2"/>
        </w:rPr>
        <w:t xml:space="preserve"> </w:t>
      </w:r>
      <w:r>
        <w:t>las</w:t>
      </w:r>
      <w:r>
        <w:rPr>
          <w:spacing w:val="-2"/>
        </w:rPr>
        <w:t xml:space="preserve"> </w:t>
      </w:r>
      <w:r>
        <w:t>relaciones</w:t>
      </w:r>
      <w:r>
        <w:rPr>
          <w:spacing w:val="-2"/>
        </w:rPr>
        <w:t xml:space="preserve"> </w:t>
      </w:r>
      <w:r>
        <w:t>de</w:t>
      </w:r>
      <w:r>
        <w:rPr>
          <w:spacing w:val="-2"/>
        </w:rPr>
        <w:t xml:space="preserve"> </w:t>
      </w:r>
      <w:r>
        <w:t>partidos</w:t>
      </w:r>
      <w:r>
        <w:rPr>
          <w:spacing w:val="-2"/>
        </w:rPr>
        <w:t xml:space="preserve"> </w:t>
      </w:r>
      <w:r>
        <w:t>políticos</w:t>
      </w:r>
      <w:r>
        <w:rPr>
          <w:spacing w:val="-2"/>
        </w:rPr>
        <w:t xml:space="preserve"> </w:t>
      </w:r>
      <w:r>
        <w:t>de</w:t>
      </w:r>
      <w:r>
        <w:rPr>
          <w:spacing w:val="-2"/>
        </w:rPr>
        <w:t xml:space="preserve"> </w:t>
      </w:r>
      <w:r>
        <w:t>izquierda, movimientos políticos o sociales, procesos comunitarios y organizaciones de base con las insurgencias frente a los intentos de influencia, todo por mantener su espacio y trabajo civil fuera de la guerra. Por ejemplo, el M-19 secuestró a Raquel Mercado en 1976 y lo asesinó después de un supuesto «juicio popular», mostrando injerencia autoritaria y crueldad en un intento</w:t>
      </w:r>
      <w:r>
        <w:rPr>
          <w:spacing w:val="-8"/>
        </w:rPr>
        <w:t xml:space="preserve"> </w:t>
      </w:r>
      <w:r>
        <w:t>de</w:t>
      </w:r>
      <w:r>
        <w:rPr>
          <w:spacing w:val="-9"/>
        </w:rPr>
        <w:t xml:space="preserve"> </w:t>
      </w:r>
      <w:r>
        <w:t>bloquear</w:t>
      </w:r>
      <w:r>
        <w:rPr>
          <w:spacing w:val="-8"/>
        </w:rPr>
        <w:t xml:space="preserve"> </w:t>
      </w:r>
      <w:r>
        <w:t>opositores</w:t>
      </w:r>
      <w:r>
        <w:rPr>
          <w:spacing w:val="-9"/>
        </w:rPr>
        <w:t xml:space="preserve"> </w:t>
      </w:r>
      <w:r>
        <w:t>y</w:t>
      </w:r>
      <w:r>
        <w:rPr>
          <w:spacing w:val="-8"/>
        </w:rPr>
        <w:t xml:space="preserve"> </w:t>
      </w:r>
      <w:r>
        <w:t>controlar</w:t>
      </w:r>
      <w:r>
        <w:rPr>
          <w:spacing w:val="-9"/>
        </w:rPr>
        <w:t xml:space="preserve"> </w:t>
      </w:r>
      <w:r>
        <w:t>movimientos</w:t>
      </w:r>
      <w:r>
        <w:rPr>
          <w:spacing w:val="-8"/>
        </w:rPr>
        <w:t xml:space="preserve"> </w:t>
      </w:r>
      <w:r>
        <w:t>sociales.</w:t>
      </w:r>
      <w:r>
        <w:rPr>
          <w:spacing w:val="-8"/>
        </w:rPr>
        <w:t xml:space="preserve"> </w:t>
      </w:r>
      <w:r>
        <w:t>Si</w:t>
      </w:r>
      <w:r>
        <w:rPr>
          <w:spacing w:val="-8"/>
        </w:rPr>
        <w:t xml:space="preserve"> </w:t>
      </w:r>
      <w:r>
        <w:t>bien</w:t>
      </w:r>
      <w:r>
        <w:rPr>
          <w:spacing w:val="-8"/>
        </w:rPr>
        <w:t xml:space="preserve"> </w:t>
      </w:r>
      <w:r>
        <w:t>ese</w:t>
      </w:r>
      <w:r>
        <w:rPr>
          <w:spacing w:val="-8"/>
        </w:rPr>
        <w:t xml:space="preserve"> </w:t>
      </w:r>
      <w:r>
        <w:t>no</w:t>
      </w:r>
      <w:r>
        <w:rPr>
          <w:spacing w:val="-8"/>
        </w:rPr>
        <w:t xml:space="preserve"> </w:t>
      </w:r>
      <w:r>
        <w:t>fue</w:t>
      </w:r>
      <w:r>
        <w:rPr>
          <w:spacing w:val="-8"/>
        </w:rPr>
        <w:t xml:space="preserve"> </w:t>
      </w:r>
      <w:r>
        <w:t>su</w:t>
      </w:r>
      <w:r>
        <w:rPr>
          <w:spacing w:val="-9"/>
        </w:rPr>
        <w:t xml:space="preserve"> </w:t>
      </w:r>
      <w:r>
        <w:t>patrón de actuación y reconocieron este hecho posteriormente, muestra tendencias autoritarias de movimientos guerrilleros que llevaron a cabo numerosas acciones mezclando las armas en las luchas políticas, lo que llevó a mayor violencia y prolongación de la guerra a través de múltiples mecanismos e interacciones.</w:t>
      </w:r>
    </w:p>
    <w:p w:rsidR="003804AC" w:rsidRDefault="00AF18A5" w:rsidP="0089178C">
      <w:r>
        <w:t>La inicial simpatía e incluso apoyo de algunas organizaciones sociales y estudiantiles y partidos</w:t>
      </w:r>
      <w:r>
        <w:rPr>
          <w:spacing w:val="-2"/>
        </w:rPr>
        <w:t xml:space="preserve"> </w:t>
      </w:r>
      <w:r>
        <w:t>de</w:t>
      </w:r>
      <w:r>
        <w:rPr>
          <w:spacing w:val="-3"/>
        </w:rPr>
        <w:t xml:space="preserve"> </w:t>
      </w:r>
      <w:r>
        <w:t>izquierda</w:t>
      </w:r>
      <w:r>
        <w:rPr>
          <w:spacing w:val="-2"/>
        </w:rPr>
        <w:t xml:space="preserve"> </w:t>
      </w:r>
      <w:r>
        <w:t>legal</w:t>
      </w:r>
      <w:r>
        <w:rPr>
          <w:spacing w:val="-2"/>
        </w:rPr>
        <w:t xml:space="preserve"> </w:t>
      </w:r>
      <w:r>
        <w:t>hacia</w:t>
      </w:r>
      <w:r>
        <w:rPr>
          <w:spacing w:val="-2"/>
        </w:rPr>
        <w:t xml:space="preserve"> </w:t>
      </w:r>
      <w:r>
        <w:t>la</w:t>
      </w:r>
      <w:r>
        <w:rPr>
          <w:spacing w:val="-2"/>
        </w:rPr>
        <w:t xml:space="preserve"> </w:t>
      </w:r>
      <w:r>
        <w:t>lucha</w:t>
      </w:r>
      <w:r>
        <w:rPr>
          <w:spacing w:val="-2"/>
        </w:rPr>
        <w:t xml:space="preserve"> </w:t>
      </w:r>
      <w:r>
        <w:t>armada,</w:t>
      </w:r>
      <w:r>
        <w:rPr>
          <w:spacing w:val="-3"/>
        </w:rPr>
        <w:t xml:space="preserve"> </w:t>
      </w:r>
      <w:r>
        <w:t>resultado</w:t>
      </w:r>
      <w:r>
        <w:rPr>
          <w:spacing w:val="-2"/>
        </w:rPr>
        <w:t xml:space="preserve"> </w:t>
      </w:r>
      <w:r>
        <w:t>de</w:t>
      </w:r>
      <w:r>
        <w:rPr>
          <w:spacing w:val="-3"/>
        </w:rPr>
        <w:t xml:space="preserve"> </w:t>
      </w:r>
      <w:r>
        <w:t>la</w:t>
      </w:r>
      <w:r>
        <w:rPr>
          <w:spacing w:val="-2"/>
        </w:rPr>
        <w:t xml:space="preserve"> </w:t>
      </w:r>
      <w:r>
        <w:t>exclusión</w:t>
      </w:r>
      <w:r>
        <w:rPr>
          <w:spacing w:val="-3"/>
        </w:rPr>
        <w:t xml:space="preserve"> </w:t>
      </w:r>
      <w:r>
        <w:t>social</w:t>
      </w:r>
      <w:r>
        <w:rPr>
          <w:spacing w:val="-2"/>
        </w:rPr>
        <w:t xml:space="preserve"> </w:t>
      </w:r>
      <w:r>
        <w:t>y</w:t>
      </w:r>
      <w:r>
        <w:rPr>
          <w:spacing w:val="-2"/>
        </w:rPr>
        <w:t xml:space="preserve"> </w:t>
      </w:r>
      <w:r>
        <w:t xml:space="preserve">política, y la identidad de algunas comunidades campesinas con los grupos insurgentes, se fueron transformando en distanciamiento, reclamo de autonomía y abierta crítica a las armas conforme se intensificó la confrontación. Mientras el </w:t>
      </w:r>
      <w:r>
        <w:lastRenderedPageBreak/>
        <w:t>llamado de las organizaciones y comunidades</w:t>
      </w:r>
      <w:r>
        <w:rPr>
          <w:spacing w:val="-1"/>
        </w:rPr>
        <w:t xml:space="preserve"> </w:t>
      </w:r>
      <w:r>
        <w:t>era</w:t>
      </w:r>
      <w:r>
        <w:rPr>
          <w:spacing w:val="-1"/>
        </w:rPr>
        <w:t xml:space="preserve"> </w:t>
      </w:r>
      <w:r>
        <w:t>a</w:t>
      </w:r>
      <w:r>
        <w:rPr>
          <w:spacing w:val="-1"/>
        </w:rPr>
        <w:t xml:space="preserve"> </w:t>
      </w:r>
      <w:r>
        <w:t>sacar</w:t>
      </w:r>
      <w:r>
        <w:rPr>
          <w:spacing w:val="-2"/>
        </w:rPr>
        <w:t xml:space="preserve"> </w:t>
      </w:r>
      <w:r>
        <w:t>la</w:t>
      </w:r>
      <w:r>
        <w:rPr>
          <w:spacing w:val="-1"/>
        </w:rPr>
        <w:t xml:space="preserve"> </w:t>
      </w:r>
      <w:r>
        <w:t>guerra</w:t>
      </w:r>
      <w:r>
        <w:rPr>
          <w:spacing w:val="-1"/>
        </w:rPr>
        <w:t xml:space="preserve"> </w:t>
      </w:r>
      <w:r>
        <w:t>de</w:t>
      </w:r>
      <w:r>
        <w:rPr>
          <w:spacing w:val="-2"/>
        </w:rPr>
        <w:t xml:space="preserve"> </w:t>
      </w:r>
      <w:r>
        <w:t>la</w:t>
      </w:r>
      <w:r>
        <w:rPr>
          <w:spacing w:val="-1"/>
        </w:rPr>
        <w:t xml:space="preserve"> </w:t>
      </w:r>
      <w:r>
        <w:t>vida</w:t>
      </w:r>
      <w:r>
        <w:rPr>
          <w:spacing w:val="-1"/>
        </w:rPr>
        <w:t xml:space="preserve"> </w:t>
      </w:r>
      <w:r>
        <w:t>cotidiana</w:t>
      </w:r>
      <w:r>
        <w:rPr>
          <w:spacing w:val="-1"/>
        </w:rPr>
        <w:t xml:space="preserve"> </w:t>
      </w:r>
      <w:r>
        <w:t>y</w:t>
      </w:r>
      <w:r>
        <w:rPr>
          <w:spacing w:val="-1"/>
        </w:rPr>
        <w:t xml:space="preserve"> </w:t>
      </w:r>
      <w:r>
        <w:t>sus</w:t>
      </w:r>
      <w:r>
        <w:rPr>
          <w:spacing w:val="-1"/>
        </w:rPr>
        <w:t xml:space="preserve"> </w:t>
      </w:r>
      <w:r>
        <w:t>luchas</w:t>
      </w:r>
      <w:r>
        <w:rPr>
          <w:spacing w:val="-1"/>
        </w:rPr>
        <w:t xml:space="preserve"> </w:t>
      </w:r>
      <w:r>
        <w:t>sociales,</w:t>
      </w:r>
      <w:r>
        <w:rPr>
          <w:spacing w:val="-1"/>
        </w:rPr>
        <w:t xml:space="preserve"> </w:t>
      </w:r>
      <w:r>
        <w:t>la</w:t>
      </w:r>
      <w:r>
        <w:rPr>
          <w:spacing w:val="-1"/>
        </w:rPr>
        <w:t xml:space="preserve"> </w:t>
      </w:r>
      <w:r>
        <w:t>acción</w:t>
      </w:r>
      <w:r>
        <w:rPr>
          <w:spacing w:val="-2"/>
        </w:rPr>
        <w:t xml:space="preserve"> </w:t>
      </w:r>
      <w:r>
        <w:t>de</w:t>
      </w:r>
      <w:r>
        <w:rPr>
          <w:spacing w:val="-1"/>
        </w:rPr>
        <w:t xml:space="preserve"> </w:t>
      </w:r>
      <w:r>
        <w:t>las guerrillas para intensificar el conflicto se dirigió en sentido contrario, lo que aumentó los enfrentamientos</w:t>
      </w:r>
      <w:r>
        <w:rPr>
          <w:spacing w:val="-6"/>
        </w:rPr>
        <w:t xml:space="preserve"> </w:t>
      </w:r>
      <w:r>
        <w:t>y</w:t>
      </w:r>
      <w:r>
        <w:rPr>
          <w:spacing w:val="-7"/>
        </w:rPr>
        <w:t xml:space="preserve"> </w:t>
      </w:r>
      <w:r>
        <w:t>la</w:t>
      </w:r>
      <w:r>
        <w:rPr>
          <w:spacing w:val="-6"/>
        </w:rPr>
        <w:t xml:space="preserve"> </w:t>
      </w:r>
      <w:r>
        <w:t>violencia</w:t>
      </w:r>
      <w:r>
        <w:rPr>
          <w:spacing w:val="-6"/>
        </w:rPr>
        <w:t xml:space="preserve"> </w:t>
      </w:r>
      <w:r>
        <w:t>contra</w:t>
      </w:r>
      <w:r>
        <w:rPr>
          <w:spacing w:val="-6"/>
        </w:rPr>
        <w:t xml:space="preserve"> </w:t>
      </w:r>
      <w:r>
        <w:t>la</w:t>
      </w:r>
      <w:r>
        <w:rPr>
          <w:spacing w:val="-6"/>
        </w:rPr>
        <w:t xml:space="preserve"> </w:t>
      </w:r>
      <w:r>
        <w:t>población</w:t>
      </w:r>
      <w:r>
        <w:rPr>
          <w:spacing w:val="-6"/>
        </w:rPr>
        <w:t xml:space="preserve"> </w:t>
      </w:r>
      <w:r>
        <w:t>civil.</w:t>
      </w:r>
      <w:r>
        <w:rPr>
          <w:spacing w:val="-6"/>
        </w:rPr>
        <w:t xml:space="preserve"> </w:t>
      </w:r>
      <w:r>
        <w:t>A</w:t>
      </w:r>
      <w:r>
        <w:rPr>
          <w:spacing w:val="-7"/>
        </w:rPr>
        <w:t xml:space="preserve"> </w:t>
      </w:r>
      <w:r>
        <w:t>partir</w:t>
      </w:r>
      <w:r>
        <w:rPr>
          <w:spacing w:val="-6"/>
        </w:rPr>
        <w:t xml:space="preserve"> </w:t>
      </w:r>
      <w:r>
        <w:t>de</w:t>
      </w:r>
      <w:r>
        <w:rPr>
          <w:spacing w:val="-7"/>
        </w:rPr>
        <w:t xml:space="preserve"> </w:t>
      </w:r>
      <w:r>
        <w:t>la</w:t>
      </w:r>
      <w:r>
        <w:rPr>
          <w:spacing w:val="-6"/>
        </w:rPr>
        <w:t xml:space="preserve"> </w:t>
      </w:r>
      <w:r>
        <w:t>década</w:t>
      </w:r>
      <w:r>
        <w:rPr>
          <w:spacing w:val="-6"/>
        </w:rPr>
        <w:t xml:space="preserve"> </w:t>
      </w:r>
      <w:r>
        <w:t>de</w:t>
      </w:r>
      <w:r>
        <w:rPr>
          <w:spacing w:val="-7"/>
        </w:rPr>
        <w:t xml:space="preserve"> </w:t>
      </w:r>
      <w:r>
        <w:t>los</w:t>
      </w:r>
      <w:r>
        <w:rPr>
          <w:spacing w:val="-6"/>
        </w:rPr>
        <w:t xml:space="preserve"> </w:t>
      </w:r>
      <w:r>
        <w:t>ochenta, los lazos políticos de las guerrillas con las organizaciones sociales y las comunidades se transformaron</w:t>
      </w:r>
      <w:r>
        <w:rPr>
          <w:spacing w:val="-12"/>
        </w:rPr>
        <w:t xml:space="preserve"> </w:t>
      </w:r>
      <w:r>
        <w:t>en</w:t>
      </w:r>
      <w:r>
        <w:rPr>
          <w:spacing w:val="-13"/>
        </w:rPr>
        <w:t xml:space="preserve"> </w:t>
      </w:r>
      <w:r>
        <w:t>imposición,</w:t>
      </w:r>
      <w:r>
        <w:rPr>
          <w:spacing w:val="-12"/>
        </w:rPr>
        <w:t xml:space="preserve"> </w:t>
      </w:r>
      <w:r>
        <w:t>amenazas</w:t>
      </w:r>
      <w:r>
        <w:rPr>
          <w:spacing w:val="-12"/>
        </w:rPr>
        <w:t xml:space="preserve"> </w:t>
      </w:r>
      <w:r>
        <w:t>e</w:t>
      </w:r>
      <w:r>
        <w:rPr>
          <w:spacing w:val="-13"/>
        </w:rPr>
        <w:t xml:space="preserve"> </w:t>
      </w:r>
      <w:r>
        <w:t>intentos</w:t>
      </w:r>
      <w:r>
        <w:rPr>
          <w:spacing w:val="-12"/>
        </w:rPr>
        <w:t xml:space="preserve"> </w:t>
      </w:r>
      <w:r>
        <w:t>de</w:t>
      </w:r>
      <w:r>
        <w:rPr>
          <w:spacing w:val="-13"/>
        </w:rPr>
        <w:t xml:space="preserve"> </w:t>
      </w:r>
      <w:r>
        <w:t>control</w:t>
      </w:r>
      <w:r>
        <w:rPr>
          <w:spacing w:val="-13"/>
        </w:rPr>
        <w:t xml:space="preserve"> </w:t>
      </w:r>
      <w:r>
        <w:t>mediante</w:t>
      </w:r>
      <w:r>
        <w:rPr>
          <w:spacing w:val="-13"/>
        </w:rPr>
        <w:t xml:space="preserve"> </w:t>
      </w:r>
      <w:r>
        <w:t>violencia.</w:t>
      </w:r>
      <w:r>
        <w:rPr>
          <w:spacing w:val="-12"/>
        </w:rPr>
        <w:t xml:space="preserve"> </w:t>
      </w:r>
      <w:r>
        <w:t>En</w:t>
      </w:r>
      <w:r>
        <w:rPr>
          <w:spacing w:val="-13"/>
        </w:rPr>
        <w:t xml:space="preserve"> </w:t>
      </w:r>
      <w:r>
        <w:t>especial a partir de mediados de los años noventa, la actuación de las guerrillas se dirigió no solo a combates</w:t>
      </w:r>
      <w:r>
        <w:rPr>
          <w:spacing w:val="-6"/>
        </w:rPr>
        <w:t xml:space="preserve"> </w:t>
      </w:r>
      <w:r>
        <w:t>con</w:t>
      </w:r>
      <w:r>
        <w:rPr>
          <w:spacing w:val="-6"/>
        </w:rPr>
        <w:t xml:space="preserve"> </w:t>
      </w:r>
      <w:r>
        <w:t>las</w:t>
      </w:r>
      <w:r>
        <w:rPr>
          <w:spacing w:val="-6"/>
        </w:rPr>
        <w:t xml:space="preserve"> </w:t>
      </w:r>
      <w:r>
        <w:t>Fuerzas</w:t>
      </w:r>
      <w:r>
        <w:rPr>
          <w:spacing w:val="-6"/>
        </w:rPr>
        <w:t xml:space="preserve"> </w:t>
      </w:r>
      <w:r>
        <w:t>Militares</w:t>
      </w:r>
      <w:r>
        <w:rPr>
          <w:spacing w:val="-6"/>
        </w:rPr>
        <w:t xml:space="preserve"> </w:t>
      </w:r>
      <w:r>
        <w:t>o</w:t>
      </w:r>
      <w:r>
        <w:rPr>
          <w:spacing w:val="-6"/>
        </w:rPr>
        <w:t xml:space="preserve"> </w:t>
      </w:r>
      <w:r>
        <w:t>grupos</w:t>
      </w:r>
      <w:r>
        <w:rPr>
          <w:spacing w:val="-5"/>
        </w:rPr>
        <w:t xml:space="preserve"> </w:t>
      </w:r>
      <w:r>
        <w:t>paramilitares,</w:t>
      </w:r>
      <w:r>
        <w:rPr>
          <w:spacing w:val="-6"/>
        </w:rPr>
        <w:t xml:space="preserve"> </w:t>
      </w:r>
      <w:r>
        <w:t>sino</w:t>
      </w:r>
      <w:r>
        <w:rPr>
          <w:spacing w:val="-6"/>
        </w:rPr>
        <w:t xml:space="preserve"> </w:t>
      </w:r>
      <w:r>
        <w:t>que</w:t>
      </w:r>
      <w:r>
        <w:rPr>
          <w:spacing w:val="-6"/>
        </w:rPr>
        <w:t xml:space="preserve"> </w:t>
      </w:r>
      <w:r>
        <w:t>llevó</w:t>
      </w:r>
      <w:r>
        <w:rPr>
          <w:spacing w:val="-6"/>
        </w:rPr>
        <w:t xml:space="preserve"> </w:t>
      </w:r>
      <w:r>
        <w:t>a</w:t>
      </w:r>
      <w:r>
        <w:rPr>
          <w:spacing w:val="-6"/>
        </w:rPr>
        <w:t xml:space="preserve"> </w:t>
      </w:r>
      <w:r>
        <w:t>la</w:t>
      </w:r>
      <w:r>
        <w:rPr>
          <w:spacing w:val="-6"/>
        </w:rPr>
        <w:t xml:space="preserve"> </w:t>
      </w:r>
      <w:r>
        <w:t>destrucción</w:t>
      </w:r>
      <w:r>
        <w:rPr>
          <w:spacing w:val="-5"/>
        </w:rPr>
        <w:t xml:space="preserve"> de</w:t>
      </w:r>
      <w:r w:rsidR="0089178C">
        <w:rPr>
          <w:spacing w:val="-5"/>
        </w:rPr>
        <w:t xml:space="preserve"> </w:t>
      </w:r>
      <w:r>
        <w:t>infraestructura pública y de pueblos, y luego a la victimización de los movimientos y organizaciones sociales que se opusieron a su control.</w:t>
      </w:r>
    </w:p>
    <w:p w:rsidR="003804AC" w:rsidRDefault="00AF18A5" w:rsidP="0089178C">
      <w:r>
        <w:t>Conforme se dio una agudización del conflicto armado, los movimientos sociales, los partidos políticos y la movilización de la sociedad civil afirmaron su independencia y autonomía, exigiendo, de forma cada vez más explícita, no ser involucrados en las hostilidades.</w:t>
      </w:r>
      <w:r>
        <w:rPr>
          <w:spacing w:val="-8"/>
        </w:rPr>
        <w:t xml:space="preserve"> </w:t>
      </w:r>
      <w:r>
        <w:t>El</w:t>
      </w:r>
      <w:r>
        <w:rPr>
          <w:spacing w:val="-7"/>
        </w:rPr>
        <w:t xml:space="preserve"> </w:t>
      </w:r>
      <w:r>
        <w:t>respeto</w:t>
      </w:r>
      <w:r>
        <w:rPr>
          <w:spacing w:val="-7"/>
        </w:rPr>
        <w:t xml:space="preserve"> </w:t>
      </w:r>
      <w:r>
        <w:t>de</w:t>
      </w:r>
      <w:r>
        <w:rPr>
          <w:spacing w:val="-7"/>
        </w:rPr>
        <w:t xml:space="preserve"> </w:t>
      </w:r>
      <w:r>
        <w:t>los</w:t>
      </w:r>
      <w:r>
        <w:rPr>
          <w:spacing w:val="-7"/>
        </w:rPr>
        <w:t xml:space="preserve"> </w:t>
      </w:r>
      <w:r>
        <w:t>derechos</w:t>
      </w:r>
      <w:r>
        <w:rPr>
          <w:spacing w:val="-7"/>
        </w:rPr>
        <w:t xml:space="preserve"> </w:t>
      </w:r>
      <w:r>
        <w:t>humanos</w:t>
      </w:r>
      <w:r>
        <w:rPr>
          <w:spacing w:val="-7"/>
        </w:rPr>
        <w:t xml:space="preserve"> </w:t>
      </w:r>
      <w:r>
        <w:t>y</w:t>
      </w:r>
      <w:r>
        <w:rPr>
          <w:spacing w:val="-7"/>
        </w:rPr>
        <w:t xml:space="preserve"> </w:t>
      </w:r>
      <w:r>
        <w:t>del</w:t>
      </w:r>
      <w:r>
        <w:rPr>
          <w:spacing w:val="-7"/>
        </w:rPr>
        <w:t xml:space="preserve"> </w:t>
      </w:r>
      <w:r>
        <w:t>derecho</w:t>
      </w:r>
      <w:r>
        <w:rPr>
          <w:spacing w:val="-7"/>
        </w:rPr>
        <w:t xml:space="preserve"> </w:t>
      </w:r>
      <w:r>
        <w:t>internacional</w:t>
      </w:r>
      <w:r>
        <w:rPr>
          <w:spacing w:val="-7"/>
        </w:rPr>
        <w:t xml:space="preserve"> </w:t>
      </w:r>
      <w:r>
        <w:t>humanitario,</w:t>
      </w:r>
      <w:r>
        <w:rPr>
          <w:spacing w:val="-7"/>
        </w:rPr>
        <w:t xml:space="preserve"> </w:t>
      </w:r>
      <w:r>
        <w:t>la búsqueda</w:t>
      </w:r>
      <w:r>
        <w:rPr>
          <w:spacing w:val="-13"/>
        </w:rPr>
        <w:t xml:space="preserve"> </w:t>
      </w:r>
      <w:r>
        <w:t>de</w:t>
      </w:r>
      <w:r>
        <w:rPr>
          <w:spacing w:val="-14"/>
        </w:rPr>
        <w:t xml:space="preserve"> </w:t>
      </w:r>
      <w:r>
        <w:t>la</w:t>
      </w:r>
      <w:r>
        <w:rPr>
          <w:spacing w:val="-13"/>
        </w:rPr>
        <w:t xml:space="preserve"> </w:t>
      </w:r>
      <w:r>
        <w:t>paz</w:t>
      </w:r>
      <w:r>
        <w:rPr>
          <w:spacing w:val="-13"/>
        </w:rPr>
        <w:t xml:space="preserve"> </w:t>
      </w:r>
      <w:r>
        <w:t>y</w:t>
      </w:r>
      <w:r>
        <w:rPr>
          <w:spacing w:val="-14"/>
        </w:rPr>
        <w:t xml:space="preserve"> </w:t>
      </w:r>
      <w:r>
        <w:t>la</w:t>
      </w:r>
      <w:r>
        <w:rPr>
          <w:spacing w:val="-13"/>
        </w:rPr>
        <w:t xml:space="preserve"> </w:t>
      </w:r>
      <w:r>
        <w:t>presión</w:t>
      </w:r>
      <w:r>
        <w:rPr>
          <w:spacing w:val="-13"/>
        </w:rPr>
        <w:t xml:space="preserve"> </w:t>
      </w:r>
      <w:r>
        <w:t>para</w:t>
      </w:r>
      <w:r>
        <w:rPr>
          <w:spacing w:val="-13"/>
        </w:rPr>
        <w:t xml:space="preserve"> </w:t>
      </w:r>
      <w:r>
        <w:t>que</w:t>
      </w:r>
      <w:r>
        <w:rPr>
          <w:spacing w:val="-13"/>
        </w:rPr>
        <w:t xml:space="preserve"> </w:t>
      </w:r>
      <w:r>
        <w:t>los</w:t>
      </w:r>
      <w:r>
        <w:rPr>
          <w:spacing w:val="-13"/>
        </w:rPr>
        <w:t xml:space="preserve"> </w:t>
      </w:r>
      <w:r>
        <w:t>respectivos</w:t>
      </w:r>
      <w:r>
        <w:rPr>
          <w:spacing w:val="-13"/>
        </w:rPr>
        <w:t xml:space="preserve"> </w:t>
      </w:r>
      <w:r>
        <w:t>Gobiernos</w:t>
      </w:r>
      <w:r>
        <w:rPr>
          <w:spacing w:val="-13"/>
        </w:rPr>
        <w:t xml:space="preserve"> </w:t>
      </w:r>
      <w:r>
        <w:t>y</w:t>
      </w:r>
      <w:r>
        <w:rPr>
          <w:spacing w:val="-13"/>
        </w:rPr>
        <w:t xml:space="preserve"> </w:t>
      </w:r>
      <w:r>
        <w:t>las</w:t>
      </w:r>
      <w:r>
        <w:rPr>
          <w:spacing w:val="-13"/>
        </w:rPr>
        <w:t xml:space="preserve"> </w:t>
      </w:r>
      <w:r>
        <w:t>guerrillas</w:t>
      </w:r>
      <w:r>
        <w:rPr>
          <w:spacing w:val="-13"/>
        </w:rPr>
        <w:t xml:space="preserve"> </w:t>
      </w:r>
      <w:r>
        <w:t>se</w:t>
      </w:r>
      <w:r>
        <w:rPr>
          <w:spacing w:val="-13"/>
        </w:rPr>
        <w:t xml:space="preserve"> </w:t>
      </w:r>
      <w:r>
        <w:t>sentaran a buscar una salida política y negociada al conflicto armado han sido parte de las banderas de las organizaciones de la sociedad civil, comunidades campesinas, indígenas y afrodescendientes, movimientos de mujeres, sindicatos y otros muchos grupos. La falta de comprensión</w:t>
      </w:r>
      <w:r>
        <w:rPr>
          <w:spacing w:val="-7"/>
        </w:rPr>
        <w:t xml:space="preserve"> </w:t>
      </w:r>
      <w:r>
        <w:t>por</w:t>
      </w:r>
      <w:r>
        <w:rPr>
          <w:spacing w:val="-7"/>
        </w:rPr>
        <w:t xml:space="preserve"> </w:t>
      </w:r>
      <w:r>
        <w:t>parte</w:t>
      </w:r>
      <w:r>
        <w:rPr>
          <w:spacing w:val="-7"/>
        </w:rPr>
        <w:t xml:space="preserve"> </w:t>
      </w:r>
      <w:r>
        <w:t>del</w:t>
      </w:r>
      <w:r>
        <w:rPr>
          <w:spacing w:val="-7"/>
        </w:rPr>
        <w:t xml:space="preserve"> </w:t>
      </w:r>
      <w:r>
        <w:t>Estado</w:t>
      </w:r>
      <w:r>
        <w:rPr>
          <w:spacing w:val="-9"/>
        </w:rPr>
        <w:t xml:space="preserve"> </w:t>
      </w:r>
      <w:r>
        <w:t>y</w:t>
      </w:r>
      <w:r>
        <w:rPr>
          <w:spacing w:val="-7"/>
        </w:rPr>
        <w:t xml:space="preserve"> </w:t>
      </w:r>
      <w:r>
        <w:t>la</w:t>
      </w:r>
      <w:r>
        <w:rPr>
          <w:spacing w:val="-7"/>
        </w:rPr>
        <w:t xml:space="preserve"> </w:t>
      </w:r>
      <w:r>
        <w:t>fuerza</w:t>
      </w:r>
      <w:r>
        <w:rPr>
          <w:spacing w:val="-7"/>
        </w:rPr>
        <w:t xml:space="preserve"> </w:t>
      </w:r>
      <w:r>
        <w:t>pública</w:t>
      </w:r>
      <w:r>
        <w:rPr>
          <w:spacing w:val="-7"/>
        </w:rPr>
        <w:t xml:space="preserve"> </w:t>
      </w:r>
      <w:r>
        <w:t>de</w:t>
      </w:r>
      <w:r>
        <w:rPr>
          <w:spacing w:val="-7"/>
        </w:rPr>
        <w:t xml:space="preserve"> </w:t>
      </w:r>
      <w:r>
        <w:t>estas</w:t>
      </w:r>
      <w:r>
        <w:rPr>
          <w:spacing w:val="-8"/>
        </w:rPr>
        <w:t xml:space="preserve"> </w:t>
      </w:r>
      <w:r>
        <w:t>agendas</w:t>
      </w:r>
      <w:r>
        <w:rPr>
          <w:spacing w:val="-7"/>
        </w:rPr>
        <w:t xml:space="preserve"> </w:t>
      </w:r>
      <w:r>
        <w:t>ha</w:t>
      </w:r>
      <w:r>
        <w:rPr>
          <w:spacing w:val="-8"/>
        </w:rPr>
        <w:t xml:space="preserve"> </w:t>
      </w:r>
      <w:r>
        <w:t>llevado</w:t>
      </w:r>
      <w:r>
        <w:rPr>
          <w:spacing w:val="-7"/>
        </w:rPr>
        <w:t xml:space="preserve"> </w:t>
      </w:r>
      <w:r>
        <w:t>a</w:t>
      </w:r>
      <w:r>
        <w:rPr>
          <w:spacing w:val="-7"/>
        </w:rPr>
        <w:t xml:space="preserve"> </w:t>
      </w:r>
      <w:r>
        <w:t>que</w:t>
      </w:r>
      <w:r>
        <w:rPr>
          <w:spacing w:val="-8"/>
        </w:rPr>
        <w:t xml:space="preserve"> </w:t>
      </w:r>
      <w:r>
        <w:t>todos esos</w:t>
      </w:r>
      <w:r>
        <w:rPr>
          <w:spacing w:val="-12"/>
        </w:rPr>
        <w:t xml:space="preserve"> </w:t>
      </w:r>
      <w:r>
        <w:t>grupos</w:t>
      </w:r>
      <w:r>
        <w:rPr>
          <w:spacing w:val="-13"/>
        </w:rPr>
        <w:t xml:space="preserve"> </w:t>
      </w:r>
      <w:r>
        <w:t>sean</w:t>
      </w:r>
      <w:r>
        <w:rPr>
          <w:spacing w:val="-12"/>
        </w:rPr>
        <w:t xml:space="preserve"> </w:t>
      </w:r>
      <w:r>
        <w:t>señalados</w:t>
      </w:r>
      <w:r>
        <w:rPr>
          <w:spacing w:val="-12"/>
        </w:rPr>
        <w:t xml:space="preserve"> </w:t>
      </w:r>
      <w:r>
        <w:t>como</w:t>
      </w:r>
      <w:r>
        <w:rPr>
          <w:spacing w:val="-12"/>
        </w:rPr>
        <w:t xml:space="preserve"> </w:t>
      </w:r>
      <w:r>
        <w:t>parte</w:t>
      </w:r>
      <w:r>
        <w:rPr>
          <w:spacing w:val="-12"/>
        </w:rPr>
        <w:t xml:space="preserve"> </w:t>
      </w:r>
      <w:r>
        <w:t>de</w:t>
      </w:r>
      <w:r>
        <w:rPr>
          <w:spacing w:val="-12"/>
        </w:rPr>
        <w:t xml:space="preserve"> </w:t>
      </w:r>
      <w:r>
        <w:t>ese</w:t>
      </w:r>
      <w:r>
        <w:rPr>
          <w:spacing w:val="-12"/>
        </w:rPr>
        <w:t xml:space="preserve"> </w:t>
      </w:r>
      <w:r>
        <w:t>enemigo</w:t>
      </w:r>
      <w:r>
        <w:rPr>
          <w:spacing w:val="-12"/>
        </w:rPr>
        <w:t xml:space="preserve"> </w:t>
      </w:r>
      <w:r>
        <w:t>interno</w:t>
      </w:r>
      <w:r>
        <w:rPr>
          <w:spacing w:val="-13"/>
        </w:rPr>
        <w:t xml:space="preserve"> </w:t>
      </w:r>
      <w:r>
        <w:t>y</w:t>
      </w:r>
      <w:r>
        <w:rPr>
          <w:spacing w:val="-12"/>
        </w:rPr>
        <w:t xml:space="preserve"> </w:t>
      </w:r>
      <w:r>
        <w:t>acusados</w:t>
      </w:r>
      <w:r>
        <w:rPr>
          <w:spacing w:val="-13"/>
        </w:rPr>
        <w:t xml:space="preserve"> </w:t>
      </w:r>
      <w:r>
        <w:t>de</w:t>
      </w:r>
      <w:r>
        <w:rPr>
          <w:spacing w:val="-12"/>
        </w:rPr>
        <w:t xml:space="preserve"> </w:t>
      </w:r>
      <w:r>
        <w:t>tener</w:t>
      </w:r>
      <w:r>
        <w:rPr>
          <w:spacing w:val="-13"/>
        </w:rPr>
        <w:t xml:space="preserve"> </w:t>
      </w:r>
      <w:r>
        <w:t xml:space="preserve">influencia de los grupos armados. Las violaciones de derechos humanos e infracciones al DIH no han hecho más que generar desconfianza de la población y las organizaciones. Entender estas relaciones y llevar a cabo políticas que amplíen el </w:t>
      </w:r>
      <w:r>
        <w:lastRenderedPageBreak/>
        <w:t xml:space="preserve">espacio civil incluso en medio del conflicto, fueron y siguen siendo en la actualidad apuestas clave para la construcción de la </w:t>
      </w:r>
      <w:r>
        <w:rPr>
          <w:spacing w:val="-4"/>
        </w:rPr>
        <w:t>paz.</w:t>
      </w:r>
    </w:p>
    <w:p w:rsidR="003804AC" w:rsidRDefault="00AF18A5" w:rsidP="0089178C">
      <w:r>
        <w:t>La negación de la autonomía de movimientos y luchas sociales y los intentos de control por parte de guerrillas han sido en parte utilizados para justificar los ataques por parte de agentes</w:t>
      </w:r>
      <w:r>
        <w:rPr>
          <w:spacing w:val="-2"/>
        </w:rPr>
        <w:t xml:space="preserve"> </w:t>
      </w:r>
      <w:r>
        <w:t>del</w:t>
      </w:r>
      <w:r>
        <w:rPr>
          <w:spacing w:val="-3"/>
        </w:rPr>
        <w:t xml:space="preserve"> </w:t>
      </w:r>
      <w:r>
        <w:t>Estado</w:t>
      </w:r>
      <w:r>
        <w:rPr>
          <w:spacing w:val="-2"/>
        </w:rPr>
        <w:t xml:space="preserve"> </w:t>
      </w:r>
      <w:r>
        <w:t>o</w:t>
      </w:r>
      <w:r>
        <w:rPr>
          <w:spacing w:val="-2"/>
        </w:rPr>
        <w:t xml:space="preserve"> </w:t>
      </w:r>
      <w:r>
        <w:t>de</w:t>
      </w:r>
      <w:r>
        <w:rPr>
          <w:spacing w:val="-3"/>
        </w:rPr>
        <w:t xml:space="preserve"> </w:t>
      </w:r>
      <w:r>
        <w:t>los</w:t>
      </w:r>
      <w:r>
        <w:rPr>
          <w:spacing w:val="-2"/>
        </w:rPr>
        <w:t xml:space="preserve"> </w:t>
      </w:r>
      <w:r>
        <w:t>paramilitares,</w:t>
      </w:r>
      <w:r>
        <w:rPr>
          <w:spacing w:val="-2"/>
        </w:rPr>
        <w:t xml:space="preserve"> </w:t>
      </w:r>
      <w:r>
        <w:t>y</w:t>
      </w:r>
      <w:r>
        <w:rPr>
          <w:spacing w:val="-3"/>
        </w:rPr>
        <w:t xml:space="preserve"> </w:t>
      </w:r>
      <w:r>
        <w:t>también</w:t>
      </w:r>
      <w:r>
        <w:rPr>
          <w:spacing w:val="-2"/>
        </w:rPr>
        <w:t xml:space="preserve"> </w:t>
      </w:r>
      <w:r>
        <w:t>estas</w:t>
      </w:r>
      <w:r>
        <w:rPr>
          <w:spacing w:val="-2"/>
        </w:rPr>
        <w:t xml:space="preserve"> </w:t>
      </w:r>
      <w:r>
        <w:t>respuestas</w:t>
      </w:r>
      <w:r>
        <w:rPr>
          <w:spacing w:val="-2"/>
        </w:rPr>
        <w:t xml:space="preserve"> </w:t>
      </w:r>
      <w:r>
        <w:t>utilizadas</w:t>
      </w:r>
      <w:r>
        <w:rPr>
          <w:spacing w:val="-2"/>
        </w:rPr>
        <w:t xml:space="preserve"> </w:t>
      </w:r>
      <w:r>
        <w:t>para</w:t>
      </w:r>
      <w:r>
        <w:rPr>
          <w:spacing w:val="-2"/>
        </w:rPr>
        <w:t xml:space="preserve"> </w:t>
      </w:r>
      <w:r>
        <w:t>reforzar el intento de control de las guerrillas. La Comisión insiste en que las afinidades políticas y simpatías ideológicas no significan pertenencia ni subordinación a las estructuras guerrilleras, y que no hay justificación alguna para la estigmatización, la persecución o la eliminación de los miembros de movimientos políticos y sociales. El Estado de derecho funciona</w:t>
      </w:r>
      <w:r>
        <w:rPr>
          <w:spacing w:val="-4"/>
        </w:rPr>
        <w:t xml:space="preserve"> </w:t>
      </w:r>
      <w:r>
        <w:t>investigando</w:t>
      </w:r>
      <w:r>
        <w:rPr>
          <w:spacing w:val="-5"/>
        </w:rPr>
        <w:t xml:space="preserve"> </w:t>
      </w:r>
      <w:r>
        <w:t>las</w:t>
      </w:r>
      <w:r>
        <w:rPr>
          <w:spacing w:val="-4"/>
        </w:rPr>
        <w:t xml:space="preserve"> </w:t>
      </w:r>
      <w:r>
        <w:t>posibles</w:t>
      </w:r>
      <w:r>
        <w:rPr>
          <w:spacing w:val="-4"/>
        </w:rPr>
        <w:t xml:space="preserve"> </w:t>
      </w:r>
      <w:r>
        <w:t>conductas</w:t>
      </w:r>
      <w:r>
        <w:rPr>
          <w:spacing w:val="-4"/>
        </w:rPr>
        <w:t xml:space="preserve"> </w:t>
      </w:r>
      <w:r>
        <w:t>delictivas,</w:t>
      </w:r>
      <w:r>
        <w:rPr>
          <w:spacing w:val="-5"/>
        </w:rPr>
        <w:t xml:space="preserve"> </w:t>
      </w:r>
      <w:r>
        <w:t>según</w:t>
      </w:r>
      <w:r>
        <w:rPr>
          <w:spacing w:val="-5"/>
        </w:rPr>
        <w:t xml:space="preserve"> </w:t>
      </w:r>
      <w:r>
        <w:t>estándares</w:t>
      </w:r>
      <w:r>
        <w:rPr>
          <w:spacing w:val="-6"/>
        </w:rPr>
        <w:t xml:space="preserve"> </w:t>
      </w:r>
      <w:r>
        <w:t>internacionales,</w:t>
      </w:r>
      <w:r>
        <w:rPr>
          <w:spacing w:val="-5"/>
        </w:rPr>
        <w:t xml:space="preserve"> </w:t>
      </w:r>
      <w:r>
        <w:t>la propia Constitución y las leyes y jurisprudencia de las altas cortes, por lo que es el derecho y no los actores de la guerra quien</w:t>
      </w:r>
      <w:r>
        <w:rPr>
          <w:spacing w:val="-1"/>
        </w:rPr>
        <w:t xml:space="preserve"> </w:t>
      </w:r>
      <w:r>
        <w:t>tiene el deber</w:t>
      </w:r>
      <w:r>
        <w:rPr>
          <w:spacing w:val="-1"/>
        </w:rPr>
        <w:t xml:space="preserve"> </w:t>
      </w:r>
      <w:r>
        <w:t>de investigar acusaciones o señalamientos. La restauración de la confianza y la convivencia en los territorios todavía pasa por estas premisas en la actualidad.</w:t>
      </w:r>
    </w:p>
    <w:p w:rsidR="003804AC" w:rsidRDefault="00AF18A5" w:rsidP="0089178C">
      <w:r>
        <w:t>Del</w:t>
      </w:r>
      <w:r>
        <w:rPr>
          <w:spacing w:val="-4"/>
        </w:rPr>
        <w:t xml:space="preserve"> </w:t>
      </w:r>
      <w:r>
        <w:t>lado</w:t>
      </w:r>
      <w:r>
        <w:rPr>
          <w:spacing w:val="-5"/>
        </w:rPr>
        <w:t xml:space="preserve"> </w:t>
      </w:r>
      <w:r>
        <w:t>de</w:t>
      </w:r>
      <w:r>
        <w:rPr>
          <w:spacing w:val="-4"/>
        </w:rPr>
        <w:t xml:space="preserve"> </w:t>
      </w:r>
      <w:r>
        <w:t>las</w:t>
      </w:r>
      <w:r>
        <w:rPr>
          <w:spacing w:val="-4"/>
        </w:rPr>
        <w:t xml:space="preserve"> </w:t>
      </w:r>
      <w:r>
        <w:t>guerrillas,</w:t>
      </w:r>
      <w:r>
        <w:rPr>
          <w:spacing w:val="-5"/>
        </w:rPr>
        <w:t xml:space="preserve"> </w:t>
      </w:r>
      <w:r>
        <w:t>la</w:t>
      </w:r>
      <w:r>
        <w:rPr>
          <w:spacing w:val="-4"/>
        </w:rPr>
        <w:t xml:space="preserve"> </w:t>
      </w:r>
      <w:r>
        <w:t>persistente</w:t>
      </w:r>
      <w:r>
        <w:rPr>
          <w:spacing w:val="-4"/>
        </w:rPr>
        <w:t xml:space="preserve"> </w:t>
      </w:r>
      <w:r>
        <w:t>intención</w:t>
      </w:r>
      <w:r>
        <w:rPr>
          <w:spacing w:val="-5"/>
        </w:rPr>
        <w:t xml:space="preserve"> </w:t>
      </w:r>
      <w:r>
        <w:t>de</w:t>
      </w:r>
      <w:r>
        <w:rPr>
          <w:spacing w:val="-4"/>
        </w:rPr>
        <w:t xml:space="preserve"> </w:t>
      </w:r>
      <w:r>
        <w:t>infiltrar,</w:t>
      </w:r>
      <w:r>
        <w:rPr>
          <w:spacing w:val="-5"/>
        </w:rPr>
        <w:t xml:space="preserve"> </w:t>
      </w:r>
      <w:r>
        <w:t>influir</w:t>
      </w:r>
      <w:r>
        <w:rPr>
          <w:spacing w:val="-4"/>
        </w:rPr>
        <w:t xml:space="preserve"> </w:t>
      </w:r>
      <w:r>
        <w:t>o</w:t>
      </w:r>
      <w:r>
        <w:rPr>
          <w:spacing w:val="-5"/>
        </w:rPr>
        <w:t xml:space="preserve"> </w:t>
      </w:r>
      <w:r>
        <w:t>instrumentalizar</w:t>
      </w:r>
      <w:r>
        <w:rPr>
          <w:spacing w:val="-4"/>
        </w:rPr>
        <w:t xml:space="preserve"> </w:t>
      </w:r>
      <w:r>
        <w:t>la movilización</w:t>
      </w:r>
      <w:r>
        <w:rPr>
          <w:spacing w:val="-12"/>
        </w:rPr>
        <w:t xml:space="preserve"> </w:t>
      </w:r>
      <w:r>
        <w:t>social</w:t>
      </w:r>
      <w:r>
        <w:rPr>
          <w:spacing w:val="-11"/>
        </w:rPr>
        <w:t xml:space="preserve"> </w:t>
      </w:r>
      <w:r>
        <w:t>y</w:t>
      </w:r>
      <w:r>
        <w:rPr>
          <w:spacing w:val="-13"/>
        </w:rPr>
        <w:t xml:space="preserve"> </w:t>
      </w:r>
      <w:r>
        <w:t>la</w:t>
      </w:r>
      <w:r>
        <w:rPr>
          <w:spacing w:val="-13"/>
        </w:rPr>
        <w:t xml:space="preserve"> </w:t>
      </w:r>
      <w:r>
        <w:t>protesta</w:t>
      </w:r>
      <w:r>
        <w:rPr>
          <w:spacing w:val="-12"/>
        </w:rPr>
        <w:t xml:space="preserve"> </w:t>
      </w:r>
      <w:r>
        <w:t>ciudadana</w:t>
      </w:r>
      <w:r>
        <w:rPr>
          <w:spacing w:val="-12"/>
        </w:rPr>
        <w:t xml:space="preserve"> </w:t>
      </w:r>
      <w:r>
        <w:t>para</w:t>
      </w:r>
      <w:r>
        <w:rPr>
          <w:spacing w:val="-12"/>
        </w:rPr>
        <w:t xml:space="preserve"> </w:t>
      </w:r>
      <w:r>
        <w:t>ponerla</w:t>
      </w:r>
      <w:r>
        <w:rPr>
          <w:spacing w:val="-13"/>
        </w:rPr>
        <w:t xml:space="preserve"> </w:t>
      </w:r>
      <w:r>
        <w:t>en</w:t>
      </w:r>
      <w:r>
        <w:rPr>
          <w:spacing w:val="-12"/>
        </w:rPr>
        <w:t xml:space="preserve"> </w:t>
      </w:r>
      <w:r>
        <w:t>función</w:t>
      </w:r>
      <w:r>
        <w:rPr>
          <w:spacing w:val="-12"/>
        </w:rPr>
        <w:t xml:space="preserve"> </w:t>
      </w:r>
      <w:r>
        <w:t>de</w:t>
      </w:r>
      <w:r>
        <w:rPr>
          <w:spacing w:val="-13"/>
        </w:rPr>
        <w:t xml:space="preserve"> </w:t>
      </w:r>
      <w:r>
        <w:t>sus</w:t>
      </w:r>
      <w:r>
        <w:rPr>
          <w:spacing w:val="-13"/>
        </w:rPr>
        <w:t xml:space="preserve"> </w:t>
      </w:r>
      <w:r>
        <w:t>objetivos</w:t>
      </w:r>
      <w:r>
        <w:rPr>
          <w:spacing w:val="-12"/>
        </w:rPr>
        <w:t xml:space="preserve"> </w:t>
      </w:r>
      <w:r>
        <w:t>políticos y militares fue parte de su modus operandi, pero también volvió vulnerables los procesos sociales y aumentó los desafíos que tuvo que enfrentar el movimiento social para exigir sus derechos</w:t>
      </w:r>
      <w:r>
        <w:rPr>
          <w:spacing w:val="-15"/>
        </w:rPr>
        <w:t xml:space="preserve"> </w:t>
      </w:r>
      <w:r>
        <w:t>en</w:t>
      </w:r>
      <w:r>
        <w:rPr>
          <w:spacing w:val="-15"/>
        </w:rPr>
        <w:t xml:space="preserve"> </w:t>
      </w:r>
      <w:r>
        <w:t>medio</w:t>
      </w:r>
      <w:r>
        <w:rPr>
          <w:spacing w:val="-15"/>
        </w:rPr>
        <w:t xml:space="preserve"> </w:t>
      </w:r>
      <w:r>
        <w:t>del</w:t>
      </w:r>
      <w:r>
        <w:rPr>
          <w:spacing w:val="-15"/>
        </w:rPr>
        <w:t xml:space="preserve"> </w:t>
      </w:r>
      <w:r>
        <w:t>conflicto</w:t>
      </w:r>
      <w:r>
        <w:rPr>
          <w:spacing w:val="-15"/>
        </w:rPr>
        <w:t xml:space="preserve"> </w:t>
      </w:r>
      <w:r>
        <w:t>armado.</w:t>
      </w:r>
      <w:r>
        <w:rPr>
          <w:spacing w:val="-15"/>
        </w:rPr>
        <w:t xml:space="preserve"> </w:t>
      </w:r>
      <w:r>
        <w:t>La</w:t>
      </w:r>
      <w:r>
        <w:rPr>
          <w:spacing w:val="-15"/>
        </w:rPr>
        <w:t xml:space="preserve"> </w:t>
      </w:r>
      <w:r>
        <w:t>Comisión</w:t>
      </w:r>
      <w:r>
        <w:rPr>
          <w:spacing w:val="-15"/>
        </w:rPr>
        <w:t xml:space="preserve"> </w:t>
      </w:r>
      <w:r>
        <w:t>hace</w:t>
      </w:r>
      <w:r>
        <w:rPr>
          <w:spacing w:val="-15"/>
        </w:rPr>
        <w:t xml:space="preserve"> </w:t>
      </w:r>
      <w:r>
        <w:t>un</w:t>
      </w:r>
      <w:r>
        <w:rPr>
          <w:spacing w:val="-15"/>
        </w:rPr>
        <w:t xml:space="preserve"> </w:t>
      </w:r>
      <w:r>
        <w:t>llamado</w:t>
      </w:r>
      <w:r>
        <w:rPr>
          <w:spacing w:val="-15"/>
        </w:rPr>
        <w:t xml:space="preserve"> </w:t>
      </w:r>
      <w:r>
        <w:t>a</w:t>
      </w:r>
      <w:r>
        <w:rPr>
          <w:spacing w:val="-15"/>
        </w:rPr>
        <w:t xml:space="preserve"> </w:t>
      </w:r>
      <w:r>
        <w:t>este</w:t>
      </w:r>
      <w:r>
        <w:rPr>
          <w:spacing w:val="-15"/>
        </w:rPr>
        <w:t xml:space="preserve"> </w:t>
      </w:r>
      <w:r>
        <w:t>reconocimiento y a que se respete por parte de los diferentes grupos insurgentes aún activos esta independencia, así como las demandas y propuestas desde las víctimas, las comunidades afectadas y los movimientos sociales.</w:t>
      </w:r>
    </w:p>
    <w:p w:rsidR="003804AC" w:rsidRDefault="00AF18A5" w:rsidP="0089178C">
      <w:r>
        <w:lastRenderedPageBreak/>
        <w:t>Varios ejemplos dan cuenta de esas dinámicas contra los movimientos sociales en diferentes</w:t>
      </w:r>
      <w:r>
        <w:rPr>
          <w:spacing w:val="-1"/>
        </w:rPr>
        <w:t xml:space="preserve"> </w:t>
      </w:r>
      <w:r>
        <w:t>épocas.</w:t>
      </w:r>
      <w:r>
        <w:rPr>
          <w:spacing w:val="-1"/>
        </w:rPr>
        <w:t xml:space="preserve"> </w:t>
      </w:r>
      <w:r>
        <w:t>En</w:t>
      </w:r>
      <w:r>
        <w:rPr>
          <w:spacing w:val="-1"/>
        </w:rPr>
        <w:t xml:space="preserve"> </w:t>
      </w:r>
      <w:r>
        <w:t>primer</w:t>
      </w:r>
      <w:r>
        <w:rPr>
          <w:spacing w:val="-1"/>
        </w:rPr>
        <w:t xml:space="preserve"> </w:t>
      </w:r>
      <w:r>
        <w:t>lugar,</w:t>
      </w:r>
      <w:r>
        <w:rPr>
          <w:spacing w:val="-2"/>
        </w:rPr>
        <w:t xml:space="preserve"> </w:t>
      </w:r>
      <w:r>
        <w:t>los</w:t>
      </w:r>
      <w:r>
        <w:rPr>
          <w:spacing w:val="-1"/>
        </w:rPr>
        <w:t xml:space="preserve"> </w:t>
      </w:r>
      <w:r>
        <w:t>paros</w:t>
      </w:r>
      <w:r>
        <w:rPr>
          <w:spacing w:val="-2"/>
        </w:rPr>
        <w:t xml:space="preserve"> </w:t>
      </w:r>
      <w:r>
        <w:t>del</w:t>
      </w:r>
      <w:r>
        <w:rPr>
          <w:spacing w:val="-3"/>
        </w:rPr>
        <w:t xml:space="preserve"> </w:t>
      </w:r>
      <w:r>
        <w:t>nororiente</w:t>
      </w:r>
      <w:r>
        <w:rPr>
          <w:spacing w:val="-2"/>
        </w:rPr>
        <w:t xml:space="preserve"> </w:t>
      </w:r>
      <w:r>
        <w:t>en</w:t>
      </w:r>
      <w:r>
        <w:rPr>
          <w:spacing w:val="-1"/>
        </w:rPr>
        <w:t xml:space="preserve"> </w:t>
      </w:r>
      <w:r>
        <w:t>1987</w:t>
      </w:r>
      <w:r>
        <w:rPr>
          <w:spacing w:val="-1"/>
        </w:rPr>
        <w:t xml:space="preserve"> </w:t>
      </w:r>
      <w:r>
        <w:t>y</w:t>
      </w:r>
      <w:r>
        <w:rPr>
          <w:spacing w:val="-1"/>
        </w:rPr>
        <w:t xml:space="preserve"> </w:t>
      </w:r>
      <w:r>
        <w:t>1988</w:t>
      </w:r>
      <w:r>
        <w:rPr>
          <w:spacing w:val="-1"/>
        </w:rPr>
        <w:t xml:space="preserve"> </w:t>
      </w:r>
      <w:r>
        <w:t>promovidos</w:t>
      </w:r>
      <w:r>
        <w:rPr>
          <w:spacing w:val="-1"/>
        </w:rPr>
        <w:t xml:space="preserve"> </w:t>
      </w:r>
      <w:r>
        <w:t>por varias organizaciones sindicales, campesinas y políticas agrupadas en la Coordinadora Popular del Nororiente, que, en un escenario de estigmatización, represión y militarización de la protesta social por parte del Estado, de expansión de los grupos paramilitares e infiltración e instrumentalización por parte de los grupos guerrilleros, terminaron en los hechos conocidos como las masacres de La Fortuna y Llana Caliente, ilustrativos de la complejidad</w:t>
      </w:r>
      <w:r>
        <w:rPr>
          <w:spacing w:val="-14"/>
        </w:rPr>
        <w:t xml:space="preserve"> </w:t>
      </w:r>
      <w:r>
        <w:t>de</w:t>
      </w:r>
      <w:r>
        <w:rPr>
          <w:spacing w:val="-13"/>
        </w:rPr>
        <w:t xml:space="preserve"> </w:t>
      </w:r>
      <w:r>
        <w:t>las</w:t>
      </w:r>
      <w:r>
        <w:rPr>
          <w:spacing w:val="-13"/>
        </w:rPr>
        <w:t xml:space="preserve"> </w:t>
      </w:r>
      <w:r>
        <w:t>relaciones</w:t>
      </w:r>
      <w:r>
        <w:rPr>
          <w:spacing w:val="-13"/>
        </w:rPr>
        <w:t xml:space="preserve"> </w:t>
      </w:r>
      <w:r>
        <w:t>que</w:t>
      </w:r>
      <w:r>
        <w:rPr>
          <w:spacing w:val="-13"/>
        </w:rPr>
        <w:t xml:space="preserve"> </w:t>
      </w:r>
      <w:r>
        <w:t>se</w:t>
      </w:r>
      <w:r>
        <w:rPr>
          <w:spacing w:val="-13"/>
        </w:rPr>
        <w:t xml:space="preserve"> </w:t>
      </w:r>
      <w:r>
        <w:t>establecieron</w:t>
      </w:r>
      <w:r>
        <w:rPr>
          <w:spacing w:val="-13"/>
        </w:rPr>
        <w:t xml:space="preserve"> </w:t>
      </w:r>
      <w:r>
        <w:t>entre</w:t>
      </w:r>
      <w:r>
        <w:rPr>
          <w:spacing w:val="-13"/>
        </w:rPr>
        <w:t xml:space="preserve"> </w:t>
      </w:r>
      <w:r>
        <w:t>la</w:t>
      </w:r>
      <w:r>
        <w:rPr>
          <w:spacing w:val="-13"/>
        </w:rPr>
        <w:t xml:space="preserve"> </w:t>
      </w:r>
      <w:r>
        <w:t>movilización</w:t>
      </w:r>
      <w:r>
        <w:rPr>
          <w:spacing w:val="-13"/>
        </w:rPr>
        <w:t xml:space="preserve"> </w:t>
      </w:r>
      <w:r>
        <w:t>social,</w:t>
      </w:r>
      <w:r>
        <w:rPr>
          <w:spacing w:val="-14"/>
        </w:rPr>
        <w:t xml:space="preserve"> </w:t>
      </w:r>
      <w:r>
        <w:t>las</w:t>
      </w:r>
      <w:r>
        <w:rPr>
          <w:spacing w:val="-13"/>
        </w:rPr>
        <w:t xml:space="preserve"> </w:t>
      </w:r>
      <w:r>
        <w:t>dinámicas del conflicto armado y los retos a los que se enfrentó el movimiento social para reclamar su autonomía y no terminar siendo víctima de la violencia en medio del conflicto armado.</w:t>
      </w:r>
    </w:p>
    <w:p w:rsidR="0011361F" w:rsidRDefault="00AF18A5" w:rsidP="0089178C">
      <w:r>
        <w:t>Sobre</w:t>
      </w:r>
      <w:r>
        <w:rPr>
          <w:spacing w:val="-6"/>
        </w:rPr>
        <w:t xml:space="preserve"> </w:t>
      </w:r>
      <w:r>
        <w:t>el</w:t>
      </w:r>
      <w:r>
        <w:rPr>
          <w:spacing w:val="-5"/>
        </w:rPr>
        <w:t xml:space="preserve"> </w:t>
      </w:r>
      <w:r>
        <w:t>primer</w:t>
      </w:r>
      <w:r>
        <w:rPr>
          <w:spacing w:val="-5"/>
        </w:rPr>
        <w:t xml:space="preserve"> </w:t>
      </w:r>
      <w:r>
        <w:t>hecho,</w:t>
      </w:r>
      <w:r>
        <w:rPr>
          <w:spacing w:val="-6"/>
        </w:rPr>
        <w:t xml:space="preserve"> </w:t>
      </w:r>
      <w:r>
        <w:t>el</w:t>
      </w:r>
      <w:r>
        <w:rPr>
          <w:spacing w:val="-5"/>
        </w:rPr>
        <w:t xml:space="preserve"> </w:t>
      </w:r>
      <w:r>
        <w:t>24</w:t>
      </w:r>
      <w:r>
        <w:rPr>
          <w:spacing w:val="-6"/>
        </w:rPr>
        <w:t xml:space="preserve"> </w:t>
      </w:r>
      <w:r>
        <w:t>de</w:t>
      </w:r>
      <w:r>
        <w:rPr>
          <w:spacing w:val="-6"/>
        </w:rPr>
        <w:t xml:space="preserve"> </w:t>
      </w:r>
      <w:r>
        <w:t>mayo</w:t>
      </w:r>
      <w:r>
        <w:rPr>
          <w:spacing w:val="-6"/>
        </w:rPr>
        <w:t xml:space="preserve"> </w:t>
      </w:r>
      <w:r>
        <w:t>de</w:t>
      </w:r>
      <w:r>
        <w:rPr>
          <w:spacing w:val="-6"/>
        </w:rPr>
        <w:t xml:space="preserve"> </w:t>
      </w:r>
      <w:r>
        <w:t>1988,</w:t>
      </w:r>
      <w:r>
        <w:rPr>
          <w:spacing w:val="-6"/>
        </w:rPr>
        <w:t xml:space="preserve"> </w:t>
      </w:r>
      <w:r>
        <w:t>en</w:t>
      </w:r>
      <w:r>
        <w:rPr>
          <w:spacing w:val="-6"/>
        </w:rPr>
        <w:t xml:space="preserve"> </w:t>
      </w:r>
      <w:r>
        <w:t>la</w:t>
      </w:r>
      <w:r>
        <w:rPr>
          <w:spacing w:val="-6"/>
        </w:rPr>
        <w:t xml:space="preserve"> </w:t>
      </w:r>
      <w:r>
        <w:t>Inspección</w:t>
      </w:r>
      <w:r>
        <w:rPr>
          <w:spacing w:val="-6"/>
        </w:rPr>
        <w:t xml:space="preserve"> </w:t>
      </w:r>
      <w:r>
        <w:t>de</w:t>
      </w:r>
      <w:r>
        <w:rPr>
          <w:spacing w:val="-6"/>
        </w:rPr>
        <w:t xml:space="preserve"> </w:t>
      </w:r>
      <w:r>
        <w:t>Policía</w:t>
      </w:r>
      <w:r>
        <w:rPr>
          <w:spacing w:val="-6"/>
        </w:rPr>
        <w:t xml:space="preserve"> </w:t>
      </w:r>
      <w:r>
        <w:t>Departamental La Fortuna, del municipio de San Vicente de Chucurí, Santander, donde el día anterior en horas de la</w:t>
      </w:r>
      <w:r>
        <w:rPr>
          <w:spacing w:val="-1"/>
        </w:rPr>
        <w:t xml:space="preserve"> </w:t>
      </w:r>
      <w:r>
        <w:t>madrugada habían sido</w:t>
      </w:r>
      <w:r>
        <w:rPr>
          <w:spacing w:val="-1"/>
        </w:rPr>
        <w:t xml:space="preserve"> </w:t>
      </w:r>
      <w:r>
        <w:t>bloqueados</w:t>
      </w:r>
      <w:r>
        <w:rPr>
          <w:spacing w:val="-1"/>
        </w:rPr>
        <w:t xml:space="preserve"> </w:t>
      </w:r>
      <w:r>
        <w:t>por tropas del Batallón</w:t>
      </w:r>
      <w:r>
        <w:rPr>
          <w:spacing w:val="-1"/>
        </w:rPr>
        <w:t xml:space="preserve"> </w:t>
      </w:r>
      <w:r>
        <w:t>Nueva Granada unos cinco mil campesinos que se disponían a marchar hacia Bucaramanga, los manifestantes fueron atacados. Murieron asesinados seis campesinos, entre ellos una niña de seis años. También resultaron desaparecidos seis campesinos más y cerca de 200 fueron detenidos</w:t>
      </w:r>
      <w:r w:rsidR="0089178C">
        <w:rPr>
          <w:rStyle w:val="Refdenotaalpie"/>
        </w:rPr>
        <w:footnoteReference w:id="265"/>
      </w:r>
      <w:r>
        <w:t>. En los hechos también perdieron la vida un cabo segundo y un soldado del Ejército.</w:t>
      </w:r>
    </w:p>
    <w:p w:rsidR="003804AC" w:rsidRDefault="00AF18A5" w:rsidP="00900E87">
      <w:bookmarkStart w:id="395" w:name="_bookmark306"/>
      <w:bookmarkEnd w:id="395"/>
      <w:r>
        <w:t>La segunda</w:t>
      </w:r>
      <w:r>
        <w:rPr>
          <w:spacing w:val="-1"/>
        </w:rPr>
        <w:t xml:space="preserve"> </w:t>
      </w:r>
      <w:r>
        <w:t>masacre se</w:t>
      </w:r>
      <w:r>
        <w:rPr>
          <w:spacing w:val="-1"/>
        </w:rPr>
        <w:t xml:space="preserve"> </w:t>
      </w:r>
      <w:r>
        <w:t>presentó</w:t>
      </w:r>
      <w:r>
        <w:rPr>
          <w:spacing w:val="-1"/>
        </w:rPr>
        <w:t xml:space="preserve"> </w:t>
      </w:r>
      <w:r>
        <w:t>en</w:t>
      </w:r>
      <w:r>
        <w:rPr>
          <w:spacing w:val="-1"/>
        </w:rPr>
        <w:t xml:space="preserve"> </w:t>
      </w:r>
      <w:r>
        <w:t>el sitio de Llana Caliente, en San Vicente de Chucurí el</w:t>
      </w:r>
      <w:r>
        <w:rPr>
          <w:spacing w:val="-1"/>
        </w:rPr>
        <w:t xml:space="preserve"> </w:t>
      </w:r>
      <w:r>
        <w:t>28</w:t>
      </w:r>
      <w:r>
        <w:rPr>
          <w:spacing w:val="-1"/>
        </w:rPr>
        <w:t xml:space="preserve"> </w:t>
      </w:r>
      <w:r>
        <w:t>de</w:t>
      </w:r>
      <w:r>
        <w:rPr>
          <w:spacing w:val="-1"/>
        </w:rPr>
        <w:t xml:space="preserve"> </w:t>
      </w:r>
      <w:r>
        <w:t>mayo</w:t>
      </w:r>
      <w:r>
        <w:rPr>
          <w:spacing w:val="-1"/>
        </w:rPr>
        <w:t xml:space="preserve"> </w:t>
      </w:r>
      <w:r>
        <w:t>de</w:t>
      </w:r>
      <w:r>
        <w:rPr>
          <w:spacing w:val="-1"/>
        </w:rPr>
        <w:t xml:space="preserve"> </w:t>
      </w:r>
      <w:r>
        <w:t>1988,</w:t>
      </w:r>
      <w:r>
        <w:rPr>
          <w:spacing w:val="-1"/>
        </w:rPr>
        <w:t xml:space="preserve"> </w:t>
      </w:r>
      <w:r>
        <w:t>donde</w:t>
      </w:r>
      <w:r>
        <w:rPr>
          <w:spacing w:val="-1"/>
        </w:rPr>
        <w:t xml:space="preserve"> </w:t>
      </w:r>
      <w:r>
        <w:t>las</w:t>
      </w:r>
      <w:r>
        <w:rPr>
          <w:spacing w:val="-1"/>
        </w:rPr>
        <w:t xml:space="preserve"> </w:t>
      </w:r>
      <w:r>
        <w:t>unidades</w:t>
      </w:r>
      <w:r>
        <w:rPr>
          <w:spacing w:val="-1"/>
        </w:rPr>
        <w:t xml:space="preserve"> </w:t>
      </w:r>
      <w:r>
        <w:t>militares</w:t>
      </w:r>
      <w:r>
        <w:rPr>
          <w:spacing w:val="-1"/>
        </w:rPr>
        <w:t xml:space="preserve"> </w:t>
      </w:r>
      <w:r>
        <w:t>impidieron</w:t>
      </w:r>
      <w:r>
        <w:rPr>
          <w:spacing w:val="-1"/>
        </w:rPr>
        <w:t xml:space="preserve"> </w:t>
      </w:r>
      <w:r>
        <w:t>el</w:t>
      </w:r>
      <w:r>
        <w:rPr>
          <w:spacing w:val="-1"/>
        </w:rPr>
        <w:t xml:space="preserve"> </w:t>
      </w:r>
      <w:r>
        <w:t>paso</w:t>
      </w:r>
      <w:r>
        <w:rPr>
          <w:spacing w:val="-2"/>
        </w:rPr>
        <w:t xml:space="preserve"> </w:t>
      </w:r>
      <w:r>
        <w:t>hacia</w:t>
      </w:r>
      <w:r>
        <w:rPr>
          <w:spacing w:val="-1"/>
        </w:rPr>
        <w:t xml:space="preserve"> </w:t>
      </w:r>
      <w:r>
        <w:t xml:space="preserve">Bucaramanga bloqueando desde el 23 de mayo </w:t>
      </w:r>
      <w:r>
        <w:lastRenderedPageBreak/>
        <w:t>la vía con palos, alambradas y cercas eléctricas a cerca de cien buses que transportaban alrededor de 3.000 campesinos provenientes de diferentes veredas de San Vicente y El Carmen. Esta movilización fue impulsada por ¡A Luchar!</w:t>
      </w:r>
      <w:r w:rsidR="00900E87">
        <w:rPr>
          <w:rStyle w:val="Refdenotaalpie"/>
        </w:rPr>
        <w:footnoteReference w:id="266"/>
      </w:r>
      <w:r>
        <w:t>. Aunque el saldo de las víctimas sigue siendo indeterminado, es claro que se presentaron decenas de heridos, mutilados, desaparecidos y varios muertos. Gracias a información entregada a la Comisión de la Verdad</w:t>
      </w:r>
      <w:r w:rsidR="00900E87">
        <w:rPr>
          <w:rStyle w:val="Refdenotaalpie"/>
        </w:rPr>
        <w:footnoteReference w:id="267"/>
      </w:r>
      <w:r>
        <w:t>, se pudo establecer el asesinato de por lo menos trece</w:t>
      </w:r>
      <w:r>
        <w:rPr>
          <w:spacing w:val="-15"/>
        </w:rPr>
        <w:t xml:space="preserve"> </w:t>
      </w:r>
      <w:r>
        <w:t>campesinos</w:t>
      </w:r>
      <w:r>
        <w:rPr>
          <w:spacing w:val="-15"/>
        </w:rPr>
        <w:t xml:space="preserve"> </w:t>
      </w:r>
      <w:r>
        <w:t>y</w:t>
      </w:r>
      <w:r>
        <w:rPr>
          <w:spacing w:val="-15"/>
        </w:rPr>
        <w:t xml:space="preserve"> </w:t>
      </w:r>
      <w:r>
        <w:t>ocho</w:t>
      </w:r>
      <w:r>
        <w:rPr>
          <w:spacing w:val="-15"/>
        </w:rPr>
        <w:t xml:space="preserve"> </w:t>
      </w:r>
      <w:r>
        <w:t>miembros</w:t>
      </w:r>
      <w:r>
        <w:rPr>
          <w:spacing w:val="-15"/>
        </w:rPr>
        <w:t xml:space="preserve"> </w:t>
      </w:r>
      <w:r>
        <w:t>del</w:t>
      </w:r>
      <w:r>
        <w:rPr>
          <w:spacing w:val="-15"/>
        </w:rPr>
        <w:t xml:space="preserve"> </w:t>
      </w:r>
      <w:r>
        <w:t>Ejército,</w:t>
      </w:r>
      <w:r>
        <w:rPr>
          <w:spacing w:val="-15"/>
        </w:rPr>
        <w:t xml:space="preserve"> </w:t>
      </w:r>
      <w:r>
        <w:t>entre</w:t>
      </w:r>
      <w:r>
        <w:rPr>
          <w:spacing w:val="-15"/>
        </w:rPr>
        <w:t xml:space="preserve"> </w:t>
      </w:r>
      <w:r>
        <w:t>ellos</w:t>
      </w:r>
      <w:r>
        <w:rPr>
          <w:spacing w:val="-15"/>
        </w:rPr>
        <w:t xml:space="preserve"> </w:t>
      </w:r>
      <w:r>
        <w:t>el</w:t>
      </w:r>
      <w:r>
        <w:rPr>
          <w:spacing w:val="-15"/>
        </w:rPr>
        <w:t xml:space="preserve"> </w:t>
      </w:r>
      <w:r>
        <w:t>teniente</w:t>
      </w:r>
      <w:r>
        <w:rPr>
          <w:spacing w:val="-15"/>
        </w:rPr>
        <w:t xml:space="preserve"> </w:t>
      </w:r>
      <w:r>
        <w:t>coronel</w:t>
      </w:r>
      <w:r>
        <w:rPr>
          <w:spacing w:val="-15"/>
        </w:rPr>
        <w:t xml:space="preserve"> </w:t>
      </w:r>
      <w:r>
        <w:t>Rogelio</w:t>
      </w:r>
      <w:r>
        <w:rPr>
          <w:spacing w:val="-15"/>
        </w:rPr>
        <w:t xml:space="preserve"> </w:t>
      </w:r>
      <w:r>
        <w:t>Correa Campos, cuyo nombre fue retomado por unas estructuras paramilitares que actuaron posteriormente en la región de Chucurí y por un desertor de la guerrilla.</w:t>
      </w:r>
    </w:p>
    <w:p w:rsidR="003804AC" w:rsidRDefault="00AF18A5" w:rsidP="00900E87">
      <w:r>
        <w:t>En segundo lugar, también son ilustrativos de la victimización del movimiento social en medio</w:t>
      </w:r>
      <w:r>
        <w:rPr>
          <w:spacing w:val="-15"/>
        </w:rPr>
        <w:t xml:space="preserve"> </w:t>
      </w:r>
      <w:r>
        <w:t>del</w:t>
      </w:r>
      <w:r>
        <w:rPr>
          <w:spacing w:val="-15"/>
        </w:rPr>
        <w:t xml:space="preserve"> </w:t>
      </w:r>
      <w:r>
        <w:t>conflicto</w:t>
      </w:r>
      <w:r>
        <w:rPr>
          <w:spacing w:val="-15"/>
        </w:rPr>
        <w:t xml:space="preserve"> </w:t>
      </w:r>
      <w:r>
        <w:t>los</w:t>
      </w:r>
      <w:r>
        <w:rPr>
          <w:spacing w:val="-15"/>
        </w:rPr>
        <w:t xml:space="preserve"> </w:t>
      </w:r>
      <w:r>
        <w:t>dramáticos</w:t>
      </w:r>
      <w:r>
        <w:rPr>
          <w:spacing w:val="-15"/>
        </w:rPr>
        <w:t xml:space="preserve"> </w:t>
      </w:r>
      <w:r>
        <w:t>hechos</w:t>
      </w:r>
      <w:r>
        <w:rPr>
          <w:spacing w:val="-15"/>
        </w:rPr>
        <w:t xml:space="preserve"> </w:t>
      </w:r>
      <w:r>
        <w:t>acaecidos</w:t>
      </w:r>
      <w:r>
        <w:rPr>
          <w:spacing w:val="-15"/>
        </w:rPr>
        <w:t xml:space="preserve"> </w:t>
      </w:r>
      <w:r>
        <w:t>en</w:t>
      </w:r>
      <w:r>
        <w:rPr>
          <w:spacing w:val="-15"/>
        </w:rPr>
        <w:t xml:space="preserve"> </w:t>
      </w:r>
      <w:r>
        <w:t>el</w:t>
      </w:r>
      <w:r>
        <w:rPr>
          <w:spacing w:val="-15"/>
        </w:rPr>
        <w:t xml:space="preserve"> </w:t>
      </w:r>
      <w:r>
        <w:t>eje</w:t>
      </w:r>
      <w:r>
        <w:rPr>
          <w:spacing w:val="-15"/>
        </w:rPr>
        <w:t xml:space="preserve"> </w:t>
      </w:r>
      <w:r>
        <w:t>bananero</w:t>
      </w:r>
      <w:r>
        <w:rPr>
          <w:spacing w:val="-15"/>
        </w:rPr>
        <w:t xml:space="preserve"> </w:t>
      </w:r>
      <w:r>
        <w:t>en</w:t>
      </w:r>
      <w:r>
        <w:rPr>
          <w:spacing w:val="-15"/>
        </w:rPr>
        <w:t xml:space="preserve"> </w:t>
      </w:r>
      <w:r>
        <w:t>Urabá</w:t>
      </w:r>
      <w:r>
        <w:rPr>
          <w:spacing w:val="-15"/>
        </w:rPr>
        <w:t xml:space="preserve"> </w:t>
      </w:r>
      <w:r>
        <w:t>a</w:t>
      </w:r>
      <w:r>
        <w:rPr>
          <w:spacing w:val="-15"/>
        </w:rPr>
        <w:t xml:space="preserve"> </w:t>
      </w:r>
      <w:r>
        <w:t>comienzos de</w:t>
      </w:r>
      <w:r>
        <w:rPr>
          <w:spacing w:val="-2"/>
        </w:rPr>
        <w:t xml:space="preserve"> </w:t>
      </w:r>
      <w:r>
        <w:t>la</w:t>
      </w:r>
      <w:r>
        <w:rPr>
          <w:spacing w:val="-2"/>
        </w:rPr>
        <w:t xml:space="preserve"> </w:t>
      </w:r>
      <w:r>
        <w:t>década</w:t>
      </w:r>
      <w:r>
        <w:rPr>
          <w:spacing w:val="-3"/>
        </w:rPr>
        <w:t xml:space="preserve"> </w:t>
      </w:r>
      <w:r>
        <w:t>de</w:t>
      </w:r>
      <w:r>
        <w:rPr>
          <w:spacing w:val="-2"/>
        </w:rPr>
        <w:t xml:space="preserve"> </w:t>
      </w:r>
      <w:r>
        <w:t>los</w:t>
      </w:r>
      <w:r>
        <w:rPr>
          <w:spacing w:val="-2"/>
        </w:rPr>
        <w:t xml:space="preserve"> </w:t>
      </w:r>
      <w:r>
        <w:t>noventa.</w:t>
      </w:r>
      <w:r>
        <w:rPr>
          <w:spacing w:val="-2"/>
        </w:rPr>
        <w:t xml:space="preserve"> </w:t>
      </w:r>
      <w:r>
        <w:t>Allí</w:t>
      </w:r>
      <w:r>
        <w:rPr>
          <w:spacing w:val="-2"/>
        </w:rPr>
        <w:t xml:space="preserve"> </w:t>
      </w:r>
      <w:r>
        <w:t>se</w:t>
      </w:r>
      <w:r>
        <w:rPr>
          <w:spacing w:val="-2"/>
        </w:rPr>
        <w:t xml:space="preserve"> </w:t>
      </w:r>
      <w:r>
        <w:t>desató</w:t>
      </w:r>
      <w:r>
        <w:rPr>
          <w:spacing w:val="-2"/>
        </w:rPr>
        <w:t xml:space="preserve"> </w:t>
      </w:r>
      <w:r>
        <w:t>una</w:t>
      </w:r>
      <w:r>
        <w:rPr>
          <w:spacing w:val="-2"/>
        </w:rPr>
        <w:t xml:space="preserve"> </w:t>
      </w:r>
      <w:r>
        <w:t>guerra,</w:t>
      </w:r>
      <w:r>
        <w:rPr>
          <w:spacing w:val="-2"/>
        </w:rPr>
        <w:t xml:space="preserve"> </w:t>
      </w:r>
      <w:r>
        <w:t>barrio</w:t>
      </w:r>
      <w:r>
        <w:rPr>
          <w:spacing w:val="-4"/>
        </w:rPr>
        <w:t xml:space="preserve"> </w:t>
      </w:r>
      <w:r>
        <w:t>por</w:t>
      </w:r>
      <w:r>
        <w:rPr>
          <w:spacing w:val="-2"/>
        </w:rPr>
        <w:t xml:space="preserve"> </w:t>
      </w:r>
      <w:r>
        <w:t>barrio,</w:t>
      </w:r>
      <w:r>
        <w:rPr>
          <w:spacing w:val="-2"/>
        </w:rPr>
        <w:t xml:space="preserve"> </w:t>
      </w:r>
      <w:r>
        <w:t>finca</w:t>
      </w:r>
      <w:r>
        <w:rPr>
          <w:spacing w:val="-2"/>
        </w:rPr>
        <w:t xml:space="preserve"> </w:t>
      </w:r>
      <w:r>
        <w:t>por</w:t>
      </w:r>
      <w:r>
        <w:rPr>
          <w:spacing w:val="-2"/>
        </w:rPr>
        <w:t xml:space="preserve"> </w:t>
      </w:r>
      <w:r>
        <w:t>finca,</w:t>
      </w:r>
      <w:r>
        <w:rPr>
          <w:spacing w:val="-2"/>
        </w:rPr>
        <w:t xml:space="preserve"> </w:t>
      </w:r>
      <w:r>
        <w:t>que enfrentó a los paramilitares de las Autodefensas Unidas de Córdoba y Urabá (ACCU) –con fuerte control de Córdoba y parte de Antioquia que se extendía ahora a Urabá– con los milicianos</w:t>
      </w:r>
      <w:r>
        <w:rPr>
          <w:spacing w:val="-2"/>
        </w:rPr>
        <w:t xml:space="preserve"> </w:t>
      </w:r>
      <w:r>
        <w:t>de</w:t>
      </w:r>
      <w:r>
        <w:rPr>
          <w:spacing w:val="-2"/>
        </w:rPr>
        <w:t xml:space="preserve"> </w:t>
      </w:r>
      <w:r>
        <w:t>las</w:t>
      </w:r>
      <w:r>
        <w:rPr>
          <w:spacing w:val="-2"/>
        </w:rPr>
        <w:t xml:space="preserve"> </w:t>
      </w:r>
      <w:r>
        <w:t>FARC-EP</w:t>
      </w:r>
      <w:r>
        <w:rPr>
          <w:spacing w:val="-3"/>
        </w:rPr>
        <w:t xml:space="preserve"> </w:t>
      </w:r>
      <w:r>
        <w:t>y</w:t>
      </w:r>
      <w:r>
        <w:rPr>
          <w:spacing w:val="-2"/>
        </w:rPr>
        <w:t xml:space="preserve"> </w:t>
      </w:r>
      <w:r>
        <w:t>los</w:t>
      </w:r>
      <w:r>
        <w:rPr>
          <w:spacing w:val="-2"/>
        </w:rPr>
        <w:t xml:space="preserve"> </w:t>
      </w:r>
      <w:r>
        <w:t>comandos</w:t>
      </w:r>
      <w:r>
        <w:rPr>
          <w:spacing w:val="-2"/>
        </w:rPr>
        <w:t xml:space="preserve"> </w:t>
      </w:r>
      <w:r>
        <w:t>del</w:t>
      </w:r>
      <w:r>
        <w:rPr>
          <w:spacing w:val="-3"/>
        </w:rPr>
        <w:t xml:space="preserve"> </w:t>
      </w:r>
      <w:r>
        <w:t>EPL</w:t>
      </w:r>
      <w:r>
        <w:rPr>
          <w:spacing w:val="-3"/>
        </w:rPr>
        <w:t xml:space="preserve"> </w:t>
      </w:r>
      <w:r>
        <w:t>en</w:t>
      </w:r>
      <w:r>
        <w:rPr>
          <w:spacing w:val="-2"/>
        </w:rPr>
        <w:t xml:space="preserve"> </w:t>
      </w:r>
      <w:r>
        <w:t>una</w:t>
      </w:r>
      <w:r>
        <w:rPr>
          <w:spacing w:val="-1"/>
        </w:rPr>
        <w:t xml:space="preserve"> </w:t>
      </w:r>
      <w:r>
        <w:t>disputa</w:t>
      </w:r>
      <w:r>
        <w:rPr>
          <w:spacing w:val="-2"/>
        </w:rPr>
        <w:t xml:space="preserve"> </w:t>
      </w:r>
      <w:r>
        <w:t>en</w:t>
      </w:r>
      <w:r>
        <w:rPr>
          <w:spacing w:val="-2"/>
        </w:rPr>
        <w:t xml:space="preserve"> </w:t>
      </w:r>
      <w:r>
        <w:t>la</w:t>
      </w:r>
      <w:r>
        <w:rPr>
          <w:spacing w:val="-3"/>
        </w:rPr>
        <w:t xml:space="preserve"> </w:t>
      </w:r>
      <w:r>
        <w:t>que</w:t>
      </w:r>
      <w:r>
        <w:rPr>
          <w:spacing w:val="-2"/>
        </w:rPr>
        <w:t xml:space="preserve"> </w:t>
      </w:r>
      <w:r>
        <w:t>se</w:t>
      </w:r>
      <w:r>
        <w:rPr>
          <w:spacing w:val="-2"/>
        </w:rPr>
        <w:t xml:space="preserve"> </w:t>
      </w:r>
      <w:r>
        <w:t>imbrican</w:t>
      </w:r>
      <w:r>
        <w:rPr>
          <w:spacing w:val="-2"/>
        </w:rPr>
        <w:t xml:space="preserve"> </w:t>
      </w:r>
      <w:r>
        <w:t>la lucha por el territorio y el control de la población, y el enfrentamiento por el control de los sindicatos y de la política local y regional.</w:t>
      </w:r>
    </w:p>
    <w:p w:rsidR="003804AC" w:rsidRDefault="00AF18A5" w:rsidP="007C49C2">
      <w:r>
        <w:t>El</w:t>
      </w:r>
      <w:r>
        <w:rPr>
          <w:spacing w:val="-3"/>
        </w:rPr>
        <w:t xml:space="preserve"> </w:t>
      </w:r>
      <w:r>
        <w:t>resultado</w:t>
      </w:r>
      <w:r>
        <w:rPr>
          <w:spacing w:val="-5"/>
        </w:rPr>
        <w:t xml:space="preserve"> </w:t>
      </w:r>
      <w:r>
        <w:t>y</w:t>
      </w:r>
      <w:r>
        <w:rPr>
          <w:spacing w:val="-3"/>
        </w:rPr>
        <w:t xml:space="preserve"> </w:t>
      </w:r>
      <w:r>
        <w:t>desenlace</w:t>
      </w:r>
      <w:r>
        <w:rPr>
          <w:spacing w:val="-3"/>
        </w:rPr>
        <w:t xml:space="preserve"> </w:t>
      </w:r>
      <w:r>
        <w:t>de</w:t>
      </w:r>
      <w:r>
        <w:rPr>
          <w:spacing w:val="-3"/>
        </w:rPr>
        <w:t xml:space="preserve"> </w:t>
      </w:r>
      <w:r>
        <w:t>esa</w:t>
      </w:r>
      <w:r>
        <w:rPr>
          <w:spacing w:val="-3"/>
        </w:rPr>
        <w:t xml:space="preserve"> </w:t>
      </w:r>
      <w:r>
        <w:t>disputa</w:t>
      </w:r>
      <w:r>
        <w:rPr>
          <w:spacing w:val="-3"/>
        </w:rPr>
        <w:t xml:space="preserve"> </w:t>
      </w:r>
      <w:r>
        <w:t>entre</w:t>
      </w:r>
      <w:r>
        <w:rPr>
          <w:spacing w:val="-3"/>
        </w:rPr>
        <w:t xml:space="preserve"> </w:t>
      </w:r>
      <w:r>
        <w:t>las</w:t>
      </w:r>
      <w:r>
        <w:rPr>
          <w:spacing w:val="-3"/>
        </w:rPr>
        <w:t xml:space="preserve"> </w:t>
      </w:r>
      <w:r>
        <w:t>FARC-EP</w:t>
      </w:r>
      <w:r>
        <w:rPr>
          <w:spacing w:val="-3"/>
        </w:rPr>
        <w:t xml:space="preserve"> </w:t>
      </w:r>
      <w:r>
        <w:t>y</w:t>
      </w:r>
      <w:r>
        <w:rPr>
          <w:spacing w:val="-2"/>
        </w:rPr>
        <w:t xml:space="preserve"> </w:t>
      </w:r>
      <w:r>
        <w:t>el</w:t>
      </w:r>
      <w:r>
        <w:rPr>
          <w:spacing w:val="-3"/>
        </w:rPr>
        <w:t xml:space="preserve"> </w:t>
      </w:r>
      <w:r>
        <w:t>EPL</w:t>
      </w:r>
      <w:r>
        <w:rPr>
          <w:spacing w:val="-3"/>
        </w:rPr>
        <w:t xml:space="preserve"> </w:t>
      </w:r>
      <w:r>
        <w:t>y</w:t>
      </w:r>
      <w:r>
        <w:rPr>
          <w:spacing w:val="-3"/>
        </w:rPr>
        <w:t xml:space="preserve"> </w:t>
      </w:r>
      <w:r>
        <w:t>de</w:t>
      </w:r>
      <w:r>
        <w:rPr>
          <w:spacing w:val="-3"/>
        </w:rPr>
        <w:t xml:space="preserve"> </w:t>
      </w:r>
      <w:r>
        <w:t>la</w:t>
      </w:r>
      <w:r>
        <w:rPr>
          <w:spacing w:val="-3"/>
        </w:rPr>
        <w:t xml:space="preserve"> </w:t>
      </w:r>
      <w:r>
        <w:t xml:space="preserve">implantación paramilitar liderada por el narcotraficante Fidel Castaño no pudo ser más negativo para la democracia y el movimiento social: se produjo el </w:t>
      </w:r>
      <w:proofErr w:type="spellStart"/>
      <w:r>
        <w:t>desvertebramiento</w:t>
      </w:r>
      <w:proofErr w:type="spellEnd"/>
      <w:r>
        <w:t xml:space="preserve"> de lo que fue, en su momento, el mayor </w:t>
      </w:r>
      <w:r>
        <w:lastRenderedPageBreak/>
        <w:t>movimiento sindical agrario de Colombia, que pasó de una actitud contestataria</w:t>
      </w:r>
      <w:r>
        <w:rPr>
          <w:spacing w:val="19"/>
        </w:rPr>
        <w:t xml:space="preserve"> </w:t>
      </w:r>
      <w:r>
        <w:t>a</w:t>
      </w:r>
      <w:r>
        <w:rPr>
          <w:spacing w:val="23"/>
        </w:rPr>
        <w:t xml:space="preserve"> </w:t>
      </w:r>
      <w:r>
        <w:t>un</w:t>
      </w:r>
      <w:r>
        <w:rPr>
          <w:spacing w:val="23"/>
        </w:rPr>
        <w:t xml:space="preserve"> </w:t>
      </w:r>
      <w:r>
        <w:t>sindicato</w:t>
      </w:r>
      <w:r>
        <w:rPr>
          <w:spacing w:val="23"/>
        </w:rPr>
        <w:t xml:space="preserve"> </w:t>
      </w:r>
      <w:r>
        <w:t>corporativo,</w:t>
      </w:r>
      <w:r>
        <w:rPr>
          <w:spacing w:val="23"/>
        </w:rPr>
        <w:t xml:space="preserve"> </w:t>
      </w:r>
      <w:r>
        <w:t>mientras</w:t>
      </w:r>
      <w:r>
        <w:rPr>
          <w:spacing w:val="23"/>
        </w:rPr>
        <w:t xml:space="preserve"> </w:t>
      </w:r>
      <w:r>
        <w:t>en</w:t>
      </w:r>
      <w:r>
        <w:rPr>
          <w:spacing w:val="23"/>
        </w:rPr>
        <w:t xml:space="preserve"> </w:t>
      </w:r>
      <w:r>
        <w:t>Urabá</w:t>
      </w:r>
      <w:r>
        <w:rPr>
          <w:spacing w:val="22"/>
        </w:rPr>
        <w:t xml:space="preserve"> </w:t>
      </w:r>
      <w:r>
        <w:t>se</w:t>
      </w:r>
      <w:r>
        <w:rPr>
          <w:spacing w:val="23"/>
        </w:rPr>
        <w:t xml:space="preserve"> </w:t>
      </w:r>
      <w:r>
        <w:t>consolidó</w:t>
      </w:r>
      <w:r>
        <w:rPr>
          <w:spacing w:val="21"/>
        </w:rPr>
        <w:t xml:space="preserve"> </w:t>
      </w:r>
      <w:r>
        <w:t>el</w:t>
      </w:r>
      <w:r>
        <w:rPr>
          <w:spacing w:val="23"/>
        </w:rPr>
        <w:t xml:space="preserve"> </w:t>
      </w:r>
      <w:r>
        <w:t>control</w:t>
      </w:r>
      <w:r>
        <w:rPr>
          <w:spacing w:val="23"/>
        </w:rPr>
        <w:t xml:space="preserve"> </w:t>
      </w:r>
      <w:r>
        <w:rPr>
          <w:spacing w:val="-2"/>
        </w:rPr>
        <w:t>narco-</w:t>
      </w:r>
      <w:bookmarkStart w:id="396" w:name="_bookmark307"/>
      <w:bookmarkStart w:id="397" w:name="_bookmark308"/>
      <w:bookmarkEnd w:id="396"/>
      <w:bookmarkEnd w:id="397"/>
      <w:r>
        <w:t>paramilitar, se atacó a la UP con la reversión electoral de la izquierda y se paralizaron las movilizaciones sociales en medio de un clima de terror y control.</w:t>
      </w:r>
    </w:p>
    <w:p w:rsidR="003804AC" w:rsidRDefault="00AF18A5" w:rsidP="007C49C2">
      <w:r>
        <w:t xml:space="preserve">Otro ejemplo de ataque a los movimientos sociales lo constituyen las multitudinarias marchas de los colonos cocaleros en el sur del país de 1996, que enfrentaron la represión </w:t>
      </w:r>
      <w:r>
        <w:rPr>
          <w:spacing w:val="-2"/>
        </w:rPr>
        <w:t>estatal</w:t>
      </w:r>
      <w:r>
        <w:rPr>
          <w:spacing w:val="-5"/>
        </w:rPr>
        <w:t xml:space="preserve"> </w:t>
      </w:r>
      <w:r>
        <w:rPr>
          <w:spacing w:val="-2"/>
        </w:rPr>
        <w:t>y</w:t>
      </w:r>
      <w:r>
        <w:rPr>
          <w:spacing w:val="-4"/>
        </w:rPr>
        <w:t xml:space="preserve"> </w:t>
      </w:r>
      <w:r>
        <w:rPr>
          <w:spacing w:val="-2"/>
        </w:rPr>
        <w:t>el</w:t>
      </w:r>
      <w:r>
        <w:rPr>
          <w:spacing w:val="-3"/>
        </w:rPr>
        <w:t xml:space="preserve"> </w:t>
      </w:r>
      <w:r>
        <w:rPr>
          <w:spacing w:val="-2"/>
        </w:rPr>
        <w:t>intento</w:t>
      </w:r>
      <w:r>
        <w:rPr>
          <w:spacing w:val="-5"/>
        </w:rPr>
        <w:t xml:space="preserve"> </w:t>
      </w:r>
      <w:r>
        <w:rPr>
          <w:spacing w:val="-2"/>
        </w:rPr>
        <w:t>de</w:t>
      </w:r>
      <w:r>
        <w:rPr>
          <w:spacing w:val="-5"/>
        </w:rPr>
        <w:t xml:space="preserve"> </w:t>
      </w:r>
      <w:r>
        <w:rPr>
          <w:spacing w:val="-2"/>
        </w:rPr>
        <w:t>instrumentalización</w:t>
      </w:r>
      <w:r>
        <w:rPr>
          <w:spacing w:val="-4"/>
        </w:rPr>
        <w:t xml:space="preserve"> </w:t>
      </w:r>
      <w:r>
        <w:rPr>
          <w:spacing w:val="-2"/>
        </w:rPr>
        <w:t>de</w:t>
      </w:r>
      <w:r>
        <w:rPr>
          <w:spacing w:val="-5"/>
        </w:rPr>
        <w:t xml:space="preserve"> </w:t>
      </w:r>
      <w:r>
        <w:rPr>
          <w:spacing w:val="-2"/>
        </w:rPr>
        <w:t>las</w:t>
      </w:r>
      <w:r>
        <w:rPr>
          <w:spacing w:val="-4"/>
        </w:rPr>
        <w:t xml:space="preserve"> </w:t>
      </w:r>
      <w:r>
        <w:rPr>
          <w:spacing w:val="-2"/>
        </w:rPr>
        <w:t>guerrillas.</w:t>
      </w:r>
      <w:r>
        <w:rPr>
          <w:spacing w:val="-4"/>
        </w:rPr>
        <w:t xml:space="preserve"> </w:t>
      </w:r>
      <w:r>
        <w:rPr>
          <w:spacing w:val="-2"/>
        </w:rPr>
        <w:t>Las</w:t>
      </w:r>
      <w:r>
        <w:rPr>
          <w:spacing w:val="-4"/>
        </w:rPr>
        <w:t xml:space="preserve"> </w:t>
      </w:r>
      <w:r>
        <w:rPr>
          <w:spacing w:val="-2"/>
        </w:rPr>
        <w:t>marchas</w:t>
      </w:r>
      <w:r>
        <w:rPr>
          <w:spacing w:val="-5"/>
        </w:rPr>
        <w:t xml:space="preserve"> </w:t>
      </w:r>
      <w:r>
        <w:rPr>
          <w:spacing w:val="-2"/>
        </w:rPr>
        <w:t>campesinas</w:t>
      </w:r>
      <w:r>
        <w:rPr>
          <w:spacing w:val="-4"/>
        </w:rPr>
        <w:t xml:space="preserve"> </w:t>
      </w:r>
      <w:r>
        <w:rPr>
          <w:spacing w:val="-2"/>
        </w:rPr>
        <w:t xml:space="preserve">cocaleras </w:t>
      </w:r>
      <w:r>
        <w:t>condensaron los problemas de larga duración que el país ha acumulado en la Amazonía occidental: básicamente, el problema agrario no resuelto en la región Andina que se intentó solucionar con la colonización y que encontró en la coca la solución a la constante precariedad de las economías colonas. Precisamente en ese malestar acumulado se insertan las FARC-EP como el actor capaz de regular la economía cocalera. Sin embargo, una cosa eran los objetivos de los campesinos al demandar mayor integración al Estado, desde su propia</w:t>
      </w:r>
      <w:r>
        <w:rPr>
          <w:spacing w:val="-2"/>
        </w:rPr>
        <w:t xml:space="preserve"> </w:t>
      </w:r>
      <w:r>
        <w:t>autonomía</w:t>
      </w:r>
      <w:r>
        <w:rPr>
          <w:spacing w:val="-2"/>
        </w:rPr>
        <w:t xml:space="preserve"> </w:t>
      </w:r>
      <w:r>
        <w:t>y</w:t>
      </w:r>
      <w:r>
        <w:rPr>
          <w:spacing w:val="-2"/>
        </w:rPr>
        <w:t xml:space="preserve"> </w:t>
      </w:r>
      <w:r>
        <w:t>proyecto</w:t>
      </w:r>
      <w:r>
        <w:rPr>
          <w:spacing w:val="-2"/>
        </w:rPr>
        <w:t xml:space="preserve"> </w:t>
      </w:r>
      <w:r>
        <w:t>colectivo,</w:t>
      </w:r>
      <w:r>
        <w:rPr>
          <w:spacing w:val="-2"/>
        </w:rPr>
        <w:t xml:space="preserve"> </w:t>
      </w:r>
      <w:r>
        <w:t>y</w:t>
      </w:r>
      <w:r>
        <w:rPr>
          <w:spacing w:val="-2"/>
        </w:rPr>
        <w:t xml:space="preserve"> </w:t>
      </w:r>
      <w:r>
        <w:t>otra</w:t>
      </w:r>
      <w:r>
        <w:rPr>
          <w:spacing w:val="-3"/>
        </w:rPr>
        <w:t xml:space="preserve"> </w:t>
      </w:r>
      <w:r>
        <w:t>las</w:t>
      </w:r>
      <w:r>
        <w:rPr>
          <w:spacing w:val="-3"/>
        </w:rPr>
        <w:t xml:space="preserve"> </w:t>
      </w:r>
      <w:r>
        <w:t>pretensiones</w:t>
      </w:r>
      <w:r>
        <w:rPr>
          <w:spacing w:val="-3"/>
        </w:rPr>
        <w:t xml:space="preserve"> </w:t>
      </w:r>
      <w:r>
        <w:t>de</w:t>
      </w:r>
      <w:r>
        <w:rPr>
          <w:spacing w:val="-2"/>
        </w:rPr>
        <w:t xml:space="preserve"> </w:t>
      </w:r>
      <w:r>
        <w:t>las</w:t>
      </w:r>
      <w:r>
        <w:rPr>
          <w:spacing w:val="-3"/>
        </w:rPr>
        <w:t xml:space="preserve"> </w:t>
      </w:r>
      <w:r>
        <w:t>FARC-EP</w:t>
      </w:r>
      <w:r>
        <w:rPr>
          <w:spacing w:val="-3"/>
        </w:rPr>
        <w:t xml:space="preserve"> </w:t>
      </w:r>
      <w:r>
        <w:t>de</w:t>
      </w:r>
      <w:r>
        <w:rPr>
          <w:spacing w:val="-2"/>
        </w:rPr>
        <w:t xml:space="preserve"> </w:t>
      </w:r>
      <w:r>
        <w:t xml:space="preserve">construir un orden </w:t>
      </w:r>
      <w:proofErr w:type="spellStart"/>
      <w:r>
        <w:t>contraestatal</w:t>
      </w:r>
      <w:proofErr w:type="spellEnd"/>
      <w:r>
        <w:t xml:space="preserve"> aprovechando las movilizaciones.</w:t>
      </w:r>
    </w:p>
    <w:p w:rsidR="0011361F" w:rsidRDefault="00AF18A5" w:rsidP="007C49C2">
      <w:r>
        <w:t>La discusión sobre estas marchas planteó el debate nacional del lugar del campesino cocalero en el conflicto armado. Por un lado, en medio de la polarización y el riesgo que tienen esos señalamientos, por algunos se concibió toda movilización campesina como un instrumento de las FARC-EP. Por otro lado, se ha negado la incidencia de las FARC-EP en dichas</w:t>
      </w:r>
      <w:r>
        <w:rPr>
          <w:spacing w:val="-3"/>
        </w:rPr>
        <w:t xml:space="preserve"> </w:t>
      </w:r>
      <w:r>
        <w:t>movilizaciones.</w:t>
      </w:r>
      <w:r>
        <w:rPr>
          <w:spacing w:val="-3"/>
        </w:rPr>
        <w:t xml:space="preserve"> </w:t>
      </w:r>
      <w:r>
        <w:t>En</w:t>
      </w:r>
      <w:r>
        <w:rPr>
          <w:spacing w:val="-3"/>
        </w:rPr>
        <w:t xml:space="preserve"> </w:t>
      </w:r>
      <w:r>
        <w:t>esos</w:t>
      </w:r>
      <w:r>
        <w:rPr>
          <w:spacing w:val="-3"/>
        </w:rPr>
        <w:t xml:space="preserve"> </w:t>
      </w:r>
      <w:r>
        <w:t>momentos</w:t>
      </w:r>
      <w:r>
        <w:rPr>
          <w:spacing w:val="-3"/>
        </w:rPr>
        <w:t xml:space="preserve"> </w:t>
      </w:r>
      <w:r>
        <w:t>surgieron</w:t>
      </w:r>
      <w:r>
        <w:rPr>
          <w:spacing w:val="-3"/>
        </w:rPr>
        <w:t xml:space="preserve"> </w:t>
      </w:r>
      <w:r>
        <w:t>voces</w:t>
      </w:r>
      <w:r>
        <w:rPr>
          <w:spacing w:val="-3"/>
        </w:rPr>
        <w:t xml:space="preserve"> </w:t>
      </w:r>
      <w:r>
        <w:t>que</w:t>
      </w:r>
      <w:r>
        <w:rPr>
          <w:spacing w:val="-3"/>
        </w:rPr>
        <w:t xml:space="preserve"> </w:t>
      </w:r>
      <w:r>
        <w:t>mostraron</w:t>
      </w:r>
      <w:r>
        <w:rPr>
          <w:spacing w:val="-3"/>
        </w:rPr>
        <w:t xml:space="preserve"> </w:t>
      </w:r>
      <w:r>
        <w:t>la</w:t>
      </w:r>
      <w:r>
        <w:rPr>
          <w:spacing w:val="-3"/>
        </w:rPr>
        <w:t xml:space="preserve"> </w:t>
      </w:r>
      <w:r>
        <w:t>complejidad</w:t>
      </w:r>
      <w:r>
        <w:rPr>
          <w:spacing w:val="-3"/>
        </w:rPr>
        <w:t xml:space="preserve"> </w:t>
      </w:r>
      <w:r>
        <w:t>de la situación, como la de Alfredo Molano, quien en un debate que se realizó en el Congreso de la República a propósito de las marchas en 1996 manifestó:</w:t>
      </w:r>
    </w:p>
    <w:p w:rsidR="003804AC" w:rsidRDefault="00AF18A5" w:rsidP="007C49C2">
      <w:r>
        <w:lastRenderedPageBreak/>
        <w:t>La gente tiene una vieja relación con la guerrilla, la guerrilla fue una institución de orden, es una institución de autoridad, que se beneficia naturalmente del cultivo de la coca, todos sabemos que la</w:t>
      </w:r>
      <w:r>
        <w:rPr>
          <w:spacing w:val="-11"/>
        </w:rPr>
        <w:t xml:space="preserve"> </w:t>
      </w:r>
      <w:r>
        <w:t>guerrilla</w:t>
      </w:r>
      <w:r>
        <w:rPr>
          <w:spacing w:val="-12"/>
        </w:rPr>
        <w:t xml:space="preserve"> </w:t>
      </w:r>
      <w:r>
        <w:t>cobra</w:t>
      </w:r>
      <w:r>
        <w:rPr>
          <w:spacing w:val="-11"/>
        </w:rPr>
        <w:t xml:space="preserve"> </w:t>
      </w:r>
      <w:r>
        <w:t>un</w:t>
      </w:r>
      <w:r>
        <w:rPr>
          <w:spacing w:val="-12"/>
        </w:rPr>
        <w:t xml:space="preserve"> </w:t>
      </w:r>
      <w:r>
        <w:t>gramaje</w:t>
      </w:r>
      <w:r>
        <w:rPr>
          <w:spacing w:val="-11"/>
        </w:rPr>
        <w:t xml:space="preserve"> </w:t>
      </w:r>
      <w:r>
        <w:t>a</w:t>
      </w:r>
      <w:r>
        <w:rPr>
          <w:spacing w:val="-12"/>
        </w:rPr>
        <w:t xml:space="preserve"> </w:t>
      </w:r>
      <w:r>
        <w:t>los</w:t>
      </w:r>
      <w:r>
        <w:rPr>
          <w:spacing w:val="-11"/>
        </w:rPr>
        <w:t xml:space="preserve"> </w:t>
      </w:r>
      <w:r>
        <w:t>comerciantes</w:t>
      </w:r>
      <w:r>
        <w:rPr>
          <w:spacing w:val="-12"/>
        </w:rPr>
        <w:t xml:space="preserve"> </w:t>
      </w:r>
      <w:r>
        <w:t>de</w:t>
      </w:r>
      <w:r>
        <w:rPr>
          <w:spacing w:val="-11"/>
        </w:rPr>
        <w:t xml:space="preserve"> </w:t>
      </w:r>
      <w:r>
        <w:t>coca</w:t>
      </w:r>
      <w:r>
        <w:rPr>
          <w:spacing w:val="-12"/>
        </w:rPr>
        <w:t xml:space="preserve"> </w:t>
      </w:r>
      <w:r>
        <w:t>y</w:t>
      </w:r>
      <w:r>
        <w:rPr>
          <w:spacing w:val="-11"/>
        </w:rPr>
        <w:t xml:space="preserve"> </w:t>
      </w:r>
      <w:r>
        <w:t>los</w:t>
      </w:r>
      <w:r>
        <w:rPr>
          <w:spacing w:val="-11"/>
        </w:rPr>
        <w:t xml:space="preserve"> </w:t>
      </w:r>
      <w:r>
        <w:t>campesinos</w:t>
      </w:r>
      <w:r>
        <w:rPr>
          <w:spacing w:val="-12"/>
        </w:rPr>
        <w:t xml:space="preserve"> </w:t>
      </w:r>
      <w:r>
        <w:t>cuando</w:t>
      </w:r>
      <w:r>
        <w:rPr>
          <w:spacing w:val="-12"/>
        </w:rPr>
        <w:t xml:space="preserve"> </w:t>
      </w:r>
      <w:r>
        <w:t>los</w:t>
      </w:r>
      <w:r>
        <w:rPr>
          <w:spacing w:val="-11"/>
        </w:rPr>
        <w:t xml:space="preserve"> </w:t>
      </w:r>
      <w:r>
        <w:t>precios</w:t>
      </w:r>
      <w:r>
        <w:rPr>
          <w:spacing w:val="-12"/>
        </w:rPr>
        <w:t xml:space="preserve"> </w:t>
      </w:r>
      <w:r>
        <w:t>están altos.</w:t>
      </w:r>
      <w:r>
        <w:rPr>
          <w:spacing w:val="-4"/>
        </w:rPr>
        <w:t xml:space="preserve"> </w:t>
      </w:r>
      <w:r>
        <w:t>La</w:t>
      </w:r>
      <w:r>
        <w:rPr>
          <w:spacing w:val="-5"/>
        </w:rPr>
        <w:t xml:space="preserve"> </w:t>
      </w:r>
      <w:r>
        <w:t>guerrilla</w:t>
      </w:r>
      <w:r>
        <w:rPr>
          <w:spacing w:val="-5"/>
        </w:rPr>
        <w:t xml:space="preserve"> </w:t>
      </w:r>
      <w:r>
        <w:t>tiene</w:t>
      </w:r>
      <w:r>
        <w:rPr>
          <w:spacing w:val="-5"/>
        </w:rPr>
        <w:t xml:space="preserve"> </w:t>
      </w:r>
      <w:r>
        <w:t>intereses</w:t>
      </w:r>
      <w:r>
        <w:rPr>
          <w:spacing w:val="-5"/>
        </w:rPr>
        <w:t xml:space="preserve"> </w:t>
      </w:r>
      <w:r>
        <w:t>políticos</w:t>
      </w:r>
      <w:r>
        <w:rPr>
          <w:spacing w:val="-5"/>
        </w:rPr>
        <w:t xml:space="preserve"> </w:t>
      </w:r>
      <w:r>
        <w:t>en</w:t>
      </w:r>
      <w:r>
        <w:rPr>
          <w:spacing w:val="-4"/>
        </w:rPr>
        <w:t xml:space="preserve"> </w:t>
      </w:r>
      <w:r>
        <w:t>la</w:t>
      </w:r>
      <w:r>
        <w:rPr>
          <w:spacing w:val="-5"/>
        </w:rPr>
        <w:t xml:space="preserve"> </w:t>
      </w:r>
      <w:r>
        <w:t>movilización,</w:t>
      </w:r>
      <w:r>
        <w:rPr>
          <w:spacing w:val="-4"/>
        </w:rPr>
        <w:t xml:space="preserve"> </w:t>
      </w:r>
      <w:r>
        <w:t>pero</w:t>
      </w:r>
      <w:r>
        <w:rPr>
          <w:spacing w:val="-5"/>
        </w:rPr>
        <w:t xml:space="preserve"> </w:t>
      </w:r>
      <w:r>
        <w:t>me</w:t>
      </w:r>
      <w:r>
        <w:rPr>
          <w:spacing w:val="-5"/>
        </w:rPr>
        <w:t xml:space="preserve"> </w:t>
      </w:r>
      <w:r>
        <w:t>niego</w:t>
      </w:r>
      <w:r>
        <w:rPr>
          <w:spacing w:val="-4"/>
        </w:rPr>
        <w:t xml:space="preserve"> </w:t>
      </w:r>
      <w:r>
        <w:t>a</w:t>
      </w:r>
      <w:r>
        <w:rPr>
          <w:spacing w:val="-5"/>
        </w:rPr>
        <w:t xml:space="preserve"> </w:t>
      </w:r>
      <w:r>
        <w:t>pensar,</w:t>
      </w:r>
      <w:r>
        <w:rPr>
          <w:spacing w:val="-4"/>
        </w:rPr>
        <w:t xml:space="preserve"> </w:t>
      </w:r>
      <w:r>
        <w:t>me</w:t>
      </w:r>
      <w:r>
        <w:rPr>
          <w:spacing w:val="-5"/>
        </w:rPr>
        <w:t xml:space="preserve"> </w:t>
      </w:r>
      <w:r>
        <w:t>niego</w:t>
      </w:r>
      <w:r>
        <w:rPr>
          <w:spacing w:val="-5"/>
        </w:rPr>
        <w:t xml:space="preserve"> </w:t>
      </w:r>
      <w:r>
        <w:t>a creer que viendo los campesinos y los colonos que están siendo atacados en sus intereses legales o ilegales, no importa, pero son sus intereses, necesitan un organizador de ese movimiento; ese movimiento en realidad responde a aspiraciones legítimas no importa si son legales o ilegales en este</w:t>
      </w:r>
      <w:r>
        <w:rPr>
          <w:spacing w:val="20"/>
        </w:rPr>
        <w:t xml:space="preserve"> </w:t>
      </w:r>
      <w:r>
        <w:t>momento,</w:t>
      </w:r>
      <w:r>
        <w:rPr>
          <w:spacing w:val="20"/>
        </w:rPr>
        <w:t xml:space="preserve"> </w:t>
      </w:r>
      <w:r>
        <w:t>pero</w:t>
      </w:r>
      <w:r>
        <w:rPr>
          <w:spacing w:val="20"/>
        </w:rPr>
        <w:t xml:space="preserve"> </w:t>
      </w:r>
      <w:r>
        <w:t>son</w:t>
      </w:r>
      <w:r>
        <w:rPr>
          <w:spacing w:val="20"/>
        </w:rPr>
        <w:t xml:space="preserve"> </w:t>
      </w:r>
      <w:r>
        <w:t>aspiraciones</w:t>
      </w:r>
      <w:r>
        <w:rPr>
          <w:spacing w:val="19"/>
        </w:rPr>
        <w:t xml:space="preserve"> </w:t>
      </w:r>
      <w:r>
        <w:t>e</w:t>
      </w:r>
      <w:r>
        <w:rPr>
          <w:spacing w:val="20"/>
        </w:rPr>
        <w:t xml:space="preserve"> </w:t>
      </w:r>
      <w:r>
        <w:t>intereses</w:t>
      </w:r>
      <w:r>
        <w:rPr>
          <w:spacing w:val="19"/>
        </w:rPr>
        <w:t xml:space="preserve"> </w:t>
      </w:r>
      <w:r>
        <w:t>legítimos</w:t>
      </w:r>
      <w:r>
        <w:rPr>
          <w:spacing w:val="19"/>
        </w:rPr>
        <w:t xml:space="preserve"> </w:t>
      </w:r>
      <w:r>
        <w:t>de</w:t>
      </w:r>
      <w:r>
        <w:rPr>
          <w:spacing w:val="19"/>
        </w:rPr>
        <w:t xml:space="preserve"> </w:t>
      </w:r>
      <w:r>
        <w:t>la</w:t>
      </w:r>
      <w:r>
        <w:rPr>
          <w:spacing w:val="21"/>
        </w:rPr>
        <w:t xml:space="preserve"> </w:t>
      </w:r>
      <w:r>
        <w:t>gente.</w:t>
      </w:r>
      <w:r>
        <w:rPr>
          <w:spacing w:val="20"/>
        </w:rPr>
        <w:t xml:space="preserve"> </w:t>
      </w:r>
      <w:r>
        <w:t>La</w:t>
      </w:r>
      <w:r>
        <w:rPr>
          <w:spacing w:val="19"/>
        </w:rPr>
        <w:t xml:space="preserve"> </w:t>
      </w:r>
      <w:r>
        <w:t>guerrilla</w:t>
      </w:r>
      <w:r>
        <w:rPr>
          <w:spacing w:val="19"/>
        </w:rPr>
        <w:t xml:space="preserve"> </w:t>
      </w:r>
      <w:r>
        <w:t>está</w:t>
      </w:r>
      <w:r>
        <w:rPr>
          <w:spacing w:val="20"/>
        </w:rPr>
        <w:t xml:space="preserve"> </w:t>
      </w:r>
      <w:r>
        <w:t>ahí,</w:t>
      </w:r>
      <w:r>
        <w:rPr>
          <w:spacing w:val="20"/>
        </w:rPr>
        <w:t xml:space="preserve"> </w:t>
      </w:r>
      <w:r>
        <w:t>la</w:t>
      </w:r>
      <w:r w:rsidR="007C49C2">
        <w:t xml:space="preserve"> </w:t>
      </w:r>
      <w:r>
        <w:t>guerrilla apoya, pero la guerrilla no se puede oponer tampoco […] Si la gente sale a las manifestaciones</w:t>
      </w:r>
      <w:r>
        <w:rPr>
          <w:spacing w:val="-1"/>
        </w:rPr>
        <w:t xml:space="preserve"> </w:t>
      </w:r>
      <w:r>
        <w:t>es</w:t>
      </w:r>
      <w:r>
        <w:rPr>
          <w:spacing w:val="-1"/>
        </w:rPr>
        <w:t xml:space="preserve"> </w:t>
      </w:r>
      <w:r>
        <w:t>incapaz</w:t>
      </w:r>
      <w:r>
        <w:rPr>
          <w:spacing w:val="-1"/>
        </w:rPr>
        <w:t xml:space="preserve"> </w:t>
      </w:r>
      <w:r>
        <w:t>de</w:t>
      </w:r>
      <w:r>
        <w:rPr>
          <w:spacing w:val="-1"/>
        </w:rPr>
        <w:t xml:space="preserve"> </w:t>
      </w:r>
      <w:r>
        <w:t>oponerse, como</w:t>
      </w:r>
      <w:r>
        <w:rPr>
          <w:spacing w:val="-1"/>
        </w:rPr>
        <w:t xml:space="preserve"> </w:t>
      </w:r>
      <w:r>
        <w:t>fue</w:t>
      </w:r>
      <w:r>
        <w:rPr>
          <w:spacing w:val="-1"/>
        </w:rPr>
        <w:t xml:space="preserve"> </w:t>
      </w:r>
      <w:r>
        <w:t>incapaz</w:t>
      </w:r>
      <w:r>
        <w:rPr>
          <w:spacing w:val="-1"/>
        </w:rPr>
        <w:t xml:space="preserve"> </w:t>
      </w:r>
      <w:r>
        <w:t>de</w:t>
      </w:r>
      <w:r>
        <w:rPr>
          <w:spacing w:val="-1"/>
        </w:rPr>
        <w:t xml:space="preserve"> </w:t>
      </w:r>
      <w:r>
        <w:t>imponerse</w:t>
      </w:r>
      <w:r>
        <w:rPr>
          <w:spacing w:val="-1"/>
        </w:rPr>
        <w:t xml:space="preserve"> </w:t>
      </w:r>
      <w:r>
        <w:t>al cultivo de</w:t>
      </w:r>
      <w:r>
        <w:rPr>
          <w:spacing w:val="-1"/>
        </w:rPr>
        <w:t xml:space="preserve"> </w:t>
      </w:r>
      <w:r>
        <w:t>la</w:t>
      </w:r>
      <w:r>
        <w:rPr>
          <w:spacing w:val="-1"/>
        </w:rPr>
        <w:t xml:space="preserve"> </w:t>
      </w:r>
      <w:r>
        <w:t>Coca</w:t>
      </w:r>
      <w:r w:rsidR="007C49C2">
        <w:rPr>
          <w:rStyle w:val="Refdenotaalpie"/>
        </w:rPr>
        <w:footnoteReference w:id="268"/>
      </w:r>
      <w:r>
        <w:t>.</w:t>
      </w:r>
    </w:p>
    <w:p w:rsidR="003804AC" w:rsidRDefault="00AF18A5" w:rsidP="007C49C2">
      <w:r>
        <w:t>La</w:t>
      </w:r>
      <w:r>
        <w:rPr>
          <w:spacing w:val="-15"/>
        </w:rPr>
        <w:t xml:space="preserve"> </w:t>
      </w:r>
      <w:r>
        <w:t>Comisión</w:t>
      </w:r>
      <w:r>
        <w:rPr>
          <w:spacing w:val="-15"/>
        </w:rPr>
        <w:t xml:space="preserve"> </w:t>
      </w:r>
      <w:r>
        <w:t>de</w:t>
      </w:r>
      <w:r>
        <w:rPr>
          <w:spacing w:val="-15"/>
        </w:rPr>
        <w:t xml:space="preserve"> </w:t>
      </w:r>
      <w:r>
        <w:t>Verdad</w:t>
      </w:r>
      <w:r>
        <w:rPr>
          <w:spacing w:val="-15"/>
        </w:rPr>
        <w:t xml:space="preserve"> </w:t>
      </w:r>
      <w:r>
        <w:t>enfatiza</w:t>
      </w:r>
      <w:r>
        <w:rPr>
          <w:spacing w:val="-15"/>
        </w:rPr>
        <w:t xml:space="preserve"> </w:t>
      </w:r>
      <w:r>
        <w:t>que,</w:t>
      </w:r>
      <w:r>
        <w:rPr>
          <w:spacing w:val="-15"/>
        </w:rPr>
        <w:t xml:space="preserve"> </w:t>
      </w:r>
      <w:r>
        <w:t>más</w:t>
      </w:r>
      <w:r>
        <w:rPr>
          <w:spacing w:val="-15"/>
        </w:rPr>
        <w:t xml:space="preserve"> </w:t>
      </w:r>
      <w:r>
        <w:t>que</w:t>
      </w:r>
      <w:r>
        <w:rPr>
          <w:spacing w:val="-14"/>
        </w:rPr>
        <w:t xml:space="preserve"> </w:t>
      </w:r>
      <w:r>
        <w:t>la</w:t>
      </w:r>
      <w:r>
        <w:rPr>
          <w:spacing w:val="-15"/>
        </w:rPr>
        <w:t xml:space="preserve"> </w:t>
      </w:r>
      <w:r>
        <w:t>discusión</w:t>
      </w:r>
      <w:r>
        <w:rPr>
          <w:spacing w:val="-15"/>
        </w:rPr>
        <w:t xml:space="preserve"> </w:t>
      </w:r>
      <w:r>
        <w:t>sobre</w:t>
      </w:r>
      <w:r>
        <w:rPr>
          <w:spacing w:val="-14"/>
        </w:rPr>
        <w:t xml:space="preserve"> </w:t>
      </w:r>
      <w:r>
        <w:t>la</w:t>
      </w:r>
      <w:r>
        <w:rPr>
          <w:spacing w:val="-15"/>
        </w:rPr>
        <w:t xml:space="preserve"> </w:t>
      </w:r>
      <w:r>
        <w:t>infiltración</w:t>
      </w:r>
      <w:r>
        <w:rPr>
          <w:spacing w:val="-14"/>
        </w:rPr>
        <w:t xml:space="preserve"> </w:t>
      </w:r>
      <w:r>
        <w:t>de</w:t>
      </w:r>
      <w:r>
        <w:rPr>
          <w:spacing w:val="-15"/>
        </w:rPr>
        <w:t xml:space="preserve"> </w:t>
      </w:r>
      <w:r>
        <w:t>las</w:t>
      </w:r>
      <w:r>
        <w:rPr>
          <w:spacing w:val="-15"/>
        </w:rPr>
        <w:t xml:space="preserve"> </w:t>
      </w:r>
      <w:r>
        <w:t>FARC- EP</w:t>
      </w:r>
      <w:r>
        <w:rPr>
          <w:spacing w:val="-15"/>
        </w:rPr>
        <w:t xml:space="preserve"> </w:t>
      </w:r>
      <w:r>
        <w:t>en</w:t>
      </w:r>
      <w:r>
        <w:rPr>
          <w:spacing w:val="-14"/>
        </w:rPr>
        <w:t xml:space="preserve"> </w:t>
      </w:r>
      <w:r>
        <w:t>las</w:t>
      </w:r>
      <w:r>
        <w:rPr>
          <w:spacing w:val="-14"/>
        </w:rPr>
        <w:t xml:space="preserve"> </w:t>
      </w:r>
      <w:r>
        <w:t>marchas</w:t>
      </w:r>
      <w:r>
        <w:rPr>
          <w:spacing w:val="-14"/>
        </w:rPr>
        <w:t xml:space="preserve"> </w:t>
      </w:r>
      <w:r>
        <w:t>cocaleras</w:t>
      </w:r>
      <w:r>
        <w:rPr>
          <w:spacing w:val="-14"/>
        </w:rPr>
        <w:t xml:space="preserve"> </w:t>
      </w:r>
      <w:r>
        <w:t>de</w:t>
      </w:r>
      <w:r>
        <w:rPr>
          <w:spacing w:val="-14"/>
        </w:rPr>
        <w:t xml:space="preserve"> </w:t>
      </w:r>
      <w:r>
        <w:t>1996,</w:t>
      </w:r>
      <w:r>
        <w:rPr>
          <w:spacing w:val="-14"/>
        </w:rPr>
        <w:t xml:space="preserve"> </w:t>
      </w:r>
      <w:r>
        <w:t>se</w:t>
      </w:r>
      <w:r>
        <w:rPr>
          <w:spacing w:val="-14"/>
        </w:rPr>
        <w:t xml:space="preserve"> </w:t>
      </w:r>
      <w:r>
        <w:t>trató</w:t>
      </w:r>
      <w:r>
        <w:rPr>
          <w:spacing w:val="-14"/>
        </w:rPr>
        <w:t xml:space="preserve"> </w:t>
      </w:r>
      <w:r>
        <w:t>más</w:t>
      </w:r>
      <w:r>
        <w:rPr>
          <w:spacing w:val="-15"/>
        </w:rPr>
        <w:t xml:space="preserve"> </w:t>
      </w:r>
      <w:r>
        <w:t>bien</w:t>
      </w:r>
      <w:r>
        <w:rPr>
          <w:spacing w:val="-14"/>
        </w:rPr>
        <w:t xml:space="preserve"> </w:t>
      </w:r>
      <w:r>
        <w:t>de</w:t>
      </w:r>
      <w:r>
        <w:rPr>
          <w:spacing w:val="-14"/>
        </w:rPr>
        <w:t xml:space="preserve"> </w:t>
      </w:r>
      <w:r>
        <w:t>la</w:t>
      </w:r>
      <w:r>
        <w:rPr>
          <w:spacing w:val="-14"/>
        </w:rPr>
        <w:t xml:space="preserve"> </w:t>
      </w:r>
      <w:r>
        <w:t>emergencia</w:t>
      </w:r>
      <w:r>
        <w:rPr>
          <w:spacing w:val="-14"/>
        </w:rPr>
        <w:t xml:space="preserve"> </w:t>
      </w:r>
      <w:r>
        <w:t>de</w:t>
      </w:r>
      <w:r>
        <w:rPr>
          <w:spacing w:val="-14"/>
        </w:rPr>
        <w:t xml:space="preserve"> </w:t>
      </w:r>
      <w:r>
        <w:t>un</w:t>
      </w:r>
      <w:r>
        <w:rPr>
          <w:spacing w:val="-14"/>
        </w:rPr>
        <w:t xml:space="preserve"> </w:t>
      </w:r>
      <w:r>
        <w:t>sujeto</w:t>
      </w:r>
      <w:r>
        <w:rPr>
          <w:spacing w:val="-14"/>
        </w:rPr>
        <w:t xml:space="preserve"> </w:t>
      </w:r>
      <w:r>
        <w:t>político representado</w:t>
      </w:r>
      <w:r>
        <w:rPr>
          <w:spacing w:val="-13"/>
        </w:rPr>
        <w:t xml:space="preserve"> </w:t>
      </w:r>
      <w:r>
        <w:t>por</w:t>
      </w:r>
      <w:r>
        <w:rPr>
          <w:spacing w:val="-12"/>
        </w:rPr>
        <w:t xml:space="preserve"> </w:t>
      </w:r>
      <w:r>
        <w:t>los</w:t>
      </w:r>
      <w:r>
        <w:rPr>
          <w:spacing w:val="-11"/>
        </w:rPr>
        <w:t xml:space="preserve"> </w:t>
      </w:r>
      <w:r>
        <w:t>colonos</w:t>
      </w:r>
      <w:r>
        <w:rPr>
          <w:spacing w:val="-11"/>
        </w:rPr>
        <w:t xml:space="preserve"> </w:t>
      </w:r>
      <w:r>
        <w:t>cocaleros</w:t>
      </w:r>
      <w:r>
        <w:rPr>
          <w:spacing w:val="-11"/>
        </w:rPr>
        <w:t xml:space="preserve"> </w:t>
      </w:r>
      <w:r>
        <w:t>que</w:t>
      </w:r>
      <w:r>
        <w:rPr>
          <w:spacing w:val="-11"/>
        </w:rPr>
        <w:t xml:space="preserve"> </w:t>
      </w:r>
      <w:r>
        <w:t>demandaban</w:t>
      </w:r>
      <w:r>
        <w:rPr>
          <w:spacing w:val="-12"/>
        </w:rPr>
        <w:t xml:space="preserve"> </w:t>
      </w:r>
      <w:r>
        <w:t>un</w:t>
      </w:r>
      <w:r>
        <w:rPr>
          <w:spacing w:val="-13"/>
        </w:rPr>
        <w:t xml:space="preserve"> </w:t>
      </w:r>
      <w:r>
        <w:t>tratamiento</w:t>
      </w:r>
      <w:r>
        <w:rPr>
          <w:spacing w:val="-13"/>
        </w:rPr>
        <w:t xml:space="preserve"> </w:t>
      </w:r>
      <w:r>
        <w:t>diferente</w:t>
      </w:r>
      <w:r>
        <w:rPr>
          <w:spacing w:val="-11"/>
        </w:rPr>
        <w:t xml:space="preserve"> </w:t>
      </w:r>
      <w:r>
        <w:t>al</w:t>
      </w:r>
      <w:r>
        <w:rPr>
          <w:spacing w:val="-11"/>
        </w:rPr>
        <w:t xml:space="preserve"> </w:t>
      </w:r>
      <w:r>
        <w:t>punitivo que el Estado le ha dado al problema de los cultivos de uso ilícito, situación de estigmatización y represión que aún persiste, como lo evidencian los siguientes casos: la masacre</w:t>
      </w:r>
      <w:r>
        <w:rPr>
          <w:spacing w:val="-2"/>
        </w:rPr>
        <w:t xml:space="preserve"> </w:t>
      </w:r>
      <w:r>
        <w:t>de</w:t>
      </w:r>
      <w:r>
        <w:rPr>
          <w:spacing w:val="-2"/>
        </w:rPr>
        <w:t xml:space="preserve"> </w:t>
      </w:r>
      <w:r>
        <w:t>siete</w:t>
      </w:r>
      <w:r>
        <w:rPr>
          <w:spacing w:val="-2"/>
        </w:rPr>
        <w:t xml:space="preserve"> </w:t>
      </w:r>
      <w:r>
        <w:t>campesinos</w:t>
      </w:r>
      <w:r>
        <w:rPr>
          <w:spacing w:val="-2"/>
        </w:rPr>
        <w:t xml:space="preserve"> </w:t>
      </w:r>
      <w:r>
        <w:t>cocaleros</w:t>
      </w:r>
      <w:r>
        <w:rPr>
          <w:spacing w:val="-2"/>
        </w:rPr>
        <w:t xml:space="preserve"> </w:t>
      </w:r>
      <w:r>
        <w:t>a</w:t>
      </w:r>
      <w:r>
        <w:rPr>
          <w:spacing w:val="-2"/>
        </w:rPr>
        <w:t xml:space="preserve"> </w:t>
      </w:r>
      <w:r>
        <w:t>manos</w:t>
      </w:r>
      <w:r>
        <w:rPr>
          <w:spacing w:val="-2"/>
        </w:rPr>
        <w:t xml:space="preserve"> </w:t>
      </w:r>
      <w:r>
        <w:t>de</w:t>
      </w:r>
      <w:r>
        <w:rPr>
          <w:spacing w:val="-2"/>
        </w:rPr>
        <w:t xml:space="preserve"> </w:t>
      </w:r>
      <w:r>
        <w:t>miembros</w:t>
      </w:r>
      <w:r>
        <w:rPr>
          <w:spacing w:val="-4"/>
        </w:rPr>
        <w:t xml:space="preserve"> </w:t>
      </w:r>
      <w:r>
        <w:t>de</w:t>
      </w:r>
      <w:r>
        <w:rPr>
          <w:spacing w:val="-2"/>
        </w:rPr>
        <w:t xml:space="preserve"> </w:t>
      </w:r>
      <w:r>
        <w:t>la</w:t>
      </w:r>
      <w:r>
        <w:rPr>
          <w:spacing w:val="-2"/>
        </w:rPr>
        <w:t xml:space="preserve"> </w:t>
      </w:r>
      <w:r>
        <w:t>fuerza</w:t>
      </w:r>
      <w:r>
        <w:rPr>
          <w:spacing w:val="-3"/>
        </w:rPr>
        <w:t xml:space="preserve"> </w:t>
      </w:r>
      <w:r>
        <w:t>pública</w:t>
      </w:r>
      <w:r>
        <w:rPr>
          <w:spacing w:val="-2"/>
        </w:rPr>
        <w:t xml:space="preserve"> </w:t>
      </w:r>
      <w:r>
        <w:t>en</w:t>
      </w:r>
      <w:r>
        <w:rPr>
          <w:spacing w:val="-4"/>
        </w:rPr>
        <w:t xml:space="preserve"> </w:t>
      </w:r>
      <w:r>
        <w:t xml:space="preserve">medio de una protesta contra las acciones de erradicación forzada en El Tandil, Tumaco, en el departamento de Nariño, el 5 de octubre de 2017; los enfrentamientos entre fuerza pública y campesinos cocaleros en el Guaviare y Catatumbo en los años 2021 y 2022; así como la reciente </w:t>
      </w:r>
      <w:r>
        <w:lastRenderedPageBreak/>
        <w:t>masacre de once personas, entre campesinos e indígenas cocaleros, realizada por las</w:t>
      </w:r>
      <w:r>
        <w:rPr>
          <w:spacing w:val="-15"/>
        </w:rPr>
        <w:t xml:space="preserve"> </w:t>
      </w:r>
      <w:r>
        <w:t>Fuerzas</w:t>
      </w:r>
      <w:r>
        <w:rPr>
          <w:spacing w:val="-15"/>
        </w:rPr>
        <w:t xml:space="preserve"> </w:t>
      </w:r>
      <w:r>
        <w:t>Militares</w:t>
      </w:r>
      <w:r>
        <w:rPr>
          <w:spacing w:val="-15"/>
        </w:rPr>
        <w:t xml:space="preserve"> </w:t>
      </w:r>
      <w:r>
        <w:t>en</w:t>
      </w:r>
      <w:r>
        <w:rPr>
          <w:spacing w:val="-15"/>
        </w:rPr>
        <w:t xml:space="preserve"> </w:t>
      </w:r>
      <w:r>
        <w:t>medio</w:t>
      </w:r>
      <w:r>
        <w:rPr>
          <w:spacing w:val="-15"/>
        </w:rPr>
        <w:t xml:space="preserve"> </w:t>
      </w:r>
      <w:r>
        <w:t>de</w:t>
      </w:r>
      <w:r>
        <w:rPr>
          <w:spacing w:val="-15"/>
        </w:rPr>
        <w:t xml:space="preserve"> </w:t>
      </w:r>
      <w:r>
        <w:t>un</w:t>
      </w:r>
      <w:r>
        <w:rPr>
          <w:spacing w:val="-15"/>
        </w:rPr>
        <w:t xml:space="preserve"> </w:t>
      </w:r>
      <w:r>
        <w:t>bazar</w:t>
      </w:r>
      <w:r>
        <w:rPr>
          <w:spacing w:val="-15"/>
        </w:rPr>
        <w:t xml:space="preserve"> </w:t>
      </w:r>
      <w:r>
        <w:t>comunitario</w:t>
      </w:r>
      <w:r>
        <w:rPr>
          <w:spacing w:val="-15"/>
        </w:rPr>
        <w:t xml:space="preserve"> </w:t>
      </w:r>
      <w:r>
        <w:t>en</w:t>
      </w:r>
      <w:r>
        <w:rPr>
          <w:spacing w:val="-15"/>
        </w:rPr>
        <w:t xml:space="preserve"> </w:t>
      </w:r>
      <w:r>
        <w:t>la</w:t>
      </w:r>
      <w:r>
        <w:rPr>
          <w:spacing w:val="-15"/>
        </w:rPr>
        <w:t xml:space="preserve"> </w:t>
      </w:r>
      <w:r>
        <w:t>vereda</w:t>
      </w:r>
      <w:r>
        <w:rPr>
          <w:spacing w:val="-15"/>
        </w:rPr>
        <w:t xml:space="preserve"> </w:t>
      </w:r>
      <w:r>
        <w:t>Alto</w:t>
      </w:r>
      <w:r>
        <w:rPr>
          <w:spacing w:val="-15"/>
        </w:rPr>
        <w:t xml:space="preserve"> </w:t>
      </w:r>
      <w:r>
        <w:t>Remanso</w:t>
      </w:r>
      <w:r>
        <w:rPr>
          <w:spacing w:val="-15"/>
        </w:rPr>
        <w:t xml:space="preserve"> </w:t>
      </w:r>
      <w:r>
        <w:t>de</w:t>
      </w:r>
      <w:r>
        <w:rPr>
          <w:spacing w:val="-15"/>
        </w:rPr>
        <w:t xml:space="preserve"> </w:t>
      </w:r>
      <w:r>
        <w:t xml:space="preserve">Puerto </w:t>
      </w:r>
      <w:proofErr w:type="spellStart"/>
      <w:r>
        <w:t>Leguízamo</w:t>
      </w:r>
      <w:proofErr w:type="spellEnd"/>
      <w:r>
        <w:t>,</w:t>
      </w:r>
      <w:r>
        <w:rPr>
          <w:spacing w:val="-11"/>
        </w:rPr>
        <w:t xml:space="preserve"> </w:t>
      </w:r>
      <w:r>
        <w:t>Putumayo,</w:t>
      </w:r>
      <w:r>
        <w:rPr>
          <w:spacing w:val="-9"/>
        </w:rPr>
        <w:t xml:space="preserve"> </w:t>
      </w:r>
      <w:r>
        <w:t>en</w:t>
      </w:r>
      <w:r>
        <w:rPr>
          <w:spacing w:val="-9"/>
        </w:rPr>
        <w:t xml:space="preserve"> </w:t>
      </w:r>
      <w:r>
        <w:t>abril</w:t>
      </w:r>
      <w:r>
        <w:rPr>
          <w:spacing w:val="-9"/>
        </w:rPr>
        <w:t xml:space="preserve"> </w:t>
      </w:r>
      <w:r>
        <w:t>de</w:t>
      </w:r>
      <w:r>
        <w:rPr>
          <w:spacing w:val="-9"/>
        </w:rPr>
        <w:t xml:space="preserve"> </w:t>
      </w:r>
      <w:r>
        <w:t>2022,</w:t>
      </w:r>
      <w:r>
        <w:rPr>
          <w:spacing w:val="-9"/>
        </w:rPr>
        <w:t xml:space="preserve"> </w:t>
      </w:r>
      <w:r>
        <w:t>sobre</w:t>
      </w:r>
      <w:r>
        <w:rPr>
          <w:spacing w:val="-9"/>
        </w:rPr>
        <w:t xml:space="preserve"> </w:t>
      </w:r>
      <w:r>
        <w:t>la</w:t>
      </w:r>
      <w:r>
        <w:rPr>
          <w:spacing w:val="-10"/>
        </w:rPr>
        <w:t xml:space="preserve"> </w:t>
      </w:r>
      <w:r>
        <w:t>que</w:t>
      </w:r>
      <w:r>
        <w:rPr>
          <w:spacing w:val="-9"/>
        </w:rPr>
        <w:t xml:space="preserve"> </w:t>
      </w:r>
      <w:r>
        <w:t>las</w:t>
      </w:r>
      <w:r>
        <w:rPr>
          <w:spacing w:val="-9"/>
        </w:rPr>
        <w:t xml:space="preserve"> </w:t>
      </w:r>
      <w:r>
        <w:t>autoridades</w:t>
      </w:r>
      <w:r>
        <w:rPr>
          <w:spacing w:val="-9"/>
        </w:rPr>
        <w:t xml:space="preserve"> </w:t>
      </w:r>
      <w:r>
        <w:t>señalaron</w:t>
      </w:r>
      <w:r>
        <w:rPr>
          <w:spacing w:val="-9"/>
        </w:rPr>
        <w:t xml:space="preserve"> </w:t>
      </w:r>
      <w:r>
        <w:t>inicialmente que se trató de un enfrentamiento armado contra disidencias de las FARC-EP.</w:t>
      </w:r>
    </w:p>
    <w:p w:rsidR="003804AC" w:rsidRDefault="00AF18A5" w:rsidP="004A6EF4">
      <w:pPr>
        <w:pStyle w:val="Ttulo4"/>
        <w:numPr>
          <w:ilvl w:val="2"/>
          <w:numId w:val="16"/>
        </w:numPr>
      </w:pPr>
      <w:bookmarkStart w:id="398" w:name="4.5.1._Izquierda_política_y_guerrillas:_"/>
      <w:bookmarkEnd w:id="398"/>
      <w:r>
        <w:t>Izquierda política y guerrillas: más allá de la llamada combinación de todas las formas de lucha</w:t>
      </w:r>
    </w:p>
    <w:p w:rsidR="003804AC" w:rsidRDefault="00AF18A5" w:rsidP="00CE2890">
      <w:r>
        <w:t>En</w:t>
      </w:r>
      <w:r>
        <w:rPr>
          <w:spacing w:val="-5"/>
        </w:rPr>
        <w:t xml:space="preserve"> </w:t>
      </w:r>
      <w:r>
        <w:t>su</w:t>
      </w:r>
      <w:r>
        <w:rPr>
          <w:spacing w:val="-5"/>
        </w:rPr>
        <w:t xml:space="preserve"> </w:t>
      </w:r>
      <w:r>
        <w:t>gobierno,</w:t>
      </w:r>
      <w:r>
        <w:rPr>
          <w:spacing w:val="-5"/>
        </w:rPr>
        <w:t xml:space="preserve"> </w:t>
      </w:r>
      <w:r>
        <w:t>el</w:t>
      </w:r>
      <w:r>
        <w:rPr>
          <w:spacing w:val="-5"/>
        </w:rPr>
        <w:t xml:space="preserve"> </w:t>
      </w:r>
      <w:r>
        <w:t>presidente</w:t>
      </w:r>
      <w:r>
        <w:rPr>
          <w:spacing w:val="-4"/>
        </w:rPr>
        <w:t xml:space="preserve"> </w:t>
      </w:r>
      <w:r>
        <w:t>Belisario</w:t>
      </w:r>
      <w:r>
        <w:rPr>
          <w:spacing w:val="-5"/>
        </w:rPr>
        <w:t xml:space="preserve"> </w:t>
      </w:r>
      <w:r>
        <w:t>Betancur</w:t>
      </w:r>
      <w:r>
        <w:rPr>
          <w:spacing w:val="-4"/>
        </w:rPr>
        <w:t xml:space="preserve"> </w:t>
      </w:r>
      <w:r>
        <w:t>(1982-1986)</w:t>
      </w:r>
      <w:r>
        <w:rPr>
          <w:spacing w:val="-5"/>
        </w:rPr>
        <w:t xml:space="preserve"> </w:t>
      </w:r>
      <w:r>
        <w:t>puso</w:t>
      </w:r>
      <w:r>
        <w:rPr>
          <w:spacing w:val="-5"/>
        </w:rPr>
        <w:t xml:space="preserve"> </w:t>
      </w:r>
      <w:r>
        <w:t>en</w:t>
      </w:r>
      <w:r>
        <w:rPr>
          <w:spacing w:val="-6"/>
        </w:rPr>
        <w:t xml:space="preserve"> </w:t>
      </w:r>
      <w:r>
        <w:t>marcha</w:t>
      </w:r>
      <w:r>
        <w:rPr>
          <w:spacing w:val="-4"/>
        </w:rPr>
        <w:t xml:space="preserve"> </w:t>
      </w:r>
      <w:r>
        <w:t>un</w:t>
      </w:r>
      <w:r>
        <w:rPr>
          <w:spacing w:val="-5"/>
        </w:rPr>
        <w:t xml:space="preserve"> </w:t>
      </w:r>
      <w:r>
        <w:t>proceso</w:t>
      </w:r>
      <w:r>
        <w:rPr>
          <w:spacing w:val="-5"/>
        </w:rPr>
        <w:t xml:space="preserve"> </w:t>
      </w:r>
      <w:r>
        <w:t>de paz que reconoció las causas objetivas de la violencia, impulsó el diálogo con las guerrillas y admitió la necesidad de importantes reformas políticas como la elección popular de alcaldes. Sin embargo, enfrentó la más fuerte resistencia y oposición de los poderes locales y</w:t>
      </w:r>
      <w:r>
        <w:rPr>
          <w:spacing w:val="-15"/>
        </w:rPr>
        <w:t xml:space="preserve"> </w:t>
      </w:r>
      <w:r>
        <w:t>regionales,</w:t>
      </w:r>
      <w:r>
        <w:rPr>
          <w:spacing w:val="-15"/>
        </w:rPr>
        <w:t xml:space="preserve"> </w:t>
      </w:r>
      <w:r>
        <w:t>los</w:t>
      </w:r>
      <w:r>
        <w:rPr>
          <w:spacing w:val="-15"/>
        </w:rPr>
        <w:t xml:space="preserve"> </w:t>
      </w:r>
      <w:r>
        <w:t>gremios,</w:t>
      </w:r>
      <w:r>
        <w:rPr>
          <w:spacing w:val="-15"/>
        </w:rPr>
        <w:t xml:space="preserve"> </w:t>
      </w:r>
      <w:r>
        <w:t>los</w:t>
      </w:r>
      <w:r>
        <w:rPr>
          <w:spacing w:val="-15"/>
        </w:rPr>
        <w:t xml:space="preserve"> </w:t>
      </w:r>
      <w:r>
        <w:t>mandos</w:t>
      </w:r>
      <w:r>
        <w:rPr>
          <w:spacing w:val="-15"/>
        </w:rPr>
        <w:t xml:space="preserve"> </w:t>
      </w:r>
      <w:r>
        <w:t>militares</w:t>
      </w:r>
      <w:r>
        <w:rPr>
          <w:spacing w:val="-15"/>
        </w:rPr>
        <w:t xml:space="preserve"> </w:t>
      </w:r>
      <w:r>
        <w:t>y</w:t>
      </w:r>
      <w:r>
        <w:rPr>
          <w:spacing w:val="-15"/>
        </w:rPr>
        <w:t xml:space="preserve"> </w:t>
      </w:r>
      <w:r>
        <w:t>sectores</w:t>
      </w:r>
      <w:r>
        <w:rPr>
          <w:spacing w:val="-15"/>
        </w:rPr>
        <w:t xml:space="preserve"> </w:t>
      </w:r>
      <w:r>
        <w:t>de</w:t>
      </w:r>
      <w:r>
        <w:rPr>
          <w:spacing w:val="-15"/>
        </w:rPr>
        <w:t xml:space="preserve"> </w:t>
      </w:r>
      <w:r>
        <w:t>la</w:t>
      </w:r>
      <w:r>
        <w:rPr>
          <w:spacing w:val="-15"/>
        </w:rPr>
        <w:t xml:space="preserve"> </w:t>
      </w:r>
      <w:r>
        <w:t>clase</w:t>
      </w:r>
      <w:r>
        <w:rPr>
          <w:spacing w:val="-15"/>
        </w:rPr>
        <w:t xml:space="preserve"> </w:t>
      </w:r>
      <w:r>
        <w:t>política.</w:t>
      </w:r>
      <w:r>
        <w:rPr>
          <w:spacing w:val="-15"/>
        </w:rPr>
        <w:t xml:space="preserve"> </w:t>
      </w:r>
      <w:r>
        <w:t>En</w:t>
      </w:r>
      <w:r>
        <w:rPr>
          <w:spacing w:val="-15"/>
        </w:rPr>
        <w:t xml:space="preserve"> </w:t>
      </w:r>
      <w:r>
        <w:t>ese</w:t>
      </w:r>
      <w:r>
        <w:rPr>
          <w:spacing w:val="-15"/>
        </w:rPr>
        <w:t xml:space="preserve"> </w:t>
      </w:r>
      <w:r>
        <w:t>contexto, como</w:t>
      </w:r>
      <w:r>
        <w:rPr>
          <w:spacing w:val="-9"/>
        </w:rPr>
        <w:t xml:space="preserve"> </w:t>
      </w:r>
      <w:r>
        <w:t>parte</w:t>
      </w:r>
      <w:r>
        <w:rPr>
          <w:spacing w:val="-11"/>
        </w:rPr>
        <w:t xml:space="preserve"> </w:t>
      </w:r>
      <w:r>
        <w:t>de</w:t>
      </w:r>
      <w:r>
        <w:rPr>
          <w:spacing w:val="-9"/>
        </w:rPr>
        <w:t xml:space="preserve"> </w:t>
      </w:r>
      <w:r>
        <w:t>los</w:t>
      </w:r>
      <w:r>
        <w:rPr>
          <w:spacing w:val="-10"/>
        </w:rPr>
        <w:t xml:space="preserve"> </w:t>
      </w:r>
      <w:r>
        <w:t>acuerdos</w:t>
      </w:r>
      <w:r>
        <w:rPr>
          <w:spacing w:val="-9"/>
        </w:rPr>
        <w:t xml:space="preserve"> </w:t>
      </w:r>
      <w:r>
        <w:t>de</w:t>
      </w:r>
      <w:r>
        <w:rPr>
          <w:spacing w:val="-9"/>
        </w:rPr>
        <w:t xml:space="preserve"> </w:t>
      </w:r>
      <w:r>
        <w:t>Uribe</w:t>
      </w:r>
      <w:r>
        <w:rPr>
          <w:spacing w:val="-10"/>
        </w:rPr>
        <w:t xml:space="preserve"> </w:t>
      </w:r>
      <w:r>
        <w:t>con</w:t>
      </w:r>
      <w:r>
        <w:rPr>
          <w:spacing w:val="-9"/>
        </w:rPr>
        <w:t xml:space="preserve"> </w:t>
      </w:r>
      <w:r>
        <w:t>las</w:t>
      </w:r>
      <w:r>
        <w:rPr>
          <w:spacing w:val="-9"/>
        </w:rPr>
        <w:t xml:space="preserve"> </w:t>
      </w:r>
      <w:r>
        <w:t>FARC-EP,</w:t>
      </w:r>
      <w:r>
        <w:rPr>
          <w:spacing w:val="-10"/>
        </w:rPr>
        <w:t xml:space="preserve"> </w:t>
      </w:r>
      <w:r>
        <w:t>se</w:t>
      </w:r>
      <w:r>
        <w:rPr>
          <w:spacing w:val="-9"/>
        </w:rPr>
        <w:t xml:space="preserve"> </w:t>
      </w:r>
      <w:r>
        <w:t>creó</w:t>
      </w:r>
      <w:r>
        <w:rPr>
          <w:spacing w:val="-9"/>
        </w:rPr>
        <w:t xml:space="preserve"> </w:t>
      </w:r>
      <w:r>
        <w:t>la</w:t>
      </w:r>
      <w:r>
        <w:rPr>
          <w:spacing w:val="-9"/>
        </w:rPr>
        <w:t xml:space="preserve"> </w:t>
      </w:r>
      <w:r>
        <w:t>Unión</w:t>
      </w:r>
      <w:r>
        <w:rPr>
          <w:spacing w:val="-10"/>
        </w:rPr>
        <w:t xml:space="preserve"> </w:t>
      </w:r>
      <w:r>
        <w:t>Patriótica</w:t>
      </w:r>
      <w:r>
        <w:rPr>
          <w:spacing w:val="-10"/>
        </w:rPr>
        <w:t xml:space="preserve"> </w:t>
      </w:r>
      <w:r>
        <w:t>(UP),</w:t>
      </w:r>
      <w:r>
        <w:rPr>
          <w:spacing w:val="-9"/>
        </w:rPr>
        <w:t xml:space="preserve"> </w:t>
      </w:r>
      <w:r>
        <w:t>que logró elegir catorce congresistas y dieciocho diputados en once asambleas departamentales, y 335 concejales en 187 concejos. La UP protagonizó un importante éxito electoral, directamente proporcional a la violencia que los diferentes grupos paramilitares con las Fuerzas</w:t>
      </w:r>
      <w:r>
        <w:rPr>
          <w:spacing w:val="8"/>
        </w:rPr>
        <w:t xml:space="preserve"> </w:t>
      </w:r>
      <w:r>
        <w:t>Militares,</w:t>
      </w:r>
      <w:r>
        <w:rPr>
          <w:spacing w:val="10"/>
        </w:rPr>
        <w:t xml:space="preserve"> </w:t>
      </w:r>
      <w:r>
        <w:t>los</w:t>
      </w:r>
      <w:r>
        <w:rPr>
          <w:spacing w:val="11"/>
        </w:rPr>
        <w:t xml:space="preserve"> </w:t>
      </w:r>
      <w:r>
        <w:t>narcotraficantes</w:t>
      </w:r>
      <w:r>
        <w:rPr>
          <w:spacing w:val="11"/>
        </w:rPr>
        <w:t xml:space="preserve"> </w:t>
      </w:r>
      <w:r>
        <w:t>y</w:t>
      </w:r>
      <w:r>
        <w:rPr>
          <w:spacing w:val="10"/>
        </w:rPr>
        <w:t xml:space="preserve"> </w:t>
      </w:r>
      <w:r>
        <w:t>las</w:t>
      </w:r>
      <w:r>
        <w:rPr>
          <w:spacing w:val="10"/>
        </w:rPr>
        <w:t xml:space="preserve"> </w:t>
      </w:r>
      <w:r>
        <w:t>élites</w:t>
      </w:r>
      <w:r>
        <w:rPr>
          <w:spacing w:val="11"/>
        </w:rPr>
        <w:t xml:space="preserve"> </w:t>
      </w:r>
      <w:r>
        <w:t>locales</w:t>
      </w:r>
      <w:r>
        <w:rPr>
          <w:spacing w:val="10"/>
        </w:rPr>
        <w:t xml:space="preserve"> </w:t>
      </w:r>
      <w:r>
        <w:t>ejercieron</w:t>
      </w:r>
      <w:r>
        <w:rPr>
          <w:spacing w:val="11"/>
        </w:rPr>
        <w:t xml:space="preserve"> </w:t>
      </w:r>
      <w:r>
        <w:t>contra</w:t>
      </w:r>
      <w:r>
        <w:rPr>
          <w:spacing w:val="11"/>
        </w:rPr>
        <w:t xml:space="preserve"> </w:t>
      </w:r>
      <w:r>
        <w:t>esta</w:t>
      </w:r>
      <w:r>
        <w:rPr>
          <w:spacing w:val="11"/>
        </w:rPr>
        <w:t xml:space="preserve"> </w:t>
      </w:r>
      <w:r>
        <w:rPr>
          <w:spacing w:val="-2"/>
        </w:rPr>
        <w:t>agrupación</w:t>
      </w:r>
      <w:bookmarkStart w:id="399" w:name="_bookmark309"/>
      <w:bookmarkEnd w:id="399"/>
      <w:r w:rsidR="005856D1">
        <w:rPr>
          <w:spacing w:val="-2"/>
        </w:rPr>
        <w:t xml:space="preserve"> </w:t>
      </w:r>
      <w:r>
        <w:t>política,</w:t>
      </w:r>
      <w:r>
        <w:rPr>
          <w:spacing w:val="-1"/>
        </w:rPr>
        <w:t xml:space="preserve"> </w:t>
      </w:r>
      <w:r>
        <w:t>especialmente en regiones como Urabá,</w:t>
      </w:r>
      <w:r>
        <w:rPr>
          <w:spacing w:val="-1"/>
        </w:rPr>
        <w:t xml:space="preserve"> </w:t>
      </w:r>
      <w:r>
        <w:t>Magdalena</w:t>
      </w:r>
      <w:r>
        <w:rPr>
          <w:spacing w:val="-1"/>
        </w:rPr>
        <w:t xml:space="preserve"> </w:t>
      </w:r>
      <w:r>
        <w:t>Medio y los</w:t>
      </w:r>
      <w:r>
        <w:rPr>
          <w:spacing w:val="-1"/>
        </w:rPr>
        <w:t xml:space="preserve"> </w:t>
      </w:r>
      <w:r>
        <w:t>departamentos del Meta y Caquetá, así como en el nordeste antioqueño, entre otras zonas, donde el nuevo partido amenazaba las mayorías electorales de los poderes políticos establecidos</w:t>
      </w:r>
      <w:r w:rsidR="00CE2890">
        <w:rPr>
          <w:rStyle w:val="Refdenotaalpie"/>
        </w:rPr>
        <w:footnoteReference w:id="269"/>
      </w:r>
      <w:r>
        <w:t>.</w:t>
      </w:r>
    </w:p>
    <w:p w:rsidR="003804AC" w:rsidRDefault="00AF18A5" w:rsidP="00CE2890">
      <w:r>
        <w:lastRenderedPageBreak/>
        <w:t>La Comisión de la Verdad y la Justicia Especial para la Paz (JEP) determinaron 8.300 víctimas de todas las violaciones, incluyendo atentados, torturas, desplazamiento forzado, amenazas o violencia sexual, entre otras, que tuvieron la intención de destruir a la UP. De ellas, 5.733 fueron muertos y desaparecidos, es decir, el 60</w:t>
      </w:r>
      <w:r>
        <w:rPr>
          <w:spacing w:val="-4"/>
        </w:rPr>
        <w:t xml:space="preserve"> </w:t>
      </w:r>
      <w:r>
        <w:t>% de las violaciones cometidas contra miembros o simpatizantes de dicho partido, lo que muestra una proporción de violencia</w:t>
      </w:r>
      <w:r>
        <w:rPr>
          <w:spacing w:val="-5"/>
        </w:rPr>
        <w:t xml:space="preserve"> </w:t>
      </w:r>
      <w:r>
        <w:t>letal</w:t>
      </w:r>
      <w:r>
        <w:rPr>
          <w:spacing w:val="-3"/>
        </w:rPr>
        <w:t xml:space="preserve"> </w:t>
      </w:r>
      <w:r>
        <w:t>orientada</w:t>
      </w:r>
      <w:r>
        <w:rPr>
          <w:spacing w:val="-6"/>
        </w:rPr>
        <w:t xml:space="preserve"> </w:t>
      </w:r>
      <w:r>
        <w:t>a</w:t>
      </w:r>
      <w:r>
        <w:rPr>
          <w:spacing w:val="-3"/>
        </w:rPr>
        <w:t xml:space="preserve"> </w:t>
      </w:r>
      <w:r>
        <w:t>acabar</w:t>
      </w:r>
      <w:r>
        <w:rPr>
          <w:spacing w:val="-4"/>
        </w:rPr>
        <w:t xml:space="preserve"> </w:t>
      </w:r>
      <w:r>
        <w:t>con</w:t>
      </w:r>
      <w:r>
        <w:rPr>
          <w:spacing w:val="-5"/>
        </w:rPr>
        <w:t xml:space="preserve"> </w:t>
      </w:r>
      <w:r>
        <w:t>el</w:t>
      </w:r>
      <w:r>
        <w:rPr>
          <w:spacing w:val="-4"/>
        </w:rPr>
        <w:t xml:space="preserve"> </w:t>
      </w:r>
      <w:r>
        <w:t>grupo</w:t>
      </w:r>
      <w:r>
        <w:rPr>
          <w:spacing w:val="-5"/>
        </w:rPr>
        <w:t xml:space="preserve"> </w:t>
      </w:r>
      <w:r>
        <w:t>político.</w:t>
      </w:r>
      <w:r>
        <w:rPr>
          <w:spacing w:val="-4"/>
        </w:rPr>
        <w:t xml:space="preserve"> </w:t>
      </w:r>
      <w:r>
        <w:t>No</w:t>
      </w:r>
      <w:r>
        <w:rPr>
          <w:spacing w:val="-4"/>
        </w:rPr>
        <w:t xml:space="preserve"> </w:t>
      </w:r>
      <w:r>
        <w:t>hay</w:t>
      </w:r>
      <w:r>
        <w:rPr>
          <w:spacing w:val="-4"/>
        </w:rPr>
        <w:t xml:space="preserve"> </w:t>
      </w:r>
      <w:r>
        <w:t>en</w:t>
      </w:r>
      <w:r>
        <w:rPr>
          <w:spacing w:val="-5"/>
        </w:rPr>
        <w:t xml:space="preserve"> </w:t>
      </w:r>
      <w:r>
        <w:t>la</w:t>
      </w:r>
      <w:r>
        <w:rPr>
          <w:spacing w:val="-3"/>
        </w:rPr>
        <w:t xml:space="preserve"> </w:t>
      </w:r>
      <w:r>
        <w:t>historia</w:t>
      </w:r>
      <w:r>
        <w:rPr>
          <w:spacing w:val="-5"/>
        </w:rPr>
        <w:t xml:space="preserve"> </w:t>
      </w:r>
      <w:r>
        <w:t>de</w:t>
      </w:r>
      <w:r>
        <w:rPr>
          <w:spacing w:val="-3"/>
        </w:rPr>
        <w:t xml:space="preserve"> </w:t>
      </w:r>
      <w:r>
        <w:t>Colombia</w:t>
      </w:r>
      <w:r>
        <w:rPr>
          <w:spacing w:val="-5"/>
        </w:rPr>
        <w:t xml:space="preserve"> </w:t>
      </w:r>
      <w:r>
        <w:t>ni en el mundo otro partido que haya sufrido un nivel de victimización similar. La violencia perpetrada contra los miembros de la Unión Patriótica fue un genocidio político y fue determinante para el regreso de las FARC-EP a la lucha armada y el refuerzo de la guerra durante las siguientes décadas.</w:t>
      </w:r>
    </w:p>
    <w:p w:rsidR="003804AC" w:rsidRDefault="00AF18A5" w:rsidP="00CE2890">
      <w:r>
        <w:t>El</w:t>
      </w:r>
      <w:r>
        <w:rPr>
          <w:spacing w:val="-10"/>
        </w:rPr>
        <w:t xml:space="preserve"> </w:t>
      </w:r>
      <w:r>
        <w:t>Partido</w:t>
      </w:r>
      <w:r>
        <w:rPr>
          <w:spacing w:val="-11"/>
        </w:rPr>
        <w:t xml:space="preserve"> </w:t>
      </w:r>
      <w:r>
        <w:t>Comunista</w:t>
      </w:r>
      <w:r>
        <w:rPr>
          <w:spacing w:val="-11"/>
        </w:rPr>
        <w:t xml:space="preserve"> </w:t>
      </w:r>
      <w:r>
        <w:t>y</w:t>
      </w:r>
      <w:r>
        <w:rPr>
          <w:spacing w:val="-11"/>
        </w:rPr>
        <w:t xml:space="preserve"> </w:t>
      </w:r>
      <w:r>
        <w:t>las</w:t>
      </w:r>
      <w:r>
        <w:rPr>
          <w:spacing w:val="-11"/>
        </w:rPr>
        <w:t xml:space="preserve"> </w:t>
      </w:r>
      <w:r>
        <w:t>FARC-EP</w:t>
      </w:r>
      <w:r>
        <w:rPr>
          <w:spacing w:val="-11"/>
        </w:rPr>
        <w:t xml:space="preserve"> </w:t>
      </w:r>
      <w:r>
        <w:t>jugaron</w:t>
      </w:r>
      <w:r>
        <w:rPr>
          <w:spacing w:val="-11"/>
        </w:rPr>
        <w:t xml:space="preserve"> </w:t>
      </w:r>
      <w:r>
        <w:t>un</w:t>
      </w:r>
      <w:r>
        <w:rPr>
          <w:spacing w:val="-11"/>
        </w:rPr>
        <w:t xml:space="preserve"> </w:t>
      </w:r>
      <w:r>
        <w:t>rol</w:t>
      </w:r>
      <w:r>
        <w:rPr>
          <w:spacing w:val="-10"/>
        </w:rPr>
        <w:t xml:space="preserve"> </w:t>
      </w:r>
      <w:r>
        <w:t>central</w:t>
      </w:r>
      <w:r>
        <w:rPr>
          <w:spacing w:val="-10"/>
        </w:rPr>
        <w:t xml:space="preserve"> </w:t>
      </w:r>
      <w:r>
        <w:t>en</w:t>
      </w:r>
      <w:r>
        <w:rPr>
          <w:spacing w:val="-11"/>
        </w:rPr>
        <w:t xml:space="preserve"> </w:t>
      </w:r>
      <w:r>
        <w:t>la</w:t>
      </w:r>
      <w:r>
        <w:rPr>
          <w:spacing w:val="-11"/>
        </w:rPr>
        <w:t xml:space="preserve"> </w:t>
      </w:r>
      <w:r>
        <w:t>conformación</w:t>
      </w:r>
      <w:r>
        <w:rPr>
          <w:spacing w:val="-11"/>
        </w:rPr>
        <w:t xml:space="preserve"> </w:t>
      </w:r>
      <w:r>
        <w:t>del</w:t>
      </w:r>
      <w:r>
        <w:rPr>
          <w:spacing w:val="-10"/>
        </w:rPr>
        <w:t xml:space="preserve"> </w:t>
      </w:r>
      <w:r>
        <w:t>nuevo movimiento,</w:t>
      </w:r>
      <w:r>
        <w:rPr>
          <w:spacing w:val="-15"/>
        </w:rPr>
        <w:t xml:space="preserve"> </w:t>
      </w:r>
      <w:r>
        <w:t>como</w:t>
      </w:r>
      <w:r>
        <w:rPr>
          <w:spacing w:val="-15"/>
        </w:rPr>
        <w:t xml:space="preserve"> </w:t>
      </w:r>
      <w:r>
        <w:t>parte</w:t>
      </w:r>
      <w:r>
        <w:rPr>
          <w:spacing w:val="-15"/>
        </w:rPr>
        <w:t xml:space="preserve"> </w:t>
      </w:r>
      <w:r>
        <w:t>de</w:t>
      </w:r>
      <w:r>
        <w:rPr>
          <w:spacing w:val="-15"/>
        </w:rPr>
        <w:t xml:space="preserve"> </w:t>
      </w:r>
      <w:r>
        <w:t>una</w:t>
      </w:r>
      <w:r>
        <w:rPr>
          <w:spacing w:val="-15"/>
        </w:rPr>
        <w:t xml:space="preserve"> </w:t>
      </w:r>
      <w:r>
        <w:t>salida</w:t>
      </w:r>
      <w:r>
        <w:rPr>
          <w:spacing w:val="-15"/>
        </w:rPr>
        <w:t xml:space="preserve"> </w:t>
      </w:r>
      <w:r>
        <w:t>política</w:t>
      </w:r>
      <w:r>
        <w:rPr>
          <w:spacing w:val="-15"/>
        </w:rPr>
        <w:t xml:space="preserve"> </w:t>
      </w:r>
      <w:r>
        <w:t>al</w:t>
      </w:r>
      <w:r>
        <w:rPr>
          <w:spacing w:val="-15"/>
        </w:rPr>
        <w:t xml:space="preserve"> </w:t>
      </w:r>
      <w:r>
        <w:t>conflicto</w:t>
      </w:r>
      <w:r>
        <w:rPr>
          <w:spacing w:val="-15"/>
        </w:rPr>
        <w:t xml:space="preserve"> </w:t>
      </w:r>
      <w:r>
        <w:t>armado.</w:t>
      </w:r>
      <w:r>
        <w:rPr>
          <w:spacing w:val="-15"/>
        </w:rPr>
        <w:t xml:space="preserve"> </w:t>
      </w:r>
      <w:r>
        <w:t>La</w:t>
      </w:r>
      <w:r>
        <w:rPr>
          <w:spacing w:val="-15"/>
        </w:rPr>
        <w:t xml:space="preserve"> </w:t>
      </w:r>
      <w:r>
        <w:t>UP</w:t>
      </w:r>
      <w:r>
        <w:rPr>
          <w:spacing w:val="-15"/>
        </w:rPr>
        <w:t xml:space="preserve"> </w:t>
      </w:r>
      <w:r>
        <w:t>estuvo</w:t>
      </w:r>
      <w:r>
        <w:rPr>
          <w:spacing w:val="-15"/>
        </w:rPr>
        <w:t xml:space="preserve"> </w:t>
      </w:r>
      <w:r>
        <w:t>conformada inicialmente por guerrilleros en tránsito a la vida civil, miembros del Partido Comunista e integrantes</w:t>
      </w:r>
      <w:r>
        <w:rPr>
          <w:spacing w:val="-4"/>
        </w:rPr>
        <w:t xml:space="preserve"> </w:t>
      </w:r>
      <w:r>
        <w:t>de</w:t>
      </w:r>
      <w:r>
        <w:rPr>
          <w:spacing w:val="-3"/>
        </w:rPr>
        <w:t xml:space="preserve"> </w:t>
      </w:r>
      <w:r>
        <w:t>otros</w:t>
      </w:r>
      <w:r>
        <w:rPr>
          <w:spacing w:val="-3"/>
        </w:rPr>
        <w:t xml:space="preserve"> </w:t>
      </w:r>
      <w:r>
        <w:t>partidos</w:t>
      </w:r>
      <w:r>
        <w:rPr>
          <w:spacing w:val="-3"/>
        </w:rPr>
        <w:t xml:space="preserve"> </w:t>
      </w:r>
      <w:r>
        <w:t>y</w:t>
      </w:r>
      <w:r>
        <w:rPr>
          <w:spacing w:val="-3"/>
        </w:rPr>
        <w:t xml:space="preserve"> </w:t>
      </w:r>
      <w:r>
        <w:t>grupos</w:t>
      </w:r>
      <w:r>
        <w:rPr>
          <w:spacing w:val="-3"/>
        </w:rPr>
        <w:t xml:space="preserve"> </w:t>
      </w:r>
      <w:r>
        <w:t>políticos</w:t>
      </w:r>
      <w:r>
        <w:rPr>
          <w:spacing w:val="-3"/>
        </w:rPr>
        <w:t xml:space="preserve"> </w:t>
      </w:r>
      <w:r>
        <w:t>diversos.</w:t>
      </w:r>
      <w:r>
        <w:rPr>
          <w:spacing w:val="-3"/>
        </w:rPr>
        <w:t xml:space="preserve"> </w:t>
      </w:r>
      <w:r>
        <w:t>En</w:t>
      </w:r>
      <w:r>
        <w:rPr>
          <w:spacing w:val="-5"/>
        </w:rPr>
        <w:t xml:space="preserve"> </w:t>
      </w:r>
      <w:r>
        <w:t>la</w:t>
      </w:r>
      <w:r>
        <w:rPr>
          <w:spacing w:val="-3"/>
        </w:rPr>
        <w:t xml:space="preserve"> </w:t>
      </w:r>
      <w:r>
        <w:t>contienda</w:t>
      </w:r>
      <w:r>
        <w:rPr>
          <w:spacing w:val="-6"/>
        </w:rPr>
        <w:t xml:space="preserve"> </w:t>
      </w:r>
      <w:r>
        <w:t>electoral</w:t>
      </w:r>
      <w:r>
        <w:rPr>
          <w:spacing w:val="-3"/>
        </w:rPr>
        <w:t xml:space="preserve"> </w:t>
      </w:r>
      <w:r>
        <w:t>y</w:t>
      </w:r>
      <w:r>
        <w:rPr>
          <w:spacing w:val="-5"/>
        </w:rPr>
        <w:t xml:space="preserve"> </w:t>
      </w:r>
      <w:r>
        <w:t>la</w:t>
      </w:r>
      <w:r>
        <w:rPr>
          <w:spacing w:val="-3"/>
        </w:rPr>
        <w:t xml:space="preserve"> </w:t>
      </w:r>
      <w:r>
        <w:t>lucha política, sus alcaldes, concejales, congresistas y senadores hicieron política, y, como señaló Rita Ivon Tobón, exalcaldesa por la UP de Segovia, Antioquia, donde ocurrió una de las masacres de mayor resonancia en 1988:</w:t>
      </w:r>
    </w:p>
    <w:p w:rsidR="003804AC" w:rsidRDefault="00AF18A5" w:rsidP="0024486F">
      <w:r>
        <w:t>«No éramos ingenuos, creíamos en la democracia, simplemente. Como ciudadanos creíamos en la democracia y en que en el resto del país los detentadores del poder iban a respetar la decisión de la democracia mediante las urnas […]. Ejercieron sobre nosotros presión y tortura psicológica, enviándonos amenazas constantes en las que nos daban 72s horas</w:t>
      </w:r>
      <w:r>
        <w:rPr>
          <w:spacing w:val="3"/>
        </w:rPr>
        <w:t xml:space="preserve"> </w:t>
      </w:r>
      <w:r>
        <w:t>para</w:t>
      </w:r>
      <w:r>
        <w:rPr>
          <w:spacing w:val="6"/>
        </w:rPr>
        <w:t xml:space="preserve"> </w:t>
      </w:r>
      <w:r>
        <w:t>abandonar</w:t>
      </w:r>
      <w:r>
        <w:rPr>
          <w:spacing w:val="5"/>
        </w:rPr>
        <w:t xml:space="preserve"> </w:t>
      </w:r>
      <w:r>
        <w:t>el</w:t>
      </w:r>
      <w:r>
        <w:rPr>
          <w:spacing w:val="5"/>
        </w:rPr>
        <w:t xml:space="preserve"> </w:t>
      </w:r>
      <w:r>
        <w:t>país</w:t>
      </w:r>
      <w:r>
        <w:rPr>
          <w:spacing w:val="5"/>
        </w:rPr>
        <w:t xml:space="preserve"> </w:t>
      </w:r>
      <w:r>
        <w:t>o,</w:t>
      </w:r>
      <w:r>
        <w:rPr>
          <w:spacing w:val="6"/>
        </w:rPr>
        <w:t xml:space="preserve"> </w:t>
      </w:r>
      <w:r>
        <w:t>si</w:t>
      </w:r>
      <w:r>
        <w:rPr>
          <w:spacing w:val="5"/>
        </w:rPr>
        <w:t xml:space="preserve"> </w:t>
      </w:r>
      <w:r>
        <w:t>no,</w:t>
      </w:r>
      <w:r>
        <w:rPr>
          <w:spacing w:val="4"/>
        </w:rPr>
        <w:t xml:space="preserve"> </w:t>
      </w:r>
      <w:r>
        <w:t>nos</w:t>
      </w:r>
      <w:r>
        <w:rPr>
          <w:spacing w:val="5"/>
        </w:rPr>
        <w:t xml:space="preserve"> </w:t>
      </w:r>
      <w:r>
        <w:t>mataban</w:t>
      </w:r>
      <w:r>
        <w:rPr>
          <w:spacing w:val="6"/>
        </w:rPr>
        <w:t xml:space="preserve"> </w:t>
      </w:r>
      <w:r>
        <w:t>o</w:t>
      </w:r>
      <w:r>
        <w:rPr>
          <w:spacing w:val="5"/>
        </w:rPr>
        <w:t xml:space="preserve"> </w:t>
      </w:r>
      <w:r>
        <w:t>asesinaban</w:t>
      </w:r>
      <w:r>
        <w:rPr>
          <w:spacing w:val="5"/>
        </w:rPr>
        <w:t xml:space="preserve"> </w:t>
      </w:r>
      <w:r>
        <w:t>a</w:t>
      </w:r>
      <w:r>
        <w:rPr>
          <w:spacing w:val="6"/>
        </w:rPr>
        <w:t xml:space="preserve"> </w:t>
      </w:r>
      <w:r>
        <w:t>nuestros</w:t>
      </w:r>
      <w:r>
        <w:rPr>
          <w:spacing w:val="5"/>
        </w:rPr>
        <w:t xml:space="preserve"> </w:t>
      </w:r>
      <w:r>
        <w:t>hijos.</w:t>
      </w:r>
      <w:r>
        <w:rPr>
          <w:spacing w:val="5"/>
        </w:rPr>
        <w:t xml:space="preserve"> </w:t>
      </w:r>
      <w:r>
        <w:t>Esto</w:t>
      </w:r>
      <w:r>
        <w:rPr>
          <w:spacing w:val="4"/>
        </w:rPr>
        <w:t xml:space="preserve"> </w:t>
      </w:r>
      <w:r>
        <w:rPr>
          <w:spacing w:val="-2"/>
        </w:rPr>
        <w:t>llevó</w:t>
      </w:r>
      <w:bookmarkStart w:id="400" w:name="_bookmark310"/>
      <w:bookmarkEnd w:id="400"/>
      <w:r w:rsidR="00CE2890">
        <w:t xml:space="preserve"> </w:t>
      </w:r>
      <w:r>
        <w:t>a</w:t>
      </w:r>
      <w:r>
        <w:rPr>
          <w:spacing w:val="-15"/>
        </w:rPr>
        <w:t xml:space="preserve"> </w:t>
      </w:r>
      <w:r>
        <w:t>que</w:t>
      </w:r>
      <w:r>
        <w:rPr>
          <w:spacing w:val="-15"/>
        </w:rPr>
        <w:t xml:space="preserve"> </w:t>
      </w:r>
      <w:r>
        <w:t>me</w:t>
      </w:r>
      <w:r>
        <w:rPr>
          <w:spacing w:val="-15"/>
        </w:rPr>
        <w:t xml:space="preserve"> </w:t>
      </w:r>
      <w:r>
        <w:t>recluyera</w:t>
      </w:r>
      <w:r>
        <w:rPr>
          <w:spacing w:val="-15"/>
        </w:rPr>
        <w:t xml:space="preserve"> </w:t>
      </w:r>
      <w:r>
        <w:t>en</w:t>
      </w:r>
      <w:r>
        <w:rPr>
          <w:spacing w:val="-15"/>
        </w:rPr>
        <w:t xml:space="preserve"> </w:t>
      </w:r>
      <w:r>
        <w:t>mi</w:t>
      </w:r>
      <w:r>
        <w:rPr>
          <w:spacing w:val="-15"/>
        </w:rPr>
        <w:t xml:space="preserve"> </w:t>
      </w:r>
      <w:r>
        <w:t>casa</w:t>
      </w:r>
      <w:r>
        <w:rPr>
          <w:spacing w:val="-15"/>
        </w:rPr>
        <w:t xml:space="preserve"> </w:t>
      </w:r>
      <w:r>
        <w:t>y</w:t>
      </w:r>
      <w:r>
        <w:rPr>
          <w:spacing w:val="-15"/>
        </w:rPr>
        <w:t xml:space="preserve"> </w:t>
      </w:r>
      <w:r>
        <w:t>no</w:t>
      </w:r>
      <w:r>
        <w:rPr>
          <w:spacing w:val="-15"/>
        </w:rPr>
        <w:t xml:space="preserve"> </w:t>
      </w:r>
      <w:r>
        <w:t>volviera</w:t>
      </w:r>
      <w:r>
        <w:rPr>
          <w:spacing w:val="-15"/>
        </w:rPr>
        <w:t xml:space="preserve"> </w:t>
      </w:r>
      <w:r>
        <w:t>a</w:t>
      </w:r>
      <w:r>
        <w:rPr>
          <w:spacing w:val="-15"/>
        </w:rPr>
        <w:t xml:space="preserve"> </w:t>
      </w:r>
      <w:r>
        <w:lastRenderedPageBreak/>
        <w:t>salir</w:t>
      </w:r>
      <w:r>
        <w:rPr>
          <w:spacing w:val="-15"/>
        </w:rPr>
        <w:t xml:space="preserve"> </w:t>
      </w:r>
      <w:r>
        <w:t>hasta</w:t>
      </w:r>
      <w:r>
        <w:rPr>
          <w:spacing w:val="-15"/>
        </w:rPr>
        <w:t xml:space="preserve"> </w:t>
      </w:r>
      <w:r>
        <w:t>el</w:t>
      </w:r>
      <w:r>
        <w:rPr>
          <w:spacing w:val="-15"/>
        </w:rPr>
        <w:t xml:space="preserve"> </w:t>
      </w:r>
      <w:r>
        <w:t>momento</w:t>
      </w:r>
      <w:r>
        <w:rPr>
          <w:spacing w:val="-15"/>
        </w:rPr>
        <w:t xml:space="preserve"> </w:t>
      </w:r>
      <w:r>
        <w:t>de</w:t>
      </w:r>
      <w:r>
        <w:rPr>
          <w:spacing w:val="-14"/>
        </w:rPr>
        <w:t xml:space="preserve"> </w:t>
      </w:r>
      <w:r>
        <w:t>la</w:t>
      </w:r>
      <w:r>
        <w:rPr>
          <w:spacing w:val="-15"/>
        </w:rPr>
        <w:t xml:space="preserve"> </w:t>
      </w:r>
      <w:r>
        <w:t>posesión.</w:t>
      </w:r>
      <w:r>
        <w:rPr>
          <w:spacing w:val="-15"/>
        </w:rPr>
        <w:t xml:space="preserve"> </w:t>
      </w:r>
      <w:r>
        <w:t>Recuerdo que ocho días antes las amenazas fueron peores: hombres armados circulaban por todo el pueblo</w:t>
      </w:r>
      <w:r>
        <w:rPr>
          <w:spacing w:val="-12"/>
        </w:rPr>
        <w:t xml:space="preserve"> </w:t>
      </w:r>
      <w:r>
        <w:t>amenazando,</w:t>
      </w:r>
      <w:r>
        <w:rPr>
          <w:spacing w:val="-12"/>
        </w:rPr>
        <w:t xml:space="preserve"> </w:t>
      </w:r>
      <w:r>
        <w:t>creando</w:t>
      </w:r>
      <w:r>
        <w:rPr>
          <w:spacing w:val="-12"/>
        </w:rPr>
        <w:t xml:space="preserve"> </w:t>
      </w:r>
      <w:r>
        <w:t>una</w:t>
      </w:r>
      <w:r>
        <w:rPr>
          <w:spacing w:val="-12"/>
        </w:rPr>
        <w:t xml:space="preserve"> </w:t>
      </w:r>
      <w:r>
        <w:t>tensión</w:t>
      </w:r>
      <w:r>
        <w:rPr>
          <w:spacing w:val="-12"/>
        </w:rPr>
        <w:t xml:space="preserve"> </w:t>
      </w:r>
      <w:r>
        <w:t>en</w:t>
      </w:r>
      <w:r>
        <w:rPr>
          <w:spacing w:val="-12"/>
        </w:rPr>
        <w:t xml:space="preserve"> </w:t>
      </w:r>
      <w:r>
        <w:t>la</w:t>
      </w:r>
      <w:r>
        <w:rPr>
          <w:spacing w:val="-12"/>
        </w:rPr>
        <w:t xml:space="preserve"> </w:t>
      </w:r>
      <w:r>
        <w:t>población.</w:t>
      </w:r>
      <w:r>
        <w:rPr>
          <w:spacing w:val="-13"/>
        </w:rPr>
        <w:t xml:space="preserve"> </w:t>
      </w:r>
      <w:r>
        <w:t>El</w:t>
      </w:r>
      <w:r>
        <w:rPr>
          <w:spacing w:val="-11"/>
        </w:rPr>
        <w:t xml:space="preserve"> </w:t>
      </w:r>
      <w:r>
        <w:t>mismo</w:t>
      </w:r>
      <w:r>
        <w:rPr>
          <w:spacing w:val="-12"/>
        </w:rPr>
        <w:t xml:space="preserve"> </w:t>
      </w:r>
      <w:r>
        <w:t>cura</w:t>
      </w:r>
      <w:r>
        <w:rPr>
          <w:spacing w:val="-12"/>
        </w:rPr>
        <w:t xml:space="preserve"> </w:t>
      </w:r>
      <w:r>
        <w:t>párroco</w:t>
      </w:r>
      <w:r>
        <w:rPr>
          <w:spacing w:val="-12"/>
        </w:rPr>
        <w:t xml:space="preserve"> </w:t>
      </w:r>
      <w:r>
        <w:t>se</w:t>
      </w:r>
      <w:r>
        <w:rPr>
          <w:spacing w:val="-12"/>
        </w:rPr>
        <w:t xml:space="preserve"> </w:t>
      </w:r>
      <w:r>
        <w:t>desplazó varias veces a mi casa disfrazado, para que no lo reconocieran, para decirme: “No vaya a salir que hay mucha gente en las dos esquinas de su cuadra”»</w:t>
      </w:r>
      <w:r w:rsidR="0024486F">
        <w:rPr>
          <w:rStyle w:val="Refdenotaalpie"/>
        </w:rPr>
        <w:footnoteReference w:id="270"/>
      </w:r>
      <w:r>
        <w:t>.</w:t>
      </w:r>
    </w:p>
    <w:p w:rsidR="003804AC" w:rsidRDefault="00AF18A5" w:rsidP="0024486F">
      <w:r>
        <w:t>El</w:t>
      </w:r>
      <w:r>
        <w:rPr>
          <w:spacing w:val="-9"/>
        </w:rPr>
        <w:t xml:space="preserve"> </w:t>
      </w:r>
      <w:r>
        <w:t>debate</w:t>
      </w:r>
      <w:r>
        <w:rPr>
          <w:spacing w:val="-9"/>
        </w:rPr>
        <w:t xml:space="preserve"> </w:t>
      </w:r>
      <w:r>
        <w:t>público</w:t>
      </w:r>
      <w:r>
        <w:rPr>
          <w:spacing w:val="-10"/>
        </w:rPr>
        <w:t xml:space="preserve"> </w:t>
      </w:r>
      <w:r>
        <w:t>y</w:t>
      </w:r>
      <w:r>
        <w:rPr>
          <w:spacing w:val="-10"/>
        </w:rPr>
        <w:t xml:space="preserve"> </w:t>
      </w:r>
      <w:r>
        <w:t>académico</w:t>
      </w:r>
      <w:r>
        <w:rPr>
          <w:spacing w:val="-10"/>
        </w:rPr>
        <w:t xml:space="preserve"> </w:t>
      </w:r>
      <w:r>
        <w:t>sobre</w:t>
      </w:r>
      <w:r>
        <w:rPr>
          <w:spacing w:val="-11"/>
        </w:rPr>
        <w:t xml:space="preserve"> </w:t>
      </w:r>
      <w:r>
        <w:t>la</w:t>
      </w:r>
      <w:r>
        <w:rPr>
          <w:spacing w:val="-9"/>
        </w:rPr>
        <w:t xml:space="preserve"> </w:t>
      </w:r>
      <w:r>
        <w:t>llamada</w:t>
      </w:r>
      <w:r>
        <w:rPr>
          <w:spacing w:val="-9"/>
        </w:rPr>
        <w:t xml:space="preserve"> </w:t>
      </w:r>
      <w:r>
        <w:t>combinación</w:t>
      </w:r>
      <w:r>
        <w:rPr>
          <w:spacing w:val="-11"/>
        </w:rPr>
        <w:t xml:space="preserve"> </w:t>
      </w:r>
      <w:r>
        <w:t>de</w:t>
      </w:r>
      <w:r>
        <w:rPr>
          <w:spacing w:val="-9"/>
        </w:rPr>
        <w:t xml:space="preserve"> </w:t>
      </w:r>
      <w:r>
        <w:t>todas</w:t>
      </w:r>
      <w:r>
        <w:rPr>
          <w:spacing w:val="-9"/>
        </w:rPr>
        <w:t xml:space="preserve"> </w:t>
      </w:r>
      <w:r>
        <w:t>las</w:t>
      </w:r>
      <w:r>
        <w:rPr>
          <w:spacing w:val="-11"/>
        </w:rPr>
        <w:t xml:space="preserve"> </w:t>
      </w:r>
      <w:r>
        <w:t>formas</w:t>
      </w:r>
      <w:r>
        <w:rPr>
          <w:spacing w:val="-10"/>
        </w:rPr>
        <w:t xml:space="preserve"> </w:t>
      </w:r>
      <w:r>
        <w:t>de</w:t>
      </w:r>
      <w:r>
        <w:rPr>
          <w:spacing w:val="-9"/>
        </w:rPr>
        <w:t xml:space="preserve"> </w:t>
      </w:r>
      <w:r>
        <w:t>lucha ha</w:t>
      </w:r>
      <w:r>
        <w:rPr>
          <w:spacing w:val="-8"/>
        </w:rPr>
        <w:t xml:space="preserve"> </w:t>
      </w:r>
      <w:r>
        <w:t>sido</w:t>
      </w:r>
      <w:r>
        <w:rPr>
          <w:spacing w:val="-9"/>
        </w:rPr>
        <w:t xml:space="preserve"> </w:t>
      </w:r>
      <w:r>
        <w:t>un</w:t>
      </w:r>
      <w:r>
        <w:rPr>
          <w:spacing w:val="-10"/>
        </w:rPr>
        <w:t xml:space="preserve"> </w:t>
      </w:r>
      <w:r>
        <w:t>tema</w:t>
      </w:r>
      <w:r>
        <w:rPr>
          <w:spacing w:val="-8"/>
        </w:rPr>
        <w:t xml:space="preserve"> </w:t>
      </w:r>
      <w:r>
        <w:t>enconado.</w:t>
      </w:r>
      <w:r>
        <w:rPr>
          <w:spacing w:val="-8"/>
        </w:rPr>
        <w:t xml:space="preserve"> </w:t>
      </w:r>
      <w:r>
        <w:t>Para</w:t>
      </w:r>
      <w:r>
        <w:rPr>
          <w:spacing w:val="-8"/>
        </w:rPr>
        <w:t xml:space="preserve"> </w:t>
      </w:r>
      <w:r>
        <w:t>unos</w:t>
      </w:r>
      <w:r>
        <w:rPr>
          <w:spacing w:val="-10"/>
        </w:rPr>
        <w:t xml:space="preserve"> </w:t>
      </w:r>
      <w:r>
        <w:t>sectores</w:t>
      </w:r>
      <w:r>
        <w:rPr>
          <w:spacing w:val="-8"/>
        </w:rPr>
        <w:t xml:space="preserve"> </w:t>
      </w:r>
      <w:r>
        <w:t>se</w:t>
      </w:r>
      <w:r>
        <w:rPr>
          <w:spacing w:val="-9"/>
        </w:rPr>
        <w:t xml:space="preserve"> </w:t>
      </w:r>
      <w:r>
        <w:t>trata</w:t>
      </w:r>
      <w:r>
        <w:rPr>
          <w:spacing w:val="-8"/>
        </w:rPr>
        <w:t xml:space="preserve"> </w:t>
      </w:r>
      <w:r>
        <w:t>del</w:t>
      </w:r>
      <w:r>
        <w:rPr>
          <w:spacing w:val="-8"/>
        </w:rPr>
        <w:t xml:space="preserve"> </w:t>
      </w:r>
      <w:r>
        <w:t>«pecado</w:t>
      </w:r>
      <w:r>
        <w:rPr>
          <w:spacing w:val="-8"/>
        </w:rPr>
        <w:t xml:space="preserve"> </w:t>
      </w:r>
      <w:r>
        <w:t>capital»</w:t>
      </w:r>
      <w:r>
        <w:rPr>
          <w:spacing w:val="-11"/>
        </w:rPr>
        <w:t xml:space="preserve"> </w:t>
      </w:r>
      <w:r>
        <w:t>de</w:t>
      </w:r>
      <w:r>
        <w:rPr>
          <w:spacing w:val="-8"/>
        </w:rPr>
        <w:t xml:space="preserve"> </w:t>
      </w:r>
      <w:r>
        <w:t>los</w:t>
      </w:r>
      <w:r>
        <w:rPr>
          <w:spacing w:val="-8"/>
        </w:rPr>
        <w:t xml:space="preserve"> </w:t>
      </w:r>
      <w:r>
        <w:t>comunistas colombianos y enfatizan en la responsabilidad histórica y política que le cabe a las FARC- EP y al Partido Comunista por desarrollar dichos planteamientos.</w:t>
      </w:r>
      <w:r w:rsidR="0024486F">
        <w:rPr>
          <w:rStyle w:val="Refdenotaalpie"/>
        </w:rPr>
        <w:footnoteReference w:id="271"/>
      </w:r>
      <w:r>
        <w:t>. Con esta excusa, algunos</w:t>
      </w:r>
      <w:r>
        <w:rPr>
          <w:spacing w:val="-15"/>
        </w:rPr>
        <w:t xml:space="preserve"> </w:t>
      </w:r>
      <w:r>
        <w:t>sectores</w:t>
      </w:r>
      <w:r>
        <w:rPr>
          <w:spacing w:val="-15"/>
        </w:rPr>
        <w:t xml:space="preserve"> </w:t>
      </w:r>
      <w:r>
        <w:t>políticos,</w:t>
      </w:r>
      <w:r>
        <w:rPr>
          <w:spacing w:val="-15"/>
        </w:rPr>
        <w:t xml:space="preserve"> </w:t>
      </w:r>
      <w:r>
        <w:t>las</w:t>
      </w:r>
      <w:r>
        <w:rPr>
          <w:spacing w:val="-15"/>
        </w:rPr>
        <w:t xml:space="preserve"> </w:t>
      </w:r>
      <w:r>
        <w:t>Fuerzas</w:t>
      </w:r>
      <w:r>
        <w:rPr>
          <w:spacing w:val="-15"/>
        </w:rPr>
        <w:t xml:space="preserve"> </w:t>
      </w:r>
      <w:r>
        <w:t>Militares</w:t>
      </w:r>
      <w:r>
        <w:rPr>
          <w:spacing w:val="-15"/>
        </w:rPr>
        <w:t xml:space="preserve"> </w:t>
      </w:r>
      <w:r>
        <w:t>y</w:t>
      </w:r>
      <w:r>
        <w:rPr>
          <w:spacing w:val="-15"/>
        </w:rPr>
        <w:t xml:space="preserve"> </w:t>
      </w:r>
      <w:r>
        <w:t>el</w:t>
      </w:r>
      <w:r>
        <w:rPr>
          <w:spacing w:val="-15"/>
        </w:rPr>
        <w:t xml:space="preserve"> </w:t>
      </w:r>
      <w:r>
        <w:t>paramilitarismo</w:t>
      </w:r>
      <w:r>
        <w:rPr>
          <w:spacing w:val="-15"/>
        </w:rPr>
        <w:t xml:space="preserve"> </w:t>
      </w:r>
      <w:r>
        <w:t>justificaron</w:t>
      </w:r>
      <w:r>
        <w:rPr>
          <w:spacing w:val="-15"/>
        </w:rPr>
        <w:t xml:space="preserve"> </w:t>
      </w:r>
      <w:r>
        <w:t>el</w:t>
      </w:r>
      <w:r>
        <w:rPr>
          <w:spacing w:val="-15"/>
        </w:rPr>
        <w:t xml:space="preserve"> </w:t>
      </w:r>
      <w:r>
        <w:t>genocidio de la UP.</w:t>
      </w:r>
    </w:p>
    <w:p w:rsidR="003804AC" w:rsidRDefault="00AF18A5" w:rsidP="0024486F">
      <w:r>
        <w:t>Mientras,</w:t>
      </w:r>
      <w:r>
        <w:rPr>
          <w:spacing w:val="-1"/>
        </w:rPr>
        <w:t xml:space="preserve"> </w:t>
      </w:r>
      <w:r>
        <w:t>para</w:t>
      </w:r>
      <w:r>
        <w:rPr>
          <w:spacing w:val="-1"/>
        </w:rPr>
        <w:t xml:space="preserve"> </w:t>
      </w:r>
      <w:r>
        <w:t>el</w:t>
      </w:r>
      <w:r>
        <w:rPr>
          <w:spacing w:val="-1"/>
        </w:rPr>
        <w:t xml:space="preserve"> </w:t>
      </w:r>
      <w:r>
        <w:t>Partido</w:t>
      </w:r>
      <w:r>
        <w:rPr>
          <w:spacing w:val="-2"/>
        </w:rPr>
        <w:t xml:space="preserve"> </w:t>
      </w:r>
      <w:r>
        <w:t>Comunista</w:t>
      </w:r>
      <w:r>
        <w:rPr>
          <w:spacing w:val="-2"/>
        </w:rPr>
        <w:t xml:space="preserve"> </w:t>
      </w:r>
      <w:r>
        <w:t>y</w:t>
      </w:r>
      <w:r>
        <w:rPr>
          <w:spacing w:val="-1"/>
        </w:rPr>
        <w:t xml:space="preserve"> </w:t>
      </w:r>
      <w:r>
        <w:t>las</w:t>
      </w:r>
      <w:r>
        <w:rPr>
          <w:spacing w:val="-1"/>
        </w:rPr>
        <w:t xml:space="preserve"> </w:t>
      </w:r>
      <w:r>
        <w:t>FARC-EP,</w:t>
      </w:r>
      <w:r>
        <w:rPr>
          <w:spacing w:val="-1"/>
        </w:rPr>
        <w:t xml:space="preserve"> </w:t>
      </w:r>
      <w:r>
        <w:t>la</w:t>
      </w:r>
      <w:r>
        <w:rPr>
          <w:spacing w:val="-1"/>
        </w:rPr>
        <w:t xml:space="preserve"> </w:t>
      </w:r>
      <w:r>
        <w:t>combinación</w:t>
      </w:r>
      <w:r>
        <w:rPr>
          <w:spacing w:val="-1"/>
        </w:rPr>
        <w:t xml:space="preserve"> </w:t>
      </w:r>
      <w:r>
        <w:t>de</w:t>
      </w:r>
      <w:r>
        <w:rPr>
          <w:spacing w:val="-1"/>
        </w:rPr>
        <w:t xml:space="preserve"> </w:t>
      </w:r>
      <w:r>
        <w:t>todas</w:t>
      </w:r>
      <w:r>
        <w:rPr>
          <w:spacing w:val="-1"/>
        </w:rPr>
        <w:t xml:space="preserve"> </w:t>
      </w:r>
      <w:r>
        <w:t>las</w:t>
      </w:r>
      <w:r>
        <w:rPr>
          <w:spacing w:val="-1"/>
        </w:rPr>
        <w:t xml:space="preserve"> </w:t>
      </w:r>
      <w:r>
        <w:t>formas de lucha, que implicaba el desarrollo simultáneo de la acción política legal del partido y la lucha</w:t>
      </w:r>
      <w:r>
        <w:rPr>
          <w:spacing w:val="-9"/>
        </w:rPr>
        <w:t xml:space="preserve"> </w:t>
      </w:r>
      <w:r>
        <w:t>armada</w:t>
      </w:r>
      <w:r>
        <w:rPr>
          <w:spacing w:val="-9"/>
        </w:rPr>
        <w:t xml:space="preserve"> </w:t>
      </w:r>
      <w:r>
        <w:t>de</w:t>
      </w:r>
      <w:r>
        <w:rPr>
          <w:spacing w:val="-9"/>
        </w:rPr>
        <w:t xml:space="preserve"> </w:t>
      </w:r>
      <w:r>
        <w:t>las</w:t>
      </w:r>
      <w:r>
        <w:rPr>
          <w:spacing w:val="-9"/>
        </w:rPr>
        <w:t xml:space="preserve"> </w:t>
      </w:r>
      <w:r>
        <w:t>FARC-EP,</w:t>
      </w:r>
      <w:r>
        <w:rPr>
          <w:spacing w:val="-9"/>
        </w:rPr>
        <w:t xml:space="preserve"> </w:t>
      </w:r>
      <w:r>
        <w:t>fue</w:t>
      </w:r>
      <w:r>
        <w:rPr>
          <w:spacing w:val="-9"/>
        </w:rPr>
        <w:t xml:space="preserve"> </w:t>
      </w:r>
      <w:r>
        <w:t>la</w:t>
      </w:r>
      <w:r>
        <w:rPr>
          <w:spacing w:val="-10"/>
        </w:rPr>
        <w:t xml:space="preserve"> </w:t>
      </w:r>
      <w:r>
        <w:t>adecuación</w:t>
      </w:r>
      <w:r>
        <w:rPr>
          <w:spacing w:val="-11"/>
        </w:rPr>
        <w:t xml:space="preserve"> </w:t>
      </w:r>
      <w:r>
        <w:t>de</w:t>
      </w:r>
      <w:r>
        <w:rPr>
          <w:spacing w:val="-9"/>
        </w:rPr>
        <w:t xml:space="preserve"> </w:t>
      </w:r>
      <w:r>
        <w:t>los</w:t>
      </w:r>
      <w:r>
        <w:rPr>
          <w:spacing w:val="-9"/>
        </w:rPr>
        <w:t xml:space="preserve"> </w:t>
      </w:r>
      <w:r>
        <w:t>postulados</w:t>
      </w:r>
      <w:r>
        <w:rPr>
          <w:spacing w:val="-9"/>
        </w:rPr>
        <w:t xml:space="preserve"> </w:t>
      </w:r>
      <w:r>
        <w:t>ideológicos</w:t>
      </w:r>
      <w:r>
        <w:rPr>
          <w:spacing w:val="-9"/>
        </w:rPr>
        <w:t xml:space="preserve"> </w:t>
      </w:r>
      <w:r>
        <w:t>y</w:t>
      </w:r>
      <w:r>
        <w:rPr>
          <w:spacing w:val="-9"/>
        </w:rPr>
        <w:t xml:space="preserve"> </w:t>
      </w:r>
      <w:r>
        <w:t>doctrinales del</w:t>
      </w:r>
      <w:r>
        <w:rPr>
          <w:spacing w:val="-3"/>
        </w:rPr>
        <w:t xml:space="preserve"> </w:t>
      </w:r>
      <w:r>
        <w:t>marxismo-leninismo</w:t>
      </w:r>
      <w:r>
        <w:rPr>
          <w:spacing w:val="-5"/>
        </w:rPr>
        <w:t xml:space="preserve"> </w:t>
      </w:r>
      <w:r>
        <w:t>a</w:t>
      </w:r>
      <w:r>
        <w:rPr>
          <w:spacing w:val="-3"/>
        </w:rPr>
        <w:t xml:space="preserve"> </w:t>
      </w:r>
      <w:r>
        <w:t>las</w:t>
      </w:r>
      <w:r>
        <w:rPr>
          <w:spacing w:val="-3"/>
        </w:rPr>
        <w:t xml:space="preserve"> </w:t>
      </w:r>
      <w:r>
        <w:t>condiciones</w:t>
      </w:r>
      <w:r>
        <w:rPr>
          <w:spacing w:val="-3"/>
        </w:rPr>
        <w:t xml:space="preserve"> </w:t>
      </w:r>
      <w:r>
        <w:t>particulares</w:t>
      </w:r>
      <w:r>
        <w:rPr>
          <w:spacing w:val="-3"/>
        </w:rPr>
        <w:t xml:space="preserve"> </w:t>
      </w:r>
      <w:r>
        <w:t>de</w:t>
      </w:r>
      <w:r>
        <w:rPr>
          <w:spacing w:val="-3"/>
        </w:rPr>
        <w:t xml:space="preserve"> </w:t>
      </w:r>
      <w:r>
        <w:t>Colombia;</w:t>
      </w:r>
      <w:r>
        <w:rPr>
          <w:spacing w:val="-3"/>
        </w:rPr>
        <w:t xml:space="preserve"> </w:t>
      </w:r>
      <w:r>
        <w:t>por</w:t>
      </w:r>
      <w:r>
        <w:rPr>
          <w:spacing w:val="-3"/>
        </w:rPr>
        <w:t xml:space="preserve"> </w:t>
      </w:r>
      <w:r>
        <w:t>eso,</w:t>
      </w:r>
      <w:r>
        <w:rPr>
          <w:spacing w:val="-3"/>
        </w:rPr>
        <w:t xml:space="preserve"> </w:t>
      </w:r>
      <w:r>
        <w:t>afirmaban</w:t>
      </w:r>
      <w:r>
        <w:rPr>
          <w:spacing w:val="-3"/>
        </w:rPr>
        <w:t xml:space="preserve"> </w:t>
      </w:r>
      <w:r>
        <w:t>que fue una respuesta a la violencia estatal, paraestatal y de las clases dirigentes que se han opuesto</w:t>
      </w:r>
      <w:r>
        <w:rPr>
          <w:spacing w:val="-2"/>
        </w:rPr>
        <w:t xml:space="preserve"> </w:t>
      </w:r>
      <w:r>
        <w:t>históricamente</w:t>
      </w:r>
      <w:r>
        <w:rPr>
          <w:spacing w:val="-3"/>
        </w:rPr>
        <w:t xml:space="preserve"> </w:t>
      </w:r>
      <w:r>
        <w:t>a</w:t>
      </w:r>
      <w:r>
        <w:rPr>
          <w:spacing w:val="-2"/>
        </w:rPr>
        <w:t xml:space="preserve"> </w:t>
      </w:r>
      <w:r>
        <w:t>cualquier</w:t>
      </w:r>
      <w:r>
        <w:rPr>
          <w:spacing w:val="-3"/>
        </w:rPr>
        <w:t xml:space="preserve"> </w:t>
      </w:r>
      <w:r>
        <w:t>posibilidad</w:t>
      </w:r>
      <w:r>
        <w:rPr>
          <w:spacing w:val="-3"/>
        </w:rPr>
        <w:t xml:space="preserve"> </w:t>
      </w:r>
      <w:r>
        <w:t>de</w:t>
      </w:r>
      <w:r>
        <w:rPr>
          <w:spacing w:val="-2"/>
        </w:rPr>
        <w:t xml:space="preserve"> </w:t>
      </w:r>
      <w:r>
        <w:t>cambio</w:t>
      </w:r>
      <w:r>
        <w:rPr>
          <w:spacing w:val="-2"/>
        </w:rPr>
        <w:t xml:space="preserve"> </w:t>
      </w:r>
      <w:r>
        <w:t>del</w:t>
      </w:r>
      <w:r>
        <w:rPr>
          <w:spacing w:val="-2"/>
        </w:rPr>
        <w:t xml:space="preserve"> </w:t>
      </w:r>
      <w:r>
        <w:t>régimen</w:t>
      </w:r>
      <w:r>
        <w:rPr>
          <w:spacing w:val="-3"/>
        </w:rPr>
        <w:t xml:space="preserve"> </w:t>
      </w:r>
      <w:r>
        <w:t>político</w:t>
      </w:r>
      <w:r>
        <w:rPr>
          <w:spacing w:val="-2"/>
        </w:rPr>
        <w:t xml:space="preserve"> </w:t>
      </w:r>
      <w:r>
        <w:t>y</w:t>
      </w:r>
      <w:r>
        <w:rPr>
          <w:spacing w:val="-2"/>
        </w:rPr>
        <w:t xml:space="preserve"> </w:t>
      </w:r>
      <w:r>
        <w:t>del</w:t>
      </w:r>
      <w:r>
        <w:rPr>
          <w:spacing w:val="-3"/>
        </w:rPr>
        <w:t xml:space="preserve"> </w:t>
      </w:r>
      <w:r>
        <w:t xml:space="preserve">modelo </w:t>
      </w:r>
      <w:r>
        <w:rPr>
          <w:spacing w:val="-2"/>
        </w:rPr>
        <w:t>económico.</w:t>
      </w:r>
    </w:p>
    <w:p w:rsidR="003804AC" w:rsidRDefault="00AF18A5" w:rsidP="0024486F">
      <w:r>
        <w:t>El</w:t>
      </w:r>
      <w:r>
        <w:rPr>
          <w:spacing w:val="-6"/>
        </w:rPr>
        <w:t xml:space="preserve"> </w:t>
      </w:r>
      <w:r>
        <w:t>asunto</w:t>
      </w:r>
      <w:r>
        <w:rPr>
          <w:spacing w:val="-6"/>
        </w:rPr>
        <w:t xml:space="preserve"> </w:t>
      </w:r>
      <w:r>
        <w:t>de</w:t>
      </w:r>
      <w:r>
        <w:rPr>
          <w:spacing w:val="-7"/>
        </w:rPr>
        <w:t xml:space="preserve"> </w:t>
      </w:r>
      <w:r>
        <w:t>la</w:t>
      </w:r>
      <w:r>
        <w:rPr>
          <w:spacing w:val="-6"/>
        </w:rPr>
        <w:t xml:space="preserve"> </w:t>
      </w:r>
      <w:r>
        <w:t>combinación</w:t>
      </w:r>
      <w:r>
        <w:rPr>
          <w:spacing w:val="-6"/>
        </w:rPr>
        <w:t xml:space="preserve"> </w:t>
      </w:r>
      <w:r>
        <w:t>de</w:t>
      </w:r>
      <w:r>
        <w:rPr>
          <w:spacing w:val="-6"/>
        </w:rPr>
        <w:t xml:space="preserve"> </w:t>
      </w:r>
      <w:r>
        <w:t>todas</w:t>
      </w:r>
      <w:r>
        <w:rPr>
          <w:spacing w:val="-7"/>
        </w:rPr>
        <w:t xml:space="preserve"> </w:t>
      </w:r>
      <w:r>
        <w:t>las</w:t>
      </w:r>
      <w:r>
        <w:rPr>
          <w:spacing w:val="-6"/>
        </w:rPr>
        <w:t xml:space="preserve"> </w:t>
      </w:r>
      <w:r>
        <w:t>formas</w:t>
      </w:r>
      <w:r>
        <w:rPr>
          <w:spacing w:val="-6"/>
        </w:rPr>
        <w:t xml:space="preserve"> </w:t>
      </w:r>
      <w:r>
        <w:t>de</w:t>
      </w:r>
      <w:r>
        <w:rPr>
          <w:spacing w:val="-6"/>
        </w:rPr>
        <w:t xml:space="preserve"> </w:t>
      </w:r>
      <w:r>
        <w:t>lucha</w:t>
      </w:r>
      <w:r>
        <w:rPr>
          <w:spacing w:val="-7"/>
        </w:rPr>
        <w:t xml:space="preserve"> </w:t>
      </w:r>
      <w:r>
        <w:t>es</w:t>
      </w:r>
      <w:r>
        <w:rPr>
          <w:spacing w:val="-6"/>
        </w:rPr>
        <w:t xml:space="preserve"> </w:t>
      </w:r>
      <w:r>
        <w:t>más</w:t>
      </w:r>
      <w:r>
        <w:rPr>
          <w:spacing w:val="-6"/>
        </w:rPr>
        <w:t xml:space="preserve"> </w:t>
      </w:r>
      <w:r>
        <w:t>complejo</w:t>
      </w:r>
      <w:r>
        <w:rPr>
          <w:spacing w:val="-7"/>
        </w:rPr>
        <w:t xml:space="preserve"> </w:t>
      </w:r>
      <w:r>
        <w:t>de</w:t>
      </w:r>
      <w:r>
        <w:rPr>
          <w:spacing w:val="-6"/>
        </w:rPr>
        <w:t xml:space="preserve"> </w:t>
      </w:r>
      <w:r>
        <w:t>lo</w:t>
      </w:r>
      <w:r>
        <w:rPr>
          <w:spacing w:val="-6"/>
        </w:rPr>
        <w:t xml:space="preserve"> </w:t>
      </w:r>
      <w:r>
        <w:t>que</w:t>
      </w:r>
      <w:r>
        <w:rPr>
          <w:spacing w:val="-6"/>
        </w:rPr>
        <w:t xml:space="preserve"> </w:t>
      </w:r>
      <w:r>
        <w:t>estas dos posiciones extremas reflejan y, sin duda, tiene más zonas grises que deben ser consideradas. En primer lugar, se puede afirmar que, a diferencia del Partido Comunista de Colombia-</w:t>
      </w:r>
      <w:r>
        <w:lastRenderedPageBreak/>
        <w:t>Marxista Leninista (PCC-ML) y el EPL, el Partido Comunista no era el brazo político</w:t>
      </w:r>
      <w:r>
        <w:rPr>
          <w:spacing w:val="-1"/>
        </w:rPr>
        <w:t xml:space="preserve"> </w:t>
      </w:r>
      <w:r>
        <w:t>de</w:t>
      </w:r>
      <w:r>
        <w:rPr>
          <w:spacing w:val="-1"/>
        </w:rPr>
        <w:t xml:space="preserve"> </w:t>
      </w:r>
      <w:r>
        <w:t>las</w:t>
      </w:r>
      <w:r>
        <w:rPr>
          <w:spacing w:val="-1"/>
        </w:rPr>
        <w:t xml:space="preserve"> </w:t>
      </w:r>
      <w:r>
        <w:t>FARC-EP</w:t>
      </w:r>
      <w:r>
        <w:rPr>
          <w:spacing w:val="-2"/>
        </w:rPr>
        <w:t xml:space="preserve"> </w:t>
      </w:r>
      <w:r>
        <w:t>ni</w:t>
      </w:r>
      <w:r>
        <w:rPr>
          <w:spacing w:val="-1"/>
        </w:rPr>
        <w:t xml:space="preserve"> </w:t>
      </w:r>
      <w:r>
        <w:t>tampoco</w:t>
      </w:r>
      <w:r>
        <w:rPr>
          <w:spacing w:val="-1"/>
        </w:rPr>
        <w:t xml:space="preserve"> </w:t>
      </w:r>
      <w:r>
        <w:t>las</w:t>
      </w:r>
      <w:r>
        <w:rPr>
          <w:spacing w:val="-1"/>
        </w:rPr>
        <w:t xml:space="preserve"> </w:t>
      </w:r>
      <w:r>
        <w:t>FARC-EP</w:t>
      </w:r>
      <w:r>
        <w:rPr>
          <w:spacing w:val="-2"/>
        </w:rPr>
        <w:t xml:space="preserve"> </w:t>
      </w:r>
      <w:r>
        <w:t>fueron</w:t>
      </w:r>
      <w:r>
        <w:rPr>
          <w:spacing w:val="-1"/>
        </w:rPr>
        <w:t xml:space="preserve"> </w:t>
      </w:r>
      <w:r>
        <w:t>el</w:t>
      </w:r>
      <w:r>
        <w:rPr>
          <w:spacing w:val="-2"/>
        </w:rPr>
        <w:t xml:space="preserve"> </w:t>
      </w:r>
      <w:r>
        <w:t>brazo</w:t>
      </w:r>
      <w:r>
        <w:rPr>
          <w:spacing w:val="-1"/>
        </w:rPr>
        <w:t xml:space="preserve"> </w:t>
      </w:r>
      <w:r>
        <w:t>armado</w:t>
      </w:r>
      <w:r>
        <w:rPr>
          <w:spacing w:val="-1"/>
        </w:rPr>
        <w:t xml:space="preserve"> </w:t>
      </w:r>
      <w:r>
        <w:t>del</w:t>
      </w:r>
      <w:r>
        <w:rPr>
          <w:spacing w:val="-1"/>
        </w:rPr>
        <w:t xml:space="preserve"> </w:t>
      </w:r>
      <w:r>
        <w:t>partido.</w:t>
      </w:r>
      <w:r>
        <w:rPr>
          <w:spacing w:val="-1"/>
        </w:rPr>
        <w:t xml:space="preserve"> </w:t>
      </w:r>
      <w:r>
        <w:t>Más bien se trataba de dos experiencias sociales, políticas y culturales distintas que tuvieron orígenes diferentes</w:t>
      </w:r>
      <w:r>
        <w:rPr>
          <w:spacing w:val="2"/>
        </w:rPr>
        <w:t xml:space="preserve"> </w:t>
      </w:r>
      <w:r>
        <w:t>(el</w:t>
      </w:r>
      <w:r>
        <w:rPr>
          <w:spacing w:val="4"/>
        </w:rPr>
        <w:t xml:space="preserve"> </w:t>
      </w:r>
      <w:r>
        <w:t>partido</w:t>
      </w:r>
      <w:r>
        <w:rPr>
          <w:spacing w:val="2"/>
        </w:rPr>
        <w:t xml:space="preserve"> </w:t>
      </w:r>
      <w:r>
        <w:t>en</w:t>
      </w:r>
      <w:r>
        <w:rPr>
          <w:spacing w:val="2"/>
        </w:rPr>
        <w:t xml:space="preserve"> </w:t>
      </w:r>
      <w:r>
        <w:t>los</w:t>
      </w:r>
      <w:r>
        <w:rPr>
          <w:spacing w:val="3"/>
        </w:rPr>
        <w:t xml:space="preserve"> </w:t>
      </w:r>
      <w:r>
        <w:t>años</w:t>
      </w:r>
      <w:r>
        <w:rPr>
          <w:spacing w:val="2"/>
        </w:rPr>
        <w:t xml:space="preserve"> </w:t>
      </w:r>
      <w:r>
        <w:t>veinte</w:t>
      </w:r>
      <w:r>
        <w:rPr>
          <w:spacing w:val="3"/>
        </w:rPr>
        <w:t xml:space="preserve"> </w:t>
      </w:r>
      <w:r>
        <w:t>y</w:t>
      </w:r>
      <w:r>
        <w:rPr>
          <w:spacing w:val="2"/>
        </w:rPr>
        <w:t xml:space="preserve"> </w:t>
      </w:r>
      <w:r>
        <w:t>treinta,</w:t>
      </w:r>
      <w:r>
        <w:rPr>
          <w:spacing w:val="2"/>
        </w:rPr>
        <w:t xml:space="preserve"> </w:t>
      </w:r>
      <w:r>
        <w:t>y</w:t>
      </w:r>
      <w:r>
        <w:rPr>
          <w:spacing w:val="3"/>
        </w:rPr>
        <w:t xml:space="preserve"> </w:t>
      </w:r>
      <w:r>
        <w:t>las</w:t>
      </w:r>
      <w:r>
        <w:rPr>
          <w:spacing w:val="2"/>
        </w:rPr>
        <w:t xml:space="preserve"> </w:t>
      </w:r>
      <w:r>
        <w:t>FARC</w:t>
      </w:r>
      <w:r>
        <w:rPr>
          <w:spacing w:val="2"/>
        </w:rPr>
        <w:t xml:space="preserve"> </w:t>
      </w:r>
      <w:r>
        <w:t>en</w:t>
      </w:r>
      <w:r>
        <w:rPr>
          <w:spacing w:val="4"/>
        </w:rPr>
        <w:t xml:space="preserve"> </w:t>
      </w:r>
      <w:r>
        <w:t>los</w:t>
      </w:r>
      <w:r>
        <w:rPr>
          <w:spacing w:val="2"/>
        </w:rPr>
        <w:t xml:space="preserve"> </w:t>
      </w:r>
      <w:r>
        <w:t>años</w:t>
      </w:r>
      <w:r>
        <w:rPr>
          <w:spacing w:val="3"/>
        </w:rPr>
        <w:t xml:space="preserve"> </w:t>
      </w:r>
      <w:r>
        <w:rPr>
          <w:spacing w:val="-2"/>
        </w:rPr>
        <w:t>sesenta),</w:t>
      </w:r>
      <w:bookmarkStart w:id="401" w:name="_bookmark311"/>
      <w:bookmarkStart w:id="402" w:name="_bookmark312"/>
      <w:bookmarkEnd w:id="401"/>
      <w:bookmarkEnd w:id="402"/>
      <w:r w:rsidR="0024486F">
        <w:rPr>
          <w:spacing w:val="-2"/>
        </w:rPr>
        <w:t xml:space="preserve"> </w:t>
      </w:r>
      <w:r>
        <w:t>que si bien compartían la misma orientación ideológica y la misma matriz cognitiva de carácter comunista tuvieron trayectorias y desenlaces distintos.</w:t>
      </w:r>
    </w:p>
    <w:p w:rsidR="003804AC" w:rsidRDefault="00AF18A5" w:rsidP="0024486F">
      <w:r>
        <w:t>En esa dirección, se puede afirmar que la denominada combinación de todas las formas de lucha fue una formulación mediante la cual se intentó dirimir el balance precario entre quienes, al interior de la tendencia comunista, se inclinaban por la salida negociada al conflicto armado, llamaban la atención sobre la deriva e inviabilidad de la lucha armada y enfatizaban en el campo político legal. Posición muy distinta a la de quienes se inclinaron por enfatizar en la lucha armada, en la acumulación del poder militar de la organización guerrillera, al lado del trabajo de la organización social y política de los sectores populares para ir creando las condiciones de la insurrección popular y la toma del poder.</w:t>
      </w:r>
    </w:p>
    <w:p w:rsidR="003804AC" w:rsidRDefault="00AF18A5" w:rsidP="0024486F">
      <w:r>
        <w:t>Incluso desde los años cincuenta y sesenta fueron claros los apoyos y a la vez los desencuentros entre la experiencia del Partido Comunista y la experiencia social específica del movimiento de autodefensas campesinas, en particular a propósito del papel de la lucha armada.</w:t>
      </w:r>
      <w:r w:rsidR="0024486F">
        <w:rPr>
          <w:rStyle w:val="Refdenotaalpie"/>
        </w:rPr>
        <w:footnoteReference w:id="272"/>
      </w:r>
      <w:r>
        <w:t>.</w:t>
      </w:r>
      <w:r>
        <w:rPr>
          <w:spacing w:val="-4"/>
        </w:rPr>
        <w:t xml:space="preserve"> </w:t>
      </w:r>
      <w:r>
        <w:t>En</w:t>
      </w:r>
      <w:r>
        <w:rPr>
          <w:spacing w:val="-2"/>
        </w:rPr>
        <w:t xml:space="preserve"> </w:t>
      </w:r>
      <w:r>
        <w:t>los</w:t>
      </w:r>
      <w:r>
        <w:rPr>
          <w:spacing w:val="-4"/>
        </w:rPr>
        <w:t xml:space="preserve"> </w:t>
      </w:r>
      <w:r>
        <w:t>años</w:t>
      </w:r>
      <w:r>
        <w:rPr>
          <w:spacing w:val="-4"/>
        </w:rPr>
        <w:t xml:space="preserve"> </w:t>
      </w:r>
      <w:r>
        <w:t>sesenta,</w:t>
      </w:r>
      <w:r>
        <w:rPr>
          <w:spacing w:val="-4"/>
        </w:rPr>
        <w:t xml:space="preserve"> </w:t>
      </w:r>
      <w:r>
        <w:t>durante</w:t>
      </w:r>
      <w:r>
        <w:rPr>
          <w:spacing w:val="-3"/>
        </w:rPr>
        <w:t xml:space="preserve"> </w:t>
      </w:r>
      <w:r>
        <w:t>la</w:t>
      </w:r>
      <w:r>
        <w:rPr>
          <w:spacing w:val="-3"/>
        </w:rPr>
        <w:t xml:space="preserve"> </w:t>
      </w:r>
      <w:r>
        <w:t>transición</w:t>
      </w:r>
      <w:r>
        <w:rPr>
          <w:spacing w:val="-4"/>
        </w:rPr>
        <w:t xml:space="preserve"> </w:t>
      </w:r>
      <w:r>
        <w:t>de</w:t>
      </w:r>
      <w:r>
        <w:rPr>
          <w:spacing w:val="-3"/>
        </w:rPr>
        <w:t xml:space="preserve"> </w:t>
      </w:r>
      <w:r>
        <w:t>la</w:t>
      </w:r>
      <w:r>
        <w:rPr>
          <w:spacing w:val="-3"/>
        </w:rPr>
        <w:t xml:space="preserve"> </w:t>
      </w:r>
      <w:r>
        <w:t>Violencia</w:t>
      </w:r>
      <w:r>
        <w:rPr>
          <w:spacing w:val="-3"/>
        </w:rPr>
        <w:t xml:space="preserve"> </w:t>
      </w:r>
      <w:r>
        <w:t>al</w:t>
      </w:r>
      <w:r>
        <w:rPr>
          <w:spacing w:val="-3"/>
        </w:rPr>
        <w:t xml:space="preserve"> </w:t>
      </w:r>
      <w:r>
        <w:t>Frente</w:t>
      </w:r>
      <w:r>
        <w:rPr>
          <w:spacing w:val="-3"/>
        </w:rPr>
        <w:t xml:space="preserve"> </w:t>
      </w:r>
      <w:r>
        <w:lastRenderedPageBreak/>
        <w:t>Nacional,</w:t>
      </w:r>
      <w:r>
        <w:rPr>
          <w:spacing w:val="-4"/>
        </w:rPr>
        <w:t xml:space="preserve"> </w:t>
      </w:r>
      <w:r>
        <w:t>fue evidente la insistencia del Partido Comunista en detener los impulsos militares y ofensivos de</w:t>
      </w:r>
      <w:r>
        <w:rPr>
          <w:spacing w:val="-2"/>
        </w:rPr>
        <w:t xml:space="preserve"> </w:t>
      </w:r>
      <w:r>
        <w:t>las</w:t>
      </w:r>
      <w:r>
        <w:rPr>
          <w:spacing w:val="-2"/>
        </w:rPr>
        <w:t xml:space="preserve"> </w:t>
      </w:r>
      <w:r>
        <w:t>autodefensas</w:t>
      </w:r>
      <w:r>
        <w:rPr>
          <w:spacing w:val="-2"/>
        </w:rPr>
        <w:t xml:space="preserve"> </w:t>
      </w:r>
      <w:r>
        <w:t>campesinas</w:t>
      </w:r>
      <w:r>
        <w:rPr>
          <w:spacing w:val="-2"/>
        </w:rPr>
        <w:t xml:space="preserve"> </w:t>
      </w:r>
      <w:r>
        <w:t>en</w:t>
      </w:r>
      <w:r>
        <w:rPr>
          <w:spacing w:val="-2"/>
        </w:rPr>
        <w:t xml:space="preserve"> </w:t>
      </w:r>
      <w:r>
        <w:t>el</w:t>
      </w:r>
      <w:r>
        <w:rPr>
          <w:spacing w:val="-3"/>
        </w:rPr>
        <w:t xml:space="preserve"> </w:t>
      </w:r>
      <w:r>
        <w:t>norte</w:t>
      </w:r>
      <w:r>
        <w:rPr>
          <w:spacing w:val="-2"/>
        </w:rPr>
        <w:t xml:space="preserve"> </w:t>
      </w:r>
      <w:r>
        <w:t>del</w:t>
      </w:r>
      <w:r>
        <w:rPr>
          <w:spacing w:val="-2"/>
        </w:rPr>
        <w:t xml:space="preserve"> </w:t>
      </w:r>
      <w:r>
        <w:t>Huila,</w:t>
      </w:r>
      <w:r>
        <w:rPr>
          <w:spacing w:val="-2"/>
        </w:rPr>
        <w:t xml:space="preserve"> </w:t>
      </w:r>
      <w:r>
        <w:t>sur</w:t>
      </w:r>
      <w:r>
        <w:rPr>
          <w:spacing w:val="-2"/>
        </w:rPr>
        <w:t xml:space="preserve"> </w:t>
      </w:r>
      <w:r>
        <w:t>del</w:t>
      </w:r>
      <w:r>
        <w:rPr>
          <w:spacing w:val="-2"/>
        </w:rPr>
        <w:t xml:space="preserve"> </w:t>
      </w:r>
      <w:r>
        <w:t>Tolima,</w:t>
      </w:r>
      <w:r>
        <w:rPr>
          <w:spacing w:val="-2"/>
        </w:rPr>
        <w:t xml:space="preserve"> </w:t>
      </w:r>
      <w:r>
        <w:t>Sumapaz,</w:t>
      </w:r>
      <w:r>
        <w:rPr>
          <w:spacing w:val="-2"/>
        </w:rPr>
        <w:t xml:space="preserve"> </w:t>
      </w:r>
      <w:r>
        <w:t>El</w:t>
      </w:r>
      <w:r>
        <w:rPr>
          <w:spacing w:val="-2"/>
        </w:rPr>
        <w:t xml:space="preserve"> </w:t>
      </w:r>
      <w:r>
        <w:t>Pato</w:t>
      </w:r>
      <w:r>
        <w:rPr>
          <w:spacing w:val="-2"/>
        </w:rPr>
        <w:t xml:space="preserve"> </w:t>
      </w:r>
      <w:r>
        <w:t>y</w:t>
      </w:r>
      <w:r>
        <w:rPr>
          <w:spacing w:val="-2"/>
        </w:rPr>
        <w:t xml:space="preserve"> </w:t>
      </w:r>
      <w:r>
        <w:t>El Guayabero, en el Caquetá, pero también su ambigüedad frente a la lucha armada cuando en su congreso había formulado el principio de la combinación de las formas de lucha. Tanto así que a nivel regional se hizo público el debate entre algunos miembros de la dirección regional</w:t>
      </w:r>
      <w:r>
        <w:rPr>
          <w:spacing w:val="-12"/>
        </w:rPr>
        <w:t xml:space="preserve"> </w:t>
      </w:r>
      <w:r>
        <w:t>comunista</w:t>
      </w:r>
      <w:r>
        <w:rPr>
          <w:spacing w:val="-12"/>
        </w:rPr>
        <w:t xml:space="preserve"> </w:t>
      </w:r>
      <w:r>
        <w:t>del</w:t>
      </w:r>
      <w:r>
        <w:rPr>
          <w:spacing w:val="-13"/>
        </w:rPr>
        <w:t xml:space="preserve"> </w:t>
      </w:r>
      <w:r>
        <w:t>Tolima,</w:t>
      </w:r>
      <w:r>
        <w:rPr>
          <w:spacing w:val="-13"/>
        </w:rPr>
        <w:t xml:space="preserve"> </w:t>
      </w:r>
      <w:r>
        <w:t>entre</w:t>
      </w:r>
      <w:r>
        <w:rPr>
          <w:spacing w:val="-12"/>
        </w:rPr>
        <w:t xml:space="preserve"> </w:t>
      </w:r>
      <w:r>
        <w:t>ellos</w:t>
      </w:r>
      <w:r>
        <w:rPr>
          <w:spacing w:val="-13"/>
        </w:rPr>
        <w:t xml:space="preserve"> </w:t>
      </w:r>
      <w:r>
        <w:t>Martín</w:t>
      </w:r>
      <w:r>
        <w:rPr>
          <w:spacing w:val="-12"/>
        </w:rPr>
        <w:t xml:space="preserve"> </w:t>
      </w:r>
      <w:r>
        <w:t>Camargo</w:t>
      </w:r>
      <w:r>
        <w:rPr>
          <w:spacing w:val="-12"/>
        </w:rPr>
        <w:t xml:space="preserve"> </w:t>
      </w:r>
      <w:r>
        <w:t>y</w:t>
      </w:r>
      <w:r>
        <w:rPr>
          <w:spacing w:val="-13"/>
        </w:rPr>
        <w:t xml:space="preserve"> </w:t>
      </w:r>
      <w:r>
        <w:t>Hugo</w:t>
      </w:r>
      <w:r>
        <w:rPr>
          <w:spacing w:val="-12"/>
        </w:rPr>
        <w:t xml:space="preserve"> </w:t>
      </w:r>
      <w:r>
        <w:t>Parga,</w:t>
      </w:r>
      <w:r>
        <w:rPr>
          <w:spacing w:val="-12"/>
        </w:rPr>
        <w:t xml:space="preserve"> </w:t>
      </w:r>
      <w:r>
        <w:t>y</w:t>
      </w:r>
      <w:r>
        <w:rPr>
          <w:spacing w:val="-12"/>
        </w:rPr>
        <w:t xml:space="preserve"> </w:t>
      </w:r>
      <w:r>
        <w:t>el</w:t>
      </w:r>
      <w:r>
        <w:rPr>
          <w:spacing w:val="-12"/>
        </w:rPr>
        <w:t xml:space="preserve"> </w:t>
      </w:r>
      <w:r>
        <w:t>mando</w:t>
      </w:r>
      <w:r>
        <w:rPr>
          <w:spacing w:val="-13"/>
        </w:rPr>
        <w:t xml:space="preserve"> </w:t>
      </w:r>
      <w:r>
        <w:t>militar campesino de las autodefensas. Específicamente, la discusión giró en torno a qué posición tomar</w:t>
      </w:r>
      <w:r>
        <w:rPr>
          <w:spacing w:val="-12"/>
        </w:rPr>
        <w:t xml:space="preserve"> </w:t>
      </w:r>
      <w:r>
        <w:t>en</w:t>
      </w:r>
      <w:r>
        <w:rPr>
          <w:spacing w:val="-13"/>
        </w:rPr>
        <w:t xml:space="preserve"> </w:t>
      </w:r>
      <w:r>
        <w:t>la</w:t>
      </w:r>
      <w:r>
        <w:rPr>
          <w:spacing w:val="-13"/>
        </w:rPr>
        <w:t xml:space="preserve"> </w:t>
      </w:r>
      <w:r>
        <w:t>transición</w:t>
      </w:r>
      <w:r>
        <w:rPr>
          <w:spacing w:val="-12"/>
        </w:rPr>
        <w:t xml:space="preserve"> </w:t>
      </w:r>
      <w:r>
        <w:t>y</w:t>
      </w:r>
      <w:r>
        <w:rPr>
          <w:spacing w:val="-13"/>
        </w:rPr>
        <w:t xml:space="preserve"> </w:t>
      </w:r>
      <w:r>
        <w:t>frente</w:t>
      </w:r>
      <w:r>
        <w:rPr>
          <w:spacing w:val="-13"/>
        </w:rPr>
        <w:t xml:space="preserve"> </w:t>
      </w:r>
      <w:r>
        <w:t>a</w:t>
      </w:r>
      <w:r>
        <w:rPr>
          <w:spacing w:val="-13"/>
        </w:rPr>
        <w:t xml:space="preserve"> </w:t>
      </w:r>
      <w:r>
        <w:t>los</w:t>
      </w:r>
      <w:r>
        <w:rPr>
          <w:spacing w:val="-12"/>
        </w:rPr>
        <w:t xml:space="preserve"> </w:t>
      </w:r>
      <w:r>
        <w:t>llamados</w:t>
      </w:r>
      <w:r>
        <w:rPr>
          <w:spacing w:val="-12"/>
        </w:rPr>
        <w:t xml:space="preserve"> </w:t>
      </w:r>
      <w:r>
        <w:t>de</w:t>
      </w:r>
      <w:r>
        <w:rPr>
          <w:spacing w:val="-12"/>
        </w:rPr>
        <w:t xml:space="preserve"> </w:t>
      </w:r>
      <w:r>
        <w:t>paz</w:t>
      </w:r>
      <w:r>
        <w:rPr>
          <w:spacing w:val="-12"/>
        </w:rPr>
        <w:t xml:space="preserve"> </w:t>
      </w:r>
      <w:r>
        <w:t>y</w:t>
      </w:r>
      <w:r>
        <w:rPr>
          <w:spacing w:val="-12"/>
        </w:rPr>
        <w:t xml:space="preserve"> </w:t>
      </w:r>
      <w:r>
        <w:t>reconciliación</w:t>
      </w:r>
      <w:r>
        <w:rPr>
          <w:spacing w:val="-13"/>
        </w:rPr>
        <w:t xml:space="preserve"> </w:t>
      </w:r>
      <w:r>
        <w:t>del</w:t>
      </w:r>
      <w:r>
        <w:rPr>
          <w:spacing w:val="-13"/>
        </w:rPr>
        <w:t xml:space="preserve"> </w:t>
      </w:r>
      <w:r>
        <w:t>Gobierno</w:t>
      </w:r>
      <w:r>
        <w:rPr>
          <w:spacing w:val="-12"/>
        </w:rPr>
        <w:t xml:space="preserve"> </w:t>
      </w:r>
      <w:r>
        <w:t>de</w:t>
      </w:r>
      <w:r>
        <w:rPr>
          <w:spacing w:val="-13"/>
        </w:rPr>
        <w:t xml:space="preserve"> </w:t>
      </w:r>
      <w:r>
        <w:t>Alberto Lleras Camargo</w:t>
      </w:r>
      <w:r>
        <w:rPr>
          <w:spacing w:val="2"/>
        </w:rPr>
        <w:t xml:space="preserve"> </w:t>
      </w:r>
      <w:r>
        <w:t>(1958-1962).</w:t>
      </w:r>
      <w:r>
        <w:rPr>
          <w:spacing w:val="2"/>
        </w:rPr>
        <w:t xml:space="preserve"> </w:t>
      </w:r>
      <w:r>
        <w:t>El</w:t>
      </w:r>
      <w:r>
        <w:rPr>
          <w:spacing w:val="3"/>
        </w:rPr>
        <w:t xml:space="preserve"> </w:t>
      </w:r>
      <w:r>
        <w:t>punto</w:t>
      </w:r>
      <w:r>
        <w:rPr>
          <w:spacing w:val="3"/>
        </w:rPr>
        <w:t xml:space="preserve"> </w:t>
      </w:r>
      <w:r>
        <w:t>de</w:t>
      </w:r>
      <w:r>
        <w:rPr>
          <w:spacing w:val="2"/>
        </w:rPr>
        <w:t xml:space="preserve"> </w:t>
      </w:r>
      <w:r>
        <w:t>debate</w:t>
      </w:r>
      <w:r>
        <w:rPr>
          <w:spacing w:val="1"/>
        </w:rPr>
        <w:t xml:space="preserve"> </w:t>
      </w:r>
      <w:r>
        <w:t>fue</w:t>
      </w:r>
      <w:r>
        <w:rPr>
          <w:spacing w:val="2"/>
        </w:rPr>
        <w:t xml:space="preserve"> </w:t>
      </w:r>
      <w:r>
        <w:t>la</w:t>
      </w:r>
      <w:r>
        <w:rPr>
          <w:spacing w:val="3"/>
        </w:rPr>
        <w:t xml:space="preserve"> </w:t>
      </w:r>
      <w:r>
        <w:t>orientación</w:t>
      </w:r>
      <w:r>
        <w:rPr>
          <w:spacing w:val="2"/>
        </w:rPr>
        <w:t xml:space="preserve"> </w:t>
      </w:r>
      <w:r>
        <w:t>del</w:t>
      </w:r>
      <w:r>
        <w:rPr>
          <w:spacing w:val="3"/>
        </w:rPr>
        <w:t xml:space="preserve"> </w:t>
      </w:r>
      <w:r>
        <w:t>octavo</w:t>
      </w:r>
      <w:r>
        <w:rPr>
          <w:spacing w:val="2"/>
        </w:rPr>
        <w:t xml:space="preserve"> </w:t>
      </w:r>
      <w:r>
        <w:t>congreso</w:t>
      </w:r>
      <w:r>
        <w:rPr>
          <w:spacing w:val="3"/>
        </w:rPr>
        <w:t xml:space="preserve"> </w:t>
      </w:r>
      <w:r>
        <w:rPr>
          <w:spacing w:val="-5"/>
        </w:rPr>
        <w:t>del</w:t>
      </w:r>
      <w:bookmarkStart w:id="403" w:name="_bookmark313"/>
      <w:bookmarkEnd w:id="403"/>
      <w:r w:rsidR="0024486F">
        <w:rPr>
          <w:spacing w:val="-5"/>
        </w:rPr>
        <w:t xml:space="preserve"> </w:t>
      </w:r>
      <w:r>
        <w:t>Partido Comunista de que las guerrillas debían acogerse sin más a la amnistía de Lleras y participar activamente en el plan nacional de rehabilitación que él se proponía</w:t>
      </w:r>
      <w:r w:rsidR="0024486F">
        <w:rPr>
          <w:rStyle w:val="Refdenotaalpie"/>
        </w:rPr>
        <w:footnoteReference w:id="273"/>
      </w:r>
      <w:r>
        <w:t>.</w:t>
      </w:r>
    </w:p>
    <w:p w:rsidR="003804AC" w:rsidRDefault="00AF18A5" w:rsidP="0024486F">
      <w:r>
        <w:t>Para los dirigentes urbanos del partido, la guerrilla y la lucha</w:t>
      </w:r>
      <w:r>
        <w:rPr>
          <w:spacing w:val="-1"/>
        </w:rPr>
        <w:t xml:space="preserve"> </w:t>
      </w:r>
      <w:r>
        <w:t>armada fueron un factor de negociación</w:t>
      </w:r>
      <w:r>
        <w:rPr>
          <w:spacing w:val="-14"/>
        </w:rPr>
        <w:t xml:space="preserve"> </w:t>
      </w:r>
      <w:r>
        <w:t>y</w:t>
      </w:r>
      <w:r>
        <w:rPr>
          <w:spacing w:val="-13"/>
        </w:rPr>
        <w:t xml:space="preserve"> </w:t>
      </w:r>
      <w:r>
        <w:t>de</w:t>
      </w:r>
      <w:r>
        <w:rPr>
          <w:spacing w:val="-13"/>
        </w:rPr>
        <w:t xml:space="preserve"> </w:t>
      </w:r>
      <w:r>
        <w:t>presión</w:t>
      </w:r>
      <w:r>
        <w:rPr>
          <w:spacing w:val="-14"/>
        </w:rPr>
        <w:t xml:space="preserve"> </w:t>
      </w:r>
      <w:r>
        <w:t>de</w:t>
      </w:r>
      <w:r>
        <w:rPr>
          <w:spacing w:val="-13"/>
        </w:rPr>
        <w:t xml:space="preserve"> </w:t>
      </w:r>
      <w:r>
        <w:t>cara</w:t>
      </w:r>
      <w:r>
        <w:rPr>
          <w:spacing w:val="-13"/>
        </w:rPr>
        <w:t xml:space="preserve"> </w:t>
      </w:r>
      <w:r>
        <w:t>al</w:t>
      </w:r>
      <w:r>
        <w:rPr>
          <w:spacing w:val="-13"/>
        </w:rPr>
        <w:t xml:space="preserve"> </w:t>
      </w:r>
      <w:r>
        <w:t>establecimiento</w:t>
      </w:r>
      <w:r>
        <w:rPr>
          <w:spacing w:val="-13"/>
        </w:rPr>
        <w:t xml:space="preserve"> </w:t>
      </w:r>
      <w:r>
        <w:t>político;</w:t>
      </w:r>
      <w:r>
        <w:rPr>
          <w:spacing w:val="-13"/>
        </w:rPr>
        <w:t xml:space="preserve"> </w:t>
      </w:r>
      <w:r>
        <w:t>para</w:t>
      </w:r>
      <w:r>
        <w:rPr>
          <w:spacing w:val="-14"/>
        </w:rPr>
        <w:t xml:space="preserve"> </w:t>
      </w:r>
      <w:r>
        <w:t>los</w:t>
      </w:r>
      <w:r>
        <w:rPr>
          <w:spacing w:val="-13"/>
        </w:rPr>
        <w:t xml:space="preserve"> </w:t>
      </w:r>
      <w:r>
        <w:t>dirigentes</w:t>
      </w:r>
      <w:r>
        <w:rPr>
          <w:spacing w:val="-13"/>
        </w:rPr>
        <w:t xml:space="preserve"> </w:t>
      </w:r>
      <w:r>
        <w:t>de</w:t>
      </w:r>
      <w:r>
        <w:rPr>
          <w:spacing w:val="-13"/>
        </w:rPr>
        <w:t xml:space="preserve"> </w:t>
      </w:r>
      <w:r>
        <w:t>las</w:t>
      </w:r>
      <w:r>
        <w:rPr>
          <w:spacing w:val="-14"/>
        </w:rPr>
        <w:t xml:space="preserve"> </w:t>
      </w:r>
      <w:r>
        <w:t>FARC, por el contrario, la guerrilla fue en sí misma un fin que debía constituirse en un factor de poder,</w:t>
      </w:r>
      <w:r>
        <w:rPr>
          <w:spacing w:val="-15"/>
        </w:rPr>
        <w:t xml:space="preserve"> </w:t>
      </w:r>
      <w:r>
        <w:t>con</w:t>
      </w:r>
      <w:r>
        <w:rPr>
          <w:spacing w:val="-15"/>
        </w:rPr>
        <w:t xml:space="preserve"> </w:t>
      </w:r>
      <w:r>
        <w:t>autonomía</w:t>
      </w:r>
      <w:r>
        <w:rPr>
          <w:spacing w:val="-15"/>
        </w:rPr>
        <w:t xml:space="preserve"> </w:t>
      </w:r>
      <w:r>
        <w:t>incluso</w:t>
      </w:r>
      <w:r>
        <w:rPr>
          <w:spacing w:val="-15"/>
        </w:rPr>
        <w:t xml:space="preserve"> </w:t>
      </w:r>
      <w:r>
        <w:t>de</w:t>
      </w:r>
      <w:r>
        <w:rPr>
          <w:spacing w:val="-15"/>
        </w:rPr>
        <w:t xml:space="preserve"> </w:t>
      </w:r>
      <w:r>
        <w:t>las</w:t>
      </w:r>
      <w:r>
        <w:rPr>
          <w:spacing w:val="-15"/>
        </w:rPr>
        <w:t xml:space="preserve"> </w:t>
      </w:r>
      <w:r>
        <w:t>orientaciones</w:t>
      </w:r>
      <w:r>
        <w:rPr>
          <w:spacing w:val="-15"/>
        </w:rPr>
        <w:t xml:space="preserve"> </w:t>
      </w:r>
      <w:r>
        <w:t>del</w:t>
      </w:r>
      <w:r>
        <w:rPr>
          <w:spacing w:val="-15"/>
        </w:rPr>
        <w:t xml:space="preserve"> </w:t>
      </w:r>
      <w:r>
        <w:t>Partido</w:t>
      </w:r>
      <w:r>
        <w:rPr>
          <w:spacing w:val="-15"/>
        </w:rPr>
        <w:t xml:space="preserve"> </w:t>
      </w:r>
      <w:r>
        <w:t>Comunista.</w:t>
      </w:r>
      <w:r>
        <w:rPr>
          <w:spacing w:val="-15"/>
        </w:rPr>
        <w:t xml:space="preserve"> </w:t>
      </w:r>
      <w:r>
        <w:t>Sobre</w:t>
      </w:r>
      <w:r>
        <w:rPr>
          <w:spacing w:val="-15"/>
        </w:rPr>
        <w:t xml:space="preserve"> </w:t>
      </w:r>
      <w:r>
        <w:t>esta</w:t>
      </w:r>
      <w:r>
        <w:rPr>
          <w:spacing w:val="-15"/>
        </w:rPr>
        <w:t xml:space="preserve"> </w:t>
      </w:r>
      <w:r>
        <w:t>relación, se</w:t>
      </w:r>
      <w:r>
        <w:rPr>
          <w:spacing w:val="-11"/>
        </w:rPr>
        <w:t xml:space="preserve"> </w:t>
      </w:r>
      <w:r>
        <w:t>pueden</w:t>
      </w:r>
      <w:r>
        <w:rPr>
          <w:spacing w:val="-11"/>
        </w:rPr>
        <w:t xml:space="preserve"> </w:t>
      </w:r>
      <w:r>
        <w:t>señalar</w:t>
      </w:r>
      <w:r>
        <w:rPr>
          <w:spacing w:val="-12"/>
        </w:rPr>
        <w:t xml:space="preserve"> </w:t>
      </w:r>
      <w:r>
        <w:t>tres</w:t>
      </w:r>
      <w:r>
        <w:rPr>
          <w:spacing w:val="-11"/>
        </w:rPr>
        <w:t xml:space="preserve"> </w:t>
      </w:r>
      <w:r>
        <w:t>fases:</w:t>
      </w:r>
      <w:r>
        <w:rPr>
          <w:spacing w:val="-10"/>
        </w:rPr>
        <w:t xml:space="preserve"> </w:t>
      </w:r>
      <w:r>
        <w:t>i)</w:t>
      </w:r>
      <w:r>
        <w:rPr>
          <w:spacing w:val="-10"/>
        </w:rPr>
        <w:t xml:space="preserve"> </w:t>
      </w:r>
      <w:r>
        <w:t>Hasta</w:t>
      </w:r>
      <w:r>
        <w:rPr>
          <w:spacing w:val="-12"/>
        </w:rPr>
        <w:t xml:space="preserve"> </w:t>
      </w:r>
      <w:r>
        <w:t>mediados</w:t>
      </w:r>
      <w:r>
        <w:rPr>
          <w:spacing w:val="-11"/>
        </w:rPr>
        <w:t xml:space="preserve"> </w:t>
      </w:r>
      <w:r>
        <w:t>de</w:t>
      </w:r>
      <w:r>
        <w:rPr>
          <w:spacing w:val="-12"/>
        </w:rPr>
        <w:t xml:space="preserve"> </w:t>
      </w:r>
      <w:r>
        <w:t>los</w:t>
      </w:r>
      <w:r>
        <w:rPr>
          <w:spacing w:val="-11"/>
        </w:rPr>
        <w:t xml:space="preserve"> </w:t>
      </w:r>
      <w:r>
        <w:t>años</w:t>
      </w:r>
      <w:r>
        <w:rPr>
          <w:spacing w:val="-11"/>
        </w:rPr>
        <w:t xml:space="preserve"> </w:t>
      </w:r>
      <w:r>
        <w:t>setenta</w:t>
      </w:r>
      <w:r>
        <w:rPr>
          <w:spacing w:val="-11"/>
        </w:rPr>
        <w:t xml:space="preserve"> </w:t>
      </w:r>
      <w:r>
        <w:t>cuando</w:t>
      </w:r>
      <w:r>
        <w:rPr>
          <w:spacing w:val="-12"/>
        </w:rPr>
        <w:t xml:space="preserve"> </w:t>
      </w:r>
      <w:r>
        <w:t>los</w:t>
      </w:r>
      <w:r>
        <w:rPr>
          <w:spacing w:val="-11"/>
        </w:rPr>
        <w:t xml:space="preserve"> </w:t>
      </w:r>
      <w:proofErr w:type="spellStart"/>
      <w:r>
        <w:t>farianos</w:t>
      </w:r>
      <w:proofErr w:type="spellEnd"/>
      <w:r>
        <w:rPr>
          <w:spacing w:val="-12"/>
        </w:rPr>
        <w:t xml:space="preserve"> </w:t>
      </w:r>
      <w:r>
        <w:t xml:space="preserve">fueron funcionales a los planes del PCC; </w:t>
      </w:r>
      <w:proofErr w:type="spellStart"/>
      <w:r>
        <w:t>ii</w:t>
      </w:r>
      <w:proofErr w:type="spellEnd"/>
      <w:r>
        <w:t xml:space="preserve">) desde mediados de los setenta hasta mediados de los ochenta cuando afloraron los primeros quiebres dada la expansión territorial y la actividad militar </w:t>
      </w:r>
      <w:proofErr w:type="spellStart"/>
      <w:r>
        <w:t>fariana</w:t>
      </w:r>
      <w:proofErr w:type="spellEnd"/>
      <w:r>
        <w:t xml:space="preserve"> que perjudicó la militancia y el trabajo del PCC en las zonas donde habitualmente</w:t>
      </w:r>
      <w:r>
        <w:rPr>
          <w:spacing w:val="-2"/>
        </w:rPr>
        <w:t xml:space="preserve"> </w:t>
      </w:r>
      <w:r>
        <w:t>efectuaban</w:t>
      </w:r>
      <w:r>
        <w:rPr>
          <w:spacing w:val="-2"/>
        </w:rPr>
        <w:t xml:space="preserve"> </w:t>
      </w:r>
      <w:r>
        <w:t>proselitismo</w:t>
      </w:r>
      <w:r>
        <w:rPr>
          <w:spacing w:val="-2"/>
        </w:rPr>
        <w:t xml:space="preserve"> </w:t>
      </w:r>
      <w:r>
        <w:t>legal,</w:t>
      </w:r>
      <w:r>
        <w:rPr>
          <w:spacing w:val="-3"/>
        </w:rPr>
        <w:t xml:space="preserve"> </w:t>
      </w:r>
      <w:r>
        <w:t>a</w:t>
      </w:r>
      <w:r>
        <w:rPr>
          <w:spacing w:val="-3"/>
        </w:rPr>
        <w:t xml:space="preserve"> </w:t>
      </w:r>
      <w:r>
        <w:t>más</w:t>
      </w:r>
      <w:r>
        <w:rPr>
          <w:spacing w:val="-2"/>
        </w:rPr>
        <w:t xml:space="preserve"> </w:t>
      </w:r>
      <w:r>
        <w:t>de</w:t>
      </w:r>
      <w:r>
        <w:rPr>
          <w:spacing w:val="-2"/>
        </w:rPr>
        <w:t xml:space="preserve"> </w:t>
      </w:r>
      <w:r>
        <w:t>la</w:t>
      </w:r>
      <w:r>
        <w:rPr>
          <w:spacing w:val="-2"/>
        </w:rPr>
        <w:t xml:space="preserve"> </w:t>
      </w:r>
      <w:r>
        <w:t>creación</w:t>
      </w:r>
      <w:r>
        <w:rPr>
          <w:spacing w:val="-3"/>
        </w:rPr>
        <w:t xml:space="preserve"> </w:t>
      </w:r>
      <w:r>
        <w:t>de</w:t>
      </w:r>
      <w:r>
        <w:rPr>
          <w:spacing w:val="-3"/>
        </w:rPr>
        <w:t xml:space="preserve"> </w:t>
      </w:r>
      <w:r>
        <w:t>los</w:t>
      </w:r>
      <w:r>
        <w:rPr>
          <w:spacing w:val="-2"/>
        </w:rPr>
        <w:t xml:space="preserve"> </w:t>
      </w:r>
      <w:r>
        <w:t>«núcleos</w:t>
      </w:r>
      <w:r>
        <w:rPr>
          <w:spacing w:val="-2"/>
        </w:rPr>
        <w:t xml:space="preserve"> </w:t>
      </w:r>
      <w:r>
        <w:t xml:space="preserve">solidarios </w:t>
      </w:r>
      <w:proofErr w:type="spellStart"/>
      <w:r>
        <w:t>farianos</w:t>
      </w:r>
      <w:proofErr w:type="spellEnd"/>
      <w:r>
        <w:t xml:space="preserve">» que significaron una </w:t>
      </w:r>
      <w:r>
        <w:lastRenderedPageBreak/>
        <w:t xml:space="preserve">forma de organización alterna al PCC; y </w:t>
      </w:r>
      <w:proofErr w:type="spellStart"/>
      <w:r>
        <w:t>iii</w:t>
      </w:r>
      <w:proofErr w:type="spellEnd"/>
      <w:r>
        <w:t>) desde mediados de los ochenta hasta comienzos de los noventa cuando el PCC se escindió en torno de la Unión</w:t>
      </w:r>
      <w:r>
        <w:rPr>
          <w:spacing w:val="-14"/>
        </w:rPr>
        <w:t xml:space="preserve"> </w:t>
      </w:r>
      <w:r>
        <w:t>Patriótica</w:t>
      </w:r>
      <w:r>
        <w:rPr>
          <w:spacing w:val="-14"/>
        </w:rPr>
        <w:t xml:space="preserve"> </w:t>
      </w:r>
      <w:r>
        <w:t>(UP),</w:t>
      </w:r>
      <w:r>
        <w:rPr>
          <w:spacing w:val="-14"/>
        </w:rPr>
        <w:t xml:space="preserve"> </w:t>
      </w:r>
      <w:r>
        <w:t>entre</w:t>
      </w:r>
      <w:r>
        <w:rPr>
          <w:spacing w:val="-14"/>
        </w:rPr>
        <w:t xml:space="preserve"> </w:t>
      </w:r>
      <w:r>
        <w:t>los</w:t>
      </w:r>
      <w:r>
        <w:rPr>
          <w:spacing w:val="-14"/>
        </w:rPr>
        <w:t xml:space="preserve"> </w:t>
      </w:r>
      <w:r>
        <w:t>adeptos</w:t>
      </w:r>
      <w:r>
        <w:rPr>
          <w:spacing w:val="-14"/>
        </w:rPr>
        <w:t xml:space="preserve"> </w:t>
      </w:r>
      <w:r>
        <w:t>de</w:t>
      </w:r>
      <w:r>
        <w:rPr>
          <w:spacing w:val="-14"/>
        </w:rPr>
        <w:t xml:space="preserve"> </w:t>
      </w:r>
      <w:r>
        <w:t>continuar</w:t>
      </w:r>
      <w:r>
        <w:rPr>
          <w:spacing w:val="-14"/>
        </w:rPr>
        <w:t xml:space="preserve"> </w:t>
      </w:r>
      <w:r>
        <w:t>la</w:t>
      </w:r>
      <w:r>
        <w:rPr>
          <w:spacing w:val="-14"/>
        </w:rPr>
        <w:t xml:space="preserve"> </w:t>
      </w:r>
      <w:r>
        <w:t>lucha</w:t>
      </w:r>
      <w:r>
        <w:rPr>
          <w:spacing w:val="-14"/>
        </w:rPr>
        <w:t xml:space="preserve"> </w:t>
      </w:r>
      <w:r>
        <w:t>armada</w:t>
      </w:r>
      <w:r>
        <w:rPr>
          <w:spacing w:val="-14"/>
        </w:rPr>
        <w:t xml:space="preserve"> </w:t>
      </w:r>
      <w:r>
        <w:t>y</w:t>
      </w:r>
      <w:r>
        <w:rPr>
          <w:spacing w:val="-14"/>
        </w:rPr>
        <w:t xml:space="preserve"> </w:t>
      </w:r>
      <w:r>
        <w:t>los</w:t>
      </w:r>
      <w:r>
        <w:rPr>
          <w:spacing w:val="-15"/>
        </w:rPr>
        <w:t xml:space="preserve"> </w:t>
      </w:r>
      <w:r>
        <w:t>que</w:t>
      </w:r>
      <w:r>
        <w:rPr>
          <w:spacing w:val="-14"/>
        </w:rPr>
        <w:t xml:space="preserve"> </w:t>
      </w:r>
      <w:r>
        <w:t>no,</w:t>
      </w:r>
      <w:r>
        <w:rPr>
          <w:spacing w:val="-14"/>
        </w:rPr>
        <w:t xml:space="preserve"> </w:t>
      </w:r>
      <w:r>
        <w:t>el</w:t>
      </w:r>
      <w:r>
        <w:rPr>
          <w:spacing w:val="-14"/>
        </w:rPr>
        <w:t xml:space="preserve"> </w:t>
      </w:r>
      <w:r>
        <w:t>impacto de la Perestroika, el desgaste electoral, la salida de cuadros políticos y el asesinato de militantes en el marco de la guerra sucia</w:t>
      </w:r>
      <w:r w:rsidR="0024486F">
        <w:rPr>
          <w:rStyle w:val="Refdenotaalpie"/>
        </w:rPr>
        <w:footnoteReference w:id="274"/>
      </w:r>
      <w:r>
        <w:t>.</w:t>
      </w:r>
    </w:p>
    <w:p w:rsidR="003804AC" w:rsidRDefault="00AF18A5" w:rsidP="0024486F">
      <w:r>
        <w:t>El impacto que tuvo la represión hacia la UP en el ámbito rural y en el urbano llevó a muchos de sus militantes a tomar la decisión de ingresar a las FARC-EP o «subirse», como coloquialmente</w:t>
      </w:r>
      <w:r>
        <w:rPr>
          <w:spacing w:val="-9"/>
        </w:rPr>
        <w:t xml:space="preserve"> </w:t>
      </w:r>
      <w:r>
        <w:t>le</w:t>
      </w:r>
      <w:r>
        <w:rPr>
          <w:spacing w:val="-11"/>
        </w:rPr>
        <w:t xml:space="preserve"> </w:t>
      </w:r>
      <w:r>
        <w:t>llamaban.</w:t>
      </w:r>
      <w:r>
        <w:rPr>
          <w:spacing w:val="-10"/>
        </w:rPr>
        <w:t xml:space="preserve"> </w:t>
      </w:r>
      <w:r>
        <w:t>En</w:t>
      </w:r>
      <w:r>
        <w:rPr>
          <w:spacing w:val="-10"/>
        </w:rPr>
        <w:t xml:space="preserve"> </w:t>
      </w:r>
      <w:r>
        <w:t>el</w:t>
      </w:r>
      <w:r>
        <w:rPr>
          <w:spacing w:val="-9"/>
        </w:rPr>
        <w:t xml:space="preserve"> </w:t>
      </w:r>
      <w:r>
        <w:t>ámbito</w:t>
      </w:r>
      <w:r>
        <w:rPr>
          <w:spacing w:val="-10"/>
        </w:rPr>
        <w:t xml:space="preserve"> </w:t>
      </w:r>
      <w:r>
        <w:t>rural,</w:t>
      </w:r>
      <w:r>
        <w:rPr>
          <w:spacing w:val="-10"/>
        </w:rPr>
        <w:t xml:space="preserve"> </w:t>
      </w:r>
      <w:r>
        <w:t>un</w:t>
      </w:r>
      <w:r>
        <w:rPr>
          <w:spacing w:val="-10"/>
        </w:rPr>
        <w:t xml:space="preserve"> </w:t>
      </w:r>
      <w:r>
        <w:t>ejemplo</w:t>
      </w:r>
      <w:r>
        <w:rPr>
          <w:spacing w:val="-10"/>
        </w:rPr>
        <w:t xml:space="preserve"> </w:t>
      </w:r>
      <w:r>
        <w:t>es</w:t>
      </w:r>
      <w:r>
        <w:rPr>
          <w:spacing w:val="-11"/>
        </w:rPr>
        <w:t xml:space="preserve"> </w:t>
      </w:r>
      <w:r>
        <w:t>alias</w:t>
      </w:r>
      <w:r>
        <w:rPr>
          <w:spacing w:val="-10"/>
        </w:rPr>
        <w:t xml:space="preserve"> </w:t>
      </w:r>
      <w:r>
        <w:t>Omar</w:t>
      </w:r>
      <w:r>
        <w:rPr>
          <w:spacing w:val="-10"/>
        </w:rPr>
        <w:t xml:space="preserve"> </w:t>
      </w:r>
      <w:r>
        <w:t>Gadafi,</w:t>
      </w:r>
      <w:r>
        <w:rPr>
          <w:spacing w:val="-10"/>
        </w:rPr>
        <w:t xml:space="preserve"> </w:t>
      </w:r>
      <w:r>
        <w:t>quien</w:t>
      </w:r>
      <w:r>
        <w:rPr>
          <w:spacing w:val="-10"/>
        </w:rPr>
        <w:t xml:space="preserve"> </w:t>
      </w:r>
      <w:r>
        <w:t>pasó de ser sindicalista de empresas bananeras en Urabá a ingresar a las FARC-EP en 1987:</w:t>
      </w:r>
    </w:p>
    <w:p w:rsidR="003804AC" w:rsidRDefault="00AF18A5" w:rsidP="0024486F">
      <w:r>
        <w:t>«Conocemos</w:t>
      </w:r>
      <w:r>
        <w:rPr>
          <w:spacing w:val="-9"/>
        </w:rPr>
        <w:t xml:space="preserve"> </w:t>
      </w:r>
      <w:r>
        <w:t>la</w:t>
      </w:r>
      <w:r>
        <w:rPr>
          <w:spacing w:val="-9"/>
        </w:rPr>
        <w:t xml:space="preserve"> </w:t>
      </w:r>
      <w:r>
        <w:t>historia</w:t>
      </w:r>
      <w:r>
        <w:rPr>
          <w:spacing w:val="-9"/>
        </w:rPr>
        <w:t xml:space="preserve"> </w:t>
      </w:r>
      <w:r>
        <w:t>de</w:t>
      </w:r>
      <w:r>
        <w:rPr>
          <w:spacing w:val="-9"/>
        </w:rPr>
        <w:t xml:space="preserve"> </w:t>
      </w:r>
      <w:r>
        <w:t>la</w:t>
      </w:r>
      <w:r>
        <w:rPr>
          <w:spacing w:val="-9"/>
        </w:rPr>
        <w:t xml:space="preserve"> </w:t>
      </w:r>
      <w:r>
        <w:t>Unión</w:t>
      </w:r>
      <w:r>
        <w:rPr>
          <w:spacing w:val="-10"/>
        </w:rPr>
        <w:t xml:space="preserve"> </w:t>
      </w:r>
      <w:r>
        <w:t>Patriótica,</w:t>
      </w:r>
      <w:r>
        <w:rPr>
          <w:spacing w:val="-10"/>
        </w:rPr>
        <w:t xml:space="preserve"> </w:t>
      </w:r>
      <w:r>
        <w:t>con</w:t>
      </w:r>
      <w:r>
        <w:rPr>
          <w:spacing w:val="-10"/>
        </w:rPr>
        <w:t xml:space="preserve"> </w:t>
      </w:r>
      <w:r>
        <w:t>un</w:t>
      </w:r>
      <w:r>
        <w:rPr>
          <w:spacing w:val="-10"/>
        </w:rPr>
        <w:t xml:space="preserve"> </w:t>
      </w:r>
      <w:r>
        <w:t>rosario</w:t>
      </w:r>
      <w:r>
        <w:rPr>
          <w:spacing w:val="-10"/>
        </w:rPr>
        <w:t xml:space="preserve"> </w:t>
      </w:r>
      <w:r>
        <w:t>de</w:t>
      </w:r>
      <w:r>
        <w:rPr>
          <w:spacing w:val="-9"/>
        </w:rPr>
        <w:t xml:space="preserve"> </w:t>
      </w:r>
      <w:r>
        <w:t>muertos</w:t>
      </w:r>
      <w:r>
        <w:rPr>
          <w:spacing w:val="-11"/>
        </w:rPr>
        <w:t xml:space="preserve"> </w:t>
      </w:r>
      <w:r>
        <w:t>de</w:t>
      </w:r>
      <w:r>
        <w:rPr>
          <w:spacing w:val="-9"/>
        </w:rPr>
        <w:t xml:space="preserve"> </w:t>
      </w:r>
      <w:r>
        <w:t>más</w:t>
      </w:r>
      <w:r>
        <w:rPr>
          <w:spacing w:val="-9"/>
        </w:rPr>
        <w:t xml:space="preserve"> </w:t>
      </w:r>
      <w:r>
        <w:t>de</w:t>
      </w:r>
      <w:r>
        <w:rPr>
          <w:spacing w:val="-9"/>
        </w:rPr>
        <w:t xml:space="preserve"> </w:t>
      </w:r>
      <w:r>
        <w:t>6.000 militantes, entre dirigentes y la base, un partido que fue exterminado. Esas pocas oportunidades</w:t>
      </w:r>
      <w:r>
        <w:rPr>
          <w:spacing w:val="-8"/>
        </w:rPr>
        <w:t xml:space="preserve"> </w:t>
      </w:r>
      <w:r>
        <w:t>de</w:t>
      </w:r>
      <w:r>
        <w:rPr>
          <w:spacing w:val="-8"/>
        </w:rPr>
        <w:t xml:space="preserve"> </w:t>
      </w:r>
      <w:r>
        <w:t>seguir</w:t>
      </w:r>
      <w:r>
        <w:rPr>
          <w:spacing w:val="-9"/>
        </w:rPr>
        <w:t xml:space="preserve"> </w:t>
      </w:r>
      <w:r>
        <w:t>la</w:t>
      </w:r>
      <w:r>
        <w:rPr>
          <w:spacing w:val="-8"/>
        </w:rPr>
        <w:t xml:space="preserve"> </w:t>
      </w:r>
      <w:r>
        <w:t>lucha</w:t>
      </w:r>
      <w:r>
        <w:rPr>
          <w:spacing w:val="-8"/>
        </w:rPr>
        <w:t xml:space="preserve"> </w:t>
      </w:r>
      <w:r>
        <w:t>social</w:t>
      </w:r>
      <w:r>
        <w:rPr>
          <w:spacing w:val="-8"/>
        </w:rPr>
        <w:t xml:space="preserve"> </w:t>
      </w:r>
      <w:r>
        <w:t>reivindicativa</w:t>
      </w:r>
      <w:r>
        <w:rPr>
          <w:spacing w:val="-8"/>
        </w:rPr>
        <w:t xml:space="preserve"> </w:t>
      </w:r>
      <w:r>
        <w:t>y</w:t>
      </w:r>
      <w:r>
        <w:rPr>
          <w:spacing w:val="-8"/>
        </w:rPr>
        <w:t xml:space="preserve"> </w:t>
      </w:r>
      <w:r>
        <w:t>buscar</w:t>
      </w:r>
      <w:r>
        <w:rPr>
          <w:spacing w:val="-9"/>
        </w:rPr>
        <w:t xml:space="preserve"> </w:t>
      </w:r>
      <w:r>
        <w:t>mejoras</w:t>
      </w:r>
      <w:r>
        <w:rPr>
          <w:spacing w:val="-8"/>
        </w:rPr>
        <w:t xml:space="preserve"> </w:t>
      </w:r>
      <w:r>
        <w:t>por</w:t>
      </w:r>
      <w:r>
        <w:rPr>
          <w:spacing w:val="-9"/>
        </w:rPr>
        <w:t xml:space="preserve"> </w:t>
      </w:r>
      <w:r>
        <w:t>la</w:t>
      </w:r>
      <w:r>
        <w:rPr>
          <w:spacing w:val="-8"/>
        </w:rPr>
        <w:t xml:space="preserve"> </w:t>
      </w:r>
      <w:r>
        <w:t>vida</w:t>
      </w:r>
      <w:r>
        <w:rPr>
          <w:spacing w:val="-8"/>
        </w:rPr>
        <w:t xml:space="preserve"> </w:t>
      </w:r>
      <w:r>
        <w:t>política</w:t>
      </w:r>
      <w:r>
        <w:rPr>
          <w:spacing w:val="-8"/>
        </w:rPr>
        <w:t xml:space="preserve"> </w:t>
      </w:r>
      <w:r>
        <w:t>es que</w:t>
      </w:r>
      <w:r>
        <w:rPr>
          <w:spacing w:val="9"/>
        </w:rPr>
        <w:t xml:space="preserve"> </w:t>
      </w:r>
      <w:r>
        <w:t>en</w:t>
      </w:r>
      <w:r>
        <w:rPr>
          <w:spacing w:val="9"/>
        </w:rPr>
        <w:t xml:space="preserve"> </w:t>
      </w:r>
      <w:r>
        <w:t>mi</w:t>
      </w:r>
      <w:r>
        <w:rPr>
          <w:spacing w:val="10"/>
        </w:rPr>
        <w:t xml:space="preserve"> </w:t>
      </w:r>
      <w:r>
        <w:t>caso</w:t>
      </w:r>
      <w:r>
        <w:rPr>
          <w:spacing w:val="11"/>
        </w:rPr>
        <w:t xml:space="preserve"> </w:t>
      </w:r>
      <w:r>
        <w:t>me</w:t>
      </w:r>
      <w:r>
        <w:rPr>
          <w:spacing w:val="10"/>
        </w:rPr>
        <w:t xml:space="preserve"> </w:t>
      </w:r>
      <w:r>
        <w:t>obligan</w:t>
      </w:r>
      <w:r>
        <w:rPr>
          <w:spacing w:val="11"/>
        </w:rPr>
        <w:t xml:space="preserve"> </w:t>
      </w:r>
      <w:r>
        <w:t>a</w:t>
      </w:r>
      <w:r>
        <w:rPr>
          <w:spacing w:val="11"/>
        </w:rPr>
        <w:t xml:space="preserve"> </w:t>
      </w:r>
      <w:r>
        <w:t>tomar</w:t>
      </w:r>
      <w:r>
        <w:rPr>
          <w:spacing w:val="10"/>
        </w:rPr>
        <w:t xml:space="preserve"> </w:t>
      </w:r>
      <w:r>
        <w:t>la</w:t>
      </w:r>
      <w:r>
        <w:rPr>
          <w:spacing w:val="11"/>
        </w:rPr>
        <w:t xml:space="preserve"> </w:t>
      </w:r>
      <w:r>
        <w:t>decisión,</w:t>
      </w:r>
      <w:r>
        <w:rPr>
          <w:spacing w:val="9"/>
        </w:rPr>
        <w:t xml:space="preserve"> </w:t>
      </w:r>
      <w:r>
        <w:t>¿qué</w:t>
      </w:r>
      <w:r>
        <w:rPr>
          <w:spacing w:val="11"/>
        </w:rPr>
        <w:t xml:space="preserve"> </w:t>
      </w:r>
      <w:r>
        <w:t>hacer?,</w:t>
      </w:r>
      <w:r>
        <w:rPr>
          <w:spacing w:val="9"/>
        </w:rPr>
        <w:t xml:space="preserve"> </w:t>
      </w:r>
      <w:r>
        <w:t>¿esconderme?,</w:t>
      </w:r>
      <w:r>
        <w:rPr>
          <w:spacing w:val="11"/>
        </w:rPr>
        <w:t xml:space="preserve"> </w:t>
      </w:r>
      <w:r>
        <w:t>¿aislarme?,</w:t>
      </w:r>
      <w:r>
        <w:rPr>
          <w:spacing w:val="12"/>
        </w:rPr>
        <w:t xml:space="preserve"> </w:t>
      </w:r>
      <w:r>
        <w:rPr>
          <w:spacing w:val="-5"/>
        </w:rPr>
        <w:t>¿o</w:t>
      </w:r>
      <w:bookmarkStart w:id="404" w:name="_bookmark314"/>
      <w:bookmarkStart w:id="405" w:name="_bookmark315"/>
      <w:bookmarkEnd w:id="404"/>
      <w:bookmarkEnd w:id="405"/>
      <w:r w:rsidR="0024486F">
        <w:rPr>
          <w:spacing w:val="-5"/>
        </w:rPr>
        <w:t xml:space="preserve"> </w:t>
      </w:r>
      <w:r>
        <w:t xml:space="preserve">irme al monte?, fue la decisión que me quedó a mí, ¿qué hacer?, yo me incliné por llegar al </w:t>
      </w:r>
      <w:r>
        <w:rPr>
          <w:spacing w:val="-2"/>
        </w:rPr>
        <w:t>monte»</w:t>
      </w:r>
      <w:r w:rsidR="0024486F">
        <w:rPr>
          <w:rStyle w:val="Refdenotaalpie"/>
          <w:spacing w:val="-2"/>
        </w:rPr>
        <w:footnoteReference w:id="275"/>
      </w:r>
      <w:r>
        <w:rPr>
          <w:spacing w:val="-2"/>
        </w:rPr>
        <w:t>.</w:t>
      </w:r>
    </w:p>
    <w:p w:rsidR="003804AC" w:rsidRDefault="00AF18A5" w:rsidP="0024486F">
      <w:r>
        <w:t>Desde</w:t>
      </w:r>
      <w:r>
        <w:rPr>
          <w:spacing w:val="-2"/>
        </w:rPr>
        <w:t xml:space="preserve"> </w:t>
      </w:r>
      <w:r>
        <w:t>el</w:t>
      </w:r>
      <w:r>
        <w:rPr>
          <w:spacing w:val="-2"/>
        </w:rPr>
        <w:t xml:space="preserve"> </w:t>
      </w:r>
      <w:r>
        <w:t>contexto</w:t>
      </w:r>
      <w:r>
        <w:rPr>
          <w:spacing w:val="-2"/>
        </w:rPr>
        <w:t xml:space="preserve"> </w:t>
      </w:r>
      <w:r>
        <w:t>urbano,</w:t>
      </w:r>
      <w:r>
        <w:rPr>
          <w:spacing w:val="-2"/>
        </w:rPr>
        <w:t xml:space="preserve"> </w:t>
      </w:r>
      <w:r>
        <w:t>alias</w:t>
      </w:r>
      <w:r>
        <w:rPr>
          <w:spacing w:val="-2"/>
        </w:rPr>
        <w:t xml:space="preserve"> </w:t>
      </w:r>
      <w:r>
        <w:t>Andrés</w:t>
      </w:r>
      <w:r>
        <w:rPr>
          <w:spacing w:val="-2"/>
        </w:rPr>
        <w:t xml:space="preserve"> </w:t>
      </w:r>
      <w:r>
        <w:t>París,</w:t>
      </w:r>
      <w:r>
        <w:rPr>
          <w:spacing w:val="-2"/>
        </w:rPr>
        <w:t xml:space="preserve"> </w:t>
      </w:r>
      <w:r>
        <w:t>excombatiente</w:t>
      </w:r>
      <w:r>
        <w:rPr>
          <w:spacing w:val="-3"/>
        </w:rPr>
        <w:t xml:space="preserve"> </w:t>
      </w:r>
      <w:r>
        <w:t>de</w:t>
      </w:r>
      <w:r>
        <w:rPr>
          <w:spacing w:val="-2"/>
        </w:rPr>
        <w:t xml:space="preserve"> </w:t>
      </w:r>
      <w:r>
        <w:t>las</w:t>
      </w:r>
      <w:r>
        <w:rPr>
          <w:spacing w:val="-2"/>
        </w:rPr>
        <w:t xml:space="preserve"> </w:t>
      </w:r>
      <w:r>
        <w:t>FARC-EP,</w:t>
      </w:r>
      <w:r>
        <w:rPr>
          <w:spacing w:val="-2"/>
        </w:rPr>
        <w:t xml:space="preserve"> </w:t>
      </w:r>
      <w:r>
        <w:t>narra:</w:t>
      </w:r>
      <w:r>
        <w:rPr>
          <w:spacing w:val="-3"/>
        </w:rPr>
        <w:t xml:space="preserve"> </w:t>
      </w:r>
      <w:r>
        <w:t>«es la violencia del Estado de Turbay Ayala que significó la tortura y el asesinato de mucha gente, que hizo que muchos se fueran para el proyecto armado», pues se veía como</w:t>
      </w:r>
      <w:r>
        <w:rPr>
          <w:spacing w:val="-1"/>
        </w:rPr>
        <w:t xml:space="preserve"> </w:t>
      </w:r>
      <w:r>
        <w:t>la única opción</w:t>
      </w:r>
      <w:r>
        <w:rPr>
          <w:spacing w:val="-15"/>
        </w:rPr>
        <w:t xml:space="preserve"> </w:t>
      </w:r>
      <w:r>
        <w:t>de</w:t>
      </w:r>
      <w:r>
        <w:rPr>
          <w:spacing w:val="-15"/>
        </w:rPr>
        <w:t xml:space="preserve"> </w:t>
      </w:r>
      <w:r>
        <w:t>guardar</w:t>
      </w:r>
      <w:r>
        <w:rPr>
          <w:spacing w:val="-15"/>
        </w:rPr>
        <w:t xml:space="preserve"> </w:t>
      </w:r>
      <w:r>
        <w:t>la</w:t>
      </w:r>
      <w:r>
        <w:rPr>
          <w:spacing w:val="-15"/>
        </w:rPr>
        <w:t xml:space="preserve"> </w:t>
      </w:r>
      <w:r>
        <w:t>vida.</w:t>
      </w:r>
      <w:r>
        <w:rPr>
          <w:spacing w:val="-15"/>
        </w:rPr>
        <w:t xml:space="preserve"> </w:t>
      </w:r>
      <w:r>
        <w:t>Sumado</w:t>
      </w:r>
      <w:r>
        <w:rPr>
          <w:spacing w:val="-15"/>
        </w:rPr>
        <w:t xml:space="preserve"> </w:t>
      </w:r>
      <w:r>
        <w:t>a</w:t>
      </w:r>
      <w:r>
        <w:rPr>
          <w:spacing w:val="-15"/>
        </w:rPr>
        <w:t xml:space="preserve"> </w:t>
      </w:r>
      <w:r>
        <w:t>esto,</w:t>
      </w:r>
      <w:r>
        <w:rPr>
          <w:spacing w:val="-15"/>
        </w:rPr>
        <w:t xml:space="preserve"> </w:t>
      </w:r>
      <w:r>
        <w:t>la</w:t>
      </w:r>
      <w:r>
        <w:rPr>
          <w:spacing w:val="-15"/>
        </w:rPr>
        <w:t xml:space="preserve"> </w:t>
      </w:r>
      <w:r>
        <w:t>represión</w:t>
      </w:r>
      <w:r>
        <w:rPr>
          <w:spacing w:val="-15"/>
        </w:rPr>
        <w:t xml:space="preserve"> </w:t>
      </w:r>
      <w:r>
        <w:t>durante</w:t>
      </w:r>
      <w:r>
        <w:rPr>
          <w:spacing w:val="-15"/>
        </w:rPr>
        <w:t xml:space="preserve"> </w:t>
      </w:r>
      <w:r>
        <w:t>este</w:t>
      </w:r>
      <w:r>
        <w:rPr>
          <w:spacing w:val="-15"/>
        </w:rPr>
        <w:t xml:space="preserve"> </w:t>
      </w:r>
      <w:r>
        <w:t>periodo</w:t>
      </w:r>
      <w:r>
        <w:rPr>
          <w:spacing w:val="-15"/>
        </w:rPr>
        <w:t xml:space="preserve"> </w:t>
      </w:r>
      <w:r>
        <w:t>no</w:t>
      </w:r>
      <w:r>
        <w:rPr>
          <w:spacing w:val="-15"/>
        </w:rPr>
        <w:t xml:space="preserve"> </w:t>
      </w:r>
      <w:r>
        <w:lastRenderedPageBreak/>
        <w:t>solo</w:t>
      </w:r>
      <w:r>
        <w:rPr>
          <w:spacing w:val="-15"/>
        </w:rPr>
        <w:t xml:space="preserve"> </w:t>
      </w:r>
      <w:r>
        <w:t>la</w:t>
      </w:r>
      <w:r>
        <w:rPr>
          <w:spacing w:val="-15"/>
        </w:rPr>
        <w:t xml:space="preserve"> </w:t>
      </w:r>
      <w:r>
        <w:t>vivieron los militantes del partido sino también sus familias:</w:t>
      </w:r>
    </w:p>
    <w:p w:rsidR="003804AC" w:rsidRDefault="00AF18A5" w:rsidP="0024486F">
      <w:r>
        <w:t>«Este Gobierno de Turbay Ayala, que uno recuerde desde que inició la militancia en la Juventud</w:t>
      </w:r>
      <w:r>
        <w:rPr>
          <w:spacing w:val="-11"/>
        </w:rPr>
        <w:t xml:space="preserve"> </w:t>
      </w:r>
      <w:r>
        <w:t>Comunista,</w:t>
      </w:r>
      <w:r>
        <w:rPr>
          <w:spacing w:val="-11"/>
        </w:rPr>
        <w:t xml:space="preserve"> </w:t>
      </w:r>
      <w:r>
        <w:t>que</w:t>
      </w:r>
      <w:r>
        <w:rPr>
          <w:spacing w:val="-12"/>
        </w:rPr>
        <w:t xml:space="preserve"> </w:t>
      </w:r>
      <w:r>
        <w:t>se</w:t>
      </w:r>
      <w:r>
        <w:rPr>
          <w:spacing w:val="-11"/>
        </w:rPr>
        <w:t xml:space="preserve"> </w:t>
      </w:r>
      <w:r>
        <w:t>vino</w:t>
      </w:r>
      <w:r>
        <w:rPr>
          <w:spacing w:val="-12"/>
        </w:rPr>
        <w:t xml:space="preserve"> </w:t>
      </w:r>
      <w:r>
        <w:t>a</w:t>
      </w:r>
      <w:r>
        <w:rPr>
          <w:spacing w:val="-11"/>
        </w:rPr>
        <w:t xml:space="preserve"> </w:t>
      </w:r>
      <w:r>
        <w:t>dar</w:t>
      </w:r>
      <w:r>
        <w:rPr>
          <w:spacing w:val="-10"/>
        </w:rPr>
        <w:t xml:space="preserve"> </w:t>
      </w:r>
      <w:r>
        <w:t>en</w:t>
      </w:r>
      <w:r>
        <w:rPr>
          <w:spacing w:val="-11"/>
        </w:rPr>
        <w:t xml:space="preserve"> </w:t>
      </w:r>
      <w:r>
        <w:t>1970,</w:t>
      </w:r>
      <w:r>
        <w:rPr>
          <w:spacing w:val="-12"/>
        </w:rPr>
        <w:t xml:space="preserve"> </w:t>
      </w:r>
      <w:r>
        <w:t>es</w:t>
      </w:r>
      <w:r>
        <w:rPr>
          <w:spacing w:val="-12"/>
        </w:rPr>
        <w:t xml:space="preserve"> </w:t>
      </w:r>
      <w:r>
        <w:t>el</w:t>
      </w:r>
      <w:r>
        <w:rPr>
          <w:spacing w:val="-10"/>
        </w:rPr>
        <w:t xml:space="preserve"> </w:t>
      </w:r>
      <w:r>
        <w:t>periodo</w:t>
      </w:r>
      <w:r>
        <w:rPr>
          <w:spacing w:val="-13"/>
        </w:rPr>
        <w:t xml:space="preserve"> </w:t>
      </w:r>
      <w:r>
        <w:t>más</w:t>
      </w:r>
      <w:r>
        <w:rPr>
          <w:spacing w:val="-12"/>
        </w:rPr>
        <w:t xml:space="preserve"> </w:t>
      </w:r>
      <w:r>
        <w:t>represivo</w:t>
      </w:r>
      <w:r>
        <w:rPr>
          <w:spacing w:val="-11"/>
        </w:rPr>
        <w:t xml:space="preserve"> </w:t>
      </w:r>
      <w:r>
        <w:t>y</w:t>
      </w:r>
      <w:r>
        <w:rPr>
          <w:spacing w:val="-11"/>
        </w:rPr>
        <w:t xml:space="preserve"> </w:t>
      </w:r>
      <w:r>
        <w:t>violento.</w:t>
      </w:r>
      <w:r>
        <w:rPr>
          <w:spacing w:val="-12"/>
        </w:rPr>
        <w:t xml:space="preserve"> </w:t>
      </w:r>
      <w:r>
        <w:t>Hasta ese momento en el discurso de uno la represión era como elemento del pasado, era la violencia liberal-conservadora independientemente que se viviera, pero que yo la sintiera y la familia fue en este periodo […]. Esa violencia y esos allanamientos, esa persecución era por la vinculación mía a la Juventud Comunista»</w:t>
      </w:r>
      <w:r w:rsidR="0024486F">
        <w:rPr>
          <w:rStyle w:val="Refdenotaalpie"/>
        </w:rPr>
        <w:footnoteReference w:id="276"/>
      </w:r>
      <w:r>
        <w:t>.</w:t>
      </w:r>
    </w:p>
    <w:p w:rsidR="003804AC" w:rsidRDefault="00AF18A5" w:rsidP="0024486F">
      <w:r>
        <w:t>Esas tensiones y posiciones diferentes al interior de la familia comunista</w:t>
      </w:r>
      <w:r>
        <w:rPr>
          <w:spacing w:val="-1"/>
        </w:rPr>
        <w:t xml:space="preserve"> </w:t>
      </w:r>
      <w:r>
        <w:t>se hicieron</w:t>
      </w:r>
      <w:r>
        <w:rPr>
          <w:spacing w:val="-1"/>
        </w:rPr>
        <w:t xml:space="preserve"> </w:t>
      </w:r>
      <w:r>
        <w:t>más evidentes</w:t>
      </w:r>
      <w:r>
        <w:rPr>
          <w:spacing w:val="-11"/>
        </w:rPr>
        <w:t xml:space="preserve"> </w:t>
      </w:r>
      <w:r>
        <w:t>durante</w:t>
      </w:r>
      <w:r>
        <w:rPr>
          <w:spacing w:val="-12"/>
        </w:rPr>
        <w:t xml:space="preserve"> </w:t>
      </w:r>
      <w:r>
        <w:t>la</w:t>
      </w:r>
      <w:r>
        <w:rPr>
          <w:spacing w:val="-11"/>
        </w:rPr>
        <w:t xml:space="preserve"> </w:t>
      </w:r>
      <w:r>
        <w:t>fallida</w:t>
      </w:r>
      <w:r>
        <w:rPr>
          <w:spacing w:val="-11"/>
        </w:rPr>
        <w:t xml:space="preserve"> </w:t>
      </w:r>
      <w:r>
        <w:t>negociación</w:t>
      </w:r>
      <w:r>
        <w:rPr>
          <w:spacing w:val="-11"/>
        </w:rPr>
        <w:t xml:space="preserve"> </w:t>
      </w:r>
      <w:r>
        <w:t>con</w:t>
      </w:r>
      <w:r>
        <w:rPr>
          <w:spacing w:val="-11"/>
        </w:rPr>
        <w:t xml:space="preserve"> </w:t>
      </w:r>
      <w:r>
        <w:t>el</w:t>
      </w:r>
      <w:r>
        <w:rPr>
          <w:spacing w:val="-11"/>
        </w:rPr>
        <w:t xml:space="preserve"> </w:t>
      </w:r>
      <w:r>
        <w:t>presidente</w:t>
      </w:r>
      <w:r>
        <w:rPr>
          <w:spacing w:val="-11"/>
        </w:rPr>
        <w:t xml:space="preserve"> </w:t>
      </w:r>
      <w:r>
        <w:t>Betancur</w:t>
      </w:r>
      <w:r>
        <w:rPr>
          <w:spacing w:val="-11"/>
        </w:rPr>
        <w:t xml:space="preserve"> </w:t>
      </w:r>
      <w:r>
        <w:t>(1982-1986).</w:t>
      </w:r>
      <w:r>
        <w:rPr>
          <w:spacing w:val="-11"/>
        </w:rPr>
        <w:t xml:space="preserve"> </w:t>
      </w:r>
      <w:r>
        <w:t>Las</w:t>
      </w:r>
      <w:r>
        <w:rPr>
          <w:spacing w:val="-11"/>
        </w:rPr>
        <w:t xml:space="preserve"> </w:t>
      </w:r>
      <w:r>
        <w:t>FARC- EP, al mismo tiempo que desarrollaron su estrategia hacia la toma del poder que forjó un cuerpo organizativo, político y militar en la Sexta y Séptima Conferencia, buscaron de manera incesante la paz. Pero, como ya se indicó, esa decisión de pasar a la ofensiva por parte</w:t>
      </w:r>
      <w:r>
        <w:rPr>
          <w:spacing w:val="-15"/>
        </w:rPr>
        <w:t xml:space="preserve"> </w:t>
      </w:r>
      <w:r>
        <w:t>de</w:t>
      </w:r>
      <w:r>
        <w:rPr>
          <w:spacing w:val="-15"/>
        </w:rPr>
        <w:t xml:space="preserve"> </w:t>
      </w:r>
      <w:r>
        <w:t>las</w:t>
      </w:r>
      <w:r>
        <w:rPr>
          <w:spacing w:val="-15"/>
        </w:rPr>
        <w:t xml:space="preserve"> </w:t>
      </w:r>
      <w:r>
        <w:t>FARC-EP</w:t>
      </w:r>
      <w:r>
        <w:rPr>
          <w:spacing w:val="-15"/>
        </w:rPr>
        <w:t xml:space="preserve"> </w:t>
      </w:r>
      <w:r>
        <w:t>contrastó</w:t>
      </w:r>
      <w:r>
        <w:rPr>
          <w:spacing w:val="-15"/>
        </w:rPr>
        <w:t xml:space="preserve"> </w:t>
      </w:r>
      <w:r>
        <w:t>con</w:t>
      </w:r>
      <w:r>
        <w:rPr>
          <w:spacing w:val="-15"/>
        </w:rPr>
        <w:t xml:space="preserve"> </w:t>
      </w:r>
      <w:r>
        <w:t>la</w:t>
      </w:r>
      <w:r>
        <w:rPr>
          <w:spacing w:val="-15"/>
        </w:rPr>
        <w:t xml:space="preserve"> </w:t>
      </w:r>
      <w:r>
        <w:t>determinación</w:t>
      </w:r>
      <w:r>
        <w:rPr>
          <w:spacing w:val="-15"/>
        </w:rPr>
        <w:t xml:space="preserve"> </w:t>
      </w:r>
      <w:r>
        <w:t>del</w:t>
      </w:r>
      <w:r>
        <w:rPr>
          <w:spacing w:val="-15"/>
        </w:rPr>
        <w:t xml:space="preserve"> </w:t>
      </w:r>
      <w:r>
        <w:t>XIII</w:t>
      </w:r>
      <w:r>
        <w:rPr>
          <w:spacing w:val="-15"/>
        </w:rPr>
        <w:t xml:space="preserve"> </w:t>
      </w:r>
      <w:r>
        <w:t>Congreso</w:t>
      </w:r>
      <w:r>
        <w:rPr>
          <w:spacing w:val="-15"/>
        </w:rPr>
        <w:t xml:space="preserve"> </w:t>
      </w:r>
      <w:r>
        <w:t>del</w:t>
      </w:r>
      <w:r>
        <w:rPr>
          <w:spacing w:val="-15"/>
        </w:rPr>
        <w:t xml:space="preserve"> </w:t>
      </w:r>
      <w:r>
        <w:t>PCC</w:t>
      </w:r>
      <w:r>
        <w:rPr>
          <w:spacing w:val="-15"/>
        </w:rPr>
        <w:t xml:space="preserve"> </w:t>
      </w:r>
      <w:r>
        <w:t>de</w:t>
      </w:r>
      <w:r>
        <w:rPr>
          <w:spacing w:val="-15"/>
        </w:rPr>
        <w:t xml:space="preserve"> </w:t>
      </w:r>
      <w:r>
        <w:t>impulsar la apertura democrática a través de los diálogos con las guerrillas.</w:t>
      </w:r>
    </w:p>
    <w:p w:rsidR="003804AC" w:rsidRDefault="00AF18A5" w:rsidP="0024486F">
      <w:r>
        <w:t>El</w:t>
      </w:r>
      <w:r>
        <w:rPr>
          <w:spacing w:val="-10"/>
        </w:rPr>
        <w:t xml:space="preserve"> </w:t>
      </w:r>
      <w:r>
        <w:t>Partido</w:t>
      </w:r>
      <w:r>
        <w:rPr>
          <w:spacing w:val="-11"/>
        </w:rPr>
        <w:t xml:space="preserve"> </w:t>
      </w:r>
      <w:r>
        <w:t>le</w:t>
      </w:r>
      <w:r>
        <w:rPr>
          <w:spacing w:val="-12"/>
        </w:rPr>
        <w:t xml:space="preserve"> </w:t>
      </w:r>
      <w:r>
        <w:t>apostaba</w:t>
      </w:r>
      <w:r>
        <w:rPr>
          <w:spacing w:val="-12"/>
        </w:rPr>
        <w:t xml:space="preserve"> </w:t>
      </w:r>
      <w:r>
        <w:t>a</w:t>
      </w:r>
      <w:r>
        <w:rPr>
          <w:spacing w:val="-11"/>
        </w:rPr>
        <w:t xml:space="preserve"> </w:t>
      </w:r>
      <w:r>
        <w:t>la</w:t>
      </w:r>
      <w:r>
        <w:rPr>
          <w:spacing w:val="-11"/>
        </w:rPr>
        <w:t xml:space="preserve"> </w:t>
      </w:r>
      <w:r>
        <w:t>Apertura</w:t>
      </w:r>
      <w:r>
        <w:rPr>
          <w:spacing w:val="-12"/>
        </w:rPr>
        <w:t xml:space="preserve"> </w:t>
      </w:r>
      <w:r>
        <w:t>Democrática»</w:t>
      </w:r>
      <w:r>
        <w:rPr>
          <w:spacing w:val="-11"/>
        </w:rPr>
        <w:t xml:space="preserve"> </w:t>
      </w:r>
      <w:r>
        <w:t>(erigida</w:t>
      </w:r>
      <w:r>
        <w:rPr>
          <w:spacing w:val="-11"/>
        </w:rPr>
        <w:t xml:space="preserve"> </w:t>
      </w:r>
      <w:r>
        <w:t>en</w:t>
      </w:r>
      <w:r>
        <w:rPr>
          <w:spacing w:val="-12"/>
        </w:rPr>
        <w:t xml:space="preserve"> </w:t>
      </w:r>
      <w:r>
        <w:t>su</w:t>
      </w:r>
      <w:r>
        <w:rPr>
          <w:spacing w:val="-11"/>
        </w:rPr>
        <w:t xml:space="preserve"> </w:t>
      </w:r>
      <w:r>
        <w:t>XIII</w:t>
      </w:r>
      <w:r>
        <w:rPr>
          <w:spacing w:val="-10"/>
        </w:rPr>
        <w:t xml:space="preserve"> </w:t>
      </w:r>
      <w:r>
        <w:t>Congreso),</w:t>
      </w:r>
      <w:r>
        <w:rPr>
          <w:spacing w:val="-11"/>
        </w:rPr>
        <w:t xml:space="preserve"> </w:t>
      </w:r>
      <w:r>
        <w:t>criticaba el secuestro, algunos sectores de la lucha armada, y entendía a las Farc-EP, según ratificó Gilberto Vieira, como una reserva estratégica ante “previsibles enfrentamientos decisivos contra la represión oligárquica y la posible intervención militar directa del imperialismo yanqui</w:t>
      </w:r>
      <w:r>
        <w:rPr>
          <w:spacing w:val="49"/>
        </w:rPr>
        <w:t xml:space="preserve"> </w:t>
      </w:r>
      <w:r>
        <w:t>en</w:t>
      </w:r>
      <w:r>
        <w:rPr>
          <w:spacing w:val="51"/>
        </w:rPr>
        <w:t xml:space="preserve"> </w:t>
      </w:r>
      <w:r>
        <w:t>la</w:t>
      </w:r>
      <w:r>
        <w:rPr>
          <w:spacing w:val="52"/>
        </w:rPr>
        <w:t xml:space="preserve"> </w:t>
      </w:r>
      <w:r>
        <w:t>culminación</w:t>
      </w:r>
      <w:r>
        <w:rPr>
          <w:spacing w:val="51"/>
        </w:rPr>
        <w:t xml:space="preserve"> </w:t>
      </w:r>
      <w:r>
        <w:t>de</w:t>
      </w:r>
      <w:r>
        <w:rPr>
          <w:spacing w:val="52"/>
        </w:rPr>
        <w:t xml:space="preserve"> </w:t>
      </w:r>
      <w:r>
        <w:t>la</w:t>
      </w:r>
      <w:r>
        <w:rPr>
          <w:spacing w:val="52"/>
        </w:rPr>
        <w:t xml:space="preserve"> </w:t>
      </w:r>
      <w:r>
        <w:t>crisis</w:t>
      </w:r>
      <w:r>
        <w:rPr>
          <w:spacing w:val="51"/>
        </w:rPr>
        <w:t xml:space="preserve"> </w:t>
      </w:r>
      <w:r>
        <w:t>del</w:t>
      </w:r>
      <w:r>
        <w:rPr>
          <w:spacing w:val="52"/>
        </w:rPr>
        <w:t xml:space="preserve"> </w:t>
      </w:r>
      <w:r>
        <w:t>sistema</w:t>
      </w:r>
      <w:r>
        <w:rPr>
          <w:spacing w:val="52"/>
        </w:rPr>
        <w:t xml:space="preserve"> </w:t>
      </w:r>
      <w:r>
        <w:t>paritario”;</w:t>
      </w:r>
      <w:r>
        <w:rPr>
          <w:spacing w:val="52"/>
        </w:rPr>
        <w:t xml:space="preserve"> </w:t>
      </w:r>
      <w:r>
        <w:t>mientras</w:t>
      </w:r>
      <w:r>
        <w:rPr>
          <w:spacing w:val="51"/>
        </w:rPr>
        <w:t xml:space="preserve"> </w:t>
      </w:r>
      <w:r>
        <w:t>que</w:t>
      </w:r>
      <w:r>
        <w:rPr>
          <w:spacing w:val="52"/>
        </w:rPr>
        <w:t xml:space="preserve"> </w:t>
      </w:r>
      <w:r>
        <w:t>los</w:t>
      </w:r>
      <w:r>
        <w:rPr>
          <w:spacing w:val="51"/>
        </w:rPr>
        <w:t xml:space="preserve"> </w:t>
      </w:r>
      <w:proofErr w:type="spellStart"/>
      <w:r>
        <w:rPr>
          <w:spacing w:val="-2"/>
        </w:rPr>
        <w:t>farianos</w:t>
      </w:r>
      <w:bookmarkStart w:id="406" w:name="_bookmark316"/>
      <w:bookmarkStart w:id="407" w:name="_bookmark317"/>
      <w:bookmarkEnd w:id="406"/>
      <w:bookmarkEnd w:id="407"/>
      <w:proofErr w:type="spellEnd"/>
      <w:r w:rsidR="0024486F">
        <w:rPr>
          <w:spacing w:val="-2"/>
        </w:rPr>
        <w:t xml:space="preserve"> </w:t>
      </w:r>
      <w:r>
        <w:t xml:space="preserve">proyectaban el Plan Estratégico, confirmando “la ruta de la lucha armada como forma principal de lucha”, conminando al PCC a unirse a este propósito durante el XVI Congreso </w:t>
      </w:r>
      <w:r>
        <w:lastRenderedPageBreak/>
        <w:t>comunista de 1991 pero, al tiempo, cuestionando, pues consideraban que se burocratizó, se corrompió y se enredó en la lógica electoral</w:t>
      </w:r>
      <w:r w:rsidR="0024486F">
        <w:rPr>
          <w:rStyle w:val="Refdenotaalpie"/>
        </w:rPr>
        <w:footnoteReference w:id="277"/>
      </w:r>
      <w:r>
        <w:t>.</w:t>
      </w:r>
    </w:p>
    <w:p w:rsidR="003804AC" w:rsidRDefault="00AF18A5" w:rsidP="0024486F">
      <w:r>
        <w:t>En la sentencia de</w:t>
      </w:r>
      <w:r>
        <w:rPr>
          <w:spacing w:val="-1"/>
        </w:rPr>
        <w:t xml:space="preserve"> </w:t>
      </w:r>
      <w:r>
        <w:t>la Corte</w:t>
      </w:r>
      <w:r>
        <w:rPr>
          <w:spacing w:val="-1"/>
        </w:rPr>
        <w:t xml:space="preserve"> </w:t>
      </w:r>
      <w:r>
        <w:t>Interamericana de Derechos Humanos que condena al Estado por</w:t>
      </w:r>
      <w:r>
        <w:rPr>
          <w:spacing w:val="-10"/>
        </w:rPr>
        <w:t xml:space="preserve"> </w:t>
      </w:r>
      <w:r>
        <w:t>el</w:t>
      </w:r>
      <w:r>
        <w:rPr>
          <w:spacing w:val="-12"/>
        </w:rPr>
        <w:t xml:space="preserve"> </w:t>
      </w:r>
      <w:r>
        <w:t>asesinato</w:t>
      </w:r>
      <w:r>
        <w:rPr>
          <w:spacing w:val="-11"/>
        </w:rPr>
        <w:t xml:space="preserve"> </w:t>
      </w:r>
      <w:r>
        <w:t>del</w:t>
      </w:r>
      <w:r>
        <w:rPr>
          <w:spacing w:val="-10"/>
        </w:rPr>
        <w:t xml:space="preserve"> </w:t>
      </w:r>
      <w:r>
        <w:t>senador</w:t>
      </w:r>
      <w:r>
        <w:rPr>
          <w:spacing w:val="-10"/>
        </w:rPr>
        <w:t xml:space="preserve"> </w:t>
      </w:r>
      <w:r>
        <w:t>Manuel</w:t>
      </w:r>
      <w:r>
        <w:rPr>
          <w:spacing w:val="-12"/>
        </w:rPr>
        <w:t xml:space="preserve"> </w:t>
      </w:r>
      <w:r>
        <w:t>Cepeda,</w:t>
      </w:r>
      <w:r>
        <w:rPr>
          <w:spacing w:val="-11"/>
        </w:rPr>
        <w:t xml:space="preserve"> </w:t>
      </w:r>
      <w:r>
        <w:t>y</w:t>
      </w:r>
      <w:r>
        <w:rPr>
          <w:spacing w:val="-11"/>
        </w:rPr>
        <w:t xml:space="preserve"> </w:t>
      </w:r>
      <w:r>
        <w:t>que</w:t>
      </w:r>
      <w:r>
        <w:rPr>
          <w:spacing w:val="-11"/>
        </w:rPr>
        <w:t xml:space="preserve"> </w:t>
      </w:r>
      <w:r>
        <w:t>determina</w:t>
      </w:r>
      <w:r>
        <w:rPr>
          <w:spacing w:val="-11"/>
        </w:rPr>
        <w:t xml:space="preserve"> </w:t>
      </w:r>
      <w:r>
        <w:t>que</w:t>
      </w:r>
      <w:r>
        <w:rPr>
          <w:spacing w:val="-11"/>
        </w:rPr>
        <w:t xml:space="preserve"> </w:t>
      </w:r>
      <w:r>
        <w:t>violó</w:t>
      </w:r>
      <w:r>
        <w:rPr>
          <w:spacing w:val="-12"/>
        </w:rPr>
        <w:t xml:space="preserve"> </w:t>
      </w:r>
      <w:r>
        <w:t>los</w:t>
      </w:r>
      <w:r>
        <w:rPr>
          <w:spacing w:val="-11"/>
        </w:rPr>
        <w:t xml:space="preserve"> </w:t>
      </w:r>
      <w:r>
        <w:t>derechos</w:t>
      </w:r>
      <w:r>
        <w:rPr>
          <w:spacing w:val="-12"/>
        </w:rPr>
        <w:t xml:space="preserve"> </w:t>
      </w:r>
      <w:r>
        <w:t>a</w:t>
      </w:r>
      <w:r>
        <w:rPr>
          <w:spacing w:val="-11"/>
        </w:rPr>
        <w:t xml:space="preserve"> </w:t>
      </w:r>
      <w:r>
        <w:t>la</w:t>
      </w:r>
      <w:r>
        <w:rPr>
          <w:spacing w:val="-11"/>
        </w:rPr>
        <w:t xml:space="preserve"> </w:t>
      </w:r>
      <w:r>
        <w:t>vida e</w:t>
      </w:r>
      <w:r>
        <w:rPr>
          <w:spacing w:val="-13"/>
        </w:rPr>
        <w:t xml:space="preserve"> </w:t>
      </w:r>
      <w:r>
        <w:t>integridad</w:t>
      </w:r>
      <w:r>
        <w:rPr>
          <w:spacing w:val="-14"/>
        </w:rPr>
        <w:t xml:space="preserve"> </w:t>
      </w:r>
      <w:r>
        <w:t>personal,</w:t>
      </w:r>
      <w:r>
        <w:rPr>
          <w:spacing w:val="-14"/>
        </w:rPr>
        <w:t xml:space="preserve"> </w:t>
      </w:r>
      <w:r>
        <w:t>a</w:t>
      </w:r>
      <w:r>
        <w:rPr>
          <w:spacing w:val="-14"/>
        </w:rPr>
        <w:t xml:space="preserve"> </w:t>
      </w:r>
      <w:r>
        <w:t>las</w:t>
      </w:r>
      <w:r>
        <w:rPr>
          <w:spacing w:val="-13"/>
        </w:rPr>
        <w:t xml:space="preserve"> </w:t>
      </w:r>
      <w:r>
        <w:t>garantías</w:t>
      </w:r>
      <w:r>
        <w:rPr>
          <w:spacing w:val="-14"/>
        </w:rPr>
        <w:t xml:space="preserve"> </w:t>
      </w:r>
      <w:r>
        <w:t>judiciales</w:t>
      </w:r>
      <w:r>
        <w:rPr>
          <w:spacing w:val="-13"/>
        </w:rPr>
        <w:t xml:space="preserve"> </w:t>
      </w:r>
      <w:r>
        <w:t>y</w:t>
      </w:r>
      <w:r>
        <w:rPr>
          <w:spacing w:val="-14"/>
        </w:rPr>
        <w:t xml:space="preserve"> </w:t>
      </w:r>
      <w:r>
        <w:t>protección</w:t>
      </w:r>
      <w:r>
        <w:rPr>
          <w:spacing w:val="-14"/>
        </w:rPr>
        <w:t xml:space="preserve"> </w:t>
      </w:r>
      <w:r>
        <w:t>judicial</w:t>
      </w:r>
      <w:r>
        <w:rPr>
          <w:spacing w:val="-13"/>
        </w:rPr>
        <w:t xml:space="preserve"> </w:t>
      </w:r>
      <w:r>
        <w:t>de</w:t>
      </w:r>
      <w:r>
        <w:rPr>
          <w:spacing w:val="-14"/>
        </w:rPr>
        <w:t xml:space="preserve"> </w:t>
      </w:r>
      <w:r>
        <w:t>la</w:t>
      </w:r>
      <w:r>
        <w:rPr>
          <w:spacing w:val="-14"/>
        </w:rPr>
        <w:t xml:space="preserve"> </w:t>
      </w:r>
      <w:r>
        <w:t>honra</w:t>
      </w:r>
      <w:r>
        <w:rPr>
          <w:spacing w:val="-13"/>
        </w:rPr>
        <w:t xml:space="preserve"> </w:t>
      </w:r>
      <w:r>
        <w:t>y</w:t>
      </w:r>
      <w:r>
        <w:rPr>
          <w:spacing w:val="-13"/>
        </w:rPr>
        <w:t xml:space="preserve"> </w:t>
      </w:r>
      <w:r>
        <w:t>la</w:t>
      </w:r>
      <w:r>
        <w:rPr>
          <w:spacing w:val="-13"/>
        </w:rPr>
        <w:t xml:space="preserve"> </w:t>
      </w:r>
      <w:r>
        <w:t>dignidad, la libertad de pensamiento y expresión, la libertad de asociación y los derechos políticos, el Estado había alegado esta cuestión:</w:t>
      </w:r>
    </w:p>
    <w:p w:rsidR="003804AC" w:rsidRDefault="00AF18A5" w:rsidP="0024486F">
      <w:r>
        <w:t>El</w:t>
      </w:r>
      <w:r>
        <w:rPr>
          <w:spacing w:val="-6"/>
        </w:rPr>
        <w:t xml:space="preserve"> </w:t>
      </w:r>
      <w:r>
        <w:t>Estado</w:t>
      </w:r>
      <w:r>
        <w:rPr>
          <w:spacing w:val="-5"/>
        </w:rPr>
        <w:t xml:space="preserve"> </w:t>
      </w:r>
      <w:r>
        <w:t>sostuvo</w:t>
      </w:r>
      <w:r>
        <w:rPr>
          <w:spacing w:val="-5"/>
        </w:rPr>
        <w:t xml:space="preserve"> </w:t>
      </w:r>
      <w:r>
        <w:t>que</w:t>
      </w:r>
      <w:r>
        <w:rPr>
          <w:spacing w:val="-6"/>
        </w:rPr>
        <w:t xml:space="preserve"> </w:t>
      </w:r>
      <w:r>
        <w:t>ciertos</w:t>
      </w:r>
      <w:r>
        <w:rPr>
          <w:spacing w:val="-6"/>
        </w:rPr>
        <w:t xml:space="preserve"> </w:t>
      </w:r>
      <w:r>
        <w:t>sectores</w:t>
      </w:r>
      <w:r>
        <w:rPr>
          <w:spacing w:val="-6"/>
        </w:rPr>
        <w:t xml:space="preserve"> </w:t>
      </w:r>
      <w:r>
        <w:t>de</w:t>
      </w:r>
      <w:r>
        <w:rPr>
          <w:spacing w:val="-5"/>
        </w:rPr>
        <w:t xml:space="preserve"> </w:t>
      </w:r>
      <w:r>
        <w:t>la</w:t>
      </w:r>
      <w:r>
        <w:rPr>
          <w:spacing w:val="-6"/>
        </w:rPr>
        <w:t xml:space="preserve"> </w:t>
      </w:r>
      <w:r>
        <w:t>población</w:t>
      </w:r>
      <w:r>
        <w:rPr>
          <w:spacing w:val="-5"/>
        </w:rPr>
        <w:t xml:space="preserve"> </w:t>
      </w:r>
      <w:r>
        <w:t>tenían</w:t>
      </w:r>
      <w:r>
        <w:rPr>
          <w:spacing w:val="-5"/>
        </w:rPr>
        <w:t xml:space="preserve"> </w:t>
      </w:r>
      <w:r>
        <w:t>la</w:t>
      </w:r>
      <w:r>
        <w:rPr>
          <w:spacing w:val="-6"/>
        </w:rPr>
        <w:t xml:space="preserve"> </w:t>
      </w:r>
      <w:r>
        <w:t>percepción</w:t>
      </w:r>
      <w:r>
        <w:rPr>
          <w:spacing w:val="-5"/>
        </w:rPr>
        <w:t xml:space="preserve"> </w:t>
      </w:r>
      <w:r>
        <w:t>de</w:t>
      </w:r>
      <w:r>
        <w:rPr>
          <w:spacing w:val="-6"/>
        </w:rPr>
        <w:t xml:space="preserve"> </w:t>
      </w:r>
      <w:r>
        <w:t>que</w:t>
      </w:r>
      <w:r>
        <w:rPr>
          <w:spacing w:val="-6"/>
        </w:rPr>
        <w:t xml:space="preserve"> </w:t>
      </w:r>
      <w:r>
        <w:t>el</w:t>
      </w:r>
      <w:r>
        <w:rPr>
          <w:spacing w:val="-6"/>
        </w:rPr>
        <w:t xml:space="preserve"> </w:t>
      </w:r>
      <w:r>
        <w:t>PCC</w:t>
      </w:r>
      <w:r>
        <w:rPr>
          <w:spacing w:val="-5"/>
        </w:rPr>
        <w:t xml:space="preserve"> </w:t>
      </w:r>
      <w:r>
        <w:t>era</w:t>
      </w:r>
      <w:r>
        <w:rPr>
          <w:spacing w:val="-5"/>
        </w:rPr>
        <w:t xml:space="preserve"> </w:t>
      </w:r>
      <w:r>
        <w:t>«un partido que no desarrollaba una actividad política exclusivamente, sino como un partido que desarrollaba [dicha actividad] en función del fortalecimiento de la lucha armada revolucionaria, particularmente de las FARC». Además, señaló que esta situación generó una ambigüedad ideológica</w:t>
      </w:r>
      <w:r>
        <w:rPr>
          <w:spacing w:val="-13"/>
        </w:rPr>
        <w:t xml:space="preserve"> </w:t>
      </w:r>
      <w:r>
        <w:t>en</w:t>
      </w:r>
      <w:r>
        <w:rPr>
          <w:spacing w:val="-14"/>
        </w:rPr>
        <w:t xml:space="preserve"> </w:t>
      </w:r>
      <w:r>
        <w:t>la</w:t>
      </w:r>
      <w:r>
        <w:rPr>
          <w:spacing w:val="-13"/>
        </w:rPr>
        <w:t xml:space="preserve"> </w:t>
      </w:r>
      <w:r>
        <w:t>percepción</w:t>
      </w:r>
      <w:r>
        <w:rPr>
          <w:spacing w:val="-13"/>
        </w:rPr>
        <w:t xml:space="preserve"> </w:t>
      </w:r>
      <w:r>
        <w:t>de</w:t>
      </w:r>
      <w:r>
        <w:rPr>
          <w:spacing w:val="-13"/>
        </w:rPr>
        <w:t xml:space="preserve"> </w:t>
      </w:r>
      <w:r>
        <w:t>la</w:t>
      </w:r>
      <w:r>
        <w:rPr>
          <w:spacing w:val="-13"/>
        </w:rPr>
        <w:t xml:space="preserve"> </w:t>
      </w:r>
      <w:r>
        <w:t>UP,</w:t>
      </w:r>
      <w:r>
        <w:rPr>
          <w:spacing w:val="-13"/>
        </w:rPr>
        <w:t xml:space="preserve"> </w:t>
      </w:r>
      <w:r>
        <w:t>lo</w:t>
      </w:r>
      <w:r>
        <w:rPr>
          <w:spacing w:val="-13"/>
        </w:rPr>
        <w:t xml:space="preserve"> </w:t>
      </w:r>
      <w:r>
        <w:t>cual,</w:t>
      </w:r>
      <w:r>
        <w:rPr>
          <w:spacing w:val="-13"/>
        </w:rPr>
        <w:t xml:space="preserve"> </w:t>
      </w:r>
      <w:r>
        <w:t>sumado</w:t>
      </w:r>
      <w:r>
        <w:rPr>
          <w:spacing w:val="-13"/>
        </w:rPr>
        <w:t xml:space="preserve"> </w:t>
      </w:r>
      <w:r>
        <w:t>a</w:t>
      </w:r>
      <w:r>
        <w:rPr>
          <w:spacing w:val="-13"/>
        </w:rPr>
        <w:t xml:space="preserve"> </w:t>
      </w:r>
      <w:r>
        <w:t>la</w:t>
      </w:r>
      <w:r>
        <w:rPr>
          <w:spacing w:val="-13"/>
        </w:rPr>
        <w:t xml:space="preserve"> </w:t>
      </w:r>
      <w:r>
        <w:t>aplicación</w:t>
      </w:r>
      <w:r>
        <w:rPr>
          <w:spacing w:val="-13"/>
        </w:rPr>
        <w:t xml:space="preserve"> </w:t>
      </w:r>
      <w:r>
        <w:t>de</w:t>
      </w:r>
      <w:r>
        <w:rPr>
          <w:spacing w:val="-13"/>
        </w:rPr>
        <w:t xml:space="preserve"> </w:t>
      </w:r>
      <w:r>
        <w:t>la</w:t>
      </w:r>
      <w:r>
        <w:rPr>
          <w:spacing w:val="-13"/>
        </w:rPr>
        <w:t xml:space="preserve"> </w:t>
      </w:r>
      <w:r>
        <w:t>tesis</w:t>
      </w:r>
      <w:r>
        <w:rPr>
          <w:spacing w:val="-13"/>
        </w:rPr>
        <w:t xml:space="preserve"> </w:t>
      </w:r>
      <w:r>
        <w:t>de</w:t>
      </w:r>
      <w:r>
        <w:rPr>
          <w:spacing w:val="-12"/>
        </w:rPr>
        <w:t xml:space="preserve"> </w:t>
      </w:r>
      <w:r>
        <w:t>«la</w:t>
      </w:r>
      <w:r>
        <w:rPr>
          <w:spacing w:val="-13"/>
        </w:rPr>
        <w:t xml:space="preserve"> </w:t>
      </w:r>
      <w:r>
        <w:t>combinación de</w:t>
      </w:r>
      <w:r>
        <w:rPr>
          <w:spacing w:val="-14"/>
        </w:rPr>
        <w:t xml:space="preserve"> </w:t>
      </w:r>
      <w:r>
        <w:t>todas</w:t>
      </w:r>
      <w:r>
        <w:rPr>
          <w:spacing w:val="-14"/>
        </w:rPr>
        <w:t xml:space="preserve"> </w:t>
      </w:r>
      <w:r>
        <w:t>las</w:t>
      </w:r>
      <w:r>
        <w:rPr>
          <w:spacing w:val="-14"/>
        </w:rPr>
        <w:t xml:space="preserve"> </w:t>
      </w:r>
      <w:r>
        <w:t>formas</w:t>
      </w:r>
      <w:r>
        <w:rPr>
          <w:spacing w:val="-13"/>
        </w:rPr>
        <w:t xml:space="preserve"> </w:t>
      </w:r>
      <w:r>
        <w:t>de</w:t>
      </w:r>
      <w:r>
        <w:rPr>
          <w:spacing w:val="-14"/>
        </w:rPr>
        <w:t xml:space="preserve"> </w:t>
      </w:r>
      <w:r>
        <w:t>lucha»,</w:t>
      </w:r>
      <w:r>
        <w:rPr>
          <w:spacing w:val="-14"/>
        </w:rPr>
        <w:t xml:space="preserve"> </w:t>
      </w:r>
      <w:r>
        <w:t>a</w:t>
      </w:r>
      <w:r>
        <w:rPr>
          <w:spacing w:val="-14"/>
        </w:rPr>
        <w:t xml:space="preserve"> </w:t>
      </w:r>
      <w:r>
        <w:t>sus</w:t>
      </w:r>
      <w:r>
        <w:rPr>
          <w:spacing w:val="-13"/>
        </w:rPr>
        <w:t xml:space="preserve"> </w:t>
      </w:r>
      <w:r>
        <w:t>orígenes</w:t>
      </w:r>
      <w:r>
        <w:rPr>
          <w:spacing w:val="-14"/>
        </w:rPr>
        <w:t xml:space="preserve"> </w:t>
      </w:r>
      <w:r>
        <w:t>en</w:t>
      </w:r>
      <w:r>
        <w:rPr>
          <w:spacing w:val="-14"/>
        </w:rPr>
        <w:t xml:space="preserve"> </w:t>
      </w:r>
      <w:r>
        <w:t>los</w:t>
      </w:r>
      <w:r>
        <w:rPr>
          <w:spacing w:val="-14"/>
        </w:rPr>
        <w:t xml:space="preserve"> </w:t>
      </w:r>
      <w:r>
        <w:t>acuerdos</w:t>
      </w:r>
      <w:r>
        <w:rPr>
          <w:spacing w:val="-13"/>
        </w:rPr>
        <w:t xml:space="preserve"> </w:t>
      </w:r>
      <w:r>
        <w:t>de</w:t>
      </w:r>
      <w:r>
        <w:rPr>
          <w:spacing w:val="-14"/>
        </w:rPr>
        <w:t xml:space="preserve"> </w:t>
      </w:r>
      <w:r>
        <w:t>La</w:t>
      </w:r>
      <w:r>
        <w:rPr>
          <w:spacing w:val="-14"/>
        </w:rPr>
        <w:t xml:space="preserve"> </w:t>
      </w:r>
      <w:r>
        <w:t>Uribe</w:t>
      </w:r>
      <w:r>
        <w:rPr>
          <w:spacing w:val="-14"/>
        </w:rPr>
        <w:t xml:space="preserve"> </w:t>
      </w:r>
      <w:r>
        <w:t>y</w:t>
      </w:r>
      <w:r>
        <w:rPr>
          <w:spacing w:val="-13"/>
        </w:rPr>
        <w:t xml:space="preserve"> </w:t>
      </w:r>
      <w:r>
        <w:t>las</w:t>
      </w:r>
      <w:r>
        <w:rPr>
          <w:spacing w:val="-14"/>
        </w:rPr>
        <w:t xml:space="preserve"> </w:t>
      </w:r>
      <w:r>
        <w:t>actividades</w:t>
      </w:r>
      <w:r>
        <w:rPr>
          <w:spacing w:val="-14"/>
        </w:rPr>
        <w:t xml:space="preserve"> </w:t>
      </w:r>
      <w:r>
        <w:t xml:space="preserve">militares de las FARC-EP, «necesariamente lo pusieron [a Manuel Cepeda] en una situación de </w:t>
      </w:r>
      <w:r>
        <w:rPr>
          <w:spacing w:val="-2"/>
        </w:rPr>
        <w:t>vulnerabilidad»</w:t>
      </w:r>
      <w:r w:rsidR="0024486F">
        <w:rPr>
          <w:rStyle w:val="Refdenotaalpie"/>
          <w:spacing w:val="-2"/>
        </w:rPr>
        <w:footnoteReference w:id="278"/>
      </w:r>
      <w:r>
        <w:rPr>
          <w:spacing w:val="-2"/>
        </w:rPr>
        <w:t>.</w:t>
      </w:r>
    </w:p>
    <w:p w:rsidR="003804AC" w:rsidRDefault="00AF18A5" w:rsidP="0024486F">
      <w:r>
        <w:t>Esas</w:t>
      </w:r>
      <w:r>
        <w:rPr>
          <w:spacing w:val="-1"/>
        </w:rPr>
        <w:t xml:space="preserve"> </w:t>
      </w:r>
      <w:r>
        <w:t>contradicciones</w:t>
      </w:r>
      <w:r>
        <w:rPr>
          <w:spacing w:val="-1"/>
        </w:rPr>
        <w:t xml:space="preserve"> </w:t>
      </w:r>
      <w:r>
        <w:t>y</w:t>
      </w:r>
      <w:r>
        <w:rPr>
          <w:spacing w:val="-1"/>
        </w:rPr>
        <w:t xml:space="preserve"> </w:t>
      </w:r>
      <w:r>
        <w:t>diferentes</w:t>
      </w:r>
      <w:r>
        <w:rPr>
          <w:spacing w:val="-1"/>
        </w:rPr>
        <w:t xml:space="preserve"> </w:t>
      </w:r>
      <w:r>
        <w:t>posiciones</w:t>
      </w:r>
      <w:r>
        <w:rPr>
          <w:spacing w:val="-2"/>
        </w:rPr>
        <w:t xml:space="preserve"> </w:t>
      </w:r>
      <w:r>
        <w:t>sobre</w:t>
      </w:r>
      <w:r>
        <w:rPr>
          <w:spacing w:val="-2"/>
        </w:rPr>
        <w:t xml:space="preserve"> </w:t>
      </w:r>
      <w:r>
        <w:t>el</w:t>
      </w:r>
      <w:r>
        <w:rPr>
          <w:spacing w:val="-1"/>
        </w:rPr>
        <w:t xml:space="preserve"> </w:t>
      </w:r>
      <w:r>
        <w:t>papel</w:t>
      </w:r>
      <w:r>
        <w:rPr>
          <w:spacing w:val="-2"/>
        </w:rPr>
        <w:t xml:space="preserve"> </w:t>
      </w:r>
      <w:r>
        <w:t>de</w:t>
      </w:r>
      <w:r>
        <w:rPr>
          <w:spacing w:val="-2"/>
        </w:rPr>
        <w:t xml:space="preserve"> </w:t>
      </w:r>
      <w:r>
        <w:t>la</w:t>
      </w:r>
      <w:r>
        <w:rPr>
          <w:spacing w:val="-1"/>
        </w:rPr>
        <w:t xml:space="preserve"> </w:t>
      </w:r>
      <w:r>
        <w:t>lucha</w:t>
      </w:r>
      <w:r>
        <w:rPr>
          <w:spacing w:val="-1"/>
        </w:rPr>
        <w:t xml:space="preserve"> </w:t>
      </w:r>
      <w:r>
        <w:t>armada</w:t>
      </w:r>
      <w:r>
        <w:rPr>
          <w:spacing w:val="-1"/>
        </w:rPr>
        <w:t xml:space="preserve"> </w:t>
      </w:r>
      <w:r>
        <w:t>al</w:t>
      </w:r>
      <w:r>
        <w:rPr>
          <w:spacing w:val="-2"/>
        </w:rPr>
        <w:t xml:space="preserve"> </w:t>
      </w:r>
      <w:r>
        <w:t>interior</w:t>
      </w:r>
      <w:r>
        <w:rPr>
          <w:spacing w:val="-1"/>
        </w:rPr>
        <w:t xml:space="preserve"> </w:t>
      </w:r>
      <w:r>
        <w:t>de la</w:t>
      </w:r>
      <w:r>
        <w:rPr>
          <w:spacing w:val="-3"/>
        </w:rPr>
        <w:t xml:space="preserve"> </w:t>
      </w:r>
      <w:r>
        <w:t>familia</w:t>
      </w:r>
      <w:r>
        <w:rPr>
          <w:spacing w:val="-3"/>
        </w:rPr>
        <w:t xml:space="preserve"> </w:t>
      </w:r>
      <w:r>
        <w:t>comunista</w:t>
      </w:r>
      <w:r>
        <w:rPr>
          <w:spacing w:val="-3"/>
        </w:rPr>
        <w:t xml:space="preserve"> </w:t>
      </w:r>
      <w:r>
        <w:t>no</w:t>
      </w:r>
      <w:r>
        <w:rPr>
          <w:spacing w:val="-4"/>
        </w:rPr>
        <w:t xml:space="preserve"> </w:t>
      </w:r>
      <w:r>
        <w:t>siempre</w:t>
      </w:r>
      <w:r>
        <w:rPr>
          <w:spacing w:val="-3"/>
        </w:rPr>
        <w:t xml:space="preserve"> </w:t>
      </w:r>
      <w:r>
        <w:t>se</w:t>
      </w:r>
      <w:r>
        <w:rPr>
          <w:spacing w:val="-4"/>
        </w:rPr>
        <w:t xml:space="preserve"> </w:t>
      </w:r>
      <w:r>
        <w:t>desarrollaron</w:t>
      </w:r>
      <w:r>
        <w:rPr>
          <w:spacing w:val="-4"/>
        </w:rPr>
        <w:t xml:space="preserve"> </w:t>
      </w:r>
      <w:r>
        <w:t>a</w:t>
      </w:r>
      <w:r>
        <w:rPr>
          <w:spacing w:val="-5"/>
        </w:rPr>
        <w:t xml:space="preserve"> </w:t>
      </w:r>
      <w:r>
        <w:t>través</w:t>
      </w:r>
      <w:r>
        <w:rPr>
          <w:spacing w:val="-3"/>
        </w:rPr>
        <w:t xml:space="preserve"> </w:t>
      </w:r>
      <w:r>
        <w:t>de</w:t>
      </w:r>
      <w:r>
        <w:rPr>
          <w:spacing w:val="-3"/>
        </w:rPr>
        <w:t xml:space="preserve"> </w:t>
      </w:r>
      <w:r>
        <w:t>debates</w:t>
      </w:r>
      <w:r>
        <w:rPr>
          <w:spacing w:val="-3"/>
        </w:rPr>
        <w:t xml:space="preserve"> </w:t>
      </w:r>
      <w:r>
        <w:t>políticos.</w:t>
      </w:r>
      <w:r>
        <w:rPr>
          <w:spacing w:val="-4"/>
        </w:rPr>
        <w:t xml:space="preserve"> </w:t>
      </w:r>
      <w:r>
        <w:t>Es</w:t>
      </w:r>
      <w:r>
        <w:rPr>
          <w:spacing w:val="-4"/>
        </w:rPr>
        <w:t xml:space="preserve"> </w:t>
      </w:r>
      <w:r>
        <w:t>el</w:t>
      </w:r>
      <w:r>
        <w:rPr>
          <w:spacing w:val="-3"/>
        </w:rPr>
        <w:t xml:space="preserve"> </w:t>
      </w:r>
      <w:r>
        <w:t>caso</w:t>
      </w:r>
      <w:r>
        <w:rPr>
          <w:spacing w:val="-4"/>
        </w:rPr>
        <w:t xml:space="preserve"> </w:t>
      </w:r>
      <w:r>
        <w:t>del dirigente</w:t>
      </w:r>
      <w:r>
        <w:rPr>
          <w:spacing w:val="-8"/>
        </w:rPr>
        <w:t xml:space="preserve"> </w:t>
      </w:r>
      <w:r>
        <w:t>comunista</w:t>
      </w:r>
      <w:r>
        <w:rPr>
          <w:spacing w:val="-8"/>
        </w:rPr>
        <w:t xml:space="preserve"> </w:t>
      </w:r>
      <w:r>
        <w:t>José</w:t>
      </w:r>
      <w:r>
        <w:rPr>
          <w:spacing w:val="-8"/>
        </w:rPr>
        <w:t xml:space="preserve"> </w:t>
      </w:r>
      <w:r>
        <w:t>Cardona</w:t>
      </w:r>
      <w:r>
        <w:rPr>
          <w:spacing w:val="-8"/>
        </w:rPr>
        <w:t xml:space="preserve"> </w:t>
      </w:r>
      <w:r>
        <w:t>Hoyos,</w:t>
      </w:r>
      <w:r>
        <w:rPr>
          <w:spacing w:val="-8"/>
        </w:rPr>
        <w:t xml:space="preserve"> </w:t>
      </w:r>
      <w:r>
        <w:t>quien</w:t>
      </w:r>
      <w:r>
        <w:rPr>
          <w:spacing w:val="-8"/>
        </w:rPr>
        <w:t xml:space="preserve"> </w:t>
      </w:r>
      <w:r>
        <w:t>con</w:t>
      </w:r>
      <w:r>
        <w:rPr>
          <w:spacing w:val="-8"/>
        </w:rPr>
        <w:t xml:space="preserve"> </w:t>
      </w:r>
      <w:r>
        <w:t>vehemencia</w:t>
      </w:r>
      <w:r>
        <w:rPr>
          <w:spacing w:val="-8"/>
        </w:rPr>
        <w:t xml:space="preserve"> </w:t>
      </w:r>
      <w:r>
        <w:t>se</w:t>
      </w:r>
      <w:r>
        <w:rPr>
          <w:spacing w:val="-8"/>
        </w:rPr>
        <w:t xml:space="preserve"> </w:t>
      </w:r>
      <w:r>
        <w:t>opuso</w:t>
      </w:r>
      <w:r>
        <w:rPr>
          <w:spacing w:val="-8"/>
        </w:rPr>
        <w:t xml:space="preserve"> </w:t>
      </w:r>
      <w:r>
        <w:t>a</w:t>
      </w:r>
      <w:r>
        <w:rPr>
          <w:spacing w:val="-8"/>
        </w:rPr>
        <w:t xml:space="preserve"> </w:t>
      </w:r>
      <w:r>
        <w:t>la</w:t>
      </w:r>
      <w:r>
        <w:rPr>
          <w:spacing w:val="-8"/>
        </w:rPr>
        <w:t xml:space="preserve"> </w:t>
      </w:r>
      <w:r>
        <w:t>lucha</w:t>
      </w:r>
      <w:r>
        <w:rPr>
          <w:spacing w:val="-9"/>
        </w:rPr>
        <w:t xml:space="preserve"> </w:t>
      </w:r>
      <w:r>
        <w:t xml:space="preserve">armada, y, según su familia, fue asesinado por las FARC-EP. Ese crimen ilustra que también esas diferencias se resolvieron mediante la violencia y la </w:t>
      </w:r>
      <w:r>
        <w:lastRenderedPageBreak/>
        <w:t>eliminación física del contrincante político</w:t>
      </w:r>
      <w:r w:rsidR="0024486F">
        <w:rPr>
          <w:rStyle w:val="Refdenotaalpie"/>
        </w:rPr>
        <w:footnoteReference w:id="279"/>
      </w:r>
      <w:r>
        <w:t>. Las FARC-EP nunca han reconocido este hecho.</w:t>
      </w:r>
    </w:p>
    <w:p w:rsidR="0011361F" w:rsidRDefault="00AF18A5" w:rsidP="0024486F">
      <w:r>
        <w:t>La</w:t>
      </w:r>
      <w:r>
        <w:rPr>
          <w:spacing w:val="-15"/>
        </w:rPr>
        <w:t xml:space="preserve"> </w:t>
      </w:r>
      <w:r>
        <w:t>ruptura</w:t>
      </w:r>
      <w:r>
        <w:rPr>
          <w:spacing w:val="-15"/>
        </w:rPr>
        <w:t xml:space="preserve"> </w:t>
      </w:r>
      <w:r>
        <w:t>oficial</w:t>
      </w:r>
      <w:r>
        <w:rPr>
          <w:spacing w:val="-15"/>
        </w:rPr>
        <w:t xml:space="preserve"> </w:t>
      </w:r>
      <w:r>
        <w:t>de</w:t>
      </w:r>
      <w:r>
        <w:rPr>
          <w:spacing w:val="-15"/>
        </w:rPr>
        <w:t xml:space="preserve"> </w:t>
      </w:r>
      <w:r>
        <w:t>la</w:t>
      </w:r>
      <w:r>
        <w:rPr>
          <w:spacing w:val="-15"/>
        </w:rPr>
        <w:t xml:space="preserve"> </w:t>
      </w:r>
      <w:r>
        <w:t>tregua</w:t>
      </w:r>
      <w:r>
        <w:rPr>
          <w:spacing w:val="-15"/>
        </w:rPr>
        <w:t xml:space="preserve"> </w:t>
      </w:r>
      <w:r>
        <w:t>en</w:t>
      </w:r>
      <w:r>
        <w:rPr>
          <w:spacing w:val="-15"/>
        </w:rPr>
        <w:t xml:space="preserve"> </w:t>
      </w:r>
      <w:r>
        <w:t>1987,</w:t>
      </w:r>
      <w:r>
        <w:rPr>
          <w:spacing w:val="-15"/>
        </w:rPr>
        <w:t xml:space="preserve"> </w:t>
      </w:r>
      <w:r>
        <w:t>la</w:t>
      </w:r>
      <w:r>
        <w:rPr>
          <w:spacing w:val="-15"/>
        </w:rPr>
        <w:t xml:space="preserve"> </w:t>
      </w:r>
      <w:r>
        <w:t>incesante</w:t>
      </w:r>
      <w:r>
        <w:rPr>
          <w:spacing w:val="-15"/>
        </w:rPr>
        <w:t xml:space="preserve"> </w:t>
      </w:r>
      <w:r>
        <w:t>violencia</w:t>
      </w:r>
      <w:r>
        <w:rPr>
          <w:spacing w:val="-15"/>
        </w:rPr>
        <w:t xml:space="preserve"> </w:t>
      </w:r>
      <w:r>
        <w:t>contra</w:t>
      </w:r>
      <w:r>
        <w:rPr>
          <w:spacing w:val="-15"/>
        </w:rPr>
        <w:t xml:space="preserve"> </w:t>
      </w:r>
      <w:r>
        <w:t>la</w:t>
      </w:r>
      <w:r>
        <w:rPr>
          <w:spacing w:val="-15"/>
        </w:rPr>
        <w:t xml:space="preserve"> </w:t>
      </w:r>
      <w:r>
        <w:t>UP</w:t>
      </w:r>
      <w:r>
        <w:rPr>
          <w:spacing w:val="-15"/>
        </w:rPr>
        <w:t xml:space="preserve"> </w:t>
      </w:r>
      <w:r>
        <w:t>y</w:t>
      </w:r>
      <w:r>
        <w:rPr>
          <w:spacing w:val="-15"/>
        </w:rPr>
        <w:t xml:space="preserve"> </w:t>
      </w:r>
      <w:r>
        <w:t>sus</w:t>
      </w:r>
      <w:r>
        <w:rPr>
          <w:spacing w:val="-15"/>
        </w:rPr>
        <w:t xml:space="preserve"> </w:t>
      </w:r>
      <w:r>
        <w:t>dramáticas consecuencias</w:t>
      </w:r>
      <w:r>
        <w:rPr>
          <w:spacing w:val="-9"/>
        </w:rPr>
        <w:t xml:space="preserve"> </w:t>
      </w:r>
      <w:r>
        <w:t>implicaron</w:t>
      </w:r>
      <w:r>
        <w:rPr>
          <w:spacing w:val="-9"/>
        </w:rPr>
        <w:t xml:space="preserve"> </w:t>
      </w:r>
      <w:r>
        <w:t>que</w:t>
      </w:r>
      <w:r>
        <w:rPr>
          <w:spacing w:val="-9"/>
        </w:rPr>
        <w:t xml:space="preserve"> </w:t>
      </w:r>
      <w:r>
        <w:t>se</w:t>
      </w:r>
      <w:r>
        <w:rPr>
          <w:spacing w:val="-9"/>
        </w:rPr>
        <w:t xml:space="preserve"> </w:t>
      </w:r>
      <w:r>
        <w:t>hicieran</w:t>
      </w:r>
      <w:r>
        <w:rPr>
          <w:spacing w:val="-9"/>
        </w:rPr>
        <w:t xml:space="preserve"> </w:t>
      </w:r>
      <w:r>
        <w:t>más</w:t>
      </w:r>
      <w:r>
        <w:rPr>
          <w:spacing w:val="-9"/>
        </w:rPr>
        <w:t xml:space="preserve"> </w:t>
      </w:r>
      <w:r>
        <w:t>protuberantes</w:t>
      </w:r>
      <w:r>
        <w:rPr>
          <w:spacing w:val="-9"/>
        </w:rPr>
        <w:t xml:space="preserve"> </w:t>
      </w:r>
      <w:r>
        <w:t>las</w:t>
      </w:r>
      <w:r>
        <w:rPr>
          <w:spacing w:val="-9"/>
        </w:rPr>
        <w:t xml:space="preserve"> </w:t>
      </w:r>
      <w:r>
        <w:t>diferencias</w:t>
      </w:r>
      <w:r>
        <w:rPr>
          <w:spacing w:val="-9"/>
        </w:rPr>
        <w:t xml:space="preserve"> </w:t>
      </w:r>
      <w:r>
        <w:t>y</w:t>
      </w:r>
      <w:r>
        <w:rPr>
          <w:spacing w:val="-9"/>
        </w:rPr>
        <w:t xml:space="preserve"> </w:t>
      </w:r>
      <w:r>
        <w:t>el</w:t>
      </w:r>
      <w:r>
        <w:rPr>
          <w:spacing w:val="-9"/>
        </w:rPr>
        <w:t xml:space="preserve"> </w:t>
      </w:r>
      <w:r>
        <w:t>debate</w:t>
      </w:r>
      <w:r>
        <w:rPr>
          <w:spacing w:val="-10"/>
        </w:rPr>
        <w:t xml:space="preserve"> </w:t>
      </w:r>
      <w:r>
        <w:t>sobre el papel de la lucha armada al interior de la familia comunista.</w:t>
      </w:r>
    </w:p>
    <w:p w:rsidR="003804AC" w:rsidRDefault="00AF18A5" w:rsidP="0024486F">
      <w:bookmarkStart w:id="408" w:name="_bookmark318"/>
      <w:bookmarkStart w:id="409" w:name="_bookmark319"/>
      <w:bookmarkStart w:id="410" w:name="_bookmark320"/>
      <w:bookmarkEnd w:id="408"/>
      <w:bookmarkEnd w:id="409"/>
      <w:bookmarkEnd w:id="410"/>
      <w:r>
        <w:t xml:space="preserve">Esta ola de asesinatos impulsó al V </w:t>
      </w:r>
      <w:proofErr w:type="spellStart"/>
      <w:r>
        <w:t>Plenum</w:t>
      </w:r>
      <w:proofErr w:type="spellEnd"/>
      <w:r>
        <w:t xml:space="preserve"> de la UP (abril de 1987) para que votara la ruptura con</w:t>
      </w:r>
      <w:r>
        <w:rPr>
          <w:spacing w:val="-4"/>
        </w:rPr>
        <w:t xml:space="preserve"> </w:t>
      </w:r>
      <w:r>
        <w:t>las</w:t>
      </w:r>
      <w:r>
        <w:rPr>
          <w:spacing w:val="-5"/>
        </w:rPr>
        <w:t xml:space="preserve"> </w:t>
      </w:r>
      <w:r>
        <w:t>FARC-EP</w:t>
      </w:r>
      <w:r>
        <w:rPr>
          <w:spacing w:val="-4"/>
        </w:rPr>
        <w:t xml:space="preserve"> </w:t>
      </w:r>
      <w:r>
        <w:t>en</w:t>
      </w:r>
      <w:r>
        <w:rPr>
          <w:spacing w:val="-4"/>
        </w:rPr>
        <w:t xml:space="preserve"> </w:t>
      </w:r>
      <w:r>
        <w:t>un</w:t>
      </w:r>
      <w:r>
        <w:rPr>
          <w:spacing w:val="-4"/>
        </w:rPr>
        <w:t xml:space="preserve"> </w:t>
      </w:r>
      <w:r>
        <w:t>intento</w:t>
      </w:r>
      <w:r>
        <w:rPr>
          <w:spacing w:val="-4"/>
        </w:rPr>
        <w:t xml:space="preserve"> </w:t>
      </w:r>
      <w:r>
        <w:t>por</w:t>
      </w:r>
      <w:r>
        <w:rPr>
          <w:spacing w:val="-4"/>
        </w:rPr>
        <w:t xml:space="preserve"> </w:t>
      </w:r>
      <w:r>
        <w:t>frenar</w:t>
      </w:r>
      <w:r>
        <w:rPr>
          <w:spacing w:val="-4"/>
        </w:rPr>
        <w:t xml:space="preserve"> </w:t>
      </w:r>
      <w:r>
        <w:t>el</w:t>
      </w:r>
      <w:r>
        <w:rPr>
          <w:spacing w:val="-4"/>
        </w:rPr>
        <w:t xml:space="preserve"> </w:t>
      </w:r>
      <w:r>
        <w:t>genocidio.</w:t>
      </w:r>
      <w:r>
        <w:rPr>
          <w:spacing w:val="-4"/>
        </w:rPr>
        <w:t xml:space="preserve"> </w:t>
      </w:r>
      <w:r>
        <w:t>Bernardo</w:t>
      </w:r>
      <w:r>
        <w:rPr>
          <w:spacing w:val="-5"/>
        </w:rPr>
        <w:t xml:space="preserve"> </w:t>
      </w:r>
      <w:r>
        <w:t>Jaramillo</w:t>
      </w:r>
      <w:r>
        <w:rPr>
          <w:spacing w:val="-4"/>
        </w:rPr>
        <w:t xml:space="preserve"> </w:t>
      </w:r>
      <w:r>
        <w:t>Ossa,</w:t>
      </w:r>
      <w:r>
        <w:rPr>
          <w:spacing w:val="-4"/>
        </w:rPr>
        <w:t xml:space="preserve"> </w:t>
      </w:r>
      <w:r>
        <w:t>que</w:t>
      </w:r>
      <w:r>
        <w:rPr>
          <w:spacing w:val="-5"/>
        </w:rPr>
        <w:t xml:space="preserve"> </w:t>
      </w:r>
      <w:r>
        <w:t>recogió</w:t>
      </w:r>
      <w:r>
        <w:rPr>
          <w:spacing w:val="-4"/>
        </w:rPr>
        <w:t xml:space="preserve"> </w:t>
      </w:r>
      <w:r>
        <w:t>las banderas de [Jaime] Pardo Leal, declaró en 1988: «Las FARC habían retomado su camino a la lucha armada, mientras que la UP había iniciado un camino propio, de independencia»</w:t>
      </w:r>
      <w:r w:rsidR="00D64799">
        <w:rPr>
          <w:rStyle w:val="Refdenotaalpie"/>
        </w:rPr>
        <w:footnoteReference w:id="280"/>
      </w:r>
      <w:r>
        <w:t>.</w:t>
      </w:r>
    </w:p>
    <w:p w:rsidR="003804AC" w:rsidRDefault="00AF18A5" w:rsidP="00D64799">
      <w:r>
        <w:t>Para</w:t>
      </w:r>
      <w:r>
        <w:rPr>
          <w:spacing w:val="-5"/>
        </w:rPr>
        <w:t xml:space="preserve"> </w:t>
      </w:r>
      <w:r>
        <w:t>finales</w:t>
      </w:r>
      <w:r>
        <w:rPr>
          <w:spacing w:val="-6"/>
        </w:rPr>
        <w:t xml:space="preserve"> </w:t>
      </w:r>
      <w:r>
        <w:t>de</w:t>
      </w:r>
      <w:r>
        <w:rPr>
          <w:spacing w:val="-5"/>
        </w:rPr>
        <w:t xml:space="preserve"> </w:t>
      </w:r>
      <w:r>
        <w:t>los</w:t>
      </w:r>
      <w:r>
        <w:rPr>
          <w:spacing w:val="-5"/>
        </w:rPr>
        <w:t xml:space="preserve"> </w:t>
      </w:r>
      <w:r>
        <w:t>años</w:t>
      </w:r>
      <w:r>
        <w:rPr>
          <w:spacing w:val="-6"/>
        </w:rPr>
        <w:t xml:space="preserve"> </w:t>
      </w:r>
      <w:r>
        <w:t>ochenta</w:t>
      </w:r>
      <w:r>
        <w:rPr>
          <w:spacing w:val="-5"/>
        </w:rPr>
        <w:t xml:space="preserve"> </w:t>
      </w:r>
      <w:r>
        <w:t>y</w:t>
      </w:r>
      <w:r>
        <w:rPr>
          <w:spacing w:val="-6"/>
        </w:rPr>
        <w:t xml:space="preserve"> </w:t>
      </w:r>
      <w:r>
        <w:t>comienzos</w:t>
      </w:r>
      <w:r>
        <w:rPr>
          <w:spacing w:val="-5"/>
        </w:rPr>
        <w:t xml:space="preserve"> </w:t>
      </w:r>
      <w:r>
        <w:t>de</w:t>
      </w:r>
      <w:r>
        <w:rPr>
          <w:spacing w:val="-6"/>
        </w:rPr>
        <w:t xml:space="preserve"> </w:t>
      </w:r>
      <w:r>
        <w:t>los</w:t>
      </w:r>
      <w:r>
        <w:rPr>
          <w:spacing w:val="-5"/>
        </w:rPr>
        <w:t xml:space="preserve"> </w:t>
      </w:r>
      <w:r>
        <w:t>noventa,</w:t>
      </w:r>
      <w:r>
        <w:rPr>
          <w:spacing w:val="-6"/>
        </w:rPr>
        <w:t xml:space="preserve"> </w:t>
      </w:r>
      <w:r>
        <w:t>la</w:t>
      </w:r>
      <w:r>
        <w:rPr>
          <w:spacing w:val="-5"/>
        </w:rPr>
        <w:t xml:space="preserve"> </w:t>
      </w:r>
      <w:r>
        <w:t>experiencia</w:t>
      </w:r>
      <w:r>
        <w:rPr>
          <w:spacing w:val="-5"/>
        </w:rPr>
        <w:t xml:space="preserve"> </w:t>
      </w:r>
      <w:r>
        <w:t>del</w:t>
      </w:r>
      <w:r>
        <w:rPr>
          <w:spacing w:val="-4"/>
        </w:rPr>
        <w:t xml:space="preserve"> </w:t>
      </w:r>
      <w:r>
        <w:t>genocidio</w:t>
      </w:r>
      <w:r>
        <w:rPr>
          <w:spacing w:val="-5"/>
        </w:rPr>
        <w:t xml:space="preserve"> </w:t>
      </w:r>
      <w:r>
        <w:t>de la</w:t>
      </w:r>
      <w:r>
        <w:rPr>
          <w:spacing w:val="-4"/>
        </w:rPr>
        <w:t xml:space="preserve"> </w:t>
      </w:r>
      <w:r>
        <w:t>UP,</w:t>
      </w:r>
      <w:r>
        <w:rPr>
          <w:spacing w:val="-5"/>
        </w:rPr>
        <w:t xml:space="preserve"> </w:t>
      </w:r>
      <w:r>
        <w:t>que</w:t>
      </w:r>
      <w:r>
        <w:rPr>
          <w:spacing w:val="-5"/>
        </w:rPr>
        <w:t xml:space="preserve"> </w:t>
      </w:r>
      <w:r>
        <w:t>contrastaba</w:t>
      </w:r>
      <w:r>
        <w:rPr>
          <w:spacing w:val="-5"/>
        </w:rPr>
        <w:t xml:space="preserve"> </w:t>
      </w:r>
      <w:r>
        <w:t>con</w:t>
      </w:r>
      <w:r>
        <w:rPr>
          <w:spacing w:val="-5"/>
        </w:rPr>
        <w:t xml:space="preserve"> </w:t>
      </w:r>
      <w:r>
        <w:t>el</w:t>
      </w:r>
      <w:r>
        <w:rPr>
          <w:spacing w:val="-5"/>
        </w:rPr>
        <w:t xml:space="preserve"> </w:t>
      </w:r>
      <w:r>
        <w:t>proceso</w:t>
      </w:r>
      <w:r>
        <w:rPr>
          <w:spacing w:val="-5"/>
        </w:rPr>
        <w:t xml:space="preserve"> </w:t>
      </w:r>
      <w:r>
        <w:t>de</w:t>
      </w:r>
      <w:r>
        <w:rPr>
          <w:spacing w:val="-4"/>
        </w:rPr>
        <w:t xml:space="preserve"> </w:t>
      </w:r>
      <w:r>
        <w:t>desmovilización</w:t>
      </w:r>
      <w:r>
        <w:rPr>
          <w:spacing w:val="-5"/>
        </w:rPr>
        <w:t xml:space="preserve"> </w:t>
      </w:r>
      <w:r>
        <w:t>y</w:t>
      </w:r>
      <w:r>
        <w:rPr>
          <w:spacing w:val="-5"/>
        </w:rPr>
        <w:t xml:space="preserve"> </w:t>
      </w:r>
      <w:r>
        <w:t>participación</w:t>
      </w:r>
      <w:r>
        <w:rPr>
          <w:spacing w:val="-6"/>
        </w:rPr>
        <w:t xml:space="preserve"> </w:t>
      </w:r>
      <w:r>
        <w:t>del</w:t>
      </w:r>
      <w:r>
        <w:rPr>
          <w:spacing w:val="-4"/>
        </w:rPr>
        <w:t xml:space="preserve"> </w:t>
      </w:r>
      <w:r>
        <w:t>M-19</w:t>
      </w:r>
      <w:r>
        <w:rPr>
          <w:spacing w:val="-5"/>
        </w:rPr>
        <w:t xml:space="preserve"> </w:t>
      </w:r>
      <w:r>
        <w:t>y</w:t>
      </w:r>
      <w:r>
        <w:rPr>
          <w:spacing w:val="-5"/>
        </w:rPr>
        <w:t xml:space="preserve"> </w:t>
      </w:r>
      <w:r>
        <w:t>el</w:t>
      </w:r>
      <w:r>
        <w:rPr>
          <w:spacing w:val="-4"/>
        </w:rPr>
        <w:t xml:space="preserve"> </w:t>
      </w:r>
      <w:r>
        <w:t xml:space="preserve">EPL en la Asamblea Nacional Constituyente (ANC) de 1991, implicó varias rupturas al interior </w:t>
      </w:r>
      <w:r>
        <w:rPr>
          <w:spacing w:val="-2"/>
        </w:rPr>
        <w:t>de</w:t>
      </w:r>
      <w:r>
        <w:rPr>
          <w:spacing w:val="-7"/>
        </w:rPr>
        <w:t xml:space="preserve"> </w:t>
      </w:r>
      <w:r>
        <w:rPr>
          <w:spacing w:val="-2"/>
        </w:rPr>
        <w:t>la</w:t>
      </w:r>
      <w:r>
        <w:rPr>
          <w:spacing w:val="-8"/>
        </w:rPr>
        <w:t xml:space="preserve"> </w:t>
      </w:r>
      <w:r>
        <w:rPr>
          <w:spacing w:val="-2"/>
        </w:rPr>
        <w:t>tendencia</w:t>
      </w:r>
      <w:r>
        <w:rPr>
          <w:spacing w:val="-8"/>
        </w:rPr>
        <w:t xml:space="preserve"> </w:t>
      </w:r>
      <w:r>
        <w:rPr>
          <w:spacing w:val="-2"/>
        </w:rPr>
        <w:t>comunista.</w:t>
      </w:r>
      <w:r>
        <w:rPr>
          <w:spacing w:val="-7"/>
        </w:rPr>
        <w:t xml:space="preserve"> </w:t>
      </w:r>
      <w:r>
        <w:rPr>
          <w:spacing w:val="-2"/>
        </w:rPr>
        <w:t>De</w:t>
      </w:r>
      <w:r>
        <w:rPr>
          <w:spacing w:val="-7"/>
        </w:rPr>
        <w:t xml:space="preserve"> </w:t>
      </w:r>
      <w:r>
        <w:rPr>
          <w:spacing w:val="-2"/>
        </w:rPr>
        <w:t>un</w:t>
      </w:r>
      <w:r>
        <w:rPr>
          <w:spacing w:val="-8"/>
        </w:rPr>
        <w:t xml:space="preserve"> </w:t>
      </w:r>
      <w:r>
        <w:rPr>
          <w:spacing w:val="-2"/>
        </w:rPr>
        <w:t>lado,</w:t>
      </w:r>
      <w:r>
        <w:rPr>
          <w:spacing w:val="-7"/>
        </w:rPr>
        <w:t xml:space="preserve"> </w:t>
      </w:r>
      <w:r>
        <w:rPr>
          <w:spacing w:val="-2"/>
        </w:rPr>
        <w:t>inclinó</w:t>
      </w:r>
      <w:r>
        <w:rPr>
          <w:spacing w:val="-8"/>
        </w:rPr>
        <w:t xml:space="preserve"> </w:t>
      </w:r>
      <w:r>
        <w:rPr>
          <w:spacing w:val="-2"/>
        </w:rPr>
        <w:t>la</w:t>
      </w:r>
      <w:r>
        <w:rPr>
          <w:spacing w:val="-10"/>
        </w:rPr>
        <w:t xml:space="preserve"> </w:t>
      </w:r>
      <w:r>
        <w:rPr>
          <w:spacing w:val="-2"/>
        </w:rPr>
        <w:t>balanza</w:t>
      </w:r>
      <w:r>
        <w:rPr>
          <w:spacing w:val="-8"/>
        </w:rPr>
        <w:t xml:space="preserve"> </w:t>
      </w:r>
      <w:r>
        <w:rPr>
          <w:spacing w:val="-2"/>
        </w:rPr>
        <w:t>y,</w:t>
      </w:r>
      <w:r>
        <w:rPr>
          <w:spacing w:val="-7"/>
        </w:rPr>
        <w:t xml:space="preserve"> </w:t>
      </w:r>
      <w:r>
        <w:rPr>
          <w:spacing w:val="-2"/>
        </w:rPr>
        <w:t>según</w:t>
      </w:r>
      <w:r>
        <w:rPr>
          <w:spacing w:val="-7"/>
        </w:rPr>
        <w:t xml:space="preserve"> </w:t>
      </w:r>
      <w:r>
        <w:rPr>
          <w:spacing w:val="-2"/>
        </w:rPr>
        <w:t>su</w:t>
      </w:r>
      <w:r>
        <w:rPr>
          <w:spacing w:val="-7"/>
        </w:rPr>
        <w:t xml:space="preserve"> </w:t>
      </w:r>
      <w:r>
        <w:rPr>
          <w:spacing w:val="-2"/>
        </w:rPr>
        <w:t>opinión,</w:t>
      </w:r>
      <w:r>
        <w:rPr>
          <w:spacing w:val="-7"/>
        </w:rPr>
        <w:t xml:space="preserve"> </w:t>
      </w:r>
      <w:r>
        <w:rPr>
          <w:spacing w:val="-2"/>
        </w:rPr>
        <w:t>llenó</w:t>
      </w:r>
      <w:r>
        <w:rPr>
          <w:spacing w:val="-7"/>
        </w:rPr>
        <w:t xml:space="preserve"> </w:t>
      </w:r>
      <w:r>
        <w:rPr>
          <w:spacing w:val="-2"/>
        </w:rPr>
        <w:t>de</w:t>
      </w:r>
      <w:r>
        <w:rPr>
          <w:spacing w:val="-8"/>
        </w:rPr>
        <w:t xml:space="preserve"> </w:t>
      </w:r>
      <w:r>
        <w:rPr>
          <w:spacing w:val="-2"/>
        </w:rPr>
        <w:t xml:space="preserve">razones </w:t>
      </w:r>
      <w:r>
        <w:t>a quienes enfatizaban en la lucha armada como respuesta a la violencia paramilitar y al fracaso de los diálogos</w:t>
      </w:r>
      <w:r w:rsidR="00D64799">
        <w:rPr>
          <w:rStyle w:val="Refdenotaalpie"/>
        </w:rPr>
        <w:footnoteReference w:id="281"/>
      </w:r>
      <w:r>
        <w:t xml:space="preserve">. Incluso, propusieron como única opción la clandestinidad y llamaban al resto a unirse a las FARC-EP, tal como lo sugirieron Jacobo Arenas y Manuel Marulanda. De otro lado, produjo que un sector de los dirigentes </w:t>
      </w:r>
      <w:r>
        <w:lastRenderedPageBreak/>
        <w:t>de la UP, liderado entre otros</w:t>
      </w:r>
      <w:r>
        <w:rPr>
          <w:spacing w:val="-4"/>
        </w:rPr>
        <w:t xml:space="preserve"> </w:t>
      </w:r>
      <w:r>
        <w:t>por</w:t>
      </w:r>
      <w:r>
        <w:rPr>
          <w:spacing w:val="-4"/>
        </w:rPr>
        <w:t xml:space="preserve"> </w:t>
      </w:r>
      <w:r>
        <w:t>Bernardo</w:t>
      </w:r>
      <w:r>
        <w:rPr>
          <w:spacing w:val="-5"/>
        </w:rPr>
        <w:t xml:space="preserve"> </w:t>
      </w:r>
      <w:r>
        <w:t>Jaramillo</w:t>
      </w:r>
      <w:r>
        <w:rPr>
          <w:spacing w:val="-5"/>
        </w:rPr>
        <w:t xml:space="preserve"> </w:t>
      </w:r>
      <w:r>
        <w:t>Ossa,</w:t>
      </w:r>
      <w:r>
        <w:rPr>
          <w:spacing w:val="-6"/>
        </w:rPr>
        <w:t xml:space="preserve"> </w:t>
      </w:r>
      <w:r>
        <w:t>Angelino</w:t>
      </w:r>
      <w:r>
        <w:rPr>
          <w:spacing w:val="-5"/>
        </w:rPr>
        <w:t xml:space="preserve"> </w:t>
      </w:r>
      <w:r>
        <w:t>Garzón</w:t>
      </w:r>
      <w:r>
        <w:rPr>
          <w:spacing w:val="-5"/>
        </w:rPr>
        <w:t xml:space="preserve"> </w:t>
      </w:r>
      <w:r>
        <w:t>y</w:t>
      </w:r>
      <w:r>
        <w:rPr>
          <w:spacing w:val="-5"/>
        </w:rPr>
        <w:t xml:space="preserve"> </w:t>
      </w:r>
      <w:r>
        <w:t>Diego</w:t>
      </w:r>
      <w:r>
        <w:rPr>
          <w:spacing w:val="-5"/>
        </w:rPr>
        <w:t xml:space="preserve"> </w:t>
      </w:r>
      <w:r>
        <w:t>Montaña</w:t>
      </w:r>
      <w:r>
        <w:rPr>
          <w:spacing w:val="-6"/>
        </w:rPr>
        <w:t xml:space="preserve"> </w:t>
      </w:r>
      <w:r>
        <w:t>Cuéllar,</w:t>
      </w:r>
      <w:r>
        <w:rPr>
          <w:spacing w:val="-6"/>
        </w:rPr>
        <w:t xml:space="preserve"> </w:t>
      </w:r>
      <w:r>
        <w:t>insistiera</w:t>
      </w:r>
      <w:r>
        <w:rPr>
          <w:spacing w:val="-4"/>
        </w:rPr>
        <w:t xml:space="preserve"> </w:t>
      </w:r>
      <w:r>
        <w:t>en la definitiva ruptura con la lucha armada y el total deslinde con las FARC-EP, y llamaba a esta guerrilla a desmovilizarse y a participar activamente en la lucha política, legal y electoral, al igual que lo estaban haciendo el M-19 y el EPL.</w:t>
      </w:r>
    </w:p>
    <w:p w:rsidR="003804AC" w:rsidRDefault="00AF18A5" w:rsidP="00D64799">
      <w:r>
        <w:t>En ese momento, el Gobierno de César Gaviria (1990-1994) rechazó la propuesta realizada</w:t>
      </w:r>
      <w:r>
        <w:rPr>
          <w:spacing w:val="-9"/>
        </w:rPr>
        <w:t xml:space="preserve"> </w:t>
      </w:r>
      <w:r>
        <w:t>por</w:t>
      </w:r>
      <w:r>
        <w:rPr>
          <w:spacing w:val="-8"/>
        </w:rPr>
        <w:t xml:space="preserve"> </w:t>
      </w:r>
      <w:r>
        <w:t>la</w:t>
      </w:r>
      <w:r>
        <w:rPr>
          <w:spacing w:val="-8"/>
        </w:rPr>
        <w:t xml:space="preserve"> </w:t>
      </w:r>
      <w:r>
        <w:t>Coordinadora</w:t>
      </w:r>
      <w:r>
        <w:rPr>
          <w:spacing w:val="-8"/>
        </w:rPr>
        <w:t xml:space="preserve"> </w:t>
      </w:r>
      <w:r>
        <w:t>Nacional</w:t>
      </w:r>
      <w:r>
        <w:rPr>
          <w:spacing w:val="-8"/>
        </w:rPr>
        <w:t xml:space="preserve"> </w:t>
      </w:r>
      <w:r>
        <w:t>Guerrillera</w:t>
      </w:r>
      <w:r>
        <w:rPr>
          <w:spacing w:val="-8"/>
        </w:rPr>
        <w:t xml:space="preserve"> </w:t>
      </w:r>
      <w:r>
        <w:t>Simón</w:t>
      </w:r>
      <w:r>
        <w:rPr>
          <w:spacing w:val="-8"/>
        </w:rPr>
        <w:t xml:space="preserve"> </w:t>
      </w:r>
      <w:r>
        <w:t>Bolívar</w:t>
      </w:r>
      <w:r>
        <w:rPr>
          <w:spacing w:val="-8"/>
        </w:rPr>
        <w:t xml:space="preserve"> </w:t>
      </w:r>
      <w:r>
        <w:t>(CNGSB)</w:t>
      </w:r>
      <w:r>
        <w:rPr>
          <w:spacing w:val="-8"/>
        </w:rPr>
        <w:t xml:space="preserve"> </w:t>
      </w:r>
      <w:r>
        <w:t>de</w:t>
      </w:r>
      <w:r>
        <w:rPr>
          <w:spacing w:val="-8"/>
        </w:rPr>
        <w:t xml:space="preserve"> </w:t>
      </w:r>
      <w:r>
        <w:t>que</w:t>
      </w:r>
      <w:r>
        <w:rPr>
          <w:spacing w:val="-9"/>
        </w:rPr>
        <w:t xml:space="preserve"> </w:t>
      </w:r>
      <w:r>
        <w:t>algunos de</w:t>
      </w:r>
      <w:r>
        <w:rPr>
          <w:spacing w:val="-8"/>
        </w:rPr>
        <w:t xml:space="preserve"> </w:t>
      </w:r>
      <w:r>
        <w:t>sus</w:t>
      </w:r>
      <w:r>
        <w:rPr>
          <w:spacing w:val="-8"/>
        </w:rPr>
        <w:t xml:space="preserve"> </w:t>
      </w:r>
      <w:r>
        <w:t>miembros</w:t>
      </w:r>
      <w:r>
        <w:rPr>
          <w:spacing w:val="-8"/>
        </w:rPr>
        <w:t xml:space="preserve"> </w:t>
      </w:r>
      <w:r>
        <w:t>participaran</w:t>
      </w:r>
      <w:r>
        <w:rPr>
          <w:spacing w:val="-8"/>
        </w:rPr>
        <w:t xml:space="preserve"> </w:t>
      </w:r>
      <w:r>
        <w:t>en</w:t>
      </w:r>
      <w:r>
        <w:rPr>
          <w:spacing w:val="-9"/>
        </w:rPr>
        <w:t xml:space="preserve"> </w:t>
      </w:r>
      <w:r>
        <w:t>la</w:t>
      </w:r>
      <w:r>
        <w:rPr>
          <w:spacing w:val="-8"/>
        </w:rPr>
        <w:t xml:space="preserve"> </w:t>
      </w:r>
      <w:r>
        <w:t>Constituyente</w:t>
      </w:r>
      <w:r>
        <w:rPr>
          <w:spacing w:val="-10"/>
        </w:rPr>
        <w:t xml:space="preserve"> </w:t>
      </w:r>
      <w:r>
        <w:t>como</w:t>
      </w:r>
      <w:r>
        <w:rPr>
          <w:spacing w:val="-8"/>
        </w:rPr>
        <w:t xml:space="preserve"> </w:t>
      </w:r>
      <w:r>
        <w:t>parte</w:t>
      </w:r>
      <w:r>
        <w:rPr>
          <w:spacing w:val="-9"/>
        </w:rPr>
        <w:t xml:space="preserve"> </w:t>
      </w:r>
      <w:r>
        <w:t>del</w:t>
      </w:r>
      <w:r>
        <w:rPr>
          <w:spacing w:val="-8"/>
        </w:rPr>
        <w:t xml:space="preserve"> </w:t>
      </w:r>
      <w:r>
        <w:t>proceso</w:t>
      </w:r>
      <w:r>
        <w:rPr>
          <w:spacing w:val="-9"/>
        </w:rPr>
        <w:t xml:space="preserve"> </w:t>
      </w:r>
      <w:r>
        <w:t>de</w:t>
      </w:r>
      <w:r>
        <w:rPr>
          <w:spacing w:val="-8"/>
        </w:rPr>
        <w:t xml:space="preserve"> </w:t>
      </w:r>
      <w:r>
        <w:t>negociación.</w:t>
      </w:r>
      <w:r>
        <w:rPr>
          <w:spacing w:val="-8"/>
        </w:rPr>
        <w:t xml:space="preserve"> </w:t>
      </w:r>
      <w:r>
        <w:t>La negativa no pudo ser más contundente y cargada de simbolismos: el 9 de diciembre, día en que se elegiría a los representantes de la ANC, se realizó el bombardeo del campamento de Casa</w:t>
      </w:r>
      <w:r>
        <w:rPr>
          <w:spacing w:val="-15"/>
        </w:rPr>
        <w:t xml:space="preserve"> </w:t>
      </w:r>
      <w:r>
        <w:t>Verde</w:t>
      </w:r>
      <w:r>
        <w:rPr>
          <w:spacing w:val="-15"/>
        </w:rPr>
        <w:t xml:space="preserve"> </w:t>
      </w:r>
      <w:r>
        <w:t>contra</w:t>
      </w:r>
      <w:r>
        <w:rPr>
          <w:spacing w:val="-15"/>
        </w:rPr>
        <w:t xml:space="preserve"> </w:t>
      </w:r>
      <w:r>
        <w:t>la</w:t>
      </w:r>
      <w:r>
        <w:rPr>
          <w:spacing w:val="-15"/>
        </w:rPr>
        <w:t xml:space="preserve"> </w:t>
      </w:r>
      <w:r>
        <w:t>dirigencia</w:t>
      </w:r>
      <w:r>
        <w:rPr>
          <w:spacing w:val="-15"/>
        </w:rPr>
        <w:t xml:space="preserve"> </w:t>
      </w:r>
      <w:r>
        <w:t>de</w:t>
      </w:r>
      <w:r>
        <w:rPr>
          <w:spacing w:val="-15"/>
        </w:rPr>
        <w:t xml:space="preserve"> </w:t>
      </w:r>
      <w:r>
        <w:t>las</w:t>
      </w:r>
      <w:r>
        <w:rPr>
          <w:spacing w:val="-15"/>
        </w:rPr>
        <w:t xml:space="preserve"> </w:t>
      </w:r>
      <w:r>
        <w:t>FARC-EP.</w:t>
      </w:r>
      <w:r>
        <w:rPr>
          <w:spacing w:val="-15"/>
        </w:rPr>
        <w:t xml:space="preserve"> </w:t>
      </w:r>
      <w:r>
        <w:t>De</w:t>
      </w:r>
      <w:r>
        <w:rPr>
          <w:spacing w:val="-15"/>
        </w:rPr>
        <w:t xml:space="preserve"> </w:t>
      </w:r>
      <w:r>
        <w:t>manera</w:t>
      </w:r>
      <w:r>
        <w:rPr>
          <w:spacing w:val="-15"/>
        </w:rPr>
        <w:t xml:space="preserve"> </w:t>
      </w:r>
      <w:r>
        <w:t>retrospectiva,</w:t>
      </w:r>
      <w:r>
        <w:rPr>
          <w:spacing w:val="-15"/>
        </w:rPr>
        <w:t xml:space="preserve"> </w:t>
      </w:r>
      <w:r>
        <w:t>Rodrigo</w:t>
      </w:r>
      <w:r>
        <w:rPr>
          <w:spacing w:val="-15"/>
        </w:rPr>
        <w:t xml:space="preserve"> </w:t>
      </w:r>
      <w:r>
        <w:t>Londoño Echeverri, excomandante de las FARC-EP, manifestó lo siguiente sobre ese momento:</w:t>
      </w:r>
    </w:p>
    <w:p w:rsidR="003804AC" w:rsidRDefault="00AF18A5" w:rsidP="00D64799">
      <w:r>
        <w:t>«Llega Gaviria y, desafortunadamente, no sé quién lo convenció de que se la jugara por la</w:t>
      </w:r>
      <w:r>
        <w:rPr>
          <w:spacing w:val="-8"/>
        </w:rPr>
        <w:t xml:space="preserve"> </w:t>
      </w:r>
      <w:r>
        <w:t>salida</w:t>
      </w:r>
      <w:r>
        <w:rPr>
          <w:spacing w:val="-8"/>
        </w:rPr>
        <w:t xml:space="preserve"> </w:t>
      </w:r>
      <w:r>
        <w:t>militar,</w:t>
      </w:r>
      <w:r>
        <w:rPr>
          <w:spacing w:val="-8"/>
        </w:rPr>
        <w:t xml:space="preserve"> </w:t>
      </w:r>
      <w:r>
        <w:t>después</w:t>
      </w:r>
      <w:r>
        <w:rPr>
          <w:spacing w:val="-9"/>
        </w:rPr>
        <w:t xml:space="preserve"> </w:t>
      </w:r>
      <w:r>
        <w:t>de</w:t>
      </w:r>
      <w:r>
        <w:rPr>
          <w:spacing w:val="-8"/>
        </w:rPr>
        <w:t xml:space="preserve"> </w:t>
      </w:r>
      <w:r>
        <w:t>que</w:t>
      </w:r>
      <w:r>
        <w:rPr>
          <w:spacing w:val="-8"/>
        </w:rPr>
        <w:t xml:space="preserve"> </w:t>
      </w:r>
      <w:r>
        <w:t>manda</w:t>
      </w:r>
      <w:r>
        <w:rPr>
          <w:spacing w:val="-8"/>
        </w:rPr>
        <w:t xml:space="preserve"> </w:t>
      </w:r>
      <w:r>
        <w:t>una</w:t>
      </w:r>
      <w:r>
        <w:rPr>
          <w:spacing w:val="-8"/>
        </w:rPr>
        <w:t xml:space="preserve"> </w:t>
      </w:r>
      <w:r>
        <w:t>comisión</w:t>
      </w:r>
      <w:r>
        <w:rPr>
          <w:spacing w:val="-8"/>
        </w:rPr>
        <w:t xml:space="preserve"> </w:t>
      </w:r>
      <w:r>
        <w:t>a</w:t>
      </w:r>
      <w:r>
        <w:rPr>
          <w:spacing w:val="-8"/>
        </w:rPr>
        <w:t xml:space="preserve"> </w:t>
      </w:r>
      <w:r>
        <w:t>explorar</w:t>
      </w:r>
      <w:r>
        <w:rPr>
          <w:spacing w:val="-8"/>
        </w:rPr>
        <w:t xml:space="preserve"> </w:t>
      </w:r>
      <w:r>
        <w:t>allá.</w:t>
      </w:r>
      <w:r>
        <w:rPr>
          <w:spacing w:val="-8"/>
        </w:rPr>
        <w:t xml:space="preserve"> </w:t>
      </w:r>
      <w:r>
        <w:t>Ahí</w:t>
      </w:r>
      <w:r>
        <w:rPr>
          <w:spacing w:val="-9"/>
        </w:rPr>
        <w:t xml:space="preserve"> </w:t>
      </w:r>
      <w:r>
        <w:t>está</w:t>
      </w:r>
      <w:r>
        <w:rPr>
          <w:spacing w:val="-8"/>
        </w:rPr>
        <w:t xml:space="preserve"> </w:t>
      </w:r>
      <w:r>
        <w:t>el</w:t>
      </w:r>
      <w:r>
        <w:rPr>
          <w:spacing w:val="-8"/>
        </w:rPr>
        <w:t xml:space="preserve"> </w:t>
      </w:r>
      <w:r>
        <w:t>comunicado público,</w:t>
      </w:r>
      <w:r>
        <w:rPr>
          <w:spacing w:val="-12"/>
        </w:rPr>
        <w:t xml:space="preserve"> </w:t>
      </w:r>
      <w:r>
        <w:t>establece</w:t>
      </w:r>
      <w:r>
        <w:rPr>
          <w:spacing w:val="-8"/>
        </w:rPr>
        <w:t xml:space="preserve"> </w:t>
      </w:r>
      <w:r>
        <w:t>que</w:t>
      </w:r>
      <w:r>
        <w:rPr>
          <w:spacing w:val="-8"/>
        </w:rPr>
        <w:t xml:space="preserve"> </w:t>
      </w:r>
      <w:r>
        <w:t>sí</w:t>
      </w:r>
      <w:r>
        <w:rPr>
          <w:spacing w:val="-8"/>
        </w:rPr>
        <w:t xml:space="preserve"> </w:t>
      </w:r>
      <w:r>
        <w:t>hay</w:t>
      </w:r>
      <w:r>
        <w:rPr>
          <w:spacing w:val="-8"/>
        </w:rPr>
        <w:t xml:space="preserve"> </w:t>
      </w:r>
      <w:r>
        <w:t>voluntad,</w:t>
      </w:r>
      <w:r>
        <w:rPr>
          <w:spacing w:val="-7"/>
        </w:rPr>
        <w:t xml:space="preserve"> </w:t>
      </w:r>
      <w:r>
        <w:t>además</w:t>
      </w:r>
      <w:r>
        <w:rPr>
          <w:spacing w:val="-8"/>
        </w:rPr>
        <w:t xml:space="preserve"> </w:t>
      </w:r>
      <w:r>
        <w:t>en</w:t>
      </w:r>
      <w:r>
        <w:rPr>
          <w:spacing w:val="-7"/>
        </w:rPr>
        <w:t xml:space="preserve"> </w:t>
      </w:r>
      <w:r>
        <w:t>unas</w:t>
      </w:r>
      <w:r>
        <w:rPr>
          <w:spacing w:val="-9"/>
        </w:rPr>
        <w:t xml:space="preserve"> </w:t>
      </w:r>
      <w:r>
        <w:t>circunstancias</w:t>
      </w:r>
      <w:r>
        <w:rPr>
          <w:spacing w:val="-8"/>
        </w:rPr>
        <w:t xml:space="preserve"> </w:t>
      </w:r>
      <w:r>
        <w:t>mucho</w:t>
      </w:r>
      <w:r>
        <w:rPr>
          <w:spacing w:val="-7"/>
        </w:rPr>
        <w:t xml:space="preserve"> </w:t>
      </w:r>
      <w:r>
        <w:t>más</w:t>
      </w:r>
      <w:r>
        <w:rPr>
          <w:spacing w:val="-7"/>
        </w:rPr>
        <w:t xml:space="preserve"> </w:t>
      </w:r>
      <w:r>
        <w:rPr>
          <w:spacing w:val="-2"/>
        </w:rPr>
        <w:t>favorables</w:t>
      </w:r>
      <w:bookmarkStart w:id="411" w:name="_bookmark321"/>
      <w:bookmarkStart w:id="412" w:name="_bookmark322"/>
      <w:bookmarkEnd w:id="411"/>
      <w:bookmarkEnd w:id="412"/>
      <w:r w:rsidR="00D64799">
        <w:t xml:space="preserve"> </w:t>
      </w:r>
      <w:r>
        <w:t>para el país y para todo. Entonces, desafortunadamente, Gaviria no recoge ese sentir de la posibilidad</w:t>
      </w:r>
      <w:r>
        <w:rPr>
          <w:spacing w:val="-11"/>
        </w:rPr>
        <w:t xml:space="preserve"> </w:t>
      </w:r>
      <w:r>
        <w:t>de</w:t>
      </w:r>
      <w:r>
        <w:rPr>
          <w:spacing w:val="-7"/>
        </w:rPr>
        <w:t xml:space="preserve"> </w:t>
      </w:r>
      <w:r>
        <w:t>avanzar</w:t>
      </w:r>
      <w:r>
        <w:rPr>
          <w:spacing w:val="-7"/>
        </w:rPr>
        <w:t xml:space="preserve"> </w:t>
      </w:r>
      <w:r>
        <w:t>en</w:t>
      </w:r>
      <w:r>
        <w:rPr>
          <w:spacing w:val="-7"/>
        </w:rPr>
        <w:t xml:space="preserve"> </w:t>
      </w:r>
      <w:r>
        <w:t>el</w:t>
      </w:r>
      <w:r>
        <w:rPr>
          <w:spacing w:val="-7"/>
        </w:rPr>
        <w:t xml:space="preserve"> </w:t>
      </w:r>
      <w:r>
        <w:t>diálogo</w:t>
      </w:r>
      <w:r>
        <w:rPr>
          <w:spacing w:val="-8"/>
        </w:rPr>
        <w:t xml:space="preserve"> </w:t>
      </w:r>
      <w:r>
        <w:t>y</w:t>
      </w:r>
      <w:r>
        <w:rPr>
          <w:spacing w:val="-7"/>
        </w:rPr>
        <w:t xml:space="preserve"> </w:t>
      </w:r>
      <w:r>
        <w:t>se</w:t>
      </w:r>
      <w:r>
        <w:rPr>
          <w:spacing w:val="-7"/>
        </w:rPr>
        <w:t xml:space="preserve"> </w:t>
      </w:r>
      <w:r>
        <w:t>la</w:t>
      </w:r>
      <w:r>
        <w:rPr>
          <w:spacing w:val="-8"/>
        </w:rPr>
        <w:t xml:space="preserve"> </w:t>
      </w:r>
      <w:r>
        <w:t>juega</w:t>
      </w:r>
      <w:r>
        <w:rPr>
          <w:spacing w:val="-8"/>
        </w:rPr>
        <w:t xml:space="preserve"> </w:t>
      </w:r>
      <w:r>
        <w:t>por</w:t>
      </w:r>
      <w:r>
        <w:rPr>
          <w:spacing w:val="-6"/>
        </w:rPr>
        <w:t xml:space="preserve"> </w:t>
      </w:r>
      <w:r>
        <w:t>la</w:t>
      </w:r>
      <w:r>
        <w:rPr>
          <w:spacing w:val="-8"/>
        </w:rPr>
        <w:t xml:space="preserve"> </w:t>
      </w:r>
      <w:r>
        <w:t>solución</w:t>
      </w:r>
      <w:r>
        <w:rPr>
          <w:spacing w:val="-7"/>
        </w:rPr>
        <w:t xml:space="preserve"> </w:t>
      </w:r>
      <w:r>
        <w:t>militar,</w:t>
      </w:r>
      <w:r>
        <w:rPr>
          <w:spacing w:val="-7"/>
        </w:rPr>
        <w:t xml:space="preserve"> </w:t>
      </w:r>
      <w:r>
        <w:t>solución</w:t>
      </w:r>
      <w:r>
        <w:rPr>
          <w:spacing w:val="-9"/>
        </w:rPr>
        <w:t xml:space="preserve"> </w:t>
      </w:r>
      <w:r>
        <w:t>militar</w:t>
      </w:r>
      <w:r>
        <w:rPr>
          <w:spacing w:val="-6"/>
        </w:rPr>
        <w:t xml:space="preserve"> </w:t>
      </w:r>
      <w:r>
        <w:rPr>
          <w:spacing w:val="-5"/>
        </w:rPr>
        <w:t>que</w:t>
      </w:r>
      <w:r w:rsidR="00D64799">
        <w:rPr>
          <w:spacing w:val="-5"/>
        </w:rPr>
        <w:t xml:space="preserve"> </w:t>
      </w:r>
      <w:r>
        <w:t>¿qué</w:t>
      </w:r>
      <w:r>
        <w:rPr>
          <w:spacing w:val="-6"/>
        </w:rPr>
        <w:t xml:space="preserve"> </w:t>
      </w:r>
      <w:r>
        <w:t>produjo</w:t>
      </w:r>
      <w:r>
        <w:rPr>
          <w:spacing w:val="-6"/>
        </w:rPr>
        <w:t xml:space="preserve"> </w:t>
      </w:r>
      <w:r>
        <w:t>en</w:t>
      </w:r>
      <w:r>
        <w:rPr>
          <w:spacing w:val="-6"/>
        </w:rPr>
        <w:t xml:space="preserve"> </w:t>
      </w:r>
      <w:r>
        <w:t>nosotros?,</w:t>
      </w:r>
      <w:r>
        <w:rPr>
          <w:spacing w:val="-6"/>
        </w:rPr>
        <w:t xml:space="preserve"> </w:t>
      </w:r>
      <w:r>
        <w:t>pues</w:t>
      </w:r>
      <w:r>
        <w:rPr>
          <w:spacing w:val="-6"/>
        </w:rPr>
        <w:t xml:space="preserve"> </w:t>
      </w:r>
      <w:r>
        <w:t>que</w:t>
      </w:r>
      <w:r>
        <w:rPr>
          <w:spacing w:val="-7"/>
        </w:rPr>
        <w:t xml:space="preserve"> </w:t>
      </w:r>
      <w:r>
        <w:t>nos</w:t>
      </w:r>
      <w:r>
        <w:rPr>
          <w:spacing w:val="-6"/>
        </w:rPr>
        <w:t xml:space="preserve"> </w:t>
      </w:r>
      <w:r>
        <w:t>hubiéramos</w:t>
      </w:r>
      <w:r>
        <w:rPr>
          <w:spacing w:val="-6"/>
        </w:rPr>
        <w:t xml:space="preserve"> </w:t>
      </w:r>
      <w:r>
        <w:t>dedicado</w:t>
      </w:r>
      <w:r>
        <w:rPr>
          <w:spacing w:val="-6"/>
        </w:rPr>
        <w:t xml:space="preserve"> </w:t>
      </w:r>
      <w:r>
        <w:t>mucho</w:t>
      </w:r>
      <w:r>
        <w:rPr>
          <w:spacing w:val="-6"/>
        </w:rPr>
        <w:t xml:space="preserve"> </w:t>
      </w:r>
      <w:r>
        <w:t>a</w:t>
      </w:r>
      <w:r>
        <w:rPr>
          <w:spacing w:val="-6"/>
        </w:rPr>
        <w:t xml:space="preserve"> </w:t>
      </w:r>
      <w:r>
        <w:t>ese</w:t>
      </w:r>
      <w:r>
        <w:rPr>
          <w:spacing w:val="-6"/>
        </w:rPr>
        <w:t xml:space="preserve"> </w:t>
      </w:r>
      <w:r>
        <w:t>plan</w:t>
      </w:r>
      <w:r>
        <w:rPr>
          <w:spacing w:val="-7"/>
        </w:rPr>
        <w:t xml:space="preserve"> </w:t>
      </w:r>
      <w:r>
        <w:t>estratégico, y que, a raíz de eso, pues toda la gente que estaba concentrada en la región que llamaban Casa</w:t>
      </w:r>
      <w:r>
        <w:rPr>
          <w:spacing w:val="-3"/>
        </w:rPr>
        <w:t xml:space="preserve"> </w:t>
      </w:r>
      <w:r>
        <w:t>Verde</w:t>
      </w:r>
      <w:r>
        <w:rPr>
          <w:spacing w:val="-5"/>
        </w:rPr>
        <w:t xml:space="preserve"> </w:t>
      </w:r>
      <w:r>
        <w:t>se</w:t>
      </w:r>
      <w:r>
        <w:rPr>
          <w:spacing w:val="-4"/>
        </w:rPr>
        <w:t xml:space="preserve"> </w:t>
      </w:r>
      <w:r>
        <w:t>despliega</w:t>
      </w:r>
      <w:r>
        <w:rPr>
          <w:spacing w:val="-5"/>
        </w:rPr>
        <w:t xml:space="preserve"> </w:t>
      </w:r>
      <w:r>
        <w:t>por</w:t>
      </w:r>
      <w:r>
        <w:rPr>
          <w:spacing w:val="-3"/>
        </w:rPr>
        <w:t xml:space="preserve"> </w:t>
      </w:r>
      <w:r>
        <w:t>toda</w:t>
      </w:r>
      <w:r>
        <w:rPr>
          <w:spacing w:val="-3"/>
        </w:rPr>
        <w:t xml:space="preserve"> </w:t>
      </w:r>
      <w:r>
        <w:t>la</w:t>
      </w:r>
      <w:r>
        <w:rPr>
          <w:spacing w:val="-3"/>
        </w:rPr>
        <w:t xml:space="preserve"> </w:t>
      </w:r>
      <w:r>
        <w:t>región</w:t>
      </w:r>
      <w:r>
        <w:rPr>
          <w:spacing w:val="-4"/>
        </w:rPr>
        <w:t xml:space="preserve"> </w:t>
      </w:r>
      <w:r>
        <w:t>del</w:t>
      </w:r>
      <w:r>
        <w:rPr>
          <w:spacing w:val="-3"/>
        </w:rPr>
        <w:t xml:space="preserve"> </w:t>
      </w:r>
      <w:r>
        <w:t>Llano,</w:t>
      </w:r>
      <w:r>
        <w:rPr>
          <w:spacing w:val="-4"/>
        </w:rPr>
        <w:t xml:space="preserve"> </w:t>
      </w:r>
      <w:r>
        <w:t>y</w:t>
      </w:r>
      <w:r>
        <w:rPr>
          <w:spacing w:val="-4"/>
        </w:rPr>
        <w:t xml:space="preserve"> </w:t>
      </w:r>
      <w:r>
        <w:t>comienza</w:t>
      </w:r>
      <w:r>
        <w:rPr>
          <w:spacing w:val="-3"/>
        </w:rPr>
        <w:t xml:space="preserve"> </w:t>
      </w:r>
      <w:r>
        <w:t>a</w:t>
      </w:r>
      <w:r>
        <w:rPr>
          <w:spacing w:val="-3"/>
        </w:rPr>
        <w:t xml:space="preserve"> </w:t>
      </w:r>
      <w:r>
        <w:t>sentirse</w:t>
      </w:r>
      <w:r>
        <w:rPr>
          <w:spacing w:val="-4"/>
        </w:rPr>
        <w:t xml:space="preserve"> </w:t>
      </w:r>
      <w:r>
        <w:t>ya</w:t>
      </w:r>
      <w:r>
        <w:rPr>
          <w:spacing w:val="-3"/>
        </w:rPr>
        <w:t xml:space="preserve"> </w:t>
      </w:r>
      <w:r>
        <w:t>más</w:t>
      </w:r>
      <w:r>
        <w:rPr>
          <w:spacing w:val="-5"/>
        </w:rPr>
        <w:t xml:space="preserve"> </w:t>
      </w:r>
      <w:r>
        <w:t>accionar militar que antes no se conocía»</w:t>
      </w:r>
      <w:r w:rsidR="00D64799">
        <w:rPr>
          <w:rStyle w:val="Refdenotaalpie"/>
        </w:rPr>
        <w:footnoteReference w:id="282"/>
      </w:r>
      <w:r>
        <w:t>.</w:t>
      </w:r>
    </w:p>
    <w:p w:rsidR="003804AC" w:rsidRDefault="00AF18A5" w:rsidP="00D64799">
      <w:r>
        <w:lastRenderedPageBreak/>
        <w:t>La experiencia de la UP y el papel inicial que jugaron los miembros de las FARC-EP implicaron el comienzo de dos transformaciones centrales en su relación con el campo político en los años noventa: en primer lugar, ese encuentro con la política local permitió a los</w:t>
      </w:r>
      <w:r>
        <w:rPr>
          <w:spacing w:val="-15"/>
        </w:rPr>
        <w:t xml:space="preserve"> </w:t>
      </w:r>
      <w:r>
        <w:t>comandantes</w:t>
      </w:r>
      <w:r>
        <w:rPr>
          <w:spacing w:val="-15"/>
        </w:rPr>
        <w:t xml:space="preserve"> </w:t>
      </w:r>
      <w:r>
        <w:t>y</w:t>
      </w:r>
      <w:r>
        <w:rPr>
          <w:spacing w:val="-15"/>
        </w:rPr>
        <w:t xml:space="preserve"> </w:t>
      </w:r>
      <w:r>
        <w:t>a</w:t>
      </w:r>
      <w:r>
        <w:rPr>
          <w:spacing w:val="-15"/>
        </w:rPr>
        <w:t xml:space="preserve"> </w:t>
      </w:r>
      <w:r>
        <w:t>los</w:t>
      </w:r>
      <w:r>
        <w:rPr>
          <w:spacing w:val="-15"/>
        </w:rPr>
        <w:t xml:space="preserve"> </w:t>
      </w:r>
      <w:r>
        <w:t>mandos</w:t>
      </w:r>
      <w:r>
        <w:rPr>
          <w:spacing w:val="-15"/>
        </w:rPr>
        <w:t xml:space="preserve"> </w:t>
      </w:r>
      <w:r>
        <w:t>medios</w:t>
      </w:r>
      <w:r>
        <w:rPr>
          <w:spacing w:val="-15"/>
        </w:rPr>
        <w:t xml:space="preserve"> </w:t>
      </w:r>
      <w:r>
        <w:t>tomar</w:t>
      </w:r>
      <w:r>
        <w:rPr>
          <w:spacing w:val="-15"/>
        </w:rPr>
        <w:t xml:space="preserve"> </w:t>
      </w:r>
      <w:r>
        <w:t>conciencia</w:t>
      </w:r>
      <w:r>
        <w:rPr>
          <w:spacing w:val="-15"/>
        </w:rPr>
        <w:t xml:space="preserve"> </w:t>
      </w:r>
      <w:r>
        <w:t>de</w:t>
      </w:r>
      <w:r>
        <w:rPr>
          <w:spacing w:val="-15"/>
        </w:rPr>
        <w:t xml:space="preserve"> </w:t>
      </w:r>
      <w:r>
        <w:t>la</w:t>
      </w:r>
      <w:r>
        <w:rPr>
          <w:spacing w:val="-15"/>
        </w:rPr>
        <w:t xml:space="preserve"> </w:t>
      </w:r>
      <w:r>
        <w:t>importancia</w:t>
      </w:r>
      <w:r>
        <w:rPr>
          <w:spacing w:val="-14"/>
        </w:rPr>
        <w:t xml:space="preserve"> </w:t>
      </w:r>
      <w:r>
        <w:t>del</w:t>
      </w:r>
      <w:r>
        <w:rPr>
          <w:spacing w:val="-15"/>
        </w:rPr>
        <w:t xml:space="preserve"> </w:t>
      </w:r>
      <w:r>
        <w:t>juego</w:t>
      </w:r>
      <w:r>
        <w:rPr>
          <w:spacing w:val="-15"/>
        </w:rPr>
        <w:t xml:space="preserve"> </w:t>
      </w:r>
      <w:r>
        <w:t>político regional para sus objetivos. En segundo lugar, fue el escenario donde las FARC-EP aprendieron, de manera concreta y práctica, que podían participar e influir en las arenas políticas sin la tutela del Partido Comunista. Para las víctimas del genocidio de la UP y las comunidades y bases sociales del partido, supuso el exterminio físico, la persecución permanente,</w:t>
      </w:r>
      <w:r>
        <w:rPr>
          <w:spacing w:val="-12"/>
        </w:rPr>
        <w:t xml:space="preserve"> </w:t>
      </w:r>
      <w:r>
        <w:t>la</w:t>
      </w:r>
      <w:r>
        <w:rPr>
          <w:spacing w:val="-12"/>
        </w:rPr>
        <w:t xml:space="preserve"> </w:t>
      </w:r>
      <w:r>
        <w:t>ausencia</w:t>
      </w:r>
      <w:r>
        <w:rPr>
          <w:spacing w:val="-12"/>
        </w:rPr>
        <w:t xml:space="preserve"> </w:t>
      </w:r>
      <w:r>
        <w:t>de</w:t>
      </w:r>
      <w:r>
        <w:rPr>
          <w:spacing w:val="-11"/>
        </w:rPr>
        <w:t xml:space="preserve"> </w:t>
      </w:r>
      <w:r>
        <w:t>protección</w:t>
      </w:r>
      <w:r>
        <w:rPr>
          <w:spacing w:val="-11"/>
        </w:rPr>
        <w:t xml:space="preserve"> </w:t>
      </w:r>
      <w:r>
        <w:t>del</w:t>
      </w:r>
      <w:r>
        <w:rPr>
          <w:spacing w:val="-12"/>
        </w:rPr>
        <w:t xml:space="preserve"> </w:t>
      </w:r>
      <w:r>
        <w:t>Estado</w:t>
      </w:r>
      <w:r>
        <w:rPr>
          <w:spacing w:val="-13"/>
        </w:rPr>
        <w:t xml:space="preserve"> </w:t>
      </w:r>
      <w:r>
        <w:t>y</w:t>
      </w:r>
      <w:r>
        <w:rPr>
          <w:spacing w:val="-11"/>
        </w:rPr>
        <w:t xml:space="preserve"> </w:t>
      </w:r>
      <w:r>
        <w:t>el</w:t>
      </w:r>
      <w:r>
        <w:rPr>
          <w:spacing w:val="-12"/>
        </w:rPr>
        <w:t xml:space="preserve"> </w:t>
      </w:r>
      <w:r>
        <w:t>fin</w:t>
      </w:r>
      <w:r>
        <w:rPr>
          <w:spacing w:val="-12"/>
        </w:rPr>
        <w:t xml:space="preserve"> </w:t>
      </w:r>
      <w:r>
        <w:t>de</w:t>
      </w:r>
      <w:r>
        <w:rPr>
          <w:spacing w:val="-11"/>
        </w:rPr>
        <w:t xml:space="preserve"> </w:t>
      </w:r>
      <w:r>
        <w:t>una</w:t>
      </w:r>
      <w:r>
        <w:rPr>
          <w:spacing w:val="-11"/>
        </w:rPr>
        <w:t xml:space="preserve"> </w:t>
      </w:r>
      <w:r>
        <w:t>esperanza</w:t>
      </w:r>
      <w:r>
        <w:rPr>
          <w:spacing w:val="-12"/>
        </w:rPr>
        <w:t xml:space="preserve"> </w:t>
      </w:r>
      <w:r>
        <w:t>de</w:t>
      </w:r>
      <w:r>
        <w:rPr>
          <w:spacing w:val="-12"/>
        </w:rPr>
        <w:t xml:space="preserve"> </w:t>
      </w:r>
      <w:r>
        <w:t xml:space="preserve">transformación y participación política. Otras expresiones políticas posteriores, como el caso de Marcha Patriótica, han sufrido también el impacto de los intentos de frenar la participación política con base en los mismos estigmas de enemigo interno aún durante el tiempo de trabajo de la </w:t>
      </w:r>
      <w:r>
        <w:rPr>
          <w:spacing w:val="-2"/>
        </w:rPr>
        <w:t>Comisión.</w:t>
      </w:r>
    </w:p>
    <w:p w:rsidR="003804AC" w:rsidRDefault="00AF18A5" w:rsidP="006B16DA">
      <w:r>
        <w:t>De</w:t>
      </w:r>
      <w:r>
        <w:rPr>
          <w:spacing w:val="-15"/>
        </w:rPr>
        <w:t xml:space="preserve"> </w:t>
      </w:r>
      <w:r>
        <w:t>otro</w:t>
      </w:r>
      <w:r>
        <w:rPr>
          <w:spacing w:val="-15"/>
        </w:rPr>
        <w:t xml:space="preserve"> </w:t>
      </w:r>
      <w:r>
        <w:t>lado,</w:t>
      </w:r>
      <w:r>
        <w:rPr>
          <w:spacing w:val="-15"/>
        </w:rPr>
        <w:t xml:space="preserve"> </w:t>
      </w:r>
      <w:r>
        <w:t>la</w:t>
      </w:r>
      <w:r>
        <w:rPr>
          <w:spacing w:val="-15"/>
        </w:rPr>
        <w:t xml:space="preserve"> </w:t>
      </w:r>
      <w:r>
        <w:t>relación</w:t>
      </w:r>
      <w:r>
        <w:rPr>
          <w:spacing w:val="-15"/>
        </w:rPr>
        <w:t xml:space="preserve"> </w:t>
      </w:r>
      <w:r>
        <w:t>del</w:t>
      </w:r>
      <w:r>
        <w:rPr>
          <w:spacing w:val="-15"/>
        </w:rPr>
        <w:t xml:space="preserve"> </w:t>
      </w:r>
      <w:r>
        <w:t>ELN</w:t>
      </w:r>
      <w:r>
        <w:rPr>
          <w:spacing w:val="-15"/>
        </w:rPr>
        <w:t xml:space="preserve"> </w:t>
      </w:r>
      <w:r>
        <w:t>con</w:t>
      </w:r>
      <w:r>
        <w:rPr>
          <w:spacing w:val="-15"/>
        </w:rPr>
        <w:t xml:space="preserve"> </w:t>
      </w:r>
      <w:r>
        <w:t>la</w:t>
      </w:r>
      <w:r>
        <w:rPr>
          <w:spacing w:val="-15"/>
        </w:rPr>
        <w:t xml:space="preserve"> </w:t>
      </w:r>
      <w:r>
        <w:t>izquierda</w:t>
      </w:r>
      <w:r>
        <w:rPr>
          <w:spacing w:val="-15"/>
        </w:rPr>
        <w:t xml:space="preserve"> </w:t>
      </w:r>
      <w:r>
        <w:t>política</w:t>
      </w:r>
      <w:r>
        <w:rPr>
          <w:spacing w:val="-15"/>
        </w:rPr>
        <w:t xml:space="preserve"> </w:t>
      </w:r>
      <w:r>
        <w:t>legal</w:t>
      </w:r>
      <w:r>
        <w:rPr>
          <w:spacing w:val="-15"/>
        </w:rPr>
        <w:t xml:space="preserve"> </w:t>
      </w:r>
      <w:r>
        <w:t>y</w:t>
      </w:r>
      <w:r>
        <w:rPr>
          <w:spacing w:val="-15"/>
        </w:rPr>
        <w:t xml:space="preserve"> </w:t>
      </w:r>
      <w:r>
        <w:t>los</w:t>
      </w:r>
      <w:r>
        <w:rPr>
          <w:spacing w:val="-15"/>
        </w:rPr>
        <w:t xml:space="preserve"> </w:t>
      </w:r>
      <w:r>
        <w:t>movimientos</w:t>
      </w:r>
      <w:r>
        <w:rPr>
          <w:spacing w:val="-15"/>
        </w:rPr>
        <w:t xml:space="preserve"> </w:t>
      </w:r>
      <w:r>
        <w:t>sociales tuvo una trayectoria distinta. En la primera etapa (1964-1977), marcada por el inicio fundacional del proyecto armado, esta guerrilla tuvo dos vasos comunicantes con el mundo social, bastante diferenciados. Uno en sus zonas de presencia en los espacios rurales y otro con procesos organizativos en el mundo urbano. En cada uno de ellos las tensiones fueron visibles y los contrastes</w:t>
      </w:r>
      <w:r>
        <w:rPr>
          <w:spacing w:val="-1"/>
        </w:rPr>
        <w:t xml:space="preserve"> </w:t>
      </w:r>
      <w:r>
        <w:t>bastante marcados. Más</w:t>
      </w:r>
      <w:r>
        <w:rPr>
          <w:spacing w:val="-1"/>
        </w:rPr>
        <w:t xml:space="preserve"> </w:t>
      </w:r>
      <w:r>
        <w:t>adelante, en la segunda etapa (1978-1990), en</w:t>
      </w:r>
      <w:r>
        <w:rPr>
          <w:spacing w:val="-15"/>
        </w:rPr>
        <w:t xml:space="preserve"> </w:t>
      </w:r>
      <w:r>
        <w:t>pleno</w:t>
      </w:r>
      <w:r>
        <w:rPr>
          <w:spacing w:val="-15"/>
        </w:rPr>
        <w:t xml:space="preserve"> </w:t>
      </w:r>
      <w:r>
        <w:t>proceso</w:t>
      </w:r>
      <w:r>
        <w:rPr>
          <w:spacing w:val="-15"/>
        </w:rPr>
        <w:t xml:space="preserve"> </w:t>
      </w:r>
      <w:r>
        <w:t>de</w:t>
      </w:r>
      <w:r>
        <w:rPr>
          <w:spacing w:val="-15"/>
        </w:rPr>
        <w:t xml:space="preserve"> </w:t>
      </w:r>
      <w:r>
        <w:t>recomposición</w:t>
      </w:r>
      <w:r>
        <w:rPr>
          <w:spacing w:val="-15"/>
        </w:rPr>
        <w:t xml:space="preserve"> </w:t>
      </w:r>
      <w:r>
        <w:t>y</w:t>
      </w:r>
      <w:r>
        <w:rPr>
          <w:spacing w:val="-15"/>
        </w:rPr>
        <w:t xml:space="preserve"> </w:t>
      </w:r>
      <w:r>
        <w:t>expansión</w:t>
      </w:r>
      <w:r>
        <w:rPr>
          <w:spacing w:val="-15"/>
        </w:rPr>
        <w:t xml:space="preserve"> </w:t>
      </w:r>
      <w:r>
        <w:t>del</w:t>
      </w:r>
      <w:r>
        <w:rPr>
          <w:spacing w:val="-15"/>
        </w:rPr>
        <w:t xml:space="preserve"> </w:t>
      </w:r>
      <w:r>
        <w:t>proyecto</w:t>
      </w:r>
      <w:r>
        <w:rPr>
          <w:spacing w:val="-15"/>
        </w:rPr>
        <w:t xml:space="preserve"> </w:t>
      </w:r>
      <w:r>
        <w:t>armado,</w:t>
      </w:r>
      <w:r>
        <w:rPr>
          <w:spacing w:val="-15"/>
        </w:rPr>
        <w:t xml:space="preserve"> </w:t>
      </w:r>
      <w:r>
        <w:t>el</w:t>
      </w:r>
      <w:r>
        <w:rPr>
          <w:spacing w:val="-15"/>
        </w:rPr>
        <w:t xml:space="preserve"> </w:t>
      </w:r>
      <w:r>
        <w:t>ELN</w:t>
      </w:r>
      <w:r>
        <w:rPr>
          <w:spacing w:val="-15"/>
        </w:rPr>
        <w:t xml:space="preserve"> </w:t>
      </w:r>
      <w:r>
        <w:t>estuvo</w:t>
      </w:r>
      <w:r>
        <w:rPr>
          <w:spacing w:val="-15"/>
        </w:rPr>
        <w:t xml:space="preserve"> </w:t>
      </w:r>
      <w:r>
        <w:t>marcado por</w:t>
      </w:r>
      <w:r>
        <w:rPr>
          <w:spacing w:val="1"/>
        </w:rPr>
        <w:t xml:space="preserve"> </w:t>
      </w:r>
      <w:r>
        <w:t>matices:</w:t>
      </w:r>
      <w:r>
        <w:rPr>
          <w:spacing w:val="3"/>
        </w:rPr>
        <w:t xml:space="preserve"> </w:t>
      </w:r>
      <w:r>
        <w:t>en</w:t>
      </w:r>
      <w:r>
        <w:rPr>
          <w:spacing w:val="3"/>
        </w:rPr>
        <w:t xml:space="preserve"> </w:t>
      </w:r>
      <w:r>
        <w:t>algunos</w:t>
      </w:r>
      <w:r>
        <w:rPr>
          <w:spacing w:val="2"/>
        </w:rPr>
        <w:t xml:space="preserve"> </w:t>
      </w:r>
      <w:r>
        <w:t>lugares</w:t>
      </w:r>
      <w:r>
        <w:rPr>
          <w:spacing w:val="2"/>
        </w:rPr>
        <w:t xml:space="preserve"> </w:t>
      </w:r>
      <w:r>
        <w:t>estableció</w:t>
      </w:r>
      <w:r>
        <w:rPr>
          <w:spacing w:val="2"/>
        </w:rPr>
        <w:t xml:space="preserve"> </w:t>
      </w:r>
      <w:r>
        <w:t>fuertes</w:t>
      </w:r>
      <w:r>
        <w:rPr>
          <w:spacing w:val="3"/>
        </w:rPr>
        <w:t xml:space="preserve"> </w:t>
      </w:r>
      <w:r>
        <w:t>articulaciones</w:t>
      </w:r>
      <w:r>
        <w:rPr>
          <w:spacing w:val="4"/>
        </w:rPr>
        <w:t xml:space="preserve"> </w:t>
      </w:r>
      <w:r>
        <w:t>con</w:t>
      </w:r>
      <w:r>
        <w:rPr>
          <w:spacing w:val="3"/>
        </w:rPr>
        <w:t xml:space="preserve"> </w:t>
      </w:r>
      <w:r>
        <w:t>la</w:t>
      </w:r>
      <w:r>
        <w:rPr>
          <w:spacing w:val="4"/>
        </w:rPr>
        <w:t xml:space="preserve"> </w:t>
      </w:r>
      <w:r>
        <w:t>movilización</w:t>
      </w:r>
      <w:r>
        <w:rPr>
          <w:spacing w:val="3"/>
        </w:rPr>
        <w:t xml:space="preserve"> </w:t>
      </w:r>
      <w:r>
        <w:rPr>
          <w:spacing w:val="-2"/>
        </w:rPr>
        <w:t>social,</w:t>
      </w:r>
      <w:bookmarkStart w:id="413" w:name="_bookmark323"/>
      <w:bookmarkEnd w:id="413"/>
      <w:r w:rsidR="006B16DA">
        <w:rPr>
          <w:spacing w:val="-2"/>
        </w:rPr>
        <w:t xml:space="preserve"> </w:t>
      </w:r>
      <w:r>
        <w:t xml:space="preserve">en otros hubo una relación </w:t>
      </w:r>
      <w:r>
        <w:lastRenderedPageBreak/>
        <w:t>mucho más pragmática y finalmente formas más caracterizadas por</w:t>
      </w:r>
      <w:r>
        <w:rPr>
          <w:spacing w:val="-10"/>
        </w:rPr>
        <w:t xml:space="preserve"> </w:t>
      </w:r>
      <w:r>
        <w:t>un</w:t>
      </w:r>
      <w:r>
        <w:rPr>
          <w:spacing w:val="-11"/>
        </w:rPr>
        <w:t xml:space="preserve"> </w:t>
      </w:r>
      <w:r>
        <w:t>trato</w:t>
      </w:r>
      <w:r>
        <w:rPr>
          <w:spacing w:val="-12"/>
        </w:rPr>
        <w:t xml:space="preserve"> </w:t>
      </w:r>
      <w:r>
        <w:t>militarizado.</w:t>
      </w:r>
      <w:r>
        <w:rPr>
          <w:spacing w:val="-12"/>
        </w:rPr>
        <w:t xml:space="preserve"> </w:t>
      </w:r>
      <w:r>
        <w:t>Esta</w:t>
      </w:r>
      <w:r>
        <w:rPr>
          <w:spacing w:val="-10"/>
        </w:rPr>
        <w:t xml:space="preserve"> </w:t>
      </w:r>
      <w:r>
        <w:t>coyuntura</w:t>
      </w:r>
      <w:r>
        <w:rPr>
          <w:spacing w:val="-10"/>
        </w:rPr>
        <w:t xml:space="preserve"> </w:t>
      </w:r>
      <w:r>
        <w:t>estuvo</w:t>
      </w:r>
      <w:r>
        <w:rPr>
          <w:spacing w:val="-12"/>
        </w:rPr>
        <w:t xml:space="preserve"> </w:t>
      </w:r>
      <w:r>
        <w:t>marcada</w:t>
      </w:r>
      <w:r>
        <w:rPr>
          <w:spacing w:val="-10"/>
        </w:rPr>
        <w:t xml:space="preserve"> </w:t>
      </w:r>
      <w:r>
        <w:t>por</w:t>
      </w:r>
      <w:r>
        <w:rPr>
          <w:spacing w:val="-10"/>
        </w:rPr>
        <w:t xml:space="preserve"> </w:t>
      </w:r>
      <w:r>
        <w:t>una</w:t>
      </w:r>
      <w:r>
        <w:rPr>
          <w:spacing w:val="-10"/>
        </w:rPr>
        <w:t xml:space="preserve"> </w:t>
      </w:r>
      <w:r>
        <w:t>política</w:t>
      </w:r>
      <w:r>
        <w:rPr>
          <w:spacing w:val="-12"/>
        </w:rPr>
        <w:t xml:space="preserve"> </w:t>
      </w:r>
      <w:r>
        <w:t>estatal</w:t>
      </w:r>
      <w:r>
        <w:rPr>
          <w:spacing w:val="-10"/>
        </w:rPr>
        <w:t xml:space="preserve"> </w:t>
      </w:r>
      <w:r>
        <w:t>de</w:t>
      </w:r>
      <w:r>
        <w:rPr>
          <w:spacing w:val="-10"/>
        </w:rPr>
        <w:t xml:space="preserve"> </w:t>
      </w:r>
      <w:r>
        <w:t>represión y la emergencia de la denominada guerra sucia que empezaron a desatar agentes del Estado y</w:t>
      </w:r>
      <w:r>
        <w:rPr>
          <w:spacing w:val="-5"/>
        </w:rPr>
        <w:t xml:space="preserve"> </w:t>
      </w:r>
      <w:r>
        <w:t>los</w:t>
      </w:r>
      <w:r>
        <w:rPr>
          <w:spacing w:val="-5"/>
        </w:rPr>
        <w:t xml:space="preserve"> </w:t>
      </w:r>
      <w:r>
        <w:t>paramilitares,</w:t>
      </w:r>
      <w:r>
        <w:rPr>
          <w:spacing w:val="-6"/>
        </w:rPr>
        <w:t xml:space="preserve"> </w:t>
      </w:r>
      <w:r>
        <w:t>hecho</w:t>
      </w:r>
      <w:r>
        <w:rPr>
          <w:spacing w:val="-5"/>
        </w:rPr>
        <w:t xml:space="preserve"> </w:t>
      </w:r>
      <w:r>
        <w:t>que</w:t>
      </w:r>
      <w:r>
        <w:rPr>
          <w:spacing w:val="-4"/>
        </w:rPr>
        <w:t xml:space="preserve"> </w:t>
      </w:r>
      <w:r>
        <w:t>enmarca</w:t>
      </w:r>
      <w:r>
        <w:rPr>
          <w:spacing w:val="-4"/>
        </w:rPr>
        <w:t xml:space="preserve"> </w:t>
      </w:r>
      <w:r>
        <w:t>la</w:t>
      </w:r>
      <w:r>
        <w:rPr>
          <w:spacing w:val="-4"/>
        </w:rPr>
        <w:t xml:space="preserve"> </w:t>
      </w:r>
      <w:r>
        <w:t>decisión</w:t>
      </w:r>
      <w:r>
        <w:rPr>
          <w:spacing w:val="-5"/>
        </w:rPr>
        <w:t xml:space="preserve"> </w:t>
      </w:r>
      <w:r>
        <w:t>de</w:t>
      </w:r>
      <w:r>
        <w:rPr>
          <w:spacing w:val="-4"/>
        </w:rPr>
        <w:t xml:space="preserve"> </w:t>
      </w:r>
      <w:r>
        <w:t>ciertos</w:t>
      </w:r>
      <w:r>
        <w:rPr>
          <w:spacing w:val="-6"/>
        </w:rPr>
        <w:t xml:space="preserve"> </w:t>
      </w:r>
      <w:r>
        <w:t>líderes</w:t>
      </w:r>
      <w:r>
        <w:rPr>
          <w:spacing w:val="-6"/>
        </w:rPr>
        <w:t xml:space="preserve"> </w:t>
      </w:r>
      <w:r>
        <w:t>sociales</w:t>
      </w:r>
      <w:r>
        <w:rPr>
          <w:spacing w:val="-4"/>
        </w:rPr>
        <w:t xml:space="preserve"> </w:t>
      </w:r>
      <w:r>
        <w:t>de</w:t>
      </w:r>
      <w:r>
        <w:rPr>
          <w:spacing w:val="-6"/>
        </w:rPr>
        <w:t xml:space="preserve"> </w:t>
      </w:r>
      <w:r>
        <w:t>ingresar</w:t>
      </w:r>
      <w:r>
        <w:rPr>
          <w:spacing w:val="-4"/>
        </w:rPr>
        <w:t xml:space="preserve"> </w:t>
      </w:r>
      <w:r>
        <w:t>a</w:t>
      </w:r>
      <w:r>
        <w:rPr>
          <w:spacing w:val="-6"/>
        </w:rPr>
        <w:t xml:space="preserve"> </w:t>
      </w:r>
      <w:r>
        <w:t>la lucha armada. En ese momento se produjo la estigmatización del movimiento ¡A Luchar!, objeto de la violencia ejercida por grupos paramilitares y las Fuerzas Militares, con la justificación de que sus miembros eran integrantes del ELN.</w:t>
      </w:r>
    </w:p>
    <w:p w:rsidR="003804AC" w:rsidRDefault="00AF18A5" w:rsidP="006B16DA">
      <w:r>
        <w:t>En efecto, el informe entregado a la Comisión de la Verdad por el Colectivo por la Recuperación</w:t>
      </w:r>
      <w:r>
        <w:rPr>
          <w:spacing w:val="-1"/>
        </w:rPr>
        <w:t xml:space="preserve"> </w:t>
      </w:r>
      <w:r>
        <w:t>de</w:t>
      </w:r>
      <w:r>
        <w:rPr>
          <w:spacing w:val="-1"/>
        </w:rPr>
        <w:t xml:space="preserve"> </w:t>
      </w:r>
      <w:r>
        <w:t>la</w:t>
      </w:r>
      <w:r>
        <w:rPr>
          <w:spacing w:val="-1"/>
        </w:rPr>
        <w:t xml:space="preserve"> </w:t>
      </w:r>
      <w:r>
        <w:t>Memoria</w:t>
      </w:r>
      <w:r>
        <w:rPr>
          <w:spacing w:val="-1"/>
        </w:rPr>
        <w:t xml:space="preserve"> </w:t>
      </w:r>
      <w:r>
        <w:t>de</w:t>
      </w:r>
      <w:r>
        <w:rPr>
          <w:spacing w:val="-1"/>
        </w:rPr>
        <w:t xml:space="preserve"> </w:t>
      </w:r>
      <w:r>
        <w:t>¡A</w:t>
      </w:r>
      <w:r>
        <w:rPr>
          <w:spacing w:val="-2"/>
        </w:rPr>
        <w:t xml:space="preserve"> </w:t>
      </w:r>
      <w:r>
        <w:t>Luchar!</w:t>
      </w:r>
      <w:r>
        <w:rPr>
          <w:spacing w:val="-1"/>
        </w:rPr>
        <w:t xml:space="preserve"> </w:t>
      </w:r>
      <w:r>
        <w:t>revela</w:t>
      </w:r>
      <w:r>
        <w:rPr>
          <w:spacing w:val="-1"/>
        </w:rPr>
        <w:t xml:space="preserve"> </w:t>
      </w:r>
      <w:r>
        <w:t>que</w:t>
      </w:r>
      <w:r>
        <w:rPr>
          <w:spacing w:val="-1"/>
        </w:rPr>
        <w:t xml:space="preserve"> </w:t>
      </w:r>
      <w:r>
        <w:t>para</w:t>
      </w:r>
      <w:r>
        <w:rPr>
          <w:spacing w:val="-1"/>
        </w:rPr>
        <w:t xml:space="preserve"> </w:t>
      </w:r>
      <w:r>
        <w:t>el</w:t>
      </w:r>
      <w:r>
        <w:rPr>
          <w:spacing w:val="-2"/>
        </w:rPr>
        <w:t xml:space="preserve"> </w:t>
      </w:r>
      <w:r>
        <w:t>periodo</w:t>
      </w:r>
      <w:r>
        <w:rPr>
          <w:spacing w:val="-1"/>
        </w:rPr>
        <w:t xml:space="preserve"> </w:t>
      </w:r>
      <w:r>
        <w:t>entre</w:t>
      </w:r>
      <w:r>
        <w:rPr>
          <w:spacing w:val="-1"/>
        </w:rPr>
        <w:t xml:space="preserve"> </w:t>
      </w:r>
      <w:r>
        <w:t>1984</w:t>
      </w:r>
      <w:r>
        <w:rPr>
          <w:spacing w:val="-1"/>
        </w:rPr>
        <w:t xml:space="preserve"> </w:t>
      </w:r>
      <w:r>
        <w:t>y</w:t>
      </w:r>
      <w:r>
        <w:rPr>
          <w:spacing w:val="-1"/>
        </w:rPr>
        <w:t xml:space="preserve"> </w:t>
      </w:r>
      <w:r>
        <w:t>1992</w:t>
      </w:r>
      <w:r>
        <w:rPr>
          <w:spacing w:val="-1"/>
        </w:rPr>
        <w:t xml:space="preserve"> </w:t>
      </w:r>
      <w:r>
        <w:t>se registraron más de 700 hechos violentos contra más de 500 personas, la mayoría de ellos hombres y 55 mujeres</w:t>
      </w:r>
      <w:r w:rsidR="006B16DA">
        <w:rPr>
          <w:rStyle w:val="Refdenotaalpie"/>
        </w:rPr>
        <w:footnoteReference w:id="283"/>
      </w:r>
      <w:r>
        <w:t>; también de líderes del paro del Nororiente, siendo el más representativo</w:t>
      </w:r>
      <w:r>
        <w:rPr>
          <w:spacing w:val="-2"/>
        </w:rPr>
        <w:t xml:space="preserve"> </w:t>
      </w:r>
      <w:r>
        <w:t>el</w:t>
      </w:r>
      <w:r>
        <w:rPr>
          <w:spacing w:val="-2"/>
        </w:rPr>
        <w:t xml:space="preserve"> </w:t>
      </w:r>
      <w:r>
        <w:t>asesinato</w:t>
      </w:r>
      <w:r>
        <w:rPr>
          <w:spacing w:val="-2"/>
        </w:rPr>
        <w:t xml:space="preserve"> </w:t>
      </w:r>
      <w:r>
        <w:t>de</w:t>
      </w:r>
      <w:r>
        <w:rPr>
          <w:spacing w:val="-2"/>
        </w:rPr>
        <w:t xml:space="preserve"> </w:t>
      </w:r>
      <w:r>
        <w:t>Hernando</w:t>
      </w:r>
      <w:r>
        <w:rPr>
          <w:spacing w:val="-2"/>
        </w:rPr>
        <w:t xml:space="preserve"> </w:t>
      </w:r>
      <w:r>
        <w:t>de</w:t>
      </w:r>
      <w:r>
        <w:rPr>
          <w:spacing w:val="-2"/>
        </w:rPr>
        <w:t xml:space="preserve"> </w:t>
      </w:r>
      <w:r>
        <w:t>Jesús</w:t>
      </w:r>
      <w:r>
        <w:rPr>
          <w:spacing w:val="-3"/>
        </w:rPr>
        <w:t xml:space="preserve"> </w:t>
      </w:r>
      <w:r>
        <w:t>Sanguino,</w:t>
      </w:r>
      <w:r>
        <w:rPr>
          <w:spacing w:val="-2"/>
        </w:rPr>
        <w:t xml:space="preserve"> </w:t>
      </w:r>
      <w:r>
        <w:t>dirigente</w:t>
      </w:r>
      <w:r>
        <w:rPr>
          <w:spacing w:val="-2"/>
        </w:rPr>
        <w:t xml:space="preserve"> </w:t>
      </w:r>
      <w:r>
        <w:t>del</w:t>
      </w:r>
      <w:r>
        <w:rPr>
          <w:spacing w:val="-3"/>
        </w:rPr>
        <w:t xml:space="preserve"> </w:t>
      </w:r>
      <w:r>
        <w:t>magisterio</w:t>
      </w:r>
      <w:r w:rsidR="006B16DA">
        <w:rPr>
          <w:rStyle w:val="Refdenotaalpie"/>
        </w:rPr>
        <w:footnoteReference w:id="284"/>
      </w:r>
      <w:r>
        <w:t>.</w:t>
      </w:r>
      <w:r>
        <w:rPr>
          <w:spacing w:val="-3"/>
        </w:rPr>
        <w:t xml:space="preserve"> </w:t>
      </w:r>
      <w:r>
        <w:t>Este antecedente marcó en la siguiente década el camino a las nacientes AUC de cómo atacar y erosionar lo que consideraban apoyos sociales del ELN:</w:t>
      </w:r>
    </w:p>
    <w:p w:rsidR="003804AC" w:rsidRPr="006B16DA" w:rsidRDefault="00AF18A5" w:rsidP="006B16DA">
      <w:r w:rsidRPr="006B16DA">
        <w:t xml:space="preserve">En aquella época hubo una gran epopeya de la lucha de masas, que se juntó también con la lucha militar guerrillera […] cuando se juntaron las </w:t>
      </w:r>
      <w:r w:rsidRPr="006B16DA">
        <w:lastRenderedPageBreak/>
        <w:t>marchas del nororiente colombiano impulsadas por</w:t>
      </w:r>
      <w:r w:rsidR="006B16DA" w:rsidRPr="006B16DA">
        <w:t xml:space="preserve"> </w:t>
      </w:r>
      <w:r w:rsidRPr="006B16DA">
        <w:t>¡A Luchar! con el ELN. Allí se pensaba que ambas acciones debían dirigirse en un mismo sentido; esto... pudiéramos decir, dirección o codirección… o unificación, llevó, pues, a emparentar estrechamente el movimiento social, político-social, dirigido hacia las guerrillas, con las mismas guerrillas</w:t>
      </w:r>
      <w:r w:rsidR="006B16DA" w:rsidRPr="006B16DA">
        <w:footnoteReference w:id="285"/>
      </w:r>
      <w:r w:rsidRPr="006B16DA">
        <w:t>.</w:t>
      </w:r>
    </w:p>
    <w:p w:rsidR="003804AC" w:rsidRDefault="00AF18A5" w:rsidP="006B16DA">
      <w:r>
        <w:t xml:space="preserve">En la tercera etapa (1991-2002) se produjo una ruptura del ELN con la movilización social, </w:t>
      </w:r>
      <w:r>
        <w:rPr>
          <w:spacing w:val="-2"/>
        </w:rPr>
        <w:t>resultado</w:t>
      </w:r>
      <w:r>
        <w:rPr>
          <w:spacing w:val="-4"/>
        </w:rPr>
        <w:t xml:space="preserve"> </w:t>
      </w:r>
      <w:r>
        <w:rPr>
          <w:spacing w:val="-2"/>
        </w:rPr>
        <w:t>de</w:t>
      </w:r>
      <w:r>
        <w:rPr>
          <w:spacing w:val="-5"/>
        </w:rPr>
        <w:t xml:space="preserve"> </w:t>
      </w:r>
      <w:r>
        <w:rPr>
          <w:spacing w:val="-2"/>
        </w:rPr>
        <w:t>sus</w:t>
      </w:r>
      <w:r>
        <w:rPr>
          <w:spacing w:val="-4"/>
        </w:rPr>
        <w:t xml:space="preserve"> </w:t>
      </w:r>
      <w:r>
        <w:rPr>
          <w:spacing w:val="-2"/>
        </w:rPr>
        <w:t>estrategias</w:t>
      </w:r>
      <w:r>
        <w:rPr>
          <w:spacing w:val="-4"/>
        </w:rPr>
        <w:t xml:space="preserve"> </w:t>
      </w:r>
      <w:r>
        <w:rPr>
          <w:spacing w:val="-2"/>
        </w:rPr>
        <w:t>políticas</w:t>
      </w:r>
      <w:r>
        <w:rPr>
          <w:spacing w:val="-5"/>
        </w:rPr>
        <w:t xml:space="preserve"> </w:t>
      </w:r>
      <w:r>
        <w:rPr>
          <w:spacing w:val="-2"/>
        </w:rPr>
        <w:t>y</w:t>
      </w:r>
      <w:r>
        <w:rPr>
          <w:spacing w:val="-5"/>
        </w:rPr>
        <w:t xml:space="preserve"> </w:t>
      </w:r>
      <w:r>
        <w:rPr>
          <w:spacing w:val="-2"/>
        </w:rPr>
        <w:t>armadas</w:t>
      </w:r>
      <w:r>
        <w:rPr>
          <w:spacing w:val="-5"/>
        </w:rPr>
        <w:t xml:space="preserve"> </w:t>
      </w:r>
      <w:r>
        <w:rPr>
          <w:spacing w:val="-2"/>
        </w:rPr>
        <w:t>para</w:t>
      </w:r>
      <w:r>
        <w:rPr>
          <w:spacing w:val="-4"/>
        </w:rPr>
        <w:t xml:space="preserve"> </w:t>
      </w:r>
      <w:r>
        <w:rPr>
          <w:spacing w:val="-2"/>
        </w:rPr>
        <w:t>fortalecerse</w:t>
      </w:r>
      <w:r>
        <w:rPr>
          <w:spacing w:val="-4"/>
        </w:rPr>
        <w:t xml:space="preserve"> </w:t>
      </w:r>
      <w:r>
        <w:rPr>
          <w:spacing w:val="-2"/>
        </w:rPr>
        <w:t>militarmente,</w:t>
      </w:r>
      <w:r>
        <w:rPr>
          <w:spacing w:val="-5"/>
        </w:rPr>
        <w:t xml:space="preserve"> </w:t>
      </w:r>
      <w:r>
        <w:rPr>
          <w:spacing w:val="-2"/>
        </w:rPr>
        <w:t>lo</w:t>
      </w:r>
      <w:r>
        <w:rPr>
          <w:spacing w:val="-4"/>
        </w:rPr>
        <w:t xml:space="preserve"> </w:t>
      </w:r>
      <w:r>
        <w:rPr>
          <w:spacing w:val="-2"/>
        </w:rPr>
        <w:t>cual</w:t>
      </w:r>
      <w:r>
        <w:rPr>
          <w:spacing w:val="-5"/>
        </w:rPr>
        <w:t xml:space="preserve"> </w:t>
      </w:r>
      <w:r>
        <w:rPr>
          <w:spacing w:val="-2"/>
        </w:rPr>
        <w:t xml:space="preserve">implicó </w:t>
      </w:r>
      <w:r>
        <w:t>una militarización de las relaciones con la población y un mayor intento de control de las agendas</w:t>
      </w:r>
      <w:r>
        <w:rPr>
          <w:spacing w:val="78"/>
        </w:rPr>
        <w:t xml:space="preserve"> </w:t>
      </w:r>
      <w:r>
        <w:t>y</w:t>
      </w:r>
      <w:r>
        <w:rPr>
          <w:spacing w:val="78"/>
        </w:rPr>
        <w:t xml:space="preserve"> </w:t>
      </w:r>
      <w:r>
        <w:t>formas</w:t>
      </w:r>
      <w:r>
        <w:rPr>
          <w:spacing w:val="79"/>
        </w:rPr>
        <w:t xml:space="preserve"> </w:t>
      </w:r>
      <w:r>
        <w:t>de</w:t>
      </w:r>
      <w:r>
        <w:rPr>
          <w:spacing w:val="78"/>
        </w:rPr>
        <w:t xml:space="preserve"> </w:t>
      </w:r>
      <w:r>
        <w:t>reivindicación</w:t>
      </w:r>
      <w:r>
        <w:rPr>
          <w:spacing w:val="79"/>
        </w:rPr>
        <w:t xml:space="preserve"> </w:t>
      </w:r>
      <w:r>
        <w:t>que</w:t>
      </w:r>
      <w:r>
        <w:rPr>
          <w:spacing w:val="79"/>
        </w:rPr>
        <w:t xml:space="preserve"> </w:t>
      </w:r>
      <w:r>
        <w:t>llevaron</w:t>
      </w:r>
      <w:r>
        <w:rPr>
          <w:spacing w:val="79"/>
        </w:rPr>
        <w:t xml:space="preserve"> </w:t>
      </w:r>
      <w:r>
        <w:t>a</w:t>
      </w:r>
      <w:r>
        <w:rPr>
          <w:spacing w:val="79"/>
        </w:rPr>
        <w:t xml:space="preserve"> </w:t>
      </w:r>
      <w:r>
        <w:t>un</w:t>
      </w:r>
      <w:r>
        <w:rPr>
          <w:spacing w:val="77"/>
        </w:rPr>
        <w:t xml:space="preserve"> </w:t>
      </w:r>
      <w:r>
        <w:t>quiebre</w:t>
      </w:r>
      <w:r>
        <w:rPr>
          <w:spacing w:val="78"/>
        </w:rPr>
        <w:t xml:space="preserve"> </w:t>
      </w:r>
      <w:r>
        <w:t>entre</w:t>
      </w:r>
      <w:r>
        <w:rPr>
          <w:spacing w:val="79"/>
        </w:rPr>
        <w:t xml:space="preserve"> </w:t>
      </w:r>
      <w:r>
        <w:t>insurgencias</w:t>
      </w:r>
      <w:r>
        <w:rPr>
          <w:spacing w:val="78"/>
        </w:rPr>
        <w:t xml:space="preserve"> </w:t>
      </w:r>
      <w:r>
        <w:rPr>
          <w:spacing w:val="-10"/>
        </w:rPr>
        <w:t>y</w:t>
      </w:r>
      <w:bookmarkStart w:id="414" w:name="_bookmark324"/>
      <w:bookmarkStart w:id="415" w:name="_bookmark325"/>
      <w:bookmarkStart w:id="416" w:name="_bookmark326"/>
      <w:bookmarkEnd w:id="414"/>
      <w:bookmarkEnd w:id="415"/>
      <w:bookmarkEnd w:id="416"/>
      <w:r w:rsidR="006B16DA">
        <w:rPr>
          <w:spacing w:val="-10"/>
        </w:rPr>
        <w:t xml:space="preserve"> </w:t>
      </w:r>
      <w:r>
        <w:t>movimientos sociales en sus zonas de influencia, situación que se vio agravada por la estrategia de guerra sucia del proyecto paramilitar. Estos dos factores enmarcan la caída en la movilización y la protesta social.</w:t>
      </w:r>
    </w:p>
    <w:p w:rsidR="003804AC" w:rsidRDefault="00AF18A5" w:rsidP="004A6EF4">
      <w:pPr>
        <w:pStyle w:val="Ttulo3"/>
        <w:numPr>
          <w:ilvl w:val="1"/>
          <w:numId w:val="16"/>
        </w:numPr>
      </w:pPr>
      <w:bookmarkStart w:id="417" w:name="4.6._Las_guerrillas:_disputas_por_el_pod"/>
      <w:bookmarkStart w:id="418" w:name="_Toc112399587"/>
      <w:bookmarkEnd w:id="417"/>
      <w:r>
        <w:t xml:space="preserve">Las </w:t>
      </w:r>
      <w:r w:rsidRPr="003171D2">
        <w:t>guerrillas</w:t>
      </w:r>
      <w:r>
        <w:t xml:space="preserve">: disputas por el poder político regional y sus afectaciones a la </w:t>
      </w:r>
      <w:r>
        <w:rPr>
          <w:spacing w:val="-2"/>
        </w:rPr>
        <w:t>democracia</w:t>
      </w:r>
      <w:bookmarkEnd w:id="418"/>
    </w:p>
    <w:p w:rsidR="003804AC" w:rsidRDefault="00AF18A5" w:rsidP="003171D2">
      <w:r>
        <w:rPr>
          <w:spacing w:val="-2"/>
        </w:rPr>
        <w:t>La</w:t>
      </w:r>
      <w:r>
        <w:rPr>
          <w:spacing w:val="-5"/>
        </w:rPr>
        <w:t xml:space="preserve"> </w:t>
      </w:r>
      <w:r>
        <w:rPr>
          <w:spacing w:val="-2"/>
        </w:rPr>
        <w:t>reforma</w:t>
      </w:r>
      <w:r>
        <w:rPr>
          <w:spacing w:val="-6"/>
        </w:rPr>
        <w:t xml:space="preserve"> </w:t>
      </w:r>
      <w:r>
        <w:rPr>
          <w:spacing w:val="-2"/>
        </w:rPr>
        <w:t>política</w:t>
      </w:r>
      <w:r>
        <w:rPr>
          <w:spacing w:val="-6"/>
        </w:rPr>
        <w:t xml:space="preserve"> </w:t>
      </w:r>
      <w:r>
        <w:rPr>
          <w:spacing w:val="-2"/>
        </w:rPr>
        <w:t>y</w:t>
      </w:r>
      <w:r>
        <w:rPr>
          <w:spacing w:val="-5"/>
        </w:rPr>
        <w:t xml:space="preserve"> </w:t>
      </w:r>
      <w:r>
        <w:rPr>
          <w:spacing w:val="-2"/>
        </w:rPr>
        <w:t>la</w:t>
      </w:r>
      <w:r>
        <w:rPr>
          <w:spacing w:val="-6"/>
        </w:rPr>
        <w:t xml:space="preserve"> </w:t>
      </w:r>
      <w:r>
        <w:rPr>
          <w:spacing w:val="-2"/>
        </w:rPr>
        <w:t>descentralización</w:t>
      </w:r>
      <w:r>
        <w:rPr>
          <w:spacing w:val="-5"/>
        </w:rPr>
        <w:t xml:space="preserve"> </w:t>
      </w:r>
      <w:r>
        <w:rPr>
          <w:spacing w:val="-2"/>
        </w:rPr>
        <w:t>desde</w:t>
      </w:r>
      <w:r>
        <w:rPr>
          <w:spacing w:val="-5"/>
        </w:rPr>
        <w:t xml:space="preserve"> </w:t>
      </w:r>
      <w:r>
        <w:rPr>
          <w:spacing w:val="-2"/>
        </w:rPr>
        <w:t>finales</w:t>
      </w:r>
      <w:r>
        <w:rPr>
          <w:spacing w:val="-5"/>
        </w:rPr>
        <w:t xml:space="preserve"> </w:t>
      </w:r>
      <w:r>
        <w:rPr>
          <w:spacing w:val="-2"/>
        </w:rPr>
        <w:t>de</w:t>
      </w:r>
      <w:r>
        <w:rPr>
          <w:spacing w:val="-5"/>
        </w:rPr>
        <w:t xml:space="preserve"> </w:t>
      </w:r>
      <w:r>
        <w:rPr>
          <w:spacing w:val="-2"/>
        </w:rPr>
        <w:t>los</w:t>
      </w:r>
      <w:r>
        <w:rPr>
          <w:spacing w:val="-6"/>
        </w:rPr>
        <w:t xml:space="preserve"> </w:t>
      </w:r>
      <w:r>
        <w:rPr>
          <w:spacing w:val="-2"/>
        </w:rPr>
        <w:t>años</w:t>
      </w:r>
      <w:r>
        <w:rPr>
          <w:spacing w:val="-5"/>
        </w:rPr>
        <w:t xml:space="preserve"> </w:t>
      </w:r>
      <w:r>
        <w:rPr>
          <w:spacing w:val="-2"/>
        </w:rPr>
        <w:t>ochenta</w:t>
      </w:r>
      <w:r>
        <w:rPr>
          <w:spacing w:val="-5"/>
        </w:rPr>
        <w:t xml:space="preserve"> </w:t>
      </w:r>
      <w:r>
        <w:rPr>
          <w:spacing w:val="-2"/>
        </w:rPr>
        <w:t>y,</w:t>
      </w:r>
      <w:r>
        <w:rPr>
          <w:spacing w:val="-5"/>
        </w:rPr>
        <w:t xml:space="preserve"> </w:t>
      </w:r>
      <w:r>
        <w:rPr>
          <w:spacing w:val="-2"/>
        </w:rPr>
        <w:t xml:space="preserve">posteriormente, </w:t>
      </w:r>
      <w:r>
        <w:t>con la Constitución de 1991, pretendían promover la democracia y la autonomía local, pero determinaron el reforzamiento y la mayor imbricación del conflicto armado y las disputas por los poderes locales y regionales. En este contexto, los grupos armados, tanto guerrillas como paramilitares, aumentaron su injerencia en el sistema político</w:t>
      </w:r>
      <w:r w:rsidR="003171D2">
        <w:rPr>
          <w:rStyle w:val="Refdenotaalpie"/>
        </w:rPr>
        <w:footnoteReference w:id="286"/>
      </w:r>
      <w:r>
        <w:t>. En 1988 se llevó a cabo</w:t>
      </w:r>
      <w:r>
        <w:rPr>
          <w:spacing w:val="-8"/>
        </w:rPr>
        <w:t xml:space="preserve"> </w:t>
      </w:r>
      <w:r>
        <w:t>la</w:t>
      </w:r>
      <w:r>
        <w:rPr>
          <w:spacing w:val="-8"/>
        </w:rPr>
        <w:t xml:space="preserve"> </w:t>
      </w:r>
      <w:r>
        <w:t>primera</w:t>
      </w:r>
      <w:r>
        <w:rPr>
          <w:spacing w:val="-8"/>
        </w:rPr>
        <w:t xml:space="preserve"> </w:t>
      </w:r>
      <w:r>
        <w:t>elección</w:t>
      </w:r>
      <w:r>
        <w:rPr>
          <w:spacing w:val="-8"/>
        </w:rPr>
        <w:t xml:space="preserve"> </w:t>
      </w:r>
      <w:r>
        <w:t>popular</w:t>
      </w:r>
      <w:r>
        <w:rPr>
          <w:spacing w:val="-8"/>
        </w:rPr>
        <w:t xml:space="preserve"> </w:t>
      </w:r>
      <w:r>
        <w:t>de</w:t>
      </w:r>
      <w:r>
        <w:rPr>
          <w:spacing w:val="-8"/>
        </w:rPr>
        <w:t xml:space="preserve"> </w:t>
      </w:r>
      <w:r>
        <w:t>alcaldes,</w:t>
      </w:r>
      <w:r>
        <w:rPr>
          <w:spacing w:val="-8"/>
        </w:rPr>
        <w:t xml:space="preserve"> </w:t>
      </w:r>
      <w:r>
        <w:t>y</w:t>
      </w:r>
      <w:r>
        <w:rPr>
          <w:spacing w:val="-8"/>
        </w:rPr>
        <w:t xml:space="preserve"> </w:t>
      </w:r>
      <w:r>
        <w:t>en</w:t>
      </w:r>
      <w:r>
        <w:rPr>
          <w:spacing w:val="-8"/>
        </w:rPr>
        <w:t xml:space="preserve"> </w:t>
      </w:r>
      <w:r>
        <w:t>las</w:t>
      </w:r>
      <w:r>
        <w:rPr>
          <w:spacing w:val="-8"/>
        </w:rPr>
        <w:t xml:space="preserve"> </w:t>
      </w:r>
      <w:r>
        <w:t>elecciones</w:t>
      </w:r>
      <w:r>
        <w:rPr>
          <w:spacing w:val="-8"/>
        </w:rPr>
        <w:t xml:space="preserve"> </w:t>
      </w:r>
      <w:r>
        <w:t>subsiguientes,</w:t>
      </w:r>
      <w:r>
        <w:rPr>
          <w:spacing w:val="-8"/>
        </w:rPr>
        <w:t xml:space="preserve"> </w:t>
      </w:r>
      <w:r>
        <w:t>en</w:t>
      </w:r>
      <w:r>
        <w:rPr>
          <w:spacing w:val="-8"/>
        </w:rPr>
        <w:t xml:space="preserve"> </w:t>
      </w:r>
      <w:r>
        <w:t>un</w:t>
      </w:r>
      <w:r>
        <w:rPr>
          <w:spacing w:val="-8"/>
        </w:rPr>
        <w:t xml:space="preserve"> </w:t>
      </w:r>
      <w:r>
        <w:t xml:space="preserve">intento de frenar la democracia y el fortalecimiento de la UP especialmente, el </w:t>
      </w:r>
      <w:r>
        <w:lastRenderedPageBreak/>
        <w:t>patrón de violencia contra</w:t>
      </w:r>
      <w:r>
        <w:rPr>
          <w:spacing w:val="-6"/>
        </w:rPr>
        <w:t xml:space="preserve"> </w:t>
      </w:r>
      <w:r>
        <w:t>los</w:t>
      </w:r>
      <w:r>
        <w:rPr>
          <w:spacing w:val="-6"/>
        </w:rPr>
        <w:t xml:space="preserve"> </w:t>
      </w:r>
      <w:r>
        <w:t>actores</w:t>
      </w:r>
      <w:r>
        <w:rPr>
          <w:spacing w:val="-6"/>
        </w:rPr>
        <w:t xml:space="preserve"> </w:t>
      </w:r>
      <w:r>
        <w:t>institucionales</w:t>
      </w:r>
      <w:r>
        <w:rPr>
          <w:spacing w:val="-4"/>
        </w:rPr>
        <w:t xml:space="preserve"> </w:t>
      </w:r>
      <w:r>
        <w:t>y</w:t>
      </w:r>
      <w:r>
        <w:rPr>
          <w:spacing w:val="-6"/>
        </w:rPr>
        <w:t xml:space="preserve"> </w:t>
      </w:r>
      <w:r>
        <w:t>no</w:t>
      </w:r>
      <w:r>
        <w:rPr>
          <w:spacing w:val="-5"/>
        </w:rPr>
        <w:t xml:space="preserve"> </w:t>
      </w:r>
      <w:r>
        <w:t>institucionales</w:t>
      </w:r>
      <w:r>
        <w:rPr>
          <w:spacing w:val="-6"/>
        </w:rPr>
        <w:t xml:space="preserve"> </w:t>
      </w:r>
      <w:r>
        <w:t>estuvo</w:t>
      </w:r>
      <w:r>
        <w:rPr>
          <w:spacing w:val="-6"/>
        </w:rPr>
        <w:t xml:space="preserve"> </w:t>
      </w:r>
      <w:r>
        <w:t>fuertemente</w:t>
      </w:r>
      <w:r>
        <w:rPr>
          <w:spacing w:val="-6"/>
        </w:rPr>
        <w:t xml:space="preserve"> </w:t>
      </w:r>
      <w:r>
        <w:t>ligado</w:t>
      </w:r>
      <w:r>
        <w:rPr>
          <w:spacing w:val="-5"/>
        </w:rPr>
        <w:t xml:space="preserve"> </w:t>
      </w:r>
      <w:r>
        <w:t>al</w:t>
      </w:r>
      <w:r>
        <w:rPr>
          <w:spacing w:val="-4"/>
        </w:rPr>
        <w:t xml:space="preserve"> </w:t>
      </w:r>
      <w:r>
        <w:t>desarrollo de elecciones de mandatarios en el ámbito local</w:t>
      </w:r>
      <w:r w:rsidR="003171D2">
        <w:rPr>
          <w:rStyle w:val="Refdenotaalpie"/>
        </w:rPr>
        <w:footnoteReference w:id="287"/>
      </w:r>
      <w:r>
        <w:t>.</w:t>
      </w:r>
    </w:p>
    <w:p w:rsidR="003804AC" w:rsidRDefault="00AF18A5" w:rsidP="003171D2">
      <w:r>
        <w:t>A</w:t>
      </w:r>
      <w:r>
        <w:rPr>
          <w:spacing w:val="-8"/>
        </w:rPr>
        <w:t xml:space="preserve"> </w:t>
      </w:r>
      <w:r>
        <w:t>mediados</w:t>
      </w:r>
      <w:r>
        <w:rPr>
          <w:spacing w:val="-8"/>
        </w:rPr>
        <w:t xml:space="preserve"> </w:t>
      </w:r>
      <w:r>
        <w:t>de</w:t>
      </w:r>
      <w:r>
        <w:rPr>
          <w:spacing w:val="-7"/>
        </w:rPr>
        <w:t xml:space="preserve"> </w:t>
      </w:r>
      <w:r>
        <w:t>los</w:t>
      </w:r>
      <w:r>
        <w:rPr>
          <w:spacing w:val="-7"/>
        </w:rPr>
        <w:t xml:space="preserve"> </w:t>
      </w:r>
      <w:r>
        <w:t>años</w:t>
      </w:r>
      <w:r>
        <w:rPr>
          <w:spacing w:val="-8"/>
        </w:rPr>
        <w:t xml:space="preserve"> </w:t>
      </w:r>
      <w:r>
        <w:t>noventa,</w:t>
      </w:r>
      <w:r>
        <w:rPr>
          <w:spacing w:val="-7"/>
        </w:rPr>
        <w:t xml:space="preserve"> </w:t>
      </w:r>
      <w:r>
        <w:t>principalmente,</w:t>
      </w:r>
      <w:r>
        <w:rPr>
          <w:spacing w:val="-7"/>
        </w:rPr>
        <w:t xml:space="preserve"> </w:t>
      </w:r>
      <w:r>
        <w:t>tanto</w:t>
      </w:r>
      <w:r>
        <w:rPr>
          <w:spacing w:val="-7"/>
        </w:rPr>
        <w:t xml:space="preserve"> </w:t>
      </w:r>
      <w:r>
        <w:t>grupos</w:t>
      </w:r>
      <w:r>
        <w:rPr>
          <w:spacing w:val="-7"/>
        </w:rPr>
        <w:t xml:space="preserve"> </w:t>
      </w:r>
      <w:r>
        <w:t>paramilitares</w:t>
      </w:r>
      <w:r>
        <w:rPr>
          <w:spacing w:val="-7"/>
        </w:rPr>
        <w:t xml:space="preserve"> </w:t>
      </w:r>
      <w:r>
        <w:t>como</w:t>
      </w:r>
      <w:r>
        <w:rPr>
          <w:spacing w:val="-7"/>
        </w:rPr>
        <w:t xml:space="preserve"> </w:t>
      </w:r>
      <w:r>
        <w:t>grupos guerrilleros</w:t>
      </w:r>
      <w:r>
        <w:rPr>
          <w:spacing w:val="-4"/>
        </w:rPr>
        <w:t xml:space="preserve"> </w:t>
      </w:r>
      <w:r>
        <w:t>intentaron</w:t>
      </w:r>
      <w:r>
        <w:rPr>
          <w:spacing w:val="-3"/>
        </w:rPr>
        <w:t xml:space="preserve"> </w:t>
      </w:r>
      <w:r>
        <w:t>influir</w:t>
      </w:r>
      <w:r>
        <w:rPr>
          <w:spacing w:val="-2"/>
        </w:rPr>
        <w:t xml:space="preserve"> </w:t>
      </w:r>
      <w:r>
        <w:t>en</w:t>
      </w:r>
      <w:r>
        <w:rPr>
          <w:spacing w:val="-3"/>
        </w:rPr>
        <w:t xml:space="preserve"> </w:t>
      </w:r>
      <w:r>
        <w:t>los</w:t>
      </w:r>
      <w:r>
        <w:rPr>
          <w:spacing w:val="-3"/>
        </w:rPr>
        <w:t xml:space="preserve"> </w:t>
      </w:r>
      <w:r>
        <w:t>procesos</w:t>
      </w:r>
      <w:r>
        <w:rPr>
          <w:spacing w:val="-3"/>
        </w:rPr>
        <w:t xml:space="preserve"> </w:t>
      </w:r>
      <w:r>
        <w:t>políticos</w:t>
      </w:r>
      <w:r>
        <w:rPr>
          <w:spacing w:val="-2"/>
        </w:rPr>
        <w:t xml:space="preserve"> </w:t>
      </w:r>
      <w:r>
        <w:t>y</w:t>
      </w:r>
      <w:r>
        <w:rPr>
          <w:spacing w:val="-3"/>
        </w:rPr>
        <w:t xml:space="preserve"> </w:t>
      </w:r>
      <w:r>
        <w:t>electorales,</w:t>
      </w:r>
      <w:r>
        <w:rPr>
          <w:spacing w:val="-3"/>
        </w:rPr>
        <w:t xml:space="preserve"> </w:t>
      </w:r>
      <w:r>
        <w:t>bien</w:t>
      </w:r>
      <w:r>
        <w:rPr>
          <w:spacing w:val="-2"/>
        </w:rPr>
        <w:t xml:space="preserve"> </w:t>
      </w:r>
      <w:r>
        <w:t>fuera</w:t>
      </w:r>
      <w:r>
        <w:rPr>
          <w:spacing w:val="-3"/>
        </w:rPr>
        <w:t xml:space="preserve"> </w:t>
      </w:r>
      <w:r>
        <w:t>afectando</w:t>
      </w:r>
      <w:r>
        <w:rPr>
          <w:spacing w:val="-2"/>
        </w:rPr>
        <w:t xml:space="preserve"> </w:t>
      </w:r>
      <w:r>
        <w:t>su desarrollo o estableciendo un control sobre los actores políticos locales. Una primera estrategia de relación fue la intimidación y el uso de las armas (amenazas, asesinatos y acciones contra eventos electorales) para sabotear elecciones o impedir el ejercicio del Gobierno, de alcaldes, de concejales u otros dirigentes políticos. Por otro lado, los actores armados</w:t>
      </w:r>
      <w:r>
        <w:rPr>
          <w:spacing w:val="-7"/>
        </w:rPr>
        <w:t xml:space="preserve"> </w:t>
      </w:r>
      <w:r>
        <w:t>buscaron</w:t>
      </w:r>
      <w:r>
        <w:rPr>
          <w:spacing w:val="-7"/>
        </w:rPr>
        <w:t xml:space="preserve"> </w:t>
      </w:r>
      <w:r>
        <w:t>influencia</w:t>
      </w:r>
      <w:r>
        <w:rPr>
          <w:spacing w:val="-7"/>
        </w:rPr>
        <w:t xml:space="preserve"> </w:t>
      </w:r>
      <w:r>
        <w:t>sobre</w:t>
      </w:r>
      <w:r>
        <w:rPr>
          <w:spacing w:val="-7"/>
        </w:rPr>
        <w:t xml:space="preserve"> </w:t>
      </w:r>
      <w:r>
        <w:t>la</w:t>
      </w:r>
      <w:r>
        <w:rPr>
          <w:spacing w:val="-8"/>
        </w:rPr>
        <w:t xml:space="preserve"> </w:t>
      </w:r>
      <w:r>
        <w:t>gestión,</w:t>
      </w:r>
      <w:r>
        <w:rPr>
          <w:spacing w:val="-7"/>
        </w:rPr>
        <w:t xml:space="preserve"> </w:t>
      </w:r>
      <w:r>
        <w:t>bien</w:t>
      </w:r>
      <w:r>
        <w:rPr>
          <w:spacing w:val="-7"/>
        </w:rPr>
        <w:t xml:space="preserve"> </w:t>
      </w:r>
      <w:r>
        <w:t>fuera</w:t>
      </w:r>
      <w:r>
        <w:rPr>
          <w:spacing w:val="-8"/>
        </w:rPr>
        <w:t xml:space="preserve"> </w:t>
      </w:r>
      <w:r>
        <w:t>incidiendo</w:t>
      </w:r>
      <w:r>
        <w:rPr>
          <w:spacing w:val="-7"/>
        </w:rPr>
        <w:t xml:space="preserve"> </w:t>
      </w:r>
      <w:r>
        <w:t>externamente</w:t>
      </w:r>
      <w:r>
        <w:rPr>
          <w:spacing w:val="-7"/>
        </w:rPr>
        <w:t xml:space="preserve"> </w:t>
      </w:r>
      <w:r>
        <w:t>por</w:t>
      </w:r>
      <w:r>
        <w:rPr>
          <w:spacing w:val="-8"/>
        </w:rPr>
        <w:t xml:space="preserve"> </w:t>
      </w:r>
      <w:r>
        <w:t>medio de</w:t>
      </w:r>
      <w:r>
        <w:rPr>
          <w:spacing w:val="13"/>
        </w:rPr>
        <w:t xml:space="preserve"> </w:t>
      </w:r>
      <w:r>
        <w:t>presión</w:t>
      </w:r>
      <w:r>
        <w:rPr>
          <w:spacing w:val="15"/>
        </w:rPr>
        <w:t xml:space="preserve"> </w:t>
      </w:r>
      <w:r>
        <w:t>a</w:t>
      </w:r>
      <w:r>
        <w:rPr>
          <w:spacing w:val="14"/>
        </w:rPr>
        <w:t xml:space="preserve"> </w:t>
      </w:r>
      <w:r>
        <w:t>las</w:t>
      </w:r>
      <w:r>
        <w:rPr>
          <w:spacing w:val="16"/>
        </w:rPr>
        <w:t xml:space="preserve"> </w:t>
      </w:r>
      <w:r>
        <w:t>administraciones</w:t>
      </w:r>
      <w:r>
        <w:rPr>
          <w:spacing w:val="14"/>
        </w:rPr>
        <w:t xml:space="preserve"> </w:t>
      </w:r>
      <w:r>
        <w:t>municipales</w:t>
      </w:r>
      <w:r>
        <w:rPr>
          <w:spacing w:val="16"/>
        </w:rPr>
        <w:t xml:space="preserve"> </w:t>
      </w:r>
      <w:r>
        <w:t>o</w:t>
      </w:r>
      <w:r>
        <w:rPr>
          <w:spacing w:val="13"/>
        </w:rPr>
        <w:t xml:space="preserve"> </w:t>
      </w:r>
      <w:r>
        <w:t>actuando</w:t>
      </w:r>
      <w:r>
        <w:rPr>
          <w:spacing w:val="15"/>
        </w:rPr>
        <w:t xml:space="preserve"> </w:t>
      </w:r>
      <w:r>
        <w:t>al</w:t>
      </w:r>
      <w:r>
        <w:rPr>
          <w:spacing w:val="15"/>
        </w:rPr>
        <w:t xml:space="preserve"> </w:t>
      </w:r>
      <w:r>
        <w:t>interior</w:t>
      </w:r>
      <w:r>
        <w:rPr>
          <w:spacing w:val="16"/>
        </w:rPr>
        <w:t xml:space="preserve"> </w:t>
      </w:r>
      <w:r>
        <w:t>del</w:t>
      </w:r>
      <w:r>
        <w:rPr>
          <w:spacing w:val="15"/>
        </w:rPr>
        <w:t xml:space="preserve"> </w:t>
      </w:r>
      <w:r>
        <w:t>aparato</w:t>
      </w:r>
      <w:r>
        <w:rPr>
          <w:spacing w:val="15"/>
        </w:rPr>
        <w:t xml:space="preserve"> </w:t>
      </w:r>
      <w:r>
        <w:rPr>
          <w:spacing w:val="-2"/>
        </w:rPr>
        <w:t>municipal</w:t>
      </w:r>
      <w:bookmarkStart w:id="419" w:name="_bookmark328"/>
      <w:bookmarkStart w:id="420" w:name="_bookmark329"/>
      <w:bookmarkEnd w:id="419"/>
      <w:bookmarkEnd w:id="420"/>
      <w:r w:rsidR="003171D2">
        <w:rPr>
          <w:spacing w:val="-2"/>
        </w:rPr>
        <w:t xml:space="preserve"> </w:t>
      </w:r>
      <w:r>
        <w:t>mediante el uso de instrumentos de diversa índole como la realización de pactos y alianzas, la intermediación a través de funcionarios, entre otras.</w:t>
      </w:r>
      <w:r w:rsidR="00D54EAA">
        <w:rPr>
          <w:rStyle w:val="Refdenotaalpie"/>
        </w:rPr>
        <w:footnoteReference w:id="288"/>
      </w:r>
      <w:r w:rsidR="00D54EAA">
        <w:t xml:space="preserve"> </w:t>
      </w:r>
    </w:p>
    <w:p w:rsidR="003804AC" w:rsidRDefault="00AF18A5" w:rsidP="004605CA">
      <w:r>
        <w:t>En medio de estas afectaciones, las guerrillas realizaron acciones paralelas con las que incurrieron</w:t>
      </w:r>
      <w:r>
        <w:rPr>
          <w:spacing w:val="-12"/>
        </w:rPr>
        <w:t xml:space="preserve"> </w:t>
      </w:r>
      <w:r>
        <w:t>en</w:t>
      </w:r>
      <w:r>
        <w:rPr>
          <w:spacing w:val="-12"/>
        </w:rPr>
        <w:t xml:space="preserve"> </w:t>
      </w:r>
      <w:r>
        <w:t>violaciones</w:t>
      </w:r>
      <w:r>
        <w:rPr>
          <w:spacing w:val="-11"/>
        </w:rPr>
        <w:t xml:space="preserve"> </w:t>
      </w:r>
      <w:r>
        <w:t>de</w:t>
      </w:r>
      <w:r>
        <w:rPr>
          <w:spacing w:val="-11"/>
        </w:rPr>
        <w:t xml:space="preserve"> </w:t>
      </w:r>
      <w:r>
        <w:t>derechos</w:t>
      </w:r>
      <w:r>
        <w:rPr>
          <w:spacing w:val="-11"/>
        </w:rPr>
        <w:t xml:space="preserve"> </w:t>
      </w:r>
      <w:r>
        <w:t>humanos</w:t>
      </w:r>
      <w:r>
        <w:rPr>
          <w:spacing w:val="-12"/>
        </w:rPr>
        <w:t xml:space="preserve"> </w:t>
      </w:r>
      <w:r>
        <w:t>y</w:t>
      </w:r>
      <w:r>
        <w:rPr>
          <w:spacing w:val="-12"/>
        </w:rPr>
        <w:t xml:space="preserve"> </w:t>
      </w:r>
      <w:r>
        <w:t>del</w:t>
      </w:r>
      <w:r>
        <w:rPr>
          <w:spacing w:val="-12"/>
        </w:rPr>
        <w:t xml:space="preserve"> </w:t>
      </w:r>
      <w:r>
        <w:t>derecho</w:t>
      </w:r>
      <w:r>
        <w:rPr>
          <w:spacing w:val="-12"/>
        </w:rPr>
        <w:t xml:space="preserve"> </w:t>
      </w:r>
      <w:r>
        <w:t>internacional</w:t>
      </w:r>
      <w:r>
        <w:rPr>
          <w:spacing w:val="-11"/>
        </w:rPr>
        <w:t xml:space="preserve"> </w:t>
      </w:r>
      <w:r>
        <w:t>humanitario</w:t>
      </w:r>
      <w:r>
        <w:rPr>
          <w:spacing w:val="-12"/>
        </w:rPr>
        <w:t xml:space="preserve"> </w:t>
      </w:r>
      <w:r>
        <w:t>que afectaron</w:t>
      </w:r>
      <w:r>
        <w:rPr>
          <w:spacing w:val="-9"/>
        </w:rPr>
        <w:t xml:space="preserve"> </w:t>
      </w:r>
      <w:r>
        <w:t>negativamente</w:t>
      </w:r>
      <w:r>
        <w:rPr>
          <w:spacing w:val="-9"/>
        </w:rPr>
        <w:t xml:space="preserve"> </w:t>
      </w:r>
      <w:r>
        <w:t>el</w:t>
      </w:r>
      <w:r>
        <w:rPr>
          <w:spacing w:val="-9"/>
        </w:rPr>
        <w:t xml:space="preserve"> </w:t>
      </w:r>
      <w:r>
        <w:t>desarrollo</w:t>
      </w:r>
      <w:r>
        <w:rPr>
          <w:spacing w:val="-11"/>
        </w:rPr>
        <w:t xml:space="preserve"> </w:t>
      </w:r>
      <w:r>
        <w:t>de</w:t>
      </w:r>
      <w:r>
        <w:rPr>
          <w:spacing w:val="-9"/>
        </w:rPr>
        <w:t xml:space="preserve"> </w:t>
      </w:r>
      <w:r>
        <w:t>fuerzas</w:t>
      </w:r>
      <w:r>
        <w:rPr>
          <w:spacing w:val="-9"/>
        </w:rPr>
        <w:t xml:space="preserve"> </w:t>
      </w:r>
      <w:r>
        <w:t>políticas</w:t>
      </w:r>
      <w:r>
        <w:rPr>
          <w:spacing w:val="-9"/>
        </w:rPr>
        <w:t xml:space="preserve"> </w:t>
      </w:r>
      <w:r>
        <w:t>locales</w:t>
      </w:r>
      <w:r>
        <w:rPr>
          <w:spacing w:val="-9"/>
        </w:rPr>
        <w:t xml:space="preserve"> </w:t>
      </w:r>
      <w:r>
        <w:t>que</w:t>
      </w:r>
      <w:r>
        <w:rPr>
          <w:spacing w:val="-9"/>
        </w:rPr>
        <w:t xml:space="preserve"> </w:t>
      </w:r>
      <w:r>
        <w:t>disputaban</w:t>
      </w:r>
      <w:r>
        <w:rPr>
          <w:spacing w:val="-9"/>
        </w:rPr>
        <w:t xml:space="preserve"> </w:t>
      </w:r>
      <w:r>
        <w:t>por</w:t>
      </w:r>
      <w:r>
        <w:rPr>
          <w:spacing w:val="-9"/>
        </w:rPr>
        <w:t xml:space="preserve"> </w:t>
      </w:r>
      <w:r>
        <w:t>las</w:t>
      </w:r>
      <w:r>
        <w:rPr>
          <w:spacing w:val="-10"/>
        </w:rPr>
        <w:t xml:space="preserve"> </w:t>
      </w:r>
      <w:r>
        <w:t xml:space="preserve">vías pacíficas la transformación del Estado colombiano. Declarar como objetivo militar a funcionarios o políticos de las campañas electorales, perpetrar asesinatos selectivos, secuestros y masacres fueron algunas de las acciones que las guerrillas realizaron para amedrentar a los políticos locales desde la década de 1990. Otras acciones violentas que </w:t>
      </w:r>
      <w:r>
        <w:lastRenderedPageBreak/>
        <w:t>se desarrollaron en este contexto fueron desplazamientos para impedir votaciones, violaciones a la libertad de prensa y las afectaciones colaterales producidas por las confrontaciones armadas entre grupos ilegales o contra la fuerza pública</w:t>
      </w:r>
      <w:r w:rsidR="00D54EAA">
        <w:rPr>
          <w:rStyle w:val="Refdenotaalpie"/>
        </w:rPr>
        <w:footnoteReference w:id="289"/>
      </w:r>
      <w:r>
        <w:t>.</w:t>
      </w:r>
    </w:p>
    <w:p w:rsidR="003804AC" w:rsidRDefault="00AF18A5" w:rsidP="00F86CC1">
      <w:r>
        <w:t>Se identificó que, en particular, en el sur del país las acciones violentas de las FARC-EP se focalizaron contra los concejales en varias elecciones, configurándose un patrón de violencia territorial contra los procesos democráticos locales por disputarse el poder a esta escala</w:t>
      </w:r>
      <w:r w:rsidR="00E028DD">
        <w:rPr>
          <w:rStyle w:val="Refdenotaalpie"/>
        </w:rPr>
        <w:footnoteReference w:id="290"/>
      </w:r>
      <w:r>
        <w:t>, en una zona donde mantenían una fuerte presencia y control territorial históricos. Como</w:t>
      </w:r>
      <w:r>
        <w:rPr>
          <w:spacing w:val="-11"/>
        </w:rPr>
        <w:t xml:space="preserve"> </w:t>
      </w:r>
      <w:r>
        <w:t>consecuencia,</w:t>
      </w:r>
      <w:r>
        <w:rPr>
          <w:spacing w:val="-11"/>
        </w:rPr>
        <w:t xml:space="preserve"> </w:t>
      </w:r>
      <w:r>
        <w:t>estas</w:t>
      </w:r>
      <w:r>
        <w:rPr>
          <w:spacing w:val="-11"/>
        </w:rPr>
        <w:t xml:space="preserve"> </w:t>
      </w:r>
      <w:r>
        <w:t>acciones</w:t>
      </w:r>
      <w:r>
        <w:rPr>
          <w:spacing w:val="-12"/>
        </w:rPr>
        <w:t xml:space="preserve"> </w:t>
      </w:r>
      <w:r>
        <w:t>provocaron</w:t>
      </w:r>
      <w:r>
        <w:rPr>
          <w:spacing w:val="-11"/>
        </w:rPr>
        <w:t xml:space="preserve"> </w:t>
      </w:r>
      <w:r>
        <w:t>la</w:t>
      </w:r>
      <w:r>
        <w:rPr>
          <w:spacing w:val="-12"/>
        </w:rPr>
        <w:t xml:space="preserve"> </w:t>
      </w:r>
      <w:r>
        <w:t>reducción</w:t>
      </w:r>
      <w:r>
        <w:rPr>
          <w:spacing w:val="-11"/>
        </w:rPr>
        <w:t xml:space="preserve"> </w:t>
      </w:r>
      <w:r>
        <w:t>de</w:t>
      </w:r>
      <w:r>
        <w:rPr>
          <w:spacing w:val="-12"/>
        </w:rPr>
        <w:t xml:space="preserve"> </w:t>
      </w:r>
      <w:r>
        <w:t>apoyos</w:t>
      </w:r>
      <w:r>
        <w:rPr>
          <w:spacing w:val="-11"/>
        </w:rPr>
        <w:t xml:space="preserve"> </w:t>
      </w:r>
      <w:r>
        <w:t>sociales</w:t>
      </w:r>
      <w:r>
        <w:rPr>
          <w:spacing w:val="-11"/>
        </w:rPr>
        <w:t xml:space="preserve"> </w:t>
      </w:r>
      <w:r>
        <w:t>y</w:t>
      </w:r>
      <w:r>
        <w:rPr>
          <w:spacing w:val="-11"/>
        </w:rPr>
        <w:t xml:space="preserve"> </w:t>
      </w:r>
      <w:r>
        <w:t>el</w:t>
      </w:r>
      <w:r>
        <w:rPr>
          <w:spacing w:val="-12"/>
        </w:rPr>
        <w:t xml:space="preserve"> </w:t>
      </w:r>
      <w:r>
        <w:t>aumento de</w:t>
      </w:r>
      <w:r>
        <w:rPr>
          <w:spacing w:val="-2"/>
        </w:rPr>
        <w:t xml:space="preserve"> </w:t>
      </w:r>
      <w:r>
        <w:t>las</w:t>
      </w:r>
      <w:r>
        <w:rPr>
          <w:spacing w:val="-3"/>
        </w:rPr>
        <w:t xml:space="preserve"> </w:t>
      </w:r>
      <w:r>
        <w:t>tensiones</w:t>
      </w:r>
      <w:r>
        <w:rPr>
          <w:spacing w:val="-2"/>
        </w:rPr>
        <w:t xml:space="preserve"> </w:t>
      </w:r>
      <w:r>
        <w:t>con</w:t>
      </w:r>
      <w:r>
        <w:rPr>
          <w:spacing w:val="-4"/>
        </w:rPr>
        <w:t xml:space="preserve"> </w:t>
      </w:r>
      <w:r>
        <w:t>los</w:t>
      </w:r>
      <w:r>
        <w:rPr>
          <w:spacing w:val="-4"/>
        </w:rPr>
        <w:t xml:space="preserve"> </w:t>
      </w:r>
      <w:r>
        <w:t>pobladores</w:t>
      </w:r>
      <w:r>
        <w:rPr>
          <w:spacing w:val="-5"/>
        </w:rPr>
        <w:t xml:space="preserve"> </w:t>
      </w:r>
      <w:r>
        <w:t>y</w:t>
      </w:r>
      <w:r>
        <w:rPr>
          <w:spacing w:val="-2"/>
        </w:rPr>
        <w:t xml:space="preserve"> </w:t>
      </w:r>
      <w:r>
        <w:t>los</w:t>
      </w:r>
      <w:r>
        <w:rPr>
          <w:spacing w:val="-2"/>
        </w:rPr>
        <w:t xml:space="preserve"> </w:t>
      </w:r>
      <w:r>
        <w:t>políticos</w:t>
      </w:r>
      <w:r>
        <w:rPr>
          <w:spacing w:val="-3"/>
        </w:rPr>
        <w:t xml:space="preserve"> </w:t>
      </w:r>
      <w:r>
        <w:t>locales,</w:t>
      </w:r>
      <w:r>
        <w:rPr>
          <w:spacing w:val="-4"/>
        </w:rPr>
        <w:t xml:space="preserve"> </w:t>
      </w:r>
      <w:r>
        <w:t>ya</w:t>
      </w:r>
      <w:r>
        <w:rPr>
          <w:spacing w:val="-2"/>
        </w:rPr>
        <w:t xml:space="preserve"> </w:t>
      </w:r>
      <w:r>
        <w:t>que</w:t>
      </w:r>
      <w:r>
        <w:rPr>
          <w:spacing w:val="-2"/>
        </w:rPr>
        <w:t xml:space="preserve"> </w:t>
      </w:r>
      <w:r>
        <w:t>para</w:t>
      </w:r>
      <w:r>
        <w:rPr>
          <w:spacing w:val="-3"/>
        </w:rPr>
        <w:t xml:space="preserve"> </w:t>
      </w:r>
      <w:r>
        <w:t>los</w:t>
      </w:r>
      <w:r>
        <w:rPr>
          <w:spacing w:val="-2"/>
        </w:rPr>
        <w:t xml:space="preserve"> </w:t>
      </w:r>
      <w:r>
        <w:t>habitantes</w:t>
      </w:r>
      <w:r>
        <w:rPr>
          <w:spacing w:val="-2"/>
        </w:rPr>
        <w:t xml:space="preserve"> </w:t>
      </w:r>
      <w:r>
        <w:t>de</w:t>
      </w:r>
      <w:r>
        <w:rPr>
          <w:spacing w:val="-3"/>
        </w:rPr>
        <w:t xml:space="preserve"> </w:t>
      </w:r>
      <w:r>
        <w:t>esas zonas</w:t>
      </w:r>
      <w:r>
        <w:rPr>
          <w:spacing w:val="-15"/>
        </w:rPr>
        <w:t xml:space="preserve"> </w:t>
      </w:r>
      <w:r>
        <w:t>una</w:t>
      </w:r>
      <w:r>
        <w:rPr>
          <w:spacing w:val="-15"/>
        </w:rPr>
        <w:t xml:space="preserve"> </w:t>
      </w:r>
      <w:r>
        <w:t>de</w:t>
      </w:r>
      <w:r>
        <w:rPr>
          <w:spacing w:val="-15"/>
        </w:rPr>
        <w:t xml:space="preserve"> </w:t>
      </w:r>
      <w:r>
        <w:t>sus</w:t>
      </w:r>
      <w:r>
        <w:rPr>
          <w:spacing w:val="-15"/>
        </w:rPr>
        <w:t xml:space="preserve"> </w:t>
      </w:r>
      <w:r>
        <w:t>reivindicaciones</w:t>
      </w:r>
      <w:r>
        <w:rPr>
          <w:spacing w:val="-15"/>
        </w:rPr>
        <w:t xml:space="preserve"> </w:t>
      </w:r>
      <w:r>
        <w:t>centrales</w:t>
      </w:r>
      <w:r>
        <w:rPr>
          <w:spacing w:val="-15"/>
        </w:rPr>
        <w:t xml:space="preserve"> </w:t>
      </w:r>
      <w:r>
        <w:t>había</w:t>
      </w:r>
      <w:r>
        <w:rPr>
          <w:spacing w:val="-15"/>
        </w:rPr>
        <w:t xml:space="preserve"> </w:t>
      </w:r>
      <w:r>
        <w:t>sido</w:t>
      </w:r>
      <w:r>
        <w:rPr>
          <w:spacing w:val="-15"/>
        </w:rPr>
        <w:t xml:space="preserve"> </w:t>
      </w:r>
      <w:r>
        <w:t>precisamente</w:t>
      </w:r>
      <w:r>
        <w:rPr>
          <w:spacing w:val="-15"/>
        </w:rPr>
        <w:t xml:space="preserve"> </w:t>
      </w:r>
      <w:r>
        <w:t>la</w:t>
      </w:r>
      <w:r>
        <w:rPr>
          <w:spacing w:val="-15"/>
        </w:rPr>
        <w:t xml:space="preserve"> </w:t>
      </w:r>
      <w:r>
        <w:t>presencia</w:t>
      </w:r>
      <w:r>
        <w:rPr>
          <w:spacing w:val="-15"/>
        </w:rPr>
        <w:t xml:space="preserve"> </w:t>
      </w:r>
      <w:r>
        <w:t>más</w:t>
      </w:r>
      <w:r>
        <w:rPr>
          <w:spacing w:val="-15"/>
        </w:rPr>
        <w:t xml:space="preserve"> </w:t>
      </w:r>
      <w:r>
        <w:t xml:space="preserve">efectiva del Estado y su incorporación en igualdad de derechos a la vida política y económica del </w:t>
      </w:r>
      <w:r>
        <w:rPr>
          <w:spacing w:val="-2"/>
        </w:rPr>
        <w:t>país.</w:t>
      </w:r>
    </w:p>
    <w:p w:rsidR="003804AC" w:rsidRDefault="00AF18A5" w:rsidP="00F86CC1">
      <w:r>
        <w:t>Un caso que ilustra con claridad el ataque a la política tradicional es el ocurrido al liberalismo</w:t>
      </w:r>
      <w:r>
        <w:rPr>
          <w:spacing w:val="-3"/>
        </w:rPr>
        <w:t xml:space="preserve"> </w:t>
      </w:r>
      <w:r>
        <w:t>hegemónico</w:t>
      </w:r>
      <w:r>
        <w:rPr>
          <w:spacing w:val="-3"/>
        </w:rPr>
        <w:t xml:space="preserve"> </w:t>
      </w:r>
      <w:r>
        <w:t>de</w:t>
      </w:r>
      <w:r>
        <w:rPr>
          <w:spacing w:val="-2"/>
        </w:rPr>
        <w:t xml:space="preserve"> </w:t>
      </w:r>
      <w:r>
        <w:t>la</w:t>
      </w:r>
      <w:r>
        <w:rPr>
          <w:spacing w:val="-2"/>
        </w:rPr>
        <w:t xml:space="preserve"> </w:t>
      </w:r>
      <w:r>
        <w:t>familia</w:t>
      </w:r>
      <w:r>
        <w:rPr>
          <w:spacing w:val="-2"/>
        </w:rPr>
        <w:t xml:space="preserve"> </w:t>
      </w:r>
      <w:r>
        <w:t>Turbay</w:t>
      </w:r>
      <w:r>
        <w:rPr>
          <w:spacing w:val="-2"/>
        </w:rPr>
        <w:t xml:space="preserve"> </w:t>
      </w:r>
      <w:r>
        <w:t>en</w:t>
      </w:r>
      <w:r>
        <w:rPr>
          <w:spacing w:val="-2"/>
        </w:rPr>
        <w:t xml:space="preserve"> </w:t>
      </w:r>
      <w:r>
        <w:t>Huila</w:t>
      </w:r>
      <w:r>
        <w:rPr>
          <w:spacing w:val="-2"/>
        </w:rPr>
        <w:t xml:space="preserve"> </w:t>
      </w:r>
      <w:r>
        <w:t>y</w:t>
      </w:r>
      <w:r>
        <w:rPr>
          <w:spacing w:val="-2"/>
        </w:rPr>
        <w:t xml:space="preserve"> </w:t>
      </w:r>
      <w:r>
        <w:t>Caquetá.</w:t>
      </w:r>
      <w:r>
        <w:rPr>
          <w:spacing w:val="-2"/>
        </w:rPr>
        <w:t xml:space="preserve"> </w:t>
      </w:r>
      <w:r>
        <w:t>Las</w:t>
      </w:r>
      <w:r>
        <w:rPr>
          <w:spacing w:val="-2"/>
        </w:rPr>
        <w:t xml:space="preserve"> </w:t>
      </w:r>
      <w:r>
        <w:t>FARC-EP</w:t>
      </w:r>
      <w:r>
        <w:rPr>
          <w:spacing w:val="-1"/>
        </w:rPr>
        <w:t xml:space="preserve"> </w:t>
      </w:r>
      <w:r>
        <w:t>emplearon un</w:t>
      </w:r>
      <w:r>
        <w:rPr>
          <w:spacing w:val="-15"/>
        </w:rPr>
        <w:t xml:space="preserve"> </w:t>
      </w:r>
      <w:r>
        <w:t>amplio</w:t>
      </w:r>
      <w:r>
        <w:rPr>
          <w:spacing w:val="-12"/>
        </w:rPr>
        <w:t xml:space="preserve"> </w:t>
      </w:r>
      <w:r>
        <w:t>abanico</w:t>
      </w:r>
      <w:r>
        <w:rPr>
          <w:spacing w:val="-12"/>
        </w:rPr>
        <w:t xml:space="preserve"> </w:t>
      </w:r>
      <w:r>
        <w:t>de</w:t>
      </w:r>
      <w:r>
        <w:rPr>
          <w:spacing w:val="-13"/>
        </w:rPr>
        <w:t xml:space="preserve"> </w:t>
      </w:r>
      <w:r>
        <w:t>formas</w:t>
      </w:r>
      <w:r>
        <w:rPr>
          <w:spacing w:val="-12"/>
        </w:rPr>
        <w:t xml:space="preserve"> </w:t>
      </w:r>
      <w:r>
        <w:t>de</w:t>
      </w:r>
      <w:r>
        <w:rPr>
          <w:spacing w:val="-12"/>
        </w:rPr>
        <w:t xml:space="preserve"> </w:t>
      </w:r>
      <w:r>
        <w:t>violencia</w:t>
      </w:r>
      <w:r>
        <w:rPr>
          <w:spacing w:val="-13"/>
        </w:rPr>
        <w:t xml:space="preserve"> </w:t>
      </w:r>
      <w:r>
        <w:t>contra</w:t>
      </w:r>
      <w:r>
        <w:rPr>
          <w:spacing w:val="-13"/>
        </w:rPr>
        <w:t xml:space="preserve"> </w:t>
      </w:r>
      <w:r>
        <w:t>miembros</w:t>
      </w:r>
      <w:r>
        <w:rPr>
          <w:spacing w:val="-12"/>
        </w:rPr>
        <w:t xml:space="preserve"> </w:t>
      </w:r>
      <w:r>
        <w:t>de</w:t>
      </w:r>
      <w:r>
        <w:rPr>
          <w:spacing w:val="-12"/>
        </w:rPr>
        <w:t xml:space="preserve"> </w:t>
      </w:r>
      <w:r>
        <w:t>esa</w:t>
      </w:r>
      <w:r>
        <w:rPr>
          <w:spacing w:val="-13"/>
        </w:rPr>
        <w:t xml:space="preserve"> </w:t>
      </w:r>
      <w:r>
        <w:t>familia</w:t>
      </w:r>
      <w:r>
        <w:rPr>
          <w:spacing w:val="-13"/>
        </w:rPr>
        <w:t xml:space="preserve"> </w:t>
      </w:r>
      <w:r>
        <w:t>y</w:t>
      </w:r>
      <w:r>
        <w:rPr>
          <w:spacing w:val="-12"/>
        </w:rPr>
        <w:t xml:space="preserve"> </w:t>
      </w:r>
      <w:r>
        <w:t>de</w:t>
      </w:r>
      <w:r>
        <w:rPr>
          <w:spacing w:val="-12"/>
        </w:rPr>
        <w:t xml:space="preserve"> </w:t>
      </w:r>
      <w:r>
        <w:t>sus</w:t>
      </w:r>
      <w:r>
        <w:rPr>
          <w:spacing w:val="-12"/>
        </w:rPr>
        <w:t xml:space="preserve"> </w:t>
      </w:r>
      <w:r>
        <w:rPr>
          <w:spacing w:val="-2"/>
        </w:rPr>
        <w:t>partidarios</w:t>
      </w:r>
      <w:bookmarkStart w:id="421" w:name="_bookmark330"/>
      <w:bookmarkStart w:id="422" w:name="_bookmark331"/>
      <w:bookmarkStart w:id="423" w:name="_bookmark332"/>
      <w:bookmarkEnd w:id="421"/>
      <w:bookmarkEnd w:id="422"/>
      <w:bookmarkEnd w:id="423"/>
      <w:r w:rsidR="00F86CC1">
        <w:rPr>
          <w:spacing w:val="-2"/>
        </w:rPr>
        <w:t xml:space="preserve"> </w:t>
      </w:r>
      <w:r>
        <w:t>entre</w:t>
      </w:r>
      <w:r>
        <w:rPr>
          <w:spacing w:val="-3"/>
        </w:rPr>
        <w:t xml:space="preserve"> </w:t>
      </w:r>
      <w:r>
        <w:t>1988</w:t>
      </w:r>
      <w:r>
        <w:rPr>
          <w:spacing w:val="-4"/>
        </w:rPr>
        <w:t xml:space="preserve"> </w:t>
      </w:r>
      <w:r>
        <w:t>y</w:t>
      </w:r>
      <w:r>
        <w:rPr>
          <w:spacing w:val="-5"/>
        </w:rPr>
        <w:t xml:space="preserve"> </w:t>
      </w:r>
      <w:r>
        <w:t>2001</w:t>
      </w:r>
      <w:r>
        <w:rPr>
          <w:spacing w:val="-4"/>
        </w:rPr>
        <w:t xml:space="preserve"> </w:t>
      </w:r>
      <w:r>
        <w:t>por</w:t>
      </w:r>
      <w:r>
        <w:rPr>
          <w:spacing w:val="-3"/>
        </w:rPr>
        <w:t xml:space="preserve"> </w:t>
      </w:r>
      <w:r>
        <w:t>distintas</w:t>
      </w:r>
      <w:r>
        <w:rPr>
          <w:spacing w:val="-3"/>
        </w:rPr>
        <w:t xml:space="preserve"> </w:t>
      </w:r>
      <w:r>
        <w:t>motivaciones:</w:t>
      </w:r>
      <w:r>
        <w:rPr>
          <w:spacing w:val="-3"/>
        </w:rPr>
        <w:t xml:space="preserve"> </w:t>
      </w:r>
      <w:r>
        <w:t>la</w:t>
      </w:r>
      <w:r>
        <w:rPr>
          <w:spacing w:val="-5"/>
        </w:rPr>
        <w:t xml:space="preserve"> </w:t>
      </w:r>
      <w:r>
        <w:t>retaliación</w:t>
      </w:r>
      <w:r>
        <w:rPr>
          <w:spacing w:val="-4"/>
        </w:rPr>
        <w:t xml:space="preserve"> </w:t>
      </w:r>
      <w:r>
        <w:t>por</w:t>
      </w:r>
      <w:r>
        <w:rPr>
          <w:spacing w:val="-3"/>
        </w:rPr>
        <w:t xml:space="preserve"> </w:t>
      </w:r>
      <w:r>
        <w:t>la</w:t>
      </w:r>
      <w:r>
        <w:rPr>
          <w:spacing w:val="-5"/>
        </w:rPr>
        <w:t xml:space="preserve"> </w:t>
      </w:r>
      <w:r>
        <w:t>muerte</w:t>
      </w:r>
      <w:r>
        <w:rPr>
          <w:spacing w:val="-5"/>
        </w:rPr>
        <w:t xml:space="preserve"> </w:t>
      </w:r>
      <w:r>
        <w:t>de</w:t>
      </w:r>
      <w:r>
        <w:rPr>
          <w:spacing w:val="-3"/>
        </w:rPr>
        <w:t xml:space="preserve"> </w:t>
      </w:r>
      <w:r>
        <w:t>miembros</w:t>
      </w:r>
      <w:r>
        <w:rPr>
          <w:spacing w:val="-3"/>
        </w:rPr>
        <w:t xml:space="preserve"> </w:t>
      </w:r>
      <w:r>
        <w:t>de</w:t>
      </w:r>
      <w:r>
        <w:rPr>
          <w:spacing w:val="-3"/>
        </w:rPr>
        <w:t xml:space="preserve"> </w:t>
      </w:r>
      <w:r>
        <w:t>la UP, la acusación de llevar el paramilitarismo a la región, la competencia por la simpatía de los pobladores y la intención de la insurgencia de intervenir en política como árbitro de la contienda local. Dentro de los ataques se cuenta el secuestro de Rodrigo Turbay el 16 de junio de 1995, la masacre de varios</w:t>
      </w:r>
      <w:r>
        <w:rPr>
          <w:spacing w:val="-1"/>
        </w:rPr>
        <w:t xml:space="preserve"> </w:t>
      </w:r>
      <w:r>
        <w:t xml:space="preserve">miembros de su familia el 29 de </w:t>
      </w:r>
      <w:r>
        <w:lastRenderedPageBreak/>
        <w:t xml:space="preserve">diciembre de 2000 y el secuestro de Jorge Eduardo </w:t>
      </w:r>
      <w:proofErr w:type="spellStart"/>
      <w:r>
        <w:t>Gechem</w:t>
      </w:r>
      <w:proofErr w:type="spellEnd"/>
      <w:r>
        <w:t xml:space="preserve"> Turbay el 20 de febrero de 2002.</w:t>
      </w:r>
    </w:p>
    <w:p w:rsidR="003804AC" w:rsidRDefault="00AF18A5" w:rsidP="00F86CC1">
      <w:r>
        <w:t>En</w:t>
      </w:r>
      <w:r>
        <w:rPr>
          <w:spacing w:val="-2"/>
        </w:rPr>
        <w:t xml:space="preserve"> </w:t>
      </w:r>
      <w:r>
        <w:t>Huila</w:t>
      </w:r>
      <w:r>
        <w:rPr>
          <w:spacing w:val="-2"/>
        </w:rPr>
        <w:t xml:space="preserve"> </w:t>
      </w:r>
      <w:r>
        <w:t>y</w:t>
      </w:r>
      <w:r>
        <w:rPr>
          <w:spacing w:val="-4"/>
        </w:rPr>
        <w:t xml:space="preserve"> </w:t>
      </w:r>
      <w:r>
        <w:t>Caquetá,</w:t>
      </w:r>
      <w:r>
        <w:rPr>
          <w:spacing w:val="-2"/>
        </w:rPr>
        <w:t xml:space="preserve"> </w:t>
      </w:r>
      <w:r>
        <w:t>como</w:t>
      </w:r>
      <w:r>
        <w:rPr>
          <w:spacing w:val="-2"/>
        </w:rPr>
        <w:t xml:space="preserve"> </w:t>
      </w:r>
      <w:r>
        <w:t>en</w:t>
      </w:r>
      <w:r>
        <w:rPr>
          <w:spacing w:val="-2"/>
        </w:rPr>
        <w:t xml:space="preserve"> </w:t>
      </w:r>
      <w:r>
        <w:t>otras</w:t>
      </w:r>
      <w:r>
        <w:rPr>
          <w:spacing w:val="-5"/>
        </w:rPr>
        <w:t xml:space="preserve"> </w:t>
      </w:r>
      <w:r>
        <w:t>regiones</w:t>
      </w:r>
      <w:r>
        <w:rPr>
          <w:spacing w:val="-3"/>
        </w:rPr>
        <w:t xml:space="preserve"> </w:t>
      </w:r>
      <w:r>
        <w:t>del</w:t>
      </w:r>
      <w:r>
        <w:rPr>
          <w:spacing w:val="-4"/>
        </w:rPr>
        <w:t xml:space="preserve"> </w:t>
      </w:r>
      <w:r>
        <w:t>sur</w:t>
      </w:r>
      <w:r>
        <w:rPr>
          <w:spacing w:val="-2"/>
        </w:rPr>
        <w:t xml:space="preserve"> </w:t>
      </w:r>
      <w:r>
        <w:t>del</w:t>
      </w:r>
      <w:r>
        <w:rPr>
          <w:spacing w:val="-3"/>
        </w:rPr>
        <w:t xml:space="preserve"> </w:t>
      </w:r>
      <w:r>
        <w:t>país,</w:t>
      </w:r>
      <w:r>
        <w:rPr>
          <w:spacing w:val="-4"/>
        </w:rPr>
        <w:t xml:space="preserve"> </w:t>
      </w:r>
      <w:r>
        <w:t>la</w:t>
      </w:r>
      <w:r>
        <w:rPr>
          <w:spacing w:val="-2"/>
        </w:rPr>
        <w:t xml:space="preserve"> </w:t>
      </w:r>
      <w:r>
        <w:t>posición</w:t>
      </w:r>
      <w:r>
        <w:rPr>
          <w:spacing w:val="-2"/>
        </w:rPr>
        <w:t xml:space="preserve"> </w:t>
      </w:r>
      <w:r>
        <w:t>de</w:t>
      </w:r>
      <w:r>
        <w:rPr>
          <w:spacing w:val="-2"/>
        </w:rPr>
        <w:t xml:space="preserve"> </w:t>
      </w:r>
      <w:r>
        <w:t>las</w:t>
      </w:r>
      <w:r>
        <w:rPr>
          <w:spacing w:val="-3"/>
        </w:rPr>
        <w:t xml:space="preserve"> </w:t>
      </w:r>
      <w:r>
        <w:t>FARC-EP frente al proceso electoral fue contrastante: mientras en 1997 sabotearon de forma violenta las elecciones de alcaldes y gobernadores, para 1998, por ejemplo, en la región del Caguán de manera abierta o soterrada, hubo constreñimiento a los electores a votar por Andrés Pastrana para presidente en la segunda vuelta. En 2004 arreciaron los homicidios a líderes políticos en el departamento del Huila: el 1 de mayo fue asesinado Federico Hermosa, tres meses</w:t>
      </w:r>
      <w:r>
        <w:rPr>
          <w:spacing w:val="4"/>
        </w:rPr>
        <w:t xml:space="preserve"> </w:t>
      </w:r>
      <w:r>
        <w:t>después</w:t>
      </w:r>
      <w:r>
        <w:rPr>
          <w:spacing w:val="7"/>
        </w:rPr>
        <w:t xml:space="preserve"> </w:t>
      </w:r>
      <w:r>
        <w:t>fue</w:t>
      </w:r>
      <w:r>
        <w:rPr>
          <w:spacing w:val="7"/>
        </w:rPr>
        <w:t xml:space="preserve"> </w:t>
      </w:r>
      <w:r>
        <w:t>asesinado</w:t>
      </w:r>
      <w:r>
        <w:rPr>
          <w:spacing w:val="7"/>
        </w:rPr>
        <w:t xml:space="preserve"> </w:t>
      </w:r>
      <w:r>
        <w:t>el</w:t>
      </w:r>
      <w:r>
        <w:rPr>
          <w:spacing w:val="7"/>
        </w:rPr>
        <w:t xml:space="preserve"> </w:t>
      </w:r>
      <w:r>
        <w:t>alcalde</w:t>
      </w:r>
      <w:r>
        <w:rPr>
          <w:spacing w:val="7"/>
        </w:rPr>
        <w:t xml:space="preserve"> </w:t>
      </w:r>
      <w:r>
        <w:t>de</w:t>
      </w:r>
      <w:r>
        <w:rPr>
          <w:spacing w:val="7"/>
        </w:rPr>
        <w:t xml:space="preserve"> </w:t>
      </w:r>
      <w:r>
        <w:t>Rivera,</w:t>
      </w:r>
      <w:r>
        <w:rPr>
          <w:spacing w:val="7"/>
        </w:rPr>
        <w:t xml:space="preserve"> </w:t>
      </w:r>
      <w:r>
        <w:t>Humberto</w:t>
      </w:r>
      <w:r>
        <w:rPr>
          <w:spacing w:val="6"/>
        </w:rPr>
        <w:t xml:space="preserve"> </w:t>
      </w:r>
      <w:r>
        <w:t>Trujillo,</w:t>
      </w:r>
      <w:r>
        <w:rPr>
          <w:spacing w:val="7"/>
        </w:rPr>
        <w:t xml:space="preserve"> </w:t>
      </w:r>
      <w:r>
        <w:t>del</w:t>
      </w:r>
      <w:r>
        <w:rPr>
          <w:spacing w:val="6"/>
        </w:rPr>
        <w:t xml:space="preserve"> </w:t>
      </w:r>
      <w:r>
        <w:t>partido</w:t>
      </w:r>
      <w:r>
        <w:rPr>
          <w:spacing w:val="7"/>
        </w:rPr>
        <w:t xml:space="preserve"> </w:t>
      </w:r>
      <w:r>
        <w:t>de</w:t>
      </w:r>
      <w:r>
        <w:rPr>
          <w:spacing w:val="6"/>
        </w:rPr>
        <w:t xml:space="preserve"> </w:t>
      </w:r>
      <w:r>
        <w:t>la</w:t>
      </w:r>
      <w:r>
        <w:rPr>
          <w:spacing w:val="7"/>
        </w:rPr>
        <w:t xml:space="preserve"> </w:t>
      </w:r>
      <w:r>
        <w:rPr>
          <w:spacing w:val="-5"/>
        </w:rPr>
        <w:t>UP:</w:t>
      </w:r>
    </w:p>
    <w:p w:rsidR="003804AC" w:rsidRDefault="00AF18A5" w:rsidP="00F86CC1">
      <w:r>
        <w:t>«Prácticamente ese periodo arrasó con todo, porque antes de asesinar a los concejales ya habían masacrado a otros dos concejales, y pues al alcalde de la época también»</w:t>
      </w:r>
      <w:r w:rsidR="00F86CC1">
        <w:rPr>
          <w:rStyle w:val="Refdenotaalpie"/>
        </w:rPr>
        <w:footnoteReference w:id="291"/>
      </w:r>
      <w:r>
        <w:t>.</w:t>
      </w:r>
    </w:p>
    <w:p w:rsidR="003804AC" w:rsidRDefault="00AF18A5" w:rsidP="00F86CC1">
      <w:r>
        <w:t>En</w:t>
      </w:r>
      <w:r>
        <w:rPr>
          <w:spacing w:val="-6"/>
        </w:rPr>
        <w:t xml:space="preserve"> </w:t>
      </w:r>
      <w:r>
        <w:t>su</w:t>
      </w:r>
      <w:r>
        <w:rPr>
          <w:spacing w:val="-6"/>
        </w:rPr>
        <w:t xml:space="preserve"> </w:t>
      </w:r>
      <w:r>
        <w:t>intento</w:t>
      </w:r>
      <w:r>
        <w:rPr>
          <w:spacing w:val="-6"/>
        </w:rPr>
        <w:t xml:space="preserve"> </w:t>
      </w:r>
      <w:r>
        <w:t>de</w:t>
      </w:r>
      <w:r>
        <w:rPr>
          <w:spacing w:val="-6"/>
        </w:rPr>
        <w:t xml:space="preserve"> </w:t>
      </w:r>
      <w:r>
        <w:t>controlar</w:t>
      </w:r>
      <w:r>
        <w:rPr>
          <w:spacing w:val="-6"/>
        </w:rPr>
        <w:t xml:space="preserve"> </w:t>
      </w:r>
      <w:r>
        <w:t>a</w:t>
      </w:r>
      <w:r>
        <w:rPr>
          <w:spacing w:val="-6"/>
        </w:rPr>
        <w:t xml:space="preserve"> </w:t>
      </w:r>
      <w:r>
        <w:t>sangre</w:t>
      </w:r>
      <w:r>
        <w:rPr>
          <w:spacing w:val="-6"/>
        </w:rPr>
        <w:t xml:space="preserve"> </w:t>
      </w:r>
      <w:r>
        <w:t>y</w:t>
      </w:r>
      <w:r>
        <w:rPr>
          <w:spacing w:val="-7"/>
        </w:rPr>
        <w:t xml:space="preserve"> </w:t>
      </w:r>
      <w:r>
        <w:t>fuego</w:t>
      </w:r>
      <w:r>
        <w:rPr>
          <w:spacing w:val="-6"/>
        </w:rPr>
        <w:t xml:space="preserve"> </w:t>
      </w:r>
      <w:r>
        <w:t>la</w:t>
      </w:r>
      <w:r>
        <w:rPr>
          <w:spacing w:val="-6"/>
        </w:rPr>
        <w:t xml:space="preserve"> </w:t>
      </w:r>
      <w:r>
        <w:t>política</w:t>
      </w:r>
      <w:r>
        <w:rPr>
          <w:spacing w:val="-6"/>
        </w:rPr>
        <w:t xml:space="preserve"> </w:t>
      </w:r>
      <w:r>
        <w:t>local</w:t>
      </w:r>
      <w:r>
        <w:rPr>
          <w:spacing w:val="-6"/>
        </w:rPr>
        <w:t xml:space="preserve"> </w:t>
      </w:r>
      <w:r>
        <w:t>en</w:t>
      </w:r>
      <w:r>
        <w:rPr>
          <w:spacing w:val="-7"/>
        </w:rPr>
        <w:t xml:space="preserve"> </w:t>
      </w:r>
      <w:r>
        <w:t>sus</w:t>
      </w:r>
      <w:r>
        <w:rPr>
          <w:spacing w:val="-6"/>
        </w:rPr>
        <w:t xml:space="preserve"> </w:t>
      </w:r>
      <w:r>
        <w:t>zonas</w:t>
      </w:r>
      <w:r>
        <w:rPr>
          <w:spacing w:val="-6"/>
        </w:rPr>
        <w:t xml:space="preserve"> </w:t>
      </w:r>
      <w:r>
        <w:t>de</w:t>
      </w:r>
      <w:r>
        <w:rPr>
          <w:spacing w:val="-6"/>
        </w:rPr>
        <w:t xml:space="preserve"> </w:t>
      </w:r>
      <w:r>
        <w:t>influencia,</w:t>
      </w:r>
      <w:r>
        <w:rPr>
          <w:spacing w:val="-7"/>
        </w:rPr>
        <w:t xml:space="preserve"> </w:t>
      </w:r>
      <w:r>
        <w:t>las FARC-EP llevaron a cabo masacres como las del 18 de octubre de 2002 y el 10 de julio de 2005 por la Columna Móvil Teófilo Forero del Bloque Sur, ambas en el municipio de Campoalegre, Huila, contra los concejales de la época. La primera ocurrió en la vereda El Esmero,</w:t>
      </w:r>
      <w:r>
        <w:rPr>
          <w:spacing w:val="-13"/>
        </w:rPr>
        <w:t xml:space="preserve"> </w:t>
      </w:r>
      <w:r>
        <w:t>ubicada</w:t>
      </w:r>
      <w:r>
        <w:rPr>
          <w:spacing w:val="-13"/>
        </w:rPr>
        <w:t xml:space="preserve"> </w:t>
      </w:r>
      <w:r>
        <w:t>a</w:t>
      </w:r>
      <w:r>
        <w:rPr>
          <w:spacing w:val="-13"/>
        </w:rPr>
        <w:t xml:space="preserve"> </w:t>
      </w:r>
      <w:r>
        <w:t>cuatro</w:t>
      </w:r>
      <w:r>
        <w:rPr>
          <w:spacing w:val="-13"/>
        </w:rPr>
        <w:t xml:space="preserve"> </w:t>
      </w:r>
      <w:r>
        <w:t>kilómetros</w:t>
      </w:r>
      <w:r>
        <w:rPr>
          <w:spacing w:val="-14"/>
        </w:rPr>
        <w:t xml:space="preserve"> </w:t>
      </w:r>
      <w:r>
        <w:t>de</w:t>
      </w:r>
      <w:r>
        <w:rPr>
          <w:spacing w:val="-13"/>
        </w:rPr>
        <w:t xml:space="preserve"> </w:t>
      </w:r>
      <w:r>
        <w:t>Campoalegre,</w:t>
      </w:r>
      <w:r>
        <w:rPr>
          <w:spacing w:val="-13"/>
        </w:rPr>
        <w:t xml:space="preserve"> </w:t>
      </w:r>
      <w:r>
        <w:t>en</w:t>
      </w:r>
      <w:r>
        <w:rPr>
          <w:spacing w:val="-14"/>
        </w:rPr>
        <w:t xml:space="preserve"> </w:t>
      </w:r>
      <w:r>
        <w:t>la</w:t>
      </w:r>
      <w:r>
        <w:rPr>
          <w:spacing w:val="-13"/>
        </w:rPr>
        <w:t xml:space="preserve"> </w:t>
      </w:r>
      <w:r>
        <w:t>que</w:t>
      </w:r>
      <w:r>
        <w:rPr>
          <w:spacing w:val="-13"/>
        </w:rPr>
        <w:t xml:space="preserve"> </w:t>
      </w:r>
      <w:r>
        <w:t>murieron</w:t>
      </w:r>
      <w:r>
        <w:rPr>
          <w:spacing w:val="-14"/>
        </w:rPr>
        <w:t xml:space="preserve"> </w:t>
      </w:r>
      <w:r>
        <w:t>Luis</w:t>
      </w:r>
      <w:r>
        <w:rPr>
          <w:spacing w:val="-13"/>
        </w:rPr>
        <w:t xml:space="preserve"> </w:t>
      </w:r>
      <w:r>
        <w:t>Antonio</w:t>
      </w:r>
      <w:r>
        <w:rPr>
          <w:spacing w:val="-13"/>
        </w:rPr>
        <w:t xml:space="preserve"> </w:t>
      </w:r>
      <w:r>
        <w:t>Mota Falla, alcalde del municipio, John Jairo Carvajal, sobrino del alcalde, y los concejales Jorge Silva Andrade y Joaquín Perdomo Rojas</w:t>
      </w:r>
      <w:r w:rsidR="00F86CC1">
        <w:rPr>
          <w:rStyle w:val="Refdenotaalpie"/>
        </w:rPr>
        <w:footnoteReference w:id="292"/>
      </w:r>
      <w:r>
        <w:t xml:space="preserve">. Tres años más tarde, la segunda se perpetró en el casco urbano del municipio, puntualmente en el restaurante Puerta del </w:t>
      </w:r>
      <w:r>
        <w:lastRenderedPageBreak/>
        <w:t>Sol, según documentó el portal periodístico Rutas del Conflicto</w:t>
      </w:r>
      <w:r w:rsidR="00F86CC1">
        <w:rPr>
          <w:rStyle w:val="Refdenotaalpie"/>
        </w:rPr>
        <w:footnoteReference w:id="293"/>
      </w:r>
      <w:r>
        <w:t>. En este hecho murieron el concejal Jairo</w:t>
      </w:r>
      <w:r>
        <w:rPr>
          <w:spacing w:val="40"/>
        </w:rPr>
        <w:t xml:space="preserve"> </w:t>
      </w:r>
      <w:r>
        <w:t>Rodríguez</w:t>
      </w:r>
      <w:r>
        <w:rPr>
          <w:spacing w:val="42"/>
        </w:rPr>
        <w:t xml:space="preserve"> </w:t>
      </w:r>
      <w:r>
        <w:t>Culma,</w:t>
      </w:r>
      <w:r>
        <w:rPr>
          <w:spacing w:val="43"/>
        </w:rPr>
        <w:t xml:space="preserve"> </w:t>
      </w:r>
      <w:r>
        <w:t>su</w:t>
      </w:r>
      <w:r>
        <w:rPr>
          <w:spacing w:val="42"/>
        </w:rPr>
        <w:t xml:space="preserve"> </w:t>
      </w:r>
      <w:r>
        <w:t>secretario</w:t>
      </w:r>
      <w:r>
        <w:rPr>
          <w:spacing w:val="43"/>
        </w:rPr>
        <w:t xml:space="preserve"> </w:t>
      </w:r>
      <w:proofErr w:type="spellStart"/>
      <w:r>
        <w:t>Miltiliano</w:t>
      </w:r>
      <w:proofErr w:type="spellEnd"/>
      <w:r>
        <w:rPr>
          <w:spacing w:val="42"/>
        </w:rPr>
        <w:t xml:space="preserve"> </w:t>
      </w:r>
      <w:r>
        <w:t>Silva,</w:t>
      </w:r>
      <w:r>
        <w:rPr>
          <w:spacing w:val="43"/>
        </w:rPr>
        <w:t xml:space="preserve"> </w:t>
      </w:r>
      <w:r>
        <w:t>Xiomara</w:t>
      </w:r>
      <w:r>
        <w:rPr>
          <w:spacing w:val="42"/>
        </w:rPr>
        <w:t xml:space="preserve"> </w:t>
      </w:r>
      <w:r>
        <w:t>Silva</w:t>
      </w:r>
      <w:r>
        <w:rPr>
          <w:spacing w:val="42"/>
        </w:rPr>
        <w:t xml:space="preserve"> </w:t>
      </w:r>
      <w:r>
        <w:t>Ramírez,</w:t>
      </w:r>
      <w:r>
        <w:rPr>
          <w:spacing w:val="42"/>
        </w:rPr>
        <w:t xml:space="preserve"> </w:t>
      </w:r>
      <w:r>
        <w:t>hija</w:t>
      </w:r>
      <w:r>
        <w:rPr>
          <w:spacing w:val="43"/>
        </w:rPr>
        <w:t xml:space="preserve"> </w:t>
      </w:r>
      <w:r>
        <w:rPr>
          <w:spacing w:val="-5"/>
        </w:rPr>
        <w:t>del</w:t>
      </w:r>
      <w:bookmarkStart w:id="424" w:name="_bookmark333"/>
      <w:bookmarkStart w:id="425" w:name="_bookmark334"/>
      <w:bookmarkStart w:id="426" w:name="_bookmark335"/>
      <w:bookmarkEnd w:id="424"/>
      <w:bookmarkEnd w:id="425"/>
      <w:bookmarkEnd w:id="426"/>
      <w:r w:rsidR="00F86CC1">
        <w:t xml:space="preserve"> </w:t>
      </w:r>
      <w:r>
        <w:t>secretario y menor de edad, y María Angélica Cardozo, esposa del presidente del cabildo Libardo Carvajal, quien fue herido.</w:t>
      </w:r>
    </w:p>
    <w:p w:rsidR="003804AC" w:rsidRDefault="00AF18A5" w:rsidP="00F86CC1">
      <w:r>
        <w:t xml:space="preserve">El 27 de febrero de 2006, a veinte días de las elecciones al Congreso, los concejales del municipio de Rivera, Huila, por el periodo de 2004-2007, Desiderio Suárez, </w:t>
      </w:r>
      <w:proofErr w:type="spellStart"/>
      <w:r>
        <w:t>Arfail</w:t>
      </w:r>
      <w:proofErr w:type="spellEnd"/>
      <w:r>
        <w:t xml:space="preserve"> Arias, </w:t>
      </w:r>
      <w:proofErr w:type="spellStart"/>
      <w:r>
        <w:t>Célfides</w:t>
      </w:r>
      <w:proofErr w:type="spellEnd"/>
      <w:r>
        <w:t xml:space="preserve"> Fernández, Moisés Ortiz Cabrera, Aníbal Azuero Paredes, Luis Ernesto Ibarra Ramírez, Jaime Andrés Perdomo Losada (Convergencia Ciudadana), Octavio Escobar Gonzales y Héctor Iván Tovar Polanía, que se encontraban deliberando en el hotel Los Gabrieles, fueron asesinados por la Columna Móvil Teófilo Forero del Bloque Sur de las FARC-EP,</w:t>
      </w:r>
      <w:r>
        <w:rPr>
          <w:spacing w:val="-5"/>
        </w:rPr>
        <w:t xml:space="preserve"> </w:t>
      </w:r>
      <w:r>
        <w:t>al</w:t>
      </w:r>
      <w:r>
        <w:rPr>
          <w:spacing w:val="-4"/>
        </w:rPr>
        <w:t xml:space="preserve"> </w:t>
      </w:r>
      <w:r>
        <w:t>mando</w:t>
      </w:r>
      <w:r>
        <w:rPr>
          <w:spacing w:val="-6"/>
        </w:rPr>
        <w:t xml:space="preserve"> </w:t>
      </w:r>
      <w:r>
        <w:t>de</w:t>
      </w:r>
      <w:r>
        <w:rPr>
          <w:spacing w:val="-6"/>
        </w:rPr>
        <w:t xml:space="preserve"> </w:t>
      </w:r>
      <w:r>
        <w:t>Hernán</w:t>
      </w:r>
      <w:r>
        <w:rPr>
          <w:spacing w:val="-5"/>
        </w:rPr>
        <w:t xml:space="preserve"> </w:t>
      </w:r>
      <w:r>
        <w:t>Darío</w:t>
      </w:r>
      <w:r>
        <w:rPr>
          <w:spacing w:val="-5"/>
        </w:rPr>
        <w:t xml:space="preserve"> </w:t>
      </w:r>
      <w:r>
        <w:t>Velásquez</w:t>
      </w:r>
      <w:r>
        <w:rPr>
          <w:spacing w:val="-6"/>
        </w:rPr>
        <w:t xml:space="preserve"> </w:t>
      </w:r>
      <w:r>
        <w:t>Saldarriaga,</w:t>
      </w:r>
      <w:r>
        <w:rPr>
          <w:spacing w:val="-6"/>
        </w:rPr>
        <w:t xml:space="preserve"> </w:t>
      </w:r>
      <w:r>
        <w:t>conocido</w:t>
      </w:r>
      <w:r>
        <w:rPr>
          <w:spacing w:val="-6"/>
        </w:rPr>
        <w:t xml:space="preserve"> </w:t>
      </w:r>
      <w:r>
        <w:t>como</w:t>
      </w:r>
      <w:r>
        <w:rPr>
          <w:spacing w:val="-5"/>
        </w:rPr>
        <w:t xml:space="preserve"> </w:t>
      </w:r>
      <w:r>
        <w:t>el</w:t>
      </w:r>
      <w:r>
        <w:rPr>
          <w:spacing w:val="-5"/>
        </w:rPr>
        <w:t xml:space="preserve"> </w:t>
      </w:r>
      <w:r>
        <w:t>Paisa,</w:t>
      </w:r>
      <w:r>
        <w:rPr>
          <w:spacing w:val="-6"/>
        </w:rPr>
        <w:t xml:space="preserve"> </w:t>
      </w:r>
      <w:r>
        <w:t>entre otros. Quedaron vivos otros dos concejales</w:t>
      </w:r>
      <w:r w:rsidR="005D1898">
        <w:rPr>
          <w:rStyle w:val="Refdenotaalpie"/>
        </w:rPr>
        <w:footnoteReference w:id="294"/>
      </w:r>
      <w:r>
        <w:t>. Las FARC-EP no solo persiguieron a diputados departamentales a través del secuestro, con esta masacre mostraron el desprecio por</w:t>
      </w:r>
      <w:r>
        <w:rPr>
          <w:spacing w:val="-6"/>
        </w:rPr>
        <w:t xml:space="preserve"> </w:t>
      </w:r>
      <w:r>
        <w:t>la</w:t>
      </w:r>
      <w:r>
        <w:rPr>
          <w:spacing w:val="-7"/>
        </w:rPr>
        <w:t xml:space="preserve"> </w:t>
      </w:r>
      <w:r>
        <w:t>vida.</w:t>
      </w:r>
      <w:r>
        <w:rPr>
          <w:spacing w:val="-7"/>
        </w:rPr>
        <w:t xml:space="preserve"> </w:t>
      </w:r>
      <w:r>
        <w:t>Un</w:t>
      </w:r>
      <w:r>
        <w:rPr>
          <w:spacing w:val="-6"/>
        </w:rPr>
        <w:t xml:space="preserve"> </w:t>
      </w:r>
      <w:r>
        <w:t>ataque</w:t>
      </w:r>
      <w:r>
        <w:rPr>
          <w:spacing w:val="-7"/>
        </w:rPr>
        <w:t xml:space="preserve"> </w:t>
      </w:r>
      <w:r>
        <w:t>a</w:t>
      </w:r>
      <w:r>
        <w:rPr>
          <w:spacing w:val="-7"/>
        </w:rPr>
        <w:t xml:space="preserve"> </w:t>
      </w:r>
      <w:r>
        <w:t>un</w:t>
      </w:r>
      <w:r>
        <w:rPr>
          <w:spacing w:val="-6"/>
        </w:rPr>
        <w:t xml:space="preserve"> </w:t>
      </w:r>
      <w:r>
        <w:t>grupo</w:t>
      </w:r>
      <w:r>
        <w:rPr>
          <w:spacing w:val="-6"/>
        </w:rPr>
        <w:t xml:space="preserve"> </w:t>
      </w:r>
      <w:r>
        <w:t>de</w:t>
      </w:r>
      <w:r>
        <w:rPr>
          <w:spacing w:val="-7"/>
        </w:rPr>
        <w:t xml:space="preserve"> </w:t>
      </w:r>
      <w:r>
        <w:t>políticos</w:t>
      </w:r>
      <w:r>
        <w:rPr>
          <w:spacing w:val="-7"/>
        </w:rPr>
        <w:t xml:space="preserve"> </w:t>
      </w:r>
      <w:r>
        <w:t>locales</w:t>
      </w:r>
      <w:r>
        <w:rPr>
          <w:spacing w:val="-6"/>
        </w:rPr>
        <w:t xml:space="preserve"> </w:t>
      </w:r>
      <w:r>
        <w:t>que</w:t>
      </w:r>
      <w:r>
        <w:rPr>
          <w:spacing w:val="-6"/>
        </w:rPr>
        <w:t xml:space="preserve"> </w:t>
      </w:r>
      <w:r>
        <w:t>se</w:t>
      </w:r>
      <w:r>
        <w:rPr>
          <w:spacing w:val="-6"/>
        </w:rPr>
        <w:t xml:space="preserve"> </w:t>
      </w:r>
      <w:r>
        <w:t>encontraba</w:t>
      </w:r>
      <w:r>
        <w:rPr>
          <w:spacing w:val="-6"/>
        </w:rPr>
        <w:t xml:space="preserve"> </w:t>
      </w:r>
      <w:r>
        <w:t>reunido</w:t>
      </w:r>
      <w:r>
        <w:rPr>
          <w:spacing w:val="-6"/>
        </w:rPr>
        <w:t xml:space="preserve"> </w:t>
      </w:r>
      <w:r>
        <w:t>e</w:t>
      </w:r>
      <w:r>
        <w:rPr>
          <w:spacing w:val="-7"/>
        </w:rPr>
        <w:t xml:space="preserve"> </w:t>
      </w:r>
      <w:r>
        <w:t>indefenso, que, como relatan los familiares de los concejales, estaba dirigido supuestamente a golpear al Gobierno nacional:</w:t>
      </w:r>
    </w:p>
    <w:p w:rsidR="003804AC" w:rsidRPr="005D1898" w:rsidRDefault="00AF18A5" w:rsidP="005D1898">
      <w:r w:rsidRPr="005D1898">
        <w:t xml:space="preserve">«Ese guerrillero… ellos siempre han manifestado que la masacre fue, según ellos, por hacerle ver al presidente que la política de seguridad democrática no servía para nada. Y nosotros siempre hemos preguntado que por qué existiendo tantas corporaciones en el país, decidieron que fuera Rivera. Lo que ellos manifiestan como respuesta es que Rivera era un pueblo muy vulnerable, primero que todo porque había una cantidad </w:t>
      </w:r>
      <w:r w:rsidRPr="005D1898">
        <w:lastRenderedPageBreak/>
        <w:t>de policías mínima y lo segundo porque no había seguridad de nada. Y la otra situación que ellos manifiestan que tuvieron en cuenta fue las vías de acceso, podían entrar y salir por cualquier parte, fuera por la montaña, por lo pavimentado, por La Ulloa, por el lado del Salado de la montaña, por cualquier parte»</w:t>
      </w:r>
      <w:r w:rsidR="005D1898" w:rsidRPr="005D1898">
        <w:footnoteReference w:id="295"/>
      </w:r>
    </w:p>
    <w:p w:rsidR="003804AC" w:rsidRPr="005D1898" w:rsidRDefault="00AF18A5" w:rsidP="005D1898">
      <w:r w:rsidRPr="005D1898">
        <w:t>Este ataque es un ejemplo de los niveles de deshumanización a los que llegó esta organización insurgente. En Caquetá también se presentó esta modalidad de violencia, así:</w:t>
      </w:r>
      <w:bookmarkStart w:id="427" w:name="_bookmark336"/>
      <w:bookmarkStart w:id="428" w:name="_bookmark337"/>
      <w:bookmarkEnd w:id="427"/>
      <w:bookmarkEnd w:id="428"/>
      <w:r w:rsidR="005D1898" w:rsidRPr="005D1898">
        <w:t xml:space="preserve"> </w:t>
      </w:r>
      <w:r w:rsidRPr="005D1898">
        <w:t>A las 2:45 de la tarde del 24 de mayo de 2005, guerrilleros de la Columna Móvil Teófilo Forero atacaron la sede del Concejo Municipal de Puerto Rico, Caquetá. El cabildo estaba en plena sesión cuando ingresaron los subversivos y asesinaron a seis concejales y al secretario de la entidad</w:t>
      </w:r>
      <w:r w:rsidR="005D1898" w:rsidRPr="005D1898">
        <w:footnoteReference w:id="296"/>
      </w:r>
      <w:r w:rsidRPr="005D1898">
        <w:t>.</w:t>
      </w:r>
    </w:p>
    <w:p w:rsidR="003804AC" w:rsidRPr="005D1898" w:rsidRDefault="00AF18A5" w:rsidP="005D1898">
      <w:r w:rsidRPr="005D1898">
        <w:t>Igualmente, uno de los casos más ilustrativos de la ofensiva de las FARC-EP a la política regional fue el caso del secuestro y posterior asesinato de los diputados del Valle. En la mañana del 11 de abril de 2002, un comando de dieciocho guerrilleros entró por la puerta principal de la Asamblea Departamental del Valle haciéndose pasar por la unidad antiexplosivos del Batallón Primero Numancia, y se llevó secuestrados a</w:t>
      </w:r>
      <w:r>
        <w:t xml:space="preserve"> </w:t>
      </w:r>
      <w:r w:rsidRPr="005D1898">
        <w:t xml:space="preserve">los diputados Ramiro Echeverry, Jairo Hoyos, Alberto Quintero, Rufino Varela, Nacianceno Orozco, Héctor Fabio </w:t>
      </w:r>
      <w:proofErr w:type="spellStart"/>
      <w:r w:rsidRPr="005D1898">
        <w:t>Arismendy</w:t>
      </w:r>
      <w:proofErr w:type="spellEnd"/>
      <w:r w:rsidRPr="005D1898">
        <w:t xml:space="preserve">, Edison Pérez, Francisco Giraldo, Carlos Alberto Barragán, Silvio Valencia, Carlos Alberto Charry, su hermana Gloria Charry, y Sigifredo López, junto con el entonces presidente de la Asamblea, Juan Carlos Narváez, el subsecretario de rentas de la Gobernación, Juan Muñoz, y la asistente </w:t>
      </w:r>
      <w:r w:rsidRPr="005D1898">
        <w:lastRenderedPageBreak/>
        <w:t>del presidente de la Asamblea, Doris Hernández.</w:t>
      </w:r>
    </w:p>
    <w:p w:rsidR="003804AC" w:rsidRDefault="00AF18A5" w:rsidP="005D1898">
      <w:r>
        <w:t>El</w:t>
      </w:r>
      <w:r>
        <w:rPr>
          <w:spacing w:val="-15"/>
        </w:rPr>
        <w:t xml:space="preserve"> </w:t>
      </w:r>
      <w:r>
        <w:t>18</w:t>
      </w:r>
      <w:r>
        <w:rPr>
          <w:spacing w:val="-15"/>
        </w:rPr>
        <w:t xml:space="preserve"> </w:t>
      </w:r>
      <w:r>
        <w:t>de</w:t>
      </w:r>
      <w:r>
        <w:rPr>
          <w:spacing w:val="-15"/>
        </w:rPr>
        <w:t xml:space="preserve"> </w:t>
      </w:r>
      <w:r>
        <w:t>junio</w:t>
      </w:r>
      <w:r>
        <w:rPr>
          <w:spacing w:val="-15"/>
        </w:rPr>
        <w:t xml:space="preserve"> </w:t>
      </w:r>
      <w:r>
        <w:t>de</w:t>
      </w:r>
      <w:r>
        <w:rPr>
          <w:spacing w:val="-15"/>
        </w:rPr>
        <w:t xml:space="preserve"> </w:t>
      </w:r>
      <w:r>
        <w:t>2007,</w:t>
      </w:r>
      <w:r>
        <w:rPr>
          <w:spacing w:val="-15"/>
        </w:rPr>
        <w:t xml:space="preserve"> </w:t>
      </w:r>
      <w:r>
        <w:t>cinco</w:t>
      </w:r>
      <w:r>
        <w:rPr>
          <w:spacing w:val="-15"/>
        </w:rPr>
        <w:t xml:space="preserve"> </w:t>
      </w:r>
      <w:r>
        <w:t>años</w:t>
      </w:r>
      <w:r>
        <w:rPr>
          <w:spacing w:val="-15"/>
        </w:rPr>
        <w:t xml:space="preserve"> </w:t>
      </w:r>
      <w:r>
        <w:t>después</w:t>
      </w:r>
      <w:r>
        <w:rPr>
          <w:spacing w:val="-15"/>
        </w:rPr>
        <w:t xml:space="preserve"> </w:t>
      </w:r>
      <w:r>
        <w:t>del</w:t>
      </w:r>
      <w:r>
        <w:rPr>
          <w:spacing w:val="-15"/>
        </w:rPr>
        <w:t xml:space="preserve"> </w:t>
      </w:r>
      <w:r>
        <w:t>secuestro,</w:t>
      </w:r>
      <w:r>
        <w:rPr>
          <w:spacing w:val="-15"/>
        </w:rPr>
        <w:t xml:space="preserve"> </w:t>
      </w:r>
      <w:r>
        <w:t>se</w:t>
      </w:r>
      <w:r>
        <w:rPr>
          <w:spacing w:val="-15"/>
        </w:rPr>
        <w:t xml:space="preserve"> </w:t>
      </w:r>
      <w:r>
        <w:t>conoció</w:t>
      </w:r>
      <w:r>
        <w:rPr>
          <w:spacing w:val="-15"/>
        </w:rPr>
        <w:t xml:space="preserve"> </w:t>
      </w:r>
      <w:r>
        <w:t>la</w:t>
      </w:r>
      <w:r>
        <w:rPr>
          <w:spacing w:val="-15"/>
        </w:rPr>
        <w:t xml:space="preserve"> </w:t>
      </w:r>
      <w:r>
        <w:t>noticia</w:t>
      </w:r>
      <w:r>
        <w:rPr>
          <w:spacing w:val="-15"/>
        </w:rPr>
        <w:t xml:space="preserve"> </w:t>
      </w:r>
      <w:r>
        <w:t>de</w:t>
      </w:r>
      <w:r>
        <w:rPr>
          <w:spacing w:val="-15"/>
        </w:rPr>
        <w:t xml:space="preserve"> </w:t>
      </w:r>
      <w:r>
        <w:t>la</w:t>
      </w:r>
      <w:r>
        <w:rPr>
          <w:spacing w:val="-15"/>
        </w:rPr>
        <w:t xml:space="preserve"> </w:t>
      </w:r>
      <w:r>
        <w:t>muerte de los diputados en medio del supuesto fuego cruzado con un grupo no identificado. El Comité</w:t>
      </w:r>
      <w:r>
        <w:rPr>
          <w:spacing w:val="-12"/>
        </w:rPr>
        <w:t xml:space="preserve"> </w:t>
      </w:r>
      <w:r>
        <w:t>Internacional</w:t>
      </w:r>
      <w:r>
        <w:rPr>
          <w:spacing w:val="-10"/>
        </w:rPr>
        <w:t xml:space="preserve"> </w:t>
      </w:r>
      <w:r>
        <w:t>de</w:t>
      </w:r>
      <w:r>
        <w:rPr>
          <w:spacing w:val="-12"/>
        </w:rPr>
        <w:t xml:space="preserve"> </w:t>
      </w:r>
      <w:r>
        <w:t>la</w:t>
      </w:r>
      <w:r>
        <w:rPr>
          <w:spacing w:val="-10"/>
        </w:rPr>
        <w:t xml:space="preserve"> </w:t>
      </w:r>
      <w:r>
        <w:t>Cruz</w:t>
      </w:r>
      <w:r>
        <w:rPr>
          <w:spacing w:val="-10"/>
        </w:rPr>
        <w:t xml:space="preserve"> </w:t>
      </w:r>
      <w:r>
        <w:t>Roja</w:t>
      </w:r>
      <w:r>
        <w:rPr>
          <w:spacing w:val="-13"/>
        </w:rPr>
        <w:t xml:space="preserve"> </w:t>
      </w:r>
      <w:r>
        <w:t>(CICR)</w:t>
      </w:r>
      <w:r>
        <w:rPr>
          <w:spacing w:val="-10"/>
        </w:rPr>
        <w:t xml:space="preserve"> </w:t>
      </w:r>
      <w:r>
        <w:t>recibió</w:t>
      </w:r>
      <w:r>
        <w:rPr>
          <w:spacing w:val="-11"/>
        </w:rPr>
        <w:t xml:space="preserve"> </w:t>
      </w:r>
      <w:r>
        <w:t>las</w:t>
      </w:r>
      <w:r>
        <w:rPr>
          <w:spacing w:val="-10"/>
        </w:rPr>
        <w:t xml:space="preserve"> </w:t>
      </w:r>
      <w:r>
        <w:t>coordenadas</w:t>
      </w:r>
      <w:r>
        <w:rPr>
          <w:spacing w:val="-10"/>
        </w:rPr>
        <w:t xml:space="preserve"> </w:t>
      </w:r>
      <w:r>
        <w:t>con</w:t>
      </w:r>
      <w:r>
        <w:rPr>
          <w:spacing w:val="-12"/>
        </w:rPr>
        <w:t xml:space="preserve"> </w:t>
      </w:r>
      <w:r>
        <w:t>la</w:t>
      </w:r>
      <w:r>
        <w:rPr>
          <w:spacing w:val="-10"/>
        </w:rPr>
        <w:t xml:space="preserve"> </w:t>
      </w:r>
      <w:r>
        <w:t>ubicación</w:t>
      </w:r>
      <w:r>
        <w:rPr>
          <w:spacing w:val="-12"/>
        </w:rPr>
        <w:t xml:space="preserve"> </w:t>
      </w:r>
      <w:r>
        <w:t>de</w:t>
      </w:r>
      <w:r>
        <w:rPr>
          <w:spacing w:val="-10"/>
        </w:rPr>
        <w:t xml:space="preserve"> </w:t>
      </w:r>
      <w:r>
        <w:t>los cuerpos e inició la búsqueda en el área rural de Cumbitara, Nariño, y «el domingo 9 de septiembre, después de 5 años, 148 días de haber sido secuestrados y 80 días de haber sido asesinados llegaron los cuerpos a Cali»</w:t>
      </w:r>
      <w:r w:rsidR="005D1898">
        <w:rPr>
          <w:rStyle w:val="Refdenotaalpie"/>
        </w:rPr>
        <w:footnoteReference w:id="297"/>
      </w:r>
      <w:r>
        <w:t>. Cuatro días antes del asesinato de los diputados, Sigifredo López, único sobreviviente, relató que lo separaron de sus compañeros por mal comportamiento; el 5 de febrero de 2009, luego de seis años y diez meses de secuestro, fue liberado</w:t>
      </w:r>
      <w:r>
        <w:rPr>
          <w:spacing w:val="-4"/>
        </w:rPr>
        <w:t xml:space="preserve"> </w:t>
      </w:r>
      <w:r>
        <w:t>y</w:t>
      </w:r>
      <w:r>
        <w:rPr>
          <w:spacing w:val="-4"/>
        </w:rPr>
        <w:t xml:space="preserve"> </w:t>
      </w:r>
      <w:r>
        <w:t>entregado</w:t>
      </w:r>
      <w:r>
        <w:rPr>
          <w:spacing w:val="-4"/>
        </w:rPr>
        <w:t xml:space="preserve"> </w:t>
      </w:r>
      <w:r>
        <w:t>por</w:t>
      </w:r>
      <w:r>
        <w:rPr>
          <w:spacing w:val="-4"/>
        </w:rPr>
        <w:t xml:space="preserve"> </w:t>
      </w:r>
      <w:r>
        <w:t>las</w:t>
      </w:r>
      <w:r>
        <w:rPr>
          <w:spacing w:val="-3"/>
        </w:rPr>
        <w:t xml:space="preserve"> </w:t>
      </w:r>
      <w:r>
        <w:t>FARC-EP</w:t>
      </w:r>
      <w:r>
        <w:rPr>
          <w:spacing w:val="-4"/>
        </w:rPr>
        <w:t xml:space="preserve"> </w:t>
      </w:r>
      <w:r>
        <w:t>a</w:t>
      </w:r>
      <w:r>
        <w:rPr>
          <w:spacing w:val="-3"/>
        </w:rPr>
        <w:t xml:space="preserve"> </w:t>
      </w:r>
      <w:r>
        <w:t>la</w:t>
      </w:r>
      <w:r>
        <w:rPr>
          <w:spacing w:val="-3"/>
        </w:rPr>
        <w:t xml:space="preserve"> </w:t>
      </w:r>
      <w:r>
        <w:t>entonces</w:t>
      </w:r>
      <w:r>
        <w:rPr>
          <w:spacing w:val="-3"/>
        </w:rPr>
        <w:t xml:space="preserve"> </w:t>
      </w:r>
      <w:r>
        <w:t>senadora</w:t>
      </w:r>
      <w:r>
        <w:rPr>
          <w:spacing w:val="-3"/>
        </w:rPr>
        <w:t xml:space="preserve"> </w:t>
      </w:r>
      <w:r>
        <w:t>Piedad</w:t>
      </w:r>
      <w:r>
        <w:rPr>
          <w:spacing w:val="-4"/>
        </w:rPr>
        <w:t xml:space="preserve"> </w:t>
      </w:r>
      <w:r>
        <w:t>Córdoba</w:t>
      </w:r>
      <w:r>
        <w:rPr>
          <w:spacing w:val="-3"/>
        </w:rPr>
        <w:t xml:space="preserve"> </w:t>
      </w:r>
      <w:r>
        <w:t>en</w:t>
      </w:r>
      <w:r>
        <w:rPr>
          <w:spacing w:val="-4"/>
        </w:rPr>
        <w:t xml:space="preserve"> </w:t>
      </w:r>
      <w:r>
        <w:t>zona</w:t>
      </w:r>
      <w:r>
        <w:rPr>
          <w:spacing w:val="-3"/>
        </w:rPr>
        <w:t xml:space="preserve"> </w:t>
      </w:r>
      <w:r>
        <w:t>rural del municipio de Guapi, Cauca.</w:t>
      </w:r>
    </w:p>
    <w:p w:rsidR="003804AC" w:rsidRDefault="00AF18A5" w:rsidP="005D1898">
      <w:r>
        <w:t>Las dinámicas de relación con el poder local y las autoridades subnacionales cambiaron por</w:t>
      </w:r>
      <w:r>
        <w:rPr>
          <w:spacing w:val="10"/>
        </w:rPr>
        <w:t xml:space="preserve"> </w:t>
      </w:r>
      <w:r>
        <w:t>parte</w:t>
      </w:r>
      <w:r>
        <w:rPr>
          <w:spacing w:val="10"/>
        </w:rPr>
        <w:t xml:space="preserve"> </w:t>
      </w:r>
      <w:r>
        <w:t>de</w:t>
      </w:r>
      <w:r>
        <w:rPr>
          <w:spacing w:val="9"/>
        </w:rPr>
        <w:t xml:space="preserve"> </w:t>
      </w:r>
      <w:r>
        <w:t>las</w:t>
      </w:r>
      <w:r>
        <w:rPr>
          <w:spacing w:val="10"/>
        </w:rPr>
        <w:t xml:space="preserve"> </w:t>
      </w:r>
      <w:r>
        <w:t>FARC-EP</w:t>
      </w:r>
      <w:r>
        <w:rPr>
          <w:spacing w:val="9"/>
        </w:rPr>
        <w:t xml:space="preserve"> </w:t>
      </w:r>
      <w:r>
        <w:t>desde</w:t>
      </w:r>
      <w:r>
        <w:rPr>
          <w:spacing w:val="11"/>
        </w:rPr>
        <w:t xml:space="preserve"> </w:t>
      </w:r>
      <w:r>
        <w:t>finales</w:t>
      </w:r>
      <w:r>
        <w:rPr>
          <w:spacing w:val="10"/>
        </w:rPr>
        <w:t xml:space="preserve"> </w:t>
      </w:r>
      <w:r>
        <w:t>de</w:t>
      </w:r>
      <w:r>
        <w:rPr>
          <w:spacing w:val="9"/>
        </w:rPr>
        <w:t xml:space="preserve"> </w:t>
      </w:r>
      <w:r>
        <w:t>los</w:t>
      </w:r>
      <w:r>
        <w:rPr>
          <w:spacing w:val="8"/>
        </w:rPr>
        <w:t xml:space="preserve"> </w:t>
      </w:r>
      <w:r>
        <w:t>ochenta</w:t>
      </w:r>
      <w:r>
        <w:rPr>
          <w:spacing w:val="10"/>
        </w:rPr>
        <w:t xml:space="preserve"> </w:t>
      </w:r>
      <w:r>
        <w:t>y</w:t>
      </w:r>
      <w:r>
        <w:rPr>
          <w:spacing w:val="9"/>
        </w:rPr>
        <w:t xml:space="preserve"> </w:t>
      </w:r>
      <w:r>
        <w:t>mediados</w:t>
      </w:r>
      <w:r>
        <w:rPr>
          <w:spacing w:val="10"/>
        </w:rPr>
        <w:t xml:space="preserve"> </w:t>
      </w:r>
      <w:r>
        <w:t>de</w:t>
      </w:r>
      <w:r>
        <w:rPr>
          <w:spacing w:val="9"/>
        </w:rPr>
        <w:t xml:space="preserve"> </w:t>
      </w:r>
      <w:r>
        <w:t>los</w:t>
      </w:r>
      <w:r>
        <w:rPr>
          <w:spacing w:val="10"/>
        </w:rPr>
        <w:t xml:space="preserve"> </w:t>
      </w:r>
      <w:r>
        <w:t>noventa,</w:t>
      </w:r>
      <w:r>
        <w:rPr>
          <w:spacing w:val="9"/>
        </w:rPr>
        <w:t xml:space="preserve"> </w:t>
      </w:r>
      <w:r>
        <w:rPr>
          <w:spacing w:val="-2"/>
        </w:rPr>
        <w:t>cuando</w:t>
      </w:r>
      <w:bookmarkStart w:id="429" w:name="_bookmark338"/>
      <w:bookmarkStart w:id="430" w:name="_bookmark339"/>
      <w:bookmarkEnd w:id="429"/>
      <w:bookmarkEnd w:id="430"/>
      <w:r w:rsidR="005D1898">
        <w:rPr>
          <w:spacing w:val="-2"/>
        </w:rPr>
        <w:t xml:space="preserve"> </w:t>
      </w:r>
      <w:r>
        <w:t>pasaron de una pretensión de proyectarse políticamente a través del Partido Comunista y la propuesta</w:t>
      </w:r>
      <w:r>
        <w:rPr>
          <w:spacing w:val="-2"/>
        </w:rPr>
        <w:t xml:space="preserve"> </w:t>
      </w:r>
      <w:r>
        <w:t>política</w:t>
      </w:r>
      <w:r>
        <w:rPr>
          <w:spacing w:val="-1"/>
        </w:rPr>
        <w:t xml:space="preserve"> </w:t>
      </w:r>
      <w:r>
        <w:t>de</w:t>
      </w:r>
      <w:r>
        <w:rPr>
          <w:spacing w:val="-1"/>
        </w:rPr>
        <w:t xml:space="preserve"> </w:t>
      </w:r>
      <w:r>
        <w:t>la</w:t>
      </w:r>
      <w:r>
        <w:rPr>
          <w:spacing w:val="-2"/>
        </w:rPr>
        <w:t xml:space="preserve"> </w:t>
      </w:r>
      <w:r>
        <w:t>Unión</w:t>
      </w:r>
      <w:r>
        <w:rPr>
          <w:spacing w:val="-1"/>
        </w:rPr>
        <w:t xml:space="preserve"> </w:t>
      </w:r>
      <w:r>
        <w:t>Patriótica,</w:t>
      </w:r>
      <w:r>
        <w:rPr>
          <w:spacing w:val="-2"/>
        </w:rPr>
        <w:t xml:space="preserve"> </w:t>
      </w:r>
      <w:r>
        <w:t>a</w:t>
      </w:r>
      <w:r>
        <w:rPr>
          <w:spacing w:val="-1"/>
        </w:rPr>
        <w:t xml:space="preserve"> </w:t>
      </w:r>
      <w:r>
        <w:t>ejercer</w:t>
      </w:r>
      <w:r>
        <w:rPr>
          <w:spacing w:val="-1"/>
        </w:rPr>
        <w:t xml:space="preserve"> </w:t>
      </w:r>
      <w:r>
        <w:t>control</w:t>
      </w:r>
      <w:r>
        <w:rPr>
          <w:spacing w:val="-2"/>
        </w:rPr>
        <w:t xml:space="preserve"> </w:t>
      </w:r>
      <w:r>
        <w:t>y</w:t>
      </w:r>
      <w:r>
        <w:rPr>
          <w:spacing w:val="-3"/>
        </w:rPr>
        <w:t xml:space="preserve"> </w:t>
      </w:r>
      <w:r>
        <w:t>vigilancia</w:t>
      </w:r>
      <w:r>
        <w:rPr>
          <w:spacing w:val="-2"/>
        </w:rPr>
        <w:t xml:space="preserve"> </w:t>
      </w:r>
      <w:r>
        <w:t>sobre</w:t>
      </w:r>
      <w:r>
        <w:rPr>
          <w:spacing w:val="-1"/>
        </w:rPr>
        <w:t xml:space="preserve"> </w:t>
      </w:r>
      <w:r>
        <w:t>las</w:t>
      </w:r>
      <w:r>
        <w:rPr>
          <w:spacing w:val="-1"/>
        </w:rPr>
        <w:t xml:space="preserve"> </w:t>
      </w:r>
      <w:r>
        <w:t xml:space="preserve">autoridades locales, así fuera de otros partidos, en los años noventa, para finalmente intentar construir zonas de autoridad y «poder dual» para «desalojar totalmente al Estado» en la década de </w:t>
      </w:r>
      <w:r>
        <w:rPr>
          <w:spacing w:val="-2"/>
        </w:rPr>
        <w:t>2000.</w:t>
      </w:r>
    </w:p>
    <w:p w:rsidR="003804AC" w:rsidRDefault="00AF18A5" w:rsidP="005D1898">
      <w:r>
        <w:t>Este</w:t>
      </w:r>
      <w:r>
        <w:rPr>
          <w:spacing w:val="-6"/>
        </w:rPr>
        <w:t xml:space="preserve"> </w:t>
      </w:r>
      <w:r>
        <w:t>cambio</w:t>
      </w:r>
      <w:r>
        <w:rPr>
          <w:spacing w:val="-7"/>
        </w:rPr>
        <w:t xml:space="preserve"> </w:t>
      </w:r>
      <w:r w:rsidRPr="005D1898">
        <w:t>fue</w:t>
      </w:r>
      <w:r>
        <w:rPr>
          <w:spacing w:val="-6"/>
        </w:rPr>
        <w:t xml:space="preserve"> </w:t>
      </w:r>
      <w:r>
        <w:t>de</w:t>
      </w:r>
      <w:r>
        <w:rPr>
          <w:spacing w:val="-6"/>
        </w:rPr>
        <w:t xml:space="preserve"> </w:t>
      </w:r>
      <w:r>
        <w:t>la</w:t>
      </w:r>
      <w:r>
        <w:rPr>
          <w:spacing w:val="-7"/>
        </w:rPr>
        <w:t xml:space="preserve"> </w:t>
      </w:r>
      <w:r>
        <w:t>mano</w:t>
      </w:r>
      <w:r>
        <w:rPr>
          <w:spacing w:val="-6"/>
        </w:rPr>
        <w:t xml:space="preserve"> </w:t>
      </w:r>
      <w:r>
        <w:t>de</w:t>
      </w:r>
      <w:r>
        <w:rPr>
          <w:spacing w:val="-6"/>
        </w:rPr>
        <w:t xml:space="preserve"> </w:t>
      </w:r>
      <w:r>
        <w:t>una</w:t>
      </w:r>
      <w:r>
        <w:rPr>
          <w:spacing w:val="-6"/>
        </w:rPr>
        <w:t xml:space="preserve"> </w:t>
      </w:r>
      <w:r>
        <w:t>militarización</w:t>
      </w:r>
      <w:r>
        <w:rPr>
          <w:spacing w:val="-7"/>
        </w:rPr>
        <w:t xml:space="preserve"> </w:t>
      </w:r>
      <w:r>
        <w:t>de</w:t>
      </w:r>
      <w:r>
        <w:rPr>
          <w:spacing w:val="-6"/>
        </w:rPr>
        <w:t xml:space="preserve"> </w:t>
      </w:r>
      <w:r>
        <w:t>sus</w:t>
      </w:r>
      <w:r>
        <w:rPr>
          <w:spacing w:val="-6"/>
        </w:rPr>
        <w:t xml:space="preserve"> </w:t>
      </w:r>
      <w:r>
        <w:t>acciones</w:t>
      </w:r>
      <w:r>
        <w:rPr>
          <w:spacing w:val="-6"/>
        </w:rPr>
        <w:t xml:space="preserve"> </w:t>
      </w:r>
      <w:r>
        <w:t>armadas</w:t>
      </w:r>
      <w:r>
        <w:rPr>
          <w:spacing w:val="-7"/>
        </w:rPr>
        <w:t xml:space="preserve"> </w:t>
      </w:r>
      <w:r>
        <w:t>con</w:t>
      </w:r>
      <w:r>
        <w:rPr>
          <w:spacing w:val="-6"/>
        </w:rPr>
        <w:t xml:space="preserve"> </w:t>
      </w:r>
      <w:r>
        <w:t>la</w:t>
      </w:r>
      <w:r>
        <w:rPr>
          <w:spacing w:val="-6"/>
        </w:rPr>
        <w:t xml:space="preserve"> </w:t>
      </w:r>
      <w:r>
        <w:t>toma</w:t>
      </w:r>
      <w:r>
        <w:rPr>
          <w:spacing w:val="-7"/>
        </w:rPr>
        <w:t xml:space="preserve"> </w:t>
      </w:r>
      <w:r>
        <w:t xml:space="preserve">de pueblos y otras acciones militares que fueron en detrimento de la participación política y la democracia regional. En </w:t>
      </w:r>
      <w:r>
        <w:lastRenderedPageBreak/>
        <w:t>efecto, el crecimiento militar y la expansión territorial y su consolidación</w:t>
      </w:r>
      <w:r>
        <w:rPr>
          <w:spacing w:val="-6"/>
        </w:rPr>
        <w:t xml:space="preserve"> </w:t>
      </w:r>
      <w:r>
        <w:t>en</w:t>
      </w:r>
      <w:r>
        <w:rPr>
          <w:spacing w:val="-6"/>
        </w:rPr>
        <w:t xml:space="preserve"> </w:t>
      </w:r>
      <w:r>
        <w:t>las</w:t>
      </w:r>
      <w:r>
        <w:rPr>
          <w:spacing w:val="-6"/>
        </w:rPr>
        <w:t xml:space="preserve"> </w:t>
      </w:r>
      <w:r>
        <w:t>retaguardias</w:t>
      </w:r>
      <w:r>
        <w:rPr>
          <w:spacing w:val="-7"/>
        </w:rPr>
        <w:t xml:space="preserve"> </w:t>
      </w:r>
      <w:r>
        <w:t>estratégicas</w:t>
      </w:r>
      <w:r>
        <w:rPr>
          <w:spacing w:val="-6"/>
        </w:rPr>
        <w:t xml:space="preserve"> </w:t>
      </w:r>
      <w:r>
        <w:t>del</w:t>
      </w:r>
      <w:r>
        <w:rPr>
          <w:spacing w:val="-7"/>
        </w:rPr>
        <w:t xml:space="preserve"> </w:t>
      </w:r>
      <w:r>
        <w:t>suroriente</w:t>
      </w:r>
      <w:r>
        <w:rPr>
          <w:spacing w:val="-6"/>
        </w:rPr>
        <w:t xml:space="preserve"> </w:t>
      </w:r>
      <w:r>
        <w:t>del</w:t>
      </w:r>
      <w:r>
        <w:rPr>
          <w:spacing w:val="-6"/>
        </w:rPr>
        <w:t xml:space="preserve"> </w:t>
      </w:r>
      <w:r>
        <w:t>país</w:t>
      </w:r>
      <w:r>
        <w:rPr>
          <w:spacing w:val="-7"/>
        </w:rPr>
        <w:t xml:space="preserve"> </w:t>
      </w:r>
      <w:r>
        <w:t>en</w:t>
      </w:r>
      <w:r>
        <w:rPr>
          <w:spacing w:val="-6"/>
        </w:rPr>
        <w:t xml:space="preserve"> </w:t>
      </w:r>
      <w:r>
        <w:t>desarrollo</w:t>
      </w:r>
      <w:r>
        <w:rPr>
          <w:spacing w:val="-6"/>
        </w:rPr>
        <w:t xml:space="preserve"> </w:t>
      </w:r>
      <w:r>
        <w:t>de</w:t>
      </w:r>
      <w:r>
        <w:rPr>
          <w:spacing w:val="-6"/>
        </w:rPr>
        <w:t xml:space="preserve"> </w:t>
      </w:r>
      <w:r>
        <w:t>su</w:t>
      </w:r>
      <w:r>
        <w:rPr>
          <w:spacing w:val="-6"/>
        </w:rPr>
        <w:t xml:space="preserve"> </w:t>
      </w:r>
      <w:r>
        <w:t>Plan Estratégico,</w:t>
      </w:r>
      <w:r>
        <w:rPr>
          <w:spacing w:val="-5"/>
        </w:rPr>
        <w:t xml:space="preserve"> </w:t>
      </w:r>
      <w:r>
        <w:t>reforzado</w:t>
      </w:r>
      <w:r>
        <w:rPr>
          <w:spacing w:val="-3"/>
        </w:rPr>
        <w:t xml:space="preserve"> </w:t>
      </w:r>
      <w:r>
        <w:t>en</w:t>
      </w:r>
      <w:r>
        <w:rPr>
          <w:spacing w:val="-3"/>
        </w:rPr>
        <w:t xml:space="preserve"> </w:t>
      </w:r>
      <w:r>
        <w:t>la</w:t>
      </w:r>
      <w:r>
        <w:rPr>
          <w:spacing w:val="-3"/>
        </w:rPr>
        <w:t xml:space="preserve"> </w:t>
      </w:r>
      <w:r>
        <w:t>Octava</w:t>
      </w:r>
      <w:r>
        <w:rPr>
          <w:spacing w:val="-3"/>
        </w:rPr>
        <w:t xml:space="preserve"> </w:t>
      </w:r>
      <w:r>
        <w:t>Conferencia</w:t>
      </w:r>
      <w:r>
        <w:rPr>
          <w:spacing w:val="-3"/>
        </w:rPr>
        <w:t xml:space="preserve"> </w:t>
      </w:r>
      <w:r>
        <w:t>en</w:t>
      </w:r>
      <w:r>
        <w:rPr>
          <w:spacing w:val="-2"/>
        </w:rPr>
        <w:t xml:space="preserve"> </w:t>
      </w:r>
      <w:r>
        <w:t>1993,</w:t>
      </w:r>
      <w:r>
        <w:rPr>
          <w:spacing w:val="-2"/>
        </w:rPr>
        <w:t xml:space="preserve"> </w:t>
      </w:r>
      <w:r>
        <w:t>hicieron</w:t>
      </w:r>
      <w:r>
        <w:rPr>
          <w:spacing w:val="-2"/>
        </w:rPr>
        <w:t xml:space="preserve"> </w:t>
      </w:r>
      <w:r>
        <w:t>creer</w:t>
      </w:r>
      <w:r>
        <w:rPr>
          <w:spacing w:val="-2"/>
        </w:rPr>
        <w:t xml:space="preserve"> </w:t>
      </w:r>
      <w:r>
        <w:t>a</w:t>
      </w:r>
      <w:r>
        <w:rPr>
          <w:spacing w:val="-4"/>
        </w:rPr>
        <w:t xml:space="preserve"> </w:t>
      </w:r>
      <w:r>
        <w:t>las</w:t>
      </w:r>
      <w:r>
        <w:rPr>
          <w:spacing w:val="-2"/>
        </w:rPr>
        <w:t xml:space="preserve"> </w:t>
      </w:r>
      <w:r>
        <w:t>FARC-EP</w:t>
      </w:r>
      <w:r>
        <w:rPr>
          <w:spacing w:val="-2"/>
        </w:rPr>
        <w:t xml:space="preserve"> </w:t>
      </w:r>
      <w:r>
        <w:t>que estaban dadas las condiciones para crear un supuesto Estado dual en dichas zonas.</w:t>
      </w:r>
    </w:p>
    <w:p w:rsidR="003804AC" w:rsidRDefault="00AF18A5" w:rsidP="005D1898">
      <w:r>
        <w:t xml:space="preserve">En tal </w:t>
      </w:r>
      <w:r w:rsidRPr="005D1898">
        <w:t>sentido</w:t>
      </w:r>
      <w:r>
        <w:t>, en algunos municipios y departamentos, los gobernantes locales debían consultar o pedir permisos a las FARC-EP para desarrollar sus iniciativas, sin importar si eran o no partidarios u opositores de la guerrilla. Un exfuncionario, por ejemplo, explica cómo</w:t>
      </w:r>
      <w:r>
        <w:rPr>
          <w:spacing w:val="-15"/>
        </w:rPr>
        <w:t xml:space="preserve"> </w:t>
      </w:r>
      <w:r>
        <w:t>tuvo</w:t>
      </w:r>
      <w:r>
        <w:rPr>
          <w:spacing w:val="-15"/>
        </w:rPr>
        <w:t xml:space="preserve"> </w:t>
      </w:r>
      <w:r>
        <w:t>que</w:t>
      </w:r>
      <w:r>
        <w:rPr>
          <w:spacing w:val="-15"/>
        </w:rPr>
        <w:t xml:space="preserve"> </w:t>
      </w:r>
      <w:r>
        <w:t>reunirse</w:t>
      </w:r>
      <w:r>
        <w:rPr>
          <w:spacing w:val="-15"/>
        </w:rPr>
        <w:t xml:space="preserve"> </w:t>
      </w:r>
      <w:r>
        <w:t>con</w:t>
      </w:r>
      <w:r>
        <w:rPr>
          <w:spacing w:val="-15"/>
        </w:rPr>
        <w:t xml:space="preserve"> </w:t>
      </w:r>
      <w:r>
        <w:t>un</w:t>
      </w:r>
      <w:r>
        <w:rPr>
          <w:spacing w:val="-15"/>
        </w:rPr>
        <w:t xml:space="preserve"> </w:t>
      </w:r>
      <w:r>
        <w:t>comandante,</w:t>
      </w:r>
      <w:r>
        <w:rPr>
          <w:spacing w:val="-15"/>
        </w:rPr>
        <w:t xml:space="preserve"> </w:t>
      </w:r>
      <w:r>
        <w:t>a</w:t>
      </w:r>
      <w:r>
        <w:rPr>
          <w:spacing w:val="-15"/>
        </w:rPr>
        <w:t xml:space="preserve"> </w:t>
      </w:r>
      <w:r>
        <w:t>pesar</w:t>
      </w:r>
      <w:r>
        <w:rPr>
          <w:spacing w:val="-15"/>
        </w:rPr>
        <w:t xml:space="preserve"> </w:t>
      </w:r>
      <w:r>
        <w:t>de</w:t>
      </w:r>
      <w:r>
        <w:rPr>
          <w:spacing w:val="-15"/>
        </w:rPr>
        <w:t xml:space="preserve"> </w:t>
      </w:r>
      <w:r>
        <w:t>que</w:t>
      </w:r>
      <w:r>
        <w:rPr>
          <w:spacing w:val="-15"/>
        </w:rPr>
        <w:t xml:space="preserve"> </w:t>
      </w:r>
      <w:r>
        <w:t>era</w:t>
      </w:r>
      <w:r>
        <w:rPr>
          <w:spacing w:val="-15"/>
        </w:rPr>
        <w:t xml:space="preserve"> </w:t>
      </w:r>
      <w:r>
        <w:t>ilegal,</w:t>
      </w:r>
      <w:r>
        <w:rPr>
          <w:spacing w:val="-15"/>
        </w:rPr>
        <w:t xml:space="preserve"> </w:t>
      </w:r>
      <w:r>
        <w:t>para</w:t>
      </w:r>
      <w:r>
        <w:rPr>
          <w:spacing w:val="-15"/>
        </w:rPr>
        <w:t xml:space="preserve"> </w:t>
      </w:r>
      <w:r>
        <w:t>poder</w:t>
      </w:r>
      <w:r>
        <w:rPr>
          <w:spacing w:val="-15"/>
        </w:rPr>
        <w:t xml:space="preserve"> </w:t>
      </w:r>
      <w:r>
        <w:t>implementar una medida ambiental:</w:t>
      </w:r>
    </w:p>
    <w:p w:rsidR="003804AC" w:rsidRDefault="00AF18A5" w:rsidP="005D1898">
      <w:r>
        <w:t>«[Q]</w:t>
      </w:r>
      <w:proofErr w:type="spellStart"/>
      <w:r w:rsidRPr="005D1898">
        <w:t>ueríamos</w:t>
      </w:r>
      <w:proofErr w:type="spellEnd"/>
      <w:r>
        <w:rPr>
          <w:spacing w:val="-3"/>
        </w:rPr>
        <w:t xml:space="preserve"> </w:t>
      </w:r>
      <w:r>
        <w:t>implementar</w:t>
      </w:r>
      <w:r>
        <w:rPr>
          <w:spacing w:val="-3"/>
        </w:rPr>
        <w:t xml:space="preserve"> </w:t>
      </w:r>
      <w:r>
        <w:t>una</w:t>
      </w:r>
      <w:r>
        <w:rPr>
          <w:spacing w:val="-3"/>
        </w:rPr>
        <w:t xml:space="preserve"> </w:t>
      </w:r>
      <w:r>
        <w:t>medida</w:t>
      </w:r>
      <w:r>
        <w:rPr>
          <w:spacing w:val="-3"/>
        </w:rPr>
        <w:t xml:space="preserve"> </w:t>
      </w:r>
      <w:r>
        <w:t>de</w:t>
      </w:r>
      <w:r>
        <w:rPr>
          <w:spacing w:val="-3"/>
        </w:rPr>
        <w:t xml:space="preserve"> </w:t>
      </w:r>
      <w:r>
        <w:t>control</w:t>
      </w:r>
      <w:r>
        <w:rPr>
          <w:spacing w:val="-3"/>
        </w:rPr>
        <w:t xml:space="preserve"> </w:t>
      </w:r>
      <w:r>
        <w:t>de</w:t>
      </w:r>
      <w:r>
        <w:rPr>
          <w:spacing w:val="-3"/>
        </w:rPr>
        <w:t xml:space="preserve"> </w:t>
      </w:r>
      <w:r>
        <w:t>pesca</w:t>
      </w:r>
      <w:r>
        <w:rPr>
          <w:spacing w:val="-4"/>
        </w:rPr>
        <w:t xml:space="preserve"> </w:t>
      </w:r>
      <w:r>
        <w:t>en</w:t>
      </w:r>
      <w:r>
        <w:rPr>
          <w:spacing w:val="-3"/>
        </w:rPr>
        <w:t xml:space="preserve"> </w:t>
      </w:r>
      <w:r>
        <w:t>las</w:t>
      </w:r>
      <w:r>
        <w:rPr>
          <w:spacing w:val="-3"/>
        </w:rPr>
        <w:t xml:space="preserve"> </w:t>
      </w:r>
      <w:r>
        <w:t>ciénagas,</w:t>
      </w:r>
      <w:r>
        <w:rPr>
          <w:spacing w:val="-3"/>
        </w:rPr>
        <w:t xml:space="preserve"> </w:t>
      </w:r>
      <w:r>
        <w:t>para</w:t>
      </w:r>
      <w:r>
        <w:rPr>
          <w:spacing w:val="-3"/>
        </w:rPr>
        <w:t xml:space="preserve"> </w:t>
      </w:r>
      <w:r>
        <w:t>permitir la subienda, y alguno de los funcionarios me dijo: “No, director, hay que hablar con el comandante de las FARC allá, porque o si no nunca vamos a implementar esa medida”. Entonces, en esa época, me tocó ir hasta el río… en ese tiempo, lo que yo hice era ilegal, porque se supone que un funcionario no debería hacer ese tipo de cosas, pero les digo que era la mentira más grande, porque en esas zonas, para poder ejercer algún tipo de función pública, usted tenía que entrar en ese tipo de diálogos con actores armados»</w:t>
      </w:r>
      <w:r w:rsidR="005D1898">
        <w:rPr>
          <w:rStyle w:val="Refdenotaalpie"/>
        </w:rPr>
        <w:footnoteReference w:id="298"/>
      </w:r>
      <w:r>
        <w:t>.</w:t>
      </w:r>
    </w:p>
    <w:p w:rsidR="003804AC" w:rsidRDefault="00AF18A5" w:rsidP="005D1898">
      <w:r>
        <w:t>En</w:t>
      </w:r>
      <w:r>
        <w:rPr>
          <w:spacing w:val="-7"/>
        </w:rPr>
        <w:t xml:space="preserve"> </w:t>
      </w:r>
      <w:r>
        <w:t>las</w:t>
      </w:r>
      <w:r>
        <w:rPr>
          <w:spacing w:val="-7"/>
        </w:rPr>
        <w:t xml:space="preserve"> </w:t>
      </w:r>
      <w:r w:rsidRPr="005D1898">
        <w:t>regiones</w:t>
      </w:r>
      <w:r>
        <w:rPr>
          <w:spacing w:val="-7"/>
        </w:rPr>
        <w:t xml:space="preserve"> </w:t>
      </w:r>
      <w:r>
        <w:t>donde</w:t>
      </w:r>
      <w:r>
        <w:rPr>
          <w:spacing w:val="-7"/>
        </w:rPr>
        <w:t xml:space="preserve"> </w:t>
      </w:r>
      <w:r>
        <w:t>hacían</w:t>
      </w:r>
      <w:r>
        <w:rPr>
          <w:spacing w:val="-7"/>
        </w:rPr>
        <w:t xml:space="preserve"> </w:t>
      </w:r>
      <w:r>
        <w:t>presencia,</w:t>
      </w:r>
      <w:r>
        <w:rPr>
          <w:spacing w:val="-8"/>
        </w:rPr>
        <w:t xml:space="preserve"> </w:t>
      </w:r>
      <w:r>
        <w:t>las</w:t>
      </w:r>
      <w:r>
        <w:rPr>
          <w:spacing w:val="-7"/>
        </w:rPr>
        <w:t xml:space="preserve"> </w:t>
      </w:r>
      <w:r>
        <w:t>FARC-EP</w:t>
      </w:r>
      <w:r>
        <w:rPr>
          <w:spacing w:val="-8"/>
        </w:rPr>
        <w:t xml:space="preserve"> </w:t>
      </w:r>
      <w:r>
        <w:t>trataron</w:t>
      </w:r>
      <w:r>
        <w:rPr>
          <w:spacing w:val="-7"/>
        </w:rPr>
        <w:t xml:space="preserve"> </w:t>
      </w:r>
      <w:r>
        <w:t>de</w:t>
      </w:r>
      <w:r>
        <w:rPr>
          <w:spacing w:val="-7"/>
        </w:rPr>
        <w:t xml:space="preserve"> </w:t>
      </w:r>
      <w:r>
        <w:t>controlar</w:t>
      </w:r>
      <w:r>
        <w:rPr>
          <w:spacing w:val="-7"/>
        </w:rPr>
        <w:t xml:space="preserve"> </w:t>
      </w:r>
      <w:r>
        <w:t>la</w:t>
      </w:r>
      <w:r>
        <w:rPr>
          <w:spacing w:val="-7"/>
        </w:rPr>
        <w:t xml:space="preserve"> </w:t>
      </w:r>
      <w:r>
        <w:t>figura</w:t>
      </w:r>
      <w:r>
        <w:rPr>
          <w:spacing w:val="-7"/>
        </w:rPr>
        <w:t xml:space="preserve"> </w:t>
      </w:r>
      <w:r>
        <w:t>legal de</w:t>
      </w:r>
      <w:r>
        <w:rPr>
          <w:spacing w:val="11"/>
        </w:rPr>
        <w:t xml:space="preserve"> </w:t>
      </w:r>
      <w:r>
        <w:t>participación</w:t>
      </w:r>
      <w:r>
        <w:rPr>
          <w:spacing w:val="12"/>
        </w:rPr>
        <w:t xml:space="preserve"> </w:t>
      </w:r>
      <w:r>
        <w:t>comunitaria</w:t>
      </w:r>
      <w:r>
        <w:rPr>
          <w:spacing w:val="12"/>
        </w:rPr>
        <w:t xml:space="preserve"> </w:t>
      </w:r>
      <w:r>
        <w:t>de</w:t>
      </w:r>
      <w:r>
        <w:rPr>
          <w:spacing w:val="11"/>
        </w:rPr>
        <w:t xml:space="preserve"> </w:t>
      </w:r>
      <w:r>
        <w:t>las</w:t>
      </w:r>
      <w:r>
        <w:rPr>
          <w:spacing w:val="11"/>
        </w:rPr>
        <w:t xml:space="preserve"> </w:t>
      </w:r>
      <w:r>
        <w:t>juntas</w:t>
      </w:r>
      <w:r>
        <w:rPr>
          <w:spacing w:val="11"/>
        </w:rPr>
        <w:t xml:space="preserve"> </w:t>
      </w:r>
      <w:r>
        <w:t>de</w:t>
      </w:r>
      <w:r>
        <w:rPr>
          <w:spacing w:val="12"/>
        </w:rPr>
        <w:t xml:space="preserve"> </w:t>
      </w:r>
      <w:r>
        <w:t>acción</w:t>
      </w:r>
      <w:r>
        <w:rPr>
          <w:spacing w:val="12"/>
        </w:rPr>
        <w:t xml:space="preserve"> </w:t>
      </w:r>
      <w:r>
        <w:t>comunal</w:t>
      </w:r>
      <w:r>
        <w:rPr>
          <w:spacing w:val="11"/>
        </w:rPr>
        <w:t xml:space="preserve"> </w:t>
      </w:r>
      <w:r>
        <w:t>(JAC)</w:t>
      </w:r>
      <w:r w:rsidR="005D1898">
        <w:rPr>
          <w:rStyle w:val="Refdenotaalpie"/>
        </w:rPr>
        <w:footnoteReference w:id="299"/>
      </w:r>
      <w:r>
        <w:t>,</w:t>
      </w:r>
      <w:r>
        <w:rPr>
          <w:spacing w:val="12"/>
        </w:rPr>
        <w:t xml:space="preserve"> </w:t>
      </w:r>
      <w:r>
        <w:t>en</w:t>
      </w:r>
      <w:r>
        <w:rPr>
          <w:spacing w:val="11"/>
        </w:rPr>
        <w:t xml:space="preserve"> </w:t>
      </w:r>
      <w:r>
        <w:t>desarrollo</w:t>
      </w:r>
      <w:r>
        <w:rPr>
          <w:spacing w:val="11"/>
        </w:rPr>
        <w:t xml:space="preserve"> </w:t>
      </w:r>
      <w:r>
        <w:t>de</w:t>
      </w:r>
      <w:r>
        <w:rPr>
          <w:spacing w:val="10"/>
        </w:rPr>
        <w:t xml:space="preserve"> </w:t>
      </w:r>
      <w:r>
        <w:rPr>
          <w:spacing w:val="-5"/>
        </w:rPr>
        <w:t>su</w:t>
      </w:r>
      <w:bookmarkStart w:id="431" w:name="_bookmark340"/>
      <w:bookmarkStart w:id="432" w:name="_bookmark341"/>
      <w:bookmarkEnd w:id="431"/>
      <w:bookmarkEnd w:id="432"/>
      <w:r w:rsidR="005D1898">
        <w:rPr>
          <w:spacing w:val="-5"/>
        </w:rPr>
        <w:t xml:space="preserve"> </w:t>
      </w:r>
      <w:r>
        <w:t xml:space="preserve">política de organización de </w:t>
      </w:r>
      <w:r>
        <w:lastRenderedPageBreak/>
        <w:t>masas. Los excomandantes del Secretariado indicaron en entrevista colectiva que utilizaban la figura de las JAC para impulsar el trabajo de construcción de carreteras, escuelas, centros de salud, entre otros:</w:t>
      </w:r>
    </w:p>
    <w:p w:rsidR="003804AC" w:rsidRDefault="00AF18A5" w:rsidP="005D1898">
      <w:r>
        <w:t>«Las FARC éramos una guerrilla muy institucionalista, porque donde llegábamos lo primero que</w:t>
      </w:r>
      <w:r>
        <w:rPr>
          <w:spacing w:val="-1"/>
        </w:rPr>
        <w:t xml:space="preserve"> </w:t>
      </w:r>
      <w:r>
        <w:t>hacíamos era constituir</w:t>
      </w:r>
      <w:r>
        <w:rPr>
          <w:spacing w:val="-1"/>
        </w:rPr>
        <w:t xml:space="preserve"> </w:t>
      </w:r>
      <w:r>
        <w:t>una junta de</w:t>
      </w:r>
      <w:r>
        <w:rPr>
          <w:spacing w:val="-1"/>
        </w:rPr>
        <w:t xml:space="preserve"> </w:t>
      </w:r>
      <w:r>
        <w:t>acción comunal, porque</w:t>
      </w:r>
      <w:r>
        <w:rPr>
          <w:spacing w:val="-1"/>
        </w:rPr>
        <w:t xml:space="preserve"> </w:t>
      </w:r>
      <w:r>
        <w:t>¿cómo se hacía el camino?, ¿cómo se hacía la escuela?, ¿cómo se construía el centro de salud?, ¿cómo se construían después las carreteras?, todas las carreteras de Colombia han sido construidas en la ilegalidad, investiguen eso, todas... las inversiones... no hay ninguna inversión que diga para carretera, dice para mejoramiento de camino, y eso todavía, porque la mayoría de los territorios están ley segunda, o sea no pueden… [...] ni la autoridad ambiental lo deja hacer o cae en un problema legal»</w:t>
      </w:r>
      <w:r w:rsidR="005D1898">
        <w:rPr>
          <w:rStyle w:val="Refdenotaalpie"/>
        </w:rPr>
        <w:footnoteReference w:id="300"/>
      </w:r>
      <w:r>
        <w:t>.</w:t>
      </w:r>
    </w:p>
    <w:p w:rsidR="003804AC" w:rsidRDefault="00AF18A5" w:rsidP="005D1898">
      <w:r>
        <w:t>Además,</w:t>
      </w:r>
      <w:r>
        <w:rPr>
          <w:spacing w:val="-9"/>
        </w:rPr>
        <w:t xml:space="preserve"> </w:t>
      </w:r>
      <w:r>
        <w:t>las</w:t>
      </w:r>
      <w:r>
        <w:rPr>
          <w:spacing w:val="-9"/>
        </w:rPr>
        <w:t xml:space="preserve"> </w:t>
      </w:r>
      <w:r>
        <w:t>FARC-EP</w:t>
      </w:r>
      <w:r>
        <w:rPr>
          <w:spacing w:val="-9"/>
        </w:rPr>
        <w:t xml:space="preserve"> </w:t>
      </w:r>
      <w:r>
        <w:t>también</w:t>
      </w:r>
      <w:r>
        <w:rPr>
          <w:spacing w:val="-9"/>
        </w:rPr>
        <w:t xml:space="preserve"> </w:t>
      </w:r>
      <w:r w:rsidRPr="005D1898">
        <w:t>recurrieron</w:t>
      </w:r>
      <w:r>
        <w:rPr>
          <w:spacing w:val="-9"/>
        </w:rPr>
        <w:t xml:space="preserve"> </w:t>
      </w:r>
      <w:r>
        <w:t>a</w:t>
      </w:r>
      <w:r>
        <w:rPr>
          <w:spacing w:val="-9"/>
        </w:rPr>
        <w:t xml:space="preserve"> </w:t>
      </w:r>
      <w:r>
        <w:t>la</w:t>
      </w:r>
      <w:r>
        <w:rPr>
          <w:spacing w:val="-9"/>
        </w:rPr>
        <w:t xml:space="preserve"> </w:t>
      </w:r>
      <w:r>
        <w:t>influencia</w:t>
      </w:r>
      <w:r>
        <w:rPr>
          <w:spacing w:val="-9"/>
        </w:rPr>
        <w:t xml:space="preserve"> </w:t>
      </w:r>
      <w:r>
        <w:t>interna</w:t>
      </w:r>
      <w:r>
        <w:rPr>
          <w:spacing w:val="-8"/>
        </w:rPr>
        <w:t xml:space="preserve"> </w:t>
      </w:r>
      <w:r>
        <w:t>dentro</w:t>
      </w:r>
      <w:r>
        <w:rPr>
          <w:spacing w:val="-8"/>
        </w:rPr>
        <w:t xml:space="preserve"> </w:t>
      </w:r>
      <w:r>
        <w:t>de</w:t>
      </w:r>
      <w:r>
        <w:rPr>
          <w:spacing w:val="-9"/>
        </w:rPr>
        <w:t xml:space="preserve"> </w:t>
      </w:r>
      <w:r>
        <w:t>la</w:t>
      </w:r>
      <w:r>
        <w:rPr>
          <w:spacing w:val="-9"/>
        </w:rPr>
        <w:t xml:space="preserve"> </w:t>
      </w:r>
      <w:r>
        <w:t>gestión</w:t>
      </w:r>
      <w:r>
        <w:rPr>
          <w:spacing w:val="-8"/>
        </w:rPr>
        <w:t xml:space="preserve"> </w:t>
      </w:r>
      <w:r>
        <w:t>del poder local como una vía para la consecución de recursos que pudieran financiar la lucha política que realizaban en los municipios. En un ambiente de constreñimientos crecientes, algunos</w:t>
      </w:r>
      <w:r>
        <w:rPr>
          <w:spacing w:val="-15"/>
        </w:rPr>
        <w:t xml:space="preserve"> </w:t>
      </w:r>
      <w:r>
        <w:t>funcionarios</w:t>
      </w:r>
      <w:r>
        <w:rPr>
          <w:spacing w:val="-15"/>
        </w:rPr>
        <w:t xml:space="preserve"> </w:t>
      </w:r>
      <w:r>
        <w:t>dentro</w:t>
      </w:r>
      <w:r>
        <w:rPr>
          <w:spacing w:val="-15"/>
        </w:rPr>
        <w:t xml:space="preserve"> </w:t>
      </w:r>
      <w:r>
        <w:t>de</w:t>
      </w:r>
      <w:r>
        <w:rPr>
          <w:spacing w:val="-15"/>
        </w:rPr>
        <w:t xml:space="preserve"> </w:t>
      </w:r>
      <w:r>
        <w:t>administraciones</w:t>
      </w:r>
      <w:r>
        <w:rPr>
          <w:spacing w:val="-15"/>
        </w:rPr>
        <w:t xml:space="preserve"> </w:t>
      </w:r>
      <w:r>
        <w:t>locales</w:t>
      </w:r>
      <w:r>
        <w:rPr>
          <w:spacing w:val="-15"/>
        </w:rPr>
        <w:t xml:space="preserve"> </w:t>
      </w:r>
      <w:r>
        <w:t>terminaron</w:t>
      </w:r>
      <w:r>
        <w:rPr>
          <w:spacing w:val="-15"/>
        </w:rPr>
        <w:t xml:space="preserve"> </w:t>
      </w:r>
      <w:r>
        <w:t>influyendo</w:t>
      </w:r>
      <w:r>
        <w:rPr>
          <w:spacing w:val="-15"/>
        </w:rPr>
        <w:t xml:space="preserve"> </w:t>
      </w:r>
      <w:r>
        <w:t>en</w:t>
      </w:r>
      <w:r>
        <w:rPr>
          <w:spacing w:val="-15"/>
        </w:rPr>
        <w:t xml:space="preserve"> </w:t>
      </w:r>
      <w:r>
        <w:t>decisiones municipales y manejo de recursos para el financiamiento de la guerrilla. Sin embargo, muchos de esos dineros no llegaron completos a las FARC-EP por desvío de los mismos funcionarios</w:t>
      </w:r>
      <w:r>
        <w:rPr>
          <w:spacing w:val="-2"/>
        </w:rPr>
        <w:t xml:space="preserve"> </w:t>
      </w:r>
      <w:r>
        <w:t>que</w:t>
      </w:r>
      <w:r>
        <w:rPr>
          <w:spacing w:val="-1"/>
        </w:rPr>
        <w:t xml:space="preserve"> </w:t>
      </w:r>
      <w:r>
        <w:t>tenían</w:t>
      </w:r>
      <w:r>
        <w:rPr>
          <w:spacing w:val="-1"/>
        </w:rPr>
        <w:t xml:space="preserve"> </w:t>
      </w:r>
      <w:r>
        <w:t>a</w:t>
      </w:r>
      <w:r>
        <w:rPr>
          <w:spacing w:val="-2"/>
        </w:rPr>
        <w:t xml:space="preserve"> </w:t>
      </w:r>
      <w:r>
        <w:t>su</w:t>
      </w:r>
      <w:r>
        <w:rPr>
          <w:spacing w:val="-1"/>
        </w:rPr>
        <w:t xml:space="preserve"> </w:t>
      </w:r>
      <w:r>
        <w:t>favor</w:t>
      </w:r>
      <w:r w:rsidR="00C54D80">
        <w:rPr>
          <w:rStyle w:val="Refdenotaalpie"/>
        </w:rPr>
        <w:footnoteReference w:id="301"/>
      </w:r>
      <w:r>
        <w:t>.</w:t>
      </w:r>
      <w:r>
        <w:rPr>
          <w:spacing w:val="-1"/>
        </w:rPr>
        <w:t xml:space="preserve"> </w:t>
      </w:r>
      <w:r>
        <w:t>En</w:t>
      </w:r>
      <w:r>
        <w:rPr>
          <w:spacing w:val="-1"/>
        </w:rPr>
        <w:t xml:space="preserve"> </w:t>
      </w:r>
      <w:r>
        <w:t>medio</w:t>
      </w:r>
      <w:r>
        <w:rPr>
          <w:spacing w:val="-1"/>
        </w:rPr>
        <w:t xml:space="preserve"> </w:t>
      </w:r>
      <w:r>
        <w:t>de</w:t>
      </w:r>
      <w:r>
        <w:rPr>
          <w:spacing w:val="-2"/>
        </w:rPr>
        <w:t xml:space="preserve"> </w:t>
      </w:r>
      <w:r>
        <w:t>esas</w:t>
      </w:r>
      <w:r>
        <w:rPr>
          <w:spacing w:val="-1"/>
        </w:rPr>
        <w:t xml:space="preserve"> </w:t>
      </w:r>
      <w:r>
        <w:t>transformaciones</w:t>
      </w:r>
      <w:r>
        <w:rPr>
          <w:spacing w:val="-1"/>
        </w:rPr>
        <w:t xml:space="preserve"> </w:t>
      </w:r>
      <w:r>
        <w:t>y</w:t>
      </w:r>
      <w:r>
        <w:rPr>
          <w:spacing w:val="-1"/>
        </w:rPr>
        <w:t xml:space="preserve"> </w:t>
      </w:r>
      <w:r>
        <w:t xml:space="preserve">contradicciones, las </w:t>
      </w:r>
      <w:r>
        <w:lastRenderedPageBreak/>
        <w:t>relaciones de las FARC-EP con la población civil se fueron deteriorando, mientras el recrudecimiento del conflicto y las afectaciones a la población civil iban en aumento.</w:t>
      </w:r>
    </w:p>
    <w:p w:rsidR="003804AC" w:rsidRDefault="00AF18A5" w:rsidP="00C54D80">
      <w:r>
        <w:t>La Comisión ha constatado en su trabajo que la presión ejercida sobre las autoridades locales,</w:t>
      </w:r>
      <w:r>
        <w:rPr>
          <w:spacing w:val="-6"/>
        </w:rPr>
        <w:t xml:space="preserve"> </w:t>
      </w:r>
      <w:r>
        <w:t>especialmente</w:t>
      </w:r>
      <w:r>
        <w:rPr>
          <w:spacing w:val="-5"/>
        </w:rPr>
        <w:t xml:space="preserve"> </w:t>
      </w:r>
      <w:r>
        <w:t>alcaldes</w:t>
      </w:r>
      <w:r>
        <w:rPr>
          <w:spacing w:val="-7"/>
        </w:rPr>
        <w:t xml:space="preserve"> </w:t>
      </w:r>
      <w:r>
        <w:t>y</w:t>
      </w:r>
      <w:r>
        <w:rPr>
          <w:spacing w:val="-5"/>
        </w:rPr>
        <w:t xml:space="preserve"> </w:t>
      </w:r>
      <w:r>
        <w:t>concejales,</w:t>
      </w:r>
      <w:r>
        <w:rPr>
          <w:spacing w:val="-6"/>
        </w:rPr>
        <w:t xml:space="preserve"> </w:t>
      </w:r>
      <w:r>
        <w:t>impidió</w:t>
      </w:r>
      <w:r>
        <w:rPr>
          <w:spacing w:val="-6"/>
        </w:rPr>
        <w:t xml:space="preserve"> </w:t>
      </w:r>
      <w:r>
        <w:t>el</w:t>
      </w:r>
      <w:r>
        <w:rPr>
          <w:spacing w:val="-4"/>
        </w:rPr>
        <w:t xml:space="preserve"> </w:t>
      </w:r>
      <w:r>
        <w:t>ejercicio</w:t>
      </w:r>
      <w:r>
        <w:rPr>
          <w:spacing w:val="-5"/>
        </w:rPr>
        <w:t xml:space="preserve"> </w:t>
      </w:r>
      <w:r>
        <w:t>de</w:t>
      </w:r>
      <w:r>
        <w:rPr>
          <w:spacing w:val="-7"/>
        </w:rPr>
        <w:t xml:space="preserve"> </w:t>
      </w:r>
      <w:r>
        <w:t>las</w:t>
      </w:r>
      <w:r>
        <w:rPr>
          <w:spacing w:val="-5"/>
        </w:rPr>
        <w:t xml:space="preserve"> </w:t>
      </w:r>
      <w:r>
        <w:t>responsabilidades</w:t>
      </w:r>
      <w:r>
        <w:rPr>
          <w:spacing w:val="-5"/>
        </w:rPr>
        <w:t xml:space="preserve"> de</w:t>
      </w:r>
      <w:bookmarkStart w:id="433" w:name="_bookmark342"/>
      <w:bookmarkStart w:id="434" w:name="_bookmark343"/>
      <w:bookmarkEnd w:id="433"/>
      <w:bookmarkEnd w:id="434"/>
      <w:r w:rsidR="00C54D80">
        <w:t xml:space="preserve"> </w:t>
      </w:r>
      <w:r>
        <w:t>estos funcionarios, que se vieron obligados a alejarse de sus cargos debido a amenazas colectivas. Uno de los testimonios de concejales que vivieron esta situación explica cómo funcionaba este rol coercitivo de la guerrilla en Vistahermosa, Meta:</w:t>
      </w:r>
    </w:p>
    <w:p w:rsidR="003804AC" w:rsidRDefault="00AF18A5" w:rsidP="00C54D80">
      <w:r>
        <w:t xml:space="preserve">«[En] la época de </w:t>
      </w:r>
      <w:r w:rsidRPr="00C54D80">
        <w:t>concejal</w:t>
      </w:r>
      <w:r>
        <w:t xml:space="preserve"> sí fuimos amenazados, pero eso fue colectivo, eso fue todo el Concejo Municipal y la alcaldesa de entonces, teníamos una mujer de alcalde y fue una amenaza</w:t>
      </w:r>
      <w:r>
        <w:rPr>
          <w:spacing w:val="-1"/>
        </w:rPr>
        <w:t xml:space="preserve"> </w:t>
      </w:r>
      <w:r>
        <w:t>generalizada</w:t>
      </w:r>
      <w:r>
        <w:rPr>
          <w:spacing w:val="-2"/>
        </w:rPr>
        <w:t xml:space="preserve"> </w:t>
      </w:r>
      <w:r>
        <w:t>para</w:t>
      </w:r>
      <w:r>
        <w:rPr>
          <w:spacing w:val="-2"/>
        </w:rPr>
        <w:t xml:space="preserve"> </w:t>
      </w:r>
      <w:r>
        <w:t>todos…</w:t>
      </w:r>
      <w:r>
        <w:rPr>
          <w:spacing w:val="-3"/>
        </w:rPr>
        <w:t xml:space="preserve"> </w:t>
      </w:r>
      <w:r>
        <w:t>De</w:t>
      </w:r>
      <w:r>
        <w:rPr>
          <w:spacing w:val="-1"/>
        </w:rPr>
        <w:t xml:space="preserve"> </w:t>
      </w:r>
      <w:r>
        <w:t>parte</w:t>
      </w:r>
      <w:r>
        <w:rPr>
          <w:spacing w:val="-2"/>
        </w:rPr>
        <w:t xml:space="preserve"> </w:t>
      </w:r>
      <w:r>
        <w:t>de</w:t>
      </w:r>
      <w:r>
        <w:rPr>
          <w:spacing w:val="-2"/>
        </w:rPr>
        <w:t xml:space="preserve"> </w:t>
      </w:r>
      <w:r>
        <w:t>las</w:t>
      </w:r>
      <w:r>
        <w:rPr>
          <w:spacing w:val="-1"/>
        </w:rPr>
        <w:t xml:space="preserve"> </w:t>
      </w:r>
      <w:r>
        <w:t>FARC…</w:t>
      </w:r>
      <w:r>
        <w:rPr>
          <w:spacing w:val="-1"/>
        </w:rPr>
        <w:t xml:space="preserve"> </w:t>
      </w:r>
      <w:r>
        <w:t>Eso</w:t>
      </w:r>
      <w:r>
        <w:rPr>
          <w:spacing w:val="-1"/>
        </w:rPr>
        <w:t xml:space="preserve"> </w:t>
      </w:r>
      <w:r>
        <w:t>fue</w:t>
      </w:r>
      <w:r>
        <w:rPr>
          <w:spacing w:val="-2"/>
        </w:rPr>
        <w:t xml:space="preserve"> </w:t>
      </w:r>
      <w:r>
        <w:t>en</w:t>
      </w:r>
      <w:r>
        <w:rPr>
          <w:spacing w:val="-2"/>
        </w:rPr>
        <w:t xml:space="preserve"> </w:t>
      </w:r>
      <w:r>
        <w:t>el</w:t>
      </w:r>
      <w:r>
        <w:rPr>
          <w:spacing w:val="-1"/>
        </w:rPr>
        <w:t xml:space="preserve"> </w:t>
      </w:r>
      <w:r>
        <w:t>año</w:t>
      </w:r>
      <w:r>
        <w:rPr>
          <w:spacing w:val="-1"/>
        </w:rPr>
        <w:t xml:space="preserve"> </w:t>
      </w:r>
      <w:r>
        <w:t>98…</w:t>
      </w:r>
      <w:r>
        <w:rPr>
          <w:spacing w:val="-4"/>
        </w:rPr>
        <w:t xml:space="preserve"> </w:t>
      </w:r>
      <w:r>
        <w:t>pues</w:t>
      </w:r>
      <w:r>
        <w:rPr>
          <w:spacing w:val="-1"/>
        </w:rPr>
        <w:t xml:space="preserve"> </w:t>
      </w:r>
      <w:r>
        <w:t>lo primero que recibimos fue un escrito, un pasquín que llegó al Concejo Municipal y a la Alcaldía, en donde nos declaraban objetivo militar si seguíamos haciendo la labor correspondiente,</w:t>
      </w:r>
      <w:r>
        <w:rPr>
          <w:spacing w:val="-3"/>
        </w:rPr>
        <w:t xml:space="preserve"> </w:t>
      </w:r>
      <w:r>
        <w:t>o</w:t>
      </w:r>
      <w:r>
        <w:rPr>
          <w:spacing w:val="-5"/>
        </w:rPr>
        <w:t xml:space="preserve"> </w:t>
      </w:r>
      <w:r>
        <w:t>sea,</w:t>
      </w:r>
      <w:r>
        <w:rPr>
          <w:spacing w:val="-5"/>
        </w:rPr>
        <w:t xml:space="preserve"> </w:t>
      </w:r>
      <w:r>
        <w:t>la</w:t>
      </w:r>
      <w:r>
        <w:rPr>
          <w:spacing w:val="-3"/>
        </w:rPr>
        <w:t xml:space="preserve"> </w:t>
      </w:r>
      <w:r>
        <w:t>alcaldesa</w:t>
      </w:r>
      <w:r>
        <w:rPr>
          <w:spacing w:val="-3"/>
        </w:rPr>
        <w:t xml:space="preserve"> </w:t>
      </w:r>
      <w:r>
        <w:t>como</w:t>
      </w:r>
      <w:r>
        <w:rPr>
          <w:spacing w:val="-3"/>
        </w:rPr>
        <w:t xml:space="preserve"> </w:t>
      </w:r>
      <w:r>
        <w:t>jefe</w:t>
      </w:r>
      <w:r>
        <w:rPr>
          <w:spacing w:val="-3"/>
        </w:rPr>
        <w:t xml:space="preserve"> </w:t>
      </w:r>
      <w:r>
        <w:t>de</w:t>
      </w:r>
      <w:r>
        <w:rPr>
          <w:spacing w:val="-4"/>
        </w:rPr>
        <w:t xml:space="preserve"> </w:t>
      </w:r>
      <w:r>
        <w:t>la</w:t>
      </w:r>
      <w:r>
        <w:rPr>
          <w:spacing w:val="-3"/>
        </w:rPr>
        <w:t xml:space="preserve"> </w:t>
      </w:r>
      <w:r>
        <w:t>administración</w:t>
      </w:r>
      <w:r>
        <w:rPr>
          <w:spacing w:val="-3"/>
        </w:rPr>
        <w:t xml:space="preserve"> </w:t>
      </w:r>
      <w:r>
        <w:t>y</w:t>
      </w:r>
      <w:r>
        <w:rPr>
          <w:spacing w:val="-5"/>
        </w:rPr>
        <w:t xml:space="preserve"> </w:t>
      </w:r>
      <w:r>
        <w:t>nosotros</w:t>
      </w:r>
      <w:r>
        <w:rPr>
          <w:spacing w:val="-5"/>
        </w:rPr>
        <w:t xml:space="preserve"> </w:t>
      </w:r>
      <w:r>
        <w:t>como</w:t>
      </w:r>
      <w:r>
        <w:rPr>
          <w:spacing w:val="-5"/>
        </w:rPr>
        <w:t xml:space="preserve"> </w:t>
      </w:r>
      <w:r>
        <w:t>concejo municipal</w:t>
      </w:r>
      <w:r>
        <w:rPr>
          <w:spacing w:val="-6"/>
        </w:rPr>
        <w:t xml:space="preserve"> </w:t>
      </w:r>
      <w:r>
        <w:t>quedábamos.</w:t>
      </w:r>
      <w:r>
        <w:rPr>
          <w:spacing w:val="-7"/>
        </w:rPr>
        <w:t xml:space="preserve"> </w:t>
      </w:r>
      <w:r>
        <w:t>Y,</w:t>
      </w:r>
      <w:r>
        <w:rPr>
          <w:spacing w:val="-6"/>
        </w:rPr>
        <w:t xml:space="preserve"> </w:t>
      </w:r>
      <w:r>
        <w:t>posteriormente,</w:t>
      </w:r>
      <w:r>
        <w:rPr>
          <w:spacing w:val="-6"/>
        </w:rPr>
        <w:t xml:space="preserve"> </w:t>
      </w:r>
      <w:r>
        <w:t>hubo</w:t>
      </w:r>
      <w:r>
        <w:rPr>
          <w:spacing w:val="-7"/>
        </w:rPr>
        <w:t xml:space="preserve"> </w:t>
      </w:r>
      <w:r>
        <w:t>varias</w:t>
      </w:r>
      <w:r>
        <w:rPr>
          <w:spacing w:val="-6"/>
        </w:rPr>
        <w:t xml:space="preserve"> </w:t>
      </w:r>
      <w:r>
        <w:t>amenazas</w:t>
      </w:r>
      <w:r>
        <w:rPr>
          <w:spacing w:val="-6"/>
        </w:rPr>
        <w:t xml:space="preserve"> </w:t>
      </w:r>
      <w:r>
        <w:t>de</w:t>
      </w:r>
      <w:r>
        <w:rPr>
          <w:spacing w:val="-6"/>
        </w:rPr>
        <w:t xml:space="preserve"> </w:t>
      </w:r>
      <w:r>
        <w:t>tipo</w:t>
      </w:r>
      <w:r>
        <w:rPr>
          <w:spacing w:val="-7"/>
        </w:rPr>
        <w:t xml:space="preserve"> </w:t>
      </w:r>
      <w:r>
        <w:t>personal;</w:t>
      </w:r>
      <w:r>
        <w:rPr>
          <w:spacing w:val="-6"/>
        </w:rPr>
        <w:t xml:space="preserve"> </w:t>
      </w:r>
      <w:r>
        <w:t>a</w:t>
      </w:r>
      <w:r>
        <w:rPr>
          <w:spacing w:val="-7"/>
        </w:rPr>
        <w:t xml:space="preserve"> </w:t>
      </w:r>
      <w:r>
        <w:t>mí,</w:t>
      </w:r>
      <w:r>
        <w:rPr>
          <w:spacing w:val="-6"/>
        </w:rPr>
        <w:t xml:space="preserve"> </w:t>
      </w:r>
      <w:r>
        <w:t>por ejemplo,</w:t>
      </w:r>
      <w:r>
        <w:rPr>
          <w:spacing w:val="-5"/>
        </w:rPr>
        <w:t xml:space="preserve"> </w:t>
      </w:r>
      <w:r>
        <w:t>en</w:t>
      </w:r>
      <w:r>
        <w:rPr>
          <w:spacing w:val="-6"/>
        </w:rPr>
        <w:t xml:space="preserve"> </w:t>
      </w:r>
      <w:r>
        <w:t>esa</w:t>
      </w:r>
      <w:r>
        <w:rPr>
          <w:spacing w:val="-5"/>
        </w:rPr>
        <w:t xml:space="preserve"> </w:t>
      </w:r>
      <w:r>
        <w:t>época</w:t>
      </w:r>
      <w:r>
        <w:rPr>
          <w:spacing w:val="-6"/>
        </w:rPr>
        <w:t xml:space="preserve"> </w:t>
      </w:r>
      <w:r>
        <w:t>estaba</w:t>
      </w:r>
      <w:r>
        <w:rPr>
          <w:spacing w:val="-5"/>
        </w:rPr>
        <w:t xml:space="preserve"> </w:t>
      </w:r>
      <w:r>
        <w:t>el</w:t>
      </w:r>
      <w:r>
        <w:rPr>
          <w:spacing w:val="-4"/>
        </w:rPr>
        <w:t xml:space="preserve"> </w:t>
      </w:r>
      <w:r>
        <w:t>comandante</w:t>
      </w:r>
      <w:r>
        <w:rPr>
          <w:spacing w:val="-5"/>
        </w:rPr>
        <w:t xml:space="preserve"> </w:t>
      </w:r>
      <w:proofErr w:type="spellStart"/>
      <w:r>
        <w:t>Efred</w:t>
      </w:r>
      <w:proofErr w:type="spellEnd"/>
      <w:r>
        <w:t>,</w:t>
      </w:r>
      <w:r>
        <w:rPr>
          <w:spacing w:val="-5"/>
        </w:rPr>
        <w:t xml:space="preserve"> </w:t>
      </w:r>
      <w:r>
        <w:t>allá</w:t>
      </w:r>
      <w:r>
        <w:rPr>
          <w:spacing w:val="-6"/>
        </w:rPr>
        <w:t xml:space="preserve"> </w:t>
      </w:r>
      <w:r>
        <w:t>en</w:t>
      </w:r>
      <w:r>
        <w:rPr>
          <w:spacing w:val="-5"/>
        </w:rPr>
        <w:t xml:space="preserve"> </w:t>
      </w:r>
      <w:r>
        <w:t>el</w:t>
      </w:r>
      <w:r>
        <w:rPr>
          <w:spacing w:val="-6"/>
        </w:rPr>
        <w:t xml:space="preserve"> </w:t>
      </w:r>
      <w:r>
        <w:t>27</w:t>
      </w:r>
      <w:r>
        <w:rPr>
          <w:spacing w:val="-5"/>
        </w:rPr>
        <w:t xml:space="preserve"> </w:t>
      </w:r>
      <w:r>
        <w:t>Frente,</w:t>
      </w:r>
      <w:r>
        <w:rPr>
          <w:spacing w:val="-6"/>
        </w:rPr>
        <w:t xml:space="preserve"> </w:t>
      </w:r>
      <w:r>
        <w:t>él</w:t>
      </w:r>
      <w:r>
        <w:rPr>
          <w:spacing w:val="-6"/>
        </w:rPr>
        <w:t xml:space="preserve"> </w:t>
      </w:r>
      <w:r>
        <w:t>personalmente</w:t>
      </w:r>
      <w:r>
        <w:rPr>
          <w:spacing w:val="-5"/>
        </w:rPr>
        <w:t xml:space="preserve"> </w:t>
      </w:r>
      <w:r>
        <w:t>me amenazó,</w:t>
      </w:r>
      <w:r>
        <w:rPr>
          <w:spacing w:val="-10"/>
        </w:rPr>
        <w:t xml:space="preserve"> </w:t>
      </w:r>
      <w:r>
        <w:t>hasta</w:t>
      </w:r>
      <w:r>
        <w:rPr>
          <w:spacing w:val="-9"/>
        </w:rPr>
        <w:t xml:space="preserve"> </w:t>
      </w:r>
      <w:r>
        <w:t>me</w:t>
      </w:r>
      <w:r>
        <w:rPr>
          <w:spacing w:val="-9"/>
        </w:rPr>
        <w:t xml:space="preserve"> </w:t>
      </w:r>
      <w:r>
        <w:t>hizo</w:t>
      </w:r>
      <w:r>
        <w:rPr>
          <w:spacing w:val="-11"/>
        </w:rPr>
        <w:t xml:space="preserve"> </w:t>
      </w:r>
      <w:r>
        <w:t>una</w:t>
      </w:r>
      <w:r>
        <w:rPr>
          <w:spacing w:val="-9"/>
        </w:rPr>
        <w:t xml:space="preserve"> </w:t>
      </w:r>
      <w:r>
        <w:t>observación</w:t>
      </w:r>
      <w:r>
        <w:rPr>
          <w:spacing w:val="-10"/>
        </w:rPr>
        <w:t xml:space="preserve"> </w:t>
      </w:r>
      <w:r>
        <w:t>que</w:t>
      </w:r>
      <w:r>
        <w:rPr>
          <w:spacing w:val="-9"/>
        </w:rPr>
        <w:t xml:space="preserve"> </w:t>
      </w:r>
      <w:r>
        <w:t>me</w:t>
      </w:r>
      <w:r>
        <w:rPr>
          <w:spacing w:val="-11"/>
        </w:rPr>
        <w:t xml:space="preserve"> </w:t>
      </w:r>
      <w:r>
        <w:t>dijo:</w:t>
      </w:r>
      <w:r>
        <w:rPr>
          <w:spacing w:val="-9"/>
        </w:rPr>
        <w:t xml:space="preserve"> </w:t>
      </w:r>
      <w:r>
        <w:t>“Usted</w:t>
      </w:r>
      <w:r>
        <w:rPr>
          <w:spacing w:val="-11"/>
        </w:rPr>
        <w:t xml:space="preserve"> </w:t>
      </w:r>
      <w:r>
        <w:t>es</w:t>
      </w:r>
      <w:r>
        <w:rPr>
          <w:spacing w:val="-9"/>
        </w:rPr>
        <w:t xml:space="preserve"> </w:t>
      </w:r>
      <w:r>
        <w:t>demasiado</w:t>
      </w:r>
      <w:r>
        <w:rPr>
          <w:spacing w:val="-10"/>
        </w:rPr>
        <w:t xml:space="preserve"> </w:t>
      </w:r>
      <w:r>
        <w:t>buena</w:t>
      </w:r>
      <w:r>
        <w:rPr>
          <w:spacing w:val="-9"/>
        </w:rPr>
        <w:t xml:space="preserve"> </w:t>
      </w:r>
      <w:r>
        <w:t>gente</w:t>
      </w:r>
      <w:r>
        <w:rPr>
          <w:spacing w:val="-9"/>
        </w:rPr>
        <w:t xml:space="preserve"> </w:t>
      </w:r>
      <w:r>
        <w:t>para que</w:t>
      </w:r>
      <w:r>
        <w:rPr>
          <w:spacing w:val="-15"/>
        </w:rPr>
        <w:t xml:space="preserve"> </w:t>
      </w:r>
      <w:r>
        <w:t>vaya</w:t>
      </w:r>
      <w:r>
        <w:rPr>
          <w:spacing w:val="-15"/>
        </w:rPr>
        <w:t xml:space="preserve"> </w:t>
      </w:r>
      <w:r>
        <w:t>y</w:t>
      </w:r>
      <w:r>
        <w:rPr>
          <w:spacing w:val="-15"/>
        </w:rPr>
        <w:t xml:space="preserve"> </w:t>
      </w:r>
      <w:r>
        <w:t>se</w:t>
      </w:r>
      <w:r>
        <w:rPr>
          <w:spacing w:val="-15"/>
        </w:rPr>
        <w:t xml:space="preserve"> </w:t>
      </w:r>
      <w:r>
        <w:t>meta</w:t>
      </w:r>
      <w:r>
        <w:rPr>
          <w:spacing w:val="-15"/>
        </w:rPr>
        <w:t xml:space="preserve"> </w:t>
      </w:r>
      <w:r>
        <w:t>allá</w:t>
      </w:r>
      <w:r>
        <w:rPr>
          <w:spacing w:val="-15"/>
        </w:rPr>
        <w:t xml:space="preserve"> </w:t>
      </w:r>
      <w:r>
        <w:t>y</w:t>
      </w:r>
      <w:r>
        <w:rPr>
          <w:spacing w:val="-15"/>
        </w:rPr>
        <w:t xml:space="preserve"> </w:t>
      </w:r>
      <w:r>
        <w:t>nos</w:t>
      </w:r>
      <w:r>
        <w:rPr>
          <w:spacing w:val="-15"/>
        </w:rPr>
        <w:t xml:space="preserve"> </w:t>
      </w:r>
      <w:r>
        <w:t>toque</w:t>
      </w:r>
      <w:r>
        <w:rPr>
          <w:spacing w:val="-15"/>
        </w:rPr>
        <w:t xml:space="preserve"> </w:t>
      </w:r>
      <w:r>
        <w:t>matarlo”,</w:t>
      </w:r>
      <w:r>
        <w:rPr>
          <w:spacing w:val="-15"/>
        </w:rPr>
        <w:t xml:space="preserve"> </w:t>
      </w:r>
      <w:r>
        <w:t>esas</w:t>
      </w:r>
      <w:r>
        <w:rPr>
          <w:spacing w:val="-15"/>
        </w:rPr>
        <w:t xml:space="preserve"> </w:t>
      </w:r>
      <w:r>
        <w:t>fueron</w:t>
      </w:r>
      <w:r>
        <w:rPr>
          <w:spacing w:val="-15"/>
        </w:rPr>
        <w:t xml:space="preserve"> </w:t>
      </w:r>
      <w:r>
        <w:t>sus</w:t>
      </w:r>
      <w:r>
        <w:rPr>
          <w:spacing w:val="-15"/>
        </w:rPr>
        <w:t xml:space="preserve"> </w:t>
      </w:r>
      <w:r>
        <w:t>palabras.</w:t>
      </w:r>
      <w:r>
        <w:rPr>
          <w:spacing w:val="-15"/>
        </w:rPr>
        <w:t xml:space="preserve"> </w:t>
      </w:r>
      <w:r>
        <w:t>Entonces,</w:t>
      </w:r>
      <w:r>
        <w:rPr>
          <w:spacing w:val="-15"/>
        </w:rPr>
        <w:t xml:space="preserve"> </w:t>
      </w:r>
      <w:r>
        <w:t xml:space="preserve">obviamente, nosotros no pudimos volver a recinto del Concejo ni nada, la alcaldesa terminó su administración despachando desde Villavicencio en el año 98. Y los concejales pues nos </w:t>
      </w:r>
      <w:r>
        <w:rPr>
          <w:spacing w:val="-2"/>
        </w:rPr>
        <w:t>dispersamos»</w:t>
      </w:r>
      <w:r w:rsidR="00C54D80">
        <w:rPr>
          <w:rStyle w:val="Refdenotaalpie"/>
          <w:spacing w:val="-2"/>
        </w:rPr>
        <w:footnoteReference w:id="302"/>
      </w:r>
      <w:r>
        <w:rPr>
          <w:spacing w:val="-2"/>
        </w:rPr>
        <w:t>.</w:t>
      </w:r>
    </w:p>
    <w:p w:rsidR="003804AC" w:rsidRPr="00C54D80" w:rsidRDefault="00AF18A5" w:rsidP="00C54D80">
      <w:r w:rsidRPr="00C54D80">
        <w:t xml:space="preserve">Así como las FARC-EP no tuvieron una relación lineal ni exenta de </w:t>
      </w:r>
      <w:r w:rsidRPr="00C54D80">
        <w:lastRenderedPageBreak/>
        <w:t>cambio con las redes políticas de sus zonas de influencia, el ELN también mostró una trayectoria cambiante de acuerdo con sus apuestas armadas, las realidades territoriales y los momentos de la confrontación armada. En un primer momento, la pretensión del ELN era mantener una posición abstencionista y antisistema de no participar de ninguna manera en las elecciones. En un segundo momento buscó tener conexión con redes políticas locales y regionales, como en el caso de Arauca. Finalmente, sufrió un momento de ruptura, como sucedió en algunas zonas de influencia como en el sur de Bolívar.</w:t>
      </w:r>
    </w:p>
    <w:p w:rsidR="003804AC" w:rsidRDefault="00AF18A5" w:rsidP="00C54D80">
      <w:r w:rsidRPr="00C54D80">
        <w:t>En la primera etapa (1964-1977), tanto los líderes como los integrantes de la estructura armada se marginaron y declararon una postura abstencionista, debido a que consideraban</w:t>
      </w:r>
      <w:bookmarkStart w:id="435" w:name="_bookmark344"/>
      <w:bookmarkEnd w:id="435"/>
      <w:r w:rsidR="00C54D80" w:rsidRPr="00C54D80">
        <w:t xml:space="preserve"> </w:t>
      </w:r>
      <w:r w:rsidRPr="00C54D80">
        <w:t xml:space="preserve">ilegítimo el sistema político colombiano. De hecho, el lema del ELN, «el que escruta elige», retrata la visión que tenían de la democracia colombiana y los partidos políticos existentes. En la segunda etapa (1978-1990), en pleno proceso de recomposición y expansión del proyecto armado, el ELN amplió su nicho y vasos comunicantes con ciertas redes políticas a pesar de que la comandancia seguía profesando una postura abstencionista. Y, finalmente, en la tercera etapa (1991-2002), siguiendo la exitosa estrategia del </w:t>
      </w:r>
      <w:proofErr w:type="spellStart"/>
      <w:r w:rsidRPr="00C54D80">
        <w:t>Sarare</w:t>
      </w:r>
      <w:proofErr w:type="spellEnd"/>
      <w:r w:rsidRPr="00C54D80">
        <w:t>, intentaron replicarla en zonas como el sur de Bolívar. No obstante, como ya se mencionó, los intentos de fiscalización</w:t>
      </w:r>
      <w:r>
        <w:t xml:space="preserve"> de la vida política por parte del ELN, la extracción de recursos y su actuación armada, y el proceso expansivo paramilitar en amplias zonas de su influencia llevaron a un quiebre</w:t>
      </w:r>
      <w:r>
        <w:rPr>
          <w:spacing w:val="-11"/>
        </w:rPr>
        <w:t xml:space="preserve"> </w:t>
      </w:r>
      <w:r>
        <w:t>de</w:t>
      </w:r>
      <w:r>
        <w:rPr>
          <w:spacing w:val="-12"/>
        </w:rPr>
        <w:t xml:space="preserve"> </w:t>
      </w:r>
      <w:r>
        <w:t>las</w:t>
      </w:r>
      <w:r>
        <w:rPr>
          <w:spacing w:val="-11"/>
        </w:rPr>
        <w:t xml:space="preserve"> </w:t>
      </w:r>
      <w:r>
        <w:t>relaciones</w:t>
      </w:r>
      <w:r>
        <w:rPr>
          <w:spacing w:val="-12"/>
        </w:rPr>
        <w:t xml:space="preserve"> </w:t>
      </w:r>
      <w:r>
        <w:t>entre</w:t>
      </w:r>
      <w:r>
        <w:rPr>
          <w:spacing w:val="-12"/>
        </w:rPr>
        <w:t xml:space="preserve"> </w:t>
      </w:r>
      <w:r>
        <w:t>las</w:t>
      </w:r>
      <w:r>
        <w:rPr>
          <w:spacing w:val="-11"/>
        </w:rPr>
        <w:t xml:space="preserve"> </w:t>
      </w:r>
      <w:r>
        <w:t>redes</w:t>
      </w:r>
      <w:r>
        <w:rPr>
          <w:spacing w:val="-11"/>
        </w:rPr>
        <w:t xml:space="preserve"> </w:t>
      </w:r>
      <w:r>
        <w:t>políticas</w:t>
      </w:r>
      <w:r>
        <w:rPr>
          <w:spacing w:val="-11"/>
        </w:rPr>
        <w:t xml:space="preserve"> </w:t>
      </w:r>
      <w:r>
        <w:t>locales</w:t>
      </w:r>
      <w:r>
        <w:rPr>
          <w:spacing w:val="-11"/>
        </w:rPr>
        <w:t xml:space="preserve"> </w:t>
      </w:r>
      <w:r>
        <w:t>y</w:t>
      </w:r>
      <w:r>
        <w:rPr>
          <w:spacing w:val="-11"/>
        </w:rPr>
        <w:t xml:space="preserve"> </w:t>
      </w:r>
      <w:r>
        <w:t>los</w:t>
      </w:r>
      <w:r>
        <w:rPr>
          <w:spacing w:val="-12"/>
        </w:rPr>
        <w:t xml:space="preserve"> </w:t>
      </w:r>
      <w:r>
        <w:t>comandantes</w:t>
      </w:r>
      <w:r>
        <w:rPr>
          <w:spacing w:val="-11"/>
        </w:rPr>
        <w:t xml:space="preserve"> </w:t>
      </w:r>
      <w:r>
        <w:t>guerrilleros.</w:t>
      </w:r>
      <w:r>
        <w:rPr>
          <w:spacing w:val="-11"/>
        </w:rPr>
        <w:t xml:space="preserve"> </w:t>
      </w:r>
      <w:r>
        <w:t>Esto mismo sucedió en áreas del país como Sucre, Cesar y Cauca, donde las relaciones se debilitaron, aunque no en Arauca.</w:t>
      </w:r>
    </w:p>
    <w:p w:rsidR="003804AC" w:rsidRDefault="00AF18A5" w:rsidP="00547F52">
      <w:r>
        <w:t xml:space="preserve">La excepcionalidad araucana se explica por la fuerte raigambre social, </w:t>
      </w:r>
      <w:r>
        <w:lastRenderedPageBreak/>
        <w:t>política y económica desarrollada por esta guerrilla, como se señaló atrás. Un dato importante para entender este entramado fue que, más o menos en 1988, el Domingo Laín empezó a inmiscuirse</w:t>
      </w:r>
      <w:r>
        <w:rPr>
          <w:spacing w:val="-7"/>
        </w:rPr>
        <w:t xml:space="preserve"> </w:t>
      </w:r>
      <w:r>
        <w:t>en</w:t>
      </w:r>
      <w:r>
        <w:rPr>
          <w:spacing w:val="-6"/>
        </w:rPr>
        <w:t xml:space="preserve"> </w:t>
      </w:r>
      <w:r>
        <w:t>las</w:t>
      </w:r>
      <w:r>
        <w:rPr>
          <w:spacing w:val="-6"/>
        </w:rPr>
        <w:t xml:space="preserve"> </w:t>
      </w:r>
      <w:r>
        <w:t>dinámicas</w:t>
      </w:r>
      <w:r>
        <w:rPr>
          <w:spacing w:val="-6"/>
        </w:rPr>
        <w:t xml:space="preserve"> </w:t>
      </w:r>
      <w:r>
        <w:t>políticas</w:t>
      </w:r>
      <w:r>
        <w:rPr>
          <w:spacing w:val="-6"/>
        </w:rPr>
        <w:t xml:space="preserve"> </w:t>
      </w:r>
      <w:r>
        <w:t>a</w:t>
      </w:r>
      <w:r>
        <w:rPr>
          <w:spacing w:val="-6"/>
        </w:rPr>
        <w:t xml:space="preserve"> </w:t>
      </w:r>
      <w:r>
        <w:t>través</w:t>
      </w:r>
      <w:r>
        <w:rPr>
          <w:spacing w:val="-6"/>
        </w:rPr>
        <w:t xml:space="preserve"> </w:t>
      </w:r>
      <w:r>
        <w:t>de</w:t>
      </w:r>
      <w:r>
        <w:rPr>
          <w:spacing w:val="-6"/>
        </w:rPr>
        <w:t xml:space="preserve"> </w:t>
      </w:r>
      <w:r>
        <w:t>su</w:t>
      </w:r>
      <w:r>
        <w:rPr>
          <w:spacing w:val="-6"/>
        </w:rPr>
        <w:t xml:space="preserve"> </w:t>
      </w:r>
      <w:r>
        <w:t>respaldo</w:t>
      </w:r>
      <w:r>
        <w:rPr>
          <w:spacing w:val="-7"/>
        </w:rPr>
        <w:t xml:space="preserve"> </w:t>
      </w:r>
      <w:r>
        <w:t>a</w:t>
      </w:r>
      <w:r>
        <w:rPr>
          <w:spacing w:val="-6"/>
        </w:rPr>
        <w:t xml:space="preserve"> </w:t>
      </w:r>
      <w:r>
        <w:t>la</w:t>
      </w:r>
      <w:r>
        <w:rPr>
          <w:spacing w:val="-6"/>
        </w:rPr>
        <w:t xml:space="preserve"> </w:t>
      </w:r>
      <w:r>
        <w:t>facción</w:t>
      </w:r>
      <w:r>
        <w:rPr>
          <w:spacing w:val="-6"/>
        </w:rPr>
        <w:t xml:space="preserve"> </w:t>
      </w:r>
      <w:r>
        <w:t>conocida</w:t>
      </w:r>
      <w:r>
        <w:rPr>
          <w:spacing w:val="-6"/>
        </w:rPr>
        <w:t xml:space="preserve"> </w:t>
      </w:r>
      <w:r>
        <w:t>como</w:t>
      </w:r>
      <w:r>
        <w:rPr>
          <w:spacing w:val="-6"/>
        </w:rPr>
        <w:t xml:space="preserve"> </w:t>
      </w:r>
      <w:r>
        <w:t>los liberales</w:t>
      </w:r>
      <w:r>
        <w:rPr>
          <w:spacing w:val="-13"/>
        </w:rPr>
        <w:t xml:space="preserve"> </w:t>
      </w:r>
      <w:r>
        <w:t>de</w:t>
      </w:r>
      <w:r>
        <w:rPr>
          <w:spacing w:val="-14"/>
        </w:rPr>
        <w:t xml:space="preserve"> </w:t>
      </w:r>
      <w:r>
        <w:t>Saravena.</w:t>
      </w:r>
      <w:r>
        <w:rPr>
          <w:spacing w:val="-13"/>
        </w:rPr>
        <w:t xml:space="preserve"> </w:t>
      </w:r>
      <w:r>
        <w:t>Con</w:t>
      </w:r>
      <w:r>
        <w:rPr>
          <w:spacing w:val="-13"/>
        </w:rPr>
        <w:t xml:space="preserve"> </w:t>
      </w:r>
      <w:r>
        <w:t>este</w:t>
      </w:r>
      <w:r>
        <w:rPr>
          <w:spacing w:val="-14"/>
        </w:rPr>
        <w:t xml:space="preserve"> </w:t>
      </w:r>
      <w:r>
        <w:t>vínculo,</w:t>
      </w:r>
      <w:r>
        <w:rPr>
          <w:spacing w:val="-13"/>
        </w:rPr>
        <w:t xml:space="preserve"> </w:t>
      </w:r>
      <w:r>
        <w:t>los</w:t>
      </w:r>
      <w:r>
        <w:rPr>
          <w:spacing w:val="-14"/>
        </w:rPr>
        <w:t xml:space="preserve"> </w:t>
      </w:r>
      <w:r>
        <w:t>comandantes</w:t>
      </w:r>
      <w:r>
        <w:rPr>
          <w:spacing w:val="-14"/>
        </w:rPr>
        <w:t xml:space="preserve"> </w:t>
      </w:r>
      <w:r>
        <w:t>guerrilleros</w:t>
      </w:r>
      <w:r>
        <w:rPr>
          <w:spacing w:val="-13"/>
        </w:rPr>
        <w:t xml:space="preserve"> </w:t>
      </w:r>
      <w:r>
        <w:t>obtuvieron</w:t>
      </w:r>
      <w:r>
        <w:rPr>
          <w:spacing w:val="-14"/>
        </w:rPr>
        <w:t xml:space="preserve"> </w:t>
      </w:r>
      <w:r>
        <w:t>acceso</w:t>
      </w:r>
      <w:r>
        <w:rPr>
          <w:spacing w:val="-13"/>
        </w:rPr>
        <w:t xml:space="preserve"> </w:t>
      </w:r>
      <w:r>
        <w:t>a</w:t>
      </w:r>
      <w:r>
        <w:rPr>
          <w:spacing w:val="-13"/>
        </w:rPr>
        <w:t xml:space="preserve"> </w:t>
      </w:r>
      <w:r>
        <w:t>los presupuestos municipales, a cambio de los votos que suministraban gracias a su control de las</w:t>
      </w:r>
      <w:r>
        <w:rPr>
          <w:spacing w:val="-13"/>
        </w:rPr>
        <w:t xml:space="preserve"> </w:t>
      </w:r>
      <w:r>
        <w:t>juntas</w:t>
      </w:r>
      <w:r>
        <w:rPr>
          <w:spacing w:val="-13"/>
        </w:rPr>
        <w:t xml:space="preserve"> </w:t>
      </w:r>
      <w:r>
        <w:t>de</w:t>
      </w:r>
      <w:r>
        <w:rPr>
          <w:spacing w:val="-14"/>
        </w:rPr>
        <w:t xml:space="preserve"> </w:t>
      </w:r>
      <w:r>
        <w:t>acción</w:t>
      </w:r>
      <w:r>
        <w:rPr>
          <w:spacing w:val="-13"/>
        </w:rPr>
        <w:t xml:space="preserve"> </w:t>
      </w:r>
      <w:r>
        <w:t>comunal</w:t>
      </w:r>
      <w:r>
        <w:rPr>
          <w:spacing w:val="-13"/>
        </w:rPr>
        <w:t xml:space="preserve"> </w:t>
      </w:r>
      <w:r>
        <w:t>en</w:t>
      </w:r>
      <w:r>
        <w:rPr>
          <w:spacing w:val="-13"/>
        </w:rPr>
        <w:t xml:space="preserve"> </w:t>
      </w:r>
      <w:r>
        <w:t>el</w:t>
      </w:r>
      <w:r>
        <w:rPr>
          <w:spacing w:val="-13"/>
        </w:rPr>
        <w:t xml:space="preserve"> </w:t>
      </w:r>
      <w:r>
        <w:t>piedemonte</w:t>
      </w:r>
      <w:r w:rsidR="00547F52">
        <w:rPr>
          <w:rStyle w:val="Refdenotaalpie"/>
        </w:rPr>
        <w:footnoteReference w:id="303"/>
      </w:r>
      <w:r>
        <w:t>.</w:t>
      </w:r>
      <w:r>
        <w:rPr>
          <w:spacing w:val="-13"/>
        </w:rPr>
        <w:t xml:space="preserve"> </w:t>
      </w:r>
      <w:r>
        <w:t>La</w:t>
      </w:r>
      <w:r>
        <w:rPr>
          <w:spacing w:val="-13"/>
        </w:rPr>
        <w:t xml:space="preserve"> </w:t>
      </w:r>
      <w:r>
        <w:t>estrategia</w:t>
      </w:r>
      <w:r>
        <w:rPr>
          <w:spacing w:val="-13"/>
        </w:rPr>
        <w:t xml:space="preserve"> </w:t>
      </w:r>
      <w:r>
        <w:t>«fue</w:t>
      </w:r>
      <w:r>
        <w:rPr>
          <w:spacing w:val="-13"/>
        </w:rPr>
        <w:t xml:space="preserve"> </w:t>
      </w:r>
      <w:r>
        <w:t>expandirse</w:t>
      </w:r>
      <w:r>
        <w:rPr>
          <w:spacing w:val="-13"/>
        </w:rPr>
        <w:t xml:space="preserve"> </w:t>
      </w:r>
      <w:r>
        <w:t>por</w:t>
      </w:r>
      <w:r>
        <w:rPr>
          <w:spacing w:val="-13"/>
        </w:rPr>
        <w:t xml:space="preserve"> </w:t>
      </w:r>
      <w:r>
        <w:t>las</w:t>
      </w:r>
      <w:r>
        <w:rPr>
          <w:spacing w:val="-14"/>
        </w:rPr>
        <w:t xml:space="preserve"> </w:t>
      </w:r>
      <w:r>
        <w:t>juntas y los gremios para multiplicarse en sus proyectos políticos»</w:t>
      </w:r>
      <w:r w:rsidR="00547F52">
        <w:rPr>
          <w:rStyle w:val="Refdenotaalpie"/>
        </w:rPr>
        <w:footnoteReference w:id="304"/>
      </w:r>
      <w:r>
        <w:t xml:space="preserve"> y seguir ampliando su radio de influencia social y política.</w:t>
      </w:r>
    </w:p>
    <w:p w:rsidR="003804AC" w:rsidRDefault="00AF18A5" w:rsidP="00547F52">
      <w:r>
        <w:t>Lo métodos utilizados no fueron nada pacíficos, pues fueron asesinados dirigentes políticos que se opusieron a la injerencia insurgente en la vida política local y a la manera como</w:t>
      </w:r>
      <w:r>
        <w:rPr>
          <w:spacing w:val="-7"/>
        </w:rPr>
        <w:t xml:space="preserve"> </w:t>
      </w:r>
      <w:r>
        <w:t>la</w:t>
      </w:r>
      <w:r>
        <w:rPr>
          <w:spacing w:val="-7"/>
        </w:rPr>
        <w:t xml:space="preserve"> </w:t>
      </w:r>
      <w:r>
        <w:t>guerrilla</w:t>
      </w:r>
      <w:r>
        <w:rPr>
          <w:spacing w:val="-8"/>
        </w:rPr>
        <w:t xml:space="preserve"> </w:t>
      </w:r>
      <w:r>
        <w:t>intermediaba</w:t>
      </w:r>
      <w:r>
        <w:rPr>
          <w:spacing w:val="-8"/>
        </w:rPr>
        <w:t xml:space="preserve"> </w:t>
      </w:r>
      <w:r>
        <w:t>y</w:t>
      </w:r>
      <w:r>
        <w:rPr>
          <w:spacing w:val="-7"/>
        </w:rPr>
        <w:t xml:space="preserve"> </w:t>
      </w:r>
      <w:r>
        <w:t>destinaba</w:t>
      </w:r>
      <w:r>
        <w:rPr>
          <w:spacing w:val="-8"/>
        </w:rPr>
        <w:t xml:space="preserve"> </w:t>
      </w:r>
      <w:r>
        <w:t>los</w:t>
      </w:r>
      <w:r>
        <w:rPr>
          <w:spacing w:val="-8"/>
        </w:rPr>
        <w:t xml:space="preserve"> </w:t>
      </w:r>
      <w:r>
        <w:t>recursos</w:t>
      </w:r>
      <w:r>
        <w:rPr>
          <w:spacing w:val="-7"/>
        </w:rPr>
        <w:t xml:space="preserve"> </w:t>
      </w:r>
      <w:r>
        <w:t>del</w:t>
      </w:r>
      <w:r>
        <w:rPr>
          <w:spacing w:val="-7"/>
        </w:rPr>
        <w:t xml:space="preserve"> </w:t>
      </w:r>
      <w:r>
        <w:t>oro</w:t>
      </w:r>
      <w:r>
        <w:rPr>
          <w:spacing w:val="-7"/>
        </w:rPr>
        <w:t xml:space="preserve"> </w:t>
      </w:r>
      <w:r>
        <w:t>negro</w:t>
      </w:r>
      <w:r w:rsidR="00547F52">
        <w:rPr>
          <w:rStyle w:val="Refdenotaalpie"/>
        </w:rPr>
        <w:footnoteReference w:id="305"/>
      </w:r>
      <w:r>
        <w:t>.</w:t>
      </w:r>
      <w:r>
        <w:rPr>
          <w:spacing w:val="-7"/>
        </w:rPr>
        <w:t xml:space="preserve"> </w:t>
      </w:r>
      <w:r>
        <w:t>Esto</w:t>
      </w:r>
      <w:r>
        <w:rPr>
          <w:spacing w:val="-7"/>
        </w:rPr>
        <w:t xml:space="preserve"> </w:t>
      </w:r>
      <w:r>
        <w:t>no</w:t>
      </w:r>
      <w:r>
        <w:rPr>
          <w:spacing w:val="-7"/>
        </w:rPr>
        <w:t xml:space="preserve"> </w:t>
      </w:r>
      <w:r>
        <w:t>implicó,</w:t>
      </w:r>
      <w:r>
        <w:rPr>
          <w:spacing w:val="-7"/>
        </w:rPr>
        <w:t xml:space="preserve"> </w:t>
      </w:r>
      <w:r>
        <w:rPr>
          <w:spacing w:val="-5"/>
        </w:rPr>
        <w:t>sin</w:t>
      </w:r>
      <w:bookmarkStart w:id="436" w:name="_bookmark345"/>
      <w:bookmarkStart w:id="437" w:name="_bookmark346"/>
      <w:bookmarkStart w:id="438" w:name="_bookmark347"/>
      <w:bookmarkEnd w:id="436"/>
      <w:bookmarkEnd w:id="437"/>
      <w:bookmarkEnd w:id="438"/>
      <w:r w:rsidR="00547F52">
        <w:rPr>
          <w:spacing w:val="-5"/>
        </w:rPr>
        <w:t xml:space="preserve"> </w:t>
      </w:r>
      <w:r>
        <w:t>embargo, que todos los políticos liberales estuvieran alineados con el ELN por medio de la violencia. El reto que representaba la UP afianzó las alianzas entre el ELN y los liberales. Esto</w:t>
      </w:r>
      <w:r>
        <w:rPr>
          <w:spacing w:val="-9"/>
        </w:rPr>
        <w:t xml:space="preserve"> </w:t>
      </w:r>
      <w:r>
        <w:t>le</w:t>
      </w:r>
      <w:r>
        <w:rPr>
          <w:spacing w:val="-9"/>
        </w:rPr>
        <w:t xml:space="preserve"> </w:t>
      </w:r>
      <w:r>
        <w:t>permitió</w:t>
      </w:r>
      <w:r>
        <w:rPr>
          <w:spacing w:val="-9"/>
        </w:rPr>
        <w:t xml:space="preserve"> </w:t>
      </w:r>
      <w:r>
        <w:t>al</w:t>
      </w:r>
      <w:r>
        <w:rPr>
          <w:spacing w:val="-9"/>
        </w:rPr>
        <w:t xml:space="preserve"> </w:t>
      </w:r>
      <w:r>
        <w:t>Frente</w:t>
      </w:r>
      <w:r>
        <w:rPr>
          <w:spacing w:val="-10"/>
        </w:rPr>
        <w:t xml:space="preserve"> </w:t>
      </w:r>
      <w:r>
        <w:t>Domingo</w:t>
      </w:r>
      <w:r>
        <w:rPr>
          <w:spacing w:val="-9"/>
        </w:rPr>
        <w:t xml:space="preserve"> </w:t>
      </w:r>
      <w:r>
        <w:t>Laín</w:t>
      </w:r>
      <w:r>
        <w:rPr>
          <w:spacing w:val="-9"/>
        </w:rPr>
        <w:t xml:space="preserve"> </w:t>
      </w:r>
      <w:r>
        <w:t>erigirse</w:t>
      </w:r>
      <w:r>
        <w:rPr>
          <w:spacing w:val="-9"/>
        </w:rPr>
        <w:t xml:space="preserve"> </w:t>
      </w:r>
      <w:r>
        <w:t>como</w:t>
      </w:r>
      <w:r>
        <w:rPr>
          <w:spacing w:val="-9"/>
        </w:rPr>
        <w:t xml:space="preserve"> </w:t>
      </w:r>
      <w:r>
        <w:t>un</w:t>
      </w:r>
      <w:r>
        <w:rPr>
          <w:spacing w:val="-9"/>
        </w:rPr>
        <w:t xml:space="preserve"> </w:t>
      </w:r>
      <w:r>
        <w:t>actor</w:t>
      </w:r>
      <w:r>
        <w:rPr>
          <w:spacing w:val="-9"/>
        </w:rPr>
        <w:t xml:space="preserve"> </w:t>
      </w:r>
      <w:r>
        <w:t>estructurante</w:t>
      </w:r>
      <w:r>
        <w:rPr>
          <w:spacing w:val="-9"/>
        </w:rPr>
        <w:t xml:space="preserve"> </w:t>
      </w:r>
      <w:r>
        <w:t>del</w:t>
      </w:r>
      <w:r>
        <w:rPr>
          <w:spacing w:val="-9"/>
        </w:rPr>
        <w:t xml:space="preserve"> </w:t>
      </w:r>
      <w:r>
        <w:t>territorio</w:t>
      </w:r>
      <w:r>
        <w:rPr>
          <w:spacing w:val="-9"/>
        </w:rPr>
        <w:t xml:space="preserve"> </w:t>
      </w:r>
      <w:r>
        <w:t>al incidir no solo en los procesos organizativos</w:t>
      </w:r>
      <w:r w:rsidR="00483469">
        <w:rPr>
          <w:rStyle w:val="Refdenotaalpie"/>
        </w:rPr>
        <w:footnoteReference w:id="306"/>
      </w:r>
      <w:r>
        <w:t xml:space="preserve"> sino también en el tipo de orden político e incluso en la emergencia de las élites políticas y económicas, y en el desarrollo del Estado </w:t>
      </w:r>
      <w:r>
        <w:rPr>
          <w:spacing w:val="-2"/>
        </w:rPr>
        <w:t>local</w:t>
      </w:r>
      <w:r w:rsidR="00483469">
        <w:rPr>
          <w:rStyle w:val="Refdenotaalpie"/>
          <w:spacing w:val="-2"/>
        </w:rPr>
        <w:footnoteReference w:id="307"/>
      </w:r>
      <w:r>
        <w:rPr>
          <w:spacing w:val="-2"/>
        </w:rPr>
        <w:t>.</w:t>
      </w:r>
    </w:p>
    <w:p w:rsidR="003804AC" w:rsidRPr="00483469" w:rsidRDefault="00AF18A5" w:rsidP="00483469">
      <w:r w:rsidRPr="00483469">
        <w:lastRenderedPageBreak/>
        <w:t xml:space="preserve">El caso del departamento de Arauca muestra la estrecha relación que hubo entre grupos armados y redes políticas, particularmente entre el ELN y las redes políticas liberales. En el </w:t>
      </w:r>
      <w:proofErr w:type="spellStart"/>
      <w:r w:rsidRPr="00483469">
        <w:t>Sarare</w:t>
      </w:r>
      <w:proofErr w:type="spellEnd"/>
      <w:r w:rsidRPr="00483469">
        <w:t>, tanto insurgencia como redes políticas se vieron beneficiadas de estas conexiones activas, dinámicas y cambiantes. En el caso del ELN, pudo acceder a mayores recursos, a la vez que fortaleció su anclaje social al direccionar los recursos estatales y la formación de la institucionalidad local. Las redes políticas liberales se hicieron hegemónicas en el escenario político local y regional, a costa del Partido Conservador y de la emergencia de fuerzas políticas alternativas como la UP.</w:t>
      </w:r>
    </w:p>
    <w:p w:rsidR="003804AC" w:rsidRPr="00483469" w:rsidRDefault="00AF18A5" w:rsidP="00483469">
      <w:r w:rsidRPr="00483469">
        <w:t>Después de Arauca, el sur de Bolívar fue otra de las regiones donde el ELN construyó un fuerte entramado social, político y económico. Sin embargo, la forma como militarizó las relaciones con algunos sectores de la población, su campaña de extracción de recursos y la manera como buscó fiscalizar mediante el control violento la vida política explican el retroceso de esta guerrilla.</w:t>
      </w:r>
    </w:p>
    <w:p w:rsidR="003804AC" w:rsidRDefault="00AF18A5" w:rsidP="007B4A09">
      <w:r>
        <w:t xml:space="preserve">Tal retroceso se </w:t>
      </w:r>
      <w:r w:rsidRPr="00483469">
        <w:t>debió</w:t>
      </w:r>
      <w:r>
        <w:rPr>
          <w:spacing w:val="-1"/>
        </w:rPr>
        <w:t xml:space="preserve"> </w:t>
      </w:r>
      <w:r>
        <w:t>a</w:t>
      </w:r>
      <w:r>
        <w:rPr>
          <w:spacing w:val="-1"/>
        </w:rPr>
        <w:t xml:space="preserve"> </w:t>
      </w:r>
      <w:r>
        <w:t>cambios en</w:t>
      </w:r>
      <w:r>
        <w:rPr>
          <w:spacing w:val="-1"/>
        </w:rPr>
        <w:t xml:space="preserve"> </w:t>
      </w:r>
      <w:r>
        <w:t>su rol en</w:t>
      </w:r>
      <w:r>
        <w:rPr>
          <w:spacing w:val="-1"/>
        </w:rPr>
        <w:t xml:space="preserve"> </w:t>
      </w:r>
      <w:r>
        <w:t>el</w:t>
      </w:r>
      <w:r>
        <w:rPr>
          <w:spacing w:val="-1"/>
        </w:rPr>
        <w:t xml:space="preserve"> </w:t>
      </w:r>
      <w:r>
        <w:t>proceso de</w:t>
      </w:r>
      <w:r>
        <w:rPr>
          <w:spacing w:val="-1"/>
        </w:rPr>
        <w:t xml:space="preserve"> </w:t>
      </w:r>
      <w:r>
        <w:t>configuración</w:t>
      </w:r>
      <w:r>
        <w:rPr>
          <w:spacing w:val="-1"/>
        </w:rPr>
        <w:t xml:space="preserve"> </w:t>
      </w:r>
      <w:r>
        <w:t>del orden</w:t>
      </w:r>
      <w:r>
        <w:rPr>
          <w:spacing w:val="-1"/>
        </w:rPr>
        <w:t xml:space="preserve"> </w:t>
      </w:r>
      <w:r>
        <w:t>local armado paralelo al regional y nacional, atestiguado por moradores de la zona, que hoy destacan</w:t>
      </w:r>
      <w:r>
        <w:rPr>
          <w:spacing w:val="-4"/>
        </w:rPr>
        <w:t xml:space="preserve"> </w:t>
      </w:r>
      <w:r>
        <w:t>que</w:t>
      </w:r>
      <w:r>
        <w:rPr>
          <w:spacing w:val="-3"/>
        </w:rPr>
        <w:t xml:space="preserve"> </w:t>
      </w:r>
      <w:r>
        <w:t>más</w:t>
      </w:r>
      <w:r>
        <w:rPr>
          <w:spacing w:val="-5"/>
        </w:rPr>
        <w:t xml:space="preserve"> </w:t>
      </w:r>
      <w:r>
        <w:t>allá</w:t>
      </w:r>
      <w:r>
        <w:rPr>
          <w:spacing w:val="-3"/>
        </w:rPr>
        <w:t xml:space="preserve"> </w:t>
      </w:r>
      <w:r>
        <w:t>del</w:t>
      </w:r>
      <w:r>
        <w:rPr>
          <w:spacing w:val="-3"/>
        </w:rPr>
        <w:t xml:space="preserve"> </w:t>
      </w:r>
      <w:r>
        <w:t>aspecto</w:t>
      </w:r>
      <w:r>
        <w:rPr>
          <w:spacing w:val="-4"/>
        </w:rPr>
        <w:t xml:space="preserve"> </w:t>
      </w:r>
      <w:r>
        <w:t>puramente</w:t>
      </w:r>
      <w:r>
        <w:rPr>
          <w:spacing w:val="-5"/>
        </w:rPr>
        <w:t xml:space="preserve"> </w:t>
      </w:r>
      <w:r>
        <w:t>militar,</w:t>
      </w:r>
      <w:r>
        <w:rPr>
          <w:spacing w:val="-4"/>
        </w:rPr>
        <w:t xml:space="preserve"> </w:t>
      </w:r>
      <w:r>
        <w:t>el</w:t>
      </w:r>
      <w:r>
        <w:rPr>
          <w:spacing w:val="-3"/>
        </w:rPr>
        <w:t xml:space="preserve"> </w:t>
      </w:r>
      <w:r>
        <w:t>trabajo</w:t>
      </w:r>
      <w:r>
        <w:rPr>
          <w:spacing w:val="-4"/>
        </w:rPr>
        <w:t xml:space="preserve"> </w:t>
      </w:r>
      <w:r>
        <w:t>político</w:t>
      </w:r>
      <w:r>
        <w:rPr>
          <w:spacing w:val="-4"/>
        </w:rPr>
        <w:t xml:space="preserve"> </w:t>
      </w:r>
      <w:r>
        <w:t>y</w:t>
      </w:r>
      <w:r>
        <w:rPr>
          <w:spacing w:val="-5"/>
        </w:rPr>
        <w:t xml:space="preserve"> </w:t>
      </w:r>
      <w:r>
        <w:t>organizativo</w:t>
      </w:r>
      <w:r>
        <w:rPr>
          <w:spacing w:val="-5"/>
        </w:rPr>
        <w:t xml:space="preserve"> </w:t>
      </w:r>
      <w:r>
        <w:t>de</w:t>
      </w:r>
      <w:r>
        <w:rPr>
          <w:spacing w:val="-3"/>
        </w:rPr>
        <w:t xml:space="preserve"> </w:t>
      </w:r>
      <w:r>
        <w:t>las comunidades propició procesos sociales y de desarrollo socioeconómico, redes de intercambio</w:t>
      </w:r>
      <w:r>
        <w:rPr>
          <w:spacing w:val="9"/>
        </w:rPr>
        <w:t xml:space="preserve"> </w:t>
      </w:r>
      <w:r>
        <w:t>económico</w:t>
      </w:r>
      <w:r>
        <w:rPr>
          <w:spacing w:val="10"/>
        </w:rPr>
        <w:t xml:space="preserve"> </w:t>
      </w:r>
      <w:r>
        <w:t>y</w:t>
      </w:r>
      <w:r>
        <w:rPr>
          <w:spacing w:val="12"/>
        </w:rPr>
        <w:t xml:space="preserve"> </w:t>
      </w:r>
      <w:r>
        <w:t>de</w:t>
      </w:r>
      <w:r>
        <w:rPr>
          <w:spacing w:val="11"/>
        </w:rPr>
        <w:t xml:space="preserve"> </w:t>
      </w:r>
      <w:r>
        <w:t>cooperativas</w:t>
      </w:r>
      <w:r w:rsidR="00510474">
        <w:rPr>
          <w:rStyle w:val="Refdenotaalpie"/>
        </w:rPr>
        <w:footnoteReference w:id="308"/>
      </w:r>
      <w:r>
        <w:t>.</w:t>
      </w:r>
      <w:r>
        <w:rPr>
          <w:spacing w:val="12"/>
        </w:rPr>
        <w:t xml:space="preserve"> </w:t>
      </w:r>
      <w:r>
        <w:t>No</w:t>
      </w:r>
      <w:r>
        <w:rPr>
          <w:spacing w:val="11"/>
        </w:rPr>
        <w:t xml:space="preserve"> </w:t>
      </w:r>
      <w:r>
        <w:t>obstante,</w:t>
      </w:r>
      <w:r>
        <w:rPr>
          <w:spacing w:val="12"/>
        </w:rPr>
        <w:t xml:space="preserve"> </w:t>
      </w:r>
      <w:r>
        <w:t>a</w:t>
      </w:r>
      <w:r>
        <w:rPr>
          <w:spacing w:val="11"/>
        </w:rPr>
        <w:t xml:space="preserve"> </w:t>
      </w:r>
      <w:r>
        <w:t>inicios</w:t>
      </w:r>
      <w:r>
        <w:rPr>
          <w:spacing w:val="10"/>
        </w:rPr>
        <w:t xml:space="preserve"> </w:t>
      </w:r>
      <w:r>
        <w:t>de</w:t>
      </w:r>
      <w:r>
        <w:rPr>
          <w:spacing w:val="11"/>
        </w:rPr>
        <w:t xml:space="preserve"> </w:t>
      </w:r>
      <w:r>
        <w:t>los</w:t>
      </w:r>
      <w:r>
        <w:rPr>
          <w:spacing w:val="11"/>
        </w:rPr>
        <w:t xml:space="preserve"> </w:t>
      </w:r>
      <w:r>
        <w:t>años</w:t>
      </w:r>
      <w:r>
        <w:rPr>
          <w:spacing w:val="11"/>
        </w:rPr>
        <w:t xml:space="preserve"> </w:t>
      </w:r>
      <w:r>
        <w:t>noventa,</w:t>
      </w:r>
      <w:r>
        <w:rPr>
          <w:spacing w:val="10"/>
        </w:rPr>
        <w:t xml:space="preserve"> </w:t>
      </w:r>
      <w:r>
        <w:rPr>
          <w:spacing w:val="-5"/>
        </w:rPr>
        <w:t>el</w:t>
      </w:r>
      <w:bookmarkStart w:id="439" w:name="_bookmark348"/>
      <w:bookmarkStart w:id="440" w:name="_bookmark349"/>
      <w:bookmarkStart w:id="441" w:name="_bookmark350"/>
      <w:bookmarkEnd w:id="439"/>
      <w:bookmarkEnd w:id="440"/>
      <w:bookmarkEnd w:id="441"/>
      <w:r w:rsidR="007B4A09">
        <w:rPr>
          <w:spacing w:val="-5"/>
        </w:rPr>
        <w:t xml:space="preserve"> </w:t>
      </w:r>
      <w:r>
        <w:t xml:space="preserve">ELN empezó con su pretensión de </w:t>
      </w:r>
      <w:r>
        <w:lastRenderedPageBreak/>
        <w:t>monopolizar la vida política local y regional</w:t>
      </w:r>
      <w:r w:rsidR="007B4A09">
        <w:rPr>
          <w:rStyle w:val="Refdenotaalpie"/>
        </w:rPr>
        <w:footnoteReference w:id="309"/>
      </w:r>
      <w:r>
        <w:t xml:space="preserve"> y ejercer mayor control de la vida cotidiana y la economía</w:t>
      </w:r>
      <w:r w:rsidR="007B4A09">
        <w:rPr>
          <w:rStyle w:val="Refdenotaalpie"/>
        </w:rPr>
        <w:footnoteReference w:id="310"/>
      </w:r>
      <w:r>
        <w:t>; además, la campaña de secuestros y mayores vacunas generaron un descontento que se ahondó.</w:t>
      </w:r>
    </w:p>
    <w:p w:rsidR="003804AC" w:rsidRDefault="00AF18A5" w:rsidP="007B4A09">
      <w:r>
        <w:t>Como</w:t>
      </w:r>
      <w:r>
        <w:rPr>
          <w:spacing w:val="-5"/>
        </w:rPr>
        <w:t xml:space="preserve"> </w:t>
      </w:r>
      <w:r>
        <w:t>agravante,</w:t>
      </w:r>
      <w:r>
        <w:rPr>
          <w:spacing w:val="-6"/>
        </w:rPr>
        <w:t xml:space="preserve"> </w:t>
      </w:r>
      <w:r>
        <w:t>el</w:t>
      </w:r>
      <w:r>
        <w:rPr>
          <w:spacing w:val="-5"/>
        </w:rPr>
        <w:t xml:space="preserve"> </w:t>
      </w:r>
      <w:r w:rsidRPr="007B4A09">
        <w:t>ELN</w:t>
      </w:r>
      <w:r>
        <w:rPr>
          <w:spacing w:val="-5"/>
        </w:rPr>
        <w:t xml:space="preserve"> </w:t>
      </w:r>
      <w:r>
        <w:t>no</w:t>
      </w:r>
      <w:r>
        <w:rPr>
          <w:spacing w:val="-5"/>
        </w:rPr>
        <w:t xml:space="preserve"> </w:t>
      </w:r>
      <w:r>
        <w:t>solo</w:t>
      </w:r>
      <w:r>
        <w:rPr>
          <w:spacing w:val="-5"/>
        </w:rPr>
        <w:t xml:space="preserve"> </w:t>
      </w:r>
      <w:r>
        <w:t>aumentó</w:t>
      </w:r>
      <w:r>
        <w:rPr>
          <w:spacing w:val="-6"/>
        </w:rPr>
        <w:t xml:space="preserve"> </w:t>
      </w:r>
      <w:r>
        <w:t>la</w:t>
      </w:r>
      <w:r>
        <w:rPr>
          <w:spacing w:val="-6"/>
        </w:rPr>
        <w:t xml:space="preserve"> </w:t>
      </w:r>
      <w:r>
        <w:t>extracción</w:t>
      </w:r>
      <w:r>
        <w:rPr>
          <w:spacing w:val="-5"/>
        </w:rPr>
        <w:t xml:space="preserve"> </w:t>
      </w:r>
      <w:r>
        <w:t>de</w:t>
      </w:r>
      <w:r>
        <w:rPr>
          <w:spacing w:val="-6"/>
        </w:rPr>
        <w:t xml:space="preserve"> </w:t>
      </w:r>
      <w:r>
        <w:t>recursos,</w:t>
      </w:r>
      <w:r>
        <w:rPr>
          <w:spacing w:val="-6"/>
        </w:rPr>
        <w:t xml:space="preserve"> </w:t>
      </w:r>
      <w:r>
        <w:t>también</w:t>
      </w:r>
      <w:r>
        <w:rPr>
          <w:spacing w:val="-5"/>
        </w:rPr>
        <w:t xml:space="preserve"> </w:t>
      </w:r>
      <w:r>
        <w:t>interfirió</w:t>
      </w:r>
      <w:r>
        <w:rPr>
          <w:spacing w:val="-6"/>
        </w:rPr>
        <w:t xml:space="preserve"> </w:t>
      </w:r>
      <w:r>
        <w:t>en las</w:t>
      </w:r>
      <w:r>
        <w:rPr>
          <w:spacing w:val="-8"/>
        </w:rPr>
        <w:t xml:space="preserve"> </w:t>
      </w:r>
      <w:r>
        <w:t>elecciones</w:t>
      </w:r>
      <w:r>
        <w:rPr>
          <w:spacing w:val="-8"/>
        </w:rPr>
        <w:t xml:space="preserve"> </w:t>
      </w:r>
      <w:r>
        <w:t>locales</w:t>
      </w:r>
      <w:r>
        <w:rPr>
          <w:spacing w:val="-9"/>
        </w:rPr>
        <w:t xml:space="preserve"> </w:t>
      </w:r>
      <w:r>
        <w:t>(1997)</w:t>
      </w:r>
      <w:r>
        <w:rPr>
          <w:spacing w:val="-8"/>
        </w:rPr>
        <w:t xml:space="preserve"> </w:t>
      </w:r>
      <w:r>
        <w:t>para</w:t>
      </w:r>
      <w:r>
        <w:rPr>
          <w:spacing w:val="-8"/>
        </w:rPr>
        <w:t xml:space="preserve"> </w:t>
      </w:r>
      <w:r>
        <w:t>crear</w:t>
      </w:r>
      <w:r>
        <w:rPr>
          <w:spacing w:val="-8"/>
        </w:rPr>
        <w:t xml:space="preserve"> </w:t>
      </w:r>
      <w:r>
        <w:t>un</w:t>
      </w:r>
      <w:r>
        <w:rPr>
          <w:spacing w:val="-8"/>
        </w:rPr>
        <w:t xml:space="preserve"> </w:t>
      </w:r>
      <w:r>
        <w:t>vacío</w:t>
      </w:r>
      <w:r>
        <w:rPr>
          <w:spacing w:val="-10"/>
        </w:rPr>
        <w:t xml:space="preserve"> </w:t>
      </w:r>
      <w:r>
        <w:t>de</w:t>
      </w:r>
      <w:r>
        <w:rPr>
          <w:spacing w:val="-8"/>
        </w:rPr>
        <w:t xml:space="preserve"> </w:t>
      </w:r>
      <w:r>
        <w:t>poder</w:t>
      </w:r>
      <w:r>
        <w:rPr>
          <w:spacing w:val="-9"/>
        </w:rPr>
        <w:t xml:space="preserve"> </w:t>
      </w:r>
      <w:r>
        <w:t>en</w:t>
      </w:r>
      <w:r>
        <w:rPr>
          <w:spacing w:val="-9"/>
        </w:rPr>
        <w:t xml:space="preserve"> </w:t>
      </w:r>
      <w:r>
        <w:t>sus</w:t>
      </w:r>
      <w:r>
        <w:rPr>
          <w:spacing w:val="-8"/>
        </w:rPr>
        <w:t xml:space="preserve"> </w:t>
      </w:r>
      <w:r>
        <w:t>regiones</w:t>
      </w:r>
      <w:r>
        <w:rPr>
          <w:spacing w:val="-10"/>
        </w:rPr>
        <w:t xml:space="preserve"> </w:t>
      </w:r>
      <w:r>
        <w:t>de</w:t>
      </w:r>
      <w:r>
        <w:rPr>
          <w:spacing w:val="-8"/>
        </w:rPr>
        <w:t xml:space="preserve"> </w:t>
      </w:r>
      <w:r>
        <w:t>influencia.</w:t>
      </w:r>
      <w:r>
        <w:rPr>
          <w:spacing w:val="-8"/>
        </w:rPr>
        <w:t xml:space="preserve"> </w:t>
      </w:r>
      <w:r>
        <w:t>Esto lo</w:t>
      </w:r>
      <w:r>
        <w:rPr>
          <w:spacing w:val="-5"/>
        </w:rPr>
        <w:t xml:space="preserve"> </w:t>
      </w:r>
      <w:r>
        <w:t>lograron</w:t>
      </w:r>
      <w:r>
        <w:rPr>
          <w:spacing w:val="-6"/>
        </w:rPr>
        <w:t xml:space="preserve"> </w:t>
      </w:r>
      <w:r>
        <w:t>ordenando</w:t>
      </w:r>
      <w:r>
        <w:rPr>
          <w:spacing w:val="-5"/>
        </w:rPr>
        <w:t xml:space="preserve"> </w:t>
      </w:r>
      <w:r>
        <w:t>la</w:t>
      </w:r>
      <w:r>
        <w:rPr>
          <w:spacing w:val="-5"/>
        </w:rPr>
        <w:t xml:space="preserve"> </w:t>
      </w:r>
      <w:r>
        <w:t>renuncia</w:t>
      </w:r>
      <w:r>
        <w:rPr>
          <w:spacing w:val="-5"/>
        </w:rPr>
        <w:t xml:space="preserve"> </w:t>
      </w:r>
      <w:r>
        <w:t>de</w:t>
      </w:r>
      <w:r>
        <w:rPr>
          <w:spacing w:val="-5"/>
        </w:rPr>
        <w:t xml:space="preserve"> </w:t>
      </w:r>
      <w:r>
        <w:t>todos</w:t>
      </w:r>
      <w:r>
        <w:rPr>
          <w:spacing w:val="-5"/>
        </w:rPr>
        <w:t xml:space="preserve"> </w:t>
      </w:r>
      <w:r>
        <w:t>los</w:t>
      </w:r>
      <w:r>
        <w:rPr>
          <w:spacing w:val="-5"/>
        </w:rPr>
        <w:t xml:space="preserve"> </w:t>
      </w:r>
      <w:r>
        <w:t>jurados</w:t>
      </w:r>
      <w:r>
        <w:rPr>
          <w:spacing w:val="-5"/>
        </w:rPr>
        <w:t xml:space="preserve"> </w:t>
      </w:r>
      <w:r>
        <w:t>de</w:t>
      </w:r>
      <w:r>
        <w:rPr>
          <w:spacing w:val="-5"/>
        </w:rPr>
        <w:t xml:space="preserve"> </w:t>
      </w:r>
      <w:r>
        <w:t>votación</w:t>
      </w:r>
      <w:r>
        <w:rPr>
          <w:spacing w:val="-5"/>
        </w:rPr>
        <w:t xml:space="preserve"> </w:t>
      </w:r>
      <w:r>
        <w:t>y</w:t>
      </w:r>
      <w:r>
        <w:rPr>
          <w:spacing w:val="-5"/>
        </w:rPr>
        <w:t xml:space="preserve"> </w:t>
      </w:r>
      <w:r>
        <w:t>de</w:t>
      </w:r>
      <w:r>
        <w:rPr>
          <w:spacing w:val="-6"/>
        </w:rPr>
        <w:t xml:space="preserve"> </w:t>
      </w:r>
      <w:r>
        <w:t>todos</w:t>
      </w:r>
      <w:r>
        <w:rPr>
          <w:spacing w:val="-5"/>
        </w:rPr>
        <w:t xml:space="preserve"> </w:t>
      </w:r>
      <w:r>
        <w:t>los</w:t>
      </w:r>
      <w:r>
        <w:rPr>
          <w:spacing w:val="-5"/>
        </w:rPr>
        <w:t xml:space="preserve"> </w:t>
      </w:r>
      <w:r>
        <w:t>candidatos locales para las alcaldías y concejos</w:t>
      </w:r>
      <w:r w:rsidR="007B4A09">
        <w:rPr>
          <w:rStyle w:val="Refdenotaalpie"/>
        </w:rPr>
        <w:footnoteReference w:id="311"/>
      </w:r>
      <w:r>
        <w:t>, profundizando con ello mucho más las diferencias entre estos dos actores, a tal punto que la población y los poderes locales terminaron por inclinarse a favor de la entrada paramilitar.</w:t>
      </w:r>
    </w:p>
    <w:p w:rsidR="0011361F" w:rsidRDefault="00AF18A5" w:rsidP="007B4A09">
      <w:r>
        <w:t xml:space="preserve">Para el año de 1997, el ELN </w:t>
      </w:r>
      <w:r w:rsidRPr="007B4A09">
        <w:t>había</w:t>
      </w:r>
      <w:r>
        <w:t xml:space="preserve"> secuestrado a más de 50 políticos locales del sur de Bolívar, entre los que figuraban concejales, alcaldes y candidatos, con el objeto de hacerlos rendir cuentas sobre sus gestiones administrativas y políticas. Dicha situación le abrió las puertas a las AUC, que incursionaron en la zona y asestaron duros golpes a sus frentes, dejando tras de sí gran impacto humanitario a través de masacres, desapariciones forzadas, ejecuciones, desplazamiento forzado y ataques a la población civil</w:t>
      </w:r>
      <w:r w:rsidR="007B4A09">
        <w:rPr>
          <w:rStyle w:val="Refdenotaalpie"/>
        </w:rPr>
        <w:footnoteReference w:id="312"/>
      </w:r>
      <w:r>
        <w:t xml:space="preserve">. La consolidación paramilitar y el quiebre del ELN con ciertos sectores sociales y políticos facilitaron la emergencia del Movimiento de No al Despeje, que se opuso a la posibilidad, durante </w:t>
      </w:r>
      <w:r>
        <w:lastRenderedPageBreak/>
        <w:t>el gobierno</w:t>
      </w:r>
      <w:r>
        <w:rPr>
          <w:spacing w:val="-8"/>
        </w:rPr>
        <w:t xml:space="preserve"> </w:t>
      </w:r>
      <w:r>
        <w:t>de</w:t>
      </w:r>
      <w:r>
        <w:rPr>
          <w:spacing w:val="-9"/>
        </w:rPr>
        <w:t xml:space="preserve"> </w:t>
      </w:r>
      <w:r>
        <w:t>Andrés</w:t>
      </w:r>
      <w:r>
        <w:rPr>
          <w:spacing w:val="-8"/>
        </w:rPr>
        <w:t xml:space="preserve"> </w:t>
      </w:r>
      <w:r>
        <w:t>Pastrana,</w:t>
      </w:r>
      <w:r>
        <w:rPr>
          <w:spacing w:val="-8"/>
        </w:rPr>
        <w:t xml:space="preserve"> </w:t>
      </w:r>
      <w:r>
        <w:t>de</w:t>
      </w:r>
      <w:r>
        <w:rPr>
          <w:spacing w:val="-8"/>
        </w:rPr>
        <w:t xml:space="preserve"> </w:t>
      </w:r>
      <w:r>
        <w:t>una</w:t>
      </w:r>
      <w:r>
        <w:rPr>
          <w:spacing w:val="-11"/>
        </w:rPr>
        <w:t xml:space="preserve"> </w:t>
      </w:r>
      <w:r>
        <w:t>zona</w:t>
      </w:r>
      <w:r>
        <w:rPr>
          <w:spacing w:val="-8"/>
        </w:rPr>
        <w:t xml:space="preserve"> </w:t>
      </w:r>
      <w:r>
        <w:t>de</w:t>
      </w:r>
      <w:r>
        <w:rPr>
          <w:spacing w:val="-8"/>
        </w:rPr>
        <w:t xml:space="preserve"> </w:t>
      </w:r>
      <w:r>
        <w:t>despeje</w:t>
      </w:r>
      <w:r>
        <w:rPr>
          <w:spacing w:val="-8"/>
        </w:rPr>
        <w:t xml:space="preserve"> </w:t>
      </w:r>
      <w:r>
        <w:t>en</w:t>
      </w:r>
      <w:r>
        <w:rPr>
          <w:spacing w:val="-10"/>
        </w:rPr>
        <w:t xml:space="preserve"> </w:t>
      </w:r>
      <w:r>
        <w:t>el</w:t>
      </w:r>
      <w:r>
        <w:rPr>
          <w:spacing w:val="-9"/>
        </w:rPr>
        <w:t xml:space="preserve"> </w:t>
      </w:r>
      <w:r>
        <w:t>sur</w:t>
      </w:r>
      <w:r>
        <w:rPr>
          <w:spacing w:val="-9"/>
        </w:rPr>
        <w:t xml:space="preserve"> </w:t>
      </w:r>
      <w:r>
        <w:t>de</w:t>
      </w:r>
      <w:r>
        <w:rPr>
          <w:spacing w:val="-8"/>
        </w:rPr>
        <w:t xml:space="preserve"> </w:t>
      </w:r>
      <w:r>
        <w:t>Bolívar</w:t>
      </w:r>
      <w:r>
        <w:rPr>
          <w:spacing w:val="-8"/>
        </w:rPr>
        <w:t xml:space="preserve"> </w:t>
      </w:r>
      <w:r>
        <w:t>tal</w:t>
      </w:r>
      <w:r>
        <w:rPr>
          <w:spacing w:val="-8"/>
        </w:rPr>
        <w:t xml:space="preserve"> </w:t>
      </w:r>
      <w:r>
        <w:t>y</w:t>
      </w:r>
      <w:r>
        <w:rPr>
          <w:spacing w:val="-8"/>
        </w:rPr>
        <w:t xml:space="preserve"> </w:t>
      </w:r>
      <w:r>
        <w:t>como</w:t>
      </w:r>
      <w:r>
        <w:rPr>
          <w:spacing w:val="-8"/>
        </w:rPr>
        <w:t xml:space="preserve"> </w:t>
      </w:r>
      <w:r>
        <w:t>se</w:t>
      </w:r>
      <w:r>
        <w:rPr>
          <w:spacing w:val="-9"/>
        </w:rPr>
        <w:t xml:space="preserve"> </w:t>
      </w:r>
      <w:r>
        <w:t>había hecho en el Caguán</w:t>
      </w:r>
      <w:r w:rsidR="007B4A09">
        <w:rPr>
          <w:rStyle w:val="Refdenotaalpie"/>
        </w:rPr>
        <w:footnoteReference w:id="313"/>
      </w:r>
      <w:r>
        <w:t>.</w:t>
      </w:r>
    </w:p>
    <w:p w:rsidR="003804AC" w:rsidRDefault="00AF18A5" w:rsidP="007B4A09">
      <w:bookmarkStart w:id="442" w:name="_bookmark351"/>
      <w:bookmarkStart w:id="443" w:name="_bookmark352"/>
      <w:bookmarkStart w:id="444" w:name="_bookmark353"/>
      <w:bookmarkStart w:id="445" w:name="_bookmark354"/>
      <w:bookmarkStart w:id="446" w:name="_bookmark355"/>
      <w:bookmarkEnd w:id="442"/>
      <w:bookmarkEnd w:id="443"/>
      <w:bookmarkEnd w:id="444"/>
      <w:bookmarkEnd w:id="445"/>
      <w:bookmarkEnd w:id="446"/>
      <w:r>
        <w:t>Los</w:t>
      </w:r>
      <w:r>
        <w:rPr>
          <w:spacing w:val="-6"/>
        </w:rPr>
        <w:t xml:space="preserve"> </w:t>
      </w:r>
      <w:r>
        <w:t>grupos</w:t>
      </w:r>
      <w:r>
        <w:rPr>
          <w:spacing w:val="-6"/>
        </w:rPr>
        <w:t xml:space="preserve"> </w:t>
      </w:r>
      <w:r>
        <w:t>insurgentes</w:t>
      </w:r>
      <w:r>
        <w:rPr>
          <w:spacing w:val="-6"/>
        </w:rPr>
        <w:t xml:space="preserve"> </w:t>
      </w:r>
      <w:r>
        <w:t>en</w:t>
      </w:r>
      <w:r>
        <w:rPr>
          <w:spacing w:val="-6"/>
        </w:rPr>
        <w:t xml:space="preserve"> </w:t>
      </w:r>
      <w:r>
        <w:t>desarrollo</w:t>
      </w:r>
      <w:r>
        <w:rPr>
          <w:spacing w:val="-7"/>
        </w:rPr>
        <w:t xml:space="preserve"> </w:t>
      </w:r>
      <w:r>
        <w:t>del</w:t>
      </w:r>
      <w:r>
        <w:rPr>
          <w:spacing w:val="-5"/>
        </w:rPr>
        <w:t xml:space="preserve"> </w:t>
      </w:r>
      <w:r>
        <w:t>conflicto</w:t>
      </w:r>
      <w:r>
        <w:rPr>
          <w:spacing w:val="-7"/>
        </w:rPr>
        <w:t xml:space="preserve"> </w:t>
      </w:r>
      <w:r>
        <w:t>mantuvieron</w:t>
      </w:r>
      <w:r>
        <w:rPr>
          <w:spacing w:val="-6"/>
        </w:rPr>
        <w:t xml:space="preserve"> </w:t>
      </w:r>
      <w:r>
        <w:t>su</w:t>
      </w:r>
      <w:r>
        <w:rPr>
          <w:spacing w:val="-6"/>
        </w:rPr>
        <w:t xml:space="preserve"> </w:t>
      </w:r>
      <w:r>
        <w:t>objetivo</w:t>
      </w:r>
      <w:r>
        <w:rPr>
          <w:spacing w:val="-6"/>
        </w:rPr>
        <w:t xml:space="preserve"> </w:t>
      </w:r>
      <w:r>
        <w:t>estratégico</w:t>
      </w:r>
      <w:r>
        <w:rPr>
          <w:spacing w:val="-7"/>
        </w:rPr>
        <w:t xml:space="preserve"> </w:t>
      </w:r>
      <w:r>
        <w:t>de tomar el poder por vía de las armas para, según su narrativa, transformar el Estado y el régimen político. Y, al mismo tiempo que se mantuvieron en su alzamiento armado, intentaron</w:t>
      </w:r>
      <w:r>
        <w:rPr>
          <w:spacing w:val="-7"/>
        </w:rPr>
        <w:t xml:space="preserve"> </w:t>
      </w:r>
      <w:r>
        <w:t>una</w:t>
      </w:r>
      <w:r>
        <w:rPr>
          <w:spacing w:val="-7"/>
        </w:rPr>
        <w:t xml:space="preserve"> </w:t>
      </w:r>
      <w:r>
        <w:t>mayor</w:t>
      </w:r>
      <w:r>
        <w:rPr>
          <w:spacing w:val="-7"/>
        </w:rPr>
        <w:t xml:space="preserve"> </w:t>
      </w:r>
      <w:r>
        <w:t>apertura</w:t>
      </w:r>
      <w:r>
        <w:rPr>
          <w:spacing w:val="-7"/>
        </w:rPr>
        <w:t xml:space="preserve"> </w:t>
      </w:r>
      <w:r>
        <w:t>política</w:t>
      </w:r>
      <w:r>
        <w:rPr>
          <w:spacing w:val="-7"/>
        </w:rPr>
        <w:t xml:space="preserve"> </w:t>
      </w:r>
      <w:r>
        <w:t>del</w:t>
      </w:r>
      <w:r>
        <w:rPr>
          <w:spacing w:val="-7"/>
        </w:rPr>
        <w:t xml:space="preserve"> </w:t>
      </w:r>
      <w:r>
        <w:t>régimen</w:t>
      </w:r>
      <w:r>
        <w:rPr>
          <w:spacing w:val="-7"/>
        </w:rPr>
        <w:t xml:space="preserve"> </w:t>
      </w:r>
      <w:r>
        <w:t>político</w:t>
      </w:r>
      <w:r>
        <w:rPr>
          <w:spacing w:val="-7"/>
        </w:rPr>
        <w:t xml:space="preserve"> </w:t>
      </w:r>
      <w:r>
        <w:t>y</w:t>
      </w:r>
      <w:r>
        <w:rPr>
          <w:spacing w:val="-8"/>
        </w:rPr>
        <w:t xml:space="preserve"> </w:t>
      </w:r>
      <w:r>
        <w:t>del</w:t>
      </w:r>
      <w:r>
        <w:rPr>
          <w:spacing w:val="-7"/>
        </w:rPr>
        <w:t xml:space="preserve"> </w:t>
      </w:r>
      <w:r>
        <w:t>sistema</w:t>
      </w:r>
      <w:r>
        <w:rPr>
          <w:spacing w:val="-8"/>
        </w:rPr>
        <w:t xml:space="preserve"> </w:t>
      </w:r>
      <w:r>
        <w:t>de</w:t>
      </w:r>
      <w:r>
        <w:rPr>
          <w:spacing w:val="-7"/>
        </w:rPr>
        <w:t xml:space="preserve"> </w:t>
      </w:r>
      <w:r>
        <w:t>partidos</w:t>
      </w:r>
      <w:r>
        <w:rPr>
          <w:spacing w:val="-7"/>
        </w:rPr>
        <w:t xml:space="preserve"> </w:t>
      </w:r>
      <w:r>
        <w:t>a</w:t>
      </w:r>
      <w:r>
        <w:rPr>
          <w:spacing w:val="-8"/>
        </w:rPr>
        <w:t xml:space="preserve"> </w:t>
      </w:r>
      <w:r>
        <w:t>través de acuerdos y procesos de negociación con diferentes Gobiernos. Para lograr ese propósito buscaron tener influencia en la vida política nacional mediante acciones que afectaron la precaria</w:t>
      </w:r>
      <w:r>
        <w:rPr>
          <w:spacing w:val="-7"/>
        </w:rPr>
        <w:t xml:space="preserve"> </w:t>
      </w:r>
      <w:r>
        <w:t>democracia</w:t>
      </w:r>
      <w:r>
        <w:rPr>
          <w:spacing w:val="-7"/>
        </w:rPr>
        <w:t xml:space="preserve"> </w:t>
      </w:r>
      <w:r>
        <w:t>colombiana,</w:t>
      </w:r>
      <w:r>
        <w:rPr>
          <w:spacing w:val="-7"/>
        </w:rPr>
        <w:t xml:space="preserve"> </w:t>
      </w:r>
      <w:r>
        <w:t>la</w:t>
      </w:r>
      <w:r>
        <w:rPr>
          <w:spacing w:val="-8"/>
        </w:rPr>
        <w:t xml:space="preserve"> </w:t>
      </w:r>
      <w:r>
        <w:t>competencia</w:t>
      </w:r>
      <w:r>
        <w:rPr>
          <w:spacing w:val="-7"/>
        </w:rPr>
        <w:t xml:space="preserve"> </w:t>
      </w:r>
      <w:r>
        <w:t>política</w:t>
      </w:r>
      <w:r>
        <w:rPr>
          <w:spacing w:val="-7"/>
        </w:rPr>
        <w:t xml:space="preserve"> </w:t>
      </w:r>
      <w:r>
        <w:t>electoral</w:t>
      </w:r>
      <w:r>
        <w:rPr>
          <w:spacing w:val="-7"/>
        </w:rPr>
        <w:t xml:space="preserve"> </w:t>
      </w:r>
      <w:r>
        <w:t>y</w:t>
      </w:r>
      <w:r>
        <w:rPr>
          <w:spacing w:val="-7"/>
        </w:rPr>
        <w:t xml:space="preserve"> </w:t>
      </w:r>
      <w:r>
        <w:t>la</w:t>
      </w:r>
      <w:r>
        <w:rPr>
          <w:spacing w:val="-7"/>
        </w:rPr>
        <w:t xml:space="preserve"> </w:t>
      </w:r>
      <w:r>
        <w:t>gobernabilidad</w:t>
      </w:r>
      <w:r>
        <w:rPr>
          <w:spacing w:val="-7"/>
        </w:rPr>
        <w:t xml:space="preserve"> </w:t>
      </w:r>
      <w:r>
        <w:t>de</w:t>
      </w:r>
      <w:r>
        <w:rPr>
          <w:spacing w:val="-7"/>
        </w:rPr>
        <w:t xml:space="preserve"> </w:t>
      </w:r>
      <w:r>
        <w:t>las autoridades nacionales, regionales y locales. Más específicamente, según el momento histórico</w:t>
      </w:r>
      <w:r>
        <w:rPr>
          <w:spacing w:val="-2"/>
        </w:rPr>
        <w:t xml:space="preserve"> </w:t>
      </w:r>
      <w:r>
        <w:t>y</w:t>
      </w:r>
      <w:r>
        <w:rPr>
          <w:spacing w:val="-2"/>
        </w:rPr>
        <w:t xml:space="preserve"> </w:t>
      </w:r>
      <w:r>
        <w:t>las</w:t>
      </w:r>
      <w:r>
        <w:rPr>
          <w:spacing w:val="-2"/>
        </w:rPr>
        <w:t xml:space="preserve"> </w:t>
      </w:r>
      <w:r>
        <w:t>dinámicas</w:t>
      </w:r>
      <w:r>
        <w:rPr>
          <w:spacing w:val="-2"/>
        </w:rPr>
        <w:t xml:space="preserve"> </w:t>
      </w:r>
      <w:r>
        <w:t>territoriales</w:t>
      </w:r>
      <w:r>
        <w:rPr>
          <w:spacing w:val="-2"/>
        </w:rPr>
        <w:t xml:space="preserve"> </w:t>
      </w:r>
      <w:r>
        <w:t>del</w:t>
      </w:r>
      <w:r>
        <w:rPr>
          <w:spacing w:val="-2"/>
        </w:rPr>
        <w:t xml:space="preserve"> </w:t>
      </w:r>
      <w:r>
        <w:t>conflicto,</w:t>
      </w:r>
      <w:r>
        <w:rPr>
          <w:spacing w:val="-2"/>
        </w:rPr>
        <w:t xml:space="preserve"> </w:t>
      </w:r>
      <w:r>
        <w:t>impidieron</w:t>
      </w:r>
      <w:r>
        <w:rPr>
          <w:spacing w:val="-2"/>
        </w:rPr>
        <w:t xml:space="preserve"> </w:t>
      </w:r>
      <w:r>
        <w:t>y</w:t>
      </w:r>
      <w:r>
        <w:rPr>
          <w:spacing w:val="-2"/>
        </w:rPr>
        <w:t xml:space="preserve"> </w:t>
      </w:r>
      <w:r>
        <w:t>sabotearon</w:t>
      </w:r>
      <w:r>
        <w:rPr>
          <w:spacing w:val="-2"/>
        </w:rPr>
        <w:t xml:space="preserve"> </w:t>
      </w:r>
      <w:r>
        <w:t>las</w:t>
      </w:r>
      <w:r>
        <w:rPr>
          <w:spacing w:val="-2"/>
        </w:rPr>
        <w:t xml:space="preserve"> </w:t>
      </w:r>
      <w:r>
        <w:t>elecciones</w:t>
      </w:r>
      <w:r>
        <w:rPr>
          <w:spacing w:val="-2"/>
        </w:rPr>
        <w:t xml:space="preserve"> </w:t>
      </w:r>
      <w:r>
        <w:t>a nivel nacional, regional y local e incidieron a través de la violencia en los resultados electorales.</w:t>
      </w:r>
      <w:r>
        <w:rPr>
          <w:spacing w:val="-5"/>
        </w:rPr>
        <w:t xml:space="preserve"> </w:t>
      </w:r>
      <w:r>
        <w:t>También</w:t>
      </w:r>
      <w:r>
        <w:rPr>
          <w:spacing w:val="-5"/>
        </w:rPr>
        <w:t xml:space="preserve"> </w:t>
      </w:r>
      <w:r>
        <w:t>declararon</w:t>
      </w:r>
      <w:r>
        <w:rPr>
          <w:spacing w:val="-3"/>
        </w:rPr>
        <w:t xml:space="preserve"> </w:t>
      </w:r>
      <w:r>
        <w:t>objetivo</w:t>
      </w:r>
      <w:r>
        <w:rPr>
          <w:spacing w:val="-5"/>
        </w:rPr>
        <w:t xml:space="preserve"> </w:t>
      </w:r>
      <w:r>
        <w:t>militar</w:t>
      </w:r>
      <w:r>
        <w:rPr>
          <w:spacing w:val="-4"/>
        </w:rPr>
        <w:t xml:space="preserve"> </w:t>
      </w:r>
      <w:r>
        <w:t>a</w:t>
      </w:r>
      <w:r>
        <w:rPr>
          <w:spacing w:val="-3"/>
        </w:rPr>
        <w:t xml:space="preserve"> </w:t>
      </w:r>
      <w:r>
        <w:t>destacados</w:t>
      </w:r>
      <w:r>
        <w:rPr>
          <w:spacing w:val="-3"/>
        </w:rPr>
        <w:t xml:space="preserve"> </w:t>
      </w:r>
      <w:r>
        <w:t>dirigentes</w:t>
      </w:r>
      <w:r>
        <w:rPr>
          <w:spacing w:val="-4"/>
        </w:rPr>
        <w:t xml:space="preserve"> </w:t>
      </w:r>
      <w:r>
        <w:t>de</w:t>
      </w:r>
      <w:r>
        <w:rPr>
          <w:spacing w:val="-3"/>
        </w:rPr>
        <w:t xml:space="preserve"> </w:t>
      </w:r>
      <w:r>
        <w:t>la</w:t>
      </w:r>
      <w:r>
        <w:rPr>
          <w:spacing w:val="-4"/>
        </w:rPr>
        <w:t xml:space="preserve"> </w:t>
      </w:r>
      <w:r>
        <w:t>élite</w:t>
      </w:r>
      <w:r>
        <w:rPr>
          <w:spacing w:val="-4"/>
        </w:rPr>
        <w:t xml:space="preserve"> </w:t>
      </w:r>
      <w:r>
        <w:t>política</w:t>
      </w:r>
      <w:r>
        <w:rPr>
          <w:spacing w:val="-4"/>
        </w:rPr>
        <w:t xml:space="preserve"> </w:t>
      </w:r>
      <w:r>
        <w:t>y a miembros de los partidos políticos tradicionales en el ámbito regional y local, contra quienes ejecutaron diferentes infracciones al derecho internacional humanitario, e incluso realizaron actos de violencia contra las opciones políticas alternativas que se opusieron a la violencia y a las propuestas políticas de los grupos guerrilleros.</w:t>
      </w:r>
    </w:p>
    <w:p w:rsidR="003804AC" w:rsidRDefault="00AF18A5" w:rsidP="00C3605D">
      <w:r>
        <w:t>Con</w:t>
      </w:r>
      <w:r>
        <w:rPr>
          <w:spacing w:val="-6"/>
        </w:rPr>
        <w:t xml:space="preserve"> </w:t>
      </w:r>
      <w:r>
        <w:t>la</w:t>
      </w:r>
      <w:r>
        <w:rPr>
          <w:spacing w:val="-6"/>
        </w:rPr>
        <w:t xml:space="preserve"> </w:t>
      </w:r>
      <w:r>
        <w:t>prolongación</w:t>
      </w:r>
      <w:r>
        <w:rPr>
          <w:spacing w:val="-6"/>
        </w:rPr>
        <w:t xml:space="preserve"> </w:t>
      </w:r>
      <w:r>
        <w:t>del</w:t>
      </w:r>
      <w:r>
        <w:rPr>
          <w:spacing w:val="-7"/>
        </w:rPr>
        <w:t xml:space="preserve"> </w:t>
      </w:r>
      <w:r>
        <w:t>conflicto</w:t>
      </w:r>
      <w:r>
        <w:rPr>
          <w:spacing w:val="-6"/>
        </w:rPr>
        <w:t xml:space="preserve"> </w:t>
      </w:r>
      <w:r>
        <w:t>armado,</w:t>
      </w:r>
      <w:r>
        <w:rPr>
          <w:spacing w:val="-6"/>
        </w:rPr>
        <w:t xml:space="preserve"> </w:t>
      </w:r>
      <w:r>
        <w:t>los</w:t>
      </w:r>
      <w:r>
        <w:rPr>
          <w:spacing w:val="-6"/>
        </w:rPr>
        <w:t xml:space="preserve"> </w:t>
      </w:r>
      <w:r>
        <w:t>grupos</w:t>
      </w:r>
      <w:r>
        <w:rPr>
          <w:spacing w:val="-6"/>
        </w:rPr>
        <w:t xml:space="preserve"> </w:t>
      </w:r>
      <w:r>
        <w:t>guerrilleros</w:t>
      </w:r>
      <w:r>
        <w:rPr>
          <w:spacing w:val="-6"/>
        </w:rPr>
        <w:t xml:space="preserve"> </w:t>
      </w:r>
      <w:r>
        <w:lastRenderedPageBreak/>
        <w:t>reforzaron</w:t>
      </w:r>
      <w:r>
        <w:rPr>
          <w:spacing w:val="-6"/>
        </w:rPr>
        <w:t xml:space="preserve"> </w:t>
      </w:r>
      <w:r>
        <w:t>varias</w:t>
      </w:r>
      <w:r>
        <w:rPr>
          <w:spacing w:val="-6"/>
        </w:rPr>
        <w:t xml:space="preserve"> </w:t>
      </w:r>
      <w:r>
        <w:t>de</w:t>
      </w:r>
      <w:r>
        <w:rPr>
          <w:spacing w:val="-6"/>
        </w:rPr>
        <w:t xml:space="preserve"> </w:t>
      </w:r>
      <w:r>
        <w:t>las características más negativas de la vida política nacional: la incesante combinación entre armas</w:t>
      </w:r>
      <w:r>
        <w:rPr>
          <w:spacing w:val="-15"/>
        </w:rPr>
        <w:t xml:space="preserve"> </w:t>
      </w:r>
      <w:r>
        <w:t>política</w:t>
      </w:r>
      <w:r>
        <w:rPr>
          <w:spacing w:val="-15"/>
        </w:rPr>
        <w:t xml:space="preserve"> </w:t>
      </w:r>
      <w:r>
        <w:t>y</w:t>
      </w:r>
      <w:r>
        <w:rPr>
          <w:spacing w:val="-15"/>
        </w:rPr>
        <w:t xml:space="preserve"> </w:t>
      </w:r>
      <w:r>
        <w:t>votos,</w:t>
      </w:r>
      <w:r>
        <w:rPr>
          <w:spacing w:val="-15"/>
        </w:rPr>
        <w:t xml:space="preserve"> </w:t>
      </w:r>
      <w:r>
        <w:t>ya</w:t>
      </w:r>
      <w:r>
        <w:rPr>
          <w:spacing w:val="-15"/>
        </w:rPr>
        <w:t xml:space="preserve"> </w:t>
      </w:r>
      <w:r>
        <w:t>que</w:t>
      </w:r>
      <w:r>
        <w:rPr>
          <w:spacing w:val="-15"/>
        </w:rPr>
        <w:t xml:space="preserve"> </w:t>
      </w:r>
      <w:r>
        <w:t>en</w:t>
      </w:r>
      <w:r>
        <w:rPr>
          <w:spacing w:val="-15"/>
        </w:rPr>
        <w:t xml:space="preserve"> </w:t>
      </w:r>
      <w:r>
        <w:t>algunas</w:t>
      </w:r>
      <w:r>
        <w:rPr>
          <w:spacing w:val="-15"/>
        </w:rPr>
        <w:t xml:space="preserve"> </w:t>
      </w:r>
      <w:r>
        <w:t>regiones</w:t>
      </w:r>
      <w:r>
        <w:rPr>
          <w:spacing w:val="-15"/>
        </w:rPr>
        <w:t xml:space="preserve"> </w:t>
      </w:r>
      <w:r>
        <w:t>las</w:t>
      </w:r>
      <w:r>
        <w:rPr>
          <w:spacing w:val="-15"/>
        </w:rPr>
        <w:t xml:space="preserve"> </w:t>
      </w:r>
      <w:r>
        <w:t>FARC-EP,</w:t>
      </w:r>
      <w:r>
        <w:rPr>
          <w:spacing w:val="-15"/>
        </w:rPr>
        <w:t xml:space="preserve"> </w:t>
      </w:r>
      <w:r>
        <w:t>por</w:t>
      </w:r>
      <w:r>
        <w:rPr>
          <w:spacing w:val="-15"/>
        </w:rPr>
        <w:t xml:space="preserve"> </w:t>
      </w:r>
      <w:r>
        <w:t>ejemplo,</w:t>
      </w:r>
      <w:r>
        <w:rPr>
          <w:spacing w:val="-15"/>
        </w:rPr>
        <w:t xml:space="preserve"> </w:t>
      </w:r>
      <w:r>
        <w:t>se</w:t>
      </w:r>
      <w:r>
        <w:rPr>
          <w:spacing w:val="-15"/>
        </w:rPr>
        <w:t xml:space="preserve"> </w:t>
      </w:r>
      <w:r>
        <w:t>convirtieron en árbitro violento de las disputas por el poder local y regional; o en otras regiones se transformaron en intermediarios entre el Estado, los territorios y sus pobladores, a través de los mismos mecanismos y prácticas clientelistas que le criticaban a la clase política tradicional, como fue el caso del ELN en Arauca.</w:t>
      </w:r>
    </w:p>
    <w:p w:rsidR="0011361F" w:rsidRDefault="00AF18A5" w:rsidP="004A6EF4">
      <w:pPr>
        <w:pStyle w:val="Ttulo3"/>
        <w:numPr>
          <w:ilvl w:val="1"/>
          <w:numId w:val="16"/>
        </w:numPr>
      </w:pPr>
      <w:bookmarkStart w:id="447" w:name="4.7._Diplomacias_y_apoyos_insurgentes"/>
      <w:bookmarkStart w:id="448" w:name="_Toc112399588"/>
      <w:bookmarkEnd w:id="447"/>
      <w:r w:rsidRPr="008E0C45">
        <w:t>Diplomacias</w:t>
      </w:r>
      <w:r>
        <w:rPr>
          <w:spacing w:val="-2"/>
        </w:rPr>
        <w:t xml:space="preserve"> </w:t>
      </w:r>
      <w:r>
        <w:t>y</w:t>
      </w:r>
      <w:r>
        <w:rPr>
          <w:spacing w:val="-2"/>
        </w:rPr>
        <w:t xml:space="preserve"> </w:t>
      </w:r>
      <w:r>
        <w:t>apoyos</w:t>
      </w:r>
      <w:r>
        <w:rPr>
          <w:spacing w:val="-2"/>
        </w:rPr>
        <w:t xml:space="preserve"> insurgentes</w:t>
      </w:r>
      <w:bookmarkEnd w:id="448"/>
    </w:p>
    <w:p w:rsidR="003804AC" w:rsidRDefault="00AF18A5" w:rsidP="00B848A6">
      <w:r>
        <w:t>Durante el conflicto armado la insurgencia tuvo diferentes tipos y momentos de conexiones con</w:t>
      </w:r>
      <w:r>
        <w:rPr>
          <w:spacing w:val="-1"/>
        </w:rPr>
        <w:t xml:space="preserve"> </w:t>
      </w:r>
      <w:r>
        <w:t>el</w:t>
      </w:r>
      <w:r>
        <w:rPr>
          <w:spacing w:val="-2"/>
        </w:rPr>
        <w:t xml:space="preserve"> </w:t>
      </w:r>
      <w:r>
        <w:t>extranjero.</w:t>
      </w:r>
      <w:r>
        <w:rPr>
          <w:spacing w:val="-1"/>
        </w:rPr>
        <w:t xml:space="preserve"> </w:t>
      </w:r>
      <w:r>
        <w:t>La</w:t>
      </w:r>
      <w:r>
        <w:rPr>
          <w:spacing w:val="-2"/>
        </w:rPr>
        <w:t xml:space="preserve"> </w:t>
      </w:r>
      <w:r>
        <w:t>primera</w:t>
      </w:r>
      <w:r>
        <w:rPr>
          <w:spacing w:val="-2"/>
        </w:rPr>
        <w:t xml:space="preserve"> </w:t>
      </w:r>
      <w:r>
        <w:t>etapa,</w:t>
      </w:r>
      <w:r>
        <w:rPr>
          <w:spacing w:val="-3"/>
        </w:rPr>
        <w:t xml:space="preserve"> </w:t>
      </w:r>
      <w:r>
        <w:t>tuvo</w:t>
      </w:r>
      <w:r>
        <w:rPr>
          <w:spacing w:val="-1"/>
        </w:rPr>
        <w:t xml:space="preserve"> </w:t>
      </w:r>
      <w:r>
        <w:t>lugar</w:t>
      </w:r>
      <w:r>
        <w:rPr>
          <w:spacing w:val="-1"/>
        </w:rPr>
        <w:t xml:space="preserve"> </w:t>
      </w:r>
      <w:r>
        <w:t>en</w:t>
      </w:r>
      <w:r>
        <w:rPr>
          <w:spacing w:val="-1"/>
        </w:rPr>
        <w:t xml:space="preserve"> </w:t>
      </w:r>
      <w:r>
        <w:t>contexto</w:t>
      </w:r>
      <w:r>
        <w:rPr>
          <w:spacing w:val="-1"/>
        </w:rPr>
        <w:t xml:space="preserve"> </w:t>
      </w:r>
      <w:r>
        <w:t>de</w:t>
      </w:r>
      <w:r>
        <w:rPr>
          <w:spacing w:val="-1"/>
        </w:rPr>
        <w:t xml:space="preserve"> </w:t>
      </w:r>
      <w:r>
        <w:t>la</w:t>
      </w:r>
      <w:r>
        <w:rPr>
          <w:spacing w:val="-1"/>
        </w:rPr>
        <w:t xml:space="preserve"> </w:t>
      </w:r>
      <w:r>
        <w:t>Guerra</w:t>
      </w:r>
      <w:r>
        <w:rPr>
          <w:spacing w:val="-2"/>
        </w:rPr>
        <w:t xml:space="preserve"> </w:t>
      </w:r>
      <w:r>
        <w:t>Fría,</w:t>
      </w:r>
      <w:r>
        <w:rPr>
          <w:spacing w:val="-1"/>
        </w:rPr>
        <w:t xml:space="preserve"> </w:t>
      </w:r>
      <w:r>
        <w:t>y</w:t>
      </w:r>
      <w:r>
        <w:rPr>
          <w:spacing w:val="-1"/>
        </w:rPr>
        <w:t xml:space="preserve"> </w:t>
      </w:r>
      <w:r>
        <w:t>se</w:t>
      </w:r>
      <w:r>
        <w:rPr>
          <w:spacing w:val="-1"/>
        </w:rPr>
        <w:t xml:space="preserve"> </w:t>
      </w:r>
      <w:r>
        <w:t>basó</w:t>
      </w:r>
      <w:r>
        <w:rPr>
          <w:spacing w:val="-1"/>
        </w:rPr>
        <w:t xml:space="preserve"> </w:t>
      </w:r>
      <w:r>
        <w:t xml:space="preserve">en </w:t>
      </w:r>
      <w:r>
        <w:rPr>
          <w:spacing w:val="-5"/>
        </w:rPr>
        <w:t>la</w:t>
      </w:r>
      <w:r w:rsidR="00B848A6">
        <w:t xml:space="preserve"> </w:t>
      </w:r>
      <w:r>
        <w:t>solidaridad de los países socialistas con los nacientes movimientos de izquierda. Aunque es difícil establecer una injerencia de los países del bloque comunista sobre Colombia, es posible</w:t>
      </w:r>
      <w:r>
        <w:rPr>
          <w:spacing w:val="-14"/>
        </w:rPr>
        <w:t xml:space="preserve"> </w:t>
      </w:r>
      <w:r>
        <w:t>hablar</w:t>
      </w:r>
      <w:r>
        <w:rPr>
          <w:spacing w:val="-12"/>
        </w:rPr>
        <w:t xml:space="preserve"> </w:t>
      </w:r>
      <w:r>
        <w:t>de</w:t>
      </w:r>
      <w:r>
        <w:rPr>
          <w:spacing w:val="-11"/>
        </w:rPr>
        <w:t xml:space="preserve"> </w:t>
      </w:r>
      <w:r>
        <w:t>una</w:t>
      </w:r>
      <w:r>
        <w:rPr>
          <w:spacing w:val="-12"/>
        </w:rPr>
        <w:t xml:space="preserve"> </w:t>
      </w:r>
      <w:r>
        <w:t>influencia</w:t>
      </w:r>
      <w:r>
        <w:rPr>
          <w:spacing w:val="-12"/>
        </w:rPr>
        <w:t xml:space="preserve"> </w:t>
      </w:r>
      <w:r>
        <w:t>y</w:t>
      </w:r>
      <w:r>
        <w:rPr>
          <w:spacing w:val="-11"/>
        </w:rPr>
        <w:t xml:space="preserve"> </w:t>
      </w:r>
      <w:r>
        <w:t>apoyos</w:t>
      </w:r>
      <w:r>
        <w:rPr>
          <w:spacing w:val="-12"/>
        </w:rPr>
        <w:t xml:space="preserve"> </w:t>
      </w:r>
      <w:r>
        <w:t>políticos,</w:t>
      </w:r>
      <w:r>
        <w:rPr>
          <w:spacing w:val="-12"/>
        </w:rPr>
        <w:t xml:space="preserve"> </w:t>
      </w:r>
      <w:r>
        <w:t>al</w:t>
      </w:r>
      <w:r>
        <w:rPr>
          <w:spacing w:val="-11"/>
        </w:rPr>
        <w:t xml:space="preserve"> </w:t>
      </w:r>
      <w:r>
        <w:t>menos</w:t>
      </w:r>
      <w:r>
        <w:rPr>
          <w:spacing w:val="-13"/>
        </w:rPr>
        <w:t xml:space="preserve"> </w:t>
      </w:r>
      <w:r>
        <w:t>de</w:t>
      </w:r>
      <w:r>
        <w:rPr>
          <w:spacing w:val="-12"/>
        </w:rPr>
        <w:t xml:space="preserve"> </w:t>
      </w:r>
      <w:r>
        <w:t>parte</w:t>
      </w:r>
      <w:r>
        <w:rPr>
          <w:spacing w:val="-11"/>
        </w:rPr>
        <w:t xml:space="preserve"> </w:t>
      </w:r>
      <w:r>
        <w:t>de</w:t>
      </w:r>
      <w:r>
        <w:rPr>
          <w:spacing w:val="-13"/>
        </w:rPr>
        <w:t xml:space="preserve"> </w:t>
      </w:r>
      <w:r>
        <w:t>la</w:t>
      </w:r>
      <w:r>
        <w:rPr>
          <w:spacing w:val="-12"/>
        </w:rPr>
        <w:t xml:space="preserve"> </w:t>
      </w:r>
      <w:r>
        <w:t>URSS</w:t>
      </w:r>
      <w:r>
        <w:rPr>
          <w:spacing w:val="-12"/>
        </w:rPr>
        <w:t xml:space="preserve"> </w:t>
      </w:r>
      <w:r>
        <w:t>y</w:t>
      </w:r>
      <w:r>
        <w:rPr>
          <w:spacing w:val="-11"/>
        </w:rPr>
        <w:t xml:space="preserve"> </w:t>
      </w:r>
      <w:r>
        <w:t>de</w:t>
      </w:r>
      <w:r>
        <w:rPr>
          <w:spacing w:val="-11"/>
        </w:rPr>
        <w:t xml:space="preserve"> </w:t>
      </w:r>
      <w:r>
        <w:rPr>
          <w:spacing w:val="-2"/>
        </w:rPr>
        <w:t>China.</w:t>
      </w:r>
    </w:p>
    <w:p w:rsidR="003804AC" w:rsidRDefault="00AF18A5" w:rsidP="00B848A6">
      <w:r>
        <w:t xml:space="preserve">La URSS </w:t>
      </w:r>
      <w:r w:rsidRPr="00B848A6">
        <w:t>brindaba</w:t>
      </w:r>
      <w:r>
        <w:t xml:space="preserve"> fundamentalmente apoyo político, ideológico y cultural –el llamado poder blando–, con el que pretendió influenciar líderes y formar cuadros para expandir la revolución, pero sin apoyo militar o contraprestaciones económicas. Para el caso de Colombia, este apoyo iba dirigido estrictamente al PCC y a la JUCO, no a las guerrillas, y aunque la mayoría no lo hizo, algunos de quienes participaron en estas escuelas decidieron dejar el partido y levantarse en armas.</w:t>
      </w:r>
    </w:p>
    <w:p w:rsidR="003804AC" w:rsidRDefault="00AF18A5" w:rsidP="00B848A6">
      <w:r>
        <w:t xml:space="preserve">Con la </w:t>
      </w:r>
      <w:r w:rsidRPr="00B848A6">
        <w:t>Revolución</w:t>
      </w:r>
      <w:r>
        <w:t xml:space="preserve"> cubana y un apoyo más decidido desde este país, se da paso a un segundo</w:t>
      </w:r>
      <w:r>
        <w:rPr>
          <w:spacing w:val="-12"/>
        </w:rPr>
        <w:t xml:space="preserve"> </w:t>
      </w:r>
      <w:r>
        <w:t>momento</w:t>
      </w:r>
      <w:r>
        <w:rPr>
          <w:spacing w:val="-12"/>
        </w:rPr>
        <w:t xml:space="preserve"> </w:t>
      </w:r>
      <w:r>
        <w:t>de</w:t>
      </w:r>
      <w:r>
        <w:rPr>
          <w:spacing w:val="-12"/>
        </w:rPr>
        <w:t xml:space="preserve"> </w:t>
      </w:r>
      <w:r>
        <w:t>conexión</w:t>
      </w:r>
      <w:r>
        <w:rPr>
          <w:spacing w:val="-12"/>
        </w:rPr>
        <w:t xml:space="preserve"> </w:t>
      </w:r>
      <w:r>
        <w:t>de</w:t>
      </w:r>
      <w:r>
        <w:rPr>
          <w:spacing w:val="-13"/>
        </w:rPr>
        <w:t xml:space="preserve"> </w:t>
      </w:r>
      <w:r>
        <w:t>las</w:t>
      </w:r>
      <w:r>
        <w:rPr>
          <w:spacing w:val="-12"/>
        </w:rPr>
        <w:t xml:space="preserve"> </w:t>
      </w:r>
      <w:r>
        <w:t>guerrillas</w:t>
      </w:r>
      <w:r>
        <w:rPr>
          <w:spacing w:val="-13"/>
        </w:rPr>
        <w:t xml:space="preserve"> </w:t>
      </w:r>
      <w:r>
        <w:t>colombianas</w:t>
      </w:r>
      <w:r>
        <w:rPr>
          <w:spacing w:val="-13"/>
        </w:rPr>
        <w:t xml:space="preserve"> </w:t>
      </w:r>
      <w:r>
        <w:t>con</w:t>
      </w:r>
      <w:r>
        <w:rPr>
          <w:spacing w:val="-12"/>
        </w:rPr>
        <w:t xml:space="preserve"> </w:t>
      </w:r>
      <w:r>
        <w:t>el</w:t>
      </w:r>
      <w:r>
        <w:rPr>
          <w:spacing w:val="-13"/>
        </w:rPr>
        <w:t xml:space="preserve"> </w:t>
      </w:r>
      <w:r>
        <w:t>extranjero.</w:t>
      </w:r>
      <w:r>
        <w:rPr>
          <w:spacing w:val="-12"/>
        </w:rPr>
        <w:t xml:space="preserve"> </w:t>
      </w:r>
      <w:r>
        <w:t>En</w:t>
      </w:r>
      <w:r>
        <w:rPr>
          <w:spacing w:val="-13"/>
        </w:rPr>
        <w:t xml:space="preserve"> </w:t>
      </w:r>
      <w:r>
        <w:t>particular, Cuba</w:t>
      </w:r>
      <w:r>
        <w:rPr>
          <w:spacing w:val="-7"/>
        </w:rPr>
        <w:t xml:space="preserve"> </w:t>
      </w:r>
      <w:r>
        <w:t>brinda</w:t>
      </w:r>
      <w:r>
        <w:rPr>
          <w:spacing w:val="-8"/>
        </w:rPr>
        <w:t xml:space="preserve"> </w:t>
      </w:r>
      <w:r>
        <w:t>apoyo</w:t>
      </w:r>
      <w:r>
        <w:rPr>
          <w:spacing w:val="-7"/>
        </w:rPr>
        <w:t xml:space="preserve"> </w:t>
      </w:r>
      <w:r>
        <w:t>al</w:t>
      </w:r>
      <w:r>
        <w:rPr>
          <w:spacing w:val="-7"/>
        </w:rPr>
        <w:t xml:space="preserve"> </w:t>
      </w:r>
      <w:r>
        <w:t>ELN,</w:t>
      </w:r>
      <w:r>
        <w:rPr>
          <w:spacing w:val="-7"/>
        </w:rPr>
        <w:t xml:space="preserve"> </w:t>
      </w:r>
      <w:r>
        <w:t>al</w:t>
      </w:r>
      <w:r>
        <w:rPr>
          <w:spacing w:val="-7"/>
        </w:rPr>
        <w:t xml:space="preserve"> </w:t>
      </w:r>
      <w:r>
        <w:t>M-19</w:t>
      </w:r>
      <w:r>
        <w:rPr>
          <w:spacing w:val="-7"/>
        </w:rPr>
        <w:t xml:space="preserve"> </w:t>
      </w:r>
      <w:r>
        <w:t>y</w:t>
      </w:r>
      <w:r>
        <w:rPr>
          <w:spacing w:val="-8"/>
        </w:rPr>
        <w:t xml:space="preserve"> </w:t>
      </w:r>
      <w:r>
        <w:t>en</w:t>
      </w:r>
      <w:r>
        <w:rPr>
          <w:spacing w:val="-7"/>
        </w:rPr>
        <w:t xml:space="preserve"> </w:t>
      </w:r>
      <w:r>
        <w:t>menor</w:t>
      </w:r>
      <w:r>
        <w:rPr>
          <w:spacing w:val="-8"/>
        </w:rPr>
        <w:t xml:space="preserve"> </w:t>
      </w:r>
      <w:r>
        <w:t>medida</w:t>
      </w:r>
      <w:r>
        <w:rPr>
          <w:spacing w:val="-8"/>
        </w:rPr>
        <w:t xml:space="preserve"> </w:t>
      </w:r>
      <w:r>
        <w:t>a</w:t>
      </w:r>
      <w:r>
        <w:rPr>
          <w:spacing w:val="-7"/>
        </w:rPr>
        <w:t xml:space="preserve"> </w:t>
      </w:r>
      <w:r>
        <w:t>las</w:t>
      </w:r>
      <w:r>
        <w:rPr>
          <w:spacing w:val="-7"/>
        </w:rPr>
        <w:t xml:space="preserve"> </w:t>
      </w:r>
      <w:r>
        <w:t>FARC.</w:t>
      </w:r>
      <w:r>
        <w:rPr>
          <w:spacing w:val="-7"/>
        </w:rPr>
        <w:t xml:space="preserve"> </w:t>
      </w:r>
      <w:r>
        <w:t>En</w:t>
      </w:r>
      <w:r>
        <w:rPr>
          <w:spacing w:val="-7"/>
        </w:rPr>
        <w:t xml:space="preserve"> </w:t>
      </w:r>
      <w:r>
        <w:t>el</w:t>
      </w:r>
      <w:r>
        <w:rPr>
          <w:spacing w:val="-7"/>
        </w:rPr>
        <w:t xml:space="preserve"> </w:t>
      </w:r>
      <w:r>
        <w:t>caso</w:t>
      </w:r>
      <w:r>
        <w:rPr>
          <w:spacing w:val="-7"/>
        </w:rPr>
        <w:t xml:space="preserve"> </w:t>
      </w:r>
      <w:r>
        <w:t>de</w:t>
      </w:r>
      <w:r>
        <w:rPr>
          <w:spacing w:val="-8"/>
        </w:rPr>
        <w:t xml:space="preserve"> </w:t>
      </w:r>
      <w:r>
        <w:t>los</w:t>
      </w:r>
      <w:r>
        <w:rPr>
          <w:spacing w:val="-8"/>
        </w:rPr>
        <w:t xml:space="preserve"> </w:t>
      </w:r>
      <w:r>
        <w:t>países que</w:t>
      </w:r>
      <w:r>
        <w:rPr>
          <w:spacing w:val="-3"/>
        </w:rPr>
        <w:t xml:space="preserve"> </w:t>
      </w:r>
      <w:r>
        <w:lastRenderedPageBreak/>
        <w:t>lideraban</w:t>
      </w:r>
      <w:r>
        <w:rPr>
          <w:spacing w:val="-3"/>
        </w:rPr>
        <w:t xml:space="preserve"> </w:t>
      </w:r>
      <w:r>
        <w:t>las</w:t>
      </w:r>
      <w:r>
        <w:rPr>
          <w:spacing w:val="-3"/>
        </w:rPr>
        <w:t xml:space="preserve"> </w:t>
      </w:r>
      <w:r>
        <w:t>luchas</w:t>
      </w:r>
      <w:r>
        <w:rPr>
          <w:spacing w:val="-4"/>
        </w:rPr>
        <w:t xml:space="preserve"> </w:t>
      </w:r>
      <w:r>
        <w:t>del</w:t>
      </w:r>
      <w:r>
        <w:rPr>
          <w:spacing w:val="-3"/>
        </w:rPr>
        <w:t xml:space="preserve"> </w:t>
      </w:r>
      <w:r>
        <w:t>tercer</w:t>
      </w:r>
      <w:r>
        <w:rPr>
          <w:spacing w:val="-3"/>
        </w:rPr>
        <w:t xml:space="preserve"> </w:t>
      </w:r>
      <w:r>
        <w:t>mundo</w:t>
      </w:r>
      <w:r>
        <w:rPr>
          <w:spacing w:val="-3"/>
        </w:rPr>
        <w:t xml:space="preserve"> </w:t>
      </w:r>
      <w:r>
        <w:t>por</w:t>
      </w:r>
      <w:r>
        <w:rPr>
          <w:spacing w:val="-3"/>
        </w:rPr>
        <w:t xml:space="preserve"> </w:t>
      </w:r>
      <w:r>
        <w:t>la</w:t>
      </w:r>
      <w:r>
        <w:rPr>
          <w:spacing w:val="-3"/>
        </w:rPr>
        <w:t xml:space="preserve"> </w:t>
      </w:r>
      <w:r>
        <w:t>liberación</w:t>
      </w:r>
      <w:r>
        <w:rPr>
          <w:spacing w:val="-3"/>
        </w:rPr>
        <w:t xml:space="preserve"> </w:t>
      </w:r>
      <w:r>
        <w:t>nacional,</w:t>
      </w:r>
      <w:r>
        <w:rPr>
          <w:spacing w:val="-5"/>
        </w:rPr>
        <w:t xml:space="preserve"> </w:t>
      </w:r>
      <w:r>
        <w:t>como</w:t>
      </w:r>
      <w:r>
        <w:rPr>
          <w:spacing w:val="-3"/>
        </w:rPr>
        <w:t xml:space="preserve"> </w:t>
      </w:r>
      <w:r>
        <w:t>Libia,</w:t>
      </w:r>
      <w:r>
        <w:rPr>
          <w:spacing w:val="-3"/>
        </w:rPr>
        <w:t xml:space="preserve"> </w:t>
      </w:r>
      <w:r>
        <w:t>Vietnam</w:t>
      </w:r>
      <w:r>
        <w:rPr>
          <w:spacing w:val="-3"/>
        </w:rPr>
        <w:t xml:space="preserve"> </w:t>
      </w:r>
      <w:r>
        <w:t>y Cuba,</w:t>
      </w:r>
      <w:r>
        <w:rPr>
          <w:spacing w:val="-13"/>
        </w:rPr>
        <w:t xml:space="preserve"> </w:t>
      </w:r>
      <w:r>
        <w:t>no</w:t>
      </w:r>
      <w:r>
        <w:rPr>
          <w:spacing w:val="-13"/>
        </w:rPr>
        <w:t xml:space="preserve"> </w:t>
      </w:r>
      <w:r>
        <w:t>solo</w:t>
      </w:r>
      <w:r>
        <w:rPr>
          <w:spacing w:val="-13"/>
        </w:rPr>
        <w:t xml:space="preserve"> </w:t>
      </w:r>
      <w:r>
        <w:t>hubo</w:t>
      </w:r>
      <w:r>
        <w:rPr>
          <w:spacing w:val="-13"/>
        </w:rPr>
        <w:t xml:space="preserve"> </w:t>
      </w:r>
      <w:r>
        <w:t>apoyo</w:t>
      </w:r>
      <w:r>
        <w:rPr>
          <w:spacing w:val="-13"/>
        </w:rPr>
        <w:t xml:space="preserve"> </w:t>
      </w:r>
      <w:r>
        <w:t>político,</w:t>
      </w:r>
      <w:r>
        <w:rPr>
          <w:spacing w:val="-13"/>
        </w:rPr>
        <w:t xml:space="preserve"> </w:t>
      </w:r>
      <w:r>
        <w:t>en</w:t>
      </w:r>
      <w:r>
        <w:rPr>
          <w:spacing w:val="-13"/>
        </w:rPr>
        <w:t xml:space="preserve"> </w:t>
      </w:r>
      <w:r>
        <w:t>los</w:t>
      </w:r>
      <w:r>
        <w:rPr>
          <w:spacing w:val="-13"/>
        </w:rPr>
        <w:t xml:space="preserve"> </w:t>
      </w:r>
      <w:r>
        <w:t>años</w:t>
      </w:r>
      <w:r>
        <w:rPr>
          <w:spacing w:val="-13"/>
        </w:rPr>
        <w:t xml:space="preserve"> </w:t>
      </w:r>
      <w:r>
        <w:t>setenta</w:t>
      </w:r>
      <w:r>
        <w:rPr>
          <w:spacing w:val="-13"/>
        </w:rPr>
        <w:t xml:space="preserve"> </w:t>
      </w:r>
      <w:r>
        <w:t>también</w:t>
      </w:r>
      <w:r>
        <w:rPr>
          <w:spacing w:val="-13"/>
        </w:rPr>
        <w:t xml:space="preserve"> </w:t>
      </w:r>
      <w:r>
        <w:t>brindaron</w:t>
      </w:r>
      <w:r>
        <w:rPr>
          <w:spacing w:val="-14"/>
        </w:rPr>
        <w:t xml:space="preserve"> </w:t>
      </w:r>
      <w:r>
        <w:t>asistencia</w:t>
      </w:r>
      <w:r>
        <w:rPr>
          <w:spacing w:val="-13"/>
        </w:rPr>
        <w:t xml:space="preserve"> </w:t>
      </w:r>
      <w:r>
        <w:t>logística, es decir, entrenamientos militares y entrega de armas. Estos apoyos fueron también vistos como parte de la misma Guerra Fría reforzando el Estado su idea del enemigo interno y el apoyo de los Estados Unidos que se desarrollaba desde los años 60 en la lucha contrainsurgente.</w:t>
      </w:r>
      <w:r>
        <w:rPr>
          <w:spacing w:val="-3"/>
        </w:rPr>
        <w:t xml:space="preserve"> </w:t>
      </w:r>
      <w:r>
        <w:t>El</w:t>
      </w:r>
      <w:r>
        <w:rPr>
          <w:spacing w:val="-11"/>
        </w:rPr>
        <w:t xml:space="preserve"> </w:t>
      </w:r>
      <w:r>
        <w:t>resultado,</w:t>
      </w:r>
      <w:r>
        <w:rPr>
          <w:spacing w:val="-11"/>
        </w:rPr>
        <w:t xml:space="preserve"> </w:t>
      </w:r>
      <w:r>
        <w:t>fue</w:t>
      </w:r>
      <w:r>
        <w:rPr>
          <w:spacing w:val="-10"/>
        </w:rPr>
        <w:t xml:space="preserve"> </w:t>
      </w:r>
      <w:r>
        <w:t>la</w:t>
      </w:r>
      <w:r>
        <w:rPr>
          <w:spacing w:val="-11"/>
        </w:rPr>
        <w:t xml:space="preserve"> </w:t>
      </w:r>
      <w:r>
        <w:t>escalada</w:t>
      </w:r>
      <w:r>
        <w:rPr>
          <w:spacing w:val="-10"/>
        </w:rPr>
        <w:t xml:space="preserve"> </w:t>
      </w:r>
      <w:r>
        <w:t>del</w:t>
      </w:r>
      <w:r>
        <w:rPr>
          <w:spacing w:val="-11"/>
        </w:rPr>
        <w:t xml:space="preserve"> </w:t>
      </w:r>
      <w:r>
        <w:t>conflicto</w:t>
      </w:r>
      <w:r>
        <w:rPr>
          <w:spacing w:val="-11"/>
        </w:rPr>
        <w:t xml:space="preserve"> </w:t>
      </w:r>
      <w:r>
        <w:t>y,</w:t>
      </w:r>
      <w:r>
        <w:rPr>
          <w:spacing w:val="-11"/>
        </w:rPr>
        <w:t xml:space="preserve"> </w:t>
      </w:r>
      <w:r>
        <w:t>sobre</w:t>
      </w:r>
      <w:r>
        <w:rPr>
          <w:spacing w:val="-10"/>
        </w:rPr>
        <w:t xml:space="preserve"> </w:t>
      </w:r>
      <w:r>
        <w:t>todo,</w:t>
      </w:r>
      <w:r>
        <w:rPr>
          <w:spacing w:val="-11"/>
        </w:rPr>
        <w:t xml:space="preserve"> </w:t>
      </w:r>
      <w:r>
        <w:t>la</w:t>
      </w:r>
      <w:r>
        <w:rPr>
          <w:spacing w:val="-10"/>
        </w:rPr>
        <w:t xml:space="preserve"> </w:t>
      </w:r>
      <w:r>
        <w:t>victimización</w:t>
      </w:r>
      <w:r>
        <w:rPr>
          <w:spacing w:val="-11"/>
        </w:rPr>
        <w:t xml:space="preserve"> </w:t>
      </w:r>
      <w:r>
        <w:t>de la población civil.</w:t>
      </w:r>
    </w:p>
    <w:p w:rsidR="003804AC" w:rsidRDefault="00AF18A5" w:rsidP="00CD3BCA">
      <w:r>
        <w:t>La caída del Muro de Berlín, la internacionalización del conflicto armado colombiano y la convergencia entre narcotráfico y guerra contrainsurgente, marcan el tercer momento de conexión, caracterizada por la intensificación del conflicto armado en el marco de la guerra contra</w:t>
      </w:r>
      <w:r>
        <w:rPr>
          <w:spacing w:val="-15"/>
        </w:rPr>
        <w:t xml:space="preserve"> </w:t>
      </w:r>
      <w:r>
        <w:t>las</w:t>
      </w:r>
      <w:r>
        <w:rPr>
          <w:spacing w:val="-15"/>
        </w:rPr>
        <w:t xml:space="preserve"> </w:t>
      </w:r>
      <w:r>
        <w:t>drogas</w:t>
      </w:r>
      <w:r>
        <w:rPr>
          <w:spacing w:val="-15"/>
        </w:rPr>
        <w:t xml:space="preserve"> </w:t>
      </w:r>
      <w:r>
        <w:t>y</w:t>
      </w:r>
      <w:r>
        <w:rPr>
          <w:spacing w:val="-15"/>
        </w:rPr>
        <w:t xml:space="preserve"> </w:t>
      </w:r>
      <w:r>
        <w:t>contra</w:t>
      </w:r>
      <w:r>
        <w:rPr>
          <w:spacing w:val="-15"/>
        </w:rPr>
        <w:t xml:space="preserve"> </w:t>
      </w:r>
      <w:r>
        <w:t>el</w:t>
      </w:r>
      <w:r>
        <w:rPr>
          <w:spacing w:val="-15"/>
        </w:rPr>
        <w:t xml:space="preserve"> </w:t>
      </w:r>
      <w:r>
        <w:t>terrorismo.</w:t>
      </w:r>
      <w:r>
        <w:rPr>
          <w:spacing w:val="-15"/>
        </w:rPr>
        <w:t xml:space="preserve"> </w:t>
      </w:r>
      <w:r>
        <w:t>De</w:t>
      </w:r>
      <w:r>
        <w:rPr>
          <w:spacing w:val="-15"/>
        </w:rPr>
        <w:t xml:space="preserve"> </w:t>
      </w:r>
      <w:r>
        <w:t>esta</w:t>
      </w:r>
      <w:r>
        <w:rPr>
          <w:spacing w:val="-15"/>
        </w:rPr>
        <w:t xml:space="preserve"> </w:t>
      </w:r>
      <w:r>
        <w:t>forma,</w:t>
      </w:r>
      <w:r>
        <w:rPr>
          <w:spacing w:val="-15"/>
        </w:rPr>
        <w:t xml:space="preserve"> </w:t>
      </w:r>
      <w:r>
        <w:t>los</w:t>
      </w:r>
      <w:r>
        <w:rPr>
          <w:spacing w:val="-15"/>
        </w:rPr>
        <w:t xml:space="preserve"> </w:t>
      </w:r>
      <w:r>
        <w:t>ojos</w:t>
      </w:r>
      <w:r>
        <w:rPr>
          <w:spacing w:val="-15"/>
        </w:rPr>
        <w:t xml:space="preserve"> </w:t>
      </w:r>
      <w:r>
        <w:t>de</w:t>
      </w:r>
      <w:r>
        <w:rPr>
          <w:spacing w:val="-15"/>
        </w:rPr>
        <w:t xml:space="preserve"> </w:t>
      </w:r>
      <w:r>
        <w:t>la</w:t>
      </w:r>
      <w:r>
        <w:rPr>
          <w:spacing w:val="-15"/>
        </w:rPr>
        <w:t xml:space="preserve"> </w:t>
      </w:r>
      <w:r>
        <w:t>comunidad</w:t>
      </w:r>
      <w:r>
        <w:rPr>
          <w:spacing w:val="-15"/>
        </w:rPr>
        <w:t xml:space="preserve"> </w:t>
      </w:r>
      <w:r>
        <w:t>internacional miraron con detenimiento a Colombia, pues desde inicios de los años 90 se hicieron los primeros</w:t>
      </w:r>
      <w:r>
        <w:rPr>
          <w:spacing w:val="-14"/>
        </w:rPr>
        <w:t xml:space="preserve"> </w:t>
      </w:r>
      <w:r>
        <w:t>llamados</w:t>
      </w:r>
      <w:r>
        <w:rPr>
          <w:spacing w:val="-13"/>
        </w:rPr>
        <w:t xml:space="preserve"> </w:t>
      </w:r>
      <w:r>
        <w:t>de</w:t>
      </w:r>
      <w:r>
        <w:rPr>
          <w:spacing w:val="-13"/>
        </w:rPr>
        <w:t xml:space="preserve"> </w:t>
      </w:r>
      <w:r>
        <w:t>atención</w:t>
      </w:r>
      <w:r>
        <w:rPr>
          <w:spacing w:val="-13"/>
        </w:rPr>
        <w:t xml:space="preserve"> </w:t>
      </w:r>
      <w:r>
        <w:t>frente</w:t>
      </w:r>
      <w:r>
        <w:rPr>
          <w:spacing w:val="-13"/>
        </w:rPr>
        <w:t xml:space="preserve"> </w:t>
      </w:r>
      <w:r>
        <w:t>a</w:t>
      </w:r>
      <w:r>
        <w:rPr>
          <w:spacing w:val="-13"/>
        </w:rPr>
        <w:t xml:space="preserve"> </w:t>
      </w:r>
      <w:r>
        <w:t>las</w:t>
      </w:r>
      <w:r>
        <w:rPr>
          <w:spacing w:val="-14"/>
        </w:rPr>
        <w:t xml:space="preserve"> </w:t>
      </w:r>
      <w:r>
        <w:t>violaciones</w:t>
      </w:r>
      <w:r>
        <w:rPr>
          <w:spacing w:val="-13"/>
        </w:rPr>
        <w:t xml:space="preserve"> </w:t>
      </w:r>
      <w:r>
        <w:t>a</w:t>
      </w:r>
      <w:r>
        <w:rPr>
          <w:spacing w:val="-14"/>
        </w:rPr>
        <w:t xml:space="preserve"> </w:t>
      </w:r>
      <w:r>
        <w:t>los</w:t>
      </w:r>
      <w:r>
        <w:rPr>
          <w:spacing w:val="-13"/>
        </w:rPr>
        <w:t xml:space="preserve"> </w:t>
      </w:r>
      <w:r>
        <w:t>derechos</w:t>
      </w:r>
      <w:r>
        <w:rPr>
          <w:spacing w:val="-13"/>
        </w:rPr>
        <w:t xml:space="preserve"> </w:t>
      </w:r>
      <w:r>
        <w:t>humanos</w:t>
      </w:r>
      <w:r>
        <w:rPr>
          <w:spacing w:val="-13"/>
        </w:rPr>
        <w:t xml:space="preserve"> </w:t>
      </w:r>
      <w:r>
        <w:t>cometidas</w:t>
      </w:r>
      <w:r>
        <w:rPr>
          <w:spacing w:val="-13"/>
        </w:rPr>
        <w:t xml:space="preserve"> </w:t>
      </w:r>
      <w:r>
        <w:t xml:space="preserve">por el Estado y los grupos paramilitares. Por su parte Human </w:t>
      </w:r>
      <w:proofErr w:type="spellStart"/>
      <w:r>
        <w:t>Rigth</w:t>
      </w:r>
      <w:proofErr w:type="spellEnd"/>
      <w:r>
        <w:t xml:space="preserve"> </w:t>
      </w:r>
      <w:proofErr w:type="spellStart"/>
      <w:r>
        <w:t>Watch</w:t>
      </w:r>
      <w:proofErr w:type="spellEnd"/>
      <w:r>
        <w:t xml:space="preserve"> hizo los primeros informes denunciando las violaciones al DIH de las FARC-EP. Por otra parte, desde esa época, la posición de Cuba cambió a posicionarse en contra del secuestro y la posición favorable</w:t>
      </w:r>
      <w:r>
        <w:rPr>
          <w:spacing w:val="-5"/>
        </w:rPr>
        <w:t xml:space="preserve"> </w:t>
      </w:r>
      <w:r>
        <w:t>a</w:t>
      </w:r>
      <w:r>
        <w:rPr>
          <w:spacing w:val="-4"/>
        </w:rPr>
        <w:t xml:space="preserve"> </w:t>
      </w:r>
      <w:r>
        <w:t>la</w:t>
      </w:r>
      <w:r>
        <w:rPr>
          <w:spacing w:val="-3"/>
        </w:rPr>
        <w:t xml:space="preserve"> </w:t>
      </w:r>
      <w:r>
        <w:t>opción</w:t>
      </w:r>
      <w:r>
        <w:rPr>
          <w:spacing w:val="-3"/>
        </w:rPr>
        <w:t xml:space="preserve"> </w:t>
      </w:r>
      <w:r>
        <w:t>política</w:t>
      </w:r>
      <w:r>
        <w:rPr>
          <w:spacing w:val="-3"/>
        </w:rPr>
        <w:t xml:space="preserve"> </w:t>
      </w:r>
      <w:r>
        <w:t>como</w:t>
      </w:r>
      <w:r>
        <w:rPr>
          <w:spacing w:val="-3"/>
        </w:rPr>
        <w:t xml:space="preserve"> </w:t>
      </w:r>
      <w:r>
        <w:t>estrategia</w:t>
      </w:r>
      <w:r>
        <w:rPr>
          <w:spacing w:val="-2"/>
        </w:rPr>
        <w:t xml:space="preserve"> </w:t>
      </w:r>
      <w:r>
        <w:t>para</w:t>
      </w:r>
      <w:r>
        <w:rPr>
          <w:spacing w:val="-3"/>
        </w:rPr>
        <w:t xml:space="preserve"> </w:t>
      </w:r>
      <w:r>
        <w:t>la</w:t>
      </w:r>
      <w:r>
        <w:rPr>
          <w:spacing w:val="-2"/>
        </w:rPr>
        <w:t xml:space="preserve"> </w:t>
      </w:r>
      <w:r>
        <w:t>salida</w:t>
      </w:r>
      <w:r>
        <w:rPr>
          <w:spacing w:val="-3"/>
        </w:rPr>
        <w:t xml:space="preserve"> </w:t>
      </w:r>
      <w:r>
        <w:t>al</w:t>
      </w:r>
      <w:r>
        <w:rPr>
          <w:spacing w:val="-3"/>
        </w:rPr>
        <w:t xml:space="preserve"> </w:t>
      </w:r>
      <w:r>
        <w:t>conflicto</w:t>
      </w:r>
      <w:r>
        <w:rPr>
          <w:spacing w:val="-5"/>
        </w:rPr>
        <w:t xml:space="preserve"> </w:t>
      </w:r>
      <w:r>
        <w:t>armado.</w:t>
      </w:r>
      <w:r>
        <w:rPr>
          <w:spacing w:val="-3"/>
        </w:rPr>
        <w:t xml:space="preserve"> </w:t>
      </w:r>
      <w:r>
        <w:t>Mientras</w:t>
      </w:r>
      <w:r>
        <w:rPr>
          <w:spacing w:val="-2"/>
        </w:rPr>
        <w:t xml:space="preserve"> </w:t>
      </w:r>
      <w:r>
        <w:rPr>
          <w:spacing w:val="-5"/>
        </w:rPr>
        <w:t>se</w:t>
      </w:r>
    </w:p>
    <w:p w:rsidR="003804AC" w:rsidRDefault="00AF18A5">
      <w:pPr>
        <w:pStyle w:val="Textoindependiente"/>
        <w:spacing w:before="62"/>
        <w:ind w:left="221" w:right="1336"/>
        <w:jc w:val="both"/>
      </w:pPr>
      <w:r>
        <w:t>daba la agudización de la</w:t>
      </w:r>
      <w:r>
        <w:rPr>
          <w:spacing w:val="-1"/>
        </w:rPr>
        <w:t xml:space="preserve"> </w:t>
      </w:r>
      <w:r>
        <w:t>guerra, diferentes</w:t>
      </w:r>
      <w:r>
        <w:rPr>
          <w:spacing w:val="-1"/>
        </w:rPr>
        <w:t xml:space="preserve"> </w:t>
      </w:r>
      <w:r>
        <w:t>iniciativas por una salida política al conflicto se dieron especialmente en el escenario de El Caguán en 1998-2001.</w:t>
      </w:r>
    </w:p>
    <w:p w:rsidR="003804AC" w:rsidRDefault="00AF18A5" w:rsidP="00CD3BCA">
      <w:r>
        <w:t>En</w:t>
      </w:r>
      <w:r>
        <w:rPr>
          <w:spacing w:val="57"/>
        </w:rPr>
        <w:t xml:space="preserve"> </w:t>
      </w:r>
      <w:r>
        <w:t>el</w:t>
      </w:r>
      <w:r>
        <w:rPr>
          <w:spacing w:val="58"/>
        </w:rPr>
        <w:t xml:space="preserve"> </w:t>
      </w:r>
      <w:r>
        <w:t>contexto</w:t>
      </w:r>
      <w:r>
        <w:rPr>
          <w:spacing w:val="57"/>
        </w:rPr>
        <w:t xml:space="preserve"> </w:t>
      </w:r>
      <w:r>
        <w:t>de</w:t>
      </w:r>
      <w:r>
        <w:rPr>
          <w:spacing w:val="56"/>
        </w:rPr>
        <w:t xml:space="preserve"> </w:t>
      </w:r>
      <w:r>
        <w:t>la</w:t>
      </w:r>
      <w:r>
        <w:rPr>
          <w:spacing w:val="56"/>
        </w:rPr>
        <w:t xml:space="preserve"> </w:t>
      </w:r>
      <w:r>
        <w:t>ruptura</w:t>
      </w:r>
      <w:r>
        <w:rPr>
          <w:spacing w:val="58"/>
        </w:rPr>
        <w:t xml:space="preserve"> </w:t>
      </w:r>
      <w:r>
        <w:t>de</w:t>
      </w:r>
      <w:r>
        <w:rPr>
          <w:spacing w:val="58"/>
        </w:rPr>
        <w:t xml:space="preserve"> </w:t>
      </w:r>
      <w:r>
        <w:t>esos</w:t>
      </w:r>
      <w:r>
        <w:rPr>
          <w:spacing w:val="59"/>
        </w:rPr>
        <w:t xml:space="preserve"> </w:t>
      </w:r>
      <w:r>
        <w:t>diálogos,</w:t>
      </w:r>
      <w:r>
        <w:rPr>
          <w:spacing w:val="57"/>
        </w:rPr>
        <w:t xml:space="preserve"> </w:t>
      </w:r>
      <w:r>
        <w:t>el</w:t>
      </w:r>
      <w:r>
        <w:rPr>
          <w:spacing w:val="57"/>
        </w:rPr>
        <w:t xml:space="preserve"> </w:t>
      </w:r>
      <w:r>
        <w:t>Estado</w:t>
      </w:r>
      <w:r>
        <w:rPr>
          <w:spacing w:val="56"/>
        </w:rPr>
        <w:t xml:space="preserve"> </w:t>
      </w:r>
      <w:r>
        <w:t>utilizó</w:t>
      </w:r>
      <w:r>
        <w:rPr>
          <w:spacing w:val="56"/>
        </w:rPr>
        <w:t xml:space="preserve"> </w:t>
      </w:r>
      <w:r>
        <w:t>el</w:t>
      </w:r>
      <w:r>
        <w:rPr>
          <w:spacing w:val="55"/>
        </w:rPr>
        <w:t xml:space="preserve"> </w:t>
      </w:r>
      <w:r>
        <w:t>discurso</w:t>
      </w:r>
      <w:r>
        <w:rPr>
          <w:spacing w:val="56"/>
        </w:rPr>
        <w:t xml:space="preserve"> </w:t>
      </w:r>
      <w:r>
        <w:t>de</w:t>
      </w:r>
      <w:r>
        <w:rPr>
          <w:spacing w:val="57"/>
        </w:rPr>
        <w:t xml:space="preserve"> </w:t>
      </w:r>
      <w:r>
        <w:rPr>
          <w:spacing w:val="-5"/>
        </w:rPr>
        <w:t>las</w:t>
      </w:r>
      <w:r w:rsidR="00CD3BCA">
        <w:rPr>
          <w:spacing w:val="-5"/>
        </w:rPr>
        <w:t xml:space="preserve"> </w:t>
      </w:r>
      <w:r>
        <w:t>«</w:t>
      </w:r>
      <w:proofErr w:type="spellStart"/>
      <w:r>
        <w:t>narcoguerrillas</w:t>
      </w:r>
      <w:proofErr w:type="spellEnd"/>
      <w:r>
        <w:t xml:space="preserve">» y a responsabilizarlas de la crisis humanitaria que vivía el país, para obtener apoyo político y militar para </w:t>
      </w:r>
      <w:r>
        <w:lastRenderedPageBreak/>
        <w:t>la guerra, lo que se materializó primero en el Plan Colombia, que había nacido como un plan de desarrollo hacia el apoyo militar, y posteriormente el Plan Patriota. Por su parte, la guerrilla, en medio de la agudización de la guerra, en su punto más alto de su iniciativa milita, las FARC-EP recurrieron al interés y la preocupación internacional porque el DIH rigiera en Colombia y, por tanto, con un trabajo internacional</w:t>
      </w:r>
      <w:r>
        <w:rPr>
          <w:spacing w:val="-3"/>
        </w:rPr>
        <w:t xml:space="preserve"> </w:t>
      </w:r>
      <w:r>
        <w:t>concentrado</w:t>
      </w:r>
      <w:r>
        <w:rPr>
          <w:spacing w:val="-3"/>
        </w:rPr>
        <w:t xml:space="preserve"> </w:t>
      </w:r>
      <w:r>
        <w:t>en</w:t>
      </w:r>
      <w:r>
        <w:rPr>
          <w:spacing w:val="-3"/>
        </w:rPr>
        <w:t xml:space="preserve"> </w:t>
      </w:r>
      <w:r>
        <w:t>la</w:t>
      </w:r>
      <w:r>
        <w:rPr>
          <w:spacing w:val="-3"/>
        </w:rPr>
        <w:t xml:space="preserve"> </w:t>
      </w:r>
      <w:r>
        <w:t>búsqueda</w:t>
      </w:r>
      <w:r>
        <w:rPr>
          <w:spacing w:val="-3"/>
        </w:rPr>
        <w:t xml:space="preserve"> </w:t>
      </w:r>
      <w:r>
        <w:t>de</w:t>
      </w:r>
      <w:r>
        <w:rPr>
          <w:spacing w:val="-3"/>
        </w:rPr>
        <w:t xml:space="preserve"> </w:t>
      </w:r>
      <w:r>
        <w:t>reconocimiento</w:t>
      </w:r>
      <w:r>
        <w:rPr>
          <w:spacing w:val="-5"/>
        </w:rPr>
        <w:t xml:space="preserve"> </w:t>
      </w:r>
      <w:r>
        <w:t>del</w:t>
      </w:r>
      <w:r>
        <w:rPr>
          <w:spacing w:val="-3"/>
        </w:rPr>
        <w:t xml:space="preserve"> </w:t>
      </w:r>
      <w:r>
        <w:t>estatus</w:t>
      </w:r>
      <w:r>
        <w:rPr>
          <w:spacing w:val="-3"/>
        </w:rPr>
        <w:t xml:space="preserve"> </w:t>
      </w:r>
      <w:r>
        <w:t>de</w:t>
      </w:r>
      <w:r>
        <w:rPr>
          <w:spacing w:val="-3"/>
        </w:rPr>
        <w:t xml:space="preserve"> </w:t>
      </w:r>
      <w:r>
        <w:t>beligerancia.</w:t>
      </w:r>
      <w:r>
        <w:rPr>
          <w:spacing w:val="-4"/>
        </w:rPr>
        <w:t xml:space="preserve"> </w:t>
      </w:r>
      <w:r>
        <w:t>Sin embargo,</w:t>
      </w:r>
      <w:r>
        <w:rPr>
          <w:spacing w:val="-7"/>
        </w:rPr>
        <w:t xml:space="preserve"> </w:t>
      </w:r>
      <w:r>
        <w:t>la</w:t>
      </w:r>
      <w:r>
        <w:rPr>
          <w:spacing w:val="-7"/>
        </w:rPr>
        <w:t xml:space="preserve"> </w:t>
      </w:r>
      <w:r>
        <w:t>ruptura</w:t>
      </w:r>
      <w:r>
        <w:rPr>
          <w:spacing w:val="-7"/>
        </w:rPr>
        <w:t xml:space="preserve"> </w:t>
      </w:r>
      <w:r>
        <w:t>de</w:t>
      </w:r>
      <w:r>
        <w:rPr>
          <w:spacing w:val="-7"/>
        </w:rPr>
        <w:t xml:space="preserve"> </w:t>
      </w:r>
      <w:r>
        <w:t>los</w:t>
      </w:r>
      <w:r>
        <w:rPr>
          <w:spacing w:val="-7"/>
        </w:rPr>
        <w:t xml:space="preserve"> </w:t>
      </w:r>
      <w:r>
        <w:t>diálogos</w:t>
      </w:r>
      <w:r>
        <w:rPr>
          <w:spacing w:val="-7"/>
        </w:rPr>
        <w:t xml:space="preserve"> </w:t>
      </w:r>
      <w:r>
        <w:t>de</w:t>
      </w:r>
      <w:r>
        <w:rPr>
          <w:spacing w:val="-7"/>
        </w:rPr>
        <w:t xml:space="preserve"> </w:t>
      </w:r>
      <w:r>
        <w:t>El</w:t>
      </w:r>
      <w:r>
        <w:rPr>
          <w:spacing w:val="-7"/>
        </w:rPr>
        <w:t xml:space="preserve"> </w:t>
      </w:r>
      <w:r>
        <w:t>Caguán</w:t>
      </w:r>
      <w:r>
        <w:rPr>
          <w:spacing w:val="-6"/>
        </w:rPr>
        <w:t xml:space="preserve"> </w:t>
      </w:r>
      <w:r>
        <w:t>llevó</w:t>
      </w:r>
      <w:r>
        <w:rPr>
          <w:spacing w:val="-7"/>
        </w:rPr>
        <w:t xml:space="preserve"> </w:t>
      </w:r>
      <w:r>
        <w:t>a</w:t>
      </w:r>
      <w:r>
        <w:rPr>
          <w:spacing w:val="-7"/>
        </w:rPr>
        <w:t xml:space="preserve"> </w:t>
      </w:r>
      <w:r>
        <w:t>un</w:t>
      </w:r>
      <w:r>
        <w:rPr>
          <w:spacing w:val="-7"/>
        </w:rPr>
        <w:t xml:space="preserve"> </w:t>
      </w:r>
      <w:r>
        <w:t>mayor</w:t>
      </w:r>
      <w:r>
        <w:rPr>
          <w:spacing w:val="-7"/>
        </w:rPr>
        <w:t xml:space="preserve"> </w:t>
      </w:r>
      <w:r>
        <w:t>aislamiento</w:t>
      </w:r>
      <w:r>
        <w:rPr>
          <w:spacing w:val="-7"/>
        </w:rPr>
        <w:t xml:space="preserve"> </w:t>
      </w:r>
      <w:r>
        <w:t>internacional y a convertir su trabajo político en más clandestino.</w:t>
      </w:r>
      <w:r>
        <w:rPr>
          <w:spacing w:val="-3"/>
        </w:rPr>
        <w:t xml:space="preserve"> </w:t>
      </w:r>
      <w:r>
        <w:t>Tras el atentado de las Torres Gemelas en septiembre de 2001, las FARC-EP fueron incluidas en el listado de organizaciones terroristas por EE.UU. y la UE.</w:t>
      </w:r>
    </w:p>
    <w:p w:rsidR="0011361F" w:rsidRDefault="00AF18A5" w:rsidP="00CD3BCA">
      <w:r>
        <w:t>Posteriormente, en un escenario cada vez más hostil y paralizado, se dieron nuevos intentos de generar diálogos a partir de tres elementos importantes: la cercanía política que se empieza a construir entre el entonces presidente venezolano Hugo Chávez y las FARC- EP;</w:t>
      </w:r>
      <w:r>
        <w:rPr>
          <w:spacing w:val="-7"/>
        </w:rPr>
        <w:t xml:space="preserve"> </w:t>
      </w:r>
      <w:r>
        <w:t>las</w:t>
      </w:r>
      <w:r>
        <w:rPr>
          <w:spacing w:val="-8"/>
        </w:rPr>
        <w:t xml:space="preserve"> </w:t>
      </w:r>
      <w:r>
        <w:t>tensiones</w:t>
      </w:r>
      <w:r>
        <w:rPr>
          <w:spacing w:val="-7"/>
        </w:rPr>
        <w:t xml:space="preserve"> </w:t>
      </w:r>
      <w:r>
        <w:t>dentro</w:t>
      </w:r>
      <w:r>
        <w:rPr>
          <w:spacing w:val="-8"/>
        </w:rPr>
        <w:t xml:space="preserve"> </w:t>
      </w:r>
      <w:r>
        <w:t>de</w:t>
      </w:r>
      <w:r>
        <w:rPr>
          <w:spacing w:val="-7"/>
        </w:rPr>
        <w:t xml:space="preserve"> </w:t>
      </w:r>
      <w:r>
        <w:t>las</w:t>
      </w:r>
      <w:r>
        <w:rPr>
          <w:spacing w:val="-8"/>
        </w:rPr>
        <w:t xml:space="preserve"> </w:t>
      </w:r>
      <w:r>
        <w:t>izquierdas</w:t>
      </w:r>
      <w:r>
        <w:rPr>
          <w:spacing w:val="-8"/>
        </w:rPr>
        <w:t xml:space="preserve"> </w:t>
      </w:r>
      <w:r>
        <w:t>latinoamericanas,</w:t>
      </w:r>
      <w:r>
        <w:rPr>
          <w:spacing w:val="-8"/>
        </w:rPr>
        <w:t xml:space="preserve"> </w:t>
      </w:r>
      <w:r>
        <w:t>que</w:t>
      </w:r>
      <w:r>
        <w:rPr>
          <w:spacing w:val="-7"/>
        </w:rPr>
        <w:t xml:space="preserve"> </w:t>
      </w:r>
      <w:r>
        <w:t>van</w:t>
      </w:r>
      <w:r>
        <w:rPr>
          <w:spacing w:val="-7"/>
        </w:rPr>
        <w:t xml:space="preserve"> </w:t>
      </w:r>
      <w:r>
        <w:t>a</w:t>
      </w:r>
      <w:r>
        <w:rPr>
          <w:spacing w:val="-8"/>
        </w:rPr>
        <w:t xml:space="preserve"> </w:t>
      </w:r>
      <w:r>
        <w:t>prolongarse</w:t>
      </w:r>
      <w:r>
        <w:rPr>
          <w:spacing w:val="-8"/>
        </w:rPr>
        <w:t xml:space="preserve"> </w:t>
      </w:r>
      <w:r>
        <w:t>durante</w:t>
      </w:r>
      <w:r>
        <w:rPr>
          <w:spacing w:val="-8"/>
        </w:rPr>
        <w:t xml:space="preserve"> </w:t>
      </w:r>
      <w:r>
        <w:t xml:space="preserve">la </w:t>
      </w:r>
      <w:r>
        <w:rPr>
          <w:spacing w:val="-2"/>
        </w:rPr>
        <w:t>siguiente</w:t>
      </w:r>
      <w:r>
        <w:rPr>
          <w:spacing w:val="-5"/>
        </w:rPr>
        <w:t xml:space="preserve"> </w:t>
      </w:r>
      <w:r>
        <w:rPr>
          <w:spacing w:val="-2"/>
        </w:rPr>
        <w:t>década,</w:t>
      </w:r>
      <w:r>
        <w:rPr>
          <w:spacing w:val="-5"/>
        </w:rPr>
        <w:t xml:space="preserve"> </w:t>
      </w:r>
      <w:r>
        <w:rPr>
          <w:spacing w:val="-2"/>
        </w:rPr>
        <w:t>y</w:t>
      </w:r>
      <w:r>
        <w:rPr>
          <w:spacing w:val="-6"/>
        </w:rPr>
        <w:t xml:space="preserve"> </w:t>
      </w:r>
      <w:r>
        <w:rPr>
          <w:spacing w:val="-2"/>
        </w:rPr>
        <w:t>donde</w:t>
      </w:r>
      <w:r>
        <w:rPr>
          <w:spacing w:val="-5"/>
        </w:rPr>
        <w:t xml:space="preserve"> </w:t>
      </w:r>
      <w:r>
        <w:rPr>
          <w:spacing w:val="-2"/>
        </w:rPr>
        <w:t>las</w:t>
      </w:r>
      <w:r>
        <w:rPr>
          <w:spacing w:val="-5"/>
        </w:rPr>
        <w:t xml:space="preserve"> </w:t>
      </w:r>
      <w:r>
        <w:rPr>
          <w:spacing w:val="-2"/>
        </w:rPr>
        <w:t>FARC-EP,</w:t>
      </w:r>
      <w:r>
        <w:rPr>
          <w:spacing w:val="-5"/>
        </w:rPr>
        <w:t xml:space="preserve"> </w:t>
      </w:r>
      <w:r>
        <w:rPr>
          <w:spacing w:val="-2"/>
        </w:rPr>
        <w:t>que</w:t>
      </w:r>
      <w:r>
        <w:rPr>
          <w:spacing w:val="-5"/>
        </w:rPr>
        <w:t xml:space="preserve"> </w:t>
      </w:r>
      <w:r>
        <w:rPr>
          <w:spacing w:val="-2"/>
        </w:rPr>
        <w:t>querían</w:t>
      </w:r>
      <w:r>
        <w:rPr>
          <w:spacing w:val="-6"/>
        </w:rPr>
        <w:t xml:space="preserve"> </w:t>
      </w:r>
      <w:r>
        <w:rPr>
          <w:spacing w:val="-2"/>
        </w:rPr>
        <w:t>tener</w:t>
      </w:r>
      <w:r>
        <w:rPr>
          <w:spacing w:val="-6"/>
        </w:rPr>
        <w:t xml:space="preserve"> </w:t>
      </w:r>
      <w:r>
        <w:rPr>
          <w:spacing w:val="-2"/>
        </w:rPr>
        <w:t>presencia</w:t>
      </w:r>
      <w:r>
        <w:rPr>
          <w:spacing w:val="-6"/>
        </w:rPr>
        <w:t xml:space="preserve"> </w:t>
      </w:r>
      <w:r>
        <w:rPr>
          <w:spacing w:val="-2"/>
        </w:rPr>
        <w:t>en</w:t>
      </w:r>
      <w:r>
        <w:rPr>
          <w:spacing w:val="-6"/>
        </w:rPr>
        <w:t xml:space="preserve"> </w:t>
      </w:r>
      <w:r>
        <w:rPr>
          <w:spacing w:val="-2"/>
        </w:rPr>
        <w:t>foros</w:t>
      </w:r>
      <w:r>
        <w:rPr>
          <w:spacing w:val="-5"/>
        </w:rPr>
        <w:t xml:space="preserve"> </w:t>
      </w:r>
      <w:r>
        <w:rPr>
          <w:spacing w:val="-2"/>
        </w:rPr>
        <w:t xml:space="preserve">internacionales, </w:t>
      </w:r>
      <w:r>
        <w:t>terminaron creando su propio movimiento bolivariano cercano al Partido Comunista Clandestino; y finalmente, una fuerte posición diplomática de Cuba para facilitar conversaciones y posteriormente el acuerdo de paz con las FARC-EP. Como señaló un exintegrante de la fuerza pública colombiana: «En 1998 Fidel dice: “No a la guerra revolucionaria”.</w:t>
      </w:r>
      <w:r>
        <w:rPr>
          <w:spacing w:val="-5"/>
        </w:rPr>
        <w:t xml:space="preserve"> </w:t>
      </w:r>
      <w:r>
        <w:t>Mejor</w:t>
      </w:r>
      <w:r>
        <w:rPr>
          <w:spacing w:val="-4"/>
        </w:rPr>
        <w:t xml:space="preserve"> </w:t>
      </w:r>
      <w:r>
        <w:t>dicho,</w:t>
      </w:r>
      <w:r>
        <w:rPr>
          <w:spacing w:val="-6"/>
        </w:rPr>
        <w:t xml:space="preserve"> </w:t>
      </w:r>
      <w:r>
        <w:t>la</w:t>
      </w:r>
      <w:r>
        <w:rPr>
          <w:spacing w:val="-4"/>
        </w:rPr>
        <w:t xml:space="preserve"> </w:t>
      </w:r>
      <w:r>
        <w:t>guerra</w:t>
      </w:r>
      <w:r>
        <w:rPr>
          <w:spacing w:val="-4"/>
        </w:rPr>
        <w:t xml:space="preserve"> </w:t>
      </w:r>
      <w:r>
        <w:t>armada</w:t>
      </w:r>
      <w:r>
        <w:rPr>
          <w:spacing w:val="-4"/>
        </w:rPr>
        <w:t xml:space="preserve"> </w:t>
      </w:r>
      <w:r>
        <w:t>no</w:t>
      </w:r>
      <w:r>
        <w:rPr>
          <w:spacing w:val="-5"/>
        </w:rPr>
        <w:t xml:space="preserve"> </w:t>
      </w:r>
      <w:r>
        <w:t>es</w:t>
      </w:r>
      <w:r>
        <w:rPr>
          <w:spacing w:val="-4"/>
        </w:rPr>
        <w:t xml:space="preserve"> </w:t>
      </w:r>
      <w:r>
        <w:t>vigente</w:t>
      </w:r>
      <w:r>
        <w:rPr>
          <w:spacing w:val="-6"/>
        </w:rPr>
        <w:t xml:space="preserve"> </w:t>
      </w:r>
      <w:r>
        <w:t>en</w:t>
      </w:r>
      <w:r>
        <w:rPr>
          <w:spacing w:val="-5"/>
        </w:rPr>
        <w:t xml:space="preserve"> </w:t>
      </w:r>
      <w:r>
        <w:t>el</w:t>
      </w:r>
      <w:r>
        <w:rPr>
          <w:spacing w:val="-5"/>
        </w:rPr>
        <w:t xml:space="preserve"> </w:t>
      </w:r>
      <w:r>
        <w:t>tercer</w:t>
      </w:r>
      <w:r>
        <w:rPr>
          <w:spacing w:val="-5"/>
        </w:rPr>
        <w:t xml:space="preserve"> </w:t>
      </w:r>
      <w:r>
        <w:t>Foro</w:t>
      </w:r>
      <w:r>
        <w:rPr>
          <w:spacing w:val="-5"/>
        </w:rPr>
        <w:t xml:space="preserve"> </w:t>
      </w:r>
      <w:r>
        <w:t>de</w:t>
      </w:r>
      <w:r>
        <w:rPr>
          <w:spacing w:val="-4"/>
        </w:rPr>
        <w:t xml:space="preserve"> </w:t>
      </w:r>
      <w:r>
        <w:t>São</w:t>
      </w:r>
      <w:r>
        <w:rPr>
          <w:spacing w:val="-7"/>
        </w:rPr>
        <w:t xml:space="preserve"> </w:t>
      </w:r>
      <w:r>
        <w:t>Paulo. […] él dice: “No, la guerra armada ya no es vigente”. O sea, eso es anacrónico»</w:t>
      </w:r>
      <w:r w:rsidR="00CD3BCA">
        <w:rPr>
          <w:rStyle w:val="Refdenotaalpie"/>
        </w:rPr>
        <w:footnoteReference w:id="314"/>
      </w:r>
      <w:r>
        <w:t>.</w:t>
      </w:r>
    </w:p>
    <w:p w:rsidR="003804AC" w:rsidRDefault="00AF18A5" w:rsidP="00CD3BCA">
      <w:bookmarkStart w:id="449" w:name="_bookmark357"/>
      <w:bookmarkEnd w:id="449"/>
      <w:r>
        <w:lastRenderedPageBreak/>
        <w:t>La búsqueda de salidas políticas al conflicto armado fue parte de la nueva agenda del gobierno colombiano a partir de 2009 que encontró finalmente una coincidencia estratégica entre</w:t>
      </w:r>
      <w:r>
        <w:rPr>
          <w:spacing w:val="-8"/>
        </w:rPr>
        <w:t xml:space="preserve"> </w:t>
      </w:r>
      <w:r>
        <w:t>diferentes</w:t>
      </w:r>
      <w:r>
        <w:rPr>
          <w:spacing w:val="-8"/>
        </w:rPr>
        <w:t xml:space="preserve"> </w:t>
      </w:r>
      <w:r>
        <w:t>actores</w:t>
      </w:r>
      <w:r>
        <w:rPr>
          <w:spacing w:val="-8"/>
        </w:rPr>
        <w:t xml:space="preserve"> </w:t>
      </w:r>
      <w:r>
        <w:t>internacionales</w:t>
      </w:r>
      <w:r>
        <w:rPr>
          <w:spacing w:val="-7"/>
        </w:rPr>
        <w:t xml:space="preserve"> </w:t>
      </w:r>
      <w:r>
        <w:t>cercanos</w:t>
      </w:r>
      <w:r>
        <w:rPr>
          <w:spacing w:val="-9"/>
        </w:rPr>
        <w:t xml:space="preserve"> </w:t>
      </w:r>
      <w:r>
        <w:t>o</w:t>
      </w:r>
      <w:r>
        <w:rPr>
          <w:spacing w:val="-7"/>
        </w:rPr>
        <w:t xml:space="preserve"> </w:t>
      </w:r>
      <w:r>
        <w:t>en</w:t>
      </w:r>
      <w:r>
        <w:rPr>
          <w:spacing w:val="-7"/>
        </w:rPr>
        <w:t xml:space="preserve"> </w:t>
      </w:r>
      <w:r>
        <w:t>apoyo</w:t>
      </w:r>
      <w:r>
        <w:rPr>
          <w:spacing w:val="-8"/>
        </w:rPr>
        <w:t xml:space="preserve"> </w:t>
      </w:r>
      <w:r>
        <w:t>a</w:t>
      </w:r>
      <w:r>
        <w:rPr>
          <w:spacing w:val="-8"/>
        </w:rPr>
        <w:t xml:space="preserve"> </w:t>
      </w:r>
      <w:r>
        <w:t>los</w:t>
      </w:r>
      <w:r>
        <w:rPr>
          <w:spacing w:val="-8"/>
        </w:rPr>
        <w:t xml:space="preserve"> </w:t>
      </w:r>
      <w:r>
        <w:t>dos</w:t>
      </w:r>
      <w:r>
        <w:rPr>
          <w:spacing w:val="-7"/>
        </w:rPr>
        <w:t xml:space="preserve"> </w:t>
      </w:r>
      <w:r>
        <w:t>bandos</w:t>
      </w:r>
      <w:r>
        <w:rPr>
          <w:spacing w:val="-7"/>
        </w:rPr>
        <w:t xml:space="preserve"> </w:t>
      </w:r>
      <w:r>
        <w:t>en</w:t>
      </w:r>
      <w:r>
        <w:rPr>
          <w:spacing w:val="-8"/>
        </w:rPr>
        <w:t xml:space="preserve"> </w:t>
      </w:r>
      <w:r>
        <w:t>conflicto,</w:t>
      </w:r>
      <w:r>
        <w:rPr>
          <w:spacing w:val="-8"/>
        </w:rPr>
        <w:t xml:space="preserve"> </w:t>
      </w:r>
      <w:r>
        <w:t>lo que finalmente dio lugar</w:t>
      </w:r>
      <w:r>
        <w:rPr>
          <w:spacing w:val="-1"/>
        </w:rPr>
        <w:t xml:space="preserve"> </w:t>
      </w:r>
      <w:r>
        <w:t>al proceso de los Acuerdos de la Habana con las</w:t>
      </w:r>
      <w:r>
        <w:rPr>
          <w:spacing w:val="-1"/>
        </w:rPr>
        <w:t xml:space="preserve"> </w:t>
      </w:r>
      <w:r>
        <w:t>FARC-EP. Y</w:t>
      </w:r>
      <w:r>
        <w:rPr>
          <w:spacing w:val="-1"/>
        </w:rPr>
        <w:t xml:space="preserve"> </w:t>
      </w:r>
      <w:r>
        <w:t>una esperanza de salida para Colombia.</w:t>
      </w:r>
    </w:p>
    <w:p w:rsidR="0011361F" w:rsidRDefault="00AF18A5" w:rsidP="004A6EF4">
      <w:pPr>
        <w:pStyle w:val="Ttulo3"/>
        <w:numPr>
          <w:ilvl w:val="1"/>
          <w:numId w:val="16"/>
        </w:numPr>
      </w:pPr>
      <w:bookmarkStart w:id="450" w:name="4.8._Dinámicas_del_conflicto_armado_posa"/>
      <w:bookmarkStart w:id="451" w:name="_Toc112399589"/>
      <w:bookmarkEnd w:id="450"/>
      <w:r w:rsidRPr="00CD3BCA">
        <w:t>Dinámicas</w:t>
      </w:r>
      <w:r>
        <w:rPr>
          <w:spacing w:val="-4"/>
        </w:rPr>
        <w:t xml:space="preserve"> </w:t>
      </w:r>
      <w:r>
        <w:t>del</w:t>
      </w:r>
      <w:r>
        <w:rPr>
          <w:spacing w:val="-2"/>
        </w:rPr>
        <w:t xml:space="preserve"> </w:t>
      </w:r>
      <w:r>
        <w:t>conflicto</w:t>
      </w:r>
      <w:r>
        <w:rPr>
          <w:spacing w:val="-2"/>
        </w:rPr>
        <w:t xml:space="preserve"> </w:t>
      </w:r>
      <w:r>
        <w:t>armado</w:t>
      </w:r>
      <w:r>
        <w:rPr>
          <w:spacing w:val="-2"/>
        </w:rPr>
        <w:t xml:space="preserve"> </w:t>
      </w:r>
      <w:proofErr w:type="spellStart"/>
      <w:r>
        <w:t>posacuerdo</w:t>
      </w:r>
      <w:proofErr w:type="spellEnd"/>
      <w:r>
        <w:rPr>
          <w:spacing w:val="-2"/>
        </w:rPr>
        <w:t xml:space="preserve"> </w:t>
      </w:r>
      <w:r>
        <w:t>de</w:t>
      </w:r>
      <w:r>
        <w:rPr>
          <w:spacing w:val="-2"/>
        </w:rPr>
        <w:t xml:space="preserve"> </w:t>
      </w:r>
      <w:r>
        <w:t>paz</w:t>
      </w:r>
      <w:r>
        <w:rPr>
          <w:spacing w:val="-2"/>
        </w:rPr>
        <w:t xml:space="preserve"> </w:t>
      </w:r>
      <w:r>
        <w:t>con</w:t>
      </w:r>
      <w:r>
        <w:rPr>
          <w:spacing w:val="-3"/>
        </w:rPr>
        <w:t xml:space="preserve"> </w:t>
      </w:r>
      <w:r>
        <w:t>las</w:t>
      </w:r>
      <w:r>
        <w:rPr>
          <w:spacing w:val="-1"/>
        </w:rPr>
        <w:t xml:space="preserve"> </w:t>
      </w:r>
      <w:r>
        <w:t>FARC-</w:t>
      </w:r>
      <w:r>
        <w:rPr>
          <w:spacing w:val="-5"/>
        </w:rPr>
        <w:t>EP</w:t>
      </w:r>
      <w:bookmarkEnd w:id="451"/>
    </w:p>
    <w:p w:rsidR="003804AC" w:rsidRDefault="00AF18A5" w:rsidP="00143CE1">
      <w:r>
        <w:t>La Comisión de la Verdad se ha centrado en su mandato en las dinámicas del conflicto armado interno y las violaciones de derechos humanos y del derecho internacional humanitario hasta la firma del Acuerdo de Paz con las FARC-EP. Sin embargo, la continuidad del conflicto armado posteriormente, la necesidad de ampliar y profundizar el acuerdo</w:t>
      </w:r>
      <w:r>
        <w:rPr>
          <w:spacing w:val="-4"/>
        </w:rPr>
        <w:t xml:space="preserve"> </w:t>
      </w:r>
      <w:r>
        <w:t>y</w:t>
      </w:r>
      <w:r>
        <w:rPr>
          <w:spacing w:val="-5"/>
        </w:rPr>
        <w:t xml:space="preserve"> </w:t>
      </w:r>
      <w:r>
        <w:t>la</w:t>
      </w:r>
      <w:r>
        <w:rPr>
          <w:spacing w:val="-4"/>
        </w:rPr>
        <w:t xml:space="preserve"> </w:t>
      </w:r>
      <w:r>
        <w:t>necesaria</w:t>
      </w:r>
      <w:r>
        <w:rPr>
          <w:spacing w:val="-4"/>
        </w:rPr>
        <w:t xml:space="preserve"> </w:t>
      </w:r>
      <w:r>
        <w:t>reconstrucción</w:t>
      </w:r>
      <w:r>
        <w:rPr>
          <w:spacing w:val="-5"/>
        </w:rPr>
        <w:t xml:space="preserve"> </w:t>
      </w:r>
      <w:r>
        <w:t>de</w:t>
      </w:r>
      <w:r>
        <w:rPr>
          <w:spacing w:val="-3"/>
        </w:rPr>
        <w:t xml:space="preserve"> </w:t>
      </w:r>
      <w:r>
        <w:t>la</w:t>
      </w:r>
      <w:r>
        <w:rPr>
          <w:spacing w:val="-3"/>
        </w:rPr>
        <w:t xml:space="preserve"> </w:t>
      </w:r>
      <w:r>
        <w:t>convivencia</w:t>
      </w:r>
      <w:r>
        <w:rPr>
          <w:spacing w:val="-4"/>
        </w:rPr>
        <w:t xml:space="preserve"> </w:t>
      </w:r>
      <w:r>
        <w:t>en</w:t>
      </w:r>
      <w:r>
        <w:rPr>
          <w:spacing w:val="-3"/>
        </w:rPr>
        <w:t xml:space="preserve"> </w:t>
      </w:r>
      <w:r>
        <w:t>los</w:t>
      </w:r>
      <w:r>
        <w:rPr>
          <w:spacing w:val="-3"/>
        </w:rPr>
        <w:t xml:space="preserve"> </w:t>
      </w:r>
      <w:r>
        <w:t>territorios</w:t>
      </w:r>
      <w:r>
        <w:rPr>
          <w:spacing w:val="-4"/>
        </w:rPr>
        <w:t xml:space="preserve"> </w:t>
      </w:r>
      <w:r>
        <w:t>también</w:t>
      </w:r>
      <w:r>
        <w:rPr>
          <w:spacing w:val="-5"/>
        </w:rPr>
        <w:t xml:space="preserve"> </w:t>
      </w:r>
      <w:r>
        <w:t>han</w:t>
      </w:r>
      <w:r>
        <w:rPr>
          <w:spacing w:val="-5"/>
        </w:rPr>
        <w:t xml:space="preserve"> </w:t>
      </w:r>
      <w:r>
        <w:t>hecho que analice lo que ha denominado factores de persistencia en la actualidad.</w:t>
      </w:r>
    </w:p>
    <w:p w:rsidR="003804AC" w:rsidRDefault="00AF18A5" w:rsidP="00143CE1">
      <w:r>
        <w:t xml:space="preserve">El contexto del </w:t>
      </w:r>
      <w:proofErr w:type="spellStart"/>
      <w:r>
        <w:t>posacuerdo</w:t>
      </w:r>
      <w:proofErr w:type="spellEnd"/>
      <w:r>
        <w:t xml:space="preserve"> de paz con las FARC-EP se enfrentó a distintos problemas como</w:t>
      </w:r>
      <w:r>
        <w:rPr>
          <w:spacing w:val="-8"/>
        </w:rPr>
        <w:t xml:space="preserve"> </w:t>
      </w:r>
      <w:r>
        <w:t>la</w:t>
      </w:r>
      <w:r>
        <w:rPr>
          <w:spacing w:val="-8"/>
        </w:rPr>
        <w:t xml:space="preserve"> </w:t>
      </w:r>
      <w:r>
        <w:t>escasa</w:t>
      </w:r>
      <w:r>
        <w:rPr>
          <w:spacing w:val="-8"/>
        </w:rPr>
        <w:t xml:space="preserve"> </w:t>
      </w:r>
      <w:r>
        <w:t>voluntad</w:t>
      </w:r>
      <w:r>
        <w:rPr>
          <w:spacing w:val="-10"/>
        </w:rPr>
        <w:t xml:space="preserve"> </w:t>
      </w:r>
      <w:r>
        <w:t>mostrada</w:t>
      </w:r>
      <w:r>
        <w:rPr>
          <w:spacing w:val="-8"/>
        </w:rPr>
        <w:t xml:space="preserve"> </w:t>
      </w:r>
      <w:r>
        <w:t>por</w:t>
      </w:r>
      <w:r>
        <w:rPr>
          <w:spacing w:val="-8"/>
        </w:rPr>
        <w:t xml:space="preserve"> </w:t>
      </w:r>
      <w:r>
        <w:t>el</w:t>
      </w:r>
      <w:r>
        <w:rPr>
          <w:spacing w:val="-8"/>
        </w:rPr>
        <w:t xml:space="preserve"> </w:t>
      </w:r>
      <w:r>
        <w:t>gobierno</w:t>
      </w:r>
      <w:r>
        <w:rPr>
          <w:spacing w:val="-10"/>
        </w:rPr>
        <w:t xml:space="preserve"> </w:t>
      </w:r>
      <w:r>
        <w:t>colombiano</w:t>
      </w:r>
      <w:r>
        <w:rPr>
          <w:spacing w:val="-10"/>
        </w:rPr>
        <w:t xml:space="preserve"> </w:t>
      </w:r>
      <w:r>
        <w:t>e</w:t>
      </w:r>
      <w:r>
        <w:rPr>
          <w:spacing w:val="-8"/>
        </w:rPr>
        <w:t xml:space="preserve"> </w:t>
      </w:r>
      <w:r>
        <w:t>incluso</w:t>
      </w:r>
      <w:r>
        <w:rPr>
          <w:spacing w:val="-8"/>
        </w:rPr>
        <w:t xml:space="preserve"> </w:t>
      </w:r>
      <w:r>
        <w:t>iniciativas</w:t>
      </w:r>
      <w:r>
        <w:rPr>
          <w:spacing w:val="-8"/>
        </w:rPr>
        <w:t xml:space="preserve"> </w:t>
      </w:r>
      <w:r>
        <w:t>en</w:t>
      </w:r>
      <w:r>
        <w:rPr>
          <w:spacing w:val="-8"/>
        </w:rPr>
        <w:t xml:space="preserve"> </w:t>
      </w:r>
      <w:r>
        <w:t>contra del</w:t>
      </w:r>
      <w:r>
        <w:rPr>
          <w:spacing w:val="-7"/>
        </w:rPr>
        <w:t xml:space="preserve"> </w:t>
      </w:r>
      <w:r>
        <w:t>mismo;</w:t>
      </w:r>
      <w:r>
        <w:rPr>
          <w:spacing w:val="-7"/>
        </w:rPr>
        <w:t xml:space="preserve"> </w:t>
      </w:r>
      <w:r>
        <w:t>la</w:t>
      </w:r>
      <w:r>
        <w:rPr>
          <w:spacing w:val="-6"/>
        </w:rPr>
        <w:t xml:space="preserve"> </w:t>
      </w:r>
      <w:r>
        <w:t>falta</w:t>
      </w:r>
      <w:r>
        <w:rPr>
          <w:spacing w:val="-7"/>
        </w:rPr>
        <w:t xml:space="preserve"> </w:t>
      </w:r>
      <w:r>
        <w:t>de</w:t>
      </w:r>
      <w:r>
        <w:rPr>
          <w:spacing w:val="-7"/>
        </w:rPr>
        <w:t xml:space="preserve"> </w:t>
      </w:r>
      <w:r>
        <w:t>presencia</w:t>
      </w:r>
      <w:r>
        <w:rPr>
          <w:spacing w:val="-6"/>
        </w:rPr>
        <w:t xml:space="preserve"> </w:t>
      </w:r>
      <w:r>
        <w:t>de</w:t>
      </w:r>
      <w:r>
        <w:rPr>
          <w:spacing w:val="-7"/>
        </w:rPr>
        <w:t xml:space="preserve"> </w:t>
      </w:r>
      <w:r>
        <w:t>un</w:t>
      </w:r>
      <w:r>
        <w:rPr>
          <w:spacing w:val="-6"/>
        </w:rPr>
        <w:t xml:space="preserve"> </w:t>
      </w:r>
      <w:r>
        <w:t>estado</w:t>
      </w:r>
      <w:r>
        <w:rPr>
          <w:spacing w:val="-6"/>
        </w:rPr>
        <w:t xml:space="preserve"> </w:t>
      </w:r>
      <w:r>
        <w:t>que</w:t>
      </w:r>
      <w:r>
        <w:rPr>
          <w:spacing w:val="-7"/>
        </w:rPr>
        <w:t xml:space="preserve"> </w:t>
      </w:r>
      <w:r>
        <w:t>ocupase</w:t>
      </w:r>
      <w:r>
        <w:rPr>
          <w:spacing w:val="-7"/>
        </w:rPr>
        <w:t xml:space="preserve"> </w:t>
      </w:r>
      <w:r>
        <w:t>los</w:t>
      </w:r>
      <w:r>
        <w:rPr>
          <w:spacing w:val="-8"/>
        </w:rPr>
        <w:t xml:space="preserve"> </w:t>
      </w:r>
      <w:r>
        <w:t>lugares</w:t>
      </w:r>
      <w:r>
        <w:rPr>
          <w:spacing w:val="-7"/>
        </w:rPr>
        <w:t xml:space="preserve"> </w:t>
      </w:r>
      <w:r>
        <w:t>dejados</w:t>
      </w:r>
      <w:r>
        <w:rPr>
          <w:spacing w:val="-6"/>
        </w:rPr>
        <w:t xml:space="preserve"> </w:t>
      </w:r>
      <w:r>
        <w:t>por</w:t>
      </w:r>
      <w:r>
        <w:rPr>
          <w:spacing w:val="-7"/>
        </w:rPr>
        <w:t xml:space="preserve"> </w:t>
      </w:r>
      <w:r>
        <w:t>las</w:t>
      </w:r>
      <w:r>
        <w:rPr>
          <w:spacing w:val="-7"/>
        </w:rPr>
        <w:t xml:space="preserve"> </w:t>
      </w:r>
      <w:r>
        <w:t>FARC- EP que han sido ocupados por otros grupos armados y delincuenciales; la escasa inversión social en las zonas PDET y que una buena parte del capítulo étnico que no se ha cumplido, donde la guerra hoy sigue con un marcado interés económico.</w:t>
      </w:r>
    </w:p>
    <w:p w:rsidR="003804AC" w:rsidRDefault="00AF18A5" w:rsidP="00143CE1">
      <w:r>
        <w:t>En el presente, las disputas por el control de los territorios y la población civil, y la imposición</w:t>
      </w:r>
      <w:r>
        <w:rPr>
          <w:spacing w:val="-7"/>
        </w:rPr>
        <w:t xml:space="preserve"> </w:t>
      </w:r>
      <w:r>
        <w:t>de</w:t>
      </w:r>
      <w:r>
        <w:rPr>
          <w:spacing w:val="-6"/>
        </w:rPr>
        <w:t xml:space="preserve"> </w:t>
      </w:r>
      <w:r>
        <w:t>órdenes</w:t>
      </w:r>
      <w:r>
        <w:rPr>
          <w:spacing w:val="-6"/>
        </w:rPr>
        <w:t xml:space="preserve"> </w:t>
      </w:r>
      <w:r>
        <w:t>violentos</w:t>
      </w:r>
      <w:r>
        <w:rPr>
          <w:spacing w:val="-6"/>
        </w:rPr>
        <w:t xml:space="preserve"> </w:t>
      </w:r>
      <w:r>
        <w:t>se</w:t>
      </w:r>
      <w:r>
        <w:rPr>
          <w:spacing w:val="-7"/>
        </w:rPr>
        <w:t xml:space="preserve"> </w:t>
      </w:r>
      <w:r>
        <w:t>mantienen</w:t>
      </w:r>
      <w:r>
        <w:rPr>
          <w:spacing w:val="-6"/>
        </w:rPr>
        <w:t xml:space="preserve"> </w:t>
      </w:r>
      <w:r>
        <w:t>a</w:t>
      </w:r>
      <w:r>
        <w:rPr>
          <w:spacing w:val="-7"/>
        </w:rPr>
        <w:t xml:space="preserve"> </w:t>
      </w:r>
      <w:r>
        <w:t>pesar</w:t>
      </w:r>
      <w:r>
        <w:rPr>
          <w:spacing w:val="-6"/>
        </w:rPr>
        <w:t xml:space="preserve"> </w:t>
      </w:r>
      <w:r>
        <w:t>de</w:t>
      </w:r>
      <w:r>
        <w:rPr>
          <w:spacing w:val="-7"/>
        </w:rPr>
        <w:t xml:space="preserve"> </w:t>
      </w:r>
      <w:r>
        <w:t>los</w:t>
      </w:r>
      <w:r>
        <w:rPr>
          <w:spacing w:val="-7"/>
        </w:rPr>
        <w:t xml:space="preserve"> </w:t>
      </w:r>
      <w:r>
        <w:t>acuerdos</w:t>
      </w:r>
      <w:r>
        <w:rPr>
          <w:spacing w:val="-6"/>
        </w:rPr>
        <w:t xml:space="preserve"> </w:t>
      </w:r>
      <w:r>
        <w:t>de</w:t>
      </w:r>
      <w:r>
        <w:rPr>
          <w:spacing w:val="-7"/>
        </w:rPr>
        <w:t xml:space="preserve"> </w:t>
      </w:r>
      <w:r>
        <w:t>La</w:t>
      </w:r>
      <w:r>
        <w:rPr>
          <w:spacing w:val="-6"/>
        </w:rPr>
        <w:t xml:space="preserve"> </w:t>
      </w:r>
      <w:r>
        <w:t>Habana.</w:t>
      </w:r>
      <w:r>
        <w:rPr>
          <w:spacing w:val="-6"/>
        </w:rPr>
        <w:t xml:space="preserve"> </w:t>
      </w:r>
      <w:r>
        <w:t>Esto</w:t>
      </w:r>
      <w:r>
        <w:rPr>
          <w:spacing w:val="-6"/>
        </w:rPr>
        <w:t xml:space="preserve"> </w:t>
      </w:r>
      <w:r>
        <w:t>es un</w:t>
      </w:r>
      <w:r>
        <w:rPr>
          <w:spacing w:val="-11"/>
        </w:rPr>
        <w:t xml:space="preserve"> </w:t>
      </w:r>
      <w:r>
        <w:t>indicador</w:t>
      </w:r>
      <w:r>
        <w:rPr>
          <w:spacing w:val="-12"/>
        </w:rPr>
        <w:t xml:space="preserve"> </w:t>
      </w:r>
      <w:r>
        <w:t>del</w:t>
      </w:r>
      <w:r>
        <w:rPr>
          <w:spacing w:val="-10"/>
        </w:rPr>
        <w:t xml:space="preserve"> </w:t>
      </w:r>
      <w:r>
        <w:t>abandono</w:t>
      </w:r>
      <w:r>
        <w:rPr>
          <w:spacing w:val="-11"/>
        </w:rPr>
        <w:t xml:space="preserve"> </w:t>
      </w:r>
      <w:r>
        <w:lastRenderedPageBreak/>
        <w:t>estatal</w:t>
      </w:r>
      <w:r>
        <w:rPr>
          <w:spacing w:val="-10"/>
        </w:rPr>
        <w:t xml:space="preserve"> </w:t>
      </w:r>
      <w:r>
        <w:t>y</w:t>
      </w:r>
      <w:r>
        <w:rPr>
          <w:spacing w:val="-11"/>
        </w:rPr>
        <w:t xml:space="preserve"> </w:t>
      </w:r>
      <w:r>
        <w:t>de</w:t>
      </w:r>
      <w:r>
        <w:rPr>
          <w:spacing w:val="-11"/>
        </w:rPr>
        <w:t xml:space="preserve"> </w:t>
      </w:r>
      <w:r>
        <w:t>la</w:t>
      </w:r>
      <w:r>
        <w:rPr>
          <w:spacing w:val="-12"/>
        </w:rPr>
        <w:t xml:space="preserve"> </w:t>
      </w:r>
      <w:r>
        <w:t>imposibilidad</w:t>
      </w:r>
      <w:r>
        <w:rPr>
          <w:spacing w:val="-11"/>
        </w:rPr>
        <w:t xml:space="preserve"> </w:t>
      </w:r>
      <w:r>
        <w:t>de</w:t>
      </w:r>
      <w:r>
        <w:rPr>
          <w:spacing w:val="-12"/>
        </w:rPr>
        <w:t xml:space="preserve"> </w:t>
      </w:r>
      <w:r>
        <w:t>recuperar</w:t>
      </w:r>
      <w:r>
        <w:rPr>
          <w:spacing w:val="-12"/>
        </w:rPr>
        <w:t xml:space="preserve"> </w:t>
      </w:r>
      <w:r>
        <w:t>las</w:t>
      </w:r>
      <w:r>
        <w:rPr>
          <w:spacing w:val="-12"/>
        </w:rPr>
        <w:t xml:space="preserve"> </w:t>
      </w:r>
      <w:r>
        <w:t>zonas</w:t>
      </w:r>
      <w:r>
        <w:rPr>
          <w:spacing w:val="-11"/>
        </w:rPr>
        <w:t xml:space="preserve"> </w:t>
      </w:r>
      <w:r>
        <w:t>que</w:t>
      </w:r>
      <w:r>
        <w:rPr>
          <w:spacing w:val="-11"/>
        </w:rPr>
        <w:t xml:space="preserve"> </w:t>
      </w:r>
      <w:r>
        <w:t xml:space="preserve">estuvieron bajo el dominio </w:t>
      </w:r>
      <w:proofErr w:type="spellStart"/>
      <w:r>
        <w:t>fariano</w:t>
      </w:r>
      <w:proofErr w:type="spellEnd"/>
      <w:r>
        <w:t>, que a su vez se expresan en las dificultades que ha tenido la implementación del Acuerdo de Paz. Varios factores explican este difícil momento del proceso.</w:t>
      </w:r>
      <w:r>
        <w:rPr>
          <w:spacing w:val="-5"/>
        </w:rPr>
        <w:t xml:space="preserve"> </w:t>
      </w:r>
      <w:r>
        <w:t>Entre</w:t>
      </w:r>
      <w:r>
        <w:rPr>
          <w:spacing w:val="-5"/>
        </w:rPr>
        <w:t xml:space="preserve"> </w:t>
      </w:r>
      <w:r>
        <w:t>ellos,</w:t>
      </w:r>
      <w:r>
        <w:rPr>
          <w:spacing w:val="-5"/>
        </w:rPr>
        <w:t xml:space="preserve"> </w:t>
      </w:r>
      <w:r>
        <w:t>la</w:t>
      </w:r>
      <w:r>
        <w:rPr>
          <w:spacing w:val="-5"/>
        </w:rPr>
        <w:t xml:space="preserve"> </w:t>
      </w:r>
      <w:r>
        <w:t>llegada</w:t>
      </w:r>
      <w:r>
        <w:rPr>
          <w:spacing w:val="-5"/>
        </w:rPr>
        <w:t xml:space="preserve"> </w:t>
      </w:r>
      <w:r>
        <w:t>al</w:t>
      </w:r>
      <w:r>
        <w:rPr>
          <w:spacing w:val="-4"/>
        </w:rPr>
        <w:t xml:space="preserve"> </w:t>
      </w:r>
      <w:r>
        <w:t>poder</w:t>
      </w:r>
      <w:r>
        <w:rPr>
          <w:spacing w:val="-5"/>
        </w:rPr>
        <w:t xml:space="preserve"> </w:t>
      </w:r>
      <w:r>
        <w:t>del</w:t>
      </w:r>
      <w:r>
        <w:rPr>
          <w:spacing w:val="-5"/>
        </w:rPr>
        <w:t xml:space="preserve"> </w:t>
      </w:r>
      <w:r>
        <w:t>partido</w:t>
      </w:r>
      <w:r>
        <w:rPr>
          <w:spacing w:val="-5"/>
        </w:rPr>
        <w:t xml:space="preserve"> </w:t>
      </w:r>
      <w:r>
        <w:t>opositor</w:t>
      </w:r>
      <w:r>
        <w:rPr>
          <w:spacing w:val="-5"/>
        </w:rPr>
        <w:t xml:space="preserve"> </w:t>
      </w:r>
      <w:r>
        <w:t>al</w:t>
      </w:r>
      <w:r>
        <w:rPr>
          <w:spacing w:val="-5"/>
        </w:rPr>
        <w:t xml:space="preserve"> </w:t>
      </w:r>
      <w:r>
        <w:t>Acuerdo</w:t>
      </w:r>
      <w:r>
        <w:rPr>
          <w:spacing w:val="-5"/>
        </w:rPr>
        <w:t xml:space="preserve"> </w:t>
      </w:r>
      <w:r>
        <w:t>en</w:t>
      </w:r>
      <w:r>
        <w:rPr>
          <w:spacing w:val="-5"/>
        </w:rPr>
        <w:t xml:space="preserve"> </w:t>
      </w:r>
      <w:r>
        <w:t>2018</w:t>
      </w:r>
      <w:r>
        <w:rPr>
          <w:spacing w:val="-5"/>
        </w:rPr>
        <w:t xml:space="preserve"> </w:t>
      </w:r>
      <w:r>
        <w:t>y</w:t>
      </w:r>
      <w:r>
        <w:rPr>
          <w:spacing w:val="-5"/>
        </w:rPr>
        <w:t xml:space="preserve"> </w:t>
      </w:r>
      <w:r>
        <w:t>su</w:t>
      </w:r>
      <w:r>
        <w:rPr>
          <w:spacing w:val="-4"/>
        </w:rPr>
        <w:t xml:space="preserve"> </w:t>
      </w:r>
      <w:r>
        <w:rPr>
          <w:spacing w:val="-2"/>
        </w:rPr>
        <w:t>cambio</w:t>
      </w:r>
      <w:r w:rsidR="00143CE1">
        <w:t xml:space="preserve"> </w:t>
      </w:r>
      <w:r>
        <w:t>en</w:t>
      </w:r>
      <w:r>
        <w:rPr>
          <w:spacing w:val="-15"/>
        </w:rPr>
        <w:t xml:space="preserve"> </w:t>
      </w:r>
      <w:r>
        <w:t>el</w:t>
      </w:r>
      <w:r>
        <w:rPr>
          <w:spacing w:val="-15"/>
        </w:rPr>
        <w:t xml:space="preserve"> </w:t>
      </w:r>
      <w:r>
        <w:t>enfoque</w:t>
      </w:r>
      <w:r>
        <w:rPr>
          <w:spacing w:val="-15"/>
        </w:rPr>
        <w:t xml:space="preserve"> </w:t>
      </w:r>
      <w:r>
        <w:t>de</w:t>
      </w:r>
      <w:r>
        <w:rPr>
          <w:spacing w:val="-15"/>
        </w:rPr>
        <w:t xml:space="preserve"> </w:t>
      </w:r>
      <w:r>
        <w:t>la</w:t>
      </w:r>
      <w:r>
        <w:rPr>
          <w:spacing w:val="-15"/>
        </w:rPr>
        <w:t xml:space="preserve"> </w:t>
      </w:r>
      <w:r>
        <w:t>implementación,</w:t>
      </w:r>
      <w:r>
        <w:rPr>
          <w:spacing w:val="-15"/>
        </w:rPr>
        <w:t xml:space="preserve"> </w:t>
      </w:r>
      <w:r>
        <w:t>así</w:t>
      </w:r>
      <w:r>
        <w:rPr>
          <w:spacing w:val="-15"/>
        </w:rPr>
        <w:t xml:space="preserve"> </w:t>
      </w:r>
      <w:r>
        <w:t>como</w:t>
      </w:r>
      <w:r>
        <w:rPr>
          <w:spacing w:val="-15"/>
        </w:rPr>
        <w:t xml:space="preserve"> </w:t>
      </w:r>
      <w:r>
        <w:t>los</w:t>
      </w:r>
      <w:r>
        <w:rPr>
          <w:spacing w:val="-15"/>
        </w:rPr>
        <w:t xml:space="preserve"> </w:t>
      </w:r>
      <w:r>
        <w:t>problemas</w:t>
      </w:r>
      <w:r>
        <w:rPr>
          <w:spacing w:val="-15"/>
        </w:rPr>
        <w:t xml:space="preserve"> </w:t>
      </w:r>
      <w:r>
        <w:t>internos</w:t>
      </w:r>
      <w:r>
        <w:rPr>
          <w:spacing w:val="-15"/>
        </w:rPr>
        <w:t xml:space="preserve"> </w:t>
      </w:r>
      <w:r>
        <w:t>del</w:t>
      </w:r>
      <w:r>
        <w:rPr>
          <w:spacing w:val="-15"/>
        </w:rPr>
        <w:t xml:space="preserve"> </w:t>
      </w:r>
      <w:r>
        <w:t>partido</w:t>
      </w:r>
      <w:r>
        <w:rPr>
          <w:spacing w:val="-15"/>
        </w:rPr>
        <w:t xml:space="preserve"> </w:t>
      </w:r>
      <w:r>
        <w:t>los</w:t>
      </w:r>
      <w:r>
        <w:rPr>
          <w:spacing w:val="-15"/>
        </w:rPr>
        <w:t xml:space="preserve"> </w:t>
      </w:r>
      <w:r>
        <w:t>Comunes nacido de las antiguas FARC-EP</w:t>
      </w:r>
      <w:r w:rsidR="00143CE1">
        <w:rPr>
          <w:rStyle w:val="Refdenotaalpie"/>
        </w:rPr>
        <w:footnoteReference w:id="315"/>
      </w:r>
      <w:r>
        <w:t>.</w:t>
      </w:r>
    </w:p>
    <w:p w:rsidR="003804AC" w:rsidRDefault="00AF18A5" w:rsidP="00143CE1">
      <w:r>
        <w:t>Respecto a la instauración de órdenes violentos, el caso más emblemático pueden ser algunas localidades del Caquetá como Solano y zonas del Caguán, donde las disidencias, antes lideradas por alias Gentil Duarte, tomaron el control en 2019 de zonas dominadas de forma hegemónica por las extintas FARC-EP</w:t>
      </w:r>
      <w:r w:rsidR="00143CE1">
        <w:rPr>
          <w:rStyle w:val="Refdenotaalpie"/>
        </w:rPr>
        <w:footnoteReference w:id="316"/>
      </w:r>
      <w:r>
        <w:t xml:space="preserve">. Para mantener ese control han establecido retenes y puntos de vigilancia, así como restricciones horarias (después de las 6 p. m. no se puede transitar ni por vía acuática y terrestre), normas sobre ciertas actividades económicas (coca, madera, ganadería) y tributación a comerciantes de ganado, queso y leche, a las compraventas, al comercio local, la hoja de coca y el oro. Adicionalmente, se mantiene la delegación de los asuntos en las instancias organizativas, gracias al legado y la experiencia </w:t>
      </w:r>
      <w:proofErr w:type="spellStart"/>
      <w:r>
        <w:t>fariana</w:t>
      </w:r>
      <w:proofErr w:type="spellEnd"/>
      <w:r>
        <w:t>. Estas capacidades de autogestión se sustentan en el reciclaje de los manuales de convivencia impuestos por las FARC-EP y asumidos por las comunidades a tal punto que muchas reglas y normas de las actuales disidencias emulan las de la extinta guerrilla.</w:t>
      </w:r>
    </w:p>
    <w:p w:rsidR="003804AC" w:rsidRDefault="00AF18A5" w:rsidP="00143CE1">
      <w:r>
        <w:lastRenderedPageBreak/>
        <w:t>Arauca</w:t>
      </w:r>
      <w:r>
        <w:rPr>
          <w:spacing w:val="-15"/>
        </w:rPr>
        <w:t xml:space="preserve"> </w:t>
      </w:r>
      <w:r>
        <w:t>es</w:t>
      </w:r>
      <w:r>
        <w:rPr>
          <w:spacing w:val="-15"/>
        </w:rPr>
        <w:t xml:space="preserve"> </w:t>
      </w:r>
      <w:r>
        <w:t>el</w:t>
      </w:r>
      <w:r>
        <w:rPr>
          <w:spacing w:val="-15"/>
        </w:rPr>
        <w:t xml:space="preserve"> </w:t>
      </w:r>
      <w:r>
        <w:t>polo</w:t>
      </w:r>
      <w:r>
        <w:rPr>
          <w:spacing w:val="-15"/>
        </w:rPr>
        <w:t xml:space="preserve"> </w:t>
      </w:r>
      <w:r>
        <w:t>opuesto</w:t>
      </w:r>
      <w:r>
        <w:rPr>
          <w:spacing w:val="-15"/>
        </w:rPr>
        <w:t xml:space="preserve"> </w:t>
      </w:r>
      <w:r>
        <w:t>del</w:t>
      </w:r>
      <w:r>
        <w:rPr>
          <w:spacing w:val="-15"/>
        </w:rPr>
        <w:t xml:space="preserve"> </w:t>
      </w:r>
      <w:r>
        <w:t>Caquetá.</w:t>
      </w:r>
      <w:r>
        <w:rPr>
          <w:spacing w:val="-15"/>
        </w:rPr>
        <w:t xml:space="preserve"> </w:t>
      </w:r>
      <w:r>
        <w:t>Las</w:t>
      </w:r>
      <w:r>
        <w:rPr>
          <w:spacing w:val="-15"/>
        </w:rPr>
        <w:t xml:space="preserve"> </w:t>
      </w:r>
      <w:r>
        <w:t>disidencias</w:t>
      </w:r>
      <w:r>
        <w:rPr>
          <w:spacing w:val="-15"/>
        </w:rPr>
        <w:t xml:space="preserve"> </w:t>
      </w:r>
      <w:r>
        <w:t>de</w:t>
      </w:r>
      <w:r>
        <w:rPr>
          <w:spacing w:val="-15"/>
        </w:rPr>
        <w:t xml:space="preserve"> </w:t>
      </w:r>
      <w:r>
        <w:t>los</w:t>
      </w:r>
      <w:r>
        <w:rPr>
          <w:spacing w:val="-15"/>
        </w:rPr>
        <w:t xml:space="preserve"> </w:t>
      </w:r>
      <w:r>
        <w:t>frentes</w:t>
      </w:r>
      <w:r>
        <w:rPr>
          <w:spacing w:val="-14"/>
        </w:rPr>
        <w:t xml:space="preserve"> </w:t>
      </w:r>
      <w:r>
        <w:t>10</w:t>
      </w:r>
      <w:r>
        <w:rPr>
          <w:spacing w:val="-15"/>
        </w:rPr>
        <w:t xml:space="preserve"> </w:t>
      </w:r>
      <w:r>
        <w:t>y</w:t>
      </w:r>
      <w:r>
        <w:rPr>
          <w:spacing w:val="-15"/>
        </w:rPr>
        <w:t xml:space="preserve"> </w:t>
      </w:r>
      <w:r>
        <w:t>28</w:t>
      </w:r>
      <w:r>
        <w:rPr>
          <w:spacing w:val="-15"/>
        </w:rPr>
        <w:t xml:space="preserve"> </w:t>
      </w:r>
      <w:r>
        <w:t>de</w:t>
      </w:r>
      <w:r>
        <w:rPr>
          <w:spacing w:val="-15"/>
        </w:rPr>
        <w:t xml:space="preserve"> </w:t>
      </w:r>
      <w:r>
        <w:t>las</w:t>
      </w:r>
      <w:r>
        <w:rPr>
          <w:spacing w:val="-14"/>
        </w:rPr>
        <w:t xml:space="preserve"> </w:t>
      </w:r>
      <w:r>
        <w:t>FARC- EP se han mostrado menos interesadas en regular la vida social y más en promover actividades económicas que les brinden los medios suficientes para su subsistencia</w:t>
      </w:r>
      <w:r w:rsidR="00143CE1">
        <w:rPr>
          <w:rStyle w:val="Refdenotaalpie"/>
        </w:rPr>
        <w:footnoteReference w:id="317"/>
      </w:r>
      <w:r>
        <w:t>. Esta ha redundado en que el orden violento construido ha sido percibido como predatorio e ineficiente</w:t>
      </w:r>
      <w:r>
        <w:rPr>
          <w:spacing w:val="-3"/>
        </w:rPr>
        <w:t xml:space="preserve"> </w:t>
      </w:r>
      <w:r>
        <w:t>y</w:t>
      </w:r>
      <w:r>
        <w:rPr>
          <w:spacing w:val="-3"/>
        </w:rPr>
        <w:t xml:space="preserve"> </w:t>
      </w:r>
      <w:r>
        <w:t>enmarca</w:t>
      </w:r>
      <w:r>
        <w:rPr>
          <w:spacing w:val="-3"/>
        </w:rPr>
        <w:t xml:space="preserve"> </w:t>
      </w:r>
      <w:r>
        <w:t>las</w:t>
      </w:r>
      <w:r>
        <w:rPr>
          <w:spacing w:val="-3"/>
        </w:rPr>
        <w:t xml:space="preserve"> </w:t>
      </w:r>
      <w:r>
        <w:t>fuertes</w:t>
      </w:r>
      <w:r>
        <w:rPr>
          <w:spacing w:val="-3"/>
        </w:rPr>
        <w:t xml:space="preserve"> </w:t>
      </w:r>
      <w:r>
        <w:t>disputas</w:t>
      </w:r>
      <w:r>
        <w:rPr>
          <w:spacing w:val="-3"/>
        </w:rPr>
        <w:t xml:space="preserve"> </w:t>
      </w:r>
      <w:r>
        <w:t>entre</w:t>
      </w:r>
      <w:r>
        <w:rPr>
          <w:spacing w:val="-2"/>
        </w:rPr>
        <w:t xml:space="preserve"> </w:t>
      </w:r>
      <w:r>
        <w:t>estructuras</w:t>
      </w:r>
      <w:r>
        <w:rPr>
          <w:spacing w:val="-3"/>
        </w:rPr>
        <w:t xml:space="preserve"> </w:t>
      </w:r>
      <w:r>
        <w:t>del</w:t>
      </w:r>
      <w:r>
        <w:rPr>
          <w:spacing w:val="-3"/>
        </w:rPr>
        <w:t xml:space="preserve"> </w:t>
      </w:r>
      <w:r>
        <w:t>Frente</w:t>
      </w:r>
      <w:r>
        <w:rPr>
          <w:spacing w:val="-2"/>
        </w:rPr>
        <w:t xml:space="preserve"> </w:t>
      </w:r>
      <w:r>
        <w:t>de</w:t>
      </w:r>
      <w:r>
        <w:rPr>
          <w:spacing w:val="-3"/>
        </w:rPr>
        <w:t xml:space="preserve"> </w:t>
      </w:r>
      <w:r>
        <w:t>Guerra</w:t>
      </w:r>
      <w:r>
        <w:rPr>
          <w:spacing w:val="-3"/>
        </w:rPr>
        <w:t xml:space="preserve"> </w:t>
      </w:r>
      <w:r>
        <w:t>Oriental</w:t>
      </w:r>
      <w:r>
        <w:rPr>
          <w:spacing w:val="-2"/>
        </w:rPr>
        <w:t xml:space="preserve"> </w:t>
      </w:r>
      <w:r>
        <w:t>del ELN y las disidencias en el piedemonte araucano. Luego de una fuerte y rápida ola de violencia</w:t>
      </w:r>
      <w:r>
        <w:rPr>
          <w:spacing w:val="-9"/>
        </w:rPr>
        <w:t xml:space="preserve"> </w:t>
      </w:r>
      <w:r>
        <w:t>caracterizada</w:t>
      </w:r>
      <w:r>
        <w:rPr>
          <w:spacing w:val="-8"/>
        </w:rPr>
        <w:t xml:space="preserve"> </w:t>
      </w:r>
      <w:r>
        <w:t>por</w:t>
      </w:r>
      <w:r>
        <w:rPr>
          <w:spacing w:val="-8"/>
        </w:rPr>
        <w:t xml:space="preserve"> </w:t>
      </w:r>
      <w:r>
        <w:t>masacres,</w:t>
      </w:r>
      <w:r>
        <w:rPr>
          <w:spacing w:val="-9"/>
        </w:rPr>
        <w:t xml:space="preserve"> </w:t>
      </w:r>
      <w:r>
        <w:t>ataques</w:t>
      </w:r>
      <w:r>
        <w:rPr>
          <w:spacing w:val="-8"/>
        </w:rPr>
        <w:t xml:space="preserve"> </w:t>
      </w:r>
      <w:r>
        <w:t>con</w:t>
      </w:r>
      <w:r>
        <w:rPr>
          <w:spacing w:val="-9"/>
        </w:rPr>
        <w:t xml:space="preserve"> </w:t>
      </w:r>
      <w:r>
        <w:t>artefactos</w:t>
      </w:r>
      <w:r>
        <w:rPr>
          <w:spacing w:val="-9"/>
        </w:rPr>
        <w:t xml:space="preserve"> </w:t>
      </w:r>
      <w:r>
        <w:t>explosivos</w:t>
      </w:r>
      <w:r>
        <w:rPr>
          <w:spacing w:val="-9"/>
        </w:rPr>
        <w:t xml:space="preserve"> </w:t>
      </w:r>
      <w:r>
        <w:t>a</w:t>
      </w:r>
      <w:r>
        <w:rPr>
          <w:spacing w:val="-9"/>
        </w:rPr>
        <w:t xml:space="preserve"> </w:t>
      </w:r>
      <w:r>
        <w:t>bienes</w:t>
      </w:r>
      <w:r>
        <w:rPr>
          <w:spacing w:val="-9"/>
        </w:rPr>
        <w:t xml:space="preserve"> </w:t>
      </w:r>
      <w:r>
        <w:t>civiles,</w:t>
      </w:r>
      <w:r>
        <w:rPr>
          <w:spacing w:val="-8"/>
        </w:rPr>
        <w:t xml:space="preserve"> </w:t>
      </w:r>
      <w:r>
        <w:t>etc., el</w:t>
      </w:r>
      <w:r>
        <w:rPr>
          <w:spacing w:val="29"/>
        </w:rPr>
        <w:t xml:space="preserve"> </w:t>
      </w:r>
      <w:r>
        <w:t>desenlace</w:t>
      </w:r>
      <w:r>
        <w:rPr>
          <w:spacing w:val="29"/>
        </w:rPr>
        <w:t xml:space="preserve"> </w:t>
      </w:r>
      <w:r>
        <w:t>de</w:t>
      </w:r>
      <w:r>
        <w:rPr>
          <w:spacing w:val="30"/>
        </w:rPr>
        <w:t xml:space="preserve"> </w:t>
      </w:r>
      <w:r>
        <w:t>esta</w:t>
      </w:r>
      <w:r>
        <w:rPr>
          <w:spacing w:val="28"/>
        </w:rPr>
        <w:t xml:space="preserve"> </w:t>
      </w:r>
      <w:r>
        <w:t>confrontación</w:t>
      </w:r>
      <w:r>
        <w:rPr>
          <w:spacing w:val="29"/>
        </w:rPr>
        <w:t xml:space="preserve"> </w:t>
      </w:r>
      <w:r>
        <w:t>fue</w:t>
      </w:r>
      <w:r>
        <w:rPr>
          <w:spacing w:val="30"/>
        </w:rPr>
        <w:t xml:space="preserve"> </w:t>
      </w:r>
      <w:r>
        <w:t>la</w:t>
      </w:r>
      <w:r>
        <w:rPr>
          <w:spacing w:val="30"/>
        </w:rPr>
        <w:t xml:space="preserve"> </w:t>
      </w:r>
      <w:proofErr w:type="spellStart"/>
      <w:r>
        <w:t>hegemonización</w:t>
      </w:r>
      <w:proofErr w:type="spellEnd"/>
      <w:r>
        <w:rPr>
          <w:spacing w:val="29"/>
        </w:rPr>
        <w:t xml:space="preserve"> </w:t>
      </w:r>
      <w:r>
        <w:t>del</w:t>
      </w:r>
      <w:r>
        <w:rPr>
          <w:spacing w:val="30"/>
        </w:rPr>
        <w:t xml:space="preserve"> </w:t>
      </w:r>
      <w:r>
        <w:t>ELN,</w:t>
      </w:r>
      <w:r>
        <w:rPr>
          <w:spacing w:val="30"/>
        </w:rPr>
        <w:t xml:space="preserve"> </w:t>
      </w:r>
      <w:r>
        <w:t>al</w:t>
      </w:r>
      <w:r>
        <w:rPr>
          <w:spacing w:val="28"/>
        </w:rPr>
        <w:t xml:space="preserve"> </w:t>
      </w:r>
      <w:r>
        <w:t>poner</w:t>
      </w:r>
      <w:r>
        <w:rPr>
          <w:spacing w:val="30"/>
        </w:rPr>
        <w:t xml:space="preserve"> </w:t>
      </w:r>
      <w:r>
        <w:t>«la</w:t>
      </w:r>
      <w:r>
        <w:rPr>
          <w:spacing w:val="29"/>
        </w:rPr>
        <w:t xml:space="preserve"> </w:t>
      </w:r>
      <w:r>
        <w:t>casa</w:t>
      </w:r>
      <w:r>
        <w:rPr>
          <w:spacing w:val="30"/>
        </w:rPr>
        <w:t xml:space="preserve"> </w:t>
      </w:r>
      <w:r>
        <w:rPr>
          <w:spacing w:val="-5"/>
        </w:rPr>
        <w:t>en</w:t>
      </w:r>
      <w:bookmarkStart w:id="452" w:name="_bookmark359"/>
      <w:bookmarkStart w:id="453" w:name="_bookmark360"/>
      <w:bookmarkStart w:id="454" w:name="_bookmark361"/>
      <w:bookmarkEnd w:id="452"/>
      <w:bookmarkEnd w:id="453"/>
      <w:bookmarkEnd w:id="454"/>
      <w:r w:rsidR="00143CE1">
        <w:t xml:space="preserve"> </w:t>
      </w:r>
      <w:r>
        <w:t>orden», ya que el ordenamiento cimentado por las disidencias fue percibido como muy militarizado y predatorio por los habitantes locales.</w:t>
      </w:r>
    </w:p>
    <w:p w:rsidR="003804AC" w:rsidRDefault="00AF18A5" w:rsidP="0046707C">
      <w:r>
        <w:t>En el Pacífico nariñense, las disidencias que han hecho presencia han sido del Frente Oliver Sinisterra (FOS) y las Guerrillas Unidas del Pacífico (GUP) en 2017. Han impuesto un tipo de control del territorio y la población abocado a la economía cocalera y otras actividades económicas susceptibles de regulación</w:t>
      </w:r>
      <w:r w:rsidR="0046707C">
        <w:rPr>
          <w:rStyle w:val="Refdenotaalpie"/>
        </w:rPr>
        <w:footnoteReference w:id="318"/>
      </w:r>
      <w:r>
        <w:t>. Los grupos armados se disputan las rutas y espacios para el movimiento de droga, y estas disputas han sido el contexto de homicidios de excombatientes y líderes en Tumaco. Las reglas no son claras para los habitantes, los líderes y lideresas, ni los gestores sociales y ambientales, quienes no tienen certeza</w:t>
      </w:r>
      <w:r>
        <w:rPr>
          <w:spacing w:val="-2"/>
        </w:rPr>
        <w:t xml:space="preserve"> </w:t>
      </w:r>
      <w:r>
        <w:t>de</w:t>
      </w:r>
      <w:r>
        <w:rPr>
          <w:spacing w:val="-2"/>
        </w:rPr>
        <w:t xml:space="preserve"> </w:t>
      </w:r>
      <w:r>
        <w:t>cómo</w:t>
      </w:r>
      <w:r>
        <w:rPr>
          <w:spacing w:val="-2"/>
        </w:rPr>
        <w:t xml:space="preserve"> </w:t>
      </w:r>
      <w:r>
        <w:t>y</w:t>
      </w:r>
      <w:r>
        <w:rPr>
          <w:spacing w:val="-2"/>
        </w:rPr>
        <w:t xml:space="preserve"> </w:t>
      </w:r>
      <w:r>
        <w:t>con</w:t>
      </w:r>
      <w:r>
        <w:rPr>
          <w:spacing w:val="-2"/>
        </w:rPr>
        <w:t xml:space="preserve"> </w:t>
      </w:r>
      <w:r>
        <w:t>quién</w:t>
      </w:r>
      <w:r>
        <w:rPr>
          <w:spacing w:val="-2"/>
        </w:rPr>
        <w:t xml:space="preserve"> </w:t>
      </w:r>
      <w:proofErr w:type="spellStart"/>
      <w:r>
        <w:t>interlocutar</w:t>
      </w:r>
      <w:proofErr w:type="spellEnd"/>
      <w:r w:rsidR="0046707C">
        <w:rPr>
          <w:rStyle w:val="Refdenotaalpie"/>
        </w:rPr>
        <w:footnoteReference w:id="319"/>
      </w:r>
      <w:r>
        <w:t>.</w:t>
      </w:r>
      <w:r>
        <w:rPr>
          <w:spacing w:val="-2"/>
        </w:rPr>
        <w:t xml:space="preserve"> </w:t>
      </w:r>
      <w:r>
        <w:t>Además,</w:t>
      </w:r>
      <w:r>
        <w:rPr>
          <w:spacing w:val="-2"/>
        </w:rPr>
        <w:t xml:space="preserve"> </w:t>
      </w:r>
      <w:r>
        <w:t>a</w:t>
      </w:r>
      <w:r>
        <w:rPr>
          <w:spacing w:val="-2"/>
        </w:rPr>
        <w:t xml:space="preserve"> </w:t>
      </w:r>
      <w:r>
        <w:t>diferencia</w:t>
      </w:r>
      <w:r>
        <w:rPr>
          <w:spacing w:val="-2"/>
        </w:rPr>
        <w:t xml:space="preserve"> </w:t>
      </w:r>
      <w:r>
        <w:t>de</w:t>
      </w:r>
      <w:r>
        <w:rPr>
          <w:spacing w:val="-2"/>
        </w:rPr>
        <w:t xml:space="preserve"> </w:t>
      </w:r>
      <w:r>
        <w:t>las</w:t>
      </w:r>
      <w:r>
        <w:rPr>
          <w:spacing w:val="-2"/>
        </w:rPr>
        <w:t xml:space="preserve"> </w:t>
      </w:r>
      <w:r>
        <w:lastRenderedPageBreak/>
        <w:t>extintas</w:t>
      </w:r>
      <w:r>
        <w:rPr>
          <w:spacing w:val="-2"/>
        </w:rPr>
        <w:t xml:space="preserve"> </w:t>
      </w:r>
      <w:r>
        <w:t>FARC-EP, el Frente Oliver Sinisterra y las Guerrillas Unidas del Pacífico están poco interesados en regular los aspectos de la vida social, bien sea por desinterés o por incapacidad. Sus reglas se limitan a horarios para la movilidad, decreto de confinamientos, restricciones a los espacios de sociabilidad y regulación de la economía cocalera</w:t>
      </w:r>
      <w:r w:rsidR="0046707C">
        <w:rPr>
          <w:rStyle w:val="Refdenotaalpie"/>
        </w:rPr>
        <w:footnoteReference w:id="320"/>
      </w:r>
      <w:r>
        <w:t>.</w:t>
      </w:r>
    </w:p>
    <w:p w:rsidR="003804AC" w:rsidRDefault="00AF18A5" w:rsidP="0046707C">
      <w:r>
        <w:t>El Catatumbo muestra una trayectoria similar al Pacífico nariñense, en términos de la fragmentación de los grupos armados y sus dominios, que implicó disputas violentas entre en el ELN y el EPL entre 2017 y 2020, pero que disminuyó a partir de ese año</w:t>
      </w:r>
      <w:r w:rsidR="0046707C">
        <w:rPr>
          <w:rStyle w:val="Refdenotaalpie"/>
        </w:rPr>
        <w:footnoteReference w:id="321"/>
      </w:r>
      <w:r>
        <w:t>. Las disidencias del antiguo Frente 33 regulan el ingreso y desplazamiento de personas en sus áreas de influencia, también tramitan y resuelven problemas asociados con la convivencia, relaciones</w:t>
      </w:r>
      <w:r>
        <w:rPr>
          <w:spacing w:val="34"/>
        </w:rPr>
        <w:t xml:space="preserve"> </w:t>
      </w:r>
      <w:r>
        <w:t>sentimentales,</w:t>
      </w:r>
      <w:r>
        <w:rPr>
          <w:spacing w:val="36"/>
        </w:rPr>
        <w:t xml:space="preserve"> </w:t>
      </w:r>
      <w:r>
        <w:t>la</w:t>
      </w:r>
      <w:r>
        <w:rPr>
          <w:spacing w:val="36"/>
        </w:rPr>
        <w:t xml:space="preserve"> </w:t>
      </w:r>
      <w:r>
        <w:t>vida</w:t>
      </w:r>
      <w:r>
        <w:rPr>
          <w:spacing w:val="36"/>
        </w:rPr>
        <w:t xml:space="preserve"> </w:t>
      </w:r>
      <w:r>
        <w:t>nocturna</w:t>
      </w:r>
      <w:r>
        <w:rPr>
          <w:spacing w:val="35"/>
        </w:rPr>
        <w:t xml:space="preserve"> </w:t>
      </w:r>
      <w:r>
        <w:t>y</w:t>
      </w:r>
      <w:r>
        <w:rPr>
          <w:spacing w:val="35"/>
        </w:rPr>
        <w:t xml:space="preserve"> </w:t>
      </w:r>
      <w:r>
        <w:t>los</w:t>
      </w:r>
      <w:r>
        <w:rPr>
          <w:spacing w:val="35"/>
        </w:rPr>
        <w:t xml:space="preserve"> </w:t>
      </w:r>
      <w:r>
        <w:t>prostíbulos.</w:t>
      </w:r>
      <w:r>
        <w:rPr>
          <w:spacing w:val="35"/>
        </w:rPr>
        <w:t xml:space="preserve"> </w:t>
      </w:r>
      <w:r>
        <w:t>En</w:t>
      </w:r>
      <w:r>
        <w:rPr>
          <w:spacing w:val="36"/>
        </w:rPr>
        <w:t xml:space="preserve"> </w:t>
      </w:r>
      <w:r>
        <w:t>la</w:t>
      </w:r>
      <w:r>
        <w:rPr>
          <w:spacing w:val="36"/>
        </w:rPr>
        <w:t xml:space="preserve"> </w:t>
      </w:r>
      <w:r>
        <w:t>dimensión</w:t>
      </w:r>
      <w:r>
        <w:rPr>
          <w:spacing w:val="36"/>
        </w:rPr>
        <w:t xml:space="preserve"> </w:t>
      </w:r>
      <w:r>
        <w:rPr>
          <w:spacing w:val="-2"/>
        </w:rPr>
        <w:t>económica</w:t>
      </w:r>
      <w:bookmarkStart w:id="455" w:name="_bookmark362"/>
      <w:bookmarkStart w:id="456" w:name="_bookmark363"/>
      <w:bookmarkStart w:id="457" w:name="_bookmark364"/>
      <w:bookmarkStart w:id="458" w:name="_bookmark365"/>
      <w:bookmarkEnd w:id="455"/>
      <w:bookmarkEnd w:id="456"/>
      <w:bookmarkEnd w:id="457"/>
      <w:bookmarkEnd w:id="458"/>
      <w:r w:rsidR="0046707C">
        <w:rPr>
          <w:spacing w:val="-2"/>
        </w:rPr>
        <w:t xml:space="preserve"> </w:t>
      </w:r>
      <w:r>
        <w:t>definen linderos y dan claridad a las transacciones de la coca. A pesar de estas capacidades regulatorias hay ciertas rupturas con el pasado y las extintas FARC-EP, como que las instancias y formas de tramitación abarcan menos dimensiones de la vida cotidiana, son menos claras y la violencia para sostener las reglas es más letal.</w:t>
      </w:r>
    </w:p>
    <w:p w:rsidR="003804AC" w:rsidRDefault="00AF18A5" w:rsidP="0046707C">
      <w:r>
        <w:t xml:space="preserve">En cuanto a las disidencias del Cauca, el Frente Carlos Patiño, </w:t>
      </w:r>
      <w:r>
        <w:lastRenderedPageBreak/>
        <w:t>actualmente al mando de alias</w:t>
      </w:r>
      <w:r>
        <w:rPr>
          <w:spacing w:val="-3"/>
        </w:rPr>
        <w:t xml:space="preserve"> </w:t>
      </w:r>
      <w:r>
        <w:t>Mocho,</w:t>
      </w:r>
      <w:r>
        <w:rPr>
          <w:spacing w:val="-3"/>
        </w:rPr>
        <w:t xml:space="preserve"> </w:t>
      </w:r>
      <w:r>
        <w:t>un</w:t>
      </w:r>
      <w:r>
        <w:rPr>
          <w:spacing w:val="-3"/>
        </w:rPr>
        <w:t xml:space="preserve"> </w:t>
      </w:r>
      <w:r>
        <w:t>exintegrante</w:t>
      </w:r>
      <w:r>
        <w:rPr>
          <w:spacing w:val="-3"/>
        </w:rPr>
        <w:t xml:space="preserve"> </w:t>
      </w:r>
      <w:r>
        <w:t>de</w:t>
      </w:r>
      <w:r>
        <w:rPr>
          <w:spacing w:val="-3"/>
        </w:rPr>
        <w:t xml:space="preserve"> </w:t>
      </w:r>
      <w:r>
        <w:t>las</w:t>
      </w:r>
      <w:r>
        <w:rPr>
          <w:spacing w:val="-3"/>
        </w:rPr>
        <w:t xml:space="preserve"> </w:t>
      </w:r>
      <w:r>
        <w:t>FARC-EP</w:t>
      </w:r>
      <w:r>
        <w:rPr>
          <w:spacing w:val="-3"/>
        </w:rPr>
        <w:t xml:space="preserve"> </w:t>
      </w:r>
      <w:r>
        <w:t>rechazado</w:t>
      </w:r>
      <w:r>
        <w:rPr>
          <w:spacing w:val="-3"/>
        </w:rPr>
        <w:t xml:space="preserve"> </w:t>
      </w:r>
      <w:r>
        <w:t>por</w:t>
      </w:r>
      <w:r>
        <w:rPr>
          <w:spacing w:val="-3"/>
        </w:rPr>
        <w:t xml:space="preserve"> </w:t>
      </w:r>
      <w:r>
        <w:t>las</w:t>
      </w:r>
      <w:r>
        <w:rPr>
          <w:spacing w:val="-3"/>
        </w:rPr>
        <w:t xml:space="preserve"> </w:t>
      </w:r>
      <w:r>
        <w:t>mismas,</w:t>
      </w:r>
      <w:r>
        <w:rPr>
          <w:spacing w:val="-3"/>
        </w:rPr>
        <w:t xml:space="preserve"> </w:t>
      </w:r>
      <w:r>
        <w:t>basó</w:t>
      </w:r>
      <w:r>
        <w:rPr>
          <w:spacing w:val="-3"/>
        </w:rPr>
        <w:t xml:space="preserve"> </w:t>
      </w:r>
      <w:r>
        <w:t>su</w:t>
      </w:r>
      <w:r>
        <w:rPr>
          <w:spacing w:val="-4"/>
        </w:rPr>
        <w:t xml:space="preserve"> </w:t>
      </w:r>
      <w:r>
        <w:t>influencia en</w:t>
      </w:r>
      <w:r>
        <w:rPr>
          <w:spacing w:val="-1"/>
        </w:rPr>
        <w:t xml:space="preserve"> </w:t>
      </w:r>
      <w:r>
        <w:t>el</w:t>
      </w:r>
      <w:r>
        <w:rPr>
          <w:spacing w:val="-2"/>
        </w:rPr>
        <w:t xml:space="preserve"> </w:t>
      </w:r>
      <w:r>
        <w:t>conocimiento</w:t>
      </w:r>
      <w:r>
        <w:rPr>
          <w:spacing w:val="-1"/>
        </w:rPr>
        <w:t xml:space="preserve"> </w:t>
      </w:r>
      <w:r>
        <w:t>de</w:t>
      </w:r>
      <w:r>
        <w:rPr>
          <w:spacing w:val="-2"/>
        </w:rPr>
        <w:t xml:space="preserve"> </w:t>
      </w:r>
      <w:r>
        <w:t>las</w:t>
      </w:r>
      <w:r>
        <w:rPr>
          <w:spacing w:val="-1"/>
        </w:rPr>
        <w:t xml:space="preserve"> </w:t>
      </w:r>
      <w:r>
        <w:t>redes</w:t>
      </w:r>
      <w:r>
        <w:rPr>
          <w:spacing w:val="-2"/>
        </w:rPr>
        <w:t xml:space="preserve"> </w:t>
      </w:r>
      <w:r>
        <w:t>logísticas</w:t>
      </w:r>
      <w:r>
        <w:rPr>
          <w:spacing w:val="-1"/>
        </w:rPr>
        <w:t xml:space="preserve"> </w:t>
      </w:r>
      <w:r>
        <w:t>y</w:t>
      </w:r>
      <w:r>
        <w:rPr>
          <w:spacing w:val="-1"/>
        </w:rPr>
        <w:t xml:space="preserve"> </w:t>
      </w:r>
      <w:r>
        <w:t>económicas,</w:t>
      </w:r>
      <w:r>
        <w:rPr>
          <w:spacing w:val="-1"/>
        </w:rPr>
        <w:t xml:space="preserve"> </w:t>
      </w:r>
      <w:r>
        <w:t>y</w:t>
      </w:r>
      <w:r>
        <w:rPr>
          <w:spacing w:val="-1"/>
        </w:rPr>
        <w:t xml:space="preserve"> </w:t>
      </w:r>
      <w:r>
        <w:t>los</w:t>
      </w:r>
      <w:r>
        <w:rPr>
          <w:spacing w:val="-1"/>
        </w:rPr>
        <w:t xml:space="preserve"> </w:t>
      </w:r>
      <w:r>
        <w:t>antiguos</w:t>
      </w:r>
      <w:r>
        <w:rPr>
          <w:spacing w:val="-1"/>
        </w:rPr>
        <w:t xml:space="preserve"> </w:t>
      </w:r>
      <w:r>
        <w:t>combatientes</w:t>
      </w:r>
      <w:r>
        <w:rPr>
          <w:spacing w:val="-2"/>
        </w:rPr>
        <w:t xml:space="preserve"> </w:t>
      </w:r>
      <w:r>
        <w:t>fueron los</w:t>
      </w:r>
      <w:r>
        <w:rPr>
          <w:spacing w:val="-15"/>
        </w:rPr>
        <w:t xml:space="preserve"> </w:t>
      </w:r>
      <w:r>
        <w:t>acumulados</w:t>
      </w:r>
      <w:r>
        <w:rPr>
          <w:spacing w:val="-15"/>
        </w:rPr>
        <w:t xml:space="preserve"> </w:t>
      </w:r>
      <w:r>
        <w:t>sobre</w:t>
      </w:r>
      <w:r>
        <w:rPr>
          <w:spacing w:val="-15"/>
        </w:rPr>
        <w:t xml:space="preserve"> </w:t>
      </w:r>
      <w:r>
        <w:t>los</w:t>
      </w:r>
      <w:r>
        <w:rPr>
          <w:spacing w:val="-15"/>
        </w:rPr>
        <w:t xml:space="preserve"> </w:t>
      </w:r>
      <w:r>
        <w:t>que</w:t>
      </w:r>
      <w:r>
        <w:rPr>
          <w:spacing w:val="-15"/>
        </w:rPr>
        <w:t xml:space="preserve"> </w:t>
      </w:r>
      <w:r>
        <w:t>apalancó</w:t>
      </w:r>
      <w:r>
        <w:rPr>
          <w:spacing w:val="-15"/>
        </w:rPr>
        <w:t xml:space="preserve"> </w:t>
      </w:r>
      <w:r>
        <w:t>su</w:t>
      </w:r>
      <w:r>
        <w:rPr>
          <w:spacing w:val="-15"/>
        </w:rPr>
        <w:t xml:space="preserve"> </w:t>
      </w:r>
      <w:r>
        <w:t>estructura.</w:t>
      </w:r>
      <w:r>
        <w:rPr>
          <w:spacing w:val="-15"/>
        </w:rPr>
        <w:t xml:space="preserve"> </w:t>
      </w:r>
      <w:r>
        <w:t>Bajo</w:t>
      </w:r>
      <w:r>
        <w:rPr>
          <w:spacing w:val="-15"/>
        </w:rPr>
        <w:t xml:space="preserve"> </w:t>
      </w:r>
      <w:r>
        <w:t>ese</w:t>
      </w:r>
      <w:r>
        <w:rPr>
          <w:spacing w:val="-15"/>
        </w:rPr>
        <w:t xml:space="preserve"> </w:t>
      </w:r>
      <w:r>
        <w:t>legado</w:t>
      </w:r>
      <w:r>
        <w:rPr>
          <w:spacing w:val="-15"/>
        </w:rPr>
        <w:t xml:space="preserve"> </w:t>
      </w:r>
      <w:r>
        <w:t>busca</w:t>
      </w:r>
      <w:r>
        <w:rPr>
          <w:spacing w:val="-15"/>
        </w:rPr>
        <w:t xml:space="preserve"> </w:t>
      </w:r>
      <w:r>
        <w:t>influir</w:t>
      </w:r>
      <w:r>
        <w:rPr>
          <w:spacing w:val="-15"/>
        </w:rPr>
        <w:t xml:space="preserve"> </w:t>
      </w:r>
      <w:r>
        <w:t>y</w:t>
      </w:r>
      <w:r>
        <w:rPr>
          <w:spacing w:val="-15"/>
        </w:rPr>
        <w:t xml:space="preserve"> </w:t>
      </w:r>
      <w:r>
        <w:t>controlar a los habitantes. Esta disidencia muestra una trayectoria distinta a las demás, pues ha tenido una consolidación violenta debido a la presencia del ELN. En el norte del Cauca, el Carlos Patiño ganó fácilmente la guerra, pero en el centro se ha venido desarrollando una confrontación por algunos eslabones de la coca y las poblaciones vinculadas a ella. La balanza se ha inclinado a favor de la disidencia del Carlos Patiño por una radicalización del ELN</w:t>
      </w:r>
      <w:r>
        <w:rPr>
          <w:spacing w:val="-4"/>
        </w:rPr>
        <w:t xml:space="preserve"> </w:t>
      </w:r>
      <w:r>
        <w:t>con</w:t>
      </w:r>
      <w:r>
        <w:rPr>
          <w:spacing w:val="-3"/>
        </w:rPr>
        <w:t xml:space="preserve"> </w:t>
      </w:r>
      <w:r>
        <w:t>los</w:t>
      </w:r>
      <w:r>
        <w:rPr>
          <w:spacing w:val="-4"/>
        </w:rPr>
        <w:t xml:space="preserve"> </w:t>
      </w:r>
      <w:r>
        <w:t>habitantes</w:t>
      </w:r>
      <w:r>
        <w:rPr>
          <w:spacing w:val="-3"/>
        </w:rPr>
        <w:t xml:space="preserve"> </w:t>
      </w:r>
      <w:r>
        <w:t>locales</w:t>
      </w:r>
      <w:r>
        <w:rPr>
          <w:spacing w:val="-4"/>
        </w:rPr>
        <w:t xml:space="preserve"> </w:t>
      </w:r>
      <w:r>
        <w:t>y</w:t>
      </w:r>
      <w:r>
        <w:rPr>
          <w:spacing w:val="-3"/>
        </w:rPr>
        <w:t xml:space="preserve"> </w:t>
      </w:r>
      <w:r>
        <w:t>su</w:t>
      </w:r>
      <w:r>
        <w:rPr>
          <w:spacing w:val="-5"/>
        </w:rPr>
        <w:t xml:space="preserve"> </w:t>
      </w:r>
      <w:r>
        <w:t>acción</w:t>
      </w:r>
      <w:r>
        <w:rPr>
          <w:spacing w:val="-3"/>
        </w:rPr>
        <w:t xml:space="preserve"> </w:t>
      </w:r>
      <w:r>
        <w:t>de</w:t>
      </w:r>
      <w:r>
        <w:rPr>
          <w:spacing w:val="-4"/>
        </w:rPr>
        <w:t xml:space="preserve"> </w:t>
      </w:r>
      <w:r>
        <w:t>militarización,</w:t>
      </w:r>
      <w:r>
        <w:rPr>
          <w:spacing w:val="-5"/>
        </w:rPr>
        <w:t xml:space="preserve"> </w:t>
      </w:r>
      <w:r>
        <w:t>así</w:t>
      </w:r>
      <w:r>
        <w:rPr>
          <w:spacing w:val="-3"/>
        </w:rPr>
        <w:t xml:space="preserve"> </w:t>
      </w:r>
      <w:r>
        <w:t>como</w:t>
      </w:r>
      <w:r>
        <w:rPr>
          <w:spacing w:val="-3"/>
        </w:rPr>
        <w:t xml:space="preserve"> </w:t>
      </w:r>
      <w:r>
        <w:t>por</w:t>
      </w:r>
      <w:r>
        <w:rPr>
          <w:spacing w:val="-3"/>
        </w:rPr>
        <w:t xml:space="preserve"> </w:t>
      </w:r>
      <w:r>
        <w:t>mayor</w:t>
      </w:r>
      <w:r>
        <w:rPr>
          <w:spacing w:val="-3"/>
        </w:rPr>
        <w:t xml:space="preserve"> </w:t>
      </w:r>
      <w:r>
        <w:t>capacidad de las disidencias de dar orden y claridad a la economía cocalera. Este último punto incide en que las reglas y normas que abarcan la vida social se hayan vuelto más impositivas, las dosis de violencia sean más letales para hacerlas cumplir y mantener su vigencia, y que los repertorios violentos utilizados sean más indiscriminados</w:t>
      </w:r>
      <w:r w:rsidR="0046707C">
        <w:rPr>
          <w:rStyle w:val="Refdenotaalpie"/>
        </w:rPr>
        <w:footnoteReference w:id="322"/>
      </w:r>
      <w:r>
        <w:t>.</w:t>
      </w:r>
    </w:p>
    <w:p w:rsidR="003804AC" w:rsidRDefault="00AF18A5" w:rsidP="0046707C">
      <w:r>
        <w:t>En</w:t>
      </w:r>
      <w:r>
        <w:rPr>
          <w:spacing w:val="-1"/>
        </w:rPr>
        <w:t xml:space="preserve"> </w:t>
      </w:r>
      <w:r>
        <w:t>este</w:t>
      </w:r>
      <w:r>
        <w:rPr>
          <w:spacing w:val="-2"/>
        </w:rPr>
        <w:t xml:space="preserve"> </w:t>
      </w:r>
      <w:r>
        <w:t>sentido,</w:t>
      </w:r>
      <w:r>
        <w:rPr>
          <w:spacing w:val="-1"/>
        </w:rPr>
        <w:t xml:space="preserve"> </w:t>
      </w:r>
      <w:r>
        <w:t>los</w:t>
      </w:r>
      <w:r>
        <w:rPr>
          <w:spacing w:val="-2"/>
        </w:rPr>
        <w:t xml:space="preserve"> </w:t>
      </w:r>
      <w:r>
        <w:t>tipos</w:t>
      </w:r>
      <w:r>
        <w:rPr>
          <w:spacing w:val="-2"/>
        </w:rPr>
        <w:t xml:space="preserve"> </w:t>
      </w:r>
      <w:r>
        <w:t>de</w:t>
      </w:r>
      <w:r>
        <w:rPr>
          <w:spacing w:val="-1"/>
        </w:rPr>
        <w:t xml:space="preserve"> </w:t>
      </w:r>
      <w:r>
        <w:t>órdenes</w:t>
      </w:r>
      <w:r>
        <w:rPr>
          <w:spacing w:val="-2"/>
        </w:rPr>
        <w:t xml:space="preserve"> </w:t>
      </w:r>
      <w:r>
        <w:t>violentos</w:t>
      </w:r>
      <w:r>
        <w:rPr>
          <w:spacing w:val="-1"/>
        </w:rPr>
        <w:t xml:space="preserve"> </w:t>
      </w:r>
      <w:r>
        <w:t>descritos</w:t>
      </w:r>
      <w:r>
        <w:rPr>
          <w:spacing w:val="-1"/>
        </w:rPr>
        <w:t xml:space="preserve"> </w:t>
      </w:r>
      <w:r>
        <w:t>de</w:t>
      </w:r>
      <w:r>
        <w:rPr>
          <w:spacing w:val="-2"/>
        </w:rPr>
        <w:t xml:space="preserve"> </w:t>
      </w:r>
      <w:r>
        <w:t>las</w:t>
      </w:r>
      <w:r>
        <w:rPr>
          <w:spacing w:val="-1"/>
        </w:rPr>
        <w:t xml:space="preserve"> </w:t>
      </w:r>
      <w:r>
        <w:t>diversas</w:t>
      </w:r>
      <w:r>
        <w:rPr>
          <w:spacing w:val="-1"/>
        </w:rPr>
        <w:t xml:space="preserve"> </w:t>
      </w:r>
      <w:r>
        <w:t>disidencias</w:t>
      </w:r>
      <w:r>
        <w:rPr>
          <w:spacing w:val="-1"/>
        </w:rPr>
        <w:t xml:space="preserve"> </w:t>
      </w:r>
      <w:r>
        <w:t>de</w:t>
      </w:r>
      <w:r>
        <w:rPr>
          <w:spacing w:val="-2"/>
        </w:rPr>
        <w:t xml:space="preserve"> </w:t>
      </w:r>
      <w:r>
        <w:t xml:space="preserve">las FARC-EP resultan ilustrativos de una dinámica más general propia de conflictos armados fragmentados con consecuencias sobre los formatos organizacionales que implementan las partes involucradas. Las brechas de gobernanza, a veces llenadas por los </w:t>
      </w:r>
      <w:r>
        <w:lastRenderedPageBreak/>
        <w:t>consejos comunitarios</w:t>
      </w:r>
      <w:r>
        <w:rPr>
          <w:spacing w:val="15"/>
        </w:rPr>
        <w:t xml:space="preserve"> </w:t>
      </w:r>
      <w:r>
        <w:t>y</w:t>
      </w:r>
      <w:r>
        <w:rPr>
          <w:spacing w:val="18"/>
        </w:rPr>
        <w:t xml:space="preserve"> </w:t>
      </w:r>
      <w:r>
        <w:t>resguardos</w:t>
      </w:r>
      <w:r>
        <w:rPr>
          <w:spacing w:val="18"/>
        </w:rPr>
        <w:t xml:space="preserve"> </w:t>
      </w:r>
      <w:r>
        <w:t>indígenas,</w:t>
      </w:r>
      <w:r>
        <w:rPr>
          <w:spacing w:val="18"/>
        </w:rPr>
        <w:t xml:space="preserve"> </w:t>
      </w:r>
      <w:r>
        <w:t>también</w:t>
      </w:r>
      <w:r>
        <w:rPr>
          <w:spacing w:val="18"/>
        </w:rPr>
        <w:t xml:space="preserve"> </w:t>
      </w:r>
      <w:r>
        <w:t>las</w:t>
      </w:r>
      <w:r>
        <w:rPr>
          <w:spacing w:val="18"/>
        </w:rPr>
        <w:t xml:space="preserve"> </w:t>
      </w:r>
      <w:r>
        <w:t>han</w:t>
      </w:r>
      <w:r>
        <w:rPr>
          <w:spacing w:val="18"/>
        </w:rPr>
        <w:t xml:space="preserve"> </w:t>
      </w:r>
      <w:r>
        <w:t>llenado</w:t>
      </w:r>
      <w:r>
        <w:rPr>
          <w:spacing w:val="18"/>
        </w:rPr>
        <w:t xml:space="preserve"> </w:t>
      </w:r>
      <w:r>
        <w:t>los</w:t>
      </w:r>
      <w:r>
        <w:rPr>
          <w:spacing w:val="18"/>
        </w:rPr>
        <w:t xml:space="preserve"> </w:t>
      </w:r>
      <w:r>
        <w:t>grupos</w:t>
      </w:r>
      <w:r>
        <w:rPr>
          <w:spacing w:val="17"/>
        </w:rPr>
        <w:t xml:space="preserve"> </w:t>
      </w:r>
      <w:r>
        <w:t>armados</w:t>
      </w:r>
      <w:r>
        <w:rPr>
          <w:spacing w:val="17"/>
        </w:rPr>
        <w:t xml:space="preserve"> </w:t>
      </w:r>
      <w:r>
        <w:rPr>
          <w:spacing w:val="-2"/>
        </w:rPr>
        <w:t>ilegales</w:t>
      </w:r>
      <w:bookmarkStart w:id="459" w:name="_bookmark366"/>
      <w:bookmarkEnd w:id="459"/>
      <w:r w:rsidR="0046707C">
        <w:t xml:space="preserve"> </w:t>
      </w:r>
      <w:r>
        <w:t>para ganar cierta legitimidad. Una lideresa de la zona, señala que «la población civil puede usarlos</w:t>
      </w:r>
      <w:r>
        <w:rPr>
          <w:spacing w:val="-3"/>
        </w:rPr>
        <w:t xml:space="preserve"> </w:t>
      </w:r>
      <w:r>
        <w:t>[a</w:t>
      </w:r>
      <w:r>
        <w:rPr>
          <w:spacing w:val="-3"/>
        </w:rPr>
        <w:t xml:space="preserve"> </w:t>
      </w:r>
      <w:r>
        <w:t>los</w:t>
      </w:r>
      <w:r>
        <w:rPr>
          <w:spacing w:val="-2"/>
        </w:rPr>
        <w:t xml:space="preserve"> </w:t>
      </w:r>
      <w:r>
        <w:t>grupos</w:t>
      </w:r>
      <w:r>
        <w:rPr>
          <w:spacing w:val="-2"/>
        </w:rPr>
        <w:t xml:space="preserve"> </w:t>
      </w:r>
      <w:r>
        <w:t>armados]</w:t>
      </w:r>
      <w:r>
        <w:rPr>
          <w:spacing w:val="-2"/>
        </w:rPr>
        <w:t xml:space="preserve"> </w:t>
      </w:r>
      <w:r>
        <w:t>para</w:t>
      </w:r>
      <w:r>
        <w:rPr>
          <w:spacing w:val="-3"/>
        </w:rPr>
        <w:t xml:space="preserve"> </w:t>
      </w:r>
      <w:r>
        <w:t>resolver</w:t>
      </w:r>
      <w:r>
        <w:rPr>
          <w:spacing w:val="-2"/>
        </w:rPr>
        <w:t xml:space="preserve"> </w:t>
      </w:r>
      <w:r>
        <w:t>intereses</w:t>
      </w:r>
      <w:r>
        <w:rPr>
          <w:spacing w:val="-2"/>
        </w:rPr>
        <w:t xml:space="preserve"> </w:t>
      </w:r>
      <w:r>
        <w:t>particulares.</w:t>
      </w:r>
      <w:r>
        <w:rPr>
          <w:spacing w:val="-3"/>
        </w:rPr>
        <w:t xml:space="preserve"> </w:t>
      </w:r>
      <w:r>
        <w:t>La</w:t>
      </w:r>
      <w:r>
        <w:rPr>
          <w:spacing w:val="-2"/>
        </w:rPr>
        <w:t xml:space="preserve"> </w:t>
      </w:r>
      <w:r>
        <w:t>gente</w:t>
      </w:r>
      <w:r>
        <w:rPr>
          <w:spacing w:val="-2"/>
        </w:rPr>
        <w:t xml:space="preserve"> </w:t>
      </w:r>
      <w:r>
        <w:t>aprovecha</w:t>
      </w:r>
      <w:r>
        <w:rPr>
          <w:spacing w:val="-2"/>
        </w:rPr>
        <w:t xml:space="preserve"> </w:t>
      </w:r>
      <w:r>
        <w:t>a</w:t>
      </w:r>
      <w:r>
        <w:rPr>
          <w:spacing w:val="-2"/>
        </w:rPr>
        <w:t xml:space="preserve"> </w:t>
      </w:r>
      <w:r>
        <w:t>los grupos para eso»</w:t>
      </w:r>
      <w:r w:rsidR="0046707C">
        <w:rPr>
          <w:rStyle w:val="Refdenotaalpie"/>
        </w:rPr>
        <w:footnoteReference w:id="323"/>
      </w:r>
      <w:r>
        <w:t>.</w:t>
      </w:r>
    </w:p>
    <w:p w:rsidR="003804AC" w:rsidRDefault="00AF18A5" w:rsidP="0046707C">
      <w:r>
        <w:t>Estos hechos demuestran por qué en poco tiempo el país ha pasado de la esperanza que despertaron los acuerdos de La Habana a la pesadumbre que produce la inminencia de un nuevo</w:t>
      </w:r>
      <w:r>
        <w:rPr>
          <w:spacing w:val="-11"/>
        </w:rPr>
        <w:t xml:space="preserve"> </w:t>
      </w:r>
      <w:r>
        <w:t>ciclo</w:t>
      </w:r>
      <w:r>
        <w:rPr>
          <w:spacing w:val="-12"/>
        </w:rPr>
        <w:t xml:space="preserve"> </w:t>
      </w:r>
      <w:r>
        <w:t>de</w:t>
      </w:r>
      <w:r>
        <w:rPr>
          <w:spacing w:val="-11"/>
        </w:rPr>
        <w:t xml:space="preserve"> </w:t>
      </w:r>
      <w:r>
        <w:t>violencia.</w:t>
      </w:r>
      <w:r>
        <w:rPr>
          <w:spacing w:val="-12"/>
        </w:rPr>
        <w:t xml:space="preserve"> </w:t>
      </w:r>
      <w:r>
        <w:t>Ante</w:t>
      </w:r>
      <w:r>
        <w:rPr>
          <w:spacing w:val="-11"/>
        </w:rPr>
        <w:t xml:space="preserve"> </w:t>
      </w:r>
      <w:r>
        <w:t>la</w:t>
      </w:r>
      <w:r>
        <w:rPr>
          <w:spacing w:val="-11"/>
        </w:rPr>
        <w:t xml:space="preserve"> </w:t>
      </w:r>
      <w:r>
        <w:t>persistencia</w:t>
      </w:r>
      <w:r>
        <w:rPr>
          <w:spacing w:val="-11"/>
        </w:rPr>
        <w:t xml:space="preserve"> </w:t>
      </w:r>
      <w:r>
        <w:t>del</w:t>
      </w:r>
      <w:r>
        <w:rPr>
          <w:spacing w:val="-10"/>
        </w:rPr>
        <w:t xml:space="preserve"> </w:t>
      </w:r>
      <w:r>
        <w:t>conflicto</w:t>
      </w:r>
      <w:r>
        <w:rPr>
          <w:spacing w:val="-11"/>
        </w:rPr>
        <w:t xml:space="preserve"> </w:t>
      </w:r>
      <w:r>
        <w:t>y</w:t>
      </w:r>
      <w:r>
        <w:rPr>
          <w:spacing w:val="-11"/>
        </w:rPr>
        <w:t xml:space="preserve"> </w:t>
      </w:r>
      <w:r>
        <w:t>la</w:t>
      </w:r>
      <w:r>
        <w:rPr>
          <w:spacing w:val="-11"/>
        </w:rPr>
        <w:t xml:space="preserve"> </w:t>
      </w:r>
      <w:r>
        <w:t>reconfiguración</w:t>
      </w:r>
      <w:r>
        <w:rPr>
          <w:spacing w:val="-11"/>
        </w:rPr>
        <w:t xml:space="preserve"> </w:t>
      </w:r>
      <w:r>
        <w:t>de</w:t>
      </w:r>
      <w:r>
        <w:rPr>
          <w:spacing w:val="-11"/>
        </w:rPr>
        <w:t xml:space="preserve"> </w:t>
      </w:r>
      <w:r>
        <w:t>los</w:t>
      </w:r>
      <w:r>
        <w:rPr>
          <w:spacing w:val="-12"/>
        </w:rPr>
        <w:t xml:space="preserve"> </w:t>
      </w:r>
      <w:r>
        <w:t>grupos armados</w:t>
      </w:r>
      <w:r>
        <w:rPr>
          <w:spacing w:val="-8"/>
        </w:rPr>
        <w:t xml:space="preserve"> </w:t>
      </w:r>
      <w:r>
        <w:t>en</w:t>
      </w:r>
      <w:r>
        <w:rPr>
          <w:spacing w:val="-8"/>
        </w:rPr>
        <w:t xml:space="preserve"> </w:t>
      </w:r>
      <w:r>
        <w:t>determinadas</w:t>
      </w:r>
      <w:r>
        <w:rPr>
          <w:spacing w:val="-7"/>
        </w:rPr>
        <w:t xml:space="preserve"> </w:t>
      </w:r>
      <w:r>
        <w:t>regiones,</w:t>
      </w:r>
      <w:r>
        <w:rPr>
          <w:spacing w:val="-7"/>
        </w:rPr>
        <w:t xml:space="preserve"> </w:t>
      </w:r>
      <w:r>
        <w:t>surgen</w:t>
      </w:r>
      <w:r>
        <w:rPr>
          <w:spacing w:val="-7"/>
        </w:rPr>
        <w:t xml:space="preserve"> </w:t>
      </w:r>
      <w:r>
        <w:t>las</w:t>
      </w:r>
      <w:r>
        <w:rPr>
          <w:spacing w:val="-7"/>
        </w:rPr>
        <w:t xml:space="preserve"> </w:t>
      </w:r>
      <w:r>
        <w:t>preguntas:</w:t>
      </w:r>
      <w:r>
        <w:rPr>
          <w:spacing w:val="-7"/>
        </w:rPr>
        <w:t xml:space="preserve"> </w:t>
      </w:r>
      <w:r>
        <w:t>¿qué</w:t>
      </w:r>
      <w:r>
        <w:rPr>
          <w:spacing w:val="-7"/>
        </w:rPr>
        <w:t xml:space="preserve"> </w:t>
      </w:r>
      <w:r>
        <w:t>tanto</w:t>
      </w:r>
      <w:r>
        <w:rPr>
          <w:spacing w:val="-7"/>
        </w:rPr>
        <w:t xml:space="preserve"> </w:t>
      </w:r>
      <w:r>
        <w:t>tiene</w:t>
      </w:r>
      <w:r>
        <w:rPr>
          <w:spacing w:val="-8"/>
        </w:rPr>
        <w:t xml:space="preserve"> </w:t>
      </w:r>
      <w:r>
        <w:t>el</w:t>
      </w:r>
      <w:r>
        <w:rPr>
          <w:spacing w:val="-7"/>
        </w:rPr>
        <w:t xml:space="preserve"> </w:t>
      </w:r>
      <w:r>
        <w:t>nuevo</w:t>
      </w:r>
      <w:r>
        <w:rPr>
          <w:spacing w:val="-7"/>
        </w:rPr>
        <w:t xml:space="preserve"> </w:t>
      </w:r>
      <w:r>
        <w:t>escenario de</w:t>
      </w:r>
      <w:r>
        <w:rPr>
          <w:spacing w:val="-14"/>
        </w:rPr>
        <w:t xml:space="preserve"> </w:t>
      </w:r>
      <w:r>
        <w:t>ruptura</w:t>
      </w:r>
      <w:r>
        <w:rPr>
          <w:spacing w:val="-14"/>
        </w:rPr>
        <w:t xml:space="preserve"> </w:t>
      </w:r>
      <w:r>
        <w:t>o</w:t>
      </w:r>
      <w:r>
        <w:rPr>
          <w:spacing w:val="-15"/>
        </w:rPr>
        <w:t xml:space="preserve"> </w:t>
      </w:r>
      <w:r>
        <w:t>de</w:t>
      </w:r>
      <w:r>
        <w:rPr>
          <w:spacing w:val="-14"/>
        </w:rPr>
        <w:t xml:space="preserve"> </w:t>
      </w:r>
      <w:r>
        <w:t>continuidad</w:t>
      </w:r>
      <w:r>
        <w:rPr>
          <w:spacing w:val="-14"/>
        </w:rPr>
        <w:t xml:space="preserve"> </w:t>
      </w:r>
      <w:r>
        <w:t>con</w:t>
      </w:r>
      <w:r>
        <w:rPr>
          <w:spacing w:val="-14"/>
        </w:rPr>
        <w:t xml:space="preserve"> </w:t>
      </w:r>
      <w:r>
        <w:t>las</w:t>
      </w:r>
      <w:r>
        <w:rPr>
          <w:spacing w:val="-15"/>
        </w:rPr>
        <w:t xml:space="preserve"> </w:t>
      </w:r>
      <w:r>
        <w:t>etapas</w:t>
      </w:r>
      <w:r>
        <w:rPr>
          <w:spacing w:val="-14"/>
        </w:rPr>
        <w:t xml:space="preserve"> </w:t>
      </w:r>
      <w:r>
        <w:t>anteriores?,</w:t>
      </w:r>
      <w:r>
        <w:rPr>
          <w:spacing w:val="-14"/>
        </w:rPr>
        <w:t xml:space="preserve"> </w:t>
      </w:r>
      <w:r>
        <w:t>¿se</w:t>
      </w:r>
      <w:r>
        <w:rPr>
          <w:spacing w:val="-14"/>
        </w:rPr>
        <w:t xml:space="preserve"> </w:t>
      </w:r>
      <w:r>
        <w:t>puede</w:t>
      </w:r>
      <w:r>
        <w:rPr>
          <w:spacing w:val="-14"/>
        </w:rPr>
        <w:t xml:space="preserve"> </w:t>
      </w:r>
      <w:r>
        <w:t>afirmar</w:t>
      </w:r>
      <w:r>
        <w:rPr>
          <w:spacing w:val="-14"/>
        </w:rPr>
        <w:t xml:space="preserve"> </w:t>
      </w:r>
      <w:r>
        <w:t>que</w:t>
      </w:r>
      <w:r>
        <w:rPr>
          <w:spacing w:val="-14"/>
        </w:rPr>
        <w:t xml:space="preserve"> </w:t>
      </w:r>
      <w:r>
        <w:t>sigue</w:t>
      </w:r>
      <w:r>
        <w:rPr>
          <w:spacing w:val="-14"/>
        </w:rPr>
        <w:t xml:space="preserve"> </w:t>
      </w:r>
      <w:r>
        <w:t>existiendo un</w:t>
      </w:r>
      <w:r>
        <w:rPr>
          <w:spacing w:val="-13"/>
        </w:rPr>
        <w:t xml:space="preserve"> </w:t>
      </w:r>
      <w:r>
        <w:t>conflicto</w:t>
      </w:r>
      <w:r>
        <w:rPr>
          <w:spacing w:val="-14"/>
        </w:rPr>
        <w:t xml:space="preserve"> </w:t>
      </w:r>
      <w:r>
        <w:t>armado</w:t>
      </w:r>
      <w:r>
        <w:rPr>
          <w:spacing w:val="-13"/>
        </w:rPr>
        <w:t xml:space="preserve"> </w:t>
      </w:r>
      <w:r>
        <w:t>con</w:t>
      </w:r>
      <w:r>
        <w:rPr>
          <w:spacing w:val="-14"/>
        </w:rPr>
        <w:t xml:space="preserve"> </w:t>
      </w:r>
      <w:r>
        <w:t>características</w:t>
      </w:r>
      <w:r>
        <w:rPr>
          <w:spacing w:val="-13"/>
        </w:rPr>
        <w:t xml:space="preserve"> </w:t>
      </w:r>
      <w:r>
        <w:t>políticas</w:t>
      </w:r>
      <w:r>
        <w:rPr>
          <w:spacing w:val="-14"/>
        </w:rPr>
        <w:t xml:space="preserve"> </w:t>
      </w:r>
      <w:r>
        <w:t>o</w:t>
      </w:r>
      <w:r>
        <w:rPr>
          <w:spacing w:val="-13"/>
        </w:rPr>
        <w:t xml:space="preserve"> </w:t>
      </w:r>
      <w:r>
        <w:t>definitivamente</w:t>
      </w:r>
      <w:r>
        <w:rPr>
          <w:spacing w:val="-13"/>
        </w:rPr>
        <w:t xml:space="preserve"> </w:t>
      </w:r>
      <w:r>
        <w:t>son</w:t>
      </w:r>
      <w:r>
        <w:rPr>
          <w:spacing w:val="-13"/>
        </w:rPr>
        <w:t xml:space="preserve"> </w:t>
      </w:r>
      <w:r>
        <w:t>estructuras</w:t>
      </w:r>
      <w:r>
        <w:rPr>
          <w:spacing w:val="-13"/>
        </w:rPr>
        <w:t xml:space="preserve"> </w:t>
      </w:r>
      <w:r>
        <w:t>criminales de</w:t>
      </w:r>
      <w:r>
        <w:rPr>
          <w:spacing w:val="-5"/>
        </w:rPr>
        <w:t xml:space="preserve"> </w:t>
      </w:r>
      <w:r>
        <w:t>gran</w:t>
      </w:r>
      <w:r>
        <w:rPr>
          <w:spacing w:val="-5"/>
        </w:rPr>
        <w:t xml:space="preserve"> </w:t>
      </w:r>
      <w:r>
        <w:t>escala?</w:t>
      </w:r>
      <w:r>
        <w:rPr>
          <w:spacing w:val="-5"/>
        </w:rPr>
        <w:t xml:space="preserve"> </w:t>
      </w:r>
      <w:r>
        <w:t>Con</w:t>
      </w:r>
      <w:r>
        <w:rPr>
          <w:spacing w:val="-5"/>
        </w:rPr>
        <w:t xml:space="preserve"> </w:t>
      </w:r>
      <w:r>
        <w:t>todo,</w:t>
      </w:r>
      <w:r>
        <w:rPr>
          <w:spacing w:val="-5"/>
        </w:rPr>
        <w:t xml:space="preserve"> </w:t>
      </w:r>
      <w:r>
        <w:t>el</w:t>
      </w:r>
      <w:r>
        <w:rPr>
          <w:spacing w:val="-4"/>
        </w:rPr>
        <w:t xml:space="preserve"> </w:t>
      </w:r>
      <w:r>
        <w:t>mayor</w:t>
      </w:r>
      <w:r>
        <w:rPr>
          <w:spacing w:val="-6"/>
        </w:rPr>
        <w:t xml:space="preserve"> </w:t>
      </w:r>
      <w:r>
        <w:t>reto</w:t>
      </w:r>
      <w:r>
        <w:rPr>
          <w:spacing w:val="-5"/>
        </w:rPr>
        <w:t xml:space="preserve"> </w:t>
      </w:r>
      <w:r>
        <w:t>de</w:t>
      </w:r>
      <w:r>
        <w:rPr>
          <w:spacing w:val="-5"/>
        </w:rPr>
        <w:t xml:space="preserve"> </w:t>
      </w:r>
      <w:r>
        <w:t>la</w:t>
      </w:r>
      <w:r>
        <w:rPr>
          <w:spacing w:val="-5"/>
        </w:rPr>
        <w:t xml:space="preserve"> </w:t>
      </w:r>
      <w:r>
        <w:t>nación</w:t>
      </w:r>
      <w:r>
        <w:rPr>
          <w:spacing w:val="-5"/>
        </w:rPr>
        <w:t xml:space="preserve"> </w:t>
      </w:r>
      <w:r>
        <w:t>está</w:t>
      </w:r>
      <w:r>
        <w:rPr>
          <w:spacing w:val="-5"/>
        </w:rPr>
        <w:t xml:space="preserve"> </w:t>
      </w:r>
      <w:r>
        <w:t>pendiente:</w:t>
      </w:r>
      <w:r>
        <w:rPr>
          <w:spacing w:val="-4"/>
        </w:rPr>
        <w:t xml:space="preserve"> </w:t>
      </w:r>
      <w:r>
        <w:t>sacar</w:t>
      </w:r>
      <w:r>
        <w:rPr>
          <w:spacing w:val="-6"/>
        </w:rPr>
        <w:t xml:space="preserve"> </w:t>
      </w:r>
      <w:r>
        <w:t>definitivamente</w:t>
      </w:r>
      <w:r>
        <w:rPr>
          <w:spacing w:val="-5"/>
        </w:rPr>
        <w:t xml:space="preserve"> </w:t>
      </w:r>
      <w:r>
        <w:t>la violencia</w:t>
      </w:r>
      <w:r>
        <w:rPr>
          <w:spacing w:val="-9"/>
        </w:rPr>
        <w:t xml:space="preserve"> </w:t>
      </w:r>
      <w:r>
        <w:t>de</w:t>
      </w:r>
      <w:r>
        <w:rPr>
          <w:spacing w:val="-9"/>
        </w:rPr>
        <w:t xml:space="preserve"> </w:t>
      </w:r>
      <w:r>
        <w:t>las</w:t>
      </w:r>
      <w:r>
        <w:rPr>
          <w:spacing w:val="-9"/>
        </w:rPr>
        <w:t xml:space="preserve"> </w:t>
      </w:r>
      <w:r>
        <w:t>relaciones</w:t>
      </w:r>
      <w:r>
        <w:rPr>
          <w:spacing w:val="-10"/>
        </w:rPr>
        <w:t xml:space="preserve"> </w:t>
      </w:r>
      <w:r>
        <w:t>sociales</w:t>
      </w:r>
      <w:r>
        <w:rPr>
          <w:spacing w:val="-10"/>
        </w:rPr>
        <w:t xml:space="preserve"> </w:t>
      </w:r>
      <w:r>
        <w:t>y</w:t>
      </w:r>
      <w:r>
        <w:rPr>
          <w:spacing w:val="-10"/>
        </w:rPr>
        <w:t xml:space="preserve"> </w:t>
      </w:r>
      <w:r>
        <w:t>dejar</w:t>
      </w:r>
      <w:r>
        <w:rPr>
          <w:spacing w:val="-9"/>
        </w:rPr>
        <w:t xml:space="preserve"> </w:t>
      </w:r>
      <w:r>
        <w:t>de</w:t>
      </w:r>
      <w:r>
        <w:rPr>
          <w:spacing w:val="-9"/>
        </w:rPr>
        <w:t xml:space="preserve"> </w:t>
      </w:r>
      <w:r>
        <w:t>usarla</w:t>
      </w:r>
      <w:r>
        <w:rPr>
          <w:spacing w:val="-9"/>
        </w:rPr>
        <w:t xml:space="preserve"> </w:t>
      </w:r>
      <w:r>
        <w:t>como</w:t>
      </w:r>
      <w:r>
        <w:rPr>
          <w:spacing w:val="-10"/>
        </w:rPr>
        <w:t xml:space="preserve"> </w:t>
      </w:r>
      <w:r>
        <w:t>un</w:t>
      </w:r>
      <w:r>
        <w:rPr>
          <w:spacing w:val="-10"/>
        </w:rPr>
        <w:t xml:space="preserve"> </w:t>
      </w:r>
      <w:r>
        <w:t>medio</w:t>
      </w:r>
      <w:r>
        <w:rPr>
          <w:spacing w:val="-10"/>
        </w:rPr>
        <w:t xml:space="preserve"> </w:t>
      </w:r>
      <w:r>
        <w:t>para</w:t>
      </w:r>
      <w:r>
        <w:rPr>
          <w:spacing w:val="-11"/>
        </w:rPr>
        <w:t xml:space="preserve"> </w:t>
      </w:r>
      <w:r>
        <w:t>dirimir</w:t>
      </w:r>
      <w:r>
        <w:rPr>
          <w:spacing w:val="-9"/>
        </w:rPr>
        <w:t xml:space="preserve"> </w:t>
      </w:r>
      <w:r>
        <w:t>los</w:t>
      </w:r>
      <w:r>
        <w:rPr>
          <w:spacing w:val="-10"/>
        </w:rPr>
        <w:t xml:space="preserve"> </w:t>
      </w:r>
      <w:r>
        <w:t xml:space="preserve">diversos intereses políticos y económicos o para resolver por esa vía las diferentes conflictividades sociales, económicas y ambientales derivadas de un modelo de desarrollo desigual y </w:t>
      </w:r>
      <w:r>
        <w:rPr>
          <w:spacing w:val="-2"/>
        </w:rPr>
        <w:t>excluyente.</w:t>
      </w:r>
    </w:p>
    <w:p w:rsidR="0011361F" w:rsidRDefault="00AF18A5" w:rsidP="0046707C">
      <w:r>
        <w:t>Hay</w:t>
      </w:r>
      <w:r>
        <w:rPr>
          <w:spacing w:val="-6"/>
        </w:rPr>
        <w:t xml:space="preserve"> </w:t>
      </w:r>
      <w:r>
        <w:t>que</w:t>
      </w:r>
      <w:r>
        <w:rPr>
          <w:spacing w:val="-6"/>
        </w:rPr>
        <w:t xml:space="preserve"> </w:t>
      </w:r>
      <w:r>
        <w:t>insistir</w:t>
      </w:r>
      <w:r>
        <w:rPr>
          <w:spacing w:val="-7"/>
        </w:rPr>
        <w:t xml:space="preserve"> </w:t>
      </w:r>
      <w:r>
        <w:t>en</w:t>
      </w:r>
      <w:r>
        <w:rPr>
          <w:spacing w:val="-7"/>
        </w:rPr>
        <w:t xml:space="preserve"> </w:t>
      </w:r>
      <w:r>
        <w:t>que</w:t>
      </w:r>
      <w:r>
        <w:rPr>
          <w:spacing w:val="-7"/>
        </w:rPr>
        <w:t xml:space="preserve"> </w:t>
      </w:r>
      <w:r>
        <w:t>la</w:t>
      </w:r>
      <w:r>
        <w:rPr>
          <w:spacing w:val="-7"/>
        </w:rPr>
        <w:t xml:space="preserve"> </w:t>
      </w:r>
      <w:r>
        <w:t>persistencia</w:t>
      </w:r>
      <w:r>
        <w:rPr>
          <w:spacing w:val="-7"/>
        </w:rPr>
        <w:t xml:space="preserve"> </w:t>
      </w:r>
      <w:r>
        <w:t>y</w:t>
      </w:r>
      <w:r>
        <w:rPr>
          <w:spacing w:val="-6"/>
        </w:rPr>
        <w:t xml:space="preserve"> </w:t>
      </w:r>
      <w:r>
        <w:t>focalización</w:t>
      </w:r>
      <w:r>
        <w:rPr>
          <w:spacing w:val="-6"/>
        </w:rPr>
        <w:t xml:space="preserve"> </w:t>
      </w:r>
      <w:r>
        <w:t>de</w:t>
      </w:r>
      <w:r>
        <w:rPr>
          <w:spacing w:val="-7"/>
        </w:rPr>
        <w:t xml:space="preserve"> </w:t>
      </w:r>
      <w:r>
        <w:t>la</w:t>
      </w:r>
      <w:r>
        <w:rPr>
          <w:spacing w:val="-6"/>
        </w:rPr>
        <w:t xml:space="preserve"> </w:t>
      </w:r>
      <w:r>
        <w:t>violencia</w:t>
      </w:r>
      <w:r>
        <w:rPr>
          <w:spacing w:val="-7"/>
        </w:rPr>
        <w:t xml:space="preserve"> </w:t>
      </w:r>
      <w:r>
        <w:t>y</w:t>
      </w:r>
      <w:r>
        <w:rPr>
          <w:spacing w:val="-6"/>
        </w:rPr>
        <w:t xml:space="preserve"> </w:t>
      </w:r>
      <w:r>
        <w:t>el</w:t>
      </w:r>
      <w:r>
        <w:rPr>
          <w:spacing w:val="-7"/>
        </w:rPr>
        <w:t xml:space="preserve"> </w:t>
      </w:r>
      <w:r>
        <w:t>conflicto</w:t>
      </w:r>
      <w:r>
        <w:rPr>
          <w:spacing w:val="-7"/>
        </w:rPr>
        <w:t xml:space="preserve"> </w:t>
      </w:r>
      <w:r>
        <w:t>armado en determinadas regiones es un problema que no se agota con la salida militar o con los procesos de negociación y diálogo, entendidos solamente como la desmovilización de las estructuras</w:t>
      </w:r>
      <w:r>
        <w:rPr>
          <w:spacing w:val="-2"/>
        </w:rPr>
        <w:t xml:space="preserve"> </w:t>
      </w:r>
      <w:r>
        <w:t>armadas.</w:t>
      </w:r>
      <w:r>
        <w:rPr>
          <w:spacing w:val="-3"/>
        </w:rPr>
        <w:t xml:space="preserve"> </w:t>
      </w:r>
      <w:r>
        <w:t>Sin</w:t>
      </w:r>
      <w:r>
        <w:rPr>
          <w:spacing w:val="-3"/>
        </w:rPr>
        <w:t xml:space="preserve"> </w:t>
      </w:r>
      <w:r>
        <w:t>duda,</w:t>
      </w:r>
      <w:r>
        <w:rPr>
          <w:spacing w:val="-2"/>
        </w:rPr>
        <w:t xml:space="preserve"> </w:t>
      </w:r>
      <w:r>
        <w:t>se</w:t>
      </w:r>
      <w:r>
        <w:rPr>
          <w:spacing w:val="-2"/>
        </w:rPr>
        <w:t xml:space="preserve"> </w:t>
      </w:r>
      <w:r>
        <w:t>trata</w:t>
      </w:r>
      <w:r>
        <w:rPr>
          <w:spacing w:val="-2"/>
        </w:rPr>
        <w:t xml:space="preserve"> </w:t>
      </w:r>
      <w:r>
        <w:t>de</w:t>
      </w:r>
      <w:r>
        <w:rPr>
          <w:spacing w:val="-2"/>
        </w:rPr>
        <w:t xml:space="preserve"> </w:t>
      </w:r>
      <w:r>
        <w:t>un</w:t>
      </w:r>
      <w:r>
        <w:rPr>
          <w:spacing w:val="-2"/>
        </w:rPr>
        <w:t xml:space="preserve"> </w:t>
      </w:r>
      <w:r>
        <w:t>problema</w:t>
      </w:r>
      <w:r>
        <w:rPr>
          <w:spacing w:val="-3"/>
        </w:rPr>
        <w:t xml:space="preserve"> </w:t>
      </w:r>
      <w:r>
        <w:t>estructural,</w:t>
      </w:r>
      <w:r>
        <w:rPr>
          <w:spacing w:val="-2"/>
        </w:rPr>
        <w:t xml:space="preserve"> </w:t>
      </w:r>
      <w:r>
        <w:t>que</w:t>
      </w:r>
      <w:r>
        <w:rPr>
          <w:spacing w:val="-2"/>
        </w:rPr>
        <w:t xml:space="preserve"> </w:t>
      </w:r>
      <w:r>
        <w:t>puede</w:t>
      </w:r>
      <w:r>
        <w:rPr>
          <w:spacing w:val="-2"/>
        </w:rPr>
        <w:t xml:space="preserve"> </w:t>
      </w:r>
      <w:r>
        <w:t>sintetizarse</w:t>
      </w:r>
      <w:r>
        <w:rPr>
          <w:spacing w:val="-2"/>
        </w:rPr>
        <w:t xml:space="preserve"> </w:t>
      </w:r>
      <w:r>
        <w:t xml:space="preserve">en la siguiente formulación final: en Colombia pasamos de </w:t>
      </w:r>
      <w:r>
        <w:lastRenderedPageBreak/>
        <w:t>una lucha por la tierra y por la apertura del sistema político en los años sesenta y setenta, a una disputa territorial por las economías</w:t>
      </w:r>
      <w:r>
        <w:rPr>
          <w:spacing w:val="-4"/>
        </w:rPr>
        <w:t xml:space="preserve"> </w:t>
      </w:r>
      <w:r>
        <w:t>de</w:t>
      </w:r>
      <w:r>
        <w:rPr>
          <w:spacing w:val="-4"/>
        </w:rPr>
        <w:t xml:space="preserve"> </w:t>
      </w:r>
      <w:r>
        <w:t>la</w:t>
      </w:r>
      <w:r>
        <w:rPr>
          <w:spacing w:val="-4"/>
        </w:rPr>
        <w:t xml:space="preserve"> </w:t>
      </w:r>
      <w:r>
        <w:t>guerra</w:t>
      </w:r>
      <w:r>
        <w:rPr>
          <w:spacing w:val="-4"/>
        </w:rPr>
        <w:t xml:space="preserve"> </w:t>
      </w:r>
      <w:r>
        <w:t>en</w:t>
      </w:r>
      <w:r>
        <w:rPr>
          <w:spacing w:val="-5"/>
        </w:rPr>
        <w:t xml:space="preserve"> </w:t>
      </w:r>
      <w:r>
        <w:t>condiciones</w:t>
      </w:r>
      <w:r>
        <w:rPr>
          <w:spacing w:val="-4"/>
        </w:rPr>
        <w:t xml:space="preserve"> </w:t>
      </w:r>
      <w:r>
        <w:t>de</w:t>
      </w:r>
      <w:r>
        <w:rPr>
          <w:spacing w:val="-4"/>
        </w:rPr>
        <w:t xml:space="preserve"> </w:t>
      </w:r>
      <w:r>
        <w:t>una</w:t>
      </w:r>
      <w:r>
        <w:rPr>
          <w:spacing w:val="-4"/>
        </w:rPr>
        <w:t xml:space="preserve"> </w:t>
      </w:r>
      <w:r>
        <w:t>permanente</w:t>
      </w:r>
      <w:r>
        <w:rPr>
          <w:spacing w:val="-4"/>
        </w:rPr>
        <w:t xml:space="preserve"> </w:t>
      </w:r>
      <w:r>
        <w:t>crisis</w:t>
      </w:r>
      <w:r>
        <w:rPr>
          <w:spacing w:val="-5"/>
        </w:rPr>
        <w:t xml:space="preserve"> </w:t>
      </w:r>
      <w:r>
        <w:t>de</w:t>
      </w:r>
      <w:r>
        <w:rPr>
          <w:spacing w:val="-6"/>
        </w:rPr>
        <w:t xml:space="preserve"> </w:t>
      </w:r>
      <w:r>
        <w:t>representación</w:t>
      </w:r>
      <w:r>
        <w:rPr>
          <w:spacing w:val="-5"/>
        </w:rPr>
        <w:t xml:space="preserve"> </w:t>
      </w:r>
      <w:r>
        <w:t>del</w:t>
      </w:r>
      <w:r>
        <w:rPr>
          <w:spacing w:val="-7"/>
        </w:rPr>
        <w:t xml:space="preserve"> </w:t>
      </w:r>
      <w:r>
        <w:t xml:space="preserve">orden </w:t>
      </w:r>
      <w:r>
        <w:rPr>
          <w:spacing w:val="-2"/>
        </w:rPr>
        <w:t>político.</w:t>
      </w:r>
    </w:p>
    <w:p w:rsidR="0046707C" w:rsidRDefault="0046707C">
      <w:pPr>
        <w:spacing w:before="0" w:after="0" w:line="240" w:lineRule="auto"/>
        <w:rPr>
          <w:spacing w:val="-2"/>
          <w:szCs w:val="24"/>
          <w:lang w:val="es-CO"/>
        </w:rPr>
      </w:pPr>
      <w:bookmarkStart w:id="460" w:name="_bookmark367"/>
      <w:bookmarkEnd w:id="460"/>
      <w:r>
        <w:rPr>
          <w:spacing w:val="-2"/>
        </w:rPr>
        <w:br w:type="page"/>
      </w:r>
    </w:p>
    <w:p w:rsidR="0011361F" w:rsidRDefault="00AF18A5" w:rsidP="0046707C">
      <w:pPr>
        <w:pStyle w:val="Ttulo3"/>
      </w:pPr>
      <w:bookmarkStart w:id="461" w:name="_Toc112399590"/>
      <w:r>
        <w:lastRenderedPageBreak/>
        <w:t>Bibliografía</w:t>
      </w:r>
      <w:bookmarkEnd w:id="461"/>
    </w:p>
    <w:p w:rsidR="003804AC" w:rsidRDefault="00AF18A5" w:rsidP="007178A6">
      <w:r>
        <w:t xml:space="preserve">Aguilera, Mario. «ELN: entre las armas y la política». En Nuestra guerra sin nombre: transformaciones del conflicto en Colombia, coord. por Francisco Gutiérrez Sanín, María Emma </w:t>
      </w:r>
      <w:proofErr w:type="spellStart"/>
      <w:r>
        <w:t>Wills</w:t>
      </w:r>
      <w:proofErr w:type="spellEnd"/>
      <w:r>
        <w:t xml:space="preserve"> y Gonzalo Sánchez, 119-151. Bogotá: Editorial Norma/IEPRI, 2006.</w:t>
      </w:r>
    </w:p>
    <w:p w:rsidR="0011361F" w:rsidRDefault="00AF18A5" w:rsidP="007178A6">
      <w:r>
        <w:t>Cámara</w:t>
      </w:r>
      <w:r>
        <w:rPr>
          <w:spacing w:val="-8"/>
        </w:rPr>
        <w:t xml:space="preserve"> </w:t>
      </w:r>
      <w:r>
        <w:t>de</w:t>
      </w:r>
      <w:r>
        <w:rPr>
          <w:spacing w:val="-7"/>
        </w:rPr>
        <w:t xml:space="preserve"> </w:t>
      </w:r>
      <w:r>
        <w:t>Representantes.</w:t>
      </w:r>
      <w:r>
        <w:rPr>
          <w:spacing w:val="-7"/>
        </w:rPr>
        <w:t xml:space="preserve"> </w:t>
      </w:r>
      <w:r>
        <w:t>Gaceta</w:t>
      </w:r>
      <w:r>
        <w:rPr>
          <w:spacing w:val="-7"/>
        </w:rPr>
        <w:t xml:space="preserve"> </w:t>
      </w:r>
      <w:r>
        <w:t>del</w:t>
      </w:r>
      <w:r>
        <w:rPr>
          <w:spacing w:val="-6"/>
        </w:rPr>
        <w:t xml:space="preserve"> </w:t>
      </w:r>
      <w:r>
        <w:t>Congreso.</w:t>
      </w:r>
      <w:r>
        <w:rPr>
          <w:spacing w:val="-7"/>
        </w:rPr>
        <w:t xml:space="preserve"> </w:t>
      </w:r>
      <w:r>
        <w:t>Año</w:t>
      </w:r>
      <w:r>
        <w:rPr>
          <w:spacing w:val="-6"/>
        </w:rPr>
        <w:t xml:space="preserve"> </w:t>
      </w:r>
      <w:r>
        <w:t>V,</w:t>
      </w:r>
      <w:r>
        <w:rPr>
          <w:spacing w:val="-7"/>
        </w:rPr>
        <w:t xml:space="preserve"> </w:t>
      </w:r>
      <w:proofErr w:type="spellStart"/>
      <w:r>
        <w:t>n.°</w:t>
      </w:r>
      <w:proofErr w:type="spellEnd"/>
      <w:r>
        <w:rPr>
          <w:spacing w:val="-7"/>
        </w:rPr>
        <w:t xml:space="preserve"> </w:t>
      </w:r>
      <w:r>
        <w:t>371.</w:t>
      </w:r>
      <w:r>
        <w:rPr>
          <w:spacing w:val="-7"/>
        </w:rPr>
        <w:t xml:space="preserve"> </w:t>
      </w:r>
      <w:r>
        <w:t>9</w:t>
      </w:r>
      <w:r>
        <w:rPr>
          <w:spacing w:val="-7"/>
        </w:rPr>
        <w:t xml:space="preserve"> </w:t>
      </w:r>
      <w:r>
        <w:t>de</w:t>
      </w:r>
      <w:r>
        <w:rPr>
          <w:spacing w:val="-7"/>
        </w:rPr>
        <w:t xml:space="preserve"> </w:t>
      </w:r>
      <w:r>
        <w:t>septiembre</w:t>
      </w:r>
      <w:r>
        <w:rPr>
          <w:spacing w:val="-8"/>
        </w:rPr>
        <w:t xml:space="preserve"> </w:t>
      </w:r>
      <w:r>
        <w:t>de</w:t>
      </w:r>
      <w:r>
        <w:rPr>
          <w:spacing w:val="-7"/>
        </w:rPr>
        <w:t xml:space="preserve"> </w:t>
      </w:r>
      <w:r>
        <w:rPr>
          <w:spacing w:val="-2"/>
        </w:rPr>
        <w:t>1996.</w:t>
      </w:r>
    </w:p>
    <w:p w:rsidR="003804AC" w:rsidRDefault="00AF18A5" w:rsidP="007178A6">
      <w:r>
        <w:t>Cárdenas</w:t>
      </w:r>
      <w:r>
        <w:rPr>
          <w:spacing w:val="-4"/>
        </w:rPr>
        <w:t xml:space="preserve"> </w:t>
      </w:r>
      <w:r>
        <w:t>Sarrias,</w:t>
      </w:r>
      <w:r>
        <w:rPr>
          <w:spacing w:val="-3"/>
        </w:rPr>
        <w:t xml:space="preserve"> </w:t>
      </w:r>
      <w:r>
        <w:t>José</w:t>
      </w:r>
      <w:r>
        <w:rPr>
          <w:spacing w:val="-4"/>
        </w:rPr>
        <w:t xml:space="preserve"> </w:t>
      </w:r>
      <w:r>
        <w:t>Armando.</w:t>
      </w:r>
      <w:r>
        <w:rPr>
          <w:spacing w:val="-3"/>
        </w:rPr>
        <w:t xml:space="preserve"> </w:t>
      </w:r>
      <w:r>
        <w:t>«En</w:t>
      </w:r>
      <w:r>
        <w:rPr>
          <w:spacing w:val="-5"/>
        </w:rPr>
        <w:t xml:space="preserve"> </w:t>
      </w:r>
      <w:r>
        <w:t>Bogotá</w:t>
      </w:r>
      <w:r>
        <w:rPr>
          <w:spacing w:val="-4"/>
        </w:rPr>
        <w:t xml:space="preserve"> </w:t>
      </w:r>
      <w:r>
        <w:t>nos</w:t>
      </w:r>
      <w:r>
        <w:rPr>
          <w:spacing w:val="-5"/>
        </w:rPr>
        <w:t xml:space="preserve"> </w:t>
      </w:r>
      <w:r>
        <w:t>pillamos:</w:t>
      </w:r>
      <w:r>
        <w:rPr>
          <w:spacing w:val="-3"/>
        </w:rPr>
        <w:t xml:space="preserve"> </w:t>
      </w:r>
      <w:r>
        <w:t>La</w:t>
      </w:r>
      <w:r>
        <w:rPr>
          <w:spacing w:val="-4"/>
        </w:rPr>
        <w:t xml:space="preserve"> </w:t>
      </w:r>
      <w:r>
        <w:t>vida-escuela</w:t>
      </w:r>
      <w:r>
        <w:rPr>
          <w:spacing w:val="-4"/>
        </w:rPr>
        <w:t xml:space="preserve"> </w:t>
      </w:r>
      <w:r>
        <w:t>de</w:t>
      </w:r>
      <w:r>
        <w:rPr>
          <w:spacing w:val="-2"/>
        </w:rPr>
        <w:t xml:space="preserve"> </w:t>
      </w:r>
      <w:r>
        <w:t>las</w:t>
      </w:r>
      <w:r>
        <w:rPr>
          <w:spacing w:val="-4"/>
        </w:rPr>
        <w:t xml:space="preserve"> </w:t>
      </w:r>
      <w:r>
        <w:t>Fuerzas</w:t>
      </w:r>
      <w:r>
        <w:rPr>
          <w:spacing w:val="-2"/>
        </w:rPr>
        <w:t xml:space="preserve"> </w:t>
      </w:r>
      <w:r>
        <w:t xml:space="preserve">Armadas Revolucionarias de Colombia-Ejército del Pueblo (FARC-EP) a través de sus cuatro generaciones 1950-2018». Tesis doctoral. </w:t>
      </w:r>
      <w:proofErr w:type="spellStart"/>
      <w:r>
        <w:t>Freien</w:t>
      </w:r>
      <w:proofErr w:type="spellEnd"/>
      <w:r>
        <w:t xml:space="preserve"> </w:t>
      </w:r>
      <w:proofErr w:type="spellStart"/>
      <w:r>
        <w:t>Universität</w:t>
      </w:r>
      <w:proofErr w:type="spellEnd"/>
      <w:r>
        <w:t xml:space="preserve"> </w:t>
      </w:r>
      <w:proofErr w:type="spellStart"/>
      <w:r>
        <w:t>Berlin</w:t>
      </w:r>
      <w:proofErr w:type="spellEnd"/>
      <w:r>
        <w:t>, 2019.</w:t>
      </w:r>
    </w:p>
    <w:p w:rsidR="003804AC" w:rsidRDefault="00AF18A5" w:rsidP="007178A6">
      <w:r>
        <w:t>Catálogo de Fuentes de Archivo Externas 18069-OE-23. Fiscalía General de la Nación y Ejército Nacional de Colombia. «Génesis. Documentos rectores FARC-EP Tomo XVI - Planes Bloque Oriental FARC-EP». 2018.</w:t>
      </w:r>
    </w:p>
    <w:p w:rsidR="003804AC" w:rsidRDefault="00AF18A5" w:rsidP="007178A6">
      <w:r>
        <w:t>Catálogo</w:t>
      </w:r>
      <w:r>
        <w:rPr>
          <w:spacing w:val="-1"/>
        </w:rPr>
        <w:t xml:space="preserve"> </w:t>
      </w:r>
      <w:r>
        <w:t>de</w:t>
      </w:r>
      <w:r>
        <w:rPr>
          <w:spacing w:val="-4"/>
        </w:rPr>
        <w:t xml:space="preserve"> </w:t>
      </w:r>
      <w:proofErr w:type="spellStart"/>
      <w:r>
        <w:t>microdatos</w:t>
      </w:r>
      <w:proofErr w:type="spellEnd"/>
      <w:r>
        <w:rPr>
          <w:spacing w:val="-2"/>
        </w:rPr>
        <w:t xml:space="preserve"> </w:t>
      </w:r>
      <w:r>
        <w:t>de</w:t>
      </w:r>
      <w:r>
        <w:rPr>
          <w:spacing w:val="-2"/>
        </w:rPr>
        <w:t xml:space="preserve"> </w:t>
      </w:r>
      <w:r>
        <w:t>la</w:t>
      </w:r>
      <w:r>
        <w:rPr>
          <w:spacing w:val="-2"/>
        </w:rPr>
        <w:t xml:space="preserve"> </w:t>
      </w:r>
      <w:r>
        <w:t>Comisión</w:t>
      </w:r>
      <w:r>
        <w:rPr>
          <w:spacing w:val="-1"/>
        </w:rPr>
        <w:t xml:space="preserve"> </w:t>
      </w:r>
      <w:r>
        <w:t>de</w:t>
      </w:r>
      <w:r>
        <w:rPr>
          <w:spacing w:val="-2"/>
        </w:rPr>
        <w:t xml:space="preserve"> </w:t>
      </w:r>
      <w:r>
        <w:t>la</w:t>
      </w:r>
      <w:r>
        <w:rPr>
          <w:spacing w:val="-2"/>
        </w:rPr>
        <w:t xml:space="preserve"> </w:t>
      </w:r>
      <w:r>
        <w:t>Verdad.</w:t>
      </w:r>
      <w:r>
        <w:rPr>
          <w:spacing w:val="-2"/>
        </w:rPr>
        <w:t xml:space="preserve"> </w:t>
      </w:r>
      <w:r>
        <w:t>Base</w:t>
      </w:r>
      <w:r>
        <w:rPr>
          <w:spacing w:val="-2"/>
        </w:rPr>
        <w:t xml:space="preserve"> </w:t>
      </w:r>
      <w:r>
        <w:t>de</w:t>
      </w:r>
      <w:r>
        <w:rPr>
          <w:spacing w:val="-2"/>
        </w:rPr>
        <w:t xml:space="preserve"> </w:t>
      </w:r>
      <w:r>
        <w:t>datos</w:t>
      </w:r>
      <w:r>
        <w:rPr>
          <w:spacing w:val="-2"/>
        </w:rPr>
        <w:t xml:space="preserve"> </w:t>
      </w:r>
      <w:r>
        <w:t>Violencia</w:t>
      </w:r>
      <w:r>
        <w:rPr>
          <w:spacing w:val="-2"/>
        </w:rPr>
        <w:t xml:space="preserve"> </w:t>
      </w:r>
      <w:r>
        <w:t>contra</w:t>
      </w:r>
      <w:r>
        <w:rPr>
          <w:spacing w:val="-2"/>
        </w:rPr>
        <w:t xml:space="preserve"> </w:t>
      </w:r>
      <w:r>
        <w:t>movimiento</w:t>
      </w:r>
      <w:r>
        <w:rPr>
          <w:spacing w:val="-1"/>
        </w:rPr>
        <w:t xml:space="preserve"> </w:t>
      </w:r>
      <w:r>
        <w:t>A Luchar, consolidada Equipo 3. 2020.</w:t>
      </w:r>
    </w:p>
    <w:p w:rsidR="003804AC" w:rsidRDefault="00AF18A5" w:rsidP="007178A6">
      <w:r>
        <w:t>Centro</w:t>
      </w:r>
      <w:r>
        <w:rPr>
          <w:spacing w:val="-14"/>
        </w:rPr>
        <w:t xml:space="preserve"> </w:t>
      </w:r>
      <w:r>
        <w:t>Nacional</w:t>
      </w:r>
      <w:r>
        <w:rPr>
          <w:spacing w:val="-14"/>
        </w:rPr>
        <w:t xml:space="preserve"> </w:t>
      </w:r>
      <w:r>
        <w:t>de</w:t>
      </w:r>
      <w:r>
        <w:rPr>
          <w:spacing w:val="-14"/>
        </w:rPr>
        <w:t xml:space="preserve"> </w:t>
      </w:r>
      <w:r>
        <w:t>Memoria</w:t>
      </w:r>
      <w:r>
        <w:rPr>
          <w:spacing w:val="-13"/>
        </w:rPr>
        <w:t xml:space="preserve"> </w:t>
      </w:r>
      <w:r>
        <w:t>Histórica</w:t>
      </w:r>
      <w:r>
        <w:rPr>
          <w:spacing w:val="-14"/>
        </w:rPr>
        <w:t xml:space="preserve"> </w:t>
      </w:r>
      <w:r>
        <w:t>(CNMH).</w:t>
      </w:r>
      <w:r>
        <w:rPr>
          <w:spacing w:val="-14"/>
        </w:rPr>
        <w:t xml:space="preserve"> </w:t>
      </w:r>
      <w:r>
        <w:t>Guerrilla</w:t>
      </w:r>
      <w:r>
        <w:rPr>
          <w:spacing w:val="-14"/>
        </w:rPr>
        <w:t xml:space="preserve"> </w:t>
      </w:r>
      <w:r>
        <w:t>y</w:t>
      </w:r>
      <w:r>
        <w:rPr>
          <w:spacing w:val="-13"/>
        </w:rPr>
        <w:t xml:space="preserve"> </w:t>
      </w:r>
      <w:r>
        <w:t>población</w:t>
      </w:r>
      <w:r>
        <w:rPr>
          <w:spacing w:val="-14"/>
        </w:rPr>
        <w:t xml:space="preserve"> </w:t>
      </w:r>
      <w:r>
        <w:t>civil:</w:t>
      </w:r>
      <w:r>
        <w:rPr>
          <w:spacing w:val="-14"/>
        </w:rPr>
        <w:t xml:space="preserve"> </w:t>
      </w:r>
      <w:r>
        <w:t>trayectoria</w:t>
      </w:r>
      <w:r>
        <w:rPr>
          <w:spacing w:val="-14"/>
        </w:rPr>
        <w:t xml:space="preserve"> </w:t>
      </w:r>
      <w:r>
        <w:t>de</w:t>
      </w:r>
      <w:r>
        <w:rPr>
          <w:spacing w:val="-13"/>
        </w:rPr>
        <w:t xml:space="preserve"> </w:t>
      </w:r>
      <w:r>
        <w:t>las</w:t>
      </w:r>
      <w:r>
        <w:rPr>
          <w:spacing w:val="-14"/>
        </w:rPr>
        <w:t xml:space="preserve"> </w:t>
      </w:r>
      <w:r>
        <w:t>FARC 1949-2013. Bogotá: CNMH, 2014.</w:t>
      </w:r>
    </w:p>
    <w:p w:rsidR="003804AC" w:rsidRDefault="00AF18A5" w:rsidP="007178A6">
      <w:r>
        <w:t>Centro Nacional de Memoria Histórica (CNMH). Una guerra sin edad: informe nacional de reclutamiento y utilización de niños, niñas y adolescentes en el conflicto armado colombiano. Bogotá: CNMH, 2017.</w:t>
      </w:r>
    </w:p>
    <w:p w:rsidR="0011361F" w:rsidRDefault="00AF18A5" w:rsidP="007178A6">
      <w:r>
        <w:t>Comisión</w:t>
      </w:r>
      <w:r>
        <w:rPr>
          <w:spacing w:val="-9"/>
        </w:rPr>
        <w:t xml:space="preserve"> </w:t>
      </w:r>
      <w:r>
        <w:t>de</w:t>
      </w:r>
      <w:r>
        <w:rPr>
          <w:spacing w:val="-9"/>
        </w:rPr>
        <w:t xml:space="preserve"> </w:t>
      </w:r>
      <w:r>
        <w:t>la</w:t>
      </w:r>
      <w:r>
        <w:rPr>
          <w:spacing w:val="-9"/>
        </w:rPr>
        <w:t xml:space="preserve"> </w:t>
      </w:r>
      <w:r>
        <w:t>Verdad.</w:t>
      </w:r>
      <w:r>
        <w:rPr>
          <w:spacing w:val="-8"/>
        </w:rPr>
        <w:t xml:space="preserve"> </w:t>
      </w:r>
      <w:r>
        <w:t>«Capítulo</w:t>
      </w:r>
      <w:r>
        <w:rPr>
          <w:spacing w:val="-8"/>
        </w:rPr>
        <w:t xml:space="preserve"> </w:t>
      </w:r>
      <w:r>
        <w:t>territorial».</w:t>
      </w:r>
      <w:r>
        <w:rPr>
          <w:spacing w:val="-8"/>
        </w:rPr>
        <w:t xml:space="preserve"> </w:t>
      </w:r>
      <w:r>
        <w:rPr>
          <w:spacing w:val="-4"/>
        </w:rPr>
        <w:t>2021.</w:t>
      </w:r>
    </w:p>
    <w:p w:rsidR="003804AC" w:rsidRDefault="00AF18A5" w:rsidP="007178A6">
      <w:r>
        <w:t>Comisión de la Verdad. «El secuestro, aproximación analítica». 2022. Comisión</w:t>
      </w:r>
      <w:r>
        <w:rPr>
          <w:spacing w:val="-8"/>
        </w:rPr>
        <w:t xml:space="preserve"> </w:t>
      </w:r>
      <w:r>
        <w:t>de</w:t>
      </w:r>
      <w:r>
        <w:rPr>
          <w:spacing w:val="-8"/>
        </w:rPr>
        <w:t xml:space="preserve"> </w:t>
      </w:r>
      <w:r>
        <w:t>la</w:t>
      </w:r>
      <w:r>
        <w:rPr>
          <w:spacing w:val="-8"/>
        </w:rPr>
        <w:t xml:space="preserve"> </w:t>
      </w:r>
      <w:r>
        <w:t>Verdad.</w:t>
      </w:r>
      <w:r>
        <w:rPr>
          <w:spacing w:val="-7"/>
        </w:rPr>
        <w:t xml:space="preserve"> </w:t>
      </w:r>
      <w:r>
        <w:t>«Informe</w:t>
      </w:r>
      <w:r>
        <w:rPr>
          <w:spacing w:val="-8"/>
        </w:rPr>
        <w:t xml:space="preserve"> </w:t>
      </w:r>
      <w:r>
        <w:t>de</w:t>
      </w:r>
      <w:r>
        <w:rPr>
          <w:spacing w:val="-9"/>
        </w:rPr>
        <w:t xml:space="preserve"> </w:t>
      </w:r>
      <w:r>
        <w:t>hallazgos</w:t>
      </w:r>
      <w:r>
        <w:rPr>
          <w:spacing w:val="-8"/>
        </w:rPr>
        <w:t xml:space="preserve"> </w:t>
      </w:r>
      <w:r>
        <w:t>en</w:t>
      </w:r>
      <w:r>
        <w:rPr>
          <w:spacing w:val="-7"/>
        </w:rPr>
        <w:t xml:space="preserve"> </w:t>
      </w:r>
      <w:proofErr w:type="spellStart"/>
      <w:r>
        <w:t>Taraira</w:t>
      </w:r>
      <w:proofErr w:type="spellEnd"/>
      <w:r>
        <w:t>,</w:t>
      </w:r>
      <w:r>
        <w:rPr>
          <w:spacing w:val="-7"/>
        </w:rPr>
        <w:t xml:space="preserve"> </w:t>
      </w:r>
      <w:r>
        <w:t>Vaupés».</w:t>
      </w:r>
      <w:r>
        <w:rPr>
          <w:spacing w:val="-8"/>
        </w:rPr>
        <w:t xml:space="preserve"> </w:t>
      </w:r>
      <w:r>
        <w:rPr>
          <w:spacing w:val="-2"/>
        </w:rPr>
        <w:lastRenderedPageBreak/>
        <w:t>2020.</w:t>
      </w:r>
    </w:p>
    <w:p w:rsidR="003804AC" w:rsidRDefault="00AF18A5" w:rsidP="007178A6">
      <w:r>
        <w:t>Comisión</w:t>
      </w:r>
      <w:r>
        <w:rPr>
          <w:spacing w:val="27"/>
        </w:rPr>
        <w:t xml:space="preserve"> </w:t>
      </w:r>
      <w:r>
        <w:t>de</w:t>
      </w:r>
      <w:r>
        <w:rPr>
          <w:spacing w:val="27"/>
        </w:rPr>
        <w:t xml:space="preserve"> </w:t>
      </w:r>
      <w:r>
        <w:t>la</w:t>
      </w:r>
      <w:r>
        <w:rPr>
          <w:spacing w:val="27"/>
        </w:rPr>
        <w:t xml:space="preserve"> </w:t>
      </w:r>
      <w:r>
        <w:t>Verdad.</w:t>
      </w:r>
      <w:r>
        <w:rPr>
          <w:spacing w:val="27"/>
        </w:rPr>
        <w:t xml:space="preserve"> </w:t>
      </w:r>
      <w:r>
        <w:t>«La</w:t>
      </w:r>
      <w:r>
        <w:rPr>
          <w:spacing w:val="27"/>
        </w:rPr>
        <w:t xml:space="preserve"> </w:t>
      </w:r>
      <w:r>
        <w:t>masacre</w:t>
      </w:r>
      <w:r>
        <w:rPr>
          <w:spacing w:val="28"/>
        </w:rPr>
        <w:t xml:space="preserve"> </w:t>
      </w:r>
      <w:r>
        <w:t>de</w:t>
      </w:r>
      <w:r>
        <w:rPr>
          <w:spacing w:val="27"/>
        </w:rPr>
        <w:t xml:space="preserve"> </w:t>
      </w:r>
      <w:proofErr w:type="spellStart"/>
      <w:r>
        <w:t>Tacueyó</w:t>
      </w:r>
      <w:proofErr w:type="spellEnd"/>
      <w:r>
        <w:rPr>
          <w:spacing w:val="26"/>
        </w:rPr>
        <w:t xml:space="preserve"> </w:t>
      </w:r>
      <w:r>
        <w:t>y</w:t>
      </w:r>
      <w:r>
        <w:rPr>
          <w:spacing w:val="27"/>
        </w:rPr>
        <w:t xml:space="preserve"> </w:t>
      </w:r>
      <w:r>
        <w:t>el</w:t>
      </w:r>
      <w:r>
        <w:rPr>
          <w:spacing w:val="27"/>
        </w:rPr>
        <w:t xml:space="preserve"> </w:t>
      </w:r>
      <w:r>
        <w:t>impacto</w:t>
      </w:r>
      <w:r>
        <w:rPr>
          <w:spacing w:val="27"/>
        </w:rPr>
        <w:t xml:space="preserve"> </w:t>
      </w:r>
      <w:r>
        <w:t>de</w:t>
      </w:r>
      <w:r>
        <w:rPr>
          <w:spacing w:val="27"/>
        </w:rPr>
        <w:t xml:space="preserve"> </w:t>
      </w:r>
      <w:r>
        <w:t>lo</w:t>
      </w:r>
      <w:r>
        <w:rPr>
          <w:spacing w:val="26"/>
        </w:rPr>
        <w:t xml:space="preserve"> </w:t>
      </w:r>
      <w:r>
        <w:t>ocurrido</w:t>
      </w:r>
      <w:r>
        <w:rPr>
          <w:spacing w:val="27"/>
        </w:rPr>
        <w:t xml:space="preserve"> </w:t>
      </w:r>
      <w:r>
        <w:t>en</w:t>
      </w:r>
      <w:r>
        <w:rPr>
          <w:spacing w:val="26"/>
        </w:rPr>
        <w:t xml:space="preserve"> </w:t>
      </w:r>
      <w:r>
        <w:t>el</w:t>
      </w:r>
      <w:r>
        <w:rPr>
          <w:spacing w:val="27"/>
        </w:rPr>
        <w:t xml:space="preserve"> </w:t>
      </w:r>
      <w:r>
        <w:t>movimiento guerrillero en Colombia». 2021.</w:t>
      </w:r>
    </w:p>
    <w:p w:rsidR="003804AC" w:rsidRDefault="00AF18A5" w:rsidP="007178A6">
      <w:r>
        <w:t>Corporación Solidaridad Jurídica (CSJ). Violencia contrainsurgente. Informe sobre violaciones de derechos humanos atribuibles al Estado. Bogotá, CSJ, 2020.</w:t>
      </w:r>
    </w:p>
    <w:p w:rsidR="003804AC" w:rsidRDefault="00AF18A5" w:rsidP="007178A6">
      <w:r>
        <w:t>Entrevista</w:t>
      </w:r>
      <w:r>
        <w:rPr>
          <w:spacing w:val="28"/>
        </w:rPr>
        <w:t xml:space="preserve"> </w:t>
      </w:r>
      <w:r>
        <w:t>056-VI-00045.</w:t>
      </w:r>
      <w:r>
        <w:rPr>
          <w:spacing w:val="27"/>
        </w:rPr>
        <w:t xml:space="preserve"> </w:t>
      </w:r>
      <w:r>
        <w:t>Hombre,</w:t>
      </w:r>
      <w:r>
        <w:rPr>
          <w:spacing w:val="28"/>
        </w:rPr>
        <w:t xml:space="preserve"> </w:t>
      </w:r>
      <w:r>
        <w:t>víctima.</w:t>
      </w:r>
      <w:r>
        <w:rPr>
          <w:spacing w:val="28"/>
        </w:rPr>
        <w:t xml:space="preserve"> </w:t>
      </w:r>
      <w:r>
        <w:t>Tomada</w:t>
      </w:r>
      <w:r>
        <w:rPr>
          <w:spacing w:val="29"/>
        </w:rPr>
        <w:t xml:space="preserve"> </w:t>
      </w:r>
      <w:r>
        <w:t>por</w:t>
      </w:r>
      <w:r>
        <w:rPr>
          <w:spacing w:val="28"/>
        </w:rPr>
        <w:t xml:space="preserve"> </w:t>
      </w:r>
      <w:r>
        <w:t>Comisión</w:t>
      </w:r>
      <w:r>
        <w:rPr>
          <w:spacing w:val="28"/>
        </w:rPr>
        <w:t xml:space="preserve"> </w:t>
      </w:r>
      <w:r>
        <w:t>para</w:t>
      </w:r>
      <w:r>
        <w:rPr>
          <w:spacing w:val="28"/>
        </w:rPr>
        <w:t xml:space="preserve"> </w:t>
      </w:r>
      <w:r>
        <w:t>el</w:t>
      </w:r>
      <w:r>
        <w:rPr>
          <w:spacing w:val="28"/>
        </w:rPr>
        <w:t xml:space="preserve"> </w:t>
      </w:r>
      <w:r>
        <w:t>Esclarecimiento</w:t>
      </w:r>
      <w:r>
        <w:rPr>
          <w:spacing w:val="28"/>
        </w:rPr>
        <w:t xml:space="preserve"> </w:t>
      </w:r>
      <w:r>
        <w:t>de</w:t>
      </w:r>
      <w:r>
        <w:rPr>
          <w:spacing w:val="28"/>
        </w:rPr>
        <w:t xml:space="preserve"> </w:t>
      </w:r>
      <w:r>
        <w:t>la Verdad, la Convivencia y la No Repetición - CEV. 2019.</w:t>
      </w:r>
    </w:p>
    <w:p w:rsidR="003804AC" w:rsidRDefault="00AF18A5" w:rsidP="007178A6">
      <w:r w:rsidRPr="00951B0F">
        <w:rPr>
          <w:lang w:val="pt-BR"/>
        </w:rPr>
        <w:t xml:space="preserve">Entrevista 084-PR-02378. </w:t>
      </w:r>
      <w:proofErr w:type="spellStart"/>
      <w:r w:rsidRPr="00951B0F">
        <w:rPr>
          <w:lang w:val="pt-BR"/>
        </w:rPr>
        <w:t>Actor</w:t>
      </w:r>
      <w:proofErr w:type="spellEnd"/>
      <w:r w:rsidRPr="00951B0F">
        <w:rPr>
          <w:lang w:val="pt-BR"/>
        </w:rPr>
        <w:t xml:space="preserve"> armado, </w:t>
      </w:r>
      <w:proofErr w:type="spellStart"/>
      <w:r w:rsidRPr="00951B0F">
        <w:rPr>
          <w:lang w:val="pt-BR"/>
        </w:rPr>
        <w:t>excombatiente</w:t>
      </w:r>
      <w:proofErr w:type="spellEnd"/>
      <w:r w:rsidRPr="00951B0F">
        <w:rPr>
          <w:lang w:val="pt-BR"/>
        </w:rPr>
        <w:t xml:space="preserve"> FARC-EP. </w:t>
      </w:r>
      <w:r>
        <w:t>Tomada por Comisión para el Esclarecimiento de la Verdad, la Convivencia y la No Repetición - CEV. 2019.</w:t>
      </w:r>
    </w:p>
    <w:p w:rsidR="003804AC" w:rsidRDefault="00AF18A5" w:rsidP="007178A6">
      <w:r w:rsidRPr="00951B0F">
        <w:rPr>
          <w:lang w:val="pt-BR"/>
        </w:rPr>
        <w:t xml:space="preserve">Entrevista 084-PR-02882. </w:t>
      </w:r>
      <w:proofErr w:type="spellStart"/>
      <w:r w:rsidRPr="00951B0F">
        <w:rPr>
          <w:lang w:val="pt-BR"/>
        </w:rPr>
        <w:t>Actor</w:t>
      </w:r>
      <w:proofErr w:type="spellEnd"/>
      <w:r w:rsidRPr="00951B0F">
        <w:rPr>
          <w:lang w:val="pt-BR"/>
        </w:rPr>
        <w:t xml:space="preserve"> armado, </w:t>
      </w:r>
      <w:proofErr w:type="spellStart"/>
      <w:r w:rsidRPr="00951B0F">
        <w:rPr>
          <w:lang w:val="pt-BR"/>
        </w:rPr>
        <w:t>excombatiente</w:t>
      </w:r>
      <w:proofErr w:type="spellEnd"/>
      <w:r w:rsidRPr="00951B0F">
        <w:rPr>
          <w:lang w:val="pt-BR"/>
        </w:rPr>
        <w:t xml:space="preserve"> FARC-EP. </w:t>
      </w:r>
      <w:r>
        <w:t>Tomada por Comisión para el Esclarecimiento de la Verdad, la Convivencia y la No Repetición - CEV.</w:t>
      </w:r>
    </w:p>
    <w:p w:rsidR="003804AC" w:rsidRDefault="00AF18A5" w:rsidP="007178A6">
      <w:r>
        <w:t>Entrevista 091-HV-00001. Actor armado, mujer, FARC-EP. Tomada por Comisión para el Esclarecimiento de la Verdad, la Convivencia y la No Repetición - CEV.</w:t>
      </w:r>
    </w:p>
    <w:p w:rsidR="003804AC" w:rsidRDefault="00AF18A5" w:rsidP="007178A6">
      <w:r>
        <w:t>Entrevista</w:t>
      </w:r>
      <w:r>
        <w:rPr>
          <w:spacing w:val="-7"/>
        </w:rPr>
        <w:t xml:space="preserve"> </w:t>
      </w:r>
      <w:r>
        <w:t>123-PR-00559.</w:t>
      </w:r>
      <w:r>
        <w:rPr>
          <w:spacing w:val="-8"/>
        </w:rPr>
        <w:t xml:space="preserve"> </w:t>
      </w:r>
      <w:r>
        <w:t>Actores</w:t>
      </w:r>
      <w:r>
        <w:rPr>
          <w:spacing w:val="-7"/>
        </w:rPr>
        <w:t xml:space="preserve"> </w:t>
      </w:r>
      <w:r>
        <w:t>armados,</w:t>
      </w:r>
      <w:r>
        <w:rPr>
          <w:spacing w:val="-7"/>
        </w:rPr>
        <w:t xml:space="preserve"> </w:t>
      </w:r>
      <w:r>
        <w:t>exmiembros</w:t>
      </w:r>
      <w:r>
        <w:rPr>
          <w:spacing w:val="-7"/>
        </w:rPr>
        <w:t xml:space="preserve"> </w:t>
      </w:r>
      <w:r>
        <w:t>del</w:t>
      </w:r>
      <w:r>
        <w:rPr>
          <w:spacing w:val="-7"/>
        </w:rPr>
        <w:t xml:space="preserve"> </w:t>
      </w:r>
      <w:r>
        <w:t>Secretariado</w:t>
      </w:r>
      <w:r>
        <w:rPr>
          <w:spacing w:val="-6"/>
        </w:rPr>
        <w:t xml:space="preserve"> </w:t>
      </w:r>
      <w:r>
        <w:t>de</w:t>
      </w:r>
      <w:r>
        <w:rPr>
          <w:spacing w:val="-7"/>
        </w:rPr>
        <w:t xml:space="preserve"> </w:t>
      </w:r>
      <w:r>
        <w:t>las</w:t>
      </w:r>
      <w:r>
        <w:rPr>
          <w:spacing w:val="-7"/>
        </w:rPr>
        <w:t xml:space="preserve"> </w:t>
      </w:r>
      <w:r>
        <w:t>FARC-EP.</w:t>
      </w:r>
      <w:r>
        <w:rPr>
          <w:spacing w:val="-6"/>
        </w:rPr>
        <w:t xml:space="preserve"> </w:t>
      </w:r>
      <w:r>
        <w:t xml:space="preserve">Tomada por Comisión para el Esclarecimiento de la Verdad, la Convivencia y la No Repetición - </w:t>
      </w:r>
      <w:r>
        <w:rPr>
          <w:spacing w:val="-4"/>
        </w:rPr>
        <w:t>CEV.</w:t>
      </w:r>
    </w:p>
    <w:p w:rsidR="003804AC" w:rsidRDefault="00AF18A5" w:rsidP="007178A6">
      <w:r>
        <w:t>Entrevista 196-VI-00051. Hombre, víctima. Tomada por Comisión para el Esclarecimiento de la Verdad, la Convivencia y la No Repetición - CEV. 2019.</w:t>
      </w:r>
    </w:p>
    <w:p w:rsidR="003804AC" w:rsidRDefault="00AF18A5" w:rsidP="007178A6">
      <w:r>
        <w:lastRenderedPageBreak/>
        <w:t>Entrevista 223-VI-00028. Víctima, pescador. Tomada por Comisión para el Esclarecimiento de la Verdad, la Convivencia y la No Repetición - CEV. 2020.</w:t>
      </w:r>
    </w:p>
    <w:p w:rsidR="003804AC" w:rsidRDefault="00AF18A5" w:rsidP="007178A6">
      <w:r>
        <w:t>Entrevista</w:t>
      </w:r>
      <w:r>
        <w:rPr>
          <w:spacing w:val="-5"/>
        </w:rPr>
        <w:t xml:space="preserve"> </w:t>
      </w:r>
      <w:r>
        <w:t>311-VI-00001.</w:t>
      </w:r>
      <w:r>
        <w:rPr>
          <w:spacing w:val="-5"/>
        </w:rPr>
        <w:t xml:space="preserve"> </w:t>
      </w:r>
      <w:r>
        <w:t>Mujer,</w:t>
      </w:r>
      <w:r>
        <w:rPr>
          <w:spacing w:val="-4"/>
        </w:rPr>
        <w:t xml:space="preserve"> </w:t>
      </w:r>
      <w:r>
        <w:t>víctima,</w:t>
      </w:r>
      <w:r>
        <w:rPr>
          <w:spacing w:val="-4"/>
        </w:rPr>
        <w:t xml:space="preserve"> </w:t>
      </w:r>
      <w:proofErr w:type="spellStart"/>
      <w:r>
        <w:t>Taraira</w:t>
      </w:r>
      <w:proofErr w:type="spellEnd"/>
      <w:r>
        <w:t>.</w:t>
      </w:r>
      <w:r>
        <w:rPr>
          <w:spacing w:val="-4"/>
        </w:rPr>
        <w:t xml:space="preserve"> </w:t>
      </w:r>
      <w:r>
        <w:t>Tomada</w:t>
      </w:r>
      <w:r>
        <w:rPr>
          <w:spacing w:val="-5"/>
        </w:rPr>
        <w:t xml:space="preserve"> </w:t>
      </w:r>
      <w:r>
        <w:t>por</w:t>
      </w:r>
      <w:r>
        <w:rPr>
          <w:spacing w:val="-4"/>
        </w:rPr>
        <w:t xml:space="preserve"> </w:t>
      </w:r>
      <w:r>
        <w:t>Comisión</w:t>
      </w:r>
      <w:r>
        <w:rPr>
          <w:spacing w:val="-4"/>
        </w:rPr>
        <w:t xml:space="preserve"> </w:t>
      </w:r>
      <w:r>
        <w:t>para</w:t>
      </w:r>
      <w:r>
        <w:rPr>
          <w:spacing w:val="-5"/>
        </w:rPr>
        <w:t xml:space="preserve"> </w:t>
      </w:r>
      <w:r>
        <w:t>el</w:t>
      </w:r>
      <w:r>
        <w:rPr>
          <w:spacing w:val="-4"/>
        </w:rPr>
        <w:t xml:space="preserve"> </w:t>
      </w:r>
      <w:r>
        <w:t>Esclarecimiento</w:t>
      </w:r>
      <w:r>
        <w:rPr>
          <w:spacing w:val="-4"/>
        </w:rPr>
        <w:t xml:space="preserve"> </w:t>
      </w:r>
      <w:r>
        <w:t>de la Verdad, la Convivencia y la No Repetición - CEV. 2019.</w:t>
      </w:r>
    </w:p>
    <w:p w:rsidR="003804AC" w:rsidRDefault="00AF18A5" w:rsidP="007178A6">
      <w:r>
        <w:t>Entrevista</w:t>
      </w:r>
      <w:r>
        <w:rPr>
          <w:spacing w:val="-12"/>
        </w:rPr>
        <w:t xml:space="preserve"> </w:t>
      </w:r>
      <w:r>
        <w:t>311-IVI-00004.</w:t>
      </w:r>
      <w:r>
        <w:rPr>
          <w:spacing w:val="-12"/>
        </w:rPr>
        <w:t xml:space="preserve"> </w:t>
      </w:r>
      <w:r>
        <w:t>Hombre,</w:t>
      </w:r>
      <w:r>
        <w:rPr>
          <w:spacing w:val="-11"/>
        </w:rPr>
        <w:t xml:space="preserve"> </w:t>
      </w:r>
      <w:r>
        <w:t>víctima,</w:t>
      </w:r>
      <w:r>
        <w:rPr>
          <w:spacing w:val="-11"/>
        </w:rPr>
        <w:t xml:space="preserve"> </w:t>
      </w:r>
      <w:r>
        <w:t>minero</w:t>
      </w:r>
      <w:r>
        <w:rPr>
          <w:spacing w:val="-11"/>
        </w:rPr>
        <w:t xml:space="preserve"> </w:t>
      </w:r>
      <w:r>
        <w:t>desplazado,</w:t>
      </w:r>
      <w:r>
        <w:rPr>
          <w:spacing w:val="-11"/>
        </w:rPr>
        <w:t xml:space="preserve"> </w:t>
      </w:r>
      <w:proofErr w:type="spellStart"/>
      <w:r>
        <w:t>Taraira</w:t>
      </w:r>
      <w:proofErr w:type="spellEnd"/>
      <w:r>
        <w:t>.</w:t>
      </w:r>
      <w:r>
        <w:rPr>
          <w:spacing w:val="-11"/>
        </w:rPr>
        <w:t xml:space="preserve"> </w:t>
      </w:r>
      <w:r>
        <w:t>Tomada</w:t>
      </w:r>
      <w:r>
        <w:rPr>
          <w:spacing w:val="-11"/>
        </w:rPr>
        <w:t xml:space="preserve"> </w:t>
      </w:r>
      <w:r>
        <w:t>por</w:t>
      </w:r>
      <w:r>
        <w:rPr>
          <w:spacing w:val="-13"/>
        </w:rPr>
        <w:t xml:space="preserve"> </w:t>
      </w:r>
      <w:r>
        <w:t>Comisión</w:t>
      </w:r>
      <w:r>
        <w:rPr>
          <w:spacing w:val="-11"/>
        </w:rPr>
        <w:t xml:space="preserve"> </w:t>
      </w:r>
      <w:r>
        <w:t>para el Esclarecimiento de la Verdad, la Convivencia y la No Repetición - CEV. 2019.</w:t>
      </w:r>
    </w:p>
    <w:p w:rsidR="003804AC" w:rsidRDefault="00AF18A5" w:rsidP="007178A6">
      <w:r>
        <w:t>Entrevista</w:t>
      </w:r>
      <w:r>
        <w:rPr>
          <w:spacing w:val="-1"/>
        </w:rPr>
        <w:t xml:space="preserve"> </w:t>
      </w:r>
      <w:r>
        <w:t>399-PR-00939.</w:t>
      </w:r>
      <w:r>
        <w:rPr>
          <w:spacing w:val="-2"/>
        </w:rPr>
        <w:t xml:space="preserve"> </w:t>
      </w:r>
      <w:r>
        <w:t>Víctima, político, exdiputado secuestrado por</w:t>
      </w:r>
      <w:r>
        <w:rPr>
          <w:spacing w:val="-1"/>
        </w:rPr>
        <w:t xml:space="preserve"> </w:t>
      </w:r>
      <w:r>
        <w:t>las</w:t>
      </w:r>
      <w:r>
        <w:rPr>
          <w:spacing w:val="-1"/>
        </w:rPr>
        <w:t xml:space="preserve"> </w:t>
      </w:r>
      <w:r>
        <w:t>FARC-EP. Tomada</w:t>
      </w:r>
      <w:r>
        <w:rPr>
          <w:spacing w:val="-1"/>
        </w:rPr>
        <w:t xml:space="preserve"> </w:t>
      </w:r>
      <w:r>
        <w:t>por Comisión</w:t>
      </w:r>
      <w:r>
        <w:rPr>
          <w:spacing w:val="-2"/>
        </w:rPr>
        <w:t xml:space="preserve"> </w:t>
      </w:r>
      <w:r>
        <w:t>para</w:t>
      </w:r>
      <w:r>
        <w:rPr>
          <w:spacing w:val="-3"/>
        </w:rPr>
        <w:t xml:space="preserve"> </w:t>
      </w:r>
      <w:r>
        <w:t>el</w:t>
      </w:r>
      <w:r>
        <w:rPr>
          <w:spacing w:val="-2"/>
        </w:rPr>
        <w:t xml:space="preserve"> </w:t>
      </w:r>
      <w:r>
        <w:t>Esclarecimiento</w:t>
      </w:r>
      <w:r>
        <w:rPr>
          <w:spacing w:val="-2"/>
        </w:rPr>
        <w:t xml:space="preserve"> </w:t>
      </w:r>
      <w:r>
        <w:t>de</w:t>
      </w:r>
      <w:r>
        <w:rPr>
          <w:spacing w:val="-3"/>
        </w:rPr>
        <w:t xml:space="preserve"> </w:t>
      </w:r>
      <w:r>
        <w:t>la</w:t>
      </w:r>
      <w:r>
        <w:rPr>
          <w:spacing w:val="-1"/>
        </w:rPr>
        <w:t xml:space="preserve"> </w:t>
      </w:r>
      <w:r>
        <w:t>Verdad,</w:t>
      </w:r>
      <w:r>
        <w:rPr>
          <w:spacing w:val="-2"/>
        </w:rPr>
        <w:t xml:space="preserve"> </w:t>
      </w:r>
      <w:r>
        <w:t>la</w:t>
      </w:r>
      <w:r>
        <w:rPr>
          <w:spacing w:val="-1"/>
        </w:rPr>
        <w:t xml:space="preserve"> </w:t>
      </w:r>
      <w:r>
        <w:t>Convivencia</w:t>
      </w:r>
      <w:r>
        <w:rPr>
          <w:spacing w:val="-3"/>
        </w:rPr>
        <w:t xml:space="preserve"> </w:t>
      </w:r>
      <w:r>
        <w:t>y</w:t>
      </w:r>
      <w:r>
        <w:rPr>
          <w:spacing w:val="-2"/>
        </w:rPr>
        <w:t xml:space="preserve"> </w:t>
      </w:r>
      <w:r>
        <w:t>la</w:t>
      </w:r>
      <w:r>
        <w:rPr>
          <w:spacing w:val="-3"/>
        </w:rPr>
        <w:t xml:space="preserve"> </w:t>
      </w:r>
      <w:r>
        <w:t>No</w:t>
      </w:r>
      <w:r>
        <w:rPr>
          <w:spacing w:val="-2"/>
        </w:rPr>
        <w:t xml:space="preserve"> </w:t>
      </w:r>
      <w:r>
        <w:t>Repetición</w:t>
      </w:r>
      <w:r>
        <w:rPr>
          <w:spacing w:val="-2"/>
        </w:rPr>
        <w:t xml:space="preserve"> </w:t>
      </w:r>
      <w:r>
        <w:t>-</w:t>
      </w:r>
      <w:r>
        <w:rPr>
          <w:spacing w:val="-2"/>
        </w:rPr>
        <w:t xml:space="preserve"> </w:t>
      </w:r>
      <w:r>
        <w:t xml:space="preserve">CEV. </w:t>
      </w:r>
      <w:r>
        <w:rPr>
          <w:spacing w:val="-4"/>
        </w:rPr>
        <w:t>2020.</w:t>
      </w:r>
    </w:p>
    <w:p w:rsidR="003804AC" w:rsidRDefault="00AF18A5" w:rsidP="007178A6">
      <w:r>
        <w:t>Entrevista 457-VI-00020. Hombre, víctima, líder social. Tomada por Comisión para el Esclarecimiento de la Verdad, la Convivencia y la No Repetición - CEV. 2019.</w:t>
      </w:r>
    </w:p>
    <w:p w:rsidR="003804AC" w:rsidRDefault="00AF18A5" w:rsidP="007178A6">
      <w:r>
        <w:t>Entrevista</w:t>
      </w:r>
      <w:r>
        <w:rPr>
          <w:spacing w:val="-9"/>
        </w:rPr>
        <w:t xml:space="preserve"> </w:t>
      </w:r>
      <w:r>
        <w:t>666-VI-00008.</w:t>
      </w:r>
      <w:r>
        <w:rPr>
          <w:spacing w:val="-10"/>
        </w:rPr>
        <w:t xml:space="preserve"> </w:t>
      </w:r>
      <w:r>
        <w:t>Hombre,</w:t>
      </w:r>
      <w:r>
        <w:rPr>
          <w:spacing w:val="-9"/>
        </w:rPr>
        <w:t xml:space="preserve"> </w:t>
      </w:r>
      <w:r>
        <w:t>víctima,</w:t>
      </w:r>
      <w:r>
        <w:rPr>
          <w:spacing w:val="-9"/>
        </w:rPr>
        <w:t xml:space="preserve"> </w:t>
      </w:r>
      <w:proofErr w:type="spellStart"/>
      <w:r>
        <w:t>índígena</w:t>
      </w:r>
      <w:proofErr w:type="spellEnd"/>
      <w:r>
        <w:t>.</w:t>
      </w:r>
      <w:r>
        <w:rPr>
          <w:spacing w:val="-9"/>
        </w:rPr>
        <w:t xml:space="preserve"> </w:t>
      </w:r>
      <w:r>
        <w:t>Tomada</w:t>
      </w:r>
      <w:r>
        <w:rPr>
          <w:spacing w:val="-9"/>
        </w:rPr>
        <w:t xml:space="preserve"> </w:t>
      </w:r>
      <w:r>
        <w:t>por</w:t>
      </w:r>
      <w:r>
        <w:rPr>
          <w:spacing w:val="-9"/>
        </w:rPr>
        <w:t xml:space="preserve"> </w:t>
      </w:r>
      <w:r>
        <w:t>Comisión</w:t>
      </w:r>
      <w:r>
        <w:rPr>
          <w:spacing w:val="-8"/>
        </w:rPr>
        <w:t xml:space="preserve"> </w:t>
      </w:r>
      <w:r>
        <w:t>para</w:t>
      </w:r>
      <w:r>
        <w:rPr>
          <w:spacing w:val="-9"/>
        </w:rPr>
        <w:t xml:space="preserve"> </w:t>
      </w:r>
      <w:r>
        <w:t>el</w:t>
      </w:r>
      <w:r>
        <w:rPr>
          <w:spacing w:val="-9"/>
        </w:rPr>
        <w:t xml:space="preserve"> </w:t>
      </w:r>
      <w:r>
        <w:t>Esclarecimiento de la Verdad, la Convivencia y la No Repetición - CEV.</w:t>
      </w:r>
    </w:p>
    <w:p w:rsidR="0011361F" w:rsidRDefault="00AF18A5" w:rsidP="007178A6">
      <w:r>
        <w:t>González,</w:t>
      </w:r>
      <w:r>
        <w:rPr>
          <w:spacing w:val="-9"/>
        </w:rPr>
        <w:t xml:space="preserve"> </w:t>
      </w:r>
      <w:r>
        <w:t>Fernán</w:t>
      </w:r>
      <w:r>
        <w:rPr>
          <w:spacing w:val="-8"/>
        </w:rPr>
        <w:t xml:space="preserve"> </w:t>
      </w:r>
      <w:r>
        <w:t>E.</w:t>
      </w:r>
      <w:r>
        <w:rPr>
          <w:spacing w:val="-9"/>
        </w:rPr>
        <w:t xml:space="preserve"> </w:t>
      </w:r>
      <w:r>
        <w:t>Poder</w:t>
      </w:r>
      <w:r>
        <w:rPr>
          <w:spacing w:val="-9"/>
        </w:rPr>
        <w:t xml:space="preserve"> </w:t>
      </w:r>
      <w:r>
        <w:t>y</w:t>
      </w:r>
      <w:r>
        <w:rPr>
          <w:spacing w:val="-9"/>
        </w:rPr>
        <w:t xml:space="preserve"> </w:t>
      </w:r>
      <w:r>
        <w:t>violencia</w:t>
      </w:r>
      <w:r>
        <w:rPr>
          <w:spacing w:val="-9"/>
        </w:rPr>
        <w:t xml:space="preserve"> </w:t>
      </w:r>
      <w:r>
        <w:t>en</w:t>
      </w:r>
      <w:r>
        <w:rPr>
          <w:spacing w:val="-8"/>
        </w:rPr>
        <w:t xml:space="preserve"> </w:t>
      </w:r>
      <w:r>
        <w:t>Colombia.</w:t>
      </w:r>
      <w:r>
        <w:rPr>
          <w:spacing w:val="-10"/>
        </w:rPr>
        <w:t xml:space="preserve"> </w:t>
      </w:r>
      <w:r>
        <w:t>Bogotá:</w:t>
      </w:r>
      <w:r>
        <w:rPr>
          <w:spacing w:val="-8"/>
        </w:rPr>
        <w:t xml:space="preserve"> </w:t>
      </w:r>
      <w:proofErr w:type="spellStart"/>
      <w:r>
        <w:t>Odecofi-Cinep</w:t>
      </w:r>
      <w:proofErr w:type="spellEnd"/>
      <w:r>
        <w:t>,</w:t>
      </w:r>
      <w:r>
        <w:rPr>
          <w:spacing w:val="-9"/>
        </w:rPr>
        <w:t xml:space="preserve"> </w:t>
      </w:r>
      <w:r>
        <w:rPr>
          <w:spacing w:val="-2"/>
        </w:rPr>
        <w:t>2014.</w:t>
      </w:r>
    </w:p>
    <w:p w:rsidR="003804AC" w:rsidRDefault="00AF18A5" w:rsidP="007178A6">
      <w:r>
        <w:t>González,</w:t>
      </w:r>
      <w:r>
        <w:rPr>
          <w:spacing w:val="-10"/>
        </w:rPr>
        <w:t xml:space="preserve"> </w:t>
      </w:r>
      <w:r>
        <w:t>Fernán</w:t>
      </w:r>
      <w:r>
        <w:rPr>
          <w:spacing w:val="-10"/>
        </w:rPr>
        <w:t xml:space="preserve"> </w:t>
      </w:r>
      <w:r>
        <w:t>E.,</w:t>
      </w:r>
      <w:r>
        <w:rPr>
          <w:spacing w:val="-10"/>
        </w:rPr>
        <w:t xml:space="preserve"> </w:t>
      </w:r>
      <w:r>
        <w:t>Vásquez,</w:t>
      </w:r>
      <w:r>
        <w:rPr>
          <w:spacing w:val="-10"/>
        </w:rPr>
        <w:t xml:space="preserve"> </w:t>
      </w:r>
      <w:r>
        <w:t>Teófilo</w:t>
      </w:r>
      <w:r>
        <w:rPr>
          <w:spacing w:val="-10"/>
        </w:rPr>
        <w:t xml:space="preserve"> </w:t>
      </w:r>
      <w:r>
        <w:t>y</w:t>
      </w:r>
      <w:r>
        <w:rPr>
          <w:spacing w:val="-9"/>
        </w:rPr>
        <w:t xml:space="preserve"> </w:t>
      </w:r>
      <w:r>
        <w:t>Aponte,</w:t>
      </w:r>
      <w:r>
        <w:rPr>
          <w:spacing w:val="-10"/>
        </w:rPr>
        <w:t xml:space="preserve"> </w:t>
      </w:r>
      <w:r>
        <w:t>Andrés.</w:t>
      </w:r>
      <w:r>
        <w:rPr>
          <w:spacing w:val="-10"/>
        </w:rPr>
        <w:t xml:space="preserve"> </w:t>
      </w:r>
      <w:r>
        <w:t>«Acercamiento</w:t>
      </w:r>
      <w:r>
        <w:rPr>
          <w:spacing w:val="-10"/>
        </w:rPr>
        <w:t xml:space="preserve"> </w:t>
      </w:r>
      <w:r>
        <w:t>a</w:t>
      </w:r>
      <w:r>
        <w:rPr>
          <w:spacing w:val="-11"/>
        </w:rPr>
        <w:t xml:space="preserve"> </w:t>
      </w:r>
      <w:r>
        <w:t>la</w:t>
      </w:r>
      <w:r>
        <w:rPr>
          <w:spacing w:val="-11"/>
        </w:rPr>
        <w:t xml:space="preserve"> </w:t>
      </w:r>
      <w:r>
        <w:t>evolución</w:t>
      </w:r>
      <w:r>
        <w:rPr>
          <w:spacing w:val="-10"/>
        </w:rPr>
        <w:t xml:space="preserve"> </w:t>
      </w:r>
      <w:r>
        <w:t>territorial</w:t>
      </w:r>
      <w:r>
        <w:rPr>
          <w:spacing w:val="-10"/>
        </w:rPr>
        <w:t xml:space="preserve"> </w:t>
      </w:r>
      <w:r>
        <w:t>de los</w:t>
      </w:r>
      <w:r>
        <w:rPr>
          <w:spacing w:val="-5"/>
        </w:rPr>
        <w:t xml:space="preserve"> </w:t>
      </w:r>
      <w:r>
        <w:t>actores</w:t>
      </w:r>
      <w:r>
        <w:rPr>
          <w:spacing w:val="-4"/>
        </w:rPr>
        <w:t xml:space="preserve"> </w:t>
      </w:r>
      <w:r>
        <w:t>armados:</w:t>
      </w:r>
      <w:r>
        <w:rPr>
          <w:spacing w:val="-5"/>
        </w:rPr>
        <w:t xml:space="preserve"> </w:t>
      </w:r>
      <w:r>
        <w:t>sugerencias</w:t>
      </w:r>
      <w:r>
        <w:rPr>
          <w:spacing w:val="-5"/>
        </w:rPr>
        <w:t xml:space="preserve"> </w:t>
      </w:r>
      <w:r>
        <w:t>para</w:t>
      </w:r>
      <w:r>
        <w:rPr>
          <w:spacing w:val="-5"/>
        </w:rPr>
        <w:t xml:space="preserve"> </w:t>
      </w:r>
      <w:r>
        <w:t>la</w:t>
      </w:r>
      <w:r>
        <w:rPr>
          <w:spacing w:val="-4"/>
        </w:rPr>
        <w:t xml:space="preserve"> </w:t>
      </w:r>
      <w:r>
        <w:t>construcción</w:t>
      </w:r>
      <w:r>
        <w:rPr>
          <w:spacing w:val="-4"/>
        </w:rPr>
        <w:t xml:space="preserve"> </w:t>
      </w:r>
      <w:r>
        <w:t>de</w:t>
      </w:r>
      <w:r>
        <w:rPr>
          <w:spacing w:val="-5"/>
        </w:rPr>
        <w:t xml:space="preserve"> </w:t>
      </w:r>
      <w:r>
        <w:t>la</w:t>
      </w:r>
      <w:r>
        <w:rPr>
          <w:spacing w:val="-5"/>
        </w:rPr>
        <w:t xml:space="preserve"> </w:t>
      </w:r>
      <w:r>
        <w:t>paz</w:t>
      </w:r>
      <w:r>
        <w:rPr>
          <w:spacing w:val="-5"/>
        </w:rPr>
        <w:t xml:space="preserve"> </w:t>
      </w:r>
      <w:r>
        <w:t>territorial».</w:t>
      </w:r>
      <w:r>
        <w:rPr>
          <w:spacing w:val="-5"/>
        </w:rPr>
        <w:t xml:space="preserve"> </w:t>
      </w:r>
      <w:r>
        <w:t>En</w:t>
      </w:r>
      <w:r>
        <w:rPr>
          <w:spacing w:val="-4"/>
        </w:rPr>
        <w:t xml:space="preserve"> </w:t>
      </w:r>
      <w:r>
        <w:t>La</w:t>
      </w:r>
      <w:r>
        <w:rPr>
          <w:spacing w:val="-5"/>
        </w:rPr>
        <w:t xml:space="preserve"> </w:t>
      </w:r>
      <w:r>
        <w:t>paz</w:t>
      </w:r>
      <w:r>
        <w:rPr>
          <w:spacing w:val="-4"/>
        </w:rPr>
        <w:t xml:space="preserve"> </w:t>
      </w:r>
      <w:r>
        <w:t>en</w:t>
      </w:r>
      <w:r>
        <w:rPr>
          <w:spacing w:val="-4"/>
        </w:rPr>
        <w:t xml:space="preserve"> </w:t>
      </w:r>
      <w:r>
        <w:t>el territorio:</w:t>
      </w:r>
      <w:r>
        <w:rPr>
          <w:spacing w:val="-13"/>
        </w:rPr>
        <w:t xml:space="preserve"> </w:t>
      </w:r>
      <w:r>
        <w:t>poder</w:t>
      </w:r>
      <w:r>
        <w:rPr>
          <w:spacing w:val="-13"/>
        </w:rPr>
        <w:t xml:space="preserve"> </w:t>
      </w:r>
      <w:r>
        <w:t>local</w:t>
      </w:r>
      <w:r>
        <w:rPr>
          <w:spacing w:val="-13"/>
        </w:rPr>
        <w:t xml:space="preserve"> </w:t>
      </w:r>
      <w:r>
        <w:t>y</w:t>
      </w:r>
      <w:r>
        <w:rPr>
          <w:spacing w:val="-12"/>
        </w:rPr>
        <w:t xml:space="preserve"> </w:t>
      </w:r>
      <w:r>
        <w:t>posconflicto</w:t>
      </w:r>
      <w:r>
        <w:rPr>
          <w:spacing w:val="-12"/>
        </w:rPr>
        <w:t xml:space="preserve"> </w:t>
      </w:r>
      <w:r>
        <w:t>en</w:t>
      </w:r>
      <w:r>
        <w:rPr>
          <w:spacing w:val="-12"/>
        </w:rPr>
        <w:t xml:space="preserve"> </w:t>
      </w:r>
      <w:r>
        <w:t>Colombia,</w:t>
      </w:r>
      <w:r>
        <w:rPr>
          <w:spacing w:val="-13"/>
        </w:rPr>
        <w:t xml:space="preserve"> </w:t>
      </w:r>
      <w:r>
        <w:t>ed.</w:t>
      </w:r>
      <w:r>
        <w:rPr>
          <w:spacing w:val="-13"/>
        </w:rPr>
        <w:t xml:space="preserve"> </w:t>
      </w:r>
      <w:r>
        <w:t>por</w:t>
      </w:r>
      <w:r>
        <w:rPr>
          <w:spacing w:val="-13"/>
        </w:rPr>
        <w:t xml:space="preserve"> </w:t>
      </w:r>
      <w:r>
        <w:t>Marcos</w:t>
      </w:r>
      <w:r>
        <w:rPr>
          <w:spacing w:val="-13"/>
        </w:rPr>
        <w:t xml:space="preserve"> </w:t>
      </w:r>
      <w:r>
        <w:t>Criado</w:t>
      </w:r>
      <w:r>
        <w:rPr>
          <w:spacing w:val="-12"/>
        </w:rPr>
        <w:t xml:space="preserve"> </w:t>
      </w:r>
      <w:r>
        <w:t>de</w:t>
      </w:r>
      <w:r>
        <w:rPr>
          <w:spacing w:val="-13"/>
        </w:rPr>
        <w:t xml:space="preserve"> </w:t>
      </w:r>
      <w:r>
        <w:t>Diego,</w:t>
      </w:r>
      <w:r>
        <w:rPr>
          <w:spacing w:val="-13"/>
        </w:rPr>
        <w:t xml:space="preserve"> </w:t>
      </w:r>
      <w:r>
        <w:t>69-148. Bogotá: Universidad Externado de Colombia, 2017.</w:t>
      </w:r>
    </w:p>
    <w:p w:rsidR="0011361F" w:rsidRDefault="00AF18A5" w:rsidP="007178A6">
      <w:r>
        <w:lastRenderedPageBreak/>
        <w:t>Gutiérrez</w:t>
      </w:r>
      <w:r>
        <w:rPr>
          <w:spacing w:val="-9"/>
        </w:rPr>
        <w:t xml:space="preserve"> </w:t>
      </w:r>
      <w:r>
        <w:t>Sanín,</w:t>
      </w:r>
      <w:r>
        <w:rPr>
          <w:spacing w:val="-7"/>
        </w:rPr>
        <w:t xml:space="preserve"> </w:t>
      </w:r>
      <w:r>
        <w:t>Francisco.</w:t>
      </w:r>
      <w:r>
        <w:rPr>
          <w:spacing w:val="-8"/>
        </w:rPr>
        <w:t xml:space="preserve"> </w:t>
      </w:r>
      <w:r>
        <w:t>¿Un</w:t>
      </w:r>
      <w:r>
        <w:rPr>
          <w:spacing w:val="-7"/>
        </w:rPr>
        <w:t xml:space="preserve"> </w:t>
      </w:r>
      <w:r>
        <w:t>nuevo</w:t>
      </w:r>
      <w:r>
        <w:rPr>
          <w:spacing w:val="-8"/>
        </w:rPr>
        <w:t xml:space="preserve"> </w:t>
      </w:r>
      <w:r>
        <w:t>ciclo</w:t>
      </w:r>
      <w:r>
        <w:rPr>
          <w:spacing w:val="-7"/>
        </w:rPr>
        <w:t xml:space="preserve"> </w:t>
      </w:r>
      <w:r>
        <w:t>de</w:t>
      </w:r>
      <w:r>
        <w:rPr>
          <w:spacing w:val="-9"/>
        </w:rPr>
        <w:t xml:space="preserve"> </w:t>
      </w:r>
      <w:r>
        <w:t>la</w:t>
      </w:r>
      <w:r>
        <w:rPr>
          <w:spacing w:val="-8"/>
        </w:rPr>
        <w:t xml:space="preserve"> </w:t>
      </w:r>
      <w:r>
        <w:t>guerra</w:t>
      </w:r>
      <w:r>
        <w:rPr>
          <w:spacing w:val="-9"/>
        </w:rPr>
        <w:t xml:space="preserve"> </w:t>
      </w:r>
      <w:r>
        <w:t>en</w:t>
      </w:r>
      <w:r>
        <w:rPr>
          <w:spacing w:val="-7"/>
        </w:rPr>
        <w:t xml:space="preserve"> </w:t>
      </w:r>
      <w:r>
        <w:t>Colombia?</w:t>
      </w:r>
      <w:r>
        <w:rPr>
          <w:spacing w:val="-8"/>
        </w:rPr>
        <w:t xml:space="preserve"> </w:t>
      </w:r>
      <w:r>
        <w:t>Bogotá,</w:t>
      </w:r>
      <w:r>
        <w:rPr>
          <w:spacing w:val="-8"/>
        </w:rPr>
        <w:t xml:space="preserve"> </w:t>
      </w:r>
      <w:r>
        <w:t>Debate,</w:t>
      </w:r>
      <w:r>
        <w:rPr>
          <w:spacing w:val="-7"/>
        </w:rPr>
        <w:t xml:space="preserve"> </w:t>
      </w:r>
      <w:r>
        <w:rPr>
          <w:spacing w:val="-2"/>
        </w:rPr>
        <w:t>2020.</w:t>
      </w:r>
    </w:p>
    <w:p w:rsidR="003804AC" w:rsidRDefault="00AF18A5" w:rsidP="007178A6">
      <w:r>
        <w:t>Informe 25-OI-628e9e066af2982b77e41f42. CEV. «Las heridas de las FARC-EP. Graves violaciones</w:t>
      </w:r>
      <w:r>
        <w:rPr>
          <w:spacing w:val="-11"/>
        </w:rPr>
        <w:t xml:space="preserve"> </w:t>
      </w:r>
      <w:r>
        <w:t>a</w:t>
      </w:r>
      <w:r>
        <w:rPr>
          <w:spacing w:val="-12"/>
        </w:rPr>
        <w:t xml:space="preserve"> </w:t>
      </w:r>
      <w:r>
        <w:t>los</w:t>
      </w:r>
      <w:r>
        <w:rPr>
          <w:spacing w:val="-11"/>
        </w:rPr>
        <w:t xml:space="preserve"> </w:t>
      </w:r>
      <w:r>
        <w:t>derechos</w:t>
      </w:r>
      <w:r>
        <w:rPr>
          <w:spacing w:val="-11"/>
        </w:rPr>
        <w:t xml:space="preserve"> </w:t>
      </w:r>
      <w:r>
        <w:t>humanos</w:t>
      </w:r>
      <w:r>
        <w:rPr>
          <w:spacing w:val="-11"/>
        </w:rPr>
        <w:t xml:space="preserve"> </w:t>
      </w:r>
      <w:r>
        <w:t>e</w:t>
      </w:r>
      <w:r>
        <w:rPr>
          <w:spacing w:val="-11"/>
        </w:rPr>
        <w:t xml:space="preserve"> </w:t>
      </w:r>
      <w:r>
        <w:t>infracciones</w:t>
      </w:r>
      <w:r>
        <w:rPr>
          <w:spacing w:val="-11"/>
        </w:rPr>
        <w:t xml:space="preserve"> </w:t>
      </w:r>
      <w:r>
        <w:t>al</w:t>
      </w:r>
      <w:r>
        <w:rPr>
          <w:spacing w:val="-9"/>
        </w:rPr>
        <w:t xml:space="preserve"> </w:t>
      </w:r>
      <w:r>
        <w:t>derecho</w:t>
      </w:r>
      <w:r>
        <w:rPr>
          <w:spacing w:val="-10"/>
        </w:rPr>
        <w:t xml:space="preserve"> </w:t>
      </w:r>
      <w:r>
        <w:t>internacional</w:t>
      </w:r>
      <w:r>
        <w:rPr>
          <w:spacing w:val="-10"/>
        </w:rPr>
        <w:t xml:space="preserve"> </w:t>
      </w:r>
      <w:r>
        <w:t>humanitario</w:t>
      </w:r>
      <w:r>
        <w:rPr>
          <w:spacing w:val="-10"/>
        </w:rPr>
        <w:t xml:space="preserve"> </w:t>
      </w:r>
      <w:r>
        <w:t>por parte de las FARC-EP en el marco del conflicto armado no internacional colombiano» . Módulo de Captura, Comisión para el Esclarecimiento de la Verdad, la Convivencia y la No Repetición. 2022.</w:t>
      </w:r>
    </w:p>
    <w:p w:rsidR="003804AC" w:rsidRDefault="00AF18A5" w:rsidP="007178A6">
      <w:r>
        <w:t xml:space="preserve">Informe 365-CI-00993. Red </w:t>
      </w:r>
      <w:proofErr w:type="spellStart"/>
      <w:r>
        <w:t>Compaz</w:t>
      </w:r>
      <w:proofErr w:type="spellEnd"/>
      <w:r>
        <w:t>. «</w:t>
      </w:r>
      <w:proofErr w:type="spellStart"/>
      <w:r>
        <w:t>Lxs</w:t>
      </w:r>
      <w:proofErr w:type="spellEnd"/>
      <w:r>
        <w:t xml:space="preserve"> nadie: memorias juveniles del conflicto armado en San Vicente</w:t>
      </w:r>
      <w:r>
        <w:rPr>
          <w:spacing w:val="-7"/>
        </w:rPr>
        <w:t xml:space="preserve"> </w:t>
      </w:r>
      <w:r>
        <w:t>del</w:t>
      </w:r>
      <w:r>
        <w:rPr>
          <w:spacing w:val="-6"/>
        </w:rPr>
        <w:t xml:space="preserve"> </w:t>
      </w:r>
      <w:r>
        <w:t>Caguán</w:t>
      </w:r>
      <w:r>
        <w:rPr>
          <w:spacing w:val="-6"/>
        </w:rPr>
        <w:t xml:space="preserve"> </w:t>
      </w:r>
      <w:r>
        <w:t>1998-2013».</w:t>
      </w:r>
      <w:r>
        <w:rPr>
          <w:spacing w:val="-7"/>
        </w:rPr>
        <w:t xml:space="preserve"> </w:t>
      </w:r>
      <w:r>
        <w:t>Módulo</w:t>
      </w:r>
      <w:r>
        <w:rPr>
          <w:spacing w:val="-6"/>
        </w:rPr>
        <w:t xml:space="preserve"> </w:t>
      </w:r>
      <w:r>
        <w:t>de</w:t>
      </w:r>
      <w:r>
        <w:rPr>
          <w:spacing w:val="-7"/>
        </w:rPr>
        <w:t xml:space="preserve"> </w:t>
      </w:r>
      <w:r>
        <w:t>Captura,</w:t>
      </w:r>
      <w:r>
        <w:rPr>
          <w:spacing w:val="-7"/>
        </w:rPr>
        <w:t xml:space="preserve"> </w:t>
      </w:r>
      <w:r>
        <w:t>Comisión</w:t>
      </w:r>
      <w:r>
        <w:rPr>
          <w:spacing w:val="-6"/>
        </w:rPr>
        <w:t xml:space="preserve"> </w:t>
      </w:r>
      <w:r>
        <w:t>para</w:t>
      </w:r>
      <w:r>
        <w:rPr>
          <w:spacing w:val="-7"/>
        </w:rPr>
        <w:t xml:space="preserve"> </w:t>
      </w:r>
      <w:r>
        <w:t>el</w:t>
      </w:r>
      <w:r>
        <w:rPr>
          <w:spacing w:val="-7"/>
        </w:rPr>
        <w:t xml:space="preserve"> </w:t>
      </w:r>
      <w:r>
        <w:t>Esclarecimiento</w:t>
      </w:r>
      <w:r>
        <w:rPr>
          <w:spacing w:val="-6"/>
        </w:rPr>
        <w:t xml:space="preserve"> </w:t>
      </w:r>
      <w:r>
        <w:t>de la Verdad, la Convivencia y la No Repetición. 2021.</w:t>
      </w:r>
    </w:p>
    <w:p w:rsidR="003804AC" w:rsidRDefault="00AF18A5" w:rsidP="007178A6">
      <w:r>
        <w:t xml:space="preserve">Informe 365-CI-01187. Programa Somos Defensores. «Entre la paz y la </w:t>
      </w:r>
      <w:proofErr w:type="gramStart"/>
      <w:r>
        <w:t>guerra:.</w:t>
      </w:r>
      <w:proofErr w:type="gramEnd"/>
      <w:r>
        <w:t xml:space="preserve"> agresiones contra líderes y lideresas comunales en Colombia». Módulo de Captura, Comisión para el Esclarecimiento de la Verdad, la Convivencia y la No Repetición.2019.</w:t>
      </w:r>
    </w:p>
    <w:p w:rsidR="003804AC" w:rsidRDefault="00AF18A5" w:rsidP="007178A6">
      <w:r>
        <w:t>Informe</w:t>
      </w:r>
      <w:r>
        <w:rPr>
          <w:spacing w:val="-9"/>
        </w:rPr>
        <w:t xml:space="preserve"> </w:t>
      </w:r>
      <w:r>
        <w:t>365-CI-01570.</w:t>
      </w:r>
      <w:r>
        <w:rPr>
          <w:spacing w:val="-10"/>
        </w:rPr>
        <w:t xml:space="preserve"> </w:t>
      </w:r>
      <w:r>
        <w:t>Universidad</w:t>
      </w:r>
      <w:r>
        <w:rPr>
          <w:spacing w:val="-8"/>
        </w:rPr>
        <w:t xml:space="preserve"> </w:t>
      </w:r>
      <w:r>
        <w:t>EAFIT.</w:t>
      </w:r>
      <w:r>
        <w:rPr>
          <w:spacing w:val="-9"/>
        </w:rPr>
        <w:t xml:space="preserve"> </w:t>
      </w:r>
      <w:r>
        <w:t>«Empresa</w:t>
      </w:r>
      <w:r>
        <w:rPr>
          <w:spacing w:val="-9"/>
        </w:rPr>
        <w:t xml:space="preserve"> </w:t>
      </w:r>
      <w:r>
        <w:t>y</w:t>
      </w:r>
      <w:r>
        <w:rPr>
          <w:spacing w:val="-8"/>
        </w:rPr>
        <w:t xml:space="preserve"> </w:t>
      </w:r>
      <w:r>
        <w:t>conflicto</w:t>
      </w:r>
      <w:r>
        <w:rPr>
          <w:spacing w:val="-11"/>
        </w:rPr>
        <w:t xml:space="preserve"> </w:t>
      </w:r>
      <w:r>
        <w:t>armado</w:t>
      </w:r>
      <w:r>
        <w:rPr>
          <w:spacing w:val="-8"/>
        </w:rPr>
        <w:t xml:space="preserve"> </w:t>
      </w:r>
      <w:r>
        <w:t>en</w:t>
      </w:r>
      <w:r>
        <w:rPr>
          <w:spacing w:val="-8"/>
        </w:rPr>
        <w:t xml:space="preserve"> </w:t>
      </w:r>
      <w:r>
        <w:t>Colombia,</w:t>
      </w:r>
      <w:r>
        <w:rPr>
          <w:spacing w:val="-9"/>
        </w:rPr>
        <w:t xml:space="preserve"> </w:t>
      </w:r>
      <w:r>
        <w:t>1980-2016: victimización silenciosa y reacciones adaptativas». Módulo de Captura, Comisión para el Esclarecimiento de la Verdad, la Convivencia y la No Repetición. 2021.</w:t>
      </w:r>
    </w:p>
    <w:p w:rsidR="003804AC" w:rsidRDefault="00AF18A5" w:rsidP="007178A6">
      <w:r>
        <w:t xml:space="preserve">Informe 748-CI-00644. Colectivo por la Recuperación de la Memoria de ¡A </w:t>
      </w:r>
      <w:proofErr w:type="gramStart"/>
      <w:r>
        <w:t>Luchar!.</w:t>
      </w:r>
      <w:proofErr w:type="gramEnd"/>
      <w:r>
        <w:t xml:space="preserve"> «Esta generación está en peligro: experiencia y genocidio». Módulo de Captura, Comisión para el Esclarecimiento de la Verdad, la Convivencia y la No Repetición. 2020.</w:t>
      </w:r>
    </w:p>
    <w:p w:rsidR="003804AC" w:rsidRDefault="00AF18A5" w:rsidP="007178A6">
      <w:r>
        <w:t>Informe</w:t>
      </w:r>
      <w:r>
        <w:rPr>
          <w:spacing w:val="31"/>
        </w:rPr>
        <w:t xml:space="preserve"> </w:t>
      </w:r>
      <w:r>
        <w:t>1180-CI-01017.</w:t>
      </w:r>
      <w:r>
        <w:rPr>
          <w:spacing w:val="31"/>
        </w:rPr>
        <w:t xml:space="preserve"> </w:t>
      </w:r>
      <w:r>
        <w:t>Asociación</w:t>
      </w:r>
      <w:r>
        <w:rPr>
          <w:spacing w:val="31"/>
        </w:rPr>
        <w:t xml:space="preserve"> </w:t>
      </w:r>
      <w:r>
        <w:t>de</w:t>
      </w:r>
      <w:r>
        <w:rPr>
          <w:spacing w:val="31"/>
        </w:rPr>
        <w:t xml:space="preserve"> </w:t>
      </w:r>
      <w:r>
        <w:t>Consejos</w:t>
      </w:r>
      <w:r>
        <w:rPr>
          <w:spacing w:val="32"/>
        </w:rPr>
        <w:t xml:space="preserve"> </w:t>
      </w:r>
      <w:r>
        <w:t>Comunitarios</w:t>
      </w:r>
      <w:r>
        <w:rPr>
          <w:spacing w:val="31"/>
        </w:rPr>
        <w:t xml:space="preserve"> </w:t>
      </w:r>
      <w:r>
        <w:t>del</w:t>
      </w:r>
      <w:r>
        <w:rPr>
          <w:spacing w:val="31"/>
        </w:rPr>
        <w:t xml:space="preserve"> </w:t>
      </w:r>
      <w:r>
        <w:lastRenderedPageBreak/>
        <w:t>Norte</w:t>
      </w:r>
      <w:r>
        <w:rPr>
          <w:spacing w:val="31"/>
        </w:rPr>
        <w:t xml:space="preserve"> </w:t>
      </w:r>
      <w:r>
        <w:t>del</w:t>
      </w:r>
      <w:r>
        <w:rPr>
          <w:spacing w:val="32"/>
        </w:rPr>
        <w:t xml:space="preserve"> </w:t>
      </w:r>
      <w:r>
        <w:t>Cauca</w:t>
      </w:r>
      <w:r>
        <w:rPr>
          <w:spacing w:val="31"/>
        </w:rPr>
        <w:t xml:space="preserve"> </w:t>
      </w:r>
      <w:r>
        <w:rPr>
          <w:spacing w:val="-2"/>
        </w:rPr>
        <w:t>(ACONC).</w:t>
      </w:r>
    </w:p>
    <w:p w:rsidR="003804AC" w:rsidRDefault="00AF18A5" w:rsidP="007178A6">
      <w:r>
        <w:t>«Memoria del conflicto y resistencia del pueblo negro y afrodescendiente del norte del Cauca». Módulo de Captura, Comisión para el Esclarecimiento de la Verdad, la Convivencia y la No Repetición. 2021.</w:t>
      </w:r>
    </w:p>
    <w:p w:rsidR="003804AC" w:rsidRDefault="00AF18A5" w:rsidP="00492773">
      <w:r>
        <w:t>Informe</w:t>
      </w:r>
      <w:r>
        <w:rPr>
          <w:spacing w:val="-9"/>
        </w:rPr>
        <w:t xml:space="preserve"> </w:t>
      </w:r>
      <w:r>
        <w:t>1000001-OI-60ef061d8fe936338aee321f.</w:t>
      </w:r>
      <w:r>
        <w:rPr>
          <w:spacing w:val="-9"/>
        </w:rPr>
        <w:t xml:space="preserve"> </w:t>
      </w:r>
      <w:r>
        <w:t>Las</w:t>
      </w:r>
      <w:r>
        <w:rPr>
          <w:spacing w:val="-8"/>
        </w:rPr>
        <w:t xml:space="preserve"> </w:t>
      </w:r>
      <w:r>
        <w:t>2</w:t>
      </w:r>
      <w:r>
        <w:rPr>
          <w:spacing w:val="-8"/>
        </w:rPr>
        <w:t xml:space="preserve"> </w:t>
      </w:r>
      <w:r>
        <w:t>Orillas.</w:t>
      </w:r>
      <w:r>
        <w:rPr>
          <w:spacing w:val="-9"/>
        </w:rPr>
        <w:t xml:space="preserve"> </w:t>
      </w:r>
      <w:r>
        <w:t>«Caso:</w:t>
      </w:r>
      <w:r>
        <w:rPr>
          <w:spacing w:val="-9"/>
        </w:rPr>
        <w:t xml:space="preserve"> </w:t>
      </w:r>
      <w:r>
        <w:t>la</w:t>
      </w:r>
      <w:r>
        <w:rPr>
          <w:spacing w:val="-8"/>
        </w:rPr>
        <w:t xml:space="preserve"> </w:t>
      </w:r>
      <w:r>
        <w:t>purga</w:t>
      </w:r>
      <w:r>
        <w:rPr>
          <w:spacing w:val="-9"/>
        </w:rPr>
        <w:t xml:space="preserve"> </w:t>
      </w:r>
      <w:r>
        <w:t>de</w:t>
      </w:r>
      <w:r>
        <w:rPr>
          <w:spacing w:val="-8"/>
        </w:rPr>
        <w:t xml:space="preserve"> </w:t>
      </w:r>
      <w:r>
        <w:t>Braulio</w:t>
      </w:r>
      <w:r>
        <w:rPr>
          <w:spacing w:val="-7"/>
        </w:rPr>
        <w:t xml:space="preserve"> </w:t>
      </w:r>
      <w:r>
        <w:rPr>
          <w:spacing w:val="-2"/>
        </w:rPr>
        <w:t>Herrera</w:t>
      </w:r>
      <w:r w:rsidR="00492773">
        <w:t xml:space="preserve"> </w:t>
      </w:r>
      <w:r>
        <w:t>/</w:t>
      </w:r>
      <w:r>
        <w:rPr>
          <w:spacing w:val="-5"/>
        </w:rPr>
        <w:t xml:space="preserve"> </w:t>
      </w:r>
      <w:r>
        <w:t>Frente</w:t>
      </w:r>
      <w:r>
        <w:rPr>
          <w:spacing w:val="-6"/>
        </w:rPr>
        <w:t xml:space="preserve"> </w:t>
      </w:r>
      <w:r>
        <w:t>11</w:t>
      </w:r>
      <w:r>
        <w:rPr>
          <w:spacing w:val="-5"/>
        </w:rPr>
        <w:t xml:space="preserve"> </w:t>
      </w:r>
      <w:r>
        <w:t>Santander</w:t>
      </w:r>
      <w:r>
        <w:rPr>
          <w:spacing w:val="-6"/>
        </w:rPr>
        <w:t xml:space="preserve"> </w:t>
      </w:r>
      <w:r>
        <w:t>del</w:t>
      </w:r>
      <w:r>
        <w:rPr>
          <w:spacing w:val="-7"/>
        </w:rPr>
        <w:t xml:space="preserve"> </w:t>
      </w:r>
      <w:r>
        <w:t>sur».</w:t>
      </w:r>
      <w:r>
        <w:rPr>
          <w:spacing w:val="-5"/>
        </w:rPr>
        <w:t xml:space="preserve"> </w:t>
      </w:r>
      <w:r>
        <w:t>Módulo</w:t>
      </w:r>
      <w:r>
        <w:rPr>
          <w:spacing w:val="-6"/>
        </w:rPr>
        <w:t xml:space="preserve"> </w:t>
      </w:r>
      <w:r>
        <w:t>de</w:t>
      </w:r>
      <w:r>
        <w:rPr>
          <w:spacing w:val="-6"/>
        </w:rPr>
        <w:t xml:space="preserve"> </w:t>
      </w:r>
      <w:r>
        <w:t>Captura,</w:t>
      </w:r>
      <w:r>
        <w:rPr>
          <w:spacing w:val="-5"/>
        </w:rPr>
        <w:t xml:space="preserve"> </w:t>
      </w:r>
      <w:r>
        <w:t>Comisión</w:t>
      </w:r>
      <w:r>
        <w:rPr>
          <w:spacing w:val="-5"/>
        </w:rPr>
        <w:t xml:space="preserve"> </w:t>
      </w:r>
      <w:r>
        <w:t>para</w:t>
      </w:r>
      <w:r>
        <w:rPr>
          <w:spacing w:val="-6"/>
        </w:rPr>
        <w:t xml:space="preserve"> </w:t>
      </w:r>
      <w:r>
        <w:t>el</w:t>
      </w:r>
      <w:r>
        <w:rPr>
          <w:spacing w:val="-6"/>
        </w:rPr>
        <w:t xml:space="preserve"> </w:t>
      </w:r>
      <w:r>
        <w:t>Esclarecimiento</w:t>
      </w:r>
      <w:r>
        <w:rPr>
          <w:spacing w:val="-5"/>
        </w:rPr>
        <w:t xml:space="preserve"> </w:t>
      </w:r>
      <w:r>
        <w:t>de</w:t>
      </w:r>
      <w:r>
        <w:rPr>
          <w:spacing w:val="-7"/>
        </w:rPr>
        <w:t xml:space="preserve"> </w:t>
      </w:r>
      <w:r>
        <w:t>la Verdad, la Convivencia y la No Repetición. 2019.</w:t>
      </w:r>
    </w:p>
    <w:p w:rsidR="003804AC" w:rsidRDefault="00AF18A5" w:rsidP="00492773">
      <w:r>
        <w:t xml:space="preserve">Jurisdicción Especial para la Paz (JEP). Auto 029 de 2019. </w:t>
      </w:r>
      <w:proofErr w:type="spellStart"/>
      <w:r>
        <w:t>N.°</w:t>
      </w:r>
      <w:proofErr w:type="spellEnd"/>
      <w:r>
        <w:t xml:space="preserve"> de radicado 20193230060093. 1 de marzo</w:t>
      </w:r>
      <w:r>
        <w:tab/>
      </w:r>
      <w:r>
        <w:rPr>
          <w:spacing w:val="-6"/>
        </w:rPr>
        <w:t>de</w:t>
      </w:r>
      <w:r>
        <w:tab/>
        <w:t>2019.</w:t>
      </w:r>
      <w:r>
        <w:tab/>
        <w:t>Recuperado</w:t>
      </w:r>
      <w:r>
        <w:tab/>
      </w:r>
      <w:r>
        <w:rPr>
          <w:spacing w:val="-4"/>
        </w:rPr>
        <w:t xml:space="preserve">de: </w:t>
      </w:r>
      <w:r w:rsidR="0046707C" w:rsidRPr="00492773">
        <w:rPr>
          <w:spacing w:val="-2"/>
          <w:sz w:val="22"/>
        </w:rPr>
        <w:t>https://jurinfo.jep.gov.co/normograma/compilacion/docs/pdf/Auto_SRVR-029_01-marzo-</w:t>
      </w:r>
      <w:r>
        <w:t xml:space="preserve"> </w:t>
      </w:r>
      <w:hyperlink r:id="rId34">
        <w:r>
          <w:t>2019.pdf.</w:t>
        </w:r>
      </w:hyperlink>
    </w:p>
    <w:p w:rsidR="003804AC" w:rsidRDefault="00AF18A5" w:rsidP="00492773">
      <w:r>
        <w:t>La</w:t>
      </w:r>
      <w:r>
        <w:rPr>
          <w:spacing w:val="-12"/>
        </w:rPr>
        <w:t xml:space="preserve"> </w:t>
      </w:r>
      <w:r>
        <w:t>Opinión,</w:t>
      </w:r>
      <w:r>
        <w:rPr>
          <w:spacing w:val="-13"/>
        </w:rPr>
        <w:t xml:space="preserve"> </w:t>
      </w:r>
      <w:r>
        <w:t>«Ecos</w:t>
      </w:r>
      <w:r>
        <w:rPr>
          <w:spacing w:val="-12"/>
        </w:rPr>
        <w:t xml:space="preserve"> </w:t>
      </w:r>
      <w:r>
        <w:t>del</w:t>
      </w:r>
      <w:r>
        <w:rPr>
          <w:spacing w:val="-12"/>
        </w:rPr>
        <w:t xml:space="preserve"> </w:t>
      </w:r>
      <w:r>
        <w:t>paro</w:t>
      </w:r>
      <w:r>
        <w:rPr>
          <w:spacing w:val="-12"/>
        </w:rPr>
        <w:t xml:space="preserve"> </w:t>
      </w:r>
      <w:r>
        <w:t>del</w:t>
      </w:r>
      <w:r>
        <w:rPr>
          <w:spacing w:val="-12"/>
        </w:rPr>
        <w:t xml:space="preserve"> </w:t>
      </w:r>
      <w:r>
        <w:t>nororiente».</w:t>
      </w:r>
      <w:r>
        <w:rPr>
          <w:spacing w:val="-12"/>
        </w:rPr>
        <w:t xml:space="preserve"> </w:t>
      </w:r>
      <w:r>
        <w:t>19</w:t>
      </w:r>
      <w:r>
        <w:rPr>
          <w:spacing w:val="-11"/>
        </w:rPr>
        <w:t xml:space="preserve"> </w:t>
      </w:r>
      <w:r>
        <w:t>de</w:t>
      </w:r>
      <w:r>
        <w:rPr>
          <w:spacing w:val="-13"/>
        </w:rPr>
        <w:t xml:space="preserve"> </w:t>
      </w:r>
      <w:r>
        <w:t>septiembre</w:t>
      </w:r>
      <w:r>
        <w:rPr>
          <w:spacing w:val="-12"/>
        </w:rPr>
        <w:t xml:space="preserve"> </w:t>
      </w:r>
      <w:r>
        <w:t>de</w:t>
      </w:r>
      <w:r>
        <w:rPr>
          <w:spacing w:val="-12"/>
        </w:rPr>
        <w:t xml:space="preserve"> </w:t>
      </w:r>
      <w:r>
        <w:t>2012.</w:t>
      </w:r>
      <w:r>
        <w:rPr>
          <w:spacing w:val="-12"/>
        </w:rPr>
        <w:t xml:space="preserve"> </w:t>
      </w:r>
      <w:r>
        <w:t>Acceso</w:t>
      </w:r>
      <w:r>
        <w:rPr>
          <w:spacing w:val="-11"/>
        </w:rPr>
        <w:t xml:space="preserve"> </w:t>
      </w:r>
      <w:r>
        <w:t>el</w:t>
      </w:r>
      <w:r>
        <w:rPr>
          <w:spacing w:val="-12"/>
        </w:rPr>
        <w:t xml:space="preserve"> </w:t>
      </w:r>
      <w:r>
        <w:t>22</w:t>
      </w:r>
      <w:r>
        <w:rPr>
          <w:spacing w:val="-11"/>
        </w:rPr>
        <w:t xml:space="preserve"> </w:t>
      </w:r>
      <w:r>
        <w:t>de</w:t>
      </w:r>
      <w:r>
        <w:rPr>
          <w:spacing w:val="-12"/>
        </w:rPr>
        <w:t xml:space="preserve"> </w:t>
      </w:r>
      <w:r>
        <w:t>junio</w:t>
      </w:r>
      <w:r>
        <w:rPr>
          <w:spacing w:val="-12"/>
        </w:rPr>
        <w:t xml:space="preserve"> </w:t>
      </w:r>
      <w:r>
        <w:t>de</w:t>
      </w:r>
      <w:r>
        <w:rPr>
          <w:spacing w:val="-13"/>
        </w:rPr>
        <w:t xml:space="preserve"> </w:t>
      </w:r>
      <w:r>
        <w:t xml:space="preserve">2022. </w:t>
      </w:r>
      <w:hyperlink r:id="rId35">
        <w:r>
          <w:rPr>
            <w:spacing w:val="-2"/>
          </w:rPr>
          <w:t>https://www.laopinion.com.co/ecos-del-paro-del-nororiente.</w:t>
        </w:r>
      </w:hyperlink>
    </w:p>
    <w:p w:rsidR="003804AC" w:rsidRDefault="00AF18A5" w:rsidP="00492773">
      <w:r>
        <w:t xml:space="preserve">Ministerio de Defensa Nacional. «Política de Defensa y Seguridad (PDS): Para la legalidad, el emprendimiento y la equidad». 2019. Acceso el 21 de junio de 2022. </w:t>
      </w:r>
      <w:hyperlink r:id="rId36">
        <w:r>
          <w:rPr>
            <w:spacing w:val="-2"/>
          </w:rPr>
          <w:t>https://www.mindefensa.gov.co/irj/go/km/docs/Mindefensa/Documentos/descargas/Prensa</w:t>
        </w:r>
      </w:hyperlink>
      <w:hyperlink r:id="rId37">
        <w:r>
          <w:rPr>
            <w:spacing w:val="-2"/>
            <w:sz w:val="22"/>
          </w:rPr>
          <w:t>/Documentos/politica_defensa_deguridad2019.pdf.</w:t>
        </w:r>
      </w:hyperlink>
    </w:p>
    <w:p w:rsidR="003804AC" w:rsidRDefault="00AF18A5" w:rsidP="00492773">
      <w:r>
        <w:t>Noriega, Carlos Augusto. Fraude en la elección de Pastrana Borrero. Bogotá: Oveja Negra, 1998. Ocampo,</w:t>
      </w:r>
      <w:r>
        <w:rPr>
          <w:spacing w:val="30"/>
        </w:rPr>
        <w:t xml:space="preserve"> </w:t>
      </w:r>
      <w:r>
        <w:t>Gloria</w:t>
      </w:r>
      <w:r>
        <w:rPr>
          <w:spacing w:val="29"/>
        </w:rPr>
        <w:t xml:space="preserve"> </w:t>
      </w:r>
      <w:r>
        <w:t>Isabel.</w:t>
      </w:r>
      <w:r>
        <w:rPr>
          <w:spacing w:val="31"/>
        </w:rPr>
        <w:t xml:space="preserve"> </w:t>
      </w:r>
      <w:r>
        <w:t>La</w:t>
      </w:r>
      <w:r>
        <w:rPr>
          <w:spacing w:val="31"/>
        </w:rPr>
        <w:t xml:space="preserve"> </w:t>
      </w:r>
      <w:r>
        <w:t>instauración</w:t>
      </w:r>
      <w:r>
        <w:rPr>
          <w:spacing w:val="30"/>
        </w:rPr>
        <w:t xml:space="preserve"> </w:t>
      </w:r>
      <w:r>
        <w:t>de</w:t>
      </w:r>
      <w:r>
        <w:rPr>
          <w:spacing w:val="29"/>
        </w:rPr>
        <w:t xml:space="preserve"> </w:t>
      </w:r>
      <w:r>
        <w:t>la</w:t>
      </w:r>
      <w:r>
        <w:rPr>
          <w:spacing w:val="29"/>
        </w:rPr>
        <w:t xml:space="preserve"> </w:t>
      </w:r>
      <w:r>
        <w:t>ganadería</w:t>
      </w:r>
      <w:r>
        <w:rPr>
          <w:spacing w:val="29"/>
        </w:rPr>
        <w:t xml:space="preserve"> </w:t>
      </w:r>
      <w:r>
        <w:t>en</w:t>
      </w:r>
      <w:r>
        <w:rPr>
          <w:spacing w:val="32"/>
        </w:rPr>
        <w:t xml:space="preserve"> </w:t>
      </w:r>
      <w:r>
        <w:t>el</w:t>
      </w:r>
      <w:r>
        <w:rPr>
          <w:spacing w:val="31"/>
        </w:rPr>
        <w:t xml:space="preserve"> </w:t>
      </w:r>
      <w:r>
        <w:t>valle</w:t>
      </w:r>
      <w:r>
        <w:rPr>
          <w:spacing w:val="29"/>
        </w:rPr>
        <w:t xml:space="preserve"> </w:t>
      </w:r>
      <w:r>
        <w:t>del</w:t>
      </w:r>
      <w:r>
        <w:rPr>
          <w:spacing w:val="30"/>
        </w:rPr>
        <w:t xml:space="preserve"> </w:t>
      </w:r>
      <w:r>
        <w:t>Sinú:</w:t>
      </w:r>
      <w:r>
        <w:rPr>
          <w:spacing w:val="30"/>
        </w:rPr>
        <w:t xml:space="preserve"> </w:t>
      </w:r>
      <w:r>
        <w:t>la</w:t>
      </w:r>
      <w:r>
        <w:rPr>
          <w:spacing w:val="29"/>
        </w:rPr>
        <w:t xml:space="preserve"> </w:t>
      </w:r>
      <w:r>
        <w:t>hacienda</w:t>
      </w:r>
      <w:r>
        <w:rPr>
          <w:spacing w:val="31"/>
        </w:rPr>
        <w:t xml:space="preserve"> </w:t>
      </w:r>
      <w:r>
        <w:rPr>
          <w:spacing w:val="-2"/>
        </w:rPr>
        <w:t>Marta</w:t>
      </w:r>
    </w:p>
    <w:p w:rsidR="0011361F" w:rsidRDefault="00AF18A5" w:rsidP="00492773">
      <w:r>
        <w:t>Magdalena,</w:t>
      </w:r>
      <w:r>
        <w:rPr>
          <w:spacing w:val="-1"/>
        </w:rPr>
        <w:t xml:space="preserve"> </w:t>
      </w:r>
      <w:r>
        <w:t>1881 -</w:t>
      </w:r>
      <w:r>
        <w:rPr>
          <w:spacing w:val="-3"/>
        </w:rPr>
        <w:t xml:space="preserve"> </w:t>
      </w:r>
      <w:r>
        <w:t>1956. Medellín:</w:t>
      </w:r>
      <w:r>
        <w:rPr>
          <w:spacing w:val="-1"/>
        </w:rPr>
        <w:t xml:space="preserve"> </w:t>
      </w:r>
      <w:r>
        <w:t>Instituto Colombiano</w:t>
      </w:r>
      <w:r>
        <w:rPr>
          <w:spacing w:val="-1"/>
        </w:rPr>
        <w:t xml:space="preserve"> </w:t>
      </w:r>
      <w:r>
        <w:t>de</w:t>
      </w:r>
      <w:r>
        <w:rPr>
          <w:spacing w:val="-3"/>
        </w:rPr>
        <w:t xml:space="preserve"> </w:t>
      </w:r>
      <w:r>
        <w:t>Antropología</w:t>
      </w:r>
      <w:r>
        <w:rPr>
          <w:spacing w:val="-3"/>
        </w:rPr>
        <w:t xml:space="preserve"> </w:t>
      </w:r>
      <w:r>
        <w:t>e Historia,</w:t>
      </w:r>
      <w:r>
        <w:rPr>
          <w:spacing w:val="-1"/>
        </w:rPr>
        <w:t xml:space="preserve"> </w:t>
      </w:r>
      <w:r>
        <w:t>2007.</w:t>
      </w:r>
    </w:p>
    <w:p w:rsidR="0011361F" w:rsidRDefault="00AF18A5" w:rsidP="00492773">
      <w:r>
        <w:lastRenderedPageBreak/>
        <w:t>Ortiz,</w:t>
      </w:r>
      <w:r>
        <w:rPr>
          <w:spacing w:val="-4"/>
        </w:rPr>
        <w:t xml:space="preserve"> </w:t>
      </w:r>
      <w:r>
        <w:t>Román D.</w:t>
      </w:r>
      <w:r>
        <w:rPr>
          <w:spacing w:val="-3"/>
        </w:rPr>
        <w:t xml:space="preserve"> </w:t>
      </w:r>
      <w:r>
        <w:t>«La</w:t>
      </w:r>
      <w:r>
        <w:rPr>
          <w:spacing w:val="-4"/>
        </w:rPr>
        <w:t xml:space="preserve"> </w:t>
      </w:r>
      <w:r>
        <w:t>guerrilla</w:t>
      </w:r>
      <w:r>
        <w:rPr>
          <w:spacing w:val="-5"/>
        </w:rPr>
        <w:t xml:space="preserve"> </w:t>
      </w:r>
      <w:r>
        <w:t>mutante».</w:t>
      </w:r>
      <w:r>
        <w:rPr>
          <w:spacing w:val="-4"/>
        </w:rPr>
        <w:t xml:space="preserve"> </w:t>
      </w:r>
      <w:r>
        <w:t>En</w:t>
      </w:r>
      <w:r>
        <w:rPr>
          <w:spacing w:val="-3"/>
        </w:rPr>
        <w:t xml:space="preserve"> </w:t>
      </w:r>
      <w:r>
        <w:t>Colombia</w:t>
      </w:r>
      <w:r>
        <w:rPr>
          <w:spacing w:val="-6"/>
        </w:rPr>
        <w:t xml:space="preserve"> </w:t>
      </w:r>
      <w:r>
        <w:t>en</w:t>
      </w:r>
      <w:r>
        <w:rPr>
          <w:spacing w:val="-3"/>
        </w:rPr>
        <w:t xml:space="preserve"> </w:t>
      </w:r>
      <w:r>
        <w:t>la</w:t>
      </w:r>
      <w:r>
        <w:rPr>
          <w:spacing w:val="-4"/>
        </w:rPr>
        <w:t xml:space="preserve"> </w:t>
      </w:r>
      <w:r>
        <w:t>encrucijada,</w:t>
      </w:r>
      <w:r>
        <w:rPr>
          <w:spacing w:val="-4"/>
        </w:rPr>
        <w:t xml:space="preserve"> </w:t>
      </w:r>
      <w:r>
        <w:t>ed.</w:t>
      </w:r>
      <w:r>
        <w:rPr>
          <w:spacing w:val="-3"/>
        </w:rPr>
        <w:t xml:space="preserve"> </w:t>
      </w:r>
      <w:r>
        <w:t>por</w:t>
      </w:r>
      <w:r>
        <w:rPr>
          <w:spacing w:val="-5"/>
        </w:rPr>
        <w:t xml:space="preserve"> </w:t>
      </w:r>
      <w:r>
        <w:t>Francisco</w:t>
      </w:r>
      <w:r>
        <w:rPr>
          <w:spacing w:val="-4"/>
        </w:rPr>
        <w:t xml:space="preserve"> </w:t>
      </w:r>
      <w:r>
        <w:t xml:space="preserve">Leal, </w:t>
      </w:r>
      <w:r>
        <w:rPr>
          <w:spacing w:val="-4"/>
        </w:rPr>
        <w:t>323-</w:t>
      </w:r>
      <w:r>
        <w:t>356.</w:t>
      </w:r>
      <w:r>
        <w:rPr>
          <w:spacing w:val="-12"/>
        </w:rPr>
        <w:t xml:space="preserve"> </w:t>
      </w:r>
      <w:r>
        <w:t>Bogotá:</w:t>
      </w:r>
      <w:r>
        <w:rPr>
          <w:spacing w:val="-12"/>
        </w:rPr>
        <w:t xml:space="preserve"> </w:t>
      </w:r>
      <w:r>
        <w:t>Uniandes/Editorial</w:t>
      </w:r>
      <w:r>
        <w:rPr>
          <w:spacing w:val="-11"/>
        </w:rPr>
        <w:t xml:space="preserve"> </w:t>
      </w:r>
      <w:r>
        <w:t>Norma,</w:t>
      </w:r>
      <w:r>
        <w:rPr>
          <w:spacing w:val="-11"/>
        </w:rPr>
        <w:t xml:space="preserve"> </w:t>
      </w:r>
      <w:r>
        <w:rPr>
          <w:spacing w:val="-4"/>
        </w:rPr>
        <w:t>2006.</w:t>
      </w:r>
    </w:p>
    <w:p w:rsidR="003804AC" w:rsidRDefault="00AF18A5" w:rsidP="00492773">
      <w:r>
        <w:t>Ospina Ovalle, Carlos. Los años en que Colombia recuperó la esperanza. Medellín: Universidad Pontificia Bolivariana, 2014.</w:t>
      </w:r>
    </w:p>
    <w:p w:rsidR="003804AC" w:rsidRDefault="00AF18A5" w:rsidP="00492773">
      <w:r>
        <w:t>Peñate, Andrés. «El sendero estratégico del ELN: del idealismo guevarista al clientelismo armado». Documento</w:t>
      </w:r>
      <w:r>
        <w:rPr>
          <w:spacing w:val="-1"/>
        </w:rPr>
        <w:t xml:space="preserve"> </w:t>
      </w:r>
      <w:r>
        <w:t>de</w:t>
      </w:r>
      <w:r>
        <w:rPr>
          <w:spacing w:val="-2"/>
        </w:rPr>
        <w:t xml:space="preserve"> </w:t>
      </w:r>
      <w:r>
        <w:t>trabajo</w:t>
      </w:r>
      <w:r>
        <w:rPr>
          <w:spacing w:val="-1"/>
        </w:rPr>
        <w:t xml:space="preserve"> </w:t>
      </w:r>
      <w:proofErr w:type="spellStart"/>
      <w:r>
        <w:t>n.°</w:t>
      </w:r>
      <w:proofErr w:type="spellEnd"/>
      <w:r>
        <w:rPr>
          <w:spacing w:val="-2"/>
        </w:rPr>
        <w:t xml:space="preserve"> </w:t>
      </w:r>
      <w:r>
        <w:t>15.</w:t>
      </w:r>
      <w:r>
        <w:rPr>
          <w:spacing w:val="-2"/>
        </w:rPr>
        <w:t xml:space="preserve"> </w:t>
      </w:r>
      <w:r>
        <w:t>Paz</w:t>
      </w:r>
      <w:r>
        <w:rPr>
          <w:spacing w:val="-2"/>
        </w:rPr>
        <w:t xml:space="preserve"> </w:t>
      </w:r>
      <w:r>
        <w:t>Pública,</w:t>
      </w:r>
      <w:r>
        <w:rPr>
          <w:spacing w:val="-2"/>
        </w:rPr>
        <w:t xml:space="preserve"> </w:t>
      </w:r>
      <w:r>
        <w:t>Programa</w:t>
      </w:r>
      <w:r>
        <w:rPr>
          <w:spacing w:val="-1"/>
        </w:rPr>
        <w:t xml:space="preserve"> </w:t>
      </w:r>
      <w:r>
        <w:t>de</w:t>
      </w:r>
      <w:r>
        <w:rPr>
          <w:spacing w:val="-2"/>
        </w:rPr>
        <w:t xml:space="preserve"> </w:t>
      </w:r>
      <w:r>
        <w:t>Estudios</w:t>
      </w:r>
      <w:r>
        <w:rPr>
          <w:spacing w:val="-2"/>
        </w:rPr>
        <w:t xml:space="preserve"> </w:t>
      </w:r>
      <w:r>
        <w:t>sobre</w:t>
      </w:r>
      <w:r>
        <w:rPr>
          <w:spacing w:val="-2"/>
        </w:rPr>
        <w:t xml:space="preserve"> </w:t>
      </w:r>
      <w:r>
        <w:t>Seguridad,</w:t>
      </w:r>
      <w:r>
        <w:rPr>
          <w:spacing w:val="-2"/>
        </w:rPr>
        <w:t xml:space="preserve"> </w:t>
      </w:r>
      <w:r>
        <w:t>Justicia y Violencia. Universidad de los Andes. 1998.</w:t>
      </w:r>
    </w:p>
    <w:p w:rsidR="003804AC" w:rsidRDefault="00AF18A5" w:rsidP="00492773">
      <w:r>
        <w:t>Vásquez, Teófilo. «Esbozo para una explicación espacial y territorial del conflicto armado en Colombia, 1990-2014».</w:t>
      </w:r>
      <w:r>
        <w:rPr>
          <w:spacing w:val="-1"/>
        </w:rPr>
        <w:t xml:space="preserve"> </w:t>
      </w:r>
      <w:r>
        <w:t>En Esta Guerra que se va… Territorio y violencias; desigualdad y fragmentación social, ed. por Ricardo García Duarte, 119-193. Bogotá: Universidad Francisco José de Caldas, 2017.</w:t>
      </w:r>
    </w:p>
    <w:p w:rsidR="0011361F" w:rsidRDefault="00AF18A5" w:rsidP="00492773">
      <w:r>
        <w:t>Vásquez,</w:t>
      </w:r>
      <w:r>
        <w:rPr>
          <w:spacing w:val="61"/>
        </w:rPr>
        <w:t xml:space="preserve"> </w:t>
      </w:r>
      <w:r>
        <w:t>Teófilo.</w:t>
      </w:r>
      <w:r>
        <w:rPr>
          <w:spacing w:val="63"/>
        </w:rPr>
        <w:t xml:space="preserve"> </w:t>
      </w:r>
      <w:r>
        <w:t>Territorios,</w:t>
      </w:r>
      <w:r>
        <w:rPr>
          <w:spacing w:val="63"/>
        </w:rPr>
        <w:t xml:space="preserve"> </w:t>
      </w:r>
      <w:r>
        <w:t>conflicto</w:t>
      </w:r>
      <w:r>
        <w:rPr>
          <w:spacing w:val="63"/>
        </w:rPr>
        <w:t xml:space="preserve"> </w:t>
      </w:r>
      <w:r>
        <w:t>armado</w:t>
      </w:r>
      <w:r>
        <w:rPr>
          <w:spacing w:val="63"/>
        </w:rPr>
        <w:t xml:space="preserve"> </w:t>
      </w:r>
      <w:r>
        <w:t>y</w:t>
      </w:r>
      <w:r>
        <w:rPr>
          <w:spacing w:val="64"/>
        </w:rPr>
        <w:t xml:space="preserve"> </w:t>
      </w:r>
      <w:r>
        <w:t>política</w:t>
      </w:r>
      <w:r>
        <w:rPr>
          <w:spacing w:val="62"/>
        </w:rPr>
        <w:t xml:space="preserve"> </w:t>
      </w:r>
      <w:r>
        <w:t>en</w:t>
      </w:r>
      <w:r>
        <w:rPr>
          <w:spacing w:val="63"/>
        </w:rPr>
        <w:t xml:space="preserve"> </w:t>
      </w:r>
      <w:r>
        <w:t>el</w:t>
      </w:r>
      <w:r>
        <w:rPr>
          <w:spacing w:val="64"/>
        </w:rPr>
        <w:t xml:space="preserve"> </w:t>
      </w:r>
      <w:r>
        <w:t>Caquetá:</w:t>
      </w:r>
      <w:r>
        <w:rPr>
          <w:spacing w:val="64"/>
        </w:rPr>
        <w:t xml:space="preserve"> </w:t>
      </w:r>
      <w:r>
        <w:t>1900-</w:t>
      </w:r>
      <w:r>
        <w:rPr>
          <w:spacing w:val="-2"/>
        </w:rPr>
        <w:t>2010.</w:t>
      </w:r>
      <w:r w:rsidR="00492773">
        <w:rPr>
          <w:spacing w:val="-2"/>
        </w:rPr>
        <w:t xml:space="preserve"> </w:t>
      </w:r>
      <w:r>
        <w:t>Bogotá:</w:t>
      </w:r>
      <w:r>
        <w:rPr>
          <w:spacing w:val="-2"/>
        </w:rPr>
        <w:t xml:space="preserve"> </w:t>
      </w:r>
      <w:r>
        <w:t>Ediciones</w:t>
      </w:r>
      <w:r>
        <w:rPr>
          <w:spacing w:val="-2"/>
        </w:rPr>
        <w:t xml:space="preserve"> </w:t>
      </w:r>
      <w:r>
        <w:t>Uniandes,</w:t>
      </w:r>
      <w:r>
        <w:rPr>
          <w:spacing w:val="-1"/>
        </w:rPr>
        <w:t xml:space="preserve"> </w:t>
      </w:r>
      <w:r>
        <w:rPr>
          <w:spacing w:val="-2"/>
        </w:rPr>
        <w:t>2015.</w:t>
      </w:r>
    </w:p>
    <w:p w:rsidR="00492773" w:rsidRDefault="00AF18A5" w:rsidP="00492773">
      <w:r>
        <w:t>Vásquez, Teófilo (ed.). Una vieja guerra en un nuevo contexto: conflicto y territorio en el sur de Colombia. Bogotá: Pontificia Universidad Javeriana, 2011.</w:t>
      </w:r>
    </w:p>
    <w:p w:rsidR="00492773" w:rsidRDefault="00492773">
      <w:pPr>
        <w:spacing w:before="0" w:after="0" w:line="240" w:lineRule="auto"/>
      </w:pPr>
      <w:r>
        <w:br w:type="page"/>
      </w:r>
    </w:p>
    <w:p w:rsidR="0011361F" w:rsidRDefault="00AF18A5" w:rsidP="004A6EF4">
      <w:pPr>
        <w:pStyle w:val="Ttulo2"/>
        <w:numPr>
          <w:ilvl w:val="0"/>
          <w:numId w:val="16"/>
        </w:numPr>
      </w:pPr>
      <w:bookmarkStart w:id="462" w:name="5._LOS_ENTRAMADOS_DEL_PARAMILITARISMO"/>
      <w:bookmarkStart w:id="463" w:name="_Toc112399591"/>
      <w:bookmarkEnd w:id="462"/>
      <w:r>
        <w:rPr>
          <w:w w:val="95"/>
        </w:rPr>
        <w:lastRenderedPageBreak/>
        <w:t>LOS</w:t>
      </w:r>
      <w:r>
        <w:rPr>
          <w:spacing w:val="24"/>
        </w:rPr>
        <w:t xml:space="preserve"> </w:t>
      </w:r>
      <w:r>
        <w:rPr>
          <w:w w:val="95"/>
        </w:rPr>
        <w:t>ENTRAMADOS</w:t>
      </w:r>
      <w:r>
        <w:rPr>
          <w:spacing w:val="27"/>
        </w:rPr>
        <w:t xml:space="preserve"> </w:t>
      </w:r>
      <w:r>
        <w:rPr>
          <w:w w:val="95"/>
        </w:rPr>
        <w:t>DEL</w:t>
      </w:r>
      <w:r>
        <w:rPr>
          <w:spacing w:val="23"/>
        </w:rPr>
        <w:t xml:space="preserve"> </w:t>
      </w:r>
      <w:r>
        <w:rPr>
          <w:spacing w:val="-2"/>
          <w:w w:val="95"/>
        </w:rPr>
        <w:t>PARAMILITARISMO</w:t>
      </w:r>
      <w:bookmarkEnd w:id="463"/>
    </w:p>
    <w:p w:rsidR="003804AC" w:rsidRDefault="00AF18A5" w:rsidP="00054233">
      <w:r>
        <w:t>En la década del dos mil, los grupos paramilitares alcanzaron dimensiones sin precedentes: 39 estructuras con múltiples frentes y facciones armadas</w:t>
      </w:r>
      <w:r w:rsidR="000266F2">
        <w:rPr>
          <w:rStyle w:val="Refdenotaalpie"/>
        </w:rPr>
        <w:footnoteReference w:id="324"/>
      </w:r>
      <w:r>
        <w:t>, más de 35.000 integrantes y efectos directos en la escalada de violencia que vivió el país: son el principal responsable, con el 47</w:t>
      </w:r>
      <w:r>
        <w:rPr>
          <w:spacing w:val="-2"/>
        </w:rPr>
        <w:t xml:space="preserve"> </w:t>
      </w:r>
      <w:r>
        <w:t>% de las víctimas letales y desaparecidos del conflicto armado en Colombia, constituyendo</w:t>
      </w:r>
      <w:r>
        <w:rPr>
          <w:spacing w:val="-1"/>
        </w:rPr>
        <w:t xml:space="preserve"> </w:t>
      </w:r>
      <w:r>
        <w:t>en</w:t>
      </w:r>
      <w:r>
        <w:rPr>
          <w:spacing w:val="-1"/>
        </w:rPr>
        <w:t xml:space="preserve"> </w:t>
      </w:r>
      <w:r>
        <w:t>el</w:t>
      </w:r>
      <w:r>
        <w:rPr>
          <w:spacing w:val="-1"/>
        </w:rPr>
        <w:t xml:space="preserve"> </w:t>
      </w:r>
      <w:r>
        <w:t>actor</w:t>
      </w:r>
      <w:r>
        <w:rPr>
          <w:spacing w:val="-1"/>
        </w:rPr>
        <w:t xml:space="preserve"> </w:t>
      </w:r>
      <w:r>
        <w:t>armado</w:t>
      </w:r>
      <w:r>
        <w:rPr>
          <w:spacing w:val="-1"/>
        </w:rPr>
        <w:t xml:space="preserve"> </w:t>
      </w:r>
      <w:r>
        <w:t>más</w:t>
      </w:r>
      <w:r>
        <w:rPr>
          <w:spacing w:val="-1"/>
        </w:rPr>
        <w:t xml:space="preserve"> </w:t>
      </w:r>
      <w:r>
        <w:t>violento.</w:t>
      </w:r>
      <w:r>
        <w:rPr>
          <w:spacing w:val="-1"/>
        </w:rPr>
        <w:t xml:space="preserve"> </w:t>
      </w:r>
      <w:r>
        <w:t>El</w:t>
      </w:r>
      <w:r>
        <w:rPr>
          <w:spacing w:val="-1"/>
        </w:rPr>
        <w:t xml:space="preserve"> </w:t>
      </w:r>
      <w:r>
        <w:t>paramilitarismo</w:t>
      </w:r>
      <w:r>
        <w:rPr>
          <w:spacing w:val="-1"/>
        </w:rPr>
        <w:t xml:space="preserve"> </w:t>
      </w:r>
      <w:r>
        <w:t>en</w:t>
      </w:r>
      <w:r>
        <w:rPr>
          <w:spacing w:val="-1"/>
        </w:rPr>
        <w:t xml:space="preserve"> </w:t>
      </w:r>
      <w:r>
        <w:t>Colombia</w:t>
      </w:r>
      <w:r>
        <w:rPr>
          <w:spacing w:val="-1"/>
        </w:rPr>
        <w:t xml:space="preserve"> </w:t>
      </w:r>
      <w:r>
        <w:t>ha</w:t>
      </w:r>
      <w:r>
        <w:rPr>
          <w:spacing w:val="-1"/>
        </w:rPr>
        <w:t xml:space="preserve"> </w:t>
      </w:r>
      <w:r>
        <w:t>causado heridas</w:t>
      </w:r>
      <w:r>
        <w:rPr>
          <w:spacing w:val="-15"/>
        </w:rPr>
        <w:t xml:space="preserve"> </w:t>
      </w:r>
      <w:r>
        <w:t>que</w:t>
      </w:r>
      <w:r>
        <w:rPr>
          <w:spacing w:val="-15"/>
        </w:rPr>
        <w:t xml:space="preserve"> </w:t>
      </w:r>
      <w:r>
        <w:t>siguen</w:t>
      </w:r>
      <w:r>
        <w:rPr>
          <w:spacing w:val="-15"/>
        </w:rPr>
        <w:t xml:space="preserve"> </w:t>
      </w:r>
      <w:r>
        <w:t>hoy</w:t>
      </w:r>
      <w:r>
        <w:rPr>
          <w:spacing w:val="-15"/>
        </w:rPr>
        <w:t xml:space="preserve"> </w:t>
      </w:r>
      <w:r>
        <w:t>sin</w:t>
      </w:r>
      <w:r>
        <w:rPr>
          <w:spacing w:val="-15"/>
        </w:rPr>
        <w:t xml:space="preserve"> </w:t>
      </w:r>
      <w:r>
        <w:t>sanar,</w:t>
      </w:r>
      <w:r>
        <w:rPr>
          <w:spacing w:val="-15"/>
        </w:rPr>
        <w:t xml:space="preserve"> </w:t>
      </w:r>
      <w:r>
        <w:t>marcadas</w:t>
      </w:r>
      <w:r>
        <w:rPr>
          <w:spacing w:val="-15"/>
        </w:rPr>
        <w:t xml:space="preserve"> </w:t>
      </w:r>
      <w:r>
        <w:t>por</w:t>
      </w:r>
      <w:r>
        <w:rPr>
          <w:spacing w:val="-15"/>
        </w:rPr>
        <w:t xml:space="preserve"> </w:t>
      </w:r>
      <w:r>
        <w:t>el</w:t>
      </w:r>
      <w:r>
        <w:rPr>
          <w:spacing w:val="-15"/>
        </w:rPr>
        <w:t xml:space="preserve"> </w:t>
      </w:r>
      <w:r>
        <w:t>terror</w:t>
      </w:r>
      <w:r>
        <w:rPr>
          <w:spacing w:val="-15"/>
        </w:rPr>
        <w:t xml:space="preserve"> </w:t>
      </w:r>
      <w:r>
        <w:t>y</w:t>
      </w:r>
      <w:r>
        <w:rPr>
          <w:spacing w:val="-15"/>
        </w:rPr>
        <w:t xml:space="preserve"> </w:t>
      </w:r>
      <w:r>
        <w:t>las</w:t>
      </w:r>
      <w:r>
        <w:rPr>
          <w:spacing w:val="-15"/>
        </w:rPr>
        <w:t xml:space="preserve"> </w:t>
      </w:r>
      <w:r>
        <w:t>acciones</w:t>
      </w:r>
      <w:r>
        <w:rPr>
          <w:spacing w:val="-15"/>
        </w:rPr>
        <w:t xml:space="preserve"> </w:t>
      </w:r>
      <w:r>
        <w:t>violentas</w:t>
      </w:r>
      <w:r>
        <w:rPr>
          <w:spacing w:val="-15"/>
        </w:rPr>
        <w:t xml:space="preserve"> </w:t>
      </w:r>
      <w:r>
        <w:t>concentradas, principalmente, en asesinatos selectivos, masacres y desapariciones forzadas. Los procesos que pusieron en marcha y los entramados que se tejieron en torno al paramilitarismo no acabaron con la desmovilización de los ejércitos de las Autodefensas Unidas de Colombia (AUC); aún hoy son un gran obstáculo para la no repetición que claman las víctimas sobrevivientes y sus familias en medio de una guerra que se resiste a ser pasado.</w:t>
      </w:r>
    </w:p>
    <w:p w:rsidR="003804AC" w:rsidRDefault="00AF18A5" w:rsidP="000266F2">
      <w:r>
        <w:t xml:space="preserve">Sobre la definición, así como sobre la manera de caracterizar y de periodizar el paramilitarismo, han surgido diversos debates: los grupos denominados «de defensa civil», siguiendo doctrinas militares incorporadas en decretos y leyes; los grupos de narcotráfico y miembros de la fuerza pública que dieron origen al Muerte a Secuestradores (MAS), los grupos como las Autodefensas Campesinas de Córdoba y Urabá (ACCU), que unieron narcotráfico y contrainsurgencia, y otras </w:t>
      </w:r>
      <w:r>
        <w:lastRenderedPageBreak/>
        <w:t xml:space="preserve">experiencias como formas de </w:t>
      </w:r>
      <w:proofErr w:type="spellStart"/>
      <w:r>
        <w:t>vigilantismo</w:t>
      </w:r>
      <w:proofErr w:type="spellEnd"/>
      <w:r>
        <w:t xml:space="preserve"> o como grupos paraestatales</w:t>
      </w:r>
      <w:r w:rsidR="000266F2">
        <w:rPr>
          <w:rStyle w:val="Refdenotaalpie"/>
        </w:rPr>
        <w:footnoteReference w:id="325"/>
      </w:r>
      <w:r>
        <w:t>. Cada una de estas experiencias y organizaciones enfatiza distintos aspectos</w:t>
      </w:r>
      <w:r>
        <w:rPr>
          <w:spacing w:val="-5"/>
        </w:rPr>
        <w:t xml:space="preserve"> </w:t>
      </w:r>
      <w:r>
        <w:t>de</w:t>
      </w:r>
      <w:r>
        <w:rPr>
          <w:spacing w:val="-5"/>
        </w:rPr>
        <w:t xml:space="preserve"> </w:t>
      </w:r>
      <w:r>
        <w:t>estas</w:t>
      </w:r>
      <w:r>
        <w:rPr>
          <w:spacing w:val="-5"/>
        </w:rPr>
        <w:t xml:space="preserve"> </w:t>
      </w:r>
      <w:r>
        <w:t>estructuras:</w:t>
      </w:r>
      <w:r>
        <w:rPr>
          <w:spacing w:val="-5"/>
        </w:rPr>
        <w:t xml:space="preserve"> </w:t>
      </w:r>
      <w:r>
        <w:t>algunas</w:t>
      </w:r>
      <w:r>
        <w:rPr>
          <w:spacing w:val="-5"/>
        </w:rPr>
        <w:t xml:space="preserve"> </w:t>
      </w:r>
      <w:r>
        <w:t>hacen</w:t>
      </w:r>
      <w:r>
        <w:rPr>
          <w:spacing w:val="-4"/>
        </w:rPr>
        <w:t xml:space="preserve"> </w:t>
      </w:r>
      <w:r>
        <w:t>referencia</w:t>
      </w:r>
      <w:r>
        <w:rPr>
          <w:spacing w:val="-5"/>
        </w:rPr>
        <w:t xml:space="preserve"> </w:t>
      </w:r>
      <w:r>
        <w:t>a</w:t>
      </w:r>
      <w:r>
        <w:rPr>
          <w:spacing w:val="-5"/>
        </w:rPr>
        <w:t xml:space="preserve"> </w:t>
      </w:r>
      <w:r>
        <w:t>parte</w:t>
      </w:r>
      <w:r>
        <w:rPr>
          <w:spacing w:val="-6"/>
        </w:rPr>
        <w:t xml:space="preserve"> </w:t>
      </w:r>
      <w:r>
        <w:t>de</w:t>
      </w:r>
      <w:r>
        <w:rPr>
          <w:spacing w:val="-5"/>
        </w:rPr>
        <w:t xml:space="preserve"> </w:t>
      </w:r>
      <w:r>
        <w:t>su</w:t>
      </w:r>
      <w:r>
        <w:rPr>
          <w:spacing w:val="-4"/>
        </w:rPr>
        <w:t xml:space="preserve"> </w:t>
      </w:r>
      <w:r>
        <w:t>carácter</w:t>
      </w:r>
      <w:r>
        <w:rPr>
          <w:spacing w:val="-5"/>
        </w:rPr>
        <w:t xml:space="preserve"> </w:t>
      </w:r>
      <w:r>
        <w:t>reactivo</w:t>
      </w:r>
      <w:r w:rsidR="000266F2">
        <w:rPr>
          <w:rStyle w:val="Refdenotaalpie"/>
        </w:rPr>
        <w:footnoteReference w:id="326"/>
      </w:r>
      <w:r>
        <w:rPr>
          <w:spacing w:val="-5"/>
        </w:rPr>
        <w:t xml:space="preserve"> </w:t>
      </w:r>
      <w:r>
        <w:t>a</w:t>
      </w:r>
      <w:r>
        <w:rPr>
          <w:spacing w:val="-5"/>
        </w:rPr>
        <w:t xml:space="preserve"> las</w:t>
      </w:r>
      <w:bookmarkStart w:id="464" w:name="_bookmark370"/>
      <w:bookmarkStart w:id="465" w:name="_bookmark371"/>
      <w:bookmarkStart w:id="466" w:name="_bookmark372"/>
      <w:bookmarkEnd w:id="464"/>
      <w:bookmarkEnd w:id="465"/>
      <w:bookmarkEnd w:id="466"/>
      <w:r w:rsidR="000266F2">
        <w:t xml:space="preserve"> </w:t>
      </w:r>
      <w:r>
        <w:t>acciones</w:t>
      </w:r>
      <w:r>
        <w:rPr>
          <w:spacing w:val="-1"/>
        </w:rPr>
        <w:t xml:space="preserve"> </w:t>
      </w:r>
      <w:r>
        <w:t>de</w:t>
      </w:r>
      <w:r>
        <w:rPr>
          <w:spacing w:val="-1"/>
        </w:rPr>
        <w:t xml:space="preserve"> </w:t>
      </w:r>
      <w:r>
        <w:t>la</w:t>
      </w:r>
      <w:r>
        <w:rPr>
          <w:spacing w:val="-1"/>
        </w:rPr>
        <w:t xml:space="preserve"> </w:t>
      </w:r>
      <w:r>
        <w:t>insurgencia</w:t>
      </w:r>
      <w:r>
        <w:rPr>
          <w:spacing w:val="-1"/>
        </w:rPr>
        <w:t xml:space="preserve"> </w:t>
      </w:r>
      <w:r>
        <w:t>o</w:t>
      </w:r>
      <w:r>
        <w:rPr>
          <w:spacing w:val="-1"/>
        </w:rPr>
        <w:t xml:space="preserve"> </w:t>
      </w:r>
      <w:r>
        <w:t>a</w:t>
      </w:r>
      <w:r>
        <w:rPr>
          <w:spacing w:val="-1"/>
        </w:rPr>
        <w:t xml:space="preserve"> </w:t>
      </w:r>
      <w:r>
        <w:t>su</w:t>
      </w:r>
      <w:r>
        <w:rPr>
          <w:spacing w:val="-1"/>
        </w:rPr>
        <w:t xml:space="preserve"> </w:t>
      </w:r>
      <w:r>
        <w:t>relación</w:t>
      </w:r>
      <w:r>
        <w:rPr>
          <w:spacing w:val="-1"/>
        </w:rPr>
        <w:t xml:space="preserve"> </w:t>
      </w:r>
      <w:r>
        <w:t>directa</w:t>
      </w:r>
      <w:r>
        <w:rPr>
          <w:spacing w:val="-2"/>
        </w:rPr>
        <w:t xml:space="preserve"> </w:t>
      </w:r>
      <w:r>
        <w:t>con</w:t>
      </w:r>
      <w:r>
        <w:rPr>
          <w:spacing w:val="-1"/>
        </w:rPr>
        <w:t xml:space="preserve"> </w:t>
      </w:r>
      <w:r>
        <w:t>el</w:t>
      </w:r>
      <w:r>
        <w:rPr>
          <w:spacing w:val="-1"/>
        </w:rPr>
        <w:t xml:space="preserve"> </w:t>
      </w:r>
      <w:r>
        <w:t>Estado</w:t>
      </w:r>
      <w:r>
        <w:rPr>
          <w:spacing w:val="-1"/>
        </w:rPr>
        <w:t xml:space="preserve"> </w:t>
      </w:r>
      <w:r>
        <w:t>y</w:t>
      </w:r>
      <w:r>
        <w:rPr>
          <w:spacing w:val="-1"/>
        </w:rPr>
        <w:t xml:space="preserve"> </w:t>
      </w:r>
      <w:r>
        <w:t>sus</w:t>
      </w:r>
      <w:r>
        <w:rPr>
          <w:spacing w:val="-1"/>
        </w:rPr>
        <w:t xml:space="preserve"> </w:t>
      </w:r>
      <w:r>
        <w:t>instituciones.</w:t>
      </w:r>
      <w:r>
        <w:rPr>
          <w:spacing w:val="-1"/>
        </w:rPr>
        <w:t xml:space="preserve"> </w:t>
      </w:r>
      <w:r>
        <w:t>Además, el paramilitarismo colombiano ha sido altamente inestable y cambiante</w:t>
      </w:r>
      <w:r w:rsidR="003419E2">
        <w:rPr>
          <w:rStyle w:val="Refdenotaalpie"/>
        </w:rPr>
        <w:footnoteReference w:id="327"/>
      </w:r>
      <w:r>
        <w:t xml:space="preserve"> y ha tenido diversos</w:t>
      </w:r>
      <w:r>
        <w:rPr>
          <w:spacing w:val="-7"/>
        </w:rPr>
        <w:t xml:space="preserve"> </w:t>
      </w:r>
      <w:r>
        <w:t>actores,</w:t>
      </w:r>
      <w:r>
        <w:rPr>
          <w:spacing w:val="-6"/>
        </w:rPr>
        <w:t xml:space="preserve"> </w:t>
      </w:r>
      <w:r>
        <w:t>motivaciones</w:t>
      </w:r>
      <w:r>
        <w:rPr>
          <w:spacing w:val="-6"/>
        </w:rPr>
        <w:t xml:space="preserve"> </w:t>
      </w:r>
      <w:r>
        <w:t>y</w:t>
      </w:r>
      <w:r>
        <w:rPr>
          <w:spacing w:val="-7"/>
        </w:rPr>
        <w:t xml:space="preserve"> </w:t>
      </w:r>
      <w:r>
        <w:t>formas</w:t>
      </w:r>
      <w:r>
        <w:rPr>
          <w:spacing w:val="-6"/>
        </w:rPr>
        <w:t xml:space="preserve"> </w:t>
      </w:r>
      <w:r>
        <w:t>de</w:t>
      </w:r>
      <w:r>
        <w:rPr>
          <w:spacing w:val="-7"/>
        </w:rPr>
        <w:t xml:space="preserve"> </w:t>
      </w:r>
      <w:r>
        <w:t>actuación,</w:t>
      </w:r>
      <w:r>
        <w:rPr>
          <w:spacing w:val="-6"/>
        </w:rPr>
        <w:t xml:space="preserve"> </w:t>
      </w:r>
      <w:r>
        <w:t>lo</w:t>
      </w:r>
      <w:r>
        <w:rPr>
          <w:spacing w:val="-7"/>
        </w:rPr>
        <w:t xml:space="preserve"> </w:t>
      </w:r>
      <w:r>
        <w:t>cual</w:t>
      </w:r>
      <w:r>
        <w:rPr>
          <w:spacing w:val="-6"/>
        </w:rPr>
        <w:t xml:space="preserve"> </w:t>
      </w:r>
      <w:r>
        <w:t>deriva</w:t>
      </w:r>
      <w:r>
        <w:rPr>
          <w:spacing w:val="-6"/>
        </w:rPr>
        <w:t xml:space="preserve"> </w:t>
      </w:r>
      <w:r>
        <w:t>en</w:t>
      </w:r>
      <w:r>
        <w:rPr>
          <w:spacing w:val="-6"/>
        </w:rPr>
        <w:t xml:space="preserve"> </w:t>
      </w:r>
      <w:r>
        <w:t>dificultades</w:t>
      </w:r>
      <w:r>
        <w:rPr>
          <w:spacing w:val="-6"/>
        </w:rPr>
        <w:t xml:space="preserve"> </w:t>
      </w:r>
      <w:r>
        <w:t>a</w:t>
      </w:r>
      <w:r>
        <w:rPr>
          <w:spacing w:val="-7"/>
        </w:rPr>
        <w:t xml:space="preserve"> </w:t>
      </w:r>
      <w:r>
        <w:t>la</w:t>
      </w:r>
      <w:r>
        <w:rPr>
          <w:spacing w:val="-6"/>
        </w:rPr>
        <w:t xml:space="preserve"> </w:t>
      </w:r>
      <w:r>
        <w:t>hora de intentar una definición estática.</w:t>
      </w:r>
    </w:p>
    <w:p w:rsidR="003804AC" w:rsidRDefault="00AF18A5" w:rsidP="000266F2">
      <w:r>
        <w:t>La Comisión de la Verdad encontró que la dinámica paramilitar trasciende la dimensión más visible del fenómeno (los aparatos armados) y visibiliza el telón de fondo, aquello que lo sustenta y facilita su permanencia. La Comisión de la Verdad ha encontrado aspectos de la</w:t>
      </w:r>
      <w:r>
        <w:rPr>
          <w:spacing w:val="-6"/>
        </w:rPr>
        <w:t xml:space="preserve"> </w:t>
      </w:r>
      <w:r>
        <w:t>dinámica</w:t>
      </w:r>
      <w:r>
        <w:rPr>
          <w:spacing w:val="-7"/>
        </w:rPr>
        <w:t xml:space="preserve"> </w:t>
      </w:r>
      <w:r>
        <w:t>paramilitar</w:t>
      </w:r>
      <w:r>
        <w:rPr>
          <w:spacing w:val="-7"/>
        </w:rPr>
        <w:t xml:space="preserve"> </w:t>
      </w:r>
      <w:r>
        <w:t>que,</w:t>
      </w:r>
      <w:r>
        <w:rPr>
          <w:spacing w:val="-6"/>
        </w:rPr>
        <w:t xml:space="preserve"> </w:t>
      </w:r>
      <w:r>
        <w:t>por</w:t>
      </w:r>
      <w:r>
        <w:rPr>
          <w:spacing w:val="-5"/>
        </w:rPr>
        <w:t xml:space="preserve"> </w:t>
      </w:r>
      <w:r>
        <w:t>un</w:t>
      </w:r>
      <w:r>
        <w:rPr>
          <w:spacing w:val="-6"/>
        </w:rPr>
        <w:t xml:space="preserve"> </w:t>
      </w:r>
      <w:r>
        <w:t>lado,</w:t>
      </w:r>
      <w:r>
        <w:rPr>
          <w:spacing w:val="-6"/>
        </w:rPr>
        <w:t xml:space="preserve"> </w:t>
      </w:r>
      <w:r>
        <w:t>trascienden</w:t>
      </w:r>
      <w:r>
        <w:rPr>
          <w:spacing w:val="-6"/>
        </w:rPr>
        <w:t xml:space="preserve"> </w:t>
      </w:r>
      <w:r>
        <w:t>la</w:t>
      </w:r>
      <w:r>
        <w:rPr>
          <w:spacing w:val="-6"/>
        </w:rPr>
        <w:t xml:space="preserve"> </w:t>
      </w:r>
      <w:r>
        <w:t>dimensión</w:t>
      </w:r>
      <w:r>
        <w:rPr>
          <w:spacing w:val="-6"/>
        </w:rPr>
        <w:t xml:space="preserve"> </w:t>
      </w:r>
      <w:r>
        <w:t>más</w:t>
      </w:r>
      <w:r>
        <w:rPr>
          <w:spacing w:val="-6"/>
        </w:rPr>
        <w:t xml:space="preserve"> </w:t>
      </w:r>
      <w:r>
        <w:lastRenderedPageBreak/>
        <w:t>visible</w:t>
      </w:r>
      <w:r>
        <w:rPr>
          <w:spacing w:val="-6"/>
        </w:rPr>
        <w:t xml:space="preserve"> </w:t>
      </w:r>
      <w:r>
        <w:t>del</w:t>
      </w:r>
      <w:r>
        <w:rPr>
          <w:spacing w:val="-7"/>
        </w:rPr>
        <w:t xml:space="preserve"> </w:t>
      </w:r>
      <w:r>
        <w:t>fenómeno (los aparatos armados) y visibilizan el telón de fondo del paramilitarismo: aquello que lo sustenta</w:t>
      </w:r>
      <w:r>
        <w:rPr>
          <w:spacing w:val="-7"/>
        </w:rPr>
        <w:t xml:space="preserve"> </w:t>
      </w:r>
      <w:r>
        <w:t>y</w:t>
      </w:r>
      <w:r>
        <w:rPr>
          <w:spacing w:val="-7"/>
        </w:rPr>
        <w:t xml:space="preserve"> </w:t>
      </w:r>
      <w:r>
        <w:t>permite</w:t>
      </w:r>
      <w:r>
        <w:rPr>
          <w:spacing w:val="-7"/>
        </w:rPr>
        <w:t xml:space="preserve"> </w:t>
      </w:r>
      <w:r>
        <w:t>su</w:t>
      </w:r>
      <w:r>
        <w:rPr>
          <w:spacing w:val="-7"/>
        </w:rPr>
        <w:t xml:space="preserve"> </w:t>
      </w:r>
      <w:r>
        <w:t>permanencia.</w:t>
      </w:r>
      <w:r>
        <w:rPr>
          <w:spacing w:val="-8"/>
        </w:rPr>
        <w:t xml:space="preserve"> </w:t>
      </w:r>
      <w:r>
        <w:t>Por</w:t>
      </w:r>
      <w:r>
        <w:rPr>
          <w:spacing w:val="-7"/>
        </w:rPr>
        <w:t xml:space="preserve"> </w:t>
      </w:r>
      <w:r>
        <w:t>otro</w:t>
      </w:r>
      <w:r>
        <w:rPr>
          <w:spacing w:val="-8"/>
        </w:rPr>
        <w:t xml:space="preserve"> </w:t>
      </w:r>
      <w:r>
        <w:t>lado,</w:t>
      </w:r>
      <w:r>
        <w:rPr>
          <w:spacing w:val="-7"/>
        </w:rPr>
        <w:t xml:space="preserve"> </w:t>
      </w:r>
      <w:r>
        <w:t>son</w:t>
      </w:r>
      <w:r>
        <w:rPr>
          <w:spacing w:val="-7"/>
        </w:rPr>
        <w:t xml:space="preserve"> </w:t>
      </w:r>
      <w:r>
        <w:t>elementos</w:t>
      </w:r>
      <w:r>
        <w:rPr>
          <w:spacing w:val="-7"/>
        </w:rPr>
        <w:t xml:space="preserve"> </w:t>
      </w:r>
      <w:r>
        <w:t>que</w:t>
      </w:r>
      <w:r>
        <w:rPr>
          <w:spacing w:val="-7"/>
        </w:rPr>
        <w:t xml:space="preserve"> </w:t>
      </w:r>
      <w:r>
        <w:t>se</w:t>
      </w:r>
      <w:r>
        <w:rPr>
          <w:spacing w:val="-8"/>
        </w:rPr>
        <w:t xml:space="preserve"> </w:t>
      </w:r>
      <w:r>
        <w:t>mantienen</w:t>
      </w:r>
      <w:r>
        <w:rPr>
          <w:spacing w:val="-7"/>
        </w:rPr>
        <w:t xml:space="preserve"> </w:t>
      </w:r>
      <w:r>
        <w:t>a</w:t>
      </w:r>
      <w:r>
        <w:rPr>
          <w:spacing w:val="-8"/>
        </w:rPr>
        <w:t xml:space="preserve"> </w:t>
      </w:r>
      <w:r>
        <w:t>pesar</w:t>
      </w:r>
      <w:r>
        <w:rPr>
          <w:spacing w:val="-7"/>
        </w:rPr>
        <w:t xml:space="preserve"> </w:t>
      </w:r>
      <w:r>
        <w:t>de la diversidad de expresiones armadas regionales que ha tenido el paramilitarismo y sus transformaciones a lo largo de los años y que, en consecuencia, constituyen factores de persistencia y posibles claves hacia la No Repetición.</w:t>
      </w:r>
    </w:p>
    <w:p w:rsidR="003804AC" w:rsidRDefault="00AF18A5" w:rsidP="00935BEB">
      <w:r>
        <w:t>El paramilitarismo no es solo un actor armado –entendido como ejércitos privados con estrategias</w:t>
      </w:r>
      <w:r>
        <w:rPr>
          <w:spacing w:val="-10"/>
        </w:rPr>
        <w:t xml:space="preserve"> </w:t>
      </w:r>
      <w:r>
        <w:t>de</w:t>
      </w:r>
      <w:r>
        <w:rPr>
          <w:spacing w:val="-10"/>
        </w:rPr>
        <w:t xml:space="preserve"> </w:t>
      </w:r>
      <w:r>
        <w:t>terror</w:t>
      </w:r>
      <w:r>
        <w:rPr>
          <w:spacing w:val="-10"/>
        </w:rPr>
        <w:t xml:space="preserve"> </w:t>
      </w:r>
      <w:r>
        <w:t>contra</w:t>
      </w:r>
      <w:r>
        <w:rPr>
          <w:spacing w:val="-10"/>
        </w:rPr>
        <w:t xml:space="preserve"> </w:t>
      </w:r>
      <w:r>
        <w:t>la</w:t>
      </w:r>
      <w:r>
        <w:rPr>
          <w:spacing w:val="-10"/>
        </w:rPr>
        <w:t xml:space="preserve"> </w:t>
      </w:r>
      <w:r>
        <w:t>población</w:t>
      </w:r>
      <w:r>
        <w:rPr>
          <w:spacing w:val="-11"/>
        </w:rPr>
        <w:t xml:space="preserve"> </w:t>
      </w:r>
      <w:r>
        <w:t>civil–,</w:t>
      </w:r>
      <w:r>
        <w:rPr>
          <w:spacing w:val="-11"/>
        </w:rPr>
        <w:t xml:space="preserve"> </w:t>
      </w:r>
      <w:r>
        <w:t>sino</w:t>
      </w:r>
      <w:r>
        <w:rPr>
          <w:spacing w:val="-11"/>
        </w:rPr>
        <w:t xml:space="preserve"> </w:t>
      </w:r>
      <w:r>
        <w:t>más</w:t>
      </w:r>
      <w:r>
        <w:rPr>
          <w:spacing w:val="-10"/>
        </w:rPr>
        <w:t xml:space="preserve"> </w:t>
      </w:r>
      <w:r>
        <w:t>un</w:t>
      </w:r>
      <w:r>
        <w:rPr>
          <w:spacing w:val="-11"/>
        </w:rPr>
        <w:t xml:space="preserve"> </w:t>
      </w:r>
      <w:r>
        <w:t>entramado</w:t>
      </w:r>
      <w:r>
        <w:rPr>
          <w:spacing w:val="-11"/>
        </w:rPr>
        <w:t xml:space="preserve"> </w:t>
      </w:r>
      <w:r>
        <w:t>de</w:t>
      </w:r>
      <w:r>
        <w:rPr>
          <w:spacing w:val="-11"/>
        </w:rPr>
        <w:t xml:space="preserve"> </w:t>
      </w:r>
      <w:r>
        <w:t>intereses</w:t>
      </w:r>
      <w:r>
        <w:rPr>
          <w:spacing w:val="-10"/>
        </w:rPr>
        <w:t xml:space="preserve"> </w:t>
      </w:r>
      <w:r>
        <w:t>y</w:t>
      </w:r>
      <w:r>
        <w:rPr>
          <w:spacing w:val="-11"/>
        </w:rPr>
        <w:t xml:space="preserve"> </w:t>
      </w:r>
      <w:r>
        <w:t>alianzas también asociado a proyectos económicos, sociales y políticos que logró la imposición de controles</w:t>
      </w:r>
      <w:r>
        <w:rPr>
          <w:spacing w:val="-6"/>
        </w:rPr>
        <w:t xml:space="preserve"> </w:t>
      </w:r>
      <w:r>
        <w:t>territoriales</w:t>
      </w:r>
      <w:r>
        <w:rPr>
          <w:spacing w:val="-6"/>
        </w:rPr>
        <w:t xml:space="preserve"> </w:t>
      </w:r>
      <w:r>
        <w:t>armados</w:t>
      </w:r>
      <w:r>
        <w:rPr>
          <w:spacing w:val="-5"/>
        </w:rPr>
        <w:t xml:space="preserve"> </w:t>
      </w:r>
      <w:r>
        <w:t>por</w:t>
      </w:r>
      <w:r>
        <w:rPr>
          <w:spacing w:val="-7"/>
        </w:rPr>
        <w:t xml:space="preserve"> </w:t>
      </w:r>
      <w:r>
        <w:t>medio</w:t>
      </w:r>
      <w:r>
        <w:rPr>
          <w:spacing w:val="-5"/>
        </w:rPr>
        <w:t xml:space="preserve"> </w:t>
      </w:r>
      <w:r>
        <w:t>del</w:t>
      </w:r>
      <w:r>
        <w:rPr>
          <w:spacing w:val="-4"/>
        </w:rPr>
        <w:t xml:space="preserve"> </w:t>
      </w:r>
      <w:r>
        <w:t>uso</w:t>
      </w:r>
      <w:r>
        <w:rPr>
          <w:spacing w:val="-5"/>
        </w:rPr>
        <w:t xml:space="preserve"> </w:t>
      </w:r>
      <w:r>
        <w:t>del</w:t>
      </w:r>
      <w:r>
        <w:rPr>
          <w:spacing w:val="-4"/>
        </w:rPr>
        <w:t xml:space="preserve"> </w:t>
      </w:r>
      <w:r>
        <w:t>terror</w:t>
      </w:r>
      <w:r>
        <w:rPr>
          <w:spacing w:val="-6"/>
        </w:rPr>
        <w:t xml:space="preserve"> </w:t>
      </w:r>
      <w:r>
        <w:t>y</w:t>
      </w:r>
      <w:r>
        <w:rPr>
          <w:spacing w:val="-5"/>
        </w:rPr>
        <w:t xml:space="preserve"> </w:t>
      </w:r>
      <w:r>
        <w:t>la</w:t>
      </w:r>
      <w:r>
        <w:rPr>
          <w:spacing w:val="-5"/>
        </w:rPr>
        <w:t xml:space="preserve"> </w:t>
      </w:r>
      <w:r>
        <w:t>violencia,</w:t>
      </w:r>
      <w:r>
        <w:rPr>
          <w:spacing w:val="-5"/>
        </w:rPr>
        <w:t xml:space="preserve"> </w:t>
      </w:r>
      <w:r>
        <w:t>y</w:t>
      </w:r>
      <w:r>
        <w:rPr>
          <w:spacing w:val="-5"/>
        </w:rPr>
        <w:t xml:space="preserve"> </w:t>
      </w:r>
      <w:r>
        <w:t>también</w:t>
      </w:r>
      <w:r>
        <w:rPr>
          <w:spacing w:val="-6"/>
        </w:rPr>
        <w:t xml:space="preserve"> </w:t>
      </w:r>
      <w:r>
        <w:t>a</w:t>
      </w:r>
      <w:r>
        <w:rPr>
          <w:spacing w:val="-5"/>
        </w:rPr>
        <w:t xml:space="preserve"> </w:t>
      </w:r>
      <w:r>
        <w:t>través de mecanismos de legitimación, establecimiento de normas y reglas.</w:t>
      </w:r>
    </w:p>
    <w:p w:rsidR="003804AC" w:rsidRDefault="00AF18A5" w:rsidP="003419E2">
      <w:r>
        <w:t>La investigación de la Comisión muestra que el paramilitarismo ha estado vinculado históricamente</w:t>
      </w:r>
      <w:r>
        <w:rPr>
          <w:spacing w:val="64"/>
        </w:rPr>
        <w:t xml:space="preserve"> </w:t>
      </w:r>
      <w:r>
        <w:t>con</w:t>
      </w:r>
      <w:r>
        <w:rPr>
          <w:spacing w:val="64"/>
        </w:rPr>
        <w:t xml:space="preserve"> </w:t>
      </w:r>
      <w:r>
        <w:t>decisiones</w:t>
      </w:r>
      <w:r>
        <w:rPr>
          <w:spacing w:val="65"/>
        </w:rPr>
        <w:t xml:space="preserve"> </w:t>
      </w:r>
      <w:r>
        <w:t>de</w:t>
      </w:r>
      <w:r>
        <w:rPr>
          <w:spacing w:val="63"/>
        </w:rPr>
        <w:t xml:space="preserve"> </w:t>
      </w:r>
      <w:r>
        <w:t>gobierno</w:t>
      </w:r>
      <w:r>
        <w:rPr>
          <w:spacing w:val="64"/>
        </w:rPr>
        <w:t xml:space="preserve"> </w:t>
      </w:r>
      <w:r>
        <w:t>e</w:t>
      </w:r>
      <w:r>
        <w:rPr>
          <w:spacing w:val="63"/>
        </w:rPr>
        <w:t xml:space="preserve"> </w:t>
      </w:r>
      <w:r>
        <w:t>instituciones</w:t>
      </w:r>
      <w:r>
        <w:rPr>
          <w:spacing w:val="63"/>
        </w:rPr>
        <w:t xml:space="preserve"> </w:t>
      </w:r>
      <w:r>
        <w:t>del</w:t>
      </w:r>
      <w:r>
        <w:rPr>
          <w:spacing w:val="65"/>
        </w:rPr>
        <w:t xml:space="preserve"> </w:t>
      </w:r>
      <w:r>
        <w:t>Estado</w:t>
      </w:r>
      <w:r w:rsidR="003419E2">
        <w:rPr>
          <w:rStyle w:val="Refdenotaalpie"/>
        </w:rPr>
        <w:footnoteReference w:id="328"/>
      </w:r>
      <w:r>
        <w:rPr>
          <w:spacing w:val="65"/>
        </w:rPr>
        <w:t xml:space="preserve"> </w:t>
      </w:r>
      <w:r>
        <w:t>ancladas</w:t>
      </w:r>
      <w:r>
        <w:rPr>
          <w:spacing w:val="65"/>
        </w:rPr>
        <w:t xml:space="preserve"> </w:t>
      </w:r>
      <w:r>
        <w:t>a</w:t>
      </w:r>
      <w:r>
        <w:rPr>
          <w:spacing w:val="63"/>
        </w:rPr>
        <w:t xml:space="preserve"> </w:t>
      </w:r>
      <w:r>
        <w:rPr>
          <w:spacing w:val="-5"/>
        </w:rPr>
        <w:t>la</w:t>
      </w:r>
      <w:bookmarkStart w:id="467" w:name="_bookmark373"/>
      <w:bookmarkStart w:id="468" w:name="_bookmark374"/>
      <w:bookmarkEnd w:id="467"/>
      <w:bookmarkEnd w:id="468"/>
      <w:r w:rsidR="003419E2">
        <w:rPr>
          <w:spacing w:val="-5"/>
        </w:rPr>
        <w:t xml:space="preserve"> </w:t>
      </w:r>
      <w:r>
        <w:t>tendencia estatal a la delegación de la seguridad pública, la coerción y las armas en grupos de</w:t>
      </w:r>
      <w:r>
        <w:rPr>
          <w:spacing w:val="-6"/>
        </w:rPr>
        <w:t xml:space="preserve"> </w:t>
      </w:r>
      <w:r>
        <w:t>civiles</w:t>
      </w:r>
      <w:r>
        <w:rPr>
          <w:spacing w:val="-6"/>
        </w:rPr>
        <w:t xml:space="preserve"> </w:t>
      </w:r>
      <w:r>
        <w:t>armados</w:t>
      </w:r>
      <w:r>
        <w:rPr>
          <w:spacing w:val="-6"/>
        </w:rPr>
        <w:t xml:space="preserve"> </w:t>
      </w:r>
      <w:r>
        <w:t>y</w:t>
      </w:r>
      <w:r>
        <w:rPr>
          <w:spacing w:val="-6"/>
        </w:rPr>
        <w:t xml:space="preserve"> </w:t>
      </w:r>
      <w:r>
        <w:t>agencias</w:t>
      </w:r>
      <w:r>
        <w:rPr>
          <w:spacing w:val="-6"/>
        </w:rPr>
        <w:t xml:space="preserve"> </w:t>
      </w:r>
      <w:r>
        <w:t>encargadas</w:t>
      </w:r>
      <w:r>
        <w:rPr>
          <w:spacing w:val="-6"/>
        </w:rPr>
        <w:t xml:space="preserve"> </w:t>
      </w:r>
      <w:r>
        <w:t>de</w:t>
      </w:r>
      <w:r>
        <w:rPr>
          <w:spacing w:val="-6"/>
        </w:rPr>
        <w:t xml:space="preserve"> </w:t>
      </w:r>
      <w:r>
        <w:t>proporcionar</w:t>
      </w:r>
      <w:r>
        <w:rPr>
          <w:spacing w:val="-5"/>
        </w:rPr>
        <w:t xml:space="preserve"> </w:t>
      </w:r>
      <w:r>
        <w:t>seguridad</w:t>
      </w:r>
      <w:r>
        <w:rPr>
          <w:spacing w:val="-6"/>
        </w:rPr>
        <w:t xml:space="preserve"> </w:t>
      </w:r>
      <w:r>
        <w:t>de</w:t>
      </w:r>
      <w:r>
        <w:rPr>
          <w:spacing w:val="-6"/>
        </w:rPr>
        <w:t xml:space="preserve"> </w:t>
      </w:r>
      <w:r>
        <w:t>manera</w:t>
      </w:r>
      <w:r>
        <w:rPr>
          <w:spacing w:val="-6"/>
        </w:rPr>
        <w:t xml:space="preserve"> </w:t>
      </w:r>
      <w:r>
        <w:t>privada</w:t>
      </w:r>
      <w:r>
        <w:rPr>
          <w:spacing w:val="-6"/>
        </w:rPr>
        <w:t xml:space="preserve"> </w:t>
      </w:r>
      <w:r>
        <w:t>bajo el objetivo de la seguridad y la defensa nacionales.</w:t>
      </w:r>
    </w:p>
    <w:p w:rsidR="003804AC" w:rsidRDefault="00AF18A5" w:rsidP="003419E2">
      <w:r>
        <w:t xml:space="preserve">Así, la Comisión encuentra que el paramilitarismo ha sido una estrategia armada y </w:t>
      </w:r>
      <w:r>
        <w:rPr>
          <w:spacing w:val="-2"/>
        </w:rPr>
        <w:t>paraestatal,</w:t>
      </w:r>
      <w:r>
        <w:rPr>
          <w:spacing w:val="-5"/>
        </w:rPr>
        <w:t xml:space="preserve"> </w:t>
      </w:r>
      <w:r>
        <w:rPr>
          <w:spacing w:val="-2"/>
        </w:rPr>
        <w:t>defensiva</w:t>
      </w:r>
      <w:r>
        <w:rPr>
          <w:spacing w:val="-4"/>
        </w:rPr>
        <w:t xml:space="preserve"> </w:t>
      </w:r>
      <w:r>
        <w:rPr>
          <w:spacing w:val="-2"/>
        </w:rPr>
        <w:t>y</w:t>
      </w:r>
      <w:r>
        <w:rPr>
          <w:spacing w:val="-6"/>
        </w:rPr>
        <w:t xml:space="preserve"> </w:t>
      </w:r>
      <w:r>
        <w:rPr>
          <w:spacing w:val="-2"/>
        </w:rPr>
        <w:t>ofensiva,</w:t>
      </w:r>
      <w:r>
        <w:rPr>
          <w:spacing w:val="-5"/>
        </w:rPr>
        <w:t xml:space="preserve"> </w:t>
      </w:r>
      <w:r>
        <w:rPr>
          <w:spacing w:val="-2"/>
        </w:rPr>
        <w:t>con</w:t>
      </w:r>
      <w:r>
        <w:rPr>
          <w:spacing w:val="-4"/>
        </w:rPr>
        <w:t xml:space="preserve"> </w:t>
      </w:r>
      <w:r>
        <w:rPr>
          <w:spacing w:val="-2"/>
        </w:rPr>
        <w:t>diversas</w:t>
      </w:r>
      <w:r>
        <w:rPr>
          <w:spacing w:val="-5"/>
        </w:rPr>
        <w:t xml:space="preserve"> </w:t>
      </w:r>
      <w:r>
        <w:rPr>
          <w:spacing w:val="-2"/>
        </w:rPr>
        <w:t>expresiones</w:t>
      </w:r>
      <w:r>
        <w:rPr>
          <w:spacing w:val="-4"/>
        </w:rPr>
        <w:t xml:space="preserve"> </w:t>
      </w:r>
      <w:r>
        <w:rPr>
          <w:spacing w:val="-2"/>
        </w:rPr>
        <w:t>regionales</w:t>
      </w:r>
      <w:r>
        <w:rPr>
          <w:spacing w:val="-4"/>
        </w:rPr>
        <w:t xml:space="preserve"> </w:t>
      </w:r>
      <w:r>
        <w:rPr>
          <w:spacing w:val="-2"/>
        </w:rPr>
        <w:t>y</w:t>
      </w:r>
      <w:r>
        <w:rPr>
          <w:spacing w:val="-5"/>
        </w:rPr>
        <w:t xml:space="preserve"> </w:t>
      </w:r>
      <w:r>
        <w:rPr>
          <w:spacing w:val="-2"/>
        </w:rPr>
        <w:t>cambios</w:t>
      </w:r>
      <w:r>
        <w:rPr>
          <w:spacing w:val="-5"/>
        </w:rPr>
        <w:t xml:space="preserve"> </w:t>
      </w:r>
      <w:r>
        <w:rPr>
          <w:spacing w:val="-2"/>
        </w:rPr>
        <w:t>en</w:t>
      </w:r>
      <w:r>
        <w:rPr>
          <w:spacing w:val="-4"/>
        </w:rPr>
        <w:t xml:space="preserve"> </w:t>
      </w:r>
      <w:r>
        <w:rPr>
          <w:spacing w:val="-2"/>
        </w:rPr>
        <w:t>el</w:t>
      </w:r>
      <w:r>
        <w:rPr>
          <w:spacing w:val="-5"/>
        </w:rPr>
        <w:t xml:space="preserve"> </w:t>
      </w:r>
      <w:r>
        <w:rPr>
          <w:spacing w:val="-2"/>
        </w:rPr>
        <w:t xml:space="preserve">tiempo, </w:t>
      </w:r>
      <w:r>
        <w:t>que se ha consolidado a</w:t>
      </w:r>
      <w:r>
        <w:rPr>
          <w:spacing w:val="-1"/>
        </w:rPr>
        <w:t xml:space="preserve"> </w:t>
      </w:r>
      <w:r>
        <w:t>partir de una</w:t>
      </w:r>
      <w:r>
        <w:rPr>
          <w:spacing w:val="-1"/>
        </w:rPr>
        <w:t xml:space="preserve"> </w:t>
      </w:r>
      <w:r>
        <w:t>coalición de poderes e</w:t>
      </w:r>
      <w:r>
        <w:rPr>
          <w:spacing w:val="-1"/>
        </w:rPr>
        <w:t xml:space="preserve"> </w:t>
      </w:r>
      <w:r>
        <w:t xml:space="preserve">intereses económicos, políticos y militares que </w:t>
      </w:r>
      <w:r>
        <w:lastRenderedPageBreak/>
        <w:t>operan en la ambigüedad entre lo legal y lo ilegal, que incluye grupos narcotraficantes y que se sumó a la respuesta a una amenaza persistente: la insurgencia y la población</w:t>
      </w:r>
      <w:r>
        <w:rPr>
          <w:spacing w:val="-12"/>
        </w:rPr>
        <w:t xml:space="preserve"> </w:t>
      </w:r>
      <w:r>
        <w:t>civil</w:t>
      </w:r>
      <w:r>
        <w:rPr>
          <w:spacing w:val="-12"/>
        </w:rPr>
        <w:t xml:space="preserve"> </w:t>
      </w:r>
      <w:r>
        <w:t>señalada</w:t>
      </w:r>
      <w:r>
        <w:rPr>
          <w:spacing w:val="-12"/>
        </w:rPr>
        <w:t xml:space="preserve"> </w:t>
      </w:r>
      <w:r>
        <w:t>como</w:t>
      </w:r>
      <w:r>
        <w:rPr>
          <w:spacing w:val="-12"/>
        </w:rPr>
        <w:t xml:space="preserve"> </w:t>
      </w:r>
      <w:r>
        <w:t>su</w:t>
      </w:r>
      <w:r>
        <w:rPr>
          <w:spacing w:val="-12"/>
        </w:rPr>
        <w:t xml:space="preserve"> </w:t>
      </w:r>
      <w:r>
        <w:t>apoyo.</w:t>
      </w:r>
      <w:r>
        <w:rPr>
          <w:spacing w:val="-12"/>
        </w:rPr>
        <w:t xml:space="preserve"> </w:t>
      </w:r>
      <w:r>
        <w:t>Pero</w:t>
      </w:r>
      <w:r>
        <w:rPr>
          <w:spacing w:val="-12"/>
        </w:rPr>
        <w:t xml:space="preserve"> </w:t>
      </w:r>
      <w:r>
        <w:t>los</w:t>
      </w:r>
      <w:r>
        <w:rPr>
          <w:spacing w:val="-12"/>
        </w:rPr>
        <w:t xml:space="preserve"> </w:t>
      </w:r>
      <w:r>
        <w:t>fines</w:t>
      </w:r>
      <w:r>
        <w:rPr>
          <w:spacing w:val="-12"/>
        </w:rPr>
        <w:t xml:space="preserve"> </w:t>
      </w:r>
      <w:r>
        <w:t>comunes</w:t>
      </w:r>
      <w:r>
        <w:rPr>
          <w:spacing w:val="-12"/>
        </w:rPr>
        <w:t xml:space="preserve"> </w:t>
      </w:r>
      <w:r>
        <w:t>de</w:t>
      </w:r>
      <w:r>
        <w:rPr>
          <w:spacing w:val="-12"/>
        </w:rPr>
        <w:t xml:space="preserve"> </w:t>
      </w:r>
      <w:r>
        <w:t>los</w:t>
      </w:r>
      <w:r>
        <w:rPr>
          <w:spacing w:val="-12"/>
        </w:rPr>
        <w:t xml:space="preserve"> </w:t>
      </w:r>
      <w:r>
        <w:t>actores</w:t>
      </w:r>
      <w:r>
        <w:rPr>
          <w:spacing w:val="-12"/>
        </w:rPr>
        <w:t xml:space="preserve"> </w:t>
      </w:r>
      <w:r>
        <w:t>del</w:t>
      </w:r>
      <w:r>
        <w:rPr>
          <w:spacing w:val="-12"/>
        </w:rPr>
        <w:t xml:space="preserve"> </w:t>
      </w:r>
      <w:r>
        <w:t>entramado han trascendido la contrainsurgencia, entendida como una lucha contra la guerrilla, que es solo</w:t>
      </w:r>
      <w:r>
        <w:rPr>
          <w:spacing w:val="-15"/>
        </w:rPr>
        <w:t xml:space="preserve"> </w:t>
      </w:r>
      <w:r>
        <w:t>una</w:t>
      </w:r>
      <w:r>
        <w:rPr>
          <w:spacing w:val="-15"/>
        </w:rPr>
        <w:t xml:space="preserve"> </w:t>
      </w:r>
      <w:r>
        <w:t>capa</w:t>
      </w:r>
      <w:r>
        <w:rPr>
          <w:spacing w:val="-15"/>
        </w:rPr>
        <w:t xml:space="preserve"> </w:t>
      </w:r>
      <w:r>
        <w:t>del</w:t>
      </w:r>
      <w:r>
        <w:rPr>
          <w:spacing w:val="-15"/>
        </w:rPr>
        <w:t xml:space="preserve"> </w:t>
      </w:r>
      <w:r>
        <w:t>conjunto</w:t>
      </w:r>
      <w:r>
        <w:rPr>
          <w:spacing w:val="-15"/>
        </w:rPr>
        <w:t xml:space="preserve"> </w:t>
      </w:r>
      <w:r>
        <w:t>de</w:t>
      </w:r>
      <w:r>
        <w:rPr>
          <w:spacing w:val="-15"/>
        </w:rPr>
        <w:t xml:space="preserve"> </w:t>
      </w:r>
      <w:r>
        <w:t>motivaciones</w:t>
      </w:r>
      <w:r>
        <w:rPr>
          <w:spacing w:val="-15"/>
        </w:rPr>
        <w:t xml:space="preserve"> </w:t>
      </w:r>
      <w:r>
        <w:t>que</w:t>
      </w:r>
      <w:r>
        <w:rPr>
          <w:spacing w:val="-15"/>
        </w:rPr>
        <w:t xml:space="preserve"> </w:t>
      </w:r>
      <w:r>
        <w:t>se</w:t>
      </w:r>
      <w:r>
        <w:rPr>
          <w:spacing w:val="-15"/>
        </w:rPr>
        <w:t xml:space="preserve"> </w:t>
      </w:r>
      <w:r>
        <w:t>conectan</w:t>
      </w:r>
      <w:r>
        <w:rPr>
          <w:spacing w:val="-15"/>
        </w:rPr>
        <w:t xml:space="preserve"> </w:t>
      </w:r>
      <w:r>
        <w:t>en</w:t>
      </w:r>
      <w:r>
        <w:rPr>
          <w:spacing w:val="-15"/>
        </w:rPr>
        <w:t xml:space="preserve"> </w:t>
      </w:r>
      <w:r>
        <w:t>la</w:t>
      </w:r>
      <w:r>
        <w:rPr>
          <w:spacing w:val="-15"/>
        </w:rPr>
        <w:t xml:space="preserve"> </w:t>
      </w:r>
      <w:r>
        <w:t>disputa</w:t>
      </w:r>
      <w:r>
        <w:rPr>
          <w:spacing w:val="-15"/>
        </w:rPr>
        <w:t xml:space="preserve"> </w:t>
      </w:r>
      <w:r>
        <w:t>por</w:t>
      </w:r>
      <w:r>
        <w:rPr>
          <w:spacing w:val="-15"/>
        </w:rPr>
        <w:t xml:space="preserve"> </w:t>
      </w:r>
      <w:r>
        <w:t>el</w:t>
      </w:r>
      <w:r>
        <w:rPr>
          <w:spacing w:val="-15"/>
        </w:rPr>
        <w:t xml:space="preserve"> </w:t>
      </w:r>
      <w:r>
        <w:t>poder</w:t>
      </w:r>
      <w:r>
        <w:rPr>
          <w:spacing w:val="-15"/>
        </w:rPr>
        <w:t xml:space="preserve"> </w:t>
      </w:r>
      <w:r>
        <w:t>político y económico.</w:t>
      </w:r>
    </w:p>
    <w:p w:rsidR="003804AC" w:rsidRDefault="00AF18A5" w:rsidP="005758FC">
      <w:r>
        <w:t>Mientras tanto, predominó durante décadas la negación del fenómeno por parte de las Fuerzas Militares,</w:t>
      </w:r>
      <w:r>
        <w:rPr>
          <w:spacing w:val="-1"/>
        </w:rPr>
        <w:t xml:space="preserve"> </w:t>
      </w:r>
      <w:r>
        <w:t>así como su minimización o</w:t>
      </w:r>
      <w:r>
        <w:rPr>
          <w:spacing w:val="-1"/>
        </w:rPr>
        <w:t xml:space="preserve"> </w:t>
      </w:r>
      <w:r>
        <w:t>justificación</w:t>
      </w:r>
      <w:r>
        <w:rPr>
          <w:spacing w:val="-1"/>
        </w:rPr>
        <w:t xml:space="preserve"> </w:t>
      </w:r>
      <w:r>
        <w:t>en la</w:t>
      </w:r>
      <w:r>
        <w:rPr>
          <w:spacing w:val="-1"/>
        </w:rPr>
        <w:t xml:space="preserve"> </w:t>
      </w:r>
      <w:r>
        <w:t>lucha</w:t>
      </w:r>
      <w:r>
        <w:rPr>
          <w:spacing w:val="-1"/>
        </w:rPr>
        <w:t xml:space="preserve"> </w:t>
      </w:r>
      <w:r>
        <w:t xml:space="preserve">contrainsurgente, lo que contribuyó a su expansión y fortalecimiento. Sin reconocimiento de estos hechos ni la puesta en marcha de los mecanismos institucionales, económicos y políticos para su desmantelamiento, el paramilitarismo seguirá siendo un factor fundamental de violencia. Parte de lo que queda por desmantelar son, precisamente, los profundos entramados de las </w:t>
      </w:r>
      <w:r>
        <w:rPr>
          <w:spacing w:val="-2"/>
        </w:rPr>
        <w:t>alianzas.</w:t>
      </w:r>
    </w:p>
    <w:p w:rsidR="003804AC" w:rsidRDefault="00AF18A5" w:rsidP="005758FC">
      <w:r>
        <w:t>Esta disputa se convirtió en una guerra con miles de víctimas, librada principalmente contra civiles desarmados y que ha llevado a una degradación cada vez más profunda, no únicamente en términos del número de víctimas, sino también en formas que escalaron los niveles de horror y crueldad. El actuar de los grupos paramilitares, lejos de desarrollarse en un</w:t>
      </w:r>
      <w:r>
        <w:rPr>
          <w:spacing w:val="6"/>
        </w:rPr>
        <w:t xml:space="preserve"> </w:t>
      </w:r>
      <w:r>
        <w:t>campo</w:t>
      </w:r>
      <w:r>
        <w:rPr>
          <w:spacing w:val="8"/>
        </w:rPr>
        <w:t xml:space="preserve"> </w:t>
      </w:r>
      <w:r>
        <w:t>de</w:t>
      </w:r>
      <w:r>
        <w:rPr>
          <w:spacing w:val="10"/>
        </w:rPr>
        <w:t xml:space="preserve"> </w:t>
      </w:r>
      <w:r>
        <w:t>batalla</w:t>
      </w:r>
      <w:r>
        <w:rPr>
          <w:spacing w:val="10"/>
        </w:rPr>
        <w:t xml:space="preserve"> </w:t>
      </w:r>
      <w:r>
        <w:t>dedicado</w:t>
      </w:r>
      <w:r>
        <w:rPr>
          <w:spacing w:val="9"/>
        </w:rPr>
        <w:t xml:space="preserve"> </w:t>
      </w:r>
      <w:r>
        <w:t>a</w:t>
      </w:r>
      <w:r>
        <w:rPr>
          <w:spacing w:val="8"/>
        </w:rPr>
        <w:t xml:space="preserve"> </w:t>
      </w:r>
      <w:r>
        <w:t>la</w:t>
      </w:r>
      <w:r>
        <w:rPr>
          <w:spacing w:val="6"/>
        </w:rPr>
        <w:t xml:space="preserve"> </w:t>
      </w:r>
      <w:r>
        <w:t>confrontación</w:t>
      </w:r>
      <w:r>
        <w:rPr>
          <w:spacing w:val="9"/>
        </w:rPr>
        <w:t xml:space="preserve"> </w:t>
      </w:r>
      <w:r>
        <w:t>armada</w:t>
      </w:r>
      <w:r>
        <w:rPr>
          <w:spacing w:val="10"/>
        </w:rPr>
        <w:t xml:space="preserve"> </w:t>
      </w:r>
      <w:r>
        <w:t>entre</w:t>
      </w:r>
      <w:r>
        <w:rPr>
          <w:spacing w:val="8"/>
        </w:rPr>
        <w:t xml:space="preserve"> </w:t>
      </w:r>
      <w:r>
        <w:t>ejércitos,</w:t>
      </w:r>
      <w:r>
        <w:rPr>
          <w:spacing w:val="8"/>
        </w:rPr>
        <w:t xml:space="preserve"> </w:t>
      </w:r>
      <w:r>
        <w:t>ha</w:t>
      </w:r>
      <w:r>
        <w:rPr>
          <w:spacing w:val="10"/>
        </w:rPr>
        <w:t xml:space="preserve"> </w:t>
      </w:r>
      <w:r>
        <w:t>estado</w:t>
      </w:r>
      <w:r>
        <w:rPr>
          <w:spacing w:val="9"/>
        </w:rPr>
        <w:t xml:space="preserve"> </w:t>
      </w:r>
      <w:r>
        <w:rPr>
          <w:spacing w:val="-2"/>
        </w:rPr>
        <w:t>definido</w:t>
      </w:r>
      <w:r w:rsidR="005758FC">
        <w:rPr>
          <w:spacing w:val="-2"/>
        </w:rPr>
        <w:t xml:space="preserve"> </w:t>
      </w:r>
      <w:r>
        <w:t>por acciones contra la población civil desarmada, que fue el objetivo estratégico y el centro del enfrentamiento bajo la justificación contrainsurgente de «quitarle el agua al pez»</w:t>
      </w:r>
      <w:r w:rsidR="005758FC">
        <w:rPr>
          <w:rStyle w:val="Refdenotaalpie"/>
        </w:rPr>
        <w:footnoteReference w:id="329"/>
      </w:r>
      <w:r>
        <w:t>.</w:t>
      </w:r>
    </w:p>
    <w:p w:rsidR="003804AC" w:rsidRDefault="00AF18A5" w:rsidP="005758FC">
      <w:r>
        <w:lastRenderedPageBreak/>
        <w:t>El conflicto armado fue el contexto que fortaleció el paramilitarismo de tal modo que no podría haber alcanzado las magnitudes que tuvo en un país sin guerra. Así, leer el paramilitarismo en el marco del conflicto armado permite entenderlo, en el conjunto de acciones,</w:t>
      </w:r>
      <w:r>
        <w:rPr>
          <w:spacing w:val="-3"/>
        </w:rPr>
        <w:t xml:space="preserve"> </w:t>
      </w:r>
      <w:r>
        <w:t>reacciones</w:t>
      </w:r>
      <w:r>
        <w:rPr>
          <w:spacing w:val="-3"/>
        </w:rPr>
        <w:t xml:space="preserve"> </w:t>
      </w:r>
      <w:r>
        <w:t>y</w:t>
      </w:r>
      <w:r>
        <w:rPr>
          <w:spacing w:val="-3"/>
        </w:rPr>
        <w:t xml:space="preserve"> </w:t>
      </w:r>
      <w:r>
        <w:t>enlaces</w:t>
      </w:r>
      <w:r>
        <w:rPr>
          <w:spacing w:val="-3"/>
        </w:rPr>
        <w:t xml:space="preserve"> </w:t>
      </w:r>
      <w:r>
        <w:t>entre</w:t>
      </w:r>
      <w:r>
        <w:rPr>
          <w:spacing w:val="-3"/>
        </w:rPr>
        <w:t xml:space="preserve"> </w:t>
      </w:r>
      <w:r>
        <w:t>los</w:t>
      </w:r>
      <w:r>
        <w:rPr>
          <w:spacing w:val="-3"/>
        </w:rPr>
        <w:t xml:space="preserve"> </w:t>
      </w:r>
      <w:r>
        <w:t>distintos</w:t>
      </w:r>
      <w:r>
        <w:rPr>
          <w:spacing w:val="-3"/>
        </w:rPr>
        <w:t xml:space="preserve"> </w:t>
      </w:r>
      <w:r>
        <w:t>actores</w:t>
      </w:r>
      <w:r>
        <w:rPr>
          <w:spacing w:val="-3"/>
        </w:rPr>
        <w:t xml:space="preserve"> </w:t>
      </w:r>
      <w:r>
        <w:t>de</w:t>
      </w:r>
      <w:r>
        <w:rPr>
          <w:spacing w:val="-3"/>
        </w:rPr>
        <w:t xml:space="preserve"> </w:t>
      </w:r>
      <w:r>
        <w:t>la</w:t>
      </w:r>
      <w:r>
        <w:rPr>
          <w:spacing w:val="-3"/>
        </w:rPr>
        <w:t xml:space="preserve"> </w:t>
      </w:r>
      <w:r>
        <w:t>guerra</w:t>
      </w:r>
      <w:r>
        <w:rPr>
          <w:spacing w:val="-3"/>
        </w:rPr>
        <w:t xml:space="preserve"> </w:t>
      </w:r>
      <w:r>
        <w:t>y</w:t>
      </w:r>
      <w:r>
        <w:rPr>
          <w:spacing w:val="-3"/>
        </w:rPr>
        <w:t xml:space="preserve"> </w:t>
      </w:r>
      <w:r>
        <w:t>el</w:t>
      </w:r>
      <w:r>
        <w:rPr>
          <w:spacing w:val="-3"/>
        </w:rPr>
        <w:t xml:space="preserve"> </w:t>
      </w:r>
      <w:r>
        <w:t>escalamiento</w:t>
      </w:r>
      <w:r>
        <w:rPr>
          <w:spacing w:val="-3"/>
        </w:rPr>
        <w:t xml:space="preserve"> </w:t>
      </w:r>
      <w:r>
        <w:t>de</w:t>
      </w:r>
      <w:r>
        <w:rPr>
          <w:spacing w:val="-3"/>
        </w:rPr>
        <w:t xml:space="preserve"> </w:t>
      </w:r>
      <w:r>
        <w:t>la violencia</w:t>
      </w:r>
      <w:r>
        <w:rPr>
          <w:spacing w:val="-1"/>
        </w:rPr>
        <w:t xml:space="preserve"> </w:t>
      </w:r>
      <w:r>
        <w:t>que</w:t>
      </w:r>
      <w:r>
        <w:rPr>
          <w:spacing w:val="-1"/>
        </w:rPr>
        <w:t xml:space="preserve"> </w:t>
      </w:r>
      <w:r>
        <w:t>esto</w:t>
      </w:r>
      <w:r>
        <w:rPr>
          <w:spacing w:val="-1"/>
        </w:rPr>
        <w:t xml:space="preserve"> </w:t>
      </w:r>
      <w:r>
        <w:t>produjo.</w:t>
      </w:r>
      <w:r>
        <w:rPr>
          <w:spacing w:val="-1"/>
        </w:rPr>
        <w:t xml:space="preserve"> </w:t>
      </w:r>
      <w:r>
        <w:t>Por</w:t>
      </w:r>
      <w:r>
        <w:rPr>
          <w:spacing w:val="-1"/>
        </w:rPr>
        <w:t xml:space="preserve"> </w:t>
      </w:r>
      <w:r>
        <w:t>ejemplo,</w:t>
      </w:r>
      <w:r>
        <w:rPr>
          <w:spacing w:val="-1"/>
        </w:rPr>
        <w:t xml:space="preserve"> </w:t>
      </w:r>
      <w:r>
        <w:t>tránsitos</w:t>
      </w:r>
      <w:r>
        <w:rPr>
          <w:spacing w:val="-1"/>
        </w:rPr>
        <w:t xml:space="preserve"> </w:t>
      </w:r>
      <w:r>
        <w:t>intergrupales</w:t>
      </w:r>
      <w:r>
        <w:rPr>
          <w:spacing w:val="-1"/>
        </w:rPr>
        <w:t xml:space="preserve"> </w:t>
      </w:r>
      <w:r>
        <w:t>han</w:t>
      </w:r>
      <w:r>
        <w:rPr>
          <w:spacing w:val="-1"/>
        </w:rPr>
        <w:t xml:space="preserve"> </w:t>
      </w:r>
      <w:r>
        <w:t>sido</w:t>
      </w:r>
      <w:r>
        <w:rPr>
          <w:spacing w:val="-2"/>
        </w:rPr>
        <w:t xml:space="preserve"> </w:t>
      </w:r>
      <w:r>
        <w:t>uno</w:t>
      </w:r>
      <w:r>
        <w:rPr>
          <w:spacing w:val="-1"/>
        </w:rPr>
        <w:t xml:space="preserve"> </w:t>
      </w:r>
      <w:r>
        <w:t>de</w:t>
      </w:r>
      <w:r>
        <w:rPr>
          <w:spacing w:val="-1"/>
        </w:rPr>
        <w:t xml:space="preserve"> </w:t>
      </w:r>
      <w:r>
        <w:t>los</w:t>
      </w:r>
      <w:r>
        <w:rPr>
          <w:spacing w:val="-1"/>
        </w:rPr>
        <w:t xml:space="preserve"> </w:t>
      </w:r>
      <w:r>
        <w:t xml:space="preserve">factores de agudización, degradación, prolongación de la guerra. Algunos casos que los demuestran son el tránsito de combatientes del Frente 11 de las FARC a grupos paramilitares en el Magdalena Medio a mediados de los ochenta; y los tránsitos de excombatientes del EPL, posteriormente disidentes de esta guerrilla e integrantes de los denominados Comandos Populares, que se reconfiguraron una y otra vez, hasta conformar las Autodefensas </w:t>
      </w:r>
      <w:proofErr w:type="spellStart"/>
      <w:r>
        <w:t>Gaitanistas</w:t>
      </w:r>
      <w:proofErr w:type="spellEnd"/>
      <w:r>
        <w:t xml:space="preserve"> de Colombia (AGC) o Clan del Golfo</w:t>
      </w:r>
      <w:r>
        <w:rPr>
          <w:vertAlign w:val="superscript"/>
        </w:rPr>
        <w:t>1</w:t>
      </w:r>
      <w:r>
        <w:t>.</w:t>
      </w:r>
    </w:p>
    <w:p w:rsidR="003804AC" w:rsidRDefault="00AF18A5" w:rsidP="005758FC">
      <w:r>
        <w:t>Como parte de estos cambios en el liderazgo y uso de los ejércitos paramilitares, desde finales de los años setenta, y al menos durante las últimas cinco décadas, el narcotráfico ha sido</w:t>
      </w:r>
      <w:r>
        <w:rPr>
          <w:spacing w:val="-7"/>
        </w:rPr>
        <w:t xml:space="preserve"> </w:t>
      </w:r>
      <w:r>
        <w:t>parte</w:t>
      </w:r>
      <w:r>
        <w:rPr>
          <w:spacing w:val="-7"/>
        </w:rPr>
        <w:t xml:space="preserve"> </w:t>
      </w:r>
      <w:r>
        <w:t>medular</w:t>
      </w:r>
      <w:r>
        <w:rPr>
          <w:spacing w:val="-7"/>
        </w:rPr>
        <w:t xml:space="preserve"> </w:t>
      </w:r>
      <w:r>
        <w:t>y</w:t>
      </w:r>
      <w:r>
        <w:rPr>
          <w:spacing w:val="-7"/>
        </w:rPr>
        <w:t xml:space="preserve"> </w:t>
      </w:r>
      <w:r>
        <w:t>motor</w:t>
      </w:r>
      <w:r>
        <w:rPr>
          <w:spacing w:val="-7"/>
        </w:rPr>
        <w:t xml:space="preserve"> </w:t>
      </w:r>
      <w:r>
        <w:t>del</w:t>
      </w:r>
      <w:r>
        <w:rPr>
          <w:spacing w:val="-7"/>
        </w:rPr>
        <w:t xml:space="preserve"> </w:t>
      </w:r>
      <w:r>
        <w:t>entramado</w:t>
      </w:r>
      <w:r>
        <w:rPr>
          <w:spacing w:val="-7"/>
        </w:rPr>
        <w:t xml:space="preserve"> </w:t>
      </w:r>
      <w:r>
        <w:t>de</w:t>
      </w:r>
      <w:r>
        <w:rPr>
          <w:spacing w:val="-7"/>
        </w:rPr>
        <w:t xml:space="preserve"> </w:t>
      </w:r>
      <w:r>
        <w:t>intereses,</w:t>
      </w:r>
      <w:r>
        <w:rPr>
          <w:spacing w:val="-7"/>
        </w:rPr>
        <w:t xml:space="preserve"> </w:t>
      </w:r>
      <w:r>
        <w:t>relaciones</w:t>
      </w:r>
      <w:r>
        <w:rPr>
          <w:spacing w:val="-7"/>
        </w:rPr>
        <w:t xml:space="preserve"> </w:t>
      </w:r>
      <w:r>
        <w:t>y</w:t>
      </w:r>
      <w:r>
        <w:rPr>
          <w:spacing w:val="-7"/>
        </w:rPr>
        <w:t xml:space="preserve"> </w:t>
      </w:r>
      <w:r>
        <w:t>proyectos</w:t>
      </w:r>
      <w:r>
        <w:rPr>
          <w:spacing w:val="-7"/>
        </w:rPr>
        <w:t xml:space="preserve"> </w:t>
      </w:r>
      <w:r>
        <w:t>que</w:t>
      </w:r>
      <w:r>
        <w:rPr>
          <w:spacing w:val="-7"/>
        </w:rPr>
        <w:t xml:space="preserve"> </w:t>
      </w:r>
      <w:r>
        <w:t>se</w:t>
      </w:r>
      <w:r>
        <w:rPr>
          <w:spacing w:val="-7"/>
        </w:rPr>
        <w:t xml:space="preserve"> </w:t>
      </w:r>
      <w:r>
        <w:t>anudan y protegen en el paramilitarismo.</w:t>
      </w:r>
    </w:p>
    <w:p w:rsidR="003804AC" w:rsidRDefault="00AF18A5" w:rsidP="005758FC">
      <w:r>
        <w:t>La Comisión ha encontrado que, en</w:t>
      </w:r>
      <w:r>
        <w:rPr>
          <w:spacing w:val="-2"/>
        </w:rPr>
        <w:t xml:space="preserve"> </w:t>
      </w:r>
      <w:r>
        <w:t>la década de</w:t>
      </w:r>
      <w:r>
        <w:rPr>
          <w:spacing w:val="-1"/>
        </w:rPr>
        <w:t xml:space="preserve"> </w:t>
      </w:r>
      <w:r>
        <w:t>los ochenta,</w:t>
      </w:r>
      <w:r>
        <w:rPr>
          <w:spacing w:val="-1"/>
        </w:rPr>
        <w:t xml:space="preserve"> </w:t>
      </w:r>
      <w:r>
        <w:t>el narcotráfico y</w:t>
      </w:r>
      <w:r>
        <w:rPr>
          <w:spacing w:val="-1"/>
        </w:rPr>
        <w:t xml:space="preserve"> </w:t>
      </w:r>
      <w:r>
        <w:t>las</w:t>
      </w:r>
      <w:r>
        <w:rPr>
          <w:spacing w:val="-1"/>
        </w:rPr>
        <w:t xml:space="preserve"> </w:t>
      </w:r>
      <w:r>
        <w:t xml:space="preserve">mafias entraron a la escena del conflicto armado y del sistema político colombiano por vía contrainsurgente, constituyendo los grupos paramilitares. El tránsito del grupo Muerte a Secuestradores (MAS) y de Los </w:t>
      </w:r>
      <w:proofErr w:type="spellStart"/>
      <w:r>
        <w:t>Masetos</w:t>
      </w:r>
      <w:proofErr w:type="spellEnd"/>
      <w:r>
        <w:t xml:space="preserve"> a Perseguidos por Pablo Escobar (Pepes), luego </w:t>
      </w:r>
      <w:r>
        <w:lastRenderedPageBreak/>
        <w:t>a las Autodefensas Campesinas de Córdoba y Urabá (ACCU) y, posteriormente, a las Autodefensas Unidas de Colombia (AUC), devela la extensión del entramado paramilitar y su</w:t>
      </w:r>
      <w:r>
        <w:rPr>
          <w:spacing w:val="-1"/>
        </w:rPr>
        <w:t xml:space="preserve"> </w:t>
      </w:r>
      <w:r>
        <w:t>imbricación</w:t>
      </w:r>
      <w:r>
        <w:rPr>
          <w:spacing w:val="2"/>
        </w:rPr>
        <w:t xml:space="preserve"> </w:t>
      </w:r>
      <w:r>
        <w:t>con</w:t>
      </w:r>
      <w:r>
        <w:rPr>
          <w:spacing w:val="1"/>
        </w:rPr>
        <w:t xml:space="preserve"> </w:t>
      </w:r>
      <w:r>
        <w:t>el</w:t>
      </w:r>
      <w:r>
        <w:rPr>
          <w:spacing w:val="3"/>
        </w:rPr>
        <w:t xml:space="preserve"> </w:t>
      </w:r>
      <w:r>
        <w:t>narcotráfico.</w:t>
      </w:r>
      <w:r>
        <w:rPr>
          <w:spacing w:val="1"/>
        </w:rPr>
        <w:t xml:space="preserve"> </w:t>
      </w:r>
      <w:r>
        <w:t>Así</w:t>
      </w:r>
      <w:r>
        <w:rPr>
          <w:spacing w:val="2"/>
        </w:rPr>
        <w:t xml:space="preserve"> </w:t>
      </w:r>
      <w:r>
        <w:t>mismo,</w:t>
      </w:r>
      <w:r>
        <w:rPr>
          <w:spacing w:val="1"/>
        </w:rPr>
        <w:t xml:space="preserve"> </w:t>
      </w:r>
      <w:r>
        <w:t>en</w:t>
      </w:r>
      <w:r>
        <w:rPr>
          <w:spacing w:val="2"/>
        </w:rPr>
        <w:t xml:space="preserve"> </w:t>
      </w:r>
      <w:r>
        <w:t>la fase</w:t>
      </w:r>
      <w:r>
        <w:rPr>
          <w:spacing w:val="1"/>
        </w:rPr>
        <w:t xml:space="preserve"> </w:t>
      </w:r>
      <w:r>
        <w:t>actual</w:t>
      </w:r>
      <w:r>
        <w:rPr>
          <w:spacing w:val="3"/>
        </w:rPr>
        <w:t xml:space="preserve"> </w:t>
      </w:r>
      <w:r>
        <w:t>del</w:t>
      </w:r>
      <w:r>
        <w:rPr>
          <w:spacing w:val="2"/>
        </w:rPr>
        <w:t xml:space="preserve"> </w:t>
      </w:r>
      <w:r>
        <w:t>paramilitarismo,</w:t>
      </w:r>
      <w:r>
        <w:rPr>
          <w:spacing w:val="1"/>
        </w:rPr>
        <w:t xml:space="preserve"> </w:t>
      </w:r>
      <w:r>
        <w:t>que</w:t>
      </w:r>
      <w:r>
        <w:rPr>
          <w:spacing w:val="2"/>
        </w:rPr>
        <w:t xml:space="preserve"> </w:t>
      </w:r>
      <w:r>
        <w:rPr>
          <w:spacing w:val="-5"/>
        </w:rPr>
        <w:t>ha</w:t>
      </w:r>
      <w:bookmarkStart w:id="469" w:name="_bookmark375"/>
      <w:bookmarkEnd w:id="469"/>
      <w:r w:rsidR="005758FC">
        <w:rPr>
          <w:spacing w:val="-5"/>
        </w:rPr>
        <w:t xml:space="preserve"> </w:t>
      </w:r>
      <w:r>
        <w:t>tenido desarrollo con posterioridad a la desmovilización colectiva de las AUC, el nudo está en la relación con el narcotráfico.</w:t>
      </w:r>
    </w:p>
    <w:p w:rsidR="003804AC" w:rsidRDefault="00AF18A5" w:rsidP="005758FC">
      <w:r>
        <w:t>En</w:t>
      </w:r>
      <w:r>
        <w:rPr>
          <w:spacing w:val="-12"/>
        </w:rPr>
        <w:t xml:space="preserve"> </w:t>
      </w:r>
      <w:r>
        <w:t>los</w:t>
      </w:r>
      <w:r>
        <w:rPr>
          <w:spacing w:val="-12"/>
        </w:rPr>
        <w:t xml:space="preserve"> </w:t>
      </w:r>
      <w:r>
        <w:t>años</w:t>
      </w:r>
      <w:r>
        <w:rPr>
          <w:spacing w:val="-13"/>
        </w:rPr>
        <w:t xml:space="preserve"> </w:t>
      </w:r>
      <w:r>
        <w:t>ochenta</w:t>
      </w:r>
      <w:r>
        <w:rPr>
          <w:spacing w:val="-12"/>
        </w:rPr>
        <w:t xml:space="preserve"> </w:t>
      </w:r>
      <w:r>
        <w:t>el</w:t>
      </w:r>
      <w:r>
        <w:rPr>
          <w:spacing w:val="-12"/>
        </w:rPr>
        <w:t xml:space="preserve"> </w:t>
      </w:r>
      <w:r>
        <w:t>brazo</w:t>
      </w:r>
      <w:r>
        <w:rPr>
          <w:spacing w:val="-12"/>
        </w:rPr>
        <w:t xml:space="preserve"> </w:t>
      </w:r>
      <w:r>
        <w:t>armado</w:t>
      </w:r>
      <w:r>
        <w:rPr>
          <w:spacing w:val="-13"/>
        </w:rPr>
        <w:t xml:space="preserve"> </w:t>
      </w:r>
      <w:r>
        <w:t>del</w:t>
      </w:r>
      <w:r>
        <w:rPr>
          <w:spacing w:val="-12"/>
        </w:rPr>
        <w:t xml:space="preserve"> </w:t>
      </w:r>
      <w:r>
        <w:t>paramilitarismo</w:t>
      </w:r>
      <w:r>
        <w:rPr>
          <w:spacing w:val="-12"/>
        </w:rPr>
        <w:t xml:space="preserve"> </w:t>
      </w:r>
      <w:r>
        <w:t>se</w:t>
      </w:r>
      <w:r>
        <w:rPr>
          <w:spacing w:val="-12"/>
        </w:rPr>
        <w:t xml:space="preserve"> </w:t>
      </w:r>
      <w:r>
        <w:t>especializó</w:t>
      </w:r>
      <w:r>
        <w:rPr>
          <w:spacing w:val="-12"/>
        </w:rPr>
        <w:t xml:space="preserve"> </w:t>
      </w:r>
      <w:r>
        <w:t>en</w:t>
      </w:r>
      <w:r>
        <w:rPr>
          <w:spacing w:val="-13"/>
        </w:rPr>
        <w:t xml:space="preserve"> </w:t>
      </w:r>
      <w:r>
        <w:t>el</w:t>
      </w:r>
      <w:r>
        <w:rPr>
          <w:spacing w:val="-12"/>
        </w:rPr>
        <w:t xml:space="preserve"> </w:t>
      </w:r>
      <w:r>
        <w:t>uso</w:t>
      </w:r>
      <w:r>
        <w:rPr>
          <w:spacing w:val="-12"/>
        </w:rPr>
        <w:t xml:space="preserve"> </w:t>
      </w:r>
      <w:r>
        <w:t>del</w:t>
      </w:r>
      <w:r>
        <w:rPr>
          <w:spacing w:val="-13"/>
        </w:rPr>
        <w:t xml:space="preserve"> </w:t>
      </w:r>
      <w:r>
        <w:t>terror y la muerte bajo la dirección, la inyección de recursos y los intereses asociados al narcotráfico: la protección de laboratorios, la producción y comercialización de droga y la protección</w:t>
      </w:r>
      <w:r>
        <w:rPr>
          <w:spacing w:val="-5"/>
        </w:rPr>
        <w:t xml:space="preserve"> </w:t>
      </w:r>
      <w:r>
        <w:t>y</w:t>
      </w:r>
      <w:r>
        <w:rPr>
          <w:spacing w:val="-6"/>
        </w:rPr>
        <w:t xml:space="preserve"> </w:t>
      </w:r>
      <w:r>
        <w:t>expansión</w:t>
      </w:r>
      <w:r>
        <w:rPr>
          <w:spacing w:val="-5"/>
        </w:rPr>
        <w:t xml:space="preserve"> </w:t>
      </w:r>
      <w:r>
        <w:t>de</w:t>
      </w:r>
      <w:r>
        <w:rPr>
          <w:spacing w:val="-4"/>
        </w:rPr>
        <w:t xml:space="preserve"> </w:t>
      </w:r>
      <w:r>
        <w:t>las</w:t>
      </w:r>
      <w:r>
        <w:rPr>
          <w:spacing w:val="-4"/>
        </w:rPr>
        <w:t xml:space="preserve"> </w:t>
      </w:r>
      <w:r>
        <w:t>propiedades</w:t>
      </w:r>
      <w:r>
        <w:rPr>
          <w:spacing w:val="-4"/>
        </w:rPr>
        <w:t xml:space="preserve"> </w:t>
      </w:r>
      <w:r>
        <w:t>derivadas</w:t>
      </w:r>
      <w:r>
        <w:rPr>
          <w:spacing w:val="-4"/>
        </w:rPr>
        <w:t xml:space="preserve"> </w:t>
      </w:r>
      <w:r>
        <w:t>de</w:t>
      </w:r>
      <w:r>
        <w:rPr>
          <w:spacing w:val="-4"/>
        </w:rPr>
        <w:t xml:space="preserve"> </w:t>
      </w:r>
      <w:r>
        <w:t>ese</w:t>
      </w:r>
      <w:r>
        <w:rPr>
          <w:spacing w:val="-4"/>
        </w:rPr>
        <w:t xml:space="preserve"> </w:t>
      </w:r>
      <w:r>
        <w:t>negocio.</w:t>
      </w:r>
      <w:r>
        <w:rPr>
          <w:spacing w:val="-5"/>
        </w:rPr>
        <w:t xml:space="preserve"> </w:t>
      </w:r>
      <w:r>
        <w:t>Pero,</w:t>
      </w:r>
      <w:r>
        <w:rPr>
          <w:spacing w:val="-6"/>
        </w:rPr>
        <w:t xml:space="preserve"> </w:t>
      </w:r>
      <w:r>
        <w:t>además</w:t>
      </w:r>
      <w:r>
        <w:rPr>
          <w:spacing w:val="-6"/>
        </w:rPr>
        <w:t xml:space="preserve"> </w:t>
      </w:r>
      <w:r>
        <w:t>del</w:t>
      </w:r>
      <w:r>
        <w:rPr>
          <w:spacing w:val="-5"/>
        </w:rPr>
        <w:t xml:space="preserve"> </w:t>
      </w:r>
      <w:r>
        <w:t>brazo armado, que ha sido la parte más visible, el fenómeno paramilitar ha mantenido una participación de componentes del Estado como la fuerza pública, entidades de seguridad y de</w:t>
      </w:r>
      <w:r>
        <w:rPr>
          <w:spacing w:val="-11"/>
        </w:rPr>
        <w:t xml:space="preserve"> </w:t>
      </w:r>
      <w:r>
        <w:t>inteligencia,</w:t>
      </w:r>
      <w:r>
        <w:rPr>
          <w:spacing w:val="-12"/>
        </w:rPr>
        <w:t xml:space="preserve"> </w:t>
      </w:r>
      <w:r>
        <w:t>órganos</w:t>
      </w:r>
      <w:r>
        <w:rPr>
          <w:spacing w:val="-12"/>
        </w:rPr>
        <w:t xml:space="preserve"> </w:t>
      </w:r>
      <w:r>
        <w:t>estatales</w:t>
      </w:r>
      <w:r>
        <w:rPr>
          <w:spacing w:val="-13"/>
        </w:rPr>
        <w:t xml:space="preserve"> </w:t>
      </w:r>
      <w:r>
        <w:t>colegiados</w:t>
      </w:r>
      <w:r>
        <w:rPr>
          <w:spacing w:val="-12"/>
        </w:rPr>
        <w:t xml:space="preserve"> </w:t>
      </w:r>
      <w:r>
        <w:t>(Congreso,</w:t>
      </w:r>
      <w:r>
        <w:rPr>
          <w:spacing w:val="-12"/>
        </w:rPr>
        <w:t xml:space="preserve"> </w:t>
      </w:r>
      <w:r>
        <w:t>asambleas</w:t>
      </w:r>
      <w:r>
        <w:rPr>
          <w:spacing w:val="-11"/>
        </w:rPr>
        <w:t xml:space="preserve"> </w:t>
      </w:r>
      <w:r>
        <w:t>y</w:t>
      </w:r>
      <w:r>
        <w:rPr>
          <w:spacing w:val="-13"/>
        </w:rPr>
        <w:t xml:space="preserve"> </w:t>
      </w:r>
      <w:r>
        <w:t>concejos),</w:t>
      </w:r>
      <w:r>
        <w:rPr>
          <w:spacing w:val="-13"/>
        </w:rPr>
        <w:t xml:space="preserve"> </w:t>
      </w:r>
      <w:r>
        <w:t xml:space="preserve">instituciones judiciales y organismos de control, así como sectores económicos agroindustriales, extractivos y de infraestructura y empleados públicos y candidatos a cargos de elección popular. Además, se ha permeado a sectores de la Iglesia y de los medios de comunicación. Sin la articulación estrecha de este conjunto de sectores en la vía armada paramilitar, este fenómeno no habría desencadenado las profundas heridas que causó ni habría sido </w:t>
      </w:r>
      <w:r>
        <w:rPr>
          <w:spacing w:val="-2"/>
        </w:rPr>
        <w:t>persistente.</w:t>
      </w:r>
    </w:p>
    <w:p w:rsidR="003804AC" w:rsidRDefault="00AF18A5" w:rsidP="005758FC">
      <w:r>
        <w:t>Las motivaciones de los actores que han confluido en el paramilitarismo han sido cambiantes: van desde la voluntad de participación hasta la coacción para tener apoyo, y desde</w:t>
      </w:r>
      <w:r>
        <w:rPr>
          <w:spacing w:val="-14"/>
        </w:rPr>
        <w:t xml:space="preserve"> </w:t>
      </w:r>
      <w:r>
        <w:t>la</w:t>
      </w:r>
      <w:r>
        <w:rPr>
          <w:spacing w:val="-14"/>
        </w:rPr>
        <w:t xml:space="preserve"> </w:t>
      </w:r>
      <w:r>
        <w:t>protección</w:t>
      </w:r>
      <w:r>
        <w:rPr>
          <w:spacing w:val="-14"/>
        </w:rPr>
        <w:t xml:space="preserve"> </w:t>
      </w:r>
      <w:r>
        <w:t>de</w:t>
      </w:r>
      <w:r>
        <w:rPr>
          <w:spacing w:val="-14"/>
        </w:rPr>
        <w:t xml:space="preserve"> </w:t>
      </w:r>
      <w:r>
        <w:t>sus</w:t>
      </w:r>
      <w:r>
        <w:rPr>
          <w:spacing w:val="-14"/>
        </w:rPr>
        <w:t xml:space="preserve"> </w:t>
      </w:r>
      <w:r>
        <w:t>propiedades</w:t>
      </w:r>
      <w:r>
        <w:rPr>
          <w:spacing w:val="-14"/>
        </w:rPr>
        <w:t xml:space="preserve"> </w:t>
      </w:r>
      <w:r>
        <w:t>hasta</w:t>
      </w:r>
      <w:r>
        <w:rPr>
          <w:spacing w:val="-14"/>
        </w:rPr>
        <w:t xml:space="preserve"> </w:t>
      </w:r>
      <w:r>
        <w:t>la</w:t>
      </w:r>
      <w:r>
        <w:rPr>
          <w:spacing w:val="-14"/>
        </w:rPr>
        <w:t xml:space="preserve"> </w:t>
      </w:r>
      <w:r>
        <w:t>acumulación</w:t>
      </w:r>
      <w:r>
        <w:rPr>
          <w:spacing w:val="-14"/>
        </w:rPr>
        <w:t xml:space="preserve"> </w:t>
      </w:r>
      <w:r>
        <w:t>de</w:t>
      </w:r>
      <w:r>
        <w:rPr>
          <w:spacing w:val="-14"/>
        </w:rPr>
        <w:t xml:space="preserve"> </w:t>
      </w:r>
      <w:r>
        <w:t>nuevos</w:t>
      </w:r>
      <w:r>
        <w:rPr>
          <w:spacing w:val="-14"/>
        </w:rPr>
        <w:t xml:space="preserve"> </w:t>
      </w:r>
      <w:r>
        <w:t>intereses</w:t>
      </w:r>
      <w:r>
        <w:rPr>
          <w:spacing w:val="-15"/>
        </w:rPr>
        <w:t xml:space="preserve"> </w:t>
      </w:r>
      <w:r>
        <w:t>como</w:t>
      </w:r>
      <w:r>
        <w:rPr>
          <w:spacing w:val="-15"/>
        </w:rPr>
        <w:t xml:space="preserve"> </w:t>
      </w:r>
      <w:r>
        <w:t xml:space="preserve">tierras o poder. Sin embargo, los siguientes intereses han sido claros impulsos al paramilitarismo: la defensa del </w:t>
      </w:r>
      <w:r>
        <w:rPr>
          <w:i/>
        </w:rPr>
        <w:t xml:space="preserve">statu quo </w:t>
      </w:r>
      <w:r>
        <w:t xml:space="preserve">a través del mantenimiento de </w:t>
      </w:r>
      <w:r>
        <w:lastRenderedPageBreak/>
        <w:t>privilegios económicos, políticos y sociales; la protección del patrimonio y la ampliación de la propiedad privada y de la renta mediante el acaparamiento de tierras; la consolidación del control territorial por medio del exterminio de grupos armados rivales y la imposición de formas de control social violento; la usurpación de recursos económicos de la contratación pública, o la obtención de estos mediante economías extractivas, tierras y narcotráfico; el exterminio de rivales políticos; y la cooptación de instituciones estatales y del sistema político y electoral.</w:t>
      </w:r>
    </w:p>
    <w:p w:rsidR="003804AC" w:rsidRDefault="00AF18A5" w:rsidP="005758FC">
      <w:r>
        <w:t>Esta confluencia de actores e intereses permitió su consolidación desde los años ochenta como una red tupida de alianzas, razón por la cual su disolución se hace tan difícil. La negación</w:t>
      </w:r>
      <w:r>
        <w:rPr>
          <w:spacing w:val="34"/>
        </w:rPr>
        <w:t xml:space="preserve"> </w:t>
      </w:r>
      <w:r>
        <w:t>del</w:t>
      </w:r>
      <w:r>
        <w:rPr>
          <w:spacing w:val="35"/>
        </w:rPr>
        <w:t xml:space="preserve"> </w:t>
      </w:r>
      <w:r>
        <w:t>fenómeno,</w:t>
      </w:r>
      <w:r>
        <w:rPr>
          <w:spacing w:val="34"/>
        </w:rPr>
        <w:t xml:space="preserve"> </w:t>
      </w:r>
      <w:r>
        <w:t>así</w:t>
      </w:r>
      <w:r w:rsidR="005758FC">
        <w:t xml:space="preserve"> </w:t>
      </w:r>
      <w:r>
        <w:t>como</w:t>
      </w:r>
      <w:r>
        <w:rPr>
          <w:spacing w:val="35"/>
        </w:rPr>
        <w:t xml:space="preserve"> </w:t>
      </w:r>
      <w:r>
        <w:t>su</w:t>
      </w:r>
      <w:r>
        <w:rPr>
          <w:spacing w:val="34"/>
        </w:rPr>
        <w:t xml:space="preserve"> </w:t>
      </w:r>
      <w:r>
        <w:t>minimización</w:t>
      </w:r>
      <w:r>
        <w:rPr>
          <w:spacing w:val="34"/>
        </w:rPr>
        <w:t xml:space="preserve"> </w:t>
      </w:r>
      <w:r>
        <w:t>o</w:t>
      </w:r>
      <w:r>
        <w:rPr>
          <w:spacing w:val="34"/>
        </w:rPr>
        <w:t xml:space="preserve"> </w:t>
      </w:r>
      <w:r>
        <w:t>justificación</w:t>
      </w:r>
      <w:r>
        <w:rPr>
          <w:spacing w:val="35"/>
        </w:rPr>
        <w:t xml:space="preserve"> </w:t>
      </w:r>
      <w:r>
        <w:t>en</w:t>
      </w:r>
      <w:r>
        <w:rPr>
          <w:spacing w:val="34"/>
        </w:rPr>
        <w:t xml:space="preserve"> </w:t>
      </w:r>
      <w:r>
        <w:t>la</w:t>
      </w:r>
      <w:r>
        <w:rPr>
          <w:spacing w:val="35"/>
        </w:rPr>
        <w:t xml:space="preserve"> </w:t>
      </w:r>
      <w:r>
        <w:rPr>
          <w:spacing w:val="-2"/>
        </w:rPr>
        <w:t>lucha</w:t>
      </w:r>
    </w:p>
    <w:p w:rsidR="003804AC" w:rsidRDefault="00AF18A5" w:rsidP="005758FC">
      <w:r>
        <w:t>contrainsurgente</w:t>
      </w:r>
      <w:r>
        <w:rPr>
          <w:spacing w:val="-12"/>
        </w:rPr>
        <w:t xml:space="preserve"> </w:t>
      </w:r>
      <w:r>
        <w:t>han</w:t>
      </w:r>
      <w:r>
        <w:rPr>
          <w:spacing w:val="-12"/>
        </w:rPr>
        <w:t xml:space="preserve"> </w:t>
      </w:r>
      <w:r>
        <w:t>contribuido</w:t>
      </w:r>
      <w:r>
        <w:rPr>
          <w:spacing w:val="-12"/>
        </w:rPr>
        <w:t xml:space="preserve"> </w:t>
      </w:r>
      <w:r>
        <w:t>a</w:t>
      </w:r>
      <w:r>
        <w:rPr>
          <w:spacing w:val="-12"/>
        </w:rPr>
        <w:t xml:space="preserve"> </w:t>
      </w:r>
      <w:r>
        <w:t>su</w:t>
      </w:r>
      <w:r>
        <w:rPr>
          <w:spacing w:val="-13"/>
        </w:rPr>
        <w:t xml:space="preserve"> </w:t>
      </w:r>
      <w:r>
        <w:t>expansión</w:t>
      </w:r>
      <w:r>
        <w:rPr>
          <w:spacing w:val="-12"/>
        </w:rPr>
        <w:t xml:space="preserve"> </w:t>
      </w:r>
      <w:r>
        <w:t>y</w:t>
      </w:r>
      <w:r>
        <w:rPr>
          <w:spacing w:val="-13"/>
        </w:rPr>
        <w:t xml:space="preserve"> </w:t>
      </w:r>
      <w:r>
        <w:t>fortalecimiento.</w:t>
      </w:r>
      <w:r>
        <w:rPr>
          <w:spacing w:val="-12"/>
        </w:rPr>
        <w:t xml:space="preserve"> </w:t>
      </w:r>
      <w:r>
        <w:t>Sin</w:t>
      </w:r>
      <w:r>
        <w:rPr>
          <w:spacing w:val="-12"/>
        </w:rPr>
        <w:t xml:space="preserve"> </w:t>
      </w:r>
      <w:r>
        <w:t>un</w:t>
      </w:r>
      <w:r>
        <w:rPr>
          <w:spacing w:val="-12"/>
        </w:rPr>
        <w:t xml:space="preserve"> </w:t>
      </w:r>
      <w:r>
        <w:t>reconocimiento</w:t>
      </w:r>
      <w:r>
        <w:rPr>
          <w:spacing w:val="-12"/>
        </w:rPr>
        <w:t xml:space="preserve"> </w:t>
      </w:r>
      <w:r>
        <w:t>de estos</w:t>
      </w:r>
      <w:r>
        <w:rPr>
          <w:spacing w:val="-15"/>
        </w:rPr>
        <w:t xml:space="preserve"> </w:t>
      </w:r>
      <w:r>
        <w:t>hechos</w:t>
      </w:r>
      <w:r>
        <w:rPr>
          <w:spacing w:val="-15"/>
        </w:rPr>
        <w:t xml:space="preserve"> </w:t>
      </w:r>
      <w:r>
        <w:t>y</w:t>
      </w:r>
      <w:r>
        <w:rPr>
          <w:spacing w:val="-15"/>
        </w:rPr>
        <w:t xml:space="preserve"> </w:t>
      </w:r>
      <w:r>
        <w:t>la</w:t>
      </w:r>
      <w:r>
        <w:rPr>
          <w:spacing w:val="-15"/>
        </w:rPr>
        <w:t xml:space="preserve"> </w:t>
      </w:r>
      <w:r>
        <w:t>puesta</w:t>
      </w:r>
      <w:r>
        <w:rPr>
          <w:spacing w:val="-15"/>
        </w:rPr>
        <w:t xml:space="preserve"> </w:t>
      </w:r>
      <w:r>
        <w:t>en</w:t>
      </w:r>
      <w:r>
        <w:rPr>
          <w:spacing w:val="-15"/>
        </w:rPr>
        <w:t xml:space="preserve"> </w:t>
      </w:r>
      <w:r>
        <w:t>marcha</w:t>
      </w:r>
      <w:r>
        <w:rPr>
          <w:spacing w:val="-15"/>
        </w:rPr>
        <w:t xml:space="preserve"> </w:t>
      </w:r>
      <w:r>
        <w:t>de</w:t>
      </w:r>
      <w:r>
        <w:rPr>
          <w:spacing w:val="-15"/>
        </w:rPr>
        <w:t xml:space="preserve"> </w:t>
      </w:r>
      <w:r>
        <w:t>los</w:t>
      </w:r>
      <w:r>
        <w:rPr>
          <w:spacing w:val="-15"/>
        </w:rPr>
        <w:t xml:space="preserve"> </w:t>
      </w:r>
      <w:r>
        <w:t>mecanismos</w:t>
      </w:r>
      <w:r>
        <w:rPr>
          <w:spacing w:val="-15"/>
        </w:rPr>
        <w:t xml:space="preserve"> </w:t>
      </w:r>
      <w:r>
        <w:t>institucionales,</w:t>
      </w:r>
      <w:r>
        <w:rPr>
          <w:spacing w:val="-15"/>
        </w:rPr>
        <w:t xml:space="preserve"> </w:t>
      </w:r>
      <w:r>
        <w:t>económicos</w:t>
      </w:r>
      <w:r>
        <w:rPr>
          <w:spacing w:val="-15"/>
        </w:rPr>
        <w:t xml:space="preserve"> </w:t>
      </w:r>
      <w:r>
        <w:t>y</w:t>
      </w:r>
      <w:r>
        <w:rPr>
          <w:spacing w:val="-15"/>
        </w:rPr>
        <w:t xml:space="preserve"> </w:t>
      </w:r>
      <w:r>
        <w:t>políticos para su desmantelamiento, el paramilitarismo seguirá siendo un factor fundamental de violencia constante en nuestro presente.</w:t>
      </w:r>
    </w:p>
    <w:p w:rsidR="0011361F" w:rsidRDefault="00AF18A5" w:rsidP="004A6EF4">
      <w:pPr>
        <w:pStyle w:val="Ttulo3"/>
        <w:numPr>
          <w:ilvl w:val="1"/>
          <w:numId w:val="16"/>
        </w:numPr>
      </w:pPr>
      <w:bookmarkStart w:id="470" w:name="5.1._Transformaciones_y_mantenimiento_de"/>
      <w:bookmarkStart w:id="471" w:name="_Toc112399592"/>
      <w:bookmarkEnd w:id="470"/>
      <w:r w:rsidRPr="005758FC">
        <w:t>Transformaciones</w:t>
      </w:r>
      <w:r>
        <w:rPr>
          <w:spacing w:val="-6"/>
        </w:rPr>
        <w:t xml:space="preserve"> </w:t>
      </w:r>
      <w:r>
        <w:t>y</w:t>
      </w:r>
      <w:r>
        <w:rPr>
          <w:spacing w:val="-2"/>
        </w:rPr>
        <w:t xml:space="preserve"> </w:t>
      </w:r>
      <w:r>
        <w:t>mantenimiento</w:t>
      </w:r>
      <w:r>
        <w:rPr>
          <w:spacing w:val="-2"/>
        </w:rPr>
        <w:t xml:space="preserve"> </w:t>
      </w:r>
      <w:r>
        <w:t>del</w:t>
      </w:r>
      <w:r>
        <w:rPr>
          <w:spacing w:val="-3"/>
        </w:rPr>
        <w:t xml:space="preserve"> </w:t>
      </w:r>
      <w:r>
        <w:rPr>
          <w:spacing w:val="-2"/>
        </w:rPr>
        <w:t>paramilitarismo</w:t>
      </w:r>
      <w:bookmarkEnd w:id="471"/>
    </w:p>
    <w:p w:rsidR="003804AC" w:rsidRDefault="00AF18A5" w:rsidP="00DE41BA">
      <w:r>
        <w:t>Si bien el entramado paramilitar se consolidó en la década de los ochenta, ligado a las dinámicas</w:t>
      </w:r>
      <w:r>
        <w:rPr>
          <w:spacing w:val="-7"/>
        </w:rPr>
        <w:t xml:space="preserve"> </w:t>
      </w:r>
      <w:r>
        <w:t>del</w:t>
      </w:r>
      <w:r>
        <w:rPr>
          <w:spacing w:val="-5"/>
        </w:rPr>
        <w:t xml:space="preserve"> </w:t>
      </w:r>
      <w:r>
        <w:t>narcotráfico</w:t>
      </w:r>
      <w:r>
        <w:rPr>
          <w:spacing w:val="-6"/>
        </w:rPr>
        <w:t xml:space="preserve"> </w:t>
      </w:r>
      <w:r>
        <w:t>y</w:t>
      </w:r>
      <w:r>
        <w:rPr>
          <w:spacing w:val="-7"/>
        </w:rPr>
        <w:t xml:space="preserve"> </w:t>
      </w:r>
      <w:r>
        <w:t>la</w:t>
      </w:r>
      <w:r>
        <w:rPr>
          <w:spacing w:val="-7"/>
        </w:rPr>
        <w:t xml:space="preserve"> </w:t>
      </w:r>
      <w:r>
        <w:t>confrontación</w:t>
      </w:r>
      <w:r>
        <w:rPr>
          <w:spacing w:val="-7"/>
        </w:rPr>
        <w:t xml:space="preserve"> </w:t>
      </w:r>
      <w:r>
        <w:t>de</w:t>
      </w:r>
      <w:r>
        <w:rPr>
          <w:spacing w:val="-8"/>
        </w:rPr>
        <w:t xml:space="preserve"> </w:t>
      </w:r>
      <w:r>
        <w:t>la</w:t>
      </w:r>
      <w:r>
        <w:rPr>
          <w:spacing w:val="-6"/>
        </w:rPr>
        <w:t xml:space="preserve"> </w:t>
      </w:r>
      <w:r>
        <w:t>expansión</w:t>
      </w:r>
      <w:r>
        <w:rPr>
          <w:spacing w:val="-7"/>
        </w:rPr>
        <w:t xml:space="preserve"> </w:t>
      </w:r>
      <w:r>
        <w:t>guerrillera</w:t>
      </w:r>
      <w:r>
        <w:rPr>
          <w:spacing w:val="-7"/>
        </w:rPr>
        <w:t xml:space="preserve"> </w:t>
      </w:r>
      <w:r>
        <w:t>de</w:t>
      </w:r>
      <w:r>
        <w:rPr>
          <w:spacing w:val="-6"/>
        </w:rPr>
        <w:t xml:space="preserve"> </w:t>
      </w:r>
      <w:r>
        <w:t>ese</w:t>
      </w:r>
      <w:r>
        <w:rPr>
          <w:spacing w:val="-7"/>
        </w:rPr>
        <w:t xml:space="preserve"> </w:t>
      </w:r>
      <w:r>
        <w:t>momento,</w:t>
      </w:r>
      <w:r>
        <w:rPr>
          <w:spacing w:val="-6"/>
        </w:rPr>
        <w:t xml:space="preserve"> </w:t>
      </w:r>
      <w:r>
        <w:t>el paramilitarismo es un fenómeno de más larga data. Su anclaje histórico y las razones de su persistencia están vinculados a prácticas estatales históricas e institucionalizadas de privatización de la seguridad pública y de delegación</w:t>
      </w:r>
      <w:r w:rsidR="00DE41BA">
        <w:rPr>
          <w:rStyle w:val="Refdenotaalpie"/>
        </w:rPr>
        <w:footnoteReference w:id="330"/>
      </w:r>
      <w:r>
        <w:t xml:space="preserve"> de las armas en grupos de civiles armados y agencias </w:t>
      </w:r>
      <w:r>
        <w:lastRenderedPageBreak/>
        <w:t>encargadas de proporcionar seguridad de manera privada.</w:t>
      </w:r>
    </w:p>
    <w:p w:rsidR="003804AC" w:rsidRDefault="00AF18A5" w:rsidP="00DE41BA">
      <w:r>
        <w:t>Más concretamente, el paramilitarismo encontró su origen y una de las causas de su persistencia en el uso o creación de grupos de civiles armados por parte de poderes locales, políticos y gobiernos en varias regiones del país, desde principios del siglo XX, de lo cual son muestra grupos armados conformados por civiles, en la violencia bipartidista tras el asesinato de Gaitán en 1948, como Los Pájaros, Los Chulavitas y, en la década del sesenta, Los Limpios.</w:t>
      </w:r>
    </w:p>
    <w:p w:rsidR="003804AC" w:rsidRDefault="00AF18A5" w:rsidP="00DE41BA">
      <w:r>
        <w:t>Entre las prácticas institucionales de privatización y delegación del monopolio de la violencia, se encuentran las medidas militares y legislativas que hicieron viable la creación de unidades civiles de autodefensa, juntas de autodefensa o la Defensa Civil, entre varias denominaciones</w:t>
      </w:r>
      <w:r>
        <w:rPr>
          <w:spacing w:val="-15"/>
        </w:rPr>
        <w:t xml:space="preserve"> </w:t>
      </w:r>
      <w:r>
        <w:t>identificadas</w:t>
      </w:r>
      <w:r>
        <w:rPr>
          <w:spacing w:val="-15"/>
        </w:rPr>
        <w:t xml:space="preserve"> </w:t>
      </w:r>
      <w:r>
        <w:t>en</w:t>
      </w:r>
      <w:r>
        <w:rPr>
          <w:spacing w:val="-15"/>
        </w:rPr>
        <w:t xml:space="preserve"> </w:t>
      </w:r>
      <w:r>
        <w:t>la</w:t>
      </w:r>
      <w:r>
        <w:rPr>
          <w:spacing w:val="-15"/>
        </w:rPr>
        <w:t xml:space="preserve"> </w:t>
      </w:r>
      <w:r>
        <w:t>normatividad</w:t>
      </w:r>
      <w:r>
        <w:rPr>
          <w:spacing w:val="-15"/>
        </w:rPr>
        <w:t xml:space="preserve"> </w:t>
      </w:r>
      <w:r>
        <w:t>que</w:t>
      </w:r>
      <w:r>
        <w:rPr>
          <w:spacing w:val="-15"/>
        </w:rPr>
        <w:t xml:space="preserve"> </w:t>
      </w:r>
      <w:r>
        <w:t>las</w:t>
      </w:r>
      <w:r>
        <w:rPr>
          <w:spacing w:val="-15"/>
        </w:rPr>
        <w:t xml:space="preserve"> </w:t>
      </w:r>
      <w:r>
        <w:t>avaló</w:t>
      </w:r>
      <w:r>
        <w:rPr>
          <w:spacing w:val="-15"/>
        </w:rPr>
        <w:t xml:space="preserve"> </w:t>
      </w:r>
      <w:r>
        <w:t>desde</w:t>
      </w:r>
      <w:r>
        <w:rPr>
          <w:spacing w:val="-15"/>
        </w:rPr>
        <w:t xml:space="preserve"> </w:t>
      </w:r>
      <w:r>
        <w:t>la</w:t>
      </w:r>
      <w:r>
        <w:rPr>
          <w:spacing w:val="-15"/>
        </w:rPr>
        <w:t xml:space="preserve"> </w:t>
      </w:r>
      <w:r>
        <w:t>década</w:t>
      </w:r>
      <w:r>
        <w:rPr>
          <w:spacing w:val="-15"/>
        </w:rPr>
        <w:t xml:space="preserve"> </w:t>
      </w:r>
      <w:r>
        <w:t>de</w:t>
      </w:r>
      <w:r>
        <w:rPr>
          <w:spacing w:val="-15"/>
        </w:rPr>
        <w:t xml:space="preserve"> </w:t>
      </w:r>
      <w:r>
        <w:t>los</w:t>
      </w:r>
      <w:r>
        <w:rPr>
          <w:spacing w:val="-15"/>
        </w:rPr>
        <w:t xml:space="preserve"> </w:t>
      </w:r>
      <w:r>
        <w:t>sesenta. Las</w:t>
      </w:r>
      <w:r>
        <w:rPr>
          <w:spacing w:val="-1"/>
        </w:rPr>
        <w:t xml:space="preserve"> </w:t>
      </w:r>
      <w:r>
        <w:t>unidades</w:t>
      </w:r>
      <w:r>
        <w:rPr>
          <w:spacing w:val="-1"/>
        </w:rPr>
        <w:t xml:space="preserve"> </w:t>
      </w:r>
      <w:r>
        <w:t>civiles</w:t>
      </w:r>
      <w:r>
        <w:rPr>
          <w:spacing w:val="-1"/>
        </w:rPr>
        <w:t xml:space="preserve"> </w:t>
      </w:r>
      <w:r>
        <w:t>de</w:t>
      </w:r>
      <w:r>
        <w:rPr>
          <w:spacing w:val="-1"/>
        </w:rPr>
        <w:t xml:space="preserve"> </w:t>
      </w:r>
      <w:r>
        <w:t>autodefensa</w:t>
      </w:r>
      <w:r>
        <w:rPr>
          <w:spacing w:val="-2"/>
        </w:rPr>
        <w:t xml:space="preserve"> </w:t>
      </w:r>
      <w:r>
        <w:t>fueron</w:t>
      </w:r>
      <w:r>
        <w:rPr>
          <w:spacing w:val="-1"/>
        </w:rPr>
        <w:t xml:space="preserve"> </w:t>
      </w:r>
      <w:r>
        <w:t>creadas</w:t>
      </w:r>
      <w:r>
        <w:rPr>
          <w:spacing w:val="-1"/>
        </w:rPr>
        <w:t xml:space="preserve"> </w:t>
      </w:r>
      <w:r>
        <w:t>por</w:t>
      </w:r>
      <w:r>
        <w:rPr>
          <w:spacing w:val="-1"/>
        </w:rPr>
        <w:t xml:space="preserve"> </w:t>
      </w:r>
      <w:r>
        <w:t>el</w:t>
      </w:r>
      <w:r>
        <w:rPr>
          <w:spacing w:val="-1"/>
        </w:rPr>
        <w:t xml:space="preserve"> </w:t>
      </w:r>
      <w:r>
        <w:t>Ejército</w:t>
      </w:r>
      <w:r>
        <w:rPr>
          <w:spacing w:val="-1"/>
        </w:rPr>
        <w:t xml:space="preserve"> </w:t>
      </w:r>
      <w:r>
        <w:t>Nacional</w:t>
      </w:r>
      <w:r>
        <w:rPr>
          <w:spacing w:val="-1"/>
        </w:rPr>
        <w:t xml:space="preserve"> </w:t>
      </w:r>
      <w:r>
        <w:t>con</w:t>
      </w:r>
      <w:r>
        <w:rPr>
          <w:spacing w:val="-1"/>
        </w:rPr>
        <w:t xml:space="preserve"> </w:t>
      </w:r>
      <w:r>
        <w:t>un</w:t>
      </w:r>
      <w:r>
        <w:rPr>
          <w:spacing w:val="-1"/>
        </w:rPr>
        <w:t xml:space="preserve"> </w:t>
      </w:r>
      <w:r>
        <w:t>objetivo defensivo</w:t>
      </w:r>
      <w:r>
        <w:rPr>
          <w:spacing w:val="-5"/>
        </w:rPr>
        <w:t xml:space="preserve"> </w:t>
      </w:r>
      <w:r>
        <w:t>interno</w:t>
      </w:r>
      <w:r>
        <w:rPr>
          <w:spacing w:val="-4"/>
        </w:rPr>
        <w:t xml:space="preserve"> </w:t>
      </w:r>
      <w:r>
        <w:t>ante</w:t>
      </w:r>
      <w:r>
        <w:rPr>
          <w:spacing w:val="-3"/>
        </w:rPr>
        <w:t xml:space="preserve"> </w:t>
      </w:r>
      <w:r>
        <w:t>la</w:t>
      </w:r>
      <w:r>
        <w:rPr>
          <w:spacing w:val="-5"/>
        </w:rPr>
        <w:t xml:space="preserve"> </w:t>
      </w:r>
      <w:r>
        <w:t>persistencia</w:t>
      </w:r>
      <w:r>
        <w:rPr>
          <w:spacing w:val="-5"/>
        </w:rPr>
        <w:t xml:space="preserve"> </w:t>
      </w:r>
      <w:r>
        <w:t>del</w:t>
      </w:r>
      <w:r>
        <w:rPr>
          <w:spacing w:val="-3"/>
        </w:rPr>
        <w:t xml:space="preserve"> </w:t>
      </w:r>
      <w:r>
        <w:t>«bandolerismo»,</w:t>
      </w:r>
      <w:r>
        <w:rPr>
          <w:spacing w:val="-4"/>
        </w:rPr>
        <w:t xml:space="preserve"> </w:t>
      </w:r>
      <w:r>
        <w:t>a</w:t>
      </w:r>
      <w:r>
        <w:rPr>
          <w:spacing w:val="-3"/>
        </w:rPr>
        <w:t xml:space="preserve"> </w:t>
      </w:r>
      <w:r>
        <w:t>comienzos</w:t>
      </w:r>
      <w:r>
        <w:rPr>
          <w:spacing w:val="-3"/>
        </w:rPr>
        <w:t xml:space="preserve"> </w:t>
      </w:r>
      <w:r>
        <w:t>de</w:t>
      </w:r>
      <w:r>
        <w:rPr>
          <w:spacing w:val="-5"/>
        </w:rPr>
        <w:t xml:space="preserve"> </w:t>
      </w:r>
      <w:r>
        <w:t>los</w:t>
      </w:r>
      <w:r>
        <w:rPr>
          <w:spacing w:val="-3"/>
        </w:rPr>
        <w:t xml:space="preserve"> </w:t>
      </w:r>
      <w:r>
        <w:t>sesenta</w:t>
      </w:r>
      <w:r>
        <w:rPr>
          <w:spacing w:val="-3"/>
        </w:rPr>
        <w:t xml:space="preserve"> </w:t>
      </w:r>
      <w:r>
        <w:t>y</w:t>
      </w:r>
      <w:r>
        <w:rPr>
          <w:spacing w:val="-4"/>
        </w:rPr>
        <w:t xml:space="preserve"> </w:t>
      </w:r>
      <w:r>
        <w:t>ante las</w:t>
      </w:r>
      <w:r>
        <w:rPr>
          <w:spacing w:val="7"/>
        </w:rPr>
        <w:t xml:space="preserve"> </w:t>
      </w:r>
      <w:r>
        <w:t>dificultades</w:t>
      </w:r>
      <w:r>
        <w:rPr>
          <w:spacing w:val="9"/>
        </w:rPr>
        <w:t xml:space="preserve"> </w:t>
      </w:r>
      <w:r>
        <w:t>de</w:t>
      </w:r>
      <w:r>
        <w:rPr>
          <w:spacing w:val="10"/>
        </w:rPr>
        <w:t xml:space="preserve"> </w:t>
      </w:r>
      <w:r>
        <w:t>cubrir</w:t>
      </w:r>
      <w:r>
        <w:rPr>
          <w:spacing w:val="9"/>
        </w:rPr>
        <w:t xml:space="preserve"> </w:t>
      </w:r>
      <w:r>
        <w:t>de</w:t>
      </w:r>
      <w:r>
        <w:rPr>
          <w:spacing w:val="10"/>
        </w:rPr>
        <w:t xml:space="preserve"> </w:t>
      </w:r>
      <w:r>
        <w:t>manera</w:t>
      </w:r>
      <w:r>
        <w:rPr>
          <w:spacing w:val="6"/>
        </w:rPr>
        <w:t xml:space="preserve"> </w:t>
      </w:r>
      <w:r>
        <w:t>eficiente</w:t>
      </w:r>
      <w:r>
        <w:rPr>
          <w:spacing w:val="9"/>
        </w:rPr>
        <w:t xml:space="preserve"> </w:t>
      </w:r>
      <w:r>
        <w:t>el</w:t>
      </w:r>
      <w:r>
        <w:rPr>
          <w:spacing w:val="9"/>
        </w:rPr>
        <w:t xml:space="preserve"> </w:t>
      </w:r>
      <w:r>
        <w:t>territorio</w:t>
      </w:r>
      <w:r>
        <w:rPr>
          <w:spacing w:val="8"/>
        </w:rPr>
        <w:t xml:space="preserve"> </w:t>
      </w:r>
      <w:r>
        <w:t>para</w:t>
      </w:r>
      <w:r>
        <w:rPr>
          <w:spacing w:val="10"/>
        </w:rPr>
        <w:t xml:space="preserve"> </w:t>
      </w:r>
      <w:r>
        <w:t>garantizar</w:t>
      </w:r>
      <w:r>
        <w:rPr>
          <w:spacing w:val="8"/>
        </w:rPr>
        <w:t xml:space="preserve"> </w:t>
      </w:r>
      <w:r>
        <w:t>la</w:t>
      </w:r>
      <w:r>
        <w:rPr>
          <w:spacing w:val="10"/>
        </w:rPr>
        <w:t xml:space="preserve"> </w:t>
      </w:r>
      <w:r>
        <w:t>seguridad</w:t>
      </w:r>
      <w:r>
        <w:rPr>
          <w:spacing w:val="7"/>
        </w:rPr>
        <w:t xml:space="preserve"> </w:t>
      </w:r>
      <w:r>
        <w:t>de</w:t>
      </w:r>
      <w:r>
        <w:rPr>
          <w:spacing w:val="10"/>
        </w:rPr>
        <w:t xml:space="preserve"> </w:t>
      </w:r>
      <w:r>
        <w:rPr>
          <w:spacing w:val="-5"/>
        </w:rPr>
        <w:t>la</w:t>
      </w:r>
      <w:bookmarkStart w:id="472" w:name="_bookmark377"/>
      <w:bookmarkEnd w:id="472"/>
      <w:r w:rsidR="00DE41BA">
        <w:rPr>
          <w:spacing w:val="-5"/>
        </w:rPr>
        <w:t xml:space="preserve"> </w:t>
      </w:r>
      <w:r>
        <w:t>población</w:t>
      </w:r>
      <w:r w:rsidR="00DE41BA">
        <w:rPr>
          <w:rStyle w:val="Refdenotaalpie"/>
        </w:rPr>
        <w:footnoteReference w:id="331"/>
      </w:r>
      <w:r>
        <w:t>.</w:t>
      </w:r>
      <w:r>
        <w:rPr>
          <w:spacing w:val="-6"/>
        </w:rPr>
        <w:t xml:space="preserve"> </w:t>
      </w:r>
      <w:r>
        <w:t>Estos</w:t>
      </w:r>
      <w:r>
        <w:rPr>
          <w:spacing w:val="-6"/>
        </w:rPr>
        <w:t xml:space="preserve"> </w:t>
      </w:r>
      <w:r>
        <w:t>fueron</w:t>
      </w:r>
      <w:r>
        <w:rPr>
          <w:spacing w:val="-7"/>
        </w:rPr>
        <w:t xml:space="preserve"> </w:t>
      </w:r>
      <w:r>
        <w:t>grupos</w:t>
      </w:r>
      <w:r>
        <w:rPr>
          <w:spacing w:val="-6"/>
        </w:rPr>
        <w:t xml:space="preserve"> </w:t>
      </w:r>
      <w:r>
        <w:t>creados</w:t>
      </w:r>
      <w:r>
        <w:rPr>
          <w:spacing w:val="-6"/>
        </w:rPr>
        <w:t xml:space="preserve"> </w:t>
      </w:r>
      <w:r>
        <w:t>por</w:t>
      </w:r>
      <w:r>
        <w:rPr>
          <w:spacing w:val="-6"/>
        </w:rPr>
        <w:t xml:space="preserve"> </w:t>
      </w:r>
      <w:r>
        <w:t>las</w:t>
      </w:r>
      <w:r>
        <w:rPr>
          <w:spacing w:val="-6"/>
        </w:rPr>
        <w:t xml:space="preserve"> </w:t>
      </w:r>
      <w:r>
        <w:t>Fuerzas</w:t>
      </w:r>
      <w:r>
        <w:rPr>
          <w:spacing w:val="-7"/>
        </w:rPr>
        <w:t xml:space="preserve"> </w:t>
      </w:r>
      <w:r>
        <w:t>Militares</w:t>
      </w:r>
      <w:r>
        <w:rPr>
          <w:spacing w:val="-6"/>
        </w:rPr>
        <w:t xml:space="preserve"> </w:t>
      </w:r>
      <w:r>
        <w:t>y</w:t>
      </w:r>
      <w:r>
        <w:rPr>
          <w:spacing w:val="-7"/>
        </w:rPr>
        <w:t xml:space="preserve"> </w:t>
      </w:r>
      <w:r>
        <w:t>se</w:t>
      </w:r>
      <w:r>
        <w:rPr>
          <w:spacing w:val="-6"/>
        </w:rPr>
        <w:t xml:space="preserve"> </w:t>
      </w:r>
      <w:r>
        <w:t>encontraban</w:t>
      </w:r>
      <w:r>
        <w:rPr>
          <w:spacing w:val="-7"/>
        </w:rPr>
        <w:t xml:space="preserve"> </w:t>
      </w:r>
      <w:r>
        <w:t>bajo</w:t>
      </w:r>
      <w:r>
        <w:rPr>
          <w:spacing w:val="-6"/>
        </w:rPr>
        <w:t xml:space="preserve"> </w:t>
      </w:r>
      <w:r>
        <w:t>su orientación y tutela. Sin embargo, al respecto el Ejército Nacional plantea lo siguiente:</w:t>
      </w:r>
    </w:p>
    <w:p w:rsidR="003804AC" w:rsidRDefault="00AF18A5" w:rsidP="00DE41BA">
      <w:r>
        <w:t xml:space="preserve">La conformación de estas organizaciones de seguridad privada legalmente sustentadas en el acto legislativo del Decreto 3398 y la posterior Ley 48 de 1968, que permitía la creación de ejércitos privados, </w:t>
      </w:r>
      <w:r>
        <w:lastRenderedPageBreak/>
        <w:t>marca el surgimiento del fenómeno conocido como autodefensas, lo cual con el transcurso de los años constituiría en el desarrollo de organizaciones que brindaban protección a quien pudiese pagarla y su accionar se regía por intereses propios de sus integrantes mientras se expone una bandera de lucha contra las organizaciones guerrilleras</w:t>
      </w:r>
      <w:r w:rsidR="00E140C8">
        <w:rPr>
          <w:rStyle w:val="Refdenotaalpie"/>
        </w:rPr>
        <w:footnoteReference w:id="332"/>
      </w:r>
      <w:r>
        <w:t>.</w:t>
      </w:r>
    </w:p>
    <w:p w:rsidR="003804AC" w:rsidRDefault="00AF18A5" w:rsidP="00E140C8">
      <w:r>
        <w:t>Las</w:t>
      </w:r>
      <w:r>
        <w:rPr>
          <w:spacing w:val="-1"/>
        </w:rPr>
        <w:t xml:space="preserve"> </w:t>
      </w:r>
      <w:r>
        <w:t>unidades</w:t>
      </w:r>
      <w:r>
        <w:rPr>
          <w:spacing w:val="-1"/>
        </w:rPr>
        <w:t xml:space="preserve"> </w:t>
      </w:r>
      <w:r>
        <w:t>civiles</w:t>
      </w:r>
      <w:r>
        <w:rPr>
          <w:spacing w:val="-1"/>
        </w:rPr>
        <w:t xml:space="preserve"> </w:t>
      </w:r>
      <w:r>
        <w:t>de</w:t>
      </w:r>
      <w:r>
        <w:rPr>
          <w:spacing w:val="-2"/>
        </w:rPr>
        <w:t xml:space="preserve"> </w:t>
      </w:r>
      <w:r>
        <w:t>autodefensa</w:t>
      </w:r>
      <w:r>
        <w:rPr>
          <w:spacing w:val="-2"/>
        </w:rPr>
        <w:t xml:space="preserve"> </w:t>
      </w:r>
      <w:r>
        <w:t>seguían</w:t>
      </w:r>
      <w:r>
        <w:rPr>
          <w:spacing w:val="-1"/>
        </w:rPr>
        <w:t xml:space="preserve"> </w:t>
      </w:r>
      <w:r>
        <w:t>siendo</w:t>
      </w:r>
      <w:r>
        <w:rPr>
          <w:spacing w:val="-1"/>
        </w:rPr>
        <w:t xml:space="preserve"> </w:t>
      </w:r>
      <w:r>
        <w:t>legales</w:t>
      </w:r>
      <w:r>
        <w:rPr>
          <w:spacing w:val="-1"/>
        </w:rPr>
        <w:t xml:space="preserve"> </w:t>
      </w:r>
      <w:r>
        <w:t>durante</w:t>
      </w:r>
      <w:r>
        <w:rPr>
          <w:spacing w:val="-2"/>
        </w:rPr>
        <w:t xml:space="preserve"> </w:t>
      </w:r>
      <w:r>
        <w:t>el</w:t>
      </w:r>
      <w:r>
        <w:rPr>
          <w:spacing w:val="-1"/>
        </w:rPr>
        <w:t xml:space="preserve"> </w:t>
      </w:r>
      <w:r>
        <w:t>violento</w:t>
      </w:r>
      <w:r>
        <w:rPr>
          <w:spacing w:val="-1"/>
        </w:rPr>
        <w:t xml:space="preserve"> </w:t>
      </w:r>
      <w:r>
        <w:t>desarrollo</w:t>
      </w:r>
      <w:r>
        <w:rPr>
          <w:spacing w:val="-1"/>
        </w:rPr>
        <w:t xml:space="preserve"> </w:t>
      </w:r>
      <w:r>
        <w:t>de lo que se ha denominado la «primera generación paramilitar», durante la década de los ochenta</w:t>
      </w:r>
      <w:r w:rsidR="00E140C8">
        <w:rPr>
          <w:rStyle w:val="Refdenotaalpie"/>
        </w:rPr>
        <w:footnoteReference w:id="333"/>
      </w:r>
      <w:r>
        <w:t>, en medio del conflicto armado interno creciente. Además de los grupos que se originaron o articularon con las políticas contrainsurgentes, hubo grupos que no estaban ligados a las Fuerzas Armadas, pero sí eran cercanos a otros sectores, como poderes económicos</w:t>
      </w:r>
      <w:r>
        <w:rPr>
          <w:spacing w:val="-15"/>
        </w:rPr>
        <w:t xml:space="preserve"> </w:t>
      </w:r>
      <w:r>
        <w:t>locales;</w:t>
      </w:r>
      <w:r>
        <w:rPr>
          <w:spacing w:val="-15"/>
        </w:rPr>
        <w:t xml:space="preserve"> </w:t>
      </w:r>
      <w:r>
        <w:t>también</w:t>
      </w:r>
      <w:r>
        <w:rPr>
          <w:spacing w:val="-15"/>
        </w:rPr>
        <w:t xml:space="preserve"> </w:t>
      </w:r>
      <w:r>
        <w:t>hubo</w:t>
      </w:r>
      <w:r>
        <w:rPr>
          <w:spacing w:val="-15"/>
        </w:rPr>
        <w:t xml:space="preserve"> </w:t>
      </w:r>
      <w:r>
        <w:t>grupos</w:t>
      </w:r>
      <w:r>
        <w:rPr>
          <w:spacing w:val="-15"/>
        </w:rPr>
        <w:t xml:space="preserve"> </w:t>
      </w:r>
      <w:r>
        <w:t>de</w:t>
      </w:r>
      <w:r>
        <w:rPr>
          <w:spacing w:val="-15"/>
        </w:rPr>
        <w:t xml:space="preserve"> </w:t>
      </w:r>
      <w:r>
        <w:t>habitantes</w:t>
      </w:r>
      <w:r>
        <w:rPr>
          <w:spacing w:val="-15"/>
        </w:rPr>
        <w:t xml:space="preserve"> </w:t>
      </w:r>
      <w:r>
        <w:t>que</w:t>
      </w:r>
      <w:r>
        <w:rPr>
          <w:spacing w:val="-15"/>
        </w:rPr>
        <w:t xml:space="preserve"> </w:t>
      </w:r>
      <w:r>
        <w:t>se</w:t>
      </w:r>
      <w:r>
        <w:rPr>
          <w:spacing w:val="-15"/>
        </w:rPr>
        <w:t xml:space="preserve"> </w:t>
      </w:r>
      <w:r>
        <w:t>organizaban</w:t>
      </w:r>
      <w:r>
        <w:rPr>
          <w:spacing w:val="-15"/>
        </w:rPr>
        <w:t xml:space="preserve"> </w:t>
      </w:r>
      <w:r>
        <w:t>para</w:t>
      </w:r>
      <w:r>
        <w:rPr>
          <w:spacing w:val="-15"/>
        </w:rPr>
        <w:t xml:space="preserve"> </w:t>
      </w:r>
      <w:r>
        <w:t>su</w:t>
      </w:r>
      <w:r>
        <w:rPr>
          <w:spacing w:val="-15"/>
        </w:rPr>
        <w:t xml:space="preserve"> </w:t>
      </w:r>
      <w:r>
        <w:t>seguridad o grupos armados bajo la denominación de «bandoleros» y cuadrillas</w:t>
      </w:r>
      <w:r w:rsidR="00E140C8">
        <w:rPr>
          <w:rStyle w:val="Refdenotaalpie"/>
        </w:rPr>
        <w:footnoteReference w:id="334"/>
      </w:r>
      <w:r>
        <w:t>. A principios de la década de 1960 solo en el Eje Cafetero, Valle y Tolima había 90 grupos armados con la participación directa de 181 personas, según datos de la Policía Nacional</w:t>
      </w:r>
      <w:r w:rsidR="00E140C8">
        <w:rPr>
          <w:rStyle w:val="Refdenotaalpie"/>
        </w:rPr>
        <w:footnoteReference w:id="335"/>
      </w:r>
      <w:r>
        <w:t>.</w:t>
      </w:r>
    </w:p>
    <w:p w:rsidR="003804AC" w:rsidRDefault="00AF18A5" w:rsidP="00E140C8">
      <w:r>
        <w:t>Otro factor de continuidad del paramilitarismo ha sido la propensión a institucionalizar grupos que ofrecen seguridad privada, al servicio de sectores de las élites políticas y económicas regionales y locales.</w:t>
      </w:r>
    </w:p>
    <w:p w:rsidR="003804AC" w:rsidRPr="00E140C8" w:rsidRDefault="00AF18A5" w:rsidP="00E140C8">
      <w:r>
        <w:t>La</w:t>
      </w:r>
      <w:r>
        <w:rPr>
          <w:spacing w:val="-8"/>
        </w:rPr>
        <w:t xml:space="preserve"> </w:t>
      </w:r>
      <w:r>
        <w:t>continuidad</w:t>
      </w:r>
      <w:r>
        <w:rPr>
          <w:spacing w:val="-7"/>
        </w:rPr>
        <w:t xml:space="preserve"> </w:t>
      </w:r>
      <w:r>
        <w:t>entre</w:t>
      </w:r>
      <w:r>
        <w:rPr>
          <w:spacing w:val="-8"/>
        </w:rPr>
        <w:t xml:space="preserve"> </w:t>
      </w:r>
      <w:r>
        <w:t>las</w:t>
      </w:r>
      <w:r>
        <w:rPr>
          <w:spacing w:val="-8"/>
        </w:rPr>
        <w:t xml:space="preserve"> </w:t>
      </w:r>
      <w:r>
        <w:t>prácticas</w:t>
      </w:r>
      <w:r>
        <w:rPr>
          <w:spacing w:val="-8"/>
        </w:rPr>
        <w:t xml:space="preserve"> </w:t>
      </w:r>
      <w:r>
        <w:t>de</w:t>
      </w:r>
      <w:r>
        <w:rPr>
          <w:spacing w:val="-8"/>
        </w:rPr>
        <w:t xml:space="preserve"> </w:t>
      </w:r>
      <w:r>
        <w:t>las</w:t>
      </w:r>
      <w:r>
        <w:rPr>
          <w:spacing w:val="-8"/>
        </w:rPr>
        <w:t xml:space="preserve"> </w:t>
      </w:r>
      <w:r>
        <w:t>«policías</w:t>
      </w:r>
      <w:r>
        <w:rPr>
          <w:spacing w:val="-8"/>
        </w:rPr>
        <w:t xml:space="preserve"> </w:t>
      </w:r>
      <w:r>
        <w:t>subnacionales»</w:t>
      </w:r>
      <w:r>
        <w:rPr>
          <w:spacing w:val="-7"/>
        </w:rPr>
        <w:t xml:space="preserve"> </w:t>
      </w:r>
      <w:r>
        <w:t>de</w:t>
      </w:r>
      <w:r>
        <w:rPr>
          <w:spacing w:val="-11"/>
        </w:rPr>
        <w:t xml:space="preserve"> </w:t>
      </w:r>
      <w:r>
        <w:t>la</w:t>
      </w:r>
      <w:r>
        <w:rPr>
          <w:spacing w:val="-8"/>
        </w:rPr>
        <w:t xml:space="preserve"> </w:t>
      </w:r>
      <w:r w:rsidRPr="00E140C8">
        <w:lastRenderedPageBreak/>
        <w:t>primera mitad del siglo XX y los paramilitares de finales de ese mismo siglo, con su caudal de violencia homicida y sus ciclos de destrucción y venganza, evidencian la presencia histórica de prácticas orientadas</w:t>
      </w:r>
      <w:bookmarkStart w:id="473" w:name="_bookmark378"/>
      <w:bookmarkStart w:id="474" w:name="_bookmark379"/>
      <w:bookmarkStart w:id="475" w:name="_bookmark380"/>
      <w:bookmarkStart w:id="476" w:name="_bookmark381"/>
      <w:bookmarkStart w:id="477" w:name="_bookmark382"/>
      <w:bookmarkEnd w:id="473"/>
      <w:bookmarkEnd w:id="474"/>
      <w:bookmarkEnd w:id="475"/>
      <w:bookmarkEnd w:id="476"/>
      <w:bookmarkEnd w:id="477"/>
      <w:r w:rsidR="00E140C8" w:rsidRPr="00E140C8">
        <w:t xml:space="preserve"> </w:t>
      </w:r>
      <w:r w:rsidRPr="00E140C8">
        <w:t>a la captura sustancial de la función de la Policía y a la privatización de las agencias encargadas de proporcionar seguridad</w:t>
      </w:r>
      <w:r w:rsidR="00E140C8">
        <w:rPr>
          <w:rStyle w:val="Refdenotaalpie"/>
        </w:rPr>
        <w:footnoteReference w:id="336"/>
      </w:r>
    </w:p>
    <w:p w:rsidR="003804AC" w:rsidRDefault="00AF18A5" w:rsidP="00E140C8">
      <w:r>
        <w:t>De esta manera, el uso o creación de grupos de civiles armados por parte de poderes regionales</w:t>
      </w:r>
      <w:r>
        <w:rPr>
          <w:spacing w:val="-8"/>
        </w:rPr>
        <w:t xml:space="preserve"> </w:t>
      </w:r>
      <w:r>
        <w:t>y</w:t>
      </w:r>
      <w:r>
        <w:rPr>
          <w:spacing w:val="-11"/>
        </w:rPr>
        <w:t xml:space="preserve"> </w:t>
      </w:r>
      <w:r>
        <w:t>locales</w:t>
      </w:r>
      <w:r>
        <w:rPr>
          <w:spacing w:val="-8"/>
        </w:rPr>
        <w:t xml:space="preserve"> </w:t>
      </w:r>
      <w:r>
        <w:t>desde</w:t>
      </w:r>
      <w:r>
        <w:rPr>
          <w:spacing w:val="-8"/>
        </w:rPr>
        <w:t xml:space="preserve"> </w:t>
      </w:r>
      <w:r>
        <w:t>principios</w:t>
      </w:r>
      <w:r>
        <w:rPr>
          <w:spacing w:val="-9"/>
        </w:rPr>
        <w:t xml:space="preserve"> </w:t>
      </w:r>
      <w:r>
        <w:t>del</w:t>
      </w:r>
      <w:r>
        <w:rPr>
          <w:spacing w:val="-8"/>
        </w:rPr>
        <w:t xml:space="preserve"> </w:t>
      </w:r>
      <w:r>
        <w:t>siglo</w:t>
      </w:r>
      <w:r>
        <w:rPr>
          <w:spacing w:val="-8"/>
        </w:rPr>
        <w:t xml:space="preserve"> </w:t>
      </w:r>
      <w:r>
        <w:t>XX</w:t>
      </w:r>
      <w:r>
        <w:rPr>
          <w:spacing w:val="-10"/>
        </w:rPr>
        <w:t xml:space="preserve"> </w:t>
      </w:r>
      <w:r>
        <w:t>son</w:t>
      </w:r>
      <w:r>
        <w:rPr>
          <w:spacing w:val="-8"/>
        </w:rPr>
        <w:t xml:space="preserve"> </w:t>
      </w:r>
      <w:r>
        <w:t>raíz</w:t>
      </w:r>
      <w:r>
        <w:rPr>
          <w:spacing w:val="-8"/>
        </w:rPr>
        <w:t xml:space="preserve"> </w:t>
      </w:r>
      <w:r>
        <w:t>del</w:t>
      </w:r>
      <w:r>
        <w:rPr>
          <w:spacing w:val="-9"/>
        </w:rPr>
        <w:t xml:space="preserve"> </w:t>
      </w:r>
      <w:r>
        <w:t>entramado</w:t>
      </w:r>
      <w:r>
        <w:rPr>
          <w:spacing w:val="-8"/>
        </w:rPr>
        <w:t xml:space="preserve"> </w:t>
      </w:r>
      <w:r>
        <w:t>paramilitar,</w:t>
      </w:r>
      <w:r>
        <w:rPr>
          <w:spacing w:val="-8"/>
        </w:rPr>
        <w:t xml:space="preserve"> </w:t>
      </w:r>
      <w:r>
        <w:t>que</w:t>
      </w:r>
      <w:r>
        <w:rPr>
          <w:spacing w:val="-8"/>
        </w:rPr>
        <w:t xml:space="preserve"> </w:t>
      </w:r>
      <w:r>
        <w:t>en principio vinculó de diferentes maneras al Ejército, la Policía Nacional, autoridades civiles, exmilitares</w:t>
      </w:r>
      <w:r>
        <w:rPr>
          <w:spacing w:val="-8"/>
        </w:rPr>
        <w:t xml:space="preserve"> </w:t>
      </w:r>
      <w:r>
        <w:t>y</w:t>
      </w:r>
      <w:r>
        <w:rPr>
          <w:spacing w:val="-7"/>
        </w:rPr>
        <w:t xml:space="preserve"> </w:t>
      </w:r>
      <w:r>
        <w:t>expolicías,</w:t>
      </w:r>
      <w:r>
        <w:rPr>
          <w:spacing w:val="-8"/>
        </w:rPr>
        <w:t xml:space="preserve"> </w:t>
      </w:r>
      <w:r>
        <w:t>élites</w:t>
      </w:r>
      <w:r>
        <w:rPr>
          <w:spacing w:val="-7"/>
        </w:rPr>
        <w:t xml:space="preserve"> </w:t>
      </w:r>
      <w:r>
        <w:t>locales</w:t>
      </w:r>
      <w:r>
        <w:rPr>
          <w:spacing w:val="-7"/>
        </w:rPr>
        <w:t xml:space="preserve"> </w:t>
      </w:r>
      <w:r>
        <w:t>(en</w:t>
      </w:r>
      <w:r>
        <w:rPr>
          <w:spacing w:val="-7"/>
        </w:rPr>
        <w:t xml:space="preserve"> </w:t>
      </w:r>
      <w:r>
        <w:t>lo</w:t>
      </w:r>
      <w:r>
        <w:rPr>
          <w:spacing w:val="-7"/>
        </w:rPr>
        <w:t xml:space="preserve"> </w:t>
      </w:r>
      <w:r>
        <w:t>económico,</w:t>
      </w:r>
      <w:r>
        <w:rPr>
          <w:spacing w:val="-7"/>
        </w:rPr>
        <w:t xml:space="preserve"> </w:t>
      </w:r>
      <w:r>
        <w:t>lo</w:t>
      </w:r>
      <w:r>
        <w:rPr>
          <w:spacing w:val="-7"/>
        </w:rPr>
        <w:t xml:space="preserve"> </w:t>
      </w:r>
      <w:r>
        <w:t>político</w:t>
      </w:r>
      <w:r>
        <w:rPr>
          <w:spacing w:val="-7"/>
        </w:rPr>
        <w:t xml:space="preserve"> </w:t>
      </w:r>
      <w:r>
        <w:t>y</w:t>
      </w:r>
      <w:r>
        <w:rPr>
          <w:spacing w:val="-7"/>
        </w:rPr>
        <w:t xml:space="preserve"> </w:t>
      </w:r>
      <w:r>
        <w:t>lo</w:t>
      </w:r>
      <w:r>
        <w:rPr>
          <w:spacing w:val="-7"/>
        </w:rPr>
        <w:t xml:space="preserve"> </w:t>
      </w:r>
      <w:r>
        <w:t>social),</w:t>
      </w:r>
      <w:r>
        <w:rPr>
          <w:spacing w:val="-7"/>
        </w:rPr>
        <w:t xml:space="preserve"> </w:t>
      </w:r>
      <w:r>
        <w:t>alrededor</w:t>
      </w:r>
      <w:r>
        <w:rPr>
          <w:spacing w:val="-7"/>
        </w:rPr>
        <w:t xml:space="preserve"> </w:t>
      </w:r>
      <w:r>
        <w:t>de motivaciones</w:t>
      </w:r>
      <w:r>
        <w:rPr>
          <w:spacing w:val="-5"/>
        </w:rPr>
        <w:t xml:space="preserve"> </w:t>
      </w:r>
      <w:r>
        <w:t>complementarias</w:t>
      </w:r>
      <w:r>
        <w:rPr>
          <w:spacing w:val="-4"/>
        </w:rPr>
        <w:t xml:space="preserve"> </w:t>
      </w:r>
      <w:r>
        <w:t>como</w:t>
      </w:r>
      <w:r>
        <w:rPr>
          <w:spacing w:val="-5"/>
        </w:rPr>
        <w:t xml:space="preserve"> </w:t>
      </w:r>
      <w:r>
        <w:t>la</w:t>
      </w:r>
      <w:r>
        <w:rPr>
          <w:spacing w:val="-4"/>
        </w:rPr>
        <w:t xml:space="preserve"> </w:t>
      </w:r>
      <w:r>
        <w:t>contrainsurgencia</w:t>
      </w:r>
      <w:r>
        <w:rPr>
          <w:spacing w:val="-4"/>
        </w:rPr>
        <w:t xml:space="preserve"> </w:t>
      </w:r>
      <w:r>
        <w:t>y</w:t>
      </w:r>
      <w:r>
        <w:rPr>
          <w:spacing w:val="-5"/>
        </w:rPr>
        <w:t xml:space="preserve"> </w:t>
      </w:r>
      <w:r>
        <w:t>el</w:t>
      </w:r>
      <w:r>
        <w:rPr>
          <w:spacing w:val="-4"/>
        </w:rPr>
        <w:t xml:space="preserve"> </w:t>
      </w:r>
      <w:r>
        <w:t>mantenimiento</w:t>
      </w:r>
      <w:r>
        <w:rPr>
          <w:spacing w:val="-5"/>
        </w:rPr>
        <w:t xml:space="preserve"> </w:t>
      </w:r>
      <w:r>
        <w:t>del</w:t>
      </w:r>
      <w:r>
        <w:rPr>
          <w:spacing w:val="-4"/>
        </w:rPr>
        <w:t xml:space="preserve"> </w:t>
      </w:r>
      <w:r>
        <w:rPr>
          <w:i/>
        </w:rPr>
        <w:t>statu</w:t>
      </w:r>
      <w:r>
        <w:rPr>
          <w:i/>
          <w:spacing w:val="-5"/>
        </w:rPr>
        <w:t xml:space="preserve"> </w:t>
      </w:r>
      <w:r>
        <w:rPr>
          <w:i/>
        </w:rPr>
        <w:t>quo</w:t>
      </w:r>
      <w:r>
        <w:t>, reclamando su derecho a la legítima defensa.</w:t>
      </w:r>
    </w:p>
    <w:p w:rsidR="003804AC" w:rsidRDefault="00AF18A5" w:rsidP="00E140C8">
      <w:r>
        <w:t>La articulación entre estos actores se gestó por medio de mecanismos como los comités cívico-militares,</w:t>
      </w:r>
      <w:r>
        <w:rPr>
          <w:spacing w:val="-15"/>
        </w:rPr>
        <w:t xml:space="preserve"> </w:t>
      </w:r>
      <w:r>
        <w:t>parte</w:t>
      </w:r>
      <w:r>
        <w:rPr>
          <w:spacing w:val="-15"/>
        </w:rPr>
        <w:t xml:space="preserve"> </w:t>
      </w:r>
      <w:r>
        <w:t>de</w:t>
      </w:r>
      <w:r>
        <w:rPr>
          <w:spacing w:val="-15"/>
        </w:rPr>
        <w:t xml:space="preserve"> </w:t>
      </w:r>
      <w:r>
        <w:t>la</w:t>
      </w:r>
      <w:r>
        <w:rPr>
          <w:spacing w:val="-14"/>
        </w:rPr>
        <w:t xml:space="preserve"> </w:t>
      </w:r>
      <w:r>
        <w:t>acción</w:t>
      </w:r>
      <w:r>
        <w:rPr>
          <w:spacing w:val="-15"/>
        </w:rPr>
        <w:t xml:space="preserve"> </w:t>
      </w:r>
      <w:r>
        <w:t>cívico-militar</w:t>
      </w:r>
      <w:r>
        <w:rPr>
          <w:spacing w:val="-15"/>
        </w:rPr>
        <w:t xml:space="preserve"> </w:t>
      </w:r>
      <w:r>
        <w:t>(en</w:t>
      </w:r>
      <w:r>
        <w:rPr>
          <w:spacing w:val="-15"/>
        </w:rPr>
        <w:t xml:space="preserve"> </w:t>
      </w:r>
      <w:r>
        <w:t>adelante,</w:t>
      </w:r>
      <w:r>
        <w:rPr>
          <w:spacing w:val="-15"/>
        </w:rPr>
        <w:t xml:space="preserve"> </w:t>
      </w:r>
      <w:r>
        <w:t>entendida</w:t>
      </w:r>
      <w:r>
        <w:rPr>
          <w:spacing w:val="-14"/>
        </w:rPr>
        <w:t xml:space="preserve"> </w:t>
      </w:r>
      <w:r>
        <w:t>como</w:t>
      </w:r>
      <w:r>
        <w:rPr>
          <w:spacing w:val="-15"/>
        </w:rPr>
        <w:t xml:space="preserve"> </w:t>
      </w:r>
      <w:r>
        <w:t>los</w:t>
      </w:r>
      <w:r>
        <w:rPr>
          <w:spacing w:val="-14"/>
        </w:rPr>
        <w:t xml:space="preserve"> </w:t>
      </w:r>
      <w:r>
        <w:t>programas interinstitucionales de intervención social y económica liderados por las Fuerzas Militares), así como la integración de las unidades civiles de autodefensa a las fuerzas de seguridad de distintas unidades militares para fines de inteligencia y de control de la población y el territorio.</w:t>
      </w:r>
      <w:r>
        <w:rPr>
          <w:spacing w:val="-15"/>
        </w:rPr>
        <w:t xml:space="preserve"> </w:t>
      </w:r>
      <w:r>
        <w:t>Estos</w:t>
      </w:r>
      <w:r>
        <w:rPr>
          <w:spacing w:val="-14"/>
        </w:rPr>
        <w:t xml:space="preserve"> </w:t>
      </w:r>
      <w:r>
        <w:t>antecedentes</w:t>
      </w:r>
      <w:r>
        <w:rPr>
          <w:spacing w:val="-14"/>
        </w:rPr>
        <w:t xml:space="preserve"> </w:t>
      </w:r>
      <w:r>
        <w:t>permiten</w:t>
      </w:r>
      <w:r>
        <w:rPr>
          <w:spacing w:val="-14"/>
        </w:rPr>
        <w:t xml:space="preserve"> </w:t>
      </w:r>
      <w:r>
        <w:t>establecer</w:t>
      </w:r>
      <w:r>
        <w:rPr>
          <w:spacing w:val="-15"/>
        </w:rPr>
        <w:t xml:space="preserve"> </w:t>
      </w:r>
      <w:r>
        <w:t>continuidades</w:t>
      </w:r>
      <w:r>
        <w:rPr>
          <w:spacing w:val="-14"/>
        </w:rPr>
        <w:t xml:space="preserve"> </w:t>
      </w:r>
      <w:r>
        <w:t>del</w:t>
      </w:r>
      <w:r>
        <w:rPr>
          <w:spacing w:val="-14"/>
        </w:rPr>
        <w:t xml:space="preserve"> </w:t>
      </w:r>
      <w:r>
        <w:t>entramado</w:t>
      </w:r>
      <w:r>
        <w:rPr>
          <w:spacing w:val="-14"/>
        </w:rPr>
        <w:t xml:space="preserve"> </w:t>
      </w:r>
      <w:r>
        <w:t>paramilitar</w:t>
      </w:r>
      <w:r>
        <w:rPr>
          <w:spacing w:val="-15"/>
        </w:rPr>
        <w:t xml:space="preserve"> </w:t>
      </w:r>
      <w:r>
        <w:t>en décadas posteriores.</w:t>
      </w:r>
    </w:p>
    <w:p w:rsidR="0011361F" w:rsidRDefault="00AF18A5" w:rsidP="00E140C8">
      <w:r>
        <w:t>De</w:t>
      </w:r>
      <w:r>
        <w:rPr>
          <w:spacing w:val="-3"/>
        </w:rPr>
        <w:t xml:space="preserve"> </w:t>
      </w:r>
      <w:r>
        <w:t>fondo,</w:t>
      </w:r>
      <w:r>
        <w:rPr>
          <w:spacing w:val="-4"/>
        </w:rPr>
        <w:t xml:space="preserve"> </w:t>
      </w:r>
      <w:r>
        <w:t>la</w:t>
      </w:r>
      <w:r>
        <w:rPr>
          <w:spacing w:val="-3"/>
        </w:rPr>
        <w:t xml:space="preserve"> </w:t>
      </w:r>
      <w:r>
        <w:t>delegación</w:t>
      </w:r>
      <w:r>
        <w:rPr>
          <w:spacing w:val="-5"/>
        </w:rPr>
        <w:t xml:space="preserve"> </w:t>
      </w:r>
      <w:r>
        <w:t>de</w:t>
      </w:r>
      <w:r>
        <w:rPr>
          <w:spacing w:val="-3"/>
        </w:rPr>
        <w:t xml:space="preserve"> </w:t>
      </w:r>
      <w:r>
        <w:t>la</w:t>
      </w:r>
      <w:r>
        <w:rPr>
          <w:spacing w:val="-3"/>
        </w:rPr>
        <w:t xml:space="preserve"> </w:t>
      </w:r>
      <w:r>
        <w:t>seguridad</w:t>
      </w:r>
      <w:r>
        <w:rPr>
          <w:spacing w:val="-4"/>
        </w:rPr>
        <w:t xml:space="preserve"> </w:t>
      </w:r>
      <w:r>
        <w:t>pública</w:t>
      </w:r>
      <w:r>
        <w:rPr>
          <w:spacing w:val="-3"/>
        </w:rPr>
        <w:t xml:space="preserve"> </w:t>
      </w:r>
      <w:r>
        <w:t>al</w:t>
      </w:r>
      <w:r>
        <w:rPr>
          <w:spacing w:val="-4"/>
        </w:rPr>
        <w:t xml:space="preserve"> </w:t>
      </w:r>
      <w:r>
        <w:t>conformar</w:t>
      </w:r>
      <w:r>
        <w:rPr>
          <w:spacing w:val="-3"/>
        </w:rPr>
        <w:t xml:space="preserve"> </w:t>
      </w:r>
      <w:r>
        <w:t>grupos</w:t>
      </w:r>
      <w:r>
        <w:rPr>
          <w:spacing w:val="-3"/>
        </w:rPr>
        <w:t xml:space="preserve"> </w:t>
      </w:r>
      <w:r>
        <w:t>de</w:t>
      </w:r>
      <w:r>
        <w:rPr>
          <w:spacing w:val="-3"/>
        </w:rPr>
        <w:t xml:space="preserve"> </w:t>
      </w:r>
      <w:r>
        <w:t>civiles</w:t>
      </w:r>
      <w:r>
        <w:rPr>
          <w:spacing w:val="-3"/>
        </w:rPr>
        <w:t xml:space="preserve"> </w:t>
      </w:r>
      <w:r>
        <w:t>y</w:t>
      </w:r>
      <w:r>
        <w:rPr>
          <w:spacing w:val="-4"/>
        </w:rPr>
        <w:t xml:space="preserve"> </w:t>
      </w:r>
      <w:r>
        <w:t xml:space="preserve">dotarlos con armas de uso privativo para apoyar las labores de </w:t>
      </w:r>
      <w:r>
        <w:lastRenderedPageBreak/>
        <w:t>defensa y seguridad pública que corresponden a las fuerzas estatales implica al menos los siguientes aspectos que profundizan, prolongan y degradan la guerra: imposibilita cualquier regulación y control de su accionar; rompe con la distinción entre civiles y combatientes y aumenta el riesgo de la población</w:t>
      </w:r>
      <w:r>
        <w:rPr>
          <w:spacing w:val="-2"/>
        </w:rPr>
        <w:t xml:space="preserve"> </w:t>
      </w:r>
      <w:r>
        <w:t>civil</w:t>
      </w:r>
      <w:r>
        <w:rPr>
          <w:spacing w:val="-2"/>
        </w:rPr>
        <w:t xml:space="preserve"> </w:t>
      </w:r>
      <w:r>
        <w:t>a</w:t>
      </w:r>
      <w:r>
        <w:rPr>
          <w:spacing w:val="-2"/>
        </w:rPr>
        <w:t xml:space="preserve"> </w:t>
      </w:r>
      <w:r>
        <w:t>sufrir</w:t>
      </w:r>
      <w:r>
        <w:rPr>
          <w:spacing w:val="-2"/>
        </w:rPr>
        <w:t xml:space="preserve"> </w:t>
      </w:r>
      <w:r>
        <w:t>violaciones</w:t>
      </w:r>
      <w:r>
        <w:rPr>
          <w:spacing w:val="-2"/>
        </w:rPr>
        <w:t xml:space="preserve"> </w:t>
      </w:r>
      <w:r>
        <w:t>de</w:t>
      </w:r>
      <w:r>
        <w:rPr>
          <w:spacing w:val="-2"/>
        </w:rPr>
        <w:t xml:space="preserve"> </w:t>
      </w:r>
      <w:r>
        <w:t>sus</w:t>
      </w:r>
      <w:r>
        <w:rPr>
          <w:spacing w:val="-2"/>
        </w:rPr>
        <w:t xml:space="preserve"> </w:t>
      </w:r>
      <w:r>
        <w:t>derechos;</w:t>
      </w:r>
      <w:r>
        <w:rPr>
          <w:spacing w:val="-2"/>
        </w:rPr>
        <w:t xml:space="preserve"> </w:t>
      </w:r>
      <w:r>
        <w:t>legaliza</w:t>
      </w:r>
      <w:r>
        <w:rPr>
          <w:spacing w:val="-2"/>
        </w:rPr>
        <w:t xml:space="preserve"> </w:t>
      </w:r>
      <w:r>
        <w:t>y</w:t>
      </w:r>
      <w:r>
        <w:rPr>
          <w:spacing w:val="-2"/>
        </w:rPr>
        <w:t xml:space="preserve"> </w:t>
      </w:r>
      <w:r>
        <w:t>legitima</w:t>
      </w:r>
      <w:r>
        <w:rPr>
          <w:spacing w:val="-2"/>
        </w:rPr>
        <w:t xml:space="preserve"> </w:t>
      </w:r>
      <w:r>
        <w:t>los</w:t>
      </w:r>
      <w:r>
        <w:rPr>
          <w:spacing w:val="-2"/>
        </w:rPr>
        <w:t xml:space="preserve"> </w:t>
      </w:r>
      <w:r>
        <w:t>órdenes</w:t>
      </w:r>
      <w:r>
        <w:rPr>
          <w:spacing w:val="-2"/>
        </w:rPr>
        <w:t xml:space="preserve"> </w:t>
      </w:r>
      <w:r>
        <w:t>armados alternos al Estado, el clientelismo y la exclusión; y, por último, impide la identificación de las responsabilidades asociadas a las comisión de crímenes y violaciones de derechos humanos e infracciones al derecho internacional humanitario y aumenta la impunidad, pues crea una zona difusa que en el terreno hace difícil determinar cuándo el militar o policía operó en nombre de un grupo estatal o como parte de las acciones de grupos paramilitares.</w:t>
      </w:r>
    </w:p>
    <w:p w:rsidR="0011361F" w:rsidRDefault="00AF18A5" w:rsidP="004A6EF4">
      <w:pPr>
        <w:pStyle w:val="Ttulo3"/>
        <w:numPr>
          <w:ilvl w:val="1"/>
          <w:numId w:val="16"/>
        </w:numPr>
      </w:pPr>
      <w:bookmarkStart w:id="478" w:name="_bookmark383"/>
      <w:bookmarkStart w:id="479" w:name="5.2._El_marco_de_la_doctrina_del_enemigo"/>
      <w:bookmarkStart w:id="480" w:name="_Toc112399593"/>
      <w:bookmarkEnd w:id="478"/>
      <w:bookmarkEnd w:id="479"/>
      <w:r>
        <w:t>El</w:t>
      </w:r>
      <w:r>
        <w:rPr>
          <w:spacing w:val="-4"/>
        </w:rPr>
        <w:t xml:space="preserve"> </w:t>
      </w:r>
      <w:r>
        <w:t>marco</w:t>
      </w:r>
      <w:r>
        <w:rPr>
          <w:spacing w:val="-1"/>
        </w:rPr>
        <w:t xml:space="preserve"> </w:t>
      </w:r>
      <w:r>
        <w:t>de</w:t>
      </w:r>
      <w:r>
        <w:rPr>
          <w:spacing w:val="-1"/>
        </w:rPr>
        <w:t xml:space="preserve"> </w:t>
      </w:r>
      <w:r>
        <w:t>la</w:t>
      </w:r>
      <w:r>
        <w:rPr>
          <w:spacing w:val="-2"/>
        </w:rPr>
        <w:t xml:space="preserve"> </w:t>
      </w:r>
      <w:r>
        <w:t>doctrina</w:t>
      </w:r>
      <w:r>
        <w:rPr>
          <w:spacing w:val="-1"/>
        </w:rPr>
        <w:t xml:space="preserve"> </w:t>
      </w:r>
      <w:r>
        <w:t>del</w:t>
      </w:r>
      <w:r>
        <w:rPr>
          <w:spacing w:val="-2"/>
        </w:rPr>
        <w:t xml:space="preserve"> </w:t>
      </w:r>
      <w:r>
        <w:t>enemigo</w:t>
      </w:r>
      <w:r>
        <w:rPr>
          <w:spacing w:val="-3"/>
        </w:rPr>
        <w:t xml:space="preserve"> </w:t>
      </w:r>
      <w:r>
        <w:t>interno</w:t>
      </w:r>
      <w:r>
        <w:rPr>
          <w:spacing w:val="-2"/>
        </w:rPr>
        <w:t xml:space="preserve"> </w:t>
      </w:r>
      <w:r>
        <w:t>y</w:t>
      </w:r>
      <w:r>
        <w:rPr>
          <w:spacing w:val="-1"/>
        </w:rPr>
        <w:t xml:space="preserve"> </w:t>
      </w:r>
      <w:r>
        <w:t>la</w:t>
      </w:r>
      <w:r>
        <w:rPr>
          <w:spacing w:val="-1"/>
        </w:rPr>
        <w:t xml:space="preserve"> </w:t>
      </w:r>
      <w:r>
        <w:t>injerencia</w:t>
      </w:r>
      <w:r>
        <w:rPr>
          <w:spacing w:val="-1"/>
        </w:rPr>
        <w:t xml:space="preserve"> </w:t>
      </w:r>
      <w:r>
        <w:rPr>
          <w:spacing w:val="-2"/>
        </w:rPr>
        <w:t>internacional</w:t>
      </w:r>
      <w:bookmarkEnd w:id="480"/>
    </w:p>
    <w:p w:rsidR="003804AC" w:rsidRDefault="00AF18A5" w:rsidP="00EE5772">
      <w:r>
        <w:t xml:space="preserve">El paramilitarismo no es originario de Colombia. Para el 2022, según Global </w:t>
      </w:r>
      <w:proofErr w:type="spellStart"/>
      <w:r>
        <w:t>Firepower</w:t>
      </w:r>
      <w:proofErr w:type="spellEnd"/>
      <w:r>
        <w:t xml:space="preserve"> (GPF), existen 142 grupos paramilitares en el mundo</w:t>
      </w:r>
      <w:r w:rsidR="00EE5772">
        <w:rPr>
          <w:rStyle w:val="Refdenotaalpie"/>
        </w:rPr>
        <w:footnoteReference w:id="337"/>
      </w:r>
      <w:r>
        <w:t>. El surgimiento y desarrollo de políticas contrainsurgentes implementadas en el Plan Lazo, entre 1962 y 1964, en combinación con las recomendaciones del informe del brigadier general William P. Yarborough</w:t>
      </w:r>
      <w:r w:rsidR="00EE5772">
        <w:rPr>
          <w:rStyle w:val="Refdenotaalpie"/>
        </w:rPr>
        <w:footnoteReference w:id="338"/>
      </w:r>
      <w:r>
        <w:t xml:space="preserve">, fueron antesala del paramilitarismo: primero, estipularon la creación de unidades civiles de autodefensa que contaran con la </w:t>
      </w:r>
      <w:r>
        <w:lastRenderedPageBreak/>
        <w:t>participación de militares activos, exmilitares, policías y poderes locales, con el beneplácito del Comité Cívico Militar, integrado por autoridades civiles y personas influyentes de la población. Segundo, con el Plan</w:t>
      </w:r>
      <w:r>
        <w:rPr>
          <w:spacing w:val="-5"/>
        </w:rPr>
        <w:t xml:space="preserve"> </w:t>
      </w:r>
      <w:r>
        <w:t>se</w:t>
      </w:r>
      <w:r>
        <w:rPr>
          <w:spacing w:val="-5"/>
        </w:rPr>
        <w:t xml:space="preserve"> </w:t>
      </w:r>
      <w:r>
        <w:t>conjugaron</w:t>
      </w:r>
      <w:r>
        <w:rPr>
          <w:spacing w:val="-5"/>
        </w:rPr>
        <w:t xml:space="preserve"> </w:t>
      </w:r>
      <w:r>
        <w:t>las</w:t>
      </w:r>
      <w:r>
        <w:rPr>
          <w:spacing w:val="-6"/>
        </w:rPr>
        <w:t xml:space="preserve"> </w:t>
      </w:r>
      <w:r>
        <w:t>motivaciones</w:t>
      </w:r>
      <w:r>
        <w:rPr>
          <w:spacing w:val="-5"/>
        </w:rPr>
        <w:t xml:space="preserve"> </w:t>
      </w:r>
      <w:r>
        <w:t>de</w:t>
      </w:r>
      <w:r>
        <w:rPr>
          <w:spacing w:val="-4"/>
        </w:rPr>
        <w:t xml:space="preserve"> </w:t>
      </w:r>
      <w:r>
        <w:t>los</w:t>
      </w:r>
      <w:r>
        <w:rPr>
          <w:spacing w:val="-6"/>
        </w:rPr>
        <w:t xml:space="preserve"> </w:t>
      </w:r>
      <w:r>
        <w:t>actores</w:t>
      </w:r>
      <w:r>
        <w:rPr>
          <w:spacing w:val="-4"/>
        </w:rPr>
        <w:t xml:space="preserve"> </w:t>
      </w:r>
      <w:r>
        <w:t>de</w:t>
      </w:r>
      <w:r>
        <w:rPr>
          <w:spacing w:val="-6"/>
        </w:rPr>
        <w:t xml:space="preserve"> </w:t>
      </w:r>
      <w:r>
        <w:t>la</w:t>
      </w:r>
      <w:r>
        <w:rPr>
          <w:spacing w:val="-6"/>
        </w:rPr>
        <w:t xml:space="preserve"> </w:t>
      </w:r>
      <w:r>
        <w:t>contrainsurgencia:</w:t>
      </w:r>
      <w:r>
        <w:rPr>
          <w:spacing w:val="-5"/>
        </w:rPr>
        <w:t xml:space="preserve"> </w:t>
      </w:r>
      <w:r>
        <w:t>la</w:t>
      </w:r>
      <w:r>
        <w:rPr>
          <w:spacing w:val="-4"/>
        </w:rPr>
        <w:t xml:space="preserve"> </w:t>
      </w:r>
      <w:r>
        <w:t>pacificación</w:t>
      </w:r>
      <w:r>
        <w:rPr>
          <w:spacing w:val="-5"/>
        </w:rPr>
        <w:t xml:space="preserve"> </w:t>
      </w:r>
      <w:r>
        <w:t xml:space="preserve">y el mantenimiento del </w:t>
      </w:r>
      <w:r>
        <w:rPr>
          <w:i/>
        </w:rPr>
        <w:t xml:space="preserve">statu quo </w:t>
      </w:r>
      <w:r>
        <w:t>político y económico de los</w:t>
      </w:r>
      <w:r>
        <w:rPr>
          <w:spacing w:val="-1"/>
        </w:rPr>
        <w:t xml:space="preserve"> </w:t>
      </w:r>
      <w:r>
        <w:t>poderes locales, algo que</w:t>
      </w:r>
      <w:r>
        <w:rPr>
          <w:spacing w:val="-1"/>
        </w:rPr>
        <w:t xml:space="preserve"> </w:t>
      </w:r>
      <w:r>
        <w:t>venía, por lo menos desde la década de 1920.</w:t>
      </w:r>
    </w:p>
    <w:p w:rsidR="003804AC" w:rsidRDefault="00AF18A5" w:rsidP="00EE5772">
      <w:r>
        <w:t>Las</w:t>
      </w:r>
      <w:r>
        <w:rPr>
          <w:spacing w:val="-7"/>
        </w:rPr>
        <w:t xml:space="preserve"> </w:t>
      </w:r>
      <w:r>
        <w:t>recomendaciones</w:t>
      </w:r>
      <w:r>
        <w:rPr>
          <w:spacing w:val="-7"/>
        </w:rPr>
        <w:t xml:space="preserve"> </w:t>
      </w:r>
      <w:r>
        <w:t>de</w:t>
      </w:r>
      <w:r>
        <w:rPr>
          <w:spacing w:val="-7"/>
        </w:rPr>
        <w:t xml:space="preserve"> </w:t>
      </w:r>
      <w:r>
        <w:t>misiones</w:t>
      </w:r>
      <w:r>
        <w:rPr>
          <w:spacing w:val="-7"/>
        </w:rPr>
        <w:t xml:space="preserve"> </w:t>
      </w:r>
      <w:r>
        <w:t>estadounidenses</w:t>
      </w:r>
      <w:r>
        <w:rPr>
          <w:spacing w:val="-7"/>
        </w:rPr>
        <w:t xml:space="preserve"> </w:t>
      </w:r>
      <w:r>
        <w:t>que</w:t>
      </w:r>
      <w:r>
        <w:rPr>
          <w:spacing w:val="-7"/>
        </w:rPr>
        <w:t xml:space="preserve"> </w:t>
      </w:r>
      <w:r>
        <w:t>visitaron</w:t>
      </w:r>
      <w:r>
        <w:rPr>
          <w:spacing w:val="-7"/>
        </w:rPr>
        <w:t xml:space="preserve"> </w:t>
      </w:r>
      <w:r>
        <w:t>el</w:t>
      </w:r>
      <w:r>
        <w:rPr>
          <w:spacing w:val="-7"/>
        </w:rPr>
        <w:t xml:space="preserve"> </w:t>
      </w:r>
      <w:r>
        <w:t>país</w:t>
      </w:r>
      <w:r>
        <w:rPr>
          <w:spacing w:val="-8"/>
        </w:rPr>
        <w:t xml:space="preserve"> </w:t>
      </w:r>
      <w:r>
        <w:t>en</w:t>
      </w:r>
      <w:r>
        <w:rPr>
          <w:spacing w:val="-7"/>
        </w:rPr>
        <w:t xml:space="preserve"> </w:t>
      </w:r>
      <w:r>
        <w:t>el</w:t>
      </w:r>
      <w:r>
        <w:rPr>
          <w:spacing w:val="-7"/>
        </w:rPr>
        <w:t xml:space="preserve"> </w:t>
      </w:r>
      <w:r>
        <w:t>gobierno</w:t>
      </w:r>
      <w:r>
        <w:rPr>
          <w:spacing w:val="-7"/>
        </w:rPr>
        <w:t xml:space="preserve"> </w:t>
      </w:r>
      <w:r>
        <w:t>de Alberto Lleras Camargo (1958-1962) derivaron en el Decreto 1381 de 1963</w:t>
      </w:r>
      <w:r w:rsidR="00EE5772">
        <w:rPr>
          <w:rStyle w:val="Refdenotaalpie"/>
        </w:rPr>
        <w:footnoteReference w:id="339"/>
      </w:r>
      <w:r>
        <w:t>, el Decreto 3398 de 1965 y la Ley 48 de 1968 de Defensa Nacional, a través de los cuales se institucionalizó la vinculación de civiles al conflicto armado</w:t>
      </w:r>
      <w:r w:rsidR="00EE5772">
        <w:rPr>
          <w:rStyle w:val="Refdenotaalpie"/>
        </w:rPr>
        <w:footnoteReference w:id="340"/>
      </w:r>
      <w:r>
        <w:t>. Estas normas fueron el sustento legal que amparó la proliferación de grupos paramilitares en el marco de las estrategias de seguridad y defensa del Estado. A partir de esta normatividad, en el campo operativo</w:t>
      </w:r>
      <w:r>
        <w:rPr>
          <w:spacing w:val="-1"/>
        </w:rPr>
        <w:t xml:space="preserve"> </w:t>
      </w:r>
      <w:r>
        <w:t>se</w:t>
      </w:r>
      <w:r>
        <w:rPr>
          <w:spacing w:val="-1"/>
        </w:rPr>
        <w:t xml:space="preserve"> </w:t>
      </w:r>
      <w:r>
        <w:t>crearon reglamentos de combate y manuales específicos del</w:t>
      </w:r>
      <w:r>
        <w:rPr>
          <w:spacing w:val="-1"/>
        </w:rPr>
        <w:t xml:space="preserve"> </w:t>
      </w:r>
      <w:r>
        <w:t xml:space="preserve">Ejército en los </w:t>
      </w:r>
      <w:r>
        <w:rPr>
          <w:spacing w:val="-5"/>
        </w:rPr>
        <w:t>que</w:t>
      </w:r>
      <w:bookmarkStart w:id="481" w:name="_bookmark385"/>
      <w:bookmarkStart w:id="482" w:name="_bookmark386"/>
      <w:bookmarkStart w:id="483" w:name="_bookmark387"/>
      <w:bookmarkStart w:id="484" w:name="_bookmark388"/>
      <w:bookmarkEnd w:id="481"/>
      <w:bookmarkEnd w:id="482"/>
      <w:bookmarkEnd w:id="483"/>
      <w:bookmarkEnd w:id="484"/>
      <w:r w:rsidR="00EE5772">
        <w:rPr>
          <w:spacing w:val="-5"/>
        </w:rPr>
        <w:t xml:space="preserve"> </w:t>
      </w:r>
      <w:r>
        <w:t>se clasificó la población en categorías de acuerdo con sus supuestas posiciones frente a los bandos en conflicto y se reglamentaron las autodefensas que ya existían</w:t>
      </w:r>
      <w:r w:rsidR="00D04772">
        <w:rPr>
          <w:rStyle w:val="Refdenotaalpie"/>
        </w:rPr>
        <w:footnoteReference w:id="341"/>
      </w:r>
      <w:r>
        <w:t>.</w:t>
      </w:r>
    </w:p>
    <w:p w:rsidR="003804AC" w:rsidRDefault="00AF18A5" w:rsidP="00EE5772">
      <w:r>
        <w:t xml:space="preserve">De esta manera, si bien no todos los grupos de seguridad privada </w:t>
      </w:r>
      <w:r>
        <w:lastRenderedPageBreak/>
        <w:t>legalizados en los años sesenta tuvieron una relación directa con los grupos paramilitares consolidados una década más tarde,</w:t>
      </w:r>
      <w:r>
        <w:rPr>
          <w:spacing w:val="-1"/>
        </w:rPr>
        <w:t xml:space="preserve"> </w:t>
      </w:r>
      <w:r>
        <w:t>es posible encontrar relaciones en</w:t>
      </w:r>
      <w:r>
        <w:rPr>
          <w:spacing w:val="-1"/>
        </w:rPr>
        <w:t xml:space="preserve"> </w:t>
      </w:r>
      <w:r>
        <w:t>la persistencia del uso y</w:t>
      </w:r>
      <w:r>
        <w:rPr>
          <w:spacing w:val="-1"/>
        </w:rPr>
        <w:t xml:space="preserve"> </w:t>
      </w:r>
      <w:r>
        <w:t>en el involucramiento de civiles en</w:t>
      </w:r>
      <w:r>
        <w:rPr>
          <w:spacing w:val="-1"/>
        </w:rPr>
        <w:t xml:space="preserve"> </w:t>
      </w:r>
      <w:r>
        <w:t>grupos de seguridad privada, bajo</w:t>
      </w:r>
      <w:r>
        <w:rPr>
          <w:spacing w:val="-1"/>
        </w:rPr>
        <w:t xml:space="preserve"> </w:t>
      </w:r>
      <w:r>
        <w:t>la</w:t>
      </w:r>
      <w:r>
        <w:rPr>
          <w:spacing w:val="-1"/>
        </w:rPr>
        <w:t xml:space="preserve"> </w:t>
      </w:r>
      <w:r>
        <w:t>delegación</w:t>
      </w:r>
      <w:r>
        <w:rPr>
          <w:spacing w:val="-1"/>
        </w:rPr>
        <w:t xml:space="preserve"> </w:t>
      </w:r>
      <w:r>
        <w:t xml:space="preserve">del monopolio de la seguridad y el uso de las armas, con una fuerte injerencia internacional desde la doctrina </w:t>
      </w:r>
      <w:r>
        <w:rPr>
          <w:spacing w:val="-2"/>
        </w:rPr>
        <w:t>contrainsurgente.</w:t>
      </w:r>
    </w:p>
    <w:p w:rsidR="0011361F" w:rsidRDefault="00AF18A5" w:rsidP="004A6EF4">
      <w:pPr>
        <w:pStyle w:val="Ttulo3"/>
        <w:numPr>
          <w:ilvl w:val="1"/>
          <w:numId w:val="16"/>
        </w:numPr>
      </w:pPr>
      <w:bookmarkStart w:id="485" w:name="5.3._El_paramilitarismo_fue_legalizado_e"/>
      <w:bookmarkStart w:id="486" w:name="_Toc112399594"/>
      <w:bookmarkEnd w:id="485"/>
      <w:r>
        <w:t>El</w:t>
      </w:r>
      <w:r>
        <w:rPr>
          <w:spacing w:val="-5"/>
        </w:rPr>
        <w:t xml:space="preserve"> </w:t>
      </w:r>
      <w:r>
        <w:t>paramilitarismo</w:t>
      </w:r>
      <w:r>
        <w:rPr>
          <w:spacing w:val="-4"/>
        </w:rPr>
        <w:t xml:space="preserve"> </w:t>
      </w:r>
      <w:r>
        <w:t>fue</w:t>
      </w:r>
      <w:r>
        <w:rPr>
          <w:spacing w:val="-2"/>
        </w:rPr>
        <w:t xml:space="preserve"> </w:t>
      </w:r>
      <w:r>
        <w:t>legalizado</w:t>
      </w:r>
      <w:r>
        <w:rPr>
          <w:spacing w:val="-2"/>
        </w:rPr>
        <w:t xml:space="preserve"> </w:t>
      </w:r>
      <w:r>
        <w:t>en</w:t>
      </w:r>
      <w:r>
        <w:rPr>
          <w:spacing w:val="-3"/>
        </w:rPr>
        <w:t xml:space="preserve"> </w:t>
      </w:r>
      <w:r>
        <w:t>diferentes</w:t>
      </w:r>
      <w:r>
        <w:rPr>
          <w:spacing w:val="-2"/>
        </w:rPr>
        <w:t xml:space="preserve"> momentos</w:t>
      </w:r>
      <w:bookmarkEnd w:id="486"/>
    </w:p>
    <w:p w:rsidR="003804AC" w:rsidRDefault="00AF18A5" w:rsidP="00D04772">
      <w:r>
        <w:t>La</w:t>
      </w:r>
      <w:r>
        <w:rPr>
          <w:spacing w:val="-4"/>
        </w:rPr>
        <w:t xml:space="preserve"> </w:t>
      </w:r>
      <w:r>
        <w:t>aprobación</w:t>
      </w:r>
      <w:r>
        <w:rPr>
          <w:spacing w:val="-5"/>
        </w:rPr>
        <w:t xml:space="preserve"> </w:t>
      </w:r>
      <w:r>
        <w:t>de</w:t>
      </w:r>
      <w:r>
        <w:rPr>
          <w:spacing w:val="-4"/>
        </w:rPr>
        <w:t xml:space="preserve"> </w:t>
      </w:r>
      <w:r>
        <w:t>normas</w:t>
      </w:r>
      <w:r>
        <w:rPr>
          <w:spacing w:val="-4"/>
        </w:rPr>
        <w:t xml:space="preserve"> </w:t>
      </w:r>
      <w:r>
        <w:t>ha</w:t>
      </w:r>
      <w:r>
        <w:rPr>
          <w:spacing w:val="-4"/>
        </w:rPr>
        <w:t xml:space="preserve"> </w:t>
      </w:r>
      <w:r>
        <w:t>sido</w:t>
      </w:r>
      <w:r>
        <w:rPr>
          <w:spacing w:val="-5"/>
        </w:rPr>
        <w:t xml:space="preserve"> </w:t>
      </w:r>
      <w:r>
        <w:t>una</w:t>
      </w:r>
      <w:r>
        <w:rPr>
          <w:spacing w:val="-4"/>
        </w:rPr>
        <w:t xml:space="preserve"> </w:t>
      </w:r>
      <w:r>
        <w:t>de</w:t>
      </w:r>
      <w:r>
        <w:rPr>
          <w:spacing w:val="-6"/>
        </w:rPr>
        <w:t xml:space="preserve"> </w:t>
      </w:r>
      <w:r>
        <w:t>las</w:t>
      </w:r>
      <w:r>
        <w:rPr>
          <w:spacing w:val="-4"/>
        </w:rPr>
        <w:t xml:space="preserve"> </w:t>
      </w:r>
      <w:r>
        <w:t>vías</w:t>
      </w:r>
      <w:r>
        <w:rPr>
          <w:spacing w:val="-7"/>
        </w:rPr>
        <w:t xml:space="preserve"> </w:t>
      </w:r>
      <w:r>
        <w:t>para</w:t>
      </w:r>
      <w:r>
        <w:rPr>
          <w:spacing w:val="-4"/>
        </w:rPr>
        <w:t xml:space="preserve"> </w:t>
      </w:r>
      <w:r>
        <w:t>otorgar</w:t>
      </w:r>
      <w:r>
        <w:rPr>
          <w:spacing w:val="-5"/>
        </w:rPr>
        <w:t xml:space="preserve"> </w:t>
      </w:r>
      <w:r>
        <w:t>estatus</w:t>
      </w:r>
      <w:r>
        <w:rPr>
          <w:spacing w:val="-4"/>
        </w:rPr>
        <w:t xml:space="preserve"> </w:t>
      </w:r>
      <w:r>
        <w:t>legal</w:t>
      </w:r>
      <w:r>
        <w:rPr>
          <w:spacing w:val="-5"/>
        </w:rPr>
        <w:t xml:space="preserve"> </w:t>
      </w:r>
      <w:r>
        <w:t>a</w:t>
      </w:r>
      <w:r>
        <w:rPr>
          <w:spacing w:val="-4"/>
        </w:rPr>
        <w:t xml:space="preserve"> </w:t>
      </w:r>
      <w:r>
        <w:t>grupos</w:t>
      </w:r>
      <w:r>
        <w:rPr>
          <w:spacing w:val="-4"/>
        </w:rPr>
        <w:t xml:space="preserve"> </w:t>
      </w:r>
      <w:r>
        <w:t>armados en</w:t>
      </w:r>
      <w:r>
        <w:rPr>
          <w:spacing w:val="-15"/>
        </w:rPr>
        <w:t xml:space="preserve"> </w:t>
      </w:r>
      <w:r>
        <w:t>el</w:t>
      </w:r>
      <w:r>
        <w:rPr>
          <w:spacing w:val="-14"/>
        </w:rPr>
        <w:t xml:space="preserve"> </w:t>
      </w:r>
      <w:r>
        <w:t>ámbito</w:t>
      </w:r>
      <w:r>
        <w:rPr>
          <w:spacing w:val="-15"/>
        </w:rPr>
        <w:t xml:space="preserve"> </w:t>
      </w:r>
      <w:r>
        <w:t>de</w:t>
      </w:r>
      <w:r>
        <w:rPr>
          <w:spacing w:val="-14"/>
        </w:rPr>
        <w:t xml:space="preserve"> </w:t>
      </w:r>
      <w:r>
        <w:t>la</w:t>
      </w:r>
      <w:r>
        <w:rPr>
          <w:spacing w:val="-15"/>
        </w:rPr>
        <w:t xml:space="preserve"> </w:t>
      </w:r>
      <w:r>
        <w:t>defensa</w:t>
      </w:r>
      <w:r>
        <w:rPr>
          <w:spacing w:val="-14"/>
        </w:rPr>
        <w:t xml:space="preserve"> </w:t>
      </w:r>
      <w:r>
        <w:t>privada</w:t>
      </w:r>
      <w:r>
        <w:rPr>
          <w:spacing w:val="-14"/>
        </w:rPr>
        <w:t xml:space="preserve"> </w:t>
      </w:r>
      <w:r>
        <w:t>y</w:t>
      </w:r>
      <w:r>
        <w:rPr>
          <w:spacing w:val="-15"/>
        </w:rPr>
        <w:t xml:space="preserve"> </w:t>
      </w:r>
      <w:r>
        <w:t>la</w:t>
      </w:r>
      <w:r>
        <w:rPr>
          <w:spacing w:val="-14"/>
        </w:rPr>
        <w:t xml:space="preserve"> </w:t>
      </w:r>
      <w:r>
        <w:t>contrainsurgencia.</w:t>
      </w:r>
      <w:r>
        <w:rPr>
          <w:spacing w:val="-14"/>
        </w:rPr>
        <w:t xml:space="preserve"> </w:t>
      </w:r>
      <w:r>
        <w:t>Los</w:t>
      </w:r>
      <w:r>
        <w:rPr>
          <w:spacing w:val="-15"/>
        </w:rPr>
        <w:t xml:space="preserve"> </w:t>
      </w:r>
      <w:r>
        <w:t>extensos</w:t>
      </w:r>
      <w:r>
        <w:rPr>
          <w:spacing w:val="-15"/>
        </w:rPr>
        <w:t xml:space="preserve"> </w:t>
      </w:r>
      <w:r>
        <w:t>periodos</w:t>
      </w:r>
      <w:r>
        <w:rPr>
          <w:spacing w:val="-14"/>
        </w:rPr>
        <w:t xml:space="preserve"> </w:t>
      </w:r>
      <w:r>
        <w:t>de</w:t>
      </w:r>
      <w:r>
        <w:rPr>
          <w:spacing w:val="-15"/>
        </w:rPr>
        <w:t xml:space="preserve"> </w:t>
      </w:r>
      <w:r>
        <w:t>legalidad, de la que han estado revestidos los grupos de seguridad privada, se constituyen en un factor central de su sostenimiento y supervivencia. Las autodefensas civiles fueron promovidas y declaradas legales durante 27 años, hasta 1989, cuando el gobierno de Virgilio Barco suspendió la legalidad del paramilitarismo y se plantearon medidas para combatirlo</w:t>
      </w:r>
      <w:r w:rsidR="00D04772">
        <w:rPr>
          <w:rStyle w:val="Refdenotaalpie"/>
        </w:rPr>
        <w:footnoteReference w:id="342"/>
      </w:r>
      <w:r>
        <w:t>. Sin embargo, en la década de los noventa, la creación de las cooperativas de vigilancia y seguridad</w:t>
      </w:r>
      <w:r>
        <w:rPr>
          <w:spacing w:val="31"/>
        </w:rPr>
        <w:t xml:space="preserve"> </w:t>
      </w:r>
      <w:r>
        <w:t>privada</w:t>
      </w:r>
      <w:r>
        <w:rPr>
          <w:spacing w:val="32"/>
        </w:rPr>
        <w:t xml:space="preserve"> </w:t>
      </w:r>
      <w:r>
        <w:t>Convivir</w:t>
      </w:r>
      <w:r w:rsidR="00D04772">
        <w:rPr>
          <w:rStyle w:val="Refdenotaalpie"/>
        </w:rPr>
        <w:footnoteReference w:id="343"/>
      </w:r>
      <w:r>
        <w:rPr>
          <w:spacing w:val="33"/>
        </w:rPr>
        <w:t xml:space="preserve"> </w:t>
      </w:r>
      <w:r>
        <w:t>sirvió</w:t>
      </w:r>
      <w:r>
        <w:rPr>
          <w:spacing w:val="31"/>
        </w:rPr>
        <w:t xml:space="preserve"> </w:t>
      </w:r>
      <w:r>
        <w:t>como</w:t>
      </w:r>
      <w:r>
        <w:rPr>
          <w:spacing w:val="32"/>
        </w:rPr>
        <w:t xml:space="preserve"> </w:t>
      </w:r>
      <w:r>
        <w:t>incentivo</w:t>
      </w:r>
      <w:r>
        <w:rPr>
          <w:spacing w:val="32"/>
        </w:rPr>
        <w:t xml:space="preserve"> </w:t>
      </w:r>
      <w:r>
        <w:lastRenderedPageBreak/>
        <w:t>institucional</w:t>
      </w:r>
      <w:r>
        <w:rPr>
          <w:spacing w:val="33"/>
        </w:rPr>
        <w:t xml:space="preserve"> </w:t>
      </w:r>
      <w:r>
        <w:t>y</w:t>
      </w:r>
      <w:r>
        <w:rPr>
          <w:spacing w:val="31"/>
        </w:rPr>
        <w:t xml:space="preserve"> </w:t>
      </w:r>
      <w:r>
        <w:t>legal</w:t>
      </w:r>
      <w:r>
        <w:rPr>
          <w:spacing w:val="31"/>
        </w:rPr>
        <w:t xml:space="preserve"> </w:t>
      </w:r>
      <w:r>
        <w:t>para</w:t>
      </w:r>
      <w:r>
        <w:rPr>
          <w:spacing w:val="32"/>
        </w:rPr>
        <w:t xml:space="preserve"> </w:t>
      </w:r>
      <w:r>
        <w:t>que,</w:t>
      </w:r>
      <w:r>
        <w:rPr>
          <w:spacing w:val="32"/>
        </w:rPr>
        <w:t xml:space="preserve"> </w:t>
      </w:r>
      <w:r>
        <w:t>en</w:t>
      </w:r>
      <w:r>
        <w:rPr>
          <w:spacing w:val="31"/>
        </w:rPr>
        <w:t xml:space="preserve"> </w:t>
      </w:r>
      <w:r>
        <w:rPr>
          <w:spacing w:val="-5"/>
        </w:rPr>
        <w:t>la</w:t>
      </w:r>
      <w:bookmarkStart w:id="487" w:name="_bookmark390"/>
      <w:bookmarkStart w:id="488" w:name="_bookmark391"/>
      <w:bookmarkStart w:id="489" w:name="_bookmark392"/>
      <w:bookmarkEnd w:id="487"/>
      <w:bookmarkEnd w:id="488"/>
      <w:bookmarkEnd w:id="489"/>
      <w:r w:rsidR="00D04772">
        <w:rPr>
          <w:spacing w:val="-5"/>
        </w:rPr>
        <w:t xml:space="preserve"> </w:t>
      </w:r>
      <w:r>
        <w:t>práctica,</w:t>
      </w:r>
      <w:r>
        <w:rPr>
          <w:spacing w:val="-15"/>
        </w:rPr>
        <w:t xml:space="preserve"> </w:t>
      </w:r>
      <w:r>
        <w:t>los</w:t>
      </w:r>
      <w:r>
        <w:rPr>
          <w:spacing w:val="-15"/>
        </w:rPr>
        <w:t xml:space="preserve"> </w:t>
      </w:r>
      <w:r>
        <w:t>grupos</w:t>
      </w:r>
      <w:r>
        <w:rPr>
          <w:spacing w:val="-15"/>
        </w:rPr>
        <w:t xml:space="preserve"> </w:t>
      </w:r>
      <w:r>
        <w:t>paramilitares</w:t>
      </w:r>
      <w:r>
        <w:rPr>
          <w:spacing w:val="-15"/>
        </w:rPr>
        <w:t xml:space="preserve"> </w:t>
      </w:r>
      <w:r>
        <w:t>tuvieran,</w:t>
      </w:r>
      <w:r>
        <w:rPr>
          <w:spacing w:val="-15"/>
        </w:rPr>
        <w:t xml:space="preserve"> </w:t>
      </w:r>
      <w:r>
        <w:t>además,</w:t>
      </w:r>
      <w:r>
        <w:rPr>
          <w:spacing w:val="-15"/>
        </w:rPr>
        <w:t xml:space="preserve"> </w:t>
      </w:r>
      <w:r>
        <w:t>financiación</w:t>
      </w:r>
      <w:r>
        <w:rPr>
          <w:spacing w:val="-15"/>
        </w:rPr>
        <w:t xml:space="preserve"> </w:t>
      </w:r>
      <w:r>
        <w:t>y</w:t>
      </w:r>
      <w:r>
        <w:rPr>
          <w:spacing w:val="-15"/>
        </w:rPr>
        <w:t xml:space="preserve"> </w:t>
      </w:r>
      <w:r>
        <w:t>expandieran</w:t>
      </w:r>
      <w:r>
        <w:rPr>
          <w:spacing w:val="-15"/>
        </w:rPr>
        <w:t xml:space="preserve"> </w:t>
      </w:r>
      <w:r>
        <w:t>su</w:t>
      </w:r>
      <w:r>
        <w:rPr>
          <w:spacing w:val="-15"/>
        </w:rPr>
        <w:t xml:space="preserve"> </w:t>
      </w:r>
      <w:r>
        <w:t>influencia, amparados en la línea difusa entre legalidad e ilegalidad.</w:t>
      </w:r>
    </w:p>
    <w:p w:rsidR="003804AC" w:rsidRDefault="00AF18A5" w:rsidP="00D04772">
      <w:r>
        <w:t>Así, la institucionalización –a través de distintos gobiernos de turno– de grupos armados al servicio de intereses privados por vía legal, así como su legitimación política desde la década de los sesenta, dan cuenta no solo de la tolerancia, sino también del impulso del Estado a la delegación de la seguridad pública. La cobertura legal y la legitimación política han permitido el sostenimiento y expansión del paramilitarismo, estructuras que fueron cooptadas</w:t>
      </w:r>
      <w:r>
        <w:rPr>
          <w:spacing w:val="-13"/>
        </w:rPr>
        <w:t xml:space="preserve"> </w:t>
      </w:r>
      <w:r>
        <w:t>por</w:t>
      </w:r>
      <w:r>
        <w:rPr>
          <w:spacing w:val="-11"/>
        </w:rPr>
        <w:t xml:space="preserve"> </w:t>
      </w:r>
      <w:r>
        <w:t>jefes</w:t>
      </w:r>
      <w:r>
        <w:rPr>
          <w:spacing w:val="-13"/>
        </w:rPr>
        <w:t xml:space="preserve"> </w:t>
      </w:r>
      <w:r>
        <w:t>paramilitares</w:t>
      </w:r>
      <w:r>
        <w:rPr>
          <w:spacing w:val="-13"/>
        </w:rPr>
        <w:t xml:space="preserve"> </w:t>
      </w:r>
      <w:r>
        <w:t>de</w:t>
      </w:r>
      <w:r>
        <w:rPr>
          <w:spacing w:val="-13"/>
        </w:rPr>
        <w:t xml:space="preserve"> </w:t>
      </w:r>
      <w:r>
        <w:t>estructuras</w:t>
      </w:r>
      <w:r>
        <w:rPr>
          <w:spacing w:val="-12"/>
        </w:rPr>
        <w:t xml:space="preserve"> </w:t>
      </w:r>
      <w:r>
        <w:t>del</w:t>
      </w:r>
      <w:r>
        <w:rPr>
          <w:spacing w:val="-11"/>
        </w:rPr>
        <w:t xml:space="preserve"> </w:t>
      </w:r>
      <w:r>
        <w:t>Magdalena</w:t>
      </w:r>
      <w:r>
        <w:rPr>
          <w:spacing w:val="-12"/>
        </w:rPr>
        <w:t xml:space="preserve"> </w:t>
      </w:r>
      <w:r>
        <w:t>Medio,</w:t>
      </w:r>
      <w:r>
        <w:rPr>
          <w:spacing w:val="-13"/>
        </w:rPr>
        <w:t xml:space="preserve"> </w:t>
      </w:r>
      <w:r>
        <w:t>los</w:t>
      </w:r>
      <w:r>
        <w:rPr>
          <w:spacing w:val="-13"/>
        </w:rPr>
        <w:t xml:space="preserve"> </w:t>
      </w:r>
      <w:r>
        <w:t>Llanos</w:t>
      </w:r>
      <w:r>
        <w:rPr>
          <w:spacing w:val="-12"/>
        </w:rPr>
        <w:t xml:space="preserve"> </w:t>
      </w:r>
      <w:r>
        <w:t>Orientales, Córdoba y Urabá. Esto lo relata el mismo excomandante paramilitar Salvatore Mancuso:</w:t>
      </w:r>
    </w:p>
    <w:p w:rsidR="003804AC" w:rsidRDefault="00AF18A5" w:rsidP="00133F75">
      <w:r>
        <w:t>[En</w:t>
      </w:r>
      <w:r>
        <w:rPr>
          <w:spacing w:val="-8"/>
        </w:rPr>
        <w:t xml:space="preserve"> </w:t>
      </w:r>
      <w:r>
        <w:t>Magdalena]</w:t>
      </w:r>
      <w:r>
        <w:rPr>
          <w:spacing w:val="-8"/>
        </w:rPr>
        <w:t xml:space="preserve"> </w:t>
      </w:r>
      <w:r>
        <w:t>Todos</w:t>
      </w:r>
      <w:r>
        <w:rPr>
          <w:spacing w:val="-9"/>
        </w:rPr>
        <w:t xml:space="preserve"> </w:t>
      </w:r>
      <w:r>
        <w:t>esos</w:t>
      </w:r>
      <w:r>
        <w:rPr>
          <w:spacing w:val="-9"/>
        </w:rPr>
        <w:t xml:space="preserve"> </w:t>
      </w:r>
      <w:r>
        <w:t>grupos</w:t>
      </w:r>
      <w:r>
        <w:rPr>
          <w:spacing w:val="-9"/>
        </w:rPr>
        <w:t xml:space="preserve"> </w:t>
      </w:r>
      <w:r>
        <w:t>los</w:t>
      </w:r>
      <w:r>
        <w:rPr>
          <w:spacing w:val="-9"/>
        </w:rPr>
        <w:t xml:space="preserve"> </w:t>
      </w:r>
      <w:r>
        <w:t>absorbió</w:t>
      </w:r>
      <w:r>
        <w:rPr>
          <w:spacing w:val="-9"/>
        </w:rPr>
        <w:t xml:space="preserve"> </w:t>
      </w:r>
      <w:r>
        <w:t>las</w:t>
      </w:r>
      <w:r>
        <w:rPr>
          <w:spacing w:val="-8"/>
        </w:rPr>
        <w:t xml:space="preserve"> </w:t>
      </w:r>
      <w:r>
        <w:t>autodefensas</w:t>
      </w:r>
      <w:r>
        <w:rPr>
          <w:spacing w:val="-9"/>
        </w:rPr>
        <w:t xml:space="preserve"> </w:t>
      </w:r>
      <w:r>
        <w:t>y</w:t>
      </w:r>
      <w:r>
        <w:rPr>
          <w:spacing w:val="-8"/>
        </w:rPr>
        <w:t xml:space="preserve"> </w:t>
      </w:r>
      <w:r>
        <w:t>los</w:t>
      </w:r>
      <w:r>
        <w:rPr>
          <w:spacing w:val="-9"/>
        </w:rPr>
        <w:t xml:space="preserve"> </w:t>
      </w:r>
      <w:r>
        <w:t>que</w:t>
      </w:r>
      <w:r>
        <w:rPr>
          <w:spacing w:val="-8"/>
        </w:rPr>
        <w:t xml:space="preserve"> </w:t>
      </w:r>
      <w:r>
        <w:t>no,</w:t>
      </w:r>
      <w:r>
        <w:rPr>
          <w:spacing w:val="-8"/>
        </w:rPr>
        <w:t xml:space="preserve"> </w:t>
      </w:r>
      <w:r>
        <w:t>se</w:t>
      </w:r>
      <w:r>
        <w:rPr>
          <w:spacing w:val="-9"/>
        </w:rPr>
        <w:t xml:space="preserve"> </w:t>
      </w:r>
      <w:r>
        <w:t>combatieron, porque allí había grupos que se habían desdoblado y habían empezado a secuestrar, a extorsionar, delincuencia común. Entonces la mayoría fueron absorbidos y algunos pocos se combatieron. Así empezó esa creación de autodefensas, Convivir y miembros de la fuerza pública e instituciones del Estado, de manera conjunta.</w:t>
      </w:r>
      <w:r w:rsidR="00133F75">
        <w:rPr>
          <w:rStyle w:val="Refdenotaalpie"/>
        </w:rPr>
        <w:footnoteReference w:id="344"/>
      </w:r>
      <w:r w:rsidR="00133F75">
        <w:t xml:space="preserve"> </w:t>
      </w:r>
    </w:p>
    <w:p w:rsidR="003804AC" w:rsidRDefault="00AF18A5" w:rsidP="00133F75">
      <w:r>
        <w:t>En el caso de las Convivir, creadas en 1994, se da la legitimación del uso privado de armas por</w:t>
      </w:r>
      <w:r>
        <w:rPr>
          <w:spacing w:val="-3"/>
        </w:rPr>
        <w:t xml:space="preserve"> </w:t>
      </w:r>
      <w:r>
        <w:t>parte</w:t>
      </w:r>
      <w:r>
        <w:rPr>
          <w:spacing w:val="-3"/>
        </w:rPr>
        <w:t xml:space="preserve"> </w:t>
      </w:r>
      <w:r>
        <w:t>de</w:t>
      </w:r>
      <w:r>
        <w:rPr>
          <w:spacing w:val="-5"/>
        </w:rPr>
        <w:t xml:space="preserve"> </w:t>
      </w:r>
      <w:r>
        <w:t>civiles</w:t>
      </w:r>
      <w:r>
        <w:rPr>
          <w:spacing w:val="-3"/>
        </w:rPr>
        <w:t xml:space="preserve"> </w:t>
      </w:r>
      <w:r>
        <w:t>bajo</w:t>
      </w:r>
      <w:r>
        <w:rPr>
          <w:spacing w:val="-4"/>
        </w:rPr>
        <w:t xml:space="preserve"> </w:t>
      </w:r>
      <w:r>
        <w:t>los</w:t>
      </w:r>
      <w:r>
        <w:rPr>
          <w:spacing w:val="-4"/>
        </w:rPr>
        <w:t xml:space="preserve"> </w:t>
      </w:r>
      <w:r>
        <w:t>argumentos</w:t>
      </w:r>
      <w:r>
        <w:rPr>
          <w:spacing w:val="-4"/>
        </w:rPr>
        <w:t xml:space="preserve"> </w:t>
      </w:r>
      <w:r>
        <w:t>de</w:t>
      </w:r>
      <w:r>
        <w:rPr>
          <w:spacing w:val="-3"/>
        </w:rPr>
        <w:t xml:space="preserve"> </w:t>
      </w:r>
      <w:r>
        <w:t>la</w:t>
      </w:r>
      <w:r>
        <w:rPr>
          <w:spacing w:val="-3"/>
        </w:rPr>
        <w:t xml:space="preserve"> </w:t>
      </w:r>
      <w:r>
        <w:t>legítima</w:t>
      </w:r>
      <w:r>
        <w:rPr>
          <w:spacing w:val="-3"/>
        </w:rPr>
        <w:t xml:space="preserve"> </w:t>
      </w:r>
      <w:r>
        <w:t>defensa</w:t>
      </w:r>
      <w:r>
        <w:rPr>
          <w:spacing w:val="-5"/>
        </w:rPr>
        <w:t xml:space="preserve"> </w:t>
      </w:r>
      <w:r>
        <w:t>y</w:t>
      </w:r>
      <w:r>
        <w:rPr>
          <w:spacing w:val="-4"/>
        </w:rPr>
        <w:t xml:space="preserve"> </w:t>
      </w:r>
      <w:r>
        <w:t>el</w:t>
      </w:r>
      <w:r>
        <w:rPr>
          <w:spacing w:val="-3"/>
        </w:rPr>
        <w:t xml:space="preserve"> </w:t>
      </w:r>
      <w:r>
        <w:t>apoyo</w:t>
      </w:r>
      <w:r>
        <w:rPr>
          <w:spacing w:val="-4"/>
        </w:rPr>
        <w:t xml:space="preserve"> </w:t>
      </w:r>
      <w:r>
        <w:t>a</w:t>
      </w:r>
      <w:r>
        <w:rPr>
          <w:spacing w:val="-2"/>
        </w:rPr>
        <w:t xml:space="preserve"> </w:t>
      </w:r>
      <w:r>
        <w:t>la</w:t>
      </w:r>
      <w:r>
        <w:rPr>
          <w:spacing w:val="-3"/>
        </w:rPr>
        <w:t xml:space="preserve"> </w:t>
      </w:r>
      <w:r>
        <w:t>seguridad</w:t>
      </w:r>
      <w:r>
        <w:rPr>
          <w:spacing w:val="-4"/>
        </w:rPr>
        <w:t xml:space="preserve"> </w:t>
      </w:r>
      <w:r>
        <w:t>y</w:t>
      </w:r>
      <w:r>
        <w:rPr>
          <w:spacing w:val="-4"/>
        </w:rPr>
        <w:t xml:space="preserve"> </w:t>
      </w:r>
      <w:r>
        <w:t>la defensa nacionales, se vinculan con la fuerza pública dado que, por un lado, se les entregan armas</w:t>
      </w:r>
      <w:r>
        <w:rPr>
          <w:spacing w:val="-9"/>
        </w:rPr>
        <w:t xml:space="preserve"> </w:t>
      </w:r>
      <w:r>
        <w:t>y</w:t>
      </w:r>
      <w:r>
        <w:rPr>
          <w:spacing w:val="-10"/>
        </w:rPr>
        <w:t xml:space="preserve"> </w:t>
      </w:r>
      <w:r>
        <w:t>otros</w:t>
      </w:r>
      <w:r>
        <w:rPr>
          <w:spacing w:val="-10"/>
        </w:rPr>
        <w:t xml:space="preserve"> </w:t>
      </w:r>
      <w:r>
        <w:t>elementos</w:t>
      </w:r>
      <w:r>
        <w:rPr>
          <w:spacing w:val="-10"/>
        </w:rPr>
        <w:t xml:space="preserve"> </w:t>
      </w:r>
      <w:r>
        <w:t>de</w:t>
      </w:r>
      <w:r>
        <w:rPr>
          <w:spacing w:val="-9"/>
        </w:rPr>
        <w:t xml:space="preserve"> </w:t>
      </w:r>
      <w:r>
        <w:t>uso</w:t>
      </w:r>
      <w:r>
        <w:rPr>
          <w:spacing w:val="-10"/>
        </w:rPr>
        <w:t xml:space="preserve"> </w:t>
      </w:r>
      <w:r>
        <w:t>militar</w:t>
      </w:r>
      <w:r>
        <w:rPr>
          <w:spacing w:val="-9"/>
        </w:rPr>
        <w:t xml:space="preserve"> </w:t>
      </w:r>
      <w:r>
        <w:t>y,</w:t>
      </w:r>
      <w:r>
        <w:rPr>
          <w:spacing w:val="-10"/>
        </w:rPr>
        <w:t xml:space="preserve"> </w:t>
      </w:r>
      <w:r>
        <w:t>por</w:t>
      </w:r>
      <w:r>
        <w:rPr>
          <w:spacing w:val="-9"/>
        </w:rPr>
        <w:t xml:space="preserve"> </w:t>
      </w:r>
      <w:r>
        <w:t>el</w:t>
      </w:r>
      <w:r>
        <w:rPr>
          <w:spacing w:val="-9"/>
        </w:rPr>
        <w:t xml:space="preserve"> </w:t>
      </w:r>
      <w:r>
        <w:t>otro,</w:t>
      </w:r>
      <w:r>
        <w:rPr>
          <w:spacing w:val="-10"/>
        </w:rPr>
        <w:t xml:space="preserve"> </w:t>
      </w:r>
      <w:r>
        <w:t>se</w:t>
      </w:r>
      <w:r>
        <w:rPr>
          <w:spacing w:val="-10"/>
        </w:rPr>
        <w:t xml:space="preserve"> </w:t>
      </w:r>
      <w:r>
        <w:t>habilita</w:t>
      </w:r>
      <w:r>
        <w:rPr>
          <w:spacing w:val="-9"/>
        </w:rPr>
        <w:t xml:space="preserve"> </w:t>
      </w:r>
      <w:r>
        <w:t>la</w:t>
      </w:r>
      <w:r>
        <w:rPr>
          <w:spacing w:val="-9"/>
        </w:rPr>
        <w:t xml:space="preserve"> </w:t>
      </w:r>
      <w:r>
        <w:lastRenderedPageBreak/>
        <w:t>realización</w:t>
      </w:r>
      <w:r>
        <w:rPr>
          <w:spacing w:val="-10"/>
        </w:rPr>
        <w:t xml:space="preserve"> </w:t>
      </w:r>
      <w:r>
        <w:t>de</w:t>
      </w:r>
      <w:r>
        <w:rPr>
          <w:spacing w:val="-9"/>
        </w:rPr>
        <w:t xml:space="preserve"> </w:t>
      </w:r>
      <w:r>
        <w:t>operaciones conjuntas, el cumplimiento de funciones de inteligencia y la operación militar por parte de civiles. Por ejemplo, como lo constatan datos oficiales de 1996, cuando estas estructuras empezaron a expandirse por todo el país:</w:t>
      </w:r>
    </w:p>
    <w:p w:rsidR="0011361F" w:rsidRPr="00366DA0" w:rsidRDefault="00AF18A5" w:rsidP="00133F75">
      <w:r>
        <w:t>Como consta en las actas del Comité Consultor de la Superintendencia, de enero a diciembre de</w:t>
      </w:r>
      <w:r>
        <w:rPr>
          <w:spacing w:val="-14"/>
        </w:rPr>
        <w:t xml:space="preserve"> </w:t>
      </w:r>
      <w:r>
        <w:t>1996</w:t>
      </w:r>
      <w:r>
        <w:rPr>
          <w:spacing w:val="-14"/>
        </w:rPr>
        <w:t xml:space="preserve"> </w:t>
      </w:r>
      <w:r>
        <w:t>esta</w:t>
      </w:r>
      <w:r>
        <w:rPr>
          <w:spacing w:val="-14"/>
        </w:rPr>
        <w:t xml:space="preserve"> </w:t>
      </w:r>
      <w:r>
        <w:t>entidad</w:t>
      </w:r>
      <w:r>
        <w:rPr>
          <w:spacing w:val="-13"/>
        </w:rPr>
        <w:t xml:space="preserve"> </w:t>
      </w:r>
      <w:r>
        <w:t>aprobó</w:t>
      </w:r>
      <w:r>
        <w:rPr>
          <w:spacing w:val="-14"/>
        </w:rPr>
        <w:t xml:space="preserve"> </w:t>
      </w:r>
      <w:r>
        <w:t>para</w:t>
      </w:r>
      <w:r>
        <w:rPr>
          <w:spacing w:val="-14"/>
        </w:rPr>
        <w:t xml:space="preserve"> </w:t>
      </w:r>
      <w:r>
        <w:t>las</w:t>
      </w:r>
      <w:r>
        <w:rPr>
          <w:spacing w:val="-14"/>
        </w:rPr>
        <w:t xml:space="preserve"> </w:t>
      </w:r>
      <w:r>
        <w:t>Convivir</w:t>
      </w:r>
      <w:r>
        <w:rPr>
          <w:spacing w:val="-13"/>
        </w:rPr>
        <w:t xml:space="preserve"> </w:t>
      </w:r>
      <w:r>
        <w:t>la</w:t>
      </w:r>
      <w:r>
        <w:rPr>
          <w:spacing w:val="-14"/>
        </w:rPr>
        <w:t xml:space="preserve"> </w:t>
      </w:r>
      <w:r>
        <w:t>compra</w:t>
      </w:r>
      <w:r>
        <w:rPr>
          <w:spacing w:val="-14"/>
        </w:rPr>
        <w:t xml:space="preserve"> </w:t>
      </w:r>
      <w:r>
        <w:t>de</w:t>
      </w:r>
      <w:r>
        <w:rPr>
          <w:spacing w:val="-14"/>
        </w:rPr>
        <w:t xml:space="preserve"> </w:t>
      </w:r>
      <w:r>
        <w:t>422</w:t>
      </w:r>
      <w:r>
        <w:rPr>
          <w:spacing w:val="-13"/>
        </w:rPr>
        <w:t xml:space="preserve"> </w:t>
      </w:r>
      <w:r>
        <w:t>subametralladoras,</w:t>
      </w:r>
      <w:r>
        <w:rPr>
          <w:spacing w:val="-14"/>
        </w:rPr>
        <w:t xml:space="preserve"> </w:t>
      </w:r>
      <w:r>
        <w:t>373</w:t>
      </w:r>
      <w:r>
        <w:rPr>
          <w:spacing w:val="-14"/>
        </w:rPr>
        <w:t xml:space="preserve"> </w:t>
      </w:r>
      <w:r>
        <w:t>pistolas 9 mm,</w:t>
      </w:r>
      <w:r>
        <w:rPr>
          <w:spacing w:val="-1"/>
        </w:rPr>
        <w:t xml:space="preserve"> </w:t>
      </w:r>
      <w:r>
        <w:t>217 escopetas</w:t>
      </w:r>
      <w:r>
        <w:rPr>
          <w:spacing w:val="-1"/>
        </w:rPr>
        <w:t xml:space="preserve"> </w:t>
      </w:r>
      <w:r>
        <w:t>de</w:t>
      </w:r>
      <w:r>
        <w:rPr>
          <w:spacing w:val="-1"/>
        </w:rPr>
        <w:t xml:space="preserve"> </w:t>
      </w:r>
      <w:r>
        <w:t>repetición,</w:t>
      </w:r>
      <w:r>
        <w:rPr>
          <w:spacing w:val="-1"/>
        </w:rPr>
        <w:t xml:space="preserve"> </w:t>
      </w:r>
      <w:r>
        <w:t>17 ametralladoras Mini-Uzi,</w:t>
      </w:r>
      <w:r>
        <w:rPr>
          <w:spacing w:val="-1"/>
        </w:rPr>
        <w:t xml:space="preserve"> </w:t>
      </w:r>
      <w:r>
        <w:t>70 fusiles,</w:t>
      </w:r>
      <w:r>
        <w:rPr>
          <w:spacing w:val="-1"/>
        </w:rPr>
        <w:t xml:space="preserve"> </w:t>
      </w:r>
      <w:r>
        <w:t>109 revólveres</w:t>
      </w:r>
      <w:r>
        <w:rPr>
          <w:spacing w:val="-1"/>
        </w:rPr>
        <w:t xml:space="preserve"> </w:t>
      </w:r>
      <w:r>
        <w:t>38 largo</w:t>
      </w:r>
      <w:r>
        <w:rPr>
          <w:spacing w:val="-6"/>
        </w:rPr>
        <w:t xml:space="preserve"> </w:t>
      </w:r>
      <w:r>
        <w:t>y</w:t>
      </w:r>
      <w:r>
        <w:rPr>
          <w:spacing w:val="-6"/>
        </w:rPr>
        <w:t xml:space="preserve"> </w:t>
      </w:r>
      <w:r>
        <w:t>41</w:t>
      </w:r>
      <w:r>
        <w:rPr>
          <w:spacing w:val="-6"/>
        </w:rPr>
        <w:t xml:space="preserve"> </w:t>
      </w:r>
      <w:r>
        <w:t>armas</w:t>
      </w:r>
      <w:r>
        <w:rPr>
          <w:spacing w:val="-7"/>
        </w:rPr>
        <w:t xml:space="preserve"> </w:t>
      </w:r>
      <w:r>
        <w:t>de</w:t>
      </w:r>
      <w:r>
        <w:rPr>
          <w:spacing w:val="-6"/>
        </w:rPr>
        <w:t xml:space="preserve"> </w:t>
      </w:r>
      <w:r>
        <w:t>uso</w:t>
      </w:r>
      <w:r>
        <w:rPr>
          <w:spacing w:val="-6"/>
        </w:rPr>
        <w:t xml:space="preserve"> </w:t>
      </w:r>
      <w:r>
        <w:t>restringido</w:t>
      </w:r>
      <w:r>
        <w:rPr>
          <w:spacing w:val="-7"/>
        </w:rPr>
        <w:t xml:space="preserve"> </w:t>
      </w:r>
      <w:r>
        <w:t>–que</w:t>
      </w:r>
      <w:r>
        <w:rPr>
          <w:spacing w:val="-7"/>
        </w:rPr>
        <w:t xml:space="preserve"> </w:t>
      </w:r>
      <w:r>
        <w:t>pueden</w:t>
      </w:r>
      <w:r>
        <w:rPr>
          <w:spacing w:val="-6"/>
        </w:rPr>
        <w:t xml:space="preserve"> </w:t>
      </w:r>
      <w:r>
        <w:t>ir</w:t>
      </w:r>
      <w:r>
        <w:rPr>
          <w:spacing w:val="-7"/>
        </w:rPr>
        <w:t xml:space="preserve"> </w:t>
      </w:r>
      <w:r>
        <w:t>desde</w:t>
      </w:r>
      <w:r>
        <w:rPr>
          <w:spacing w:val="-7"/>
        </w:rPr>
        <w:t xml:space="preserve"> </w:t>
      </w:r>
      <w:r>
        <w:t>fusiles</w:t>
      </w:r>
      <w:r>
        <w:rPr>
          <w:spacing w:val="-6"/>
        </w:rPr>
        <w:t xml:space="preserve"> </w:t>
      </w:r>
      <w:r>
        <w:t>Galil</w:t>
      </w:r>
      <w:r>
        <w:rPr>
          <w:spacing w:val="-7"/>
        </w:rPr>
        <w:t xml:space="preserve"> </w:t>
      </w:r>
      <w:r>
        <w:t>hasta</w:t>
      </w:r>
      <w:r>
        <w:rPr>
          <w:spacing w:val="-7"/>
        </w:rPr>
        <w:t xml:space="preserve"> </w:t>
      </w:r>
      <w:r>
        <w:t>ametralladoras</w:t>
      </w:r>
      <w:r>
        <w:rPr>
          <w:spacing w:val="-7"/>
        </w:rPr>
        <w:t xml:space="preserve"> </w:t>
      </w:r>
      <w:r>
        <w:t xml:space="preserve">M- 60, lanzacohetes, granadas de fragmentación, </w:t>
      </w:r>
      <w:proofErr w:type="spellStart"/>
      <w:r w:rsidRPr="00366DA0">
        <w:t>rockets</w:t>
      </w:r>
      <w:proofErr w:type="spellEnd"/>
      <w:r w:rsidRPr="00366DA0">
        <w:t xml:space="preserve"> y morteros–.</w:t>
      </w:r>
      <w:r w:rsidR="00E43F0B" w:rsidRPr="00366DA0">
        <w:footnoteReference w:id="345"/>
      </w:r>
    </w:p>
    <w:p w:rsidR="003804AC" w:rsidRDefault="00AF18A5" w:rsidP="00D007CA">
      <w:bookmarkStart w:id="490" w:name="_bookmark393"/>
      <w:bookmarkStart w:id="491" w:name="_bookmark394"/>
      <w:bookmarkEnd w:id="490"/>
      <w:bookmarkEnd w:id="491"/>
      <w:r>
        <w:t>La creación de las Convivir llevó a que actuaran bajo criterios laxos, sin una regulación específica, y que tuvieran acceso a armamento de uso privativo de las Fuerzas Militares</w:t>
      </w:r>
      <w:r w:rsidR="00FE7854">
        <w:rPr>
          <w:rStyle w:val="Refdenotaalpie"/>
        </w:rPr>
        <w:footnoteReference w:id="346"/>
      </w:r>
      <w:r>
        <w:t>. Entre</w:t>
      </w:r>
      <w:r>
        <w:rPr>
          <w:spacing w:val="-14"/>
        </w:rPr>
        <w:t xml:space="preserve"> </w:t>
      </w:r>
      <w:r>
        <w:t>1995</w:t>
      </w:r>
      <w:r>
        <w:rPr>
          <w:spacing w:val="-15"/>
        </w:rPr>
        <w:t xml:space="preserve"> </w:t>
      </w:r>
      <w:r>
        <w:t>y</w:t>
      </w:r>
      <w:r>
        <w:rPr>
          <w:spacing w:val="-15"/>
        </w:rPr>
        <w:t xml:space="preserve"> </w:t>
      </w:r>
      <w:r>
        <w:t>1996,</w:t>
      </w:r>
      <w:r>
        <w:rPr>
          <w:spacing w:val="-14"/>
        </w:rPr>
        <w:t xml:space="preserve"> </w:t>
      </w:r>
      <w:r>
        <w:t>diferentes</w:t>
      </w:r>
      <w:r>
        <w:rPr>
          <w:spacing w:val="-14"/>
        </w:rPr>
        <w:t xml:space="preserve"> </w:t>
      </w:r>
      <w:r>
        <w:t>grupos</w:t>
      </w:r>
      <w:r>
        <w:rPr>
          <w:spacing w:val="-15"/>
        </w:rPr>
        <w:t xml:space="preserve"> </w:t>
      </w:r>
      <w:r>
        <w:t>paramilitares</w:t>
      </w:r>
      <w:r>
        <w:rPr>
          <w:spacing w:val="-14"/>
        </w:rPr>
        <w:t xml:space="preserve"> </w:t>
      </w:r>
      <w:r>
        <w:t>que</w:t>
      </w:r>
      <w:r>
        <w:rPr>
          <w:spacing w:val="-14"/>
        </w:rPr>
        <w:t xml:space="preserve"> </w:t>
      </w:r>
      <w:r>
        <w:t>operaban</w:t>
      </w:r>
      <w:r>
        <w:rPr>
          <w:spacing w:val="-14"/>
        </w:rPr>
        <w:t xml:space="preserve"> </w:t>
      </w:r>
      <w:r>
        <w:t>en</w:t>
      </w:r>
      <w:r>
        <w:rPr>
          <w:spacing w:val="-14"/>
        </w:rPr>
        <w:t xml:space="preserve"> </w:t>
      </w:r>
      <w:r>
        <w:t>el</w:t>
      </w:r>
      <w:r>
        <w:rPr>
          <w:spacing w:val="-14"/>
        </w:rPr>
        <w:t xml:space="preserve"> </w:t>
      </w:r>
      <w:r>
        <w:t>país</w:t>
      </w:r>
      <w:r>
        <w:rPr>
          <w:spacing w:val="-15"/>
        </w:rPr>
        <w:t xml:space="preserve"> </w:t>
      </w:r>
      <w:r>
        <w:t>fueron</w:t>
      </w:r>
      <w:r>
        <w:rPr>
          <w:spacing w:val="-15"/>
        </w:rPr>
        <w:t xml:space="preserve"> </w:t>
      </w:r>
      <w:r>
        <w:t>registrados ante</w:t>
      </w:r>
      <w:r>
        <w:rPr>
          <w:spacing w:val="-6"/>
        </w:rPr>
        <w:t xml:space="preserve"> </w:t>
      </w:r>
      <w:r>
        <w:t>la</w:t>
      </w:r>
      <w:r>
        <w:rPr>
          <w:spacing w:val="-5"/>
        </w:rPr>
        <w:t xml:space="preserve"> </w:t>
      </w:r>
      <w:r>
        <w:t>Superintendencia</w:t>
      </w:r>
      <w:r>
        <w:rPr>
          <w:spacing w:val="-6"/>
        </w:rPr>
        <w:t xml:space="preserve"> </w:t>
      </w:r>
      <w:r>
        <w:t>de</w:t>
      </w:r>
      <w:r>
        <w:rPr>
          <w:spacing w:val="-5"/>
        </w:rPr>
        <w:t xml:space="preserve"> </w:t>
      </w:r>
      <w:r>
        <w:t>Seguridad</w:t>
      </w:r>
      <w:r>
        <w:rPr>
          <w:spacing w:val="-5"/>
        </w:rPr>
        <w:t xml:space="preserve"> </w:t>
      </w:r>
      <w:r>
        <w:t>y</w:t>
      </w:r>
      <w:r>
        <w:rPr>
          <w:spacing w:val="-5"/>
        </w:rPr>
        <w:t xml:space="preserve"> </w:t>
      </w:r>
      <w:r>
        <w:t>Vigilancia</w:t>
      </w:r>
      <w:r>
        <w:rPr>
          <w:spacing w:val="-5"/>
        </w:rPr>
        <w:t xml:space="preserve"> </w:t>
      </w:r>
      <w:r>
        <w:t>privada</w:t>
      </w:r>
      <w:r>
        <w:rPr>
          <w:spacing w:val="-6"/>
        </w:rPr>
        <w:t xml:space="preserve"> </w:t>
      </w:r>
      <w:r>
        <w:t>bajo</w:t>
      </w:r>
      <w:r>
        <w:rPr>
          <w:spacing w:val="-5"/>
        </w:rPr>
        <w:t xml:space="preserve"> </w:t>
      </w:r>
      <w:r>
        <w:t>la</w:t>
      </w:r>
      <w:r>
        <w:rPr>
          <w:spacing w:val="-5"/>
        </w:rPr>
        <w:t xml:space="preserve"> </w:t>
      </w:r>
      <w:r>
        <w:t>figura</w:t>
      </w:r>
      <w:r>
        <w:rPr>
          <w:spacing w:val="-7"/>
        </w:rPr>
        <w:t xml:space="preserve"> </w:t>
      </w:r>
      <w:r>
        <w:t>de</w:t>
      </w:r>
      <w:r>
        <w:rPr>
          <w:spacing w:val="-5"/>
        </w:rPr>
        <w:t xml:space="preserve"> </w:t>
      </w:r>
      <w:r>
        <w:t>las</w:t>
      </w:r>
      <w:r>
        <w:rPr>
          <w:spacing w:val="-6"/>
        </w:rPr>
        <w:t xml:space="preserve"> </w:t>
      </w:r>
      <w:r>
        <w:t>Convivir</w:t>
      </w:r>
      <w:r w:rsidR="0012098C">
        <w:rPr>
          <w:rStyle w:val="Refdenotaalpie"/>
        </w:rPr>
        <w:footnoteReference w:id="347"/>
      </w:r>
      <w:r>
        <w:t>. Por tal motivo, entre quienes fungieron como sus representantes legales o fundadores se encontraban reconocidos paramilitares que operaban en la zona</w:t>
      </w:r>
      <w:r w:rsidR="0012098C">
        <w:rPr>
          <w:rStyle w:val="Refdenotaalpie"/>
        </w:rPr>
        <w:footnoteReference w:id="348"/>
      </w:r>
      <w:r>
        <w:t xml:space="preserve">, entre estos Salvatore </w:t>
      </w:r>
      <w:r>
        <w:lastRenderedPageBreak/>
        <w:t xml:space="preserve">Mancuso, Rodrigo Tovar Pupo, ‘Jorge 40’, Edward Cobo Téllez, ‘Diego Vecino’, Úber Enrique </w:t>
      </w:r>
      <w:proofErr w:type="spellStart"/>
      <w:r>
        <w:t>Bánquez</w:t>
      </w:r>
      <w:proofErr w:type="spellEnd"/>
      <w:r>
        <w:t xml:space="preserve">, ‘Juancho Dique’ y Rodrigo Mercado </w:t>
      </w:r>
      <w:proofErr w:type="spellStart"/>
      <w:r>
        <w:t>Pelufo</w:t>
      </w:r>
      <w:proofErr w:type="spellEnd"/>
      <w:r>
        <w:t>, ‘Cadena’,</w:t>
      </w:r>
      <w:r w:rsidR="00D007CA">
        <w:rPr>
          <w:rStyle w:val="Refdenotaalpie"/>
        </w:rPr>
        <w:footnoteReference w:id="349"/>
      </w:r>
      <w:r>
        <w:t xml:space="preserve"> la mayoría comandantes luego de las AUC. Entre tanto, para 1996 fueron creadas 60 de estas organizaciones</w:t>
      </w:r>
      <w:r w:rsidR="00D007CA">
        <w:rPr>
          <w:rStyle w:val="Refdenotaalpie"/>
        </w:rPr>
        <w:footnoteReference w:id="350"/>
      </w:r>
      <w:r>
        <w:t>, mayoritariamente en Antioquia,</w:t>
      </w:r>
      <w:r>
        <w:rPr>
          <w:spacing w:val="-1"/>
        </w:rPr>
        <w:t xml:space="preserve"> </w:t>
      </w:r>
      <w:r>
        <w:t>cifra que</w:t>
      </w:r>
      <w:r>
        <w:rPr>
          <w:spacing w:val="-1"/>
        </w:rPr>
        <w:t xml:space="preserve"> </w:t>
      </w:r>
      <w:r>
        <w:t>al</w:t>
      </w:r>
      <w:r>
        <w:rPr>
          <w:spacing w:val="-1"/>
        </w:rPr>
        <w:t xml:space="preserve"> </w:t>
      </w:r>
      <w:r>
        <w:t>año siguiente aumentó a</w:t>
      </w:r>
      <w:r>
        <w:rPr>
          <w:spacing w:val="-1"/>
        </w:rPr>
        <w:t xml:space="preserve"> </w:t>
      </w:r>
      <w:r>
        <w:t>398 en</w:t>
      </w:r>
      <w:r>
        <w:rPr>
          <w:spacing w:val="-13"/>
        </w:rPr>
        <w:t xml:space="preserve"> </w:t>
      </w:r>
      <w:r>
        <w:t>todo</w:t>
      </w:r>
      <w:r>
        <w:rPr>
          <w:spacing w:val="-13"/>
        </w:rPr>
        <w:t xml:space="preserve"> </w:t>
      </w:r>
      <w:r>
        <w:t>el</w:t>
      </w:r>
      <w:r>
        <w:rPr>
          <w:spacing w:val="-13"/>
        </w:rPr>
        <w:t xml:space="preserve"> </w:t>
      </w:r>
      <w:r>
        <w:t>país</w:t>
      </w:r>
      <w:r w:rsidR="00D007CA">
        <w:rPr>
          <w:rStyle w:val="Refdenotaalpie"/>
        </w:rPr>
        <w:footnoteReference w:id="351"/>
      </w:r>
      <w:r>
        <w:t>.</w:t>
      </w:r>
      <w:r>
        <w:rPr>
          <w:spacing w:val="-13"/>
        </w:rPr>
        <w:t xml:space="preserve"> </w:t>
      </w:r>
      <w:r>
        <w:t>Así</w:t>
      </w:r>
      <w:r>
        <w:rPr>
          <w:spacing w:val="-13"/>
        </w:rPr>
        <w:t xml:space="preserve"> </w:t>
      </w:r>
      <w:r>
        <w:t>mismo,</w:t>
      </w:r>
      <w:r>
        <w:rPr>
          <w:spacing w:val="-13"/>
        </w:rPr>
        <w:t xml:space="preserve"> </w:t>
      </w:r>
      <w:r>
        <w:t>en</w:t>
      </w:r>
      <w:r>
        <w:rPr>
          <w:spacing w:val="-13"/>
        </w:rPr>
        <w:t xml:space="preserve"> </w:t>
      </w:r>
      <w:r>
        <w:t>regiones</w:t>
      </w:r>
      <w:r>
        <w:rPr>
          <w:spacing w:val="-13"/>
        </w:rPr>
        <w:t xml:space="preserve"> </w:t>
      </w:r>
      <w:r>
        <w:t>como</w:t>
      </w:r>
      <w:r>
        <w:rPr>
          <w:spacing w:val="-13"/>
        </w:rPr>
        <w:t xml:space="preserve"> </w:t>
      </w:r>
      <w:r>
        <w:t>el</w:t>
      </w:r>
      <w:r>
        <w:rPr>
          <w:spacing w:val="-13"/>
        </w:rPr>
        <w:t xml:space="preserve"> </w:t>
      </w:r>
      <w:r>
        <w:t>sur</w:t>
      </w:r>
      <w:r>
        <w:rPr>
          <w:spacing w:val="-13"/>
        </w:rPr>
        <w:t xml:space="preserve"> </w:t>
      </w:r>
      <w:r>
        <w:t>y</w:t>
      </w:r>
      <w:r>
        <w:rPr>
          <w:spacing w:val="-13"/>
        </w:rPr>
        <w:t xml:space="preserve"> </w:t>
      </w:r>
      <w:r>
        <w:t>el</w:t>
      </w:r>
      <w:r>
        <w:rPr>
          <w:spacing w:val="-13"/>
        </w:rPr>
        <w:t xml:space="preserve"> </w:t>
      </w:r>
      <w:r>
        <w:t>centro</w:t>
      </w:r>
      <w:r>
        <w:rPr>
          <w:spacing w:val="-13"/>
        </w:rPr>
        <w:t xml:space="preserve"> </w:t>
      </w:r>
      <w:r>
        <w:t>del</w:t>
      </w:r>
      <w:r>
        <w:rPr>
          <w:spacing w:val="-13"/>
        </w:rPr>
        <w:t xml:space="preserve"> </w:t>
      </w:r>
      <w:r>
        <w:t>Tolima,</w:t>
      </w:r>
      <w:r>
        <w:rPr>
          <w:spacing w:val="-13"/>
        </w:rPr>
        <w:t xml:space="preserve"> </w:t>
      </w:r>
      <w:r>
        <w:t>el</w:t>
      </w:r>
      <w:r>
        <w:rPr>
          <w:spacing w:val="-13"/>
        </w:rPr>
        <w:t xml:space="preserve"> </w:t>
      </w:r>
      <w:r>
        <w:t>sur</w:t>
      </w:r>
      <w:r>
        <w:rPr>
          <w:spacing w:val="-13"/>
        </w:rPr>
        <w:t xml:space="preserve"> </w:t>
      </w:r>
      <w:r>
        <w:t>del</w:t>
      </w:r>
      <w:r>
        <w:rPr>
          <w:spacing w:val="-13"/>
        </w:rPr>
        <w:t xml:space="preserve"> </w:t>
      </w:r>
      <w:r>
        <w:t>Cesar, Ocaña (Norte de Santander) y la Sierra Nevada de Santa Marta, grupos armados con fines anticomunistas y contrainsurgentes se transformaron en Convivir</w:t>
      </w:r>
      <w:r w:rsidR="00D007CA">
        <w:rPr>
          <w:rStyle w:val="Refdenotaalpie"/>
        </w:rPr>
        <w:footnoteReference w:id="352"/>
      </w:r>
      <w:r>
        <w:t>.</w:t>
      </w:r>
    </w:p>
    <w:p w:rsidR="003804AC" w:rsidRDefault="00AF18A5" w:rsidP="00D007CA">
      <w:r>
        <w:t>La</w:t>
      </w:r>
      <w:r>
        <w:rPr>
          <w:spacing w:val="-1"/>
        </w:rPr>
        <w:t xml:space="preserve"> </w:t>
      </w:r>
      <w:r>
        <w:t>plataforma</w:t>
      </w:r>
      <w:r>
        <w:rPr>
          <w:spacing w:val="-1"/>
        </w:rPr>
        <w:t xml:space="preserve"> </w:t>
      </w:r>
      <w:r>
        <w:t>legal</w:t>
      </w:r>
      <w:r>
        <w:rPr>
          <w:spacing w:val="-1"/>
        </w:rPr>
        <w:t xml:space="preserve"> </w:t>
      </w:r>
      <w:r>
        <w:t>de</w:t>
      </w:r>
      <w:r>
        <w:rPr>
          <w:spacing w:val="-2"/>
        </w:rPr>
        <w:t xml:space="preserve"> </w:t>
      </w:r>
      <w:r>
        <w:t>las</w:t>
      </w:r>
      <w:r>
        <w:rPr>
          <w:spacing w:val="-1"/>
        </w:rPr>
        <w:t xml:space="preserve"> </w:t>
      </w:r>
      <w:r>
        <w:t>Convivir</w:t>
      </w:r>
      <w:r>
        <w:rPr>
          <w:spacing w:val="-2"/>
        </w:rPr>
        <w:t xml:space="preserve"> </w:t>
      </w:r>
      <w:r>
        <w:t>también</w:t>
      </w:r>
      <w:r>
        <w:rPr>
          <w:spacing w:val="-1"/>
        </w:rPr>
        <w:t xml:space="preserve"> </w:t>
      </w:r>
      <w:r>
        <w:t>sirvió</w:t>
      </w:r>
      <w:r>
        <w:rPr>
          <w:spacing w:val="-1"/>
        </w:rPr>
        <w:t xml:space="preserve"> </w:t>
      </w:r>
      <w:r>
        <w:t>para</w:t>
      </w:r>
      <w:r>
        <w:rPr>
          <w:spacing w:val="-2"/>
        </w:rPr>
        <w:t xml:space="preserve"> </w:t>
      </w:r>
      <w:r>
        <w:t>articular</w:t>
      </w:r>
      <w:r>
        <w:rPr>
          <w:spacing w:val="-2"/>
        </w:rPr>
        <w:t xml:space="preserve"> </w:t>
      </w:r>
      <w:r>
        <w:t>las</w:t>
      </w:r>
      <w:r>
        <w:rPr>
          <w:spacing w:val="-1"/>
        </w:rPr>
        <w:t xml:space="preserve"> </w:t>
      </w:r>
      <w:r>
        <w:t>diferentes</w:t>
      </w:r>
      <w:r>
        <w:rPr>
          <w:spacing w:val="-1"/>
        </w:rPr>
        <w:t xml:space="preserve"> </w:t>
      </w:r>
      <w:r>
        <w:t>formas</w:t>
      </w:r>
      <w:r>
        <w:rPr>
          <w:spacing w:val="-1"/>
        </w:rPr>
        <w:t xml:space="preserve"> </w:t>
      </w:r>
      <w:r>
        <w:t>de contrainsurgencia</w:t>
      </w:r>
      <w:r>
        <w:rPr>
          <w:spacing w:val="-2"/>
        </w:rPr>
        <w:t xml:space="preserve"> </w:t>
      </w:r>
      <w:r>
        <w:t>y</w:t>
      </w:r>
      <w:r>
        <w:rPr>
          <w:spacing w:val="1"/>
        </w:rPr>
        <w:t xml:space="preserve"> </w:t>
      </w:r>
      <w:r>
        <w:t>seguridad</w:t>
      </w:r>
      <w:r>
        <w:rPr>
          <w:spacing w:val="1"/>
        </w:rPr>
        <w:t xml:space="preserve"> </w:t>
      </w:r>
      <w:r>
        <w:t>privada,</w:t>
      </w:r>
      <w:r>
        <w:rPr>
          <w:spacing w:val="2"/>
        </w:rPr>
        <w:t xml:space="preserve"> </w:t>
      </w:r>
      <w:r>
        <w:t>al tiempo</w:t>
      </w:r>
      <w:r>
        <w:rPr>
          <w:spacing w:val="-1"/>
        </w:rPr>
        <w:t xml:space="preserve"> </w:t>
      </w:r>
      <w:r>
        <w:t>que</w:t>
      </w:r>
      <w:r>
        <w:rPr>
          <w:spacing w:val="2"/>
        </w:rPr>
        <w:t xml:space="preserve"> </w:t>
      </w:r>
      <w:r>
        <w:t>se ampliaron</w:t>
      </w:r>
      <w:r>
        <w:rPr>
          <w:spacing w:val="1"/>
        </w:rPr>
        <w:t xml:space="preserve"> </w:t>
      </w:r>
      <w:r>
        <w:t>las</w:t>
      </w:r>
      <w:r>
        <w:rPr>
          <w:spacing w:val="1"/>
        </w:rPr>
        <w:t xml:space="preserve"> </w:t>
      </w:r>
      <w:r>
        <w:t>redes</w:t>
      </w:r>
      <w:r>
        <w:rPr>
          <w:spacing w:val="1"/>
        </w:rPr>
        <w:t xml:space="preserve"> </w:t>
      </w:r>
      <w:r>
        <w:t>de alianzas</w:t>
      </w:r>
      <w:r>
        <w:rPr>
          <w:spacing w:val="2"/>
        </w:rPr>
        <w:t xml:space="preserve"> </w:t>
      </w:r>
      <w:r>
        <w:rPr>
          <w:spacing w:val="-5"/>
        </w:rPr>
        <w:t>con</w:t>
      </w:r>
      <w:bookmarkStart w:id="492" w:name="_bookmark395"/>
      <w:bookmarkStart w:id="493" w:name="_bookmark396"/>
      <w:bookmarkStart w:id="494" w:name="_bookmark397"/>
      <w:bookmarkStart w:id="495" w:name="_bookmark398"/>
      <w:bookmarkStart w:id="496" w:name="_bookmark399"/>
      <w:bookmarkStart w:id="497" w:name="_bookmark400"/>
      <w:bookmarkStart w:id="498" w:name="_bookmark401"/>
      <w:bookmarkEnd w:id="492"/>
      <w:bookmarkEnd w:id="493"/>
      <w:bookmarkEnd w:id="494"/>
      <w:bookmarkEnd w:id="495"/>
      <w:bookmarkEnd w:id="496"/>
      <w:bookmarkEnd w:id="497"/>
      <w:bookmarkEnd w:id="498"/>
      <w:r w:rsidR="00D007CA">
        <w:t xml:space="preserve"> </w:t>
      </w:r>
      <w:r>
        <w:t>más</w:t>
      </w:r>
      <w:r>
        <w:rPr>
          <w:spacing w:val="-5"/>
        </w:rPr>
        <w:t xml:space="preserve"> </w:t>
      </w:r>
      <w:r>
        <w:t>actores</w:t>
      </w:r>
      <w:r>
        <w:rPr>
          <w:spacing w:val="-6"/>
        </w:rPr>
        <w:t xml:space="preserve"> </w:t>
      </w:r>
      <w:r>
        <w:t>para</w:t>
      </w:r>
      <w:r>
        <w:rPr>
          <w:spacing w:val="-6"/>
        </w:rPr>
        <w:t xml:space="preserve"> </w:t>
      </w:r>
      <w:r>
        <w:t>funciones</w:t>
      </w:r>
      <w:r>
        <w:rPr>
          <w:spacing w:val="-5"/>
        </w:rPr>
        <w:t xml:space="preserve"> </w:t>
      </w:r>
      <w:r>
        <w:t>como</w:t>
      </w:r>
      <w:r>
        <w:rPr>
          <w:spacing w:val="-6"/>
        </w:rPr>
        <w:t xml:space="preserve"> </w:t>
      </w:r>
      <w:r>
        <w:t>la</w:t>
      </w:r>
      <w:r>
        <w:rPr>
          <w:spacing w:val="-6"/>
        </w:rPr>
        <w:t xml:space="preserve"> </w:t>
      </w:r>
      <w:r>
        <w:t>obtención</w:t>
      </w:r>
      <w:r>
        <w:rPr>
          <w:spacing w:val="-6"/>
        </w:rPr>
        <w:t xml:space="preserve"> </w:t>
      </w:r>
      <w:r>
        <w:t>de</w:t>
      </w:r>
      <w:r>
        <w:rPr>
          <w:spacing w:val="-6"/>
        </w:rPr>
        <w:t xml:space="preserve"> </w:t>
      </w:r>
      <w:r>
        <w:t>recursos</w:t>
      </w:r>
      <w:r>
        <w:rPr>
          <w:spacing w:val="-5"/>
        </w:rPr>
        <w:t xml:space="preserve"> </w:t>
      </w:r>
      <w:r>
        <w:t>y</w:t>
      </w:r>
      <w:r>
        <w:rPr>
          <w:spacing w:val="-5"/>
        </w:rPr>
        <w:t xml:space="preserve"> </w:t>
      </w:r>
      <w:r>
        <w:t>armamento</w:t>
      </w:r>
      <w:r>
        <w:rPr>
          <w:spacing w:val="-5"/>
        </w:rPr>
        <w:t xml:space="preserve"> </w:t>
      </w:r>
      <w:r>
        <w:t>y</w:t>
      </w:r>
      <w:r>
        <w:rPr>
          <w:spacing w:val="-6"/>
        </w:rPr>
        <w:t xml:space="preserve"> </w:t>
      </w:r>
      <w:r>
        <w:t>la</w:t>
      </w:r>
      <w:r>
        <w:rPr>
          <w:spacing w:val="-5"/>
        </w:rPr>
        <w:t xml:space="preserve"> </w:t>
      </w:r>
      <w:r>
        <w:t>construcción</w:t>
      </w:r>
      <w:r>
        <w:rPr>
          <w:spacing w:val="-5"/>
        </w:rPr>
        <w:t xml:space="preserve"> </w:t>
      </w:r>
      <w:r>
        <w:t>de información estratégica. Sobre esto, Mancuso afirmó a la Comisión de la Verdad: «La Convivir</w:t>
      </w:r>
      <w:r>
        <w:rPr>
          <w:spacing w:val="-10"/>
        </w:rPr>
        <w:t xml:space="preserve"> </w:t>
      </w:r>
      <w:r>
        <w:t>nos</w:t>
      </w:r>
      <w:r>
        <w:rPr>
          <w:spacing w:val="-10"/>
        </w:rPr>
        <w:t xml:space="preserve"> </w:t>
      </w:r>
      <w:r>
        <w:t>servía</w:t>
      </w:r>
      <w:r>
        <w:rPr>
          <w:spacing w:val="-10"/>
        </w:rPr>
        <w:t xml:space="preserve"> </w:t>
      </w:r>
      <w:r>
        <w:t>de</w:t>
      </w:r>
      <w:r>
        <w:rPr>
          <w:spacing w:val="-10"/>
        </w:rPr>
        <w:t xml:space="preserve"> </w:t>
      </w:r>
      <w:r>
        <w:t>bisagra</w:t>
      </w:r>
      <w:r>
        <w:rPr>
          <w:spacing w:val="-12"/>
        </w:rPr>
        <w:t xml:space="preserve"> </w:t>
      </w:r>
      <w:r>
        <w:t>para</w:t>
      </w:r>
      <w:r>
        <w:rPr>
          <w:spacing w:val="-10"/>
        </w:rPr>
        <w:t xml:space="preserve"> </w:t>
      </w:r>
      <w:r>
        <w:t>ello</w:t>
      </w:r>
      <w:r>
        <w:rPr>
          <w:spacing w:val="-11"/>
        </w:rPr>
        <w:t xml:space="preserve"> </w:t>
      </w:r>
      <w:r>
        <w:t>porque</w:t>
      </w:r>
      <w:r>
        <w:rPr>
          <w:spacing w:val="-10"/>
        </w:rPr>
        <w:t xml:space="preserve"> </w:t>
      </w:r>
      <w:r>
        <w:t>como</w:t>
      </w:r>
      <w:r>
        <w:rPr>
          <w:spacing w:val="-11"/>
        </w:rPr>
        <w:t xml:space="preserve"> </w:t>
      </w:r>
      <w:r>
        <w:t>no</w:t>
      </w:r>
      <w:r>
        <w:rPr>
          <w:spacing w:val="-11"/>
        </w:rPr>
        <w:t xml:space="preserve"> </w:t>
      </w:r>
      <w:r>
        <w:t>había</w:t>
      </w:r>
      <w:r>
        <w:rPr>
          <w:spacing w:val="-10"/>
        </w:rPr>
        <w:t xml:space="preserve"> </w:t>
      </w:r>
      <w:r>
        <w:t>ningún</w:t>
      </w:r>
      <w:r>
        <w:rPr>
          <w:spacing w:val="-12"/>
        </w:rPr>
        <w:t xml:space="preserve"> </w:t>
      </w:r>
      <w:r>
        <w:t>impedimento</w:t>
      </w:r>
      <w:r>
        <w:rPr>
          <w:spacing w:val="-11"/>
        </w:rPr>
        <w:t xml:space="preserve"> </w:t>
      </w:r>
      <w:r>
        <w:t>para</w:t>
      </w:r>
      <w:r>
        <w:rPr>
          <w:spacing w:val="-10"/>
        </w:rPr>
        <w:t xml:space="preserve"> </w:t>
      </w:r>
      <w:r>
        <w:t xml:space="preserve">que la Convivir ingresara al Ejército, a la Policía, al DAS, a la Fiscalía a buscar, llevar información o lo que </w:t>
      </w:r>
      <w:r>
        <w:lastRenderedPageBreak/>
        <w:t>requiriera»</w:t>
      </w:r>
      <w:r w:rsidR="00D007CA">
        <w:rPr>
          <w:rStyle w:val="Refdenotaalpie"/>
        </w:rPr>
        <w:footnoteReference w:id="353"/>
      </w:r>
      <w:r>
        <w:t>.</w:t>
      </w:r>
    </w:p>
    <w:p w:rsidR="003804AC" w:rsidRDefault="00AF18A5" w:rsidP="00D007CA">
      <w:r>
        <w:t>El papel de las Convivir fue central para el entramado paramilitar porque sirvieron de articulación entre sectores del empresariado, el Estado y los grupos paramilitares, lo que posibilitó la legitimidad y la financiación de estos, por vías legales</w:t>
      </w:r>
      <w:r w:rsidR="00D007CA">
        <w:rPr>
          <w:rStyle w:val="Refdenotaalpie"/>
        </w:rPr>
        <w:footnoteReference w:id="354"/>
      </w:r>
      <w:r>
        <w:t>. Al respecto, Hébert Veloza,</w:t>
      </w:r>
      <w:r>
        <w:rPr>
          <w:spacing w:val="-13"/>
        </w:rPr>
        <w:t xml:space="preserve"> </w:t>
      </w:r>
      <w:r>
        <w:t>alias</w:t>
      </w:r>
      <w:r>
        <w:rPr>
          <w:spacing w:val="-13"/>
        </w:rPr>
        <w:t xml:space="preserve"> </w:t>
      </w:r>
      <w:r>
        <w:t>‘HH’,</w:t>
      </w:r>
      <w:r>
        <w:rPr>
          <w:spacing w:val="-13"/>
        </w:rPr>
        <w:t xml:space="preserve"> </w:t>
      </w:r>
      <w:r>
        <w:t>excomandante</w:t>
      </w:r>
      <w:r>
        <w:rPr>
          <w:spacing w:val="-13"/>
        </w:rPr>
        <w:t xml:space="preserve"> </w:t>
      </w:r>
      <w:r>
        <w:t>del</w:t>
      </w:r>
      <w:r>
        <w:rPr>
          <w:spacing w:val="-13"/>
        </w:rPr>
        <w:t xml:space="preserve"> </w:t>
      </w:r>
      <w:r>
        <w:t>Bloque</w:t>
      </w:r>
      <w:r>
        <w:rPr>
          <w:spacing w:val="-14"/>
        </w:rPr>
        <w:t xml:space="preserve"> </w:t>
      </w:r>
      <w:r>
        <w:t>Calima,</w:t>
      </w:r>
      <w:r>
        <w:rPr>
          <w:spacing w:val="-14"/>
        </w:rPr>
        <w:t xml:space="preserve"> </w:t>
      </w:r>
      <w:r>
        <w:t>refirió</w:t>
      </w:r>
      <w:r>
        <w:rPr>
          <w:spacing w:val="-14"/>
        </w:rPr>
        <w:t xml:space="preserve"> </w:t>
      </w:r>
      <w:r>
        <w:t>que</w:t>
      </w:r>
      <w:r>
        <w:rPr>
          <w:spacing w:val="-13"/>
        </w:rPr>
        <w:t xml:space="preserve"> </w:t>
      </w:r>
      <w:r>
        <w:t>la</w:t>
      </w:r>
      <w:r>
        <w:rPr>
          <w:spacing w:val="-14"/>
        </w:rPr>
        <w:t xml:space="preserve"> </w:t>
      </w:r>
      <w:r>
        <w:t>finalidad</w:t>
      </w:r>
      <w:r>
        <w:rPr>
          <w:spacing w:val="-13"/>
        </w:rPr>
        <w:t xml:space="preserve"> </w:t>
      </w:r>
      <w:r>
        <w:t>de</w:t>
      </w:r>
      <w:r>
        <w:rPr>
          <w:spacing w:val="-14"/>
        </w:rPr>
        <w:t xml:space="preserve"> </w:t>
      </w:r>
      <w:r>
        <w:t>las</w:t>
      </w:r>
      <w:r>
        <w:rPr>
          <w:spacing w:val="-14"/>
        </w:rPr>
        <w:t xml:space="preserve"> </w:t>
      </w:r>
      <w:r>
        <w:t>Convivir fue «recaudar unos fondos de forma legal para que las empresas no tuvieran problemas jurídicos, que pudieran sacar de sus cuentas y que fuera legal la salida de esos dineros»</w:t>
      </w:r>
      <w:r w:rsidR="00D007CA">
        <w:rPr>
          <w:rStyle w:val="Refdenotaalpie"/>
        </w:rPr>
        <w:footnoteReference w:id="355"/>
      </w:r>
      <w:r>
        <w:t>. De acuerdo</w:t>
      </w:r>
      <w:r>
        <w:rPr>
          <w:spacing w:val="-1"/>
        </w:rPr>
        <w:t xml:space="preserve"> </w:t>
      </w:r>
      <w:r>
        <w:t>con las investigaciones</w:t>
      </w:r>
      <w:r>
        <w:rPr>
          <w:spacing w:val="-1"/>
        </w:rPr>
        <w:t xml:space="preserve"> </w:t>
      </w:r>
      <w:r>
        <w:t>realizadas por la justicia</w:t>
      </w:r>
      <w:r>
        <w:rPr>
          <w:spacing w:val="-1"/>
        </w:rPr>
        <w:t xml:space="preserve"> </w:t>
      </w:r>
      <w:r>
        <w:t>colombiana,</w:t>
      </w:r>
      <w:r>
        <w:rPr>
          <w:spacing w:val="-1"/>
        </w:rPr>
        <w:t xml:space="preserve"> </w:t>
      </w:r>
      <w:r>
        <w:t>especialmente por los Tribunales de Justicia y Paz</w:t>
      </w:r>
      <w:r w:rsidR="00D007CA">
        <w:rPr>
          <w:rStyle w:val="Refdenotaalpie"/>
        </w:rPr>
        <w:footnoteReference w:id="356"/>
      </w:r>
      <w:r>
        <w:t xml:space="preserve">, el papel de las Convivir fue central en la consolidación de las relaciones entre importantes empresarios bananeros (se destaca Chiquita </w:t>
      </w:r>
      <w:proofErr w:type="spellStart"/>
      <w:r>
        <w:t>Brands</w:t>
      </w:r>
      <w:proofErr w:type="spellEnd"/>
      <w:r w:rsidR="00D007CA">
        <w:rPr>
          <w:rStyle w:val="Refdenotaalpie"/>
        </w:rPr>
        <w:footnoteReference w:id="357"/>
      </w:r>
      <w:r>
        <w:t xml:space="preserve">), ganaderos y comerciantes con grupos paramilitares, tanto en Urabá como en el sur de </w:t>
      </w:r>
      <w:r>
        <w:rPr>
          <w:spacing w:val="-2"/>
        </w:rPr>
        <w:t>Córdoba.</w:t>
      </w:r>
    </w:p>
    <w:p w:rsidR="003804AC" w:rsidRDefault="00AF18A5" w:rsidP="00576CA5">
      <w:r>
        <w:t>Este marco de desarrollo permitió, además, el encubrimiento de violaciones de los derechos humanos e infracciones al DIH cometidas en articulación con la fuerza pública y grupos paramilitares.</w:t>
      </w:r>
      <w:r>
        <w:rPr>
          <w:spacing w:val="1"/>
        </w:rPr>
        <w:t xml:space="preserve"> </w:t>
      </w:r>
      <w:r>
        <w:t>De</w:t>
      </w:r>
      <w:r>
        <w:rPr>
          <w:spacing w:val="1"/>
        </w:rPr>
        <w:t xml:space="preserve"> </w:t>
      </w:r>
      <w:r>
        <w:t>acuerdo</w:t>
      </w:r>
      <w:r>
        <w:rPr>
          <w:spacing w:val="1"/>
        </w:rPr>
        <w:t xml:space="preserve"> </w:t>
      </w:r>
      <w:r>
        <w:t>con</w:t>
      </w:r>
      <w:r>
        <w:rPr>
          <w:spacing w:val="1"/>
        </w:rPr>
        <w:t xml:space="preserve"> </w:t>
      </w:r>
      <w:r>
        <w:t>sentencias de</w:t>
      </w:r>
      <w:r>
        <w:rPr>
          <w:spacing w:val="1"/>
        </w:rPr>
        <w:t xml:space="preserve"> </w:t>
      </w:r>
      <w:r>
        <w:t>Justicia y</w:t>
      </w:r>
      <w:r>
        <w:rPr>
          <w:spacing w:val="1"/>
        </w:rPr>
        <w:t xml:space="preserve"> </w:t>
      </w:r>
      <w:r>
        <w:t>Paz,</w:t>
      </w:r>
      <w:r>
        <w:rPr>
          <w:spacing w:val="1"/>
        </w:rPr>
        <w:t xml:space="preserve"> </w:t>
      </w:r>
      <w:r>
        <w:t>las</w:t>
      </w:r>
      <w:r>
        <w:rPr>
          <w:spacing w:val="1"/>
        </w:rPr>
        <w:t xml:space="preserve"> </w:t>
      </w:r>
      <w:r>
        <w:t>Convivir</w:t>
      </w:r>
      <w:r>
        <w:rPr>
          <w:spacing w:val="1"/>
        </w:rPr>
        <w:t xml:space="preserve"> </w:t>
      </w:r>
      <w:r>
        <w:t>«fueron</w:t>
      </w:r>
      <w:r>
        <w:rPr>
          <w:spacing w:val="1"/>
        </w:rPr>
        <w:t xml:space="preserve"> </w:t>
      </w:r>
      <w:r>
        <w:rPr>
          <w:spacing w:val="-5"/>
        </w:rPr>
        <w:t>una</w:t>
      </w:r>
      <w:bookmarkStart w:id="499" w:name="_bookmark402"/>
      <w:bookmarkStart w:id="500" w:name="_bookmark403"/>
      <w:bookmarkStart w:id="501" w:name="_bookmark404"/>
      <w:bookmarkStart w:id="502" w:name="_bookmark405"/>
      <w:bookmarkStart w:id="503" w:name="_bookmark406"/>
      <w:bookmarkEnd w:id="499"/>
      <w:bookmarkEnd w:id="500"/>
      <w:bookmarkEnd w:id="501"/>
      <w:bookmarkEnd w:id="502"/>
      <w:bookmarkEnd w:id="503"/>
      <w:r w:rsidR="00576CA5">
        <w:t xml:space="preserve"> </w:t>
      </w:r>
      <w:r>
        <w:t>fuente</w:t>
      </w:r>
      <w:r>
        <w:rPr>
          <w:spacing w:val="-2"/>
        </w:rPr>
        <w:t xml:space="preserve"> </w:t>
      </w:r>
      <w:r>
        <w:t>o</w:t>
      </w:r>
      <w:r>
        <w:rPr>
          <w:spacing w:val="-3"/>
        </w:rPr>
        <w:t xml:space="preserve"> </w:t>
      </w:r>
      <w:r>
        <w:t>cantera</w:t>
      </w:r>
      <w:r>
        <w:rPr>
          <w:spacing w:val="-2"/>
        </w:rPr>
        <w:t xml:space="preserve"> </w:t>
      </w:r>
      <w:r>
        <w:lastRenderedPageBreak/>
        <w:t>de</w:t>
      </w:r>
      <w:r>
        <w:rPr>
          <w:spacing w:val="-2"/>
        </w:rPr>
        <w:t xml:space="preserve"> </w:t>
      </w:r>
      <w:r>
        <w:t>los</w:t>
      </w:r>
      <w:r>
        <w:rPr>
          <w:spacing w:val="-3"/>
        </w:rPr>
        <w:t xml:space="preserve"> </w:t>
      </w:r>
      <w:r>
        <w:t>grupos</w:t>
      </w:r>
      <w:r>
        <w:rPr>
          <w:spacing w:val="-2"/>
        </w:rPr>
        <w:t xml:space="preserve"> </w:t>
      </w:r>
      <w:r>
        <w:t>paramilitares</w:t>
      </w:r>
      <w:r>
        <w:rPr>
          <w:spacing w:val="-2"/>
        </w:rPr>
        <w:t xml:space="preserve"> </w:t>
      </w:r>
      <w:r>
        <w:t>y</w:t>
      </w:r>
      <w:r>
        <w:rPr>
          <w:spacing w:val="-2"/>
        </w:rPr>
        <w:t xml:space="preserve"> </w:t>
      </w:r>
      <w:r>
        <w:t>un</w:t>
      </w:r>
      <w:r>
        <w:rPr>
          <w:spacing w:val="-3"/>
        </w:rPr>
        <w:t xml:space="preserve"> </w:t>
      </w:r>
      <w:r>
        <w:t>mecanismo</w:t>
      </w:r>
      <w:r>
        <w:rPr>
          <w:spacing w:val="-3"/>
        </w:rPr>
        <w:t xml:space="preserve"> </w:t>
      </w:r>
      <w:r>
        <w:t>para</w:t>
      </w:r>
      <w:r>
        <w:rPr>
          <w:spacing w:val="-2"/>
        </w:rPr>
        <w:t xml:space="preserve"> </w:t>
      </w:r>
      <w:r>
        <w:t>encubrir</w:t>
      </w:r>
      <w:r>
        <w:rPr>
          <w:spacing w:val="-2"/>
        </w:rPr>
        <w:t xml:space="preserve"> </w:t>
      </w:r>
      <w:r>
        <w:t>su</w:t>
      </w:r>
      <w:r>
        <w:rPr>
          <w:spacing w:val="-2"/>
        </w:rPr>
        <w:t xml:space="preserve"> </w:t>
      </w:r>
      <w:r>
        <w:t>actividad</w:t>
      </w:r>
      <w:r>
        <w:rPr>
          <w:spacing w:val="-2"/>
        </w:rPr>
        <w:t xml:space="preserve"> </w:t>
      </w:r>
      <w:r>
        <w:t>[...], [donde] participaron amplios sectores del Estado y la sociedad civil, con la complacencia o tolerancia</w:t>
      </w:r>
      <w:r>
        <w:rPr>
          <w:spacing w:val="-15"/>
        </w:rPr>
        <w:t xml:space="preserve"> </w:t>
      </w:r>
      <w:r>
        <w:t>de</w:t>
      </w:r>
      <w:r>
        <w:rPr>
          <w:spacing w:val="-15"/>
        </w:rPr>
        <w:t xml:space="preserve"> </w:t>
      </w:r>
      <w:r>
        <w:t>los</w:t>
      </w:r>
      <w:r>
        <w:rPr>
          <w:spacing w:val="-15"/>
        </w:rPr>
        <w:t xml:space="preserve"> </w:t>
      </w:r>
      <w:r>
        <w:t>demás</w:t>
      </w:r>
      <w:r>
        <w:rPr>
          <w:spacing w:val="-15"/>
        </w:rPr>
        <w:t xml:space="preserve"> </w:t>
      </w:r>
      <w:r>
        <w:t>sectores</w:t>
      </w:r>
      <w:r>
        <w:rPr>
          <w:spacing w:val="-14"/>
        </w:rPr>
        <w:t xml:space="preserve"> </w:t>
      </w:r>
      <w:r>
        <w:t>del</w:t>
      </w:r>
      <w:r>
        <w:rPr>
          <w:spacing w:val="-15"/>
        </w:rPr>
        <w:t xml:space="preserve"> </w:t>
      </w:r>
      <w:r>
        <w:t>Gobierno</w:t>
      </w:r>
      <w:r>
        <w:rPr>
          <w:spacing w:val="-15"/>
        </w:rPr>
        <w:t xml:space="preserve"> </w:t>
      </w:r>
      <w:r>
        <w:t>nacional»</w:t>
      </w:r>
      <w:r w:rsidR="00576CA5">
        <w:rPr>
          <w:rStyle w:val="Refdenotaalpie"/>
        </w:rPr>
        <w:footnoteReference w:id="358"/>
      </w:r>
      <w:r>
        <w:t>.</w:t>
      </w:r>
      <w:r>
        <w:rPr>
          <w:spacing w:val="-14"/>
        </w:rPr>
        <w:t xml:space="preserve"> </w:t>
      </w:r>
      <w:r>
        <w:t>Eso</w:t>
      </w:r>
      <w:r>
        <w:rPr>
          <w:spacing w:val="-15"/>
        </w:rPr>
        <w:t xml:space="preserve"> </w:t>
      </w:r>
      <w:r>
        <w:t>mismo</w:t>
      </w:r>
      <w:r>
        <w:rPr>
          <w:spacing w:val="-15"/>
        </w:rPr>
        <w:t xml:space="preserve"> </w:t>
      </w:r>
      <w:r>
        <w:t>concluye</w:t>
      </w:r>
      <w:r>
        <w:rPr>
          <w:spacing w:val="-15"/>
        </w:rPr>
        <w:t xml:space="preserve"> </w:t>
      </w:r>
      <w:r>
        <w:t>la</w:t>
      </w:r>
      <w:r>
        <w:rPr>
          <w:spacing w:val="-14"/>
        </w:rPr>
        <w:t xml:space="preserve"> </w:t>
      </w:r>
      <w:r>
        <w:t>Comisión Interamericana</w:t>
      </w:r>
      <w:r>
        <w:rPr>
          <w:spacing w:val="-1"/>
        </w:rPr>
        <w:t xml:space="preserve"> </w:t>
      </w:r>
      <w:r>
        <w:t>de</w:t>
      </w:r>
      <w:r>
        <w:rPr>
          <w:spacing w:val="-1"/>
        </w:rPr>
        <w:t xml:space="preserve"> </w:t>
      </w:r>
      <w:r>
        <w:t>Derechos</w:t>
      </w:r>
      <w:r>
        <w:rPr>
          <w:spacing w:val="-1"/>
        </w:rPr>
        <w:t xml:space="preserve"> </w:t>
      </w:r>
      <w:r>
        <w:t>Humanos,</w:t>
      </w:r>
      <w:r>
        <w:rPr>
          <w:spacing w:val="-1"/>
        </w:rPr>
        <w:t xml:space="preserve"> </w:t>
      </w:r>
      <w:r>
        <w:t>señalando</w:t>
      </w:r>
      <w:r>
        <w:rPr>
          <w:spacing w:val="-2"/>
        </w:rPr>
        <w:t xml:space="preserve"> </w:t>
      </w:r>
      <w:r>
        <w:t>la</w:t>
      </w:r>
      <w:r>
        <w:rPr>
          <w:spacing w:val="-2"/>
        </w:rPr>
        <w:t xml:space="preserve"> </w:t>
      </w:r>
      <w:r>
        <w:t>responsabilidad</w:t>
      </w:r>
      <w:r>
        <w:rPr>
          <w:spacing w:val="-1"/>
        </w:rPr>
        <w:t xml:space="preserve"> </w:t>
      </w:r>
      <w:r>
        <w:t>del</w:t>
      </w:r>
      <w:r>
        <w:rPr>
          <w:spacing w:val="-2"/>
        </w:rPr>
        <w:t xml:space="preserve"> </w:t>
      </w:r>
      <w:r>
        <w:t>Estado</w:t>
      </w:r>
      <w:r>
        <w:rPr>
          <w:spacing w:val="-1"/>
        </w:rPr>
        <w:t xml:space="preserve"> </w:t>
      </w:r>
      <w:r>
        <w:t>colombiano en las violaciones de derechos humanos cometidas por las Convivir:</w:t>
      </w:r>
    </w:p>
    <w:p w:rsidR="003804AC" w:rsidRDefault="00AF18A5" w:rsidP="00576CA5">
      <w:r>
        <w:t>La Comisión también ha recibido numerosas quejas que indican que la figura legal de las Convivir ha sido utilizada por los grupos paramilitares como escudo en contra de sus actividades violentas. La Comisión considera que mediante la creación de las Convivir sin un mecanismo para su adecuado control por parte de una autoridad supervisora, el Estado ha creado las condiciones que permiten este tipo de abusos</w:t>
      </w:r>
      <w:r w:rsidR="00576CA5">
        <w:rPr>
          <w:rStyle w:val="Refdenotaalpie"/>
        </w:rPr>
        <w:footnoteReference w:id="359"/>
      </w:r>
      <w:r>
        <w:t>.</w:t>
      </w:r>
    </w:p>
    <w:p w:rsidR="003804AC" w:rsidRDefault="00AF18A5" w:rsidP="00576CA5">
      <w:r>
        <w:t>Pero los marcos normativos que han habilitado o tolerado expresiones del paramilitarismo no son un asunto del pasado. Sobreviven en contextos recientes, como en la Ley 2197 de 2022 o Ley de Seguridad Ciudadana de 2022</w:t>
      </w:r>
      <w:r w:rsidR="00576CA5">
        <w:rPr>
          <w:rStyle w:val="Refdenotaalpie"/>
        </w:rPr>
        <w:footnoteReference w:id="360"/>
      </w:r>
      <w:r>
        <w:t>, en el concepto de «legítima defensa privilegiada»</w:t>
      </w:r>
      <w:r w:rsidR="00576CA5">
        <w:rPr>
          <w:rStyle w:val="Refdenotaalpie"/>
        </w:rPr>
        <w:footnoteReference w:id="361"/>
      </w:r>
      <w:r>
        <w:t>,</w:t>
      </w:r>
      <w:r>
        <w:rPr>
          <w:spacing w:val="-7"/>
        </w:rPr>
        <w:t xml:space="preserve"> </w:t>
      </w:r>
      <w:r>
        <w:t>lo</w:t>
      </w:r>
      <w:r>
        <w:rPr>
          <w:spacing w:val="-7"/>
        </w:rPr>
        <w:t xml:space="preserve"> </w:t>
      </w:r>
      <w:r>
        <w:t>que</w:t>
      </w:r>
      <w:r>
        <w:rPr>
          <w:spacing w:val="-7"/>
        </w:rPr>
        <w:t xml:space="preserve"> </w:t>
      </w:r>
      <w:r>
        <w:t>muestra</w:t>
      </w:r>
      <w:r>
        <w:rPr>
          <w:spacing w:val="-7"/>
        </w:rPr>
        <w:t xml:space="preserve"> </w:t>
      </w:r>
      <w:r>
        <w:t>una</w:t>
      </w:r>
      <w:r>
        <w:rPr>
          <w:spacing w:val="-7"/>
        </w:rPr>
        <w:t xml:space="preserve"> </w:t>
      </w:r>
      <w:r>
        <w:t>reticencia</w:t>
      </w:r>
      <w:r>
        <w:rPr>
          <w:spacing w:val="-7"/>
        </w:rPr>
        <w:t xml:space="preserve"> </w:t>
      </w:r>
      <w:r>
        <w:t>institucional</w:t>
      </w:r>
      <w:r>
        <w:rPr>
          <w:spacing w:val="-7"/>
        </w:rPr>
        <w:t xml:space="preserve"> </w:t>
      </w:r>
      <w:r>
        <w:t>a</w:t>
      </w:r>
      <w:r>
        <w:rPr>
          <w:spacing w:val="-8"/>
        </w:rPr>
        <w:t xml:space="preserve"> </w:t>
      </w:r>
      <w:r>
        <w:t>establecer</w:t>
      </w:r>
      <w:r>
        <w:rPr>
          <w:spacing w:val="-7"/>
        </w:rPr>
        <w:t xml:space="preserve"> </w:t>
      </w:r>
      <w:r>
        <w:t>un</w:t>
      </w:r>
      <w:r>
        <w:rPr>
          <w:spacing w:val="-7"/>
        </w:rPr>
        <w:t xml:space="preserve"> </w:t>
      </w:r>
      <w:r>
        <w:t>nuevo</w:t>
      </w:r>
      <w:r>
        <w:rPr>
          <w:spacing w:val="-7"/>
        </w:rPr>
        <w:t xml:space="preserve"> </w:t>
      </w:r>
      <w:r>
        <w:t>modelo</w:t>
      </w:r>
      <w:r>
        <w:rPr>
          <w:spacing w:val="-7"/>
        </w:rPr>
        <w:t xml:space="preserve"> </w:t>
      </w:r>
      <w:r>
        <w:t>de seguridad</w:t>
      </w:r>
      <w:r>
        <w:rPr>
          <w:spacing w:val="-11"/>
        </w:rPr>
        <w:t xml:space="preserve"> </w:t>
      </w:r>
      <w:r>
        <w:t>pública</w:t>
      </w:r>
      <w:r>
        <w:rPr>
          <w:spacing w:val="-11"/>
        </w:rPr>
        <w:t xml:space="preserve"> </w:t>
      </w:r>
      <w:r>
        <w:t>basado</w:t>
      </w:r>
      <w:r>
        <w:rPr>
          <w:spacing w:val="-12"/>
        </w:rPr>
        <w:t xml:space="preserve"> </w:t>
      </w:r>
      <w:r>
        <w:t>en</w:t>
      </w:r>
      <w:r>
        <w:rPr>
          <w:spacing w:val="-11"/>
        </w:rPr>
        <w:t xml:space="preserve"> </w:t>
      </w:r>
      <w:r>
        <w:t>el</w:t>
      </w:r>
      <w:r>
        <w:rPr>
          <w:spacing w:val="-10"/>
        </w:rPr>
        <w:t xml:space="preserve"> </w:t>
      </w:r>
      <w:r>
        <w:t>respeto</w:t>
      </w:r>
      <w:r>
        <w:rPr>
          <w:spacing w:val="-11"/>
        </w:rPr>
        <w:t xml:space="preserve"> </w:t>
      </w:r>
      <w:r>
        <w:t>y</w:t>
      </w:r>
      <w:r>
        <w:rPr>
          <w:spacing w:val="-11"/>
        </w:rPr>
        <w:t xml:space="preserve"> </w:t>
      </w:r>
      <w:r>
        <w:t>el</w:t>
      </w:r>
      <w:r>
        <w:rPr>
          <w:spacing w:val="-10"/>
        </w:rPr>
        <w:t xml:space="preserve"> </w:t>
      </w:r>
      <w:r>
        <w:t>cuidado</w:t>
      </w:r>
      <w:r>
        <w:rPr>
          <w:spacing w:val="-11"/>
        </w:rPr>
        <w:t xml:space="preserve"> </w:t>
      </w:r>
      <w:r>
        <w:lastRenderedPageBreak/>
        <w:t>de</w:t>
      </w:r>
      <w:r>
        <w:rPr>
          <w:spacing w:val="-11"/>
        </w:rPr>
        <w:t xml:space="preserve"> </w:t>
      </w:r>
      <w:r>
        <w:t>las</w:t>
      </w:r>
      <w:r>
        <w:rPr>
          <w:spacing w:val="-11"/>
        </w:rPr>
        <w:t xml:space="preserve"> </w:t>
      </w:r>
      <w:r>
        <w:t>personas</w:t>
      </w:r>
      <w:r>
        <w:rPr>
          <w:spacing w:val="-11"/>
        </w:rPr>
        <w:t xml:space="preserve"> </w:t>
      </w:r>
      <w:r>
        <w:t>y</w:t>
      </w:r>
      <w:r>
        <w:rPr>
          <w:spacing w:val="-11"/>
        </w:rPr>
        <w:t xml:space="preserve"> </w:t>
      </w:r>
      <w:r>
        <w:t>sus</w:t>
      </w:r>
      <w:r>
        <w:rPr>
          <w:spacing w:val="-11"/>
        </w:rPr>
        <w:t xml:space="preserve"> </w:t>
      </w:r>
      <w:r>
        <w:t>organizaciones,</w:t>
      </w:r>
      <w:r>
        <w:rPr>
          <w:spacing w:val="-11"/>
        </w:rPr>
        <w:t xml:space="preserve"> </w:t>
      </w:r>
      <w:r>
        <w:t>que supere el modelo predominante de seguridad privada.</w:t>
      </w:r>
    </w:p>
    <w:p w:rsidR="0011361F" w:rsidRDefault="00AF18A5" w:rsidP="004A6EF4">
      <w:pPr>
        <w:pStyle w:val="Ttulo3"/>
        <w:numPr>
          <w:ilvl w:val="1"/>
          <w:numId w:val="16"/>
        </w:numPr>
      </w:pPr>
      <w:bookmarkStart w:id="504" w:name="5.4._Diferentes_expresiones_de_un_mismo_"/>
      <w:bookmarkStart w:id="505" w:name="_Toc112399595"/>
      <w:bookmarkEnd w:id="504"/>
      <w:r>
        <w:t>Diferentes</w:t>
      </w:r>
      <w:r>
        <w:rPr>
          <w:spacing w:val="-2"/>
        </w:rPr>
        <w:t xml:space="preserve"> </w:t>
      </w:r>
      <w:r w:rsidRPr="00576CA5">
        <w:t>expresiones</w:t>
      </w:r>
      <w:r>
        <w:rPr>
          <w:spacing w:val="-3"/>
        </w:rPr>
        <w:t xml:space="preserve"> </w:t>
      </w:r>
      <w:r>
        <w:t>de</w:t>
      </w:r>
      <w:r>
        <w:rPr>
          <w:spacing w:val="-2"/>
        </w:rPr>
        <w:t xml:space="preserve"> </w:t>
      </w:r>
      <w:r>
        <w:t>un</w:t>
      </w:r>
      <w:r>
        <w:rPr>
          <w:spacing w:val="-2"/>
        </w:rPr>
        <w:t xml:space="preserve"> </w:t>
      </w:r>
      <w:r>
        <w:t>mismo</w:t>
      </w:r>
      <w:r>
        <w:rPr>
          <w:spacing w:val="-2"/>
        </w:rPr>
        <w:t xml:space="preserve"> paramilitarismo</w:t>
      </w:r>
      <w:bookmarkEnd w:id="505"/>
    </w:p>
    <w:p w:rsidR="003804AC" w:rsidRDefault="00AF18A5" w:rsidP="00A73915">
      <w:r>
        <w:t>El paramilitarismo es una dinámica inestable y cambiante, que en las últimas cinco décadas se ha adaptado y reconfigurado en múltiples ocasiones en las que el fenómeno ha resurgido después</w:t>
      </w:r>
      <w:r>
        <w:rPr>
          <w:spacing w:val="-13"/>
        </w:rPr>
        <w:t xml:space="preserve"> </w:t>
      </w:r>
      <w:r>
        <w:t>de</w:t>
      </w:r>
      <w:r>
        <w:rPr>
          <w:spacing w:val="-13"/>
        </w:rPr>
        <w:t xml:space="preserve"> </w:t>
      </w:r>
      <w:r>
        <w:t>que</w:t>
      </w:r>
      <w:r>
        <w:rPr>
          <w:spacing w:val="-13"/>
        </w:rPr>
        <w:t xml:space="preserve"> </w:t>
      </w:r>
      <w:r>
        <w:t>se</w:t>
      </w:r>
      <w:r>
        <w:rPr>
          <w:spacing w:val="-13"/>
        </w:rPr>
        <w:t xml:space="preserve"> </w:t>
      </w:r>
      <w:r>
        <w:t>creía</w:t>
      </w:r>
      <w:r>
        <w:rPr>
          <w:spacing w:val="-13"/>
        </w:rPr>
        <w:t xml:space="preserve"> </w:t>
      </w:r>
      <w:r>
        <w:t>desactivado.</w:t>
      </w:r>
      <w:r>
        <w:rPr>
          <w:spacing w:val="-14"/>
        </w:rPr>
        <w:t xml:space="preserve"> </w:t>
      </w:r>
      <w:r>
        <w:t>Algunas</w:t>
      </w:r>
      <w:r>
        <w:rPr>
          <w:spacing w:val="-13"/>
        </w:rPr>
        <w:t xml:space="preserve"> </w:t>
      </w:r>
      <w:r>
        <w:t>evidencias</w:t>
      </w:r>
      <w:r>
        <w:rPr>
          <w:spacing w:val="-13"/>
        </w:rPr>
        <w:t xml:space="preserve"> </w:t>
      </w:r>
      <w:r>
        <w:t>de</w:t>
      </w:r>
      <w:r>
        <w:rPr>
          <w:spacing w:val="-13"/>
        </w:rPr>
        <w:t xml:space="preserve"> </w:t>
      </w:r>
      <w:r>
        <w:t>la</w:t>
      </w:r>
      <w:r>
        <w:rPr>
          <w:spacing w:val="-14"/>
        </w:rPr>
        <w:t xml:space="preserve"> </w:t>
      </w:r>
      <w:r>
        <w:t>reconfiguración</w:t>
      </w:r>
      <w:r>
        <w:rPr>
          <w:spacing w:val="-13"/>
        </w:rPr>
        <w:t xml:space="preserve"> </w:t>
      </w:r>
      <w:r>
        <w:t>del</w:t>
      </w:r>
      <w:r>
        <w:rPr>
          <w:spacing w:val="-13"/>
        </w:rPr>
        <w:t xml:space="preserve"> </w:t>
      </w:r>
      <w:r>
        <w:t>entramado paramilitar son la conformación y crisis de la Asociación Campesina de Ganaderos y Agricultores</w:t>
      </w:r>
      <w:r>
        <w:rPr>
          <w:spacing w:val="-7"/>
        </w:rPr>
        <w:t xml:space="preserve"> </w:t>
      </w:r>
      <w:r>
        <w:t>del</w:t>
      </w:r>
      <w:r>
        <w:rPr>
          <w:spacing w:val="-6"/>
        </w:rPr>
        <w:t xml:space="preserve"> </w:t>
      </w:r>
      <w:r>
        <w:t>Magdalena</w:t>
      </w:r>
      <w:r>
        <w:rPr>
          <w:spacing w:val="-5"/>
        </w:rPr>
        <w:t xml:space="preserve"> </w:t>
      </w:r>
      <w:r>
        <w:t>Medio</w:t>
      </w:r>
      <w:r>
        <w:rPr>
          <w:spacing w:val="-7"/>
        </w:rPr>
        <w:t xml:space="preserve"> </w:t>
      </w:r>
      <w:r>
        <w:t>(</w:t>
      </w:r>
      <w:proofErr w:type="spellStart"/>
      <w:r>
        <w:t>Acdegam</w:t>
      </w:r>
      <w:proofErr w:type="spellEnd"/>
      <w:r>
        <w:t>),</w:t>
      </w:r>
      <w:r>
        <w:rPr>
          <w:spacing w:val="-5"/>
        </w:rPr>
        <w:t xml:space="preserve"> </w:t>
      </w:r>
      <w:r>
        <w:t>expresión</w:t>
      </w:r>
      <w:r>
        <w:rPr>
          <w:spacing w:val="-6"/>
        </w:rPr>
        <w:t xml:space="preserve"> </w:t>
      </w:r>
      <w:r>
        <w:t>del</w:t>
      </w:r>
      <w:r>
        <w:rPr>
          <w:spacing w:val="-6"/>
        </w:rPr>
        <w:t xml:space="preserve"> </w:t>
      </w:r>
      <w:r>
        <w:t>semillero</w:t>
      </w:r>
      <w:r>
        <w:rPr>
          <w:spacing w:val="-6"/>
        </w:rPr>
        <w:t xml:space="preserve"> </w:t>
      </w:r>
      <w:r>
        <w:t>de</w:t>
      </w:r>
      <w:r>
        <w:rPr>
          <w:spacing w:val="-5"/>
        </w:rPr>
        <w:t xml:space="preserve"> </w:t>
      </w:r>
      <w:r>
        <w:t>alianzas</w:t>
      </w:r>
      <w:r>
        <w:rPr>
          <w:spacing w:val="-6"/>
        </w:rPr>
        <w:t xml:space="preserve"> </w:t>
      </w:r>
      <w:r>
        <w:t>que</w:t>
      </w:r>
      <w:r>
        <w:rPr>
          <w:spacing w:val="-5"/>
        </w:rPr>
        <w:t xml:space="preserve"> </w:t>
      </w:r>
      <w:r>
        <w:rPr>
          <w:spacing w:val="-4"/>
        </w:rPr>
        <w:t>tuvo</w:t>
      </w:r>
      <w:bookmarkStart w:id="506" w:name="_bookmark408"/>
      <w:bookmarkStart w:id="507" w:name="_bookmark409"/>
      <w:bookmarkStart w:id="508" w:name="_bookmark410"/>
      <w:bookmarkStart w:id="509" w:name="_bookmark411"/>
      <w:bookmarkEnd w:id="506"/>
      <w:bookmarkEnd w:id="507"/>
      <w:bookmarkEnd w:id="508"/>
      <w:bookmarkEnd w:id="509"/>
      <w:r w:rsidR="00A73915">
        <w:rPr>
          <w:spacing w:val="-4"/>
        </w:rPr>
        <w:t xml:space="preserve"> </w:t>
      </w:r>
      <w:r>
        <w:t>como núcleo Puerto Boyacá, en los años ochenta; con las mutaciones del entramado que llevaron a un cambio del eje hacia Córdoba y Urabá con la conformación de las ACCU en los</w:t>
      </w:r>
      <w:r>
        <w:rPr>
          <w:spacing w:val="-7"/>
        </w:rPr>
        <w:t xml:space="preserve"> </w:t>
      </w:r>
      <w:r>
        <w:t>años</w:t>
      </w:r>
      <w:r>
        <w:rPr>
          <w:spacing w:val="-7"/>
        </w:rPr>
        <w:t xml:space="preserve"> </w:t>
      </w:r>
      <w:r>
        <w:t>noventa;</w:t>
      </w:r>
      <w:r>
        <w:rPr>
          <w:spacing w:val="-8"/>
        </w:rPr>
        <w:t xml:space="preserve"> </w:t>
      </w:r>
      <w:r>
        <w:t>y</w:t>
      </w:r>
      <w:r>
        <w:rPr>
          <w:spacing w:val="-7"/>
        </w:rPr>
        <w:t xml:space="preserve"> </w:t>
      </w:r>
      <w:r>
        <w:t>luego</w:t>
      </w:r>
      <w:r>
        <w:rPr>
          <w:spacing w:val="-7"/>
        </w:rPr>
        <w:t xml:space="preserve"> </w:t>
      </w:r>
      <w:r>
        <w:t>la</w:t>
      </w:r>
      <w:r>
        <w:rPr>
          <w:spacing w:val="-7"/>
        </w:rPr>
        <w:t xml:space="preserve"> </w:t>
      </w:r>
      <w:r>
        <w:t>expansión</w:t>
      </w:r>
      <w:r>
        <w:rPr>
          <w:spacing w:val="-7"/>
        </w:rPr>
        <w:t xml:space="preserve"> </w:t>
      </w:r>
      <w:r>
        <w:t>nacional</w:t>
      </w:r>
      <w:r>
        <w:rPr>
          <w:spacing w:val="-8"/>
        </w:rPr>
        <w:t xml:space="preserve"> </w:t>
      </w:r>
      <w:r>
        <w:t>de</w:t>
      </w:r>
      <w:r>
        <w:rPr>
          <w:spacing w:val="-7"/>
        </w:rPr>
        <w:t xml:space="preserve"> </w:t>
      </w:r>
      <w:r>
        <w:t>este</w:t>
      </w:r>
      <w:r>
        <w:rPr>
          <w:spacing w:val="-7"/>
        </w:rPr>
        <w:t xml:space="preserve"> </w:t>
      </w:r>
      <w:r>
        <w:t>proyecto</w:t>
      </w:r>
      <w:r>
        <w:rPr>
          <w:spacing w:val="-7"/>
        </w:rPr>
        <w:t xml:space="preserve"> </w:t>
      </w:r>
      <w:r>
        <w:t>a</w:t>
      </w:r>
      <w:r>
        <w:rPr>
          <w:spacing w:val="-8"/>
        </w:rPr>
        <w:t xml:space="preserve"> </w:t>
      </w:r>
      <w:r>
        <w:t>través</w:t>
      </w:r>
      <w:r>
        <w:rPr>
          <w:spacing w:val="-8"/>
        </w:rPr>
        <w:t xml:space="preserve"> </w:t>
      </w:r>
      <w:r>
        <w:t>de</w:t>
      </w:r>
      <w:r>
        <w:rPr>
          <w:spacing w:val="-7"/>
        </w:rPr>
        <w:t xml:space="preserve"> </w:t>
      </w:r>
      <w:r>
        <w:t>las</w:t>
      </w:r>
      <w:r>
        <w:rPr>
          <w:spacing w:val="-8"/>
        </w:rPr>
        <w:t xml:space="preserve"> </w:t>
      </w:r>
      <w:r>
        <w:t>AUC</w:t>
      </w:r>
      <w:r>
        <w:rPr>
          <w:spacing w:val="-8"/>
        </w:rPr>
        <w:t xml:space="preserve"> </w:t>
      </w:r>
      <w:r>
        <w:t>a</w:t>
      </w:r>
      <w:r>
        <w:rPr>
          <w:spacing w:val="-7"/>
        </w:rPr>
        <w:t xml:space="preserve"> </w:t>
      </w:r>
      <w:r>
        <w:t xml:space="preserve">partir de 1997. El universo de expresiones armadas paramilitares que surgieron con posterioridad a la desmovilización colectiva de las AUC en el 2003-2006, suma, entre otras, a Los Rastrojos, Los </w:t>
      </w:r>
      <w:proofErr w:type="spellStart"/>
      <w:r>
        <w:t>Pachenca</w:t>
      </w:r>
      <w:proofErr w:type="spellEnd"/>
      <w:r>
        <w:t xml:space="preserve">, Los </w:t>
      </w:r>
      <w:proofErr w:type="spellStart"/>
      <w:r>
        <w:t>Caparrapos</w:t>
      </w:r>
      <w:proofErr w:type="spellEnd"/>
      <w:r>
        <w:t xml:space="preserve"> o Caparros y las Autodefensas </w:t>
      </w:r>
      <w:proofErr w:type="spellStart"/>
      <w:r>
        <w:t>Gaitanistas</w:t>
      </w:r>
      <w:proofErr w:type="spellEnd"/>
      <w:r>
        <w:t xml:space="preserve"> de Colombia (AGC) o Clan del Golfo, y sus diversas células y facciones.</w:t>
      </w:r>
    </w:p>
    <w:p w:rsidR="003804AC" w:rsidRDefault="00AF18A5" w:rsidP="00C8296A">
      <w:r>
        <w:t>Esto revela una de las características del entramado paramilitar: se ha mantenido por los puntos de cohesión entre los diversos intereses de las partes que lo componen, por eso las alianzas han permanecido a pesar de las crisis, disputas violentas entre los actores y desmovilizaciones de sus ‘brazos armados’</w:t>
      </w:r>
      <w:r w:rsidR="00C8296A">
        <w:rPr>
          <w:rStyle w:val="Refdenotaalpie"/>
        </w:rPr>
        <w:footnoteReference w:id="362"/>
      </w:r>
      <w:r>
        <w:rPr>
          <w:i/>
        </w:rPr>
        <w:t xml:space="preserve">. </w:t>
      </w:r>
      <w:r>
        <w:t>Esta capacidad de reconfiguración se constituye</w:t>
      </w:r>
      <w:r>
        <w:rPr>
          <w:spacing w:val="-8"/>
        </w:rPr>
        <w:t xml:space="preserve"> </w:t>
      </w:r>
      <w:r>
        <w:lastRenderedPageBreak/>
        <w:t>en</w:t>
      </w:r>
      <w:r>
        <w:rPr>
          <w:spacing w:val="-8"/>
        </w:rPr>
        <w:t xml:space="preserve"> </w:t>
      </w:r>
      <w:r>
        <w:t>un</w:t>
      </w:r>
      <w:r>
        <w:rPr>
          <w:spacing w:val="-8"/>
        </w:rPr>
        <w:t xml:space="preserve"> </w:t>
      </w:r>
      <w:r>
        <w:t>reto</w:t>
      </w:r>
      <w:r>
        <w:rPr>
          <w:spacing w:val="-9"/>
        </w:rPr>
        <w:t xml:space="preserve"> </w:t>
      </w:r>
      <w:r>
        <w:t>enorme</w:t>
      </w:r>
      <w:r>
        <w:rPr>
          <w:spacing w:val="-8"/>
        </w:rPr>
        <w:t xml:space="preserve"> </w:t>
      </w:r>
      <w:r>
        <w:t>a</w:t>
      </w:r>
      <w:r>
        <w:rPr>
          <w:spacing w:val="-8"/>
        </w:rPr>
        <w:t xml:space="preserve"> </w:t>
      </w:r>
      <w:r>
        <w:t>la</w:t>
      </w:r>
      <w:r>
        <w:rPr>
          <w:spacing w:val="-8"/>
        </w:rPr>
        <w:t xml:space="preserve"> </w:t>
      </w:r>
      <w:r>
        <w:t>hora</w:t>
      </w:r>
      <w:r>
        <w:rPr>
          <w:spacing w:val="-8"/>
        </w:rPr>
        <w:t xml:space="preserve"> </w:t>
      </w:r>
      <w:r>
        <w:t>de</w:t>
      </w:r>
      <w:r>
        <w:rPr>
          <w:spacing w:val="-8"/>
        </w:rPr>
        <w:t xml:space="preserve"> </w:t>
      </w:r>
      <w:r>
        <w:t>pensar</w:t>
      </w:r>
      <w:r>
        <w:rPr>
          <w:spacing w:val="-8"/>
        </w:rPr>
        <w:t xml:space="preserve"> </w:t>
      </w:r>
      <w:r>
        <w:t>las</w:t>
      </w:r>
      <w:r>
        <w:rPr>
          <w:spacing w:val="-8"/>
        </w:rPr>
        <w:t xml:space="preserve"> </w:t>
      </w:r>
      <w:r>
        <w:t>continuidades</w:t>
      </w:r>
      <w:r>
        <w:rPr>
          <w:spacing w:val="-8"/>
        </w:rPr>
        <w:t xml:space="preserve"> </w:t>
      </w:r>
      <w:r>
        <w:t>del</w:t>
      </w:r>
      <w:r>
        <w:rPr>
          <w:spacing w:val="-8"/>
        </w:rPr>
        <w:t xml:space="preserve"> </w:t>
      </w:r>
      <w:r>
        <w:t>conflicto</w:t>
      </w:r>
      <w:r>
        <w:rPr>
          <w:spacing w:val="-8"/>
        </w:rPr>
        <w:t xml:space="preserve"> </w:t>
      </w:r>
      <w:r>
        <w:t>armado</w:t>
      </w:r>
      <w:r>
        <w:rPr>
          <w:spacing w:val="-8"/>
        </w:rPr>
        <w:t xml:space="preserve"> </w:t>
      </w:r>
      <w:r>
        <w:t>y</w:t>
      </w:r>
      <w:r>
        <w:rPr>
          <w:spacing w:val="-8"/>
        </w:rPr>
        <w:t xml:space="preserve"> </w:t>
      </w:r>
      <w:r>
        <w:t xml:space="preserve">los grupos </w:t>
      </w:r>
      <w:proofErr w:type="spellStart"/>
      <w:r>
        <w:t>posdesmovilización</w:t>
      </w:r>
      <w:proofErr w:type="spellEnd"/>
      <w:r>
        <w:t xml:space="preserve"> de las AUC a partir de 2006.</w:t>
      </w:r>
    </w:p>
    <w:p w:rsidR="0011361F" w:rsidRPr="00366DA0" w:rsidRDefault="00AF18A5" w:rsidP="00C8296A">
      <w:r>
        <w:t>A principios de los años ochenta, el municipio de Puerto Boyacá fue conocido como «la capital antisubversiva de Colombia». Con este municipio como epicentro, se comenzaron a tejer alianzas paramilitares con el narcotráfico y se puso en marcha la profesionalización de los ejércitos privados por medio de las escuelas de entrenamiento, grupos que luego serían exportados al resto del país a través de las ACCU y posteriormente las AUC. Así, la experiencia del Magdalena Medio se convirtió en uno de los referentes de múltiples grupos paramilitares</w:t>
      </w:r>
      <w:r>
        <w:rPr>
          <w:spacing w:val="-15"/>
        </w:rPr>
        <w:t xml:space="preserve"> </w:t>
      </w:r>
      <w:r>
        <w:t>posteriores:</w:t>
      </w:r>
      <w:r>
        <w:rPr>
          <w:spacing w:val="-15"/>
        </w:rPr>
        <w:t xml:space="preserve"> </w:t>
      </w:r>
      <w:r>
        <w:t>se</w:t>
      </w:r>
      <w:r>
        <w:rPr>
          <w:spacing w:val="-15"/>
        </w:rPr>
        <w:t xml:space="preserve"> </w:t>
      </w:r>
      <w:r>
        <w:t>conjugaron</w:t>
      </w:r>
      <w:r>
        <w:rPr>
          <w:spacing w:val="-15"/>
        </w:rPr>
        <w:t xml:space="preserve"> </w:t>
      </w:r>
      <w:r>
        <w:t>expresiones</w:t>
      </w:r>
      <w:r>
        <w:rPr>
          <w:spacing w:val="-15"/>
        </w:rPr>
        <w:t xml:space="preserve"> </w:t>
      </w:r>
      <w:r>
        <w:t>armadas,</w:t>
      </w:r>
      <w:r>
        <w:rPr>
          <w:spacing w:val="-15"/>
        </w:rPr>
        <w:t xml:space="preserve"> </w:t>
      </w:r>
      <w:r>
        <w:t>políticas,</w:t>
      </w:r>
      <w:r>
        <w:rPr>
          <w:spacing w:val="-15"/>
        </w:rPr>
        <w:t xml:space="preserve"> </w:t>
      </w:r>
      <w:r>
        <w:t>económicas,</w:t>
      </w:r>
      <w:r>
        <w:rPr>
          <w:spacing w:val="-15"/>
        </w:rPr>
        <w:t xml:space="preserve"> </w:t>
      </w:r>
      <w:r>
        <w:t>sociales y dineros del narcotráfico; se perpetraron varias de las primeras grandes masacres paramilitares; y se institucionalizó el terror en su actuación. Lo sucedido en el Magdalena Medio</w:t>
      </w:r>
      <w:r>
        <w:rPr>
          <w:spacing w:val="-6"/>
        </w:rPr>
        <w:t xml:space="preserve"> </w:t>
      </w:r>
      <w:r>
        <w:t>fue</w:t>
      </w:r>
      <w:r>
        <w:rPr>
          <w:spacing w:val="-6"/>
        </w:rPr>
        <w:t xml:space="preserve"> </w:t>
      </w:r>
      <w:r>
        <w:t>percibido,</w:t>
      </w:r>
      <w:r>
        <w:rPr>
          <w:spacing w:val="-6"/>
        </w:rPr>
        <w:t xml:space="preserve"> </w:t>
      </w:r>
      <w:r>
        <w:t>según</w:t>
      </w:r>
      <w:r>
        <w:rPr>
          <w:spacing w:val="-6"/>
        </w:rPr>
        <w:t xml:space="preserve"> </w:t>
      </w:r>
      <w:r>
        <w:t>relata</w:t>
      </w:r>
      <w:r>
        <w:rPr>
          <w:spacing w:val="-6"/>
        </w:rPr>
        <w:t xml:space="preserve"> </w:t>
      </w:r>
      <w:r>
        <w:t>uno</w:t>
      </w:r>
      <w:r>
        <w:rPr>
          <w:spacing w:val="-6"/>
        </w:rPr>
        <w:t xml:space="preserve"> </w:t>
      </w:r>
      <w:r>
        <w:t>de</w:t>
      </w:r>
      <w:r>
        <w:rPr>
          <w:spacing w:val="-6"/>
        </w:rPr>
        <w:t xml:space="preserve"> </w:t>
      </w:r>
      <w:r>
        <w:t>los</w:t>
      </w:r>
      <w:r>
        <w:rPr>
          <w:spacing w:val="-6"/>
        </w:rPr>
        <w:t xml:space="preserve"> </w:t>
      </w:r>
      <w:r>
        <w:t>informes</w:t>
      </w:r>
      <w:r>
        <w:rPr>
          <w:spacing w:val="-6"/>
        </w:rPr>
        <w:t xml:space="preserve"> </w:t>
      </w:r>
      <w:r>
        <w:t>entregados</w:t>
      </w:r>
      <w:r>
        <w:rPr>
          <w:spacing w:val="-6"/>
        </w:rPr>
        <w:t xml:space="preserve"> </w:t>
      </w:r>
      <w:r>
        <w:t>a</w:t>
      </w:r>
      <w:r>
        <w:rPr>
          <w:spacing w:val="-6"/>
        </w:rPr>
        <w:t xml:space="preserve"> </w:t>
      </w:r>
      <w:r>
        <w:t>la</w:t>
      </w:r>
      <w:r>
        <w:rPr>
          <w:spacing w:val="-6"/>
        </w:rPr>
        <w:t xml:space="preserve"> </w:t>
      </w:r>
      <w:r>
        <w:t>Comisión</w:t>
      </w:r>
      <w:r>
        <w:rPr>
          <w:spacing w:val="-6"/>
        </w:rPr>
        <w:t xml:space="preserve"> </w:t>
      </w:r>
      <w:r>
        <w:t>por</w:t>
      </w:r>
      <w:r>
        <w:rPr>
          <w:spacing w:val="-6"/>
        </w:rPr>
        <w:t xml:space="preserve"> </w:t>
      </w:r>
      <w:r>
        <w:t>parte</w:t>
      </w:r>
      <w:r>
        <w:rPr>
          <w:spacing w:val="-6"/>
        </w:rPr>
        <w:t xml:space="preserve"> </w:t>
      </w:r>
      <w:r>
        <w:t xml:space="preserve">de </w:t>
      </w:r>
      <w:proofErr w:type="spellStart"/>
      <w:r w:rsidRPr="00366DA0">
        <w:t>exparamilitares</w:t>
      </w:r>
      <w:proofErr w:type="spellEnd"/>
      <w:r w:rsidRPr="00366DA0">
        <w:t xml:space="preserve"> del Bloque Central Bolívar de las AUC, como el diseño de una estrategia novedosa:</w:t>
      </w:r>
    </w:p>
    <w:p w:rsidR="003804AC" w:rsidRDefault="00AF18A5" w:rsidP="00C8296A">
      <w:bookmarkStart w:id="510" w:name="_bookmark412"/>
      <w:bookmarkEnd w:id="510"/>
      <w:r>
        <w:t>Con</w:t>
      </w:r>
      <w:r>
        <w:rPr>
          <w:spacing w:val="-7"/>
        </w:rPr>
        <w:t xml:space="preserve"> </w:t>
      </w:r>
      <w:proofErr w:type="spellStart"/>
      <w:r>
        <w:t>Acdegam</w:t>
      </w:r>
      <w:proofErr w:type="spellEnd"/>
      <w:r>
        <w:rPr>
          <w:spacing w:val="-7"/>
        </w:rPr>
        <w:t xml:space="preserve"> </w:t>
      </w:r>
      <w:r>
        <w:t>agregamos</w:t>
      </w:r>
      <w:r>
        <w:rPr>
          <w:spacing w:val="-7"/>
        </w:rPr>
        <w:t xml:space="preserve"> </w:t>
      </w:r>
      <w:r>
        <w:t>un</w:t>
      </w:r>
      <w:r>
        <w:rPr>
          <w:spacing w:val="-7"/>
        </w:rPr>
        <w:t xml:space="preserve"> </w:t>
      </w:r>
      <w:r>
        <w:t>esquema</w:t>
      </w:r>
      <w:r>
        <w:rPr>
          <w:spacing w:val="-7"/>
        </w:rPr>
        <w:t xml:space="preserve"> </w:t>
      </w:r>
      <w:r>
        <w:t>muy</w:t>
      </w:r>
      <w:r>
        <w:rPr>
          <w:spacing w:val="-8"/>
        </w:rPr>
        <w:t xml:space="preserve"> </w:t>
      </w:r>
      <w:r>
        <w:t>novedoso</w:t>
      </w:r>
      <w:r>
        <w:rPr>
          <w:spacing w:val="-7"/>
        </w:rPr>
        <w:t xml:space="preserve"> </w:t>
      </w:r>
      <w:r>
        <w:t>para</w:t>
      </w:r>
      <w:r>
        <w:rPr>
          <w:spacing w:val="-7"/>
        </w:rPr>
        <w:t xml:space="preserve"> </w:t>
      </w:r>
      <w:r>
        <w:t>acercar</w:t>
      </w:r>
      <w:r>
        <w:rPr>
          <w:spacing w:val="-7"/>
        </w:rPr>
        <w:t xml:space="preserve"> </w:t>
      </w:r>
      <w:r>
        <w:t>a</w:t>
      </w:r>
      <w:r>
        <w:rPr>
          <w:spacing w:val="-8"/>
        </w:rPr>
        <w:t xml:space="preserve"> </w:t>
      </w:r>
      <w:r>
        <w:t>la</w:t>
      </w:r>
      <w:r>
        <w:rPr>
          <w:spacing w:val="-8"/>
        </w:rPr>
        <w:t xml:space="preserve"> </w:t>
      </w:r>
      <w:r>
        <w:t>gente</w:t>
      </w:r>
      <w:r>
        <w:rPr>
          <w:spacing w:val="-7"/>
        </w:rPr>
        <w:t xml:space="preserve"> </w:t>
      </w:r>
      <w:r>
        <w:t>al</w:t>
      </w:r>
      <w:r>
        <w:rPr>
          <w:spacing w:val="-8"/>
        </w:rPr>
        <w:t xml:space="preserve"> </w:t>
      </w:r>
      <w:r>
        <w:t>tema</w:t>
      </w:r>
      <w:r>
        <w:rPr>
          <w:spacing w:val="-7"/>
        </w:rPr>
        <w:t xml:space="preserve"> </w:t>
      </w:r>
      <w:r>
        <w:t>de autodefensas,</w:t>
      </w:r>
      <w:r>
        <w:rPr>
          <w:spacing w:val="-11"/>
        </w:rPr>
        <w:t xml:space="preserve"> </w:t>
      </w:r>
      <w:r>
        <w:t>al</w:t>
      </w:r>
      <w:r>
        <w:rPr>
          <w:spacing w:val="-10"/>
        </w:rPr>
        <w:t xml:space="preserve"> </w:t>
      </w:r>
      <w:r>
        <w:t>tema</w:t>
      </w:r>
      <w:r>
        <w:rPr>
          <w:spacing w:val="-10"/>
        </w:rPr>
        <w:t xml:space="preserve"> </w:t>
      </w:r>
      <w:r>
        <w:t>paramilitar</w:t>
      </w:r>
      <w:r>
        <w:rPr>
          <w:spacing w:val="-11"/>
        </w:rPr>
        <w:t xml:space="preserve"> </w:t>
      </w:r>
      <w:r>
        <w:t>[...].</w:t>
      </w:r>
      <w:r>
        <w:rPr>
          <w:spacing w:val="-11"/>
        </w:rPr>
        <w:t xml:space="preserve"> </w:t>
      </w:r>
      <w:r>
        <w:t>Y</w:t>
      </w:r>
      <w:r>
        <w:rPr>
          <w:spacing w:val="-11"/>
        </w:rPr>
        <w:t xml:space="preserve"> </w:t>
      </w:r>
      <w:r>
        <w:t>entonces</w:t>
      </w:r>
      <w:r>
        <w:rPr>
          <w:spacing w:val="-12"/>
        </w:rPr>
        <w:t xml:space="preserve"> </w:t>
      </w:r>
      <w:r>
        <w:t>iniciamos</w:t>
      </w:r>
      <w:r>
        <w:rPr>
          <w:spacing w:val="-12"/>
        </w:rPr>
        <w:t xml:space="preserve"> </w:t>
      </w:r>
      <w:r>
        <w:t>la</w:t>
      </w:r>
      <w:r>
        <w:rPr>
          <w:spacing w:val="-12"/>
        </w:rPr>
        <w:t xml:space="preserve"> </w:t>
      </w:r>
      <w:r>
        <w:t>ofensiva,</w:t>
      </w:r>
      <w:r>
        <w:rPr>
          <w:spacing w:val="-12"/>
        </w:rPr>
        <w:t xml:space="preserve"> </w:t>
      </w:r>
      <w:r>
        <w:t>¿cómo</w:t>
      </w:r>
      <w:r>
        <w:rPr>
          <w:spacing w:val="-11"/>
        </w:rPr>
        <w:t xml:space="preserve"> </w:t>
      </w:r>
      <w:r>
        <w:t>quitarle población</w:t>
      </w:r>
      <w:r>
        <w:rPr>
          <w:spacing w:val="-15"/>
        </w:rPr>
        <w:t xml:space="preserve"> </w:t>
      </w:r>
      <w:r>
        <w:t>civil</w:t>
      </w:r>
      <w:r>
        <w:rPr>
          <w:spacing w:val="-15"/>
        </w:rPr>
        <w:t xml:space="preserve"> </w:t>
      </w:r>
      <w:r>
        <w:t>a</w:t>
      </w:r>
      <w:r>
        <w:rPr>
          <w:spacing w:val="-15"/>
        </w:rPr>
        <w:t xml:space="preserve"> </w:t>
      </w:r>
      <w:r>
        <w:t>la</w:t>
      </w:r>
      <w:r>
        <w:rPr>
          <w:spacing w:val="-15"/>
        </w:rPr>
        <w:t xml:space="preserve"> </w:t>
      </w:r>
      <w:r>
        <w:t>guerrilla?</w:t>
      </w:r>
      <w:r>
        <w:rPr>
          <w:spacing w:val="-15"/>
        </w:rPr>
        <w:t xml:space="preserve"> </w:t>
      </w:r>
      <w:r>
        <w:t>¿Cómo</w:t>
      </w:r>
      <w:r>
        <w:rPr>
          <w:spacing w:val="-15"/>
        </w:rPr>
        <w:t xml:space="preserve"> </w:t>
      </w:r>
      <w:r>
        <w:t>convertir</w:t>
      </w:r>
      <w:r>
        <w:rPr>
          <w:spacing w:val="-15"/>
        </w:rPr>
        <w:t xml:space="preserve"> </w:t>
      </w:r>
      <w:r>
        <w:t>a</w:t>
      </w:r>
      <w:r>
        <w:rPr>
          <w:spacing w:val="-15"/>
        </w:rPr>
        <w:t xml:space="preserve"> </w:t>
      </w:r>
      <w:r>
        <w:t>la</w:t>
      </w:r>
      <w:r>
        <w:rPr>
          <w:spacing w:val="-15"/>
        </w:rPr>
        <w:t xml:space="preserve"> </w:t>
      </w:r>
      <w:r>
        <w:t>población</w:t>
      </w:r>
      <w:r>
        <w:rPr>
          <w:spacing w:val="-15"/>
        </w:rPr>
        <w:t xml:space="preserve"> </w:t>
      </w:r>
      <w:r>
        <w:t>campesina</w:t>
      </w:r>
      <w:r>
        <w:rPr>
          <w:spacing w:val="-15"/>
        </w:rPr>
        <w:t xml:space="preserve"> </w:t>
      </w:r>
      <w:r>
        <w:t>en</w:t>
      </w:r>
      <w:r>
        <w:rPr>
          <w:spacing w:val="-15"/>
        </w:rPr>
        <w:t xml:space="preserve"> </w:t>
      </w:r>
      <w:r>
        <w:t>los</w:t>
      </w:r>
      <w:r>
        <w:rPr>
          <w:spacing w:val="-15"/>
        </w:rPr>
        <w:t xml:space="preserve"> </w:t>
      </w:r>
      <w:r>
        <w:t>primeros enemigos de</w:t>
      </w:r>
      <w:r>
        <w:rPr>
          <w:spacing w:val="-1"/>
        </w:rPr>
        <w:t xml:space="preserve"> </w:t>
      </w:r>
      <w:r>
        <w:t>las FARC</w:t>
      </w:r>
      <w:r>
        <w:rPr>
          <w:spacing w:val="-1"/>
        </w:rPr>
        <w:t xml:space="preserve"> </w:t>
      </w:r>
      <w:r>
        <w:t>y el ELN? [...] entonces empezamos a</w:t>
      </w:r>
      <w:r>
        <w:rPr>
          <w:spacing w:val="-1"/>
        </w:rPr>
        <w:t xml:space="preserve"> </w:t>
      </w:r>
      <w:r>
        <w:t>operar en varios</w:t>
      </w:r>
      <w:r>
        <w:rPr>
          <w:spacing w:val="-1"/>
        </w:rPr>
        <w:t xml:space="preserve"> </w:t>
      </w:r>
      <w:r>
        <w:t xml:space="preserve">frentes. Uno, frente de salud, construimos una clínica, en esa clínica se prestaba servicios absolutamente gratuitos a los campesinos, todo lo subvencionaban los ganaderos, los agricultores y comerciantes [...]. Dos, tema de educación, construimos 52 escuelas rurales, y </w:t>
      </w:r>
      <w:proofErr w:type="spellStart"/>
      <w:r>
        <w:t>Acdegam</w:t>
      </w:r>
      <w:proofErr w:type="spellEnd"/>
      <w:r>
        <w:t xml:space="preserve"> </w:t>
      </w:r>
      <w:r>
        <w:lastRenderedPageBreak/>
        <w:t xml:space="preserve">nombró los maestros, con ese tema de los maestros teníamos una enorme ventaja, porque ellos manejan los niños y los jóvenes, y a esos eran a los que les teníamos que llevar el mensaje claro, anticomunista, </w:t>
      </w:r>
      <w:proofErr w:type="spellStart"/>
      <w:r>
        <w:t>contraguerrillero</w:t>
      </w:r>
      <w:proofErr w:type="spellEnd"/>
      <w:r>
        <w:t xml:space="preserve">, el mensaje de autodefensas como una organización militar dispuesta a liberar a Colombia de las FARC y del ELN [...]. El Magdalena Medio colombiano tenía un eje central que era </w:t>
      </w:r>
      <w:proofErr w:type="spellStart"/>
      <w:r>
        <w:t>Acdegam</w:t>
      </w:r>
      <w:proofErr w:type="spellEnd"/>
      <w:r>
        <w:t>, que era de los paramilitares, era la fachada social y política.</w:t>
      </w:r>
      <w:r w:rsidR="00C8296A">
        <w:rPr>
          <w:rStyle w:val="Refdenotaalpie"/>
        </w:rPr>
        <w:footnoteReference w:id="363"/>
      </w:r>
      <w:r w:rsidR="00C8296A">
        <w:t xml:space="preserve"> </w:t>
      </w:r>
    </w:p>
    <w:p w:rsidR="003804AC" w:rsidRDefault="00AF18A5" w:rsidP="00C8296A">
      <w:r>
        <w:t>Esta coalición regional contrainsurgente, violenta y expansiva, se dio en paralelo a la expansión de las organizaciones guerrilleras, principalmente las FARC-EP y el ELN, que utilizaron los secuestros y las extorsiones como sus «principales bases financieras»</w:t>
      </w:r>
      <w:r w:rsidR="00C8296A">
        <w:rPr>
          <w:rStyle w:val="Refdenotaalpie"/>
        </w:rPr>
        <w:footnoteReference w:id="364"/>
      </w:r>
      <w:r>
        <w:rPr>
          <w:vertAlign w:val="superscript"/>
        </w:rPr>
        <w:t>.</w:t>
      </w:r>
      <w:r>
        <w:rPr>
          <w:spacing w:val="-15"/>
        </w:rPr>
        <w:t xml:space="preserve"> </w:t>
      </w:r>
      <w:r>
        <w:t xml:space="preserve">Eran los tiempos de los intentos de apertura democrática y políticas de paz del gobierno de Belisario Betancur (1982-1986). En este marco, el entramado paramilitar desde Puerto Boyacá buscó contener los intentos de democratización y de paz a través de acciones de violencia sistemática (persecución, exterminio y destierro) contra miembros de grupos </w:t>
      </w:r>
      <w:r>
        <w:rPr>
          <w:spacing w:val="-2"/>
        </w:rPr>
        <w:t>políticos</w:t>
      </w:r>
      <w:r>
        <w:rPr>
          <w:spacing w:val="-6"/>
        </w:rPr>
        <w:t xml:space="preserve"> </w:t>
      </w:r>
      <w:r>
        <w:rPr>
          <w:spacing w:val="-2"/>
        </w:rPr>
        <w:t>de</w:t>
      </w:r>
      <w:r>
        <w:rPr>
          <w:spacing w:val="-6"/>
        </w:rPr>
        <w:t xml:space="preserve"> </w:t>
      </w:r>
      <w:r>
        <w:rPr>
          <w:spacing w:val="-2"/>
        </w:rPr>
        <w:t>izquierda,</w:t>
      </w:r>
      <w:r>
        <w:rPr>
          <w:spacing w:val="-5"/>
        </w:rPr>
        <w:t xml:space="preserve"> </w:t>
      </w:r>
      <w:r>
        <w:rPr>
          <w:spacing w:val="-2"/>
        </w:rPr>
        <w:t>como</w:t>
      </w:r>
      <w:r>
        <w:rPr>
          <w:spacing w:val="-5"/>
        </w:rPr>
        <w:t xml:space="preserve"> </w:t>
      </w:r>
      <w:r>
        <w:rPr>
          <w:spacing w:val="-2"/>
        </w:rPr>
        <w:t>la</w:t>
      </w:r>
      <w:r>
        <w:rPr>
          <w:spacing w:val="-5"/>
        </w:rPr>
        <w:t xml:space="preserve"> </w:t>
      </w:r>
      <w:r>
        <w:rPr>
          <w:spacing w:val="-2"/>
        </w:rPr>
        <w:t>Unión</w:t>
      </w:r>
      <w:r>
        <w:rPr>
          <w:spacing w:val="-6"/>
        </w:rPr>
        <w:t xml:space="preserve"> </w:t>
      </w:r>
      <w:r>
        <w:rPr>
          <w:spacing w:val="-2"/>
        </w:rPr>
        <w:t>Patriótica</w:t>
      </w:r>
      <w:r>
        <w:rPr>
          <w:spacing w:val="-5"/>
        </w:rPr>
        <w:t xml:space="preserve"> </w:t>
      </w:r>
      <w:r>
        <w:rPr>
          <w:spacing w:val="-2"/>
        </w:rPr>
        <w:t>y</w:t>
      </w:r>
      <w:r>
        <w:rPr>
          <w:spacing w:val="-6"/>
        </w:rPr>
        <w:t xml:space="preserve"> </w:t>
      </w:r>
      <w:r>
        <w:rPr>
          <w:spacing w:val="-2"/>
        </w:rPr>
        <w:t>el</w:t>
      </w:r>
      <w:r>
        <w:rPr>
          <w:spacing w:val="-4"/>
        </w:rPr>
        <w:t xml:space="preserve"> </w:t>
      </w:r>
      <w:r>
        <w:rPr>
          <w:spacing w:val="-2"/>
        </w:rPr>
        <w:t>Partido</w:t>
      </w:r>
      <w:r>
        <w:rPr>
          <w:spacing w:val="-6"/>
        </w:rPr>
        <w:t xml:space="preserve"> </w:t>
      </w:r>
      <w:r>
        <w:rPr>
          <w:spacing w:val="-2"/>
        </w:rPr>
        <w:t>Comunista,</w:t>
      </w:r>
      <w:r>
        <w:rPr>
          <w:spacing w:val="-5"/>
        </w:rPr>
        <w:t xml:space="preserve"> </w:t>
      </w:r>
      <w:r>
        <w:rPr>
          <w:spacing w:val="-2"/>
        </w:rPr>
        <w:t>sindicalistas</w:t>
      </w:r>
      <w:r>
        <w:rPr>
          <w:spacing w:val="-5"/>
        </w:rPr>
        <w:t xml:space="preserve"> </w:t>
      </w:r>
      <w:r>
        <w:rPr>
          <w:spacing w:val="-2"/>
        </w:rPr>
        <w:t>y</w:t>
      </w:r>
      <w:r>
        <w:rPr>
          <w:spacing w:val="-7"/>
        </w:rPr>
        <w:t xml:space="preserve"> </w:t>
      </w:r>
      <w:r>
        <w:rPr>
          <w:spacing w:val="-2"/>
        </w:rPr>
        <w:t xml:space="preserve">líderes </w:t>
      </w:r>
      <w:r>
        <w:t xml:space="preserve">sociales. Comenzó en municipios como Cimitarra y Barrancabermeja (Santander), Puerto Boyacá (Boyacá) y Puerto Berrío, Yondó y Puerto Nare (Antioquia), y se propagó hacia zonas del país como Urabá, los Llanos Orientales y el Nordeste </w:t>
      </w:r>
      <w:r>
        <w:lastRenderedPageBreak/>
        <w:t>antioqueño.</w:t>
      </w:r>
    </w:p>
    <w:p w:rsidR="003804AC" w:rsidRDefault="00AF18A5" w:rsidP="00C8296A">
      <w:r>
        <w:t>La coalición contrainsurgente involucró a todo tipo de sectores. En principio, distintos grupos</w:t>
      </w:r>
      <w:r>
        <w:rPr>
          <w:spacing w:val="15"/>
        </w:rPr>
        <w:t xml:space="preserve"> </w:t>
      </w:r>
      <w:r>
        <w:t>económicos</w:t>
      </w:r>
      <w:r>
        <w:rPr>
          <w:spacing w:val="17"/>
        </w:rPr>
        <w:t xml:space="preserve"> </w:t>
      </w:r>
      <w:r>
        <w:t>que</w:t>
      </w:r>
      <w:r>
        <w:rPr>
          <w:spacing w:val="16"/>
        </w:rPr>
        <w:t xml:space="preserve"> </w:t>
      </w:r>
      <w:r>
        <w:t>buscaban</w:t>
      </w:r>
      <w:r>
        <w:rPr>
          <w:spacing w:val="18"/>
        </w:rPr>
        <w:t xml:space="preserve"> </w:t>
      </w:r>
      <w:r>
        <w:t>defender</w:t>
      </w:r>
      <w:r>
        <w:rPr>
          <w:spacing w:val="17"/>
        </w:rPr>
        <w:t xml:space="preserve"> </w:t>
      </w:r>
      <w:r>
        <w:t>su</w:t>
      </w:r>
      <w:r>
        <w:rPr>
          <w:spacing w:val="17"/>
        </w:rPr>
        <w:t xml:space="preserve"> </w:t>
      </w:r>
      <w:r>
        <w:t>patrimonio</w:t>
      </w:r>
      <w:r>
        <w:rPr>
          <w:spacing w:val="18"/>
        </w:rPr>
        <w:t xml:space="preserve"> </w:t>
      </w:r>
      <w:r>
        <w:t>en</w:t>
      </w:r>
      <w:r>
        <w:rPr>
          <w:spacing w:val="15"/>
        </w:rPr>
        <w:t xml:space="preserve"> </w:t>
      </w:r>
      <w:r>
        <w:t>un</w:t>
      </w:r>
      <w:r>
        <w:rPr>
          <w:spacing w:val="17"/>
        </w:rPr>
        <w:t xml:space="preserve"> </w:t>
      </w:r>
      <w:r>
        <w:t>entorno</w:t>
      </w:r>
      <w:r>
        <w:rPr>
          <w:spacing w:val="16"/>
        </w:rPr>
        <w:t xml:space="preserve"> </w:t>
      </w:r>
      <w:r>
        <w:t>de</w:t>
      </w:r>
      <w:r>
        <w:rPr>
          <w:spacing w:val="17"/>
        </w:rPr>
        <w:t xml:space="preserve"> </w:t>
      </w:r>
      <w:r>
        <w:t>zozobra</w:t>
      </w:r>
      <w:r>
        <w:rPr>
          <w:spacing w:val="16"/>
        </w:rPr>
        <w:t xml:space="preserve"> </w:t>
      </w:r>
      <w:r>
        <w:t>por</w:t>
      </w:r>
      <w:r>
        <w:rPr>
          <w:spacing w:val="18"/>
        </w:rPr>
        <w:t xml:space="preserve"> </w:t>
      </w:r>
      <w:r>
        <w:rPr>
          <w:spacing w:val="-5"/>
        </w:rPr>
        <w:t>la</w:t>
      </w:r>
      <w:bookmarkStart w:id="511" w:name="_bookmark413"/>
      <w:bookmarkStart w:id="512" w:name="_bookmark414"/>
      <w:bookmarkEnd w:id="511"/>
      <w:bookmarkEnd w:id="512"/>
      <w:r w:rsidR="00C8296A">
        <w:rPr>
          <w:spacing w:val="-5"/>
        </w:rPr>
        <w:t xml:space="preserve"> </w:t>
      </w:r>
      <w:r>
        <w:t>violencia guerrillera; los narcotraficantes buscaban expandir sus negocios ilegales y protegerse de las presiones extorsivas o conflictos con estos mismos grupos. La fuerza pública y los organismos de seguridad e inteligencia tenían como objetivo la contrainsurgencia,</w:t>
      </w:r>
      <w:r>
        <w:rPr>
          <w:spacing w:val="-8"/>
        </w:rPr>
        <w:t xml:space="preserve"> </w:t>
      </w:r>
      <w:r>
        <w:t>en</w:t>
      </w:r>
      <w:r>
        <w:rPr>
          <w:spacing w:val="-4"/>
        </w:rPr>
        <w:t xml:space="preserve"> </w:t>
      </w:r>
      <w:r>
        <w:t>un</w:t>
      </w:r>
      <w:r>
        <w:rPr>
          <w:spacing w:val="-5"/>
        </w:rPr>
        <w:t xml:space="preserve"> </w:t>
      </w:r>
      <w:r>
        <w:t>espectro</w:t>
      </w:r>
      <w:r>
        <w:rPr>
          <w:spacing w:val="-4"/>
        </w:rPr>
        <w:t xml:space="preserve"> </w:t>
      </w:r>
      <w:r>
        <w:t>difuso</w:t>
      </w:r>
      <w:r>
        <w:rPr>
          <w:spacing w:val="-5"/>
        </w:rPr>
        <w:t xml:space="preserve"> </w:t>
      </w:r>
      <w:r>
        <w:t>entre</w:t>
      </w:r>
      <w:r>
        <w:rPr>
          <w:spacing w:val="-4"/>
        </w:rPr>
        <w:t xml:space="preserve"> </w:t>
      </w:r>
      <w:r>
        <w:t>lo</w:t>
      </w:r>
      <w:r>
        <w:rPr>
          <w:spacing w:val="-6"/>
        </w:rPr>
        <w:t xml:space="preserve"> </w:t>
      </w:r>
      <w:r>
        <w:t>«militar»</w:t>
      </w:r>
      <w:r>
        <w:rPr>
          <w:spacing w:val="-4"/>
        </w:rPr>
        <w:t xml:space="preserve"> </w:t>
      </w:r>
      <w:r>
        <w:t>y</w:t>
      </w:r>
      <w:r>
        <w:rPr>
          <w:spacing w:val="-6"/>
        </w:rPr>
        <w:t xml:space="preserve"> </w:t>
      </w:r>
      <w:r>
        <w:t>aquello</w:t>
      </w:r>
      <w:r>
        <w:rPr>
          <w:spacing w:val="-4"/>
        </w:rPr>
        <w:t xml:space="preserve"> </w:t>
      </w:r>
      <w:r>
        <w:t>que</w:t>
      </w:r>
      <w:r>
        <w:rPr>
          <w:spacing w:val="-4"/>
        </w:rPr>
        <w:t xml:space="preserve"> </w:t>
      </w:r>
      <w:r>
        <w:t>consideraban</w:t>
      </w:r>
      <w:r>
        <w:rPr>
          <w:spacing w:val="-5"/>
        </w:rPr>
        <w:t xml:space="preserve"> </w:t>
      </w:r>
      <w:r>
        <w:rPr>
          <w:spacing w:val="-4"/>
        </w:rPr>
        <w:t>como</w:t>
      </w:r>
    </w:p>
    <w:p w:rsidR="003804AC" w:rsidRDefault="00AF18A5" w:rsidP="00C8296A">
      <w:r>
        <w:t>«quitarle el agua al pez». Por su parte, los políticos regionales tenían el interés de eliminar los</w:t>
      </w:r>
      <w:r>
        <w:rPr>
          <w:spacing w:val="-13"/>
        </w:rPr>
        <w:t xml:space="preserve"> </w:t>
      </w:r>
      <w:r>
        <w:t>actores</w:t>
      </w:r>
      <w:r>
        <w:rPr>
          <w:spacing w:val="-13"/>
        </w:rPr>
        <w:t xml:space="preserve"> </w:t>
      </w:r>
      <w:r>
        <w:t>que</w:t>
      </w:r>
      <w:r>
        <w:rPr>
          <w:spacing w:val="-13"/>
        </w:rPr>
        <w:t xml:space="preserve"> </w:t>
      </w:r>
      <w:r>
        <w:t>amenazaban</w:t>
      </w:r>
      <w:r>
        <w:rPr>
          <w:spacing w:val="-13"/>
        </w:rPr>
        <w:t xml:space="preserve"> </w:t>
      </w:r>
      <w:r>
        <w:t>con</w:t>
      </w:r>
      <w:r>
        <w:rPr>
          <w:spacing w:val="-14"/>
        </w:rPr>
        <w:t xml:space="preserve"> </w:t>
      </w:r>
      <w:r>
        <w:t>arrebatarles</w:t>
      </w:r>
      <w:r>
        <w:rPr>
          <w:spacing w:val="-14"/>
        </w:rPr>
        <w:t xml:space="preserve"> </w:t>
      </w:r>
      <w:r>
        <w:t>el</w:t>
      </w:r>
      <w:r>
        <w:rPr>
          <w:spacing w:val="-14"/>
        </w:rPr>
        <w:t xml:space="preserve"> </w:t>
      </w:r>
      <w:r>
        <w:t>poder</w:t>
      </w:r>
      <w:r>
        <w:rPr>
          <w:spacing w:val="-13"/>
        </w:rPr>
        <w:t xml:space="preserve"> </w:t>
      </w:r>
      <w:r>
        <w:t>que</w:t>
      </w:r>
      <w:r>
        <w:rPr>
          <w:spacing w:val="-14"/>
        </w:rPr>
        <w:t xml:space="preserve"> </w:t>
      </w:r>
      <w:r>
        <w:t>ostentaban.</w:t>
      </w:r>
      <w:r>
        <w:rPr>
          <w:spacing w:val="-14"/>
        </w:rPr>
        <w:t xml:space="preserve"> </w:t>
      </w:r>
      <w:r>
        <w:t>Por</w:t>
      </w:r>
      <w:r>
        <w:rPr>
          <w:spacing w:val="-14"/>
        </w:rPr>
        <w:t xml:space="preserve"> </w:t>
      </w:r>
      <w:r>
        <w:t>medio</w:t>
      </w:r>
      <w:r>
        <w:rPr>
          <w:spacing w:val="-13"/>
        </w:rPr>
        <w:t xml:space="preserve"> </w:t>
      </w:r>
      <w:r>
        <w:t>de</w:t>
      </w:r>
      <w:r>
        <w:rPr>
          <w:spacing w:val="-14"/>
        </w:rPr>
        <w:t xml:space="preserve"> </w:t>
      </w:r>
      <w:proofErr w:type="spellStart"/>
      <w:r>
        <w:t>Acdegam</w:t>
      </w:r>
      <w:proofErr w:type="spellEnd"/>
      <w:r>
        <w:t xml:space="preserve"> se</w:t>
      </w:r>
      <w:r>
        <w:rPr>
          <w:spacing w:val="-15"/>
        </w:rPr>
        <w:t xml:space="preserve"> </w:t>
      </w:r>
      <w:r>
        <w:t>canalizaron</w:t>
      </w:r>
      <w:r>
        <w:rPr>
          <w:spacing w:val="-15"/>
        </w:rPr>
        <w:t xml:space="preserve"> </w:t>
      </w:r>
      <w:r>
        <w:t>los</w:t>
      </w:r>
      <w:r>
        <w:rPr>
          <w:spacing w:val="-15"/>
        </w:rPr>
        <w:t xml:space="preserve"> </w:t>
      </w:r>
      <w:r>
        <w:t>recursos</w:t>
      </w:r>
      <w:r>
        <w:rPr>
          <w:spacing w:val="-15"/>
        </w:rPr>
        <w:t xml:space="preserve"> </w:t>
      </w:r>
      <w:r>
        <w:t>necesarios</w:t>
      </w:r>
      <w:r>
        <w:rPr>
          <w:spacing w:val="-15"/>
        </w:rPr>
        <w:t xml:space="preserve"> </w:t>
      </w:r>
      <w:r>
        <w:t>para</w:t>
      </w:r>
      <w:r>
        <w:rPr>
          <w:spacing w:val="-15"/>
        </w:rPr>
        <w:t xml:space="preserve"> </w:t>
      </w:r>
      <w:r>
        <w:t>el</w:t>
      </w:r>
      <w:r>
        <w:rPr>
          <w:spacing w:val="-15"/>
        </w:rPr>
        <w:t xml:space="preserve"> </w:t>
      </w:r>
      <w:r>
        <w:t>acondicionamiento</w:t>
      </w:r>
      <w:r>
        <w:rPr>
          <w:spacing w:val="-15"/>
        </w:rPr>
        <w:t xml:space="preserve"> </w:t>
      </w:r>
      <w:r>
        <w:t>de</w:t>
      </w:r>
      <w:r>
        <w:rPr>
          <w:spacing w:val="-15"/>
        </w:rPr>
        <w:t xml:space="preserve"> </w:t>
      </w:r>
      <w:r>
        <w:t>centros</w:t>
      </w:r>
      <w:r>
        <w:rPr>
          <w:spacing w:val="-15"/>
        </w:rPr>
        <w:t xml:space="preserve"> </w:t>
      </w:r>
      <w:r>
        <w:t>de</w:t>
      </w:r>
      <w:r>
        <w:rPr>
          <w:spacing w:val="-15"/>
        </w:rPr>
        <w:t xml:space="preserve"> </w:t>
      </w:r>
      <w:r>
        <w:t>entrenamiento e</w:t>
      </w:r>
      <w:r>
        <w:rPr>
          <w:spacing w:val="-7"/>
        </w:rPr>
        <w:t xml:space="preserve"> </w:t>
      </w:r>
      <w:r>
        <w:t>instrucción</w:t>
      </w:r>
      <w:r>
        <w:rPr>
          <w:spacing w:val="-8"/>
        </w:rPr>
        <w:t xml:space="preserve"> </w:t>
      </w:r>
      <w:r>
        <w:t>de</w:t>
      </w:r>
      <w:r>
        <w:rPr>
          <w:spacing w:val="-7"/>
        </w:rPr>
        <w:t xml:space="preserve"> </w:t>
      </w:r>
      <w:r>
        <w:t>los</w:t>
      </w:r>
      <w:r>
        <w:rPr>
          <w:spacing w:val="-7"/>
        </w:rPr>
        <w:t xml:space="preserve"> </w:t>
      </w:r>
      <w:r>
        <w:t>integrantes</w:t>
      </w:r>
      <w:r>
        <w:rPr>
          <w:spacing w:val="-7"/>
        </w:rPr>
        <w:t xml:space="preserve"> </w:t>
      </w:r>
      <w:r>
        <w:t>de</w:t>
      </w:r>
      <w:r>
        <w:rPr>
          <w:spacing w:val="-7"/>
        </w:rPr>
        <w:t xml:space="preserve"> </w:t>
      </w:r>
      <w:r>
        <w:t>las</w:t>
      </w:r>
      <w:r>
        <w:rPr>
          <w:spacing w:val="-8"/>
        </w:rPr>
        <w:t xml:space="preserve"> </w:t>
      </w:r>
      <w:r>
        <w:t>estructuras</w:t>
      </w:r>
      <w:r>
        <w:rPr>
          <w:spacing w:val="-8"/>
        </w:rPr>
        <w:t xml:space="preserve"> </w:t>
      </w:r>
      <w:r>
        <w:t>paramilitares,</w:t>
      </w:r>
      <w:r>
        <w:rPr>
          <w:spacing w:val="-7"/>
        </w:rPr>
        <w:t xml:space="preserve"> </w:t>
      </w:r>
      <w:r>
        <w:t>el</w:t>
      </w:r>
      <w:r>
        <w:rPr>
          <w:spacing w:val="-7"/>
        </w:rPr>
        <w:t xml:space="preserve"> </w:t>
      </w:r>
      <w:r>
        <w:t>pago</w:t>
      </w:r>
      <w:r>
        <w:rPr>
          <w:spacing w:val="-7"/>
        </w:rPr>
        <w:t xml:space="preserve"> </w:t>
      </w:r>
      <w:r>
        <w:t>de</w:t>
      </w:r>
      <w:r>
        <w:rPr>
          <w:spacing w:val="-8"/>
        </w:rPr>
        <w:t xml:space="preserve"> </w:t>
      </w:r>
      <w:r>
        <w:t>sueldos,</w:t>
      </w:r>
      <w:r>
        <w:rPr>
          <w:spacing w:val="-7"/>
        </w:rPr>
        <w:t xml:space="preserve"> </w:t>
      </w:r>
      <w:r>
        <w:t>las</w:t>
      </w:r>
      <w:r>
        <w:rPr>
          <w:spacing w:val="-8"/>
        </w:rPr>
        <w:t xml:space="preserve"> </w:t>
      </w:r>
      <w:r>
        <w:t>armas y sus municiones</w:t>
      </w:r>
      <w:r w:rsidR="00C8296A">
        <w:rPr>
          <w:rStyle w:val="Refdenotaalpie"/>
        </w:rPr>
        <w:footnoteReference w:id="365"/>
      </w:r>
      <w:r>
        <w:t>. Su influencia se traduciría en lo que el mayor (r) del Ejército Óscar de Jesús Echandía afirmó en diciembre de 1982: «una Puerto Boyacá limpia de guerrilla»</w:t>
      </w:r>
      <w:r w:rsidR="00C8296A">
        <w:rPr>
          <w:rStyle w:val="Refdenotaalpie"/>
        </w:rPr>
        <w:footnoteReference w:id="366"/>
      </w:r>
      <w:r>
        <w:t>.</w:t>
      </w:r>
    </w:p>
    <w:p w:rsidR="003804AC" w:rsidRDefault="00AF18A5" w:rsidP="00C8296A">
      <w:r>
        <w:t>Estas</w:t>
      </w:r>
      <w:r>
        <w:rPr>
          <w:spacing w:val="-1"/>
        </w:rPr>
        <w:t xml:space="preserve"> </w:t>
      </w:r>
      <w:r>
        <w:t>frases</w:t>
      </w:r>
      <w:r>
        <w:rPr>
          <w:spacing w:val="-1"/>
        </w:rPr>
        <w:t xml:space="preserve"> </w:t>
      </w:r>
      <w:r>
        <w:t>con las</w:t>
      </w:r>
      <w:r>
        <w:rPr>
          <w:spacing w:val="-1"/>
        </w:rPr>
        <w:t xml:space="preserve"> </w:t>
      </w:r>
      <w:r>
        <w:t>que</w:t>
      </w:r>
      <w:r>
        <w:rPr>
          <w:spacing w:val="-1"/>
        </w:rPr>
        <w:t xml:space="preserve"> </w:t>
      </w:r>
      <w:r>
        <w:t>justificaban el proyecto</w:t>
      </w:r>
      <w:r>
        <w:rPr>
          <w:spacing w:val="-1"/>
        </w:rPr>
        <w:t xml:space="preserve"> </w:t>
      </w:r>
      <w:r>
        <w:t>fueron una</w:t>
      </w:r>
      <w:r>
        <w:rPr>
          <w:spacing w:val="-1"/>
        </w:rPr>
        <w:t xml:space="preserve"> </w:t>
      </w:r>
      <w:r>
        <w:t>apología</w:t>
      </w:r>
      <w:r>
        <w:rPr>
          <w:spacing w:val="-1"/>
        </w:rPr>
        <w:t xml:space="preserve"> </w:t>
      </w:r>
      <w:r>
        <w:t>a la</w:t>
      </w:r>
      <w:r>
        <w:rPr>
          <w:spacing w:val="-1"/>
        </w:rPr>
        <w:t xml:space="preserve"> </w:t>
      </w:r>
      <w:r>
        <w:t>guerra</w:t>
      </w:r>
      <w:r>
        <w:rPr>
          <w:spacing w:val="-1"/>
        </w:rPr>
        <w:t xml:space="preserve"> </w:t>
      </w:r>
      <w:r>
        <w:t>contra la población</w:t>
      </w:r>
      <w:r>
        <w:rPr>
          <w:spacing w:val="-1"/>
        </w:rPr>
        <w:t xml:space="preserve"> </w:t>
      </w:r>
      <w:r>
        <w:t>civil que se</w:t>
      </w:r>
      <w:r>
        <w:rPr>
          <w:spacing w:val="-1"/>
        </w:rPr>
        <w:t xml:space="preserve"> </w:t>
      </w:r>
      <w:r>
        <w:t>consolidó desde 1983 y cuyo saldo fue</w:t>
      </w:r>
      <w:r>
        <w:rPr>
          <w:spacing w:val="-1"/>
        </w:rPr>
        <w:t xml:space="preserve"> </w:t>
      </w:r>
      <w:r>
        <w:t>al menos 18</w:t>
      </w:r>
      <w:r>
        <w:rPr>
          <w:spacing w:val="-1"/>
        </w:rPr>
        <w:t xml:space="preserve"> </w:t>
      </w:r>
      <w:r>
        <w:t>masacres y</w:t>
      </w:r>
      <w:r>
        <w:rPr>
          <w:spacing w:val="-1"/>
        </w:rPr>
        <w:t xml:space="preserve"> </w:t>
      </w:r>
      <w:r>
        <w:t xml:space="preserve">miles de desplazados. Esta estrategia se dio en paralelo con la ofensiva del MAS o Los </w:t>
      </w:r>
      <w:proofErr w:type="spellStart"/>
      <w:r>
        <w:t>Masetos</w:t>
      </w:r>
      <w:proofErr w:type="spellEnd"/>
      <w:r>
        <w:t>, que, bajo la etiqueta del movimiento antisubversivo original (Muerte a Secuestradores)</w:t>
      </w:r>
      <w:r w:rsidR="00C8296A">
        <w:rPr>
          <w:rStyle w:val="Refdenotaalpie"/>
        </w:rPr>
        <w:footnoteReference w:id="367"/>
      </w:r>
      <w:r>
        <w:t>, actuaba</w:t>
      </w:r>
      <w:r>
        <w:rPr>
          <w:spacing w:val="-4"/>
        </w:rPr>
        <w:t xml:space="preserve"> </w:t>
      </w:r>
      <w:r>
        <w:t>encubierto</w:t>
      </w:r>
      <w:r>
        <w:rPr>
          <w:spacing w:val="-3"/>
        </w:rPr>
        <w:t xml:space="preserve"> </w:t>
      </w:r>
      <w:r>
        <w:t>para</w:t>
      </w:r>
      <w:r>
        <w:rPr>
          <w:spacing w:val="-4"/>
        </w:rPr>
        <w:t xml:space="preserve"> </w:t>
      </w:r>
      <w:r>
        <w:t>ejecutar</w:t>
      </w:r>
      <w:r>
        <w:rPr>
          <w:spacing w:val="-3"/>
        </w:rPr>
        <w:t xml:space="preserve"> </w:t>
      </w:r>
      <w:r>
        <w:t>asesinatos</w:t>
      </w:r>
      <w:r>
        <w:rPr>
          <w:spacing w:val="-3"/>
        </w:rPr>
        <w:t xml:space="preserve"> </w:t>
      </w:r>
      <w:r>
        <w:lastRenderedPageBreak/>
        <w:t>selectivos.</w:t>
      </w:r>
      <w:r>
        <w:rPr>
          <w:spacing w:val="-4"/>
        </w:rPr>
        <w:t xml:space="preserve"> </w:t>
      </w:r>
      <w:r>
        <w:t>El</w:t>
      </w:r>
      <w:r>
        <w:rPr>
          <w:spacing w:val="-3"/>
        </w:rPr>
        <w:t xml:space="preserve"> </w:t>
      </w:r>
      <w:r>
        <w:t>MAS</w:t>
      </w:r>
      <w:r>
        <w:rPr>
          <w:spacing w:val="-4"/>
        </w:rPr>
        <w:t xml:space="preserve"> </w:t>
      </w:r>
      <w:r>
        <w:t>estaba</w:t>
      </w:r>
      <w:r>
        <w:rPr>
          <w:spacing w:val="-3"/>
        </w:rPr>
        <w:t xml:space="preserve"> </w:t>
      </w:r>
      <w:r>
        <w:t>formado</w:t>
      </w:r>
      <w:r>
        <w:rPr>
          <w:spacing w:val="-3"/>
        </w:rPr>
        <w:t xml:space="preserve"> </w:t>
      </w:r>
      <w:r>
        <w:t>y</w:t>
      </w:r>
      <w:r>
        <w:rPr>
          <w:spacing w:val="-3"/>
        </w:rPr>
        <w:t xml:space="preserve"> </w:t>
      </w:r>
      <w:r>
        <w:t>financiado por narcotraficantes e integrado también por 59 miembros del Ejército, como lo reveló el procurador Carlos Jiménez Gómez en 1983. En este proyecto tuvieron participación mercenarios</w:t>
      </w:r>
      <w:r>
        <w:rPr>
          <w:spacing w:val="25"/>
        </w:rPr>
        <w:t xml:space="preserve"> </w:t>
      </w:r>
      <w:r>
        <w:t>extranjeros</w:t>
      </w:r>
      <w:r w:rsidR="00C8296A">
        <w:rPr>
          <w:rStyle w:val="Refdenotaalpie"/>
        </w:rPr>
        <w:footnoteReference w:id="368"/>
      </w:r>
      <w:r>
        <w:rPr>
          <w:spacing w:val="27"/>
        </w:rPr>
        <w:t xml:space="preserve"> </w:t>
      </w:r>
      <w:r>
        <w:t>que</w:t>
      </w:r>
      <w:r>
        <w:rPr>
          <w:spacing w:val="26"/>
        </w:rPr>
        <w:t xml:space="preserve"> </w:t>
      </w:r>
      <w:r>
        <w:t>fueron</w:t>
      </w:r>
      <w:r>
        <w:rPr>
          <w:spacing w:val="25"/>
        </w:rPr>
        <w:t xml:space="preserve"> </w:t>
      </w:r>
      <w:r>
        <w:t>instructores</w:t>
      </w:r>
      <w:r>
        <w:rPr>
          <w:spacing w:val="26"/>
        </w:rPr>
        <w:t xml:space="preserve"> </w:t>
      </w:r>
      <w:r>
        <w:t>en</w:t>
      </w:r>
      <w:r>
        <w:rPr>
          <w:spacing w:val="26"/>
        </w:rPr>
        <w:t xml:space="preserve"> </w:t>
      </w:r>
      <w:r>
        <w:t>las</w:t>
      </w:r>
      <w:r>
        <w:rPr>
          <w:spacing w:val="26"/>
        </w:rPr>
        <w:t xml:space="preserve"> </w:t>
      </w:r>
      <w:r>
        <w:t>escuelas</w:t>
      </w:r>
      <w:r>
        <w:rPr>
          <w:spacing w:val="26"/>
        </w:rPr>
        <w:t xml:space="preserve"> </w:t>
      </w:r>
      <w:r>
        <w:t>de</w:t>
      </w:r>
      <w:r>
        <w:rPr>
          <w:spacing w:val="27"/>
        </w:rPr>
        <w:t xml:space="preserve"> </w:t>
      </w:r>
      <w:r>
        <w:t>entrenamiento</w:t>
      </w:r>
      <w:r>
        <w:rPr>
          <w:spacing w:val="26"/>
        </w:rPr>
        <w:t xml:space="preserve"> </w:t>
      </w:r>
      <w:r>
        <w:t>en</w:t>
      </w:r>
      <w:r>
        <w:rPr>
          <w:spacing w:val="26"/>
        </w:rPr>
        <w:t xml:space="preserve"> </w:t>
      </w:r>
      <w:r>
        <w:rPr>
          <w:spacing w:val="-5"/>
        </w:rPr>
        <w:t>el</w:t>
      </w:r>
      <w:bookmarkStart w:id="513" w:name="_bookmark415"/>
      <w:bookmarkStart w:id="514" w:name="_bookmark416"/>
      <w:bookmarkStart w:id="515" w:name="_bookmark417"/>
      <w:bookmarkStart w:id="516" w:name="_bookmark418"/>
      <w:bookmarkEnd w:id="513"/>
      <w:bookmarkEnd w:id="514"/>
      <w:bookmarkEnd w:id="515"/>
      <w:bookmarkEnd w:id="516"/>
      <w:r w:rsidR="00C8296A">
        <w:rPr>
          <w:spacing w:val="-5"/>
        </w:rPr>
        <w:t xml:space="preserve"> </w:t>
      </w:r>
      <w:r>
        <w:t>Magdalena</w:t>
      </w:r>
      <w:r>
        <w:rPr>
          <w:spacing w:val="-4"/>
        </w:rPr>
        <w:t xml:space="preserve"> </w:t>
      </w:r>
      <w:r>
        <w:t>Medio,</w:t>
      </w:r>
      <w:r>
        <w:rPr>
          <w:spacing w:val="-3"/>
        </w:rPr>
        <w:t xml:space="preserve"> </w:t>
      </w:r>
      <w:r>
        <w:t>uno</w:t>
      </w:r>
      <w:r>
        <w:rPr>
          <w:spacing w:val="-6"/>
        </w:rPr>
        <w:t xml:space="preserve"> </w:t>
      </w:r>
      <w:r>
        <w:t>de</w:t>
      </w:r>
      <w:r>
        <w:rPr>
          <w:spacing w:val="-3"/>
        </w:rPr>
        <w:t xml:space="preserve"> </w:t>
      </w:r>
      <w:r>
        <w:t>ellos,</w:t>
      </w:r>
      <w:r>
        <w:rPr>
          <w:spacing w:val="-4"/>
        </w:rPr>
        <w:t xml:space="preserve"> </w:t>
      </w:r>
      <w:r>
        <w:t>Yair</w:t>
      </w:r>
      <w:r>
        <w:rPr>
          <w:spacing w:val="-3"/>
        </w:rPr>
        <w:t xml:space="preserve"> </w:t>
      </w:r>
      <w:r>
        <w:t>Klein,</w:t>
      </w:r>
      <w:r>
        <w:rPr>
          <w:spacing w:val="-5"/>
        </w:rPr>
        <w:t xml:space="preserve"> </w:t>
      </w:r>
      <w:r>
        <w:t>quien</w:t>
      </w:r>
      <w:r>
        <w:rPr>
          <w:spacing w:val="-3"/>
        </w:rPr>
        <w:t xml:space="preserve"> </w:t>
      </w:r>
      <w:r>
        <w:t>llegó</w:t>
      </w:r>
      <w:r>
        <w:rPr>
          <w:spacing w:val="-5"/>
        </w:rPr>
        <w:t xml:space="preserve"> </w:t>
      </w:r>
      <w:r>
        <w:t>auspiciado</w:t>
      </w:r>
      <w:r>
        <w:rPr>
          <w:spacing w:val="-3"/>
        </w:rPr>
        <w:t xml:space="preserve"> </w:t>
      </w:r>
      <w:r>
        <w:t>por</w:t>
      </w:r>
      <w:r>
        <w:rPr>
          <w:spacing w:val="-3"/>
        </w:rPr>
        <w:t xml:space="preserve"> </w:t>
      </w:r>
      <w:r>
        <w:t>sectores</w:t>
      </w:r>
      <w:r>
        <w:rPr>
          <w:spacing w:val="-4"/>
        </w:rPr>
        <w:t xml:space="preserve"> </w:t>
      </w:r>
      <w:r>
        <w:t>de</w:t>
      </w:r>
      <w:r>
        <w:rPr>
          <w:spacing w:val="-4"/>
        </w:rPr>
        <w:t xml:space="preserve"> </w:t>
      </w:r>
      <w:r>
        <w:t>la</w:t>
      </w:r>
      <w:r>
        <w:rPr>
          <w:spacing w:val="-4"/>
        </w:rPr>
        <w:t xml:space="preserve"> </w:t>
      </w:r>
      <w:r>
        <w:t xml:space="preserve">fuerza pública y empresas como </w:t>
      </w:r>
      <w:proofErr w:type="spellStart"/>
      <w:r>
        <w:t>Uniban</w:t>
      </w:r>
      <w:proofErr w:type="spellEnd"/>
      <w:r w:rsidR="00C8296A">
        <w:rPr>
          <w:rStyle w:val="Refdenotaalpie"/>
        </w:rPr>
        <w:footnoteReference w:id="369"/>
      </w:r>
      <w:r>
        <w:t>, según testimonios entregados a la Comisión:</w:t>
      </w:r>
    </w:p>
    <w:p w:rsidR="003804AC" w:rsidRDefault="00AF18A5" w:rsidP="00C8296A">
      <w:r>
        <w:t>«[Klein]</w:t>
      </w:r>
      <w:r>
        <w:rPr>
          <w:spacing w:val="-6"/>
        </w:rPr>
        <w:t xml:space="preserve"> </w:t>
      </w:r>
      <w:r>
        <w:t>era</w:t>
      </w:r>
      <w:r>
        <w:rPr>
          <w:spacing w:val="-6"/>
        </w:rPr>
        <w:t xml:space="preserve"> </w:t>
      </w:r>
      <w:r>
        <w:t>quien</w:t>
      </w:r>
      <w:r>
        <w:rPr>
          <w:spacing w:val="-5"/>
        </w:rPr>
        <w:t xml:space="preserve"> </w:t>
      </w:r>
      <w:r>
        <w:t>los</w:t>
      </w:r>
      <w:r>
        <w:rPr>
          <w:spacing w:val="-5"/>
        </w:rPr>
        <w:t xml:space="preserve"> </w:t>
      </w:r>
      <w:r>
        <w:t>instruía</w:t>
      </w:r>
      <w:r>
        <w:rPr>
          <w:spacing w:val="-5"/>
        </w:rPr>
        <w:t xml:space="preserve"> </w:t>
      </w:r>
      <w:r>
        <w:t>y</w:t>
      </w:r>
      <w:r>
        <w:rPr>
          <w:spacing w:val="-5"/>
        </w:rPr>
        <w:t xml:space="preserve"> </w:t>
      </w:r>
      <w:r>
        <w:t>quien,</w:t>
      </w:r>
      <w:r>
        <w:rPr>
          <w:spacing w:val="-5"/>
        </w:rPr>
        <w:t xml:space="preserve"> </w:t>
      </w:r>
      <w:r>
        <w:t>más</w:t>
      </w:r>
      <w:r>
        <w:rPr>
          <w:spacing w:val="-5"/>
        </w:rPr>
        <w:t xml:space="preserve"> </w:t>
      </w:r>
      <w:r>
        <w:t>o</w:t>
      </w:r>
      <w:r>
        <w:rPr>
          <w:spacing w:val="-5"/>
        </w:rPr>
        <w:t xml:space="preserve"> </w:t>
      </w:r>
      <w:r>
        <w:t>menos,</w:t>
      </w:r>
      <w:r>
        <w:rPr>
          <w:spacing w:val="-5"/>
        </w:rPr>
        <w:t xml:space="preserve"> </w:t>
      </w:r>
      <w:r>
        <w:t>que</w:t>
      </w:r>
      <w:r>
        <w:rPr>
          <w:spacing w:val="-5"/>
        </w:rPr>
        <w:t xml:space="preserve"> </w:t>
      </w:r>
      <w:r>
        <w:t>tenían</w:t>
      </w:r>
      <w:r>
        <w:rPr>
          <w:spacing w:val="-5"/>
        </w:rPr>
        <w:t xml:space="preserve"> </w:t>
      </w:r>
      <w:r>
        <w:t>que</w:t>
      </w:r>
      <w:r>
        <w:rPr>
          <w:spacing w:val="-5"/>
        </w:rPr>
        <w:t xml:space="preserve"> </w:t>
      </w:r>
      <w:r>
        <w:t>hacer</w:t>
      </w:r>
      <w:r>
        <w:rPr>
          <w:spacing w:val="-6"/>
        </w:rPr>
        <w:t xml:space="preserve"> </w:t>
      </w:r>
      <w:r>
        <w:t>un</w:t>
      </w:r>
      <w:r>
        <w:rPr>
          <w:spacing w:val="-5"/>
        </w:rPr>
        <w:t xml:space="preserve"> </w:t>
      </w:r>
      <w:r>
        <w:t>curso</w:t>
      </w:r>
      <w:r>
        <w:rPr>
          <w:spacing w:val="-5"/>
        </w:rPr>
        <w:t xml:space="preserve"> </w:t>
      </w:r>
      <w:r>
        <w:t>y</w:t>
      </w:r>
      <w:r>
        <w:rPr>
          <w:spacing w:val="-5"/>
        </w:rPr>
        <w:t xml:space="preserve"> </w:t>
      </w:r>
      <w:r>
        <w:t xml:space="preserve">que se graduaban cuando podían matar y descuartizar un hombre en cinco minutos. Era algo terrible, para mí... Era algo terrible, algo que hería la sensibilidad de cualquier persona. Yo recuerdo que, para mí, fue devastador escuchar todo esto. Comentaba que, en el Magdalena Medio, los paramilitares tenían cárceles, porque allí juzgaban a la gente que ellos consideraban que estaban incurriendo en delitos y, si los condenaban, los condenaban a morirse al aire, a la intemperie, al </w:t>
      </w:r>
      <w:r>
        <w:lastRenderedPageBreak/>
        <w:t>sol y al agua. No les daban comida.</w:t>
      </w:r>
      <w:r w:rsidR="00C8296A">
        <w:rPr>
          <w:rStyle w:val="Refdenotaalpie"/>
        </w:rPr>
        <w:footnoteReference w:id="370"/>
      </w:r>
      <w:r w:rsidR="00C8296A">
        <w:t xml:space="preserve"> </w:t>
      </w:r>
    </w:p>
    <w:p w:rsidR="003804AC" w:rsidRDefault="00AF18A5" w:rsidP="00F747E5">
      <w:r>
        <w:t>Estos cursos tuvieron un papel importante en el horror venidero, pues capacitaron a un personal que cometió atentados con explosivos, con manejo libre de armas y la práctica de torturas y atrocidades. Se dieron a conocer en grandes masacres paramilitares en las fincas Honduras</w:t>
      </w:r>
      <w:r>
        <w:rPr>
          <w:spacing w:val="-10"/>
        </w:rPr>
        <w:t xml:space="preserve"> </w:t>
      </w:r>
      <w:r>
        <w:t>y</w:t>
      </w:r>
      <w:r>
        <w:rPr>
          <w:spacing w:val="-9"/>
        </w:rPr>
        <w:t xml:space="preserve"> </w:t>
      </w:r>
      <w:r>
        <w:t>La</w:t>
      </w:r>
      <w:r>
        <w:rPr>
          <w:spacing w:val="-10"/>
        </w:rPr>
        <w:t xml:space="preserve"> </w:t>
      </w:r>
      <w:r>
        <w:t>Negra,</w:t>
      </w:r>
      <w:r>
        <w:rPr>
          <w:spacing w:val="-10"/>
        </w:rPr>
        <w:t xml:space="preserve"> </w:t>
      </w:r>
      <w:r>
        <w:t>del</w:t>
      </w:r>
      <w:r>
        <w:rPr>
          <w:spacing w:val="-9"/>
        </w:rPr>
        <w:t xml:space="preserve"> </w:t>
      </w:r>
      <w:r>
        <w:t>corregimiento</w:t>
      </w:r>
      <w:r>
        <w:rPr>
          <w:spacing w:val="-10"/>
        </w:rPr>
        <w:t xml:space="preserve"> </w:t>
      </w:r>
      <w:r>
        <w:t>de</w:t>
      </w:r>
      <w:r>
        <w:rPr>
          <w:spacing w:val="-10"/>
        </w:rPr>
        <w:t xml:space="preserve"> </w:t>
      </w:r>
      <w:r>
        <w:t>Nueva</w:t>
      </w:r>
      <w:r>
        <w:rPr>
          <w:spacing w:val="-10"/>
        </w:rPr>
        <w:t xml:space="preserve"> </w:t>
      </w:r>
      <w:r>
        <w:t>Colonia,</w:t>
      </w:r>
      <w:r>
        <w:rPr>
          <w:spacing w:val="-10"/>
        </w:rPr>
        <w:t xml:space="preserve"> </w:t>
      </w:r>
      <w:r>
        <w:t>en</w:t>
      </w:r>
      <w:r>
        <w:rPr>
          <w:spacing w:val="-10"/>
        </w:rPr>
        <w:t xml:space="preserve"> </w:t>
      </w:r>
      <w:r>
        <w:t>el</w:t>
      </w:r>
      <w:r>
        <w:rPr>
          <w:spacing w:val="-9"/>
        </w:rPr>
        <w:t xml:space="preserve"> </w:t>
      </w:r>
      <w:r>
        <w:t>municipio</w:t>
      </w:r>
      <w:r>
        <w:rPr>
          <w:spacing w:val="-10"/>
        </w:rPr>
        <w:t xml:space="preserve"> </w:t>
      </w:r>
      <w:r>
        <w:t>de</w:t>
      </w:r>
      <w:r>
        <w:rPr>
          <w:spacing w:val="-10"/>
        </w:rPr>
        <w:t xml:space="preserve"> </w:t>
      </w:r>
      <w:r>
        <w:t>Turbo</w:t>
      </w:r>
      <w:r w:rsidR="00F747E5">
        <w:rPr>
          <w:rStyle w:val="Refdenotaalpie"/>
        </w:rPr>
        <w:footnoteReference w:id="371"/>
      </w:r>
      <w:r>
        <w:t>.</w:t>
      </w:r>
      <w:r>
        <w:rPr>
          <w:spacing w:val="-10"/>
        </w:rPr>
        <w:t xml:space="preserve"> </w:t>
      </w:r>
      <w:r>
        <w:t>Las escuelas de entrenamiento y los eventos de capacitación que se realizaron llegaron a ser tan notorios</w:t>
      </w:r>
      <w:r>
        <w:rPr>
          <w:spacing w:val="17"/>
        </w:rPr>
        <w:t xml:space="preserve"> </w:t>
      </w:r>
      <w:r>
        <w:t>que,</w:t>
      </w:r>
      <w:r>
        <w:rPr>
          <w:spacing w:val="19"/>
        </w:rPr>
        <w:t xml:space="preserve"> </w:t>
      </w:r>
      <w:r>
        <w:t>desde</w:t>
      </w:r>
      <w:r>
        <w:rPr>
          <w:spacing w:val="19"/>
        </w:rPr>
        <w:t xml:space="preserve"> </w:t>
      </w:r>
      <w:r>
        <w:t>el</w:t>
      </w:r>
      <w:r>
        <w:rPr>
          <w:spacing w:val="19"/>
        </w:rPr>
        <w:t xml:space="preserve"> </w:t>
      </w:r>
      <w:r>
        <w:t>Urabá,</w:t>
      </w:r>
      <w:r>
        <w:rPr>
          <w:spacing w:val="19"/>
        </w:rPr>
        <w:t xml:space="preserve"> </w:t>
      </w:r>
      <w:r>
        <w:t>enviaban</w:t>
      </w:r>
      <w:r>
        <w:rPr>
          <w:spacing w:val="19"/>
        </w:rPr>
        <w:t xml:space="preserve"> </w:t>
      </w:r>
      <w:r>
        <w:t>jóvenes</w:t>
      </w:r>
      <w:r>
        <w:rPr>
          <w:spacing w:val="17"/>
        </w:rPr>
        <w:t xml:space="preserve"> </w:t>
      </w:r>
      <w:r>
        <w:t>de</w:t>
      </w:r>
      <w:r>
        <w:rPr>
          <w:spacing w:val="19"/>
        </w:rPr>
        <w:t xml:space="preserve"> </w:t>
      </w:r>
      <w:r>
        <w:t>las</w:t>
      </w:r>
      <w:r>
        <w:rPr>
          <w:spacing w:val="18"/>
        </w:rPr>
        <w:t xml:space="preserve"> </w:t>
      </w:r>
      <w:r>
        <w:t>familias</w:t>
      </w:r>
      <w:r>
        <w:rPr>
          <w:spacing w:val="19"/>
        </w:rPr>
        <w:t xml:space="preserve"> </w:t>
      </w:r>
      <w:r>
        <w:t>de</w:t>
      </w:r>
      <w:r>
        <w:rPr>
          <w:spacing w:val="19"/>
        </w:rPr>
        <w:t xml:space="preserve"> </w:t>
      </w:r>
      <w:r>
        <w:t>empresarios</w:t>
      </w:r>
      <w:r>
        <w:rPr>
          <w:spacing w:val="18"/>
        </w:rPr>
        <w:t xml:space="preserve"> </w:t>
      </w:r>
      <w:r>
        <w:t>a</w:t>
      </w:r>
      <w:r>
        <w:rPr>
          <w:spacing w:val="19"/>
        </w:rPr>
        <w:t xml:space="preserve"> </w:t>
      </w:r>
      <w:r>
        <w:rPr>
          <w:spacing w:val="-2"/>
        </w:rPr>
        <w:t>«paseos»</w:t>
      </w:r>
      <w:bookmarkStart w:id="517" w:name="_bookmark419"/>
      <w:bookmarkStart w:id="518" w:name="_bookmark420"/>
      <w:bookmarkStart w:id="519" w:name="_bookmark421"/>
      <w:bookmarkEnd w:id="517"/>
      <w:bookmarkEnd w:id="518"/>
      <w:bookmarkEnd w:id="519"/>
      <w:r w:rsidR="00F747E5">
        <w:t xml:space="preserve"> </w:t>
      </w:r>
      <w:r>
        <w:t>para recorrerlas, entre los que estuvo Raúl Hasbún Mendoza, quien luego comandó estructuras de las AUC bajo el alias de ‘Pedro Bonito’</w:t>
      </w:r>
      <w:r w:rsidR="00F747E5">
        <w:rPr>
          <w:rStyle w:val="Refdenotaalpie"/>
        </w:rPr>
        <w:footnoteReference w:id="372"/>
      </w:r>
      <w:r>
        <w:t>.</w:t>
      </w:r>
    </w:p>
    <w:p w:rsidR="003804AC" w:rsidRDefault="00AF18A5" w:rsidP="00F747E5">
      <w:r>
        <w:t>En 1988 un informe del Departamento Administrativo de Seguridad (DAS) incriminó a diferentes autoridades con el paramilitarismo, lo cual –sumado a otros hechos como los magnicidios</w:t>
      </w:r>
      <w:r>
        <w:rPr>
          <w:spacing w:val="-7"/>
        </w:rPr>
        <w:t xml:space="preserve"> </w:t>
      </w:r>
      <w:r>
        <w:t>cometidos</w:t>
      </w:r>
      <w:r>
        <w:rPr>
          <w:spacing w:val="-6"/>
        </w:rPr>
        <w:t xml:space="preserve"> </w:t>
      </w:r>
      <w:r>
        <w:t>por</w:t>
      </w:r>
      <w:r>
        <w:rPr>
          <w:spacing w:val="-6"/>
        </w:rPr>
        <w:t xml:space="preserve"> </w:t>
      </w:r>
      <w:r>
        <w:t>grupos</w:t>
      </w:r>
      <w:r>
        <w:rPr>
          <w:spacing w:val="-6"/>
        </w:rPr>
        <w:t xml:space="preserve"> </w:t>
      </w:r>
      <w:r>
        <w:t>paramilitares</w:t>
      </w:r>
      <w:r>
        <w:rPr>
          <w:spacing w:val="-6"/>
        </w:rPr>
        <w:t xml:space="preserve"> </w:t>
      </w:r>
      <w:r>
        <w:t>y</w:t>
      </w:r>
      <w:r>
        <w:rPr>
          <w:spacing w:val="-6"/>
        </w:rPr>
        <w:t xml:space="preserve"> </w:t>
      </w:r>
      <w:r>
        <w:t>las</w:t>
      </w:r>
      <w:r>
        <w:rPr>
          <w:spacing w:val="-6"/>
        </w:rPr>
        <w:t xml:space="preserve"> </w:t>
      </w:r>
      <w:r>
        <w:t>masacres</w:t>
      </w:r>
      <w:r>
        <w:rPr>
          <w:spacing w:val="-6"/>
        </w:rPr>
        <w:t xml:space="preserve"> </w:t>
      </w:r>
      <w:r>
        <w:t>que</w:t>
      </w:r>
      <w:r>
        <w:rPr>
          <w:spacing w:val="-6"/>
        </w:rPr>
        <w:t xml:space="preserve"> </w:t>
      </w:r>
      <w:r>
        <w:t>salieron</w:t>
      </w:r>
      <w:r>
        <w:rPr>
          <w:spacing w:val="-6"/>
        </w:rPr>
        <w:t xml:space="preserve"> </w:t>
      </w:r>
      <w:r>
        <w:t>a</w:t>
      </w:r>
      <w:r>
        <w:rPr>
          <w:spacing w:val="-6"/>
        </w:rPr>
        <w:t xml:space="preserve"> </w:t>
      </w:r>
      <w:r>
        <w:t>la</w:t>
      </w:r>
      <w:r>
        <w:rPr>
          <w:spacing w:val="-6"/>
        </w:rPr>
        <w:t xml:space="preserve"> </w:t>
      </w:r>
      <w:r>
        <w:t>luz</w:t>
      </w:r>
      <w:r>
        <w:rPr>
          <w:spacing w:val="-6"/>
        </w:rPr>
        <w:t xml:space="preserve"> </w:t>
      </w:r>
      <w:r>
        <w:t>pública, como</w:t>
      </w:r>
      <w:r>
        <w:rPr>
          <w:spacing w:val="-6"/>
        </w:rPr>
        <w:t xml:space="preserve"> </w:t>
      </w:r>
      <w:r>
        <w:t>la</w:t>
      </w:r>
      <w:r>
        <w:rPr>
          <w:spacing w:val="-6"/>
        </w:rPr>
        <w:t xml:space="preserve"> </w:t>
      </w:r>
      <w:r>
        <w:t>de</w:t>
      </w:r>
      <w:r>
        <w:rPr>
          <w:spacing w:val="-7"/>
        </w:rPr>
        <w:t xml:space="preserve"> </w:t>
      </w:r>
      <w:r>
        <w:t>La</w:t>
      </w:r>
      <w:r>
        <w:rPr>
          <w:spacing w:val="-6"/>
        </w:rPr>
        <w:t xml:space="preserve"> </w:t>
      </w:r>
      <w:r>
        <w:lastRenderedPageBreak/>
        <w:t>Rochela–</w:t>
      </w:r>
      <w:r>
        <w:rPr>
          <w:spacing w:val="-7"/>
        </w:rPr>
        <w:t xml:space="preserve"> </w:t>
      </w:r>
      <w:r>
        <w:t>desembocó</w:t>
      </w:r>
      <w:r>
        <w:rPr>
          <w:spacing w:val="-7"/>
        </w:rPr>
        <w:t xml:space="preserve"> </w:t>
      </w:r>
      <w:r>
        <w:t>posteriormente</w:t>
      </w:r>
      <w:r>
        <w:rPr>
          <w:spacing w:val="-6"/>
        </w:rPr>
        <w:t xml:space="preserve"> </w:t>
      </w:r>
      <w:r>
        <w:t>en</w:t>
      </w:r>
      <w:r>
        <w:rPr>
          <w:spacing w:val="-6"/>
        </w:rPr>
        <w:t xml:space="preserve"> </w:t>
      </w:r>
      <w:r>
        <w:t>la</w:t>
      </w:r>
      <w:r>
        <w:rPr>
          <w:spacing w:val="-6"/>
        </w:rPr>
        <w:t xml:space="preserve"> </w:t>
      </w:r>
      <w:r>
        <w:t>ilegalización</w:t>
      </w:r>
      <w:r>
        <w:rPr>
          <w:spacing w:val="-6"/>
        </w:rPr>
        <w:t xml:space="preserve"> </w:t>
      </w:r>
      <w:r>
        <w:t>del</w:t>
      </w:r>
      <w:r>
        <w:rPr>
          <w:spacing w:val="-7"/>
        </w:rPr>
        <w:t xml:space="preserve"> </w:t>
      </w:r>
      <w:r>
        <w:t>paramilitarismo</w:t>
      </w:r>
      <w:r>
        <w:rPr>
          <w:spacing w:val="-5"/>
        </w:rPr>
        <w:t xml:space="preserve"> </w:t>
      </w:r>
      <w:r>
        <w:t>a través del Decreto 815 de 1989. Según ese informe:</w:t>
      </w:r>
    </w:p>
    <w:p w:rsidR="003804AC" w:rsidRDefault="00AF18A5" w:rsidP="00F747E5">
      <w:r>
        <w:t xml:space="preserve">Algunas autoridades con jurisdicción en el Magdalena Medio colaboran con </w:t>
      </w:r>
      <w:proofErr w:type="spellStart"/>
      <w:r>
        <w:t>Acdegam</w:t>
      </w:r>
      <w:proofErr w:type="spellEnd"/>
      <w:r>
        <w:t>, destacándose las siguientes: 1) Procurador Regional de Honda (Tolima). 2) Comandante y Subcomandante de la Base Militar de Puerto Calderón. 3) Comandante de la Policía en La Dorada (Caldas). 4) Comandante de la Policía en Puerto Boyacá (Boyacá). 5) Luis Rubio, Alcalde</w:t>
      </w:r>
      <w:r>
        <w:rPr>
          <w:spacing w:val="-9"/>
        </w:rPr>
        <w:t xml:space="preserve"> </w:t>
      </w:r>
      <w:r>
        <w:t>de</w:t>
      </w:r>
      <w:r>
        <w:rPr>
          <w:spacing w:val="-9"/>
        </w:rPr>
        <w:t xml:space="preserve"> </w:t>
      </w:r>
      <w:r>
        <w:t>Puerto</w:t>
      </w:r>
      <w:r>
        <w:rPr>
          <w:spacing w:val="-9"/>
        </w:rPr>
        <w:t xml:space="preserve"> </w:t>
      </w:r>
      <w:r>
        <w:t>Boyacá</w:t>
      </w:r>
      <w:r>
        <w:rPr>
          <w:spacing w:val="-9"/>
        </w:rPr>
        <w:t xml:space="preserve"> </w:t>
      </w:r>
      <w:r>
        <w:t>(Boyacá),</w:t>
      </w:r>
      <w:r>
        <w:rPr>
          <w:spacing w:val="-9"/>
        </w:rPr>
        <w:t xml:space="preserve"> </w:t>
      </w:r>
      <w:r>
        <w:t>de</w:t>
      </w:r>
      <w:r>
        <w:rPr>
          <w:spacing w:val="-9"/>
        </w:rPr>
        <w:t xml:space="preserve"> </w:t>
      </w:r>
      <w:r>
        <w:t>quien</w:t>
      </w:r>
      <w:r>
        <w:rPr>
          <w:spacing w:val="-9"/>
        </w:rPr>
        <w:t xml:space="preserve"> </w:t>
      </w:r>
      <w:r>
        <w:t>se</w:t>
      </w:r>
      <w:r>
        <w:rPr>
          <w:spacing w:val="-10"/>
        </w:rPr>
        <w:t xml:space="preserve"> </w:t>
      </w:r>
      <w:r>
        <w:t>dice,</w:t>
      </w:r>
      <w:r>
        <w:rPr>
          <w:spacing w:val="-9"/>
        </w:rPr>
        <w:t xml:space="preserve"> </w:t>
      </w:r>
      <w:r>
        <w:t>recibe</w:t>
      </w:r>
      <w:r>
        <w:rPr>
          <w:spacing w:val="-9"/>
        </w:rPr>
        <w:t xml:space="preserve"> </w:t>
      </w:r>
      <w:r>
        <w:t>la</w:t>
      </w:r>
      <w:r>
        <w:rPr>
          <w:spacing w:val="-9"/>
        </w:rPr>
        <w:t xml:space="preserve"> </w:t>
      </w:r>
      <w:r>
        <w:t>suma</w:t>
      </w:r>
      <w:r>
        <w:rPr>
          <w:spacing w:val="-8"/>
        </w:rPr>
        <w:t xml:space="preserve"> </w:t>
      </w:r>
      <w:r>
        <w:t>de</w:t>
      </w:r>
      <w:r>
        <w:rPr>
          <w:spacing w:val="-9"/>
        </w:rPr>
        <w:t xml:space="preserve"> </w:t>
      </w:r>
      <w:r>
        <w:t>$2</w:t>
      </w:r>
      <w:r>
        <w:rPr>
          <w:spacing w:val="-9"/>
        </w:rPr>
        <w:t xml:space="preserve"> </w:t>
      </w:r>
      <w:r>
        <w:t>millones</w:t>
      </w:r>
      <w:r>
        <w:rPr>
          <w:spacing w:val="-9"/>
        </w:rPr>
        <w:t xml:space="preserve"> </w:t>
      </w:r>
      <w:r>
        <w:t>mensuales de los narcotraficantes</w:t>
      </w:r>
      <w:r w:rsidR="00F747E5">
        <w:rPr>
          <w:rStyle w:val="Refdenotaalpie"/>
        </w:rPr>
        <w:footnoteReference w:id="373"/>
      </w:r>
      <w:r>
        <w:t>.</w:t>
      </w:r>
    </w:p>
    <w:p w:rsidR="003804AC" w:rsidRDefault="00AF18A5" w:rsidP="00F747E5">
      <w:r>
        <w:t>Pero</w:t>
      </w:r>
      <w:r>
        <w:rPr>
          <w:spacing w:val="-15"/>
        </w:rPr>
        <w:t xml:space="preserve"> </w:t>
      </w:r>
      <w:r>
        <w:t>en</w:t>
      </w:r>
      <w:r>
        <w:rPr>
          <w:spacing w:val="-15"/>
        </w:rPr>
        <w:t xml:space="preserve"> </w:t>
      </w:r>
      <w:r>
        <w:t>el</w:t>
      </w:r>
      <w:r>
        <w:rPr>
          <w:spacing w:val="-15"/>
        </w:rPr>
        <w:t xml:space="preserve"> </w:t>
      </w:r>
      <w:r>
        <w:t>periodo</w:t>
      </w:r>
      <w:r>
        <w:rPr>
          <w:spacing w:val="-15"/>
        </w:rPr>
        <w:t xml:space="preserve"> </w:t>
      </w:r>
      <w:r>
        <w:t>de</w:t>
      </w:r>
      <w:r>
        <w:rPr>
          <w:spacing w:val="-15"/>
        </w:rPr>
        <w:t xml:space="preserve"> </w:t>
      </w:r>
      <w:r>
        <w:t>1991-1994,</w:t>
      </w:r>
      <w:r>
        <w:rPr>
          <w:spacing w:val="-15"/>
        </w:rPr>
        <w:t xml:space="preserve"> </w:t>
      </w:r>
      <w:r>
        <w:t>a</w:t>
      </w:r>
      <w:r>
        <w:rPr>
          <w:spacing w:val="-15"/>
        </w:rPr>
        <w:t xml:space="preserve"> </w:t>
      </w:r>
      <w:r>
        <w:t>pesar</w:t>
      </w:r>
      <w:r>
        <w:rPr>
          <w:spacing w:val="-15"/>
        </w:rPr>
        <w:t xml:space="preserve"> </w:t>
      </w:r>
      <w:r>
        <w:t>de</w:t>
      </w:r>
      <w:r>
        <w:rPr>
          <w:spacing w:val="-15"/>
        </w:rPr>
        <w:t xml:space="preserve"> </w:t>
      </w:r>
      <w:r>
        <w:t>la</w:t>
      </w:r>
      <w:r>
        <w:rPr>
          <w:spacing w:val="-15"/>
        </w:rPr>
        <w:t xml:space="preserve"> </w:t>
      </w:r>
      <w:r>
        <w:t>desmovilización</w:t>
      </w:r>
      <w:r>
        <w:rPr>
          <w:spacing w:val="-15"/>
        </w:rPr>
        <w:t xml:space="preserve"> </w:t>
      </w:r>
      <w:r>
        <w:t>de</w:t>
      </w:r>
      <w:r>
        <w:rPr>
          <w:spacing w:val="-15"/>
        </w:rPr>
        <w:t xml:space="preserve"> </w:t>
      </w:r>
      <w:r>
        <w:t>las</w:t>
      </w:r>
      <w:r>
        <w:rPr>
          <w:spacing w:val="-15"/>
        </w:rPr>
        <w:t xml:space="preserve"> </w:t>
      </w:r>
      <w:r>
        <w:t>Autodefensas</w:t>
      </w:r>
      <w:r>
        <w:rPr>
          <w:spacing w:val="-15"/>
        </w:rPr>
        <w:t xml:space="preserve"> </w:t>
      </w:r>
      <w:r>
        <w:t>de</w:t>
      </w:r>
      <w:r>
        <w:rPr>
          <w:spacing w:val="-15"/>
        </w:rPr>
        <w:t xml:space="preserve"> </w:t>
      </w:r>
      <w:r>
        <w:t>Puerto Boyacá</w:t>
      </w:r>
      <w:r>
        <w:rPr>
          <w:spacing w:val="-3"/>
        </w:rPr>
        <w:t xml:space="preserve"> </w:t>
      </w:r>
      <w:r>
        <w:t>en</w:t>
      </w:r>
      <w:r>
        <w:rPr>
          <w:spacing w:val="-3"/>
        </w:rPr>
        <w:t xml:space="preserve"> </w:t>
      </w:r>
      <w:r>
        <w:t>1991,</w:t>
      </w:r>
      <w:r>
        <w:rPr>
          <w:spacing w:val="-3"/>
        </w:rPr>
        <w:t xml:space="preserve"> </w:t>
      </w:r>
      <w:r>
        <w:t>el</w:t>
      </w:r>
      <w:r>
        <w:rPr>
          <w:spacing w:val="-3"/>
        </w:rPr>
        <w:t xml:space="preserve"> </w:t>
      </w:r>
      <w:r>
        <w:t>paramilitarismo</w:t>
      </w:r>
      <w:r>
        <w:rPr>
          <w:spacing w:val="-4"/>
        </w:rPr>
        <w:t xml:space="preserve"> </w:t>
      </w:r>
      <w:r>
        <w:t>entró</w:t>
      </w:r>
      <w:r>
        <w:rPr>
          <w:spacing w:val="-4"/>
        </w:rPr>
        <w:t xml:space="preserve"> </w:t>
      </w:r>
      <w:r>
        <w:t>en</w:t>
      </w:r>
      <w:r>
        <w:rPr>
          <w:spacing w:val="-3"/>
        </w:rPr>
        <w:t xml:space="preserve"> </w:t>
      </w:r>
      <w:r>
        <w:t>una</w:t>
      </w:r>
      <w:r>
        <w:rPr>
          <w:spacing w:val="-4"/>
        </w:rPr>
        <w:t xml:space="preserve"> </w:t>
      </w:r>
      <w:r>
        <w:t>dinámica</w:t>
      </w:r>
      <w:r>
        <w:rPr>
          <w:spacing w:val="-4"/>
        </w:rPr>
        <w:t xml:space="preserve"> </w:t>
      </w:r>
      <w:r>
        <w:t>de</w:t>
      </w:r>
      <w:r>
        <w:rPr>
          <w:spacing w:val="-4"/>
        </w:rPr>
        <w:t xml:space="preserve"> </w:t>
      </w:r>
      <w:r>
        <w:t>crecimiento</w:t>
      </w:r>
      <w:r>
        <w:rPr>
          <w:spacing w:val="-4"/>
        </w:rPr>
        <w:t xml:space="preserve"> </w:t>
      </w:r>
      <w:r>
        <w:t>que</w:t>
      </w:r>
      <w:r>
        <w:rPr>
          <w:spacing w:val="-3"/>
        </w:rPr>
        <w:t xml:space="preserve"> </w:t>
      </w:r>
      <w:r>
        <w:t>llegó</w:t>
      </w:r>
      <w:r>
        <w:rPr>
          <w:spacing w:val="-4"/>
        </w:rPr>
        <w:t xml:space="preserve"> </w:t>
      </w:r>
      <w:r>
        <w:t>a</w:t>
      </w:r>
      <w:r>
        <w:rPr>
          <w:spacing w:val="-4"/>
        </w:rPr>
        <w:t xml:space="preserve"> </w:t>
      </w:r>
      <w:r>
        <w:t>escala nacional</w:t>
      </w:r>
      <w:r>
        <w:rPr>
          <w:spacing w:val="-10"/>
        </w:rPr>
        <w:t xml:space="preserve"> </w:t>
      </w:r>
      <w:r>
        <w:t>en</w:t>
      </w:r>
      <w:r>
        <w:rPr>
          <w:spacing w:val="-11"/>
        </w:rPr>
        <w:t xml:space="preserve"> </w:t>
      </w:r>
      <w:r>
        <w:t>una</w:t>
      </w:r>
      <w:r>
        <w:rPr>
          <w:spacing w:val="-11"/>
        </w:rPr>
        <w:t xml:space="preserve"> </w:t>
      </w:r>
      <w:r>
        <w:t>vorágine</w:t>
      </w:r>
      <w:r>
        <w:rPr>
          <w:spacing w:val="-11"/>
        </w:rPr>
        <w:t xml:space="preserve"> </w:t>
      </w:r>
      <w:r>
        <w:t>de</w:t>
      </w:r>
      <w:r>
        <w:rPr>
          <w:spacing w:val="-11"/>
        </w:rPr>
        <w:t xml:space="preserve"> </w:t>
      </w:r>
      <w:r>
        <w:t>violencia</w:t>
      </w:r>
      <w:r>
        <w:rPr>
          <w:spacing w:val="-11"/>
        </w:rPr>
        <w:t xml:space="preserve"> </w:t>
      </w:r>
      <w:r>
        <w:t>que</w:t>
      </w:r>
      <w:r>
        <w:rPr>
          <w:spacing w:val="-11"/>
        </w:rPr>
        <w:t xml:space="preserve"> </w:t>
      </w:r>
      <w:r>
        <w:t>usó</w:t>
      </w:r>
      <w:r>
        <w:rPr>
          <w:spacing w:val="-11"/>
        </w:rPr>
        <w:t xml:space="preserve"> </w:t>
      </w:r>
      <w:r>
        <w:t>el</w:t>
      </w:r>
      <w:r>
        <w:rPr>
          <w:spacing w:val="-9"/>
        </w:rPr>
        <w:t xml:space="preserve"> </w:t>
      </w:r>
      <w:r>
        <w:t>terror</w:t>
      </w:r>
      <w:r>
        <w:rPr>
          <w:spacing w:val="-10"/>
        </w:rPr>
        <w:t xml:space="preserve"> </w:t>
      </w:r>
      <w:r>
        <w:t>a</w:t>
      </w:r>
      <w:r>
        <w:rPr>
          <w:spacing w:val="-11"/>
        </w:rPr>
        <w:t xml:space="preserve"> </w:t>
      </w:r>
      <w:r>
        <w:t>gran</w:t>
      </w:r>
      <w:r>
        <w:rPr>
          <w:spacing w:val="-11"/>
        </w:rPr>
        <w:t xml:space="preserve"> </w:t>
      </w:r>
      <w:r>
        <w:t>escala.</w:t>
      </w:r>
      <w:r>
        <w:rPr>
          <w:spacing w:val="-11"/>
        </w:rPr>
        <w:t xml:space="preserve"> </w:t>
      </w:r>
      <w:r>
        <w:t>Esto</w:t>
      </w:r>
      <w:r>
        <w:rPr>
          <w:spacing w:val="-11"/>
        </w:rPr>
        <w:t xml:space="preserve"> </w:t>
      </w:r>
      <w:r>
        <w:t>fue</w:t>
      </w:r>
      <w:r>
        <w:rPr>
          <w:spacing w:val="-11"/>
        </w:rPr>
        <w:t xml:space="preserve"> </w:t>
      </w:r>
      <w:r>
        <w:t>posible</w:t>
      </w:r>
      <w:r>
        <w:rPr>
          <w:spacing w:val="-11"/>
        </w:rPr>
        <w:t xml:space="preserve"> </w:t>
      </w:r>
      <w:r>
        <w:t>gracias a</w:t>
      </w:r>
      <w:r>
        <w:rPr>
          <w:spacing w:val="-8"/>
        </w:rPr>
        <w:t xml:space="preserve"> </w:t>
      </w:r>
      <w:r>
        <w:t>que</w:t>
      </w:r>
      <w:r>
        <w:rPr>
          <w:spacing w:val="-8"/>
        </w:rPr>
        <w:t xml:space="preserve"> </w:t>
      </w:r>
      <w:r>
        <w:t>la</w:t>
      </w:r>
      <w:r>
        <w:rPr>
          <w:spacing w:val="-8"/>
        </w:rPr>
        <w:t xml:space="preserve"> </w:t>
      </w:r>
      <w:r>
        <w:t>experiencia</w:t>
      </w:r>
      <w:r>
        <w:rPr>
          <w:spacing w:val="-8"/>
        </w:rPr>
        <w:t xml:space="preserve"> </w:t>
      </w:r>
      <w:r>
        <w:t>de</w:t>
      </w:r>
      <w:r>
        <w:rPr>
          <w:spacing w:val="-8"/>
        </w:rPr>
        <w:t xml:space="preserve"> </w:t>
      </w:r>
      <w:r>
        <w:t>Puerto</w:t>
      </w:r>
      <w:r>
        <w:rPr>
          <w:spacing w:val="-8"/>
        </w:rPr>
        <w:t xml:space="preserve"> </w:t>
      </w:r>
      <w:r>
        <w:t>Boyacá</w:t>
      </w:r>
      <w:r>
        <w:rPr>
          <w:spacing w:val="-8"/>
        </w:rPr>
        <w:t xml:space="preserve"> </w:t>
      </w:r>
      <w:r>
        <w:t>creció</w:t>
      </w:r>
      <w:r>
        <w:rPr>
          <w:spacing w:val="-8"/>
        </w:rPr>
        <w:t xml:space="preserve"> </w:t>
      </w:r>
      <w:r>
        <w:t>y</w:t>
      </w:r>
      <w:r>
        <w:rPr>
          <w:spacing w:val="-8"/>
        </w:rPr>
        <w:t xml:space="preserve"> </w:t>
      </w:r>
      <w:r>
        <w:t>marcó</w:t>
      </w:r>
      <w:r>
        <w:rPr>
          <w:spacing w:val="-8"/>
        </w:rPr>
        <w:t xml:space="preserve"> </w:t>
      </w:r>
      <w:r>
        <w:t>un</w:t>
      </w:r>
      <w:r>
        <w:rPr>
          <w:spacing w:val="-8"/>
        </w:rPr>
        <w:t xml:space="preserve"> </w:t>
      </w:r>
      <w:r>
        <w:t>modelo</w:t>
      </w:r>
      <w:r>
        <w:rPr>
          <w:spacing w:val="-8"/>
        </w:rPr>
        <w:t xml:space="preserve"> </w:t>
      </w:r>
      <w:r>
        <w:t>replicable</w:t>
      </w:r>
      <w:r>
        <w:rPr>
          <w:spacing w:val="-8"/>
        </w:rPr>
        <w:t xml:space="preserve"> </w:t>
      </w:r>
      <w:r>
        <w:t>en</w:t>
      </w:r>
      <w:r>
        <w:rPr>
          <w:spacing w:val="-8"/>
        </w:rPr>
        <w:t xml:space="preserve"> </w:t>
      </w:r>
      <w:r>
        <w:t>otras</w:t>
      </w:r>
      <w:r>
        <w:rPr>
          <w:spacing w:val="-8"/>
        </w:rPr>
        <w:t xml:space="preserve"> </w:t>
      </w:r>
      <w:r>
        <w:t>regiones del país, construyendo sus escuelas de entrenamiento y enviando avanzadas paramilitares a diferentes territorios, que terminaron influyendo en la conformación de grupos locales o el entrenamiento</w:t>
      </w:r>
      <w:r>
        <w:rPr>
          <w:spacing w:val="-12"/>
        </w:rPr>
        <w:t xml:space="preserve"> </w:t>
      </w:r>
      <w:r>
        <w:t>de</w:t>
      </w:r>
      <w:r>
        <w:rPr>
          <w:spacing w:val="-12"/>
        </w:rPr>
        <w:t xml:space="preserve"> </w:t>
      </w:r>
      <w:r>
        <w:t>los</w:t>
      </w:r>
      <w:r>
        <w:rPr>
          <w:spacing w:val="-12"/>
        </w:rPr>
        <w:t xml:space="preserve"> </w:t>
      </w:r>
      <w:r>
        <w:t>existentes,</w:t>
      </w:r>
      <w:r>
        <w:rPr>
          <w:spacing w:val="-12"/>
        </w:rPr>
        <w:t xml:space="preserve"> </w:t>
      </w:r>
      <w:r>
        <w:t>en</w:t>
      </w:r>
      <w:r>
        <w:rPr>
          <w:spacing w:val="-12"/>
        </w:rPr>
        <w:t xml:space="preserve"> </w:t>
      </w:r>
      <w:r>
        <w:t>un</w:t>
      </w:r>
      <w:r>
        <w:rPr>
          <w:spacing w:val="-12"/>
        </w:rPr>
        <w:t xml:space="preserve"> </w:t>
      </w:r>
      <w:r>
        <w:t>crecimiento</w:t>
      </w:r>
      <w:r>
        <w:rPr>
          <w:spacing w:val="-12"/>
        </w:rPr>
        <w:t xml:space="preserve"> </w:t>
      </w:r>
      <w:r>
        <w:t>paralelo</w:t>
      </w:r>
      <w:r>
        <w:rPr>
          <w:spacing w:val="-12"/>
        </w:rPr>
        <w:t xml:space="preserve"> </w:t>
      </w:r>
      <w:r>
        <w:t>al</w:t>
      </w:r>
      <w:r>
        <w:rPr>
          <w:spacing w:val="-13"/>
        </w:rPr>
        <w:t xml:space="preserve"> </w:t>
      </w:r>
      <w:r>
        <w:t>de</w:t>
      </w:r>
      <w:r>
        <w:rPr>
          <w:spacing w:val="-12"/>
        </w:rPr>
        <w:t xml:space="preserve"> </w:t>
      </w:r>
      <w:r>
        <w:t>las</w:t>
      </w:r>
      <w:r>
        <w:rPr>
          <w:spacing w:val="-12"/>
        </w:rPr>
        <w:t xml:space="preserve"> </w:t>
      </w:r>
      <w:r>
        <w:t>FARC-EP</w:t>
      </w:r>
      <w:r>
        <w:rPr>
          <w:spacing w:val="-12"/>
        </w:rPr>
        <w:t xml:space="preserve"> </w:t>
      </w:r>
      <w:r>
        <w:t>y</w:t>
      </w:r>
      <w:r>
        <w:rPr>
          <w:spacing w:val="-12"/>
        </w:rPr>
        <w:t xml:space="preserve"> </w:t>
      </w:r>
      <w:r>
        <w:t>el</w:t>
      </w:r>
      <w:r>
        <w:rPr>
          <w:spacing w:val="-12"/>
        </w:rPr>
        <w:t xml:space="preserve"> </w:t>
      </w:r>
      <w:r>
        <w:t>ELN.</w:t>
      </w:r>
      <w:r>
        <w:rPr>
          <w:spacing w:val="-12"/>
        </w:rPr>
        <w:t xml:space="preserve"> </w:t>
      </w:r>
      <w:r>
        <w:t>Esa desmovilización de las</w:t>
      </w:r>
      <w:r>
        <w:rPr>
          <w:spacing w:val="-1"/>
        </w:rPr>
        <w:t xml:space="preserve"> </w:t>
      </w:r>
      <w:r>
        <w:t>Autodefensas de Puerto Boyacá en 1991, sumado al desarme</w:t>
      </w:r>
      <w:r>
        <w:rPr>
          <w:spacing w:val="-1"/>
        </w:rPr>
        <w:t xml:space="preserve"> </w:t>
      </w:r>
      <w:r>
        <w:t>parcial del grupo Los Tangueros, del narcotraficante y posterior líder paramilitar Fidel Castaño, fueron leídos por algunos sectores como una solución al fenómeno del paramilitarismo y como un triunfo en la desactivación de estas estructuras.</w:t>
      </w:r>
    </w:p>
    <w:p w:rsidR="003804AC" w:rsidRDefault="00AF18A5" w:rsidP="00F747E5">
      <w:r>
        <w:t xml:space="preserve">Sin embargo, entre 1989 y 1994 ya se estaban consolidando otros </w:t>
      </w:r>
      <w:r>
        <w:lastRenderedPageBreak/>
        <w:t>grupos paramilitares. Es</w:t>
      </w:r>
      <w:r>
        <w:rPr>
          <w:spacing w:val="19"/>
        </w:rPr>
        <w:t xml:space="preserve"> </w:t>
      </w:r>
      <w:r>
        <w:t>el</w:t>
      </w:r>
      <w:r>
        <w:rPr>
          <w:spacing w:val="20"/>
        </w:rPr>
        <w:t xml:space="preserve"> </w:t>
      </w:r>
      <w:r>
        <w:t>caso</w:t>
      </w:r>
      <w:r>
        <w:rPr>
          <w:spacing w:val="19"/>
        </w:rPr>
        <w:t xml:space="preserve"> </w:t>
      </w:r>
      <w:r>
        <w:t>de</w:t>
      </w:r>
      <w:r>
        <w:rPr>
          <w:spacing w:val="20"/>
        </w:rPr>
        <w:t xml:space="preserve"> </w:t>
      </w:r>
      <w:r>
        <w:t>la</w:t>
      </w:r>
      <w:r>
        <w:rPr>
          <w:spacing w:val="20"/>
        </w:rPr>
        <w:t xml:space="preserve"> </w:t>
      </w:r>
      <w:r>
        <w:t>aparición</w:t>
      </w:r>
      <w:r>
        <w:rPr>
          <w:spacing w:val="19"/>
        </w:rPr>
        <w:t xml:space="preserve"> </w:t>
      </w:r>
      <w:r>
        <w:t>de</w:t>
      </w:r>
      <w:r>
        <w:rPr>
          <w:spacing w:val="20"/>
        </w:rPr>
        <w:t xml:space="preserve"> </w:t>
      </w:r>
      <w:r>
        <w:t>Los</w:t>
      </w:r>
      <w:r>
        <w:rPr>
          <w:spacing w:val="20"/>
        </w:rPr>
        <w:t xml:space="preserve"> </w:t>
      </w:r>
      <w:proofErr w:type="spellStart"/>
      <w:r>
        <w:t>Carranceros</w:t>
      </w:r>
      <w:proofErr w:type="spellEnd"/>
      <w:r>
        <w:rPr>
          <w:spacing w:val="19"/>
        </w:rPr>
        <w:t xml:space="preserve"> </w:t>
      </w:r>
      <w:r>
        <w:t>y</w:t>
      </w:r>
      <w:r>
        <w:rPr>
          <w:spacing w:val="20"/>
        </w:rPr>
        <w:t xml:space="preserve"> </w:t>
      </w:r>
      <w:r>
        <w:t>de</w:t>
      </w:r>
      <w:r>
        <w:rPr>
          <w:spacing w:val="19"/>
        </w:rPr>
        <w:t xml:space="preserve"> </w:t>
      </w:r>
      <w:r>
        <w:t>los</w:t>
      </w:r>
      <w:r>
        <w:rPr>
          <w:spacing w:val="20"/>
        </w:rPr>
        <w:t xml:space="preserve"> </w:t>
      </w:r>
      <w:r>
        <w:t>grupos</w:t>
      </w:r>
      <w:r>
        <w:rPr>
          <w:spacing w:val="20"/>
        </w:rPr>
        <w:t xml:space="preserve"> </w:t>
      </w:r>
      <w:r>
        <w:t>previos</w:t>
      </w:r>
      <w:r>
        <w:rPr>
          <w:spacing w:val="19"/>
        </w:rPr>
        <w:t xml:space="preserve"> </w:t>
      </w:r>
      <w:r>
        <w:t>a</w:t>
      </w:r>
      <w:r>
        <w:rPr>
          <w:spacing w:val="19"/>
        </w:rPr>
        <w:t xml:space="preserve"> </w:t>
      </w:r>
      <w:r>
        <w:t>las</w:t>
      </w:r>
      <w:r>
        <w:rPr>
          <w:spacing w:val="20"/>
        </w:rPr>
        <w:t xml:space="preserve"> </w:t>
      </w:r>
      <w:r>
        <w:rPr>
          <w:spacing w:val="-2"/>
        </w:rPr>
        <w:t>Autodefensas</w:t>
      </w:r>
      <w:bookmarkStart w:id="520" w:name="_bookmark422"/>
      <w:bookmarkStart w:id="521" w:name="_bookmark423"/>
      <w:bookmarkEnd w:id="520"/>
      <w:bookmarkEnd w:id="521"/>
      <w:r w:rsidR="00F747E5">
        <w:rPr>
          <w:spacing w:val="-2"/>
        </w:rPr>
        <w:t xml:space="preserve"> </w:t>
      </w:r>
      <w:r>
        <w:t>Campesinas de Meta y Vichada (ACMV), creados en sinergia entre mandos medios de las Autodefensas de Puerto Boyacá y los intereses, hombres y capital de Víctor Carranza, importante</w:t>
      </w:r>
      <w:r>
        <w:rPr>
          <w:spacing w:val="-5"/>
        </w:rPr>
        <w:t xml:space="preserve"> </w:t>
      </w:r>
      <w:r>
        <w:t>esmeraldero</w:t>
      </w:r>
      <w:r>
        <w:rPr>
          <w:spacing w:val="-6"/>
        </w:rPr>
        <w:t xml:space="preserve"> </w:t>
      </w:r>
      <w:r>
        <w:t>con</w:t>
      </w:r>
      <w:r>
        <w:rPr>
          <w:spacing w:val="-5"/>
        </w:rPr>
        <w:t xml:space="preserve"> </w:t>
      </w:r>
      <w:r>
        <w:t>negocios</w:t>
      </w:r>
      <w:r>
        <w:rPr>
          <w:spacing w:val="-5"/>
        </w:rPr>
        <w:t xml:space="preserve"> </w:t>
      </w:r>
      <w:r>
        <w:t>en</w:t>
      </w:r>
      <w:r>
        <w:rPr>
          <w:spacing w:val="-6"/>
        </w:rPr>
        <w:t xml:space="preserve"> </w:t>
      </w:r>
      <w:r>
        <w:t>el</w:t>
      </w:r>
      <w:r>
        <w:rPr>
          <w:spacing w:val="-4"/>
        </w:rPr>
        <w:t xml:space="preserve"> </w:t>
      </w:r>
      <w:r>
        <w:t>narcotráfico</w:t>
      </w:r>
      <w:r w:rsidR="00970CFD">
        <w:rPr>
          <w:rStyle w:val="Refdenotaalpie"/>
        </w:rPr>
        <w:footnoteReference w:id="374"/>
      </w:r>
      <w:r>
        <w:t>.</w:t>
      </w:r>
      <w:r>
        <w:rPr>
          <w:spacing w:val="-5"/>
        </w:rPr>
        <w:t xml:space="preserve"> </w:t>
      </w:r>
      <w:r>
        <w:t>Así,</w:t>
      </w:r>
      <w:r>
        <w:rPr>
          <w:spacing w:val="-6"/>
        </w:rPr>
        <w:t xml:space="preserve"> </w:t>
      </w:r>
      <w:r>
        <w:t>mientras</w:t>
      </w:r>
      <w:r>
        <w:rPr>
          <w:spacing w:val="-6"/>
        </w:rPr>
        <w:t xml:space="preserve"> </w:t>
      </w:r>
      <w:r>
        <w:t>el</w:t>
      </w:r>
      <w:r>
        <w:rPr>
          <w:spacing w:val="-7"/>
        </w:rPr>
        <w:t xml:space="preserve"> </w:t>
      </w:r>
      <w:r>
        <w:t>país</w:t>
      </w:r>
      <w:r>
        <w:rPr>
          <w:spacing w:val="-6"/>
        </w:rPr>
        <w:t xml:space="preserve"> </w:t>
      </w:r>
      <w:r>
        <w:t>celebraba</w:t>
      </w:r>
      <w:r>
        <w:rPr>
          <w:spacing w:val="-5"/>
        </w:rPr>
        <w:t xml:space="preserve"> </w:t>
      </w:r>
      <w:r>
        <w:t>el triunfo de la Constituyente de 1991, los grupos paramilitares se reconfiguraban en procesos de fusión, crecimiento y profundización de alianzas en sus regiones.</w:t>
      </w:r>
    </w:p>
    <w:p w:rsidR="003804AC" w:rsidRDefault="00AF18A5" w:rsidP="00F747E5">
      <w:r>
        <w:t>La</w:t>
      </w:r>
      <w:r>
        <w:rPr>
          <w:spacing w:val="-5"/>
        </w:rPr>
        <w:t xml:space="preserve"> </w:t>
      </w:r>
      <w:r>
        <w:t>red</w:t>
      </w:r>
      <w:r>
        <w:rPr>
          <w:spacing w:val="-5"/>
        </w:rPr>
        <w:t xml:space="preserve"> </w:t>
      </w:r>
      <w:r>
        <w:t>de</w:t>
      </w:r>
      <w:r>
        <w:rPr>
          <w:spacing w:val="-5"/>
        </w:rPr>
        <w:t xml:space="preserve"> </w:t>
      </w:r>
      <w:r>
        <w:t>colaboración</w:t>
      </w:r>
      <w:r>
        <w:rPr>
          <w:spacing w:val="-5"/>
        </w:rPr>
        <w:t xml:space="preserve"> </w:t>
      </w:r>
      <w:r>
        <w:t>que</w:t>
      </w:r>
      <w:r>
        <w:rPr>
          <w:spacing w:val="-5"/>
        </w:rPr>
        <w:t xml:space="preserve"> </w:t>
      </w:r>
      <w:r>
        <w:t>significó</w:t>
      </w:r>
      <w:r>
        <w:rPr>
          <w:spacing w:val="-6"/>
        </w:rPr>
        <w:t xml:space="preserve"> </w:t>
      </w:r>
      <w:r>
        <w:t>el</w:t>
      </w:r>
      <w:r>
        <w:rPr>
          <w:spacing w:val="-4"/>
        </w:rPr>
        <w:t xml:space="preserve"> </w:t>
      </w:r>
      <w:r>
        <w:t>grupo</w:t>
      </w:r>
      <w:r>
        <w:rPr>
          <w:spacing w:val="-5"/>
        </w:rPr>
        <w:t xml:space="preserve"> </w:t>
      </w:r>
      <w:r>
        <w:t>Los</w:t>
      </w:r>
      <w:r>
        <w:rPr>
          <w:spacing w:val="-6"/>
        </w:rPr>
        <w:t xml:space="preserve"> </w:t>
      </w:r>
      <w:r>
        <w:t>Pepes</w:t>
      </w:r>
      <w:r>
        <w:rPr>
          <w:spacing w:val="-5"/>
        </w:rPr>
        <w:t xml:space="preserve"> </w:t>
      </w:r>
      <w:r>
        <w:t>y</w:t>
      </w:r>
      <w:r>
        <w:rPr>
          <w:spacing w:val="-5"/>
        </w:rPr>
        <w:t xml:space="preserve"> </w:t>
      </w:r>
      <w:r>
        <w:t>especialmente</w:t>
      </w:r>
      <w:r>
        <w:rPr>
          <w:spacing w:val="-5"/>
        </w:rPr>
        <w:t xml:space="preserve"> </w:t>
      </w:r>
      <w:r>
        <w:t>tras</w:t>
      </w:r>
      <w:r>
        <w:rPr>
          <w:spacing w:val="-5"/>
        </w:rPr>
        <w:t xml:space="preserve"> </w:t>
      </w:r>
      <w:r>
        <w:t>el</w:t>
      </w:r>
      <w:r>
        <w:rPr>
          <w:spacing w:val="-4"/>
        </w:rPr>
        <w:t xml:space="preserve"> </w:t>
      </w:r>
      <w:r>
        <w:t>asesinato de</w:t>
      </w:r>
      <w:r>
        <w:rPr>
          <w:spacing w:val="-7"/>
        </w:rPr>
        <w:t xml:space="preserve"> </w:t>
      </w:r>
      <w:r>
        <w:t>Pablo</w:t>
      </w:r>
      <w:r>
        <w:rPr>
          <w:spacing w:val="-7"/>
        </w:rPr>
        <w:t xml:space="preserve"> </w:t>
      </w:r>
      <w:r>
        <w:t>Escobar</w:t>
      </w:r>
      <w:r>
        <w:rPr>
          <w:spacing w:val="-7"/>
        </w:rPr>
        <w:t xml:space="preserve"> </w:t>
      </w:r>
      <w:r>
        <w:t>en</w:t>
      </w:r>
      <w:r>
        <w:rPr>
          <w:spacing w:val="-7"/>
        </w:rPr>
        <w:t xml:space="preserve"> </w:t>
      </w:r>
      <w:r>
        <w:t>1993,</w:t>
      </w:r>
      <w:r>
        <w:rPr>
          <w:spacing w:val="-7"/>
        </w:rPr>
        <w:t xml:space="preserve"> </w:t>
      </w:r>
      <w:r>
        <w:t>donde</w:t>
      </w:r>
      <w:r>
        <w:rPr>
          <w:spacing w:val="-7"/>
        </w:rPr>
        <w:t xml:space="preserve"> </w:t>
      </w:r>
      <w:r>
        <w:t>participaron</w:t>
      </w:r>
      <w:r>
        <w:rPr>
          <w:spacing w:val="-7"/>
        </w:rPr>
        <w:t xml:space="preserve"> </w:t>
      </w:r>
      <w:r>
        <w:t>los</w:t>
      </w:r>
      <w:r>
        <w:rPr>
          <w:spacing w:val="-7"/>
        </w:rPr>
        <w:t xml:space="preserve"> </w:t>
      </w:r>
      <w:r>
        <w:t>hermanos</w:t>
      </w:r>
      <w:r>
        <w:rPr>
          <w:spacing w:val="-8"/>
        </w:rPr>
        <w:t xml:space="preserve"> </w:t>
      </w:r>
      <w:r>
        <w:t>Castaño</w:t>
      </w:r>
      <w:r>
        <w:rPr>
          <w:spacing w:val="-7"/>
        </w:rPr>
        <w:t xml:space="preserve"> </w:t>
      </w:r>
      <w:r>
        <w:t>aliados</w:t>
      </w:r>
      <w:r>
        <w:rPr>
          <w:spacing w:val="-7"/>
        </w:rPr>
        <w:t xml:space="preserve"> </w:t>
      </w:r>
      <w:r>
        <w:t>con</w:t>
      </w:r>
      <w:r>
        <w:rPr>
          <w:spacing w:val="-7"/>
        </w:rPr>
        <w:t xml:space="preserve"> </w:t>
      </w:r>
      <w:r>
        <w:t>el</w:t>
      </w:r>
      <w:r>
        <w:rPr>
          <w:spacing w:val="-7"/>
        </w:rPr>
        <w:t xml:space="preserve"> </w:t>
      </w:r>
      <w:r>
        <w:t>Cartel</w:t>
      </w:r>
      <w:r>
        <w:rPr>
          <w:spacing w:val="-7"/>
        </w:rPr>
        <w:t xml:space="preserve"> </w:t>
      </w:r>
      <w:r>
        <w:t>de Cali, el Bloque de Búsqueda de la Policía y el apoyo de la Administración de Control de Drogas (DEA), de Estados Unidos, generó un escalamiento de esas alianzas en todo el país. Los</w:t>
      </w:r>
      <w:r>
        <w:rPr>
          <w:spacing w:val="-3"/>
        </w:rPr>
        <w:t xml:space="preserve"> </w:t>
      </w:r>
      <w:r>
        <w:t>hermanos</w:t>
      </w:r>
      <w:r>
        <w:rPr>
          <w:spacing w:val="-3"/>
        </w:rPr>
        <w:t xml:space="preserve"> </w:t>
      </w:r>
      <w:r>
        <w:t>Castaño,</w:t>
      </w:r>
      <w:r>
        <w:rPr>
          <w:spacing w:val="-5"/>
        </w:rPr>
        <w:t xml:space="preserve"> </w:t>
      </w:r>
      <w:r>
        <w:t>para</w:t>
      </w:r>
      <w:r>
        <w:rPr>
          <w:spacing w:val="-3"/>
        </w:rPr>
        <w:t xml:space="preserve"> </w:t>
      </w:r>
      <w:r>
        <w:t>quienes</w:t>
      </w:r>
      <w:r>
        <w:rPr>
          <w:spacing w:val="-4"/>
        </w:rPr>
        <w:t xml:space="preserve"> </w:t>
      </w:r>
      <w:r>
        <w:t>la</w:t>
      </w:r>
      <w:r>
        <w:rPr>
          <w:spacing w:val="-3"/>
        </w:rPr>
        <w:t xml:space="preserve"> </w:t>
      </w:r>
      <w:r>
        <w:t>guerra</w:t>
      </w:r>
      <w:r>
        <w:rPr>
          <w:spacing w:val="-3"/>
        </w:rPr>
        <w:t xml:space="preserve"> </w:t>
      </w:r>
      <w:r>
        <w:t>contra</w:t>
      </w:r>
      <w:r>
        <w:rPr>
          <w:spacing w:val="-3"/>
        </w:rPr>
        <w:t xml:space="preserve"> </w:t>
      </w:r>
      <w:r>
        <w:t>Escobar</w:t>
      </w:r>
      <w:r>
        <w:rPr>
          <w:spacing w:val="-4"/>
        </w:rPr>
        <w:t xml:space="preserve"> </w:t>
      </w:r>
      <w:r>
        <w:t>por</w:t>
      </w:r>
      <w:r>
        <w:rPr>
          <w:spacing w:val="-3"/>
        </w:rPr>
        <w:t xml:space="preserve"> </w:t>
      </w:r>
      <w:r>
        <w:t>el</w:t>
      </w:r>
      <w:r>
        <w:rPr>
          <w:spacing w:val="-3"/>
        </w:rPr>
        <w:t xml:space="preserve"> </w:t>
      </w:r>
      <w:r>
        <w:t>control</w:t>
      </w:r>
      <w:r>
        <w:rPr>
          <w:spacing w:val="-3"/>
        </w:rPr>
        <w:t xml:space="preserve"> </w:t>
      </w:r>
      <w:r>
        <w:t>del</w:t>
      </w:r>
      <w:r>
        <w:rPr>
          <w:spacing w:val="-3"/>
        </w:rPr>
        <w:t xml:space="preserve"> </w:t>
      </w:r>
      <w:r>
        <w:t>narcotráfico consistió en una pausa en su proyecto regional contrainsurgente</w:t>
      </w:r>
      <w:r w:rsidR="00970CFD">
        <w:rPr>
          <w:rStyle w:val="Refdenotaalpie"/>
        </w:rPr>
        <w:footnoteReference w:id="375"/>
      </w:r>
      <w:r>
        <w:t>, salieron fortalecidos: regresaron</w:t>
      </w:r>
      <w:r>
        <w:rPr>
          <w:spacing w:val="-12"/>
        </w:rPr>
        <w:t xml:space="preserve"> </w:t>
      </w:r>
      <w:r>
        <w:t>al</w:t>
      </w:r>
      <w:r>
        <w:rPr>
          <w:spacing w:val="-12"/>
        </w:rPr>
        <w:t xml:space="preserve"> </w:t>
      </w:r>
      <w:r>
        <w:t>sur</w:t>
      </w:r>
      <w:r>
        <w:rPr>
          <w:spacing w:val="-12"/>
        </w:rPr>
        <w:t xml:space="preserve"> </w:t>
      </w:r>
      <w:r>
        <w:t>de</w:t>
      </w:r>
      <w:r>
        <w:rPr>
          <w:spacing w:val="-12"/>
        </w:rPr>
        <w:t xml:space="preserve"> </w:t>
      </w:r>
      <w:r>
        <w:t>Córdoba</w:t>
      </w:r>
      <w:r>
        <w:rPr>
          <w:spacing w:val="-12"/>
        </w:rPr>
        <w:t xml:space="preserve"> </w:t>
      </w:r>
      <w:r>
        <w:t>con</w:t>
      </w:r>
      <w:r>
        <w:rPr>
          <w:spacing w:val="-12"/>
        </w:rPr>
        <w:t xml:space="preserve"> </w:t>
      </w:r>
      <w:r>
        <w:t>nuevo</w:t>
      </w:r>
      <w:r>
        <w:rPr>
          <w:spacing w:val="-12"/>
        </w:rPr>
        <w:t xml:space="preserve"> </w:t>
      </w:r>
      <w:r>
        <w:t>armamento</w:t>
      </w:r>
      <w:r>
        <w:rPr>
          <w:spacing w:val="-12"/>
        </w:rPr>
        <w:t xml:space="preserve"> </w:t>
      </w:r>
      <w:r>
        <w:t>e</w:t>
      </w:r>
      <w:r>
        <w:rPr>
          <w:spacing w:val="-12"/>
        </w:rPr>
        <w:t xml:space="preserve"> </w:t>
      </w:r>
      <w:r>
        <w:t>hicieron</w:t>
      </w:r>
      <w:r>
        <w:rPr>
          <w:spacing w:val="-13"/>
        </w:rPr>
        <w:t xml:space="preserve"> </w:t>
      </w:r>
      <w:r>
        <w:t>contactos</w:t>
      </w:r>
      <w:r>
        <w:rPr>
          <w:spacing w:val="-12"/>
        </w:rPr>
        <w:t xml:space="preserve"> </w:t>
      </w:r>
      <w:r>
        <w:t>con</w:t>
      </w:r>
      <w:r>
        <w:rPr>
          <w:spacing w:val="-12"/>
        </w:rPr>
        <w:t xml:space="preserve"> </w:t>
      </w:r>
      <w:r>
        <w:t>el</w:t>
      </w:r>
      <w:r>
        <w:rPr>
          <w:spacing w:val="-12"/>
        </w:rPr>
        <w:t xml:space="preserve"> </w:t>
      </w:r>
      <w:r>
        <w:t>Cartel</w:t>
      </w:r>
      <w:r>
        <w:rPr>
          <w:spacing w:val="-13"/>
        </w:rPr>
        <w:t xml:space="preserve"> </w:t>
      </w:r>
      <w:r>
        <w:t>de</w:t>
      </w:r>
      <w:r>
        <w:rPr>
          <w:spacing w:val="-12"/>
        </w:rPr>
        <w:t xml:space="preserve"> </w:t>
      </w:r>
      <w:r>
        <w:t>Cali y</w:t>
      </w:r>
      <w:r>
        <w:rPr>
          <w:spacing w:val="-4"/>
        </w:rPr>
        <w:t xml:space="preserve"> </w:t>
      </w:r>
      <w:r>
        <w:t>diferentes</w:t>
      </w:r>
      <w:r>
        <w:rPr>
          <w:spacing w:val="-5"/>
        </w:rPr>
        <w:t xml:space="preserve"> </w:t>
      </w:r>
      <w:r>
        <w:t>personajes</w:t>
      </w:r>
      <w:r>
        <w:rPr>
          <w:spacing w:val="-4"/>
        </w:rPr>
        <w:t xml:space="preserve"> </w:t>
      </w:r>
      <w:r>
        <w:t>del</w:t>
      </w:r>
      <w:r>
        <w:rPr>
          <w:spacing w:val="-4"/>
        </w:rPr>
        <w:t xml:space="preserve"> </w:t>
      </w:r>
      <w:r>
        <w:t>poder</w:t>
      </w:r>
      <w:r>
        <w:rPr>
          <w:spacing w:val="-4"/>
        </w:rPr>
        <w:t xml:space="preserve"> </w:t>
      </w:r>
      <w:r>
        <w:t>nacional,</w:t>
      </w:r>
      <w:r>
        <w:rPr>
          <w:spacing w:val="-6"/>
        </w:rPr>
        <w:t xml:space="preserve"> </w:t>
      </w:r>
      <w:r>
        <w:t>especialmente</w:t>
      </w:r>
      <w:r>
        <w:rPr>
          <w:spacing w:val="-4"/>
        </w:rPr>
        <w:t xml:space="preserve"> </w:t>
      </w:r>
      <w:r>
        <w:t>de</w:t>
      </w:r>
      <w:r>
        <w:rPr>
          <w:spacing w:val="-4"/>
        </w:rPr>
        <w:t xml:space="preserve"> </w:t>
      </w:r>
      <w:r>
        <w:t>las</w:t>
      </w:r>
      <w:r>
        <w:rPr>
          <w:spacing w:val="-4"/>
        </w:rPr>
        <w:t xml:space="preserve"> </w:t>
      </w:r>
      <w:r>
        <w:t>Fuerzas</w:t>
      </w:r>
      <w:r>
        <w:rPr>
          <w:spacing w:val="-5"/>
        </w:rPr>
        <w:t xml:space="preserve"> </w:t>
      </w:r>
      <w:r>
        <w:t>Militares.</w:t>
      </w:r>
      <w:r>
        <w:rPr>
          <w:spacing w:val="-4"/>
        </w:rPr>
        <w:t xml:space="preserve"> </w:t>
      </w:r>
      <w:r>
        <w:t>Llegaron a Córdoba con un agradecimiento implícito de los gobiernos, como señala un empresario testigo de los hechos, quien les permitió consolidar las ACCU:</w:t>
      </w:r>
    </w:p>
    <w:p w:rsidR="0011361F" w:rsidRDefault="00AF18A5" w:rsidP="00F747E5">
      <w:r>
        <w:lastRenderedPageBreak/>
        <w:t>«Valencia,</w:t>
      </w:r>
      <w:r>
        <w:rPr>
          <w:spacing w:val="-5"/>
        </w:rPr>
        <w:t xml:space="preserve"> </w:t>
      </w:r>
      <w:r>
        <w:t>Tierra</w:t>
      </w:r>
      <w:r>
        <w:rPr>
          <w:spacing w:val="-4"/>
        </w:rPr>
        <w:t xml:space="preserve"> </w:t>
      </w:r>
      <w:r>
        <w:t>Alta,</w:t>
      </w:r>
      <w:r>
        <w:rPr>
          <w:spacing w:val="-5"/>
        </w:rPr>
        <w:t xml:space="preserve"> </w:t>
      </w:r>
      <w:r>
        <w:t>Canalete</w:t>
      </w:r>
      <w:r>
        <w:rPr>
          <w:spacing w:val="-4"/>
        </w:rPr>
        <w:t xml:space="preserve"> </w:t>
      </w:r>
      <w:r>
        <w:t>y</w:t>
      </w:r>
      <w:r>
        <w:rPr>
          <w:spacing w:val="-4"/>
        </w:rPr>
        <w:t xml:space="preserve"> </w:t>
      </w:r>
      <w:r>
        <w:t>San</w:t>
      </w:r>
      <w:r>
        <w:rPr>
          <w:spacing w:val="-4"/>
        </w:rPr>
        <w:t xml:space="preserve"> </w:t>
      </w:r>
      <w:r>
        <w:t>Pedro.</w:t>
      </w:r>
      <w:r>
        <w:rPr>
          <w:spacing w:val="-4"/>
        </w:rPr>
        <w:t xml:space="preserve"> </w:t>
      </w:r>
      <w:r>
        <w:t>Ahí</w:t>
      </w:r>
      <w:r>
        <w:rPr>
          <w:spacing w:val="-4"/>
        </w:rPr>
        <w:t xml:space="preserve"> </w:t>
      </w:r>
      <w:r>
        <w:t>cerca</w:t>
      </w:r>
      <w:r>
        <w:rPr>
          <w:spacing w:val="-4"/>
        </w:rPr>
        <w:t xml:space="preserve"> </w:t>
      </w:r>
      <w:r>
        <w:t>de</w:t>
      </w:r>
      <w:r>
        <w:rPr>
          <w:spacing w:val="-5"/>
        </w:rPr>
        <w:t xml:space="preserve"> </w:t>
      </w:r>
      <w:r>
        <w:t>Montería,</w:t>
      </w:r>
      <w:r>
        <w:rPr>
          <w:spacing w:val="-4"/>
        </w:rPr>
        <w:t xml:space="preserve"> </w:t>
      </w:r>
      <w:r>
        <w:t>arriba</w:t>
      </w:r>
      <w:r>
        <w:rPr>
          <w:spacing w:val="-4"/>
        </w:rPr>
        <w:t xml:space="preserve"> </w:t>
      </w:r>
      <w:r>
        <w:t>de</w:t>
      </w:r>
      <w:r>
        <w:rPr>
          <w:spacing w:val="-5"/>
        </w:rPr>
        <w:t xml:space="preserve"> </w:t>
      </w:r>
      <w:r>
        <w:t>Montería, eso es una zona franca paramilitar, el gobierno toleró, no estoy diciendo que se las entregó ningún gobierno, pero sí que se los toleró, tanto el gobierno de Andrés Pastrana como el de Samper.</w:t>
      </w:r>
      <w:r>
        <w:rPr>
          <w:spacing w:val="-5"/>
        </w:rPr>
        <w:t xml:space="preserve"> </w:t>
      </w:r>
      <w:r>
        <w:t>Es</w:t>
      </w:r>
      <w:r>
        <w:rPr>
          <w:spacing w:val="-6"/>
        </w:rPr>
        <w:t xml:space="preserve"> </w:t>
      </w:r>
      <w:r>
        <w:t>que</w:t>
      </w:r>
      <w:r>
        <w:rPr>
          <w:spacing w:val="-5"/>
        </w:rPr>
        <w:t xml:space="preserve"> </w:t>
      </w:r>
      <w:r>
        <w:t>yo</w:t>
      </w:r>
      <w:r>
        <w:rPr>
          <w:spacing w:val="-5"/>
        </w:rPr>
        <w:t xml:space="preserve"> </w:t>
      </w:r>
      <w:r>
        <w:t>creo</w:t>
      </w:r>
      <w:r>
        <w:rPr>
          <w:spacing w:val="-7"/>
        </w:rPr>
        <w:t xml:space="preserve"> </w:t>
      </w:r>
      <w:r>
        <w:t>que</w:t>
      </w:r>
      <w:r>
        <w:rPr>
          <w:spacing w:val="-5"/>
        </w:rPr>
        <w:t xml:space="preserve"> </w:t>
      </w:r>
      <w:r>
        <w:t>eso</w:t>
      </w:r>
      <w:r>
        <w:rPr>
          <w:spacing w:val="-5"/>
        </w:rPr>
        <w:t xml:space="preserve"> </w:t>
      </w:r>
      <w:r>
        <w:t>era</w:t>
      </w:r>
      <w:r>
        <w:rPr>
          <w:spacing w:val="-6"/>
        </w:rPr>
        <w:t xml:space="preserve"> </w:t>
      </w:r>
      <w:r>
        <w:t>una</w:t>
      </w:r>
      <w:r>
        <w:rPr>
          <w:spacing w:val="-5"/>
        </w:rPr>
        <w:t xml:space="preserve"> </w:t>
      </w:r>
      <w:r>
        <w:t>contraprestación</w:t>
      </w:r>
      <w:r>
        <w:rPr>
          <w:spacing w:val="-5"/>
        </w:rPr>
        <w:t xml:space="preserve"> </w:t>
      </w:r>
      <w:r>
        <w:t>por</w:t>
      </w:r>
      <w:r>
        <w:rPr>
          <w:spacing w:val="-6"/>
        </w:rPr>
        <w:t xml:space="preserve"> </w:t>
      </w:r>
      <w:r>
        <w:t>el</w:t>
      </w:r>
      <w:r>
        <w:rPr>
          <w:spacing w:val="-4"/>
        </w:rPr>
        <w:t xml:space="preserve"> </w:t>
      </w:r>
      <w:r>
        <w:t>servicio</w:t>
      </w:r>
      <w:r>
        <w:rPr>
          <w:spacing w:val="-5"/>
        </w:rPr>
        <w:t xml:space="preserve"> </w:t>
      </w:r>
      <w:r>
        <w:t>que</w:t>
      </w:r>
      <w:r>
        <w:rPr>
          <w:spacing w:val="-5"/>
        </w:rPr>
        <w:t xml:space="preserve"> </w:t>
      </w:r>
      <w:r>
        <w:t>habían</w:t>
      </w:r>
      <w:r>
        <w:rPr>
          <w:spacing w:val="-5"/>
        </w:rPr>
        <w:t xml:space="preserve"> </w:t>
      </w:r>
      <w:r>
        <w:t>prestado con Los Pepes [...]. Y tú sabes muchas cosas sobreentendidas, que no necesitan acuerdos firmados ni pactos ni nada, sino “tú no me hagas duro y yo tampoco te hago duro, yo me meto aquí y tu volteas pal otro lado”, ese tipo de comportamientos permisivos»</w:t>
      </w:r>
      <w:r w:rsidR="00970CFD">
        <w:rPr>
          <w:rStyle w:val="Refdenotaalpie"/>
        </w:rPr>
        <w:footnoteReference w:id="376"/>
      </w:r>
      <w:r>
        <w:t>.</w:t>
      </w:r>
    </w:p>
    <w:p w:rsidR="003804AC" w:rsidRDefault="00AF18A5" w:rsidP="00970CFD">
      <w:bookmarkStart w:id="522" w:name="_bookmark424"/>
      <w:bookmarkStart w:id="523" w:name="_bookmark425"/>
      <w:bookmarkStart w:id="524" w:name="_bookmark426"/>
      <w:bookmarkEnd w:id="522"/>
      <w:bookmarkEnd w:id="523"/>
      <w:bookmarkEnd w:id="524"/>
      <w:r>
        <w:t>Con ello, empezó el proyecto de unificación de los múltiples grupos armados privados, ejércitos</w:t>
      </w:r>
      <w:r>
        <w:rPr>
          <w:spacing w:val="-7"/>
        </w:rPr>
        <w:t xml:space="preserve"> </w:t>
      </w:r>
      <w:r>
        <w:t>narcotraficantes</w:t>
      </w:r>
      <w:r>
        <w:rPr>
          <w:spacing w:val="-8"/>
        </w:rPr>
        <w:t xml:space="preserve"> </w:t>
      </w:r>
      <w:r>
        <w:t>e</w:t>
      </w:r>
      <w:r>
        <w:rPr>
          <w:spacing w:val="-7"/>
        </w:rPr>
        <w:t xml:space="preserve"> </w:t>
      </w:r>
      <w:r>
        <w:t>iniciativas</w:t>
      </w:r>
      <w:r>
        <w:rPr>
          <w:spacing w:val="-8"/>
        </w:rPr>
        <w:t xml:space="preserve"> </w:t>
      </w:r>
      <w:r>
        <w:t>contrainsurgentes</w:t>
      </w:r>
      <w:r>
        <w:rPr>
          <w:spacing w:val="-7"/>
        </w:rPr>
        <w:t xml:space="preserve"> </w:t>
      </w:r>
      <w:r>
        <w:t>que</w:t>
      </w:r>
      <w:r>
        <w:rPr>
          <w:spacing w:val="-7"/>
        </w:rPr>
        <w:t xml:space="preserve"> </w:t>
      </w:r>
      <w:r>
        <w:t>se</w:t>
      </w:r>
      <w:r>
        <w:rPr>
          <w:spacing w:val="-7"/>
        </w:rPr>
        <w:t xml:space="preserve"> </w:t>
      </w:r>
      <w:r>
        <w:t>encontraban</w:t>
      </w:r>
      <w:r>
        <w:rPr>
          <w:spacing w:val="-7"/>
        </w:rPr>
        <w:t xml:space="preserve"> </w:t>
      </w:r>
      <w:r>
        <w:t>en</w:t>
      </w:r>
      <w:r>
        <w:rPr>
          <w:spacing w:val="-7"/>
        </w:rPr>
        <w:t xml:space="preserve"> </w:t>
      </w:r>
      <w:r>
        <w:t>la</w:t>
      </w:r>
      <w:r>
        <w:rPr>
          <w:spacing w:val="-8"/>
        </w:rPr>
        <w:t xml:space="preserve"> </w:t>
      </w:r>
      <w:r>
        <w:t>región</w:t>
      </w:r>
      <w:r w:rsidR="00A70DBC">
        <w:rPr>
          <w:rStyle w:val="Refdenotaalpie"/>
        </w:rPr>
        <w:footnoteReference w:id="377"/>
      </w:r>
      <w:r>
        <w:rPr>
          <w:spacing w:val="-7"/>
        </w:rPr>
        <w:t xml:space="preserve"> </w:t>
      </w:r>
      <w:r>
        <w:t>y que</w:t>
      </w:r>
      <w:r>
        <w:rPr>
          <w:spacing w:val="-2"/>
        </w:rPr>
        <w:t xml:space="preserve"> </w:t>
      </w:r>
      <w:r>
        <w:t>tenían</w:t>
      </w:r>
      <w:r>
        <w:rPr>
          <w:spacing w:val="-2"/>
        </w:rPr>
        <w:t xml:space="preserve"> </w:t>
      </w:r>
      <w:r>
        <w:t>un</w:t>
      </w:r>
      <w:r>
        <w:rPr>
          <w:spacing w:val="-2"/>
        </w:rPr>
        <w:t xml:space="preserve"> </w:t>
      </w:r>
      <w:r>
        <w:t>carácter</w:t>
      </w:r>
      <w:r>
        <w:rPr>
          <w:spacing w:val="-2"/>
        </w:rPr>
        <w:t xml:space="preserve"> </w:t>
      </w:r>
      <w:r>
        <w:t>más</w:t>
      </w:r>
      <w:r>
        <w:rPr>
          <w:spacing w:val="-2"/>
        </w:rPr>
        <w:t xml:space="preserve"> </w:t>
      </w:r>
      <w:r>
        <w:t>local.</w:t>
      </w:r>
      <w:r>
        <w:rPr>
          <w:spacing w:val="-2"/>
        </w:rPr>
        <w:t xml:space="preserve"> </w:t>
      </w:r>
      <w:r>
        <w:t>Entre</w:t>
      </w:r>
      <w:r>
        <w:rPr>
          <w:spacing w:val="-2"/>
        </w:rPr>
        <w:t xml:space="preserve"> </w:t>
      </w:r>
      <w:r>
        <w:t>1994</w:t>
      </w:r>
      <w:r>
        <w:rPr>
          <w:spacing w:val="-2"/>
        </w:rPr>
        <w:t xml:space="preserve"> </w:t>
      </w:r>
      <w:r>
        <w:t>y</w:t>
      </w:r>
      <w:r>
        <w:rPr>
          <w:spacing w:val="-2"/>
        </w:rPr>
        <w:t xml:space="preserve"> </w:t>
      </w:r>
      <w:r>
        <w:t>1995,</w:t>
      </w:r>
      <w:r>
        <w:rPr>
          <w:spacing w:val="-2"/>
        </w:rPr>
        <w:t xml:space="preserve"> </w:t>
      </w:r>
      <w:r>
        <w:t>Carlos</w:t>
      </w:r>
      <w:r>
        <w:rPr>
          <w:spacing w:val="-2"/>
        </w:rPr>
        <w:t xml:space="preserve"> </w:t>
      </w:r>
      <w:r>
        <w:t>Castaño;</w:t>
      </w:r>
      <w:r>
        <w:rPr>
          <w:spacing w:val="-2"/>
        </w:rPr>
        <w:t xml:space="preserve"> </w:t>
      </w:r>
      <w:r>
        <w:t>Vicente</w:t>
      </w:r>
      <w:r>
        <w:rPr>
          <w:spacing w:val="-2"/>
        </w:rPr>
        <w:t xml:space="preserve"> </w:t>
      </w:r>
      <w:r>
        <w:t>Castaño,</w:t>
      </w:r>
      <w:r>
        <w:rPr>
          <w:spacing w:val="-4"/>
        </w:rPr>
        <w:t xml:space="preserve"> </w:t>
      </w:r>
      <w:r>
        <w:t xml:space="preserve">alias el Profe; Carlos Mauricio García, alias </w:t>
      </w:r>
      <w:proofErr w:type="spellStart"/>
      <w:r>
        <w:t>Doblecero</w:t>
      </w:r>
      <w:proofErr w:type="spellEnd"/>
      <w:r>
        <w:t>; Diego Fernando Murillo Bejarano, alias ‘Don Berna’, y Salvatore Mancuso, alias ‘Mono Mancuso’ o ‘</w:t>
      </w:r>
      <w:proofErr w:type="spellStart"/>
      <w:r>
        <w:t>Triplecero</w:t>
      </w:r>
      <w:proofErr w:type="spellEnd"/>
      <w:r>
        <w:t>’, lideraron la estrategia</w:t>
      </w:r>
      <w:r>
        <w:rPr>
          <w:spacing w:val="-15"/>
        </w:rPr>
        <w:t xml:space="preserve"> </w:t>
      </w:r>
      <w:r>
        <w:t>de</w:t>
      </w:r>
      <w:r>
        <w:rPr>
          <w:spacing w:val="-15"/>
        </w:rPr>
        <w:t xml:space="preserve"> </w:t>
      </w:r>
      <w:r>
        <w:t>cooptación</w:t>
      </w:r>
      <w:r>
        <w:rPr>
          <w:spacing w:val="-15"/>
        </w:rPr>
        <w:t xml:space="preserve"> </w:t>
      </w:r>
      <w:r>
        <w:t>y</w:t>
      </w:r>
      <w:r>
        <w:rPr>
          <w:spacing w:val="-15"/>
        </w:rPr>
        <w:t xml:space="preserve"> </w:t>
      </w:r>
      <w:r>
        <w:t>capacitación</w:t>
      </w:r>
      <w:r>
        <w:rPr>
          <w:spacing w:val="-15"/>
        </w:rPr>
        <w:t xml:space="preserve"> </w:t>
      </w:r>
      <w:r>
        <w:t>de</w:t>
      </w:r>
      <w:r>
        <w:rPr>
          <w:spacing w:val="-15"/>
        </w:rPr>
        <w:t xml:space="preserve"> </w:t>
      </w:r>
      <w:r>
        <w:t>estos</w:t>
      </w:r>
      <w:r>
        <w:rPr>
          <w:spacing w:val="-15"/>
        </w:rPr>
        <w:t xml:space="preserve"> </w:t>
      </w:r>
      <w:r>
        <w:t>grupos</w:t>
      </w:r>
      <w:r>
        <w:rPr>
          <w:spacing w:val="-15"/>
        </w:rPr>
        <w:t xml:space="preserve"> </w:t>
      </w:r>
      <w:r>
        <w:t>para</w:t>
      </w:r>
      <w:r>
        <w:rPr>
          <w:spacing w:val="-15"/>
        </w:rPr>
        <w:t xml:space="preserve"> </w:t>
      </w:r>
      <w:r>
        <w:t>el</w:t>
      </w:r>
      <w:r>
        <w:rPr>
          <w:spacing w:val="-15"/>
        </w:rPr>
        <w:t xml:space="preserve"> </w:t>
      </w:r>
      <w:r>
        <w:t>proyecto</w:t>
      </w:r>
      <w:r>
        <w:rPr>
          <w:spacing w:val="-15"/>
        </w:rPr>
        <w:t xml:space="preserve"> </w:t>
      </w:r>
      <w:r>
        <w:t>de</w:t>
      </w:r>
      <w:r>
        <w:rPr>
          <w:spacing w:val="-15"/>
        </w:rPr>
        <w:t xml:space="preserve"> </w:t>
      </w:r>
      <w:r>
        <w:rPr>
          <w:i/>
        </w:rPr>
        <w:t>retoma</w:t>
      </w:r>
      <w:r>
        <w:rPr>
          <w:i/>
          <w:spacing w:val="-15"/>
        </w:rPr>
        <w:t xml:space="preserve"> </w:t>
      </w:r>
      <w:r>
        <w:rPr>
          <w:i/>
        </w:rPr>
        <w:t>del</w:t>
      </w:r>
      <w:r>
        <w:rPr>
          <w:i/>
          <w:spacing w:val="-15"/>
        </w:rPr>
        <w:t xml:space="preserve"> </w:t>
      </w:r>
      <w:r>
        <w:rPr>
          <w:i/>
        </w:rPr>
        <w:t>Urabá</w:t>
      </w:r>
      <w:r>
        <w:t>, para el cual absorbieron a los Comandos Populares, estructuras de rearmados del antiguo Ejército</w:t>
      </w:r>
      <w:r>
        <w:rPr>
          <w:spacing w:val="-6"/>
        </w:rPr>
        <w:t xml:space="preserve"> </w:t>
      </w:r>
      <w:r>
        <w:t>Popular</w:t>
      </w:r>
      <w:r>
        <w:rPr>
          <w:spacing w:val="-3"/>
        </w:rPr>
        <w:t xml:space="preserve"> </w:t>
      </w:r>
      <w:r>
        <w:t>de</w:t>
      </w:r>
      <w:r>
        <w:rPr>
          <w:spacing w:val="-3"/>
        </w:rPr>
        <w:t xml:space="preserve"> </w:t>
      </w:r>
      <w:r>
        <w:t>Liberación</w:t>
      </w:r>
      <w:r>
        <w:rPr>
          <w:spacing w:val="-5"/>
        </w:rPr>
        <w:t xml:space="preserve"> </w:t>
      </w:r>
      <w:r>
        <w:t>(EPL)</w:t>
      </w:r>
      <w:r>
        <w:rPr>
          <w:spacing w:val="-3"/>
        </w:rPr>
        <w:t xml:space="preserve"> </w:t>
      </w:r>
      <w:r>
        <w:t>surgidas</w:t>
      </w:r>
      <w:r>
        <w:rPr>
          <w:spacing w:val="-4"/>
        </w:rPr>
        <w:t xml:space="preserve"> </w:t>
      </w:r>
      <w:r>
        <w:t>luego</w:t>
      </w:r>
      <w:r>
        <w:rPr>
          <w:spacing w:val="-4"/>
        </w:rPr>
        <w:t xml:space="preserve"> </w:t>
      </w:r>
      <w:r>
        <w:t>de</w:t>
      </w:r>
      <w:r>
        <w:rPr>
          <w:spacing w:val="-5"/>
        </w:rPr>
        <w:t xml:space="preserve"> </w:t>
      </w:r>
      <w:r>
        <w:t>la</w:t>
      </w:r>
      <w:r>
        <w:rPr>
          <w:spacing w:val="-3"/>
        </w:rPr>
        <w:t xml:space="preserve"> </w:t>
      </w:r>
      <w:r>
        <w:t>desmovilización</w:t>
      </w:r>
      <w:r>
        <w:rPr>
          <w:spacing w:val="-4"/>
        </w:rPr>
        <w:t xml:space="preserve"> </w:t>
      </w:r>
      <w:r>
        <w:t>de</w:t>
      </w:r>
      <w:r>
        <w:rPr>
          <w:spacing w:val="-3"/>
        </w:rPr>
        <w:t xml:space="preserve"> </w:t>
      </w:r>
      <w:r>
        <w:t>esta</w:t>
      </w:r>
      <w:r>
        <w:rPr>
          <w:spacing w:val="-2"/>
        </w:rPr>
        <w:t xml:space="preserve"> guerrilla.</w:t>
      </w:r>
    </w:p>
    <w:p w:rsidR="003804AC" w:rsidRDefault="00AF18A5" w:rsidP="00A70DBC">
      <w:r>
        <w:t>Urabá era un territorio clave para el narcotráfico y, además, para el control contrainsurgente, dada la fuerte presencia de las FARC-EP y la desmovilización del EPL. Pero</w:t>
      </w:r>
      <w:r>
        <w:rPr>
          <w:spacing w:val="-13"/>
        </w:rPr>
        <w:t xml:space="preserve"> </w:t>
      </w:r>
      <w:r>
        <w:t>también</w:t>
      </w:r>
      <w:r>
        <w:rPr>
          <w:spacing w:val="-13"/>
        </w:rPr>
        <w:t xml:space="preserve"> </w:t>
      </w:r>
      <w:r>
        <w:t>un</w:t>
      </w:r>
      <w:r>
        <w:rPr>
          <w:spacing w:val="-13"/>
        </w:rPr>
        <w:t xml:space="preserve"> </w:t>
      </w:r>
      <w:r>
        <w:t>territorio</w:t>
      </w:r>
      <w:r>
        <w:rPr>
          <w:spacing w:val="-13"/>
        </w:rPr>
        <w:t xml:space="preserve"> </w:t>
      </w:r>
      <w:r>
        <w:t>con</w:t>
      </w:r>
      <w:r>
        <w:rPr>
          <w:spacing w:val="-13"/>
        </w:rPr>
        <w:t xml:space="preserve"> </w:t>
      </w:r>
      <w:r>
        <w:t>una</w:t>
      </w:r>
      <w:r>
        <w:rPr>
          <w:spacing w:val="-13"/>
        </w:rPr>
        <w:t xml:space="preserve"> </w:t>
      </w:r>
      <w:r>
        <w:t>clase</w:t>
      </w:r>
      <w:r>
        <w:rPr>
          <w:spacing w:val="-13"/>
        </w:rPr>
        <w:t xml:space="preserve"> </w:t>
      </w:r>
      <w:r>
        <w:lastRenderedPageBreak/>
        <w:t>económica</w:t>
      </w:r>
      <w:r>
        <w:rPr>
          <w:spacing w:val="-13"/>
        </w:rPr>
        <w:t xml:space="preserve"> </w:t>
      </w:r>
      <w:r>
        <w:t>que</w:t>
      </w:r>
      <w:r>
        <w:rPr>
          <w:spacing w:val="-13"/>
        </w:rPr>
        <w:t xml:space="preserve"> </w:t>
      </w:r>
      <w:r>
        <w:t>había</w:t>
      </w:r>
      <w:r>
        <w:rPr>
          <w:spacing w:val="-14"/>
        </w:rPr>
        <w:t xml:space="preserve"> </w:t>
      </w:r>
      <w:r>
        <w:t>sido</w:t>
      </w:r>
      <w:r>
        <w:rPr>
          <w:spacing w:val="-13"/>
        </w:rPr>
        <w:t xml:space="preserve"> </w:t>
      </w:r>
      <w:r>
        <w:t>impactada</w:t>
      </w:r>
      <w:r>
        <w:rPr>
          <w:spacing w:val="-13"/>
        </w:rPr>
        <w:t xml:space="preserve"> </w:t>
      </w:r>
      <w:r>
        <w:t>por</w:t>
      </w:r>
      <w:r>
        <w:rPr>
          <w:spacing w:val="-13"/>
        </w:rPr>
        <w:t xml:space="preserve"> </w:t>
      </w:r>
      <w:r>
        <w:t>la</w:t>
      </w:r>
      <w:r>
        <w:rPr>
          <w:spacing w:val="-13"/>
        </w:rPr>
        <w:t xml:space="preserve"> </w:t>
      </w:r>
      <w:r>
        <w:t>violencia guerrillera que se intensificó en la década de los noventa y que impulsó la vinculación de empresarios de la zona con los grupos paramilitares. La Comisión recibió testimonios que describen la crueldad de la violencia guerrillera hacia sectores medios y altos en la región, que dejaron una estela de centenares de muertos, negocios quebrados y un abandono de la zona</w:t>
      </w:r>
      <w:r>
        <w:rPr>
          <w:spacing w:val="-11"/>
        </w:rPr>
        <w:t xml:space="preserve"> </w:t>
      </w:r>
      <w:r>
        <w:t>movido</w:t>
      </w:r>
      <w:r>
        <w:rPr>
          <w:spacing w:val="-11"/>
        </w:rPr>
        <w:t xml:space="preserve"> </w:t>
      </w:r>
      <w:r>
        <w:t>por</w:t>
      </w:r>
      <w:r>
        <w:rPr>
          <w:spacing w:val="-10"/>
        </w:rPr>
        <w:t xml:space="preserve"> </w:t>
      </w:r>
      <w:r>
        <w:t>el</w:t>
      </w:r>
      <w:r>
        <w:rPr>
          <w:spacing w:val="-10"/>
        </w:rPr>
        <w:t xml:space="preserve"> </w:t>
      </w:r>
      <w:r>
        <w:t>miedo,</w:t>
      </w:r>
      <w:r>
        <w:rPr>
          <w:spacing w:val="-11"/>
        </w:rPr>
        <w:t xml:space="preserve"> </w:t>
      </w:r>
      <w:r>
        <w:t>en</w:t>
      </w:r>
      <w:r>
        <w:rPr>
          <w:spacing w:val="-11"/>
        </w:rPr>
        <w:t xml:space="preserve"> </w:t>
      </w:r>
      <w:r>
        <w:t>una</w:t>
      </w:r>
      <w:r>
        <w:rPr>
          <w:spacing w:val="-11"/>
        </w:rPr>
        <w:t xml:space="preserve"> </w:t>
      </w:r>
      <w:r>
        <w:t>región</w:t>
      </w:r>
      <w:r>
        <w:rPr>
          <w:spacing w:val="-11"/>
        </w:rPr>
        <w:t xml:space="preserve"> </w:t>
      </w:r>
      <w:r>
        <w:t>fuertemente</w:t>
      </w:r>
      <w:r>
        <w:rPr>
          <w:spacing w:val="-11"/>
        </w:rPr>
        <w:t xml:space="preserve"> </w:t>
      </w:r>
      <w:r>
        <w:t>golpeada</w:t>
      </w:r>
      <w:r>
        <w:rPr>
          <w:spacing w:val="-11"/>
        </w:rPr>
        <w:t xml:space="preserve"> </w:t>
      </w:r>
      <w:r>
        <w:t>por</w:t>
      </w:r>
      <w:r>
        <w:rPr>
          <w:spacing w:val="-10"/>
        </w:rPr>
        <w:t xml:space="preserve"> </w:t>
      </w:r>
      <w:r>
        <w:t>el</w:t>
      </w:r>
      <w:r>
        <w:rPr>
          <w:spacing w:val="-10"/>
        </w:rPr>
        <w:t xml:space="preserve"> </w:t>
      </w:r>
      <w:r>
        <w:t>genocidio</w:t>
      </w:r>
      <w:r>
        <w:rPr>
          <w:spacing w:val="-11"/>
        </w:rPr>
        <w:t xml:space="preserve"> </w:t>
      </w:r>
      <w:r>
        <w:t>de</w:t>
      </w:r>
      <w:r>
        <w:rPr>
          <w:spacing w:val="-11"/>
        </w:rPr>
        <w:t xml:space="preserve"> </w:t>
      </w:r>
      <w:r>
        <w:t>la</w:t>
      </w:r>
      <w:r>
        <w:rPr>
          <w:spacing w:val="-11"/>
        </w:rPr>
        <w:t xml:space="preserve"> </w:t>
      </w:r>
      <w:r>
        <w:t>UP</w:t>
      </w:r>
      <w:r>
        <w:rPr>
          <w:spacing w:val="-11"/>
        </w:rPr>
        <w:t xml:space="preserve"> </w:t>
      </w:r>
      <w:r>
        <w:t>por parte de dichos grupos paramilitares.</w:t>
      </w:r>
    </w:p>
    <w:p w:rsidR="003804AC" w:rsidRDefault="00AF18A5" w:rsidP="00A70DBC">
      <w:r>
        <w:t>Pero el proyecto expansivo y de retoma a gran escala de territorios fue central para que las nacientes ACCU ganaran capacidad militar y poder suficiente para la unificación de los grupos antisubversivos regionales. La conformación de las ACCU muestra la compleja naturaleza</w:t>
      </w:r>
      <w:r>
        <w:rPr>
          <w:spacing w:val="-12"/>
        </w:rPr>
        <w:t xml:space="preserve"> </w:t>
      </w:r>
      <w:r>
        <w:t>del</w:t>
      </w:r>
      <w:r>
        <w:rPr>
          <w:spacing w:val="-12"/>
        </w:rPr>
        <w:t xml:space="preserve"> </w:t>
      </w:r>
      <w:r>
        <w:t>paramilitarismo,</w:t>
      </w:r>
      <w:r>
        <w:rPr>
          <w:spacing w:val="-12"/>
        </w:rPr>
        <w:t xml:space="preserve"> </w:t>
      </w:r>
      <w:r>
        <w:t>ya</w:t>
      </w:r>
      <w:r>
        <w:rPr>
          <w:spacing w:val="-12"/>
        </w:rPr>
        <w:t xml:space="preserve"> </w:t>
      </w:r>
      <w:r>
        <w:t>que</w:t>
      </w:r>
      <w:r>
        <w:rPr>
          <w:spacing w:val="-12"/>
        </w:rPr>
        <w:t xml:space="preserve"> </w:t>
      </w:r>
      <w:r>
        <w:t>surgieron</w:t>
      </w:r>
      <w:r>
        <w:rPr>
          <w:spacing w:val="-13"/>
        </w:rPr>
        <w:t xml:space="preserve"> </w:t>
      </w:r>
      <w:r>
        <w:t>de</w:t>
      </w:r>
      <w:r>
        <w:rPr>
          <w:spacing w:val="-12"/>
        </w:rPr>
        <w:t xml:space="preserve"> </w:t>
      </w:r>
      <w:r>
        <w:t>la</w:t>
      </w:r>
      <w:r>
        <w:rPr>
          <w:spacing w:val="-12"/>
        </w:rPr>
        <w:t xml:space="preserve"> </w:t>
      </w:r>
      <w:r>
        <w:t>confluencia</w:t>
      </w:r>
      <w:r>
        <w:rPr>
          <w:spacing w:val="-12"/>
        </w:rPr>
        <w:t xml:space="preserve"> </w:t>
      </w:r>
      <w:r>
        <w:t>entre</w:t>
      </w:r>
      <w:r>
        <w:rPr>
          <w:spacing w:val="-12"/>
        </w:rPr>
        <w:t xml:space="preserve"> </w:t>
      </w:r>
      <w:r>
        <w:t>sectores</w:t>
      </w:r>
      <w:r>
        <w:rPr>
          <w:spacing w:val="-12"/>
        </w:rPr>
        <w:t xml:space="preserve"> </w:t>
      </w:r>
      <w:r>
        <w:t>de</w:t>
      </w:r>
      <w:r>
        <w:rPr>
          <w:spacing w:val="-12"/>
        </w:rPr>
        <w:t xml:space="preserve"> </w:t>
      </w:r>
      <w:r>
        <w:t>la</w:t>
      </w:r>
      <w:r>
        <w:rPr>
          <w:spacing w:val="-12"/>
        </w:rPr>
        <w:t xml:space="preserve"> </w:t>
      </w:r>
      <w:r>
        <w:t>Policía Nacional, el DAS, el Cartel de Cali y el grupo de los Castaño con alianzas dentro de los sectores</w:t>
      </w:r>
      <w:r>
        <w:rPr>
          <w:spacing w:val="-11"/>
        </w:rPr>
        <w:t xml:space="preserve"> </w:t>
      </w:r>
      <w:r>
        <w:t>bananero</w:t>
      </w:r>
      <w:r>
        <w:rPr>
          <w:spacing w:val="-10"/>
        </w:rPr>
        <w:t xml:space="preserve"> </w:t>
      </w:r>
      <w:r>
        <w:t>y</w:t>
      </w:r>
      <w:r>
        <w:rPr>
          <w:spacing w:val="-10"/>
        </w:rPr>
        <w:t xml:space="preserve"> </w:t>
      </w:r>
      <w:r>
        <w:t>ganadero,</w:t>
      </w:r>
      <w:r>
        <w:rPr>
          <w:spacing w:val="-10"/>
        </w:rPr>
        <w:t xml:space="preserve"> </w:t>
      </w:r>
      <w:r>
        <w:t>los</w:t>
      </w:r>
      <w:r>
        <w:rPr>
          <w:spacing w:val="-10"/>
        </w:rPr>
        <w:t xml:space="preserve"> </w:t>
      </w:r>
      <w:r>
        <w:t>grupos</w:t>
      </w:r>
      <w:r>
        <w:rPr>
          <w:spacing w:val="-10"/>
        </w:rPr>
        <w:t xml:space="preserve"> </w:t>
      </w:r>
      <w:r>
        <w:t>armados</w:t>
      </w:r>
      <w:r>
        <w:rPr>
          <w:spacing w:val="-11"/>
        </w:rPr>
        <w:t xml:space="preserve"> </w:t>
      </w:r>
      <w:r>
        <w:t>que</w:t>
      </w:r>
      <w:r>
        <w:rPr>
          <w:spacing w:val="-10"/>
        </w:rPr>
        <w:t xml:space="preserve"> </w:t>
      </w:r>
      <w:r>
        <w:t>constituían</w:t>
      </w:r>
      <w:r>
        <w:rPr>
          <w:spacing w:val="-10"/>
        </w:rPr>
        <w:t xml:space="preserve"> </w:t>
      </w:r>
      <w:r>
        <w:t>las</w:t>
      </w:r>
      <w:r>
        <w:rPr>
          <w:spacing w:val="-10"/>
        </w:rPr>
        <w:t xml:space="preserve"> </w:t>
      </w:r>
      <w:r>
        <w:t>Convivir</w:t>
      </w:r>
      <w:r>
        <w:rPr>
          <w:spacing w:val="-9"/>
        </w:rPr>
        <w:t xml:space="preserve"> </w:t>
      </w:r>
      <w:r>
        <w:t>y</w:t>
      </w:r>
      <w:r>
        <w:rPr>
          <w:spacing w:val="-10"/>
        </w:rPr>
        <w:t xml:space="preserve"> </w:t>
      </w:r>
      <w:r>
        <w:t>sectores</w:t>
      </w:r>
      <w:r>
        <w:rPr>
          <w:spacing w:val="-10"/>
        </w:rPr>
        <w:t xml:space="preserve"> </w:t>
      </w:r>
      <w:r>
        <w:rPr>
          <w:spacing w:val="-5"/>
        </w:rPr>
        <w:t>del</w:t>
      </w:r>
      <w:bookmarkStart w:id="525" w:name="_bookmark427"/>
      <w:bookmarkEnd w:id="525"/>
      <w:r w:rsidR="00A70DBC">
        <w:rPr>
          <w:spacing w:val="-5"/>
        </w:rPr>
        <w:t xml:space="preserve"> </w:t>
      </w:r>
      <w:r>
        <w:t>Ejército Nacional, donde se integraron algunos exguerrilleros y exmiembros de los Comandos Populares que surgieron del EPL.</w:t>
      </w:r>
    </w:p>
    <w:p w:rsidR="003804AC" w:rsidRDefault="00AF18A5" w:rsidP="00A70DBC">
      <w:r>
        <w:t xml:space="preserve">Este conjunto de acciones, además del propósito contrainsurgente, fue funcional para diversos fines: detener las demandas del movimiento social y sindical –incluyendo la participación democrática de la UP–, ampliar el latifundio para ganadería extensiva y </w:t>
      </w:r>
      <w:r>
        <w:rPr>
          <w:spacing w:val="-2"/>
        </w:rPr>
        <w:t>proyectos</w:t>
      </w:r>
      <w:r>
        <w:rPr>
          <w:spacing w:val="-3"/>
        </w:rPr>
        <w:t xml:space="preserve"> </w:t>
      </w:r>
      <w:r>
        <w:rPr>
          <w:spacing w:val="-2"/>
        </w:rPr>
        <w:t>agroindustriales, aumentar</w:t>
      </w:r>
      <w:r>
        <w:rPr>
          <w:spacing w:val="-3"/>
        </w:rPr>
        <w:t xml:space="preserve"> </w:t>
      </w:r>
      <w:r>
        <w:rPr>
          <w:spacing w:val="-2"/>
        </w:rPr>
        <w:t xml:space="preserve">el dominio sobre el narcotráfico, garantizar la operación </w:t>
      </w:r>
      <w:r>
        <w:t>de</w:t>
      </w:r>
      <w:r>
        <w:rPr>
          <w:spacing w:val="-3"/>
        </w:rPr>
        <w:t xml:space="preserve"> </w:t>
      </w:r>
      <w:r>
        <w:t>las</w:t>
      </w:r>
      <w:r>
        <w:rPr>
          <w:spacing w:val="-3"/>
        </w:rPr>
        <w:t xml:space="preserve"> </w:t>
      </w:r>
      <w:r>
        <w:t>empresas</w:t>
      </w:r>
      <w:r>
        <w:rPr>
          <w:spacing w:val="-3"/>
        </w:rPr>
        <w:t xml:space="preserve"> </w:t>
      </w:r>
      <w:r>
        <w:t>(como</w:t>
      </w:r>
      <w:r>
        <w:rPr>
          <w:spacing w:val="-3"/>
        </w:rPr>
        <w:t xml:space="preserve"> </w:t>
      </w:r>
      <w:r>
        <w:t>las</w:t>
      </w:r>
      <w:r>
        <w:rPr>
          <w:spacing w:val="-3"/>
        </w:rPr>
        <w:t xml:space="preserve"> </w:t>
      </w:r>
      <w:r>
        <w:t>grandes</w:t>
      </w:r>
      <w:r>
        <w:rPr>
          <w:spacing w:val="-3"/>
        </w:rPr>
        <w:t xml:space="preserve"> </w:t>
      </w:r>
      <w:r>
        <w:t>bananeras)</w:t>
      </w:r>
      <w:r>
        <w:rPr>
          <w:spacing w:val="-3"/>
        </w:rPr>
        <w:t xml:space="preserve"> </w:t>
      </w:r>
      <w:r>
        <w:t>que</w:t>
      </w:r>
      <w:r>
        <w:rPr>
          <w:spacing w:val="-3"/>
        </w:rPr>
        <w:t xml:space="preserve"> </w:t>
      </w:r>
      <w:r>
        <w:t>tenían</w:t>
      </w:r>
      <w:r>
        <w:rPr>
          <w:spacing w:val="-3"/>
        </w:rPr>
        <w:t xml:space="preserve"> </w:t>
      </w:r>
      <w:r>
        <w:t>presencia</w:t>
      </w:r>
      <w:r>
        <w:rPr>
          <w:spacing w:val="-3"/>
        </w:rPr>
        <w:t xml:space="preserve"> </w:t>
      </w:r>
      <w:r>
        <w:t>en</w:t>
      </w:r>
      <w:r>
        <w:rPr>
          <w:spacing w:val="-3"/>
        </w:rPr>
        <w:t xml:space="preserve"> </w:t>
      </w:r>
      <w:r>
        <w:t>la</w:t>
      </w:r>
      <w:r>
        <w:rPr>
          <w:spacing w:val="-3"/>
        </w:rPr>
        <w:t xml:space="preserve"> </w:t>
      </w:r>
      <w:r>
        <w:t>región,</w:t>
      </w:r>
      <w:r>
        <w:rPr>
          <w:spacing w:val="-3"/>
        </w:rPr>
        <w:t xml:space="preserve"> </w:t>
      </w:r>
      <w:r>
        <w:t>impedir</w:t>
      </w:r>
      <w:r>
        <w:rPr>
          <w:spacing w:val="-3"/>
        </w:rPr>
        <w:t xml:space="preserve"> </w:t>
      </w:r>
      <w:r>
        <w:t>los procesos de recuperación de tierra y las exigencias de reforma en la distribución de la tierra y</w:t>
      </w:r>
      <w:r>
        <w:rPr>
          <w:spacing w:val="-6"/>
        </w:rPr>
        <w:t xml:space="preserve"> </w:t>
      </w:r>
      <w:r>
        <w:t>tener</w:t>
      </w:r>
      <w:r>
        <w:rPr>
          <w:spacing w:val="-6"/>
        </w:rPr>
        <w:t xml:space="preserve"> </w:t>
      </w:r>
      <w:r>
        <w:t>control</w:t>
      </w:r>
      <w:r>
        <w:rPr>
          <w:spacing w:val="-6"/>
        </w:rPr>
        <w:t xml:space="preserve"> </w:t>
      </w:r>
      <w:r>
        <w:t>absoluto</w:t>
      </w:r>
      <w:r>
        <w:rPr>
          <w:spacing w:val="-7"/>
        </w:rPr>
        <w:t xml:space="preserve"> </w:t>
      </w:r>
      <w:r>
        <w:t>del</w:t>
      </w:r>
      <w:r>
        <w:rPr>
          <w:spacing w:val="-6"/>
        </w:rPr>
        <w:t xml:space="preserve"> </w:t>
      </w:r>
      <w:r>
        <w:t>corredor</w:t>
      </w:r>
      <w:r>
        <w:rPr>
          <w:spacing w:val="-7"/>
        </w:rPr>
        <w:t xml:space="preserve"> </w:t>
      </w:r>
      <w:r>
        <w:t>del</w:t>
      </w:r>
      <w:r>
        <w:rPr>
          <w:spacing w:val="-6"/>
        </w:rPr>
        <w:t xml:space="preserve"> </w:t>
      </w:r>
      <w:r>
        <w:t>nudo</w:t>
      </w:r>
      <w:r>
        <w:rPr>
          <w:spacing w:val="-6"/>
        </w:rPr>
        <w:t xml:space="preserve"> </w:t>
      </w:r>
      <w:r>
        <w:t>de</w:t>
      </w:r>
      <w:r>
        <w:rPr>
          <w:spacing w:val="-7"/>
        </w:rPr>
        <w:t xml:space="preserve"> </w:t>
      </w:r>
      <w:r>
        <w:t>Paramillo</w:t>
      </w:r>
      <w:r>
        <w:rPr>
          <w:spacing w:val="-7"/>
        </w:rPr>
        <w:t xml:space="preserve"> </w:t>
      </w:r>
      <w:r>
        <w:t>al</w:t>
      </w:r>
      <w:r>
        <w:rPr>
          <w:spacing w:val="-7"/>
        </w:rPr>
        <w:t xml:space="preserve"> </w:t>
      </w:r>
      <w:r>
        <w:t>golfo</w:t>
      </w:r>
      <w:r>
        <w:rPr>
          <w:spacing w:val="-6"/>
        </w:rPr>
        <w:t xml:space="preserve"> </w:t>
      </w:r>
      <w:r>
        <w:t>de</w:t>
      </w:r>
      <w:r>
        <w:rPr>
          <w:spacing w:val="-6"/>
        </w:rPr>
        <w:t xml:space="preserve"> </w:t>
      </w:r>
      <w:r>
        <w:t>Urabá</w:t>
      </w:r>
      <w:r>
        <w:rPr>
          <w:spacing w:val="-6"/>
        </w:rPr>
        <w:t xml:space="preserve"> </w:t>
      </w:r>
      <w:r>
        <w:t>con</w:t>
      </w:r>
      <w:r>
        <w:rPr>
          <w:spacing w:val="-6"/>
        </w:rPr>
        <w:t xml:space="preserve"> </w:t>
      </w:r>
      <w:r>
        <w:t>la</w:t>
      </w:r>
      <w:r>
        <w:rPr>
          <w:spacing w:val="-6"/>
        </w:rPr>
        <w:t xml:space="preserve"> </w:t>
      </w:r>
      <w:r>
        <w:t>salida</w:t>
      </w:r>
      <w:r>
        <w:rPr>
          <w:spacing w:val="-6"/>
        </w:rPr>
        <w:t xml:space="preserve"> </w:t>
      </w:r>
      <w:r>
        <w:t>al mar para el tráfico de armas y drogas.</w:t>
      </w:r>
    </w:p>
    <w:p w:rsidR="003804AC" w:rsidRDefault="00AF18A5" w:rsidP="00A70DBC">
      <w:r>
        <w:lastRenderedPageBreak/>
        <w:t>Esta organización no tuvo una estructura jerárquica única, aunque argumentaba tener comandancias y roles definidos, sino un aparato militar híbrido que respondía a una red de directrices y actores que no se agotaban en sus líderes militares, ni en las figuras de los hermanos Castaño.</w:t>
      </w:r>
    </w:p>
    <w:p w:rsidR="003804AC" w:rsidRDefault="00AF18A5" w:rsidP="00A70DBC">
      <w:r>
        <w:t>Una vez fusionados los grupos de la zona de Urabá, para 1995 comenzaron a enviarse paramilitares al suroeste antioqueño, al tiempo que, en el noroccidente del mismo departamento, un hacendado, Hernán Darío Moreno Calle, pedía a las ACCU que le suministrara</w:t>
      </w:r>
      <w:r>
        <w:rPr>
          <w:spacing w:val="-11"/>
        </w:rPr>
        <w:t xml:space="preserve"> </w:t>
      </w:r>
      <w:r>
        <w:t>personal</w:t>
      </w:r>
      <w:r>
        <w:rPr>
          <w:spacing w:val="-9"/>
        </w:rPr>
        <w:t xml:space="preserve"> </w:t>
      </w:r>
      <w:r>
        <w:t>y</w:t>
      </w:r>
      <w:r>
        <w:rPr>
          <w:spacing w:val="-10"/>
        </w:rPr>
        <w:t xml:space="preserve"> </w:t>
      </w:r>
      <w:r>
        <w:t>armamento</w:t>
      </w:r>
      <w:r>
        <w:rPr>
          <w:spacing w:val="-10"/>
        </w:rPr>
        <w:t xml:space="preserve"> </w:t>
      </w:r>
      <w:r>
        <w:t>para</w:t>
      </w:r>
      <w:r>
        <w:rPr>
          <w:spacing w:val="-10"/>
        </w:rPr>
        <w:t xml:space="preserve"> </w:t>
      </w:r>
      <w:r>
        <w:t>crear</w:t>
      </w:r>
      <w:r>
        <w:rPr>
          <w:spacing w:val="-9"/>
        </w:rPr>
        <w:t xml:space="preserve"> </w:t>
      </w:r>
      <w:r>
        <w:t>su</w:t>
      </w:r>
      <w:r>
        <w:rPr>
          <w:spacing w:val="-10"/>
        </w:rPr>
        <w:t xml:space="preserve"> </w:t>
      </w:r>
      <w:r>
        <w:t>propio</w:t>
      </w:r>
      <w:r>
        <w:rPr>
          <w:spacing w:val="-10"/>
        </w:rPr>
        <w:t xml:space="preserve"> </w:t>
      </w:r>
      <w:r>
        <w:t>grupo</w:t>
      </w:r>
      <w:r w:rsidR="00A70DBC">
        <w:rPr>
          <w:rStyle w:val="Refdenotaalpie"/>
        </w:rPr>
        <w:footnoteReference w:id="378"/>
      </w:r>
      <w:r>
        <w:t>.</w:t>
      </w:r>
      <w:r>
        <w:rPr>
          <w:spacing w:val="-10"/>
        </w:rPr>
        <w:t xml:space="preserve"> </w:t>
      </w:r>
      <w:r>
        <w:t>De</w:t>
      </w:r>
      <w:r>
        <w:rPr>
          <w:spacing w:val="-10"/>
        </w:rPr>
        <w:t xml:space="preserve"> </w:t>
      </w:r>
      <w:r>
        <w:t>la</w:t>
      </w:r>
      <w:r>
        <w:rPr>
          <w:spacing w:val="-10"/>
        </w:rPr>
        <w:t xml:space="preserve"> </w:t>
      </w:r>
      <w:r>
        <w:t>misma</w:t>
      </w:r>
      <w:r>
        <w:rPr>
          <w:spacing w:val="-10"/>
        </w:rPr>
        <w:t xml:space="preserve"> </w:t>
      </w:r>
      <w:r>
        <w:t>forma</w:t>
      </w:r>
      <w:r>
        <w:rPr>
          <w:spacing w:val="-10"/>
        </w:rPr>
        <w:t xml:space="preserve"> </w:t>
      </w:r>
      <w:r>
        <w:t>ocurrió en varios municipios en toda la región, en los que los grupos paramilitares, constituidos en bloques,</w:t>
      </w:r>
      <w:r>
        <w:rPr>
          <w:spacing w:val="-15"/>
        </w:rPr>
        <w:t xml:space="preserve"> </w:t>
      </w:r>
      <w:r>
        <w:t>fueron</w:t>
      </w:r>
      <w:r>
        <w:rPr>
          <w:spacing w:val="-15"/>
        </w:rPr>
        <w:t xml:space="preserve"> </w:t>
      </w:r>
      <w:r>
        <w:t>creados</w:t>
      </w:r>
      <w:r>
        <w:rPr>
          <w:spacing w:val="-15"/>
        </w:rPr>
        <w:t xml:space="preserve"> </w:t>
      </w:r>
      <w:r>
        <w:t>o</w:t>
      </w:r>
      <w:r>
        <w:rPr>
          <w:spacing w:val="-15"/>
        </w:rPr>
        <w:t xml:space="preserve"> </w:t>
      </w:r>
      <w:r>
        <w:t>capacitados</w:t>
      </w:r>
      <w:r>
        <w:rPr>
          <w:spacing w:val="-15"/>
        </w:rPr>
        <w:t xml:space="preserve"> </w:t>
      </w:r>
      <w:r>
        <w:t>por</w:t>
      </w:r>
      <w:r>
        <w:rPr>
          <w:spacing w:val="-15"/>
        </w:rPr>
        <w:t xml:space="preserve"> </w:t>
      </w:r>
      <w:r>
        <w:t>orden</w:t>
      </w:r>
      <w:r>
        <w:rPr>
          <w:spacing w:val="-15"/>
        </w:rPr>
        <w:t xml:space="preserve"> </w:t>
      </w:r>
      <w:r>
        <w:t>de</w:t>
      </w:r>
      <w:r>
        <w:rPr>
          <w:spacing w:val="-15"/>
        </w:rPr>
        <w:t xml:space="preserve"> </w:t>
      </w:r>
      <w:r>
        <w:t>los</w:t>
      </w:r>
      <w:r>
        <w:rPr>
          <w:spacing w:val="-15"/>
        </w:rPr>
        <w:t xml:space="preserve"> </w:t>
      </w:r>
      <w:r>
        <w:t>comandantes</w:t>
      </w:r>
      <w:r>
        <w:rPr>
          <w:spacing w:val="-15"/>
        </w:rPr>
        <w:t xml:space="preserve"> </w:t>
      </w:r>
      <w:r>
        <w:t>de</w:t>
      </w:r>
      <w:r>
        <w:rPr>
          <w:spacing w:val="-15"/>
        </w:rPr>
        <w:t xml:space="preserve"> </w:t>
      </w:r>
      <w:r>
        <w:t>las</w:t>
      </w:r>
      <w:r>
        <w:rPr>
          <w:spacing w:val="-15"/>
        </w:rPr>
        <w:t xml:space="preserve"> </w:t>
      </w:r>
      <w:r>
        <w:t>ACCU</w:t>
      </w:r>
      <w:r>
        <w:rPr>
          <w:spacing w:val="-15"/>
        </w:rPr>
        <w:t xml:space="preserve"> </w:t>
      </w:r>
      <w:r>
        <w:t>y</w:t>
      </w:r>
      <w:r>
        <w:rPr>
          <w:spacing w:val="-15"/>
        </w:rPr>
        <w:t xml:space="preserve"> </w:t>
      </w:r>
      <w:r>
        <w:t xml:space="preserve">liderados por </w:t>
      </w:r>
      <w:proofErr w:type="spellStart"/>
      <w:r>
        <w:t>Doblecero</w:t>
      </w:r>
      <w:proofErr w:type="spellEnd"/>
      <w:r>
        <w:t>, pero «atendiendo el llamado de algunos empresarios, comerciantes y transportadores</w:t>
      </w:r>
      <w:r>
        <w:rPr>
          <w:spacing w:val="4"/>
        </w:rPr>
        <w:t xml:space="preserve"> </w:t>
      </w:r>
      <w:r>
        <w:t>de</w:t>
      </w:r>
      <w:r>
        <w:rPr>
          <w:spacing w:val="5"/>
        </w:rPr>
        <w:t xml:space="preserve"> </w:t>
      </w:r>
      <w:r>
        <w:t>la</w:t>
      </w:r>
      <w:r>
        <w:rPr>
          <w:spacing w:val="5"/>
        </w:rPr>
        <w:t xml:space="preserve"> </w:t>
      </w:r>
      <w:r>
        <w:t>región»</w:t>
      </w:r>
      <w:r w:rsidR="00A70DBC">
        <w:rPr>
          <w:rStyle w:val="Refdenotaalpie"/>
        </w:rPr>
        <w:footnoteReference w:id="379"/>
      </w:r>
      <w:r>
        <w:t>.</w:t>
      </w:r>
      <w:r>
        <w:rPr>
          <w:spacing w:val="4"/>
        </w:rPr>
        <w:t xml:space="preserve"> </w:t>
      </w:r>
      <w:r>
        <w:t>Desde</w:t>
      </w:r>
      <w:r>
        <w:rPr>
          <w:spacing w:val="4"/>
        </w:rPr>
        <w:t xml:space="preserve"> </w:t>
      </w:r>
      <w:r>
        <w:t>allí</w:t>
      </w:r>
      <w:r>
        <w:rPr>
          <w:spacing w:val="5"/>
        </w:rPr>
        <w:t xml:space="preserve"> </w:t>
      </w:r>
      <w:r>
        <w:t>se</w:t>
      </w:r>
      <w:r>
        <w:rPr>
          <w:spacing w:val="4"/>
        </w:rPr>
        <w:t xml:space="preserve"> </w:t>
      </w:r>
      <w:r>
        <w:t>extendieron</w:t>
      </w:r>
      <w:r>
        <w:rPr>
          <w:spacing w:val="2"/>
        </w:rPr>
        <w:t xml:space="preserve"> </w:t>
      </w:r>
      <w:r>
        <w:t>al</w:t>
      </w:r>
      <w:r>
        <w:rPr>
          <w:spacing w:val="4"/>
        </w:rPr>
        <w:t xml:space="preserve"> </w:t>
      </w:r>
      <w:r>
        <w:t>Cesar,</w:t>
      </w:r>
      <w:r>
        <w:rPr>
          <w:spacing w:val="5"/>
        </w:rPr>
        <w:t xml:space="preserve"> </w:t>
      </w:r>
      <w:r>
        <w:t>Magdalena,</w:t>
      </w:r>
      <w:r>
        <w:rPr>
          <w:spacing w:val="5"/>
        </w:rPr>
        <w:t xml:space="preserve"> </w:t>
      </w:r>
      <w:r>
        <w:t>Sucre</w:t>
      </w:r>
      <w:r>
        <w:rPr>
          <w:spacing w:val="4"/>
        </w:rPr>
        <w:t xml:space="preserve"> </w:t>
      </w:r>
      <w:r>
        <w:t>y</w:t>
      </w:r>
      <w:r>
        <w:rPr>
          <w:spacing w:val="3"/>
        </w:rPr>
        <w:t xml:space="preserve"> </w:t>
      </w:r>
      <w:r>
        <w:rPr>
          <w:spacing w:val="-5"/>
        </w:rPr>
        <w:t>La</w:t>
      </w:r>
      <w:bookmarkStart w:id="526" w:name="_bookmark428"/>
      <w:bookmarkStart w:id="527" w:name="_bookmark429"/>
      <w:bookmarkEnd w:id="526"/>
      <w:bookmarkEnd w:id="527"/>
      <w:r w:rsidR="00231DC2">
        <w:rPr>
          <w:spacing w:val="-5"/>
        </w:rPr>
        <w:t xml:space="preserve"> </w:t>
      </w:r>
      <w:r>
        <w:t>Guajira de la mano de Salvatore Mancuso, y enviaron grupos al Meta. Todos estos desplazamientos</w:t>
      </w:r>
      <w:r>
        <w:rPr>
          <w:spacing w:val="-8"/>
        </w:rPr>
        <w:t xml:space="preserve"> </w:t>
      </w:r>
      <w:r>
        <w:t>estuvieron</w:t>
      </w:r>
      <w:r>
        <w:rPr>
          <w:spacing w:val="-8"/>
        </w:rPr>
        <w:t xml:space="preserve"> </w:t>
      </w:r>
      <w:r>
        <w:t>marcados</w:t>
      </w:r>
      <w:r>
        <w:rPr>
          <w:spacing w:val="-9"/>
        </w:rPr>
        <w:t xml:space="preserve"> </w:t>
      </w:r>
      <w:r>
        <w:t>por</w:t>
      </w:r>
      <w:r>
        <w:rPr>
          <w:spacing w:val="-8"/>
        </w:rPr>
        <w:t xml:space="preserve"> </w:t>
      </w:r>
      <w:r>
        <w:t>masacres</w:t>
      </w:r>
      <w:r>
        <w:rPr>
          <w:spacing w:val="-8"/>
        </w:rPr>
        <w:t xml:space="preserve"> </w:t>
      </w:r>
      <w:r>
        <w:t>contra</w:t>
      </w:r>
      <w:r>
        <w:rPr>
          <w:spacing w:val="-8"/>
        </w:rPr>
        <w:t xml:space="preserve"> </w:t>
      </w:r>
      <w:r>
        <w:t>comunidades</w:t>
      </w:r>
      <w:r>
        <w:rPr>
          <w:spacing w:val="-8"/>
        </w:rPr>
        <w:t xml:space="preserve"> </w:t>
      </w:r>
      <w:r>
        <w:t>y</w:t>
      </w:r>
      <w:r>
        <w:rPr>
          <w:spacing w:val="-9"/>
        </w:rPr>
        <w:t xml:space="preserve"> </w:t>
      </w:r>
      <w:r>
        <w:t>el</w:t>
      </w:r>
      <w:r>
        <w:rPr>
          <w:spacing w:val="-8"/>
        </w:rPr>
        <w:t xml:space="preserve"> </w:t>
      </w:r>
      <w:r>
        <w:t>uso</w:t>
      </w:r>
      <w:r>
        <w:rPr>
          <w:spacing w:val="-8"/>
        </w:rPr>
        <w:t xml:space="preserve"> </w:t>
      </w:r>
      <w:r>
        <w:t>sistemático del horror.</w:t>
      </w:r>
    </w:p>
    <w:p w:rsidR="003804AC" w:rsidRDefault="00AF18A5" w:rsidP="00C70A6B">
      <w:r>
        <w:t xml:space="preserve">Para 1997, las ACCU ya habían consolidado un aparato militar, económico y político en amplias zonas de Córdoba y Antioquia, así como </w:t>
      </w:r>
      <w:r>
        <w:lastRenderedPageBreak/>
        <w:t>frentes dispersos y en crecimiento en múltiples zonas del territorio nacional, sumados a los grupos armados legalizados bajo la figura de las Convivir.</w:t>
      </w:r>
    </w:p>
    <w:p w:rsidR="003804AC" w:rsidRDefault="00AF18A5" w:rsidP="00C70A6B">
      <w:r>
        <w:t>Estos</w:t>
      </w:r>
      <w:r>
        <w:rPr>
          <w:spacing w:val="-8"/>
        </w:rPr>
        <w:t xml:space="preserve"> </w:t>
      </w:r>
      <w:r>
        <w:t>factores</w:t>
      </w:r>
      <w:r>
        <w:rPr>
          <w:spacing w:val="-8"/>
        </w:rPr>
        <w:t xml:space="preserve"> </w:t>
      </w:r>
      <w:r>
        <w:t>fueron</w:t>
      </w:r>
      <w:r>
        <w:rPr>
          <w:spacing w:val="-8"/>
        </w:rPr>
        <w:t xml:space="preserve"> </w:t>
      </w:r>
      <w:r>
        <w:t>el</w:t>
      </w:r>
      <w:r>
        <w:rPr>
          <w:spacing w:val="-9"/>
        </w:rPr>
        <w:t xml:space="preserve"> </w:t>
      </w:r>
      <w:r>
        <w:t>contexto</w:t>
      </w:r>
      <w:r>
        <w:rPr>
          <w:spacing w:val="-8"/>
        </w:rPr>
        <w:t xml:space="preserve"> </w:t>
      </w:r>
      <w:r>
        <w:t>y</w:t>
      </w:r>
      <w:r>
        <w:rPr>
          <w:spacing w:val="-8"/>
        </w:rPr>
        <w:t xml:space="preserve"> </w:t>
      </w:r>
      <w:r>
        <w:t>antecedente</w:t>
      </w:r>
      <w:r>
        <w:rPr>
          <w:spacing w:val="-8"/>
        </w:rPr>
        <w:t xml:space="preserve"> </w:t>
      </w:r>
      <w:r>
        <w:t>de</w:t>
      </w:r>
      <w:r>
        <w:rPr>
          <w:spacing w:val="-8"/>
        </w:rPr>
        <w:t xml:space="preserve"> </w:t>
      </w:r>
      <w:r>
        <w:t>la</w:t>
      </w:r>
      <w:r>
        <w:rPr>
          <w:spacing w:val="-8"/>
        </w:rPr>
        <w:t xml:space="preserve"> </w:t>
      </w:r>
      <w:r>
        <w:t>conformación</w:t>
      </w:r>
      <w:r>
        <w:rPr>
          <w:spacing w:val="-9"/>
        </w:rPr>
        <w:t xml:space="preserve"> </w:t>
      </w:r>
      <w:r>
        <w:t>de</w:t>
      </w:r>
      <w:r>
        <w:rPr>
          <w:spacing w:val="-8"/>
        </w:rPr>
        <w:t xml:space="preserve"> </w:t>
      </w:r>
      <w:r>
        <w:t>las</w:t>
      </w:r>
      <w:r>
        <w:rPr>
          <w:spacing w:val="-9"/>
        </w:rPr>
        <w:t xml:space="preserve"> </w:t>
      </w:r>
      <w:r>
        <w:t>AUC,</w:t>
      </w:r>
      <w:r>
        <w:rPr>
          <w:spacing w:val="-7"/>
        </w:rPr>
        <w:t xml:space="preserve"> </w:t>
      </w:r>
      <w:r>
        <w:t>otro</w:t>
      </w:r>
      <w:r>
        <w:rPr>
          <w:spacing w:val="-8"/>
        </w:rPr>
        <w:t xml:space="preserve"> </w:t>
      </w:r>
      <w:r>
        <w:t xml:space="preserve">salto organizativo del paramilitarismo que les permitiría expandir sus actividades. El 18 de abril de 1997, los hermanos Vicente y Carlos Castaño convocaron a los comandantes de las Autodefensas Campesinas de Puerto Boyacá, de las Autodefensas de Ramón Isaza y de las Autodefensas de los Llanos Orientales a una conferencia con el fin de unificar política y militarmente estas estructuras bajo la denominación Autodefensas Unidas de Colombia (AUC). En una segunda conferencia, llevada a cabo entre el 16 y el 18 de mayo de 1998 en la finca La 24 o </w:t>
      </w:r>
      <w:proofErr w:type="spellStart"/>
      <w:r>
        <w:t>Tulapa</w:t>
      </w:r>
      <w:proofErr w:type="spellEnd"/>
      <w:r>
        <w:t xml:space="preserve"> (ubicada en Urabá), se sumaron formalmente tres nuevas organizaciones:</w:t>
      </w:r>
      <w:r>
        <w:rPr>
          <w:spacing w:val="-5"/>
        </w:rPr>
        <w:t xml:space="preserve"> </w:t>
      </w:r>
      <w:r>
        <w:t>las</w:t>
      </w:r>
      <w:r>
        <w:rPr>
          <w:spacing w:val="-4"/>
        </w:rPr>
        <w:t xml:space="preserve"> </w:t>
      </w:r>
      <w:r>
        <w:t>Autodefensas</w:t>
      </w:r>
      <w:r>
        <w:rPr>
          <w:spacing w:val="-5"/>
        </w:rPr>
        <w:t xml:space="preserve"> </w:t>
      </w:r>
      <w:r>
        <w:t>de</w:t>
      </w:r>
      <w:r>
        <w:rPr>
          <w:spacing w:val="-4"/>
        </w:rPr>
        <w:t xml:space="preserve"> </w:t>
      </w:r>
      <w:r>
        <w:t>Santander</w:t>
      </w:r>
      <w:r>
        <w:rPr>
          <w:spacing w:val="-5"/>
        </w:rPr>
        <w:t xml:space="preserve"> </w:t>
      </w:r>
      <w:r>
        <w:t>y</w:t>
      </w:r>
      <w:r>
        <w:rPr>
          <w:spacing w:val="-4"/>
        </w:rPr>
        <w:t xml:space="preserve"> </w:t>
      </w:r>
      <w:r>
        <w:t>el</w:t>
      </w:r>
      <w:r>
        <w:rPr>
          <w:spacing w:val="-4"/>
        </w:rPr>
        <w:t xml:space="preserve"> </w:t>
      </w:r>
      <w:r>
        <w:t>Sur</w:t>
      </w:r>
      <w:r>
        <w:rPr>
          <w:spacing w:val="-4"/>
        </w:rPr>
        <w:t xml:space="preserve"> </w:t>
      </w:r>
      <w:r>
        <w:t>del</w:t>
      </w:r>
      <w:r>
        <w:rPr>
          <w:spacing w:val="-5"/>
        </w:rPr>
        <w:t xml:space="preserve"> </w:t>
      </w:r>
      <w:r>
        <w:t>Cesar</w:t>
      </w:r>
      <w:r>
        <w:rPr>
          <w:spacing w:val="-4"/>
        </w:rPr>
        <w:t xml:space="preserve"> </w:t>
      </w:r>
      <w:r>
        <w:t>(</w:t>
      </w:r>
      <w:proofErr w:type="spellStart"/>
      <w:r>
        <w:t>Ausac</w:t>
      </w:r>
      <w:proofErr w:type="spellEnd"/>
      <w:r>
        <w:t>),</w:t>
      </w:r>
      <w:r>
        <w:rPr>
          <w:spacing w:val="-5"/>
        </w:rPr>
        <w:t xml:space="preserve"> </w:t>
      </w:r>
      <w:r>
        <w:t>las</w:t>
      </w:r>
      <w:r>
        <w:rPr>
          <w:spacing w:val="-4"/>
        </w:rPr>
        <w:t xml:space="preserve"> </w:t>
      </w:r>
      <w:r>
        <w:t>Autodefensas Campesinas del Casanare (ACC) y las Autodefensas de Cundinamarca. Así mismo, en el 2000 se creó el Bloque Central Bolívar (BCB), que desde su dominio armado en el Bajo Cauca, el Magdalena Medio y el nordeste antioqueño incursionó en territorios de Nariño, Caquetá y el Eje Cafetero, entre otros.</w:t>
      </w:r>
    </w:p>
    <w:p w:rsidR="003804AC" w:rsidRDefault="00AF18A5" w:rsidP="00C70A6B">
      <w:r>
        <w:t>Las AUC se convirtieron en la etiqueta para escalar proyectos de cooptación estatal, ampliar</w:t>
      </w:r>
      <w:r>
        <w:rPr>
          <w:spacing w:val="-10"/>
        </w:rPr>
        <w:t xml:space="preserve"> </w:t>
      </w:r>
      <w:r>
        <w:t>sus</w:t>
      </w:r>
      <w:r>
        <w:rPr>
          <w:spacing w:val="-12"/>
        </w:rPr>
        <w:t xml:space="preserve"> </w:t>
      </w:r>
      <w:r>
        <w:t>alianzas</w:t>
      </w:r>
      <w:r>
        <w:rPr>
          <w:spacing w:val="-11"/>
        </w:rPr>
        <w:t xml:space="preserve"> </w:t>
      </w:r>
      <w:r>
        <w:t>con</w:t>
      </w:r>
      <w:r>
        <w:rPr>
          <w:spacing w:val="-12"/>
        </w:rPr>
        <w:t xml:space="preserve"> </w:t>
      </w:r>
      <w:r>
        <w:t>los</w:t>
      </w:r>
      <w:r>
        <w:rPr>
          <w:spacing w:val="-11"/>
        </w:rPr>
        <w:t xml:space="preserve"> </w:t>
      </w:r>
      <w:r>
        <w:t>actores</w:t>
      </w:r>
      <w:r>
        <w:rPr>
          <w:spacing w:val="-11"/>
        </w:rPr>
        <w:t xml:space="preserve"> </w:t>
      </w:r>
      <w:r>
        <w:t>civiles,</w:t>
      </w:r>
      <w:r>
        <w:rPr>
          <w:spacing w:val="-11"/>
        </w:rPr>
        <w:t xml:space="preserve"> </w:t>
      </w:r>
      <w:r>
        <w:t>políticos</w:t>
      </w:r>
      <w:r>
        <w:rPr>
          <w:spacing w:val="-11"/>
        </w:rPr>
        <w:t xml:space="preserve"> </w:t>
      </w:r>
      <w:r>
        <w:t>y</w:t>
      </w:r>
      <w:r>
        <w:rPr>
          <w:spacing w:val="-11"/>
        </w:rPr>
        <w:t xml:space="preserve"> </w:t>
      </w:r>
      <w:r>
        <w:t>empresariales</w:t>
      </w:r>
      <w:r>
        <w:rPr>
          <w:spacing w:val="-11"/>
        </w:rPr>
        <w:t xml:space="preserve"> </w:t>
      </w:r>
      <w:r>
        <w:t>y</w:t>
      </w:r>
      <w:r>
        <w:rPr>
          <w:spacing w:val="-11"/>
        </w:rPr>
        <w:t xml:space="preserve"> </w:t>
      </w:r>
      <w:r>
        <w:t>profundizar</w:t>
      </w:r>
      <w:r>
        <w:rPr>
          <w:spacing w:val="-10"/>
        </w:rPr>
        <w:t xml:space="preserve"> </w:t>
      </w:r>
      <w:r>
        <w:t>el</w:t>
      </w:r>
      <w:r>
        <w:rPr>
          <w:spacing w:val="-12"/>
        </w:rPr>
        <w:t xml:space="preserve"> </w:t>
      </w:r>
      <w:r>
        <w:t>control territorial.</w:t>
      </w:r>
      <w:r>
        <w:rPr>
          <w:spacing w:val="-5"/>
        </w:rPr>
        <w:t xml:space="preserve"> </w:t>
      </w:r>
      <w:r>
        <w:t>De</w:t>
      </w:r>
      <w:r>
        <w:rPr>
          <w:spacing w:val="-4"/>
        </w:rPr>
        <w:t xml:space="preserve"> </w:t>
      </w:r>
      <w:r>
        <w:t>esto</w:t>
      </w:r>
      <w:r>
        <w:rPr>
          <w:spacing w:val="-6"/>
        </w:rPr>
        <w:t xml:space="preserve"> </w:t>
      </w:r>
      <w:r>
        <w:t>son</w:t>
      </w:r>
      <w:r>
        <w:rPr>
          <w:spacing w:val="-6"/>
        </w:rPr>
        <w:t xml:space="preserve"> </w:t>
      </w:r>
      <w:r>
        <w:t>muestra</w:t>
      </w:r>
      <w:r>
        <w:rPr>
          <w:spacing w:val="-6"/>
        </w:rPr>
        <w:t xml:space="preserve"> </w:t>
      </w:r>
      <w:r>
        <w:t>las</w:t>
      </w:r>
      <w:r>
        <w:rPr>
          <w:spacing w:val="-5"/>
        </w:rPr>
        <w:t xml:space="preserve"> </w:t>
      </w:r>
      <w:r>
        <w:t>revelaciones</w:t>
      </w:r>
      <w:r>
        <w:rPr>
          <w:spacing w:val="-4"/>
        </w:rPr>
        <w:t xml:space="preserve"> </w:t>
      </w:r>
      <w:r>
        <w:t>sobre</w:t>
      </w:r>
      <w:r>
        <w:rPr>
          <w:spacing w:val="-4"/>
        </w:rPr>
        <w:t xml:space="preserve"> </w:t>
      </w:r>
      <w:r>
        <w:t>la</w:t>
      </w:r>
      <w:r>
        <w:rPr>
          <w:spacing w:val="-4"/>
        </w:rPr>
        <w:t xml:space="preserve"> </w:t>
      </w:r>
      <w:r>
        <w:t>«parapolítica»</w:t>
      </w:r>
      <w:r>
        <w:rPr>
          <w:spacing w:val="-6"/>
        </w:rPr>
        <w:t xml:space="preserve"> </w:t>
      </w:r>
      <w:r>
        <w:t>y</w:t>
      </w:r>
      <w:r>
        <w:rPr>
          <w:spacing w:val="-6"/>
        </w:rPr>
        <w:t xml:space="preserve"> </w:t>
      </w:r>
      <w:r>
        <w:t>la</w:t>
      </w:r>
      <w:r>
        <w:rPr>
          <w:spacing w:val="-4"/>
        </w:rPr>
        <w:t xml:space="preserve"> </w:t>
      </w:r>
      <w:r>
        <w:t>«</w:t>
      </w:r>
      <w:proofErr w:type="spellStart"/>
      <w:r>
        <w:t>paraeconomía</w:t>
      </w:r>
      <w:proofErr w:type="spellEnd"/>
      <w:r>
        <w:t>» (entendidas como los entramados con lo político y lo económico), así como los casos de despojo</w:t>
      </w:r>
      <w:r>
        <w:rPr>
          <w:spacing w:val="-2"/>
        </w:rPr>
        <w:t xml:space="preserve"> </w:t>
      </w:r>
      <w:r>
        <w:t>de</w:t>
      </w:r>
      <w:r>
        <w:rPr>
          <w:spacing w:val="-2"/>
        </w:rPr>
        <w:t xml:space="preserve"> </w:t>
      </w:r>
      <w:r>
        <w:t>tierras</w:t>
      </w:r>
      <w:r>
        <w:rPr>
          <w:spacing w:val="-2"/>
        </w:rPr>
        <w:t xml:space="preserve"> </w:t>
      </w:r>
      <w:r>
        <w:t>que</w:t>
      </w:r>
      <w:r>
        <w:rPr>
          <w:spacing w:val="-2"/>
        </w:rPr>
        <w:t xml:space="preserve"> </w:t>
      </w:r>
      <w:r>
        <w:t>ha</w:t>
      </w:r>
      <w:r>
        <w:rPr>
          <w:spacing w:val="-3"/>
        </w:rPr>
        <w:t xml:space="preserve"> </w:t>
      </w:r>
      <w:r>
        <w:t>documentado</w:t>
      </w:r>
      <w:r>
        <w:rPr>
          <w:spacing w:val="-2"/>
        </w:rPr>
        <w:t xml:space="preserve"> </w:t>
      </w:r>
      <w:r>
        <w:t>esta</w:t>
      </w:r>
      <w:r>
        <w:rPr>
          <w:spacing w:val="-2"/>
        </w:rPr>
        <w:t xml:space="preserve"> </w:t>
      </w:r>
      <w:r>
        <w:t>Comisión.</w:t>
      </w:r>
      <w:r>
        <w:rPr>
          <w:spacing w:val="-2"/>
        </w:rPr>
        <w:t xml:space="preserve"> </w:t>
      </w:r>
      <w:r>
        <w:t>También</w:t>
      </w:r>
      <w:r>
        <w:rPr>
          <w:spacing w:val="-2"/>
        </w:rPr>
        <w:t xml:space="preserve"> </w:t>
      </w:r>
      <w:r>
        <w:t>los</w:t>
      </w:r>
      <w:r>
        <w:rPr>
          <w:spacing w:val="-2"/>
        </w:rPr>
        <w:t xml:space="preserve"> </w:t>
      </w:r>
      <w:r>
        <w:t>nexos</w:t>
      </w:r>
      <w:r>
        <w:rPr>
          <w:spacing w:val="-2"/>
        </w:rPr>
        <w:t xml:space="preserve"> </w:t>
      </w:r>
      <w:r>
        <w:t>de</w:t>
      </w:r>
      <w:r>
        <w:rPr>
          <w:spacing w:val="-2"/>
        </w:rPr>
        <w:t xml:space="preserve"> </w:t>
      </w:r>
      <w:r>
        <w:t>la</w:t>
      </w:r>
      <w:r>
        <w:rPr>
          <w:spacing w:val="-2"/>
        </w:rPr>
        <w:t xml:space="preserve"> </w:t>
      </w:r>
      <w:r>
        <w:t>Fiscalía</w:t>
      </w:r>
      <w:r>
        <w:rPr>
          <w:spacing w:val="-2"/>
        </w:rPr>
        <w:t xml:space="preserve"> </w:t>
      </w:r>
      <w:r>
        <w:t xml:space="preserve">con el paramilitarismo. Estas redes políticas y económicas se consolidaron al tiempo en que las AUC se presentaban como un actor político en el conflicto armado, que exigía reconocimiento </w:t>
      </w:r>
      <w:r>
        <w:lastRenderedPageBreak/>
        <w:t>como interlocutor ante el Estado y preparaba las bases para una posible desmovilización, pensando en mecanismos de amnistía.</w:t>
      </w:r>
    </w:p>
    <w:p w:rsidR="003804AC" w:rsidRDefault="00AF18A5" w:rsidP="00C70A6B">
      <w:r>
        <w:t>Las</w:t>
      </w:r>
      <w:r>
        <w:rPr>
          <w:spacing w:val="-12"/>
        </w:rPr>
        <w:t xml:space="preserve"> </w:t>
      </w:r>
      <w:r>
        <w:t>AUC</w:t>
      </w:r>
      <w:r>
        <w:rPr>
          <w:spacing w:val="-12"/>
        </w:rPr>
        <w:t xml:space="preserve"> </w:t>
      </w:r>
      <w:r>
        <w:t>se</w:t>
      </w:r>
      <w:r>
        <w:rPr>
          <w:spacing w:val="-12"/>
        </w:rPr>
        <w:t xml:space="preserve"> </w:t>
      </w:r>
      <w:r>
        <w:t>constituyeron</w:t>
      </w:r>
      <w:r>
        <w:rPr>
          <w:spacing w:val="-12"/>
        </w:rPr>
        <w:t xml:space="preserve"> </w:t>
      </w:r>
      <w:r>
        <w:t>en</w:t>
      </w:r>
      <w:r>
        <w:rPr>
          <w:spacing w:val="-12"/>
        </w:rPr>
        <w:t xml:space="preserve"> </w:t>
      </w:r>
      <w:r>
        <w:t>la</w:t>
      </w:r>
      <w:r>
        <w:rPr>
          <w:spacing w:val="-13"/>
        </w:rPr>
        <w:t xml:space="preserve"> </w:t>
      </w:r>
      <w:r>
        <w:t>máxima</w:t>
      </w:r>
      <w:r>
        <w:rPr>
          <w:spacing w:val="-12"/>
        </w:rPr>
        <w:t xml:space="preserve"> </w:t>
      </w:r>
      <w:r>
        <w:t>expresión</w:t>
      </w:r>
      <w:r>
        <w:rPr>
          <w:spacing w:val="-12"/>
        </w:rPr>
        <w:t xml:space="preserve"> </w:t>
      </w:r>
      <w:r>
        <w:t>de</w:t>
      </w:r>
      <w:r>
        <w:rPr>
          <w:spacing w:val="-12"/>
        </w:rPr>
        <w:t xml:space="preserve"> </w:t>
      </w:r>
      <w:r>
        <w:t>articulación</w:t>
      </w:r>
      <w:r>
        <w:rPr>
          <w:spacing w:val="-12"/>
        </w:rPr>
        <w:t xml:space="preserve"> </w:t>
      </w:r>
      <w:r>
        <w:t>del</w:t>
      </w:r>
      <w:r>
        <w:rPr>
          <w:spacing w:val="-11"/>
        </w:rPr>
        <w:t xml:space="preserve"> </w:t>
      </w:r>
      <w:r>
        <w:t>paramilitarismo,</w:t>
      </w:r>
      <w:r>
        <w:rPr>
          <w:spacing w:val="-13"/>
        </w:rPr>
        <w:t xml:space="preserve"> </w:t>
      </w:r>
      <w:r>
        <w:t>un proyecto</w:t>
      </w:r>
      <w:r>
        <w:rPr>
          <w:spacing w:val="-1"/>
        </w:rPr>
        <w:t xml:space="preserve"> </w:t>
      </w:r>
      <w:r>
        <w:t>federado de</w:t>
      </w:r>
      <w:r>
        <w:rPr>
          <w:spacing w:val="-1"/>
        </w:rPr>
        <w:t xml:space="preserve"> </w:t>
      </w:r>
      <w:r>
        <w:t>estructuras y</w:t>
      </w:r>
      <w:r>
        <w:rPr>
          <w:spacing w:val="-1"/>
        </w:rPr>
        <w:t xml:space="preserve"> </w:t>
      </w:r>
      <w:r>
        <w:t>entramados</w:t>
      </w:r>
      <w:r>
        <w:rPr>
          <w:spacing w:val="-1"/>
        </w:rPr>
        <w:t xml:space="preserve"> </w:t>
      </w:r>
      <w:r>
        <w:t>anclados</w:t>
      </w:r>
      <w:r>
        <w:rPr>
          <w:spacing w:val="-1"/>
        </w:rPr>
        <w:t xml:space="preserve"> </w:t>
      </w:r>
      <w:r>
        <w:t>territorialmente</w:t>
      </w:r>
      <w:r>
        <w:rPr>
          <w:spacing w:val="-2"/>
        </w:rPr>
        <w:t xml:space="preserve"> </w:t>
      </w:r>
      <w:r>
        <w:t>bajo la apología de ser un movimiento político-militar de carácter nacional, antisubversivo y civil</w:t>
      </w:r>
      <w:r w:rsidR="00C70A6B">
        <w:rPr>
          <w:rStyle w:val="Refdenotaalpie"/>
        </w:rPr>
        <w:footnoteReference w:id="380"/>
      </w:r>
      <w:r>
        <w:t>. Ninguna declaración de sus mismos participantes reconoce esa estructura como narcotraficante. El propósito</w:t>
      </w:r>
      <w:r>
        <w:rPr>
          <w:spacing w:val="-15"/>
        </w:rPr>
        <w:t xml:space="preserve"> </w:t>
      </w:r>
      <w:r>
        <w:t>era,</w:t>
      </w:r>
      <w:r>
        <w:rPr>
          <w:spacing w:val="-15"/>
        </w:rPr>
        <w:t xml:space="preserve"> </w:t>
      </w:r>
      <w:r>
        <w:t>según</w:t>
      </w:r>
      <w:r>
        <w:rPr>
          <w:spacing w:val="-15"/>
        </w:rPr>
        <w:t xml:space="preserve"> </w:t>
      </w:r>
      <w:r>
        <w:t>Mancuso</w:t>
      </w:r>
      <w:r>
        <w:rPr>
          <w:spacing w:val="-15"/>
        </w:rPr>
        <w:t xml:space="preserve"> </w:t>
      </w:r>
      <w:r>
        <w:t>«unir</w:t>
      </w:r>
      <w:r>
        <w:rPr>
          <w:spacing w:val="-15"/>
        </w:rPr>
        <w:t xml:space="preserve"> </w:t>
      </w:r>
      <w:r>
        <w:t>fuerzas</w:t>
      </w:r>
      <w:r>
        <w:rPr>
          <w:spacing w:val="-15"/>
        </w:rPr>
        <w:t xml:space="preserve"> </w:t>
      </w:r>
      <w:r>
        <w:t>independientes,</w:t>
      </w:r>
      <w:r>
        <w:rPr>
          <w:spacing w:val="-15"/>
        </w:rPr>
        <w:t xml:space="preserve"> </w:t>
      </w:r>
      <w:r>
        <w:t>pero</w:t>
      </w:r>
      <w:r>
        <w:rPr>
          <w:spacing w:val="-15"/>
        </w:rPr>
        <w:t xml:space="preserve"> </w:t>
      </w:r>
      <w:r>
        <w:t>con</w:t>
      </w:r>
      <w:r>
        <w:rPr>
          <w:spacing w:val="-15"/>
        </w:rPr>
        <w:t xml:space="preserve"> </w:t>
      </w:r>
      <w:r>
        <w:t>un</w:t>
      </w:r>
      <w:r>
        <w:rPr>
          <w:spacing w:val="-15"/>
        </w:rPr>
        <w:t xml:space="preserve"> </w:t>
      </w:r>
      <w:r>
        <w:t>norte</w:t>
      </w:r>
      <w:r>
        <w:rPr>
          <w:spacing w:val="-14"/>
        </w:rPr>
        <w:t xml:space="preserve"> </w:t>
      </w:r>
      <w:r>
        <w:t>político,</w:t>
      </w:r>
      <w:r>
        <w:rPr>
          <w:spacing w:val="-15"/>
        </w:rPr>
        <w:t xml:space="preserve"> </w:t>
      </w:r>
      <w:r>
        <w:t>social y de capacidad de respuesta en caso de fuego en la guerra»</w:t>
      </w:r>
      <w:r w:rsidR="00C70A6B">
        <w:rPr>
          <w:rStyle w:val="Refdenotaalpie"/>
        </w:rPr>
        <w:footnoteReference w:id="381"/>
      </w:r>
      <w:r>
        <w:t>.</w:t>
      </w:r>
    </w:p>
    <w:p w:rsidR="003804AC" w:rsidRDefault="00AF18A5" w:rsidP="00C70A6B">
      <w:r>
        <w:t>En</w:t>
      </w:r>
      <w:r>
        <w:rPr>
          <w:spacing w:val="-2"/>
        </w:rPr>
        <w:t xml:space="preserve"> </w:t>
      </w:r>
      <w:r>
        <w:t>la</w:t>
      </w:r>
      <w:r>
        <w:rPr>
          <w:spacing w:val="-3"/>
        </w:rPr>
        <w:t xml:space="preserve"> </w:t>
      </w:r>
      <w:r>
        <w:t>interacción</w:t>
      </w:r>
      <w:r>
        <w:rPr>
          <w:spacing w:val="-2"/>
        </w:rPr>
        <w:t xml:space="preserve"> </w:t>
      </w:r>
      <w:r>
        <w:t>con</w:t>
      </w:r>
      <w:r>
        <w:rPr>
          <w:spacing w:val="-3"/>
        </w:rPr>
        <w:t xml:space="preserve"> </w:t>
      </w:r>
      <w:r>
        <w:t>diversos</w:t>
      </w:r>
      <w:r>
        <w:rPr>
          <w:spacing w:val="-3"/>
        </w:rPr>
        <w:t xml:space="preserve"> </w:t>
      </w:r>
      <w:r>
        <w:t>sectores,</w:t>
      </w:r>
      <w:r>
        <w:rPr>
          <w:spacing w:val="-2"/>
        </w:rPr>
        <w:t xml:space="preserve"> </w:t>
      </w:r>
      <w:r>
        <w:t>los</w:t>
      </w:r>
      <w:r>
        <w:rPr>
          <w:spacing w:val="-3"/>
        </w:rPr>
        <w:t xml:space="preserve"> </w:t>
      </w:r>
      <w:r>
        <w:t>diferentes</w:t>
      </w:r>
      <w:r>
        <w:rPr>
          <w:spacing w:val="-2"/>
        </w:rPr>
        <w:t xml:space="preserve"> </w:t>
      </w:r>
      <w:r>
        <w:t>grupos</w:t>
      </w:r>
      <w:r>
        <w:rPr>
          <w:spacing w:val="-3"/>
        </w:rPr>
        <w:t xml:space="preserve"> </w:t>
      </w:r>
      <w:r>
        <w:t>armados</w:t>
      </w:r>
      <w:r>
        <w:rPr>
          <w:spacing w:val="-3"/>
        </w:rPr>
        <w:t xml:space="preserve"> </w:t>
      </w:r>
      <w:r>
        <w:t>no</w:t>
      </w:r>
      <w:r>
        <w:rPr>
          <w:spacing w:val="-3"/>
        </w:rPr>
        <w:t xml:space="preserve"> </w:t>
      </w:r>
      <w:r>
        <w:t>fueron</w:t>
      </w:r>
      <w:r>
        <w:rPr>
          <w:spacing w:val="-4"/>
        </w:rPr>
        <w:t xml:space="preserve"> </w:t>
      </w:r>
      <w:r>
        <w:t>ajenos</w:t>
      </w:r>
      <w:r>
        <w:rPr>
          <w:spacing w:val="-3"/>
        </w:rPr>
        <w:t xml:space="preserve"> </w:t>
      </w:r>
      <w:r>
        <w:t>a la población civil, sino que impusieron un control social violento en los territorios, administraron conflictos y «justicia», y se relacionaron con la población a través de la cooperación voluntaria o por coacción: un proyecto paraestatal con dimensiones políticas, económicas, culturales y morales basado en una interpretación propia de la ineficacia del Estado nacional</w:t>
      </w:r>
      <w:r w:rsidR="00932797">
        <w:rPr>
          <w:rStyle w:val="Refdenotaalpie"/>
        </w:rPr>
        <w:footnoteReference w:id="382"/>
      </w:r>
      <w:r>
        <w:t xml:space="preserve"> y articulado con la fuerza pública y sectores políticos y económicos que dejaría</w:t>
      </w:r>
      <w:r>
        <w:rPr>
          <w:spacing w:val="-15"/>
        </w:rPr>
        <w:t xml:space="preserve"> </w:t>
      </w:r>
      <w:r>
        <w:t>improntas</w:t>
      </w:r>
      <w:r>
        <w:rPr>
          <w:spacing w:val="-15"/>
        </w:rPr>
        <w:t xml:space="preserve"> </w:t>
      </w:r>
      <w:r>
        <w:t>en</w:t>
      </w:r>
      <w:r>
        <w:rPr>
          <w:spacing w:val="-15"/>
        </w:rPr>
        <w:t xml:space="preserve"> </w:t>
      </w:r>
      <w:r>
        <w:t>estos</w:t>
      </w:r>
      <w:r>
        <w:rPr>
          <w:spacing w:val="-15"/>
        </w:rPr>
        <w:t xml:space="preserve"> </w:t>
      </w:r>
      <w:r>
        <w:t>territorios</w:t>
      </w:r>
      <w:r>
        <w:rPr>
          <w:spacing w:val="-15"/>
        </w:rPr>
        <w:t xml:space="preserve"> </w:t>
      </w:r>
      <w:r>
        <w:t>que</w:t>
      </w:r>
      <w:r>
        <w:rPr>
          <w:spacing w:val="-15"/>
        </w:rPr>
        <w:t xml:space="preserve"> </w:t>
      </w:r>
      <w:r>
        <w:t>sobrevivieron</w:t>
      </w:r>
      <w:r>
        <w:rPr>
          <w:spacing w:val="-15"/>
        </w:rPr>
        <w:t xml:space="preserve"> </w:t>
      </w:r>
      <w:r>
        <w:t>a</w:t>
      </w:r>
      <w:r>
        <w:rPr>
          <w:spacing w:val="-15"/>
        </w:rPr>
        <w:t xml:space="preserve"> </w:t>
      </w:r>
      <w:r>
        <w:t>la</w:t>
      </w:r>
      <w:r>
        <w:rPr>
          <w:spacing w:val="-15"/>
        </w:rPr>
        <w:t xml:space="preserve"> </w:t>
      </w:r>
      <w:r>
        <w:t>desaparición</w:t>
      </w:r>
      <w:r>
        <w:rPr>
          <w:spacing w:val="-15"/>
        </w:rPr>
        <w:t xml:space="preserve"> </w:t>
      </w:r>
      <w:r>
        <w:t>de</w:t>
      </w:r>
      <w:r>
        <w:rPr>
          <w:spacing w:val="-15"/>
        </w:rPr>
        <w:t xml:space="preserve"> </w:t>
      </w:r>
      <w:r>
        <w:t>esta</w:t>
      </w:r>
      <w:r>
        <w:rPr>
          <w:spacing w:val="-15"/>
        </w:rPr>
        <w:t xml:space="preserve"> </w:t>
      </w:r>
      <w:r>
        <w:t xml:space="preserve">organización </w:t>
      </w:r>
      <w:r>
        <w:rPr>
          <w:spacing w:val="-2"/>
        </w:rPr>
        <w:t>federada.</w:t>
      </w:r>
    </w:p>
    <w:p w:rsidR="0011361F" w:rsidRDefault="00AF18A5" w:rsidP="004A6EF4">
      <w:pPr>
        <w:pStyle w:val="Ttulo4"/>
        <w:numPr>
          <w:ilvl w:val="2"/>
          <w:numId w:val="16"/>
        </w:numPr>
      </w:pPr>
      <w:bookmarkStart w:id="528" w:name="5.4.1._Relación_con_el_narcotráfico:_el_"/>
      <w:bookmarkEnd w:id="528"/>
      <w:r>
        <w:lastRenderedPageBreak/>
        <w:t>Relación</w:t>
      </w:r>
      <w:r>
        <w:rPr>
          <w:spacing w:val="-3"/>
        </w:rPr>
        <w:t xml:space="preserve"> </w:t>
      </w:r>
      <w:r>
        <w:t>con</w:t>
      </w:r>
      <w:r>
        <w:rPr>
          <w:spacing w:val="-3"/>
        </w:rPr>
        <w:t xml:space="preserve"> </w:t>
      </w:r>
      <w:r>
        <w:t>el</w:t>
      </w:r>
      <w:r>
        <w:rPr>
          <w:spacing w:val="-1"/>
        </w:rPr>
        <w:t xml:space="preserve"> </w:t>
      </w:r>
      <w:r w:rsidRPr="00C70A6B">
        <w:t>narcotráfico</w:t>
      </w:r>
      <w:r>
        <w:t>:</w:t>
      </w:r>
      <w:r>
        <w:rPr>
          <w:spacing w:val="-3"/>
        </w:rPr>
        <w:t xml:space="preserve"> </w:t>
      </w:r>
      <w:r>
        <w:t>el</w:t>
      </w:r>
      <w:r>
        <w:rPr>
          <w:spacing w:val="-1"/>
        </w:rPr>
        <w:t xml:space="preserve"> </w:t>
      </w:r>
      <w:r>
        <w:rPr>
          <w:spacing w:val="-2"/>
        </w:rPr>
        <w:t>motor</w:t>
      </w:r>
    </w:p>
    <w:p w:rsidR="0011361F" w:rsidRDefault="00AF18A5" w:rsidP="00696DDA">
      <w:r>
        <w:t xml:space="preserve">El entramado no podría haber alcanzado las dimensiones que ha tenido sin la participación de los dineros del narcotráfico. En los años ochenta el paramilitarismo dio un giro fundamental para convertirse en un ejército impulsado por las economías de la droga, que estuvo en múltiples ocasiones al servicio del narcotráfico. Este punto de inflexión en el paramilitarismo significó la entrada del narcotráfico al conflicto armado por vía </w:t>
      </w:r>
      <w:r>
        <w:rPr>
          <w:spacing w:val="-2"/>
        </w:rPr>
        <w:t>contrainsurgente.</w:t>
      </w:r>
    </w:p>
    <w:p w:rsidR="003804AC" w:rsidRDefault="00AF18A5" w:rsidP="00696DDA">
      <w:bookmarkStart w:id="529" w:name="_bookmark430"/>
      <w:bookmarkStart w:id="530" w:name="_bookmark431"/>
      <w:bookmarkStart w:id="531" w:name="_bookmark432"/>
      <w:bookmarkEnd w:id="529"/>
      <w:bookmarkEnd w:id="530"/>
      <w:bookmarkEnd w:id="531"/>
      <w:r>
        <w:t xml:space="preserve">Desde los tiempos de </w:t>
      </w:r>
      <w:proofErr w:type="spellStart"/>
      <w:r>
        <w:t>Acdegam</w:t>
      </w:r>
      <w:proofErr w:type="spellEnd"/>
      <w:r>
        <w:t xml:space="preserve"> en Puerto Boyacá, para Henry Pérez la alianza con el narcotráfico fue central para sostener económicamente la ofensiva que estaba realizando la organización ilegal. En 1984, los narcotraficantes Gonzalo Rodríguez Gacha, alias ‘el Mexicano’</w:t>
      </w:r>
      <w:r w:rsidR="00696DDA">
        <w:rPr>
          <w:rStyle w:val="Refdenotaalpie"/>
        </w:rPr>
        <w:footnoteReference w:id="383"/>
      </w:r>
      <w:r>
        <w:t xml:space="preserve"> y Pablo Escobar decidieron estrechar relaciones con el paramilitarismo, en cabeza</w:t>
      </w:r>
      <w:r>
        <w:rPr>
          <w:spacing w:val="-5"/>
        </w:rPr>
        <w:t xml:space="preserve"> </w:t>
      </w:r>
      <w:r>
        <w:t>de</w:t>
      </w:r>
      <w:r>
        <w:rPr>
          <w:spacing w:val="-3"/>
        </w:rPr>
        <w:t xml:space="preserve"> </w:t>
      </w:r>
      <w:r>
        <w:t>Gonzalo</w:t>
      </w:r>
      <w:r>
        <w:rPr>
          <w:spacing w:val="-4"/>
        </w:rPr>
        <w:t xml:space="preserve"> </w:t>
      </w:r>
      <w:r>
        <w:t>Pérez,</w:t>
      </w:r>
      <w:r>
        <w:rPr>
          <w:spacing w:val="-4"/>
        </w:rPr>
        <w:t xml:space="preserve"> </w:t>
      </w:r>
      <w:r>
        <w:t>tras</w:t>
      </w:r>
      <w:r>
        <w:rPr>
          <w:spacing w:val="-5"/>
        </w:rPr>
        <w:t xml:space="preserve"> </w:t>
      </w:r>
      <w:r>
        <w:t>el</w:t>
      </w:r>
      <w:r>
        <w:rPr>
          <w:spacing w:val="-4"/>
        </w:rPr>
        <w:t xml:space="preserve"> </w:t>
      </w:r>
      <w:r>
        <w:t>ataque</w:t>
      </w:r>
      <w:r>
        <w:rPr>
          <w:spacing w:val="-3"/>
        </w:rPr>
        <w:t xml:space="preserve"> </w:t>
      </w:r>
      <w:r>
        <w:t>de</w:t>
      </w:r>
      <w:r>
        <w:rPr>
          <w:spacing w:val="-5"/>
        </w:rPr>
        <w:t xml:space="preserve"> </w:t>
      </w:r>
      <w:r>
        <w:t>las</w:t>
      </w:r>
      <w:r>
        <w:rPr>
          <w:spacing w:val="-5"/>
        </w:rPr>
        <w:t xml:space="preserve"> </w:t>
      </w:r>
      <w:r>
        <w:t>FARC-EP</w:t>
      </w:r>
      <w:r>
        <w:rPr>
          <w:spacing w:val="-4"/>
        </w:rPr>
        <w:t xml:space="preserve"> </w:t>
      </w:r>
      <w:r>
        <w:t>a</w:t>
      </w:r>
      <w:r>
        <w:rPr>
          <w:spacing w:val="-3"/>
        </w:rPr>
        <w:t xml:space="preserve"> </w:t>
      </w:r>
      <w:r>
        <w:t>los</w:t>
      </w:r>
      <w:r>
        <w:rPr>
          <w:spacing w:val="-4"/>
        </w:rPr>
        <w:t xml:space="preserve"> </w:t>
      </w:r>
      <w:r>
        <w:t>laboratorios</w:t>
      </w:r>
      <w:r>
        <w:rPr>
          <w:spacing w:val="-4"/>
        </w:rPr>
        <w:t xml:space="preserve"> </w:t>
      </w:r>
      <w:r>
        <w:t>de</w:t>
      </w:r>
      <w:r>
        <w:rPr>
          <w:spacing w:val="-5"/>
        </w:rPr>
        <w:t xml:space="preserve"> </w:t>
      </w:r>
      <w:r>
        <w:t>‘el</w:t>
      </w:r>
      <w:r>
        <w:rPr>
          <w:spacing w:val="-4"/>
        </w:rPr>
        <w:t xml:space="preserve"> </w:t>
      </w:r>
      <w:r>
        <w:t>Mexicano’ en</w:t>
      </w:r>
      <w:r>
        <w:rPr>
          <w:spacing w:val="-15"/>
        </w:rPr>
        <w:t xml:space="preserve"> </w:t>
      </w:r>
      <w:r>
        <w:t>llanos</w:t>
      </w:r>
      <w:r>
        <w:rPr>
          <w:spacing w:val="-15"/>
        </w:rPr>
        <w:t xml:space="preserve"> </w:t>
      </w:r>
      <w:r>
        <w:t>del</w:t>
      </w:r>
      <w:r>
        <w:rPr>
          <w:spacing w:val="-15"/>
        </w:rPr>
        <w:t xml:space="preserve"> </w:t>
      </w:r>
      <w:proofErr w:type="spellStart"/>
      <w:r>
        <w:t>Yarí</w:t>
      </w:r>
      <w:proofErr w:type="spellEnd"/>
      <w:r>
        <w:rPr>
          <w:spacing w:val="-15"/>
        </w:rPr>
        <w:t xml:space="preserve"> </w:t>
      </w:r>
      <w:r>
        <w:t>(entre</w:t>
      </w:r>
      <w:r>
        <w:rPr>
          <w:spacing w:val="-15"/>
        </w:rPr>
        <w:t xml:space="preserve"> </w:t>
      </w:r>
      <w:r>
        <w:t>Caquetá</w:t>
      </w:r>
      <w:r>
        <w:rPr>
          <w:spacing w:val="-15"/>
        </w:rPr>
        <w:t xml:space="preserve"> </w:t>
      </w:r>
      <w:r>
        <w:t>y</w:t>
      </w:r>
      <w:r>
        <w:rPr>
          <w:spacing w:val="-15"/>
        </w:rPr>
        <w:t xml:space="preserve"> </w:t>
      </w:r>
      <w:r>
        <w:t>Meta),</w:t>
      </w:r>
      <w:r>
        <w:rPr>
          <w:spacing w:val="-15"/>
        </w:rPr>
        <w:t xml:space="preserve"> </w:t>
      </w:r>
      <w:r>
        <w:t>el</w:t>
      </w:r>
      <w:r>
        <w:rPr>
          <w:spacing w:val="-15"/>
        </w:rPr>
        <w:t xml:space="preserve"> </w:t>
      </w:r>
      <w:r>
        <w:t>robo</w:t>
      </w:r>
      <w:r>
        <w:rPr>
          <w:spacing w:val="-15"/>
        </w:rPr>
        <w:t xml:space="preserve"> </w:t>
      </w:r>
      <w:r>
        <w:t>de</w:t>
      </w:r>
      <w:r>
        <w:rPr>
          <w:spacing w:val="-15"/>
        </w:rPr>
        <w:t xml:space="preserve"> </w:t>
      </w:r>
      <w:r>
        <w:t>200</w:t>
      </w:r>
      <w:r>
        <w:rPr>
          <w:spacing w:val="-15"/>
        </w:rPr>
        <w:t xml:space="preserve"> </w:t>
      </w:r>
      <w:r>
        <w:t>kilos</w:t>
      </w:r>
      <w:r>
        <w:rPr>
          <w:spacing w:val="-15"/>
        </w:rPr>
        <w:t xml:space="preserve"> </w:t>
      </w:r>
      <w:r>
        <w:t>de</w:t>
      </w:r>
      <w:r>
        <w:rPr>
          <w:spacing w:val="-15"/>
        </w:rPr>
        <w:t xml:space="preserve"> </w:t>
      </w:r>
      <w:r>
        <w:t>cocaína</w:t>
      </w:r>
      <w:r>
        <w:rPr>
          <w:spacing w:val="-15"/>
        </w:rPr>
        <w:t xml:space="preserve"> </w:t>
      </w:r>
      <w:r>
        <w:t>y</w:t>
      </w:r>
      <w:r>
        <w:rPr>
          <w:spacing w:val="-15"/>
        </w:rPr>
        <w:t xml:space="preserve"> </w:t>
      </w:r>
      <w:r>
        <w:t>el</w:t>
      </w:r>
      <w:r>
        <w:rPr>
          <w:spacing w:val="-15"/>
        </w:rPr>
        <w:t xml:space="preserve"> </w:t>
      </w:r>
      <w:r>
        <w:t>incumplimiento de pactos sobre la construcción y uso de otros laboratorios</w:t>
      </w:r>
      <w:r w:rsidR="00696DDA">
        <w:rPr>
          <w:rStyle w:val="Refdenotaalpie"/>
        </w:rPr>
        <w:footnoteReference w:id="384"/>
      </w:r>
      <w:r>
        <w:t>.</w:t>
      </w:r>
    </w:p>
    <w:p w:rsidR="003804AC" w:rsidRDefault="00AF18A5" w:rsidP="00696DDA">
      <w:r>
        <w:t>Desde 1985, varios de los integrantes y aliados de esta estructura, incluido Henry Pérez, comenzaron a expandirse al Meta, Caquetá, Putumayo, Córdoba, Boyacá y regiones del nordeste, Bajo Cauca y Urabá en Antioquia</w:t>
      </w:r>
      <w:r w:rsidR="00696DDA">
        <w:rPr>
          <w:rStyle w:val="Refdenotaalpie"/>
        </w:rPr>
        <w:footnoteReference w:id="385"/>
      </w:r>
      <w:r>
        <w:t xml:space="preserve">. Así, el componente contrainsurgente se </w:t>
      </w:r>
      <w:r>
        <w:lastRenderedPageBreak/>
        <w:t>entrecruzó con el interés por el exterminio y expulsión de sectores sociales y políticos contrarios al orden paramilitar; y con las motivaciones de expandir el negocio de las drogas a través del despeje de rutas de contrabando en sitios estratégicos del territorio nacional.</w:t>
      </w:r>
    </w:p>
    <w:p w:rsidR="003804AC" w:rsidRDefault="00AF18A5" w:rsidP="00E0595E">
      <w:r>
        <w:t>De ahí en adelante, esta relación se estrechó cada vez más hasta generar en los propios grupos paramilitares cismas y guerras internas por la preponderancia o por el control del narcotráfico,</w:t>
      </w:r>
      <w:r>
        <w:rPr>
          <w:spacing w:val="-5"/>
        </w:rPr>
        <w:t xml:space="preserve"> </w:t>
      </w:r>
      <w:r>
        <w:t>como</w:t>
      </w:r>
      <w:r>
        <w:rPr>
          <w:spacing w:val="-6"/>
        </w:rPr>
        <w:t xml:space="preserve"> </w:t>
      </w:r>
      <w:r>
        <w:t>lo</w:t>
      </w:r>
      <w:r>
        <w:rPr>
          <w:spacing w:val="-5"/>
        </w:rPr>
        <w:t xml:space="preserve"> </w:t>
      </w:r>
      <w:r>
        <w:t>fueron</w:t>
      </w:r>
      <w:r>
        <w:rPr>
          <w:spacing w:val="-5"/>
        </w:rPr>
        <w:t xml:space="preserve"> </w:t>
      </w:r>
      <w:r>
        <w:t>los</w:t>
      </w:r>
      <w:r>
        <w:rPr>
          <w:spacing w:val="-5"/>
        </w:rPr>
        <w:t xml:space="preserve"> </w:t>
      </w:r>
      <w:r>
        <w:t>enfrentamientos</w:t>
      </w:r>
      <w:r>
        <w:rPr>
          <w:spacing w:val="-6"/>
        </w:rPr>
        <w:t xml:space="preserve"> </w:t>
      </w:r>
      <w:r>
        <w:t>entre</w:t>
      </w:r>
      <w:r>
        <w:rPr>
          <w:spacing w:val="-5"/>
        </w:rPr>
        <w:t xml:space="preserve"> </w:t>
      </w:r>
      <w:r>
        <w:t>carteles</w:t>
      </w:r>
      <w:r>
        <w:rPr>
          <w:spacing w:val="-6"/>
        </w:rPr>
        <w:t xml:space="preserve"> </w:t>
      </w:r>
      <w:r>
        <w:t>que</w:t>
      </w:r>
      <w:r>
        <w:rPr>
          <w:spacing w:val="-4"/>
        </w:rPr>
        <w:t xml:space="preserve"> </w:t>
      </w:r>
      <w:r>
        <w:t>terminaron</w:t>
      </w:r>
      <w:r>
        <w:rPr>
          <w:spacing w:val="-5"/>
        </w:rPr>
        <w:t xml:space="preserve"> </w:t>
      </w:r>
      <w:r>
        <w:t>con</w:t>
      </w:r>
      <w:r>
        <w:rPr>
          <w:spacing w:val="-5"/>
        </w:rPr>
        <w:t xml:space="preserve"> </w:t>
      </w:r>
      <w:r>
        <w:t>la</w:t>
      </w:r>
      <w:r>
        <w:rPr>
          <w:spacing w:val="-5"/>
        </w:rPr>
        <w:t xml:space="preserve"> </w:t>
      </w:r>
      <w:r>
        <w:t>guerra total</w:t>
      </w:r>
      <w:r>
        <w:rPr>
          <w:spacing w:val="-5"/>
        </w:rPr>
        <w:t xml:space="preserve"> </w:t>
      </w:r>
      <w:r>
        <w:t>contra</w:t>
      </w:r>
      <w:r>
        <w:rPr>
          <w:spacing w:val="-8"/>
        </w:rPr>
        <w:t xml:space="preserve"> </w:t>
      </w:r>
      <w:r>
        <w:t>Pablo</w:t>
      </w:r>
      <w:r>
        <w:rPr>
          <w:spacing w:val="-6"/>
        </w:rPr>
        <w:t xml:space="preserve"> </w:t>
      </w:r>
      <w:r>
        <w:t>Escobar.</w:t>
      </w:r>
      <w:r>
        <w:rPr>
          <w:spacing w:val="-6"/>
        </w:rPr>
        <w:t xml:space="preserve"> </w:t>
      </w:r>
      <w:r>
        <w:t>Los</w:t>
      </w:r>
      <w:r>
        <w:rPr>
          <w:spacing w:val="-7"/>
        </w:rPr>
        <w:t xml:space="preserve"> </w:t>
      </w:r>
      <w:r>
        <w:t>Pepes</w:t>
      </w:r>
      <w:r>
        <w:rPr>
          <w:spacing w:val="-6"/>
        </w:rPr>
        <w:t xml:space="preserve"> </w:t>
      </w:r>
      <w:r>
        <w:t>acercaron</w:t>
      </w:r>
      <w:r>
        <w:rPr>
          <w:spacing w:val="-7"/>
        </w:rPr>
        <w:t xml:space="preserve"> </w:t>
      </w:r>
      <w:r>
        <w:t>a</w:t>
      </w:r>
      <w:r>
        <w:rPr>
          <w:spacing w:val="-6"/>
        </w:rPr>
        <w:t xml:space="preserve"> </w:t>
      </w:r>
      <w:r>
        <w:t>diferentes</w:t>
      </w:r>
      <w:r>
        <w:rPr>
          <w:spacing w:val="-8"/>
        </w:rPr>
        <w:t xml:space="preserve"> </w:t>
      </w:r>
      <w:r>
        <w:t>sectores</w:t>
      </w:r>
      <w:r>
        <w:rPr>
          <w:spacing w:val="-6"/>
        </w:rPr>
        <w:t xml:space="preserve"> </w:t>
      </w:r>
      <w:r>
        <w:t>nacionales</w:t>
      </w:r>
      <w:r>
        <w:rPr>
          <w:spacing w:val="-6"/>
        </w:rPr>
        <w:t xml:space="preserve"> </w:t>
      </w:r>
      <w:r>
        <w:t>de</w:t>
      </w:r>
      <w:r>
        <w:rPr>
          <w:spacing w:val="-7"/>
        </w:rPr>
        <w:t xml:space="preserve"> </w:t>
      </w:r>
      <w:r>
        <w:t>la</w:t>
      </w:r>
      <w:r>
        <w:rPr>
          <w:spacing w:val="-7"/>
        </w:rPr>
        <w:t xml:space="preserve"> </w:t>
      </w:r>
      <w:r>
        <w:t>fuerza pública, a organismos de seguridad e inteligencia del Estado colombiano, a agencias de inteligencia</w:t>
      </w:r>
      <w:r>
        <w:rPr>
          <w:spacing w:val="-13"/>
        </w:rPr>
        <w:t xml:space="preserve"> </w:t>
      </w:r>
      <w:r>
        <w:t>estadounidenses,</w:t>
      </w:r>
      <w:r>
        <w:rPr>
          <w:spacing w:val="-10"/>
        </w:rPr>
        <w:t xml:space="preserve"> </w:t>
      </w:r>
      <w:r>
        <w:t>como</w:t>
      </w:r>
      <w:r>
        <w:rPr>
          <w:spacing w:val="-11"/>
        </w:rPr>
        <w:t xml:space="preserve"> </w:t>
      </w:r>
      <w:r>
        <w:t>la</w:t>
      </w:r>
      <w:r>
        <w:rPr>
          <w:spacing w:val="-11"/>
        </w:rPr>
        <w:t xml:space="preserve"> </w:t>
      </w:r>
      <w:r>
        <w:t>DEA,</w:t>
      </w:r>
      <w:r>
        <w:rPr>
          <w:spacing w:val="-10"/>
        </w:rPr>
        <w:t xml:space="preserve"> </w:t>
      </w:r>
      <w:r>
        <w:t>al</w:t>
      </w:r>
      <w:r>
        <w:rPr>
          <w:spacing w:val="-10"/>
        </w:rPr>
        <w:t xml:space="preserve"> </w:t>
      </w:r>
      <w:r>
        <w:t>Cartel</w:t>
      </w:r>
      <w:r>
        <w:rPr>
          <w:spacing w:val="-9"/>
        </w:rPr>
        <w:t xml:space="preserve"> </w:t>
      </w:r>
      <w:r>
        <w:t>de</w:t>
      </w:r>
      <w:r>
        <w:rPr>
          <w:spacing w:val="-11"/>
        </w:rPr>
        <w:t xml:space="preserve"> </w:t>
      </w:r>
      <w:r>
        <w:t>Cali</w:t>
      </w:r>
      <w:r>
        <w:rPr>
          <w:spacing w:val="-12"/>
        </w:rPr>
        <w:t xml:space="preserve"> </w:t>
      </w:r>
      <w:r>
        <w:t>y</w:t>
      </w:r>
      <w:r>
        <w:rPr>
          <w:spacing w:val="-10"/>
        </w:rPr>
        <w:t xml:space="preserve"> </w:t>
      </w:r>
      <w:r>
        <w:t>a</w:t>
      </w:r>
      <w:r>
        <w:rPr>
          <w:spacing w:val="-10"/>
        </w:rPr>
        <w:t xml:space="preserve"> </w:t>
      </w:r>
      <w:r>
        <w:t>grupos</w:t>
      </w:r>
      <w:r>
        <w:rPr>
          <w:spacing w:val="-11"/>
        </w:rPr>
        <w:t xml:space="preserve"> </w:t>
      </w:r>
      <w:r>
        <w:t>paramilitares</w:t>
      </w:r>
      <w:r w:rsidR="00696DDA">
        <w:rPr>
          <w:rStyle w:val="Refdenotaalpie"/>
        </w:rPr>
        <w:footnoteReference w:id="386"/>
      </w:r>
      <w:r>
        <w:t>,</w:t>
      </w:r>
      <w:r>
        <w:rPr>
          <w:spacing w:val="-10"/>
        </w:rPr>
        <w:t xml:space="preserve"> </w:t>
      </w:r>
      <w:r>
        <w:rPr>
          <w:spacing w:val="-5"/>
        </w:rPr>
        <w:t>que</w:t>
      </w:r>
      <w:bookmarkStart w:id="532" w:name="_bookmark433"/>
      <w:bookmarkStart w:id="533" w:name="_bookmark434"/>
      <w:bookmarkStart w:id="534" w:name="_bookmark435"/>
      <w:bookmarkStart w:id="535" w:name="_bookmark436"/>
      <w:bookmarkEnd w:id="532"/>
      <w:bookmarkEnd w:id="533"/>
      <w:bookmarkEnd w:id="534"/>
      <w:bookmarkEnd w:id="535"/>
      <w:r w:rsidR="00E0595E">
        <w:rPr>
          <w:spacing w:val="-5"/>
        </w:rPr>
        <w:t xml:space="preserve"> </w:t>
      </w:r>
      <w:r>
        <w:t>se</w:t>
      </w:r>
      <w:r>
        <w:rPr>
          <w:spacing w:val="-2"/>
        </w:rPr>
        <w:t xml:space="preserve"> </w:t>
      </w:r>
      <w:r>
        <w:t>coordinaron</w:t>
      </w:r>
      <w:r>
        <w:rPr>
          <w:spacing w:val="-2"/>
        </w:rPr>
        <w:t xml:space="preserve"> </w:t>
      </w:r>
      <w:r>
        <w:t>para</w:t>
      </w:r>
      <w:r>
        <w:rPr>
          <w:spacing w:val="-2"/>
        </w:rPr>
        <w:t xml:space="preserve"> </w:t>
      </w:r>
      <w:r>
        <w:t>dar</w:t>
      </w:r>
      <w:r>
        <w:rPr>
          <w:spacing w:val="-3"/>
        </w:rPr>
        <w:t xml:space="preserve"> </w:t>
      </w:r>
      <w:r>
        <w:t>muerte</w:t>
      </w:r>
      <w:r>
        <w:rPr>
          <w:spacing w:val="-2"/>
        </w:rPr>
        <w:t xml:space="preserve"> </w:t>
      </w:r>
      <w:r>
        <w:t>a</w:t>
      </w:r>
      <w:r>
        <w:rPr>
          <w:spacing w:val="-2"/>
        </w:rPr>
        <w:t xml:space="preserve"> </w:t>
      </w:r>
      <w:r>
        <w:t>Pablo</w:t>
      </w:r>
      <w:r>
        <w:rPr>
          <w:spacing w:val="-2"/>
        </w:rPr>
        <w:t xml:space="preserve"> </w:t>
      </w:r>
      <w:r>
        <w:t>Escobar.</w:t>
      </w:r>
      <w:r>
        <w:rPr>
          <w:spacing w:val="-3"/>
        </w:rPr>
        <w:t xml:space="preserve"> </w:t>
      </w:r>
      <w:r>
        <w:t>Una</w:t>
      </w:r>
      <w:r>
        <w:rPr>
          <w:spacing w:val="-2"/>
        </w:rPr>
        <w:t xml:space="preserve"> </w:t>
      </w:r>
      <w:r>
        <w:t>parte</w:t>
      </w:r>
      <w:r>
        <w:rPr>
          <w:spacing w:val="-3"/>
        </w:rPr>
        <w:t xml:space="preserve"> </w:t>
      </w:r>
      <w:r>
        <w:t>de</w:t>
      </w:r>
      <w:r>
        <w:rPr>
          <w:spacing w:val="-2"/>
        </w:rPr>
        <w:t xml:space="preserve"> </w:t>
      </w:r>
      <w:r>
        <w:t>ellos</w:t>
      </w:r>
      <w:r>
        <w:rPr>
          <w:spacing w:val="-2"/>
        </w:rPr>
        <w:t xml:space="preserve"> </w:t>
      </w:r>
      <w:r>
        <w:t>se</w:t>
      </w:r>
      <w:r>
        <w:rPr>
          <w:spacing w:val="-3"/>
        </w:rPr>
        <w:t xml:space="preserve"> </w:t>
      </w:r>
      <w:r>
        <w:t>convirtieron</w:t>
      </w:r>
      <w:r>
        <w:rPr>
          <w:spacing w:val="-4"/>
        </w:rPr>
        <w:t xml:space="preserve"> </w:t>
      </w:r>
      <w:r>
        <w:t>luego</w:t>
      </w:r>
      <w:r>
        <w:rPr>
          <w:spacing w:val="-2"/>
        </w:rPr>
        <w:t xml:space="preserve"> </w:t>
      </w:r>
      <w:r>
        <w:t>en aliados funcionales para el proyecto paramilitar:</w:t>
      </w:r>
    </w:p>
    <w:p w:rsidR="003804AC" w:rsidRDefault="00AF18A5" w:rsidP="00E0595E">
      <w:r>
        <w:t>«Triunfa ese sector del narcotráfico, el de Los Pepes, cuando matan a Pablo Escobar en diciembre</w:t>
      </w:r>
      <w:r>
        <w:rPr>
          <w:spacing w:val="-3"/>
        </w:rPr>
        <w:t xml:space="preserve"> </w:t>
      </w:r>
      <w:r>
        <w:t>del</w:t>
      </w:r>
      <w:r>
        <w:rPr>
          <w:spacing w:val="-3"/>
        </w:rPr>
        <w:t xml:space="preserve"> </w:t>
      </w:r>
      <w:r>
        <w:t>93,</w:t>
      </w:r>
      <w:r>
        <w:rPr>
          <w:spacing w:val="-4"/>
        </w:rPr>
        <w:t xml:space="preserve"> </w:t>
      </w:r>
      <w:r>
        <w:t>y</w:t>
      </w:r>
      <w:r>
        <w:rPr>
          <w:spacing w:val="-4"/>
        </w:rPr>
        <w:t xml:space="preserve"> </w:t>
      </w:r>
      <w:r>
        <w:t>es</w:t>
      </w:r>
      <w:r>
        <w:rPr>
          <w:spacing w:val="-3"/>
        </w:rPr>
        <w:t xml:space="preserve"> </w:t>
      </w:r>
      <w:r>
        <w:t>casi</w:t>
      </w:r>
      <w:r>
        <w:rPr>
          <w:spacing w:val="-3"/>
        </w:rPr>
        <w:t xml:space="preserve"> </w:t>
      </w:r>
      <w:r>
        <w:t>que</w:t>
      </w:r>
      <w:r>
        <w:rPr>
          <w:spacing w:val="-3"/>
        </w:rPr>
        <w:t xml:space="preserve"> </w:t>
      </w:r>
      <w:r>
        <w:t>inmediatamente</w:t>
      </w:r>
      <w:r>
        <w:rPr>
          <w:spacing w:val="-5"/>
        </w:rPr>
        <w:t xml:space="preserve"> </w:t>
      </w:r>
      <w:r>
        <w:t>que</w:t>
      </w:r>
      <w:r>
        <w:rPr>
          <w:spacing w:val="-3"/>
        </w:rPr>
        <w:t xml:space="preserve"> </w:t>
      </w:r>
      <w:r>
        <w:t>ese</w:t>
      </w:r>
      <w:r>
        <w:rPr>
          <w:spacing w:val="-3"/>
        </w:rPr>
        <w:t xml:space="preserve"> </w:t>
      </w:r>
      <w:r>
        <w:t>sector</w:t>
      </w:r>
      <w:r>
        <w:rPr>
          <w:spacing w:val="-3"/>
        </w:rPr>
        <w:t xml:space="preserve"> </w:t>
      </w:r>
      <w:r>
        <w:t>aliado</w:t>
      </w:r>
      <w:r>
        <w:rPr>
          <w:spacing w:val="-4"/>
        </w:rPr>
        <w:t xml:space="preserve"> </w:t>
      </w:r>
      <w:r>
        <w:t>del</w:t>
      </w:r>
      <w:r>
        <w:rPr>
          <w:spacing w:val="-4"/>
        </w:rPr>
        <w:t xml:space="preserve"> </w:t>
      </w:r>
      <w:r>
        <w:t>Estado</w:t>
      </w:r>
      <w:r>
        <w:rPr>
          <w:spacing w:val="-4"/>
        </w:rPr>
        <w:t xml:space="preserve"> </w:t>
      </w:r>
      <w:r>
        <w:t>en</w:t>
      </w:r>
      <w:r>
        <w:rPr>
          <w:spacing w:val="-4"/>
        </w:rPr>
        <w:t xml:space="preserve"> </w:t>
      </w:r>
      <w:r>
        <w:t>la</w:t>
      </w:r>
      <w:r>
        <w:rPr>
          <w:spacing w:val="-3"/>
        </w:rPr>
        <w:t xml:space="preserve"> </w:t>
      </w:r>
      <w:r>
        <w:t>guerra contra el enemigo común, ese mismo sector es el que luego financia las campañas al Congreso de la República y a Presidencia en marzo de 1994. Es decir, tres o cuatro meses después, esos socios son los que financian la campaña política del año siguiente. [...] Las armas de Los Pepes son regaladas a los Castaño en Urabá. Las relaciones establecidas entre ese</w:t>
      </w:r>
      <w:r>
        <w:rPr>
          <w:spacing w:val="-7"/>
        </w:rPr>
        <w:t xml:space="preserve"> </w:t>
      </w:r>
      <w:r>
        <w:t>grupo</w:t>
      </w:r>
      <w:r>
        <w:rPr>
          <w:spacing w:val="-8"/>
        </w:rPr>
        <w:t xml:space="preserve"> </w:t>
      </w:r>
      <w:r>
        <w:t>de</w:t>
      </w:r>
      <w:r>
        <w:rPr>
          <w:spacing w:val="-8"/>
        </w:rPr>
        <w:t xml:space="preserve"> </w:t>
      </w:r>
      <w:r>
        <w:lastRenderedPageBreak/>
        <w:t>criminales</w:t>
      </w:r>
      <w:r>
        <w:rPr>
          <w:spacing w:val="-7"/>
        </w:rPr>
        <w:t xml:space="preserve"> </w:t>
      </w:r>
      <w:r>
        <w:t>con</w:t>
      </w:r>
      <w:r>
        <w:rPr>
          <w:spacing w:val="-8"/>
        </w:rPr>
        <w:t xml:space="preserve"> </w:t>
      </w:r>
      <w:r>
        <w:t>agentes</w:t>
      </w:r>
      <w:r>
        <w:rPr>
          <w:spacing w:val="-7"/>
        </w:rPr>
        <w:t xml:space="preserve"> </w:t>
      </w:r>
      <w:r>
        <w:t>del</w:t>
      </w:r>
      <w:r>
        <w:rPr>
          <w:spacing w:val="-8"/>
        </w:rPr>
        <w:t xml:space="preserve"> </w:t>
      </w:r>
      <w:r>
        <w:t>Estado</w:t>
      </w:r>
      <w:r>
        <w:rPr>
          <w:spacing w:val="-7"/>
        </w:rPr>
        <w:t xml:space="preserve"> </w:t>
      </w:r>
      <w:r>
        <w:t>probablemente</w:t>
      </w:r>
      <w:r>
        <w:rPr>
          <w:spacing w:val="-8"/>
        </w:rPr>
        <w:t xml:space="preserve"> </w:t>
      </w:r>
      <w:r>
        <w:t>son</w:t>
      </w:r>
      <w:r>
        <w:rPr>
          <w:spacing w:val="-7"/>
        </w:rPr>
        <w:t xml:space="preserve"> </w:t>
      </w:r>
      <w:r>
        <w:t>las</w:t>
      </w:r>
      <w:r>
        <w:rPr>
          <w:spacing w:val="-8"/>
        </w:rPr>
        <w:t xml:space="preserve"> </w:t>
      </w:r>
      <w:r>
        <w:t>que</w:t>
      </w:r>
      <w:r>
        <w:rPr>
          <w:spacing w:val="-8"/>
        </w:rPr>
        <w:t xml:space="preserve"> </w:t>
      </w:r>
      <w:r>
        <w:t>también</w:t>
      </w:r>
      <w:r>
        <w:rPr>
          <w:spacing w:val="-7"/>
        </w:rPr>
        <w:t xml:space="preserve"> </w:t>
      </w:r>
      <w:r>
        <w:t>sirven</w:t>
      </w:r>
      <w:r>
        <w:rPr>
          <w:spacing w:val="-8"/>
        </w:rPr>
        <w:t xml:space="preserve"> </w:t>
      </w:r>
      <w:r>
        <w:t xml:space="preserve">en lo sucesivo para continuar con esas relaciones, con ese trabajo conjunto; pero ya enfocado no en esta ala del narcotráfico, sino en las acciones del paramilitarismo contra la </w:t>
      </w:r>
      <w:r>
        <w:rPr>
          <w:spacing w:val="-2"/>
        </w:rPr>
        <w:t>población»</w:t>
      </w:r>
      <w:r w:rsidR="00726E38">
        <w:rPr>
          <w:rStyle w:val="Refdenotaalpie"/>
          <w:spacing w:val="-2"/>
        </w:rPr>
        <w:footnoteReference w:id="387"/>
      </w:r>
      <w:r>
        <w:rPr>
          <w:spacing w:val="-2"/>
        </w:rPr>
        <w:t>.</w:t>
      </w:r>
    </w:p>
    <w:p w:rsidR="003804AC" w:rsidRDefault="00AF18A5" w:rsidP="00726E38">
      <w:r>
        <w:t>El</w:t>
      </w:r>
      <w:r>
        <w:rPr>
          <w:spacing w:val="-1"/>
        </w:rPr>
        <w:t xml:space="preserve"> </w:t>
      </w:r>
      <w:r>
        <w:t>rol</w:t>
      </w:r>
      <w:r>
        <w:rPr>
          <w:spacing w:val="-1"/>
        </w:rPr>
        <w:t xml:space="preserve"> </w:t>
      </w:r>
      <w:r>
        <w:t>central</w:t>
      </w:r>
      <w:r>
        <w:rPr>
          <w:spacing w:val="-1"/>
        </w:rPr>
        <w:t xml:space="preserve"> </w:t>
      </w:r>
      <w:r>
        <w:t>del</w:t>
      </w:r>
      <w:r>
        <w:rPr>
          <w:spacing w:val="-1"/>
        </w:rPr>
        <w:t xml:space="preserve"> </w:t>
      </w:r>
      <w:r>
        <w:t>narcotráfico</w:t>
      </w:r>
      <w:r>
        <w:rPr>
          <w:spacing w:val="-2"/>
        </w:rPr>
        <w:t xml:space="preserve"> </w:t>
      </w:r>
      <w:r>
        <w:t>es</w:t>
      </w:r>
      <w:r>
        <w:rPr>
          <w:spacing w:val="-1"/>
        </w:rPr>
        <w:t xml:space="preserve"> </w:t>
      </w:r>
      <w:r>
        <w:t>explicado</w:t>
      </w:r>
      <w:r>
        <w:rPr>
          <w:spacing w:val="-1"/>
        </w:rPr>
        <w:t xml:space="preserve"> </w:t>
      </w:r>
      <w:r>
        <w:t>por</w:t>
      </w:r>
      <w:r>
        <w:rPr>
          <w:spacing w:val="-1"/>
        </w:rPr>
        <w:t xml:space="preserve"> </w:t>
      </w:r>
      <w:r>
        <w:t>un</w:t>
      </w:r>
      <w:r>
        <w:rPr>
          <w:spacing w:val="-2"/>
        </w:rPr>
        <w:t xml:space="preserve"> </w:t>
      </w:r>
      <w:proofErr w:type="spellStart"/>
      <w:r>
        <w:t>exparamilitar</w:t>
      </w:r>
      <w:proofErr w:type="spellEnd"/>
      <w:r>
        <w:rPr>
          <w:spacing w:val="-1"/>
        </w:rPr>
        <w:t xml:space="preserve"> </w:t>
      </w:r>
      <w:r>
        <w:t>del</w:t>
      </w:r>
      <w:r>
        <w:rPr>
          <w:spacing w:val="-1"/>
        </w:rPr>
        <w:t xml:space="preserve"> </w:t>
      </w:r>
      <w:r>
        <w:t>Bloque</w:t>
      </w:r>
      <w:r>
        <w:rPr>
          <w:spacing w:val="-1"/>
        </w:rPr>
        <w:t xml:space="preserve"> </w:t>
      </w:r>
      <w:r>
        <w:t>Centauros</w:t>
      </w:r>
      <w:r>
        <w:rPr>
          <w:spacing w:val="-2"/>
        </w:rPr>
        <w:t xml:space="preserve"> </w:t>
      </w:r>
      <w:r>
        <w:t>de esta estructura: «La financiación de los grupos se inicia con plata del narcotráfico. Ahora, usted</w:t>
      </w:r>
      <w:r>
        <w:rPr>
          <w:spacing w:val="-1"/>
        </w:rPr>
        <w:t xml:space="preserve"> </w:t>
      </w:r>
      <w:r>
        <w:t>no</w:t>
      </w:r>
      <w:r>
        <w:rPr>
          <w:spacing w:val="-2"/>
        </w:rPr>
        <w:t xml:space="preserve"> </w:t>
      </w:r>
      <w:r>
        <w:t>puede</w:t>
      </w:r>
      <w:r>
        <w:rPr>
          <w:spacing w:val="-1"/>
        </w:rPr>
        <w:t xml:space="preserve"> </w:t>
      </w:r>
      <w:r>
        <w:t>pelear</w:t>
      </w:r>
      <w:r>
        <w:rPr>
          <w:spacing w:val="-2"/>
        </w:rPr>
        <w:t xml:space="preserve"> </w:t>
      </w:r>
      <w:r>
        <w:t>una</w:t>
      </w:r>
      <w:r>
        <w:rPr>
          <w:spacing w:val="-1"/>
        </w:rPr>
        <w:t xml:space="preserve"> </w:t>
      </w:r>
      <w:r>
        <w:t>guerra</w:t>
      </w:r>
      <w:r>
        <w:rPr>
          <w:spacing w:val="-2"/>
        </w:rPr>
        <w:t xml:space="preserve"> </w:t>
      </w:r>
      <w:r>
        <w:t>contra</w:t>
      </w:r>
      <w:r>
        <w:rPr>
          <w:spacing w:val="-2"/>
        </w:rPr>
        <w:t xml:space="preserve"> </w:t>
      </w:r>
      <w:r>
        <w:t>la</w:t>
      </w:r>
      <w:r>
        <w:rPr>
          <w:spacing w:val="-2"/>
        </w:rPr>
        <w:t xml:space="preserve"> </w:t>
      </w:r>
      <w:r>
        <w:t>guerrilla</w:t>
      </w:r>
      <w:r>
        <w:rPr>
          <w:spacing w:val="-1"/>
        </w:rPr>
        <w:t xml:space="preserve"> </w:t>
      </w:r>
      <w:r>
        <w:t>si</w:t>
      </w:r>
      <w:r>
        <w:rPr>
          <w:spacing w:val="-1"/>
        </w:rPr>
        <w:t xml:space="preserve"> </w:t>
      </w:r>
      <w:r>
        <w:t>usted</w:t>
      </w:r>
      <w:r>
        <w:rPr>
          <w:spacing w:val="-1"/>
        </w:rPr>
        <w:t xml:space="preserve"> </w:t>
      </w:r>
      <w:r>
        <w:t>no</w:t>
      </w:r>
      <w:r>
        <w:rPr>
          <w:spacing w:val="-1"/>
        </w:rPr>
        <w:t xml:space="preserve"> </w:t>
      </w:r>
      <w:r>
        <w:t>tiene</w:t>
      </w:r>
      <w:r>
        <w:rPr>
          <w:spacing w:val="-1"/>
        </w:rPr>
        <w:t xml:space="preserve"> </w:t>
      </w:r>
      <w:r>
        <w:t>armamento</w:t>
      </w:r>
      <w:r>
        <w:rPr>
          <w:spacing w:val="-2"/>
        </w:rPr>
        <w:t xml:space="preserve"> </w:t>
      </w:r>
      <w:r>
        <w:t>y</w:t>
      </w:r>
      <w:r>
        <w:rPr>
          <w:spacing w:val="-1"/>
        </w:rPr>
        <w:t xml:space="preserve"> </w:t>
      </w:r>
      <w:r>
        <w:t>hombres, [...]</w:t>
      </w:r>
      <w:r>
        <w:rPr>
          <w:spacing w:val="-8"/>
        </w:rPr>
        <w:t xml:space="preserve"> </w:t>
      </w:r>
      <w:r>
        <w:t>ahí</w:t>
      </w:r>
      <w:r>
        <w:rPr>
          <w:spacing w:val="-8"/>
        </w:rPr>
        <w:t xml:space="preserve"> </w:t>
      </w:r>
      <w:r>
        <w:t>es</w:t>
      </w:r>
      <w:r>
        <w:rPr>
          <w:spacing w:val="-9"/>
        </w:rPr>
        <w:t xml:space="preserve"> </w:t>
      </w:r>
      <w:r>
        <w:t>donde</w:t>
      </w:r>
      <w:r>
        <w:rPr>
          <w:spacing w:val="-8"/>
        </w:rPr>
        <w:t xml:space="preserve"> </w:t>
      </w:r>
      <w:r>
        <w:t>inicia</w:t>
      </w:r>
      <w:r>
        <w:rPr>
          <w:spacing w:val="-9"/>
        </w:rPr>
        <w:t xml:space="preserve"> </w:t>
      </w:r>
      <w:r>
        <w:t>el</w:t>
      </w:r>
      <w:r>
        <w:rPr>
          <w:spacing w:val="-8"/>
        </w:rPr>
        <w:t xml:space="preserve"> </w:t>
      </w:r>
      <w:r>
        <w:t>narcotráfico»</w:t>
      </w:r>
      <w:r w:rsidR="00726E38">
        <w:rPr>
          <w:rStyle w:val="Refdenotaalpie"/>
        </w:rPr>
        <w:footnoteReference w:id="388"/>
      </w:r>
      <w:r>
        <w:t>.</w:t>
      </w:r>
      <w:r>
        <w:rPr>
          <w:spacing w:val="-8"/>
        </w:rPr>
        <w:t xml:space="preserve"> </w:t>
      </w:r>
      <w:r>
        <w:t>Bajo</w:t>
      </w:r>
      <w:r>
        <w:rPr>
          <w:spacing w:val="-10"/>
        </w:rPr>
        <w:t xml:space="preserve"> </w:t>
      </w:r>
      <w:r>
        <w:t>este</w:t>
      </w:r>
      <w:r>
        <w:rPr>
          <w:spacing w:val="-8"/>
        </w:rPr>
        <w:t xml:space="preserve"> </w:t>
      </w:r>
      <w:r>
        <w:t>argumento</w:t>
      </w:r>
      <w:r>
        <w:rPr>
          <w:spacing w:val="-10"/>
        </w:rPr>
        <w:t xml:space="preserve"> </w:t>
      </w:r>
      <w:r>
        <w:t>se</w:t>
      </w:r>
      <w:r>
        <w:rPr>
          <w:spacing w:val="-8"/>
        </w:rPr>
        <w:t xml:space="preserve"> </w:t>
      </w:r>
      <w:r>
        <w:t>comenzó</w:t>
      </w:r>
      <w:r>
        <w:rPr>
          <w:spacing w:val="-10"/>
        </w:rPr>
        <w:t xml:space="preserve"> </w:t>
      </w:r>
      <w:r>
        <w:t>a</w:t>
      </w:r>
      <w:r>
        <w:rPr>
          <w:spacing w:val="-8"/>
        </w:rPr>
        <w:t xml:space="preserve"> </w:t>
      </w:r>
      <w:r>
        <w:t>entrar</w:t>
      </w:r>
      <w:r>
        <w:rPr>
          <w:spacing w:val="-9"/>
        </w:rPr>
        <w:t xml:space="preserve"> </w:t>
      </w:r>
      <w:r>
        <w:t>aún</w:t>
      </w:r>
      <w:r>
        <w:rPr>
          <w:spacing w:val="-10"/>
        </w:rPr>
        <w:t xml:space="preserve"> </w:t>
      </w:r>
      <w:r>
        <w:t>más directamente en las actividades de la producción de estupefacientes, sobre todo de pasta de coca,</w:t>
      </w:r>
      <w:r>
        <w:rPr>
          <w:spacing w:val="-2"/>
        </w:rPr>
        <w:t xml:space="preserve"> </w:t>
      </w:r>
      <w:r>
        <w:t>donde</w:t>
      </w:r>
      <w:r>
        <w:rPr>
          <w:spacing w:val="-2"/>
        </w:rPr>
        <w:t xml:space="preserve"> </w:t>
      </w:r>
      <w:r>
        <w:t>los</w:t>
      </w:r>
      <w:r>
        <w:rPr>
          <w:spacing w:val="-2"/>
        </w:rPr>
        <w:t xml:space="preserve"> </w:t>
      </w:r>
      <w:r>
        <w:t>paramilitares</w:t>
      </w:r>
      <w:r>
        <w:rPr>
          <w:spacing w:val="-2"/>
        </w:rPr>
        <w:t xml:space="preserve"> </w:t>
      </w:r>
      <w:r>
        <w:t>llegaron</w:t>
      </w:r>
      <w:r>
        <w:rPr>
          <w:spacing w:val="-2"/>
        </w:rPr>
        <w:t xml:space="preserve"> </w:t>
      </w:r>
      <w:r>
        <w:t>a</w:t>
      </w:r>
      <w:r>
        <w:rPr>
          <w:spacing w:val="-2"/>
        </w:rPr>
        <w:t xml:space="preserve"> </w:t>
      </w:r>
      <w:r>
        <w:t>estar</w:t>
      </w:r>
      <w:r>
        <w:rPr>
          <w:spacing w:val="-2"/>
        </w:rPr>
        <w:t xml:space="preserve"> </w:t>
      </w:r>
      <w:r>
        <w:t>involucrados</w:t>
      </w:r>
      <w:r>
        <w:rPr>
          <w:spacing w:val="-2"/>
        </w:rPr>
        <w:t xml:space="preserve"> </w:t>
      </w:r>
      <w:r>
        <w:t>en</w:t>
      </w:r>
      <w:r>
        <w:rPr>
          <w:spacing w:val="-4"/>
        </w:rPr>
        <w:t xml:space="preserve"> </w:t>
      </w:r>
      <w:r>
        <w:t>todo</w:t>
      </w:r>
      <w:r>
        <w:rPr>
          <w:spacing w:val="-2"/>
        </w:rPr>
        <w:t xml:space="preserve"> </w:t>
      </w:r>
      <w:r>
        <w:t>el</w:t>
      </w:r>
      <w:r>
        <w:rPr>
          <w:spacing w:val="-2"/>
        </w:rPr>
        <w:t xml:space="preserve"> </w:t>
      </w:r>
      <w:r>
        <w:t>proceso</w:t>
      </w:r>
      <w:r>
        <w:rPr>
          <w:spacing w:val="-2"/>
        </w:rPr>
        <w:t xml:space="preserve"> </w:t>
      </w:r>
      <w:r>
        <w:t>dentro</w:t>
      </w:r>
      <w:r>
        <w:rPr>
          <w:spacing w:val="-2"/>
        </w:rPr>
        <w:t xml:space="preserve"> </w:t>
      </w:r>
      <w:r>
        <w:t>de</w:t>
      </w:r>
      <w:r>
        <w:rPr>
          <w:spacing w:val="-2"/>
        </w:rPr>
        <w:t xml:space="preserve"> </w:t>
      </w:r>
      <w:r>
        <w:t xml:space="preserve">esta </w:t>
      </w:r>
      <w:r>
        <w:rPr>
          <w:spacing w:val="-2"/>
        </w:rPr>
        <w:t>economía.</w:t>
      </w:r>
    </w:p>
    <w:p w:rsidR="003804AC" w:rsidRDefault="00AF18A5" w:rsidP="00726E38">
      <w:r>
        <w:t xml:space="preserve">Por ejemplo, en la localidad bogotana de Ciudad Bolívar, en los 2000, los paramilitares ejercían control sobre los expendios de droga, así como en varios sectores de la economía informal. Como lo relata un </w:t>
      </w:r>
      <w:proofErr w:type="spellStart"/>
      <w:r>
        <w:t>exparamilitar</w:t>
      </w:r>
      <w:proofErr w:type="spellEnd"/>
      <w:r>
        <w:t xml:space="preserve"> que estuvo implicado:</w:t>
      </w:r>
    </w:p>
    <w:p w:rsidR="003804AC" w:rsidRDefault="00AF18A5" w:rsidP="00256A4C">
      <w:r>
        <w:t>«Si pagaba impuesto el que vendía cigarrillos, imagínese el que vendía bazuco, coca, pepas, todo eso. Todo el mundo pagaba impuesto. Nosotros garantizábamos que la Policía no</w:t>
      </w:r>
      <w:r>
        <w:rPr>
          <w:spacing w:val="1"/>
        </w:rPr>
        <w:t xml:space="preserve"> </w:t>
      </w:r>
      <w:r>
        <w:t>llegara,</w:t>
      </w:r>
      <w:r>
        <w:rPr>
          <w:spacing w:val="3"/>
        </w:rPr>
        <w:t xml:space="preserve"> </w:t>
      </w:r>
      <w:r>
        <w:t>le</w:t>
      </w:r>
      <w:r>
        <w:rPr>
          <w:spacing w:val="4"/>
        </w:rPr>
        <w:t xml:space="preserve"> </w:t>
      </w:r>
      <w:r>
        <w:t>pagábamos</w:t>
      </w:r>
      <w:r>
        <w:rPr>
          <w:spacing w:val="3"/>
        </w:rPr>
        <w:t xml:space="preserve"> </w:t>
      </w:r>
      <w:r>
        <w:t>a</w:t>
      </w:r>
      <w:r>
        <w:rPr>
          <w:spacing w:val="4"/>
        </w:rPr>
        <w:t xml:space="preserve"> </w:t>
      </w:r>
      <w:r>
        <w:t>la</w:t>
      </w:r>
      <w:r>
        <w:rPr>
          <w:spacing w:val="4"/>
        </w:rPr>
        <w:t xml:space="preserve"> </w:t>
      </w:r>
      <w:r>
        <w:t>Policía,</w:t>
      </w:r>
      <w:r>
        <w:rPr>
          <w:spacing w:val="3"/>
        </w:rPr>
        <w:t xml:space="preserve"> </w:t>
      </w:r>
      <w:r>
        <w:t>ganábamos</w:t>
      </w:r>
      <w:r>
        <w:rPr>
          <w:spacing w:val="3"/>
        </w:rPr>
        <w:t xml:space="preserve"> </w:t>
      </w:r>
      <w:r>
        <w:t>y</w:t>
      </w:r>
      <w:r>
        <w:rPr>
          <w:spacing w:val="3"/>
        </w:rPr>
        <w:t xml:space="preserve"> </w:t>
      </w:r>
      <w:r>
        <w:t>todo</w:t>
      </w:r>
      <w:r>
        <w:rPr>
          <w:spacing w:val="3"/>
        </w:rPr>
        <w:t xml:space="preserve"> </w:t>
      </w:r>
      <w:r>
        <w:t>estaba</w:t>
      </w:r>
      <w:r>
        <w:rPr>
          <w:spacing w:val="4"/>
        </w:rPr>
        <w:t xml:space="preserve"> </w:t>
      </w:r>
      <w:r>
        <w:t>controlado.</w:t>
      </w:r>
      <w:r>
        <w:rPr>
          <w:spacing w:val="3"/>
        </w:rPr>
        <w:t xml:space="preserve"> </w:t>
      </w:r>
      <w:r>
        <w:t>Si</w:t>
      </w:r>
      <w:r>
        <w:rPr>
          <w:spacing w:val="4"/>
        </w:rPr>
        <w:t xml:space="preserve"> </w:t>
      </w:r>
      <w:r>
        <w:t>usted</w:t>
      </w:r>
      <w:r>
        <w:rPr>
          <w:spacing w:val="4"/>
        </w:rPr>
        <w:t xml:space="preserve"> </w:t>
      </w:r>
      <w:r>
        <w:rPr>
          <w:spacing w:val="-2"/>
        </w:rPr>
        <w:t>llegaba</w:t>
      </w:r>
      <w:bookmarkStart w:id="536" w:name="_bookmark437"/>
      <w:bookmarkStart w:id="537" w:name="_bookmark438"/>
      <w:bookmarkEnd w:id="536"/>
      <w:bookmarkEnd w:id="537"/>
      <w:r w:rsidR="003E51C4">
        <w:t xml:space="preserve"> </w:t>
      </w:r>
      <w:r>
        <w:t xml:space="preserve">a consumir y no pagaba, nosotros nos encargábamos de eso. Era un control total sobre toda la sociedad, sobre negocios ilegales y legales. Es que el control que ejerció el Bloque Centauros fue tremendo en la </w:t>
      </w:r>
      <w:r>
        <w:lastRenderedPageBreak/>
        <w:t>zona»</w:t>
      </w:r>
      <w:r w:rsidR="00256A4C">
        <w:rPr>
          <w:rStyle w:val="Refdenotaalpie"/>
        </w:rPr>
        <w:footnoteReference w:id="389"/>
      </w:r>
      <w:r>
        <w:t>.</w:t>
      </w:r>
    </w:p>
    <w:p w:rsidR="003804AC" w:rsidRDefault="00AF18A5" w:rsidP="00256A4C">
      <w:r>
        <w:t>En el marco de la desmovilización de las AUC, también fueron notorias las acusaciones de la venta de franquicias a reconocidos narcotraficantes, lo cual fue confirmado por investigadores</w:t>
      </w:r>
      <w:r>
        <w:rPr>
          <w:spacing w:val="-9"/>
        </w:rPr>
        <w:t xml:space="preserve"> </w:t>
      </w:r>
      <w:r>
        <w:t>del</w:t>
      </w:r>
      <w:r>
        <w:rPr>
          <w:spacing w:val="-9"/>
        </w:rPr>
        <w:t xml:space="preserve"> </w:t>
      </w:r>
      <w:r>
        <w:t>Cuerpo</w:t>
      </w:r>
      <w:r>
        <w:rPr>
          <w:spacing w:val="-9"/>
        </w:rPr>
        <w:t xml:space="preserve"> </w:t>
      </w:r>
      <w:r>
        <w:t>Técnico</w:t>
      </w:r>
      <w:r>
        <w:rPr>
          <w:spacing w:val="-9"/>
        </w:rPr>
        <w:t xml:space="preserve"> </w:t>
      </w:r>
      <w:r>
        <w:t>de</w:t>
      </w:r>
      <w:r>
        <w:rPr>
          <w:spacing w:val="-9"/>
        </w:rPr>
        <w:t xml:space="preserve"> </w:t>
      </w:r>
      <w:r>
        <w:t>Investigaciones</w:t>
      </w:r>
      <w:r>
        <w:rPr>
          <w:spacing w:val="-9"/>
        </w:rPr>
        <w:t xml:space="preserve"> </w:t>
      </w:r>
      <w:r>
        <w:t>(CTI)</w:t>
      </w:r>
      <w:r>
        <w:rPr>
          <w:spacing w:val="-9"/>
        </w:rPr>
        <w:t xml:space="preserve"> </w:t>
      </w:r>
      <w:r>
        <w:t>entrevistados</w:t>
      </w:r>
      <w:r>
        <w:rPr>
          <w:spacing w:val="-9"/>
        </w:rPr>
        <w:t xml:space="preserve"> </w:t>
      </w:r>
      <w:r>
        <w:t>por</w:t>
      </w:r>
      <w:r>
        <w:rPr>
          <w:spacing w:val="-9"/>
        </w:rPr>
        <w:t xml:space="preserve"> </w:t>
      </w:r>
      <w:r>
        <w:t>la</w:t>
      </w:r>
      <w:r>
        <w:rPr>
          <w:spacing w:val="-9"/>
        </w:rPr>
        <w:t xml:space="preserve"> </w:t>
      </w:r>
      <w:r>
        <w:t>Comisión</w:t>
      </w:r>
      <w:r>
        <w:rPr>
          <w:spacing w:val="-9"/>
        </w:rPr>
        <w:t xml:space="preserve"> </w:t>
      </w:r>
      <w:r>
        <w:t>y que tuvieron que salir al exilio. Según el Tribunal Superior de Bogotá:</w:t>
      </w:r>
    </w:p>
    <w:p w:rsidR="003804AC" w:rsidRDefault="00AF18A5" w:rsidP="00256A4C">
      <w:r>
        <w:t>El fenómeno de la venta de «franquicias» no se puede pasar por alto, pues precisamente, esto demuestra cómo Carlos y Vicente Castaño les vendieron a narcotraficantes una cantidad elevada</w:t>
      </w:r>
      <w:r>
        <w:rPr>
          <w:spacing w:val="-1"/>
        </w:rPr>
        <w:t xml:space="preserve"> </w:t>
      </w:r>
      <w:r>
        <w:t>de armas y hombres</w:t>
      </w:r>
      <w:r>
        <w:rPr>
          <w:spacing w:val="-1"/>
        </w:rPr>
        <w:t xml:space="preserve"> </w:t>
      </w:r>
      <w:r>
        <w:t>entrenados militarmente,</w:t>
      </w:r>
      <w:r>
        <w:rPr>
          <w:spacing w:val="-1"/>
        </w:rPr>
        <w:t xml:space="preserve"> </w:t>
      </w:r>
      <w:r>
        <w:t>para</w:t>
      </w:r>
      <w:r>
        <w:rPr>
          <w:spacing w:val="-1"/>
        </w:rPr>
        <w:t xml:space="preserve"> </w:t>
      </w:r>
      <w:r>
        <w:t>que</w:t>
      </w:r>
      <w:r>
        <w:rPr>
          <w:spacing w:val="-1"/>
        </w:rPr>
        <w:t xml:space="preserve"> </w:t>
      </w:r>
      <w:r>
        <w:t>estos</w:t>
      </w:r>
      <w:r>
        <w:rPr>
          <w:spacing w:val="-1"/>
        </w:rPr>
        <w:t xml:space="preserve"> </w:t>
      </w:r>
      <w:r>
        <w:t>de</w:t>
      </w:r>
      <w:r>
        <w:rPr>
          <w:spacing w:val="-1"/>
        </w:rPr>
        <w:t xml:space="preserve"> </w:t>
      </w:r>
      <w:r>
        <w:t>manera autónoma</w:t>
      </w:r>
      <w:r>
        <w:rPr>
          <w:spacing w:val="-1"/>
        </w:rPr>
        <w:t xml:space="preserve"> </w:t>
      </w:r>
      <w:r>
        <w:t>los manejaran en sus territorios. Y así, muchos narcotraficantes terminaron beneficiándose jurídicamente del acuerdo de paz que devino en la promulgación de la Ley 975 de 2005. En ese</w:t>
      </w:r>
      <w:r>
        <w:rPr>
          <w:spacing w:val="-8"/>
        </w:rPr>
        <w:t xml:space="preserve"> </w:t>
      </w:r>
      <w:r>
        <w:t>contexto,</w:t>
      </w:r>
      <w:r>
        <w:rPr>
          <w:spacing w:val="-9"/>
        </w:rPr>
        <w:t xml:space="preserve"> </w:t>
      </w:r>
      <w:r>
        <w:t>se</w:t>
      </w:r>
      <w:r>
        <w:rPr>
          <w:spacing w:val="-10"/>
        </w:rPr>
        <w:t xml:space="preserve"> </w:t>
      </w:r>
      <w:r>
        <w:t>puede</w:t>
      </w:r>
      <w:r>
        <w:rPr>
          <w:spacing w:val="-9"/>
        </w:rPr>
        <w:t xml:space="preserve"> </w:t>
      </w:r>
      <w:r>
        <w:t>entender</w:t>
      </w:r>
      <w:r>
        <w:rPr>
          <w:spacing w:val="-9"/>
        </w:rPr>
        <w:t xml:space="preserve"> </w:t>
      </w:r>
      <w:r>
        <w:t>que</w:t>
      </w:r>
      <w:r>
        <w:rPr>
          <w:spacing w:val="-9"/>
        </w:rPr>
        <w:t xml:space="preserve"> </w:t>
      </w:r>
      <w:r>
        <w:t>las</w:t>
      </w:r>
      <w:r>
        <w:rPr>
          <w:spacing w:val="-8"/>
        </w:rPr>
        <w:t xml:space="preserve"> </w:t>
      </w:r>
      <w:r>
        <w:t>AUC</w:t>
      </w:r>
      <w:r>
        <w:rPr>
          <w:spacing w:val="-9"/>
        </w:rPr>
        <w:t xml:space="preserve"> </w:t>
      </w:r>
      <w:r>
        <w:t>puedan</w:t>
      </w:r>
      <w:r>
        <w:rPr>
          <w:spacing w:val="-7"/>
        </w:rPr>
        <w:t xml:space="preserve"> </w:t>
      </w:r>
      <w:r>
        <w:t>ser</w:t>
      </w:r>
      <w:r>
        <w:rPr>
          <w:spacing w:val="-9"/>
        </w:rPr>
        <w:t xml:space="preserve"> </w:t>
      </w:r>
      <w:r>
        <w:t>caracterizadas</w:t>
      </w:r>
      <w:r>
        <w:rPr>
          <w:spacing w:val="-9"/>
        </w:rPr>
        <w:t xml:space="preserve"> </w:t>
      </w:r>
      <w:r>
        <w:t>de</w:t>
      </w:r>
      <w:r>
        <w:rPr>
          <w:spacing w:val="-8"/>
        </w:rPr>
        <w:t xml:space="preserve"> </w:t>
      </w:r>
      <w:r>
        <w:t>mejor</w:t>
      </w:r>
      <w:r>
        <w:rPr>
          <w:spacing w:val="-8"/>
        </w:rPr>
        <w:t xml:space="preserve"> </w:t>
      </w:r>
      <w:r>
        <w:t>manera</w:t>
      </w:r>
      <w:r>
        <w:rPr>
          <w:spacing w:val="-9"/>
        </w:rPr>
        <w:t xml:space="preserve"> </w:t>
      </w:r>
      <w:r>
        <w:t>como una</w:t>
      </w:r>
      <w:r>
        <w:rPr>
          <w:spacing w:val="-7"/>
        </w:rPr>
        <w:t xml:space="preserve"> </w:t>
      </w:r>
      <w:r>
        <w:t>alianza</w:t>
      </w:r>
      <w:r>
        <w:rPr>
          <w:spacing w:val="-7"/>
        </w:rPr>
        <w:t xml:space="preserve"> </w:t>
      </w:r>
      <w:r>
        <w:t>coyuntural</w:t>
      </w:r>
      <w:r>
        <w:rPr>
          <w:spacing w:val="-7"/>
        </w:rPr>
        <w:t xml:space="preserve"> </w:t>
      </w:r>
      <w:r>
        <w:t>de</w:t>
      </w:r>
      <w:r>
        <w:rPr>
          <w:spacing w:val="-8"/>
        </w:rPr>
        <w:t xml:space="preserve"> </w:t>
      </w:r>
      <w:r>
        <w:t>señores</w:t>
      </w:r>
      <w:r>
        <w:rPr>
          <w:spacing w:val="-7"/>
        </w:rPr>
        <w:t xml:space="preserve"> </w:t>
      </w:r>
      <w:r>
        <w:t>de</w:t>
      </w:r>
      <w:r>
        <w:rPr>
          <w:spacing w:val="-7"/>
        </w:rPr>
        <w:t xml:space="preserve"> </w:t>
      </w:r>
      <w:r>
        <w:t>la</w:t>
      </w:r>
      <w:r>
        <w:rPr>
          <w:spacing w:val="-7"/>
        </w:rPr>
        <w:t xml:space="preserve"> </w:t>
      </w:r>
      <w:r>
        <w:t>guerra</w:t>
      </w:r>
      <w:r>
        <w:rPr>
          <w:spacing w:val="-7"/>
        </w:rPr>
        <w:t xml:space="preserve"> </w:t>
      </w:r>
      <w:r>
        <w:t>y</w:t>
      </w:r>
      <w:r>
        <w:rPr>
          <w:spacing w:val="-6"/>
        </w:rPr>
        <w:t xml:space="preserve"> </w:t>
      </w:r>
      <w:r>
        <w:t>narcotraficantes,</w:t>
      </w:r>
      <w:r>
        <w:rPr>
          <w:spacing w:val="-5"/>
        </w:rPr>
        <w:t xml:space="preserve"> </w:t>
      </w:r>
      <w:r>
        <w:t>que</w:t>
      </w:r>
      <w:r>
        <w:rPr>
          <w:spacing w:val="-7"/>
        </w:rPr>
        <w:t xml:space="preserve"> </w:t>
      </w:r>
      <w:r>
        <w:t>por</w:t>
      </w:r>
      <w:r>
        <w:rPr>
          <w:spacing w:val="-7"/>
        </w:rPr>
        <w:t xml:space="preserve"> </w:t>
      </w:r>
      <w:r>
        <w:t>separado</w:t>
      </w:r>
      <w:r>
        <w:rPr>
          <w:spacing w:val="-6"/>
        </w:rPr>
        <w:t xml:space="preserve"> </w:t>
      </w:r>
      <w:r>
        <w:t>terminaron negociando con el comisionado de Paz, Luis Carlos Restrepo, su tránsito a la legalidad.</w:t>
      </w:r>
      <w:r w:rsidR="00256A4C">
        <w:rPr>
          <w:rStyle w:val="Refdenotaalpie"/>
        </w:rPr>
        <w:footnoteReference w:id="390"/>
      </w:r>
      <w:r w:rsidR="00256A4C">
        <w:t xml:space="preserve"> </w:t>
      </w:r>
    </w:p>
    <w:p w:rsidR="003804AC" w:rsidRDefault="00AF18A5" w:rsidP="00256A4C">
      <w:r>
        <w:t xml:space="preserve">Así, terminaron entrando narcotraficantes como Francisco Javier Zuluaga Lindo, alias </w:t>
      </w:r>
      <w:proofErr w:type="spellStart"/>
      <w:r>
        <w:t>Gordolindo</w:t>
      </w:r>
      <w:proofErr w:type="spellEnd"/>
      <w:r>
        <w:t xml:space="preserve">, sobre quien «en las investigaciones realizadas por la Fiscalía se estableció que alias </w:t>
      </w:r>
      <w:proofErr w:type="spellStart"/>
      <w:r>
        <w:t>Gordolindo</w:t>
      </w:r>
      <w:proofErr w:type="spellEnd"/>
      <w:r>
        <w:t xml:space="preserve"> no cumplía los requisitos para estar en el proceso de Justicia y Paz, por no pertenecer a las estructuras financieras, políticas o militares de las Autodefensas Unidas de Colombia (AUC)»</w:t>
      </w:r>
      <w:r w:rsidR="00256A4C">
        <w:rPr>
          <w:rStyle w:val="Refdenotaalpie"/>
        </w:rPr>
        <w:footnoteReference w:id="391"/>
      </w:r>
      <w:r>
        <w:t xml:space="preserve">. Según el Tribunal Superior </w:t>
      </w:r>
      <w:r>
        <w:lastRenderedPageBreak/>
        <w:t>de Medellín:</w:t>
      </w:r>
    </w:p>
    <w:p w:rsidR="003804AC" w:rsidRDefault="00AF18A5" w:rsidP="00256A4C">
      <w:r>
        <w:t>Varios</w:t>
      </w:r>
      <w:r>
        <w:rPr>
          <w:spacing w:val="-6"/>
        </w:rPr>
        <w:t xml:space="preserve"> </w:t>
      </w:r>
      <w:r>
        <w:t>narcotraficantes</w:t>
      </w:r>
      <w:r>
        <w:rPr>
          <w:spacing w:val="-6"/>
        </w:rPr>
        <w:t xml:space="preserve"> </w:t>
      </w:r>
      <w:r>
        <w:t>pasaron</w:t>
      </w:r>
      <w:r>
        <w:rPr>
          <w:spacing w:val="-5"/>
        </w:rPr>
        <w:t xml:space="preserve"> </w:t>
      </w:r>
      <w:r>
        <w:t>a</w:t>
      </w:r>
      <w:r>
        <w:rPr>
          <w:spacing w:val="-6"/>
        </w:rPr>
        <w:t xml:space="preserve"> </w:t>
      </w:r>
      <w:r>
        <w:t>ser</w:t>
      </w:r>
      <w:r>
        <w:rPr>
          <w:spacing w:val="-6"/>
        </w:rPr>
        <w:t xml:space="preserve"> </w:t>
      </w:r>
      <w:r>
        <w:t>comandantes</w:t>
      </w:r>
      <w:r>
        <w:rPr>
          <w:spacing w:val="-6"/>
        </w:rPr>
        <w:t xml:space="preserve"> </w:t>
      </w:r>
      <w:r>
        <w:t>de</w:t>
      </w:r>
      <w:r>
        <w:rPr>
          <w:spacing w:val="-5"/>
        </w:rPr>
        <w:t xml:space="preserve"> </w:t>
      </w:r>
      <w:r>
        <w:t>algunos</w:t>
      </w:r>
      <w:r>
        <w:rPr>
          <w:spacing w:val="-7"/>
        </w:rPr>
        <w:t xml:space="preserve"> </w:t>
      </w:r>
      <w:r>
        <w:t>bloques</w:t>
      </w:r>
      <w:r>
        <w:rPr>
          <w:spacing w:val="-6"/>
        </w:rPr>
        <w:t xml:space="preserve"> </w:t>
      </w:r>
      <w:r>
        <w:t>a</w:t>
      </w:r>
      <w:r>
        <w:rPr>
          <w:spacing w:val="-6"/>
        </w:rPr>
        <w:t xml:space="preserve"> </w:t>
      </w:r>
      <w:r>
        <w:t>través</w:t>
      </w:r>
      <w:r>
        <w:rPr>
          <w:spacing w:val="-6"/>
        </w:rPr>
        <w:t xml:space="preserve"> </w:t>
      </w:r>
      <w:r>
        <w:t>de</w:t>
      </w:r>
      <w:r>
        <w:rPr>
          <w:spacing w:val="-6"/>
        </w:rPr>
        <w:t xml:space="preserve"> </w:t>
      </w:r>
      <w:r>
        <w:t>la</w:t>
      </w:r>
      <w:r>
        <w:rPr>
          <w:spacing w:val="-6"/>
        </w:rPr>
        <w:t xml:space="preserve"> </w:t>
      </w:r>
      <w:r>
        <w:t>«venta</w:t>
      </w:r>
      <w:r>
        <w:rPr>
          <w:spacing w:val="-6"/>
        </w:rPr>
        <w:t xml:space="preserve"> </w:t>
      </w:r>
      <w:r>
        <w:t>de franquicias», como Carlos Mario Jiménez Naranjo, alias ‘Macaco’, quien se convirtió en el comandante del Bloque Central Bolívar, los hermanos Mejía Múnera, conocidos como Los Mellizos, comandantes del Bloque Vencedores de Arauca, Miguel Arroyave, comandante del Bloque Centauros, Diego Montoya y Hernando Gómez Bustamante, alias ‘Rasguño’ del Bloque Calima y Francisco Javier Zuluaga Lindo del Bloque Pacífico.</w:t>
      </w:r>
      <w:r w:rsidR="00256A4C">
        <w:rPr>
          <w:rStyle w:val="Refdenotaalpie"/>
        </w:rPr>
        <w:footnoteReference w:id="392"/>
      </w:r>
      <w:r w:rsidR="00256A4C">
        <w:t xml:space="preserve"> </w:t>
      </w:r>
    </w:p>
    <w:p w:rsidR="003804AC" w:rsidRDefault="00AF18A5" w:rsidP="00256A4C">
      <w:r>
        <w:t>Esta cercanía constante de los grupos paramilitares al narcotráfico, del que hicieron parte misma</w:t>
      </w:r>
      <w:r>
        <w:rPr>
          <w:spacing w:val="51"/>
        </w:rPr>
        <w:t xml:space="preserve"> </w:t>
      </w:r>
      <w:r>
        <w:t>de</w:t>
      </w:r>
      <w:r>
        <w:rPr>
          <w:spacing w:val="52"/>
        </w:rPr>
        <w:t xml:space="preserve"> </w:t>
      </w:r>
      <w:r>
        <w:t>su</w:t>
      </w:r>
      <w:r>
        <w:rPr>
          <w:spacing w:val="53"/>
        </w:rPr>
        <w:t xml:space="preserve"> </w:t>
      </w:r>
      <w:r>
        <w:t>núcleo,</w:t>
      </w:r>
      <w:r>
        <w:rPr>
          <w:spacing w:val="52"/>
        </w:rPr>
        <w:t xml:space="preserve"> </w:t>
      </w:r>
      <w:r>
        <w:t>también</w:t>
      </w:r>
      <w:r>
        <w:rPr>
          <w:spacing w:val="51"/>
        </w:rPr>
        <w:t xml:space="preserve"> </w:t>
      </w:r>
      <w:r>
        <w:t>les</w:t>
      </w:r>
      <w:r>
        <w:rPr>
          <w:spacing w:val="53"/>
        </w:rPr>
        <w:t xml:space="preserve"> </w:t>
      </w:r>
      <w:r>
        <w:t>abrió</w:t>
      </w:r>
      <w:r>
        <w:rPr>
          <w:spacing w:val="53"/>
        </w:rPr>
        <w:t xml:space="preserve"> </w:t>
      </w:r>
      <w:r>
        <w:t>la</w:t>
      </w:r>
      <w:r>
        <w:rPr>
          <w:spacing w:val="53"/>
        </w:rPr>
        <w:t xml:space="preserve"> </w:t>
      </w:r>
      <w:r>
        <w:t>puerta</w:t>
      </w:r>
      <w:r>
        <w:rPr>
          <w:spacing w:val="52"/>
        </w:rPr>
        <w:t xml:space="preserve"> </w:t>
      </w:r>
      <w:r>
        <w:t>de</w:t>
      </w:r>
      <w:r>
        <w:rPr>
          <w:spacing w:val="53"/>
        </w:rPr>
        <w:t xml:space="preserve"> </w:t>
      </w:r>
      <w:r>
        <w:t>las</w:t>
      </w:r>
      <w:r>
        <w:rPr>
          <w:spacing w:val="52"/>
        </w:rPr>
        <w:t xml:space="preserve"> </w:t>
      </w:r>
      <w:r>
        <w:t>instituciones</w:t>
      </w:r>
      <w:r>
        <w:rPr>
          <w:spacing w:val="51"/>
        </w:rPr>
        <w:t xml:space="preserve"> </w:t>
      </w:r>
      <w:r>
        <w:t>cooptadas</w:t>
      </w:r>
      <w:r>
        <w:rPr>
          <w:spacing w:val="53"/>
        </w:rPr>
        <w:t xml:space="preserve"> </w:t>
      </w:r>
      <w:r>
        <w:t>por</w:t>
      </w:r>
      <w:r>
        <w:rPr>
          <w:spacing w:val="53"/>
        </w:rPr>
        <w:t xml:space="preserve"> </w:t>
      </w:r>
      <w:r>
        <w:rPr>
          <w:spacing w:val="-5"/>
        </w:rPr>
        <w:t>el</w:t>
      </w:r>
      <w:bookmarkStart w:id="538" w:name="_bookmark439"/>
      <w:bookmarkStart w:id="539" w:name="_bookmark440"/>
      <w:bookmarkStart w:id="540" w:name="_bookmark441"/>
      <w:bookmarkStart w:id="541" w:name="_bookmark442"/>
      <w:bookmarkEnd w:id="538"/>
      <w:bookmarkEnd w:id="539"/>
      <w:bookmarkEnd w:id="540"/>
      <w:bookmarkEnd w:id="541"/>
      <w:r w:rsidR="00256A4C">
        <w:t xml:space="preserve"> </w:t>
      </w:r>
      <w:r>
        <w:t xml:space="preserve">paramilitarismo a diversos comandantes y miembros que ejercían además como </w:t>
      </w:r>
      <w:r>
        <w:rPr>
          <w:spacing w:val="-2"/>
        </w:rPr>
        <w:t>narcotraficantes.</w:t>
      </w:r>
    </w:p>
    <w:p w:rsidR="003804AC" w:rsidRDefault="00AF18A5" w:rsidP="004A6EF4">
      <w:pPr>
        <w:pStyle w:val="Ttulo4"/>
        <w:numPr>
          <w:ilvl w:val="2"/>
          <w:numId w:val="16"/>
        </w:numPr>
      </w:pPr>
      <w:bookmarkStart w:id="542" w:name="5.4.2._La_desmovilización_colectiva_y_el"/>
      <w:bookmarkEnd w:id="542"/>
      <w:r>
        <w:t xml:space="preserve">La desmovilización </w:t>
      </w:r>
      <w:r w:rsidRPr="0077433E">
        <w:t>colectiva</w:t>
      </w:r>
      <w:r>
        <w:t xml:space="preserve"> y el tránsito hacia organizaciones sucesoras del </w:t>
      </w:r>
      <w:r>
        <w:rPr>
          <w:spacing w:val="-2"/>
        </w:rPr>
        <w:t>paramilitarismo</w:t>
      </w:r>
    </w:p>
    <w:p w:rsidR="003804AC" w:rsidRDefault="00AF18A5" w:rsidP="00495C7A">
      <w:r>
        <w:t xml:space="preserve">Años después, luego de diversas guerras entre las mismas estructuras paramilitares y una crisis en la organización que amenazaba con deshacerla, pero con la mayor presencia y control de territorios en su historia, las AUC se desmovilizaron. El proceso de desmovilización colectiva adelantado entre 2003 y 2006, entre el Gobierno nacional y las AUC, logró </w:t>
      </w:r>
      <w:proofErr w:type="spellStart"/>
      <w:r>
        <w:t>desescalar</w:t>
      </w:r>
      <w:proofErr w:type="spellEnd"/>
      <w:r>
        <w:t xml:space="preserve"> la violencia paramilitar y desarmar parte importante del control territorial</w:t>
      </w:r>
      <w:r>
        <w:rPr>
          <w:spacing w:val="-9"/>
        </w:rPr>
        <w:t xml:space="preserve"> </w:t>
      </w:r>
      <w:r>
        <w:t>y</w:t>
      </w:r>
      <w:r>
        <w:rPr>
          <w:spacing w:val="-9"/>
        </w:rPr>
        <w:t xml:space="preserve"> </w:t>
      </w:r>
      <w:r>
        <w:t>de</w:t>
      </w:r>
      <w:r>
        <w:rPr>
          <w:spacing w:val="-9"/>
        </w:rPr>
        <w:t xml:space="preserve"> </w:t>
      </w:r>
      <w:r>
        <w:t>la</w:t>
      </w:r>
      <w:r>
        <w:rPr>
          <w:spacing w:val="-9"/>
        </w:rPr>
        <w:t xml:space="preserve"> </w:t>
      </w:r>
      <w:r>
        <w:t>legitimación</w:t>
      </w:r>
      <w:r>
        <w:rPr>
          <w:spacing w:val="-9"/>
        </w:rPr>
        <w:t xml:space="preserve"> </w:t>
      </w:r>
      <w:r>
        <w:t>social</w:t>
      </w:r>
      <w:r>
        <w:rPr>
          <w:spacing w:val="-10"/>
        </w:rPr>
        <w:t xml:space="preserve"> </w:t>
      </w:r>
      <w:r>
        <w:t>que</w:t>
      </w:r>
      <w:r>
        <w:rPr>
          <w:spacing w:val="-9"/>
        </w:rPr>
        <w:t xml:space="preserve"> </w:t>
      </w:r>
      <w:r>
        <w:t>tenían</w:t>
      </w:r>
      <w:r>
        <w:rPr>
          <w:spacing w:val="-9"/>
        </w:rPr>
        <w:t xml:space="preserve"> </w:t>
      </w:r>
      <w:r>
        <w:t>esta</w:t>
      </w:r>
      <w:r>
        <w:rPr>
          <w:spacing w:val="-9"/>
        </w:rPr>
        <w:t xml:space="preserve"> </w:t>
      </w:r>
      <w:r>
        <w:t>organización</w:t>
      </w:r>
      <w:r>
        <w:rPr>
          <w:spacing w:val="-9"/>
        </w:rPr>
        <w:t xml:space="preserve"> </w:t>
      </w:r>
      <w:r>
        <w:t>y</w:t>
      </w:r>
      <w:r>
        <w:rPr>
          <w:spacing w:val="-9"/>
        </w:rPr>
        <w:t xml:space="preserve"> </w:t>
      </w:r>
      <w:r>
        <w:t>sus</w:t>
      </w:r>
      <w:r>
        <w:rPr>
          <w:spacing w:val="-9"/>
        </w:rPr>
        <w:t xml:space="preserve"> </w:t>
      </w:r>
      <w:r>
        <w:t>líderes.</w:t>
      </w:r>
      <w:r>
        <w:rPr>
          <w:spacing w:val="-9"/>
        </w:rPr>
        <w:t xml:space="preserve"> </w:t>
      </w:r>
      <w:r>
        <w:t>Sin</w:t>
      </w:r>
      <w:r>
        <w:rPr>
          <w:spacing w:val="-9"/>
        </w:rPr>
        <w:t xml:space="preserve"> </w:t>
      </w:r>
      <w:r>
        <w:t>embargo, se caracterizó por falta de transparencia y de participación ciudadana y de las víctimas.</w:t>
      </w:r>
    </w:p>
    <w:p w:rsidR="003804AC" w:rsidRDefault="00AF18A5" w:rsidP="00495C7A">
      <w:r>
        <w:lastRenderedPageBreak/>
        <w:t>Lo que inicialmente se mostró como un proceso de negociación con estructuras paramilitares cuyo contenido no se conoce, poco a poco se fue convirtiendo en un sometimiento a la justicia través de la Ley de Justicia y Paz; después, los principales comandantes paramilitares fueron extraditados a Estados Unidos. Estos obstáculos en el proceso</w:t>
      </w:r>
      <w:r>
        <w:rPr>
          <w:spacing w:val="-6"/>
        </w:rPr>
        <w:t xml:space="preserve"> </w:t>
      </w:r>
      <w:r>
        <w:t>fueron</w:t>
      </w:r>
      <w:r>
        <w:rPr>
          <w:spacing w:val="-5"/>
        </w:rPr>
        <w:t xml:space="preserve"> </w:t>
      </w:r>
      <w:r>
        <w:t>señalados</w:t>
      </w:r>
      <w:r>
        <w:rPr>
          <w:spacing w:val="-4"/>
        </w:rPr>
        <w:t xml:space="preserve"> </w:t>
      </w:r>
      <w:r>
        <w:t>como</w:t>
      </w:r>
      <w:r>
        <w:rPr>
          <w:spacing w:val="-6"/>
        </w:rPr>
        <w:t xml:space="preserve"> </w:t>
      </w:r>
      <w:r>
        <w:t>una</w:t>
      </w:r>
      <w:r>
        <w:rPr>
          <w:spacing w:val="-6"/>
        </w:rPr>
        <w:t xml:space="preserve"> </w:t>
      </w:r>
      <w:r>
        <w:t>traición</w:t>
      </w:r>
      <w:r>
        <w:rPr>
          <w:spacing w:val="-5"/>
        </w:rPr>
        <w:t xml:space="preserve"> </w:t>
      </w:r>
      <w:r>
        <w:t>por</w:t>
      </w:r>
      <w:r>
        <w:rPr>
          <w:spacing w:val="-5"/>
        </w:rPr>
        <w:t xml:space="preserve"> </w:t>
      </w:r>
      <w:r>
        <w:t>los</w:t>
      </w:r>
      <w:r>
        <w:rPr>
          <w:spacing w:val="-4"/>
        </w:rPr>
        <w:t xml:space="preserve"> </w:t>
      </w:r>
      <w:proofErr w:type="spellStart"/>
      <w:r>
        <w:t>exparamilitares</w:t>
      </w:r>
      <w:proofErr w:type="spellEnd"/>
      <w:r>
        <w:t>,</w:t>
      </w:r>
      <w:r>
        <w:rPr>
          <w:spacing w:val="-6"/>
        </w:rPr>
        <w:t xml:space="preserve"> </w:t>
      </w:r>
      <w:r>
        <w:t>que</w:t>
      </w:r>
      <w:r>
        <w:rPr>
          <w:spacing w:val="-4"/>
        </w:rPr>
        <w:t xml:space="preserve"> </w:t>
      </w:r>
      <w:r>
        <w:t>se</w:t>
      </w:r>
      <w:r>
        <w:rPr>
          <w:spacing w:val="-4"/>
        </w:rPr>
        <w:t xml:space="preserve"> </w:t>
      </w:r>
      <w:r>
        <w:t>vieron</w:t>
      </w:r>
      <w:r>
        <w:rPr>
          <w:spacing w:val="-5"/>
        </w:rPr>
        <w:t xml:space="preserve"> </w:t>
      </w:r>
      <w:r>
        <w:t>envueltos en largos procesos jurídicos y administrativos que les impiden aún hoy una reintegración completa y que ocasionaron el desamparo de sus víctimas debido a la extradición, en sus exigencias de verdad especialmente.</w:t>
      </w:r>
    </w:p>
    <w:p w:rsidR="003804AC" w:rsidRDefault="00AF18A5" w:rsidP="00495C7A">
      <w:r>
        <w:t>Los términos pactados en el Acuerdo de Ralito nunca se conocieron, de manera formal, más</w:t>
      </w:r>
      <w:r>
        <w:rPr>
          <w:spacing w:val="-3"/>
        </w:rPr>
        <w:t xml:space="preserve"> </w:t>
      </w:r>
      <w:r>
        <w:t>allá</w:t>
      </w:r>
      <w:r>
        <w:rPr>
          <w:spacing w:val="-3"/>
        </w:rPr>
        <w:t xml:space="preserve"> </w:t>
      </w:r>
      <w:r>
        <w:t>del</w:t>
      </w:r>
      <w:r>
        <w:rPr>
          <w:spacing w:val="-4"/>
        </w:rPr>
        <w:t xml:space="preserve"> </w:t>
      </w:r>
      <w:r>
        <w:t>documento</w:t>
      </w:r>
      <w:r>
        <w:rPr>
          <w:spacing w:val="-5"/>
        </w:rPr>
        <w:t xml:space="preserve"> </w:t>
      </w:r>
      <w:r>
        <w:t>de</w:t>
      </w:r>
      <w:r>
        <w:rPr>
          <w:spacing w:val="-3"/>
        </w:rPr>
        <w:t xml:space="preserve"> </w:t>
      </w:r>
      <w:r>
        <w:t>tres</w:t>
      </w:r>
      <w:r>
        <w:rPr>
          <w:spacing w:val="-3"/>
        </w:rPr>
        <w:t xml:space="preserve"> </w:t>
      </w:r>
      <w:r>
        <w:t>páginas</w:t>
      </w:r>
      <w:r>
        <w:rPr>
          <w:spacing w:val="-3"/>
        </w:rPr>
        <w:t xml:space="preserve"> </w:t>
      </w:r>
      <w:r>
        <w:t>que</w:t>
      </w:r>
      <w:r>
        <w:rPr>
          <w:spacing w:val="-3"/>
        </w:rPr>
        <w:t xml:space="preserve"> </w:t>
      </w:r>
      <w:r>
        <w:t>fue</w:t>
      </w:r>
      <w:r>
        <w:rPr>
          <w:spacing w:val="-3"/>
        </w:rPr>
        <w:t xml:space="preserve"> </w:t>
      </w:r>
      <w:r>
        <w:t>presentado</w:t>
      </w:r>
      <w:r>
        <w:rPr>
          <w:spacing w:val="-4"/>
        </w:rPr>
        <w:t xml:space="preserve"> </w:t>
      </w:r>
      <w:r>
        <w:t>públicamente</w:t>
      </w:r>
      <w:r w:rsidR="00495C7A">
        <w:rPr>
          <w:rStyle w:val="Refdenotaalpie"/>
        </w:rPr>
        <w:footnoteReference w:id="393"/>
      </w:r>
      <w:r>
        <w:t>.</w:t>
      </w:r>
      <w:r>
        <w:rPr>
          <w:spacing w:val="-4"/>
        </w:rPr>
        <w:t xml:space="preserve"> </w:t>
      </w:r>
      <w:r>
        <w:t>Esto</w:t>
      </w:r>
      <w:r>
        <w:rPr>
          <w:spacing w:val="-4"/>
        </w:rPr>
        <w:t xml:space="preserve"> </w:t>
      </w:r>
      <w:r>
        <w:t>ha</w:t>
      </w:r>
      <w:r>
        <w:rPr>
          <w:spacing w:val="-3"/>
        </w:rPr>
        <w:t xml:space="preserve"> </w:t>
      </w:r>
      <w:r>
        <w:t>minado la legitimidad y efectividad del proceso de negociación y desmovilización colectiva de las AUC</w:t>
      </w:r>
      <w:r>
        <w:rPr>
          <w:spacing w:val="24"/>
        </w:rPr>
        <w:t xml:space="preserve"> </w:t>
      </w:r>
      <w:r>
        <w:t>y</w:t>
      </w:r>
      <w:r>
        <w:rPr>
          <w:spacing w:val="26"/>
        </w:rPr>
        <w:t xml:space="preserve"> </w:t>
      </w:r>
      <w:r>
        <w:t>ha</w:t>
      </w:r>
      <w:r>
        <w:rPr>
          <w:spacing w:val="28"/>
        </w:rPr>
        <w:t xml:space="preserve"> </w:t>
      </w:r>
      <w:r>
        <w:t>tenido</w:t>
      </w:r>
      <w:r>
        <w:rPr>
          <w:spacing w:val="26"/>
        </w:rPr>
        <w:t xml:space="preserve"> </w:t>
      </w:r>
      <w:r>
        <w:t>efectos</w:t>
      </w:r>
      <w:r>
        <w:rPr>
          <w:spacing w:val="27"/>
        </w:rPr>
        <w:t xml:space="preserve"> </w:t>
      </w:r>
      <w:r>
        <w:t>en</w:t>
      </w:r>
      <w:r>
        <w:rPr>
          <w:spacing w:val="26"/>
        </w:rPr>
        <w:t xml:space="preserve"> </w:t>
      </w:r>
      <w:r>
        <w:t>el</w:t>
      </w:r>
      <w:r>
        <w:rPr>
          <w:spacing w:val="28"/>
        </w:rPr>
        <w:t xml:space="preserve"> </w:t>
      </w:r>
      <w:r>
        <w:t>surgimiento</w:t>
      </w:r>
      <w:r>
        <w:rPr>
          <w:spacing w:val="26"/>
        </w:rPr>
        <w:t xml:space="preserve"> </w:t>
      </w:r>
      <w:r>
        <w:t>de</w:t>
      </w:r>
      <w:r>
        <w:rPr>
          <w:spacing w:val="26"/>
        </w:rPr>
        <w:t xml:space="preserve"> </w:t>
      </w:r>
      <w:r>
        <w:t>grupos</w:t>
      </w:r>
      <w:r>
        <w:rPr>
          <w:spacing w:val="26"/>
        </w:rPr>
        <w:t xml:space="preserve"> </w:t>
      </w:r>
      <w:r>
        <w:t>sucesores</w:t>
      </w:r>
      <w:r>
        <w:rPr>
          <w:spacing w:val="28"/>
        </w:rPr>
        <w:t xml:space="preserve"> </w:t>
      </w:r>
      <w:r>
        <w:t>del</w:t>
      </w:r>
      <w:r>
        <w:rPr>
          <w:spacing w:val="27"/>
        </w:rPr>
        <w:t xml:space="preserve"> </w:t>
      </w:r>
      <w:r>
        <w:t>paramilitarismo.</w:t>
      </w:r>
      <w:r>
        <w:rPr>
          <w:spacing w:val="27"/>
        </w:rPr>
        <w:t xml:space="preserve"> </w:t>
      </w:r>
      <w:r>
        <w:rPr>
          <w:spacing w:val="-5"/>
        </w:rPr>
        <w:t>Por</w:t>
      </w:r>
      <w:bookmarkStart w:id="543" w:name="_bookmark443"/>
      <w:bookmarkEnd w:id="543"/>
      <w:r w:rsidR="00495C7A">
        <w:rPr>
          <w:spacing w:val="-5"/>
        </w:rPr>
        <w:t xml:space="preserve"> </w:t>
      </w:r>
      <w:r>
        <w:t>ejemplo, la Comisión de la Verdad</w:t>
      </w:r>
      <w:r w:rsidR="00C22D13">
        <w:rPr>
          <w:rStyle w:val="Refdenotaalpie"/>
        </w:rPr>
        <w:footnoteReference w:id="394"/>
      </w:r>
      <w:r>
        <w:t xml:space="preserve"> ha documentado el tránsito intergrupal espontáneo o inducido de combatientes del EPL a las ACCU, luego a las AUC y, en la actualidad, a las </w:t>
      </w:r>
      <w:r>
        <w:rPr>
          <w:spacing w:val="-4"/>
        </w:rPr>
        <w:t>AGC.</w:t>
      </w:r>
    </w:p>
    <w:p w:rsidR="003804AC" w:rsidRDefault="00AF18A5" w:rsidP="00495C7A">
      <w:r>
        <w:t>Los grupos sucesores del paramilitarismo conformaron una compleja constelación de estructuras que ha tenido distintos momentos de alianzas y guerras, reflejados en un incremento</w:t>
      </w:r>
      <w:r>
        <w:rPr>
          <w:spacing w:val="-4"/>
        </w:rPr>
        <w:t xml:space="preserve"> </w:t>
      </w:r>
      <w:r>
        <w:t>de</w:t>
      </w:r>
      <w:r>
        <w:rPr>
          <w:spacing w:val="-2"/>
        </w:rPr>
        <w:t xml:space="preserve"> </w:t>
      </w:r>
      <w:r>
        <w:t>la</w:t>
      </w:r>
      <w:r>
        <w:rPr>
          <w:spacing w:val="-2"/>
        </w:rPr>
        <w:t xml:space="preserve"> </w:t>
      </w:r>
      <w:r>
        <w:t>violencia</w:t>
      </w:r>
      <w:r>
        <w:rPr>
          <w:spacing w:val="-2"/>
        </w:rPr>
        <w:t xml:space="preserve"> </w:t>
      </w:r>
      <w:r>
        <w:t>en</w:t>
      </w:r>
      <w:r>
        <w:rPr>
          <w:spacing w:val="-2"/>
        </w:rPr>
        <w:t xml:space="preserve"> </w:t>
      </w:r>
      <w:r>
        <w:t>las</w:t>
      </w:r>
      <w:r>
        <w:rPr>
          <w:spacing w:val="-2"/>
        </w:rPr>
        <w:t xml:space="preserve"> </w:t>
      </w:r>
      <w:r>
        <w:t>zonas</w:t>
      </w:r>
      <w:r>
        <w:rPr>
          <w:spacing w:val="-2"/>
        </w:rPr>
        <w:t xml:space="preserve"> </w:t>
      </w:r>
      <w:r>
        <w:t>en</w:t>
      </w:r>
      <w:r>
        <w:rPr>
          <w:spacing w:val="-2"/>
        </w:rPr>
        <w:t xml:space="preserve"> </w:t>
      </w:r>
      <w:r>
        <w:t>las</w:t>
      </w:r>
      <w:r>
        <w:rPr>
          <w:spacing w:val="-2"/>
        </w:rPr>
        <w:t xml:space="preserve"> </w:t>
      </w:r>
      <w:r>
        <w:t>que</w:t>
      </w:r>
      <w:r>
        <w:rPr>
          <w:spacing w:val="-3"/>
        </w:rPr>
        <w:t xml:space="preserve"> </w:t>
      </w:r>
      <w:r>
        <w:t>han</w:t>
      </w:r>
      <w:r>
        <w:rPr>
          <w:spacing w:val="-2"/>
        </w:rPr>
        <w:t xml:space="preserve"> </w:t>
      </w:r>
      <w:r>
        <w:t>operado</w:t>
      </w:r>
      <w:r>
        <w:rPr>
          <w:spacing w:val="-2"/>
        </w:rPr>
        <w:t xml:space="preserve"> </w:t>
      </w:r>
      <w:r>
        <w:t>y</w:t>
      </w:r>
      <w:r>
        <w:rPr>
          <w:spacing w:val="-2"/>
        </w:rPr>
        <w:t xml:space="preserve"> </w:t>
      </w:r>
      <w:r>
        <w:t>en</w:t>
      </w:r>
      <w:r>
        <w:rPr>
          <w:spacing w:val="-2"/>
        </w:rPr>
        <w:t xml:space="preserve"> </w:t>
      </w:r>
      <w:r>
        <w:t>un</w:t>
      </w:r>
      <w:r>
        <w:rPr>
          <w:spacing w:val="-2"/>
        </w:rPr>
        <w:t xml:space="preserve"> </w:t>
      </w:r>
      <w:r>
        <w:t>repunte</w:t>
      </w:r>
      <w:r>
        <w:rPr>
          <w:spacing w:val="-2"/>
        </w:rPr>
        <w:t xml:space="preserve"> </w:t>
      </w:r>
      <w:r>
        <w:t>del</w:t>
      </w:r>
      <w:r>
        <w:rPr>
          <w:spacing w:val="-2"/>
        </w:rPr>
        <w:t xml:space="preserve"> </w:t>
      </w:r>
      <w:r>
        <w:t xml:space="preserve">conflicto en varias regiones del país. Los nombres han cambiado mucho en 40 años y </w:t>
      </w:r>
      <w:r>
        <w:lastRenderedPageBreak/>
        <w:t>después de la desmovilización</w:t>
      </w:r>
      <w:r>
        <w:rPr>
          <w:spacing w:val="-6"/>
        </w:rPr>
        <w:t xml:space="preserve"> </w:t>
      </w:r>
      <w:r>
        <w:t>colectiva</w:t>
      </w:r>
      <w:r>
        <w:rPr>
          <w:spacing w:val="-6"/>
        </w:rPr>
        <w:t xml:space="preserve"> </w:t>
      </w:r>
      <w:r>
        <w:t>de</w:t>
      </w:r>
      <w:r>
        <w:rPr>
          <w:spacing w:val="-6"/>
        </w:rPr>
        <w:t xml:space="preserve"> </w:t>
      </w:r>
      <w:r>
        <w:t>las</w:t>
      </w:r>
      <w:r>
        <w:rPr>
          <w:spacing w:val="-6"/>
        </w:rPr>
        <w:t xml:space="preserve"> </w:t>
      </w:r>
      <w:r>
        <w:t>AUC,</w:t>
      </w:r>
      <w:r>
        <w:rPr>
          <w:spacing w:val="-6"/>
        </w:rPr>
        <w:t xml:space="preserve"> </w:t>
      </w:r>
      <w:r>
        <w:t>también</w:t>
      </w:r>
      <w:r>
        <w:rPr>
          <w:spacing w:val="-6"/>
        </w:rPr>
        <w:t xml:space="preserve"> </w:t>
      </w:r>
      <w:r>
        <w:t>se</w:t>
      </w:r>
      <w:r>
        <w:rPr>
          <w:spacing w:val="-6"/>
        </w:rPr>
        <w:t xml:space="preserve"> </w:t>
      </w:r>
      <w:r>
        <w:t>han</w:t>
      </w:r>
      <w:r>
        <w:rPr>
          <w:spacing w:val="-6"/>
        </w:rPr>
        <w:t xml:space="preserve"> </w:t>
      </w:r>
      <w:r>
        <w:t>empleado</w:t>
      </w:r>
      <w:r>
        <w:rPr>
          <w:spacing w:val="-6"/>
        </w:rPr>
        <w:t xml:space="preserve"> </w:t>
      </w:r>
      <w:r>
        <w:t>etiquetas</w:t>
      </w:r>
      <w:r>
        <w:rPr>
          <w:spacing w:val="-6"/>
        </w:rPr>
        <w:t xml:space="preserve"> </w:t>
      </w:r>
      <w:r>
        <w:t>y</w:t>
      </w:r>
      <w:r>
        <w:rPr>
          <w:spacing w:val="-6"/>
        </w:rPr>
        <w:t xml:space="preserve"> </w:t>
      </w:r>
      <w:r>
        <w:t>nombres,</w:t>
      </w:r>
      <w:r>
        <w:rPr>
          <w:spacing w:val="-6"/>
        </w:rPr>
        <w:t xml:space="preserve"> </w:t>
      </w:r>
      <w:r>
        <w:t>como Águilas</w:t>
      </w:r>
      <w:r>
        <w:rPr>
          <w:spacing w:val="-13"/>
        </w:rPr>
        <w:t xml:space="preserve"> </w:t>
      </w:r>
      <w:r>
        <w:t>Negras,</w:t>
      </w:r>
      <w:r>
        <w:rPr>
          <w:spacing w:val="-13"/>
        </w:rPr>
        <w:t xml:space="preserve"> </w:t>
      </w:r>
      <w:r>
        <w:t>que</w:t>
      </w:r>
      <w:r>
        <w:rPr>
          <w:spacing w:val="-13"/>
        </w:rPr>
        <w:t xml:space="preserve"> </w:t>
      </w:r>
      <w:r>
        <w:t>se</w:t>
      </w:r>
      <w:r>
        <w:rPr>
          <w:spacing w:val="-13"/>
        </w:rPr>
        <w:t xml:space="preserve"> </w:t>
      </w:r>
      <w:r>
        <w:t>han</w:t>
      </w:r>
      <w:r>
        <w:rPr>
          <w:spacing w:val="-13"/>
        </w:rPr>
        <w:t xml:space="preserve"> </w:t>
      </w:r>
      <w:r>
        <w:t>convertido</w:t>
      </w:r>
      <w:r>
        <w:rPr>
          <w:spacing w:val="-13"/>
        </w:rPr>
        <w:t xml:space="preserve"> </w:t>
      </w:r>
      <w:r>
        <w:t>en</w:t>
      </w:r>
      <w:r>
        <w:rPr>
          <w:spacing w:val="-13"/>
        </w:rPr>
        <w:t xml:space="preserve"> </w:t>
      </w:r>
      <w:r>
        <w:t>una</w:t>
      </w:r>
      <w:r>
        <w:rPr>
          <w:spacing w:val="-13"/>
        </w:rPr>
        <w:t xml:space="preserve"> </w:t>
      </w:r>
      <w:r>
        <w:t>«marca»</w:t>
      </w:r>
      <w:r>
        <w:rPr>
          <w:spacing w:val="-13"/>
        </w:rPr>
        <w:t xml:space="preserve"> </w:t>
      </w:r>
      <w:r>
        <w:t>de</w:t>
      </w:r>
      <w:r>
        <w:rPr>
          <w:spacing w:val="-13"/>
        </w:rPr>
        <w:t xml:space="preserve"> </w:t>
      </w:r>
      <w:r>
        <w:t>terror</w:t>
      </w:r>
      <w:r>
        <w:rPr>
          <w:spacing w:val="-13"/>
        </w:rPr>
        <w:t xml:space="preserve"> </w:t>
      </w:r>
      <w:r>
        <w:t>para</w:t>
      </w:r>
      <w:r>
        <w:rPr>
          <w:spacing w:val="-13"/>
        </w:rPr>
        <w:t xml:space="preserve"> </w:t>
      </w:r>
      <w:r>
        <w:t>perpetuar</w:t>
      </w:r>
      <w:r>
        <w:rPr>
          <w:spacing w:val="-13"/>
        </w:rPr>
        <w:t xml:space="preserve"> </w:t>
      </w:r>
      <w:r>
        <w:t>las</w:t>
      </w:r>
      <w:r>
        <w:rPr>
          <w:spacing w:val="-13"/>
        </w:rPr>
        <w:t xml:space="preserve"> </w:t>
      </w:r>
      <w:r>
        <w:t>amenazas, extorsiones y otras acciones violentas de manera indiscriminada</w:t>
      </w:r>
      <w:r w:rsidR="00C22D13">
        <w:rPr>
          <w:rStyle w:val="Refdenotaalpie"/>
        </w:rPr>
        <w:footnoteReference w:id="395"/>
      </w:r>
      <w:r>
        <w:t>.</w:t>
      </w:r>
    </w:p>
    <w:p w:rsidR="003804AC" w:rsidRDefault="00AF18A5" w:rsidP="00C22D13">
      <w:r>
        <w:t>Las relaciones con el Estado y las instituciones se han transformado, así como han cambiado también algunos de los escenarios y dinámicas del conflicto. Si bien muchos eslabones</w:t>
      </w:r>
      <w:r>
        <w:rPr>
          <w:spacing w:val="-15"/>
        </w:rPr>
        <w:t xml:space="preserve"> </w:t>
      </w:r>
      <w:r>
        <w:t>del</w:t>
      </w:r>
      <w:r>
        <w:rPr>
          <w:spacing w:val="-15"/>
        </w:rPr>
        <w:t xml:space="preserve"> </w:t>
      </w:r>
      <w:r>
        <w:t>entramado</w:t>
      </w:r>
      <w:r>
        <w:rPr>
          <w:spacing w:val="-15"/>
        </w:rPr>
        <w:t xml:space="preserve"> </w:t>
      </w:r>
      <w:r>
        <w:t>paramilitar</w:t>
      </w:r>
      <w:r>
        <w:rPr>
          <w:spacing w:val="-15"/>
        </w:rPr>
        <w:t xml:space="preserve"> </w:t>
      </w:r>
      <w:r>
        <w:t>permanecen</w:t>
      </w:r>
      <w:r>
        <w:rPr>
          <w:spacing w:val="-15"/>
        </w:rPr>
        <w:t xml:space="preserve"> </w:t>
      </w:r>
      <w:r>
        <w:t>intactos</w:t>
      </w:r>
      <w:r>
        <w:rPr>
          <w:spacing w:val="-15"/>
        </w:rPr>
        <w:t xml:space="preserve"> </w:t>
      </w:r>
      <w:r>
        <w:t>gracias</w:t>
      </w:r>
      <w:r>
        <w:rPr>
          <w:spacing w:val="-15"/>
        </w:rPr>
        <w:t xml:space="preserve"> </w:t>
      </w:r>
      <w:r>
        <w:t>a</w:t>
      </w:r>
      <w:r>
        <w:rPr>
          <w:spacing w:val="-15"/>
        </w:rPr>
        <w:t xml:space="preserve"> </w:t>
      </w:r>
      <w:r>
        <w:t>los</w:t>
      </w:r>
      <w:r>
        <w:rPr>
          <w:spacing w:val="-15"/>
        </w:rPr>
        <w:t xml:space="preserve"> </w:t>
      </w:r>
      <w:r>
        <w:t>privilegios</w:t>
      </w:r>
      <w:r>
        <w:rPr>
          <w:spacing w:val="-15"/>
        </w:rPr>
        <w:t xml:space="preserve"> </w:t>
      </w:r>
      <w:r>
        <w:t>concedidos a sus participantes, muchas de aquellas redes se desarticularon o cambiaron de actores concretos. Por parte de los entes de investigación, han existido procesos como los desarrollados</w:t>
      </w:r>
      <w:r>
        <w:rPr>
          <w:spacing w:val="-7"/>
        </w:rPr>
        <w:t xml:space="preserve"> </w:t>
      </w:r>
      <w:r>
        <w:t>por</w:t>
      </w:r>
      <w:r>
        <w:rPr>
          <w:spacing w:val="-8"/>
        </w:rPr>
        <w:t xml:space="preserve"> </w:t>
      </w:r>
      <w:r>
        <w:t>la</w:t>
      </w:r>
      <w:r>
        <w:rPr>
          <w:spacing w:val="-7"/>
        </w:rPr>
        <w:t xml:space="preserve"> </w:t>
      </w:r>
      <w:r>
        <w:t>Fiscalía</w:t>
      </w:r>
      <w:r>
        <w:rPr>
          <w:spacing w:val="-8"/>
        </w:rPr>
        <w:t xml:space="preserve"> </w:t>
      </w:r>
      <w:r>
        <w:t>en</w:t>
      </w:r>
      <w:r>
        <w:rPr>
          <w:spacing w:val="-7"/>
        </w:rPr>
        <w:t xml:space="preserve"> </w:t>
      </w:r>
      <w:r>
        <w:t>su</w:t>
      </w:r>
      <w:r>
        <w:rPr>
          <w:spacing w:val="-9"/>
        </w:rPr>
        <w:t xml:space="preserve"> </w:t>
      </w:r>
      <w:r>
        <w:t>Unidad</w:t>
      </w:r>
      <w:r>
        <w:rPr>
          <w:spacing w:val="-7"/>
        </w:rPr>
        <w:t xml:space="preserve"> </w:t>
      </w:r>
      <w:r>
        <w:t>de</w:t>
      </w:r>
      <w:r>
        <w:rPr>
          <w:spacing w:val="-7"/>
        </w:rPr>
        <w:t xml:space="preserve"> </w:t>
      </w:r>
      <w:r>
        <w:t>Análisis</w:t>
      </w:r>
      <w:r>
        <w:rPr>
          <w:spacing w:val="-7"/>
        </w:rPr>
        <w:t xml:space="preserve"> </w:t>
      </w:r>
      <w:r>
        <w:t>y</w:t>
      </w:r>
      <w:r>
        <w:rPr>
          <w:spacing w:val="-7"/>
        </w:rPr>
        <w:t xml:space="preserve"> </w:t>
      </w:r>
      <w:r>
        <w:t>Contexto</w:t>
      </w:r>
      <w:r w:rsidR="00C22D13">
        <w:rPr>
          <w:rStyle w:val="Refdenotaalpie"/>
        </w:rPr>
        <w:footnoteReference w:id="396"/>
      </w:r>
      <w:r>
        <w:t>,</w:t>
      </w:r>
      <w:r>
        <w:rPr>
          <w:spacing w:val="-7"/>
        </w:rPr>
        <w:t xml:space="preserve"> </w:t>
      </w:r>
      <w:r>
        <w:t>pese</w:t>
      </w:r>
      <w:r>
        <w:rPr>
          <w:spacing w:val="-8"/>
        </w:rPr>
        <w:t xml:space="preserve"> </w:t>
      </w:r>
      <w:r>
        <w:t>a</w:t>
      </w:r>
      <w:r>
        <w:rPr>
          <w:spacing w:val="-8"/>
        </w:rPr>
        <w:t xml:space="preserve"> </w:t>
      </w:r>
      <w:r>
        <w:t>la</w:t>
      </w:r>
      <w:r>
        <w:rPr>
          <w:spacing w:val="-7"/>
        </w:rPr>
        <w:t xml:space="preserve"> </w:t>
      </w:r>
      <w:r>
        <w:t>corta</w:t>
      </w:r>
      <w:r>
        <w:rPr>
          <w:spacing w:val="-7"/>
        </w:rPr>
        <w:t xml:space="preserve"> </w:t>
      </w:r>
      <w:r>
        <w:t>duración que</w:t>
      </w:r>
      <w:r>
        <w:rPr>
          <w:spacing w:val="-2"/>
        </w:rPr>
        <w:t xml:space="preserve"> </w:t>
      </w:r>
      <w:r>
        <w:t>tuvo,</w:t>
      </w:r>
      <w:r>
        <w:rPr>
          <w:spacing w:val="-2"/>
        </w:rPr>
        <w:t xml:space="preserve"> </w:t>
      </w:r>
      <w:r>
        <w:t>que</w:t>
      </w:r>
      <w:r>
        <w:rPr>
          <w:spacing w:val="-2"/>
        </w:rPr>
        <w:t xml:space="preserve"> </w:t>
      </w:r>
      <w:r>
        <w:t>no</w:t>
      </w:r>
      <w:r>
        <w:rPr>
          <w:spacing w:val="-2"/>
        </w:rPr>
        <w:t xml:space="preserve"> </w:t>
      </w:r>
      <w:r>
        <w:t>permitió</w:t>
      </w:r>
      <w:r>
        <w:rPr>
          <w:spacing w:val="-2"/>
        </w:rPr>
        <w:t xml:space="preserve"> </w:t>
      </w:r>
      <w:r>
        <w:t>esclarecer</w:t>
      </w:r>
      <w:r>
        <w:rPr>
          <w:spacing w:val="-3"/>
        </w:rPr>
        <w:t xml:space="preserve"> </w:t>
      </w:r>
      <w:r>
        <w:t>las</w:t>
      </w:r>
      <w:r>
        <w:rPr>
          <w:spacing w:val="-2"/>
        </w:rPr>
        <w:t xml:space="preserve"> </w:t>
      </w:r>
      <w:r>
        <w:t>responsabilidades</w:t>
      </w:r>
      <w:r>
        <w:rPr>
          <w:spacing w:val="-2"/>
        </w:rPr>
        <w:t xml:space="preserve"> </w:t>
      </w:r>
      <w:r>
        <w:t>de</w:t>
      </w:r>
      <w:r>
        <w:rPr>
          <w:spacing w:val="-3"/>
        </w:rPr>
        <w:t xml:space="preserve"> </w:t>
      </w:r>
      <w:r>
        <w:t>los</w:t>
      </w:r>
      <w:r>
        <w:rPr>
          <w:spacing w:val="-2"/>
        </w:rPr>
        <w:t xml:space="preserve"> </w:t>
      </w:r>
      <w:r>
        <w:t>terceros</w:t>
      </w:r>
      <w:r>
        <w:rPr>
          <w:spacing w:val="-3"/>
        </w:rPr>
        <w:t xml:space="preserve"> </w:t>
      </w:r>
      <w:r>
        <w:t>implicados;</w:t>
      </w:r>
      <w:r>
        <w:rPr>
          <w:spacing w:val="-3"/>
        </w:rPr>
        <w:t xml:space="preserve"> </w:t>
      </w:r>
      <w:r>
        <w:t>por</w:t>
      </w:r>
      <w:r>
        <w:rPr>
          <w:spacing w:val="-2"/>
        </w:rPr>
        <w:t xml:space="preserve"> </w:t>
      </w:r>
      <w:r>
        <w:t>la Unidad</w:t>
      </w:r>
      <w:r>
        <w:rPr>
          <w:spacing w:val="-1"/>
        </w:rPr>
        <w:t xml:space="preserve"> </w:t>
      </w:r>
      <w:r>
        <w:t>Especial</w:t>
      </w:r>
      <w:r>
        <w:rPr>
          <w:spacing w:val="2"/>
        </w:rPr>
        <w:t xml:space="preserve"> </w:t>
      </w:r>
      <w:r>
        <w:t>de</w:t>
      </w:r>
      <w:r>
        <w:rPr>
          <w:spacing w:val="1"/>
        </w:rPr>
        <w:t xml:space="preserve"> </w:t>
      </w:r>
      <w:r>
        <w:t>Investigación</w:t>
      </w:r>
      <w:r>
        <w:rPr>
          <w:spacing w:val="1"/>
        </w:rPr>
        <w:t xml:space="preserve"> </w:t>
      </w:r>
      <w:r>
        <w:t>de</w:t>
      </w:r>
      <w:r>
        <w:rPr>
          <w:spacing w:val="2"/>
        </w:rPr>
        <w:t xml:space="preserve"> </w:t>
      </w:r>
      <w:r>
        <w:t>la misma</w:t>
      </w:r>
      <w:r>
        <w:rPr>
          <w:spacing w:val="1"/>
        </w:rPr>
        <w:t xml:space="preserve"> </w:t>
      </w:r>
      <w:r>
        <w:t>institución,</w:t>
      </w:r>
      <w:r>
        <w:rPr>
          <w:spacing w:val="1"/>
        </w:rPr>
        <w:t xml:space="preserve"> </w:t>
      </w:r>
      <w:r>
        <w:t>nacida</w:t>
      </w:r>
      <w:r>
        <w:rPr>
          <w:spacing w:val="1"/>
        </w:rPr>
        <w:t xml:space="preserve"> </w:t>
      </w:r>
      <w:r>
        <w:t>del</w:t>
      </w:r>
      <w:r>
        <w:rPr>
          <w:spacing w:val="3"/>
        </w:rPr>
        <w:t xml:space="preserve"> </w:t>
      </w:r>
      <w:r>
        <w:t>Acuerdo</w:t>
      </w:r>
      <w:r>
        <w:rPr>
          <w:spacing w:val="1"/>
        </w:rPr>
        <w:t xml:space="preserve"> </w:t>
      </w:r>
      <w:r>
        <w:t>de</w:t>
      </w:r>
      <w:r>
        <w:rPr>
          <w:spacing w:val="2"/>
        </w:rPr>
        <w:t xml:space="preserve"> </w:t>
      </w:r>
      <w:r>
        <w:t>Paz</w:t>
      </w:r>
      <w:r>
        <w:rPr>
          <w:spacing w:val="1"/>
        </w:rPr>
        <w:t xml:space="preserve"> </w:t>
      </w:r>
      <w:r>
        <w:t>de</w:t>
      </w:r>
      <w:r>
        <w:rPr>
          <w:spacing w:val="2"/>
        </w:rPr>
        <w:t xml:space="preserve"> </w:t>
      </w:r>
      <w:r>
        <w:rPr>
          <w:spacing w:val="-5"/>
        </w:rPr>
        <w:t>La</w:t>
      </w:r>
      <w:bookmarkStart w:id="544" w:name="_bookmark444"/>
      <w:bookmarkStart w:id="545" w:name="_bookmark445"/>
      <w:bookmarkStart w:id="546" w:name="_bookmark446"/>
      <w:bookmarkEnd w:id="544"/>
      <w:bookmarkEnd w:id="545"/>
      <w:bookmarkEnd w:id="546"/>
      <w:r w:rsidR="00C22D13">
        <w:rPr>
          <w:spacing w:val="-5"/>
        </w:rPr>
        <w:t xml:space="preserve"> </w:t>
      </w:r>
      <w:r>
        <w:t>Habana</w:t>
      </w:r>
      <w:r w:rsidR="00C22D13">
        <w:rPr>
          <w:rStyle w:val="Refdenotaalpie"/>
        </w:rPr>
        <w:footnoteReference w:id="397"/>
      </w:r>
      <w:r>
        <w:t xml:space="preserve">; y por la Dirección de Justicia </w:t>
      </w:r>
      <w:r>
        <w:lastRenderedPageBreak/>
        <w:t>Transicional, que actualmente desarrolla una investigación sobre complicidad empresarial.</w:t>
      </w:r>
    </w:p>
    <w:p w:rsidR="003804AC" w:rsidRDefault="00AF18A5" w:rsidP="00C22D13">
      <w:r>
        <w:t>Como</w:t>
      </w:r>
      <w:r>
        <w:rPr>
          <w:spacing w:val="-14"/>
        </w:rPr>
        <w:t xml:space="preserve"> </w:t>
      </w:r>
      <w:r>
        <w:t>señalaron</w:t>
      </w:r>
      <w:r>
        <w:rPr>
          <w:spacing w:val="-14"/>
        </w:rPr>
        <w:t xml:space="preserve"> </w:t>
      </w:r>
      <w:r>
        <w:t>varios</w:t>
      </w:r>
      <w:r>
        <w:rPr>
          <w:spacing w:val="-14"/>
        </w:rPr>
        <w:t xml:space="preserve"> </w:t>
      </w:r>
      <w:r>
        <w:t>líderes</w:t>
      </w:r>
      <w:r>
        <w:rPr>
          <w:spacing w:val="-14"/>
        </w:rPr>
        <w:t xml:space="preserve"> </w:t>
      </w:r>
      <w:r>
        <w:t>de</w:t>
      </w:r>
      <w:r>
        <w:rPr>
          <w:spacing w:val="-14"/>
        </w:rPr>
        <w:t xml:space="preserve"> </w:t>
      </w:r>
      <w:r>
        <w:t>las</w:t>
      </w:r>
      <w:r>
        <w:rPr>
          <w:spacing w:val="-15"/>
        </w:rPr>
        <w:t xml:space="preserve"> </w:t>
      </w:r>
      <w:r>
        <w:t>entonces</w:t>
      </w:r>
      <w:r>
        <w:rPr>
          <w:spacing w:val="-14"/>
        </w:rPr>
        <w:t xml:space="preserve"> </w:t>
      </w:r>
      <w:r>
        <w:t>AUC</w:t>
      </w:r>
      <w:r>
        <w:rPr>
          <w:spacing w:val="-15"/>
        </w:rPr>
        <w:t xml:space="preserve"> </w:t>
      </w:r>
      <w:r>
        <w:t>en</w:t>
      </w:r>
      <w:r>
        <w:rPr>
          <w:spacing w:val="-14"/>
        </w:rPr>
        <w:t xml:space="preserve"> </w:t>
      </w:r>
      <w:r>
        <w:t>una</w:t>
      </w:r>
      <w:r>
        <w:rPr>
          <w:spacing w:val="-14"/>
        </w:rPr>
        <w:t xml:space="preserve"> </w:t>
      </w:r>
      <w:r>
        <w:t>reunión</w:t>
      </w:r>
      <w:r>
        <w:rPr>
          <w:spacing w:val="-14"/>
        </w:rPr>
        <w:t xml:space="preserve"> </w:t>
      </w:r>
      <w:r>
        <w:t>con</w:t>
      </w:r>
      <w:r>
        <w:rPr>
          <w:spacing w:val="-14"/>
        </w:rPr>
        <w:t xml:space="preserve"> </w:t>
      </w:r>
      <w:r>
        <w:t>la</w:t>
      </w:r>
      <w:r>
        <w:rPr>
          <w:spacing w:val="-14"/>
        </w:rPr>
        <w:t xml:space="preserve"> </w:t>
      </w:r>
      <w:r>
        <w:t>Comisión:</w:t>
      </w:r>
      <w:r>
        <w:rPr>
          <w:spacing w:val="-15"/>
        </w:rPr>
        <w:t xml:space="preserve"> </w:t>
      </w:r>
      <w:r>
        <w:t xml:space="preserve">«Las AUC desaparecieron, pero el paramilitarismo sigue». Las organizaciones que siguieron a la desmovilización de las AUC –como Los Rastrojos, Los </w:t>
      </w:r>
      <w:proofErr w:type="spellStart"/>
      <w:r>
        <w:t>Pachenca</w:t>
      </w:r>
      <w:proofErr w:type="spellEnd"/>
      <w:r>
        <w:t xml:space="preserve">, Los </w:t>
      </w:r>
      <w:proofErr w:type="spellStart"/>
      <w:r>
        <w:t>Caparrapos</w:t>
      </w:r>
      <w:proofErr w:type="spellEnd"/>
      <w:r>
        <w:t xml:space="preserve"> o Caparros y el Clan del Golfo (autodenominado AGC), las Águilas Negras y sus células y facciones–</w:t>
      </w:r>
      <w:r>
        <w:rPr>
          <w:spacing w:val="-8"/>
        </w:rPr>
        <w:t xml:space="preserve"> </w:t>
      </w:r>
      <w:r>
        <w:t>son</w:t>
      </w:r>
      <w:r>
        <w:rPr>
          <w:spacing w:val="-8"/>
        </w:rPr>
        <w:t xml:space="preserve"> </w:t>
      </w:r>
      <w:r>
        <w:t>todavía</w:t>
      </w:r>
      <w:r>
        <w:rPr>
          <w:spacing w:val="-8"/>
        </w:rPr>
        <w:t xml:space="preserve"> </w:t>
      </w:r>
      <w:r>
        <w:t>parte</w:t>
      </w:r>
      <w:r>
        <w:rPr>
          <w:spacing w:val="-8"/>
        </w:rPr>
        <w:t xml:space="preserve"> </w:t>
      </w:r>
      <w:r>
        <w:t>del</w:t>
      </w:r>
      <w:r>
        <w:rPr>
          <w:spacing w:val="-8"/>
        </w:rPr>
        <w:t xml:space="preserve"> </w:t>
      </w:r>
      <w:r>
        <w:t>problema</w:t>
      </w:r>
      <w:r>
        <w:rPr>
          <w:spacing w:val="-8"/>
        </w:rPr>
        <w:t xml:space="preserve"> </w:t>
      </w:r>
      <w:r>
        <w:t>central</w:t>
      </w:r>
      <w:r>
        <w:rPr>
          <w:spacing w:val="-9"/>
        </w:rPr>
        <w:t xml:space="preserve"> </w:t>
      </w:r>
      <w:r>
        <w:t>de</w:t>
      </w:r>
      <w:r>
        <w:rPr>
          <w:spacing w:val="-8"/>
        </w:rPr>
        <w:t xml:space="preserve"> </w:t>
      </w:r>
      <w:r>
        <w:t>la</w:t>
      </w:r>
      <w:r>
        <w:rPr>
          <w:spacing w:val="-8"/>
        </w:rPr>
        <w:t xml:space="preserve"> </w:t>
      </w:r>
      <w:r>
        <w:t>reconstrucción</w:t>
      </w:r>
      <w:r>
        <w:rPr>
          <w:spacing w:val="-8"/>
        </w:rPr>
        <w:t xml:space="preserve"> </w:t>
      </w:r>
      <w:r>
        <w:t>de</w:t>
      </w:r>
      <w:r>
        <w:rPr>
          <w:spacing w:val="-8"/>
        </w:rPr>
        <w:t xml:space="preserve"> </w:t>
      </w:r>
      <w:r>
        <w:t>la</w:t>
      </w:r>
      <w:r>
        <w:rPr>
          <w:spacing w:val="-8"/>
        </w:rPr>
        <w:t xml:space="preserve"> </w:t>
      </w:r>
      <w:r>
        <w:t>convivencia</w:t>
      </w:r>
      <w:r>
        <w:rPr>
          <w:spacing w:val="-8"/>
        </w:rPr>
        <w:t xml:space="preserve"> </w:t>
      </w:r>
      <w:r>
        <w:t>y</w:t>
      </w:r>
      <w:r>
        <w:rPr>
          <w:spacing w:val="-8"/>
        </w:rPr>
        <w:t xml:space="preserve"> </w:t>
      </w:r>
      <w:r>
        <w:t>la paz en Colombia. Así mismo, la presencia y acciones de grupos de civiles que dispararon contra personas que participaron en las marchas del 2019 al 2021 son reflejo de este riesgo latente del fenómeno paramilitar y una prueba de la pervivencia de diferentes lógicas y estrategias propias de un pensamiento de que la guerra que siguen en pie.</w:t>
      </w:r>
    </w:p>
    <w:p w:rsidR="0011361F" w:rsidRDefault="00AF18A5" w:rsidP="004A6EF4">
      <w:pPr>
        <w:pStyle w:val="Ttulo3"/>
        <w:numPr>
          <w:ilvl w:val="1"/>
          <w:numId w:val="16"/>
        </w:numPr>
      </w:pPr>
      <w:bookmarkStart w:id="547" w:name="5.5._El_terror_como_estrategia"/>
      <w:bookmarkStart w:id="548" w:name="_Toc112399596"/>
      <w:bookmarkEnd w:id="547"/>
      <w:r>
        <w:t>El</w:t>
      </w:r>
      <w:r>
        <w:rPr>
          <w:spacing w:val="-1"/>
        </w:rPr>
        <w:t xml:space="preserve"> </w:t>
      </w:r>
      <w:r>
        <w:t>terror</w:t>
      </w:r>
      <w:r>
        <w:rPr>
          <w:spacing w:val="-1"/>
        </w:rPr>
        <w:t xml:space="preserve"> </w:t>
      </w:r>
      <w:r w:rsidRPr="00C22D13">
        <w:t>como</w:t>
      </w:r>
      <w:r>
        <w:rPr>
          <w:spacing w:val="-1"/>
        </w:rPr>
        <w:t xml:space="preserve"> </w:t>
      </w:r>
      <w:r>
        <w:rPr>
          <w:spacing w:val="-2"/>
        </w:rPr>
        <w:t>estrategia</w:t>
      </w:r>
      <w:bookmarkEnd w:id="548"/>
    </w:p>
    <w:p w:rsidR="003804AC" w:rsidRDefault="00AF18A5" w:rsidP="00C22D13">
      <w:r>
        <w:t>En esta guerra, el paramilitarismo dejó el mayor saldo de víctimas, con impactos profundos en la población y en los territorios donde actuó. La marca del terror paramilitar fue signada a través de modalidades de violencia que se caracterizaron por el uso de la crueldad y la sevicia, como masacres, asesinatos selectivos y desapariciones forzadas, así como la imposición</w:t>
      </w:r>
      <w:r>
        <w:rPr>
          <w:spacing w:val="-15"/>
        </w:rPr>
        <w:t xml:space="preserve"> </w:t>
      </w:r>
      <w:r>
        <w:t>de</w:t>
      </w:r>
      <w:r>
        <w:rPr>
          <w:spacing w:val="-15"/>
        </w:rPr>
        <w:t xml:space="preserve"> </w:t>
      </w:r>
      <w:r>
        <w:t>órdenes</w:t>
      </w:r>
      <w:r>
        <w:rPr>
          <w:spacing w:val="-15"/>
        </w:rPr>
        <w:t xml:space="preserve"> </w:t>
      </w:r>
      <w:r>
        <w:t>sociales</w:t>
      </w:r>
      <w:r>
        <w:rPr>
          <w:spacing w:val="-15"/>
        </w:rPr>
        <w:t xml:space="preserve"> </w:t>
      </w:r>
      <w:r>
        <w:t>violentos</w:t>
      </w:r>
      <w:r>
        <w:rPr>
          <w:spacing w:val="-15"/>
        </w:rPr>
        <w:t xml:space="preserve"> </w:t>
      </w:r>
      <w:r>
        <w:t>y</w:t>
      </w:r>
      <w:r>
        <w:rPr>
          <w:spacing w:val="-15"/>
        </w:rPr>
        <w:t xml:space="preserve"> </w:t>
      </w:r>
      <w:r>
        <w:t>las</w:t>
      </w:r>
      <w:r>
        <w:rPr>
          <w:spacing w:val="-15"/>
        </w:rPr>
        <w:t xml:space="preserve"> </w:t>
      </w:r>
      <w:r>
        <w:t>estrategias</w:t>
      </w:r>
      <w:r>
        <w:rPr>
          <w:spacing w:val="-15"/>
        </w:rPr>
        <w:t xml:space="preserve"> </w:t>
      </w:r>
      <w:r>
        <w:t>de</w:t>
      </w:r>
      <w:r>
        <w:rPr>
          <w:spacing w:val="-15"/>
        </w:rPr>
        <w:t xml:space="preserve"> </w:t>
      </w:r>
      <w:r>
        <w:t>legitimación</w:t>
      </w:r>
      <w:r>
        <w:rPr>
          <w:spacing w:val="-15"/>
        </w:rPr>
        <w:t xml:space="preserve"> </w:t>
      </w:r>
      <w:r>
        <w:t>en</w:t>
      </w:r>
      <w:r>
        <w:rPr>
          <w:spacing w:val="-15"/>
        </w:rPr>
        <w:t xml:space="preserve"> </w:t>
      </w:r>
      <w:r>
        <w:t>las</w:t>
      </w:r>
      <w:r>
        <w:rPr>
          <w:spacing w:val="-15"/>
        </w:rPr>
        <w:t xml:space="preserve"> </w:t>
      </w:r>
      <w:r>
        <w:t xml:space="preserve">comunidades donde han tenido presencia. Son innumerables los testimonios entregados a la Comisión de la Verdad que </w:t>
      </w:r>
      <w:r>
        <w:lastRenderedPageBreak/>
        <w:t>resaltaron la barbarie que implicó la incursión de estos grupos armados a un territorio y las posteriores imposiciones de control y regulación violenta a la vida de sus pobladores.</w:t>
      </w:r>
      <w:r>
        <w:rPr>
          <w:spacing w:val="3"/>
        </w:rPr>
        <w:t xml:space="preserve"> </w:t>
      </w:r>
      <w:r>
        <w:t>De</w:t>
      </w:r>
      <w:r>
        <w:rPr>
          <w:spacing w:val="7"/>
        </w:rPr>
        <w:t xml:space="preserve"> </w:t>
      </w:r>
      <w:r>
        <w:t>acuerdo</w:t>
      </w:r>
      <w:r>
        <w:rPr>
          <w:spacing w:val="6"/>
        </w:rPr>
        <w:t xml:space="preserve"> </w:t>
      </w:r>
      <w:r>
        <w:t>con</w:t>
      </w:r>
      <w:r>
        <w:rPr>
          <w:spacing w:val="8"/>
        </w:rPr>
        <w:t xml:space="preserve"> </w:t>
      </w:r>
      <w:r>
        <w:t>la</w:t>
      </w:r>
      <w:r>
        <w:rPr>
          <w:spacing w:val="6"/>
        </w:rPr>
        <w:t xml:space="preserve"> </w:t>
      </w:r>
      <w:r>
        <w:t>información</w:t>
      </w:r>
      <w:r>
        <w:rPr>
          <w:spacing w:val="7"/>
        </w:rPr>
        <w:t xml:space="preserve"> </w:t>
      </w:r>
      <w:r>
        <w:t>disponible</w:t>
      </w:r>
      <w:r>
        <w:rPr>
          <w:spacing w:val="8"/>
        </w:rPr>
        <w:t xml:space="preserve"> </w:t>
      </w:r>
      <w:r>
        <w:t>en</w:t>
      </w:r>
      <w:r>
        <w:rPr>
          <w:spacing w:val="6"/>
        </w:rPr>
        <w:t xml:space="preserve"> </w:t>
      </w:r>
      <w:r>
        <w:t>la</w:t>
      </w:r>
      <w:r>
        <w:rPr>
          <w:spacing w:val="6"/>
        </w:rPr>
        <w:t xml:space="preserve"> </w:t>
      </w:r>
      <w:r>
        <w:t>base</w:t>
      </w:r>
      <w:r>
        <w:rPr>
          <w:spacing w:val="8"/>
        </w:rPr>
        <w:t xml:space="preserve"> </w:t>
      </w:r>
      <w:r>
        <w:t>de</w:t>
      </w:r>
      <w:r>
        <w:rPr>
          <w:spacing w:val="7"/>
        </w:rPr>
        <w:t xml:space="preserve"> </w:t>
      </w:r>
      <w:r>
        <w:t>datos</w:t>
      </w:r>
      <w:r>
        <w:rPr>
          <w:spacing w:val="7"/>
        </w:rPr>
        <w:t xml:space="preserve"> </w:t>
      </w:r>
      <w:r>
        <w:t>del</w:t>
      </w:r>
      <w:r>
        <w:rPr>
          <w:spacing w:val="8"/>
        </w:rPr>
        <w:t xml:space="preserve"> </w:t>
      </w:r>
      <w:r>
        <w:rPr>
          <w:spacing w:val="-2"/>
        </w:rPr>
        <w:t>Observatorio</w:t>
      </w:r>
      <w:bookmarkStart w:id="549" w:name="_bookmark448"/>
      <w:bookmarkEnd w:id="549"/>
      <w:r w:rsidR="00C22D13">
        <w:rPr>
          <w:spacing w:val="-2"/>
        </w:rPr>
        <w:t xml:space="preserve"> </w:t>
      </w:r>
      <w:r>
        <w:t>de Memoria y Conflicto del Centro Nacional de Memoria Histórica, el 61,6</w:t>
      </w:r>
      <w:r>
        <w:rPr>
          <w:spacing w:val="-2"/>
        </w:rPr>
        <w:t xml:space="preserve"> </w:t>
      </w:r>
      <w:r>
        <w:t>% del total de víctimas civiles letales en Colombia entre 1958 y 2018 (140.642</w:t>
      </w:r>
      <w:r w:rsidR="00A533F9">
        <w:rPr>
          <w:rStyle w:val="Refdenotaalpie"/>
        </w:rPr>
        <w:footnoteReference w:id="398"/>
      </w:r>
      <w:r>
        <w:t xml:space="preserve"> personas), fueron causadas por grupos paramilitares.</w:t>
      </w:r>
    </w:p>
    <w:p w:rsidR="003804AC" w:rsidRDefault="00AF18A5" w:rsidP="00C22D13">
      <w:r>
        <w:t>Las</w:t>
      </w:r>
      <w:r>
        <w:rPr>
          <w:spacing w:val="-8"/>
        </w:rPr>
        <w:t xml:space="preserve"> </w:t>
      </w:r>
      <w:r>
        <w:t>estructuras</w:t>
      </w:r>
      <w:r>
        <w:rPr>
          <w:spacing w:val="-8"/>
        </w:rPr>
        <w:t xml:space="preserve"> </w:t>
      </w:r>
      <w:r>
        <w:t>paramilitares</w:t>
      </w:r>
      <w:r>
        <w:rPr>
          <w:spacing w:val="-8"/>
        </w:rPr>
        <w:t xml:space="preserve"> </w:t>
      </w:r>
      <w:r>
        <w:t>cometieron</w:t>
      </w:r>
      <w:r>
        <w:rPr>
          <w:spacing w:val="-8"/>
        </w:rPr>
        <w:t xml:space="preserve"> </w:t>
      </w:r>
      <w:r>
        <w:t>las</w:t>
      </w:r>
      <w:r>
        <w:rPr>
          <w:spacing w:val="-8"/>
        </w:rPr>
        <w:t xml:space="preserve"> </w:t>
      </w:r>
      <w:r>
        <w:t>mayores</w:t>
      </w:r>
      <w:r>
        <w:rPr>
          <w:spacing w:val="-8"/>
        </w:rPr>
        <w:t xml:space="preserve"> </w:t>
      </w:r>
      <w:r>
        <w:t>violaciones</w:t>
      </w:r>
      <w:r>
        <w:rPr>
          <w:spacing w:val="-8"/>
        </w:rPr>
        <w:t xml:space="preserve"> </w:t>
      </w:r>
      <w:r>
        <w:t>a</w:t>
      </w:r>
      <w:r>
        <w:rPr>
          <w:spacing w:val="-8"/>
        </w:rPr>
        <w:t xml:space="preserve"> </w:t>
      </w:r>
      <w:r>
        <w:t>los</w:t>
      </w:r>
      <w:r>
        <w:rPr>
          <w:spacing w:val="-8"/>
        </w:rPr>
        <w:t xml:space="preserve"> </w:t>
      </w:r>
      <w:r>
        <w:t>derechos</w:t>
      </w:r>
      <w:r>
        <w:rPr>
          <w:spacing w:val="-8"/>
        </w:rPr>
        <w:t xml:space="preserve"> </w:t>
      </w:r>
      <w:r>
        <w:t>humanos e infracciones al Derecho Internacional Humanitario (DIH). Según los datos del CNMH, el 91,5</w:t>
      </w:r>
      <w:r>
        <w:rPr>
          <w:spacing w:val="-2"/>
        </w:rPr>
        <w:t xml:space="preserve"> </w:t>
      </w:r>
      <w:r>
        <w:t>% de las víctimas de los paramilitares fueron objeto de asesinatos selectivos, masacres y</w:t>
      </w:r>
      <w:r>
        <w:rPr>
          <w:spacing w:val="-8"/>
        </w:rPr>
        <w:t xml:space="preserve"> </w:t>
      </w:r>
      <w:r>
        <w:t>desaparición</w:t>
      </w:r>
      <w:r>
        <w:rPr>
          <w:spacing w:val="-8"/>
        </w:rPr>
        <w:t xml:space="preserve"> </w:t>
      </w:r>
      <w:r>
        <w:t>forzada,</w:t>
      </w:r>
      <w:r>
        <w:rPr>
          <w:spacing w:val="-9"/>
        </w:rPr>
        <w:t xml:space="preserve"> </w:t>
      </w:r>
      <w:r>
        <w:t>dentro</w:t>
      </w:r>
      <w:r>
        <w:rPr>
          <w:spacing w:val="-8"/>
        </w:rPr>
        <w:t xml:space="preserve"> </w:t>
      </w:r>
      <w:r>
        <w:t>de</w:t>
      </w:r>
      <w:r>
        <w:rPr>
          <w:spacing w:val="-9"/>
        </w:rPr>
        <w:t xml:space="preserve"> </w:t>
      </w:r>
      <w:r>
        <w:t>la</w:t>
      </w:r>
      <w:r>
        <w:rPr>
          <w:spacing w:val="-9"/>
        </w:rPr>
        <w:t xml:space="preserve"> </w:t>
      </w:r>
      <w:r>
        <w:t>siguiente</w:t>
      </w:r>
      <w:r>
        <w:rPr>
          <w:spacing w:val="-8"/>
        </w:rPr>
        <w:t xml:space="preserve"> </w:t>
      </w:r>
      <w:r>
        <w:t>distribución:</w:t>
      </w:r>
      <w:r>
        <w:rPr>
          <w:spacing w:val="-9"/>
        </w:rPr>
        <w:t xml:space="preserve"> </w:t>
      </w:r>
      <w:r>
        <w:t>asesinatos</w:t>
      </w:r>
      <w:r>
        <w:rPr>
          <w:spacing w:val="-8"/>
        </w:rPr>
        <w:t xml:space="preserve"> </w:t>
      </w:r>
      <w:r>
        <w:t>selectivos</w:t>
      </w:r>
      <w:r>
        <w:rPr>
          <w:spacing w:val="-9"/>
        </w:rPr>
        <w:t xml:space="preserve"> </w:t>
      </w:r>
      <w:r>
        <w:t>(61,44</w:t>
      </w:r>
      <w:r>
        <w:rPr>
          <w:spacing w:val="-3"/>
        </w:rPr>
        <w:t xml:space="preserve"> </w:t>
      </w:r>
      <w:r>
        <w:t>%</w:t>
      </w:r>
      <w:r>
        <w:rPr>
          <w:spacing w:val="-8"/>
        </w:rPr>
        <w:t xml:space="preserve"> </w:t>
      </w:r>
      <w:r>
        <w:t>de su</w:t>
      </w:r>
      <w:r>
        <w:rPr>
          <w:spacing w:val="-15"/>
        </w:rPr>
        <w:t xml:space="preserve"> </w:t>
      </w:r>
      <w:r>
        <w:t>total</w:t>
      </w:r>
      <w:r>
        <w:rPr>
          <w:spacing w:val="-15"/>
        </w:rPr>
        <w:t xml:space="preserve"> </w:t>
      </w:r>
      <w:r>
        <w:t>de</w:t>
      </w:r>
      <w:r>
        <w:rPr>
          <w:spacing w:val="-15"/>
        </w:rPr>
        <w:t xml:space="preserve"> </w:t>
      </w:r>
      <w:r>
        <w:t>violaciones</w:t>
      </w:r>
      <w:r>
        <w:rPr>
          <w:spacing w:val="-15"/>
        </w:rPr>
        <w:t xml:space="preserve"> </w:t>
      </w:r>
      <w:r>
        <w:t>a</w:t>
      </w:r>
      <w:r>
        <w:rPr>
          <w:spacing w:val="-15"/>
        </w:rPr>
        <w:t xml:space="preserve"> </w:t>
      </w:r>
      <w:r>
        <w:t>los</w:t>
      </w:r>
      <w:r>
        <w:rPr>
          <w:spacing w:val="-15"/>
        </w:rPr>
        <w:t xml:space="preserve"> </w:t>
      </w:r>
      <w:r>
        <w:t>derechos</w:t>
      </w:r>
      <w:r>
        <w:rPr>
          <w:spacing w:val="-15"/>
        </w:rPr>
        <w:t xml:space="preserve"> </w:t>
      </w:r>
      <w:r>
        <w:t>humanos),</w:t>
      </w:r>
      <w:r>
        <w:rPr>
          <w:spacing w:val="-15"/>
        </w:rPr>
        <w:t xml:space="preserve"> </w:t>
      </w:r>
      <w:r>
        <w:t>desapariciones</w:t>
      </w:r>
      <w:r>
        <w:rPr>
          <w:spacing w:val="-15"/>
        </w:rPr>
        <w:t xml:space="preserve"> </w:t>
      </w:r>
      <w:r>
        <w:t>forzadas</w:t>
      </w:r>
      <w:r>
        <w:rPr>
          <w:spacing w:val="-15"/>
        </w:rPr>
        <w:t xml:space="preserve"> </w:t>
      </w:r>
      <w:r>
        <w:t>(20,51</w:t>
      </w:r>
      <w:r>
        <w:rPr>
          <w:spacing w:val="-15"/>
        </w:rPr>
        <w:t xml:space="preserve"> </w:t>
      </w:r>
      <w:r>
        <w:t>%),</w:t>
      </w:r>
      <w:r>
        <w:rPr>
          <w:spacing w:val="-15"/>
        </w:rPr>
        <w:t xml:space="preserve"> </w:t>
      </w:r>
      <w:r>
        <w:t>masacres (9,54</w:t>
      </w:r>
      <w:r>
        <w:rPr>
          <w:spacing w:val="-2"/>
        </w:rPr>
        <w:t xml:space="preserve"> </w:t>
      </w:r>
      <w:r>
        <w:t>%), violencia sexual (4,37</w:t>
      </w:r>
      <w:r>
        <w:rPr>
          <w:spacing w:val="-2"/>
        </w:rPr>
        <w:t xml:space="preserve"> </w:t>
      </w:r>
      <w:r>
        <w:t>%), secuestro (2,89</w:t>
      </w:r>
      <w:r>
        <w:rPr>
          <w:spacing w:val="-2"/>
        </w:rPr>
        <w:t xml:space="preserve"> </w:t>
      </w:r>
      <w:r>
        <w:t>%) y reclutamiento y utilización de niños, niñas y adolescentes (1,23 %)</w:t>
      </w:r>
      <w:r w:rsidR="00A533F9">
        <w:rPr>
          <w:rStyle w:val="Refdenotaalpie"/>
        </w:rPr>
        <w:footnoteReference w:id="399"/>
      </w:r>
      <w:r>
        <w:t>.</w:t>
      </w:r>
    </w:p>
    <w:p w:rsidR="003804AC" w:rsidRDefault="00AF18A5" w:rsidP="00C22D13">
      <w:r>
        <w:t>Este</w:t>
      </w:r>
      <w:r>
        <w:rPr>
          <w:spacing w:val="-9"/>
        </w:rPr>
        <w:t xml:space="preserve"> </w:t>
      </w:r>
      <w:r>
        <w:t>actor,</w:t>
      </w:r>
      <w:r>
        <w:rPr>
          <w:spacing w:val="-9"/>
        </w:rPr>
        <w:t xml:space="preserve"> </w:t>
      </w:r>
      <w:r>
        <w:t>de</w:t>
      </w:r>
      <w:r>
        <w:rPr>
          <w:spacing w:val="-9"/>
        </w:rPr>
        <w:t xml:space="preserve"> </w:t>
      </w:r>
      <w:r>
        <w:t>la</w:t>
      </w:r>
      <w:r>
        <w:rPr>
          <w:spacing w:val="-9"/>
        </w:rPr>
        <w:t xml:space="preserve"> </w:t>
      </w:r>
      <w:r>
        <w:t>mano</w:t>
      </w:r>
      <w:r>
        <w:rPr>
          <w:spacing w:val="-9"/>
        </w:rPr>
        <w:t xml:space="preserve"> </w:t>
      </w:r>
      <w:r>
        <w:t>del</w:t>
      </w:r>
      <w:r>
        <w:rPr>
          <w:spacing w:val="-9"/>
        </w:rPr>
        <w:t xml:space="preserve"> </w:t>
      </w:r>
      <w:r>
        <w:t>Estado,</w:t>
      </w:r>
      <w:r>
        <w:rPr>
          <w:spacing w:val="-9"/>
        </w:rPr>
        <w:t xml:space="preserve"> </w:t>
      </w:r>
      <w:r>
        <w:t>tiene</w:t>
      </w:r>
      <w:r>
        <w:rPr>
          <w:spacing w:val="-9"/>
        </w:rPr>
        <w:t xml:space="preserve"> </w:t>
      </w:r>
      <w:r>
        <w:t>una</w:t>
      </w:r>
      <w:r>
        <w:rPr>
          <w:spacing w:val="-9"/>
        </w:rPr>
        <w:t xml:space="preserve"> </w:t>
      </w:r>
      <w:r>
        <w:t>responsabilidad</w:t>
      </w:r>
      <w:r>
        <w:rPr>
          <w:spacing w:val="-9"/>
        </w:rPr>
        <w:t xml:space="preserve"> </w:t>
      </w:r>
      <w:r>
        <w:t>central</w:t>
      </w:r>
      <w:r>
        <w:rPr>
          <w:spacing w:val="-9"/>
        </w:rPr>
        <w:t xml:space="preserve"> </w:t>
      </w:r>
      <w:r>
        <w:t>en</w:t>
      </w:r>
      <w:r>
        <w:rPr>
          <w:spacing w:val="-9"/>
        </w:rPr>
        <w:t xml:space="preserve"> </w:t>
      </w:r>
      <w:r>
        <w:t>el</w:t>
      </w:r>
      <w:r>
        <w:rPr>
          <w:spacing w:val="-10"/>
        </w:rPr>
        <w:t xml:space="preserve"> </w:t>
      </w:r>
      <w:r>
        <w:t>agravamiento</w:t>
      </w:r>
      <w:r>
        <w:rPr>
          <w:spacing w:val="-11"/>
        </w:rPr>
        <w:t xml:space="preserve"> </w:t>
      </w:r>
      <w:r>
        <w:t>de la</w:t>
      </w:r>
      <w:r>
        <w:rPr>
          <w:spacing w:val="-2"/>
        </w:rPr>
        <w:t xml:space="preserve"> </w:t>
      </w:r>
      <w:r>
        <w:t>crisis</w:t>
      </w:r>
      <w:r>
        <w:rPr>
          <w:spacing w:val="-2"/>
        </w:rPr>
        <w:t xml:space="preserve"> </w:t>
      </w:r>
      <w:r>
        <w:t>humanitaria</w:t>
      </w:r>
      <w:r>
        <w:rPr>
          <w:spacing w:val="-2"/>
        </w:rPr>
        <w:t xml:space="preserve"> </w:t>
      </w:r>
      <w:r>
        <w:t>y</w:t>
      </w:r>
      <w:r>
        <w:rPr>
          <w:spacing w:val="-4"/>
        </w:rPr>
        <w:t xml:space="preserve"> </w:t>
      </w:r>
      <w:r>
        <w:t>en</w:t>
      </w:r>
      <w:r>
        <w:rPr>
          <w:spacing w:val="-2"/>
        </w:rPr>
        <w:t xml:space="preserve"> </w:t>
      </w:r>
      <w:r>
        <w:t>la</w:t>
      </w:r>
      <w:r>
        <w:rPr>
          <w:spacing w:val="-2"/>
        </w:rPr>
        <w:t xml:space="preserve"> </w:t>
      </w:r>
      <w:r>
        <w:t>escalada</w:t>
      </w:r>
      <w:r>
        <w:rPr>
          <w:spacing w:val="-2"/>
        </w:rPr>
        <w:t xml:space="preserve"> </w:t>
      </w:r>
      <w:r>
        <w:t>de</w:t>
      </w:r>
      <w:r>
        <w:rPr>
          <w:spacing w:val="-2"/>
        </w:rPr>
        <w:t xml:space="preserve"> </w:t>
      </w:r>
      <w:r>
        <w:t>violaciones</w:t>
      </w:r>
      <w:r>
        <w:rPr>
          <w:spacing w:val="-2"/>
        </w:rPr>
        <w:t xml:space="preserve"> </w:t>
      </w:r>
      <w:r>
        <w:t>de</w:t>
      </w:r>
      <w:r>
        <w:rPr>
          <w:spacing w:val="-2"/>
        </w:rPr>
        <w:t xml:space="preserve"> </w:t>
      </w:r>
      <w:r>
        <w:t>los</w:t>
      </w:r>
      <w:r>
        <w:rPr>
          <w:spacing w:val="-2"/>
        </w:rPr>
        <w:t xml:space="preserve"> </w:t>
      </w:r>
      <w:r>
        <w:t>derechos</w:t>
      </w:r>
      <w:r>
        <w:rPr>
          <w:spacing w:val="-2"/>
        </w:rPr>
        <w:t xml:space="preserve"> </w:t>
      </w:r>
      <w:r>
        <w:t>humanos</w:t>
      </w:r>
      <w:r>
        <w:rPr>
          <w:spacing w:val="-2"/>
        </w:rPr>
        <w:t xml:space="preserve"> </w:t>
      </w:r>
      <w:r>
        <w:t>e</w:t>
      </w:r>
      <w:r>
        <w:rPr>
          <w:spacing w:val="-2"/>
        </w:rPr>
        <w:t xml:space="preserve"> </w:t>
      </w:r>
      <w:r>
        <w:t>infracciones al DIH ocurridas durante este periodo, que alcanzaron un pico en 2002 con cifras sin precedentes en el marco de la historia de Colombia. Según estos mismos datos, los grupos paramilitares</w:t>
      </w:r>
      <w:r>
        <w:rPr>
          <w:spacing w:val="-1"/>
        </w:rPr>
        <w:t xml:space="preserve"> </w:t>
      </w:r>
      <w:r>
        <w:t>no</w:t>
      </w:r>
      <w:r>
        <w:rPr>
          <w:spacing w:val="-1"/>
        </w:rPr>
        <w:t xml:space="preserve"> </w:t>
      </w:r>
      <w:r>
        <w:t>únicamente</w:t>
      </w:r>
      <w:r>
        <w:rPr>
          <w:spacing w:val="-1"/>
        </w:rPr>
        <w:t xml:space="preserve"> </w:t>
      </w:r>
      <w:r>
        <w:t>generaron</w:t>
      </w:r>
      <w:r>
        <w:rPr>
          <w:spacing w:val="-1"/>
        </w:rPr>
        <w:t xml:space="preserve"> </w:t>
      </w:r>
      <w:r>
        <w:t>el</w:t>
      </w:r>
      <w:r>
        <w:rPr>
          <w:spacing w:val="-1"/>
        </w:rPr>
        <w:t xml:space="preserve"> </w:t>
      </w:r>
      <w:r>
        <w:t>mayor</w:t>
      </w:r>
      <w:r>
        <w:rPr>
          <w:spacing w:val="-2"/>
        </w:rPr>
        <w:t xml:space="preserve"> </w:t>
      </w:r>
      <w:r>
        <w:t>número</w:t>
      </w:r>
      <w:r>
        <w:rPr>
          <w:spacing w:val="-1"/>
        </w:rPr>
        <w:t xml:space="preserve"> </w:t>
      </w:r>
      <w:r>
        <w:t>de</w:t>
      </w:r>
      <w:r>
        <w:rPr>
          <w:spacing w:val="-1"/>
        </w:rPr>
        <w:t xml:space="preserve"> </w:t>
      </w:r>
      <w:r>
        <w:t>víctimas</w:t>
      </w:r>
      <w:r>
        <w:rPr>
          <w:spacing w:val="-1"/>
        </w:rPr>
        <w:t xml:space="preserve"> </w:t>
      </w:r>
      <w:r>
        <w:t>civiles</w:t>
      </w:r>
      <w:r>
        <w:rPr>
          <w:spacing w:val="-1"/>
        </w:rPr>
        <w:t xml:space="preserve"> </w:t>
      </w:r>
      <w:r>
        <w:t>en</w:t>
      </w:r>
      <w:r>
        <w:rPr>
          <w:spacing w:val="-1"/>
        </w:rPr>
        <w:t xml:space="preserve"> </w:t>
      </w:r>
      <w:r>
        <w:t>el</w:t>
      </w:r>
      <w:r>
        <w:rPr>
          <w:spacing w:val="-1"/>
        </w:rPr>
        <w:t xml:space="preserve"> </w:t>
      </w:r>
      <w:r>
        <w:t>marco</w:t>
      </w:r>
      <w:r>
        <w:rPr>
          <w:spacing w:val="-1"/>
        </w:rPr>
        <w:t xml:space="preserve"> </w:t>
      </w:r>
      <w:r>
        <w:t>del conflicto armado, sino que el 98,52</w:t>
      </w:r>
      <w:r>
        <w:rPr>
          <w:spacing w:val="-4"/>
        </w:rPr>
        <w:t xml:space="preserve"> </w:t>
      </w:r>
      <w:r>
        <w:t xml:space="preserve">% de las </w:t>
      </w:r>
      <w:r>
        <w:lastRenderedPageBreak/>
        <w:t>víctimas fueron civiles, frente al 1,48”</w:t>
      </w:r>
      <w:r>
        <w:rPr>
          <w:spacing w:val="-2"/>
        </w:rPr>
        <w:t xml:space="preserve"> </w:t>
      </w:r>
      <w:r>
        <w:t>% de víctimas no civiles</w:t>
      </w:r>
      <w:r w:rsidR="00A533F9">
        <w:rPr>
          <w:rStyle w:val="Refdenotaalpie"/>
        </w:rPr>
        <w:footnoteReference w:id="400"/>
      </w:r>
      <w:r>
        <w:t>, lo que evidencia una estrategia común dentro de las diferentes estructuras</w:t>
      </w:r>
      <w:r>
        <w:rPr>
          <w:spacing w:val="-14"/>
        </w:rPr>
        <w:t xml:space="preserve"> </w:t>
      </w:r>
      <w:r>
        <w:t>paramilitares</w:t>
      </w:r>
      <w:r>
        <w:rPr>
          <w:spacing w:val="-15"/>
        </w:rPr>
        <w:t xml:space="preserve"> </w:t>
      </w:r>
      <w:r>
        <w:t>desde</w:t>
      </w:r>
      <w:r>
        <w:rPr>
          <w:spacing w:val="-14"/>
        </w:rPr>
        <w:t xml:space="preserve"> </w:t>
      </w:r>
      <w:r>
        <w:t>los</w:t>
      </w:r>
      <w:r>
        <w:rPr>
          <w:spacing w:val="-14"/>
        </w:rPr>
        <w:t xml:space="preserve"> </w:t>
      </w:r>
      <w:r>
        <w:t>años</w:t>
      </w:r>
      <w:r>
        <w:rPr>
          <w:spacing w:val="-14"/>
        </w:rPr>
        <w:t xml:space="preserve"> </w:t>
      </w:r>
      <w:r>
        <w:t>ochenta.</w:t>
      </w:r>
      <w:r>
        <w:rPr>
          <w:spacing w:val="-15"/>
        </w:rPr>
        <w:t xml:space="preserve"> </w:t>
      </w:r>
      <w:r>
        <w:t>En</w:t>
      </w:r>
      <w:r>
        <w:rPr>
          <w:spacing w:val="-14"/>
        </w:rPr>
        <w:t xml:space="preserve"> </w:t>
      </w:r>
      <w:r>
        <w:t>medio</w:t>
      </w:r>
      <w:r>
        <w:rPr>
          <w:spacing w:val="-15"/>
        </w:rPr>
        <w:t xml:space="preserve"> </w:t>
      </w:r>
      <w:r>
        <w:t>de</w:t>
      </w:r>
      <w:r>
        <w:rPr>
          <w:spacing w:val="-15"/>
        </w:rPr>
        <w:t xml:space="preserve"> </w:t>
      </w:r>
      <w:r>
        <w:t>la</w:t>
      </w:r>
      <w:r>
        <w:rPr>
          <w:spacing w:val="-14"/>
        </w:rPr>
        <w:t xml:space="preserve"> </w:t>
      </w:r>
      <w:r>
        <w:t>guerra</w:t>
      </w:r>
      <w:r>
        <w:rPr>
          <w:spacing w:val="-14"/>
        </w:rPr>
        <w:t xml:space="preserve"> </w:t>
      </w:r>
      <w:r>
        <w:t>irregular</w:t>
      </w:r>
      <w:r>
        <w:rPr>
          <w:spacing w:val="-15"/>
        </w:rPr>
        <w:t xml:space="preserve"> </w:t>
      </w:r>
      <w:r>
        <w:t>que</w:t>
      </w:r>
      <w:r>
        <w:rPr>
          <w:spacing w:val="-15"/>
        </w:rPr>
        <w:t xml:space="preserve"> </w:t>
      </w:r>
      <w:r>
        <w:t xml:space="preserve">llevaron a cabo, los paramilitares operaron a través del terror contra la población desarmada como estrategia premeditada para el control de la población y el territorio, el despoblamiento y el </w:t>
      </w:r>
      <w:r>
        <w:rPr>
          <w:spacing w:val="-2"/>
        </w:rPr>
        <w:t>despojo.</w:t>
      </w:r>
    </w:p>
    <w:p w:rsidR="003804AC" w:rsidRPr="00A533F9" w:rsidRDefault="00AF18A5" w:rsidP="00A533F9">
      <w:r>
        <w:t>Además,</w:t>
      </w:r>
      <w:r>
        <w:rPr>
          <w:spacing w:val="-6"/>
        </w:rPr>
        <w:t xml:space="preserve"> </w:t>
      </w:r>
      <w:r>
        <w:t>el</w:t>
      </w:r>
      <w:r>
        <w:rPr>
          <w:spacing w:val="-7"/>
        </w:rPr>
        <w:t xml:space="preserve"> </w:t>
      </w:r>
      <w:r>
        <w:t>paramilitarismo</w:t>
      </w:r>
      <w:r>
        <w:rPr>
          <w:spacing w:val="-6"/>
        </w:rPr>
        <w:t xml:space="preserve"> </w:t>
      </w:r>
      <w:r>
        <w:t>combinó</w:t>
      </w:r>
      <w:r>
        <w:rPr>
          <w:spacing w:val="-7"/>
        </w:rPr>
        <w:t xml:space="preserve"> </w:t>
      </w:r>
      <w:r>
        <w:t>las</w:t>
      </w:r>
      <w:r>
        <w:rPr>
          <w:spacing w:val="-6"/>
        </w:rPr>
        <w:t xml:space="preserve"> </w:t>
      </w:r>
      <w:r>
        <w:t>estrategias</w:t>
      </w:r>
      <w:r>
        <w:rPr>
          <w:spacing w:val="-6"/>
        </w:rPr>
        <w:t xml:space="preserve"> </w:t>
      </w:r>
      <w:r>
        <w:t>de</w:t>
      </w:r>
      <w:r>
        <w:rPr>
          <w:spacing w:val="-6"/>
        </w:rPr>
        <w:t xml:space="preserve"> </w:t>
      </w:r>
      <w:r>
        <w:t>violencia</w:t>
      </w:r>
      <w:r>
        <w:rPr>
          <w:spacing w:val="-6"/>
        </w:rPr>
        <w:t xml:space="preserve"> </w:t>
      </w:r>
      <w:r>
        <w:t>generalizada</w:t>
      </w:r>
      <w:r>
        <w:rPr>
          <w:spacing w:val="-6"/>
        </w:rPr>
        <w:t xml:space="preserve"> </w:t>
      </w:r>
      <w:r>
        <w:t>en</w:t>
      </w:r>
      <w:r>
        <w:rPr>
          <w:spacing w:val="-6"/>
        </w:rPr>
        <w:t xml:space="preserve"> </w:t>
      </w:r>
      <w:r>
        <w:t>paralelo con planes de consolidación de</w:t>
      </w:r>
      <w:r>
        <w:rPr>
          <w:spacing w:val="-1"/>
        </w:rPr>
        <w:t xml:space="preserve"> </w:t>
      </w:r>
      <w:r>
        <w:t>los territorios a través de la imposición de</w:t>
      </w:r>
      <w:r>
        <w:rPr>
          <w:spacing w:val="-1"/>
        </w:rPr>
        <w:t xml:space="preserve"> </w:t>
      </w:r>
      <w:r>
        <w:t xml:space="preserve">formas de </w:t>
      </w:r>
      <w:r>
        <w:rPr>
          <w:spacing w:val="-2"/>
        </w:rPr>
        <w:t>control</w:t>
      </w:r>
      <w:bookmarkStart w:id="550" w:name="_bookmark449"/>
      <w:bookmarkStart w:id="551" w:name="_bookmark450"/>
      <w:bookmarkStart w:id="552" w:name="_bookmark451"/>
      <w:bookmarkEnd w:id="550"/>
      <w:bookmarkEnd w:id="551"/>
      <w:bookmarkEnd w:id="552"/>
      <w:r w:rsidR="00A533F9">
        <w:rPr>
          <w:spacing w:val="-2"/>
        </w:rPr>
        <w:t xml:space="preserve"> </w:t>
      </w:r>
      <w:r>
        <w:t>social que estuvieron mediadas por la crueldad y la extensión del terror, pero también por prácticas</w:t>
      </w:r>
      <w:r>
        <w:rPr>
          <w:spacing w:val="-10"/>
        </w:rPr>
        <w:t xml:space="preserve"> </w:t>
      </w:r>
      <w:r>
        <w:t>de</w:t>
      </w:r>
      <w:r>
        <w:rPr>
          <w:spacing w:val="-12"/>
        </w:rPr>
        <w:t xml:space="preserve"> </w:t>
      </w:r>
      <w:r>
        <w:t>legitimación</w:t>
      </w:r>
      <w:r>
        <w:rPr>
          <w:spacing w:val="-11"/>
        </w:rPr>
        <w:t xml:space="preserve"> </w:t>
      </w:r>
      <w:r>
        <w:t>social.</w:t>
      </w:r>
      <w:r>
        <w:rPr>
          <w:spacing w:val="-9"/>
        </w:rPr>
        <w:t xml:space="preserve"> </w:t>
      </w:r>
      <w:r>
        <w:t>Según</w:t>
      </w:r>
      <w:r>
        <w:rPr>
          <w:spacing w:val="-9"/>
        </w:rPr>
        <w:t xml:space="preserve"> </w:t>
      </w:r>
      <w:r>
        <w:t>un</w:t>
      </w:r>
      <w:r>
        <w:rPr>
          <w:spacing w:val="-9"/>
        </w:rPr>
        <w:t xml:space="preserve"> </w:t>
      </w:r>
      <w:r>
        <w:t>excomandante</w:t>
      </w:r>
      <w:r>
        <w:rPr>
          <w:spacing w:val="-9"/>
        </w:rPr>
        <w:t xml:space="preserve"> </w:t>
      </w:r>
      <w:r>
        <w:t>de</w:t>
      </w:r>
      <w:r>
        <w:rPr>
          <w:spacing w:val="-10"/>
        </w:rPr>
        <w:t xml:space="preserve"> </w:t>
      </w:r>
      <w:r>
        <w:t>las</w:t>
      </w:r>
      <w:r>
        <w:rPr>
          <w:spacing w:val="-9"/>
        </w:rPr>
        <w:t xml:space="preserve"> </w:t>
      </w:r>
      <w:r>
        <w:t>AUC,</w:t>
      </w:r>
      <w:r>
        <w:rPr>
          <w:spacing w:val="-9"/>
        </w:rPr>
        <w:t xml:space="preserve"> </w:t>
      </w:r>
      <w:r>
        <w:t>el</w:t>
      </w:r>
      <w:r>
        <w:rPr>
          <w:spacing w:val="-9"/>
        </w:rPr>
        <w:t xml:space="preserve"> </w:t>
      </w:r>
      <w:r>
        <w:t>despliegue</w:t>
      </w:r>
      <w:r>
        <w:rPr>
          <w:spacing w:val="-9"/>
        </w:rPr>
        <w:t xml:space="preserve"> </w:t>
      </w:r>
      <w:r>
        <w:t>de</w:t>
      </w:r>
      <w:r>
        <w:rPr>
          <w:spacing w:val="-10"/>
        </w:rPr>
        <w:t xml:space="preserve"> </w:t>
      </w:r>
      <w:r>
        <w:t>terror dentro de esta estrategia de arrasamiento era funcional a sus objetivos, en la medida en que desocupaba los territorios por medio de desplazamientos forzados masivos y el uso de atrocidades como forma de paralizar mediante el terror a comunidades y movimientos sociales considerados como parte del enemigo</w:t>
      </w:r>
      <w:r w:rsidR="00C451B0">
        <w:rPr>
          <w:rStyle w:val="Refdenotaalpie"/>
        </w:rPr>
        <w:footnoteReference w:id="401"/>
      </w:r>
      <w:r>
        <w:t>:</w:t>
      </w:r>
    </w:p>
    <w:p w:rsidR="003804AC" w:rsidRDefault="00AF18A5" w:rsidP="00C451B0">
      <w:r>
        <w:t>Si generábamos terror y lográbamos que nos tuvieran el mismo miedo que a la guerrilla, esa comunidad no le iba a «copiar» a la guerrilla, por eso se usaban decapitaciones, descuartizamientos, era una táctica orientada por ‘</w:t>
      </w:r>
      <w:proofErr w:type="spellStart"/>
      <w:r>
        <w:t>Doblecero</w:t>
      </w:r>
      <w:proofErr w:type="spellEnd"/>
      <w:r>
        <w:t>’, la aplicábamos también como una</w:t>
      </w:r>
      <w:r>
        <w:rPr>
          <w:spacing w:val="-5"/>
        </w:rPr>
        <w:t xml:space="preserve"> </w:t>
      </w:r>
      <w:r>
        <w:t>forma</w:t>
      </w:r>
      <w:r>
        <w:rPr>
          <w:spacing w:val="-5"/>
        </w:rPr>
        <w:t xml:space="preserve"> </w:t>
      </w:r>
      <w:r>
        <w:t>de</w:t>
      </w:r>
      <w:r>
        <w:rPr>
          <w:spacing w:val="-4"/>
        </w:rPr>
        <w:t xml:space="preserve"> </w:t>
      </w:r>
      <w:r>
        <w:lastRenderedPageBreak/>
        <w:t>sobrevivencia</w:t>
      </w:r>
      <w:r>
        <w:rPr>
          <w:spacing w:val="-5"/>
        </w:rPr>
        <w:t xml:space="preserve"> </w:t>
      </w:r>
      <w:r>
        <w:t>porque</w:t>
      </w:r>
      <w:r>
        <w:rPr>
          <w:spacing w:val="-5"/>
        </w:rPr>
        <w:t xml:space="preserve"> </w:t>
      </w:r>
      <w:r>
        <w:t>éramos</w:t>
      </w:r>
      <w:r>
        <w:rPr>
          <w:spacing w:val="-5"/>
        </w:rPr>
        <w:t xml:space="preserve"> </w:t>
      </w:r>
      <w:r>
        <w:t>muy</w:t>
      </w:r>
      <w:r>
        <w:rPr>
          <w:spacing w:val="-4"/>
        </w:rPr>
        <w:t xml:space="preserve"> </w:t>
      </w:r>
      <w:r>
        <w:t>pocos</w:t>
      </w:r>
      <w:r>
        <w:rPr>
          <w:spacing w:val="-5"/>
        </w:rPr>
        <w:t xml:space="preserve"> </w:t>
      </w:r>
      <w:r>
        <w:t>hombres.</w:t>
      </w:r>
      <w:r>
        <w:rPr>
          <w:spacing w:val="-4"/>
        </w:rPr>
        <w:t xml:space="preserve"> </w:t>
      </w:r>
      <w:r>
        <w:t>Otra</w:t>
      </w:r>
      <w:r>
        <w:rPr>
          <w:spacing w:val="-5"/>
        </w:rPr>
        <w:t xml:space="preserve"> </w:t>
      </w:r>
      <w:r>
        <w:t>de</w:t>
      </w:r>
      <w:r>
        <w:rPr>
          <w:spacing w:val="-5"/>
        </w:rPr>
        <w:t xml:space="preserve"> </w:t>
      </w:r>
      <w:r>
        <w:t>las</w:t>
      </w:r>
      <w:r>
        <w:rPr>
          <w:spacing w:val="-5"/>
        </w:rPr>
        <w:t xml:space="preserve"> </w:t>
      </w:r>
      <w:r>
        <w:t>tácticas</w:t>
      </w:r>
      <w:r>
        <w:rPr>
          <w:spacing w:val="-5"/>
        </w:rPr>
        <w:t xml:space="preserve"> </w:t>
      </w:r>
      <w:r>
        <w:t>utilizadas y de las más efectivas era el desplazamiento, así le quitábamos el apoyo y el suministro de alimentos, medicinas e información a la guerrilla que</w:t>
      </w:r>
      <w:r>
        <w:rPr>
          <w:spacing w:val="-1"/>
        </w:rPr>
        <w:t xml:space="preserve"> </w:t>
      </w:r>
      <w:r>
        <w:t>estaba en zonas rurales, les decíamos [a los</w:t>
      </w:r>
      <w:r>
        <w:rPr>
          <w:spacing w:val="-14"/>
        </w:rPr>
        <w:t xml:space="preserve"> </w:t>
      </w:r>
      <w:r>
        <w:t>campesinos]</w:t>
      </w:r>
      <w:r>
        <w:rPr>
          <w:spacing w:val="-14"/>
        </w:rPr>
        <w:t xml:space="preserve"> </w:t>
      </w:r>
      <w:r>
        <w:t>que</w:t>
      </w:r>
      <w:r>
        <w:rPr>
          <w:spacing w:val="-14"/>
        </w:rPr>
        <w:t xml:space="preserve"> </w:t>
      </w:r>
      <w:r>
        <w:t>si</w:t>
      </w:r>
      <w:r>
        <w:rPr>
          <w:spacing w:val="-13"/>
        </w:rPr>
        <w:t xml:space="preserve"> </w:t>
      </w:r>
      <w:r>
        <w:t>no</w:t>
      </w:r>
      <w:r>
        <w:rPr>
          <w:spacing w:val="-14"/>
        </w:rPr>
        <w:t xml:space="preserve"> </w:t>
      </w:r>
      <w:r>
        <w:t>abandonaban</w:t>
      </w:r>
      <w:r>
        <w:rPr>
          <w:spacing w:val="-14"/>
        </w:rPr>
        <w:t xml:space="preserve"> </w:t>
      </w:r>
      <w:r>
        <w:t>las</w:t>
      </w:r>
      <w:r>
        <w:rPr>
          <w:spacing w:val="-14"/>
        </w:rPr>
        <w:t xml:space="preserve"> </w:t>
      </w:r>
      <w:r>
        <w:t>zonas</w:t>
      </w:r>
      <w:r>
        <w:rPr>
          <w:spacing w:val="-13"/>
        </w:rPr>
        <w:t xml:space="preserve"> </w:t>
      </w:r>
      <w:r>
        <w:t>íbamos</w:t>
      </w:r>
      <w:r>
        <w:rPr>
          <w:spacing w:val="-14"/>
        </w:rPr>
        <w:t xml:space="preserve"> </w:t>
      </w:r>
      <w:r>
        <w:t>a</w:t>
      </w:r>
      <w:r>
        <w:rPr>
          <w:spacing w:val="-14"/>
        </w:rPr>
        <w:t xml:space="preserve"> </w:t>
      </w:r>
      <w:r>
        <w:t>matar</w:t>
      </w:r>
      <w:r>
        <w:rPr>
          <w:spacing w:val="-14"/>
        </w:rPr>
        <w:t xml:space="preserve"> </w:t>
      </w:r>
      <w:r>
        <w:t>a</w:t>
      </w:r>
      <w:r>
        <w:rPr>
          <w:spacing w:val="-13"/>
        </w:rPr>
        <w:t xml:space="preserve"> </w:t>
      </w:r>
      <w:r>
        <w:t>los</w:t>
      </w:r>
      <w:r>
        <w:rPr>
          <w:spacing w:val="-14"/>
        </w:rPr>
        <w:t xml:space="preserve"> </w:t>
      </w:r>
      <w:r>
        <w:t>que</w:t>
      </w:r>
      <w:r>
        <w:rPr>
          <w:spacing w:val="-14"/>
        </w:rPr>
        <w:t xml:space="preserve"> </w:t>
      </w:r>
      <w:r>
        <w:t>no</w:t>
      </w:r>
      <w:r>
        <w:rPr>
          <w:spacing w:val="-14"/>
        </w:rPr>
        <w:t xml:space="preserve"> </w:t>
      </w:r>
      <w:r>
        <w:t>se</w:t>
      </w:r>
      <w:r>
        <w:rPr>
          <w:spacing w:val="-13"/>
        </w:rPr>
        <w:t xml:space="preserve"> </w:t>
      </w:r>
      <w:r>
        <w:t>fueran,</w:t>
      </w:r>
      <w:r>
        <w:rPr>
          <w:spacing w:val="-14"/>
        </w:rPr>
        <w:t xml:space="preserve"> </w:t>
      </w:r>
      <w:r>
        <w:t>quienes se quedaban, para nosotros eran guerrilleros y a esos los matábamos, era una táctica para debilitar al enemigo militarmente, porque los controlábamos.</w:t>
      </w:r>
      <w:r w:rsidR="00C451B0">
        <w:rPr>
          <w:rStyle w:val="Refdenotaalpie"/>
        </w:rPr>
        <w:footnoteReference w:id="402"/>
      </w:r>
      <w:r w:rsidR="00C451B0">
        <w:t xml:space="preserve"> </w:t>
      </w:r>
    </w:p>
    <w:p w:rsidR="0011361F" w:rsidRDefault="00AF18A5" w:rsidP="00C451B0">
      <w:r>
        <w:t>Desde la década de los ochenta, con las Autodefensas de Puerto Boyacá en el Magdalena Medio, las escuelas paramilitares tuvieron un papel determinante en el entrenamiento en el horror que se extendió a partir de entonces a todo el país</w:t>
      </w:r>
      <w:r w:rsidR="002C346A">
        <w:rPr>
          <w:rStyle w:val="Refdenotaalpie"/>
        </w:rPr>
        <w:footnoteReference w:id="403"/>
      </w:r>
      <w:r>
        <w:t>. Uno de los responsables del adiestramiento militar en el sur del Magdalena Medio en los años ochenta relató en su testimonio</w:t>
      </w:r>
      <w:r>
        <w:rPr>
          <w:spacing w:val="-15"/>
        </w:rPr>
        <w:t xml:space="preserve"> </w:t>
      </w:r>
      <w:r>
        <w:t>cómo</w:t>
      </w:r>
      <w:r>
        <w:rPr>
          <w:spacing w:val="-13"/>
        </w:rPr>
        <w:t xml:space="preserve"> </w:t>
      </w:r>
      <w:r>
        <w:t>el</w:t>
      </w:r>
      <w:r>
        <w:rPr>
          <w:spacing w:val="-13"/>
        </w:rPr>
        <w:t xml:space="preserve"> </w:t>
      </w:r>
      <w:r>
        <w:t>estímulo</w:t>
      </w:r>
      <w:r>
        <w:rPr>
          <w:spacing w:val="-14"/>
        </w:rPr>
        <w:t xml:space="preserve"> </w:t>
      </w:r>
      <w:r>
        <w:t>de</w:t>
      </w:r>
      <w:r>
        <w:rPr>
          <w:spacing w:val="-13"/>
        </w:rPr>
        <w:t xml:space="preserve"> </w:t>
      </w:r>
      <w:r>
        <w:t>la</w:t>
      </w:r>
      <w:r>
        <w:rPr>
          <w:spacing w:val="-13"/>
        </w:rPr>
        <w:t xml:space="preserve"> </w:t>
      </w:r>
      <w:r>
        <w:t>barbarie</w:t>
      </w:r>
      <w:r>
        <w:rPr>
          <w:spacing w:val="-13"/>
        </w:rPr>
        <w:t xml:space="preserve"> </w:t>
      </w:r>
      <w:r>
        <w:t>era</w:t>
      </w:r>
      <w:r>
        <w:rPr>
          <w:spacing w:val="-13"/>
        </w:rPr>
        <w:t xml:space="preserve"> </w:t>
      </w:r>
      <w:r>
        <w:t>una</w:t>
      </w:r>
      <w:r>
        <w:rPr>
          <w:spacing w:val="-13"/>
        </w:rPr>
        <w:t xml:space="preserve"> </w:t>
      </w:r>
      <w:r>
        <w:t>medida</w:t>
      </w:r>
      <w:r>
        <w:rPr>
          <w:spacing w:val="-13"/>
        </w:rPr>
        <w:t xml:space="preserve"> </w:t>
      </w:r>
      <w:r>
        <w:t>de</w:t>
      </w:r>
      <w:r>
        <w:rPr>
          <w:spacing w:val="-13"/>
        </w:rPr>
        <w:t xml:space="preserve"> </w:t>
      </w:r>
      <w:r>
        <w:t>quién</w:t>
      </w:r>
      <w:r>
        <w:rPr>
          <w:spacing w:val="-14"/>
        </w:rPr>
        <w:t xml:space="preserve"> </w:t>
      </w:r>
      <w:r>
        <w:t>pretendía</w:t>
      </w:r>
      <w:r>
        <w:rPr>
          <w:spacing w:val="-13"/>
        </w:rPr>
        <w:t xml:space="preserve"> </w:t>
      </w:r>
      <w:r>
        <w:t>ganar</w:t>
      </w:r>
      <w:r>
        <w:rPr>
          <w:spacing w:val="-13"/>
        </w:rPr>
        <w:t xml:space="preserve"> </w:t>
      </w:r>
      <w:r>
        <w:t>la</w:t>
      </w:r>
      <w:r>
        <w:rPr>
          <w:spacing w:val="-13"/>
        </w:rPr>
        <w:t xml:space="preserve"> </w:t>
      </w:r>
      <w:r>
        <w:rPr>
          <w:spacing w:val="-2"/>
        </w:rPr>
        <w:t>guerra:</w:t>
      </w:r>
    </w:p>
    <w:p w:rsidR="003804AC" w:rsidRDefault="00AF18A5" w:rsidP="002C346A">
      <w:bookmarkStart w:id="553" w:name="_bookmark452"/>
      <w:bookmarkStart w:id="554" w:name="_bookmark453"/>
      <w:bookmarkStart w:id="555" w:name="_bookmark454"/>
      <w:bookmarkEnd w:id="553"/>
      <w:bookmarkEnd w:id="554"/>
      <w:bookmarkEnd w:id="555"/>
      <w:r>
        <w:t>«A</w:t>
      </w:r>
      <w:r>
        <w:rPr>
          <w:spacing w:val="-9"/>
        </w:rPr>
        <w:t xml:space="preserve"> </w:t>
      </w:r>
      <w:r>
        <w:t>lo</w:t>
      </w:r>
      <w:r>
        <w:rPr>
          <w:spacing w:val="-8"/>
        </w:rPr>
        <w:t xml:space="preserve"> </w:t>
      </w:r>
      <w:r>
        <w:t>último</w:t>
      </w:r>
      <w:r>
        <w:rPr>
          <w:spacing w:val="-10"/>
        </w:rPr>
        <w:t xml:space="preserve"> </w:t>
      </w:r>
      <w:r>
        <w:t>se</w:t>
      </w:r>
      <w:r>
        <w:rPr>
          <w:spacing w:val="-10"/>
        </w:rPr>
        <w:t xml:space="preserve"> </w:t>
      </w:r>
      <w:r>
        <w:t>llegó</w:t>
      </w:r>
      <w:r>
        <w:rPr>
          <w:spacing w:val="-10"/>
        </w:rPr>
        <w:t xml:space="preserve"> </w:t>
      </w:r>
      <w:r>
        <w:t>a</w:t>
      </w:r>
      <w:r>
        <w:rPr>
          <w:spacing w:val="-9"/>
        </w:rPr>
        <w:t xml:space="preserve"> </w:t>
      </w:r>
      <w:r>
        <w:t>la</w:t>
      </w:r>
      <w:r>
        <w:rPr>
          <w:spacing w:val="-9"/>
        </w:rPr>
        <w:t xml:space="preserve"> </w:t>
      </w:r>
      <w:r>
        <w:t>conclusión</w:t>
      </w:r>
      <w:r>
        <w:rPr>
          <w:spacing w:val="-9"/>
        </w:rPr>
        <w:t xml:space="preserve"> </w:t>
      </w:r>
      <w:r>
        <w:t>de</w:t>
      </w:r>
      <w:r>
        <w:rPr>
          <w:spacing w:val="-8"/>
        </w:rPr>
        <w:t xml:space="preserve"> </w:t>
      </w:r>
      <w:r>
        <w:t>que</w:t>
      </w:r>
      <w:r>
        <w:rPr>
          <w:spacing w:val="-8"/>
        </w:rPr>
        <w:t xml:space="preserve"> </w:t>
      </w:r>
      <w:r>
        <w:t>el</w:t>
      </w:r>
      <w:r>
        <w:rPr>
          <w:spacing w:val="-8"/>
        </w:rPr>
        <w:t xml:space="preserve"> </w:t>
      </w:r>
      <w:r>
        <w:t>que</w:t>
      </w:r>
      <w:r>
        <w:rPr>
          <w:spacing w:val="-9"/>
        </w:rPr>
        <w:t xml:space="preserve"> </w:t>
      </w:r>
      <w:r>
        <w:t>más</w:t>
      </w:r>
      <w:r>
        <w:rPr>
          <w:spacing w:val="-8"/>
        </w:rPr>
        <w:t xml:space="preserve"> </w:t>
      </w:r>
      <w:r>
        <w:t>barbaries</w:t>
      </w:r>
      <w:r>
        <w:rPr>
          <w:spacing w:val="-8"/>
        </w:rPr>
        <w:t xml:space="preserve"> </w:t>
      </w:r>
      <w:r>
        <w:t>cometiera,</w:t>
      </w:r>
      <w:r>
        <w:rPr>
          <w:spacing w:val="-11"/>
        </w:rPr>
        <w:t xml:space="preserve"> </w:t>
      </w:r>
      <w:r>
        <w:t>ese</w:t>
      </w:r>
      <w:r>
        <w:rPr>
          <w:spacing w:val="-8"/>
        </w:rPr>
        <w:t xml:space="preserve"> </w:t>
      </w:r>
      <w:r>
        <w:t>era</w:t>
      </w:r>
      <w:r>
        <w:rPr>
          <w:spacing w:val="-8"/>
        </w:rPr>
        <w:t xml:space="preserve"> </w:t>
      </w:r>
      <w:r>
        <w:t>el</w:t>
      </w:r>
      <w:r>
        <w:rPr>
          <w:spacing w:val="-8"/>
        </w:rPr>
        <w:t xml:space="preserve"> </w:t>
      </w:r>
      <w:r>
        <w:t>que iba</w:t>
      </w:r>
      <w:r>
        <w:rPr>
          <w:spacing w:val="-1"/>
        </w:rPr>
        <w:t xml:space="preserve"> </w:t>
      </w:r>
      <w:r>
        <w:t>a</w:t>
      </w:r>
      <w:r>
        <w:rPr>
          <w:spacing w:val="-1"/>
        </w:rPr>
        <w:t xml:space="preserve"> </w:t>
      </w:r>
      <w:r>
        <w:t>ganar.</w:t>
      </w:r>
      <w:r>
        <w:rPr>
          <w:spacing w:val="-4"/>
        </w:rPr>
        <w:t xml:space="preserve"> </w:t>
      </w:r>
      <w:r>
        <w:t>Porque</w:t>
      </w:r>
      <w:r>
        <w:rPr>
          <w:spacing w:val="-1"/>
        </w:rPr>
        <w:t xml:space="preserve"> </w:t>
      </w:r>
      <w:r>
        <w:t>nosotros</w:t>
      </w:r>
      <w:r>
        <w:rPr>
          <w:spacing w:val="-2"/>
        </w:rPr>
        <w:t xml:space="preserve"> </w:t>
      </w:r>
      <w:r>
        <w:t>en</w:t>
      </w:r>
      <w:r>
        <w:rPr>
          <w:spacing w:val="-1"/>
        </w:rPr>
        <w:t xml:space="preserve"> </w:t>
      </w:r>
      <w:r>
        <w:t>ese</w:t>
      </w:r>
      <w:r>
        <w:rPr>
          <w:spacing w:val="-2"/>
        </w:rPr>
        <w:t xml:space="preserve"> </w:t>
      </w:r>
      <w:r>
        <w:t>entonces</w:t>
      </w:r>
      <w:r>
        <w:rPr>
          <w:spacing w:val="-1"/>
        </w:rPr>
        <w:t xml:space="preserve"> </w:t>
      </w:r>
      <w:r>
        <w:t>–y</w:t>
      </w:r>
      <w:r>
        <w:rPr>
          <w:spacing w:val="-2"/>
        </w:rPr>
        <w:t xml:space="preserve"> </w:t>
      </w:r>
      <w:r>
        <w:t>no</w:t>
      </w:r>
      <w:r>
        <w:rPr>
          <w:spacing w:val="-1"/>
        </w:rPr>
        <w:t xml:space="preserve"> </w:t>
      </w:r>
      <w:r>
        <w:t>lo</w:t>
      </w:r>
      <w:r>
        <w:rPr>
          <w:spacing w:val="-1"/>
        </w:rPr>
        <w:t xml:space="preserve"> </w:t>
      </w:r>
      <w:r>
        <w:t>puedo</w:t>
      </w:r>
      <w:r>
        <w:rPr>
          <w:spacing w:val="-2"/>
        </w:rPr>
        <w:t xml:space="preserve"> </w:t>
      </w:r>
      <w:r>
        <w:t>negar,</w:t>
      </w:r>
      <w:r>
        <w:rPr>
          <w:spacing w:val="-1"/>
        </w:rPr>
        <w:t xml:space="preserve"> </w:t>
      </w:r>
      <w:r>
        <w:t>eso</w:t>
      </w:r>
      <w:r>
        <w:rPr>
          <w:spacing w:val="-1"/>
        </w:rPr>
        <w:t xml:space="preserve"> </w:t>
      </w:r>
      <w:r>
        <w:t>es</w:t>
      </w:r>
      <w:r>
        <w:rPr>
          <w:spacing w:val="-3"/>
        </w:rPr>
        <w:t xml:space="preserve"> </w:t>
      </w:r>
      <w:r>
        <w:t>cierto–</w:t>
      </w:r>
      <w:r>
        <w:rPr>
          <w:spacing w:val="-1"/>
        </w:rPr>
        <w:t xml:space="preserve"> </w:t>
      </w:r>
      <w:r>
        <w:t>decíamos: “Pues</w:t>
      </w:r>
      <w:r>
        <w:rPr>
          <w:spacing w:val="-3"/>
        </w:rPr>
        <w:t xml:space="preserve"> </w:t>
      </w:r>
      <w:r>
        <w:t>si</w:t>
      </w:r>
      <w:r>
        <w:rPr>
          <w:spacing w:val="-3"/>
        </w:rPr>
        <w:t xml:space="preserve"> </w:t>
      </w:r>
      <w:r>
        <w:t>la</w:t>
      </w:r>
      <w:r>
        <w:rPr>
          <w:spacing w:val="-3"/>
        </w:rPr>
        <w:t xml:space="preserve"> </w:t>
      </w:r>
      <w:r>
        <w:t>guerrilla</w:t>
      </w:r>
      <w:r>
        <w:rPr>
          <w:spacing w:val="-3"/>
        </w:rPr>
        <w:t xml:space="preserve"> </w:t>
      </w:r>
      <w:r>
        <w:t>es</w:t>
      </w:r>
      <w:r>
        <w:rPr>
          <w:spacing w:val="-3"/>
        </w:rPr>
        <w:t xml:space="preserve"> </w:t>
      </w:r>
      <w:r>
        <w:t>capaz</w:t>
      </w:r>
      <w:r>
        <w:rPr>
          <w:spacing w:val="-3"/>
        </w:rPr>
        <w:t xml:space="preserve"> </w:t>
      </w:r>
      <w:r>
        <w:t>de</w:t>
      </w:r>
      <w:r>
        <w:rPr>
          <w:spacing w:val="-3"/>
        </w:rPr>
        <w:t xml:space="preserve"> </w:t>
      </w:r>
      <w:r>
        <w:t>matar,</w:t>
      </w:r>
      <w:r>
        <w:rPr>
          <w:spacing w:val="-4"/>
        </w:rPr>
        <w:t xml:space="preserve"> </w:t>
      </w:r>
      <w:r>
        <w:t>pues</w:t>
      </w:r>
      <w:r>
        <w:rPr>
          <w:spacing w:val="-3"/>
        </w:rPr>
        <w:t xml:space="preserve"> </w:t>
      </w:r>
      <w:r>
        <w:t>nosotros</w:t>
      </w:r>
      <w:r>
        <w:rPr>
          <w:spacing w:val="-4"/>
        </w:rPr>
        <w:t xml:space="preserve"> </w:t>
      </w:r>
      <w:r>
        <w:t>también.</w:t>
      </w:r>
      <w:r>
        <w:rPr>
          <w:spacing w:val="-4"/>
        </w:rPr>
        <w:t xml:space="preserve"> </w:t>
      </w:r>
      <w:proofErr w:type="spellStart"/>
      <w:r>
        <w:t>Pa</w:t>
      </w:r>
      <w:proofErr w:type="spellEnd"/>
      <w:r>
        <w:rPr>
          <w:spacing w:val="-3"/>
        </w:rPr>
        <w:t xml:space="preserve"> </w:t>
      </w:r>
      <w:r>
        <w:t>qué</w:t>
      </w:r>
      <w:r>
        <w:rPr>
          <w:spacing w:val="-3"/>
        </w:rPr>
        <w:t xml:space="preserve"> </w:t>
      </w:r>
      <w:r>
        <w:t>nos</w:t>
      </w:r>
      <w:r>
        <w:rPr>
          <w:spacing w:val="-4"/>
        </w:rPr>
        <w:t xml:space="preserve"> </w:t>
      </w:r>
      <w:r>
        <w:t>enseñaron,</w:t>
      </w:r>
      <w:r>
        <w:rPr>
          <w:spacing w:val="-4"/>
        </w:rPr>
        <w:t xml:space="preserve"> </w:t>
      </w:r>
      <w:r>
        <w:t>vamos a</w:t>
      </w:r>
      <w:r>
        <w:rPr>
          <w:spacing w:val="-7"/>
        </w:rPr>
        <w:t xml:space="preserve"> </w:t>
      </w:r>
      <w:r>
        <w:t>ver</w:t>
      </w:r>
      <w:r>
        <w:rPr>
          <w:spacing w:val="-7"/>
        </w:rPr>
        <w:t xml:space="preserve"> </w:t>
      </w:r>
      <w:r>
        <w:t>quién</w:t>
      </w:r>
      <w:r>
        <w:rPr>
          <w:spacing w:val="-7"/>
        </w:rPr>
        <w:t xml:space="preserve"> </w:t>
      </w:r>
      <w:r>
        <w:t>mata</w:t>
      </w:r>
      <w:r>
        <w:rPr>
          <w:spacing w:val="-7"/>
        </w:rPr>
        <w:t xml:space="preserve"> </w:t>
      </w:r>
      <w:r>
        <w:t>más.</w:t>
      </w:r>
      <w:r>
        <w:rPr>
          <w:spacing w:val="-7"/>
        </w:rPr>
        <w:t xml:space="preserve"> </w:t>
      </w:r>
      <w:r>
        <w:t>Quién</w:t>
      </w:r>
      <w:r>
        <w:rPr>
          <w:spacing w:val="-7"/>
        </w:rPr>
        <w:t xml:space="preserve"> </w:t>
      </w:r>
      <w:r>
        <w:t>hace</w:t>
      </w:r>
      <w:r>
        <w:rPr>
          <w:spacing w:val="-7"/>
        </w:rPr>
        <w:t xml:space="preserve"> </w:t>
      </w:r>
      <w:r>
        <w:t>más</w:t>
      </w:r>
      <w:r>
        <w:rPr>
          <w:spacing w:val="-7"/>
        </w:rPr>
        <w:t xml:space="preserve"> </w:t>
      </w:r>
      <w:r>
        <w:t>barbarie.</w:t>
      </w:r>
      <w:r>
        <w:rPr>
          <w:spacing w:val="-7"/>
        </w:rPr>
        <w:t xml:space="preserve"> </w:t>
      </w:r>
      <w:r>
        <w:t>Vamos</w:t>
      </w:r>
      <w:r>
        <w:rPr>
          <w:spacing w:val="-7"/>
        </w:rPr>
        <w:t xml:space="preserve"> </w:t>
      </w:r>
      <w:r>
        <w:t>a</w:t>
      </w:r>
      <w:r>
        <w:rPr>
          <w:spacing w:val="-7"/>
        </w:rPr>
        <w:t xml:space="preserve"> </w:t>
      </w:r>
      <w:r>
        <w:t>ver</w:t>
      </w:r>
      <w:r>
        <w:rPr>
          <w:spacing w:val="-7"/>
        </w:rPr>
        <w:t xml:space="preserve"> </w:t>
      </w:r>
      <w:r>
        <w:t>si</w:t>
      </w:r>
      <w:r>
        <w:rPr>
          <w:spacing w:val="-7"/>
        </w:rPr>
        <w:t xml:space="preserve"> </w:t>
      </w:r>
      <w:r>
        <w:t>ellos</w:t>
      </w:r>
      <w:r>
        <w:rPr>
          <w:spacing w:val="-7"/>
        </w:rPr>
        <w:t xml:space="preserve"> </w:t>
      </w:r>
      <w:r>
        <w:lastRenderedPageBreak/>
        <w:t>hacen</w:t>
      </w:r>
      <w:r>
        <w:rPr>
          <w:spacing w:val="-7"/>
        </w:rPr>
        <w:t xml:space="preserve"> </w:t>
      </w:r>
      <w:r>
        <w:t>masacres</w:t>
      </w:r>
      <w:r>
        <w:rPr>
          <w:spacing w:val="-7"/>
        </w:rPr>
        <w:t xml:space="preserve"> </w:t>
      </w:r>
      <w:r>
        <w:t>y</w:t>
      </w:r>
      <w:r>
        <w:rPr>
          <w:spacing w:val="-7"/>
        </w:rPr>
        <w:t xml:space="preserve"> </w:t>
      </w:r>
      <w:r>
        <w:t>todas esas</w:t>
      </w:r>
      <w:r>
        <w:rPr>
          <w:spacing w:val="-12"/>
        </w:rPr>
        <w:t xml:space="preserve"> </w:t>
      </w:r>
      <w:r>
        <w:t>cosas.</w:t>
      </w:r>
      <w:r>
        <w:rPr>
          <w:spacing w:val="-13"/>
        </w:rPr>
        <w:t xml:space="preserve"> </w:t>
      </w:r>
      <w:r>
        <w:t>Vamos</w:t>
      </w:r>
      <w:r>
        <w:rPr>
          <w:spacing w:val="-12"/>
        </w:rPr>
        <w:t xml:space="preserve"> </w:t>
      </w:r>
      <w:r>
        <w:t>a</w:t>
      </w:r>
      <w:r>
        <w:rPr>
          <w:spacing w:val="-12"/>
        </w:rPr>
        <w:t xml:space="preserve"> </w:t>
      </w:r>
      <w:r>
        <w:t>ver...”.</w:t>
      </w:r>
      <w:r>
        <w:rPr>
          <w:spacing w:val="-12"/>
        </w:rPr>
        <w:t xml:space="preserve"> </w:t>
      </w:r>
      <w:r>
        <w:t>Entonces</w:t>
      </w:r>
      <w:r>
        <w:rPr>
          <w:spacing w:val="-12"/>
        </w:rPr>
        <w:t xml:space="preserve"> </w:t>
      </w:r>
      <w:r>
        <w:t>ahí</w:t>
      </w:r>
      <w:r>
        <w:rPr>
          <w:spacing w:val="-13"/>
        </w:rPr>
        <w:t xml:space="preserve"> </w:t>
      </w:r>
      <w:r>
        <w:t>comenzó</w:t>
      </w:r>
      <w:r>
        <w:rPr>
          <w:spacing w:val="-12"/>
        </w:rPr>
        <w:t xml:space="preserve"> </w:t>
      </w:r>
      <w:r>
        <w:t>fue</w:t>
      </w:r>
      <w:r>
        <w:rPr>
          <w:spacing w:val="-13"/>
        </w:rPr>
        <w:t xml:space="preserve"> </w:t>
      </w:r>
      <w:r>
        <w:t>la</w:t>
      </w:r>
      <w:r>
        <w:rPr>
          <w:spacing w:val="-13"/>
        </w:rPr>
        <w:t xml:space="preserve"> </w:t>
      </w:r>
      <w:r>
        <w:t>guerra</w:t>
      </w:r>
      <w:r>
        <w:rPr>
          <w:spacing w:val="-13"/>
        </w:rPr>
        <w:t xml:space="preserve"> </w:t>
      </w:r>
      <w:r>
        <w:t>a</w:t>
      </w:r>
      <w:r>
        <w:rPr>
          <w:spacing w:val="-12"/>
        </w:rPr>
        <w:t xml:space="preserve"> </w:t>
      </w:r>
      <w:r>
        <w:t>ver</w:t>
      </w:r>
      <w:r>
        <w:rPr>
          <w:spacing w:val="-12"/>
        </w:rPr>
        <w:t xml:space="preserve"> </w:t>
      </w:r>
      <w:r>
        <w:t>quién</w:t>
      </w:r>
      <w:r>
        <w:rPr>
          <w:spacing w:val="-12"/>
        </w:rPr>
        <w:t xml:space="preserve"> </w:t>
      </w:r>
      <w:r>
        <w:t>es</w:t>
      </w:r>
      <w:r>
        <w:rPr>
          <w:spacing w:val="-13"/>
        </w:rPr>
        <w:t xml:space="preserve"> </w:t>
      </w:r>
      <w:r>
        <w:t>capaz</w:t>
      </w:r>
      <w:r>
        <w:rPr>
          <w:spacing w:val="-14"/>
        </w:rPr>
        <w:t xml:space="preserve"> </w:t>
      </w:r>
      <w:r>
        <w:t>de</w:t>
      </w:r>
      <w:r>
        <w:rPr>
          <w:spacing w:val="-12"/>
        </w:rPr>
        <w:t xml:space="preserve"> </w:t>
      </w:r>
      <w:r>
        <w:t>hacer más</w:t>
      </w:r>
      <w:r>
        <w:rPr>
          <w:spacing w:val="-1"/>
        </w:rPr>
        <w:t xml:space="preserve"> </w:t>
      </w:r>
      <w:r>
        <w:t>cagadas</w:t>
      </w:r>
      <w:r>
        <w:rPr>
          <w:spacing w:val="-1"/>
        </w:rPr>
        <w:t xml:space="preserve"> </w:t>
      </w:r>
      <w:r>
        <w:t>que el otro</w:t>
      </w:r>
      <w:r>
        <w:rPr>
          <w:spacing w:val="-2"/>
        </w:rPr>
        <w:t xml:space="preserve"> </w:t>
      </w:r>
      <w:r>
        <w:t>para poder</w:t>
      </w:r>
      <w:r>
        <w:rPr>
          <w:spacing w:val="-1"/>
        </w:rPr>
        <w:t xml:space="preserve"> </w:t>
      </w:r>
      <w:r>
        <w:t>atemorizar</w:t>
      </w:r>
      <w:r>
        <w:rPr>
          <w:spacing w:val="-1"/>
        </w:rPr>
        <w:t xml:space="preserve"> </w:t>
      </w:r>
      <w:r>
        <w:t>más a</w:t>
      </w:r>
      <w:r>
        <w:rPr>
          <w:spacing w:val="-1"/>
        </w:rPr>
        <w:t xml:space="preserve"> </w:t>
      </w:r>
      <w:r>
        <w:t>la</w:t>
      </w:r>
      <w:r>
        <w:rPr>
          <w:spacing w:val="-1"/>
        </w:rPr>
        <w:t xml:space="preserve"> </w:t>
      </w:r>
      <w:r>
        <w:t>gente. O</w:t>
      </w:r>
      <w:r>
        <w:rPr>
          <w:spacing w:val="-1"/>
        </w:rPr>
        <w:t xml:space="preserve"> </w:t>
      </w:r>
      <w:r>
        <w:t>sea,</w:t>
      </w:r>
      <w:r>
        <w:rPr>
          <w:spacing w:val="-1"/>
        </w:rPr>
        <w:t xml:space="preserve"> </w:t>
      </w:r>
      <w:r>
        <w:t>eso</w:t>
      </w:r>
      <w:r>
        <w:rPr>
          <w:spacing w:val="-1"/>
        </w:rPr>
        <w:t xml:space="preserve"> </w:t>
      </w:r>
      <w:r>
        <w:t>se hacía</w:t>
      </w:r>
      <w:r>
        <w:rPr>
          <w:spacing w:val="-1"/>
        </w:rPr>
        <w:t xml:space="preserve"> </w:t>
      </w:r>
      <w:r>
        <w:t>era</w:t>
      </w:r>
      <w:r>
        <w:rPr>
          <w:spacing w:val="-2"/>
        </w:rPr>
        <w:t xml:space="preserve"> </w:t>
      </w:r>
      <w:r>
        <w:t>con el fin de ganar como respeto, de atemorizar más a la gente»</w:t>
      </w:r>
      <w:r w:rsidR="00167B85">
        <w:rPr>
          <w:rStyle w:val="Refdenotaalpie"/>
        </w:rPr>
        <w:footnoteReference w:id="404"/>
      </w:r>
      <w:r>
        <w:t>.</w:t>
      </w:r>
    </w:p>
    <w:p w:rsidR="003804AC" w:rsidRDefault="00AF18A5" w:rsidP="00167B85">
      <w:r>
        <w:t>La</w:t>
      </w:r>
      <w:r>
        <w:rPr>
          <w:spacing w:val="-1"/>
        </w:rPr>
        <w:t xml:space="preserve"> </w:t>
      </w:r>
      <w:r>
        <w:t>obsesión</w:t>
      </w:r>
      <w:r>
        <w:rPr>
          <w:spacing w:val="-1"/>
        </w:rPr>
        <w:t xml:space="preserve"> </w:t>
      </w:r>
      <w:r>
        <w:t>paramilitar</w:t>
      </w:r>
      <w:r>
        <w:rPr>
          <w:spacing w:val="-1"/>
        </w:rPr>
        <w:t xml:space="preserve"> </w:t>
      </w:r>
      <w:r>
        <w:t>de</w:t>
      </w:r>
      <w:r>
        <w:rPr>
          <w:spacing w:val="-1"/>
        </w:rPr>
        <w:t xml:space="preserve"> </w:t>
      </w:r>
      <w:r>
        <w:t>eliminar</w:t>
      </w:r>
      <w:r>
        <w:rPr>
          <w:spacing w:val="-1"/>
        </w:rPr>
        <w:t xml:space="preserve"> </w:t>
      </w:r>
      <w:r>
        <w:t>a</w:t>
      </w:r>
      <w:r>
        <w:rPr>
          <w:spacing w:val="-1"/>
        </w:rPr>
        <w:t xml:space="preserve"> </w:t>
      </w:r>
      <w:r>
        <w:t>quienes</w:t>
      </w:r>
      <w:r>
        <w:rPr>
          <w:spacing w:val="-1"/>
        </w:rPr>
        <w:t xml:space="preserve"> </w:t>
      </w:r>
      <w:r>
        <w:t>consideraban</w:t>
      </w:r>
      <w:r>
        <w:rPr>
          <w:spacing w:val="-1"/>
        </w:rPr>
        <w:t xml:space="preserve"> </w:t>
      </w:r>
      <w:r>
        <w:t>enemigos</w:t>
      </w:r>
      <w:r>
        <w:rPr>
          <w:spacing w:val="-1"/>
        </w:rPr>
        <w:t xml:space="preserve"> </w:t>
      </w:r>
      <w:r>
        <w:t>–en</w:t>
      </w:r>
      <w:r>
        <w:rPr>
          <w:spacing w:val="-1"/>
        </w:rPr>
        <w:t xml:space="preserve"> </w:t>
      </w:r>
      <w:r>
        <w:t>su</w:t>
      </w:r>
      <w:r>
        <w:rPr>
          <w:spacing w:val="-1"/>
        </w:rPr>
        <w:t xml:space="preserve"> </w:t>
      </w:r>
      <w:r>
        <w:t>lógica</w:t>
      </w:r>
      <w:r>
        <w:rPr>
          <w:spacing w:val="-1"/>
        </w:rPr>
        <w:t xml:space="preserve"> </w:t>
      </w:r>
      <w:r>
        <w:t>de</w:t>
      </w:r>
      <w:r>
        <w:rPr>
          <w:spacing w:val="-1"/>
        </w:rPr>
        <w:t xml:space="preserve"> </w:t>
      </w:r>
      <w:r>
        <w:t>la doctrina contrainsurgente–, los intereses superpuestos de los actores del entramado paramilitar y la violación del principio de distinción entre combatientes y población civil llevaron</w:t>
      </w:r>
      <w:r>
        <w:rPr>
          <w:spacing w:val="-7"/>
        </w:rPr>
        <w:t xml:space="preserve"> </w:t>
      </w:r>
      <w:r>
        <w:t>a</w:t>
      </w:r>
      <w:r>
        <w:rPr>
          <w:spacing w:val="-7"/>
        </w:rPr>
        <w:t xml:space="preserve"> </w:t>
      </w:r>
      <w:r>
        <w:t>una</w:t>
      </w:r>
      <w:r>
        <w:rPr>
          <w:spacing w:val="-7"/>
        </w:rPr>
        <w:t xml:space="preserve"> </w:t>
      </w:r>
      <w:r>
        <w:t>guerra</w:t>
      </w:r>
      <w:r>
        <w:rPr>
          <w:spacing w:val="-7"/>
        </w:rPr>
        <w:t xml:space="preserve"> </w:t>
      </w:r>
      <w:r>
        <w:t>de</w:t>
      </w:r>
      <w:r>
        <w:rPr>
          <w:spacing w:val="-8"/>
        </w:rPr>
        <w:t xml:space="preserve"> </w:t>
      </w:r>
      <w:r>
        <w:t>exterminio.</w:t>
      </w:r>
      <w:r>
        <w:rPr>
          <w:spacing w:val="-8"/>
        </w:rPr>
        <w:t xml:space="preserve"> </w:t>
      </w:r>
      <w:r>
        <w:t>Según</w:t>
      </w:r>
      <w:r>
        <w:rPr>
          <w:spacing w:val="-7"/>
        </w:rPr>
        <w:t xml:space="preserve"> </w:t>
      </w:r>
      <w:r>
        <w:t>la</w:t>
      </w:r>
      <w:r>
        <w:rPr>
          <w:spacing w:val="-7"/>
        </w:rPr>
        <w:t xml:space="preserve"> </w:t>
      </w:r>
      <w:r>
        <w:t>Sala</w:t>
      </w:r>
      <w:r>
        <w:rPr>
          <w:spacing w:val="-7"/>
        </w:rPr>
        <w:t xml:space="preserve"> </w:t>
      </w:r>
      <w:r>
        <w:t>de</w:t>
      </w:r>
      <w:r>
        <w:rPr>
          <w:spacing w:val="-7"/>
        </w:rPr>
        <w:t xml:space="preserve"> </w:t>
      </w:r>
      <w:r>
        <w:t>Justicia</w:t>
      </w:r>
      <w:r>
        <w:rPr>
          <w:spacing w:val="-8"/>
        </w:rPr>
        <w:t xml:space="preserve"> </w:t>
      </w:r>
      <w:r>
        <w:t>y</w:t>
      </w:r>
      <w:r>
        <w:rPr>
          <w:spacing w:val="-7"/>
        </w:rPr>
        <w:t xml:space="preserve"> </w:t>
      </w:r>
      <w:r>
        <w:t>Paz</w:t>
      </w:r>
      <w:r>
        <w:rPr>
          <w:spacing w:val="-7"/>
        </w:rPr>
        <w:t xml:space="preserve"> </w:t>
      </w:r>
      <w:r>
        <w:t>del</w:t>
      </w:r>
      <w:r>
        <w:rPr>
          <w:spacing w:val="-7"/>
        </w:rPr>
        <w:t xml:space="preserve"> </w:t>
      </w:r>
      <w:r>
        <w:t>Tribunal</w:t>
      </w:r>
      <w:r>
        <w:rPr>
          <w:spacing w:val="-7"/>
        </w:rPr>
        <w:t xml:space="preserve"> </w:t>
      </w:r>
      <w:r>
        <w:t>Superior</w:t>
      </w:r>
      <w:r>
        <w:rPr>
          <w:spacing w:val="-7"/>
        </w:rPr>
        <w:t xml:space="preserve"> </w:t>
      </w:r>
      <w:r>
        <w:t xml:space="preserve">de </w:t>
      </w:r>
      <w:r>
        <w:rPr>
          <w:spacing w:val="-2"/>
        </w:rPr>
        <w:t>Medellín:</w:t>
      </w:r>
    </w:p>
    <w:p w:rsidR="003804AC" w:rsidRDefault="00AF18A5" w:rsidP="00167B85">
      <w:r>
        <w:t>El</w:t>
      </w:r>
      <w:r>
        <w:rPr>
          <w:spacing w:val="-5"/>
        </w:rPr>
        <w:t xml:space="preserve"> </w:t>
      </w:r>
      <w:r>
        <w:t>fin</w:t>
      </w:r>
      <w:r>
        <w:rPr>
          <w:spacing w:val="-4"/>
        </w:rPr>
        <w:t xml:space="preserve"> </w:t>
      </w:r>
      <w:r>
        <w:t>último</w:t>
      </w:r>
      <w:r>
        <w:rPr>
          <w:spacing w:val="-4"/>
        </w:rPr>
        <w:t xml:space="preserve"> </w:t>
      </w:r>
      <w:r>
        <w:t>era</w:t>
      </w:r>
      <w:r>
        <w:rPr>
          <w:spacing w:val="-5"/>
        </w:rPr>
        <w:t xml:space="preserve"> </w:t>
      </w:r>
      <w:r>
        <w:t>eliminar</w:t>
      </w:r>
      <w:r>
        <w:rPr>
          <w:spacing w:val="-5"/>
        </w:rPr>
        <w:t xml:space="preserve"> </w:t>
      </w:r>
      <w:r>
        <w:t>las</w:t>
      </w:r>
      <w:r>
        <w:rPr>
          <w:spacing w:val="-5"/>
        </w:rPr>
        <w:t xml:space="preserve"> </w:t>
      </w:r>
      <w:r>
        <w:t>ideas,</w:t>
      </w:r>
      <w:r>
        <w:rPr>
          <w:spacing w:val="-5"/>
        </w:rPr>
        <w:t xml:space="preserve"> </w:t>
      </w:r>
      <w:r>
        <w:t>las</w:t>
      </w:r>
      <w:r>
        <w:rPr>
          <w:spacing w:val="-4"/>
        </w:rPr>
        <w:t xml:space="preserve"> </w:t>
      </w:r>
      <w:r>
        <w:t>enseñanzas,</w:t>
      </w:r>
      <w:r>
        <w:rPr>
          <w:spacing w:val="-4"/>
        </w:rPr>
        <w:t xml:space="preserve"> </w:t>
      </w:r>
      <w:r>
        <w:t>las</w:t>
      </w:r>
      <w:r>
        <w:rPr>
          <w:spacing w:val="-5"/>
        </w:rPr>
        <w:t xml:space="preserve"> </w:t>
      </w:r>
      <w:r>
        <w:t>relaciones</w:t>
      </w:r>
      <w:r>
        <w:rPr>
          <w:spacing w:val="-5"/>
        </w:rPr>
        <w:t xml:space="preserve"> </w:t>
      </w:r>
      <w:r>
        <w:t>y</w:t>
      </w:r>
      <w:r>
        <w:rPr>
          <w:spacing w:val="-4"/>
        </w:rPr>
        <w:t xml:space="preserve"> </w:t>
      </w:r>
      <w:r>
        <w:t>frustrar</w:t>
      </w:r>
      <w:r>
        <w:rPr>
          <w:spacing w:val="-5"/>
        </w:rPr>
        <w:t xml:space="preserve"> </w:t>
      </w:r>
      <w:r>
        <w:t>la</w:t>
      </w:r>
      <w:r>
        <w:rPr>
          <w:spacing w:val="-4"/>
        </w:rPr>
        <w:t xml:space="preserve"> </w:t>
      </w:r>
      <w:r>
        <w:t>acción</w:t>
      </w:r>
      <w:r>
        <w:rPr>
          <w:spacing w:val="-4"/>
        </w:rPr>
        <w:t xml:space="preserve"> </w:t>
      </w:r>
      <w:r>
        <w:t>colectiva de</w:t>
      </w:r>
      <w:r>
        <w:rPr>
          <w:spacing w:val="-16"/>
        </w:rPr>
        <w:t xml:space="preserve"> </w:t>
      </w:r>
      <w:r>
        <w:t>las</w:t>
      </w:r>
      <w:r>
        <w:rPr>
          <w:spacing w:val="-14"/>
        </w:rPr>
        <w:t xml:space="preserve"> </w:t>
      </w:r>
      <w:r>
        <w:t>comunidades</w:t>
      </w:r>
      <w:r>
        <w:rPr>
          <w:spacing w:val="-14"/>
        </w:rPr>
        <w:t xml:space="preserve"> </w:t>
      </w:r>
      <w:r>
        <w:t>y</w:t>
      </w:r>
      <w:r>
        <w:rPr>
          <w:spacing w:val="-13"/>
        </w:rPr>
        <w:t xml:space="preserve"> </w:t>
      </w:r>
      <w:r>
        <w:t>las</w:t>
      </w:r>
      <w:r>
        <w:rPr>
          <w:spacing w:val="-14"/>
        </w:rPr>
        <w:t xml:space="preserve"> </w:t>
      </w:r>
      <w:r>
        <w:t>distintas</w:t>
      </w:r>
      <w:r>
        <w:rPr>
          <w:spacing w:val="-14"/>
        </w:rPr>
        <w:t xml:space="preserve"> </w:t>
      </w:r>
      <w:r>
        <w:t>formas</w:t>
      </w:r>
      <w:r>
        <w:rPr>
          <w:spacing w:val="-14"/>
        </w:rPr>
        <w:t xml:space="preserve"> </w:t>
      </w:r>
      <w:r>
        <w:t>de</w:t>
      </w:r>
      <w:r>
        <w:rPr>
          <w:spacing w:val="-13"/>
        </w:rPr>
        <w:t xml:space="preserve"> </w:t>
      </w:r>
      <w:r>
        <w:t>asociación,</w:t>
      </w:r>
      <w:r>
        <w:rPr>
          <w:spacing w:val="-14"/>
        </w:rPr>
        <w:t xml:space="preserve"> </w:t>
      </w:r>
      <w:r>
        <w:t>que</w:t>
      </w:r>
      <w:r>
        <w:rPr>
          <w:spacing w:val="-14"/>
        </w:rPr>
        <w:t xml:space="preserve"> </w:t>
      </w:r>
      <w:r>
        <w:t>quedaban</w:t>
      </w:r>
      <w:r>
        <w:rPr>
          <w:spacing w:val="-14"/>
        </w:rPr>
        <w:t xml:space="preserve"> </w:t>
      </w:r>
      <w:r>
        <w:t>totalmente</w:t>
      </w:r>
      <w:r>
        <w:rPr>
          <w:spacing w:val="-13"/>
        </w:rPr>
        <w:t xml:space="preserve"> </w:t>
      </w:r>
      <w:r>
        <w:t>atemorizadas y</w:t>
      </w:r>
      <w:r>
        <w:rPr>
          <w:spacing w:val="-12"/>
        </w:rPr>
        <w:t xml:space="preserve"> </w:t>
      </w:r>
      <w:r>
        <w:t>subyugadas.</w:t>
      </w:r>
      <w:r>
        <w:rPr>
          <w:spacing w:val="-12"/>
        </w:rPr>
        <w:t xml:space="preserve"> </w:t>
      </w:r>
      <w:r>
        <w:t>La</w:t>
      </w:r>
      <w:r>
        <w:rPr>
          <w:spacing w:val="-13"/>
        </w:rPr>
        <w:t xml:space="preserve"> </w:t>
      </w:r>
      <w:r>
        <w:t>comisión</w:t>
      </w:r>
      <w:r>
        <w:rPr>
          <w:spacing w:val="-13"/>
        </w:rPr>
        <w:t xml:space="preserve"> </w:t>
      </w:r>
      <w:r>
        <w:t>sistemática</w:t>
      </w:r>
      <w:r>
        <w:rPr>
          <w:spacing w:val="-13"/>
        </w:rPr>
        <w:t xml:space="preserve"> </w:t>
      </w:r>
      <w:r>
        <w:t>y</w:t>
      </w:r>
      <w:r>
        <w:rPr>
          <w:spacing w:val="-12"/>
        </w:rPr>
        <w:t xml:space="preserve"> </w:t>
      </w:r>
      <w:r>
        <w:t>generalizada</w:t>
      </w:r>
      <w:r>
        <w:rPr>
          <w:spacing w:val="-12"/>
        </w:rPr>
        <w:t xml:space="preserve"> </w:t>
      </w:r>
      <w:r>
        <w:t>de</w:t>
      </w:r>
      <w:r>
        <w:rPr>
          <w:spacing w:val="-13"/>
        </w:rPr>
        <w:t xml:space="preserve"> </w:t>
      </w:r>
      <w:r>
        <w:t>homicidios</w:t>
      </w:r>
      <w:r>
        <w:rPr>
          <w:spacing w:val="-13"/>
        </w:rPr>
        <w:t xml:space="preserve"> </w:t>
      </w:r>
      <w:r>
        <w:t>y</w:t>
      </w:r>
      <w:r>
        <w:rPr>
          <w:spacing w:val="-12"/>
        </w:rPr>
        <w:t xml:space="preserve"> </w:t>
      </w:r>
      <w:r>
        <w:t>desapariciones</w:t>
      </w:r>
      <w:r>
        <w:rPr>
          <w:spacing w:val="-13"/>
        </w:rPr>
        <w:t xml:space="preserve"> </w:t>
      </w:r>
      <w:r>
        <w:t>forzadas impuso la muerte como instrumento para el sometimiento y la sumisión de la población y por esta vía, el silenciamiento y/o la destrucción de procesos sociales de identificación, reconocimiento y reivindicación de derechos.</w:t>
      </w:r>
      <w:r w:rsidR="00167B85">
        <w:rPr>
          <w:rStyle w:val="Refdenotaalpie"/>
        </w:rPr>
        <w:footnoteReference w:id="405"/>
      </w:r>
      <w:r w:rsidR="00167B85">
        <w:t xml:space="preserve"> </w:t>
      </w:r>
    </w:p>
    <w:p w:rsidR="003804AC" w:rsidRDefault="00AF18A5" w:rsidP="00167B85">
      <w:r>
        <w:t xml:space="preserve">Según un exasesor de paz del gobierno colombiano en su testimonio a la Comisión de la </w:t>
      </w:r>
      <w:r>
        <w:rPr>
          <w:spacing w:val="-2"/>
        </w:rPr>
        <w:t>Verdad:</w:t>
      </w:r>
    </w:p>
    <w:p w:rsidR="0011361F" w:rsidRDefault="00AF18A5" w:rsidP="00167B85">
      <w:r>
        <w:t>«Eso</w:t>
      </w:r>
      <w:r>
        <w:rPr>
          <w:spacing w:val="-4"/>
        </w:rPr>
        <w:t xml:space="preserve"> </w:t>
      </w:r>
      <w:r>
        <w:t>nos</w:t>
      </w:r>
      <w:r>
        <w:rPr>
          <w:spacing w:val="-3"/>
        </w:rPr>
        <w:t xml:space="preserve"> </w:t>
      </w:r>
      <w:r>
        <w:t>lo</w:t>
      </w:r>
      <w:r>
        <w:rPr>
          <w:spacing w:val="-4"/>
        </w:rPr>
        <w:t xml:space="preserve"> </w:t>
      </w:r>
      <w:r>
        <w:t>dijo</w:t>
      </w:r>
      <w:r>
        <w:rPr>
          <w:spacing w:val="-4"/>
        </w:rPr>
        <w:t xml:space="preserve"> </w:t>
      </w:r>
      <w:r>
        <w:t>Castaño</w:t>
      </w:r>
      <w:r>
        <w:rPr>
          <w:spacing w:val="-5"/>
        </w:rPr>
        <w:t xml:space="preserve"> </w:t>
      </w:r>
      <w:r>
        <w:t>a</w:t>
      </w:r>
      <w:r>
        <w:rPr>
          <w:spacing w:val="-3"/>
        </w:rPr>
        <w:t xml:space="preserve"> </w:t>
      </w:r>
      <w:r>
        <w:t>nosotros</w:t>
      </w:r>
      <w:r>
        <w:rPr>
          <w:spacing w:val="-5"/>
        </w:rPr>
        <w:t xml:space="preserve"> </w:t>
      </w:r>
      <w:r>
        <w:t>en</w:t>
      </w:r>
      <w:r>
        <w:rPr>
          <w:spacing w:val="-4"/>
        </w:rPr>
        <w:t xml:space="preserve"> </w:t>
      </w:r>
      <w:r>
        <w:t>la</w:t>
      </w:r>
      <w:r>
        <w:rPr>
          <w:spacing w:val="-3"/>
        </w:rPr>
        <w:t xml:space="preserve"> </w:t>
      </w:r>
      <w:r>
        <w:t>reunión,</w:t>
      </w:r>
      <w:r>
        <w:rPr>
          <w:spacing w:val="-5"/>
        </w:rPr>
        <w:t xml:space="preserve"> </w:t>
      </w:r>
      <w:r>
        <w:t>que</w:t>
      </w:r>
      <w:r>
        <w:rPr>
          <w:spacing w:val="-3"/>
        </w:rPr>
        <w:t xml:space="preserve"> </w:t>
      </w:r>
      <w:r>
        <w:t>[...]</w:t>
      </w:r>
      <w:r>
        <w:rPr>
          <w:spacing w:val="-3"/>
        </w:rPr>
        <w:t xml:space="preserve"> </w:t>
      </w:r>
      <w:r>
        <w:t>habían</w:t>
      </w:r>
      <w:r>
        <w:rPr>
          <w:spacing w:val="-4"/>
        </w:rPr>
        <w:t xml:space="preserve"> </w:t>
      </w:r>
      <w:r>
        <w:t>cambiado</w:t>
      </w:r>
      <w:r>
        <w:rPr>
          <w:spacing w:val="-4"/>
        </w:rPr>
        <w:t xml:space="preserve"> </w:t>
      </w:r>
      <w:r>
        <w:t>la</w:t>
      </w:r>
      <w:r>
        <w:rPr>
          <w:spacing w:val="-3"/>
        </w:rPr>
        <w:t xml:space="preserve"> </w:t>
      </w:r>
      <w:r>
        <w:t xml:space="preserve">estrategia, que no había que atacar a los familiares de los guerrilleros, sino a los colaboradores de la guerrilla, porque había que quitarle el agua al pez. Y empezaron a matar a los peluqueros, a los que </w:t>
      </w:r>
      <w:r>
        <w:lastRenderedPageBreak/>
        <w:t>los motilaban, a los que vendían drogas en las farmacias, a los que daban servicios de</w:t>
      </w:r>
      <w:r>
        <w:rPr>
          <w:spacing w:val="-10"/>
        </w:rPr>
        <w:t xml:space="preserve"> </w:t>
      </w:r>
      <w:r>
        <w:t>transporte,</w:t>
      </w:r>
      <w:r>
        <w:rPr>
          <w:spacing w:val="-11"/>
        </w:rPr>
        <w:t xml:space="preserve"> </w:t>
      </w:r>
      <w:r>
        <w:t>a</w:t>
      </w:r>
      <w:r>
        <w:rPr>
          <w:spacing w:val="-10"/>
        </w:rPr>
        <w:t xml:space="preserve"> </w:t>
      </w:r>
      <w:r>
        <w:t>todos</w:t>
      </w:r>
      <w:r>
        <w:rPr>
          <w:spacing w:val="-10"/>
        </w:rPr>
        <w:t xml:space="preserve"> </w:t>
      </w:r>
      <w:r>
        <w:t>lo</w:t>
      </w:r>
      <w:r>
        <w:rPr>
          <w:spacing w:val="-12"/>
        </w:rPr>
        <w:t xml:space="preserve"> </w:t>
      </w:r>
      <w:r>
        <w:t>que</w:t>
      </w:r>
      <w:r>
        <w:rPr>
          <w:spacing w:val="-10"/>
        </w:rPr>
        <w:t xml:space="preserve"> </w:t>
      </w:r>
      <w:r>
        <w:t>consideraban</w:t>
      </w:r>
      <w:r>
        <w:rPr>
          <w:spacing w:val="-11"/>
        </w:rPr>
        <w:t xml:space="preserve"> </w:t>
      </w:r>
      <w:r>
        <w:t>que</w:t>
      </w:r>
      <w:r>
        <w:rPr>
          <w:spacing w:val="-10"/>
        </w:rPr>
        <w:t xml:space="preserve"> </w:t>
      </w:r>
      <w:r>
        <w:t>tenían</w:t>
      </w:r>
      <w:r>
        <w:rPr>
          <w:spacing w:val="-11"/>
        </w:rPr>
        <w:t xml:space="preserve"> </w:t>
      </w:r>
      <w:r>
        <w:t>alguna</w:t>
      </w:r>
      <w:r>
        <w:rPr>
          <w:spacing w:val="-10"/>
        </w:rPr>
        <w:t xml:space="preserve"> </w:t>
      </w:r>
      <w:r>
        <w:t>vinculación</w:t>
      </w:r>
      <w:r>
        <w:rPr>
          <w:spacing w:val="-11"/>
        </w:rPr>
        <w:t xml:space="preserve"> </w:t>
      </w:r>
      <w:r>
        <w:t>menor,</w:t>
      </w:r>
      <w:r>
        <w:rPr>
          <w:spacing w:val="-11"/>
        </w:rPr>
        <w:t xml:space="preserve"> </w:t>
      </w:r>
      <w:r>
        <w:t>a</w:t>
      </w:r>
      <w:r>
        <w:rPr>
          <w:spacing w:val="-10"/>
        </w:rPr>
        <w:t xml:space="preserve"> </w:t>
      </w:r>
      <w:r>
        <w:t>las</w:t>
      </w:r>
      <w:r>
        <w:rPr>
          <w:spacing w:val="-10"/>
        </w:rPr>
        <w:t xml:space="preserve"> </w:t>
      </w:r>
      <w:r>
        <w:t>novias, a los familiares de las novias empezaron a matarlos»</w:t>
      </w:r>
      <w:r w:rsidR="00167B85">
        <w:rPr>
          <w:rStyle w:val="Refdenotaalpie"/>
        </w:rPr>
        <w:footnoteReference w:id="406"/>
      </w:r>
      <w:r>
        <w:t>.</w:t>
      </w:r>
    </w:p>
    <w:p w:rsidR="003804AC" w:rsidRDefault="00AF18A5" w:rsidP="00167B85">
      <w:bookmarkStart w:id="556" w:name="_bookmark455"/>
      <w:bookmarkStart w:id="557" w:name="_bookmark456"/>
      <w:bookmarkStart w:id="558" w:name="_bookmark457"/>
      <w:bookmarkEnd w:id="556"/>
      <w:bookmarkEnd w:id="557"/>
      <w:bookmarkEnd w:id="558"/>
      <w:r>
        <w:t>La forma más visible de perpetración paramilitar fue la masacre. Esto no fue accidental. Con</w:t>
      </w:r>
      <w:r>
        <w:rPr>
          <w:spacing w:val="-5"/>
        </w:rPr>
        <w:t xml:space="preserve"> </w:t>
      </w:r>
      <w:r>
        <w:t>las</w:t>
      </w:r>
      <w:r>
        <w:rPr>
          <w:spacing w:val="-5"/>
        </w:rPr>
        <w:t xml:space="preserve"> </w:t>
      </w:r>
      <w:r>
        <w:t>AUC,</w:t>
      </w:r>
      <w:r>
        <w:rPr>
          <w:spacing w:val="-5"/>
        </w:rPr>
        <w:t xml:space="preserve"> </w:t>
      </w:r>
      <w:r>
        <w:t>las</w:t>
      </w:r>
      <w:r>
        <w:rPr>
          <w:spacing w:val="-5"/>
        </w:rPr>
        <w:t xml:space="preserve"> </w:t>
      </w:r>
      <w:r>
        <w:t>masacres</w:t>
      </w:r>
      <w:r>
        <w:rPr>
          <w:spacing w:val="-5"/>
        </w:rPr>
        <w:t xml:space="preserve"> </w:t>
      </w:r>
      <w:r>
        <w:t>se</w:t>
      </w:r>
      <w:r>
        <w:rPr>
          <w:spacing w:val="-6"/>
        </w:rPr>
        <w:t xml:space="preserve"> </w:t>
      </w:r>
      <w:r>
        <w:t>convirtieron</w:t>
      </w:r>
      <w:r>
        <w:rPr>
          <w:spacing w:val="-5"/>
        </w:rPr>
        <w:t xml:space="preserve"> </w:t>
      </w:r>
      <w:r>
        <w:t>en</w:t>
      </w:r>
      <w:r>
        <w:rPr>
          <w:spacing w:val="-5"/>
        </w:rPr>
        <w:t xml:space="preserve"> </w:t>
      </w:r>
      <w:r>
        <w:t>un</w:t>
      </w:r>
      <w:r>
        <w:rPr>
          <w:spacing w:val="-6"/>
        </w:rPr>
        <w:t xml:space="preserve"> </w:t>
      </w:r>
      <w:r>
        <w:t>patrón</w:t>
      </w:r>
      <w:r>
        <w:rPr>
          <w:spacing w:val="-5"/>
        </w:rPr>
        <w:t xml:space="preserve"> </w:t>
      </w:r>
      <w:r>
        <w:t>generalizado</w:t>
      </w:r>
      <w:r>
        <w:rPr>
          <w:spacing w:val="-5"/>
        </w:rPr>
        <w:t xml:space="preserve"> </w:t>
      </w:r>
      <w:r>
        <w:t>en</w:t>
      </w:r>
      <w:r>
        <w:rPr>
          <w:spacing w:val="-6"/>
        </w:rPr>
        <w:t xml:space="preserve"> </w:t>
      </w:r>
      <w:r>
        <w:t>medio</w:t>
      </w:r>
      <w:r>
        <w:rPr>
          <w:spacing w:val="-5"/>
        </w:rPr>
        <w:t xml:space="preserve"> </w:t>
      </w:r>
      <w:r>
        <w:t>de</w:t>
      </w:r>
      <w:r>
        <w:rPr>
          <w:spacing w:val="-6"/>
        </w:rPr>
        <w:t xml:space="preserve"> </w:t>
      </w:r>
      <w:r>
        <w:t>la</w:t>
      </w:r>
      <w:r>
        <w:rPr>
          <w:spacing w:val="-5"/>
        </w:rPr>
        <w:t xml:space="preserve"> </w:t>
      </w:r>
      <w:r>
        <w:t>disputa por el control del territorio. A ese despliegue máximo de terror y sevicia se llegó por la concurrencia</w:t>
      </w:r>
      <w:r>
        <w:rPr>
          <w:spacing w:val="-5"/>
        </w:rPr>
        <w:t xml:space="preserve"> </w:t>
      </w:r>
      <w:r>
        <w:t>de</w:t>
      </w:r>
      <w:r>
        <w:rPr>
          <w:spacing w:val="-5"/>
        </w:rPr>
        <w:t xml:space="preserve"> </w:t>
      </w:r>
      <w:r>
        <w:t>dos</w:t>
      </w:r>
      <w:r>
        <w:rPr>
          <w:spacing w:val="-5"/>
        </w:rPr>
        <w:t xml:space="preserve"> </w:t>
      </w:r>
      <w:r>
        <w:t>factores:</w:t>
      </w:r>
      <w:r>
        <w:rPr>
          <w:spacing w:val="-4"/>
        </w:rPr>
        <w:t xml:space="preserve"> </w:t>
      </w:r>
      <w:r>
        <w:t>la</w:t>
      </w:r>
      <w:r>
        <w:rPr>
          <w:spacing w:val="-6"/>
        </w:rPr>
        <w:t xml:space="preserve"> </w:t>
      </w:r>
      <w:r>
        <w:t>mentalidad</w:t>
      </w:r>
      <w:r>
        <w:rPr>
          <w:spacing w:val="-5"/>
        </w:rPr>
        <w:t xml:space="preserve"> </w:t>
      </w:r>
      <w:r>
        <w:t>de</w:t>
      </w:r>
      <w:r>
        <w:rPr>
          <w:spacing w:val="-5"/>
        </w:rPr>
        <w:t xml:space="preserve"> </w:t>
      </w:r>
      <w:r>
        <w:t>la</w:t>
      </w:r>
      <w:r>
        <w:rPr>
          <w:spacing w:val="-5"/>
        </w:rPr>
        <w:t xml:space="preserve"> </w:t>
      </w:r>
      <w:r>
        <w:t>guerra</w:t>
      </w:r>
      <w:r>
        <w:rPr>
          <w:spacing w:val="-5"/>
        </w:rPr>
        <w:t xml:space="preserve"> </w:t>
      </w:r>
      <w:r>
        <w:t>total</w:t>
      </w:r>
      <w:r>
        <w:rPr>
          <w:spacing w:val="-6"/>
        </w:rPr>
        <w:t xml:space="preserve"> </w:t>
      </w:r>
      <w:r>
        <w:t>contra</w:t>
      </w:r>
      <w:r>
        <w:rPr>
          <w:spacing w:val="-5"/>
        </w:rPr>
        <w:t xml:space="preserve"> </w:t>
      </w:r>
      <w:r>
        <w:t>la</w:t>
      </w:r>
      <w:r>
        <w:rPr>
          <w:spacing w:val="-5"/>
        </w:rPr>
        <w:t xml:space="preserve"> </w:t>
      </w:r>
      <w:r>
        <w:t>guerrilla,</w:t>
      </w:r>
      <w:r>
        <w:rPr>
          <w:spacing w:val="-5"/>
        </w:rPr>
        <w:t xml:space="preserve"> </w:t>
      </w:r>
      <w:r>
        <w:t>proveniente de las Fuerzas Armadas, y las prácticas atroces de deshumanización de las víctimas, generalizadas a lo largo de las décadas de conflicto armado y por las escuelas de entrenamiento paramilitar. La idea de este tipo de masacres es la visibilidad total, la representación</w:t>
      </w:r>
      <w:r>
        <w:rPr>
          <w:spacing w:val="-14"/>
        </w:rPr>
        <w:t xml:space="preserve"> </w:t>
      </w:r>
      <w:r>
        <w:t>de</w:t>
      </w:r>
      <w:r>
        <w:rPr>
          <w:spacing w:val="-14"/>
        </w:rPr>
        <w:t xml:space="preserve"> </w:t>
      </w:r>
      <w:r>
        <w:t>la</w:t>
      </w:r>
      <w:r>
        <w:rPr>
          <w:spacing w:val="-14"/>
        </w:rPr>
        <w:t xml:space="preserve"> </w:t>
      </w:r>
      <w:r>
        <w:t>barbarie,</w:t>
      </w:r>
      <w:r>
        <w:rPr>
          <w:spacing w:val="-14"/>
        </w:rPr>
        <w:t xml:space="preserve"> </w:t>
      </w:r>
      <w:r>
        <w:t>donde</w:t>
      </w:r>
      <w:r>
        <w:rPr>
          <w:spacing w:val="-14"/>
        </w:rPr>
        <w:t xml:space="preserve"> </w:t>
      </w:r>
      <w:r>
        <w:t>a</w:t>
      </w:r>
      <w:r>
        <w:rPr>
          <w:spacing w:val="-15"/>
        </w:rPr>
        <w:t xml:space="preserve"> </w:t>
      </w:r>
      <w:r>
        <w:t>las</w:t>
      </w:r>
      <w:r>
        <w:rPr>
          <w:spacing w:val="-14"/>
        </w:rPr>
        <w:t xml:space="preserve"> </w:t>
      </w:r>
      <w:r>
        <w:t>escenas</w:t>
      </w:r>
      <w:r>
        <w:rPr>
          <w:spacing w:val="-15"/>
        </w:rPr>
        <w:t xml:space="preserve"> </w:t>
      </w:r>
      <w:r>
        <w:t>del</w:t>
      </w:r>
      <w:r>
        <w:rPr>
          <w:spacing w:val="-14"/>
        </w:rPr>
        <w:t xml:space="preserve"> </w:t>
      </w:r>
      <w:r>
        <w:t>horror</w:t>
      </w:r>
      <w:r>
        <w:rPr>
          <w:spacing w:val="-14"/>
        </w:rPr>
        <w:t xml:space="preserve"> </w:t>
      </w:r>
      <w:r>
        <w:t>se</w:t>
      </w:r>
      <w:r>
        <w:rPr>
          <w:spacing w:val="-15"/>
        </w:rPr>
        <w:t xml:space="preserve"> </w:t>
      </w:r>
      <w:r>
        <w:t>suman</w:t>
      </w:r>
      <w:r>
        <w:rPr>
          <w:spacing w:val="-14"/>
        </w:rPr>
        <w:t xml:space="preserve"> </w:t>
      </w:r>
      <w:r>
        <w:t>grafitis</w:t>
      </w:r>
      <w:r>
        <w:rPr>
          <w:spacing w:val="-14"/>
        </w:rPr>
        <w:t xml:space="preserve"> </w:t>
      </w:r>
      <w:r>
        <w:t>o</w:t>
      </w:r>
      <w:r>
        <w:rPr>
          <w:spacing w:val="-14"/>
        </w:rPr>
        <w:t xml:space="preserve"> </w:t>
      </w:r>
      <w:r>
        <w:t>carteles</w:t>
      </w:r>
      <w:r>
        <w:rPr>
          <w:spacing w:val="-15"/>
        </w:rPr>
        <w:t xml:space="preserve"> </w:t>
      </w:r>
      <w:r>
        <w:t>sobre las víctimas con letreros como «guerrillero», «sapo» o «drogadicto».</w:t>
      </w:r>
    </w:p>
    <w:p w:rsidR="003804AC" w:rsidRDefault="00AF18A5" w:rsidP="00167B85">
      <w:r>
        <w:t xml:space="preserve">Todo lo anterior derivó en una degradación cada vez mayor de la guerra, que no únicamente se manifestó en las acciones violentas, sino también en nuevas motivaciones y modos de hacer y justificar la guerra. Esta degradación asociada al terror paramilitar se extendió a casi la totalidad del país entre 1997 y 2002, como lo muestran los mapas 1 y 2 elaborados con el registro de acciones violentas cometidas por estos grupos. Los mapas indican los lugares donde se dieron los hechos, aunque la intensidad en los lugares no fue </w:t>
      </w:r>
      <w:r>
        <w:rPr>
          <w:spacing w:val="-2"/>
        </w:rPr>
        <w:t>similar.</w:t>
      </w:r>
    </w:p>
    <w:p w:rsidR="00CA3390" w:rsidRDefault="00CA3390" w:rsidP="00CA3390">
      <w:pPr>
        <w:pStyle w:val="Descripcin"/>
        <w:keepNext/>
      </w:pPr>
      <w:r>
        <w:lastRenderedPageBreak/>
        <w:t xml:space="preserve">Mapa </w:t>
      </w:r>
      <w:r>
        <w:fldChar w:fldCharType="begin"/>
      </w:r>
      <w:r>
        <w:instrText xml:space="preserve"> SEQ Mapa \* ARABIC </w:instrText>
      </w:r>
      <w:r>
        <w:fldChar w:fldCharType="separate"/>
      </w:r>
      <w:r w:rsidR="00821C8F">
        <w:rPr>
          <w:noProof/>
        </w:rPr>
        <w:t>1</w:t>
      </w:r>
      <w:r>
        <w:fldChar w:fldCharType="end"/>
      </w:r>
      <w:r w:rsidRPr="00B36240">
        <w:t>. Distribución territorial de las acciones violentas de las AUC en 1997</w:t>
      </w:r>
    </w:p>
    <w:p w:rsidR="003804AC" w:rsidRDefault="00AF18A5">
      <w:pPr>
        <w:pStyle w:val="Textoindependiente"/>
        <w:spacing w:before="9"/>
        <w:rPr>
          <w:sz w:val="9"/>
        </w:rPr>
      </w:pPr>
      <w:r>
        <w:rPr>
          <w:noProof/>
        </w:rPr>
        <w:drawing>
          <wp:inline distT="0" distB="0" distL="0" distR="0">
            <wp:extent cx="4743450" cy="5972648"/>
            <wp:effectExtent l="0" t="0" r="0" b="9525"/>
            <wp:docPr id="33" name="image17.png" descr="Mapa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60276" cy="5993835"/>
                    </a:xfrm>
                    <a:prstGeom prst="rect">
                      <a:avLst/>
                    </a:prstGeom>
                  </pic:spPr>
                </pic:pic>
              </a:graphicData>
            </a:graphic>
          </wp:inline>
        </w:drawing>
      </w:r>
    </w:p>
    <w:p w:rsidR="003804AC" w:rsidRDefault="00AF18A5">
      <w:pPr>
        <w:pStyle w:val="Textoindependiente"/>
        <w:spacing w:before="119"/>
        <w:ind w:left="221"/>
      </w:pPr>
      <w:r>
        <w:rPr>
          <w:i/>
        </w:rPr>
        <w:t>Fuente</w:t>
      </w:r>
      <w:r>
        <w:t>:</w:t>
      </w:r>
      <w:r>
        <w:rPr>
          <w:spacing w:val="-2"/>
        </w:rPr>
        <w:t xml:space="preserve"> </w:t>
      </w:r>
      <w:r>
        <w:t>elaboración</w:t>
      </w:r>
      <w:r>
        <w:rPr>
          <w:spacing w:val="-1"/>
        </w:rPr>
        <w:t xml:space="preserve"> </w:t>
      </w:r>
      <w:r>
        <w:t>propia</w:t>
      </w:r>
      <w:r>
        <w:rPr>
          <w:spacing w:val="-2"/>
        </w:rPr>
        <w:t xml:space="preserve"> </w:t>
      </w:r>
      <w:r>
        <w:t>con</w:t>
      </w:r>
      <w:r>
        <w:rPr>
          <w:spacing w:val="-1"/>
        </w:rPr>
        <w:t xml:space="preserve"> </w:t>
      </w:r>
      <w:r>
        <w:t>datos</w:t>
      </w:r>
      <w:r>
        <w:rPr>
          <w:spacing w:val="-3"/>
        </w:rPr>
        <w:t xml:space="preserve"> </w:t>
      </w:r>
      <w:r>
        <w:t>del</w:t>
      </w:r>
      <w:r>
        <w:rPr>
          <w:spacing w:val="-1"/>
        </w:rPr>
        <w:t xml:space="preserve"> </w:t>
      </w:r>
      <w:r>
        <w:t>Observatorio</w:t>
      </w:r>
      <w:r>
        <w:rPr>
          <w:spacing w:val="-1"/>
        </w:rPr>
        <w:t xml:space="preserve"> </w:t>
      </w:r>
      <w:r>
        <w:t>de</w:t>
      </w:r>
      <w:r>
        <w:rPr>
          <w:spacing w:val="-2"/>
        </w:rPr>
        <w:t xml:space="preserve"> </w:t>
      </w:r>
      <w:r>
        <w:t>Memoria</w:t>
      </w:r>
      <w:r>
        <w:rPr>
          <w:spacing w:val="-1"/>
        </w:rPr>
        <w:t xml:space="preserve"> </w:t>
      </w:r>
      <w:r>
        <w:t>y</w:t>
      </w:r>
      <w:r>
        <w:rPr>
          <w:spacing w:val="-2"/>
        </w:rPr>
        <w:t xml:space="preserve"> </w:t>
      </w:r>
      <w:r>
        <w:t>Conflicto</w:t>
      </w:r>
      <w:r>
        <w:rPr>
          <w:spacing w:val="-1"/>
        </w:rPr>
        <w:t xml:space="preserve"> </w:t>
      </w:r>
      <w:r>
        <w:t>del</w:t>
      </w:r>
      <w:r>
        <w:rPr>
          <w:spacing w:val="-1"/>
        </w:rPr>
        <w:t xml:space="preserve"> </w:t>
      </w:r>
      <w:r>
        <w:rPr>
          <w:spacing w:val="-2"/>
        </w:rPr>
        <w:t>CNMH.</w:t>
      </w:r>
    </w:p>
    <w:p w:rsidR="00821C8F" w:rsidRDefault="00821C8F" w:rsidP="00821C8F">
      <w:pPr>
        <w:pStyle w:val="Descripcin"/>
        <w:keepNext/>
      </w:pPr>
      <w:bookmarkStart w:id="559" w:name="_bookmark458"/>
      <w:bookmarkEnd w:id="559"/>
      <w:r>
        <w:lastRenderedPageBreak/>
        <w:t xml:space="preserve">Mapa </w:t>
      </w:r>
      <w:r>
        <w:fldChar w:fldCharType="begin"/>
      </w:r>
      <w:r>
        <w:instrText xml:space="preserve"> SEQ Mapa \* ARABIC </w:instrText>
      </w:r>
      <w:r>
        <w:fldChar w:fldCharType="separate"/>
      </w:r>
      <w:r>
        <w:rPr>
          <w:noProof/>
        </w:rPr>
        <w:t>2</w:t>
      </w:r>
      <w:r>
        <w:fldChar w:fldCharType="end"/>
      </w:r>
      <w:r w:rsidRPr="0065162F">
        <w:t>. Distribución territorial de las acciones violentas de las AUC en 2002</w:t>
      </w:r>
      <w:r>
        <w:rPr>
          <w:rStyle w:val="Refdenotaalpie"/>
        </w:rPr>
        <w:footnoteReference w:id="407"/>
      </w:r>
    </w:p>
    <w:p w:rsidR="0011361F" w:rsidRDefault="00AF18A5">
      <w:pPr>
        <w:pStyle w:val="Textoindependiente"/>
        <w:ind w:left="505"/>
        <w:rPr>
          <w:sz w:val="20"/>
        </w:rPr>
      </w:pPr>
      <w:r>
        <w:rPr>
          <w:noProof/>
          <w:sz w:val="20"/>
        </w:rPr>
        <w:drawing>
          <wp:inline distT="0" distB="0" distL="0" distR="0">
            <wp:extent cx="4888554" cy="6155055"/>
            <wp:effectExtent l="0" t="0" r="0" b="0"/>
            <wp:docPr id="35" name="image18.png" descr="Mapa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9" cstate="print"/>
                    <a:stretch>
                      <a:fillRect/>
                    </a:stretch>
                  </pic:blipFill>
                  <pic:spPr>
                    <a:xfrm>
                      <a:off x="0" y="0"/>
                      <a:ext cx="4891256" cy="6158457"/>
                    </a:xfrm>
                    <a:prstGeom prst="rect">
                      <a:avLst/>
                    </a:prstGeom>
                  </pic:spPr>
                </pic:pic>
              </a:graphicData>
            </a:graphic>
          </wp:inline>
        </w:drawing>
      </w:r>
    </w:p>
    <w:p w:rsidR="003804AC" w:rsidRPr="002A4545" w:rsidRDefault="00AF18A5" w:rsidP="002A4545">
      <w:r w:rsidRPr="002A4545">
        <w:lastRenderedPageBreak/>
        <w:t>Fuente: elaboración propia con datos del Observatorio de Memoria y Conflicto del CNMH.</w:t>
      </w:r>
    </w:p>
    <w:p w:rsidR="003804AC" w:rsidRDefault="00AF18A5" w:rsidP="00A60635">
      <w:r>
        <w:t>Además</w:t>
      </w:r>
      <w:r>
        <w:rPr>
          <w:spacing w:val="-3"/>
        </w:rPr>
        <w:t xml:space="preserve"> </w:t>
      </w:r>
      <w:r>
        <w:t>de</w:t>
      </w:r>
      <w:r>
        <w:rPr>
          <w:spacing w:val="-4"/>
        </w:rPr>
        <w:t xml:space="preserve"> </w:t>
      </w:r>
      <w:r>
        <w:t>las</w:t>
      </w:r>
      <w:r>
        <w:rPr>
          <w:spacing w:val="-3"/>
        </w:rPr>
        <w:t xml:space="preserve"> </w:t>
      </w:r>
      <w:r>
        <w:t>estrategias</w:t>
      </w:r>
      <w:r>
        <w:rPr>
          <w:spacing w:val="-3"/>
        </w:rPr>
        <w:t xml:space="preserve"> </w:t>
      </w:r>
      <w:r>
        <w:t>que</w:t>
      </w:r>
      <w:r>
        <w:rPr>
          <w:spacing w:val="-3"/>
        </w:rPr>
        <w:t xml:space="preserve"> </w:t>
      </w:r>
      <w:r>
        <w:t>buscaban</w:t>
      </w:r>
      <w:r>
        <w:rPr>
          <w:spacing w:val="-3"/>
        </w:rPr>
        <w:t xml:space="preserve"> </w:t>
      </w:r>
      <w:r>
        <w:t>engendrar</w:t>
      </w:r>
      <w:r>
        <w:rPr>
          <w:spacing w:val="-3"/>
        </w:rPr>
        <w:t xml:space="preserve"> </w:t>
      </w:r>
      <w:r>
        <w:t>terror</w:t>
      </w:r>
      <w:r>
        <w:rPr>
          <w:spacing w:val="-3"/>
        </w:rPr>
        <w:t xml:space="preserve"> </w:t>
      </w:r>
      <w:r>
        <w:t>y</w:t>
      </w:r>
      <w:r>
        <w:rPr>
          <w:spacing w:val="-3"/>
        </w:rPr>
        <w:t xml:space="preserve"> </w:t>
      </w:r>
      <w:r>
        <w:t>dar</w:t>
      </w:r>
      <w:r>
        <w:rPr>
          <w:spacing w:val="-4"/>
        </w:rPr>
        <w:t xml:space="preserve"> </w:t>
      </w:r>
      <w:r>
        <w:t>visibilidad</w:t>
      </w:r>
      <w:r>
        <w:rPr>
          <w:spacing w:val="-5"/>
        </w:rPr>
        <w:t xml:space="preserve"> </w:t>
      </w:r>
      <w:r>
        <w:t>a</w:t>
      </w:r>
      <w:r>
        <w:rPr>
          <w:spacing w:val="-3"/>
        </w:rPr>
        <w:t xml:space="preserve"> </w:t>
      </w:r>
      <w:r>
        <w:t>su</w:t>
      </w:r>
      <w:r>
        <w:rPr>
          <w:spacing w:val="-4"/>
        </w:rPr>
        <w:t xml:space="preserve"> </w:t>
      </w:r>
      <w:r>
        <w:t>violencia,</w:t>
      </w:r>
      <w:r>
        <w:rPr>
          <w:spacing w:val="-3"/>
        </w:rPr>
        <w:t xml:space="preserve"> </w:t>
      </w:r>
      <w:r>
        <w:t>los grupos paramilitares trataron de moldear o generar formas de control social autoritarias, en función de las diferentes fases de la guerra o de los territorios del país adonde llegaron o se afianzaron. Si bien durante una fase del conflicto sus estrategias fueron los ataques directos para generar parálisis en las comunidades, su estrategia se dirigió también hacia nuevas formas</w:t>
      </w:r>
      <w:r>
        <w:rPr>
          <w:spacing w:val="-3"/>
        </w:rPr>
        <w:t xml:space="preserve"> </w:t>
      </w:r>
      <w:r>
        <w:t>de</w:t>
      </w:r>
      <w:r>
        <w:rPr>
          <w:spacing w:val="-1"/>
        </w:rPr>
        <w:t xml:space="preserve"> </w:t>
      </w:r>
      <w:r>
        <w:t>control</w:t>
      </w:r>
      <w:r>
        <w:rPr>
          <w:spacing w:val="-1"/>
        </w:rPr>
        <w:t xml:space="preserve"> </w:t>
      </w:r>
      <w:r>
        <w:t>social</w:t>
      </w:r>
      <w:r>
        <w:rPr>
          <w:spacing w:val="-2"/>
        </w:rPr>
        <w:t xml:space="preserve"> </w:t>
      </w:r>
      <w:r>
        <w:t>basadas</w:t>
      </w:r>
      <w:r>
        <w:rPr>
          <w:spacing w:val="-1"/>
        </w:rPr>
        <w:t xml:space="preserve"> </w:t>
      </w:r>
      <w:r>
        <w:t>en</w:t>
      </w:r>
      <w:r>
        <w:rPr>
          <w:spacing w:val="-2"/>
        </w:rPr>
        <w:t xml:space="preserve"> </w:t>
      </w:r>
      <w:r>
        <w:t>su</w:t>
      </w:r>
      <w:r>
        <w:rPr>
          <w:spacing w:val="-2"/>
        </w:rPr>
        <w:t xml:space="preserve"> </w:t>
      </w:r>
      <w:r>
        <w:t>poder</w:t>
      </w:r>
      <w:r>
        <w:rPr>
          <w:spacing w:val="-1"/>
        </w:rPr>
        <w:t xml:space="preserve"> </w:t>
      </w:r>
      <w:r>
        <w:t>de</w:t>
      </w:r>
      <w:r>
        <w:rPr>
          <w:spacing w:val="-2"/>
        </w:rPr>
        <w:t xml:space="preserve"> </w:t>
      </w:r>
      <w:r>
        <w:t>coacción o</w:t>
      </w:r>
      <w:r>
        <w:rPr>
          <w:spacing w:val="-3"/>
        </w:rPr>
        <w:t xml:space="preserve"> </w:t>
      </w:r>
      <w:r>
        <w:t>en</w:t>
      </w:r>
      <w:r>
        <w:rPr>
          <w:spacing w:val="-1"/>
        </w:rPr>
        <w:t xml:space="preserve"> </w:t>
      </w:r>
      <w:r>
        <w:t>la</w:t>
      </w:r>
      <w:r>
        <w:rPr>
          <w:spacing w:val="-1"/>
        </w:rPr>
        <w:t xml:space="preserve"> </w:t>
      </w:r>
      <w:r>
        <w:t>normalización</w:t>
      </w:r>
      <w:r>
        <w:rPr>
          <w:spacing w:val="-1"/>
        </w:rPr>
        <w:t xml:space="preserve"> </w:t>
      </w:r>
      <w:r>
        <w:t>de</w:t>
      </w:r>
      <w:r>
        <w:rPr>
          <w:spacing w:val="-1"/>
        </w:rPr>
        <w:t xml:space="preserve"> </w:t>
      </w:r>
      <w:r>
        <w:rPr>
          <w:spacing w:val="-2"/>
        </w:rPr>
        <w:t>accionar.</w:t>
      </w:r>
    </w:p>
    <w:p w:rsidR="003804AC" w:rsidRDefault="00AF18A5" w:rsidP="00A60635">
      <w:r>
        <w:t>Por</w:t>
      </w:r>
      <w:r>
        <w:rPr>
          <w:spacing w:val="-13"/>
        </w:rPr>
        <w:t xml:space="preserve"> </w:t>
      </w:r>
      <w:r>
        <w:t>ejemplo,</w:t>
      </w:r>
      <w:r>
        <w:rPr>
          <w:spacing w:val="-14"/>
        </w:rPr>
        <w:t xml:space="preserve"> </w:t>
      </w:r>
      <w:r>
        <w:t>se</w:t>
      </w:r>
      <w:r>
        <w:rPr>
          <w:spacing w:val="-13"/>
        </w:rPr>
        <w:t xml:space="preserve"> </w:t>
      </w:r>
      <w:r>
        <w:t>dio</w:t>
      </w:r>
      <w:r>
        <w:rPr>
          <w:spacing w:val="-13"/>
        </w:rPr>
        <w:t xml:space="preserve"> </w:t>
      </w:r>
      <w:r>
        <w:t>la</w:t>
      </w:r>
      <w:r>
        <w:rPr>
          <w:spacing w:val="-13"/>
        </w:rPr>
        <w:t xml:space="preserve"> </w:t>
      </w:r>
      <w:r>
        <w:t>creación</w:t>
      </w:r>
      <w:r>
        <w:rPr>
          <w:spacing w:val="-13"/>
        </w:rPr>
        <w:t xml:space="preserve"> </w:t>
      </w:r>
      <w:r>
        <w:t>de</w:t>
      </w:r>
      <w:r>
        <w:rPr>
          <w:spacing w:val="-13"/>
        </w:rPr>
        <w:t xml:space="preserve"> </w:t>
      </w:r>
      <w:r>
        <w:t>los</w:t>
      </w:r>
      <w:r>
        <w:rPr>
          <w:spacing w:val="-14"/>
        </w:rPr>
        <w:t xml:space="preserve"> </w:t>
      </w:r>
      <w:r>
        <w:t>Promotores</w:t>
      </w:r>
      <w:r>
        <w:rPr>
          <w:spacing w:val="-14"/>
        </w:rPr>
        <w:t xml:space="preserve"> </w:t>
      </w:r>
      <w:r>
        <w:t>de</w:t>
      </w:r>
      <w:r>
        <w:rPr>
          <w:spacing w:val="-13"/>
        </w:rPr>
        <w:t xml:space="preserve"> </w:t>
      </w:r>
      <w:r>
        <w:t>Desarrollo</w:t>
      </w:r>
      <w:r>
        <w:rPr>
          <w:spacing w:val="-13"/>
        </w:rPr>
        <w:t xml:space="preserve"> </w:t>
      </w:r>
      <w:r>
        <w:t>Social</w:t>
      </w:r>
      <w:r>
        <w:rPr>
          <w:spacing w:val="-14"/>
        </w:rPr>
        <w:t xml:space="preserve"> </w:t>
      </w:r>
      <w:r>
        <w:t>(PDS)</w:t>
      </w:r>
      <w:r>
        <w:rPr>
          <w:spacing w:val="-13"/>
        </w:rPr>
        <w:t xml:space="preserve"> </w:t>
      </w:r>
      <w:r>
        <w:t>en</w:t>
      </w:r>
      <w:r>
        <w:rPr>
          <w:spacing w:val="-13"/>
        </w:rPr>
        <w:t xml:space="preserve"> </w:t>
      </w:r>
      <w:r>
        <w:t>el</w:t>
      </w:r>
      <w:r>
        <w:rPr>
          <w:spacing w:val="-13"/>
        </w:rPr>
        <w:t xml:space="preserve"> </w:t>
      </w:r>
      <w:r>
        <w:t xml:space="preserve">Bloque </w:t>
      </w:r>
      <w:proofErr w:type="spellStart"/>
      <w:r>
        <w:t>Élmer</w:t>
      </w:r>
      <w:proofErr w:type="spellEnd"/>
      <w:r>
        <w:t xml:space="preserve"> Cárdenas de las AUC para intentar crear una suerte de institucionalización de los programas sociales del grupo paramilitar</w:t>
      </w:r>
      <w:r w:rsidR="00A60635">
        <w:rPr>
          <w:rStyle w:val="Refdenotaalpie"/>
        </w:rPr>
        <w:footnoteReference w:id="408"/>
      </w:r>
      <w:r>
        <w:t>. Estas formas de control social, según una sentencia de Justicia y Paz, llegaron a monopolizar mecanismos de participación ciudadana que quedaron bajo su control:</w:t>
      </w:r>
    </w:p>
    <w:p w:rsidR="003804AC" w:rsidRDefault="00AF18A5" w:rsidP="00A60635">
      <w:r>
        <w:t>Con</w:t>
      </w:r>
      <w:r>
        <w:rPr>
          <w:spacing w:val="-6"/>
        </w:rPr>
        <w:t xml:space="preserve"> </w:t>
      </w:r>
      <w:r>
        <w:t>esta</w:t>
      </w:r>
      <w:r>
        <w:rPr>
          <w:spacing w:val="-7"/>
        </w:rPr>
        <w:t xml:space="preserve"> </w:t>
      </w:r>
      <w:r>
        <w:t>estrategia,</w:t>
      </w:r>
      <w:r>
        <w:rPr>
          <w:spacing w:val="-7"/>
        </w:rPr>
        <w:t xml:space="preserve"> </w:t>
      </w:r>
      <w:r>
        <w:t>el</w:t>
      </w:r>
      <w:r>
        <w:rPr>
          <w:spacing w:val="-7"/>
        </w:rPr>
        <w:t xml:space="preserve"> </w:t>
      </w:r>
      <w:r>
        <w:t>Bloque</w:t>
      </w:r>
      <w:r>
        <w:rPr>
          <w:spacing w:val="-7"/>
        </w:rPr>
        <w:t xml:space="preserve"> </w:t>
      </w:r>
      <w:r>
        <w:t>copó</w:t>
      </w:r>
      <w:r>
        <w:rPr>
          <w:spacing w:val="-6"/>
        </w:rPr>
        <w:t xml:space="preserve"> </w:t>
      </w:r>
      <w:r>
        <w:t>buena</w:t>
      </w:r>
      <w:r>
        <w:rPr>
          <w:spacing w:val="-7"/>
        </w:rPr>
        <w:t xml:space="preserve"> </w:t>
      </w:r>
      <w:r>
        <w:t>parte</w:t>
      </w:r>
      <w:r>
        <w:rPr>
          <w:spacing w:val="-7"/>
        </w:rPr>
        <w:t xml:space="preserve"> </w:t>
      </w:r>
      <w:r>
        <w:t>de</w:t>
      </w:r>
      <w:r>
        <w:rPr>
          <w:spacing w:val="-7"/>
        </w:rPr>
        <w:t xml:space="preserve"> </w:t>
      </w:r>
      <w:r>
        <w:t>la</w:t>
      </w:r>
      <w:r>
        <w:rPr>
          <w:spacing w:val="-7"/>
        </w:rPr>
        <w:t xml:space="preserve"> </w:t>
      </w:r>
      <w:r>
        <w:t>vida</w:t>
      </w:r>
      <w:r>
        <w:rPr>
          <w:spacing w:val="-7"/>
        </w:rPr>
        <w:t xml:space="preserve"> </w:t>
      </w:r>
      <w:r>
        <w:t>social</w:t>
      </w:r>
      <w:r>
        <w:rPr>
          <w:spacing w:val="-7"/>
        </w:rPr>
        <w:t xml:space="preserve"> </w:t>
      </w:r>
      <w:r>
        <w:t>de</w:t>
      </w:r>
      <w:r>
        <w:rPr>
          <w:spacing w:val="-7"/>
        </w:rPr>
        <w:t xml:space="preserve"> </w:t>
      </w:r>
      <w:r>
        <w:t>la</w:t>
      </w:r>
      <w:r>
        <w:rPr>
          <w:spacing w:val="-7"/>
        </w:rPr>
        <w:t xml:space="preserve"> </w:t>
      </w:r>
      <w:r>
        <w:t>zona</w:t>
      </w:r>
      <w:r>
        <w:rPr>
          <w:spacing w:val="-7"/>
        </w:rPr>
        <w:t xml:space="preserve"> </w:t>
      </w:r>
      <w:r>
        <w:t>sobre</w:t>
      </w:r>
      <w:r>
        <w:rPr>
          <w:spacing w:val="-7"/>
        </w:rPr>
        <w:t xml:space="preserve"> </w:t>
      </w:r>
      <w:r>
        <w:t>la</w:t>
      </w:r>
      <w:r>
        <w:rPr>
          <w:spacing w:val="-7"/>
        </w:rPr>
        <w:t xml:space="preserve"> </w:t>
      </w:r>
      <w:r>
        <w:t>que</w:t>
      </w:r>
      <w:r>
        <w:rPr>
          <w:spacing w:val="-7"/>
        </w:rPr>
        <w:t xml:space="preserve"> </w:t>
      </w:r>
      <w:r>
        <w:t xml:space="preserve">ejercía </w:t>
      </w:r>
      <w:r>
        <w:rPr>
          <w:spacing w:val="-2"/>
        </w:rPr>
        <w:t>influencia, monopolizando</w:t>
      </w:r>
      <w:r>
        <w:rPr>
          <w:spacing w:val="-3"/>
        </w:rPr>
        <w:t xml:space="preserve"> </w:t>
      </w:r>
      <w:r>
        <w:rPr>
          <w:spacing w:val="-2"/>
        </w:rPr>
        <w:t>los</w:t>
      </w:r>
      <w:r>
        <w:rPr>
          <w:spacing w:val="-3"/>
        </w:rPr>
        <w:t xml:space="preserve"> </w:t>
      </w:r>
      <w:r>
        <w:rPr>
          <w:spacing w:val="-2"/>
        </w:rPr>
        <w:t>mecanismos</w:t>
      </w:r>
      <w:r>
        <w:rPr>
          <w:spacing w:val="-3"/>
        </w:rPr>
        <w:t xml:space="preserve"> </w:t>
      </w:r>
      <w:r>
        <w:rPr>
          <w:spacing w:val="-2"/>
        </w:rPr>
        <w:t>de</w:t>
      </w:r>
      <w:r>
        <w:rPr>
          <w:spacing w:val="-3"/>
        </w:rPr>
        <w:t xml:space="preserve"> </w:t>
      </w:r>
      <w:r>
        <w:rPr>
          <w:spacing w:val="-2"/>
        </w:rPr>
        <w:t>participación ciudadana, con las</w:t>
      </w:r>
      <w:r>
        <w:rPr>
          <w:spacing w:val="-3"/>
        </w:rPr>
        <w:t xml:space="preserve"> </w:t>
      </w:r>
      <w:r>
        <w:rPr>
          <w:spacing w:val="-2"/>
        </w:rPr>
        <w:t>juntas</w:t>
      </w:r>
      <w:r>
        <w:rPr>
          <w:spacing w:val="-3"/>
        </w:rPr>
        <w:t xml:space="preserve"> </w:t>
      </w:r>
      <w:r>
        <w:rPr>
          <w:spacing w:val="-2"/>
        </w:rPr>
        <w:t>de</w:t>
      </w:r>
      <w:r>
        <w:rPr>
          <w:spacing w:val="-3"/>
        </w:rPr>
        <w:t xml:space="preserve"> </w:t>
      </w:r>
      <w:r>
        <w:rPr>
          <w:spacing w:val="-2"/>
        </w:rPr>
        <w:t xml:space="preserve">acción </w:t>
      </w:r>
      <w:r>
        <w:t xml:space="preserve">comunal, formadas por </w:t>
      </w:r>
      <w:r>
        <w:lastRenderedPageBreak/>
        <w:t>el mismo Bloque, como con la Asociación Comunitaria del Norte de Urabá y Occidente de Córdoba, que recibía recursos de cooperación extranjera, como con el apoyo</w:t>
      </w:r>
      <w:r>
        <w:rPr>
          <w:spacing w:val="-3"/>
        </w:rPr>
        <w:t xml:space="preserve"> </w:t>
      </w:r>
      <w:r>
        <w:t>a</w:t>
      </w:r>
      <w:r>
        <w:rPr>
          <w:spacing w:val="-4"/>
        </w:rPr>
        <w:t xml:space="preserve"> </w:t>
      </w:r>
      <w:r>
        <w:t>los</w:t>
      </w:r>
      <w:r>
        <w:rPr>
          <w:spacing w:val="-4"/>
        </w:rPr>
        <w:t xml:space="preserve"> </w:t>
      </w:r>
      <w:r>
        <w:t>representantes</w:t>
      </w:r>
      <w:r>
        <w:rPr>
          <w:spacing w:val="-2"/>
        </w:rPr>
        <w:t xml:space="preserve"> </w:t>
      </w:r>
      <w:r>
        <w:t>de</w:t>
      </w:r>
      <w:r>
        <w:rPr>
          <w:spacing w:val="-4"/>
        </w:rPr>
        <w:t xml:space="preserve"> </w:t>
      </w:r>
      <w:r>
        <w:t>la</w:t>
      </w:r>
      <w:r>
        <w:rPr>
          <w:spacing w:val="-4"/>
        </w:rPr>
        <w:t xml:space="preserve"> </w:t>
      </w:r>
      <w:r>
        <w:t>región</w:t>
      </w:r>
      <w:r>
        <w:rPr>
          <w:spacing w:val="-3"/>
        </w:rPr>
        <w:t xml:space="preserve"> </w:t>
      </w:r>
      <w:r>
        <w:t>en</w:t>
      </w:r>
      <w:r>
        <w:rPr>
          <w:spacing w:val="-3"/>
        </w:rPr>
        <w:t xml:space="preserve"> </w:t>
      </w:r>
      <w:r>
        <w:t>los</w:t>
      </w:r>
      <w:r>
        <w:rPr>
          <w:spacing w:val="-4"/>
        </w:rPr>
        <w:t xml:space="preserve"> </w:t>
      </w:r>
      <w:r>
        <w:t>órganos</w:t>
      </w:r>
      <w:r>
        <w:rPr>
          <w:spacing w:val="-5"/>
        </w:rPr>
        <w:t xml:space="preserve"> </w:t>
      </w:r>
      <w:r>
        <w:t>colegiados</w:t>
      </w:r>
      <w:r>
        <w:rPr>
          <w:spacing w:val="-4"/>
        </w:rPr>
        <w:t xml:space="preserve"> </w:t>
      </w:r>
      <w:r>
        <w:t>nacionales;</w:t>
      </w:r>
      <w:r>
        <w:rPr>
          <w:spacing w:val="-3"/>
        </w:rPr>
        <w:t xml:space="preserve"> </w:t>
      </w:r>
      <w:r>
        <w:t>así</w:t>
      </w:r>
      <w:r>
        <w:rPr>
          <w:spacing w:val="-1"/>
        </w:rPr>
        <w:t xml:space="preserve"> </w:t>
      </w:r>
      <w:r>
        <w:t>como</w:t>
      </w:r>
      <w:r>
        <w:rPr>
          <w:spacing w:val="-3"/>
        </w:rPr>
        <w:t xml:space="preserve"> </w:t>
      </w:r>
      <w:r>
        <w:t>con</w:t>
      </w:r>
      <w:r>
        <w:rPr>
          <w:spacing w:val="-3"/>
        </w:rPr>
        <w:t xml:space="preserve"> </w:t>
      </w:r>
      <w:r>
        <w:t>las alcaldías y concejos municipales</w:t>
      </w:r>
      <w:r w:rsidR="00A60635">
        <w:rPr>
          <w:rStyle w:val="Refdenotaalpie"/>
        </w:rPr>
        <w:footnoteReference w:id="409"/>
      </w:r>
      <w:r>
        <w:t>.</w:t>
      </w:r>
    </w:p>
    <w:p w:rsidR="003804AC" w:rsidRPr="00A60635" w:rsidRDefault="00AF18A5" w:rsidP="00A60635">
      <w:r>
        <w:t xml:space="preserve">Esta convivencia de control paramilitar en zonas donde funciona una institucionalidad </w:t>
      </w:r>
      <w:r>
        <w:rPr>
          <w:spacing w:val="-2"/>
        </w:rPr>
        <w:t>aparentemente</w:t>
      </w:r>
      <w:r>
        <w:rPr>
          <w:spacing w:val="-4"/>
        </w:rPr>
        <w:t xml:space="preserve"> </w:t>
      </w:r>
      <w:r>
        <w:rPr>
          <w:spacing w:val="-2"/>
        </w:rPr>
        <w:t>normal,</w:t>
      </w:r>
      <w:r>
        <w:rPr>
          <w:spacing w:val="-4"/>
        </w:rPr>
        <w:t xml:space="preserve"> </w:t>
      </w:r>
      <w:r>
        <w:rPr>
          <w:spacing w:val="-2"/>
        </w:rPr>
        <w:t>con</w:t>
      </w:r>
      <w:r>
        <w:rPr>
          <w:spacing w:val="-4"/>
        </w:rPr>
        <w:t xml:space="preserve"> </w:t>
      </w:r>
      <w:r>
        <w:rPr>
          <w:spacing w:val="-2"/>
        </w:rPr>
        <w:t>presencia</w:t>
      </w:r>
      <w:r>
        <w:rPr>
          <w:spacing w:val="-5"/>
        </w:rPr>
        <w:t xml:space="preserve"> </w:t>
      </w:r>
      <w:r>
        <w:rPr>
          <w:spacing w:val="-2"/>
        </w:rPr>
        <w:t>de</w:t>
      </w:r>
      <w:r>
        <w:rPr>
          <w:spacing w:val="-4"/>
        </w:rPr>
        <w:t xml:space="preserve"> </w:t>
      </w:r>
      <w:r>
        <w:rPr>
          <w:spacing w:val="-2"/>
        </w:rPr>
        <w:t>instituciones</w:t>
      </w:r>
      <w:r>
        <w:rPr>
          <w:spacing w:val="-4"/>
        </w:rPr>
        <w:t xml:space="preserve"> </w:t>
      </w:r>
      <w:r>
        <w:rPr>
          <w:spacing w:val="-2"/>
        </w:rPr>
        <w:t>del</w:t>
      </w:r>
      <w:r>
        <w:rPr>
          <w:spacing w:val="-5"/>
        </w:rPr>
        <w:t xml:space="preserve"> </w:t>
      </w:r>
      <w:r>
        <w:rPr>
          <w:spacing w:val="-2"/>
        </w:rPr>
        <w:t>Estado,</w:t>
      </w:r>
      <w:r>
        <w:rPr>
          <w:spacing w:val="-4"/>
        </w:rPr>
        <w:t xml:space="preserve"> </w:t>
      </w:r>
      <w:r>
        <w:rPr>
          <w:spacing w:val="-2"/>
        </w:rPr>
        <w:t>entre</w:t>
      </w:r>
      <w:r>
        <w:rPr>
          <w:spacing w:val="-4"/>
        </w:rPr>
        <w:t xml:space="preserve"> </w:t>
      </w:r>
      <w:r>
        <w:rPr>
          <w:spacing w:val="-2"/>
        </w:rPr>
        <w:t>ellas</w:t>
      </w:r>
      <w:r>
        <w:rPr>
          <w:spacing w:val="-4"/>
        </w:rPr>
        <w:t xml:space="preserve"> </w:t>
      </w:r>
      <w:r>
        <w:rPr>
          <w:spacing w:val="-2"/>
        </w:rPr>
        <w:t>la</w:t>
      </w:r>
      <w:r>
        <w:rPr>
          <w:spacing w:val="-5"/>
        </w:rPr>
        <w:t xml:space="preserve"> </w:t>
      </w:r>
      <w:r>
        <w:rPr>
          <w:spacing w:val="-2"/>
        </w:rPr>
        <w:t>fuerza</w:t>
      </w:r>
      <w:r>
        <w:rPr>
          <w:spacing w:val="-4"/>
        </w:rPr>
        <w:t xml:space="preserve"> </w:t>
      </w:r>
      <w:r>
        <w:rPr>
          <w:spacing w:val="-2"/>
        </w:rPr>
        <w:t xml:space="preserve">pública, </w:t>
      </w:r>
      <w:r>
        <w:t>es</w:t>
      </w:r>
      <w:r>
        <w:rPr>
          <w:spacing w:val="-9"/>
        </w:rPr>
        <w:t xml:space="preserve"> </w:t>
      </w:r>
      <w:r>
        <w:t>un</w:t>
      </w:r>
      <w:r>
        <w:rPr>
          <w:spacing w:val="-10"/>
        </w:rPr>
        <w:t xml:space="preserve"> </w:t>
      </w:r>
      <w:r>
        <w:t>desafío</w:t>
      </w:r>
      <w:r>
        <w:rPr>
          <w:spacing w:val="-10"/>
        </w:rPr>
        <w:t xml:space="preserve"> </w:t>
      </w:r>
      <w:r>
        <w:t>actual</w:t>
      </w:r>
      <w:r>
        <w:rPr>
          <w:spacing w:val="-9"/>
        </w:rPr>
        <w:t xml:space="preserve"> </w:t>
      </w:r>
      <w:r>
        <w:t>para</w:t>
      </w:r>
      <w:r>
        <w:rPr>
          <w:spacing w:val="-11"/>
        </w:rPr>
        <w:t xml:space="preserve"> </w:t>
      </w:r>
      <w:r>
        <w:t>la</w:t>
      </w:r>
      <w:r>
        <w:rPr>
          <w:spacing w:val="-9"/>
        </w:rPr>
        <w:t xml:space="preserve"> </w:t>
      </w:r>
      <w:r>
        <w:t>construcción</w:t>
      </w:r>
      <w:r>
        <w:rPr>
          <w:spacing w:val="-10"/>
        </w:rPr>
        <w:t xml:space="preserve"> </w:t>
      </w:r>
      <w:r>
        <w:t>de</w:t>
      </w:r>
      <w:r>
        <w:rPr>
          <w:spacing w:val="-11"/>
        </w:rPr>
        <w:t xml:space="preserve"> </w:t>
      </w:r>
      <w:r>
        <w:t>la</w:t>
      </w:r>
      <w:r>
        <w:rPr>
          <w:spacing w:val="-9"/>
        </w:rPr>
        <w:t xml:space="preserve"> </w:t>
      </w:r>
      <w:r>
        <w:t>democracia</w:t>
      </w:r>
      <w:r>
        <w:rPr>
          <w:spacing w:val="-11"/>
        </w:rPr>
        <w:t xml:space="preserve"> </w:t>
      </w:r>
      <w:r>
        <w:t>en</w:t>
      </w:r>
      <w:r>
        <w:rPr>
          <w:spacing w:val="-11"/>
        </w:rPr>
        <w:t xml:space="preserve"> </w:t>
      </w:r>
      <w:r>
        <w:t>Colombia</w:t>
      </w:r>
      <w:r>
        <w:rPr>
          <w:spacing w:val="-9"/>
        </w:rPr>
        <w:t xml:space="preserve"> </w:t>
      </w:r>
      <w:r>
        <w:t>porque</w:t>
      </w:r>
      <w:r>
        <w:rPr>
          <w:spacing w:val="-9"/>
        </w:rPr>
        <w:t xml:space="preserve"> </w:t>
      </w:r>
      <w:r>
        <w:t>aún</w:t>
      </w:r>
      <w:r>
        <w:rPr>
          <w:spacing w:val="-10"/>
        </w:rPr>
        <w:t xml:space="preserve"> </w:t>
      </w:r>
      <w:r>
        <w:t>hoy</w:t>
      </w:r>
      <w:r>
        <w:rPr>
          <w:spacing w:val="-10"/>
        </w:rPr>
        <w:t xml:space="preserve"> </w:t>
      </w:r>
      <w:r>
        <w:t>estos fenómenos siguen dándose. Las comunidades reguladas por el paramilitarismo han visto restringidos</w:t>
      </w:r>
      <w:r>
        <w:rPr>
          <w:spacing w:val="-15"/>
        </w:rPr>
        <w:t xml:space="preserve"> </w:t>
      </w:r>
      <w:r>
        <w:t>sus</w:t>
      </w:r>
      <w:r>
        <w:rPr>
          <w:spacing w:val="-15"/>
        </w:rPr>
        <w:t xml:space="preserve"> </w:t>
      </w:r>
      <w:r>
        <w:t>derechos</w:t>
      </w:r>
      <w:r>
        <w:rPr>
          <w:spacing w:val="-15"/>
        </w:rPr>
        <w:t xml:space="preserve"> </w:t>
      </w:r>
      <w:r>
        <w:t>sociales</w:t>
      </w:r>
      <w:r>
        <w:rPr>
          <w:spacing w:val="-14"/>
        </w:rPr>
        <w:t xml:space="preserve"> </w:t>
      </w:r>
      <w:r>
        <w:t>y</w:t>
      </w:r>
      <w:r>
        <w:rPr>
          <w:spacing w:val="-14"/>
        </w:rPr>
        <w:t xml:space="preserve"> </w:t>
      </w:r>
      <w:r>
        <w:t>políticos,</w:t>
      </w:r>
      <w:r>
        <w:rPr>
          <w:spacing w:val="-14"/>
        </w:rPr>
        <w:t xml:space="preserve"> </w:t>
      </w:r>
      <w:r>
        <w:t>con</w:t>
      </w:r>
      <w:r>
        <w:rPr>
          <w:spacing w:val="-15"/>
        </w:rPr>
        <w:t xml:space="preserve"> </w:t>
      </w:r>
      <w:r>
        <w:t>el</w:t>
      </w:r>
      <w:r>
        <w:rPr>
          <w:spacing w:val="-14"/>
        </w:rPr>
        <w:t xml:space="preserve"> </w:t>
      </w:r>
      <w:r>
        <w:t>constreñimiento</w:t>
      </w:r>
      <w:r>
        <w:rPr>
          <w:spacing w:val="-14"/>
        </w:rPr>
        <w:t xml:space="preserve"> </w:t>
      </w:r>
      <w:r>
        <w:t>radical</w:t>
      </w:r>
      <w:r>
        <w:rPr>
          <w:spacing w:val="-14"/>
        </w:rPr>
        <w:t xml:space="preserve"> </w:t>
      </w:r>
      <w:r>
        <w:t>sobre</w:t>
      </w:r>
      <w:r>
        <w:rPr>
          <w:spacing w:val="-14"/>
        </w:rPr>
        <w:t xml:space="preserve"> </w:t>
      </w:r>
      <w:r>
        <w:t>cuestiones como</w:t>
      </w:r>
      <w:r>
        <w:rPr>
          <w:spacing w:val="24"/>
        </w:rPr>
        <w:t xml:space="preserve"> </w:t>
      </w:r>
      <w:r>
        <w:t>entrar</w:t>
      </w:r>
      <w:r>
        <w:rPr>
          <w:spacing w:val="25"/>
        </w:rPr>
        <w:t xml:space="preserve"> </w:t>
      </w:r>
      <w:r>
        <w:t>o</w:t>
      </w:r>
      <w:r>
        <w:rPr>
          <w:spacing w:val="26"/>
        </w:rPr>
        <w:t xml:space="preserve"> </w:t>
      </w:r>
      <w:r>
        <w:t>salir</w:t>
      </w:r>
      <w:r>
        <w:rPr>
          <w:spacing w:val="25"/>
        </w:rPr>
        <w:t xml:space="preserve"> </w:t>
      </w:r>
      <w:r>
        <w:t>de</w:t>
      </w:r>
      <w:r>
        <w:rPr>
          <w:spacing w:val="26"/>
        </w:rPr>
        <w:t xml:space="preserve"> </w:t>
      </w:r>
      <w:r>
        <w:t>su</w:t>
      </w:r>
      <w:r>
        <w:rPr>
          <w:spacing w:val="26"/>
        </w:rPr>
        <w:t xml:space="preserve"> </w:t>
      </w:r>
      <w:r>
        <w:t>comunidad,</w:t>
      </w:r>
      <w:r>
        <w:rPr>
          <w:spacing w:val="26"/>
        </w:rPr>
        <w:t xml:space="preserve"> </w:t>
      </w:r>
      <w:r>
        <w:t>hablar</w:t>
      </w:r>
      <w:r>
        <w:rPr>
          <w:spacing w:val="27"/>
        </w:rPr>
        <w:t xml:space="preserve"> </w:t>
      </w:r>
      <w:r>
        <w:t>de</w:t>
      </w:r>
      <w:r>
        <w:rPr>
          <w:spacing w:val="25"/>
        </w:rPr>
        <w:t xml:space="preserve"> </w:t>
      </w:r>
      <w:r>
        <w:t>temas</w:t>
      </w:r>
      <w:r>
        <w:rPr>
          <w:spacing w:val="27"/>
        </w:rPr>
        <w:t xml:space="preserve"> </w:t>
      </w:r>
      <w:r>
        <w:t>vetados</w:t>
      </w:r>
      <w:r>
        <w:rPr>
          <w:spacing w:val="26"/>
        </w:rPr>
        <w:t xml:space="preserve"> </w:t>
      </w:r>
      <w:r>
        <w:t>por</w:t>
      </w:r>
      <w:r>
        <w:rPr>
          <w:spacing w:val="27"/>
        </w:rPr>
        <w:t xml:space="preserve"> </w:t>
      </w:r>
      <w:r>
        <w:t>su</w:t>
      </w:r>
      <w:r>
        <w:rPr>
          <w:spacing w:val="24"/>
        </w:rPr>
        <w:t xml:space="preserve"> </w:t>
      </w:r>
      <w:r>
        <w:t>poder</w:t>
      </w:r>
      <w:r>
        <w:rPr>
          <w:spacing w:val="27"/>
        </w:rPr>
        <w:t xml:space="preserve"> </w:t>
      </w:r>
      <w:r>
        <w:t>de</w:t>
      </w:r>
      <w:r>
        <w:rPr>
          <w:spacing w:val="26"/>
        </w:rPr>
        <w:t xml:space="preserve"> </w:t>
      </w:r>
      <w:r>
        <w:rPr>
          <w:spacing w:val="-2"/>
        </w:rPr>
        <w:t>coacción,</w:t>
      </w:r>
      <w:bookmarkStart w:id="560" w:name="_bookmark459"/>
      <w:bookmarkStart w:id="561" w:name="_bookmark460"/>
      <w:bookmarkEnd w:id="560"/>
      <w:bookmarkEnd w:id="561"/>
      <w:r w:rsidR="00A60635">
        <w:rPr>
          <w:spacing w:val="-2"/>
        </w:rPr>
        <w:t xml:space="preserve"> </w:t>
      </w:r>
      <w:r>
        <w:t>visitar</w:t>
      </w:r>
      <w:r>
        <w:rPr>
          <w:spacing w:val="-5"/>
        </w:rPr>
        <w:t xml:space="preserve"> </w:t>
      </w:r>
      <w:r>
        <w:t>lugares</w:t>
      </w:r>
      <w:r>
        <w:rPr>
          <w:spacing w:val="-4"/>
        </w:rPr>
        <w:t xml:space="preserve"> </w:t>
      </w:r>
      <w:r>
        <w:t>públicos,</w:t>
      </w:r>
      <w:r>
        <w:rPr>
          <w:spacing w:val="-6"/>
        </w:rPr>
        <w:t xml:space="preserve"> </w:t>
      </w:r>
      <w:r>
        <w:t>reunirse</w:t>
      </w:r>
      <w:r>
        <w:rPr>
          <w:spacing w:val="-5"/>
        </w:rPr>
        <w:t xml:space="preserve"> </w:t>
      </w:r>
      <w:r>
        <w:t>o</w:t>
      </w:r>
      <w:r>
        <w:rPr>
          <w:spacing w:val="-6"/>
        </w:rPr>
        <w:t xml:space="preserve"> </w:t>
      </w:r>
      <w:r>
        <w:t>comerciar,</w:t>
      </w:r>
      <w:r>
        <w:rPr>
          <w:spacing w:val="-6"/>
        </w:rPr>
        <w:t xml:space="preserve"> </w:t>
      </w:r>
      <w:r>
        <w:t>también</w:t>
      </w:r>
      <w:r>
        <w:rPr>
          <w:spacing w:val="-6"/>
        </w:rPr>
        <w:t xml:space="preserve"> </w:t>
      </w:r>
      <w:r>
        <w:t>en</w:t>
      </w:r>
      <w:r>
        <w:rPr>
          <w:spacing w:val="-5"/>
        </w:rPr>
        <w:t xml:space="preserve"> </w:t>
      </w:r>
      <w:r>
        <w:t>las</w:t>
      </w:r>
      <w:r>
        <w:rPr>
          <w:spacing w:val="-6"/>
        </w:rPr>
        <w:t xml:space="preserve"> </w:t>
      </w:r>
      <w:r>
        <w:t>formas</w:t>
      </w:r>
      <w:r>
        <w:rPr>
          <w:spacing w:val="-4"/>
        </w:rPr>
        <w:t xml:space="preserve"> </w:t>
      </w:r>
      <w:r>
        <w:t>de</w:t>
      </w:r>
      <w:r>
        <w:rPr>
          <w:spacing w:val="-6"/>
        </w:rPr>
        <w:t xml:space="preserve"> </w:t>
      </w:r>
      <w:r>
        <w:t>amar,</w:t>
      </w:r>
      <w:r>
        <w:rPr>
          <w:spacing w:val="-6"/>
        </w:rPr>
        <w:t xml:space="preserve"> </w:t>
      </w:r>
      <w:r>
        <w:t>especialmente contra personas del colectivo LGBTIQ+. Las formas de supervivencia, permanencia o resistencia de la población han pasado por el silencio, la aceptación, la omisión y la tolerancia, y en otros casos por el respaldo. El apoyo a las formas de resistencia y reconocimiento de este papel activo de numerosas comunidades, así como el desmantelamiento de estos mecanismos de control, sigue siendo una tarea pendiente para la construcción de la paz.</w:t>
      </w:r>
    </w:p>
    <w:p w:rsidR="0011361F" w:rsidRDefault="00AF18A5" w:rsidP="004A6EF4">
      <w:pPr>
        <w:pStyle w:val="Ttulo3"/>
        <w:numPr>
          <w:ilvl w:val="1"/>
          <w:numId w:val="16"/>
        </w:numPr>
      </w:pPr>
      <w:bookmarkStart w:id="562" w:name="5.6._Las_profundas_alianzas_de_los_entra"/>
      <w:bookmarkStart w:id="563" w:name="_Toc112399597"/>
      <w:bookmarkEnd w:id="562"/>
      <w:r>
        <w:t>Las</w:t>
      </w:r>
      <w:r>
        <w:rPr>
          <w:spacing w:val="-4"/>
        </w:rPr>
        <w:t xml:space="preserve"> </w:t>
      </w:r>
      <w:r>
        <w:t>profundas</w:t>
      </w:r>
      <w:r>
        <w:rPr>
          <w:spacing w:val="-2"/>
        </w:rPr>
        <w:t xml:space="preserve"> </w:t>
      </w:r>
      <w:r>
        <w:t>alianzas</w:t>
      </w:r>
      <w:r>
        <w:rPr>
          <w:spacing w:val="-2"/>
        </w:rPr>
        <w:t xml:space="preserve"> </w:t>
      </w:r>
      <w:r>
        <w:t>de</w:t>
      </w:r>
      <w:r>
        <w:rPr>
          <w:spacing w:val="-2"/>
        </w:rPr>
        <w:t xml:space="preserve"> </w:t>
      </w:r>
      <w:r>
        <w:t>los</w:t>
      </w:r>
      <w:r>
        <w:rPr>
          <w:spacing w:val="-4"/>
        </w:rPr>
        <w:t xml:space="preserve"> </w:t>
      </w:r>
      <w:r>
        <w:t>entramados</w:t>
      </w:r>
      <w:r>
        <w:rPr>
          <w:spacing w:val="-3"/>
        </w:rPr>
        <w:t xml:space="preserve"> </w:t>
      </w:r>
      <w:r w:rsidRPr="00FC0E5A">
        <w:t>paramilitares</w:t>
      </w:r>
      <w:bookmarkEnd w:id="563"/>
    </w:p>
    <w:p w:rsidR="003804AC" w:rsidRDefault="00AF18A5" w:rsidP="008A0448">
      <w:r>
        <w:t xml:space="preserve">A pesar de la desmovilización colectiva de las AUC (2003-2006), en la que distintas estructuras paramilitares entregaron armas e iniciaron un proceso de reintegración a la vida civil, el paramilitarismo no es un </w:t>
      </w:r>
      <w:r>
        <w:lastRenderedPageBreak/>
        <w:t>problema del pasado. Al contrario, es un fenómeno que sigue vigente y que, alimentado por una multitud de factores, se constituye en uno de los obstáculos centrales para avanzar hacia un proyecto nacional de paz.</w:t>
      </w:r>
    </w:p>
    <w:p w:rsidR="003804AC" w:rsidRDefault="00AF18A5" w:rsidP="008A0448">
      <w:r>
        <w:t>Diversas medidas que se han tomado para desactivar el fenómeno paramilitar han sido saboteadas o han resultado insuficientes porque han estado dirigidas, de manera limitada, a la desarticulación del brazo armado</w:t>
      </w:r>
      <w:r>
        <w:rPr>
          <w:spacing w:val="-1"/>
        </w:rPr>
        <w:t xml:space="preserve"> </w:t>
      </w:r>
      <w:r>
        <w:t>a través de procesos</w:t>
      </w:r>
      <w:r>
        <w:rPr>
          <w:spacing w:val="-1"/>
        </w:rPr>
        <w:t xml:space="preserve"> </w:t>
      </w:r>
      <w:r>
        <w:t>de desarme y desmovilización. Sin embargo, se ha obviado que el fenómeno paramilitar desde los años ochenta se consolidó como una estrategia sostenida por una red de relaciones y alianzas entre diversos sectores políticos, económicos, militares y sociales, en un entramado del cual hay avances insuficientes</w:t>
      </w:r>
      <w:r>
        <w:rPr>
          <w:spacing w:val="-11"/>
        </w:rPr>
        <w:t xml:space="preserve"> </w:t>
      </w:r>
      <w:r>
        <w:t>en</w:t>
      </w:r>
      <w:r>
        <w:rPr>
          <w:spacing w:val="-11"/>
        </w:rPr>
        <w:t xml:space="preserve"> </w:t>
      </w:r>
      <w:r>
        <w:t>la</w:t>
      </w:r>
      <w:r>
        <w:rPr>
          <w:spacing w:val="-10"/>
        </w:rPr>
        <w:t xml:space="preserve"> </w:t>
      </w:r>
      <w:r>
        <w:t>investigación</w:t>
      </w:r>
      <w:r>
        <w:rPr>
          <w:spacing w:val="-11"/>
        </w:rPr>
        <w:t xml:space="preserve"> </w:t>
      </w:r>
      <w:r>
        <w:t>que</w:t>
      </w:r>
      <w:r>
        <w:rPr>
          <w:spacing w:val="-11"/>
        </w:rPr>
        <w:t xml:space="preserve"> </w:t>
      </w:r>
      <w:r>
        <w:t>se</w:t>
      </w:r>
      <w:r>
        <w:rPr>
          <w:spacing w:val="-10"/>
        </w:rPr>
        <w:t xml:space="preserve"> </w:t>
      </w:r>
      <w:r>
        <w:t>hizo</w:t>
      </w:r>
      <w:r>
        <w:rPr>
          <w:spacing w:val="-11"/>
        </w:rPr>
        <w:t xml:space="preserve"> </w:t>
      </w:r>
      <w:r>
        <w:t>sobre</w:t>
      </w:r>
      <w:r>
        <w:rPr>
          <w:spacing w:val="-12"/>
        </w:rPr>
        <w:t xml:space="preserve"> </w:t>
      </w:r>
      <w:r>
        <w:t>terceros</w:t>
      </w:r>
      <w:r>
        <w:rPr>
          <w:spacing w:val="-11"/>
        </w:rPr>
        <w:t xml:space="preserve"> </w:t>
      </w:r>
      <w:r>
        <w:t>implicados</w:t>
      </w:r>
      <w:r>
        <w:rPr>
          <w:spacing w:val="-11"/>
        </w:rPr>
        <w:t xml:space="preserve"> </w:t>
      </w:r>
      <w:r>
        <w:t>que</w:t>
      </w:r>
      <w:r>
        <w:rPr>
          <w:spacing w:val="-11"/>
        </w:rPr>
        <w:t xml:space="preserve"> </w:t>
      </w:r>
      <w:r>
        <w:t>se</w:t>
      </w:r>
      <w:r>
        <w:rPr>
          <w:spacing w:val="-10"/>
        </w:rPr>
        <w:t xml:space="preserve"> </w:t>
      </w:r>
      <w:r>
        <w:t>beneficiaron</w:t>
      </w:r>
      <w:r>
        <w:rPr>
          <w:spacing w:val="-11"/>
        </w:rPr>
        <w:t xml:space="preserve"> </w:t>
      </w:r>
      <w:r>
        <w:t>de las acciones paramilitares.</w:t>
      </w:r>
    </w:p>
    <w:p w:rsidR="003804AC" w:rsidRDefault="00AF18A5" w:rsidP="008A0448">
      <w:r>
        <w:t>El</w:t>
      </w:r>
      <w:r>
        <w:rPr>
          <w:spacing w:val="-11"/>
        </w:rPr>
        <w:t xml:space="preserve"> </w:t>
      </w:r>
      <w:r>
        <w:t>ejemplo</w:t>
      </w:r>
      <w:r>
        <w:rPr>
          <w:spacing w:val="-12"/>
        </w:rPr>
        <w:t xml:space="preserve"> </w:t>
      </w:r>
      <w:r>
        <w:t>de</w:t>
      </w:r>
      <w:r>
        <w:rPr>
          <w:spacing w:val="-12"/>
        </w:rPr>
        <w:t xml:space="preserve"> </w:t>
      </w:r>
      <w:r>
        <w:t>esta</w:t>
      </w:r>
      <w:r>
        <w:rPr>
          <w:spacing w:val="-12"/>
        </w:rPr>
        <w:t xml:space="preserve"> </w:t>
      </w:r>
      <w:r>
        <w:t>conformación</w:t>
      </w:r>
      <w:r>
        <w:rPr>
          <w:spacing w:val="-13"/>
        </w:rPr>
        <w:t xml:space="preserve"> </w:t>
      </w:r>
      <w:r>
        <w:t>de</w:t>
      </w:r>
      <w:r>
        <w:rPr>
          <w:spacing w:val="-13"/>
        </w:rPr>
        <w:t xml:space="preserve"> </w:t>
      </w:r>
      <w:r>
        <w:t>alianzas</w:t>
      </w:r>
      <w:r>
        <w:rPr>
          <w:spacing w:val="-13"/>
        </w:rPr>
        <w:t xml:space="preserve"> </w:t>
      </w:r>
      <w:r>
        <w:t>fue</w:t>
      </w:r>
      <w:r>
        <w:rPr>
          <w:spacing w:val="-13"/>
        </w:rPr>
        <w:t xml:space="preserve"> </w:t>
      </w:r>
      <w:r>
        <w:t>precisamente</w:t>
      </w:r>
      <w:r>
        <w:rPr>
          <w:spacing w:val="-13"/>
        </w:rPr>
        <w:t xml:space="preserve"> </w:t>
      </w:r>
      <w:r>
        <w:t>uno</w:t>
      </w:r>
      <w:r>
        <w:rPr>
          <w:spacing w:val="-12"/>
        </w:rPr>
        <w:t xml:space="preserve"> </w:t>
      </w:r>
      <w:r>
        <w:t>de</w:t>
      </w:r>
      <w:r>
        <w:rPr>
          <w:spacing w:val="-13"/>
        </w:rPr>
        <w:t xml:space="preserve"> </w:t>
      </w:r>
      <w:r>
        <w:t>los</w:t>
      </w:r>
      <w:r>
        <w:rPr>
          <w:spacing w:val="-12"/>
        </w:rPr>
        <w:t xml:space="preserve"> </w:t>
      </w:r>
      <w:r>
        <w:t>hitos</w:t>
      </w:r>
      <w:r>
        <w:rPr>
          <w:spacing w:val="-12"/>
        </w:rPr>
        <w:t xml:space="preserve"> </w:t>
      </w:r>
      <w:r>
        <w:t>fundadores del paramilitarismo a mediados de los años ochenta: la coalición regional contrainsurgente que se formó con centro en Puerto Boyacá, en la zona sur del Magdalena Medio. En el afán de frenar las medidas de amnistía del gobierno de Belisario Betancur, se conjugaron los intereses de militares, dueños de la tierra, políticos regionales y locales, integrantes de las mafias asociadas al negocio de las esmeraldas y narcotraficantes del Cartel de Medellín.</w:t>
      </w:r>
    </w:p>
    <w:p w:rsidR="003804AC" w:rsidRDefault="00AF18A5" w:rsidP="008A0448">
      <w:r>
        <w:t>La figura 1 muestra, en términos muy amplios, los principales sectores e intereses que tejieron</w:t>
      </w:r>
      <w:r>
        <w:rPr>
          <w:spacing w:val="-9"/>
        </w:rPr>
        <w:t xml:space="preserve"> </w:t>
      </w:r>
      <w:r>
        <w:t>la</w:t>
      </w:r>
      <w:r>
        <w:rPr>
          <w:spacing w:val="-9"/>
        </w:rPr>
        <w:t xml:space="preserve"> </w:t>
      </w:r>
      <w:r>
        <w:t>alianza</w:t>
      </w:r>
      <w:r>
        <w:rPr>
          <w:spacing w:val="-9"/>
        </w:rPr>
        <w:t xml:space="preserve"> </w:t>
      </w:r>
      <w:r>
        <w:t>en</w:t>
      </w:r>
      <w:r>
        <w:rPr>
          <w:spacing w:val="-9"/>
        </w:rPr>
        <w:t xml:space="preserve"> </w:t>
      </w:r>
      <w:proofErr w:type="spellStart"/>
      <w:r>
        <w:t>Acdegam</w:t>
      </w:r>
      <w:proofErr w:type="spellEnd"/>
      <w:r>
        <w:t>.</w:t>
      </w:r>
      <w:r>
        <w:rPr>
          <w:spacing w:val="-9"/>
        </w:rPr>
        <w:t xml:space="preserve"> </w:t>
      </w:r>
      <w:r>
        <w:t>Como</w:t>
      </w:r>
      <w:r>
        <w:rPr>
          <w:spacing w:val="-9"/>
        </w:rPr>
        <w:t xml:space="preserve"> </w:t>
      </w:r>
      <w:r>
        <w:t>se</w:t>
      </w:r>
      <w:r>
        <w:rPr>
          <w:spacing w:val="-9"/>
        </w:rPr>
        <w:t xml:space="preserve"> </w:t>
      </w:r>
      <w:r>
        <w:t>puede</w:t>
      </w:r>
      <w:r>
        <w:rPr>
          <w:spacing w:val="-9"/>
        </w:rPr>
        <w:t xml:space="preserve"> </w:t>
      </w:r>
      <w:r>
        <w:t>ver,</w:t>
      </w:r>
      <w:r>
        <w:rPr>
          <w:spacing w:val="-9"/>
        </w:rPr>
        <w:t xml:space="preserve"> </w:t>
      </w:r>
      <w:r>
        <w:t>el</w:t>
      </w:r>
      <w:r>
        <w:rPr>
          <w:spacing w:val="-9"/>
        </w:rPr>
        <w:t xml:space="preserve"> </w:t>
      </w:r>
      <w:r>
        <w:t>«brazo</w:t>
      </w:r>
      <w:r>
        <w:rPr>
          <w:spacing w:val="-10"/>
        </w:rPr>
        <w:t xml:space="preserve"> </w:t>
      </w:r>
      <w:r>
        <w:t>armado»</w:t>
      </w:r>
      <w:r>
        <w:rPr>
          <w:spacing w:val="-9"/>
        </w:rPr>
        <w:t xml:space="preserve"> </w:t>
      </w:r>
      <w:r>
        <w:t>o</w:t>
      </w:r>
      <w:r>
        <w:rPr>
          <w:spacing w:val="-9"/>
        </w:rPr>
        <w:t xml:space="preserve"> </w:t>
      </w:r>
      <w:r>
        <w:t>la</w:t>
      </w:r>
      <w:r>
        <w:rPr>
          <w:spacing w:val="-9"/>
        </w:rPr>
        <w:t xml:space="preserve"> </w:t>
      </w:r>
      <w:r>
        <w:t>tropa</w:t>
      </w:r>
      <w:r>
        <w:rPr>
          <w:spacing w:val="-9"/>
        </w:rPr>
        <w:t xml:space="preserve"> </w:t>
      </w:r>
      <w:r>
        <w:t>paramilitar propiamente dicha fue solo una parte de una red mucho más amplia.</w:t>
      </w:r>
    </w:p>
    <w:p w:rsidR="008A0448" w:rsidRDefault="008A0448" w:rsidP="008A0448">
      <w:pPr>
        <w:pStyle w:val="Descripcin"/>
        <w:keepNext/>
      </w:pPr>
      <w:r>
        <w:lastRenderedPageBreak/>
        <w:t xml:space="preserve">Figura </w:t>
      </w:r>
      <w:r>
        <w:fldChar w:fldCharType="begin"/>
      </w:r>
      <w:r>
        <w:instrText xml:space="preserve"> SEQ Figura \* ARABIC </w:instrText>
      </w:r>
      <w:r>
        <w:fldChar w:fldCharType="separate"/>
      </w:r>
      <w:r>
        <w:rPr>
          <w:noProof/>
        </w:rPr>
        <w:t>1</w:t>
      </w:r>
      <w:r>
        <w:fldChar w:fldCharType="end"/>
      </w:r>
      <w:r w:rsidRPr="0011499E">
        <w:t xml:space="preserve">. Alianzas en la conformación de </w:t>
      </w:r>
      <w:proofErr w:type="spellStart"/>
      <w:r w:rsidRPr="0011499E">
        <w:t>Acdegam</w:t>
      </w:r>
      <w:proofErr w:type="spellEnd"/>
    </w:p>
    <w:p w:rsidR="0011361F" w:rsidRDefault="00AF18A5">
      <w:pPr>
        <w:pStyle w:val="Textoindependiente"/>
        <w:spacing w:before="4"/>
        <w:rPr>
          <w:sz w:val="20"/>
        </w:rPr>
      </w:pPr>
      <w:r>
        <w:rPr>
          <w:noProof/>
        </w:rPr>
        <w:drawing>
          <wp:inline distT="0" distB="0" distL="0" distR="0">
            <wp:extent cx="5824122" cy="3174206"/>
            <wp:effectExtent l="0" t="0" r="5715" b="7620"/>
            <wp:docPr id="37" name="image19.png"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24122" cy="3174206"/>
                    </a:xfrm>
                    <a:prstGeom prst="rect">
                      <a:avLst/>
                    </a:prstGeom>
                  </pic:spPr>
                </pic:pic>
              </a:graphicData>
            </a:graphic>
          </wp:inline>
        </w:drawing>
      </w:r>
    </w:p>
    <w:p w:rsidR="003804AC" w:rsidRDefault="00AF18A5" w:rsidP="008A0448">
      <w:r>
        <w:rPr>
          <w:i/>
        </w:rPr>
        <w:t>Fuente</w:t>
      </w:r>
      <w:r>
        <w:t>:</w:t>
      </w:r>
      <w:r>
        <w:rPr>
          <w:spacing w:val="-4"/>
        </w:rPr>
        <w:t xml:space="preserve"> </w:t>
      </w:r>
      <w:r>
        <w:t>elaboración</w:t>
      </w:r>
      <w:r>
        <w:rPr>
          <w:spacing w:val="-4"/>
        </w:rPr>
        <w:t xml:space="preserve"> </w:t>
      </w:r>
      <w:r>
        <w:t>propia</w:t>
      </w:r>
      <w:r>
        <w:rPr>
          <w:spacing w:val="-4"/>
        </w:rPr>
        <w:t xml:space="preserve"> </w:t>
      </w:r>
      <w:r>
        <w:t>con</w:t>
      </w:r>
      <w:r>
        <w:rPr>
          <w:spacing w:val="-4"/>
        </w:rPr>
        <w:t xml:space="preserve"> </w:t>
      </w:r>
      <w:r>
        <w:t>base</w:t>
      </w:r>
      <w:r>
        <w:rPr>
          <w:spacing w:val="-5"/>
        </w:rPr>
        <w:t xml:space="preserve"> </w:t>
      </w:r>
      <w:r>
        <w:t>en</w:t>
      </w:r>
      <w:r>
        <w:rPr>
          <w:spacing w:val="-4"/>
        </w:rPr>
        <w:t xml:space="preserve"> </w:t>
      </w:r>
      <w:r>
        <w:t>información</w:t>
      </w:r>
      <w:r>
        <w:rPr>
          <w:spacing w:val="-4"/>
        </w:rPr>
        <w:t xml:space="preserve"> </w:t>
      </w:r>
      <w:r>
        <w:t>testimonial,</w:t>
      </w:r>
      <w:r>
        <w:rPr>
          <w:spacing w:val="-5"/>
        </w:rPr>
        <w:t xml:space="preserve"> </w:t>
      </w:r>
      <w:r>
        <w:t>sentencias</w:t>
      </w:r>
      <w:r>
        <w:rPr>
          <w:spacing w:val="-4"/>
        </w:rPr>
        <w:t xml:space="preserve"> </w:t>
      </w:r>
      <w:r>
        <w:t>e</w:t>
      </w:r>
      <w:r>
        <w:rPr>
          <w:spacing w:val="-4"/>
        </w:rPr>
        <w:t xml:space="preserve"> </w:t>
      </w:r>
      <w:r>
        <w:t>informes entregados a la Comisión.</w:t>
      </w:r>
    </w:p>
    <w:p w:rsidR="0011361F" w:rsidRDefault="00AF18A5" w:rsidP="008A0448">
      <w:r>
        <w:t>Aún hoy, la profundidad de las alianzas no ha sido completamente esclarecida, y sobre esta verdad pesa un amplio manto de negación que ha sido parte de las estrategias de este entramado</w:t>
      </w:r>
      <w:r>
        <w:rPr>
          <w:spacing w:val="-12"/>
        </w:rPr>
        <w:t xml:space="preserve"> </w:t>
      </w:r>
      <w:r>
        <w:t>paramilitar</w:t>
      </w:r>
      <w:r>
        <w:rPr>
          <w:spacing w:val="-9"/>
        </w:rPr>
        <w:t xml:space="preserve"> </w:t>
      </w:r>
      <w:r>
        <w:t>para</w:t>
      </w:r>
      <w:r>
        <w:rPr>
          <w:spacing w:val="-10"/>
        </w:rPr>
        <w:t xml:space="preserve"> </w:t>
      </w:r>
      <w:r>
        <w:t>mantener</w:t>
      </w:r>
      <w:r>
        <w:rPr>
          <w:spacing w:val="-11"/>
        </w:rPr>
        <w:t xml:space="preserve"> </w:t>
      </w:r>
      <w:r>
        <w:t>los</w:t>
      </w:r>
      <w:r>
        <w:rPr>
          <w:spacing w:val="-10"/>
        </w:rPr>
        <w:t xml:space="preserve"> </w:t>
      </w:r>
      <w:r>
        <w:t>privilegios</w:t>
      </w:r>
      <w:r>
        <w:rPr>
          <w:spacing w:val="-10"/>
        </w:rPr>
        <w:t xml:space="preserve"> </w:t>
      </w:r>
      <w:r>
        <w:t>y</w:t>
      </w:r>
      <w:r>
        <w:rPr>
          <w:spacing w:val="-10"/>
        </w:rPr>
        <w:t xml:space="preserve"> </w:t>
      </w:r>
      <w:r>
        <w:t>el</w:t>
      </w:r>
      <w:r>
        <w:rPr>
          <w:spacing w:val="-8"/>
        </w:rPr>
        <w:t xml:space="preserve"> </w:t>
      </w:r>
      <w:r>
        <w:t>poder</w:t>
      </w:r>
      <w:r>
        <w:rPr>
          <w:spacing w:val="-9"/>
        </w:rPr>
        <w:t xml:space="preserve"> </w:t>
      </w:r>
      <w:r>
        <w:t>que</w:t>
      </w:r>
      <w:r>
        <w:rPr>
          <w:spacing w:val="-10"/>
        </w:rPr>
        <w:t xml:space="preserve"> </w:t>
      </w:r>
      <w:r>
        <w:t>ganó</w:t>
      </w:r>
      <w:r>
        <w:rPr>
          <w:spacing w:val="-10"/>
        </w:rPr>
        <w:t xml:space="preserve"> </w:t>
      </w:r>
      <w:r>
        <w:t>a</w:t>
      </w:r>
      <w:r>
        <w:rPr>
          <w:spacing w:val="-8"/>
        </w:rPr>
        <w:t xml:space="preserve"> </w:t>
      </w:r>
      <w:r>
        <w:t>costa</w:t>
      </w:r>
      <w:r>
        <w:rPr>
          <w:spacing w:val="-10"/>
        </w:rPr>
        <w:t xml:space="preserve"> </w:t>
      </w:r>
      <w:r>
        <w:t>de</w:t>
      </w:r>
      <w:r>
        <w:rPr>
          <w:spacing w:val="-10"/>
        </w:rPr>
        <w:t xml:space="preserve"> </w:t>
      </w:r>
      <w:r>
        <w:t>la</w:t>
      </w:r>
      <w:r>
        <w:rPr>
          <w:spacing w:val="-10"/>
        </w:rPr>
        <w:t xml:space="preserve"> </w:t>
      </w:r>
      <w:r>
        <w:rPr>
          <w:spacing w:val="-2"/>
        </w:rPr>
        <w:t>muerte.</w:t>
      </w:r>
    </w:p>
    <w:p w:rsidR="003804AC" w:rsidRDefault="00AF18A5" w:rsidP="000B3C81">
      <w:r>
        <w:t>El</w:t>
      </w:r>
      <w:r>
        <w:rPr>
          <w:spacing w:val="-5"/>
        </w:rPr>
        <w:t xml:space="preserve"> </w:t>
      </w:r>
      <w:r>
        <w:t>entramado</w:t>
      </w:r>
      <w:r>
        <w:rPr>
          <w:spacing w:val="-5"/>
        </w:rPr>
        <w:t xml:space="preserve"> </w:t>
      </w:r>
      <w:r>
        <w:t>paramilitar</w:t>
      </w:r>
      <w:r>
        <w:rPr>
          <w:spacing w:val="-5"/>
        </w:rPr>
        <w:t xml:space="preserve"> </w:t>
      </w:r>
      <w:r>
        <w:t>ha</w:t>
      </w:r>
      <w:r>
        <w:rPr>
          <w:spacing w:val="-5"/>
        </w:rPr>
        <w:t xml:space="preserve"> </w:t>
      </w:r>
      <w:r>
        <w:t>incluido</w:t>
      </w:r>
      <w:r>
        <w:rPr>
          <w:spacing w:val="-6"/>
        </w:rPr>
        <w:t xml:space="preserve"> </w:t>
      </w:r>
      <w:r>
        <w:t>actores</w:t>
      </w:r>
      <w:r>
        <w:rPr>
          <w:spacing w:val="-5"/>
        </w:rPr>
        <w:t xml:space="preserve"> </w:t>
      </w:r>
      <w:r>
        <w:t>del</w:t>
      </w:r>
      <w:r>
        <w:rPr>
          <w:spacing w:val="-5"/>
        </w:rPr>
        <w:t xml:space="preserve"> </w:t>
      </w:r>
      <w:r>
        <w:t>Estado,</w:t>
      </w:r>
      <w:r>
        <w:rPr>
          <w:spacing w:val="-5"/>
        </w:rPr>
        <w:t xml:space="preserve"> </w:t>
      </w:r>
      <w:r>
        <w:t>sectores</w:t>
      </w:r>
      <w:r>
        <w:rPr>
          <w:spacing w:val="-6"/>
        </w:rPr>
        <w:t xml:space="preserve"> </w:t>
      </w:r>
      <w:r>
        <w:t>de</w:t>
      </w:r>
      <w:r>
        <w:rPr>
          <w:spacing w:val="-5"/>
        </w:rPr>
        <w:t xml:space="preserve"> </w:t>
      </w:r>
      <w:r>
        <w:t>las</w:t>
      </w:r>
      <w:r>
        <w:rPr>
          <w:spacing w:val="-6"/>
        </w:rPr>
        <w:t xml:space="preserve"> </w:t>
      </w:r>
      <w:r>
        <w:t>Fuerzas</w:t>
      </w:r>
      <w:r>
        <w:rPr>
          <w:spacing w:val="-5"/>
        </w:rPr>
        <w:t xml:space="preserve"> </w:t>
      </w:r>
      <w:r>
        <w:t>Militares y la Policía, organismos de seguridad e inteligencia (como el DAS), órganos estatales colegiados (Congreso, asambleas y concejos), instituciones judiciales (como la Fiscalía General de la Nación), organismos de control, entidades como el Instituto Colombiano de Desarrollo Rural (</w:t>
      </w:r>
      <w:proofErr w:type="spellStart"/>
      <w:r>
        <w:t>Incoder</w:t>
      </w:r>
      <w:proofErr w:type="spellEnd"/>
      <w:r>
        <w:t>) y notarías. También sectores económicos agroindustriales, extractivos</w:t>
      </w:r>
      <w:r>
        <w:rPr>
          <w:spacing w:val="-6"/>
        </w:rPr>
        <w:t xml:space="preserve"> </w:t>
      </w:r>
      <w:r>
        <w:t>y</w:t>
      </w:r>
      <w:r>
        <w:rPr>
          <w:spacing w:val="-4"/>
        </w:rPr>
        <w:t xml:space="preserve"> </w:t>
      </w:r>
      <w:r>
        <w:t>de</w:t>
      </w:r>
      <w:r>
        <w:rPr>
          <w:spacing w:val="-4"/>
        </w:rPr>
        <w:t xml:space="preserve"> </w:t>
      </w:r>
      <w:r>
        <w:t>infraestructura</w:t>
      </w:r>
      <w:r>
        <w:rPr>
          <w:spacing w:val="-4"/>
        </w:rPr>
        <w:t xml:space="preserve"> </w:t>
      </w:r>
      <w:r>
        <w:t>y</w:t>
      </w:r>
      <w:r>
        <w:rPr>
          <w:spacing w:val="-4"/>
        </w:rPr>
        <w:t xml:space="preserve"> </w:t>
      </w:r>
      <w:r>
        <w:t>otros,</w:t>
      </w:r>
      <w:r>
        <w:rPr>
          <w:spacing w:val="-4"/>
        </w:rPr>
        <w:t xml:space="preserve"> </w:t>
      </w:r>
      <w:r>
        <w:t>como</w:t>
      </w:r>
      <w:r>
        <w:rPr>
          <w:spacing w:val="-4"/>
        </w:rPr>
        <w:t xml:space="preserve"> </w:t>
      </w:r>
      <w:r>
        <w:t>empleados</w:t>
      </w:r>
      <w:r>
        <w:rPr>
          <w:spacing w:val="-4"/>
        </w:rPr>
        <w:t xml:space="preserve"> </w:t>
      </w:r>
      <w:r>
        <w:t>públicos,</w:t>
      </w:r>
      <w:r>
        <w:rPr>
          <w:spacing w:val="-4"/>
        </w:rPr>
        <w:t xml:space="preserve"> </w:t>
      </w:r>
      <w:r>
        <w:t>altas</w:t>
      </w:r>
      <w:r>
        <w:rPr>
          <w:spacing w:val="-4"/>
        </w:rPr>
        <w:t xml:space="preserve"> </w:t>
      </w:r>
      <w:r>
        <w:t>esferas</w:t>
      </w:r>
      <w:r>
        <w:rPr>
          <w:spacing w:val="-4"/>
        </w:rPr>
        <w:t xml:space="preserve"> </w:t>
      </w:r>
      <w:r>
        <w:t>y</w:t>
      </w:r>
      <w:r>
        <w:rPr>
          <w:spacing w:val="-3"/>
        </w:rPr>
        <w:t xml:space="preserve"> </w:t>
      </w:r>
      <w:r>
        <w:rPr>
          <w:spacing w:val="-2"/>
        </w:rPr>
        <w:t>candidatos</w:t>
      </w:r>
      <w:r w:rsidR="000B3C81">
        <w:rPr>
          <w:spacing w:val="-2"/>
        </w:rPr>
        <w:t xml:space="preserve"> </w:t>
      </w:r>
      <w:r>
        <w:t xml:space="preserve">a cargos de elección </w:t>
      </w:r>
      <w:r>
        <w:lastRenderedPageBreak/>
        <w:t>popular; también ha permeado a sectores de la Iglesia y de los medios de comunicación.</w:t>
      </w:r>
    </w:p>
    <w:p w:rsidR="003804AC" w:rsidRDefault="00AF18A5" w:rsidP="000B3C81">
      <w:r>
        <w:t>La participación de estos distintos sectores no fue uniforme. Asumieron diversos roles, desde</w:t>
      </w:r>
      <w:r>
        <w:rPr>
          <w:spacing w:val="-15"/>
        </w:rPr>
        <w:t xml:space="preserve"> </w:t>
      </w:r>
      <w:r>
        <w:t>dar</w:t>
      </w:r>
      <w:r>
        <w:rPr>
          <w:spacing w:val="-15"/>
        </w:rPr>
        <w:t xml:space="preserve"> </w:t>
      </w:r>
      <w:r>
        <w:t>apoyos</w:t>
      </w:r>
      <w:r>
        <w:rPr>
          <w:spacing w:val="-15"/>
        </w:rPr>
        <w:t xml:space="preserve"> </w:t>
      </w:r>
      <w:r>
        <w:t>pasivos</w:t>
      </w:r>
      <w:r>
        <w:rPr>
          <w:spacing w:val="-15"/>
        </w:rPr>
        <w:t xml:space="preserve"> </w:t>
      </w:r>
      <w:r>
        <w:t>(tolerancia,</w:t>
      </w:r>
      <w:r>
        <w:rPr>
          <w:spacing w:val="-15"/>
        </w:rPr>
        <w:t xml:space="preserve"> </w:t>
      </w:r>
      <w:r>
        <w:t>omisión</w:t>
      </w:r>
      <w:r>
        <w:rPr>
          <w:spacing w:val="-15"/>
        </w:rPr>
        <w:t xml:space="preserve"> </w:t>
      </w:r>
      <w:r>
        <w:t>de</w:t>
      </w:r>
      <w:r>
        <w:rPr>
          <w:spacing w:val="-15"/>
        </w:rPr>
        <w:t xml:space="preserve"> </w:t>
      </w:r>
      <w:r>
        <w:t>debida</w:t>
      </w:r>
      <w:r>
        <w:rPr>
          <w:spacing w:val="-15"/>
        </w:rPr>
        <w:t xml:space="preserve"> </w:t>
      </w:r>
      <w:r>
        <w:t>diligencia</w:t>
      </w:r>
      <w:r>
        <w:rPr>
          <w:spacing w:val="-15"/>
        </w:rPr>
        <w:t xml:space="preserve"> </w:t>
      </w:r>
      <w:r>
        <w:t>y</w:t>
      </w:r>
      <w:r>
        <w:rPr>
          <w:spacing w:val="-15"/>
        </w:rPr>
        <w:t xml:space="preserve"> </w:t>
      </w:r>
      <w:r>
        <w:t>beneficio)</w:t>
      </w:r>
      <w:r>
        <w:rPr>
          <w:spacing w:val="-15"/>
        </w:rPr>
        <w:t xml:space="preserve"> </w:t>
      </w:r>
      <w:r>
        <w:t>hasta</w:t>
      </w:r>
      <w:r>
        <w:rPr>
          <w:spacing w:val="-15"/>
        </w:rPr>
        <w:t xml:space="preserve"> </w:t>
      </w:r>
      <w:r>
        <w:t>directos (patrocinador, cooperante, beneficiario, socio e instigador). Así mismo, las interacciones fueron multidireccionales, los sectores ilegales del entramado incursionaron en los ámbitos político</w:t>
      </w:r>
      <w:r>
        <w:rPr>
          <w:spacing w:val="-14"/>
        </w:rPr>
        <w:t xml:space="preserve"> </w:t>
      </w:r>
      <w:r>
        <w:t>y</w:t>
      </w:r>
      <w:r>
        <w:rPr>
          <w:spacing w:val="-15"/>
        </w:rPr>
        <w:t xml:space="preserve"> </w:t>
      </w:r>
      <w:r>
        <w:t>estatal,</w:t>
      </w:r>
      <w:r>
        <w:rPr>
          <w:spacing w:val="-15"/>
        </w:rPr>
        <w:t xml:space="preserve"> </w:t>
      </w:r>
      <w:r>
        <w:t>y</w:t>
      </w:r>
      <w:r>
        <w:rPr>
          <w:spacing w:val="-15"/>
        </w:rPr>
        <w:t xml:space="preserve"> </w:t>
      </w:r>
      <w:r>
        <w:t>los</w:t>
      </w:r>
      <w:r>
        <w:rPr>
          <w:spacing w:val="-14"/>
        </w:rPr>
        <w:t xml:space="preserve"> </w:t>
      </w:r>
      <w:r>
        <w:t>sectores</w:t>
      </w:r>
      <w:r>
        <w:rPr>
          <w:spacing w:val="-15"/>
        </w:rPr>
        <w:t xml:space="preserve"> </w:t>
      </w:r>
      <w:r>
        <w:t>estatal</w:t>
      </w:r>
      <w:r>
        <w:rPr>
          <w:spacing w:val="-14"/>
        </w:rPr>
        <w:t xml:space="preserve"> </w:t>
      </w:r>
      <w:r>
        <w:t>y</w:t>
      </w:r>
      <w:r>
        <w:rPr>
          <w:spacing w:val="-14"/>
        </w:rPr>
        <w:t xml:space="preserve"> </w:t>
      </w:r>
      <w:r>
        <w:t>empresarial</w:t>
      </w:r>
      <w:r>
        <w:rPr>
          <w:spacing w:val="-15"/>
        </w:rPr>
        <w:t xml:space="preserve"> </w:t>
      </w:r>
      <w:r>
        <w:t>instrumentalizaron</w:t>
      </w:r>
      <w:r>
        <w:rPr>
          <w:spacing w:val="-15"/>
        </w:rPr>
        <w:t xml:space="preserve"> </w:t>
      </w:r>
      <w:r>
        <w:t>a</w:t>
      </w:r>
      <w:r>
        <w:rPr>
          <w:spacing w:val="-15"/>
        </w:rPr>
        <w:t xml:space="preserve"> </w:t>
      </w:r>
      <w:r>
        <w:t>los</w:t>
      </w:r>
      <w:r>
        <w:rPr>
          <w:spacing w:val="-14"/>
        </w:rPr>
        <w:t xml:space="preserve"> </w:t>
      </w:r>
      <w:r>
        <w:t>grupos</w:t>
      </w:r>
      <w:r>
        <w:rPr>
          <w:spacing w:val="-14"/>
        </w:rPr>
        <w:t xml:space="preserve"> </w:t>
      </w:r>
      <w:r>
        <w:t>armados ilegales para consolidar su poder. Hubo una «captura invertida del Estado»</w:t>
      </w:r>
      <w:r w:rsidR="000B3C81">
        <w:rPr>
          <w:rStyle w:val="Refdenotaalpie"/>
        </w:rPr>
        <w:footnoteReference w:id="410"/>
      </w:r>
      <w:r>
        <w:t>.</w:t>
      </w:r>
    </w:p>
    <w:p w:rsidR="003804AC" w:rsidRDefault="00AF18A5" w:rsidP="000B3C81">
      <w:r>
        <w:t>De</w:t>
      </w:r>
      <w:r>
        <w:rPr>
          <w:spacing w:val="-10"/>
        </w:rPr>
        <w:t xml:space="preserve"> </w:t>
      </w:r>
      <w:r>
        <w:t>igual</w:t>
      </w:r>
      <w:r>
        <w:rPr>
          <w:spacing w:val="-11"/>
        </w:rPr>
        <w:t xml:space="preserve"> </w:t>
      </w:r>
      <w:r>
        <w:t>manera,</w:t>
      </w:r>
      <w:r>
        <w:rPr>
          <w:spacing w:val="-11"/>
        </w:rPr>
        <w:t xml:space="preserve"> </w:t>
      </w:r>
      <w:r>
        <w:t>en</w:t>
      </w:r>
      <w:r>
        <w:rPr>
          <w:spacing w:val="-12"/>
        </w:rPr>
        <w:t xml:space="preserve"> </w:t>
      </w:r>
      <w:r>
        <w:t>cada</w:t>
      </w:r>
      <w:r>
        <w:rPr>
          <w:spacing w:val="-10"/>
        </w:rPr>
        <w:t xml:space="preserve"> </w:t>
      </w:r>
      <w:r>
        <w:t>uno</w:t>
      </w:r>
      <w:r>
        <w:rPr>
          <w:spacing w:val="-11"/>
        </w:rPr>
        <w:t xml:space="preserve"> </w:t>
      </w:r>
      <w:r>
        <w:t>de</w:t>
      </w:r>
      <w:r>
        <w:rPr>
          <w:spacing w:val="-10"/>
        </w:rPr>
        <w:t xml:space="preserve"> </w:t>
      </w:r>
      <w:r>
        <w:t>estos</w:t>
      </w:r>
      <w:r>
        <w:rPr>
          <w:spacing w:val="-11"/>
        </w:rPr>
        <w:t xml:space="preserve"> </w:t>
      </w:r>
      <w:r>
        <w:t>sectores</w:t>
      </w:r>
      <w:r>
        <w:rPr>
          <w:spacing w:val="-12"/>
        </w:rPr>
        <w:t xml:space="preserve"> </w:t>
      </w:r>
      <w:r>
        <w:t>la</w:t>
      </w:r>
      <w:r>
        <w:rPr>
          <w:spacing w:val="-10"/>
        </w:rPr>
        <w:t xml:space="preserve"> </w:t>
      </w:r>
      <w:r>
        <w:t>Comisión</w:t>
      </w:r>
      <w:r>
        <w:rPr>
          <w:spacing w:val="-12"/>
        </w:rPr>
        <w:t xml:space="preserve"> </w:t>
      </w:r>
      <w:r>
        <w:t>encontró</w:t>
      </w:r>
      <w:r>
        <w:rPr>
          <w:spacing w:val="-11"/>
        </w:rPr>
        <w:t xml:space="preserve"> </w:t>
      </w:r>
      <w:r>
        <w:t>personas</w:t>
      </w:r>
      <w:r>
        <w:rPr>
          <w:spacing w:val="-10"/>
        </w:rPr>
        <w:t xml:space="preserve"> </w:t>
      </w:r>
      <w:r>
        <w:t>detractoras de esta participación, muchas de las cuales sufrieron consecuencias precisamente por ello. Sobre esto es diciente el caso del coronel (r) Julio César Prieto, quien se atrevió a adelantar operativos contra los paramilitares en un contexto de profunda cooptación, lo que llevó a intimidaciones y traslados:</w:t>
      </w:r>
    </w:p>
    <w:p w:rsidR="003804AC" w:rsidRDefault="00AF18A5" w:rsidP="000B3C81">
      <w:r>
        <w:t xml:space="preserve">«Le entrego el informe, le explico todo, le explico que el gobernador había sido elegido por los </w:t>
      </w:r>
      <w:proofErr w:type="spellStart"/>
      <w:r>
        <w:t>paracos</w:t>
      </w:r>
      <w:proofErr w:type="spellEnd"/>
      <w:r>
        <w:t>, que los senadores tal, que los alcaldes tal, que todo, todo, y mi general me dice: “Mire, Prieto, usted se ha convertido en una papa caliente la berraca, hermano; el presidente de la república, Álvaro Uribe Vélez, me ha dado tres veces la orden de relevarlo a usted”»</w:t>
      </w:r>
      <w:r w:rsidR="000B3C81">
        <w:rPr>
          <w:rStyle w:val="Refdenotaalpie"/>
        </w:rPr>
        <w:footnoteReference w:id="411"/>
      </w:r>
      <w:r>
        <w:t>.</w:t>
      </w:r>
    </w:p>
    <w:p w:rsidR="0011361F" w:rsidRDefault="00AF18A5" w:rsidP="000B3C81">
      <w:r>
        <w:lastRenderedPageBreak/>
        <w:t>«Coronel,</w:t>
      </w:r>
      <w:r>
        <w:rPr>
          <w:spacing w:val="-3"/>
        </w:rPr>
        <w:t xml:space="preserve"> </w:t>
      </w:r>
      <w:r>
        <w:t>usted</w:t>
      </w:r>
      <w:r>
        <w:rPr>
          <w:spacing w:val="-1"/>
        </w:rPr>
        <w:t xml:space="preserve"> </w:t>
      </w:r>
      <w:r>
        <w:t>es</w:t>
      </w:r>
      <w:r>
        <w:rPr>
          <w:spacing w:val="-2"/>
        </w:rPr>
        <w:t xml:space="preserve"> </w:t>
      </w:r>
      <w:r>
        <w:t>un</w:t>
      </w:r>
      <w:r>
        <w:rPr>
          <w:spacing w:val="-3"/>
        </w:rPr>
        <w:t xml:space="preserve"> </w:t>
      </w:r>
      <w:r>
        <w:t>tipo</w:t>
      </w:r>
      <w:r>
        <w:rPr>
          <w:spacing w:val="-4"/>
        </w:rPr>
        <w:t xml:space="preserve"> </w:t>
      </w:r>
      <w:r>
        <w:t>muy</w:t>
      </w:r>
      <w:r>
        <w:rPr>
          <w:spacing w:val="-1"/>
        </w:rPr>
        <w:t xml:space="preserve"> </w:t>
      </w:r>
      <w:r>
        <w:t>joven,</w:t>
      </w:r>
      <w:r>
        <w:rPr>
          <w:spacing w:val="-2"/>
        </w:rPr>
        <w:t xml:space="preserve"> </w:t>
      </w:r>
      <w:r>
        <w:t>usted</w:t>
      </w:r>
      <w:r>
        <w:rPr>
          <w:spacing w:val="-1"/>
        </w:rPr>
        <w:t xml:space="preserve"> </w:t>
      </w:r>
      <w:r>
        <w:t>es</w:t>
      </w:r>
      <w:r>
        <w:rPr>
          <w:spacing w:val="-2"/>
        </w:rPr>
        <w:t xml:space="preserve"> </w:t>
      </w:r>
      <w:r>
        <w:t>inmaduro,</w:t>
      </w:r>
      <w:r>
        <w:rPr>
          <w:spacing w:val="-3"/>
        </w:rPr>
        <w:t xml:space="preserve"> </w:t>
      </w:r>
      <w:r>
        <w:t>usted</w:t>
      </w:r>
      <w:r>
        <w:rPr>
          <w:spacing w:val="-1"/>
        </w:rPr>
        <w:t xml:space="preserve"> </w:t>
      </w:r>
      <w:r>
        <w:t>todavía</w:t>
      </w:r>
      <w:r>
        <w:rPr>
          <w:spacing w:val="-2"/>
        </w:rPr>
        <w:t xml:space="preserve"> </w:t>
      </w:r>
      <w:r>
        <w:t>no</w:t>
      </w:r>
      <w:r>
        <w:rPr>
          <w:spacing w:val="-1"/>
        </w:rPr>
        <w:t xml:space="preserve"> </w:t>
      </w:r>
      <w:r>
        <w:t>conoce</w:t>
      </w:r>
      <w:r>
        <w:rPr>
          <w:spacing w:val="-2"/>
        </w:rPr>
        <w:t xml:space="preserve"> </w:t>
      </w:r>
      <w:r>
        <w:t>la</w:t>
      </w:r>
      <w:r>
        <w:rPr>
          <w:spacing w:val="-2"/>
        </w:rPr>
        <w:t xml:space="preserve"> </w:t>
      </w:r>
      <w:r>
        <w:t>vida.</w:t>
      </w:r>
      <w:r>
        <w:rPr>
          <w:spacing w:val="-3"/>
        </w:rPr>
        <w:t xml:space="preserve"> </w:t>
      </w:r>
      <w:r>
        <w:t xml:space="preserve">No se meta con esa gente –refiriéndose a los paramilitares–. Usted es una ficha de ajedrez y lo pueden mover. ¡No joda tanto!». Esa petición del entonces secretario de Gobierno departamental me mostró los tentáculos que tenían los paramilitares en diversas autoridades del orden ya departamental, no solamente municipal como lo había percibido en otras </w:t>
      </w:r>
      <w:r>
        <w:rPr>
          <w:spacing w:val="-2"/>
        </w:rPr>
        <w:t>autoridades</w:t>
      </w:r>
      <w:r w:rsidR="000B3C81">
        <w:rPr>
          <w:rStyle w:val="Refdenotaalpie"/>
          <w:spacing w:val="-2"/>
        </w:rPr>
        <w:footnoteReference w:id="412"/>
      </w:r>
      <w:r>
        <w:rPr>
          <w:spacing w:val="-2"/>
        </w:rPr>
        <w:t>.</w:t>
      </w:r>
    </w:p>
    <w:p w:rsidR="003804AC" w:rsidRDefault="00AF18A5" w:rsidP="000B3C81">
      <w:bookmarkStart w:id="564" w:name="_bookmark462"/>
      <w:bookmarkStart w:id="565" w:name="_bookmark463"/>
      <w:bookmarkStart w:id="566" w:name="_bookmark464"/>
      <w:bookmarkEnd w:id="564"/>
      <w:bookmarkEnd w:id="565"/>
      <w:bookmarkEnd w:id="566"/>
      <w:r>
        <w:t>En palabras de uno de los excomandantes de las AUC, esta articulación como parte de un entramado ha estado ligada a su pervivencia en el tiempo:</w:t>
      </w:r>
    </w:p>
    <w:p w:rsidR="003804AC" w:rsidRDefault="00AF18A5" w:rsidP="000B3C81">
      <w:r>
        <w:t>«Usted</w:t>
      </w:r>
      <w:r>
        <w:rPr>
          <w:spacing w:val="-8"/>
        </w:rPr>
        <w:t xml:space="preserve"> </w:t>
      </w:r>
      <w:r>
        <w:t>sabe</w:t>
      </w:r>
      <w:r>
        <w:rPr>
          <w:spacing w:val="-9"/>
        </w:rPr>
        <w:t xml:space="preserve"> </w:t>
      </w:r>
      <w:r>
        <w:t>que</w:t>
      </w:r>
      <w:r>
        <w:rPr>
          <w:spacing w:val="-8"/>
        </w:rPr>
        <w:t xml:space="preserve"> </w:t>
      </w:r>
      <w:r>
        <w:t>las</w:t>
      </w:r>
      <w:r>
        <w:rPr>
          <w:spacing w:val="-8"/>
        </w:rPr>
        <w:t xml:space="preserve"> </w:t>
      </w:r>
      <w:r>
        <w:t>Autodefensas</w:t>
      </w:r>
      <w:r>
        <w:rPr>
          <w:spacing w:val="-9"/>
        </w:rPr>
        <w:t xml:space="preserve"> </w:t>
      </w:r>
      <w:r>
        <w:t>–llámense</w:t>
      </w:r>
      <w:r>
        <w:rPr>
          <w:spacing w:val="-8"/>
        </w:rPr>
        <w:t xml:space="preserve"> </w:t>
      </w:r>
      <w:r>
        <w:t>ACCU,</w:t>
      </w:r>
      <w:r>
        <w:rPr>
          <w:spacing w:val="-8"/>
        </w:rPr>
        <w:t xml:space="preserve"> </w:t>
      </w:r>
      <w:r>
        <w:t>llámese</w:t>
      </w:r>
      <w:r>
        <w:rPr>
          <w:spacing w:val="-9"/>
        </w:rPr>
        <w:t xml:space="preserve"> </w:t>
      </w:r>
      <w:r>
        <w:t>AUC–</w:t>
      </w:r>
      <w:r>
        <w:rPr>
          <w:spacing w:val="-8"/>
        </w:rPr>
        <w:t xml:space="preserve"> </w:t>
      </w:r>
      <w:r>
        <w:t>son</w:t>
      </w:r>
      <w:r>
        <w:rPr>
          <w:spacing w:val="-7"/>
        </w:rPr>
        <w:t xml:space="preserve"> </w:t>
      </w:r>
      <w:r>
        <w:t>grupos</w:t>
      </w:r>
      <w:r>
        <w:rPr>
          <w:spacing w:val="-8"/>
        </w:rPr>
        <w:t xml:space="preserve"> </w:t>
      </w:r>
      <w:r>
        <w:t>que,</w:t>
      </w:r>
      <w:r>
        <w:rPr>
          <w:spacing w:val="-9"/>
        </w:rPr>
        <w:t xml:space="preserve"> </w:t>
      </w:r>
      <w:r>
        <w:t>si</w:t>
      </w:r>
      <w:r>
        <w:rPr>
          <w:spacing w:val="-8"/>
        </w:rPr>
        <w:t xml:space="preserve"> </w:t>
      </w:r>
      <w:r>
        <w:t>se quiere trabajar y quiere que todo le salga bien, tiene que tener participación en esa mesa ya sea de personal del Ejército, personal de la Policía, hasta la misma Fiscalía, alcaldías, para poder</w:t>
      </w:r>
      <w:r>
        <w:rPr>
          <w:spacing w:val="-6"/>
        </w:rPr>
        <w:t xml:space="preserve"> </w:t>
      </w:r>
      <w:r>
        <w:t>trabajar</w:t>
      </w:r>
      <w:r>
        <w:rPr>
          <w:spacing w:val="-6"/>
        </w:rPr>
        <w:t xml:space="preserve"> </w:t>
      </w:r>
      <w:r>
        <w:t>y</w:t>
      </w:r>
      <w:r>
        <w:rPr>
          <w:spacing w:val="-6"/>
        </w:rPr>
        <w:t xml:space="preserve"> </w:t>
      </w:r>
      <w:r>
        <w:t>hacer</w:t>
      </w:r>
      <w:r>
        <w:rPr>
          <w:spacing w:val="-6"/>
        </w:rPr>
        <w:t xml:space="preserve"> </w:t>
      </w:r>
      <w:r>
        <w:t>un</w:t>
      </w:r>
      <w:r>
        <w:rPr>
          <w:spacing w:val="-6"/>
        </w:rPr>
        <w:t xml:space="preserve"> </w:t>
      </w:r>
      <w:r>
        <w:t>papel</w:t>
      </w:r>
      <w:r>
        <w:rPr>
          <w:spacing w:val="-6"/>
        </w:rPr>
        <w:t xml:space="preserve"> </w:t>
      </w:r>
      <w:r>
        <w:t>en</w:t>
      </w:r>
      <w:r>
        <w:rPr>
          <w:spacing w:val="-6"/>
        </w:rPr>
        <w:t xml:space="preserve"> </w:t>
      </w:r>
      <w:r>
        <w:t>el</w:t>
      </w:r>
      <w:r>
        <w:rPr>
          <w:spacing w:val="-7"/>
        </w:rPr>
        <w:t xml:space="preserve"> </w:t>
      </w:r>
      <w:r>
        <w:t>cual</w:t>
      </w:r>
      <w:r>
        <w:rPr>
          <w:spacing w:val="-6"/>
        </w:rPr>
        <w:t xml:space="preserve"> </w:t>
      </w:r>
      <w:r>
        <w:t>todos</w:t>
      </w:r>
      <w:r>
        <w:rPr>
          <w:spacing w:val="-6"/>
        </w:rPr>
        <w:t xml:space="preserve"> </w:t>
      </w:r>
      <w:r>
        <w:t>salgan</w:t>
      </w:r>
      <w:r>
        <w:rPr>
          <w:spacing w:val="-6"/>
        </w:rPr>
        <w:t xml:space="preserve"> </w:t>
      </w:r>
      <w:r>
        <w:t>beneficiados</w:t>
      </w:r>
      <w:r>
        <w:rPr>
          <w:spacing w:val="-6"/>
        </w:rPr>
        <w:t xml:space="preserve"> </w:t>
      </w:r>
      <w:r>
        <w:t>y</w:t>
      </w:r>
      <w:r>
        <w:rPr>
          <w:spacing w:val="-6"/>
        </w:rPr>
        <w:t xml:space="preserve"> </w:t>
      </w:r>
      <w:r>
        <w:t>que</w:t>
      </w:r>
      <w:r>
        <w:rPr>
          <w:spacing w:val="-7"/>
        </w:rPr>
        <w:t xml:space="preserve"> </w:t>
      </w:r>
      <w:r>
        <w:t>ese</w:t>
      </w:r>
      <w:r>
        <w:rPr>
          <w:spacing w:val="-6"/>
        </w:rPr>
        <w:t xml:space="preserve"> </w:t>
      </w:r>
      <w:r>
        <w:t>proyecto</w:t>
      </w:r>
      <w:r>
        <w:rPr>
          <w:spacing w:val="-6"/>
        </w:rPr>
        <w:t xml:space="preserve"> </w:t>
      </w:r>
      <w:r>
        <w:t>no</w:t>
      </w:r>
      <w:r>
        <w:rPr>
          <w:spacing w:val="-6"/>
        </w:rPr>
        <w:t xml:space="preserve"> </w:t>
      </w:r>
      <w:r>
        <w:t>se vaya a caer, porque si uno trabaja como delincuente o como un grupo al margen de la ley, por rueda suelta, téngalo por seguro que se cae y se desbarata rápido»</w:t>
      </w:r>
      <w:r w:rsidR="000B3C81">
        <w:rPr>
          <w:rStyle w:val="Refdenotaalpie"/>
        </w:rPr>
        <w:footnoteReference w:id="413"/>
      </w:r>
      <w:r>
        <w:t>.</w:t>
      </w:r>
    </w:p>
    <w:p w:rsidR="003804AC" w:rsidRDefault="00AF18A5" w:rsidP="000B3C81">
      <w:r>
        <w:t>Esta</w:t>
      </w:r>
      <w:r>
        <w:rPr>
          <w:spacing w:val="-4"/>
        </w:rPr>
        <w:t xml:space="preserve"> </w:t>
      </w:r>
      <w:r>
        <w:t>lógica</w:t>
      </w:r>
      <w:r>
        <w:rPr>
          <w:spacing w:val="-4"/>
        </w:rPr>
        <w:t xml:space="preserve"> </w:t>
      </w:r>
      <w:r>
        <w:t>de</w:t>
      </w:r>
      <w:r>
        <w:rPr>
          <w:spacing w:val="-4"/>
        </w:rPr>
        <w:t xml:space="preserve"> </w:t>
      </w:r>
      <w:r>
        <w:t>entramado</w:t>
      </w:r>
      <w:r>
        <w:rPr>
          <w:spacing w:val="-5"/>
        </w:rPr>
        <w:t xml:space="preserve"> </w:t>
      </w:r>
      <w:r>
        <w:t>significó</w:t>
      </w:r>
      <w:r>
        <w:rPr>
          <w:spacing w:val="-5"/>
        </w:rPr>
        <w:t xml:space="preserve"> </w:t>
      </w:r>
      <w:r>
        <w:t>un</w:t>
      </w:r>
      <w:r>
        <w:rPr>
          <w:spacing w:val="-5"/>
        </w:rPr>
        <w:t xml:space="preserve"> </w:t>
      </w:r>
      <w:r>
        <w:t>ejercicio</w:t>
      </w:r>
      <w:r>
        <w:rPr>
          <w:spacing w:val="-5"/>
        </w:rPr>
        <w:t xml:space="preserve"> </w:t>
      </w:r>
      <w:r>
        <w:t>continuado</w:t>
      </w:r>
      <w:r>
        <w:rPr>
          <w:spacing w:val="-5"/>
        </w:rPr>
        <w:t xml:space="preserve"> </w:t>
      </w:r>
      <w:r>
        <w:t>y</w:t>
      </w:r>
      <w:r>
        <w:rPr>
          <w:spacing w:val="-6"/>
        </w:rPr>
        <w:t xml:space="preserve"> </w:t>
      </w:r>
      <w:r>
        <w:t>permanente</w:t>
      </w:r>
      <w:r>
        <w:rPr>
          <w:spacing w:val="-6"/>
        </w:rPr>
        <w:t xml:space="preserve"> </w:t>
      </w:r>
      <w:r>
        <w:t>de</w:t>
      </w:r>
      <w:r>
        <w:rPr>
          <w:spacing w:val="-4"/>
        </w:rPr>
        <w:t xml:space="preserve"> </w:t>
      </w:r>
      <w:r>
        <w:t>construcción de alianzas por parte de los paramilitares que se dio de múltiples formas. Alianzas que ocurrieron</w:t>
      </w:r>
      <w:r>
        <w:rPr>
          <w:spacing w:val="-13"/>
        </w:rPr>
        <w:t xml:space="preserve"> </w:t>
      </w:r>
      <w:r>
        <w:t>en</w:t>
      </w:r>
      <w:r>
        <w:rPr>
          <w:spacing w:val="-13"/>
        </w:rPr>
        <w:t xml:space="preserve"> </w:t>
      </w:r>
      <w:r>
        <w:t>doble</w:t>
      </w:r>
      <w:r>
        <w:rPr>
          <w:spacing w:val="-13"/>
        </w:rPr>
        <w:t xml:space="preserve"> </w:t>
      </w:r>
      <w:r>
        <w:t>vía,</w:t>
      </w:r>
      <w:r>
        <w:rPr>
          <w:spacing w:val="-14"/>
        </w:rPr>
        <w:t xml:space="preserve"> </w:t>
      </w:r>
      <w:r>
        <w:t>no</w:t>
      </w:r>
      <w:r>
        <w:rPr>
          <w:spacing w:val="-13"/>
        </w:rPr>
        <w:t xml:space="preserve"> </w:t>
      </w:r>
      <w:r>
        <w:t>únicamente</w:t>
      </w:r>
      <w:r>
        <w:rPr>
          <w:spacing w:val="-13"/>
        </w:rPr>
        <w:t xml:space="preserve"> </w:t>
      </w:r>
      <w:r>
        <w:t>propiciadas</w:t>
      </w:r>
      <w:r>
        <w:rPr>
          <w:spacing w:val="-13"/>
        </w:rPr>
        <w:t xml:space="preserve"> </w:t>
      </w:r>
      <w:r>
        <w:t>por</w:t>
      </w:r>
      <w:r>
        <w:rPr>
          <w:spacing w:val="-13"/>
        </w:rPr>
        <w:t xml:space="preserve"> </w:t>
      </w:r>
      <w:r>
        <w:t>los</w:t>
      </w:r>
      <w:r>
        <w:rPr>
          <w:spacing w:val="-13"/>
        </w:rPr>
        <w:t xml:space="preserve"> </w:t>
      </w:r>
      <w:r>
        <w:t>grupos</w:t>
      </w:r>
      <w:r>
        <w:rPr>
          <w:spacing w:val="-13"/>
        </w:rPr>
        <w:t xml:space="preserve"> </w:t>
      </w:r>
      <w:r>
        <w:t>armados,</w:t>
      </w:r>
      <w:r>
        <w:rPr>
          <w:spacing w:val="-13"/>
        </w:rPr>
        <w:t xml:space="preserve"> </w:t>
      </w:r>
      <w:r>
        <w:t>sino</w:t>
      </w:r>
      <w:r>
        <w:rPr>
          <w:spacing w:val="-13"/>
        </w:rPr>
        <w:t xml:space="preserve"> </w:t>
      </w:r>
      <w:r>
        <w:t>también</w:t>
      </w:r>
      <w:r>
        <w:rPr>
          <w:spacing w:val="-13"/>
        </w:rPr>
        <w:t xml:space="preserve"> </w:t>
      </w:r>
      <w:r>
        <w:t>por políticos, empresarios, funcionarios y civiles que buscaron a los grupos paramilitares. Una de</w:t>
      </w:r>
      <w:r>
        <w:rPr>
          <w:spacing w:val="-1"/>
        </w:rPr>
        <w:t xml:space="preserve"> </w:t>
      </w:r>
      <w:r>
        <w:t>las</w:t>
      </w:r>
      <w:r>
        <w:rPr>
          <w:spacing w:val="-1"/>
        </w:rPr>
        <w:t xml:space="preserve"> </w:t>
      </w:r>
      <w:r>
        <w:t>formas</w:t>
      </w:r>
      <w:r>
        <w:rPr>
          <w:spacing w:val="-1"/>
        </w:rPr>
        <w:t xml:space="preserve"> </w:t>
      </w:r>
      <w:r>
        <w:t>en</w:t>
      </w:r>
      <w:r>
        <w:rPr>
          <w:spacing w:val="-1"/>
        </w:rPr>
        <w:t xml:space="preserve"> </w:t>
      </w:r>
      <w:r>
        <w:t>las</w:t>
      </w:r>
      <w:r>
        <w:rPr>
          <w:spacing w:val="-1"/>
        </w:rPr>
        <w:t xml:space="preserve"> </w:t>
      </w:r>
      <w:r>
        <w:t>que</w:t>
      </w:r>
      <w:r>
        <w:rPr>
          <w:spacing w:val="-1"/>
        </w:rPr>
        <w:t xml:space="preserve"> </w:t>
      </w:r>
      <w:r>
        <w:t>se</w:t>
      </w:r>
      <w:r>
        <w:rPr>
          <w:spacing w:val="-1"/>
        </w:rPr>
        <w:t xml:space="preserve"> </w:t>
      </w:r>
      <w:r>
        <w:t>creaban</w:t>
      </w:r>
      <w:r>
        <w:rPr>
          <w:spacing w:val="-2"/>
        </w:rPr>
        <w:t xml:space="preserve"> </w:t>
      </w:r>
      <w:r>
        <w:t>los</w:t>
      </w:r>
      <w:r>
        <w:rPr>
          <w:spacing w:val="-1"/>
        </w:rPr>
        <w:t xml:space="preserve"> </w:t>
      </w:r>
      <w:r>
        <w:t>vínculos</w:t>
      </w:r>
      <w:r>
        <w:rPr>
          <w:spacing w:val="-2"/>
        </w:rPr>
        <w:t xml:space="preserve"> </w:t>
      </w:r>
      <w:r>
        <w:t>y</w:t>
      </w:r>
      <w:r>
        <w:rPr>
          <w:spacing w:val="-1"/>
        </w:rPr>
        <w:t xml:space="preserve"> </w:t>
      </w:r>
      <w:r>
        <w:lastRenderedPageBreak/>
        <w:t>pactos</w:t>
      </w:r>
      <w:r>
        <w:rPr>
          <w:spacing w:val="-1"/>
        </w:rPr>
        <w:t xml:space="preserve"> </w:t>
      </w:r>
      <w:r>
        <w:t>era</w:t>
      </w:r>
      <w:r>
        <w:rPr>
          <w:spacing w:val="-2"/>
        </w:rPr>
        <w:t xml:space="preserve"> </w:t>
      </w:r>
      <w:r>
        <w:t>por</w:t>
      </w:r>
      <w:r>
        <w:rPr>
          <w:spacing w:val="-1"/>
        </w:rPr>
        <w:t xml:space="preserve"> </w:t>
      </w:r>
      <w:r>
        <w:t>medio</w:t>
      </w:r>
      <w:r>
        <w:rPr>
          <w:spacing w:val="-1"/>
        </w:rPr>
        <w:t xml:space="preserve"> </w:t>
      </w:r>
      <w:r>
        <w:t>de</w:t>
      </w:r>
      <w:r>
        <w:rPr>
          <w:spacing w:val="-1"/>
        </w:rPr>
        <w:t xml:space="preserve"> </w:t>
      </w:r>
      <w:r>
        <w:t>una</w:t>
      </w:r>
      <w:r>
        <w:rPr>
          <w:spacing w:val="-1"/>
        </w:rPr>
        <w:t xml:space="preserve"> </w:t>
      </w:r>
      <w:r>
        <w:t>estructura</w:t>
      </w:r>
      <w:r>
        <w:rPr>
          <w:spacing w:val="-1"/>
        </w:rPr>
        <w:t xml:space="preserve"> </w:t>
      </w:r>
      <w:r>
        <w:t xml:space="preserve">de compartimentación de las comunicaciones, que además ayudaba a proteger a los involucrados. Según uno de los encargados de estas alianzas por parte de unidades del </w:t>
      </w:r>
      <w:r>
        <w:rPr>
          <w:spacing w:val="-2"/>
        </w:rPr>
        <w:t>Ejército:</w:t>
      </w:r>
    </w:p>
    <w:p w:rsidR="003804AC" w:rsidRDefault="00AF18A5" w:rsidP="000B3C81">
      <w:r>
        <w:t>«Ustedes</w:t>
      </w:r>
      <w:r>
        <w:rPr>
          <w:spacing w:val="-14"/>
        </w:rPr>
        <w:t xml:space="preserve"> </w:t>
      </w:r>
      <w:r>
        <w:t>se</w:t>
      </w:r>
      <w:r>
        <w:rPr>
          <w:spacing w:val="-13"/>
        </w:rPr>
        <w:t xml:space="preserve"> </w:t>
      </w:r>
      <w:r>
        <w:t>preguntarán:</w:t>
      </w:r>
      <w:r>
        <w:rPr>
          <w:spacing w:val="-12"/>
        </w:rPr>
        <w:t xml:space="preserve"> </w:t>
      </w:r>
      <w:r>
        <w:t>“Venga</w:t>
      </w:r>
      <w:r>
        <w:rPr>
          <w:spacing w:val="-12"/>
        </w:rPr>
        <w:t xml:space="preserve"> </w:t>
      </w:r>
      <w:r>
        <w:t>¿y</w:t>
      </w:r>
      <w:r>
        <w:rPr>
          <w:spacing w:val="-11"/>
        </w:rPr>
        <w:t xml:space="preserve"> </w:t>
      </w:r>
      <w:r>
        <w:t>cómo</w:t>
      </w:r>
      <w:r>
        <w:rPr>
          <w:spacing w:val="-12"/>
        </w:rPr>
        <w:t xml:space="preserve"> </w:t>
      </w:r>
      <w:r>
        <w:t>actuaban</w:t>
      </w:r>
      <w:r>
        <w:rPr>
          <w:spacing w:val="-11"/>
        </w:rPr>
        <w:t xml:space="preserve"> </w:t>
      </w:r>
      <w:r>
        <w:t>estos</w:t>
      </w:r>
      <w:r>
        <w:rPr>
          <w:spacing w:val="-12"/>
        </w:rPr>
        <w:t xml:space="preserve"> </w:t>
      </w:r>
      <w:r>
        <w:t>manes</w:t>
      </w:r>
      <w:r>
        <w:rPr>
          <w:spacing w:val="-11"/>
        </w:rPr>
        <w:t xml:space="preserve"> </w:t>
      </w:r>
      <w:r>
        <w:t>para</w:t>
      </w:r>
      <w:r>
        <w:rPr>
          <w:spacing w:val="-12"/>
        </w:rPr>
        <w:t xml:space="preserve"> </w:t>
      </w:r>
      <w:r>
        <w:t>que</w:t>
      </w:r>
      <w:r>
        <w:rPr>
          <w:spacing w:val="-11"/>
        </w:rPr>
        <w:t xml:space="preserve"> </w:t>
      </w:r>
      <w:r>
        <w:t>no</w:t>
      </w:r>
      <w:r>
        <w:rPr>
          <w:spacing w:val="-12"/>
        </w:rPr>
        <w:t xml:space="preserve"> </w:t>
      </w:r>
      <w:r>
        <w:t>los</w:t>
      </w:r>
      <w:r>
        <w:rPr>
          <w:spacing w:val="-11"/>
        </w:rPr>
        <w:t xml:space="preserve"> </w:t>
      </w:r>
      <w:r>
        <w:rPr>
          <w:spacing w:val="-2"/>
        </w:rPr>
        <w:t>pillaran?,</w:t>
      </w:r>
      <w:r w:rsidR="000B3C81">
        <w:t xml:space="preserve"> </w:t>
      </w:r>
      <w:r>
        <w:t>¿tanto tiempo sin que los pillaran?”. Entonces yo les digo: “Miren, está el general, está el gobernador, entre estos dos se hablan y la relación es oficial, normal, y está el pecador, que puedo</w:t>
      </w:r>
      <w:r>
        <w:rPr>
          <w:spacing w:val="-13"/>
        </w:rPr>
        <w:t xml:space="preserve"> </w:t>
      </w:r>
      <w:r>
        <w:t>ser</w:t>
      </w:r>
      <w:r>
        <w:rPr>
          <w:spacing w:val="-13"/>
        </w:rPr>
        <w:t xml:space="preserve"> </w:t>
      </w:r>
      <w:r>
        <w:t>yo</w:t>
      </w:r>
      <w:r>
        <w:rPr>
          <w:spacing w:val="-14"/>
        </w:rPr>
        <w:t xml:space="preserve"> </w:t>
      </w:r>
      <w:r>
        <w:t>u</w:t>
      </w:r>
      <w:r>
        <w:rPr>
          <w:spacing w:val="-13"/>
        </w:rPr>
        <w:t xml:space="preserve"> </w:t>
      </w:r>
      <w:r>
        <w:t>otro,</w:t>
      </w:r>
      <w:r>
        <w:rPr>
          <w:spacing w:val="-13"/>
        </w:rPr>
        <w:t xml:space="preserve"> </w:t>
      </w:r>
      <w:r>
        <w:t>otra</w:t>
      </w:r>
      <w:r>
        <w:rPr>
          <w:spacing w:val="-14"/>
        </w:rPr>
        <w:t xml:space="preserve"> </w:t>
      </w:r>
      <w:r>
        <w:t>estructura,</w:t>
      </w:r>
      <w:r>
        <w:rPr>
          <w:spacing w:val="-13"/>
        </w:rPr>
        <w:t xml:space="preserve"> </w:t>
      </w:r>
      <w:r>
        <w:t>y</w:t>
      </w:r>
      <w:r>
        <w:rPr>
          <w:spacing w:val="-13"/>
        </w:rPr>
        <w:t xml:space="preserve"> </w:t>
      </w:r>
      <w:r>
        <w:t>entran</w:t>
      </w:r>
      <w:r>
        <w:rPr>
          <w:spacing w:val="-13"/>
        </w:rPr>
        <w:t xml:space="preserve"> </w:t>
      </w:r>
      <w:r>
        <w:t>aquí”.</w:t>
      </w:r>
      <w:r>
        <w:rPr>
          <w:spacing w:val="-13"/>
        </w:rPr>
        <w:t xml:space="preserve"> </w:t>
      </w:r>
      <w:r>
        <w:t>La</w:t>
      </w:r>
      <w:r>
        <w:rPr>
          <w:spacing w:val="-13"/>
        </w:rPr>
        <w:t xml:space="preserve"> </w:t>
      </w:r>
      <w:r>
        <w:t>primera</w:t>
      </w:r>
      <w:r>
        <w:rPr>
          <w:spacing w:val="-14"/>
        </w:rPr>
        <w:t xml:space="preserve"> </w:t>
      </w:r>
      <w:r>
        <w:t>reunión</w:t>
      </w:r>
      <w:r>
        <w:rPr>
          <w:spacing w:val="-13"/>
        </w:rPr>
        <w:t xml:space="preserve"> </w:t>
      </w:r>
      <w:r>
        <w:t>se</w:t>
      </w:r>
      <w:r>
        <w:rPr>
          <w:spacing w:val="-13"/>
        </w:rPr>
        <w:t xml:space="preserve"> </w:t>
      </w:r>
      <w:r>
        <w:t>hace,</w:t>
      </w:r>
      <w:r>
        <w:rPr>
          <w:spacing w:val="-13"/>
        </w:rPr>
        <w:t xml:space="preserve"> </w:t>
      </w:r>
      <w:r>
        <w:t>el</w:t>
      </w:r>
      <w:r>
        <w:rPr>
          <w:spacing w:val="-13"/>
        </w:rPr>
        <w:t xml:space="preserve"> </w:t>
      </w:r>
      <w:r>
        <w:t>gobernador saca al general para que hable con el pecador, en este caso somos tres interactuando, y ya quedo</w:t>
      </w:r>
      <w:r>
        <w:rPr>
          <w:spacing w:val="-6"/>
        </w:rPr>
        <w:t xml:space="preserve"> </w:t>
      </w:r>
      <w:r>
        <w:t>yo</w:t>
      </w:r>
      <w:r>
        <w:rPr>
          <w:spacing w:val="-6"/>
        </w:rPr>
        <w:t xml:space="preserve"> </w:t>
      </w:r>
      <w:r>
        <w:t>conectado</w:t>
      </w:r>
      <w:r>
        <w:rPr>
          <w:spacing w:val="-7"/>
        </w:rPr>
        <w:t xml:space="preserve"> </w:t>
      </w:r>
      <w:r>
        <w:t>con</w:t>
      </w:r>
      <w:r>
        <w:rPr>
          <w:spacing w:val="-7"/>
        </w:rPr>
        <w:t xml:space="preserve"> </w:t>
      </w:r>
      <w:r>
        <w:t>el</w:t>
      </w:r>
      <w:r>
        <w:rPr>
          <w:spacing w:val="-6"/>
        </w:rPr>
        <w:t xml:space="preserve"> </w:t>
      </w:r>
      <w:r>
        <w:t>general,</w:t>
      </w:r>
      <w:r>
        <w:rPr>
          <w:spacing w:val="-6"/>
        </w:rPr>
        <w:t xml:space="preserve"> </w:t>
      </w:r>
      <w:r>
        <w:t>o</w:t>
      </w:r>
      <w:r>
        <w:rPr>
          <w:spacing w:val="-7"/>
        </w:rPr>
        <w:t xml:space="preserve"> </w:t>
      </w:r>
      <w:r>
        <w:t>el</w:t>
      </w:r>
      <w:r>
        <w:rPr>
          <w:spacing w:val="-6"/>
        </w:rPr>
        <w:t xml:space="preserve"> </w:t>
      </w:r>
      <w:r>
        <w:t>general</w:t>
      </w:r>
      <w:r>
        <w:rPr>
          <w:spacing w:val="-6"/>
        </w:rPr>
        <w:t xml:space="preserve"> </w:t>
      </w:r>
      <w:r>
        <w:t>me</w:t>
      </w:r>
      <w:r>
        <w:rPr>
          <w:spacing w:val="-6"/>
        </w:rPr>
        <w:t xml:space="preserve"> </w:t>
      </w:r>
      <w:r>
        <w:t>saca</w:t>
      </w:r>
      <w:r>
        <w:rPr>
          <w:spacing w:val="-7"/>
        </w:rPr>
        <w:t xml:space="preserve"> </w:t>
      </w:r>
      <w:r>
        <w:t>al</w:t>
      </w:r>
      <w:r>
        <w:rPr>
          <w:spacing w:val="-6"/>
        </w:rPr>
        <w:t xml:space="preserve"> </w:t>
      </w:r>
      <w:r>
        <w:t>gobernador,</w:t>
      </w:r>
      <w:r>
        <w:rPr>
          <w:spacing w:val="-7"/>
        </w:rPr>
        <w:t xml:space="preserve"> </w:t>
      </w:r>
      <w:r>
        <w:t>pero</w:t>
      </w:r>
      <w:r>
        <w:rPr>
          <w:spacing w:val="-6"/>
        </w:rPr>
        <w:t xml:space="preserve"> </w:t>
      </w:r>
      <w:r>
        <w:t>ellos</w:t>
      </w:r>
      <w:r>
        <w:rPr>
          <w:spacing w:val="-6"/>
        </w:rPr>
        <w:t xml:space="preserve"> </w:t>
      </w:r>
      <w:r>
        <w:t>dicen:</w:t>
      </w:r>
      <w:r>
        <w:rPr>
          <w:spacing w:val="-6"/>
        </w:rPr>
        <w:t xml:space="preserve"> </w:t>
      </w:r>
      <w:r>
        <w:t xml:space="preserve">“La compartimentación”. ¿Qué es la compartimentación? Que la mano derecha no sepa lo que hace la mano izquierda; entonces ustedes ponen a un hombre de confianza, a partir del momento se entienden con este </w:t>
      </w:r>
      <w:proofErr w:type="spellStart"/>
      <w:r>
        <w:t>man</w:t>
      </w:r>
      <w:proofErr w:type="spellEnd"/>
      <w:r>
        <w:t>, porque este es el seguro de vida del general o del gobernador,</w:t>
      </w:r>
      <w:r>
        <w:rPr>
          <w:spacing w:val="-2"/>
        </w:rPr>
        <w:t xml:space="preserve"> </w:t>
      </w:r>
      <w:r>
        <w:t>y</w:t>
      </w:r>
      <w:r>
        <w:rPr>
          <w:spacing w:val="1"/>
        </w:rPr>
        <w:t xml:space="preserve"> </w:t>
      </w:r>
      <w:r>
        <w:t>este</w:t>
      </w:r>
      <w:r>
        <w:rPr>
          <w:spacing w:val="2"/>
        </w:rPr>
        <w:t xml:space="preserve"> </w:t>
      </w:r>
      <w:r>
        <w:t>es el</w:t>
      </w:r>
      <w:r>
        <w:rPr>
          <w:spacing w:val="1"/>
        </w:rPr>
        <w:t xml:space="preserve"> </w:t>
      </w:r>
      <w:r>
        <w:t>que</w:t>
      </w:r>
      <w:r>
        <w:rPr>
          <w:spacing w:val="1"/>
        </w:rPr>
        <w:t xml:space="preserve"> </w:t>
      </w:r>
      <w:r>
        <w:t>maneja</w:t>
      </w:r>
      <w:r>
        <w:rPr>
          <w:spacing w:val="1"/>
        </w:rPr>
        <w:t xml:space="preserve"> </w:t>
      </w:r>
      <w:r>
        <w:t>todo,</w:t>
      </w:r>
      <w:r>
        <w:rPr>
          <w:spacing w:val="1"/>
        </w:rPr>
        <w:t xml:space="preserve"> </w:t>
      </w:r>
      <w:r>
        <w:t>y</w:t>
      </w:r>
      <w:r>
        <w:rPr>
          <w:spacing w:val="2"/>
        </w:rPr>
        <w:t xml:space="preserve"> </w:t>
      </w:r>
      <w:r>
        <w:t>si</w:t>
      </w:r>
      <w:r>
        <w:rPr>
          <w:spacing w:val="1"/>
        </w:rPr>
        <w:t xml:space="preserve"> </w:t>
      </w:r>
      <w:r>
        <w:t>algo</w:t>
      </w:r>
      <w:r>
        <w:rPr>
          <w:spacing w:val="2"/>
        </w:rPr>
        <w:t xml:space="preserve"> </w:t>
      </w:r>
      <w:r>
        <w:t>se</w:t>
      </w:r>
      <w:r>
        <w:rPr>
          <w:spacing w:val="1"/>
        </w:rPr>
        <w:t xml:space="preserve"> </w:t>
      </w:r>
      <w:r>
        <w:t>revienta</w:t>
      </w:r>
      <w:r>
        <w:rPr>
          <w:spacing w:val="2"/>
        </w:rPr>
        <w:t xml:space="preserve"> </w:t>
      </w:r>
      <w:r>
        <w:t>ustedes</w:t>
      </w:r>
      <w:r>
        <w:rPr>
          <w:spacing w:val="1"/>
        </w:rPr>
        <w:t xml:space="preserve"> </w:t>
      </w:r>
      <w:r>
        <w:t>dos</w:t>
      </w:r>
      <w:r>
        <w:rPr>
          <w:spacing w:val="2"/>
        </w:rPr>
        <w:t xml:space="preserve"> </w:t>
      </w:r>
      <w:r>
        <w:t>pueden... que</w:t>
      </w:r>
      <w:r>
        <w:rPr>
          <w:spacing w:val="2"/>
        </w:rPr>
        <w:t xml:space="preserve"> </w:t>
      </w:r>
      <w:r>
        <w:rPr>
          <w:spacing w:val="-5"/>
        </w:rPr>
        <w:t>fue</w:t>
      </w:r>
      <w:bookmarkStart w:id="567" w:name="_bookmark465"/>
      <w:bookmarkEnd w:id="567"/>
      <w:r w:rsidR="000B3C81">
        <w:rPr>
          <w:spacing w:val="-5"/>
        </w:rPr>
        <w:t xml:space="preserve"> </w:t>
      </w:r>
      <w:r>
        <w:t>lo que me pasó a mí, yo fui este [hombre de confianza] para mucha gente, se hicieron cosas y el peso de todo eso lo he recibido yo, ¿ven? Ese es el engranaje, y todo va engranado»</w:t>
      </w:r>
      <w:r w:rsidR="000B3C81">
        <w:rPr>
          <w:rStyle w:val="Refdenotaalpie"/>
        </w:rPr>
        <w:footnoteReference w:id="414"/>
      </w:r>
      <w:r>
        <w:t>.</w:t>
      </w:r>
    </w:p>
    <w:p w:rsidR="003804AC" w:rsidRDefault="00AF18A5" w:rsidP="000B3C81">
      <w:r>
        <w:t>La magnitud de este entramado ha sido revelada a la Comisión de la Verdad en multiplicidad de testimonios, informes, sentencias y declaraciones de responsables paramilitares. Se trata de una evidencia amplia y contundente de estas relaciones.</w:t>
      </w:r>
    </w:p>
    <w:p w:rsidR="0011361F" w:rsidRDefault="00AF18A5" w:rsidP="004A6EF4">
      <w:pPr>
        <w:pStyle w:val="Ttulo3"/>
        <w:numPr>
          <w:ilvl w:val="1"/>
          <w:numId w:val="16"/>
        </w:numPr>
      </w:pPr>
      <w:bookmarkStart w:id="568" w:name="5.7._La_relación_con_la_fuerza_pública"/>
      <w:bookmarkStart w:id="569" w:name="_Toc112399598"/>
      <w:bookmarkEnd w:id="568"/>
      <w:r>
        <w:t>La</w:t>
      </w:r>
      <w:r>
        <w:rPr>
          <w:spacing w:val="-1"/>
        </w:rPr>
        <w:t xml:space="preserve"> </w:t>
      </w:r>
      <w:r>
        <w:t>relación</w:t>
      </w:r>
      <w:r>
        <w:rPr>
          <w:spacing w:val="-2"/>
        </w:rPr>
        <w:t xml:space="preserve"> </w:t>
      </w:r>
      <w:r>
        <w:t>con</w:t>
      </w:r>
      <w:r>
        <w:rPr>
          <w:spacing w:val="-2"/>
        </w:rPr>
        <w:t xml:space="preserve"> </w:t>
      </w:r>
      <w:r>
        <w:t>la</w:t>
      </w:r>
      <w:r>
        <w:rPr>
          <w:spacing w:val="-3"/>
        </w:rPr>
        <w:t xml:space="preserve"> </w:t>
      </w:r>
      <w:r>
        <w:t xml:space="preserve">fuerza </w:t>
      </w:r>
      <w:r>
        <w:rPr>
          <w:spacing w:val="-2"/>
        </w:rPr>
        <w:t>pública</w:t>
      </w:r>
      <w:bookmarkEnd w:id="569"/>
    </w:p>
    <w:p w:rsidR="003804AC" w:rsidRDefault="00AF18A5" w:rsidP="005B50DE">
      <w:r>
        <w:lastRenderedPageBreak/>
        <w:t>El origen y la expansión paramilitar contó con el apoyo directo de directivos de la fuerza pública colombiana, entre los que se encuentran altos cargos del Ejército, aunque solo algunos</w:t>
      </w:r>
      <w:r>
        <w:rPr>
          <w:spacing w:val="-8"/>
        </w:rPr>
        <w:t xml:space="preserve"> </w:t>
      </w:r>
      <w:r>
        <w:t>de</w:t>
      </w:r>
      <w:r>
        <w:rPr>
          <w:spacing w:val="-7"/>
        </w:rPr>
        <w:t xml:space="preserve"> </w:t>
      </w:r>
      <w:r>
        <w:t>ellos</w:t>
      </w:r>
      <w:r>
        <w:rPr>
          <w:spacing w:val="-6"/>
        </w:rPr>
        <w:t xml:space="preserve"> </w:t>
      </w:r>
      <w:r>
        <w:t>han</w:t>
      </w:r>
      <w:r>
        <w:rPr>
          <w:spacing w:val="-6"/>
        </w:rPr>
        <w:t xml:space="preserve"> </w:t>
      </w:r>
      <w:r>
        <w:t>sido</w:t>
      </w:r>
      <w:r>
        <w:rPr>
          <w:spacing w:val="-7"/>
        </w:rPr>
        <w:t xml:space="preserve"> </w:t>
      </w:r>
      <w:r>
        <w:t>investigados</w:t>
      </w:r>
      <w:r>
        <w:rPr>
          <w:spacing w:val="-6"/>
        </w:rPr>
        <w:t xml:space="preserve"> </w:t>
      </w:r>
      <w:r>
        <w:t>y</w:t>
      </w:r>
      <w:r>
        <w:rPr>
          <w:spacing w:val="-5"/>
        </w:rPr>
        <w:t xml:space="preserve"> </w:t>
      </w:r>
      <w:r>
        <w:t>condenados</w:t>
      </w:r>
      <w:r>
        <w:rPr>
          <w:spacing w:val="-6"/>
        </w:rPr>
        <w:t xml:space="preserve"> </w:t>
      </w:r>
      <w:r>
        <w:t>por</w:t>
      </w:r>
      <w:r>
        <w:rPr>
          <w:spacing w:val="-6"/>
        </w:rPr>
        <w:t xml:space="preserve"> </w:t>
      </w:r>
      <w:r>
        <w:t>sus</w:t>
      </w:r>
      <w:r>
        <w:rPr>
          <w:spacing w:val="-8"/>
        </w:rPr>
        <w:t xml:space="preserve"> </w:t>
      </w:r>
      <w:r>
        <w:t>alianzas</w:t>
      </w:r>
      <w:r>
        <w:rPr>
          <w:spacing w:val="-6"/>
        </w:rPr>
        <w:t xml:space="preserve"> </w:t>
      </w:r>
      <w:r>
        <w:t>con</w:t>
      </w:r>
      <w:r>
        <w:rPr>
          <w:spacing w:val="-7"/>
        </w:rPr>
        <w:t xml:space="preserve"> </w:t>
      </w:r>
      <w:r>
        <w:t>el</w:t>
      </w:r>
      <w:r>
        <w:rPr>
          <w:spacing w:val="-5"/>
        </w:rPr>
        <w:t xml:space="preserve"> </w:t>
      </w:r>
      <w:r>
        <w:rPr>
          <w:spacing w:val="-2"/>
        </w:rPr>
        <w:t>paramilitarismo.</w:t>
      </w:r>
    </w:p>
    <w:p w:rsidR="0011361F" w:rsidRDefault="00AF18A5" w:rsidP="005B50DE">
      <w:r>
        <w:rPr>
          <w:spacing w:val="-2"/>
        </w:rPr>
        <w:t>Sentencias</w:t>
      </w:r>
      <w:r>
        <w:rPr>
          <w:spacing w:val="-4"/>
        </w:rPr>
        <w:t xml:space="preserve"> </w:t>
      </w:r>
      <w:r>
        <w:rPr>
          <w:spacing w:val="-2"/>
        </w:rPr>
        <w:t>de</w:t>
      </w:r>
      <w:r>
        <w:rPr>
          <w:spacing w:val="-4"/>
        </w:rPr>
        <w:t xml:space="preserve"> </w:t>
      </w:r>
      <w:r>
        <w:rPr>
          <w:spacing w:val="-2"/>
        </w:rPr>
        <w:t>la</w:t>
      </w:r>
      <w:r>
        <w:rPr>
          <w:spacing w:val="-5"/>
        </w:rPr>
        <w:t xml:space="preserve"> </w:t>
      </w:r>
      <w:r>
        <w:rPr>
          <w:spacing w:val="-2"/>
        </w:rPr>
        <w:t>Corte</w:t>
      </w:r>
      <w:r>
        <w:rPr>
          <w:spacing w:val="-5"/>
        </w:rPr>
        <w:t xml:space="preserve"> </w:t>
      </w:r>
      <w:r>
        <w:rPr>
          <w:spacing w:val="-2"/>
        </w:rPr>
        <w:t>Interamericana</w:t>
      </w:r>
      <w:r>
        <w:rPr>
          <w:spacing w:val="-5"/>
        </w:rPr>
        <w:t xml:space="preserve"> </w:t>
      </w:r>
      <w:r>
        <w:rPr>
          <w:spacing w:val="-2"/>
        </w:rPr>
        <w:t>contra</w:t>
      </w:r>
      <w:r>
        <w:rPr>
          <w:spacing w:val="-5"/>
        </w:rPr>
        <w:t xml:space="preserve"> </w:t>
      </w:r>
      <w:r>
        <w:rPr>
          <w:spacing w:val="-2"/>
        </w:rPr>
        <w:t>Colombia,</w:t>
      </w:r>
      <w:r>
        <w:rPr>
          <w:spacing w:val="-5"/>
        </w:rPr>
        <w:t xml:space="preserve"> </w:t>
      </w:r>
      <w:r>
        <w:rPr>
          <w:spacing w:val="-2"/>
        </w:rPr>
        <w:t>muestran</w:t>
      </w:r>
      <w:r>
        <w:rPr>
          <w:spacing w:val="-4"/>
        </w:rPr>
        <w:t xml:space="preserve"> </w:t>
      </w:r>
      <w:r>
        <w:rPr>
          <w:spacing w:val="-2"/>
        </w:rPr>
        <w:t>la</w:t>
      </w:r>
      <w:r>
        <w:rPr>
          <w:spacing w:val="-4"/>
        </w:rPr>
        <w:t xml:space="preserve"> </w:t>
      </w:r>
      <w:r>
        <w:rPr>
          <w:spacing w:val="-2"/>
        </w:rPr>
        <w:t>existencia</w:t>
      </w:r>
      <w:r>
        <w:rPr>
          <w:spacing w:val="-4"/>
        </w:rPr>
        <w:t xml:space="preserve"> </w:t>
      </w:r>
      <w:r>
        <w:rPr>
          <w:spacing w:val="-2"/>
        </w:rPr>
        <w:t>de</w:t>
      </w:r>
      <w:r>
        <w:rPr>
          <w:spacing w:val="-5"/>
        </w:rPr>
        <w:t xml:space="preserve"> </w:t>
      </w:r>
      <w:r>
        <w:rPr>
          <w:spacing w:val="-2"/>
        </w:rPr>
        <w:t xml:space="preserve">vínculos </w:t>
      </w:r>
      <w:r>
        <w:t>entre</w:t>
      </w:r>
      <w:r>
        <w:rPr>
          <w:spacing w:val="-1"/>
        </w:rPr>
        <w:t xml:space="preserve"> </w:t>
      </w:r>
      <w:r>
        <w:t>miembros de</w:t>
      </w:r>
      <w:r>
        <w:rPr>
          <w:spacing w:val="-1"/>
        </w:rPr>
        <w:t xml:space="preserve"> </w:t>
      </w:r>
      <w:r>
        <w:t>la</w:t>
      </w:r>
      <w:r>
        <w:rPr>
          <w:spacing w:val="-1"/>
        </w:rPr>
        <w:t xml:space="preserve"> </w:t>
      </w:r>
      <w:r>
        <w:t>fuerza pública</w:t>
      </w:r>
      <w:r>
        <w:rPr>
          <w:spacing w:val="-1"/>
        </w:rPr>
        <w:t xml:space="preserve"> </w:t>
      </w:r>
      <w:r>
        <w:t>y el paramilitarismo</w:t>
      </w:r>
      <w:r>
        <w:rPr>
          <w:spacing w:val="-1"/>
        </w:rPr>
        <w:t xml:space="preserve"> </w:t>
      </w:r>
      <w:r>
        <w:t>en operaciones</w:t>
      </w:r>
      <w:r>
        <w:rPr>
          <w:spacing w:val="-1"/>
        </w:rPr>
        <w:t xml:space="preserve"> </w:t>
      </w:r>
      <w:r>
        <w:t>conjuntas,</w:t>
      </w:r>
      <w:r>
        <w:rPr>
          <w:spacing w:val="-1"/>
        </w:rPr>
        <w:t xml:space="preserve"> </w:t>
      </w:r>
      <w:r>
        <w:t>apoyo y coordinación, así como omisiones de integrantes de la fuerza pública. Las sentencias que se han logrado expedir por parte de tribunales nacionales e internacionales son una muestra de la profundidad de estas alianzas operacionales e ideológicas, como en la masacre de La Rochela (1989</w:t>
      </w:r>
      <w:r w:rsidR="005B50DE">
        <w:rPr>
          <w:rStyle w:val="Refdenotaalpie"/>
        </w:rPr>
        <w:footnoteReference w:id="415"/>
      </w:r>
      <w:r>
        <w:t>), la ejecución extrajudicial del exsenador de la Unión Patriótica Manuel Cepeda</w:t>
      </w:r>
      <w:r>
        <w:rPr>
          <w:spacing w:val="-1"/>
        </w:rPr>
        <w:t xml:space="preserve"> </w:t>
      </w:r>
      <w:r>
        <w:t>Vargas</w:t>
      </w:r>
      <w:r w:rsidR="005B50DE">
        <w:rPr>
          <w:rStyle w:val="Refdenotaalpie"/>
        </w:rPr>
        <w:footnoteReference w:id="416"/>
      </w:r>
      <w:r>
        <w:rPr>
          <w:spacing w:val="-1"/>
        </w:rPr>
        <w:t xml:space="preserve"> </w:t>
      </w:r>
      <w:r>
        <w:t>(agosto</w:t>
      </w:r>
      <w:r>
        <w:rPr>
          <w:spacing w:val="-1"/>
        </w:rPr>
        <w:t xml:space="preserve"> </w:t>
      </w:r>
      <w:r>
        <w:t>de</w:t>
      </w:r>
      <w:r>
        <w:rPr>
          <w:spacing w:val="-1"/>
        </w:rPr>
        <w:t xml:space="preserve"> </w:t>
      </w:r>
      <w:r>
        <w:t>1994),</w:t>
      </w:r>
      <w:r>
        <w:rPr>
          <w:spacing w:val="-1"/>
        </w:rPr>
        <w:t xml:space="preserve"> </w:t>
      </w:r>
      <w:r>
        <w:t>las</w:t>
      </w:r>
      <w:r>
        <w:rPr>
          <w:spacing w:val="-1"/>
        </w:rPr>
        <w:t xml:space="preserve"> </w:t>
      </w:r>
      <w:r>
        <w:t>masacres</w:t>
      </w:r>
      <w:r>
        <w:rPr>
          <w:spacing w:val="-1"/>
        </w:rPr>
        <w:t xml:space="preserve"> </w:t>
      </w:r>
      <w:r>
        <w:t>de</w:t>
      </w:r>
      <w:r>
        <w:rPr>
          <w:spacing w:val="-1"/>
        </w:rPr>
        <w:t xml:space="preserve"> </w:t>
      </w:r>
      <w:r>
        <w:t>Ituango</w:t>
      </w:r>
      <w:r w:rsidR="005B50DE">
        <w:rPr>
          <w:rStyle w:val="Refdenotaalpie"/>
        </w:rPr>
        <w:footnoteReference w:id="417"/>
      </w:r>
      <w:r>
        <w:rPr>
          <w:spacing w:val="-1"/>
        </w:rPr>
        <w:t xml:space="preserve"> </w:t>
      </w:r>
      <w:r>
        <w:t>(junio</w:t>
      </w:r>
      <w:r>
        <w:rPr>
          <w:spacing w:val="-1"/>
        </w:rPr>
        <w:t xml:space="preserve"> </w:t>
      </w:r>
      <w:r>
        <w:t>de</w:t>
      </w:r>
      <w:r>
        <w:rPr>
          <w:spacing w:val="-1"/>
        </w:rPr>
        <w:t xml:space="preserve"> </w:t>
      </w:r>
      <w:r>
        <w:t>1996,</w:t>
      </w:r>
      <w:r>
        <w:rPr>
          <w:spacing w:val="-1"/>
        </w:rPr>
        <w:t xml:space="preserve"> </w:t>
      </w:r>
      <w:r>
        <w:t>La</w:t>
      </w:r>
      <w:r>
        <w:rPr>
          <w:spacing w:val="-1"/>
        </w:rPr>
        <w:t xml:space="preserve"> </w:t>
      </w:r>
      <w:r>
        <w:t>Granja;</w:t>
      </w:r>
      <w:r>
        <w:rPr>
          <w:spacing w:val="-2"/>
        </w:rPr>
        <w:t xml:space="preserve"> </w:t>
      </w:r>
      <w:r>
        <w:t>y octubre de 1997, El Aro), la masacre de Mapiripán (1997</w:t>
      </w:r>
      <w:r w:rsidR="005B50DE">
        <w:rPr>
          <w:rStyle w:val="Refdenotaalpie"/>
        </w:rPr>
        <w:footnoteReference w:id="418"/>
      </w:r>
      <w:r>
        <w:t>) y la operación Génesis</w:t>
      </w:r>
      <w:r w:rsidR="005B50DE">
        <w:rPr>
          <w:rStyle w:val="Refdenotaalpie"/>
        </w:rPr>
        <w:footnoteReference w:id="419"/>
      </w:r>
      <w:r>
        <w:t>, en sentencias de la Corte Interamericana de Derechos Humanos.</w:t>
      </w:r>
    </w:p>
    <w:p w:rsidR="003804AC" w:rsidRDefault="00AF18A5" w:rsidP="005B50DE">
      <w:bookmarkStart w:id="570" w:name="_bookmark467"/>
      <w:bookmarkStart w:id="571" w:name="_bookmark468"/>
      <w:bookmarkStart w:id="572" w:name="_bookmark469"/>
      <w:bookmarkStart w:id="573" w:name="_bookmark470"/>
      <w:bookmarkStart w:id="574" w:name="_bookmark471"/>
      <w:bookmarkStart w:id="575" w:name="_bookmark472"/>
      <w:bookmarkEnd w:id="570"/>
      <w:bookmarkEnd w:id="571"/>
      <w:bookmarkEnd w:id="572"/>
      <w:bookmarkEnd w:id="573"/>
      <w:bookmarkEnd w:id="574"/>
      <w:bookmarkEnd w:id="575"/>
      <w:r>
        <w:t>También numerosos militares y exmilitares han dado su testimonio ante la Comisión confirmando estas estrechas relaciones en muchos casos de ejecuciones extrajudiciales presentadas como muertes en combate, los llamados «falsos positivos».</w:t>
      </w:r>
    </w:p>
    <w:p w:rsidR="003804AC" w:rsidRDefault="00AF18A5" w:rsidP="009211B1">
      <w:r>
        <w:lastRenderedPageBreak/>
        <w:t>Hubo</w:t>
      </w:r>
      <w:r>
        <w:rPr>
          <w:spacing w:val="-15"/>
        </w:rPr>
        <w:t xml:space="preserve"> </w:t>
      </w:r>
      <w:r>
        <w:t>omisiones</w:t>
      </w:r>
      <w:r>
        <w:rPr>
          <w:spacing w:val="-15"/>
        </w:rPr>
        <w:t xml:space="preserve"> </w:t>
      </w:r>
      <w:r>
        <w:t>intencionales,</w:t>
      </w:r>
      <w:r>
        <w:rPr>
          <w:spacing w:val="-15"/>
        </w:rPr>
        <w:t xml:space="preserve"> </w:t>
      </w:r>
      <w:r>
        <w:t>como</w:t>
      </w:r>
      <w:r>
        <w:rPr>
          <w:spacing w:val="-15"/>
        </w:rPr>
        <w:t xml:space="preserve"> </w:t>
      </w:r>
      <w:r>
        <w:t>el</w:t>
      </w:r>
      <w:r>
        <w:rPr>
          <w:spacing w:val="-15"/>
        </w:rPr>
        <w:t xml:space="preserve"> </w:t>
      </w:r>
      <w:r>
        <w:t>levantamiento</w:t>
      </w:r>
      <w:r>
        <w:rPr>
          <w:spacing w:val="-15"/>
        </w:rPr>
        <w:t xml:space="preserve"> </w:t>
      </w:r>
      <w:r>
        <w:t>de</w:t>
      </w:r>
      <w:r>
        <w:rPr>
          <w:spacing w:val="-15"/>
        </w:rPr>
        <w:t xml:space="preserve"> </w:t>
      </w:r>
      <w:r>
        <w:t>retenes</w:t>
      </w:r>
      <w:r>
        <w:rPr>
          <w:spacing w:val="-15"/>
        </w:rPr>
        <w:t xml:space="preserve"> </w:t>
      </w:r>
      <w:r>
        <w:t>del</w:t>
      </w:r>
      <w:r>
        <w:rPr>
          <w:spacing w:val="-15"/>
        </w:rPr>
        <w:t xml:space="preserve"> </w:t>
      </w:r>
      <w:r>
        <w:t>Ejército</w:t>
      </w:r>
      <w:r>
        <w:rPr>
          <w:spacing w:val="-15"/>
        </w:rPr>
        <w:t xml:space="preserve"> </w:t>
      </w:r>
      <w:r>
        <w:t>para</w:t>
      </w:r>
      <w:r>
        <w:rPr>
          <w:spacing w:val="-15"/>
        </w:rPr>
        <w:t xml:space="preserve"> </w:t>
      </w:r>
      <w:r>
        <w:t>permitir la</w:t>
      </w:r>
      <w:r>
        <w:rPr>
          <w:spacing w:val="-9"/>
        </w:rPr>
        <w:t xml:space="preserve"> </w:t>
      </w:r>
      <w:r>
        <w:t>movilidad</w:t>
      </w:r>
      <w:r>
        <w:rPr>
          <w:spacing w:val="-11"/>
        </w:rPr>
        <w:t xml:space="preserve"> </w:t>
      </w:r>
      <w:r>
        <w:t>de</w:t>
      </w:r>
      <w:r>
        <w:rPr>
          <w:spacing w:val="-9"/>
        </w:rPr>
        <w:t xml:space="preserve"> </w:t>
      </w:r>
      <w:r>
        <w:t>los</w:t>
      </w:r>
      <w:r>
        <w:rPr>
          <w:spacing w:val="-11"/>
        </w:rPr>
        <w:t xml:space="preserve"> </w:t>
      </w:r>
      <w:r>
        <w:t>ejércitos</w:t>
      </w:r>
      <w:r>
        <w:rPr>
          <w:spacing w:val="-9"/>
        </w:rPr>
        <w:t xml:space="preserve"> </w:t>
      </w:r>
      <w:r>
        <w:t>paramilitares</w:t>
      </w:r>
      <w:r>
        <w:rPr>
          <w:spacing w:val="-9"/>
        </w:rPr>
        <w:t xml:space="preserve"> </w:t>
      </w:r>
      <w:r>
        <w:t>y</w:t>
      </w:r>
      <w:r>
        <w:rPr>
          <w:spacing w:val="-11"/>
        </w:rPr>
        <w:t xml:space="preserve"> </w:t>
      </w:r>
      <w:r>
        <w:t>la</w:t>
      </w:r>
      <w:r>
        <w:rPr>
          <w:spacing w:val="-11"/>
        </w:rPr>
        <w:t xml:space="preserve"> </w:t>
      </w:r>
      <w:r>
        <w:t>inacción</w:t>
      </w:r>
      <w:r>
        <w:rPr>
          <w:spacing w:val="-11"/>
        </w:rPr>
        <w:t xml:space="preserve"> </w:t>
      </w:r>
      <w:r>
        <w:t>frente</w:t>
      </w:r>
      <w:r>
        <w:rPr>
          <w:spacing w:val="-11"/>
        </w:rPr>
        <w:t xml:space="preserve"> </w:t>
      </w:r>
      <w:r>
        <w:t>a</w:t>
      </w:r>
      <w:r>
        <w:rPr>
          <w:spacing w:val="-9"/>
        </w:rPr>
        <w:t xml:space="preserve"> </w:t>
      </w:r>
      <w:r>
        <w:t>las</w:t>
      </w:r>
      <w:r>
        <w:rPr>
          <w:spacing w:val="-11"/>
        </w:rPr>
        <w:t xml:space="preserve"> </w:t>
      </w:r>
      <w:r>
        <w:t>denuncias</w:t>
      </w:r>
      <w:r>
        <w:rPr>
          <w:spacing w:val="-9"/>
        </w:rPr>
        <w:t xml:space="preserve"> </w:t>
      </w:r>
      <w:r>
        <w:t>de</w:t>
      </w:r>
      <w:r>
        <w:rPr>
          <w:spacing w:val="-11"/>
        </w:rPr>
        <w:t xml:space="preserve"> </w:t>
      </w:r>
      <w:r>
        <w:t>las</w:t>
      </w:r>
      <w:r>
        <w:rPr>
          <w:spacing w:val="-11"/>
        </w:rPr>
        <w:t xml:space="preserve"> </w:t>
      </w:r>
      <w:r>
        <w:t>personas con</w:t>
      </w:r>
      <w:r>
        <w:rPr>
          <w:spacing w:val="-2"/>
        </w:rPr>
        <w:t xml:space="preserve"> </w:t>
      </w:r>
      <w:r>
        <w:t>respecto</w:t>
      </w:r>
      <w:r>
        <w:rPr>
          <w:spacing w:val="-4"/>
        </w:rPr>
        <w:t xml:space="preserve"> </w:t>
      </w:r>
      <w:r>
        <w:t>a</w:t>
      </w:r>
      <w:r>
        <w:rPr>
          <w:spacing w:val="-2"/>
        </w:rPr>
        <w:t xml:space="preserve"> </w:t>
      </w:r>
      <w:r>
        <w:t>la</w:t>
      </w:r>
      <w:r>
        <w:rPr>
          <w:spacing w:val="-2"/>
        </w:rPr>
        <w:t xml:space="preserve"> </w:t>
      </w:r>
      <w:r>
        <w:t>amenaza</w:t>
      </w:r>
      <w:r>
        <w:rPr>
          <w:spacing w:val="-2"/>
        </w:rPr>
        <w:t xml:space="preserve"> </w:t>
      </w:r>
      <w:r>
        <w:t>paramilitar.</w:t>
      </w:r>
      <w:r>
        <w:rPr>
          <w:spacing w:val="-2"/>
        </w:rPr>
        <w:t xml:space="preserve"> </w:t>
      </w:r>
      <w:r>
        <w:t>Por</w:t>
      </w:r>
      <w:r>
        <w:rPr>
          <w:spacing w:val="-2"/>
        </w:rPr>
        <w:t xml:space="preserve"> </w:t>
      </w:r>
      <w:r>
        <w:t>ejemplo,</w:t>
      </w:r>
      <w:r>
        <w:rPr>
          <w:spacing w:val="-2"/>
        </w:rPr>
        <w:t xml:space="preserve"> </w:t>
      </w:r>
      <w:r>
        <w:t>en</w:t>
      </w:r>
      <w:r>
        <w:rPr>
          <w:spacing w:val="-2"/>
        </w:rPr>
        <w:t xml:space="preserve"> </w:t>
      </w:r>
      <w:r>
        <w:t>el</w:t>
      </w:r>
      <w:r>
        <w:rPr>
          <w:spacing w:val="-2"/>
        </w:rPr>
        <w:t xml:space="preserve"> </w:t>
      </w:r>
      <w:r>
        <w:t>caso</w:t>
      </w:r>
      <w:r>
        <w:rPr>
          <w:spacing w:val="-2"/>
        </w:rPr>
        <w:t xml:space="preserve"> </w:t>
      </w:r>
      <w:r>
        <w:t>de</w:t>
      </w:r>
      <w:r>
        <w:rPr>
          <w:spacing w:val="-2"/>
        </w:rPr>
        <w:t xml:space="preserve"> </w:t>
      </w:r>
      <w:r>
        <w:t>la</w:t>
      </w:r>
      <w:r>
        <w:rPr>
          <w:spacing w:val="-2"/>
        </w:rPr>
        <w:t xml:space="preserve"> </w:t>
      </w:r>
      <w:r>
        <w:t>masacre</w:t>
      </w:r>
      <w:r>
        <w:rPr>
          <w:spacing w:val="-2"/>
        </w:rPr>
        <w:t xml:space="preserve"> </w:t>
      </w:r>
      <w:r>
        <w:t>de</w:t>
      </w:r>
      <w:r>
        <w:rPr>
          <w:spacing w:val="-2"/>
        </w:rPr>
        <w:t xml:space="preserve"> </w:t>
      </w:r>
      <w:r>
        <w:t>La</w:t>
      </w:r>
      <w:r>
        <w:rPr>
          <w:spacing w:val="-2"/>
        </w:rPr>
        <w:t xml:space="preserve"> </w:t>
      </w:r>
      <w:r>
        <w:t>Gabarra, una mujer víctima narró a la Comisión de la Verdad:</w:t>
      </w:r>
    </w:p>
    <w:p w:rsidR="003804AC" w:rsidRDefault="00AF18A5" w:rsidP="009211B1">
      <w:r>
        <w:t>«La Policía se había salido una semana antes de la masacre y lo más triste fue que el Ejército estaba pasando el puente, hay un puente que pasa, atraviesa el río y llega a la base del Ejército y de ahí para allá siguen muchas fincas, y pues el Ejército realmente no salió a combatir ni nada, se quedó encerrado en la base»</w:t>
      </w:r>
      <w:r w:rsidR="009211B1">
        <w:rPr>
          <w:rStyle w:val="Refdenotaalpie"/>
        </w:rPr>
        <w:footnoteReference w:id="420"/>
      </w:r>
      <w:r>
        <w:t>.</w:t>
      </w:r>
    </w:p>
    <w:p w:rsidR="003804AC" w:rsidRDefault="00AF18A5" w:rsidP="009211B1">
      <w:r>
        <w:t>De igual manera, un exoficial del Ejército que era uno de los encargados de una unidad militar presente en la zona, relató a la Comisión la manera como simuló un ataque a la base que</w:t>
      </w:r>
      <w:r>
        <w:rPr>
          <w:spacing w:val="-5"/>
        </w:rPr>
        <w:t xml:space="preserve"> </w:t>
      </w:r>
      <w:r>
        <w:t>tenía</w:t>
      </w:r>
      <w:r>
        <w:rPr>
          <w:spacing w:val="-6"/>
        </w:rPr>
        <w:t xml:space="preserve"> </w:t>
      </w:r>
      <w:r>
        <w:t>encargada</w:t>
      </w:r>
      <w:r>
        <w:rPr>
          <w:spacing w:val="-6"/>
        </w:rPr>
        <w:t xml:space="preserve"> </w:t>
      </w:r>
      <w:r>
        <w:t>para</w:t>
      </w:r>
      <w:r>
        <w:rPr>
          <w:spacing w:val="-6"/>
        </w:rPr>
        <w:t xml:space="preserve"> </w:t>
      </w:r>
      <w:r>
        <w:t>justificar</w:t>
      </w:r>
      <w:r>
        <w:rPr>
          <w:spacing w:val="-6"/>
        </w:rPr>
        <w:t xml:space="preserve"> </w:t>
      </w:r>
      <w:r>
        <w:t>la</w:t>
      </w:r>
      <w:r>
        <w:rPr>
          <w:spacing w:val="-6"/>
        </w:rPr>
        <w:t xml:space="preserve"> </w:t>
      </w:r>
      <w:r>
        <w:t>ausencia</w:t>
      </w:r>
      <w:r>
        <w:rPr>
          <w:spacing w:val="-5"/>
        </w:rPr>
        <w:t xml:space="preserve"> </w:t>
      </w:r>
      <w:r>
        <w:t>de</w:t>
      </w:r>
      <w:r>
        <w:rPr>
          <w:spacing w:val="-7"/>
        </w:rPr>
        <w:t xml:space="preserve"> </w:t>
      </w:r>
      <w:r>
        <w:t>la</w:t>
      </w:r>
      <w:r>
        <w:rPr>
          <w:spacing w:val="-6"/>
        </w:rPr>
        <w:t xml:space="preserve"> </w:t>
      </w:r>
      <w:r>
        <w:t>fuerza</w:t>
      </w:r>
      <w:r>
        <w:rPr>
          <w:spacing w:val="-5"/>
        </w:rPr>
        <w:t xml:space="preserve"> </w:t>
      </w:r>
      <w:r>
        <w:t>pública</w:t>
      </w:r>
      <w:r>
        <w:rPr>
          <w:spacing w:val="-6"/>
        </w:rPr>
        <w:t xml:space="preserve"> </w:t>
      </w:r>
      <w:r>
        <w:t>en</w:t>
      </w:r>
      <w:r>
        <w:rPr>
          <w:spacing w:val="-6"/>
        </w:rPr>
        <w:t xml:space="preserve"> </w:t>
      </w:r>
      <w:r>
        <w:t>el</w:t>
      </w:r>
      <w:r>
        <w:rPr>
          <w:spacing w:val="-6"/>
        </w:rPr>
        <w:t xml:space="preserve"> </w:t>
      </w:r>
      <w:r>
        <w:t>corregimiento</w:t>
      </w:r>
      <w:r>
        <w:rPr>
          <w:spacing w:val="-5"/>
        </w:rPr>
        <w:t xml:space="preserve"> </w:t>
      </w:r>
      <w:r>
        <w:t>de</w:t>
      </w:r>
      <w:r>
        <w:rPr>
          <w:spacing w:val="-5"/>
        </w:rPr>
        <w:t xml:space="preserve"> </w:t>
      </w:r>
      <w:r>
        <w:t>La Gabarra, Tibú, cuando fue cometida la segunda masacre por parte de paramilitares en dicho lugar, en mayo de 1999. Cuando las autoridades investigaron, mintió sobre los hechos:</w:t>
      </w:r>
    </w:p>
    <w:p w:rsidR="003804AC" w:rsidRDefault="00AF18A5" w:rsidP="009211B1">
      <w:r>
        <w:t>«Yo dije: “No tenía conocimiento, nos hostigaron, nos atacaron, estaba lloviendo, se fue la</w:t>
      </w:r>
      <w:r>
        <w:rPr>
          <w:spacing w:val="-15"/>
        </w:rPr>
        <w:t xml:space="preserve"> </w:t>
      </w:r>
      <w:r>
        <w:t>luz”.</w:t>
      </w:r>
      <w:r>
        <w:rPr>
          <w:spacing w:val="-15"/>
        </w:rPr>
        <w:t xml:space="preserve"> </w:t>
      </w:r>
      <w:r>
        <w:t>O</w:t>
      </w:r>
      <w:r>
        <w:rPr>
          <w:spacing w:val="-15"/>
        </w:rPr>
        <w:t xml:space="preserve"> </w:t>
      </w:r>
      <w:r>
        <w:t>sea,</w:t>
      </w:r>
      <w:r>
        <w:rPr>
          <w:spacing w:val="-15"/>
        </w:rPr>
        <w:t xml:space="preserve"> </w:t>
      </w:r>
      <w:r>
        <w:t>tratando</w:t>
      </w:r>
      <w:r>
        <w:rPr>
          <w:spacing w:val="-15"/>
        </w:rPr>
        <w:t xml:space="preserve"> </w:t>
      </w:r>
      <w:r>
        <w:t>como</w:t>
      </w:r>
      <w:r>
        <w:rPr>
          <w:spacing w:val="-15"/>
        </w:rPr>
        <w:t xml:space="preserve"> </w:t>
      </w:r>
      <w:r>
        <w:t>de</w:t>
      </w:r>
      <w:r>
        <w:rPr>
          <w:spacing w:val="-15"/>
        </w:rPr>
        <w:t xml:space="preserve"> </w:t>
      </w:r>
      <w:r>
        <w:t>emplear</w:t>
      </w:r>
      <w:r>
        <w:rPr>
          <w:spacing w:val="-15"/>
        </w:rPr>
        <w:t xml:space="preserve"> </w:t>
      </w:r>
      <w:r>
        <w:t>todos</w:t>
      </w:r>
      <w:r>
        <w:rPr>
          <w:spacing w:val="-15"/>
        </w:rPr>
        <w:t xml:space="preserve"> </w:t>
      </w:r>
      <w:r>
        <w:t>los</w:t>
      </w:r>
      <w:r>
        <w:rPr>
          <w:spacing w:val="-15"/>
        </w:rPr>
        <w:t xml:space="preserve"> </w:t>
      </w:r>
      <w:r>
        <w:t>medios</w:t>
      </w:r>
      <w:r>
        <w:rPr>
          <w:spacing w:val="-15"/>
        </w:rPr>
        <w:t xml:space="preserve"> </w:t>
      </w:r>
      <w:r>
        <w:t>disponibles</w:t>
      </w:r>
      <w:r>
        <w:rPr>
          <w:spacing w:val="-15"/>
        </w:rPr>
        <w:t xml:space="preserve"> </w:t>
      </w:r>
      <w:r>
        <w:t>para</w:t>
      </w:r>
      <w:r>
        <w:rPr>
          <w:spacing w:val="-15"/>
        </w:rPr>
        <w:t xml:space="preserve"> </w:t>
      </w:r>
      <w:r>
        <w:t>mi</w:t>
      </w:r>
      <w:r>
        <w:rPr>
          <w:spacing w:val="-15"/>
        </w:rPr>
        <w:t xml:space="preserve"> </w:t>
      </w:r>
      <w:r>
        <w:t>defensa.</w:t>
      </w:r>
      <w:r>
        <w:rPr>
          <w:spacing w:val="-15"/>
        </w:rPr>
        <w:t xml:space="preserve"> </w:t>
      </w:r>
      <w:r>
        <w:t>Claro, yo les dije inicialmente: “No, esto no”. Y lógicamente todo el batallón pues estaba, no con un libreto, sino que realmente ocurrió eso, con ficción, pero ocurrió. Atacaron, hostigamiento, tiros, o sea, todo fue aparentemente “real” bajo una fachada»</w:t>
      </w:r>
      <w:r w:rsidR="009211B1">
        <w:rPr>
          <w:rStyle w:val="Refdenotaalpie"/>
        </w:rPr>
        <w:footnoteReference w:id="421"/>
      </w:r>
      <w:r>
        <w:t>.</w:t>
      </w:r>
    </w:p>
    <w:p w:rsidR="0011361F" w:rsidRDefault="00AF18A5" w:rsidP="009211B1">
      <w:r>
        <w:lastRenderedPageBreak/>
        <w:t>Por</w:t>
      </w:r>
      <w:r>
        <w:rPr>
          <w:spacing w:val="-15"/>
        </w:rPr>
        <w:t xml:space="preserve"> </w:t>
      </w:r>
      <w:r>
        <w:t>hechos</w:t>
      </w:r>
      <w:r>
        <w:rPr>
          <w:spacing w:val="-15"/>
        </w:rPr>
        <w:t xml:space="preserve"> </w:t>
      </w:r>
      <w:r>
        <w:t>asociados</w:t>
      </w:r>
      <w:r>
        <w:rPr>
          <w:spacing w:val="-15"/>
        </w:rPr>
        <w:t xml:space="preserve"> </w:t>
      </w:r>
      <w:r>
        <w:t>con</w:t>
      </w:r>
      <w:r>
        <w:rPr>
          <w:spacing w:val="-15"/>
        </w:rPr>
        <w:t xml:space="preserve"> </w:t>
      </w:r>
      <w:r>
        <w:t>la</w:t>
      </w:r>
      <w:r>
        <w:rPr>
          <w:spacing w:val="-15"/>
        </w:rPr>
        <w:t xml:space="preserve"> </w:t>
      </w:r>
      <w:r>
        <w:t>masacre</w:t>
      </w:r>
      <w:r>
        <w:rPr>
          <w:spacing w:val="-15"/>
        </w:rPr>
        <w:t xml:space="preserve"> </w:t>
      </w:r>
      <w:r>
        <w:t>de</w:t>
      </w:r>
      <w:r>
        <w:rPr>
          <w:spacing w:val="-15"/>
        </w:rPr>
        <w:t xml:space="preserve"> </w:t>
      </w:r>
      <w:r>
        <w:t>La</w:t>
      </w:r>
      <w:r>
        <w:rPr>
          <w:spacing w:val="-15"/>
        </w:rPr>
        <w:t xml:space="preserve"> </w:t>
      </w:r>
      <w:r>
        <w:t>Gabarra,</w:t>
      </w:r>
      <w:r>
        <w:rPr>
          <w:spacing w:val="-15"/>
        </w:rPr>
        <w:t xml:space="preserve"> </w:t>
      </w:r>
      <w:r>
        <w:t>el</w:t>
      </w:r>
      <w:r>
        <w:rPr>
          <w:spacing w:val="-15"/>
        </w:rPr>
        <w:t xml:space="preserve"> </w:t>
      </w:r>
      <w:r>
        <w:t>capitán</w:t>
      </w:r>
      <w:r>
        <w:rPr>
          <w:spacing w:val="-15"/>
        </w:rPr>
        <w:t xml:space="preserve"> </w:t>
      </w:r>
      <w:r>
        <w:t>Luis</w:t>
      </w:r>
      <w:r>
        <w:rPr>
          <w:spacing w:val="-15"/>
        </w:rPr>
        <w:t xml:space="preserve"> </w:t>
      </w:r>
      <w:r>
        <w:t>Fernando</w:t>
      </w:r>
      <w:r>
        <w:rPr>
          <w:spacing w:val="-15"/>
        </w:rPr>
        <w:t xml:space="preserve"> </w:t>
      </w:r>
      <w:r>
        <w:t>Campuzano, excomandante del Batallón Contraguerrilla n.º 46, fue condenado a 40 años de prisión, a través de sentencia de la Corte Suprema de Justicia del 12 de septiembre de 2007.</w:t>
      </w:r>
    </w:p>
    <w:p w:rsidR="003804AC" w:rsidRDefault="00AF18A5" w:rsidP="009211B1">
      <w:bookmarkStart w:id="576" w:name="_bookmark473"/>
      <w:bookmarkStart w:id="577" w:name="_bookmark474"/>
      <w:bookmarkEnd w:id="576"/>
      <w:bookmarkEnd w:id="577"/>
      <w:r>
        <w:t>Por otro lado, hubo colaboraciones activas entre miembros de la fuerza pública y paramilitares,</w:t>
      </w:r>
      <w:r>
        <w:rPr>
          <w:spacing w:val="-2"/>
        </w:rPr>
        <w:t xml:space="preserve"> </w:t>
      </w:r>
      <w:r>
        <w:t>entre</w:t>
      </w:r>
      <w:r>
        <w:rPr>
          <w:spacing w:val="-2"/>
        </w:rPr>
        <w:t xml:space="preserve"> </w:t>
      </w:r>
      <w:r>
        <w:t>estas</w:t>
      </w:r>
      <w:r>
        <w:rPr>
          <w:spacing w:val="-3"/>
        </w:rPr>
        <w:t xml:space="preserve"> </w:t>
      </w:r>
      <w:r>
        <w:t>entrenamiento,</w:t>
      </w:r>
      <w:r>
        <w:rPr>
          <w:spacing w:val="-2"/>
        </w:rPr>
        <w:t xml:space="preserve"> </w:t>
      </w:r>
      <w:r>
        <w:t>entrega</w:t>
      </w:r>
      <w:r>
        <w:rPr>
          <w:spacing w:val="-3"/>
        </w:rPr>
        <w:t xml:space="preserve"> </w:t>
      </w:r>
      <w:r>
        <w:t>de</w:t>
      </w:r>
      <w:r>
        <w:rPr>
          <w:spacing w:val="-2"/>
        </w:rPr>
        <w:t xml:space="preserve"> </w:t>
      </w:r>
      <w:r>
        <w:t>armamento</w:t>
      </w:r>
      <w:r>
        <w:rPr>
          <w:spacing w:val="-2"/>
        </w:rPr>
        <w:t xml:space="preserve"> </w:t>
      </w:r>
      <w:r>
        <w:t>y</w:t>
      </w:r>
      <w:r>
        <w:rPr>
          <w:spacing w:val="-2"/>
        </w:rPr>
        <w:t xml:space="preserve"> </w:t>
      </w:r>
      <w:r>
        <w:t>municiones,</w:t>
      </w:r>
      <w:r>
        <w:rPr>
          <w:spacing w:val="-2"/>
        </w:rPr>
        <w:t xml:space="preserve"> </w:t>
      </w:r>
      <w:r>
        <w:t>como</w:t>
      </w:r>
      <w:r>
        <w:rPr>
          <w:spacing w:val="-3"/>
        </w:rPr>
        <w:t xml:space="preserve"> </w:t>
      </w:r>
      <w:r>
        <w:t xml:space="preserve">ocurrió con las escuelas de entrenamiento de Puerto Boyacá, financiadas a través de </w:t>
      </w:r>
      <w:proofErr w:type="spellStart"/>
      <w:r>
        <w:t>Acdegam</w:t>
      </w:r>
      <w:proofErr w:type="spellEnd"/>
      <w:r>
        <w:t xml:space="preserve"> y en las que el Ejército facilitó armamento y material de intendencia. También intercambios de información</w:t>
      </w:r>
      <w:r>
        <w:rPr>
          <w:spacing w:val="-2"/>
        </w:rPr>
        <w:t xml:space="preserve"> </w:t>
      </w:r>
      <w:r>
        <w:t>y</w:t>
      </w:r>
      <w:r>
        <w:rPr>
          <w:spacing w:val="-1"/>
        </w:rPr>
        <w:t xml:space="preserve"> </w:t>
      </w:r>
      <w:r>
        <w:t>de</w:t>
      </w:r>
      <w:r>
        <w:rPr>
          <w:spacing w:val="-1"/>
        </w:rPr>
        <w:t xml:space="preserve"> </w:t>
      </w:r>
      <w:r>
        <w:t>listas</w:t>
      </w:r>
      <w:r>
        <w:rPr>
          <w:spacing w:val="-1"/>
        </w:rPr>
        <w:t xml:space="preserve"> </w:t>
      </w:r>
      <w:r>
        <w:t>de</w:t>
      </w:r>
      <w:r>
        <w:rPr>
          <w:spacing w:val="-1"/>
        </w:rPr>
        <w:t xml:space="preserve"> </w:t>
      </w:r>
      <w:r>
        <w:t>personas</w:t>
      </w:r>
      <w:r>
        <w:rPr>
          <w:spacing w:val="-1"/>
        </w:rPr>
        <w:t xml:space="preserve"> </w:t>
      </w:r>
      <w:r>
        <w:t>señaladas</w:t>
      </w:r>
      <w:r>
        <w:rPr>
          <w:spacing w:val="-1"/>
        </w:rPr>
        <w:t xml:space="preserve"> </w:t>
      </w:r>
      <w:r>
        <w:t>como</w:t>
      </w:r>
      <w:r>
        <w:rPr>
          <w:spacing w:val="-1"/>
        </w:rPr>
        <w:t xml:space="preserve"> </w:t>
      </w:r>
      <w:r>
        <w:t>simpatizantes</w:t>
      </w:r>
      <w:r>
        <w:rPr>
          <w:spacing w:val="-1"/>
        </w:rPr>
        <w:t xml:space="preserve"> </w:t>
      </w:r>
      <w:r>
        <w:t>o</w:t>
      </w:r>
      <w:r>
        <w:rPr>
          <w:spacing w:val="-1"/>
        </w:rPr>
        <w:t xml:space="preserve"> </w:t>
      </w:r>
      <w:r>
        <w:t>miembros</w:t>
      </w:r>
      <w:r>
        <w:rPr>
          <w:spacing w:val="-1"/>
        </w:rPr>
        <w:t xml:space="preserve"> </w:t>
      </w:r>
      <w:r>
        <w:t>de</w:t>
      </w:r>
      <w:r>
        <w:rPr>
          <w:spacing w:val="-1"/>
        </w:rPr>
        <w:t xml:space="preserve"> </w:t>
      </w:r>
      <w:r>
        <w:t>grupos</w:t>
      </w:r>
      <w:r>
        <w:rPr>
          <w:spacing w:val="-1"/>
        </w:rPr>
        <w:t xml:space="preserve"> </w:t>
      </w:r>
      <w:r>
        <w:t>de guerrillas. Así lo relató una víctima de desplazamiento de la región de La Trocha Ganadera en su testimonio ante la Comisión de la Verdad:</w:t>
      </w:r>
    </w:p>
    <w:p w:rsidR="003804AC" w:rsidRDefault="00AF18A5" w:rsidP="009211B1">
      <w:r>
        <w:t>«El</w:t>
      </w:r>
      <w:r>
        <w:rPr>
          <w:spacing w:val="-2"/>
        </w:rPr>
        <w:t xml:space="preserve"> </w:t>
      </w:r>
      <w:r>
        <w:t>13</w:t>
      </w:r>
      <w:r>
        <w:rPr>
          <w:spacing w:val="-2"/>
        </w:rPr>
        <w:t xml:space="preserve"> </w:t>
      </w:r>
      <w:r>
        <w:t>nos</w:t>
      </w:r>
      <w:r>
        <w:rPr>
          <w:spacing w:val="-2"/>
        </w:rPr>
        <w:t xml:space="preserve"> </w:t>
      </w:r>
      <w:r>
        <w:t>llegó</w:t>
      </w:r>
      <w:r>
        <w:rPr>
          <w:spacing w:val="-2"/>
        </w:rPr>
        <w:t xml:space="preserve"> </w:t>
      </w:r>
      <w:r>
        <w:t>la</w:t>
      </w:r>
      <w:r>
        <w:rPr>
          <w:spacing w:val="-2"/>
        </w:rPr>
        <w:t xml:space="preserve"> </w:t>
      </w:r>
      <w:r>
        <w:t>noticia</w:t>
      </w:r>
      <w:r>
        <w:rPr>
          <w:spacing w:val="-2"/>
        </w:rPr>
        <w:t xml:space="preserve"> </w:t>
      </w:r>
      <w:r>
        <w:t>a</w:t>
      </w:r>
      <w:r>
        <w:rPr>
          <w:spacing w:val="-2"/>
        </w:rPr>
        <w:t xml:space="preserve"> </w:t>
      </w:r>
      <w:r>
        <w:t>ese</w:t>
      </w:r>
      <w:r>
        <w:rPr>
          <w:spacing w:val="-2"/>
        </w:rPr>
        <w:t xml:space="preserve"> </w:t>
      </w:r>
      <w:r>
        <w:t>rincón</w:t>
      </w:r>
      <w:r>
        <w:rPr>
          <w:spacing w:val="-2"/>
        </w:rPr>
        <w:t xml:space="preserve"> </w:t>
      </w:r>
      <w:r>
        <w:t>de</w:t>
      </w:r>
      <w:r>
        <w:rPr>
          <w:spacing w:val="-2"/>
        </w:rPr>
        <w:t xml:space="preserve"> </w:t>
      </w:r>
      <w:r>
        <w:t>esa</w:t>
      </w:r>
      <w:r>
        <w:rPr>
          <w:spacing w:val="-2"/>
        </w:rPr>
        <w:t xml:space="preserve"> </w:t>
      </w:r>
      <w:r>
        <w:t>avenida</w:t>
      </w:r>
      <w:r>
        <w:rPr>
          <w:spacing w:val="-2"/>
        </w:rPr>
        <w:t xml:space="preserve"> </w:t>
      </w:r>
      <w:r>
        <w:t>La</w:t>
      </w:r>
      <w:r>
        <w:rPr>
          <w:spacing w:val="-2"/>
        </w:rPr>
        <w:t xml:space="preserve"> </w:t>
      </w:r>
      <w:r>
        <w:t>Esperanza</w:t>
      </w:r>
      <w:r>
        <w:rPr>
          <w:spacing w:val="-2"/>
        </w:rPr>
        <w:t xml:space="preserve"> </w:t>
      </w:r>
      <w:r>
        <w:t>de</w:t>
      </w:r>
      <w:r>
        <w:rPr>
          <w:spacing w:val="-2"/>
        </w:rPr>
        <w:t xml:space="preserve"> </w:t>
      </w:r>
      <w:r>
        <w:t>que</w:t>
      </w:r>
      <w:r>
        <w:rPr>
          <w:spacing w:val="-2"/>
        </w:rPr>
        <w:t xml:space="preserve"> </w:t>
      </w:r>
      <w:r>
        <w:t>nos</w:t>
      </w:r>
      <w:r>
        <w:rPr>
          <w:spacing w:val="-2"/>
        </w:rPr>
        <w:t xml:space="preserve"> </w:t>
      </w:r>
      <w:r>
        <w:t>teníamos que presentar donde el capitán Terán del [batallón] Joaquín París, porque así decía la escarapela “Ejército Nacional”. El 14 nos presentamos acá a escucharle sus mensajes. [...]. Le</w:t>
      </w:r>
      <w:r>
        <w:rPr>
          <w:spacing w:val="-15"/>
        </w:rPr>
        <w:t xml:space="preserve"> </w:t>
      </w:r>
      <w:r>
        <w:t>dijo</w:t>
      </w:r>
      <w:r>
        <w:rPr>
          <w:spacing w:val="-15"/>
        </w:rPr>
        <w:t xml:space="preserve"> </w:t>
      </w:r>
      <w:r>
        <w:t>a</w:t>
      </w:r>
      <w:r>
        <w:rPr>
          <w:spacing w:val="-14"/>
        </w:rPr>
        <w:t xml:space="preserve"> </w:t>
      </w:r>
      <w:r>
        <w:t>un</w:t>
      </w:r>
      <w:r>
        <w:rPr>
          <w:spacing w:val="-15"/>
        </w:rPr>
        <w:t xml:space="preserve"> </w:t>
      </w:r>
      <w:r>
        <w:t>soldado</w:t>
      </w:r>
      <w:r>
        <w:rPr>
          <w:spacing w:val="-15"/>
        </w:rPr>
        <w:t xml:space="preserve"> </w:t>
      </w:r>
      <w:r>
        <w:t>que</w:t>
      </w:r>
      <w:r>
        <w:rPr>
          <w:spacing w:val="-15"/>
        </w:rPr>
        <w:t xml:space="preserve"> </w:t>
      </w:r>
      <w:r>
        <w:t>estaba</w:t>
      </w:r>
      <w:r>
        <w:rPr>
          <w:spacing w:val="-15"/>
        </w:rPr>
        <w:t xml:space="preserve"> </w:t>
      </w:r>
      <w:r>
        <w:t>con</w:t>
      </w:r>
      <w:r>
        <w:rPr>
          <w:spacing w:val="-14"/>
        </w:rPr>
        <w:t xml:space="preserve"> </w:t>
      </w:r>
      <w:r>
        <w:t>él,</w:t>
      </w:r>
      <w:r>
        <w:rPr>
          <w:spacing w:val="-14"/>
        </w:rPr>
        <w:t xml:space="preserve"> </w:t>
      </w:r>
      <w:r>
        <w:t>le</w:t>
      </w:r>
      <w:r>
        <w:rPr>
          <w:spacing w:val="-14"/>
        </w:rPr>
        <w:t xml:space="preserve"> </w:t>
      </w:r>
      <w:r>
        <w:t>dijo</w:t>
      </w:r>
      <w:r>
        <w:rPr>
          <w:spacing w:val="-14"/>
        </w:rPr>
        <w:t xml:space="preserve"> </w:t>
      </w:r>
      <w:r>
        <w:t>que</w:t>
      </w:r>
      <w:r>
        <w:rPr>
          <w:spacing w:val="-15"/>
        </w:rPr>
        <w:t xml:space="preserve"> </w:t>
      </w:r>
      <w:r>
        <w:t>le</w:t>
      </w:r>
      <w:r>
        <w:rPr>
          <w:spacing w:val="-14"/>
        </w:rPr>
        <w:t xml:space="preserve"> </w:t>
      </w:r>
      <w:r>
        <w:t>pasara</w:t>
      </w:r>
      <w:r>
        <w:rPr>
          <w:spacing w:val="-14"/>
        </w:rPr>
        <w:t xml:space="preserve"> </w:t>
      </w:r>
      <w:r>
        <w:t>un</w:t>
      </w:r>
      <w:r>
        <w:rPr>
          <w:spacing w:val="-14"/>
        </w:rPr>
        <w:t xml:space="preserve"> </w:t>
      </w:r>
      <w:r>
        <w:t>cuaderno,</w:t>
      </w:r>
      <w:r>
        <w:rPr>
          <w:spacing w:val="-14"/>
        </w:rPr>
        <w:t xml:space="preserve"> </w:t>
      </w:r>
      <w:r>
        <w:t>el</w:t>
      </w:r>
      <w:r>
        <w:rPr>
          <w:spacing w:val="-14"/>
        </w:rPr>
        <w:t xml:space="preserve"> </w:t>
      </w:r>
      <w:r>
        <w:t>soldado</w:t>
      </w:r>
      <w:r>
        <w:rPr>
          <w:spacing w:val="-14"/>
        </w:rPr>
        <w:t xml:space="preserve"> </w:t>
      </w:r>
      <w:r>
        <w:t>le</w:t>
      </w:r>
      <w:r>
        <w:rPr>
          <w:spacing w:val="-14"/>
        </w:rPr>
        <w:t xml:space="preserve"> </w:t>
      </w:r>
      <w:r>
        <w:t>alcanzó el</w:t>
      </w:r>
      <w:r>
        <w:rPr>
          <w:spacing w:val="-4"/>
        </w:rPr>
        <w:t xml:space="preserve"> </w:t>
      </w:r>
      <w:r>
        <w:t>cuaderno</w:t>
      </w:r>
      <w:r>
        <w:rPr>
          <w:spacing w:val="-7"/>
        </w:rPr>
        <w:t xml:space="preserve"> </w:t>
      </w:r>
      <w:r>
        <w:t>y</w:t>
      </w:r>
      <w:r>
        <w:rPr>
          <w:spacing w:val="-5"/>
        </w:rPr>
        <w:t xml:space="preserve"> </w:t>
      </w:r>
      <w:r>
        <w:t>lo</w:t>
      </w:r>
      <w:r>
        <w:rPr>
          <w:spacing w:val="-6"/>
        </w:rPr>
        <w:t xml:space="preserve"> </w:t>
      </w:r>
      <w:r>
        <w:t>colocó</w:t>
      </w:r>
      <w:r>
        <w:rPr>
          <w:spacing w:val="-6"/>
        </w:rPr>
        <w:t xml:space="preserve"> </w:t>
      </w:r>
      <w:r>
        <w:t>encima</w:t>
      </w:r>
      <w:r>
        <w:rPr>
          <w:spacing w:val="-6"/>
        </w:rPr>
        <w:t xml:space="preserve"> </w:t>
      </w:r>
      <w:r>
        <w:t>de</w:t>
      </w:r>
      <w:r>
        <w:rPr>
          <w:spacing w:val="-5"/>
        </w:rPr>
        <w:t xml:space="preserve"> </w:t>
      </w:r>
      <w:r>
        <w:t>una</w:t>
      </w:r>
      <w:r>
        <w:rPr>
          <w:spacing w:val="-5"/>
        </w:rPr>
        <w:t xml:space="preserve"> </w:t>
      </w:r>
      <w:r>
        <w:t>pierna</w:t>
      </w:r>
      <w:r>
        <w:rPr>
          <w:spacing w:val="-5"/>
        </w:rPr>
        <w:t xml:space="preserve"> </w:t>
      </w:r>
      <w:r>
        <w:t>del</w:t>
      </w:r>
      <w:r>
        <w:rPr>
          <w:spacing w:val="-7"/>
        </w:rPr>
        <w:t xml:space="preserve"> </w:t>
      </w:r>
      <w:r>
        <w:t>mismo</w:t>
      </w:r>
      <w:r>
        <w:rPr>
          <w:spacing w:val="-6"/>
        </w:rPr>
        <w:t xml:space="preserve"> </w:t>
      </w:r>
      <w:r>
        <w:t>capitán</w:t>
      </w:r>
      <w:r>
        <w:rPr>
          <w:spacing w:val="-5"/>
        </w:rPr>
        <w:t xml:space="preserve"> </w:t>
      </w:r>
      <w:r>
        <w:t>y</w:t>
      </w:r>
      <w:r>
        <w:rPr>
          <w:spacing w:val="-6"/>
        </w:rPr>
        <w:t xml:space="preserve"> </w:t>
      </w:r>
      <w:r>
        <w:t>lo</w:t>
      </w:r>
      <w:r>
        <w:rPr>
          <w:spacing w:val="-5"/>
        </w:rPr>
        <w:t xml:space="preserve"> </w:t>
      </w:r>
      <w:r>
        <w:t>golpeó</w:t>
      </w:r>
      <w:r>
        <w:rPr>
          <w:spacing w:val="-5"/>
        </w:rPr>
        <w:t xml:space="preserve"> </w:t>
      </w:r>
      <w:r>
        <w:t>así</w:t>
      </w:r>
      <w:r>
        <w:rPr>
          <w:spacing w:val="-4"/>
        </w:rPr>
        <w:t xml:space="preserve"> </w:t>
      </w:r>
      <w:r>
        <w:t>y</w:t>
      </w:r>
      <w:r>
        <w:rPr>
          <w:spacing w:val="-5"/>
        </w:rPr>
        <w:t xml:space="preserve"> </w:t>
      </w:r>
      <w:r>
        <w:t>dijo:</w:t>
      </w:r>
      <w:r>
        <w:rPr>
          <w:spacing w:val="-6"/>
        </w:rPr>
        <w:t xml:space="preserve"> </w:t>
      </w:r>
      <w:r>
        <w:t>“Este cuaderno</w:t>
      </w:r>
      <w:r>
        <w:rPr>
          <w:spacing w:val="-1"/>
        </w:rPr>
        <w:t xml:space="preserve"> </w:t>
      </w:r>
      <w:r>
        <w:t>es donde</w:t>
      </w:r>
      <w:r>
        <w:rPr>
          <w:spacing w:val="1"/>
        </w:rPr>
        <w:t xml:space="preserve"> </w:t>
      </w:r>
      <w:r>
        <w:t>traigo el</w:t>
      </w:r>
      <w:r>
        <w:rPr>
          <w:spacing w:val="1"/>
        </w:rPr>
        <w:t xml:space="preserve"> </w:t>
      </w:r>
      <w:r>
        <w:t>listado</w:t>
      </w:r>
      <w:r>
        <w:rPr>
          <w:spacing w:val="1"/>
        </w:rPr>
        <w:t xml:space="preserve"> </w:t>
      </w:r>
      <w:r>
        <w:t>para</w:t>
      </w:r>
      <w:r>
        <w:rPr>
          <w:spacing w:val="1"/>
        </w:rPr>
        <w:t xml:space="preserve"> </w:t>
      </w:r>
      <w:r>
        <w:t>saber</w:t>
      </w:r>
      <w:r>
        <w:rPr>
          <w:spacing w:val="2"/>
        </w:rPr>
        <w:t xml:space="preserve"> </w:t>
      </w:r>
      <w:r>
        <w:t>quién</w:t>
      </w:r>
      <w:r>
        <w:rPr>
          <w:spacing w:val="1"/>
        </w:rPr>
        <w:t xml:space="preserve"> </w:t>
      </w:r>
      <w:r>
        <w:t>es</w:t>
      </w:r>
      <w:r>
        <w:rPr>
          <w:spacing w:val="1"/>
        </w:rPr>
        <w:t xml:space="preserve"> </w:t>
      </w:r>
      <w:r>
        <w:t>quién”.</w:t>
      </w:r>
      <w:r>
        <w:rPr>
          <w:spacing w:val="1"/>
        </w:rPr>
        <w:t xml:space="preserve"> </w:t>
      </w:r>
      <w:r>
        <w:t>Entonces</w:t>
      </w:r>
      <w:r>
        <w:rPr>
          <w:spacing w:val="1"/>
        </w:rPr>
        <w:t xml:space="preserve"> </w:t>
      </w:r>
      <w:r>
        <w:t>yo</w:t>
      </w:r>
      <w:r>
        <w:rPr>
          <w:spacing w:val="1"/>
        </w:rPr>
        <w:t xml:space="preserve"> </w:t>
      </w:r>
      <w:r>
        <w:t>le</w:t>
      </w:r>
      <w:r>
        <w:rPr>
          <w:spacing w:val="1"/>
        </w:rPr>
        <w:t xml:space="preserve"> </w:t>
      </w:r>
      <w:r>
        <w:t>dije:</w:t>
      </w:r>
      <w:r>
        <w:rPr>
          <w:spacing w:val="1"/>
        </w:rPr>
        <w:t xml:space="preserve"> </w:t>
      </w:r>
      <w:r>
        <w:rPr>
          <w:spacing w:val="-2"/>
        </w:rPr>
        <w:t>“Bueno,</w:t>
      </w:r>
      <w:r w:rsidR="009211B1">
        <w:t xml:space="preserve"> </w:t>
      </w:r>
      <w:r>
        <w:t>¿qué</w:t>
      </w:r>
      <w:r>
        <w:rPr>
          <w:spacing w:val="-11"/>
        </w:rPr>
        <w:t xml:space="preserve"> </w:t>
      </w:r>
      <w:r>
        <w:t>significa</w:t>
      </w:r>
      <w:r>
        <w:rPr>
          <w:spacing w:val="-11"/>
        </w:rPr>
        <w:t xml:space="preserve"> </w:t>
      </w:r>
      <w:r>
        <w:t>eso,</w:t>
      </w:r>
      <w:r>
        <w:rPr>
          <w:spacing w:val="-12"/>
        </w:rPr>
        <w:t xml:space="preserve"> </w:t>
      </w:r>
      <w:r>
        <w:t>capitán?”.</w:t>
      </w:r>
      <w:r>
        <w:rPr>
          <w:spacing w:val="-11"/>
        </w:rPr>
        <w:t xml:space="preserve"> </w:t>
      </w:r>
      <w:r>
        <w:t>“Es</w:t>
      </w:r>
      <w:r>
        <w:rPr>
          <w:spacing w:val="-12"/>
        </w:rPr>
        <w:t xml:space="preserve"> </w:t>
      </w:r>
      <w:r>
        <w:t>colaborador,</w:t>
      </w:r>
      <w:r>
        <w:rPr>
          <w:spacing w:val="-12"/>
        </w:rPr>
        <w:t xml:space="preserve"> </w:t>
      </w:r>
      <w:r>
        <w:t>o</w:t>
      </w:r>
      <w:r>
        <w:rPr>
          <w:spacing w:val="-12"/>
        </w:rPr>
        <w:t xml:space="preserve"> </w:t>
      </w:r>
      <w:r>
        <w:t>es</w:t>
      </w:r>
      <w:r>
        <w:rPr>
          <w:spacing w:val="-11"/>
        </w:rPr>
        <w:t xml:space="preserve"> </w:t>
      </w:r>
      <w:r>
        <w:t>miliciano,</w:t>
      </w:r>
      <w:r>
        <w:rPr>
          <w:spacing w:val="-12"/>
        </w:rPr>
        <w:t xml:space="preserve"> </w:t>
      </w:r>
      <w:r>
        <w:t>o</w:t>
      </w:r>
      <w:r>
        <w:rPr>
          <w:spacing w:val="-11"/>
        </w:rPr>
        <w:t xml:space="preserve"> </w:t>
      </w:r>
      <w:r>
        <w:t>es</w:t>
      </w:r>
      <w:r>
        <w:rPr>
          <w:spacing w:val="-12"/>
        </w:rPr>
        <w:t xml:space="preserve"> </w:t>
      </w:r>
      <w:r>
        <w:t>guerrillero”.</w:t>
      </w:r>
      <w:r>
        <w:rPr>
          <w:spacing w:val="-12"/>
        </w:rPr>
        <w:t xml:space="preserve"> </w:t>
      </w:r>
      <w:r>
        <w:t>“¿Y</w:t>
      </w:r>
      <w:r>
        <w:rPr>
          <w:spacing w:val="-11"/>
        </w:rPr>
        <w:t xml:space="preserve"> </w:t>
      </w:r>
      <w:r>
        <w:t>qué</w:t>
      </w:r>
      <w:r>
        <w:rPr>
          <w:spacing w:val="-11"/>
        </w:rPr>
        <w:t xml:space="preserve"> </w:t>
      </w:r>
      <w:r>
        <w:t>pasa ahí,</w:t>
      </w:r>
      <w:r>
        <w:rPr>
          <w:spacing w:val="-1"/>
        </w:rPr>
        <w:t xml:space="preserve"> </w:t>
      </w:r>
      <w:r>
        <w:t>capitán?”,</w:t>
      </w:r>
      <w:r>
        <w:rPr>
          <w:spacing w:val="-1"/>
        </w:rPr>
        <w:t xml:space="preserve"> </w:t>
      </w:r>
      <w:r>
        <w:t>y</w:t>
      </w:r>
      <w:r>
        <w:rPr>
          <w:spacing w:val="-1"/>
        </w:rPr>
        <w:t xml:space="preserve"> </w:t>
      </w:r>
      <w:r>
        <w:t>dijo:</w:t>
      </w:r>
      <w:r>
        <w:rPr>
          <w:spacing w:val="-1"/>
        </w:rPr>
        <w:t xml:space="preserve"> </w:t>
      </w:r>
      <w:r>
        <w:t>“Todo</w:t>
      </w:r>
      <w:r>
        <w:rPr>
          <w:spacing w:val="-1"/>
        </w:rPr>
        <w:t xml:space="preserve"> </w:t>
      </w:r>
      <w:r>
        <w:t>el</w:t>
      </w:r>
      <w:r>
        <w:rPr>
          <w:spacing w:val="-1"/>
        </w:rPr>
        <w:t xml:space="preserve"> </w:t>
      </w:r>
      <w:r>
        <w:t>que</w:t>
      </w:r>
      <w:r>
        <w:rPr>
          <w:spacing w:val="-2"/>
        </w:rPr>
        <w:t xml:space="preserve"> </w:t>
      </w:r>
      <w:r>
        <w:t>resulte</w:t>
      </w:r>
      <w:r>
        <w:rPr>
          <w:spacing w:val="-1"/>
        </w:rPr>
        <w:t xml:space="preserve"> </w:t>
      </w:r>
      <w:r>
        <w:t>aquí,</w:t>
      </w:r>
      <w:r>
        <w:rPr>
          <w:spacing w:val="-2"/>
        </w:rPr>
        <w:t xml:space="preserve"> </w:t>
      </w:r>
      <w:r>
        <w:t>va</w:t>
      </w:r>
      <w:r>
        <w:rPr>
          <w:spacing w:val="-1"/>
        </w:rPr>
        <w:t xml:space="preserve"> </w:t>
      </w:r>
      <w:r>
        <w:t>de</w:t>
      </w:r>
      <w:r>
        <w:rPr>
          <w:spacing w:val="-1"/>
        </w:rPr>
        <w:t xml:space="preserve"> </w:t>
      </w:r>
      <w:r>
        <w:t>una</w:t>
      </w:r>
      <w:r>
        <w:rPr>
          <w:spacing w:val="-1"/>
        </w:rPr>
        <w:t xml:space="preserve"> </w:t>
      </w:r>
      <w:r>
        <w:t>pal</w:t>
      </w:r>
      <w:r>
        <w:rPr>
          <w:spacing w:val="-1"/>
        </w:rPr>
        <w:t xml:space="preserve"> </w:t>
      </w:r>
      <w:r>
        <w:t>río”.</w:t>
      </w:r>
      <w:r>
        <w:rPr>
          <w:spacing w:val="-1"/>
        </w:rPr>
        <w:t xml:space="preserve"> </w:t>
      </w:r>
      <w:r>
        <w:t>Esa</w:t>
      </w:r>
      <w:r>
        <w:rPr>
          <w:spacing w:val="-1"/>
        </w:rPr>
        <w:t xml:space="preserve"> </w:t>
      </w:r>
      <w:r>
        <w:t>fue</w:t>
      </w:r>
      <w:r>
        <w:rPr>
          <w:spacing w:val="-1"/>
        </w:rPr>
        <w:t xml:space="preserve"> </w:t>
      </w:r>
      <w:r>
        <w:t>la</w:t>
      </w:r>
      <w:r>
        <w:rPr>
          <w:spacing w:val="-1"/>
        </w:rPr>
        <w:t xml:space="preserve"> </w:t>
      </w:r>
      <w:r>
        <w:t>nota</w:t>
      </w:r>
      <w:r>
        <w:rPr>
          <w:spacing w:val="-1"/>
        </w:rPr>
        <w:t xml:space="preserve"> </w:t>
      </w:r>
      <w:r>
        <w:t>[...].</w:t>
      </w:r>
      <w:r>
        <w:rPr>
          <w:spacing w:val="-1"/>
        </w:rPr>
        <w:t xml:space="preserve"> </w:t>
      </w:r>
      <w:r>
        <w:t>Nos dijo</w:t>
      </w:r>
      <w:r>
        <w:rPr>
          <w:spacing w:val="-3"/>
        </w:rPr>
        <w:t xml:space="preserve"> </w:t>
      </w:r>
      <w:r>
        <w:t>otra</w:t>
      </w:r>
      <w:r>
        <w:rPr>
          <w:spacing w:val="-4"/>
        </w:rPr>
        <w:t xml:space="preserve"> </w:t>
      </w:r>
      <w:r>
        <w:t>cosa:</w:t>
      </w:r>
      <w:r>
        <w:rPr>
          <w:spacing w:val="-3"/>
        </w:rPr>
        <w:t xml:space="preserve"> </w:t>
      </w:r>
      <w:r>
        <w:t>“Ahora</w:t>
      </w:r>
      <w:r>
        <w:rPr>
          <w:spacing w:val="-4"/>
        </w:rPr>
        <w:t xml:space="preserve"> </w:t>
      </w:r>
      <w:r>
        <w:t>no</w:t>
      </w:r>
      <w:r>
        <w:rPr>
          <w:spacing w:val="-3"/>
        </w:rPr>
        <w:t xml:space="preserve"> </w:t>
      </w:r>
      <w:r>
        <w:t>es</w:t>
      </w:r>
      <w:r>
        <w:rPr>
          <w:spacing w:val="-3"/>
        </w:rPr>
        <w:t xml:space="preserve"> </w:t>
      </w:r>
      <w:r>
        <w:t>que</w:t>
      </w:r>
      <w:r>
        <w:rPr>
          <w:spacing w:val="-3"/>
        </w:rPr>
        <w:t xml:space="preserve"> </w:t>
      </w:r>
      <w:r>
        <w:t>vayan</w:t>
      </w:r>
      <w:r>
        <w:rPr>
          <w:spacing w:val="-3"/>
        </w:rPr>
        <w:t xml:space="preserve"> </w:t>
      </w:r>
      <w:r>
        <w:t>a</w:t>
      </w:r>
      <w:r>
        <w:rPr>
          <w:spacing w:val="-3"/>
        </w:rPr>
        <w:t xml:space="preserve"> </w:t>
      </w:r>
      <w:r>
        <w:t>decir</w:t>
      </w:r>
      <w:r>
        <w:rPr>
          <w:spacing w:val="-4"/>
        </w:rPr>
        <w:t xml:space="preserve"> </w:t>
      </w:r>
      <w:r>
        <w:t>que</w:t>
      </w:r>
      <w:r>
        <w:rPr>
          <w:spacing w:val="-3"/>
        </w:rPr>
        <w:t xml:space="preserve"> </w:t>
      </w:r>
      <w:r>
        <w:t>yo</w:t>
      </w:r>
      <w:r>
        <w:rPr>
          <w:spacing w:val="-3"/>
        </w:rPr>
        <w:t xml:space="preserve"> </w:t>
      </w:r>
      <w:r>
        <w:t>estoy</w:t>
      </w:r>
      <w:r>
        <w:rPr>
          <w:spacing w:val="-5"/>
        </w:rPr>
        <w:t xml:space="preserve"> </w:t>
      </w:r>
      <w:r>
        <w:t>enlazado</w:t>
      </w:r>
      <w:r>
        <w:rPr>
          <w:spacing w:val="-5"/>
        </w:rPr>
        <w:t xml:space="preserve"> </w:t>
      </w:r>
      <w:r>
        <w:t>con</w:t>
      </w:r>
      <w:r>
        <w:rPr>
          <w:spacing w:val="-3"/>
        </w:rPr>
        <w:t xml:space="preserve"> </w:t>
      </w:r>
      <w:r>
        <w:t>los</w:t>
      </w:r>
      <w:r>
        <w:rPr>
          <w:spacing w:val="-3"/>
        </w:rPr>
        <w:t xml:space="preserve"> </w:t>
      </w:r>
      <w:r>
        <w:t>paramilitares”. Nos recomendó eso. Resulta que, en ese caso, todo lo que mirábamos, todo lo que yo miré de</w:t>
      </w:r>
      <w:r>
        <w:rPr>
          <w:spacing w:val="-2"/>
        </w:rPr>
        <w:t xml:space="preserve"> </w:t>
      </w:r>
      <w:r>
        <w:t>para</w:t>
      </w:r>
      <w:r>
        <w:rPr>
          <w:spacing w:val="-2"/>
        </w:rPr>
        <w:t xml:space="preserve"> </w:t>
      </w:r>
      <w:r>
        <w:t>acá,</w:t>
      </w:r>
      <w:r>
        <w:rPr>
          <w:spacing w:val="-4"/>
        </w:rPr>
        <w:t xml:space="preserve"> </w:t>
      </w:r>
      <w:r>
        <w:t>todos</w:t>
      </w:r>
      <w:r>
        <w:rPr>
          <w:spacing w:val="-2"/>
        </w:rPr>
        <w:t xml:space="preserve"> </w:t>
      </w:r>
      <w:r>
        <w:t>los</w:t>
      </w:r>
      <w:r>
        <w:rPr>
          <w:spacing w:val="-2"/>
        </w:rPr>
        <w:t xml:space="preserve"> </w:t>
      </w:r>
      <w:r>
        <w:t>anillos</w:t>
      </w:r>
      <w:r>
        <w:rPr>
          <w:spacing w:val="-2"/>
        </w:rPr>
        <w:t xml:space="preserve"> </w:t>
      </w:r>
      <w:r>
        <w:t>de</w:t>
      </w:r>
      <w:r>
        <w:rPr>
          <w:spacing w:val="-2"/>
        </w:rPr>
        <w:t xml:space="preserve"> </w:t>
      </w:r>
      <w:r>
        <w:t>seguridad</w:t>
      </w:r>
      <w:r>
        <w:rPr>
          <w:spacing w:val="-2"/>
        </w:rPr>
        <w:t xml:space="preserve"> </w:t>
      </w:r>
      <w:r>
        <w:t>que</w:t>
      </w:r>
      <w:r>
        <w:rPr>
          <w:spacing w:val="-2"/>
        </w:rPr>
        <w:t xml:space="preserve"> </w:t>
      </w:r>
      <w:r>
        <w:t>tenían</w:t>
      </w:r>
      <w:r>
        <w:rPr>
          <w:spacing w:val="-2"/>
        </w:rPr>
        <w:t xml:space="preserve"> </w:t>
      </w:r>
      <w:r>
        <w:t>para</w:t>
      </w:r>
      <w:r>
        <w:rPr>
          <w:spacing w:val="-2"/>
        </w:rPr>
        <w:t xml:space="preserve"> </w:t>
      </w:r>
      <w:r>
        <w:t>él,</w:t>
      </w:r>
      <w:r>
        <w:rPr>
          <w:spacing w:val="-2"/>
        </w:rPr>
        <w:t xml:space="preserve"> </w:t>
      </w:r>
      <w:r>
        <w:t>todos</w:t>
      </w:r>
      <w:r>
        <w:rPr>
          <w:spacing w:val="-2"/>
        </w:rPr>
        <w:t xml:space="preserve"> </w:t>
      </w:r>
      <w:r>
        <w:t>decían</w:t>
      </w:r>
      <w:r>
        <w:rPr>
          <w:spacing w:val="-4"/>
        </w:rPr>
        <w:t xml:space="preserve"> </w:t>
      </w:r>
      <w:r>
        <w:t>“AUC”.</w:t>
      </w:r>
      <w:r>
        <w:rPr>
          <w:spacing w:val="-2"/>
        </w:rPr>
        <w:t xml:space="preserve"> </w:t>
      </w:r>
      <w:r>
        <w:t>El</w:t>
      </w:r>
      <w:r>
        <w:rPr>
          <w:spacing w:val="-1"/>
        </w:rPr>
        <w:t xml:space="preserve"> </w:t>
      </w:r>
      <w:r>
        <w:t xml:space="preserve">único que decía “Ejército Nacional” era el capitán y un soldado </w:t>
      </w:r>
      <w:r>
        <w:lastRenderedPageBreak/>
        <w:t>que estaba con él.»</w:t>
      </w:r>
      <w:r w:rsidR="009211B1">
        <w:rPr>
          <w:rStyle w:val="Refdenotaalpie"/>
        </w:rPr>
        <w:footnoteReference w:id="422"/>
      </w:r>
      <w:r>
        <w:t>.</w:t>
      </w:r>
    </w:p>
    <w:p w:rsidR="003804AC" w:rsidRPr="009211B1" w:rsidRDefault="00AF18A5" w:rsidP="009211B1">
      <w:r>
        <w:t>La colaboración entre fuerza pública y grupos paramilitares se dio, igualmente, en el desarrollo de operaciones conjuntas</w:t>
      </w:r>
      <w:r>
        <w:rPr>
          <w:spacing w:val="-1"/>
        </w:rPr>
        <w:t xml:space="preserve"> </w:t>
      </w:r>
      <w:r>
        <w:t>en las</w:t>
      </w:r>
      <w:r>
        <w:rPr>
          <w:spacing w:val="-1"/>
        </w:rPr>
        <w:t xml:space="preserve"> </w:t>
      </w:r>
      <w:r>
        <w:t>cuales</w:t>
      </w:r>
      <w:r>
        <w:rPr>
          <w:spacing w:val="-1"/>
        </w:rPr>
        <w:t xml:space="preserve"> </w:t>
      </w:r>
      <w:r>
        <w:t>se cometieron violaciones de los derechos humanos e infracciones al DIH. Sobre esto se ha pronunciado la Corte Interamericana de Derechos</w:t>
      </w:r>
      <w:r>
        <w:rPr>
          <w:spacing w:val="-4"/>
        </w:rPr>
        <w:t xml:space="preserve"> </w:t>
      </w:r>
      <w:r>
        <w:t>Humanos</w:t>
      </w:r>
      <w:r>
        <w:rPr>
          <w:spacing w:val="-5"/>
        </w:rPr>
        <w:t xml:space="preserve"> </w:t>
      </w:r>
      <w:r>
        <w:t>en</w:t>
      </w:r>
      <w:r>
        <w:rPr>
          <w:spacing w:val="-4"/>
        </w:rPr>
        <w:t xml:space="preserve"> </w:t>
      </w:r>
      <w:r>
        <w:t>sentencias</w:t>
      </w:r>
      <w:r>
        <w:rPr>
          <w:spacing w:val="-5"/>
        </w:rPr>
        <w:t xml:space="preserve"> </w:t>
      </w:r>
      <w:r>
        <w:t>como</w:t>
      </w:r>
      <w:r>
        <w:rPr>
          <w:spacing w:val="-4"/>
        </w:rPr>
        <w:t xml:space="preserve"> </w:t>
      </w:r>
      <w:r>
        <w:t>la</w:t>
      </w:r>
      <w:r>
        <w:rPr>
          <w:spacing w:val="-3"/>
        </w:rPr>
        <w:t xml:space="preserve"> </w:t>
      </w:r>
      <w:r>
        <w:t>expedida</w:t>
      </w:r>
      <w:r>
        <w:rPr>
          <w:spacing w:val="-3"/>
        </w:rPr>
        <w:t xml:space="preserve"> </w:t>
      </w:r>
      <w:r>
        <w:t>en</w:t>
      </w:r>
      <w:r>
        <w:rPr>
          <w:spacing w:val="-5"/>
        </w:rPr>
        <w:t xml:space="preserve"> </w:t>
      </w:r>
      <w:r>
        <w:t>2004,</w:t>
      </w:r>
      <w:r>
        <w:rPr>
          <w:spacing w:val="-5"/>
        </w:rPr>
        <w:t xml:space="preserve"> </w:t>
      </w:r>
      <w:r>
        <w:t>en</w:t>
      </w:r>
      <w:r>
        <w:rPr>
          <w:spacing w:val="-5"/>
        </w:rPr>
        <w:t xml:space="preserve"> </w:t>
      </w:r>
      <w:r>
        <w:t>la</w:t>
      </w:r>
      <w:r>
        <w:rPr>
          <w:spacing w:val="-3"/>
        </w:rPr>
        <w:t xml:space="preserve"> </w:t>
      </w:r>
      <w:r>
        <w:t>que</w:t>
      </w:r>
      <w:r>
        <w:rPr>
          <w:spacing w:val="-5"/>
        </w:rPr>
        <w:t xml:space="preserve"> </w:t>
      </w:r>
      <w:r>
        <w:t>la</w:t>
      </w:r>
      <w:r>
        <w:rPr>
          <w:spacing w:val="-6"/>
        </w:rPr>
        <w:t xml:space="preserve"> </w:t>
      </w:r>
      <w:r>
        <w:t>Corte</w:t>
      </w:r>
      <w:r>
        <w:rPr>
          <w:spacing w:val="-3"/>
        </w:rPr>
        <w:t xml:space="preserve"> </w:t>
      </w:r>
      <w:r>
        <w:t>estableció</w:t>
      </w:r>
      <w:r>
        <w:rPr>
          <w:spacing w:val="-5"/>
        </w:rPr>
        <w:t xml:space="preserve"> </w:t>
      </w:r>
      <w:r>
        <w:t>la responsabilidad internacional del Estado colombiano por la retención ilegal y desaparición forzada</w:t>
      </w:r>
      <w:r>
        <w:rPr>
          <w:spacing w:val="8"/>
        </w:rPr>
        <w:t xml:space="preserve"> </w:t>
      </w:r>
      <w:r>
        <w:t>de</w:t>
      </w:r>
      <w:r>
        <w:rPr>
          <w:spacing w:val="8"/>
        </w:rPr>
        <w:t xml:space="preserve"> </w:t>
      </w:r>
      <w:r>
        <w:t>diecinueve</w:t>
      </w:r>
      <w:r>
        <w:rPr>
          <w:spacing w:val="8"/>
        </w:rPr>
        <w:t xml:space="preserve"> </w:t>
      </w:r>
      <w:r>
        <w:t>comerciantes</w:t>
      </w:r>
      <w:r w:rsidR="009211B1">
        <w:rPr>
          <w:rStyle w:val="Refdenotaalpie"/>
        </w:rPr>
        <w:footnoteReference w:id="423"/>
      </w:r>
      <w:r>
        <w:rPr>
          <w:spacing w:val="10"/>
        </w:rPr>
        <w:t xml:space="preserve"> </w:t>
      </w:r>
      <w:r>
        <w:t>por</w:t>
      </w:r>
      <w:r>
        <w:rPr>
          <w:spacing w:val="9"/>
        </w:rPr>
        <w:t xml:space="preserve"> </w:t>
      </w:r>
      <w:r>
        <w:t>parte</w:t>
      </w:r>
      <w:r>
        <w:rPr>
          <w:spacing w:val="8"/>
        </w:rPr>
        <w:t xml:space="preserve"> </w:t>
      </w:r>
      <w:r>
        <w:t>de</w:t>
      </w:r>
      <w:r>
        <w:rPr>
          <w:spacing w:val="8"/>
        </w:rPr>
        <w:t xml:space="preserve"> </w:t>
      </w:r>
      <w:r>
        <w:t>paramilitares</w:t>
      </w:r>
      <w:r>
        <w:rPr>
          <w:spacing w:val="8"/>
        </w:rPr>
        <w:t xml:space="preserve"> </w:t>
      </w:r>
      <w:r>
        <w:t>de</w:t>
      </w:r>
      <w:r>
        <w:rPr>
          <w:spacing w:val="8"/>
        </w:rPr>
        <w:t xml:space="preserve"> </w:t>
      </w:r>
      <w:r>
        <w:t>Puerto</w:t>
      </w:r>
      <w:r>
        <w:rPr>
          <w:spacing w:val="8"/>
        </w:rPr>
        <w:t xml:space="preserve"> </w:t>
      </w:r>
      <w:r>
        <w:t>Boyacá,</w:t>
      </w:r>
      <w:r>
        <w:rPr>
          <w:spacing w:val="8"/>
        </w:rPr>
        <w:t xml:space="preserve"> </w:t>
      </w:r>
      <w:r>
        <w:t>bajo</w:t>
      </w:r>
      <w:r>
        <w:rPr>
          <w:spacing w:val="8"/>
        </w:rPr>
        <w:t xml:space="preserve"> </w:t>
      </w:r>
      <w:r>
        <w:rPr>
          <w:spacing w:val="-5"/>
        </w:rPr>
        <w:t>el</w:t>
      </w:r>
      <w:bookmarkStart w:id="578" w:name="_bookmark475"/>
      <w:bookmarkStart w:id="579" w:name="_bookmark476"/>
      <w:bookmarkEnd w:id="578"/>
      <w:bookmarkEnd w:id="579"/>
      <w:r w:rsidR="009211B1">
        <w:rPr>
          <w:spacing w:val="-5"/>
        </w:rPr>
        <w:t xml:space="preserve"> </w:t>
      </w:r>
      <w:r>
        <w:t>mando de Henry Pérez, en vínculo con altos mandos de la fuerza pública</w:t>
      </w:r>
      <w:r w:rsidR="009211B1">
        <w:rPr>
          <w:rStyle w:val="Refdenotaalpie"/>
        </w:rPr>
        <w:footnoteReference w:id="424"/>
      </w:r>
      <w:r>
        <w:t xml:space="preserve">. Así mismo, se establecieron responsabilidades en las sentencias de la Corte Interamericana de Derechos Humanos sobre la masacre de Mapiripán, en la cual la inacción de la fuerza pública es dramática, y en la masacre </w:t>
      </w:r>
      <w:r>
        <w:lastRenderedPageBreak/>
        <w:t>de La Rochela. Así señaló a la Comisión, desde el exilio, un testigo de los hechos de Mapiripán:</w:t>
      </w:r>
    </w:p>
    <w:p w:rsidR="003804AC" w:rsidRDefault="00AF18A5" w:rsidP="009211B1">
      <w:r>
        <w:t>«Eran dos grupos. Los de Carranza y esos que yo no sabía que existían, los del Bloque Centauros de las Autodefensas en la cooperativa, y los otros, los que entraron por río, eran los que venían de Urabá y ellos entraron por San José del Guaviare, por eso resultaron implicados Rito Alejo del Río y los otros oficiales del Ejército para esa época. Los paramilitares llegaron a San José del Guaviare por el aeropuerto en un avión»</w:t>
      </w:r>
      <w:r w:rsidR="009211B1">
        <w:rPr>
          <w:rStyle w:val="Refdenotaalpie"/>
        </w:rPr>
        <w:footnoteReference w:id="425"/>
      </w:r>
      <w:r>
        <w:t>.</w:t>
      </w:r>
    </w:p>
    <w:p w:rsidR="003804AC" w:rsidRDefault="00AF18A5" w:rsidP="000536D4">
      <w:r>
        <w:t>Otros vínculos de apoyo tienen que ver con la coordinación, guía y movilidad en terreno entre Ejército y grupos paramilitares; préstamo de instalaciones militares y alojamiento de integrantes de grupos paramilitares. Sobre esto, la Comisión conoció también la manera como</w:t>
      </w:r>
      <w:r>
        <w:rPr>
          <w:spacing w:val="-15"/>
        </w:rPr>
        <w:t xml:space="preserve"> </w:t>
      </w:r>
      <w:r>
        <w:t>la</w:t>
      </w:r>
      <w:r>
        <w:rPr>
          <w:spacing w:val="-15"/>
        </w:rPr>
        <w:t xml:space="preserve"> </w:t>
      </w:r>
      <w:r>
        <w:t>investigación</w:t>
      </w:r>
      <w:r>
        <w:rPr>
          <w:spacing w:val="-15"/>
        </w:rPr>
        <w:t xml:space="preserve"> </w:t>
      </w:r>
      <w:r>
        <w:t>sobre</w:t>
      </w:r>
      <w:r>
        <w:rPr>
          <w:spacing w:val="-15"/>
        </w:rPr>
        <w:t xml:space="preserve"> </w:t>
      </w:r>
      <w:r>
        <w:t>el</w:t>
      </w:r>
      <w:r>
        <w:rPr>
          <w:spacing w:val="-15"/>
        </w:rPr>
        <w:t xml:space="preserve"> </w:t>
      </w:r>
      <w:r>
        <w:t>caso</w:t>
      </w:r>
      <w:r>
        <w:rPr>
          <w:spacing w:val="-15"/>
        </w:rPr>
        <w:t xml:space="preserve"> </w:t>
      </w:r>
      <w:r>
        <w:t>de</w:t>
      </w:r>
      <w:r>
        <w:rPr>
          <w:spacing w:val="-15"/>
        </w:rPr>
        <w:t xml:space="preserve"> </w:t>
      </w:r>
      <w:r>
        <w:t>la</w:t>
      </w:r>
      <w:r>
        <w:rPr>
          <w:spacing w:val="-15"/>
        </w:rPr>
        <w:t xml:space="preserve"> </w:t>
      </w:r>
      <w:r>
        <w:t>masacre</w:t>
      </w:r>
      <w:r>
        <w:rPr>
          <w:spacing w:val="-15"/>
        </w:rPr>
        <w:t xml:space="preserve"> </w:t>
      </w:r>
      <w:r>
        <w:t>cometida</w:t>
      </w:r>
      <w:r>
        <w:rPr>
          <w:spacing w:val="-15"/>
        </w:rPr>
        <w:t xml:space="preserve"> </w:t>
      </w:r>
      <w:r>
        <w:t>en</w:t>
      </w:r>
      <w:r>
        <w:rPr>
          <w:spacing w:val="-15"/>
        </w:rPr>
        <w:t xml:space="preserve"> </w:t>
      </w:r>
      <w:r>
        <w:t>1988</w:t>
      </w:r>
      <w:r>
        <w:rPr>
          <w:spacing w:val="-15"/>
        </w:rPr>
        <w:t xml:space="preserve"> </w:t>
      </w:r>
      <w:r>
        <w:t>en</w:t>
      </w:r>
      <w:r>
        <w:rPr>
          <w:spacing w:val="-15"/>
        </w:rPr>
        <w:t xml:space="preserve"> </w:t>
      </w:r>
      <w:r>
        <w:t>las</w:t>
      </w:r>
      <w:r>
        <w:rPr>
          <w:spacing w:val="-15"/>
        </w:rPr>
        <w:t xml:space="preserve"> </w:t>
      </w:r>
      <w:r>
        <w:t>fincas</w:t>
      </w:r>
      <w:r>
        <w:rPr>
          <w:spacing w:val="-15"/>
        </w:rPr>
        <w:t xml:space="preserve"> </w:t>
      </w:r>
      <w:r>
        <w:t>de</w:t>
      </w:r>
      <w:r>
        <w:rPr>
          <w:spacing w:val="-15"/>
        </w:rPr>
        <w:t xml:space="preserve"> </w:t>
      </w:r>
      <w:r>
        <w:t>Honduras y</w:t>
      </w:r>
      <w:r>
        <w:rPr>
          <w:spacing w:val="-5"/>
        </w:rPr>
        <w:t xml:space="preserve"> </w:t>
      </w:r>
      <w:r>
        <w:t>La</w:t>
      </w:r>
      <w:r>
        <w:rPr>
          <w:spacing w:val="-4"/>
        </w:rPr>
        <w:t xml:space="preserve"> </w:t>
      </w:r>
      <w:r>
        <w:t>Negra,</w:t>
      </w:r>
      <w:r>
        <w:rPr>
          <w:spacing w:val="-5"/>
        </w:rPr>
        <w:t xml:space="preserve"> </w:t>
      </w:r>
      <w:r>
        <w:t>hoy</w:t>
      </w:r>
      <w:r>
        <w:rPr>
          <w:spacing w:val="-4"/>
        </w:rPr>
        <w:t xml:space="preserve"> </w:t>
      </w:r>
      <w:r>
        <w:t>corregimiento</w:t>
      </w:r>
      <w:r>
        <w:rPr>
          <w:spacing w:val="-4"/>
        </w:rPr>
        <w:t xml:space="preserve"> </w:t>
      </w:r>
      <w:r>
        <w:t>de</w:t>
      </w:r>
      <w:r>
        <w:rPr>
          <w:spacing w:val="-4"/>
        </w:rPr>
        <w:t xml:space="preserve"> </w:t>
      </w:r>
      <w:r>
        <w:t>Nueva</w:t>
      </w:r>
      <w:r>
        <w:rPr>
          <w:spacing w:val="-5"/>
        </w:rPr>
        <w:t xml:space="preserve"> </w:t>
      </w:r>
      <w:r>
        <w:t>Colonia,</w:t>
      </w:r>
      <w:r>
        <w:rPr>
          <w:spacing w:val="-4"/>
        </w:rPr>
        <w:t xml:space="preserve"> </w:t>
      </w:r>
      <w:r>
        <w:t>municipio</w:t>
      </w:r>
      <w:r>
        <w:rPr>
          <w:spacing w:val="-5"/>
        </w:rPr>
        <w:t xml:space="preserve"> </w:t>
      </w:r>
      <w:r>
        <w:t>de</w:t>
      </w:r>
      <w:r>
        <w:rPr>
          <w:spacing w:val="-4"/>
        </w:rPr>
        <w:t xml:space="preserve"> </w:t>
      </w:r>
      <w:r>
        <w:t>Turbo,</w:t>
      </w:r>
      <w:r>
        <w:rPr>
          <w:spacing w:val="-4"/>
        </w:rPr>
        <w:t xml:space="preserve"> </w:t>
      </w:r>
      <w:r>
        <w:t>en</w:t>
      </w:r>
      <w:r>
        <w:rPr>
          <w:spacing w:val="-4"/>
        </w:rPr>
        <w:t xml:space="preserve"> </w:t>
      </w:r>
      <w:r>
        <w:t>Antioquia,</w:t>
      </w:r>
      <w:r>
        <w:rPr>
          <w:spacing w:val="-5"/>
        </w:rPr>
        <w:t xml:space="preserve"> </w:t>
      </w:r>
      <w:r>
        <w:rPr>
          <w:spacing w:val="-2"/>
        </w:rPr>
        <w:t>reveló</w:t>
      </w:r>
      <w:bookmarkStart w:id="580" w:name="_bookmark477"/>
      <w:bookmarkStart w:id="581" w:name="_bookmark478"/>
      <w:bookmarkEnd w:id="580"/>
      <w:bookmarkEnd w:id="581"/>
      <w:r w:rsidR="000536D4">
        <w:rPr>
          <w:spacing w:val="-2"/>
        </w:rPr>
        <w:t xml:space="preserve"> </w:t>
      </w:r>
      <w:r>
        <w:t xml:space="preserve">los nexos entre miembros del Ejército, grupos paramilitares, narcotraficantes y mercenarios </w:t>
      </w:r>
      <w:r>
        <w:rPr>
          <w:spacing w:val="-2"/>
        </w:rPr>
        <w:t>israelíes</w:t>
      </w:r>
      <w:r w:rsidR="000536D4">
        <w:rPr>
          <w:rStyle w:val="Refdenotaalpie"/>
          <w:spacing w:val="-2"/>
        </w:rPr>
        <w:footnoteReference w:id="426"/>
      </w:r>
      <w:r>
        <w:rPr>
          <w:spacing w:val="-2"/>
        </w:rPr>
        <w:t>.</w:t>
      </w:r>
    </w:p>
    <w:p w:rsidR="003804AC" w:rsidRDefault="00AF18A5" w:rsidP="000536D4">
      <w:r>
        <w:t>El</w:t>
      </w:r>
      <w:r>
        <w:rPr>
          <w:spacing w:val="-10"/>
        </w:rPr>
        <w:t xml:space="preserve"> </w:t>
      </w:r>
      <w:r>
        <w:t>general</w:t>
      </w:r>
      <w:r>
        <w:rPr>
          <w:spacing w:val="-10"/>
        </w:rPr>
        <w:t xml:space="preserve"> </w:t>
      </w:r>
      <w:r>
        <w:t>Luis</w:t>
      </w:r>
      <w:r>
        <w:rPr>
          <w:spacing w:val="-11"/>
        </w:rPr>
        <w:t xml:space="preserve"> </w:t>
      </w:r>
      <w:r>
        <w:t>Bohórquez</w:t>
      </w:r>
      <w:r w:rsidR="000536D4">
        <w:rPr>
          <w:rStyle w:val="Refdenotaalpie"/>
        </w:rPr>
        <w:footnoteReference w:id="427"/>
      </w:r>
      <w:r>
        <w:t>,</w:t>
      </w:r>
      <w:r>
        <w:rPr>
          <w:spacing w:val="-11"/>
        </w:rPr>
        <w:t xml:space="preserve"> </w:t>
      </w:r>
      <w:r>
        <w:t>entonces</w:t>
      </w:r>
      <w:r>
        <w:rPr>
          <w:spacing w:val="-12"/>
        </w:rPr>
        <w:t xml:space="preserve"> </w:t>
      </w:r>
      <w:r>
        <w:t>director</w:t>
      </w:r>
      <w:r>
        <w:rPr>
          <w:spacing w:val="-10"/>
        </w:rPr>
        <w:t xml:space="preserve"> </w:t>
      </w:r>
      <w:r>
        <w:t>de</w:t>
      </w:r>
      <w:r>
        <w:rPr>
          <w:spacing w:val="-12"/>
        </w:rPr>
        <w:t xml:space="preserve"> </w:t>
      </w:r>
      <w:r>
        <w:t>inteligencia</w:t>
      </w:r>
      <w:r>
        <w:rPr>
          <w:spacing w:val="-11"/>
        </w:rPr>
        <w:t xml:space="preserve"> </w:t>
      </w:r>
      <w:r>
        <w:t>del</w:t>
      </w:r>
      <w:r>
        <w:rPr>
          <w:spacing w:val="-10"/>
        </w:rPr>
        <w:t xml:space="preserve"> </w:t>
      </w:r>
      <w:r>
        <w:t>Batallón</w:t>
      </w:r>
      <w:r>
        <w:rPr>
          <w:spacing w:val="-12"/>
        </w:rPr>
        <w:t xml:space="preserve"> </w:t>
      </w:r>
      <w:proofErr w:type="spellStart"/>
      <w:r>
        <w:t>Voltígeros</w:t>
      </w:r>
      <w:proofErr w:type="spellEnd"/>
      <w:r>
        <w:rPr>
          <w:spacing w:val="-11"/>
        </w:rPr>
        <w:t xml:space="preserve"> </w:t>
      </w:r>
      <w:r>
        <w:t xml:space="preserve">de Turbo, Antioquia, habría alojado en las instalaciones del batallón a los paramilitares bajo el mando de Fidel Castaño, narcotraficante responsable de las masacres mencionadas, al igual que otras posteriores, como los 43 desaparecidos de Pueblo Bello. La investigación develó la amalgama de alianzas entre narcotraficantes </w:t>
      </w:r>
      <w:r>
        <w:lastRenderedPageBreak/>
        <w:t>como Pablo Escobar y Rodríguez Gacha, militares y paramilitares.</w:t>
      </w:r>
    </w:p>
    <w:p w:rsidR="003804AC" w:rsidRDefault="00AF18A5" w:rsidP="000536D4">
      <w:r>
        <w:t>También hubo acciones en las que miembros de la fuerza pública alertaron a los grupos paramilitares</w:t>
      </w:r>
      <w:r>
        <w:rPr>
          <w:spacing w:val="-7"/>
        </w:rPr>
        <w:t xml:space="preserve"> </w:t>
      </w:r>
      <w:r>
        <w:t>de</w:t>
      </w:r>
      <w:r>
        <w:rPr>
          <w:spacing w:val="-7"/>
        </w:rPr>
        <w:t xml:space="preserve"> </w:t>
      </w:r>
      <w:r>
        <w:t>posibles</w:t>
      </w:r>
      <w:r>
        <w:rPr>
          <w:spacing w:val="-8"/>
        </w:rPr>
        <w:t xml:space="preserve"> </w:t>
      </w:r>
      <w:r>
        <w:t>acciones</w:t>
      </w:r>
      <w:r>
        <w:rPr>
          <w:spacing w:val="-7"/>
        </w:rPr>
        <w:t xml:space="preserve"> </w:t>
      </w:r>
      <w:r>
        <w:t>en</w:t>
      </w:r>
      <w:r>
        <w:rPr>
          <w:spacing w:val="-8"/>
        </w:rPr>
        <w:t xml:space="preserve"> </w:t>
      </w:r>
      <w:r>
        <w:t>su</w:t>
      </w:r>
      <w:r>
        <w:rPr>
          <w:spacing w:val="-7"/>
        </w:rPr>
        <w:t xml:space="preserve"> </w:t>
      </w:r>
      <w:r>
        <w:t>contra.</w:t>
      </w:r>
      <w:r>
        <w:rPr>
          <w:spacing w:val="-7"/>
        </w:rPr>
        <w:t xml:space="preserve"> </w:t>
      </w:r>
      <w:r>
        <w:t>La</w:t>
      </w:r>
      <w:r>
        <w:rPr>
          <w:spacing w:val="-7"/>
        </w:rPr>
        <w:t xml:space="preserve"> </w:t>
      </w:r>
      <w:r>
        <w:t>colaboración</w:t>
      </w:r>
      <w:r>
        <w:rPr>
          <w:spacing w:val="-7"/>
        </w:rPr>
        <w:t xml:space="preserve"> </w:t>
      </w:r>
      <w:r>
        <w:t>directa</w:t>
      </w:r>
      <w:r>
        <w:rPr>
          <w:spacing w:val="-7"/>
        </w:rPr>
        <w:t xml:space="preserve"> </w:t>
      </w:r>
      <w:r>
        <w:t>y</w:t>
      </w:r>
      <w:r>
        <w:rPr>
          <w:spacing w:val="-8"/>
        </w:rPr>
        <w:t xml:space="preserve"> </w:t>
      </w:r>
      <w:r>
        <w:t>aquiescencia</w:t>
      </w:r>
      <w:r>
        <w:rPr>
          <w:spacing w:val="-8"/>
        </w:rPr>
        <w:t xml:space="preserve"> </w:t>
      </w:r>
      <w:r>
        <w:t>llegó hasta el punto de que un excomandante de las AUC describió así dichos vínculos ante la Comisión:</w:t>
      </w:r>
      <w:r>
        <w:rPr>
          <w:spacing w:val="-3"/>
        </w:rPr>
        <w:t xml:space="preserve"> </w:t>
      </w:r>
      <w:r>
        <w:t>«Lo</w:t>
      </w:r>
      <w:r>
        <w:rPr>
          <w:spacing w:val="-4"/>
        </w:rPr>
        <w:t xml:space="preserve"> </w:t>
      </w:r>
      <w:r>
        <w:t>he</w:t>
      </w:r>
      <w:r>
        <w:rPr>
          <w:spacing w:val="-3"/>
        </w:rPr>
        <w:t xml:space="preserve"> </w:t>
      </w:r>
      <w:r>
        <w:t>dicho</w:t>
      </w:r>
      <w:r>
        <w:rPr>
          <w:spacing w:val="-5"/>
        </w:rPr>
        <w:t xml:space="preserve"> </w:t>
      </w:r>
      <w:r>
        <w:t>en</w:t>
      </w:r>
      <w:r>
        <w:rPr>
          <w:spacing w:val="-4"/>
        </w:rPr>
        <w:t xml:space="preserve"> </w:t>
      </w:r>
      <w:r>
        <w:t>diligencias</w:t>
      </w:r>
      <w:r>
        <w:rPr>
          <w:spacing w:val="-3"/>
        </w:rPr>
        <w:t xml:space="preserve"> </w:t>
      </w:r>
      <w:r>
        <w:t>y</w:t>
      </w:r>
      <w:r>
        <w:rPr>
          <w:spacing w:val="-4"/>
        </w:rPr>
        <w:t xml:space="preserve"> </w:t>
      </w:r>
      <w:r>
        <w:t>no</w:t>
      </w:r>
      <w:r>
        <w:rPr>
          <w:spacing w:val="-4"/>
        </w:rPr>
        <w:t xml:space="preserve"> </w:t>
      </w:r>
      <w:r>
        <w:t>me</w:t>
      </w:r>
      <w:r>
        <w:rPr>
          <w:spacing w:val="-3"/>
        </w:rPr>
        <w:t xml:space="preserve"> </w:t>
      </w:r>
      <w:r>
        <w:t>da</w:t>
      </w:r>
      <w:r>
        <w:rPr>
          <w:spacing w:val="-3"/>
        </w:rPr>
        <w:t xml:space="preserve"> </w:t>
      </w:r>
      <w:r>
        <w:t>temor</w:t>
      </w:r>
      <w:r>
        <w:rPr>
          <w:spacing w:val="-3"/>
        </w:rPr>
        <w:t xml:space="preserve"> </w:t>
      </w:r>
      <w:r>
        <w:t>decirlo:</w:t>
      </w:r>
      <w:r>
        <w:rPr>
          <w:spacing w:val="-3"/>
        </w:rPr>
        <w:t xml:space="preserve"> </w:t>
      </w:r>
      <w:r>
        <w:t>ninguna</w:t>
      </w:r>
      <w:r>
        <w:rPr>
          <w:spacing w:val="-4"/>
        </w:rPr>
        <w:t xml:space="preserve"> </w:t>
      </w:r>
      <w:r>
        <w:rPr>
          <w:i/>
        </w:rPr>
        <w:t>vuelta</w:t>
      </w:r>
      <w:r>
        <w:t>,</w:t>
      </w:r>
      <w:r>
        <w:rPr>
          <w:spacing w:val="-5"/>
        </w:rPr>
        <w:t xml:space="preserve"> </w:t>
      </w:r>
      <w:r>
        <w:t>en</w:t>
      </w:r>
      <w:r>
        <w:rPr>
          <w:spacing w:val="-4"/>
        </w:rPr>
        <w:t xml:space="preserve"> </w:t>
      </w:r>
      <w:r>
        <w:t>el</w:t>
      </w:r>
      <w:r>
        <w:rPr>
          <w:spacing w:val="-4"/>
        </w:rPr>
        <w:t xml:space="preserve"> </w:t>
      </w:r>
      <w:r>
        <w:t xml:space="preserve">argot nuestro, ninguna </w:t>
      </w:r>
      <w:r>
        <w:rPr>
          <w:i/>
        </w:rPr>
        <w:t xml:space="preserve">vuelta </w:t>
      </w:r>
      <w:r>
        <w:t xml:space="preserve">que se fuera a hacer era posible si no era coordinada con la fuerza </w:t>
      </w:r>
      <w:r>
        <w:rPr>
          <w:spacing w:val="-2"/>
        </w:rPr>
        <w:t>pública»</w:t>
      </w:r>
      <w:r w:rsidR="000536D4">
        <w:rPr>
          <w:rStyle w:val="Refdenotaalpie"/>
          <w:spacing w:val="-2"/>
        </w:rPr>
        <w:footnoteReference w:id="428"/>
      </w:r>
      <w:r>
        <w:rPr>
          <w:spacing w:val="-2"/>
        </w:rPr>
        <w:t>.</w:t>
      </w:r>
    </w:p>
    <w:p w:rsidR="003804AC" w:rsidRDefault="00AF18A5" w:rsidP="000536D4">
      <w:r>
        <w:t>Según un exoficial de las Fuerzas Militares que tuvo participación directa en las sangrientas incursiones paramilitares, donde varios generales se reunieron con Carlos Castaño</w:t>
      </w:r>
      <w:r>
        <w:rPr>
          <w:spacing w:val="-2"/>
        </w:rPr>
        <w:t xml:space="preserve"> </w:t>
      </w:r>
      <w:r>
        <w:t>y</w:t>
      </w:r>
      <w:r>
        <w:rPr>
          <w:spacing w:val="-2"/>
        </w:rPr>
        <w:t xml:space="preserve"> </w:t>
      </w:r>
      <w:r>
        <w:t>con</w:t>
      </w:r>
      <w:r>
        <w:rPr>
          <w:spacing w:val="-2"/>
        </w:rPr>
        <w:t xml:space="preserve"> </w:t>
      </w:r>
      <w:r>
        <w:t>‘</w:t>
      </w:r>
      <w:proofErr w:type="spellStart"/>
      <w:r>
        <w:t>Doblecero</w:t>
      </w:r>
      <w:proofErr w:type="spellEnd"/>
      <w:r>
        <w:t>’,</w:t>
      </w:r>
      <w:r>
        <w:rPr>
          <w:spacing w:val="-2"/>
        </w:rPr>
        <w:t xml:space="preserve"> </w:t>
      </w:r>
      <w:r>
        <w:t>que</w:t>
      </w:r>
      <w:r>
        <w:rPr>
          <w:spacing w:val="-2"/>
        </w:rPr>
        <w:t xml:space="preserve"> </w:t>
      </w:r>
      <w:r>
        <w:t>era</w:t>
      </w:r>
      <w:r>
        <w:rPr>
          <w:spacing w:val="-3"/>
        </w:rPr>
        <w:t xml:space="preserve"> </w:t>
      </w:r>
      <w:r>
        <w:t>el</w:t>
      </w:r>
      <w:r>
        <w:rPr>
          <w:spacing w:val="-2"/>
        </w:rPr>
        <w:t xml:space="preserve"> </w:t>
      </w:r>
      <w:r>
        <w:t>capitán</w:t>
      </w:r>
      <w:r>
        <w:rPr>
          <w:spacing w:val="-2"/>
        </w:rPr>
        <w:t xml:space="preserve"> </w:t>
      </w:r>
      <w:r>
        <w:t>García</w:t>
      </w:r>
      <w:r>
        <w:rPr>
          <w:spacing w:val="-2"/>
        </w:rPr>
        <w:t xml:space="preserve"> </w:t>
      </w:r>
      <w:r>
        <w:t>Fernández,</w:t>
      </w:r>
      <w:r>
        <w:rPr>
          <w:spacing w:val="-2"/>
        </w:rPr>
        <w:t xml:space="preserve"> </w:t>
      </w:r>
      <w:r>
        <w:t>y</w:t>
      </w:r>
      <w:r>
        <w:rPr>
          <w:spacing w:val="-2"/>
        </w:rPr>
        <w:t xml:space="preserve"> </w:t>
      </w:r>
      <w:r>
        <w:t>ellos</w:t>
      </w:r>
      <w:r>
        <w:rPr>
          <w:spacing w:val="-3"/>
        </w:rPr>
        <w:t xml:space="preserve"> </w:t>
      </w:r>
      <w:r>
        <w:t>planearon</w:t>
      </w:r>
      <w:r>
        <w:rPr>
          <w:spacing w:val="-2"/>
        </w:rPr>
        <w:t xml:space="preserve"> </w:t>
      </w:r>
      <w:r>
        <w:t>y</w:t>
      </w:r>
      <w:r>
        <w:rPr>
          <w:spacing w:val="-3"/>
        </w:rPr>
        <w:t xml:space="preserve"> </w:t>
      </w:r>
      <w:r>
        <w:t>dijeron qué zonas había que liberar de la guerrilla.</w:t>
      </w:r>
    </w:p>
    <w:p w:rsidR="003804AC" w:rsidRDefault="00AF18A5" w:rsidP="00876A91">
      <w:r>
        <w:t>«</w:t>
      </w:r>
      <w:r>
        <w:rPr>
          <w:spacing w:val="-4"/>
        </w:rPr>
        <w:t xml:space="preserve"> </w:t>
      </w:r>
      <w:r>
        <w:t>Existía</w:t>
      </w:r>
      <w:r>
        <w:rPr>
          <w:spacing w:val="-3"/>
        </w:rPr>
        <w:t xml:space="preserve"> </w:t>
      </w:r>
      <w:r>
        <w:t>un</w:t>
      </w:r>
      <w:r>
        <w:rPr>
          <w:spacing w:val="-5"/>
        </w:rPr>
        <w:t xml:space="preserve"> </w:t>
      </w:r>
      <w:r>
        <w:t>contubernio</w:t>
      </w:r>
      <w:r>
        <w:rPr>
          <w:spacing w:val="-5"/>
        </w:rPr>
        <w:t xml:space="preserve"> </w:t>
      </w:r>
      <w:r>
        <w:t>total</w:t>
      </w:r>
      <w:r>
        <w:rPr>
          <w:spacing w:val="-3"/>
        </w:rPr>
        <w:t xml:space="preserve"> </w:t>
      </w:r>
      <w:r>
        <w:t>y</w:t>
      </w:r>
      <w:r>
        <w:rPr>
          <w:spacing w:val="-4"/>
        </w:rPr>
        <w:t xml:space="preserve"> </w:t>
      </w:r>
      <w:r>
        <w:t>absoluto,</w:t>
      </w:r>
      <w:r>
        <w:rPr>
          <w:spacing w:val="-4"/>
        </w:rPr>
        <w:t xml:space="preserve"> </w:t>
      </w:r>
      <w:r>
        <w:t>y</w:t>
      </w:r>
      <w:r>
        <w:rPr>
          <w:spacing w:val="-4"/>
        </w:rPr>
        <w:t xml:space="preserve"> </w:t>
      </w:r>
      <w:r>
        <w:t>de</w:t>
      </w:r>
      <w:r>
        <w:rPr>
          <w:spacing w:val="-3"/>
        </w:rPr>
        <w:t xml:space="preserve"> </w:t>
      </w:r>
      <w:r>
        <w:t>eso</w:t>
      </w:r>
      <w:r>
        <w:rPr>
          <w:spacing w:val="-5"/>
        </w:rPr>
        <w:t xml:space="preserve"> </w:t>
      </w:r>
      <w:r>
        <w:t>no</w:t>
      </w:r>
      <w:r>
        <w:rPr>
          <w:spacing w:val="-4"/>
        </w:rPr>
        <w:t xml:space="preserve"> </w:t>
      </w:r>
      <w:r>
        <w:t>tengo</w:t>
      </w:r>
      <w:r>
        <w:rPr>
          <w:spacing w:val="-5"/>
        </w:rPr>
        <w:t xml:space="preserve"> </w:t>
      </w:r>
      <w:r>
        <w:t>la</w:t>
      </w:r>
      <w:r>
        <w:rPr>
          <w:spacing w:val="-5"/>
        </w:rPr>
        <w:t xml:space="preserve"> </w:t>
      </w:r>
      <w:r>
        <w:t>menor</w:t>
      </w:r>
      <w:r>
        <w:rPr>
          <w:spacing w:val="-3"/>
        </w:rPr>
        <w:t xml:space="preserve"> </w:t>
      </w:r>
      <w:r>
        <w:t>duda,</w:t>
      </w:r>
      <w:r>
        <w:rPr>
          <w:spacing w:val="-5"/>
        </w:rPr>
        <w:t xml:space="preserve"> </w:t>
      </w:r>
      <w:r>
        <w:t>porque</w:t>
      </w:r>
      <w:r>
        <w:rPr>
          <w:spacing w:val="-3"/>
        </w:rPr>
        <w:t xml:space="preserve"> </w:t>
      </w:r>
      <w:r>
        <w:t>es</w:t>
      </w:r>
      <w:r>
        <w:rPr>
          <w:spacing w:val="-5"/>
        </w:rPr>
        <w:t xml:space="preserve"> </w:t>
      </w:r>
      <w:r>
        <w:t>que era</w:t>
      </w:r>
      <w:r>
        <w:rPr>
          <w:spacing w:val="-9"/>
        </w:rPr>
        <w:t xml:space="preserve"> </w:t>
      </w:r>
      <w:r>
        <w:t>un</w:t>
      </w:r>
      <w:r>
        <w:rPr>
          <w:spacing w:val="-10"/>
        </w:rPr>
        <w:t xml:space="preserve"> </w:t>
      </w:r>
      <w:r>
        <w:t>patrocinio,</w:t>
      </w:r>
      <w:r>
        <w:rPr>
          <w:spacing w:val="-10"/>
        </w:rPr>
        <w:t xml:space="preserve"> </w:t>
      </w:r>
      <w:r>
        <w:t>digámoslo</w:t>
      </w:r>
      <w:r>
        <w:rPr>
          <w:spacing w:val="-10"/>
        </w:rPr>
        <w:t xml:space="preserve"> </w:t>
      </w:r>
      <w:r>
        <w:t>así</w:t>
      </w:r>
      <w:r>
        <w:rPr>
          <w:spacing w:val="-9"/>
        </w:rPr>
        <w:t xml:space="preserve"> </w:t>
      </w:r>
      <w:r>
        <w:t>y</w:t>
      </w:r>
      <w:r>
        <w:rPr>
          <w:spacing w:val="-10"/>
        </w:rPr>
        <w:t xml:space="preserve"> </w:t>
      </w:r>
      <w:r>
        <w:t>quienes</w:t>
      </w:r>
      <w:r>
        <w:rPr>
          <w:spacing w:val="-9"/>
        </w:rPr>
        <w:t xml:space="preserve"> </w:t>
      </w:r>
      <w:r>
        <w:t>miraron</w:t>
      </w:r>
      <w:r>
        <w:rPr>
          <w:spacing w:val="-10"/>
        </w:rPr>
        <w:t xml:space="preserve"> </w:t>
      </w:r>
      <w:r>
        <w:t>las</w:t>
      </w:r>
      <w:r>
        <w:rPr>
          <w:spacing w:val="-9"/>
        </w:rPr>
        <w:t xml:space="preserve"> </w:t>
      </w:r>
      <w:r>
        <w:t>cartas,</w:t>
      </w:r>
      <w:r>
        <w:rPr>
          <w:spacing w:val="-10"/>
        </w:rPr>
        <w:t xml:space="preserve"> </w:t>
      </w:r>
      <w:r>
        <w:t>planearon</w:t>
      </w:r>
      <w:r>
        <w:rPr>
          <w:spacing w:val="-10"/>
        </w:rPr>
        <w:t xml:space="preserve"> </w:t>
      </w:r>
      <w:r>
        <w:t>todas</w:t>
      </w:r>
      <w:r>
        <w:rPr>
          <w:spacing w:val="-9"/>
        </w:rPr>
        <w:t xml:space="preserve"> </w:t>
      </w:r>
      <w:r>
        <w:t>las</w:t>
      </w:r>
      <w:r>
        <w:rPr>
          <w:spacing w:val="-9"/>
        </w:rPr>
        <w:t xml:space="preserve"> </w:t>
      </w:r>
      <w:r>
        <w:t>incursiones en</w:t>
      </w:r>
      <w:r>
        <w:rPr>
          <w:spacing w:val="-12"/>
        </w:rPr>
        <w:t xml:space="preserve"> </w:t>
      </w:r>
      <w:r>
        <w:t>diferentes</w:t>
      </w:r>
      <w:r>
        <w:rPr>
          <w:spacing w:val="-10"/>
        </w:rPr>
        <w:t xml:space="preserve"> </w:t>
      </w:r>
      <w:r>
        <w:t>partes</w:t>
      </w:r>
      <w:r>
        <w:rPr>
          <w:spacing w:val="-8"/>
        </w:rPr>
        <w:t xml:space="preserve"> </w:t>
      </w:r>
      <w:r>
        <w:t>del</w:t>
      </w:r>
      <w:r>
        <w:rPr>
          <w:spacing w:val="-8"/>
        </w:rPr>
        <w:t xml:space="preserve"> </w:t>
      </w:r>
      <w:r>
        <w:t>país,</w:t>
      </w:r>
      <w:r>
        <w:rPr>
          <w:spacing w:val="-9"/>
        </w:rPr>
        <w:t xml:space="preserve"> </w:t>
      </w:r>
      <w:r>
        <w:t>como</w:t>
      </w:r>
      <w:r>
        <w:rPr>
          <w:spacing w:val="-9"/>
        </w:rPr>
        <w:t xml:space="preserve"> </w:t>
      </w:r>
      <w:r>
        <w:t>ustedes</w:t>
      </w:r>
      <w:r>
        <w:rPr>
          <w:spacing w:val="-8"/>
        </w:rPr>
        <w:t xml:space="preserve"> </w:t>
      </w:r>
      <w:r>
        <w:t>conocen</w:t>
      </w:r>
      <w:r>
        <w:rPr>
          <w:spacing w:val="-9"/>
        </w:rPr>
        <w:t xml:space="preserve"> </w:t>
      </w:r>
      <w:r>
        <w:t>y</w:t>
      </w:r>
      <w:r>
        <w:rPr>
          <w:spacing w:val="-9"/>
        </w:rPr>
        <w:t xml:space="preserve"> </w:t>
      </w:r>
      <w:r>
        <w:t>todo</w:t>
      </w:r>
      <w:r>
        <w:rPr>
          <w:spacing w:val="-9"/>
        </w:rPr>
        <w:t xml:space="preserve"> </w:t>
      </w:r>
      <w:r>
        <w:t>mundo</w:t>
      </w:r>
      <w:r>
        <w:rPr>
          <w:spacing w:val="-9"/>
        </w:rPr>
        <w:t xml:space="preserve"> </w:t>
      </w:r>
      <w:r>
        <w:t>sabe,</w:t>
      </w:r>
      <w:r>
        <w:rPr>
          <w:spacing w:val="-9"/>
        </w:rPr>
        <w:t xml:space="preserve"> </w:t>
      </w:r>
      <w:r>
        <w:t>fueron</w:t>
      </w:r>
      <w:r>
        <w:rPr>
          <w:spacing w:val="-9"/>
        </w:rPr>
        <w:t xml:space="preserve"> </w:t>
      </w:r>
      <w:r>
        <w:t>los</w:t>
      </w:r>
      <w:r>
        <w:rPr>
          <w:spacing w:val="-8"/>
        </w:rPr>
        <w:t xml:space="preserve"> </w:t>
      </w:r>
      <w:r>
        <w:rPr>
          <w:spacing w:val="-2"/>
        </w:rPr>
        <w:t>generales,</w:t>
      </w:r>
      <w:bookmarkStart w:id="582" w:name="_bookmark479"/>
      <w:bookmarkStart w:id="583" w:name="_bookmark480"/>
      <w:bookmarkStart w:id="584" w:name="_bookmark481"/>
      <w:bookmarkEnd w:id="582"/>
      <w:bookmarkEnd w:id="583"/>
      <w:bookmarkEnd w:id="584"/>
      <w:r w:rsidR="00876A91">
        <w:rPr>
          <w:spacing w:val="-2"/>
        </w:rPr>
        <w:t xml:space="preserve"> </w:t>
      </w:r>
      <w:r>
        <w:t>los</w:t>
      </w:r>
      <w:r>
        <w:rPr>
          <w:spacing w:val="-1"/>
        </w:rPr>
        <w:t xml:space="preserve"> </w:t>
      </w:r>
      <w:r>
        <w:t>que</w:t>
      </w:r>
      <w:r>
        <w:rPr>
          <w:spacing w:val="-1"/>
        </w:rPr>
        <w:t xml:space="preserve"> </w:t>
      </w:r>
      <w:r>
        <w:t>se</w:t>
      </w:r>
      <w:r>
        <w:rPr>
          <w:spacing w:val="-1"/>
        </w:rPr>
        <w:t xml:space="preserve"> </w:t>
      </w:r>
      <w:r>
        <w:t>sentaron</w:t>
      </w:r>
      <w:r>
        <w:rPr>
          <w:spacing w:val="-1"/>
        </w:rPr>
        <w:t xml:space="preserve"> </w:t>
      </w:r>
      <w:r>
        <w:t>con</w:t>
      </w:r>
      <w:r>
        <w:rPr>
          <w:spacing w:val="-1"/>
        </w:rPr>
        <w:t xml:space="preserve"> </w:t>
      </w:r>
      <w:r>
        <w:t>el</w:t>
      </w:r>
      <w:r>
        <w:rPr>
          <w:spacing w:val="-1"/>
        </w:rPr>
        <w:t xml:space="preserve"> </w:t>
      </w:r>
      <w:r>
        <w:t>alto</w:t>
      </w:r>
      <w:r>
        <w:rPr>
          <w:spacing w:val="-1"/>
        </w:rPr>
        <w:t xml:space="preserve"> </w:t>
      </w:r>
      <w:r>
        <w:t>mando,</w:t>
      </w:r>
      <w:r>
        <w:rPr>
          <w:spacing w:val="-1"/>
        </w:rPr>
        <w:t xml:space="preserve"> </w:t>
      </w:r>
      <w:r>
        <w:t>digámoslo</w:t>
      </w:r>
      <w:r>
        <w:rPr>
          <w:spacing w:val="-2"/>
        </w:rPr>
        <w:t xml:space="preserve"> </w:t>
      </w:r>
      <w:r>
        <w:t>así,</w:t>
      </w:r>
      <w:r>
        <w:rPr>
          <w:spacing w:val="-1"/>
        </w:rPr>
        <w:t xml:space="preserve"> </w:t>
      </w:r>
      <w:r>
        <w:t>de</w:t>
      </w:r>
      <w:r>
        <w:rPr>
          <w:spacing w:val="-1"/>
        </w:rPr>
        <w:t xml:space="preserve"> </w:t>
      </w:r>
      <w:r>
        <w:t>las</w:t>
      </w:r>
      <w:r>
        <w:rPr>
          <w:spacing w:val="-1"/>
        </w:rPr>
        <w:t xml:space="preserve"> </w:t>
      </w:r>
      <w:r>
        <w:t>autodefensas.</w:t>
      </w:r>
      <w:r>
        <w:rPr>
          <w:spacing w:val="-2"/>
        </w:rPr>
        <w:t xml:space="preserve"> </w:t>
      </w:r>
      <w:r>
        <w:t>[...]</w:t>
      </w:r>
      <w:r>
        <w:rPr>
          <w:spacing w:val="-1"/>
        </w:rPr>
        <w:t xml:space="preserve"> </w:t>
      </w:r>
      <w:r>
        <w:t>Y</w:t>
      </w:r>
      <w:r>
        <w:rPr>
          <w:spacing w:val="-2"/>
        </w:rPr>
        <w:t xml:space="preserve"> </w:t>
      </w:r>
      <w:r>
        <w:t>resulta</w:t>
      </w:r>
      <w:r>
        <w:rPr>
          <w:spacing w:val="-1"/>
        </w:rPr>
        <w:t xml:space="preserve"> </w:t>
      </w:r>
      <w:r>
        <w:t>que no ha pasado nada porque, como se dice vulgarmente, son vacas sagradas»</w:t>
      </w:r>
      <w:r w:rsidR="00876A91">
        <w:rPr>
          <w:rStyle w:val="Refdenotaalpie"/>
        </w:rPr>
        <w:footnoteReference w:id="429"/>
      </w:r>
      <w:r>
        <w:t>.</w:t>
      </w:r>
    </w:p>
    <w:p w:rsidR="003804AC" w:rsidRDefault="00AF18A5" w:rsidP="00876A91">
      <w:r>
        <w:t xml:space="preserve">Cabe aclarar que, a pesar de las acusaciones de parte de </w:t>
      </w:r>
      <w:proofErr w:type="spellStart"/>
      <w:r>
        <w:t>exparamilitares</w:t>
      </w:r>
      <w:proofErr w:type="spellEnd"/>
      <w:r>
        <w:t>, no existen sentencias contra varios de estos generales relacionadas con sus presuntos vínculos con el paramilitarismo.</w:t>
      </w:r>
      <w:r>
        <w:rPr>
          <w:spacing w:val="-4"/>
        </w:rPr>
        <w:t xml:space="preserve"> </w:t>
      </w:r>
      <w:r>
        <w:t>Pero</w:t>
      </w:r>
      <w:r>
        <w:rPr>
          <w:spacing w:val="-4"/>
        </w:rPr>
        <w:t xml:space="preserve"> </w:t>
      </w:r>
      <w:r>
        <w:t>no</w:t>
      </w:r>
      <w:r>
        <w:rPr>
          <w:spacing w:val="-5"/>
        </w:rPr>
        <w:t xml:space="preserve"> </w:t>
      </w:r>
      <w:r>
        <w:t>únicamente</w:t>
      </w:r>
      <w:r>
        <w:rPr>
          <w:spacing w:val="-5"/>
        </w:rPr>
        <w:t xml:space="preserve"> </w:t>
      </w:r>
      <w:r>
        <w:t>era</w:t>
      </w:r>
      <w:r>
        <w:rPr>
          <w:spacing w:val="-3"/>
        </w:rPr>
        <w:t xml:space="preserve"> </w:t>
      </w:r>
      <w:r>
        <w:t>un</w:t>
      </w:r>
      <w:r>
        <w:rPr>
          <w:spacing w:val="-4"/>
        </w:rPr>
        <w:t xml:space="preserve"> </w:t>
      </w:r>
      <w:r>
        <w:t>asunto</w:t>
      </w:r>
      <w:r>
        <w:rPr>
          <w:spacing w:val="-4"/>
        </w:rPr>
        <w:t xml:space="preserve"> </w:t>
      </w:r>
      <w:r>
        <w:t>del</w:t>
      </w:r>
      <w:r>
        <w:rPr>
          <w:spacing w:val="-3"/>
        </w:rPr>
        <w:t xml:space="preserve"> </w:t>
      </w:r>
      <w:r>
        <w:t>Ejército,</w:t>
      </w:r>
      <w:r>
        <w:rPr>
          <w:spacing w:val="-4"/>
        </w:rPr>
        <w:t xml:space="preserve"> </w:t>
      </w:r>
      <w:r>
        <w:t>ni</w:t>
      </w:r>
      <w:r>
        <w:rPr>
          <w:spacing w:val="-3"/>
        </w:rPr>
        <w:t xml:space="preserve"> </w:t>
      </w:r>
      <w:r>
        <w:t>de</w:t>
      </w:r>
      <w:r>
        <w:rPr>
          <w:spacing w:val="-3"/>
        </w:rPr>
        <w:t xml:space="preserve"> </w:t>
      </w:r>
      <w:r>
        <w:t>sus</w:t>
      </w:r>
      <w:r>
        <w:rPr>
          <w:spacing w:val="-5"/>
        </w:rPr>
        <w:t xml:space="preserve"> </w:t>
      </w:r>
      <w:r>
        <w:t>altos</w:t>
      </w:r>
      <w:r>
        <w:rPr>
          <w:spacing w:val="-5"/>
        </w:rPr>
        <w:t xml:space="preserve"> </w:t>
      </w:r>
      <w:r>
        <w:t>mandos,</w:t>
      </w:r>
      <w:r>
        <w:rPr>
          <w:spacing w:val="-4"/>
        </w:rPr>
        <w:t xml:space="preserve"> </w:t>
      </w:r>
      <w:r>
        <w:t xml:space="preserve">sino que </w:t>
      </w:r>
      <w:r>
        <w:lastRenderedPageBreak/>
        <w:t xml:space="preserve">llegó a ser una articulación cotidiana de las actividades de ambos grupos legales e ilegales. Dichas colaboraciones estuvieron lejos de ser fruto de unas </w:t>
      </w:r>
      <w:r>
        <w:rPr>
          <w:i/>
        </w:rPr>
        <w:t xml:space="preserve">manzanas podridas, </w:t>
      </w:r>
      <w:r>
        <w:t>entendidas como responsables individuales sin una implicación de las instituciones. Al contrario, las alianzas fueron centrales en la conformación de estos ejércitos ilegales y se hicieron múltiples y continuadas en el tiempo, ocasionando operaciones contrainsurgentes conjuntas</w:t>
      </w:r>
      <w:r>
        <w:rPr>
          <w:spacing w:val="-1"/>
        </w:rPr>
        <w:t xml:space="preserve"> </w:t>
      </w:r>
      <w:r>
        <w:t>entre</w:t>
      </w:r>
      <w:r>
        <w:rPr>
          <w:spacing w:val="-1"/>
        </w:rPr>
        <w:t xml:space="preserve"> </w:t>
      </w:r>
      <w:r>
        <w:t>unidades</w:t>
      </w:r>
      <w:r>
        <w:rPr>
          <w:spacing w:val="-2"/>
        </w:rPr>
        <w:t xml:space="preserve"> </w:t>
      </w:r>
      <w:r>
        <w:t>militares</w:t>
      </w:r>
      <w:r>
        <w:rPr>
          <w:spacing w:val="-1"/>
        </w:rPr>
        <w:t xml:space="preserve"> </w:t>
      </w:r>
      <w:r>
        <w:t>y</w:t>
      </w:r>
      <w:r>
        <w:rPr>
          <w:spacing w:val="-2"/>
        </w:rPr>
        <w:t xml:space="preserve"> </w:t>
      </w:r>
      <w:r>
        <w:t>paramilitares,</w:t>
      </w:r>
      <w:r>
        <w:rPr>
          <w:spacing w:val="-1"/>
        </w:rPr>
        <w:t xml:space="preserve"> </w:t>
      </w:r>
      <w:r>
        <w:t>consecución</w:t>
      </w:r>
      <w:r>
        <w:rPr>
          <w:spacing w:val="-1"/>
        </w:rPr>
        <w:t xml:space="preserve"> </w:t>
      </w:r>
      <w:r>
        <w:t>de</w:t>
      </w:r>
      <w:r>
        <w:rPr>
          <w:spacing w:val="-1"/>
        </w:rPr>
        <w:t xml:space="preserve"> </w:t>
      </w:r>
      <w:r>
        <w:t>resultados</w:t>
      </w:r>
      <w:r>
        <w:rPr>
          <w:spacing w:val="-1"/>
        </w:rPr>
        <w:t xml:space="preserve"> </w:t>
      </w:r>
      <w:r>
        <w:t>falsos</w:t>
      </w:r>
      <w:r>
        <w:rPr>
          <w:spacing w:val="-2"/>
        </w:rPr>
        <w:t xml:space="preserve"> </w:t>
      </w:r>
      <w:r>
        <w:t>a</w:t>
      </w:r>
      <w:r>
        <w:rPr>
          <w:spacing w:val="-1"/>
        </w:rPr>
        <w:t xml:space="preserve"> </w:t>
      </w:r>
      <w:r>
        <w:t>través de ejecuciones extrajudiciales y otros mecanismos criminales, participación directa de militares</w:t>
      </w:r>
      <w:r>
        <w:rPr>
          <w:spacing w:val="-4"/>
        </w:rPr>
        <w:t xml:space="preserve"> </w:t>
      </w:r>
      <w:r>
        <w:t>(activos</w:t>
      </w:r>
      <w:r>
        <w:rPr>
          <w:spacing w:val="-3"/>
        </w:rPr>
        <w:t xml:space="preserve"> </w:t>
      </w:r>
      <w:r>
        <w:t>y</w:t>
      </w:r>
      <w:r>
        <w:rPr>
          <w:spacing w:val="-3"/>
        </w:rPr>
        <w:t xml:space="preserve"> </w:t>
      </w:r>
      <w:r>
        <w:t>retirados)</w:t>
      </w:r>
      <w:r>
        <w:rPr>
          <w:spacing w:val="-3"/>
        </w:rPr>
        <w:t xml:space="preserve"> </w:t>
      </w:r>
      <w:r>
        <w:t>en</w:t>
      </w:r>
      <w:r>
        <w:rPr>
          <w:spacing w:val="-3"/>
        </w:rPr>
        <w:t xml:space="preserve"> </w:t>
      </w:r>
      <w:r>
        <w:t>las</w:t>
      </w:r>
      <w:r>
        <w:rPr>
          <w:spacing w:val="-4"/>
        </w:rPr>
        <w:t xml:space="preserve"> </w:t>
      </w:r>
      <w:r>
        <w:t>filas</w:t>
      </w:r>
      <w:r>
        <w:rPr>
          <w:spacing w:val="-3"/>
        </w:rPr>
        <w:t xml:space="preserve"> </w:t>
      </w:r>
      <w:r>
        <w:t>paramilitares</w:t>
      </w:r>
      <w:r>
        <w:rPr>
          <w:spacing w:val="-3"/>
        </w:rPr>
        <w:t xml:space="preserve"> </w:t>
      </w:r>
      <w:r>
        <w:t>y</w:t>
      </w:r>
      <w:r>
        <w:rPr>
          <w:spacing w:val="-5"/>
        </w:rPr>
        <w:t xml:space="preserve"> </w:t>
      </w:r>
      <w:r>
        <w:t>contubernios</w:t>
      </w:r>
      <w:r>
        <w:rPr>
          <w:spacing w:val="-3"/>
        </w:rPr>
        <w:t xml:space="preserve"> </w:t>
      </w:r>
      <w:r>
        <w:t>para</w:t>
      </w:r>
      <w:r>
        <w:rPr>
          <w:spacing w:val="-4"/>
        </w:rPr>
        <w:t xml:space="preserve"> </w:t>
      </w:r>
      <w:r>
        <w:t>el</w:t>
      </w:r>
      <w:r>
        <w:rPr>
          <w:spacing w:val="-3"/>
        </w:rPr>
        <w:t xml:space="preserve"> </w:t>
      </w:r>
      <w:r>
        <w:t>entrenamiento de tropa, entre otras interacciones que prueban su cercanía.</w:t>
      </w:r>
    </w:p>
    <w:p w:rsidR="003804AC" w:rsidRDefault="00AF18A5" w:rsidP="00876A91">
      <w:r>
        <w:t xml:space="preserve">En la zona de los llanos, donde operaron las Autodefensas Campesinas del Casanare, un </w:t>
      </w:r>
      <w:proofErr w:type="spellStart"/>
      <w:r>
        <w:t>exparamilitar</w:t>
      </w:r>
      <w:proofErr w:type="spellEnd"/>
      <w:r>
        <w:t xml:space="preserve"> relató en su testimonio:</w:t>
      </w:r>
    </w:p>
    <w:p w:rsidR="003804AC" w:rsidRDefault="00AF18A5" w:rsidP="00876A91">
      <w:r>
        <w:t>«Allí no se salvaba</w:t>
      </w:r>
      <w:r>
        <w:rPr>
          <w:spacing w:val="-1"/>
        </w:rPr>
        <w:t xml:space="preserve"> </w:t>
      </w:r>
      <w:r>
        <w:t>era nadie. Que</w:t>
      </w:r>
      <w:r>
        <w:rPr>
          <w:spacing w:val="-1"/>
        </w:rPr>
        <w:t xml:space="preserve"> </w:t>
      </w:r>
      <w:r>
        <w:t>me diga un</w:t>
      </w:r>
      <w:r>
        <w:rPr>
          <w:spacing w:val="-1"/>
        </w:rPr>
        <w:t xml:space="preserve"> </w:t>
      </w:r>
      <w:r>
        <w:t>miembro de la</w:t>
      </w:r>
      <w:r>
        <w:rPr>
          <w:spacing w:val="-2"/>
        </w:rPr>
        <w:t xml:space="preserve"> </w:t>
      </w:r>
      <w:r>
        <w:t>Policía desde 1993 hasta</w:t>
      </w:r>
      <w:r>
        <w:rPr>
          <w:spacing w:val="-1"/>
        </w:rPr>
        <w:t xml:space="preserve"> </w:t>
      </w:r>
      <w:r>
        <w:t>el 2004</w:t>
      </w:r>
      <w:r>
        <w:rPr>
          <w:spacing w:val="-8"/>
        </w:rPr>
        <w:t xml:space="preserve"> </w:t>
      </w:r>
      <w:r>
        <w:t>que</w:t>
      </w:r>
      <w:r>
        <w:rPr>
          <w:spacing w:val="-8"/>
        </w:rPr>
        <w:t xml:space="preserve"> </w:t>
      </w:r>
      <w:r>
        <w:t>es</w:t>
      </w:r>
      <w:r>
        <w:rPr>
          <w:spacing w:val="-9"/>
        </w:rPr>
        <w:t xml:space="preserve"> </w:t>
      </w:r>
      <w:r>
        <w:t>que</w:t>
      </w:r>
      <w:r>
        <w:rPr>
          <w:spacing w:val="-8"/>
        </w:rPr>
        <w:t xml:space="preserve"> </w:t>
      </w:r>
      <w:r>
        <w:t>“yo</w:t>
      </w:r>
      <w:r>
        <w:rPr>
          <w:spacing w:val="-10"/>
        </w:rPr>
        <w:t xml:space="preserve"> </w:t>
      </w:r>
      <w:r>
        <w:t>me</w:t>
      </w:r>
      <w:r>
        <w:rPr>
          <w:spacing w:val="-11"/>
        </w:rPr>
        <w:t xml:space="preserve"> </w:t>
      </w:r>
      <w:r>
        <w:t>paré</w:t>
      </w:r>
      <w:r>
        <w:rPr>
          <w:spacing w:val="-8"/>
        </w:rPr>
        <w:t xml:space="preserve"> </w:t>
      </w:r>
      <w:r>
        <w:t>y</w:t>
      </w:r>
      <w:r>
        <w:rPr>
          <w:spacing w:val="-10"/>
        </w:rPr>
        <w:t xml:space="preserve"> </w:t>
      </w:r>
      <w:r>
        <w:t>que</w:t>
      </w:r>
      <w:r>
        <w:rPr>
          <w:spacing w:val="-9"/>
        </w:rPr>
        <w:t xml:space="preserve"> </w:t>
      </w:r>
      <w:r>
        <w:t>no</w:t>
      </w:r>
      <w:r>
        <w:rPr>
          <w:spacing w:val="-8"/>
        </w:rPr>
        <w:t xml:space="preserve"> </w:t>
      </w:r>
      <w:r>
        <w:t>hice</w:t>
      </w:r>
      <w:r>
        <w:rPr>
          <w:spacing w:val="-9"/>
        </w:rPr>
        <w:t xml:space="preserve"> </w:t>
      </w:r>
      <w:r>
        <w:t>eso”</w:t>
      </w:r>
      <w:r>
        <w:rPr>
          <w:spacing w:val="-8"/>
        </w:rPr>
        <w:t xml:space="preserve"> </w:t>
      </w:r>
      <w:r>
        <w:t>es</w:t>
      </w:r>
      <w:r>
        <w:rPr>
          <w:spacing w:val="-8"/>
        </w:rPr>
        <w:t xml:space="preserve"> </w:t>
      </w:r>
      <w:r>
        <w:t>una</w:t>
      </w:r>
      <w:r>
        <w:rPr>
          <w:spacing w:val="-9"/>
        </w:rPr>
        <w:t xml:space="preserve"> </w:t>
      </w:r>
      <w:r>
        <w:t>mentira,</w:t>
      </w:r>
      <w:r>
        <w:rPr>
          <w:spacing w:val="-8"/>
        </w:rPr>
        <w:t xml:space="preserve"> </w:t>
      </w:r>
      <w:r>
        <w:t>porque</w:t>
      </w:r>
      <w:r>
        <w:rPr>
          <w:spacing w:val="-9"/>
        </w:rPr>
        <w:t xml:space="preserve"> </w:t>
      </w:r>
      <w:r>
        <w:t>cada</w:t>
      </w:r>
      <w:r>
        <w:rPr>
          <w:spacing w:val="-8"/>
        </w:rPr>
        <w:t xml:space="preserve"> </w:t>
      </w:r>
      <w:r>
        <w:t>homicidio,</w:t>
      </w:r>
      <w:r>
        <w:rPr>
          <w:spacing w:val="-8"/>
        </w:rPr>
        <w:t xml:space="preserve"> </w:t>
      </w:r>
      <w:r>
        <w:t>cada desaparición,</w:t>
      </w:r>
      <w:r>
        <w:rPr>
          <w:spacing w:val="-5"/>
        </w:rPr>
        <w:t xml:space="preserve"> </w:t>
      </w:r>
      <w:r>
        <w:t>cada</w:t>
      </w:r>
      <w:r>
        <w:rPr>
          <w:spacing w:val="-4"/>
        </w:rPr>
        <w:t xml:space="preserve"> </w:t>
      </w:r>
      <w:r>
        <w:t>cosa</w:t>
      </w:r>
      <w:r>
        <w:rPr>
          <w:spacing w:val="-5"/>
        </w:rPr>
        <w:t xml:space="preserve"> </w:t>
      </w:r>
      <w:r>
        <w:t>que</w:t>
      </w:r>
      <w:r>
        <w:rPr>
          <w:spacing w:val="-4"/>
        </w:rPr>
        <w:t xml:space="preserve"> </w:t>
      </w:r>
      <w:r>
        <w:t>yo</w:t>
      </w:r>
      <w:r>
        <w:rPr>
          <w:spacing w:val="-5"/>
        </w:rPr>
        <w:t xml:space="preserve"> </w:t>
      </w:r>
      <w:r>
        <w:t>hiciera,</w:t>
      </w:r>
      <w:r>
        <w:rPr>
          <w:spacing w:val="-5"/>
        </w:rPr>
        <w:t xml:space="preserve"> </w:t>
      </w:r>
      <w:r>
        <w:t>siempre</w:t>
      </w:r>
      <w:r>
        <w:rPr>
          <w:spacing w:val="-4"/>
        </w:rPr>
        <w:t xml:space="preserve"> </w:t>
      </w:r>
      <w:r>
        <w:t>se</w:t>
      </w:r>
      <w:r>
        <w:rPr>
          <w:spacing w:val="-4"/>
        </w:rPr>
        <w:t xml:space="preserve"> </w:t>
      </w:r>
      <w:r>
        <w:t>coordinaba</w:t>
      </w:r>
      <w:r>
        <w:rPr>
          <w:spacing w:val="-4"/>
        </w:rPr>
        <w:t xml:space="preserve"> </w:t>
      </w:r>
      <w:r>
        <w:t>con</w:t>
      </w:r>
      <w:r>
        <w:rPr>
          <w:spacing w:val="-5"/>
        </w:rPr>
        <w:t xml:space="preserve"> </w:t>
      </w:r>
      <w:r>
        <w:t>la</w:t>
      </w:r>
      <w:r>
        <w:rPr>
          <w:spacing w:val="-4"/>
        </w:rPr>
        <w:t xml:space="preserve"> </w:t>
      </w:r>
      <w:r>
        <w:t>estación</w:t>
      </w:r>
      <w:r>
        <w:rPr>
          <w:spacing w:val="-5"/>
        </w:rPr>
        <w:t xml:space="preserve"> </w:t>
      </w:r>
      <w:r>
        <w:t>de</w:t>
      </w:r>
      <w:r>
        <w:rPr>
          <w:spacing w:val="-4"/>
        </w:rPr>
        <w:t xml:space="preserve"> </w:t>
      </w:r>
      <w:r>
        <w:t>la</w:t>
      </w:r>
      <w:r>
        <w:rPr>
          <w:spacing w:val="-4"/>
        </w:rPr>
        <w:t xml:space="preserve"> </w:t>
      </w:r>
      <w:r>
        <w:t>Policía</w:t>
      </w:r>
      <w:r>
        <w:rPr>
          <w:spacing w:val="-5"/>
        </w:rPr>
        <w:t xml:space="preserve"> </w:t>
      </w:r>
      <w:r>
        <w:t>y si</w:t>
      </w:r>
      <w:r>
        <w:rPr>
          <w:spacing w:val="-13"/>
        </w:rPr>
        <w:t xml:space="preserve"> </w:t>
      </w:r>
      <w:r>
        <w:t>no,</w:t>
      </w:r>
      <w:r>
        <w:rPr>
          <w:spacing w:val="-13"/>
        </w:rPr>
        <w:t xml:space="preserve"> </w:t>
      </w:r>
      <w:r>
        <w:t>no</w:t>
      </w:r>
      <w:r>
        <w:rPr>
          <w:spacing w:val="-13"/>
        </w:rPr>
        <w:t xml:space="preserve"> </w:t>
      </w:r>
      <w:r>
        <w:t>se</w:t>
      </w:r>
      <w:r>
        <w:rPr>
          <w:spacing w:val="-13"/>
        </w:rPr>
        <w:t xml:space="preserve"> </w:t>
      </w:r>
      <w:r>
        <w:t>hacía</w:t>
      </w:r>
      <w:r>
        <w:rPr>
          <w:spacing w:val="-13"/>
        </w:rPr>
        <w:t xml:space="preserve"> </w:t>
      </w:r>
      <w:r>
        <w:t>nada.</w:t>
      </w:r>
      <w:r>
        <w:rPr>
          <w:spacing w:val="-13"/>
        </w:rPr>
        <w:t xml:space="preserve"> </w:t>
      </w:r>
      <w:r>
        <w:t>Cuando</w:t>
      </w:r>
      <w:r>
        <w:rPr>
          <w:spacing w:val="-13"/>
        </w:rPr>
        <w:t xml:space="preserve"> </w:t>
      </w:r>
      <w:r>
        <w:t>iba</w:t>
      </w:r>
      <w:r>
        <w:rPr>
          <w:spacing w:val="-13"/>
        </w:rPr>
        <w:t xml:space="preserve"> </w:t>
      </w:r>
      <w:r>
        <w:t>a</w:t>
      </w:r>
      <w:r>
        <w:rPr>
          <w:spacing w:val="-13"/>
        </w:rPr>
        <w:t xml:space="preserve"> </w:t>
      </w:r>
      <w:r>
        <w:t>suceder</w:t>
      </w:r>
      <w:r>
        <w:rPr>
          <w:spacing w:val="-13"/>
        </w:rPr>
        <w:t xml:space="preserve"> </w:t>
      </w:r>
      <w:r>
        <w:t>algo,</w:t>
      </w:r>
      <w:r>
        <w:rPr>
          <w:spacing w:val="-13"/>
        </w:rPr>
        <w:t xml:space="preserve"> </w:t>
      </w:r>
      <w:r>
        <w:t>ahí</w:t>
      </w:r>
      <w:r>
        <w:rPr>
          <w:spacing w:val="-13"/>
        </w:rPr>
        <w:t xml:space="preserve"> </w:t>
      </w:r>
      <w:r>
        <w:t>ellos</w:t>
      </w:r>
      <w:r>
        <w:rPr>
          <w:spacing w:val="-13"/>
        </w:rPr>
        <w:t xml:space="preserve"> </w:t>
      </w:r>
      <w:r>
        <w:t>sí</w:t>
      </w:r>
      <w:r>
        <w:rPr>
          <w:spacing w:val="-13"/>
        </w:rPr>
        <w:t xml:space="preserve"> </w:t>
      </w:r>
      <w:r>
        <w:t>decían</w:t>
      </w:r>
      <w:r>
        <w:rPr>
          <w:spacing w:val="-13"/>
        </w:rPr>
        <w:t xml:space="preserve"> </w:t>
      </w:r>
      <w:r>
        <w:t>“bueno,</w:t>
      </w:r>
      <w:r>
        <w:rPr>
          <w:spacing w:val="-13"/>
        </w:rPr>
        <w:t xml:space="preserve"> </w:t>
      </w:r>
      <w:r>
        <w:t>nosotros</w:t>
      </w:r>
      <w:r>
        <w:rPr>
          <w:spacing w:val="-13"/>
        </w:rPr>
        <w:t xml:space="preserve"> </w:t>
      </w:r>
      <w:r>
        <w:t xml:space="preserve">vamos a estar </w:t>
      </w:r>
      <w:proofErr w:type="spellStart"/>
      <w:r>
        <w:t>pa</w:t>
      </w:r>
      <w:proofErr w:type="spellEnd"/>
      <w:r>
        <w:t xml:space="preserve"> tal parte y nosotros hacemos eso”»</w:t>
      </w:r>
      <w:r w:rsidR="00876A91">
        <w:rPr>
          <w:rStyle w:val="Refdenotaalpie"/>
        </w:rPr>
        <w:footnoteReference w:id="430"/>
      </w:r>
      <w:r>
        <w:t>.</w:t>
      </w:r>
    </w:p>
    <w:p w:rsidR="003804AC" w:rsidRDefault="00AF18A5" w:rsidP="00876A91">
      <w:r>
        <w:t xml:space="preserve">Este entramado incluyó también a las agencias de inteligencia del Estado colombiano, como el entonces DAS. Según otro </w:t>
      </w:r>
      <w:proofErr w:type="spellStart"/>
      <w:r>
        <w:t>exparamilitar</w:t>
      </w:r>
      <w:proofErr w:type="spellEnd"/>
      <w:r>
        <w:t>, «el DAS lo manejábamos nosotros al derecho y al</w:t>
      </w:r>
      <w:r>
        <w:rPr>
          <w:spacing w:val="-1"/>
        </w:rPr>
        <w:t xml:space="preserve"> </w:t>
      </w:r>
      <w:r>
        <w:t>revés. Entonces, este Benavides, que era un corrupto que estaba investigado en ese</w:t>
      </w:r>
      <w:r>
        <w:rPr>
          <w:spacing w:val="-6"/>
        </w:rPr>
        <w:t xml:space="preserve"> </w:t>
      </w:r>
      <w:r>
        <w:t>momento,</w:t>
      </w:r>
      <w:r>
        <w:rPr>
          <w:spacing w:val="-6"/>
        </w:rPr>
        <w:t xml:space="preserve"> </w:t>
      </w:r>
      <w:r>
        <w:t>lo</w:t>
      </w:r>
      <w:r>
        <w:rPr>
          <w:spacing w:val="-5"/>
        </w:rPr>
        <w:t xml:space="preserve"> </w:t>
      </w:r>
      <w:r>
        <w:t>hicimos</w:t>
      </w:r>
      <w:r>
        <w:rPr>
          <w:spacing w:val="-6"/>
        </w:rPr>
        <w:t xml:space="preserve"> </w:t>
      </w:r>
      <w:r>
        <w:t>nombrar</w:t>
      </w:r>
      <w:r>
        <w:rPr>
          <w:spacing w:val="-5"/>
        </w:rPr>
        <w:t xml:space="preserve"> </w:t>
      </w:r>
      <w:r>
        <w:t>director.</w:t>
      </w:r>
      <w:r>
        <w:rPr>
          <w:spacing w:val="-6"/>
        </w:rPr>
        <w:t xml:space="preserve"> </w:t>
      </w:r>
      <w:r>
        <w:t>Por</w:t>
      </w:r>
      <w:r>
        <w:rPr>
          <w:spacing w:val="-6"/>
        </w:rPr>
        <w:t xml:space="preserve"> </w:t>
      </w:r>
      <w:r>
        <w:t>algún</w:t>
      </w:r>
      <w:r>
        <w:rPr>
          <w:spacing w:val="-6"/>
        </w:rPr>
        <w:t xml:space="preserve"> </w:t>
      </w:r>
      <w:r>
        <w:t>motivo</w:t>
      </w:r>
      <w:r>
        <w:rPr>
          <w:spacing w:val="-7"/>
        </w:rPr>
        <w:t xml:space="preserve"> </w:t>
      </w:r>
      <w:r>
        <w:t>lo</w:t>
      </w:r>
      <w:r>
        <w:rPr>
          <w:spacing w:val="-5"/>
        </w:rPr>
        <w:t xml:space="preserve"> </w:t>
      </w:r>
      <w:proofErr w:type="spellStart"/>
      <w:r>
        <w:t>desnombran</w:t>
      </w:r>
      <w:proofErr w:type="spellEnd"/>
      <w:r>
        <w:rPr>
          <w:spacing w:val="-6"/>
        </w:rPr>
        <w:t xml:space="preserve"> </w:t>
      </w:r>
      <w:r>
        <w:lastRenderedPageBreak/>
        <w:t>y</w:t>
      </w:r>
      <w:r>
        <w:rPr>
          <w:spacing w:val="-5"/>
        </w:rPr>
        <w:t xml:space="preserve"> </w:t>
      </w:r>
      <w:r>
        <w:t>lo</w:t>
      </w:r>
      <w:r>
        <w:rPr>
          <w:spacing w:val="-6"/>
        </w:rPr>
        <w:t xml:space="preserve"> </w:t>
      </w:r>
      <w:r>
        <w:t>volvimos</w:t>
      </w:r>
      <w:r>
        <w:rPr>
          <w:spacing w:val="-5"/>
        </w:rPr>
        <w:t xml:space="preserve"> </w:t>
      </w:r>
      <w:r>
        <w:rPr>
          <w:spacing w:val="-10"/>
        </w:rPr>
        <w:t>a</w:t>
      </w:r>
      <w:bookmarkStart w:id="585" w:name="_bookmark482"/>
      <w:bookmarkStart w:id="586" w:name="_bookmark483"/>
      <w:bookmarkEnd w:id="585"/>
      <w:bookmarkEnd w:id="586"/>
      <w:r w:rsidR="00876A91">
        <w:rPr>
          <w:spacing w:val="-10"/>
        </w:rPr>
        <w:t xml:space="preserve"> </w:t>
      </w:r>
      <w:r>
        <w:t>hacer nombrar»</w:t>
      </w:r>
      <w:r w:rsidR="00876A91">
        <w:rPr>
          <w:rStyle w:val="Refdenotaalpie"/>
        </w:rPr>
        <w:footnoteReference w:id="431"/>
      </w:r>
      <w:r>
        <w:t>. Un exoficial del Ejército corroboró esta información y añadió en su testimonio ante la Comisión: «Esto aquí es otro bloque de las autodefensas [...]. El DAS suministraba información muy confidencial sobre quiénes en el momento estaban siendo perseguidos, sobre todo de los jefes paramilitares de cada una de las regiones, [...] organizaban procesos para cerrar procesos con la Fiscalía, que no existieran antecedentes, etc. Todo eso ellos se encargaban de borrar absolutamente todo»</w:t>
      </w:r>
      <w:r w:rsidR="00876A91">
        <w:rPr>
          <w:rStyle w:val="Refdenotaalpie"/>
        </w:rPr>
        <w:footnoteReference w:id="432"/>
      </w:r>
      <w:r>
        <w:t>.</w:t>
      </w:r>
    </w:p>
    <w:p w:rsidR="003804AC" w:rsidRDefault="00AF18A5" w:rsidP="00876A91">
      <w:r>
        <w:t xml:space="preserve">En distintos territorios fueron de tal tamaño la articulación y la operación conjunta de grupos paramilitares y unidades militares, que en algunas regiones la población civil no distinguía entre unos y otros y se acostumbraron a reconocerlos como parte del mismo Estado. Los </w:t>
      </w:r>
      <w:proofErr w:type="spellStart"/>
      <w:r>
        <w:t>exparamilitares</w:t>
      </w:r>
      <w:proofErr w:type="spellEnd"/>
      <w:r>
        <w:t xml:space="preserve"> lo han relatado en múltiples testimonios:</w:t>
      </w:r>
    </w:p>
    <w:p w:rsidR="003804AC" w:rsidRDefault="00AF18A5" w:rsidP="00876A91">
      <w:r>
        <w:t>«Nos cuidamos unos a los otros [...] queríamos acabar juntos con el conflicto armado, nosotros teníamos [el plan de combatir a] los grupos pequeños, informantes, expendedores de vicio, queríamos golpear con objetivos específicos. [...] Nos teníamos que repartir esos recursos con los militares porque ellos eran conscientes de que era una necesidad y que con esa plata, que no era mucha, podríamos subsistir»</w:t>
      </w:r>
      <w:r w:rsidR="00876A91">
        <w:rPr>
          <w:rStyle w:val="Refdenotaalpie"/>
        </w:rPr>
        <w:footnoteReference w:id="433"/>
      </w:r>
      <w:r>
        <w:t>.</w:t>
      </w:r>
    </w:p>
    <w:p w:rsidR="003804AC" w:rsidRDefault="00AF18A5" w:rsidP="00876A91">
      <w:r>
        <w:t>Incluso, según otro exoficial del Ejército, las colaboraciones iban mucho más allá del silencio frente a las operaciones paramilitares y la coordinación de golpes: implicaban prácticas de ejecuciones extrajudiciales para presentar como resultados a los superiores dentro</w:t>
      </w:r>
      <w:r>
        <w:rPr>
          <w:spacing w:val="-5"/>
        </w:rPr>
        <w:t xml:space="preserve"> </w:t>
      </w:r>
      <w:r>
        <w:t>del</w:t>
      </w:r>
      <w:r>
        <w:rPr>
          <w:spacing w:val="-4"/>
        </w:rPr>
        <w:t xml:space="preserve"> </w:t>
      </w:r>
      <w:r>
        <w:t>Ejército</w:t>
      </w:r>
      <w:r>
        <w:rPr>
          <w:spacing w:val="-5"/>
        </w:rPr>
        <w:t xml:space="preserve"> </w:t>
      </w:r>
      <w:r>
        <w:t>y</w:t>
      </w:r>
      <w:r>
        <w:rPr>
          <w:spacing w:val="-5"/>
        </w:rPr>
        <w:t xml:space="preserve"> </w:t>
      </w:r>
      <w:r>
        <w:t>otras</w:t>
      </w:r>
      <w:r>
        <w:rPr>
          <w:spacing w:val="-5"/>
        </w:rPr>
        <w:t xml:space="preserve"> </w:t>
      </w:r>
      <w:r>
        <w:t>prácticas</w:t>
      </w:r>
      <w:r>
        <w:rPr>
          <w:spacing w:val="-5"/>
        </w:rPr>
        <w:t xml:space="preserve"> </w:t>
      </w:r>
      <w:r>
        <w:t>de</w:t>
      </w:r>
      <w:r>
        <w:rPr>
          <w:spacing w:val="-5"/>
        </w:rPr>
        <w:t xml:space="preserve"> </w:t>
      </w:r>
      <w:r>
        <w:t>terror</w:t>
      </w:r>
      <w:r>
        <w:rPr>
          <w:spacing w:val="-4"/>
        </w:rPr>
        <w:t xml:space="preserve"> </w:t>
      </w:r>
      <w:r>
        <w:t>por</w:t>
      </w:r>
      <w:r>
        <w:rPr>
          <w:spacing w:val="-6"/>
        </w:rPr>
        <w:t xml:space="preserve"> </w:t>
      </w:r>
      <w:r>
        <w:t>parte</w:t>
      </w:r>
      <w:r>
        <w:rPr>
          <w:spacing w:val="-5"/>
        </w:rPr>
        <w:t xml:space="preserve"> </w:t>
      </w:r>
      <w:r>
        <w:t>de</w:t>
      </w:r>
      <w:r>
        <w:rPr>
          <w:spacing w:val="-6"/>
        </w:rPr>
        <w:t xml:space="preserve"> </w:t>
      </w:r>
      <w:r>
        <w:t>la</w:t>
      </w:r>
      <w:r>
        <w:rPr>
          <w:spacing w:val="-5"/>
        </w:rPr>
        <w:t xml:space="preserve"> </w:t>
      </w:r>
      <w:r>
        <w:t>tropa</w:t>
      </w:r>
      <w:r>
        <w:rPr>
          <w:spacing w:val="-5"/>
        </w:rPr>
        <w:t xml:space="preserve"> </w:t>
      </w:r>
      <w:r>
        <w:t>de</w:t>
      </w:r>
      <w:r>
        <w:rPr>
          <w:spacing w:val="-5"/>
        </w:rPr>
        <w:t xml:space="preserve"> </w:t>
      </w:r>
      <w:r>
        <w:t>la</w:t>
      </w:r>
      <w:r>
        <w:rPr>
          <w:spacing w:val="-5"/>
        </w:rPr>
        <w:t xml:space="preserve"> </w:t>
      </w:r>
      <w:r>
        <w:t>fuerza</w:t>
      </w:r>
      <w:r>
        <w:rPr>
          <w:spacing w:val="-5"/>
        </w:rPr>
        <w:t xml:space="preserve"> </w:t>
      </w:r>
      <w:r>
        <w:lastRenderedPageBreak/>
        <w:t>pública,</w:t>
      </w:r>
      <w:r>
        <w:rPr>
          <w:spacing w:val="-6"/>
        </w:rPr>
        <w:t xml:space="preserve"> </w:t>
      </w:r>
      <w:r>
        <w:t>como la siguiente:</w:t>
      </w:r>
    </w:p>
    <w:p w:rsidR="0011361F" w:rsidRDefault="00AF18A5" w:rsidP="00876A91">
      <w:r>
        <w:t>«en la noche yo no era oficial de inteligencia, yo me hacía pasar como autodefensas [...] la</w:t>
      </w:r>
      <w:r>
        <w:rPr>
          <w:spacing w:val="-12"/>
        </w:rPr>
        <w:t xml:space="preserve"> </w:t>
      </w:r>
      <w:r>
        <w:t>gente</w:t>
      </w:r>
      <w:r>
        <w:rPr>
          <w:spacing w:val="-12"/>
        </w:rPr>
        <w:t xml:space="preserve"> </w:t>
      </w:r>
      <w:r>
        <w:t>se</w:t>
      </w:r>
      <w:r>
        <w:rPr>
          <w:spacing w:val="-13"/>
        </w:rPr>
        <w:t xml:space="preserve"> </w:t>
      </w:r>
      <w:r>
        <w:t>intimidaba</w:t>
      </w:r>
      <w:r>
        <w:rPr>
          <w:spacing w:val="-12"/>
        </w:rPr>
        <w:t xml:space="preserve"> </w:t>
      </w:r>
      <w:r>
        <w:t>al</w:t>
      </w:r>
      <w:r>
        <w:rPr>
          <w:spacing w:val="-13"/>
        </w:rPr>
        <w:t xml:space="preserve"> </w:t>
      </w:r>
      <w:r>
        <w:t>pensar</w:t>
      </w:r>
      <w:r>
        <w:rPr>
          <w:spacing w:val="-12"/>
        </w:rPr>
        <w:t xml:space="preserve"> </w:t>
      </w:r>
      <w:r>
        <w:t>que</w:t>
      </w:r>
      <w:r>
        <w:rPr>
          <w:spacing w:val="-12"/>
        </w:rPr>
        <w:t xml:space="preserve"> </w:t>
      </w:r>
      <w:r>
        <w:t>le</w:t>
      </w:r>
      <w:r>
        <w:rPr>
          <w:spacing w:val="-12"/>
        </w:rPr>
        <w:t xml:space="preserve"> </w:t>
      </w:r>
      <w:r>
        <w:t>estaban</w:t>
      </w:r>
      <w:r>
        <w:rPr>
          <w:spacing w:val="-12"/>
        </w:rPr>
        <w:t xml:space="preserve"> </w:t>
      </w:r>
      <w:r>
        <w:t>hablando</w:t>
      </w:r>
      <w:r>
        <w:rPr>
          <w:spacing w:val="-12"/>
        </w:rPr>
        <w:t xml:space="preserve"> </w:t>
      </w:r>
      <w:r>
        <w:t>como</w:t>
      </w:r>
      <w:r>
        <w:rPr>
          <w:spacing w:val="-12"/>
        </w:rPr>
        <w:t xml:space="preserve"> </w:t>
      </w:r>
      <w:r>
        <w:t>un</w:t>
      </w:r>
      <w:r>
        <w:rPr>
          <w:spacing w:val="-12"/>
        </w:rPr>
        <w:t xml:space="preserve"> </w:t>
      </w:r>
      <w:r>
        <w:t>hombre</w:t>
      </w:r>
      <w:r>
        <w:rPr>
          <w:spacing w:val="-13"/>
        </w:rPr>
        <w:t xml:space="preserve"> </w:t>
      </w:r>
      <w:r>
        <w:t>de</w:t>
      </w:r>
      <w:r>
        <w:rPr>
          <w:spacing w:val="-12"/>
        </w:rPr>
        <w:t xml:space="preserve"> </w:t>
      </w:r>
      <w:r>
        <w:t>las</w:t>
      </w:r>
      <w:r>
        <w:rPr>
          <w:spacing w:val="-12"/>
        </w:rPr>
        <w:t xml:space="preserve"> </w:t>
      </w:r>
      <w:r>
        <w:t>autodefensas y no como agente del Estado, porque al agente del Estado no le dicen nada, pero al hombre de las autodefensas sí porque al hombre de las autodefensas si usted le miente, lo mata»</w:t>
      </w:r>
      <w:r w:rsidR="00876A91">
        <w:rPr>
          <w:rStyle w:val="Refdenotaalpie"/>
        </w:rPr>
        <w:footnoteReference w:id="434"/>
      </w:r>
      <w:r>
        <w:t>.</w:t>
      </w:r>
    </w:p>
    <w:p w:rsidR="003804AC" w:rsidRDefault="00AF18A5" w:rsidP="00876A91">
      <w:bookmarkStart w:id="587" w:name="_bookmark484"/>
      <w:bookmarkStart w:id="588" w:name="_bookmark485"/>
      <w:bookmarkStart w:id="589" w:name="_bookmark486"/>
      <w:bookmarkStart w:id="590" w:name="_bookmark487"/>
      <w:bookmarkEnd w:id="587"/>
      <w:bookmarkEnd w:id="588"/>
      <w:bookmarkEnd w:id="589"/>
      <w:bookmarkEnd w:id="590"/>
      <w:r>
        <w:t>El</w:t>
      </w:r>
      <w:r>
        <w:rPr>
          <w:spacing w:val="-4"/>
        </w:rPr>
        <w:t xml:space="preserve"> </w:t>
      </w:r>
      <w:r>
        <w:t>jefe</w:t>
      </w:r>
      <w:r>
        <w:rPr>
          <w:spacing w:val="-5"/>
        </w:rPr>
        <w:t xml:space="preserve"> </w:t>
      </w:r>
      <w:r>
        <w:t>paramilitar</w:t>
      </w:r>
      <w:r>
        <w:rPr>
          <w:spacing w:val="-4"/>
        </w:rPr>
        <w:t xml:space="preserve"> </w:t>
      </w:r>
      <w:r>
        <w:t>Salvatore</w:t>
      </w:r>
      <w:r>
        <w:rPr>
          <w:spacing w:val="-5"/>
        </w:rPr>
        <w:t xml:space="preserve"> </w:t>
      </w:r>
      <w:r>
        <w:t>Mancuso</w:t>
      </w:r>
      <w:r>
        <w:rPr>
          <w:spacing w:val="-5"/>
        </w:rPr>
        <w:t xml:space="preserve"> </w:t>
      </w:r>
      <w:r>
        <w:t>Gómez</w:t>
      </w:r>
      <w:r>
        <w:rPr>
          <w:spacing w:val="-5"/>
        </w:rPr>
        <w:t xml:space="preserve"> </w:t>
      </w:r>
      <w:r>
        <w:t>reveló</w:t>
      </w:r>
      <w:r>
        <w:rPr>
          <w:spacing w:val="-5"/>
        </w:rPr>
        <w:t xml:space="preserve"> </w:t>
      </w:r>
      <w:r>
        <w:t>en</w:t>
      </w:r>
      <w:r>
        <w:rPr>
          <w:spacing w:val="-5"/>
        </w:rPr>
        <w:t xml:space="preserve"> </w:t>
      </w:r>
      <w:r>
        <w:t>los</w:t>
      </w:r>
      <w:r>
        <w:rPr>
          <w:spacing w:val="-5"/>
        </w:rPr>
        <w:t xml:space="preserve"> </w:t>
      </w:r>
      <w:r>
        <w:t>tribunales</w:t>
      </w:r>
      <w:r>
        <w:rPr>
          <w:spacing w:val="-5"/>
        </w:rPr>
        <w:t xml:space="preserve"> </w:t>
      </w:r>
      <w:r>
        <w:t>de</w:t>
      </w:r>
      <w:r>
        <w:rPr>
          <w:spacing w:val="-6"/>
        </w:rPr>
        <w:t xml:space="preserve"> </w:t>
      </w:r>
      <w:r>
        <w:t>Justicia</w:t>
      </w:r>
      <w:r>
        <w:rPr>
          <w:spacing w:val="-5"/>
        </w:rPr>
        <w:t xml:space="preserve"> </w:t>
      </w:r>
      <w:r>
        <w:t>y</w:t>
      </w:r>
      <w:r>
        <w:rPr>
          <w:spacing w:val="-5"/>
        </w:rPr>
        <w:t xml:space="preserve"> </w:t>
      </w:r>
      <w:r>
        <w:t>Paz</w:t>
      </w:r>
      <w:r>
        <w:rPr>
          <w:spacing w:val="-5"/>
        </w:rPr>
        <w:t xml:space="preserve"> </w:t>
      </w:r>
      <w:r>
        <w:t>la relación de dichas escuelas con mandos militares:</w:t>
      </w:r>
    </w:p>
    <w:p w:rsidR="003804AC" w:rsidRDefault="00AF18A5" w:rsidP="00876A91">
      <w:r>
        <w:t>«Miembros</w:t>
      </w:r>
      <w:r>
        <w:rPr>
          <w:spacing w:val="-12"/>
        </w:rPr>
        <w:t xml:space="preserve"> </w:t>
      </w:r>
      <w:r>
        <w:t>de</w:t>
      </w:r>
      <w:r>
        <w:rPr>
          <w:spacing w:val="-10"/>
        </w:rPr>
        <w:t xml:space="preserve"> </w:t>
      </w:r>
      <w:r>
        <w:t>la</w:t>
      </w:r>
      <w:r>
        <w:rPr>
          <w:spacing w:val="-10"/>
        </w:rPr>
        <w:t xml:space="preserve"> </w:t>
      </w:r>
      <w:r>
        <w:t>fuerza</w:t>
      </w:r>
      <w:r>
        <w:rPr>
          <w:spacing w:val="-12"/>
        </w:rPr>
        <w:t xml:space="preserve"> </w:t>
      </w:r>
      <w:r>
        <w:t>pública</w:t>
      </w:r>
      <w:r>
        <w:rPr>
          <w:spacing w:val="-10"/>
        </w:rPr>
        <w:t xml:space="preserve"> </w:t>
      </w:r>
      <w:r>
        <w:t>dictaron</w:t>
      </w:r>
      <w:r>
        <w:rPr>
          <w:spacing w:val="-11"/>
        </w:rPr>
        <w:t xml:space="preserve"> </w:t>
      </w:r>
      <w:r>
        <w:t>cursos</w:t>
      </w:r>
      <w:r>
        <w:rPr>
          <w:spacing w:val="-11"/>
        </w:rPr>
        <w:t xml:space="preserve"> </w:t>
      </w:r>
      <w:r>
        <w:t>de</w:t>
      </w:r>
      <w:r>
        <w:rPr>
          <w:spacing w:val="-10"/>
        </w:rPr>
        <w:t xml:space="preserve"> </w:t>
      </w:r>
      <w:r>
        <w:t>instrucción;</w:t>
      </w:r>
      <w:r>
        <w:rPr>
          <w:spacing w:val="-10"/>
        </w:rPr>
        <w:t xml:space="preserve"> </w:t>
      </w:r>
      <w:r>
        <w:t>uniformados</w:t>
      </w:r>
      <w:r>
        <w:rPr>
          <w:spacing w:val="-11"/>
        </w:rPr>
        <w:t xml:space="preserve"> </w:t>
      </w:r>
      <w:r>
        <w:t>que</w:t>
      </w:r>
      <w:r>
        <w:rPr>
          <w:spacing w:val="-10"/>
        </w:rPr>
        <w:t xml:space="preserve"> </w:t>
      </w:r>
      <w:r>
        <w:t>retirados de los estamentos militares por problemas judiciales eran reclutados por las AUC; la labor que se les asignaba inicialmente era la de impartir instrucción militar y seguidamente eran ascendidos con la delegación de mando, como aconteció con Armando Pérez Betancourt, alias ‘Camilo’, integrante del Bloque Catatumbo»</w:t>
      </w:r>
      <w:r w:rsidR="00876A91">
        <w:rPr>
          <w:rStyle w:val="Refdenotaalpie"/>
        </w:rPr>
        <w:footnoteReference w:id="435"/>
      </w:r>
      <w:r>
        <w:t>.</w:t>
      </w:r>
    </w:p>
    <w:p w:rsidR="003804AC" w:rsidRDefault="00AF18A5" w:rsidP="00876A91">
      <w:r>
        <w:t>Así, por ejemplo, en 1997, José Miguel Narváez Martínez, que entonces era académico de la Escuela Superior de Guerra</w:t>
      </w:r>
      <w:r w:rsidR="00876A91">
        <w:rPr>
          <w:rStyle w:val="Refdenotaalpie"/>
        </w:rPr>
        <w:footnoteReference w:id="436"/>
      </w:r>
      <w:r>
        <w:t xml:space="preserve"> y quien en 2005 fue nombrado subdirector del DAS, impartía cursos en las escuelas paramilitares La 35 y La Acuarela, entre otras</w:t>
      </w:r>
      <w:r w:rsidR="00876A91">
        <w:rPr>
          <w:rStyle w:val="Refdenotaalpie"/>
        </w:rPr>
        <w:footnoteReference w:id="437"/>
      </w:r>
      <w:r>
        <w:t>. Según un excomandante</w:t>
      </w:r>
      <w:r>
        <w:rPr>
          <w:spacing w:val="-13"/>
        </w:rPr>
        <w:t xml:space="preserve"> </w:t>
      </w:r>
      <w:r>
        <w:t>de</w:t>
      </w:r>
      <w:r>
        <w:rPr>
          <w:spacing w:val="-13"/>
        </w:rPr>
        <w:t xml:space="preserve"> </w:t>
      </w:r>
      <w:r>
        <w:t>las</w:t>
      </w:r>
      <w:r>
        <w:rPr>
          <w:spacing w:val="-13"/>
        </w:rPr>
        <w:t xml:space="preserve"> </w:t>
      </w:r>
      <w:r>
        <w:t>AUC,</w:t>
      </w:r>
      <w:r>
        <w:rPr>
          <w:spacing w:val="-13"/>
        </w:rPr>
        <w:t xml:space="preserve"> </w:t>
      </w:r>
      <w:r>
        <w:t>uno</w:t>
      </w:r>
      <w:r>
        <w:rPr>
          <w:spacing w:val="-13"/>
        </w:rPr>
        <w:t xml:space="preserve"> </w:t>
      </w:r>
      <w:r>
        <w:t>de</w:t>
      </w:r>
      <w:r>
        <w:rPr>
          <w:spacing w:val="-13"/>
        </w:rPr>
        <w:t xml:space="preserve"> </w:t>
      </w:r>
      <w:r>
        <w:t>sus</w:t>
      </w:r>
      <w:r>
        <w:rPr>
          <w:spacing w:val="-13"/>
        </w:rPr>
        <w:t xml:space="preserve"> </w:t>
      </w:r>
      <w:r>
        <w:t>cursos</w:t>
      </w:r>
      <w:r>
        <w:rPr>
          <w:spacing w:val="-13"/>
        </w:rPr>
        <w:t xml:space="preserve"> </w:t>
      </w:r>
      <w:r>
        <w:t>se</w:t>
      </w:r>
      <w:r>
        <w:rPr>
          <w:spacing w:val="-14"/>
        </w:rPr>
        <w:t xml:space="preserve"> </w:t>
      </w:r>
      <w:r>
        <w:t>titulaba</w:t>
      </w:r>
      <w:r>
        <w:rPr>
          <w:spacing w:val="-13"/>
        </w:rPr>
        <w:t xml:space="preserve"> </w:t>
      </w:r>
      <w:r>
        <w:t>«¿Por</w:t>
      </w:r>
      <w:r>
        <w:rPr>
          <w:spacing w:val="-14"/>
        </w:rPr>
        <w:t xml:space="preserve"> </w:t>
      </w:r>
      <w:r>
        <w:t>qué</w:t>
      </w:r>
      <w:r>
        <w:rPr>
          <w:spacing w:val="-13"/>
        </w:rPr>
        <w:t xml:space="preserve"> </w:t>
      </w:r>
      <w:r>
        <w:t>es</w:t>
      </w:r>
      <w:r>
        <w:rPr>
          <w:spacing w:val="-13"/>
        </w:rPr>
        <w:t xml:space="preserve"> </w:t>
      </w:r>
      <w:r>
        <w:t>lícito</w:t>
      </w:r>
      <w:r>
        <w:rPr>
          <w:spacing w:val="-14"/>
        </w:rPr>
        <w:t xml:space="preserve"> </w:t>
      </w:r>
      <w:r>
        <w:t>matar</w:t>
      </w:r>
      <w:r>
        <w:rPr>
          <w:spacing w:val="-13"/>
        </w:rPr>
        <w:t xml:space="preserve"> </w:t>
      </w:r>
      <w:r>
        <w:t>comunistas en Colombia?»</w:t>
      </w:r>
      <w:r w:rsidR="00876A91">
        <w:rPr>
          <w:rStyle w:val="Refdenotaalpie"/>
        </w:rPr>
        <w:footnoteReference w:id="438"/>
      </w:r>
      <w:r>
        <w:t xml:space="preserve">. Otro jefe paramilitar, Freddy </w:t>
      </w:r>
      <w:r>
        <w:lastRenderedPageBreak/>
        <w:t>Rendón Herrera, alias ‘el Alemán’, quien asistió a uno de esos cursos, señaló ante la Fiscalía General de la Nación:</w:t>
      </w:r>
    </w:p>
    <w:p w:rsidR="003804AC" w:rsidRDefault="00AF18A5" w:rsidP="00876A91">
      <w:r>
        <w:t xml:space="preserve">«Él [Narváez] nos puso a tomar nota a los que </w:t>
      </w:r>
      <w:proofErr w:type="gramStart"/>
      <w:r>
        <w:t>habíamos</w:t>
      </w:r>
      <w:proofErr w:type="gramEnd"/>
      <w:r>
        <w:t xml:space="preserve"> [sic] en ese curso que eran por ahí 50 o 60 personas, de a quiénes había que matar, así lo decía crudamente, cuáles ONG había que atacar, y nos dio direcciones, nos dio nombres y demás [...] la lista fue </w:t>
      </w:r>
      <w:r>
        <w:rPr>
          <w:spacing w:val="-2"/>
        </w:rPr>
        <w:t>grandísima»</w:t>
      </w:r>
      <w:r w:rsidR="00876A91">
        <w:rPr>
          <w:rStyle w:val="Refdenotaalpie"/>
          <w:spacing w:val="-2"/>
        </w:rPr>
        <w:footnoteReference w:id="439"/>
      </w:r>
      <w:r>
        <w:rPr>
          <w:spacing w:val="-2"/>
        </w:rPr>
        <w:t>.</w:t>
      </w:r>
    </w:p>
    <w:p w:rsidR="003804AC" w:rsidRDefault="00AF18A5" w:rsidP="00876A91">
      <w:r>
        <w:t>Se</w:t>
      </w:r>
      <w:r>
        <w:rPr>
          <w:spacing w:val="-15"/>
        </w:rPr>
        <w:t xml:space="preserve"> </w:t>
      </w:r>
      <w:r>
        <w:t>aclara</w:t>
      </w:r>
      <w:r>
        <w:rPr>
          <w:spacing w:val="-15"/>
        </w:rPr>
        <w:t xml:space="preserve"> </w:t>
      </w:r>
      <w:r>
        <w:t>que,</w:t>
      </w:r>
      <w:r>
        <w:rPr>
          <w:spacing w:val="-14"/>
        </w:rPr>
        <w:t xml:space="preserve"> </w:t>
      </w:r>
      <w:r>
        <w:t>en</w:t>
      </w:r>
      <w:r>
        <w:rPr>
          <w:spacing w:val="-15"/>
        </w:rPr>
        <w:t xml:space="preserve"> </w:t>
      </w:r>
      <w:r>
        <w:t>su</w:t>
      </w:r>
      <w:r>
        <w:rPr>
          <w:spacing w:val="-15"/>
        </w:rPr>
        <w:t xml:space="preserve"> </w:t>
      </w:r>
      <w:r>
        <w:t>testimonio</w:t>
      </w:r>
      <w:r>
        <w:rPr>
          <w:spacing w:val="-14"/>
        </w:rPr>
        <w:t xml:space="preserve"> </w:t>
      </w:r>
      <w:r>
        <w:t>ante</w:t>
      </w:r>
      <w:r>
        <w:rPr>
          <w:spacing w:val="-15"/>
        </w:rPr>
        <w:t xml:space="preserve"> </w:t>
      </w:r>
      <w:r>
        <w:t>la</w:t>
      </w:r>
      <w:r>
        <w:rPr>
          <w:spacing w:val="-14"/>
        </w:rPr>
        <w:t xml:space="preserve"> </w:t>
      </w:r>
      <w:r>
        <w:t>Comisión</w:t>
      </w:r>
      <w:r>
        <w:rPr>
          <w:spacing w:val="-15"/>
        </w:rPr>
        <w:t xml:space="preserve"> </w:t>
      </w:r>
      <w:r>
        <w:t>de</w:t>
      </w:r>
      <w:r>
        <w:rPr>
          <w:spacing w:val="-15"/>
        </w:rPr>
        <w:t xml:space="preserve"> </w:t>
      </w:r>
      <w:r>
        <w:t>la</w:t>
      </w:r>
      <w:r>
        <w:rPr>
          <w:spacing w:val="-14"/>
        </w:rPr>
        <w:t xml:space="preserve"> </w:t>
      </w:r>
      <w:r>
        <w:t>Verdad,</w:t>
      </w:r>
      <w:r>
        <w:rPr>
          <w:spacing w:val="-15"/>
        </w:rPr>
        <w:t xml:space="preserve"> </w:t>
      </w:r>
      <w:r>
        <w:t>José</w:t>
      </w:r>
      <w:r>
        <w:rPr>
          <w:spacing w:val="-14"/>
        </w:rPr>
        <w:t xml:space="preserve"> </w:t>
      </w:r>
      <w:r>
        <w:t>Miguel</w:t>
      </w:r>
      <w:r>
        <w:rPr>
          <w:spacing w:val="-15"/>
        </w:rPr>
        <w:t xml:space="preserve"> </w:t>
      </w:r>
      <w:r>
        <w:t>Narváez</w:t>
      </w:r>
      <w:r>
        <w:rPr>
          <w:spacing w:val="-14"/>
        </w:rPr>
        <w:t xml:space="preserve"> </w:t>
      </w:r>
      <w:r>
        <w:t>Martínez negó esta información.</w:t>
      </w:r>
    </w:p>
    <w:p w:rsidR="003804AC" w:rsidRDefault="00AF18A5" w:rsidP="009B1F0B">
      <w:r>
        <w:t>En el marco de los espacios de reconocimiento de la Comisión de la Verdad, el exjefe Salvatore Mancuso afirmó que los paramilitares tuvieron responsabilidades directas en el caso</w:t>
      </w:r>
      <w:r>
        <w:rPr>
          <w:spacing w:val="43"/>
        </w:rPr>
        <w:t xml:space="preserve"> </w:t>
      </w:r>
      <w:r>
        <w:t>del</w:t>
      </w:r>
      <w:r>
        <w:rPr>
          <w:spacing w:val="45"/>
        </w:rPr>
        <w:t xml:space="preserve"> </w:t>
      </w:r>
      <w:r>
        <w:t>exterminio</w:t>
      </w:r>
      <w:r>
        <w:rPr>
          <w:spacing w:val="45"/>
        </w:rPr>
        <w:t xml:space="preserve"> </w:t>
      </w:r>
      <w:r>
        <w:t>político</w:t>
      </w:r>
      <w:r>
        <w:rPr>
          <w:spacing w:val="45"/>
        </w:rPr>
        <w:t xml:space="preserve"> </w:t>
      </w:r>
      <w:r>
        <w:t>de</w:t>
      </w:r>
      <w:r>
        <w:rPr>
          <w:spacing w:val="44"/>
        </w:rPr>
        <w:t xml:space="preserve"> </w:t>
      </w:r>
      <w:r>
        <w:t>la</w:t>
      </w:r>
      <w:r>
        <w:rPr>
          <w:spacing w:val="44"/>
        </w:rPr>
        <w:t xml:space="preserve"> </w:t>
      </w:r>
      <w:r>
        <w:t>Unión</w:t>
      </w:r>
      <w:r>
        <w:rPr>
          <w:spacing w:val="46"/>
        </w:rPr>
        <w:t xml:space="preserve"> </w:t>
      </w:r>
      <w:r>
        <w:t>Patriótica,</w:t>
      </w:r>
      <w:r>
        <w:rPr>
          <w:spacing w:val="45"/>
        </w:rPr>
        <w:t xml:space="preserve"> </w:t>
      </w:r>
      <w:r>
        <w:t>pero</w:t>
      </w:r>
      <w:r>
        <w:rPr>
          <w:spacing w:val="44"/>
        </w:rPr>
        <w:t xml:space="preserve"> </w:t>
      </w:r>
      <w:r>
        <w:t>que,</w:t>
      </w:r>
      <w:r>
        <w:rPr>
          <w:spacing w:val="45"/>
        </w:rPr>
        <w:t xml:space="preserve"> </w:t>
      </w:r>
      <w:r>
        <w:t>más</w:t>
      </w:r>
      <w:r>
        <w:rPr>
          <w:spacing w:val="46"/>
        </w:rPr>
        <w:t xml:space="preserve"> </w:t>
      </w:r>
      <w:r>
        <w:t>allá</w:t>
      </w:r>
      <w:r>
        <w:rPr>
          <w:spacing w:val="46"/>
        </w:rPr>
        <w:t xml:space="preserve"> </w:t>
      </w:r>
      <w:r>
        <w:t>de</w:t>
      </w:r>
      <w:r>
        <w:rPr>
          <w:spacing w:val="46"/>
        </w:rPr>
        <w:t xml:space="preserve"> </w:t>
      </w:r>
      <w:r>
        <w:t>la</w:t>
      </w:r>
      <w:r>
        <w:rPr>
          <w:spacing w:val="47"/>
        </w:rPr>
        <w:t xml:space="preserve"> </w:t>
      </w:r>
      <w:r>
        <w:rPr>
          <w:spacing w:val="-2"/>
        </w:rPr>
        <w:t>autoridad</w:t>
      </w:r>
      <w:bookmarkStart w:id="591" w:name="_bookmark488"/>
      <w:bookmarkStart w:id="592" w:name="_bookmark489"/>
      <w:bookmarkStart w:id="593" w:name="_bookmark490"/>
      <w:bookmarkStart w:id="594" w:name="_bookmark491"/>
      <w:bookmarkStart w:id="595" w:name="_bookmark492"/>
      <w:bookmarkEnd w:id="591"/>
      <w:bookmarkEnd w:id="592"/>
      <w:bookmarkEnd w:id="593"/>
      <w:bookmarkEnd w:id="594"/>
      <w:bookmarkEnd w:id="595"/>
      <w:r w:rsidR="009B1F0B">
        <w:t xml:space="preserve"> </w:t>
      </w:r>
      <w:r>
        <w:t>material, representantes del Estado y sectores económicos fueron los que estuvieron detrás de esas órdenes:</w:t>
      </w:r>
    </w:p>
    <w:p w:rsidR="003804AC" w:rsidRDefault="00AF18A5" w:rsidP="009B1F0B">
      <w:r>
        <w:t>«Cuando</w:t>
      </w:r>
      <w:r>
        <w:rPr>
          <w:spacing w:val="-15"/>
        </w:rPr>
        <w:t xml:space="preserve"> </w:t>
      </w:r>
      <w:r>
        <w:t>la</w:t>
      </w:r>
      <w:r>
        <w:rPr>
          <w:spacing w:val="-15"/>
        </w:rPr>
        <w:t xml:space="preserve"> </w:t>
      </w:r>
      <w:r>
        <w:t>guerrilla</w:t>
      </w:r>
      <w:r>
        <w:rPr>
          <w:spacing w:val="-15"/>
        </w:rPr>
        <w:t xml:space="preserve"> </w:t>
      </w:r>
      <w:r>
        <w:t>decide</w:t>
      </w:r>
      <w:r>
        <w:rPr>
          <w:spacing w:val="-15"/>
        </w:rPr>
        <w:t xml:space="preserve"> </w:t>
      </w:r>
      <w:r>
        <w:t>conformar</w:t>
      </w:r>
      <w:r>
        <w:rPr>
          <w:spacing w:val="-15"/>
        </w:rPr>
        <w:t xml:space="preserve"> </w:t>
      </w:r>
      <w:r>
        <w:t>la</w:t>
      </w:r>
      <w:r>
        <w:rPr>
          <w:spacing w:val="-15"/>
        </w:rPr>
        <w:t xml:space="preserve"> </w:t>
      </w:r>
      <w:r>
        <w:t>UP</w:t>
      </w:r>
      <w:r>
        <w:rPr>
          <w:spacing w:val="-15"/>
        </w:rPr>
        <w:t xml:space="preserve"> </w:t>
      </w:r>
      <w:r>
        <w:t>y</w:t>
      </w:r>
      <w:r>
        <w:rPr>
          <w:spacing w:val="-15"/>
        </w:rPr>
        <w:t xml:space="preserve"> </w:t>
      </w:r>
      <w:r>
        <w:t>empieza</w:t>
      </w:r>
      <w:r>
        <w:rPr>
          <w:spacing w:val="-15"/>
        </w:rPr>
        <w:t xml:space="preserve"> </w:t>
      </w:r>
      <w:r>
        <w:t>su</w:t>
      </w:r>
      <w:r>
        <w:rPr>
          <w:spacing w:val="-15"/>
        </w:rPr>
        <w:t xml:space="preserve"> </w:t>
      </w:r>
      <w:r>
        <w:t>vinculación</w:t>
      </w:r>
      <w:r>
        <w:rPr>
          <w:spacing w:val="-15"/>
        </w:rPr>
        <w:t xml:space="preserve"> </w:t>
      </w:r>
      <w:r>
        <w:t>con</w:t>
      </w:r>
      <w:r>
        <w:rPr>
          <w:spacing w:val="-15"/>
        </w:rPr>
        <w:t xml:space="preserve"> </w:t>
      </w:r>
      <w:r>
        <w:t>su</w:t>
      </w:r>
      <w:r>
        <w:rPr>
          <w:spacing w:val="-15"/>
        </w:rPr>
        <w:t xml:space="preserve"> </w:t>
      </w:r>
      <w:r>
        <w:t>vida</w:t>
      </w:r>
      <w:r>
        <w:rPr>
          <w:spacing w:val="-15"/>
        </w:rPr>
        <w:t xml:space="preserve"> </w:t>
      </w:r>
      <w:r>
        <w:t>política y</w:t>
      </w:r>
      <w:r>
        <w:rPr>
          <w:spacing w:val="-15"/>
        </w:rPr>
        <w:t xml:space="preserve"> </w:t>
      </w:r>
      <w:r>
        <w:t>a</w:t>
      </w:r>
      <w:r>
        <w:rPr>
          <w:spacing w:val="-15"/>
        </w:rPr>
        <w:t xml:space="preserve"> </w:t>
      </w:r>
      <w:r>
        <w:t>hacer</w:t>
      </w:r>
      <w:r>
        <w:rPr>
          <w:spacing w:val="-15"/>
        </w:rPr>
        <w:t xml:space="preserve"> </w:t>
      </w:r>
      <w:r>
        <w:t>campañas</w:t>
      </w:r>
      <w:r>
        <w:rPr>
          <w:spacing w:val="-15"/>
        </w:rPr>
        <w:t xml:space="preserve"> </w:t>
      </w:r>
      <w:r>
        <w:t>y</w:t>
      </w:r>
      <w:r>
        <w:rPr>
          <w:spacing w:val="-15"/>
        </w:rPr>
        <w:t xml:space="preserve"> </w:t>
      </w:r>
      <w:r>
        <w:t>participación</w:t>
      </w:r>
      <w:r>
        <w:rPr>
          <w:spacing w:val="-15"/>
        </w:rPr>
        <w:t xml:space="preserve"> </w:t>
      </w:r>
      <w:r>
        <w:t>en</w:t>
      </w:r>
      <w:r>
        <w:rPr>
          <w:spacing w:val="-15"/>
        </w:rPr>
        <w:t xml:space="preserve"> </w:t>
      </w:r>
      <w:r>
        <w:t>las</w:t>
      </w:r>
      <w:r>
        <w:rPr>
          <w:spacing w:val="-15"/>
        </w:rPr>
        <w:t xml:space="preserve"> </w:t>
      </w:r>
      <w:r>
        <w:t>elecciones</w:t>
      </w:r>
      <w:r>
        <w:rPr>
          <w:spacing w:val="-15"/>
        </w:rPr>
        <w:t xml:space="preserve"> </w:t>
      </w:r>
      <w:r>
        <w:t>democráticas</w:t>
      </w:r>
      <w:r>
        <w:rPr>
          <w:spacing w:val="-15"/>
        </w:rPr>
        <w:t xml:space="preserve"> </w:t>
      </w:r>
      <w:r>
        <w:t>y</w:t>
      </w:r>
      <w:r>
        <w:rPr>
          <w:spacing w:val="-15"/>
        </w:rPr>
        <w:t xml:space="preserve"> </w:t>
      </w:r>
      <w:r>
        <w:t>logra</w:t>
      </w:r>
      <w:r>
        <w:rPr>
          <w:spacing w:val="-15"/>
        </w:rPr>
        <w:t xml:space="preserve"> </w:t>
      </w:r>
      <w:r>
        <w:t>acceder</w:t>
      </w:r>
      <w:r>
        <w:rPr>
          <w:spacing w:val="-15"/>
        </w:rPr>
        <w:t xml:space="preserve"> </w:t>
      </w:r>
      <w:r>
        <w:t>a</w:t>
      </w:r>
      <w:r>
        <w:rPr>
          <w:spacing w:val="-15"/>
        </w:rPr>
        <w:t xml:space="preserve"> </w:t>
      </w:r>
      <w:r>
        <w:t>concejos, alcaldías,</w:t>
      </w:r>
      <w:r>
        <w:rPr>
          <w:spacing w:val="-15"/>
        </w:rPr>
        <w:t xml:space="preserve"> </w:t>
      </w:r>
      <w:r>
        <w:t>gobernaciones,</w:t>
      </w:r>
      <w:r>
        <w:rPr>
          <w:spacing w:val="-15"/>
        </w:rPr>
        <w:t xml:space="preserve"> </w:t>
      </w:r>
      <w:r>
        <w:t>etc.,</w:t>
      </w:r>
      <w:r>
        <w:rPr>
          <w:spacing w:val="-15"/>
        </w:rPr>
        <w:t xml:space="preserve"> </w:t>
      </w:r>
      <w:r>
        <w:t>la</w:t>
      </w:r>
      <w:r>
        <w:rPr>
          <w:spacing w:val="-15"/>
        </w:rPr>
        <w:t xml:space="preserve"> </w:t>
      </w:r>
      <w:r>
        <w:t>preocupación</w:t>
      </w:r>
      <w:r>
        <w:rPr>
          <w:spacing w:val="-15"/>
        </w:rPr>
        <w:t xml:space="preserve"> </w:t>
      </w:r>
      <w:r>
        <w:t>enorme</w:t>
      </w:r>
      <w:r>
        <w:rPr>
          <w:spacing w:val="-15"/>
        </w:rPr>
        <w:t xml:space="preserve"> </w:t>
      </w:r>
      <w:r>
        <w:t>viene</w:t>
      </w:r>
      <w:r>
        <w:rPr>
          <w:spacing w:val="-15"/>
        </w:rPr>
        <w:t xml:space="preserve"> </w:t>
      </w:r>
      <w:r>
        <w:t>de</w:t>
      </w:r>
      <w:r>
        <w:rPr>
          <w:spacing w:val="-15"/>
        </w:rPr>
        <w:t xml:space="preserve"> </w:t>
      </w:r>
      <w:r>
        <w:t>las</w:t>
      </w:r>
      <w:r>
        <w:rPr>
          <w:spacing w:val="-15"/>
        </w:rPr>
        <w:t xml:space="preserve"> </w:t>
      </w:r>
      <w:r>
        <w:t>instituciones</w:t>
      </w:r>
      <w:r>
        <w:rPr>
          <w:spacing w:val="-15"/>
        </w:rPr>
        <w:t xml:space="preserve"> </w:t>
      </w:r>
      <w:r>
        <w:t>de</w:t>
      </w:r>
      <w:r>
        <w:rPr>
          <w:spacing w:val="-15"/>
        </w:rPr>
        <w:t xml:space="preserve"> </w:t>
      </w:r>
      <w:r>
        <w:t>seguridad del</w:t>
      </w:r>
      <w:r>
        <w:rPr>
          <w:spacing w:val="-1"/>
        </w:rPr>
        <w:t xml:space="preserve"> </w:t>
      </w:r>
      <w:r>
        <w:t>Estado,</w:t>
      </w:r>
      <w:r>
        <w:rPr>
          <w:spacing w:val="-2"/>
        </w:rPr>
        <w:t xml:space="preserve"> </w:t>
      </w:r>
      <w:r>
        <w:t>de</w:t>
      </w:r>
      <w:r>
        <w:rPr>
          <w:spacing w:val="-1"/>
        </w:rPr>
        <w:t xml:space="preserve"> </w:t>
      </w:r>
      <w:r>
        <w:t>los</w:t>
      </w:r>
      <w:r>
        <w:rPr>
          <w:spacing w:val="-1"/>
        </w:rPr>
        <w:t xml:space="preserve"> </w:t>
      </w:r>
      <w:r>
        <w:t>gremios</w:t>
      </w:r>
      <w:r>
        <w:rPr>
          <w:spacing w:val="-1"/>
        </w:rPr>
        <w:t xml:space="preserve"> </w:t>
      </w:r>
      <w:r>
        <w:t>económicos,</w:t>
      </w:r>
      <w:r>
        <w:rPr>
          <w:spacing w:val="-1"/>
        </w:rPr>
        <w:t xml:space="preserve"> </w:t>
      </w:r>
      <w:r>
        <w:t>industriales,</w:t>
      </w:r>
      <w:r>
        <w:rPr>
          <w:spacing w:val="-1"/>
        </w:rPr>
        <w:t xml:space="preserve"> </w:t>
      </w:r>
      <w:r>
        <w:t>y</w:t>
      </w:r>
      <w:r>
        <w:rPr>
          <w:spacing w:val="-1"/>
        </w:rPr>
        <w:t xml:space="preserve"> </w:t>
      </w:r>
      <w:r>
        <w:t>quiero</w:t>
      </w:r>
      <w:r>
        <w:rPr>
          <w:spacing w:val="-2"/>
        </w:rPr>
        <w:t xml:space="preserve"> </w:t>
      </w:r>
      <w:r>
        <w:t>decirle</w:t>
      </w:r>
      <w:r>
        <w:rPr>
          <w:spacing w:val="-2"/>
        </w:rPr>
        <w:t xml:space="preserve"> </w:t>
      </w:r>
      <w:r>
        <w:t>algo</w:t>
      </w:r>
      <w:r>
        <w:rPr>
          <w:spacing w:val="-2"/>
        </w:rPr>
        <w:t xml:space="preserve"> </w:t>
      </w:r>
      <w:r>
        <w:t>en</w:t>
      </w:r>
      <w:r>
        <w:rPr>
          <w:spacing w:val="-1"/>
        </w:rPr>
        <w:t xml:space="preserve"> </w:t>
      </w:r>
      <w:r>
        <w:t>este</w:t>
      </w:r>
      <w:r>
        <w:rPr>
          <w:spacing w:val="-2"/>
        </w:rPr>
        <w:t xml:space="preserve"> </w:t>
      </w:r>
      <w:r>
        <w:t>momento: la</w:t>
      </w:r>
      <w:r>
        <w:rPr>
          <w:spacing w:val="-6"/>
        </w:rPr>
        <w:t xml:space="preserve"> </w:t>
      </w:r>
      <w:r>
        <w:t>UP</w:t>
      </w:r>
      <w:r>
        <w:rPr>
          <w:spacing w:val="-6"/>
        </w:rPr>
        <w:t xml:space="preserve"> </w:t>
      </w:r>
      <w:r>
        <w:t>no</w:t>
      </w:r>
      <w:r>
        <w:rPr>
          <w:spacing w:val="-6"/>
        </w:rPr>
        <w:t xml:space="preserve"> </w:t>
      </w:r>
      <w:r>
        <w:t>fue</w:t>
      </w:r>
      <w:r>
        <w:rPr>
          <w:spacing w:val="-7"/>
        </w:rPr>
        <w:t xml:space="preserve"> </w:t>
      </w:r>
      <w:r>
        <w:t>exterminada</w:t>
      </w:r>
      <w:r>
        <w:rPr>
          <w:spacing w:val="-6"/>
        </w:rPr>
        <w:t xml:space="preserve"> </w:t>
      </w:r>
      <w:r>
        <w:t>por</w:t>
      </w:r>
      <w:r>
        <w:rPr>
          <w:spacing w:val="-6"/>
        </w:rPr>
        <w:t xml:space="preserve"> </w:t>
      </w:r>
      <w:r>
        <w:t>las</w:t>
      </w:r>
      <w:r>
        <w:rPr>
          <w:spacing w:val="-6"/>
        </w:rPr>
        <w:t xml:space="preserve"> </w:t>
      </w:r>
      <w:r>
        <w:t>autodefensas,</w:t>
      </w:r>
      <w:r>
        <w:rPr>
          <w:spacing w:val="-7"/>
        </w:rPr>
        <w:t xml:space="preserve"> </w:t>
      </w:r>
      <w:r>
        <w:t>su</w:t>
      </w:r>
      <w:r>
        <w:rPr>
          <w:spacing w:val="-6"/>
        </w:rPr>
        <w:t xml:space="preserve"> </w:t>
      </w:r>
      <w:r>
        <w:t>gran</w:t>
      </w:r>
      <w:r>
        <w:rPr>
          <w:spacing w:val="-6"/>
        </w:rPr>
        <w:t xml:space="preserve"> </w:t>
      </w:r>
      <w:r>
        <w:t>victimario</w:t>
      </w:r>
      <w:r>
        <w:rPr>
          <w:spacing w:val="-6"/>
        </w:rPr>
        <w:t xml:space="preserve"> </w:t>
      </w:r>
      <w:r>
        <w:t>fue</w:t>
      </w:r>
      <w:r>
        <w:rPr>
          <w:spacing w:val="-7"/>
        </w:rPr>
        <w:t xml:space="preserve"> </w:t>
      </w:r>
      <w:r>
        <w:t>el</w:t>
      </w:r>
      <w:r>
        <w:rPr>
          <w:spacing w:val="-7"/>
        </w:rPr>
        <w:t xml:space="preserve"> </w:t>
      </w:r>
      <w:r>
        <w:t>Estado</w:t>
      </w:r>
      <w:r>
        <w:rPr>
          <w:spacing w:val="-6"/>
        </w:rPr>
        <w:t xml:space="preserve"> </w:t>
      </w:r>
      <w:r>
        <w:t xml:space="preserve">colombiano. Nosotros, como autodefensas, tuvimos unas responsabilidades, por supuesto que sí, y aquellos que estaban cumpliendo una función que se señalaba por parte de los informes que recibíamos de inteligencia, que tenían una vinculación </w:t>
      </w:r>
      <w:r>
        <w:lastRenderedPageBreak/>
        <w:t>directa con el brazo armado de la guerrilla que daba la información para que quitaran del camino a aquellas personas que se oponían</w:t>
      </w:r>
      <w:r>
        <w:rPr>
          <w:spacing w:val="-5"/>
        </w:rPr>
        <w:t xml:space="preserve"> </w:t>
      </w:r>
      <w:r>
        <w:t>a</w:t>
      </w:r>
      <w:r>
        <w:rPr>
          <w:spacing w:val="-6"/>
        </w:rPr>
        <w:t xml:space="preserve"> </w:t>
      </w:r>
      <w:r>
        <w:t>la</w:t>
      </w:r>
      <w:r>
        <w:rPr>
          <w:spacing w:val="-7"/>
        </w:rPr>
        <w:t xml:space="preserve"> </w:t>
      </w:r>
      <w:r>
        <w:t>instauración</w:t>
      </w:r>
      <w:r>
        <w:rPr>
          <w:spacing w:val="-6"/>
        </w:rPr>
        <w:t xml:space="preserve"> </w:t>
      </w:r>
      <w:r>
        <w:t>de</w:t>
      </w:r>
      <w:r>
        <w:rPr>
          <w:spacing w:val="-5"/>
        </w:rPr>
        <w:t xml:space="preserve"> </w:t>
      </w:r>
      <w:r>
        <w:t>ese</w:t>
      </w:r>
      <w:r>
        <w:rPr>
          <w:spacing w:val="-6"/>
        </w:rPr>
        <w:t xml:space="preserve"> </w:t>
      </w:r>
      <w:r>
        <w:t>modelo</w:t>
      </w:r>
      <w:r>
        <w:rPr>
          <w:spacing w:val="-6"/>
        </w:rPr>
        <w:t xml:space="preserve"> </w:t>
      </w:r>
      <w:r>
        <w:t>ideológico</w:t>
      </w:r>
      <w:r>
        <w:rPr>
          <w:spacing w:val="-5"/>
        </w:rPr>
        <w:t xml:space="preserve"> </w:t>
      </w:r>
      <w:r>
        <w:t>y</w:t>
      </w:r>
      <w:r>
        <w:rPr>
          <w:spacing w:val="-5"/>
        </w:rPr>
        <w:t xml:space="preserve"> </w:t>
      </w:r>
      <w:r>
        <w:t>político</w:t>
      </w:r>
      <w:r>
        <w:rPr>
          <w:spacing w:val="-6"/>
        </w:rPr>
        <w:t xml:space="preserve"> </w:t>
      </w:r>
      <w:r>
        <w:t>que</w:t>
      </w:r>
      <w:r>
        <w:rPr>
          <w:spacing w:val="-5"/>
        </w:rPr>
        <w:t xml:space="preserve"> </w:t>
      </w:r>
      <w:r>
        <w:t>ellos</w:t>
      </w:r>
      <w:r>
        <w:rPr>
          <w:spacing w:val="-6"/>
        </w:rPr>
        <w:t xml:space="preserve"> </w:t>
      </w:r>
      <w:r>
        <w:t>tenían</w:t>
      </w:r>
      <w:r>
        <w:rPr>
          <w:spacing w:val="-5"/>
        </w:rPr>
        <w:t xml:space="preserve"> </w:t>
      </w:r>
      <w:r>
        <w:t>en</w:t>
      </w:r>
      <w:r>
        <w:rPr>
          <w:spacing w:val="-6"/>
        </w:rPr>
        <w:t xml:space="preserve"> </w:t>
      </w:r>
      <w:r>
        <w:t>su</w:t>
      </w:r>
      <w:r>
        <w:rPr>
          <w:spacing w:val="-6"/>
        </w:rPr>
        <w:t xml:space="preserve"> </w:t>
      </w:r>
      <w:r>
        <w:t>mente,</w:t>
      </w:r>
      <w:r>
        <w:rPr>
          <w:spacing w:val="-6"/>
        </w:rPr>
        <w:t xml:space="preserve"> </w:t>
      </w:r>
      <w:r>
        <w:t>a sangre y fuego. Empezó por parte del Estado a ejecutar acciones contra la UP. A nosotros nos</w:t>
      </w:r>
      <w:r>
        <w:rPr>
          <w:spacing w:val="-15"/>
        </w:rPr>
        <w:t xml:space="preserve"> </w:t>
      </w:r>
      <w:r>
        <w:t>endilgan</w:t>
      </w:r>
      <w:r>
        <w:rPr>
          <w:spacing w:val="-15"/>
        </w:rPr>
        <w:t xml:space="preserve"> </w:t>
      </w:r>
      <w:r>
        <w:t>infinidad</w:t>
      </w:r>
      <w:r>
        <w:rPr>
          <w:spacing w:val="-15"/>
        </w:rPr>
        <w:t xml:space="preserve"> </w:t>
      </w:r>
      <w:r>
        <w:t>de</w:t>
      </w:r>
      <w:r>
        <w:rPr>
          <w:spacing w:val="-15"/>
        </w:rPr>
        <w:t xml:space="preserve"> </w:t>
      </w:r>
      <w:r>
        <w:t>responsabilidades</w:t>
      </w:r>
      <w:r>
        <w:rPr>
          <w:spacing w:val="-15"/>
        </w:rPr>
        <w:t xml:space="preserve"> </w:t>
      </w:r>
      <w:r>
        <w:t>en</w:t>
      </w:r>
      <w:r>
        <w:rPr>
          <w:spacing w:val="-15"/>
        </w:rPr>
        <w:t xml:space="preserve"> </w:t>
      </w:r>
      <w:r>
        <w:t>el</w:t>
      </w:r>
      <w:r>
        <w:rPr>
          <w:spacing w:val="-15"/>
        </w:rPr>
        <w:t xml:space="preserve"> </w:t>
      </w:r>
      <w:r>
        <w:t>caso</w:t>
      </w:r>
      <w:r>
        <w:rPr>
          <w:spacing w:val="-15"/>
        </w:rPr>
        <w:t xml:space="preserve"> </w:t>
      </w:r>
      <w:r>
        <w:t>de</w:t>
      </w:r>
      <w:r>
        <w:rPr>
          <w:spacing w:val="-15"/>
        </w:rPr>
        <w:t xml:space="preserve"> </w:t>
      </w:r>
      <w:r>
        <w:t>la</w:t>
      </w:r>
      <w:r>
        <w:rPr>
          <w:spacing w:val="-15"/>
        </w:rPr>
        <w:t xml:space="preserve"> </w:t>
      </w:r>
      <w:r>
        <w:t>UP</w:t>
      </w:r>
      <w:r>
        <w:rPr>
          <w:spacing w:val="-15"/>
        </w:rPr>
        <w:t xml:space="preserve"> </w:t>
      </w:r>
      <w:r>
        <w:t>[...].</w:t>
      </w:r>
      <w:r>
        <w:rPr>
          <w:spacing w:val="-15"/>
        </w:rPr>
        <w:t xml:space="preserve"> </w:t>
      </w:r>
      <w:r>
        <w:t>Esa</w:t>
      </w:r>
      <w:r>
        <w:rPr>
          <w:spacing w:val="-15"/>
        </w:rPr>
        <w:t xml:space="preserve"> </w:t>
      </w:r>
      <w:r>
        <w:t>gran</w:t>
      </w:r>
      <w:r>
        <w:rPr>
          <w:spacing w:val="-14"/>
        </w:rPr>
        <w:t xml:space="preserve"> </w:t>
      </w:r>
      <w:r>
        <w:t>responsabilidad no es nuestra, sino del Estado»</w:t>
      </w:r>
      <w:r w:rsidR="009B1F0B">
        <w:rPr>
          <w:rStyle w:val="Refdenotaalpie"/>
        </w:rPr>
        <w:footnoteReference w:id="440"/>
      </w:r>
      <w:r>
        <w:t>.</w:t>
      </w:r>
    </w:p>
    <w:p w:rsidR="003804AC" w:rsidRDefault="00AF18A5" w:rsidP="009B1F0B">
      <w:r>
        <w:t>Esta</w:t>
      </w:r>
      <w:r>
        <w:rPr>
          <w:spacing w:val="-3"/>
        </w:rPr>
        <w:t xml:space="preserve"> </w:t>
      </w:r>
      <w:r>
        <w:t>participación</w:t>
      </w:r>
      <w:r>
        <w:rPr>
          <w:spacing w:val="-3"/>
        </w:rPr>
        <w:t xml:space="preserve"> </w:t>
      </w:r>
      <w:r>
        <w:t>directa</w:t>
      </w:r>
      <w:r>
        <w:rPr>
          <w:spacing w:val="-3"/>
        </w:rPr>
        <w:t xml:space="preserve"> </w:t>
      </w:r>
      <w:r>
        <w:t>de</w:t>
      </w:r>
      <w:r>
        <w:rPr>
          <w:spacing w:val="-3"/>
        </w:rPr>
        <w:t xml:space="preserve"> </w:t>
      </w:r>
      <w:r>
        <w:t>la</w:t>
      </w:r>
      <w:r>
        <w:rPr>
          <w:spacing w:val="-4"/>
        </w:rPr>
        <w:t xml:space="preserve"> </w:t>
      </w:r>
      <w:r>
        <w:t>fuerza</w:t>
      </w:r>
      <w:r>
        <w:rPr>
          <w:spacing w:val="-3"/>
        </w:rPr>
        <w:t xml:space="preserve"> </w:t>
      </w:r>
      <w:r>
        <w:t>pública</w:t>
      </w:r>
      <w:r>
        <w:rPr>
          <w:spacing w:val="-3"/>
        </w:rPr>
        <w:t xml:space="preserve"> </w:t>
      </w:r>
      <w:r>
        <w:t>con</w:t>
      </w:r>
      <w:r>
        <w:rPr>
          <w:spacing w:val="-3"/>
        </w:rPr>
        <w:t xml:space="preserve"> </w:t>
      </w:r>
      <w:r>
        <w:t>los</w:t>
      </w:r>
      <w:r>
        <w:rPr>
          <w:spacing w:val="-3"/>
        </w:rPr>
        <w:t xml:space="preserve"> </w:t>
      </w:r>
      <w:r>
        <w:t>grupos</w:t>
      </w:r>
      <w:r>
        <w:rPr>
          <w:spacing w:val="-4"/>
        </w:rPr>
        <w:t xml:space="preserve"> </w:t>
      </w:r>
      <w:r>
        <w:t>paramilitares</w:t>
      </w:r>
      <w:r>
        <w:rPr>
          <w:spacing w:val="-3"/>
        </w:rPr>
        <w:t xml:space="preserve"> </w:t>
      </w:r>
      <w:r>
        <w:t>llegó</w:t>
      </w:r>
      <w:r>
        <w:rPr>
          <w:spacing w:val="-5"/>
        </w:rPr>
        <w:t xml:space="preserve"> </w:t>
      </w:r>
      <w:r>
        <w:t>a</w:t>
      </w:r>
      <w:r>
        <w:rPr>
          <w:spacing w:val="-3"/>
        </w:rPr>
        <w:t xml:space="preserve"> </w:t>
      </w:r>
      <w:r>
        <w:t>ser</w:t>
      </w:r>
      <w:r>
        <w:rPr>
          <w:spacing w:val="-4"/>
        </w:rPr>
        <w:t xml:space="preserve"> </w:t>
      </w:r>
      <w:r>
        <w:t>tan profunda en los casos en los que se dio, que los oficiales de las Fuerzas Militares que la denunciaban eran saboteados y amenazados, como lo mostró el testimonio del coronel (r) Prieto, anteriormente citado.</w:t>
      </w:r>
    </w:p>
    <w:p w:rsidR="0011361F" w:rsidRDefault="00AF18A5" w:rsidP="004A6EF4">
      <w:pPr>
        <w:pStyle w:val="Ttulo3"/>
        <w:numPr>
          <w:ilvl w:val="1"/>
          <w:numId w:val="16"/>
        </w:numPr>
      </w:pPr>
      <w:bookmarkStart w:id="596" w:name="5.8._La_parapolítica_y_la_incursión_para"/>
      <w:bookmarkStart w:id="597" w:name="_Toc112399599"/>
      <w:bookmarkEnd w:id="596"/>
      <w:r>
        <w:t>La</w:t>
      </w:r>
      <w:r>
        <w:rPr>
          <w:spacing w:val="-4"/>
        </w:rPr>
        <w:t xml:space="preserve"> </w:t>
      </w:r>
      <w:r>
        <w:t>parapolítica</w:t>
      </w:r>
      <w:r>
        <w:rPr>
          <w:spacing w:val="-2"/>
        </w:rPr>
        <w:t xml:space="preserve"> </w:t>
      </w:r>
      <w:r>
        <w:t>y</w:t>
      </w:r>
      <w:r>
        <w:rPr>
          <w:spacing w:val="-1"/>
        </w:rPr>
        <w:t xml:space="preserve"> </w:t>
      </w:r>
      <w:r>
        <w:t>la</w:t>
      </w:r>
      <w:r>
        <w:rPr>
          <w:spacing w:val="-2"/>
        </w:rPr>
        <w:t xml:space="preserve"> </w:t>
      </w:r>
      <w:r>
        <w:t>incursión</w:t>
      </w:r>
      <w:r>
        <w:rPr>
          <w:spacing w:val="-3"/>
        </w:rPr>
        <w:t xml:space="preserve"> </w:t>
      </w:r>
      <w:r>
        <w:t>paramilitar</w:t>
      </w:r>
      <w:r>
        <w:rPr>
          <w:spacing w:val="-2"/>
        </w:rPr>
        <w:t xml:space="preserve"> </w:t>
      </w:r>
      <w:r>
        <w:t>en</w:t>
      </w:r>
      <w:r>
        <w:rPr>
          <w:spacing w:val="-3"/>
        </w:rPr>
        <w:t xml:space="preserve"> </w:t>
      </w:r>
      <w:r>
        <w:t>las</w:t>
      </w:r>
      <w:r>
        <w:rPr>
          <w:spacing w:val="-1"/>
        </w:rPr>
        <w:t xml:space="preserve"> </w:t>
      </w:r>
      <w:r>
        <w:t>instituciones</w:t>
      </w:r>
      <w:r>
        <w:rPr>
          <w:spacing w:val="-2"/>
        </w:rPr>
        <w:t xml:space="preserve"> </w:t>
      </w:r>
      <w:r>
        <w:t>del</w:t>
      </w:r>
      <w:r>
        <w:rPr>
          <w:spacing w:val="-2"/>
        </w:rPr>
        <w:t xml:space="preserve"> Estado</w:t>
      </w:r>
      <w:bookmarkEnd w:id="597"/>
    </w:p>
    <w:p w:rsidR="003804AC" w:rsidRDefault="00AF18A5" w:rsidP="00D4426B">
      <w:r>
        <w:t>Políticos</w:t>
      </w:r>
      <w:r>
        <w:rPr>
          <w:spacing w:val="-3"/>
        </w:rPr>
        <w:t xml:space="preserve"> </w:t>
      </w:r>
      <w:r>
        <w:t>y</w:t>
      </w:r>
      <w:r>
        <w:rPr>
          <w:spacing w:val="-4"/>
        </w:rPr>
        <w:t xml:space="preserve"> </w:t>
      </w:r>
      <w:r>
        <w:t>funcionarios</w:t>
      </w:r>
      <w:r>
        <w:rPr>
          <w:spacing w:val="-4"/>
        </w:rPr>
        <w:t xml:space="preserve"> </w:t>
      </w:r>
      <w:r>
        <w:t>públicos</w:t>
      </w:r>
      <w:r>
        <w:rPr>
          <w:spacing w:val="-4"/>
        </w:rPr>
        <w:t xml:space="preserve"> </w:t>
      </w:r>
      <w:r>
        <w:t>fueron</w:t>
      </w:r>
      <w:r>
        <w:rPr>
          <w:spacing w:val="-3"/>
        </w:rPr>
        <w:t xml:space="preserve"> </w:t>
      </w:r>
      <w:r>
        <w:t>otro</w:t>
      </w:r>
      <w:r>
        <w:rPr>
          <w:spacing w:val="-3"/>
        </w:rPr>
        <w:t xml:space="preserve"> </w:t>
      </w:r>
      <w:r>
        <w:t>de</w:t>
      </w:r>
      <w:r>
        <w:rPr>
          <w:spacing w:val="-4"/>
        </w:rPr>
        <w:t xml:space="preserve"> </w:t>
      </w:r>
      <w:r>
        <w:t>los</w:t>
      </w:r>
      <w:r>
        <w:rPr>
          <w:spacing w:val="-3"/>
        </w:rPr>
        <w:t xml:space="preserve"> </w:t>
      </w:r>
      <w:r>
        <w:t>sectores</w:t>
      </w:r>
      <w:r>
        <w:rPr>
          <w:spacing w:val="-3"/>
        </w:rPr>
        <w:t xml:space="preserve"> </w:t>
      </w:r>
      <w:r>
        <w:t>ampliamente</w:t>
      </w:r>
      <w:r>
        <w:rPr>
          <w:spacing w:val="-4"/>
        </w:rPr>
        <w:t xml:space="preserve"> </w:t>
      </w:r>
      <w:r>
        <w:t>implicados</w:t>
      </w:r>
      <w:r>
        <w:rPr>
          <w:spacing w:val="-4"/>
        </w:rPr>
        <w:t xml:space="preserve"> </w:t>
      </w:r>
      <w:r>
        <w:t>dentro del plan paramilitar de «penetrar todo el poder político: alcaldes, concejales, diputados, gobernadores,</w:t>
      </w:r>
      <w:r>
        <w:rPr>
          <w:spacing w:val="-14"/>
        </w:rPr>
        <w:t xml:space="preserve"> </w:t>
      </w:r>
      <w:r>
        <w:t>congresistas</w:t>
      </w:r>
      <w:r>
        <w:rPr>
          <w:spacing w:val="-14"/>
        </w:rPr>
        <w:t xml:space="preserve"> </w:t>
      </w:r>
      <w:r>
        <w:t>de</w:t>
      </w:r>
      <w:r>
        <w:rPr>
          <w:spacing w:val="-14"/>
        </w:rPr>
        <w:t xml:space="preserve"> </w:t>
      </w:r>
      <w:r>
        <w:t>las</w:t>
      </w:r>
      <w:r>
        <w:rPr>
          <w:spacing w:val="-14"/>
        </w:rPr>
        <w:t xml:space="preserve"> </w:t>
      </w:r>
      <w:r>
        <w:t>zonas</w:t>
      </w:r>
      <w:r>
        <w:rPr>
          <w:spacing w:val="-14"/>
        </w:rPr>
        <w:t xml:space="preserve"> </w:t>
      </w:r>
      <w:r>
        <w:t>que</w:t>
      </w:r>
      <w:r>
        <w:rPr>
          <w:spacing w:val="-14"/>
        </w:rPr>
        <w:t xml:space="preserve"> </w:t>
      </w:r>
      <w:r>
        <w:t>manejábamos</w:t>
      </w:r>
      <w:r>
        <w:rPr>
          <w:spacing w:val="-14"/>
        </w:rPr>
        <w:t xml:space="preserve"> </w:t>
      </w:r>
      <w:r>
        <w:t>[...]</w:t>
      </w:r>
      <w:r>
        <w:rPr>
          <w:spacing w:val="-15"/>
        </w:rPr>
        <w:t xml:space="preserve"> </w:t>
      </w:r>
      <w:r>
        <w:t>en</w:t>
      </w:r>
      <w:r>
        <w:rPr>
          <w:spacing w:val="-14"/>
        </w:rPr>
        <w:t xml:space="preserve"> </w:t>
      </w:r>
      <w:r>
        <w:t>últimas,</w:t>
      </w:r>
      <w:r>
        <w:rPr>
          <w:spacing w:val="-15"/>
        </w:rPr>
        <w:t xml:space="preserve"> </w:t>
      </w:r>
      <w:r>
        <w:t>poderes</w:t>
      </w:r>
      <w:r>
        <w:rPr>
          <w:spacing w:val="-14"/>
        </w:rPr>
        <w:t xml:space="preserve"> </w:t>
      </w:r>
      <w:r>
        <w:t>regionales que</w:t>
      </w:r>
      <w:r>
        <w:rPr>
          <w:spacing w:val="2"/>
        </w:rPr>
        <w:t xml:space="preserve"> </w:t>
      </w:r>
      <w:r>
        <w:t>en</w:t>
      </w:r>
      <w:r>
        <w:rPr>
          <w:spacing w:val="2"/>
        </w:rPr>
        <w:t xml:space="preserve"> </w:t>
      </w:r>
      <w:r>
        <w:t>suma</w:t>
      </w:r>
      <w:r>
        <w:rPr>
          <w:spacing w:val="1"/>
        </w:rPr>
        <w:t xml:space="preserve"> </w:t>
      </w:r>
      <w:r>
        <w:t>garantizarían</w:t>
      </w:r>
      <w:r>
        <w:rPr>
          <w:spacing w:val="2"/>
        </w:rPr>
        <w:t xml:space="preserve"> </w:t>
      </w:r>
      <w:r>
        <w:t>para</w:t>
      </w:r>
      <w:r>
        <w:rPr>
          <w:spacing w:val="1"/>
        </w:rPr>
        <w:t xml:space="preserve"> </w:t>
      </w:r>
      <w:r>
        <w:t>las</w:t>
      </w:r>
      <w:r>
        <w:rPr>
          <w:spacing w:val="1"/>
        </w:rPr>
        <w:t xml:space="preserve"> </w:t>
      </w:r>
      <w:r>
        <w:t>autodefensas</w:t>
      </w:r>
      <w:r>
        <w:rPr>
          <w:spacing w:val="2"/>
        </w:rPr>
        <w:t xml:space="preserve"> </w:t>
      </w:r>
      <w:r>
        <w:t>un</w:t>
      </w:r>
      <w:r>
        <w:rPr>
          <w:spacing w:val="2"/>
        </w:rPr>
        <w:t xml:space="preserve"> </w:t>
      </w:r>
      <w:r>
        <w:t>poder</w:t>
      </w:r>
      <w:r>
        <w:rPr>
          <w:spacing w:val="3"/>
        </w:rPr>
        <w:t xml:space="preserve"> </w:t>
      </w:r>
      <w:r>
        <w:t>nacional»</w:t>
      </w:r>
      <w:r w:rsidR="00D4426B">
        <w:rPr>
          <w:rStyle w:val="Refdenotaalpie"/>
        </w:rPr>
        <w:footnoteReference w:id="441"/>
      </w:r>
      <w:r>
        <w:t>.</w:t>
      </w:r>
      <w:r>
        <w:rPr>
          <w:spacing w:val="2"/>
        </w:rPr>
        <w:t xml:space="preserve"> </w:t>
      </w:r>
      <w:r>
        <w:t>Las</w:t>
      </w:r>
      <w:r>
        <w:rPr>
          <w:spacing w:val="1"/>
        </w:rPr>
        <w:t xml:space="preserve"> </w:t>
      </w:r>
      <w:r>
        <w:t>relaciones</w:t>
      </w:r>
      <w:r>
        <w:rPr>
          <w:spacing w:val="1"/>
        </w:rPr>
        <w:t xml:space="preserve"> </w:t>
      </w:r>
      <w:r>
        <w:rPr>
          <w:spacing w:val="-2"/>
        </w:rPr>
        <w:t>entre</w:t>
      </w:r>
      <w:bookmarkStart w:id="598" w:name="_bookmark494"/>
      <w:bookmarkStart w:id="599" w:name="_bookmark495"/>
      <w:bookmarkEnd w:id="598"/>
      <w:bookmarkEnd w:id="599"/>
      <w:r w:rsidR="00D4426B">
        <w:t xml:space="preserve"> </w:t>
      </w:r>
      <w:r>
        <w:t>política</w:t>
      </w:r>
      <w:r>
        <w:rPr>
          <w:spacing w:val="-10"/>
        </w:rPr>
        <w:t xml:space="preserve"> </w:t>
      </w:r>
      <w:r>
        <w:t>y</w:t>
      </w:r>
      <w:r>
        <w:rPr>
          <w:spacing w:val="-11"/>
        </w:rPr>
        <w:t xml:space="preserve"> </w:t>
      </w:r>
      <w:r>
        <w:t>paramilitarismo</w:t>
      </w:r>
      <w:r>
        <w:rPr>
          <w:spacing w:val="-11"/>
        </w:rPr>
        <w:t xml:space="preserve"> </w:t>
      </w:r>
      <w:r>
        <w:t>también</w:t>
      </w:r>
      <w:r>
        <w:rPr>
          <w:spacing w:val="-11"/>
        </w:rPr>
        <w:t xml:space="preserve"> </w:t>
      </w:r>
      <w:r>
        <w:t>fueron</w:t>
      </w:r>
      <w:r>
        <w:rPr>
          <w:spacing w:val="-11"/>
        </w:rPr>
        <w:t xml:space="preserve"> </w:t>
      </w:r>
      <w:r>
        <w:t>en</w:t>
      </w:r>
      <w:r>
        <w:rPr>
          <w:spacing w:val="-11"/>
        </w:rPr>
        <w:t xml:space="preserve"> </w:t>
      </w:r>
      <w:r>
        <w:t>doble</w:t>
      </w:r>
      <w:r>
        <w:rPr>
          <w:spacing w:val="-10"/>
        </w:rPr>
        <w:t xml:space="preserve"> </w:t>
      </w:r>
      <w:r>
        <w:t>vía,</w:t>
      </w:r>
      <w:r>
        <w:rPr>
          <w:spacing w:val="-11"/>
        </w:rPr>
        <w:t xml:space="preserve"> </w:t>
      </w:r>
      <w:r>
        <w:t>pues</w:t>
      </w:r>
      <w:r>
        <w:rPr>
          <w:spacing w:val="-12"/>
        </w:rPr>
        <w:t xml:space="preserve"> </w:t>
      </w:r>
      <w:r>
        <w:t>muchos</w:t>
      </w:r>
      <w:r>
        <w:rPr>
          <w:spacing w:val="-10"/>
        </w:rPr>
        <w:t xml:space="preserve"> </w:t>
      </w:r>
      <w:r>
        <w:t>políticos</w:t>
      </w:r>
      <w:r>
        <w:rPr>
          <w:spacing w:val="-10"/>
        </w:rPr>
        <w:t xml:space="preserve"> </w:t>
      </w:r>
      <w:r>
        <w:t>y</w:t>
      </w:r>
      <w:r>
        <w:rPr>
          <w:spacing w:val="-12"/>
        </w:rPr>
        <w:t xml:space="preserve"> </w:t>
      </w:r>
      <w:r>
        <w:t>funcionarios a</w:t>
      </w:r>
      <w:r>
        <w:rPr>
          <w:spacing w:val="-15"/>
        </w:rPr>
        <w:t xml:space="preserve"> </w:t>
      </w:r>
      <w:r>
        <w:t>su</w:t>
      </w:r>
      <w:r>
        <w:rPr>
          <w:spacing w:val="-15"/>
        </w:rPr>
        <w:t xml:space="preserve"> </w:t>
      </w:r>
      <w:r>
        <w:t>vez</w:t>
      </w:r>
      <w:r>
        <w:rPr>
          <w:spacing w:val="-15"/>
        </w:rPr>
        <w:t xml:space="preserve"> </w:t>
      </w:r>
      <w:r>
        <w:t>buscaron</w:t>
      </w:r>
      <w:r>
        <w:rPr>
          <w:spacing w:val="-15"/>
        </w:rPr>
        <w:t xml:space="preserve"> </w:t>
      </w:r>
      <w:r>
        <w:t>a</w:t>
      </w:r>
      <w:r>
        <w:rPr>
          <w:spacing w:val="-15"/>
        </w:rPr>
        <w:t xml:space="preserve"> </w:t>
      </w:r>
      <w:r>
        <w:t>los</w:t>
      </w:r>
      <w:r>
        <w:rPr>
          <w:spacing w:val="-15"/>
        </w:rPr>
        <w:t xml:space="preserve"> </w:t>
      </w:r>
      <w:r>
        <w:t>comandantes</w:t>
      </w:r>
      <w:r>
        <w:rPr>
          <w:spacing w:val="-15"/>
        </w:rPr>
        <w:t xml:space="preserve"> </w:t>
      </w:r>
      <w:r>
        <w:t>de</w:t>
      </w:r>
      <w:r>
        <w:rPr>
          <w:spacing w:val="-15"/>
        </w:rPr>
        <w:t xml:space="preserve"> </w:t>
      </w:r>
      <w:r>
        <w:t>los</w:t>
      </w:r>
      <w:r>
        <w:rPr>
          <w:spacing w:val="-15"/>
        </w:rPr>
        <w:t xml:space="preserve"> </w:t>
      </w:r>
      <w:r>
        <w:t>grupos</w:t>
      </w:r>
      <w:r>
        <w:rPr>
          <w:spacing w:val="-15"/>
        </w:rPr>
        <w:t xml:space="preserve"> </w:t>
      </w:r>
      <w:r>
        <w:t>paramilitares</w:t>
      </w:r>
      <w:r>
        <w:rPr>
          <w:spacing w:val="-15"/>
        </w:rPr>
        <w:t xml:space="preserve"> </w:t>
      </w:r>
      <w:r>
        <w:t>para</w:t>
      </w:r>
      <w:r>
        <w:rPr>
          <w:spacing w:val="-15"/>
        </w:rPr>
        <w:t xml:space="preserve"> </w:t>
      </w:r>
      <w:r>
        <w:t>beneficiarse</w:t>
      </w:r>
      <w:r>
        <w:rPr>
          <w:spacing w:val="-15"/>
        </w:rPr>
        <w:t xml:space="preserve"> </w:t>
      </w:r>
      <w:r>
        <w:t>de</w:t>
      </w:r>
      <w:r>
        <w:rPr>
          <w:spacing w:val="-15"/>
        </w:rPr>
        <w:t xml:space="preserve"> </w:t>
      </w:r>
      <w:r>
        <w:t>su</w:t>
      </w:r>
      <w:r>
        <w:rPr>
          <w:spacing w:val="-15"/>
        </w:rPr>
        <w:t xml:space="preserve"> </w:t>
      </w:r>
      <w:r>
        <w:t xml:space="preserve">poder armado. La profundidad y continuidad de estas alianzas llegó hasta el punto de que uno de los máximos responsables de las AUC, Vicente </w:t>
      </w:r>
      <w:r>
        <w:lastRenderedPageBreak/>
        <w:t>Castaño, afirmaba:</w:t>
      </w:r>
    </w:p>
    <w:p w:rsidR="003804AC" w:rsidRDefault="00AF18A5" w:rsidP="00992D32">
      <w:r>
        <w:t>Hay una amistad con los políticos en las zonas en donde operamos. Hay relaciones directas</w:t>
      </w:r>
      <w:r>
        <w:rPr>
          <w:spacing w:val="-7"/>
        </w:rPr>
        <w:t xml:space="preserve"> </w:t>
      </w:r>
      <w:r>
        <w:t>entre</w:t>
      </w:r>
      <w:r>
        <w:rPr>
          <w:spacing w:val="-7"/>
        </w:rPr>
        <w:t xml:space="preserve"> </w:t>
      </w:r>
      <w:r>
        <w:t>los</w:t>
      </w:r>
      <w:r>
        <w:rPr>
          <w:spacing w:val="-7"/>
        </w:rPr>
        <w:t xml:space="preserve"> </w:t>
      </w:r>
      <w:r>
        <w:t>comandantes</w:t>
      </w:r>
      <w:r>
        <w:rPr>
          <w:spacing w:val="-7"/>
        </w:rPr>
        <w:t xml:space="preserve"> </w:t>
      </w:r>
      <w:r>
        <w:t>y</w:t>
      </w:r>
      <w:r>
        <w:rPr>
          <w:spacing w:val="-8"/>
        </w:rPr>
        <w:t xml:space="preserve"> </w:t>
      </w:r>
      <w:r>
        <w:t>los</w:t>
      </w:r>
      <w:r>
        <w:rPr>
          <w:spacing w:val="-8"/>
        </w:rPr>
        <w:t xml:space="preserve"> </w:t>
      </w:r>
      <w:r>
        <w:t>políticos</w:t>
      </w:r>
      <w:r>
        <w:rPr>
          <w:spacing w:val="-7"/>
        </w:rPr>
        <w:t xml:space="preserve"> </w:t>
      </w:r>
      <w:r>
        <w:t>y</w:t>
      </w:r>
      <w:r>
        <w:rPr>
          <w:spacing w:val="-7"/>
        </w:rPr>
        <w:t xml:space="preserve"> </w:t>
      </w:r>
      <w:r>
        <w:t>se</w:t>
      </w:r>
      <w:r>
        <w:rPr>
          <w:spacing w:val="-7"/>
        </w:rPr>
        <w:t xml:space="preserve"> </w:t>
      </w:r>
      <w:r>
        <w:t>forman</w:t>
      </w:r>
      <w:r>
        <w:rPr>
          <w:spacing w:val="-7"/>
        </w:rPr>
        <w:t xml:space="preserve"> </w:t>
      </w:r>
      <w:r>
        <w:t>alianzas</w:t>
      </w:r>
      <w:r>
        <w:rPr>
          <w:spacing w:val="-7"/>
        </w:rPr>
        <w:t xml:space="preserve"> </w:t>
      </w:r>
      <w:r>
        <w:t>que</w:t>
      </w:r>
      <w:r>
        <w:rPr>
          <w:spacing w:val="-7"/>
        </w:rPr>
        <w:t xml:space="preserve"> </w:t>
      </w:r>
      <w:r>
        <w:t>son</w:t>
      </w:r>
      <w:r>
        <w:rPr>
          <w:spacing w:val="-7"/>
        </w:rPr>
        <w:t xml:space="preserve"> </w:t>
      </w:r>
      <w:r>
        <w:t>innegables. Las</w:t>
      </w:r>
      <w:r>
        <w:rPr>
          <w:spacing w:val="-9"/>
        </w:rPr>
        <w:t xml:space="preserve"> </w:t>
      </w:r>
      <w:r>
        <w:t>autodefensas</w:t>
      </w:r>
      <w:r>
        <w:rPr>
          <w:spacing w:val="-9"/>
        </w:rPr>
        <w:t xml:space="preserve"> </w:t>
      </w:r>
      <w:r>
        <w:t>les</w:t>
      </w:r>
      <w:r>
        <w:rPr>
          <w:spacing w:val="-9"/>
        </w:rPr>
        <w:t xml:space="preserve"> </w:t>
      </w:r>
      <w:r>
        <w:t>dan</w:t>
      </w:r>
      <w:r>
        <w:rPr>
          <w:spacing w:val="-11"/>
        </w:rPr>
        <w:t xml:space="preserve"> </w:t>
      </w:r>
      <w:r>
        <w:t>consejos</w:t>
      </w:r>
      <w:r>
        <w:rPr>
          <w:spacing w:val="-11"/>
        </w:rPr>
        <w:t xml:space="preserve"> </w:t>
      </w:r>
      <w:r>
        <w:t>a</w:t>
      </w:r>
      <w:r>
        <w:rPr>
          <w:spacing w:val="-9"/>
        </w:rPr>
        <w:t xml:space="preserve"> </w:t>
      </w:r>
      <w:r>
        <w:t>muchos</w:t>
      </w:r>
      <w:r>
        <w:rPr>
          <w:spacing w:val="-9"/>
        </w:rPr>
        <w:t xml:space="preserve"> </w:t>
      </w:r>
      <w:r>
        <w:t>de</w:t>
      </w:r>
      <w:r>
        <w:rPr>
          <w:spacing w:val="-9"/>
        </w:rPr>
        <w:t xml:space="preserve"> </w:t>
      </w:r>
      <w:r>
        <w:t>ellos</w:t>
      </w:r>
      <w:r>
        <w:rPr>
          <w:spacing w:val="-9"/>
        </w:rPr>
        <w:t xml:space="preserve"> </w:t>
      </w:r>
      <w:r>
        <w:t>y</w:t>
      </w:r>
      <w:r>
        <w:rPr>
          <w:spacing w:val="-9"/>
        </w:rPr>
        <w:t xml:space="preserve"> </w:t>
      </w:r>
      <w:r>
        <w:t>hay</w:t>
      </w:r>
      <w:r>
        <w:rPr>
          <w:spacing w:val="-9"/>
        </w:rPr>
        <w:t xml:space="preserve"> </w:t>
      </w:r>
      <w:r>
        <w:t>comandantes</w:t>
      </w:r>
      <w:r>
        <w:rPr>
          <w:spacing w:val="-9"/>
        </w:rPr>
        <w:t xml:space="preserve"> </w:t>
      </w:r>
      <w:r>
        <w:t>que</w:t>
      </w:r>
      <w:r>
        <w:rPr>
          <w:spacing w:val="-9"/>
        </w:rPr>
        <w:t xml:space="preserve"> </w:t>
      </w:r>
      <w:r>
        <w:t>tienen</w:t>
      </w:r>
      <w:r>
        <w:rPr>
          <w:spacing w:val="-9"/>
        </w:rPr>
        <w:t xml:space="preserve"> </w:t>
      </w:r>
      <w:r>
        <w:t>sus amigos</w:t>
      </w:r>
      <w:r>
        <w:rPr>
          <w:spacing w:val="-9"/>
        </w:rPr>
        <w:t xml:space="preserve"> </w:t>
      </w:r>
      <w:r>
        <w:t>candidatos</w:t>
      </w:r>
      <w:r>
        <w:rPr>
          <w:spacing w:val="-9"/>
        </w:rPr>
        <w:t xml:space="preserve"> </w:t>
      </w:r>
      <w:r>
        <w:t>a</w:t>
      </w:r>
      <w:r>
        <w:rPr>
          <w:spacing w:val="-8"/>
        </w:rPr>
        <w:t xml:space="preserve"> </w:t>
      </w:r>
      <w:r>
        <w:t>las</w:t>
      </w:r>
      <w:r>
        <w:rPr>
          <w:spacing w:val="-8"/>
        </w:rPr>
        <w:t xml:space="preserve"> </w:t>
      </w:r>
      <w:r>
        <w:t>corporaciones</w:t>
      </w:r>
      <w:r>
        <w:rPr>
          <w:spacing w:val="-8"/>
        </w:rPr>
        <w:t xml:space="preserve"> </w:t>
      </w:r>
      <w:r>
        <w:t>y</w:t>
      </w:r>
      <w:r>
        <w:rPr>
          <w:spacing w:val="-8"/>
        </w:rPr>
        <w:t xml:space="preserve"> </w:t>
      </w:r>
      <w:r>
        <w:t>a</w:t>
      </w:r>
      <w:r>
        <w:rPr>
          <w:spacing w:val="-9"/>
        </w:rPr>
        <w:t xml:space="preserve"> </w:t>
      </w:r>
      <w:r>
        <w:t>las</w:t>
      </w:r>
      <w:r>
        <w:rPr>
          <w:spacing w:val="-8"/>
        </w:rPr>
        <w:t xml:space="preserve"> </w:t>
      </w:r>
      <w:r>
        <w:t>alcaldías</w:t>
      </w:r>
      <w:r>
        <w:rPr>
          <w:spacing w:val="-9"/>
        </w:rPr>
        <w:t xml:space="preserve"> </w:t>
      </w:r>
      <w:r>
        <w:t>[...].</w:t>
      </w:r>
      <w:r>
        <w:rPr>
          <w:spacing w:val="-9"/>
        </w:rPr>
        <w:t xml:space="preserve"> </w:t>
      </w:r>
      <w:r>
        <w:t>Creo</w:t>
      </w:r>
      <w:r>
        <w:rPr>
          <w:spacing w:val="-8"/>
        </w:rPr>
        <w:t xml:space="preserve"> </w:t>
      </w:r>
      <w:r>
        <w:t>que</w:t>
      </w:r>
      <w:r>
        <w:rPr>
          <w:spacing w:val="-8"/>
        </w:rPr>
        <w:t xml:space="preserve"> </w:t>
      </w:r>
      <w:r>
        <w:t>podemos</w:t>
      </w:r>
      <w:r>
        <w:rPr>
          <w:spacing w:val="-8"/>
        </w:rPr>
        <w:t xml:space="preserve"> </w:t>
      </w:r>
      <w:r>
        <w:t>afirmar que tenemos más del 35 por ciento de amigos en el Congreso. Y para las próximas elecciones</w:t>
      </w:r>
      <w:r w:rsidR="00992D32">
        <w:rPr>
          <w:rStyle w:val="Refdenotaalpie"/>
        </w:rPr>
        <w:footnoteReference w:id="442"/>
      </w:r>
      <w:r>
        <w:t xml:space="preserve"> vamos a aumentar ese porcentaje de amigos</w:t>
      </w:r>
      <w:r w:rsidR="00992D32">
        <w:rPr>
          <w:rStyle w:val="Refdenotaalpie"/>
        </w:rPr>
        <w:footnoteReference w:id="443"/>
      </w:r>
      <w:r>
        <w:t>.</w:t>
      </w:r>
    </w:p>
    <w:p w:rsidR="003804AC" w:rsidRDefault="00AF18A5" w:rsidP="00992D32">
      <w:r>
        <w:t>Declaraciones como estas, también por parte de Salvatore Mancuso, uno de los principales comandantes de las AUC, detonaron denuncias y solicitudes de investigación que fueron el inicio de las investigaciones de la llamada «parapolítica». Estas investigaciones llevaron a develar</w:t>
      </w:r>
      <w:r>
        <w:rPr>
          <w:spacing w:val="-8"/>
        </w:rPr>
        <w:t xml:space="preserve"> </w:t>
      </w:r>
      <w:r>
        <w:t>esta</w:t>
      </w:r>
      <w:r>
        <w:rPr>
          <w:spacing w:val="-9"/>
        </w:rPr>
        <w:t xml:space="preserve"> </w:t>
      </w:r>
      <w:r>
        <w:t>parte</w:t>
      </w:r>
      <w:r>
        <w:rPr>
          <w:spacing w:val="-9"/>
        </w:rPr>
        <w:t xml:space="preserve"> </w:t>
      </w:r>
      <w:r>
        <w:t>del</w:t>
      </w:r>
      <w:r>
        <w:rPr>
          <w:spacing w:val="-9"/>
        </w:rPr>
        <w:t xml:space="preserve"> </w:t>
      </w:r>
      <w:r>
        <w:t>entramado</w:t>
      </w:r>
      <w:r>
        <w:rPr>
          <w:spacing w:val="-9"/>
        </w:rPr>
        <w:t xml:space="preserve"> </w:t>
      </w:r>
      <w:r>
        <w:t>paramilitar</w:t>
      </w:r>
      <w:r>
        <w:rPr>
          <w:spacing w:val="-8"/>
        </w:rPr>
        <w:t xml:space="preserve"> </w:t>
      </w:r>
      <w:r>
        <w:t>que</w:t>
      </w:r>
      <w:r>
        <w:rPr>
          <w:spacing w:val="-9"/>
        </w:rPr>
        <w:t xml:space="preserve"> </w:t>
      </w:r>
      <w:r>
        <w:t>operaba</w:t>
      </w:r>
      <w:r>
        <w:rPr>
          <w:spacing w:val="-9"/>
        </w:rPr>
        <w:t xml:space="preserve"> </w:t>
      </w:r>
      <w:r>
        <w:t>sistemáticamente</w:t>
      </w:r>
      <w:r>
        <w:rPr>
          <w:spacing w:val="-9"/>
        </w:rPr>
        <w:t xml:space="preserve"> </w:t>
      </w:r>
      <w:r>
        <w:t>y</w:t>
      </w:r>
      <w:r>
        <w:rPr>
          <w:spacing w:val="-8"/>
        </w:rPr>
        <w:t xml:space="preserve"> </w:t>
      </w:r>
      <w:r>
        <w:t>cuyos</w:t>
      </w:r>
      <w:r>
        <w:rPr>
          <w:spacing w:val="-9"/>
        </w:rPr>
        <w:t xml:space="preserve"> </w:t>
      </w:r>
      <w:r>
        <w:t>objetivos eran legalizar el despojo producto del desplazamiento masivo, tener control de recursos económicos, obtener control político de las instituciones públicas y otros fines de beneficio personal</w:t>
      </w:r>
      <w:r>
        <w:rPr>
          <w:spacing w:val="-13"/>
        </w:rPr>
        <w:t xml:space="preserve"> </w:t>
      </w:r>
      <w:r>
        <w:t>de</w:t>
      </w:r>
      <w:r>
        <w:rPr>
          <w:spacing w:val="-14"/>
        </w:rPr>
        <w:t xml:space="preserve"> </w:t>
      </w:r>
      <w:r>
        <w:t>paramilitares,</w:t>
      </w:r>
      <w:r>
        <w:rPr>
          <w:spacing w:val="-13"/>
        </w:rPr>
        <w:t xml:space="preserve"> </w:t>
      </w:r>
      <w:r>
        <w:t>políticos</w:t>
      </w:r>
      <w:r>
        <w:rPr>
          <w:spacing w:val="-13"/>
        </w:rPr>
        <w:t xml:space="preserve"> </w:t>
      </w:r>
      <w:r>
        <w:t>y</w:t>
      </w:r>
      <w:r>
        <w:rPr>
          <w:spacing w:val="-14"/>
        </w:rPr>
        <w:t xml:space="preserve"> </w:t>
      </w:r>
      <w:r>
        <w:t>terceros.</w:t>
      </w:r>
      <w:r>
        <w:rPr>
          <w:spacing w:val="-13"/>
        </w:rPr>
        <w:t xml:space="preserve"> </w:t>
      </w:r>
      <w:r>
        <w:t>Estos</w:t>
      </w:r>
      <w:r>
        <w:rPr>
          <w:spacing w:val="-13"/>
        </w:rPr>
        <w:t xml:space="preserve"> </w:t>
      </w:r>
      <w:r>
        <w:t>mecanismos</w:t>
      </w:r>
      <w:r>
        <w:rPr>
          <w:spacing w:val="-13"/>
        </w:rPr>
        <w:t xml:space="preserve"> </w:t>
      </w:r>
      <w:r>
        <w:t>terminaron</w:t>
      </w:r>
      <w:r>
        <w:rPr>
          <w:spacing w:val="-13"/>
        </w:rPr>
        <w:t xml:space="preserve"> </w:t>
      </w:r>
      <w:r>
        <w:t>pervirtiendo</w:t>
      </w:r>
      <w:r>
        <w:rPr>
          <w:spacing w:val="-13"/>
        </w:rPr>
        <w:t xml:space="preserve"> </w:t>
      </w:r>
      <w:r>
        <w:t>los poderes públicos, como el Congreso y la política, y consolidaron diversas formas de clientelismo y corrupción.</w:t>
      </w:r>
    </w:p>
    <w:p w:rsidR="003804AC" w:rsidRDefault="00AF18A5" w:rsidP="00992D32">
      <w:r>
        <w:t>Para varias de las regiones de presencia histórica del paramilitarismo, como lo afirmó la Corte</w:t>
      </w:r>
      <w:r>
        <w:rPr>
          <w:spacing w:val="-5"/>
        </w:rPr>
        <w:t xml:space="preserve"> </w:t>
      </w:r>
      <w:r>
        <w:t>Suprema</w:t>
      </w:r>
      <w:r>
        <w:rPr>
          <w:spacing w:val="-5"/>
        </w:rPr>
        <w:t xml:space="preserve"> </w:t>
      </w:r>
      <w:r>
        <w:t>de</w:t>
      </w:r>
      <w:r>
        <w:rPr>
          <w:spacing w:val="-5"/>
        </w:rPr>
        <w:t xml:space="preserve"> </w:t>
      </w:r>
      <w:r>
        <w:t>Justicia</w:t>
      </w:r>
      <w:r>
        <w:rPr>
          <w:spacing w:val="-5"/>
        </w:rPr>
        <w:t xml:space="preserve"> </w:t>
      </w:r>
      <w:r>
        <w:t>en</w:t>
      </w:r>
      <w:r>
        <w:rPr>
          <w:spacing w:val="-5"/>
        </w:rPr>
        <w:t xml:space="preserve"> </w:t>
      </w:r>
      <w:r>
        <w:t>su</w:t>
      </w:r>
      <w:r>
        <w:rPr>
          <w:spacing w:val="-5"/>
        </w:rPr>
        <w:t xml:space="preserve"> </w:t>
      </w:r>
      <w:r>
        <w:t>momento,</w:t>
      </w:r>
      <w:r>
        <w:rPr>
          <w:spacing w:val="-5"/>
        </w:rPr>
        <w:t xml:space="preserve"> </w:t>
      </w:r>
      <w:r>
        <w:t>la</w:t>
      </w:r>
      <w:r>
        <w:rPr>
          <w:spacing w:val="-6"/>
        </w:rPr>
        <w:t xml:space="preserve"> </w:t>
      </w:r>
      <w:r>
        <w:t>implicación</w:t>
      </w:r>
      <w:r>
        <w:rPr>
          <w:spacing w:val="-5"/>
        </w:rPr>
        <w:t xml:space="preserve"> </w:t>
      </w:r>
      <w:r>
        <w:t>de</w:t>
      </w:r>
      <w:r>
        <w:rPr>
          <w:spacing w:val="-6"/>
        </w:rPr>
        <w:t xml:space="preserve"> </w:t>
      </w:r>
      <w:r>
        <w:t>estos</w:t>
      </w:r>
      <w:r>
        <w:rPr>
          <w:spacing w:val="-5"/>
        </w:rPr>
        <w:t xml:space="preserve"> </w:t>
      </w:r>
      <w:r>
        <w:t>sectores</w:t>
      </w:r>
      <w:r>
        <w:rPr>
          <w:spacing w:val="-5"/>
        </w:rPr>
        <w:t xml:space="preserve"> </w:t>
      </w:r>
      <w:r>
        <w:t>fue</w:t>
      </w:r>
      <w:r>
        <w:rPr>
          <w:spacing w:val="-5"/>
        </w:rPr>
        <w:t xml:space="preserve"> </w:t>
      </w:r>
      <w:r>
        <w:t>determinante para el control del poder político paramilitar:</w:t>
      </w:r>
    </w:p>
    <w:p w:rsidR="0011361F" w:rsidRDefault="00AF18A5" w:rsidP="00992D32">
      <w:r>
        <w:t>[...]</w:t>
      </w:r>
      <w:r>
        <w:rPr>
          <w:spacing w:val="-2"/>
        </w:rPr>
        <w:t xml:space="preserve"> </w:t>
      </w:r>
      <w:r>
        <w:t>la</w:t>
      </w:r>
      <w:r>
        <w:rPr>
          <w:spacing w:val="-2"/>
        </w:rPr>
        <w:t xml:space="preserve"> </w:t>
      </w:r>
      <w:r>
        <w:t>adhesión</w:t>
      </w:r>
      <w:r>
        <w:rPr>
          <w:spacing w:val="-2"/>
        </w:rPr>
        <w:t xml:space="preserve"> </w:t>
      </w:r>
      <w:r>
        <w:t>de</w:t>
      </w:r>
      <w:r>
        <w:rPr>
          <w:spacing w:val="-3"/>
        </w:rPr>
        <w:t xml:space="preserve"> </w:t>
      </w:r>
      <w:r>
        <w:t>los</w:t>
      </w:r>
      <w:r>
        <w:rPr>
          <w:spacing w:val="-2"/>
        </w:rPr>
        <w:t xml:space="preserve"> </w:t>
      </w:r>
      <w:r>
        <w:t>dirigentes</w:t>
      </w:r>
      <w:r>
        <w:rPr>
          <w:spacing w:val="-2"/>
        </w:rPr>
        <w:t xml:space="preserve"> </w:t>
      </w:r>
      <w:r>
        <w:t>políticos</w:t>
      </w:r>
      <w:r>
        <w:rPr>
          <w:spacing w:val="-3"/>
        </w:rPr>
        <w:t xml:space="preserve"> </w:t>
      </w:r>
      <w:r>
        <w:t>a</w:t>
      </w:r>
      <w:r>
        <w:rPr>
          <w:spacing w:val="-2"/>
        </w:rPr>
        <w:t xml:space="preserve"> </w:t>
      </w:r>
      <w:r>
        <w:t>ese</w:t>
      </w:r>
      <w:r>
        <w:rPr>
          <w:spacing w:val="-2"/>
        </w:rPr>
        <w:t xml:space="preserve"> </w:t>
      </w:r>
      <w:r>
        <w:t>proyecto</w:t>
      </w:r>
      <w:r>
        <w:rPr>
          <w:spacing w:val="-3"/>
        </w:rPr>
        <w:t xml:space="preserve"> </w:t>
      </w:r>
      <w:r>
        <w:t>de</w:t>
      </w:r>
      <w:r>
        <w:rPr>
          <w:spacing w:val="-2"/>
        </w:rPr>
        <w:t xml:space="preserve"> </w:t>
      </w:r>
      <w:r>
        <w:t>las</w:t>
      </w:r>
      <w:r>
        <w:rPr>
          <w:spacing w:val="-2"/>
        </w:rPr>
        <w:t xml:space="preserve"> </w:t>
      </w:r>
      <w:r>
        <w:lastRenderedPageBreak/>
        <w:t>autodefensas</w:t>
      </w:r>
      <w:r>
        <w:rPr>
          <w:spacing w:val="-2"/>
        </w:rPr>
        <w:t xml:space="preserve"> </w:t>
      </w:r>
      <w:r>
        <w:t>no</w:t>
      </w:r>
      <w:r>
        <w:rPr>
          <w:spacing w:val="-2"/>
        </w:rPr>
        <w:t xml:space="preserve"> </w:t>
      </w:r>
      <w:r>
        <w:t>operó por temor, miedo, reverencia o coacción, sino que fue el fruto de un contubernio consciente y voluntario con la finalidad de conservar, consolidar o adquirir el poder político</w:t>
      </w:r>
      <w:r>
        <w:rPr>
          <w:spacing w:val="-7"/>
        </w:rPr>
        <w:t xml:space="preserve"> </w:t>
      </w:r>
      <w:r>
        <w:t>y</w:t>
      </w:r>
      <w:r>
        <w:rPr>
          <w:spacing w:val="-7"/>
        </w:rPr>
        <w:t xml:space="preserve"> </w:t>
      </w:r>
      <w:r>
        <w:t>en</w:t>
      </w:r>
      <w:r>
        <w:rPr>
          <w:spacing w:val="-8"/>
        </w:rPr>
        <w:t xml:space="preserve"> </w:t>
      </w:r>
      <w:r>
        <w:t>ese</w:t>
      </w:r>
      <w:r>
        <w:rPr>
          <w:spacing w:val="-7"/>
        </w:rPr>
        <w:t xml:space="preserve"> </w:t>
      </w:r>
      <w:r>
        <w:t>propósito</w:t>
      </w:r>
      <w:r>
        <w:rPr>
          <w:spacing w:val="-7"/>
        </w:rPr>
        <w:t xml:space="preserve"> </w:t>
      </w:r>
      <w:r>
        <w:t>se</w:t>
      </w:r>
      <w:r>
        <w:rPr>
          <w:spacing w:val="-7"/>
        </w:rPr>
        <w:t xml:space="preserve"> </w:t>
      </w:r>
      <w:r>
        <w:t>llegó</w:t>
      </w:r>
      <w:r>
        <w:rPr>
          <w:spacing w:val="-7"/>
        </w:rPr>
        <w:t xml:space="preserve"> </w:t>
      </w:r>
      <w:r>
        <w:t>a</w:t>
      </w:r>
      <w:r>
        <w:rPr>
          <w:spacing w:val="-8"/>
        </w:rPr>
        <w:t xml:space="preserve"> </w:t>
      </w:r>
      <w:r>
        <w:t>cooptar</w:t>
      </w:r>
      <w:r>
        <w:rPr>
          <w:spacing w:val="-7"/>
        </w:rPr>
        <w:t xml:space="preserve"> </w:t>
      </w:r>
      <w:r>
        <w:t>con</w:t>
      </w:r>
      <w:r>
        <w:rPr>
          <w:spacing w:val="-8"/>
        </w:rPr>
        <w:t xml:space="preserve"> </w:t>
      </w:r>
      <w:r>
        <w:t>las</w:t>
      </w:r>
      <w:r>
        <w:rPr>
          <w:spacing w:val="-7"/>
        </w:rPr>
        <w:t xml:space="preserve"> </w:t>
      </w:r>
      <w:r>
        <w:t>autodefensas</w:t>
      </w:r>
      <w:r>
        <w:rPr>
          <w:spacing w:val="-7"/>
        </w:rPr>
        <w:t xml:space="preserve"> </w:t>
      </w:r>
      <w:r>
        <w:t>el</w:t>
      </w:r>
      <w:r>
        <w:rPr>
          <w:spacing w:val="-7"/>
        </w:rPr>
        <w:t xml:space="preserve"> </w:t>
      </w:r>
      <w:r>
        <w:t>poder</w:t>
      </w:r>
      <w:r>
        <w:rPr>
          <w:spacing w:val="-7"/>
        </w:rPr>
        <w:t xml:space="preserve"> </w:t>
      </w:r>
      <w:r>
        <w:t>público</w:t>
      </w:r>
      <w:r>
        <w:rPr>
          <w:spacing w:val="-7"/>
        </w:rPr>
        <w:t xml:space="preserve"> </w:t>
      </w:r>
      <w:r>
        <w:t>que dimanaba</w:t>
      </w:r>
      <w:r>
        <w:rPr>
          <w:spacing w:val="-1"/>
        </w:rPr>
        <w:t xml:space="preserve"> </w:t>
      </w:r>
      <w:r>
        <w:t>de</w:t>
      </w:r>
      <w:r>
        <w:rPr>
          <w:spacing w:val="-1"/>
        </w:rPr>
        <w:t xml:space="preserve"> </w:t>
      </w:r>
      <w:r>
        <w:t>las</w:t>
      </w:r>
      <w:r>
        <w:rPr>
          <w:spacing w:val="-1"/>
        </w:rPr>
        <w:t xml:space="preserve"> </w:t>
      </w:r>
      <w:r>
        <w:t>diferentes</w:t>
      </w:r>
      <w:r>
        <w:rPr>
          <w:spacing w:val="-1"/>
        </w:rPr>
        <w:t xml:space="preserve"> </w:t>
      </w:r>
      <w:r>
        <w:t>alcaldías</w:t>
      </w:r>
      <w:r>
        <w:rPr>
          <w:spacing w:val="-2"/>
        </w:rPr>
        <w:t xml:space="preserve"> </w:t>
      </w:r>
      <w:r>
        <w:t>y</w:t>
      </w:r>
      <w:r>
        <w:rPr>
          <w:spacing w:val="-1"/>
        </w:rPr>
        <w:t xml:space="preserve"> </w:t>
      </w:r>
      <w:r>
        <w:t>gobernaciones</w:t>
      </w:r>
      <w:r>
        <w:rPr>
          <w:spacing w:val="-1"/>
        </w:rPr>
        <w:t xml:space="preserve"> </w:t>
      </w:r>
      <w:r>
        <w:t>cuyo</w:t>
      </w:r>
      <w:r>
        <w:rPr>
          <w:spacing w:val="-1"/>
        </w:rPr>
        <w:t xml:space="preserve"> </w:t>
      </w:r>
      <w:r>
        <w:t>control</w:t>
      </w:r>
      <w:r>
        <w:rPr>
          <w:spacing w:val="-1"/>
        </w:rPr>
        <w:t xml:space="preserve"> </w:t>
      </w:r>
      <w:r>
        <w:t>por</w:t>
      </w:r>
      <w:r>
        <w:rPr>
          <w:spacing w:val="-1"/>
        </w:rPr>
        <w:t xml:space="preserve"> </w:t>
      </w:r>
      <w:r>
        <w:t>parte</w:t>
      </w:r>
      <w:r>
        <w:rPr>
          <w:spacing w:val="-1"/>
        </w:rPr>
        <w:t xml:space="preserve"> </w:t>
      </w:r>
      <w:r>
        <w:t>del</w:t>
      </w:r>
      <w:r>
        <w:rPr>
          <w:spacing w:val="-1"/>
        </w:rPr>
        <w:t xml:space="preserve"> </w:t>
      </w:r>
      <w:r>
        <w:t xml:space="preserve">grupo ilegal armado </w:t>
      </w:r>
      <w:r>
        <w:rPr>
          <w:i/>
        </w:rPr>
        <w:t xml:space="preserve">fue total </w:t>
      </w:r>
      <w:r>
        <w:t>en los departamentos de Córdoba y Sucre</w:t>
      </w:r>
      <w:r w:rsidR="00021EE6">
        <w:rPr>
          <w:rStyle w:val="Refdenotaalpie"/>
        </w:rPr>
        <w:footnoteReference w:id="444"/>
      </w:r>
      <w:r>
        <w:t>.</w:t>
      </w:r>
    </w:p>
    <w:p w:rsidR="003804AC" w:rsidRDefault="00AF18A5" w:rsidP="00021EE6">
      <w:bookmarkStart w:id="600" w:name="_bookmark496"/>
      <w:bookmarkStart w:id="601" w:name="_bookmark497"/>
      <w:bookmarkStart w:id="602" w:name="_bookmark498"/>
      <w:bookmarkEnd w:id="600"/>
      <w:bookmarkEnd w:id="601"/>
      <w:bookmarkEnd w:id="602"/>
      <w:r>
        <w:t>Esto</w:t>
      </w:r>
      <w:r>
        <w:rPr>
          <w:spacing w:val="-15"/>
        </w:rPr>
        <w:t xml:space="preserve"> </w:t>
      </w:r>
      <w:r>
        <w:t>implicó</w:t>
      </w:r>
      <w:r>
        <w:rPr>
          <w:spacing w:val="-15"/>
        </w:rPr>
        <w:t xml:space="preserve"> </w:t>
      </w:r>
      <w:r>
        <w:t>también</w:t>
      </w:r>
      <w:r>
        <w:rPr>
          <w:spacing w:val="-15"/>
        </w:rPr>
        <w:t xml:space="preserve"> </w:t>
      </w:r>
      <w:r>
        <w:t>la</w:t>
      </w:r>
      <w:r>
        <w:rPr>
          <w:spacing w:val="-15"/>
        </w:rPr>
        <w:t xml:space="preserve"> </w:t>
      </w:r>
      <w:r>
        <w:t>infiltración</w:t>
      </w:r>
      <w:r>
        <w:rPr>
          <w:spacing w:val="-15"/>
        </w:rPr>
        <w:t xml:space="preserve"> </w:t>
      </w:r>
      <w:r>
        <w:t>y</w:t>
      </w:r>
      <w:r>
        <w:rPr>
          <w:spacing w:val="-15"/>
        </w:rPr>
        <w:t xml:space="preserve"> </w:t>
      </w:r>
      <w:r>
        <w:t>penetración</w:t>
      </w:r>
      <w:r>
        <w:rPr>
          <w:spacing w:val="-15"/>
        </w:rPr>
        <w:t xml:space="preserve"> </w:t>
      </w:r>
      <w:r>
        <w:t>a</w:t>
      </w:r>
      <w:r>
        <w:rPr>
          <w:spacing w:val="-15"/>
        </w:rPr>
        <w:t xml:space="preserve"> </w:t>
      </w:r>
      <w:r>
        <w:t>instituciones</w:t>
      </w:r>
      <w:r>
        <w:rPr>
          <w:spacing w:val="-15"/>
        </w:rPr>
        <w:t xml:space="preserve"> </w:t>
      </w:r>
      <w:r>
        <w:t>públicas,</w:t>
      </w:r>
      <w:r>
        <w:rPr>
          <w:spacing w:val="-15"/>
        </w:rPr>
        <w:t xml:space="preserve"> </w:t>
      </w:r>
      <w:r>
        <w:t>incluyendo</w:t>
      </w:r>
      <w:r>
        <w:rPr>
          <w:spacing w:val="-15"/>
        </w:rPr>
        <w:t xml:space="preserve"> </w:t>
      </w:r>
      <w:r>
        <w:t>el</w:t>
      </w:r>
      <w:r>
        <w:rPr>
          <w:spacing w:val="-15"/>
        </w:rPr>
        <w:t xml:space="preserve"> </w:t>
      </w:r>
      <w:r>
        <w:t>robo de recursos públicos para financiar grupos armados, empresas o redes de colaboración. Así sucedió con entidades de salud –como múltiples hospitales del Caribe</w:t>
      </w:r>
      <w:r w:rsidR="00021EE6">
        <w:rPr>
          <w:rStyle w:val="Refdenotaalpie"/>
        </w:rPr>
        <w:footnoteReference w:id="445"/>
      </w:r>
      <w:r>
        <w:t xml:space="preserve"> o la EPS indígena </w:t>
      </w:r>
      <w:proofErr w:type="spellStart"/>
      <w:r>
        <w:t>Manexka</w:t>
      </w:r>
      <w:proofErr w:type="spellEnd"/>
      <w:r w:rsidR="00021EE6">
        <w:rPr>
          <w:rStyle w:val="Refdenotaalpie"/>
        </w:rPr>
        <w:footnoteReference w:id="446"/>
      </w:r>
      <w:r>
        <w:t xml:space="preserve">–, con diferentes ONG –como </w:t>
      </w:r>
      <w:proofErr w:type="spellStart"/>
      <w:r>
        <w:t>Asocomún</w:t>
      </w:r>
      <w:proofErr w:type="spellEnd"/>
      <w:r w:rsidR="00021EE6">
        <w:rPr>
          <w:rStyle w:val="Refdenotaalpie"/>
        </w:rPr>
        <w:footnoteReference w:id="447"/>
      </w:r>
      <w:r>
        <w:t>–, con instituciones educativas – como la Universidad de Córdoba</w:t>
      </w:r>
      <w:r w:rsidR="00021EE6">
        <w:rPr>
          <w:rStyle w:val="Refdenotaalpie"/>
        </w:rPr>
        <w:footnoteReference w:id="448"/>
      </w:r>
      <w:r>
        <w:t>– y, en general, con un gran abanico de estamentos públicos, como secretarías municipales y departamentales de Hacienda, Educación, Salud y contratos</w:t>
      </w:r>
      <w:r>
        <w:rPr>
          <w:spacing w:val="-2"/>
        </w:rPr>
        <w:t xml:space="preserve"> </w:t>
      </w:r>
      <w:r>
        <w:t>de</w:t>
      </w:r>
      <w:r>
        <w:rPr>
          <w:spacing w:val="-3"/>
        </w:rPr>
        <w:t xml:space="preserve"> </w:t>
      </w:r>
      <w:r>
        <w:t>infraestructura,</w:t>
      </w:r>
      <w:r>
        <w:rPr>
          <w:spacing w:val="-2"/>
        </w:rPr>
        <w:t xml:space="preserve"> </w:t>
      </w:r>
      <w:r>
        <w:t>entre</w:t>
      </w:r>
      <w:r>
        <w:rPr>
          <w:spacing w:val="-3"/>
        </w:rPr>
        <w:t xml:space="preserve"> </w:t>
      </w:r>
      <w:r>
        <w:t>otros.</w:t>
      </w:r>
      <w:r>
        <w:rPr>
          <w:spacing w:val="-2"/>
        </w:rPr>
        <w:t xml:space="preserve"> </w:t>
      </w:r>
      <w:r>
        <w:t>A</w:t>
      </w:r>
      <w:r>
        <w:rPr>
          <w:spacing w:val="-3"/>
        </w:rPr>
        <w:t xml:space="preserve"> </w:t>
      </w:r>
      <w:r>
        <w:t>la</w:t>
      </w:r>
      <w:r>
        <w:rPr>
          <w:spacing w:val="-3"/>
        </w:rPr>
        <w:t xml:space="preserve"> </w:t>
      </w:r>
      <w:r>
        <w:t>vez,</w:t>
      </w:r>
      <w:r>
        <w:rPr>
          <w:spacing w:val="-3"/>
        </w:rPr>
        <w:t xml:space="preserve"> </w:t>
      </w:r>
      <w:r>
        <w:t>se</w:t>
      </w:r>
      <w:r>
        <w:rPr>
          <w:spacing w:val="-3"/>
        </w:rPr>
        <w:t xml:space="preserve"> </w:t>
      </w:r>
      <w:r>
        <w:t>cometieron</w:t>
      </w:r>
      <w:r>
        <w:rPr>
          <w:spacing w:val="-2"/>
        </w:rPr>
        <w:t xml:space="preserve"> </w:t>
      </w:r>
      <w:r>
        <w:t>asesinatos</w:t>
      </w:r>
      <w:r>
        <w:rPr>
          <w:spacing w:val="-2"/>
        </w:rPr>
        <w:t xml:space="preserve"> </w:t>
      </w:r>
      <w:r>
        <w:t>y</w:t>
      </w:r>
      <w:r>
        <w:rPr>
          <w:spacing w:val="-2"/>
        </w:rPr>
        <w:t xml:space="preserve"> </w:t>
      </w:r>
      <w:r>
        <w:t xml:space="preserve">desapariciones contra quienes denunciaban estos hechos y fueron </w:t>
      </w:r>
      <w:r>
        <w:lastRenderedPageBreak/>
        <w:t xml:space="preserve">estigmatizados como parte de la </w:t>
      </w:r>
      <w:r>
        <w:rPr>
          <w:spacing w:val="-2"/>
        </w:rPr>
        <w:t>subversión.</w:t>
      </w:r>
    </w:p>
    <w:p w:rsidR="003804AC" w:rsidRDefault="00AF18A5" w:rsidP="00021EE6">
      <w:r>
        <w:t>La</w:t>
      </w:r>
      <w:r>
        <w:rPr>
          <w:spacing w:val="-1"/>
        </w:rPr>
        <w:t xml:space="preserve"> </w:t>
      </w:r>
      <w:r>
        <w:t>cooptación</w:t>
      </w:r>
      <w:r>
        <w:rPr>
          <w:spacing w:val="-1"/>
        </w:rPr>
        <w:t xml:space="preserve"> </w:t>
      </w:r>
      <w:r>
        <w:t>e</w:t>
      </w:r>
      <w:r>
        <w:rPr>
          <w:spacing w:val="-2"/>
        </w:rPr>
        <w:t xml:space="preserve"> </w:t>
      </w:r>
      <w:r>
        <w:t>infiltración</w:t>
      </w:r>
      <w:r>
        <w:rPr>
          <w:spacing w:val="-1"/>
        </w:rPr>
        <w:t xml:space="preserve"> </w:t>
      </w:r>
      <w:r>
        <w:t>de</w:t>
      </w:r>
      <w:r>
        <w:rPr>
          <w:spacing w:val="-1"/>
        </w:rPr>
        <w:t xml:space="preserve"> </w:t>
      </w:r>
      <w:r>
        <w:t>las</w:t>
      </w:r>
      <w:r>
        <w:rPr>
          <w:spacing w:val="-2"/>
        </w:rPr>
        <w:t xml:space="preserve"> </w:t>
      </w:r>
      <w:r>
        <w:t>instituciones</w:t>
      </w:r>
      <w:r>
        <w:rPr>
          <w:spacing w:val="-2"/>
        </w:rPr>
        <w:t xml:space="preserve"> </w:t>
      </w:r>
      <w:r>
        <w:t>no</w:t>
      </w:r>
      <w:r>
        <w:rPr>
          <w:spacing w:val="-1"/>
        </w:rPr>
        <w:t xml:space="preserve"> </w:t>
      </w:r>
      <w:r>
        <w:t>fue</w:t>
      </w:r>
      <w:r>
        <w:rPr>
          <w:spacing w:val="-1"/>
        </w:rPr>
        <w:t xml:space="preserve"> </w:t>
      </w:r>
      <w:r>
        <w:t>la</w:t>
      </w:r>
      <w:r>
        <w:rPr>
          <w:spacing w:val="-2"/>
        </w:rPr>
        <w:t xml:space="preserve"> </w:t>
      </w:r>
      <w:r>
        <w:t>única</w:t>
      </w:r>
      <w:r>
        <w:rPr>
          <w:spacing w:val="-1"/>
        </w:rPr>
        <w:t xml:space="preserve"> </w:t>
      </w:r>
      <w:r>
        <w:t>estrategia</w:t>
      </w:r>
      <w:r>
        <w:rPr>
          <w:spacing w:val="-2"/>
        </w:rPr>
        <w:t xml:space="preserve"> </w:t>
      </w:r>
      <w:r>
        <w:t>por</w:t>
      </w:r>
      <w:r>
        <w:rPr>
          <w:spacing w:val="-1"/>
        </w:rPr>
        <w:t xml:space="preserve"> </w:t>
      </w:r>
      <w:r>
        <w:t>parte</w:t>
      </w:r>
      <w:r>
        <w:rPr>
          <w:spacing w:val="-1"/>
        </w:rPr>
        <w:t xml:space="preserve"> </w:t>
      </w:r>
      <w:r>
        <w:t>de</w:t>
      </w:r>
      <w:r>
        <w:rPr>
          <w:spacing w:val="-2"/>
        </w:rPr>
        <w:t xml:space="preserve"> </w:t>
      </w:r>
      <w:r>
        <w:t>las AUC. A finales de los años noventa comenzaron a diseñar proyectos políticos que ya no pasaban por los partidos más tradicionales, sino por la consolidación de lo que percibían como</w:t>
      </w:r>
      <w:r>
        <w:rPr>
          <w:spacing w:val="-10"/>
        </w:rPr>
        <w:t xml:space="preserve"> </w:t>
      </w:r>
      <w:r>
        <w:t>un</w:t>
      </w:r>
      <w:r>
        <w:rPr>
          <w:spacing w:val="-10"/>
        </w:rPr>
        <w:t xml:space="preserve"> </w:t>
      </w:r>
      <w:r>
        <w:t>«acumulado</w:t>
      </w:r>
      <w:r>
        <w:rPr>
          <w:spacing w:val="-11"/>
        </w:rPr>
        <w:t xml:space="preserve"> </w:t>
      </w:r>
      <w:r>
        <w:t>solidario</w:t>
      </w:r>
      <w:r>
        <w:rPr>
          <w:spacing w:val="-10"/>
        </w:rPr>
        <w:t xml:space="preserve"> </w:t>
      </w:r>
      <w:r>
        <w:t>comunitario»</w:t>
      </w:r>
      <w:r w:rsidR="00021EE6">
        <w:rPr>
          <w:rStyle w:val="Refdenotaalpie"/>
        </w:rPr>
        <w:footnoteReference w:id="449"/>
      </w:r>
      <w:r>
        <w:rPr>
          <w:spacing w:val="-9"/>
        </w:rPr>
        <w:t xml:space="preserve"> </w:t>
      </w:r>
      <w:r>
        <w:t>en</w:t>
      </w:r>
      <w:r>
        <w:rPr>
          <w:spacing w:val="-11"/>
        </w:rPr>
        <w:t xml:space="preserve"> </w:t>
      </w:r>
      <w:r>
        <w:t>las</w:t>
      </w:r>
      <w:r>
        <w:rPr>
          <w:spacing w:val="-9"/>
        </w:rPr>
        <w:t xml:space="preserve"> </w:t>
      </w:r>
      <w:r>
        <w:t>regiones</w:t>
      </w:r>
      <w:r>
        <w:rPr>
          <w:spacing w:val="-11"/>
        </w:rPr>
        <w:t xml:space="preserve"> </w:t>
      </w:r>
      <w:r>
        <w:t>donde</w:t>
      </w:r>
      <w:r>
        <w:rPr>
          <w:spacing w:val="-9"/>
        </w:rPr>
        <w:t xml:space="preserve"> </w:t>
      </w:r>
      <w:r>
        <w:t>tenían</w:t>
      </w:r>
      <w:r>
        <w:rPr>
          <w:spacing w:val="-11"/>
        </w:rPr>
        <w:t xml:space="preserve"> </w:t>
      </w:r>
      <w:r>
        <w:t>actividades</w:t>
      </w:r>
      <w:r>
        <w:rPr>
          <w:spacing w:val="-11"/>
        </w:rPr>
        <w:t xml:space="preserve"> </w:t>
      </w:r>
      <w:r>
        <w:t xml:space="preserve">más allá de las militares. Así nacieron proyectos como «Por una provincia unida», del Bloque Norte; «Por una Urabá Unida, Grande y en Paz», del Bloque </w:t>
      </w:r>
      <w:proofErr w:type="spellStart"/>
      <w:r>
        <w:t>Élmer</w:t>
      </w:r>
      <w:proofErr w:type="spellEnd"/>
      <w:r>
        <w:t xml:space="preserve"> Cárdenas; y el Movimiento Alternativo Regional (MAR) o Clamor Campesino Caribe, del Bloque Central Bolívar. Dentro de este giro hacia una actividad electoral propia, que no dependiera directamente</w:t>
      </w:r>
      <w:r>
        <w:rPr>
          <w:spacing w:val="35"/>
        </w:rPr>
        <w:t xml:space="preserve"> </w:t>
      </w:r>
      <w:r>
        <w:t>de</w:t>
      </w:r>
      <w:r>
        <w:rPr>
          <w:spacing w:val="35"/>
        </w:rPr>
        <w:t xml:space="preserve"> </w:t>
      </w:r>
      <w:r>
        <w:t>sus</w:t>
      </w:r>
      <w:r>
        <w:rPr>
          <w:spacing w:val="35"/>
        </w:rPr>
        <w:t xml:space="preserve"> </w:t>
      </w:r>
      <w:r>
        <w:t>aliados,</w:t>
      </w:r>
      <w:r>
        <w:rPr>
          <w:spacing w:val="34"/>
        </w:rPr>
        <w:t xml:space="preserve"> </w:t>
      </w:r>
      <w:r>
        <w:t>se</w:t>
      </w:r>
      <w:r>
        <w:rPr>
          <w:spacing w:val="35"/>
        </w:rPr>
        <w:t xml:space="preserve"> </w:t>
      </w:r>
      <w:r>
        <w:t>hizo</w:t>
      </w:r>
      <w:r>
        <w:rPr>
          <w:spacing w:val="35"/>
        </w:rPr>
        <w:t xml:space="preserve"> </w:t>
      </w:r>
      <w:r>
        <w:t>toda</w:t>
      </w:r>
      <w:r>
        <w:rPr>
          <w:spacing w:val="35"/>
        </w:rPr>
        <w:t xml:space="preserve"> </w:t>
      </w:r>
      <w:r>
        <w:t>una</w:t>
      </w:r>
      <w:r>
        <w:rPr>
          <w:spacing w:val="36"/>
        </w:rPr>
        <w:t xml:space="preserve"> </w:t>
      </w:r>
      <w:r>
        <w:t>serie</w:t>
      </w:r>
      <w:r>
        <w:rPr>
          <w:spacing w:val="35"/>
        </w:rPr>
        <w:t xml:space="preserve"> </w:t>
      </w:r>
      <w:r>
        <w:t>de</w:t>
      </w:r>
      <w:r>
        <w:rPr>
          <w:spacing w:val="35"/>
        </w:rPr>
        <w:t xml:space="preserve"> </w:t>
      </w:r>
      <w:r>
        <w:t>reuniones</w:t>
      </w:r>
      <w:r>
        <w:rPr>
          <w:spacing w:val="35"/>
        </w:rPr>
        <w:t xml:space="preserve"> </w:t>
      </w:r>
      <w:r>
        <w:t>y</w:t>
      </w:r>
      <w:r>
        <w:rPr>
          <w:spacing w:val="35"/>
        </w:rPr>
        <w:t xml:space="preserve"> </w:t>
      </w:r>
      <w:r>
        <w:t>se</w:t>
      </w:r>
      <w:r>
        <w:rPr>
          <w:spacing w:val="35"/>
        </w:rPr>
        <w:t xml:space="preserve"> </w:t>
      </w:r>
      <w:r>
        <w:t>firmaron</w:t>
      </w:r>
      <w:r>
        <w:rPr>
          <w:spacing w:val="35"/>
        </w:rPr>
        <w:t xml:space="preserve"> </w:t>
      </w:r>
      <w:r>
        <w:t>pactos</w:t>
      </w:r>
      <w:r>
        <w:rPr>
          <w:spacing w:val="36"/>
        </w:rPr>
        <w:t xml:space="preserve"> </w:t>
      </w:r>
      <w:r>
        <w:rPr>
          <w:spacing w:val="-12"/>
        </w:rPr>
        <w:t>y</w:t>
      </w:r>
      <w:bookmarkStart w:id="603" w:name="_bookmark499"/>
      <w:bookmarkStart w:id="604" w:name="_bookmark500"/>
      <w:bookmarkStart w:id="605" w:name="_bookmark501"/>
      <w:bookmarkStart w:id="606" w:name="_bookmark502"/>
      <w:bookmarkStart w:id="607" w:name="_bookmark503"/>
      <w:bookmarkEnd w:id="603"/>
      <w:bookmarkEnd w:id="604"/>
      <w:bookmarkEnd w:id="605"/>
      <w:bookmarkEnd w:id="606"/>
      <w:bookmarkEnd w:id="607"/>
      <w:r w:rsidR="00021EE6">
        <w:rPr>
          <w:spacing w:val="-12"/>
        </w:rPr>
        <w:t xml:space="preserve"> </w:t>
      </w:r>
      <w:r>
        <w:t>acuerdos regionales con políticos y candidatos, en los que tuvieron participación empresarios, poderes locales y narcotraficantes.</w:t>
      </w:r>
    </w:p>
    <w:p w:rsidR="003804AC" w:rsidRDefault="00AF18A5" w:rsidP="00021EE6">
      <w:r>
        <w:t>Entre</w:t>
      </w:r>
      <w:r>
        <w:rPr>
          <w:spacing w:val="-14"/>
        </w:rPr>
        <w:t xml:space="preserve"> </w:t>
      </w:r>
      <w:r>
        <w:t>los</w:t>
      </w:r>
      <w:r>
        <w:rPr>
          <w:spacing w:val="-14"/>
        </w:rPr>
        <w:t xml:space="preserve"> </w:t>
      </w:r>
      <w:r>
        <w:t>pactos,</w:t>
      </w:r>
      <w:r>
        <w:rPr>
          <w:spacing w:val="-14"/>
        </w:rPr>
        <w:t xml:space="preserve"> </w:t>
      </w:r>
      <w:r>
        <w:t>quizá</w:t>
      </w:r>
      <w:r>
        <w:rPr>
          <w:spacing w:val="-14"/>
        </w:rPr>
        <w:t xml:space="preserve"> </w:t>
      </w:r>
      <w:r>
        <w:t>el</w:t>
      </w:r>
      <w:r>
        <w:rPr>
          <w:spacing w:val="-14"/>
        </w:rPr>
        <w:t xml:space="preserve"> </w:t>
      </w:r>
      <w:r>
        <w:t>más</w:t>
      </w:r>
      <w:r>
        <w:rPr>
          <w:spacing w:val="-15"/>
        </w:rPr>
        <w:t xml:space="preserve"> </w:t>
      </w:r>
      <w:r>
        <w:t>emblemático</w:t>
      </w:r>
      <w:r>
        <w:rPr>
          <w:spacing w:val="-14"/>
        </w:rPr>
        <w:t xml:space="preserve"> </w:t>
      </w:r>
      <w:r>
        <w:t>ocurrió</w:t>
      </w:r>
      <w:r>
        <w:rPr>
          <w:spacing w:val="-14"/>
        </w:rPr>
        <w:t xml:space="preserve"> </w:t>
      </w:r>
      <w:r>
        <w:t>en</w:t>
      </w:r>
      <w:r>
        <w:rPr>
          <w:spacing w:val="-14"/>
        </w:rPr>
        <w:t xml:space="preserve"> </w:t>
      </w:r>
      <w:r>
        <w:t>junio</w:t>
      </w:r>
      <w:r>
        <w:rPr>
          <w:spacing w:val="-14"/>
        </w:rPr>
        <w:t xml:space="preserve"> </w:t>
      </w:r>
      <w:r>
        <w:t>del</w:t>
      </w:r>
      <w:r>
        <w:rPr>
          <w:spacing w:val="-14"/>
        </w:rPr>
        <w:t xml:space="preserve"> </w:t>
      </w:r>
      <w:r>
        <w:t>2001</w:t>
      </w:r>
      <w:r>
        <w:rPr>
          <w:spacing w:val="-14"/>
        </w:rPr>
        <w:t xml:space="preserve"> </w:t>
      </w:r>
      <w:r>
        <w:t>y</w:t>
      </w:r>
      <w:r>
        <w:rPr>
          <w:spacing w:val="-14"/>
        </w:rPr>
        <w:t xml:space="preserve"> </w:t>
      </w:r>
      <w:r>
        <w:t>fue</w:t>
      </w:r>
      <w:r>
        <w:rPr>
          <w:spacing w:val="-15"/>
        </w:rPr>
        <w:t xml:space="preserve"> </w:t>
      </w:r>
      <w:r>
        <w:t>conocido</w:t>
      </w:r>
      <w:r>
        <w:rPr>
          <w:spacing w:val="-14"/>
        </w:rPr>
        <w:t xml:space="preserve"> </w:t>
      </w:r>
      <w:r>
        <w:t xml:space="preserve">como </w:t>
      </w:r>
      <w:proofErr w:type="spellStart"/>
      <w:r>
        <w:t>el</w:t>
      </w:r>
      <w:proofErr w:type="spellEnd"/>
      <w:r>
        <w:t xml:space="preserve"> (primer)</w:t>
      </w:r>
      <w:r>
        <w:rPr>
          <w:spacing w:val="-1"/>
        </w:rPr>
        <w:t xml:space="preserve"> </w:t>
      </w:r>
      <w:r>
        <w:t>Pacto de Ralito</w:t>
      </w:r>
      <w:r w:rsidR="008F0261">
        <w:rPr>
          <w:rStyle w:val="Refdenotaalpie"/>
        </w:rPr>
        <w:footnoteReference w:id="450"/>
      </w:r>
      <w:r>
        <w:t>. Los firmantes de</w:t>
      </w:r>
      <w:r>
        <w:rPr>
          <w:spacing w:val="-1"/>
        </w:rPr>
        <w:t xml:space="preserve"> </w:t>
      </w:r>
      <w:r>
        <w:t>este</w:t>
      </w:r>
      <w:r>
        <w:rPr>
          <w:spacing w:val="-1"/>
        </w:rPr>
        <w:t xml:space="preserve"> </w:t>
      </w:r>
      <w:r>
        <w:t>documento</w:t>
      </w:r>
      <w:r>
        <w:rPr>
          <w:spacing w:val="-1"/>
        </w:rPr>
        <w:t xml:space="preserve"> </w:t>
      </w:r>
      <w:r>
        <w:t>se comprometen a defender la independencia nacional, el derecho de propiedad y la unidad de la nación, así como otros derechos que citan de la Constitución de 1991. En los fragmentos más sonados está el llamado a la «irrenunciable tarea de refundar nuestra patria» y «firmar un nuevo contrato social».</w:t>
      </w:r>
      <w:r>
        <w:rPr>
          <w:spacing w:val="-1"/>
        </w:rPr>
        <w:t xml:space="preserve"> </w:t>
      </w:r>
      <w:r>
        <w:t>Sin</w:t>
      </w:r>
      <w:r>
        <w:rPr>
          <w:spacing w:val="-1"/>
        </w:rPr>
        <w:t xml:space="preserve"> </w:t>
      </w:r>
      <w:r>
        <w:t>embargo,</w:t>
      </w:r>
      <w:r>
        <w:rPr>
          <w:spacing w:val="-1"/>
        </w:rPr>
        <w:t xml:space="preserve"> </w:t>
      </w:r>
      <w:r>
        <w:t>hubo</w:t>
      </w:r>
      <w:r>
        <w:rPr>
          <w:spacing w:val="-1"/>
        </w:rPr>
        <w:t xml:space="preserve"> </w:t>
      </w:r>
      <w:r>
        <w:t>más</w:t>
      </w:r>
      <w:r>
        <w:rPr>
          <w:spacing w:val="-1"/>
        </w:rPr>
        <w:t xml:space="preserve"> </w:t>
      </w:r>
      <w:r>
        <w:t>pactos</w:t>
      </w:r>
      <w:r>
        <w:rPr>
          <w:spacing w:val="-1"/>
        </w:rPr>
        <w:t xml:space="preserve"> </w:t>
      </w:r>
      <w:r>
        <w:t>que</w:t>
      </w:r>
      <w:r>
        <w:rPr>
          <w:spacing w:val="-1"/>
        </w:rPr>
        <w:t xml:space="preserve"> </w:t>
      </w:r>
      <w:r>
        <w:t>no</w:t>
      </w:r>
      <w:r>
        <w:rPr>
          <w:spacing w:val="-1"/>
        </w:rPr>
        <w:t xml:space="preserve"> </w:t>
      </w:r>
      <w:r>
        <w:t>recibieron</w:t>
      </w:r>
      <w:r>
        <w:rPr>
          <w:spacing w:val="-1"/>
        </w:rPr>
        <w:t xml:space="preserve"> </w:t>
      </w:r>
      <w:r>
        <w:t>el</w:t>
      </w:r>
      <w:r>
        <w:rPr>
          <w:spacing w:val="-2"/>
        </w:rPr>
        <w:t xml:space="preserve"> </w:t>
      </w:r>
      <w:r>
        <w:t>foco</w:t>
      </w:r>
      <w:r>
        <w:rPr>
          <w:spacing w:val="-1"/>
        </w:rPr>
        <w:t xml:space="preserve"> </w:t>
      </w:r>
      <w:r>
        <w:t>mediático:</w:t>
      </w:r>
      <w:r>
        <w:rPr>
          <w:spacing w:val="-1"/>
        </w:rPr>
        <w:t xml:space="preserve"> </w:t>
      </w:r>
      <w:r>
        <w:t>el</w:t>
      </w:r>
      <w:r>
        <w:rPr>
          <w:spacing w:val="-1"/>
        </w:rPr>
        <w:t xml:space="preserve"> </w:t>
      </w:r>
      <w:r>
        <w:t>de</w:t>
      </w:r>
      <w:r>
        <w:rPr>
          <w:spacing w:val="-2"/>
        </w:rPr>
        <w:t xml:space="preserve"> </w:t>
      </w:r>
      <w:r>
        <w:t>la</w:t>
      </w:r>
      <w:r>
        <w:rPr>
          <w:spacing w:val="-1"/>
        </w:rPr>
        <w:t xml:space="preserve"> </w:t>
      </w:r>
      <w:r>
        <w:t>reunión de</w:t>
      </w:r>
      <w:r>
        <w:rPr>
          <w:spacing w:val="-1"/>
        </w:rPr>
        <w:t xml:space="preserve"> </w:t>
      </w:r>
      <w:r>
        <w:t>la</w:t>
      </w:r>
      <w:r>
        <w:rPr>
          <w:spacing w:val="-1"/>
        </w:rPr>
        <w:t xml:space="preserve"> </w:t>
      </w:r>
      <w:r>
        <w:t>Finca</w:t>
      </w:r>
      <w:r>
        <w:rPr>
          <w:spacing w:val="-2"/>
        </w:rPr>
        <w:t xml:space="preserve"> </w:t>
      </w:r>
      <w:r>
        <w:t>Las</w:t>
      </w:r>
      <w:r>
        <w:rPr>
          <w:spacing w:val="-1"/>
        </w:rPr>
        <w:t xml:space="preserve"> </w:t>
      </w:r>
      <w:r>
        <w:t>Margaritas,</w:t>
      </w:r>
      <w:r>
        <w:rPr>
          <w:spacing w:val="-1"/>
        </w:rPr>
        <w:t xml:space="preserve"> </w:t>
      </w:r>
      <w:r>
        <w:t>el</w:t>
      </w:r>
      <w:r>
        <w:rPr>
          <w:spacing w:val="-1"/>
        </w:rPr>
        <w:t xml:space="preserve"> </w:t>
      </w:r>
      <w:r>
        <w:t>de</w:t>
      </w:r>
      <w:r>
        <w:rPr>
          <w:spacing w:val="-1"/>
        </w:rPr>
        <w:t xml:space="preserve"> </w:t>
      </w:r>
      <w:r>
        <w:t>la</w:t>
      </w:r>
      <w:r>
        <w:rPr>
          <w:spacing w:val="-2"/>
        </w:rPr>
        <w:t xml:space="preserve"> </w:t>
      </w:r>
      <w:r>
        <w:t>cumbre</w:t>
      </w:r>
      <w:r>
        <w:rPr>
          <w:spacing w:val="-1"/>
        </w:rPr>
        <w:t xml:space="preserve"> </w:t>
      </w:r>
      <w:r>
        <w:t>de</w:t>
      </w:r>
      <w:r>
        <w:rPr>
          <w:spacing w:val="-1"/>
        </w:rPr>
        <w:t xml:space="preserve"> </w:t>
      </w:r>
      <w:r>
        <w:t>Caramelo,</w:t>
      </w:r>
      <w:r>
        <w:rPr>
          <w:spacing w:val="-1"/>
        </w:rPr>
        <w:t xml:space="preserve"> </w:t>
      </w:r>
      <w:r>
        <w:t>el</w:t>
      </w:r>
      <w:r>
        <w:rPr>
          <w:spacing w:val="-2"/>
        </w:rPr>
        <w:t xml:space="preserve"> </w:t>
      </w:r>
      <w:r>
        <w:t>de</w:t>
      </w:r>
      <w:r>
        <w:rPr>
          <w:spacing w:val="-1"/>
        </w:rPr>
        <w:t xml:space="preserve"> </w:t>
      </w:r>
      <w:proofErr w:type="spellStart"/>
      <w:r>
        <w:t>Chivolo</w:t>
      </w:r>
      <w:proofErr w:type="spellEnd"/>
      <w:r>
        <w:t>,</w:t>
      </w:r>
      <w:r>
        <w:rPr>
          <w:spacing w:val="-2"/>
        </w:rPr>
        <w:t xml:space="preserve"> </w:t>
      </w:r>
      <w:r>
        <w:t>el</w:t>
      </w:r>
      <w:r>
        <w:rPr>
          <w:spacing w:val="-1"/>
        </w:rPr>
        <w:t xml:space="preserve"> </w:t>
      </w:r>
      <w:r>
        <w:t>de</w:t>
      </w:r>
      <w:r>
        <w:rPr>
          <w:spacing w:val="-1"/>
        </w:rPr>
        <w:t xml:space="preserve"> </w:t>
      </w:r>
      <w:r>
        <w:t>Granadazo,</w:t>
      </w:r>
      <w:r>
        <w:rPr>
          <w:spacing w:val="-1"/>
        </w:rPr>
        <w:t xml:space="preserve"> </w:t>
      </w:r>
      <w:r>
        <w:t>el de El Cañito, el de San</w:t>
      </w:r>
      <w:r>
        <w:rPr>
          <w:spacing w:val="-1"/>
        </w:rPr>
        <w:t xml:space="preserve"> </w:t>
      </w:r>
      <w:r>
        <w:t xml:space="preserve">Ángel, el de El Difícil, el de </w:t>
      </w:r>
      <w:r>
        <w:lastRenderedPageBreak/>
        <w:t>Granada, el de Puerto Berrío, el</w:t>
      </w:r>
      <w:r>
        <w:rPr>
          <w:spacing w:val="-1"/>
        </w:rPr>
        <w:t xml:space="preserve"> </w:t>
      </w:r>
      <w:r>
        <w:t>de San Rafael</w:t>
      </w:r>
      <w:r>
        <w:rPr>
          <w:spacing w:val="-15"/>
        </w:rPr>
        <w:t xml:space="preserve"> </w:t>
      </w:r>
      <w:r>
        <w:t>de</w:t>
      </w:r>
      <w:r>
        <w:rPr>
          <w:spacing w:val="-15"/>
        </w:rPr>
        <w:t xml:space="preserve"> </w:t>
      </w:r>
      <w:r>
        <w:t>Lebrija,</w:t>
      </w:r>
      <w:r>
        <w:rPr>
          <w:spacing w:val="-15"/>
        </w:rPr>
        <w:t xml:space="preserve"> </w:t>
      </w:r>
      <w:r>
        <w:t>el</w:t>
      </w:r>
      <w:r>
        <w:rPr>
          <w:spacing w:val="-15"/>
        </w:rPr>
        <w:t xml:space="preserve"> </w:t>
      </w:r>
      <w:r>
        <w:t>de</w:t>
      </w:r>
      <w:r>
        <w:rPr>
          <w:spacing w:val="-15"/>
        </w:rPr>
        <w:t xml:space="preserve"> </w:t>
      </w:r>
      <w:r>
        <w:t>la</w:t>
      </w:r>
      <w:r>
        <w:rPr>
          <w:spacing w:val="-15"/>
        </w:rPr>
        <w:t xml:space="preserve"> </w:t>
      </w:r>
      <w:r>
        <w:t>Lorena,</w:t>
      </w:r>
      <w:r>
        <w:rPr>
          <w:spacing w:val="-15"/>
        </w:rPr>
        <w:t xml:space="preserve"> </w:t>
      </w:r>
      <w:r>
        <w:t>el</w:t>
      </w:r>
      <w:r>
        <w:rPr>
          <w:spacing w:val="-15"/>
        </w:rPr>
        <w:t xml:space="preserve"> </w:t>
      </w:r>
      <w:r>
        <w:t>del</w:t>
      </w:r>
      <w:r>
        <w:rPr>
          <w:spacing w:val="-15"/>
        </w:rPr>
        <w:t xml:space="preserve"> </w:t>
      </w:r>
      <w:r>
        <w:t>Chocó,</w:t>
      </w:r>
      <w:r>
        <w:rPr>
          <w:spacing w:val="-15"/>
        </w:rPr>
        <w:t xml:space="preserve"> </w:t>
      </w:r>
      <w:r>
        <w:t>el</w:t>
      </w:r>
      <w:r>
        <w:rPr>
          <w:spacing w:val="-15"/>
        </w:rPr>
        <w:t xml:space="preserve"> </w:t>
      </w:r>
      <w:r>
        <w:t>de</w:t>
      </w:r>
      <w:r>
        <w:rPr>
          <w:spacing w:val="-15"/>
        </w:rPr>
        <w:t xml:space="preserve"> </w:t>
      </w:r>
      <w:r>
        <w:t>Singapur,</w:t>
      </w:r>
      <w:r>
        <w:rPr>
          <w:spacing w:val="-15"/>
        </w:rPr>
        <w:t xml:space="preserve"> </w:t>
      </w:r>
      <w:r>
        <w:t>el</w:t>
      </w:r>
      <w:r>
        <w:rPr>
          <w:spacing w:val="-15"/>
        </w:rPr>
        <w:t xml:space="preserve"> </w:t>
      </w:r>
      <w:r>
        <w:t>de</w:t>
      </w:r>
      <w:r>
        <w:rPr>
          <w:spacing w:val="-15"/>
        </w:rPr>
        <w:t xml:space="preserve"> </w:t>
      </w:r>
      <w:r>
        <w:t>Urabá,</w:t>
      </w:r>
      <w:r>
        <w:rPr>
          <w:spacing w:val="-15"/>
        </w:rPr>
        <w:t xml:space="preserve"> </w:t>
      </w:r>
      <w:r>
        <w:t>el</w:t>
      </w:r>
      <w:r>
        <w:rPr>
          <w:spacing w:val="-15"/>
        </w:rPr>
        <w:t xml:space="preserve"> </w:t>
      </w:r>
      <w:r>
        <w:t>de</w:t>
      </w:r>
      <w:r>
        <w:rPr>
          <w:spacing w:val="-15"/>
        </w:rPr>
        <w:t xml:space="preserve"> </w:t>
      </w:r>
      <w:r>
        <w:t>El</w:t>
      </w:r>
      <w:r>
        <w:rPr>
          <w:spacing w:val="-15"/>
        </w:rPr>
        <w:t xml:space="preserve"> </w:t>
      </w:r>
      <w:r>
        <w:t xml:space="preserve">Sindicato y el de </w:t>
      </w:r>
      <w:proofErr w:type="spellStart"/>
      <w:r>
        <w:t>Pivijay</w:t>
      </w:r>
      <w:proofErr w:type="spellEnd"/>
      <w:r>
        <w:t>, entre otros que probablemente no tuvieron nombre</w:t>
      </w:r>
      <w:r w:rsidR="005F7A24">
        <w:rPr>
          <w:rStyle w:val="Refdenotaalpie"/>
        </w:rPr>
        <w:footnoteReference w:id="451"/>
      </w:r>
      <w:r>
        <w:t>.</w:t>
      </w:r>
    </w:p>
    <w:p w:rsidR="003804AC" w:rsidRDefault="00AF18A5" w:rsidP="005F7A24">
      <w:r>
        <w:t>Hasta el 2021, el análisis de la Comisión de la Verdad –a partir de 87 sentencias condenatorias hacia senadores, representantes a la Cámara y gobernadores condenados por estas</w:t>
      </w:r>
      <w:r>
        <w:rPr>
          <w:spacing w:val="-9"/>
        </w:rPr>
        <w:t xml:space="preserve"> </w:t>
      </w:r>
      <w:r>
        <w:t>relaciones</w:t>
      </w:r>
      <w:r>
        <w:rPr>
          <w:spacing w:val="-9"/>
        </w:rPr>
        <w:t xml:space="preserve"> </w:t>
      </w:r>
      <w:r>
        <w:t>y</w:t>
      </w:r>
      <w:r>
        <w:rPr>
          <w:spacing w:val="-9"/>
        </w:rPr>
        <w:t xml:space="preserve"> </w:t>
      </w:r>
      <w:r>
        <w:t>por</w:t>
      </w:r>
      <w:r>
        <w:rPr>
          <w:spacing w:val="-9"/>
        </w:rPr>
        <w:t xml:space="preserve"> </w:t>
      </w:r>
      <w:r>
        <w:t>pactos</w:t>
      </w:r>
      <w:r>
        <w:rPr>
          <w:spacing w:val="-9"/>
        </w:rPr>
        <w:t xml:space="preserve"> </w:t>
      </w:r>
      <w:r>
        <w:t>con</w:t>
      </w:r>
      <w:r>
        <w:rPr>
          <w:spacing w:val="-9"/>
        </w:rPr>
        <w:t xml:space="preserve"> </w:t>
      </w:r>
      <w:r>
        <w:t>las</w:t>
      </w:r>
      <w:r>
        <w:rPr>
          <w:spacing w:val="-10"/>
        </w:rPr>
        <w:t xml:space="preserve"> </w:t>
      </w:r>
      <w:r>
        <w:t>AUC–</w:t>
      </w:r>
      <w:r>
        <w:rPr>
          <w:spacing w:val="-8"/>
        </w:rPr>
        <w:t xml:space="preserve"> </w:t>
      </w:r>
      <w:r>
        <w:t>muestra</w:t>
      </w:r>
      <w:r>
        <w:rPr>
          <w:spacing w:val="-9"/>
        </w:rPr>
        <w:t xml:space="preserve"> </w:t>
      </w:r>
      <w:r>
        <w:t>la</w:t>
      </w:r>
      <w:r>
        <w:rPr>
          <w:spacing w:val="-10"/>
        </w:rPr>
        <w:t xml:space="preserve"> </w:t>
      </w:r>
      <w:r>
        <w:t>implicación</w:t>
      </w:r>
      <w:r>
        <w:rPr>
          <w:spacing w:val="-9"/>
        </w:rPr>
        <w:t xml:space="preserve"> </w:t>
      </w:r>
      <w:r>
        <w:t>comprobada</w:t>
      </w:r>
      <w:r>
        <w:rPr>
          <w:spacing w:val="-9"/>
        </w:rPr>
        <w:t xml:space="preserve"> </w:t>
      </w:r>
      <w:r>
        <w:t>y</w:t>
      </w:r>
      <w:r>
        <w:rPr>
          <w:spacing w:val="-9"/>
        </w:rPr>
        <w:t xml:space="preserve"> </w:t>
      </w:r>
      <w:r>
        <w:t>juzgada</w:t>
      </w:r>
      <w:r>
        <w:rPr>
          <w:spacing w:val="-9"/>
        </w:rPr>
        <w:t xml:space="preserve"> </w:t>
      </w:r>
      <w:r>
        <w:t>de 35 senadores y 37 representantes a la Cámara, así como 15 gobernadores en 18 de los 32 departamentos del país</w:t>
      </w:r>
      <w:r w:rsidR="005F7A24">
        <w:rPr>
          <w:rStyle w:val="Refdenotaalpie"/>
        </w:rPr>
        <w:footnoteReference w:id="452"/>
      </w:r>
      <w:r>
        <w:t>. Los senadores, representantes a la Cámara y gobernadores condenados</w:t>
      </w:r>
      <w:r>
        <w:rPr>
          <w:spacing w:val="-7"/>
        </w:rPr>
        <w:t xml:space="preserve"> </w:t>
      </w:r>
      <w:r>
        <w:t>por</w:t>
      </w:r>
      <w:r>
        <w:rPr>
          <w:spacing w:val="-5"/>
        </w:rPr>
        <w:t xml:space="preserve"> </w:t>
      </w:r>
      <w:r>
        <w:t>sus</w:t>
      </w:r>
      <w:r>
        <w:rPr>
          <w:spacing w:val="-6"/>
        </w:rPr>
        <w:t xml:space="preserve"> </w:t>
      </w:r>
      <w:r>
        <w:t>relaciones,</w:t>
      </w:r>
      <w:r>
        <w:rPr>
          <w:spacing w:val="-6"/>
        </w:rPr>
        <w:t xml:space="preserve"> </w:t>
      </w:r>
      <w:r>
        <w:t>acuerdos</w:t>
      </w:r>
      <w:r>
        <w:rPr>
          <w:spacing w:val="-6"/>
        </w:rPr>
        <w:t xml:space="preserve"> </w:t>
      </w:r>
      <w:r>
        <w:t>y</w:t>
      </w:r>
      <w:r>
        <w:rPr>
          <w:spacing w:val="-6"/>
        </w:rPr>
        <w:t xml:space="preserve"> </w:t>
      </w:r>
      <w:r>
        <w:t>alianzas</w:t>
      </w:r>
      <w:r>
        <w:rPr>
          <w:spacing w:val="-6"/>
        </w:rPr>
        <w:t xml:space="preserve"> </w:t>
      </w:r>
      <w:r>
        <w:t>con</w:t>
      </w:r>
      <w:r>
        <w:rPr>
          <w:spacing w:val="-6"/>
        </w:rPr>
        <w:t xml:space="preserve"> </w:t>
      </w:r>
      <w:r>
        <w:t>estructuras</w:t>
      </w:r>
      <w:r>
        <w:rPr>
          <w:spacing w:val="-6"/>
        </w:rPr>
        <w:t xml:space="preserve"> </w:t>
      </w:r>
      <w:r>
        <w:t>paramilitares</w:t>
      </w:r>
      <w:r>
        <w:rPr>
          <w:spacing w:val="-6"/>
        </w:rPr>
        <w:t xml:space="preserve"> </w:t>
      </w:r>
      <w:r>
        <w:t>asociadas</w:t>
      </w:r>
      <w:r>
        <w:rPr>
          <w:spacing w:val="-6"/>
        </w:rPr>
        <w:t xml:space="preserve"> </w:t>
      </w:r>
      <w:r>
        <w:t>a las</w:t>
      </w:r>
      <w:r>
        <w:rPr>
          <w:spacing w:val="28"/>
        </w:rPr>
        <w:t xml:space="preserve"> </w:t>
      </w:r>
      <w:r>
        <w:t>AUC</w:t>
      </w:r>
      <w:r>
        <w:rPr>
          <w:spacing w:val="27"/>
        </w:rPr>
        <w:t xml:space="preserve"> </w:t>
      </w:r>
      <w:r>
        <w:t>pertenecieron</w:t>
      </w:r>
      <w:r>
        <w:rPr>
          <w:spacing w:val="26"/>
        </w:rPr>
        <w:t xml:space="preserve"> </w:t>
      </w:r>
      <w:r>
        <w:t>a</w:t>
      </w:r>
      <w:r>
        <w:rPr>
          <w:spacing w:val="29"/>
        </w:rPr>
        <w:t xml:space="preserve"> </w:t>
      </w:r>
      <w:r>
        <w:t>doce</w:t>
      </w:r>
      <w:r>
        <w:rPr>
          <w:spacing w:val="28"/>
        </w:rPr>
        <w:t xml:space="preserve"> </w:t>
      </w:r>
      <w:r>
        <w:t>partidos</w:t>
      </w:r>
      <w:r>
        <w:rPr>
          <w:spacing w:val="28"/>
        </w:rPr>
        <w:t xml:space="preserve"> </w:t>
      </w:r>
      <w:r>
        <w:t>y</w:t>
      </w:r>
      <w:r>
        <w:rPr>
          <w:spacing w:val="28"/>
        </w:rPr>
        <w:t xml:space="preserve"> </w:t>
      </w:r>
      <w:r>
        <w:t>movimientos</w:t>
      </w:r>
      <w:r>
        <w:rPr>
          <w:spacing w:val="28"/>
        </w:rPr>
        <w:t xml:space="preserve"> </w:t>
      </w:r>
      <w:r>
        <w:t>políticos</w:t>
      </w:r>
      <w:r w:rsidR="005F7A24">
        <w:rPr>
          <w:rStyle w:val="Refdenotaalpie"/>
        </w:rPr>
        <w:footnoteReference w:id="453"/>
      </w:r>
      <w:r>
        <w:t>,</w:t>
      </w:r>
      <w:r>
        <w:rPr>
          <w:spacing w:val="27"/>
        </w:rPr>
        <w:t xml:space="preserve"> </w:t>
      </w:r>
      <w:r>
        <w:t>algunos</w:t>
      </w:r>
      <w:r>
        <w:rPr>
          <w:spacing w:val="29"/>
        </w:rPr>
        <w:t xml:space="preserve"> </w:t>
      </w:r>
      <w:r>
        <w:t>de</w:t>
      </w:r>
      <w:r>
        <w:rPr>
          <w:spacing w:val="28"/>
        </w:rPr>
        <w:t xml:space="preserve"> </w:t>
      </w:r>
      <w:r>
        <w:t>los</w:t>
      </w:r>
      <w:r>
        <w:rPr>
          <w:spacing w:val="26"/>
        </w:rPr>
        <w:t xml:space="preserve"> </w:t>
      </w:r>
      <w:r>
        <w:rPr>
          <w:spacing w:val="-2"/>
        </w:rPr>
        <w:t>cuales</w:t>
      </w:r>
      <w:bookmarkStart w:id="608" w:name="_bookmark504"/>
      <w:bookmarkStart w:id="609" w:name="_bookmark505"/>
      <w:bookmarkStart w:id="610" w:name="_bookmark506"/>
      <w:bookmarkStart w:id="611" w:name="_bookmark507"/>
      <w:bookmarkEnd w:id="608"/>
      <w:bookmarkEnd w:id="609"/>
      <w:bookmarkEnd w:id="610"/>
      <w:bookmarkEnd w:id="611"/>
      <w:r w:rsidR="005F7A24">
        <w:rPr>
          <w:spacing w:val="-2"/>
        </w:rPr>
        <w:t xml:space="preserve"> </w:t>
      </w:r>
      <w:r>
        <w:t>tuvieron un papel protagónico en la persistencia de las alianzas. Estos hechos suponen un cuestionamiento profundo a la responsabilidad del Estado. Nada de esto se produjo en la clandestinidad, sino a plena luz del día y con las instituciones del Estado funcionando con supuesta normalidad.</w:t>
      </w:r>
    </w:p>
    <w:p w:rsidR="003804AC" w:rsidRDefault="00AF18A5" w:rsidP="005F7A24">
      <w:r>
        <w:t xml:space="preserve">Sin embargo, las investigaciones continúan y muchas de ellas han permanecido congeladas debido a los mecanismos de impunidad que la </w:t>
      </w:r>
      <w:r>
        <w:lastRenderedPageBreak/>
        <w:t>misma cooptación institucional garantizó, a través de la infiltración en instituciones responsables de las investigaciones en su momento, como la propia Fiscalía y por medio de la coacción, amenazas y asesinatos de funcionarios</w:t>
      </w:r>
      <w:r>
        <w:rPr>
          <w:spacing w:val="-1"/>
        </w:rPr>
        <w:t xml:space="preserve"> </w:t>
      </w:r>
      <w:r>
        <w:t>valientes</w:t>
      </w:r>
      <w:r>
        <w:rPr>
          <w:spacing w:val="-1"/>
        </w:rPr>
        <w:t xml:space="preserve"> </w:t>
      </w:r>
      <w:r>
        <w:t>comprometidos</w:t>
      </w:r>
      <w:r>
        <w:rPr>
          <w:spacing w:val="-1"/>
        </w:rPr>
        <w:t xml:space="preserve"> </w:t>
      </w:r>
      <w:r>
        <w:t>con</w:t>
      </w:r>
      <w:r>
        <w:rPr>
          <w:spacing w:val="-1"/>
        </w:rPr>
        <w:t xml:space="preserve"> </w:t>
      </w:r>
      <w:r>
        <w:t>el Estado</w:t>
      </w:r>
      <w:r>
        <w:rPr>
          <w:spacing w:val="-1"/>
        </w:rPr>
        <w:t xml:space="preserve"> </w:t>
      </w:r>
      <w:r>
        <w:t>de</w:t>
      </w:r>
      <w:r>
        <w:rPr>
          <w:spacing w:val="-1"/>
        </w:rPr>
        <w:t xml:space="preserve"> </w:t>
      </w:r>
      <w:r>
        <w:t>Derecho</w:t>
      </w:r>
      <w:r>
        <w:rPr>
          <w:spacing w:val="-1"/>
        </w:rPr>
        <w:t xml:space="preserve"> </w:t>
      </w:r>
      <w:r>
        <w:t>quienes</w:t>
      </w:r>
      <w:r>
        <w:rPr>
          <w:spacing w:val="-1"/>
        </w:rPr>
        <w:t xml:space="preserve"> </w:t>
      </w:r>
      <w:r>
        <w:t>sí han</w:t>
      </w:r>
      <w:r>
        <w:rPr>
          <w:spacing w:val="-1"/>
        </w:rPr>
        <w:t xml:space="preserve"> </w:t>
      </w:r>
      <w:r>
        <w:t>emprendido los</w:t>
      </w:r>
      <w:r>
        <w:rPr>
          <w:spacing w:val="-1"/>
        </w:rPr>
        <w:t xml:space="preserve"> </w:t>
      </w:r>
      <w:r>
        <w:t>caminos</w:t>
      </w:r>
      <w:r>
        <w:rPr>
          <w:spacing w:val="-2"/>
        </w:rPr>
        <w:t xml:space="preserve"> </w:t>
      </w:r>
      <w:r>
        <w:t>del</w:t>
      </w:r>
      <w:r>
        <w:rPr>
          <w:spacing w:val="-1"/>
        </w:rPr>
        <w:t xml:space="preserve"> </w:t>
      </w:r>
      <w:r>
        <w:t>esclarecimiento.</w:t>
      </w:r>
      <w:r>
        <w:rPr>
          <w:spacing w:val="-1"/>
        </w:rPr>
        <w:t xml:space="preserve"> </w:t>
      </w:r>
      <w:r>
        <w:t>Según</w:t>
      </w:r>
      <w:r>
        <w:rPr>
          <w:spacing w:val="-1"/>
        </w:rPr>
        <w:t xml:space="preserve"> </w:t>
      </w:r>
      <w:r>
        <w:t>un</w:t>
      </w:r>
      <w:r>
        <w:rPr>
          <w:spacing w:val="-1"/>
        </w:rPr>
        <w:t xml:space="preserve"> </w:t>
      </w:r>
      <w:r>
        <w:t>informe</w:t>
      </w:r>
      <w:r>
        <w:rPr>
          <w:spacing w:val="-1"/>
        </w:rPr>
        <w:t xml:space="preserve"> </w:t>
      </w:r>
      <w:r>
        <w:t>interno</w:t>
      </w:r>
      <w:r>
        <w:rPr>
          <w:spacing w:val="-1"/>
        </w:rPr>
        <w:t xml:space="preserve"> </w:t>
      </w:r>
      <w:r>
        <w:t>de</w:t>
      </w:r>
      <w:r>
        <w:rPr>
          <w:spacing w:val="-1"/>
        </w:rPr>
        <w:t xml:space="preserve"> </w:t>
      </w:r>
      <w:r>
        <w:t>la</w:t>
      </w:r>
      <w:r>
        <w:rPr>
          <w:spacing w:val="-1"/>
        </w:rPr>
        <w:t xml:space="preserve"> </w:t>
      </w:r>
      <w:r>
        <w:t>propia</w:t>
      </w:r>
      <w:r>
        <w:rPr>
          <w:spacing w:val="-1"/>
        </w:rPr>
        <w:t xml:space="preserve"> </w:t>
      </w:r>
      <w:r>
        <w:t>Fiscalía</w:t>
      </w:r>
      <w:r>
        <w:rPr>
          <w:spacing w:val="-1"/>
        </w:rPr>
        <w:t xml:space="preserve"> </w:t>
      </w:r>
      <w:r>
        <w:t>en</w:t>
      </w:r>
      <w:r>
        <w:rPr>
          <w:spacing w:val="-1"/>
        </w:rPr>
        <w:t xml:space="preserve"> </w:t>
      </w:r>
      <w:r>
        <w:t>el</w:t>
      </w:r>
      <w:r>
        <w:rPr>
          <w:spacing w:val="-1"/>
        </w:rPr>
        <w:t xml:space="preserve"> </w:t>
      </w:r>
      <w:r>
        <w:t>marco de su estrategia de paz, en solo uno de los casos de cooptación de su propia institución:</w:t>
      </w:r>
    </w:p>
    <w:p w:rsidR="003804AC" w:rsidRDefault="00AF18A5" w:rsidP="005F7A24">
      <w:r>
        <w:t>En Córdoba se estableció una red de cooperación y corrupción en los organismos de inteligencia y de administración de justicia que allanó el camino para que los crímenes cometidos por los grupos paramilitares se mantuvieran en la impunidad. Esto, se logró mediante la designación de fiscales que no daban impulso a los procesos u obstaculizaban y obstruían</w:t>
      </w:r>
      <w:r>
        <w:rPr>
          <w:spacing w:val="-11"/>
        </w:rPr>
        <w:t xml:space="preserve"> </w:t>
      </w:r>
      <w:r>
        <w:t>su</w:t>
      </w:r>
      <w:r>
        <w:rPr>
          <w:spacing w:val="-12"/>
        </w:rPr>
        <w:t xml:space="preserve"> </w:t>
      </w:r>
      <w:r>
        <w:t>desarrollo;</w:t>
      </w:r>
      <w:r>
        <w:rPr>
          <w:spacing w:val="-12"/>
        </w:rPr>
        <w:t xml:space="preserve"> </w:t>
      </w:r>
      <w:r>
        <w:t>o</w:t>
      </w:r>
      <w:r>
        <w:rPr>
          <w:spacing w:val="-11"/>
        </w:rPr>
        <w:t xml:space="preserve"> </w:t>
      </w:r>
      <w:r>
        <w:t>les</w:t>
      </w:r>
      <w:r>
        <w:rPr>
          <w:spacing w:val="-12"/>
        </w:rPr>
        <w:t xml:space="preserve"> </w:t>
      </w:r>
      <w:r>
        <w:t>entregaban</w:t>
      </w:r>
      <w:r>
        <w:rPr>
          <w:spacing w:val="-11"/>
        </w:rPr>
        <w:t xml:space="preserve"> </w:t>
      </w:r>
      <w:r>
        <w:t>información</w:t>
      </w:r>
      <w:r>
        <w:rPr>
          <w:spacing w:val="-11"/>
        </w:rPr>
        <w:t xml:space="preserve"> </w:t>
      </w:r>
      <w:r>
        <w:t>a</w:t>
      </w:r>
      <w:r>
        <w:rPr>
          <w:spacing w:val="-12"/>
        </w:rPr>
        <w:t xml:space="preserve"> </w:t>
      </w:r>
      <w:r>
        <w:t>los</w:t>
      </w:r>
      <w:r>
        <w:rPr>
          <w:spacing w:val="-12"/>
        </w:rPr>
        <w:t xml:space="preserve"> </w:t>
      </w:r>
      <w:r>
        <w:t>miembros</w:t>
      </w:r>
      <w:r>
        <w:rPr>
          <w:spacing w:val="-11"/>
        </w:rPr>
        <w:t xml:space="preserve"> </w:t>
      </w:r>
      <w:r>
        <w:t>del</w:t>
      </w:r>
      <w:r>
        <w:rPr>
          <w:spacing w:val="-12"/>
        </w:rPr>
        <w:t xml:space="preserve"> </w:t>
      </w:r>
      <w:r>
        <w:t>Bloque</w:t>
      </w:r>
      <w:r>
        <w:rPr>
          <w:spacing w:val="-12"/>
        </w:rPr>
        <w:t xml:space="preserve"> </w:t>
      </w:r>
      <w:r>
        <w:t>Córdoba</w:t>
      </w:r>
      <w:r>
        <w:rPr>
          <w:spacing w:val="-12"/>
        </w:rPr>
        <w:t xml:space="preserve"> </w:t>
      </w:r>
      <w:r>
        <w:t>(…). Así</w:t>
      </w:r>
      <w:r>
        <w:rPr>
          <w:spacing w:val="-13"/>
        </w:rPr>
        <w:t xml:space="preserve"> </w:t>
      </w:r>
      <w:r>
        <w:t>mismo,</w:t>
      </w:r>
      <w:r>
        <w:rPr>
          <w:spacing w:val="-12"/>
        </w:rPr>
        <w:t xml:space="preserve"> </w:t>
      </w:r>
      <w:r>
        <w:t>los</w:t>
      </w:r>
      <w:r>
        <w:rPr>
          <w:spacing w:val="-13"/>
        </w:rPr>
        <w:t xml:space="preserve"> </w:t>
      </w:r>
      <w:r>
        <w:t>miembros</w:t>
      </w:r>
      <w:r>
        <w:rPr>
          <w:spacing w:val="-13"/>
        </w:rPr>
        <w:t xml:space="preserve"> </w:t>
      </w:r>
      <w:r>
        <w:t>del</w:t>
      </w:r>
      <w:r>
        <w:rPr>
          <w:spacing w:val="-13"/>
        </w:rPr>
        <w:t xml:space="preserve"> </w:t>
      </w:r>
      <w:r>
        <w:t>Bloque</w:t>
      </w:r>
      <w:r>
        <w:rPr>
          <w:spacing w:val="-13"/>
        </w:rPr>
        <w:t xml:space="preserve"> </w:t>
      </w:r>
      <w:r>
        <w:t>Córdoba</w:t>
      </w:r>
      <w:r>
        <w:rPr>
          <w:spacing w:val="-13"/>
        </w:rPr>
        <w:t xml:space="preserve"> </w:t>
      </w:r>
      <w:r>
        <w:t>establecieron</w:t>
      </w:r>
      <w:r>
        <w:rPr>
          <w:spacing w:val="-12"/>
        </w:rPr>
        <w:t xml:space="preserve"> </w:t>
      </w:r>
      <w:r>
        <w:t>vínculos</w:t>
      </w:r>
      <w:r>
        <w:rPr>
          <w:spacing w:val="-13"/>
        </w:rPr>
        <w:t xml:space="preserve"> </w:t>
      </w:r>
      <w:r>
        <w:t>con</w:t>
      </w:r>
      <w:r>
        <w:rPr>
          <w:spacing w:val="-12"/>
        </w:rPr>
        <w:t xml:space="preserve"> </w:t>
      </w:r>
      <w:r>
        <w:t>algunos</w:t>
      </w:r>
      <w:r>
        <w:rPr>
          <w:spacing w:val="-14"/>
        </w:rPr>
        <w:t xml:space="preserve"> </w:t>
      </w:r>
      <w:r>
        <w:t>funcionarios de la Defensoría del Pueblo, pues estos [...] se encargaban de asignar los abogados a quienes caían presos, con el fin no solo de tramitarles libertades y representarlos judicialmente sino para asegurar que no se supiera que aquellos eran miembros de las autodefensas</w:t>
      </w:r>
      <w:r w:rsidR="005F7A24">
        <w:rPr>
          <w:rStyle w:val="Refdenotaalpie"/>
        </w:rPr>
        <w:footnoteReference w:id="454"/>
      </w:r>
      <w:r>
        <w:t>.</w:t>
      </w:r>
    </w:p>
    <w:p w:rsidR="003804AC" w:rsidRDefault="00AF18A5" w:rsidP="005F7A24">
      <w:r>
        <w:t>El</w:t>
      </w:r>
      <w:r>
        <w:rPr>
          <w:spacing w:val="-7"/>
        </w:rPr>
        <w:t xml:space="preserve"> </w:t>
      </w:r>
      <w:r>
        <w:t>esclarecimiento</w:t>
      </w:r>
      <w:r>
        <w:rPr>
          <w:spacing w:val="-7"/>
        </w:rPr>
        <w:t xml:space="preserve"> </w:t>
      </w:r>
      <w:r>
        <w:t>de</w:t>
      </w:r>
      <w:r>
        <w:rPr>
          <w:spacing w:val="-7"/>
        </w:rPr>
        <w:t xml:space="preserve"> </w:t>
      </w:r>
      <w:r>
        <w:t>la</w:t>
      </w:r>
      <w:r>
        <w:rPr>
          <w:spacing w:val="-8"/>
        </w:rPr>
        <w:t xml:space="preserve"> </w:t>
      </w:r>
      <w:r>
        <w:t>parte</w:t>
      </w:r>
      <w:r>
        <w:rPr>
          <w:spacing w:val="-7"/>
        </w:rPr>
        <w:t xml:space="preserve"> </w:t>
      </w:r>
      <w:r>
        <w:t>del</w:t>
      </w:r>
      <w:r>
        <w:rPr>
          <w:spacing w:val="-7"/>
        </w:rPr>
        <w:t xml:space="preserve"> </w:t>
      </w:r>
      <w:r>
        <w:t>entramado</w:t>
      </w:r>
      <w:r>
        <w:rPr>
          <w:spacing w:val="-7"/>
        </w:rPr>
        <w:t xml:space="preserve"> </w:t>
      </w:r>
      <w:r>
        <w:t>paramilitar</w:t>
      </w:r>
      <w:r>
        <w:rPr>
          <w:spacing w:val="-7"/>
        </w:rPr>
        <w:t xml:space="preserve"> </w:t>
      </w:r>
      <w:r>
        <w:t>que</w:t>
      </w:r>
      <w:r>
        <w:rPr>
          <w:spacing w:val="-8"/>
        </w:rPr>
        <w:t xml:space="preserve"> </w:t>
      </w:r>
      <w:r>
        <w:t>va</w:t>
      </w:r>
      <w:r>
        <w:rPr>
          <w:spacing w:val="-7"/>
        </w:rPr>
        <w:t xml:space="preserve"> </w:t>
      </w:r>
      <w:r>
        <w:t>más</w:t>
      </w:r>
      <w:r>
        <w:rPr>
          <w:spacing w:val="-7"/>
        </w:rPr>
        <w:t xml:space="preserve"> </w:t>
      </w:r>
      <w:r>
        <w:t>allá</w:t>
      </w:r>
      <w:r>
        <w:rPr>
          <w:spacing w:val="-8"/>
        </w:rPr>
        <w:t xml:space="preserve"> </w:t>
      </w:r>
      <w:r>
        <w:t>del</w:t>
      </w:r>
      <w:r>
        <w:rPr>
          <w:spacing w:val="-7"/>
        </w:rPr>
        <w:t xml:space="preserve"> </w:t>
      </w:r>
      <w:r>
        <w:t>brazo</w:t>
      </w:r>
      <w:r>
        <w:rPr>
          <w:spacing w:val="-7"/>
        </w:rPr>
        <w:t xml:space="preserve"> </w:t>
      </w:r>
      <w:r>
        <w:t>armado</w:t>
      </w:r>
      <w:r>
        <w:rPr>
          <w:spacing w:val="-7"/>
        </w:rPr>
        <w:t xml:space="preserve"> </w:t>
      </w:r>
      <w:r>
        <w:t>es una tarea pendiente para el país, y sin ella no existe la posibilidad de una verdadera construcción de la democracia. Como lamenta el mismo exmagistrado de la Corte en la investigación sobre parapolítica:</w:t>
      </w:r>
    </w:p>
    <w:p w:rsidR="003804AC" w:rsidRDefault="00AF18A5" w:rsidP="005F7A24">
      <w:r>
        <w:lastRenderedPageBreak/>
        <w:t>«No se pudo avanzar en lo que tendría que haber sido la conclusión. Después, esto simplemente languideció. Después del 2012, las investigaciones de la parapolítica languidecieron... En la Corte, sí, todavía estamos investigando a tal congresista, a tal excongresista,</w:t>
      </w:r>
      <w:r>
        <w:rPr>
          <w:spacing w:val="4"/>
        </w:rPr>
        <w:t xml:space="preserve"> </w:t>
      </w:r>
      <w:r>
        <w:t>pero</w:t>
      </w:r>
      <w:r>
        <w:rPr>
          <w:spacing w:val="6"/>
        </w:rPr>
        <w:t xml:space="preserve"> </w:t>
      </w:r>
      <w:r>
        <w:t>sin</w:t>
      </w:r>
      <w:r>
        <w:rPr>
          <w:spacing w:val="5"/>
        </w:rPr>
        <w:t xml:space="preserve"> </w:t>
      </w:r>
      <w:r>
        <w:t>proyecto,</w:t>
      </w:r>
      <w:r>
        <w:rPr>
          <w:spacing w:val="6"/>
        </w:rPr>
        <w:t xml:space="preserve"> </w:t>
      </w:r>
      <w:r>
        <w:t>sin</w:t>
      </w:r>
      <w:r>
        <w:rPr>
          <w:spacing w:val="5"/>
        </w:rPr>
        <w:t xml:space="preserve"> </w:t>
      </w:r>
      <w:r>
        <w:t>comisión,</w:t>
      </w:r>
      <w:r>
        <w:rPr>
          <w:spacing w:val="6"/>
        </w:rPr>
        <w:t xml:space="preserve"> </w:t>
      </w:r>
      <w:r>
        <w:t>en</w:t>
      </w:r>
      <w:r>
        <w:rPr>
          <w:spacing w:val="6"/>
        </w:rPr>
        <w:t xml:space="preserve"> </w:t>
      </w:r>
      <w:r>
        <w:t>el</w:t>
      </w:r>
      <w:r>
        <w:rPr>
          <w:spacing w:val="6"/>
        </w:rPr>
        <w:t xml:space="preserve"> </w:t>
      </w:r>
      <w:r>
        <w:t>trabajo</w:t>
      </w:r>
      <w:r>
        <w:rPr>
          <w:spacing w:val="5"/>
        </w:rPr>
        <w:t xml:space="preserve"> </w:t>
      </w:r>
      <w:r>
        <w:t>individual,</w:t>
      </w:r>
      <w:r>
        <w:rPr>
          <w:spacing w:val="6"/>
        </w:rPr>
        <w:t xml:space="preserve"> </w:t>
      </w:r>
      <w:r>
        <w:t>como</w:t>
      </w:r>
      <w:r>
        <w:rPr>
          <w:spacing w:val="6"/>
        </w:rPr>
        <w:t xml:space="preserve"> </w:t>
      </w:r>
      <w:r>
        <w:t>antes,</w:t>
      </w:r>
      <w:r>
        <w:rPr>
          <w:spacing w:val="6"/>
        </w:rPr>
        <w:t xml:space="preserve"> </w:t>
      </w:r>
      <w:r>
        <w:t>con</w:t>
      </w:r>
      <w:r>
        <w:rPr>
          <w:spacing w:val="6"/>
        </w:rPr>
        <w:t xml:space="preserve"> </w:t>
      </w:r>
      <w:r>
        <w:rPr>
          <w:spacing w:val="-5"/>
        </w:rPr>
        <w:t>un</w:t>
      </w:r>
      <w:bookmarkStart w:id="612" w:name="_bookmark508"/>
      <w:bookmarkEnd w:id="612"/>
      <w:r w:rsidR="005F7A24">
        <w:rPr>
          <w:spacing w:val="-5"/>
        </w:rPr>
        <w:t xml:space="preserve"> </w:t>
      </w:r>
      <w:r>
        <w:t>apoyo todavía del CTI, pero sin la perspectiva. Entonces, no sé... Lo que debía ser la conclusión de una gran investigación de parapolítica que, inclusive, pudiera presentar su informe final que revelara, por todas las relaciones con la Fiscalía en las investigaciones de otros funcionarios de otro nivel, cómo eran las redes de apoyo, las estructuras políticas vinculadas con las organizaciones paramilitares. Todo eso quedó frustrado»</w:t>
      </w:r>
      <w:r w:rsidR="005F7A24">
        <w:rPr>
          <w:rStyle w:val="Refdenotaalpie"/>
        </w:rPr>
        <w:footnoteReference w:id="455"/>
      </w:r>
      <w:r>
        <w:t>.</w:t>
      </w:r>
    </w:p>
    <w:p w:rsidR="0011361F" w:rsidRDefault="00AF18A5" w:rsidP="004A6EF4">
      <w:pPr>
        <w:pStyle w:val="Ttulo3"/>
        <w:numPr>
          <w:ilvl w:val="1"/>
          <w:numId w:val="16"/>
        </w:numPr>
      </w:pPr>
      <w:bookmarkStart w:id="613" w:name="5.9._El_entramado_con_poderes_económicos"/>
      <w:bookmarkStart w:id="614" w:name="_Toc112399600"/>
      <w:bookmarkEnd w:id="613"/>
      <w:r>
        <w:t>El</w:t>
      </w:r>
      <w:r>
        <w:rPr>
          <w:spacing w:val="-4"/>
        </w:rPr>
        <w:t xml:space="preserve"> </w:t>
      </w:r>
      <w:r>
        <w:t>entramado</w:t>
      </w:r>
      <w:r>
        <w:rPr>
          <w:spacing w:val="-2"/>
        </w:rPr>
        <w:t xml:space="preserve"> </w:t>
      </w:r>
      <w:r>
        <w:t>con</w:t>
      </w:r>
      <w:r>
        <w:rPr>
          <w:spacing w:val="-2"/>
        </w:rPr>
        <w:t xml:space="preserve"> </w:t>
      </w:r>
      <w:r>
        <w:t>poderes</w:t>
      </w:r>
      <w:r>
        <w:rPr>
          <w:spacing w:val="-2"/>
        </w:rPr>
        <w:t xml:space="preserve"> </w:t>
      </w:r>
      <w:r>
        <w:t>económicos</w:t>
      </w:r>
      <w:r>
        <w:rPr>
          <w:spacing w:val="-1"/>
        </w:rPr>
        <w:t xml:space="preserve"> </w:t>
      </w:r>
      <w:r>
        <w:t>y</w:t>
      </w:r>
      <w:r>
        <w:rPr>
          <w:spacing w:val="-2"/>
        </w:rPr>
        <w:t xml:space="preserve"> </w:t>
      </w:r>
      <w:r>
        <w:t>la</w:t>
      </w:r>
      <w:r>
        <w:rPr>
          <w:spacing w:val="-2"/>
        </w:rPr>
        <w:t xml:space="preserve"> </w:t>
      </w:r>
      <w:r w:rsidRPr="00533AF9">
        <w:t>financiación</w:t>
      </w:r>
      <w:r>
        <w:rPr>
          <w:spacing w:val="-2"/>
        </w:rPr>
        <w:t xml:space="preserve"> </w:t>
      </w:r>
      <w:r>
        <w:t>de</w:t>
      </w:r>
      <w:r>
        <w:rPr>
          <w:spacing w:val="-2"/>
        </w:rPr>
        <w:t xml:space="preserve"> </w:t>
      </w:r>
      <w:r>
        <w:t>la</w:t>
      </w:r>
      <w:r>
        <w:rPr>
          <w:spacing w:val="-1"/>
        </w:rPr>
        <w:t xml:space="preserve"> </w:t>
      </w:r>
      <w:r>
        <w:rPr>
          <w:spacing w:val="-2"/>
        </w:rPr>
        <w:t>guerra</w:t>
      </w:r>
      <w:bookmarkEnd w:id="614"/>
    </w:p>
    <w:p w:rsidR="003804AC" w:rsidRDefault="00AF18A5" w:rsidP="005F7A24">
      <w:r>
        <w:t>Los</w:t>
      </w:r>
      <w:r>
        <w:rPr>
          <w:spacing w:val="-15"/>
        </w:rPr>
        <w:t xml:space="preserve"> </w:t>
      </w:r>
      <w:r>
        <w:t>políticos</w:t>
      </w:r>
      <w:r>
        <w:rPr>
          <w:spacing w:val="-15"/>
        </w:rPr>
        <w:t xml:space="preserve"> </w:t>
      </w:r>
      <w:r>
        <w:t>no</w:t>
      </w:r>
      <w:r>
        <w:rPr>
          <w:spacing w:val="-15"/>
        </w:rPr>
        <w:t xml:space="preserve"> </w:t>
      </w:r>
      <w:r>
        <w:t>fueron</w:t>
      </w:r>
      <w:r>
        <w:rPr>
          <w:spacing w:val="-15"/>
        </w:rPr>
        <w:t xml:space="preserve"> </w:t>
      </w:r>
      <w:r>
        <w:t>los</w:t>
      </w:r>
      <w:r>
        <w:rPr>
          <w:spacing w:val="-15"/>
        </w:rPr>
        <w:t xml:space="preserve"> </w:t>
      </w:r>
      <w:r>
        <w:t>únicos</w:t>
      </w:r>
      <w:r>
        <w:rPr>
          <w:spacing w:val="-15"/>
        </w:rPr>
        <w:t xml:space="preserve"> </w:t>
      </w:r>
      <w:r>
        <w:t>actores</w:t>
      </w:r>
      <w:r>
        <w:rPr>
          <w:spacing w:val="-15"/>
        </w:rPr>
        <w:t xml:space="preserve"> </w:t>
      </w:r>
      <w:r>
        <w:t>involucrados</w:t>
      </w:r>
      <w:r>
        <w:rPr>
          <w:spacing w:val="-15"/>
        </w:rPr>
        <w:t xml:space="preserve"> </w:t>
      </w:r>
      <w:r>
        <w:t>en</w:t>
      </w:r>
      <w:r>
        <w:rPr>
          <w:spacing w:val="-15"/>
        </w:rPr>
        <w:t xml:space="preserve"> </w:t>
      </w:r>
      <w:r>
        <w:t>las</w:t>
      </w:r>
      <w:r>
        <w:rPr>
          <w:spacing w:val="-15"/>
        </w:rPr>
        <w:t xml:space="preserve"> </w:t>
      </w:r>
      <w:r>
        <w:t>alianzas</w:t>
      </w:r>
      <w:r>
        <w:rPr>
          <w:spacing w:val="-15"/>
        </w:rPr>
        <w:t xml:space="preserve"> </w:t>
      </w:r>
      <w:r>
        <w:t>con</w:t>
      </w:r>
      <w:r>
        <w:rPr>
          <w:spacing w:val="-15"/>
        </w:rPr>
        <w:t xml:space="preserve"> </w:t>
      </w:r>
      <w:r>
        <w:t>el</w:t>
      </w:r>
      <w:r>
        <w:rPr>
          <w:spacing w:val="-15"/>
        </w:rPr>
        <w:t xml:space="preserve"> </w:t>
      </w:r>
      <w:r>
        <w:t xml:space="preserve">paramilitarismo. En su testimonio a la Comisión, un </w:t>
      </w:r>
      <w:proofErr w:type="spellStart"/>
      <w:r>
        <w:t>exparamilitar</w:t>
      </w:r>
      <w:proofErr w:type="spellEnd"/>
      <w:r>
        <w:t xml:space="preserve"> del Bloque Centauros describió la implicación de distintos sectores del empresariado como parte determinante de dicho </w:t>
      </w:r>
      <w:r>
        <w:rPr>
          <w:spacing w:val="-2"/>
        </w:rPr>
        <w:t>entramado:</w:t>
      </w:r>
    </w:p>
    <w:p w:rsidR="003804AC" w:rsidRDefault="00AF18A5" w:rsidP="000804D7">
      <w:r>
        <w:t>«El</w:t>
      </w:r>
      <w:r>
        <w:rPr>
          <w:spacing w:val="-7"/>
        </w:rPr>
        <w:t xml:space="preserve"> </w:t>
      </w:r>
      <w:r>
        <w:t>paramilitarismo</w:t>
      </w:r>
      <w:r>
        <w:rPr>
          <w:spacing w:val="-7"/>
        </w:rPr>
        <w:t xml:space="preserve"> </w:t>
      </w:r>
      <w:r>
        <w:t>no</w:t>
      </w:r>
      <w:r>
        <w:rPr>
          <w:spacing w:val="-7"/>
        </w:rPr>
        <w:t xml:space="preserve"> </w:t>
      </w:r>
      <w:r>
        <w:t>nació</w:t>
      </w:r>
      <w:r>
        <w:rPr>
          <w:spacing w:val="-7"/>
        </w:rPr>
        <w:t xml:space="preserve"> </w:t>
      </w:r>
      <w:r>
        <w:t>del</w:t>
      </w:r>
      <w:r>
        <w:rPr>
          <w:spacing w:val="-7"/>
        </w:rPr>
        <w:t xml:space="preserve"> </w:t>
      </w:r>
      <w:r>
        <w:t>narcotráfico,</w:t>
      </w:r>
      <w:r>
        <w:rPr>
          <w:spacing w:val="-7"/>
        </w:rPr>
        <w:t xml:space="preserve"> </w:t>
      </w:r>
      <w:r>
        <w:t>nació</w:t>
      </w:r>
      <w:r>
        <w:rPr>
          <w:spacing w:val="-7"/>
        </w:rPr>
        <w:t xml:space="preserve"> </w:t>
      </w:r>
      <w:r>
        <w:t>de</w:t>
      </w:r>
      <w:r>
        <w:rPr>
          <w:spacing w:val="-7"/>
        </w:rPr>
        <w:t xml:space="preserve"> </w:t>
      </w:r>
      <w:r>
        <w:t>la</w:t>
      </w:r>
      <w:r>
        <w:rPr>
          <w:spacing w:val="-7"/>
        </w:rPr>
        <w:t xml:space="preserve"> </w:t>
      </w:r>
      <w:r>
        <w:t>clase</w:t>
      </w:r>
      <w:r>
        <w:rPr>
          <w:spacing w:val="-7"/>
        </w:rPr>
        <w:t xml:space="preserve"> </w:t>
      </w:r>
      <w:r>
        <w:t>empresarial</w:t>
      </w:r>
      <w:r>
        <w:rPr>
          <w:spacing w:val="-7"/>
        </w:rPr>
        <w:t xml:space="preserve"> </w:t>
      </w:r>
      <w:r>
        <w:t>en</w:t>
      </w:r>
      <w:r>
        <w:rPr>
          <w:spacing w:val="-7"/>
        </w:rPr>
        <w:t xml:space="preserve"> </w:t>
      </w:r>
      <w:r>
        <w:t>Colombia. Es decir, son las personas que tienen sus propiedades en las distintas zonas del país, que se veían acosados por la guerrilla, con recursos y tenían, además, poder. Porque es que en Colombia la riqueza está paralela a la política. Usted no puede desplegar ninguna de estas actividades si no tiene conocidos tanto en las Fuerzas Militares como en la política. O sea, eso que</w:t>
      </w:r>
      <w:r>
        <w:rPr>
          <w:spacing w:val="-1"/>
        </w:rPr>
        <w:t xml:space="preserve"> </w:t>
      </w:r>
      <w:r>
        <w:t>la</w:t>
      </w:r>
      <w:r>
        <w:rPr>
          <w:spacing w:val="-1"/>
        </w:rPr>
        <w:t xml:space="preserve"> </w:t>
      </w:r>
      <w:r>
        <w:t>gente</w:t>
      </w:r>
      <w:r>
        <w:rPr>
          <w:spacing w:val="-1"/>
        </w:rPr>
        <w:t xml:space="preserve"> </w:t>
      </w:r>
      <w:r>
        <w:t>cree</w:t>
      </w:r>
      <w:r>
        <w:rPr>
          <w:spacing w:val="-1"/>
        </w:rPr>
        <w:t xml:space="preserve"> </w:t>
      </w:r>
      <w:r>
        <w:t>que las</w:t>
      </w:r>
      <w:r>
        <w:rPr>
          <w:spacing w:val="-1"/>
        </w:rPr>
        <w:t xml:space="preserve"> </w:t>
      </w:r>
      <w:r>
        <w:t>autodefensas eran</w:t>
      </w:r>
      <w:r>
        <w:rPr>
          <w:spacing w:val="-1"/>
        </w:rPr>
        <w:t xml:space="preserve"> </w:t>
      </w:r>
      <w:r>
        <w:t>‘Macaco’ y</w:t>
      </w:r>
      <w:r>
        <w:rPr>
          <w:spacing w:val="-1"/>
        </w:rPr>
        <w:t xml:space="preserve"> </w:t>
      </w:r>
      <w:r>
        <w:t>‘Don Berna’</w:t>
      </w:r>
      <w:r>
        <w:rPr>
          <w:spacing w:val="-1"/>
        </w:rPr>
        <w:t xml:space="preserve"> </w:t>
      </w:r>
      <w:r>
        <w:t>y Vicente Castaño, eso</w:t>
      </w:r>
      <w:r>
        <w:rPr>
          <w:spacing w:val="-5"/>
        </w:rPr>
        <w:t xml:space="preserve"> </w:t>
      </w:r>
      <w:r>
        <w:t>es</w:t>
      </w:r>
      <w:r>
        <w:rPr>
          <w:spacing w:val="-5"/>
        </w:rPr>
        <w:t xml:space="preserve"> </w:t>
      </w:r>
      <w:r>
        <w:t>la</w:t>
      </w:r>
      <w:r>
        <w:rPr>
          <w:spacing w:val="-5"/>
        </w:rPr>
        <w:t xml:space="preserve"> </w:t>
      </w:r>
      <w:r>
        <w:lastRenderedPageBreak/>
        <w:t>mentira</w:t>
      </w:r>
      <w:r>
        <w:rPr>
          <w:spacing w:val="-5"/>
        </w:rPr>
        <w:t xml:space="preserve"> </w:t>
      </w:r>
      <w:r>
        <w:t>más</w:t>
      </w:r>
      <w:r>
        <w:rPr>
          <w:spacing w:val="-5"/>
        </w:rPr>
        <w:t xml:space="preserve"> </w:t>
      </w:r>
      <w:r>
        <w:t>grande.</w:t>
      </w:r>
      <w:r>
        <w:rPr>
          <w:spacing w:val="-5"/>
        </w:rPr>
        <w:t xml:space="preserve"> </w:t>
      </w:r>
      <w:r>
        <w:t>Esa</w:t>
      </w:r>
      <w:r>
        <w:rPr>
          <w:spacing w:val="-5"/>
        </w:rPr>
        <w:t xml:space="preserve"> </w:t>
      </w:r>
      <w:r>
        <w:t>era</w:t>
      </w:r>
      <w:r>
        <w:rPr>
          <w:spacing w:val="-5"/>
        </w:rPr>
        <w:t xml:space="preserve"> </w:t>
      </w:r>
      <w:r>
        <w:t>la</w:t>
      </w:r>
      <w:r>
        <w:rPr>
          <w:spacing w:val="-5"/>
        </w:rPr>
        <w:t xml:space="preserve"> </w:t>
      </w:r>
      <w:r>
        <w:t>punta</w:t>
      </w:r>
      <w:r>
        <w:rPr>
          <w:spacing w:val="-5"/>
        </w:rPr>
        <w:t xml:space="preserve"> </w:t>
      </w:r>
      <w:r>
        <w:t>del</w:t>
      </w:r>
      <w:r>
        <w:rPr>
          <w:spacing w:val="-4"/>
        </w:rPr>
        <w:t xml:space="preserve"> </w:t>
      </w:r>
      <w:r>
        <w:rPr>
          <w:i/>
        </w:rPr>
        <w:t>iceberg</w:t>
      </w:r>
      <w:r>
        <w:t>,</w:t>
      </w:r>
      <w:r>
        <w:rPr>
          <w:spacing w:val="-5"/>
        </w:rPr>
        <w:t xml:space="preserve"> </w:t>
      </w:r>
      <w:r>
        <w:t>debajo</w:t>
      </w:r>
      <w:r>
        <w:rPr>
          <w:spacing w:val="-5"/>
        </w:rPr>
        <w:t xml:space="preserve"> </w:t>
      </w:r>
      <w:r>
        <w:t>de</w:t>
      </w:r>
      <w:r>
        <w:rPr>
          <w:spacing w:val="-5"/>
        </w:rPr>
        <w:t xml:space="preserve"> </w:t>
      </w:r>
      <w:r>
        <w:t>esa</w:t>
      </w:r>
      <w:r>
        <w:rPr>
          <w:spacing w:val="-6"/>
        </w:rPr>
        <w:t xml:space="preserve"> </w:t>
      </w:r>
      <w:r>
        <w:t>gente</w:t>
      </w:r>
      <w:r>
        <w:rPr>
          <w:spacing w:val="-5"/>
        </w:rPr>
        <w:t xml:space="preserve"> </w:t>
      </w:r>
      <w:r>
        <w:t>hay</w:t>
      </w:r>
      <w:r>
        <w:rPr>
          <w:spacing w:val="-5"/>
        </w:rPr>
        <w:t xml:space="preserve"> </w:t>
      </w:r>
      <w:r>
        <w:t>un</w:t>
      </w:r>
      <w:r>
        <w:rPr>
          <w:spacing w:val="-6"/>
        </w:rPr>
        <w:t xml:space="preserve"> </w:t>
      </w:r>
      <w:r>
        <w:t>sector empresarial muy fuerte, como por ejemplo las bananeras, que sin excepción fueron las grandes colaboradoras del paramilitarismo en la costa»</w:t>
      </w:r>
      <w:r w:rsidR="000804D7">
        <w:rPr>
          <w:rStyle w:val="Refdenotaalpie"/>
        </w:rPr>
        <w:footnoteReference w:id="456"/>
      </w:r>
      <w:r>
        <w:t>.</w:t>
      </w:r>
    </w:p>
    <w:p w:rsidR="003804AC" w:rsidRDefault="00AF18A5" w:rsidP="000804D7">
      <w:r>
        <w:t>Los actores económicos fueron parte fundamental del entramado paramilitar. Algunos empresarios</w:t>
      </w:r>
      <w:r>
        <w:rPr>
          <w:spacing w:val="-15"/>
        </w:rPr>
        <w:t xml:space="preserve"> </w:t>
      </w:r>
      <w:r>
        <w:t>nacionales</w:t>
      </w:r>
      <w:r>
        <w:rPr>
          <w:spacing w:val="-15"/>
        </w:rPr>
        <w:t xml:space="preserve"> </w:t>
      </w:r>
      <w:r>
        <w:t>e</w:t>
      </w:r>
      <w:r>
        <w:rPr>
          <w:spacing w:val="-15"/>
        </w:rPr>
        <w:t xml:space="preserve"> </w:t>
      </w:r>
      <w:r>
        <w:t>internacionales,</w:t>
      </w:r>
      <w:r>
        <w:rPr>
          <w:spacing w:val="-15"/>
        </w:rPr>
        <w:t xml:space="preserve"> </w:t>
      </w:r>
      <w:r>
        <w:t>poderes</w:t>
      </w:r>
      <w:r>
        <w:rPr>
          <w:spacing w:val="-15"/>
        </w:rPr>
        <w:t xml:space="preserve"> </w:t>
      </w:r>
      <w:r>
        <w:t>económicos</w:t>
      </w:r>
      <w:r>
        <w:rPr>
          <w:spacing w:val="-15"/>
        </w:rPr>
        <w:t xml:space="preserve"> </w:t>
      </w:r>
      <w:r>
        <w:t>locales</w:t>
      </w:r>
      <w:r>
        <w:rPr>
          <w:spacing w:val="-15"/>
        </w:rPr>
        <w:t xml:space="preserve"> </w:t>
      </w:r>
      <w:r>
        <w:t>y</w:t>
      </w:r>
      <w:r>
        <w:rPr>
          <w:spacing w:val="-15"/>
        </w:rPr>
        <w:t xml:space="preserve"> </w:t>
      </w:r>
      <w:r>
        <w:t>regionales</w:t>
      </w:r>
      <w:r>
        <w:rPr>
          <w:spacing w:val="-14"/>
        </w:rPr>
        <w:t xml:space="preserve"> </w:t>
      </w:r>
      <w:r>
        <w:t>y</w:t>
      </w:r>
      <w:r>
        <w:rPr>
          <w:spacing w:val="-15"/>
        </w:rPr>
        <w:t xml:space="preserve"> </w:t>
      </w:r>
      <w:r>
        <w:t>sectores productivos</w:t>
      </w:r>
      <w:r>
        <w:rPr>
          <w:spacing w:val="-4"/>
        </w:rPr>
        <w:t xml:space="preserve"> </w:t>
      </w:r>
      <w:r>
        <w:t>lo</w:t>
      </w:r>
      <w:r>
        <w:rPr>
          <w:spacing w:val="-3"/>
        </w:rPr>
        <w:t xml:space="preserve"> </w:t>
      </w:r>
      <w:r>
        <w:t>apoyaron</w:t>
      </w:r>
      <w:r>
        <w:rPr>
          <w:spacing w:val="-4"/>
        </w:rPr>
        <w:t xml:space="preserve"> </w:t>
      </w:r>
      <w:r>
        <w:t>de</w:t>
      </w:r>
      <w:r>
        <w:rPr>
          <w:spacing w:val="-2"/>
        </w:rPr>
        <w:t xml:space="preserve"> </w:t>
      </w:r>
      <w:r>
        <w:t>diferentes</w:t>
      </w:r>
      <w:r>
        <w:rPr>
          <w:spacing w:val="-1"/>
        </w:rPr>
        <w:t xml:space="preserve"> </w:t>
      </w:r>
      <w:r>
        <w:t>maneras</w:t>
      </w:r>
      <w:r>
        <w:rPr>
          <w:spacing w:val="-2"/>
        </w:rPr>
        <w:t xml:space="preserve"> </w:t>
      </w:r>
      <w:r>
        <w:t>porque</w:t>
      </w:r>
      <w:r>
        <w:rPr>
          <w:spacing w:val="-1"/>
        </w:rPr>
        <w:t xml:space="preserve"> </w:t>
      </w:r>
      <w:r>
        <w:t>tenían</w:t>
      </w:r>
      <w:r>
        <w:rPr>
          <w:spacing w:val="-4"/>
        </w:rPr>
        <w:t xml:space="preserve"> </w:t>
      </w:r>
      <w:r>
        <w:t>intereses</w:t>
      </w:r>
      <w:r>
        <w:rPr>
          <w:spacing w:val="-3"/>
        </w:rPr>
        <w:t xml:space="preserve"> </w:t>
      </w:r>
      <w:r>
        <w:t>en</w:t>
      </w:r>
      <w:r>
        <w:rPr>
          <w:spacing w:val="-4"/>
        </w:rPr>
        <w:t xml:space="preserve"> </w:t>
      </w:r>
      <w:r>
        <w:t>la</w:t>
      </w:r>
      <w:r>
        <w:rPr>
          <w:spacing w:val="-1"/>
        </w:rPr>
        <w:t xml:space="preserve"> </w:t>
      </w:r>
      <w:r>
        <w:t>guerra</w:t>
      </w:r>
      <w:r w:rsidR="000804D7">
        <w:rPr>
          <w:rStyle w:val="Refdenotaalpie"/>
        </w:rPr>
        <w:footnoteReference w:id="457"/>
      </w:r>
      <w:r>
        <w:t>.</w:t>
      </w:r>
      <w:r>
        <w:rPr>
          <w:spacing w:val="-3"/>
        </w:rPr>
        <w:t xml:space="preserve"> </w:t>
      </w:r>
      <w:r>
        <w:rPr>
          <w:spacing w:val="-2"/>
        </w:rPr>
        <w:t>Otros</w:t>
      </w:r>
      <w:bookmarkStart w:id="615" w:name="_bookmark510"/>
      <w:bookmarkStart w:id="616" w:name="_bookmark511"/>
      <w:bookmarkStart w:id="617" w:name="_bookmark512"/>
      <w:bookmarkEnd w:id="615"/>
      <w:bookmarkEnd w:id="616"/>
      <w:bookmarkEnd w:id="617"/>
      <w:r w:rsidR="000804D7">
        <w:rPr>
          <w:spacing w:val="-2"/>
        </w:rPr>
        <w:t xml:space="preserve"> </w:t>
      </w:r>
      <w:r>
        <w:t>sufrieron</w:t>
      </w:r>
      <w:r>
        <w:rPr>
          <w:spacing w:val="-4"/>
        </w:rPr>
        <w:t xml:space="preserve"> </w:t>
      </w:r>
      <w:r>
        <w:t>de</w:t>
      </w:r>
      <w:r>
        <w:rPr>
          <w:spacing w:val="-5"/>
        </w:rPr>
        <w:t xml:space="preserve"> </w:t>
      </w:r>
      <w:r>
        <w:t>manera</w:t>
      </w:r>
      <w:r>
        <w:rPr>
          <w:spacing w:val="-3"/>
        </w:rPr>
        <w:t xml:space="preserve"> </w:t>
      </w:r>
      <w:r>
        <w:t>directa</w:t>
      </w:r>
      <w:r>
        <w:rPr>
          <w:spacing w:val="-3"/>
        </w:rPr>
        <w:t xml:space="preserve"> </w:t>
      </w:r>
      <w:r>
        <w:t>la</w:t>
      </w:r>
      <w:r>
        <w:rPr>
          <w:spacing w:val="-3"/>
        </w:rPr>
        <w:t xml:space="preserve"> </w:t>
      </w:r>
      <w:r>
        <w:t>violencia</w:t>
      </w:r>
      <w:r>
        <w:rPr>
          <w:spacing w:val="-3"/>
        </w:rPr>
        <w:t xml:space="preserve"> </w:t>
      </w:r>
      <w:r>
        <w:t>armada</w:t>
      </w:r>
      <w:r>
        <w:rPr>
          <w:spacing w:val="-3"/>
        </w:rPr>
        <w:t xml:space="preserve"> </w:t>
      </w:r>
      <w:r>
        <w:t>y</w:t>
      </w:r>
      <w:r>
        <w:rPr>
          <w:spacing w:val="-5"/>
        </w:rPr>
        <w:t xml:space="preserve"> </w:t>
      </w:r>
      <w:r>
        <w:t>otros</w:t>
      </w:r>
      <w:r>
        <w:rPr>
          <w:spacing w:val="-4"/>
        </w:rPr>
        <w:t xml:space="preserve"> </w:t>
      </w:r>
      <w:r>
        <w:t>se</w:t>
      </w:r>
      <w:r>
        <w:rPr>
          <w:spacing w:val="-4"/>
        </w:rPr>
        <w:t xml:space="preserve"> </w:t>
      </w:r>
      <w:r>
        <w:t>vieron</w:t>
      </w:r>
      <w:r>
        <w:rPr>
          <w:spacing w:val="-4"/>
        </w:rPr>
        <w:t xml:space="preserve"> </w:t>
      </w:r>
      <w:r>
        <w:t>presionados</w:t>
      </w:r>
      <w:r>
        <w:rPr>
          <w:spacing w:val="-4"/>
        </w:rPr>
        <w:t xml:space="preserve"> </w:t>
      </w:r>
      <w:r>
        <w:t>a</w:t>
      </w:r>
      <w:r>
        <w:rPr>
          <w:spacing w:val="-3"/>
        </w:rPr>
        <w:t xml:space="preserve"> </w:t>
      </w:r>
      <w:r>
        <w:t>colaborar</w:t>
      </w:r>
      <w:r>
        <w:rPr>
          <w:spacing w:val="-3"/>
        </w:rPr>
        <w:t xml:space="preserve"> </w:t>
      </w:r>
      <w:r>
        <w:t>en medio de los órdenes armados en los territorios para poder operar.</w:t>
      </w:r>
    </w:p>
    <w:p w:rsidR="003804AC" w:rsidRDefault="00AF18A5" w:rsidP="000804D7">
      <w:r>
        <w:t>Dentro del empresariado, como un sector muy diverso, hubo diferentes posiciones frente a los paramilitares, muchos de ellos no colaboraron o se opusieron, pero los apoyos y la participación directa de los actores económicos que sí hicieron parte fueron un impulso fundamental para explicar las dimensiones que alcanzó. Desde el inicio, las alianzas dentro de los entramados paramilitares tuvieron como una de sus motivaciones la protección de la propiedad privada, y ha sido constante el uso de los aparatos armados con fines de acumulación y expansión de la riqueza por medios violentos, desposesión y despeje de territorios estratégicos. Por esto, algunos miembros del sector económico con participación en</w:t>
      </w:r>
      <w:r>
        <w:rPr>
          <w:spacing w:val="-15"/>
        </w:rPr>
        <w:t xml:space="preserve"> </w:t>
      </w:r>
      <w:r>
        <w:t>el</w:t>
      </w:r>
      <w:r>
        <w:rPr>
          <w:spacing w:val="-14"/>
        </w:rPr>
        <w:t xml:space="preserve"> </w:t>
      </w:r>
      <w:r>
        <w:t>paramilitarismo</w:t>
      </w:r>
      <w:r>
        <w:rPr>
          <w:spacing w:val="-15"/>
        </w:rPr>
        <w:t xml:space="preserve"> </w:t>
      </w:r>
      <w:r>
        <w:t>han</w:t>
      </w:r>
      <w:r>
        <w:rPr>
          <w:spacing w:val="-14"/>
        </w:rPr>
        <w:t xml:space="preserve"> </w:t>
      </w:r>
      <w:r>
        <w:t>sido</w:t>
      </w:r>
      <w:r>
        <w:rPr>
          <w:spacing w:val="-15"/>
        </w:rPr>
        <w:t xml:space="preserve"> </w:t>
      </w:r>
      <w:r>
        <w:t>parte</w:t>
      </w:r>
      <w:r>
        <w:rPr>
          <w:spacing w:val="-14"/>
        </w:rPr>
        <w:t xml:space="preserve"> </w:t>
      </w:r>
      <w:r>
        <w:t>integral</w:t>
      </w:r>
      <w:r>
        <w:rPr>
          <w:spacing w:val="-15"/>
        </w:rPr>
        <w:t xml:space="preserve"> </w:t>
      </w:r>
      <w:r>
        <w:t>del</w:t>
      </w:r>
      <w:r>
        <w:rPr>
          <w:spacing w:val="-15"/>
        </w:rPr>
        <w:t xml:space="preserve"> </w:t>
      </w:r>
      <w:r>
        <w:t>fenómeno</w:t>
      </w:r>
      <w:r>
        <w:rPr>
          <w:spacing w:val="-15"/>
        </w:rPr>
        <w:t xml:space="preserve"> </w:t>
      </w:r>
      <w:r>
        <w:t>y</w:t>
      </w:r>
      <w:r>
        <w:rPr>
          <w:spacing w:val="-14"/>
        </w:rPr>
        <w:t xml:space="preserve"> </w:t>
      </w:r>
      <w:r>
        <w:t>fueron</w:t>
      </w:r>
      <w:r>
        <w:rPr>
          <w:spacing w:val="-15"/>
        </w:rPr>
        <w:t xml:space="preserve"> </w:t>
      </w:r>
      <w:r>
        <w:t>más</w:t>
      </w:r>
      <w:r>
        <w:rPr>
          <w:spacing w:val="-15"/>
        </w:rPr>
        <w:t xml:space="preserve"> </w:t>
      </w:r>
      <w:r>
        <w:t>allá</w:t>
      </w:r>
      <w:r>
        <w:rPr>
          <w:spacing w:val="-14"/>
        </w:rPr>
        <w:t xml:space="preserve"> </w:t>
      </w:r>
      <w:r>
        <w:t>de</w:t>
      </w:r>
      <w:r>
        <w:rPr>
          <w:spacing w:val="-15"/>
        </w:rPr>
        <w:t xml:space="preserve"> </w:t>
      </w:r>
      <w:r>
        <w:t>ser</w:t>
      </w:r>
      <w:r>
        <w:rPr>
          <w:spacing w:val="-14"/>
        </w:rPr>
        <w:t xml:space="preserve"> </w:t>
      </w:r>
      <w:r>
        <w:t xml:space="preserve">«terceros» involucrados, pues se beneficiaron de la limitación de </w:t>
      </w:r>
      <w:r>
        <w:lastRenderedPageBreak/>
        <w:t>derechos de los trabajadores y de las poblaciones donde estaban ubicadas sus empresas, del ataque a los sindicatos, del acceso privilegiado a recursos, de la amenaza a su competencia o eliminación de esta y de la degradación de la violencia asociada al conflicto que, en distintas ocasiones, les permitió pescar en río revuelto para hacer crecer sus negocios.</w:t>
      </w:r>
    </w:p>
    <w:p w:rsidR="003804AC" w:rsidRDefault="00AF18A5" w:rsidP="0037383F">
      <w:r>
        <w:t>En 35 sentencias del proceso de Justicia y Paz proferidas por los tribunales entre 2011 y 2015 fueron mencionados 439 actores empresariales</w:t>
      </w:r>
      <w:r w:rsidR="0037383F">
        <w:rPr>
          <w:rStyle w:val="Refdenotaalpie"/>
        </w:rPr>
        <w:footnoteReference w:id="458"/>
      </w:r>
      <w:r>
        <w:t>. En las sentencias de restitución de tierras</w:t>
      </w:r>
      <w:r>
        <w:rPr>
          <w:spacing w:val="-11"/>
        </w:rPr>
        <w:t xml:space="preserve"> </w:t>
      </w:r>
      <w:r>
        <w:t>hay</w:t>
      </w:r>
      <w:r>
        <w:rPr>
          <w:spacing w:val="-11"/>
        </w:rPr>
        <w:t xml:space="preserve"> </w:t>
      </w:r>
      <w:r>
        <w:t>referencias</w:t>
      </w:r>
      <w:r>
        <w:rPr>
          <w:spacing w:val="-11"/>
        </w:rPr>
        <w:t xml:space="preserve"> </w:t>
      </w:r>
      <w:r>
        <w:t>a</w:t>
      </w:r>
      <w:r>
        <w:rPr>
          <w:spacing w:val="-11"/>
        </w:rPr>
        <w:t xml:space="preserve"> </w:t>
      </w:r>
      <w:r>
        <w:t>estos</w:t>
      </w:r>
      <w:r>
        <w:rPr>
          <w:spacing w:val="-11"/>
        </w:rPr>
        <w:t xml:space="preserve"> </w:t>
      </w:r>
      <w:r>
        <w:t>actores</w:t>
      </w:r>
      <w:r>
        <w:rPr>
          <w:spacing w:val="-12"/>
        </w:rPr>
        <w:t xml:space="preserve"> </w:t>
      </w:r>
      <w:r>
        <w:t>en</w:t>
      </w:r>
      <w:r>
        <w:rPr>
          <w:spacing w:val="-11"/>
        </w:rPr>
        <w:t xml:space="preserve"> </w:t>
      </w:r>
      <w:r>
        <w:t>3.000</w:t>
      </w:r>
      <w:r>
        <w:rPr>
          <w:spacing w:val="-11"/>
        </w:rPr>
        <w:t xml:space="preserve"> </w:t>
      </w:r>
      <w:r>
        <w:t>casos</w:t>
      </w:r>
      <w:r w:rsidR="0037383F">
        <w:rPr>
          <w:rStyle w:val="Refdenotaalpie"/>
        </w:rPr>
        <w:footnoteReference w:id="459"/>
      </w:r>
      <w:r>
        <w:t>,</w:t>
      </w:r>
      <w:r>
        <w:rPr>
          <w:spacing w:val="-11"/>
        </w:rPr>
        <w:t xml:space="preserve"> </w:t>
      </w:r>
      <w:r>
        <w:t>la</w:t>
      </w:r>
      <w:r>
        <w:rPr>
          <w:spacing w:val="-11"/>
        </w:rPr>
        <w:t xml:space="preserve"> </w:t>
      </w:r>
      <w:r>
        <w:t>mayoría</w:t>
      </w:r>
      <w:r>
        <w:rPr>
          <w:spacing w:val="-11"/>
        </w:rPr>
        <w:t xml:space="preserve"> </w:t>
      </w:r>
      <w:r>
        <w:t>relacionados</w:t>
      </w:r>
      <w:r>
        <w:rPr>
          <w:spacing w:val="-11"/>
        </w:rPr>
        <w:t xml:space="preserve"> </w:t>
      </w:r>
      <w:r>
        <w:t>con</w:t>
      </w:r>
      <w:r>
        <w:rPr>
          <w:spacing w:val="-11"/>
        </w:rPr>
        <w:t xml:space="preserve"> </w:t>
      </w:r>
      <w:r>
        <w:t>el</w:t>
      </w:r>
      <w:r>
        <w:rPr>
          <w:spacing w:val="-11"/>
        </w:rPr>
        <w:t xml:space="preserve"> </w:t>
      </w:r>
      <w:r>
        <w:t>sector ganadero, agroindustrial (banano y palma) y extractivo (carbón y petróleo). El interés económico en los territorios, en la acumulación de la propiedad y en el uso de la tierra ha sido</w:t>
      </w:r>
      <w:r>
        <w:rPr>
          <w:spacing w:val="-9"/>
        </w:rPr>
        <w:t xml:space="preserve"> </w:t>
      </w:r>
      <w:r>
        <w:t>uno</w:t>
      </w:r>
      <w:r>
        <w:rPr>
          <w:spacing w:val="-7"/>
        </w:rPr>
        <w:t xml:space="preserve"> </w:t>
      </w:r>
      <w:r>
        <w:t>de</w:t>
      </w:r>
      <w:r>
        <w:rPr>
          <w:spacing w:val="-8"/>
        </w:rPr>
        <w:t xml:space="preserve"> </w:t>
      </w:r>
      <w:r>
        <w:t>los</w:t>
      </w:r>
      <w:r>
        <w:rPr>
          <w:spacing w:val="-6"/>
        </w:rPr>
        <w:t xml:space="preserve"> </w:t>
      </w:r>
      <w:r>
        <w:t>móviles</w:t>
      </w:r>
      <w:r>
        <w:rPr>
          <w:spacing w:val="-7"/>
        </w:rPr>
        <w:t xml:space="preserve"> </w:t>
      </w:r>
      <w:r>
        <w:t>del</w:t>
      </w:r>
      <w:r>
        <w:rPr>
          <w:spacing w:val="-7"/>
        </w:rPr>
        <w:t xml:space="preserve"> </w:t>
      </w:r>
      <w:r>
        <w:t>conflicto</w:t>
      </w:r>
      <w:r>
        <w:rPr>
          <w:spacing w:val="-8"/>
        </w:rPr>
        <w:t xml:space="preserve"> </w:t>
      </w:r>
      <w:r>
        <w:t>armado;</w:t>
      </w:r>
      <w:r>
        <w:rPr>
          <w:spacing w:val="-7"/>
        </w:rPr>
        <w:t xml:space="preserve"> </w:t>
      </w:r>
      <w:r>
        <w:t>por</w:t>
      </w:r>
      <w:r>
        <w:rPr>
          <w:spacing w:val="-9"/>
        </w:rPr>
        <w:t xml:space="preserve"> </w:t>
      </w:r>
      <w:r>
        <w:t>ello,</w:t>
      </w:r>
      <w:r>
        <w:rPr>
          <w:spacing w:val="-8"/>
        </w:rPr>
        <w:t xml:space="preserve"> </w:t>
      </w:r>
      <w:r>
        <w:t>algunas</w:t>
      </w:r>
      <w:r>
        <w:rPr>
          <w:spacing w:val="-8"/>
        </w:rPr>
        <w:t xml:space="preserve"> </w:t>
      </w:r>
      <w:r>
        <w:t>empresas</w:t>
      </w:r>
      <w:r>
        <w:rPr>
          <w:spacing w:val="-7"/>
        </w:rPr>
        <w:t xml:space="preserve"> </w:t>
      </w:r>
      <w:r>
        <w:t>han</w:t>
      </w:r>
      <w:r>
        <w:rPr>
          <w:spacing w:val="-6"/>
        </w:rPr>
        <w:t xml:space="preserve"> </w:t>
      </w:r>
      <w:r>
        <w:t>tenido</w:t>
      </w:r>
      <w:r>
        <w:rPr>
          <w:spacing w:val="-7"/>
        </w:rPr>
        <w:t xml:space="preserve"> </w:t>
      </w:r>
      <w:r>
        <w:t>un</w:t>
      </w:r>
      <w:r>
        <w:rPr>
          <w:spacing w:val="-9"/>
        </w:rPr>
        <w:t xml:space="preserve"> </w:t>
      </w:r>
      <w:r>
        <w:rPr>
          <w:spacing w:val="-2"/>
        </w:rPr>
        <w:t>papel</w:t>
      </w:r>
      <w:bookmarkStart w:id="618" w:name="_bookmark513"/>
      <w:bookmarkStart w:id="619" w:name="_bookmark514"/>
      <w:bookmarkEnd w:id="618"/>
      <w:bookmarkEnd w:id="619"/>
      <w:r w:rsidR="0037383F">
        <w:rPr>
          <w:spacing w:val="-2"/>
        </w:rPr>
        <w:t xml:space="preserve"> </w:t>
      </w:r>
      <w:r>
        <w:t xml:space="preserve">activo al inducir a otros a que cometan delitos o participando de manera directa en su </w:t>
      </w:r>
      <w:r>
        <w:rPr>
          <w:spacing w:val="-2"/>
        </w:rPr>
        <w:t>comisión.</w:t>
      </w:r>
    </w:p>
    <w:p w:rsidR="003804AC" w:rsidRDefault="00AF18A5" w:rsidP="0037383F">
      <w:r>
        <w:t>La magnitud del enriquecimiento ilícito asociado al paramilitarismo fue tan grande que, del conjunto</w:t>
      </w:r>
      <w:r>
        <w:rPr>
          <w:spacing w:val="-1"/>
        </w:rPr>
        <w:t xml:space="preserve"> </w:t>
      </w:r>
      <w:r>
        <w:t>de medidas cautelares decretadas por Justicia y Paz para la extinción de bienes adquiridos a través del paramilitarismo, en lo que ha avanzado desde su expedición, solo el 14</w:t>
      </w:r>
      <w:r>
        <w:rPr>
          <w:spacing w:val="-3"/>
        </w:rPr>
        <w:t xml:space="preserve"> </w:t>
      </w:r>
      <w:r>
        <w:t>%</w:t>
      </w:r>
      <w:r>
        <w:rPr>
          <w:spacing w:val="45"/>
        </w:rPr>
        <w:t xml:space="preserve">  </w:t>
      </w:r>
      <w:r>
        <w:t>(605)</w:t>
      </w:r>
      <w:r>
        <w:rPr>
          <w:spacing w:val="44"/>
        </w:rPr>
        <w:t xml:space="preserve"> </w:t>
      </w:r>
      <w:r>
        <w:t>tienen</w:t>
      </w:r>
      <w:r>
        <w:rPr>
          <w:spacing w:val="45"/>
        </w:rPr>
        <w:t xml:space="preserve"> </w:t>
      </w:r>
      <w:r>
        <w:t>sentencia</w:t>
      </w:r>
      <w:r>
        <w:rPr>
          <w:spacing w:val="45"/>
        </w:rPr>
        <w:t xml:space="preserve"> </w:t>
      </w:r>
      <w:r>
        <w:t>de</w:t>
      </w:r>
      <w:r>
        <w:rPr>
          <w:spacing w:val="45"/>
        </w:rPr>
        <w:t xml:space="preserve"> </w:t>
      </w:r>
      <w:r>
        <w:t>extinción</w:t>
      </w:r>
      <w:r>
        <w:rPr>
          <w:spacing w:val="44"/>
        </w:rPr>
        <w:t xml:space="preserve"> </w:t>
      </w:r>
      <w:r>
        <w:t>de</w:t>
      </w:r>
      <w:r>
        <w:rPr>
          <w:spacing w:val="45"/>
        </w:rPr>
        <w:t xml:space="preserve"> </w:t>
      </w:r>
      <w:r>
        <w:t>dominio,</w:t>
      </w:r>
      <w:r>
        <w:rPr>
          <w:spacing w:val="45"/>
        </w:rPr>
        <w:t xml:space="preserve"> </w:t>
      </w:r>
      <w:r>
        <w:t>lo</w:t>
      </w:r>
      <w:r>
        <w:rPr>
          <w:spacing w:val="45"/>
        </w:rPr>
        <w:t xml:space="preserve"> </w:t>
      </w:r>
      <w:r>
        <w:t>que</w:t>
      </w:r>
      <w:r>
        <w:rPr>
          <w:spacing w:val="45"/>
        </w:rPr>
        <w:t xml:space="preserve"> </w:t>
      </w:r>
      <w:r>
        <w:t>corresponde</w:t>
      </w:r>
      <w:r>
        <w:rPr>
          <w:spacing w:val="45"/>
        </w:rPr>
        <w:t xml:space="preserve"> </w:t>
      </w:r>
      <w:r>
        <w:rPr>
          <w:spacing w:val="-10"/>
        </w:rPr>
        <w:t>a</w:t>
      </w:r>
      <w:r w:rsidR="0037383F">
        <w:rPr>
          <w:spacing w:val="-10"/>
        </w:rPr>
        <w:t xml:space="preserve"> </w:t>
      </w:r>
      <w:r>
        <w:t xml:space="preserve">$145.275.058.653; además, 847 bienes tienen solicitud </w:t>
      </w:r>
      <w:r>
        <w:lastRenderedPageBreak/>
        <w:t>de extinción de dominio ($178.882.485.603). El valor de los bienes con medida cautelar de extinción de dominio decretada</w:t>
      </w:r>
      <w:r>
        <w:rPr>
          <w:spacing w:val="-14"/>
        </w:rPr>
        <w:t xml:space="preserve"> </w:t>
      </w:r>
      <w:r>
        <w:t>es</w:t>
      </w:r>
      <w:r>
        <w:rPr>
          <w:spacing w:val="-14"/>
        </w:rPr>
        <w:t xml:space="preserve"> </w:t>
      </w:r>
      <w:r>
        <w:t>de</w:t>
      </w:r>
      <w:r>
        <w:rPr>
          <w:spacing w:val="-13"/>
        </w:rPr>
        <w:t xml:space="preserve"> </w:t>
      </w:r>
      <w:r>
        <w:t>$991.591.701.079</w:t>
      </w:r>
      <w:r w:rsidR="0075793B">
        <w:rPr>
          <w:rStyle w:val="Refdenotaalpie"/>
        </w:rPr>
        <w:footnoteReference w:id="460"/>
      </w:r>
      <w:r>
        <w:t>.</w:t>
      </w:r>
      <w:r>
        <w:rPr>
          <w:spacing w:val="-13"/>
        </w:rPr>
        <w:t xml:space="preserve"> </w:t>
      </w:r>
      <w:r>
        <w:t>Incluso</w:t>
      </w:r>
      <w:r>
        <w:rPr>
          <w:spacing w:val="-14"/>
        </w:rPr>
        <w:t xml:space="preserve"> </w:t>
      </w:r>
      <w:r>
        <w:t>así,</w:t>
      </w:r>
      <w:r>
        <w:rPr>
          <w:spacing w:val="-14"/>
        </w:rPr>
        <w:t xml:space="preserve"> </w:t>
      </w:r>
      <w:r>
        <w:t>hay</w:t>
      </w:r>
      <w:r>
        <w:rPr>
          <w:spacing w:val="-13"/>
        </w:rPr>
        <w:t xml:space="preserve"> </w:t>
      </w:r>
      <w:r>
        <w:t>versiones</w:t>
      </w:r>
      <w:r>
        <w:rPr>
          <w:spacing w:val="-15"/>
        </w:rPr>
        <w:t xml:space="preserve"> </w:t>
      </w:r>
      <w:r>
        <w:t>que</w:t>
      </w:r>
      <w:r>
        <w:rPr>
          <w:spacing w:val="-13"/>
        </w:rPr>
        <w:t xml:space="preserve"> </w:t>
      </w:r>
      <w:r>
        <w:t>denuncian</w:t>
      </w:r>
      <w:r>
        <w:rPr>
          <w:spacing w:val="-13"/>
        </w:rPr>
        <w:t xml:space="preserve"> </w:t>
      </w:r>
      <w:r>
        <w:t>que</w:t>
      </w:r>
      <w:r>
        <w:rPr>
          <w:spacing w:val="-14"/>
        </w:rPr>
        <w:t xml:space="preserve"> </w:t>
      </w:r>
      <w:r>
        <w:t>los</w:t>
      </w:r>
      <w:r>
        <w:rPr>
          <w:spacing w:val="-14"/>
        </w:rPr>
        <w:t xml:space="preserve"> </w:t>
      </w:r>
      <w:r>
        <w:t>bienes son muchos más y continúan actualmente en manos de testaferros.</w:t>
      </w:r>
    </w:p>
    <w:p w:rsidR="003804AC" w:rsidRDefault="00AF18A5" w:rsidP="0075793B">
      <w:r>
        <w:t>Otro excomandante de las AUC, Raúl Emilio Hasbún, que tuvo un papel central en el diseño de las estrategias de financiación para la guerra, relató para el caso de Urabá la penetración de este entramado en la economía:</w:t>
      </w:r>
    </w:p>
    <w:p w:rsidR="003804AC" w:rsidRDefault="00AF18A5" w:rsidP="0075793B">
      <w:r>
        <w:t>A</w:t>
      </w:r>
      <w:r>
        <w:rPr>
          <w:spacing w:val="-2"/>
        </w:rPr>
        <w:t xml:space="preserve"> </w:t>
      </w:r>
      <w:r>
        <w:t>los</w:t>
      </w:r>
      <w:r>
        <w:rPr>
          <w:spacing w:val="-2"/>
        </w:rPr>
        <w:t xml:space="preserve"> </w:t>
      </w:r>
      <w:r>
        <w:t>empresarios</w:t>
      </w:r>
      <w:r>
        <w:rPr>
          <w:spacing w:val="-2"/>
        </w:rPr>
        <w:t xml:space="preserve"> </w:t>
      </w:r>
      <w:r>
        <w:t>nunca</w:t>
      </w:r>
      <w:r>
        <w:rPr>
          <w:spacing w:val="-2"/>
        </w:rPr>
        <w:t xml:space="preserve"> </w:t>
      </w:r>
      <w:r>
        <w:t>les</w:t>
      </w:r>
      <w:r>
        <w:rPr>
          <w:spacing w:val="-2"/>
        </w:rPr>
        <w:t xml:space="preserve"> </w:t>
      </w:r>
      <w:r>
        <w:t>han</w:t>
      </w:r>
      <w:r>
        <w:rPr>
          <w:spacing w:val="-1"/>
        </w:rPr>
        <w:t xml:space="preserve"> </w:t>
      </w:r>
      <w:r>
        <w:t>arrancado</w:t>
      </w:r>
      <w:r>
        <w:rPr>
          <w:spacing w:val="-1"/>
        </w:rPr>
        <w:t xml:space="preserve"> </w:t>
      </w:r>
      <w:r>
        <w:t>procesos.</w:t>
      </w:r>
      <w:r>
        <w:rPr>
          <w:spacing w:val="-2"/>
        </w:rPr>
        <w:t xml:space="preserve"> </w:t>
      </w:r>
      <w:r>
        <w:t>No</w:t>
      </w:r>
      <w:r>
        <w:rPr>
          <w:spacing w:val="-1"/>
        </w:rPr>
        <w:t xml:space="preserve"> </w:t>
      </w:r>
      <w:r>
        <w:t>ha</w:t>
      </w:r>
      <w:r>
        <w:rPr>
          <w:spacing w:val="-2"/>
        </w:rPr>
        <w:t xml:space="preserve"> </w:t>
      </w:r>
      <w:r>
        <w:t>empezado</w:t>
      </w:r>
      <w:r>
        <w:rPr>
          <w:spacing w:val="-1"/>
        </w:rPr>
        <w:t xml:space="preserve"> </w:t>
      </w:r>
      <w:r>
        <w:t>la</w:t>
      </w:r>
      <w:r>
        <w:rPr>
          <w:spacing w:val="-2"/>
        </w:rPr>
        <w:t xml:space="preserve"> </w:t>
      </w:r>
      <w:proofErr w:type="spellStart"/>
      <w:r>
        <w:t>paraeconomía</w:t>
      </w:r>
      <w:proofErr w:type="spellEnd"/>
      <w:r>
        <w:t>.</w:t>
      </w:r>
      <w:r>
        <w:rPr>
          <w:spacing w:val="-2"/>
        </w:rPr>
        <w:t xml:space="preserve"> </w:t>
      </w:r>
      <w:r>
        <w:t>En</w:t>
      </w:r>
      <w:r>
        <w:rPr>
          <w:spacing w:val="-1"/>
        </w:rPr>
        <w:t xml:space="preserve"> </w:t>
      </w:r>
      <w:r>
        <w:t xml:space="preserve">la </w:t>
      </w:r>
      <w:proofErr w:type="spellStart"/>
      <w:r>
        <w:t>paraeconomía</w:t>
      </w:r>
      <w:proofErr w:type="spellEnd"/>
      <w:r>
        <w:rPr>
          <w:spacing w:val="-3"/>
        </w:rPr>
        <w:t xml:space="preserve"> </w:t>
      </w:r>
      <w:r>
        <w:t>en</w:t>
      </w:r>
      <w:r>
        <w:rPr>
          <w:spacing w:val="-2"/>
        </w:rPr>
        <w:t xml:space="preserve"> </w:t>
      </w:r>
      <w:r>
        <w:t>Urabá</w:t>
      </w:r>
      <w:r>
        <w:rPr>
          <w:spacing w:val="-1"/>
        </w:rPr>
        <w:t xml:space="preserve"> </w:t>
      </w:r>
      <w:r>
        <w:t>yo</w:t>
      </w:r>
      <w:r>
        <w:rPr>
          <w:spacing w:val="-2"/>
        </w:rPr>
        <w:t xml:space="preserve"> </w:t>
      </w:r>
      <w:r>
        <w:t>involucro</w:t>
      </w:r>
      <w:r>
        <w:rPr>
          <w:spacing w:val="-2"/>
        </w:rPr>
        <w:t xml:space="preserve"> </w:t>
      </w:r>
      <w:r>
        <w:t>a</w:t>
      </w:r>
      <w:r>
        <w:rPr>
          <w:spacing w:val="-3"/>
        </w:rPr>
        <w:t xml:space="preserve"> </w:t>
      </w:r>
      <w:r>
        <w:t>4.000</w:t>
      </w:r>
      <w:r>
        <w:rPr>
          <w:spacing w:val="-2"/>
        </w:rPr>
        <w:t xml:space="preserve"> </w:t>
      </w:r>
      <w:r>
        <w:t>personas</w:t>
      </w:r>
      <w:r>
        <w:rPr>
          <w:spacing w:val="-3"/>
        </w:rPr>
        <w:t xml:space="preserve"> </w:t>
      </w:r>
      <w:r>
        <w:t>como</w:t>
      </w:r>
      <w:r>
        <w:rPr>
          <w:spacing w:val="-2"/>
        </w:rPr>
        <w:t xml:space="preserve"> </w:t>
      </w:r>
      <w:r>
        <w:t>poquito.</w:t>
      </w:r>
      <w:r>
        <w:rPr>
          <w:spacing w:val="-2"/>
        </w:rPr>
        <w:t xml:space="preserve"> </w:t>
      </w:r>
      <w:r>
        <w:t>[...].</w:t>
      </w:r>
      <w:r>
        <w:rPr>
          <w:spacing w:val="-2"/>
        </w:rPr>
        <w:t xml:space="preserve"> </w:t>
      </w:r>
      <w:r>
        <w:t>Lo</w:t>
      </w:r>
      <w:r>
        <w:rPr>
          <w:spacing w:val="-3"/>
        </w:rPr>
        <w:t xml:space="preserve"> </w:t>
      </w:r>
      <w:r>
        <w:t>que</w:t>
      </w:r>
      <w:r>
        <w:rPr>
          <w:spacing w:val="-3"/>
        </w:rPr>
        <w:t xml:space="preserve"> </w:t>
      </w:r>
      <w:r>
        <w:t>pasa</w:t>
      </w:r>
      <w:r>
        <w:rPr>
          <w:spacing w:val="-3"/>
        </w:rPr>
        <w:t xml:space="preserve"> </w:t>
      </w:r>
      <w:r>
        <w:t>es</w:t>
      </w:r>
      <w:r>
        <w:rPr>
          <w:spacing w:val="-3"/>
        </w:rPr>
        <w:t xml:space="preserve"> </w:t>
      </w:r>
      <w:r>
        <w:t>que hay</w:t>
      </w:r>
      <w:r>
        <w:rPr>
          <w:spacing w:val="-1"/>
        </w:rPr>
        <w:t xml:space="preserve"> </w:t>
      </w:r>
      <w:r>
        <w:t>varias</w:t>
      </w:r>
      <w:r>
        <w:rPr>
          <w:spacing w:val="-2"/>
        </w:rPr>
        <w:t xml:space="preserve"> </w:t>
      </w:r>
      <w:r>
        <w:t>personas</w:t>
      </w:r>
      <w:r>
        <w:rPr>
          <w:spacing w:val="-2"/>
        </w:rPr>
        <w:t xml:space="preserve"> </w:t>
      </w:r>
      <w:r>
        <w:t>demasiado</w:t>
      </w:r>
      <w:r>
        <w:rPr>
          <w:spacing w:val="-1"/>
        </w:rPr>
        <w:t xml:space="preserve"> </w:t>
      </w:r>
      <w:r>
        <w:t>importantes</w:t>
      </w:r>
      <w:r>
        <w:rPr>
          <w:spacing w:val="-2"/>
        </w:rPr>
        <w:t xml:space="preserve"> </w:t>
      </w:r>
      <w:r>
        <w:t>dentro</w:t>
      </w:r>
      <w:r>
        <w:rPr>
          <w:spacing w:val="-1"/>
        </w:rPr>
        <w:t xml:space="preserve"> </w:t>
      </w:r>
      <w:r>
        <w:t>de</w:t>
      </w:r>
      <w:r>
        <w:rPr>
          <w:spacing w:val="-2"/>
        </w:rPr>
        <w:t xml:space="preserve"> </w:t>
      </w:r>
      <w:r>
        <w:t>lo</w:t>
      </w:r>
      <w:r>
        <w:rPr>
          <w:spacing w:val="-1"/>
        </w:rPr>
        <w:t xml:space="preserve"> </w:t>
      </w:r>
      <w:r>
        <w:t>político</w:t>
      </w:r>
      <w:r>
        <w:rPr>
          <w:spacing w:val="-1"/>
        </w:rPr>
        <w:t xml:space="preserve"> </w:t>
      </w:r>
      <w:r>
        <w:t>y</w:t>
      </w:r>
      <w:r>
        <w:rPr>
          <w:spacing w:val="-1"/>
        </w:rPr>
        <w:t xml:space="preserve"> </w:t>
      </w:r>
      <w:r>
        <w:t>lo</w:t>
      </w:r>
      <w:r>
        <w:rPr>
          <w:spacing w:val="-1"/>
        </w:rPr>
        <w:t xml:space="preserve"> </w:t>
      </w:r>
      <w:r>
        <w:t>económico.</w:t>
      </w:r>
      <w:r>
        <w:rPr>
          <w:spacing w:val="-2"/>
        </w:rPr>
        <w:t xml:space="preserve"> </w:t>
      </w:r>
      <w:r>
        <w:t>Yo</w:t>
      </w:r>
      <w:r>
        <w:rPr>
          <w:spacing w:val="-1"/>
        </w:rPr>
        <w:t xml:space="preserve"> </w:t>
      </w:r>
      <w:r>
        <w:t>entregué unos listados a la Fiscalía con 270 bananeros, 400 ganaderos y podrían ser unos miles de comerciantes. La Fiscalía no tiene la capacidad para investigar lo que pasó en Urabá, pero tampoco hay voluntad política. Acabarían con el quinto renglón de la economía nacional que alimenta el PIB, que es el banano</w:t>
      </w:r>
      <w:r w:rsidR="0075793B">
        <w:rPr>
          <w:rStyle w:val="Refdenotaalpie"/>
        </w:rPr>
        <w:footnoteReference w:id="461"/>
      </w:r>
      <w:r>
        <w:t>.</w:t>
      </w:r>
    </w:p>
    <w:p w:rsidR="003804AC" w:rsidRDefault="00AF18A5" w:rsidP="0075793B">
      <w:r>
        <w:t>Allí</w:t>
      </w:r>
      <w:r>
        <w:rPr>
          <w:spacing w:val="-8"/>
        </w:rPr>
        <w:t xml:space="preserve"> </w:t>
      </w:r>
      <w:r>
        <w:t>mismo,</w:t>
      </w:r>
      <w:r>
        <w:rPr>
          <w:spacing w:val="-9"/>
        </w:rPr>
        <w:t xml:space="preserve"> </w:t>
      </w:r>
      <w:r>
        <w:t>el</w:t>
      </w:r>
      <w:r>
        <w:rPr>
          <w:spacing w:val="-8"/>
        </w:rPr>
        <w:t xml:space="preserve"> </w:t>
      </w:r>
      <w:r>
        <w:t>empresario</w:t>
      </w:r>
      <w:r>
        <w:rPr>
          <w:spacing w:val="-8"/>
        </w:rPr>
        <w:t xml:space="preserve"> </w:t>
      </w:r>
      <w:r>
        <w:t>Mario</w:t>
      </w:r>
      <w:r>
        <w:rPr>
          <w:spacing w:val="-8"/>
        </w:rPr>
        <w:t xml:space="preserve"> </w:t>
      </w:r>
      <w:r>
        <w:t>Zuluaga,</w:t>
      </w:r>
      <w:r>
        <w:rPr>
          <w:spacing w:val="-8"/>
        </w:rPr>
        <w:t xml:space="preserve"> </w:t>
      </w:r>
      <w:r>
        <w:t>uno</w:t>
      </w:r>
      <w:r>
        <w:rPr>
          <w:spacing w:val="-8"/>
        </w:rPr>
        <w:t xml:space="preserve"> </w:t>
      </w:r>
      <w:r>
        <w:t>de</w:t>
      </w:r>
      <w:r>
        <w:rPr>
          <w:spacing w:val="-9"/>
        </w:rPr>
        <w:t xml:space="preserve"> </w:t>
      </w:r>
      <w:r>
        <w:t>los</w:t>
      </w:r>
      <w:r>
        <w:rPr>
          <w:spacing w:val="-8"/>
        </w:rPr>
        <w:t xml:space="preserve"> </w:t>
      </w:r>
      <w:r>
        <w:t>actores</w:t>
      </w:r>
      <w:r>
        <w:rPr>
          <w:spacing w:val="-9"/>
        </w:rPr>
        <w:t xml:space="preserve"> </w:t>
      </w:r>
      <w:r>
        <w:t>que</w:t>
      </w:r>
      <w:r>
        <w:rPr>
          <w:spacing w:val="-8"/>
        </w:rPr>
        <w:t xml:space="preserve"> </w:t>
      </w:r>
      <w:r>
        <w:t>gestionaron</w:t>
      </w:r>
      <w:r>
        <w:rPr>
          <w:spacing w:val="-8"/>
        </w:rPr>
        <w:t xml:space="preserve"> </w:t>
      </w:r>
      <w:r>
        <w:t>la</w:t>
      </w:r>
      <w:r>
        <w:rPr>
          <w:spacing w:val="-8"/>
        </w:rPr>
        <w:t xml:space="preserve"> </w:t>
      </w:r>
      <w:r>
        <w:t>incursión</w:t>
      </w:r>
      <w:r>
        <w:rPr>
          <w:spacing w:val="-8"/>
        </w:rPr>
        <w:t xml:space="preserve"> </w:t>
      </w:r>
      <w:r>
        <w:t>de empresarios bananeros, le manifestó al país en uno de los Encuentros por la Verdad:</w:t>
      </w:r>
    </w:p>
    <w:p w:rsidR="003804AC" w:rsidRDefault="00AF18A5" w:rsidP="0075793B">
      <w:r>
        <w:t>«[Nosotros] contribuimos a financiar esos grupos paramilitares, y fue cuando ocurrió la masacre</w:t>
      </w:r>
      <w:r>
        <w:rPr>
          <w:spacing w:val="-5"/>
        </w:rPr>
        <w:t xml:space="preserve"> </w:t>
      </w:r>
      <w:r>
        <w:t>de</w:t>
      </w:r>
      <w:r>
        <w:rPr>
          <w:spacing w:val="-6"/>
        </w:rPr>
        <w:t xml:space="preserve"> </w:t>
      </w:r>
      <w:r>
        <w:t>Punta</w:t>
      </w:r>
      <w:r>
        <w:rPr>
          <w:spacing w:val="-5"/>
        </w:rPr>
        <w:t xml:space="preserve"> </w:t>
      </w:r>
      <w:r>
        <w:t>Coquitos,</w:t>
      </w:r>
      <w:r>
        <w:rPr>
          <w:spacing w:val="-5"/>
        </w:rPr>
        <w:t xml:space="preserve"> </w:t>
      </w:r>
      <w:r>
        <w:t>la</w:t>
      </w:r>
      <w:r>
        <w:rPr>
          <w:spacing w:val="-5"/>
        </w:rPr>
        <w:t xml:space="preserve"> </w:t>
      </w:r>
      <w:r>
        <w:t>masacre</w:t>
      </w:r>
      <w:r>
        <w:rPr>
          <w:spacing w:val="-5"/>
        </w:rPr>
        <w:t xml:space="preserve"> </w:t>
      </w:r>
      <w:r>
        <w:t>de</w:t>
      </w:r>
      <w:r>
        <w:rPr>
          <w:spacing w:val="-5"/>
        </w:rPr>
        <w:t xml:space="preserve"> </w:t>
      </w:r>
      <w:r>
        <w:t>Honduras</w:t>
      </w:r>
      <w:r>
        <w:rPr>
          <w:spacing w:val="-5"/>
        </w:rPr>
        <w:t xml:space="preserve"> </w:t>
      </w:r>
      <w:r>
        <w:t>y</w:t>
      </w:r>
      <w:r>
        <w:rPr>
          <w:spacing w:val="-5"/>
        </w:rPr>
        <w:t xml:space="preserve"> </w:t>
      </w:r>
      <w:r>
        <w:lastRenderedPageBreak/>
        <w:t>La</w:t>
      </w:r>
      <w:r>
        <w:rPr>
          <w:spacing w:val="-5"/>
        </w:rPr>
        <w:t xml:space="preserve"> </w:t>
      </w:r>
      <w:r>
        <w:t>Negra.</w:t>
      </w:r>
      <w:r>
        <w:rPr>
          <w:spacing w:val="-5"/>
        </w:rPr>
        <w:t xml:space="preserve"> </w:t>
      </w:r>
      <w:r>
        <w:t>Entonces</w:t>
      </w:r>
      <w:r>
        <w:rPr>
          <w:spacing w:val="-5"/>
        </w:rPr>
        <w:t xml:space="preserve"> </w:t>
      </w:r>
      <w:r>
        <w:t>dijimos:</w:t>
      </w:r>
      <w:r>
        <w:rPr>
          <w:spacing w:val="-4"/>
        </w:rPr>
        <w:t xml:space="preserve"> </w:t>
      </w:r>
      <w:r>
        <w:t>“Bueno, o ellos o nosotros”. Tomamos la decisión entre varios bananeros de que nosotros en ningún momento íbamos a permitir que la guerrilla se apoderara de la zona, entonces llamamos a estos</w:t>
      </w:r>
      <w:r>
        <w:rPr>
          <w:spacing w:val="20"/>
        </w:rPr>
        <w:t xml:space="preserve"> </w:t>
      </w:r>
      <w:r>
        <w:t>grupos</w:t>
      </w:r>
      <w:r>
        <w:rPr>
          <w:spacing w:val="20"/>
        </w:rPr>
        <w:t xml:space="preserve"> </w:t>
      </w:r>
      <w:r>
        <w:t>y</w:t>
      </w:r>
      <w:r>
        <w:rPr>
          <w:spacing w:val="21"/>
        </w:rPr>
        <w:t xml:space="preserve"> </w:t>
      </w:r>
      <w:r>
        <w:t>entraron</w:t>
      </w:r>
      <w:r>
        <w:rPr>
          <w:spacing w:val="22"/>
        </w:rPr>
        <w:t xml:space="preserve"> </w:t>
      </w:r>
      <w:r>
        <w:t>a</w:t>
      </w:r>
      <w:r>
        <w:rPr>
          <w:spacing w:val="22"/>
        </w:rPr>
        <w:t xml:space="preserve"> </w:t>
      </w:r>
      <w:r>
        <w:t>operar.</w:t>
      </w:r>
      <w:r>
        <w:rPr>
          <w:spacing w:val="21"/>
        </w:rPr>
        <w:t xml:space="preserve"> </w:t>
      </w:r>
      <w:r>
        <w:t>Fueron</w:t>
      </w:r>
      <w:r>
        <w:rPr>
          <w:spacing w:val="22"/>
        </w:rPr>
        <w:t xml:space="preserve"> </w:t>
      </w:r>
      <w:r>
        <w:t>decisiones</w:t>
      </w:r>
      <w:r>
        <w:rPr>
          <w:spacing w:val="22"/>
        </w:rPr>
        <w:t xml:space="preserve"> </w:t>
      </w:r>
      <w:r>
        <w:t>que</w:t>
      </w:r>
      <w:r>
        <w:rPr>
          <w:spacing w:val="22"/>
        </w:rPr>
        <w:t xml:space="preserve"> </w:t>
      </w:r>
      <w:r>
        <w:t>no</w:t>
      </w:r>
      <w:r>
        <w:rPr>
          <w:spacing w:val="21"/>
        </w:rPr>
        <w:t xml:space="preserve"> </w:t>
      </w:r>
      <w:r>
        <w:t>se</w:t>
      </w:r>
      <w:r>
        <w:rPr>
          <w:spacing w:val="23"/>
        </w:rPr>
        <w:t xml:space="preserve"> </w:t>
      </w:r>
      <w:r>
        <w:t>debieron</w:t>
      </w:r>
      <w:r>
        <w:rPr>
          <w:spacing w:val="20"/>
        </w:rPr>
        <w:t xml:space="preserve"> </w:t>
      </w:r>
      <w:r>
        <w:t>de</w:t>
      </w:r>
      <w:r>
        <w:rPr>
          <w:spacing w:val="22"/>
        </w:rPr>
        <w:t xml:space="preserve"> </w:t>
      </w:r>
      <w:r>
        <w:t>haber</w:t>
      </w:r>
      <w:r>
        <w:rPr>
          <w:spacing w:val="23"/>
        </w:rPr>
        <w:t xml:space="preserve"> </w:t>
      </w:r>
      <w:r>
        <w:rPr>
          <w:spacing w:val="-2"/>
        </w:rPr>
        <w:t>tomado,</w:t>
      </w:r>
      <w:bookmarkStart w:id="620" w:name="_bookmark515"/>
      <w:bookmarkStart w:id="621" w:name="_bookmark516"/>
      <w:bookmarkEnd w:id="620"/>
      <w:bookmarkEnd w:id="621"/>
      <w:r w:rsidR="0075793B">
        <w:rPr>
          <w:spacing w:val="-2"/>
        </w:rPr>
        <w:t xml:space="preserve"> </w:t>
      </w:r>
      <w:r>
        <w:t>porque ahí sabíamos que iba a morir mucha gente inocente. [...] Hubo una participación directa en esas masacres, porque cuando llegaron los grupos paramilitares, todos participamos...</w:t>
      </w:r>
      <w:r>
        <w:rPr>
          <w:spacing w:val="-9"/>
        </w:rPr>
        <w:t xml:space="preserve"> </w:t>
      </w:r>
      <w:r>
        <w:t>O</w:t>
      </w:r>
      <w:r>
        <w:rPr>
          <w:spacing w:val="-10"/>
        </w:rPr>
        <w:t xml:space="preserve"> </w:t>
      </w:r>
      <w:r>
        <w:t>cuando</w:t>
      </w:r>
      <w:r>
        <w:rPr>
          <w:spacing w:val="-9"/>
        </w:rPr>
        <w:t xml:space="preserve"> </w:t>
      </w:r>
      <w:r>
        <w:t>llegaron</w:t>
      </w:r>
      <w:r>
        <w:rPr>
          <w:spacing w:val="-9"/>
        </w:rPr>
        <w:t xml:space="preserve"> </w:t>
      </w:r>
      <w:r>
        <w:t>no,</w:t>
      </w:r>
      <w:r>
        <w:rPr>
          <w:spacing w:val="-9"/>
        </w:rPr>
        <w:t xml:space="preserve"> </w:t>
      </w:r>
      <w:r>
        <w:t>sino</w:t>
      </w:r>
      <w:r>
        <w:rPr>
          <w:spacing w:val="-9"/>
        </w:rPr>
        <w:t xml:space="preserve"> </w:t>
      </w:r>
      <w:r>
        <w:t>que</w:t>
      </w:r>
      <w:r>
        <w:rPr>
          <w:spacing w:val="-9"/>
        </w:rPr>
        <w:t xml:space="preserve"> </w:t>
      </w:r>
      <w:r>
        <w:t>nosotros</w:t>
      </w:r>
      <w:r>
        <w:rPr>
          <w:spacing w:val="-9"/>
        </w:rPr>
        <w:t xml:space="preserve"> </w:t>
      </w:r>
      <w:r>
        <w:t>mismos</w:t>
      </w:r>
      <w:r>
        <w:rPr>
          <w:spacing w:val="-9"/>
        </w:rPr>
        <w:t xml:space="preserve"> </w:t>
      </w:r>
      <w:r>
        <w:t>contribuimos</w:t>
      </w:r>
      <w:r>
        <w:rPr>
          <w:spacing w:val="-9"/>
        </w:rPr>
        <w:t xml:space="preserve"> </w:t>
      </w:r>
      <w:r>
        <w:t>para</w:t>
      </w:r>
      <w:r>
        <w:rPr>
          <w:spacing w:val="-9"/>
        </w:rPr>
        <w:t xml:space="preserve"> </w:t>
      </w:r>
      <w:r>
        <w:t>que</w:t>
      </w:r>
      <w:r>
        <w:rPr>
          <w:spacing w:val="-9"/>
        </w:rPr>
        <w:t xml:space="preserve"> </w:t>
      </w:r>
      <w:r>
        <w:t>estos grupos entraran, a poner en orden las cosas»</w:t>
      </w:r>
      <w:r w:rsidR="0075793B">
        <w:rPr>
          <w:rStyle w:val="Refdenotaalpie"/>
        </w:rPr>
        <w:footnoteReference w:id="462"/>
      </w:r>
      <w:r>
        <w:t>.</w:t>
      </w:r>
    </w:p>
    <w:p w:rsidR="003804AC" w:rsidRDefault="00AF18A5" w:rsidP="0075793B">
      <w:r>
        <w:t xml:space="preserve">Según el proceso judicial estadounidense contra la empresa Chiquita </w:t>
      </w:r>
      <w:proofErr w:type="spellStart"/>
      <w:r>
        <w:t>Brands</w:t>
      </w:r>
      <w:proofErr w:type="spellEnd"/>
      <w:r>
        <w:t xml:space="preserve">, citado por la Fiscalía General de la Nación, «el valor aportado hasta 2004 por </w:t>
      </w:r>
      <w:proofErr w:type="spellStart"/>
      <w:r>
        <w:t>Banadex</w:t>
      </w:r>
      <w:proofErr w:type="spellEnd"/>
      <w:r>
        <w:t xml:space="preserve">, filial de la comercializadora Chiquita </w:t>
      </w:r>
      <w:proofErr w:type="spellStart"/>
      <w:r>
        <w:t>Brands</w:t>
      </w:r>
      <w:proofErr w:type="spellEnd"/>
      <w:r>
        <w:t xml:space="preserve"> International INC, a las Convivir, fue de 1,7 millones de dólares»</w:t>
      </w:r>
      <w:r w:rsidR="0075793B">
        <w:rPr>
          <w:rStyle w:val="Refdenotaalpie"/>
        </w:rPr>
        <w:footnoteReference w:id="463"/>
      </w:r>
      <w:r>
        <w:t>. Sin embargo, una fiscalía especializada de Medellín decidió precluir la investigación</w:t>
      </w:r>
      <w:r>
        <w:rPr>
          <w:spacing w:val="-8"/>
        </w:rPr>
        <w:t xml:space="preserve"> </w:t>
      </w:r>
      <w:r>
        <w:t>por</w:t>
      </w:r>
      <w:r>
        <w:rPr>
          <w:spacing w:val="-9"/>
        </w:rPr>
        <w:t xml:space="preserve"> </w:t>
      </w:r>
      <w:r>
        <w:t>tales</w:t>
      </w:r>
      <w:r>
        <w:rPr>
          <w:spacing w:val="-8"/>
        </w:rPr>
        <w:t xml:space="preserve"> </w:t>
      </w:r>
      <w:r>
        <w:t>hechos,</w:t>
      </w:r>
      <w:r>
        <w:rPr>
          <w:spacing w:val="-8"/>
        </w:rPr>
        <w:t xml:space="preserve"> </w:t>
      </w:r>
      <w:r>
        <w:t>que</w:t>
      </w:r>
      <w:r>
        <w:rPr>
          <w:spacing w:val="-9"/>
        </w:rPr>
        <w:t xml:space="preserve"> </w:t>
      </w:r>
      <w:r>
        <w:t>hacían</w:t>
      </w:r>
      <w:r>
        <w:rPr>
          <w:spacing w:val="-9"/>
        </w:rPr>
        <w:t xml:space="preserve"> </w:t>
      </w:r>
      <w:r>
        <w:t>parte</w:t>
      </w:r>
      <w:r>
        <w:rPr>
          <w:spacing w:val="-8"/>
        </w:rPr>
        <w:t xml:space="preserve"> </w:t>
      </w:r>
      <w:r>
        <w:t>de</w:t>
      </w:r>
      <w:r>
        <w:rPr>
          <w:spacing w:val="-8"/>
        </w:rPr>
        <w:t xml:space="preserve"> </w:t>
      </w:r>
      <w:r>
        <w:t>una</w:t>
      </w:r>
      <w:r>
        <w:rPr>
          <w:spacing w:val="-8"/>
        </w:rPr>
        <w:t xml:space="preserve"> </w:t>
      </w:r>
      <w:r>
        <w:t>serie</w:t>
      </w:r>
      <w:r>
        <w:rPr>
          <w:spacing w:val="-8"/>
        </w:rPr>
        <w:t xml:space="preserve"> </w:t>
      </w:r>
      <w:r>
        <w:t>de</w:t>
      </w:r>
      <w:r>
        <w:rPr>
          <w:spacing w:val="-8"/>
        </w:rPr>
        <w:t xml:space="preserve"> </w:t>
      </w:r>
      <w:r>
        <w:t>hechos</w:t>
      </w:r>
      <w:r>
        <w:rPr>
          <w:spacing w:val="-9"/>
        </w:rPr>
        <w:t xml:space="preserve"> </w:t>
      </w:r>
      <w:r>
        <w:t>que</w:t>
      </w:r>
      <w:r>
        <w:rPr>
          <w:spacing w:val="-8"/>
        </w:rPr>
        <w:t xml:space="preserve"> </w:t>
      </w:r>
      <w:r>
        <w:t>explican</w:t>
      </w:r>
      <w:r>
        <w:rPr>
          <w:spacing w:val="-9"/>
        </w:rPr>
        <w:t xml:space="preserve"> </w:t>
      </w:r>
      <w:r>
        <w:t>el</w:t>
      </w:r>
      <w:r>
        <w:rPr>
          <w:spacing w:val="-9"/>
        </w:rPr>
        <w:t xml:space="preserve"> </w:t>
      </w:r>
      <w:r>
        <w:t>grado de la participación de los empresarios bananeros:</w:t>
      </w:r>
    </w:p>
    <w:p w:rsidR="003804AC" w:rsidRDefault="00AF18A5" w:rsidP="0075793B">
      <w:r>
        <w:t>[…] este aporte a los grupos paramilitares fue decidido por todo el gremio de productores de banano en la zona del Urabá, más concretamente en el eje bananero, y si alguno se negaba a reconocerlo</w:t>
      </w:r>
      <w:r>
        <w:rPr>
          <w:spacing w:val="-8"/>
        </w:rPr>
        <w:t xml:space="preserve"> </w:t>
      </w:r>
      <w:r>
        <w:t>[a</w:t>
      </w:r>
      <w:r>
        <w:rPr>
          <w:spacing w:val="-9"/>
        </w:rPr>
        <w:t xml:space="preserve"> </w:t>
      </w:r>
      <w:r>
        <w:t>aportar],</w:t>
      </w:r>
      <w:r>
        <w:rPr>
          <w:spacing w:val="-9"/>
        </w:rPr>
        <w:t xml:space="preserve"> </w:t>
      </w:r>
      <w:r>
        <w:t>las</w:t>
      </w:r>
      <w:r>
        <w:rPr>
          <w:spacing w:val="-8"/>
        </w:rPr>
        <w:t xml:space="preserve"> </w:t>
      </w:r>
      <w:r>
        <w:t>comercializadoras</w:t>
      </w:r>
      <w:r>
        <w:rPr>
          <w:spacing w:val="-9"/>
        </w:rPr>
        <w:t xml:space="preserve"> </w:t>
      </w:r>
      <w:r>
        <w:t>no</w:t>
      </w:r>
      <w:r>
        <w:rPr>
          <w:spacing w:val="-8"/>
        </w:rPr>
        <w:t xml:space="preserve"> </w:t>
      </w:r>
      <w:r>
        <w:t>le</w:t>
      </w:r>
      <w:r>
        <w:rPr>
          <w:spacing w:val="-9"/>
        </w:rPr>
        <w:t xml:space="preserve"> </w:t>
      </w:r>
      <w:r>
        <w:t>compraban</w:t>
      </w:r>
      <w:r>
        <w:rPr>
          <w:spacing w:val="-8"/>
        </w:rPr>
        <w:t xml:space="preserve"> </w:t>
      </w:r>
      <w:r>
        <w:t>el</w:t>
      </w:r>
      <w:r>
        <w:rPr>
          <w:spacing w:val="-9"/>
        </w:rPr>
        <w:t xml:space="preserve"> </w:t>
      </w:r>
      <w:r>
        <w:t>banano.</w:t>
      </w:r>
      <w:r>
        <w:rPr>
          <w:spacing w:val="-9"/>
        </w:rPr>
        <w:t xml:space="preserve"> </w:t>
      </w:r>
      <w:r>
        <w:t>Como</w:t>
      </w:r>
      <w:r>
        <w:rPr>
          <w:spacing w:val="-10"/>
        </w:rPr>
        <w:t xml:space="preserve"> </w:t>
      </w:r>
      <w:r>
        <w:t xml:space="preserve">consecuencia de ello, la productora llegaba a la quiebra y debía vender el negocio, que luego era adquirido por una de las grandes empresas </w:t>
      </w:r>
      <w:r>
        <w:lastRenderedPageBreak/>
        <w:t>productoras de banano en la región</w:t>
      </w:r>
      <w:r w:rsidR="0075793B">
        <w:rPr>
          <w:rStyle w:val="Refdenotaalpie"/>
        </w:rPr>
        <w:footnoteReference w:id="464"/>
      </w:r>
      <w:r>
        <w:t>.</w:t>
      </w:r>
    </w:p>
    <w:p w:rsidR="003804AC" w:rsidRDefault="00AF18A5" w:rsidP="0075793B">
      <w:r>
        <w:t>Urabá no es el único caso. Quien se desempeñó como emisario en Bogotá de Miguel Arroyave,</w:t>
      </w:r>
      <w:r>
        <w:rPr>
          <w:spacing w:val="-1"/>
        </w:rPr>
        <w:t xml:space="preserve"> </w:t>
      </w:r>
      <w:r>
        <w:t>excomandante</w:t>
      </w:r>
      <w:r>
        <w:rPr>
          <w:spacing w:val="-1"/>
        </w:rPr>
        <w:t xml:space="preserve"> </w:t>
      </w:r>
      <w:r>
        <w:t>paramilitar</w:t>
      </w:r>
      <w:r>
        <w:rPr>
          <w:spacing w:val="-2"/>
        </w:rPr>
        <w:t xml:space="preserve"> </w:t>
      </w:r>
      <w:r>
        <w:t>del</w:t>
      </w:r>
      <w:r>
        <w:rPr>
          <w:spacing w:val="-1"/>
        </w:rPr>
        <w:t xml:space="preserve"> </w:t>
      </w:r>
      <w:r>
        <w:t>Bloque</w:t>
      </w:r>
      <w:r>
        <w:rPr>
          <w:spacing w:val="-2"/>
        </w:rPr>
        <w:t xml:space="preserve"> </w:t>
      </w:r>
      <w:r>
        <w:t>Centauros</w:t>
      </w:r>
      <w:r>
        <w:rPr>
          <w:spacing w:val="-1"/>
        </w:rPr>
        <w:t xml:space="preserve"> </w:t>
      </w:r>
      <w:r>
        <w:t>de</w:t>
      </w:r>
      <w:r>
        <w:rPr>
          <w:spacing w:val="-1"/>
        </w:rPr>
        <w:t xml:space="preserve"> </w:t>
      </w:r>
      <w:r>
        <w:t>la</w:t>
      </w:r>
      <w:r>
        <w:rPr>
          <w:spacing w:val="-1"/>
        </w:rPr>
        <w:t xml:space="preserve"> </w:t>
      </w:r>
      <w:r>
        <w:t>AUC,</w:t>
      </w:r>
      <w:r>
        <w:rPr>
          <w:spacing w:val="-1"/>
        </w:rPr>
        <w:t xml:space="preserve"> </w:t>
      </w:r>
      <w:r>
        <w:t>relató</w:t>
      </w:r>
      <w:r>
        <w:rPr>
          <w:spacing w:val="-1"/>
        </w:rPr>
        <w:t xml:space="preserve"> </w:t>
      </w:r>
      <w:r>
        <w:t>a</w:t>
      </w:r>
      <w:r>
        <w:rPr>
          <w:spacing w:val="-2"/>
        </w:rPr>
        <w:t xml:space="preserve"> </w:t>
      </w:r>
      <w:r>
        <w:t>la</w:t>
      </w:r>
      <w:r>
        <w:rPr>
          <w:spacing w:val="-1"/>
        </w:rPr>
        <w:t xml:space="preserve"> </w:t>
      </w:r>
      <w:r>
        <w:t>Comisión de la Verdad que él atendía los asuntos de ese bloque desde un reconocido café ubicado en el</w:t>
      </w:r>
      <w:r>
        <w:rPr>
          <w:spacing w:val="-7"/>
        </w:rPr>
        <w:t xml:space="preserve"> </w:t>
      </w:r>
      <w:r>
        <w:t>centro</w:t>
      </w:r>
      <w:r>
        <w:rPr>
          <w:spacing w:val="-7"/>
        </w:rPr>
        <w:t xml:space="preserve"> </w:t>
      </w:r>
      <w:r>
        <w:t>comercial</w:t>
      </w:r>
      <w:r>
        <w:rPr>
          <w:spacing w:val="-8"/>
        </w:rPr>
        <w:t xml:space="preserve"> </w:t>
      </w:r>
      <w:r>
        <w:t>Andino</w:t>
      </w:r>
      <w:r>
        <w:rPr>
          <w:spacing w:val="-7"/>
        </w:rPr>
        <w:t xml:space="preserve"> </w:t>
      </w:r>
      <w:r>
        <w:t>en</w:t>
      </w:r>
      <w:r>
        <w:rPr>
          <w:spacing w:val="-7"/>
        </w:rPr>
        <w:t xml:space="preserve"> </w:t>
      </w:r>
      <w:r>
        <w:t>Bogotá</w:t>
      </w:r>
      <w:r>
        <w:rPr>
          <w:spacing w:val="-7"/>
        </w:rPr>
        <w:t xml:space="preserve"> </w:t>
      </w:r>
      <w:r>
        <w:t>o</w:t>
      </w:r>
      <w:r>
        <w:rPr>
          <w:spacing w:val="-7"/>
        </w:rPr>
        <w:t xml:space="preserve"> </w:t>
      </w:r>
      <w:r>
        <w:t>desde</w:t>
      </w:r>
      <w:r>
        <w:rPr>
          <w:spacing w:val="-7"/>
        </w:rPr>
        <w:t xml:space="preserve"> </w:t>
      </w:r>
      <w:r>
        <w:t>una</w:t>
      </w:r>
      <w:r>
        <w:rPr>
          <w:spacing w:val="-7"/>
        </w:rPr>
        <w:t xml:space="preserve"> </w:t>
      </w:r>
      <w:r>
        <w:t>estación</w:t>
      </w:r>
      <w:r>
        <w:rPr>
          <w:spacing w:val="-8"/>
        </w:rPr>
        <w:t xml:space="preserve"> </w:t>
      </w:r>
      <w:r>
        <w:t>de</w:t>
      </w:r>
      <w:r>
        <w:rPr>
          <w:spacing w:val="-7"/>
        </w:rPr>
        <w:t xml:space="preserve"> </w:t>
      </w:r>
      <w:r>
        <w:t>gasolina</w:t>
      </w:r>
      <w:r>
        <w:rPr>
          <w:spacing w:val="-8"/>
        </w:rPr>
        <w:t xml:space="preserve"> </w:t>
      </w:r>
      <w:r>
        <w:t>que</w:t>
      </w:r>
      <w:r>
        <w:rPr>
          <w:spacing w:val="-7"/>
        </w:rPr>
        <w:t xml:space="preserve"> </w:t>
      </w:r>
      <w:r>
        <w:t>existía</w:t>
      </w:r>
      <w:r>
        <w:rPr>
          <w:spacing w:val="-8"/>
        </w:rPr>
        <w:t xml:space="preserve"> </w:t>
      </w:r>
      <w:r>
        <w:t>en</w:t>
      </w:r>
      <w:r>
        <w:rPr>
          <w:spacing w:val="-7"/>
        </w:rPr>
        <w:t xml:space="preserve"> </w:t>
      </w:r>
      <w:r>
        <w:t>una</w:t>
      </w:r>
      <w:r>
        <w:rPr>
          <w:spacing w:val="-7"/>
        </w:rPr>
        <w:t xml:space="preserve"> </w:t>
      </w:r>
      <w:r>
        <w:t>de las entradas del centro comercial Unicentro, adonde personas de los estratos más altos acudían para obtener el apoyo de Miguel Arroyave:</w:t>
      </w:r>
    </w:p>
    <w:p w:rsidR="003804AC" w:rsidRDefault="00AF18A5" w:rsidP="0075793B">
      <w:r>
        <w:t>«Desde</w:t>
      </w:r>
      <w:r>
        <w:rPr>
          <w:spacing w:val="-11"/>
        </w:rPr>
        <w:t xml:space="preserve"> </w:t>
      </w:r>
      <w:r>
        <w:t>el</w:t>
      </w:r>
      <w:r>
        <w:rPr>
          <w:spacing w:val="-10"/>
        </w:rPr>
        <w:t xml:space="preserve"> </w:t>
      </w:r>
      <w:r>
        <w:t>año</w:t>
      </w:r>
      <w:r>
        <w:rPr>
          <w:spacing w:val="-11"/>
        </w:rPr>
        <w:t xml:space="preserve"> </w:t>
      </w:r>
      <w:r>
        <w:t>2001,</w:t>
      </w:r>
      <w:r>
        <w:rPr>
          <w:spacing w:val="-11"/>
        </w:rPr>
        <w:t xml:space="preserve"> </w:t>
      </w:r>
      <w:r>
        <w:t>hasta</w:t>
      </w:r>
      <w:r>
        <w:rPr>
          <w:spacing w:val="-11"/>
        </w:rPr>
        <w:t xml:space="preserve"> </w:t>
      </w:r>
      <w:r>
        <w:t>el</w:t>
      </w:r>
      <w:r>
        <w:rPr>
          <w:spacing w:val="-10"/>
        </w:rPr>
        <w:t xml:space="preserve"> </w:t>
      </w:r>
      <w:r>
        <w:t>2004,</w:t>
      </w:r>
      <w:r>
        <w:rPr>
          <w:spacing w:val="-11"/>
        </w:rPr>
        <w:t xml:space="preserve"> </w:t>
      </w:r>
      <w:r>
        <w:t>eso</w:t>
      </w:r>
      <w:r>
        <w:rPr>
          <w:spacing w:val="-11"/>
        </w:rPr>
        <w:t xml:space="preserve"> </w:t>
      </w:r>
      <w:r>
        <w:t>todo</w:t>
      </w:r>
      <w:r>
        <w:rPr>
          <w:spacing w:val="-11"/>
        </w:rPr>
        <w:t xml:space="preserve"> </w:t>
      </w:r>
      <w:r>
        <w:t>el</w:t>
      </w:r>
      <w:r>
        <w:rPr>
          <w:spacing w:val="-12"/>
        </w:rPr>
        <w:t xml:space="preserve"> </w:t>
      </w:r>
      <w:r>
        <w:t>mundo</w:t>
      </w:r>
      <w:r>
        <w:rPr>
          <w:spacing w:val="-11"/>
        </w:rPr>
        <w:t xml:space="preserve"> </w:t>
      </w:r>
      <w:r>
        <w:t>vivía</w:t>
      </w:r>
      <w:r>
        <w:rPr>
          <w:spacing w:val="-12"/>
        </w:rPr>
        <w:t xml:space="preserve"> </w:t>
      </w:r>
      <w:r>
        <w:t>loco</w:t>
      </w:r>
      <w:r>
        <w:rPr>
          <w:spacing w:val="-11"/>
        </w:rPr>
        <w:t xml:space="preserve"> </w:t>
      </w:r>
      <w:r>
        <w:t>por</w:t>
      </w:r>
      <w:r>
        <w:rPr>
          <w:spacing w:val="-10"/>
        </w:rPr>
        <w:t xml:space="preserve"> </w:t>
      </w:r>
      <w:r>
        <w:t>hablar</w:t>
      </w:r>
      <w:r>
        <w:rPr>
          <w:spacing w:val="-10"/>
        </w:rPr>
        <w:t xml:space="preserve"> </w:t>
      </w:r>
      <w:r>
        <w:t>con</w:t>
      </w:r>
      <w:r>
        <w:rPr>
          <w:spacing w:val="-11"/>
        </w:rPr>
        <w:t xml:space="preserve"> </w:t>
      </w:r>
      <w:r>
        <w:t>él</w:t>
      </w:r>
      <w:r>
        <w:rPr>
          <w:spacing w:val="-12"/>
        </w:rPr>
        <w:t xml:space="preserve"> </w:t>
      </w:r>
      <w:r>
        <w:t>[Miguel Arroyave]:</w:t>
      </w:r>
      <w:r>
        <w:rPr>
          <w:spacing w:val="-9"/>
        </w:rPr>
        <w:t xml:space="preserve"> </w:t>
      </w:r>
      <w:r>
        <w:t>los</w:t>
      </w:r>
      <w:r>
        <w:rPr>
          <w:spacing w:val="-9"/>
        </w:rPr>
        <w:t xml:space="preserve"> </w:t>
      </w:r>
      <w:r>
        <w:t>floricultores,</w:t>
      </w:r>
      <w:r>
        <w:rPr>
          <w:spacing w:val="-10"/>
        </w:rPr>
        <w:t xml:space="preserve"> </w:t>
      </w:r>
      <w:r>
        <w:t>los</w:t>
      </w:r>
      <w:r>
        <w:rPr>
          <w:spacing w:val="-9"/>
        </w:rPr>
        <w:t xml:space="preserve"> </w:t>
      </w:r>
      <w:r>
        <w:t>de</w:t>
      </w:r>
      <w:r>
        <w:rPr>
          <w:spacing w:val="-9"/>
        </w:rPr>
        <w:t xml:space="preserve"> </w:t>
      </w:r>
      <w:r>
        <w:t>la</w:t>
      </w:r>
      <w:r>
        <w:rPr>
          <w:spacing w:val="-11"/>
        </w:rPr>
        <w:t xml:space="preserve"> </w:t>
      </w:r>
      <w:r>
        <w:t>leche,</w:t>
      </w:r>
      <w:r>
        <w:rPr>
          <w:spacing w:val="-10"/>
        </w:rPr>
        <w:t xml:space="preserve"> </w:t>
      </w:r>
      <w:r>
        <w:t>todo</w:t>
      </w:r>
      <w:r>
        <w:rPr>
          <w:spacing w:val="-10"/>
        </w:rPr>
        <w:t xml:space="preserve"> </w:t>
      </w:r>
      <w:r>
        <w:t>el</w:t>
      </w:r>
      <w:r>
        <w:rPr>
          <w:spacing w:val="-9"/>
        </w:rPr>
        <w:t xml:space="preserve"> </w:t>
      </w:r>
      <w:r>
        <w:t>mundo</w:t>
      </w:r>
      <w:r>
        <w:rPr>
          <w:spacing w:val="-10"/>
        </w:rPr>
        <w:t xml:space="preserve"> </w:t>
      </w:r>
      <w:r>
        <w:t>buscando</w:t>
      </w:r>
      <w:r>
        <w:rPr>
          <w:spacing w:val="-10"/>
        </w:rPr>
        <w:t xml:space="preserve"> </w:t>
      </w:r>
      <w:r>
        <w:t>la</w:t>
      </w:r>
      <w:r>
        <w:rPr>
          <w:spacing w:val="-9"/>
        </w:rPr>
        <w:t xml:space="preserve"> </w:t>
      </w:r>
      <w:r>
        <w:t>oportunidad</w:t>
      </w:r>
      <w:r>
        <w:rPr>
          <w:spacing w:val="-10"/>
        </w:rPr>
        <w:t xml:space="preserve"> </w:t>
      </w:r>
      <w:r>
        <w:t>de</w:t>
      </w:r>
      <w:r>
        <w:rPr>
          <w:spacing w:val="-9"/>
        </w:rPr>
        <w:t xml:space="preserve"> </w:t>
      </w:r>
      <w:r>
        <w:t>poder hablar con él [...], los que llevaban las prepagos, el político que necesitaba el apoyo en la zona,</w:t>
      </w:r>
      <w:r>
        <w:rPr>
          <w:spacing w:val="-9"/>
        </w:rPr>
        <w:t xml:space="preserve"> </w:t>
      </w:r>
      <w:r>
        <w:t>el</w:t>
      </w:r>
      <w:r>
        <w:rPr>
          <w:spacing w:val="-7"/>
        </w:rPr>
        <w:t xml:space="preserve"> </w:t>
      </w:r>
      <w:r>
        <w:t>empresario</w:t>
      </w:r>
      <w:r>
        <w:rPr>
          <w:spacing w:val="-7"/>
        </w:rPr>
        <w:t xml:space="preserve"> </w:t>
      </w:r>
      <w:r>
        <w:t>que</w:t>
      </w:r>
      <w:r>
        <w:rPr>
          <w:spacing w:val="-7"/>
        </w:rPr>
        <w:t xml:space="preserve"> </w:t>
      </w:r>
      <w:r>
        <w:t>tenía</w:t>
      </w:r>
      <w:r>
        <w:rPr>
          <w:spacing w:val="-7"/>
        </w:rPr>
        <w:t xml:space="preserve"> </w:t>
      </w:r>
      <w:r>
        <w:t>un</w:t>
      </w:r>
      <w:r>
        <w:rPr>
          <w:spacing w:val="-6"/>
        </w:rPr>
        <w:t xml:space="preserve"> </w:t>
      </w:r>
      <w:r>
        <w:t>problema</w:t>
      </w:r>
      <w:r>
        <w:rPr>
          <w:spacing w:val="-8"/>
        </w:rPr>
        <w:t xml:space="preserve"> </w:t>
      </w:r>
      <w:r>
        <w:t>con</w:t>
      </w:r>
      <w:r>
        <w:rPr>
          <w:spacing w:val="-6"/>
        </w:rPr>
        <w:t xml:space="preserve"> </w:t>
      </w:r>
      <w:r>
        <w:t>otro</w:t>
      </w:r>
      <w:r>
        <w:rPr>
          <w:spacing w:val="-7"/>
        </w:rPr>
        <w:t xml:space="preserve"> </w:t>
      </w:r>
      <w:r>
        <w:t>empresario</w:t>
      </w:r>
      <w:r>
        <w:rPr>
          <w:spacing w:val="-6"/>
        </w:rPr>
        <w:t xml:space="preserve"> </w:t>
      </w:r>
      <w:r>
        <w:t>y</w:t>
      </w:r>
      <w:r>
        <w:rPr>
          <w:spacing w:val="-7"/>
        </w:rPr>
        <w:t xml:space="preserve"> </w:t>
      </w:r>
      <w:r>
        <w:t>quería</w:t>
      </w:r>
      <w:r>
        <w:rPr>
          <w:spacing w:val="-6"/>
        </w:rPr>
        <w:t xml:space="preserve"> </w:t>
      </w:r>
      <w:r>
        <w:t>arreglarlo</w:t>
      </w:r>
      <w:r>
        <w:rPr>
          <w:spacing w:val="-7"/>
        </w:rPr>
        <w:t xml:space="preserve"> </w:t>
      </w:r>
      <w:r>
        <w:t>porque</w:t>
      </w:r>
      <w:r>
        <w:rPr>
          <w:spacing w:val="-6"/>
        </w:rPr>
        <w:t xml:space="preserve"> </w:t>
      </w:r>
      <w:r>
        <w:rPr>
          <w:spacing w:val="-5"/>
        </w:rPr>
        <w:t>no</w:t>
      </w:r>
      <w:bookmarkStart w:id="622" w:name="_bookmark517"/>
      <w:bookmarkStart w:id="623" w:name="_bookmark518"/>
      <w:bookmarkStart w:id="624" w:name="_bookmark519"/>
      <w:bookmarkEnd w:id="622"/>
      <w:bookmarkEnd w:id="623"/>
      <w:bookmarkEnd w:id="624"/>
      <w:r w:rsidR="0075793B">
        <w:rPr>
          <w:spacing w:val="-5"/>
        </w:rPr>
        <w:t xml:space="preserve"> </w:t>
      </w:r>
      <w:r>
        <w:t>se quería ir a un juicio, sino que quería esa mediación, el traqueto al que se le habían caído mil kilos y quería cuadrar la vuelta, eso era todo el mundo allá»</w:t>
      </w:r>
      <w:r w:rsidR="0075793B">
        <w:rPr>
          <w:rStyle w:val="Refdenotaalpie"/>
        </w:rPr>
        <w:footnoteReference w:id="465"/>
      </w:r>
      <w:r>
        <w:t>.</w:t>
      </w:r>
    </w:p>
    <w:p w:rsidR="003804AC" w:rsidRDefault="00AF18A5" w:rsidP="0075793B">
      <w:r>
        <w:t xml:space="preserve">Otro paramilitar también mencionó a gremios enteros del agro relacionados con el paramilitarismo y el despojo de tierras de algunos empresarios </w:t>
      </w:r>
      <w:proofErr w:type="spellStart"/>
      <w:r>
        <w:t>palmicultores</w:t>
      </w:r>
      <w:proofErr w:type="spellEnd"/>
      <w:r>
        <w:t>:</w:t>
      </w:r>
    </w:p>
    <w:p w:rsidR="003804AC" w:rsidRDefault="00AF18A5" w:rsidP="0075793B">
      <w:r>
        <w:t>«Los</w:t>
      </w:r>
      <w:r>
        <w:rPr>
          <w:spacing w:val="-7"/>
        </w:rPr>
        <w:t xml:space="preserve"> </w:t>
      </w:r>
      <w:proofErr w:type="spellStart"/>
      <w:r>
        <w:t>palmicultores</w:t>
      </w:r>
      <w:proofErr w:type="spellEnd"/>
      <w:r>
        <w:rPr>
          <w:spacing w:val="-7"/>
        </w:rPr>
        <w:t xml:space="preserve"> </w:t>
      </w:r>
      <w:r>
        <w:t>casi</w:t>
      </w:r>
      <w:r>
        <w:rPr>
          <w:spacing w:val="-7"/>
        </w:rPr>
        <w:t xml:space="preserve"> </w:t>
      </w:r>
      <w:r>
        <w:t>que</w:t>
      </w:r>
      <w:r>
        <w:rPr>
          <w:spacing w:val="-7"/>
        </w:rPr>
        <w:t xml:space="preserve"> </w:t>
      </w:r>
      <w:r>
        <w:t>replican</w:t>
      </w:r>
      <w:r>
        <w:rPr>
          <w:spacing w:val="-7"/>
        </w:rPr>
        <w:t xml:space="preserve"> </w:t>
      </w:r>
      <w:r>
        <w:t>el</w:t>
      </w:r>
      <w:r>
        <w:rPr>
          <w:spacing w:val="-7"/>
        </w:rPr>
        <w:t xml:space="preserve"> </w:t>
      </w:r>
      <w:r>
        <w:t>tema</w:t>
      </w:r>
      <w:r>
        <w:rPr>
          <w:spacing w:val="-7"/>
        </w:rPr>
        <w:t xml:space="preserve"> </w:t>
      </w:r>
      <w:r>
        <w:t>de</w:t>
      </w:r>
      <w:r>
        <w:rPr>
          <w:spacing w:val="-7"/>
        </w:rPr>
        <w:t xml:space="preserve"> </w:t>
      </w:r>
      <w:r>
        <w:t>las</w:t>
      </w:r>
      <w:r>
        <w:rPr>
          <w:spacing w:val="-7"/>
        </w:rPr>
        <w:t xml:space="preserve"> </w:t>
      </w:r>
      <w:r>
        <w:t>fincas</w:t>
      </w:r>
      <w:r>
        <w:rPr>
          <w:spacing w:val="-7"/>
        </w:rPr>
        <w:t xml:space="preserve"> </w:t>
      </w:r>
      <w:r>
        <w:t>bananeras.</w:t>
      </w:r>
      <w:r>
        <w:rPr>
          <w:spacing w:val="-7"/>
        </w:rPr>
        <w:t xml:space="preserve"> </w:t>
      </w:r>
      <w:r>
        <w:t>Digamos</w:t>
      </w:r>
      <w:r>
        <w:rPr>
          <w:spacing w:val="-7"/>
        </w:rPr>
        <w:t xml:space="preserve"> </w:t>
      </w:r>
      <w:r>
        <w:t>que</w:t>
      </w:r>
      <w:r>
        <w:rPr>
          <w:spacing w:val="-7"/>
        </w:rPr>
        <w:t xml:space="preserve"> </w:t>
      </w:r>
      <w:r>
        <w:t>toman ese</w:t>
      </w:r>
      <w:r>
        <w:rPr>
          <w:spacing w:val="-4"/>
        </w:rPr>
        <w:t xml:space="preserve"> </w:t>
      </w:r>
      <w:r>
        <w:t>mismo</w:t>
      </w:r>
      <w:r>
        <w:rPr>
          <w:spacing w:val="-5"/>
        </w:rPr>
        <w:t xml:space="preserve"> </w:t>
      </w:r>
      <w:r>
        <w:t>modelo,</w:t>
      </w:r>
      <w:r>
        <w:rPr>
          <w:spacing w:val="-5"/>
        </w:rPr>
        <w:t xml:space="preserve"> </w:t>
      </w:r>
      <w:r>
        <w:t>que</w:t>
      </w:r>
      <w:r>
        <w:rPr>
          <w:spacing w:val="-5"/>
        </w:rPr>
        <w:t xml:space="preserve"> </w:t>
      </w:r>
      <w:r>
        <w:t>es</w:t>
      </w:r>
      <w:r>
        <w:rPr>
          <w:spacing w:val="-4"/>
        </w:rPr>
        <w:t xml:space="preserve"> </w:t>
      </w:r>
      <w:r>
        <w:t>el</w:t>
      </w:r>
      <w:r>
        <w:rPr>
          <w:spacing w:val="-5"/>
        </w:rPr>
        <w:t xml:space="preserve"> </w:t>
      </w:r>
      <w:r>
        <w:t>desplazamiento</w:t>
      </w:r>
      <w:r>
        <w:rPr>
          <w:spacing w:val="-5"/>
        </w:rPr>
        <w:t xml:space="preserve"> </w:t>
      </w:r>
      <w:r>
        <w:t>de</w:t>
      </w:r>
      <w:r>
        <w:rPr>
          <w:spacing w:val="-6"/>
        </w:rPr>
        <w:t xml:space="preserve"> </w:t>
      </w:r>
      <w:r>
        <w:t>los</w:t>
      </w:r>
      <w:r>
        <w:rPr>
          <w:spacing w:val="-5"/>
        </w:rPr>
        <w:t xml:space="preserve"> </w:t>
      </w:r>
      <w:r>
        <w:t>pequeños</w:t>
      </w:r>
      <w:r>
        <w:rPr>
          <w:spacing w:val="-5"/>
        </w:rPr>
        <w:t xml:space="preserve"> </w:t>
      </w:r>
      <w:r>
        <w:t>propietarios</w:t>
      </w:r>
      <w:r>
        <w:rPr>
          <w:spacing w:val="-5"/>
        </w:rPr>
        <w:t xml:space="preserve"> </w:t>
      </w:r>
      <w:r>
        <w:t>de</w:t>
      </w:r>
      <w:r>
        <w:rPr>
          <w:spacing w:val="-4"/>
        </w:rPr>
        <w:t xml:space="preserve"> </w:t>
      </w:r>
      <w:r>
        <w:t>tierras</w:t>
      </w:r>
      <w:r>
        <w:rPr>
          <w:spacing w:val="-4"/>
        </w:rPr>
        <w:t xml:space="preserve"> </w:t>
      </w:r>
      <w:r>
        <w:t>para</w:t>
      </w:r>
      <w:r>
        <w:rPr>
          <w:spacing w:val="-4"/>
        </w:rPr>
        <w:t xml:space="preserve"> </w:t>
      </w:r>
      <w:r>
        <w:t xml:space="preserve">así lograr la expansión de esas fincas. Eso solo se lograba bajo una presión violenta. Entonces, los grupos de autodefensas han sido un instrumento armado de la clase </w:t>
      </w:r>
      <w:r>
        <w:lastRenderedPageBreak/>
        <w:t xml:space="preserve">empresarial en </w:t>
      </w:r>
      <w:r>
        <w:rPr>
          <w:spacing w:val="-2"/>
        </w:rPr>
        <w:t>Colombia»</w:t>
      </w:r>
      <w:r w:rsidR="0075793B">
        <w:rPr>
          <w:rStyle w:val="Refdenotaalpie"/>
          <w:spacing w:val="-2"/>
        </w:rPr>
        <w:footnoteReference w:id="466"/>
      </w:r>
      <w:r>
        <w:rPr>
          <w:spacing w:val="-2"/>
        </w:rPr>
        <w:t>.</w:t>
      </w:r>
    </w:p>
    <w:p w:rsidR="003804AC" w:rsidRDefault="00AF18A5" w:rsidP="0075793B">
      <w:r>
        <w:t>Así</w:t>
      </w:r>
      <w:r>
        <w:rPr>
          <w:spacing w:val="-3"/>
        </w:rPr>
        <w:t xml:space="preserve"> </w:t>
      </w:r>
      <w:r>
        <w:t>mismo,</w:t>
      </w:r>
      <w:r>
        <w:rPr>
          <w:spacing w:val="-3"/>
        </w:rPr>
        <w:t xml:space="preserve"> </w:t>
      </w:r>
      <w:r>
        <w:t>múltiples</w:t>
      </w:r>
      <w:r>
        <w:rPr>
          <w:spacing w:val="-3"/>
        </w:rPr>
        <w:t xml:space="preserve"> </w:t>
      </w:r>
      <w:r>
        <w:t>paramilitares</w:t>
      </w:r>
      <w:r>
        <w:rPr>
          <w:spacing w:val="-3"/>
        </w:rPr>
        <w:t xml:space="preserve"> </w:t>
      </w:r>
      <w:r>
        <w:t>del</w:t>
      </w:r>
      <w:r>
        <w:rPr>
          <w:spacing w:val="-3"/>
        </w:rPr>
        <w:t xml:space="preserve"> </w:t>
      </w:r>
      <w:r>
        <w:t>Bloque</w:t>
      </w:r>
      <w:r>
        <w:rPr>
          <w:spacing w:val="-3"/>
        </w:rPr>
        <w:t xml:space="preserve"> </w:t>
      </w:r>
      <w:r>
        <w:t>Central</w:t>
      </w:r>
      <w:r>
        <w:rPr>
          <w:spacing w:val="-3"/>
        </w:rPr>
        <w:t xml:space="preserve"> </w:t>
      </w:r>
      <w:r>
        <w:t>Bolívar</w:t>
      </w:r>
      <w:r>
        <w:rPr>
          <w:spacing w:val="-3"/>
        </w:rPr>
        <w:t xml:space="preserve"> </w:t>
      </w:r>
      <w:r>
        <w:t>de</w:t>
      </w:r>
      <w:r>
        <w:rPr>
          <w:spacing w:val="-3"/>
        </w:rPr>
        <w:t xml:space="preserve"> </w:t>
      </w:r>
      <w:r>
        <w:t>las</w:t>
      </w:r>
      <w:r>
        <w:rPr>
          <w:spacing w:val="-3"/>
        </w:rPr>
        <w:t xml:space="preserve"> </w:t>
      </w:r>
      <w:r>
        <w:t>AUC</w:t>
      </w:r>
      <w:r>
        <w:rPr>
          <w:spacing w:val="-4"/>
        </w:rPr>
        <w:t xml:space="preserve"> </w:t>
      </w:r>
      <w:r>
        <w:t>mencionan</w:t>
      </w:r>
      <w:r>
        <w:rPr>
          <w:spacing w:val="-3"/>
        </w:rPr>
        <w:t xml:space="preserve"> </w:t>
      </w:r>
      <w:r>
        <w:t>el gran</w:t>
      </w:r>
      <w:r>
        <w:rPr>
          <w:spacing w:val="-15"/>
        </w:rPr>
        <w:t xml:space="preserve"> </w:t>
      </w:r>
      <w:r>
        <w:t>tamaño</w:t>
      </w:r>
      <w:r>
        <w:rPr>
          <w:spacing w:val="-15"/>
        </w:rPr>
        <w:t xml:space="preserve"> </w:t>
      </w:r>
      <w:r>
        <w:t>de</w:t>
      </w:r>
      <w:r>
        <w:rPr>
          <w:spacing w:val="-15"/>
        </w:rPr>
        <w:t xml:space="preserve"> </w:t>
      </w:r>
      <w:r>
        <w:t>la</w:t>
      </w:r>
      <w:r>
        <w:rPr>
          <w:spacing w:val="-15"/>
        </w:rPr>
        <w:t xml:space="preserve"> </w:t>
      </w:r>
      <w:r>
        <w:t>economía</w:t>
      </w:r>
      <w:r>
        <w:rPr>
          <w:spacing w:val="-15"/>
        </w:rPr>
        <w:t xml:space="preserve"> </w:t>
      </w:r>
      <w:r>
        <w:t>que</w:t>
      </w:r>
      <w:r>
        <w:rPr>
          <w:spacing w:val="-15"/>
        </w:rPr>
        <w:t xml:space="preserve"> </w:t>
      </w:r>
      <w:r>
        <w:t>montaron</w:t>
      </w:r>
      <w:r>
        <w:rPr>
          <w:spacing w:val="-15"/>
        </w:rPr>
        <w:t xml:space="preserve"> </w:t>
      </w:r>
      <w:r>
        <w:t>alrededor</w:t>
      </w:r>
      <w:r>
        <w:rPr>
          <w:spacing w:val="-15"/>
        </w:rPr>
        <w:t xml:space="preserve"> </w:t>
      </w:r>
      <w:r>
        <w:t>de</w:t>
      </w:r>
      <w:r>
        <w:rPr>
          <w:spacing w:val="-15"/>
        </w:rPr>
        <w:t xml:space="preserve"> </w:t>
      </w:r>
      <w:r>
        <w:t>la</w:t>
      </w:r>
      <w:r>
        <w:rPr>
          <w:spacing w:val="-14"/>
        </w:rPr>
        <w:t xml:space="preserve"> </w:t>
      </w:r>
      <w:r>
        <w:t>gasolina</w:t>
      </w:r>
      <w:r>
        <w:rPr>
          <w:spacing w:val="-15"/>
        </w:rPr>
        <w:t xml:space="preserve"> </w:t>
      </w:r>
      <w:r>
        <w:t>robada</w:t>
      </w:r>
      <w:r>
        <w:rPr>
          <w:spacing w:val="-15"/>
        </w:rPr>
        <w:t xml:space="preserve"> </w:t>
      </w:r>
      <w:r>
        <w:t>a</w:t>
      </w:r>
      <w:r>
        <w:rPr>
          <w:spacing w:val="-14"/>
        </w:rPr>
        <w:t xml:space="preserve"> </w:t>
      </w:r>
      <w:r>
        <w:t>la</w:t>
      </w:r>
      <w:r>
        <w:rPr>
          <w:spacing w:val="-15"/>
        </w:rPr>
        <w:t xml:space="preserve"> </w:t>
      </w:r>
      <w:r>
        <w:t>infraestructura de Ecopetrol, como lo</w:t>
      </w:r>
      <w:r>
        <w:rPr>
          <w:spacing w:val="-2"/>
        </w:rPr>
        <w:t xml:space="preserve"> </w:t>
      </w:r>
      <w:r>
        <w:t>revela el siguiente testimonio recibido</w:t>
      </w:r>
      <w:r>
        <w:rPr>
          <w:spacing w:val="-2"/>
        </w:rPr>
        <w:t xml:space="preserve"> </w:t>
      </w:r>
      <w:r>
        <w:t>por la Comisión de la Verdad:</w:t>
      </w:r>
    </w:p>
    <w:p w:rsidR="003804AC" w:rsidRDefault="00AF18A5" w:rsidP="0075793B">
      <w:r>
        <w:t>«Yo tengo más o menos estas cifras promedio y dicen: en total estuvimos 54 meses con el hurto del combustible. Hablamos más o menos de 32 millones de galones. Número total promedio</w:t>
      </w:r>
      <w:r>
        <w:rPr>
          <w:spacing w:val="-15"/>
        </w:rPr>
        <w:t xml:space="preserve"> </w:t>
      </w:r>
      <w:r>
        <w:t>galones</w:t>
      </w:r>
      <w:r>
        <w:rPr>
          <w:spacing w:val="-15"/>
        </w:rPr>
        <w:t xml:space="preserve"> </w:t>
      </w:r>
      <w:r>
        <w:t>mensuales,</w:t>
      </w:r>
      <w:r>
        <w:rPr>
          <w:spacing w:val="-15"/>
        </w:rPr>
        <w:t xml:space="preserve"> </w:t>
      </w:r>
      <w:r>
        <w:t>593.703.</w:t>
      </w:r>
      <w:r>
        <w:rPr>
          <w:spacing w:val="-15"/>
        </w:rPr>
        <w:t xml:space="preserve"> </w:t>
      </w:r>
      <w:r>
        <w:t>Esto</w:t>
      </w:r>
      <w:r>
        <w:rPr>
          <w:spacing w:val="-15"/>
        </w:rPr>
        <w:t xml:space="preserve"> </w:t>
      </w:r>
      <w:r>
        <w:t>le</w:t>
      </w:r>
      <w:r>
        <w:rPr>
          <w:spacing w:val="-4"/>
        </w:rPr>
        <w:t xml:space="preserve"> </w:t>
      </w:r>
      <w:r>
        <w:t>pongo</w:t>
      </w:r>
      <w:r>
        <w:rPr>
          <w:spacing w:val="-4"/>
        </w:rPr>
        <w:t xml:space="preserve"> </w:t>
      </w:r>
      <w:r>
        <w:t>un</w:t>
      </w:r>
      <w:r>
        <w:rPr>
          <w:spacing w:val="-15"/>
        </w:rPr>
        <w:t xml:space="preserve"> </w:t>
      </w:r>
      <w:r>
        <w:t>valor</w:t>
      </w:r>
      <w:r>
        <w:rPr>
          <w:spacing w:val="-15"/>
        </w:rPr>
        <w:t xml:space="preserve"> </w:t>
      </w:r>
      <w:r>
        <w:t>promedio</w:t>
      </w:r>
      <w:r>
        <w:rPr>
          <w:spacing w:val="-15"/>
        </w:rPr>
        <w:t xml:space="preserve"> </w:t>
      </w:r>
      <w:r>
        <w:t>de</w:t>
      </w:r>
      <w:r>
        <w:rPr>
          <w:spacing w:val="-15"/>
        </w:rPr>
        <w:t xml:space="preserve"> </w:t>
      </w:r>
      <w:r>
        <w:t>2.000</w:t>
      </w:r>
      <w:r>
        <w:rPr>
          <w:spacing w:val="-15"/>
        </w:rPr>
        <w:t xml:space="preserve"> </w:t>
      </w:r>
      <w:r>
        <w:t>pesos.</w:t>
      </w:r>
      <w:r>
        <w:rPr>
          <w:spacing w:val="-15"/>
        </w:rPr>
        <w:t xml:space="preserve"> </w:t>
      </w:r>
      <w:r>
        <w:t xml:space="preserve">Para un total de estos 54 meses de 64.120 millones de pesos [...]. En el año 2001, por ejemplo, sacó un promedio de 1.187 millones de galones, por 12 meses son 14.244 millones, y así </w:t>
      </w:r>
      <w:r>
        <w:rPr>
          <w:spacing w:val="-2"/>
        </w:rPr>
        <w:t>sucesivamente»</w:t>
      </w:r>
      <w:r w:rsidR="0075793B">
        <w:rPr>
          <w:rStyle w:val="Refdenotaalpie"/>
          <w:spacing w:val="-2"/>
        </w:rPr>
        <w:footnoteReference w:id="467"/>
      </w:r>
      <w:r>
        <w:rPr>
          <w:spacing w:val="-2"/>
        </w:rPr>
        <w:t>.</w:t>
      </w:r>
    </w:p>
    <w:p w:rsidR="0011361F" w:rsidRDefault="00AF18A5" w:rsidP="0075793B">
      <w:r>
        <w:t>Los</w:t>
      </w:r>
      <w:r>
        <w:rPr>
          <w:spacing w:val="-1"/>
        </w:rPr>
        <w:t xml:space="preserve"> </w:t>
      </w:r>
      <w:r>
        <w:t>paramilitares</w:t>
      </w:r>
      <w:r>
        <w:rPr>
          <w:spacing w:val="-1"/>
        </w:rPr>
        <w:t xml:space="preserve"> </w:t>
      </w:r>
      <w:r>
        <w:t>también</w:t>
      </w:r>
      <w:r>
        <w:rPr>
          <w:spacing w:val="-1"/>
        </w:rPr>
        <w:t xml:space="preserve"> </w:t>
      </w:r>
      <w:r>
        <w:t>dieron</w:t>
      </w:r>
      <w:r>
        <w:rPr>
          <w:spacing w:val="-1"/>
        </w:rPr>
        <w:t xml:space="preserve"> </w:t>
      </w:r>
      <w:r>
        <w:t>amplias</w:t>
      </w:r>
      <w:r>
        <w:rPr>
          <w:spacing w:val="-1"/>
        </w:rPr>
        <w:t xml:space="preserve"> </w:t>
      </w:r>
      <w:r>
        <w:t>dádivas</w:t>
      </w:r>
      <w:r>
        <w:rPr>
          <w:spacing w:val="-1"/>
        </w:rPr>
        <w:t xml:space="preserve"> </w:t>
      </w:r>
      <w:r>
        <w:t>a</w:t>
      </w:r>
      <w:r>
        <w:rPr>
          <w:spacing w:val="-1"/>
        </w:rPr>
        <w:t xml:space="preserve"> </w:t>
      </w:r>
      <w:r>
        <w:t>distintos</w:t>
      </w:r>
      <w:r>
        <w:rPr>
          <w:spacing w:val="-1"/>
        </w:rPr>
        <w:t xml:space="preserve"> </w:t>
      </w:r>
      <w:r>
        <w:t>niveles</w:t>
      </w:r>
      <w:r>
        <w:rPr>
          <w:spacing w:val="-1"/>
        </w:rPr>
        <w:t xml:space="preserve"> </w:t>
      </w:r>
      <w:r>
        <w:t>de</w:t>
      </w:r>
      <w:r>
        <w:rPr>
          <w:spacing w:val="-1"/>
        </w:rPr>
        <w:t xml:space="preserve"> </w:t>
      </w:r>
      <w:r>
        <w:t>la</w:t>
      </w:r>
      <w:r>
        <w:rPr>
          <w:spacing w:val="-1"/>
        </w:rPr>
        <w:t xml:space="preserve"> </w:t>
      </w:r>
      <w:r>
        <w:t>empresa,</w:t>
      </w:r>
      <w:r>
        <w:rPr>
          <w:spacing w:val="-1"/>
        </w:rPr>
        <w:t xml:space="preserve"> </w:t>
      </w:r>
      <w:r>
        <w:t>a</w:t>
      </w:r>
      <w:r>
        <w:rPr>
          <w:spacing w:val="-2"/>
        </w:rPr>
        <w:t xml:space="preserve"> </w:t>
      </w:r>
      <w:r>
        <w:t>sus contratistas y a la fuerza pública, que les permitía operar con plena tranquilidad, además de brindarles</w:t>
      </w:r>
      <w:r>
        <w:rPr>
          <w:spacing w:val="-9"/>
        </w:rPr>
        <w:t xml:space="preserve"> </w:t>
      </w:r>
      <w:r>
        <w:t>cierta</w:t>
      </w:r>
      <w:r>
        <w:rPr>
          <w:spacing w:val="-9"/>
        </w:rPr>
        <w:t xml:space="preserve"> </w:t>
      </w:r>
      <w:r>
        <w:t>protección.</w:t>
      </w:r>
      <w:r>
        <w:rPr>
          <w:spacing w:val="-8"/>
        </w:rPr>
        <w:t xml:space="preserve"> </w:t>
      </w:r>
      <w:r>
        <w:t>La</w:t>
      </w:r>
      <w:r>
        <w:rPr>
          <w:spacing w:val="-8"/>
        </w:rPr>
        <w:t xml:space="preserve"> </w:t>
      </w:r>
      <w:r>
        <w:t>situación</w:t>
      </w:r>
      <w:r>
        <w:rPr>
          <w:spacing w:val="-8"/>
        </w:rPr>
        <w:t xml:space="preserve"> </w:t>
      </w:r>
      <w:r>
        <w:t>llegó</w:t>
      </w:r>
      <w:r>
        <w:rPr>
          <w:spacing w:val="-8"/>
        </w:rPr>
        <w:t xml:space="preserve"> </w:t>
      </w:r>
      <w:r>
        <w:t>hasta</w:t>
      </w:r>
      <w:r>
        <w:rPr>
          <w:spacing w:val="-8"/>
        </w:rPr>
        <w:t xml:space="preserve"> </w:t>
      </w:r>
      <w:r>
        <w:t>el</w:t>
      </w:r>
      <w:r>
        <w:rPr>
          <w:spacing w:val="-8"/>
        </w:rPr>
        <w:t xml:space="preserve"> </w:t>
      </w:r>
      <w:r>
        <w:t>punto</w:t>
      </w:r>
      <w:r>
        <w:rPr>
          <w:spacing w:val="-9"/>
        </w:rPr>
        <w:t xml:space="preserve"> </w:t>
      </w:r>
      <w:r>
        <w:t>en</w:t>
      </w:r>
      <w:r>
        <w:rPr>
          <w:spacing w:val="-8"/>
        </w:rPr>
        <w:t xml:space="preserve"> </w:t>
      </w:r>
      <w:r>
        <w:t>que</w:t>
      </w:r>
      <w:r>
        <w:rPr>
          <w:spacing w:val="-8"/>
        </w:rPr>
        <w:t xml:space="preserve"> </w:t>
      </w:r>
      <w:r>
        <w:t>uno</w:t>
      </w:r>
      <w:r>
        <w:rPr>
          <w:spacing w:val="-8"/>
        </w:rPr>
        <w:t xml:space="preserve"> </w:t>
      </w:r>
      <w:r>
        <w:t>de</w:t>
      </w:r>
      <w:r>
        <w:rPr>
          <w:spacing w:val="-9"/>
        </w:rPr>
        <w:t xml:space="preserve"> </w:t>
      </w:r>
      <w:r>
        <w:t>los</w:t>
      </w:r>
      <w:r>
        <w:rPr>
          <w:spacing w:val="-8"/>
        </w:rPr>
        <w:t xml:space="preserve"> </w:t>
      </w:r>
      <w:r>
        <w:t xml:space="preserve">comandantes financieros de las AUC afirmó su relación con funcionarios que trabajaban en la empresa </w:t>
      </w:r>
      <w:r>
        <w:rPr>
          <w:spacing w:val="-2"/>
        </w:rPr>
        <w:t>Ecopetrol:</w:t>
      </w:r>
    </w:p>
    <w:p w:rsidR="003804AC" w:rsidRDefault="00AF18A5" w:rsidP="0075793B">
      <w:bookmarkStart w:id="625" w:name="_bookmark520"/>
      <w:bookmarkStart w:id="626" w:name="_bookmark521"/>
      <w:bookmarkStart w:id="627" w:name="_bookmark522"/>
      <w:bookmarkEnd w:id="625"/>
      <w:bookmarkEnd w:id="626"/>
      <w:bookmarkEnd w:id="627"/>
      <w:r>
        <w:t>«Yo</w:t>
      </w:r>
      <w:r>
        <w:rPr>
          <w:spacing w:val="-3"/>
        </w:rPr>
        <w:t xml:space="preserve"> </w:t>
      </w:r>
      <w:r>
        <w:t>ingresaba</w:t>
      </w:r>
      <w:r>
        <w:rPr>
          <w:spacing w:val="-3"/>
        </w:rPr>
        <w:t xml:space="preserve"> </w:t>
      </w:r>
      <w:r>
        <w:t>directamente</w:t>
      </w:r>
      <w:r>
        <w:rPr>
          <w:spacing w:val="-3"/>
        </w:rPr>
        <w:t xml:space="preserve"> </w:t>
      </w:r>
      <w:r>
        <w:t>a</w:t>
      </w:r>
      <w:r>
        <w:rPr>
          <w:spacing w:val="-3"/>
        </w:rPr>
        <w:t xml:space="preserve"> </w:t>
      </w:r>
      <w:r>
        <w:t>Ecopetrol</w:t>
      </w:r>
      <w:r>
        <w:rPr>
          <w:spacing w:val="-3"/>
        </w:rPr>
        <w:t xml:space="preserve"> </w:t>
      </w:r>
      <w:r>
        <w:t>a</w:t>
      </w:r>
      <w:r>
        <w:rPr>
          <w:spacing w:val="-3"/>
        </w:rPr>
        <w:t xml:space="preserve"> </w:t>
      </w:r>
      <w:r>
        <w:t>hablar</w:t>
      </w:r>
      <w:r>
        <w:rPr>
          <w:spacing w:val="-4"/>
        </w:rPr>
        <w:t xml:space="preserve"> </w:t>
      </w:r>
      <w:r>
        <w:t>con</w:t>
      </w:r>
      <w:r>
        <w:rPr>
          <w:spacing w:val="-3"/>
        </w:rPr>
        <w:t xml:space="preserve"> </w:t>
      </w:r>
      <w:r>
        <w:t>las</w:t>
      </w:r>
      <w:r>
        <w:rPr>
          <w:spacing w:val="-3"/>
        </w:rPr>
        <w:t xml:space="preserve"> </w:t>
      </w:r>
      <w:r>
        <w:t>empresas,</w:t>
      </w:r>
      <w:r>
        <w:rPr>
          <w:spacing w:val="-3"/>
        </w:rPr>
        <w:t xml:space="preserve"> </w:t>
      </w:r>
      <w:r>
        <w:t>o</w:t>
      </w:r>
      <w:r>
        <w:rPr>
          <w:spacing w:val="-3"/>
        </w:rPr>
        <w:t xml:space="preserve"> </w:t>
      </w:r>
      <w:r>
        <w:t>con</w:t>
      </w:r>
      <w:r>
        <w:rPr>
          <w:spacing w:val="-3"/>
        </w:rPr>
        <w:t xml:space="preserve"> </w:t>
      </w:r>
      <w:r>
        <w:t>los</w:t>
      </w:r>
      <w:r>
        <w:rPr>
          <w:spacing w:val="-3"/>
        </w:rPr>
        <w:t xml:space="preserve"> </w:t>
      </w:r>
      <w:r>
        <w:t>encargados, con</w:t>
      </w:r>
      <w:r>
        <w:rPr>
          <w:spacing w:val="-15"/>
        </w:rPr>
        <w:t xml:space="preserve"> </w:t>
      </w:r>
      <w:r>
        <w:t>los</w:t>
      </w:r>
      <w:r>
        <w:rPr>
          <w:spacing w:val="-15"/>
        </w:rPr>
        <w:t xml:space="preserve"> </w:t>
      </w:r>
      <w:r>
        <w:t>ingenieros</w:t>
      </w:r>
      <w:r>
        <w:rPr>
          <w:spacing w:val="-15"/>
        </w:rPr>
        <w:t xml:space="preserve"> </w:t>
      </w:r>
      <w:r>
        <w:t>residentes,</w:t>
      </w:r>
      <w:r>
        <w:rPr>
          <w:spacing w:val="-15"/>
        </w:rPr>
        <w:t xml:space="preserve"> </w:t>
      </w:r>
      <w:r>
        <w:t>de</w:t>
      </w:r>
      <w:r>
        <w:rPr>
          <w:spacing w:val="-15"/>
        </w:rPr>
        <w:t xml:space="preserve"> </w:t>
      </w:r>
      <w:r>
        <w:t>la</w:t>
      </w:r>
      <w:r>
        <w:rPr>
          <w:spacing w:val="-15"/>
        </w:rPr>
        <w:t xml:space="preserve"> </w:t>
      </w:r>
      <w:r>
        <w:t>obra</w:t>
      </w:r>
      <w:r>
        <w:rPr>
          <w:spacing w:val="-15"/>
        </w:rPr>
        <w:t xml:space="preserve"> </w:t>
      </w:r>
      <w:r>
        <w:t>dentro</w:t>
      </w:r>
      <w:r>
        <w:rPr>
          <w:spacing w:val="-15"/>
        </w:rPr>
        <w:t xml:space="preserve"> </w:t>
      </w:r>
      <w:r>
        <w:t>de</w:t>
      </w:r>
      <w:r>
        <w:rPr>
          <w:spacing w:val="-15"/>
        </w:rPr>
        <w:t xml:space="preserve"> </w:t>
      </w:r>
      <w:r>
        <w:t>Ecopetrol</w:t>
      </w:r>
      <w:r>
        <w:rPr>
          <w:spacing w:val="-15"/>
        </w:rPr>
        <w:t xml:space="preserve"> </w:t>
      </w:r>
      <w:r>
        <w:t>[...].</w:t>
      </w:r>
      <w:r>
        <w:rPr>
          <w:spacing w:val="-15"/>
        </w:rPr>
        <w:t xml:space="preserve"> </w:t>
      </w:r>
      <w:r>
        <w:t>Y</w:t>
      </w:r>
      <w:r>
        <w:rPr>
          <w:spacing w:val="-15"/>
        </w:rPr>
        <w:t xml:space="preserve"> </w:t>
      </w:r>
      <w:r>
        <w:t>muchos</w:t>
      </w:r>
      <w:r>
        <w:rPr>
          <w:spacing w:val="-15"/>
        </w:rPr>
        <w:t xml:space="preserve"> </w:t>
      </w:r>
      <w:r>
        <w:t>de</w:t>
      </w:r>
      <w:r>
        <w:rPr>
          <w:spacing w:val="-15"/>
        </w:rPr>
        <w:t xml:space="preserve"> </w:t>
      </w:r>
      <w:r>
        <w:t>los</w:t>
      </w:r>
      <w:r>
        <w:rPr>
          <w:spacing w:val="-15"/>
        </w:rPr>
        <w:t xml:space="preserve"> </w:t>
      </w:r>
      <w:r>
        <w:t xml:space="preserve">muchachos de las Autodefensas tenían carné de esas empresas, si los iban a capturar, pues se mostraba que se pertenecía a esa empresa y que no había ningún problema. Entonces se entraba a Ecopetrol sin ninguna restricción porque se portaba el carné </w:t>
      </w:r>
      <w:r>
        <w:lastRenderedPageBreak/>
        <w:t>de empleado de esa época»</w:t>
      </w:r>
      <w:r w:rsidR="0075793B">
        <w:rPr>
          <w:rStyle w:val="Refdenotaalpie"/>
        </w:rPr>
        <w:footnoteReference w:id="468"/>
      </w:r>
      <w:r>
        <w:t>.</w:t>
      </w:r>
    </w:p>
    <w:p w:rsidR="003804AC" w:rsidRDefault="00AF18A5" w:rsidP="004A6EF4">
      <w:pPr>
        <w:pStyle w:val="Ttulo3"/>
        <w:numPr>
          <w:ilvl w:val="1"/>
          <w:numId w:val="16"/>
        </w:numPr>
      </w:pPr>
      <w:bookmarkStart w:id="628" w:name="5.10._El_papel_de_la_negación,_los_silen"/>
      <w:bookmarkStart w:id="629" w:name="_Toc112399601"/>
      <w:bookmarkEnd w:id="628"/>
      <w:r>
        <w:t xml:space="preserve">El papel de la </w:t>
      </w:r>
      <w:r w:rsidRPr="0075793B">
        <w:t>negación</w:t>
      </w:r>
      <w:r>
        <w:t>, los silencios y la impunidad en la persistencia del fenómeno paramilitar</w:t>
      </w:r>
      <w:bookmarkEnd w:id="629"/>
    </w:p>
    <w:p w:rsidR="003804AC" w:rsidRDefault="00AF18A5" w:rsidP="0075793B">
      <w:r>
        <w:t>La expansión del paramilitarismo y la consolidación de las alianzas que lo sostuvieron ocurrieron ante la mirada de los organismos de control del Estado, como la Procuraduría, la Contraloría y la Fiscalía, instituciones que por distintos motivos no garantizaron un control dentro de sus áreas: estaban controladas o infiltradas, no tenían los medios para hacer efectivas</w:t>
      </w:r>
      <w:r>
        <w:rPr>
          <w:spacing w:val="-4"/>
        </w:rPr>
        <w:t xml:space="preserve"> </w:t>
      </w:r>
      <w:r>
        <w:t>sus</w:t>
      </w:r>
      <w:r>
        <w:rPr>
          <w:spacing w:val="-6"/>
        </w:rPr>
        <w:t xml:space="preserve"> </w:t>
      </w:r>
      <w:r>
        <w:t>responsabilidades</w:t>
      </w:r>
      <w:r>
        <w:rPr>
          <w:spacing w:val="-4"/>
        </w:rPr>
        <w:t xml:space="preserve"> </w:t>
      </w:r>
      <w:r>
        <w:t>o</w:t>
      </w:r>
      <w:r>
        <w:rPr>
          <w:spacing w:val="-5"/>
        </w:rPr>
        <w:t xml:space="preserve"> </w:t>
      </w:r>
      <w:r>
        <w:t>sus</w:t>
      </w:r>
      <w:r>
        <w:rPr>
          <w:spacing w:val="-6"/>
        </w:rPr>
        <w:t xml:space="preserve"> </w:t>
      </w:r>
      <w:r>
        <w:t>denuncias;</w:t>
      </w:r>
      <w:r>
        <w:rPr>
          <w:spacing w:val="-4"/>
        </w:rPr>
        <w:t xml:space="preserve"> </w:t>
      </w:r>
      <w:r>
        <w:t>fueron</w:t>
      </w:r>
      <w:r>
        <w:rPr>
          <w:spacing w:val="-5"/>
        </w:rPr>
        <w:t xml:space="preserve"> </w:t>
      </w:r>
      <w:r>
        <w:t>blanco</w:t>
      </w:r>
      <w:r>
        <w:rPr>
          <w:spacing w:val="-5"/>
        </w:rPr>
        <w:t xml:space="preserve"> </w:t>
      </w:r>
      <w:r>
        <w:t>de</w:t>
      </w:r>
      <w:r>
        <w:rPr>
          <w:spacing w:val="-4"/>
        </w:rPr>
        <w:t xml:space="preserve"> </w:t>
      </w:r>
      <w:r>
        <w:t>amenazas</w:t>
      </w:r>
      <w:r>
        <w:rPr>
          <w:spacing w:val="-4"/>
        </w:rPr>
        <w:t xml:space="preserve"> </w:t>
      </w:r>
      <w:r>
        <w:t>o</w:t>
      </w:r>
      <w:r>
        <w:rPr>
          <w:spacing w:val="-5"/>
        </w:rPr>
        <w:t xml:space="preserve"> </w:t>
      </w:r>
      <w:r>
        <w:t>sus</w:t>
      </w:r>
      <w:r>
        <w:rPr>
          <w:spacing w:val="-5"/>
        </w:rPr>
        <w:t xml:space="preserve"> </w:t>
      </w:r>
      <w:r>
        <w:t>denuncias no fueron tomadas en cuenta. La Comisión de la Verdad recibió diversos testimonios de personas</w:t>
      </w:r>
      <w:r>
        <w:rPr>
          <w:spacing w:val="-6"/>
        </w:rPr>
        <w:t xml:space="preserve"> </w:t>
      </w:r>
      <w:r>
        <w:t>en</w:t>
      </w:r>
      <w:r>
        <w:rPr>
          <w:spacing w:val="-7"/>
        </w:rPr>
        <w:t xml:space="preserve"> </w:t>
      </w:r>
      <w:r>
        <w:t>el</w:t>
      </w:r>
      <w:r>
        <w:rPr>
          <w:spacing w:val="-6"/>
        </w:rPr>
        <w:t xml:space="preserve"> </w:t>
      </w:r>
      <w:r>
        <w:t>exilio</w:t>
      </w:r>
      <w:r>
        <w:rPr>
          <w:spacing w:val="-6"/>
        </w:rPr>
        <w:t xml:space="preserve"> </w:t>
      </w:r>
      <w:r>
        <w:t>que</w:t>
      </w:r>
      <w:r>
        <w:rPr>
          <w:spacing w:val="-7"/>
        </w:rPr>
        <w:t xml:space="preserve"> </w:t>
      </w:r>
      <w:r>
        <w:t>muestran</w:t>
      </w:r>
      <w:r>
        <w:rPr>
          <w:spacing w:val="-6"/>
        </w:rPr>
        <w:t xml:space="preserve"> </w:t>
      </w:r>
      <w:r>
        <w:t>la</w:t>
      </w:r>
      <w:r>
        <w:rPr>
          <w:spacing w:val="-7"/>
        </w:rPr>
        <w:t xml:space="preserve"> </w:t>
      </w:r>
      <w:r>
        <w:t>dimensión</w:t>
      </w:r>
      <w:r>
        <w:rPr>
          <w:spacing w:val="-6"/>
        </w:rPr>
        <w:t xml:space="preserve"> </w:t>
      </w:r>
      <w:r>
        <w:t>de</w:t>
      </w:r>
      <w:r>
        <w:rPr>
          <w:spacing w:val="-6"/>
        </w:rPr>
        <w:t xml:space="preserve"> </w:t>
      </w:r>
      <w:r>
        <w:t>las</w:t>
      </w:r>
      <w:r>
        <w:rPr>
          <w:spacing w:val="-6"/>
        </w:rPr>
        <w:t xml:space="preserve"> </w:t>
      </w:r>
      <w:r>
        <w:t>afectaciones</w:t>
      </w:r>
      <w:r>
        <w:rPr>
          <w:spacing w:val="-6"/>
        </w:rPr>
        <w:t xml:space="preserve"> </w:t>
      </w:r>
      <w:r>
        <w:t>a</w:t>
      </w:r>
      <w:r>
        <w:rPr>
          <w:spacing w:val="-6"/>
        </w:rPr>
        <w:t xml:space="preserve"> </w:t>
      </w:r>
      <w:r>
        <w:t>la</w:t>
      </w:r>
      <w:r>
        <w:rPr>
          <w:spacing w:val="-6"/>
        </w:rPr>
        <w:t xml:space="preserve"> </w:t>
      </w:r>
      <w:r>
        <w:t>justicia</w:t>
      </w:r>
      <w:r>
        <w:rPr>
          <w:spacing w:val="-6"/>
        </w:rPr>
        <w:t xml:space="preserve"> </w:t>
      </w:r>
      <w:r>
        <w:t>por</w:t>
      </w:r>
      <w:r>
        <w:rPr>
          <w:spacing w:val="-6"/>
        </w:rPr>
        <w:t xml:space="preserve"> </w:t>
      </w:r>
      <w:r>
        <w:t>parte</w:t>
      </w:r>
      <w:r>
        <w:rPr>
          <w:spacing w:val="-6"/>
        </w:rPr>
        <w:t xml:space="preserve"> </w:t>
      </w:r>
      <w:r>
        <w:t>del entramado paramilitar.</w:t>
      </w:r>
    </w:p>
    <w:p w:rsidR="003804AC" w:rsidRDefault="00AF18A5" w:rsidP="00057256">
      <w:r>
        <w:t>El caso de la Fiscalía General de la Nación entre 2001-2005, bajo la dirección de Luis Camilo Osorio, es diciente de los obstáculos que ha tenido la justicia para operar cuando ha sido</w:t>
      </w:r>
      <w:r>
        <w:rPr>
          <w:spacing w:val="-6"/>
        </w:rPr>
        <w:t xml:space="preserve"> </w:t>
      </w:r>
      <w:r>
        <w:t>infiltrada”</w:t>
      </w:r>
      <w:r>
        <w:rPr>
          <w:spacing w:val="-2"/>
        </w:rPr>
        <w:t xml:space="preserve"> </w:t>
      </w:r>
      <w:r>
        <w:t>o</w:t>
      </w:r>
      <w:r>
        <w:rPr>
          <w:spacing w:val="-4"/>
        </w:rPr>
        <w:t xml:space="preserve"> </w:t>
      </w:r>
      <w:r>
        <w:t>cooptada.</w:t>
      </w:r>
      <w:r>
        <w:rPr>
          <w:spacing w:val="-3"/>
        </w:rPr>
        <w:t xml:space="preserve"> </w:t>
      </w:r>
      <w:r>
        <w:t>Bajo</w:t>
      </w:r>
      <w:r>
        <w:rPr>
          <w:spacing w:val="-4"/>
        </w:rPr>
        <w:t xml:space="preserve"> </w:t>
      </w:r>
      <w:r>
        <w:t>esta</w:t>
      </w:r>
      <w:r>
        <w:rPr>
          <w:spacing w:val="-2"/>
        </w:rPr>
        <w:t xml:space="preserve"> </w:t>
      </w:r>
      <w:r>
        <w:t>Fiscalía</w:t>
      </w:r>
      <w:r>
        <w:rPr>
          <w:spacing w:val="-5"/>
        </w:rPr>
        <w:t xml:space="preserve"> </w:t>
      </w:r>
      <w:r>
        <w:t>se</w:t>
      </w:r>
      <w:r>
        <w:rPr>
          <w:spacing w:val="-4"/>
        </w:rPr>
        <w:t xml:space="preserve"> </w:t>
      </w:r>
      <w:r>
        <w:t>archivó</w:t>
      </w:r>
      <w:r>
        <w:rPr>
          <w:spacing w:val="-4"/>
        </w:rPr>
        <w:t xml:space="preserve"> </w:t>
      </w:r>
      <w:r>
        <w:t>la</w:t>
      </w:r>
      <w:r>
        <w:rPr>
          <w:spacing w:val="-5"/>
        </w:rPr>
        <w:t xml:space="preserve"> </w:t>
      </w:r>
      <w:r>
        <w:t>investigación</w:t>
      </w:r>
      <w:r>
        <w:rPr>
          <w:spacing w:val="-4"/>
        </w:rPr>
        <w:t xml:space="preserve"> </w:t>
      </w:r>
      <w:r>
        <w:t>contra</w:t>
      </w:r>
      <w:r>
        <w:rPr>
          <w:spacing w:val="-5"/>
        </w:rPr>
        <w:t xml:space="preserve"> </w:t>
      </w:r>
      <w:r>
        <w:t>el</w:t>
      </w:r>
      <w:r>
        <w:rPr>
          <w:spacing w:val="-2"/>
        </w:rPr>
        <w:t xml:space="preserve"> </w:t>
      </w:r>
      <w:r>
        <w:t>general</w:t>
      </w:r>
      <w:r>
        <w:rPr>
          <w:spacing w:val="-3"/>
        </w:rPr>
        <w:t xml:space="preserve"> </w:t>
      </w:r>
      <w:r>
        <w:rPr>
          <w:spacing w:val="-5"/>
        </w:rPr>
        <w:t>(r</w:t>
      </w:r>
      <w:r>
        <w:t>) Rito Alejo del Río, se expidió auto inhibitorio en el caso de las investigaciones contra Salvador</w:t>
      </w:r>
      <w:r>
        <w:rPr>
          <w:spacing w:val="-10"/>
        </w:rPr>
        <w:t xml:space="preserve"> </w:t>
      </w:r>
      <w:r>
        <w:t>Arana,</w:t>
      </w:r>
      <w:r>
        <w:rPr>
          <w:spacing w:val="-11"/>
        </w:rPr>
        <w:t xml:space="preserve"> </w:t>
      </w:r>
      <w:r>
        <w:t>exgobernador</w:t>
      </w:r>
      <w:r>
        <w:rPr>
          <w:spacing w:val="-10"/>
        </w:rPr>
        <w:t xml:space="preserve"> </w:t>
      </w:r>
      <w:r>
        <w:t>de</w:t>
      </w:r>
      <w:r>
        <w:rPr>
          <w:spacing w:val="-12"/>
        </w:rPr>
        <w:t xml:space="preserve"> </w:t>
      </w:r>
      <w:r>
        <w:t>Sucre,</w:t>
      </w:r>
      <w:r>
        <w:rPr>
          <w:spacing w:val="-11"/>
        </w:rPr>
        <w:t xml:space="preserve"> </w:t>
      </w:r>
      <w:r>
        <w:t>por</w:t>
      </w:r>
      <w:r>
        <w:rPr>
          <w:spacing w:val="-10"/>
        </w:rPr>
        <w:t xml:space="preserve"> </w:t>
      </w:r>
      <w:r>
        <w:t>masacres</w:t>
      </w:r>
      <w:r>
        <w:rPr>
          <w:spacing w:val="-12"/>
        </w:rPr>
        <w:t xml:space="preserve"> </w:t>
      </w:r>
      <w:r>
        <w:t>cometidas</w:t>
      </w:r>
      <w:r>
        <w:rPr>
          <w:spacing w:val="-10"/>
        </w:rPr>
        <w:t xml:space="preserve"> </w:t>
      </w:r>
      <w:r>
        <w:t>por</w:t>
      </w:r>
      <w:r>
        <w:rPr>
          <w:spacing w:val="-11"/>
        </w:rPr>
        <w:t xml:space="preserve"> </w:t>
      </w:r>
      <w:r>
        <w:t>los</w:t>
      </w:r>
      <w:r>
        <w:rPr>
          <w:spacing w:val="-12"/>
        </w:rPr>
        <w:t xml:space="preserve"> </w:t>
      </w:r>
      <w:r>
        <w:t>paramilitares</w:t>
      </w:r>
      <w:r>
        <w:rPr>
          <w:spacing w:val="-12"/>
        </w:rPr>
        <w:t xml:space="preserve"> </w:t>
      </w:r>
      <w:r>
        <w:t>en</w:t>
      </w:r>
      <w:r>
        <w:rPr>
          <w:spacing w:val="-11"/>
        </w:rPr>
        <w:t xml:space="preserve"> </w:t>
      </w:r>
      <w:r>
        <w:t>ese departamento y, después de cuatro años de prisión (1997-2001), quedó en libertad Víctor Carranza, quien estaba investigado por vínculos con el paramilitarismo. También fue desmantelada la Unidad de DDHH de la Fiscalía y muchos de sus funcionarios fueron perseguidos y exiliados por adelantar investigaciones</w:t>
      </w:r>
      <w:r w:rsidR="0075793B">
        <w:rPr>
          <w:rStyle w:val="Refdenotaalpie"/>
        </w:rPr>
        <w:footnoteReference w:id="469"/>
      </w:r>
      <w:r>
        <w:rPr>
          <w:color w:val="333333"/>
        </w:rPr>
        <w:t>.</w:t>
      </w:r>
      <w:r w:rsidR="0075793B">
        <w:rPr>
          <w:rStyle w:val="Refdenotaalpie"/>
          <w:color w:val="333333"/>
        </w:rPr>
        <w:footnoteReference w:id="470"/>
      </w:r>
      <w:r>
        <w:rPr>
          <w:color w:val="333333"/>
        </w:rPr>
        <w:t xml:space="preserve"> </w:t>
      </w:r>
      <w:r>
        <w:t>Por los presuntos nexos del Fiscal</w:t>
      </w:r>
      <w:r>
        <w:rPr>
          <w:spacing w:val="51"/>
        </w:rPr>
        <w:t xml:space="preserve"> </w:t>
      </w:r>
      <w:r>
        <w:t>con</w:t>
      </w:r>
      <w:r>
        <w:rPr>
          <w:spacing w:val="51"/>
        </w:rPr>
        <w:t xml:space="preserve"> </w:t>
      </w:r>
      <w:r>
        <w:t>el</w:t>
      </w:r>
      <w:r>
        <w:rPr>
          <w:spacing w:val="53"/>
        </w:rPr>
        <w:t xml:space="preserve"> </w:t>
      </w:r>
      <w:r>
        <w:lastRenderedPageBreak/>
        <w:t>paramilitarismo</w:t>
      </w:r>
      <w:r>
        <w:rPr>
          <w:spacing w:val="53"/>
        </w:rPr>
        <w:t xml:space="preserve"> </w:t>
      </w:r>
      <w:r>
        <w:t>se</w:t>
      </w:r>
      <w:r>
        <w:rPr>
          <w:spacing w:val="53"/>
        </w:rPr>
        <w:t xml:space="preserve"> </w:t>
      </w:r>
      <w:r>
        <w:t>abrió</w:t>
      </w:r>
      <w:r>
        <w:rPr>
          <w:spacing w:val="53"/>
        </w:rPr>
        <w:t xml:space="preserve"> </w:t>
      </w:r>
      <w:r>
        <w:t>una</w:t>
      </w:r>
      <w:r>
        <w:rPr>
          <w:spacing w:val="53"/>
        </w:rPr>
        <w:t xml:space="preserve"> </w:t>
      </w:r>
      <w:r>
        <w:t>investigación,</w:t>
      </w:r>
      <w:r>
        <w:rPr>
          <w:spacing w:val="51"/>
        </w:rPr>
        <w:t xml:space="preserve"> </w:t>
      </w:r>
      <w:r>
        <w:t>por</w:t>
      </w:r>
      <w:r>
        <w:rPr>
          <w:spacing w:val="53"/>
        </w:rPr>
        <w:t xml:space="preserve"> </w:t>
      </w:r>
      <w:r>
        <w:t>parte</w:t>
      </w:r>
      <w:r>
        <w:rPr>
          <w:spacing w:val="52"/>
        </w:rPr>
        <w:t xml:space="preserve"> </w:t>
      </w:r>
      <w:r>
        <w:t>de</w:t>
      </w:r>
      <w:r>
        <w:rPr>
          <w:spacing w:val="53"/>
        </w:rPr>
        <w:t xml:space="preserve"> </w:t>
      </w:r>
      <w:r>
        <w:t>la</w:t>
      </w:r>
      <w:r>
        <w:rPr>
          <w:spacing w:val="53"/>
        </w:rPr>
        <w:t xml:space="preserve"> </w:t>
      </w:r>
      <w:r>
        <w:t>Comisión</w:t>
      </w:r>
      <w:r>
        <w:rPr>
          <w:spacing w:val="54"/>
        </w:rPr>
        <w:t xml:space="preserve"> </w:t>
      </w:r>
      <w:r>
        <w:rPr>
          <w:spacing w:val="-5"/>
        </w:rPr>
        <w:t>de</w:t>
      </w:r>
      <w:bookmarkStart w:id="630" w:name="_bookmark524"/>
      <w:bookmarkStart w:id="631" w:name="_bookmark525"/>
      <w:bookmarkStart w:id="632" w:name="_bookmark526"/>
      <w:bookmarkEnd w:id="630"/>
      <w:bookmarkEnd w:id="631"/>
      <w:bookmarkEnd w:id="632"/>
      <w:r w:rsidR="00057256">
        <w:rPr>
          <w:spacing w:val="-5"/>
        </w:rPr>
        <w:t xml:space="preserve"> </w:t>
      </w:r>
      <w:r>
        <w:t>Acusaciones, en 2012</w:t>
      </w:r>
      <w:r w:rsidR="00057256">
        <w:rPr>
          <w:rStyle w:val="Refdenotaalpie"/>
        </w:rPr>
        <w:footnoteReference w:id="471"/>
      </w:r>
      <w:r>
        <w:t>. Así mismo, la jefe de Fiscalías en Cúcuta, Ana María Flórez, fue condenada por nexos con el paramilitarismo.</w:t>
      </w:r>
    </w:p>
    <w:p w:rsidR="003804AC" w:rsidRDefault="00AF18A5" w:rsidP="00057256">
      <w:r>
        <w:t>Todo</w:t>
      </w:r>
      <w:r>
        <w:rPr>
          <w:spacing w:val="-15"/>
        </w:rPr>
        <w:t xml:space="preserve"> </w:t>
      </w:r>
      <w:r>
        <w:t>esto</w:t>
      </w:r>
      <w:r>
        <w:rPr>
          <w:spacing w:val="-15"/>
        </w:rPr>
        <w:t xml:space="preserve"> </w:t>
      </w:r>
      <w:r>
        <w:t>derivó</w:t>
      </w:r>
      <w:r>
        <w:rPr>
          <w:spacing w:val="-15"/>
        </w:rPr>
        <w:t xml:space="preserve"> </w:t>
      </w:r>
      <w:r>
        <w:t>en</w:t>
      </w:r>
      <w:r>
        <w:rPr>
          <w:spacing w:val="-15"/>
        </w:rPr>
        <w:t xml:space="preserve"> </w:t>
      </w:r>
      <w:r>
        <w:t>que</w:t>
      </w:r>
      <w:r>
        <w:rPr>
          <w:spacing w:val="-15"/>
        </w:rPr>
        <w:t xml:space="preserve"> </w:t>
      </w:r>
      <w:r>
        <w:t>las</w:t>
      </w:r>
      <w:r>
        <w:rPr>
          <w:spacing w:val="-15"/>
        </w:rPr>
        <w:t xml:space="preserve"> </w:t>
      </w:r>
      <w:r>
        <w:t>responsabilidades</w:t>
      </w:r>
      <w:r>
        <w:rPr>
          <w:spacing w:val="-15"/>
        </w:rPr>
        <w:t xml:space="preserve"> </w:t>
      </w:r>
      <w:r>
        <w:t>de</w:t>
      </w:r>
      <w:r>
        <w:rPr>
          <w:spacing w:val="-15"/>
        </w:rPr>
        <w:t xml:space="preserve"> </w:t>
      </w:r>
      <w:r>
        <w:t>sectores</w:t>
      </w:r>
      <w:r>
        <w:rPr>
          <w:spacing w:val="-15"/>
        </w:rPr>
        <w:t xml:space="preserve"> </w:t>
      </w:r>
      <w:r>
        <w:t>empresariales</w:t>
      </w:r>
      <w:r>
        <w:rPr>
          <w:spacing w:val="-15"/>
        </w:rPr>
        <w:t xml:space="preserve"> </w:t>
      </w:r>
      <w:r>
        <w:t>en</w:t>
      </w:r>
      <w:r>
        <w:rPr>
          <w:spacing w:val="-15"/>
        </w:rPr>
        <w:t xml:space="preserve"> </w:t>
      </w:r>
      <w:r>
        <w:t>los</w:t>
      </w:r>
      <w:r>
        <w:rPr>
          <w:spacing w:val="-15"/>
        </w:rPr>
        <w:t xml:space="preserve"> </w:t>
      </w:r>
      <w:r>
        <w:t>entramados paramilitares no hayan sido completamente esclarecidas, lo que ha contribuido a la impunidad y al mantenimiento del paramilitarismo.</w:t>
      </w:r>
    </w:p>
    <w:p w:rsidR="003804AC" w:rsidRDefault="00AF18A5" w:rsidP="00057256">
      <w:r>
        <w:t>El impacto de la parapolítica no llevó a ninguna acción del gobierno que abordara esa realidad,</w:t>
      </w:r>
      <w:r>
        <w:rPr>
          <w:spacing w:val="-8"/>
        </w:rPr>
        <w:t xml:space="preserve"> </w:t>
      </w:r>
      <w:r>
        <w:t>ni</w:t>
      </w:r>
      <w:r>
        <w:rPr>
          <w:spacing w:val="-8"/>
        </w:rPr>
        <w:t xml:space="preserve"> </w:t>
      </w:r>
      <w:r>
        <w:t>se</w:t>
      </w:r>
      <w:r>
        <w:rPr>
          <w:spacing w:val="-8"/>
        </w:rPr>
        <w:t xml:space="preserve"> </w:t>
      </w:r>
      <w:r>
        <w:t>cuestionó</w:t>
      </w:r>
      <w:r>
        <w:rPr>
          <w:spacing w:val="-8"/>
        </w:rPr>
        <w:t xml:space="preserve"> </w:t>
      </w:r>
      <w:r>
        <w:t>la</w:t>
      </w:r>
      <w:r>
        <w:rPr>
          <w:spacing w:val="-8"/>
        </w:rPr>
        <w:t xml:space="preserve"> </w:t>
      </w:r>
      <w:r>
        <w:t>legitimidad</w:t>
      </w:r>
      <w:r>
        <w:rPr>
          <w:spacing w:val="-8"/>
        </w:rPr>
        <w:t xml:space="preserve"> </w:t>
      </w:r>
      <w:r>
        <w:t>de</w:t>
      </w:r>
      <w:r>
        <w:rPr>
          <w:spacing w:val="-8"/>
        </w:rPr>
        <w:t xml:space="preserve"> </w:t>
      </w:r>
      <w:r>
        <w:t>estas</w:t>
      </w:r>
      <w:r>
        <w:rPr>
          <w:spacing w:val="-8"/>
        </w:rPr>
        <w:t xml:space="preserve"> </w:t>
      </w:r>
      <w:r>
        <w:t>instituciones.</w:t>
      </w:r>
      <w:r>
        <w:rPr>
          <w:spacing w:val="-8"/>
        </w:rPr>
        <w:t xml:space="preserve"> </w:t>
      </w:r>
      <w:r>
        <w:t>Esa</w:t>
      </w:r>
      <w:r>
        <w:rPr>
          <w:spacing w:val="-8"/>
        </w:rPr>
        <w:t xml:space="preserve"> </w:t>
      </w:r>
      <w:r>
        <w:t>realidad</w:t>
      </w:r>
      <w:r>
        <w:rPr>
          <w:spacing w:val="-9"/>
        </w:rPr>
        <w:t xml:space="preserve"> </w:t>
      </w:r>
      <w:r>
        <w:t>permaneció</w:t>
      </w:r>
      <w:r>
        <w:rPr>
          <w:spacing w:val="-9"/>
        </w:rPr>
        <w:t xml:space="preserve"> </w:t>
      </w:r>
      <w:r>
        <w:t>en</w:t>
      </w:r>
      <w:r>
        <w:rPr>
          <w:spacing w:val="-8"/>
        </w:rPr>
        <w:t xml:space="preserve"> </w:t>
      </w:r>
      <w:r>
        <w:t>los juzgados y, en ocasiones, en el periodismo, pero su impacto fue tratado de controlar por las autoridades</w:t>
      </w:r>
      <w:r>
        <w:rPr>
          <w:spacing w:val="-7"/>
        </w:rPr>
        <w:t xml:space="preserve"> </w:t>
      </w:r>
      <w:r>
        <w:t>gubernamentales</w:t>
      </w:r>
      <w:r>
        <w:rPr>
          <w:spacing w:val="-6"/>
        </w:rPr>
        <w:t xml:space="preserve"> </w:t>
      </w:r>
      <w:r>
        <w:t>e</w:t>
      </w:r>
      <w:r>
        <w:rPr>
          <w:spacing w:val="-6"/>
        </w:rPr>
        <w:t xml:space="preserve"> </w:t>
      </w:r>
      <w:r>
        <w:t>instituciones</w:t>
      </w:r>
      <w:r>
        <w:rPr>
          <w:spacing w:val="-6"/>
        </w:rPr>
        <w:t xml:space="preserve"> </w:t>
      </w:r>
      <w:r>
        <w:t>como</w:t>
      </w:r>
      <w:r>
        <w:rPr>
          <w:spacing w:val="-6"/>
        </w:rPr>
        <w:t xml:space="preserve"> </w:t>
      </w:r>
      <w:r>
        <w:t>el</w:t>
      </w:r>
      <w:r>
        <w:rPr>
          <w:spacing w:val="-6"/>
        </w:rPr>
        <w:t xml:space="preserve"> </w:t>
      </w:r>
      <w:r>
        <w:t>DAS,</w:t>
      </w:r>
      <w:r>
        <w:rPr>
          <w:spacing w:val="-5"/>
        </w:rPr>
        <w:t xml:space="preserve"> </w:t>
      </w:r>
      <w:r>
        <w:t>que</w:t>
      </w:r>
      <w:r>
        <w:rPr>
          <w:spacing w:val="-6"/>
        </w:rPr>
        <w:t xml:space="preserve"> </w:t>
      </w:r>
      <w:r>
        <w:t>sometieron</w:t>
      </w:r>
      <w:r>
        <w:rPr>
          <w:spacing w:val="-6"/>
        </w:rPr>
        <w:t xml:space="preserve"> </w:t>
      </w:r>
      <w:r>
        <w:t>a</w:t>
      </w:r>
      <w:r>
        <w:rPr>
          <w:spacing w:val="-6"/>
        </w:rPr>
        <w:t xml:space="preserve"> </w:t>
      </w:r>
      <w:r>
        <w:t>los</w:t>
      </w:r>
      <w:r>
        <w:rPr>
          <w:spacing w:val="-6"/>
        </w:rPr>
        <w:t xml:space="preserve"> </w:t>
      </w:r>
      <w:r>
        <w:t>jueces</w:t>
      </w:r>
      <w:r>
        <w:rPr>
          <w:spacing w:val="-6"/>
        </w:rPr>
        <w:t xml:space="preserve"> </w:t>
      </w:r>
      <w:r>
        <w:t>de</w:t>
      </w:r>
      <w:r>
        <w:rPr>
          <w:spacing w:val="-6"/>
        </w:rPr>
        <w:t xml:space="preserve"> </w:t>
      </w:r>
      <w:r>
        <w:t>la Corte Suprema, a numerosos defensores de derechos humanos y a algunos políticos a un proceso de espionaje y presiones para que renunciaran a la búsqueda de justicia.</w:t>
      </w:r>
    </w:p>
    <w:p w:rsidR="003804AC" w:rsidRDefault="00AF18A5" w:rsidP="00057256">
      <w:r>
        <w:t>Las</w:t>
      </w:r>
      <w:r>
        <w:rPr>
          <w:spacing w:val="-8"/>
        </w:rPr>
        <w:t xml:space="preserve"> </w:t>
      </w:r>
      <w:r>
        <w:t>repercusiones</w:t>
      </w:r>
      <w:r>
        <w:rPr>
          <w:spacing w:val="-8"/>
        </w:rPr>
        <w:t xml:space="preserve"> </w:t>
      </w:r>
      <w:r>
        <w:t>y</w:t>
      </w:r>
      <w:r>
        <w:rPr>
          <w:spacing w:val="-8"/>
        </w:rPr>
        <w:t xml:space="preserve"> </w:t>
      </w:r>
      <w:r>
        <w:t>la</w:t>
      </w:r>
      <w:r>
        <w:rPr>
          <w:spacing w:val="-8"/>
        </w:rPr>
        <w:t xml:space="preserve"> </w:t>
      </w:r>
      <w:r>
        <w:t>existencia</w:t>
      </w:r>
      <w:r>
        <w:rPr>
          <w:spacing w:val="-8"/>
        </w:rPr>
        <w:t xml:space="preserve"> </w:t>
      </w:r>
      <w:r>
        <w:t>de</w:t>
      </w:r>
      <w:r>
        <w:rPr>
          <w:spacing w:val="-9"/>
        </w:rPr>
        <w:t xml:space="preserve"> </w:t>
      </w:r>
      <w:r>
        <w:t>las</w:t>
      </w:r>
      <w:r>
        <w:rPr>
          <w:spacing w:val="-8"/>
        </w:rPr>
        <w:t xml:space="preserve"> </w:t>
      </w:r>
      <w:r>
        <w:t>complicidades</w:t>
      </w:r>
      <w:r>
        <w:rPr>
          <w:spacing w:val="-8"/>
        </w:rPr>
        <w:t xml:space="preserve"> </w:t>
      </w:r>
      <w:r>
        <w:t>del</w:t>
      </w:r>
      <w:r>
        <w:rPr>
          <w:spacing w:val="-8"/>
        </w:rPr>
        <w:t xml:space="preserve"> </w:t>
      </w:r>
      <w:r>
        <w:t>paramilitarismo</w:t>
      </w:r>
      <w:r>
        <w:rPr>
          <w:spacing w:val="-9"/>
        </w:rPr>
        <w:t xml:space="preserve"> </w:t>
      </w:r>
      <w:r>
        <w:t>no</w:t>
      </w:r>
      <w:r>
        <w:rPr>
          <w:spacing w:val="-8"/>
        </w:rPr>
        <w:t xml:space="preserve"> </w:t>
      </w:r>
      <w:r>
        <w:t>han</w:t>
      </w:r>
      <w:r>
        <w:rPr>
          <w:spacing w:val="-8"/>
        </w:rPr>
        <w:t xml:space="preserve"> </w:t>
      </w:r>
      <w:r>
        <w:t>sido</w:t>
      </w:r>
      <w:r>
        <w:rPr>
          <w:spacing w:val="-10"/>
        </w:rPr>
        <w:t xml:space="preserve"> </w:t>
      </w:r>
      <w:r>
        <w:t>un secreto para el conjunto de la sociedad, pese a los mecanismos de negación al respecto. Sin embargo, las investigaciones que se han abierto evidencian obstáculos a la hora de individualizar</w:t>
      </w:r>
      <w:r>
        <w:rPr>
          <w:spacing w:val="-12"/>
        </w:rPr>
        <w:t xml:space="preserve"> </w:t>
      </w:r>
      <w:r>
        <w:t>e</w:t>
      </w:r>
      <w:r>
        <w:rPr>
          <w:spacing w:val="-12"/>
        </w:rPr>
        <w:t xml:space="preserve"> </w:t>
      </w:r>
      <w:r>
        <w:t>identificar</w:t>
      </w:r>
      <w:r>
        <w:rPr>
          <w:spacing w:val="-12"/>
        </w:rPr>
        <w:t xml:space="preserve"> </w:t>
      </w:r>
      <w:r>
        <w:t>los</w:t>
      </w:r>
      <w:r>
        <w:rPr>
          <w:spacing w:val="-12"/>
        </w:rPr>
        <w:t xml:space="preserve"> </w:t>
      </w:r>
      <w:r>
        <w:t>actores</w:t>
      </w:r>
      <w:r>
        <w:rPr>
          <w:spacing w:val="-12"/>
        </w:rPr>
        <w:t xml:space="preserve"> </w:t>
      </w:r>
      <w:r>
        <w:t>militares</w:t>
      </w:r>
      <w:r>
        <w:rPr>
          <w:spacing w:val="-12"/>
        </w:rPr>
        <w:t xml:space="preserve"> </w:t>
      </w:r>
      <w:r>
        <w:t>y</w:t>
      </w:r>
      <w:r>
        <w:rPr>
          <w:spacing w:val="-12"/>
        </w:rPr>
        <w:t xml:space="preserve"> </w:t>
      </w:r>
      <w:r>
        <w:t>económicos,</w:t>
      </w:r>
      <w:r>
        <w:rPr>
          <w:spacing w:val="-13"/>
        </w:rPr>
        <w:t xml:space="preserve"> </w:t>
      </w:r>
      <w:r>
        <w:t>que</w:t>
      </w:r>
      <w:r>
        <w:rPr>
          <w:spacing w:val="-12"/>
        </w:rPr>
        <w:t xml:space="preserve"> </w:t>
      </w:r>
      <w:r>
        <w:t>promueven</w:t>
      </w:r>
      <w:r>
        <w:rPr>
          <w:spacing w:val="-12"/>
        </w:rPr>
        <w:t xml:space="preserve"> </w:t>
      </w:r>
      <w:r>
        <w:t>o</w:t>
      </w:r>
      <w:r>
        <w:rPr>
          <w:spacing w:val="-12"/>
        </w:rPr>
        <w:t xml:space="preserve"> </w:t>
      </w:r>
      <w:r>
        <w:t>apoyan</w:t>
      </w:r>
      <w:r>
        <w:rPr>
          <w:spacing w:val="-12"/>
        </w:rPr>
        <w:t xml:space="preserve"> </w:t>
      </w:r>
      <w:r>
        <w:t>a</w:t>
      </w:r>
      <w:r>
        <w:rPr>
          <w:spacing w:val="-12"/>
        </w:rPr>
        <w:t xml:space="preserve"> </w:t>
      </w:r>
      <w:r>
        <w:t>los grupos paramilitares, así como falta de enfoques de contexto que analicen estas redes más allá</w:t>
      </w:r>
      <w:r>
        <w:rPr>
          <w:spacing w:val="-15"/>
        </w:rPr>
        <w:t xml:space="preserve"> </w:t>
      </w:r>
      <w:r>
        <w:t>de</w:t>
      </w:r>
      <w:r>
        <w:rPr>
          <w:spacing w:val="-12"/>
        </w:rPr>
        <w:t xml:space="preserve"> </w:t>
      </w:r>
      <w:r>
        <w:t>las</w:t>
      </w:r>
      <w:r>
        <w:rPr>
          <w:spacing w:val="-13"/>
        </w:rPr>
        <w:t xml:space="preserve"> </w:t>
      </w:r>
      <w:r>
        <w:t>investigaciones</w:t>
      </w:r>
      <w:r>
        <w:rPr>
          <w:spacing w:val="-11"/>
        </w:rPr>
        <w:t xml:space="preserve"> </w:t>
      </w:r>
      <w:r>
        <w:t>penales</w:t>
      </w:r>
      <w:r>
        <w:rPr>
          <w:spacing w:val="-11"/>
        </w:rPr>
        <w:t xml:space="preserve"> </w:t>
      </w:r>
      <w:r>
        <w:t>con</w:t>
      </w:r>
      <w:r>
        <w:rPr>
          <w:spacing w:val="-12"/>
        </w:rPr>
        <w:t xml:space="preserve"> </w:t>
      </w:r>
      <w:r>
        <w:t>enfoques</w:t>
      </w:r>
      <w:r>
        <w:rPr>
          <w:spacing w:val="-12"/>
        </w:rPr>
        <w:t xml:space="preserve"> </w:t>
      </w:r>
      <w:r>
        <w:t>centrados</w:t>
      </w:r>
      <w:r>
        <w:rPr>
          <w:spacing w:val="-13"/>
        </w:rPr>
        <w:t xml:space="preserve"> </w:t>
      </w:r>
      <w:r>
        <w:t>en</w:t>
      </w:r>
      <w:r>
        <w:rPr>
          <w:spacing w:val="-12"/>
        </w:rPr>
        <w:t xml:space="preserve"> </w:t>
      </w:r>
      <w:r>
        <w:t>responsabilidades</w:t>
      </w:r>
      <w:r>
        <w:rPr>
          <w:spacing w:val="-11"/>
        </w:rPr>
        <w:t xml:space="preserve"> </w:t>
      </w:r>
      <w:r>
        <w:rPr>
          <w:spacing w:val="-2"/>
        </w:rPr>
        <w:lastRenderedPageBreak/>
        <w:t>individuales.</w:t>
      </w:r>
    </w:p>
    <w:p w:rsidR="003804AC" w:rsidRDefault="00AF18A5" w:rsidP="00057256">
      <w:r>
        <w:t>Esto ocurre en paralelo con múltiples trabas y dilaciones en las investigaciones, que han hecho</w:t>
      </w:r>
      <w:r>
        <w:rPr>
          <w:spacing w:val="-15"/>
        </w:rPr>
        <w:t xml:space="preserve"> </w:t>
      </w:r>
      <w:r>
        <w:t>que</w:t>
      </w:r>
      <w:r>
        <w:rPr>
          <w:spacing w:val="-14"/>
        </w:rPr>
        <w:t xml:space="preserve"> </w:t>
      </w:r>
      <w:r>
        <w:t>los</w:t>
      </w:r>
      <w:r>
        <w:rPr>
          <w:spacing w:val="-14"/>
        </w:rPr>
        <w:t xml:space="preserve"> </w:t>
      </w:r>
      <w:r>
        <w:t>esfuerzos</w:t>
      </w:r>
      <w:r>
        <w:rPr>
          <w:spacing w:val="-14"/>
        </w:rPr>
        <w:t xml:space="preserve"> </w:t>
      </w:r>
      <w:r>
        <w:t>emprendidos</w:t>
      </w:r>
      <w:r>
        <w:rPr>
          <w:spacing w:val="-14"/>
        </w:rPr>
        <w:t xml:space="preserve"> </w:t>
      </w:r>
      <w:r>
        <w:t>se</w:t>
      </w:r>
      <w:r>
        <w:rPr>
          <w:spacing w:val="-14"/>
        </w:rPr>
        <w:t xml:space="preserve"> </w:t>
      </w:r>
      <w:r>
        <w:t>hayan</w:t>
      </w:r>
      <w:r>
        <w:rPr>
          <w:spacing w:val="-14"/>
        </w:rPr>
        <w:t xml:space="preserve"> </w:t>
      </w:r>
      <w:r>
        <w:t>suspendido</w:t>
      </w:r>
      <w:r>
        <w:rPr>
          <w:spacing w:val="-14"/>
        </w:rPr>
        <w:t xml:space="preserve"> </w:t>
      </w:r>
      <w:r>
        <w:t>o</w:t>
      </w:r>
      <w:r>
        <w:rPr>
          <w:spacing w:val="-14"/>
        </w:rPr>
        <w:t xml:space="preserve"> </w:t>
      </w:r>
      <w:r>
        <w:t>que,</w:t>
      </w:r>
      <w:r>
        <w:rPr>
          <w:spacing w:val="-14"/>
        </w:rPr>
        <w:t xml:space="preserve"> </w:t>
      </w:r>
      <w:r>
        <w:t>incluso,</w:t>
      </w:r>
      <w:r>
        <w:rPr>
          <w:spacing w:val="-15"/>
        </w:rPr>
        <w:t xml:space="preserve"> </w:t>
      </w:r>
      <w:r>
        <w:t>no</w:t>
      </w:r>
      <w:r>
        <w:rPr>
          <w:spacing w:val="-14"/>
        </w:rPr>
        <w:t xml:space="preserve"> </w:t>
      </w:r>
      <w:r>
        <w:t>se</w:t>
      </w:r>
      <w:r>
        <w:rPr>
          <w:spacing w:val="-14"/>
        </w:rPr>
        <w:t xml:space="preserve"> </w:t>
      </w:r>
      <w:r>
        <w:t>hayan</w:t>
      </w:r>
      <w:r>
        <w:rPr>
          <w:spacing w:val="-13"/>
        </w:rPr>
        <w:t xml:space="preserve"> </w:t>
      </w:r>
      <w:r>
        <w:t>podido mantener, como señala un estudio sobre los resultados de Justicia y Paz:</w:t>
      </w:r>
    </w:p>
    <w:p w:rsidR="0011361F" w:rsidRDefault="00AF18A5" w:rsidP="00057256">
      <w:r>
        <w:t>[...] dado que Justicia y Paz no tiene competencia para judicializar actores distintos de los desmovilizados</w:t>
      </w:r>
      <w:r>
        <w:rPr>
          <w:spacing w:val="-12"/>
        </w:rPr>
        <w:t xml:space="preserve"> </w:t>
      </w:r>
      <w:r>
        <w:t>de</w:t>
      </w:r>
      <w:r>
        <w:rPr>
          <w:spacing w:val="-13"/>
        </w:rPr>
        <w:t xml:space="preserve"> </w:t>
      </w:r>
      <w:r>
        <w:t>grupos</w:t>
      </w:r>
      <w:r>
        <w:rPr>
          <w:spacing w:val="-13"/>
        </w:rPr>
        <w:t xml:space="preserve"> </w:t>
      </w:r>
      <w:r>
        <w:t>armados</w:t>
      </w:r>
      <w:r>
        <w:rPr>
          <w:spacing w:val="-12"/>
        </w:rPr>
        <w:t xml:space="preserve"> </w:t>
      </w:r>
      <w:r>
        <w:t>al</w:t>
      </w:r>
      <w:r>
        <w:rPr>
          <w:spacing w:val="-12"/>
        </w:rPr>
        <w:t xml:space="preserve"> </w:t>
      </w:r>
      <w:r>
        <w:t>margen</w:t>
      </w:r>
      <w:r>
        <w:rPr>
          <w:spacing w:val="-11"/>
        </w:rPr>
        <w:t xml:space="preserve"> </w:t>
      </w:r>
      <w:r>
        <w:t>de</w:t>
      </w:r>
      <w:r>
        <w:rPr>
          <w:spacing w:val="-12"/>
        </w:rPr>
        <w:t xml:space="preserve"> </w:t>
      </w:r>
      <w:r>
        <w:t>la</w:t>
      </w:r>
      <w:r>
        <w:rPr>
          <w:spacing w:val="-13"/>
        </w:rPr>
        <w:t xml:space="preserve"> </w:t>
      </w:r>
      <w:r>
        <w:t>ley,</w:t>
      </w:r>
      <w:r>
        <w:rPr>
          <w:spacing w:val="-11"/>
        </w:rPr>
        <w:t xml:space="preserve"> </w:t>
      </w:r>
      <w:r>
        <w:t>estos</w:t>
      </w:r>
      <w:r>
        <w:rPr>
          <w:spacing w:val="-12"/>
        </w:rPr>
        <w:t xml:space="preserve"> </w:t>
      </w:r>
      <w:r>
        <w:t>señalamientos</w:t>
      </w:r>
      <w:r>
        <w:rPr>
          <w:spacing w:val="-12"/>
        </w:rPr>
        <w:t xml:space="preserve"> </w:t>
      </w:r>
      <w:r>
        <w:t>constituyen</w:t>
      </w:r>
      <w:r>
        <w:rPr>
          <w:spacing w:val="-11"/>
        </w:rPr>
        <w:t xml:space="preserve"> </w:t>
      </w:r>
      <w:r>
        <w:t>la</w:t>
      </w:r>
      <w:r>
        <w:rPr>
          <w:spacing w:val="-13"/>
        </w:rPr>
        <w:t xml:space="preserve"> </w:t>
      </w:r>
      <w:r>
        <w:t>base para</w:t>
      </w:r>
      <w:r>
        <w:rPr>
          <w:spacing w:val="-3"/>
        </w:rPr>
        <w:t xml:space="preserve"> </w:t>
      </w:r>
      <w:r>
        <w:t>que</w:t>
      </w:r>
      <w:r>
        <w:rPr>
          <w:spacing w:val="-3"/>
        </w:rPr>
        <w:t xml:space="preserve"> </w:t>
      </w:r>
      <w:r>
        <w:t>los</w:t>
      </w:r>
      <w:r>
        <w:rPr>
          <w:spacing w:val="-3"/>
        </w:rPr>
        <w:t xml:space="preserve"> </w:t>
      </w:r>
      <w:r>
        <w:t>magistrados</w:t>
      </w:r>
      <w:r>
        <w:rPr>
          <w:spacing w:val="-3"/>
        </w:rPr>
        <w:t xml:space="preserve"> </w:t>
      </w:r>
      <w:r>
        <w:t>de</w:t>
      </w:r>
      <w:r>
        <w:rPr>
          <w:spacing w:val="-3"/>
        </w:rPr>
        <w:t xml:space="preserve"> </w:t>
      </w:r>
      <w:r>
        <w:t>Justicia</w:t>
      </w:r>
      <w:r>
        <w:rPr>
          <w:spacing w:val="-3"/>
        </w:rPr>
        <w:t xml:space="preserve"> </w:t>
      </w:r>
      <w:r>
        <w:t>y</w:t>
      </w:r>
      <w:r>
        <w:rPr>
          <w:spacing w:val="-2"/>
        </w:rPr>
        <w:t xml:space="preserve"> </w:t>
      </w:r>
      <w:r>
        <w:t>Paz</w:t>
      </w:r>
      <w:r>
        <w:rPr>
          <w:spacing w:val="-3"/>
        </w:rPr>
        <w:t xml:space="preserve"> </w:t>
      </w:r>
      <w:r>
        <w:t>compulsen</w:t>
      </w:r>
      <w:r>
        <w:rPr>
          <w:spacing w:val="-1"/>
        </w:rPr>
        <w:t xml:space="preserve"> </w:t>
      </w:r>
      <w:r>
        <w:t>copias</w:t>
      </w:r>
      <w:r>
        <w:rPr>
          <w:spacing w:val="-3"/>
        </w:rPr>
        <w:t xml:space="preserve"> </w:t>
      </w:r>
      <w:r>
        <w:t>a</w:t>
      </w:r>
      <w:r>
        <w:rPr>
          <w:spacing w:val="-3"/>
        </w:rPr>
        <w:t xml:space="preserve"> </w:t>
      </w:r>
      <w:r>
        <w:t>la</w:t>
      </w:r>
      <w:r>
        <w:rPr>
          <w:spacing w:val="-3"/>
        </w:rPr>
        <w:t xml:space="preserve"> </w:t>
      </w:r>
      <w:r>
        <w:t>justicia</w:t>
      </w:r>
      <w:r>
        <w:rPr>
          <w:spacing w:val="-3"/>
        </w:rPr>
        <w:t xml:space="preserve"> </w:t>
      </w:r>
      <w:r>
        <w:t>ordinaria,</w:t>
      </w:r>
      <w:r>
        <w:rPr>
          <w:spacing w:val="-2"/>
        </w:rPr>
        <w:t xml:space="preserve"> </w:t>
      </w:r>
      <w:r>
        <w:t>que</w:t>
      </w:r>
      <w:r>
        <w:rPr>
          <w:spacing w:val="-3"/>
        </w:rPr>
        <w:t xml:space="preserve"> </w:t>
      </w:r>
      <w:r>
        <w:t>será</w:t>
      </w:r>
      <w:r>
        <w:rPr>
          <w:spacing w:val="-3"/>
        </w:rPr>
        <w:t xml:space="preserve"> </w:t>
      </w:r>
      <w:r>
        <w:t>la que decida si adelanta investigaciones contra aquellos actores.</w:t>
      </w:r>
      <w:r w:rsidR="00057256">
        <w:rPr>
          <w:rStyle w:val="Refdenotaalpie"/>
        </w:rPr>
        <w:footnoteReference w:id="472"/>
      </w:r>
      <w:r w:rsidR="00057256">
        <w:t xml:space="preserve"> </w:t>
      </w:r>
    </w:p>
    <w:p w:rsidR="003804AC" w:rsidRDefault="00AF18A5" w:rsidP="00057256">
      <w:bookmarkStart w:id="633" w:name="_bookmark527"/>
      <w:bookmarkStart w:id="634" w:name="_bookmark528"/>
      <w:bookmarkEnd w:id="633"/>
      <w:bookmarkEnd w:id="634"/>
      <w:r>
        <w:t>De</w:t>
      </w:r>
      <w:r>
        <w:rPr>
          <w:spacing w:val="-3"/>
        </w:rPr>
        <w:t xml:space="preserve"> </w:t>
      </w:r>
      <w:r>
        <w:t>aquí</w:t>
      </w:r>
      <w:r>
        <w:rPr>
          <w:spacing w:val="-3"/>
        </w:rPr>
        <w:t xml:space="preserve"> </w:t>
      </w:r>
      <w:r>
        <w:t>nacieron</w:t>
      </w:r>
      <w:r>
        <w:rPr>
          <w:spacing w:val="-3"/>
        </w:rPr>
        <w:t xml:space="preserve"> </w:t>
      </w:r>
      <w:r>
        <w:t>las</w:t>
      </w:r>
      <w:r>
        <w:rPr>
          <w:spacing w:val="-4"/>
        </w:rPr>
        <w:t xml:space="preserve"> </w:t>
      </w:r>
      <w:r>
        <w:t>compulsas</w:t>
      </w:r>
      <w:r>
        <w:rPr>
          <w:spacing w:val="-3"/>
        </w:rPr>
        <w:t xml:space="preserve"> </w:t>
      </w:r>
      <w:r>
        <w:t>de</w:t>
      </w:r>
      <w:r>
        <w:rPr>
          <w:spacing w:val="-3"/>
        </w:rPr>
        <w:t xml:space="preserve"> </w:t>
      </w:r>
      <w:r>
        <w:t>copias,</w:t>
      </w:r>
      <w:r>
        <w:rPr>
          <w:spacing w:val="-3"/>
        </w:rPr>
        <w:t xml:space="preserve"> </w:t>
      </w:r>
      <w:r>
        <w:t>que</w:t>
      </w:r>
      <w:r>
        <w:rPr>
          <w:spacing w:val="-3"/>
        </w:rPr>
        <w:t xml:space="preserve"> </w:t>
      </w:r>
      <w:r>
        <w:t>sistematizan</w:t>
      </w:r>
      <w:r>
        <w:rPr>
          <w:spacing w:val="-3"/>
        </w:rPr>
        <w:t xml:space="preserve"> </w:t>
      </w:r>
      <w:r>
        <w:t>las</w:t>
      </w:r>
      <w:r>
        <w:rPr>
          <w:spacing w:val="-3"/>
        </w:rPr>
        <w:t xml:space="preserve"> </w:t>
      </w:r>
      <w:r>
        <w:t>menciones</w:t>
      </w:r>
      <w:r>
        <w:rPr>
          <w:spacing w:val="-4"/>
        </w:rPr>
        <w:t xml:space="preserve"> </w:t>
      </w:r>
      <w:r>
        <w:t>de</w:t>
      </w:r>
      <w:r>
        <w:rPr>
          <w:spacing w:val="-3"/>
        </w:rPr>
        <w:t xml:space="preserve"> </w:t>
      </w:r>
      <w:r>
        <w:t>los</w:t>
      </w:r>
      <w:r>
        <w:rPr>
          <w:spacing w:val="-3"/>
        </w:rPr>
        <w:t xml:space="preserve"> </w:t>
      </w:r>
      <w:r>
        <w:t>postulados en los procesos judiciales que aún hoy están pendientes de investigación. Según la Fiscalía, con corte en 2019, de las 16.772 copias que recibió de los tribunales, filtradas en 16.134, se identificaron</w:t>
      </w:r>
      <w:r>
        <w:rPr>
          <w:spacing w:val="-5"/>
        </w:rPr>
        <w:t xml:space="preserve"> </w:t>
      </w:r>
      <w:r>
        <w:t>311</w:t>
      </w:r>
      <w:r>
        <w:rPr>
          <w:spacing w:val="-3"/>
        </w:rPr>
        <w:t xml:space="preserve"> </w:t>
      </w:r>
      <w:r>
        <w:t>terceros</w:t>
      </w:r>
      <w:r>
        <w:rPr>
          <w:spacing w:val="-3"/>
        </w:rPr>
        <w:t xml:space="preserve"> </w:t>
      </w:r>
      <w:r>
        <w:t>civiles,</w:t>
      </w:r>
      <w:r>
        <w:rPr>
          <w:spacing w:val="-3"/>
        </w:rPr>
        <w:t xml:space="preserve"> </w:t>
      </w:r>
      <w:r>
        <w:t>835</w:t>
      </w:r>
      <w:r>
        <w:rPr>
          <w:spacing w:val="-3"/>
        </w:rPr>
        <w:t xml:space="preserve"> </w:t>
      </w:r>
      <w:r>
        <w:t>agentes</w:t>
      </w:r>
      <w:r>
        <w:rPr>
          <w:spacing w:val="-3"/>
        </w:rPr>
        <w:t xml:space="preserve"> </w:t>
      </w:r>
      <w:r>
        <w:t>del</w:t>
      </w:r>
      <w:r>
        <w:rPr>
          <w:spacing w:val="-3"/>
        </w:rPr>
        <w:t xml:space="preserve"> </w:t>
      </w:r>
      <w:r>
        <w:t>Estado</w:t>
      </w:r>
      <w:r>
        <w:rPr>
          <w:spacing w:val="-3"/>
        </w:rPr>
        <w:t xml:space="preserve"> </w:t>
      </w:r>
      <w:r>
        <w:t>no</w:t>
      </w:r>
      <w:r>
        <w:rPr>
          <w:spacing w:val="-5"/>
        </w:rPr>
        <w:t xml:space="preserve"> </w:t>
      </w:r>
      <w:r>
        <w:t>combatientes</w:t>
      </w:r>
      <w:r>
        <w:rPr>
          <w:spacing w:val="-3"/>
        </w:rPr>
        <w:t xml:space="preserve"> </w:t>
      </w:r>
      <w:r>
        <w:t>y</w:t>
      </w:r>
      <w:r>
        <w:rPr>
          <w:spacing w:val="-3"/>
        </w:rPr>
        <w:t xml:space="preserve"> </w:t>
      </w:r>
      <w:r>
        <w:t>417</w:t>
      </w:r>
      <w:r>
        <w:rPr>
          <w:spacing w:val="-3"/>
        </w:rPr>
        <w:t xml:space="preserve"> </w:t>
      </w:r>
      <w:r>
        <w:t>agentes</w:t>
      </w:r>
      <w:r>
        <w:rPr>
          <w:spacing w:val="-3"/>
        </w:rPr>
        <w:t xml:space="preserve"> </w:t>
      </w:r>
      <w:r>
        <w:t>del Estado combatientes</w:t>
      </w:r>
      <w:r w:rsidR="00057256">
        <w:rPr>
          <w:rStyle w:val="Refdenotaalpie"/>
        </w:rPr>
        <w:footnoteReference w:id="473"/>
      </w:r>
      <w:r>
        <w:t>. La Dirección de Justicia Transicional de la Fiscalía desarrolla actualmente una investigación sobre complicidad empresarial, que lleva procesos judiciales contra 18 empresarios bananeros implicados en el Bloque Bananero de las AUC, contra la empresa</w:t>
      </w:r>
      <w:r>
        <w:rPr>
          <w:spacing w:val="-9"/>
        </w:rPr>
        <w:t xml:space="preserve"> </w:t>
      </w:r>
      <w:r>
        <w:t>Drummond</w:t>
      </w:r>
      <w:r>
        <w:rPr>
          <w:spacing w:val="-9"/>
        </w:rPr>
        <w:t xml:space="preserve"> </w:t>
      </w:r>
      <w:r>
        <w:t>por</w:t>
      </w:r>
      <w:r>
        <w:rPr>
          <w:spacing w:val="-10"/>
        </w:rPr>
        <w:t xml:space="preserve"> </w:t>
      </w:r>
      <w:r>
        <w:t>su</w:t>
      </w:r>
      <w:r>
        <w:rPr>
          <w:spacing w:val="-9"/>
        </w:rPr>
        <w:t xml:space="preserve"> </w:t>
      </w:r>
      <w:r>
        <w:t>implicación</w:t>
      </w:r>
      <w:r>
        <w:rPr>
          <w:spacing w:val="-9"/>
        </w:rPr>
        <w:t xml:space="preserve"> </w:t>
      </w:r>
      <w:r>
        <w:t>en</w:t>
      </w:r>
      <w:r>
        <w:rPr>
          <w:spacing w:val="-9"/>
        </w:rPr>
        <w:t xml:space="preserve"> </w:t>
      </w:r>
      <w:r>
        <w:t>el</w:t>
      </w:r>
      <w:r>
        <w:rPr>
          <w:spacing w:val="-9"/>
        </w:rPr>
        <w:t xml:space="preserve"> </w:t>
      </w:r>
      <w:r>
        <w:t>Bloque</w:t>
      </w:r>
      <w:r>
        <w:rPr>
          <w:spacing w:val="-9"/>
        </w:rPr>
        <w:t xml:space="preserve"> </w:t>
      </w:r>
      <w:r>
        <w:t>Norte</w:t>
      </w:r>
      <w:r>
        <w:rPr>
          <w:spacing w:val="-10"/>
        </w:rPr>
        <w:t xml:space="preserve"> </w:t>
      </w:r>
      <w:r>
        <w:t>y</w:t>
      </w:r>
      <w:r>
        <w:rPr>
          <w:spacing w:val="-11"/>
        </w:rPr>
        <w:t xml:space="preserve"> </w:t>
      </w:r>
      <w:r>
        <w:t>contra</w:t>
      </w:r>
      <w:r>
        <w:rPr>
          <w:spacing w:val="-10"/>
        </w:rPr>
        <w:t xml:space="preserve"> </w:t>
      </w:r>
      <w:r>
        <w:t>azucareros</w:t>
      </w:r>
      <w:r>
        <w:rPr>
          <w:spacing w:val="-10"/>
        </w:rPr>
        <w:t xml:space="preserve"> </w:t>
      </w:r>
      <w:r>
        <w:t>del</w:t>
      </w:r>
      <w:r>
        <w:rPr>
          <w:spacing w:val="-10"/>
        </w:rPr>
        <w:t xml:space="preserve"> </w:t>
      </w:r>
      <w:r>
        <w:t>Valle</w:t>
      </w:r>
      <w:r>
        <w:rPr>
          <w:spacing w:val="-9"/>
        </w:rPr>
        <w:t xml:space="preserve"> </w:t>
      </w:r>
      <w:r>
        <w:t>por su implicación en el Bloque Calima, entre otras responsabilidades que aparecieron en el proceso de Justicia y Paz. Según su director:</w:t>
      </w:r>
    </w:p>
    <w:p w:rsidR="003804AC" w:rsidRDefault="00AF18A5" w:rsidP="00057256">
      <w:r>
        <w:lastRenderedPageBreak/>
        <w:t>Tenemos una estrategia [...]. Quiénes fueron aquellos que pusieron a funcionar el paramilitarismo en Colombia. Estamos trabajando en ello. La dirección que yo lidero tiene unos procesos que son muy importantes, sobre ese punto, mire, en la historia de la implementación</w:t>
      </w:r>
      <w:r>
        <w:rPr>
          <w:spacing w:val="-9"/>
        </w:rPr>
        <w:t xml:space="preserve"> </w:t>
      </w:r>
      <w:r>
        <w:t>del</w:t>
      </w:r>
      <w:r>
        <w:rPr>
          <w:spacing w:val="-10"/>
        </w:rPr>
        <w:t xml:space="preserve"> </w:t>
      </w:r>
      <w:r>
        <w:t>proceso</w:t>
      </w:r>
      <w:r>
        <w:rPr>
          <w:spacing w:val="-9"/>
        </w:rPr>
        <w:t xml:space="preserve"> </w:t>
      </w:r>
      <w:r>
        <w:t>de</w:t>
      </w:r>
      <w:r>
        <w:rPr>
          <w:spacing w:val="-9"/>
        </w:rPr>
        <w:t xml:space="preserve"> </w:t>
      </w:r>
      <w:r>
        <w:t>Justicia</w:t>
      </w:r>
      <w:r>
        <w:rPr>
          <w:spacing w:val="-9"/>
        </w:rPr>
        <w:t xml:space="preserve"> </w:t>
      </w:r>
      <w:r>
        <w:t>y</w:t>
      </w:r>
      <w:r>
        <w:rPr>
          <w:spacing w:val="-9"/>
        </w:rPr>
        <w:t xml:space="preserve"> </w:t>
      </w:r>
      <w:r>
        <w:t>Paz</w:t>
      </w:r>
      <w:r>
        <w:rPr>
          <w:spacing w:val="-9"/>
        </w:rPr>
        <w:t xml:space="preserve"> </w:t>
      </w:r>
      <w:r>
        <w:t>no</w:t>
      </w:r>
      <w:r>
        <w:rPr>
          <w:spacing w:val="-9"/>
        </w:rPr>
        <w:t xml:space="preserve"> </w:t>
      </w:r>
      <w:r>
        <w:t>se</w:t>
      </w:r>
      <w:r>
        <w:rPr>
          <w:spacing w:val="-10"/>
        </w:rPr>
        <w:t xml:space="preserve"> </w:t>
      </w:r>
      <w:r>
        <w:t>habían</w:t>
      </w:r>
      <w:r>
        <w:rPr>
          <w:spacing w:val="-9"/>
        </w:rPr>
        <w:t xml:space="preserve"> </w:t>
      </w:r>
      <w:r>
        <w:t>presentado</w:t>
      </w:r>
      <w:r>
        <w:rPr>
          <w:spacing w:val="-9"/>
        </w:rPr>
        <w:t xml:space="preserve"> </w:t>
      </w:r>
      <w:r>
        <w:t>esas</w:t>
      </w:r>
      <w:r>
        <w:rPr>
          <w:spacing w:val="-9"/>
        </w:rPr>
        <w:t xml:space="preserve"> </w:t>
      </w:r>
      <w:r>
        <w:t>decisiones</w:t>
      </w:r>
      <w:r>
        <w:rPr>
          <w:spacing w:val="-9"/>
        </w:rPr>
        <w:t xml:space="preserve"> </w:t>
      </w:r>
      <w:r>
        <w:t>[...].</w:t>
      </w:r>
      <w:r>
        <w:rPr>
          <w:spacing w:val="-9"/>
        </w:rPr>
        <w:t xml:space="preserve"> </w:t>
      </w:r>
      <w:r>
        <w:t>Los 18 empresarios bananeros que usted acabó de enunciar son los empresarios bananeros más importantes del golfo del Urabá, que permitieron que algunos recursos terminaran finalmente en el Bloque Bananero de las Autodefensas y así, usted citaba el Bloque Norte de las autodefensas y la empresa Drummond</w:t>
      </w:r>
      <w:r w:rsidR="00057256">
        <w:rPr>
          <w:rStyle w:val="Refdenotaalpie"/>
        </w:rPr>
        <w:footnoteReference w:id="474"/>
      </w:r>
      <w:r>
        <w:t>.</w:t>
      </w:r>
    </w:p>
    <w:p w:rsidR="003804AC" w:rsidRDefault="00AF18A5" w:rsidP="00057256">
      <w:r>
        <w:t>Sin</w:t>
      </w:r>
      <w:r>
        <w:rPr>
          <w:spacing w:val="-5"/>
        </w:rPr>
        <w:t xml:space="preserve"> </w:t>
      </w:r>
      <w:r>
        <w:t>embargo,</w:t>
      </w:r>
      <w:r>
        <w:rPr>
          <w:spacing w:val="-5"/>
        </w:rPr>
        <w:t xml:space="preserve"> </w:t>
      </w:r>
      <w:r>
        <w:t>estas</w:t>
      </w:r>
      <w:r>
        <w:rPr>
          <w:spacing w:val="-4"/>
        </w:rPr>
        <w:t xml:space="preserve"> </w:t>
      </w:r>
      <w:r>
        <w:t>investigaciones</w:t>
      </w:r>
      <w:r>
        <w:rPr>
          <w:spacing w:val="-4"/>
        </w:rPr>
        <w:t xml:space="preserve"> </w:t>
      </w:r>
      <w:r>
        <w:t>han</w:t>
      </w:r>
      <w:r>
        <w:rPr>
          <w:spacing w:val="-5"/>
        </w:rPr>
        <w:t xml:space="preserve"> </w:t>
      </w:r>
      <w:r>
        <w:t>presentado</w:t>
      </w:r>
      <w:r>
        <w:rPr>
          <w:spacing w:val="-6"/>
        </w:rPr>
        <w:t xml:space="preserve"> </w:t>
      </w:r>
      <w:r>
        <w:t>considerables</w:t>
      </w:r>
      <w:r>
        <w:rPr>
          <w:spacing w:val="-4"/>
        </w:rPr>
        <w:t xml:space="preserve"> </w:t>
      </w:r>
      <w:r>
        <w:t>demoras</w:t>
      </w:r>
      <w:r>
        <w:rPr>
          <w:spacing w:val="-7"/>
        </w:rPr>
        <w:t xml:space="preserve"> </w:t>
      </w:r>
      <w:r>
        <w:t>y,</w:t>
      </w:r>
      <w:r>
        <w:rPr>
          <w:spacing w:val="-5"/>
        </w:rPr>
        <w:t xml:space="preserve"> </w:t>
      </w:r>
      <w:r>
        <w:t>por</w:t>
      </w:r>
      <w:r>
        <w:rPr>
          <w:spacing w:val="-5"/>
        </w:rPr>
        <w:t xml:space="preserve"> </w:t>
      </w:r>
      <w:r>
        <w:t>lo</w:t>
      </w:r>
      <w:r>
        <w:rPr>
          <w:spacing w:val="-5"/>
        </w:rPr>
        <w:t xml:space="preserve"> </w:t>
      </w:r>
      <w:r>
        <w:t>tanto,</w:t>
      </w:r>
      <w:r>
        <w:rPr>
          <w:spacing w:val="-5"/>
        </w:rPr>
        <w:t xml:space="preserve"> </w:t>
      </w:r>
      <w:r>
        <w:t>no se han logrado desarticular las complicidades que se dieron frente a las AUC</w:t>
      </w:r>
      <w:r w:rsidR="00057256">
        <w:rPr>
          <w:rStyle w:val="Refdenotaalpie"/>
        </w:rPr>
        <w:footnoteReference w:id="475"/>
      </w:r>
      <w:r>
        <w:t>, lo cual ha suscitado frustración e incredulidad en las víctimas, así como un cuestionamiento sobre la Fiscalía</w:t>
      </w:r>
      <w:r>
        <w:rPr>
          <w:spacing w:val="-13"/>
        </w:rPr>
        <w:t xml:space="preserve"> </w:t>
      </w:r>
      <w:r>
        <w:t>y</w:t>
      </w:r>
      <w:r>
        <w:rPr>
          <w:spacing w:val="-13"/>
        </w:rPr>
        <w:t xml:space="preserve"> </w:t>
      </w:r>
      <w:r>
        <w:t>sobre</w:t>
      </w:r>
      <w:r>
        <w:rPr>
          <w:spacing w:val="-13"/>
        </w:rPr>
        <w:t xml:space="preserve"> </w:t>
      </w:r>
      <w:r>
        <w:t>el</w:t>
      </w:r>
      <w:r>
        <w:rPr>
          <w:spacing w:val="-13"/>
        </w:rPr>
        <w:t xml:space="preserve"> </w:t>
      </w:r>
      <w:r>
        <w:t>funcionamiento</w:t>
      </w:r>
      <w:r>
        <w:rPr>
          <w:spacing w:val="-13"/>
        </w:rPr>
        <w:t xml:space="preserve"> </w:t>
      </w:r>
      <w:r>
        <w:t>de</w:t>
      </w:r>
      <w:r>
        <w:rPr>
          <w:spacing w:val="-14"/>
        </w:rPr>
        <w:t xml:space="preserve"> </w:t>
      </w:r>
      <w:r>
        <w:t>la</w:t>
      </w:r>
      <w:r>
        <w:rPr>
          <w:spacing w:val="-13"/>
        </w:rPr>
        <w:t xml:space="preserve"> </w:t>
      </w:r>
      <w:r>
        <w:t>justicia</w:t>
      </w:r>
      <w:r>
        <w:rPr>
          <w:spacing w:val="-13"/>
        </w:rPr>
        <w:t xml:space="preserve"> </w:t>
      </w:r>
      <w:r>
        <w:t>en</w:t>
      </w:r>
      <w:r>
        <w:rPr>
          <w:spacing w:val="-14"/>
        </w:rPr>
        <w:t xml:space="preserve"> </w:t>
      </w:r>
      <w:r>
        <w:t>un</w:t>
      </w:r>
      <w:r>
        <w:rPr>
          <w:spacing w:val="-13"/>
        </w:rPr>
        <w:t xml:space="preserve"> </w:t>
      </w:r>
      <w:r>
        <w:t>caso</w:t>
      </w:r>
      <w:r>
        <w:rPr>
          <w:spacing w:val="-13"/>
        </w:rPr>
        <w:t xml:space="preserve"> </w:t>
      </w:r>
      <w:r>
        <w:t>de</w:t>
      </w:r>
      <w:r>
        <w:rPr>
          <w:spacing w:val="-13"/>
        </w:rPr>
        <w:t xml:space="preserve"> </w:t>
      </w:r>
      <w:r>
        <w:t>extrema</w:t>
      </w:r>
      <w:r>
        <w:rPr>
          <w:spacing w:val="-13"/>
        </w:rPr>
        <w:t xml:space="preserve"> </w:t>
      </w:r>
      <w:r>
        <w:t>gravedad.</w:t>
      </w:r>
      <w:r>
        <w:rPr>
          <w:spacing w:val="-13"/>
        </w:rPr>
        <w:t xml:space="preserve"> </w:t>
      </w:r>
      <w:r>
        <w:t>Los</w:t>
      </w:r>
      <w:r>
        <w:rPr>
          <w:spacing w:val="-13"/>
        </w:rPr>
        <w:t xml:space="preserve"> </w:t>
      </w:r>
      <w:r>
        <w:t>mismos excomandantes</w:t>
      </w:r>
      <w:r>
        <w:rPr>
          <w:spacing w:val="-13"/>
        </w:rPr>
        <w:t xml:space="preserve"> </w:t>
      </w:r>
      <w:r>
        <w:t>de</w:t>
      </w:r>
      <w:r>
        <w:rPr>
          <w:spacing w:val="-11"/>
        </w:rPr>
        <w:t xml:space="preserve"> </w:t>
      </w:r>
      <w:r>
        <w:t>la</w:t>
      </w:r>
      <w:r>
        <w:rPr>
          <w:spacing w:val="-10"/>
        </w:rPr>
        <w:t xml:space="preserve"> </w:t>
      </w:r>
      <w:r>
        <w:t>estructura</w:t>
      </w:r>
      <w:r>
        <w:rPr>
          <w:spacing w:val="-12"/>
        </w:rPr>
        <w:t xml:space="preserve"> </w:t>
      </w:r>
      <w:r>
        <w:t>han</w:t>
      </w:r>
      <w:r>
        <w:rPr>
          <w:spacing w:val="-12"/>
        </w:rPr>
        <w:t xml:space="preserve"> </w:t>
      </w:r>
      <w:r>
        <w:t>denunciado</w:t>
      </w:r>
      <w:r>
        <w:rPr>
          <w:spacing w:val="-11"/>
        </w:rPr>
        <w:t xml:space="preserve"> </w:t>
      </w:r>
      <w:r>
        <w:t>la</w:t>
      </w:r>
      <w:r>
        <w:rPr>
          <w:spacing w:val="-12"/>
        </w:rPr>
        <w:t xml:space="preserve"> </w:t>
      </w:r>
      <w:r>
        <w:t>inoperancia</w:t>
      </w:r>
      <w:r>
        <w:rPr>
          <w:spacing w:val="-12"/>
        </w:rPr>
        <w:t xml:space="preserve"> </w:t>
      </w:r>
      <w:r>
        <w:t>de</w:t>
      </w:r>
      <w:r>
        <w:rPr>
          <w:spacing w:val="-10"/>
        </w:rPr>
        <w:t xml:space="preserve"> </w:t>
      </w:r>
      <w:r>
        <w:t>las</w:t>
      </w:r>
      <w:r>
        <w:rPr>
          <w:spacing w:val="-11"/>
        </w:rPr>
        <w:t xml:space="preserve"> </w:t>
      </w:r>
      <w:r>
        <w:t>investigaciones:</w:t>
      </w:r>
      <w:r>
        <w:rPr>
          <w:spacing w:val="-11"/>
        </w:rPr>
        <w:t xml:space="preserve"> </w:t>
      </w:r>
      <w:r>
        <w:rPr>
          <w:spacing w:val="-2"/>
        </w:rPr>
        <w:t>«Miles</w:t>
      </w:r>
      <w:bookmarkStart w:id="635" w:name="_bookmark529"/>
      <w:bookmarkStart w:id="636" w:name="_bookmark530"/>
      <w:bookmarkStart w:id="637" w:name="_bookmark531"/>
      <w:bookmarkEnd w:id="635"/>
      <w:bookmarkEnd w:id="636"/>
      <w:bookmarkEnd w:id="637"/>
      <w:r w:rsidR="00057256">
        <w:rPr>
          <w:spacing w:val="-2"/>
        </w:rPr>
        <w:t xml:space="preserve"> </w:t>
      </w:r>
      <w:r>
        <w:t>de</w:t>
      </w:r>
      <w:r>
        <w:rPr>
          <w:spacing w:val="-2"/>
        </w:rPr>
        <w:t xml:space="preserve"> </w:t>
      </w:r>
      <w:r>
        <w:t>otras</w:t>
      </w:r>
      <w:r>
        <w:rPr>
          <w:spacing w:val="1"/>
        </w:rPr>
        <w:t xml:space="preserve"> </w:t>
      </w:r>
      <w:r>
        <w:t>verdades</w:t>
      </w:r>
      <w:r>
        <w:rPr>
          <w:spacing w:val="1"/>
        </w:rPr>
        <w:t xml:space="preserve"> </w:t>
      </w:r>
      <w:r>
        <w:t>reposan en</w:t>
      </w:r>
      <w:r>
        <w:rPr>
          <w:spacing w:val="1"/>
        </w:rPr>
        <w:t xml:space="preserve"> </w:t>
      </w:r>
      <w:r>
        <w:t>los</w:t>
      </w:r>
      <w:r>
        <w:rPr>
          <w:spacing w:val="1"/>
        </w:rPr>
        <w:t xml:space="preserve"> </w:t>
      </w:r>
      <w:r>
        <w:t>anaqueles empolvados</w:t>
      </w:r>
      <w:r>
        <w:rPr>
          <w:spacing w:val="1"/>
        </w:rPr>
        <w:t xml:space="preserve"> </w:t>
      </w:r>
      <w:r>
        <w:t>de</w:t>
      </w:r>
      <w:r>
        <w:rPr>
          <w:spacing w:val="1"/>
        </w:rPr>
        <w:t xml:space="preserve"> </w:t>
      </w:r>
      <w:r>
        <w:t>la</w:t>
      </w:r>
      <w:r>
        <w:rPr>
          <w:spacing w:val="1"/>
        </w:rPr>
        <w:t xml:space="preserve"> </w:t>
      </w:r>
      <w:r>
        <w:t>Fiscalía General</w:t>
      </w:r>
      <w:r>
        <w:rPr>
          <w:spacing w:val="1"/>
        </w:rPr>
        <w:t xml:space="preserve"> </w:t>
      </w:r>
      <w:r>
        <w:t>de</w:t>
      </w:r>
      <w:r>
        <w:rPr>
          <w:spacing w:val="1"/>
        </w:rPr>
        <w:t xml:space="preserve"> </w:t>
      </w:r>
      <w:r>
        <w:t xml:space="preserve">la </w:t>
      </w:r>
      <w:proofErr w:type="spellStart"/>
      <w:proofErr w:type="gramStart"/>
      <w:r>
        <w:rPr>
          <w:spacing w:val="-2"/>
        </w:rPr>
        <w:t>Nación,</w:t>
      </w:r>
      <w:r>
        <w:t>¡</w:t>
      </w:r>
      <w:proofErr w:type="gramEnd"/>
      <w:r>
        <w:t>o</w:t>
      </w:r>
      <w:proofErr w:type="spellEnd"/>
      <w:r>
        <w:t xml:space="preserve"> se perdieron! [...] A ver, ¿qué pasó? Hemos denunciado generales, coroneles, gente de la política... Solamente cae a la cárcel el </w:t>
      </w:r>
      <w:r>
        <w:lastRenderedPageBreak/>
        <w:t>político que queda en desgracia»</w:t>
      </w:r>
      <w:r w:rsidR="00790BED">
        <w:rPr>
          <w:rStyle w:val="Refdenotaalpie"/>
        </w:rPr>
        <w:footnoteReference w:id="476"/>
      </w:r>
      <w:r>
        <w:t>.</w:t>
      </w:r>
    </w:p>
    <w:p w:rsidR="003804AC" w:rsidRDefault="00AF18A5" w:rsidP="00057256">
      <w:r>
        <w:t xml:space="preserve">Así mismo, en sucesivos gobiernos las relaciones de la fuerza pública con el paramilitarismo han sido oficialmente negadas, minimizadas y derivadas exclusivamente a </w:t>
      </w:r>
      <w:r>
        <w:rPr>
          <w:i/>
        </w:rPr>
        <w:t xml:space="preserve">algunos </w:t>
      </w:r>
      <w:r>
        <w:t>agentes del Estado, lo que ha contribuido a su fortalecimiento, a un marco de impunidad y a su persistencia. Al menos en tres aspectos se hace evidente el negacionismo transversal al paramilitarismo: en las denominaciones del fenómeno; en la clandestinidad y falta de rostro de quienes lo integran; y en las decisiones institucionales, legales y de legitimación</w:t>
      </w:r>
      <w:r>
        <w:rPr>
          <w:spacing w:val="-8"/>
        </w:rPr>
        <w:t xml:space="preserve"> </w:t>
      </w:r>
      <w:r>
        <w:t>de</w:t>
      </w:r>
      <w:r>
        <w:rPr>
          <w:spacing w:val="-8"/>
        </w:rPr>
        <w:t xml:space="preserve"> </w:t>
      </w:r>
      <w:r>
        <w:t>los</w:t>
      </w:r>
      <w:r>
        <w:rPr>
          <w:spacing w:val="-8"/>
        </w:rPr>
        <w:t xml:space="preserve"> </w:t>
      </w:r>
      <w:r>
        <w:t>grupos</w:t>
      </w:r>
      <w:r>
        <w:rPr>
          <w:spacing w:val="-8"/>
        </w:rPr>
        <w:t xml:space="preserve"> </w:t>
      </w:r>
      <w:r>
        <w:t>paramilitares.</w:t>
      </w:r>
      <w:r>
        <w:rPr>
          <w:spacing w:val="-8"/>
        </w:rPr>
        <w:t xml:space="preserve"> </w:t>
      </w:r>
      <w:r>
        <w:t>Mientras</w:t>
      </w:r>
      <w:r>
        <w:rPr>
          <w:spacing w:val="-8"/>
        </w:rPr>
        <w:t xml:space="preserve"> </w:t>
      </w:r>
      <w:r>
        <w:t>para</w:t>
      </w:r>
      <w:r>
        <w:rPr>
          <w:spacing w:val="-8"/>
        </w:rPr>
        <w:t xml:space="preserve"> </w:t>
      </w:r>
      <w:r>
        <w:t>miles</w:t>
      </w:r>
      <w:r>
        <w:rPr>
          <w:spacing w:val="-8"/>
        </w:rPr>
        <w:t xml:space="preserve"> </w:t>
      </w:r>
      <w:r>
        <w:t>de</w:t>
      </w:r>
      <w:r>
        <w:rPr>
          <w:spacing w:val="-8"/>
        </w:rPr>
        <w:t xml:space="preserve"> </w:t>
      </w:r>
      <w:r>
        <w:t>víctimas,</w:t>
      </w:r>
      <w:r>
        <w:rPr>
          <w:spacing w:val="-8"/>
        </w:rPr>
        <w:t xml:space="preserve"> </w:t>
      </w:r>
      <w:r>
        <w:t>organizaciones</w:t>
      </w:r>
      <w:r>
        <w:rPr>
          <w:spacing w:val="-8"/>
        </w:rPr>
        <w:t xml:space="preserve"> </w:t>
      </w:r>
      <w:r>
        <w:t>de los</w:t>
      </w:r>
      <w:r>
        <w:rPr>
          <w:spacing w:val="-8"/>
        </w:rPr>
        <w:t xml:space="preserve"> </w:t>
      </w:r>
      <w:r>
        <w:t>territorios,</w:t>
      </w:r>
      <w:r>
        <w:rPr>
          <w:spacing w:val="-8"/>
        </w:rPr>
        <w:t xml:space="preserve"> </w:t>
      </w:r>
      <w:r>
        <w:t>pueblos</w:t>
      </w:r>
      <w:r>
        <w:rPr>
          <w:spacing w:val="-9"/>
        </w:rPr>
        <w:t xml:space="preserve"> </w:t>
      </w:r>
      <w:r>
        <w:t>étnicos</w:t>
      </w:r>
      <w:r>
        <w:rPr>
          <w:spacing w:val="-8"/>
        </w:rPr>
        <w:t xml:space="preserve"> </w:t>
      </w:r>
      <w:r>
        <w:t>que</w:t>
      </w:r>
      <w:r>
        <w:rPr>
          <w:spacing w:val="-8"/>
        </w:rPr>
        <w:t xml:space="preserve"> </w:t>
      </w:r>
      <w:r>
        <w:t>hicieron</w:t>
      </w:r>
      <w:r>
        <w:rPr>
          <w:spacing w:val="-8"/>
        </w:rPr>
        <w:t xml:space="preserve"> </w:t>
      </w:r>
      <w:r>
        <w:t>denuncias</w:t>
      </w:r>
      <w:r>
        <w:rPr>
          <w:spacing w:val="-8"/>
        </w:rPr>
        <w:t xml:space="preserve"> </w:t>
      </w:r>
      <w:r>
        <w:t>públicas</w:t>
      </w:r>
      <w:r>
        <w:rPr>
          <w:spacing w:val="-8"/>
        </w:rPr>
        <w:t xml:space="preserve"> </w:t>
      </w:r>
      <w:r>
        <w:t>o</w:t>
      </w:r>
      <w:r>
        <w:rPr>
          <w:spacing w:val="-8"/>
        </w:rPr>
        <w:t xml:space="preserve"> </w:t>
      </w:r>
      <w:r>
        <w:t>ante</w:t>
      </w:r>
      <w:r>
        <w:rPr>
          <w:spacing w:val="-8"/>
        </w:rPr>
        <w:t xml:space="preserve"> </w:t>
      </w:r>
      <w:r>
        <w:t>organismos</w:t>
      </w:r>
      <w:r>
        <w:rPr>
          <w:spacing w:val="-9"/>
        </w:rPr>
        <w:t xml:space="preserve"> </w:t>
      </w:r>
      <w:r>
        <w:t>del</w:t>
      </w:r>
      <w:r>
        <w:rPr>
          <w:spacing w:val="-9"/>
        </w:rPr>
        <w:t xml:space="preserve"> </w:t>
      </w:r>
      <w:r>
        <w:t>Estado la evidencia de dicha colaboración es abrumadora, la actitud de las autoridades y de las propias</w:t>
      </w:r>
      <w:r>
        <w:rPr>
          <w:spacing w:val="-6"/>
        </w:rPr>
        <w:t xml:space="preserve"> </w:t>
      </w:r>
      <w:r>
        <w:t>Fuerzas</w:t>
      </w:r>
      <w:r>
        <w:rPr>
          <w:spacing w:val="-4"/>
        </w:rPr>
        <w:t xml:space="preserve"> </w:t>
      </w:r>
      <w:r>
        <w:t>Armadas</w:t>
      </w:r>
      <w:r>
        <w:rPr>
          <w:spacing w:val="-4"/>
        </w:rPr>
        <w:t xml:space="preserve"> </w:t>
      </w:r>
      <w:r>
        <w:t>ha</w:t>
      </w:r>
      <w:r>
        <w:rPr>
          <w:spacing w:val="-4"/>
        </w:rPr>
        <w:t xml:space="preserve"> </w:t>
      </w:r>
      <w:r>
        <w:t>sido</w:t>
      </w:r>
      <w:r>
        <w:rPr>
          <w:spacing w:val="-5"/>
        </w:rPr>
        <w:t xml:space="preserve"> </w:t>
      </w:r>
      <w:r>
        <w:t>minimizar</w:t>
      </w:r>
      <w:r>
        <w:rPr>
          <w:spacing w:val="-5"/>
        </w:rPr>
        <w:t xml:space="preserve"> </w:t>
      </w:r>
      <w:r>
        <w:t>el</w:t>
      </w:r>
      <w:r>
        <w:rPr>
          <w:spacing w:val="-5"/>
        </w:rPr>
        <w:t xml:space="preserve"> </w:t>
      </w:r>
      <w:r>
        <w:t>fenómeno,</w:t>
      </w:r>
      <w:r>
        <w:rPr>
          <w:spacing w:val="-5"/>
        </w:rPr>
        <w:t xml:space="preserve"> </w:t>
      </w:r>
      <w:r>
        <w:t>negar</w:t>
      </w:r>
      <w:r>
        <w:rPr>
          <w:spacing w:val="-4"/>
        </w:rPr>
        <w:t xml:space="preserve"> </w:t>
      </w:r>
      <w:r>
        <w:t>su</w:t>
      </w:r>
      <w:r>
        <w:rPr>
          <w:spacing w:val="-5"/>
        </w:rPr>
        <w:t xml:space="preserve"> </w:t>
      </w:r>
      <w:r>
        <w:t>participación</w:t>
      </w:r>
      <w:r>
        <w:rPr>
          <w:spacing w:val="-6"/>
        </w:rPr>
        <w:t xml:space="preserve"> </w:t>
      </w:r>
      <w:r>
        <w:t>o</w:t>
      </w:r>
      <w:r>
        <w:rPr>
          <w:spacing w:val="-5"/>
        </w:rPr>
        <w:t xml:space="preserve"> </w:t>
      </w:r>
      <w:r>
        <w:t>cualquier tipo de responsabilidad estatal. Si bien exmiembros del Ejército han reconocido su relación y</w:t>
      </w:r>
      <w:r>
        <w:rPr>
          <w:spacing w:val="-4"/>
        </w:rPr>
        <w:t xml:space="preserve"> </w:t>
      </w:r>
      <w:r>
        <w:t>articulación</w:t>
      </w:r>
      <w:r>
        <w:rPr>
          <w:spacing w:val="-4"/>
        </w:rPr>
        <w:t xml:space="preserve"> </w:t>
      </w:r>
      <w:r>
        <w:t>con</w:t>
      </w:r>
      <w:r>
        <w:rPr>
          <w:spacing w:val="-4"/>
        </w:rPr>
        <w:t xml:space="preserve"> </w:t>
      </w:r>
      <w:r>
        <w:t>el</w:t>
      </w:r>
      <w:r>
        <w:rPr>
          <w:spacing w:val="-4"/>
        </w:rPr>
        <w:t xml:space="preserve"> </w:t>
      </w:r>
      <w:r>
        <w:t>paramilitarismo</w:t>
      </w:r>
      <w:r>
        <w:rPr>
          <w:spacing w:val="-6"/>
        </w:rPr>
        <w:t xml:space="preserve"> </w:t>
      </w:r>
      <w:r>
        <w:t>en</w:t>
      </w:r>
      <w:r>
        <w:rPr>
          <w:spacing w:val="-4"/>
        </w:rPr>
        <w:t xml:space="preserve"> </w:t>
      </w:r>
      <w:r>
        <w:t>los</w:t>
      </w:r>
      <w:r>
        <w:rPr>
          <w:spacing w:val="-4"/>
        </w:rPr>
        <w:t xml:space="preserve"> </w:t>
      </w:r>
      <w:r>
        <w:t>casos</w:t>
      </w:r>
      <w:r>
        <w:rPr>
          <w:spacing w:val="-5"/>
        </w:rPr>
        <w:t xml:space="preserve"> </w:t>
      </w:r>
      <w:r>
        <w:t>de</w:t>
      </w:r>
      <w:r>
        <w:rPr>
          <w:spacing w:val="-4"/>
        </w:rPr>
        <w:t xml:space="preserve"> </w:t>
      </w:r>
      <w:r>
        <w:t>ejecuciones</w:t>
      </w:r>
      <w:r>
        <w:rPr>
          <w:spacing w:val="-4"/>
        </w:rPr>
        <w:t xml:space="preserve"> </w:t>
      </w:r>
      <w:r>
        <w:t>extrajudiciales</w:t>
      </w:r>
      <w:r>
        <w:rPr>
          <w:spacing w:val="-5"/>
        </w:rPr>
        <w:t xml:space="preserve"> </w:t>
      </w:r>
      <w:r>
        <w:t>presentadas como muertes en combate, el reconocimiento por parte de la fuerza pública de sus responsabilidades y de la veracidad de estos hechos es una asignatura pendiente y una necesidad para superar el negacionismo que ha alimentado hasta hoy el paramilitarismo.</w:t>
      </w:r>
    </w:p>
    <w:p w:rsidR="003804AC" w:rsidRDefault="00AF18A5" w:rsidP="00790BED">
      <w:r>
        <w:t>Ya en febrero de 1983</w:t>
      </w:r>
      <w:r w:rsidR="00790BED">
        <w:rPr>
          <w:rStyle w:val="Refdenotaalpie"/>
        </w:rPr>
        <w:footnoteReference w:id="477"/>
      </w:r>
      <w:r>
        <w:t>, el procurador general de la Nación, Carlos Jiménez, hizo parcialmente público el «Informe sobre el MAS»</w:t>
      </w:r>
      <w:r w:rsidR="00790BED">
        <w:rPr>
          <w:rStyle w:val="Refdenotaalpie"/>
        </w:rPr>
        <w:footnoteReference w:id="478"/>
      </w:r>
      <w:r>
        <w:t xml:space="preserve">, en el </w:t>
      </w:r>
      <w:r>
        <w:lastRenderedPageBreak/>
        <w:t>cual sindicaba con nombres y apellidos</w:t>
      </w:r>
      <w:r>
        <w:rPr>
          <w:spacing w:val="-5"/>
        </w:rPr>
        <w:t xml:space="preserve"> </w:t>
      </w:r>
      <w:r>
        <w:t>a</w:t>
      </w:r>
      <w:r>
        <w:rPr>
          <w:spacing w:val="-6"/>
        </w:rPr>
        <w:t xml:space="preserve"> </w:t>
      </w:r>
      <w:r>
        <w:t>163</w:t>
      </w:r>
      <w:r>
        <w:rPr>
          <w:spacing w:val="-5"/>
        </w:rPr>
        <w:t xml:space="preserve"> </w:t>
      </w:r>
      <w:r>
        <w:t>personas</w:t>
      </w:r>
      <w:r>
        <w:rPr>
          <w:spacing w:val="-6"/>
        </w:rPr>
        <w:t xml:space="preserve"> </w:t>
      </w:r>
      <w:r>
        <w:t>de</w:t>
      </w:r>
      <w:r>
        <w:rPr>
          <w:spacing w:val="-5"/>
        </w:rPr>
        <w:t xml:space="preserve"> </w:t>
      </w:r>
      <w:r>
        <w:t>ser</w:t>
      </w:r>
      <w:r>
        <w:rPr>
          <w:spacing w:val="-6"/>
        </w:rPr>
        <w:t xml:space="preserve"> </w:t>
      </w:r>
      <w:r>
        <w:t>integrantes</w:t>
      </w:r>
      <w:r>
        <w:rPr>
          <w:spacing w:val="-5"/>
        </w:rPr>
        <w:t xml:space="preserve"> </w:t>
      </w:r>
      <w:r>
        <w:t>de</w:t>
      </w:r>
      <w:r>
        <w:rPr>
          <w:spacing w:val="-5"/>
        </w:rPr>
        <w:t xml:space="preserve"> </w:t>
      </w:r>
      <w:r>
        <w:t>esa</w:t>
      </w:r>
      <w:r>
        <w:rPr>
          <w:spacing w:val="-6"/>
        </w:rPr>
        <w:t xml:space="preserve"> </w:t>
      </w:r>
      <w:r>
        <w:t>agrupación</w:t>
      </w:r>
      <w:r>
        <w:rPr>
          <w:spacing w:val="-6"/>
        </w:rPr>
        <w:t xml:space="preserve"> </w:t>
      </w:r>
      <w:r>
        <w:t>paramilitar:</w:t>
      </w:r>
      <w:r>
        <w:rPr>
          <w:spacing w:val="-6"/>
        </w:rPr>
        <w:t xml:space="preserve"> </w:t>
      </w:r>
      <w:r>
        <w:t>59</w:t>
      </w:r>
      <w:r>
        <w:rPr>
          <w:spacing w:val="-5"/>
        </w:rPr>
        <w:t xml:space="preserve"> </w:t>
      </w:r>
      <w:r>
        <w:t>eran</w:t>
      </w:r>
      <w:r>
        <w:rPr>
          <w:spacing w:val="-5"/>
        </w:rPr>
        <w:t xml:space="preserve"> </w:t>
      </w:r>
      <w:r>
        <w:t>oficiales</w:t>
      </w:r>
      <w:r>
        <w:rPr>
          <w:spacing w:val="-5"/>
        </w:rPr>
        <w:t xml:space="preserve"> </w:t>
      </w:r>
      <w:r>
        <w:t>y suboficiales del Ejército y de la Policía Nacional. En lugar de investigar estas responsabilidades,</w:t>
      </w:r>
      <w:r>
        <w:rPr>
          <w:spacing w:val="46"/>
        </w:rPr>
        <w:t xml:space="preserve"> </w:t>
      </w:r>
      <w:r>
        <w:t>el</w:t>
      </w:r>
      <w:r>
        <w:rPr>
          <w:spacing w:val="47"/>
        </w:rPr>
        <w:t xml:space="preserve"> </w:t>
      </w:r>
      <w:r>
        <w:t>ministro</w:t>
      </w:r>
      <w:r>
        <w:rPr>
          <w:spacing w:val="49"/>
        </w:rPr>
        <w:t xml:space="preserve"> </w:t>
      </w:r>
      <w:r>
        <w:t>de</w:t>
      </w:r>
      <w:r>
        <w:rPr>
          <w:spacing w:val="47"/>
        </w:rPr>
        <w:t xml:space="preserve"> </w:t>
      </w:r>
      <w:r>
        <w:t>Defensa,</w:t>
      </w:r>
      <w:r>
        <w:rPr>
          <w:spacing w:val="49"/>
        </w:rPr>
        <w:t xml:space="preserve"> </w:t>
      </w:r>
      <w:r>
        <w:t>general</w:t>
      </w:r>
      <w:r>
        <w:rPr>
          <w:spacing w:val="48"/>
        </w:rPr>
        <w:t xml:space="preserve"> </w:t>
      </w:r>
      <w:r>
        <w:t>Fernando</w:t>
      </w:r>
      <w:r>
        <w:rPr>
          <w:spacing w:val="49"/>
        </w:rPr>
        <w:t xml:space="preserve"> </w:t>
      </w:r>
      <w:r>
        <w:t>Landazábal</w:t>
      </w:r>
      <w:r>
        <w:rPr>
          <w:spacing w:val="48"/>
        </w:rPr>
        <w:t xml:space="preserve"> </w:t>
      </w:r>
      <w:r>
        <w:t>Reyes,</w:t>
      </w:r>
      <w:r>
        <w:rPr>
          <w:spacing w:val="48"/>
        </w:rPr>
        <w:t xml:space="preserve"> </w:t>
      </w:r>
      <w:r>
        <w:rPr>
          <w:spacing w:val="-2"/>
        </w:rPr>
        <w:t>ordenó</w:t>
      </w:r>
      <w:r w:rsidR="00790BED">
        <w:rPr>
          <w:spacing w:val="-2"/>
        </w:rPr>
        <w:t xml:space="preserve"> </w:t>
      </w:r>
      <w:r>
        <w:t>retener un día de sueldo a todos los miembros de las Fuerzas Armadas para pagar los abogados defensores de los militares y policías nombrados en el Informe. La Asociación Nacional</w:t>
      </w:r>
      <w:r>
        <w:rPr>
          <w:spacing w:val="-5"/>
        </w:rPr>
        <w:t xml:space="preserve"> </w:t>
      </w:r>
      <w:r>
        <w:t>de</w:t>
      </w:r>
      <w:r>
        <w:rPr>
          <w:spacing w:val="-6"/>
        </w:rPr>
        <w:t xml:space="preserve"> </w:t>
      </w:r>
      <w:r>
        <w:t>Industriales,</w:t>
      </w:r>
      <w:r>
        <w:rPr>
          <w:spacing w:val="-6"/>
        </w:rPr>
        <w:t xml:space="preserve"> </w:t>
      </w:r>
      <w:r>
        <w:t>hoy</w:t>
      </w:r>
      <w:r>
        <w:rPr>
          <w:spacing w:val="-5"/>
        </w:rPr>
        <w:t xml:space="preserve"> </w:t>
      </w:r>
      <w:r>
        <w:t>Asociación</w:t>
      </w:r>
      <w:r>
        <w:rPr>
          <w:spacing w:val="-5"/>
        </w:rPr>
        <w:t xml:space="preserve"> </w:t>
      </w:r>
      <w:r>
        <w:t>Nacional</w:t>
      </w:r>
      <w:r>
        <w:rPr>
          <w:spacing w:val="-4"/>
        </w:rPr>
        <w:t xml:space="preserve"> </w:t>
      </w:r>
      <w:r>
        <w:t>de</w:t>
      </w:r>
      <w:r>
        <w:rPr>
          <w:spacing w:val="-6"/>
        </w:rPr>
        <w:t xml:space="preserve"> </w:t>
      </w:r>
      <w:r>
        <w:t>Empresarios</w:t>
      </w:r>
      <w:r>
        <w:rPr>
          <w:spacing w:val="-6"/>
        </w:rPr>
        <w:t xml:space="preserve"> </w:t>
      </w:r>
      <w:r>
        <w:t>(ANDI),</w:t>
      </w:r>
      <w:r>
        <w:rPr>
          <w:spacing w:val="-5"/>
        </w:rPr>
        <w:t xml:space="preserve"> </w:t>
      </w:r>
      <w:r>
        <w:t>y</w:t>
      </w:r>
      <w:r>
        <w:rPr>
          <w:spacing w:val="-6"/>
        </w:rPr>
        <w:t xml:space="preserve"> </w:t>
      </w:r>
      <w:r>
        <w:t>otros</w:t>
      </w:r>
      <w:r>
        <w:rPr>
          <w:spacing w:val="-4"/>
        </w:rPr>
        <w:t xml:space="preserve"> </w:t>
      </w:r>
      <w:r>
        <w:t>gremios publicaron</w:t>
      </w:r>
      <w:r>
        <w:rPr>
          <w:spacing w:val="-11"/>
        </w:rPr>
        <w:t xml:space="preserve"> </w:t>
      </w:r>
      <w:r>
        <w:t>un</w:t>
      </w:r>
      <w:r>
        <w:rPr>
          <w:spacing w:val="-11"/>
        </w:rPr>
        <w:t xml:space="preserve"> </w:t>
      </w:r>
      <w:r>
        <w:t>comunicado</w:t>
      </w:r>
      <w:r>
        <w:rPr>
          <w:spacing w:val="-11"/>
        </w:rPr>
        <w:t xml:space="preserve"> </w:t>
      </w:r>
      <w:r>
        <w:t>de</w:t>
      </w:r>
      <w:r>
        <w:rPr>
          <w:spacing w:val="-10"/>
        </w:rPr>
        <w:t xml:space="preserve"> </w:t>
      </w:r>
      <w:r>
        <w:t>respaldo</w:t>
      </w:r>
      <w:r>
        <w:rPr>
          <w:spacing w:val="-11"/>
        </w:rPr>
        <w:t xml:space="preserve"> </w:t>
      </w:r>
      <w:r>
        <w:t>a</w:t>
      </w:r>
      <w:r>
        <w:rPr>
          <w:spacing w:val="-10"/>
        </w:rPr>
        <w:t xml:space="preserve"> </w:t>
      </w:r>
      <w:r>
        <w:t>los</w:t>
      </w:r>
      <w:r>
        <w:rPr>
          <w:spacing w:val="-10"/>
        </w:rPr>
        <w:t xml:space="preserve"> </w:t>
      </w:r>
      <w:r>
        <w:t>uniformados:</w:t>
      </w:r>
      <w:r>
        <w:rPr>
          <w:spacing w:val="-10"/>
        </w:rPr>
        <w:t xml:space="preserve"> </w:t>
      </w:r>
      <w:r>
        <w:t>«El</w:t>
      </w:r>
      <w:r>
        <w:rPr>
          <w:spacing w:val="-13"/>
        </w:rPr>
        <w:t xml:space="preserve"> </w:t>
      </w:r>
      <w:r>
        <w:t>MAS</w:t>
      </w:r>
      <w:r>
        <w:rPr>
          <w:spacing w:val="-11"/>
        </w:rPr>
        <w:t xml:space="preserve"> </w:t>
      </w:r>
      <w:r>
        <w:t>no</w:t>
      </w:r>
      <w:r>
        <w:rPr>
          <w:spacing w:val="-11"/>
        </w:rPr>
        <w:t xml:space="preserve"> </w:t>
      </w:r>
      <w:r>
        <w:t>existe</w:t>
      </w:r>
      <w:r>
        <w:rPr>
          <w:spacing w:val="-10"/>
        </w:rPr>
        <w:t xml:space="preserve"> </w:t>
      </w:r>
      <w:r>
        <w:t>sino</w:t>
      </w:r>
      <w:r>
        <w:rPr>
          <w:spacing w:val="-11"/>
        </w:rPr>
        <w:t xml:space="preserve"> </w:t>
      </w:r>
      <w:r>
        <w:t>en</w:t>
      </w:r>
      <w:r>
        <w:rPr>
          <w:spacing w:val="-13"/>
        </w:rPr>
        <w:t xml:space="preserve"> </w:t>
      </w:r>
      <w:r>
        <w:t>mentes enfermizas</w:t>
      </w:r>
      <w:r>
        <w:rPr>
          <w:spacing w:val="-11"/>
        </w:rPr>
        <w:t xml:space="preserve"> </w:t>
      </w:r>
      <w:r>
        <w:t>de</w:t>
      </w:r>
      <w:r>
        <w:rPr>
          <w:spacing w:val="-11"/>
        </w:rPr>
        <w:t xml:space="preserve"> </w:t>
      </w:r>
      <w:r>
        <w:t>malos</w:t>
      </w:r>
      <w:r>
        <w:rPr>
          <w:spacing w:val="-12"/>
        </w:rPr>
        <w:t xml:space="preserve"> </w:t>
      </w:r>
      <w:r>
        <w:t>colombianos,</w:t>
      </w:r>
      <w:r>
        <w:rPr>
          <w:spacing w:val="-12"/>
        </w:rPr>
        <w:t xml:space="preserve"> </w:t>
      </w:r>
      <w:r>
        <w:t>las</w:t>
      </w:r>
      <w:r>
        <w:rPr>
          <w:spacing w:val="-12"/>
        </w:rPr>
        <w:t xml:space="preserve"> </w:t>
      </w:r>
      <w:r>
        <w:t>Fuerzas</w:t>
      </w:r>
      <w:r>
        <w:rPr>
          <w:spacing w:val="-12"/>
        </w:rPr>
        <w:t xml:space="preserve"> </w:t>
      </w:r>
      <w:r>
        <w:t>Armadas</w:t>
      </w:r>
      <w:r>
        <w:rPr>
          <w:spacing w:val="-12"/>
        </w:rPr>
        <w:t xml:space="preserve"> </w:t>
      </w:r>
      <w:r>
        <w:t>saldrán</w:t>
      </w:r>
      <w:r>
        <w:rPr>
          <w:spacing w:val="-11"/>
        </w:rPr>
        <w:t xml:space="preserve"> </w:t>
      </w:r>
      <w:r>
        <w:t>airosas»</w:t>
      </w:r>
      <w:r w:rsidR="00790BED">
        <w:rPr>
          <w:rStyle w:val="Refdenotaalpie"/>
        </w:rPr>
        <w:footnoteReference w:id="479"/>
      </w:r>
      <w:r>
        <w:t>.</w:t>
      </w:r>
      <w:r>
        <w:rPr>
          <w:spacing w:val="-11"/>
        </w:rPr>
        <w:t xml:space="preserve"> </w:t>
      </w:r>
      <w:r>
        <w:t>Estas</w:t>
      </w:r>
      <w:r>
        <w:rPr>
          <w:spacing w:val="-12"/>
        </w:rPr>
        <w:t xml:space="preserve"> </w:t>
      </w:r>
      <w:r>
        <w:t>reacciones no solo escondieron la naturaleza de entramado de alianzas del narcotráfico con el paramilitarismo</w:t>
      </w:r>
      <w:r>
        <w:rPr>
          <w:spacing w:val="-2"/>
        </w:rPr>
        <w:t xml:space="preserve"> </w:t>
      </w:r>
      <w:r>
        <w:t>y</w:t>
      </w:r>
      <w:r>
        <w:rPr>
          <w:spacing w:val="-3"/>
        </w:rPr>
        <w:t xml:space="preserve"> </w:t>
      </w:r>
      <w:r>
        <w:t>la</w:t>
      </w:r>
      <w:r>
        <w:rPr>
          <w:spacing w:val="-3"/>
        </w:rPr>
        <w:t xml:space="preserve"> </w:t>
      </w:r>
      <w:r>
        <w:t>participación</w:t>
      </w:r>
      <w:r>
        <w:rPr>
          <w:spacing w:val="-2"/>
        </w:rPr>
        <w:t xml:space="preserve"> </w:t>
      </w:r>
      <w:r>
        <w:t>de</w:t>
      </w:r>
      <w:r>
        <w:rPr>
          <w:spacing w:val="-4"/>
        </w:rPr>
        <w:t xml:space="preserve"> </w:t>
      </w:r>
      <w:r>
        <w:t>miembros</w:t>
      </w:r>
      <w:r>
        <w:rPr>
          <w:spacing w:val="-3"/>
        </w:rPr>
        <w:t xml:space="preserve"> </w:t>
      </w:r>
      <w:r>
        <w:t>de</w:t>
      </w:r>
      <w:r>
        <w:rPr>
          <w:spacing w:val="-2"/>
        </w:rPr>
        <w:t xml:space="preserve"> </w:t>
      </w:r>
      <w:r>
        <w:t>la</w:t>
      </w:r>
      <w:r>
        <w:rPr>
          <w:spacing w:val="-3"/>
        </w:rPr>
        <w:t xml:space="preserve"> </w:t>
      </w:r>
      <w:r>
        <w:t>fuerza</w:t>
      </w:r>
      <w:r>
        <w:rPr>
          <w:spacing w:val="-3"/>
        </w:rPr>
        <w:t xml:space="preserve"> </w:t>
      </w:r>
      <w:r>
        <w:t>pública,</w:t>
      </w:r>
      <w:r>
        <w:rPr>
          <w:spacing w:val="-3"/>
        </w:rPr>
        <w:t xml:space="preserve"> </w:t>
      </w:r>
      <w:r>
        <w:t>sino</w:t>
      </w:r>
      <w:r>
        <w:rPr>
          <w:spacing w:val="-5"/>
        </w:rPr>
        <w:t xml:space="preserve"> </w:t>
      </w:r>
      <w:r>
        <w:t>que</w:t>
      </w:r>
      <w:r>
        <w:rPr>
          <w:spacing w:val="-2"/>
        </w:rPr>
        <w:t xml:space="preserve"> </w:t>
      </w:r>
      <w:r>
        <w:t>contribuyeron a la impunidad y a tratar de difuminar las responsabilidades del apoyo estatal al paramilitarismo que eran evidentes.</w:t>
      </w:r>
    </w:p>
    <w:p w:rsidR="003804AC" w:rsidRDefault="00AF18A5" w:rsidP="00790BED">
      <w:r>
        <w:t>En</w:t>
      </w:r>
      <w:r>
        <w:rPr>
          <w:spacing w:val="-6"/>
        </w:rPr>
        <w:t xml:space="preserve"> </w:t>
      </w:r>
      <w:r>
        <w:t>un</w:t>
      </w:r>
      <w:r>
        <w:rPr>
          <w:spacing w:val="-6"/>
        </w:rPr>
        <w:t xml:space="preserve"> </w:t>
      </w:r>
      <w:r>
        <w:t>debate</w:t>
      </w:r>
      <w:r>
        <w:rPr>
          <w:spacing w:val="-6"/>
        </w:rPr>
        <w:t xml:space="preserve"> </w:t>
      </w:r>
      <w:r>
        <w:t>en</w:t>
      </w:r>
      <w:r>
        <w:rPr>
          <w:spacing w:val="-6"/>
        </w:rPr>
        <w:t xml:space="preserve"> </w:t>
      </w:r>
      <w:r>
        <w:t>la</w:t>
      </w:r>
      <w:r>
        <w:rPr>
          <w:spacing w:val="-6"/>
        </w:rPr>
        <w:t xml:space="preserve"> </w:t>
      </w:r>
      <w:r>
        <w:t>Plenaria</w:t>
      </w:r>
      <w:r>
        <w:rPr>
          <w:spacing w:val="-6"/>
        </w:rPr>
        <w:t xml:space="preserve"> </w:t>
      </w:r>
      <w:r>
        <w:t>de</w:t>
      </w:r>
      <w:r>
        <w:rPr>
          <w:spacing w:val="-6"/>
        </w:rPr>
        <w:t xml:space="preserve"> </w:t>
      </w:r>
      <w:r>
        <w:t>la</w:t>
      </w:r>
      <w:r>
        <w:rPr>
          <w:spacing w:val="-6"/>
        </w:rPr>
        <w:t xml:space="preserve"> </w:t>
      </w:r>
      <w:r>
        <w:t>Cámara</w:t>
      </w:r>
      <w:r>
        <w:rPr>
          <w:spacing w:val="-6"/>
        </w:rPr>
        <w:t xml:space="preserve"> </w:t>
      </w:r>
      <w:r>
        <w:t>de</w:t>
      </w:r>
      <w:r>
        <w:rPr>
          <w:spacing w:val="-6"/>
        </w:rPr>
        <w:t xml:space="preserve"> </w:t>
      </w:r>
      <w:r>
        <w:t>Representantes</w:t>
      </w:r>
      <w:r>
        <w:rPr>
          <w:spacing w:val="-6"/>
        </w:rPr>
        <w:t xml:space="preserve"> </w:t>
      </w:r>
      <w:r>
        <w:t>del</w:t>
      </w:r>
      <w:r>
        <w:rPr>
          <w:spacing w:val="-6"/>
        </w:rPr>
        <w:t xml:space="preserve"> </w:t>
      </w:r>
      <w:r>
        <w:t>19</w:t>
      </w:r>
      <w:r>
        <w:rPr>
          <w:spacing w:val="-6"/>
        </w:rPr>
        <w:t xml:space="preserve"> </w:t>
      </w:r>
      <w:r>
        <w:t>de</w:t>
      </w:r>
      <w:r>
        <w:rPr>
          <w:spacing w:val="-6"/>
        </w:rPr>
        <w:t xml:space="preserve"> </w:t>
      </w:r>
      <w:r>
        <w:t>octubre</w:t>
      </w:r>
      <w:r>
        <w:rPr>
          <w:spacing w:val="-6"/>
        </w:rPr>
        <w:t xml:space="preserve"> </w:t>
      </w:r>
      <w:r>
        <w:t>de</w:t>
      </w:r>
      <w:r>
        <w:rPr>
          <w:spacing w:val="-6"/>
        </w:rPr>
        <w:t xml:space="preserve"> </w:t>
      </w:r>
      <w:r>
        <w:t>1988,</w:t>
      </w:r>
      <w:r>
        <w:rPr>
          <w:spacing w:val="-6"/>
        </w:rPr>
        <w:t xml:space="preserve"> </w:t>
      </w:r>
      <w:r>
        <w:t>se formularon</w:t>
      </w:r>
      <w:r>
        <w:rPr>
          <w:spacing w:val="36"/>
        </w:rPr>
        <w:t xml:space="preserve"> </w:t>
      </w:r>
      <w:r>
        <w:t>preguntas</w:t>
      </w:r>
      <w:r>
        <w:rPr>
          <w:spacing w:val="41"/>
        </w:rPr>
        <w:t xml:space="preserve"> </w:t>
      </w:r>
      <w:r>
        <w:t>sobre</w:t>
      </w:r>
      <w:r>
        <w:rPr>
          <w:spacing w:val="40"/>
        </w:rPr>
        <w:t xml:space="preserve"> </w:t>
      </w:r>
      <w:r>
        <w:t>el</w:t>
      </w:r>
      <w:r>
        <w:rPr>
          <w:spacing w:val="41"/>
        </w:rPr>
        <w:t xml:space="preserve"> </w:t>
      </w:r>
      <w:r>
        <w:t>avance</w:t>
      </w:r>
      <w:r>
        <w:rPr>
          <w:spacing w:val="40"/>
        </w:rPr>
        <w:t xml:space="preserve"> </w:t>
      </w:r>
      <w:r>
        <w:t>en</w:t>
      </w:r>
      <w:r>
        <w:rPr>
          <w:spacing w:val="40"/>
        </w:rPr>
        <w:t xml:space="preserve"> </w:t>
      </w:r>
      <w:r>
        <w:t>los</w:t>
      </w:r>
      <w:r>
        <w:rPr>
          <w:spacing w:val="41"/>
        </w:rPr>
        <w:t xml:space="preserve"> </w:t>
      </w:r>
      <w:r>
        <w:t>combates</w:t>
      </w:r>
      <w:r>
        <w:rPr>
          <w:spacing w:val="40"/>
        </w:rPr>
        <w:t xml:space="preserve"> </w:t>
      </w:r>
      <w:r>
        <w:t>de</w:t>
      </w:r>
      <w:r>
        <w:rPr>
          <w:spacing w:val="41"/>
        </w:rPr>
        <w:t xml:space="preserve"> </w:t>
      </w:r>
      <w:r>
        <w:t>los</w:t>
      </w:r>
      <w:r>
        <w:rPr>
          <w:spacing w:val="40"/>
        </w:rPr>
        <w:t xml:space="preserve"> </w:t>
      </w:r>
      <w:r>
        <w:t>130</w:t>
      </w:r>
      <w:r>
        <w:rPr>
          <w:spacing w:val="40"/>
        </w:rPr>
        <w:t xml:space="preserve"> </w:t>
      </w:r>
      <w:r>
        <w:t>grupos</w:t>
      </w:r>
      <w:r>
        <w:rPr>
          <w:spacing w:val="41"/>
        </w:rPr>
        <w:t xml:space="preserve"> </w:t>
      </w:r>
      <w:r>
        <w:rPr>
          <w:spacing w:val="-2"/>
        </w:rPr>
        <w:t>paramilitares:</w:t>
      </w:r>
    </w:p>
    <w:p w:rsidR="003804AC" w:rsidRDefault="00AF18A5" w:rsidP="00790BED">
      <w:r>
        <w:t>«¿Cuántos de 138 “grupos paramilitares” cuya existencia y zonas de operaciones reveló el señor ministro en la sesión plenaria de la honorable Cámara de Representantes el 30 de septiembre</w:t>
      </w:r>
      <w:r>
        <w:rPr>
          <w:spacing w:val="-10"/>
        </w:rPr>
        <w:t xml:space="preserve"> </w:t>
      </w:r>
      <w:r>
        <w:t>de</w:t>
      </w:r>
      <w:r>
        <w:rPr>
          <w:spacing w:val="-10"/>
        </w:rPr>
        <w:t xml:space="preserve"> </w:t>
      </w:r>
      <w:r>
        <w:t>1987</w:t>
      </w:r>
      <w:r>
        <w:rPr>
          <w:spacing w:val="-11"/>
        </w:rPr>
        <w:t xml:space="preserve"> </w:t>
      </w:r>
      <w:r>
        <w:t>han</w:t>
      </w:r>
      <w:r>
        <w:rPr>
          <w:spacing w:val="-12"/>
        </w:rPr>
        <w:t xml:space="preserve"> </w:t>
      </w:r>
      <w:r>
        <w:t>sido</w:t>
      </w:r>
      <w:r>
        <w:rPr>
          <w:spacing w:val="-11"/>
        </w:rPr>
        <w:t xml:space="preserve"> </w:t>
      </w:r>
      <w:r>
        <w:t>desarticulados</w:t>
      </w:r>
      <w:r>
        <w:rPr>
          <w:spacing w:val="-10"/>
        </w:rPr>
        <w:t xml:space="preserve"> </w:t>
      </w:r>
      <w:r>
        <w:t>por</w:t>
      </w:r>
      <w:r>
        <w:rPr>
          <w:spacing w:val="-10"/>
        </w:rPr>
        <w:t xml:space="preserve"> </w:t>
      </w:r>
      <w:r>
        <w:t>acción</w:t>
      </w:r>
      <w:r>
        <w:rPr>
          <w:spacing w:val="-11"/>
        </w:rPr>
        <w:t xml:space="preserve"> </w:t>
      </w:r>
      <w:r>
        <w:t>del</w:t>
      </w:r>
      <w:r>
        <w:rPr>
          <w:spacing w:val="-10"/>
        </w:rPr>
        <w:t xml:space="preserve"> </w:t>
      </w:r>
      <w:r>
        <w:t>Gobierno?»</w:t>
      </w:r>
      <w:r>
        <w:rPr>
          <w:spacing w:val="-12"/>
        </w:rPr>
        <w:t xml:space="preserve"> </w:t>
      </w:r>
      <w:r>
        <w:t>A</w:t>
      </w:r>
      <w:r>
        <w:rPr>
          <w:spacing w:val="-11"/>
        </w:rPr>
        <w:t xml:space="preserve"> </w:t>
      </w:r>
      <w:r>
        <w:t>lo</w:t>
      </w:r>
      <w:r>
        <w:rPr>
          <w:spacing w:val="-12"/>
        </w:rPr>
        <w:t xml:space="preserve"> </w:t>
      </w:r>
      <w:r>
        <w:t>que</w:t>
      </w:r>
      <w:r>
        <w:rPr>
          <w:spacing w:val="-10"/>
        </w:rPr>
        <w:t xml:space="preserve"> </w:t>
      </w:r>
      <w:r>
        <w:t>se</w:t>
      </w:r>
      <w:r>
        <w:rPr>
          <w:spacing w:val="-12"/>
        </w:rPr>
        <w:t xml:space="preserve"> </w:t>
      </w:r>
      <w:r>
        <w:t>respondió lo siguiente:</w:t>
      </w:r>
    </w:p>
    <w:p w:rsidR="003804AC" w:rsidRDefault="00AF18A5" w:rsidP="00790BED">
      <w:r>
        <w:t xml:space="preserve">El Ministerio de Defensa no tiene en su poder información concreta </w:t>
      </w:r>
      <w:r>
        <w:lastRenderedPageBreak/>
        <w:t>respecto de la existencia de</w:t>
      </w:r>
      <w:r>
        <w:rPr>
          <w:spacing w:val="-6"/>
        </w:rPr>
        <w:t xml:space="preserve"> </w:t>
      </w:r>
      <w:r>
        <w:t>esos</w:t>
      </w:r>
      <w:r>
        <w:rPr>
          <w:spacing w:val="-6"/>
        </w:rPr>
        <w:t xml:space="preserve"> </w:t>
      </w:r>
      <w:r>
        <w:t>138</w:t>
      </w:r>
      <w:r>
        <w:rPr>
          <w:spacing w:val="-6"/>
        </w:rPr>
        <w:t xml:space="preserve"> </w:t>
      </w:r>
      <w:r>
        <w:t>«grupos</w:t>
      </w:r>
      <w:r>
        <w:rPr>
          <w:spacing w:val="-7"/>
        </w:rPr>
        <w:t xml:space="preserve"> </w:t>
      </w:r>
      <w:r>
        <w:t>paramilitares».</w:t>
      </w:r>
      <w:r>
        <w:rPr>
          <w:spacing w:val="-5"/>
        </w:rPr>
        <w:t xml:space="preserve"> </w:t>
      </w:r>
      <w:r>
        <w:t>Sin</w:t>
      </w:r>
      <w:r>
        <w:rPr>
          <w:spacing w:val="-6"/>
        </w:rPr>
        <w:t xml:space="preserve"> </w:t>
      </w:r>
      <w:r>
        <w:t>embargo,</w:t>
      </w:r>
      <w:r>
        <w:rPr>
          <w:spacing w:val="-5"/>
        </w:rPr>
        <w:t xml:space="preserve"> </w:t>
      </w:r>
      <w:r>
        <w:t>las</w:t>
      </w:r>
      <w:r>
        <w:rPr>
          <w:spacing w:val="-6"/>
        </w:rPr>
        <w:t xml:space="preserve"> </w:t>
      </w:r>
      <w:r>
        <w:t>Fuerzas</w:t>
      </w:r>
      <w:r>
        <w:rPr>
          <w:spacing w:val="-6"/>
        </w:rPr>
        <w:t xml:space="preserve"> </w:t>
      </w:r>
      <w:r>
        <w:t>Armadas</w:t>
      </w:r>
      <w:r>
        <w:rPr>
          <w:spacing w:val="-6"/>
        </w:rPr>
        <w:t xml:space="preserve"> </w:t>
      </w:r>
      <w:r>
        <w:t>han</w:t>
      </w:r>
      <w:r>
        <w:rPr>
          <w:spacing w:val="-5"/>
        </w:rPr>
        <w:t xml:space="preserve"> </w:t>
      </w:r>
      <w:r>
        <w:t>capturado,</w:t>
      </w:r>
      <w:r>
        <w:rPr>
          <w:spacing w:val="-5"/>
        </w:rPr>
        <w:t xml:space="preserve"> </w:t>
      </w:r>
      <w:r>
        <w:t>a</w:t>
      </w:r>
      <w:r>
        <w:rPr>
          <w:spacing w:val="-7"/>
        </w:rPr>
        <w:t xml:space="preserve"> </w:t>
      </w:r>
      <w:r>
        <w:t>partir de agosto de 1986, 470 sicarios, posiblemente pertenecientes a alguna de esas organizaciones delictivas y dado de baja a 73 más</w:t>
      </w:r>
      <w:r w:rsidR="00790BED">
        <w:rPr>
          <w:rStyle w:val="Refdenotaalpie"/>
        </w:rPr>
        <w:footnoteReference w:id="480"/>
      </w:r>
      <w:r>
        <w:t>.</w:t>
      </w:r>
    </w:p>
    <w:p w:rsidR="0011361F" w:rsidRDefault="00AF18A5" w:rsidP="00790BED">
      <w:r>
        <w:t>Más adelante, los intentos de llevar a cabo investigaciones sobre el entramado paramilitar fueron</w:t>
      </w:r>
      <w:r>
        <w:rPr>
          <w:spacing w:val="-7"/>
        </w:rPr>
        <w:t xml:space="preserve"> </w:t>
      </w:r>
      <w:r>
        <w:t>socavados</w:t>
      </w:r>
      <w:r>
        <w:rPr>
          <w:spacing w:val="-7"/>
        </w:rPr>
        <w:t xml:space="preserve"> </w:t>
      </w:r>
      <w:r>
        <w:t>en</w:t>
      </w:r>
      <w:r>
        <w:rPr>
          <w:spacing w:val="-7"/>
        </w:rPr>
        <w:t xml:space="preserve"> </w:t>
      </w:r>
      <w:r>
        <w:t>distintas</w:t>
      </w:r>
      <w:r>
        <w:rPr>
          <w:spacing w:val="-7"/>
        </w:rPr>
        <w:t xml:space="preserve"> </w:t>
      </w:r>
      <w:r>
        <w:t>ocasiones,</w:t>
      </w:r>
      <w:r>
        <w:rPr>
          <w:spacing w:val="-7"/>
        </w:rPr>
        <w:t xml:space="preserve"> </w:t>
      </w:r>
      <w:r>
        <w:t>a</w:t>
      </w:r>
      <w:r>
        <w:rPr>
          <w:spacing w:val="-7"/>
        </w:rPr>
        <w:t xml:space="preserve"> </w:t>
      </w:r>
      <w:r>
        <w:t>través</w:t>
      </w:r>
      <w:r>
        <w:rPr>
          <w:spacing w:val="-8"/>
        </w:rPr>
        <w:t xml:space="preserve"> </w:t>
      </w:r>
      <w:r>
        <w:t>de</w:t>
      </w:r>
      <w:r>
        <w:rPr>
          <w:spacing w:val="-7"/>
        </w:rPr>
        <w:t xml:space="preserve"> </w:t>
      </w:r>
      <w:r>
        <w:t>acciones</w:t>
      </w:r>
      <w:r>
        <w:rPr>
          <w:spacing w:val="-8"/>
        </w:rPr>
        <w:t xml:space="preserve"> </w:t>
      </w:r>
      <w:r>
        <w:t>violentas</w:t>
      </w:r>
      <w:r>
        <w:rPr>
          <w:spacing w:val="-7"/>
        </w:rPr>
        <w:t xml:space="preserve"> </w:t>
      </w:r>
      <w:r>
        <w:t>contra</w:t>
      </w:r>
      <w:r>
        <w:rPr>
          <w:spacing w:val="-7"/>
        </w:rPr>
        <w:t xml:space="preserve"> </w:t>
      </w:r>
      <w:r>
        <w:t>investigadores judiciales, fiscales y jueces que fueron amenazados, sufrieron atentados contra su vida o las de sus familiares y tuvieron que exiliarse. Entre estos casos, se encuentra el testimonio de una exfiscal de la Unidad de Derechos Humanos de la Fiscalía:</w:t>
      </w:r>
    </w:p>
    <w:p w:rsidR="003804AC" w:rsidRDefault="00AF18A5" w:rsidP="00790BED">
      <w:bookmarkStart w:id="638" w:name="_bookmark535"/>
      <w:bookmarkStart w:id="639" w:name="_bookmark536"/>
      <w:bookmarkEnd w:id="638"/>
      <w:bookmarkEnd w:id="639"/>
      <w:r>
        <w:t>«¿Por</w:t>
      </w:r>
      <w:r>
        <w:rPr>
          <w:spacing w:val="-15"/>
        </w:rPr>
        <w:t xml:space="preserve"> </w:t>
      </w:r>
      <w:r>
        <w:t>qué</w:t>
      </w:r>
      <w:r>
        <w:rPr>
          <w:spacing w:val="-15"/>
        </w:rPr>
        <w:t xml:space="preserve"> </w:t>
      </w:r>
      <w:r>
        <w:t>me</w:t>
      </w:r>
      <w:r>
        <w:rPr>
          <w:spacing w:val="-15"/>
        </w:rPr>
        <w:t xml:space="preserve"> </w:t>
      </w:r>
      <w:r>
        <w:t>trasladan?</w:t>
      </w:r>
      <w:r>
        <w:rPr>
          <w:spacing w:val="-15"/>
        </w:rPr>
        <w:t xml:space="preserve"> </w:t>
      </w:r>
      <w:r>
        <w:t>Porque</w:t>
      </w:r>
      <w:r>
        <w:rPr>
          <w:spacing w:val="-15"/>
        </w:rPr>
        <w:t xml:space="preserve"> </w:t>
      </w:r>
      <w:r>
        <w:t>en</w:t>
      </w:r>
      <w:r>
        <w:rPr>
          <w:spacing w:val="-15"/>
        </w:rPr>
        <w:t xml:space="preserve"> </w:t>
      </w:r>
      <w:r>
        <w:t>el</w:t>
      </w:r>
      <w:r>
        <w:rPr>
          <w:spacing w:val="-15"/>
        </w:rPr>
        <w:t xml:space="preserve"> </w:t>
      </w:r>
      <w:r>
        <w:t>año</w:t>
      </w:r>
      <w:r>
        <w:rPr>
          <w:spacing w:val="-15"/>
        </w:rPr>
        <w:t xml:space="preserve"> </w:t>
      </w:r>
      <w:r>
        <w:t>2002</w:t>
      </w:r>
      <w:r>
        <w:rPr>
          <w:spacing w:val="-15"/>
        </w:rPr>
        <w:t xml:space="preserve"> </w:t>
      </w:r>
      <w:r>
        <w:t>para</w:t>
      </w:r>
      <w:r>
        <w:rPr>
          <w:spacing w:val="-15"/>
        </w:rPr>
        <w:t xml:space="preserve"> </w:t>
      </w:r>
      <w:r>
        <w:t>el</w:t>
      </w:r>
      <w:r>
        <w:rPr>
          <w:spacing w:val="-15"/>
        </w:rPr>
        <w:t xml:space="preserve"> </w:t>
      </w:r>
      <w:r>
        <w:t>mes</w:t>
      </w:r>
      <w:r>
        <w:rPr>
          <w:spacing w:val="-14"/>
        </w:rPr>
        <w:t xml:space="preserve"> </w:t>
      </w:r>
      <w:r>
        <w:t>de</w:t>
      </w:r>
      <w:r>
        <w:rPr>
          <w:spacing w:val="-15"/>
        </w:rPr>
        <w:t xml:space="preserve"> </w:t>
      </w:r>
      <w:r>
        <w:t>marzo,</w:t>
      </w:r>
      <w:r>
        <w:rPr>
          <w:spacing w:val="-15"/>
        </w:rPr>
        <w:t xml:space="preserve"> </w:t>
      </w:r>
      <w:r>
        <w:t>más</w:t>
      </w:r>
      <w:r>
        <w:rPr>
          <w:spacing w:val="-14"/>
        </w:rPr>
        <w:t xml:space="preserve"> </w:t>
      </w:r>
      <w:r>
        <w:t>o</w:t>
      </w:r>
      <w:r>
        <w:rPr>
          <w:spacing w:val="-15"/>
        </w:rPr>
        <w:t xml:space="preserve"> </w:t>
      </w:r>
      <w:r>
        <w:t>menos,</w:t>
      </w:r>
      <w:r>
        <w:rPr>
          <w:spacing w:val="-15"/>
        </w:rPr>
        <w:t xml:space="preserve"> </w:t>
      </w:r>
      <w:r>
        <w:t xml:space="preserve">abril... marzo, creo yo, nos informa una funcionaria del CTI que Vicente Castaño había dado la orden de que nos mataran. Carlos le había dicho que no, que no tenían por qué matarnos estando en la Fiscalía, porque eso era mucha bulla, que lo que tenía que buscar era que nos trasladaran de Unidad, que nos sacaran de la Fiscalía y después sí, darnos de baja, diciendo que había sido por algún torcido o por alguna cuestión irregular [...]. Durante el tiempo que estuvimos trabajando en la Unidad, en el año 98 exactamente [...] bueno desde el principio dentro de la Unidad había amenazas hacia los funcionarios de </w:t>
      </w:r>
      <w:r>
        <w:lastRenderedPageBreak/>
        <w:t>la Unidad de Derechos Humanos, y entonces yo empecé a hacer una carpeta con la información que me llegaba, lo primero que llegó fue este documento</w:t>
      </w:r>
      <w:r w:rsidR="00431771">
        <w:rPr>
          <w:rStyle w:val="Refdenotaalpie"/>
        </w:rPr>
        <w:footnoteReference w:id="481"/>
      </w:r>
      <w:r>
        <w:t xml:space="preserve"> que lo voy a dejar en la base, con otras copias de documentos</w:t>
      </w:r>
      <w:r>
        <w:rPr>
          <w:spacing w:val="-4"/>
        </w:rPr>
        <w:t xml:space="preserve"> </w:t>
      </w:r>
      <w:r>
        <w:t>que</w:t>
      </w:r>
      <w:r>
        <w:rPr>
          <w:spacing w:val="-4"/>
        </w:rPr>
        <w:t xml:space="preserve"> </w:t>
      </w:r>
      <w:r>
        <w:t>han</w:t>
      </w:r>
      <w:r>
        <w:rPr>
          <w:spacing w:val="-5"/>
        </w:rPr>
        <w:t xml:space="preserve"> </w:t>
      </w:r>
      <w:r>
        <w:t>llegado</w:t>
      </w:r>
      <w:r>
        <w:rPr>
          <w:spacing w:val="-5"/>
        </w:rPr>
        <w:t xml:space="preserve"> </w:t>
      </w:r>
      <w:r>
        <w:t>[...]:</w:t>
      </w:r>
      <w:r>
        <w:rPr>
          <w:spacing w:val="-4"/>
        </w:rPr>
        <w:t xml:space="preserve"> </w:t>
      </w:r>
      <w:r>
        <w:t>una</w:t>
      </w:r>
      <w:r>
        <w:rPr>
          <w:spacing w:val="-6"/>
        </w:rPr>
        <w:t xml:space="preserve"> </w:t>
      </w:r>
      <w:r>
        <w:t>nómina</w:t>
      </w:r>
      <w:r>
        <w:rPr>
          <w:spacing w:val="-4"/>
        </w:rPr>
        <w:t xml:space="preserve"> </w:t>
      </w:r>
      <w:r>
        <w:t>completa</w:t>
      </w:r>
      <w:r>
        <w:rPr>
          <w:spacing w:val="-4"/>
        </w:rPr>
        <w:t xml:space="preserve"> </w:t>
      </w:r>
      <w:r>
        <w:t>de</w:t>
      </w:r>
      <w:r>
        <w:rPr>
          <w:spacing w:val="-4"/>
        </w:rPr>
        <w:t xml:space="preserve"> </w:t>
      </w:r>
      <w:r>
        <w:t>la</w:t>
      </w:r>
      <w:r>
        <w:rPr>
          <w:spacing w:val="-6"/>
        </w:rPr>
        <w:t xml:space="preserve"> </w:t>
      </w:r>
      <w:r>
        <w:t>Unidad</w:t>
      </w:r>
      <w:r>
        <w:rPr>
          <w:spacing w:val="-5"/>
        </w:rPr>
        <w:t xml:space="preserve"> </w:t>
      </w:r>
      <w:r>
        <w:t>de</w:t>
      </w:r>
      <w:r>
        <w:rPr>
          <w:spacing w:val="-4"/>
        </w:rPr>
        <w:t xml:space="preserve"> </w:t>
      </w:r>
      <w:r>
        <w:t>Derechos</w:t>
      </w:r>
      <w:r>
        <w:rPr>
          <w:spacing w:val="-4"/>
        </w:rPr>
        <w:t xml:space="preserve"> </w:t>
      </w:r>
      <w:r>
        <w:t>Humanos entre secretaria, fiscales y funcionarios, algunos funcionarios del CTI [...]»</w:t>
      </w:r>
      <w:r w:rsidR="00431771">
        <w:rPr>
          <w:rStyle w:val="Refdenotaalpie"/>
        </w:rPr>
        <w:footnoteReference w:id="482"/>
      </w:r>
      <w:r>
        <w:t>.</w:t>
      </w:r>
    </w:p>
    <w:p w:rsidR="003804AC" w:rsidRDefault="00AF18A5" w:rsidP="00431771">
      <w:r>
        <w:t>Finalmente, la persistencia del fenómeno también se ha soportado en la inacción y los obstáculos frente a la persecución del paramilitarismo, sobre todo en momentos en los que ha existido la posibilidad de desmantelar el entramado. El desborde territorial de las ACCU se pudo haber impedido gracias a los resultados del allanamiento al parqueadero Padilla en Medellín, donde operaba la oficina financiera de la estructura, que centralizaba todos los aportes de terceros, la comunicación entre frentes y los soportes de compras y pagos de nómina. Este hallazgo de la Dirección Regional de Fiscalías de Antioquia y de la Dirección del</w:t>
      </w:r>
      <w:r>
        <w:rPr>
          <w:spacing w:val="-9"/>
        </w:rPr>
        <w:t xml:space="preserve"> </w:t>
      </w:r>
      <w:r>
        <w:t>CTI</w:t>
      </w:r>
      <w:r>
        <w:rPr>
          <w:spacing w:val="-9"/>
        </w:rPr>
        <w:t xml:space="preserve"> </w:t>
      </w:r>
      <w:r>
        <w:t>en</w:t>
      </w:r>
      <w:r>
        <w:rPr>
          <w:spacing w:val="-10"/>
        </w:rPr>
        <w:t xml:space="preserve"> </w:t>
      </w:r>
      <w:r>
        <w:t>Medellín</w:t>
      </w:r>
      <w:r w:rsidR="00431771">
        <w:rPr>
          <w:rStyle w:val="Refdenotaalpie"/>
        </w:rPr>
        <w:footnoteReference w:id="483"/>
      </w:r>
      <w:r>
        <w:rPr>
          <w:spacing w:val="-9"/>
        </w:rPr>
        <w:t xml:space="preserve"> </w:t>
      </w:r>
      <w:r>
        <w:t>reveló</w:t>
      </w:r>
      <w:r>
        <w:rPr>
          <w:spacing w:val="-10"/>
        </w:rPr>
        <w:t xml:space="preserve"> </w:t>
      </w:r>
      <w:r>
        <w:t>el</w:t>
      </w:r>
      <w:r>
        <w:rPr>
          <w:spacing w:val="-9"/>
        </w:rPr>
        <w:t xml:space="preserve"> </w:t>
      </w:r>
      <w:r>
        <w:t>gran</w:t>
      </w:r>
      <w:r>
        <w:rPr>
          <w:spacing w:val="-10"/>
        </w:rPr>
        <w:t xml:space="preserve"> </w:t>
      </w:r>
      <w:r>
        <w:t>tamaño</w:t>
      </w:r>
      <w:r>
        <w:rPr>
          <w:spacing w:val="-10"/>
        </w:rPr>
        <w:t xml:space="preserve"> </w:t>
      </w:r>
      <w:r>
        <w:t>que</w:t>
      </w:r>
      <w:r>
        <w:rPr>
          <w:spacing w:val="-9"/>
        </w:rPr>
        <w:t xml:space="preserve"> </w:t>
      </w:r>
      <w:r>
        <w:t>tenía</w:t>
      </w:r>
      <w:r>
        <w:rPr>
          <w:spacing w:val="-9"/>
        </w:rPr>
        <w:t xml:space="preserve"> </w:t>
      </w:r>
      <w:r>
        <w:t>la</w:t>
      </w:r>
      <w:r>
        <w:rPr>
          <w:spacing w:val="-9"/>
        </w:rPr>
        <w:t xml:space="preserve"> </w:t>
      </w:r>
      <w:r>
        <w:t>estructura.</w:t>
      </w:r>
      <w:r>
        <w:rPr>
          <w:spacing w:val="-10"/>
        </w:rPr>
        <w:t xml:space="preserve"> </w:t>
      </w:r>
      <w:r>
        <w:t>Uno</w:t>
      </w:r>
      <w:r>
        <w:rPr>
          <w:spacing w:val="-10"/>
        </w:rPr>
        <w:t xml:space="preserve"> </w:t>
      </w:r>
      <w:r>
        <w:t>de</w:t>
      </w:r>
      <w:r>
        <w:rPr>
          <w:spacing w:val="-9"/>
        </w:rPr>
        <w:t xml:space="preserve"> </w:t>
      </w:r>
      <w:r>
        <w:t>los</w:t>
      </w:r>
      <w:r>
        <w:rPr>
          <w:spacing w:val="-9"/>
        </w:rPr>
        <w:t xml:space="preserve"> </w:t>
      </w:r>
      <w:r>
        <w:t>funcionarios de aquel entonces contó:</w:t>
      </w:r>
    </w:p>
    <w:p w:rsidR="003804AC" w:rsidRDefault="00AF18A5" w:rsidP="00431771">
      <w:r>
        <w:t>«Efectivamente, habíamos obtenido toda la información contable, no solo en libros, sino también</w:t>
      </w:r>
      <w:r>
        <w:rPr>
          <w:spacing w:val="-4"/>
        </w:rPr>
        <w:t xml:space="preserve"> </w:t>
      </w:r>
      <w:r>
        <w:t>en</w:t>
      </w:r>
      <w:r>
        <w:rPr>
          <w:spacing w:val="-3"/>
        </w:rPr>
        <w:t xml:space="preserve"> </w:t>
      </w:r>
      <w:r>
        <w:t>CD.</w:t>
      </w:r>
      <w:r>
        <w:rPr>
          <w:spacing w:val="-1"/>
        </w:rPr>
        <w:t xml:space="preserve"> </w:t>
      </w:r>
      <w:r>
        <w:t>Es</w:t>
      </w:r>
      <w:r>
        <w:rPr>
          <w:spacing w:val="-1"/>
        </w:rPr>
        <w:t xml:space="preserve"> </w:t>
      </w:r>
      <w:r>
        <w:t>decir,</w:t>
      </w:r>
      <w:r>
        <w:rPr>
          <w:spacing w:val="-1"/>
        </w:rPr>
        <w:t xml:space="preserve"> </w:t>
      </w:r>
      <w:r>
        <w:t>toda</w:t>
      </w:r>
      <w:r>
        <w:rPr>
          <w:spacing w:val="-1"/>
        </w:rPr>
        <w:t xml:space="preserve"> </w:t>
      </w:r>
      <w:r>
        <w:t>la</w:t>
      </w:r>
      <w:r>
        <w:rPr>
          <w:spacing w:val="-1"/>
        </w:rPr>
        <w:t xml:space="preserve"> </w:t>
      </w:r>
      <w:r>
        <w:t>información,</w:t>
      </w:r>
      <w:r>
        <w:rPr>
          <w:spacing w:val="-1"/>
        </w:rPr>
        <w:t xml:space="preserve"> </w:t>
      </w:r>
      <w:r>
        <w:t>material,</w:t>
      </w:r>
      <w:r>
        <w:rPr>
          <w:spacing w:val="-3"/>
        </w:rPr>
        <w:t xml:space="preserve"> </w:t>
      </w:r>
      <w:r>
        <w:t>física</w:t>
      </w:r>
      <w:r>
        <w:rPr>
          <w:spacing w:val="-1"/>
        </w:rPr>
        <w:t xml:space="preserve"> </w:t>
      </w:r>
      <w:r>
        <w:t>y</w:t>
      </w:r>
      <w:r>
        <w:rPr>
          <w:spacing w:val="-1"/>
        </w:rPr>
        <w:t xml:space="preserve"> </w:t>
      </w:r>
      <w:r>
        <w:t>digital.</w:t>
      </w:r>
      <w:r>
        <w:rPr>
          <w:spacing w:val="-3"/>
        </w:rPr>
        <w:t xml:space="preserve"> </w:t>
      </w:r>
      <w:r>
        <w:t>No</w:t>
      </w:r>
      <w:r>
        <w:rPr>
          <w:spacing w:val="-1"/>
        </w:rPr>
        <w:t xml:space="preserve"> </w:t>
      </w:r>
      <w:r>
        <w:t>solo</w:t>
      </w:r>
      <w:r>
        <w:rPr>
          <w:spacing w:val="-1"/>
        </w:rPr>
        <w:t xml:space="preserve"> </w:t>
      </w:r>
      <w:r>
        <w:t>respecto</w:t>
      </w:r>
      <w:r>
        <w:rPr>
          <w:spacing w:val="-1"/>
        </w:rPr>
        <w:t xml:space="preserve"> </w:t>
      </w:r>
      <w:r>
        <w:rPr>
          <w:spacing w:val="-5"/>
        </w:rPr>
        <w:t>del</w:t>
      </w:r>
      <w:bookmarkStart w:id="640" w:name="_bookmark537"/>
      <w:bookmarkStart w:id="641" w:name="_bookmark538"/>
      <w:bookmarkStart w:id="642" w:name="_bookmark539"/>
      <w:bookmarkEnd w:id="640"/>
      <w:bookmarkEnd w:id="641"/>
      <w:bookmarkEnd w:id="642"/>
      <w:r w:rsidR="00431771">
        <w:rPr>
          <w:spacing w:val="-5"/>
        </w:rPr>
        <w:t xml:space="preserve"> </w:t>
      </w:r>
      <w:r>
        <w:t xml:space="preserve">financiamiento, sino también de la integración de los grupos, porque aparecían cuadros, las </w:t>
      </w:r>
      <w:r>
        <w:lastRenderedPageBreak/>
        <w:t xml:space="preserve">nóminas del paramilitarismo. [...] Entonces, por ejemplo, un señor del occidente de Antioquia, Luis Arnulfo </w:t>
      </w:r>
      <w:proofErr w:type="spellStart"/>
      <w:r>
        <w:t>Tuberquia</w:t>
      </w:r>
      <w:proofErr w:type="spellEnd"/>
      <w:r>
        <w:t>, ‘</w:t>
      </w:r>
      <w:proofErr w:type="spellStart"/>
      <w:r>
        <w:t>Memín</w:t>
      </w:r>
      <w:proofErr w:type="spellEnd"/>
      <w:r>
        <w:t>’, entonces había un cuadro que decía: “Occidente” y “</w:t>
      </w:r>
      <w:proofErr w:type="spellStart"/>
      <w:r>
        <w:t>Memín</w:t>
      </w:r>
      <w:proofErr w:type="spellEnd"/>
      <w:r>
        <w:t>”, cuánto se le pagaba, cuánto se le retenía, una planilla, una planilla de pagos, cuánto era en las escalas»</w:t>
      </w:r>
      <w:r w:rsidR="00431771">
        <w:rPr>
          <w:rStyle w:val="Refdenotaalpie"/>
        </w:rPr>
        <w:footnoteReference w:id="484"/>
      </w:r>
      <w:r>
        <w:t>.</w:t>
      </w:r>
    </w:p>
    <w:p w:rsidR="003804AC" w:rsidRDefault="00AF18A5" w:rsidP="00431771">
      <w:r>
        <w:t>Sin</w:t>
      </w:r>
      <w:r>
        <w:rPr>
          <w:spacing w:val="-5"/>
        </w:rPr>
        <w:t xml:space="preserve"> </w:t>
      </w:r>
      <w:r>
        <w:t>embargo,</w:t>
      </w:r>
      <w:r>
        <w:rPr>
          <w:spacing w:val="-5"/>
        </w:rPr>
        <w:t xml:space="preserve"> </w:t>
      </w:r>
      <w:r>
        <w:t>estas</w:t>
      </w:r>
      <w:r>
        <w:rPr>
          <w:spacing w:val="-5"/>
        </w:rPr>
        <w:t xml:space="preserve"> </w:t>
      </w:r>
      <w:r>
        <w:t>investigaciones</w:t>
      </w:r>
      <w:r>
        <w:rPr>
          <w:spacing w:val="-5"/>
        </w:rPr>
        <w:t xml:space="preserve"> </w:t>
      </w:r>
      <w:r>
        <w:t>no</w:t>
      </w:r>
      <w:r>
        <w:rPr>
          <w:spacing w:val="-5"/>
        </w:rPr>
        <w:t xml:space="preserve"> </w:t>
      </w:r>
      <w:r>
        <w:t>prosperaron</w:t>
      </w:r>
      <w:r>
        <w:rPr>
          <w:spacing w:val="-6"/>
        </w:rPr>
        <w:t xml:space="preserve"> </w:t>
      </w:r>
      <w:r>
        <w:t>debido</w:t>
      </w:r>
      <w:r>
        <w:rPr>
          <w:spacing w:val="-5"/>
        </w:rPr>
        <w:t xml:space="preserve"> </w:t>
      </w:r>
      <w:r>
        <w:t>a</w:t>
      </w:r>
      <w:r>
        <w:rPr>
          <w:spacing w:val="-5"/>
        </w:rPr>
        <w:t xml:space="preserve"> </w:t>
      </w:r>
      <w:r>
        <w:t>la</w:t>
      </w:r>
      <w:r>
        <w:rPr>
          <w:spacing w:val="-5"/>
        </w:rPr>
        <w:t xml:space="preserve"> </w:t>
      </w:r>
      <w:r>
        <w:t>persecución</w:t>
      </w:r>
      <w:r>
        <w:rPr>
          <w:spacing w:val="-6"/>
        </w:rPr>
        <w:t xml:space="preserve"> </w:t>
      </w:r>
      <w:r>
        <w:t>y</w:t>
      </w:r>
      <w:r>
        <w:rPr>
          <w:spacing w:val="-5"/>
        </w:rPr>
        <w:t xml:space="preserve"> </w:t>
      </w:r>
      <w:r>
        <w:t>asesinato</w:t>
      </w:r>
      <w:r>
        <w:rPr>
          <w:spacing w:val="-5"/>
        </w:rPr>
        <w:t xml:space="preserve"> </w:t>
      </w:r>
      <w:r>
        <w:t>de múltiples investigadores, y a cargos dentro de la Fiscalía que lograron desviar o dilatar los procesos.</w:t>
      </w:r>
      <w:r>
        <w:rPr>
          <w:spacing w:val="-5"/>
        </w:rPr>
        <w:t xml:space="preserve"> </w:t>
      </w:r>
      <w:r>
        <w:t>Según</w:t>
      </w:r>
      <w:r>
        <w:rPr>
          <w:spacing w:val="-3"/>
        </w:rPr>
        <w:t xml:space="preserve"> </w:t>
      </w:r>
      <w:r>
        <w:t>Diego</w:t>
      </w:r>
      <w:r>
        <w:rPr>
          <w:spacing w:val="-3"/>
        </w:rPr>
        <w:t xml:space="preserve"> </w:t>
      </w:r>
      <w:r>
        <w:t>Fernando</w:t>
      </w:r>
      <w:r>
        <w:rPr>
          <w:spacing w:val="-5"/>
        </w:rPr>
        <w:t xml:space="preserve"> </w:t>
      </w:r>
      <w:r>
        <w:t>Murillo,</w:t>
      </w:r>
      <w:r>
        <w:rPr>
          <w:spacing w:val="-3"/>
        </w:rPr>
        <w:t xml:space="preserve"> </w:t>
      </w:r>
      <w:r>
        <w:t>alias</w:t>
      </w:r>
      <w:r>
        <w:rPr>
          <w:spacing w:val="-4"/>
        </w:rPr>
        <w:t xml:space="preserve"> </w:t>
      </w:r>
      <w:r>
        <w:t>‘Don</w:t>
      </w:r>
      <w:r>
        <w:rPr>
          <w:spacing w:val="-3"/>
        </w:rPr>
        <w:t xml:space="preserve"> </w:t>
      </w:r>
      <w:r>
        <w:t>Berna’,</w:t>
      </w:r>
      <w:r>
        <w:rPr>
          <w:spacing w:val="-5"/>
        </w:rPr>
        <w:t xml:space="preserve"> </w:t>
      </w:r>
      <w:r>
        <w:t>los</w:t>
      </w:r>
      <w:r>
        <w:rPr>
          <w:spacing w:val="-4"/>
        </w:rPr>
        <w:t xml:space="preserve"> </w:t>
      </w:r>
      <w:r>
        <w:t>comandantes</w:t>
      </w:r>
      <w:r>
        <w:rPr>
          <w:spacing w:val="-4"/>
        </w:rPr>
        <w:t xml:space="preserve"> </w:t>
      </w:r>
      <w:r>
        <w:t>de</w:t>
      </w:r>
      <w:r>
        <w:rPr>
          <w:spacing w:val="-4"/>
        </w:rPr>
        <w:t xml:space="preserve"> </w:t>
      </w:r>
      <w:r>
        <w:t>las</w:t>
      </w:r>
      <w:r>
        <w:rPr>
          <w:spacing w:val="-6"/>
        </w:rPr>
        <w:t xml:space="preserve"> </w:t>
      </w:r>
      <w:r>
        <w:t>ACCU vieron con</w:t>
      </w:r>
      <w:r>
        <w:rPr>
          <w:spacing w:val="-1"/>
        </w:rPr>
        <w:t xml:space="preserve"> </w:t>
      </w:r>
      <w:r>
        <w:t>mucha preocupación el hecho de que el CTI tuviera esta información, por lo que usaron</w:t>
      </w:r>
      <w:r>
        <w:rPr>
          <w:spacing w:val="-9"/>
        </w:rPr>
        <w:t xml:space="preserve"> </w:t>
      </w:r>
      <w:r>
        <w:t>un</w:t>
      </w:r>
      <w:r>
        <w:rPr>
          <w:spacing w:val="-9"/>
        </w:rPr>
        <w:t xml:space="preserve"> </w:t>
      </w:r>
      <w:r>
        <w:t>funcionario</w:t>
      </w:r>
      <w:r>
        <w:rPr>
          <w:spacing w:val="-9"/>
        </w:rPr>
        <w:t xml:space="preserve"> </w:t>
      </w:r>
      <w:r>
        <w:t>de</w:t>
      </w:r>
      <w:r>
        <w:rPr>
          <w:spacing w:val="-10"/>
        </w:rPr>
        <w:t xml:space="preserve"> </w:t>
      </w:r>
      <w:r>
        <w:t>la</w:t>
      </w:r>
      <w:r>
        <w:rPr>
          <w:spacing w:val="-9"/>
        </w:rPr>
        <w:t xml:space="preserve"> </w:t>
      </w:r>
      <w:r>
        <w:t>misma</w:t>
      </w:r>
      <w:r>
        <w:rPr>
          <w:spacing w:val="-9"/>
        </w:rPr>
        <w:t xml:space="preserve"> </w:t>
      </w:r>
      <w:r>
        <w:t>institución</w:t>
      </w:r>
      <w:r>
        <w:rPr>
          <w:spacing w:val="-9"/>
        </w:rPr>
        <w:t xml:space="preserve"> </w:t>
      </w:r>
      <w:r>
        <w:t>para</w:t>
      </w:r>
      <w:r>
        <w:rPr>
          <w:spacing w:val="-9"/>
        </w:rPr>
        <w:t xml:space="preserve"> </w:t>
      </w:r>
      <w:r>
        <w:t>obtener</w:t>
      </w:r>
      <w:r>
        <w:rPr>
          <w:spacing w:val="-9"/>
        </w:rPr>
        <w:t xml:space="preserve"> </w:t>
      </w:r>
      <w:r>
        <w:t>la</w:t>
      </w:r>
      <w:r>
        <w:rPr>
          <w:spacing w:val="-9"/>
        </w:rPr>
        <w:t xml:space="preserve"> </w:t>
      </w:r>
      <w:r>
        <w:t>lista</w:t>
      </w:r>
      <w:r>
        <w:rPr>
          <w:spacing w:val="-9"/>
        </w:rPr>
        <w:t xml:space="preserve"> </w:t>
      </w:r>
      <w:r>
        <w:t>de</w:t>
      </w:r>
      <w:r>
        <w:rPr>
          <w:spacing w:val="-9"/>
        </w:rPr>
        <w:t xml:space="preserve"> </w:t>
      </w:r>
      <w:r>
        <w:t>investigadores</w:t>
      </w:r>
      <w:r>
        <w:rPr>
          <w:spacing w:val="-9"/>
        </w:rPr>
        <w:t xml:space="preserve"> </w:t>
      </w:r>
      <w:r>
        <w:t>del</w:t>
      </w:r>
      <w:r>
        <w:rPr>
          <w:spacing w:val="-9"/>
        </w:rPr>
        <w:t xml:space="preserve"> </w:t>
      </w:r>
      <w:r>
        <w:t>caso y recuperar los discos que fuera posible</w:t>
      </w:r>
      <w:r w:rsidR="00431771">
        <w:rPr>
          <w:rStyle w:val="Refdenotaalpie"/>
        </w:rPr>
        <w:footnoteReference w:id="485"/>
      </w:r>
      <w:r>
        <w:t>.</w:t>
      </w:r>
    </w:p>
    <w:p w:rsidR="003804AC" w:rsidRDefault="00AF18A5" w:rsidP="00431771">
      <w:r>
        <w:t>«[Este funcionario] logró sacar o recuperar alguna información, se cambiaron CD de la información de las autodefensas por otros que no tenían información [...] cuando Carlos [Castaño]</w:t>
      </w:r>
      <w:r>
        <w:rPr>
          <w:spacing w:val="-6"/>
        </w:rPr>
        <w:t xml:space="preserve"> </w:t>
      </w:r>
      <w:r>
        <w:t>la</w:t>
      </w:r>
      <w:r>
        <w:rPr>
          <w:spacing w:val="-6"/>
        </w:rPr>
        <w:t xml:space="preserve"> </w:t>
      </w:r>
      <w:r>
        <w:t>recupera,</w:t>
      </w:r>
      <w:r>
        <w:rPr>
          <w:spacing w:val="-5"/>
        </w:rPr>
        <w:t xml:space="preserve"> </w:t>
      </w:r>
      <w:r>
        <w:t>él</w:t>
      </w:r>
      <w:r>
        <w:rPr>
          <w:spacing w:val="-7"/>
        </w:rPr>
        <w:t xml:space="preserve"> </w:t>
      </w:r>
      <w:r>
        <w:t>le</w:t>
      </w:r>
      <w:r>
        <w:rPr>
          <w:spacing w:val="-5"/>
        </w:rPr>
        <w:t xml:space="preserve"> </w:t>
      </w:r>
      <w:r>
        <w:t>dijo</w:t>
      </w:r>
      <w:r>
        <w:rPr>
          <w:spacing w:val="-5"/>
        </w:rPr>
        <w:t xml:space="preserve"> </w:t>
      </w:r>
      <w:r>
        <w:t>al</w:t>
      </w:r>
      <w:r>
        <w:rPr>
          <w:spacing w:val="-4"/>
        </w:rPr>
        <w:t xml:space="preserve"> </w:t>
      </w:r>
      <w:r>
        <w:t>postulado</w:t>
      </w:r>
      <w:r>
        <w:rPr>
          <w:spacing w:val="-6"/>
        </w:rPr>
        <w:t xml:space="preserve"> </w:t>
      </w:r>
      <w:r>
        <w:t>[‘Don</w:t>
      </w:r>
      <w:r>
        <w:rPr>
          <w:spacing w:val="-5"/>
        </w:rPr>
        <w:t xml:space="preserve"> </w:t>
      </w:r>
      <w:r>
        <w:t>Berna’]:</w:t>
      </w:r>
      <w:r>
        <w:rPr>
          <w:spacing w:val="-4"/>
        </w:rPr>
        <w:t xml:space="preserve"> </w:t>
      </w:r>
      <w:r>
        <w:t>“Se</w:t>
      </w:r>
      <w:r>
        <w:rPr>
          <w:spacing w:val="-5"/>
        </w:rPr>
        <w:t xml:space="preserve"> </w:t>
      </w:r>
      <w:r>
        <w:t>salvaron</w:t>
      </w:r>
      <w:r>
        <w:rPr>
          <w:spacing w:val="-6"/>
        </w:rPr>
        <w:t xml:space="preserve"> </w:t>
      </w:r>
      <w:r>
        <w:t>las</w:t>
      </w:r>
      <w:r>
        <w:rPr>
          <w:spacing w:val="-5"/>
        </w:rPr>
        <w:t xml:space="preserve"> </w:t>
      </w:r>
      <w:r>
        <w:t>Autodefensas”. Era una información muy importante, ya que había los nombres de los colaboradores de las autodefensas, nombres de generales y de gente importante; había de todo. Esa información volvió a quedar en manos de las autodefensas y luego fue destruida»</w:t>
      </w:r>
      <w:r w:rsidR="00431771">
        <w:rPr>
          <w:rStyle w:val="Refdenotaalpie"/>
        </w:rPr>
        <w:footnoteReference w:id="486"/>
      </w:r>
      <w:r>
        <w:t>.</w:t>
      </w:r>
    </w:p>
    <w:p w:rsidR="003804AC" w:rsidRDefault="00AF18A5" w:rsidP="00431771">
      <w:r>
        <w:t>Además de</w:t>
      </w:r>
      <w:r>
        <w:rPr>
          <w:spacing w:val="-1"/>
        </w:rPr>
        <w:t xml:space="preserve"> </w:t>
      </w:r>
      <w:r>
        <w:t xml:space="preserve">esta operación de recuperación, Carlos Castaño dio la orden </w:t>
      </w:r>
      <w:r>
        <w:lastRenderedPageBreak/>
        <w:t>de asesinar a los investigadores que trabajaban en dicho expediente, el 34.986 del 30 de abril de 1998, de la Fiscalía de Medellín. El proceso de investigación fue trasladado a Bogotá debido a ese asesinato y a la complejidad del caso, a través de una Resolución del 8 de septiembre de 1998. Sin embargo, en 1999 fue reasignado nuevamente, y una vez más fue reasignado a Medellín</w:t>
      </w:r>
      <w:r>
        <w:rPr>
          <w:spacing w:val="-5"/>
        </w:rPr>
        <w:t xml:space="preserve"> </w:t>
      </w:r>
      <w:r>
        <w:t>en</w:t>
      </w:r>
      <w:r>
        <w:rPr>
          <w:spacing w:val="-6"/>
        </w:rPr>
        <w:t xml:space="preserve"> </w:t>
      </w:r>
      <w:r>
        <w:t>el</w:t>
      </w:r>
      <w:r>
        <w:rPr>
          <w:spacing w:val="-4"/>
        </w:rPr>
        <w:t xml:space="preserve"> </w:t>
      </w:r>
      <w:r>
        <w:t>2001.</w:t>
      </w:r>
      <w:r>
        <w:rPr>
          <w:spacing w:val="-5"/>
        </w:rPr>
        <w:t xml:space="preserve"> </w:t>
      </w:r>
      <w:r>
        <w:t>Debido</w:t>
      </w:r>
      <w:r>
        <w:rPr>
          <w:spacing w:val="-5"/>
        </w:rPr>
        <w:t xml:space="preserve"> </w:t>
      </w:r>
      <w:r>
        <w:t>a</w:t>
      </w:r>
      <w:r>
        <w:rPr>
          <w:spacing w:val="-5"/>
        </w:rPr>
        <w:t xml:space="preserve"> </w:t>
      </w:r>
      <w:r>
        <w:t>estos</w:t>
      </w:r>
      <w:r>
        <w:rPr>
          <w:spacing w:val="-6"/>
        </w:rPr>
        <w:t xml:space="preserve"> </w:t>
      </w:r>
      <w:r>
        <w:t>trámites</w:t>
      </w:r>
      <w:r>
        <w:rPr>
          <w:spacing w:val="-5"/>
        </w:rPr>
        <w:t xml:space="preserve"> </w:t>
      </w:r>
      <w:r>
        <w:t>la</w:t>
      </w:r>
      <w:r>
        <w:rPr>
          <w:spacing w:val="-6"/>
        </w:rPr>
        <w:t xml:space="preserve"> </w:t>
      </w:r>
      <w:r>
        <w:t>investigación</w:t>
      </w:r>
      <w:r>
        <w:rPr>
          <w:spacing w:val="-6"/>
        </w:rPr>
        <w:t xml:space="preserve"> </w:t>
      </w:r>
      <w:r>
        <w:t>se</w:t>
      </w:r>
      <w:r>
        <w:rPr>
          <w:spacing w:val="-5"/>
        </w:rPr>
        <w:t xml:space="preserve"> </w:t>
      </w:r>
      <w:r>
        <w:t>fue</w:t>
      </w:r>
      <w:r>
        <w:rPr>
          <w:spacing w:val="-5"/>
        </w:rPr>
        <w:t xml:space="preserve"> </w:t>
      </w:r>
      <w:r>
        <w:t>dilatando.</w:t>
      </w:r>
      <w:r>
        <w:rPr>
          <w:spacing w:val="-5"/>
        </w:rPr>
        <w:t xml:space="preserve"> </w:t>
      </w:r>
      <w:r>
        <w:t>Según</w:t>
      </w:r>
      <w:r>
        <w:rPr>
          <w:spacing w:val="-5"/>
        </w:rPr>
        <w:t xml:space="preserve"> </w:t>
      </w:r>
      <w:r>
        <w:t>uno</w:t>
      </w:r>
      <w:r>
        <w:rPr>
          <w:spacing w:val="-5"/>
        </w:rPr>
        <w:t xml:space="preserve"> </w:t>
      </w:r>
      <w:r>
        <w:t>de los</w:t>
      </w:r>
      <w:r>
        <w:rPr>
          <w:spacing w:val="47"/>
        </w:rPr>
        <w:t xml:space="preserve"> </w:t>
      </w:r>
      <w:r>
        <w:t>investigadores</w:t>
      </w:r>
      <w:r>
        <w:rPr>
          <w:spacing w:val="49"/>
        </w:rPr>
        <w:t xml:space="preserve"> </w:t>
      </w:r>
      <w:r>
        <w:t>del</w:t>
      </w:r>
      <w:r>
        <w:rPr>
          <w:spacing w:val="49"/>
        </w:rPr>
        <w:t xml:space="preserve"> </w:t>
      </w:r>
      <w:r>
        <w:t>caso,</w:t>
      </w:r>
      <w:r>
        <w:rPr>
          <w:spacing w:val="50"/>
        </w:rPr>
        <w:t xml:space="preserve"> </w:t>
      </w:r>
      <w:r>
        <w:t>el</w:t>
      </w:r>
      <w:r>
        <w:rPr>
          <w:spacing w:val="52"/>
        </w:rPr>
        <w:t xml:space="preserve"> </w:t>
      </w:r>
      <w:r>
        <w:t>proceso</w:t>
      </w:r>
      <w:r>
        <w:rPr>
          <w:spacing w:val="50"/>
        </w:rPr>
        <w:t xml:space="preserve"> </w:t>
      </w:r>
      <w:r>
        <w:t>«ni</w:t>
      </w:r>
      <w:r>
        <w:rPr>
          <w:spacing w:val="51"/>
        </w:rPr>
        <w:t xml:space="preserve"> </w:t>
      </w:r>
      <w:r>
        <w:t>siquiera</w:t>
      </w:r>
      <w:r>
        <w:rPr>
          <w:spacing w:val="50"/>
        </w:rPr>
        <w:t xml:space="preserve"> </w:t>
      </w:r>
      <w:r>
        <w:t>estaba</w:t>
      </w:r>
      <w:r>
        <w:rPr>
          <w:spacing w:val="51"/>
        </w:rPr>
        <w:t xml:space="preserve"> </w:t>
      </w:r>
      <w:r>
        <w:t>terminado,</w:t>
      </w:r>
      <w:r>
        <w:rPr>
          <w:spacing w:val="51"/>
        </w:rPr>
        <w:t xml:space="preserve"> </w:t>
      </w:r>
      <w:r>
        <w:t>eran</w:t>
      </w:r>
      <w:r>
        <w:rPr>
          <w:spacing w:val="49"/>
        </w:rPr>
        <w:t xml:space="preserve"> </w:t>
      </w:r>
      <w:r>
        <w:t>unos</w:t>
      </w:r>
      <w:r>
        <w:rPr>
          <w:spacing w:val="50"/>
        </w:rPr>
        <w:t xml:space="preserve"> </w:t>
      </w:r>
      <w:r>
        <w:rPr>
          <w:spacing w:val="-2"/>
        </w:rPr>
        <w:t>pocos</w:t>
      </w:r>
      <w:bookmarkStart w:id="643" w:name="_bookmark540"/>
      <w:bookmarkStart w:id="644" w:name="_bookmark541"/>
      <w:bookmarkEnd w:id="643"/>
      <w:bookmarkEnd w:id="644"/>
      <w:r w:rsidR="00431771">
        <w:rPr>
          <w:spacing w:val="-2"/>
        </w:rPr>
        <w:t xml:space="preserve"> </w:t>
      </w:r>
      <w:r>
        <w:t>incidentes los que apenas estábamos empezando a explotar, había mucho trabajo por hacer, muchas</w:t>
      </w:r>
      <w:r>
        <w:rPr>
          <w:spacing w:val="-7"/>
        </w:rPr>
        <w:t xml:space="preserve"> </w:t>
      </w:r>
      <w:r>
        <w:t>cosas</w:t>
      </w:r>
      <w:r>
        <w:rPr>
          <w:spacing w:val="-7"/>
        </w:rPr>
        <w:t xml:space="preserve"> </w:t>
      </w:r>
      <w:r>
        <w:t>por</w:t>
      </w:r>
      <w:r>
        <w:rPr>
          <w:spacing w:val="-7"/>
        </w:rPr>
        <w:t xml:space="preserve"> </w:t>
      </w:r>
      <w:r>
        <w:t>estudiar,</w:t>
      </w:r>
      <w:r>
        <w:rPr>
          <w:spacing w:val="-7"/>
        </w:rPr>
        <w:t xml:space="preserve"> </w:t>
      </w:r>
      <w:r>
        <w:t>muchas</w:t>
      </w:r>
      <w:r>
        <w:rPr>
          <w:spacing w:val="-7"/>
        </w:rPr>
        <w:t xml:space="preserve"> </w:t>
      </w:r>
      <w:r>
        <w:t>otras</w:t>
      </w:r>
      <w:r>
        <w:rPr>
          <w:spacing w:val="-7"/>
        </w:rPr>
        <w:t xml:space="preserve"> </w:t>
      </w:r>
      <w:r>
        <w:t>ciudades</w:t>
      </w:r>
      <w:r>
        <w:rPr>
          <w:spacing w:val="-8"/>
        </w:rPr>
        <w:t xml:space="preserve"> </w:t>
      </w:r>
      <w:r>
        <w:t>por</w:t>
      </w:r>
      <w:r>
        <w:rPr>
          <w:spacing w:val="-7"/>
        </w:rPr>
        <w:t xml:space="preserve"> </w:t>
      </w:r>
      <w:r>
        <w:t>visitar,</w:t>
      </w:r>
      <w:r>
        <w:rPr>
          <w:spacing w:val="-8"/>
        </w:rPr>
        <w:t xml:space="preserve"> </w:t>
      </w:r>
      <w:r>
        <w:t>pero</w:t>
      </w:r>
      <w:r>
        <w:rPr>
          <w:spacing w:val="-7"/>
        </w:rPr>
        <w:t xml:space="preserve"> </w:t>
      </w:r>
      <w:r>
        <w:t>con</w:t>
      </w:r>
      <w:r>
        <w:rPr>
          <w:spacing w:val="-7"/>
        </w:rPr>
        <w:t xml:space="preserve"> </w:t>
      </w:r>
      <w:r>
        <w:t>los</w:t>
      </w:r>
      <w:r>
        <w:rPr>
          <w:spacing w:val="-8"/>
        </w:rPr>
        <w:t xml:space="preserve"> </w:t>
      </w:r>
      <w:r>
        <w:t>días</w:t>
      </w:r>
      <w:r>
        <w:rPr>
          <w:spacing w:val="-7"/>
        </w:rPr>
        <w:t xml:space="preserve"> </w:t>
      </w:r>
      <w:r>
        <w:t>el</w:t>
      </w:r>
      <w:r>
        <w:rPr>
          <w:spacing w:val="-8"/>
        </w:rPr>
        <w:t xml:space="preserve"> </w:t>
      </w:r>
      <w:r>
        <w:t>expediente fue archivado en un anaquel»</w:t>
      </w:r>
      <w:r w:rsidR="00431771">
        <w:rPr>
          <w:rStyle w:val="Refdenotaalpie"/>
        </w:rPr>
        <w:footnoteReference w:id="487"/>
      </w:r>
      <w:r>
        <w:t>. Según el relato de un exmagistrado de la Corte Suprema que investigó el caso:</w:t>
      </w:r>
    </w:p>
    <w:p w:rsidR="003804AC" w:rsidRDefault="00AF18A5" w:rsidP="00431771">
      <w:r>
        <w:t>«La primera</w:t>
      </w:r>
      <w:r>
        <w:rPr>
          <w:spacing w:val="-1"/>
        </w:rPr>
        <w:t xml:space="preserve"> </w:t>
      </w:r>
      <w:r>
        <w:t>anotación que había en</w:t>
      </w:r>
      <w:r>
        <w:rPr>
          <w:spacing w:val="-2"/>
        </w:rPr>
        <w:t xml:space="preserve"> </w:t>
      </w:r>
      <w:r>
        <w:t>el</w:t>
      </w:r>
      <w:r>
        <w:rPr>
          <w:spacing w:val="-1"/>
        </w:rPr>
        <w:t xml:space="preserve"> </w:t>
      </w:r>
      <w:r>
        <w:t>libro,</w:t>
      </w:r>
      <w:r>
        <w:rPr>
          <w:spacing w:val="-1"/>
        </w:rPr>
        <w:t xml:space="preserve"> </w:t>
      </w:r>
      <w:r>
        <w:t>en</w:t>
      </w:r>
      <w:r>
        <w:rPr>
          <w:spacing w:val="-1"/>
        </w:rPr>
        <w:t xml:space="preserve"> </w:t>
      </w:r>
      <w:r>
        <w:t>uno de</w:t>
      </w:r>
      <w:r>
        <w:rPr>
          <w:spacing w:val="-1"/>
        </w:rPr>
        <w:t xml:space="preserve"> </w:t>
      </w:r>
      <w:r>
        <w:t>los dos libros</w:t>
      </w:r>
      <w:r>
        <w:rPr>
          <w:spacing w:val="-1"/>
        </w:rPr>
        <w:t xml:space="preserve"> </w:t>
      </w:r>
      <w:r>
        <w:t>de contabilidad</w:t>
      </w:r>
      <w:r>
        <w:rPr>
          <w:spacing w:val="-2"/>
        </w:rPr>
        <w:t xml:space="preserve"> </w:t>
      </w:r>
      <w:r>
        <w:t>que se incautaron, era la compra de un barco para... me parece que era Mancuso. Esos libros de contabilidad</w:t>
      </w:r>
      <w:r>
        <w:rPr>
          <w:spacing w:val="-15"/>
        </w:rPr>
        <w:t xml:space="preserve"> </w:t>
      </w:r>
      <w:r>
        <w:t>se</w:t>
      </w:r>
      <w:r>
        <w:rPr>
          <w:spacing w:val="-15"/>
        </w:rPr>
        <w:t xml:space="preserve"> </w:t>
      </w:r>
      <w:r>
        <w:t>desaparecieron.</w:t>
      </w:r>
      <w:r>
        <w:rPr>
          <w:spacing w:val="-15"/>
        </w:rPr>
        <w:t xml:space="preserve"> </w:t>
      </w:r>
      <w:r>
        <w:t>Preguntaba</w:t>
      </w:r>
      <w:r>
        <w:rPr>
          <w:spacing w:val="-15"/>
        </w:rPr>
        <w:t xml:space="preserve"> </w:t>
      </w:r>
      <w:r>
        <w:t>por</w:t>
      </w:r>
      <w:r>
        <w:rPr>
          <w:spacing w:val="-15"/>
        </w:rPr>
        <w:t xml:space="preserve"> </w:t>
      </w:r>
      <w:r>
        <w:t>las</w:t>
      </w:r>
      <w:r>
        <w:rPr>
          <w:spacing w:val="-15"/>
        </w:rPr>
        <w:t xml:space="preserve"> </w:t>
      </w:r>
      <w:r>
        <w:t>relaciones</w:t>
      </w:r>
      <w:r>
        <w:rPr>
          <w:spacing w:val="-15"/>
        </w:rPr>
        <w:t xml:space="preserve"> </w:t>
      </w:r>
      <w:r>
        <w:t>de</w:t>
      </w:r>
      <w:r>
        <w:rPr>
          <w:spacing w:val="-15"/>
        </w:rPr>
        <w:t xml:space="preserve"> </w:t>
      </w:r>
      <w:r>
        <w:t>las</w:t>
      </w:r>
      <w:r>
        <w:rPr>
          <w:spacing w:val="-15"/>
        </w:rPr>
        <w:t xml:space="preserve"> </w:t>
      </w:r>
      <w:r>
        <w:t>estructuras</w:t>
      </w:r>
      <w:r>
        <w:rPr>
          <w:spacing w:val="-15"/>
        </w:rPr>
        <w:t xml:space="preserve"> </w:t>
      </w:r>
      <w:r>
        <w:t>paramilitares, dónde</w:t>
      </w:r>
      <w:r>
        <w:rPr>
          <w:spacing w:val="-13"/>
        </w:rPr>
        <w:t xml:space="preserve"> </w:t>
      </w:r>
      <w:r>
        <w:t>está.</w:t>
      </w:r>
      <w:r>
        <w:rPr>
          <w:spacing w:val="-14"/>
        </w:rPr>
        <w:t xml:space="preserve"> </w:t>
      </w:r>
      <w:r>
        <w:t>Porque</w:t>
      </w:r>
      <w:r>
        <w:rPr>
          <w:spacing w:val="-13"/>
        </w:rPr>
        <w:t xml:space="preserve"> </w:t>
      </w:r>
      <w:r>
        <w:t>había</w:t>
      </w:r>
      <w:r>
        <w:rPr>
          <w:spacing w:val="-13"/>
        </w:rPr>
        <w:t xml:space="preserve"> </w:t>
      </w:r>
      <w:r>
        <w:t>también</w:t>
      </w:r>
      <w:r>
        <w:rPr>
          <w:spacing w:val="-13"/>
        </w:rPr>
        <w:t xml:space="preserve"> </w:t>
      </w:r>
      <w:r>
        <w:t>en</w:t>
      </w:r>
      <w:r>
        <w:rPr>
          <w:spacing w:val="-14"/>
        </w:rPr>
        <w:t xml:space="preserve"> </w:t>
      </w:r>
      <w:r>
        <w:t>físico...</w:t>
      </w:r>
      <w:r>
        <w:rPr>
          <w:spacing w:val="-13"/>
        </w:rPr>
        <w:t xml:space="preserve"> </w:t>
      </w:r>
      <w:r>
        <w:t>No,</w:t>
      </w:r>
      <w:r>
        <w:rPr>
          <w:spacing w:val="-13"/>
        </w:rPr>
        <w:t xml:space="preserve"> </w:t>
      </w:r>
      <w:r>
        <w:t>no</w:t>
      </w:r>
      <w:r>
        <w:rPr>
          <w:spacing w:val="-13"/>
        </w:rPr>
        <w:t xml:space="preserve"> </w:t>
      </w:r>
      <w:r>
        <w:t>llegó</w:t>
      </w:r>
      <w:r>
        <w:rPr>
          <w:spacing w:val="-13"/>
        </w:rPr>
        <w:t xml:space="preserve"> </w:t>
      </w:r>
      <w:r>
        <w:t>a</w:t>
      </w:r>
      <w:r>
        <w:rPr>
          <w:spacing w:val="-13"/>
        </w:rPr>
        <w:t xml:space="preserve"> </w:t>
      </w:r>
      <w:r>
        <w:t>Medellín.</w:t>
      </w:r>
      <w:r>
        <w:rPr>
          <w:spacing w:val="-13"/>
        </w:rPr>
        <w:t xml:space="preserve"> </w:t>
      </w:r>
      <w:r>
        <w:t>Es</w:t>
      </w:r>
      <w:r>
        <w:rPr>
          <w:spacing w:val="-13"/>
        </w:rPr>
        <w:t xml:space="preserve"> </w:t>
      </w:r>
      <w:r>
        <w:t>decir,</w:t>
      </w:r>
      <w:r>
        <w:rPr>
          <w:spacing w:val="-13"/>
        </w:rPr>
        <w:t xml:space="preserve"> </w:t>
      </w:r>
      <w:r>
        <w:t>un</w:t>
      </w:r>
      <w:r>
        <w:rPr>
          <w:spacing w:val="-13"/>
        </w:rPr>
        <w:t xml:space="preserve"> </w:t>
      </w:r>
      <w:r>
        <w:t>expediente realmente mutilado»</w:t>
      </w:r>
      <w:r w:rsidR="00431771">
        <w:rPr>
          <w:rStyle w:val="Refdenotaalpie"/>
        </w:rPr>
        <w:footnoteReference w:id="488"/>
      </w:r>
      <w:r>
        <w:t>.</w:t>
      </w:r>
    </w:p>
    <w:p w:rsidR="003804AC" w:rsidRDefault="00AF18A5" w:rsidP="00431771">
      <w:r>
        <w:t>En síntesis, la falta de reconocimiento estatal y legal del fenómeno paramilitar, los múltiples obstáculos y límites que se han impuesto a la justicia y la omisión e inacción en momentos</w:t>
      </w:r>
      <w:r>
        <w:rPr>
          <w:spacing w:val="-3"/>
        </w:rPr>
        <w:t xml:space="preserve"> </w:t>
      </w:r>
      <w:r>
        <w:t>en</w:t>
      </w:r>
      <w:r>
        <w:rPr>
          <w:spacing w:val="-3"/>
        </w:rPr>
        <w:t xml:space="preserve"> </w:t>
      </w:r>
      <w:r>
        <w:t>los</w:t>
      </w:r>
      <w:r>
        <w:rPr>
          <w:spacing w:val="-3"/>
        </w:rPr>
        <w:t xml:space="preserve"> </w:t>
      </w:r>
      <w:r>
        <w:t>que</w:t>
      </w:r>
      <w:r>
        <w:rPr>
          <w:spacing w:val="-3"/>
        </w:rPr>
        <w:t xml:space="preserve"> </w:t>
      </w:r>
      <w:r>
        <w:t>se</w:t>
      </w:r>
      <w:r>
        <w:rPr>
          <w:spacing w:val="-6"/>
        </w:rPr>
        <w:t xml:space="preserve"> </w:t>
      </w:r>
      <w:r>
        <w:t>habría</w:t>
      </w:r>
      <w:r>
        <w:rPr>
          <w:spacing w:val="-4"/>
        </w:rPr>
        <w:t xml:space="preserve"> </w:t>
      </w:r>
      <w:r>
        <w:t>podido</w:t>
      </w:r>
      <w:r>
        <w:rPr>
          <w:spacing w:val="-3"/>
        </w:rPr>
        <w:t xml:space="preserve"> </w:t>
      </w:r>
      <w:r>
        <w:t>avanzar</w:t>
      </w:r>
      <w:r>
        <w:rPr>
          <w:spacing w:val="-3"/>
        </w:rPr>
        <w:t xml:space="preserve"> </w:t>
      </w:r>
      <w:r>
        <w:t>de</w:t>
      </w:r>
      <w:r>
        <w:rPr>
          <w:spacing w:val="-4"/>
        </w:rPr>
        <w:t xml:space="preserve"> </w:t>
      </w:r>
      <w:r>
        <w:t>manera</w:t>
      </w:r>
      <w:r>
        <w:rPr>
          <w:spacing w:val="-3"/>
        </w:rPr>
        <w:t xml:space="preserve"> </w:t>
      </w:r>
      <w:r>
        <w:t>definitiva</w:t>
      </w:r>
      <w:r>
        <w:rPr>
          <w:spacing w:val="-3"/>
        </w:rPr>
        <w:t xml:space="preserve"> </w:t>
      </w:r>
      <w:r>
        <w:t>en</w:t>
      </w:r>
      <w:r>
        <w:rPr>
          <w:spacing w:val="-5"/>
        </w:rPr>
        <w:t xml:space="preserve"> </w:t>
      </w:r>
      <w:r>
        <w:t>el</w:t>
      </w:r>
      <w:r>
        <w:rPr>
          <w:spacing w:val="-5"/>
        </w:rPr>
        <w:t xml:space="preserve"> </w:t>
      </w:r>
      <w:r>
        <w:t xml:space="preserve">desmantelamiento del paramilitarismo han derivado en una alta impunidad frente a las violaciones de los derechos humanos e infracciones al DIH asociadas al </w:t>
      </w:r>
      <w:r>
        <w:lastRenderedPageBreak/>
        <w:t>paramilitarismo y, de fondo, en la persistencia</w:t>
      </w:r>
      <w:r>
        <w:rPr>
          <w:spacing w:val="-15"/>
        </w:rPr>
        <w:t xml:space="preserve"> </w:t>
      </w:r>
      <w:r>
        <w:t>de</w:t>
      </w:r>
      <w:r>
        <w:rPr>
          <w:spacing w:val="-15"/>
        </w:rPr>
        <w:t xml:space="preserve"> </w:t>
      </w:r>
      <w:r>
        <w:t>esta</w:t>
      </w:r>
      <w:r>
        <w:rPr>
          <w:spacing w:val="-15"/>
        </w:rPr>
        <w:t xml:space="preserve"> </w:t>
      </w:r>
      <w:r>
        <w:t>dinámica</w:t>
      </w:r>
      <w:r>
        <w:rPr>
          <w:spacing w:val="-15"/>
        </w:rPr>
        <w:t xml:space="preserve"> </w:t>
      </w:r>
      <w:r>
        <w:t>que</w:t>
      </w:r>
      <w:r>
        <w:rPr>
          <w:spacing w:val="-15"/>
        </w:rPr>
        <w:t xml:space="preserve"> </w:t>
      </w:r>
      <w:r>
        <w:t>se</w:t>
      </w:r>
      <w:r>
        <w:rPr>
          <w:spacing w:val="-15"/>
        </w:rPr>
        <w:t xml:space="preserve"> </w:t>
      </w:r>
      <w:r>
        <w:t>sigue</w:t>
      </w:r>
      <w:r>
        <w:rPr>
          <w:spacing w:val="-15"/>
        </w:rPr>
        <w:t xml:space="preserve"> </w:t>
      </w:r>
      <w:r>
        <w:t>reproduciendo</w:t>
      </w:r>
      <w:r>
        <w:rPr>
          <w:spacing w:val="-15"/>
        </w:rPr>
        <w:t xml:space="preserve"> </w:t>
      </w:r>
      <w:r>
        <w:t>en</w:t>
      </w:r>
      <w:r>
        <w:rPr>
          <w:spacing w:val="-15"/>
        </w:rPr>
        <w:t xml:space="preserve"> </w:t>
      </w:r>
      <w:r>
        <w:t>el</w:t>
      </w:r>
      <w:r>
        <w:rPr>
          <w:spacing w:val="-15"/>
        </w:rPr>
        <w:t xml:space="preserve"> </w:t>
      </w:r>
      <w:r>
        <w:t>país,</w:t>
      </w:r>
      <w:r>
        <w:rPr>
          <w:spacing w:val="-15"/>
        </w:rPr>
        <w:t xml:space="preserve"> </w:t>
      </w:r>
      <w:r>
        <w:t>con</w:t>
      </w:r>
      <w:r>
        <w:rPr>
          <w:spacing w:val="-15"/>
        </w:rPr>
        <w:t xml:space="preserve"> </w:t>
      </w:r>
      <w:r>
        <w:t>graves</w:t>
      </w:r>
      <w:r>
        <w:rPr>
          <w:spacing w:val="-15"/>
        </w:rPr>
        <w:t xml:space="preserve"> </w:t>
      </w:r>
      <w:r>
        <w:t>consecuencias humanitarias, sobre el tránsito hacia la paz y sobre la democracia.</w:t>
      </w:r>
    </w:p>
    <w:p w:rsidR="0011361F" w:rsidRDefault="00AF18A5" w:rsidP="004A6EF4">
      <w:pPr>
        <w:pStyle w:val="Ttulo3"/>
        <w:numPr>
          <w:ilvl w:val="1"/>
          <w:numId w:val="16"/>
        </w:numPr>
      </w:pPr>
      <w:bookmarkStart w:id="645" w:name="5.11._¿Por_qué_el_paramilitarismo_persis"/>
      <w:bookmarkStart w:id="646" w:name="_Toc112399602"/>
      <w:bookmarkEnd w:id="645"/>
      <w:r>
        <w:t>¿Por</w:t>
      </w:r>
      <w:r>
        <w:rPr>
          <w:spacing w:val="-2"/>
        </w:rPr>
        <w:t xml:space="preserve"> </w:t>
      </w:r>
      <w:r>
        <w:t>qué</w:t>
      </w:r>
      <w:r>
        <w:rPr>
          <w:spacing w:val="-2"/>
        </w:rPr>
        <w:t xml:space="preserve"> </w:t>
      </w:r>
      <w:r>
        <w:t>el</w:t>
      </w:r>
      <w:r>
        <w:rPr>
          <w:spacing w:val="-2"/>
        </w:rPr>
        <w:t xml:space="preserve"> </w:t>
      </w:r>
      <w:r>
        <w:t>paramilitarismo</w:t>
      </w:r>
      <w:r>
        <w:rPr>
          <w:spacing w:val="-1"/>
        </w:rPr>
        <w:t xml:space="preserve"> </w:t>
      </w:r>
      <w:r>
        <w:rPr>
          <w:spacing w:val="-2"/>
        </w:rPr>
        <w:t>persiste?</w:t>
      </w:r>
      <w:bookmarkEnd w:id="646"/>
    </w:p>
    <w:p w:rsidR="003804AC" w:rsidRDefault="00AF18A5" w:rsidP="009E5CF2">
      <w:r>
        <w:t>Un factor clave de persistencia del paramilitarismo ha sido el negacionismo de su relación con las Fuerzas Armadas y todo un entramado de alianzas con sectores políticos y económicos en Colombia. Sin un reconocimiento estatal y social de la verdad sobre el paramilitarismo, que rompa con esa negación, no es posible la puesta en marcha de los mecanismos institucionales, económicos y políticos eficaces para su desmantelamiento. Sin acciones contundentes al respecto, el paramilitarismo seguirá siendo un factor fundamental de violencia y, por lo tanto, la confianza ciudadana en las instituciones del Estado, principalmente</w:t>
      </w:r>
      <w:r>
        <w:rPr>
          <w:spacing w:val="34"/>
        </w:rPr>
        <w:t xml:space="preserve"> </w:t>
      </w:r>
      <w:r>
        <w:t>en</w:t>
      </w:r>
      <w:r>
        <w:rPr>
          <w:spacing w:val="32"/>
        </w:rPr>
        <w:t xml:space="preserve"> </w:t>
      </w:r>
      <w:r>
        <w:t>las</w:t>
      </w:r>
      <w:r>
        <w:rPr>
          <w:spacing w:val="34"/>
        </w:rPr>
        <w:t xml:space="preserve"> </w:t>
      </w:r>
      <w:r>
        <w:t>encargadas</w:t>
      </w:r>
      <w:r>
        <w:rPr>
          <w:spacing w:val="34"/>
        </w:rPr>
        <w:t xml:space="preserve"> </w:t>
      </w:r>
      <w:r>
        <w:t>de</w:t>
      </w:r>
      <w:r>
        <w:rPr>
          <w:spacing w:val="34"/>
        </w:rPr>
        <w:t xml:space="preserve"> </w:t>
      </w:r>
      <w:r>
        <w:t>impartir</w:t>
      </w:r>
      <w:r>
        <w:rPr>
          <w:spacing w:val="34"/>
        </w:rPr>
        <w:t xml:space="preserve"> </w:t>
      </w:r>
      <w:r>
        <w:t>justicia</w:t>
      </w:r>
      <w:r>
        <w:rPr>
          <w:spacing w:val="34"/>
        </w:rPr>
        <w:t xml:space="preserve"> </w:t>
      </w:r>
      <w:r>
        <w:t>y</w:t>
      </w:r>
      <w:r>
        <w:rPr>
          <w:spacing w:val="34"/>
        </w:rPr>
        <w:t xml:space="preserve"> </w:t>
      </w:r>
      <w:r>
        <w:t>de</w:t>
      </w:r>
      <w:r>
        <w:rPr>
          <w:spacing w:val="34"/>
        </w:rPr>
        <w:t xml:space="preserve"> </w:t>
      </w:r>
      <w:r>
        <w:t>representar</w:t>
      </w:r>
      <w:r>
        <w:rPr>
          <w:spacing w:val="33"/>
        </w:rPr>
        <w:t xml:space="preserve"> </w:t>
      </w:r>
      <w:r>
        <w:t>políticamente</w:t>
      </w:r>
      <w:r>
        <w:rPr>
          <w:spacing w:val="34"/>
        </w:rPr>
        <w:t xml:space="preserve"> </w:t>
      </w:r>
      <w:r>
        <w:t>a</w:t>
      </w:r>
      <w:r>
        <w:rPr>
          <w:spacing w:val="34"/>
        </w:rPr>
        <w:t xml:space="preserve"> </w:t>
      </w:r>
      <w:r>
        <w:rPr>
          <w:spacing w:val="-5"/>
        </w:rPr>
        <w:t>la</w:t>
      </w:r>
      <w:bookmarkStart w:id="647" w:name="_bookmark544"/>
      <w:bookmarkStart w:id="648" w:name="_bookmark545"/>
      <w:bookmarkEnd w:id="647"/>
      <w:bookmarkEnd w:id="648"/>
      <w:r w:rsidR="009E5CF2">
        <w:rPr>
          <w:spacing w:val="-5"/>
        </w:rPr>
        <w:t xml:space="preserve"> </w:t>
      </w:r>
      <w:r>
        <w:t>población,</w:t>
      </w:r>
      <w:r>
        <w:rPr>
          <w:spacing w:val="-5"/>
        </w:rPr>
        <w:t xml:space="preserve"> </w:t>
      </w:r>
      <w:r>
        <w:t>estará</w:t>
      </w:r>
      <w:r>
        <w:rPr>
          <w:spacing w:val="-5"/>
        </w:rPr>
        <w:t xml:space="preserve"> </w:t>
      </w:r>
      <w:r>
        <w:t>socavada.</w:t>
      </w:r>
      <w:r>
        <w:rPr>
          <w:spacing w:val="-4"/>
        </w:rPr>
        <w:t xml:space="preserve"> </w:t>
      </w:r>
      <w:r>
        <w:t>Igualmente,</w:t>
      </w:r>
      <w:r>
        <w:rPr>
          <w:spacing w:val="-4"/>
        </w:rPr>
        <w:t xml:space="preserve"> </w:t>
      </w:r>
      <w:r>
        <w:t>es</w:t>
      </w:r>
      <w:r>
        <w:rPr>
          <w:spacing w:val="-5"/>
        </w:rPr>
        <w:t xml:space="preserve"> </w:t>
      </w:r>
      <w:r>
        <w:t>una</w:t>
      </w:r>
      <w:r>
        <w:rPr>
          <w:spacing w:val="-5"/>
        </w:rPr>
        <w:t xml:space="preserve"> </w:t>
      </w:r>
      <w:r>
        <w:t>deuda</w:t>
      </w:r>
      <w:r>
        <w:rPr>
          <w:spacing w:val="-3"/>
        </w:rPr>
        <w:t xml:space="preserve"> </w:t>
      </w:r>
      <w:r>
        <w:t>con</w:t>
      </w:r>
      <w:r>
        <w:rPr>
          <w:spacing w:val="-5"/>
        </w:rPr>
        <w:t xml:space="preserve"> </w:t>
      </w:r>
      <w:r>
        <w:t>las</w:t>
      </w:r>
      <w:r>
        <w:rPr>
          <w:spacing w:val="-5"/>
        </w:rPr>
        <w:t xml:space="preserve"> </w:t>
      </w:r>
      <w:r>
        <w:t>víctimas</w:t>
      </w:r>
      <w:r>
        <w:rPr>
          <w:spacing w:val="-3"/>
        </w:rPr>
        <w:t xml:space="preserve"> </w:t>
      </w:r>
      <w:r>
        <w:t>a</w:t>
      </w:r>
      <w:r>
        <w:rPr>
          <w:spacing w:val="-5"/>
        </w:rPr>
        <w:t xml:space="preserve"> </w:t>
      </w:r>
      <w:r>
        <w:t>quienes</w:t>
      </w:r>
      <w:r>
        <w:rPr>
          <w:spacing w:val="-5"/>
        </w:rPr>
        <w:t xml:space="preserve"> </w:t>
      </w:r>
      <w:r>
        <w:t>no</w:t>
      </w:r>
      <w:r>
        <w:rPr>
          <w:spacing w:val="-4"/>
        </w:rPr>
        <w:t xml:space="preserve"> </w:t>
      </w:r>
      <w:r>
        <w:t>se</w:t>
      </w:r>
      <w:r>
        <w:rPr>
          <w:spacing w:val="-6"/>
        </w:rPr>
        <w:t xml:space="preserve"> </w:t>
      </w:r>
      <w:r>
        <w:t>les</w:t>
      </w:r>
      <w:r>
        <w:rPr>
          <w:spacing w:val="-3"/>
        </w:rPr>
        <w:t xml:space="preserve"> </w:t>
      </w:r>
      <w:r>
        <w:t>ha ofrecido un reconocimiento de esta verdad.</w:t>
      </w:r>
    </w:p>
    <w:p w:rsidR="003804AC" w:rsidRDefault="00AF18A5" w:rsidP="009E5CF2">
      <w:r>
        <w:t>Este proceso debe identificar y crear acciones respecto a los profundos entramados de alianzas paramilitares que han persistido y que se han adaptado a los intentos de transitar a la paz; en varias ocasiones han bloqueado los esfuerzos de Colombia por llevar a cabo procesos de paz, con las crisis y reconfiguraciones de las estructuras armadas.</w:t>
      </w:r>
    </w:p>
    <w:p w:rsidR="003804AC" w:rsidRDefault="00AF18A5" w:rsidP="009E5CF2">
      <w:r>
        <w:t>Los siguientes son factores que –sumados al manto de negación oficial y pública y a la persistente</w:t>
      </w:r>
      <w:r>
        <w:rPr>
          <w:spacing w:val="-7"/>
        </w:rPr>
        <w:t xml:space="preserve"> </w:t>
      </w:r>
      <w:r>
        <w:t>impunidad–</w:t>
      </w:r>
      <w:r>
        <w:rPr>
          <w:spacing w:val="-8"/>
        </w:rPr>
        <w:t xml:space="preserve"> </w:t>
      </w:r>
      <w:r>
        <w:t>dan</w:t>
      </w:r>
      <w:r>
        <w:rPr>
          <w:spacing w:val="-7"/>
        </w:rPr>
        <w:t xml:space="preserve"> </w:t>
      </w:r>
      <w:r>
        <w:t>continuidad</w:t>
      </w:r>
      <w:r>
        <w:rPr>
          <w:spacing w:val="-7"/>
        </w:rPr>
        <w:t xml:space="preserve"> </w:t>
      </w:r>
      <w:r>
        <w:t>hoy</w:t>
      </w:r>
      <w:r>
        <w:rPr>
          <w:spacing w:val="-7"/>
        </w:rPr>
        <w:t xml:space="preserve"> </w:t>
      </w:r>
      <w:r>
        <w:t>al</w:t>
      </w:r>
      <w:r>
        <w:rPr>
          <w:spacing w:val="-7"/>
        </w:rPr>
        <w:t xml:space="preserve"> </w:t>
      </w:r>
      <w:r>
        <w:t>paramilitarismo</w:t>
      </w:r>
      <w:r>
        <w:rPr>
          <w:spacing w:val="-7"/>
        </w:rPr>
        <w:t xml:space="preserve"> </w:t>
      </w:r>
      <w:r>
        <w:t>y</w:t>
      </w:r>
      <w:r>
        <w:rPr>
          <w:spacing w:val="-7"/>
        </w:rPr>
        <w:t xml:space="preserve"> </w:t>
      </w:r>
      <w:r>
        <w:t>muestran</w:t>
      </w:r>
      <w:r>
        <w:rPr>
          <w:spacing w:val="-7"/>
        </w:rPr>
        <w:t xml:space="preserve"> </w:t>
      </w:r>
      <w:r>
        <w:t>que</w:t>
      </w:r>
      <w:r>
        <w:rPr>
          <w:spacing w:val="-7"/>
        </w:rPr>
        <w:t xml:space="preserve"> </w:t>
      </w:r>
      <w:r>
        <w:t>este</w:t>
      </w:r>
      <w:r>
        <w:rPr>
          <w:spacing w:val="-8"/>
        </w:rPr>
        <w:t xml:space="preserve"> </w:t>
      </w:r>
      <w:r>
        <w:t>no</w:t>
      </w:r>
      <w:r>
        <w:rPr>
          <w:spacing w:val="-7"/>
        </w:rPr>
        <w:t xml:space="preserve"> </w:t>
      </w:r>
      <w:r>
        <w:t>es</w:t>
      </w:r>
      <w:r>
        <w:rPr>
          <w:spacing w:val="-7"/>
        </w:rPr>
        <w:t xml:space="preserve"> </w:t>
      </w:r>
      <w:r>
        <w:t>un fenómeno del pasado, sino que está presente de nuevas maneras y constituye un obstáculo permanente para un proyecto de paz grande en Colombia:</w:t>
      </w:r>
    </w:p>
    <w:p w:rsidR="003804AC" w:rsidRDefault="00AF18A5" w:rsidP="004A6EF4">
      <w:pPr>
        <w:pStyle w:val="Prrafodelista"/>
        <w:numPr>
          <w:ilvl w:val="0"/>
          <w:numId w:val="20"/>
        </w:numPr>
      </w:pPr>
      <w:r>
        <w:lastRenderedPageBreak/>
        <w:t>Los</w:t>
      </w:r>
      <w:r w:rsidRPr="009E5CF2">
        <w:rPr>
          <w:spacing w:val="-12"/>
        </w:rPr>
        <w:t xml:space="preserve"> </w:t>
      </w:r>
      <w:r>
        <w:t>procesos</w:t>
      </w:r>
      <w:r w:rsidRPr="009E5CF2">
        <w:rPr>
          <w:spacing w:val="-12"/>
        </w:rPr>
        <w:t xml:space="preserve"> </w:t>
      </w:r>
      <w:r>
        <w:t>de</w:t>
      </w:r>
      <w:r w:rsidRPr="009E5CF2">
        <w:rPr>
          <w:spacing w:val="-12"/>
        </w:rPr>
        <w:t xml:space="preserve"> </w:t>
      </w:r>
      <w:r>
        <w:t>desarme</w:t>
      </w:r>
      <w:r w:rsidRPr="009E5CF2">
        <w:rPr>
          <w:spacing w:val="-13"/>
        </w:rPr>
        <w:t xml:space="preserve"> </w:t>
      </w:r>
      <w:r>
        <w:t>de</w:t>
      </w:r>
      <w:r w:rsidRPr="009E5CF2">
        <w:rPr>
          <w:spacing w:val="-12"/>
        </w:rPr>
        <w:t xml:space="preserve"> </w:t>
      </w:r>
      <w:r>
        <w:t>los</w:t>
      </w:r>
      <w:r w:rsidRPr="009E5CF2">
        <w:rPr>
          <w:spacing w:val="-12"/>
        </w:rPr>
        <w:t xml:space="preserve"> </w:t>
      </w:r>
      <w:r>
        <w:t>grupos</w:t>
      </w:r>
      <w:r w:rsidRPr="009E5CF2">
        <w:rPr>
          <w:spacing w:val="-12"/>
        </w:rPr>
        <w:t xml:space="preserve"> </w:t>
      </w:r>
      <w:r>
        <w:t>paramilitares,</w:t>
      </w:r>
      <w:r w:rsidRPr="009E5CF2">
        <w:rPr>
          <w:spacing w:val="-12"/>
        </w:rPr>
        <w:t xml:space="preserve"> </w:t>
      </w:r>
      <w:r>
        <w:t>como</w:t>
      </w:r>
      <w:r w:rsidRPr="009E5CF2">
        <w:rPr>
          <w:spacing w:val="-13"/>
        </w:rPr>
        <w:t xml:space="preserve"> </w:t>
      </w:r>
      <w:r>
        <w:t>el</w:t>
      </w:r>
      <w:r w:rsidRPr="009E5CF2">
        <w:rPr>
          <w:spacing w:val="-13"/>
        </w:rPr>
        <w:t xml:space="preserve"> </w:t>
      </w:r>
      <w:r>
        <w:t>de</w:t>
      </w:r>
      <w:r w:rsidRPr="009E5CF2">
        <w:rPr>
          <w:spacing w:val="-12"/>
        </w:rPr>
        <w:t xml:space="preserve"> </w:t>
      </w:r>
      <w:r>
        <w:t>las</w:t>
      </w:r>
      <w:r w:rsidRPr="009E5CF2">
        <w:rPr>
          <w:spacing w:val="-12"/>
        </w:rPr>
        <w:t xml:space="preserve"> </w:t>
      </w:r>
      <w:r>
        <w:t>AUC,</w:t>
      </w:r>
      <w:r w:rsidRPr="009E5CF2">
        <w:rPr>
          <w:spacing w:val="-12"/>
        </w:rPr>
        <w:t xml:space="preserve"> </w:t>
      </w:r>
      <w:r>
        <w:t>pese</w:t>
      </w:r>
      <w:r w:rsidRPr="009E5CF2">
        <w:rPr>
          <w:spacing w:val="-12"/>
        </w:rPr>
        <w:t xml:space="preserve"> </w:t>
      </w:r>
      <w:r>
        <w:t>a</w:t>
      </w:r>
      <w:r w:rsidRPr="009E5CF2">
        <w:rPr>
          <w:spacing w:val="-13"/>
        </w:rPr>
        <w:t xml:space="preserve"> </w:t>
      </w:r>
      <w:r>
        <w:t>todos sus</w:t>
      </w:r>
      <w:r w:rsidRPr="009E5CF2">
        <w:rPr>
          <w:spacing w:val="-10"/>
        </w:rPr>
        <w:t xml:space="preserve"> </w:t>
      </w:r>
      <w:r>
        <w:t>alcances,</w:t>
      </w:r>
      <w:r w:rsidRPr="009E5CF2">
        <w:rPr>
          <w:spacing w:val="-10"/>
        </w:rPr>
        <w:t xml:space="preserve"> </w:t>
      </w:r>
      <w:r>
        <w:t>no</w:t>
      </w:r>
      <w:r w:rsidRPr="009E5CF2">
        <w:rPr>
          <w:spacing w:val="-10"/>
        </w:rPr>
        <w:t xml:space="preserve"> </w:t>
      </w:r>
      <w:r>
        <w:t>han</w:t>
      </w:r>
      <w:r w:rsidRPr="009E5CF2">
        <w:rPr>
          <w:spacing w:val="-10"/>
        </w:rPr>
        <w:t xml:space="preserve"> </w:t>
      </w:r>
      <w:r>
        <w:t>significado</w:t>
      </w:r>
      <w:r w:rsidRPr="009E5CF2">
        <w:rPr>
          <w:spacing w:val="-10"/>
        </w:rPr>
        <w:t xml:space="preserve"> </w:t>
      </w:r>
      <w:r>
        <w:t>el</w:t>
      </w:r>
      <w:r w:rsidRPr="009E5CF2">
        <w:rPr>
          <w:spacing w:val="-9"/>
        </w:rPr>
        <w:t xml:space="preserve"> </w:t>
      </w:r>
      <w:r>
        <w:t>desmonte</w:t>
      </w:r>
      <w:r w:rsidRPr="009E5CF2">
        <w:rPr>
          <w:spacing w:val="-9"/>
        </w:rPr>
        <w:t xml:space="preserve"> </w:t>
      </w:r>
      <w:r>
        <w:t>de</w:t>
      </w:r>
      <w:r w:rsidRPr="009E5CF2">
        <w:rPr>
          <w:spacing w:val="-9"/>
        </w:rPr>
        <w:t xml:space="preserve"> </w:t>
      </w:r>
      <w:r>
        <w:t>las</w:t>
      </w:r>
      <w:r w:rsidRPr="009E5CF2">
        <w:rPr>
          <w:spacing w:val="-10"/>
        </w:rPr>
        <w:t xml:space="preserve"> </w:t>
      </w:r>
      <w:r>
        <w:t>alianzas</w:t>
      </w:r>
      <w:r w:rsidRPr="009E5CF2">
        <w:rPr>
          <w:spacing w:val="-9"/>
        </w:rPr>
        <w:t xml:space="preserve"> </w:t>
      </w:r>
      <w:r>
        <w:t>dentro</w:t>
      </w:r>
      <w:r w:rsidRPr="009E5CF2">
        <w:rPr>
          <w:spacing w:val="-10"/>
        </w:rPr>
        <w:t xml:space="preserve"> </w:t>
      </w:r>
      <w:r>
        <w:t>las</w:t>
      </w:r>
      <w:r w:rsidRPr="009E5CF2">
        <w:rPr>
          <w:spacing w:val="-9"/>
        </w:rPr>
        <w:t xml:space="preserve"> </w:t>
      </w:r>
      <w:r>
        <w:t>de</w:t>
      </w:r>
      <w:r w:rsidRPr="009E5CF2">
        <w:rPr>
          <w:spacing w:val="-9"/>
        </w:rPr>
        <w:t xml:space="preserve"> </w:t>
      </w:r>
      <w:r>
        <w:t>que</w:t>
      </w:r>
      <w:r w:rsidRPr="009E5CF2">
        <w:rPr>
          <w:spacing w:val="-9"/>
        </w:rPr>
        <w:t xml:space="preserve"> </w:t>
      </w:r>
      <w:r>
        <w:t>operaban las distintas estructuras armadas. Así, actores que fueron centrales en el proyecto paramilitar y tuvieron participación directa no fueron identificados ni investigados, y una parte importante de los entramados regionales sobrevivieron a los procesos de desmovilización</w:t>
      </w:r>
      <w:r w:rsidRPr="009E5CF2">
        <w:rPr>
          <w:spacing w:val="-2"/>
        </w:rPr>
        <w:t xml:space="preserve"> </w:t>
      </w:r>
      <w:r>
        <w:t>de</w:t>
      </w:r>
      <w:r w:rsidRPr="009E5CF2">
        <w:rPr>
          <w:spacing w:val="-3"/>
        </w:rPr>
        <w:t xml:space="preserve"> </w:t>
      </w:r>
      <w:r>
        <w:t>las</w:t>
      </w:r>
      <w:r w:rsidRPr="009E5CF2">
        <w:rPr>
          <w:spacing w:val="-2"/>
        </w:rPr>
        <w:t xml:space="preserve"> </w:t>
      </w:r>
      <w:r>
        <w:t>organizaciones</w:t>
      </w:r>
      <w:r w:rsidR="009E5CF2">
        <w:rPr>
          <w:rStyle w:val="Refdenotaalpie"/>
        </w:rPr>
        <w:footnoteReference w:id="489"/>
      </w:r>
      <w:r>
        <w:t>.</w:t>
      </w:r>
      <w:r w:rsidRPr="009E5CF2">
        <w:rPr>
          <w:spacing w:val="-2"/>
        </w:rPr>
        <w:t xml:space="preserve"> </w:t>
      </w:r>
      <w:r>
        <w:t>Los</w:t>
      </w:r>
      <w:r w:rsidRPr="009E5CF2">
        <w:rPr>
          <w:spacing w:val="-2"/>
        </w:rPr>
        <w:t xml:space="preserve"> </w:t>
      </w:r>
      <w:r>
        <w:t>procesos</w:t>
      </w:r>
      <w:r w:rsidRPr="009E5CF2">
        <w:rPr>
          <w:spacing w:val="-2"/>
        </w:rPr>
        <w:t xml:space="preserve"> </w:t>
      </w:r>
      <w:r>
        <w:t>incompletos</w:t>
      </w:r>
      <w:r w:rsidRPr="009E5CF2">
        <w:rPr>
          <w:spacing w:val="-2"/>
        </w:rPr>
        <w:t xml:space="preserve"> </w:t>
      </w:r>
      <w:r>
        <w:t>de</w:t>
      </w:r>
      <w:r w:rsidRPr="009E5CF2">
        <w:rPr>
          <w:spacing w:val="-3"/>
        </w:rPr>
        <w:t xml:space="preserve"> </w:t>
      </w:r>
      <w:r>
        <w:t>integración</w:t>
      </w:r>
      <w:r w:rsidRPr="009E5CF2">
        <w:rPr>
          <w:spacing w:val="-2"/>
        </w:rPr>
        <w:t xml:space="preserve"> </w:t>
      </w:r>
      <w:r>
        <w:t>de territorios y poblaciones que estuvieron bajo el control paramilitar y la falta de consideración en el proceso de desmovilización, así como de un enfoque centrado no solo en los desmovilizados, sino en las estructuras de estos entramados paramilitares, han</w:t>
      </w:r>
      <w:r w:rsidRPr="009E5CF2">
        <w:rPr>
          <w:spacing w:val="-7"/>
        </w:rPr>
        <w:t xml:space="preserve"> </w:t>
      </w:r>
      <w:r>
        <w:t>implicado</w:t>
      </w:r>
      <w:r w:rsidRPr="009E5CF2">
        <w:rPr>
          <w:spacing w:val="-7"/>
        </w:rPr>
        <w:t xml:space="preserve"> </w:t>
      </w:r>
      <w:r>
        <w:t>su</w:t>
      </w:r>
      <w:r w:rsidRPr="009E5CF2">
        <w:rPr>
          <w:spacing w:val="-7"/>
        </w:rPr>
        <w:t xml:space="preserve"> </w:t>
      </w:r>
      <w:r>
        <w:t>reconfiguración</w:t>
      </w:r>
      <w:r w:rsidRPr="009E5CF2">
        <w:rPr>
          <w:spacing w:val="-7"/>
        </w:rPr>
        <w:t xml:space="preserve"> </w:t>
      </w:r>
      <w:r>
        <w:t>territorial.</w:t>
      </w:r>
      <w:r w:rsidRPr="009E5CF2">
        <w:rPr>
          <w:spacing w:val="-7"/>
        </w:rPr>
        <w:t xml:space="preserve"> </w:t>
      </w:r>
      <w:r>
        <w:t>Así</w:t>
      </w:r>
      <w:r w:rsidRPr="009E5CF2">
        <w:rPr>
          <w:spacing w:val="-8"/>
        </w:rPr>
        <w:t xml:space="preserve"> </w:t>
      </w:r>
      <w:r>
        <w:t>mismo,</w:t>
      </w:r>
      <w:r w:rsidRPr="009E5CF2">
        <w:rPr>
          <w:spacing w:val="-8"/>
        </w:rPr>
        <w:t xml:space="preserve"> </w:t>
      </w:r>
      <w:r>
        <w:t>la</w:t>
      </w:r>
      <w:r w:rsidRPr="009E5CF2">
        <w:rPr>
          <w:spacing w:val="-8"/>
        </w:rPr>
        <w:t xml:space="preserve"> </w:t>
      </w:r>
      <w:r>
        <w:t>falta</w:t>
      </w:r>
      <w:r w:rsidRPr="009E5CF2">
        <w:rPr>
          <w:spacing w:val="-7"/>
        </w:rPr>
        <w:t xml:space="preserve"> </w:t>
      </w:r>
      <w:r>
        <w:t>de</w:t>
      </w:r>
      <w:r w:rsidRPr="009E5CF2">
        <w:rPr>
          <w:spacing w:val="-8"/>
        </w:rPr>
        <w:t xml:space="preserve"> </w:t>
      </w:r>
      <w:r>
        <w:t>implementación</w:t>
      </w:r>
      <w:r w:rsidRPr="009E5CF2">
        <w:rPr>
          <w:spacing w:val="-7"/>
        </w:rPr>
        <w:t xml:space="preserve"> </w:t>
      </w:r>
      <w:r>
        <w:t>de las políticas públicas con enfoque territorial que se encuentran en los acuerdos de paz obstaculiza los intentos del mismo Estado por detener las acciones de los grupos armados, entre ellos los sucesores del paramilitarismo.</w:t>
      </w:r>
    </w:p>
    <w:p w:rsidR="003804AC" w:rsidRDefault="00AF18A5" w:rsidP="004A6EF4">
      <w:pPr>
        <w:pStyle w:val="Prrafodelista"/>
        <w:numPr>
          <w:ilvl w:val="0"/>
          <w:numId w:val="20"/>
        </w:numPr>
      </w:pPr>
      <w:r>
        <w:t>Los orígenes, la consolidación y la pervivencia del entramado paramilitar en diversas regiones</w:t>
      </w:r>
      <w:r w:rsidRPr="009E5CF2">
        <w:rPr>
          <w:spacing w:val="-10"/>
        </w:rPr>
        <w:t xml:space="preserve"> </w:t>
      </w:r>
      <w:r>
        <w:t>no</w:t>
      </w:r>
      <w:r w:rsidRPr="009E5CF2">
        <w:rPr>
          <w:spacing w:val="-11"/>
        </w:rPr>
        <w:t xml:space="preserve"> </w:t>
      </w:r>
      <w:r>
        <w:t>pueden</w:t>
      </w:r>
      <w:r w:rsidRPr="009E5CF2">
        <w:rPr>
          <w:spacing w:val="-9"/>
        </w:rPr>
        <w:t xml:space="preserve"> </w:t>
      </w:r>
      <w:r>
        <w:t>explicarse</w:t>
      </w:r>
      <w:r w:rsidRPr="009E5CF2">
        <w:rPr>
          <w:spacing w:val="-9"/>
        </w:rPr>
        <w:t xml:space="preserve"> </w:t>
      </w:r>
      <w:r>
        <w:t>por</w:t>
      </w:r>
      <w:r w:rsidRPr="009E5CF2">
        <w:rPr>
          <w:spacing w:val="-9"/>
        </w:rPr>
        <w:t xml:space="preserve"> </w:t>
      </w:r>
      <w:r>
        <w:t>fuera</w:t>
      </w:r>
      <w:r w:rsidRPr="009E5CF2">
        <w:rPr>
          <w:spacing w:val="-9"/>
        </w:rPr>
        <w:t xml:space="preserve"> </w:t>
      </w:r>
      <w:r>
        <w:t>de</w:t>
      </w:r>
      <w:r w:rsidRPr="009E5CF2">
        <w:rPr>
          <w:spacing w:val="-9"/>
        </w:rPr>
        <w:t xml:space="preserve"> </w:t>
      </w:r>
      <w:r>
        <w:t>los</w:t>
      </w:r>
      <w:r w:rsidRPr="009E5CF2">
        <w:rPr>
          <w:spacing w:val="-9"/>
        </w:rPr>
        <w:t xml:space="preserve"> </w:t>
      </w:r>
      <w:r>
        <w:t>procesos</w:t>
      </w:r>
      <w:r w:rsidRPr="009E5CF2">
        <w:rPr>
          <w:spacing w:val="-9"/>
        </w:rPr>
        <w:t xml:space="preserve"> </w:t>
      </w:r>
      <w:r>
        <w:t>de</w:t>
      </w:r>
      <w:r w:rsidRPr="009E5CF2">
        <w:rPr>
          <w:spacing w:val="-9"/>
        </w:rPr>
        <w:t xml:space="preserve"> </w:t>
      </w:r>
      <w:r>
        <w:t>construcción</w:t>
      </w:r>
      <w:r w:rsidRPr="009E5CF2">
        <w:rPr>
          <w:spacing w:val="-9"/>
        </w:rPr>
        <w:t xml:space="preserve"> </w:t>
      </w:r>
      <w:r>
        <w:t>estatal,</w:t>
      </w:r>
      <w:r w:rsidRPr="009E5CF2">
        <w:rPr>
          <w:spacing w:val="-11"/>
        </w:rPr>
        <w:t xml:space="preserve"> </w:t>
      </w:r>
      <w:r>
        <w:t>social,</w:t>
      </w:r>
      <w:bookmarkStart w:id="649" w:name="_bookmark546"/>
      <w:bookmarkEnd w:id="649"/>
      <w:r w:rsidR="009E5CF2">
        <w:t xml:space="preserve"> </w:t>
      </w:r>
      <w:r>
        <w:t>económica</w:t>
      </w:r>
      <w:r w:rsidRPr="009E5CF2">
        <w:rPr>
          <w:spacing w:val="-6"/>
        </w:rPr>
        <w:t xml:space="preserve"> </w:t>
      </w:r>
      <w:r>
        <w:t>y</w:t>
      </w:r>
      <w:r w:rsidRPr="009E5CF2">
        <w:rPr>
          <w:spacing w:val="-7"/>
        </w:rPr>
        <w:t xml:space="preserve"> </w:t>
      </w:r>
      <w:r>
        <w:t>cultural</w:t>
      </w:r>
      <w:r w:rsidRPr="009E5CF2">
        <w:rPr>
          <w:spacing w:val="-7"/>
        </w:rPr>
        <w:t xml:space="preserve"> </w:t>
      </w:r>
      <w:r>
        <w:t>del</w:t>
      </w:r>
      <w:r w:rsidRPr="009E5CF2">
        <w:rPr>
          <w:spacing w:val="-8"/>
        </w:rPr>
        <w:t xml:space="preserve"> </w:t>
      </w:r>
      <w:r>
        <w:t>país.</w:t>
      </w:r>
      <w:r w:rsidRPr="009E5CF2">
        <w:rPr>
          <w:spacing w:val="-6"/>
        </w:rPr>
        <w:t xml:space="preserve"> </w:t>
      </w:r>
      <w:r>
        <w:t>Estas</w:t>
      </w:r>
      <w:r w:rsidRPr="009E5CF2">
        <w:rPr>
          <w:spacing w:val="-6"/>
        </w:rPr>
        <w:t xml:space="preserve"> </w:t>
      </w:r>
      <w:r>
        <w:t>historias</w:t>
      </w:r>
      <w:r w:rsidRPr="009E5CF2">
        <w:rPr>
          <w:spacing w:val="-7"/>
        </w:rPr>
        <w:t xml:space="preserve"> </w:t>
      </w:r>
      <w:r>
        <w:t>regionales</w:t>
      </w:r>
      <w:r w:rsidRPr="009E5CF2">
        <w:rPr>
          <w:spacing w:val="-6"/>
        </w:rPr>
        <w:t xml:space="preserve"> </w:t>
      </w:r>
      <w:r>
        <w:t>no</w:t>
      </w:r>
      <w:r w:rsidRPr="009E5CF2">
        <w:rPr>
          <w:spacing w:val="-7"/>
        </w:rPr>
        <w:t xml:space="preserve"> </w:t>
      </w:r>
      <w:r>
        <w:t>son</w:t>
      </w:r>
      <w:r w:rsidRPr="009E5CF2">
        <w:rPr>
          <w:spacing w:val="-6"/>
        </w:rPr>
        <w:t xml:space="preserve"> </w:t>
      </w:r>
      <w:r>
        <w:t>un</w:t>
      </w:r>
      <w:r w:rsidRPr="009E5CF2">
        <w:rPr>
          <w:spacing w:val="-6"/>
        </w:rPr>
        <w:t xml:space="preserve"> </w:t>
      </w:r>
      <w:r>
        <w:t>simple</w:t>
      </w:r>
      <w:r w:rsidRPr="009E5CF2">
        <w:rPr>
          <w:spacing w:val="-8"/>
        </w:rPr>
        <w:t xml:space="preserve"> </w:t>
      </w:r>
      <w:r>
        <w:t>antecedente, sino contextos que favorecieron el surgimiento de órdenes armados simultáneos y aliados</w:t>
      </w:r>
      <w:r w:rsidRPr="009E5CF2">
        <w:rPr>
          <w:spacing w:val="-4"/>
        </w:rPr>
        <w:t xml:space="preserve"> </w:t>
      </w:r>
      <w:r>
        <w:t>al</w:t>
      </w:r>
      <w:r w:rsidRPr="009E5CF2">
        <w:rPr>
          <w:spacing w:val="-3"/>
        </w:rPr>
        <w:t xml:space="preserve"> </w:t>
      </w:r>
      <w:r>
        <w:t>Estado,</w:t>
      </w:r>
      <w:r w:rsidRPr="009E5CF2">
        <w:rPr>
          <w:spacing w:val="-4"/>
        </w:rPr>
        <w:t xml:space="preserve"> </w:t>
      </w:r>
      <w:r>
        <w:t>entre</w:t>
      </w:r>
      <w:r w:rsidRPr="009E5CF2">
        <w:rPr>
          <w:spacing w:val="-3"/>
        </w:rPr>
        <w:t xml:space="preserve"> </w:t>
      </w:r>
      <w:r>
        <w:t>estos</w:t>
      </w:r>
      <w:r w:rsidRPr="009E5CF2">
        <w:rPr>
          <w:spacing w:val="-4"/>
        </w:rPr>
        <w:t xml:space="preserve"> </w:t>
      </w:r>
      <w:r>
        <w:t>los</w:t>
      </w:r>
      <w:r w:rsidRPr="009E5CF2">
        <w:rPr>
          <w:spacing w:val="-4"/>
        </w:rPr>
        <w:t xml:space="preserve"> </w:t>
      </w:r>
      <w:r>
        <w:t>órdenes</w:t>
      </w:r>
      <w:r w:rsidRPr="009E5CF2">
        <w:rPr>
          <w:spacing w:val="-3"/>
        </w:rPr>
        <w:t xml:space="preserve"> </w:t>
      </w:r>
      <w:r>
        <w:t>paramilitares</w:t>
      </w:r>
      <w:r w:rsidR="00761CF8">
        <w:rPr>
          <w:rStyle w:val="Refdenotaalpie"/>
        </w:rPr>
        <w:footnoteReference w:id="490"/>
      </w:r>
      <w:r>
        <w:t>,</w:t>
      </w:r>
      <w:r w:rsidRPr="009E5CF2">
        <w:rPr>
          <w:spacing w:val="-4"/>
        </w:rPr>
        <w:t xml:space="preserve"> </w:t>
      </w:r>
      <w:r>
        <w:t>que</w:t>
      </w:r>
      <w:r w:rsidRPr="009E5CF2">
        <w:rPr>
          <w:spacing w:val="-3"/>
        </w:rPr>
        <w:t xml:space="preserve"> </w:t>
      </w:r>
      <w:r>
        <w:t>establecieron</w:t>
      </w:r>
      <w:r w:rsidRPr="009E5CF2">
        <w:rPr>
          <w:spacing w:val="-4"/>
        </w:rPr>
        <w:t xml:space="preserve"> </w:t>
      </w:r>
      <w:r>
        <w:t>formas</w:t>
      </w:r>
      <w:r w:rsidRPr="009E5CF2">
        <w:rPr>
          <w:spacing w:val="-3"/>
        </w:rPr>
        <w:t xml:space="preserve"> </w:t>
      </w:r>
      <w:r>
        <w:t xml:space="preserve">de control y regulación </w:t>
      </w:r>
      <w:r>
        <w:lastRenderedPageBreak/>
        <w:t>sobre la población y el territorio a través de la vía violenta. La noción</w:t>
      </w:r>
      <w:r w:rsidRPr="009E5CF2">
        <w:rPr>
          <w:spacing w:val="-2"/>
        </w:rPr>
        <w:t xml:space="preserve"> </w:t>
      </w:r>
      <w:r>
        <w:t>de</w:t>
      </w:r>
      <w:r w:rsidRPr="009E5CF2">
        <w:rPr>
          <w:spacing w:val="-2"/>
        </w:rPr>
        <w:t xml:space="preserve"> </w:t>
      </w:r>
      <w:r>
        <w:t>delegación</w:t>
      </w:r>
      <w:r w:rsidRPr="009E5CF2">
        <w:rPr>
          <w:spacing w:val="-2"/>
        </w:rPr>
        <w:t xml:space="preserve"> </w:t>
      </w:r>
      <w:r>
        <w:t>de</w:t>
      </w:r>
      <w:r w:rsidRPr="009E5CF2">
        <w:rPr>
          <w:spacing w:val="-2"/>
        </w:rPr>
        <w:t xml:space="preserve"> </w:t>
      </w:r>
      <w:r>
        <w:t>la</w:t>
      </w:r>
      <w:r w:rsidRPr="009E5CF2">
        <w:rPr>
          <w:spacing w:val="-2"/>
        </w:rPr>
        <w:t xml:space="preserve"> </w:t>
      </w:r>
      <w:r>
        <w:t>seguridad</w:t>
      </w:r>
      <w:r w:rsidRPr="009E5CF2">
        <w:rPr>
          <w:spacing w:val="-4"/>
        </w:rPr>
        <w:t xml:space="preserve"> </w:t>
      </w:r>
      <w:r>
        <w:t>a</w:t>
      </w:r>
      <w:r w:rsidRPr="009E5CF2">
        <w:rPr>
          <w:spacing w:val="-2"/>
        </w:rPr>
        <w:t xml:space="preserve"> </w:t>
      </w:r>
      <w:r>
        <w:t>estos</w:t>
      </w:r>
      <w:r w:rsidRPr="009E5CF2">
        <w:rPr>
          <w:spacing w:val="-2"/>
        </w:rPr>
        <w:t xml:space="preserve"> </w:t>
      </w:r>
      <w:r>
        <w:t>grupos</w:t>
      </w:r>
      <w:r w:rsidRPr="009E5CF2">
        <w:rPr>
          <w:spacing w:val="-2"/>
        </w:rPr>
        <w:t xml:space="preserve"> </w:t>
      </w:r>
      <w:r>
        <w:t>en</w:t>
      </w:r>
      <w:r w:rsidRPr="009E5CF2">
        <w:rPr>
          <w:spacing w:val="-2"/>
        </w:rPr>
        <w:t xml:space="preserve"> </w:t>
      </w:r>
      <w:r>
        <w:t>diferentes</w:t>
      </w:r>
      <w:r w:rsidRPr="009E5CF2">
        <w:rPr>
          <w:spacing w:val="-2"/>
        </w:rPr>
        <w:t xml:space="preserve"> </w:t>
      </w:r>
      <w:r>
        <w:t>momentos</w:t>
      </w:r>
      <w:r w:rsidRPr="009E5CF2">
        <w:rPr>
          <w:spacing w:val="-2"/>
        </w:rPr>
        <w:t xml:space="preserve"> </w:t>
      </w:r>
      <w:r>
        <w:t>ha</w:t>
      </w:r>
      <w:r w:rsidRPr="009E5CF2">
        <w:rPr>
          <w:spacing w:val="-2"/>
        </w:rPr>
        <w:t xml:space="preserve"> </w:t>
      </w:r>
      <w:r>
        <w:t>ido</w:t>
      </w:r>
      <w:r w:rsidRPr="009E5CF2">
        <w:rPr>
          <w:spacing w:val="-2"/>
        </w:rPr>
        <w:t xml:space="preserve"> </w:t>
      </w:r>
      <w:r>
        <w:t>en detrimento</w:t>
      </w:r>
      <w:r w:rsidRPr="009E5CF2">
        <w:rPr>
          <w:spacing w:val="-4"/>
        </w:rPr>
        <w:t xml:space="preserve"> </w:t>
      </w:r>
      <w:r>
        <w:t>de</w:t>
      </w:r>
      <w:r w:rsidRPr="009E5CF2">
        <w:rPr>
          <w:spacing w:val="-3"/>
        </w:rPr>
        <w:t xml:space="preserve"> </w:t>
      </w:r>
      <w:r>
        <w:t>la</w:t>
      </w:r>
      <w:r w:rsidRPr="009E5CF2">
        <w:rPr>
          <w:spacing w:val="-3"/>
        </w:rPr>
        <w:t xml:space="preserve"> </w:t>
      </w:r>
      <w:r>
        <w:t>seguridad</w:t>
      </w:r>
      <w:r w:rsidRPr="009E5CF2">
        <w:rPr>
          <w:spacing w:val="-4"/>
        </w:rPr>
        <w:t xml:space="preserve"> </w:t>
      </w:r>
      <w:r>
        <w:t>pública</w:t>
      </w:r>
      <w:r w:rsidRPr="009E5CF2">
        <w:rPr>
          <w:spacing w:val="-3"/>
        </w:rPr>
        <w:t xml:space="preserve"> </w:t>
      </w:r>
      <w:r>
        <w:t>y</w:t>
      </w:r>
      <w:r w:rsidRPr="009E5CF2">
        <w:rPr>
          <w:spacing w:val="-5"/>
        </w:rPr>
        <w:t xml:space="preserve"> </w:t>
      </w:r>
      <w:r>
        <w:t>de</w:t>
      </w:r>
      <w:r w:rsidRPr="009E5CF2">
        <w:rPr>
          <w:spacing w:val="-3"/>
        </w:rPr>
        <w:t xml:space="preserve"> </w:t>
      </w:r>
      <w:r>
        <w:t>las</w:t>
      </w:r>
      <w:r w:rsidRPr="009E5CF2">
        <w:rPr>
          <w:spacing w:val="-3"/>
        </w:rPr>
        <w:t xml:space="preserve"> </w:t>
      </w:r>
      <w:r>
        <w:t>comunidades</w:t>
      </w:r>
      <w:r w:rsidRPr="009E5CF2">
        <w:rPr>
          <w:spacing w:val="-3"/>
        </w:rPr>
        <w:t xml:space="preserve"> </w:t>
      </w:r>
      <w:r>
        <w:t>y</w:t>
      </w:r>
      <w:r w:rsidRPr="009E5CF2">
        <w:rPr>
          <w:spacing w:val="-4"/>
        </w:rPr>
        <w:t xml:space="preserve"> </w:t>
      </w:r>
      <w:r>
        <w:t>ha</w:t>
      </w:r>
      <w:r w:rsidRPr="009E5CF2">
        <w:rPr>
          <w:spacing w:val="-5"/>
        </w:rPr>
        <w:t xml:space="preserve"> </w:t>
      </w:r>
      <w:r>
        <w:t>sido</w:t>
      </w:r>
      <w:r w:rsidRPr="009E5CF2">
        <w:rPr>
          <w:spacing w:val="-4"/>
        </w:rPr>
        <w:t xml:space="preserve"> </w:t>
      </w:r>
      <w:r>
        <w:t>causa</w:t>
      </w:r>
      <w:r w:rsidRPr="009E5CF2">
        <w:rPr>
          <w:spacing w:val="-5"/>
        </w:rPr>
        <w:t xml:space="preserve"> </w:t>
      </w:r>
      <w:r>
        <w:t>de</w:t>
      </w:r>
      <w:r w:rsidRPr="009E5CF2">
        <w:rPr>
          <w:spacing w:val="-3"/>
        </w:rPr>
        <w:t xml:space="preserve"> </w:t>
      </w:r>
      <w:r>
        <w:t>una</w:t>
      </w:r>
      <w:r w:rsidRPr="009E5CF2">
        <w:rPr>
          <w:spacing w:val="-3"/>
        </w:rPr>
        <w:t xml:space="preserve"> </w:t>
      </w:r>
      <w:r>
        <w:t>buena parte de la violencia masiva en el país. Según los cálculos de la Fundación Ideas para la Paz (FIP), para el 2017 había 706.210 armas legales en posesión de particulares, mientras que las armas ilegales en posesión de particulares llegaban a 4.267.790</w:t>
      </w:r>
      <w:r w:rsidR="00761CF8">
        <w:rPr>
          <w:rStyle w:val="Refdenotaalpie"/>
        </w:rPr>
        <w:footnoteReference w:id="491"/>
      </w:r>
      <w:r>
        <w:t xml:space="preserve">. Hoy persiste la insistencia en la promulgación de normas que crean ambigüedades y </w:t>
      </w:r>
      <w:r w:rsidRPr="009E5CF2">
        <w:rPr>
          <w:spacing w:val="-2"/>
        </w:rPr>
        <w:t>vacíos</w:t>
      </w:r>
      <w:r w:rsidRPr="009E5CF2">
        <w:rPr>
          <w:spacing w:val="-9"/>
        </w:rPr>
        <w:t xml:space="preserve"> </w:t>
      </w:r>
      <w:r w:rsidRPr="009E5CF2">
        <w:rPr>
          <w:spacing w:val="-2"/>
        </w:rPr>
        <w:t>legales,</w:t>
      </w:r>
      <w:r w:rsidRPr="009E5CF2">
        <w:rPr>
          <w:spacing w:val="-5"/>
        </w:rPr>
        <w:t xml:space="preserve"> </w:t>
      </w:r>
      <w:r w:rsidRPr="009E5CF2">
        <w:rPr>
          <w:spacing w:val="-2"/>
        </w:rPr>
        <w:t>que</w:t>
      </w:r>
      <w:r w:rsidRPr="009E5CF2">
        <w:rPr>
          <w:spacing w:val="-7"/>
        </w:rPr>
        <w:t xml:space="preserve"> </w:t>
      </w:r>
      <w:r w:rsidRPr="009E5CF2">
        <w:rPr>
          <w:spacing w:val="-2"/>
        </w:rPr>
        <w:t>en</w:t>
      </w:r>
      <w:r w:rsidRPr="009E5CF2">
        <w:rPr>
          <w:spacing w:val="-5"/>
        </w:rPr>
        <w:t xml:space="preserve"> </w:t>
      </w:r>
      <w:r w:rsidRPr="009E5CF2">
        <w:rPr>
          <w:spacing w:val="-2"/>
        </w:rPr>
        <w:t>el</w:t>
      </w:r>
      <w:r w:rsidRPr="009E5CF2">
        <w:rPr>
          <w:spacing w:val="-7"/>
        </w:rPr>
        <w:t xml:space="preserve"> </w:t>
      </w:r>
      <w:r w:rsidRPr="009E5CF2">
        <w:rPr>
          <w:spacing w:val="-2"/>
        </w:rPr>
        <w:t>pasado</w:t>
      </w:r>
      <w:r w:rsidRPr="009E5CF2">
        <w:rPr>
          <w:spacing w:val="-5"/>
        </w:rPr>
        <w:t xml:space="preserve"> </w:t>
      </w:r>
      <w:r w:rsidRPr="009E5CF2">
        <w:rPr>
          <w:spacing w:val="-2"/>
        </w:rPr>
        <w:t>han</w:t>
      </w:r>
      <w:r w:rsidRPr="009E5CF2">
        <w:rPr>
          <w:spacing w:val="-6"/>
        </w:rPr>
        <w:t xml:space="preserve"> </w:t>
      </w:r>
      <w:r w:rsidRPr="009E5CF2">
        <w:rPr>
          <w:spacing w:val="-2"/>
        </w:rPr>
        <w:t>fomentado</w:t>
      </w:r>
      <w:r w:rsidRPr="009E5CF2">
        <w:rPr>
          <w:spacing w:val="-7"/>
        </w:rPr>
        <w:t xml:space="preserve"> </w:t>
      </w:r>
      <w:r w:rsidRPr="009E5CF2">
        <w:rPr>
          <w:spacing w:val="-2"/>
        </w:rPr>
        <w:t>la</w:t>
      </w:r>
      <w:r w:rsidRPr="009E5CF2">
        <w:rPr>
          <w:spacing w:val="-7"/>
        </w:rPr>
        <w:t xml:space="preserve"> </w:t>
      </w:r>
      <w:r w:rsidRPr="009E5CF2">
        <w:rPr>
          <w:spacing w:val="-2"/>
        </w:rPr>
        <w:t>proliferación</w:t>
      </w:r>
      <w:r w:rsidRPr="009E5CF2">
        <w:rPr>
          <w:spacing w:val="-6"/>
        </w:rPr>
        <w:t xml:space="preserve"> </w:t>
      </w:r>
      <w:r w:rsidRPr="009E5CF2">
        <w:rPr>
          <w:spacing w:val="-2"/>
        </w:rPr>
        <w:t>de</w:t>
      </w:r>
      <w:r w:rsidRPr="009E5CF2">
        <w:rPr>
          <w:spacing w:val="-5"/>
        </w:rPr>
        <w:t xml:space="preserve"> </w:t>
      </w:r>
      <w:r w:rsidRPr="009E5CF2">
        <w:rPr>
          <w:spacing w:val="-2"/>
        </w:rPr>
        <w:t>grupos</w:t>
      </w:r>
      <w:r w:rsidRPr="009E5CF2">
        <w:rPr>
          <w:spacing w:val="-6"/>
        </w:rPr>
        <w:t xml:space="preserve"> </w:t>
      </w:r>
      <w:r w:rsidRPr="009E5CF2">
        <w:rPr>
          <w:spacing w:val="-2"/>
        </w:rPr>
        <w:t>paramilitares.</w:t>
      </w:r>
    </w:p>
    <w:p w:rsidR="003804AC" w:rsidRDefault="00AF18A5" w:rsidP="004A6EF4">
      <w:pPr>
        <w:pStyle w:val="Prrafodelista"/>
        <w:numPr>
          <w:ilvl w:val="0"/>
          <w:numId w:val="20"/>
        </w:numPr>
      </w:pPr>
      <w:r>
        <w:t>El</w:t>
      </w:r>
      <w:r w:rsidRPr="00761CF8">
        <w:rPr>
          <w:spacing w:val="-13"/>
        </w:rPr>
        <w:t xml:space="preserve"> </w:t>
      </w:r>
      <w:r>
        <w:t>paramilitarismo</w:t>
      </w:r>
      <w:r w:rsidRPr="00761CF8">
        <w:rPr>
          <w:spacing w:val="-13"/>
        </w:rPr>
        <w:t xml:space="preserve"> </w:t>
      </w:r>
      <w:r>
        <w:t>ha</w:t>
      </w:r>
      <w:r w:rsidRPr="00761CF8">
        <w:rPr>
          <w:spacing w:val="-13"/>
        </w:rPr>
        <w:t xml:space="preserve"> </w:t>
      </w:r>
      <w:r>
        <w:t>sido</w:t>
      </w:r>
      <w:r w:rsidRPr="00761CF8">
        <w:rPr>
          <w:spacing w:val="-13"/>
        </w:rPr>
        <w:t xml:space="preserve"> </w:t>
      </w:r>
      <w:r>
        <w:t>impulsado</w:t>
      </w:r>
      <w:r w:rsidRPr="00761CF8">
        <w:rPr>
          <w:spacing w:val="-13"/>
        </w:rPr>
        <w:t xml:space="preserve"> </w:t>
      </w:r>
      <w:r>
        <w:t>por</w:t>
      </w:r>
      <w:r w:rsidRPr="00761CF8">
        <w:rPr>
          <w:spacing w:val="-13"/>
        </w:rPr>
        <w:t xml:space="preserve"> </w:t>
      </w:r>
      <w:r>
        <w:t>medio</w:t>
      </w:r>
      <w:r w:rsidRPr="00761CF8">
        <w:rPr>
          <w:spacing w:val="-13"/>
        </w:rPr>
        <w:t xml:space="preserve"> </w:t>
      </w:r>
      <w:r>
        <w:t>de</w:t>
      </w:r>
      <w:r w:rsidRPr="00761CF8">
        <w:rPr>
          <w:spacing w:val="-13"/>
        </w:rPr>
        <w:t xml:space="preserve"> </w:t>
      </w:r>
      <w:r>
        <w:t>la</w:t>
      </w:r>
      <w:r w:rsidRPr="00761CF8">
        <w:rPr>
          <w:spacing w:val="-13"/>
        </w:rPr>
        <w:t xml:space="preserve"> </w:t>
      </w:r>
      <w:r>
        <w:t>legitimación</w:t>
      </w:r>
      <w:r w:rsidRPr="00761CF8">
        <w:rPr>
          <w:spacing w:val="-13"/>
        </w:rPr>
        <w:t xml:space="preserve"> </w:t>
      </w:r>
      <w:r>
        <w:t>social</w:t>
      </w:r>
      <w:r w:rsidRPr="00761CF8">
        <w:rPr>
          <w:spacing w:val="-14"/>
        </w:rPr>
        <w:t xml:space="preserve"> </w:t>
      </w:r>
      <w:r>
        <w:t>y</w:t>
      </w:r>
      <w:r w:rsidRPr="00761CF8">
        <w:rPr>
          <w:spacing w:val="-13"/>
        </w:rPr>
        <w:t xml:space="preserve"> </w:t>
      </w:r>
      <w:r>
        <w:t>política</w:t>
      </w:r>
      <w:r w:rsidRPr="00761CF8">
        <w:rPr>
          <w:spacing w:val="-13"/>
        </w:rPr>
        <w:t xml:space="preserve"> </w:t>
      </w:r>
      <w:r>
        <w:t>que ha tenido por parte de distintos sectores, movidos por beneficios directos o indirectos de la</w:t>
      </w:r>
      <w:r w:rsidRPr="00761CF8">
        <w:rPr>
          <w:spacing w:val="-1"/>
        </w:rPr>
        <w:t xml:space="preserve"> </w:t>
      </w:r>
      <w:r>
        <w:t>acción</w:t>
      </w:r>
      <w:r w:rsidRPr="00761CF8">
        <w:rPr>
          <w:spacing w:val="-1"/>
        </w:rPr>
        <w:t xml:space="preserve"> </w:t>
      </w:r>
      <w:r>
        <w:t>paramilitar,</w:t>
      </w:r>
      <w:r w:rsidRPr="00761CF8">
        <w:rPr>
          <w:spacing w:val="-1"/>
        </w:rPr>
        <w:t xml:space="preserve"> </w:t>
      </w:r>
      <w:r>
        <w:t>desde la protección frente a</w:t>
      </w:r>
      <w:r w:rsidRPr="00761CF8">
        <w:rPr>
          <w:spacing w:val="-1"/>
        </w:rPr>
        <w:t xml:space="preserve"> </w:t>
      </w:r>
      <w:r>
        <w:t>las</w:t>
      </w:r>
      <w:r w:rsidRPr="00761CF8">
        <w:rPr>
          <w:spacing w:val="-1"/>
        </w:rPr>
        <w:t xml:space="preserve"> </w:t>
      </w:r>
      <w:r>
        <w:t>acciones guerrilleras, hasta</w:t>
      </w:r>
      <w:r w:rsidRPr="00761CF8">
        <w:rPr>
          <w:spacing w:val="-1"/>
        </w:rPr>
        <w:t xml:space="preserve"> </w:t>
      </w:r>
      <w:r>
        <w:t>la conservación de privilegios económicos y políticos. Esta legitimación blinda los entramados</w:t>
      </w:r>
      <w:r w:rsidRPr="00761CF8">
        <w:rPr>
          <w:spacing w:val="-6"/>
        </w:rPr>
        <w:t xml:space="preserve"> </w:t>
      </w:r>
      <w:r>
        <w:t>paramilitares</w:t>
      </w:r>
      <w:r w:rsidRPr="00761CF8">
        <w:rPr>
          <w:spacing w:val="-6"/>
        </w:rPr>
        <w:t xml:space="preserve"> </w:t>
      </w:r>
      <w:r>
        <w:t>y</w:t>
      </w:r>
      <w:r w:rsidRPr="00761CF8">
        <w:rPr>
          <w:spacing w:val="-6"/>
        </w:rPr>
        <w:t xml:space="preserve"> </w:t>
      </w:r>
      <w:r>
        <w:t>los</w:t>
      </w:r>
      <w:r w:rsidRPr="00761CF8">
        <w:rPr>
          <w:spacing w:val="-6"/>
        </w:rPr>
        <w:t xml:space="preserve"> </w:t>
      </w:r>
      <w:r>
        <w:t>sectores</w:t>
      </w:r>
      <w:r w:rsidRPr="00761CF8">
        <w:rPr>
          <w:spacing w:val="-5"/>
        </w:rPr>
        <w:t xml:space="preserve"> </w:t>
      </w:r>
      <w:r>
        <w:t>involucrados,</w:t>
      </w:r>
      <w:r w:rsidRPr="00761CF8">
        <w:rPr>
          <w:spacing w:val="-6"/>
        </w:rPr>
        <w:t xml:space="preserve"> </w:t>
      </w:r>
      <w:r>
        <w:t>que</w:t>
      </w:r>
      <w:r w:rsidRPr="00761CF8">
        <w:rPr>
          <w:spacing w:val="-5"/>
        </w:rPr>
        <w:t xml:space="preserve"> </w:t>
      </w:r>
      <w:r>
        <w:t>buscaban</w:t>
      </w:r>
      <w:r w:rsidRPr="00761CF8">
        <w:rPr>
          <w:spacing w:val="-6"/>
        </w:rPr>
        <w:t xml:space="preserve"> </w:t>
      </w:r>
      <w:r>
        <w:t>objetivos</w:t>
      </w:r>
      <w:r w:rsidRPr="00761CF8">
        <w:rPr>
          <w:spacing w:val="-6"/>
        </w:rPr>
        <w:t xml:space="preserve"> </w:t>
      </w:r>
      <w:r>
        <w:t>más</w:t>
      </w:r>
      <w:r w:rsidRPr="00761CF8">
        <w:rPr>
          <w:spacing w:val="-6"/>
        </w:rPr>
        <w:t xml:space="preserve"> </w:t>
      </w:r>
      <w:r>
        <w:t>allá de la contrainsurgencia. Al mismo tiempo, minimiza las enormes e indiscriminadas violaciones</w:t>
      </w:r>
      <w:r w:rsidRPr="00761CF8">
        <w:rPr>
          <w:spacing w:val="-6"/>
        </w:rPr>
        <w:t xml:space="preserve"> </w:t>
      </w:r>
      <w:r>
        <w:t>a</w:t>
      </w:r>
      <w:r w:rsidRPr="00761CF8">
        <w:rPr>
          <w:spacing w:val="-4"/>
        </w:rPr>
        <w:t xml:space="preserve"> </w:t>
      </w:r>
      <w:r>
        <w:t>los</w:t>
      </w:r>
      <w:r w:rsidRPr="00761CF8">
        <w:rPr>
          <w:spacing w:val="-5"/>
        </w:rPr>
        <w:t xml:space="preserve"> </w:t>
      </w:r>
      <w:r>
        <w:t>derechos</w:t>
      </w:r>
      <w:r w:rsidRPr="00761CF8">
        <w:rPr>
          <w:spacing w:val="-5"/>
        </w:rPr>
        <w:t xml:space="preserve"> </w:t>
      </w:r>
      <w:r>
        <w:t>humanos</w:t>
      </w:r>
      <w:r w:rsidRPr="00761CF8">
        <w:rPr>
          <w:spacing w:val="-6"/>
        </w:rPr>
        <w:t xml:space="preserve"> </w:t>
      </w:r>
      <w:r>
        <w:t>e</w:t>
      </w:r>
      <w:r w:rsidRPr="00761CF8">
        <w:rPr>
          <w:spacing w:val="-4"/>
        </w:rPr>
        <w:t xml:space="preserve"> </w:t>
      </w:r>
      <w:r>
        <w:t>infracciones</w:t>
      </w:r>
      <w:r w:rsidRPr="00761CF8">
        <w:rPr>
          <w:spacing w:val="-4"/>
        </w:rPr>
        <w:t xml:space="preserve"> </w:t>
      </w:r>
      <w:r>
        <w:t>al</w:t>
      </w:r>
      <w:r w:rsidRPr="00761CF8">
        <w:rPr>
          <w:spacing w:val="-4"/>
        </w:rPr>
        <w:t xml:space="preserve"> </w:t>
      </w:r>
      <w:r>
        <w:t>DIH</w:t>
      </w:r>
      <w:r w:rsidRPr="00761CF8">
        <w:rPr>
          <w:spacing w:val="-5"/>
        </w:rPr>
        <w:t xml:space="preserve"> </w:t>
      </w:r>
      <w:r>
        <w:t>cometidas</w:t>
      </w:r>
      <w:r w:rsidRPr="00761CF8">
        <w:rPr>
          <w:spacing w:val="-4"/>
        </w:rPr>
        <w:t xml:space="preserve"> </w:t>
      </w:r>
      <w:r>
        <w:t>por</w:t>
      </w:r>
      <w:r w:rsidRPr="00761CF8">
        <w:rPr>
          <w:spacing w:val="-5"/>
        </w:rPr>
        <w:t xml:space="preserve"> </w:t>
      </w:r>
      <w:r>
        <w:t>estos</w:t>
      </w:r>
      <w:r w:rsidRPr="00761CF8">
        <w:rPr>
          <w:spacing w:val="-5"/>
        </w:rPr>
        <w:t xml:space="preserve"> </w:t>
      </w:r>
      <w:r>
        <w:t>grupos, clasificándolas</w:t>
      </w:r>
      <w:r w:rsidRPr="00761CF8">
        <w:rPr>
          <w:spacing w:val="-6"/>
        </w:rPr>
        <w:t xml:space="preserve"> </w:t>
      </w:r>
      <w:r>
        <w:t>como</w:t>
      </w:r>
      <w:r w:rsidRPr="00761CF8">
        <w:rPr>
          <w:spacing w:val="-6"/>
        </w:rPr>
        <w:t xml:space="preserve"> </w:t>
      </w:r>
      <w:r>
        <w:t>«males</w:t>
      </w:r>
      <w:r w:rsidRPr="00761CF8">
        <w:rPr>
          <w:spacing w:val="-7"/>
        </w:rPr>
        <w:t xml:space="preserve"> </w:t>
      </w:r>
      <w:r>
        <w:t>necesarios».</w:t>
      </w:r>
      <w:r w:rsidRPr="00761CF8">
        <w:rPr>
          <w:spacing w:val="-6"/>
        </w:rPr>
        <w:t xml:space="preserve"> </w:t>
      </w:r>
      <w:r>
        <w:t>Esta</w:t>
      </w:r>
      <w:r w:rsidRPr="00761CF8">
        <w:rPr>
          <w:spacing w:val="-7"/>
        </w:rPr>
        <w:t xml:space="preserve"> </w:t>
      </w:r>
      <w:r>
        <w:t>defensa,</w:t>
      </w:r>
      <w:r w:rsidRPr="00761CF8">
        <w:rPr>
          <w:spacing w:val="-6"/>
        </w:rPr>
        <w:t xml:space="preserve"> </w:t>
      </w:r>
      <w:r>
        <w:t>a</w:t>
      </w:r>
      <w:r w:rsidRPr="00761CF8">
        <w:rPr>
          <w:spacing w:val="-7"/>
        </w:rPr>
        <w:t xml:space="preserve"> </w:t>
      </w:r>
      <w:r>
        <w:t>su</w:t>
      </w:r>
      <w:r w:rsidRPr="00761CF8">
        <w:rPr>
          <w:spacing w:val="-6"/>
        </w:rPr>
        <w:t xml:space="preserve"> </w:t>
      </w:r>
      <w:r>
        <w:t>vez,</w:t>
      </w:r>
      <w:r w:rsidRPr="00761CF8">
        <w:rPr>
          <w:spacing w:val="-6"/>
        </w:rPr>
        <w:t xml:space="preserve"> </w:t>
      </w:r>
      <w:r>
        <w:t>justifica</w:t>
      </w:r>
      <w:r w:rsidRPr="00761CF8">
        <w:rPr>
          <w:spacing w:val="-7"/>
        </w:rPr>
        <w:t xml:space="preserve"> </w:t>
      </w:r>
      <w:r>
        <w:t>la</w:t>
      </w:r>
      <w:r w:rsidRPr="00761CF8">
        <w:rPr>
          <w:spacing w:val="-7"/>
        </w:rPr>
        <w:t xml:space="preserve"> </w:t>
      </w:r>
      <w:r>
        <w:t>existencia del</w:t>
      </w:r>
      <w:r w:rsidRPr="00761CF8">
        <w:rPr>
          <w:spacing w:val="27"/>
        </w:rPr>
        <w:t xml:space="preserve"> </w:t>
      </w:r>
      <w:r>
        <w:t>paramilitarismo,</w:t>
      </w:r>
      <w:r w:rsidRPr="00761CF8">
        <w:rPr>
          <w:spacing w:val="27"/>
        </w:rPr>
        <w:t xml:space="preserve"> </w:t>
      </w:r>
      <w:r>
        <w:t>contribuye</w:t>
      </w:r>
      <w:r w:rsidRPr="00761CF8">
        <w:rPr>
          <w:spacing w:val="27"/>
        </w:rPr>
        <w:t xml:space="preserve"> </w:t>
      </w:r>
      <w:r>
        <w:t>a</w:t>
      </w:r>
      <w:r w:rsidRPr="00761CF8">
        <w:rPr>
          <w:spacing w:val="27"/>
        </w:rPr>
        <w:t xml:space="preserve"> </w:t>
      </w:r>
      <w:r>
        <w:t>su</w:t>
      </w:r>
      <w:r w:rsidRPr="00761CF8">
        <w:rPr>
          <w:spacing w:val="25"/>
        </w:rPr>
        <w:t xml:space="preserve"> </w:t>
      </w:r>
      <w:r>
        <w:t>sistemática</w:t>
      </w:r>
      <w:r w:rsidRPr="00761CF8">
        <w:rPr>
          <w:spacing w:val="26"/>
        </w:rPr>
        <w:t xml:space="preserve"> </w:t>
      </w:r>
      <w:r>
        <w:t>negación</w:t>
      </w:r>
      <w:r w:rsidRPr="00761CF8">
        <w:rPr>
          <w:spacing w:val="27"/>
        </w:rPr>
        <w:t xml:space="preserve"> </w:t>
      </w:r>
      <w:r>
        <w:t>y</w:t>
      </w:r>
      <w:r w:rsidRPr="00761CF8">
        <w:rPr>
          <w:spacing w:val="25"/>
        </w:rPr>
        <w:t xml:space="preserve"> </w:t>
      </w:r>
      <w:r>
        <w:t>a</w:t>
      </w:r>
      <w:r w:rsidRPr="00761CF8">
        <w:rPr>
          <w:spacing w:val="27"/>
        </w:rPr>
        <w:t xml:space="preserve"> </w:t>
      </w:r>
      <w:r>
        <w:t>la</w:t>
      </w:r>
      <w:r w:rsidRPr="00761CF8">
        <w:rPr>
          <w:spacing w:val="27"/>
        </w:rPr>
        <w:t xml:space="preserve"> </w:t>
      </w:r>
      <w:r>
        <w:lastRenderedPageBreak/>
        <w:t>continuación</w:t>
      </w:r>
      <w:r w:rsidRPr="00761CF8">
        <w:rPr>
          <w:spacing w:val="27"/>
        </w:rPr>
        <w:t xml:space="preserve"> </w:t>
      </w:r>
      <w:r>
        <w:t>de</w:t>
      </w:r>
      <w:r w:rsidRPr="00761CF8">
        <w:rPr>
          <w:spacing w:val="26"/>
        </w:rPr>
        <w:t xml:space="preserve"> </w:t>
      </w:r>
      <w:r>
        <w:t>la</w:t>
      </w:r>
      <w:bookmarkStart w:id="650" w:name="_bookmark547"/>
      <w:bookmarkStart w:id="651" w:name="_bookmark548"/>
      <w:bookmarkEnd w:id="650"/>
      <w:bookmarkEnd w:id="651"/>
      <w:r w:rsidR="00761CF8">
        <w:t xml:space="preserve"> </w:t>
      </w:r>
      <w:r>
        <w:t xml:space="preserve">impunidad, al impedir una identificación real de las responsabilidades asociadas al </w:t>
      </w:r>
      <w:r w:rsidRPr="00761CF8">
        <w:rPr>
          <w:spacing w:val="-2"/>
        </w:rPr>
        <w:t>paramilitarismo</w:t>
      </w:r>
      <w:r w:rsidR="00761CF8">
        <w:rPr>
          <w:rStyle w:val="Refdenotaalpie"/>
          <w:spacing w:val="-2"/>
        </w:rPr>
        <w:footnoteReference w:id="492"/>
      </w:r>
      <w:r w:rsidRPr="00761CF8">
        <w:rPr>
          <w:spacing w:val="-2"/>
        </w:rPr>
        <w:t>.</w:t>
      </w:r>
    </w:p>
    <w:p w:rsidR="003804AC" w:rsidRDefault="00AF18A5" w:rsidP="004A6EF4">
      <w:pPr>
        <w:pStyle w:val="Prrafodelista"/>
        <w:numPr>
          <w:ilvl w:val="0"/>
          <w:numId w:val="20"/>
        </w:numPr>
      </w:pPr>
      <w:r>
        <w:t>Parte</w:t>
      </w:r>
      <w:r w:rsidRPr="00761CF8">
        <w:rPr>
          <w:spacing w:val="-1"/>
        </w:rPr>
        <w:t xml:space="preserve"> </w:t>
      </w:r>
      <w:r>
        <w:t>de</w:t>
      </w:r>
      <w:r w:rsidRPr="00761CF8">
        <w:rPr>
          <w:spacing w:val="-1"/>
        </w:rPr>
        <w:t xml:space="preserve"> </w:t>
      </w:r>
      <w:r>
        <w:t>los</w:t>
      </w:r>
      <w:r w:rsidRPr="00761CF8">
        <w:rPr>
          <w:spacing w:val="-3"/>
        </w:rPr>
        <w:t xml:space="preserve"> </w:t>
      </w:r>
      <w:r>
        <w:t>poderes</w:t>
      </w:r>
      <w:r w:rsidRPr="00761CF8">
        <w:rPr>
          <w:spacing w:val="-1"/>
        </w:rPr>
        <w:t xml:space="preserve"> </w:t>
      </w:r>
      <w:r>
        <w:t>políticos</w:t>
      </w:r>
      <w:r w:rsidRPr="00761CF8">
        <w:rPr>
          <w:spacing w:val="-2"/>
        </w:rPr>
        <w:t xml:space="preserve"> </w:t>
      </w:r>
      <w:r>
        <w:t>y</w:t>
      </w:r>
      <w:r w:rsidRPr="00761CF8">
        <w:rPr>
          <w:spacing w:val="-1"/>
        </w:rPr>
        <w:t xml:space="preserve"> </w:t>
      </w:r>
      <w:r>
        <w:t>económicos</w:t>
      </w:r>
      <w:r w:rsidRPr="00761CF8">
        <w:rPr>
          <w:spacing w:val="-2"/>
        </w:rPr>
        <w:t xml:space="preserve"> </w:t>
      </w:r>
      <w:r>
        <w:t>que</w:t>
      </w:r>
      <w:r w:rsidRPr="00761CF8">
        <w:rPr>
          <w:spacing w:val="-2"/>
        </w:rPr>
        <w:t xml:space="preserve"> </w:t>
      </w:r>
      <w:r>
        <w:t>se</w:t>
      </w:r>
      <w:r w:rsidRPr="00761CF8">
        <w:rPr>
          <w:spacing w:val="-1"/>
        </w:rPr>
        <w:t xml:space="preserve"> </w:t>
      </w:r>
      <w:r>
        <w:t>formaron</w:t>
      </w:r>
      <w:r w:rsidRPr="00761CF8">
        <w:rPr>
          <w:spacing w:val="-2"/>
        </w:rPr>
        <w:t xml:space="preserve"> </w:t>
      </w:r>
      <w:r>
        <w:t>bajo</w:t>
      </w:r>
      <w:r w:rsidRPr="00761CF8">
        <w:rPr>
          <w:spacing w:val="-1"/>
        </w:rPr>
        <w:t xml:space="preserve"> </w:t>
      </w:r>
      <w:r>
        <w:t>el</w:t>
      </w:r>
      <w:r w:rsidRPr="00761CF8">
        <w:rPr>
          <w:spacing w:val="-1"/>
        </w:rPr>
        <w:t xml:space="preserve"> </w:t>
      </w:r>
      <w:r>
        <w:t>orden</w:t>
      </w:r>
      <w:r w:rsidRPr="00761CF8">
        <w:rPr>
          <w:spacing w:val="-1"/>
        </w:rPr>
        <w:t xml:space="preserve"> </w:t>
      </w:r>
      <w:r>
        <w:t>paramilitar han continuado vigentes o fueron heredados por nuevos actores cercanos. En el caso de la parapolítica, varios de los implicados continuaron con el control territorial que tenían con las organizaciones paramilitares y mantuvieron sus redes clientelistas a través de colaboradores o familiares. Así mismo, el desmonte de las AUC no ha significado la desarticulación de las lógicas clientelistas y excluyentes de diversas clases políticas regionales, ni de los poderes o privilegios de grupos políticos que usaron a los grupos paramilitares para deshacerse de su competencia electoral.</w:t>
      </w:r>
    </w:p>
    <w:p w:rsidR="003804AC" w:rsidRDefault="00AF18A5" w:rsidP="004A6EF4">
      <w:pPr>
        <w:pStyle w:val="Prrafodelista"/>
        <w:numPr>
          <w:ilvl w:val="0"/>
          <w:numId w:val="20"/>
        </w:numPr>
      </w:pPr>
      <w:r>
        <w:t>En el caso de los poderes económicos legales, también se mantienen parte de sus privilegios en materia de capital o de acceso a recursos (como la tierra despojada o el acceso</w:t>
      </w:r>
      <w:r w:rsidRPr="00761CF8">
        <w:rPr>
          <w:spacing w:val="-4"/>
        </w:rPr>
        <w:t xml:space="preserve"> </w:t>
      </w:r>
      <w:r>
        <w:t>privilegiado</w:t>
      </w:r>
      <w:r w:rsidRPr="00761CF8">
        <w:rPr>
          <w:spacing w:val="-4"/>
        </w:rPr>
        <w:t xml:space="preserve"> </w:t>
      </w:r>
      <w:r>
        <w:t>a</w:t>
      </w:r>
      <w:r w:rsidRPr="00761CF8">
        <w:rPr>
          <w:spacing w:val="-4"/>
        </w:rPr>
        <w:t xml:space="preserve"> </w:t>
      </w:r>
      <w:r>
        <w:t>fondos</w:t>
      </w:r>
      <w:r w:rsidRPr="00761CF8">
        <w:rPr>
          <w:spacing w:val="-4"/>
        </w:rPr>
        <w:t xml:space="preserve"> </w:t>
      </w:r>
      <w:r>
        <w:t>públicos)</w:t>
      </w:r>
      <w:r w:rsidRPr="00761CF8">
        <w:rPr>
          <w:spacing w:val="-4"/>
        </w:rPr>
        <w:t xml:space="preserve"> </w:t>
      </w:r>
      <w:r>
        <w:t>de</w:t>
      </w:r>
      <w:r w:rsidRPr="00761CF8">
        <w:rPr>
          <w:spacing w:val="-4"/>
        </w:rPr>
        <w:t xml:space="preserve"> </w:t>
      </w:r>
      <w:r>
        <w:t>empresarios</w:t>
      </w:r>
      <w:r w:rsidRPr="00761CF8">
        <w:rPr>
          <w:spacing w:val="-4"/>
        </w:rPr>
        <w:t xml:space="preserve"> </w:t>
      </w:r>
      <w:r>
        <w:t>y</w:t>
      </w:r>
      <w:r w:rsidRPr="00761CF8">
        <w:rPr>
          <w:spacing w:val="-4"/>
        </w:rPr>
        <w:t xml:space="preserve"> </w:t>
      </w:r>
      <w:r>
        <w:t>propietarios</w:t>
      </w:r>
      <w:r w:rsidRPr="00761CF8">
        <w:rPr>
          <w:spacing w:val="-4"/>
        </w:rPr>
        <w:t xml:space="preserve"> </w:t>
      </w:r>
      <w:r>
        <w:t>que</w:t>
      </w:r>
      <w:r w:rsidRPr="00761CF8">
        <w:rPr>
          <w:spacing w:val="-4"/>
        </w:rPr>
        <w:t xml:space="preserve"> </w:t>
      </w:r>
      <w:r>
        <w:t>participaron, en diversas escalas, en la violencia paramilitar y que no han sido investigados o condenados. Incluso dentro de procesos judiciales, el uso de los testaferros para el ocultamiento de bienes no ha permitido que esas propiedades puedan ser totalmente identificadas</w:t>
      </w:r>
      <w:r w:rsidRPr="00761CF8">
        <w:rPr>
          <w:spacing w:val="-13"/>
        </w:rPr>
        <w:t xml:space="preserve"> </w:t>
      </w:r>
      <w:r>
        <w:t>y,</w:t>
      </w:r>
      <w:r w:rsidRPr="00761CF8">
        <w:rPr>
          <w:spacing w:val="-12"/>
        </w:rPr>
        <w:t xml:space="preserve"> </w:t>
      </w:r>
      <w:r>
        <w:t>como</w:t>
      </w:r>
      <w:r w:rsidRPr="00761CF8">
        <w:rPr>
          <w:spacing w:val="-13"/>
        </w:rPr>
        <w:t xml:space="preserve"> </w:t>
      </w:r>
      <w:r>
        <w:t>consecuencia,</w:t>
      </w:r>
      <w:r w:rsidRPr="00761CF8">
        <w:rPr>
          <w:spacing w:val="-12"/>
        </w:rPr>
        <w:t xml:space="preserve"> </w:t>
      </w:r>
      <w:r>
        <w:t>no</w:t>
      </w:r>
      <w:r w:rsidRPr="00761CF8">
        <w:rPr>
          <w:spacing w:val="-12"/>
        </w:rPr>
        <w:t xml:space="preserve"> </w:t>
      </w:r>
      <w:r>
        <w:t>pueden</w:t>
      </w:r>
      <w:r w:rsidRPr="00761CF8">
        <w:rPr>
          <w:spacing w:val="-12"/>
        </w:rPr>
        <w:t xml:space="preserve"> </w:t>
      </w:r>
      <w:r>
        <w:t>usarse</w:t>
      </w:r>
      <w:r w:rsidRPr="00761CF8">
        <w:rPr>
          <w:spacing w:val="-12"/>
        </w:rPr>
        <w:t xml:space="preserve"> </w:t>
      </w:r>
      <w:r>
        <w:t>para</w:t>
      </w:r>
      <w:r w:rsidRPr="00761CF8">
        <w:rPr>
          <w:spacing w:val="-13"/>
        </w:rPr>
        <w:t xml:space="preserve"> </w:t>
      </w:r>
      <w:r>
        <w:t>la</w:t>
      </w:r>
      <w:r w:rsidRPr="00761CF8">
        <w:rPr>
          <w:spacing w:val="-13"/>
        </w:rPr>
        <w:t xml:space="preserve"> </w:t>
      </w:r>
      <w:r>
        <w:t>restitución</w:t>
      </w:r>
      <w:r w:rsidRPr="00761CF8">
        <w:rPr>
          <w:spacing w:val="-13"/>
        </w:rPr>
        <w:t xml:space="preserve"> </w:t>
      </w:r>
      <w:r>
        <w:t>a</w:t>
      </w:r>
      <w:r w:rsidRPr="00761CF8">
        <w:rPr>
          <w:spacing w:val="-13"/>
        </w:rPr>
        <w:t xml:space="preserve"> </w:t>
      </w:r>
      <w:r>
        <w:t>las</w:t>
      </w:r>
      <w:r w:rsidRPr="00761CF8">
        <w:rPr>
          <w:spacing w:val="-12"/>
        </w:rPr>
        <w:t xml:space="preserve"> </w:t>
      </w:r>
      <w:r>
        <w:t>víctimas. La falta de investigación en profundidad de estas redes de alianzas es un factor de persistencia en la actualidad, y los mecanismos impulsados por el propio Acuerdo de Paz no han sido efectivos y necesitan un refuerzo y un replanteamiento</w:t>
      </w:r>
      <w:r w:rsidRPr="00761CF8">
        <w:rPr>
          <w:spacing w:val="-1"/>
        </w:rPr>
        <w:t xml:space="preserve"> </w:t>
      </w:r>
      <w:r>
        <w:t>de su acción</w:t>
      </w:r>
      <w:r w:rsidRPr="00761CF8">
        <w:rPr>
          <w:spacing w:val="-1"/>
        </w:rPr>
        <w:t xml:space="preserve"> </w:t>
      </w:r>
      <w:r>
        <w:t xml:space="preserve">a la luz de estos </w:t>
      </w:r>
      <w:r>
        <w:lastRenderedPageBreak/>
        <w:t>hallazgos.</w:t>
      </w:r>
    </w:p>
    <w:p w:rsidR="003804AC" w:rsidRDefault="00AF18A5" w:rsidP="004A6EF4">
      <w:pPr>
        <w:pStyle w:val="Prrafodelista"/>
        <w:numPr>
          <w:ilvl w:val="0"/>
          <w:numId w:val="20"/>
        </w:numPr>
      </w:pPr>
      <w:r>
        <w:t xml:space="preserve">Las economías ligadas al narcotráfico siguen siendo un motor central para los grupos armados </w:t>
      </w:r>
      <w:proofErr w:type="spellStart"/>
      <w:r>
        <w:t>posdesmovilización</w:t>
      </w:r>
      <w:proofErr w:type="spellEnd"/>
      <w:r>
        <w:t xml:space="preserve"> de las AUC, pese a las diversas iniciativas y esfuerzos que han buscado desarticular esta enorme industria de los estupefacientes. Los incentivos</w:t>
      </w:r>
      <w:r w:rsidRPr="00761CF8">
        <w:rPr>
          <w:spacing w:val="-5"/>
        </w:rPr>
        <w:t xml:space="preserve"> </w:t>
      </w:r>
      <w:r>
        <w:t>para</w:t>
      </w:r>
      <w:r w:rsidRPr="00761CF8">
        <w:rPr>
          <w:spacing w:val="-4"/>
        </w:rPr>
        <w:t xml:space="preserve"> </w:t>
      </w:r>
      <w:r>
        <w:t>participar</w:t>
      </w:r>
      <w:r w:rsidRPr="00761CF8">
        <w:rPr>
          <w:spacing w:val="-4"/>
        </w:rPr>
        <w:t xml:space="preserve"> </w:t>
      </w:r>
      <w:r>
        <w:t>en</w:t>
      </w:r>
      <w:r w:rsidRPr="00761CF8">
        <w:rPr>
          <w:spacing w:val="-5"/>
        </w:rPr>
        <w:t xml:space="preserve"> </w:t>
      </w:r>
      <w:r>
        <w:t>este</w:t>
      </w:r>
      <w:r w:rsidRPr="00761CF8">
        <w:rPr>
          <w:spacing w:val="-4"/>
        </w:rPr>
        <w:t xml:space="preserve"> </w:t>
      </w:r>
      <w:r>
        <w:t>negocio</w:t>
      </w:r>
      <w:r w:rsidRPr="00761CF8">
        <w:rPr>
          <w:spacing w:val="-5"/>
        </w:rPr>
        <w:t xml:space="preserve"> </w:t>
      </w:r>
      <w:r>
        <w:t>siguen</w:t>
      </w:r>
      <w:r w:rsidRPr="00761CF8">
        <w:rPr>
          <w:spacing w:val="-6"/>
        </w:rPr>
        <w:t xml:space="preserve"> </w:t>
      </w:r>
      <w:r>
        <w:t>siendo</w:t>
      </w:r>
      <w:r w:rsidRPr="00761CF8">
        <w:rPr>
          <w:spacing w:val="-5"/>
        </w:rPr>
        <w:t xml:space="preserve"> </w:t>
      </w:r>
      <w:r>
        <w:t>extremadamente</w:t>
      </w:r>
      <w:r w:rsidRPr="00761CF8">
        <w:rPr>
          <w:spacing w:val="-6"/>
        </w:rPr>
        <w:t xml:space="preserve"> </w:t>
      </w:r>
      <w:r>
        <w:t>altos,</w:t>
      </w:r>
      <w:r w:rsidRPr="00761CF8">
        <w:rPr>
          <w:spacing w:val="-5"/>
        </w:rPr>
        <w:t xml:space="preserve"> </w:t>
      </w:r>
      <w:r>
        <w:t>debido a las ganancias que produce, a los capitales y sectores involucrados y al nivel de enraizamiento</w:t>
      </w:r>
      <w:r w:rsidRPr="00761CF8">
        <w:rPr>
          <w:spacing w:val="-9"/>
        </w:rPr>
        <w:t xml:space="preserve"> </w:t>
      </w:r>
      <w:r>
        <w:t>que</w:t>
      </w:r>
      <w:r w:rsidRPr="00761CF8">
        <w:rPr>
          <w:spacing w:val="-9"/>
        </w:rPr>
        <w:t xml:space="preserve"> </w:t>
      </w:r>
      <w:r>
        <w:t>tiene</w:t>
      </w:r>
      <w:r w:rsidRPr="00761CF8">
        <w:rPr>
          <w:spacing w:val="-9"/>
        </w:rPr>
        <w:t xml:space="preserve"> </w:t>
      </w:r>
      <w:r>
        <w:t>en</w:t>
      </w:r>
      <w:r w:rsidRPr="00761CF8">
        <w:rPr>
          <w:spacing w:val="-9"/>
        </w:rPr>
        <w:t xml:space="preserve"> </w:t>
      </w:r>
      <w:r>
        <w:t>la</w:t>
      </w:r>
      <w:r w:rsidRPr="00761CF8">
        <w:rPr>
          <w:spacing w:val="-9"/>
        </w:rPr>
        <w:t xml:space="preserve"> </w:t>
      </w:r>
      <w:r>
        <w:t>vida</w:t>
      </w:r>
      <w:r w:rsidRPr="00761CF8">
        <w:rPr>
          <w:spacing w:val="-9"/>
        </w:rPr>
        <w:t xml:space="preserve"> </w:t>
      </w:r>
      <w:r>
        <w:t>cotidiana</w:t>
      </w:r>
      <w:r w:rsidRPr="00761CF8">
        <w:rPr>
          <w:spacing w:val="-9"/>
        </w:rPr>
        <w:t xml:space="preserve"> </w:t>
      </w:r>
      <w:r>
        <w:t>de</w:t>
      </w:r>
      <w:r w:rsidRPr="00761CF8">
        <w:rPr>
          <w:spacing w:val="-9"/>
        </w:rPr>
        <w:t xml:space="preserve"> </w:t>
      </w:r>
      <w:r>
        <w:t>muchos</w:t>
      </w:r>
      <w:r w:rsidRPr="00761CF8">
        <w:rPr>
          <w:spacing w:val="-9"/>
        </w:rPr>
        <w:t xml:space="preserve"> </w:t>
      </w:r>
      <w:r>
        <w:t>territorios,</w:t>
      </w:r>
      <w:r w:rsidRPr="00761CF8">
        <w:rPr>
          <w:spacing w:val="-9"/>
        </w:rPr>
        <w:t xml:space="preserve"> </w:t>
      </w:r>
      <w:r>
        <w:t>que</w:t>
      </w:r>
      <w:r w:rsidRPr="00761CF8">
        <w:rPr>
          <w:spacing w:val="-9"/>
        </w:rPr>
        <w:t xml:space="preserve"> </w:t>
      </w:r>
      <w:r>
        <w:t>a</w:t>
      </w:r>
      <w:r w:rsidRPr="00761CF8">
        <w:rPr>
          <w:spacing w:val="-9"/>
        </w:rPr>
        <w:t xml:space="preserve"> </w:t>
      </w:r>
      <w:r>
        <w:t>su</w:t>
      </w:r>
      <w:r w:rsidRPr="00761CF8">
        <w:rPr>
          <w:spacing w:val="-9"/>
        </w:rPr>
        <w:t xml:space="preserve"> </w:t>
      </w:r>
      <w:r>
        <w:t>vez</w:t>
      </w:r>
      <w:r w:rsidRPr="00761CF8">
        <w:rPr>
          <w:spacing w:val="-9"/>
        </w:rPr>
        <w:t xml:space="preserve"> </w:t>
      </w:r>
      <w:r>
        <w:t>son</w:t>
      </w:r>
      <w:r w:rsidRPr="00761CF8">
        <w:rPr>
          <w:spacing w:val="-9"/>
        </w:rPr>
        <w:t xml:space="preserve"> </w:t>
      </w:r>
      <w:r>
        <w:t>los</w:t>
      </w:r>
      <w:bookmarkStart w:id="652" w:name="_bookmark549"/>
      <w:bookmarkEnd w:id="652"/>
      <w:r w:rsidR="00761CF8">
        <w:t xml:space="preserve"> </w:t>
      </w:r>
      <w:r>
        <w:t>territorios con amplia presencia de actores armados. Sin embargo, según exmiembros de las AUC, se han invisibilizado otras fuentes de financiación de estos grupos armados,</w:t>
      </w:r>
      <w:r w:rsidRPr="00761CF8">
        <w:rPr>
          <w:spacing w:val="-15"/>
        </w:rPr>
        <w:t xml:space="preserve"> </w:t>
      </w:r>
      <w:r>
        <w:t>como</w:t>
      </w:r>
      <w:r w:rsidRPr="00761CF8">
        <w:rPr>
          <w:spacing w:val="-15"/>
        </w:rPr>
        <w:t xml:space="preserve"> </w:t>
      </w:r>
      <w:r>
        <w:t>las</w:t>
      </w:r>
      <w:r w:rsidRPr="00761CF8">
        <w:rPr>
          <w:spacing w:val="-15"/>
        </w:rPr>
        <w:t xml:space="preserve"> </w:t>
      </w:r>
      <w:r>
        <w:t>rentas</w:t>
      </w:r>
      <w:r w:rsidRPr="00761CF8">
        <w:rPr>
          <w:spacing w:val="-15"/>
        </w:rPr>
        <w:t xml:space="preserve"> </w:t>
      </w:r>
      <w:r>
        <w:t>obtenidas</w:t>
      </w:r>
      <w:r w:rsidRPr="00761CF8">
        <w:rPr>
          <w:spacing w:val="-15"/>
        </w:rPr>
        <w:t xml:space="preserve"> </w:t>
      </w:r>
      <w:r>
        <w:t>del</w:t>
      </w:r>
      <w:r w:rsidRPr="00761CF8">
        <w:rPr>
          <w:spacing w:val="-15"/>
        </w:rPr>
        <w:t xml:space="preserve"> </w:t>
      </w:r>
      <w:r>
        <w:t>erario</w:t>
      </w:r>
      <w:r w:rsidRPr="00761CF8">
        <w:rPr>
          <w:spacing w:val="-15"/>
        </w:rPr>
        <w:t xml:space="preserve"> </w:t>
      </w:r>
      <w:r>
        <w:t>por</w:t>
      </w:r>
      <w:r w:rsidRPr="00761CF8">
        <w:rPr>
          <w:spacing w:val="-15"/>
        </w:rPr>
        <w:t xml:space="preserve"> </w:t>
      </w:r>
      <w:r>
        <w:t>corrupción,</w:t>
      </w:r>
      <w:r w:rsidRPr="00761CF8">
        <w:rPr>
          <w:spacing w:val="-15"/>
        </w:rPr>
        <w:t xml:space="preserve"> </w:t>
      </w:r>
      <w:r>
        <w:t>por</w:t>
      </w:r>
      <w:r w:rsidRPr="00761CF8">
        <w:rPr>
          <w:spacing w:val="-14"/>
        </w:rPr>
        <w:t xml:space="preserve"> </w:t>
      </w:r>
      <w:r>
        <w:t>robo</w:t>
      </w:r>
      <w:r w:rsidRPr="00761CF8">
        <w:rPr>
          <w:spacing w:val="-15"/>
        </w:rPr>
        <w:t xml:space="preserve"> </w:t>
      </w:r>
      <w:r>
        <w:t>de</w:t>
      </w:r>
      <w:r w:rsidRPr="00761CF8">
        <w:rPr>
          <w:spacing w:val="-15"/>
        </w:rPr>
        <w:t xml:space="preserve"> </w:t>
      </w:r>
      <w:r>
        <w:t>combustibles de los oleoductos y por extorsiones que siguen produciéndose en dichas regiones</w:t>
      </w:r>
      <w:r w:rsidR="000F1F50">
        <w:rPr>
          <w:rStyle w:val="Refdenotaalpie"/>
        </w:rPr>
        <w:footnoteReference w:id="493"/>
      </w:r>
      <w:r>
        <w:t>.</w:t>
      </w:r>
    </w:p>
    <w:p w:rsidR="003804AC" w:rsidRDefault="00AF18A5" w:rsidP="004A6EF4">
      <w:pPr>
        <w:pStyle w:val="Prrafodelista"/>
        <w:numPr>
          <w:ilvl w:val="0"/>
          <w:numId w:val="20"/>
        </w:numPr>
      </w:pPr>
      <w:r>
        <w:t>Las décadas de guerra y terror han llevado a la banalización de la violencia y a su instalación</w:t>
      </w:r>
      <w:r w:rsidRPr="000F1F50">
        <w:rPr>
          <w:spacing w:val="-6"/>
        </w:rPr>
        <w:t xml:space="preserve"> </w:t>
      </w:r>
      <w:r>
        <w:t>en</w:t>
      </w:r>
      <w:r w:rsidRPr="000F1F50">
        <w:rPr>
          <w:spacing w:val="-6"/>
        </w:rPr>
        <w:t xml:space="preserve"> </w:t>
      </w:r>
      <w:r>
        <w:t>múltiples</w:t>
      </w:r>
      <w:r w:rsidRPr="000F1F50">
        <w:rPr>
          <w:spacing w:val="-7"/>
        </w:rPr>
        <w:t xml:space="preserve"> </w:t>
      </w:r>
      <w:r>
        <w:t>esferas</w:t>
      </w:r>
      <w:r w:rsidRPr="000F1F50">
        <w:rPr>
          <w:spacing w:val="-6"/>
        </w:rPr>
        <w:t xml:space="preserve"> </w:t>
      </w:r>
      <w:r>
        <w:t>de</w:t>
      </w:r>
      <w:r w:rsidRPr="000F1F50">
        <w:rPr>
          <w:spacing w:val="-6"/>
        </w:rPr>
        <w:t xml:space="preserve"> </w:t>
      </w:r>
      <w:r>
        <w:t>la</w:t>
      </w:r>
      <w:r w:rsidRPr="000F1F50">
        <w:rPr>
          <w:spacing w:val="-7"/>
        </w:rPr>
        <w:t xml:space="preserve"> </w:t>
      </w:r>
      <w:r>
        <w:t>vida</w:t>
      </w:r>
      <w:r w:rsidRPr="000F1F50">
        <w:rPr>
          <w:spacing w:val="-6"/>
        </w:rPr>
        <w:t xml:space="preserve"> </w:t>
      </w:r>
      <w:r>
        <w:t>cotidiana</w:t>
      </w:r>
      <w:r w:rsidRPr="000F1F50">
        <w:rPr>
          <w:spacing w:val="-6"/>
        </w:rPr>
        <w:t xml:space="preserve"> </w:t>
      </w:r>
      <w:r>
        <w:t>en</w:t>
      </w:r>
      <w:r w:rsidRPr="000F1F50">
        <w:rPr>
          <w:spacing w:val="-6"/>
        </w:rPr>
        <w:t xml:space="preserve"> </w:t>
      </w:r>
      <w:r>
        <w:t>las</w:t>
      </w:r>
      <w:r w:rsidRPr="000F1F50">
        <w:rPr>
          <w:spacing w:val="-6"/>
        </w:rPr>
        <w:t xml:space="preserve"> </w:t>
      </w:r>
      <w:r>
        <w:t>que</w:t>
      </w:r>
      <w:r w:rsidRPr="000F1F50">
        <w:rPr>
          <w:spacing w:val="-6"/>
        </w:rPr>
        <w:t xml:space="preserve"> </w:t>
      </w:r>
      <w:r>
        <w:t>el</w:t>
      </w:r>
      <w:r w:rsidRPr="000F1F50">
        <w:rPr>
          <w:spacing w:val="-6"/>
        </w:rPr>
        <w:t xml:space="preserve"> </w:t>
      </w:r>
      <w:r>
        <w:t>paramilitarismo</w:t>
      </w:r>
      <w:r w:rsidRPr="000F1F50">
        <w:rPr>
          <w:spacing w:val="-6"/>
        </w:rPr>
        <w:t xml:space="preserve"> </w:t>
      </w:r>
      <w:r>
        <w:t>se</w:t>
      </w:r>
      <w:r w:rsidRPr="000F1F50">
        <w:rPr>
          <w:spacing w:val="-6"/>
        </w:rPr>
        <w:t xml:space="preserve"> </w:t>
      </w:r>
      <w:r>
        <w:t>ha convertido en un referente de «autoridad» y de control en ciertas regiones</w:t>
      </w:r>
      <w:r w:rsidR="000F1F50">
        <w:rPr>
          <w:rStyle w:val="Refdenotaalpie"/>
        </w:rPr>
        <w:footnoteReference w:id="494"/>
      </w:r>
      <w:r>
        <w:t>. Así mismo, se ha construido una visión en la cual unas vidas importan más que otras, con mecanismos</w:t>
      </w:r>
      <w:r w:rsidRPr="000F1F50">
        <w:rPr>
          <w:spacing w:val="-1"/>
        </w:rPr>
        <w:t xml:space="preserve"> </w:t>
      </w:r>
      <w:r>
        <w:t>que son, a</w:t>
      </w:r>
      <w:r w:rsidRPr="000F1F50">
        <w:rPr>
          <w:spacing w:val="-1"/>
        </w:rPr>
        <w:t xml:space="preserve"> </w:t>
      </w:r>
      <w:r>
        <w:t>su vez, factores de persistencia,</w:t>
      </w:r>
      <w:r w:rsidRPr="000F1F50">
        <w:rPr>
          <w:spacing w:val="-1"/>
        </w:rPr>
        <w:t xml:space="preserve"> </w:t>
      </w:r>
      <w:r>
        <w:t>como</w:t>
      </w:r>
      <w:r w:rsidRPr="000F1F50">
        <w:rPr>
          <w:spacing w:val="-1"/>
        </w:rPr>
        <w:t xml:space="preserve"> </w:t>
      </w:r>
      <w:r>
        <w:t>la sospecha</w:t>
      </w:r>
      <w:r w:rsidRPr="000F1F50">
        <w:rPr>
          <w:spacing w:val="-1"/>
        </w:rPr>
        <w:t xml:space="preserve"> </w:t>
      </w:r>
      <w:r>
        <w:t xml:space="preserve">permanente entre ciudadanos (con declaraciones como «por algo sería»), el señalamiento y la estigmatización guiados por nociones heredadas de las ideas de </w:t>
      </w:r>
      <w:r>
        <w:lastRenderedPageBreak/>
        <w:t>enemigo. Además, en diversas poblaciones desde la década de los noventa, la participación o vinculación a grupos</w:t>
      </w:r>
      <w:r w:rsidRPr="000F1F50">
        <w:rPr>
          <w:spacing w:val="-6"/>
        </w:rPr>
        <w:t xml:space="preserve"> </w:t>
      </w:r>
      <w:r>
        <w:t>armados</w:t>
      </w:r>
      <w:r w:rsidRPr="000F1F50">
        <w:rPr>
          <w:spacing w:val="-6"/>
        </w:rPr>
        <w:t xml:space="preserve"> </w:t>
      </w:r>
      <w:r>
        <w:t>ha</w:t>
      </w:r>
      <w:r w:rsidRPr="000F1F50">
        <w:rPr>
          <w:spacing w:val="-6"/>
        </w:rPr>
        <w:t xml:space="preserve"> </w:t>
      </w:r>
      <w:r>
        <w:t>sido</w:t>
      </w:r>
      <w:r w:rsidRPr="000F1F50">
        <w:rPr>
          <w:spacing w:val="-6"/>
        </w:rPr>
        <w:t xml:space="preserve"> </w:t>
      </w:r>
      <w:r>
        <w:t>vista</w:t>
      </w:r>
      <w:r w:rsidRPr="000F1F50">
        <w:rPr>
          <w:spacing w:val="-6"/>
        </w:rPr>
        <w:t xml:space="preserve"> </w:t>
      </w:r>
      <w:r>
        <w:t>como</w:t>
      </w:r>
      <w:r w:rsidRPr="000F1F50">
        <w:rPr>
          <w:spacing w:val="-6"/>
        </w:rPr>
        <w:t xml:space="preserve"> </w:t>
      </w:r>
      <w:r>
        <w:t>una</w:t>
      </w:r>
      <w:r w:rsidRPr="000F1F50">
        <w:rPr>
          <w:spacing w:val="-6"/>
        </w:rPr>
        <w:t xml:space="preserve"> </w:t>
      </w:r>
      <w:r>
        <w:t>fuente</w:t>
      </w:r>
      <w:r w:rsidRPr="000F1F50">
        <w:rPr>
          <w:spacing w:val="-6"/>
        </w:rPr>
        <w:t xml:space="preserve"> </w:t>
      </w:r>
      <w:r>
        <w:t>de</w:t>
      </w:r>
      <w:r w:rsidRPr="000F1F50">
        <w:rPr>
          <w:spacing w:val="-7"/>
        </w:rPr>
        <w:t xml:space="preserve"> </w:t>
      </w:r>
      <w:r>
        <w:t>empleo,</w:t>
      </w:r>
      <w:r w:rsidRPr="000F1F50">
        <w:rPr>
          <w:spacing w:val="-6"/>
        </w:rPr>
        <w:t xml:space="preserve"> </w:t>
      </w:r>
      <w:r>
        <w:t>que</w:t>
      </w:r>
      <w:r w:rsidRPr="000F1F50">
        <w:rPr>
          <w:spacing w:val="-7"/>
        </w:rPr>
        <w:t xml:space="preserve"> </w:t>
      </w:r>
      <w:r>
        <w:t>se</w:t>
      </w:r>
      <w:r w:rsidRPr="000F1F50">
        <w:rPr>
          <w:spacing w:val="-6"/>
        </w:rPr>
        <w:t xml:space="preserve"> </w:t>
      </w:r>
      <w:r>
        <w:t>ha</w:t>
      </w:r>
      <w:r w:rsidRPr="000F1F50">
        <w:rPr>
          <w:spacing w:val="-6"/>
        </w:rPr>
        <w:t xml:space="preserve"> </w:t>
      </w:r>
      <w:r>
        <w:t>convertido</w:t>
      </w:r>
      <w:r w:rsidRPr="000F1F50">
        <w:rPr>
          <w:spacing w:val="-6"/>
        </w:rPr>
        <w:t xml:space="preserve"> </w:t>
      </w:r>
      <w:r>
        <w:t>en</w:t>
      </w:r>
      <w:r w:rsidRPr="000F1F50">
        <w:rPr>
          <w:spacing w:val="-6"/>
        </w:rPr>
        <w:t xml:space="preserve"> </w:t>
      </w:r>
      <w:r>
        <w:t>otra de las muchas formas de supervivencia y de ganar recursos para tener una vida en la cual sean satisfechas sus necesidades básicas</w:t>
      </w:r>
      <w:r w:rsidR="000F1F50">
        <w:rPr>
          <w:rStyle w:val="Refdenotaalpie"/>
        </w:rPr>
        <w:footnoteReference w:id="495"/>
      </w:r>
      <w:r>
        <w:t>.</w:t>
      </w:r>
    </w:p>
    <w:p w:rsidR="003804AC" w:rsidRPr="000F1F50" w:rsidRDefault="00AF18A5" w:rsidP="004A6EF4">
      <w:pPr>
        <w:pStyle w:val="Prrafodelista"/>
        <w:numPr>
          <w:ilvl w:val="0"/>
          <w:numId w:val="20"/>
        </w:numPr>
      </w:pPr>
      <w:r>
        <w:t>La prolongada duración del conflicto armado interno en Colombia ha fomentado los continuos tránsitos de combatientes entre grupos del mismo bando o de bandos contrarios,</w:t>
      </w:r>
      <w:r w:rsidRPr="000F1F50">
        <w:rPr>
          <w:spacing w:val="-2"/>
        </w:rPr>
        <w:t xml:space="preserve"> </w:t>
      </w:r>
      <w:r>
        <w:t>lo</w:t>
      </w:r>
      <w:r w:rsidRPr="000F1F50">
        <w:rPr>
          <w:spacing w:val="-2"/>
        </w:rPr>
        <w:t xml:space="preserve"> </w:t>
      </w:r>
      <w:r>
        <w:t>cual</w:t>
      </w:r>
      <w:r w:rsidRPr="000F1F50">
        <w:rPr>
          <w:spacing w:val="-2"/>
        </w:rPr>
        <w:t xml:space="preserve"> </w:t>
      </w:r>
      <w:r>
        <w:t>ha</w:t>
      </w:r>
      <w:r w:rsidRPr="000F1F50">
        <w:rPr>
          <w:spacing w:val="-2"/>
        </w:rPr>
        <w:t xml:space="preserve"> </w:t>
      </w:r>
      <w:r>
        <w:t>dado</w:t>
      </w:r>
      <w:r w:rsidRPr="000F1F50">
        <w:rPr>
          <w:spacing w:val="-2"/>
        </w:rPr>
        <w:t xml:space="preserve"> </w:t>
      </w:r>
      <w:r>
        <w:t>lugar</w:t>
      </w:r>
      <w:r w:rsidRPr="000F1F50">
        <w:rPr>
          <w:spacing w:val="-2"/>
        </w:rPr>
        <w:t xml:space="preserve"> </w:t>
      </w:r>
      <w:r>
        <w:t>a</w:t>
      </w:r>
      <w:r w:rsidRPr="000F1F50">
        <w:rPr>
          <w:spacing w:val="-2"/>
        </w:rPr>
        <w:t xml:space="preserve"> </w:t>
      </w:r>
      <w:r>
        <w:t>la</w:t>
      </w:r>
      <w:r w:rsidRPr="000F1F50">
        <w:rPr>
          <w:spacing w:val="-3"/>
        </w:rPr>
        <w:t xml:space="preserve"> </w:t>
      </w:r>
      <w:r>
        <w:t>construcción</w:t>
      </w:r>
      <w:r w:rsidRPr="000F1F50">
        <w:rPr>
          <w:spacing w:val="-2"/>
        </w:rPr>
        <w:t xml:space="preserve"> </w:t>
      </w:r>
      <w:r>
        <w:t>de</w:t>
      </w:r>
      <w:r w:rsidRPr="000F1F50">
        <w:rPr>
          <w:spacing w:val="-2"/>
        </w:rPr>
        <w:t xml:space="preserve"> </w:t>
      </w:r>
      <w:r>
        <w:t>identidades</w:t>
      </w:r>
      <w:r w:rsidRPr="000F1F50">
        <w:rPr>
          <w:spacing w:val="-2"/>
        </w:rPr>
        <w:t xml:space="preserve"> </w:t>
      </w:r>
      <w:r>
        <w:t>y</w:t>
      </w:r>
      <w:r w:rsidRPr="000F1F50">
        <w:rPr>
          <w:spacing w:val="-2"/>
        </w:rPr>
        <w:t xml:space="preserve"> </w:t>
      </w:r>
      <w:r>
        <w:t>relaciones</w:t>
      </w:r>
      <w:r w:rsidRPr="000F1F50">
        <w:rPr>
          <w:spacing w:val="-2"/>
        </w:rPr>
        <w:t xml:space="preserve"> </w:t>
      </w:r>
      <w:r>
        <w:t>sociales alrededor del «oficio de la guerra», lo que deriva en un proceso de «reciclaje» de las</w:t>
      </w:r>
      <w:bookmarkStart w:id="653" w:name="_bookmark550"/>
      <w:bookmarkStart w:id="654" w:name="_bookmark551"/>
      <w:bookmarkStart w:id="655" w:name="_bookmark552"/>
      <w:bookmarkEnd w:id="653"/>
      <w:bookmarkEnd w:id="654"/>
      <w:bookmarkEnd w:id="655"/>
      <w:r w:rsidR="000F1F50">
        <w:t xml:space="preserve"> </w:t>
      </w:r>
      <w:r>
        <w:t>experiencias</w:t>
      </w:r>
      <w:r w:rsidRPr="000F1F50">
        <w:rPr>
          <w:spacing w:val="-4"/>
        </w:rPr>
        <w:t xml:space="preserve"> </w:t>
      </w:r>
      <w:r>
        <w:t>de</w:t>
      </w:r>
      <w:r w:rsidRPr="000F1F50">
        <w:rPr>
          <w:spacing w:val="-4"/>
        </w:rPr>
        <w:t xml:space="preserve"> </w:t>
      </w:r>
      <w:r>
        <w:t>la</w:t>
      </w:r>
      <w:r w:rsidRPr="000F1F50">
        <w:rPr>
          <w:spacing w:val="-3"/>
        </w:rPr>
        <w:t xml:space="preserve"> </w:t>
      </w:r>
      <w:r>
        <w:t>guerra.</w:t>
      </w:r>
      <w:r w:rsidRPr="000F1F50">
        <w:rPr>
          <w:spacing w:val="-3"/>
        </w:rPr>
        <w:t xml:space="preserve"> </w:t>
      </w:r>
      <w:r>
        <w:t>Estas</w:t>
      </w:r>
      <w:r w:rsidRPr="000F1F50">
        <w:rPr>
          <w:spacing w:val="-4"/>
        </w:rPr>
        <w:t xml:space="preserve"> </w:t>
      </w:r>
      <w:r>
        <w:t>dinámicas</w:t>
      </w:r>
      <w:r w:rsidRPr="000F1F50">
        <w:rPr>
          <w:spacing w:val="-3"/>
        </w:rPr>
        <w:t xml:space="preserve"> </w:t>
      </w:r>
      <w:r>
        <w:t>han</w:t>
      </w:r>
      <w:r w:rsidRPr="000F1F50">
        <w:rPr>
          <w:spacing w:val="-4"/>
        </w:rPr>
        <w:t xml:space="preserve"> </w:t>
      </w:r>
      <w:r>
        <w:t>llevado,</w:t>
      </w:r>
      <w:r w:rsidRPr="000F1F50">
        <w:rPr>
          <w:spacing w:val="-3"/>
        </w:rPr>
        <w:t xml:space="preserve"> </w:t>
      </w:r>
      <w:r>
        <w:t>incluso,</w:t>
      </w:r>
      <w:r w:rsidRPr="000F1F50">
        <w:rPr>
          <w:spacing w:val="-3"/>
        </w:rPr>
        <w:t xml:space="preserve"> </w:t>
      </w:r>
      <w:r>
        <w:t>a</w:t>
      </w:r>
      <w:r w:rsidRPr="000F1F50">
        <w:rPr>
          <w:spacing w:val="-3"/>
        </w:rPr>
        <w:t xml:space="preserve"> </w:t>
      </w:r>
      <w:r>
        <w:t>nuevas</w:t>
      </w:r>
      <w:r w:rsidRPr="000F1F50">
        <w:rPr>
          <w:spacing w:val="-4"/>
        </w:rPr>
        <w:t xml:space="preserve"> </w:t>
      </w:r>
      <w:r>
        <w:t>retaliaciones y</w:t>
      </w:r>
      <w:r w:rsidRPr="000F1F50">
        <w:rPr>
          <w:spacing w:val="-7"/>
        </w:rPr>
        <w:t xml:space="preserve"> </w:t>
      </w:r>
      <w:r>
        <w:t>reciclajes</w:t>
      </w:r>
      <w:r w:rsidRPr="000F1F50">
        <w:rPr>
          <w:spacing w:val="-7"/>
        </w:rPr>
        <w:t xml:space="preserve"> </w:t>
      </w:r>
      <w:r>
        <w:t>de</w:t>
      </w:r>
      <w:r w:rsidRPr="000F1F50">
        <w:rPr>
          <w:spacing w:val="-7"/>
        </w:rPr>
        <w:t xml:space="preserve"> </w:t>
      </w:r>
      <w:r>
        <w:t>la</w:t>
      </w:r>
      <w:r w:rsidRPr="000F1F50">
        <w:rPr>
          <w:spacing w:val="-7"/>
        </w:rPr>
        <w:t xml:space="preserve"> </w:t>
      </w:r>
      <w:r>
        <w:t>violencia,</w:t>
      </w:r>
      <w:r w:rsidRPr="000F1F50">
        <w:rPr>
          <w:spacing w:val="-7"/>
        </w:rPr>
        <w:t xml:space="preserve"> </w:t>
      </w:r>
      <w:r>
        <w:t>dado</w:t>
      </w:r>
      <w:r w:rsidRPr="000F1F50">
        <w:rPr>
          <w:spacing w:val="-7"/>
        </w:rPr>
        <w:t xml:space="preserve"> </w:t>
      </w:r>
      <w:r>
        <w:t>que</w:t>
      </w:r>
      <w:r w:rsidRPr="000F1F50">
        <w:rPr>
          <w:spacing w:val="-7"/>
        </w:rPr>
        <w:t xml:space="preserve"> </w:t>
      </w:r>
      <w:r>
        <w:t>hasta</w:t>
      </w:r>
      <w:r w:rsidRPr="000F1F50">
        <w:rPr>
          <w:spacing w:val="-7"/>
        </w:rPr>
        <w:t xml:space="preserve"> </w:t>
      </w:r>
      <w:r>
        <w:t>2015,</w:t>
      </w:r>
      <w:r w:rsidRPr="000F1F50">
        <w:rPr>
          <w:spacing w:val="-8"/>
        </w:rPr>
        <w:t xml:space="preserve"> </w:t>
      </w:r>
      <w:r>
        <w:t>según</w:t>
      </w:r>
      <w:r w:rsidRPr="000F1F50">
        <w:rPr>
          <w:spacing w:val="-7"/>
        </w:rPr>
        <w:t xml:space="preserve"> </w:t>
      </w:r>
      <w:r>
        <w:t>la</w:t>
      </w:r>
      <w:r w:rsidRPr="000F1F50">
        <w:rPr>
          <w:spacing w:val="-7"/>
        </w:rPr>
        <w:t xml:space="preserve"> </w:t>
      </w:r>
      <w:r>
        <w:t>Misión</w:t>
      </w:r>
      <w:r w:rsidRPr="000F1F50">
        <w:rPr>
          <w:spacing w:val="-7"/>
        </w:rPr>
        <w:t xml:space="preserve"> </w:t>
      </w:r>
      <w:r>
        <w:t>de</w:t>
      </w:r>
      <w:r w:rsidRPr="000F1F50">
        <w:rPr>
          <w:spacing w:val="-7"/>
        </w:rPr>
        <w:t xml:space="preserve"> </w:t>
      </w:r>
      <w:r>
        <w:t>Apoyo</w:t>
      </w:r>
      <w:r w:rsidRPr="000F1F50">
        <w:rPr>
          <w:spacing w:val="-7"/>
        </w:rPr>
        <w:t xml:space="preserve"> </w:t>
      </w:r>
      <w:r>
        <w:t>al</w:t>
      </w:r>
      <w:r w:rsidRPr="000F1F50">
        <w:rPr>
          <w:spacing w:val="-7"/>
        </w:rPr>
        <w:t xml:space="preserve"> </w:t>
      </w:r>
      <w:r>
        <w:t>Proceso de</w:t>
      </w:r>
      <w:r w:rsidRPr="000F1F50">
        <w:rPr>
          <w:spacing w:val="-10"/>
        </w:rPr>
        <w:t xml:space="preserve"> </w:t>
      </w:r>
      <w:r>
        <w:t>Paz</w:t>
      </w:r>
      <w:r w:rsidRPr="000F1F50">
        <w:rPr>
          <w:spacing w:val="-10"/>
        </w:rPr>
        <w:t xml:space="preserve"> </w:t>
      </w:r>
      <w:r>
        <w:t>en</w:t>
      </w:r>
      <w:r w:rsidRPr="000F1F50">
        <w:rPr>
          <w:spacing w:val="-11"/>
        </w:rPr>
        <w:t xml:space="preserve"> </w:t>
      </w:r>
      <w:r>
        <w:t>Colombia</w:t>
      </w:r>
      <w:r w:rsidRPr="000F1F50">
        <w:rPr>
          <w:spacing w:val="-10"/>
        </w:rPr>
        <w:t xml:space="preserve"> </w:t>
      </w:r>
      <w:r>
        <w:t>(MAPP)</w:t>
      </w:r>
      <w:r w:rsidRPr="000F1F50">
        <w:rPr>
          <w:spacing w:val="-10"/>
        </w:rPr>
        <w:t xml:space="preserve"> </w:t>
      </w:r>
      <w:r>
        <w:t>de</w:t>
      </w:r>
      <w:r w:rsidRPr="000F1F50">
        <w:rPr>
          <w:spacing w:val="-10"/>
        </w:rPr>
        <w:t xml:space="preserve"> </w:t>
      </w:r>
      <w:r>
        <w:t>la</w:t>
      </w:r>
      <w:r w:rsidRPr="000F1F50">
        <w:rPr>
          <w:spacing w:val="-12"/>
        </w:rPr>
        <w:t xml:space="preserve"> </w:t>
      </w:r>
      <w:r>
        <w:t>Organización</w:t>
      </w:r>
      <w:r w:rsidRPr="000F1F50">
        <w:rPr>
          <w:spacing w:val="-11"/>
        </w:rPr>
        <w:t xml:space="preserve"> </w:t>
      </w:r>
      <w:r>
        <w:t>de</w:t>
      </w:r>
      <w:r w:rsidRPr="000F1F50">
        <w:rPr>
          <w:spacing w:val="-10"/>
        </w:rPr>
        <w:t xml:space="preserve"> </w:t>
      </w:r>
      <w:r>
        <w:t>Estados</w:t>
      </w:r>
      <w:r w:rsidRPr="000F1F50">
        <w:rPr>
          <w:spacing w:val="-12"/>
        </w:rPr>
        <w:t xml:space="preserve"> </w:t>
      </w:r>
      <w:r>
        <w:t>Americanos</w:t>
      </w:r>
      <w:r w:rsidRPr="000F1F50">
        <w:rPr>
          <w:spacing w:val="-12"/>
        </w:rPr>
        <w:t xml:space="preserve"> </w:t>
      </w:r>
      <w:r>
        <w:t>(OEA),</w:t>
      </w:r>
      <w:r w:rsidRPr="000F1F50">
        <w:rPr>
          <w:spacing w:val="-11"/>
        </w:rPr>
        <w:t xml:space="preserve"> </w:t>
      </w:r>
      <w:r>
        <w:t>3.820 desmovilizados habían muerto de forma violenta</w:t>
      </w:r>
      <w:r w:rsidR="00644AB5">
        <w:rPr>
          <w:rStyle w:val="Refdenotaalpie"/>
        </w:rPr>
        <w:footnoteReference w:id="496"/>
      </w:r>
      <w:r>
        <w:t xml:space="preserve">. Esto se suma a las grandes dificultades en las rutas de reintegración de los excombatientes que, pese al apoyo institucional, no facilitan que los </w:t>
      </w:r>
      <w:proofErr w:type="spellStart"/>
      <w:r>
        <w:t>exparamilitares</w:t>
      </w:r>
      <w:proofErr w:type="spellEnd"/>
      <w:r>
        <w:t xml:space="preserve"> se integren a la sociedad en campos diferentes de lo armado y tampoco garantizan </w:t>
      </w:r>
      <w:r>
        <w:lastRenderedPageBreak/>
        <w:t>su formalización laboral, su inserción social y, ni siquiera, su propia vida. La falta de garantías de reintegración y de programas</w:t>
      </w:r>
      <w:r w:rsidRPr="000F1F50">
        <w:rPr>
          <w:spacing w:val="-2"/>
        </w:rPr>
        <w:t xml:space="preserve"> </w:t>
      </w:r>
      <w:r>
        <w:t>diferenciados</w:t>
      </w:r>
      <w:r w:rsidRPr="000F1F50">
        <w:rPr>
          <w:spacing w:val="-3"/>
        </w:rPr>
        <w:t xml:space="preserve"> </w:t>
      </w:r>
      <w:r>
        <w:t>debilita</w:t>
      </w:r>
      <w:r w:rsidRPr="000F1F50">
        <w:rPr>
          <w:spacing w:val="-2"/>
        </w:rPr>
        <w:t xml:space="preserve"> </w:t>
      </w:r>
      <w:r>
        <w:t>los</w:t>
      </w:r>
      <w:r w:rsidRPr="000F1F50">
        <w:rPr>
          <w:spacing w:val="-3"/>
        </w:rPr>
        <w:t xml:space="preserve"> </w:t>
      </w:r>
      <w:r>
        <w:t>procesos</w:t>
      </w:r>
      <w:r w:rsidRPr="000F1F50">
        <w:rPr>
          <w:spacing w:val="-2"/>
        </w:rPr>
        <w:t xml:space="preserve"> </w:t>
      </w:r>
      <w:r>
        <w:t>de</w:t>
      </w:r>
      <w:r w:rsidRPr="000F1F50">
        <w:rPr>
          <w:spacing w:val="-3"/>
        </w:rPr>
        <w:t xml:space="preserve"> </w:t>
      </w:r>
      <w:r>
        <w:t>paz</w:t>
      </w:r>
      <w:r w:rsidRPr="000F1F50">
        <w:rPr>
          <w:spacing w:val="-2"/>
        </w:rPr>
        <w:t xml:space="preserve"> </w:t>
      </w:r>
      <w:r>
        <w:t>y</w:t>
      </w:r>
      <w:r w:rsidRPr="000F1F50">
        <w:rPr>
          <w:spacing w:val="-2"/>
        </w:rPr>
        <w:t xml:space="preserve"> </w:t>
      </w:r>
      <w:r>
        <w:t>es</w:t>
      </w:r>
      <w:r w:rsidRPr="000F1F50">
        <w:rPr>
          <w:spacing w:val="-2"/>
        </w:rPr>
        <w:t xml:space="preserve"> </w:t>
      </w:r>
      <w:r>
        <w:t>un</w:t>
      </w:r>
      <w:r w:rsidRPr="000F1F50">
        <w:rPr>
          <w:spacing w:val="-1"/>
        </w:rPr>
        <w:t xml:space="preserve"> </w:t>
      </w:r>
      <w:r>
        <w:t>combustible</w:t>
      </w:r>
      <w:r w:rsidRPr="000F1F50">
        <w:rPr>
          <w:spacing w:val="-3"/>
        </w:rPr>
        <w:t xml:space="preserve"> </w:t>
      </w:r>
      <w:r>
        <w:t>para</w:t>
      </w:r>
      <w:r w:rsidRPr="000F1F50">
        <w:rPr>
          <w:spacing w:val="-2"/>
        </w:rPr>
        <w:t xml:space="preserve"> </w:t>
      </w:r>
      <w:r>
        <w:t>nuevos ciclos de violencia.</w:t>
      </w:r>
    </w:p>
    <w:p w:rsidR="0011361F" w:rsidRDefault="00AF18A5" w:rsidP="004A6EF4">
      <w:pPr>
        <w:pStyle w:val="Prrafodelista"/>
        <w:numPr>
          <w:ilvl w:val="0"/>
          <w:numId w:val="20"/>
        </w:numPr>
      </w:pPr>
      <w:r>
        <w:t>La investigación en profundidad del entramado paramilitar y sus responsabilidades sigue siendo una necesidad pendiente de abordar en Colombia. Se debe ampliar la revelación</w:t>
      </w:r>
      <w:r w:rsidRPr="00644AB5">
        <w:rPr>
          <w:spacing w:val="-1"/>
        </w:rPr>
        <w:t xml:space="preserve"> </w:t>
      </w:r>
      <w:r>
        <w:t>de</w:t>
      </w:r>
      <w:r w:rsidRPr="00644AB5">
        <w:rPr>
          <w:spacing w:val="-1"/>
        </w:rPr>
        <w:t xml:space="preserve"> </w:t>
      </w:r>
      <w:r>
        <w:t>las</w:t>
      </w:r>
      <w:r w:rsidRPr="00644AB5">
        <w:rPr>
          <w:spacing w:val="-1"/>
        </w:rPr>
        <w:t xml:space="preserve"> </w:t>
      </w:r>
      <w:r>
        <w:t>verdades</w:t>
      </w:r>
      <w:r w:rsidRPr="00644AB5">
        <w:rPr>
          <w:spacing w:val="-1"/>
        </w:rPr>
        <w:t xml:space="preserve"> </w:t>
      </w:r>
      <w:r>
        <w:t>que</w:t>
      </w:r>
      <w:r w:rsidRPr="00644AB5">
        <w:rPr>
          <w:spacing w:val="-1"/>
        </w:rPr>
        <w:t xml:space="preserve"> </w:t>
      </w:r>
      <w:r>
        <w:t>aún</w:t>
      </w:r>
      <w:r w:rsidRPr="00644AB5">
        <w:rPr>
          <w:spacing w:val="-2"/>
        </w:rPr>
        <w:t xml:space="preserve"> </w:t>
      </w:r>
      <w:r>
        <w:t>tienen</w:t>
      </w:r>
      <w:r w:rsidRPr="00644AB5">
        <w:rPr>
          <w:spacing w:val="-1"/>
        </w:rPr>
        <w:t xml:space="preserve"> </w:t>
      </w:r>
      <w:r>
        <w:t>líderes</w:t>
      </w:r>
      <w:r w:rsidRPr="00644AB5">
        <w:rPr>
          <w:spacing w:val="-3"/>
        </w:rPr>
        <w:t xml:space="preserve"> </w:t>
      </w:r>
      <w:r>
        <w:t>paramilitares,</w:t>
      </w:r>
      <w:r w:rsidRPr="00644AB5">
        <w:rPr>
          <w:spacing w:val="-1"/>
        </w:rPr>
        <w:t xml:space="preserve"> </w:t>
      </w:r>
      <w:r>
        <w:t>la</w:t>
      </w:r>
      <w:r w:rsidRPr="00644AB5">
        <w:rPr>
          <w:spacing w:val="-1"/>
        </w:rPr>
        <w:t xml:space="preserve"> </w:t>
      </w:r>
      <w:r>
        <w:t>investigación</w:t>
      </w:r>
      <w:r w:rsidRPr="00644AB5">
        <w:rPr>
          <w:spacing w:val="-1"/>
        </w:rPr>
        <w:t xml:space="preserve"> </w:t>
      </w:r>
      <w:r>
        <w:t>de</w:t>
      </w:r>
      <w:r w:rsidRPr="00644AB5">
        <w:rPr>
          <w:spacing w:val="-2"/>
        </w:rPr>
        <w:t xml:space="preserve"> </w:t>
      </w:r>
      <w:r>
        <w:t>las compulsas</w:t>
      </w:r>
      <w:r w:rsidRPr="00644AB5">
        <w:rPr>
          <w:spacing w:val="-14"/>
        </w:rPr>
        <w:t xml:space="preserve"> </w:t>
      </w:r>
      <w:r>
        <w:t>de</w:t>
      </w:r>
      <w:r w:rsidRPr="00644AB5">
        <w:rPr>
          <w:spacing w:val="-14"/>
        </w:rPr>
        <w:t xml:space="preserve"> </w:t>
      </w:r>
      <w:r>
        <w:t>copias</w:t>
      </w:r>
      <w:r w:rsidRPr="00644AB5">
        <w:rPr>
          <w:spacing w:val="-14"/>
        </w:rPr>
        <w:t xml:space="preserve"> </w:t>
      </w:r>
      <w:r>
        <w:t>de</w:t>
      </w:r>
      <w:r w:rsidRPr="00644AB5">
        <w:rPr>
          <w:spacing w:val="-15"/>
        </w:rPr>
        <w:t xml:space="preserve"> </w:t>
      </w:r>
      <w:r>
        <w:t>los</w:t>
      </w:r>
      <w:r w:rsidRPr="00644AB5">
        <w:rPr>
          <w:spacing w:val="-14"/>
        </w:rPr>
        <w:t xml:space="preserve"> </w:t>
      </w:r>
      <w:r>
        <w:t>tribunales</w:t>
      </w:r>
      <w:r w:rsidRPr="00644AB5">
        <w:rPr>
          <w:spacing w:val="-15"/>
        </w:rPr>
        <w:t xml:space="preserve"> </w:t>
      </w:r>
      <w:r>
        <w:t>de</w:t>
      </w:r>
      <w:r w:rsidRPr="00644AB5">
        <w:rPr>
          <w:spacing w:val="-14"/>
        </w:rPr>
        <w:t xml:space="preserve"> </w:t>
      </w:r>
      <w:r>
        <w:t>Justicia</w:t>
      </w:r>
      <w:r w:rsidRPr="00644AB5">
        <w:rPr>
          <w:spacing w:val="-14"/>
        </w:rPr>
        <w:t xml:space="preserve"> </w:t>
      </w:r>
      <w:r>
        <w:t>y</w:t>
      </w:r>
      <w:r w:rsidRPr="00644AB5">
        <w:rPr>
          <w:spacing w:val="-15"/>
        </w:rPr>
        <w:t xml:space="preserve"> </w:t>
      </w:r>
      <w:r>
        <w:t>Paz,</w:t>
      </w:r>
      <w:r w:rsidRPr="00644AB5">
        <w:rPr>
          <w:spacing w:val="-14"/>
        </w:rPr>
        <w:t xml:space="preserve"> </w:t>
      </w:r>
      <w:r>
        <w:t>las</w:t>
      </w:r>
      <w:r w:rsidRPr="00644AB5">
        <w:rPr>
          <w:spacing w:val="-14"/>
        </w:rPr>
        <w:t xml:space="preserve"> </w:t>
      </w:r>
      <w:r>
        <w:t>revelaciones</w:t>
      </w:r>
      <w:r w:rsidRPr="00644AB5">
        <w:rPr>
          <w:spacing w:val="-14"/>
        </w:rPr>
        <w:t xml:space="preserve"> </w:t>
      </w:r>
      <w:r>
        <w:t>de</w:t>
      </w:r>
      <w:r w:rsidRPr="00644AB5">
        <w:rPr>
          <w:spacing w:val="-15"/>
        </w:rPr>
        <w:t xml:space="preserve"> </w:t>
      </w:r>
      <w:r>
        <w:t>empresarios o políticos y exmiembros de dichos grupos ante la JEP y el sistema de justicia, tanto para otorgar seguridad jurídica a los responsables, como verdad a las víctimas y la sociedad. Además, es necesario proporcionar información relevante que ayude a desmantelar</w:t>
      </w:r>
      <w:r w:rsidRPr="00644AB5">
        <w:rPr>
          <w:spacing w:val="-5"/>
        </w:rPr>
        <w:t xml:space="preserve"> </w:t>
      </w:r>
      <w:r>
        <w:t>estos</w:t>
      </w:r>
      <w:r w:rsidRPr="00644AB5">
        <w:rPr>
          <w:spacing w:val="-5"/>
        </w:rPr>
        <w:t xml:space="preserve"> </w:t>
      </w:r>
      <w:r>
        <w:t>mecanismos</w:t>
      </w:r>
      <w:r w:rsidRPr="00644AB5">
        <w:rPr>
          <w:spacing w:val="-5"/>
        </w:rPr>
        <w:t xml:space="preserve"> </w:t>
      </w:r>
      <w:r>
        <w:t>y</w:t>
      </w:r>
      <w:r w:rsidRPr="00644AB5">
        <w:rPr>
          <w:spacing w:val="-5"/>
        </w:rPr>
        <w:t xml:space="preserve"> </w:t>
      </w:r>
      <w:r>
        <w:t>sus</w:t>
      </w:r>
      <w:r w:rsidRPr="00644AB5">
        <w:rPr>
          <w:spacing w:val="-6"/>
        </w:rPr>
        <w:t xml:space="preserve"> </w:t>
      </w:r>
      <w:r>
        <w:t>entramados</w:t>
      </w:r>
      <w:r w:rsidRPr="00644AB5">
        <w:rPr>
          <w:spacing w:val="-6"/>
        </w:rPr>
        <w:t xml:space="preserve"> </w:t>
      </w:r>
      <w:r>
        <w:t>de</w:t>
      </w:r>
      <w:r w:rsidRPr="00644AB5">
        <w:rPr>
          <w:spacing w:val="-4"/>
        </w:rPr>
        <w:t xml:space="preserve"> </w:t>
      </w:r>
      <w:r>
        <w:t>poder.</w:t>
      </w:r>
      <w:r w:rsidRPr="00644AB5">
        <w:rPr>
          <w:spacing w:val="-5"/>
        </w:rPr>
        <w:t xml:space="preserve"> </w:t>
      </w:r>
      <w:r>
        <w:t>Igualmente,</w:t>
      </w:r>
      <w:r w:rsidRPr="00644AB5">
        <w:rPr>
          <w:spacing w:val="-5"/>
        </w:rPr>
        <w:t xml:space="preserve"> </w:t>
      </w:r>
      <w:r>
        <w:t>el</w:t>
      </w:r>
      <w:r w:rsidRPr="00644AB5">
        <w:rPr>
          <w:spacing w:val="-5"/>
        </w:rPr>
        <w:t xml:space="preserve"> </w:t>
      </w:r>
      <w:r>
        <w:t>Estado</w:t>
      </w:r>
      <w:r w:rsidRPr="00644AB5">
        <w:rPr>
          <w:spacing w:val="-5"/>
        </w:rPr>
        <w:t xml:space="preserve"> </w:t>
      </w:r>
      <w:r>
        <w:t>tiene una deuda con las víctimas del paramilitarismo, en el reconocimiento de su responsabilidad en esta victimización. El ocultamiento y la minimización operaron como</w:t>
      </w:r>
      <w:r w:rsidRPr="00644AB5">
        <w:rPr>
          <w:spacing w:val="-8"/>
        </w:rPr>
        <w:t xml:space="preserve"> </w:t>
      </w:r>
      <w:r>
        <w:t>mecanismos</w:t>
      </w:r>
      <w:r w:rsidRPr="00644AB5">
        <w:rPr>
          <w:spacing w:val="-8"/>
        </w:rPr>
        <w:t xml:space="preserve"> </w:t>
      </w:r>
      <w:r>
        <w:t>de</w:t>
      </w:r>
      <w:r w:rsidRPr="00644AB5">
        <w:rPr>
          <w:spacing w:val="-8"/>
        </w:rPr>
        <w:t xml:space="preserve"> </w:t>
      </w:r>
      <w:r>
        <w:t>persistencia,</w:t>
      </w:r>
      <w:r w:rsidRPr="00644AB5">
        <w:rPr>
          <w:spacing w:val="-9"/>
        </w:rPr>
        <w:t xml:space="preserve"> </w:t>
      </w:r>
      <w:r>
        <w:t>pero</w:t>
      </w:r>
      <w:r w:rsidRPr="00644AB5">
        <w:rPr>
          <w:spacing w:val="-8"/>
        </w:rPr>
        <w:t xml:space="preserve"> </w:t>
      </w:r>
      <w:r>
        <w:t>no</w:t>
      </w:r>
      <w:r w:rsidRPr="00644AB5">
        <w:rPr>
          <w:spacing w:val="-8"/>
        </w:rPr>
        <w:t xml:space="preserve"> </w:t>
      </w:r>
      <w:r>
        <w:t>se</w:t>
      </w:r>
      <w:r w:rsidRPr="00644AB5">
        <w:rPr>
          <w:spacing w:val="-9"/>
        </w:rPr>
        <w:t xml:space="preserve"> </w:t>
      </w:r>
      <w:r>
        <w:t>trata</w:t>
      </w:r>
      <w:r w:rsidRPr="00644AB5">
        <w:rPr>
          <w:spacing w:val="-8"/>
        </w:rPr>
        <w:t xml:space="preserve"> </w:t>
      </w:r>
      <w:r>
        <w:t>solo</w:t>
      </w:r>
      <w:r w:rsidRPr="00644AB5">
        <w:rPr>
          <w:spacing w:val="-8"/>
        </w:rPr>
        <w:t xml:space="preserve"> </w:t>
      </w:r>
      <w:r>
        <w:t>de</w:t>
      </w:r>
      <w:r w:rsidRPr="00644AB5">
        <w:rPr>
          <w:spacing w:val="-9"/>
        </w:rPr>
        <w:t xml:space="preserve"> </w:t>
      </w:r>
      <w:r>
        <w:t>hechos,</w:t>
      </w:r>
      <w:r w:rsidRPr="00644AB5">
        <w:rPr>
          <w:spacing w:val="-8"/>
        </w:rPr>
        <w:t xml:space="preserve"> </w:t>
      </w:r>
      <w:r>
        <w:t>responsabilidades</w:t>
      </w:r>
      <w:r w:rsidRPr="00644AB5">
        <w:rPr>
          <w:spacing w:val="-10"/>
        </w:rPr>
        <w:t xml:space="preserve"> </w:t>
      </w:r>
      <w:r>
        <w:t>y mecanismos,</w:t>
      </w:r>
      <w:r w:rsidRPr="00644AB5">
        <w:rPr>
          <w:spacing w:val="-11"/>
        </w:rPr>
        <w:t xml:space="preserve"> </w:t>
      </w:r>
      <w:r>
        <w:t>sino</w:t>
      </w:r>
      <w:r w:rsidRPr="00644AB5">
        <w:rPr>
          <w:spacing w:val="-11"/>
        </w:rPr>
        <w:t xml:space="preserve"> </w:t>
      </w:r>
      <w:r>
        <w:t>de</w:t>
      </w:r>
      <w:r w:rsidRPr="00644AB5">
        <w:rPr>
          <w:spacing w:val="-10"/>
        </w:rPr>
        <w:t xml:space="preserve"> </w:t>
      </w:r>
      <w:r>
        <w:t>personas:</w:t>
      </w:r>
      <w:r w:rsidRPr="00644AB5">
        <w:rPr>
          <w:spacing w:val="-10"/>
        </w:rPr>
        <w:t xml:space="preserve"> </w:t>
      </w:r>
      <w:r>
        <w:t>las</w:t>
      </w:r>
      <w:r w:rsidRPr="00644AB5">
        <w:rPr>
          <w:spacing w:val="-10"/>
        </w:rPr>
        <w:t xml:space="preserve"> </w:t>
      </w:r>
      <w:r>
        <w:t>víctimas</w:t>
      </w:r>
      <w:r w:rsidRPr="00644AB5">
        <w:rPr>
          <w:spacing w:val="-10"/>
        </w:rPr>
        <w:t xml:space="preserve"> </w:t>
      </w:r>
      <w:r>
        <w:t>son</w:t>
      </w:r>
      <w:r w:rsidRPr="00644AB5">
        <w:rPr>
          <w:spacing w:val="-11"/>
        </w:rPr>
        <w:t xml:space="preserve"> </w:t>
      </w:r>
      <w:r>
        <w:t>ciudadanos</w:t>
      </w:r>
      <w:r w:rsidRPr="00644AB5">
        <w:rPr>
          <w:spacing w:val="-11"/>
        </w:rPr>
        <w:t xml:space="preserve"> </w:t>
      </w:r>
      <w:r>
        <w:t>colombianos</w:t>
      </w:r>
      <w:r w:rsidRPr="00644AB5">
        <w:rPr>
          <w:spacing w:val="-11"/>
        </w:rPr>
        <w:t xml:space="preserve"> </w:t>
      </w:r>
      <w:r>
        <w:t>que</w:t>
      </w:r>
      <w:r w:rsidRPr="00644AB5">
        <w:rPr>
          <w:spacing w:val="-10"/>
        </w:rPr>
        <w:t xml:space="preserve"> </w:t>
      </w:r>
      <w:r>
        <w:t>necesitan esa verdad.</w:t>
      </w:r>
    </w:p>
    <w:p w:rsidR="00644AB5" w:rsidRDefault="00644AB5">
      <w:pPr>
        <w:spacing w:before="0" w:after="0" w:line="240" w:lineRule="auto"/>
        <w:rPr>
          <w:b/>
          <w:bCs/>
          <w:spacing w:val="-2"/>
          <w:szCs w:val="24"/>
        </w:rPr>
      </w:pPr>
      <w:bookmarkStart w:id="656" w:name="_bookmark553"/>
      <w:bookmarkEnd w:id="656"/>
      <w:r>
        <w:rPr>
          <w:spacing w:val="-2"/>
        </w:rPr>
        <w:br w:type="page"/>
      </w:r>
    </w:p>
    <w:p w:rsidR="0011361F" w:rsidRDefault="00AF18A5" w:rsidP="00644AB5">
      <w:pPr>
        <w:pStyle w:val="Ttulo3"/>
      </w:pPr>
      <w:bookmarkStart w:id="657" w:name="_Toc112399603"/>
      <w:r>
        <w:lastRenderedPageBreak/>
        <w:t>Bibliografía</w:t>
      </w:r>
      <w:bookmarkEnd w:id="657"/>
    </w:p>
    <w:p w:rsidR="003804AC" w:rsidRDefault="00AF18A5" w:rsidP="008D1A5E">
      <w:r>
        <w:t>Aldo Cívico. No divulgar hasta que los implicados estén muertos: las guerras de «</w:t>
      </w:r>
      <w:proofErr w:type="spellStart"/>
      <w:r>
        <w:t>Doblecero</w:t>
      </w:r>
      <w:proofErr w:type="spellEnd"/>
      <w:r>
        <w:t>». Bogotá: Intermedio, 2009.</w:t>
      </w:r>
    </w:p>
    <w:p w:rsidR="003804AC" w:rsidRDefault="00AF18A5" w:rsidP="008D1A5E">
      <w:r>
        <w:t xml:space="preserve">Alejandro </w:t>
      </w:r>
      <w:proofErr w:type="spellStart"/>
      <w:r>
        <w:t>Ramelli</w:t>
      </w:r>
      <w:proofErr w:type="spellEnd"/>
      <w:r>
        <w:t xml:space="preserve"> Arteaga. «La nueva Unidad Nacional de Análisis y Contextos UNAC». En Santiago de Chile, 2013.</w:t>
      </w:r>
    </w:p>
    <w:p w:rsidR="003804AC" w:rsidRDefault="00AF18A5" w:rsidP="008D1A5E">
      <w:r>
        <w:t>Amnistía</w:t>
      </w:r>
      <w:r>
        <w:rPr>
          <w:spacing w:val="-15"/>
        </w:rPr>
        <w:t xml:space="preserve"> </w:t>
      </w:r>
      <w:r>
        <w:t>Internacional.</w:t>
      </w:r>
      <w:r>
        <w:rPr>
          <w:spacing w:val="-15"/>
        </w:rPr>
        <w:t xml:space="preserve"> </w:t>
      </w:r>
      <w:r>
        <w:t>«Colombia</w:t>
      </w:r>
      <w:r>
        <w:rPr>
          <w:spacing w:val="-15"/>
        </w:rPr>
        <w:t xml:space="preserve"> </w:t>
      </w:r>
      <w:r>
        <w:t>Seguridad,</w:t>
      </w:r>
      <w:r>
        <w:rPr>
          <w:spacing w:val="-15"/>
        </w:rPr>
        <w:t xml:space="preserve"> </w:t>
      </w:r>
      <w:r>
        <w:t>¿a</w:t>
      </w:r>
      <w:r>
        <w:rPr>
          <w:spacing w:val="-15"/>
        </w:rPr>
        <w:t xml:space="preserve"> </w:t>
      </w:r>
      <w:r>
        <w:t>qué</w:t>
      </w:r>
      <w:r>
        <w:rPr>
          <w:spacing w:val="-15"/>
        </w:rPr>
        <w:t xml:space="preserve"> </w:t>
      </w:r>
      <w:r>
        <w:t>precio?</w:t>
      </w:r>
      <w:r>
        <w:rPr>
          <w:spacing w:val="-15"/>
        </w:rPr>
        <w:t xml:space="preserve"> </w:t>
      </w:r>
      <w:r>
        <w:t>La</w:t>
      </w:r>
      <w:r>
        <w:rPr>
          <w:spacing w:val="-15"/>
        </w:rPr>
        <w:t xml:space="preserve"> </w:t>
      </w:r>
      <w:r>
        <w:t>falta</w:t>
      </w:r>
      <w:r>
        <w:rPr>
          <w:spacing w:val="-15"/>
        </w:rPr>
        <w:t xml:space="preserve"> </w:t>
      </w:r>
      <w:r>
        <w:t>de</w:t>
      </w:r>
      <w:r>
        <w:rPr>
          <w:spacing w:val="-15"/>
        </w:rPr>
        <w:t xml:space="preserve"> </w:t>
      </w:r>
      <w:r>
        <w:t>voluntad</w:t>
      </w:r>
      <w:r>
        <w:rPr>
          <w:spacing w:val="-15"/>
        </w:rPr>
        <w:t xml:space="preserve"> </w:t>
      </w:r>
      <w:r>
        <w:t>del</w:t>
      </w:r>
      <w:r>
        <w:rPr>
          <w:spacing w:val="-15"/>
        </w:rPr>
        <w:t xml:space="preserve"> </w:t>
      </w:r>
      <w:r>
        <w:t>gobierno</w:t>
      </w:r>
      <w:r>
        <w:rPr>
          <w:spacing w:val="-14"/>
        </w:rPr>
        <w:t xml:space="preserve"> </w:t>
      </w:r>
      <w:r>
        <w:t>para</w:t>
      </w:r>
      <w:r>
        <w:rPr>
          <w:spacing w:val="-15"/>
        </w:rPr>
        <w:t xml:space="preserve"> </w:t>
      </w:r>
      <w:r>
        <w:t xml:space="preserve">hacer </w:t>
      </w:r>
      <w:r>
        <w:rPr>
          <w:spacing w:val="-2"/>
        </w:rPr>
        <w:t>frente</w:t>
      </w:r>
      <w:r w:rsidR="008D1A5E">
        <w:rPr>
          <w:spacing w:val="-2"/>
        </w:rPr>
        <w:t xml:space="preserve"> </w:t>
      </w:r>
      <w:r>
        <w:rPr>
          <w:spacing w:val="-10"/>
        </w:rPr>
        <w:t>a</w:t>
      </w:r>
      <w:r w:rsidR="008D1A5E">
        <w:rPr>
          <w:spacing w:val="-10"/>
        </w:rPr>
        <w:t xml:space="preserve"> </w:t>
      </w:r>
      <w:r>
        <w:rPr>
          <w:spacing w:val="-5"/>
        </w:rPr>
        <w:t>la</w:t>
      </w:r>
      <w:r w:rsidR="008D1A5E">
        <w:rPr>
          <w:spacing w:val="-5"/>
        </w:rPr>
        <w:t xml:space="preserve"> </w:t>
      </w:r>
      <w:r>
        <w:rPr>
          <w:spacing w:val="-2"/>
        </w:rPr>
        <w:t>crisis</w:t>
      </w:r>
      <w:r w:rsidR="008D1A5E">
        <w:rPr>
          <w:spacing w:val="-2"/>
        </w:rPr>
        <w:t xml:space="preserve"> </w:t>
      </w:r>
      <w:r>
        <w:rPr>
          <w:spacing w:val="-5"/>
        </w:rPr>
        <w:t>de</w:t>
      </w:r>
      <w:r w:rsidR="008D1A5E">
        <w:rPr>
          <w:spacing w:val="-5"/>
        </w:rPr>
        <w:t xml:space="preserve"> </w:t>
      </w:r>
      <w:r>
        <w:rPr>
          <w:spacing w:val="-2"/>
        </w:rPr>
        <w:t>derechos</w:t>
      </w:r>
      <w:r w:rsidR="008D1A5E">
        <w:rPr>
          <w:spacing w:val="-2"/>
        </w:rPr>
        <w:t xml:space="preserve"> </w:t>
      </w:r>
      <w:r>
        <w:rPr>
          <w:spacing w:val="-2"/>
        </w:rPr>
        <w:t>humanos».</w:t>
      </w:r>
      <w:r w:rsidR="008D1A5E">
        <w:rPr>
          <w:spacing w:val="-2"/>
        </w:rPr>
        <w:t xml:space="preserve"> </w:t>
      </w:r>
      <w:r>
        <w:rPr>
          <w:spacing w:val="-2"/>
        </w:rPr>
        <w:t>2022.</w:t>
      </w:r>
    </w:p>
    <w:p w:rsidR="0011361F" w:rsidRDefault="00644AB5" w:rsidP="008D1A5E">
      <w:r w:rsidRPr="008D1A5E">
        <w:t>https://www.amnesty.org/es/documents/amr23/132/2002/es/</w:t>
      </w:r>
      <w:r w:rsidR="00AF18A5">
        <w:t>.</w:t>
      </w:r>
    </w:p>
    <w:p w:rsidR="003804AC" w:rsidRDefault="00AF18A5" w:rsidP="008D1A5E">
      <w:r>
        <w:t>Banco</w:t>
      </w:r>
      <w:r>
        <w:rPr>
          <w:spacing w:val="40"/>
        </w:rPr>
        <w:t xml:space="preserve"> </w:t>
      </w:r>
      <w:r>
        <w:t>de</w:t>
      </w:r>
      <w:r>
        <w:rPr>
          <w:spacing w:val="40"/>
        </w:rPr>
        <w:t xml:space="preserve"> </w:t>
      </w:r>
      <w:r>
        <w:t>Datos</w:t>
      </w:r>
      <w:r>
        <w:rPr>
          <w:spacing w:val="40"/>
        </w:rPr>
        <w:t xml:space="preserve"> </w:t>
      </w:r>
      <w:r>
        <w:t>CINEP</w:t>
      </w:r>
      <w:r>
        <w:rPr>
          <w:spacing w:val="40"/>
        </w:rPr>
        <w:t xml:space="preserve"> </w:t>
      </w:r>
      <w:r>
        <w:t>y</w:t>
      </w:r>
      <w:r>
        <w:rPr>
          <w:spacing w:val="40"/>
        </w:rPr>
        <w:t xml:space="preserve"> </w:t>
      </w:r>
      <w:r>
        <w:t>Centro</w:t>
      </w:r>
      <w:r>
        <w:rPr>
          <w:spacing w:val="40"/>
        </w:rPr>
        <w:t xml:space="preserve"> </w:t>
      </w:r>
      <w:r>
        <w:t>de</w:t>
      </w:r>
      <w:r>
        <w:rPr>
          <w:spacing w:val="40"/>
        </w:rPr>
        <w:t xml:space="preserve"> </w:t>
      </w:r>
      <w:r>
        <w:t>Investigación</w:t>
      </w:r>
      <w:r>
        <w:rPr>
          <w:spacing w:val="40"/>
        </w:rPr>
        <w:t xml:space="preserve"> </w:t>
      </w:r>
      <w:r>
        <w:t>y</w:t>
      </w:r>
      <w:r>
        <w:rPr>
          <w:spacing w:val="40"/>
        </w:rPr>
        <w:t xml:space="preserve"> </w:t>
      </w:r>
      <w:r>
        <w:t>Educación</w:t>
      </w:r>
      <w:r>
        <w:rPr>
          <w:spacing w:val="40"/>
        </w:rPr>
        <w:t xml:space="preserve"> </w:t>
      </w:r>
      <w:r>
        <w:t>Popular</w:t>
      </w:r>
      <w:r>
        <w:rPr>
          <w:spacing w:val="40"/>
        </w:rPr>
        <w:t xml:space="preserve"> </w:t>
      </w:r>
      <w:r>
        <w:t>(CINEP).</w:t>
      </w:r>
      <w:r>
        <w:rPr>
          <w:spacing w:val="40"/>
        </w:rPr>
        <w:t xml:space="preserve"> </w:t>
      </w:r>
      <w:r>
        <w:t>«Deuda</w:t>
      </w:r>
      <w:r>
        <w:rPr>
          <w:spacing w:val="40"/>
        </w:rPr>
        <w:t xml:space="preserve"> </w:t>
      </w:r>
      <w:r>
        <w:t>con</w:t>
      </w:r>
      <w:r>
        <w:rPr>
          <w:spacing w:val="40"/>
        </w:rPr>
        <w:t xml:space="preserve"> </w:t>
      </w:r>
      <w:r>
        <w:t xml:space="preserve">la humanidad. Paramilitarismo de Estado en Colombia 1988-2003». </w:t>
      </w:r>
      <w:r>
        <w:rPr>
          <w:i/>
        </w:rPr>
        <w:t xml:space="preserve">Noche y Niebla </w:t>
      </w:r>
      <w:r>
        <w:t>2004):</w:t>
      </w:r>
    </w:p>
    <w:p w:rsidR="0011361F" w:rsidRDefault="00AF18A5" w:rsidP="008D1A5E">
      <w:r>
        <w:t>———.</w:t>
      </w:r>
      <w:r>
        <w:rPr>
          <w:spacing w:val="-4"/>
        </w:rPr>
        <w:t xml:space="preserve"> </w:t>
      </w:r>
      <w:r>
        <w:t>«Las</w:t>
      </w:r>
      <w:r>
        <w:rPr>
          <w:spacing w:val="-1"/>
        </w:rPr>
        <w:t xml:space="preserve"> </w:t>
      </w:r>
      <w:r>
        <w:t>Convivir:</w:t>
      </w:r>
      <w:r>
        <w:rPr>
          <w:spacing w:val="-2"/>
        </w:rPr>
        <w:t xml:space="preserve"> </w:t>
      </w:r>
      <w:r>
        <w:t>la</w:t>
      </w:r>
      <w:r>
        <w:rPr>
          <w:spacing w:val="-2"/>
        </w:rPr>
        <w:t xml:space="preserve"> </w:t>
      </w:r>
      <w:r>
        <w:t>legalización</w:t>
      </w:r>
      <w:r>
        <w:rPr>
          <w:spacing w:val="-1"/>
        </w:rPr>
        <w:t xml:space="preserve"> </w:t>
      </w:r>
      <w:r>
        <w:t>del</w:t>
      </w:r>
      <w:r>
        <w:rPr>
          <w:spacing w:val="-2"/>
        </w:rPr>
        <w:t xml:space="preserve"> </w:t>
      </w:r>
      <w:r>
        <w:t>paramilitarismo».</w:t>
      </w:r>
      <w:r>
        <w:rPr>
          <w:spacing w:val="-2"/>
        </w:rPr>
        <w:t xml:space="preserve"> </w:t>
      </w:r>
      <w:r>
        <w:rPr>
          <w:i/>
        </w:rPr>
        <w:t>Noche</w:t>
      </w:r>
      <w:r>
        <w:rPr>
          <w:i/>
          <w:spacing w:val="-1"/>
        </w:rPr>
        <w:t xml:space="preserve"> </w:t>
      </w:r>
      <w:r>
        <w:rPr>
          <w:i/>
        </w:rPr>
        <w:t>y</w:t>
      </w:r>
      <w:r>
        <w:rPr>
          <w:i/>
          <w:spacing w:val="-2"/>
        </w:rPr>
        <w:t xml:space="preserve"> </w:t>
      </w:r>
      <w:r>
        <w:rPr>
          <w:i/>
        </w:rPr>
        <w:t>Niebla</w:t>
      </w:r>
      <w:r>
        <w:rPr>
          <w:i/>
          <w:spacing w:val="-1"/>
        </w:rPr>
        <w:t xml:space="preserve"> </w:t>
      </w:r>
      <w:r>
        <w:rPr>
          <w:spacing w:val="-2"/>
        </w:rPr>
        <w:t>2004):</w:t>
      </w:r>
    </w:p>
    <w:p w:rsidR="003804AC" w:rsidRDefault="00AF18A5" w:rsidP="008D1A5E">
      <w:r>
        <w:t>Barón</w:t>
      </w:r>
      <w:r>
        <w:rPr>
          <w:spacing w:val="-1"/>
        </w:rPr>
        <w:t xml:space="preserve"> </w:t>
      </w:r>
      <w:r>
        <w:t>Villa,</w:t>
      </w:r>
      <w:r>
        <w:rPr>
          <w:spacing w:val="-2"/>
        </w:rPr>
        <w:t xml:space="preserve"> </w:t>
      </w:r>
      <w:r>
        <w:t>Mauricio.</w:t>
      </w:r>
      <w:r>
        <w:rPr>
          <w:spacing w:val="-1"/>
        </w:rPr>
        <w:t xml:space="preserve"> </w:t>
      </w:r>
      <w:r>
        <w:t>«Apogeo</w:t>
      </w:r>
      <w:r>
        <w:rPr>
          <w:spacing w:val="-1"/>
        </w:rPr>
        <w:t xml:space="preserve"> </w:t>
      </w:r>
      <w:r>
        <w:t>y</w:t>
      </w:r>
      <w:r>
        <w:rPr>
          <w:spacing w:val="-1"/>
        </w:rPr>
        <w:t xml:space="preserve"> </w:t>
      </w:r>
      <w:r>
        <w:t>caída</w:t>
      </w:r>
      <w:r>
        <w:rPr>
          <w:spacing w:val="-1"/>
        </w:rPr>
        <w:t xml:space="preserve"> </w:t>
      </w:r>
      <w:r>
        <w:t>de</w:t>
      </w:r>
      <w:r>
        <w:rPr>
          <w:spacing w:val="-1"/>
        </w:rPr>
        <w:t xml:space="preserve"> </w:t>
      </w:r>
      <w:r>
        <w:t>las</w:t>
      </w:r>
      <w:r>
        <w:rPr>
          <w:spacing w:val="-1"/>
        </w:rPr>
        <w:t xml:space="preserve"> </w:t>
      </w:r>
      <w:r>
        <w:t>autodefensas</w:t>
      </w:r>
      <w:r>
        <w:rPr>
          <w:spacing w:val="-1"/>
        </w:rPr>
        <w:t xml:space="preserve"> </w:t>
      </w:r>
      <w:r>
        <w:t>de</w:t>
      </w:r>
      <w:r>
        <w:rPr>
          <w:spacing w:val="-1"/>
        </w:rPr>
        <w:t xml:space="preserve"> </w:t>
      </w:r>
      <w:r>
        <w:t>Puerto</w:t>
      </w:r>
      <w:r>
        <w:rPr>
          <w:spacing w:val="-1"/>
        </w:rPr>
        <w:t xml:space="preserve"> </w:t>
      </w:r>
      <w:r>
        <w:t>Boyacá:</w:t>
      </w:r>
      <w:r>
        <w:rPr>
          <w:spacing w:val="-1"/>
        </w:rPr>
        <w:t xml:space="preserve"> </w:t>
      </w:r>
      <w:r>
        <w:t>del</w:t>
      </w:r>
      <w:r>
        <w:rPr>
          <w:spacing w:val="-1"/>
        </w:rPr>
        <w:t xml:space="preserve"> </w:t>
      </w:r>
      <w:r>
        <w:t>paramilitarismo</w:t>
      </w:r>
      <w:r>
        <w:rPr>
          <w:spacing w:val="-1"/>
        </w:rPr>
        <w:t xml:space="preserve"> </w:t>
      </w:r>
      <w:r>
        <w:t>a</w:t>
      </w:r>
      <w:r>
        <w:rPr>
          <w:spacing w:val="-1"/>
        </w:rPr>
        <w:t xml:space="preserve"> </w:t>
      </w:r>
      <w:r>
        <w:t>los señores de la guerra en el Magdalena Medio». Tesis de Maestría, Universidad Nacional de Colombia, 2011repositorio.unal.edu.co.</w:t>
      </w:r>
    </w:p>
    <w:p w:rsidR="003804AC" w:rsidRDefault="00AF18A5" w:rsidP="008D1A5E">
      <w:r>
        <w:t xml:space="preserve">Cable, Embajada de Estados Unidos en Colombia, ««19981218-22122» </w:t>
      </w:r>
      <w:proofErr w:type="spellStart"/>
      <w:r>
        <w:t>Trip</w:t>
      </w:r>
      <w:proofErr w:type="spellEnd"/>
      <w:r>
        <w:t xml:space="preserve"> </w:t>
      </w:r>
      <w:proofErr w:type="spellStart"/>
      <w:r>
        <w:t>report</w:t>
      </w:r>
      <w:proofErr w:type="spellEnd"/>
      <w:r>
        <w:t xml:space="preserve"> </w:t>
      </w:r>
      <w:proofErr w:type="spellStart"/>
      <w:r>
        <w:t>to</w:t>
      </w:r>
      <w:proofErr w:type="spellEnd"/>
      <w:r>
        <w:t xml:space="preserve"> </w:t>
      </w:r>
      <w:proofErr w:type="spellStart"/>
      <w:r>
        <w:t>Monteria</w:t>
      </w:r>
      <w:proofErr w:type="spellEnd"/>
      <w:r>
        <w:t xml:space="preserve">, A </w:t>
      </w:r>
      <w:proofErr w:type="spellStart"/>
      <w:r>
        <w:t>Colombian</w:t>
      </w:r>
      <w:proofErr w:type="spellEnd"/>
      <w:r>
        <w:t xml:space="preserve"> «Para»- </w:t>
      </w:r>
      <w:proofErr w:type="spellStart"/>
      <w:r>
        <w:t>Dise</w:t>
      </w:r>
      <w:proofErr w:type="spellEnd"/>
      <w:r>
        <w:t xml:space="preserve"> (</w:t>
      </w:r>
      <w:proofErr w:type="spellStart"/>
      <w:r>
        <w:t>Part</w:t>
      </w:r>
      <w:proofErr w:type="spellEnd"/>
      <w:r>
        <w:t xml:space="preserve"> I: </w:t>
      </w:r>
      <w:proofErr w:type="spellStart"/>
      <w:r>
        <w:t>The</w:t>
      </w:r>
      <w:proofErr w:type="spellEnd"/>
      <w:r>
        <w:t xml:space="preserve"> </w:t>
      </w:r>
      <w:proofErr w:type="spellStart"/>
      <w:r>
        <w:t>Paramilitaries</w:t>
      </w:r>
      <w:proofErr w:type="spellEnd"/>
      <w:r>
        <w:t xml:space="preserve"> </w:t>
      </w:r>
      <w:proofErr w:type="spellStart"/>
      <w:r>
        <w:t>Propose</w:t>
      </w:r>
      <w:proofErr w:type="spellEnd"/>
      <w:r>
        <w:t xml:space="preserve"> a </w:t>
      </w:r>
      <w:proofErr w:type="spellStart"/>
      <w:r>
        <w:t>National</w:t>
      </w:r>
      <w:proofErr w:type="spellEnd"/>
      <w:r>
        <w:t xml:space="preserve"> </w:t>
      </w:r>
      <w:proofErr w:type="spellStart"/>
      <w:r>
        <w:t>Peace</w:t>
      </w:r>
      <w:proofErr w:type="spellEnd"/>
      <w:r>
        <w:t xml:space="preserve"> </w:t>
      </w:r>
      <w:proofErr w:type="spellStart"/>
      <w:r>
        <w:t>Assembly</w:t>
      </w:r>
      <w:proofErr w:type="spellEnd"/>
      <w:r>
        <w:t xml:space="preserve">)», Fuente de archivo externa 79242-OE-206557, </w:t>
      </w:r>
      <w:proofErr w:type="spellStart"/>
      <w:r>
        <w:t>Confidential</w:t>
      </w:r>
      <w:proofErr w:type="spellEnd"/>
      <w:r>
        <w:t xml:space="preserve">, 1998, Colombia </w:t>
      </w:r>
      <w:proofErr w:type="spellStart"/>
      <w:r>
        <w:t>Documentation</w:t>
      </w:r>
      <w:proofErr w:type="spellEnd"/>
      <w:r>
        <w:t xml:space="preserve"> Project, </w:t>
      </w:r>
      <w:proofErr w:type="spellStart"/>
      <w:r>
        <w:t>The</w:t>
      </w:r>
      <w:proofErr w:type="spellEnd"/>
      <w:r>
        <w:t xml:space="preserve"> </w:t>
      </w:r>
      <w:proofErr w:type="spellStart"/>
      <w:r>
        <w:t>National</w:t>
      </w:r>
      <w:proofErr w:type="spellEnd"/>
      <w:r>
        <w:t xml:space="preserve"> Security Archive, Washington, D.C.</w:t>
      </w:r>
    </w:p>
    <w:p w:rsidR="003804AC" w:rsidRDefault="00AF18A5" w:rsidP="008D1A5E">
      <w:r>
        <w:t>Catálogo de</w:t>
      </w:r>
      <w:r>
        <w:rPr>
          <w:spacing w:val="-1"/>
        </w:rPr>
        <w:t xml:space="preserve"> </w:t>
      </w:r>
      <w:proofErr w:type="spellStart"/>
      <w:r>
        <w:t>microdatos</w:t>
      </w:r>
      <w:proofErr w:type="spellEnd"/>
      <w:r>
        <w:rPr>
          <w:spacing w:val="-2"/>
        </w:rPr>
        <w:t xml:space="preserve"> </w:t>
      </w:r>
      <w:r>
        <w:t>de la Comisión de la Verdad 002-MD-afec3b0c-</w:t>
      </w:r>
      <w:r>
        <w:lastRenderedPageBreak/>
        <w:t>79b0-455f-a613-0aa71f8a3c44. Base</w:t>
      </w:r>
      <w:r>
        <w:rPr>
          <w:spacing w:val="-1"/>
        </w:rPr>
        <w:t xml:space="preserve"> </w:t>
      </w:r>
      <w:r>
        <w:t>de</w:t>
      </w:r>
      <w:r>
        <w:rPr>
          <w:spacing w:val="-1"/>
        </w:rPr>
        <w:t xml:space="preserve"> </w:t>
      </w:r>
      <w:r>
        <w:t>datos</w:t>
      </w:r>
      <w:r>
        <w:rPr>
          <w:spacing w:val="-1"/>
        </w:rPr>
        <w:t xml:space="preserve"> </w:t>
      </w:r>
      <w:r>
        <w:t>de</w:t>
      </w:r>
      <w:r>
        <w:rPr>
          <w:spacing w:val="-1"/>
        </w:rPr>
        <w:t xml:space="preserve"> </w:t>
      </w:r>
      <w:r>
        <w:t>casos</w:t>
      </w:r>
      <w:r>
        <w:rPr>
          <w:spacing w:val="-2"/>
        </w:rPr>
        <w:t xml:space="preserve"> </w:t>
      </w:r>
      <w:r>
        <w:t>y</w:t>
      </w:r>
      <w:r>
        <w:rPr>
          <w:spacing w:val="-1"/>
        </w:rPr>
        <w:t xml:space="preserve"> </w:t>
      </w:r>
      <w:r>
        <w:t>víctimas</w:t>
      </w:r>
      <w:r>
        <w:rPr>
          <w:spacing w:val="-1"/>
        </w:rPr>
        <w:t xml:space="preserve"> </w:t>
      </w:r>
      <w:r>
        <w:t>del</w:t>
      </w:r>
      <w:r>
        <w:rPr>
          <w:spacing w:val="-1"/>
        </w:rPr>
        <w:t xml:space="preserve"> </w:t>
      </w:r>
      <w:r>
        <w:t>Observatorio</w:t>
      </w:r>
      <w:r>
        <w:rPr>
          <w:spacing w:val="-1"/>
        </w:rPr>
        <w:t xml:space="preserve"> </w:t>
      </w:r>
      <w:r>
        <w:t>de</w:t>
      </w:r>
      <w:r>
        <w:rPr>
          <w:spacing w:val="-2"/>
        </w:rPr>
        <w:t xml:space="preserve"> </w:t>
      </w:r>
      <w:r>
        <w:t>Memoria</w:t>
      </w:r>
      <w:r>
        <w:rPr>
          <w:spacing w:val="-1"/>
        </w:rPr>
        <w:t xml:space="preserve"> </w:t>
      </w:r>
      <w:r>
        <w:t>y</w:t>
      </w:r>
      <w:r>
        <w:rPr>
          <w:spacing w:val="-2"/>
        </w:rPr>
        <w:t xml:space="preserve"> </w:t>
      </w:r>
      <w:r>
        <w:t>Conflicto</w:t>
      </w:r>
      <w:r>
        <w:rPr>
          <w:spacing w:val="-1"/>
        </w:rPr>
        <w:t xml:space="preserve"> </w:t>
      </w:r>
      <w:r>
        <w:t>del</w:t>
      </w:r>
      <w:r>
        <w:rPr>
          <w:spacing w:val="-2"/>
        </w:rPr>
        <w:t xml:space="preserve"> </w:t>
      </w:r>
      <w:r>
        <w:t>CNMH.</w:t>
      </w:r>
      <w:r>
        <w:rPr>
          <w:spacing w:val="-1"/>
        </w:rPr>
        <w:t xml:space="preserve"> </w:t>
      </w:r>
      <w:r>
        <w:t>Centro Nacional de Memoria Histórica, 2022</w:t>
      </w:r>
    </w:p>
    <w:p w:rsidR="003804AC" w:rsidRDefault="00AF18A5" w:rsidP="008D1A5E">
      <w:r>
        <w:t xml:space="preserve">Celis Irurita, Laura. «Justicia y Paz: ¿un círculo de impunidad?». Acceso el 25 de junio de 2022. </w:t>
      </w:r>
      <w:hyperlink r:id="rId41">
        <w:r>
          <w:rPr>
            <w:spacing w:val="-2"/>
          </w:rPr>
          <w:t>https://en.directobogota.com/amp/justicia-y-paz</w:t>
        </w:r>
      </w:hyperlink>
      <w:r>
        <w:rPr>
          <w:spacing w:val="-2"/>
        </w:rPr>
        <w:t>.</w:t>
      </w:r>
    </w:p>
    <w:p w:rsidR="003804AC" w:rsidRDefault="00AF18A5" w:rsidP="008D1A5E">
      <w:r>
        <w:t>Centro</w:t>
      </w:r>
      <w:r>
        <w:rPr>
          <w:spacing w:val="-9"/>
        </w:rPr>
        <w:t xml:space="preserve"> </w:t>
      </w:r>
      <w:r>
        <w:t>de</w:t>
      </w:r>
      <w:r>
        <w:rPr>
          <w:spacing w:val="-9"/>
        </w:rPr>
        <w:t xml:space="preserve"> </w:t>
      </w:r>
      <w:r>
        <w:t>Estudios</w:t>
      </w:r>
      <w:r>
        <w:rPr>
          <w:spacing w:val="-9"/>
        </w:rPr>
        <w:t xml:space="preserve"> </w:t>
      </w:r>
      <w:r>
        <w:t>de</w:t>
      </w:r>
      <w:r>
        <w:rPr>
          <w:spacing w:val="-9"/>
        </w:rPr>
        <w:t xml:space="preserve"> </w:t>
      </w:r>
      <w:r>
        <w:t>Derecho</w:t>
      </w:r>
      <w:r>
        <w:rPr>
          <w:spacing w:val="-9"/>
        </w:rPr>
        <w:t xml:space="preserve"> </w:t>
      </w:r>
      <w:r>
        <w:t>Justicia</w:t>
      </w:r>
      <w:r>
        <w:rPr>
          <w:spacing w:val="-9"/>
        </w:rPr>
        <w:t xml:space="preserve"> </w:t>
      </w:r>
      <w:r>
        <w:t>y</w:t>
      </w:r>
      <w:r>
        <w:rPr>
          <w:spacing w:val="-9"/>
        </w:rPr>
        <w:t xml:space="preserve"> </w:t>
      </w:r>
      <w:r>
        <w:t>Sociedad</w:t>
      </w:r>
      <w:r>
        <w:rPr>
          <w:spacing w:val="-11"/>
        </w:rPr>
        <w:t xml:space="preserve"> </w:t>
      </w:r>
      <w:r>
        <w:t>(</w:t>
      </w:r>
      <w:proofErr w:type="spellStart"/>
      <w:r>
        <w:t>Dejusticia</w:t>
      </w:r>
      <w:proofErr w:type="spellEnd"/>
      <w:r>
        <w:t>),</w:t>
      </w:r>
      <w:r>
        <w:rPr>
          <w:spacing w:val="-9"/>
        </w:rPr>
        <w:t xml:space="preserve"> </w:t>
      </w:r>
      <w:r>
        <w:t>Nelson</w:t>
      </w:r>
      <w:r>
        <w:rPr>
          <w:spacing w:val="-9"/>
        </w:rPr>
        <w:t xml:space="preserve"> </w:t>
      </w:r>
      <w:r>
        <w:t>Sánchez</w:t>
      </w:r>
      <w:r>
        <w:rPr>
          <w:spacing w:val="-9"/>
        </w:rPr>
        <w:t xml:space="preserve"> </w:t>
      </w:r>
      <w:r>
        <w:t>León,</w:t>
      </w:r>
      <w:r>
        <w:rPr>
          <w:spacing w:val="-11"/>
        </w:rPr>
        <w:t xml:space="preserve"> </w:t>
      </w:r>
      <w:r>
        <w:t>Leigh</w:t>
      </w:r>
      <w:r>
        <w:rPr>
          <w:spacing w:val="-9"/>
        </w:rPr>
        <w:t xml:space="preserve"> </w:t>
      </w:r>
      <w:r>
        <w:t>Payne,</w:t>
      </w:r>
      <w:r>
        <w:rPr>
          <w:spacing w:val="-9"/>
        </w:rPr>
        <w:t xml:space="preserve"> </w:t>
      </w:r>
      <w:r>
        <w:t xml:space="preserve">José </w:t>
      </w:r>
      <w:r>
        <w:rPr>
          <w:spacing w:val="-2"/>
        </w:rPr>
        <w:t>Roberto</w:t>
      </w:r>
      <w:r>
        <w:rPr>
          <w:spacing w:val="-4"/>
        </w:rPr>
        <w:t xml:space="preserve"> </w:t>
      </w:r>
      <w:r>
        <w:rPr>
          <w:spacing w:val="-2"/>
        </w:rPr>
        <w:t>Gabriel Pereira,</w:t>
      </w:r>
      <w:r>
        <w:rPr>
          <w:spacing w:val="-5"/>
        </w:rPr>
        <w:t xml:space="preserve"> </w:t>
      </w:r>
      <w:r>
        <w:rPr>
          <w:spacing w:val="-2"/>
        </w:rPr>
        <w:t>Laura</w:t>
      </w:r>
      <w:r>
        <w:rPr>
          <w:spacing w:val="-4"/>
        </w:rPr>
        <w:t xml:space="preserve"> </w:t>
      </w:r>
      <w:r>
        <w:rPr>
          <w:spacing w:val="-2"/>
        </w:rPr>
        <w:t>Bernal-Bermúdez,</w:t>
      </w:r>
      <w:r>
        <w:rPr>
          <w:spacing w:val="-5"/>
        </w:rPr>
        <w:t xml:space="preserve"> </w:t>
      </w:r>
      <w:r>
        <w:rPr>
          <w:spacing w:val="-2"/>
        </w:rPr>
        <w:t>Daniel</w:t>
      </w:r>
      <w:r>
        <w:rPr>
          <w:spacing w:val="-5"/>
        </w:rPr>
        <w:t xml:space="preserve"> </w:t>
      </w:r>
      <w:proofErr w:type="spellStart"/>
      <w:r>
        <w:rPr>
          <w:spacing w:val="-2"/>
        </w:rPr>
        <w:t>Marin</w:t>
      </w:r>
      <w:proofErr w:type="spellEnd"/>
      <w:r>
        <w:rPr>
          <w:spacing w:val="-4"/>
        </w:rPr>
        <w:t xml:space="preserve"> </w:t>
      </w:r>
      <w:r>
        <w:rPr>
          <w:spacing w:val="-2"/>
        </w:rPr>
        <w:t>López,</w:t>
      </w:r>
      <w:r>
        <w:rPr>
          <w:spacing w:val="-4"/>
        </w:rPr>
        <w:t xml:space="preserve"> </w:t>
      </w:r>
      <w:r>
        <w:rPr>
          <w:spacing w:val="-2"/>
        </w:rPr>
        <w:t>y</w:t>
      </w:r>
      <w:r>
        <w:rPr>
          <w:spacing w:val="-5"/>
        </w:rPr>
        <w:t xml:space="preserve"> </w:t>
      </w:r>
      <w:r>
        <w:rPr>
          <w:spacing w:val="-2"/>
        </w:rPr>
        <w:t>Miguel</w:t>
      </w:r>
      <w:r>
        <w:rPr>
          <w:spacing w:val="-5"/>
        </w:rPr>
        <w:t xml:space="preserve"> </w:t>
      </w:r>
      <w:r>
        <w:rPr>
          <w:spacing w:val="-2"/>
        </w:rPr>
        <w:t>Barboza</w:t>
      </w:r>
      <w:r>
        <w:rPr>
          <w:spacing w:val="-4"/>
        </w:rPr>
        <w:t xml:space="preserve"> </w:t>
      </w:r>
      <w:r>
        <w:rPr>
          <w:spacing w:val="-2"/>
        </w:rPr>
        <w:t xml:space="preserve">López. </w:t>
      </w:r>
      <w:r>
        <w:rPr>
          <w:i/>
        </w:rPr>
        <w:t>Cuentas</w:t>
      </w:r>
      <w:r>
        <w:rPr>
          <w:i/>
          <w:spacing w:val="-3"/>
        </w:rPr>
        <w:t xml:space="preserve"> </w:t>
      </w:r>
      <w:r>
        <w:rPr>
          <w:i/>
        </w:rPr>
        <w:t>claras:</w:t>
      </w:r>
      <w:r>
        <w:rPr>
          <w:i/>
          <w:spacing w:val="-3"/>
        </w:rPr>
        <w:t xml:space="preserve"> </w:t>
      </w:r>
      <w:r>
        <w:rPr>
          <w:i/>
        </w:rPr>
        <w:t>el</w:t>
      </w:r>
      <w:r>
        <w:rPr>
          <w:i/>
          <w:spacing w:val="-3"/>
        </w:rPr>
        <w:t xml:space="preserve"> </w:t>
      </w:r>
      <w:r>
        <w:rPr>
          <w:i/>
        </w:rPr>
        <w:t>papel</w:t>
      </w:r>
      <w:r>
        <w:rPr>
          <w:i/>
          <w:spacing w:val="-4"/>
        </w:rPr>
        <w:t xml:space="preserve"> </w:t>
      </w:r>
      <w:r>
        <w:rPr>
          <w:i/>
        </w:rPr>
        <w:t>de</w:t>
      </w:r>
      <w:r>
        <w:rPr>
          <w:i/>
          <w:spacing w:val="-3"/>
        </w:rPr>
        <w:t xml:space="preserve"> </w:t>
      </w:r>
      <w:r>
        <w:rPr>
          <w:i/>
        </w:rPr>
        <w:t>la</w:t>
      </w:r>
      <w:r>
        <w:rPr>
          <w:i/>
          <w:spacing w:val="-4"/>
        </w:rPr>
        <w:t xml:space="preserve"> </w:t>
      </w:r>
      <w:r>
        <w:rPr>
          <w:i/>
        </w:rPr>
        <w:t>Comisión</w:t>
      </w:r>
      <w:r>
        <w:rPr>
          <w:i/>
          <w:spacing w:val="-4"/>
        </w:rPr>
        <w:t xml:space="preserve"> </w:t>
      </w:r>
      <w:r>
        <w:rPr>
          <w:i/>
        </w:rPr>
        <w:t>de</w:t>
      </w:r>
      <w:r>
        <w:rPr>
          <w:i/>
          <w:spacing w:val="-3"/>
        </w:rPr>
        <w:t xml:space="preserve"> </w:t>
      </w:r>
      <w:r>
        <w:rPr>
          <w:i/>
        </w:rPr>
        <w:t>la</w:t>
      </w:r>
      <w:r>
        <w:rPr>
          <w:i/>
          <w:spacing w:val="-4"/>
        </w:rPr>
        <w:t xml:space="preserve"> </w:t>
      </w:r>
      <w:r>
        <w:rPr>
          <w:i/>
        </w:rPr>
        <w:t>Verdad</w:t>
      </w:r>
      <w:r>
        <w:rPr>
          <w:i/>
          <w:spacing w:val="-4"/>
        </w:rPr>
        <w:t xml:space="preserve"> </w:t>
      </w:r>
      <w:r>
        <w:rPr>
          <w:i/>
        </w:rPr>
        <w:t>en</w:t>
      </w:r>
      <w:r>
        <w:rPr>
          <w:i/>
          <w:spacing w:val="-4"/>
        </w:rPr>
        <w:t xml:space="preserve"> </w:t>
      </w:r>
      <w:r>
        <w:rPr>
          <w:i/>
        </w:rPr>
        <w:t>la</w:t>
      </w:r>
      <w:r>
        <w:rPr>
          <w:i/>
          <w:spacing w:val="-4"/>
        </w:rPr>
        <w:t xml:space="preserve"> </w:t>
      </w:r>
      <w:r>
        <w:rPr>
          <w:i/>
        </w:rPr>
        <w:t>develación</w:t>
      </w:r>
      <w:r>
        <w:rPr>
          <w:i/>
          <w:spacing w:val="-4"/>
        </w:rPr>
        <w:t xml:space="preserve"> </w:t>
      </w:r>
      <w:r>
        <w:rPr>
          <w:i/>
        </w:rPr>
        <w:t>de</w:t>
      </w:r>
      <w:r>
        <w:rPr>
          <w:i/>
          <w:spacing w:val="-5"/>
        </w:rPr>
        <w:t xml:space="preserve"> </w:t>
      </w:r>
      <w:r>
        <w:rPr>
          <w:i/>
        </w:rPr>
        <w:t>la</w:t>
      </w:r>
      <w:r>
        <w:rPr>
          <w:i/>
          <w:spacing w:val="-4"/>
        </w:rPr>
        <w:t xml:space="preserve"> </w:t>
      </w:r>
      <w:r>
        <w:rPr>
          <w:i/>
        </w:rPr>
        <w:t>responsabilidad</w:t>
      </w:r>
      <w:r>
        <w:rPr>
          <w:i/>
          <w:spacing w:val="-4"/>
        </w:rPr>
        <w:t xml:space="preserve"> </w:t>
      </w:r>
      <w:r>
        <w:rPr>
          <w:i/>
        </w:rPr>
        <w:t>de empresas en el conflicto armado colombiano</w:t>
      </w:r>
      <w:r>
        <w:t xml:space="preserve">. Bogotá: Ediciones </w:t>
      </w:r>
      <w:proofErr w:type="spellStart"/>
      <w:r>
        <w:t>Antropos</w:t>
      </w:r>
      <w:proofErr w:type="spellEnd"/>
      <w:r>
        <w:t>, 2018.</w:t>
      </w:r>
    </w:p>
    <w:p w:rsidR="003804AC" w:rsidRDefault="00AF18A5" w:rsidP="008D1A5E">
      <w:r>
        <w:t>Centro Internacional de Toledo para la Paz (</w:t>
      </w:r>
      <w:proofErr w:type="spellStart"/>
      <w:r>
        <w:t>CITpax</w:t>
      </w:r>
      <w:proofErr w:type="spellEnd"/>
      <w:r>
        <w:t>), Instituto de Salud Pública (Pontificia Universidad Javeriana),</w:t>
      </w:r>
      <w:r>
        <w:rPr>
          <w:spacing w:val="-12"/>
        </w:rPr>
        <w:t xml:space="preserve"> </w:t>
      </w:r>
      <w:r>
        <w:t>y</w:t>
      </w:r>
      <w:r>
        <w:rPr>
          <w:spacing w:val="-13"/>
        </w:rPr>
        <w:t xml:space="preserve"> </w:t>
      </w:r>
      <w:r>
        <w:t>Facultad</w:t>
      </w:r>
      <w:r>
        <w:rPr>
          <w:spacing w:val="-12"/>
        </w:rPr>
        <w:t xml:space="preserve"> </w:t>
      </w:r>
      <w:r>
        <w:t>de</w:t>
      </w:r>
      <w:r>
        <w:rPr>
          <w:spacing w:val="-13"/>
        </w:rPr>
        <w:t xml:space="preserve"> </w:t>
      </w:r>
      <w:r>
        <w:t>Ciencias</w:t>
      </w:r>
      <w:r>
        <w:rPr>
          <w:spacing w:val="-12"/>
        </w:rPr>
        <w:t xml:space="preserve"> </w:t>
      </w:r>
      <w:r>
        <w:t>Políticas</w:t>
      </w:r>
      <w:r>
        <w:rPr>
          <w:spacing w:val="-12"/>
        </w:rPr>
        <w:t xml:space="preserve"> </w:t>
      </w:r>
      <w:r>
        <w:t>y</w:t>
      </w:r>
      <w:r>
        <w:rPr>
          <w:spacing w:val="-12"/>
        </w:rPr>
        <w:t xml:space="preserve"> </w:t>
      </w:r>
      <w:r>
        <w:t>Relaciones</w:t>
      </w:r>
      <w:r>
        <w:rPr>
          <w:spacing w:val="-12"/>
        </w:rPr>
        <w:t xml:space="preserve"> </w:t>
      </w:r>
      <w:r>
        <w:t>Internacionales</w:t>
      </w:r>
      <w:r>
        <w:rPr>
          <w:spacing w:val="-12"/>
        </w:rPr>
        <w:t xml:space="preserve"> </w:t>
      </w:r>
      <w:r>
        <w:t>(Pontificia</w:t>
      </w:r>
      <w:r>
        <w:rPr>
          <w:spacing w:val="-12"/>
        </w:rPr>
        <w:t xml:space="preserve"> </w:t>
      </w:r>
      <w:r>
        <w:t>Universidad Javeriana).</w:t>
      </w:r>
      <w:r>
        <w:rPr>
          <w:spacing w:val="26"/>
        </w:rPr>
        <w:t xml:space="preserve"> </w:t>
      </w:r>
      <w:r>
        <w:t>«La</w:t>
      </w:r>
      <w:r>
        <w:rPr>
          <w:spacing w:val="29"/>
        </w:rPr>
        <w:t xml:space="preserve"> </w:t>
      </w:r>
      <w:r>
        <w:t>verdad</w:t>
      </w:r>
      <w:r>
        <w:rPr>
          <w:spacing w:val="26"/>
        </w:rPr>
        <w:t xml:space="preserve"> </w:t>
      </w:r>
      <w:r>
        <w:t>en</w:t>
      </w:r>
      <w:r>
        <w:rPr>
          <w:spacing w:val="29"/>
        </w:rPr>
        <w:t xml:space="preserve"> </w:t>
      </w:r>
      <w:r>
        <w:t>las</w:t>
      </w:r>
      <w:r>
        <w:rPr>
          <w:spacing w:val="28"/>
        </w:rPr>
        <w:t xml:space="preserve"> </w:t>
      </w:r>
      <w:r>
        <w:t>sentencias</w:t>
      </w:r>
      <w:r>
        <w:rPr>
          <w:spacing w:val="29"/>
        </w:rPr>
        <w:t xml:space="preserve"> </w:t>
      </w:r>
      <w:r>
        <w:t>de</w:t>
      </w:r>
      <w:r>
        <w:rPr>
          <w:spacing w:val="29"/>
        </w:rPr>
        <w:t xml:space="preserve"> </w:t>
      </w:r>
      <w:r>
        <w:t>Justicia</w:t>
      </w:r>
      <w:r>
        <w:rPr>
          <w:spacing w:val="29"/>
        </w:rPr>
        <w:t xml:space="preserve"> </w:t>
      </w:r>
      <w:r>
        <w:t>y</w:t>
      </w:r>
      <w:r>
        <w:rPr>
          <w:spacing w:val="28"/>
        </w:rPr>
        <w:t xml:space="preserve"> </w:t>
      </w:r>
      <w:r>
        <w:t>Paz.</w:t>
      </w:r>
      <w:r>
        <w:rPr>
          <w:spacing w:val="28"/>
        </w:rPr>
        <w:t xml:space="preserve"> </w:t>
      </w:r>
      <w:r>
        <w:t>Un</w:t>
      </w:r>
      <w:r>
        <w:rPr>
          <w:spacing w:val="29"/>
        </w:rPr>
        <w:t xml:space="preserve"> </w:t>
      </w:r>
      <w:r>
        <w:t>estudio</w:t>
      </w:r>
      <w:r>
        <w:rPr>
          <w:spacing w:val="26"/>
        </w:rPr>
        <w:t xml:space="preserve"> </w:t>
      </w:r>
      <w:r>
        <w:t>cuantitativo</w:t>
      </w:r>
      <w:r>
        <w:rPr>
          <w:spacing w:val="27"/>
        </w:rPr>
        <w:t xml:space="preserve"> </w:t>
      </w:r>
      <w:r>
        <w:t>sobre</w:t>
      </w:r>
      <w:r>
        <w:rPr>
          <w:spacing w:val="28"/>
        </w:rPr>
        <w:t xml:space="preserve"> </w:t>
      </w:r>
      <w:r>
        <w:t xml:space="preserve">los </w:t>
      </w:r>
      <w:r>
        <w:rPr>
          <w:spacing w:val="-2"/>
        </w:rPr>
        <w:t>hechos,</w:t>
      </w:r>
      <w:r>
        <w:tab/>
      </w:r>
      <w:r>
        <w:rPr>
          <w:spacing w:val="-4"/>
        </w:rPr>
        <w:t>sus</w:t>
      </w:r>
      <w:r w:rsidR="008D1A5E">
        <w:rPr>
          <w:spacing w:val="-4"/>
        </w:rPr>
        <w:t xml:space="preserve"> </w:t>
      </w:r>
      <w:r>
        <w:rPr>
          <w:spacing w:val="-2"/>
        </w:rPr>
        <w:t>principales</w:t>
      </w:r>
      <w:r w:rsidR="008D1A5E">
        <w:rPr>
          <w:spacing w:val="-2"/>
        </w:rPr>
        <w:t xml:space="preserve"> </w:t>
      </w:r>
      <w:r>
        <w:rPr>
          <w:spacing w:val="-2"/>
        </w:rPr>
        <w:t>narradores</w:t>
      </w:r>
      <w:r w:rsidR="008D1A5E">
        <w:rPr>
          <w:spacing w:val="-2"/>
        </w:rPr>
        <w:t xml:space="preserve"> </w:t>
      </w:r>
      <w:r>
        <w:rPr>
          <w:spacing w:val="-10"/>
        </w:rPr>
        <w:t>y</w:t>
      </w:r>
      <w:r w:rsidR="008D1A5E">
        <w:rPr>
          <w:spacing w:val="-10"/>
        </w:rPr>
        <w:t xml:space="preserve"> </w:t>
      </w:r>
      <w:r>
        <w:rPr>
          <w:spacing w:val="-4"/>
        </w:rPr>
        <w:t>las</w:t>
      </w:r>
      <w:r w:rsidR="008D1A5E">
        <w:rPr>
          <w:spacing w:val="-4"/>
        </w:rPr>
        <w:t xml:space="preserve"> </w:t>
      </w:r>
      <w:r>
        <w:rPr>
          <w:spacing w:val="-2"/>
        </w:rPr>
        <w:t>redes</w:t>
      </w:r>
      <w:r w:rsidR="008D1A5E">
        <w:rPr>
          <w:spacing w:val="-2"/>
        </w:rPr>
        <w:t xml:space="preserve"> </w:t>
      </w:r>
      <w:r>
        <w:rPr>
          <w:spacing w:val="-6"/>
        </w:rPr>
        <w:t>de</w:t>
      </w:r>
      <w:r w:rsidR="008D1A5E">
        <w:rPr>
          <w:spacing w:val="-6"/>
        </w:rPr>
        <w:t xml:space="preserve"> </w:t>
      </w:r>
      <w:r>
        <w:rPr>
          <w:spacing w:val="-2"/>
        </w:rPr>
        <w:t>apoyo</w:t>
      </w:r>
      <w:r w:rsidR="008D1A5E">
        <w:rPr>
          <w:spacing w:val="-2"/>
        </w:rPr>
        <w:t xml:space="preserve"> </w:t>
      </w:r>
      <w:r>
        <w:rPr>
          <w:spacing w:val="-2"/>
        </w:rPr>
        <w:t>develadas».</w:t>
      </w:r>
      <w:r>
        <w:tab/>
      </w:r>
      <w:r>
        <w:rPr>
          <w:spacing w:val="-2"/>
        </w:rPr>
        <w:t xml:space="preserve">2018. </w:t>
      </w:r>
      <w:hyperlink r:id="rId42">
        <w:r>
          <w:rPr>
            <w:spacing w:val="-2"/>
          </w:rPr>
          <w:t>https://verdadabierta.com/wp-content/uploads/2019/03/Verdad-en-sentencias-JyP.-</w:t>
        </w:r>
      </w:hyperlink>
      <w:r>
        <w:rPr>
          <w:spacing w:val="-2"/>
        </w:rPr>
        <w:t xml:space="preserve"> </w:t>
      </w:r>
      <w:hyperlink r:id="rId43">
        <w:r>
          <w:rPr>
            <w:spacing w:val="-2"/>
          </w:rPr>
          <w:t>CITpaxJaveriana-PDF-FINAL.pdf.</w:t>
        </w:r>
      </w:hyperlink>
    </w:p>
    <w:p w:rsidR="003804AC" w:rsidRDefault="00AF18A5" w:rsidP="008D1A5E">
      <w:r>
        <w:t xml:space="preserve">Centro Nacional de Memoria Histórica (CNMH), y Álvaro Villarraga Sarmiento. </w:t>
      </w:r>
      <w:r>
        <w:rPr>
          <w:i/>
        </w:rPr>
        <w:t>Violencia paramilitar en la Altillanura: Autodefensas Campesinas de Meta y Vichada</w:t>
      </w:r>
      <w:r>
        <w:t>. Bogotá: Centro Nacional de Memoria Histórica (CNMH), 2018.</w:t>
      </w:r>
    </w:p>
    <w:p w:rsidR="003804AC" w:rsidRDefault="00AF18A5" w:rsidP="008D1A5E">
      <w:r>
        <w:t>Centro Nacional de Memoria Histórica (CNMH). Análisis cuantitativo sobre el paramilitarismo en Colombia.</w:t>
      </w:r>
      <w:r>
        <w:rPr>
          <w:spacing w:val="-5"/>
        </w:rPr>
        <w:t xml:space="preserve"> </w:t>
      </w:r>
      <w:r>
        <w:t>Hallazgos</w:t>
      </w:r>
      <w:r>
        <w:rPr>
          <w:spacing w:val="-5"/>
        </w:rPr>
        <w:t xml:space="preserve"> </w:t>
      </w:r>
      <w:r>
        <w:t>del</w:t>
      </w:r>
      <w:r>
        <w:rPr>
          <w:spacing w:val="-5"/>
        </w:rPr>
        <w:t xml:space="preserve"> </w:t>
      </w:r>
      <w:r>
        <w:t>Mecanismo</w:t>
      </w:r>
      <w:r>
        <w:rPr>
          <w:spacing w:val="-5"/>
        </w:rPr>
        <w:t xml:space="preserve"> </w:t>
      </w:r>
      <w:r>
        <w:t>no</w:t>
      </w:r>
      <w:r>
        <w:rPr>
          <w:spacing w:val="-5"/>
        </w:rPr>
        <w:t xml:space="preserve"> </w:t>
      </w:r>
      <w:r>
        <w:lastRenderedPageBreak/>
        <w:t>Judicial</w:t>
      </w:r>
      <w:r>
        <w:rPr>
          <w:spacing w:val="-5"/>
        </w:rPr>
        <w:t xml:space="preserve"> </w:t>
      </w:r>
      <w:r>
        <w:t>de</w:t>
      </w:r>
      <w:r>
        <w:rPr>
          <w:spacing w:val="-5"/>
        </w:rPr>
        <w:t xml:space="preserve"> </w:t>
      </w:r>
      <w:r>
        <w:t>Contribución</w:t>
      </w:r>
      <w:r>
        <w:rPr>
          <w:spacing w:val="-5"/>
        </w:rPr>
        <w:t xml:space="preserve"> </w:t>
      </w:r>
      <w:r>
        <w:t>a</w:t>
      </w:r>
      <w:r>
        <w:rPr>
          <w:spacing w:val="-6"/>
        </w:rPr>
        <w:t xml:space="preserve"> </w:t>
      </w:r>
      <w:r>
        <w:t>la</w:t>
      </w:r>
      <w:r>
        <w:rPr>
          <w:spacing w:val="-5"/>
        </w:rPr>
        <w:t xml:space="preserve"> </w:t>
      </w:r>
      <w:r>
        <w:t>Verdad.</w:t>
      </w:r>
      <w:r>
        <w:rPr>
          <w:spacing w:val="-5"/>
        </w:rPr>
        <w:t xml:space="preserve"> </w:t>
      </w:r>
      <w:r>
        <w:t>Bogotá:</w:t>
      </w:r>
      <w:r>
        <w:rPr>
          <w:spacing w:val="-5"/>
        </w:rPr>
        <w:t xml:space="preserve"> </w:t>
      </w:r>
      <w:r>
        <w:t xml:space="preserve">CNMH, </w:t>
      </w:r>
      <w:r>
        <w:rPr>
          <w:spacing w:val="-2"/>
        </w:rPr>
        <w:t>2019.</w:t>
      </w:r>
    </w:p>
    <w:p w:rsidR="0011361F" w:rsidRDefault="00AF18A5" w:rsidP="008D1A5E">
      <w:r>
        <w:t>———.</w:t>
      </w:r>
      <w:r>
        <w:rPr>
          <w:spacing w:val="-2"/>
        </w:rPr>
        <w:t xml:space="preserve"> </w:t>
      </w:r>
      <w:r>
        <w:t>El</w:t>
      </w:r>
      <w:r>
        <w:rPr>
          <w:spacing w:val="-1"/>
        </w:rPr>
        <w:t xml:space="preserve"> </w:t>
      </w:r>
      <w:r>
        <w:t>Estado</w:t>
      </w:r>
      <w:r>
        <w:rPr>
          <w:spacing w:val="-1"/>
        </w:rPr>
        <w:t xml:space="preserve"> </w:t>
      </w:r>
      <w:r>
        <w:t>Suplantado.</w:t>
      </w:r>
      <w:r>
        <w:rPr>
          <w:spacing w:val="-1"/>
        </w:rPr>
        <w:t xml:space="preserve"> </w:t>
      </w:r>
      <w:r>
        <w:t>Las</w:t>
      </w:r>
      <w:r>
        <w:rPr>
          <w:spacing w:val="-1"/>
        </w:rPr>
        <w:t xml:space="preserve"> </w:t>
      </w:r>
      <w:r>
        <w:t>autodefensas</w:t>
      </w:r>
      <w:r>
        <w:rPr>
          <w:spacing w:val="-1"/>
        </w:rPr>
        <w:t xml:space="preserve"> </w:t>
      </w:r>
      <w:r>
        <w:t>de</w:t>
      </w:r>
      <w:r>
        <w:rPr>
          <w:spacing w:val="-1"/>
        </w:rPr>
        <w:t xml:space="preserve"> </w:t>
      </w:r>
      <w:r>
        <w:t>Puerto</w:t>
      </w:r>
      <w:r>
        <w:rPr>
          <w:spacing w:val="-3"/>
        </w:rPr>
        <w:t xml:space="preserve"> </w:t>
      </w:r>
      <w:r>
        <w:t>Boyacá.</w:t>
      </w:r>
      <w:r>
        <w:rPr>
          <w:spacing w:val="-1"/>
        </w:rPr>
        <w:t xml:space="preserve"> </w:t>
      </w:r>
      <w:r>
        <w:t>Bogotá,</w:t>
      </w:r>
      <w:r>
        <w:rPr>
          <w:spacing w:val="-1"/>
        </w:rPr>
        <w:t xml:space="preserve"> </w:t>
      </w:r>
      <w:r>
        <w:rPr>
          <w:spacing w:val="-2"/>
        </w:rPr>
        <w:t>2019.</w:t>
      </w:r>
    </w:p>
    <w:p w:rsidR="003804AC" w:rsidRDefault="00AF18A5" w:rsidP="008D1A5E">
      <w:r>
        <w:t>———. Paramilitarismo: balance de la contribución del CNMH al esclarecimiento histórico. Bogotá: Centro Nacional de Memoria Histórica (CNMH), 2018.</w:t>
      </w:r>
    </w:p>
    <w:p w:rsidR="003804AC" w:rsidRDefault="00AF18A5" w:rsidP="008D1A5E">
      <w:r>
        <w:t xml:space="preserve">———. «Transcripción de la entrevista a alias Juan Diego (secretario de Carlos Castaño y comandante del </w:t>
      </w:r>
      <w:proofErr w:type="spellStart"/>
      <w:r>
        <w:t>Élmer</w:t>
      </w:r>
      <w:proofErr w:type="spellEnd"/>
      <w:r>
        <w:t xml:space="preserve"> Cárdenas)». 2016</w:t>
      </w:r>
    </w:p>
    <w:p w:rsidR="003804AC" w:rsidRDefault="00AF18A5" w:rsidP="008D1A5E">
      <w:r>
        <w:t>Comisión</w:t>
      </w:r>
      <w:r>
        <w:rPr>
          <w:spacing w:val="34"/>
        </w:rPr>
        <w:t xml:space="preserve"> </w:t>
      </w:r>
      <w:r>
        <w:t>Colombiana</w:t>
      </w:r>
      <w:r>
        <w:rPr>
          <w:spacing w:val="37"/>
        </w:rPr>
        <w:t xml:space="preserve"> </w:t>
      </w:r>
      <w:r>
        <w:t>de</w:t>
      </w:r>
      <w:r>
        <w:rPr>
          <w:spacing w:val="36"/>
        </w:rPr>
        <w:t xml:space="preserve"> </w:t>
      </w:r>
      <w:r>
        <w:t>Juristas</w:t>
      </w:r>
      <w:r>
        <w:rPr>
          <w:spacing w:val="37"/>
        </w:rPr>
        <w:t xml:space="preserve"> </w:t>
      </w:r>
      <w:r>
        <w:t>(CCJ)</w:t>
      </w:r>
      <w:r>
        <w:rPr>
          <w:spacing w:val="37"/>
        </w:rPr>
        <w:t xml:space="preserve"> </w:t>
      </w:r>
      <w:r>
        <w:t>y</w:t>
      </w:r>
      <w:r>
        <w:rPr>
          <w:spacing w:val="36"/>
        </w:rPr>
        <w:t xml:space="preserve"> </w:t>
      </w:r>
      <w:r>
        <w:t>Comisión</w:t>
      </w:r>
      <w:r>
        <w:rPr>
          <w:spacing w:val="36"/>
        </w:rPr>
        <w:t xml:space="preserve"> </w:t>
      </w:r>
      <w:r>
        <w:t>Interamericana</w:t>
      </w:r>
      <w:r>
        <w:rPr>
          <w:spacing w:val="37"/>
        </w:rPr>
        <w:t xml:space="preserve"> </w:t>
      </w:r>
      <w:r>
        <w:t>de</w:t>
      </w:r>
      <w:r>
        <w:rPr>
          <w:spacing w:val="36"/>
        </w:rPr>
        <w:t xml:space="preserve"> </w:t>
      </w:r>
      <w:r>
        <w:t>Derechos</w:t>
      </w:r>
      <w:r>
        <w:rPr>
          <w:spacing w:val="37"/>
        </w:rPr>
        <w:t xml:space="preserve"> </w:t>
      </w:r>
      <w:r>
        <w:t>Humanos</w:t>
      </w:r>
      <w:r>
        <w:rPr>
          <w:spacing w:val="37"/>
        </w:rPr>
        <w:t xml:space="preserve"> </w:t>
      </w:r>
      <w:r>
        <w:rPr>
          <w:spacing w:val="-2"/>
        </w:rPr>
        <w:t>(CIDH).</w:t>
      </w:r>
    </w:p>
    <w:p w:rsidR="003804AC" w:rsidRDefault="00AF18A5" w:rsidP="008D1A5E">
      <w:r>
        <w:t>«Derechos</w:t>
      </w:r>
      <w:r w:rsidR="008D1A5E">
        <w:t xml:space="preserve"> </w:t>
      </w:r>
      <w:r>
        <w:t>Humanos</w:t>
      </w:r>
      <w:r w:rsidR="008D1A5E">
        <w:t xml:space="preserve"> </w:t>
      </w:r>
      <w:r>
        <w:rPr>
          <w:spacing w:val="-5"/>
        </w:rPr>
        <w:t>en</w:t>
      </w:r>
      <w:r w:rsidR="008D1A5E">
        <w:rPr>
          <w:spacing w:val="-5"/>
        </w:rPr>
        <w:t xml:space="preserve"> </w:t>
      </w:r>
      <w:r>
        <w:t>Colombia».</w:t>
      </w:r>
      <w:r w:rsidR="008D1A5E">
        <w:t xml:space="preserve"> </w:t>
      </w:r>
      <w:r>
        <w:t>1999.</w:t>
      </w:r>
    </w:p>
    <w:p w:rsidR="0011361F" w:rsidRDefault="00B93F6A" w:rsidP="008D1A5E">
      <w:hyperlink r:id="rId44">
        <w:r w:rsidR="00AF18A5">
          <w:rPr>
            <w:spacing w:val="-2"/>
          </w:rPr>
          <w:t>https://www.coljuristas.org/documentos/libros_e_informes/ddhh_en_colombia_3er_informe_de</w:t>
        </w:r>
      </w:hyperlink>
      <w:r w:rsidR="008D1A5E">
        <w:rPr>
          <w:spacing w:val="-2"/>
        </w:rPr>
        <w:t xml:space="preserve"> </w:t>
      </w:r>
      <w:hyperlink r:id="rId45">
        <w:r w:rsidR="00AF18A5">
          <w:rPr>
            <w:spacing w:val="-2"/>
          </w:rPr>
          <w:t>_la_cidh.pdf</w:t>
        </w:r>
      </w:hyperlink>
      <w:r w:rsidR="00AF18A5">
        <w:rPr>
          <w:spacing w:val="-2"/>
        </w:rPr>
        <w:t>.</w:t>
      </w:r>
    </w:p>
    <w:p w:rsidR="003804AC" w:rsidRPr="00951B0F" w:rsidRDefault="00AF18A5" w:rsidP="008D1A5E">
      <w:pPr>
        <w:rPr>
          <w:lang w:val="it-IT"/>
        </w:rPr>
      </w:pPr>
      <w:r>
        <w:t>Comisión</w:t>
      </w:r>
      <w:r>
        <w:tab/>
        <w:t>Colombiana</w:t>
      </w:r>
      <w:r>
        <w:tab/>
      </w:r>
      <w:r>
        <w:rPr>
          <w:spacing w:val="-6"/>
        </w:rPr>
        <w:t>de</w:t>
      </w:r>
      <w:r w:rsidR="008D1A5E">
        <w:rPr>
          <w:spacing w:val="-6"/>
        </w:rPr>
        <w:t xml:space="preserve"> </w:t>
      </w:r>
      <w:r>
        <w:t>Juristas</w:t>
      </w:r>
      <w:r w:rsidR="008D1A5E">
        <w:t xml:space="preserve"> </w:t>
      </w:r>
      <w:r>
        <w:t>(CCJ),</w:t>
      </w:r>
      <w:r w:rsidR="008D1A5E">
        <w:t xml:space="preserve"> </w:t>
      </w:r>
      <w:r>
        <w:rPr>
          <w:spacing w:val="-10"/>
        </w:rPr>
        <w:t>y</w:t>
      </w:r>
      <w:r w:rsidR="008D1A5E">
        <w:rPr>
          <w:spacing w:val="-10"/>
        </w:rPr>
        <w:t xml:space="preserve"> </w:t>
      </w:r>
      <w:r>
        <w:t>Silvia</w:t>
      </w:r>
      <w:r w:rsidR="008D1A5E">
        <w:t xml:space="preserve"> </w:t>
      </w:r>
      <w:r>
        <w:t>Becerra.</w:t>
      </w:r>
      <w:r w:rsidR="008D1A5E">
        <w:t xml:space="preserve"> </w:t>
      </w:r>
      <w:r>
        <w:t>«Organizaciones</w:t>
      </w:r>
      <w:r w:rsidR="008D1A5E">
        <w:t xml:space="preserve"> </w:t>
      </w:r>
      <w:r>
        <w:t>sucesoras</w:t>
      </w:r>
      <w:r w:rsidR="00C442FB">
        <w:t xml:space="preserve"> </w:t>
      </w:r>
      <w:r>
        <w:rPr>
          <w:spacing w:val="-4"/>
        </w:rPr>
        <w:t xml:space="preserve">del </w:t>
      </w:r>
      <w:r>
        <w:t>paramilitarismo:</w:t>
      </w:r>
      <w:r w:rsidR="00C442FB">
        <w:t xml:space="preserve"> </w:t>
      </w:r>
      <w:r>
        <w:t>lecciones</w:t>
      </w:r>
      <w:r w:rsidR="00C442FB">
        <w:t xml:space="preserve"> </w:t>
      </w:r>
      <w:r>
        <w:rPr>
          <w:spacing w:val="-4"/>
        </w:rPr>
        <w:t>para</w:t>
      </w:r>
      <w:r w:rsidR="00C442FB">
        <w:rPr>
          <w:spacing w:val="-4"/>
        </w:rPr>
        <w:t xml:space="preserve"> </w:t>
      </w:r>
      <w:r>
        <w:t>aprender</w:t>
      </w:r>
      <w:r w:rsidR="00C442FB">
        <w:t xml:space="preserve"> </w:t>
      </w:r>
      <w:r>
        <w:rPr>
          <w:spacing w:val="-4"/>
        </w:rPr>
        <w:t>del</w:t>
      </w:r>
      <w:r w:rsidR="00C442FB">
        <w:rPr>
          <w:spacing w:val="-4"/>
        </w:rPr>
        <w:t xml:space="preserve"> </w:t>
      </w:r>
      <w:r>
        <w:t>eterno</w:t>
      </w:r>
      <w:r w:rsidR="00C442FB">
        <w:t xml:space="preserve"> </w:t>
      </w:r>
      <w:r>
        <w:t>retorno</w:t>
      </w:r>
      <w:r w:rsidR="00C442FB">
        <w:t xml:space="preserve"> </w:t>
      </w:r>
      <w:r>
        <w:rPr>
          <w:spacing w:val="-6"/>
        </w:rPr>
        <w:t>de</w:t>
      </w:r>
      <w:r w:rsidR="00C442FB">
        <w:rPr>
          <w:spacing w:val="-6"/>
        </w:rPr>
        <w:t xml:space="preserve"> </w:t>
      </w:r>
      <w:r>
        <w:rPr>
          <w:spacing w:val="-6"/>
        </w:rPr>
        <w:t>la</w:t>
      </w:r>
      <w:r w:rsidR="00C442FB">
        <w:rPr>
          <w:spacing w:val="-6"/>
        </w:rPr>
        <w:t xml:space="preserve"> </w:t>
      </w:r>
      <w:r>
        <w:t>guerra».</w:t>
      </w:r>
      <w:r w:rsidR="00C442FB">
        <w:t xml:space="preserve"> </w:t>
      </w:r>
      <w:r w:rsidRPr="00951B0F">
        <w:rPr>
          <w:lang w:val="it-IT"/>
        </w:rPr>
        <w:t xml:space="preserve">2018. </w:t>
      </w:r>
      <w:r w:rsidR="00B93F6A">
        <w:fldChar w:fldCharType="begin"/>
      </w:r>
      <w:r w:rsidR="00B93F6A" w:rsidRPr="00B93F6A">
        <w:rPr>
          <w:lang w:val="it-IT"/>
        </w:rPr>
        <w:instrText xml:space="preserve"> HYPERLINK "https://www.coljuristas.org/documentos/libros_e_informes/organizaciones_sucesoras_del_paramilitarismo.pdf" \h </w:instrText>
      </w:r>
      <w:r w:rsidR="00B93F6A">
        <w:fldChar w:fldCharType="separate"/>
      </w:r>
      <w:r w:rsidRPr="00951B0F">
        <w:rPr>
          <w:lang w:val="it-IT"/>
        </w:rPr>
        <w:t>https://www.coljuristas.org/documentos/libros_e_informes/organizaciones_sucesoras_del_para</w:t>
      </w:r>
      <w:r w:rsidR="00B93F6A">
        <w:rPr>
          <w:lang w:val="it-IT"/>
        </w:rPr>
        <w:fldChar w:fldCharType="end"/>
      </w:r>
      <w:r w:rsidRPr="00951B0F">
        <w:rPr>
          <w:lang w:val="it-IT"/>
        </w:rPr>
        <w:t xml:space="preserve"> </w:t>
      </w:r>
      <w:hyperlink r:id="rId46">
        <w:r w:rsidRPr="00951B0F">
          <w:rPr>
            <w:lang w:val="it-IT"/>
          </w:rPr>
          <w:t>militarismo.pdf</w:t>
        </w:r>
      </w:hyperlink>
      <w:r w:rsidRPr="00951B0F">
        <w:rPr>
          <w:lang w:val="it-IT"/>
        </w:rPr>
        <w:t>.</w:t>
      </w:r>
    </w:p>
    <w:p w:rsidR="003804AC" w:rsidRDefault="00AF18A5" w:rsidP="00C442FB">
      <w:r>
        <w:t xml:space="preserve">Comisión Colombiana de Juristas (CCJ). «Boletín No. 27: Serie sobre los derechos de las víctimas y la </w:t>
      </w:r>
      <w:r>
        <w:rPr>
          <w:spacing w:val="-2"/>
        </w:rPr>
        <w:t>aplicación</w:t>
      </w:r>
      <w:r w:rsidR="00C442FB">
        <w:rPr>
          <w:spacing w:val="-2"/>
        </w:rPr>
        <w:t xml:space="preserve"> </w:t>
      </w:r>
      <w:r>
        <w:rPr>
          <w:spacing w:val="-5"/>
        </w:rPr>
        <w:t>de</w:t>
      </w:r>
      <w:r w:rsidR="00C442FB">
        <w:rPr>
          <w:spacing w:val="-5"/>
        </w:rPr>
        <w:t xml:space="preserve"> </w:t>
      </w:r>
      <w:r>
        <w:rPr>
          <w:spacing w:val="-5"/>
        </w:rPr>
        <w:t>la</w:t>
      </w:r>
      <w:r w:rsidR="00C442FB">
        <w:rPr>
          <w:spacing w:val="-5"/>
        </w:rPr>
        <w:t xml:space="preserve"> </w:t>
      </w:r>
      <w:r>
        <w:rPr>
          <w:spacing w:val="-5"/>
        </w:rPr>
        <w:t>ley</w:t>
      </w:r>
      <w:r w:rsidR="00C442FB">
        <w:rPr>
          <w:spacing w:val="-5"/>
        </w:rPr>
        <w:t xml:space="preserve"> </w:t>
      </w:r>
      <w:r>
        <w:rPr>
          <w:spacing w:val="-2"/>
        </w:rPr>
        <w:t>975».</w:t>
      </w:r>
      <w:r w:rsidR="00C442FB">
        <w:rPr>
          <w:spacing w:val="-2"/>
        </w:rPr>
        <w:t xml:space="preserve"> </w:t>
      </w:r>
      <w:r>
        <w:rPr>
          <w:spacing w:val="-2"/>
        </w:rPr>
        <w:t>2008.</w:t>
      </w:r>
    </w:p>
    <w:p w:rsidR="0011361F" w:rsidRDefault="00B93F6A" w:rsidP="00C442FB">
      <w:hyperlink r:id="rId47">
        <w:r w:rsidR="00AF18A5">
          <w:rPr>
            <w:spacing w:val="-2"/>
          </w:rPr>
          <w:t>https://www.coljuristas.org/documentos/boletines/bol_n27_975.pdf</w:t>
        </w:r>
      </w:hyperlink>
      <w:r w:rsidR="00AF18A5">
        <w:rPr>
          <w:spacing w:val="-2"/>
        </w:rPr>
        <w:t>.</w:t>
      </w:r>
    </w:p>
    <w:p w:rsidR="003804AC" w:rsidRDefault="00AF18A5" w:rsidP="00C442FB">
      <w:r>
        <w:t xml:space="preserve">Comisión de la Verdad. «Contribución a la verdad y reconocimiento de responsabilidades - Rodrigo Londoño y Salvatore Mancuso». 18 de </w:t>
      </w:r>
      <w:r>
        <w:lastRenderedPageBreak/>
        <w:t xml:space="preserve">marzo de 2021. Vídeo. </w:t>
      </w:r>
      <w:hyperlink r:id="rId48">
        <w:r>
          <w:rPr>
            <w:spacing w:val="-2"/>
          </w:rPr>
          <w:t>https://www.youtube.com/watch?v=h0iO5BccNa4</w:t>
        </w:r>
      </w:hyperlink>
    </w:p>
    <w:p w:rsidR="003804AC" w:rsidRDefault="00AF18A5" w:rsidP="00C442FB">
      <w:r>
        <w:t>———.</w:t>
      </w:r>
      <w:r>
        <w:rPr>
          <w:spacing w:val="11"/>
        </w:rPr>
        <w:t xml:space="preserve"> </w:t>
      </w:r>
      <w:r>
        <w:t>«La</w:t>
      </w:r>
      <w:r>
        <w:rPr>
          <w:spacing w:val="13"/>
        </w:rPr>
        <w:t xml:space="preserve"> </w:t>
      </w:r>
      <w:r>
        <w:t>verdad</w:t>
      </w:r>
      <w:r>
        <w:rPr>
          <w:spacing w:val="12"/>
        </w:rPr>
        <w:t xml:space="preserve"> </w:t>
      </w:r>
      <w:r>
        <w:t>del</w:t>
      </w:r>
      <w:r>
        <w:rPr>
          <w:spacing w:val="11"/>
        </w:rPr>
        <w:t xml:space="preserve"> </w:t>
      </w:r>
      <w:r>
        <w:t>pueblo</w:t>
      </w:r>
      <w:r>
        <w:rPr>
          <w:spacing w:val="13"/>
        </w:rPr>
        <w:t xml:space="preserve"> </w:t>
      </w:r>
      <w:r>
        <w:t>negro,</w:t>
      </w:r>
      <w:r>
        <w:rPr>
          <w:spacing w:val="13"/>
        </w:rPr>
        <w:t xml:space="preserve"> </w:t>
      </w:r>
      <w:r>
        <w:t>afrocolombiano,</w:t>
      </w:r>
      <w:r>
        <w:rPr>
          <w:spacing w:val="12"/>
        </w:rPr>
        <w:t xml:space="preserve"> </w:t>
      </w:r>
      <w:r>
        <w:t>palenquero</w:t>
      </w:r>
      <w:r>
        <w:rPr>
          <w:spacing w:val="13"/>
        </w:rPr>
        <w:t xml:space="preserve"> </w:t>
      </w:r>
      <w:r>
        <w:t>y</w:t>
      </w:r>
      <w:r>
        <w:rPr>
          <w:spacing w:val="12"/>
        </w:rPr>
        <w:t xml:space="preserve"> </w:t>
      </w:r>
      <w:r>
        <w:t>raizal».</w:t>
      </w:r>
      <w:r>
        <w:rPr>
          <w:spacing w:val="12"/>
        </w:rPr>
        <w:t xml:space="preserve"> </w:t>
      </w:r>
      <w:r>
        <w:t>11</w:t>
      </w:r>
      <w:r>
        <w:rPr>
          <w:spacing w:val="13"/>
        </w:rPr>
        <w:t xml:space="preserve"> </w:t>
      </w:r>
      <w:r>
        <w:t>de</w:t>
      </w:r>
      <w:r>
        <w:rPr>
          <w:spacing w:val="11"/>
        </w:rPr>
        <w:t xml:space="preserve"> </w:t>
      </w:r>
      <w:r>
        <w:t>diciembre</w:t>
      </w:r>
      <w:r>
        <w:rPr>
          <w:spacing w:val="12"/>
        </w:rPr>
        <w:t xml:space="preserve"> </w:t>
      </w:r>
      <w:r>
        <w:t>de</w:t>
      </w:r>
      <w:r>
        <w:rPr>
          <w:spacing w:val="14"/>
        </w:rPr>
        <w:t xml:space="preserve"> </w:t>
      </w:r>
      <w:r>
        <w:rPr>
          <w:spacing w:val="-2"/>
        </w:rPr>
        <w:t>2020.</w:t>
      </w:r>
    </w:p>
    <w:p w:rsidR="0011361F" w:rsidRDefault="00AF18A5" w:rsidP="00C442FB">
      <w:r>
        <w:t>Vídeo.</w:t>
      </w:r>
      <w:r>
        <w:rPr>
          <w:spacing w:val="-1"/>
        </w:rPr>
        <w:t xml:space="preserve"> </w:t>
      </w:r>
      <w:hyperlink r:id="rId49">
        <w:r>
          <w:rPr>
            <w:spacing w:val="-2"/>
          </w:rPr>
          <w:t>https://www.youtube.com/watch?v=CpkLuBhZlhk</w:t>
        </w:r>
      </w:hyperlink>
    </w:p>
    <w:p w:rsidR="003804AC" w:rsidRDefault="00AF18A5" w:rsidP="00C442FB">
      <w:r>
        <w:t>Comisión Interamericana de Derechos Humanos (CIDH) y Organización de los Estados Americanos (OEA). «Violencia y la violación del Derecho Internacional de los Derechos Humanos y el Derecho</w:t>
      </w:r>
      <w:r>
        <w:rPr>
          <w:spacing w:val="55"/>
        </w:rPr>
        <w:t xml:space="preserve">   </w:t>
      </w:r>
      <w:r>
        <w:t>Internacional</w:t>
      </w:r>
      <w:r>
        <w:rPr>
          <w:spacing w:val="56"/>
        </w:rPr>
        <w:t xml:space="preserve">   </w:t>
      </w:r>
      <w:r>
        <w:t>Humanitario».</w:t>
      </w:r>
      <w:r w:rsidR="00C442FB">
        <w:t xml:space="preserve"> </w:t>
      </w:r>
      <w:r>
        <w:t>Acceso</w:t>
      </w:r>
      <w:r w:rsidR="00C442FB">
        <w:t xml:space="preserve"> </w:t>
      </w:r>
      <w:r>
        <w:t>el</w:t>
      </w:r>
      <w:r>
        <w:rPr>
          <w:spacing w:val="55"/>
        </w:rPr>
        <w:t xml:space="preserve"> </w:t>
      </w:r>
      <w:r>
        <w:t>23</w:t>
      </w:r>
      <w:r>
        <w:rPr>
          <w:spacing w:val="56"/>
        </w:rPr>
        <w:t xml:space="preserve"> </w:t>
      </w:r>
      <w:r>
        <w:t>de</w:t>
      </w:r>
      <w:r>
        <w:rPr>
          <w:spacing w:val="56"/>
        </w:rPr>
        <w:t xml:space="preserve"> </w:t>
      </w:r>
      <w:r>
        <w:t>junio</w:t>
      </w:r>
      <w:r>
        <w:rPr>
          <w:spacing w:val="56"/>
        </w:rPr>
        <w:t xml:space="preserve"> </w:t>
      </w:r>
      <w:r>
        <w:t>de</w:t>
      </w:r>
      <w:r w:rsidR="00C442FB">
        <w:t xml:space="preserve"> </w:t>
      </w:r>
      <w:r>
        <w:rPr>
          <w:spacing w:val="-2"/>
        </w:rPr>
        <w:t>2022.</w:t>
      </w:r>
    </w:p>
    <w:p w:rsidR="0011361F" w:rsidRDefault="00B93F6A" w:rsidP="00C442FB">
      <w:hyperlink r:id="rId50">
        <w:r w:rsidR="00AF18A5">
          <w:rPr>
            <w:spacing w:val="-2"/>
          </w:rPr>
          <w:t>http://www.cidh.org/countryrep/Colom99sp/capitulo-4e.htm</w:t>
        </w:r>
      </w:hyperlink>
      <w:r w:rsidR="00AF18A5">
        <w:rPr>
          <w:spacing w:val="-2"/>
        </w:rPr>
        <w:t>.</w:t>
      </w:r>
    </w:p>
    <w:p w:rsidR="003804AC" w:rsidRDefault="00AF18A5" w:rsidP="00C442FB">
      <w:r>
        <w:t>Comisión</w:t>
      </w:r>
      <w:r>
        <w:rPr>
          <w:spacing w:val="36"/>
        </w:rPr>
        <w:t xml:space="preserve"> </w:t>
      </w:r>
      <w:r>
        <w:t>Interamericana</w:t>
      </w:r>
      <w:r>
        <w:rPr>
          <w:spacing w:val="38"/>
        </w:rPr>
        <w:t xml:space="preserve"> </w:t>
      </w:r>
      <w:r>
        <w:t>de</w:t>
      </w:r>
      <w:r>
        <w:rPr>
          <w:spacing w:val="38"/>
        </w:rPr>
        <w:t xml:space="preserve"> </w:t>
      </w:r>
      <w:r>
        <w:t>Derechos</w:t>
      </w:r>
      <w:r>
        <w:rPr>
          <w:spacing w:val="38"/>
        </w:rPr>
        <w:t xml:space="preserve"> </w:t>
      </w:r>
      <w:r>
        <w:t>Humanos</w:t>
      </w:r>
      <w:r>
        <w:rPr>
          <w:spacing w:val="37"/>
        </w:rPr>
        <w:t xml:space="preserve"> </w:t>
      </w:r>
      <w:r>
        <w:t>(CIDH).</w:t>
      </w:r>
      <w:r>
        <w:rPr>
          <w:spacing w:val="37"/>
        </w:rPr>
        <w:t xml:space="preserve"> </w:t>
      </w:r>
      <w:r>
        <w:t>«Tercer</w:t>
      </w:r>
      <w:r>
        <w:rPr>
          <w:spacing w:val="37"/>
        </w:rPr>
        <w:t xml:space="preserve"> </w:t>
      </w:r>
      <w:r>
        <w:t>Informe</w:t>
      </w:r>
      <w:r>
        <w:rPr>
          <w:spacing w:val="38"/>
        </w:rPr>
        <w:t xml:space="preserve"> </w:t>
      </w:r>
      <w:r>
        <w:t>sobre</w:t>
      </w:r>
      <w:r>
        <w:rPr>
          <w:spacing w:val="36"/>
        </w:rPr>
        <w:t xml:space="preserve"> </w:t>
      </w:r>
      <w:r>
        <w:t>la</w:t>
      </w:r>
      <w:r>
        <w:rPr>
          <w:spacing w:val="38"/>
        </w:rPr>
        <w:t xml:space="preserve"> </w:t>
      </w:r>
      <w:r>
        <w:t>Situación</w:t>
      </w:r>
      <w:r>
        <w:rPr>
          <w:spacing w:val="36"/>
        </w:rPr>
        <w:t xml:space="preserve"> </w:t>
      </w:r>
      <w:r>
        <w:t>de</w:t>
      </w:r>
      <w:r>
        <w:rPr>
          <w:spacing w:val="38"/>
        </w:rPr>
        <w:t xml:space="preserve"> </w:t>
      </w:r>
      <w:r>
        <w:t xml:space="preserve">los </w:t>
      </w:r>
      <w:r>
        <w:rPr>
          <w:spacing w:val="-2"/>
        </w:rPr>
        <w:t>Derechos</w:t>
      </w:r>
      <w:r w:rsidR="00C442FB">
        <w:rPr>
          <w:spacing w:val="-2"/>
        </w:rPr>
        <w:t xml:space="preserve"> </w:t>
      </w:r>
      <w:r>
        <w:rPr>
          <w:spacing w:val="-2"/>
        </w:rPr>
        <w:t>Humanos</w:t>
      </w:r>
      <w:r w:rsidR="00C442FB">
        <w:rPr>
          <w:spacing w:val="-2"/>
        </w:rPr>
        <w:t xml:space="preserve"> </w:t>
      </w:r>
      <w:r>
        <w:rPr>
          <w:spacing w:val="-5"/>
        </w:rPr>
        <w:t>en</w:t>
      </w:r>
      <w:r w:rsidR="00C442FB">
        <w:rPr>
          <w:spacing w:val="-5"/>
        </w:rPr>
        <w:t xml:space="preserve"> </w:t>
      </w:r>
      <w:r>
        <w:rPr>
          <w:spacing w:val="-2"/>
        </w:rPr>
        <w:t>Colombia».</w:t>
      </w:r>
      <w:r w:rsidR="00C442FB">
        <w:rPr>
          <w:spacing w:val="-2"/>
        </w:rPr>
        <w:t xml:space="preserve"> </w:t>
      </w:r>
      <w:r>
        <w:rPr>
          <w:spacing w:val="-2"/>
        </w:rPr>
        <w:t>1999.</w:t>
      </w:r>
    </w:p>
    <w:p w:rsidR="0011361F" w:rsidRDefault="00B93F6A" w:rsidP="00C442FB">
      <w:hyperlink r:id="rId51">
        <w:r w:rsidR="00AF18A5">
          <w:rPr>
            <w:spacing w:val="-2"/>
          </w:rPr>
          <w:t>http://www.cidh.org/countryrep/colom99sp/indice.htm</w:t>
        </w:r>
      </w:hyperlink>
      <w:r w:rsidR="00AF18A5">
        <w:rPr>
          <w:spacing w:val="-2"/>
        </w:rPr>
        <w:t>.</w:t>
      </w:r>
    </w:p>
    <w:p w:rsidR="003804AC" w:rsidRDefault="00AF18A5" w:rsidP="00C442FB">
      <w:r>
        <w:t>Comisión Nacional de Reparación y Reconciliación (Colombia). El orden desarmado: la resistencia de la Asociación de Trabajadores Campesinos de Carare (ATCC). Bogotá: Taurus, 2011.</w:t>
      </w:r>
    </w:p>
    <w:p w:rsidR="003804AC" w:rsidRDefault="00AF18A5" w:rsidP="00C442FB">
      <w:r>
        <w:t xml:space="preserve">Comisión Nacional de Reparación y Reconciliación y Grupo de Memoria Histórica (GMH), eds. </w:t>
      </w:r>
      <w:r>
        <w:rPr>
          <w:i/>
        </w:rPr>
        <w:t>La Rochela: memorias de un crimen contra la justicia</w:t>
      </w:r>
      <w:r>
        <w:t>. Bogotá, Colombia: Taurus, Ediciones Semana, 2010.</w:t>
      </w:r>
    </w:p>
    <w:p w:rsidR="003804AC" w:rsidRDefault="00AF18A5" w:rsidP="00C442FB">
      <w:r>
        <w:t>Congreso</w:t>
      </w:r>
      <w:r>
        <w:rPr>
          <w:spacing w:val="-1"/>
        </w:rPr>
        <w:t xml:space="preserve"> </w:t>
      </w:r>
      <w:r>
        <w:t>de</w:t>
      </w:r>
      <w:r>
        <w:rPr>
          <w:spacing w:val="-2"/>
        </w:rPr>
        <w:t xml:space="preserve"> </w:t>
      </w:r>
      <w:r>
        <w:t>la</w:t>
      </w:r>
      <w:r>
        <w:rPr>
          <w:spacing w:val="-1"/>
        </w:rPr>
        <w:t xml:space="preserve"> </w:t>
      </w:r>
      <w:r>
        <w:t>República</w:t>
      </w:r>
      <w:r>
        <w:rPr>
          <w:spacing w:val="-1"/>
        </w:rPr>
        <w:t xml:space="preserve"> </w:t>
      </w:r>
      <w:r>
        <w:t>de</w:t>
      </w:r>
      <w:r>
        <w:rPr>
          <w:spacing w:val="-1"/>
        </w:rPr>
        <w:t xml:space="preserve"> </w:t>
      </w:r>
      <w:r>
        <w:t>Colombia.</w:t>
      </w:r>
      <w:r>
        <w:rPr>
          <w:spacing w:val="-1"/>
        </w:rPr>
        <w:t xml:space="preserve"> </w:t>
      </w:r>
      <w:r>
        <w:t>«Anales</w:t>
      </w:r>
      <w:r>
        <w:rPr>
          <w:spacing w:val="-2"/>
        </w:rPr>
        <w:t xml:space="preserve"> </w:t>
      </w:r>
      <w:r>
        <w:t>del</w:t>
      </w:r>
      <w:r>
        <w:rPr>
          <w:spacing w:val="-1"/>
        </w:rPr>
        <w:t xml:space="preserve"> </w:t>
      </w:r>
      <w:r>
        <w:t>Congreso</w:t>
      </w:r>
      <w:r>
        <w:rPr>
          <w:spacing w:val="-1"/>
        </w:rPr>
        <w:t xml:space="preserve"> </w:t>
      </w:r>
      <w:r>
        <w:t>de</w:t>
      </w:r>
      <w:r>
        <w:rPr>
          <w:spacing w:val="-1"/>
        </w:rPr>
        <w:t xml:space="preserve"> </w:t>
      </w:r>
      <w:r>
        <w:t>la</w:t>
      </w:r>
      <w:r>
        <w:rPr>
          <w:spacing w:val="-1"/>
        </w:rPr>
        <w:t xml:space="preserve"> </w:t>
      </w:r>
      <w:r>
        <w:t>sesión</w:t>
      </w:r>
      <w:r>
        <w:rPr>
          <w:spacing w:val="-1"/>
        </w:rPr>
        <w:t xml:space="preserve"> </w:t>
      </w:r>
      <w:r>
        <w:t>ordinaria</w:t>
      </w:r>
      <w:r>
        <w:rPr>
          <w:spacing w:val="-2"/>
        </w:rPr>
        <w:t xml:space="preserve"> </w:t>
      </w:r>
      <w:r>
        <w:t>del</w:t>
      </w:r>
      <w:r>
        <w:rPr>
          <w:spacing w:val="-1"/>
        </w:rPr>
        <w:t xml:space="preserve"> </w:t>
      </w:r>
      <w:r>
        <w:t>miércoles</w:t>
      </w:r>
      <w:r>
        <w:rPr>
          <w:spacing w:val="-1"/>
        </w:rPr>
        <w:t xml:space="preserve"> </w:t>
      </w:r>
      <w:r>
        <w:t>19</w:t>
      </w:r>
      <w:r>
        <w:rPr>
          <w:spacing w:val="-1"/>
        </w:rPr>
        <w:t xml:space="preserve"> </w:t>
      </w:r>
      <w:r>
        <w:t>de octubre de 1988». 1988</w:t>
      </w:r>
    </w:p>
    <w:p w:rsidR="0011361F" w:rsidRDefault="00AF18A5" w:rsidP="00C442FB">
      <w:r>
        <w:t>———. Ley 48 de 1968. «Por la cual se adopta como legislación permanente algunos decretos legislativos,</w:t>
      </w:r>
      <w:r>
        <w:rPr>
          <w:spacing w:val="-9"/>
        </w:rPr>
        <w:t xml:space="preserve"> </w:t>
      </w:r>
      <w:r>
        <w:t>se</w:t>
      </w:r>
      <w:r>
        <w:rPr>
          <w:spacing w:val="-7"/>
        </w:rPr>
        <w:t xml:space="preserve"> </w:t>
      </w:r>
      <w:r>
        <w:t>otorgan</w:t>
      </w:r>
      <w:r>
        <w:rPr>
          <w:spacing w:val="-7"/>
        </w:rPr>
        <w:t xml:space="preserve"> </w:t>
      </w:r>
      <w:r>
        <w:t>facultades</w:t>
      </w:r>
      <w:r>
        <w:rPr>
          <w:spacing w:val="-7"/>
        </w:rPr>
        <w:t xml:space="preserve"> </w:t>
      </w:r>
      <w:r>
        <w:t>al</w:t>
      </w:r>
      <w:r>
        <w:rPr>
          <w:spacing w:val="-8"/>
        </w:rPr>
        <w:t xml:space="preserve"> </w:t>
      </w:r>
      <w:r>
        <w:lastRenderedPageBreak/>
        <w:t>Presidente</w:t>
      </w:r>
      <w:r>
        <w:rPr>
          <w:spacing w:val="-7"/>
        </w:rPr>
        <w:t xml:space="preserve"> </w:t>
      </w:r>
      <w:r>
        <w:t>de</w:t>
      </w:r>
      <w:r>
        <w:rPr>
          <w:spacing w:val="-7"/>
        </w:rPr>
        <w:t xml:space="preserve"> </w:t>
      </w:r>
      <w:r>
        <w:t>la</w:t>
      </w:r>
      <w:r>
        <w:rPr>
          <w:spacing w:val="-7"/>
        </w:rPr>
        <w:t xml:space="preserve"> </w:t>
      </w:r>
      <w:r>
        <w:t>República</w:t>
      </w:r>
      <w:r>
        <w:rPr>
          <w:spacing w:val="-7"/>
        </w:rPr>
        <w:t xml:space="preserve"> </w:t>
      </w:r>
      <w:r>
        <w:t>y</w:t>
      </w:r>
      <w:r>
        <w:rPr>
          <w:spacing w:val="-7"/>
        </w:rPr>
        <w:t xml:space="preserve"> </w:t>
      </w:r>
      <w:r>
        <w:t>a</w:t>
      </w:r>
      <w:r>
        <w:rPr>
          <w:spacing w:val="-7"/>
        </w:rPr>
        <w:t xml:space="preserve"> </w:t>
      </w:r>
      <w:r>
        <w:t>las</w:t>
      </w:r>
      <w:r>
        <w:rPr>
          <w:spacing w:val="-7"/>
        </w:rPr>
        <w:t xml:space="preserve"> </w:t>
      </w:r>
      <w:r>
        <w:t>Asambleas,</w:t>
      </w:r>
      <w:r>
        <w:rPr>
          <w:spacing w:val="-7"/>
        </w:rPr>
        <w:t xml:space="preserve"> </w:t>
      </w:r>
      <w:r>
        <w:t>se</w:t>
      </w:r>
      <w:r>
        <w:rPr>
          <w:spacing w:val="-7"/>
        </w:rPr>
        <w:t xml:space="preserve"> </w:t>
      </w:r>
      <w:r>
        <w:t xml:space="preserve">introducen reformas al Código Sustantivo del trabajo y se dictan otras disposiciones», 6, Recuperado de: </w:t>
      </w:r>
      <w:hyperlink r:id="rId52">
        <w:r>
          <w:t>https://www.funcionpublica.gov.co/eva/gestornormativo/norma.php?i=31239#:~:text= %E2 %</w:t>
        </w:r>
      </w:hyperlink>
      <w:hyperlink r:id="rId53">
        <w:r>
          <w:t>80</w:t>
        </w:r>
        <w:r>
          <w:rPr>
            <w:spacing w:val="-4"/>
          </w:rPr>
          <w:t xml:space="preserve"> </w:t>
        </w:r>
        <w:r>
          <w:t>%9CPor</w:t>
        </w:r>
        <w:r>
          <w:rPr>
            <w:spacing w:val="-1"/>
          </w:rPr>
          <w:t xml:space="preserve"> </w:t>
        </w:r>
        <w:r>
          <w:t>%20la</w:t>
        </w:r>
        <w:r>
          <w:rPr>
            <w:spacing w:val="-1"/>
          </w:rPr>
          <w:t xml:space="preserve"> </w:t>
        </w:r>
        <w:r>
          <w:t>%20cual</w:t>
        </w:r>
        <w:r>
          <w:rPr>
            <w:spacing w:val="-1"/>
          </w:rPr>
          <w:t xml:space="preserve"> </w:t>
        </w:r>
        <w:r>
          <w:t>%20se</w:t>
        </w:r>
        <w:r>
          <w:rPr>
            <w:spacing w:val="-3"/>
          </w:rPr>
          <w:t xml:space="preserve"> </w:t>
        </w:r>
        <w:r>
          <w:t>%20adopta,y</w:t>
        </w:r>
        <w:r>
          <w:rPr>
            <w:spacing w:val="-1"/>
          </w:rPr>
          <w:t xml:space="preserve"> </w:t>
        </w:r>
        <w:r>
          <w:t>%20se</w:t>
        </w:r>
        <w:r>
          <w:rPr>
            <w:spacing w:val="-1"/>
          </w:rPr>
          <w:t xml:space="preserve"> </w:t>
        </w:r>
        <w:r>
          <w:t>%20dictan</w:t>
        </w:r>
        <w:r>
          <w:rPr>
            <w:spacing w:val="-3"/>
          </w:rPr>
          <w:t xml:space="preserve"> </w:t>
        </w:r>
        <w:r>
          <w:t>%20otras</w:t>
        </w:r>
        <w:r>
          <w:rPr>
            <w:spacing w:val="-2"/>
          </w:rPr>
          <w:t xml:space="preserve"> %20disposicione</w:t>
        </w:r>
      </w:hyperlink>
      <w:hyperlink r:id="rId54">
        <w:r>
          <w:t>s.</w:t>
        </w:r>
        <w:r>
          <w:rPr>
            <w:spacing w:val="-3"/>
          </w:rPr>
          <w:t xml:space="preserve"> </w:t>
        </w:r>
        <w:r>
          <w:t>%E2 %80</w:t>
        </w:r>
        <w:r>
          <w:rPr>
            <w:spacing w:val="-2"/>
          </w:rPr>
          <w:t xml:space="preserve"> </w:t>
        </w:r>
        <w:r>
          <w:rPr>
            <w:spacing w:val="-4"/>
          </w:rPr>
          <w:t>%9D</w:t>
        </w:r>
      </w:hyperlink>
      <w:r>
        <w:rPr>
          <w:spacing w:val="-4"/>
        </w:rPr>
        <w:t>.</w:t>
      </w:r>
    </w:p>
    <w:p w:rsidR="003804AC" w:rsidRDefault="00AF18A5" w:rsidP="00C442FB">
      <w:r>
        <w:t xml:space="preserve">———. Ley 2197 de 2022, «por medio de la cual se dictan normas tendientes al fortalecimiento de la seguridad ciudadana y se dictan otras disposiciones», Recuperado de: </w:t>
      </w:r>
      <w:hyperlink r:id="rId55">
        <w:r>
          <w:rPr>
            <w:spacing w:val="-2"/>
          </w:rPr>
          <w:t>https://www.funcionpublica.gov.co/eva/gestornormativo/norma.php?i=176406.</w:t>
        </w:r>
      </w:hyperlink>
    </w:p>
    <w:p w:rsidR="003804AC" w:rsidRDefault="00AF18A5" w:rsidP="00C442FB">
      <w:r>
        <w:t>Corte Interamericana de Derechos Humanos (CIDH). Sentencia de 1 de julio de 2006. Caso de las Masacres de Ituango vs. Colombia. Sergio García Ramírez (Presidente), Alirio Abreu Burelli (Vicepresidente),</w:t>
      </w:r>
      <w:r>
        <w:rPr>
          <w:spacing w:val="-15"/>
        </w:rPr>
        <w:t xml:space="preserve"> </w:t>
      </w:r>
      <w:proofErr w:type="spellStart"/>
      <w:r>
        <w:t>Antônio</w:t>
      </w:r>
      <w:proofErr w:type="spellEnd"/>
      <w:r>
        <w:rPr>
          <w:spacing w:val="-12"/>
        </w:rPr>
        <w:t xml:space="preserve"> </w:t>
      </w:r>
      <w:r>
        <w:t>A.</w:t>
      </w:r>
      <w:r>
        <w:rPr>
          <w:spacing w:val="-12"/>
        </w:rPr>
        <w:t xml:space="preserve"> </w:t>
      </w:r>
      <w:proofErr w:type="spellStart"/>
      <w:r>
        <w:t>Cançado</w:t>
      </w:r>
      <w:proofErr w:type="spellEnd"/>
      <w:r>
        <w:rPr>
          <w:spacing w:val="-13"/>
        </w:rPr>
        <w:t xml:space="preserve"> </w:t>
      </w:r>
      <w:proofErr w:type="spellStart"/>
      <w:r>
        <w:t>Trindade</w:t>
      </w:r>
      <w:proofErr w:type="spellEnd"/>
      <w:r>
        <w:rPr>
          <w:spacing w:val="-12"/>
        </w:rPr>
        <w:t xml:space="preserve"> </w:t>
      </w:r>
      <w:r>
        <w:t>(Juez),</w:t>
      </w:r>
      <w:r>
        <w:rPr>
          <w:spacing w:val="-13"/>
        </w:rPr>
        <w:t xml:space="preserve"> </w:t>
      </w:r>
      <w:r>
        <w:t>Cecilia</w:t>
      </w:r>
      <w:r>
        <w:rPr>
          <w:spacing w:val="-12"/>
        </w:rPr>
        <w:t xml:space="preserve"> </w:t>
      </w:r>
      <w:r>
        <w:t>Medina</w:t>
      </w:r>
      <w:r>
        <w:rPr>
          <w:spacing w:val="-12"/>
        </w:rPr>
        <w:t xml:space="preserve"> </w:t>
      </w:r>
      <w:r>
        <w:t>Quiroga</w:t>
      </w:r>
      <w:r>
        <w:rPr>
          <w:spacing w:val="-13"/>
        </w:rPr>
        <w:t xml:space="preserve"> </w:t>
      </w:r>
      <w:r>
        <w:t>(Jueza),</w:t>
      </w:r>
      <w:r>
        <w:rPr>
          <w:spacing w:val="-12"/>
        </w:rPr>
        <w:t xml:space="preserve"> </w:t>
      </w:r>
      <w:r>
        <w:rPr>
          <w:spacing w:val="-2"/>
        </w:rPr>
        <w:t>Manuel</w:t>
      </w:r>
    </w:p>
    <w:p w:rsidR="003804AC" w:rsidRDefault="00AF18A5" w:rsidP="00C442FB">
      <w:r>
        <w:t xml:space="preserve">E. Ventura Robles (Juez), y Diego García-Sayán (Juez). 1 de julio de 2006. Recuperado de: </w:t>
      </w:r>
      <w:hyperlink r:id="rId56">
        <w:r>
          <w:rPr>
            <w:spacing w:val="-2"/>
          </w:rPr>
          <w:t>https://www.corteidh.or.cr/docs/casos/articulos/seriec_148_esp.pdf.</w:t>
        </w:r>
      </w:hyperlink>
    </w:p>
    <w:p w:rsidR="003804AC" w:rsidRDefault="00AF18A5" w:rsidP="00C442FB">
      <w:r>
        <w:t>———.</w:t>
      </w:r>
      <w:r>
        <w:rPr>
          <w:spacing w:val="-15"/>
        </w:rPr>
        <w:t xml:space="preserve"> </w:t>
      </w:r>
      <w:r>
        <w:t>Sentencia</w:t>
      </w:r>
      <w:r>
        <w:rPr>
          <w:spacing w:val="-15"/>
        </w:rPr>
        <w:t xml:space="preserve"> </w:t>
      </w:r>
      <w:r>
        <w:t>de</w:t>
      </w:r>
      <w:r>
        <w:rPr>
          <w:spacing w:val="-15"/>
        </w:rPr>
        <w:t xml:space="preserve"> </w:t>
      </w:r>
      <w:r>
        <w:t>11</w:t>
      </w:r>
      <w:r>
        <w:rPr>
          <w:spacing w:val="-15"/>
        </w:rPr>
        <w:t xml:space="preserve"> </w:t>
      </w:r>
      <w:r>
        <w:t>de</w:t>
      </w:r>
      <w:r>
        <w:rPr>
          <w:spacing w:val="-15"/>
        </w:rPr>
        <w:t xml:space="preserve"> </w:t>
      </w:r>
      <w:r>
        <w:t>mayo</w:t>
      </w:r>
      <w:r>
        <w:rPr>
          <w:spacing w:val="-15"/>
        </w:rPr>
        <w:t xml:space="preserve"> </w:t>
      </w:r>
      <w:r>
        <w:t>de</w:t>
      </w:r>
      <w:r>
        <w:rPr>
          <w:spacing w:val="-15"/>
        </w:rPr>
        <w:t xml:space="preserve"> </w:t>
      </w:r>
      <w:r>
        <w:t>2007.</w:t>
      </w:r>
      <w:r>
        <w:rPr>
          <w:spacing w:val="-14"/>
        </w:rPr>
        <w:t xml:space="preserve"> </w:t>
      </w:r>
      <w:r>
        <w:t>Caso</w:t>
      </w:r>
      <w:r>
        <w:rPr>
          <w:spacing w:val="-15"/>
        </w:rPr>
        <w:t xml:space="preserve"> </w:t>
      </w:r>
      <w:r>
        <w:t>de</w:t>
      </w:r>
      <w:r>
        <w:rPr>
          <w:spacing w:val="-14"/>
        </w:rPr>
        <w:t xml:space="preserve"> </w:t>
      </w:r>
      <w:r>
        <w:t>la</w:t>
      </w:r>
      <w:r>
        <w:rPr>
          <w:spacing w:val="-15"/>
        </w:rPr>
        <w:t xml:space="preserve"> </w:t>
      </w:r>
      <w:r>
        <w:t>Masacre</w:t>
      </w:r>
      <w:r>
        <w:rPr>
          <w:spacing w:val="-14"/>
        </w:rPr>
        <w:t xml:space="preserve"> </w:t>
      </w:r>
      <w:r>
        <w:t>de</w:t>
      </w:r>
      <w:r>
        <w:rPr>
          <w:spacing w:val="-14"/>
        </w:rPr>
        <w:t xml:space="preserve"> </w:t>
      </w:r>
      <w:r>
        <w:t>La</w:t>
      </w:r>
      <w:r>
        <w:rPr>
          <w:spacing w:val="-15"/>
        </w:rPr>
        <w:t xml:space="preserve"> </w:t>
      </w:r>
      <w:r>
        <w:t>Rochela</w:t>
      </w:r>
      <w:r>
        <w:rPr>
          <w:spacing w:val="-14"/>
        </w:rPr>
        <w:t xml:space="preserve"> </w:t>
      </w:r>
      <w:r>
        <w:t>vs.</w:t>
      </w:r>
      <w:r>
        <w:rPr>
          <w:spacing w:val="-14"/>
        </w:rPr>
        <w:t xml:space="preserve"> </w:t>
      </w:r>
      <w:r>
        <w:t>Colombia.</w:t>
      </w:r>
      <w:r>
        <w:rPr>
          <w:spacing w:val="-15"/>
        </w:rPr>
        <w:t xml:space="preserve"> </w:t>
      </w:r>
      <w:r>
        <w:t>Sergio</w:t>
      </w:r>
      <w:r>
        <w:rPr>
          <w:spacing w:val="-14"/>
        </w:rPr>
        <w:t xml:space="preserve"> </w:t>
      </w:r>
      <w:r>
        <w:t xml:space="preserve">García Ramírez (Presidente), Cecilia Medina Quiroga (Vicepresidenta), Manuel E. Ventura Robles (Juez), Diego García-Sayán (Juez), Leonardo A. Franco (Juez), </w:t>
      </w:r>
      <w:proofErr w:type="spellStart"/>
      <w:r>
        <w:t>Margarette</w:t>
      </w:r>
      <w:proofErr w:type="spellEnd"/>
      <w:r>
        <w:t xml:space="preserve"> May </w:t>
      </w:r>
      <w:proofErr w:type="spellStart"/>
      <w:r>
        <w:t>Macaulay</w:t>
      </w:r>
      <w:proofErr w:type="spellEnd"/>
      <w:r>
        <w:t xml:space="preserve"> (Jueza), y </w:t>
      </w:r>
      <w:proofErr w:type="spellStart"/>
      <w:r>
        <w:t>Rhadys</w:t>
      </w:r>
      <w:proofErr w:type="spellEnd"/>
      <w:r>
        <w:t xml:space="preserve"> Abreu Blondet (Jueza). 11 de mayo de 2007. Recuperado de: </w:t>
      </w:r>
      <w:hyperlink r:id="rId57">
        <w:r>
          <w:rPr>
            <w:spacing w:val="-2"/>
          </w:rPr>
          <w:t>https://www.corteidh.or.cr/docs/casos/articulos/seriec_163_esp.pdf.</w:t>
        </w:r>
      </w:hyperlink>
    </w:p>
    <w:p w:rsidR="003804AC" w:rsidRDefault="00AF18A5" w:rsidP="00C442FB">
      <w:r>
        <w:lastRenderedPageBreak/>
        <w:t>———.</w:t>
      </w:r>
      <w:r>
        <w:rPr>
          <w:spacing w:val="-4"/>
        </w:rPr>
        <w:t xml:space="preserve"> </w:t>
      </w:r>
      <w:r>
        <w:t>Sentencia</w:t>
      </w:r>
      <w:r>
        <w:rPr>
          <w:spacing w:val="-3"/>
        </w:rPr>
        <w:t xml:space="preserve"> </w:t>
      </w:r>
      <w:r>
        <w:t>de</w:t>
      </w:r>
      <w:r>
        <w:rPr>
          <w:spacing w:val="-3"/>
        </w:rPr>
        <w:t xml:space="preserve"> </w:t>
      </w:r>
      <w:r>
        <w:t>26</w:t>
      </w:r>
      <w:r>
        <w:rPr>
          <w:spacing w:val="-5"/>
        </w:rPr>
        <w:t xml:space="preserve"> </w:t>
      </w:r>
      <w:r>
        <w:t>de</w:t>
      </w:r>
      <w:r>
        <w:rPr>
          <w:spacing w:val="-3"/>
        </w:rPr>
        <w:t xml:space="preserve"> </w:t>
      </w:r>
      <w:r>
        <w:t>mayo</w:t>
      </w:r>
      <w:r>
        <w:rPr>
          <w:spacing w:val="-5"/>
        </w:rPr>
        <w:t xml:space="preserve"> </w:t>
      </w:r>
      <w:r>
        <w:t>de</w:t>
      </w:r>
      <w:r>
        <w:rPr>
          <w:spacing w:val="-5"/>
        </w:rPr>
        <w:t xml:space="preserve"> </w:t>
      </w:r>
      <w:r>
        <w:t>2010.</w:t>
      </w:r>
      <w:r>
        <w:rPr>
          <w:spacing w:val="-4"/>
        </w:rPr>
        <w:t xml:space="preserve"> </w:t>
      </w:r>
      <w:r>
        <w:t>Caso</w:t>
      </w:r>
      <w:r>
        <w:rPr>
          <w:spacing w:val="-5"/>
        </w:rPr>
        <w:t xml:space="preserve"> </w:t>
      </w:r>
      <w:r>
        <w:t>de</w:t>
      </w:r>
      <w:r>
        <w:rPr>
          <w:spacing w:val="-3"/>
        </w:rPr>
        <w:t xml:space="preserve"> </w:t>
      </w:r>
      <w:r>
        <w:t>Manuel</w:t>
      </w:r>
      <w:r>
        <w:rPr>
          <w:spacing w:val="-4"/>
        </w:rPr>
        <w:t xml:space="preserve"> </w:t>
      </w:r>
      <w:r>
        <w:t>Cepeda</w:t>
      </w:r>
      <w:r>
        <w:rPr>
          <w:spacing w:val="-3"/>
        </w:rPr>
        <w:t xml:space="preserve"> </w:t>
      </w:r>
      <w:r>
        <w:t>Vargas</w:t>
      </w:r>
      <w:r>
        <w:rPr>
          <w:spacing w:val="-3"/>
        </w:rPr>
        <w:t xml:space="preserve"> </w:t>
      </w:r>
      <w:r>
        <w:t>vs.</w:t>
      </w:r>
      <w:r>
        <w:rPr>
          <w:spacing w:val="-4"/>
        </w:rPr>
        <w:t xml:space="preserve"> </w:t>
      </w:r>
      <w:r>
        <w:t>Colombia.</w:t>
      </w:r>
      <w:r>
        <w:rPr>
          <w:spacing w:val="-4"/>
        </w:rPr>
        <w:t xml:space="preserve"> </w:t>
      </w:r>
      <w:r>
        <w:t>Diego</w:t>
      </w:r>
      <w:r>
        <w:rPr>
          <w:spacing w:val="-5"/>
        </w:rPr>
        <w:t xml:space="preserve"> </w:t>
      </w:r>
      <w:r>
        <w:t xml:space="preserve">García- Sayán (Presidente), Leonardo A. Franco (Juez), Manuel E. Ventura Robles (Juez), </w:t>
      </w:r>
      <w:proofErr w:type="spellStart"/>
      <w:r>
        <w:t>Margarette</w:t>
      </w:r>
      <w:proofErr w:type="spellEnd"/>
      <w:r>
        <w:t xml:space="preserve"> May </w:t>
      </w:r>
      <w:proofErr w:type="spellStart"/>
      <w:r>
        <w:t>Macaulay</w:t>
      </w:r>
      <w:proofErr w:type="spellEnd"/>
      <w:r>
        <w:t xml:space="preserve"> (Jueza), </w:t>
      </w:r>
      <w:proofErr w:type="spellStart"/>
      <w:r>
        <w:t>Rhadys</w:t>
      </w:r>
      <w:proofErr w:type="spellEnd"/>
      <w:r>
        <w:t xml:space="preserve"> Abreu Blondet (Jueza), Alberto Pérez </w:t>
      </w:r>
      <w:proofErr w:type="spellStart"/>
      <w:r>
        <w:t>Pérez</w:t>
      </w:r>
      <w:proofErr w:type="spellEnd"/>
      <w:r>
        <w:t xml:space="preserve"> (Juez), y Eduardo Vio Grossi (Juez). 26 de mayo de 2010. Recuperado de: </w:t>
      </w:r>
      <w:hyperlink r:id="rId58">
        <w:r>
          <w:rPr>
            <w:spacing w:val="-2"/>
          </w:rPr>
          <w:t>https://www.corteidh.or.cr/docs/casos/articulos/seriec_213_esp.pdf.</w:t>
        </w:r>
      </w:hyperlink>
    </w:p>
    <w:p w:rsidR="003804AC" w:rsidRDefault="00AF18A5" w:rsidP="00C442FB">
      <w:r>
        <w:t xml:space="preserve">———. Sentencia de 15 de septiembre de 2005. Caso de la Masacre de Mapiripán vs. Colombia. Sergio García Ramírez (Presidente), Alirio Abreu Burelli (Vicepresidente), Oliver </w:t>
      </w:r>
      <w:proofErr w:type="spellStart"/>
      <w:r>
        <w:t>Jackman</w:t>
      </w:r>
      <w:proofErr w:type="spellEnd"/>
      <w:r>
        <w:t xml:space="preserve"> (Juez), </w:t>
      </w:r>
      <w:proofErr w:type="spellStart"/>
      <w:r>
        <w:t>Antônio</w:t>
      </w:r>
      <w:proofErr w:type="spellEnd"/>
      <w:r>
        <w:rPr>
          <w:spacing w:val="-11"/>
        </w:rPr>
        <w:t xml:space="preserve"> </w:t>
      </w:r>
      <w:r>
        <w:t>A.</w:t>
      </w:r>
      <w:r>
        <w:rPr>
          <w:spacing w:val="-11"/>
        </w:rPr>
        <w:t xml:space="preserve"> </w:t>
      </w:r>
      <w:proofErr w:type="spellStart"/>
      <w:r>
        <w:t>Cançado</w:t>
      </w:r>
      <w:proofErr w:type="spellEnd"/>
      <w:r>
        <w:rPr>
          <w:spacing w:val="-11"/>
        </w:rPr>
        <w:t xml:space="preserve"> </w:t>
      </w:r>
      <w:proofErr w:type="spellStart"/>
      <w:r>
        <w:t>Trindade</w:t>
      </w:r>
      <w:proofErr w:type="spellEnd"/>
      <w:r>
        <w:rPr>
          <w:spacing w:val="-10"/>
        </w:rPr>
        <w:t xml:space="preserve"> </w:t>
      </w:r>
      <w:r>
        <w:t>(Juez),</w:t>
      </w:r>
      <w:r>
        <w:rPr>
          <w:spacing w:val="-11"/>
        </w:rPr>
        <w:t xml:space="preserve"> </w:t>
      </w:r>
      <w:r>
        <w:t>Manuel</w:t>
      </w:r>
      <w:r>
        <w:rPr>
          <w:spacing w:val="-10"/>
        </w:rPr>
        <w:t xml:space="preserve"> </w:t>
      </w:r>
      <w:r>
        <w:t>E.</w:t>
      </w:r>
      <w:r>
        <w:rPr>
          <w:spacing w:val="-12"/>
        </w:rPr>
        <w:t xml:space="preserve"> </w:t>
      </w:r>
      <w:r>
        <w:t>Ventura</w:t>
      </w:r>
      <w:r>
        <w:rPr>
          <w:spacing w:val="-10"/>
        </w:rPr>
        <w:t xml:space="preserve"> </w:t>
      </w:r>
      <w:r>
        <w:t>Robles</w:t>
      </w:r>
      <w:r>
        <w:rPr>
          <w:spacing w:val="-10"/>
        </w:rPr>
        <w:t xml:space="preserve"> </w:t>
      </w:r>
      <w:r>
        <w:t>(Juez),</w:t>
      </w:r>
      <w:r>
        <w:rPr>
          <w:spacing w:val="-12"/>
        </w:rPr>
        <w:t xml:space="preserve"> </w:t>
      </w:r>
      <w:r>
        <w:t>y</w:t>
      </w:r>
      <w:r>
        <w:rPr>
          <w:spacing w:val="-12"/>
        </w:rPr>
        <w:t xml:space="preserve"> </w:t>
      </w:r>
      <w:r>
        <w:t>Gustavo</w:t>
      </w:r>
      <w:r>
        <w:rPr>
          <w:spacing w:val="-11"/>
        </w:rPr>
        <w:t xml:space="preserve"> </w:t>
      </w:r>
      <w:r>
        <w:t>Zafra</w:t>
      </w:r>
      <w:r>
        <w:rPr>
          <w:spacing w:val="-10"/>
        </w:rPr>
        <w:t xml:space="preserve"> </w:t>
      </w:r>
      <w:r>
        <w:t xml:space="preserve">Roldán (Juez ad hoc). 15 de septiembre de 2005. Recuperado de: </w:t>
      </w:r>
      <w:hyperlink r:id="rId59">
        <w:r>
          <w:rPr>
            <w:spacing w:val="-2"/>
          </w:rPr>
          <w:t>https://www.corteidh.or.cr/docs/casos/articulos/seriec_134_esp.pdf.</w:t>
        </w:r>
      </w:hyperlink>
    </w:p>
    <w:p w:rsidR="003804AC" w:rsidRDefault="00AF18A5" w:rsidP="00C442FB">
      <w:r>
        <w:t>———.</w:t>
      </w:r>
      <w:r>
        <w:rPr>
          <w:spacing w:val="-5"/>
        </w:rPr>
        <w:t xml:space="preserve"> </w:t>
      </w:r>
      <w:r>
        <w:t>Sentencia</w:t>
      </w:r>
      <w:r>
        <w:rPr>
          <w:spacing w:val="-4"/>
        </w:rPr>
        <w:t xml:space="preserve"> </w:t>
      </w:r>
      <w:r>
        <w:t>de</w:t>
      </w:r>
      <w:r>
        <w:rPr>
          <w:spacing w:val="-4"/>
        </w:rPr>
        <w:t xml:space="preserve"> </w:t>
      </w:r>
      <w:r>
        <w:t>20</w:t>
      </w:r>
      <w:r>
        <w:rPr>
          <w:spacing w:val="-6"/>
        </w:rPr>
        <w:t xml:space="preserve"> </w:t>
      </w:r>
      <w:r>
        <w:t>de</w:t>
      </w:r>
      <w:r>
        <w:rPr>
          <w:spacing w:val="-4"/>
        </w:rPr>
        <w:t xml:space="preserve"> </w:t>
      </w:r>
      <w:r>
        <w:t>noviembre</w:t>
      </w:r>
      <w:r>
        <w:rPr>
          <w:spacing w:val="-4"/>
        </w:rPr>
        <w:t xml:space="preserve"> </w:t>
      </w:r>
      <w:r>
        <w:t>de</w:t>
      </w:r>
      <w:r>
        <w:rPr>
          <w:spacing w:val="-4"/>
        </w:rPr>
        <w:t xml:space="preserve"> </w:t>
      </w:r>
      <w:r>
        <w:t>2013.</w:t>
      </w:r>
      <w:r>
        <w:rPr>
          <w:spacing w:val="-5"/>
        </w:rPr>
        <w:t xml:space="preserve"> </w:t>
      </w:r>
      <w:r>
        <w:t>Caso</w:t>
      </w:r>
      <w:r>
        <w:rPr>
          <w:spacing w:val="-5"/>
        </w:rPr>
        <w:t xml:space="preserve"> </w:t>
      </w:r>
      <w:r>
        <w:t>de</w:t>
      </w:r>
      <w:r>
        <w:rPr>
          <w:spacing w:val="-4"/>
        </w:rPr>
        <w:t xml:space="preserve"> </w:t>
      </w:r>
      <w:r>
        <w:t>las</w:t>
      </w:r>
      <w:r>
        <w:rPr>
          <w:spacing w:val="-4"/>
        </w:rPr>
        <w:t xml:space="preserve"> </w:t>
      </w:r>
      <w:r>
        <w:t>comunidades</w:t>
      </w:r>
      <w:r>
        <w:rPr>
          <w:spacing w:val="-5"/>
        </w:rPr>
        <w:t xml:space="preserve"> </w:t>
      </w:r>
      <w:r>
        <w:t>afrodescendientes</w:t>
      </w:r>
      <w:r>
        <w:rPr>
          <w:spacing w:val="-4"/>
        </w:rPr>
        <w:t xml:space="preserve"> </w:t>
      </w:r>
      <w:r>
        <w:t>desplazadas de la cuenca del río Cacarica (operación Génesis) vs. Colombia. Diego García-Sayán (Presidente),</w:t>
      </w:r>
      <w:r>
        <w:rPr>
          <w:spacing w:val="3"/>
        </w:rPr>
        <w:t xml:space="preserve"> </w:t>
      </w:r>
      <w:r>
        <w:t>Manuel</w:t>
      </w:r>
      <w:r>
        <w:rPr>
          <w:spacing w:val="8"/>
        </w:rPr>
        <w:t xml:space="preserve"> </w:t>
      </w:r>
      <w:r>
        <w:t>E.</w:t>
      </w:r>
      <w:r>
        <w:rPr>
          <w:spacing w:val="6"/>
        </w:rPr>
        <w:t xml:space="preserve"> </w:t>
      </w:r>
      <w:r>
        <w:t>Ventura</w:t>
      </w:r>
      <w:r>
        <w:rPr>
          <w:spacing w:val="7"/>
        </w:rPr>
        <w:t xml:space="preserve"> </w:t>
      </w:r>
      <w:r>
        <w:t>Robles</w:t>
      </w:r>
      <w:r>
        <w:rPr>
          <w:spacing w:val="7"/>
        </w:rPr>
        <w:t xml:space="preserve"> </w:t>
      </w:r>
      <w:r>
        <w:t>(Vicepresidente),</w:t>
      </w:r>
      <w:r>
        <w:rPr>
          <w:spacing w:val="7"/>
        </w:rPr>
        <w:t xml:space="preserve"> </w:t>
      </w:r>
      <w:r>
        <w:t>Alberto</w:t>
      </w:r>
      <w:r>
        <w:rPr>
          <w:spacing w:val="7"/>
        </w:rPr>
        <w:t xml:space="preserve"> </w:t>
      </w:r>
      <w:r>
        <w:t>Pérez</w:t>
      </w:r>
      <w:r>
        <w:rPr>
          <w:spacing w:val="6"/>
        </w:rPr>
        <w:t xml:space="preserve"> </w:t>
      </w:r>
      <w:proofErr w:type="spellStart"/>
      <w:r>
        <w:t>Pérez</w:t>
      </w:r>
      <w:proofErr w:type="spellEnd"/>
      <w:r>
        <w:rPr>
          <w:spacing w:val="7"/>
        </w:rPr>
        <w:t xml:space="preserve"> </w:t>
      </w:r>
      <w:r>
        <w:t>(Juez),</w:t>
      </w:r>
      <w:r>
        <w:rPr>
          <w:spacing w:val="7"/>
        </w:rPr>
        <w:t xml:space="preserve"> </w:t>
      </w:r>
      <w:r>
        <w:rPr>
          <w:spacing w:val="-2"/>
        </w:rPr>
        <w:t>Eduardo</w:t>
      </w:r>
    </w:p>
    <w:p w:rsidR="003804AC" w:rsidRDefault="00AF18A5" w:rsidP="00C442FB">
      <w:r>
        <w:t xml:space="preserve">Vio Grossi (Juez), Roberto F. Caldas (Juez), y Eduardo Ferrer McGregor </w:t>
      </w:r>
      <w:proofErr w:type="spellStart"/>
      <w:r>
        <w:t>Poisot</w:t>
      </w:r>
      <w:proofErr w:type="spellEnd"/>
      <w:r>
        <w:t xml:space="preserve"> (Juez). 20 de </w:t>
      </w:r>
      <w:r>
        <w:rPr>
          <w:spacing w:val="-2"/>
        </w:rPr>
        <w:t>noviembre</w:t>
      </w:r>
      <w:r>
        <w:tab/>
      </w:r>
      <w:r>
        <w:rPr>
          <w:spacing w:val="-6"/>
        </w:rPr>
        <w:t>de</w:t>
      </w:r>
      <w:r>
        <w:tab/>
      </w:r>
      <w:r>
        <w:rPr>
          <w:spacing w:val="-2"/>
        </w:rPr>
        <w:t>2013.</w:t>
      </w:r>
      <w:r>
        <w:tab/>
      </w:r>
      <w:r>
        <w:rPr>
          <w:spacing w:val="-2"/>
        </w:rPr>
        <w:t>Recuperado</w:t>
      </w:r>
      <w:r>
        <w:tab/>
      </w:r>
      <w:r>
        <w:rPr>
          <w:spacing w:val="-4"/>
        </w:rPr>
        <w:t xml:space="preserve">de: </w:t>
      </w:r>
      <w:hyperlink r:id="rId60">
        <w:r>
          <w:rPr>
            <w:spacing w:val="-2"/>
          </w:rPr>
          <w:t>https://www.corteidh.or.cr/docs/casos/articulos/seriec_270_esp.pdf.</w:t>
        </w:r>
      </w:hyperlink>
    </w:p>
    <w:p w:rsidR="003804AC" w:rsidRDefault="00AF18A5" w:rsidP="00C442FB">
      <w:r>
        <w:t>———. Sentencia de 5 de julio de 2004. Caso 19 Comerciantes Vs. Colombia. Sergio García Ramírez (Presidente),</w:t>
      </w:r>
      <w:r>
        <w:rPr>
          <w:spacing w:val="-12"/>
        </w:rPr>
        <w:t xml:space="preserve"> </w:t>
      </w:r>
      <w:r>
        <w:t>Alirio</w:t>
      </w:r>
      <w:r>
        <w:rPr>
          <w:spacing w:val="-10"/>
        </w:rPr>
        <w:t xml:space="preserve"> </w:t>
      </w:r>
      <w:r>
        <w:t>Abreu</w:t>
      </w:r>
      <w:r>
        <w:rPr>
          <w:spacing w:val="-10"/>
        </w:rPr>
        <w:t xml:space="preserve"> </w:t>
      </w:r>
      <w:r>
        <w:t>Burelli</w:t>
      </w:r>
      <w:r>
        <w:rPr>
          <w:spacing w:val="-10"/>
        </w:rPr>
        <w:t xml:space="preserve"> </w:t>
      </w:r>
      <w:r>
        <w:t>(Vicepresidente),</w:t>
      </w:r>
      <w:r>
        <w:rPr>
          <w:spacing w:val="-10"/>
        </w:rPr>
        <w:t xml:space="preserve"> </w:t>
      </w:r>
      <w:r>
        <w:t>Oliver</w:t>
      </w:r>
      <w:r>
        <w:rPr>
          <w:spacing w:val="-10"/>
        </w:rPr>
        <w:t xml:space="preserve"> </w:t>
      </w:r>
      <w:proofErr w:type="spellStart"/>
      <w:r>
        <w:t>Jackman</w:t>
      </w:r>
      <w:proofErr w:type="spellEnd"/>
      <w:r>
        <w:rPr>
          <w:spacing w:val="-10"/>
        </w:rPr>
        <w:t xml:space="preserve"> </w:t>
      </w:r>
      <w:r>
        <w:t>(Juez),</w:t>
      </w:r>
      <w:r>
        <w:rPr>
          <w:spacing w:val="-10"/>
        </w:rPr>
        <w:t xml:space="preserve"> </w:t>
      </w:r>
      <w:proofErr w:type="spellStart"/>
      <w:r>
        <w:t>Antônio</w:t>
      </w:r>
      <w:proofErr w:type="spellEnd"/>
      <w:r>
        <w:rPr>
          <w:spacing w:val="-10"/>
        </w:rPr>
        <w:t xml:space="preserve"> </w:t>
      </w:r>
      <w:r>
        <w:t>A.</w:t>
      </w:r>
      <w:r>
        <w:rPr>
          <w:spacing w:val="-12"/>
        </w:rPr>
        <w:t xml:space="preserve"> </w:t>
      </w:r>
      <w:proofErr w:type="spellStart"/>
      <w:r>
        <w:t>Cançado</w:t>
      </w:r>
      <w:proofErr w:type="spellEnd"/>
      <w:r>
        <w:t xml:space="preserve"> </w:t>
      </w:r>
      <w:proofErr w:type="spellStart"/>
      <w:r>
        <w:t>Trindade</w:t>
      </w:r>
      <w:proofErr w:type="spellEnd"/>
      <w:r>
        <w:t xml:space="preserve"> (Juez), Cecilia Medina Quiroga (Jueza), Manuel E. Ventura Robles (Juez), y Ernesto Rey Cantor (Juez ad hoc). 5 de julio de 2004. Recuperado de: </w:t>
      </w:r>
      <w:hyperlink r:id="rId61">
        <w:r>
          <w:rPr>
            <w:spacing w:val="-2"/>
          </w:rPr>
          <w:t>https://www.corteidh.or.cr/docs/casos/articulos/seriec_109_esp.pdf.</w:t>
        </w:r>
      </w:hyperlink>
    </w:p>
    <w:p w:rsidR="003804AC" w:rsidRDefault="00AF18A5" w:rsidP="00C442FB">
      <w:r>
        <w:t xml:space="preserve">Corte Suprema de Justicia. Sala de Casación Penal. Aprobado Acta No. </w:t>
      </w:r>
      <w:r>
        <w:lastRenderedPageBreak/>
        <w:t xml:space="preserve">84. Jueza: </w:t>
      </w:r>
      <w:proofErr w:type="spellStart"/>
      <w:r>
        <w:t>Maria</w:t>
      </w:r>
      <w:proofErr w:type="spellEnd"/>
      <w:r>
        <w:t xml:space="preserve"> del Rosario </w:t>
      </w:r>
      <w:r>
        <w:rPr>
          <w:spacing w:val="-2"/>
        </w:rPr>
        <w:t>Gonzáles.</w:t>
      </w:r>
      <w:r>
        <w:tab/>
      </w:r>
      <w:r>
        <w:rPr>
          <w:spacing w:val="-6"/>
        </w:rPr>
        <w:t>18</w:t>
      </w:r>
      <w:r>
        <w:tab/>
      </w:r>
      <w:r>
        <w:rPr>
          <w:spacing w:val="-6"/>
        </w:rPr>
        <w:t>de</w:t>
      </w:r>
      <w:r>
        <w:tab/>
      </w:r>
      <w:r>
        <w:rPr>
          <w:spacing w:val="-2"/>
        </w:rPr>
        <w:t>marzo</w:t>
      </w:r>
      <w:r>
        <w:tab/>
      </w:r>
      <w:r>
        <w:rPr>
          <w:spacing w:val="-6"/>
        </w:rPr>
        <w:t>de</w:t>
      </w:r>
      <w:r>
        <w:tab/>
      </w:r>
      <w:r>
        <w:rPr>
          <w:spacing w:val="-2"/>
        </w:rPr>
        <w:t>2010.</w:t>
      </w:r>
      <w:r>
        <w:tab/>
      </w:r>
      <w:r>
        <w:rPr>
          <w:spacing w:val="-2"/>
        </w:rPr>
        <w:t>Recuperado</w:t>
      </w:r>
      <w:r>
        <w:tab/>
      </w:r>
      <w:r>
        <w:rPr>
          <w:spacing w:val="-4"/>
        </w:rPr>
        <w:t xml:space="preserve">de: </w:t>
      </w:r>
      <w:hyperlink r:id="rId62">
        <w:r>
          <w:rPr>
            <w:spacing w:val="-2"/>
          </w:rPr>
          <w:t>http://www.derechos.org/nizkor/colombia/doc/alvaro1.html</w:t>
        </w:r>
      </w:hyperlink>
      <w:r>
        <w:rPr>
          <w:spacing w:val="-2"/>
        </w:rPr>
        <w:t>.</w:t>
      </w:r>
    </w:p>
    <w:p w:rsidR="003804AC" w:rsidRDefault="00AF18A5" w:rsidP="00C442FB">
      <w:r>
        <w:t>———. Sentencia contra el ex senador Álvaro Araújo Castro por concierto con grupos paramilitares al mando de «Jorge 40». 18 de marzo de 2010</w:t>
      </w:r>
    </w:p>
    <w:p w:rsidR="003804AC" w:rsidRDefault="00AF18A5" w:rsidP="00C442FB">
      <w:r>
        <w:t>Corte</w:t>
      </w:r>
      <w:r>
        <w:rPr>
          <w:spacing w:val="-15"/>
        </w:rPr>
        <w:t xml:space="preserve"> </w:t>
      </w:r>
      <w:r>
        <w:t>Suprema</w:t>
      </w:r>
      <w:r>
        <w:rPr>
          <w:spacing w:val="-14"/>
        </w:rPr>
        <w:t xml:space="preserve"> </w:t>
      </w:r>
      <w:r>
        <w:t>de</w:t>
      </w:r>
      <w:r>
        <w:rPr>
          <w:spacing w:val="-15"/>
        </w:rPr>
        <w:t xml:space="preserve"> </w:t>
      </w:r>
      <w:r>
        <w:t>Justicia.</w:t>
      </w:r>
      <w:r>
        <w:rPr>
          <w:spacing w:val="-14"/>
        </w:rPr>
        <w:t xml:space="preserve"> </w:t>
      </w:r>
      <w:r>
        <w:t>Sala</w:t>
      </w:r>
      <w:r>
        <w:rPr>
          <w:spacing w:val="-15"/>
        </w:rPr>
        <w:t xml:space="preserve"> </w:t>
      </w:r>
      <w:r>
        <w:t>de</w:t>
      </w:r>
      <w:r>
        <w:rPr>
          <w:spacing w:val="-14"/>
        </w:rPr>
        <w:t xml:space="preserve"> </w:t>
      </w:r>
      <w:r>
        <w:t>Casación</w:t>
      </w:r>
      <w:r>
        <w:rPr>
          <w:spacing w:val="-15"/>
        </w:rPr>
        <w:t xml:space="preserve"> </w:t>
      </w:r>
      <w:r>
        <w:t>Penal.</w:t>
      </w:r>
      <w:r>
        <w:rPr>
          <w:spacing w:val="-14"/>
        </w:rPr>
        <w:t xml:space="preserve"> </w:t>
      </w:r>
      <w:r>
        <w:t>Sentencia</w:t>
      </w:r>
      <w:r>
        <w:rPr>
          <w:spacing w:val="-15"/>
        </w:rPr>
        <w:t xml:space="preserve"> </w:t>
      </w:r>
      <w:r>
        <w:t>de</w:t>
      </w:r>
      <w:r>
        <w:rPr>
          <w:spacing w:val="-15"/>
        </w:rPr>
        <w:t xml:space="preserve"> </w:t>
      </w:r>
      <w:r>
        <w:t>12</w:t>
      </w:r>
      <w:r>
        <w:rPr>
          <w:spacing w:val="-14"/>
        </w:rPr>
        <w:t xml:space="preserve"> </w:t>
      </w:r>
      <w:r>
        <w:t>de</w:t>
      </w:r>
      <w:r>
        <w:rPr>
          <w:spacing w:val="-15"/>
        </w:rPr>
        <w:t xml:space="preserve"> </w:t>
      </w:r>
      <w:r>
        <w:t>enero</w:t>
      </w:r>
      <w:r>
        <w:rPr>
          <w:spacing w:val="-14"/>
        </w:rPr>
        <w:t xml:space="preserve"> </w:t>
      </w:r>
      <w:r>
        <w:t>de</w:t>
      </w:r>
      <w:r>
        <w:rPr>
          <w:spacing w:val="-15"/>
        </w:rPr>
        <w:t xml:space="preserve"> </w:t>
      </w:r>
      <w:r>
        <w:t>2012.</w:t>
      </w:r>
      <w:r>
        <w:rPr>
          <w:spacing w:val="-14"/>
        </w:rPr>
        <w:t xml:space="preserve"> </w:t>
      </w:r>
      <w:r>
        <w:t>Jesús</w:t>
      </w:r>
      <w:r>
        <w:rPr>
          <w:spacing w:val="-15"/>
        </w:rPr>
        <w:t xml:space="preserve"> </w:t>
      </w:r>
      <w:r>
        <w:t>María</w:t>
      </w:r>
      <w:r>
        <w:rPr>
          <w:spacing w:val="-15"/>
        </w:rPr>
        <w:t xml:space="preserve"> </w:t>
      </w:r>
      <w:proofErr w:type="spellStart"/>
      <w:r>
        <w:t>Imbeth</w:t>
      </w:r>
      <w:proofErr w:type="spellEnd"/>
      <w:r>
        <w:t xml:space="preserve">, Jorge </w:t>
      </w:r>
      <w:proofErr w:type="spellStart"/>
      <w:r>
        <w:t>Feris</w:t>
      </w:r>
      <w:proofErr w:type="spellEnd"/>
      <w:r>
        <w:t xml:space="preserve"> </w:t>
      </w:r>
      <w:proofErr w:type="spellStart"/>
      <w:r>
        <w:t>Chadid</w:t>
      </w:r>
      <w:proofErr w:type="spellEnd"/>
      <w:r>
        <w:t xml:space="preserve"> y Jesús María López. Juez: José </w:t>
      </w:r>
      <w:proofErr w:type="spellStart"/>
      <w:r>
        <w:t>Leonidas</w:t>
      </w:r>
      <w:proofErr w:type="spellEnd"/>
      <w:r>
        <w:t xml:space="preserve"> Bustos. 12 de enero de 2012. Recuperado de: </w:t>
      </w:r>
      <w:hyperlink r:id="rId63">
        <w:r>
          <w:t>http://www.derechos.org/nizkor/colombia/doc/ralito1.html</w:t>
        </w:r>
      </w:hyperlink>
      <w:r>
        <w:t>.</w:t>
      </w:r>
    </w:p>
    <w:p w:rsidR="003804AC" w:rsidRDefault="00AF18A5" w:rsidP="00C442FB">
      <w:proofErr w:type="spellStart"/>
      <w:r>
        <w:t>Cosoy</w:t>
      </w:r>
      <w:proofErr w:type="spellEnd"/>
      <w:r>
        <w:t xml:space="preserve">, Natalio. «¿Qué o quiénes son las temidas Águilas Negras y por qué las autoridades en Colombia dicen que no existen?». Acceso el 24 de junio de 2022. </w:t>
      </w:r>
      <w:hyperlink r:id="rId64">
        <w:r>
          <w:t>https://www.bbc.com/mundo/noticias-</w:t>
        </w:r>
      </w:hyperlink>
      <w:r>
        <w:t xml:space="preserve"> </w:t>
      </w:r>
      <w:hyperlink r:id="rId65">
        <w:r>
          <w:rPr>
            <w:spacing w:val="-2"/>
          </w:rPr>
          <w:t>america-latina-39583477</w:t>
        </w:r>
      </w:hyperlink>
      <w:r>
        <w:rPr>
          <w:spacing w:val="-2"/>
        </w:rPr>
        <w:t>.</w:t>
      </w:r>
    </w:p>
    <w:p w:rsidR="003804AC" w:rsidRDefault="00AF18A5" w:rsidP="00C442FB">
      <w:r>
        <w:t>El Colombiano. «Las Águilas Negras amenazaron a los magistrados de la Corte que votaron a favor del aborto».</w:t>
      </w:r>
      <w:r>
        <w:rPr>
          <w:spacing w:val="40"/>
        </w:rPr>
        <w:t xml:space="preserve"> </w:t>
      </w:r>
      <w:r>
        <w:t>Acceso</w:t>
      </w:r>
      <w:r>
        <w:rPr>
          <w:spacing w:val="40"/>
        </w:rPr>
        <w:t xml:space="preserve"> </w:t>
      </w:r>
      <w:r>
        <w:t>el</w:t>
      </w:r>
      <w:r>
        <w:rPr>
          <w:spacing w:val="40"/>
        </w:rPr>
        <w:t xml:space="preserve"> </w:t>
      </w:r>
      <w:r>
        <w:t>24</w:t>
      </w:r>
      <w:r>
        <w:rPr>
          <w:spacing w:val="40"/>
        </w:rPr>
        <w:t xml:space="preserve"> </w:t>
      </w:r>
      <w:r>
        <w:t>de</w:t>
      </w:r>
      <w:r>
        <w:rPr>
          <w:spacing w:val="40"/>
        </w:rPr>
        <w:t xml:space="preserve"> </w:t>
      </w:r>
      <w:r>
        <w:t>junio</w:t>
      </w:r>
      <w:r>
        <w:rPr>
          <w:spacing w:val="40"/>
        </w:rPr>
        <w:t xml:space="preserve"> </w:t>
      </w:r>
      <w:r>
        <w:t>de</w:t>
      </w:r>
      <w:r>
        <w:rPr>
          <w:spacing w:val="40"/>
        </w:rPr>
        <w:t xml:space="preserve"> </w:t>
      </w:r>
      <w:r>
        <w:t>2022.</w:t>
      </w:r>
      <w:r>
        <w:rPr>
          <w:spacing w:val="40"/>
        </w:rPr>
        <w:t xml:space="preserve"> </w:t>
      </w:r>
      <w:hyperlink r:id="rId66">
        <w:r>
          <w:t>https://www.elcolombiano.com/colombia/aguilas-</w:t>
        </w:r>
      </w:hyperlink>
      <w:r>
        <w:t xml:space="preserve"> </w:t>
      </w:r>
      <w:hyperlink r:id="rId67">
        <w:r>
          <w:rPr>
            <w:spacing w:val="-2"/>
          </w:rPr>
          <w:t>negras-amenazaron-a-los-magistrados-de-la-corte-que-votaron-a-favor-del-aborto-</w:t>
        </w:r>
      </w:hyperlink>
      <w:r>
        <w:rPr>
          <w:spacing w:val="40"/>
        </w:rPr>
        <w:t xml:space="preserve">  </w:t>
      </w:r>
      <w:hyperlink r:id="rId68">
        <w:r>
          <w:rPr>
            <w:spacing w:val="-2"/>
          </w:rPr>
          <w:t>MI16784392.</w:t>
        </w:r>
      </w:hyperlink>
    </w:p>
    <w:p w:rsidR="003804AC" w:rsidRDefault="00AF18A5" w:rsidP="00C442FB">
      <w:r>
        <w:t xml:space="preserve">El Heraldo. «“Deje de contar lo que no debe”: la amenaza de las ‘Águilas Negras’ a Mancuso». Acceso el 24 de junio de 2022. </w:t>
      </w:r>
      <w:hyperlink r:id="rId69">
        <w:r>
          <w:t>https://www.elheraldo.co/colombia/mancuso-denuncia-amenaza-de-las-</w:t>
        </w:r>
      </w:hyperlink>
      <w:r>
        <w:t xml:space="preserve"> </w:t>
      </w:r>
      <w:hyperlink r:id="rId70">
        <w:r>
          <w:rPr>
            <w:spacing w:val="-2"/>
          </w:rPr>
          <w:t>aguilas-negras-848705</w:t>
        </w:r>
      </w:hyperlink>
      <w:r>
        <w:rPr>
          <w:spacing w:val="-2"/>
        </w:rPr>
        <w:t>.</w:t>
      </w:r>
    </w:p>
    <w:p w:rsidR="003804AC" w:rsidRDefault="00AF18A5" w:rsidP="00C442FB">
      <w:r>
        <w:t>El</w:t>
      </w:r>
      <w:r>
        <w:rPr>
          <w:spacing w:val="-3"/>
        </w:rPr>
        <w:t xml:space="preserve"> </w:t>
      </w:r>
      <w:r>
        <w:t>Tiempo.</w:t>
      </w:r>
      <w:r>
        <w:rPr>
          <w:spacing w:val="-4"/>
        </w:rPr>
        <w:t xml:space="preserve"> </w:t>
      </w:r>
      <w:r>
        <w:t>«Águilas</w:t>
      </w:r>
      <w:r>
        <w:rPr>
          <w:spacing w:val="-3"/>
        </w:rPr>
        <w:t xml:space="preserve"> </w:t>
      </w:r>
      <w:r>
        <w:t>Negras</w:t>
      </w:r>
      <w:r>
        <w:rPr>
          <w:spacing w:val="-3"/>
        </w:rPr>
        <w:t xml:space="preserve"> </w:t>
      </w:r>
      <w:r>
        <w:t>estarían</w:t>
      </w:r>
      <w:r>
        <w:rPr>
          <w:spacing w:val="-5"/>
        </w:rPr>
        <w:t xml:space="preserve"> </w:t>
      </w:r>
      <w:r>
        <w:t>detrás</w:t>
      </w:r>
      <w:r>
        <w:rPr>
          <w:spacing w:val="-3"/>
        </w:rPr>
        <w:t xml:space="preserve"> </w:t>
      </w:r>
      <w:r>
        <w:t>de</w:t>
      </w:r>
      <w:r>
        <w:rPr>
          <w:spacing w:val="-3"/>
        </w:rPr>
        <w:t xml:space="preserve"> </w:t>
      </w:r>
      <w:r>
        <w:t>amenazas</w:t>
      </w:r>
      <w:r>
        <w:rPr>
          <w:spacing w:val="-4"/>
        </w:rPr>
        <w:t xml:space="preserve"> </w:t>
      </w:r>
      <w:r>
        <w:t>a</w:t>
      </w:r>
      <w:r>
        <w:rPr>
          <w:spacing w:val="-3"/>
        </w:rPr>
        <w:t xml:space="preserve"> </w:t>
      </w:r>
      <w:r>
        <w:t>jóvenes</w:t>
      </w:r>
      <w:r>
        <w:rPr>
          <w:spacing w:val="-3"/>
        </w:rPr>
        <w:t xml:space="preserve"> </w:t>
      </w:r>
      <w:r>
        <w:t>de</w:t>
      </w:r>
      <w:r>
        <w:rPr>
          <w:spacing w:val="-3"/>
        </w:rPr>
        <w:t xml:space="preserve"> </w:t>
      </w:r>
      <w:r>
        <w:t>Facatativá».</w:t>
      </w:r>
      <w:r>
        <w:rPr>
          <w:spacing w:val="-5"/>
        </w:rPr>
        <w:t xml:space="preserve"> </w:t>
      </w:r>
      <w:r>
        <w:t>Acceso</w:t>
      </w:r>
      <w:r>
        <w:rPr>
          <w:spacing w:val="-4"/>
        </w:rPr>
        <w:t xml:space="preserve"> </w:t>
      </w:r>
      <w:r>
        <w:t>el</w:t>
      </w:r>
      <w:r>
        <w:rPr>
          <w:spacing w:val="-3"/>
        </w:rPr>
        <w:t xml:space="preserve"> </w:t>
      </w:r>
      <w:r>
        <w:t>24</w:t>
      </w:r>
      <w:r>
        <w:rPr>
          <w:spacing w:val="-4"/>
        </w:rPr>
        <w:t xml:space="preserve"> </w:t>
      </w:r>
      <w:r>
        <w:t>de</w:t>
      </w:r>
      <w:r>
        <w:rPr>
          <w:spacing w:val="-3"/>
        </w:rPr>
        <w:t xml:space="preserve"> </w:t>
      </w:r>
      <w:r>
        <w:t xml:space="preserve">junio de 2022. </w:t>
      </w:r>
      <w:hyperlink r:id="rId71">
        <w:r>
          <w:t>https://www.eltiempo.com/bogota/paro-nacional-aguilas-negras-amenazan-a-jovenes-</w:t>
        </w:r>
      </w:hyperlink>
      <w:r>
        <w:t xml:space="preserve"> </w:t>
      </w:r>
      <w:hyperlink r:id="rId72">
        <w:r>
          <w:rPr>
            <w:spacing w:val="-2"/>
          </w:rPr>
          <w:t>de-facatativa-594726</w:t>
        </w:r>
      </w:hyperlink>
      <w:r>
        <w:rPr>
          <w:spacing w:val="-2"/>
        </w:rPr>
        <w:t>.</w:t>
      </w:r>
    </w:p>
    <w:p w:rsidR="003804AC" w:rsidRDefault="00AF18A5" w:rsidP="00C442FB">
      <w:r>
        <w:t>Entrevista 001-VI- 0028. Juez municipal en exilio. Tomada por Comisión para el Esclarecimiento de la Verdad, la Convivencia y la No Repetición - CEV. 2019.</w:t>
      </w:r>
    </w:p>
    <w:p w:rsidR="003804AC" w:rsidRDefault="00AF18A5" w:rsidP="00C442FB">
      <w:r>
        <w:t>Entrevista 001-VI-00027. Jueza Especial de Orden Público de Bogotá, exiliada. Tomada por Comisión para el Esclarecimiento de la Verdad, la Convivencia y la No Repetición - CEV. 2019.</w:t>
      </w:r>
    </w:p>
    <w:p w:rsidR="003804AC" w:rsidRDefault="00AF18A5" w:rsidP="00C442FB">
      <w:r>
        <w:t>Entrevista</w:t>
      </w:r>
      <w:r>
        <w:rPr>
          <w:spacing w:val="-10"/>
        </w:rPr>
        <w:t xml:space="preserve"> </w:t>
      </w:r>
      <w:r>
        <w:t>001-VI-00040.</w:t>
      </w:r>
      <w:r>
        <w:rPr>
          <w:spacing w:val="-10"/>
        </w:rPr>
        <w:t xml:space="preserve"> </w:t>
      </w:r>
      <w:r>
        <w:t>Exfuncionaria</w:t>
      </w:r>
      <w:r>
        <w:rPr>
          <w:spacing w:val="-10"/>
        </w:rPr>
        <w:t xml:space="preserve"> </w:t>
      </w:r>
      <w:r>
        <w:t>pública</w:t>
      </w:r>
      <w:r>
        <w:rPr>
          <w:spacing w:val="-10"/>
        </w:rPr>
        <w:t xml:space="preserve"> </w:t>
      </w:r>
      <w:r>
        <w:t>en</w:t>
      </w:r>
      <w:r>
        <w:rPr>
          <w:spacing w:val="-11"/>
        </w:rPr>
        <w:t xml:space="preserve"> </w:t>
      </w:r>
      <w:r>
        <w:t>exilio.</w:t>
      </w:r>
      <w:r>
        <w:rPr>
          <w:spacing w:val="-11"/>
        </w:rPr>
        <w:t xml:space="preserve"> </w:t>
      </w:r>
      <w:r>
        <w:t>Tomada</w:t>
      </w:r>
      <w:r>
        <w:rPr>
          <w:spacing w:val="-10"/>
        </w:rPr>
        <w:t xml:space="preserve"> </w:t>
      </w:r>
      <w:r>
        <w:t>por</w:t>
      </w:r>
      <w:r>
        <w:rPr>
          <w:spacing w:val="-10"/>
        </w:rPr>
        <w:t xml:space="preserve"> </w:t>
      </w:r>
      <w:r>
        <w:t>Comisión</w:t>
      </w:r>
      <w:r>
        <w:rPr>
          <w:spacing w:val="-11"/>
        </w:rPr>
        <w:t xml:space="preserve"> </w:t>
      </w:r>
      <w:r>
        <w:t>para</w:t>
      </w:r>
      <w:r>
        <w:rPr>
          <w:spacing w:val="-10"/>
        </w:rPr>
        <w:t xml:space="preserve"> </w:t>
      </w:r>
      <w:r>
        <w:t>el</w:t>
      </w:r>
      <w:r>
        <w:rPr>
          <w:spacing w:val="-10"/>
        </w:rPr>
        <w:t xml:space="preserve"> </w:t>
      </w:r>
      <w:r>
        <w:t>Esclarecimiento de la Verdad, la Convivencia y la No Repetición - CEV. 2020.</w:t>
      </w:r>
    </w:p>
    <w:p w:rsidR="003804AC" w:rsidRDefault="00AF18A5" w:rsidP="0052717E">
      <w:r>
        <w:t>Entrevista 001-VI-00044. Ex magistrado de la Corte Suprema de Justicia. Tomada por Comisión para el Esclarecimiento de la Verdad, la Convivencia y la No Repetición - CEV. 2020.</w:t>
      </w:r>
    </w:p>
    <w:p w:rsidR="003804AC" w:rsidRDefault="00AF18A5" w:rsidP="0052717E">
      <w:r>
        <w:t>Entrevista 001-VI-00069. Hombre, exfuncionario CTI, víctima de exilio. Tomada por Comisión para el Esclarecimiento de la Verdad, la Convivencia y la No Repetición - CEV. 2021.</w:t>
      </w:r>
    </w:p>
    <w:p w:rsidR="003804AC" w:rsidRDefault="00AF18A5" w:rsidP="0052717E">
      <w:r>
        <w:t>Entrevista 084-PR-00429. Hombre, militar, responsable de ejecuciones extrajudiciales y vínculos con grupos paramilitares. Tomada por Comisión para el Esclarecimiento de la Verdad, la Convivencia y la No Repetición - CEV. 2020.</w:t>
      </w:r>
    </w:p>
    <w:p w:rsidR="003804AC" w:rsidRDefault="00AF18A5" w:rsidP="0052717E">
      <w:r>
        <w:t>Entrevista</w:t>
      </w:r>
      <w:r>
        <w:rPr>
          <w:spacing w:val="-9"/>
        </w:rPr>
        <w:t xml:space="preserve"> </w:t>
      </w:r>
      <w:r>
        <w:t>122-PR-03473.</w:t>
      </w:r>
      <w:r>
        <w:rPr>
          <w:spacing w:val="-9"/>
        </w:rPr>
        <w:t xml:space="preserve"> </w:t>
      </w:r>
      <w:r>
        <w:t>Hombre,</w:t>
      </w:r>
      <w:r>
        <w:rPr>
          <w:spacing w:val="-9"/>
        </w:rPr>
        <w:t xml:space="preserve"> </w:t>
      </w:r>
      <w:r>
        <w:t>experto.</w:t>
      </w:r>
      <w:r>
        <w:rPr>
          <w:spacing w:val="-9"/>
        </w:rPr>
        <w:t xml:space="preserve"> </w:t>
      </w:r>
      <w:r>
        <w:t>Tomada</w:t>
      </w:r>
      <w:r>
        <w:rPr>
          <w:spacing w:val="-9"/>
        </w:rPr>
        <w:t xml:space="preserve"> </w:t>
      </w:r>
      <w:r>
        <w:t>por</w:t>
      </w:r>
      <w:r>
        <w:rPr>
          <w:spacing w:val="-9"/>
        </w:rPr>
        <w:t xml:space="preserve"> </w:t>
      </w:r>
      <w:r>
        <w:t>Comisión</w:t>
      </w:r>
      <w:r>
        <w:rPr>
          <w:spacing w:val="-9"/>
        </w:rPr>
        <w:t xml:space="preserve"> </w:t>
      </w:r>
      <w:r>
        <w:t>para</w:t>
      </w:r>
      <w:r>
        <w:rPr>
          <w:spacing w:val="-9"/>
        </w:rPr>
        <w:t xml:space="preserve"> </w:t>
      </w:r>
      <w:r>
        <w:t>el</w:t>
      </w:r>
      <w:r>
        <w:rPr>
          <w:spacing w:val="-9"/>
        </w:rPr>
        <w:t xml:space="preserve"> </w:t>
      </w:r>
      <w:r>
        <w:t>Esclarecimiento</w:t>
      </w:r>
      <w:r>
        <w:rPr>
          <w:spacing w:val="-9"/>
        </w:rPr>
        <w:t xml:space="preserve"> </w:t>
      </w:r>
      <w:r>
        <w:t>de</w:t>
      </w:r>
      <w:r>
        <w:rPr>
          <w:spacing w:val="-9"/>
        </w:rPr>
        <w:t xml:space="preserve"> </w:t>
      </w:r>
      <w:r>
        <w:t>la</w:t>
      </w:r>
      <w:r>
        <w:rPr>
          <w:spacing w:val="-9"/>
        </w:rPr>
        <w:t xml:space="preserve"> </w:t>
      </w:r>
      <w:r>
        <w:t>Verdad, la Convivencia y la No Repetición - CEV. 2021.</w:t>
      </w:r>
    </w:p>
    <w:p w:rsidR="003804AC" w:rsidRDefault="00AF18A5" w:rsidP="0052717E">
      <w:r>
        <w:lastRenderedPageBreak/>
        <w:t>Entrevista 123-PR-00016. Hombre, intermediario entre guerrilla y el gobierno. Tomada por Comisión para el Esclarecimiento de la Verdad, la Convivencia y la No Repetición - CEV. 2019.</w:t>
      </w:r>
    </w:p>
    <w:p w:rsidR="003804AC" w:rsidRDefault="00AF18A5" w:rsidP="0052717E">
      <w:r>
        <w:t>Entrevista 123-PR-00025. Hombre, familiar de comandante paramilitar. Tomada por Comisión para el Esclarecimiento de la Verdad, la Convivencia y la No Repetición - CEV. 2019.</w:t>
      </w:r>
    </w:p>
    <w:p w:rsidR="003804AC" w:rsidRDefault="00AF18A5" w:rsidP="0052717E">
      <w:r>
        <w:t>Entrevista 142-PR-02479. Exsenador, procesado. Tomada por Comisión para el Esclarecimiento de la Verdad, la Convivencia y la No Repetición - CEV. 2020.</w:t>
      </w:r>
    </w:p>
    <w:p w:rsidR="003804AC" w:rsidRDefault="00AF18A5" w:rsidP="0052717E">
      <w:r>
        <w:t>Entrevista 142-PR-03259. Hombre,</w:t>
      </w:r>
      <w:r>
        <w:rPr>
          <w:spacing w:val="-1"/>
        </w:rPr>
        <w:t xml:space="preserve"> </w:t>
      </w:r>
      <w:r>
        <w:t>excombatiente AUC. Tomada por</w:t>
      </w:r>
      <w:r>
        <w:rPr>
          <w:spacing w:val="-1"/>
        </w:rPr>
        <w:t xml:space="preserve"> </w:t>
      </w:r>
      <w:r>
        <w:t>Comisión</w:t>
      </w:r>
      <w:r>
        <w:rPr>
          <w:spacing w:val="-1"/>
        </w:rPr>
        <w:t xml:space="preserve"> </w:t>
      </w:r>
      <w:r>
        <w:t>para el Esclarecimiento de la Verdad, la Convivencia y la No Repetición - CEV. 2021.</w:t>
      </w:r>
    </w:p>
    <w:p w:rsidR="003804AC" w:rsidRDefault="00AF18A5" w:rsidP="0052717E">
      <w:r>
        <w:t>Entrevista</w:t>
      </w:r>
      <w:r>
        <w:rPr>
          <w:spacing w:val="-13"/>
        </w:rPr>
        <w:t xml:space="preserve"> </w:t>
      </w:r>
      <w:r>
        <w:t>185-PR-00206.</w:t>
      </w:r>
      <w:r>
        <w:rPr>
          <w:spacing w:val="-13"/>
        </w:rPr>
        <w:t xml:space="preserve"> </w:t>
      </w:r>
      <w:r>
        <w:t>Hombre,</w:t>
      </w:r>
      <w:r>
        <w:rPr>
          <w:spacing w:val="-14"/>
        </w:rPr>
        <w:t xml:space="preserve"> </w:t>
      </w:r>
      <w:r>
        <w:t>militar,</w:t>
      </w:r>
      <w:r>
        <w:rPr>
          <w:spacing w:val="-13"/>
        </w:rPr>
        <w:t xml:space="preserve"> </w:t>
      </w:r>
      <w:r>
        <w:t>compareciente,</w:t>
      </w:r>
      <w:r>
        <w:rPr>
          <w:spacing w:val="-14"/>
        </w:rPr>
        <w:t xml:space="preserve"> </w:t>
      </w:r>
      <w:r>
        <w:t>participante</w:t>
      </w:r>
      <w:r>
        <w:rPr>
          <w:spacing w:val="-13"/>
        </w:rPr>
        <w:t xml:space="preserve"> </w:t>
      </w:r>
      <w:r>
        <w:t>de</w:t>
      </w:r>
      <w:r>
        <w:rPr>
          <w:spacing w:val="-13"/>
        </w:rPr>
        <w:t xml:space="preserve"> </w:t>
      </w:r>
      <w:r>
        <w:t>incursión</w:t>
      </w:r>
      <w:r>
        <w:rPr>
          <w:spacing w:val="-13"/>
        </w:rPr>
        <w:t xml:space="preserve"> </w:t>
      </w:r>
      <w:r>
        <w:t>paramilitar.</w:t>
      </w:r>
      <w:r>
        <w:rPr>
          <w:spacing w:val="-13"/>
        </w:rPr>
        <w:t xml:space="preserve"> </w:t>
      </w:r>
      <w:r>
        <w:t xml:space="preserve">Tomada por Comisión para el Esclarecimiento de la Verdad, la Convivencia y la No Repetición - CEV. </w:t>
      </w:r>
      <w:r>
        <w:rPr>
          <w:spacing w:val="-2"/>
        </w:rPr>
        <w:t>2019.</w:t>
      </w:r>
    </w:p>
    <w:p w:rsidR="003804AC" w:rsidRDefault="00AF18A5" w:rsidP="0052717E">
      <w:r>
        <w:t>Entrevista 185-PR-00608. Hombre, exmilitar, testigo de vínculos con AUC. Tomada por Comisión para el Esclarecimiento de la Verdad, la Convivencia y la No Repetición - CEV. 2022.</w:t>
      </w:r>
    </w:p>
    <w:p w:rsidR="003804AC" w:rsidRDefault="00AF18A5" w:rsidP="0052717E">
      <w:r>
        <w:t>Entrevista 185-PR-00771. Hombre, excombatiente AUC, compareciente. Tomada por Comisión para el Esclarecimiento de la Verdad, la Convivencia y la No Repetición - CEV. 2020.</w:t>
      </w:r>
    </w:p>
    <w:p w:rsidR="003804AC" w:rsidRDefault="00AF18A5" w:rsidP="0052717E">
      <w:r>
        <w:t>Entrevista</w:t>
      </w:r>
      <w:r>
        <w:rPr>
          <w:spacing w:val="-12"/>
        </w:rPr>
        <w:t xml:space="preserve"> </w:t>
      </w:r>
      <w:r>
        <w:t>224-VI-00070.</w:t>
      </w:r>
      <w:r>
        <w:rPr>
          <w:spacing w:val="-11"/>
        </w:rPr>
        <w:t xml:space="preserve"> </w:t>
      </w:r>
      <w:r>
        <w:t>Mujer,</w:t>
      </w:r>
      <w:r>
        <w:rPr>
          <w:spacing w:val="-11"/>
        </w:rPr>
        <w:t xml:space="preserve"> </w:t>
      </w:r>
      <w:r>
        <w:t>familiar</w:t>
      </w:r>
      <w:r>
        <w:rPr>
          <w:spacing w:val="-11"/>
        </w:rPr>
        <w:t xml:space="preserve"> </w:t>
      </w:r>
      <w:r>
        <w:t>de</w:t>
      </w:r>
      <w:r>
        <w:rPr>
          <w:spacing w:val="-10"/>
        </w:rPr>
        <w:t xml:space="preserve"> </w:t>
      </w:r>
      <w:r>
        <w:t>víctima</w:t>
      </w:r>
      <w:r>
        <w:rPr>
          <w:spacing w:val="-11"/>
        </w:rPr>
        <w:t xml:space="preserve"> </w:t>
      </w:r>
      <w:r>
        <w:t>de</w:t>
      </w:r>
      <w:r>
        <w:rPr>
          <w:spacing w:val="-12"/>
        </w:rPr>
        <w:t xml:space="preserve"> </w:t>
      </w:r>
      <w:r>
        <w:t>masacre,</w:t>
      </w:r>
      <w:r>
        <w:rPr>
          <w:spacing w:val="-11"/>
        </w:rPr>
        <w:t xml:space="preserve"> </w:t>
      </w:r>
      <w:r>
        <w:t>víctima</w:t>
      </w:r>
      <w:r>
        <w:rPr>
          <w:spacing w:val="-10"/>
        </w:rPr>
        <w:t xml:space="preserve"> </w:t>
      </w:r>
      <w:r>
        <w:t>de</w:t>
      </w:r>
      <w:r>
        <w:rPr>
          <w:spacing w:val="-11"/>
        </w:rPr>
        <w:t xml:space="preserve"> </w:t>
      </w:r>
      <w:r>
        <w:t>desplazamiento.</w:t>
      </w:r>
      <w:r>
        <w:rPr>
          <w:spacing w:val="-11"/>
        </w:rPr>
        <w:t xml:space="preserve"> </w:t>
      </w:r>
      <w:r>
        <w:t>Tomada</w:t>
      </w:r>
      <w:r>
        <w:rPr>
          <w:spacing w:val="-10"/>
        </w:rPr>
        <w:t xml:space="preserve"> </w:t>
      </w:r>
      <w:r>
        <w:t>por Comisión</w:t>
      </w:r>
      <w:r>
        <w:rPr>
          <w:spacing w:val="-10"/>
        </w:rPr>
        <w:t xml:space="preserve"> </w:t>
      </w:r>
      <w:r>
        <w:t>para</w:t>
      </w:r>
      <w:r>
        <w:rPr>
          <w:spacing w:val="-7"/>
        </w:rPr>
        <w:t xml:space="preserve"> </w:t>
      </w:r>
      <w:r>
        <w:t>el</w:t>
      </w:r>
      <w:r>
        <w:rPr>
          <w:spacing w:val="-7"/>
        </w:rPr>
        <w:t xml:space="preserve"> </w:t>
      </w:r>
      <w:r>
        <w:t>Esclarecimiento</w:t>
      </w:r>
      <w:r>
        <w:rPr>
          <w:spacing w:val="-7"/>
        </w:rPr>
        <w:t xml:space="preserve"> </w:t>
      </w:r>
      <w:r>
        <w:t>de</w:t>
      </w:r>
      <w:r>
        <w:rPr>
          <w:spacing w:val="-8"/>
        </w:rPr>
        <w:t xml:space="preserve"> </w:t>
      </w:r>
      <w:r>
        <w:t>la</w:t>
      </w:r>
      <w:r>
        <w:rPr>
          <w:spacing w:val="-7"/>
        </w:rPr>
        <w:t xml:space="preserve"> </w:t>
      </w:r>
      <w:r>
        <w:t>Verdad,</w:t>
      </w:r>
      <w:r>
        <w:rPr>
          <w:spacing w:val="-9"/>
        </w:rPr>
        <w:t xml:space="preserve"> </w:t>
      </w:r>
      <w:r>
        <w:t>la</w:t>
      </w:r>
      <w:r>
        <w:rPr>
          <w:spacing w:val="-9"/>
        </w:rPr>
        <w:t xml:space="preserve"> </w:t>
      </w:r>
      <w:r>
        <w:t>Convivencia</w:t>
      </w:r>
      <w:r>
        <w:rPr>
          <w:spacing w:val="-7"/>
        </w:rPr>
        <w:t xml:space="preserve"> </w:t>
      </w:r>
      <w:r>
        <w:t>y</w:t>
      </w:r>
      <w:r>
        <w:rPr>
          <w:spacing w:val="-7"/>
        </w:rPr>
        <w:t xml:space="preserve"> </w:t>
      </w:r>
      <w:r>
        <w:t>la</w:t>
      </w:r>
      <w:r>
        <w:rPr>
          <w:spacing w:val="-7"/>
        </w:rPr>
        <w:t xml:space="preserve"> </w:t>
      </w:r>
      <w:r>
        <w:t>No</w:t>
      </w:r>
      <w:r>
        <w:rPr>
          <w:spacing w:val="-7"/>
        </w:rPr>
        <w:t xml:space="preserve"> </w:t>
      </w:r>
      <w:r>
        <w:t>Repetición</w:t>
      </w:r>
      <w:r>
        <w:rPr>
          <w:spacing w:val="-7"/>
        </w:rPr>
        <w:t xml:space="preserve"> </w:t>
      </w:r>
      <w:r>
        <w:t>-</w:t>
      </w:r>
      <w:r>
        <w:rPr>
          <w:spacing w:val="-7"/>
        </w:rPr>
        <w:t xml:space="preserve"> </w:t>
      </w:r>
      <w:r>
        <w:t>CEV.</w:t>
      </w:r>
      <w:r>
        <w:rPr>
          <w:spacing w:val="-7"/>
        </w:rPr>
        <w:t xml:space="preserve"> </w:t>
      </w:r>
      <w:r>
        <w:rPr>
          <w:spacing w:val="-2"/>
        </w:rPr>
        <w:t>2020.</w:t>
      </w:r>
    </w:p>
    <w:p w:rsidR="003804AC" w:rsidRDefault="00AF18A5" w:rsidP="0052717E">
      <w:r>
        <w:lastRenderedPageBreak/>
        <w:t>Entrevista 240-AA-00001. Hombre, excombatiente ACMM. Tomada por Comisión para el Esclarecimiento de la Verdad, la Convivencia y la No Repetición - CEV. 2020.</w:t>
      </w:r>
    </w:p>
    <w:p w:rsidR="003804AC" w:rsidRDefault="00AF18A5" w:rsidP="0052717E">
      <w:r>
        <w:t>Entrevista</w:t>
      </w:r>
      <w:r>
        <w:rPr>
          <w:spacing w:val="-2"/>
        </w:rPr>
        <w:t xml:space="preserve"> </w:t>
      </w:r>
      <w:r>
        <w:t>240-AA-00003.</w:t>
      </w:r>
      <w:r>
        <w:rPr>
          <w:spacing w:val="-2"/>
        </w:rPr>
        <w:t xml:space="preserve"> </w:t>
      </w:r>
      <w:r>
        <w:t>Actor</w:t>
      </w:r>
      <w:r>
        <w:rPr>
          <w:spacing w:val="-2"/>
        </w:rPr>
        <w:t xml:space="preserve"> </w:t>
      </w:r>
      <w:r>
        <w:t>armado,</w:t>
      </w:r>
      <w:r>
        <w:rPr>
          <w:spacing w:val="-2"/>
        </w:rPr>
        <w:t xml:space="preserve"> </w:t>
      </w:r>
      <w:r>
        <w:t>excombatiente</w:t>
      </w:r>
      <w:r>
        <w:rPr>
          <w:spacing w:val="-2"/>
        </w:rPr>
        <w:t xml:space="preserve"> </w:t>
      </w:r>
      <w:r>
        <w:t>Bloque</w:t>
      </w:r>
      <w:r>
        <w:rPr>
          <w:spacing w:val="-2"/>
        </w:rPr>
        <w:t xml:space="preserve"> </w:t>
      </w:r>
      <w:r>
        <w:t>Central</w:t>
      </w:r>
      <w:r>
        <w:rPr>
          <w:spacing w:val="-3"/>
        </w:rPr>
        <w:t xml:space="preserve"> </w:t>
      </w:r>
      <w:r>
        <w:t>Bolívar.</w:t>
      </w:r>
      <w:r>
        <w:rPr>
          <w:spacing w:val="-2"/>
        </w:rPr>
        <w:t xml:space="preserve"> </w:t>
      </w:r>
      <w:r>
        <w:t>Tomada</w:t>
      </w:r>
      <w:r>
        <w:rPr>
          <w:spacing w:val="-2"/>
        </w:rPr>
        <w:t xml:space="preserve"> </w:t>
      </w:r>
      <w:r>
        <w:t>por</w:t>
      </w:r>
      <w:r>
        <w:rPr>
          <w:spacing w:val="-2"/>
        </w:rPr>
        <w:t xml:space="preserve"> </w:t>
      </w:r>
      <w:r>
        <w:t>Comisión para el Esclarecimiento de la Verdad, la Convivencia y la No Repetición - CEV. 2020.</w:t>
      </w:r>
    </w:p>
    <w:p w:rsidR="003804AC" w:rsidRDefault="00AF18A5" w:rsidP="0052717E">
      <w:r>
        <w:t>Entrevista</w:t>
      </w:r>
      <w:r>
        <w:rPr>
          <w:spacing w:val="-6"/>
        </w:rPr>
        <w:t xml:space="preserve"> </w:t>
      </w:r>
      <w:r>
        <w:t>240-AA-00005.</w:t>
      </w:r>
      <w:r>
        <w:rPr>
          <w:spacing w:val="-6"/>
        </w:rPr>
        <w:t xml:space="preserve"> </w:t>
      </w:r>
      <w:r>
        <w:t>Hombre,</w:t>
      </w:r>
      <w:r>
        <w:rPr>
          <w:spacing w:val="-6"/>
        </w:rPr>
        <w:t xml:space="preserve"> </w:t>
      </w:r>
      <w:r>
        <w:t>excombatiente</w:t>
      </w:r>
      <w:r>
        <w:rPr>
          <w:spacing w:val="-6"/>
        </w:rPr>
        <w:t xml:space="preserve"> </w:t>
      </w:r>
      <w:r>
        <w:t>AUC.</w:t>
      </w:r>
      <w:r>
        <w:rPr>
          <w:spacing w:val="-5"/>
        </w:rPr>
        <w:t xml:space="preserve"> </w:t>
      </w:r>
      <w:r>
        <w:t>Tomada</w:t>
      </w:r>
      <w:r>
        <w:rPr>
          <w:spacing w:val="-6"/>
        </w:rPr>
        <w:t xml:space="preserve"> </w:t>
      </w:r>
      <w:r>
        <w:t>por</w:t>
      </w:r>
      <w:r>
        <w:rPr>
          <w:spacing w:val="-5"/>
        </w:rPr>
        <w:t xml:space="preserve"> </w:t>
      </w:r>
      <w:r>
        <w:t>Comisión</w:t>
      </w:r>
      <w:r>
        <w:rPr>
          <w:spacing w:val="-6"/>
        </w:rPr>
        <w:t xml:space="preserve"> </w:t>
      </w:r>
      <w:r>
        <w:t>para</w:t>
      </w:r>
      <w:r>
        <w:rPr>
          <w:spacing w:val="-6"/>
        </w:rPr>
        <w:t xml:space="preserve"> </w:t>
      </w:r>
      <w:r>
        <w:t>el</w:t>
      </w:r>
      <w:r>
        <w:rPr>
          <w:spacing w:val="-5"/>
        </w:rPr>
        <w:t xml:space="preserve"> </w:t>
      </w:r>
      <w:r>
        <w:t>Esclarecimiento de la Verdad, la Convivencia y la No Repetición - CEV. 2019.</w:t>
      </w:r>
    </w:p>
    <w:p w:rsidR="003804AC" w:rsidRDefault="00AF18A5" w:rsidP="0052717E">
      <w:r>
        <w:t>Entrevista 240-AA-00006. Excomandantes Bloque Central Bolívar. Tomada por Comisión para el Esclarecimiento de la Verdad, la Convivencia y la No Repetición - CEV. 2019.</w:t>
      </w:r>
    </w:p>
    <w:p w:rsidR="003804AC" w:rsidRDefault="00AF18A5" w:rsidP="0052717E">
      <w:r>
        <w:t>Entrevista</w:t>
      </w:r>
      <w:r>
        <w:rPr>
          <w:spacing w:val="-6"/>
        </w:rPr>
        <w:t xml:space="preserve"> </w:t>
      </w:r>
      <w:r>
        <w:t>240-AA-00013.</w:t>
      </w:r>
      <w:r>
        <w:rPr>
          <w:spacing w:val="-6"/>
        </w:rPr>
        <w:t xml:space="preserve"> </w:t>
      </w:r>
      <w:r>
        <w:t>Hombre,</w:t>
      </w:r>
      <w:r>
        <w:rPr>
          <w:spacing w:val="-6"/>
        </w:rPr>
        <w:t xml:space="preserve"> </w:t>
      </w:r>
      <w:r>
        <w:t>excombatiente</w:t>
      </w:r>
      <w:r>
        <w:rPr>
          <w:spacing w:val="-6"/>
        </w:rPr>
        <w:t xml:space="preserve"> </w:t>
      </w:r>
      <w:r>
        <w:t>AUC.</w:t>
      </w:r>
      <w:r>
        <w:rPr>
          <w:spacing w:val="-5"/>
        </w:rPr>
        <w:t xml:space="preserve"> </w:t>
      </w:r>
      <w:r>
        <w:t>Tomada</w:t>
      </w:r>
      <w:r>
        <w:rPr>
          <w:spacing w:val="-6"/>
        </w:rPr>
        <w:t xml:space="preserve"> </w:t>
      </w:r>
      <w:r>
        <w:t>por</w:t>
      </w:r>
      <w:r>
        <w:rPr>
          <w:spacing w:val="-5"/>
        </w:rPr>
        <w:t xml:space="preserve"> </w:t>
      </w:r>
      <w:r>
        <w:t>Comisión</w:t>
      </w:r>
      <w:r>
        <w:rPr>
          <w:spacing w:val="-6"/>
        </w:rPr>
        <w:t xml:space="preserve"> </w:t>
      </w:r>
      <w:r>
        <w:t>para</w:t>
      </w:r>
      <w:r>
        <w:rPr>
          <w:spacing w:val="-6"/>
        </w:rPr>
        <w:t xml:space="preserve"> </w:t>
      </w:r>
      <w:r>
        <w:t>el</w:t>
      </w:r>
      <w:r>
        <w:rPr>
          <w:spacing w:val="-5"/>
        </w:rPr>
        <w:t xml:space="preserve"> </w:t>
      </w:r>
      <w:r>
        <w:t>Esclarecimiento de la Verdad, la Convivencia y la No Repetición - CEV. 2020.</w:t>
      </w:r>
    </w:p>
    <w:p w:rsidR="003804AC" w:rsidRDefault="00AF18A5" w:rsidP="0052717E">
      <w:r>
        <w:t>Entrevista 274-CO-00694. Campesinos. Tomada por Comisión para el Esclarecimiento de la Verdad, la Convivencia y la No Repetición - CEV. 2020.</w:t>
      </w:r>
    </w:p>
    <w:p w:rsidR="003804AC" w:rsidRDefault="00AF18A5" w:rsidP="0052717E">
      <w:r>
        <w:t>Entrevista 331-PR-02869. Hombre, docente, víctima de secuestro. Tomada por Comisión para el Esclarecimiento de la Verdad, la Convivencia y la No Repetición - CEV. 2020.</w:t>
      </w:r>
    </w:p>
    <w:p w:rsidR="003804AC" w:rsidRDefault="00AF18A5" w:rsidP="0052717E">
      <w:r>
        <w:t>Entrevista</w:t>
      </w:r>
      <w:r>
        <w:rPr>
          <w:spacing w:val="-5"/>
        </w:rPr>
        <w:t xml:space="preserve"> </w:t>
      </w:r>
      <w:r>
        <w:t>346-AA-00001.</w:t>
      </w:r>
      <w:r>
        <w:rPr>
          <w:spacing w:val="-4"/>
        </w:rPr>
        <w:t xml:space="preserve"> </w:t>
      </w:r>
      <w:r>
        <w:t>Hombre,</w:t>
      </w:r>
      <w:r>
        <w:rPr>
          <w:spacing w:val="-7"/>
        </w:rPr>
        <w:t xml:space="preserve"> </w:t>
      </w:r>
      <w:r>
        <w:t>excomandante</w:t>
      </w:r>
      <w:r>
        <w:rPr>
          <w:spacing w:val="-4"/>
        </w:rPr>
        <w:t xml:space="preserve"> </w:t>
      </w:r>
      <w:r>
        <w:t>AUC.</w:t>
      </w:r>
      <w:r>
        <w:rPr>
          <w:spacing w:val="-4"/>
        </w:rPr>
        <w:t xml:space="preserve"> </w:t>
      </w:r>
      <w:r>
        <w:t>Tomada</w:t>
      </w:r>
      <w:r>
        <w:rPr>
          <w:spacing w:val="-4"/>
        </w:rPr>
        <w:t xml:space="preserve"> </w:t>
      </w:r>
      <w:r>
        <w:t>por</w:t>
      </w:r>
      <w:r>
        <w:rPr>
          <w:spacing w:val="-4"/>
        </w:rPr>
        <w:t xml:space="preserve"> </w:t>
      </w:r>
      <w:r>
        <w:t>Comisión</w:t>
      </w:r>
      <w:r>
        <w:rPr>
          <w:spacing w:val="-6"/>
        </w:rPr>
        <w:t xml:space="preserve"> </w:t>
      </w:r>
      <w:r>
        <w:t>para</w:t>
      </w:r>
      <w:r>
        <w:rPr>
          <w:spacing w:val="-4"/>
        </w:rPr>
        <w:t xml:space="preserve"> </w:t>
      </w:r>
      <w:r>
        <w:t>el</w:t>
      </w:r>
      <w:r>
        <w:rPr>
          <w:spacing w:val="-5"/>
        </w:rPr>
        <w:t xml:space="preserve"> </w:t>
      </w:r>
      <w:r>
        <w:t>Esclarecimiento de la Verdad, la Convivencia y la No Repetición - CEV. 2020.</w:t>
      </w:r>
    </w:p>
    <w:p w:rsidR="003804AC" w:rsidRDefault="00AF18A5" w:rsidP="0052717E">
      <w:r>
        <w:lastRenderedPageBreak/>
        <w:t>Entrevista 442-VI-00001. Hombre, funcionario público. Tomada por Comisión para el Esclarecimiento de la Verdad, la Convivencia y la No Repetición - CEV. 2021.</w:t>
      </w:r>
    </w:p>
    <w:p w:rsidR="003804AC" w:rsidRDefault="00AF18A5" w:rsidP="0052717E">
      <w:r>
        <w:t>Entrevista</w:t>
      </w:r>
      <w:r>
        <w:rPr>
          <w:spacing w:val="34"/>
        </w:rPr>
        <w:t xml:space="preserve"> </w:t>
      </w:r>
      <w:r>
        <w:t>651-AA-00001.</w:t>
      </w:r>
      <w:r>
        <w:rPr>
          <w:spacing w:val="34"/>
        </w:rPr>
        <w:t xml:space="preserve"> </w:t>
      </w:r>
      <w:r>
        <w:t>Actor</w:t>
      </w:r>
      <w:r>
        <w:rPr>
          <w:spacing w:val="34"/>
        </w:rPr>
        <w:t xml:space="preserve"> </w:t>
      </w:r>
      <w:r>
        <w:t>armado,</w:t>
      </w:r>
      <w:r>
        <w:rPr>
          <w:spacing w:val="34"/>
        </w:rPr>
        <w:t xml:space="preserve"> </w:t>
      </w:r>
      <w:r>
        <w:t>excomandante</w:t>
      </w:r>
      <w:r>
        <w:rPr>
          <w:spacing w:val="34"/>
        </w:rPr>
        <w:t xml:space="preserve"> </w:t>
      </w:r>
      <w:r>
        <w:t>de</w:t>
      </w:r>
      <w:r>
        <w:rPr>
          <w:spacing w:val="34"/>
        </w:rPr>
        <w:t xml:space="preserve"> </w:t>
      </w:r>
      <w:r>
        <w:t>las</w:t>
      </w:r>
      <w:r>
        <w:rPr>
          <w:spacing w:val="34"/>
        </w:rPr>
        <w:t xml:space="preserve"> </w:t>
      </w:r>
      <w:r>
        <w:t>AUC.</w:t>
      </w:r>
      <w:r>
        <w:rPr>
          <w:spacing w:val="34"/>
        </w:rPr>
        <w:t xml:space="preserve"> </w:t>
      </w:r>
      <w:r>
        <w:t>Tomada</w:t>
      </w:r>
      <w:r>
        <w:rPr>
          <w:spacing w:val="34"/>
        </w:rPr>
        <w:t xml:space="preserve"> </w:t>
      </w:r>
      <w:r>
        <w:t>por</w:t>
      </w:r>
      <w:r>
        <w:rPr>
          <w:spacing w:val="34"/>
        </w:rPr>
        <w:t xml:space="preserve"> </w:t>
      </w:r>
      <w:r>
        <w:t>Comisión</w:t>
      </w:r>
      <w:r>
        <w:rPr>
          <w:spacing w:val="33"/>
        </w:rPr>
        <w:t xml:space="preserve"> </w:t>
      </w:r>
      <w:r>
        <w:t>para</w:t>
      </w:r>
      <w:r>
        <w:rPr>
          <w:spacing w:val="34"/>
        </w:rPr>
        <w:t xml:space="preserve"> </w:t>
      </w:r>
      <w:r>
        <w:t>el Esclarecimiento de la Verdad, la Convivencia y la No Repetición - CEV. 2021.</w:t>
      </w:r>
    </w:p>
    <w:p w:rsidR="003804AC" w:rsidRDefault="00AF18A5" w:rsidP="0052717E">
      <w:r>
        <w:t>Equipo</w:t>
      </w:r>
      <w:r>
        <w:rPr>
          <w:spacing w:val="30"/>
        </w:rPr>
        <w:t xml:space="preserve"> </w:t>
      </w:r>
      <w:proofErr w:type="spellStart"/>
      <w:r>
        <w:t>Nizkor</w:t>
      </w:r>
      <w:proofErr w:type="spellEnd"/>
      <w:r>
        <w:rPr>
          <w:spacing w:val="30"/>
        </w:rPr>
        <w:t xml:space="preserve"> </w:t>
      </w:r>
      <w:r>
        <w:t>y</w:t>
      </w:r>
      <w:r>
        <w:rPr>
          <w:spacing w:val="30"/>
        </w:rPr>
        <w:t xml:space="preserve"> </w:t>
      </w:r>
      <w:r>
        <w:t>Derechos</w:t>
      </w:r>
      <w:r>
        <w:rPr>
          <w:spacing w:val="30"/>
        </w:rPr>
        <w:t xml:space="preserve"> </w:t>
      </w:r>
      <w:r>
        <w:t>Human</w:t>
      </w:r>
      <w:r>
        <w:rPr>
          <w:spacing w:val="30"/>
        </w:rPr>
        <w:t xml:space="preserve"> </w:t>
      </w:r>
      <w:proofErr w:type="spellStart"/>
      <w:r>
        <w:t>Rights</w:t>
      </w:r>
      <w:proofErr w:type="spellEnd"/>
      <w:r>
        <w:t>.</w:t>
      </w:r>
      <w:r>
        <w:rPr>
          <w:spacing w:val="30"/>
        </w:rPr>
        <w:t xml:space="preserve"> </w:t>
      </w:r>
      <w:r>
        <w:t>«Colombia</w:t>
      </w:r>
      <w:r>
        <w:rPr>
          <w:spacing w:val="30"/>
        </w:rPr>
        <w:t xml:space="preserve"> </w:t>
      </w:r>
      <w:r>
        <w:t>Nunca</w:t>
      </w:r>
      <w:r>
        <w:rPr>
          <w:spacing w:val="30"/>
        </w:rPr>
        <w:t xml:space="preserve"> </w:t>
      </w:r>
      <w:r>
        <w:t>Más».</w:t>
      </w:r>
      <w:r>
        <w:rPr>
          <w:spacing w:val="30"/>
        </w:rPr>
        <w:t xml:space="preserve"> </w:t>
      </w:r>
      <w:r>
        <w:t>Acceso</w:t>
      </w:r>
      <w:r>
        <w:rPr>
          <w:spacing w:val="30"/>
        </w:rPr>
        <w:t xml:space="preserve"> </w:t>
      </w:r>
      <w:r>
        <w:t>el</w:t>
      </w:r>
      <w:r>
        <w:rPr>
          <w:spacing w:val="30"/>
        </w:rPr>
        <w:t xml:space="preserve"> </w:t>
      </w:r>
      <w:r>
        <w:t>25</w:t>
      </w:r>
      <w:r>
        <w:rPr>
          <w:spacing w:val="30"/>
        </w:rPr>
        <w:t xml:space="preserve"> </w:t>
      </w:r>
      <w:r>
        <w:t>de</w:t>
      </w:r>
      <w:r>
        <w:rPr>
          <w:spacing w:val="30"/>
        </w:rPr>
        <w:t xml:space="preserve"> </w:t>
      </w:r>
      <w:r>
        <w:t>junio</w:t>
      </w:r>
      <w:r>
        <w:rPr>
          <w:spacing w:val="30"/>
        </w:rPr>
        <w:t xml:space="preserve"> </w:t>
      </w:r>
      <w:r>
        <w:t>de</w:t>
      </w:r>
      <w:r>
        <w:rPr>
          <w:spacing w:val="30"/>
        </w:rPr>
        <w:t xml:space="preserve"> </w:t>
      </w:r>
      <w:r>
        <w:t xml:space="preserve">2022. </w:t>
      </w:r>
      <w:hyperlink r:id="rId73">
        <w:r>
          <w:rPr>
            <w:spacing w:val="-2"/>
          </w:rPr>
          <w:t>http://www.derechos.org/nizkor/colombia/libros/nm/z7/index.html</w:t>
        </w:r>
      </w:hyperlink>
      <w:r>
        <w:rPr>
          <w:spacing w:val="-2"/>
        </w:rPr>
        <w:t>.</w:t>
      </w:r>
    </w:p>
    <w:p w:rsidR="003804AC" w:rsidRDefault="00AF18A5" w:rsidP="0052717E">
      <w:r>
        <w:t>Fiscalía</w:t>
      </w:r>
      <w:r>
        <w:rPr>
          <w:spacing w:val="31"/>
        </w:rPr>
        <w:t xml:space="preserve"> </w:t>
      </w:r>
      <w:r>
        <w:t>General</w:t>
      </w:r>
      <w:r>
        <w:rPr>
          <w:spacing w:val="32"/>
        </w:rPr>
        <w:t xml:space="preserve"> </w:t>
      </w:r>
      <w:r>
        <w:t>de</w:t>
      </w:r>
      <w:r>
        <w:rPr>
          <w:spacing w:val="31"/>
        </w:rPr>
        <w:t xml:space="preserve"> </w:t>
      </w:r>
      <w:r>
        <w:t>la</w:t>
      </w:r>
      <w:r>
        <w:rPr>
          <w:spacing w:val="31"/>
        </w:rPr>
        <w:t xml:space="preserve"> </w:t>
      </w:r>
      <w:r>
        <w:t>Nación</w:t>
      </w:r>
      <w:r>
        <w:rPr>
          <w:spacing w:val="31"/>
        </w:rPr>
        <w:t xml:space="preserve"> </w:t>
      </w:r>
      <w:r>
        <w:t>(FGN).</w:t>
      </w:r>
      <w:r>
        <w:rPr>
          <w:spacing w:val="31"/>
        </w:rPr>
        <w:t xml:space="preserve"> </w:t>
      </w:r>
      <w:r>
        <w:t>«Fiscalía</w:t>
      </w:r>
      <w:r>
        <w:rPr>
          <w:spacing w:val="31"/>
        </w:rPr>
        <w:t xml:space="preserve"> </w:t>
      </w:r>
      <w:r>
        <w:t>concluye</w:t>
      </w:r>
      <w:r>
        <w:rPr>
          <w:spacing w:val="30"/>
        </w:rPr>
        <w:t xml:space="preserve"> </w:t>
      </w:r>
      <w:r>
        <w:t>estudio</w:t>
      </w:r>
      <w:r>
        <w:rPr>
          <w:spacing w:val="31"/>
        </w:rPr>
        <w:t xml:space="preserve"> </w:t>
      </w:r>
      <w:r>
        <w:t>sobre</w:t>
      </w:r>
      <w:r>
        <w:rPr>
          <w:spacing w:val="31"/>
        </w:rPr>
        <w:t xml:space="preserve"> </w:t>
      </w:r>
      <w:r>
        <w:t>terceros</w:t>
      </w:r>
      <w:r>
        <w:rPr>
          <w:spacing w:val="31"/>
        </w:rPr>
        <w:t xml:space="preserve"> </w:t>
      </w:r>
      <w:r>
        <w:t>civiles</w:t>
      </w:r>
      <w:r>
        <w:rPr>
          <w:spacing w:val="31"/>
        </w:rPr>
        <w:t xml:space="preserve"> </w:t>
      </w:r>
      <w:r>
        <w:t>vinculados</w:t>
      </w:r>
      <w:r>
        <w:rPr>
          <w:spacing w:val="31"/>
        </w:rPr>
        <w:t xml:space="preserve"> </w:t>
      </w:r>
      <w:r>
        <w:t xml:space="preserve">al </w:t>
      </w:r>
      <w:r>
        <w:rPr>
          <w:spacing w:val="-2"/>
        </w:rPr>
        <w:t>conflicto</w:t>
      </w:r>
      <w:r w:rsidR="0052717E">
        <w:rPr>
          <w:spacing w:val="-2"/>
        </w:rPr>
        <w:t xml:space="preserve"> </w:t>
      </w:r>
      <w:r>
        <w:rPr>
          <w:spacing w:val="-2"/>
        </w:rPr>
        <w:t>armado».</w:t>
      </w:r>
      <w:r w:rsidR="0052717E">
        <w:rPr>
          <w:spacing w:val="-2"/>
        </w:rPr>
        <w:t xml:space="preserve"> </w:t>
      </w:r>
      <w:r>
        <w:rPr>
          <w:spacing w:val="-2"/>
        </w:rPr>
        <w:t>Acceso</w:t>
      </w:r>
      <w:r w:rsidR="0052717E">
        <w:rPr>
          <w:spacing w:val="-2"/>
        </w:rPr>
        <w:t xml:space="preserve"> </w:t>
      </w:r>
      <w:r>
        <w:rPr>
          <w:spacing w:val="-5"/>
        </w:rPr>
        <w:t>el</w:t>
      </w:r>
      <w:r w:rsidR="0052717E">
        <w:rPr>
          <w:spacing w:val="-5"/>
        </w:rPr>
        <w:t xml:space="preserve"> </w:t>
      </w:r>
      <w:r>
        <w:rPr>
          <w:spacing w:val="-5"/>
        </w:rPr>
        <w:t>24</w:t>
      </w:r>
      <w:r w:rsidR="0052717E">
        <w:rPr>
          <w:spacing w:val="-5"/>
        </w:rPr>
        <w:t xml:space="preserve"> </w:t>
      </w:r>
      <w:r>
        <w:rPr>
          <w:spacing w:val="-5"/>
        </w:rPr>
        <w:t>de</w:t>
      </w:r>
      <w:r w:rsidR="0052717E">
        <w:rPr>
          <w:spacing w:val="-5"/>
        </w:rPr>
        <w:t xml:space="preserve"> </w:t>
      </w:r>
      <w:r>
        <w:rPr>
          <w:spacing w:val="-2"/>
        </w:rPr>
        <w:t>junio</w:t>
      </w:r>
      <w:r w:rsidR="0052717E">
        <w:rPr>
          <w:spacing w:val="-2"/>
        </w:rPr>
        <w:t xml:space="preserve"> </w:t>
      </w:r>
      <w:r>
        <w:rPr>
          <w:spacing w:val="-5"/>
        </w:rPr>
        <w:t>de</w:t>
      </w:r>
      <w:r w:rsidR="0052717E">
        <w:rPr>
          <w:spacing w:val="-5"/>
        </w:rPr>
        <w:t xml:space="preserve"> </w:t>
      </w:r>
      <w:r>
        <w:rPr>
          <w:spacing w:val="-2"/>
        </w:rPr>
        <w:t>2022.</w:t>
      </w:r>
    </w:p>
    <w:p w:rsidR="003804AC" w:rsidRDefault="00B93F6A" w:rsidP="0052717E">
      <w:hyperlink r:id="rId74">
        <w:r w:rsidR="00AF18A5">
          <w:rPr>
            <w:spacing w:val="-2"/>
          </w:rPr>
          <w:t>https://www.fiscalia.gov.co/colombia/noticias/fiscalia-concluye-estudio-sobre-terceros-civiles-</w:t>
        </w:r>
      </w:hyperlink>
      <w:r w:rsidR="00AF18A5">
        <w:rPr>
          <w:spacing w:val="-2"/>
        </w:rPr>
        <w:t xml:space="preserve"> </w:t>
      </w:r>
      <w:hyperlink r:id="rId75">
        <w:r w:rsidR="00AF18A5">
          <w:rPr>
            <w:spacing w:val="-2"/>
          </w:rPr>
          <w:t>vinculados-al-conflicto-armado/</w:t>
        </w:r>
      </w:hyperlink>
      <w:r w:rsidR="00AF18A5">
        <w:rPr>
          <w:spacing w:val="-2"/>
        </w:rPr>
        <w:t>.</w:t>
      </w:r>
    </w:p>
    <w:p w:rsidR="003804AC" w:rsidRDefault="00AF18A5" w:rsidP="0052717E">
      <w:r>
        <w:t xml:space="preserve">———. «Tribunal Superior de Justicia y Paz de Medellín excluyó a alias </w:t>
      </w:r>
      <w:proofErr w:type="spellStart"/>
      <w:r>
        <w:t>Gordolindo</w:t>
      </w:r>
      <w:proofErr w:type="spellEnd"/>
      <w:r>
        <w:t xml:space="preserve">». Acceso el 24 de junio de 2022. </w:t>
      </w:r>
      <w:hyperlink r:id="rId76">
        <w:r>
          <w:t>https://www.fiscalia.gov.co/colombia/noticias/tribunal-superior-de-justicia-y-</w:t>
        </w:r>
      </w:hyperlink>
      <w:r>
        <w:t xml:space="preserve"> </w:t>
      </w:r>
      <w:hyperlink r:id="rId77">
        <w:r>
          <w:rPr>
            <w:spacing w:val="-2"/>
          </w:rPr>
          <w:t>paz-de-</w:t>
        </w:r>
        <w:proofErr w:type="spellStart"/>
        <w:r>
          <w:rPr>
            <w:spacing w:val="-2"/>
          </w:rPr>
          <w:t>medellin</w:t>
        </w:r>
        <w:proofErr w:type="spellEnd"/>
        <w:r>
          <w:rPr>
            <w:spacing w:val="-2"/>
          </w:rPr>
          <w:t>-excluyo-a-alias-</w:t>
        </w:r>
        <w:proofErr w:type="spellStart"/>
        <w:r>
          <w:rPr>
            <w:spacing w:val="-2"/>
          </w:rPr>
          <w:t>gordolindo</w:t>
        </w:r>
        <w:proofErr w:type="spellEnd"/>
        <w:r>
          <w:rPr>
            <w:spacing w:val="-2"/>
          </w:rPr>
          <w:t>/</w:t>
        </w:r>
      </w:hyperlink>
      <w:r>
        <w:rPr>
          <w:spacing w:val="-2"/>
        </w:rPr>
        <w:t>.</w:t>
      </w:r>
    </w:p>
    <w:p w:rsidR="003804AC" w:rsidRDefault="00AF18A5" w:rsidP="0052717E">
      <w:r>
        <w:t>———.</w:t>
      </w:r>
      <w:r>
        <w:rPr>
          <w:spacing w:val="-3"/>
        </w:rPr>
        <w:t xml:space="preserve"> </w:t>
      </w:r>
      <w:r>
        <w:t>«Dossier</w:t>
      </w:r>
      <w:r>
        <w:rPr>
          <w:spacing w:val="-3"/>
        </w:rPr>
        <w:t xml:space="preserve"> </w:t>
      </w:r>
      <w:r>
        <w:t>BPB</w:t>
      </w:r>
      <w:r>
        <w:rPr>
          <w:spacing w:val="-4"/>
        </w:rPr>
        <w:t xml:space="preserve"> </w:t>
      </w:r>
      <w:r>
        <w:t>(Bloque</w:t>
      </w:r>
      <w:r>
        <w:rPr>
          <w:spacing w:val="-3"/>
        </w:rPr>
        <w:t xml:space="preserve"> </w:t>
      </w:r>
      <w:r>
        <w:t>Puerto</w:t>
      </w:r>
      <w:r>
        <w:rPr>
          <w:spacing w:val="-3"/>
        </w:rPr>
        <w:t xml:space="preserve"> </w:t>
      </w:r>
      <w:r>
        <w:t>Boyacá)».</w:t>
      </w:r>
      <w:r>
        <w:rPr>
          <w:spacing w:val="-5"/>
        </w:rPr>
        <w:t xml:space="preserve"> </w:t>
      </w:r>
      <w:r>
        <w:t>Módulo</w:t>
      </w:r>
      <w:r>
        <w:rPr>
          <w:spacing w:val="-3"/>
        </w:rPr>
        <w:t xml:space="preserve"> </w:t>
      </w:r>
      <w:r>
        <w:t>de</w:t>
      </w:r>
      <w:r>
        <w:rPr>
          <w:spacing w:val="-2"/>
        </w:rPr>
        <w:t xml:space="preserve"> </w:t>
      </w:r>
      <w:r>
        <w:t>Captura,</w:t>
      </w:r>
      <w:r>
        <w:rPr>
          <w:spacing w:val="-3"/>
        </w:rPr>
        <w:t xml:space="preserve"> </w:t>
      </w:r>
      <w:r>
        <w:t>Comisión</w:t>
      </w:r>
      <w:r>
        <w:rPr>
          <w:spacing w:val="-3"/>
        </w:rPr>
        <w:t xml:space="preserve"> </w:t>
      </w:r>
      <w:r>
        <w:t>para</w:t>
      </w:r>
      <w:r>
        <w:rPr>
          <w:spacing w:val="-3"/>
        </w:rPr>
        <w:t xml:space="preserve"> </w:t>
      </w:r>
      <w:r>
        <w:t>el</w:t>
      </w:r>
      <w:r>
        <w:rPr>
          <w:spacing w:val="-3"/>
        </w:rPr>
        <w:t xml:space="preserve"> </w:t>
      </w:r>
      <w:r>
        <w:t>Esclarecimiento de la Verdad, la Convivencia y la No Repetición</w:t>
      </w:r>
    </w:p>
    <w:p w:rsidR="003804AC" w:rsidRDefault="00AF18A5" w:rsidP="0052717E">
      <w:r>
        <w:t xml:space="preserve">Fuente de archivo externa 1004102-FS-27. «Manual de instrucciones generales para operaciones contraguerrillas». </w:t>
      </w:r>
      <w:proofErr w:type="spellStart"/>
      <w:r>
        <w:t>Ayundatía</w:t>
      </w:r>
      <w:proofErr w:type="spellEnd"/>
      <w:r>
        <w:t xml:space="preserve"> General del Comando del Ejército Nacional de Colombia. 1979.</w:t>
      </w:r>
    </w:p>
    <w:p w:rsidR="003804AC" w:rsidRDefault="00AF18A5" w:rsidP="0052717E">
      <w:r>
        <w:lastRenderedPageBreak/>
        <w:t>Fuente</w:t>
      </w:r>
      <w:r>
        <w:rPr>
          <w:spacing w:val="19"/>
        </w:rPr>
        <w:t xml:space="preserve"> </w:t>
      </w:r>
      <w:r>
        <w:t>de</w:t>
      </w:r>
      <w:r>
        <w:rPr>
          <w:spacing w:val="20"/>
        </w:rPr>
        <w:t xml:space="preserve"> </w:t>
      </w:r>
      <w:r>
        <w:t>archivo</w:t>
      </w:r>
      <w:r>
        <w:rPr>
          <w:spacing w:val="19"/>
        </w:rPr>
        <w:t xml:space="preserve"> </w:t>
      </w:r>
      <w:r>
        <w:t>externa</w:t>
      </w:r>
      <w:r>
        <w:rPr>
          <w:spacing w:val="20"/>
        </w:rPr>
        <w:t xml:space="preserve"> </w:t>
      </w:r>
      <w:r>
        <w:t>1004102-FS-24.</w:t>
      </w:r>
      <w:r>
        <w:rPr>
          <w:spacing w:val="19"/>
        </w:rPr>
        <w:t xml:space="preserve"> </w:t>
      </w:r>
      <w:r>
        <w:t>«Reglamento</w:t>
      </w:r>
      <w:r>
        <w:rPr>
          <w:spacing w:val="20"/>
        </w:rPr>
        <w:t xml:space="preserve"> </w:t>
      </w:r>
      <w:r>
        <w:t>de</w:t>
      </w:r>
      <w:r>
        <w:rPr>
          <w:spacing w:val="19"/>
        </w:rPr>
        <w:t xml:space="preserve"> </w:t>
      </w:r>
      <w:r>
        <w:t>combate</w:t>
      </w:r>
      <w:r>
        <w:rPr>
          <w:spacing w:val="19"/>
        </w:rPr>
        <w:t xml:space="preserve"> </w:t>
      </w:r>
      <w:r>
        <w:t>de</w:t>
      </w:r>
      <w:r>
        <w:rPr>
          <w:spacing w:val="19"/>
        </w:rPr>
        <w:t xml:space="preserve"> </w:t>
      </w:r>
      <w:r>
        <w:t>contraguerrillas</w:t>
      </w:r>
      <w:r>
        <w:rPr>
          <w:spacing w:val="19"/>
        </w:rPr>
        <w:t xml:space="preserve"> </w:t>
      </w:r>
      <w:r>
        <w:t>-</w:t>
      </w:r>
      <w:r>
        <w:rPr>
          <w:spacing w:val="21"/>
        </w:rPr>
        <w:t xml:space="preserve"> </w:t>
      </w:r>
      <w:r>
        <w:t>EJC</w:t>
      </w:r>
      <w:r>
        <w:rPr>
          <w:spacing w:val="20"/>
        </w:rPr>
        <w:t xml:space="preserve"> </w:t>
      </w:r>
      <w:r>
        <w:t>3-</w:t>
      </w:r>
      <w:r>
        <w:rPr>
          <w:spacing w:val="-2"/>
        </w:rPr>
        <w:t>10.».</w:t>
      </w:r>
    </w:p>
    <w:p w:rsidR="0011361F" w:rsidRDefault="00AF18A5" w:rsidP="0052717E">
      <w:r>
        <w:t>Comando</w:t>
      </w:r>
      <w:r>
        <w:rPr>
          <w:spacing w:val="-4"/>
        </w:rPr>
        <w:t xml:space="preserve"> </w:t>
      </w:r>
      <w:r>
        <w:t>General</w:t>
      </w:r>
      <w:r>
        <w:rPr>
          <w:spacing w:val="-1"/>
        </w:rPr>
        <w:t xml:space="preserve"> </w:t>
      </w:r>
      <w:r>
        <w:t>de</w:t>
      </w:r>
      <w:r>
        <w:rPr>
          <w:spacing w:val="-2"/>
        </w:rPr>
        <w:t xml:space="preserve"> </w:t>
      </w:r>
      <w:r>
        <w:t>las</w:t>
      </w:r>
      <w:r>
        <w:rPr>
          <w:spacing w:val="-2"/>
        </w:rPr>
        <w:t xml:space="preserve"> </w:t>
      </w:r>
      <w:r>
        <w:t>Fuerzas</w:t>
      </w:r>
      <w:r>
        <w:rPr>
          <w:spacing w:val="-1"/>
        </w:rPr>
        <w:t xml:space="preserve"> </w:t>
      </w:r>
      <w:r>
        <w:t>Militares.</w:t>
      </w:r>
      <w:r>
        <w:rPr>
          <w:spacing w:val="-1"/>
        </w:rPr>
        <w:t xml:space="preserve"> </w:t>
      </w:r>
      <w:r>
        <w:rPr>
          <w:spacing w:val="-2"/>
        </w:rPr>
        <w:t>1969.</w:t>
      </w:r>
    </w:p>
    <w:p w:rsidR="003804AC" w:rsidRPr="00951B0F" w:rsidRDefault="00AF18A5" w:rsidP="0052717E">
      <w:pPr>
        <w:rPr>
          <w:lang w:val="en-US"/>
        </w:rPr>
      </w:pPr>
      <w:r>
        <w:t>Francisco</w:t>
      </w:r>
      <w:r>
        <w:rPr>
          <w:spacing w:val="-11"/>
        </w:rPr>
        <w:t xml:space="preserve"> </w:t>
      </w:r>
      <w:r>
        <w:t>Gutiérrez</w:t>
      </w:r>
      <w:r>
        <w:rPr>
          <w:spacing w:val="-11"/>
        </w:rPr>
        <w:t xml:space="preserve"> </w:t>
      </w:r>
      <w:r>
        <w:t>Sanín.</w:t>
      </w:r>
      <w:r>
        <w:rPr>
          <w:spacing w:val="-11"/>
        </w:rPr>
        <w:t xml:space="preserve"> </w:t>
      </w:r>
      <w:r>
        <w:t>El</w:t>
      </w:r>
      <w:r>
        <w:rPr>
          <w:spacing w:val="-10"/>
        </w:rPr>
        <w:t xml:space="preserve"> </w:t>
      </w:r>
      <w:r>
        <w:t>orangután</w:t>
      </w:r>
      <w:r>
        <w:rPr>
          <w:spacing w:val="-11"/>
        </w:rPr>
        <w:t xml:space="preserve"> </w:t>
      </w:r>
      <w:r>
        <w:t>con</w:t>
      </w:r>
      <w:r>
        <w:rPr>
          <w:spacing w:val="-11"/>
        </w:rPr>
        <w:t xml:space="preserve"> </w:t>
      </w:r>
      <w:r>
        <w:t>sacoleva:</w:t>
      </w:r>
      <w:r>
        <w:rPr>
          <w:spacing w:val="-10"/>
        </w:rPr>
        <w:t xml:space="preserve"> </w:t>
      </w:r>
      <w:r>
        <w:t>cien</w:t>
      </w:r>
      <w:r>
        <w:rPr>
          <w:spacing w:val="-11"/>
        </w:rPr>
        <w:t xml:space="preserve"> </w:t>
      </w:r>
      <w:r>
        <w:t>años</w:t>
      </w:r>
      <w:r>
        <w:rPr>
          <w:spacing w:val="-11"/>
        </w:rPr>
        <w:t xml:space="preserve"> </w:t>
      </w:r>
      <w:r>
        <w:t>de</w:t>
      </w:r>
      <w:r>
        <w:rPr>
          <w:spacing w:val="-11"/>
        </w:rPr>
        <w:t xml:space="preserve"> </w:t>
      </w:r>
      <w:r>
        <w:t>democracia</w:t>
      </w:r>
      <w:r>
        <w:rPr>
          <w:spacing w:val="-11"/>
        </w:rPr>
        <w:t xml:space="preserve"> </w:t>
      </w:r>
      <w:r>
        <w:t>y</w:t>
      </w:r>
      <w:r>
        <w:rPr>
          <w:spacing w:val="-11"/>
        </w:rPr>
        <w:t xml:space="preserve"> </w:t>
      </w:r>
      <w:r>
        <w:t>represión</w:t>
      </w:r>
      <w:r>
        <w:rPr>
          <w:spacing w:val="-11"/>
        </w:rPr>
        <w:t xml:space="preserve"> </w:t>
      </w:r>
      <w:r>
        <w:t>en</w:t>
      </w:r>
      <w:r>
        <w:rPr>
          <w:spacing w:val="-11"/>
        </w:rPr>
        <w:t xml:space="preserve"> </w:t>
      </w:r>
      <w:r>
        <w:t xml:space="preserve">Colombia (1910-2010). </w:t>
      </w:r>
      <w:r w:rsidRPr="00951B0F">
        <w:rPr>
          <w:lang w:val="en-US"/>
        </w:rPr>
        <w:t>Bogotá, Colombia: IEPRI: Debate, 2014.</w:t>
      </w:r>
    </w:p>
    <w:p w:rsidR="003804AC" w:rsidRDefault="00AF18A5" w:rsidP="0052717E">
      <w:r w:rsidRPr="00951B0F">
        <w:rPr>
          <w:lang w:val="en-US"/>
        </w:rPr>
        <w:t>Global</w:t>
      </w:r>
      <w:r w:rsidR="0052717E">
        <w:rPr>
          <w:lang w:val="en-US"/>
        </w:rPr>
        <w:t xml:space="preserve"> </w:t>
      </w:r>
      <w:r w:rsidRPr="00951B0F">
        <w:rPr>
          <w:lang w:val="en-US"/>
        </w:rPr>
        <w:t>Firepower.</w:t>
      </w:r>
      <w:r w:rsidR="0052717E">
        <w:rPr>
          <w:lang w:val="en-US"/>
        </w:rPr>
        <w:t xml:space="preserve"> </w:t>
      </w:r>
      <w:r w:rsidRPr="00951B0F">
        <w:rPr>
          <w:lang w:val="en-US"/>
        </w:rPr>
        <w:t>«Paramilitary</w:t>
      </w:r>
      <w:r w:rsidR="0052717E">
        <w:rPr>
          <w:lang w:val="en-US"/>
        </w:rPr>
        <w:t xml:space="preserve"> </w:t>
      </w:r>
      <w:r w:rsidRPr="00951B0F">
        <w:rPr>
          <w:lang w:val="en-US"/>
        </w:rPr>
        <w:t>Force</w:t>
      </w:r>
      <w:r w:rsidR="0052717E">
        <w:rPr>
          <w:lang w:val="en-US"/>
        </w:rPr>
        <w:t xml:space="preserve"> </w:t>
      </w:r>
      <w:r w:rsidRPr="00951B0F">
        <w:rPr>
          <w:lang w:val="en-US"/>
        </w:rPr>
        <w:t>Strength</w:t>
      </w:r>
      <w:r w:rsidR="0052717E">
        <w:rPr>
          <w:lang w:val="en-US"/>
        </w:rPr>
        <w:t xml:space="preserve"> </w:t>
      </w:r>
      <w:r w:rsidRPr="00951B0F">
        <w:rPr>
          <w:spacing w:val="-6"/>
          <w:lang w:val="en-US"/>
        </w:rPr>
        <w:t>by</w:t>
      </w:r>
      <w:r w:rsidR="0052717E">
        <w:rPr>
          <w:spacing w:val="-6"/>
          <w:lang w:val="en-US"/>
        </w:rPr>
        <w:t xml:space="preserve"> </w:t>
      </w:r>
      <w:r w:rsidRPr="00951B0F">
        <w:rPr>
          <w:lang w:val="en-US"/>
        </w:rPr>
        <w:t>Country</w:t>
      </w:r>
      <w:r w:rsidRPr="00951B0F">
        <w:rPr>
          <w:lang w:val="en-US"/>
        </w:rPr>
        <w:tab/>
        <w:t>(</w:t>
      </w:r>
      <w:proofErr w:type="gramStart"/>
      <w:r w:rsidRPr="00951B0F">
        <w:rPr>
          <w:lang w:val="en-US"/>
        </w:rPr>
        <w:t>2022)»</w:t>
      </w:r>
      <w:proofErr w:type="gramEnd"/>
      <w:r w:rsidRPr="00951B0F">
        <w:rPr>
          <w:lang w:val="en-US"/>
        </w:rPr>
        <w:t xml:space="preserve">. </w:t>
      </w:r>
      <w:hyperlink r:id="rId78">
        <w:r>
          <w:t>https://www.globalfirepower.com/manpower-paramilitary.php</w:t>
        </w:r>
      </w:hyperlink>
      <w:r>
        <w:t>.</w:t>
      </w:r>
    </w:p>
    <w:p w:rsidR="003804AC" w:rsidRDefault="00AF18A5" w:rsidP="0052717E">
      <w:r>
        <w:t xml:space="preserve">Gobierno Nacional de Colombia y Autodefensas Unidas de Colombia (AUC). «Acuerdo de Santa Fe de </w:t>
      </w:r>
      <w:r>
        <w:rPr>
          <w:spacing w:val="-2"/>
        </w:rPr>
        <w:t>Ralito</w:t>
      </w:r>
      <w:r w:rsidR="0052717E">
        <w:rPr>
          <w:spacing w:val="-2"/>
        </w:rPr>
        <w:t xml:space="preserve"> </w:t>
      </w:r>
      <w:r>
        <w:rPr>
          <w:spacing w:val="-4"/>
        </w:rPr>
        <w:t>para</w:t>
      </w:r>
      <w:r w:rsidR="0052717E">
        <w:rPr>
          <w:spacing w:val="-4"/>
        </w:rPr>
        <w:t xml:space="preserve"> </w:t>
      </w:r>
      <w:r>
        <w:rPr>
          <w:spacing w:val="-2"/>
        </w:rPr>
        <w:t>contribuir</w:t>
      </w:r>
      <w:r w:rsidR="0052717E">
        <w:rPr>
          <w:spacing w:val="-2"/>
        </w:rPr>
        <w:t xml:space="preserve"> </w:t>
      </w:r>
      <w:r>
        <w:rPr>
          <w:spacing w:val="-10"/>
        </w:rPr>
        <w:t>a</w:t>
      </w:r>
      <w:r w:rsidR="0052717E">
        <w:rPr>
          <w:spacing w:val="-10"/>
        </w:rPr>
        <w:t xml:space="preserve"> </w:t>
      </w:r>
      <w:r>
        <w:rPr>
          <w:spacing w:val="-5"/>
        </w:rPr>
        <w:t>la</w:t>
      </w:r>
      <w:r w:rsidR="0052717E">
        <w:rPr>
          <w:spacing w:val="-5"/>
        </w:rPr>
        <w:t xml:space="preserve"> </w:t>
      </w:r>
      <w:r>
        <w:rPr>
          <w:spacing w:val="-5"/>
        </w:rPr>
        <w:t>paz</w:t>
      </w:r>
      <w:r w:rsidR="0052717E">
        <w:rPr>
          <w:spacing w:val="-5"/>
        </w:rPr>
        <w:t xml:space="preserve"> </w:t>
      </w:r>
      <w:r>
        <w:rPr>
          <w:spacing w:val="-5"/>
        </w:rPr>
        <w:t>de</w:t>
      </w:r>
      <w:r w:rsidR="0052717E">
        <w:rPr>
          <w:spacing w:val="-5"/>
        </w:rPr>
        <w:t xml:space="preserve"> </w:t>
      </w:r>
      <w:r>
        <w:rPr>
          <w:spacing w:val="-2"/>
        </w:rPr>
        <w:t>Colombia».</w:t>
      </w:r>
      <w:r w:rsidR="0052717E">
        <w:rPr>
          <w:spacing w:val="-2"/>
        </w:rPr>
        <w:t xml:space="preserve"> </w:t>
      </w:r>
      <w:r>
        <w:rPr>
          <w:spacing w:val="-2"/>
        </w:rPr>
        <w:t>2003.</w:t>
      </w:r>
    </w:p>
    <w:p w:rsidR="003804AC" w:rsidRDefault="00B93F6A" w:rsidP="0052717E">
      <w:hyperlink r:id="rId79">
        <w:r w:rsidR="00AF18A5">
          <w:t>https://peacemaker.un.org/sites/peacemaker.un.org/files/CO_030715_Acuerdo</w:t>
        </w:r>
        <w:r w:rsidR="00AF18A5">
          <w:rPr>
            <w:spacing w:val="-15"/>
          </w:rPr>
          <w:t xml:space="preserve"> </w:t>
        </w:r>
        <w:r w:rsidR="00AF18A5">
          <w:t>%20de</w:t>
        </w:r>
        <w:r w:rsidR="00AF18A5">
          <w:rPr>
            <w:spacing w:val="-15"/>
          </w:rPr>
          <w:t xml:space="preserve"> </w:t>
        </w:r>
        <w:r w:rsidR="00AF18A5">
          <w:t>%20Sant</w:t>
        </w:r>
      </w:hyperlink>
      <w:r w:rsidR="00AF18A5">
        <w:t xml:space="preserve"> </w:t>
      </w:r>
      <w:hyperlink r:id="rId80">
        <w:r w:rsidR="00AF18A5">
          <w:t>a %20Fe %20de %20Ralito.pdf</w:t>
        </w:r>
      </w:hyperlink>
      <w:r w:rsidR="00AF18A5">
        <w:t>.</w:t>
      </w:r>
    </w:p>
    <w:p w:rsidR="003804AC" w:rsidRPr="00951B0F" w:rsidRDefault="00AF18A5" w:rsidP="0052717E">
      <w:pPr>
        <w:rPr>
          <w:lang w:val="en-US"/>
        </w:rPr>
      </w:pPr>
      <w:r>
        <w:t>Gutiérrez</w:t>
      </w:r>
      <w:r>
        <w:rPr>
          <w:spacing w:val="-15"/>
        </w:rPr>
        <w:t xml:space="preserve"> </w:t>
      </w:r>
      <w:r>
        <w:t>Sanín,</w:t>
      </w:r>
      <w:r>
        <w:rPr>
          <w:spacing w:val="-15"/>
        </w:rPr>
        <w:t xml:space="preserve"> </w:t>
      </w:r>
      <w:r>
        <w:t>Francisco.</w:t>
      </w:r>
      <w:r>
        <w:rPr>
          <w:spacing w:val="-15"/>
        </w:rPr>
        <w:t xml:space="preserve"> </w:t>
      </w:r>
      <w:r>
        <w:t>«Centrismo</w:t>
      </w:r>
      <w:r>
        <w:rPr>
          <w:spacing w:val="-15"/>
        </w:rPr>
        <w:t xml:space="preserve"> </w:t>
      </w:r>
      <w:r>
        <w:t>y</w:t>
      </w:r>
      <w:r>
        <w:rPr>
          <w:spacing w:val="-15"/>
        </w:rPr>
        <w:t xml:space="preserve"> </w:t>
      </w:r>
      <w:r>
        <w:t>represión</w:t>
      </w:r>
      <w:r>
        <w:rPr>
          <w:spacing w:val="-15"/>
        </w:rPr>
        <w:t xml:space="preserve"> </w:t>
      </w:r>
      <w:r>
        <w:t>homicida</w:t>
      </w:r>
      <w:r>
        <w:rPr>
          <w:spacing w:val="-15"/>
        </w:rPr>
        <w:t xml:space="preserve"> </w:t>
      </w:r>
      <w:r>
        <w:t>en</w:t>
      </w:r>
      <w:r>
        <w:rPr>
          <w:spacing w:val="-15"/>
        </w:rPr>
        <w:t xml:space="preserve"> </w:t>
      </w:r>
      <w:r>
        <w:t>Colombia:</w:t>
      </w:r>
      <w:r>
        <w:rPr>
          <w:spacing w:val="-15"/>
        </w:rPr>
        <w:t xml:space="preserve"> </w:t>
      </w:r>
      <w:r>
        <w:t>las</w:t>
      </w:r>
      <w:r>
        <w:rPr>
          <w:spacing w:val="-15"/>
        </w:rPr>
        <w:t xml:space="preserve"> </w:t>
      </w:r>
      <w:r>
        <w:t>Convivir,</w:t>
      </w:r>
      <w:r>
        <w:rPr>
          <w:spacing w:val="-14"/>
        </w:rPr>
        <w:t xml:space="preserve"> </w:t>
      </w:r>
      <w:r>
        <w:t>los</w:t>
      </w:r>
      <w:r>
        <w:rPr>
          <w:spacing w:val="-15"/>
        </w:rPr>
        <w:t xml:space="preserve"> </w:t>
      </w:r>
      <w:r>
        <w:t xml:space="preserve">paramilitares y el sistema político». En </w:t>
      </w:r>
      <w:r>
        <w:rPr>
          <w:i/>
        </w:rPr>
        <w:t>El orangután con sacoleva: cien años de democracia y represión en Colombia (1910-2010)</w:t>
      </w:r>
      <w:r>
        <w:t xml:space="preserve">, 1a edición </w:t>
      </w:r>
      <w:proofErr w:type="spellStart"/>
      <w:r>
        <w:t>edición</w:t>
      </w:r>
      <w:proofErr w:type="spellEnd"/>
      <w:r>
        <w:t xml:space="preserve">. </w:t>
      </w:r>
      <w:r w:rsidRPr="00951B0F">
        <w:rPr>
          <w:lang w:val="en-US"/>
        </w:rPr>
        <w:t>Bogotá: IEPRI, Debate, 2014.</w:t>
      </w:r>
    </w:p>
    <w:p w:rsidR="0011361F" w:rsidRPr="0052717E" w:rsidRDefault="00AF18A5" w:rsidP="0052717E">
      <w:pPr>
        <w:rPr>
          <w:lang w:val="en-US"/>
        </w:rPr>
      </w:pPr>
      <w:r w:rsidRPr="00951B0F">
        <w:rPr>
          <w:lang w:val="en-US"/>
        </w:rPr>
        <w:t>———.</w:t>
      </w:r>
      <w:r w:rsidRPr="00951B0F">
        <w:rPr>
          <w:spacing w:val="-15"/>
          <w:lang w:val="en-US"/>
        </w:rPr>
        <w:t xml:space="preserve"> </w:t>
      </w:r>
      <w:proofErr w:type="spellStart"/>
      <w:r w:rsidRPr="00951B0F">
        <w:rPr>
          <w:lang w:val="en-US"/>
        </w:rPr>
        <w:t>Clientelistic</w:t>
      </w:r>
      <w:proofErr w:type="spellEnd"/>
      <w:r w:rsidRPr="00951B0F">
        <w:rPr>
          <w:spacing w:val="-13"/>
          <w:lang w:val="en-US"/>
        </w:rPr>
        <w:t xml:space="preserve"> </w:t>
      </w:r>
      <w:r w:rsidRPr="00951B0F">
        <w:rPr>
          <w:lang w:val="en-US"/>
        </w:rPr>
        <w:t>warfare:</w:t>
      </w:r>
      <w:r w:rsidRPr="00951B0F">
        <w:rPr>
          <w:spacing w:val="-12"/>
          <w:lang w:val="en-US"/>
        </w:rPr>
        <w:t xml:space="preserve"> </w:t>
      </w:r>
      <w:r w:rsidRPr="00951B0F">
        <w:rPr>
          <w:lang w:val="en-US"/>
        </w:rPr>
        <w:t>paramilitaries</w:t>
      </w:r>
      <w:r w:rsidRPr="00951B0F">
        <w:rPr>
          <w:spacing w:val="-13"/>
          <w:lang w:val="en-US"/>
        </w:rPr>
        <w:t xml:space="preserve"> </w:t>
      </w:r>
      <w:r w:rsidRPr="00951B0F">
        <w:rPr>
          <w:lang w:val="en-US"/>
        </w:rPr>
        <w:t>and</w:t>
      </w:r>
      <w:r w:rsidRPr="00951B0F">
        <w:rPr>
          <w:spacing w:val="-13"/>
          <w:lang w:val="en-US"/>
        </w:rPr>
        <w:t xml:space="preserve"> </w:t>
      </w:r>
      <w:r w:rsidRPr="00951B0F">
        <w:rPr>
          <w:lang w:val="en-US"/>
        </w:rPr>
        <w:t>the</w:t>
      </w:r>
      <w:r w:rsidRPr="00951B0F">
        <w:rPr>
          <w:spacing w:val="-12"/>
          <w:lang w:val="en-US"/>
        </w:rPr>
        <w:t xml:space="preserve"> </w:t>
      </w:r>
      <w:r w:rsidRPr="00951B0F">
        <w:rPr>
          <w:lang w:val="en-US"/>
        </w:rPr>
        <w:t>state</w:t>
      </w:r>
      <w:r w:rsidRPr="00951B0F">
        <w:rPr>
          <w:spacing w:val="-13"/>
          <w:lang w:val="en-US"/>
        </w:rPr>
        <w:t xml:space="preserve"> </w:t>
      </w:r>
      <w:r w:rsidRPr="00951B0F">
        <w:rPr>
          <w:lang w:val="en-US"/>
        </w:rPr>
        <w:t>in</w:t>
      </w:r>
      <w:r w:rsidRPr="00951B0F">
        <w:rPr>
          <w:spacing w:val="-13"/>
          <w:lang w:val="en-US"/>
        </w:rPr>
        <w:t xml:space="preserve"> </w:t>
      </w:r>
      <w:r w:rsidRPr="00951B0F">
        <w:rPr>
          <w:lang w:val="en-US"/>
        </w:rPr>
        <w:t>Colombia</w:t>
      </w:r>
      <w:r w:rsidRPr="00951B0F">
        <w:rPr>
          <w:spacing w:val="-13"/>
          <w:lang w:val="en-US"/>
        </w:rPr>
        <w:t xml:space="preserve"> </w:t>
      </w:r>
      <w:r w:rsidRPr="00951B0F">
        <w:rPr>
          <w:lang w:val="en-US"/>
        </w:rPr>
        <w:t>(1982-2007).</w:t>
      </w:r>
      <w:r w:rsidRPr="00951B0F">
        <w:rPr>
          <w:spacing w:val="-14"/>
          <w:lang w:val="en-US"/>
        </w:rPr>
        <w:t xml:space="preserve"> </w:t>
      </w:r>
      <w:proofErr w:type="gramStart"/>
      <w:r w:rsidRPr="00951B0F">
        <w:rPr>
          <w:lang w:val="en-US"/>
        </w:rPr>
        <w:t>Oxford</w:t>
      </w:r>
      <w:r w:rsidRPr="00951B0F">
        <w:rPr>
          <w:spacing w:val="-13"/>
          <w:lang w:val="en-US"/>
        </w:rPr>
        <w:t xml:space="preserve"> </w:t>
      </w:r>
      <w:r w:rsidRPr="00951B0F">
        <w:rPr>
          <w:lang w:val="en-US"/>
        </w:rPr>
        <w:t>;</w:t>
      </w:r>
      <w:proofErr w:type="gramEnd"/>
      <w:r w:rsidRPr="00951B0F">
        <w:rPr>
          <w:spacing w:val="-13"/>
          <w:lang w:val="en-US"/>
        </w:rPr>
        <w:t xml:space="preserve"> </w:t>
      </w:r>
      <w:r w:rsidRPr="00951B0F">
        <w:rPr>
          <w:lang w:val="en-US"/>
        </w:rPr>
        <w:t>New</w:t>
      </w:r>
      <w:r w:rsidRPr="00951B0F">
        <w:rPr>
          <w:spacing w:val="-13"/>
          <w:lang w:val="en-US"/>
        </w:rPr>
        <w:t xml:space="preserve"> </w:t>
      </w:r>
      <w:r w:rsidRPr="00951B0F">
        <w:rPr>
          <w:spacing w:val="-2"/>
          <w:lang w:val="en-US"/>
        </w:rPr>
        <w:t>York:</w:t>
      </w:r>
      <w:r w:rsidR="0052717E">
        <w:rPr>
          <w:spacing w:val="-2"/>
          <w:lang w:val="en-US"/>
        </w:rPr>
        <w:t xml:space="preserve"> </w:t>
      </w:r>
      <w:r w:rsidRPr="00995737">
        <w:rPr>
          <w:lang w:val="en-US"/>
        </w:rPr>
        <w:t>Peter</w:t>
      </w:r>
      <w:r w:rsidRPr="00995737">
        <w:rPr>
          <w:spacing w:val="-2"/>
          <w:lang w:val="en-US"/>
        </w:rPr>
        <w:t xml:space="preserve"> </w:t>
      </w:r>
      <w:r w:rsidRPr="00995737">
        <w:rPr>
          <w:lang w:val="en-US"/>
        </w:rPr>
        <w:t>Lang,</w:t>
      </w:r>
      <w:r w:rsidRPr="00995737">
        <w:rPr>
          <w:spacing w:val="-2"/>
          <w:lang w:val="en-US"/>
        </w:rPr>
        <w:t xml:space="preserve"> 2019.</w:t>
      </w:r>
    </w:p>
    <w:p w:rsidR="003804AC" w:rsidRDefault="00AF18A5" w:rsidP="0052717E">
      <w:r>
        <w:t xml:space="preserve">Informe 119-CI-00252. Comisión </w:t>
      </w:r>
      <w:proofErr w:type="spellStart"/>
      <w:r>
        <w:t>Intereclesial</w:t>
      </w:r>
      <w:proofErr w:type="spellEnd"/>
      <w:r>
        <w:t xml:space="preserve"> de Justicia y Paz, Corporación Jurídica Libertad, Fundación Forjando Futuros, </w:t>
      </w:r>
      <w:proofErr w:type="spellStart"/>
      <w:r>
        <w:t>y</w:t>
      </w:r>
      <w:proofErr w:type="spellEnd"/>
      <w:r>
        <w:t xml:space="preserve"> Instituto Popular de Capacitación (IPC). «Conflicto armado y violencia sociopolítica en la implementación y desarrollo de un modelo de </w:t>
      </w:r>
      <w:r>
        <w:lastRenderedPageBreak/>
        <w:t>acumulación por desposesión en la región Urabá». Módulo de Captura, Comisión para el Esclarecimiento de la Verdad, la Convivencia y la No Repetición. 2019.</w:t>
      </w:r>
    </w:p>
    <w:p w:rsidR="003804AC" w:rsidRDefault="00AF18A5" w:rsidP="0052717E">
      <w:r>
        <w:t>Informe 240-CI-00384. Fundación Aulas de Paz. «El Bloque Central Bolívar en sus propias voces. Capítulo: Magdalena Medio». Módulo de Captura, Comisión para el Esclarecimiento de la Verdad, la Convivencia y la No Repetición. 2019.</w:t>
      </w:r>
    </w:p>
    <w:p w:rsidR="003804AC" w:rsidRDefault="00AF18A5" w:rsidP="0052717E">
      <w:r>
        <w:t xml:space="preserve">Informe 365-CI-01914. Fiscalía General de la Nación (FGN). «Informe sobre financiadores, colaboradores y socios del paramilitarismo en Antioquia, Córdoba y Chocó». Módulo de Captura, Comisión para el Esclarecimiento de la Verdad, la Convivencia y la No Repetición. </w:t>
      </w:r>
      <w:r>
        <w:rPr>
          <w:spacing w:val="-2"/>
        </w:rPr>
        <w:t>2022.</w:t>
      </w:r>
    </w:p>
    <w:p w:rsidR="003804AC" w:rsidRDefault="00AF18A5" w:rsidP="0052717E">
      <w:r>
        <w:t>Informe</w:t>
      </w:r>
      <w:r>
        <w:rPr>
          <w:spacing w:val="-3"/>
        </w:rPr>
        <w:t xml:space="preserve"> </w:t>
      </w:r>
      <w:r>
        <w:t>748-CI-00812.</w:t>
      </w:r>
      <w:r>
        <w:rPr>
          <w:spacing w:val="-5"/>
        </w:rPr>
        <w:t xml:space="preserve"> </w:t>
      </w:r>
      <w:r>
        <w:t>Ejército</w:t>
      </w:r>
      <w:r>
        <w:rPr>
          <w:spacing w:val="-3"/>
        </w:rPr>
        <w:t xml:space="preserve"> </w:t>
      </w:r>
      <w:r>
        <w:t>Nacional</w:t>
      </w:r>
      <w:r>
        <w:rPr>
          <w:spacing w:val="-3"/>
        </w:rPr>
        <w:t xml:space="preserve"> </w:t>
      </w:r>
      <w:r>
        <w:t>de</w:t>
      </w:r>
      <w:r>
        <w:rPr>
          <w:spacing w:val="-3"/>
        </w:rPr>
        <w:t xml:space="preserve"> </w:t>
      </w:r>
      <w:r>
        <w:t>Colombia.</w:t>
      </w:r>
      <w:r>
        <w:rPr>
          <w:spacing w:val="-3"/>
        </w:rPr>
        <w:t xml:space="preserve"> </w:t>
      </w:r>
      <w:r>
        <w:t>«Análisis</w:t>
      </w:r>
      <w:r>
        <w:rPr>
          <w:spacing w:val="-3"/>
        </w:rPr>
        <w:t xml:space="preserve"> </w:t>
      </w:r>
      <w:r>
        <w:t>sobre</w:t>
      </w:r>
      <w:r>
        <w:rPr>
          <w:spacing w:val="-4"/>
        </w:rPr>
        <w:t xml:space="preserve"> </w:t>
      </w:r>
      <w:r>
        <w:t>el</w:t>
      </w:r>
      <w:r>
        <w:rPr>
          <w:spacing w:val="-3"/>
        </w:rPr>
        <w:t xml:space="preserve"> </w:t>
      </w:r>
      <w:r>
        <w:t>fenómeno</w:t>
      </w:r>
      <w:r>
        <w:rPr>
          <w:spacing w:val="-5"/>
        </w:rPr>
        <w:t xml:space="preserve"> </w:t>
      </w:r>
      <w:r>
        <w:t>de</w:t>
      </w:r>
      <w:r>
        <w:rPr>
          <w:spacing w:val="-3"/>
        </w:rPr>
        <w:t xml:space="preserve"> </w:t>
      </w:r>
      <w:r>
        <w:t>las</w:t>
      </w:r>
      <w:r>
        <w:rPr>
          <w:spacing w:val="-3"/>
        </w:rPr>
        <w:t xml:space="preserve"> </w:t>
      </w:r>
      <w:r>
        <w:t>autodefensas en</w:t>
      </w:r>
      <w:r>
        <w:rPr>
          <w:spacing w:val="-9"/>
        </w:rPr>
        <w:t xml:space="preserve"> </w:t>
      </w:r>
      <w:r>
        <w:t>los</w:t>
      </w:r>
      <w:r>
        <w:rPr>
          <w:spacing w:val="-10"/>
        </w:rPr>
        <w:t xml:space="preserve"> </w:t>
      </w:r>
      <w:r>
        <w:t>territorios</w:t>
      </w:r>
      <w:r>
        <w:rPr>
          <w:spacing w:val="-9"/>
        </w:rPr>
        <w:t xml:space="preserve"> </w:t>
      </w:r>
      <w:r>
        <w:t>desde</w:t>
      </w:r>
      <w:r>
        <w:rPr>
          <w:spacing w:val="-10"/>
        </w:rPr>
        <w:t xml:space="preserve"> </w:t>
      </w:r>
      <w:r>
        <w:t>la</w:t>
      </w:r>
      <w:r>
        <w:rPr>
          <w:spacing w:val="-10"/>
        </w:rPr>
        <w:t xml:space="preserve"> </w:t>
      </w:r>
      <w:r>
        <w:t>perspectiva</w:t>
      </w:r>
      <w:r>
        <w:rPr>
          <w:spacing w:val="-10"/>
        </w:rPr>
        <w:t xml:space="preserve"> </w:t>
      </w:r>
      <w:r>
        <w:t>del</w:t>
      </w:r>
      <w:r>
        <w:rPr>
          <w:spacing w:val="-9"/>
        </w:rPr>
        <w:t xml:space="preserve"> </w:t>
      </w:r>
      <w:r>
        <w:t>Ejército</w:t>
      </w:r>
      <w:r>
        <w:rPr>
          <w:spacing w:val="-11"/>
        </w:rPr>
        <w:t xml:space="preserve"> </w:t>
      </w:r>
      <w:r>
        <w:t>Nacional».</w:t>
      </w:r>
      <w:r>
        <w:rPr>
          <w:spacing w:val="-11"/>
        </w:rPr>
        <w:t xml:space="preserve"> </w:t>
      </w:r>
      <w:r>
        <w:t>Módulo</w:t>
      </w:r>
      <w:r>
        <w:rPr>
          <w:spacing w:val="-9"/>
        </w:rPr>
        <w:t xml:space="preserve"> </w:t>
      </w:r>
      <w:r>
        <w:t>de</w:t>
      </w:r>
      <w:r>
        <w:rPr>
          <w:spacing w:val="-12"/>
        </w:rPr>
        <w:t xml:space="preserve"> </w:t>
      </w:r>
      <w:r>
        <w:t>Captura,</w:t>
      </w:r>
      <w:r>
        <w:rPr>
          <w:spacing w:val="-9"/>
        </w:rPr>
        <w:t xml:space="preserve"> </w:t>
      </w:r>
      <w:r>
        <w:t>Comisión</w:t>
      </w:r>
      <w:r>
        <w:rPr>
          <w:spacing w:val="-11"/>
        </w:rPr>
        <w:t xml:space="preserve"> </w:t>
      </w:r>
      <w:r>
        <w:t>para el Esclarecimiento de la Verdad, la Convivencia y la No Repetición. 2020.</w:t>
      </w:r>
    </w:p>
    <w:p w:rsidR="003804AC" w:rsidRDefault="00AF18A5" w:rsidP="0052717E">
      <w:r>
        <w:t>Informe 748-CI-00855. Fundación Cultura Democrática (</w:t>
      </w:r>
      <w:proofErr w:type="spellStart"/>
      <w:r>
        <w:t>Fucude</w:t>
      </w:r>
      <w:proofErr w:type="spellEnd"/>
      <w:r>
        <w:t xml:space="preserve">) y Corporación Opción Legal. «La sombra oscura del banano. Urabá: conflicto armado y el rol del empresariado». Módulo de Captura, Comisión para el Esclarecimiento de la Verdad, la Convivencia y la No Repetición. </w:t>
      </w:r>
      <w:r>
        <w:rPr>
          <w:spacing w:val="-2"/>
        </w:rPr>
        <w:t>2020.</w:t>
      </w:r>
    </w:p>
    <w:p w:rsidR="003804AC" w:rsidRPr="00951B0F" w:rsidRDefault="00AF18A5" w:rsidP="0052717E">
      <w:pPr>
        <w:rPr>
          <w:lang w:val="en-US"/>
        </w:rPr>
      </w:pPr>
      <w:r>
        <w:t xml:space="preserve">Instituto Popular de Capacitación (IPC) y Corporación Jurídica Libertad. «Memoria de la impunidad en Antioquia: lo que la justicia no quiso ver frente al paramilitarismo». </w:t>
      </w:r>
      <w:r w:rsidRPr="00951B0F">
        <w:rPr>
          <w:lang w:val="en-US"/>
        </w:rPr>
        <w:t xml:space="preserve">2010. </w:t>
      </w:r>
      <w:hyperlink r:id="rId81">
        <w:r w:rsidRPr="00951B0F">
          <w:rPr>
            <w:spacing w:val="-2"/>
            <w:lang w:val="en-US"/>
          </w:rPr>
          <w:t>http://biblioteca.clacso.edu.ar/Colombia/ipc/20170809051132/pdf_763.pdf</w:t>
        </w:r>
      </w:hyperlink>
      <w:r w:rsidRPr="00951B0F">
        <w:rPr>
          <w:spacing w:val="-2"/>
          <w:lang w:val="en-US"/>
        </w:rPr>
        <w:t>.</w:t>
      </w:r>
    </w:p>
    <w:p w:rsidR="003804AC" w:rsidRDefault="00AF18A5" w:rsidP="0052717E">
      <w:r w:rsidRPr="00951B0F">
        <w:rPr>
          <w:lang w:val="en-US"/>
        </w:rPr>
        <w:lastRenderedPageBreak/>
        <w:t>Journeyman</w:t>
      </w:r>
      <w:r w:rsidRPr="00951B0F">
        <w:rPr>
          <w:spacing w:val="40"/>
          <w:lang w:val="en-US"/>
        </w:rPr>
        <w:t xml:space="preserve"> </w:t>
      </w:r>
      <w:r w:rsidRPr="00951B0F">
        <w:rPr>
          <w:lang w:val="en-US"/>
        </w:rPr>
        <w:t>Pictures.</w:t>
      </w:r>
      <w:r w:rsidRPr="00951B0F">
        <w:rPr>
          <w:spacing w:val="40"/>
          <w:lang w:val="en-US"/>
        </w:rPr>
        <w:t xml:space="preserve"> </w:t>
      </w:r>
      <w:r>
        <w:t>«Colombia</w:t>
      </w:r>
      <w:r>
        <w:rPr>
          <w:spacing w:val="40"/>
        </w:rPr>
        <w:t xml:space="preserve"> </w:t>
      </w:r>
      <w:proofErr w:type="spellStart"/>
      <w:r>
        <w:t>Drug</w:t>
      </w:r>
      <w:proofErr w:type="spellEnd"/>
      <w:r>
        <w:rPr>
          <w:spacing w:val="40"/>
        </w:rPr>
        <w:t xml:space="preserve"> </w:t>
      </w:r>
      <w:r>
        <w:t>Cartel</w:t>
      </w:r>
      <w:r>
        <w:rPr>
          <w:spacing w:val="40"/>
        </w:rPr>
        <w:t xml:space="preserve"> </w:t>
      </w:r>
      <w:proofErr w:type="spellStart"/>
      <w:r>
        <w:t>Mercenaries</w:t>
      </w:r>
      <w:proofErr w:type="spellEnd"/>
      <w:r>
        <w:t>».</w:t>
      </w:r>
      <w:r>
        <w:rPr>
          <w:spacing w:val="40"/>
        </w:rPr>
        <w:t xml:space="preserve"> </w:t>
      </w:r>
      <w:r>
        <w:t>1</w:t>
      </w:r>
      <w:r>
        <w:rPr>
          <w:spacing w:val="40"/>
        </w:rPr>
        <w:t xml:space="preserve"> </w:t>
      </w:r>
      <w:r>
        <w:t>de</w:t>
      </w:r>
      <w:r>
        <w:rPr>
          <w:spacing w:val="40"/>
        </w:rPr>
        <w:t xml:space="preserve"> </w:t>
      </w:r>
      <w:r>
        <w:t>octubre</w:t>
      </w:r>
      <w:r>
        <w:rPr>
          <w:spacing w:val="40"/>
        </w:rPr>
        <w:t xml:space="preserve"> </w:t>
      </w:r>
      <w:r>
        <w:t>de</w:t>
      </w:r>
      <w:r>
        <w:rPr>
          <w:spacing w:val="40"/>
        </w:rPr>
        <w:t xml:space="preserve"> </w:t>
      </w:r>
      <w:r>
        <w:t>1989.</w:t>
      </w:r>
      <w:r>
        <w:rPr>
          <w:spacing w:val="40"/>
        </w:rPr>
        <w:t xml:space="preserve"> </w:t>
      </w:r>
      <w:r>
        <w:t>Cortometraje.</w:t>
      </w:r>
      <w:r>
        <w:rPr>
          <w:spacing w:val="80"/>
        </w:rPr>
        <w:t xml:space="preserve"> </w:t>
      </w:r>
      <w:hyperlink r:id="rId82">
        <w:r>
          <w:rPr>
            <w:spacing w:val="-2"/>
          </w:rPr>
          <w:t>https://www.journeyman.tv/film/1952</w:t>
        </w:r>
      </w:hyperlink>
    </w:p>
    <w:p w:rsidR="003804AC" w:rsidRDefault="00AF18A5" w:rsidP="0052717E">
      <w:r>
        <w:t>Jurisdicción</w:t>
      </w:r>
      <w:r>
        <w:rPr>
          <w:spacing w:val="40"/>
        </w:rPr>
        <w:t xml:space="preserve"> </w:t>
      </w:r>
      <w:r>
        <w:t>Especial</w:t>
      </w:r>
      <w:r>
        <w:rPr>
          <w:spacing w:val="40"/>
        </w:rPr>
        <w:t xml:space="preserve"> </w:t>
      </w:r>
      <w:proofErr w:type="spellStart"/>
      <w:r w:rsidR="0052717E">
        <w:rPr>
          <w:spacing w:val="40"/>
        </w:rPr>
        <w:t>q</w:t>
      </w:r>
      <w:r>
        <w:t>para</w:t>
      </w:r>
      <w:proofErr w:type="spellEnd"/>
      <w:r>
        <w:rPr>
          <w:spacing w:val="40"/>
        </w:rPr>
        <w:t xml:space="preserve"> </w:t>
      </w:r>
      <w:r>
        <w:t>la</w:t>
      </w:r>
      <w:r>
        <w:rPr>
          <w:spacing w:val="40"/>
        </w:rPr>
        <w:t xml:space="preserve"> </w:t>
      </w:r>
      <w:r>
        <w:t>Paz</w:t>
      </w:r>
      <w:r>
        <w:rPr>
          <w:spacing w:val="40"/>
        </w:rPr>
        <w:t xml:space="preserve"> </w:t>
      </w:r>
      <w:r>
        <w:t>(JEP).</w:t>
      </w:r>
      <w:r>
        <w:rPr>
          <w:spacing w:val="40"/>
        </w:rPr>
        <w:t xml:space="preserve"> </w:t>
      </w:r>
      <w:r>
        <w:t>Sala</w:t>
      </w:r>
      <w:r>
        <w:rPr>
          <w:spacing w:val="40"/>
        </w:rPr>
        <w:t xml:space="preserve"> </w:t>
      </w:r>
      <w:r>
        <w:t>de</w:t>
      </w:r>
      <w:r>
        <w:rPr>
          <w:spacing w:val="40"/>
        </w:rPr>
        <w:t xml:space="preserve"> </w:t>
      </w:r>
      <w:r>
        <w:t>Reconocimiento</w:t>
      </w:r>
      <w:r>
        <w:rPr>
          <w:spacing w:val="40"/>
        </w:rPr>
        <w:t xml:space="preserve"> </w:t>
      </w:r>
      <w:r>
        <w:t>de</w:t>
      </w:r>
      <w:r>
        <w:rPr>
          <w:spacing w:val="40"/>
        </w:rPr>
        <w:t xml:space="preserve"> </w:t>
      </w:r>
      <w:r>
        <w:t>Verdad,</w:t>
      </w:r>
      <w:r>
        <w:rPr>
          <w:spacing w:val="40"/>
        </w:rPr>
        <w:t xml:space="preserve"> </w:t>
      </w:r>
      <w:r>
        <w:t>de</w:t>
      </w:r>
      <w:r>
        <w:rPr>
          <w:spacing w:val="40"/>
        </w:rPr>
        <w:t xml:space="preserve"> </w:t>
      </w:r>
      <w:r>
        <w:t>Responsabilidad</w:t>
      </w:r>
      <w:r>
        <w:rPr>
          <w:spacing w:val="40"/>
        </w:rPr>
        <w:t xml:space="preserve"> </w:t>
      </w:r>
      <w:r>
        <w:t>y Determinación</w:t>
      </w:r>
      <w:r>
        <w:rPr>
          <w:spacing w:val="-13"/>
        </w:rPr>
        <w:t xml:space="preserve"> </w:t>
      </w:r>
      <w:r>
        <w:t>de</w:t>
      </w:r>
      <w:r>
        <w:rPr>
          <w:spacing w:val="-13"/>
        </w:rPr>
        <w:t xml:space="preserve"> </w:t>
      </w:r>
      <w:r>
        <w:t>los</w:t>
      </w:r>
      <w:r>
        <w:rPr>
          <w:spacing w:val="-13"/>
        </w:rPr>
        <w:t xml:space="preserve"> </w:t>
      </w:r>
      <w:r>
        <w:t>Hechos</w:t>
      </w:r>
      <w:r>
        <w:rPr>
          <w:spacing w:val="-13"/>
        </w:rPr>
        <w:t xml:space="preserve"> </w:t>
      </w:r>
      <w:r>
        <w:t>y</w:t>
      </w:r>
      <w:r>
        <w:rPr>
          <w:spacing w:val="-13"/>
        </w:rPr>
        <w:t xml:space="preserve"> </w:t>
      </w:r>
      <w:r>
        <w:t>Conductas</w:t>
      </w:r>
      <w:r>
        <w:rPr>
          <w:spacing w:val="-14"/>
        </w:rPr>
        <w:t xml:space="preserve"> </w:t>
      </w:r>
      <w:r>
        <w:t>(SRVR).</w:t>
      </w:r>
      <w:r>
        <w:rPr>
          <w:spacing w:val="-13"/>
        </w:rPr>
        <w:t xml:space="preserve"> </w:t>
      </w:r>
      <w:r>
        <w:t>Auto</w:t>
      </w:r>
      <w:r>
        <w:rPr>
          <w:spacing w:val="-13"/>
        </w:rPr>
        <w:t xml:space="preserve"> </w:t>
      </w:r>
      <w:r>
        <w:t>No.</w:t>
      </w:r>
      <w:r>
        <w:rPr>
          <w:spacing w:val="-13"/>
        </w:rPr>
        <w:t xml:space="preserve"> </w:t>
      </w:r>
      <w:r>
        <w:t>075</w:t>
      </w:r>
      <w:r>
        <w:rPr>
          <w:spacing w:val="-13"/>
        </w:rPr>
        <w:t xml:space="preserve"> </w:t>
      </w:r>
      <w:r>
        <w:t>de</w:t>
      </w:r>
      <w:r>
        <w:rPr>
          <w:spacing w:val="-13"/>
        </w:rPr>
        <w:t xml:space="preserve"> </w:t>
      </w:r>
      <w:r>
        <w:t>2022.</w:t>
      </w:r>
      <w:r>
        <w:rPr>
          <w:spacing w:val="-13"/>
        </w:rPr>
        <w:t xml:space="preserve"> </w:t>
      </w:r>
      <w:r>
        <w:t>Jurisdicción</w:t>
      </w:r>
      <w:r>
        <w:rPr>
          <w:spacing w:val="-13"/>
        </w:rPr>
        <w:t xml:space="preserve"> </w:t>
      </w:r>
      <w:r>
        <w:t xml:space="preserve">Especial para la Paz (JEP), Sala de Reconocimiento de Verdad, de Responsabilidad y de Determinación </w:t>
      </w:r>
      <w:r>
        <w:rPr>
          <w:spacing w:val="-6"/>
        </w:rPr>
        <w:t>de</w:t>
      </w:r>
      <w:r>
        <w:tab/>
      </w:r>
      <w:r>
        <w:rPr>
          <w:spacing w:val="-4"/>
        </w:rPr>
        <w:t>los</w:t>
      </w:r>
      <w:r>
        <w:tab/>
      </w:r>
      <w:r>
        <w:rPr>
          <w:spacing w:val="-2"/>
        </w:rPr>
        <w:t>Hechos</w:t>
      </w:r>
      <w:r>
        <w:tab/>
      </w:r>
      <w:r>
        <w:rPr>
          <w:spacing w:val="-10"/>
        </w:rPr>
        <w:t>y</w:t>
      </w:r>
      <w:r>
        <w:tab/>
      </w:r>
      <w:r>
        <w:rPr>
          <w:spacing w:val="-2"/>
        </w:rPr>
        <w:t>Conductas</w:t>
      </w:r>
      <w:r>
        <w:tab/>
      </w:r>
      <w:r>
        <w:rPr>
          <w:spacing w:val="-2"/>
        </w:rPr>
        <w:t>(SRVR).</w:t>
      </w:r>
      <w:r>
        <w:tab/>
      </w:r>
      <w:r>
        <w:rPr>
          <w:spacing w:val="-10"/>
        </w:rPr>
        <w:t>7</w:t>
      </w:r>
      <w:r>
        <w:tab/>
      </w:r>
      <w:r>
        <w:rPr>
          <w:spacing w:val="-6"/>
        </w:rPr>
        <w:t>de</w:t>
      </w:r>
      <w:r>
        <w:tab/>
      </w:r>
      <w:r>
        <w:rPr>
          <w:spacing w:val="-2"/>
        </w:rPr>
        <w:t>abril</w:t>
      </w:r>
      <w:r>
        <w:tab/>
      </w:r>
      <w:r>
        <w:rPr>
          <w:spacing w:val="-6"/>
        </w:rPr>
        <w:t>de</w:t>
      </w:r>
      <w:r>
        <w:tab/>
      </w:r>
      <w:r>
        <w:rPr>
          <w:spacing w:val="-2"/>
        </w:rPr>
        <w:t>2022.</w:t>
      </w:r>
      <w:r>
        <w:tab/>
      </w:r>
      <w:r>
        <w:rPr>
          <w:spacing w:val="-2"/>
        </w:rPr>
        <w:t>Recuperado</w:t>
      </w:r>
      <w:r>
        <w:tab/>
      </w:r>
      <w:r>
        <w:rPr>
          <w:spacing w:val="-4"/>
        </w:rPr>
        <w:t xml:space="preserve">de: </w:t>
      </w:r>
      <w:hyperlink r:id="rId83">
        <w:r>
          <w:rPr>
            <w:spacing w:val="-2"/>
          </w:rPr>
          <w:t>https://es.scribd.com/document/572081557/Auto-075-2022-JEP-CASO06-UP-</w:t>
        </w:r>
      </w:hyperlink>
      <w:r>
        <w:rPr>
          <w:spacing w:val="-2"/>
        </w:rPr>
        <w:t xml:space="preserve"> </w:t>
      </w:r>
      <w:hyperlink r:id="rId84">
        <w:r>
          <w:rPr>
            <w:spacing w:val="-2"/>
          </w:rPr>
          <w:t>AutoUniversoVictimas-vs-060422-VF.</w:t>
        </w:r>
      </w:hyperlink>
    </w:p>
    <w:p w:rsidR="003804AC" w:rsidRDefault="00AF18A5" w:rsidP="0052717E">
      <w:r>
        <w:t>Jurisdicción</w:t>
      </w:r>
      <w:r>
        <w:rPr>
          <w:spacing w:val="77"/>
        </w:rPr>
        <w:t xml:space="preserve"> </w:t>
      </w:r>
      <w:r>
        <w:t>Especial</w:t>
      </w:r>
      <w:r>
        <w:rPr>
          <w:spacing w:val="79"/>
        </w:rPr>
        <w:t xml:space="preserve"> </w:t>
      </w:r>
      <w:r>
        <w:t>para</w:t>
      </w:r>
      <w:r>
        <w:rPr>
          <w:spacing w:val="77"/>
        </w:rPr>
        <w:t xml:space="preserve"> </w:t>
      </w:r>
      <w:r>
        <w:t>la</w:t>
      </w:r>
      <w:r>
        <w:rPr>
          <w:spacing w:val="78"/>
        </w:rPr>
        <w:t xml:space="preserve"> </w:t>
      </w:r>
      <w:r>
        <w:t>Paz</w:t>
      </w:r>
      <w:r>
        <w:rPr>
          <w:spacing w:val="77"/>
        </w:rPr>
        <w:t xml:space="preserve"> </w:t>
      </w:r>
      <w:r>
        <w:t>(JEP).</w:t>
      </w:r>
      <w:r>
        <w:rPr>
          <w:spacing w:val="78"/>
        </w:rPr>
        <w:t xml:space="preserve"> </w:t>
      </w:r>
      <w:r>
        <w:t>Sección</w:t>
      </w:r>
      <w:r>
        <w:rPr>
          <w:spacing w:val="78"/>
        </w:rPr>
        <w:t xml:space="preserve"> </w:t>
      </w:r>
      <w:r>
        <w:t>de</w:t>
      </w:r>
      <w:r>
        <w:rPr>
          <w:spacing w:val="77"/>
        </w:rPr>
        <w:t xml:space="preserve"> </w:t>
      </w:r>
      <w:r>
        <w:t>Ausencia</w:t>
      </w:r>
      <w:r>
        <w:rPr>
          <w:spacing w:val="77"/>
        </w:rPr>
        <w:t xml:space="preserve"> </w:t>
      </w:r>
      <w:r>
        <w:t>de</w:t>
      </w:r>
      <w:r>
        <w:rPr>
          <w:spacing w:val="77"/>
        </w:rPr>
        <w:t xml:space="preserve"> </w:t>
      </w:r>
      <w:r>
        <w:t>Reconocimiento</w:t>
      </w:r>
      <w:r>
        <w:rPr>
          <w:spacing w:val="78"/>
        </w:rPr>
        <w:t xml:space="preserve"> </w:t>
      </w:r>
      <w:r>
        <w:t>de</w:t>
      </w:r>
      <w:r>
        <w:rPr>
          <w:spacing w:val="77"/>
        </w:rPr>
        <w:t xml:space="preserve"> </w:t>
      </w:r>
      <w:r>
        <w:t>Verdad</w:t>
      </w:r>
      <w:r>
        <w:rPr>
          <w:spacing w:val="78"/>
        </w:rPr>
        <w:t xml:space="preserve"> </w:t>
      </w:r>
      <w:r>
        <w:t>y Responsabilidad.</w:t>
      </w:r>
      <w:r>
        <w:rPr>
          <w:spacing w:val="80"/>
        </w:rPr>
        <w:t xml:space="preserve"> </w:t>
      </w:r>
      <w:r>
        <w:t>Auto</w:t>
      </w:r>
      <w:r>
        <w:rPr>
          <w:spacing w:val="80"/>
        </w:rPr>
        <w:t xml:space="preserve"> </w:t>
      </w:r>
      <w:r>
        <w:t>AT-132-2020.</w:t>
      </w:r>
      <w:r>
        <w:rPr>
          <w:spacing w:val="80"/>
        </w:rPr>
        <w:t xml:space="preserve"> </w:t>
      </w:r>
      <w:r>
        <w:t>Magistrada</w:t>
      </w:r>
      <w:r>
        <w:rPr>
          <w:spacing w:val="80"/>
        </w:rPr>
        <w:t xml:space="preserve"> </w:t>
      </w:r>
      <w:r>
        <w:t>sustanciadora</w:t>
      </w:r>
      <w:r>
        <w:rPr>
          <w:spacing w:val="80"/>
        </w:rPr>
        <w:t xml:space="preserve"> </w:t>
      </w:r>
      <w:proofErr w:type="spellStart"/>
      <w:r>
        <w:t>Reinere</w:t>
      </w:r>
      <w:proofErr w:type="spellEnd"/>
      <w:r>
        <w:rPr>
          <w:spacing w:val="80"/>
        </w:rPr>
        <w:t xml:space="preserve"> </w:t>
      </w:r>
      <w:r>
        <w:t>de</w:t>
      </w:r>
      <w:r>
        <w:rPr>
          <w:spacing w:val="80"/>
        </w:rPr>
        <w:t xml:space="preserve"> </w:t>
      </w:r>
      <w:r>
        <w:t>los</w:t>
      </w:r>
      <w:r>
        <w:rPr>
          <w:spacing w:val="80"/>
        </w:rPr>
        <w:t xml:space="preserve"> </w:t>
      </w:r>
      <w:r>
        <w:t xml:space="preserve">Ángeles </w:t>
      </w:r>
      <w:r>
        <w:rPr>
          <w:spacing w:val="-2"/>
        </w:rPr>
        <w:t>Jaramillo</w:t>
      </w:r>
      <w:r>
        <w:tab/>
      </w:r>
      <w:r>
        <w:rPr>
          <w:spacing w:val="-2"/>
        </w:rPr>
        <w:t>Chaverra.</w:t>
      </w:r>
      <w:r>
        <w:tab/>
      </w:r>
      <w:r>
        <w:rPr>
          <w:spacing w:val="-10"/>
        </w:rPr>
        <w:t>3</w:t>
      </w:r>
      <w:r>
        <w:tab/>
      </w:r>
      <w:r>
        <w:rPr>
          <w:spacing w:val="-6"/>
        </w:rPr>
        <w:t>de</w:t>
      </w:r>
      <w:r>
        <w:tab/>
      </w:r>
      <w:r>
        <w:rPr>
          <w:spacing w:val="-2"/>
        </w:rPr>
        <w:t>septiembre</w:t>
      </w:r>
      <w:r>
        <w:tab/>
      </w:r>
      <w:r>
        <w:rPr>
          <w:spacing w:val="-6"/>
        </w:rPr>
        <w:t>de</w:t>
      </w:r>
      <w:r>
        <w:tab/>
      </w:r>
      <w:r>
        <w:rPr>
          <w:spacing w:val="-2"/>
        </w:rPr>
        <w:t>2020.</w:t>
      </w:r>
      <w:r>
        <w:tab/>
      </w:r>
      <w:r>
        <w:rPr>
          <w:spacing w:val="-2"/>
        </w:rPr>
        <w:t>Recuperado</w:t>
      </w:r>
      <w:r>
        <w:tab/>
      </w:r>
      <w:r>
        <w:rPr>
          <w:spacing w:val="-4"/>
        </w:rPr>
        <w:t xml:space="preserve">de: </w:t>
      </w:r>
      <w:hyperlink r:id="rId85">
        <w:r>
          <w:rPr>
            <w:spacing w:val="-2"/>
          </w:rPr>
          <w:t>https://jurinfo.jep.gov.co/normograma/compilacion/docs/auto_sarv-at-132-mc-fp-farc-ep_03-</w:t>
        </w:r>
      </w:hyperlink>
      <w:r>
        <w:rPr>
          <w:spacing w:val="-2"/>
        </w:rPr>
        <w:t xml:space="preserve"> </w:t>
      </w:r>
      <w:hyperlink r:id="rId86">
        <w:r>
          <w:rPr>
            <w:spacing w:val="-2"/>
          </w:rPr>
          <w:t>septiembre-2020.htm</w:t>
        </w:r>
      </w:hyperlink>
      <w:r>
        <w:rPr>
          <w:spacing w:val="-2"/>
        </w:rPr>
        <w:t>.</w:t>
      </w:r>
    </w:p>
    <w:p w:rsidR="0011361F" w:rsidRPr="00502B4C" w:rsidRDefault="00AF18A5" w:rsidP="0052717E">
      <w:pPr>
        <w:rPr>
          <w:lang w:val="es-CO"/>
        </w:rPr>
      </w:pPr>
      <w:r>
        <w:t xml:space="preserve">———. Auto AI 0015 2021 Ordena medidas en el trámite de oficio de MC de protección de comparecientes forzosos ante la JEP. 26 de febrero de 2021. </w:t>
      </w:r>
      <w:r w:rsidRPr="00502B4C">
        <w:rPr>
          <w:lang w:val="es-CO"/>
        </w:rPr>
        <w:t xml:space="preserve">Recuperado de: </w:t>
      </w:r>
      <w:hyperlink r:id="rId87">
        <w:r w:rsidRPr="00502B4C">
          <w:rPr>
            <w:lang w:val="es-CO"/>
          </w:rPr>
          <w:t>https://www.jep.gov.co/Notificaciones/ESTADO</w:t>
        </w:r>
        <w:r w:rsidRPr="00502B4C">
          <w:rPr>
            <w:spacing w:val="-3"/>
            <w:lang w:val="es-CO"/>
          </w:rPr>
          <w:t xml:space="preserve"> </w:t>
        </w:r>
        <w:r w:rsidRPr="00502B4C">
          <w:rPr>
            <w:lang w:val="es-CO"/>
          </w:rPr>
          <w:t>%20No.</w:t>
        </w:r>
        <w:r w:rsidRPr="00502B4C">
          <w:rPr>
            <w:spacing w:val="-3"/>
            <w:lang w:val="es-CO"/>
          </w:rPr>
          <w:t xml:space="preserve"> </w:t>
        </w:r>
        <w:r w:rsidRPr="00502B4C">
          <w:rPr>
            <w:lang w:val="es-CO"/>
          </w:rPr>
          <w:t>%2019</w:t>
        </w:r>
        <w:r w:rsidRPr="00502B4C">
          <w:rPr>
            <w:spacing w:val="-3"/>
            <w:lang w:val="es-CO"/>
          </w:rPr>
          <w:t xml:space="preserve"> </w:t>
        </w:r>
        <w:r w:rsidRPr="00502B4C">
          <w:rPr>
            <w:lang w:val="es-CO"/>
          </w:rPr>
          <w:t>%20SARV</w:t>
        </w:r>
        <w:r w:rsidRPr="00502B4C">
          <w:rPr>
            <w:spacing w:val="-4"/>
            <w:lang w:val="es-CO"/>
          </w:rPr>
          <w:t xml:space="preserve"> </w:t>
        </w:r>
        <w:r w:rsidRPr="00502B4C">
          <w:rPr>
            <w:lang w:val="es-CO"/>
          </w:rPr>
          <w:t>%20Auto</w:t>
        </w:r>
        <w:r w:rsidRPr="00502B4C">
          <w:rPr>
            <w:spacing w:val="-3"/>
            <w:lang w:val="es-CO"/>
          </w:rPr>
          <w:t xml:space="preserve"> </w:t>
        </w:r>
        <w:r w:rsidRPr="00502B4C">
          <w:rPr>
            <w:lang w:val="es-CO"/>
          </w:rPr>
          <w:t>%20AI</w:t>
        </w:r>
      </w:hyperlink>
      <w:hyperlink r:id="rId88">
        <w:r>
          <w:t>%2015</w:t>
        </w:r>
        <w:r>
          <w:rPr>
            <w:spacing w:val="-3"/>
          </w:rPr>
          <w:t xml:space="preserve"> </w:t>
        </w:r>
        <w:r>
          <w:t>%20DEL</w:t>
        </w:r>
        <w:r>
          <w:rPr>
            <w:spacing w:val="-2"/>
          </w:rPr>
          <w:t xml:space="preserve"> </w:t>
        </w:r>
        <w:r>
          <w:t>%2026-02-</w:t>
        </w:r>
        <w:r>
          <w:rPr>
            <w:spacing w:val="-2"/>
          </w:rPr>
          <w:t>2021.pdf.</w:t>
        </w:r>
      </w:hyperlink>
    </w:p>
    <w:p w:rsidR="003804AC" w:rsidRDefault="00AF18A5" w:rsidP="0052717E">
      <w:r>
        <w:t>Madariaga</w:t>
      </w:r>
      <w:r>
        <w:rPr>
          <w:spacing w:val="-3"/>
        </w:rPr>
        <w:t xml:space="preserve"> </w:t>
      </w:r>
      <w:r>
        <w:t>Villegas,</w:t>
      </w:r>
      <w:r>
        <w:rPr>
          <w:spacing w:val="-3"/>
        </w:rPr>
        <w:t xml:space="preserve"> </w:t>
      </w:r>
      <w:r>
        <w:t>Patricia.</w:t>
      </w:r>
      <w:r>
        <w:rPr>
          <w:spacing w:val="-4"/>
        </w:rPr>
        <w:t xml:space="preserve"> </w:t>
      </w:r>
      <w:r>
        <w:t>Matan</w:t>
      </w:r>
      <w:r>
        <w:rPr>
          <w:spacing w:val="-4"/>
        </w:rPr>
        <w:t xml:space="preserve"> </w:t>
      </w:r>
      <w:r>
        <w:t>y</w:t>
      </w:r>
      <w:r>
        <w:rPr>
          <w:spacing w:val="-2"/>
        </w:rPr>
        <w:t xml:space="preserve"> </w:t>
      </w:r>
      <w:r>
        <w:t>matan</w:t>
      </w:r>
      <w:r>
        <w:rPr>
          <w:spacing w:val="-4"/>
        </w:rPr>
        <w:t xml:space="preserve"> </w:t>
      </w:r>
      <w:r>
        <w:t>y</w:t>
      </w:r>
      <w:r>
        <w:rPr>
          <w:spacing w:val="-2"/>
        </w:rPr>
        <w:t xml:space="preserve"> </w:t>
      </w:r>
      <w:r>
        <w:t>uno</w:t>
      </w:r>
      <w:r>
        <w:rPr>
          <w:spacing w:val="-2"/>
        </w:rPr>
        <w:t xml:space="preserve"> </w:t>
      </w:r>
      <w:r>
        <w:t>sigue</w:t>
      </w:r>
      <w:r>
        <w:rPr>
          <w:spacing w:val="-3"/>
        </w:rPr>
        <w:t xml:space="preserve"> </w:t>
      </w:r>
      <w:r>
        <w:t>ahí</w:t>
      </w:r>
      <w:r>
        <w:rPr>
          <w:spacing w:val="-15"/>
        </w:rPr>
        <w:t xml:space="preserve"> </w:t>
      </w:r>
      <w:r>
        <w:t>:</w:t>
      </w:r>
      <w:r>
        <w:rPr>
          <w:spacing w:val="-2"/>
        </w:rPr>
        <w:t xml:space="preserve"> </w:t>
      </w:r>
      <w:r>
        <w:t>control</w:t>
      </w:r>
      <w:r>
        <w:rPr>
          <w:spacing w:val="-3"/>
        </w:rPr>
        <w:t xml:space="preserve"> </w:t>
      </w:r>
      <w:r>
        <w:t>paramilitar</w:t>
      </w:r>
      <w:r>
        <w:rPr>
          <w:spacing w:val="-3"/>
        </w:rPr>
        <w:t xml:space="preserve"> </w:t>
      </w:r>
      <w:r>
        <w:t>y</w:t>
      </w:r>
      <w:r>
        <w:rPr>
          <w:spacing w:val="-3"/>
        </w:rPr>
        <w:t xml:space="preserve"> </w:t>
      </w:r>
      <w:r>
        <w:t>vida</w:t>
      </w:r>
      <w:r>
        <w:rPr>
          <w:spacing w:val="-2"/>
        </w:rPr>
        <w:t xml:space="preserve"> </w:t>
      </w:r>
      <w:r>
        <w:t>cotidiana</w:t>
      </w:r>
      <w:r>
        <w:rPr>
          <w:spacing w:val="-4"/>
        </w:rPr>
        <w:t xml:space="preserve"> </w:t>
      </w:r>
      <w:r>
        <w:t>en</w:t>
      </w:r>
      <w:r>
        <w:rPr>
          <w:spacing w:val="-2"/>
        </w:rPr>
        <w:t xml:space="preserve"> </w:t>
      </w:r>
      <w:r>
        <w:t>un pueblo de Urabá. Universidad de los Andes, 2006.</w:t>
      </w:r>
    </w:p>
    <w:p w:rsidR="003804AC" w:rsidRDefault="00AF18A5" w:rsidP="0052717E">
      <w:r>
        <w:t>Mancuso,</w:t>
      </w:r>
      <w:r>
        <w:rPr>
          <w:spacing w:val="-7"/>
        </w:rPr>
        <w:t xml:space="preserve"> </w:t>
      </w:r>
      <w:r>
        <w:t>Salvatore.</w:t>
      </w:r>
      <w:r>
        <w:rPr>
          <w:spacing w:val="-7"/>
        </w:rPr>
        <w:t xml:space="preserve"> </w:t>
      </w:r>
      <w:r>
        <w:t>Ante</w:t>
      </w:r>
      <w:r>
        <w:rPr>
          <w:spacing w:val="-7"/>
        </w:rPr>
        <w:t xml:space="preserve"> </w:t>
      </w:r>
      <w:r>
        <w:t>los</w:t>
      </w:r>
      <w:r>
        <w:rPr>
          <w:spacing w:val="-7"/>
        </w:rPr>
        <w:t xml:space="preserve"> </w:t>
      </w:r>
      <w:r>
        <w:t>tribunales</w:t>
      </w:r>
      <w:r>
        <w:rPr>
          <w:spacing w:val="-7"/>
        </w:rPr>
        <w:t xml:space="preserve"> </w:t>
      </w:r>
      <w:r>
        <w:t>de</w:t>
      </w:r>
      <w:r>
        <w:rPr>
          <w:spacing w:val="-7"/>
        </w:rPr>
        <w:t xml:space="preserve"> </w:t>
      </w:r>
      <w:r>
        <w:t>justicia</w:t>
      </w:r>
      <w:r>
        <w:rPr>
          <w:spacing w:val="-7"/>
        </w:rPr>
        <w:t xml:space="preserve"> </w:t>
      </w:r>
      <w:r>
        <w:t>y</w:t>
      </w:r>
      <w:r>
        <w:rPr>
          <w:spacing w:val="-7"/>
        </w:rPr>
        <w:t xml:space="preserve"> </w:t>
      </w:r>
      <w:r>
        <w:t>la</w:t>
      </w:r>
      <w:r>
        <w:rPr>
          <w:spacing w:val="-7"/>
        </w:rPr>
        <w:t xml:space="preserve"> </w:t>
      </w:r>
      <w:r>
        <w:t>historia:</w:t>
      </w:r>
      <w:r>
        <w:rPr>
          <w:spacing w:val="-7"/>
        </w:rPr>
        <w:t xml:space="preserve"> </w:t>
      </w:r>
      <w:r>
        <w:t>Origen,</w:t>
      </w:r>
      <w:r>
        <w:rPr>
          <w:spacing w:val="-7"/>
        </w:rPr>
        <w:t xml:space="preserve"> </w:t>
      </w:r>
      <w:r>
        <w:t>desarrollo</w:t>
      </w:r>
      <w:r>
        <w:rPr>
          <w:spacing w:val="-7"/>
        </w:rPr>
        <w:t xml:space="preserve"> </w:t>
      </w:r>
      <w:r>
        <w:t>y</w:t>
      </w:r>
      <w:r>
        <w:rPr>
          <w:spacing w:val="-7"/>
        </w:rPr>
        <w:t xml:space="preserve"> </w:t>
      </w:r>
      <w:r>
        <w:t>desmovilización</w:t>
      </w:r>
      <w:r>
        <w:rPr>
          <w:spacing w:val="-7"/>
        </w:rPr>
        <w:t xml:space="preserve"> </w:t>
      </w:r>
      <w:r>
        <w:t xml:space="preserve">de las Autodefensas Unidas de Colombia. </w:t>
      </w:r>
      <w:r>
        <w:lastRenderedPageBreak/>
        <w:t>2007.</w:t>
      </w:r>
    </w:p>
    <w:p w:rsidR="003804AC" w:rsidRPr="00951B0F" w:rsidRDefault="00AF18A5" w:rsidP="0052717E">
      <w:pPr>
        <w:rPr>
          <w:lang w:val="en-US"/>
        </w:rPr>
      </w:pPr>
      <w:r>
        <w:t>Misión de Apoyo al Proceso de Paz en Colombia de la Organización de los Estados Americanos (MAPP/OEA). «Decimoprimer Informe Trimestral del Secretario General al Consejo Permanente</w:t>
      </w:r>
      <w:r>
        <w:rPr>
          <w:spacing w:val="-2"/>
        </w:rPr>
        <w:t xml:space="preserve"> </w:t>
      </w:r>
      <w:r>
        <w:t>sobre</w:t>
      </w:r>
      <w:r>
        <w:rPr>
          <w:spacing w:val="-1"/>
        </w:rPr>
        <w:t xml:space="preserve"> </w:t>
      </w:r>
      <w:r>
        <w:t>la</w:t>
      </w:r>
      <w:r>
        <w:rPr>
          <w:spacing w:val="-1"/>
        </w:rPr>
        <w:t xml:space="preserve"> </w:t>
      </w:r>
      <w:r>
        <w:t>Misión</w:t>
      </w:r>
      <w:r>
        <w:rPr>
          <w:spacing w:val="-1"/>
        </w:rPr>
        <w:t xml:space="preserve"> </w:t>
      </w:r>
      <w:r>
        <w:t>de</w:t>
      </w:r>
      <w:r>
        <w:rPr>
          <w:spacing w:val="-1"/>
        </w:rPr>
        <w:t xml:space="preserve"> </w:t>
      </w:r>
      <w:r>
        <w:t>Apoyo</w:t>
      </w:r>
      <w:r>
        <w:rPr>
          <w:spacing w:val="-1"/>
        </w:rPr>
        <w:t xml:space="preserve"> </w:t>
      </w:r>
      <w:r>
        <w:t>al</w:t>
      </w:r>
      <w:r>
        <w:rPr>
          <w:spacing w:val="-1"/>
        </w:rPr>
        <w:t xml:space="preserve"> </w:t>
      </w:r>
      <w:r>
        <w:t>Proceso</w:t>
      </w:r>
      <w:r>
        <w:rPr>
          <w:spacing w:val="-2"/>
        </w:rPr>
        <w:t xml:space="preserve"> </w:t>
      </w:r>
      <w:r>
        <w:t>de</w:t>
      </w:r>
      <w:r>
        <w:rPr>
          <w:spacing w:val="-1"/>
        </w:rPr>
        <w:t xml:space="preserve"> </w:t>
      </w:r>
      <w:r>
        <w:t>Paz</w:t>
      </w:r>
      <w:r>
        <w:rPr>
          <w:spacing w:val="-1"/>
        </w:rPr>
        <w:t xml:space="preserve"> </w:t>
      </w:r>
      <w:r>
        <w:t>en</w:t>
      </w:r>
      <w:r>
        <w:rPr>
          <w:spacing w:val="-1"/>
        </w:rPr>
        <w:t xml:space="preserve"> </w:t>
      </w:r>
      <w:r>
        <w:t>Colombia».</w:t>
      </w:r>
      <w:r>
        <w:rPr>
          <w:spacing w:val="-1"/>
        </w:rPr>
        <w:t xml:space="preserve"> </w:t>
      </w:r>
      <w:r>
        <w:t>s/f.</w:t>
      </w:r>
      <w:r>
        <w:rPr>
          <w:spacing w:val="-1"/>
        </w:rPr>
        <w:t xml:space="preserve"> </w:t>
      </w:r>
      <w:hyperlink r:id="rId89">
        <w:r w:rsidRPr="00951B0F">
          <w:rPr>
            <w:lang w:val="en-US"/>
          </w:rPr>
          <w:t>https://www.mapp-</w:t>
        </w:r>
      </w:hyperlink>
      <w:r w:rsidRPr="00951B0F">
        <w:rPr>
          <w:lang w:val="en-US"/>
        </w:rPr>
        <w:t xml:space="preserve"> </w:t>
      </w:r>
      <w:hyperlink r:id="rId90">
        <w:r w:rsidRPr="00951B0F">
          <w:rPr>
            <w:spacing w:val="-2"/>
            <w:lang w:val="en-US"/>
          </w:rPr>
          <w:t>oea.org/wp-content/uploads/2018/02/XI-Informe-Trimestral-MAPPOEA.pdf</w:t>
        </w:r>
      </w:hyperlink>
      <w:r w:rsidRPr="00951B0F">
        <w:rPr>
          <w:spacing w:val="-2"/>
          <w:lang w:val="en-US"/>
        </w:rPr>
        <w:t>.</w:t>
      </w:r>
    </w:p>
    <w:p w:rsidR="003804AC" w:rsidRPr="00502B4C" w:rsidRDefault="00AF18A5" w:rsidP="0052717E">
      <w:pPr>
        <w:rPr>
          <w:lang w:val="en-US"/>
        </w:rPr>
      </w:pPr>
      <w:r>
        <w:t>Misión de Apoyo al Proceso de Paz en Colombia de la Organización de los Estados Americanos (MAPP/OEA). «Vigésimo Informe Semestral del Secretario General al Consejo Permanente sobre</w:t>
      </w:r>
      <w:r>
        <w:rPr>
          <w:spacing w:val="20"/>
        </w:rPr>
        <w:t xml:space="preserve"> </w:t>
      </w:r>
      <w:r>
        <w:t>la</w:t>
      </w:r>
      <w:r>
        <w:rPr>
          <w:spacing w:val="23"/>
        </w:rPr>
        <w:t xml:space="preserve"> </w:t>
      </w:r>
      <w:r>
        <w:t>Misión</w:t>
      </w:r>
      <w:r>
        <w:rPr>
          <w:spacing w:val="23"/>
        </w:rPr>
        <w:t xml:space="preserve"> </w:t>
      </w:r>
      <w:r>
        <w:t>de</w:t>
      </w:r>
      <w:r>
        <w:rPr>
          <w:spacing w:val="22"/>
        </w:rPr>
        <w:t xml:space="preserve"> </w:t>
      </w:r>
      <w:r>
        <w:t>Apoyo</w:t>
      </w:r>
      <w:r>
        <w:rPr>
          <w:spacing w:val="23"/>
        </w:rPr>
        <w:t xml:space="preserve"> </w:t>
      </w:r>
      <w:r>
        <w:t>al</w:t>
      </w:r>
      <w:r>
        <w:rPr>
          <w:spacing w:val="23"/>
        </w:rPr>
        <w:t xml:space="preserve"> </w:t>
      </w:r>
      <w:r>
        <w:t>Proceso</w:t>
      </w:r>
      <w:r>
        <w:rPr>
          <w:spacing w:val="23"/>
        </w:rPr>
        <w:t xml:space="preserve"> </w:t>
      </w:r>
      <w:r>
        <w:t>de</w:t>
      </w:r>
      <w:r>
        <w:rPr>
          <w:spacing w:val="23"/>
        </w:rPr>
        <w:t xml:space="preserve"> </w:t>
      </w:r>
      <w:r>
        <w:t>Paz</w:t>
      </w:r>
      <w:r>
        <w:rPr>
          <w:spacing w:val="22"/>
        </w:rPr>
        <w:t xml:space="preserve"> </w:t>
      </w:r>
      <w:r>
        <w:t>en</w:t>
      </w:r>
      <w:r>
        <w:rPr>
          <w:spacing w:val="21"/>
        </w:rPr>
        <w:t xml:space="preserve"> </w:t>
      </w:r>
      <w:r>
        <w:t>Colombia</w:t>
      </w:r>
      <w:r>
        <w:rPr>
          <w:spacing w:val="23"/>
        </w:rPr>
        <w:t xml:space="preserve"> </w:t>
      </w:r>
      <w:r>
        <w:t>de</w:t>
      </w:r>
      <w:r>
        <w:rPr>
          <w:spacing w:val="23"/>
        </w:rPr>
        <w:t xml:space="preserve"> </w:t>
      </w:r>
      <w:r>
        <w:t>la</w:t>
      </w:r>
      <w:r>
        <w:rPr>
          <w:spacing w:val="22"/>
        </w:rPr>
        <w:t xml:space="preserve"> </w:t>
      </w:r>
      <w:r>
        <w:t>Organización</w:t>
      </w:r>
      <w:r>
        <w:rPr>
          <w:spacing w:val="23"/>
        </w:rPr>
        <w:t xml:space="preserve"> </w:t>
      </w:r>
      <w:r>
        <w:t>de</w:t>
      </w:r>
      <w:r>
        <w:rPr>
          <w:spacing w:val="22"/>
        </w:rPr>
        <w:t xml:space="preserve"> </w:t>
      </w:r>
      <w:r>
        <w:t>los</w:t>
      </w:r>
      <w:r>
        <w:rPr>
          <w:spacing w:val="24"/>
        </w:rPr>
        <w:t xml:space="preserve"> </w:t>
      </w:r>
      <w:r>
        <w:rPr>
          <w:spacing w:val="-2"/>
        </w:rPr>
        <w:t>Estados</w:t>
      </w:r>
      <w:r w:rsidR="0052717E">
        <w:t xml:space="preserve"> </w:t>
      </w:r>
      <w:r w:rsidRPr="0052717E">
        <w:rPr>
          <w:spacing w:val="-2"/>
          <w:lang w:val="es-CO"/>
        </w:rPr>
        <w:t>Americanos</w:t>
      </w:r>
      <w:r w:rsidRPr="0052717E">
        <w:rPr>
          <w:lang w:val="es-CO"/>
        </w:rPr>
        <w:tab/>
      </w:r>
      <w:r w:rsidRPr="0052717E">
        <w:rPr>
          <w:spacing w:val="-2"/>
          <w:lang w:val="es-CO"/>
        </w:rPr>
        <w:t>(MAPP/OEA)».</w:t>
      </w:r>
      <w:r w:rsidRPr="0052717E">
        <w:rPr>
          <w:lang w:val="es-CO"/>
        </w:rPr>
        <w:tab/>
      </w:r>
      <w:r w:rsidRPr="0052717E">
        <w:rPr>
          <w:spacing w:val="-2"/>
          <w:lang w:val="es-CO"/>
        </w:rPr>
        <w:t>2015.</w:t>
      </w:r>
      <w:r w:rsidRPr="0052717E">
        <w:rPr>
          <w:lang w:val="es-CO"/>
        </w:rPr>
        <w:tab/>
      </w:r>
      <w:hyperlink r:id="rId91">
        <w:r w:rsidRPr="00951B0F">
          <w:rPr>
            <w:spacing w:val="-2"/>
            <w:lang w:val="en-US"/>
          </w:rPr>
          <w:t>https://www.mapp-oea.org/wp-</w:t>
        </w:r>
      </w:hyperlink>
      <w:r w:rsidRPr="00951B0F">
        <w:rPr>
          <w:spacing w:val="-2"/>
          <w:lang w:val="en-US"/>
        </w:rPr>
        <w:t xml:space="preserve"> </w:t>
      </w:r>
      <w:hyperlink r:id="rId92">
        <w:r w:rsidRPr="00951B0F">
          <w:rPr>
            <w:spacing w:val="-2"/>
            <w:lang w:val="en-US"/>
          </w:rPr>
          <w:t>content/uploads/2018/02/XX-Informe-Semestral-MAPPOEA.pdf</w:t>
        </w:r>
      </w:hyperlink>
      <w:r w:rsidRPr="00951B0F">
        <w:rPr>
          <w:spacing w:val="-2"/>
          <w:lang w:val="en-US"/>
        </w:rPr>
        <w:t>.</w:t>
      </w:r>
    </w:p>
    <w:p w:rsidR="003804AC" w:rsidRDefault="00AF18A5" w:rsidP="0052717E">
      <w:r>
        <w:t>Módulo</w:t>
      </w:r>
      <w:r>
        <w:rPr>
          <w:spacing w:val="-8"/>
        </w:rPr>
        <w:t xml:space="preserve"> </w:t>
      </w:r>
      <w:r>
        <w:t>de</w:t>
      </w:r>
      <w:r>
        <w:rPr>
          <w:spacing w:val="-9"/>
        </w:rPr>
        <w:t xml:space="preserve"> </w:t>
      </w:r>
      <w:r>
        <w:t>Catalogación</w:t>
      </w:r>
      <w:r>
        <w:rPr>
          <w:spacing w:val="-8"/>
        </w:rPr>
        <w:t xml:space="preserve"> </w:t>
      </w:r>
      <w:r>
        <w:t>Colaborativa</w:t>
      </w:r>
      <w:r>
        <w:rPr>
          <w:spacing w:val="-7"/>
        </w:rPr>
        <w:t xml:space="preserve"> </w:t>
      </w:r>
      <w:r>
        <w:t>1000130-OIMB-6268386c7254bb523e485cdf.</w:t>
      </w:r>
      <w:r>
        <w:rPr>
          <w:spacing w:val="-9"/>
        </w:rPr>
        <w:t xml:space="preserve"> </w:t>
      </w:r>
      <w:r>
        <w:t>«Partidos</w:t>
      </w:r>
      <w:r>
        <w:rPr>
          <w:spacing w:val="-7"/>
        </w:rPr>
        <w:t xml:space="preserve"> </w:t>
      </w:r>
      <w:r>
        <w:t>políticos y paramilitarismo: el Estado de Autodefensa». Consultoría: Juan Diego Restrepo y Comisión para el Esclarecimiento de la Verdad, la Convivencia y la No Repetición (CEV). Bogotá, 2021.</w:t>
      </w:r>
    </w:p>
    <w:p w:rsidR="003804AC" w:rsidRDefault="00AF18A5" w:rsidP="0052717E">
      <w:r>
        <w:t>Módulo de Catalogación Colaborativa 23-OI-3523. «Conflicto armado y democracia en Colombia. Una mirada a los patrones de la violencia política», documento escrito. Comisión para el Esclarecimiento de la Verdad, la Convivencia y la No Repetición (CEV); Consultoría 104794. Bogotá, 2020.</w:t>
      </w:r>
    </w:p>
    <w:p w:rsidR="003804AC" w:rsidRDefault="00AF18A5" w:rsidP="0052717E">
      <w:r>
        <w:t>Módulo de Catalogación Colaborativa 35-OI-5fc914eab5a905584b9fbfe8. «Análisis de los tránsitos internos</w:t>
      </w:r>
      <w:r>
        <w:rPr>
          <w:spacing w:val="-5"/>
        </w:rPr>
        <w:t xml:space="preserve"> </w:t>
      </w:r>
      <w:r>
        <w:t>y</w:t>
      </w:r>
      <w:r>
        <w:rPr>
          <w:spacing w:val="-5"/>
        </w:rPr>
        <w:t xml:space="preserve"> </w:t>
      </w:r>
      <w:r>
        <w:t>externos</w:t>
      </w:r>
      <w:r>
        <w:rPr>
          <w:spacing w:val="-5"/>
        </w:rPr>
        <w:t xml:space="preserve"> </w:t>
      </w:r>
      <w:r>
        <w:t>de</w:t>
      </w:r>
      <w:r>
        <w:rPr>
          <w:spacing w:val="-5"/>
        </w:rPr>
        <w:t xml:space="preserve"> </w:t>
      </w:r>
      <w:r>
        <w:t>las</w:t>
      </w:r>
      <w:r>
        <w:rPr>
          <w:spacing w:val="-5"/>
        </w:rPr>
        <w:t xml:space="preserve"> </w:t>
      </w:r>
      <w:r>
        <w:t>rutas</w:t>
      </w:r>
      <w:r>
        <w:rPr>
          <w:spacing w:val="-5"/>
        </w:rPr>
        <w:t xml:space="preserve"> </w:t>
      </w:r>
      <w:r>
        <w:t>de</w:t>
      </w:r>
      <w:r>
        <w:rPr>
          <w:spacing w:val="-5"/>
        </w:rPr>
        <w:t xml:space="preserve"> </w:t>
      </w:r>
      <w:r>
        <w:t>exilio</w:t>
      </w:r>
      <w:r>
        <w:rPr>
          <w:spacing w:val="-5"/>
        </w:rPr>
        <w:t xml:space="preserve"> </w:t>
      </w:r>
      <w:r>
        <w:t>seguidas</w:t>
      </w:r>
      <w:r>
        <w:rPr>
          <w:spacing w:val="-6"/>
        </w:rPr>
        <w:t xml:space="preserve"> </w:t>
      </w:r>
      <w:r>
        <w:t>por</w:t>
      </w:r>
      <w:r>
        <w:rPr>
          <w:spacing w:val="-4"/>
        </w:rPr>
        <w:t xml:space="preserve"> </w:t>
      </w:r>
      <w:r>
        <w:t>las</w:t>
      </w:r>
      <w:r>
        <w:rPr>
          <w:spacing w:val="-5"/>
        </w:rPr>
        <w:t xml:space="preserve"> </w:t>
      </w:r>
      <w:r>
        <w:t>víctimas</w:t>
      </w:r>
      <w:r>
        <w:rPr>
          <w:spacing w:val="-5"/>
        </w:rPr>
        <w:t xml:space="preserve"> </w:t>
      </w:r>
      <w:r>
        <w:t>entrevistadas</w:t>
      </w:r>
      <w:r>
        <w:rPr>
          <w:spacing w:val="-5"/>
        </w:rPr>
        <w:t xml:space="preserve"> </w:t>
      </w:r>
      <w:r>
        <w:t>por</w:t>
      </w:r>
      <w:r>
        <w:rPr>
          <w:spacing w:val="-4"/>
        </w:rPr>
        <w:t xml:space="preserve"> </w:t>
      </w:r>
      <w:r>
        <w:t>la</w:t>
      </w:r>
      <w:r>
        <w:rPr>
          <w:spacing w:val="-5"/>
        </w:rPr>
        <w:t xml:space="preserve"> </w:t>
      </w:r>
      <w:r>
        <w:t xml:space="preserve">Comisión de la Verdad», Documento escrito. Comisión para el Esclarecimiento de la Verdad la </w:t>
      </w:r>
      <w:r>
        <w:lastRenderedPageBreak/>
        <w:t>Convivencia y la No Repetición (CEV), Oscar Pérez, y Myriam Loaiza. Bogotá, 2020.</w:t>
      </w:r>
    </w:p>
    <w:p w:rsidR="003804AC" w:rsidRDefault="00AF18A5" w:rsidP="0052717E">
      <w:r>
        <w:t>Módulo</w:t>
      </w:r>
      <w:r>
        <w:rPr>
          <w:spacing w:val="62"/>
          <w:w w:val="150"/>
        </w:rPr>
        <w:t xml:space="preserve"> </w:t>
      </w:r>
      <w:r>
        <w:t>de</w:t>
      </w:r>
      <w:r>
        <w:rPr>
          <w:spacing w:val="64"/>
          <w:w w:val="150"/>
        </w:rPr>
        <w:t xml:space="preserve"> </w:t>
      </w:r>
      <w:r>
        <w:t>Catalogación</w:t>
      </w:r>
      <w:r>
        <w:rPr>
          <w:spacing w:val="65"/>
          <w:w w:val="150"/>
        </w:rPr>
        <w:t xml:space="preserve"> </w:t>
      </w:r>
      <w:r>
        <w:t>Colaborativa</w:t>
      </w:r>
      <w:r>
        <w:rPr>
          <w:spacing w:val="65"/>
          <w:w w:val="150"/>
        </w:rPr>
        <w:t xml:space="preserve"> </w:t>
      </w:r>
      <w:r>
        <w:t>8-OI-627ed8eaf57d0b22f5e7b48b.</w:t>
      </w:r>
      <w:r>
        <w:rPr>
          <w:spacing w:val="65"/>
          <w:w w:val="150"/>
        </w:rPr>
        <w:t xml:space="preserve"> </w:t>
      </w:r>
      <w:r>
        <w:t>Reyes,</w:t>
      </w:r>
      <w:r>
        <w:rPr>
          <w:spacing w:val="65"/>
          <w:w w:val="150"/>
        </w:rPr>
        <w:t xml:space="preserve"> </w:t>
      </w:r>
      <w:r>
        <w:t>Luisa</w:t>
      </w:r>
      <w:r>
        <w:rPr>
          <w:spacing w:val="65"/>
          <w:w w:val="150"/>
        </w:rPr>
        <w:t xml:space="preserve"> </w:t>
      </w:r>
      <w:r>
        <w:rPr>
          <w:spacing w:val="-2"/>
        </w:rPr>
        <w:t>Fernanda.</w:t>
      </w:r>
    </w:p>
    <w:p w:rsidR="003804AC" w:rsidRDefault="00AF18A5" w:rsidP="0052717E">
      <w:r>
        <w:t>«Tránsito intergrupal de combatientes en el conflicto». Módulo de Captura, Comisión para el Esclarecimiento de la Verdad, la Convivencia y la No Repetición. 2021.</w:t>
      </w:r>
    </w:p>
    <w:p w:rsidR="003804AC" w:rsidRDefault="00AF18A5" w:rsidP="0052717E">
      <w:r>
        <w:t>Módulo</w:t>
      </w:r>
      <w:r>
        <w:rPr>
          <w:spacing w:val="-11"/>
        </w:rPr>
        <w:t xml:space="preserve"> </w:t>
      </w:r>
      <w:r>
        <w:t>de</w:t>
      </w:r>
      <w:r>
        <w:rPr>
          <w:spacing w:val="-11"/>
        </w:rPr>
        <w:t xml:space="preserve"> </w:t>
      </w:r>
      <w:r>
        <w:t>Catalogación</w:t>
      </w:r>
      <w:r>
        <w:rPr>
          <w:spacing w:val="-11"/>
        </w:rPr>
        <w:t xml:space="preserve"> </w:t>
      </w:r>
      <w:r>
        <w:t>Colaborativa</w:t>
      </w:r>
      <w:r>
        <w:rPr>
          <w:spacing w:val="-11"/>
        </w:rPr>
        <w:t xml:space="preserve"> </w:t>
      </w:r>
      <w:r>
        <w:t>8-OI-62aa2b63553b7e3e75f207d7.</w:t>
      </w:r>
      <w:r>
        <w:rPr>
          <w:spacing w:val="-11"/>
        </w:rPr>
        <w:t xml:space="preserve"> </w:t>
      </w:r>
      <w:r>
        <w:t>«Autodefensas</w:t>
      </w:r>
      <w:r>
        <w:rPr>
          <w:spacing w:val="-11"/>
        </w:rPr>
        <w:t xml:space="preserve"> </w:t>
      </w:r>
      <w:r>
        <w:t>Campesinas</w:t>
      </w:r>
      <w:r>
        <w:rPr>
          <w:spacing w:val="-11"/>
        </w:rPr>
        <w:t xml:space="preserve"> </w:t>
      </w:r>
      <w:r>
        <w:t>de Córdoba y Urabá: surgimiento, transformación, consolidación y financiación 1994-1998», Documento de trabajo. Comisión para el Esclarecimiento de la Verdad, la Convivencia y la No Repetición (CEV) y Consultoría interna: Juan Diego Restrepo. Bogotá, 2022.</w:t>
      </w:r>
    </w:p>
    <w:p w:rsidR="003804AC" w:rsidRDefault="00AF18A5" w:rsidP="0052717E">
      <w:r>
        <w:t xml:space="preserve">Oficina del Alto Comisionado para la paz, Daniel García, y Álvaro Villarraga. </w:t>
      </w:r>
      <w:r>
        <w:rPr>
          <w:i/>
        </w:rPr>
        <w:t>El proceso de paz en Colombia, 1982-1994</w:t>
      </w:r>
      <w:r>
        <w:t>. Bogotá D.C.: Oficina del Alto Comisionado para la Paz, Presidencia de la República de Colombia, 1998.</w:t>
      </w:r>
    </w:p>
    <w:p w:rsidR="003804AC" w:rsidRDefault="00AF18A5" w:rsidP="0052717E">
      <w:r>
        <w:t>Olaya</w:t>
      </w:r>
      <w:r>
        <w:rPr>
          <w:spacing w:val="-12"/>
        </w:rPr>
        <w:t xml:space="preserve"> </w:t>
      </w:r>
      <w:r>
        <w:t>Molina,</w:t>
      </w:r>
      <w:r>
        <w:rPr>
          <w:spacing w:val="-12"/>
        </w:rPr>
        <w:t xml:space="preserve"> </w:t>
      </w:r>
      <w:proofErr w:type="spellStart"/>
      <w:r>
        <w:t>Victor</w:t>
      </w:r>
      <w:proofErr w:type="spellEnd"/>
      <w:r>
        <w:rPr>
          <w:spacing w:val="-12"/>
        </w:rPr>
        <w:t xml:space="preserve"> </w:t>
      </w:r>
      <w:r>
        <w:t>Hugo.</w:t>
      </w:r>
      <w:r>
        <w:rPr>
          <w:spacing w:val="-12"/>
        </w:rPr>
        <w:t xml:space="preserve"> </w:t>
      </w:r>
      <w:r>
        <w:t>«De</w:t>
      </w:r>
      <w:r>
        <w:rPr>
          <w:spacing w:val="-12"/>
        </w:rPr>
        <w:t xml:space="preserve"> </w:t>
      </w:r>
      <w:r>
        <w:t>la</w:t>
      </w:r>
      <w:r>
        <w:rPr>
          <w:spacing w:val="-12"/>
        </w:rPr>
        <w:t xml:space="preserve"> </w:t>
      </w:r>
      <w:r>
        <w:t>guerra</w:t>
      </w:r>
      <w:r>
        <w:rPr>
          <w:spacing w:val="-12"/>
        </w:rPr>
        <w:t xml:space="preserve"> </w:t>
      </w:r>
      <w:r>
        <w:t>a</w:t>
      </w:r>
      <w:r>
        <w:rPr>
          <w:spacing w:val="-13"/>
        </w:rPr>
        <w:t xml:space="preserve"> </w:t>
      </w:r>
      <w:r>
        <w:t>la</w:t>
      </w:r>
      <w:r>
        <w:rPr>
          <w:spacing w:val="-12"/>
        </w:rPr>
        <w:t xml:space="preserve"> </w:t>
      </w:r>
      <w:r>
        <w:t>incertidumbre.</w:t>
      </w:r>
      <w:r>
        <w:rPr>
          <w:spacing w:val="-12"/>
        </w:rPr>
        <w:t xml:space="preserve"> </w:t>
      </w:r>
      <w:r>
        <w:t>Niños,</w:t>
      </w:r>
      <w:r>
        <w:rPr>
          <w:spacing w:val="-12"/>
        </w:rPr>
        <w:t xml:space="preserve"> </w:t>
      </w:r>
      <w:r>
        <w:t>Niñas</w:t>
      </w:r>
      <w:r>
        <w:rPr>
          <w:spacing w:val="-12"/>
        </w:rPr>
        <w:t xml:space="preserve"> </w:t>
      </w:r>
      <w:r>
        <w:t>y</w:t>
      </w:r>
      <w:r>
        <w:rPr>
          <w:spacing w:val="-12"/>
        </w:rPr>
        <w:t xml:space="preserve"> </w:t>
      </w:r>
      <w:r>
        <w:t>Adolescentes</w:t>
      </w:r>
      <w:r>
        <w:rPr>
          <w:spacing w:val="-12"/>
        </w:rPr>
        <w:t xml:space="preserve"> </w:t>
      </w:r>
      <w:r>
        <w:t>desvinculados de</w:t>
      </w:r>
      <w:r>
        <w:rPr>
          <w:spacing w:val="-2"/>
        </w:rPr>
        <w:t xml:space="preserve"> </w:t>
      </w:r>
      <w:r>
        <w:t>grupos</w:t>
      </w:r>
      <w:r>
        <w:rPr>
          <w:spacing w:val="-2"/>
        </w:rPr>
        <w:t xml:space="preserve"> </w:t>
      </w:r>
      <w:r>
        <w:t>armados</w:t>
      </w:r>
      <w:r>
        <w:rPr>
          <w:spacing w:val="-2"/>
        </w:rPr>
        <w:t xml:space="preserve"> </w:t>
      </w:r>
      <w:r>
        <w:t>ilegales</w:t>
      </w:r>
      <w:r>
        <w:rPr>
          <w:spacing w:val="-2"/>
        </w:rPr>
        <w:t xml:space="preserve"> </w:t>
      </w:r>
      <w:r>
        <w:t>post</w:t>
      </w:r>
      <w:r>
        <w:rPr>
          <w:spacing w:val="-2"/>
        </w:rPr>
        <w:t xml:space="preserve"> </w:t>
      </w:r>
      <w:r>
        <w:t>desmovilización».</w:t>
      </w:r>
      <w:r>
        <w:rPr>
          <w:spacing w:val="-2"/>
        </w:rPr>
        <w:t xml:space="preserve"> </w:t>
      </w:r>
      <w:r>
        <w:t>Maestría</w:t>
      </w:r>
      <w:r>
        <w:rPr>
          <w:spacing w:val="-3"/>
        </w:rPr>
        <w:t xml:space="preserve"> </w:t>
      </w:r>
      <w:r>
        <w:t>Defensa</w:t>
      </w:r>
      <w:r>
        <w:rPr>
          <w:spacing w:val="-2"/>
        </w:rPr>
        <w:t xml:space="preserve"> </w:t>
      </w:r>
      <w:r>
        <w:t>de</w:t>
      </w:r>
      <w:r>
        <w:rPr>
          <w:spacing w:val="-2"/>
        </w:rPr>
        <w:t xml:space="preserve"> </w:t>
      </w:r>
      <w:r>
        <w:t>los</w:t>
      </w:r>
      <w:r>
        <w:rPr>
          <w:spacing w:val="-2"/>
        </w:rPr>
        <w:t xml:space="preserve"> </w:t>
      </w:r>
      <w:r>
        <w:t>Derechos</w:t>
      </w:r>
      <w:r>
        <w:rPr>
          <w:spacing w:val="-2"/>
        </w:rPr>
        <w:t xml:space="preserve"> </w:t>
      </w:r>
      <w:r>
        <w:t>Humanos y</w:t>
      </w:r>
      <w:r>
        <w:rPr>
          <w:spacing w:val="-14"/>
        </w:rPr>
        <w:t xml:space="preserve"> </w:t>
      </w:r>
      <w:r>
        <w:t>el</w:t>
      </w:r>
      <w:r>
        <w:rPr>
          <w:spacing w:val="-12"/>
        </w:rPr>
        <w:t xml:space="preserve"> </w:t>
      </w:r>
      <w:r>
        <w:t>DIH</w:t>
      </w:r>
      <w:r>
        <w:rPr>
          <w:spacing w:val="-13"/>
        </w:rPr>
        <w:t xml:space="preserve"> </w:t>
      </w:r>
      <w:r>
        <w:t>ante</w:t>
      </w:r>
      <w:r>
        <w:rPr>
          <w:spacing w:val="-12"/>
        </w:rPr>
        <w:t xml:space="preserve"> </w:t>
      </w:r>
      <w:r>
        <w:t>Organismos,</w:t>
      </w:r>
      <w:r>
        <w:rPr>
          <w:spacing w:val="-12"/>
        </w:rPr>
        <w:t xml:space="preserve"> </w:t>
      </w:r>
      <w:r>
        <w:t>Tribunales</w:t>
      </w:r>
      <w:r>
        <w:rPr>
          <w:spacing w:val="-12"/>
        </w:rPr>
        <w:t xml:space="preserve"> </w:t>
      </w:r>
      <w:r>
        <w:t>y</w:t>
      </w:r>
      <w:r>
        <w:rPr>
          <w:spacing w:val="-12"/>
        </w:rPr>
        <w:t xml:space="preserve"> </w:t>
      </w:r>
      <w:r>
        <w:t>Cortes</w:t>
      </w:r>
      <w:r>
        <w:rPr>
          <w:spacing w:val="-13"/>
        </w:rPr>
        <w:t xml:space="preserve"> </w:t>
      </w:r>
      <w:r>
        <w:t>Internacionales,</w:t>
      </w:r>
      <w:r>
        <w:rPr>
          <w:spacing w:val="-12"/>
        </w:rPr>
        <w:t xml:space="preserve"> </w:t>
      </w:r>
      <w:r>
        <w:t>Universidad</w:t>
      </w:r>
      <w:r>
        <w:rPr>
          <w:spacing w:val="-12"/>
        </w:rPr>
        <w:t xml:space="preserve"> </w:t>
      </w:r>
      <w:r>
        <w:t>Santo</w:t>
      </w:r>
      <w:r>
        <w:rPr>
          <w:spacing w:val="-12"/>
        </w:rPr>
        <w:t xml:space="preserve"> </w:t>
      </w:r>
      <w:r>
        <w:t>Tomás,</w:t>
      </w:r>
      <w:r>
        <w:rPr>
          <w:spacing w:val="-11"/>
        </w:rPr>
        <w:t xml:space="preserve"> </w:t>
      </w:r>
      <w:r>
        <w:rPr>
          <w:spacing w:val="-2"/>
        </w:rPr>
        <w:t>2016.</w:t>
      </w:r>
    </w:p>
    <w:p w:rsidR="003804AC" w:rsidRDefault="00AF18A5" w:rsidP="0052717E">
      <w:r>
        <w:t>Pastor</w:t>
      </w:r>
      <w:r>
        <w:rPr>
          <w:spacing w:val="38"/>
        </w:rPr>
        <w:t xml:space="preserve"> </w:t>
      </w:r>
      <w:proofErr w:type="spellStart"/>
      <w:r>
        <w:t>Viviescas</w:t>
      </w:r>
      <w:proofErr w:type="spellEnd"/>
      <w:r>
        <w:rPr>
          <w:spacing w:val="37"/>
        </w:rPr>
        <w:t xml:space="preserve"> </w:t>
      </w:r>
      <w:r>
        <w:t>Gómez.</w:t>
      </w:r>
      <w:r>
        <w:rPr>
          <w:spacing w:val="37"/>
        </w:rPr>
        <w:t xml:space="preserve"> </w:t>
      </w:r>
      <w:r>
        <w:t>«“Lo</w:t>
      </w:r>
      <w:r>
        <w:rPr>
          <w:spacing w:val="37"/>
        </w:rPr>
        <w:t xml:space="preserve"> </w:t>
      </w:r>
      <w:r>
        <w:t>que</w:t>
      </w:r>
      <w:r>
        <w:rPr>
          <w:spacing w:val="37"/>
        </w:rPr>
        <w:t xml:space="preserve"> </w:t>
      </w:r>
      <w:r>
        <w:t>Hugo</w:t>
      </w:r>
      <w:r>
        <w:rPr>
          <w:spacing w:val="38"/>
        </w:rPr>
        <w:t xml:space="preserve"> </w:t>
      </w:r>
      <w:r>
        <w:t>H.</w:t>
      </w:r>
      <w:r>
        <w:rPr>
          <w:spacing w:val="38"/>
        </w:rPr>
        <w:t xml:space="preserve"> </w:t>
      </w:r>
      <w:r>
        <w:t>Aguilar</w:t>
      </w:r>
      <w:r>
        <w:rPr>
          <w:spacing w:val="38"/>
        </w:rPr>
        <w:t xml:space="preserve"> </w:t>
      </w:r>
      <w:r>
        <w:t>nunca</w:t>
      </w:r>
      <w:r>
        <w:rPr>
          <w:spacing w:val="37"/>
        </w:rPr>
        <w:t xml:space="preserve"> </w:t>
      </w:r>
      <w:r>
        <w:t>calculó</w:t>
      </w:r>
      <w:r>
        <w:rPr>
          <w:spacing w:val="37"/>
        </w:rPr>
        <w:t xml:space="preserve"> </w:t>
      </w:r>
      <w:r>
        <w:t>es</w:t>
      </w:r>
      <w:r>
        <w:rPr>
          <w:spacing w:val="37"/>
        </w:rPr>
        <w:t xml:space="preserve"> </w:t>
      </w:r>
      <w:r>
        <w:t>que</w:t>
      </w:r>
      <w:r>
        <w:rPr>
          <w:spacing w:val="37"/>
        </w:rPr>
        <w:t xml:space="preserve"> </w:t>
      </w:r>
      <w:r>
        <w:t>Julio</w:t>
      </w:r>
      <w:r>
        <w:rPr>
          <w:spacing w:val="37"/>
        </w:rPr>
        <w:t xml:space="preserve"> </w:t>
      </w:r>
      <w:r>
        <w:t>César</w:t>
      </w:r>
      <w:r>
        <w:rPr>
          <w:spacing w:val="38"/>
        </w:rPr>
        <w:t xml:space="preserve"> </w:t>
      </w:r>
      <w:r>
        <w:t>Prieto</w:t>
      </w:r>
      <w:r>
        <w:rPr>
          <w:spacing w:val="36"/>
        </w:rPr>
        <w:t xml:space="preserve"> </w:t>
      </w:r>
      <w:r>
        <w:t>no</w:t>
      </w:r>
      <w:r>
        <w:rPr>
          <w:spacing w:val="37"/>
        </w:rPr>
        <w:t xml:space="preserve"> </w:t>
      </w:r>
      <w:r>
        <w:t>es pendejo”,</w:t>
      </w:r>
      <w:r>
        <w:rPr>
          <w:spacing w:val="23"/>
        </w:rPr>
        <w:t xml:space="preserve"> </w:t>
      </w:r>
      <w:r>
        <w:t>dice</w:t>
      </w:r>
      <w:r>
        <w:rPr>
          <w:spacing w:val="23"/>
        </w:rPr>
        <w:t xml:space="preserve"> </w:t>
      </w:r>
      <w:r>
        <w:t>el</w:t>
      </w:r>
      <w:r>
        <w:rPr>
          <w:spacing w:val="23"/>
        </w:rPr>
        <w:t xml:space="preserve"> </w:t>
      </w:r>
      <w:r>
        <w:t>excomandante</w:t>
      </w:r>
      <w:r>
        <w:rPr>
          <w:spacing w:val="23"/>
        </w:rPr>
        <w:t xml:space="preserve"> </w:t>
      </w:r>
      <w:r>
        <w:t>del Batallón</w:t>
      </w:r>
      <w:r>
        <w:rPr>
          <w:spacing w:val="23"/>
        </w:rPr>
        <w:t xml:space="preserve"> </w:t>
      </w:r>
      <w:r>
        <w:t>de San</w:t>
      </w:r>
      <w:r>
        <w:rPr>
          <w:spacing w:val="23"/>
        </w:rPr>
        <w:t xml:space="preserve"> </w:t>
      </w:r>
      <w:r>
        <w:t>Vicente de</w:t>
      </w:r>
      <w:r>
        <w:rPr>
          <w:spacing w:val="23"/>
        </w:rPr>
        <w:t xml:space="preserve"> </w:t>
      </w:r>
      <w:r>
        <w:t>Chucurí (Santander)».</w:t>
      </w:r>
      <w:r>
        <w:rPr>
          <w:spacing w:val="23"/>
        </w:rPr>
        <w:t xml:space="preserve"> </w:t>
      </w:r>
      <w:r>
        <w:t>27</w:t>
      </w:r>
      <w:r>
        <w:rPr>
          <w:spacing w:val="23"/>
        </w:rPr>
        <w:t xml:space="preserve"> </w:t>
      </w:r>
      <w:r>
        <w:t>de febrero</w:t>
      </w:r>
      <w:r>
        <w:rPr>
          <w:spacing w:val="40"/>
        </w:rPr>
        <w:t xml:space="preserve"> </w:t>
      </w:r>
      <w:r>
        <w:t>de</w:t>
      </w:r>
      <w:r>
        <w:rPr>
          <w:spacing w:val="40"/>
        </w:rPr>
        <w:t xml:space="preserve"> </w:t>
      </w:r>
      <w:r>
        <w:lastRenderedPageBreak/>
        <w:t>2018.</w:t>
      </w:r>
      <w:r>
        <w:rPr>
          <w:spacing w:val="40"/>
        </w:rPr>
        <w:t xml:space="preserve"> </w:t>
      </w:r>
      <w:r>
        <w:rPr>
          <w:i/>
        </w:rPr>
        <w:t>Periódico</w:t>
      </w:r>
      <w:r>
        <w:rPr>
          <w:i/>
          <w:spacing w:val="40"/>
        </w:rPr>
        <w:t xml:space="preserve"> </w:t>
      </w:r>
      <w:r>
        <w:rPr>
          <w:i/>
        </w:rPr>
        <w:t>15</w:t>
      </w:r>
      <w:r>
        <w:t>.</w:t>
      </w:r>
      <w:r>
        <w:rPr>
          <w:spacing w:val="40"/>
        </w:rPr>
        <w:t xml:space="preserve"> </w:t>
      </w:r>
      <w:hyperlink r:id="rId93">
        <w:r>
          <w:t>https://www.periodico15.com/lo-que-hugo-h-aguilar-nunca-</w:t>
        </w:r>
      </w:hyperlink>
      <w:r>
        <w:t xml:space="preserve"> </w:t>
      </w:r>
      <w:hyperlink r:id="rId94">
        <w:r>
          <w:rPr>
            <w:spacing w:val="-2"/>
          </w:rPr>
          <w:t>calculo-es-que-julio-cesar-prieto-no-es-pendejo-dice-el-excomandante-del-batallon-de-san-</w:t>
        </w:r>
      </w:hyperlink>
      <w:r>
        <w:rPr>
          <w:spacing w:val="-2"/>
        </w:rPr>
        <w:t xml:space="preserve"> </w:t>
      </w:r>
      <w:hyperlink r:id="rId95">
        <w:proofErr w:type="spellStart"/>
        <w:r>
          <w:rPr>
            <w:spacing w:val="-2"/>
          </w:rPr>
          <w:t>vicente</w:t>
        </w:r>
        <w:proofErr w:type="spellEnd"/>
        <w:r>
          <w:rPr>
            <w:spacing w:val="-2"/>
          </w:rPr>
          <w:t>-</w:t>
        </w:r>
        <w:proofErr w:type="spellStart"/>
        <w:r>
          <w:rPr>
            <w:spacing w:val="-2"/>
          </w:rPr>
          <w:t>de-chucuri-santander</w:t>
        </w:r>
        <w:proofErr w:type="spellEnd"/>
        <w:r>
          <w:rPr>
            <w:spacing w:val="-2"/>
          </w:rPr>
          <w:t>/</w:t>
        </w:r>
      </w:hyperlink>
      <w:r>
        <w:rPr>
          <w:spacing w:val="-2"/>
        </w:rPr>
        <w:t>.</w:t>
      </w:r>
    </w:p>
    <w:p w:rsidR="003804AC" w:rsidRDefault="00AF18A5" w:rsidP="0052717E">
      <w:r>
        <w:t>Pizarro</w:t>
      </w:r>
      <w:r>
        <w:rPr>
          <w:spacing w:val="-11"/>
        </w:rPr>
        <w:t xml:space="preserve"> </w:t>
      </w:r>
      <w:proofErr w:type="spellStart"/>
      <w:r>
        <w:t>Leongómez</w:t>
      </w:r>
      <w:proofErr w:type="spellEnd"/>
      <w:r>
        <w:t>,</w:t>
      </w:r>
      <w:r>
        <w:rPr>
          <w:spacing w:val="-9"/>
        </w:rPr>
        <w:t xml:space="preserve"> </w:t>
      </w:r>
      <w:r>
        <w:t>Eduardo.</w:t>
      </w:r>
      <w:r>
        <w:rPr>
          <w:spacing w:val="-9"/>
        </w:rPr>
        <w:t xml:space="preserve"> </w:t>
      </w:r>
      <w:r>
        <w:t>Una</w:t>
      </w:r>
      <w:r>
        <w:rPr>
          <w:spacing w:val="-11"/>
        </w:rPr>
        <w:t xml:space="preserve"> </w:t>
      </w:r>
      <w:r>
        <w:t>democracia</w:t>
      </w:r>
      <w:r>
        <w:rPr>
          <w:spacing w:val="-11"/>
        </w:rPr>
        <w:t xml:space="preserve"> </w:t>
      </w:r>
      <w:r>
        <w:t>asediada:</w:t>
      </w:r>
      <w:r>
        <w:rPr>
          <w:spacing w:val="-10"/>
        </w:rPr>
        <w:t xml:space="preserve"> </w:t>
      </w:r>
      <w:r>
        <w:t>balance</w:t>
      </w:r>
      <w:r>
        <w:rPr>
          <w:spacing w:val="-10"/>
        </w:rPr>
        <w:t xml:space="preserve"> </w:t>
      </w:r>
      <w:r>
        <w:t>y</w:t>
      </w:r>
      <w:r>
        <w:rPr>
          <w:spacing w:val="-9"/>
        </w:rPr>
        <w:t xml:space="preserve"> </w:t>
      </w:r>
      <w:r>
        <w:t>perspectivas</w:t>
      </w:r>
      <w:r>
        <w:rPr>
          <w:spacing w:val="-9"/>
        </w:rPr>
        <w:t xml:space="preserve"> </w:t>
      </w:r>
      <w:r>
        <w:t>del</w:t>
      </w:r>
      <w:r>
        <w:rPr>
          <w:spacing w:val="-10"/>
        </w:rPr>
        <w:t xml:space="preserve"> </w:t>
      </w:r>
      <w:r>
        <w:t>conflicto</w:t>
      </w:r>
      <w:r>
        <w:rPr>
          <w:spacing w:val="-9"/>
        </w:rPr>
        <w:t xml:space="preserve"> </w:t>
      </w:r>
      <w:r>
        <w:t>armado</w:t>
      </w:r>
      <w:r>
        <w:rPr>
          <w:spacing w:val="-9"/>
        </w:rPr>
        <w:t xml:space="preserve"> </w:t>
      </w:r>
      <w:r>
        <w:t>en Colombia. Bogotá: Grupo Editorial Norma, 2004.</w:t>
      </w:r>
    </w:p>
    <w:p w:rsidR="003804AC" w:rsidRDefault="00AF18A5" w:rsidP="0052717E">
      <w:r>
        <w:t>Presidencia</w:t>
      </w:r>
      <w:r>
        <w:rPr>
          <w:spacing w:val="-6"/>
        </w:rPr>
        <w:t xml:space="preserve"> </w:t>
      </w:r>
      <w:r>
        <w:t>de</w:t>
      </w:r>
      <w:r>
        <w:rPr>
          <w:spacing w:val="-5"/>
        </w:rPr>
        <w:t xml:space="preserve"> </w:t>
      </w:r>
      <w:r>
        <w:t>la</w:t>
      </w:r>
      <w:r>
        <w:rPr>
          <w:spacing w:val="-5"/>
        </w:rPr>
        <w:t xml:space="preserve"> </w:t>
      </w:r>
      <w:r>
        <w:t>República</w:t>
      </w:r>
      <w:r>
        <w:rPr>
          <w:spacing w:val="-5"/>
        </w:rPr>
        <w:t xml:space="preserve"> </w:t>
      </w:r>
      <w:r>
        <w:t>de</w:t>
      </w:r>
      <w:r>
        <w:rPr>
          <w:spacing w:val="-6"/>
        </w:rPr>
        <w:t xml:space="preserve"> </w:t>
      </w:r>
      <w:r>
        <w:t>Colombia.</w:t>
      </w:r>
      <w:r>
        <w:rPr>
          <w:spacing w:val="-5"/>
        </w:rPr>
        <w:t xml:space="preserve"> </w:t>
      </w:r>
      <w:r>
        <w:t>Decreto</w:t>
      </w:r>
      <w:r>
        <w:rPr>
          <w:spacing w:val="-5"/>
        </w:rPr>
        <w:t xml:space="preserve"> </w:t>
      </w:r>
      <w:r>
        <w:t>1381</w:t>
      </w:r>
      <w:r>
        <w:rPr>
          <w:spacing w:val="-5"/>
        </w:rPr>
        <w:t xml:space="preserve"> </w:t>
      </w:r>
      <w:r>
        <w:t>de</w:t>
      </w:r>
      <w:r>
        <w:rPr>
          <w:spacing w:val="-5"/>
        </w:rPr>
        <w:t xml:space="preserve"> </w:t>
      </w:r>
      <w:r>
        <w:t>1963.</w:t>
      </w:r>
      <w:r>
        <w:rPr>
          <w:spacing w:val="-5"/>
        </w:rPr>
        <w:t xml:space="preserve"> </w:t>
      </w:r>
      <w:r>
        <w:t>«Por</w:t>
      </w:r>
      <w:r>
        <w:rPr>
          <w:spacing w:val="-4"/>
        </w:rPr>
        <w:t xml:space="preserve"> </w:t>
      </w:r>
      <w:r>
        <w:t>el</w:t>
      </w:r>
      <w:r>
        <w:rPr>
          <w:spacing w:val="-6"/>
        </w:rPr>
        <w:t xml:space="preserve"> </w:t>
      </w:r>
      <w:r>
        <w:t>cual</w:t>
      </w:r>
      <w:r>
        <w:rPr>
          <w:spacing w:val="-4"/>
        </w:rPr>
        <w:t xml:space="preserve"> </w:t>
      </w:r>
      <w:r>
        <w:t>se</w:t>
      </w:r>
      <w:r>
        <w:rPr>
          <w:spacing w:val="-5"/>
        </w:rPr>
        <w:t xml:space="preserve"> </w:t>
      </w:r>
      <w:r>
        <w:t>crea</w:t>
      </w:r>
      <w:r>
        <w:rPr>
          <w:spacing w:val="-6"/>
        </w:rPr>
        <w:t xml:space="preserve"> </w:t>
      </w:r>
      <w:r>
        <w:t>el</w:t>
      </w:r>
      <w:r>
        <w:rPr>
          <w:spacing w:val="-4"/>
        </w:rPr>
        <w:t xml:space="preserve"> </w:t>
      </w:r>
      <w:r>
        <w:t>Comité</w:t>
      </w:r>
      <w:r>
        <w:rPr>
          <w:spacing w:val="-5"/>
        </w:rPr>
        <w:t xml:space="preserve"> </w:t>
      </w:r>
      <w:r>
        <w:t xml:space="preserve">Nacional </w:t>
      </w:r>
      <w:r>
        <w:rPr>
          <w:spacing w:val="-6"/>
        </w:rPr>
        <w:t>de</w:t>
      </w:r>
      <w:r>
        <w:tab/>
      </w:r>
      <w:r>
        <w:rPr>
          <w:spacing w:val="-2"/>
        </w:rPr>
        <w:t>Acción</w:t>
      </w:r>
      <w:r>
        <w:tab/>
      </w:r>
      <w:r>
        <w:rPr>
          <w:spacing w:val="-2"/>
        </w:rPr>
        <w:t>Cívico-Militar»,</w:t>
      </w:r>
      <w:r>
        <w:tab/>
      </w:r>
      <w:r>
        <w:rPr>
          <w:spacing w:val="-6"/>
        </w:rPr>
        <w:t>2,</w:t>
      </w:r>
      <w:r>
        <w:tab/>
      </w:r>
      <w:r>
        <w:rPr>
          <w:spacing w:val="-2"/>
        </w:rPr>
        <w:t>Recuperado</w:t>
      </w:r>
      <w:r>
        <w:tab/>
      </w:r>
      <w:r>
        <w:rPr>
          <w:spacing w:val="-4"/>
        </w:rPr>
        <w:t>de:</w:t>
      </w:r>
      <w:r>
        <w:tab/>
      </w:r>
      <w:hyperlink r:id="rId96">
        <w:r>
          <w:rPr>
            <w:spacing w:val="-2"/>
          </w:rPr>
          <w:t>https://www.suin-</w:t>
        </w:r>
      </w:hyperlink>
      <w:r>
        <w:rPr>
          <w:spacing w:val="-2"/>
        </w:rPr>
        <w:t xml:space="preserve"> </w:t>
      </w:r>
      <w:hyperlink r:id="rId97">
        <w:r>
          <w:rPr>
            <w:spacing w:val="-2"/>
          </w:rPr>
          <w:t>juriscol.gov.co/</w:t>
        </w:r>
        <w:proofErr w:type="spellStart"/>
        <w:r>
          <w:rPr>
            <w:spacing w:val="-2"/>
          </w:rPr>
          <w:t>clp</w:t>
        </w:r>
        <w:proofErr w:type="spellEnd"/>
        <w:r>
          <w:rPr>
            <w:spacing w:val="-2"/>
          </w:rPr>
          <w:t>/contenidos.dll/Decretos/1276621?fn=</w:t>
        </w:r>
        <w:proofErr w:type="spellStart"/>
        <w:r>
          <w:rPr>
            <w:spacing w:val="-2"/>
          </w:rPr>
          <w:t>document</w:t>
        </w:r>
        <w:proofErr w:type="spellEnd"/>
        <w:r>
          <w:rPr>
            <w:spacing w:val="-2"/>
          </w:rPr>
          <w:t>-</w:t>
        </w:r>
      </w:hyperlink>
      <w:r>
        <w:rPr>
          <w:spacing w:val="80"/>
        </w:rPr>
        <w:t xml:space="preserve">  </w:t>
      </w:r>
      <w:hyperlink r:id="rId98">
        <w:proofErr w:type="spellStart"/>
        <w:r>
          <w:rPr>
            <w:spacing w:val="-2"/>
          </w:rPr>
          <w:t>frame.htm$f</w:t>
        </w:r>
        <w:proofErr w:type="spellEnd"/>
        <w:r>
          <w:rPr>
            <w:spacing w:val="-2"/>
          </w:rPr>
          <w:t>=templates$3.0.</w:t>
        </w:r>
      </w:hyperlink>
    </w:p>
    <w:p w:rsidR="003804AC" w:rsidRDefault="00AF18A5" w:rsidP="0052717E">
      <w:r>
        <w:t>———.</w:t>
      </w:r>
      <w:r>
        <w:rPr>
          <w:spacing w:val="-1"/>
        </w:rPr>
        <w:t xml:space="preserve"> </w:t>
      </w:r>
      <w:r>
        <w:t>Decreto</w:t>
      </w:r>
      <w:r>
        <w:rPr>
          <w:spacing w:val="-1"/>
        </w:rPr>
        <w:t xml:space="preserve"> </w:t>
      </w:r>
      <w:r>
        <w:t>1717</w:t>
      </w:r>
      <w:r>
        <w:rPr>
          <w:spacing w:val="-1"/>
        </w:rPr>
        <w:t xml:space="preserve"> </w:t>
      </w:r>
      <w:r>
        <w:t>de</w:t>
      </w:r>
      <w:r>
        <w:rPr>
          <w:spacing w:val="-2"/>
        </w:rPr>
        <w:t xml:space="preserve"> </w:t>
      </w:r>
      <w:r>
        <w:t>1960.</w:t>
      </w:r>
      <w:r>
        <w:rPr>
          <w:spacing w:val="-1"/>
        </w:rPr>
        <w:t xml:space="preserve"> </w:t>
      </w:r>
      <w:r>
        <w:t>«Por el</w:t>
      </w:r>
      <w:r>
        <w:rPr>
          <w:spacing w:val="-1"/>
        </w:rPr>
        <w:t xml:space="preserve"> </w:t>
      </w:r>
      <w:r>
        <w:t>cual</w:t>
      </w:r>
      <w:r>
        <w:rPr>
          <w:spacing w:val="-1"/>
        </w:rPr>
        <w:t xml:space="preserve"> </w:t>
      </w:r>
      <w:r>
        <w:t>se</w:t>
      </w:r>
      <w:r>
        <w:rPr>
          <w:spacing w:val="-1"/>
        </w:rPr>
        <w:t xml:space="preserve"> </w:t>
      </w:r>
      <w:r>
        <w:t>organiza</w:t>
      </w:r>
      <w:r>
        <w:rPr>
          <w:spacing w:val="-1"/>
        </w:rPr>
        <w:t xml:space="preserve"> </w:t>
      </w:r>
      <w:r>
        <w:t>el</w:t>
      </w:r>
      <w:r>
        <w:rPr>
          <w:spacing w:val="-1"/>
        </w:rPr>
        <w:t xml:space="preserve"> </w:t>
      </w:r>
      <w:r>
        <w:t>Departamento</w:t>
      </w:r>
      <w:r>
        <w:rPr>
          <w:spacing w:val="-3"/>
        </w:rPr>
        <w:t xml:space="preserve"> </w:t>
      </w:r>
      <w:r>
        <w:t>Administrativo</w:t>
      </w:r>
      <w:r>
        <w:rPr>
          <w:spacing w:val="-1"/>
        </w:rPr>
        <w:t xml:space="preserve"> </w:t>
      </w:r>
      <w:r>
        <w:t>de</w:t>
      </w:r>
      <w:r>
        <w:rPr>
          <w:spacing w:val="-1"/>
        </w:rPr>
        <w:t xml:space="preserve"> </w:t>
      </w:r>
      <w:r>
        <w:t xml:space="preserve">Seguridad», </w:t>
      </w:r>
      <w:r>
        <w:rPr>
          <w:spacing w:val="-4"/>
        </w:rPr>
        <w:t>32,</w:t>
      </w:r>
      <w:r>
        <w:tab/>
      </w:r>
      <w:r>
        <w:rPr>
          <w:spacing w:val="-2"/>
        </w:rPr>
        <w:t>Recuperado</w:t>
      </w:r>
      <w:r>
        <w:tab/>
      </w:r>
      <w:r>
        <w:rPr>
          <w:spacing w:val="-4"/>
        </w:rPr>
        <w:t>de:</w:t>
      </w:r>
      <w:r>
        <w:tab/>
      </w:r>
      <w:hyperlink r:id="rId99">
        <w:r>
          <w:rPr>
            <w:spacing w:val="-2"/>
          </w:rPr>
          <w:t>https://www.suin-</w:t>
        </w:r>
      </w:hyperlink>
      <w:r>
        <w:rPr>
          <w:spacing w:val="-2"/>
        </w:rPr>
        <w:t xml:space="preserve"> </w:t>
      </w:r>
      <w:hyperlink r:id="rId100">
        <w:r>
          <w:rPr>
            <w:spacing w:val="-2"/>
          </w:rPr>
          <w:t>juriscol.gov.co/</w:t>
        </w:r>
        <w:proofErr w:type="spellStart"/>
        <w:r>
          <w:rPr>
            <w:spacing w:val="-2"/>
          </w:rPr>
          <w:t>clp</w:t>
        </w:r>
        <w:proofErr w:type="spellEnd"/>
        <w:r>
          <w:rPr>
            <w:spacing w:val="-2"/>
          </w:rPr>
          <w:t>/contenidos.dll/Decretos/1801084?fn=</w:t>
        </w:r>
        <w:proofErr w:type="spellStart"/>
        <w:r>
          <w:rPr>
            <w:spacing w:val="-2"/>
          </w:rPr>
          <w:t>document</w:t>
        </w:r>
        <w:proofErr w:type="spellEnd"/>
        <w:r>
          <w:rPr>
            <w:spacing w:val="-2"/>
          </w:rPr>
          <w:t>-</w:t>
        </w:r>
      </w:hyperlink>
      <w:r>
        <w:rPr>
          <w:spacing w:val="80"/>
        </w:rPr>
        <w:t xml:space="preserve">  </w:t>
      </w:r>
      <w:hyperlink r:id="rId101">
        <w:proofErr w:type="spellStart"/>
        <w:r>
          <w:rPr>
            <w:spacing w:val="-2"/>
          </w:rPr>
          <w:t>frame.htm$f</w:t>
        </w:r>
        <w:proofErr w:type="spellEnd"/>
        <w:r>
          <w:rPr>
            <w:spacing w:val="-2"/>
          </w:rPr>
          <w:t>=templates$3.0</w:t>
        </w:r>
      </w:hyperlink>
      <w:r>
        <w:rPr>
          <w:spacing w:val="-2"/>
        </w:rPr>
        <w:t>.</w:t>
      </w:r>
    </w:p>
    <w:p w:rsidR="003804AC" w:rsidRDefault="00AF18A5" w:rsidP="0052717E">
      <w:r>
        <w:t>———.</w:t>
      </w:r>
      <w:r>
        <w:rPr>
          <w:spacing w:val="68"/>
        </w:rPr>
        <w:t xml:space="preserve"> </w:t>
      </w:r>
      <w:r>
        <w:t>Decreto</w:t>
      </w:r>
      <w:r>
        <w:rPr>
          <w:spacing w:val="68"/>
        </w:rPr>
        <w:t xml:space="preserve"> </w:t>
      </w:r>
      <w:r>
        <w:t>2110</w:t>
      </w:r>
      <w:r>
        <w:rPr>
          <w:spacing w:val="68"/>
        </w:rPr>
        <w:t xml:space="preserve"> </w:t>
      </w:r>
      <w:r>
        <w:t>de</w:t>
      </w:r>
      <w:r>
        <w:rPr>
          <w:spacing w:val="69"/>
        </w:rPr>
        <w:t xml:space="preserve"> </w:t>
      </w:r>
      <w:r>
        <w:t>1992.</w:t>
      </w:r>
      <w:r>
        <w:rPr>
          <w:spacing w:val="68"/>
        </w:rPr>
        <w:t xml:space="preserve"> </w:t>
      </w:r>
      <w:r>
        <w:t>«Por</w:t>
      </w:r>
      <w:r>
        <w:rPr>
          <w:spacing w:val="69"/>
        </w:rPr>
        <w:t xml:space="preserve"> </w:t>
      </w:r>
      <w:r>
        <w:t>el</w:t>
      </w:r>
      <w:r>
        <w:rPr>
          <w:spacing w:val="69"/>
        </w:rPr>
        <w:t xml:space="preserve"> </w:t>
      </w:r>
      <w:r>
        <w:t>cual</w:t>
      </w:r>
      <w:r>
        <w:rPr>
          <w:spacing w:val="68"/>
        </w:rPr>
        <w:t xml:space="preserve"> </w:t>
      </w:r>
      <w:r>
        <w:t>se</w:t>
      </w:r>
      <w:r>
        <w:rPr>
          <w:spacing w:val="69"/>
        </w:rPr>
        <w:t xml:space="preserve"> </w:t>
      </w:r>
      <w:r>
        <w:t>reestructura</w:t>
      </w:r>
      <w:r>
        <w:rPr>
          <w:spacing w:val="69"/>
        </w:rPr>
        <w:t xml:space="preserve"> </w:t>
      </w:r>
      <w:r>
        <w:t>el</w:t>
      </w:r>
      <w:r>
        <w:rPr>
          <w:spacing w:val="69"/>
        </w:rPr>
        <w:t xml:space="preserve"> </w:t>
      </w:r>
      <w:r>
        <w:t>Departamento</w:t>
      </w:r>
      <w:r>
        <w:rPr>
          <w:spacing w:val="67"/>
        </w:rPr>
        <w:t xml:space="preserve"> </w:t>
      </w:r>
      <w:r>
        <w:t>Administrativo</w:t>
      </w:r>
      <w:r>
        <w:rPr>
          <w:spacing w:val="68"/>
        </w:rPr>
        <w:t xml:space="preserve"> </w:t>
      </w:r>
      <w:r>
        <w:t xml:space="preserve">de </w:t>
      </w:r>
      <w:r>
        <w:rPr>
          <w:spacing w:val="-2"/>
        </w:rPr>
        <w:t>Seguridad»,</w:t>
      </w:r>
      <w:r>
        <w:tab/>
      </w:r>
      <w:r>
        <w:rPr>
          <w:spacing w:val="-4"/>
        </w:rPr>
        <w:t>38,</w:t>
      </w:r>
      <w:r>
        <w:tab/>
      </w:r>
      <w:r>
        <w:rPr>
          <w:spacing w:val="-2"/>
        </w:rPr>
        <w:t>Recuperado</w:t>
      </w:r>
      <w:r>
        <w:tab/>
      </w:r>
      <w:r>
        <w:rPr>
          <w:spacing w:val="-4"/>
        </w:rPr>
        <w:t>de:</w:t>
      </w:r>
      <w:r>
        <w:tab/>
      </w:r>
      <w:hyperlink r:id="rId102">
        <w:r>
          <w:rPr>
            <w:spacing w:val="-2"/>
          </w:rPr>
          <w:t>https://www.suin-</w:t>
        </w:r>
      </w:hyperlink>
      <w:r>
        <w:rPr>
          <w:spacing w:val="-2"/>
        </w:rPr>
        <w:t xml:space="preserve"> </w:t>
      </w:r>
      <w:hyperlink r:id="rId103">
        <w:r>
          <w:rPr>
            <w:spacing w:val="-2"/>
          </w:rPr>
          <w:t>juriscol.gov.co/clp/contenidos.dll/Decretos/30019385?fn=document-</w:t>
        </w:r>
      </w:hyperlink>
      <w:r>
        <w:rPr>
          <w:spacing w:val="40"/>
        </w:rPr>
        <w:t xml:space="preserve"> </w:t>
      </w:r>
      <w:hyperlink r:id="rId104">
        <w:proofErr w:type="spellStart"/>
        <w:r>
          <w:rPr>
            <w:spacing w:val="-2"/>
          </w:rPr>
          <w:t>frame.htm$f</w:t>
        </w:r>
        <w:proofErr w:type="spellEnd"/>
        <w:r>
          <w:rPr>
            <w:spacing w:val="-2"/>
          </w:rPr>
          <w:t>=templates$3.0</w:t>
        </w:r>
      </w:hyperlink>
      <w:r>
        <w:rPr>
          <w:spacing w:val="-2"/>
        </w:rPr>
        <w:t>.</w:t>
      </w:r>
    </w:p>
    <w:p w:rsidR="003804AC" w:rsidRDefault="00AF18A5" w:rsidP="0052717E">
      <w:r>
        <w:t>———. Decreto 2134 de 1992. «Por el cual se fusionan el consejo nacional de seguridad, el consejo superior</w:t>
      </w:r>
      <w:r>
        <w:rPr>
          <w:spacing w:val="-6"/>
        </w:rPr>
        <w:t xml:space="preserve"> </w:t>
      </w:r>
      <w:r>
        <w:t>de</w:t>
      </w:r>
      <w:r>
        <w:rPr>
          <w:spacing w:val="-6"/>
        </w:rPr>
        <w:t xml:space="preserve"> </w:t>
      </w:r>
      <w:r>
        <w:t>la</w:t>
      </w:r>
      <w:r>
        <w:rPr>
          <w:spacing w:val="-6"/>
        </w:rPr>
        <w:t xml:space="preserve"> </w:t>
      </w:r>
      <w:r>
        <w:t>defensa</w:t>
      </w:r>
      <w:r>
        <w:rPr>
          <w:spacing w:val="-6"/>
        </w:rPr>
        <w:t xml:space="preserve"> </w:t>
      </w:r>
      <w:r>
        <w:t>nacional</w:t>
      </w:r>
      <w:r>
        <w:rPr>
          <w:spacing w:val="-6"/>
        </w:rPr>
        <w:t xml:space="preserve"> </w:t>
      </w:r>
      <w:r>
        <w:t>y</w:t>
      </w:r>
      <w:r>
        <w:rPr>
          <w:spacing w:val="-6"/>
        </w:rPr>
        <w:t xml:space="preserve"> </w:t>
      </w:r>
      <w:r>
        <w:t>la</w:t>
      </w:r>
      <w:r>
        <w:rPr>
          <w:spacing w:val="-6"/>
        </w:rPr>
        <w:t xml:space="preserve"> </w:t>
      </w:r>
      <w:r>
        <w:t>comisión</w:t>
      </w:r>
      <w:r>
        <w:rPr>
          <w:spacing w:val="-6"/>
        </w:rPr>
        <w:t xml:space="preserve"> </w:t>
      </w:r>
      <w:r>
        <w:t>creada</w:t>
      </w:r>
      <w:r>
        <w:rPr>
          <w:spacing w:val="-6"/>
        </w:rPr>
        <w:t xml:space="preserve"> </w:t>
      </w:r>
      <w:r>
        <w:t>por</w:t>
      </w:r>
      <w:r>
        <w:rPr>
          <w:spacing w:val="-6"/>
        </w:rPr>
        <w:t xml:space="preserve"> </w:t>
      </w:r>
      <w:r>
        <w:t>el</w:t>
      </w:r>
      <w:r>
        <w:rPr>
          <w:spacing w:val="-6"/>
        </w:rPr>
        <w:t xml:space="preserve"> </w:t>
      </w:r>
      <w:r>
        <w:t>decreto</w:t>
      </w:r>
      <w:r>
        <w:rPr>
          <w:spacing w:val="-6"/>
        </w:rPr>
        <w:t xml:space="preserve"> </w:t>
      </w:r>
      <w:r>
        <w:t>813</w:t>
      </w:r>
      <w:r>
        <w:rPr>
          <w:spacing w:val="-6"/>
        </w:rPr>
        <w:t xml:space="preserve"> </w:t>
      </w:r>
      <w:r>
        <w:t>de</w:t>
      </w:r>
      <w:r>
        <w:rPr>
          <w:spacing w:val="-7"/>
        </w:rPr>
        <w:t xml:space="preserve"> </w:t>
      </w:r>
      <w:r>
        <w:t>1989»,</w:t>
      </w:r>
      <w:r>
        <w:rPr>
          <w:spacing w:val="-6"/>
        </w:rPr>
        <w:t xml:space="preserve"> </w:t>
      </w:r>
      <w:r>
        <w:t>4,</w:t>
      </w:r>
      <w:r>
        <w:rPr>
          <w:spacing w:val="-5"/>
        </w:rPr>
        <w:t xml:space="preserve"> </w:t>
      </w:r>
      <w:r>
        <w:t xml:space="preserve">Recuperado de: </w:t>
      </w:r>
      <w:hyperlink r:id="rId105">
        <w:r>
          <w:t>https://www.suin-juriscol.gov.co/viewDocument.asp?id=1886024.</w:t>
        </w:r>
      </w:hyperlink>
    </w:p>
    <w:p w:rsidR="003804AC" w:rsidRDefault="00AF18A5" w:rsidP="0052717E">
      <w:r>
        <w:t>———.</w:t>
      </w:r>
      <w:r>
        <w:rPr>
          <w:spacing w:val="-1"/>
        </w:rPr>
        <w:t xml:space="preserve"> </w:t>
      </w:r>
      <w:r>
        <w:t>Decreto</w:t>
      </w:r>
      <w:r>
        <w:rPr>
          <w:spacing w:val="-2"/>
        </w:rPr>
        <w:t xml:space="preserve"> </w:t>
      </w:r>
      <w:r>
        <w:t>2254</w:t>
      </w:r>
      <w:r>
        <w:rPr>
          <w:spacing w:val="-1"/>
        </w:rPr>
        <w:t xml:space="preserve"> </w:t>
      </w:r>
      <w:r>
        <w:t>de</w:t>
      </w:r>
      <w:r>
        <w:rPr>
          <w:spacing w:val="-1"/>
        </w:rPr>
        <w:t xml:space="preserve"> </w:t>
      </w:r>
      <w:r>
        <w:t>1991.</w:t>
      </w:r>
      <w:r>
        <w:rPr>
          <w:spacing w:val="-1"/>
        </w:rPr>
        <w:t xml:space="preserve"> </w:t>
      </w:r>
      <w:r>
        <w:t>«Por</w:t>
      </w:r>
      <w:r>
        <w:rPr>
          <w:spacing w:val="-2"/>
        </w:rPr>
        <w:t xml:space="preserve"> </w:t>
      </w:r>
      <w:r>
        <w:t>el</w:t>
      </w:r>
      <w:r>
        <w:rPr>
          <w:spacing w:val="-2"/>
        </w:rPr>
        <w:t xml:space="preserve"> </w:t>
      </w:r>
      <w:r>
        <w:t>cual</w:t>
      </w:r>
      <w:r>
        <w:rPr>
          <w:spacing w:val="-2"/>
        </w:rPr>
        <w:t xml:space="preserve"> </w:t>
      </w:r>
      <w:r>
        <w:t>se</w:t>
      </w:r>
      <w:r>
        <w:rPr>
          <w:spacing w:val="-2"/>
        </w:rPr>
        <w:t xml:space="preserve"> </w:t>
      </w:r>
      <w:r>
        <w:t>adoptan</w:t>
      </w:r>
      <w:r>
        <w:rPr>
          <w:spacing w:val="-1"/>
        </w:rPr>
        <w:t xml:space="preserve"> </w:t>
      </w:r>
      <w:r>
        <w:t>como</w:t>
      </w:r>
      <w:r>
        <w:rPr>
          <w:spacing w:val="-1"/>
        </w:rPr>
        <w:t xml:space="preserve"> </w:t>
      </w:r>
      <w:r>
        <w:t>legislación</w:t>
      </w:r>
      <w:r>
        <w:rPr>
          <w:spacing w:val="-2"/>
        </w:rPr>
        <w:t xml:space="preserve"> </w:t>
      </w:r>
      <w:r>
        <w:lastRenderedPageBreak/>
        <w:t>permanente</w:t>
      </w:r>
      <w:r>
        <w:rPr>
          <w:spacing w:val="-2"/>
        </w:rPr>
        <w:t xml:space="preserve"> </w:t>
      </w:r>
      <w:r>
        <w:t>unas</w:t>
      </w:r>
      <w:r>
        <w:rPr>
          <w:spacing w:val="-1"/>
        </w:rPr>
        <w:t xml:space="preserve"> </w:t>
      </w:r>
      <w:r>
        <w:t xml:space="preserve">disposiciones expedidas en ejercicio de las facultades del Estado de Sitio», 4, Recuperado de: </w:t>
      </w:r>
      <w:hyperlink r:id="rId106">
        <w:r>
          <w:rPr>
            <w:spacing w:val="-2"/>
          </w:rPr>
          <w:t>https://www.suin-juriscol.gov.co/viewDocument.asp?ruta=Decretos/1426116.</w:t>
        </w:r>
      </w:hyperlink>
    </w:p>
    <w:p w:rsidR="003804AC" w:rsidRDefault="00AF18A5" w:rsidP="0052717E">
      <w:r>
        <w:t>———. Decreto 2615 de 1991. «Por el cual se reorganizan los Consejos Departamentales de Seguridad y</w:t>
      </w:r>
      <w:r>
        <w:rPr>
          <w:spacing w:val="-4"/>
        </w:rPr>
        <w:t xml:space="preserve"> </w:t>
      </w:r>
      <w:r>
        <w:t>el</w:t>
      </w:r>
      <w:r>
        <w:rPr>
          <w:spacing w:val="-3"/>
        </w:rPr>
        <w:t xml:space="preserve"> </w:t>
      </w:r>
      <w:r>
        <w:t>Consejo</w:t>
      </w:r>
      <w:r>
        <w:rPr>
          <w:spacing w:val="-5"/>
        </w:rPr>
        <w:t xml:space="preserve"> </w:t>
      </w:r>
      <w:r>
        <w:t>de</w:t>
      </w:r>
      <w:r>
        <w:rPr>
          <w:spacing w:val="-3"/>
        </w:rPr>
        <w:t xml:space="preserve"> </w:t>
      </w:r>
      <w:r>
        <w:t>Seguridad</w:t>
      </w:r>
      <w:r>
        <w:rPr>
          <w:spacing w:val="-4"/>
        </w:rPr>
        <w:t xml:space="preserve"> </w:t>
      </w:r>
      <w:r>
        <w:t>del</w:t>
      </w:r>
      <w:r>
        <w:rPr>
          <w:spacing w:val="-3"/>
        </w:rPr>
        <w:t xml:space="preserve"> </w:t>
      </w:r>
      <w:r>
        <w:t>Distrito</w:t>
      </w:r>
      <w:r>
        <w:rPr>
          <w:spacing w:val="-4"/>
        </w:rPr>
        <w:t xml:space="preserve"> </w:t>
      </w:r>
      <w:r>
        <w:t>Capital;</w:t>
      </w:r>
      <w:r>
        <w:rPr>
          <w:spacing w:val="-3"/>
        </w:rPr>
        <w:t xml:space="preserve"> </w:t>
      </w:r>
      <w:r>
        <w:t>se</w:t>
      </w:r>
      <w:r>
        <w:rPr>
          <w:spacing w:val="-5"/>
        </w:rPr>
        <w:t xml:space="preserve"> </w:t>
      </w:r>
      <w:r>
        <w:t>crean</w:t>
      </w:r>
      <w:r>
        <w:rPr>
          <w:spacing w:val="-4"/>
        </w:rPr>
        <w:t xml:space="preserve"> </w:t>
      </w:r>
      <w:r>
        <w:t>los</w:t>
      </w:r>
      <w:r>
        <w:rPr>
          <w:spacing w:val="-3"/>
        </w:rPr>
        <w:t xml:space="preserve"> </w:t>
      </w:r>
      <w:r>
        <w:t>Consejos</w:t>
      </w:r>
      <w:r>
        <w:rPr>
          <w:spacing w:val="-3"/>
        </w:rPr>
        <w:t xml:space="preserve"> </w:t>
      </w:r>
      <w:r>
        <w:t>Regionales</w:t>
      </w:r>
      <w:r>
        <w:rPr>
          <w:spacing w:val="-3"/>
        </w:rPr>
        <w:t xml:space="preserve"> </w:t>
      </w:r>
      <w:r>
        <w:t>de</w:t>
      </w:r>
      <w:r>
        <w:rPr>
          <w:spacing w:val="-3"/>
        </w:rPr>
        <w:t xml:space="preserve"> </w:t>
      </w:r>
      <w:r>
        <w:t>Seguridad</w:t>
      </w:r>
      <w:r>
        <w:rPr>
          <w:spacing w:val="-4"/>
        </w:rPr>
        <w:t xml:space="preserve"> </w:t>
      </w:r>
      <w:r>
        <w:t>y los</w:t>
      </w:r>
      <w:r>
        <w:rPr>
          <w:spacing w:val="-16"/>
        </w:rPr>
        <w:t xml:space="preserve"> </w:t>
      </w:r>
      <w:r>
        <w:t>Consejos</w:t>
      </w:r>
      <w:r>
        <w:rPr>
          <w:spacing w:val="-15"/>
        </w:rPr>
        <w:t xml:space="preserve"> </w:t>
      </w:r>
      <w:r>
        <w:t>Metropolitanos</w:t>
      </w:r>
      <w:r>
        <w:rPr>
          <w:spacing w:val="-13"/>
        </w:rPr>
        <w:t xml:space="preserve"> </w:t>
      </w:r>
      <w:r>
        <w:t>de</w:t>
      </w:r>
      <w:r>
        <w:rPr>
          <w:spacing w:val="-14"/>
        </w:rPr>
        <w:t xml:space="preserve"> </w:t>
      </w:r>
      <w:r>
        <w:t>Seguridad;</w:t>
      </w:r>
      <w:r>
        <w:rPr>
          <w:spacing w:val="-14"/>
        </w:rPr>
        <w:t xml:space="preserve"> </w:t>
      </w:r>
      <w:r>
        <w:t>se</w:t>
      </w:r>
      <w:r>
        <w:rPr>
          <w:spacing w:val="-15"/>
        </w:rPr>
        <w:t xml:space="preserve"> </w:t>
      </w:r>
      <w:r>
        <w:t>faculta</w:t>
      </w:r>
      <w:r>
        <w:rPr>
          <w:spacing w:val="-14"/>
        </w:rPr>
        <w:t xml:space="preserve"> </w:t>
      </w:r>
      <w:r>
        <w:t>a</w:t>
      </w:r>
      <w:r>
        <w:rPr>
          <w:spacing w:val="-15"/>
        </w:rPr>
        <w:t xml:space="preserve"> </w:t>
      </w:r>
      <w:r>
        <w:t>los</w:t>
      </w:r>
      <w:r>
        <w:rPr>
          <w:spacing w:val="-13"/>
        </w:rPr>
        <w:t xml:space="preserve"> </w:t>
      </w:r>
      <w:r>
        <w:t>Gobernadores</w:t>
      </w:r>
      <w:r>
        <w:rPr>
          <w:spacing w:val="-14"/>
        </w:rPr>
        <w:t xml:space="preserve"> </w:t>
      </w:r>
      <w:r>
        <w:t>para</w:t>
      </w:r>
      <w:r>
        <w:rPr>
          <w:spacing w:val="-13"/>
        </w:rPr>
        <w:t xml:space="preserve"> </w:t>
      </w:r>
      <w:r>
        <w:t>autorizar</w:t>
      </w:r>
      <w:r>
        <w:rPr>
          <w:spacing w:val="-15"/>
        </w:rPr>
        <w:t xml:space="preserve"> </w:t>
      </w:r>
      <w:r>
        <w:t>u</w:t>
      </w:r>
      <w:r>
        <w:rPr>
          <w:spacing w:val="-13"/>
        </w:rPr>
        <w:t xml:space="preserve"> </w:t>
      </w:r>
      <w:r>
        <w:rPr>
          <w:spacing w:val="-2"/>
        </w:rPr>
        <w:t>ordenar</w:t>
      </w:r>
    </w:p>
    <w:p w:rsidR="0011361F" w:rsidRDefault="00AF18A5" w:rsidP="0052717E">
      <w:r>
        <w:t xml:space="preserve">la conformación de Consejos Municipales de Seguridad y se crean los Comités de Orden </w:t>
      </w:r>
      <w:r>
        <w:rPr>
          <w:spacing w:val="-2"/>
        </w:rPr>
        <w:t>Público»,</w:t>
      </w:r>
      <w:r>
        <w:tab/>
      </w:r>
      <w:r>
        <w:rPr>
          <w:spacing w:val="-6"/>
        </w:rPr>
        <w:t>7,</w:t>
      </w:r>
      <w:r>
        <w:tab/>
      </w:r>
      <w:r>
        <w:rPr>
          <w:spacing w:val="-2"/>
        </w:rPr>
        <w:t>Recuperado</w:t>
      </w:r>
      <w:r>
        <w:tab/>
      </w:r>
      <w:r>
        <w:rPr>
          <w:spacing w:val="-4"/>
        </w:rPr>
        <w:t xml:space="preserve">de: </w:t>
      </w:r>
      <w:hyperlink r:id="rId107">
        <w:r>
          <w:rPr>
            <w:spacing w:val="-2"/>
          </w:rPr>
          <w:t>https://www.funcionpublica.gov.co/eva/gestornormativo/norma.php?i=3343#:~:text=Por</w:t>
        </w:r>
        <w:r>
          <w:rPr>
            <w:spacing w:val="41"/>
          </w:rPr>
          <w:t xml:space="preserve">  </w:t>
        </w:r>
        <w:r>
          <w:rPr>
            <w:spacing w:val="-2"/>
          </w:rPr>
          <w:t>%20el</w:t>
        </w:r>
      </w:hyperlink>
      <w:hyperlink r:id="rId108">
        <w:r>
          <w:t>%20cual</w:t>
        </w:r>
        <w:r>
          <w:rPr>
            <w:spacing w:val="-5"/>
          </w:rPr>
          <w:t xml:space="preserve"> </w:t>
        </w:r>
        <w:r>
          <w:t>%20se</w:t>
        </w:r>
        <w:r>
          <w:rPr>
            <w:spacing w:val="-1"/>
          </w:rPr>
          <w:t xml:space="preserve"> </w:t>
        </w:r>
        <w:r>
          <w:t>%20reorganizan,Municipales</w:t>
        </w:r>
        <w:r>
          <w:rPr>
            <w:spacing w:val="-2"/>
          </w:rPr>
          <w:t xml:space="preserve"> </w:t>
        </w:r>
        <w:r>
          <w:t>%20de</w:t>
        </w:r>
        <w:r>
          <w:rPr>
            <w:spacing w:val="-2"/>
          </w:rPr>
          <w:t xml:space="preserve"> </w:t>
        </w:r>
        <w:r>
          <w:t>%20Seguridad</w:t>
        </w:r>
        <w:r>
          <w:rPr>
            <w:spacing w:val="-3"/>
          </w:rPr>
          <w:t xml:space="preserve"> </w:t>
        </w:r>
        <w:r>
          <w:t>%20y</w:t>
        </w:r>
        <w:r>
          <w:rPr>
            <w:spacing w:val="-1"/>
          </w:rPr>
          <w:t xml:space="preserve"> </w:t>
        </w:r>
        <w:r>
          <w:rPr>
            <w:spacing w:val="-2"/>
          </w:rPr>
          <w:t>%20se</w:t>
        </w:r>
      </w:hyperlink>
      <w:r>
        <w:rPr>
          <w:spacing w:val="-2"/>
        </w:rPr>
        <w:t>.</w:t>
      </w:r>
    </w:p>
    <w:p w:rsidR="003804AC" w:rsidRDefault="00AF18A5" w:rsidP="0052717E">
      <w:r>
        <w:t>———.</w:t>
      </w:r>
      <w:r>
        <w:rPr>
          <w:spacing w:val="-14"/>
        </w:rPr>
        <w:t xml:space="preserve"> </w:t>
      </w:r>
      <w:r>
        <w:t>Decreto</w:t>
      </w:r>
      <w:r>
        <w:rPr>
          <w:spacing w:val="-15"/>
        </w:rPr>
        <w:t xml:space="preserve"> </w:t>
      </w:r>
      <w:r>
        <w:t>2872</w:t>
      </w:r>
      <w:r>
        <w:rPr>
          <w:spacing w:val="-14"/>
        </w:rPr>
        <w:t xml:space="preserve"> </w:t>
      </w:r>
      <w:r>
        <w:t>de</w:t>
      </w:r>
      <w:r>
        <w:rPr>
          <w:spacing w:val="-15"/>
        </w:rPr>
        <w:t xml:space="preserve"> </w:t>
      </w:r>
      <w:r>
        <w:t>1953.</w:t>
      </w:r>
      <w:r>
        <w:rPr>
          <w:spacing w:val="-14"/>
        </w:rPr>
        <w:t xml:space="preserve"> </w:t>
      </w:r>
      <w:r>
        <w:t>«Por</w:t>
      </w:r>
      <w:r>
        <w:rPr>
          <w:spacing w:val="-14"/>
        </w:rPr>
        <w:t xml:space="preserve"> </w:t>
      </w:r>
      <w:r>
        <w:t>el</w:t>
      </w:r>
      <w:r>
        <w:rPr>
          <w:spacing w:val="-14"/>
        </w:rPr>
        <w:t xml:space="preserve"> </w:t>
      </w:r>
      <w:r>
        <w:t>cual</w:t>
      </w:r>
      <w:r>
        <w:rPr>
          <w:spacing w:val="-14"/>
        </w:rPr>
        <w:t xml:space="preserve"> </w:t>
      </w:r>
      <w:r>
        <w:t>se</w:t>
      </w:r>
      <w:r>
        <w:rPr>
          <w:spacing w:val="-14"/>
        </w:rPr>
        <w:t xml:space="preserve"> </w:t>
      </w:r>
      <w:r>
        <w:t>crea</w:t>
      </w:r>
      <w:r>
        <w:rPr>
          <w:spacing w:val="-15"/>
        </w:rPr>
        <w:t xml:space="preserve"> </w:t>
      </w:r>
      <w:r>
        <w:t>el</w:t>
      </w:r>
      <w:r>
        <w:rPr>
          <w:spacing w:val="-15"/>
        </w:rPr>
        <w:t xml:space="preserve"> </w:t>
      </w:r>
      <w:r>
        <w:t>Departamento</w:t>
      </w:r>
      <w:r>
        <w:rPr>
          <w:spacing w:val="-14"/>
        </w:rPr>
        <w:t xml:space="preserve"> </w:t>
      </w:r>
      <w:r>
        <w:t>Administrativo</w:t>
      </w:r>
      <w:r>
        <w:rPr>
          <w:spacing w:val="-15"/>
        </w:rPr>
        <w:t xml:space="preserve"> </w:t>
      </w:r>
      <w:r>
        <w:t>denominado</w:t>
      </w:r>
      <w:r>
        <w:rPr>
          <w:spacing w:val="-15"/>
        </w:rPr>
        <w:t xml:space="preserve"> </w:t>
      </w:r>
      <w:r>
        <w:t xml:space="preserve">Servicio de Inteligencia Colombiano (S. L. C)», 7, Recuperado de: </w:t>
      </w:r>
      <w:hyperlink r:id="rId109">
        <w:r>
          <w:t>https://www.suin-</w:t>
        </w:r>
      </w:hyperlink>
      <w:r>
        <w:t xml:space="preserve"> </w:t>
      </w:r>
      <w:hyperlink r:id="rId110">
        <w:r>
          <w:rPr>
            <w:spacing w:val="-2"/>
          </w:rPr>
          <w:t>juriscol.gov.co/</w:t>
        </w:r>
        <w:proofErr w:type="spellStart"/>
        <w:r>
          <w:rPr>
            <w:spacing w:val="-2"/>
          </w:rPr>
          <w:t>viewDocument.asp?id</w:t>
        </w:r>
        <w:proofErr w:type="spellEnd"/>
        <w:r>
          <w:rPr>
            <w:spacing w:val="-2"/>
          </w:rPr>
          <w:t>=1778201</w:t>
        </w:r>
      </w:hyperlink>
      <w:r>
        <w:rPr>
          <w:spacing w:val="-2"/>
        </w:rPr>
        <w:t>.</w:t>
      </w:r>
    </w:p>
    <w:p w:rsidR="003804AC" w:rsidRDefault="00AF18A5" w:rsidP="0052717E">
      <w:r>
        <w:t xml:space="preserve">———. Decreto 2974 de 1997. «Por el cual se reglamentan los Servicios Especiales y los Servicios Comunitarios de Vigilancia y Seguridad Privada», 11, Recuperado de: </w:t>
      </w:r>
      <w:hyperlink r:id="rId111">
        <w:r>
          <w:rPr>
            <w:spacing w:val="-2"/>
          </w:rPr>
          <w:t>https://www.funcionpublica.gov.co/eva/gestornormativo/norma.php?i=6051.</w:t>
        </w:r>
      </w:hyperlink>
    </w:p>
    <w:p w:rsidR="003804AC" w:rsidRDefault="00AF18A5" w:rsidP="0052717E">
      <w:r>
        <w:t xml:space="preserve">———. Decreto 3398 de 1965. «Por el cual se organiza la defensa nacional», 13, Recuperado de: </w:t>
      </w:r>
      <w:hyperlink r:id="rId112">
        <w:r>
          <w:rPr>
            <w:spacing w:val="-2"/>
          </w:rPr>
          <w:t>https://www.funcionpublica.gov.co/eva/gestornormativo/norma.php?i=66354.</w:t>
        </w:r>
      </w:hyperlink>
    </w:p>
    <w:p w:rsidR="003804AC" w:rsidRDefault="00AF18A5" w:rsidP="0052717E">
      <w:r>
        <w:lastRenderedPageBreak/>
        <w:t>———.</w:t>
      </w:r>
      <w:r>
        <w:rPr>
          <w:spacing w:val="-1"/>
        </w:rPr>
        <w:t xml:space="preserve"> </w:t>
      </w:r>
      <w:r>
        <w:t>Decreto</w:t>
      </w:r>
      <w:r>
        <w:rPr>
          <w:spacing w:val="-1"/>
        </w:rPr>
        <w:t xml:space="preserve"> </w:t>
      </w:r>
      <w:r>
        <w:t>356</w:t>
      </w:r>
      <w:r>
        <w:rPr>
          <w:spacing w:val="-1"/>
        </w:rPr>
        <w:t xml:space="preserve"> </w:t>
      </w:r>
      <w:r>
        <w:t>de</w:t>
      </w:r>
      <w:r>
        <w:rPr>
          <w:spacing w:val="-2"/>
        </w:rPr>
        <w:t xml:space="preserve"> </w:t>
      </w:r>
      <w:r>
        <w:t>1994.</w:t>
      </w:r>
      <w:r>
        <w:rPr>
          <w:spacing w:val="-1"/>
        </w:rPr>
        <w:t xml:space="preserve"> </w:t>
      </w:r>
      <w:r>
        <w:t>«Por</w:t>
      </w:r>
      <w:r>
        <w:rPr>
          <w:spacing w:val="-1"/>
        </w:rPr>
        <w:t xml:space="preserve"> </w:t>
      </w:r>
      <w:r>
        <w:t>el</w:t>
      </w:r>
      <w:r>
        <w:rPr>
          <w:spacing w:val="-1"/>
        </w:rPr>
        <w:t xml:space="preserve"> </w:t>
      </w:r>
      <w:r>
        <w:t>cual</w:t>
      </w:r>
      <w:r>
        <w:rPr>
          <w:spacing w:val="-1"/>
        </w:rPr>
        <w:t xml:space="preserve"> </w:t>
      </w:r>
      <w:r>
        <w:t>se</w:t>
      </w:r>
      <w:r>
        <w:rPr>
          <w:spacing w:val="-1"/>
        </w:rPr>
        <w:t xml:space="preserve"> </w:t>
      </w:r>
      <w:r>
        <w:t>expide</w:t>
      </w:r>
      <w:r>
        <w:rPr>
          <w:spacing w:val="-1"/>
        </w:rPr>
        <w:t xml:space="preserve"> </w:t>
      </w:r>
      <w:r>
        <w:t>el</w:t>
      </w:r>
      <w:r>
        <w:rPr>
          <w:spacing w:val="-1"/>
        </w:rPr>
        <w:t xml:space="preserve"> </w:t>
      </w:r>
      <w:r>
        <w:t>Estatuto</w:t>
      </w:r>
      <w:r>
        <w:rPr>
          <w:spacing w:val="-1"/>
        </w:rPr>
        <w:t xml:space="preserve"> </w:t>
      </w:r>
      <w:r>
        <w:t>de</w:t>
      </w:r>
      <w:r>
        <w:rPr>
          <w:spacing w:val="-1"/>
        </w:rPr>
        <w:t xml:space="preserve"> </w:t>
      </w:r>
      <w:r>
        <w:t>Vigilancia</w:t>
      </w:r>
      <w:r>
        <w:rPr>
          <w:spacing w:val="-1"/>
        </w:rPr>
        <w:t xml:space="preserve"> </w:t>
      </w:r>
      <w:r>
        <w:t>y</w:t>
      </w:r>
      <w:r>
        <w:rPr>
          <w:spacing w:val="-1"/>
        </w:rPr>
        <w:t xml:space="preserve"> </w:t>
      </w:r>
      <w:r>
        <w:t>Seguridad</w:t>
      </w:r>
      <w:r>
        <w:rPr>
          <w:spacing w:val="-1"/>
        </w:rPr>
        <w:t xml:space="preserve"> </w:t>
      </w:r>
      <w:r>
        <w:t>Privada»,</w:t>
      </w:r>
      <w:r>
        <w:rPr>
          <w:spacing w:val="-1"/>
        </w:rPr>
        <w:t xml:space="preserve"> </w:t>
      </w:r>
      <w:r>
        <w:t xml:space="preserve">26, Recuperado de: </w:t>
      </w:r>
      <w:hyperlink r:id="rId113">
        <w:r>
          <w:t>https://www.funcionpublica.gov.co/eva/gestornormativo/norma.php?i=1341</w:t>
        </w:r>
      </w:hyperlink>
      <w:r>
        <w:t>.</w:t>
      </w:r>
    </w:p>
    <w:p w:rsidR="003804AC" w:rsidRDefault="00AF18A5" w:rsidP="0052717E">
      <w:r>
        <w:t>———.</w:t>
      </w:r>
      <w:r>
        <w:rPr>
          <w:spacing w:val="-2"/>
        </w:rPr>
        <w:t xml:space="preserve"> </w:t>
      </w:r>
      <w:r>
        <w:t>Decreto</w:t>
      </w:r>
      <w:r>
        <w:rPr>
          <w:spacing w:val="-2"/>
        </w:rPr>
        <w:t xml:space="preserve"> </w:t>
      </w:r>
      <w:r>
        <w:t>813</w:t>
      </w:r>
      <w:r>
        <w:rPr>
          <w:spacing w:val="-2"/>
        </w:rPr>
        <w:t xml:space="preserve"> </w:t>
      </w:r>
      <w:r>
        <w:t>de</w:t>
      </w:r>
      <w:r>
        <w:rPr>
          <w:spacing w:val="-2"/>
        </w:rPr>
        <w:t xml:space="preserve"> </w:t>
      </w:r>
      <w:r>
        <w:t>1989.</w:t>
      </w:r>
      <w:r>
        <w:rPr>
          <w:spacing w:val="-2"/>
        </w:rPr>
        <w:t xml:space="preserve"> </w:t>
      </w:r>
      <w:r>
        <w:t>«Por</w:t>
      </w:r>
      <w:r>
        <w:rPr>
          <w:spacing w:val="-2"/>
        </w:rPr>
        <w:t xml:space="preserve"> </w:t>
      </w:r>
      <w:r>
        <w:t>el</w:t>
      </w:r>
      <w:r>
        <w:rPr>
          <w:spacing w:val="-2"/>
        </w:rPr>
        <w:t xml:space="preserve"> </w:t>
      </w:r>
      <w:r>
        <w:t>cual</w:t>
      </w:r>
      <w:r>
        <w:rPr>
          <w:spacing w:val="-2"/>
        </w:rPr>
        <w:t xml:space="preserve"> </w:t>
      </w:r>
      <w:r>
        <w:t>se</w:t>
      </w:r>
      <w:r>
        <w:rPr>
          <w:spacing w:val="-2"/>
        </w:rPr>
        <w:t xml:space="preserve"> </w:t>
      </w:r>
      <w:r>
        <w:t>dictan</w:t>
      </w:r>
      <w:r>
        <w:rPr>
          <w:spacing w:val="-2"/>
        </w:rPr>
        <w:t xml:space="preserve"> </w:t>
      </w:r>
      <w:r>
        <w:t>disposiciones</w:t>
      </w:r>
      <w:r>
        <w:rPr>
          <w:spacing w:val="-2"/>
        </w:rPr>
        <w:t xml:space="preserve"> </w:t>
      </w:r>
      <w:r>
        <w:t>tendientes</w:t>
      </w:r>
      <w:r>
        <w:rPr>
          <w:spacing w:val="-2"/>
        </w:rPr>
        <w:t xml:space="preserve"> </w:t>
      </w:r>
      <w:r>
        <w:t>a</w:t>
      </w:r>
      <w:r>
        <w:rPr>
          <w:spacing w:val="-2"/>
        </w:rPr>
        <w:t xml:space="preserve"> </w:t>
      </w:r>
      <w:r>
        <w:t>combatir</w:t>
      </w:r>
      <w:r>
        <w:rPr>
          <w:spacing w:val="-2"/>
        </w:rPr>
        <w:t xml:space="preserve"> </w:t>
      </w:r>
      <w:r>
        <w:t>los</w:t>
      </w:r>
      <w:r>
        <w:rPr>
          <w:spacing w:val="-2"/>
        </w:rPr>
        <w:t xml:space="preserve"> </w:t>
      </w:r>
      <w:r>
        <w:t>escuadrones de</w:t>
      </w:r>
      <w:r>
        <w:rPr>
          <w:spacing w:val="-4"/>
        </w:rPr>
        <w:t xml:space="preserve"> </w:t>
      </w:r>
      <w:r>
        <w:t>la</w:t>
      </w:r>
      <w:r>
        <w:rPr>
          <w:spacing w:val="-6"/>
        </w:rPr>
        <w:t xml:space="preserve"> </w:t>
      </w:r>
      <w:r>
        <w:t>muerte,</w:t>
      </w:r>
      <w:r>
        <w:rPr>
          <w:spacing w:val="-5"/>
        </w:rPr>
        <w:t xml:space="preserve"> </w:t>
      </w:r>
      <w:r>
        <w:t>bandas</w:t>
      </w:r>
      <w:r>
        <w:rPr>
          <w:spacing w:val="-4"/>
        </w:rPr>
        <w:t xml:space="preserve"> </w:t>
      </w:r>
      <w:r>
        <w:t>de</w:t>
      </w:r>
      <w:r>
        <w:rPr>
          <w:spacing w:val="-4"/>
        </w:rPr>
        <w:t xml:space="preserve"> </w:t>
      </w:r>
      <w:r>
        <w:t>sicarios</w:t>
      </w:r>
      <w:r>
        <w:rPr>
          <w:spacing w:val="-4"/>
        </w:rPr>
        <w:t xml:space="preserve"> </w:t>
      </w:r>
      <w:r>
        <w:t>o</w:t>
      </w:r>
      <w:r>
        <w:rPr>
          <w:spacing w:val="-6"/>
        </w:rPr>
        <w:t xml:space="preserve"> </w:t>
      </w:r>
      <w:r>
        <w:t>grupos</w:t>
      </w:r>
      <w:r>
        <w:rPr>
          <w:spacing w:val="-4"/>
        </w:rPr>
        <w:t xml:space="preserve"> </w:t>
      </w:r>
      <w:r>
        <w:t>de</w:t>
      </w:r>
      <w:r>
        <w:rPr>
          <w:spacing w:val="-4"/>
        </w:rPr>
        <w:t xml:space="preserve"> </w:t>
      </w:r>
      <w:r>
        <w:t>autodefensa</w:t>
      </w:r>
      <w:r>
        <w:rPr>
          <w:spacing w:val="-6"/>
        </w:rPr>
        <w:t xml:space="preserve"> </w:t>
      </w:r>
      <w:r>
        <w:t>o</w:t>
      </w:r>
      <w:r>
        <w:rPr>
          <w:spacing w:val="-5"/>
        </w:rPr>
        <w:t xml:space="preserve"> </w:t>
      </w:r>
      <w:r>
        <w:t>de</w:t>
      </w:r>
      <w:r>
        <w:rPr>
          <w:spacing w:val="-6"/>
        </w:rPr>
        <w:t xml:space="preserve"> </w:t>
      </w:r>
      <w:r>
        <w:t>justicia</w:t>
      </w:r>
      <w:r>
        <w:rPr>
          <w:spacing w:val="-4"/>
        </w:rPr>
        <w:t xml:space="preserve"> </w:t>
      </w:r>
      <w:r>
        <w:t>privada,</w:t>
      </w:r>
      <w:r>
        <w:rPr>
          <w:spacing w:val="-5"/>
        </w:rPr>
        <w:t xml:space="preserve"> </w:t>
      </w:r>
      <w:r>
        <w:t>equivocadamente denominados</w:t>
      </w:r>
      <w:r>
        <w:rPr>
          <w:spacing w:val="-14"/>
        </w:rPr>
        <w:t xml:space="preserve"> </w:t>
      </w:r>
      <w:r>
        <w:t>paramilitares</w:t>
      </w:r>
      <w:r>
        <w:rPr>
          <w:spacing w:val="-14"/>
        </w:rPr>
        <w:t xml:space="preserve"> </w:t>
      </w:r>
      <w:r>
        <w:t>y</w:t>
      </w:r>
      <w:r>
        <w:rPr>
          <w:spacing w:val="-14"/>
        </w:rPr>
        <w:t xml:space="preserve"> </w:t>
      </w:r>
      <w:r>
        <w:t>se</w:t>
      </w:r>
      <w:r>
        <w:rPr>
          <w:spacing w:val="-14"/>
        </w:rPr>
        <w:t xml:space="preserve"> </w:t>
      </w:r>
      <w:r>
        <w:t>crea</w:t>
      </w:r>
      <w:r>
        <w:rPr>
          <w:spacing w:val="-14"/>
        </w:rPr>
        <w:t xml:space="preserve"> </w:t>
      </w:r>
      <w:r>
        <w:t>una</w:t>
      </w:r>
      <w:r>
        <w:rPr>
          <w:spacing w:val="-14"/>
        </w:rPr>
        <w:t xml:space="preserve"> </w:t>
      </w:r>
      <w:r>
        <w:t>Comisión</w:t>
      </w:r>
      <w:r>
        <w:rPr>
          <w:spacing w:val="-14"/>
        </w:rPr>
        <w:t xml:space="preserve"> </w:t>
      </w:r>
      <w:r>
        <w:t>Coordinadora</w:t>
      </w:r>
      <w:r>
        <w:rPr>
          <w:spacing w:val="-14"/>
        </w:rPr>
        <w:t xml:space="preserve"> </w:t>
      </w:r>
      <w:r>
        <w:t>y</w:t>
      </w:r>
      <w:r>
        <w:rPr>
          <w:spacing w:val="-14"/>
        </w:rPr>
        <w:t xml:space="preserve"> </w:t>
      </w:r>
      <w:r>
        <w:t>Asesora</w:t>
      </w:r>
      <w:r>
        <w:rPr>
          <w:spacing w:val="-14"/>
        </w:rPr>
        <w:t xml:space="preserve"> </w:t>
      </w:r>
      <w:r>
        <w:t>para</w:t>
      </w:r>
      <w:r>
        <w:rPr>
          <w:spacing w:val="-14"/>
        </w:rPr>
        <w:t xml:space="preserve"> </w:t>
      </w:r>
      <w:r>
        <w:t>este</w:t>
      </w:r>
      <w:r>
        <w:rPr>
          <w:spacing w:val="-14"/>
        </w:rPr>
        <w:t xml:space="preserve"> </w:t>
      </w:r>
      <w:r>
        <w:t xml:space="preserve">propósito», </w:t>
      </w:r>
      <w:r>
        <w:rPr>
          <w:spacing w:val="-6"/>
        </w:rPr>
        <w:t>5,</w:t>
      </w:r>
      <w:r>
        <w:tab/>
      </w:r>
      <w:r>
        <w:rPr>
          <w:spacing w:val="-2"/>
        </w:rPr>
        <w:t>Recuperado</w:t>
      </w:r>
      <w:r>
        <w:tab/>
      </w:r>
      <w:r>
        <w:rPr>
          <w:spacing w:val="-4"/>
        </w:rPr>
        <w:t>de:</w:t>
      </w:r>
      <w:r>
        <w:tab/>
      </w:r>
      <w:hyperlink r:id="rId114">
        <w:r>
          <w:rPr>
            <w:spacing w:val="-2"/>
          </w:rPr>
          <w:t>https://www.suin-</w:t>
        </w:r>
      </w:hyperlink>
      <w:r>
        <w:rPr>
          <w:spacing w:val="-2"/>
        </w:rPr>
        <w:t xml:space="preserve"> </w:t>
      </w:r>
      <w:hyperlink r:id="rId115">
        <w:r>
          <w:rPr>
            <w:spacing w:val="-2"/>
          </w:rPr>
          <w:t>juriscol.gov.co/</w:t>
        </w:r>
        <w:proofErr w:type="spellStart"/>
        <w:r>
          <w:rPr>
            <w:spacing w:val="-2"/>
          </w:rPr>
          <w:t>viewDocument.asp?ruta</w:t>
        </w:r>
        <w:proofErr w:type="spellEnd"/>
        <w:r>
          <w:rPr>
            <w:spacing w:val="-2"/>
          </w:rPr>
          <w:t>=Decretos/1171063</w:t>
        </w:r>
      </w:hyperlink>
      <w:r>
        <w:rPr>
          <w:spacing w:val="-2"/>
        </w:rPr>
        <w:t>.</w:t>
      </w:r>
    </w:p>
    <w:p w:rsidR="003804AC" w:rsidRDefault="00AF18A5" w:rsidP="0052717E">
      <w:r>
        <w:t xml:space="preserve">———. Decreto 815 de 1989. «Por el cual se suspenden algunas normas incompatibles con el estado de sitio», 4, Recuperado de: </w:t>
      </w:r>
      <w:hyperlink r:id="rId116">
        <w:r>
          <w:t>https://www.suin-juriscol.gov.co/viewDocument.asp?id=1171406</w:t>
        </w:r>
      </w:hyperlink>
      <w:r>
        <w:t>.</w:t>
      </w:r>
    </w:p>
    <w:p w:rsidR="003804AC" w:rsidRDefault="00AF18A5" w:rsidP="0052717E">
      <w:r>
        <w:t xml:space="preserve">Procuraduría Delegada para el Ministerio Público en Asuntos penales. «Foro 10 años de la Ley de Víctimas ¿Qué nos hace falta?». 25 de febrero de 2022. YouTube. </w:t>
      </w:r>
      <w:hyperlink r:id="rId117">
        <w:r>
          <w:rPr>
            <w:spacing w:val="-2"/>
          </w:rPr>
          <w:t>https://www.youtube.com/watch?v=Nrz7HUCK5NY</w:t>
        </w:r>
      </w:hyperlink>
    </w:p>
    <w:p w:rsidR="003804AC" w:rsidRDefault="00AF18A5" w:rsidP="0052717E">
      <w:r>
        <w:t>Procuraduría General de la Nación. «Informe de la Procuraduría General de la Nación sobre el «MAS»: lista</w:t>
      </w:r>
      <w:r w:rsidR="004C771B">
        <w:t xml:space="preserve"> </w:t>
      </w:r>
      <w:r>
        <w:t>de</w:t>
      </w:r>
      <w:r w:rsidR="004C771B">
        <w:t xml:space="preserve"> </w:t>
      </w:r>
      <w:r>
        <w:t>integrantes</w:t>
      </w:r>
      <w:r w:rsidR="004C771B">
        <w:t xml:space="preserve"> </w:t>
      </w:r>
      <w:r>
        <w:t>y</w:t>
      </w:r>
      <w:r w:rsidR="004C771B">
        <w:t xml:space="preserve"> </w:t>
      </w:r>
      <w:r>
        <w:t>la</w:t>
      </w:r>
      <w:r w:rsidR="004C771B">
        <w:t xml:space="preserve"> </w:t>
      </w:r>
      <w:r>
        <w:rPr>
          <w:spacing w:val="-2"/>
        </w:rPr>
        <w:t>conexión</w:t>
      </w:r>
      <w:r w:rsidR="004C771B">
        <w:rPr>
          <w:spacing w:val="-2"/>
        </w:rPr>
        <w:t xml:space="preserve"> </w:t>
      </w:r>
      <w:r>
        <w:t>MAS-militares».</w:t>
      </w:r>
      <w:r w:rsidR="004C771B">
        <w:t xml:space="preserve"> </w:t>
      </w:r>
      <w:r>
        <w:rPr>
          <w:spacing w:val="-4"/>
        </w:rPr>
        <w:t>1983.</w:t>
      </w:r>
    </w:p>
    <w:p w:rsidR="003804AC" w:rsidRDefault="00B93F6A" w:rsidP="0052717E">
      <w:hyperlink r:id="rId118">
        <w:r w:rsidR="00AF18A5">
          <w:rPr>
            <w:spacing w:val="-2"/>
          </w:rPr>
          <w:t>http://www.ideaspaz.org/tools/download/48979</w:t>
        </w:r>
      </w:hyperlink>
      <w:r w:rsidR="00AF18A5">
        <w:rPr>
          <w:spacing w:val="-2"/>
        </w:rPr>
        <w:t>.</w:t>
      </w:r>
    </w:p>
    <w:p w:rsidR="003804AC" w:rsidRDefault="00AF18A5" w:rsidP="0052717E">
      <w:r>
        <w:t xml:space="preserve">Revelo, Javier Eduardo, Mauricio García Villegas, Luis Jorge Garay, Rodrigo Uprimny, Corporación Nuevo </w:t>
      </w:r>
      <w:proofErr w:type="spellStart"/>
      <w:r>
        <w:t>Arcoiris</w:t>
      </w:r>
      <w:proofErr w:type="spellEnd"/>
      <w:r>
        <w:t>, Misión de Observación Electoral (MOE), Congreso Visible, Grupo Método, y Centro</w:t>
      </w:r>
      <w:r>
        <w:rPr>
          <w:spacing w:val="-15"/>
        </w:rPr>
        <w:t xml:space="preserve"> </w:t>
      </w:r>
      <w:r>
        <w:t>de</w:t>
      </w:r>
      <w:r>
        <w:rPr>
          <w:spacing w:val="-15"/>
        </w:rPr>
        <w:t xml:space="preserve"> </w:t>
      </w:r>
      <w:r>
        <w:t>Estudios</w:t>
      </w:r>
      <w:r>
        <w:rPr>
          <w:spacing w:val="-15"/>
        </w:rPr>
        <w:t xml:space="preserve"> </w:t>
      </w:r>
      <w:r>
        <w:t>de</w:t>
      </w:r>
      <w:r>
        <w:rPr>
          <w:spacing w:val="-15"/>
        </w:rPr>
        <w:t xml:space="preserve"> </w:t>
      </w:r>
      <w:r>
        <w:t>Derecho,</w:t>
      </w:r>
      <w:r>
        <w:rPr>
          <w:spacing w:val="-15"/>
        </w:rPr>
        <w:t xml:space="preserve"> </w:t>
      </w:r>
      <w:r>
        <w:t>Justicia</w:t>
      </w:r>
      <w:r>
        <w:rPr>
          <w:spacing w:val="-15"/>
        </w:rPr>
        <w:t xml:space="preserve"> </w:t>
      </w:r>
      <w:r>
        <w:t>y</w:t>
      </w:r>
      <w:r>
        <w:rPr>
          <w:spacing w:val="-15"/>
        </w:rPr>
        <w:t xml:space="preserve"> </w:t>
      </w:r>
      <w:r>
        <w:t>Sociedad</w:t>
      </w:r>
      <w:r>
        <w:rPr>
          <w:spacing w:val="-15"/>
        </w:rPr>
        <w:t xml:space="preserve"> </w:t>
      </w:r>
      <w:r>
        <w:t>(</w:t>
      </w:r>
      <w:proofErr w:type="spellStart"/>
      <w:r>
        <w:t>Dejusticia</w:t>
      </w:r>
      <w:proofErr w:type="spellEnd"/>
      <w:r>
        <w:t>).</w:t>
      </w:r>
      <w:r>
        <w:rPr>
          <w:spacing w:val="-15"/>
        </w:rPr>
        <w:t xml:space="preserve"> </w:t>
      </w:r>
      <w:r>
        <w:rPr>
          <w:i/>
        </w:rPr>
        <w:t>Y</w:t>
      </w:r>
      <w:r>
        <w:rPr>
          <w:i/>
          <w:spacing w:val="-15"/>
        </w:rPr>
        <w:t xml:space="preserve"> </w:t>
      </w:r>
      <w:r>
        <w:rPr>
          <w:i/>
        </w:rPr>
        <w:t>refundaron</w:t>
      </w:r>
      <w:r>
        <w:rPr>
          <w:i/>
          <w:spacing w:val="-15"/>
        </w:rPr>
        <w:t xml:space="preserve"> </w:t>
      </w:r>
      <w:r>
        <w:rPr>
          <w:i/>
        </w:rPr>
        <w:t>la</w:t>
      </w:r>
      <w:r>
        <w:rPr>
          <w:i/>
          <w:spacing w:val="-15"/>
        </w:rPr>
        <w:t xml:space="preserve"> </w:t>
      </w:r>
      <w:r>
        <w:rPr>
          <w:i/>
        </w:rPr>
        <w:t>patria.</w:t>
      </w:r>
      <w:r>
        <w:rPr>
          <w:i/>
          <w:spacing w:val="-15"/>
        </w:rPr>
        <w:t xml:space="preserve"> </w:t>
      </w:r>
      <w:r>
        <w:rPr>
          <w:i/>
        </w:rPr>
        <w:t>De</w:t>
      </w:r>
      <w:r>
        <w:rPr>
          <w:i/>
          <w:spacing w:val="-15"/>
        </w:rPr>
        <w:t xml:space="preserve"> </w:t>
      </w:r>
      <w:r>
        <w:rPr>
          <w:i/>
        </w:rPr>
        <w:lastRenderedPageBreak/>
        <w:t>cómo mafiosos y políticos reconfiguraron el Estado colombiano</w:t>
      </w:r>
      <w:r>
        <w:t xml:space="preserve">. Bogotá: </w:t>
      </w:r>
      <w:proofErr w:type="spellStart"/>
      <w:r>
        <w:t>Penguin</w:t>
      </w:r>
      <w:proofErr w:type="spellEnd"/>
      <w:r>
        <w:t xml:space="preserve"> </w:t>
      </w:r>
      <w:proofErr w:type="spellStart"/>
      <w:r>
        <w:t>Random</w:t>
      </w:r>
      <w:proofErr w:type="spellEnd"/>
      <w:r>
        <w:t xml:space="preserve"> House Grupo Editorial Colombia, 2012.</w:t>
      </w:r>
    </w:p>
    <w:p w:rsidR="003804AC" w:rsidRDefault="00AF18A5" w:rsidP="0052717E">
      <w:proofErr w:type="spellStart"/>
      <w:r>
        <w:t>Richar</w:t>
      </w:r>
      <w:proofErr w:type="spellEnd"/>
      <w:r>
        <w:rPr>
          <w:spacing w:val="40"/>
        </w:rPr>
        <w:t xml:space="preserve"> </w:t>
      </w:r>
      <w:r>
        <w:t>Vidal.</w:t>
      </w:r>
      <w:r>
        <w:rPr>
          <w:spacing w:val="40"/>
        </w:rPr>
        <w:t xml:space="preserve"> </w:t>
      </w:r>
      <w:r>
        <w:t>«Águilas</w:t>
      </w:r>
      <w:r>
        <w:rPr>
          <w:spacing w:val="40"/>
        </w:rPr>
        <w:t xml:space="preserve"> </w:t>
      </w:r>
      <w:r>
        <w:t>negras</w:t>
      </w:r>
      <w:r>
        <w:rPr>
          <w:spacing w:val="40"/>
        </w:rPr>
        <w:t xml:space="preserve"> </w:t>
      </w:r>
      <w:r>
        <w:t>amenazan</w:t>
      </w:r>
      <w:r>
        <w:rPr>
          <w:spacing w:val="40"/>
        </w:rPr>
        <w:t xml:space="preserve"> </w:t>
      </w:r>
      <w:r>
        <w:t>a</w:t>
      </w:r>
      <w:r>
        <w:rPr>
          <w:spacing w:val="40"/>
        </w:rPr>
        <w:t xml:space="preserve"> </w:t>
      </w:r>
      <w:r>
        <w:t>líderes</w:t>
      </w:r>
      <w:r>
        <w:rPr>
          <w:spacing w:val="40"/>
        </w:rPr>
        <w:t xml:space="preserve"> </w:t>
      </w:r>
      <w:r>
        <w:t>indígenas</w:t>
      </w:r>
      <w:r>
        <w:rPr>
          <w:spacing w:val="40"/>
        </w:rPr>
        <w:t xml:space="preserve"> </w:t>
      </w:r>
      <w:r>
        <w:t>y</w:t>
      </w:r>
      <w:r>
        <w:rPr>
          <w:spacing w:val="40"/>
        </w:rPr>
        <w:t xml:space="preserve"> </w:t>
      </w:r>
      <w:r>
        <w:t>organizaciones</w:t>
      </w:r>
      <w:r>
        <w:rPr>
          <w:spacing w:val="40"/>
        </w:rPr>
        <w:t xml:space="preserve"> </w:t>
      </w:r>
      <w:r>
        <w:t>sociales</w:t>
      </w:r>
      <w:r>
        <w:rPr>
          <w:spacing w:val="40"/>
        </w:rPr>
        <w:t xml:space="preserve"> </w:t>
      </w:r>
      <w:r>
        <w:t>del</w:t>
      </w:r>
      <w:r>
        <w:rPr>
          <w:spacing w:val="40"/>
        </w:rPr>
        <w:t xml:space="preserve"> </w:t>
      </w:r>
      <w:r>
        <w:t xml:space="preserve">Cauca». </w:t>
      </w:r>
      <w:hyperlink r:id="rId119">
        <w:r>
          <w:rPr>
            <w:spacing w:val="-2"/>
          </w:rPr>
          <w:t>https://www.wradio.com.co/2022/03/09/aguilas-negras-amenazan-a-lideres-indigenas-y-</w:t>
        </w:r>
      </w:hyperlink>
      <w:r>
        <w:rPr>
          <w:spacing w:val="-2"/>
        </w:rPr>
        <w:t xml:space="preserve"> </w:t>
      </w:r>
      <w:hyperlink r:id="rId120">
        <w:r>
          <w:rPr>
            <w:spacing w:val="-2"/>
          </w:rPr>
          <w:t>organizaciones-sociales-del-cauca/</w:t>
        </w:r>
      </w:hyperlink>
      <w:r>
        <w:rPr>
          <w:spacing w:val="-2"/>
        </w:rPr>
        <w:t>.</w:t>
      </w:r>
    </w:p>
    <w:p w:rsidR="003804AC" w:rsidRDefault="00AF18A5" w:rsidP="0052717E">
      <w:r>
        <w:t>Sánchez</w:t>
      </w:r>
      <w:r>
        <w:rPr>
          <w:spacing w:val="40"/>
        </w:rPr>
        <w:t xml:space="preserve"> </w:t>
      </w:r>
      <w:r>
        <w:t>Gómez,</w:t>
      </w:r>
      <w:r>
        <w:rPr>
          <w:spacing w:val="40"/>
        </w:rPr>
        <w:t xml:space="preserve"> </w:t>
      </w:r>
      <w:r>
        <w:t>Gonzalo,</w:t>
      </w:r>
      <w:r>
        <w:rPr>
          <w:spacing w:val="40"/>
        </w:rPr>
        <w:t xml:space="preserve"> </w:t>
      </w:r>
      <w:r>
        <w:t>y</w:t>
      </w:r>
      <w:r>
        <w:rPr>
          <w:spacing w:val="40"/>
        </w:rPr>
        <w:t xml:space="preserve"> </w:t>
      </w:r>
      <w:r>
        <w:t>Donny</w:t>
      </w:r>
      <w:r>
        <w:rPr>
          <w:spacing w:val="40"/>
        </w:rPr>
        <w:t xml:space="preserve"> </w:t>
      </w:r>
      <w:proofErr w:type="spellStart"/>
      <w:r>
        <w:t>Meertens</w:t>
      </w:r>
      <w:proofErr w:type="spellEnd"/>
      <w:r>
        <w:t>.</w:t>
      </w:r>
      <w:r>
        <w:rPr>
          <w:spacing w:val="40"/>
        </w:rPr>
        <w:t xml:space="preserve"> </w:t>
      </w:r>
      <w:r>
        <w:rPr>
          <w:i/>
        </w:rPr>
        <w:t>Bandoleros,</w:t>
      </w:r>
      <w:r>
        <w:rPr>
          <w:i/>
          <w:spacing w:val="40"/>
        </w:rPr>
        <w:t xml:space="preserve"> </w:t>
      </w:r>
      <w:r>
        <w:rPr>
          <w:i/>
        </w:rPr>
        <w:t>gamonales</w:t>
      </w:r>
      <w:r>
        <w:rPr>
          <w:i/>
          <w:spacing w:val="40"/>
        </w:rPr>
        <w:t xml:space="preserve"> </w:t>
      </w:r>
      <w:r>
        <w:rPr>
          <w:i/>
        </w:rPr>
        <w:t>y</w:t>
      </w:r>
      <w:r>
        <w:rPr>
          <w:i/>
          <w:spacing w:val="40"/>
        </w:rPr>
        <w:t xml:space="preserve"> </w:t>
      </w:r>
      <w:r>
        <w:rPr>
          <w:i/>
        </w:rPr>
        <w:t>campesinos:</w:t>
      </w:r>
      <w:r>
        <w:rPr>
          <w:i/>
          <w:spacing w:val="40"/>
        </w:rPr>
        <w:t xml:space="preserve"> </w:t>
      </w:r>
      <w:r>
        <w:rPr>
          <w:i/>
        </w:rPr>
        <w:t>el</w:t>
      </w:r>
      <w:r>
        <w:rPr>
          <w:i/>
          <w:spacing w:val="40"/>
        </w:rPr>
        <w:t xml:space="preserve"> </w:t>
      </w:r>
      <w:r>
        <w:rPr>
          <w:i/>
        </w:rPr>
        <w:t>caso</w:t>
      </w:r>
      <w:r>
        <w:rPr>
          <w:i/>
          <w:spacing w:val="40"/>
        </w:rPr>
        <w:t xml:space="preserve"> </w:t>
      </w:r>
      <w:r>
        <w:rPr>
          <w:i/>
        </w:rPr>
        <w:t>de</w:t>
      </w:r>
      <w:r>
        <w:rPr>
          <w:i/>
          <w:spacing w:val="40"/>
        </w:rPr>
        <w:t xml:space="preserve"> </w:t>
      </w:r>
      <w:r>
        <w:rPr>
          <w:i/>
        </w:rPr>
        <w:t>la violencia en Colombia</w:t>
      </w:r>
      <w:r>
        <w:t>. Bogotá: IEPRI, El Áncora Editores, 1983.</w:t>
      </w:r>
    </w:p>
    <w:p w:rsidR="0011361F" w:rsidRDefault="00AF18A5" w:rsidP="0052717E">
      <w:r>
        <w:t>Semana.</w:t>
      </w:r>
      <w:r>
        <w:rPr>
          <w:spacing w:val="-3"/>
        </w:rPr>
        <w:t xml:space="preserve"> </w:t>
      </w:r>
      <w:r>
        <w:t>«El</w:t>
      </w:r>
      <w:r>
        <w:rPr>
          <w:spacing w:val="-2"/>
        </w:rPr>
        <w:t xml:space="preserve"> </w:t>
      </w:r>
      <w:r>
        <w:t>hombre que</w:t>
      </w:r>
      <w:r>
        <w:rPr>
          <w:spacing w:val="-2"/>
        </w:rPr>
        <w:t xml:space="preserve"> </w:t>
      </w:r>
      <w:r>
        <w:t>fue</w:t>
      </w:r>
      <w:r>
        <w:rPr>
          <w:spacing w:val="-1"/>
        </w:rPr>
        <w:t xml:space="preserve"> </w:t>
      </w:r>
      <w:r>
        <w:t>el</w:t>
      </w:r>
      <w:r>
        <w:rPr>
          <w:spacing w:val="-1"/>
        </w:rPr>
        <w:t xml:space="preserve"> </w:t>
      </w:r>
      <w:r>
        <w:t>cerebro</w:t>
      </w:r>
      <w:r>
        <w:rPr>
          <w:spacing w:val="-1"/>
        </w:rPr>
        <w:t xml:space="preserve"> </w:t>
      </w:r>
      <w:r>
        <w:t>de</w:t>
      </w:r>
      <w:r>
        <w:rPr>
          <w:spacing w:val="-1"/>
        </w:rPr>
        <w:t xml:space="preserve"> </w:t>
      </w:r>
      <w:r>
        <w:t xml:space="preserve">la </w:t>
      </w:r>
      <w:proofErr w:type="spellStart"/>
      <w:r>
        <w:t>paraeconomía</w:t>
      </w:r>
      <w:proofErr w:type="spellEnd"/>
      <w:r>
        <w:t>».</w:t>
      </w:r>
      <w:r>
        <w:rPr>
          <w:spacing w:val="-3"/>
        </w:rPr>
        <w:t xml:space="preserve"> </w:t>
      </w:r>
      <w:r>
        <w:t>30</w:t>
      </w:r>
      <w:r>
        <w:rPr>
          <w:spacing w:val="-1"/>
        </w:rPr>
        <w:t xml:space="preserve"> </w:t>
      </w:r>
      <w:r>
        <w:t>de marzo</w:t>
      </w:r>
      <w:r>
        <w:rPr>
          <w:spacing w:val="-3"/>
        </w:rPr>
        <w:t xml:space="preserve"> </w:t>
      </w:r>
      <w:r>
        <w:t xml:space="preserve">de </w:t>
      </w:r>
      <w:r>
        <w:rPr>
          <w:spacing w:val="-2"/>
        </w:rPr>
        <w:t>2012.</w:t>
      </w:r>
    </w:p>
    <w:p w:rsidR="0011361F" w:rsidRDefault="00AF18A5" w:rsidP="0052717E">
      <w:r>
        <w:t>———.</w:t>
      </w:r>
      <w:r>
        <w:rPr>
          <w:spacing w:val="-1"/>
        </w:rPr>
        <w:t xml:space="preserve"> </w:t>
      </w:r>
      <w:r>
        <w:t>«Habla</w:t>
      </w:r>
      <w:r>
        <w:rPr>
          <w:spacing w:val="-1"/>
        </w:rPr>
        <w:t xml:space="preserve"> </w:t>
      </w:r>
      <w:r>
        <w:t>Vicente</w:t>
      </w:r>
      <w:r>
        <w:rPr>
          <w:spacing w:val="-1"/>
        </w:rPr>
        <w:t xml:space="preserve"> </w:t>
      </w:r>
      <w:r>
        <w:t>Castaño».</w:t>
      </w:r>
      <w:r>
        <w:rPr>
          <w:spacing w:val="-1"/>
        </w:rPr>
        <w:t xml:space="preserve"> </w:t>
      </w:r>
      <w:r>
        <w:t>4</w:t>
      </w:r>
      <w:r>
        <w:rPr>
          <w:spacing w:val="-3"/>
        </w:rPr>
        <w:t xml:space="preserve"> </w:t>
      </w:r>
      <w:r>
        <w:t>de junio</w:t>
      </w:r>
      <w:r>
        <w:rPr>
          <w:spacing w:val="-1"/>
        </w:rPr>
        <w:t xml:space="preserve"> </w:t>
      </w:r>
      <w:r>
        <w:t>de</w:t>
      </w:r>
      <w:r>
        <w:rPr>
          <w:spacing w:val="-1"/>
        </w:rPr>
        <w:t xml:space="preserve"> </w:t>
      </w:r>
      <w:r>
        <w:rPr>
          <w:spacing w:val="-2"/>
        </w:rPr>
        <w:t>2005.</w:t>
      </w:r>
    </w:p>
    <w:p w:rsidR="003804AC" w:rsidRDefault="00AF18A5" w:rsidP="0052717E">
      <w:r>
        <w:t xml:space="preserve">Suárez Rueda, Manuela. «Colombia: un gran mercado de armas sin incentivos para reducirlo». </w:t>
      </w:r>
      <w:proofErr w:type="spellStart"/>
      <w:r>
        <w:rPr>
          <w:i/>
        </w:rPr>
        <w:t>Nostas</w:t>
      </w:r>
      <w:proofErr w:type="spellEnd"/>
      <w:r>
        <w:rPr>
          <w:i/>
          <w:spacing w:val="40"/>
        </w:rPr>
        <w:t xml:space="preserve"> </w:t>
      </w:r>
      <w:r>
        <w:rPr>
          <w:i/>
        </w:rPr>
        <w:t xml:space="preserve">Estratégicas </w:t>
      </w:r>
      <w:r>
        <w:t>(</w:t>
      </w:r>
      <w:proofErr w:type="spellStart"/>
      <w:r>
        <w:t>n.</w:t>
      </w:r>
      <w:r>
        <w:rPr>
          <w:vertAlign w:val="superscript"/>
        </w:rPr>
        <w:t>o</w:t>
      </w:r>
      <w:proofErr w:type="spellEnd"/>
      <w:r>
        <w:t xml:space="preserve"> 18, 2020):</w:t>
      </w:r>
    </w:p>
    <w:p w:rsidR="003804AC" w:rsidRDefault="00AF18A5" w:rsidP="0052717E">
      <w:r>
        <w:t>Superintendencia Nacional de Salud (Supersalud). «Supersalud ordena liquidación de la EPS indígena</w:t>
      </w:r>
      <w:r>
        <w:rPr>
          <w:spacing w:val="40"/>
        </w:rPr>
        <w:t xml:space="preserve"> </w:t>
      </w:r>
      <w:proofErr w:type="spellStart"/>
      <w:r>
        <w:rPr>
          <w:spacing w:val="-2"/>
        </w:rPr>
        <w:t>Manexka</w:t>
      </w:r>
      <w:proofErr w:type="spellEnd"/>
      <w:r>
        <w:rPr>
          <w:spacing w:val="-2"/>
        </w:rPr>
        <w:t>».</w:t>
      </w:r>
      <w:r>
        <w:tab/>
      </w:r>
      <w:hyperlink r:id="rId121">
        <w:r>
          <w:rPr>
            <w:spacing w:val="-2"/>
          </w:rPr>
          <w:t>https://www.supersalud.gov.co:443/es-co/Paginas/CatalogItem-</w:t>
        </w:r>
      </w:hyperlink>
      <w:r>
        <w:rPr>
          <w:spacing w:val="-2"/>
        </w:rPr>
        <w:t xml:space="preserve"> </w:t>
      </w:r>
      <w:hyperlink r:id="rId122">
        <w:proofErr w:type="spellStart"/>
        <w:r>
          <w:rPr>
            <w:spacing w:val="-2"/>
          </w:rPr>
          <w:t>ListaNoticias.aspx?TermStoreId</w:t>
        </w:r>
        <w:proofErr w:type="spellEnd"/>
        <w:r>
          <w:rPr>
            <w:spacing w:val="-2"/>
          </w:rPr>
          <w:t>=3ac77b2c-d325-4e94-982b-</w:t>
        </w:r>
      </w:hyperlink>
      <w:r>
        <w:rPr>
          <w:spacing w:val="-2"/>
        </w:rPr>
        <w:t xml:space="preserve"> </w:t>
      </w:r>
      <w:hyperlink r:id="rId123">
        <w:r>
          <w:rPr>
            <w:spacing w:val="-2"/>
          </w:rPr>
          <w:t>ed583e66bd71&amp;TermSetId=58ca42fd-8b93-415c-9418-775d598d0233&amp;TermId=1984a386-</w:t>
        </w:r>
      </w:hyperlink>
      <w:r>
        <w:rPr>
          <w:spacing w:val="-2"/>
        </w:rPr>
        <w:t xml:space="preserve"> </w:t>
      </w:r>
      <w:hyperlink r:id="rId124">
        <w:r>
          <w:rPr>
            <w:spacing w:val="-2"/>
          </w:rPr>
          <w:t>fe9f-44a5-bdeb-04315d90d44e&amp;UrlSuffix=supersalud-ordena-liquidacion-de-la-eps-indigena-</w:t>
        </w:r>
      </w:hyperlink>
      <w:r>
        <w:rPr>
          <w:spacing w:val="-2"/>
        </w:rPr>
        <w:t xml:space="preserve"> </w:t>
      </w:r>
      <w:hyperlink r:id="rId125">
        <w:proofErr w:type="spellStart"/>
        <w:r>
          <w:rPr>
            <w:spacing w:val="-2"/>
          </w:rPr>
          <w:t>manexka</w:t>
        </w:r>
        <w:proofErr w:type="spellEnd"/>
      </w:hyperlink>
      <w:r>
        <w:rPr>
          <w:spacing w:val="-2"/>
        </w:rPr>
        <w:t>.</w:t>
      </w:r>
    </w:p>
    <w:p w:rsidR="003804AC" w:rsidRPr="00951B0F" w:rsidRDefault="00AF18A5" w:rsidP="0052717E">
      <w:pPr>
        <w:rPr>
          <w:lang w:val="en-US"/>
        </w:rPr>
      </w:pPr>
      <w:r w:rsidRPr="00951B0F">
        <w:rPr>
          <w:lang w:val="en-US"/>
        </w:rPr>
        <w:t xml:space="preserve">Teletype, Drug Enforcement Administration (DEA), ««19920204» GAFN-92-9020, Threats Against DEA Employees», Fuente de </w:t>
      </w:r>
      <w:proofErr w:type="spellStart"/>
      <w:r w:rsidRPr="00951B0F">
        <w:rPr>
          <w:lang w:val="en-US"/>
        </w:rPr>
        <w:t>archivo</w:t>
      </w:r>
      <w:proofErr w:type="spellEnd"/>
      <w:r w:rsidRPr="00951B0F">
        <w:rPr>
          <w:lang w:val="en-US"/>
        </w:rPr>
        <w:t xml:space="preserve"> externa 79242-OE-206557, 1992, Colombia Documentation Project, The </w:t>
      </w:r>
      <w:r w:rsidRPr="00951B0F">
        <w:rPr>
          <w:lang w:val="en-US"/>
        </w:rPr>
        <w:lastRenderedPageBreak/>
        <w:t>National Security Archive, Washington, D.C.</w:t>
      </w:r>
    </w:p>
    <w:p w:rsidR="003804AC" w:rsidRDefault="00AF18A5" w:rsidP="0052717E">
      <w:r>
        <w:t>Tribunal</w:t>
      </w:r>
      <w:r>
        <w:rPr>
          <w:spacing w:val="22"/>
        </w:rPr>
        <w:t xml:space="preserve"> </w:t>
      </w:r>
      <w:r>
        <w:t>Superior</w:t>
      </w:r>
      <w:r>
        <w:rPr>
          <w:spacing w:val="25"/>
        </w:rPr>
        <w:t xml:space="preserve"> </w:t>
      </w:r>
      <w:r>
        <w:t>de</w:t>
      </w:r>
      <w:r>
        <w:rPr>
          <w:spacing w:val="26"/>
        </w:rPr>
        <w:t xml:space="preserve"> </w:t>
      </w:r>
      <w:r>
        <w:t>Bogotá.</w:t>
      </w:r>
      <w:r>
        <w:rPr>
          <w:spacing w:val="26"/>
        </w:rPr>
        <w:t xml:space="preserve"> </w:t>
      </w:r>
      <w:r>
        <w:t>Sala</w:t>
      </w:r>
      <w:r>
        <w:rPr>
          <w:spacing w:val="25"/>
        </w:rPr>
        <w:t xml:space="preserve"> </w:t>
      </w:r>
      <w:r>
        <w:t>de</w:t>
      </w:r>
      <w:r>
        <w:rPr>
          <w:spacing w:val="25"/>
        </w:rPr>
        <w:t xml:space="preserve"> </w:t>
      </w:r>
      <w:r>
        <w:t>Justicia</w:t>
      </w:r>
      <w:r>
        <w:rPr>
          <w:spacing w:val="25"/>
        </w:rPr>
        <w:t xml:space="preserve"> </w:t>
      </w:r>
      <w:r>
        <w:t>y</w:t>
      </w:r>
      <w:r>
        <w:rPr>
          <w:spacing w:val="26"/>
        </w:rPr>
        <w:t xml:space="preserve"> </w:t>
      </w:r>
      <w:r>
        <w:t>Paz.</w:t>
      </w:r>
      <w:r>
        <w:rPr>
          <w:spacing w:val="26"/>
        </w:rPr>
        <w:t xml:space="preserve"> </w:t>
      </w:r>
      <w:r>
        <w:t>Sentencia</w:t>
      </w:r>
      <w:r>
        <w:rPr>
          <w:spacing w:val="25"/>
        </w:rPr>
        <w:t xml:space="preserve"> </w:t>
      </w:r>
      <w:r>
        <w:t>-</w:t>
      </w:r>
      <w:r>
        <w:rPr>
          <w:spacing w:val="26"/>
        </w:rPr>
        <w:t xml:space="preserve"> </w:t>
      </w:r>
      <w:r>
        <w:t>Ramón</w:t>
      </w:r>
      <w:r>
        <w:rPr>
          <w:spacing w:val="26"/>
        </w:rPr>
        <w:t xml:space="preserve"> </w:t>
      </w:r>
      <w:r>
        <w:t>María</w:t>
      </w:r>
      <w:r>
        <w:rPr>
          <w:spacing w:val="25"/>
        </w:rPr>
        <w:t xml:space="preserve"> </w:t>
      </w:r>
      <w:r>
        <w:t>Isaza</w:t>
      </w:r>
      <w:r>
        <w:rPr>
          <w:spacing w:val="26"/>
        </w:rPr>
        <w:t xml:space="preserve"> </w:t>
      </w:r>
      <w:r>
        <w:t>Arango</w:t>
      </w:r>
      <w:r>
        <w:rPr>
          <w:spacing w:val="24"/>
        </w:rPr>
        <w:t xml:space="preserve"> </w:t>
      </w:r>
      <w:r>
        <w:t>y</w:t>
      </w:r>
      <w:r>
        <w:rPr>
          <w:spacing w:val="26"/>
        </w:rPr>
        <w:t xml:space="preserve"> </w:t>
      </w:r>
      <w:r>
        <w:rPr>
          <w:spacing w:val="-2"/>
        </w:rPr>
        <w:t>otros.</w:t>
      </w:r>
    </w:p>
    <w:p w:rsidR="003804AC" w:rsidRDefault="00AF18A5" w:rsidP="0052717E">
      <w:r>
        <w:t>Magistrado</w:t>
      </w:r>
      <w:r>
        <w:rPr>
          <w:spacing w:val="-5"/>
        </w:rPr>
        <w:t xml:space="preserve"> </w:t>
      </w:r>
      <w:r>
        <w:t>ponente:</w:t>
      </w:r>
      <w:r>
        <w:rPr>
          <w:spacing w:val="-1"/>
        </w:rPr>
        <w:t xml:space="preserve"> </w:t>
      </w:r>
      <w:r>
        <w:t>Eduardo</w:t>
      </w:r>
      <w:r>
        <w:rPr>
          <w:spacing w:val="-1"/>
        </w:rPr>
        <w:t xml:space="preserve"> </w:t>
      </w:r>
      <w:r>
        <w:t>Castellanos</w:t>
      </w:r>
      <w:r>
        <w:rPr>
          <w:spacing w:val="-1"/>
        </w:rPr>
        <w:t xml:space="preserve"> </w:t>
      </w:r>
      <w:r>
        <w:t>Roso.</w:t>
      </w:r>
      <w:r>
        <w:rPr>
          <w:spacing w:val="-3"/>
        </w:rPr>
        <w:t xml:space="preserve"> </w:t>
      </w:r>
      <w:r>
        <w:t>29</w:t>
      </w:r>
      <w:r>
        <w:rPr>
          <w:spacing w:val="-1"/>
        </w:rPr>
        <w:t xml:space="preserve"> </w:t>
      </w:r>
      <w:r>
        <w:t>de</w:t>
      </w:r>
      <w:r>
        <w:rPr>
          <w:spacing w:val="-1"/>
        </w:rPr>
        <w:t xml:space="preserve"> </w:t>
      </w:r>
      <w:r>
        <w:t>mayo</w:t>
      </w:r>
      <w:r>
        <w:rPr>
          <w:spacing w:val="-3"/>
        </w:rPr>
        <w:t xml:space="preserve"> </w:t>
      </w:r>
      <w:r>
        <w:t xml:space="preserve">de </w:t>
      </w:r>
      <w:r>
        <w:rPr>
          <w:spacing w:val="-4"/>
        </w:rPr>
        <w:t>2014</w:t>
      </w:r>
    </w:p>
    <w:p w:rsidR="003804AC" w:rsidRDefault="00AF18A5" w:rsidP="0052717E">
      <w:r>
        <w:t>———. Sentencia contra Fredy Rendón Herrera.</w:t>
      </w:r>
      <w:r>
        <w:rPr>
          <w:spacing w:val="-1"/>
        </w:rPr>
        <w:t xml:space="preserve"> </w:t>
      </w:r>
      <w:r>
        <w:t>Magistrada</w:t>
      </w:r>
      <w:r>
        <w:rPr>
          <w:spacing w:val="-1"/>
        </w:rPr>
        <w:t xml:space="preserve"> </w:t>
      </w:r>
      <w:r>
        <w:t xml:space="preserve">Ponente </w:t>
      </w:r>
      <w:proofErr w:type="spellStart"/>
      <w:r>
        <w:t>Uldi</w:t>
      </w:r>
      <w:proofErr w:type="spellEnd"/>
      <w:r>
        <w:t xml:space="preserve"> Teresa Jiménez López.</w:t>
      </w:r>
      <w:r>
        <w:rPr>
          <w:spacing w:val="-2"/>
        </w:rPr>
        <w:t xml:space="preserve"> </w:t>
      </w:r>
      <w:r>
        <w:t xml:space="preserve">16 de diciembre de 2011. Recuperado de: </w:t>
      </w:r>
      <w:hyperlink r:id="rId126">
        <w:r>
          <w:t>https://www.fiscalia.gov.co/colombia/wp-</w:t>
        </w:r>
      </w:hyperlink>
      <w:r>
        <w:t xml:space="preserve"> </w:t>
      </w:r>
      <w:hyperlink r:id="rId127">
        <w:proofErr w:type="spellStart"/>
        <w:r>
          <w:rPr>
            <w:spacing w:val="-2"/>
          </w:rPr>
          <w:t>content</w:t>
        </w:r>
        <w:proofErr w:type="spellEnd"/>
        <w:r>
          <w:rPr>
            <w:spacing w:val="-2"/>
          </w:rPr>
          <w:t>/</w:t>
        </w:r>
        <w:proofErr w:type="spellStart"/>
        <w:r>
          <w:rPr>
            <w:spacing w:val="-2"/>
          </w:rPr>
          <w:t>uploads</w:t>
        </w:r>
        <w:proofErr w:type="spellEnd"/>
        <w:r>
          <w:rPr>
            <w:spacing w:val="-2"/>
          </w:rPr>
          <w:t>/2012/10/Sentencia-Fredy-Rendon-Herrera-2011.pdf</w:t>
        </w:r>
      </w:hyperlink>
      <w:r>
        <w:rPr>
          <w:spacing w:val="-2"/>
        </w:rPr>
        <w:t>.</w:t>
      </w:r>
    </w:p>
    <w:p w:rsidR="003804AC" w:rsidRDefault="00AF18A5" w:rsidP="0052717E">
      <w:r>
        <w:t>———.</w:t>
      </w:r>
      <w:r>
        <w:rPr>
          <w:spacing w:val="27"/>
        </w:rPr>
        <w:t xml:space="preserve"> </w:t>
      </w:r>
      <w:r>
        <w:t>Sentencia</w:t>
      </w:r>
      <w:r>
        <w:rPr>
          <w:spacing w:val="27"/>
        </w:rPr>
        <w:t xml:space="preserve"> </w:t>
      </w:r>
      <w:r>
        <w:t>en</w:t>
      </w:r>
      <w:r>
        <w:rPr>
          <w:spacing w:val="27"/>
        </w:rPr>
        <w:t xml:space="preserve"> </w:t>
      </w:r>
      <w:r>
        <w:t>contra</w:t>
      </w:r>
      <w:r>
        <w:rPr>
          <w:spacing w:val="27"/>
        </w:rPr>
        <w:t xml:space="preserve"> </w:t>
      </w:r>
      <w:r>
        <w:t>de</w:t>
      </w:r>
      <w:r>
        <w:rPr>
          <w:spacing w:val="26"/>
        </w:rPr>
        <w:t xml:space="preserve"> </w:t>
      </w:r>
      <w:r>
        <w:t>Indalecio</w:t>
      </w:r>
      <w:r>
        <w:rPr>
          <w:spacing w:val="27"/>
        </w:rPr>
        <w:t xml:space="preserve"> </w:t>
      </w:r>
      <w:r>
        <w:t>José</w:t>
      </w:r>
      <w:r>
        <w:rPr>
          <w:spacing w:val="25"/>
        </w:rPr>
        <w:t xml:space="preserve"> </w:t>
      </w:r>
      <w:r>
        <w:t>Sánchez</w:t>
      </w:r>
      <w:r>
        <w:rPr>
          <w:spacing w:val="27"/>
        </w:rPr>
        <w:t xml:space="preserve"> </w:t>
      </w:r>
      <w:r>
        <w:t>Jaramillo</w:t>
      </w:r>
      <w:r>
        <w:rPr>
          <w:spacing w:val="26"/>
        </w:rPr>
        <w:t xml:space="preserve"> </w:t>
      </w:r>
      <w:r>
        <w:t>alias</w:t>
      </w:r>
      <w:r>
        <w:rPr>
          <w:spacing w:val="26"/>
        </w:rPr>
        <w:t xml:space="preserve"> </w:t>
      </w:r>
      <w:r>
        <w:t>«Fredy».</w:t>
      </w:r>
      <w:r>
        <w:rPr>
          <w:spacing w:val="27"/>
        </w:rPr>
        <w:t xml:space="preserve"> </w:t>
      </w:r>
      <w:r>
        <w:t>Magistrado</w:t>
      </w:r>
      <w:r>
        <w:rPr>
          <w:spacing w:val="25"/>
        </w:rPr>
        <w:t xml:space="preserve"> </w:t>
      </w:r>
      <w:r>
        <w:t xml:space="preserve">ponente: </w:t>
      </w:r>
      <w:r>
        <w:rPr>
          <w:spacing w:val="-2"/>
        </w:rPr>
        <w:t>Eduardo</w:t>
      </w:r>
      <w:r>
        <w:tab/>
      </w:r>
      <w:r>
        <w:rPr>
          <w:spacing w:val="-2"/>
        </w:rPr>
        <w:t>Castellanos</w:t>
      </w:r>
      <w:r>
        <w:tab/>
      </w:r>
      <w:r>
        <w:rPr>
          <w:spacing w:val="-2"/>
        </w:rPr>
        <w:t>Roso.</w:t>
      </w:r>
      <w:r>
        <w:tab/>
      </w:r>
      <w:r>
        <w:rPr>
          <w:spacing w:val="-6"/>
        </w:rPr>
        <w:t>23</w:t>
      </w:r>
      <w:r>
        <w:tab/>
      </w:r>
      <w:r>
        <w:rPr>
          <w:spacing w:val="-6"/>
        </w:rPr>
        <w:t>de</w:t>
      </w:r>
      <w:r>
        <w:tab/>
      </w:r>
      <w:r>
        <w:rPr>
          <w:spacing w:val="-4"/>
        </w:rPr>
        <w:t>mayo</w:t>
      </w:r>
      <w:r>
        <w:tab/>
      </w:r>
      <w:r>
        <w:rPr>
          <w:spacing w:val="-6"/>
        </w:rPr>
        <w:t>de</w:t>
      </w:r>
      <w:r>
        <w:tab/>
      </w:r>
      <w:r>
        <w:rPr>
          <w:spacing w:val="-2"/>
        </w:rPr>
        <w:t>2017.</w:t>
      </w:r>
      <w:r>
        <w:tab/>
      </w:r>
      <w:r>
        <w:rPr>
          <w:spacing w:val="-2"/>
        </w:rPr>
        <w:t>Recuperado</w:t>
      </w:r>
      <w:r>
        <w:tab/>
      </w:r>
      <w:r>
        <w:rPr>
          <w:spacing w:val="-4"/>
        </w:rPr>
        <w:t xml:space="preserve">de: </w:t>
      </w:r>
      <w:hyperlink r:id="rId128">
        <w:r>
          <w:t>https://buscador.comisiondelaverdad.co/resourcegroup/105-OE %7C1875107-FS %7C35421-</w:t>
        </w:r>
      </w:hyperlink>
      <w:r>
        <w:t xml:space="preserve"> </w:t>
      </w:r>
      <w:hyperlink r:id="rId129">
        <w:r>
          <w:t>OE %7C1875105-FS</w:t>
        </w:r>
      </w:hyperlink>
      <w:r>
        <w:t>.</w:t>
      </w:r>
    </w:p>
    <w:p w:rsidR="003804AC" w:rsidRDefault="00AF18A5" w:rsidP="0052717E">
      <w:r>
        <w:t xml:space="preserve">Tribunal Superior del Distrito Judicial de Bogotá. Sala de Justicia y Paz. Sentencia contra Bloque Catatumbo: Salvatore Mancuso Gómez y otros. Magistrada Ponente: Alexandra Valencia Molina. 31 de octubre de 2014. Recuperado de: </w:t>
      </w:r>
      <w:hyperlink r:id="rId130">
        <w:r>
          <w:t>https://www.fiscalia.gov.co/colombia/wp-</w:t>
        </w:r>
      </w:hyperlink>
      <w:r>
        <w:t xml:space="preserve"> </w:t>
      </w:r>
      <w:hyperlink r:id="rId131">
        <w:proofErr w:type="spellStart"/>
        <w:r>
          <w:rPr>
            <w:spacing w:val="-2"/>
          </w:rPr>
          <w:t>content</w:t>
        </w:r>
        <w:proofErr w:type="spellEnd"/>
        <w:r>
          <w:rPr>
            <w:spacing w:val="-2"/>
          </w:rPr>
          <w:t>/</w:t>
        </w:r>
        <w:proofErr w:type="spellStart"/>
        <w:r>
          <w:rPr>
            <w:spacing w:val="-2"/>
          </w:rPr>
          <w:t>uploads</w:t>
        </w:r>
        <w:proofErr w:type="spellEnd"/>
        <w:r>
          <w:rPr>
            <w:spacing w:val="-2"/>
          </w:rPr>
          <w:t>/2014/12/2014-10-31-680008-SALVATORE-MONCUSO.pdf</w:t>
        </w:r>
      </w:hyperlink>
      <w:r>
        <w:rPr>
          <w:spacing w:val="-2"/>
        </w:rPr>
        <w:t>.</w:t>
      </w:r>
    </w:p>
    <w:p w:rsidR="003804AC" w:rsidRDefault="00AF18A5" w:rsidP="0052717E">
      <w:r>
        <w:t xml:space="preserve">———. Sentencia contra Hébert Veloza García. Magistrado ponente: Eduardo Castellanos Roso. 30 de </w:t>
      </w:r>
      <w:r>
        <w:rPr>
          <w:spacing w:val="-2"/>
        </w:rPr>
        <w:t>octubre</w:t>
      </w:r>
      <w:r>
        <w:tab/>
      </w:r>
      <w:r>
        <w:rPr>
          <w:spacing w:val="-6"/>
        </w:rPr>
        <w:t>de</w:t>
      </w:r>
      <w:r>
        <w:tab/>
      </w:r>
      <w:r>
        <w:rPr>
          <w:spacing w:val="-2"/>
        </w:rPr>
        <w:t>2013.</w:t>
      </w:r>
      <w:r>
        <w:tab/>
      </w:r>
      <w:r>
        <w:rPr>
          <w:spacing w:val="-2"/>
        </w:rPr>
        <w:t>Recuperado</w:t>
      </w:r>
      <w:r>
        <w:tab/>
      </w:r>
      <w:r>
        <w:rPr>
          <w:spacing w:val="-4"/>
        </w:rPr>
        <w:t xml:space="preserve">de: </w:t>
      </w:r>
      <w:hyperlink r:id="rId132">
        <w:r>
          <w:t>https://www.ramajudicial.gov.co/documents/6342228/0/HEBERT %B1VELOZA %B1GARC</w:t>
        </w:r>
      </w:hyperlink>
    </w:p>
    <w:p w:rsidR="0011361F" w:rsidRDefault="00B93F6A" w:rsidP="0052717E">
      <w:pPr>
        <w:rPr>
          <w:lang w:val="pt-BR"/>
        </w:rPr>
      </w:pPr>
      <w:hyperlink r:id="rId133">
        <w:r w:rsidR="00AF18A5" w:rsidRPr="00951B0F">
          <w:rPr>
            <w:lang w:val="pt-BR"/>
          </w:rPr>
          <w:t>%C3</w:t>
        </w:r>
        <w:r w:rsidR="00AF18A5" w:rsidRPr="00951B0F">
          <w:rPr>
            <w:spacing w:val="-4"/>
            <w:lang w:val="pt-BR"/>
          </w:rPr>
          <w:t xml:space="preserve"> </w:t>
        </w:r>
        <w:r w:rsidR="00AF18A5" w:rsidRPr="00951B0F">
          <w:rPr>
            <w:lang w:val="pt-BR"/>
          </w:rPr>
          <w:t>%8DA</w:t>
        </w:r>
        <w:r w:rsidR="00AF18A5" w:rsidRPr="00951B0F">
          <w:rPr>
            <w:spacing w:val="-3"/>
            <w:lang w:val="pt-BR"/>
          </w:rPr>
          <w:t xml:space="preserve"> </w:t>
        </w:r>
        <w:r w:rsidR="00AF18A5" w:rsidRPr="00951B0F">
          <w:rPr>
            <w:lang w:val="pt-BR"/>
          </w:rPr>
          <w:t>%B1</w:t>
        </w:r>
        <w:r w:rsidR="00AF18A5" w:rsidRPr="00951B0F">
          <w:rPr>
            <w:spacing w:val="-2"/>
            <w:lang w:val="pt-BR"/>
          </w:rPr>
          <w:t xml:space="preserve"> </w:t>
        </w:r>
        <w:r w:rsidR="00AF18A5" w:rsidRPr="00951B0F">
          <w:rPr>
            <w:lang w:val="pt-BR"/>
          </w:rPr>
          <w:t>%2830</w:t>
        </w:r>
        <w:r w:rsidR="00AF18A5" w:rsidRPr="00951B0F">
          <w:rPr>
            <w:spacing w:val="-2"/>
            <w:lang w:val="pt-BR"/>
          </w:rPr>
          <w:t xml:space="preserve"> </w:t>
        </w:r>
        <w:r w:rsidR="00AF18A5" w:rsidRPr="00951B0F">
          <w:rPr>
            <w:lang w:val="pt-BR"/>
          </w:rPr>
          <w:t>%B110</w:t>
        </w:r>
        <w:r w:rsidR="00AF18A5" w:rsidRPr="00951B0F">
          <w:rPr>
            <w:spacing w:val="-1"/>
            <w:lang w:val="pt-BR"/>
          </w:rPr>
          <w:t xml:space="preserve"> </w:t>
        </w:r>
        <w:r w:rsidR="00AF18A5" w:rsidRPr="00951B0F">
          <w:rPr>
            <w:lang w:val="pt-BR"/>
          </w:rPr>
          <w:t>%B12013.pdf/7309e8ea-0441-4db7-aa87-</w:t>
        </w:r>
        <w:r w:rsidR="00AF18A5" w:rsidRPr="00951B0F">
          <w:rPr>
            <w:spacing w:val="-2"/>
            <w:lang w:val="pt-BR"/>
          </w:rPr>
          <w:t>f8c2f24d3748</w:t>
        </w:r>
      </w:hyperlink>
      <w:r w:rsidR="00AF18A5" w:rsidRPr="00951B0F">
        <w:rPr>
          <w:spacing w:val="-2"/>
          <w:lang w:val="pt-BR"/>
        </w:rPr>
        <w:t>.</w:t>
      </w:r>
    </w:p>
    <w:p w:rsidR="003804AC" w:rsidRPr="00951B0F" w:rsidRDefault="00AF18A5" w:rsidP="0052717E">
      <w:pPr>
        <w:rPr>
          <w:lang w:val="pt-BR"/>
        </w:rPr>
      </w:pPr>
      <w:r w:rsidRPr="00951B0F">
        <w:rPr>
          <w:lang w:val="pt-BR"/>
        </w:rPr>
        <w:lastRenderedPageBreak/>
        <w:t>———.</w:t>
      </w:r>
      <w:r w:rsidRPr="00951B0F">
        <w:rPr>
          <w:spacing w:val="5"/>
          <w:lang w:val="pt-BR"/>
        </w:rPr>
        <w:t xml:space="preserve"> </w:t>
      </w:r>
      <w:r w:rsidRPr="00951B0F">
        <w:rPr>
          <w:lang w:val="pt-BR"/>
        </w:rPr>
        <w:t>Sentencia</w:t>
      </w:r>
      <w:r w:rsidRPr="00951B0F">
        <w:rPr>
          <w:spacing w:val="7"/>
          <w:lang w:val="pt-BR"/>
        </w:rPr>
        <w:t xml:space="preserve"> </w:t>
      </w:r>
      <w:r w:rsidRPr="00951B0F">
        <w:rPr>
          <w:lang w:val="pt-BR"/>
        </w:rPr>
        <w:t>contra</w:t>
      </w:r>
      <w:r w:rsidRPr="00951B0F">
        <w:rPr>
          <w:spacing w:val="7"/>
          <w:lang w:val="pt-BR"/>
        </w:rPr>
        <w:t xml:space="preserve"> </w:t>
      </w:r>
      <w:r w:rsidRPr="00951B0F">
        <w:rPr>
          <w:lang w:val="pt-BR"/>
        </w:rPr>
        <w:t>José</w:t>
      </w:r>
      <w:r w:rsidRPr="00951B0F">
        <w:rPr>
          <w:spacing w:val="7"/>
          <w:lang w:val="pt-BR"/>
        </w:rPr>
        <w:t xml:space="preserve"> </w:t>
      </w:r>
      <w:r w:rsidRPr="00951B0F">
        <w:rPr>
          <w:lang w:val="pt-BR"/>
        </w:rPr>
        <w:t>Barney</w:t>
      </w:r>
      <w:r w:rsidRPr="00951B0F">
        <w:rPr>
          <w:spacing w:val="7"/>
          <w:lang w:val="pt-BR"/>
        </w:rPr>
        <w:t xml:space="preserve"> </w:t>
      </w:r>
      <w:proofErr w:type="spellStart"/>
      <w:r w:rsidRPr="00951B0F">
        <w:rPr>
          <w:lang w:val="pt-BR"/>
        </w:rPr>
        <w:t>Veloza</w:t>
      </w:r>
      <w:proofErr w:type="spellEnd"/>
      <w:r w:rsidRPr="00951B0F">
        <w:rPr>
          <w:spacing w:val="7"/>
          <w:lang w:val="pt-BR"/>
        </w:rPr>
        <w:t xml:space="preserve"> </w:t>
      </w:r>
      <w:r w:rsidRPr="00951B0F">
        <w:rPr>
          <w:lang w:val="pt-BR"/>
        </w:rPr>
        <w:t>García.</w:t>
      </w:r>
      <w:r w:rsidRPr="00951B0F">
        <w:rPr>
          <w:spacing w:val="7"/>
          <w:lang w:val="pt-BR"/>
        </w:rPr>
        <w:t xml:space="preserve"> </w:t>
      </w:r>
      <w:r w:rsidRPr="00951B0F">
        <w:rPr>
          <w:lang w:val="pt-BR"/>
        </w:rPr>
        <w:t>Magistrada</w:t>
      </w:r>
      <w:r w:rsidRPr="00951B0F">
        <w:rPr>
          <w:spacing w:val="7"/>
          <w:lang w:val="pt-BR"/>
        </w:rPr>
        <w:t xml:space="preserve"> </w:t>
      </w:r>
      <w:proofErr w:type="spellStart"/>
      <w:r w:rsidRPr="00951B0F">
        <w:rPr>
          <w:lang w:val="pt-BR"/>
        </w:rPr>
        <w:t>Ponente</w:t>
      </w:r>
      <w:proofErr w:type="spellEnd"/>
      <w:r w:rsidRPr="00951B0F">
        <w:rPr>
          <w:lang w:val="pt-BR"/>
        </w:rPr>
        <w:t>:</w:t>
      </w:r>
      <w:r w:rsidRPr="00951B0F">
        <w:rPr>
          <w:spacing w:val="8"/>
          <w:lang w:val="pt-BR"/>
        </w:rPr>
        <w:t xml:space="preserve"> </w:t>
      </w:r>
      <w:proofErr w:type="spellStart"/>
      <w:r w:rsidRPr="00951B0F">
        <w:rPr>
          <w:lang w:val="pt-BR"/>
        </w:rPr>
        <w:t>Uldi</w:t>
      </w:r>
      <w:proofErr w:type="spellEnd"/>
      <w:r w:rsidRPr="00951B0F">
        <w:rPr>
          <w:spacing w:val="7"/>
          <w:lang w:val="pt-BR"/>
        </w:rPr>
        <w:t xml:space="preserve"> </w:t>
      </w:r>
      <w:r w:rsidRPr="00951B0F">
        <w:rPr>
          <w:lang w:val="pt-BR"/>
        </w:rPr>
        <w:t>Teresa</w:t>
      </w:r>
      <w:r w:rsidRPr="00951B0F">
        <w:rPr>
          <w:spacing w:val="7"/>
          <w:lang w:val="pt-BR"/>
        </w:rPr>
        <w:t xml:space="preserve"> </w:t>
      </w:r>
      <w:r w:rsidRPr="00951B0F">
        <w:rPr>
          <w:lang w:val="pt-BR"/>
        </w:rPr>
        <w:t>Jiménez</w:t>
      </w:r>
      <w:r w:rsidRPr="00951B0F">
        <w:rPr>
          <w:spacing w:val="7"/>
          <w:lang w:val="pt-BR"/>
        </w:rPr>
        <w:t xml:space="preserve"> </w:t>
      </w:r>
      <w:r w:rsidRPr="00951B0F">
        <w:rPr>
          <w:spacing w:val="-2"/>
          <w:lang w:val="pt-BR"/>
        </w:rPr>
        <w:t>López.</w:t>
      </w:r>
      <w:r w:rsidR="0052717E">
        <w:rPr>
          <w:lang w:val="pt-BR"/>
        </w:rPr>
        <w:t xml:space="preserve"> </w:t>
      </w:r>
      <w:r w:rsidRPr="00951B0F">
        <w:rPr>
          <w:spacing w:val="-6"/>
          <w:lang w:val="pt-BR"/>
        </w:rPr>
        <w:t>31</w:t>
      </w:r>
      <w:r w:rsidRPr="00951B0F">
        <w:rPr>
          <w:lang w:val="pt-BR"/>
        </w:rPr>
        <w:tab/>
      </w:r>
      <w:r w:rsidRPr="00951B0F">
        <w:rPr>
          <w:spacing w:val="-6"/>
          <w:lang w:val="pt-BR"/>
        </w:rPr>
        <w:t>de</w:t>
      </w:r>
      <w:r w:rsidRPr="00951B0F">
        <w:rPr>
          <w:lang w:val="pt-BR"/>
        </w:rPr>
        <w:tab/>
      </w:r>
      <w:proofErr w:type="spellStart"/>
      <w:r w:rsidRPr="00951B0F">
        <w:rPr>
          <w:spacing w:val="-2"/>
          <w:lang w:val="pt-BR"/>
        </w:rPr>
        <w:t>enero</w:t>
      </w:r>
      <w:proofErr w:type="spellEnd"/>
      <w:r w:rsidRPr="00951B0F">
        <w:rPr>
          <w:lang w:val="pt-BR"/>
        </w:rPr>
        <w:tab/>
      </w:r>
      <w:r w:rsidRPr="00951B0F">
        <w:rPr>
          <w:spacing w:val="-6"/>
          <w:lang w:val="pt-BR"/>
        </w:rPr>
        <w:t>de</w:t>
      </w:r>
      <w:r w:rsidRPr="00951B0F">
        <w:rPr>
          <w:lang w:val="pt-BR"/>
        </w:rPr>
        <w:tab/>
      </w:r>
      <w:r w:rsidRPr="00951B0F">
        <w:rPr>
          <w:spacing w:val="-2"/>
          <w:lang w:val="pt-BR"/>
        </w:rPr>
        <w:t>2012.</w:t>
      </w:r>
      <w:r w:rsidRPr="00951B0F">
        <w:rPr>
          <w:lang w:val="pt-BR"/>
        </w:rPr>
        <w:tab/>
      </w:r>
      <w:r w:rsidRPr="00951B0F">
        <w:rPr>
          <w:spacing w:val="-2"/>
          <w:lang w:val="pt-BR"/>
        </w:rPr>
        <w:t>Recuperado</w:t>
      </w:r>
      <w:r w:rsidRPr="00951B0F">
        <w:rPr>
          <w:lang w:val="pt-BR"/>
        </w:rPr>
        <w:tab/>
      </w:r>
      <w:r w:rsidRPr="00951B0F">
        <w:rPr>
          <w:spacing w:val="-4"/>
          <w:lang w:val="pt-BR"/>
        </w:rPr>
        <w:t>de:</w:t>
      </w:r>
      <w:r w:rsidRPr="00951B0F">
        <w:rPr>
          <w:lang w:val="pt-BR"/>
        </w:rPr>
        <w:tab/>
      </w:r>
      <w:hyperlink r:id="rId134">
        <w:r w:rsidRPr="00951B0F">
          <w:rPr>
            <w:spacing w:val="-2"/>
            <w:lang w:val="pt-BR"/>
          </w:rPr>
          <w:t>https://www.fiscalia.gov.co/colombia/wp-</w:t>
        </w:r>
      </w:hyperlink>
      <w:r w:rsidRPr="00951B0F">
        <w:rPr>
          <w:spacing w:val="-2"/>
          <w:lang w:val="pt-BR"/>
        </w:rPr>
        <w:t xml:space="preserve"> </w:t>
      </w:r>
      <w:hyperlink r:id="rId135">
        <w:proofErr w:type="spellStart"/>
        <w:r w:rsidRPr="00951B0F">
          <w:rPr>
            <w:lang w:val="pt-BR"/>
          </w:rPr>
          <w:t>content</w:t>
        </w:r>
        <w:proofErr w:type="spellEnd"/>
        <w:r w:rsidRPr="00951B0F">
          <w:rPr>
            <w:lang w:val="pt-BR"/>
          </w:rPr>
          <w:t>/uploads/2012/10/</w:t>
        </w:r>
        <w:proofErr w:type="spellStart"/>
        <w:r w:rsidRPr="00951B0F">
          <w:rPr>
            <w:lang w:val="pt-BR"/>
          </w:rPr>
          <w:t>Sentencia-Jos</w:t>
        </w:r>
        <w:proofErr w:type="spellEnd"/>
        <w:r w:rsidRPr="00951B0F">
          <w:rPr>
            <w:spacing w:val="-2"/>
            <w:lang w:val="pt-BR"/>
          </w:rPr>
          <w:t xml:space="preserve"> </w:t>
        </w:r>
        <w:r w:rsidRPr="00951B0F">
          <w:rPr>
            <w:lang w:val="pt-BR"/>
          </w:rPr>
          <w:t>%C3</w:t>
        </w:r>
        <w:r w:rsidRPr="00951B0F">
          <w:rPr>
            <w:spacing w:val="-2"/>
            <w:lang w:val="pt-BR"/>
          </w:rPr>
          <w:t xml:space="preserve"> </w:t>
        </w:r>
        <w:r w:rsidRPr="00951B0F">
          <w:rPr>
            <w:lang w:val="pt-BR"/>
          </w:rPr>
          <w:t>%A9-Barney-Veloza-Garc</w:t>
        </w:r>
        <w:r w:rsidRPr="00951B0F">
          <w:rPr>
            <w:spacing w:val="-3"/>
            <w:lang w:val="pt-BR"/>
          </w:rPr>
          <w:t xml:space="preserve"> </w:t>
        </w:r>
        <w:r w:rsidRPr="00951B0F">
          <w:rPr>
            <w:lang w:val="pt-BR"/>
          </w:rPr>
          <w:t>%C3</w:t>
        </w:r>
        <w:r w:rsidRPr="00951B0F">
          <w:rPr>
            <w:spacing w:val="-2"/>
            <w:lang w:val="pt-BR"/>
          </w:rPr>
          <w:t xml:space="preserve"> </w:t>
        </w:r>
        <w:r w:rsidRPr="00951B0F">
          <w:rPr>
            <w:lang w:val="pt-BR"/>
          </w:rPr>
          <w:t>%ADa-2012.pdf</w:t>
        </w:r>
      </w:hyperlink>
      <w:r w:rsidRPr="00951B0F">
        <w:rPr>
          <w:lang w:val="pt-BR"/>
        </w:rPr>
        <w:t>.</w:t>
      </w:r>
    </w:p>
    <w:p w:rsidR="003804AC" w:rsidRPr="00951B0F" w:rsidRDefault="00AF18A5" w:rsidP="0052717E">
      <w:pPr>
        <w:rPr>
          <w:lang w:val="pt-BR"/>
        </w:rPr>
      </w:pPr>
      <w:r w:rsidRPr="00951B0F">
        <w:rPr>
          <w:lang w:val="pt-BR"/>
        </w:rPr>
        <w:t>Tribunal</w:t>
      </w:r>
      <w:r w:rsidRPr="00951B0F">
        <w:rPr>
          <w:spacing w:val="38"/>
          <w:lang w:val="pt-BR"/>
        </w:rPr>
        <w:t xml:space="preserve"> </w:t>
      </w:r>
      <w:r w:rsidRPr="00951B0F">
        <w:rPr>
          <w:lang w:val="pt-BR"/>
        </w:rPr>
        <w:t>Superior</w:t>
      </w:r>
      <w:r w:rsidRPr="00951B0F">
        <w:rPr>
          <w:spacing w:val="38"/>
          <w:lang w:val="pt-BR"/>
        </w:rPr>
        <w:t xml:space="preserve"> </w:t>
      </w:r>
      <w:proofErr w:type="spellStart"/>
      <w:r w:rsidRPr="00951B0F">
        <w:rPr>
          <w:lang w:val="pt-BR"/>
        </w:rPr>
        <w:t>del</w:t>
      </w:r>
      <w:proofErr w:type="spellEnd"/>
      <w:r w:rsidRPr="00951B0F">
        <w:rPr>
          <w:spacing w:val="36"/>
          <w:lang w:val="pt-BR"/>
        </w:rPr>
        <w:t xml:space="preserve"> </w:t>
      </w:r>
      <w:r w:rsidRPr="00951B0F">
        <w:rPr>
          <w:lang w:val="pt-BR"/>
        </w:rPr>
        <w:t>Distrito.</w:t>
      </w:r>
      <w:r w:rsidRPr="00951B0F">
        <w:rPr>
          <w:spacing w:val="37"/>
          <w:lang w:val="pt-BR"/>
        </w:rPr>
        <w:t xml:space="preserve"> </w:t>
      </w:r>
      <w:r w:rsidRPr="00951B0F">
        <w:rPr>
          <w:lang w:val="pt-BR"/>
        </w:rPr>
        <w:t>Sala</w:t>
      </w:r>
      <w:r w:rsidRPr="00951B0F">
        <w:rPr>
          <w:spacing w:val="37"/>
          <w:lang w:val="pt-BR"/>
        </w:rPr>
        <w:t xml:space="preserve"> </w:t>
      </w:r>
      <w:r w:rsidRPr="00951B0F">
        <w:rPr>
          <w:lang w:val="pt-BR"/>
        </w:rPr>
        <w:t>de</w:t>
      </w:r>
      <w:r w:rsidRPr="00951B0F">
        <w:rPr>
          <w:spacing w:val="37"/>
          <w:lang w:val="pt-BR"/>
        </w:rPr>
        <w:t xml:space="preserve"> </w:t>
      </w:r>
      <w:proofErr w:type="spellStart"/>
      <w:r w:rsidRPr="00951B0F">
        <w:rPr>
          <w:lang w:val="pt-BR"/>
        </w:rPr>
        <w:t>Justicia</w:t>
      </w:r>
      <w:proofErr w:type="spellEnd"/>
      <w:r w:rsidRPr="00951B0F">
        <w:rPr>
          <w:spacing w:val="37"/>
          <w:lang w:val="pt-BR"/>
        </w:rPr>
        <w:t xml:space="preserve"> </w:t>
      </w:r>
      <w:r w:rsidRPr="00951B0F">
        <w:rPr>
          <w:lang w:val="pt-BR"/>
        </w:rPr>
        <w:t>y</w:t>
      </w:r>
      <w:r w:rsidRPr="00951B0F">
        <w:rPr>
          <w:spacing w:val="37"/>
          <w:lang w:val="pt-BR"/>
        </w:rPr>
        <w:t xml:space="preserve"> </w:t>
      </w:r>
      <w:r w:rsidRPr="00951B0F">
        <w:rPr>
          <w:lang w:val="pt-BR"/>
        </w:rPr>
        <w:t>Paz.</w:t>
      </w:r>
      <w:r w:rsidRPr="00951B0F">
        <w:rPr>
          <w:spacing w:val="37"/>
          <w:lang w:val="pt-BR"/>
        </w:rPr>
        <w:t xml:space="preserve"> </w:t>
      </w:r>
      <w:r w:rsidRPr="00951B0F">
        <w:rPr>
          <w:lang w:val="pt-BR"/>
        </w:rPr>
        <w:t>Sentencia</w:t>
      </w:r>
      <w:r w:rsidRPr="00951B0F">
        <w:rPr>
          <w:spacing w:val="37"/>
          <w:lang w:val="pt-BR"/>
        </w:rPr>
        <w:t xml:space="preserve"> </w:t>
      </w:r>
      <w:r w:rsidRPr="00951B0F">
        <w:rPr>
          <w:lang w:val="pt-BR"/>
        </w:rPr>
        <w:t>contra</w:t>
      </w:r>
      <w:r w:rsidRPr="00951B0F">
        <w:rPr>
          <w:spacing w:val="37"/>
          <w:lang w:val="pt-BR"/>
        </w:rPr>
        <w:t xml:space="preserve"> </w:t>
      </w:r>
      <w:proofErr w:type="spellStart"/>
      <w:r w:rsidRPr="00951B0F">
        <w:rPr>
          <w:lang w:val="pt-BR"/>
        </w:rPr>
        <w:t>Jesús</w:t>
      </w:r>
      <w:proofErr w:type="spellEnd"/>
      <w:r w:rsidRPr="00951B0F">
        <w:rPr>
          <w:spacing w:val="36"/>
          <w:lang w:val="pt-BR"/>
        </w:rPr>
        <w:t xml:space="preserve"> </w:t>
      </w:r>
      <w:r w:rsidRPr="00951B0F">
        <w:rPr>
          <w:lang w:val="pt-BR"/>
        </w:rPr>
        <w:t>Ignacio</w:t>
      </w:r>
      <w:r w:rsidRPr="00951B0F">
        <w:rPr>
          <w:spacing w:val="37"/>
          <w:lang w:val="pt-BR"/>
        </w:rPr>
        <w:t xml:space="preserve"> </w:t>
      </w:r>
      <w:proofErr w:type="spellStart"/>
      <w:r w:rsidRPr="00951B0F">
        <w:rPr>
          <w:lang w:val="pt-BR"/>
        </w:rPr>
        <w:t>Roldán</w:t>
      </w:r>
      <w:proofErr w:type="spellEnd"/>
      <w:r w:rsidRPr="00951B0F">
        <w:rPr>
          <w:spacing w:val="36"/>
          <w:lang w:val="pt-BR"/>
        </w:rPr>
        <w:t xml:space="preserve"> </w:t>
      </w:r>
      <w:r w:rsidRPr="00951B0F">
        <w:rPr>
          <w:lang w:val="pt-BR"/>
        </w:rPr>
        <w:t>Pérez. Magistrado</w:t>
      </w:r>
      <w:r w:rsidRPr="00951B0F">
        <w:rPr>
          <w:spacing w:val="31"/>
          <w:lang w:val="pt-BR"/>
        </w:rPr>
        <w:t xml:space="preserve"> </w:t>
      </w:r>
      <w:proofErr w:type="spellStart"/>
      <w:r w:rsidRPr="00951B0F">
        <w:rPr>
          <w:lang w:val="pt-BR"/>
        </w:rPr>
        <w:t>ponente</w:t>
      </w:r>
      <w:proofErr w:type="spellEnd"/>
      <w:r w:rsidRPr="00951B0F">
        <w:rPr>
          <w:lang w:val="pt-BR"/>
        </w:rPr>
        <w:t>:</w:t>
      </w:r>
      <w:r w:rsidRPr="00951B0F">
        <w:rPr>
          <w:spacing w:val="32"/>
          <w:lang w:val="pt-BR"/>
        </w:rPr>
        <w:t xml:space="preserve"> </w:t>
      </w:r>
      <w:r w:rsidRPr="00951B0F">
        <w:rPr>
          <w:lang w:val="pt-BR"/>
        </w:rPr>
        <w:t>Rubén</w:t>
      </w:r>
      <w:r w:rsidRPr="00951B0F">
        <w:rPr>
          <w:spacing w:val="33"/>
          <w:lang w:val="pt-BR"/>
        </w:rPr>
        <w:t xml:space="preserve"> </w:t>
      </w:r>
      <w:proofErr w:type="spellStart"/>
      <w:r w:rsidRPr="00951B0F">
        <w:rPr>
          <w:lang w:val="pt-BR"/>
        </w:rPr>
        <w:t>Darío</w:t>
      </w:r>
      <w:proofErr w:type="spellEnd"/>
      <w:r w:rsidRPr="00951B0F">
        <w:rPr>
          <w:spacing w:val="33"/>
          <w:lang w:val="pt-BR"/>
        </w:rPr>
        <w:t xml:space="preserve"> </w:t>
      </w:r>
      <w:proofErr w:type="spellStart"/>
      <w:r w:rsidRPr="00951B0F">
        <w:rPr>
          <w:lang w:val="pt-BR"/>
        </w:rPr>
        <w:t>Pinilla</w:t>
      </w:r>
      <w:proofErr w:type="spellEnd"/>
      <w:r w:rsidRPr="00951B0F">
        <w:rPr>
          <w:spacing w:val="33"/>
          <w:lang w:val="pt-BR"/>
        </w:rPr>
        <w:t xml:space="preserve"> </w:t>
      </w:r>
      <w:proofErr w:type="spellStart"/>
      <w:r w:rsidRPr="00951B0F">
        <w:rPr>
          <w:lang w:val="pt-BR"/>
        </w:rPr>
        <w:t>Cogollo</w:t>
      </w:r>
      <w:proofErr w:type="spellEnd"/>
      <w:r w:rsidRPr="00951B0F">
        <w:rPr>
          <w:lang w:val="pt-BR"/>
        </w:rPr>
        <w:t>.</w:t>
      </w:r>
      <w:r w:rsidRPr="00951B0F">
        <w:rPr>
          <w:spacing w:val="33"/>
          <w:lang w:val="pt-BR"/>
        </w:rPr>
        <w:t xml:space="preserve"> </w:t>
      </w:r>
      <w:r w:rsidRPr="00951B0F">
        <w:rPr>
          <w:lang w:val="pt-BR"/>
        </w:rPr>
        <w:t>9</w:t>
      </w:r>
      <w:r w:rsidRPr="00951B0F">
        <w:rPr>
          <w:spacing w:val="33"/>
          <w:lang w:val="pt-BR"/>
        </w:rPr>
        <w:t xml:space="preserve"> </w:t>
      </w:r>
      <w:r w:rsidRPr="00951B0F">
        <w:rPr>
          <w:lang w:val="pt-BR"/>
        </w:rPr>
        <w:t>de</w:t>
      </w:r>
      <w:r w:rsidRPr="00951B0F">
        <w:rPr>
          <w:spacing w:val="33"/>
          <w:lang w:val="pt-BR"/>
        </w:rPr>
        <w:t xml:space="preserve"> </w:t>
      </w:r>
      <w:proofErr w:type="spellStart"/>
      <w:r w:rsidRPr="00951B0F">
        <w:rPr>
          <w:lang w:val="pt-BR"/>
        </w:rPr>
        <w:t>diciembre</w:t>
      </w:r>
      <w:proofErr w:type="spellEnd"/>
      <w:r w:rsidRPr="00951B0F">
        <w:rPr>
          <w:spacing w:val="33"/>
          <w:lang w:val="pt-BR"/>
        </w:rPr>
        <w:t xml:space="preserve"> </w:t>
      </w:r>
      <w:r w:rsidRPr="00951B0F">
        <w:rPr>
          <w:lang w:val="pt-BR"/>
        </w:rPr>
        <w:t>de</w:t>
      </w:r>
      <w:r w:rsidRPr="00951B0F">
        <w:rPr>
          <w:spacing w:val="33"/>
          <w:lang w:val="pt-BR"/>
        </w:rPr>
        <w:t xml:space="preserve"> </w:t>
      </w:r>
      <w:r w:rsidRPr="00951B0F">
        <w:rPr>
          <w:lang w:val="pt-BR"/>
        </w:rPr>
        <w:t>2014.</w:t>
      </w:r>
      <w:r w:rsidRPr="00951B0F">
        <w:rPr>
          <w:spacing w:val="33"/>
          <w:lang w:val="pt-BR"/>
        </w:rPr>
        <w:t xml:space="preserve"> </w:t>
      </w:r>
      <w:r w:rsidRPr="00951B0F">
        <w:rPr>
          <w:lang w:val="pt-BR"/>
        </w:rPr>
        <w:t>Recuperado</w:t>
      </w:r>
      <w:r w:rsidRPr="00951B0F">
        <w:rPr>
          <w:spacing w:val="33"/>
          <w:lang w:val="pt-BR"/>
        </w:rPr>
        <w:t xml:space="preserve"> </w:t>
      </w:r>
      <w:r w:rsidRPr="00951B0F">
        <w:rPr>
          <w:lang w:val="pt-BR"/>
        </w:rPr>
        <w:t xml:space="preserve">de: </w:t>
      </w:r>
      <w:hyperlink r:id="rId136">
        <w:r w:rsidRPr="00951B0F">
          <w:rPr>
            <w:spacing w:val="-2"/>
            <w:lang w:val="pt-BR"/>
          </w:rPr>
          <w:t>https://www.fiscalia.gov.co/colombia/wp-content/uploads/2015/04/09-12-2014-Sentencia-</w:t>
        </w:r>
      </w:hyperlink>
      <w:r w:rsidRPr="00951B0F">
        <w:rPr>
          <w:spacing w:val="80"/>
          <w:w w:val="150"/>
          <w:lang w:val="pt-BR"/>
        </w:rPr>
        <w:t xml:space="preserve"> </w:t>
      </w:r>
      <w:hyperlink r:id="rId137">
        <w:r w:rsidRPr="00951B0F">
          <w:rPr>
            <w:spacing w:val="-2"/>
            <w:lang w:val="pt-BR"/>
          </w:rPr>
          <w:t>Jesus-Ignacio-Roldan-Perez.pdf</w:t>
        </w:r>
      </w:hyperlink>
      <w:r w:rsidRPr="00951B0F">
        <w:rPr>
          <w:spacing w:val="-2"/>
          <w:lang w:val="pt-BR"/>
        </w:rPr>
        <w:t>.</w:t>
      </w:r>
    </w:p>
    <w:p w:rsidR="003804AC" w:rsidRDefault="00AF18A5" w:rsidP="0052717E">
      <w:r>
        <w:t>Unidad Nacional de Derechos Humanos de la Fiscalía General de la Nación. Declaración rendida por</w:t>
      </w:r>
      <w:r>
        <w:rPr>
          <w:spacing w:val="80"/>
          <w:w w:val="150"/>
        </w:rPr>
        <w:t xml:space="preserve"> </w:t>
      </w:r>
      <w:r>
        <w:t>Freddy Rendón Herrera. 11 de agosto de 2009</w:t>
      </w:r>
    </w:p>
    <w:p w:rsidR="003804AC" w:rsidRDefault="00AF18A5" w:rsidP="0052717E">
      <w:r>
        <w:t xml:space="preserve">Unidad Nacional de Fiscalías para la Justicia y la Paz. Versión libre Jorge Iván Laverde. 17 de junio de </w:t>
      </w:r>
      <w:r>
        <w:rPr>
          <w:spacing w:val="-4"/>
        </w:rPr>
        <w:t>2008</w:t>
      </w:r>
    </w:p>
    <w:p w:rsidR="003804AC" w:rsidRDefault="00AF18A5" w:rsidP="0052717E">
      <w:r>
        <w:t>———.</w:t>
      </w:r>
      <w:r>
        <w:rPr>
          <w:spacing w:val="-4"/>
        </w:rPr>
        <w:t xml:space="preserve"> </w:t>
      </w:r>
      <w:r>
        <w:t>Versión</w:t>
      </w:r>
      <w:r>
        <w:rPr>
          <w:spacing w:val="-1"/>
        </w:rPr>
        <w:t xml:space="preserve"> </w:t>
      </w:r>
      <w:r>
        <w:t>libre</w:t>
      </w:r>
      <w:r>
        <w:rPr>
          <w:spacing w:val="-1"/>
        </w:rPr>
        <w:t xml:space="preserve"> </w:t>
      </w:r>
      <w:r>
        <w:t>Salvatore</w:t>
      </w:r>
      <w:r>
        <w:rPr>
          <w:spacing w:val="-2"/>
        </w:rPr>
        <w:t xml:space="preserve"> </w:t>
      </w:r>
      <w:r>
        <w:t>Mancuso.</w:t>
      </w:r>
      <w:r>
        <w:rPr>
          <w:spacing w:val="-1"/>
        </w:rPr>
        <w:t xml:space="preserve"> </w:t>
      </w:r>
      <w:r>
        <w:t>19</w:t>
      </w:r>
      <w:r>
        <w:rPr>
          <w:spacing w:val="-2"/>
        </w:rPr>
        <w:t xml:space="preserve"> </w:t>
      </w:r>
      <w:r>
        <w:t>de</w:t>
      </w:r>
      <w:r>
        <w:rPr>
          <w:spacing w:val="-2"/>
        </w:rPr>
        <w:t xml:space="preserve"> </w:t>
      </w:r>
      <w:r>
        <w:t>diciembre</w:t>
      </w:r>
      <w:r>
        <w:rPr>
          <w:spacing w:val="-1"/>
        </w:rPr>
        <w:t xml:space="preserve"> </w:t>
      </w:r>
      <w:r>
        <w:t>de</w:t>
      </w:r>
      <w:r>
        <w:rPr>
          <w:spacing w:val="-1"/>
        </w:rPr>
        <w:t xml:space="preserve"> </w:t>
      </w:r>
      <w:r>
        <w:rPr>
          <w:spacing w:val="-4"/>
        </w:rPr>
        <w:t>2006</w:t>
      </w:r>
    </w:p>
    <w:p w:rsidR="0011361F" w:rsidRDefault="00AF18A5" w:rsidP="0052717E">
      <w:r>
        <w:t>———.</w:t>
      </w:r>
      <w:r>
        <w:rPr>
          <w:spacing w:val="-2"/>
        </w:rPr>
        <w:t xml:space="preserve"> </w:t>
      </w:r>
      <w:r>
        <w:t>Versión</w:t>
      </w:r>
      <w:r>
        <w:rPr>
          <w:spacing w:val="-2"/>
        </w:rPr>
        <w:t xml:space="preserve"> </w:t>
      </w:r>
      <w:r>
        <w:t>libre</w:t>
      </w:r>
      <w:r>
        <w:rPr>
          <w:spacing w:val="-1"/>
        </w:rPr>
        <w:t xml:space="preserve"> </w:t>
      </w:r>
      <w:r>
        <w:t>Salvatore</w:t>
      </w:r>
      <w:r>
        <w:rPr>
          <w:spacing w:val="-2"/>
        </w:rPr>
        <w:t xml:space="preserve"> </w:t>
      </w:r>
      <w:r>
        <w:t>Mancuso.</w:t>
      </w:r>
      <w:r>
        <w:rPr>
          <w:spacing w:val="-1"/>
        </w:rPr>
        <w:t xml:space="preserve"> </w:t>
      </w:r>
      <w:r>
        <w:t>febrero</w:t>
      </w:r>
      <w:r>
        <w:rPr>
          <w:spacing w:val="-2"/>
        </w:rPr>
        <w:t xml:space="preserve"> </w:t>
      </w:r>
      <w:r>
        <w:t>de</w:t>
      </w:r>
      <w:r>
        <w:rPr>
          <w:spacing w:val="-1"/>
        </w:rPr>
        <w:t xml:space="preserve"> </w:t>
      </w:r>
      <w:r>
        <w:rPr>
          <w:spacing w:val="-4"/>
        </w:rPr>
        <w:t>2009</w:t>
      </w:r>
    </w:p>
    <w:p w:rsidR="003804AC" w:rsidRDefault="00AF18A5" w:rsidP="0052717E">
      <w:r>
        <w:t>Verdad</w:t>
      </w:r>
      <w:r>
        <w:rPr>
          <w:spacing w:val="80"/>
        </w:rPr>
        <w:t xml:space="preserve"> </w:t>
      </w:r>
      <w:r>
        <w:t>Abierta.</w:t>
      </w:r>
      <w:r>
        <w:rPr>
          <w:spacing w:val="80"/>
        </w:rPr>
        <w:t xml:space="preserve"> </w:t>
      </w:r>
      <w:r>
        <w:t>«‘Cadena’,</w:t>
      </w:r>
      <w:r>
        <w:rPr>
          <w:spacing w:val="80"/>
        </w:rPr>
        <w:t xml:space="preserve"> </w:t>
      </w:r>
      <w:r>
        <w:t>Rodrigo</w:t>
      </w:r>
      <w:r>
        <w:rPr>
          <w:spacing w:val="80"/>
        </w:rPr>
        <w:t xml:space="preserve"> </w:t>
      </w:r>
      <w:r>
        <w:t>Mercado</w:t>
      </w:r>
      <w:r>
        <w:rPr>
          <w:spacing w:val="80"/>
        </w:rPr>
        <w:t xml:space="preserve"> </w:t>
      </w:r>
      <w:proofErr w:type="spellStart"/>
      <w:r>
        <w:t>Peluffo</w:t>
      </w:r>
      <w:proofErr w:type="spellEnd"/>
      <w:r>
        <w:t>».</w:t>
      </w:r>
      <w:r>
        <w:rPr>
          <w:spacing w:val="80"/>
        </w:rPr>
        <w:t xml:space="preserve"> </w:t>
      </w:r>
      <w:hyperlink r:id="rId138">
        <w:r>
          <w:t>https://verdadabierta.com/cadena-rodrigo-</w:t>
        </w:r>
      </w:hyperlink>
      <w:r>
        <w:t xml:space="preserve"> </w:t>
      </w:r>
      <w:hyperlink r:id="rId139">
        <w:r>
          <w:rPr>
            <w:spacing w:val="-2"/>
          </w:rPr>
          <w:t>mercado-</w:t>
        </w:r>
        <w:proofErr w:type="spellStart"/>
        <w:r>
          <w:rPr>
            <w:spacing w:val="-2"/>
          </w:rPr>
          <w:t>peluffo</w:t>
        </w:r>
        <w:proofErr w:type="spellEnd"/>
        <w:r>
          <w:rPr>
            <w:spacing w:val="-2"/>
          </w:rPr>
          <w:t>/</w:t>
        </w:r>
      </w:hyperlink>
      <w:r>
        <w:rPr>
          <w:spacing w:val="-2"/>
        </w:rPr>
        <w:t>.</w:t>
      </w:r>
    </w:p>
    <w:p w:rsidR="003804AC" w:rsidRDefault="00AF18A5" w:rsidP="0052717E">
      <w:r>
        <w:t xml:space="preserve">Verdad Abierta. «Los inéditos viajes de hijos de bananeros de Urabá a campamentos de Henry Pérez». </w:t>
      </w:r>
      <w:hyperlink r:id="rId140">
        <w:r>
          <w:rPr>
            <w:spacing w:val="-2"/>
          </w:rPr>
          <w:t>https://verdadabierta.com/los-viajes-de-los-bananeros-a-puerto-boyaca/</w:t>
        </w:r>
      </w:hyperlink>
      <w:r>
        <w:rPr>
          <w:spacing w:val="-2"/>
        </w:rPr>
        <w:t>.</w:t>
      </w:r>
    </w:p>
    <w:p w:rsidR="003804AC" w:rsidRDefault="00AF18A5" w:rsidP="0052717E">
      <w:r>
        <w:t>Vicepresidencia</w:t>
      </w:r>
      <w:r>
        <w:rPr>
          <w:spacing w:val="26"/>
        </w:rPr>
        <w:t xml:space="preserve"> </w:t>
      </w:r>
      <w:r>
        <w:t>de</w:t>
      </w:r>
      <w:r>
        <w:rPr>
          <w:spacing w:val="29"/>
        </w:rPr>
        <w:t xml:space="preserve"> </w:t>
      </w:r>
      <w:r>
        <w:t>la</w:t>
      </w:r>
      <w:r>
        <w:rPr>
          <w:spacing w:val="28"/>
        </w:rPr>
        <w:t xml:space="preserve"> </w:t>
      </w:r>
      <w:r>
        <w:t>República</w:t>
      </w:r>
      <w:r>
        <w:rPr>
          <w:spacing w:val="29"/>
        </w:rPr>
        <w:t xml:space="preserve"> </w:t>
      </w:r>
      <w:r>
        <w:t>de</w:t>
      </w:r>
      <w:r>
        <w:rPr>
          <w:spacing w:val="26"/>
        </w:rPr>
        <w:t xml:space="preserve"> </w:t>
      </w:r>
      <w:r>
        <w:t>Colombia</w:t>
      </w:r>
      <w:r>
        <w:rPr>
          <w:spacing w:val="27"/>
        </w:rPr>
        <w:t xml:space="preserve"> </w:t>
      </w:r>
      <w:r>
        <w:t>y</w:t>
      </w:r>
      <w:r>
        <w:rPr>
          <w:spacing w:val="27"/>
        </w:rPr>
        <w:t xml:space="preserve"> </w:t>
      </w:r>
      <w:r>
        <w:t>Consejería</w:t>
      </w:r>
      <w:r>
        <w:rPr>
          <w:spacing w:val="28"/>
        </w:rPr>
        <w:t xml:space="preserve"> </w:t>
      </w:r>
      <w:r>
        <w:t>Presidencial</w:t>
      </w:r>
      <w:r>
        <w:rPr>
          <w:spacing w:val="28"/>
        </w:rPr>
        <w:t xml:space="preserve"> </w:t>
      </w:r>
      <w:r>
        <w:t>para</w:t>
      </w:r>
      <w:r>
        <w:rPr>
          <w:spacing w:val="27"/>
        </w:rPr>
        <w:t xml:space="preserve"> </w:t>
      </w:r>
      <w:r>
        <w:t>los</w:t>
      </w:r>
      <w:r>
        <w:rPr>
          <w:spacing w:val="28"/>
        </w:rPr>
        <w:t xml:space="preserve"> </w:t>
      </w:r>
      <w:r>
        <w:t>Derechos</w:t>
      </w:r>
      <w:r>
        <w:rPr>
          <w:spacing w:val="28"/>
        </w:rPr>
        <w:t xml:space="preserve"> </w:t>
      </w:r>
      <w:r>
        <w:rPr>
          <w:spacing w:val="-2"/>
        </w:rPr>
        <w:t>Humanos.</w:t>
      </w:r>
    </w:p>
    <w:p w:rsidR="003804AC" w:rsidRPr="00951B0F" w:rsidRDefault="00AF18A5" w:rsidP="0052717E">
      <w:pPr>
        <w:rPr>
          <w:lang w:val="it-IT"/>
        </w:rPr>
      </w:pPr>
      <w:r>
        <w:lastRenderedPageBreak/>
        <w:t>«Panorama</w:t>
      </w:r>
      <w:r>
        <w:tab/>
        <w:t>actual</w:t>
      </w:r>
      <w:r>
        <w:tab/>
      </w:r>
      <w:r>
        <w:rPr>
          <w:spacing w:val="-5"/>
        </w:rPr>
        <w:t>del</w:t>
      </w:r>
      <w:r>
        <w:tab/>
        <w:t>Magdalena</w:t>
      </w:r>
      <w:r>
        <w:tab/>
        <w:t>Medio».</w:t>
      </w:r>
      <w:r>
        <w:tab/>
      </w:r>
      <w:r w:rsidRPr="00951B0F">
        <w:rPr>
          <w:lang w:val="it-IT"/>
        </w:rPr>
        <w:t>2001.</w:t>
      </w:r>
    </w:p>
    <w:p w:rsidR="003804AC" w:rsidRDefault="00B93F6A" w:rsidP="0052717E">
      <w:hyperlink r:id="rId141">
        <w:r w:rsidR="00AF18A5" w:rsidRPr="00951B0F">
          <w:rPr>
            <w:spacing w:val="-2"/>
            <w:lang w:val="it-IT"/>
          </w:rPr>
          <w:t>http://www.archivodelosddhh.gov.co/saia_release1/fondos/carpeta_digitalizacion/co_juzgado_</w:t>
        </w:r>
      </w:hyperlink>
      <w:r w:rsidR="00AF18A5" w:rsidRPr="00951B0F">
        <w:rPr>
          <w:spacing w:val="-2"/>
          <w:lang w:val="it-IT"/>
        </w:rPr>
        <w:t xml:space="preserve"> </w:t>
      </w:r>
      <w:hyperlink r:id="rId142">
        <w:r w:rsidR="00AF18A5" w:rsidRPr="00951B0F">
          <w:rPr>
            <w:lang w:val="it-IT"/>
          </w:rPr>
          <w:t xml:space="preserve">primero_bmanga/12. </w:t>
        </w:r>
        <w:r w:rsidR="00AF18A5">
          <w:t>%202015-030 %20BLADIMIR %20L %C3 %93PEZ %20CARO/2015-</w:t>
        </w:r>
      </w:hyperlink>
      <w:hyperlink r:id="rId143">
        <w:r w:rsidR="00AF18A5">
          <w:rPr>
            <w:spacing w:val="-2"/>
          </w:rPr>
          <w:t>04_Abr-</w:t>
        </w:r>
      </w:hyperlink>
    </w:p>
    <w:p w:rsidR="0011361F" w:rsidRDefault="00B93F6A" w:rsidP="0052717E">
      <w:hyperlink r:id="rId144">
        <w:r w:rsidR="00AF18A5">
          <w:t>D680013121001201500030000Recepci</w:t>
        </w:r>
        <w:r w:rsidR="00AF18A5">
          <w:rPr>
            <w:spacing w:val="-4"/>
          </w:rPr>
          <w:t xml:space="preserve"> </w:t>
        </w:r>
        <w:r w:rsidR="00AF18A5">
          <w:t>%C3</w:t>
        </w:r>
        <w:r w:rsidR="00AF18A5">
          <w:rPr>
            <w:spacing w:val="-2"/>
          </w:rPr>
          <w:t xml:space="preserve"> </w:t>
        </w:r>
        <w:r w:rsidR="00AF18A5">
          <w:t>%B3n</w:t>
        </w:r>
        <w:r w:rsidR="00AF18A5">
          <w:rPr>
            <w:spacing w:val="-1"/>
          </w:rPr>
          <w:t xml:space="preserve"> </w:t>
        </w:r>
        <w:r w:rsidR="00AF18A5">
          <w:rPr>
            <w:spacing w:val="-2"/>
          </w:rPr>
          <w:t>%20memorial2015427144813.pdf</w:t>
        </w:r>
      </w:hyperlink>
      <w:r w:rsidR="00AF18A5">
        <w:rPr>
          <w:spacing w:val="-2"/>
        </w:rPr>
        <w:t>.</w:t>
      </w:r>
    </w:p>
    <w:p w:rsidR="003804AC" w:rsidRDefault="00AF18A5" w:rsidP="0052717E">
      <w:r>
        <w:t>Villegas,</w:t>
      </w:r>
      <w:r>
        <w:rPr>
          <w:spacing w:val="10"/>
        </w:rPr>
        <w:t xml:space="preserve"> </w:t>
      </w:r>
      <w:r>
        <w:t>Miguel</w:t>
      </w:r>
      <w:r>
        <w:rPr>
          <w:spacing w:val="13"/>
        </w:rPr>
        <w:t xml:space="preserve"> </w:t>
      </w:r>
      <w:r>
        <w:t>Ángel</w:t>
      </w:r>
      <w:r>
        <w:rPr>
          <w:spacing w:val="12"/>
        </w:rPr>
        <w:t xml:space="preserve"> </w:t>
      </w:r>
      <w:r>
        <w:t>Beltrán.</w:t>
      </w:r>
      <w:r>
        <w:rPr>
          <w:spacing w:val="13"/>
        </w:rPr>
        <w:t xml:space="preserve"> </w:t>
      </w:r>
      <w:r>
        <w:t>La</w:t>
      </w:r>
      <w:r>
        <w:rPr>
          <w:spacing w:val="12"/>
        </w:rPr>
        <w:t xml:space="preserve"> </w:t>
      </w:r>
      <w:r>
        <w:t>vorágine</w:t>
      </w:r>
      <w:r>
        <w:rPr>
          <w:spacing w:val="13"/>
        </w:rPr>
        <w:t xml:space="preserve"> </w:t>
      </w:r>
      <w:r>
        <w:t>del</w:t>
      </w:r>
      <w:r>
        <w:rPr>
          <w:spacing w:val="12"/>
        </w:rPr>
        <w:t xml:space="preserve"> </w:t>
      </w:r>
      <w:r>
        <w:t>conflicto</w:t>
      </w:r>
      <w:r>
        <w:rPr>
          <w:spacing w:val="12"/>
        </w:rPr>
        <w:t xml:space="preserve"> </w:t>
      </w:r>
      <w:r>
        <w:t>colombiano:</w:t>
      </w:r>
      <w:r>
        <w:rPr>
          <w:spacing w:val="13"/>
        </w:rPr>
        <w:t xml:space="preserve"> </w:t>
      </w:r>
      <w:r>
        <w:t>una</w:t>
      </w:r>
      <w:r>
        <w:rPr>
          <w:spacing w:val="13"/>
        </w:rPr>
        <w:t xml:space="preserve"> </w:t>
      </w:r>
      <w:r>
        <w:t>mirada</w:t>
      </w:r>
      <w:r>
        <w:rPr>
          <w:spacing w:val="13"/>
        </w:rPr>
        <w:t xml:space="preserve"> </w:t>
      </w:r>
      <w:r>
        <w:t>desde</w:t>
      </w:r>
      <w:r>
        <w:rPr>
          <w:spacing w:val="13"/>
        </w:rPr>
        <w:t xml:space="preserve"> </w:t>
      </w:r>
      <w:r>
        <w:t>las</w:t>
      </w:r>
      <w:r>
        <w:rPr>
          <w:spacing w:val="12"/>
        </w:rPr>
        <w:t xml:space="preserve"> </w:t>
      </w:r>
      <w:r>
        <w:rPr>
          <w:spacing w:val="-2"/>
        </w:rPr>
        <w:t>cárceles.</w:t>
      </w:r>
    </w:p>
    <w:p w:rsidR="0052717E" w:rsidRDefault="00AF18A5" w:rsidP="0052717E">
      <w:pPr>
        <w:rPr>
          <w:spacing w:val="-2"/>
        </w:rPr>
      </w:pPr>
      <w:r>
        <w:t>Ciudad</w:t>
      </w:r>
      <w:r>
        <w:rPr>
          <w:spacing w:val="-5"/>
        </w:rPr>
        <w:t xml:space="preserve"> </w:t>
      </w:r>
      <w:r>
        <w:t>de</w:t>
      </w:r>
      <w:r>
        <w:rPr>
          <w:spacing w:val="-4"/>
        </w:rPr>
        <w:t xml:space="preserve"> </w:t>
      </w:r>
      <w:r>
        <w:t>México:</w:t>
      </w:r>
      <w:r>
        <w:rPr>
          <w:spacing w:val="-2"/>
        </w:rPr>
        <w:t xml:space="preserve"> </w:t>
      </w:r>
      <w:r>
        <w:t>Consejo</w:t>
      </w:r>
      <w:r>
        <w:rPr>
          <w:spacing w:val="-3"/>
        </w:rPr>
        <w:t xml:space="preserve"> </w:t>
      </w:r>
      <w:r>
        <w:t>Latinoamericano</w:t>
      </w:r>
      <w:r>
        <w:rPr>
          <w:spacing w:val="-3"/>
        </w:rPr>
        <w:t xml:space="preserve"> </w:t>
      </w:r>
      <w:r>
        <w:t>de</w:t>
      </w:r>
      <w:r>
        <w:rPr>
          <w:spacing w:val="-3"/>
        </w:rPr>
        <w:t xml:space="preserve"> </w:t>
      </w:r>
      <w:r>
        <w:t>Ciencias</w:t>
      </w:r>
      <w:r>
        <w:rPr>
          <w:spacing w:val="-2"/>
        </w:rPr>
        <w:t xml:space="preserve"> </w:t>
      </w:r>
      <w:r>
        <w:t>Sociales</w:t>
      </w:r>
      <w:r>
        <w:rPr>
          <w:spacing w:val="-3"/>
        </w:rPr>
        <w:t xml:space="preserve"> </w:t>
      </w:r>
      <w:r>
        <w:t>(CLACSO),</w:t>
      </w:r>
      <w:r>
        <w:rPr>
          <w:spacing w:val="-2"/>
        </w:rPr>
        <w:t xml:space="preserve"> 2018.</w:t>
      </w:r>
    </w:p>
    <w:p w:rsidR="0052717E" w:rsidRDefault="0052717E">
      <w:pPr>
        <w:spacing w:before="0" w:after="0" w:line="240" w:lineRule="auto"/>
        <w:rPr>
          <w:spacing w:val="-2"/>
        </w:rPr>
      </w:pPr>
      <w:r>
        <w:rPr>
          <w:spacing w:val="-2"/>
        </w:rPr>
        <w:br w:type="page"/>
      </w:r>
    </w:p>
    <w:p w:rsidR="003804AC" w:rsidRDefault="00AF18A5" w:rsidP="004A6EF4">
      <w:pPr>
        <w:pStyle w:val="Ttulo2"/>
        <w:numPr>
          <w:ilvl w:val="0"/>
          <w:numId w:val="16"/>
        </w:numPr>
      </w:pPr>
      <w:bookmarkStart w:id="658" w:name="6._NARCOTRÁFICO_COMO_PROTAGONISTA_DEL_CO"/>
      <w:bookmarkStart w:id="659" w:name="_Toc112399604"/>
      <w:bookmarkEnd w:id="658"/>
      <w:r>
        <w:lastRenderedPageBreak/>
        <w:t>NARCOTRÁFICO</w:t>
      </w:r>
      <w:r>
        <w:rPr>
          <w:spacing w:val="80"/>
        </w:rPr>
        <w:t xml:space="preserve"> </w:t>
      </w:r>
      <w:r>
        <w:t>COMO</w:t>
      </w:r>
      <w:r>
        <w:rPr>
          <w:spacing w:val="80"/>
        </w:rPr>
        <w:t xml:space="preserve"> </w:t>
      </w:r>
      <w:r>
        <w:t>PROTAGONISTA</w:t>
      </w:r>
      <w:r>
        <w:rPr>
          <w:spacing w:val="80"/>
        </w:rPr>
        <w:t xml:space="preserve"> </w:t>
      </w:r>
      <w:r>
        <w:t>DEL</w:t>
      </w:r>
      <w:r>
        <w:rPr>
          <w:spacing w:val="80"/>
        </w:rPr>
        <w:t xml:space="preserve"> </w:t>
      </w:r>
      <w:r>
        <w:t>CONFLICTO ARMADO Y FACTOR DE SU PERSISTENCIA</w:t>
      </w:r>
      <w:bookmarkEnd w:id="659"/>
    </w:p>
    <w:p w:rsidR="003804AC" w:rsidRDefault="00AF18A5" w:rsidP="0038607A">
      <w:r>
        <w:t>El narcotráfico se ha considerado habitualmente como un problema de criminalidad organizada</w:t>
      </w:r>
      <w:r>
        <w:rPr>
          <w:spacing w:val="-15"/>
        </w:rPr>
        <w:t xml:space="preserve"> </w:t>
      </w:r>
      <w:r>
        <w:t>que</w:t>
      </w:r>
      <w:r>
        <w:rPr>
          <w:spacing w:val="-15"/>
        </w:rPr>
        <w:t xml:space="preserve"> </w:t>
      </w:r>
      <w:r>
        <w:t>tiene</w:t>
      </w:r>
      <w:r>
        <w:rPr>
          <w:spacing w:val="-15"/>
        </w:rPr>
        <w:t xml:space="preserve"> </w:t>
      </w:r>
      <w:r>
        <w:t>poca</w:t>
      </w:r>
      <w:r>
        <w:rPr>
          <w:spacing w:val="-15"/>
        </w:rPr>
        <w:t xml:space="preserve"> </w:t>
      </w:r>
      <w:r>
        <w:t>relación</w:t>
      </w:r>
      <w:r>
        <w:rPr>
          <w:spacing w:val="-15"/>
        </w:rPr>
        <w:t xml:space="preserve"> </w:t>
      </w:r>
      <w:r>
        <w:t>con</w:t>
      </w:r>
      <w:r>
        <w:rPr>
          <w:spacing w:val="-15"/>
        </w:rPr>
        <w:t xml:space="preserve"> </w:t>
      </w:r>
      <w:r>
        <w:t>el</w:t>
      </w:r>
      <w:r>
        <w:rPr>
          <w:spacing w:val="-14"/>
        </w:rPr>
        <w:t xml:space="preserve"> </w:t>
      </w:r>
      <w:r>
        <w:t>conflicto</w:t>
      </w:r>
      <w:r>
        <w:rPr>
          <w:spacing w:val="-15"/>
        </w:rPr>
        <w:t xml:space="preserve"> </w:t>
      </w:r>
      <w:r>
        <w:t>armado.</w:t>
      </w:r>
      <w:r>
        <w:rPr>
          <w:spacing w:val="-15"/>
        </w:rPr>
        <w:t xml:space="preserve"> </w:t>
      </w:r>
      <w:r>
        <w:t>La</w:t>
      </w:r>
      <w:r>
        <w:rPr>
          <w:spacing w:val="-14"/>
        </w:rPr>
        <w:t xml:space="preserve"> </w:t>
      </w:r>
      <w:r>
        <w:t>salvedad</w:t>
      </w:r>
      <w:r>
        <w:rPr>
          <w:spacing w:val="-15"/>
        </w:rPr>
        <w:t xml:space="preserve"> </w:t>
      </w:r>
      <w:r>
        <w:t>se</w:t>
      </w:r>
      <w:r>
        <w:rPr>
          <w:spacing w:val="-14"/>
        </w:rPr>
        <w:t xml:space="preserve"> </w:t>
      </w:r>
      <w:r>
        <w:t>hace</w:t>
      </w:r>
      <w:r>
        <w:rPr>
          <w:spacing w:val="-15"/>
        </w:rPr>
        <w:t xml:space="preserve"> </w:t>
      </w:r>
      <w:r>
        <w:t>en</w:t>
      </w:r>
      <w:r>
        <w:rPr>
          <w:spacing w:val="-15"/>
        </w:rPr>
        <w:t xml:space="preserve"> </w:t>
      </w:r>
      <w:r>
        <w:t>lo</w:t>
      </w:r>
      <w:r>
        <w:rPr>
          <w:spacing w:val="-15"/>
        </w:rPr>
        <w:t xml:space="preserve"> </w:t>
      </w:r>
      <w:r>
        <w:t>relativo a la financiación de grupos ilegales, específicamente cuyo ejemplo más reiterado son las guerrillas y los paramilitares. Menos atención tiene el vínculo entre las políticas de lucha contra las drogas y el conflicto armado, el cual generalmente se ha medido a partir del aumento de las hectáreas con cultivos de coca, cuya persistencia muestra el fracaso de la llamada «guerra contra las drogas». Una visión que se ha convertido en parte del problema que</w:t>
      </w:r>
      <w:r>
        <w:rPr>
          <w:spacing w:val="-3"/>
        </w:rPr>
        <w:t xml:space="preserve"> </w:t>
      </w:r>
      <w:r>
        <w:t>espolea</w:t>
      </w:r>
      <w:r>
        <w:rPr>
          <w:spacing w:val="-5"/>
        </w:rPr>
        <w:t xml:space="preserve"> </w:t>
      </w:r>
      <w:r>
        <w:t>la</w:t>
      </w:r>
      <w:r>
        <w:rPr>
          <w:spacing w:val="-3"/>
        </w:rPr>
        <w:t xml:space="preserve"> </w:t>
      </w:r>
      <w:r>
        <w:t>violencia,</w:t>
      </w:r>
      <w:r>
        <w:rPr>
          <w:spacing w:val="-5"/>
        </w:rPr>
        <w:t xml:space="preserve"> </w:t>
      </w:r>
      <w:r>
        <w:t>en</w:t>
      </w:r>
      <w:r>
        <w:rPr>
          <w:spacing w:val="-4"/>
        </w:rPr>
        <w:t xml:space="preserve"> </w:t>
      </w:r>
      <w:r>
        <w:t>especial</w:t>
      </w:r>
      <w:r>
        <w:rPr>
          <w:spacing w:val="-6"/>
        </w:rPr>
        <w:t xml:space="preserve"> </w:t>
      </w:r>
      <w:r>
        <w:t>contra</w:t>
      </w:r>
      <w:r>
        <w:rPr>
          <w:spacing w:val="-5"/>
        </w:rPr>
        <w:t xml:space="preserve"> </w:t>
      </w:r>
      <w:r>
        <w:t>el</w:t>
      </w:r>
      <w:r>
        <w:rPr>
          <w:spacing w:val="-3"/>
        </w:rPr>
        <w:t xml:space="preserve"> </w:t>
      </w:r>
      <w:r>
        <w:t>campesinado</w:t>
      </w:r>
      <w:r>
        <w:rPr>
          <w:spacing w:val="-4"/>
        </w:rPr>
        <w:t xml:space="preserve"> </w:t>
      </w:r>
      <w:r>
        <w:t>y</w:t>
      </w:r>
      <w:r>
        <w:rPr>
          <w:spacing w:val="-5"/>
        </w:rPr>
        <w:t xml:space="preserve"> </w:t>
      </w:r>
      <w:r>
        <w:t>las</w:t>
      </w:r>
      <w:r>
        <w:rPr>
          <w:spacing w:val="-3"/>
        </w:rPr>
        <w:t xml:space="preserve"> </w:t>
      </w:r>
      <w:r>
        <w:t>comunidades</w:t>
      </w:r>
      <w:r>
        <w:rPr>
          <w:spacing w:val="-3"/>
        </w:rPr>
        <w:t xml:space="preserve"> </w:t>
      </w:r>
      <w:r>
        <w:t>étnicas</w:t>
      </w:r>
      <w:r>
        <w:rPr>
          <w:spacing w:val="-6"/>
        </w:rPr>
        <w:t xml:space="preserve"> </w:t>
      </w:r>
      <w:r>
        <w:t>en</w:t>
      </w:r>
      <w:r>
        <w:rPr>
          <w:spacing w:val="-4"/>
        </w:rPr>
        <w:t xml:space="preserve"> </w:t>
      </w:r>
      <w:r>
        <w:t xml:space="preserve">las </w:t>
      </w:r>
      <w:r>
        <w:rPr>
          <w:spacing w:val="-2"/>
        </w:rPr>
        <w:t>regiones.</w:t>
      </w:r>
    </w:p>
    <w:p w:rsidR="003804AC" w:rsidRDefault="00AF18A5" w:rsidP="0038607A">
      <w:r>
        <w:t>Para la Comisión de la Verdad, el narcotráfico debe verse como un protagonista del conflicto</w:t>
      </w:r>
      <w:r>
        <w:rPr>
          <w:spacing w:val="11"/>
        </w:rPr>
        <w:t xml:space="preserve"> </w:t>
      </w:r>
      <w:r>
        <w:t>armado</w:t>
      </w:r>
      <w:r>
        <w:rPr>
          <w:spacing w:val="11"/>
        </w:rPr>
        <w:t xml:space="preserve"> </w:t>
      </w:r>
      <w:r>
        <w:t>colombiano</w:t>
      </w:r>
      <w:r>
        <w:rPr>
          <w:spacing w:val="11"/>
        </w:rPr>
        <w:t xml:space="preserve"> </w:t>
      </w:r>
      <w:r>
        <w:t>y</w:t>
      </w:r>
      <w:r>
        <w:rPr>
          <w:spacing w:val="12"/>
        </w:rPr>
        <w:t xml:space="preserve"> </w:t>
      </w:r>
      <w:r>
        <w:t>como</w:t>
      </w:r>
      <w:r>
        <w:rPr>
          <w:spacing w:val="11"/>
        </w:rPr>
        <w:t xml:space="preserve"> </w:t>
      </w:r>
      <w:r>
        <w:t>un</w:t>
      </w:r>
      <w:r>
        <w:rPr>
          <w:spacing w:val="11"/>
        </w:rPr>
        <w:t xml:space="preserve"> </w:t>
      </w:r>
      <w:r>
        <w:t>factor</w:t>
      </w:r>
      <w:r>
        <w:rPr>
          <w:spacing w:val="11"/>
        </w:rPr>
        <w:t xml:space="preserve"> </w:t>
      </w:r>
      <w:r>
        <w:t>de</w:t>
      </w:r>
      <w:r>
        <w:rPr>
          <w:spacing w:val="11"/>
        </w:rPr>
        <w:t xml:space="preserve"> </w:t>
      </w:r>
      <w:r>
        <w:t>persistencia</w:t>
      </w:r>
      <w:r>
        <w:rPr>
          <w:spacing w:val="11"/>
        </w:rPr>
        <w:t xml:space="preserve"> </w:t>
      </w:r>
      <w:r>
        <w:t>del</w:t>
      </w:r>
      <w:r>
        <w:rPr>
          <w:spacing w:val="12"/>
        </w:rPr>
        <w:t xml:space="preserve"> </w:t>
      </w:r>
      <w:r>
        <w:t>mismo</w:t>
      </w:r>
      <w:r w:rsidR="0038607A">
        <w:rPr>
          <w:rStyle w:val="Refdenotaalpie"/>
        </w:rPr>
        <w:footnoteReference w:id="497"/>
      </w:r>
      <w:r>
        <w:t>,</w:t>
      </w:r>
      <w:r>
        <w:rPr>
          <w:spacing w:val="11"/>
        </w:rPr>
        <w:t xml:space="preserve"> </w:t>
      </w:r>
      <w:r>
        <w:t>pero</w:t>
      </w:r>
      <w:r>
        <w:rPr>
          <w:spacing w:val="11"/>
        </w:rPr>
        <w:t xml:space="preserve"> </w:t>
      </w:r>
      <w:r>
        <w:rPr>
          <w:spacing w:val="-2"/>
        </w:rPr>
        <w:t>también</w:t>
      </w:r>
      <w:bookmarkStart w:id="660" w:name="_bookmark556"/>
      <w:bookmarkEnd w:id="660"/>
      <w:r w:rsidR="0038607A">
        <w:rPr>
          <w:spacing w:val="-2"/>
        </w:rPr>
        <w:t xml:space="preserve"> </w:t>
      </w:r>
      <w:r>
        <w:t xml:space="preserve">como una fuerte influencia </w:t>
      </w:r>
      <w:r>
        <w:lastRenderedPageBreak/>
        <w:t>sobre la política y la economía del país, debido a que reproduce un modo de acumulación mafioso (usa la violencia) de riqueza y poder, a partir de una economía ilegalizada por el prohibicionismo, la cual necesita ser legalizada después por medio del sistema económico nacional e internacional.</w:t>
      </w:r>
    </w:p>
    <w:p w:rsidR="003804AC" w:rsidRDefault="00AF18A5" w:rsidP="0012607D">
      <w:r>
        <w:t>Todos los actores involucrados en el conflicto armado de manera directa o indirecta han tenido relaciones con el narcotráfico y estas relaciones han sido determinantes en el rumbo de la guerra, su degradación y desenlaces, y especialmente en su continuación. Cada actor armado participó de manera diferenciada en ese proceso en distintas épocas. A partir del creciente involucramiento de las FARC-EP en distintos eslabones de la cadena del narcotráfico</w:t>
      </w:r>
      <w:r>
        <w:rPr>
          <w:spacing w:val="-8"/>
        </w:rPr>
        <w:t xml:space="preserve"> </w:t>
      </w:r>
      <w:r>
        <w:t>para</w:t>
      </w:r>
      <w:r>
        <w:rPr>
          <w:spacing w:val="-7"/>
        </w:rPr>
        <w:t xml:space="preserve"> </w:t>
      </w:r>
      <w:r>
        <w:t>el</w:t>
      </w:r>
      <w:r>
        <w:rPr>
          <w:spacing w:val="-7"/>
        </w:rPr>
        <w:t xml:space="preserve"> </w:t>
      </w:r>
      <w:r>
        <w:t>financiamiento</w:t>
      </w:r>
      <w:r>
        <w:rPr>
          <w:spacing w:val="-8"/>
        </w:rPr>
        <w:t xml:space="preserve"> </w:t>
      </w:r>
      <w:r>
        <w:t>de</w:t>
      </w:r>
      <w:r>
        <w:rPr>
          <w:spacing w:val="-7"/>
        </w:rPr>
        <w:t xml:space="preserve"> </w:t>
      </w:r>
      <w:r>
        <w:t>la</w:t>
      </w:r>
      <w:r>
        <w:rPr>
          <w:spacing w:val="-7"/>
        </w:rPr>
        <w:t xml:space="preserve"> </w:t>
      </w:r>
      <w:r>
        <w:t>guerra,</w:t>
      </w:r>
      <w:r>
        <w:rPr>
          <w:spacing w:val="-7"/>
        </w:rPr>
        <w:t xml:space="preserve"> </w:t>
      </w:r>
      <w:r>
        <w:t>esto</w:t>
      </w:r>
      <w:r>
        <w:rPr>
          <w:spacing w:val="-7"/>
        </w:rPr>
        <w:t xml:space="preserve"> </w:t>
      </w:r>
      <w:r>
        <w:t>cambió</w:t>
      </w:r>
      <w:r>
        <w:rPr>
          <w:spacing w:val="-8"/>
        </w:rPr>
        <w:t xml:space="preserve"> </w:t>
      </w:r>
      <w:r>
        <w:t>la</w:t>
      </w:r>
      <w:r>
        <w:rPr>
          <w:spacing w:val="-7"/>
        </w:rPr>
        <w:t xml:space="preserve"> </w:t>
      </w:r>
      <w:r>
        <w:t>relación</w:t>
      </w:r>
      <w:r>
        <w:rPr>
          <w:spacing w:val="-8"/>
        </w:rPr>
        <w:t xml:space="preserve"> </w:t>
      </w:r>
      <w:r>
        <w:t>entre</w:t>
      </w:r>
      <w:r>
        <w:rPr>
          <w:spacing w:val="-7"/>
        </w:rPr>
        <w:t xml:space="preserve"> </w:t>
      </w:r>
      <w:r>
        <w:t>dicha</w:t>
      </w:r>
      <w:r>
        <w:rPr>
          <w:spacing w:val="-8"/>
        </w:rPr>
        <w:t xml:space="preserve"> </w:t>
      </w:r>
      <w:r>
        <w:t>guerrilla y las comunidades, y llevó a un aumento de la violencia y el control.</w:t>
      </w:r>
    </w:p>
    <w:p w:rsidR="003804AC" w:rsidRDefault="00AF18A5" w:rsidP="0012607D">
      <w:r>
        <w:t xml:space="preserve">Entre tanto, el paramilitarismo construyó una relación orgánica con el narcotráfico y lo convirtió en una bisagra entre el crimen y el poder, con el fin de defender sus intereses y cooptar las etapas más rentables del negocio. Las redes de protección política y económica del narcotráfico contribuyeron a estructurar los entramados de la guerra. Por ejemplo, para obtener legitimidad, los narcotraficantes buscaron convertirse en </w:t>
      </w:r>
      <w:r>
        <w:lastRenderedPageBreak/>
        <w:t>parte fundamental de la contrainsurgencia. Sin embargo, la conformación de estas estructuras no fue progresiva ni estable, sino que condujo permanentemente a alianzas frágiles, inestabilidad y enfrentamientos entre antiguos aliados.</w:t>
      </w:r>
    </w:p>
    <w:p w:rsidR="003804AC" w:rsidRDefault="00AF18A5" w:rsidP="0012607D">
      <w:r>
        <w:t>El narcotráfico y su contraparte, la «guerra contra las drogas», formaron parte de las dinámicas del conflicto armado y contribuyeron a la extensión y degradación de la guerra donde «todo se vale» para derrotar a la insurgencia, servir a los intereses del despojo o, por otro lado, para enfrentar al Estado. El Estado le declaró la guerra al narcotráfico bajo la influencia</w:t>
      </w:r>
      <w:r>
        <w:rPr>
          <w:spacing w:val="31"/>
        </w:rPr>
        <w:t xml:space="preserve"> </w:t>
      </w:r>
      <w:r>
        <w:t>de</w:t>
      </w:r>
      <w:r>
        <w:rPr>
          <w:spacing w:val="31"/>
        </w:rPr>
        <w:t xml:space="preserve"> </w:t>
      </w:r>
      <w:r>
        <w:t>las</w:t>
      </w:r>
      <w:r>
        <w:rPr>
          <w:spacing w:val="31"/>
        </w:rPr>
        <w:t xml:space="preserve"> </w:t>
      </w:r>
      <w:r>
        <w:t>políticas</w:t>
      </w:r>
      <w:r>
        <w:rPr>
          <w:spacing w:val="31"/>
        </w:rPr>
        <w:t xml:space="preserve"> </w:t>
      </w:r>
      <w:r>
        <w:t>estadounidenses</w:t>
      </w:r>
      <w:r>
        <w:rPr>
          <w:spacing w:val="31"/>
        </w:rPr>
        <w:t xml:space="preserve"> </w:t>
      </w:r>
      <w:r>
        <w:t>desde</w:t>
      </w:r>
      <w:r>
        <w:rPr>
          <w:spacing w:val="31"/>
        </w:rPr>
        <w:t xml:space="preserve"> </w:t>
      </w:r>
      <w:r>
        <w:t>los</w:t>
      </w:r>
      <w:r>
        <w:rPr>
          <w:spacing w:val="31"/>
        </w:rPr>
        <w:t xml:space="preserve"> </w:t>
      </w:r>
      <w:r>
        <w:t>años</w:t>
      </w:r>
      <w:r>
        <w:rPr>
          <w:spacing w:val="31"/>
        </w:rPr>
        <w:t xml:space="preserve"> </w:t>
      </w:r>
      <w:r>
        <w:t>ochenta,</w:t>
      </w:r>
      <w:r>
        <w:rPr>
          <w:spacing w:val="31"/>
        </w:rPr>
        <w:t xml:space="preserve"> </w:t>
      </w:r>
      <w:r>
        <w:t>y</w:t>
      </w:r>
      <w:r>
        <w:rPr>
          <w:spacing w:val="31"/>
        </w:rPr>
        <w:t xml:space="preserve"> </w:t>
      </w:r>
      <w:r>
        <w:t>esta</w:t>
      </w:r>
      <w:r>
        <w:rPr>
          <w:spacing w:val="31"/>
        </w:rPr>
        <w:t xml:space="preserve"> </w:t>
      </w:r>
      <w:r>
        <w:t>fue</w:t>
      </w:r>
      <w:r>
        <w:rPr>
          <w:spacing w:val="31"/>
        </w:rPr>
        <w:t xml:space="preserve"> </w:t>
      </w:r>
      <w:r>
        <w:t>una</w:t>
      </w:r>
      <w:r>
        <w:rPr>
          <w:spacing w:val="31"/>
        </w:rPr>
        <w:t xml:space="preserve"> </w:t>
      </w:r>
      <w:r>
        <w:t>de</w:t>
      </w:r>
      <w:r>
        <w:rPr>
          <w:spacing w:val="31"/>
        </w:rPr>
        <w:t xml:space="preserve"> </w:t>
      </w:r>
      <w:r>
        <w:rPr>
          <w:spacing w:val="-5"/>
        </w:rPr>
        <w:t>las</w:t>
      </w:r>
      <w:r w:rsidR="0012607D">
        <w:rPr>
          <w:spacing w:val="-5"/>
        </w:rPr>
        <w:t xml:space="preserve"> </w:t>
      </w:r>
      <w:r>
        <w:t>razones</w:t>
      </w:r>
      <w:r>
        <w:rPr>
          <w:spacing w:val="-7"/>
        </w:rPr>
        <w:t xml:space="preserve"> </w:t>
      </w:r>
      <w:r>
        <w:t>por</w:t>
      </w:r>
      <w:r>
        <w:rPr>
          <w:spacing w:val="-8"/>
        </w:rPr>
        <w:t xml:space="preserve"> </w:t>
      </w:r>
      <w:r>
        <w:t>las</w:t>
      </w:r>
      <w:r>
        <w:rPr>
          <w:spacing w:val="-7"/>
        </w:rPr>
        <w:t xml:space="preserve"> </w:t>
      </w:r>
      <w:r>
        <w:t>que</w:t>
      </w:r>
      <w:r>
        <w:rPr>
          <w:spacing w:val="-8"/>
        </w:rPr>
        <w:t xml:space="preserve"> </w:t>
      </w:r>
      <w:r>
        <w:t>se</w:t>
      </w:r>
      <w:r>
        <w:rPr>
          <w:spacing w:val="-7"/>
        </w:rPr>
        <w:t xml:space="preserve"> </w:t>
      </w:r>
      <w:r>
        <w:t>convirtió</w:t>
      </w:r>
      <w:r>
        <w:rPr>
          <w:spacing w:val="-7"/>
        </w:rPr>
        <w:t xml:space="preserve"> </w:t>
      </w:r>
      <w:r>
        <w:t>en</w:t>
      </w:r>
      <w:r>
        <w:rPr>
          <w:spacing w:val="-7"/>
        </w:rPr>
        <w:t xml:space="preserve"> </w:t>
      </w:r>
      <w:r>
        <w:t>actor</w:t>
      </w:r>
      <w:r>
        <w:rPr>
          <w:spacing w:val="-7"/>
        </w:rPr>
        <w:t xml:space="preserve"> </w:t>
      </w:r>
      <w:r>
        <w:t>de</w:t>
      </w:r>
      <w:r>
        <w:rPr>
          <w:spacing w:val="-8"/>
        </w:rPr>
        <w:t xml:space="preserve"> </w:t>
      </w:r>
      <w:r>
        <w:t>la</w:t>
      </w:r>
      <w:r>
        <w:rPr>
          <w:spacing w:val="-7"/>
        </w:rPr>
        <w:t xml:space="preserve"> </w:t>
      </w:r>
      <w:r>
        <w:t>confrontación.</w:t>
      </w:r>
      <w:r>
        <w:rPr>
          <w:spacing w:val="-8"/>
        </w:rPr>
        <w:t xml:space="preserve"> </w:t>
      </w:r>
      <w:r>
        <w:t>Primero,</w:t>
      </w:r>
      <w:r>
        <w:rPr>
          <w:spacing w:val="-7"/>
        </w:rPr>
        <w:t xml:space="preserve"> </w:t>
      </w:r>
      <w:r>
        <w:t>con</w:t>
      </w:r>
      <w:r>
        <w:rPr>
          <w:spacing w:val="-7"/>
        </w:rPr>
        <w:t xml:space="preserve"> </w:t>
      </w:r>
      <w:r>
        <w:t>las</w:t>
      </w:r>
      <w:r>
        <w:rPr>
          <w:spacing w:val="-7"/>
        </w:rPr>
        <w:t xml:space="preserve"> </w:t>
      </w:r>
      <w:r>
        <w:t>disputas</w:t>
      </w:r>
      <w:r>
        <w:rPr>
          <w:spacing w:val="-7"/>
        </w:rPr>
        <w:t xml:space="preserve"> </w:t>
      </w:r>
      <w:r>
        <w:t>por</w:t>
      </w:r>
      <w:r>
        <w:rPr>
          <w:spacing w:val="-7"/>
        </w:rPr>
        <w:t xml:space="preserve"> </w:t>
      </w:r>
      <w:r>
        <w:t>el control del negocio entre los carteles y, después, integrándose en la lucha contrainsurgente.</w:t>
      </w:r>
    </w:p>
    <w:p w:rsidR="003804AC" w:rsidRDefault="00AF18A5" w:rsidP="0012607D">
      <w:r>
        <w:t>La</w:t>
      </w:r>
      <w:r>
        <w:rPr>
          <w:spacing w:val="21"/>
        </w:rPr>
        <w:t xml:space="preserve"> </w:t>
      </w:r>
      <w:r>
        <w:t>política</w:t>
      </w:r>
      <w:r>
        <w:rPr>
          <w:spacing w:val="22"/>
        </w:rPr>
        <w:t xml:space="preserve"> </w:t>
      </w:r>
      <w:r>
        <w:t>antidrogas</w:t>
      </w:r>
      <w:r>
        <w:rPr>
          <w:spacing w:val="24"/>
        </w:rPr>
        <w:t xml:space="preserve"> </w:t>
      </w:r>
      <w:r>
        <w:t>se</w:t>
      </w:r>
      <w:r>
        <w:rPr>
          <w:spacing w:val="23"/>
        </w:rPr>
        <w:t xml:space="preserve"> </w:t>
      </w:r>
      <w:r>
        <w:t>ha</w:t>
      </w:r>
      <w:r>
        <w:rPr>
          <w:spacing w:val="24"/>
        </w:rPr>
        <w:t xml:space="preserve"> </w:t>
      </w:r>
      <w:r>
        <w:t>entendido</w:t>
      </w:r>
      <w:r>
        <w:rPr>
          <w:spacing w:val="23"/>
        </w:rPr>
        <w:t xml:space="preserve"> </w:t>
      </w:r>
      <w:r>
        <w:t>como</w:t>
      </w:r>
      <w:r>
        <w:rPr>
          <w:spacing w:val="23"/>
        </w:rPr>
        <w:t xml:space="preserve"> </w:t>
      </w:r>
      <w:r>
        <w:t>una</w:t>
      </w:r>
      <w:r>
        <w:rPr>
          <w:spacing w:val="24"/>
        </w:rPr>
        <w:t xml:space="preserve"> </w:t>
      </w:r>
      <w:r>
        <w:t>guerra</w:t>
      </w:r>
      <w:r>
        <w:rPr>
          <w:spacing w:val="23"/>
        </w:rPr>
        <w:t xml:space="preserve"> </w:t>
      </w:r>
      <w:r>
        <w:t>en</w:t>
      </w:r>
      <w:r>
        <w:rPr>
          <w:spacing w:val="22"/>
        </w:rPr>
        <w:t xml:space="preserve"> </w:t>
      </w:r>
      <w:r>
        <w:t>la</w:t>
      </w:r>
      <w:r>
        <w:rPr>
          <w:spacing w:val="23"/>
        </w:rPr>
        <w:t xml:space="preserve"> </w:t>
      </w:r>
      <w:r>
        <w:t>que</w:t>
      </w:r>
      <w:r>
        <w:rPr>
          <w:spacing w:val="23"/>
        </w:rPr>
        <w:t xml:space="preserve"> </w:t>
      </w:r>
      <w:r>
        <w:t>los</w:t>
      </w:r>
      <w:r>
        <w:rPr>
          <w:spacing w:val="24"/>
        </w:rPr>
        <w:t xml:space="preserve"> </w:t>
      </w:r>
      <w:r>
        <w:t>enemigos</w:t>
      </w:r>
      <w:r>
        <w:rPr>
          <w:spacing w:val="23"/>
        </w:rPr>
        <w:t xml:space="preserve"> </w:t>
      </w:r>
      <w:r>
        <w:t>son</w:t>
      </w:r>
      <w:r>
        <w:rPr>
          <w:spacing w:val="24"/>
        </w:rPr>
        <w:t xml:space="preserve"> </w:t>
      </w:r>
      <w:r>
        <w:rPr>
          <w:spacing w:val="-5"/>
        </w:rPr>
        <w:t>la</w:t>
      </w:r>
      <w:r w:rsidR="0012607D">
        <w:t xml:space="preserve"> </w:t>
      </w:r>
      <w:r>
        <w:t>«</w:t>
      </w:r>
      <w:proofErr w:type="spellStart"/>
      <w:r>
        <w:t>narcoguerrilla</w:t>
      </w:r>
      <w:proofErr w:type="spellEnd"/>
      <w:r>
        <w:t>» y el campesino cocalero, señalado de ser un «</w:t>
      </w:r>
      <w:proofErr w:type="spellStart"/>
      <w:r>
        <w:t>narcocultivador</w:t>
      </w:r>
      <w:proofErr w:type="spellEnd"/>
      <w:r>
        <w:t xml:space="preserve">». Mientras tanto, los narcotraficantes, a pesar de que algunos han ido siendo capturados y algunas organizaciones descabezadas, han actuado en conjunto con una parte de la clase política y con sectores económicos importantes, y se han constituido </w:t>
      </w:r>
      <w:r>
        <w:rPr>
          <w:i/>
        </w:rPr>
        <w:t xml:space="preserve">de facto </w:t>
      </w:r>
      <w:r>
        <w:t>como miembros de algunas</w:t>
      </w:r>
      <w:r>
        <w:rPr>
          <w:spacing w:val="-7"/>
        </w:rPr>
        <w:t xml:space="preserve"> </w:t>
      </w:r>
      <w:r>
        <w:t>élites,</w:t>
      </w:r>
      <w:r>
        <w:rPr>
          <w:spacing w:val="-6"/>
        </w:rPr>
        <w:t xml:space="preserve"> </w:t>
      </w:r>
      <w:r>
        <w:t>lo</w:t>
      </w:r>
      <w:r>
        <w:rPr>
          <w:spacing w:val="-6"/>
        </w:rPr>
        <w:t xml:space="preserve"> </w:t>
      </w:r>
      <w:r>
        <w:t>que</w:t>
      </w:r>
      <w:r>
        <w:rPr>
          <w:spacing w:val="-7"/>
        </w:rPr>
        <w:t xml:space="preserve"> </w:t>
      </w:r>
      <w:r>
        <w:t>ha</w:t>
      </w:r>
      <w:r>
        <w:rPr>
          <w:spacing w:val="-7"/>
        </w:rPr>
        <w:t xml:space="preserve"> </w:t>
      </w:r>
      <w:r>
        <w:t>conducido</w:t>
      </w:r>
      <w:r>
        <w:rPr>
          <w:spacing w:val="-6"/>
        </w:rPr>
        <w:t xml:space="preserve"> </w:t>
      </w:r>
      <w:r>
        <w:t>a</w:t>
      </w:r>
      <w:r>
        <w:rPr>
          <w:spacing w:val="-8"/>
        </w:rPr>
        <w:t xml:space="preserve"> </w:t>
      </w:r>
      <w:r>
        <w:t>una</w:t>
      </w:r>
      <w:r>
        <w:rPr>
          <w:spacing w:val="-6"/>
        </w:rPr>
        <w:t xml:space="preserve"> </w:t>
      </w:r>
      <w:r>
        <w:t>recomposición</w:t>
      </w:r>
      <w:r>
        <w:rPr>
          <w:spacing w:val="-7"/>
        </w:rPr>
        <w:t xml:space="preserve"> </w:t>
      </w:r>
      <w:r>
        <w:t>de</w:t>
      </w:r>
      <w:r>
        <w:rPr>
          <w:spacing w:val="-6"/>
        </w:rPr>
        <w:t xml:space="preserve"> </w:t>
      </w:r>
      <w:r>
        <w:t>estas</w:t>
      </w:r>
      <w:r>
        <w:rPr>
          <w:spacing w:val="-7"/>
        </w:rPr>
        <w:t xml:space="preserve"> </w:t>
      </w:r>
      <w:r>
        <w:t>en</w:t>
      </w:r>
      <w:r>
        <w:rPr>
          <w:spacing w:val="-6"/>
        </w:rPr>
        <w:t xml:space="preserve"> </w:t>
      </w:r>
      <w:r>
        <w:t>el</w:t>
      </w:r>
      <w:r>
        <w:rPr>
          <w:spacing w:val="-7"/>
        </w:rPr>
        <w:t xml:space="preserve"> </w:t>
      </w:r>
      <w:r>
        <w:t>ámbito</w:t>
      </w:r>
      <w:r>
        <w:rPr>
          <w:spacing w:val="-7"/>
        </w:rPr>
        <w:t xml:space="preserve"> </w:t>
      </w:r>
      <w:r>
        <w:t>local,</w:t>
      </w:r>
      <w:r>
        <w:rPr>
          <w:spacing w:val="-6"/>
        </w:rPr>
        <w:t xml:space="preserve"> </w:t>
      </w:r>
      <w:r>
        <w:t>regional y nacional.</w:t>
      </w:r>
    </w:p>
    <w:p w:rsidR="003804AC" w:rsidRDefault="00AF18A5" w:rsidP="0012607D">
      <w:r>
        <w:t>Por último, el narcotráfico ha tenido en Colombia un profundo impacto en la estructura de la tenencia y el uso de la tierra, en el impacto en la naturaleza y en la estigmatización de las</w:t>
      </w:r>
      <w:r>
        <w:rPr>
          <w:spacing w:val="-9"/>
        </w:rPr>
        <w:t xml:space="preserve"> </w:t>
      </w:r>
      <w:r>
        <w:t>poblaciones</w:t>
      </w:r>
      <w:r>
        <w:rPr>
          <w:spacing w:val="-9"/>
        </w:rPr>
        <w:t xml:space="preserve"> </w:t>
      </w:r>
      <w:r>
        <w:t>asociadas</w:t>
      </w:r>
      <w:r>
        <w:rPr>
          <w:spacing w:val="-9"/>
        </w:rPr>
        <w:t xml:space="preserve"> </w:t>
      </w:r>
      <w:r>
        <w:t>al</w:t>
      </w:r>
      <w:r>
        <w:rPr>
          <w:spacing w:val="-9"/>
        </w:rPr>
        <w:t xml:space="preserve"> </w:t>
      </w:r>
      <w:r>
        <w:t>cultivo.</w:t>
      </w:r>
      <w:r>
        <w:rPr>
          <w:spacing w:val="-12"/>
        </w:rPr>
        <w:t xml:space="preserve"> </w:t>
      </w:r>
      <w:r>
        <w:t>Colombia</w:t>
      </w:r>
      <w:r>
        <w:rPr>
          <w:spacing w:val="-9"/>
        </w:rPr>
        <w:t xml:space="preserve"> </w:t>
      </w:r>
      <w:r>
        <w:t>debe</w:t>
      </w:r>
      <w:r>
        <w:rPr>
          <w:spacing w:val="-9"/>
        </w:rPr>
        <w:t xml:space="preserve"> </w:t>
      </w:r>
      <w:r>
        <w:t>asumir</w:t>
      </w:r>
      <w:r>
        <w:rPr>
          <w:spacing w:val="-9"/>
        </w:rPr>
        <w:t xml:space="preserve"> </w:t>
      </w:r>
      <w:r>
        <w:t>la</w:t>
      </w:r>
      <w:r>
        <w:rPr>
          <w:spacing w:val="-10"/>
        </w:rPr>
        <w:t xml:space="preserve"> </w:t>
      </w:r>
      <w:r>
        <w:t>profundidad</w:t>
      </w:r>
      <w:r>
        <w:rPr>
          <w:spacing w:val="-12"/>
        </w:rPr>
        <w:t xml:space="preserve"> </w:t>
      </w:r>
      <w:r>
        <w:t>de</w:t>
      </w:r>
      <w:r>
        <w:rPr>
          <w:spacing w:val="-9"/>
        </w:rPr>
        <w:t xml:space="preserve"> </w:t>
      </w:r>
      <w:r>
        <w:t>este</w:t>
      </w:r>
      <w:r>
        <w:rPr>
          <w:spacing w:val="-10"/>
        </w:rPr>
        <w:t xml:space="preserve"> </w:t>
      </w:r>
      <w:r>
        <w:t>fenómeno y</w:t>
      </w:r>
      <w:r>
        <w:rPr>
          <w:spacing w:val="-15"/>
        </w:rPr>
        <w:t xml:space="preserve"> </w:t>
      </w:r>
      <w:r>
        <w:t>sus</w:t>
      </w:r>
      <w:r>
        <w:rPr>
          <w:spacing w:val="-15"/>
        </w:rPr>
        <w:t xml:space="preserve"> </w:t>
      </w:r>
      <w:r>
        <w:t>efectos</w:t>
      </w:r>
      <w:r>
        <w:rPr>
          <w:spacing w:val="-15"/>
        </w:rPr>
        <w:t xml:space="preserve"> </w:t>
      </w:r>
      <w:r>
        <w:t>sobre</w:t>
      </w:r>
      <w:r>
        <w:rPr>
          <w:spacing w:val="-15"/>
        </w:rPr>
        <w:t xml:space="preserve"> </w:t>
      </w:r>
      <w:r>
        <w:t>la</w:t>
      </w:r>
      <w:r>
        <w:rPr>
          <w:spacing w:val="-15"/>
        </w:rPr>
        <w:t xml:space="preserve"> </w:t>
      </w:r>
      <w:r>
        <w:t>construcción</w:t>
      </w:r>
      <w:r>
        <w:rPr>
          <w:spacing w:val="-15"/>
        </w:rPr>
        <w:t xml:space="preserve"> </w:t>
      </w:r>
      <w:r>
        <w:t>de</w:t>
      </w:r>
      <w:r>
        <w:rPr>
          <w:spacing w:val="-15"/>
        </w:rPr>
        <w:t xml:space="preserve"> </w:t>
      </w:r>
      <w:r>
        <w:t>la</w:t>
      </w:r>
      <w:r>
        <w:rPr>
          <w:spacing w:val="-15"/>
        </w:rPr>
        <w:t xml:space="preserve"> </w:t>
      </w:r>
      <w:r>
        <w:t>economía</w:t>
      </w:r>
      <w:r>
        <w:rPr>
          <w:spacing w:val="-15"/>
        </w:rPr>
        <w:t xml:space="preserve"> </w:t>
      </w:r>
      <w:r>
        <w:t>y</w:t>
      </w:r>
      <w:r>
        <w:rPr>
          <w:spacing w:val="-15"/>
        </w:rPr>
        <w:t xml:space="preserve"> </w:t>
      </w:r>
      <w:r>
        <w:t>del</w:t>
      </w:r>
      <w:r>
        <w:rPr>
          <w:spacing w:val="-15"/>
        </w:rPr>
        <w:t xml:space="preserve"> </w:t>
      </w:r>
      <w:r>
        <w:t>Estado,</w:t>
      </w:r>
      <w:r>
        <w:rPr>
          <w:spacing w:val="-15"/>
        </w:rPr>
        <w:t xml:space="preserve"> </w:t>
      </w:r>
      <w:r>
        <w:t>pero</w:t>
      </w:r>
      <w:r>
        <w:rPr>
          <w:spacing w:val="-15"/>
        </w:rPr>
        <w:t xml:space="preserve"> </w:t>
      </w:r>
      <w:r>
        <w:t>también</w:t>
      </w:r>
      <w:r>
        <w:rPr>
          <w:spacing w:val="-15"/>
        </w:rPr>
        <w:t xml:space="preserve"> </w:t>
      </w:r>
      <w:r>
        <w:lastRenderedPageBreak/>
        <w:t>sobre</w:t>
      </w:r>
      <w:r>
        <w:rPr>
          <w:spacing w:val="-15"/>
        </w:rPr>
        <w:t xml:space="preserve"> </w:t>
      </w:r>
      <w:r>
        <w:t>la</w:t>
      </w:r>
      <w:r>
        <w:rPr>
          <w:spacing w:val="-15"/>
        </w:rPr>
        <w:t xml:space="preserve"> </w:t>
      </w:r>
      <w:r>
        <w:t>cultura, dimensión en la que ha tenido un impacto muy relevante dada la degradación del conflicto. Estos efectos han anulado la convivencia como parte de una cotidianidad que, tanto en los territorios como en el sistema político, está fuertemente marcada por la ilegalidad.</w:t>
      </w:r>
    </w:p>
    <w:p w:rsidR="0011361F" w:rsidRDefault="00AF18A5" w:rsidP="0012607D">
      <w:r>
        <w:t>La</w:t>
      </w:r>
      <w:r>
        <w:rPr>
          <w:spacing w:val="-4"/>
        </w:rPr>
        <w:t xml:space="preserve"> </w:t>
      </w:r>
      <w:r>
        <w:t>Comisión</w:t>
      </w:r>
      <w:r>
        <w:rPr>
          <w:spacing w:val="-1"/>
        </w:rPr>
        <w:t xml:space="preserve"> </w:t>
      </w:r>
      <w:r>
        <w:t>evidenció</w:t>
      </w:r>
      <w:r>
        <w:rPr>
          <w:spacing w:val="-3"/>
        </w:rPr>
        <w:t xml:space="preserve"> </w:t>
      </w:r>
      <w:r>
        <w:t>cuatro</w:t>
      </w:r>
      <w:r>
        <w:rPr>
          <w:spacing w:val="-3"/>
        </w:rPr>
        <w:t xml:space="preserve"> </w:t>
      </w:r>
      <w:r>
        <w:t>aspectos</w:t>
      </w:r>
      <w:r>
        <w:rPr>
          <w:spacing w:val="-1"/>
        </w:rPr>
        <w:t xml:space="preserve"> </w:t>
      </w:r>
      <w:r>
        <w:t>centrales</w:t>
      </w:r>
      <w:r>
        <w:rPr>
          <w:spacing w:val="-3"/>
        </w:rPr>
        <w:t xml:space="preserve"> </w:t>
      </w:r>
      <w:r>
        <w:t>que</w:t>
      </w:r>
      <w:r>
        <w:rPr>
          <w:spacing w:val="-1"/>
        </w:rPr>
        <w:t xml:space="preserve"> </w:t>
      </w:r>
      <w:r>
        <w:t>se</w:t>
      </w:r>
      <w:r>
        <w:rPr>
          <w:spacing w:val="-1"/>
        </w:rPr>
        <w:t xml:space="preserve"> </w:t>
      </w:r>
      <w:r>
        <w:t>sustentan</w:t>
      </w:r>
      <w:r>
        <w:rPr>
          <w:spacing w:val="-1"/>
        </w:rPr>
        <w:t xml:space="preserve"> </w:t>
      </w:r>
      <w:r>
        <w:t>en</w:t>
      </w:r>
      <w:r>
        <w:rPr>
          <w:spacing w:val="-1"/>
        </w:rPr>
        <w:t xml:space="preserve"> </w:t>
      </w:r>
      <w:r>
        <w:t>este</w:t>
      </w:r>
      <w:r>
        <w:rPr>
          <w:spacing w:val="-2"/>
        </w:rPr>
        <w:t xml:space="preserve"> capítulo:</w:t>
      </w:r>
    </w:p>
    <w:p w:rsidR="003804AC" w:rsidRPr="0070533E" w:rsidRDefault="00AF18A5" w:rsidP="004A6EF4">
      <w:pPr>
        <w:pStyle w:val="Prrafodelista"/>
        <w:numPr>
          <w:ilvl w:val="0"/>
          <w:numId w:val="21"/>
        </w:numPr>
      </w:pPr>
      <w:r w:rsidRPr="0070533E">
        <w:t>El narcotráfico promueve un modelo de acumulación de riqueza y poder, que se sostiene sobre la violencia y ha permeado tanto a algunas élites como a diferentes sectores de la sociedad, en toda la cadena de producción y comercialización, desde los cultivos de coca y marihuana hasta el lavado de activos y la participación en la demanda agregada de la economía legal. Este modelo criminal se imbricó con el conflicto armado colombiano y reforzó prácticas criminales y degradadas.</w:t>
      </w:r>
    </w:p>
    <w:p w:rsidR="003804AC" w:rsidRPr="0070533E" w:rsidRDefault="00AF18A5" w:rsidP="004A6EF4">
      <w:pPr>
        <w:pStyle w:val="Prrafodelista"/>
        <w:numPr>
          <w:ilvl w:val="0"/>
          <w:numId w:val="21"/>
        </w:numPr>
      </w:pPr>
      <w:r w:rsidRPr="0070533E">
        <w:t>Las dimensiones políticas del narcotráfico y su vínculo con amplios sectores del poder político ha sido un obstáculo para la democratización del país. El narcotráfico no solo financió la guerra de los grupos armados, sino que ingresó de manera directa a la disputa por el poder político local y nacional, financiando campañas y</w:t>
      </w:r>
      <w:r w:rsidR="00F87D60">
        <w:t xml:space="preserve"> </w:t>
      </w:r>
      <w:r w:rsidRPr="0070533E">
        <w:t>distorsionando las posibilidades de una verdadera competencia, así como con la captura de instituciones públicas para el beneficio de sus intereses.</w:t>
      </w:r>
    </w:p>
    <w:p w:rsidR="003804AC" w:rsidRPr="0070533E" w:rsidRDefault="00AF18A5" w:rsidP="004A6EF4">
      <w:pPr>
        <w:pStyle w:val="Prrafodelista"/>
        <w:numPr>
          <w:ilvl w:val="0"/>
          <w:numId w:val="21"/>
        </w:numPr>
      </w:pPr>
      <w:r w:rsidRPr="0070533E">
        <w:t xml:space="preserve">El actual paradigma de la guerra contra las drogas ha sido un fracaso. No produjo resultados efectivos para desmontar el narcotráfico como sistema político y económico, y no solo su manifestación criminal, y además sumó un número enorme de víctimas en el marco del conflicto armado interno. El prohibicionismo activó narrativas de criminalización sobre </w:t>
      </w:r>
      <w:r w:rsidRPr="0070533E">
        <w:lastRenderedPageBreak/>
        <w:t>poblaciones y territorios que justificaron operaciones violentas, la aspersión con glifosato generó impactos en la vida de las comunidades y la naturaleza, y las estrategias de sustitución voluntaria, aunque han funcionado de forma mucho más efectiva, no han sido sostenibles en el tiempo porque no se han implementado a la par con procesos de desarrollo rural transformadores.</w:t>
      </w:r>
    </w:p>
    <w:p w:rsidR="003804AC" w:rsidRPr="0070533E" w:rsidRDefault="00AF18A5" w:rsidP="004A6EF4">
      <w:pPr>
        <w:pStyle w:val="Prrafodelista"/>
        <w:numPr>
          <w:ilvl w:val="0"/>
          <w:numId w:val="21"/>
        </w:numPr>
      </w:pPr>
      <w:r w:rsidRPr="0070533E">
        <w:t>El narcotráfico es un factor fundamental de la persistencia porque mientras siga siendo ilegalizado proveerá los recursos suficientes para seguir haciendo la guerra, corromper las instituciones encargadas de combatirlo y financiar ejércitos privados para la protección violenta de sus intereses, por lo que, si no se cambia el paradigma y se afronta el problema de manera integral con un enfoque de regulación, seremos testigos de un reciclaje permanente de los conflictos armados.</w:t>
      </w:r>
    </w:p>
    <w:p w:rsidR="0011361F" w:rsidRDefault="00AF18A5" w:rsidP="004A6EF4">
      <w:pPr>
        <w:pStyle w:val="Ttulo3"/>
        <w:numPr>
          <w:ilvl w:val="1"/>
          <w:numId w:val="16"/>
        </w:numPr>
      </w:pPr>
      <w:bookmarkStart w:id="661" w:name="6.1._Relación_del_narcotráfico_con_el_co"/>
      <w:bookmarkStart w:id="662" w:name="_Toc112399605"/>
      <w:bookmarkEnd w:id="661"/>
      <w:r>
        <w:t>Relación</w:t>
      </w:r>
      <w:r>
        <w:rPr>
          <w:spacing w:val="-5"/>
        </w:rPr>
        <w:t xml:space="preserve"> </w:t>
      </w:r>
      <w:r>
        <w:t>del</w:t>
      </w:r>
      <w:r>
        <w:rPr>
          <w:spacing w:val="-1"/>
        </w:rPr>
        <w:t xml:space="preserve"> </w:t>
      </w:r>
      <w:r>
        <w:t>narcotráfico</w:t>
      </w:r>
      <w:r>
        <w:rPr>
          <w:spacing w:val="-4"/>
        </w:rPr>
        <w:t xml:space="preserve"> </w:t>
      </w:r>
      <w:r>
        <w:t>con</w:t>
      </w:r>
      <w:r>
        <w:rPr>
          <w:spacing w:val="-2"/>
        </w:rPr>
        <w:t xml:space="preserve"> </w:t>
      </w:r>
      <w:r>
        <w:t>el</w:t>
      </w:r>
      <w:r>
        <w:rPr>
          <w:spacing w:val="-2"/>
        </w:rPr>
        <w:t xml:space="preserve"> </w:t>
      </w:r>
      <w:r>
        <w:t>conflicto</w:t>
      </w:r>
      <w:r>
        <w:rPr>
          <w:spacing w:val="-1"/>
        </w:rPr>
        <w:t xml:space="preserve"> </w:t>
      </w:r>
      <w:r>
        <w:rPr>
          <w:spacing w:val="-2"/>
        </w:rPr>
        <w:t>armado</w:t>
      </w:r>
      <w:bookmarkEnd w:id="662"/>
    </w:p>
    <w:p w:rsidR="003804AC" w:rsidRDefault="00AF18A5" w:rsidP="00F97164">
      <w:r>
        <w:t>El</w:t>
      </w:r>
      <w:r>
        <w:rPr>
          <w:spacing w:val="-7"/>
        </w:rPr>
        <w:t xml:space="preserve"> </w:t>
      </w:r>
      <w:r>
        <w:t>narcotráfico</w:t>
      </w:r>
      <w:r>
        <w:rPr>
          <w:spacing w:val="-7"/>
        </w:rPr>
        <w:t xml:space="preserve"> </w:t>
      </w:r>
      <w:r>
        <w:t>está</w:t>
      </w:r>
      <w:r>
        <w:rPr>
          <w:spacing w:val="-8"/>
        </w:rPr>
        <w:t xml:space="preserve"> </w:t>
      </w:r>
      <w:r>
        <w:t>en</w:t>
      </w:r>
      <w:r>
        <w:rPr>
          <w:spacing w:val="-7"/>
        </w:rPr>
        <w:t xml:space="preserve"> </w:t>
      </w:r>
      <w:r>
        <w:t>el</w:t>
      </w:r>
      <w:r>
        <w:rPr>
          <w:spacing w:val="-8"/>
        </w:rPr>
        <w:t xml:space="preserve"> </w:t>
      </w:r>
      <w:r>
        <w:t>centro</w:t>
      </w:r>
      <w:r>
        <w:rPr>
          <w:spacing w:val="-7"/>
        </w:rPr>
        <w:t xml:space="preserve"> </w:t>
      </w:r>
      <w:r>
        <w:t>de</w:t>
      </w:r>
      <w:r>
        <w:rPr>
          <w:spacing w:val="-7"/>
        </w:rPr>
        <w:t xml:space="preserve"> </w:t>
      </w:r>
      <w:r>
        <w:t>los</w:t>
      </w:r>
      <w:r>
        <w:rPr>
          <w:spacing w:val="-8"/>
        </w:rPr>
        <w:t xml:space="preserve"> </w:t>
      </w:r>
      <w:r>
        <w:t>debates</w:t>
      </w:r>
      <w:r>
        <w:rPr>
          <w:spacing w:val="-8"/>
        </w:rPr>
        <w:t xml:space="preserve"> </w:t>
      </w:r>
      <w:r>
        <w:t>más</w:t>
      </w:r>
      <w:r>
        <w:rPr>
          <w:spacing w:val="-8"/>
        </w:rPr>
        <w:t xml:space="preserve"> </w:t>
      </w:r>
      <w:r>
        <w:t>importantes,</w:t>
      </w:r>
      <w:r>
        <w:rPr>
          <w:spacing w:val="-7"/>
        </w:rPr>
        <w:t xml:space="preserve"> </w:t>
      </w:r>
      <w:r>
        <w:t>no</w:t>
      </w:r>
      <w:r>
        <w:rPr>
          <w:spacing w:val="-7"/>
        </w:rPr>
        <w:t xml:space="preserve"> </w:t>
      </w:r>
      <w:r>
        <w:t>solo</w:t>
      </w:r>
      <w:r>
        <w:rPr>
          <w:spacing w:val="-7"/>
        </w:rPr>
        <w:t xml:space="preserve"> </w:t>
      </w:r>
      <w:r>
        <w:t>sobre</w:t>
      </w:r>
      <w:r>
        <w:rPr>
          <w:spacing w:val="-7"/>
        </w:rPr>
        <w:t xml:space="preserve"> </w:t>
      </w:r>
      <w:r>
        <w:t>la</w:t>
      </w:r>
      <w:r>
        <w:rPr>
          <w:spacing w:val="-8"/>
        </w:rPr>
        <w:t xml:space="preserve"> </w:t>
      </w:r>
      <w:r>
        <w:t>guerra,</w:t>
      </w:r>
      <w:r>
        <w:rPr>
          <w:spacing w:val="-8"/>
        </w:rPr>
        <w:t xml:space="preserve"> </w:t>
      </w:r>
      <w:r>
        <w:t>sino también</w:t>
      </w:r>
      <w:r>
        <w:rPr>
          <w:spacing w:val="-6"/>
        </w:rPr>
        <w:t xml:space="preserve"> </w:t>
      </w:r>
      <w:r>
        <w:t>sobre</w:t>
      </w:r>
      <w:r>
        <w:rPr>
          <w:spacing w:val="-6"/>
        </w:rPr>
        <w:t xml:space="preserve"> </w:t>
      </w:r>
      <w:r>
        <w:t>la</w:t>
      </w:r>
      <w:r>
        <w:rPr>
          <w:spacing w:val="-7"/>
        </w:rPr>
        <w:t xml:space="preserve"> </w:t>
      </w:r>
      <w:r>
        <w:t>paz.</w:t>
      </w:r>
      <w:r>
        <w:rPr>
          <w:spacing w:val="-6"/>
        </w:rPr>
        <w:t xml:space="preserve"> </w:t>
      </w:r>
      <w:r>
        <w:t>Ante</w:t>
      </w:r>
      <w:r>
        <w:rPr>
          <w:spacing w:val="-6"/>
        </w:rPr>
        <w:t xml:space="preserve"> </w:t>
      </w:r>
      <w:r>
        <w:t>la</w:t>
      </w:r>
      <w:r>
        <w:rPr>
          <w:spacing w:val="-7"/>
        </w:rPr>
        <w:t xml:space="preserve"> </w:t>
      </w:r>
      <w:r>
        <w:t>Comisión,</w:t>
      </w:r>
      <w:r>
        <w:rPr>
          <w:spacing w:val="-6"/>
        </w:rPr>
        <w:t xml:space="preserve"> </w:t>
      </w:r>
      <w:r>
        <w:t>el</w:t>
      </w:r>
      <w:r>
        <w:rPr>
          <w:spacing w:val="-5"/>
        </w:rPr>
        <w:t xml:space="preserve"> </w:t>
      </w:r>
      <w:r>
        <w:t>expresidente</w:t>
      </w:r>
      <w:r>
        <w:rPr>
          <w:spacing w:val="-7"/>
        </w:rPr>
        <w:t xml:space="preserve"> </w:t>
      </w:r>
      <w:r>
        <w:t>Juan</w:t>
      </w:r>
      <w:r>
        <w:rPr>
          <w:spacing w:val="-7"/>
        </w:rPr>
        <w:t xml:space="preserve"> </w:t>
      </w:r>
      <w:r>
        <w:t>Manuel</w:t>
      </w:r>
      <w:r>
        <w:rPr>
          <w:spacing w:val="-5"/>
        </w:rPr>
        <w:t xml:space="preserve"> </w:t>
      </w:r>
      <w:r>
        <w:t>Santos</w:t>
      </w:r>
      <w:r>
        <w:rPr>
          <w:spacing w:val="-6"/>
        </w:rPr>
        <w:t xml:space="preserve"> </w:t>
      </w:r>
      <w:r>
        <w:t>(2010-2018)</w:t>
      </w:r>
      <w:r>
        <w:rPr>
          <w:spacing w:val="-5"/>
        </w:rPr>
        <w:t xml:space="preserve"> </w:t>
      </w:r>
      <w:r>
        <w:t>se refirió a esta relación como la de una «flecha envenenada»:</w:t>
      </w:r>
    </w:p>
    <w:p w:rsidR="0011361F" w:rsidRDefault="00AF18A5" w:rsidP="00F97164">
      <w:r>
        <w:t>«El precio que hemos pagado y lo que ha significado para el conflicto el negocio del narcotráfico</w:t>
      </w:r>
      <w:r>
        <w:rPr>
          <w:spacing w:val="-9"/>
        </w:rPr>
        <w:t xml:space="preserve"> </w:t>
      </w:r>
      <w:r>
        <w:t>es</w:t>
      </w:r>
      <w:r>
        <w:rPr>
          <w:spacing w:val="-8"/>
        </w:rPr>
        <w:t xml:space="preserve"> </w:t>
      </w:r>
      <w:r>
        <w:t>inmenso.</w:t>
      </w:r>
      <w:r>
        <w:rPr>
          <w:spacing w:val="-9"/>
        </w:rPr>
        <w:t xml:space="preserve"> </w:t>
      </w:r>
      <w:r>
        <w:t>Y</w:t>
      </w:r>
      <w:r>
        <w:rPr>
          <w:spacing w:val="-9"/>
        </w:rPr>
        <w:t xml:space="preserve"> </w:t>
      </w:r>
      <w:r>
        <w:t>lo</w:t>
      </w:r>
      <w:r>
        <w:rPr>
          <w:spacing w:val="-8"/>
        </w:rPr>
        <w:t xml:space="preserve"> </w:t>
      </w:r>
      <w:r>
        <w:t>he</w:t>
      </w:r>
      <w:r>
        <w:rPr>
          <w:spacing w:val="-8"/>
        </w:rPr>
        <w:t xml:space="preserve"> </w:t>
      </w:r>
      <w:r>
        <w:t>podido</w:t>
      </w:r>
      <w:r>
        <w:rPr>
          <w:spacing w:val="-8"/>
        </w:rPr>
        <w:t xml:space="preserve"> </w:t>
      </w:r>
      <w:r>
        <w:t>comprobar</w:t>
      </w:r>
      <w:r>
        <w:rPr>
          <w:spacing w:val="-8"/>
        </w:rPr>
        <w:t xml:space="preserve"> </w:t>
      </w:r>
      <w:r>
        <w:t>en</w:t>
      </w:r>
      <w:r>
        <w:rPr>
          <w:spacing w:val="-8"/>
        </w:rPr>
        <w:t xml:space="preserve"> </w:t>
      </w:r>
      <w:r>
        <w:t>todas</w:t>
      </w:r>
      <w:r>
        <w:rPr>
          <w:spacing w:val="-8"/>
        </w:rPr>
        <w:t xml:space="preserve"> </w:t>
      </w:r>
      <w:r>
        <w:t>las</w:t>
      </w:r>
      <w:r>
        <w:rPr>
          <w:spacing w:val="-8"/>
        </w:rPr>
        <w:t xml:space="preserve"> </w:t>
      </w:r>
      <w:r>
        <w:t>impresiones,</w:t>
      </w:r>
      <w:r>
        <w:rPr>
          <w:spacing w:val="-8"/>
        </w:rPr>
        <w:t xml:space="preserve"> </w:t>
      </w:r>
      <w:r>
        <w:t>porque</w:t>
      </w:r>
      <w:r>
        <w:rPr>
          <w:spacing w:val="-8"/>
        </w:rPr>
        <w:t xml:space="preserve"> </w:t>
      </w:r>
      <w:r>
        <w:t>en</w:t>
      </w:r>
      <w:r>
        <w:rPr>
          <w:spacing w:val="-8"/>
        </w:rPr>
        <w:t xml:space="preserve"> </w:t>
      </w:r>
      <w:r>
        <w:t>todo lo</w:t>
      </w:r>
      <w:r>
        <w:rPr>
          <w:spacing w:val="-2"/>
        </w:rPr>
        <w:t xml:space="preserve"> </w:t>
      </w:r>
      <w:r>
        <w:t>que</w:t>
      </w:r>
      <w:r>
        <w:rPr>
          <w:spacing w:val="-2"/>
        </w:rPr>
        <w:t xml:space="preserve"> </w:t>
      </w:r>
      <w:r>
        <w:t>se</w:t>
      </w:r>
      <w:r>
        <w:rPr>
          <w:spacing w:val="-2"/>
        </w:rPr>
        <w:t xml:space="preserve"> </w:t>
      </w:r>
      <w:r>
        <w:t>diga</w:t>
      </w:r>
      <w:r>
        <w:rPr>
          <w:spacing w:val="-2"/>
        </w:rPr>
        <w:t xml:space="preserve"> </w:t>
      </w:r>
      <w:r>
        <w:t>de</w:t>
      </w:r>
      <w:r>
        <w:rPr>
          <w:spacing w:val="-2"/>
        </w:rPr>
        <w:t xml:space="preserve"> </w:t>
      </w:r>
      <w:r>
        <w:t>una</w:t>
      </w:r>
      <w:r>
        <w:rPr>
          <w:spacing w:val="-2"/>
        </w:rPr>
        <w:t xml:space="preserve"> </w:t>
      </w:r>
      <w:r>
        <w:t>u</w:t>
      </w:r>
      <w:r>
        <w:rPr>
          <w:spacing w:val="-2"/>
        </w:rPr>
        <w:t xml:space="preserve"> </w:t>
      </w:r>
      <w:r>
        <w:t>otra</w:t>
      </w:r>
      <w:r>
        <w:rPr>
          <w:spacing w:val="-2"/>
        </w:rPr>
        <w:t xml:space="preserve"> </w:t>
      </w:r>
      <w:r>
        <w:t>forma</w:t>
      </w:r>
      <w:r>
        <w:rPr>
          <w:spacing w:val="-2"/>
        </w:rPr>
        <w:t xml:space="preserve"> </w:t>
      </w:r>
      <w:r>
        <w:t>hay</w:t>
      </w:r>
      <w:r>
        <w:rPr>
          <w:spacing w:val="-4"/>
        </w:rPr>
        <w:t xml:space="preserve"> </w:t>
      </w:r>
      <w:r>
        <w:t>una</w:t>
      </w:r>
      <w:r>
        <w:rPr>
          <w:spacing w:val="-2"/>
        </w:rPr>
        <w:t xml:space="preserve"> </w:t>
      </w:r>
      <w:r>
        <w:t>relación</w:t>
      </w:r>
      <w:r>
        <w:rPr>
          <w:spacing w:val="-2"/>
        </w:rPr>
        <w:t xml:space="preserve"> </w:t>
      </w:r>
      <w:r>
        <w:t>con</w:t>
      </w:r>
      <w:r>
        <w:rPr>
          <w:spacing w:val="-2"/>
        </w:rPr>
        <w:t xml:space="preserve"> </w:t>
      </w:r>
      <w:r>
        <w:t>el</w:t>
      </w:r>
      <w:r>
        <w:rPr>
          <w:spacing w:val="-2"/>
        </w:rPr>
        <w:t xml:space="preserve"> </w:t>
      </w:r>
      <w:r>
        <w:t>narcotráfico,</w:t>
      </w:r>
      <w:r>
        <w:rPr>
          <w:spacing w:val="-4"/>
        </w:rPr>
        <w:t xml:space="preserve"> </w:t>
      </w:r>
      <w:r>
        <w:t>en</w:t>
      </w:r>
      <w:r>
        <w:rPr>
          <w:spacing w:val="-4"/>
        </w:rPr>
        <w:t xml:space="preserve"> </w:t>
      </w:r>
      <w:r>
        <w:t>todo</w:t>
      </w:r>
      <w:r>
        <w:rPr>
          <w:spacing w:val="-2"/>
        </w:rPr>
        <w:t xml:space="preserve"> </w:t>
      </w:r>
      <w:r>
        <w:t>sentido.</w:t>
      </w:r>
      <w:r>
        <w:rPr>
          <w:spacing w:val="-2"/>
        </w:rPr>
        <w:t xml:space="preserve"> </w:t>
      </w:r>
      <w:r>
        <w:t xml:space="preserve">Eso es transversal a todo el conflicto. Es como una flecha envenenada que atraviesa </w:t>
      </w:r>
      <w:r>
        <w:lastRenderedPageBreak/>
        <w:t>todo»</w:t>
      </w:r>
      <w:r w:rsidR="00F97164">
        <w:rPr>
          <w:rStyle w:val="Refdenotaalpie"/>
        </w:rPr>
        <w:footnoteReference w:id="498"/>
      </w:r>
      <w:r>
        <w:t>.</w:t>
      </w:r>
    </w:p>
    <w:p w:rsidR="003804AC" w:rsidRDefault="00AF18A5" w:rsidP="00F97164">
      <w:bookmarkStart w:id="663" w:name="_bookmark558"/>
      <w:bookmarkEnd w:id="663"/>
      <w:r>
        <w:t>La economía colombiana tiene una relación orgánica y estructurante con las rentas del tráfico</w:t>
      </w:r>
      <w:r>
        <w:rPr>
          <w:spacing w:val="-1"/>
        </w:rPr>
        <w:t xml:space="preserve"> </w:t>
      </w:r>
      <w:r>
        <w:t>de</w:t>
      </w:r>
      <w:r>
        <w:rPr>
          <w:spacing w:val="-1"/>
        </w:rPr>
        <w:t xml:space="preserve"> </w:t>
      </w:r>
      <w:r>
        <w:t>cocaína</w:t>
      </w:r>
      <w:r>
        <w:rPr>
          <w:spacing w:val="-1"/>
        </w:rPr>
        <w:t xml:space="preserve"> </w:t>
      </w:r>
      <w:r>
        <w:t>y</w:t>
      </w:r>
      <w:r>
        <w:rPr>
          <w:spacing w:val="-2"/>
        </w:rPr>
        <w:t xml:space="preserve"> </w:t>
      </w:r>
      <w:r>
        <w:t>marihuana,</w:t>
      </w:r>
      <w:r>
        <w:rPr>
          <w:spacing w:val="-1"/>
        </w:rPr>
        <w:t xml:space="preserve"> </w:t>
      </w:r>
      <w:r>
        <w:t>y</w:t>
      </w:r>
      <w:r>
        <w:rPr>
          <w:spacing w:val="-1"/>
        </w:rPr>
        <w:t xml:space="preserve"> </w:t>
      </w:r>
      <w:r>
        <w:t>aunque</w:t>
      </w:r>
      <w:r>
        <w:rPr>
          <w:spacing w:val="-1"/>
        </w:rPr>
        <w:t xml:space="preserve"> </w:t>
      </w:r>
      <w:r>
        <w:t>se</w:t>
      </w:r>
      <w:r>
        <w:rPr>
          <w:spacing w:val="-1"/>
        </w:rPr>
        <w:t xml:space="preserve"> </w:t>
      </w:r>
      <w:r>
        <w:t>ha</w:t>
      </w:r>
      <w:r>
        <w:rPr>
          <w:spacing w:val="-1"/>
        </w:rPr>
        <w:t xml:space="preserve"> </w:t>
      </w:r>
      <w:r>
        <w:t>mantenido</w:t>
      </w:r>
      <w:r>
        <w:rPr>
          <w:spacing w:val="-2"/>
        </w:rPr>
        <w:t xml:space="preserve"> </w:t>
      </w:r>
      <w:r>
        <w:t>así</w:t>
      </w:r>
      <w:r>
        <w:rPr>
          <w:spacing w:val="-2"/>
        </w:rPr>
        <w:t xml:space="preserve"> </w:t>
      </w:r>
      <w:r>
        <w:t>durante</w:t>
      </w:r>
      <w:r>
        <w:rPr>
          <w:spacing w:val="-2"/>
        </w:rPr>
        <w:t xml:space="preserve"> </w:t>
      </w:r>
      <w:r>
        <w:t>décadas,</w:t>
      </w:r>
      <w:r>
        <w:rPr>
          <w:spacing w:val="-1"/>
        </w:rPr>
        <w:t xml:space="preserve"> </w:t>
      </w:r>
      <w:r>
        <w:t>el</w:t>
      </w:r>
      <w:r>
        <w:rPr>
          <w:spacing w:val="-2"/>
        </w:rPr>
        <w:t xml:space="preserve"> </w:t>
      </w:r>
      <w:r>
        <w:t>fenómeno no ha recibido la atención suficiente para que se comprenda su influencia en la historia económica</w:t>
      </w:r>
      <w:r>
        <w:rPr>
          <w:spacing w:val="-15"/>
        </w:rPr>
        <w:t xml:space="preserve"> </w:t>
      </w:r>
      <w:r>
        <w:t>colombiana</w:t>
      </w:r>
      <w:r w:rsidR="00F97164">
        <w:rPr>
          <w:rStyle w:val="Refdenotaalpie"/>
        </w:rPr>
        <w:footnoteReference w:id="499"/>
      </w:r>
      <w:r>
        <w:t>.</w:t>
      </w:r>
      <w:r>
        <w:rPr>
          <w:spacing w:val="-15"/>
        </w:rPr>
        <w:t xml:space="preserve"> </w:t>
      </w:r>
      <w:r>
        <w:t>A</w:t>
      </w:r>
      <w:r>
        <w:rPr>
          <w:spacing w:val="-15"/>
        </w:rPr>
        <w:t xml:space="preserve"> </w:t>
      </w:r>
      <w:r>
        <w:t>su</w:t>
      </w:r>
      <w:r>
        <w:rPr>
          <w:spacing w:val="-15"/>
        </w:rPr>
        <w:t xml:space="preserve"> </w:t>
      </w:r>
      <w:r>
        <w:t>vez,</w:t>
      </w:r>
      <w:r>
        <w:rPr>
          <w:spacing w:val="-15"/>
        </w:rPr>
        <w:t xml:space="preserve"> </w:t>
      </w:r>
      <w:r>
        <w:t>el</w:t>
      </w:r>
      <w:r>
        <w:rPr>
          <w:spacing w:val="-15"/>
        </w:rPr>
        <w:t xml:space="preserve"> </w:t>
      </w:r>
      <w:r>
        <w:t>conflicto</w:t>
      </w:r>
      <w:r>
        <w:rPr>
          <w:spacing w:val="-15"/>
        </w:rPr>
        <w:t xml:space="preserve"> </w:t>
      </w:r>
      <w:r>
        <w:t>armado</w:t>
      </w:r>
      <w:r>
        <w:rPr>
          <w:spacing w:val="-15"/>
        </w:rPr>
        <w:t xml:space="preserve"> </w:t>
      </w:r>
      <w:r>
        <w:t>también</w:t>
      </w:r>
      <w:r>
        <w:rPr>
          <w:spacing w:val="-15"/>
        </w:rPr>
        <w:t xml:space="preserve"> </w:t>
      </w:r>
      <w:r>
        <w:t>se</w:t>
      </w:r>
      <w:r>
        <w:rPr>
          <w:spacing w:val="-15"/>
        </w:rPr>
        <w:t xml:space="preserve"> </w:t>
      </w:r>
      <w:r>
        <w:t>relaciona</w:t>
      </w:r>
      <w:r>
        <w:rPr>
          <w:spacing w:val="-15"/>
        </w:rPr>
        <w:t xml:space="preserve"> </w:t>
      </w:r>
      <w:r>
        <w:t>con</w:t>
      </w:r>
      <w:r>
        <w:rPr>
          <w:spacing w:val="-15"/>
        </w:rPr>
        <w:t xml:space="preserve"> </w:t>
      </w:r>
      <w:r>
        <w:t>la</w:t>
      </w:r>
      <w:r>
        <w:rPr>
          <w:spacing w:val="-15"/>
        </w:rPr>
        <w:t xml:space="preserve"> </w:t>
      </w:r>
      <w:r>
        <w:t>violencia de estos</w:t>
      </w:r>
      <w:r>
        <w:rPr>
          <w:spacing w:val="-1"/>
        </w:rPr>
        <w:t xml:space="preserve"> </w:t>
      </w:r>
      <w:r>
        <w:t>mercados ilegalizados, pero</w:t>
      </w:r>
      <w:r>
        <w:rPr>
          <w:spacing w:val="-1"/>
        </w:rPr>
        <w:t xml:space="preserve"> </w:t>
      </w:r>
      <w:r>
        <w:t>no en todos</w:t>
      </w:r>
      <w:r>
        <w:rPr>
          <w:spacing w:val="-2"/>
        </w:rPr>
        <w:t xml:space="preserve"> </w:t>
      </w:r>
      <w:r>
        <w:t>los actores por igual ni</w:t>
      </w:r>
      <w:r>
        <w:rPr>
          <w:spacing w:val="-1"/>
        </w:rPr>
        <w:t xml:space="preserve"> </w:t>
      </w:r>
      <w:r>
        <w:t>en todas</w:t>
      </w:r>
      <w:r>
        <w:rPr>
          <w:spacing w:val="-1"/>
        </w:rPr>
        <w:t xml:space="preserve"> </w:t>
      </w:r>
      <w:r>
        <w:t>las</w:t>
      </w:r>
      <w:r>
        <w:rPr>
          <w:spacing w:val="-1"/>
        </w:rPr>
        <w:t xml:space="preserve"> </w:t>
      </w:r>
      <w:r>
        <w:t>épocas o lugares.</w:t>
      </w:r>
    </w:p>
    <w:p w:rsidR="003804AC" w:rsidRDefault="00AF18A5" w:rsidP="00F97164">
      <w:r>
        <w:t>Por</w:t>
      </w:r>
      <w:r>
        <w:rPr>
          <w:spacing w:val="-7"/>
        </w:rPr>
        <w:t xml:space="preserve"> </w:t>
      </w:r>
      <w:r>
        <w:t>otra</w:t>
      </w:r>
      <w:r>
        <w:rPr>
          <w:spacing w:val="-7"/>
        </w:rPr>
        <w:t xml:space="preserve"> </w:t>
      </w:r>
      <w:r>
        <w:t>parte,</w:t>
      </w:r>
      <w:r>
        <w:rPr>
          <w:spacing w:val="-7"/>
        </w:rPr>
        <w:t xml:space="preserve"> </w:t>
      </w:r>
      <w:r>
        <w:t>las</w:t>
      </w:r>
      <w:r>
        <w:rPr>
          <w:spacing w:val="-7"/>
        </w:rPr>
        <w:t xml:space="preserve"> </w:t>
      </w:r>
      <w:r>
        <w:t>medidas</w:t>
      </w:r>
      <w:r>
        <w:rPr>
          <w:spacing w:val="-7"/>
        </w:rPr>
        <w:t xml:space="preserve"> </w:t>
      </w:r>
      <w:r>
        <w:t>represivas</w:t>
      </w:r>
      <w:r>
        <w:rPr>
          <w:spacing w:val="-7"/>
        </w:rPr>
        <w:t xml:space="preserve"> </w:t>
      </w:r>
      <w:r>
        <w:t>para</w:t>
      </w:r>
      <w:r>
        <w:rPr>
          <w:spacing w:val="-7"/>
        </w:rPr>
        <w:t xml:space="preserve"> </w:t>
      </w:r>
      <w:r>
        <w:t>el</w:t>
      </w:r>
      <w:r>
        <w:rPr>
          <w:spacing w:val="-7"/>
        </w:rPr>
        <w:t xml:space="preserve"> </w:t>
      </w:r>
      <w:r>
        <w:t>control</w:t>
      </w:r>
      <w:r>
        <w:rPr>
          <w:spacing w:val="-7"/>
        </w:rPr>
        <w:t xml:space="preserve"> </w:t>
      </w:r>
      <w:r>
        <w:t>de</w:t>
      </w:r>
      <w:r>
        <w:rPr>
          <w:spacing w:val="-7"/>
        </w:rPr>
        <w:t xml:space="preserve"> </w:t>
      </w:r>
      <w:r>
        <w:t>las</w:t>
      </w:r>
      <w:r>
        <w:rPr>
          <w:spacing w:val="-7"/>
        </w:rPr>
        <w:t xml:space="preserve"> </w:t>
      </w:r>
      <w:r>
        <w:t>drogas</w:t>
      </w:r>
      <w:r>
        <w:rPr>
          <w:spacing w:val="-7"/>
        </w:rPr>
        <w:t xml:space="preserve"> </w:t>
      </w:r>
      <w:r>
        <w:t>ilegalizadas</w:t>
      </w:r>
      <w:r>
        <w:rPr>
          <w:spacing w:val="-7"/>
        </w:rPr>
        <w:t xml:space="preserve"> </w:t>
      </w:r>
      <w:r>
        <w:t>que</w:t>
      </w:r>
      <w:r>
        <w:rPr>
          <w:spacing w:val="-7"/>
        </w:rPr>
        <w:t xml:space="preserve"> </w:t>
      </w:r>
      <w:r>
        <w:t>atacan a los cultivadores y a los elementos más bajos de la cadena de producción, y, más ampliamente,</w:t>
      </w:r>
      <w:r>
        <w:rPr>
          <w:spacing w:val="-8"/>
        </w:rPr>
        <w:t xml:space="preserve"> </w:t>
      </w:r>
      <w:r>
        <w:t>las</w:t>
      </w:r>
      <w:r>
        <w:rPr>
          <w:spacing w:val="-8"/>
        </w:rPr>
        <w:t xml:space="preserve"> </w:t>
      </w:r>
      <w:r>
        <w:t>políticas</w:t>
      </w:r>
      <w:r>
        <w:rPr>
          <w:spacing w:val="-8"/>
        </w:rPr>
        <w:t xml:space="preserve"> </w:t>
      </w:r>
      <w:r>
        <w:t>para</w:t>
      </w:r>
      <w:r>
        <w:rPr>
          <w:spacing w:val="-8"/>
        </w:rPr>
        <w:t xml:space="preserve"> </w:t>
      </w:r>
      <w:r>
        <w:t>controlar</w:t>
      </w:r>
      <w:r>
        <w:rPr>
          <w:spacing w:val="-8"/>
        </w:rPr>
        <w:t xml:space="preserve"> </w:t>
      </w:r>
      <w:r>
        <w:t>el</w:t>
      </w:r>
      <w:r>
        <w:rPr>
          <w:spacing w:val="-8"/>
        </w:rPr>
        <w:t xml:space="preserve"> </w:t>
      </w:r>
      <w:r>
        <w:t>mercado</w:t>
      </w:r>
      <w:r>
        <w:rPr>
          <w:spacing w:val="-8"/>
        </w:rPr>
        <w:t xml:space="preserve"> </w:t>
      </w:r>
      <w:r>
        <w:t>ilegal</w:t>
      </w:r>
      <w:r>
        <w:rPr>
          <w:spacing w:val="-8"/>
        </w:rPr>
        <w:t xml:space="preserve"> </w:t>
      </w:r>
      <w:r>
        <w:t>y</w:t>
      </w:r>
      <w:r>
        <w:rPr>
          <w:spacing w:val="-10"/>
        </w:rPr>
        <w:t xml:space="preserve"> </w:t>
      </w:r>
      <w:r>
        <w:t>el</w:t>
      </w:r>
      <w:r>
        <w:rPr>
          <w:spacing w:val="-8"/>
        </w:rPr>
        <w:t xml:space="preserve"> </w:t>
      </w:r>
      <w:r>
        <w:t>consumo</w:t>
      </w:r>
      <w:r>
        <w:rPr>
          <w:spacing w:val="-10"/>
        </w:rPr>
        <w:t xml:space="preserve"> </w:t>
      </w:r>
      <w:r>
        <w:t>mundial</w:t>
      </w:r>
      <w:r w:rsidR="00F97164">
        <w:rPr>
          <w:rStyle w:val="Refdenotaalpie"/>
        </w:rPr>
        <w:footnoteReference w:id="500"/>
      </w:r>
      <w:r>
        <w:rPr>
          <w:spacing w:val="-8"/>
        </w:rPr>
        <w:t xml:space="preserve"> </w:t>
      </w:r>
      <w:r>
        <w:t>han</w:t>
      </w:r>
      <w:r>
        <w:rPr>
          <w:spacing w:val="-8"/>
        </w:rPr>
        <w:t xml:space="preserve"> </w:t>
      </w:r>
      <w:r>
        <w:t xml:space="preserve">sido un fracaso a pesar de los enormes esfuerzos que, además, han dejado centenares/miles de víctimas en el país. A pesar de la captura sucesiva de narcotraficantes, esto no ha llevado a desmontar el negocio sino a otras formas de reciclaje del mismo en nuevas estructuras </w:t>
      </w:r>
      <w:r>
        <w:rPr>
          <w:spacing w:val="-2"/>
        </w:rPr>
        <w:t>organizativas.</w:t>
      </w:r>
    </w:p>
    <w:p w:rsidR="003804AC" w:rsidRDefault="00AF18A5" w:rsidP="00F97164">
      <w:r>
        <w:t>Colombia</w:t>
      </w:r>
      <w:r>
        <w:rPr>
          <w:spacing w:val="-3"/>
        </w:rPr>
        <w:t xml:space="preserve"> </w:t>
      </w:r>
      <w:r>
        <w:t>ha</w:t>
      </w:r>
      <w:r>
        <w:rPr>
          <w:spacing w:val="-3"/>
        </w:rPr>
        <w:t xml:space="preserve"> </w:t>
      </w:r>
      <w:r>
        <w:t>sufrido</w:t>
      </w:r>
      <w:r>
        <w:rPr>
          <w:spacing w:val="-4"/>
        </w:rPr>
        <w:t xml:space="preserve"> </w:t>
      </w:r>
      <w:r>
        <w:t>las</w:t>
      </w:r>
      <w:r>
        <w:rPr>
          <w:spacing w:val="-5"/>
        </w:rPr>
        <w:t xml:space="preserve"> </w:t>
      </w:r>
      <w:r>
        <w:t>consecuencias</w:t>
      </w:r>
      <w:r>
        <w:rPr>
          <w:spacing w:val="-3"/>
        </w:rPr>
        <w:t xml:space="preserve"> </w:t>
      </w:r>
      <w:r>
        <w:t>de</w:t>
      </w:r>
      <w:r>
        <w:rPr>
          <w:spacing w:val="-3"/>
        </w:rPr>
        <w:t xml:space="preserve"> </w:t>
      </w:r>
      <w:r>
        <w:t>todo</w:t>
      </w:r>
      <w:r>
        <w:rPr>
          <w:spacing w:val="-4"/>
        </w:rPr>
        <w:t xml:space="preserve"> </w:t>
      </w:r>
      <w:r>
        <w:t>ello.</w:t>
      </w:r>
      <w:r>
        <w:rPr>
          <w:spacing w:val="-4"/>
        </w:rPr>
        <w:t xml:space="preserve"> </w:t>
      </w:r>
      <w:r>
        <w:t>Desde</w:t>
      </w:r>
      <w:r>
        <w:rPr>
          <w:spacing w:val="-3"/>
        </w:rPr>
        <w:t xml:space="preserve"> </w:t>
      </w:r>
      <w:r>
        <w:t>los</w:t>
      </w:r>
      <w:r>
        <w:rPr>
          <w:spacing w:val="-4"/>
        </w:rPr>
        <w:t xml:space="preserve"> </w:t>
      </w:r>
      <w:r>
        <w:t>años</w:t>
      </w:r>
      <w:r>
        <w:rPr>
          <w:spacing w:val="-4"/>
        </w:rPr>
        <w:t xml:space="preserve"> </w:t>
      </w:r>
      <w:r>
        <w:lastRenderedPageBreak/>
        <w:t>setenta,</w:t>
      </w:r>
      <w:r>
        <w:rPr>
          <w:spacing w:val="-4"/>
        </w:rPr>
        <w:t xml:space="preserve"> </w:t>
      </w:r>
      <w:r>
        <w:t>varios</w:t>
      </w:r>
      <w:r>
        <w:rPr>
          <w:spacing w:val="-4"/>
        </w:rPr>
        <w:t xml:space="preserve"> </w:t>
      </w:r>
      <w:r>
        <w:t>países crearon</w:t>
      </w:r>
      <w:r>
        <w:rPr>
          <w:spacing w:val="-13"/>
        </w:rPr>
        <w:t xml:space="preserve"> </w:t>
      </w:r>
      <w:r>
        <w:t>y</w:t>
      </w:r>
      <w:r>
        <w:rPr>
          <w:spacing w:val="-13"/>
        </w:rPr>
        <w:t xml:space="preserve"> </w:t>
      </w:r>
      <w:r>
        <w:t>aumentaron</w:t>
      </w:r>
      <w:r>
        <w:rPr>
          <w:spacing w:val="-13"/>
        </w:rPr>
        <w:t xml:space="preserve"> </w:t>
      </w:r>
      <w:r>
        <w:t>las</w:t>
      </w:r>
      <w:r>
        <w:rPr>
          <w:spacing w:val="-14"/>
        </w:rPr>
        <w:t xml:space="preserve"> </w:t>
      </w:r>
      <w:r>
        <w:t>penas</w:t>
      </w:r>
      <w:r>
        <w:rPr>
          <w:spacing w:val="-13"/>
        </w:rPr>
        <w:t xml:space="preserve"> </w:t>
      </w:r>
      <w:r>
        <w:t>por</w:t>
      </w:r>
      <w:r>
        <w:rPr>
          <w:spacing w:val="-13"/>
        </w:rPr>
        <w:t xml:space="preserve"> </w:t>
      </w:r>
      <w:r>
        <w:t>producción,</w:t>
      </w:r>
      <w:r>
        <w:rPr>
          <w:spacing w:val="-13"/>
        </w:rPr>
        <w:t xml:space="preserve"> </w:t>
      </w:r>
      <w:r>
        <w:t>tráfico</w:t>
      </w:r>
      <w:r>
        <w:rPr>
          <w:spacing w:val="-13"/>
        </w:rPr>
        <w:t xml:space="preserve"> </w:t>
      </w:r>
      <w:r>
        <w:t>y</w:t>
      </w:r>
      <w:r>
        <w:rPr>
          <w:spacing w:val="-13"/>
        </w:rPr>
        <w:t xml:space="preserve"> </w:t>
      </w:r>
      <w:r>
        <w:t>consumo</w:t>
      </w:r>
      <w:r>
        <w:rPr>
          <w:spacing w:val="-13"/>
        </w:rPr>
        <w:t xml:space="preserve"> </w:t>
      </w:r>
      <w:r>
        <w:t>de</w:t>
      </w:r>
      <w:r>
        <w:rPr>
          <w:spacing w:val="-13"/>
        </w:rPr>
        <w:t xml:space="preserve"> </w:t>
      </w:r>
      <w:r>
        <w:t>sustancias</w:t>
      </w:r>
      <w:r>
        <w:rPr>
          <w:spacing w:val="-13"/>
        </w:rPr>
        <w:t xml:space="preserve"> </w:t>
      </w:r>
      <w:r>
        <w:t>psicoactivas en el contexto de la guerra contra las drogas</w:t>
      </w:r>
      <w:r w:rsidR="00F97164">
        <w:rPr>
          <w:rStyle w:val="Refdenotaalpie"/>
        </w:rPr>
        <w:footnoteReference w:id="501"/>
      </w:r>
      <w:r>
        <w:t>. Progresivamente, las Fuerzas Armadas se transformaron e incluyeron entre sus tareas la persecución del narcotráfico y los cultivos, mientras</w:t>
      </w:r>
      <w:r>
        <w:rPr>
          <w:spacing w:val="-10"/>
        </w:rPr>
        <w:t xml:space="preserve"> </w:t>
      </w:r>
      <w:r>
        <w:t>la</w:t>
      </w:r>
      <w:r>
        <w:rPr>
          <w:spacing w:val="-10"/>
        </w:rPr>
        <w:t xml:space="preserve"> </w:t>
      </w:r>
      <w:r>
        <w:t>Oficina</w:t>
      </w:r>
      <w:r>
        <w:rPr>
          <w:spacing w:val="-10"/>
        </w:rPr>
        <w:t xml:space="preserve"> </w:t>
      </w:r>
      <w:r>
        <w:t>de</w:t>
      </w:r>
      <w:r>
        <w:rPr>
          <w:spacing w:val="-10"/>
        </w:rPr>
        <w:t xml:space="preserve"> </w:t>
      </w:r>
      <w:r>
        <w:t>las</w:t>
      </w:r>
      <w:r>
        <w:rPr>
          <w:spacing w:val="-10"/>
        </w:rPr>
        <w:t xml:space="preserve"> </w:t>
      </w:r>
      <w:r>
        <w:t>Naciones</w:t>
      </w:r>
      <w:r>
        <w:rPr>
          <w:spacing w:val="-9"/>
        </w:rPr>
        <w:t xml:space="preserve"> </w:t>
      </w:r>
      <w:r>
        <w:t>Unidas</w:t>
      </w:r>
      <w:r>
        <w:rPr>
          <w:spacing w:val="-10"/>
        </w:rPr>
        <w:t xml:space="preserve"> </w:t>
      </w:r>
      <w:r>
        <w:t>contra</w:t>
      </w:r>
      <w:r>
        <w:rPr>
          <w:spacing w:val="-10"/>
        </w:rPr>
        <w:t xml:space="preserve"> </w:t>
      </w:r>
      <w:r>
        <w:t>la</w:t>
      </w:r>
      <w:r>
        <w:rPr>
          <w:spacing w:val="-10"/>
        </w:rPr>
        <w:t xml:space="preserve"> </w:t>
      </w:r>
      <w:r>
        <w:t>Droga</w:t>
      </w:r>
      <w:r>
        <w:rPr>
          <w:spacing w:val="-10"/>
        </w:rPr>
        <w:t xml:space="preserve"> </w:t>
      </w:r>
      <w:r>
        <w:t>y</w:t>
      </w:r>
      <w:r>
        <w:rPr>
          <w:spacing w:val="-8"/>
        </w:rPr>
        <w:t xml:space="preserve"> </w:t>
      </w:r>
      <w:r>
        <w:t>el</w:t>
      </w:r>
      <w:r>
        <w:rPr>
          <w:spacing w:val="-9"/>
        </w:rPr>
        <w:t xml:space="preserve"> </w:t>
      </w:r>
      <w:r>
        <w:t>Delito</w:t>
      </w:r>
      <w:r>
        <w:rPr>
          <w:spacing w:val="-10"/>
        </w:rPr>
        <w:t xml:space="preserve"> </w:t>
      </w:r>
      <w:r>
        <w:t>(</w:t>
      </w:r>
      <w:proofErr w:type="spellStart"/>
      <w:r>
        <w:t>Unodc</w:t>
      </w:r>
      <w:proofErr w:type="spellEnd"/>
      <w:r>
        <w:t>,</w:t>
      </w:r>
      <w:r>
        <w:rPr>
          <w:spacing w:val="-10"/>
        </w:rPr>
        <w:t xml:space="preserve"> </w:t>
      </w:r>
      <w:r>
        <w:t>por</w:t>
      </w:r>
      <w:r>
        <w:rPr>
          <w:spacing w:val="-9"/>
        </w:rPr>
        <w:t xml:space="preserve"> </w:t>
      </w:r>
      <w:r>
        <w:t>sus</w:t>
      </w:r>
      <w:r>
        <w:rPr>
          <w:spacing w:val="-9"/>
        </w:rPr>
        <w:t xml:space="preserve"> </w:t>
      </w:r>
      <w:r>
        <w:rPr>
          <w:spacing w:val="-2"/>
        </w:rPr>
        <w:t>siglas</w:t>
      </w:r>
      <w:bookmarkStart w:id="664" w:name="_bookmark559"/>
      <w:bookmarkStart w:id="665" w:name="_bookmark560"/>
      <w:bookmarkStart w:id="666" w:name="_bookmark561"/>
      <w:bookmarkEnd w:id="664"/>
      <w:bookmarkEnd w:id="665"/>
      <w:bookmarkEnd w:id="666"/>
      <w:r w:rsidR="00F97164">
        <w:rPr>
          <w:spacing w:val="-2"/>
        </w:rPr>
        <w:t xml:space="preserve"> </w:t>
      </w:r>
      <w:r>
        <w:t>en inglés) reconoció por primera vez que esta política había ocasionado «consecuencias negativas no previstas»</w:t>
      </w:r>
      <w:r w:rsidR="00F97164">
        <w:rPr>
          <w:rStyle w:val="Refdenotaalpie"/>
        </w:rPr>
        <w:footnoteReference w:id="502"/>
      </w:r>
      <w:r>
        <w:t>.</w:t>
      </w:r>
    </w:p>
    <w:p w:rsidR="003804AC" w:rsidRDefault="00AF18A5" w:rsidP="00F97164">
      <w:r>
        <w:t>El narcotráfico y su relación con el conflicto armado muestran que no solo se habla de grupos armados al servicio de un negocio ilegal, sino de un modelo de acumulación de capital, una economía que se sostiene a partir de la reproducción y el escalamiento del conflicto, de la ilegalización y del enquistamiento de prácticas mafiosas de poder. Varios estudios han considerado el peso de la economía de la cocaína en el producto interno bruto (PIB) del país. Si bien existen distintas metodologías de análisis, los ingresos del tráfico de cocaína en la economía nacional representan, según diferentes autores, entre el 1 y 4</w:t>
      </w:r>
      <w:r>
        <w:rPr>
          <w:spacing w:val="-4"/>
        </w:rPr>
        <w:t xml:space="preserve"> </w:t>
      </w:r>
      <w:r>
        <w:t xml:space="preserve">% del </w:t>
      </w:r>
      <w:r>
        <w:rPr>
          <w:spacing w:val="-2"/>
        </w:rPr>
        <w:t>PIB</w:t>
      </w:r>
      <w:r w:rsidR="00F97164">
        <w:rPr>
          <w:rStyle w:val="Refdenotaalpie"/>
          <w:spacing w:val="-2"/>
        </w:rPr>
        <w:footnoteReference w:id="503"/>
      </w:r>
      <w:r>
        <w:rPr>
          <w:spacing w:val="-2"/>
        </w:rPr>
        <w:t>.</w:t>
      </w:r>
    </w:p>
    <w:p w:rsidR="003804AC" w:rsidRDefault="00AF18A5" w:rsidP="00F97164">
      <w:r>
        <w:t xml:space="preserve">Estos datos muestran el impacto económico del narcotráfico al PIB </w:t>
      </w:r>
      <w:r w:rsidRPr="00B41082">
        <w:lastRenderedPageBreak/>
        <w:t xml:space="preserve">nacional en comparación con el de la agricultura. La </w:t>
      </w:r>
      <w:proofErr w:type="spellStart"/>
      <w:r w:rsidRPr="00B41082">
        <w:t>desagrarización</w:t>
      </w:r>
      <w:proofErr w:type="spellEnd"/>
      <w:r w:rsidRPr="00B41082">
        <w:t xml:space="preserve"> del</w:t>
      </w:r>
      <w:r>
        <w:t xml:space="preserve"> país se evidencia en la caída del</w:t>
      </w:r>
      <w:r>
        <w:rPr>
          <w:spacing w:val="-3"/>
        </w:rPr>
        <w:t xml:space="preserve"> </w:t>
      </w:r>
      <w:r>
        <w:t>aporte</w:t>
      </w:r>
      <w:r>
        <w:rPr>
          <w:spacing w:val="-3"/>
        </w:rPr>
        <w:t xml:space="preserve"> </w:t>
      </w:r>
      <w:r>
        <w:t>de</w:t>
      </w:r>
      <w:r>
        <w:rPr>
          <w:spacing w:val="-3"/>
        </w:rPr>
        <w:t xml:space="preserve"> </w:t>
      </w:r>
      <w:r>
        <w:t>la</w:t>
      </w:r>
      <w:r>
        <w:rPr>
          <w:spacing w:val="-5"/>
        </w:rPr>
        <w:t xml:space="preserve"> </w:t>
      </w:r>
      <w:r>
        <w:t>economía</w:t>
      </w:r>
      <w:r>
        <w:rPr>
          <w:spacing w:val="-3"/>
        </w:rPr>
        <w:t xml:space="preserve"> </w:t>
      </w:r>
      <w:r>
        <w:t>agrícola</w:t>
      </w:r>
      <w:r>
        <w:rPr>
          <w:spacing w:val="-5"/>
        </w:rPr>
        <w:t xml:space="preserve"> </w:t>
      </w:r>
      <w:r>
        <w:t>al</w:t>
      </w:r>
      <w:r>
        <w:rPr>
          <w:spacing w:val="-6"/>
        </w:rPr>
        <w:t xml:space="preserve"> </w:t>
      </w:r>
      <w:r>
        <w:t>PIB,</w:t>
      </w:r>
      <w:r>
        <w:rPr>
          <w:spacing w:val="-4"/>
        </w:rPr>
        <w:t xml:space="preserve"> </w:t>
      </w:r>
      <w:r>
        <w:t>que</w:t>
      </w:r>
      <w:r>
        <w:rPr>
          <w:spacing w:val="-3"/>
        </w:rPr>
        <w:t xml:space="preserve"> </w:t>
      </w:r>
      <w:r>
        <w:t>pasó</w:t>
      </w:r>
      <w:r>
        <w:rPr>
          <w:spacing w:val="-4"/>
        </w:rPr>
        <w:t xml:space="preserve"> </w:t>
      </w:r>
      <w:r>
        <w:t>del</w:t>
      </w:r>
      <w:r>
        <w:rPr>
          <w:spacing w:val="-3"/>
        </w:rPr>
        <w:t xml:space="preserve"> </w:t>
      </w:r>
      <w:r>
        <w:t>27,3</w:t>
      </w:r>
      <w:r>
        <w:rPr>
          <w:spacing w:val="-4"/>
        </w:rPr>
        <w:t xml:space="preserve"> </w:t>
      </w:r>
      <w:r>
        <w:t>%</w:t>
      </w:r>
      <w:r>
        <w:rPr>
          <w:spacing w:val="-4"/>
        </w:rPr>
        <w:t xml:space="preserve"> </w:t>
      </w:r>
      <w:r>
        <w:t>en</w:t>
      </w:r>
      <w:r>
        <w:rPr>
          <w:spacing w:val="-4"/>
        </w:rPr>
        <w:t xml:space="preserve"> </w:t>
      </w:r>
      <w:r>
        <w:t>1965</w:t>
      </w:r>
      <w:r>
        <w:rPr>
          <w:spacing w:val="-4"/>
        </w:rPr>
        <w:t xml:space="preserve"> </w:t>
      </w:r>
      <w:r>
        <w:t>al</w:t>
      </w:r>
      <w:r>
        <w:rPr>
          <w:spacing w:val="-4"/>
        </w:rPr>
        <w:t xml:space="preserve"> </w:t>
      </w:r>
      <w:r>
        <w:t>5,3</w:t>
      </w:r>
      <w:r>
        <w:rPr>
          <w:spacing w:val="-2"/>
        </w:rPr>
        <w:t xml:space="preserve"> </w:t>
      </w:r>
      <w:r>
        <w:t>%</w:t>
      </w:r>
      <w:r>
        <w:rPr>
          <w:spacing w:val="-3"/>
        </w:rPr>
        <w:t xml:space="preserve"> </w:t>
      </w:r>
      <w:r>
        <w:t>en</w:t>
      </w:r>
      <w:r>
        <w:rPr>
          <w:spacing w:val="-4"/>
        </w:rPr>
        <w:t xml:space="preserve"> </w:t>
      </w:r>
      <w:r>
        <w:t>2013,</w:t>
      </w:r>
      <w:r>
        <w:rPr>
          <w:spacing w:val="-4"/>
        </w:rPr>
        <w:t xml:space="preserve"> </w:t>
      </w:r>
      <w:r>
        <w:t>su nivel</w:t>
      </w:r>
      <w:r>
        <w:rPr>
          <w:spacing w:val="-6"/>
        </w:rPr>
        <w:t xml:space="preserve"> </w:t>
      </w:r>
      <w:r>
        <w:t>más</w:t>
      </w:r>
      <w:r>
        <w:rPr>
          <w:spacing w:val="-6"/>
        </w:rPr>
        <w:t xml:space="preserve"> </w:t>
      </w:r>
      <w:r>
        <w:t>bajo.</w:t>
      </w:r>
      <w:r>
        <w:rPr>
          <w:spacing w:val="-6"/>
        </w:rPr>
        <w:t xml:space="preserve"> </w:t>
      </w:r>
      <w:r>
        <w:t>La</w:t>
      </w:r>
      <w:r>
        <w:rPr>
          <w:spacing w:val="-6"/>
        </w:rPr>
        <w:t xml:space="preserve"> </w:t>
      </w:r>
      <w:r>
        <w:t>caída</w:t>
      </w:r>
      <w:r>
        <w:rPr>
          <w:spacing w:val="-7"/>
        </w:rPr>
        <w:t xml:space="preserve"> </w:t>
      </w:r>
      <w:r>
        <w:t>de</w:t>
      </w:r>
      <w:r>
        <w:rPr>
          <w:spacing w:val="-6"/>
        </w:rPr>
        <w:t xml:space="preserve"> </w:t>
      </w:r>
      <w:r>
        <w:t>la</w:t>
      </w:r>
      <w:r>
        <w:rPr>
          <w:spacing w:val="-6"/>
        </w:rPr>
        <w:t xml:space="preserve"> </w:t>
      </w:r>
      <w:r>
        <w:t>participación</w:t>
      </w:r>
      <w:r>
        <w:rPr>
          <w:spacing w:val="-6"/>
        </w:rPr>
        <w:t xml:space="preserve"> </w:t>
      </w:r>
      <w:r>
        <w:t>fue</w:t>
      </w:r>
      <w:r>
        <w:rPr>
          <w:spacing w:val="-6"/>
        </w:rPr>
        <w:t xml:space="preserve"> </w:t>
      </w:r>
      <w:r>
        <w:t>de</w:t>
      </w:r>
      <w:r>
        <w:rPr>
          <w:spacing w:val="-6"/>
        </w:rPr>
        <w:t xml:space="preserve"> </w:t>
      </w:r>
      <w:r>
        <w:t>cinco</w:t>
      </w:r>
      <w:r>
        <w:rPr>
          <w:spacing w:val="-6"/>
        </w:rPr>
        <w:t xml:space="preserve"> </w:t>
      </w:r>
      <w:r>
        <w:t>puntos</w:t>
      </w:r>
      <w:r>
        <w:rPr>
          <w:spacing w:val="-6"/>
        </w:rPr>
        <w:t xml:space="preserve"> </w:t>
      </w:r>
      <w:r>
        <w:t>porcentuales</w:t>
      </w:r>
      <w:r>
        <w:rPr>
          <w:spacing w:val="-6"/>
        </w:rPr>
        <w:t xml:space="preserve"> </w:t>
      </w:r>
      <w:r>
        <w:t>en</w:t>
      </w:r>
      <w:r>
        <w:rPr>
          <w:spacing w:val="-6"/>
        </w:rPr>
        <w:t xml:space="preserve"> </w:t>
      </w:r>
      <w:r>
        <w:t>solo</w:t>
      </w:r>
      <w:r>
        <w:rPr>
          <w:spacing w:val="-6"/>
        </w:rPr>
        <w:t xml:space="preserve"> </w:t>
      </w:r>
      <w:r>
        <w:t>un</w:t>
      </w:r>
      <w:r>
        <w:rPr>
          <w:spacing w:val="-6"/>
        </w:rPr>
        <w:t xml:space="preserve"> </w:t>
      </w:r>
      <w:r>
        <w:t>año, cuando entre 1999 y 2000 pasó del</w:t>
      </w:r>
      <w:r>
        <w:rPr>
          <w:spacing w:val="-1"/>
        </w:rPr>
        <w:t xml:space="preserve"> </w:t>
      </w:r>
      <w:r>
        <w:t>13 al 8,3</w:t>
      </w:r>
      <w:r>
        <w:rPr>
          <w:spacing w:val="-1"/>
        </w:rPr>
        <w:t xml:space="preserve"> </w:t>
      </w:r>
      <w:r>
        <w:t>%</w:t>
      </w:r>
      <w:r w:rsidR="00F97164">
        <w:rPr>
          <w:rStyle w:val="Refdenotaalpie"/>
        </w:rPr>
        <w:footnoteReference w:id="504"/>
      </w:r>
      <w:r>
        <w:t>. Sin embargo, los datos del mercado</w:t>
      </w:r>
      <w:r>
        <w:rPr>
          <w:spacing w:val="-1"/>
        </w:rPr>
        <w:t xml:space="preserve"> </w:t>
      </w:r>
      <w:r>
        <w:t>de la cocaína</w:t>
      </w:r>
      <w:r>
        <w:rPr>
          <w:spacing w:val="3"/>
        </w:rPr>
        <w:t xml:space="preserve"> </w:t>
      </w:r>
      <w:r>
        <w:t>son</w:t>
      </w:r>
      <w:r>
        <w:rPr>
          <w:spacing w:val="3"/>
        </w:rPr>
        <w:t xml:space="preserve"> </w:t>
      </w:r>
      <w:r>
        <w:t>aproximaciones</w:t>
      </w:r>
      <w:r>
        <w:rPr>
          <w:spacing w:val="4"/>
        </w:rPr>
        <w:t xml:space="preserve"> </w:t>
      </w:r>
      <w:r>
        <w:t>e</w:t>
      </w:r>
      <w:r>
        <w:rPr>
          <w:spacing w:val="4"/>
        </w:rPr>
        <w:t xml:space="preserve"> </w:t>
      </w:r>
      <w:r>
        <w:t>intentos</w:t>
      </w:r>
      <w:r>
        <w:rPr>
          <w:spacing w:val="5"/>
        </w:rPr>
        <w:t xml:space="preserve"> </w:t>
      </w:r>
      <w:r>
        <w:t>valiosos</w:t>
      </w:r>
      <w:r>
        <w:rPr>
          <w:spacing w:val="4"/>
        </w:rPr>
        <w:t xml:space="preserve"> </w:t>
      </w:r>
      <w:r>
        <w:t>de</w:t>
      </w:r>
      <w:r>
        <w:rPr>
          <w:spacing w:val="5"/>
        </w:rPr>
        <w:t xml:space="preserve"> </w:t>
      </w:r>
      <w:r>
        <w:t>medir</w:t>
      </w:r>
      <w:r>
        <w:rPr>
          <w:spacing w:val="4"/>
        </w:rPr>
        <w:t xml:space="preserve"> </w:t>
      </w:r>
      <w:r>
        <w:t>algo</w:t>
      </w:r>
      <w:r>
        <w:rPr>
          <w:spacing w:val="3"/>
        </w:rPr>
        <w:t xml:space="preserve"> </w:t>
      </w:r>
      <w:r>
        <w:t>que</w:t>
      </w:r>
      <w:r>
        <w:rPr>
          <w:spacing w:val="5"/>
        </w:rPr>
        <w:t xml:space="preserve"> </w:t>
      </w:r>
      <w:r>
        <w:t>parece</w:t>
      </w:r>
      <w:r>
        <w:rPr>
          <w:spacing w:val="3"/>
        </w:rPr>
        <w:t xml:space="preserve"> </w:t>
      </w:r>
      <w:r>
        <w:t>un</w:t>
      </w:r>
      <w:r>
        <w:rPr>
          <w:spacing w:val="5"/>
        </w:rPr>
        <w:t xml:space="preserve"> </w:t>
      </w:r>
      <w:r>
        <w:t>fantasma</w:t>
      </w:r>
      <w:r>
        <w:rPr>
          <w:spacing w:val="4"/>
        </w:rPr>
        <w:t xml:space="preserve"> </w:t>
      </w:r>
      <w:r>
        <w:rPr>
          <w:spacing w:val="-4"/>
        </w:rPr>
        <w:t>dado</w:t>
      </w:r>
      <w:bookmarkStart w:id="667" w:name="_bookmark562"/>
      <w:bookmarkStart w:id="668" w:name="_bookmark563"/>
      <w:bookmarkStart w:id="669" w:name="_bookmark564"/>
      <w:bookmarkEnd w:id="667"/>
      <w:bookmarkEnd w:id="668"/>
      <w:bookmarkEnd w:id="669"/>
      <w:r w:rsidR="00F97164">
        <w:t xml:space="preserve"> </w:t>
      </w:r>
      <w:r>
        <w:t xml:space="preserve">el carácter ilegal de esta actividad. No hay en Colombia una cifra oficial que dé cuenta de </w:t>
      </w:r>
      <w:r>
        <w:rPr>
          <w:spacing w:val="-2"/>
        </w:rPr>
        <w:t>ello</w:t>
      </w:r>
      <w:r w:rsidR="00F97164">
        <w:rPr>
          <w:rStyle w:val="Refdenotaalpie"/>
          <w:spacing w:val="-2"/>
        </w:rPr>
        <w:footnoteReference w:id="505"/>
      </w:r>
      <w:r>
        <w:rPr>
          <w:spacing w:val="-2"/>
        </w:rPr>
        <w:t>.</w:t>
      </w:r>
    </w:p>
    <w:p w:rsidR="003804AC" w:rsidRDefault="00AF18A5" w:rsidP="00F97164">
      <w:r>
        <w:t>Colombia</w:t>
      </w:r>
      <w:r>
        <w:rPr>
          <w:spacing w:val="-15"/>
        </w:rPr>
        <w:t xml:space="preserve"> </w:t>
      </w:r>
      <w:r>
        <w:t>es</w:t>
      </w:r>
      <w:r>
        <w:rPr>
          <w:spacing w:val="-15"/>
        </w:rPr>
        <w:t xml:space="preserve"> </w:t>
      </w:r>
      <w:r>
        <w:t>el</w:t>
      </w:r>
      <w:r>
        <w:rPr>
          <w:spacing w:val="-15"/>
        </w:rPr>
        <w:t xml:space="preserve"> </w:t>
      </w:r>
      <w:r>
        <w:t>principal</w:t>
      </w:r>
      <w:r>
        <w:rPr>
          <w:spacing w:val="-15"/>
        </w:rPr>
        <w:t xml:space="preserve"> </w:t>
      </w:r>
      <w:r>
        <w:t>productor</w:t>
      </w:r>
      <w:r>
        <w:rPr>
          <w:spacing w:val="-15"/>
        </w:rPr>
        <w:t xml:space="preserve"> </w:t>
      </w:r>
      <w:r>
        <w:t>de</w:t>
      </w:r>
      <w:r>
        <w:rPr>
          <w:spacing w:val="-15"/>
        </w:rPr>
        <w:t xml:space="preserve"> </w:t>
      </w:r>
      <w:r>
        <w:t>cocaína</w:t>
      </w:r>
      <w:r>
        <w:rPr>
          <w:spacing w:val="-15"/>
        </w:rPr>
        <w:t xml:space="preserve"> </w:t>
      </w:r>
      <w:r>
        <w:t>en</w:t>
      </w:r>
      <w:r>
        <w:rPr>
          <w:spacing w:val="-15"/>
        </w:rPr>
        <w:t xml:space="preserve"> </w:t>
      </w:r>
      <w:r>
        <w:t>el</w:t>
      </w:r>
      <w:r>
        <w:rPr>
          <w:spacing w:val="-15"/>
        </w:rPr>
        <w:t xml:space="preserve"> </w:t>
      </w:r>
      <w:r>
        <w:t>mundo,</w:t>
      </w:r>
      <w:r>
        <w:rPr>
          <w:spacing w:val="-15"/>
        </w:rPr>
        <w:t xml:space="preserve"> </w:t>
      </w:r>
      <w:r>
        <w:t>para</w:t>
      </w:r>
      <w:r>
        <w:rPr>
          <w:spacing w:val="-15"/>
        </w:rPr>
        <w:t xml:space="preserve"> </w:t>
      </w:r>
      <w:r>
        <w:t>un</w:t>
      </w:r>
      <w:r>
        <w:rPr>
          <w:spacing w:val="-15"/>
        </w:rPr>
        <w:t xml:space="preserve"> </w:t>
      </w:r>
      <w:r>
        <w:t>mercado</w:t>
      </w:r>
      <w:r>
        <w:rPr>
          <w:spacing w:val="-15"/>
        </w:rPr>
        <w:t xml:space="preserve"> </w:t>
      </w:r>
      <w:r>
        <w:t>que</w:t>
      </w:r>
      <w:r>
        <w:rPr>
          <w:spacing w:val="-15"/>
        </w:rPr>
        <w:t xml:space="preserve"> </w:t>
      </w:r>
      <w:r>
        <w:t>se</w:t>
      </w:r>
      <w:r>
        <w:rPr>
          <w:spacing w:val="-15"/>
        </w:rPr>
        <w:t xml:space="preserve"> </w:t>
      </w:r>
      <w:r>
        <w:t>estima entre</w:t>
      </w:r>
      <w:r>
        <w:rPr>
          <w:spacing w:val="-15"/>
        </w:rPr>
        <w:t xml:space="preserve"> </w:t>
      </w:r>
      <w:r>
        <w:t>19</w:t>
      </w:r>
      <w:r>
        <w:rPr>
          <w:spacing w:val="-14"/>
        </w:rPr>
        <w:t xml:space="preserve"> </w:t>
      </w:r>
      <w:r>
        <w:t>y</w:t>
      </w:r>
      <w:r>
        <w:rPr>
          <w:spacing w:val="-14"/>
        </w:rPr>
        <w:t xml:space="preserve"> </w:t>
      </w:r>
      <w:r>
        <w:t>20</w:t>
      </w:r>
      <w:r>
        <w:rPr>
          <w:spacing w:val="-15"/>
        </w:rPr>
        <w:t xml:space="preserve"> </w:t>
      </w:r>
      <w:r>
        <w:t>millones</w:t>
      </w:r>
      <w:r>
        <w:rPr>
          <w:spacing w:val="-14"/>
        </w:rPr>
        <w:t xml:space="preserve"> </w:t>
      </w:r>
      <w:r>
        <w:t>de</w:t>
      </w:r>
      <w:r>
        <w:rPr>
          <w:spacing w:val="-15"/>
        </w:rPr>
        <w:t xml:space="preserve"> </w:t>
      </w:r>
      <w:r>
        <w:t>usuarios</w:t>
      </w:r>
      <w:r w:rsidR="00F97164">
        <w:rPr>
          <w:rStyle w:val="Refdenotaalpie"/>
        </w:rPr>
        <w:footnoteReference w:id="506"/>
      </w:r>
      <w:r>
        <w:t>.</w:t>
      </w:r>
      <w:r>
        <w:rPr>
          <w:spacing w:val="-14"/>
        </w:rPr>
        <w:t xml:space="preserve"> </w:t>
      </w:r>
      <w:r>
        <w:t>Aproximadamente</w:t>
      </w:r>
      <w:r>
        <w:rPr>
          <w:spacing w:val="-14"/>
        </w:rPr>
        <w:t xml:space="preserve"> </w:t>
      </w:r>
      <w:r>
        <w:t>250</w:t>
      </w:r>
      <w:r>
        <w:rPr>
          <w:spacing w:val="-14"/>
        </w:rPr>
        <w:t xml:space="preserve"> </w:t>
      </w:r>
      <w:r>
        <w:t>mil</w:t>
      </w:r>
      <w:r>
        <w:rPr>
          <w:spacing w:val="-15"/>
        </w:rPr>
        <w:t xml:space="preserve"> </w:t>
      </w:r>
      <w:r>
        <w:t>hectáreas,</w:t>
      </w:r>
      <w:r>
        <w:rPr>
          <w:spacing w:val="-14"/>
        </w:rPr>
        <w:t xml:space="preserve"> </w:t>
      </w:r>
      <w:r>
        <w:t>distribuidas</w:t>
      </w:r>
      <w:r>
        <w:rPr>
          <w:spacing w:val="-14"/>
        </w:rPr>
        <w:t xml:space="preserve"> </w:t>
      </w:r>
      <w:r>
        <w:t>entre tres</w:t>
      </w:r>
      <w:r>
        <w:rPr>
          <w:spacing w:val="-8"/>
        </w:rPr>
        <w:t xml:space="preserve"> </w:t>
      </w:r>
      <w:r>
        <w:t>países</w:t>
      </w:r>
      <w:r>
        <w:rPr>
          <w:spacing w:val="-7"/>
        </w:rPr>
        <w:t xml:space="preserve"> </w:t>
      </w:r>
      <w:r>
        <w:t>andinos</w:t>
      </w:r>
      <w:r>
        <w:rPr>
          <w:spacing w:val="-7"/>
        </w:rPr>
        <w:t xml:space="preserve"> </w:t>
      </w:r>
      <w:r>
        <w:t>(Colombia,</w:t>
      </w:r>
      <w:r>
        <w:rPr>
          <w:spacing w:val="-7"/>
        </w:rPr>
        <w:t xml:space="preserve"> </w:t>
      </w:r>
      <w:r>
        <w:t>Bolivia</w:t>
      </w:r>
      <w:r>
        <w:rPr>
          <w:spacing w:val="-7"/>
        </w:rPr>
        <w:t xml:space="preserve"> </w:t>
      </w:r>
      <w:r>
        <w:t>y</w:t>
      </w:r>
      <w:r>
        <w:rPr>
          <w:spacing w:val="-7"/>
        </w:rPr>
        <w:t xml:space="preserve"> </w:t>
      </w:r>
      <w:r>
        <w:t>Perú),</w:t>
      </w:r>
      <w:r>
        <w:rPr>
          <w:spacing w:val="-8"/>
        </w:rPr>
        <w:t xml:space="preserve"> </w:t>
      </w:r>
      <w:r>
        <w:t>se</w:t>
      </w:r>
      <w:r>
        <w:rPr>
          <w:spacing w:val="-7"/>
        </w:rPr>
        <w:t xml:space="preserve"> </w:t>
      </w:r>
      <w:r>
        <w:t>encargan</w:t>
      </w:r>
      <w:r>
        <w:rPr>
          <w:spacing w:val="-8"/>
        </w:rPr>
        <w:t xml:space="preserve"> </w:t>
      </w:r>
      <w:r>
        <w:t>de</w:t>
      </w:r>
      <w:r>
        <w:rPr>
          <w:spacing w:val="-7"/>
        </w:rPr>
        <w:t xml:space="preserve"> </w:t>
      </w:r>
      <w:r>
        <w:t>proveerla.</w:t>
      </w:r>
      <w:r>
        <w:rPr>
          <w:spacing w:val="-7"/>
        </w:rPr>
        <w:t xml:space="preserve"> </w:t>
      </w:r>
      <w:r>
        <w:t>Y</w:t>
      </w:r>
      <w:r>
        <w:rPr>
          <w:spacing w:val="-8"/>
        </w:rPr>
        <w:t xml:space="preserve"> </w:t>
      </w:r>
      <w:r>
        <w:t>en</w:t>
      </w:r>
      <w:r>
        <w:rPr>
          <w:spacing w:val="-7"/>
        </w:rPr>
        <w:t xml:space="preserve"> </w:t>
      </w:r>
      <w:r>
        <w:t>2020,</w:t>
      </w:r>
      <w:r>
        <w:rPr>
          <w:spacing w:val="-8"/>
        </w:rPr>
        <w:t xml:space="preserve"> </w:t>
      </w:r>
      <w:r>
        <w:t>solo</w:t>
      </w:r>
      <w:r>
        <w:rPr>
          <w:spacing w:val="-7"/>
        </w:rPr>
        <w:t xml:space="preserve"> </w:t>
      </w:r>
      <w:r>
        <w:t>en Colombia, 160 mil hectáreas eran apenas la quinta parte de las áreas de café</w:t>
      </w:r>
      <w:r w:rsidR="00F97164">
        <w:rPr>
          <w:rStyle w:val="Refdenotaalpie"/>
        </w:rPr>
        <w:footnoteReference w:id="507"/>
      </w:r>
      <w:r>
        <w:t>.</w:t>
      </w:r>
    </w:p>
    <w:p w:rsidR="003804AC" w:rsidRDefault="00AF18A5" w:rsidP="00F97164">
      <w:r>
        <w:t>Las</w:t>
      </w:r>
      <w:r>
        <w:rPr>
          <w:spacing w:val="-6"/>
        </w:rPr>
        <w:t xml:space="preserve"> </w:t>
      </w:r>
      <w:r>
        <w:t>economías</w:t>
      </w:r>
      <w:r>
        <w:rPr>
          <w:spacing w:val="-6"/>
        </w:rPr>
        <w:t xml:space="preserve"> </w:t>
      </w:r>
      <w:r>
        <w:t>de</w:t>
      </w:r>
      <w:r>
        <w:rPr>
          <w:spacing w:val="-6"/>
        </w:rPr>
        <w:t xml:space="preserve"> </w:t>
      </w:r>
      <w:r>
        <w:t>la</w:t>
      </w:r>
      <w:r>
        <w:rPr>
          <w:spacing w:val="-6"/>
        </w:rPr>
        <w:t xml:space="preserve"> </w:t>
      </w:r>
      <w:r>
        <w:t>cocaína</w:t>
      </w:r>
      <w:r>
        <w:rPr>
          <w:spacing w:val="-6"/>
        </w:rPr>
        <w:t xml:space="preserve"> </w:t>
      </w:r>
      <w:r>
        <w:t>y</w:t>
      </w:r>
      <w:r>
        <w:rPr>
          <w:spacing w:val="-6"/>
        </w:rPr>
        <w:t xml:space="preserve"> </w:t>
      </w:r>
      <w:r>
        <w:t>la</w:t>
      </w:r>
      <w:r>
        <w:rPr>
          <w:spacing w:val="-6"/>
        </w:rPr>
        <w:t xml:space="preserve"> </w:t>
      </w:r>
      <w:r>
        <w:t>marihuana</w:t>
      </w:r>
      <w:r>
        <w:rPr>
          <w:spacing w:val="-6"/>
        </w:rPr>
        <w:t xml:space="preserve"> </w:t>
      </w:r>
      <w:r>
        <w:t>se</w:t>
      </w:r>
      <w:r>
        <w:rPr>
          <w:spacing w:val="-6"/>
        </w:rPr>
        <w:t xml:space="preserve"> </w:t>
      </w:r>
      <w:r>
        <w:t>desenvuelven</w:t>
      </w:r>
      <w:r>
        <w:rPr>
          <w:spacing w:val="-7"/>
        </w:rPr>
        <w:t xml:space="preserve"> </w:t>
      </w:r>
      <w:r>
        <w:t>en</w:t>
      </w:r>
      <w:r>
        <w:rPr>
          <w:spacing w:val="-6"/>
        </w:rPr>
        <w:t xml:space="preserve"> </w:t>
      </w:r>
      <w:r>
        <w:t>contextos</w:t>
      </w:r>
      <w:r>
        <w:rPr>
          <w:spacing w:val="-6"/>
        </w:rPr>
        <w:t xml:space="preserve"> </w:t>
      </w:r>
      <w:r>
        <w:t>de</w:t>
      </w:r>
      <w:r>
        <w:rPr>
          <w:spacing w:val="-6"/>
        </w:rPr>
        <w:t xml:space="preserve"> </w:t>
      </w:r>
      <w:r>
        <w:t>ilegalidad</w:t>
      </w:r>
      <w:r>
        <w:rPr>
          <w:spacing w:val="-5"/>
        </w:rPr>
        <w:t xml:space="preserve"> </w:t>
      </w:r>
      <w:r>
        <w:t>y violencia,</w:t>
      </w:r>
      <w:r>
        <w:rPr>
          <w:spacing w:val="-11"/>
        </w:rPr>
        <w:t xml:space="preserve"> </w:t>
      </w:r>
      <w:r>
        <w:t>pero</w:t>
      </w:r>
      <w:r>
        <w:rPr>
          <w:spacing w:val="-11"/>
        </w:rPr>
        <w:t xml:space="preserve"> </w:t>
      </w:r>
      <w:r>
        <w:t>en</w:t>
      </w:r>
      <w:r>
        <w:rPr>
          <w:spacing w:val="-11"/>
        </w:rPr>
        <w:t xml:space="preserve"> </w:t>
      </w:r>
      <w:r>
        <w:t>ellas</w:t>
      </w:r>
      <w:r>
        <w:rPr>
          <w:spacing w:val="-12"/>
        </w:rPr>
        <w:t xml:space="preserve"> </w:t>
      </w:r>
      <w:r>
        <w:t>también</w:t>
      </w:r>
      <w:r>
        <w:rPr>
          <w:spacing w:val="-11"/>
        </w:rPr>
        <w:t xml:space="preserve"> </w:t>
      </w:r>
      <w:r>
        <w:t>hay</w:t>
      </w:r>
      <w:r>
        <w:rPr>
          <w:spacing w:val="-12"/>
        </w:rPr>
        <w:t xml:space="preserve"> </w:t>
      </w:r>
      <w:r>
        <w:t>espacios</w:t>
      </w:r>
      <w:r>
        <w:rPr>
          <w:spacing w:val="-11"/>
        </w:rPr>
        <w:t xml:space="preserve"> </w:t>
      </w:r>
      <w:r>
        <w:t>de</w:t>
      </w:r>
      <w:r>
        <w:rPr>
          <w:spacing w:val="-11"/>
        </w:rPr>
        <w:t xml:space="preserve"> </w:t>
      </w:r>
      <w:r>
        <w:t>seguridad.</w:t>
      </w:r>
      <w:r>
        <w:rPr>
          <w:spacing w:val="-11"/>
        </w:rPr>
        <w:t xml:space="preserve"> </w:t>
      </w:r>
      <w:r>
        <w:t>Hay</w:t>
      </w:r>
      <w:r>
        <w:rPr>
          <w:spacing w:val="-11"/>
        </w:rPr>
        <w:t xml:space="preserve"> </w:t>
      </w:r>
      <w:r>
        <w:t>grupos</w:t>
      </w:r>
      <w:r>
        <w:rPr>
          <w:spacing w:val="-11"/>
        </w:rPr>
        <w:t xml:space="preserve"> </w:t>
      </w:r>
      <w:r>
        <w:t>que</w:t>
      </w:r>
      <w:r>
        <w:rPr>
          <w:spacing w:val="-11"/>
        </w:rPr>
        <w:t xml:space="preserve"> </w:t>
      </w:r>
      <w:r>
        <w:t>detentan</w:t>
      </w:r>
      <w:r>
        <w:rPr>
          <w:spacing w:val="-11"/>
        </w:rPr>
        <w:t xml:space="preserve"> </w:t>
      </w:r>
      <w:r>
        <w:t>el</w:t>
      </w:r>
      <w:r>
        <w:rPr>
          <w:spacing w:val="-12"/>
        </w:rPr>
        <w:t xml:space="preserve"> </w:t>
      </w:r>
      <w:r>
        <w:t>poder de</w:t>
      </w:r>
      <w:r>
        <w:rPr>
          <w:spacing w:val="-15"/>
        </w:rPr>
        <w:t xml:space="preserve"> </w:t>
      </w:r>
      <w:r>
        <w:t>ejercerlas,</w:t>
      </w:r>
      <w:r>
        <w:rPr>
          <w:spacing w:val="-13"/>
        </w:rPr>
        <w:t xml:space="preserve"> </w:t>
      </w:r>
      <w:r>
        <w:t>como</w:t>
      </w:r>
      <w:r>
        <w:rPr>
          <w:spacing w:val="-15"/>
        </w:rPr>
        <w:t xml:space="preserve"> </w:t>
      </w:r>
      <w:r>
        <w:t>los</w:t>
      </w:r>
      <w:r>
        <w:rPr>
          <w:spacing w:val="-15"/>
        </w:rPr>
        <w:t xml:space="preserve"> </w:t>
      </w:r>
      <w:r>
        <w:t>traficantes,</w:t>
      </w:r>
      <w:r>
        <w:rPr>
          <w:spacing w:val="-15"/>
        </w:rPr>
        <w:t xml:space="preserve"> </w:t>
      </w:r>
      <w:r>
        <w:t>quienes</w:t>
      </w:r>
      <w:r>
        <w:rPr>
          <w:spacing w:val="-15"/>
        </w:rPr>
        <w:t xml:space="preserve"> </w:t>
      </w:r>
      <w:r>
        <w:t>lavan</w:t>
      </w:r>
      <w:r>
        <w:rPr>
          <w:spacing w:val="-15"/>
        </w:rPr>
        <w:t xml:space="preserve"> </w:t>
      </w:r>
      <w:r>
        <w:t>el</w:t>
      </w:r>
      <w:r>
        <w:rPr>
          <w:spacing w:val="-14"/>
        </w:rPr>
        <w:t xml:space="preserve"> </w:t>
      </w:r>
      <w:r>
        <w:t>dinero</w:t>
      </w:r>
      <w:r>
        <w:rPr>
          <w:spacing w:val="-14"/>
        </w:rPr>
        <w:t xml:space="preserve"> </w:t>
      </w:r>
      <w:r>
        <w:t>y</w:t>
      </w:r>
      <w:r>
        <w:rPr>
          <w:spacing w:val="-15"/>
        </w:rPr>
        <w:t xml:space="preserve"> </w:t>
      </w:r>
      <w:r>
        <w:t>comercializan</w:t>
      </w:r>
      <w:r>
        <w:rPr>
          <w:spacing w:val="-15"/>
        </w:rPr>
        <w:t xml:space="preserve"> </w:t>
      </w:r>
      <w:r>
        <w:t>los</w:t>
      </w:r>
      <w:r>
        <w:rPr>
          <w:spacing w:val="-14"/>
        </w:rPr>
        <w:t xml:space="preserve"> </w:t>
      </w:r>
      <w:r>
        <w:t>insumos,</w:t>
      </w:r>
      <w:r>
        <w:rPr>
          <w:spacing w:val="-15"/>
        </w:rPr>
        <w:t xml:space="preserve"> </w:t>
      </w:r>
      <w:r>
        <w:t xml:space="preserve">entre los </w:t>
      </w:r>
      <w:r>
        <w:lastRenderedPageBreak/>
        <w:t>cuales hay 33 sustancias químicas reguladas y legales</w:t>
      </w:r>
      <w:r w:rsidR="00F97164">
        <w:rPr>
          <w:rStyle w:val="Refdenotaalpie"/>
        </w:rPr>
        <w:footnoteReference w:id="508"/>
      </w:r>
      <w:r>
        <w:t>.</w:t>
      </w:r>
    </w:p>
    <w:p w:rsidR="003804AC" w:rsidRDefault="00AF18A5" w:rsidP="00F97164">
      <w:r>
        <w:t>Por</w:t>
      </w:r>
      <w:r>
        <w:rPr>
          <w:spacing w:val="-3"/>
        </w:rPr>
        <w:t xml:space="preserve"> </w:t>
      </w:r>
      <w:r>
        <w:t>otro</w:t>
      </w:r>
      <w:r>
        <w:rPr>
          <w:spacing w:val="-5"/>
        </w:rPr>
        <w:t xml:space="preserve"> </w:t>
      </w:r>
      <w:r>
        <w:t>lado,</w:t>
      </w:r>
      <w:r>
        <w:rPr>
          <w:spacing w:val="-4"/>
        </w:rPr>
        <w:t xml:space="preserve"> </w:t>
      </w:r>
      <w:r>
        <w:t>el</w:t>
      </w:r>
      <w:r>
        <w:rPr>
          <w:spacing w:val="-3"/>
        </w:rPr>
        <w:t xml:space="preserve"> </w:t>
      </w:r>
      <w:r>
        <w:t>narcotráfico</w:t>
      </w:r>
      <w:r>
        <w:rPr>
          <w:spacing w:val="-5"/>
        </w:rPr>
        <w:t xml:space="preserve"> </w:t>
      </w:r>
      <w:r>
        <w:t>en</w:t>
      </w:r>
      <w:r>
        <w:rPr>
          <w:spacing w:val="-4"/>
        </w:rPr>
        <w:t xml:space="preserve"> </w:t>
      </w:r>
      <w:r>
        <w:t>Colombia</w:t>
      </w:r>
      <w:r>
        <w:rPr>
          <w:spacing w:val="-5"/>
        </w:rPr>
        <w:t xml:space="preserve"> </w:t>
      </w:r>
      <w:r>
        <w:t>se</w:t>
      </w:r>
      <w:r>
        <w:rPr>
          <w:spacing w:val="-4"/>
        </w:rPr>
        <w:t xml:space="preserve"> </w:t>
      </w:r>
      <w:r>
        <w:t>caracteriza</w:t>
      </w:r>
      <w:r>
        <w:rPr>
          <w:spacing w:val="-5"/>
        </w:rPr>
        <w:t xml:space="preserve"> </w:t>
      </w:r>
      <w:r>
        <w:t>por</w:t>
      </w:r>
      <w:r>
        <w:rPr>
          <w:spacing w:val="-6"/>
        </w:rPr>
        <w:t xml:space="preserve"> </w:t>
      </w:r>
      <w:r>
        <w:t>la</w:t>
      </w:r>
      <w:r>
        <w:rPr>
          <w:spacing w:val="-3"/>
        </w:rPr>
        <w:t xml:space="preserve"> </w:t>
      </w:r>
      <w:r>
        <w:t>intensidad</w:t>
      </w:r>
      <w:r>
        <w:rPr>
          <w:spacing w:val="-5"/>
        </w:rPr>
        <w:t xml:space="preserve"> </w:t>
      </w:r>
      <w:r>
        <w:t>de</w:t>
      </w:r>
      <w:r>
        <w:rPr>
          <w:spacing w:val="-3"/>
        </w:rPr>
        <w:t xml:space="preserve"> </w:t>
      </w:r>
      <w:r>
        <w:t>su</w:t>
      </w:r>
      <w:r>
        <w:rPr>
          <w:spacing w:val="-4"/>
        </w:rPr>
        <w:t xml:space="preserve"> </w:t>
      </w:r>
      <w:r>
        <w:t>violencia contra los más vulnerables, por lo que afecta de manera diferenciada a campesinas y campesinos; pueblos étnicos; mujeres y jóvenes vinculados al cultivo, a las estructuras de microtráfico, y a los usuarios de drogas</w:t>
      </w:r>
      <w:r w:rsidR="00F97164">
        <w:rPr>
          <w:rStyle w:val="Refdenotaalpie"/>
        </w:rPr>
        <w:footnoteReference w:id="509"/>
      </w:r>
      <w:r>
        <w:t>. La creación de grupos de seguridad y ejércitos privados</w:t>
      </w:r>
      <w:r>
        <w:rPr>
          <w:spacing w:val="9"/>
        </w:rPr>
        <w:t xml:space="preserve"> </w:t>
      </w:r>
      <w:r>
        <w:t>patrocinados</w:t>
      </w:r>
      <w:r>
        <w:rPr>
          <w:spacing w:val="10"/>
        </w:rPr>
        <w:t xml:space="preserve"> </w:t>
      </w:r>
      <w:r>
        <w:t>por</w:t>
      </w:r>
      <w:r>
        <w:rPr>
          <w:spacing w:val="11"/>
        </w:rPr>
        <w:t xml:space="preserve"> </w:t>
      </w:r>
      <w:r>
        <w:t>narcotraficantes,</w:t>
      </w:r>
      <w:r>
        <w:rPr>
          <w:spacing w:val="8"/>
        </w:rPr>
        <w:t xml:space="preserve"> </w:t>
      </w:r>
      <w:r>
        <w:t>así</w:t>
      </w:r>
      <w:r>
        <w:rPr>
          <w:spacing w:val="10"/>
        </w:rPr>
        <w:t xml:space="preserve"> </w:t>
      </w:r>
      <w:r>
        <w:t>como</w:t>
      </w:r>
      <w:r>
        <w:rPr>
          <w:spacing w:val="11"/>
        </w:rPr>
        <w:t xml:space="preserve"> </w:t>
      </w:r>
      <w:r>
        <w:t>la</w:t>
      </w:r>
      <w:r>
        <w:rPr>
          <w:spacing w:val="10"/>
        </w:rPr>
        <w:t xml:space="preserve"> </w:t>
      </w:r>
      <w:r>
        <w:t>instalación</w:t>
      </w:r>
      <w:r>
        <w:rPr>
          <w:spacing w:val="8"/>
        </w:rPr>
        <w:t xml:space="preserve"> </w:t>
      </w:r>
      <w:r>
        <w:t>de</w:t>
      </w:r>
      <w:r>
        <w:rPr>
          <w:spacing w:val="10"/>
        </w:rPr>
        <w:t xml:space="preserve"> </w:t>
      </w:r>
      <w:r>
        <w:t>reglas</w:t>
      </w:r>
      <w:r>
        <w:rPr>
          <w:spacing w:val="11"/>
        </w:rPr>
        <w:t xml:space="preserve"> </w:t>
      </w:r>
      <w:r>
        <w:t>sobre</w:t>
      </w:r>
      <w:r>
        <w:rPr>
          <w:spacing w:val="11"/>
        </w:rPr>
        <w:t xml:space="preserve"> </w:t>
      </w:r>
      <w:r>
        <w:rPr>
          <w:spacing w:val="-2"/>
        </w:rPr>
        <w:t>precios,</w:t>
      </w:r>
      <w:bookmarkStart w:id="670" w:name="_bookmark565"/>
      <w:bookmarkStart w:id="671" w:name="_bookmark566"/>
      <w:bookmarkStart w:id="672" w:name="_bookmark567"/>
      <w:bookmarkStart w:id="673" w:name="_bookmark568"/>
      <w:bookmarkStart w:id="674" w:name="_bookmark569"/>
      <w:bookmarkEnd w:id="670"/>
      <w:bookmarkEnd w:id="671"/>
      <w:bookmarkEnd w:id="672"/>
      <w:bookmarkEnd w:id="673"/>
      <w:bookmarkEnd w:id="674"/>
      <w:r w:rsidR="00F97164">
        <w:rPr>
          <w:spacing w:val="-2"/>
        </w:rPr>
        <w:t xml:space="preserve"> </w:t>
      </w:r>
      <w:r>
        <w:t xml:space="preserve">compradores, pagos, impuestos e insumos determinados y controlados por actores armados </w:t>
      </w:r>
      <w:r>
        <w:rPr>
          <w:spacing w:val="-2"/>
        </w:rPr>
        <w:t>ha</w:t>
      </w:r>
      <w:r>
        <w:rPr>
          <w:spacing w:val="-6"/>
        </w:rPr>
        <w:t xml:space="preserve"> </w:t>
      </w:r>
      <w:r>
        <w:rPr>
          <w:spacing w:val="-2"/>
        </w:rPr>
        <w:t>tenido</w:t>
      </w:r>
      <w:r>
        <w:rPr>
          <w:spacing w:val="-6"/>
        </w:rPr>
        <w:t xml:space="preserve"> </w:t>
      </w:r>
      <w:r>
        <w:rPr>
          <w:spacing w:val="-2"/>
        </w:rPr>
        <w:t>influencia</w:t>
      </w:r>
      <w:r>
        <w:rPr>
          <w:spacing w:val="-6"/>
        </w:rPr>
        <w:t xml:space="preserve"> </w:t>
      </w:r>
      <w:r>
        <w:rPr>
          <w:spacing w:val="-2"/>
        </w:rPr>
        <w:t>cada</w:t>
      </w:r>
      <w:r>
        <w:rPr>
          <w:spacing w:val="-9"/>
        </w:rPr>
        <w:t xml:space="preserve"> </w:t>
      </w:r>
      <w:r>
        <w:rPr>
          <w:spacing w:val="-2"/>
        </w:rPr>
        <w:t>vez</w:t>
      </w:r>
      <w:r>
        <w:rPr>
          <w:spacing w:val="-6"/>
        </w:rPr>
        <w:t xml:space="preserve"> </w:t>
      </w:r>
      <w:r>
        <w:rPr>
          <w:spacing w:val="-2"/>
        </w:rPr>
        <w:t>mayor</w:t>
      </w:r>
      <w:r>
        <w:rPr>
          <w:spacing w:val="-5"/>
        </w:rPr>
        <w:t xml:space="preserve"> </w:t>
      </w:r>
      <w:r>
        <w:rPr>
          <w:spacing w:val="-2"/>
        </w:rPr>
        <w:t>en</w:t>
      </w:r>
      <w:r>
        <w:rPr>
          <w:spacing w:val="-6"/>
        </w:rPr>
        <w:t xml:space="preserve"> </w:t>
      </w:r>
      <w:r>
        <w:rPr>
          <w:spacing w:val="-2"/>
        </w:rPr>
        <w:t>el</w:t>
      </w:r>
      <w:r>
        <w:rPr>
          <w:spacing w:val="-6"/>
        </w:rPr>
        <w:t xml:space="preserve"> </w:t>
      </w:r>
      <w:r>
        <w:rPr>
          <w:spacing w:val="-2"/>
        </w:rPr>
        <w:t>conflicto</w:t>
      </w:r>
      <w:r>
        <w:rPr>
          <w:spacing w:val="-6"/>
        </w:rPr>
        <w:t xml:space="preserve"> </w:t>
      </w:r>
      <w:r>
        <w:rPr>
          <w:spacing w:val="-2"/>
        </w:rPr>
        <w:t>armado</w:t>
      </w:r>
      <w:r>
        <w:rPr>
          <w:spacing w:val="-6"/>
        </w:rPr>
        <w:t xml:space="preserve"> </w:t>
      </w:r>
      <w:r>
        <w:rPr>
          <w:spacing w:val="-2"/>
        </w:rPr>
        <w:t>interno.</w:t>
      </w:r>
      <w:r>
        <w:rPr>
          <w:spacing w:val="-6"/>
        </w:rPr>
        <w:t xml:space="preserve"> </w:t>
      </w:r>
      <w:r>
        <w:rPr>
          <w:spacing w:val="-2"/>
        </w:rPr>
        <w:t>La</w:t>
      </w:r>
      <w:r>
        <w:rPr>
          <w:spacing w:val="-7"/>
        </w:rPr>
        <w:t xml:space="preserve"> </w:t>
      </w:r>
      <w:r>
        <w:rPr>
          <w:spacing w:val="-2"/>
        </w:rPr>
        <w:t>financiación</w:t>
      </w:r>
      <w:r>
        <w:rPr>
          <w:spacing w:val="-6"/>
        </w:rPr>
        <w:t xml:space="preserve"> </w:t>
      </w:r>
      <w:r>
        <w:rPr>
          <w:spacing w:val="-2"/>
        </w:rPr>
        <w:t>de</w:t>
      </w:r>
      <w:r>
        <w:rPr>
          <w:spacing w:val="-7"/>
        </w:rPr>
        <w:t xml:space="preserve"> </w:t>
      </w:r>
      <w:r>
        <w:rPr>
          <w:spacing w:val="-2"/>
        </w:rPr>
        <w:t xml:space="preserve">grupos </w:t>
      </w:r>
      <w:r>
        <w:t>armados, el involucramiento de sectores del Estado, de la economía y de la política, el desarrollo del paramilitarismo y el financiamiento e involucramiento de grupos guerrilleros es parte de la explicación sobre la persistencia y agravamiento del conflicto en diferentes épocas hasta la actualidad.</w:t>
      </w:r>
    </w:p>
    <w:p w:rsidR="003804AC" w:rsidRDefault="00AF18A5" w:rsidP="00453987">
      <w:r>
        <w:lastRenderedPageBreak/>
        <w:t>También lo es la impunidad y la corrupción, puesto que los mecanismos para frenar el negocio</w:t>
      </w:r>
      <w:r>
        <w:rPr>
          <w:spacing w:val="-2"/>
        </w:rPr>
        <w:t xml:space="preserve"> </w:t>
      </w:r>
      <w:r>
        <w:t>desde</w:t>
      </w:r>
      <w:r>
        <w:rPr>
          <w:spacing w:val="-2"/>
        </w:rPr>
        <w:t xml:space="preserve"> </w:t>
      </w:r>
      <w:r>
        <w:t>los</w:t>
      </w:r>
      <w:r>
        <w:rPr>
          <w:spacing w:val="-2"/>
        </w:rPr>
        <w:t xml:space="preserve"> </w:t>
      </w:r>
      <w:r>
        <w:t>órganos</w:t>
      </w:r>
      <w:r>
        <w:rPr>
          <w:spacing w:val="-2"/>
        </w:rPr>
        <w:t xml:space="preserve"> </w:t>
      </w:r>
      <w:r>
        <w:t>de</w:t>
      </w:r>
      <w:r>
        <w:rPr>
          <w:spacing w:val="-2"/>
        </w:rPr>
        <w:t xml:space="preserve"> </w:t>
      </w:r>
      <w:r>
        <w:t>la</w:t>
      </w:r>
      <w:r>
        <w:rPr>
          <w:spacing w:val="-2"/>
        </w:rPr>
        <w:t xml:space="preserve"> </w:t>
      </w:r>
      <w:r>
        <w:t>ejercer</w:t>
      </w:r>
      <w:r>
        <w:rPr>
          <w:spacing w:val="-2"/>
        </w:rPr>
        <w:t xml:space="preserve"> </w:t>
      </w:r>
      <w:r>
        <w:t>justicia,</w:t>
      </w:r>
      <w:r>
        <w:rPr>
          <w:spacing w:val="-4"/>
        </w:rPr>
        <w:t xml:space="preserve"> </w:t>
      </w:r>
      <w:r>
        <w:t>no</w:t>
      </w:r>
      <w:r>
        <w:rPr>
          <w:spacing w:val="-2"/>
        </w:rPr>
        <w:t xml:space="preserve"> </w:t>
      </w:r>
      <w:r>
        <w:t>han</w:t>
      </w:r>
      <w:r>
        <w:rPr>
          <w:spacing w:val="-2"/>
        </w:rPr>
        <w:t xml:space="preserve"> </w:t>
      </w:r>
      <w:r>
        <w:t>sido</w:t>
      </w:r>
      <w:r>
        <w:rPr>
          <w:spacing w:val="-2"/>
        </w:rPr>
        <w:t xml:space="preserve"> </w:t>
      </w:r>
      <w:r>
        <w:t>del</w:t>
      </w:r>
      <w:r>
        <w:rPr>
          <w:spacing w:val="-2"/>
        </w:rPr>
        <w:t xml:space="preserve"> </w:t>
      </w:r>
      <w:r>
        <w:t>todo</w:t>
      </w:r>
      <w:r>
        <w:rPr>
          <w:spacing w:val="-2"/>
        </w:rPr>
        <w:t xml:space="preserve"> </w:t>
      </w:r>
      <w:r>
        <w:t>efectivos.</w:t>
      </w:r>
      <w:r>
        <w:rPr>
          <w:spacing w:val="-2"/>
        </w:rPr>
        <w:t xml:space="preserve"> </w:t>
      </w:r>
      <w:r>
        <w:t>Por</w:t>
      </w:r>
      <w:r>
        <w:rPr>
          <w:spacing w:val="-2"/>
        </w:rPr>
        <w:t xml:space="preserve"> </w:t>
      </w:r>
      <w:r>
        <w:t>su</w:t>
      </w:r>
      <w:r>
        <w:rPr>
          <w:spacing w:val="-2"/>
        </w:rPr>
        <w:t xml:space="preserve"> </w:t>
      </w:r>
      <w:r>
        <w:t>parte, la extensión durante décadas de la figura de la extradición de narcotraficantes, que empezó en</w:t>
      </w:r>
      <w:r>
        <w:rPr>
          <w:spacing w:val="-8"/>
        </w:rPr>
        <w:t xml:space="preserve"> </w:t>
      </w:r>
      <w:r>
        <w:t>un</w:t>
      </w:r>
      <w:r>
        <w:rPr>
          <w:spacing w:val="-8"/>
        </w:rPr>
        <w:t xml:space="preserve"> </w:t>
      </w:r>
      <w:r>
        <w:t>contexto</w:t>
      </w:r>
      <w:r>
        <w:rPr>
          <w:spacing w:val="-8"/>
        </w:rPr>
        <w:t xml:space="preserve"> </w:t>
      </w:r>
      <w:r>
        <w:t>de</w:t>
      </w:r>
      <w:r>
        <w:rPr>
          <w:spacing w:val="-8"/>
        </w:rPr>
        <w:t xml:space="preserve"> </w:t>
      </w:r>
      <w:r>
        <w:t>ataques</w:t>
      </w:r>
      <w:r>
        <w:rPr>
          <w:spacing w:val="-8"/>
        </w:rPr>
        <w:t xml:space="preserve"> </w:t>
      </w:r>
      <w:r>
        <w:t>a</w:t>
      </w:r>
      <w:r>
        <w:rPr>
          <w:spacing w:val="-8"/>
        </w:rPr>
        <w:t xml:space="preserve"> </w:t>
      </w:r>
      <w:r>
        <w:t>la</w:t>
      </w:r>
      <w:r>
        <w:rPr>
          <w:spacing w:val="-8"/>
        </w:rPr>
        <w:t xml:space="preserve"> </w:t>
      </w:r>
      <w:r>
        <w:t>justicia</w:t>
      </w:r>
      <w:r>
        <w:rPr>
          <w:spacing w:val="-8"/>
        </w:rPr>
        <w:t xml:space="preserve"> </w:t>
      </w:r>
      <w:r>
        <w:t>a</w:t>
      </w:r>
      <w:r>
        <w:rPr>
          <w:spacing w:val="-8"/>
        </w:rPr>
        <w:t xml:space="preserve"> </w:t>
      </w:r>
      <w:r>
        <w:t>finales</w:t>
      </w:r>
      <w:r>
        <w:rPr>
          <w:spacing w:val="-8"/>
        </w:rPr>
        <w:t xml:space="preserve"> </w:t>
      </w:r>
      <w:r>
        <w:t>de</w:t>
      </w:r>
      <w:r>
        <w:rPr>
          <w:spacing w:val="-8"/>
        </w:rPr>
        <w:t xml:space="preserve"> </w:t>
      </w:r>
      <w:r>
        <w:t>los</w:t>
      </w:r>
      <w:r>
        <w:rPr>
          <w:spacing w:val="-8"/>
        </w:rPr>
        <w:t xml:space="preserve"> </w:t>
      </w:r>
      <w:r>
        <w:t>años</w:t>
      </w:r>
      <w:r>
        <w:rPr>
          <w:spacing w:val="-8"/>
        </w:rPr>
        <w:t xml:space="preserve"> </w:t>
      </w:r>
      <w:r>
        <w:t>ochenta,</w:t>
      </w:r>
      <w:r>
        <w:rPr>
          <w:spacing w:val="-8"/>
        </w:rPr>
        <w:t xml:space="preserve"> </w:t>
      </w:r>
      <w:r>
        <w:t>se</w:t>
      </w:r>
      <w:r>
        <w:rPr>
          <w:spacing w:val="-8"/>
        </w:rPr>
        <w:t xml:space="preserve"> </w:t>
      </w:r>
      <w:r>
        <w:t>fue</w:t>
      </w:r>
      <w:r>
        <w:rPr>
          <w:spacing w:val="-9"/>
        </w:rPr>
        <w:t xml:space="preserve"> </w:t>
      </w:r>
      <w:r>
        <w:t>haciendo</w:t>
      </w:r>
      <w:r>
        <w:rPr>
          <w:spacing w:val="-8"/>
        </w:rPr>
        <w:t xml:space="preserve"> </w:t>
      </w:r>
      <w:r>
        <w:t>cada</w:t>
      </w:r>
      <w:r>
        <w:rPr>
          <w:spacing w:val="-8"/>
        </w:rPr>
        <w:t xml:space="preserve"> </w:t>
      </w:r>
      <w:r>
        <w:t>vez más automática y limitó la capacidad de investigar el fenómeno en Colombia, así como de utilizar esas rentas para la reparación a las víctimas, lo que le dio cada vez más importancia al papel de los EE. UU.</w:t>
      </w:r>
    </w:p>
    <w:p w:rsidR="003804AC" w:rsidRDefault="00AF18A5" w:rsidP="00453987">
      <w:r>
        <w:t xml:space="preserve">Un trabajador del sector judicial afiliado a </w:t>
      </w:r>
      <w:proofErr w:type="spellStart"/>
      <w:r>
        <w:t>Asonal</w:t>
      </w:r>
      <w:proofErr w:type="spellEnd"/>
      <w:r>
        <w:t xml:space="preserve"> en el Valle del Cauca le describió a la Comisión la avanzada violenta del narcotráfico sobre la justicia en la década del ochenta. Mientras los jueces exigían al Estado una protección que nunca llegó, la acción decidida contra</w:t>
      </w:r>
      <w:r>
        <w:rPr>
          <w:spacing w:val="-13"/>
        </w:rPr>
        <w:t xml:space="preserve"> </w:t>
      </w:r>
      <w:r>
        <w:t>el</w:t>
      </w:r>
      <w:r>
        <w:rPr>
          <w:spacing w:val="-13"/>
        </w:rPr>
        <w:t xml:space="preserve"> </w:t>
      </w:r>
      <w:r>
        <w:t>narcotráfico</w:t>
      </w:r>
      <w:r>
        <w:rPr>
          <w:spacing w:val="-13"/>
        </w:rPr>
        <w:t xml:space="preserve"> </w:t>
      </w:r>
      <w:r>
        <w:t>detonó</w:t>
      </w:r>
      <w:r>
        <w:rPr>
          <w:spacing w:val="-13"/>
        </w:rPr>
        <w:t xml:space="preserve"> </w:t>
      </w:r>
      <w:r>
        <w:t>las</w:t>
      </w:r>
      <w:r>
        <w:rPr>
          <w:spacing w:val="-13"/>
        </w:rPr>
        <w:t xml:space="preserve"> </w:t>
      </w:r>
      <w:r>
        <w:t>«amenazas</w:t>
      </w:r>
      <w:r>
        <w:rPr>
          <w:spacing w:val="-13"/>
        </w:rPr>
        <w:t xml:space="preserve"> </w:t>
      </w:r>
      <w:r>
        <w:t>reiterativas,</w:t>
      </w:r>
      <w:r>
        <w:rPr>
          <w:spacing w:val="-13"/>
        </w:rPr>
        <w:t xml:space="preserve"> </w:t>
      </w:r>
      <w:r>
        <w:t>la</w:t>
      </w:r>
      <w:r>
        <w:rPr>
          <w:spacing w:val="-13"/>
        </w:rPr>
        <w:t xml:space="preserve"> </w:t>
      </w:r>
      <w:r>
        <w:t>mortandad</w:t>
      </w:r>
      <w:r>
        <w:rPr>
          <w:spacing w:val="-13"/>
        </w:rPr>
        <w:t xml:space="preserve"> </w:t>
      </w:r>
      <w:r>
        <w:t>de</w:t>
      </w:r>
      <w:r>
        <w:rPr>
          <w:spacing w:val="-13"/>
        </w:rPr>
        <w:t xml:space="preserve"> </w:t>
      </w:r>
      <w:r>
        <w:t>compañeros;</w:t>
      </w:r>
      <w:r>
        <w:rPr>
          <w:spacing w:val="-14"/>
        </w:rPr>
        <w:t xml:space="preserve"> </w:t>
      </w:r>
      <w:r>
        <w:t>es</w:t>
      </w:r>
      <w:r>
        <w:rPr>
          <w:spacing w:val="-13"/>
        </w:rPr>
        <w:t xml:space="preserve"> </w:t>
      </w:r>
      <w:r>
        <w:t xml:space="preserve">que fueron muchos los compañeros que mataron en esa época». Era una pelea solitaria: «No contaban con el respaldo de nadie, de absolutamente nadie. Me refiero a nivel institucional alto». El </w:t>
      </w:r>
      <w:proofErr w:type="spellStart"/>
      <w:r>
        <w:t>testimoniante</w:t>
      </w:r>
      <w:proofErr w:type="spellEnd"/>
      <w:r>
        <w:t xml:space="preserve"> también señaló que de manera paralela hubo varios magistrados del Tribunal de Cali que participaron en fiestas organizadas por los hermanos Rodríguez </w:t>
      </w:r>
      <w:r>
        <w:rPr>
          <w:spacing w:val="-2"/>
        </w:rPr>
        <w:t>Orejuela</w:t>
      </w:r>
      <w:r w:rsidR="00453987">
        <w:rPr>
          <w:rStyle w:val="Refdenotaalpie"/>
          <w:spacing w:val="-2"/>
        </w:rPr>
        <w:footnoteReference w:id="510"/>
      </w:r>
      <w:r>
        <w:rPr>
          <w:spacing w:val="-2"/>
        </w:rPr>
        <w:t>.</w:t>
      </w:r>
    </w:p>
    <w:p w:rsidR="003804AC" w:rsidRDefault="00AF18A5" w:rsidP="00453987">
      <w:r>
        <w:t>En Colombia, el blanqueo de capitales en el sistema financiero, la compra de tierras o la contratación</w:t>
      </w:r>
      <w:r>
        <w:rPr>
          <w:spacing w:val="14"/>
        </w:rPr>
        <w:t xml:space="preserve"> </w:t>
      </w:r>
      <w:r>
        <w:t>de</w:t>
      </w:r>
      <w:r>
        <w:rPr>
          <w:spacing w:val="18"/>
        </w:rPr>
        <w:t xml:space="preserve"> </w:t>
      </w:r>
      <w:r>
        <w:t>obras</w:t>
      </w:r>
      <w:r>
        <w:rPr>
          <w:spacing w:val="18"/>
        </w:rPr>
        <w:t xml:space="preserve"> </w:t>
      </w:r>
      <w:r>
        <w:t>públicas</w:t>
      </w:r>
      <w:r>
        <w:rPr>
          <w:spacing w:val="18"/>
        </w:rPr>
        <w:t xml:space="preserve"> </w:t>
      </w:r>
      <w:r>
        <w:t>se</w:t>
      </w:r>
      <w:r>
        <w:rPr>
          <w:spacing w:val="18"/>
        </w:rPr>
        <w:t xml:space="preserve"> </w:t>
      </w:r>
      <w:r>
        <w:t>ha</w:t>
      </w:r>
      <w:r>
        <w:rPr>
          <w:spacing w:val="17"/>
        </w:rPr>
        <w:t xml:space="preserve"> </w:t>
      </w:r>
      <w:r>
        <w:t>dado</w:t>
      </w:r>
      <w:r>
        <w:rPr>
          <w:spacing w:val="18"/>
        </w:rPr>
        <w:t xml:space="preserve"> </w:t>
      </w:r>
      <w:r>
        <w:t>a</w:t>
      </w:r>
      <w:r>
        <w:rPr>
          <w:spacing w:val="18"/>
        </w:rPr>
        <w:t xml:space="preserve"> </w:t>
      </w:r>
      <w:r>
        <w:t>través</w:t>
      </w:r>
      <w:r>
        <w:rPr>
          <w:spacing w:val="18"/>
        </w:rPr>
        <w:t xml:space="preserve"> </w:t>
      </w:r>
      <w:r>
        <w:t>de</w:t>
      </w:r>
      <w:r>
        <w:rPr>
          <w:spacing w:val="18"/>
        </w:rPr>
        <w:t xml:space="preserve"> </w:t>
      </w:r>
      <w:r>
        <w:t>diferentes</w:t>
      </w:r>
      <w:r>
        <w:rPr>
          <w:spacing w:val="18"/>
        </w:rPr>
        <w:t xml:space="preserve"> </w:t>
      </w:r>
      <w:r>
        <w:t>formas</w:t>
      </w:r>
      <w:r>
        <w:rPr>
          <w:spacing w:val="18"/>
        </w:rPr>
        <w:t xml:space="preserve"> </w:t>
      </w:r>
      <w:r>
        <w:t>de</w:t>
      </w:r>
      <w:r>
        <w:rPr>
          <w:spacing w:val="18"/>
        </w:rPr>
        <w:t xml:space="preserve"> </w:t>
      </w:r>
      <w:r>
        <w:rPr>
          <w:spacing w:val="-2"/>
        </w:rPr>
        <w:t>financiamiento</w:t>
      </w:r>
      <w:bookmarkStart w:id="675" w:name="_bookmark570"/>
      <w:bookmarkEnd w:id="675"/>
      <w:r w:rsidR="00453987">
        <w:rPr>
          <w:spacing w:val="-2"/>
        </w:rPr>
        <w:t xml:space="preserve"> </w:t>
      </w:r>
      <w:r>
        <w:t>con</w:t>
      </w:r>
      <w:r>
        <w:rPr>
          <w:spacing w:val="-8"/>
        </w:rPr>
        <w:t xml:space="preserve"> </w:t>
      </w:r>
      <w:r>
        <w:t>la</w:t>
      </w:r>
      <w:r>
        <w:rPr>
          <w:spacing w:val="-8"/>
        </w:rPr>
        <w:t xml:space="preserve"> </w:t>
      </w:r>
      <w:r>
        <w:t>política,</w:t>
      </w:r>
      <w:r>
        <w:rPr>
          <w:spacing w:val="-8"/>
        </w:rPr>
        <w:t xml:space="preserve"> </w:t>
      </w:r>
      <w:r>
        <w:t>como</w:t>
      </w:r>
      <w:r>
        <w:rPr>
          <w:spacing w:val="-8"/>
        </w:rPr>
        <w:t xml:space="preserve"> </w:t>
      </w:r>
      <w:r>
        <w:t>lo</w:t>
      </w:r>
      <w:r>
        <w:rPr>
          <w:spacing w:val="-10"/>
        </w:rPr>
        <w:t xml:space="preserve"> </w:t>
      </w:r>
      <w:r>
        <w:t>mostró</w:t>
      </w:r>
      <w:r>
        <w:rPr>
          <w:spacing w:val="-8"/>
        </w:rPr>
        <w:t xml:space="preserve"> </w:t>
      </w:r>
      <w:r>
        <w:t>el</w:t>
      </w:r>
      <w:r>
        <w:rPr>
          <w:spacing w:val="-8"/>
        </w:rPr>
        <w:t xml:space="preserve"> </w:t>
      </w:r>
      <w:r>
        <w:t>caso</w:t>
      </w:r>
      <w:r>
        <w:rPr>
          <w:spacing w:val="-8"/>
        </w:rPr>
        <w:t xml:space="preserve"> </w:t>
      </w:r>
      <w:r>
        <w:t>del</w:t>
      </w:r>
      <w:r>
        <w:rPr>
          <w:spacing w:val="-8"/>
        </w:rPr>
        <w:t xml:space="preserve"> </w:t>
      </w:r>
      <w:r>
        <w:t>Bloque</w:t>
      </w:r>
      <w:r>
        <w:rPr>
          <w:spacing w:val="-8"/>
        </w:rPr>
        <w:t xml:space="preserve"> </w:t>
      </w:r>
      <w:r>
        <w:t>Centauros</w:t>
      </w:r>
      <w:r>
        <w:rPr>
          <w:spacing w:val="-9"/>
        </w:rPr>
        <w:t xml:space="preserve"> </w:t>
      </w:r>
      <w:r>
        <w:t>en</w:t>
      </w:r>
      <w:r>
        <w:rPr>
          <w:spacing w:val="-8"/>
        </w:rPr>
        <w:t xml:space="preserve"> </w:t>
      </w:r>
      <w:r>
        <w:t>los</w:t>
      </w:r>
      <w:r>
        <w:rPr>
          <w:spacing w:val="-8"/>
        </w:rPr>
        <w:t xml:space="preserve"> </w:t>
      </w:r>
      <w:r>
        <w:t>Llanos</w:t>
      </w:r>
      <w:r>
        <w:rPr>
          <w:spacing w:val="-8"/>
        </w:rPr>
        <w:t xml:space="preserve"> </w:t>
      </w:r>
      <w:r>
        <w:t>Orientales</w:t>
      </w:r>
      <w:r w:rsidR="00453987">
        <w:rPr>
          <w:rStyle w:val="Refdenotaalpie"/>
        </w:rPr>
        <w:footnoteReference w:id="511"/>
      </w:r>
      <w:r>
        <w:t>.</w:t>
      </w:r>
      <w:r>
        <w:rPr>
          <w:spacing w:val="-8"/>
        </w:rPr>
        <w:t xml:space="preserve"> </w:t>
      </w:r>
      <w:r>
        <w:t xml:space="preserve">Sin </w:t>
      </w:r>
      <w:r>
        <w:lastRenderedPageBreak/>
        <w:t>embargo, la Superintendencia Financiera de Colombia en los últimos veinte años ha abierto apenas 82 casos (3,7</w:t>
      </w:r>
      <w:r>
        <w:rPr>
          <w:spacing w:val="-4"/>
        </w:rPr>
        <w:t xml:space="preserve"> </w:t>
      </w:r>
      <w:r>
        <w:t>% del total de investigaciones) como categoría «Lavado de activos - SIPLA - SARLAF - Financiación del Terrorismo e incumplimiento de normas para prevención de actividades delictivas»</w:t>
      </w:r>
      <w:r w:rsidR="00453987">
        <w:rPr>
          <w:rStyle w:val="Refdenotaalpie"/>
        </w:rPr>
        <w:footnoteReference w:id="512"/>
      </w:r>
      <w:r>
        <w:t>.</w:t>
      </w:r>
    </w:p>
    <w:p w:rsidR="003804AC" w:rsidRDefault="00AF18A5" w:rsidP="00B217E3">
      <w:r>
        <w:t>Instituciones</w:t>
      </w:r>
      <w:r>
        <w:rPr>
          <w:spacing w:val="-15"/>
        </w:rPr>
        <w:t xml:space="preserve"> </w:t>
      </w:r>
      <w:r>
        <w:t>como</w:t>
      </w:r>
      <w:r>
        <w:rPr>
          <w:spacing w:val="-15"/>
        </w:rPr>
        <w:t xml:space="preserve"> </w:t>
      </w:r>
      <w:r>
        <w:t>la</w:t>
      </w:r>
      <w:r>
        <w:rPr>
          <w:spacing w:val="-15"/>
        </w:rPr>
        <w:t xml:space="preserve"> </w:t>
      </w:r>
      <w:r>
        <w:t>Unidad</w:t>
      </w:r>
      <w:r>
        <w:rPr>
          <w:spacing w:val="-15"/>
        </w:rPr>
        <w:t xml:space="preserve"> </w:t>
      </w:r>
      <w:r>
        <w:t>de</w:t>
      </w:r>
      <w:r>
        <w:rPr>
          <w:spacing w:val="-15"/>
        </w:rPr>
        <w:t xml:space="preserve"> </w:t>
      </w:r>
      <w:r>
        <w:t>Investigación</w:t>
      </w:r>
      <w:r>
        <w:rPr>
          <w:spacing w:val="-15"/>
        </w:rPr>
        <w:t xml:space="preserve"> </w:t>
      </w:r>
      <w:r>
        <w:t>de</w:t>
      </w:r>
      <w:r>
        <w:rPr>
          <w:spacing w:val="-15"/>
        </w:rPr>
        <w:t xml:space="preserve"> </w:t>
      </w:r>
      <w:r>
        <w:t>Activos</w:t>
      </w:r>
      <w:r>
        <w:rPr>
          <w:spacing w:val="-15"/>
        </w:rPr>
        <w:t xml:space="preserve"> </w:t>
      </w:r>
      <w:r>
        <w:t>Financieros</w:t>
      </w:r>
      <w:r>
        <w:rPr>
          <w:spacing w:val="-15"/>
        </w:rPr>
        <w:t xml:space="preserve"> </w:t>
      </w:r>
      <w:r>
        <w:t>(UIAF)</w:t>
      </w:r>
      <w:r>
        <w:rPr>
          <w:spacing w:val="-15"/>
        </w:rPr>
        <w:t xml:space="preserve"> </w:t>
      </w:r>
      <w:r>
        <w:t>señalan</w:t>
      </w:r>
      <w:r>
        <w:rPr>
          <w:spacing w:val="-15"/>
        </w:rPr>
        <w:t xml:space="preserve"> </w:t>
      </w:r>
      <w:r>
        <w:t>que una parte del blanqueo de capitales se da utilizando legalizaciones a través de notarías</w:t>
      </w:r>
      <w:r w:rsidR="00453987">
        <w:rPr>
          <w:rStyle w:val="Refdenotaalpie"/>
        </w:rPr>
        <w:footnoteReference w:id="513"/>
      </w:r>
      <w:r>
        <w:t>,de sectores</w:t>
      </w:r>
      <w:r>
        <w:rPr>
          <w:spacing w:val="-9"/>
        </w:rPr>
        <w:t xml:space="preserve"> </w:t>
      </w:r>
      <w:r>
        <w:t>como</w:t>
      </w:r>
      <w:r>
        <w:rPr>
          <w:spacing w:val="-10"/>
        </w:rPr>
        <w:t xml:space="preserve"> </w:t>
      </w:r>
      <w:r>
        <w:t>el</w:t>
      </w:r>
      <w:r>
        <w:rPr>
          <w:spacing w:val="-8"/>
        </w:rPr>
        <w:t xml:space="preserve"> </w:t>
      </w:r>
      <w:r>
        <w:t>de</w:t>
      </w:r>
      <w:r>
        <w:rPr>
          <w:spacing w:val="-9"/>
        </w:rPr>
        <w:t xml:space="preserve"> </w:t>
      </w:r>
      <w:r>
        <w:t>la</w:t>
      </w:r>
      <w:r>
        <w:rPr>
          <w:spacing w:val="-9"/>
        </w:rPr>
        <w:t xml:space="preserve"> </w:t>
      </w:r>
      <w:r>
        <w:t>minería</w:t>
      </w:r>
      <w:r>
        <w:rPr>
          <w:spacing w:val="-9"/>
        </w:rPr>
        <w:t xml:space="preserve"> </w:t>
      </w:r>
      <w:r>
        <w:t>de</w:t>
      </w:r>
      <w:r>
        <w:rPr>
          <w:spacing w:val="-9"/>
        </w:rPr>
        <w:t xml:space="preserve"> </w:t>
      </w:r>
      <w:r>
        <w:t>oro,</w:t>
      </w:r>
      <w:r>
        <w:rPr>
          <w:spacing w:val="-10"/>
        </w:rPr>
        <w:t xml:space="preserve"> </w:t>
      </w:r>
      <w:r>
        <w:t>el</w:t>
      </w:r>
      <w:r>
        <w:rPr>
          <w:spacing w:val="-8"/>
        </w:rPr>
        <w:t xml:space="preserve"> </w:t>
      </w:r>
      <w:r>
        <w:t>financiero</w:t>
      </w:r>
      <w:r>
        <w:rPr>
          <w:spacing w:val="-10"/>
        </w:rPr>
        <w:t xml:space="preserve"> </w:t>
      </w:r>
      <w:r>
        <w:t>y</w:t>
      </w:r>
      <w:r>
        <w:rPr>
          <w:spacing w:val="-10"/>
        </w:rPr>
        <w:t xml:space="preserve"> </w:t>
      </w:r>
      <w:r>
        <w:t>el</w:t>
      </w:r>
      <w:r>
        <w:rPr>
          <w:spacing w:val="-8"/>
        </w:rPr>
        <w:t xml:space="preserve"> </w:t>
      </w:r>
      <w:r>
        <w:t>inmobiliario.</w:t>
      </w:r>
      <w:r>
        <w:rPr>
          <w:spacing w:val="-10"/>
        </w:rPr>
        <w:t xml:space="preserve"> </w:t>
      </w:r>
      <w:r>
        <w:t>En</w:t>
      </w:r>
      <w:r>
        <w:rPr>
          <w:spacing w:val="-11"/>
        </w:rPr>
        <w:t xml:space="preserve"> </w:t>
      </w:r>
      <w:r>
        <w:t>el</w:t>
      </w:r>
      <w:r>
        <w:rPr>
          <w:spacing w:val="-8"/>
        </w:rPr>
        <w:t xml:space="preserve"> </w:t>
      </w:r>
      <w:r>
        <w:t>sector</w:t>
      </w:r>
      <w:r>
        <w:rPr>
          <w:spacing w:val="-9"/>
        </w:rPr>
        <w:t xml:space="preserve"> </w:t>
      </w:r>
      <w:r>
        <w:t>notarial</w:t>
      </w:r>
      <w:r>
        <w:rPr>
          <w:spacing w:val="-9"/>
        </w:rPr>
        <w:t xml:space="preserve"> </w:t>
      </w:r>
      <w:r>
        <w:t>los mecanismos fueron, principalmente, escriturar inmuebles a terceros (</w:t>
      </w:r>
      <w:proofErr w:type="spellStart"/>
      <w:r>
        <w:t>testaferrato</w:t>
      </w:r>
      <w:proofErr w:type="spellEnd"/>
      <w:r>
        <w:t>) y la reiterada</w:t>
      </w:r>
      <w:r>
        <w:rPr>
          <w:spacing w:val="-9"/>
        </w:rPr>
        <w:t xml:space="preserve"> </w:t>
      </w:r>
      <w:r>
        <w:t>compraventa</w:t>
      </w:r>
      <w:r>
        <w:rPr>
          <w:spacing w:val="-9"/>
        </w:rPr>
        <w:t xml:space="preserve"> </w:t>
      </w:r>
      <w:r>
        <w:t>de</w:t>
      </w:r>
      <w:r>
        <w:rPr>
          <w:spacing w:val="-9"/>
        </w:rPr>
        <w:t xml:space="preserve"> </w:t>
      </w:r>
      <w:r>
        <w:t>inmuebles</w:t>
      </w:r>
      <w:r>
        <w:rPr>
          <w:spacing w:val="-11"/>
        </w:rPr>
        <w:t xml:space="preserve"> </w:t>
      </w:r>
      <w:r>
        <w:t>por</w:t>
      </w:r>
      <w:r>
        <w:rPr>
          <w:spacing w:val="-9"/>
        </w:rPr>
        <w:t xml:space="preserve"> </w:t>
      </w:r>
      <w:r>
        <w:t>la</w:t>
      </w:r>
      <w:r>
        <w:rPr>
          <w:spacing w:val="-11"/>
        </w:rPr>
        <w:t xml:space="preserve"> </w:t>
      </w:r>
      <w:r>
        <w:t>misma</w:t>
      </w:r>
      <w:r>
        <w:rPr>
          <w:spacing w:val="-9"/>
        </w:rPr>
        <w:t xml:space="preserve"> </w:t>
      </w:r>
      <w:r>
        <w:t>persona,</w:t>
      </w:r>
      <w:r>
        <w:rPr>
          <w:spacing w:val="-11"/>
        </w:rPr>
        <w:t xml:space="preserve"> </w:t>
      </w:r>
      <w:r>
        <w:t>entre</w:t>
      </w:r>
      <w:r>
        <w:rPr>
          <w:spacing w:val="-9"/>
        </w:rPr>
        <w:t xml:space="preserve"> </w:t>
      </w:r>
      <w:r>
        <w:t>otros</w:t>
      </w:r>
      <w:r w:rsidR="00453987">
        <w:rPr>
          <w:rStyle w:val="Refdenotaalpie"/>
        </w:rPr>
        <w:footnoteReference w:id="514"/>
      </w:r>
      <w:r>
        <w:t>.</w:t>
      </w:r>
      <w:r>
        <w:rPr>
          <w:spacing w:val="-10"/>
        </w:rPr>
        <w:t xml:space="preserve"> </w:t>
      </w:r>
      <w:r>
        <w:t>En</w:t>
      </w:r>
      <w:r>
        <w:rPr>
          <w:spacing w:val="-10"/>
        </w:rPr>
        <w:t xml:space="preserve"> </w:t>
      </w:r>
      <w:r>
        <w:t>cuanto</w:t>
      </w:r>
      <w:r>
        <w:rPr>
          <w:spacing w:val="-10"/>
        </w:rPr>
        <w:t xml:space="preserve"> </w:t>
      </w:r>
      <w:r>
        <w:t>al</w:t>
      </w:r>
      <w:r>
        <w:rPr>
          <w:spacing w:val="-9"/>
        </w:rPr>
        <w:t xml:space="preserve"> </w:t>
      </w:r>
      <w:r>
        <w:rPr>
          <w:color w:val="202020"/>
        </w:rPr>
        <w:t>sector inmobiliario, este también es vulnerable a la entrada de flujos ilegales mediante la creación de fachadas, el uso de testaferros y la venta de bienes inmuebles en efectivo o de empresas inmobiliarias</w:t>
      </w:r>
      <w:r>
        <w:rPr>
          <w:color w:val="202020"/>
          <w:spacing w:val="-12"/>
        </w:rPr>
        <w:t xml:space="preserve"> </w:t>
      </w:r>
      <w:r>
        <w:rPr>
          <w:color w:val="202020"/>
        </w:rPr>
        <w:t>que</w:t>
      </w:r>
      <w:r>
        <w:rPr>
          <w:color w:val="202020"/>
          <w:spacing w:val="-12"/>
        </w:rPr>
        <w:t xml:space="preserve"> </w:t>
      </w:r>
      <w:r>
        <w:rPr>
          <w:color w:val="202020"/>
        </w:rPr>
        <w:t>presentan</w:t>
      </w:r>
      <w:r>
        <w:rPr>
          <w:color w:val="202020"/>
          <w:spacing w:val="-12"/>
        </w:rPr>
        <w:t xml:space="preserve"> </w:t>
      </w:r>
      <w:r>
        <w:rPr>
          <w:color w:val="202020"/>
        </w:rPr>
        <w:t>un</w:t>
      </w:r>
      <w:r>
        <w:rPr>
          <w:color w:val="202020"/>
          <w:spacing w:val="-13"/>
        </w:rPr>
        <w:t xml:space="preserve"> </w:t>
      </w:r>
      <w:r>
        <w:rPr>
          <w:color w:val="202020"/>
        </w:rPr>
        <w:t>incremento</w:t>
      </w:r>
      <w:r>
        <w:rPr>
          <w:color w:val="202020"/>
          <w:spacing w:val="-13"/>
        </w:rPr>
        <w:t xml:space="preserve"> </w:t>
      </w:r>
      <w:r>
        <w:rPr>
          <w:color w:val="202020"/>
        </w:rPr>
        <w:t>patrimonial</w:t>
      </w:r>
      <w:r>
        <w:rPr>
          <w:color w:val="202020"/>
          <w:spacing w:val="-11"/>
        </w:rPr>
        <w:t xml:space="preserve"> </w:t>
      </w:r>
      <w:r>
        <w:rPr>
          <w:color w:val="202020"/>
        </w:rPr>
        <w:t>injustificado</w:t>
      </w:r>
      <w:r w:rsidR="00453987">
        <w:rPr>
          <w:rStyle w:val="Refdenotaalpie"/>
          <w:color w:val="202020"/>
        </w:rPr>
        <w:footnoteReference w:id="515"/>
      </w:r>
      <w:r>
        <w:rPr>
          <w:color w:val="202020"/>
        </w:rPr>
        <w:t>.</w:t>
      </w:r>
      <w:r>
        <w:rPr>
          <w:color w:val="202020"/>
          <w:spacing w:val="-12"/>
        </w:rPr>
        <w:t xml:space="preserve"> </w:t>
      </w:r>
      <w:r>
        <w:t>La</w:t>
      </w:r>
      <w:r>
        <w:rPr>
          <w:spacing w:val="-13"/>
        </w:rPr>
        <w:t xml:space="preserve"> </w:t>
      </w:r>
      <w:r>
        <w:t>compra</w:t>
      </w:r>
      <w:r>
        <w:rPr>
          <w:spacing w:val="-13"/>
        </w:rPr>
        <w:t xml:space="preserve"> </w:t>
      </w:r>
      <w:r>
        <w:t>de</w:t>
      </w:r>
      <w:r>
        <w:rPr>
          <w:spacing w:val="-13"/>
        </w:rPr>
        <w:t xml:space="preserve"> </w:t>
      </w:r>
      <w:r>
        <w:t xml:space="preserve">tierras, asociada al despojo y </w:t>
      </w:r>
      <w:r>
        <w:lastRenderedPageBreak/>
        <w:t>desplazamiento forzado por el conflicto armado, también ha sido otra forma de blanquear capitales por el narcotráfico y asegurar rutas para su desarrollo y exportación.</w:t>
      </w:r>
      <w:r>
        <w:rPr>
          <w:spacing w:val="48"/>
        </w:rPr>
        <w:t xml:space="preserve"> </w:t>
      </w:r>
      <w:r>
        <w:t>Un</w:t>
      </w:r>
      <w:r>
        <w:rPr>
          <w:spacing w:val="49"/>
        </w:rPr>
        <w:t xml:space="preserve"> </w:t>
      </w:r>
      <w:r>
        <w:t>ejemplo</w:t>
      </w:r>
      <w:r>
        <w:rPr>
          <w:spacing w:val="50"/>
        </w:rPr>
        <w:t xml:space="preserve"> </w:t>
      </w:r>
      <w:r>
        <w:t>es</w:t>
      </w:r>
      <w:r>
        <w:rPr>
          <w:spacing w:val="49"/>
        </w:rPr>
        <w:t xml:space="preserve"> </w:t>
      </w:r>
      <w:r>
        <w:t>el</w:t>
      </w:r>
      <w:r>
        <w:rPr>
          <w:spacing w:val="49"/>
        </w:rPr>
        <w:t xml:space="preserve"> </w:t>
      </w:r>
      <w:r>
        <w:t>de</w:t>
      </w:r>
      <w:r>
        <w:rPr>
          <w:spacing w:val="50"/>
        </w:rPr>
        <w:t xml:space="preserve"> </w:t>
      </w:r>
      <w:r>
        <w:t>Víctor</w:t>
      </w:r>
      <w:r>
        <w:rPr>
          <w:spacing w:val="49"/>
        </w:rPr>
        <w:t xml:space="preserve"> </w:t>
      </w:r>
      <w:r>
        <w:t>Carranza,</w:t>
      </w:r>
      <w:r>
        <w:rPr>
          <w:spacing w:val="50"/>
        </w:rPr>
        <w:t xml:space="preserve"> </w:t>
      </w:r>
      <w:r>
        <w:t>quien</w:t>
      </w:r>
      <w:r>
        <w:rPr>
          <w:spacing w:val="48"/>
        </w:rPr>
        <w:t xml:space="preserve"> </w:t>
      </w:r>
      <w:r>
        <w:t>adquirió</w:t>
      </w:r>
      <w:r>
        <w:rPr>
          <w:spacing w:val="49"/>
        </w:rPr>
        <w:t xml:space="preserve"> </w:t>
      </w:r>
      <w:r>
        <w:t>hatos</w:t>
      </w:r>
      <w:r>
        <w:rPr>
          <w:spacing w:val="50"/>
        </w:rPr>
        <w:t xml:space="preserve"> </w:t>
      </w:r>
      <w:r>
        <w:t>en</w:t>
      </w:r>
      <w:r>
        <w:rPr>
          <w:spacing w:val="49"/>
        </w:rPr>
        <w:t xml:space="preserve"> </w:t>
      </w:r>
      <w:r>
        <w:t>los</w:t>
      </w:r>
      <w:r>
        <w:rPr>
          <w:spacing w:val="49"/>
        </w:rPr>
        <w:t xml:space="preserve"> </w:t>
      </w:r>
      <w:r>
        <w:rPr>
          <w:spacing w:val="-2"/>
        </w:rPr>
        <w:t>Llanos</w:t>
      </w:r>
      <w:bookmarkStart w:id="676" w:name="_bookmark571"/>
      <w:bookmarkStart w:id="677" w:name="_bookmark572"/>
      <w:bookmarkStart w:id="678" w:name="_bookmark573"/>
      <w:bookmarkStart w:id="679" w:name="_bookmark574"/>
      <w:bookmarkStart w:id="680" w:name="_bookmark575"/>
      <w:bookmarkEnd w:id="676"/>
      <w:bookmarkEnd w:id="677"/>
      <w:bookmarkEnd w:id="678"/>
      <w:bookmarkEnd w:id="679"/>
      <w:bookmarkEnd w:id="680"/>
      <w:r w:rsidR="00B217E3">
        <w:rPr>
          <w:spacing w:val="-2"/>
        </w:rPr>
        <w:t xml:space="preserve"> </w:t>
      </w:r>
      <w:r>
        <w:t xml:space="preserve">Orientales que fueron legalizados por la adjudicación del </w:t>
      </w:r>
      <w:proofErr w:type="spellStart"/>
      <w:r>
        <w:t>Incoder</w:t>
      </w:r>
      <w:proofErr w:type="spellEnd"/>
      <w:r w:rsidR="00B217E3">
        <w:rPr>
          <w:rStyle w:val="Refdenotaalpie"/>
        </w:rPr>
        <w:footnoteReference w:id="516"/>
      </w:r>
      <w:r>
        <w:t>, lo que significó la expansión del paramilitarismo en esa región.</w:t>
      </w:r>
    </w:p>
    <w:p w:rsidR="003804AC" w:rsidRDefault="00AF18A5" w:rsidP="00B217E3">
      <w:r>
        <w:t>En la revisión de 104 casos estructurados y archivados por la UIAF sobre narcotráfico conectados con los carteles, las Autodefensas Unidas de Colombia, el Cartel del Norte del Valle, las FARC-EP, el EPL y el ELN, se encontró que en todos hay una referencia a entramados con empresas comerciales o de transporte, bienes raíces o contratación pública. Por</w:t>
      </w:r>
      <w:r>
        <w:rPr>
          <w:spacing w:val="-9"/>
        </w:rPr>
        <w:t xml:space="preserve"> </w:t>
      </w:r>
      <w:r>
        <w:t>ejemplo,</w:t>
      </w:r>
      <w:r>
        <w:rPr>
          <w:spacing w:val="-11"/>
        </w:rPr>
        <w:t xml:space="preserve"> </w:t>
      </w:r>
      <w:r>
        <w:t>se</w:t>
      </w:r>
      <w:r>
        <w:rPr>
          <w:spacing w:val="-9"/>
        </w:rPr>
        <w:t xml:space="preserve"> </w:t>
      </w:r>
      <w:r>
        <w:t>abrió</w:t>
      </w:r>
      <w:r>
        <w:rPr>
          <w:spacing w:val="-10"/>
        </w:rPr>
        <w:t xml:space="preserve"> </w:t>
      </w:r>
      <w:r>
        <w:t>un</w:t>
      </w:r>
      <w:r>
        <w:rPr>
          <w:spacing w:val="-10"/>
        </w:rPr>
        <w:t xml:space="preserve"> </w:t>
      </w:r>
      <w:r>
        <w:t>caso</w:t>
      </w:r>
      <w:r>
        <w:rPr>
          <w:spacing w:val="-10"/>
        </w:rPr>
        <w:t xml:space="preserve"> </w:t>
      </w:r>
      <w:r>
        <w:t>de</w:t>
      </w:r>
      <w:r>
        <w:rPr>
          <w:spacing w:val="-9"/>
        </w:rPr>
        <w:t xml:space="preserve"> </w:t>
      </w:r>
      <w:r>
        <w:t>investigación</w:t>
      </w:r>
      <w:r>
        <w:rPr>
          <w:spacing w:val="-10"/>
        </w:rPr>
        <w:t xml:space="preserve"> </w:t>
      </w:r>
      <w:r>
        <w:t>de</w:t>
      </w:r>
      <w:r>
        <w:rPr>
          <w:spacing w:val="-9"/>
        </w:rPr>
        <w:t xml:space="preserve"> </w:t>
      </w:r>
      <w:r>
        <w:t>25</w:t>
      </w:r>
      <w:r>
        <w:rPr>
          <w:spacing w:val="-10"/>
        </w:rPr>
        <w:t xml:space="preserve"> </w:t>
      </w:r>
      <w:r>
        <w:t>empresas</w:t>
      </w:r>
      <w:r>
        <w:rPr>
          <w:spacing w:val="-11"/>
        </w:rPr>
        <w:t xml:space="preserve"> </w:t>
      </w:r>
      <w:r>
        <w:t>en</w:t>
      </w:r>
      <w:r>
        <w:rPr>
          <w:spacing w:val="-10"/>
        </w:rPr>
        <w:t xml:space="preserve"> </w:t>
      </w:r>
      <w:r>
        <w:t>Colombia,</w:t>
      </w:r>
      <w:r>
        <w:rPr>
          <w:spacing w:val="-10"/>
        </w:rPr>
        <w:t xml:space="preserve"> </w:t>
      </w:r>
      <w:r>
        <w:t>España</w:t>
      </w:r>
      <w:r>
        <w:rPr>
          <w:spacing w:val="-9"/>
        </w:rPr>
        <w:t xml:space="preserve"> </w:t>
      </w:r>
      <w:r>
        <w:t>y</w:t>
      </w:r>
      <w:r>
        <w:rPr>
          <w:spacing w:val="-8"/>
        </w:rPr>
        <w:t xml:space="preserve"> </w:t>
      </w:r>
      <w:r>
        <w:t>Países Bajos, y el de 179 predios de una constructora en Tumaco, Nariño, ambos con nexos con el narcotráfico en 2010 y 2017</w:t>
      </w:r>
      <w:r w:rsidR="00B217E3">
        <w:rPr>
          <w:rStyle w:val="Refdenotaalpie"/>
        </w:rPr>
        <w:footnoteReference w:id="517"/>
      </w:r>
      <w:r>
        <w:t>. Las empresas petroleras y asociadas a esta economía como transportistas también tienen una implicación particular. Por lo menos cuatro casos que investigó la UIAF se refieren a empresas que utilizaron el sector petrolero para lavar dinero en</w:t>
      </w:r>
      <w:r>
        <w:rPr>
          <w:spacing w:val="-6"/>
        </w:rPr>
        <w:t xml:space="preserve"> </w:t>
      </w:r>
      <w:r>
        <w:t>conexión</w:t>
      </w:r>
      <w:r>
        <w:rPr>
          <w:spacing w:val="-8"/>
        </w:rPr>
        <w:t xml:space="preserve"> </w:t>
      </w:r>
      <w:r>
        <w:t>con</w:t>
      </w:r>
      <w:r>
        <w:rPr>
          <w:spacing w:val="-6"/>
        </w:rPr>
        <w:t xml:space="preserve"> </w:t>
      </w:r>
      <w:r>
        <w:t>paraísos</w:t>
      </w:r>
      <w:r>
        <w:rPr>
          <w:spacing w:val="-7"/>
        </w:rPr>
        <w:t xml:space="preserve"> </w:t>
      </w:r>
      <w:r>
        <w:t>fiscales</w:t>
      </w:r>
      <w:r>
        <w:rPr>
          <w:spacing w:val="-6"/>
        </w:rPr>
        <w:t xml:space="preserve"> </w:t>
      </w:r>
      <w:r>
        <w:t>y</w:t>
      </w:r>
      <w:r>
        <w:rPr>
          <w:spacing w:val="-6"/>
        </w:rPr>
        <w:t xml:space="preserve"> </w:t>
      </w:r>
      <w:r>
        <w:t>narcotraficantes</w:t>
      </w:r>
      <w:r w:rsidR="00B217E3">
        <w:rPr>
          <w:rStyle w:val="Refdenotaalpie"/>
        </w:rPr>
        <w:footnoteReference w:id="518"/>
      </w:r>
      <w:r>
        <w:t>,</w:t>
      </w:r>
      <w:r>
        <w:rPr>
          <w:spacing w:val="-6"/>
        </w:rPr>
        <w:t xml:space="preserve"> </w:t>
      </w:r>
      <w:r>
        <w:t>y</w:t>
      </w:r>
      <w:r>
        <w:rPr>
          <w:spacing w:val="-6"/>
        </w:rPr>
        <w:t xml:space="preserve"> </w:t>
      </w:r>
      <w:r>
        <w:t>dos</w:t>
      </w:r>
      <w:r>
        <w:rPr>
          <w:spacing w:val="-6"/>
        </w:rPr>
        <w:t xml:space="preserve"> </w:t>
      </w:r>
      <w:r>
        <w:t>casos</w:t>
      </w:r>
      <w:r>
        <w:rPr>
          <w:spacing w:val="-6"/>
        </w:rPr>
        <w:t xml:space="preserve"> </w:t>
      </w:r>
      <w:r>
        <w:t>se</w:t>
      </w:r>
      <w:r>
        <w:rPr>
          <w:spacing w:val="-7"/>
        </w:rPr>
        <w:t xml:space="preserve"> </w:t>
      </w:r>
      <w:r>
        <w:t>referían</w:t>
      </w:r>
      <w:r>
        <w:rPr>
          <w:spacing w:val="-6"/>
        </w:rPr>
        <w:t xml:space="preserve"> </w:t>
      </w:r>
      <w:r>
        <w:t>a</w:t>
      </w:r>
      <w:r>
        <w:rPr>
          <w:spacing w:val="-6"/>
        </w:rPr>
        <w:t xml:space="preserve"> </w:t>
      </w:r>
      <w:r>
        <w:t>blanqueo</w:t>
      </w:r>
      <w:r>
        <w:rPr>
          <w:spacing w:val="-7"/>
        </w:rPr>
        <w:t xml:space="preserve"> </w:t>
      </w:r>
      <w:r>
        <w:t>de fondos relacionados con despojo de tierras</w:t>
      </w:r>
      <w:r w:rsidR="00B217E3">
        <w:rPr>
          <w:rStyle w:val="Refdenotaalpie"/>
        </w:rPr>
        <w:footnoteReference w:id="519"/>
      </w:r>
      <w:r>
        <w:t>.</w:t>
      </w:r>
    </w:p>
    <w:p w:rsidR="003804AC" w:rsidRDefault="00AF18A5" w:rsidP="00B217E3">
      <w:r>
        <w:t>También</w:t>
      </w:r>
      <w:r>
        <w:rPr>
          <w:spacing w:val="-5"/>
        </w:rPr>
        <w:t xml:space="preserve"> </w:t>
      </w:r>
      <w:r>
        <w:t>la</w:t>
      </w:r>
      <w:r>
        <w:rPr>
          <w:spacing w:val="-4"/>
        </w:rPr>
        <w:t xml:space="preserve"> </w:t>
      </w:r>
      <w:r>
        <w:t>financiación</w:t>
      </w:r>
      <w:r>
        <w:rPr>
          <w:spacing w:val="-5"/>
        </w:rPr>
        <w:t xml:space="preserve"> </w:t>
      </w:r>
      <w:r>
        <w:t>de</w:t>
      </w:r>
      <w:r>
        <w:rPr>
          <w:spacing w:val="-3"/>
        </w:rPr>
        <w:t xml:space="preserve"> </w:t>
      </w:r>
      <w:r>
        <w:t>campañas</w:t>
      </w:r>
      <w:r>
        <w:rPr>
          <w:spacing w:val="-3"/>
        </w:rPr>
        <w:t xml:space="preserve"> </w:t>
      </w:r>
      <w:r>
        <w:t>electorales,</w:t>
      </w:r>
      <w:r>
        <w:rPr>
          <w:spacing w:val="-3"/>
        </w:rPr>
        <w:t xml:space="preserve"> </w:t>
      </w:r>
      <w:r>
        <w:t>la</w:t>
      </w:r>
      <w:r>
        <w:rPr>
          <w:spacing w:val="-3"/>
        </w:rPr>
        <w:t xml:space="preserve"> </w:t>
      </w:r>
      <w:r>
        <w:t>corrupción</w:t>
      </w:r>
      <w:r>
        <w:rPr>
          <w:spacing w:val="-3"/>
        </w:rPr>
        <w:t xml:space="preserve"> </w:t>
      </w:r>
      <w:r>
        <w:t>o</w:t>
      </w:r>
      <w:r>
        <w:rPr>
          <w:spacing w:val="-3"/>
        </w:rPr>
        <w:t xml:space="preserve"> </w:t>
      </w:r>
      <w:r>
        <w:t>el</w:t>
      </w:r>
      <w:r>
        <w:rPr>
          <w:spacing w:val="-3"/>
        </w:rPr>
        <w:t xml:space="preserve"> </w:t>
      </w:r>
      <w:r>
        <w:t>control</w:t>
      </w:r>
      <w:r>
        <w:rPr>
          <w:spacing w:val="-3"/>
        </w:rPr>
        <w:t xml:space="preserve"> </w:t>
      </w:r>
      <w:r>
        <w:t>de</w:t>
      </w:r>
      <w:r>
        <w:rPr>
          <w:spacing w:val="-3"/>
        </w:rPr>
        <w:t xml:space="preserve"> </w:t>
      </w:r>
      <w:r>
        <w:t>la</w:t>
      </w:r>
      <w:r>
        <w:rPr>
          <w:spacing w:val="-3"/>
        </w:rPr>
        <w:t xml:space="preserve"> </w:t>
      </w:r>
      <w:r>
        <w:t xml:space="preserve">política se han convertido en Colombia en mecanismos tanto para lavar dinero como para detentar una forma clientelista y mafiosa de poder, en desmedro de la democracia y controlando el </w:t>
      </w:r>
      <w:r>
        <w:lastRenderedPageBreak/>
        <w:t>funcionamiento del Estado en diferentes niveles: local, regional o nacional.</w:t>
      </w:r>
    </w:p>
    <w:p w:rsidR="0011361F" w:rsidRDefault="00AF18A5" w:rsidP="004A6EF4">
      <w:pPr>
        <w:pStyle w:val="Ttulo3"/>
        <w:numPr>
          <w:ilvl w:val="1"/>
          <w:numId w:val="16"/>
        </w:numPr>
      </w:pPr>
      <w:bookmarkStart w:id="681" w:name="6.2._Dinámicas_económicas_rurales_y_pobl"/>
      <w:bookmarkStart w:id="682" w:name="_Toc112399606"/>
      <w:bookmarkEnd w:id="681"/>
      <w:r>
        <w:t>Dinámicas</w:t>
      </w:r>
      <w:r>
        <w:rPr>
          <w:spacing w:val="-4"/>
        </w:rPr>
        <w:t xml:space="preserve"> </w:t>
      </w:r>
      <w:r>
        <w:t>económicas</w:t>
      </w:r>
      <w:r>
        <w:rPr>
          <w:spacing w:val="-2"/>
        </w:rPr>
        <w:t xml:space="preserve"> </w:t>
      </w:r>
      <w:r>
        <w:t>rurales</w:t>
      </w:r>
      <w:r>
        <w:rPr>
          <w:spacing w:val="-3"/>
        </w:rPr>
        <w:t xml:space="preserve"> </w:t>
      </w:r>
      <w:r>
        <w:t>y</w:t>
      </w:r>
      <w:r>
        <w:rPr>
          <w:spacing w:val="-2"/>
        </w:rPr>
        <w:t xml:space="preserve"> </w:t>
      </w:r>
      <w:r>
        <w:t>poblaciones</w:t>
      </w:r>
      <w:r>
        <w:rPr>
          <w:spacing w:val="-2"/>
        </w:rPr>
        <w:t xml:space="preserve"> </w:t>
      </w:r>
      <w:r>
        <w:t>de</w:t>
      </w:r>
      <w:r>
        <w:rPr>
          <w:spacing w:val="-2"/>
        </w:rPr>
        <w:t xml:space="preserve"> </w:t>
      </w:r>
      <w:r>
        <w:t>las</w:t>
      </w:r>
      <w:r>
        <w:rPr>
          <w:spacing w:val="-2"/>
        </w:rPr>
        <w:t xml:space="preserve"> </w:t>
      </w:r>
      <w:r>
        <w:t>economías</w:t>
      </w:r>
      <w:r>
        <w:rPr>
          <w:spacing w:val="-2"/>
        </w:rPr>
        <w:t xml:space="preserve"> </w:t>
      </w:r>
      <w:r>
        <w:t>de</w:t>
      </w:r>
      <w:r>
        <w:rPr>
          <w:spacing w:val="-2"/>
        </w:rPr>
        <w:t xml:space="preserve"> </w:t>
      </w:r>
      <w:r>
        <w:t>la</w:t>
      </w:r>
      <w:r>
        <w:rPr>
          <w:spacing w:val="-1"/>
        </w:rPr>
        <w:t xml:space="preserve"> </w:t>
      </w:r>
      <w:r>
        <w:rPr>
          <w:spacing w:val="-4"/>
        </w:rPr>
        <w:t>coca</w:t>
      </w:r>
      <w:bookmarkEnd w:id="682"/>
    </w:p>
    <w:p w:rsidR="003804AC" w:rsidRDefault="00AF18A5" w:rsidP="00B217E3">
      <w:r>
        <w:t>El</w:t>
      </w:r>
      <w:r>
        <w:rPr>
          <w:spacing w:val="-4"/>
        </w:rPr>
        <w:t xml:space="preserve"> </w:t>
      </w:r>
      <w:r>
        <w:t>Acuerdo</w:t>
      </w:r>
      <w:r>
        <w:rPr>
          <w:spacing w:val="-5"/>
        </w:rPr>
        <w:t xml:space="preserve"> </w:t>
      </w:r>
      <w:r>
        <w:t>de</w:t>
      </w:r>
      <w:r>
        <w:rPr>
          <w:spacing w:val="-5"/>
        </w:rPr>
        <w:t xml:space="preserve"> </w:t>
      </w:r>
      <w:r>
        <w:t>Paz</w:t>
      </w:r>
      <w:r>
        <w:rPr>
          <w:spacing w:val="-5"/>
        </w:rPr>
        <w:t xml:space="preserve"> </w:t>
      </w:r>
      <w:r>
        <w:t>con</w:t>
      </w:r>
      <w:r>
        <w:rPr>
          <w:spacing w:val="-5"/>
        </w:rPr>
        <w:t xml:space="preserve"> </w:t>
      </w:r>
      <w:r>
        <w:t>las</w:t>
      </w:r>
      <w:r>
        <w:rPr>
          <w:spacing w:val="-5"/>
        </w:rPr>
        <w:t xml:space="preserve"> </w:t>
      </w:r>
      <w:r>
        <w:t>FARC-EP</w:t>
      </w:r>
      <w:r>
        <w:rPr>
          <w:spacing w:val="-5"/>
        </w:rPr>
        <w:t xml:space="preserve"> </w:t>
      </w:r>
      <w:r>
        <w:t>abordó</w:t>
      </w:r>
      <w:r>
        <w:rPr>
          <w:spacing w:val="-5"/>
        </w:rPr>
        <w:t xml:space="preserve"> </w:t>
      </w:r>
      <w:r>
        <w:t>explícitamente</w:t>
      </w:r>
      <w:r>
        <w:rPr>
          <w:spacing w:val="-6"/>
        </w:rPr>
        <w:t xml:space="preserve"> </w:t>
      </w:r>
      <w:r>
        <w:t>el</w:t>
      </w:r>
      <w:r>
        <w:rPr>
          <w:spacing w:val="-4"/>
        </w:rPr>
        <w:t xml:space="preserve"> </w:t>
      </w:r>
      <w:r>
        <w:t>tema</w:t>
      </w:r>
      <w:r>
        <w:rPr>
          <w:spacing w:val="-5"/>
        </w:rPr>
        <w:t xml:space="preserve"> </w:t>
      </w:r>
      <w:r>
        <w:t>de</w:t>
      </w:r>
      <w:r>
        <w:rPr>
          <w:spacing w:val="-5"/>
        </w:rPr>
        <w:t xml:space="preserve"> </w:t>
      </w:r>
      <w:r>
        <w:t>los</w:t>
      </w:r>
      <w:r>
        <w:rPr>
          <w:spacing w:val="-5"/>
        </w:rPr>
        <w:t xml:space="preserve"> </w:t>
      </w:r>
      <w:r>
        <w:t>cultivos</w:t>
      </w:r>
      <w:r>
        <w:rPr>
          <w:spacing w:val="-5"/>
        </w:rPr>
        <w:t xml:space="preserve"> </w:t>
      </w:r>
      <w:r>
        <w:t>ilícitos</w:t>
      </w:r>
      <w:r>
        <w:rPr>
          <w:spacing w:val="-5"/>
        </w:rPr>
        <w:t xml:space="preserve"> </w:t>
      </w:r>
      <w:r>
        <w:t>y los</w:t>
      </w:r>
      <w:r>
        <w:rPr>
          <w:spacing w:val="-1"/>
        </w:rPr>
        <w:t xml:space="preserve"> </w:t>
      </w:r>
      <w:r>
        <w:t>ligó</w:t>
      </w:r>
      <w:r>
        <w:rPr>
          <w:spacing w:val="-1"/>
        </w:rPr>
        <w:t xml:space="preserve"> </w:t>
      </w:r>
      <w:r>
        <w:t>a</w:t>
      </w:r>
      <w:r>
        <w:rPr>
          <w:spacing w:val="-1"/>
        </w:rPr>
        <w:t xml:space="preserve"> </w:t>
      </w:r>
      <w:r>
        <w:t>la</w:t>
      </w:r>
      <w:r>
        <w:rPr>
          <w:spacing w:val="-1"/>
        </w:rPr>
        <w:t xml:space="preserve"> </w:t>
      </w:r>
      <w:r>
        <w:t>crisis</w:t>
      </w:r>
      <w:r>
        <w:rPr>
          <w:spacing w:val="-1"/>
        </w:rPr>
        <w:t xml:space="preserve"> </w:t>
      </w:r>
      <w:r>
        <w:t>del</w:t>
      </w:r>
      <w:r>
        <w:rPr>
          <w:spacing w:val="-1"/>
        </w:rPr>
        <w:t xml:space="preserve"> </w:t>
      </w:r>
      <w:r>
        <w:t>desarrollo</w:t>
      </w:r>
      <w:r>
        <w:rPr>
          <w:spacing w:val="-1"/>
        </w:rPr>
        <w:t xml:space="preserve"> </w:t>
      </w:r>
      <w:r>
        <w:t>rural</w:t>
      </w:r>
      <w:r w:rsidR="00B217E3">
        <w:rPr>
          <w:rStyle w:val="Refdenotaalpie"/>
        </w:rPr>
        <w:footnoteReference w:id="520"/>
      </w:r>
      <w:r>
        <w:t>.</w:t>
      </w:r>
      <w:r>
        <w:rPr>
          <w:spacing w:val="-1"/>
        </w:rPr>
        <w:t xml:space="preserve"> </w:t>
      </w:r>
      <w:r>
        <w:t>Aunque</w:t>
      </w:r>
      <w:r>
        <w:rPr>
          <w:spacing w:val="-1"/>
        </w:rPr>
        <w:t xml:space="preserve"> </w:t>
      </w:r>
      <w:r>
        <w:t>se</w:t>
      </w:r>
      <w:r>
        <w:rPr>
          <w:spacing w:val="-1"/>
        </w:rPr>
        <w:t xml:space="preserve"> </w:t>
      </w:r>
      <w:r>
        <w:t>han</w:t>
      </w:r>
      <w:r>
        <w:rPr>
          <w:spacing w:val="-1"/>
        </w:rPr>
        <w:t xml:space="preserve"> </w:t>
      </w:r>
      <w:r>
        <w:t>dado</w:t>
      </w:r>
      <w:r>
        <w:rPr>
          <w:spacing w:val="-1"/>
        </w:rPr>
        <w:t xml:space="preserve"> </w:t>
      </w:r>
      <w:r>
        <w:t>pasos</w:t>
      </w:r>
      <w:r>
        <w:rPr>
          <w:spacing w:val="-1"/>
        </w:rPr>
        <w:t xml:space="preserve"> </w:t>
      </w:r>
      <w:r>
        <w:t>para</w:t>
      </w:r>
      <w:r>
        <w:rPr>
          <w:spacing w:val="-1"/>
        </w:rPr>
        <w:t xml:space="preserve"> </w:t>
      </w:r>
      <w:r>
        <w:t>el</w:t>
      </w:r>
      <w:r>
        <w:rPr>
          <w:spacing w:val="-1"/>
        </w:rPr>
        <w:t xml:space="preserve"> </w:t>
      </w:r>
      <w:r>
        <w:t>trabajo</w:t>
      </w:r>
      <w:r>
        <w:rPr>
          <w:spacing w:val="-1"/>
        </w:rPr>
        <w:t xml:space="preserve"> </w:t>
      </w:r>
      <w:r>
        <w:t>conjunto con las comunidades cocaleras en la erradicación manual voluntaria, el alcance de la transformación rural integral incluida en el Acuerdo está lejos de lograrse. El alcance se ha reducido</w:t>
      </w:r>
      <w:r>
        <w:rPr>
          <w:spacing w:val="61"/>
        </w:rPr>
        <w:t xml:space="preserve"> </w:t>
      </w:r>
      <w:r>
        <w:t>por</w:t>
      </w:r>
      <w:r>
        <w:rPr>
          <w:spacing w:val="64"/>
        </w:rPr>
        <w:t xml:space="preserve"> </w:t>
      </w:r>
      <w:r>
        <w:t>la</w:t>
      </w:r>
      <w:r>
        <w:rPr>
          <w:spacing w:val="64"/>
        </w:rPr>
        <w:t xml:space="preserve"> </w:t>
      </w:r>
      <w:r>
        <w:t>baja</w:t>
      </w:r>
      <w:r>
        <w:rPr>
          <w:spacing w:val="64"/>
        </w:rPr>
        <w:t xml:space="preserve"> </w:t>
      </w:r>
      <w:r>
        <w:t>inversión</w:t>
      </w:r>
      <w:r>
        <w:rPr>
          <w:spacing w:val="63"/>
        </w:rPr>
        <w:t xml:space="preserve"> </w:t>
      </w:r>
      <w:r>
        <w:t>y</w:t>
      </w:r>
      <w:r>
        <w:rPr>
          <w:spacing w:val="63"/>
        </w:rPr>
        <w:t xml:space="preserve"> </w:t>
      </w:r>
      <w:r>
        <w:t>la</w:t>
      </w:r>
      <w:r>
        <w:rPr>
          <w:spacing w:val="64"/>
        </w:rPr>
        <w:t xml:space="preserve"> </w:t>
      </w:r>
      <w:r>
        <w:t>falta</w:t>
      </w:r>
      <w:r>
        <w:rPr>
          <w:spacing w:val="63"/>
        </w:rPr>
        <w:t xml:space="preserve"> </w:t>
      </w:r>
      <w:r>
        <w:t>de</w:t>
      </w:r>
      <w:r>
        <w:rPr>
          <w:spacing w:val="63"/>
        </w:rPr>
        <w:t xml:space="preserve"> </w:t>
      </w:r>
      <w:r>
        <w:t>prioridad</w:t>
      </w:r>
      <w:r>
        <w:rPr>
          <w:spacing w:val="63"/>
        </w:rPr>
        <w:t xml:space="preserve"> </w:t>
      </w:r>
      <w:r>
        <w:t>política,</w:t>
      </w:r>
      <w:r>
        <w:rPr>
          <w:spacing w:val="63"/>
        </w:rPr>
        <w:t xml:space="preserve"> </w:t>
      </w:r>
      <w:r>
        <w:t>al</w:t>
      </w:r>
      <w:r>
        <w:rPr>
          <w:spacing w:val="64"/>
        </w:rPr>
        <w:t xml:space="preserve"> </w:t>
      </w:r>
      <w:r>
        <w:t>tiempo</w:t>
      </w:r>
      <w:r>
        <w:rPr>
          <w:spacing w:val="63"/>
        </w:rPr>
        <w:t xml:space="preserve"> </w:t>
      </w:r>
      <w:r>
        <w:t>que</w:t>
      </w:r>
      <w:r>
        <w:rPr>
          <w:spacing w:val="64"/>
        </w:rPr>
        <w:t xml:space="preserve"> </w:t>
      </w:r>
      <w:r>
        <w:t>se</w:t>
      </w:r>
      <w:r>
        <w:rPr>
          <w:spacing w:val="64"/>
        </w:rPr>
        <w:t xml:space="preserve"> </w:t>
      </w:r>
      <w:r>
        <w:rPr>
          <w:spacing w:val="-5"/>
        </w:rPr>
        <w:t>han</w:t>
      </w:r>
      <w:bookmarkStart w:id="683" w:name="_bookmark577"/>
      <w:bookmarkStart w:id="684" w:name="_bookmark578"/>
      <w:bookmarkStart w:id="685" w:name="_bookmark579"/>
      <w:bookmarkStart w:id="686" w:name="_bookmark580"/>
      <w:bookmarkStart w:id="687" w:name="_bookmark581"/>
      <w:bookmarkEnd w:id="683"/>
      <w:bookmarkEnd w:id="684"/>
      <w:bookmarkEnd w:id="685"/>
      <w:bookmarkEnd w:id="686"/>
      <w:bookmarkEnd w:id="687"/>
      <w:r w:rsidR="00B217E3">
        <w:rPr>
          <w:spacing w:val="-5"/>
        </w:rPr>
        <w:t xml:space="preserve"> </w:t>
      </w:r>
      <w:r>
        <w:t>evidenciado</w:t>
      </w:r>
      <w:r>
        <w:rPr>
          <w:spacing w:val="-11"/>
        </w:rPr>
        <w:t xml:space="preserve"> </w:t>
      </w:r>
      <w:r>
        <w:t>las</w:t>
      </w:r>
      <w:r>
        <w:rPr>
          <w:spacing w:val="-9"/>
        </w:rPr>
        <w:t xml:space="preserve"> </w:t>
      </w:r>
      <w:r>
        <w:t>limitaciones</w:t>
      </w:r>
      <w:r>
        <w:rPr>
          <w:spacing w:val="-9"/>
        </w:rPr>
        <w:t xml:space="preserve"> </w:t>
      </w:r>
      <w:r>
        <w:t>de</w:t>
      </w:r>
      <w:r>
        <w:rPr>
          <w:spacing w:val="-9"/>
        </w:rPr>
        <w:t xml:space="preserve"> </w:t>
      </w:r>
      <w:r>
        <w:t>lo</w:t>
      </w:r>
      <w:r>
        <w:rPr>
          <w:spacing w:val="-9"/>
        </w:rPr>
        <w:t xml:space="preserve"> </w:t>
      </w:r>
      <w:r>
        <w:t>firmado:</w:t>
      </w:r>
      <w:r>
        <w:rPr>
          <w:spacing w:val="-9"/>
        </w:rPr>
        <w:t xml:space="preserve"> </w:t>
      </w:r>
      <w:r>
        <w:t>es</w:t>
      </w:r>
      <w:r>
        <w:rPr>
          <w:spacing w:val="-9"/>
        </w:rPr>
        <w:t xml:space="preserve"> </w:t>
      </w:r>
      <w:r>
        <w:t>necesario</w:t>
      </w:r>
      <w:r>
        <w:rPr>
          <w:spacing w:val="-9"/>
        </w:rPr>
        <w:t xml:space="preserve"> </w:t>
      </w:r>
      <w:r>
        <w:t>un</w:t>
      </w:r>
      <w:r>
        <w:rPr>
          <w:spacing w:val="-9"/>
        </w:rPr>
        <w:t xml:space="preserve"> </w:t>
      </w:r>
      <w:r>
        <w:t>contexto</w:t>
      </w:r>
      <w:r>
        <w:rPr>
          <w:spacing w:val="-9"/>
        </w:rPr>
        <w:t xml:space="preserve"> </w:t>
      </w:r>
      <w:r>
        <w:t>de</w:t>
      </w:r>
      <w:r>
        <w:rPr>
          <w:spacing w:val="-9"/>
        </w:rPr>
        <w:t xml:space="preserve"> </w:t>
      </w:r>
      <w:r>
        <w:t>impulso</w:t>
      </w:r>
      <w:r>
        <w:rPr>
          <w:spacing w:val="-9"/>
        </w:rPr>
        <w:t xml:space="preserve"> </w:t>
      </w:r>
      <w:r>
        <w:t>político</w:t>
      </w:r>
      <w:r>
        <w:rPr>
          <w:spacing w:val="-9"/>
        </w:rPr>
        <w:t xml:space="preserve"> </w:t>
      </w:r>
      <w:r>
        <w:t>más amplio,</w:t>
      </w:r>
      <w:r>
        <w:rPr>
          <w:spacing w:val="-1"/>
        </w:rPr>
        <w:t xml:space="preserve"> </w:t>
      </w:r>
      <w:r>
        <w:t>la</w:t>
      </w:r>
      <w:r>
        <w:rPr>
          <w:spacing w:val="-2"/>
        </w:rPr>
        <w:t xml:space="preserve"> </w:t>
      </w:r>
      <w:r>
        <w:t>transformación</w:t>
      </w:r>
      <w:r>
        <w:rPr>
          <w:spacing w:val="-1"/>
        </w:rPr>
        <w:t xml:space="preserve"> </w:t>
      </w:r>
      <w:r>
        <w:t>integral</w:t>
      </w:r>
      <w:r>
        <w:rPr>
          <w:spacing w:val="-1"/>
        </w:rPr>
        <w:t xml:space="preserve"> </w:t>
      </w:r>
      <w:r>
        <w:t>estructural</w:t>
      </w:r>
      <w:r>
        <w:rPr>
          <w:spacing w:val="-1"/>
        </w:rPr>
        <w:t xml:space="preserve"> </w:t>
      </w:r>
      <w:r>
        <w:t>del</w:t>
      </w:r>
      <w:r>
        <w:rPr>
          <w:spacing w:val="-2"/>
        </w:rPr>
        <w:t xml:space="preserve"> </w:t>
      </w:r>
      <w:r>
        <w:t>campo</w:t>
      </w:r>
      <w:r>
        <w:rPr>
          <w:spacing w:val="-1"/>
        </w:rPr>
        <w:t xml:space="preserve"> </w:t>
      </w:r>
      <w:r>
        <w:t>y</w:t>
      </w:r>
      <w:r>
        <w:rPr>
          <w:spacing w:val="-1"/>
        </w:rPr>
        <w:t xml:space="preserve"> </w:t>
      </w:r>
      <w:r>
        <w:t>un</w:t>
      </w:r>
      <w:r>
        <w:rPr>
          <w:spacing w:val="-3"/>
        </w:rPr>
        <w:t xml:space="preserve"> </w:t>
      </w:r>
      <w:r>
        <w:t>cambio</w:t>
      </w:r>
      <w:r>
        <w:rPr>
          <w:spacing w:val="-3"/>
        </w:rPr>
        <w:t xml:space="preserve"> </w:t>
      </w:r>
      <w:r>
        <w:t>en</w:t>
      </w:r>
      <w:r>
        <w:rPr>
          <w:spacing w:val="-1"/>
        </w:rPr>
        <w:t xml:space="preserve"> </w:t>
      </w:r>
      <w:r>
        <w:t>la</w:t>
      </w:r>
      <w:r>
        <w:rPr>
          <w:spacing w:val="-2"/>
        </w:rPr>
        <w:t xml:space="preserve"> </w:t>
      </w:r>
      <w:r>
        <w:t>regulación</w:t>
      </w:r>
      <w:r>
        <w:rPr>
          <w:spacing w:val="-1"/>
        </w:rPr>
        <w:t xml:space="preserve"> </w:t>
      </w:r>
      <w:r>
        <w:t>legal.</w:t>
      </w:r>
    </w:p>
    <w:p w:rsidR="003804AC" w:rsidRDefault="00AF18A5" w:rsidP="00B217E3">
      <w:r>
        <w:t>La crisis en el desarrollo rural y la soberanía alimentaria y el freno sistemático a los intentos de reforma agraria en Colombia explican la expansión de los cultivos de coca en el país</w:t>
      </w:r>
      <w:r w:rsidR="00BE673A">
        <w:rPr>
          <w:rStyle w:val="Refdenotaalpie"/>
        </w:rPr>
        <w:footnoteReference w:id="521"/>
      </w:r>
      <w:r>
        <w:t xml:space="preserve">. La coca también les ha permitido a sectores campesinos tener acceso a recursos económicos o a mejorar su situación económica y el acceso a otros recursos educativos o sociales, lo que habitualmente no ocurre con el trabajo en </w:t>
      </w:r>
      <w:r>
        <w:lastRenderedPageBreak/>
        <w:t>el campo en ciertas regiones del país. No obstante, también es el sector más violentado, el que se agrede, hostiga y persigue con más intensidad. Desde los años sesenta y setenta, la falta de una política agraria incluyente, que girara alrededor de una clara y equilibrada agenda de acceso a la tierra para los campesinos</w:t>
      </w:r>
      <w:r w:rsidR="00BE673A">
        <w:rPr>
          <w:rStyle w:val="Refdenotaalpie"/>
        </w:rPr>
        <w:footnoteReference w:id="522"/>
      </w:r>
      <w:r>
        <w:t>, y la pérdida de la soberanía alimentaria, provocaron que en muchos lugares la coca se convirtiera en una alternativa productiva del campesinado.</w:t>
      </w:r>
    </w:p>
    <w:p w:rsidR="0011361F" w:rsidRDefault="00AF18A5" w:rsidP="00BE673A">
      <w:r>
        <w:t>La falta de carreteras que permitan conectar veredas de producción agrícola con centros de</w:t>
      </w:r>
      <w:r>
        <w:rPr>
          <w:spacing w:val="-3"/>
        </w:rPr>
        <w:t xml:space="preserve"> </w:t>
      </w:r>
      <w:r>
        <w:t>comercio,</w:t>
      </w:r>
      <w:r>
        <w:rPr>
          <w:spacing w:val="-3"/>
        </w:rPr>
        <w:t xml:space="preserve"> </w:t>
      </w:r>
      <w:r>
        <w:t>la</w:t>
      </w:r>
      <w:r>
        <w:rPr>
          <w:spacing w:val="-3"/>
        </w:rPr>
        <w:t xml:space="preserve"> </w:t>
      </w:r>
      <w:r>
        <w:t>precaria</w:t>
      </w:r>
      <w:r>
        <w:rPr>
          <w:spacing w:val="-3"/>
        </w:rPr>
        <w:t xml:space="preserve"> </w:t>
      </w:r>
      <w:r>
        <w:t>asistencia</w:t>
      </w:r>
      <w:r>
        <w:rPr>
          <w:spacing w:val="-3"/>
        </w:rPr>
        <w:t xml:space="preserve"> </w:t>
      </w:r>
      <w:r>
        <w:t>técnica</w:t>
      </w:r>
      <w:r>
        <w:rPr>
          <w:spacing w:val="-3"/>
        </w:rPr>
        <w:t xml:space="preserve"> </w:t>
      </w:r>
      <w:r>
        <w:t>para</w:t>
      </w:r>
      <w:r>
        <w:rPr>
          <w:spacing w:val="-3"/>
        </w:rPr>
        <w:t xml:space="preserve"> </w:t>
      </w:r>
      <w:r>
        <w:t>el</w:t>
      </w:r>
      <w:r>
        <w:rPr>
          <w:spacing w:val="-4"/>
        </w:rPr>
        <w:t xml:space="preserve"> </w:t>
      </w:r>
      <w:r>
        <w:t>desarrollo</w:t>
      </w:r>
      <w:r>
        <w:rPr>
          <w:spacing w:val="-3"/>
        </w:rPr>
        <w:t xml:space="preserve"> </w:t>
      </w:r>
      <w:r>
        <w:t>campesino,</w:t>
      </w:r>
      <w:r>
        <w:rPr>
          <w:spacing w:val="-3"/>
        </w:rPr>
        <w:t xml:space="preserve"> </w:t>
      </w:r>
      <w:r>
        <w:t>la</w:t>
      </w:r>
      <w:r>
        <w:rPr>
          <w:spacing w:val="-4"/>
        </w:rPr>
        <w:t xml:space="preserve"> </w:t>
      </w:r>
      <w:r>
        <w:t>incertidumbre</w:t>
      </w:r>
      <w:r>
        <w:rPr>
          <w:spacing w:val="-3"/>
        </w:rPr>
        <w:t xml:space="preserve"> </w:t>
      </w:r>
      <w:r>
        <w:t>en la formalización de la tierra en áreas estratégicas de colonización, las zonas de protección especial o la delimitación de Parques Naturales Nacionales y las escasas oportunidades de comercio de productos campesinos le han quitado competitividad al campo colombiano y han</w:t>
      </w:r>
      <w:r>
        <w:rPr>
          <w:spacing w:val="-2"/>
        </w:rPr>
        <w:t xml:space="preserve"> </w:t>
      </w:r>
      <w:r>
        <w:t>sido</w:t>
      </w:r>
      <w:r>
        <w:rPr>
          <w:spacing w:val="-2"/>
        </w:rPr>
        <w:t xml:space="preserve"> </w:t>
      </w:r>
      <w:r>
        <w:t>un</w:t>
      </w:r>
      <w:r>
        <w:rPr>
          <w:spacing w:val="-2"/>
        </w:rPr>
        <w:t xml:space="preserve"> </w:t>
      </w:r>
      <w:r>
        <w:t>aliciente</w:t>
      </w:r>
      <w:r>
        <w:rPr>
          <w:spacing w:val="-2"/>
        </w:rPr>
        <w:t xml:space="preserve"> </w:t>
      </w:r>
      <w:r>
        <w:t>para</w:t>
      </w:r>
      <w:r>
        <w:rPr>
          <w:spacing w:val="-2"/>
        </w:rPr>
        <w:t xml:space="preserve"> </w:t>
      </w:r>
      <w:r>
        <w:t>la</w:t>
      </w:r>
      <w:r>
        <w:rPr>
          <w:spacing w:val="-2"/>
        </w:rPr>
        <w:t xml:space="preserve"> </w:t>
      </w:r>
      <w:r>
        <w:t>acogida</w:t>
      </w:r>
      <w:r>
        <w:rPr>
          <w:spacing w:val="-3"/>
        </w:rPr>
        <w:t xml:space="preserve"> </w:t>
      </w:r>
      <w:r>
        <w:t>de</w:t>
      </w:r>
      <w:r>
        <w:rPr>
          <w:spacing w:val="-2"/>
        </w:rPr>
        <w:t xml:space="preserve"> </w:t>
      </w:r>
      <w:r>
        <w:t>la</w:t>
      </w:r>
      <w:r>
        <w:rPr>
          <w:spacing w:val="-2"/>
        </w:rPr>
        <w:t xml:space="preserve"> </w:t>
      </w:r>
      <w:r>
        <w:t>hoja</w:t>
      </w:r>
      <w:r>
        <w:rPr>
          <w:spacing w:val="-2"/>
        </w:rPr>
        <w:t xml:space="preserve"> </w:t>
      </w:r>
      <w:r>
        <w:t>de</w:t>
      </w:r>
      <w:r>
        <w:rPr>
          <w:spacing w:val="-3"/>
        </w:rPr>
        <w:t xml:space="preserve"> </w:t>
      </w:r>
      <w:r>
        <w:t>coca.</w:t>
      </w:r>
      <w:r>
        <w:rPr>
          <w:spacing w:val="-2"/>
        </w:rPr>
        <w:t xml:space="preserve"> </w:t>
      </w:r>
      <w:r>
        <w:t>Desde</w:t>
      </w:r>
      <w:r>
        <w:rPr>
          <w:spacing w:val="-2"/>
        </w:rPr>
        <w:t xml:space="preserve"> </w:t>
      </w:r>
      <w:r>
        <w:t>el</w:t>
      </w:r>
      <w:r>
        <w:rPr>
          <w:spacing w:val="-2"/>
        </w:rPr>
        <w:t xml:space="preserve"> </w:t>
      </w:r>
      <w:r>
        <w:t>inicio</w:t>
      </w:r>
      <w:r>
        <w:rPr>
          <w:spacing w:val="-2"/>
        </w:rPr>
        <w:t xml:space="preserve"> </w:t>
      </w:r>
      <w:r>
        <w:t>de</w:t>
      </w:r>
      <w:r>
        <w:rPr>
          <w:spacing w:val="-3"/>
        </w:rPr>
        <w:t xml:space="preserve"> </w:t>
      </w:r>
      <w:r>
        <w:t>los</w:t>
      </w:r>
      <w:r>
        <w:rPr>
          <w:spacing w:val="-2"/>
        </w:rPr>
        <w:t xml:space="preserve"> </w:t>
      </w:r>
      <w:r>
        <w:t>cultivos</w:t>
      </w:r>
      <w:r>
        <w:rPr>
          <w:spacing w:val="-4"/>
        </w:rPr>
        <w:t xml:space="preserve"> </w:t>
      </w:r>
      <w:r>
        <w:t>hasta la actualidad, el relato de los campesinos de diversas regiones da cuenta de las condiciones de precariedad para comercializar sus productos y conectarse a los mercados agrícolas:</w:t>
      </w:r>
    </w:p>
    <w:p w:rsidR="003804AC" w:rsidRDefault="00AF18A5" w:rsidP="00BE673A">
      <w:bookmarkStart w:id="688" w:name="_bookmark582"/>
      <w:bookmarkStart w:id="689" w:name="_bookmark583"/>
      <w:bookmarkEnd w:id="688"/>
      <w:bookmarkEnd w:id="689"/>
      <w:r>
        <w:t>«En un punto, a La Gabarra [municipio de Tibú, Norte de Santander] se le acabó la carretera;</w:t>
      </w:r>
      <w:r>
        <w:rPr>
          <w:spacing w:val="-4"/>
        </w:rPr>
        <w:t xml:space="preserve"> </w:t>
      </w:r>
      <w:r>
        <w:t>usted</w:t>
      </w:r>
      <w:r>
        <w:rPr>
          <w:spacing w:val="-5"/>
        </w:rPr>
        <w:t xml:space="preserve"> </w:t>
      </w:r>
      <w:r>
        <w:t>fácilmente</w:t>
      </w:r>
      <w:r>
        <w:rPr>
          <w:spacing w:val="-5"/>
        </w:rPr>
        <w:t xml:space="preserve"> </w:t>
      </w:r>
      <w:r>
        <w:t>podía</w:t>
      </w:r>
      <w:r>
        <w:rPr>
          <w:spacing w:val="-6"/>
        </w:rPr>
        <w:t xml:space="preserve"> </w:t>
      </w:r>
      <w:r>
        <w:t>gastarse</w:t>
      </w:r>
      <w:r>
        <w:rPr>
          <w:spacing w:val="-5"/>
        </w:rPr>
        <w:t xml:space="preserve"> </w:t>
      </w:r>
      <w:r>
        <w:t>de</w:t>
      </w:r>
      <w:r>
        <w:rPr>
          <w:spacing w:val="-6"/>
        </w:rPr>
        <w:t xml:space="preserve"> </w:t>
      </w:r>
      <w:r>
        <w:t>Tibú</w:t>
      </w:r>
      <w:r>
        <w:rPr>
          <w:spacing w:val="-6"/>
        </w:rPr>
        <w:t xml:space="preserve"> </w:t>
      </w:r>
      <w:r>
        <w:t>a</w:t>
      </w:r>
      <w:r>
        <w:rPr>
          <w:spacing w:val="-5"/>
        </w:rPr>
        <w:t xml:space="preserve"> </w:t>
      </w:r>
      <w:r>
        <w:t>La</w:t>
      </w:r>
      <w:r>
        <w:rPr>
          <w:spacing w:val="-5"/>
        </w:rPr>
        <w:t xml:space="preserve"> </w:t>
      </w:r>
      <w:r>
        <w:t>Gabarra…</w:t>
      </w:r>
      <w:r>
        <w:rPr>
          <w:spacing w:val="-5"/>
        </w:rPr>
        <w:t xml:space="preserve"> </w:t>
      </w:r>
      <w:r>
        <w:t>¿qué</w:t>
      </w:r>
      <w:r>
        <w:rPr>
          <w:spacing w:val="-5"/>
        </w:rPr>
        <w:t xml:space="preserve"> </w:t>
      </w:r>
      <w:r>
        <w:t>le</w:t>
      </w:r>
      <w:r>
        <w:rPr>
          <w:spacing w:val="-6"/>
        </w:rPr>
        <w:t xml:space="preserve"> </w:t>
      </w:r>
      <w:r>
        <w:t>digo</w:t>
      </w:r>
      <w:r>
        <w:rPr>
          <w:spacing w:val="-5"/>
        </w:rPr>
        <w:t xml:space="preserve"> </w:t>
      </w:r>
      <w:r>
        <w:t>yo?,</w:t>
      </w:r>
      <w:r>
        <w:rPr>
          <w:spacing w:val="-5"/>
        </w:rPr>
        <w:t xml:space="preserve"> </w:t>
      </w:r>
      <w:r>
        <w:t>se</w:t>
      </w:r>
      <w:r>
        <w:rPr>
          <w:spacing w:val="-6"/>
        </w:rPr>
        <w:t xml:space="preserve"> </w:t>
      </w:r>
      <w:r>
        <w:t>podía demorar hasta una semana. Es que los carros se enterraban, nadie los sacaba de ahí. Ya eso era</w:t>
      </w:r>
      <w:r>
        <w:rPr>
          <w:spacing w:val="-2"/>
        </w:rPr>
        <w:t xml:space="preserve"> </w:t>
      </w:r>
      <w:r>
        <w:t>inviable</w:t>
      </w:r>
      <w:r>
        <w:rPr>
          <w:spacing w:val="-3"/>
        </w:rPr>
        <w:t xml:space="preserve"> </w:t>
      </w:r>
      <w:r>
        <w:t>–como</w:t>
      </w:r>
      <w:r>
        <w:rPr>
          <w:spacing w:val="-2"/>
        </w:rPr>
        <w:t xml:space="preserve"> </w:t>
      </w:r>
      <w:r>
        <w:t>en</w:t>
      </w:r>
      <w:r>
        <w:rPr>
          <w:spacing w:val="-3"/>
        </w:rPr>
        <w:t xml:space="preserve"> </w:t>
      </w:r>
      <w:r>
        <w:t>los</w:t>
      </w:r>
      <w:r>
        <w:rPr>
          <w:spacing w:val="-2"/>
        </w:rPr>
        <w:t xml:space="preserve"> </w:t>
      </w:r>
      <w:r>
        <w:t>ochenta–</w:t>
      </w:r>
      <w:r>
        <w:rPr>
          <w:spacing w:val="-3"/>
        </w:rPr>
        <w:t xml:space="preserve"> </w:t>
      </w:r>
      <w:r>
        <w:t>para</w:t>
      </w:r>
      <w:r>
        <w:rPr>
          <w:spacing w:val="-2"/>
        </w:rPr>
        <w:t xml:space="preserve"> </w:t>
      </w:r>
      <w:r>
        <w:t>el</w:t>
      </w:r>
      <w:r>
        <w:rPr>
          <w:spacing w:val="-2"/>
        </w:rPr>
        <w:t xml:space="preserve"> </w:t>
      </w:r>
      <w:r>
        <w:t>campesino</w:t>
      </w:r>
      <w:r>
        <w:rPr>
          <w:spacing w:val="-2"/>
        </w:rPr>
        <w:t xml:space="preserve"> </w:t>
      </w:r>
      <w:r>
        <w:t>sacar</w:t>
      </w:r>
      <w:r>
        <w:rPr>
          <w:spacing w:val="-3"/>
        </w:rPr>
        <w:t xml:space="preserve"> </w:t>
      </w:r>
      <w:r>
        <w:t>los</w:t>
      </w:r>
      <w:r>
        <w:rPr>
          <w:spacing w:val="-2"/>
        </w:rPr>
        <w:t xml:space="preserve"> </w:t>
      </w:r>
      <w:r>
        <w:t>productos</w:t>
      </w:r>
      <w:r>
        <w:rPr>
          <w:spacing w:val="-3"/>
        </w:rPr>
        <w:t xml:space="preserve"> </w:t>
      </w:r>
      <w:r>
        <w:t>agrícolas;</w:t>
      </w:r>
      <w:r>
        <w:rPr>
          <w:spacing w:val="-2"/>
        </w:rPr>
        <w:t xml:space="preserve"> </w:t>
      </w:r>
      <w:r>
        <w:t>todo</w:t>
      </w:r>
      <w:r>
        <w:rPr>
          <w:spacing w:val="-2"/>
        </w:rPr>
        <w:t xml:space="preserve"> </w:t>
      </w:r>
      <w:r>
        <w:t>se perdía, el plátano se perdía, el maíz</w:t>
      </w:r>
      <w:r>
        <w:rPr>
          <w:spacing w:val="-1"/>
        </w:rPr>
        <w:t xml:space="preserve"> </w:t>
      </w:r>
      <w:r>
        <w:t xml:space="preserve">se perdía, porque no había </w:t>
      </w:r>
      <w:r>
        <w:lastRenderedPageBreak/>
        <w:t>quién los comprara. Además las cargas de eso eran tan pesadas que los camiones se enterraban más de lo normal, eso tocaba tirar toda la carga de plátano, maíz, todo lo que se transportaba por esas trochas»</w:t>
      </w:r>
      <w:r w:rsidR="002150D0">
        <w:rPr>
          <w:rStyle w:val="Refdenotaalpie"/>
        </w:rPr>
        <w:footnoteReference w:id="523"/>
      </w:r>
      <w:r>
        <w:t>.</w:t>
      </w:r>
    </w:p>
    <w:p w:rsidR="003804AC" w:rsidRDefault="00AF18A5" w:rsidP="002150D0">
      <w:r>
        <w:t>La Comisión ha escuchado testimonios similares de campesinos cocaleros en Guaviare, Cauca,</w:t>
      </w:r>
      <w:r>
        <w:rPr>
          <w:spacing w:val="-1"/>
        </w:rPr>
        <w:t xml:space="preserve"> </w:t>
      </w:r>
      <w:r>
        <w:t>Nariño</w:t>
      </w:r>
      <w:r>
        <w:rPr>
          <w:spacing w:val="-1"/>
        </w:rPr>
        <w:t xml:space="preserve"> </w:t>
      </w:r>
      <w:r>
        <w:t>y</w:t>
      </w:r>
      <w:r>
        <w:rPr>
          <w:spacing w:val="-1"/>
        </w:rPr>
        <w:t xml:space="preserve"> </w:t>
      </w:r>
      <w:r>
        <w:t>otras</w:t>
      </w:r>
      <w:r>
        <w:rPr>
          <w:spacing w:val="-2"/>
        </w:rPr>
        <w:t xml:space="preserve"> </w:t>
      </w:r>
      <w:r>
        <w:t>regiones</w:t>
      </w:r>
      <w:r>
        <w:rPr>
          <w:spacing w:val="-1"/>
        </w:rPr>
        <w:t xml:space="preserve"> </w:t>
      </w:r>
      <w:r>
        <w:t>del</w:t>
      </w:r>
      <w:r>
        <w:rPr>
          <w:spacing w:val="-1"/>
        </w:rPr>
        <w:t xml:space="preserve"> </w:t>
      </w:r>
      <w:r>
        <w:t>país.</w:t>
      </w:r>
      <w:r>
        <w:rPr>
          <w:spacing w:val="-1"/>
        </w:rPr>
        <w:t xml:space="preserve"> </w:t>
      </w:r>
      <w:r>
        <w:t>La</w:t>
      </w:r>
      <w:r>
        <w:rPr>
          <w:spacing w:val="-2"/>
        </w:rPr>
        <w:t xml:space="preserve"> </w:t>
      </w:r>
      <w:r>
        <w:t>vida</w:t>
      </w:r>
      <w:r>
        <w:rPr>
          <w:spacing w:val="-3"/>
        </w:rPr>
        <w:t xml:space="preserve"> </w:t>
      </w:r>
      <w:r>
        <w:t>económica</w:t>
      </w:r>
      <w:r>
        <w:rPr>
          <w:spacing w:val="-1"/>
        </w:rPr>
        <w:t xml:space="preserve"> </w:t>
      </w:r>
      <w:r>
        <w:t>de</w:t>
      </w:r>
      <w:r>
        <w:rPr>
          <w:spacing w:val="-1"/>
        </w:rPr>
        <w:t xml:space="preserve"> </w:t>
      </w:r>
      <w:r>
        <w:t>muchas</w:t>
      </w:r>
      <w:r>
        <w:rPr>
          <w:spacing w:val="-1"/>
        </w:rPr>
        <w:t xml:space="preserve"> </w:t>
      </w:r>
      <w:r>
        <w:t>regiones</w:t>
      </w:r>
      <w:r>
        <w:rPr>
          <w:spacing w:val="-1"/>
        </w:rPr>
        <w:t xml:space="preserve"> </w:t>
      </w:r>
      <w:r>
        <w:t>depende</w:t>
      </w:r>
      <w:r>
        <w:rPr>
          <w:spacing w:val="-1"/>
        </w:rPr>
        <w:t xml:space="preserve"> </w:t>
      </w:r>
      <w:r>
        <w:t xml:space="preserve">de la coca, como afirmó un campesino de Llorente, Nariño, a la Comisión: «la coca es un </w:t>
      </w:r>
      <w:proofErr w:type="spellStart"/>
      <w:r>
        <w:t>romboy</w:t>
      </w:r>
      <w:proofErr w:type="spellEnd"/>
      <w:r>
        <w:t xml:space="preserve"> [glorieta]: sale de aquí y ella gira, la plata ahorita la tengo aquí, mañana la tiene él, la</w:t>
      </w:r>
      <w:r>
        <w:rPr>
          <w:spacing w:val="-1"/>
        </w:rPr>
        <w:t xml:space="preserve"> </w:t>
      </w:r>
      <w:r>
        <w:t>tiene</w:t>
      </w:r>
      <w:r>
        <w:rPr>
          <w:spacing w:val="-1"/>
        </w:rPr>
        <w:t xml:space="preserve"> </w:t>
      </w:r>
      <w:r>
        <w:t>el</w:t>
      </w:r>
      <w:r>
        <w:rPr>
          <w:spacing w:val="-1"/>
        </w:rPr>
        <w:t xml:space="preserve"> </w:t>
      </w:r>
      <w:r>
        <w:t>carnicero,</w:t>
      </w:r>
      <w:r>
        <w:rPr>
          <w:spacing w:val="-1"/>
        </w:rPr>
        <w:t xml:space="preserve"> </w:t>
      </w:r>
      <w:r>
        <w:t>la</w:t>
      </w:r>
      <w:r>
        <w:rPr>
          <w:spacing w:val="-2"/>
        </w:rPr>
        <w:t xml:space="preserve"> </w:t>
      </w:r>
      <w:r>
        <w:t>tiene</w:t>
      </w:r>
      <w:r>
        <w:rPr>
          <w:spacing w:val="-1"/>
        </w:rPr>
        <w:t xml:space="preserve"> </w:t>
      </w:r>
      <w:r>
        <w:t>el</w:t>
      </w:r>
      <w:r>
        <w:rPr>
          <w:spacing w:val="-1"/>
        </w:rPr>
        <w:t xml:space="preserve"> </w:t>
      </w:r>
      <w:r>
        <w:t>verdulero,</w:t>
      </w:r>
      <w:r>
        <w:rPr>
          <w:spacing w:val="-1"/>
        </w:rPr>
        <w:t xml:space="preserve"> </w:t>
      </w:r>
      <w:r>
        <w:t>la</w:t>
      </w:r>
      <w:r>
        <w:rPr>
          <w:spacing w:val="-1"/>
        </w:rPr>
        <w:t xml:space="preserve"> </w:t>
      </w:r>
      <w:r>
        <w:t>tiene</w:t>
      </w:r>
      <w:r>
        <w:rPr>
          <w:spacing w:val="-2"/>
        </w:rPr>
        <w:t xml:space="preserve"> </w:t>
      </w:r>
      <w:r>
        <w:t>el</w:t>
      </w:r>
      <w:r>
        <w:rPr>
          <w:spacing w:val="-1"/>
        </w:rPr>
        <w:t xml:space="preserve"> </w:t>
      </w:r>
      <w:r>
        <w:t>supermercado,</w:t>
      </w:r>
      <w:r>
        <w:rPr>
          <w:spacing w:val="-1"/>
        </w:rPr>
        <w:t xml:space="preserve"> </w:t>
      </w:r>
      <w:r>
        <w:t>la</w:t>
      </w:r>
      <w:r>
        <w:rPr>
          <w:spacing w:val="-1"/>
        </w:rPr>
        <w:t xml:space="preserve"> </w:t>
      </w:r>
      <w:r>
        <w:t>tienen</w:t>
      </w:r>
      <w:r>
        <w:rPr>
          <w:spacing w:val="-1"/>
        </w:rPr>
        <w:t xml:space="preserve"> </w:t>
      </w:r>
      <w:r>
        <w:t>los</w:t>
      </w:r>
      <w:r>
        <w:rPr>
          <w:spacing w:val="-1"/>
        </w:rPr>
        <w:t xml:space="preserve"> </w:t>
      </w:r>
      <w:r>
        <w:t>que</w:t>
      </w:r>
      <w:r>
        <w:rPr>
          <w:spacing w:val="-1"/>
        </w:rPr>
        <w:t xml:space="preserve"> </w:t>
      </w:r>
      <w:r>
        <w:t>venden celulares… la misma economía de la coca hace que infunda trabajo aquí. Y no solamente aquí en Llorente, esto es a nivel nacional»</w:t>
      </w:r>
      <w:r w:rsidR="002150D0">
        <w:rPr>
          <w:rStyle w:val="Refdenotaalpie"/>
        </w:rPr>
        <w:footnoteReference w:id="524"/>
      </w:r>
      <w:r>
        <w:t>.</w:t>
      </w:r>
    </w:p>
    <w:p w:rsidR="003804AC" w:rsidRDefault="00AF18A5" w:rsidP="002150D0">
      <w:r>
        <w:t>La</w:t>
      </w:r>
      <w:r>
        <w:rPr>
          <w:spacing w:val="-2"/>
        </w:rPr>
        <w:t xml:space="preserve"> </w:t>
      </w:r>
      <w:r>
        <w:t>expansión</w:t>
      </w:r>
      <w:r>
        <w:rPr>
          <w:spacing w:val="-2"/>
        </w:rPr>
        <w:t xml:space="preserve"> </w:t>
      </w:r>
      <w:r>
        <w:t>de</w:t>
      </w:r>
      <w:r>
        <w:rPr>
          <w:spacing w:val="-2"/>
        </w:rPr>
        <w:t xml:space="preserve"> </w:t>
      </w:r>
      <w:r>
        <w:t>este</w:t>
      </w:r>
      <w:r>
        <w:rPr>
          <w:spacing w:val="-3"/>
        </w:rPr>
        <w:t xml:space="preserve"> </w:t>
      </w:r>
      <w:r>
        <w:t>modelo</w:t>
      </w:r>
      <w:r>
        <w:rPr>
          <w:spacing w:val="-2"/>
        </w:rPr>
        <w:t xml:space="preserve"> </w:t>
      </w:r>
      <w:r>
        <w:t>de</w:t>
      </w:r>
      <w:r>
        <w:rPr>
          <w:spacing w:val="-2"/>
        </w:rPr>
        <w:t xml:space="preserve"> </w:t>
      </w:r>
      <w:r>
        <w:t>acumulación</w:t>
      </w:r>
      <w:r>
        <w:rPr>
          <w:spacing w:val="-2"/>
        </w:rPr>
        <w:t xml:space="preserve"> </w:t>
      </w:r>
      <w:r>
        <w:t>también</w:t>
      </w:r>
      <w:r>
        <w:rPr>
          <w:spacing w:val="-2"/>
        </w:rPr>
        <w:t xml:space="preserve"> </w:t>
      </w:r>
      <w:r>
        <w:t>tuvo</w:t>
      </w:r>
      <w:r>
        <w:rPr>
          <w:spacing w:val="-3"/>
        </w:rPr>
        <w:t xml:space="preserve"> </w:t>
      </w:r>
      <w:r>
        <w:t>impactos</w:t>
      </w:r>
      <w:r>
        <w:rPr>
          <w:spacing w:val="-2"/>
        </w:rPr>
        <w:t xml:space="preserve"> </w:t>
      </w:r>
      <w:r>
        <w:t>en</w:t>
      </w:r>
      <w:r>
        <w:rPr>
          <w:spacing w:val="-2"/>
        </w:rPr>
        <w:t xml:space="preserve"> </w:t>
      </w:r>
      <w:r>
        <w:t>la</w:t>
      </w:r>
      <w:r>
        <w:rPr>
          <w:spacing w:val="-2"/>
        </w:rPr>
        <w:t xml:space="preserve"> </w:t>
      </w:r>
      <w:r>
        <w:t>vida</w:t>
      </w:r>
      <w:r>
        <w:rPr>
          <w:spacing w:val="-2"/>
        </w:rPr>
        <w:t xml:space="preserve"> </w:t>
      </w:r>
      <w:r>
        <w:t>cotidiana de la población en estas regiones. Un campesino relata cómo se vivía con esta fuente de entradas monetarias para las familias:</w:t>
      </w:r>
    </w:p>
    <w:p w:rsidR="003804AC" w:rsidRDefault="00AF18A5" w:rsidP="002150D0">
      <w:r>
        <w:t>«Lo cierto es que el que cultivaba coca tenía mejores ingresos que los que no. Esos campesinos sacaban a su familia a estudiar a otros departamentos, compraban los mejores caballos y mejoraron su nivel económico. Pero a la par se creció el consumo de alcohol, les alcanzaba</w:t>
      </w:r>
      <w:r>
        <w:rPr>
          <w:spacing w:val="-3"/>
        </w:rPr>
        <w:t xml:space="preserve"> </w:t>
      </w:r>
      <w:r>
        <w:t>para</w:t>
      </w:r>
      <w:r>
        <w:rPr>
          <w:spacing w:val="-3"/>
        </w:rPr>
        <w:t xml:space="preserve"> </w:t>
      </w:r>
      <w:r>
        <w:t>una</w:t>
      </w:r>
      <w:r>
        <w:rPr>
          <w:spacing w:val="-5"/>
        </w:rPr>
        <w:t xml:space="preserve"> </w:t>
      </w:r>
      <w:r>
        <w:t>borrachera</w:t>
      </w:r>
      <w:r>
        <w:rPr>
          <w:spacing w:val="-5"/>
        </w:rPr>
        <w:t xml:space="preserve"> </w:t>
      </w:r>
      <w:r>
        <w:t>de</w:t>
      </w:r>
      <w:r>
        <w:rPr>
          <w:spacing w:val="-3"/>
        </w:rPr>
        <w:t xml:space="preserve"> </w:t>
      </w:r>
      <w:r>
        <w:t>tres</w:t>
      </w:r>
      <w:r>
        <w:rPr>
          <w:spacing w:val="-4"/>
        </w:rPr>
        <w:t xml:space="preserve"> </w:t>
      </w:r>
      <w:r>
        <w:t>días</w:t>
      </w:r>
      <w:r>
        <w:rPr>
          <w:spacing w:val="-3"/>
        </w:rPr>
        <w:t xml:space="preserve"> </w:t>
      </w:r>
      <w:r>
        <w:t>y</w:t>
      </w:r>
      <w:r>
        <w:rPr>
          <w:spacing w:val="-5"/>
        </w:rPr>
        <w:t xml:space="preserve"> </w:t>
      </w:r>
      <w:r>
        <w:t>eso</w:t>
      </w:r>
      <w:r>
        <w:rPr>
          <w:spacing w:val="-5"/>
        </w:rPr>
        <w:t xml:space="preserve"> </w:t>
      </w:r>
      <w:r>
        <w:t>era</w:t>
      </w:r>
      <w:r>
        <w:rPr>
          <w:spacing w:val="-3"/>
        </w:rPr>
        <w:t xml:space="preserve"> </w:t>
      </w:r>
      <w:r>
        <w:t>cada</w:t>
      </w:r>
      <w:r>
        <w:rPr>
          <w:spacing w:val="-3"/>
        </w:rPr>
        <w:t xml:space="preserve"> </w:t>
      </w:r>
      <w:r>
        <w:t>ocho</w:t>
      </w:r>
      <w:r>
        <w:rPr>
          <w:spacing w:val="-4"/>
        </w:rPr>
        <w:t xml:space="preserve"> </w:t>
      </w:r>
      <w:r>
        <w:t>días,</w:t>
      </w:r>
      <w:r>
        <w:rPr>
          <w:spacing w:val="-4"/>
        </w:rPr>
        <w:t xml:space="preserve"> </w:t>
      </w:r>
      <w:r>
        <w:t>uno</w:t>
      </w:r>
      <w:r>
        <w:rPr>
          <w:spacing w:val="-5"/>
        </w:rPr>
        <w:t xml:space="preserve"> </w:t>
      </w:r>
      <w:r>
        <w:t>sabía</w:t>
      </w:r>
      <w:r>
        <w:rPr>
          <w:spacing w:val="-3"/>
        </w:rPr>
        <w:t xml:space="preserve"> </w:t>
      </w:r>
      <w:r>
        <w:t>que</w:t>
      </w:r>
      <w:r>
        <w:rPr>
          <w:spacing w:val="-5"/>
        </w:rPr>
        <w:t xml:space="preserve"> </w:t>
      </w:r>
      <w:r>
        <w:t>si</w:t>
      </w:r>
      <w:r>
        <w:rPr>
          <w:spacing w:val="-4"/>
        </w:rPr>
        <w:t xml:space="preserve"> </w:t>
      </w:r>
      <w:r>
        <w:t>alguien estaba</w:t>
      </w:r>
      <w:r>
        <w:rPr>
          <w:spacing w:val="-3"/>
        </w:rPr>
        <w:t xml:space="preserve"> </w:t>
      </w:r>
      <w:r>
        <w:t>enfiestado</w:t>
      </w:r>
      <w:r>
        <w:rPr>
          <w:spacing w:val="-3"/>
        </w:rPr>
        <w:t xml:space="preserve"> </w:t>
      </w:r>
      <w:r>
        <w:t>era</w:t>
      </w:r>
      <w:r>
        <w:rPr>
          <w:spacing w:val="-3"/>
        </w:rPr>
        <w:t xml:space="preserve"> </w:t>
      </w:r>
      <w:r>
        <w:t>porque</w:t>
      </w:r>
      <w:r>
        <w:rPr>
          <w:spacing w:val="-2"/>
        </w:rPr>
        <w:t xml:space="preserve"> </w:t>
      </w:r>
      <w:r>
        <w:t>había</w:t>
      </w:r>
      <w:r>
        <w:rPr>
          <w:spacing w:val="-3"/>
        </w:rPr>
        <w:t xml:space="preserve"> </w:t>
      </w:r>
      <w:r>
        <w:t>logrado</w:t>
      </w:r>
      <w:r>
        <w:rPr>
          <w:spacing w:val="-2"/>
        </w:rPr>
        <w:t xml:space="preserve"> </w:t>
      </w:r>
      <w:r>
        <w:t>vender</w:t>
      </w:r>
      <w:r>
        <w:rPr>
          <w:spacing w:val="-2"/>
        </w:rPr>
        <w:t xml:space="preserve"> </w:t>
      </w:r>
      <w:r>
        <w:t>algo</w:t>
      </w:r>
      <w:r>
        <w:rPr>
          <w:spacing w:val="-2"/>
        </w:rPr>
        <w:t xml:space="preserve"> </w:t>
      </w:r>
      <w:r>
        <w:t>de</w:t>
      </w:r>
      <w:r>
        <w:rPr>
          <w:spacing w:val="-2"/>
        </w:rPr>
        <w:t xml:space="preserve"> </w:t>
      </w:r>
      <w:r>
        <w:t>coca;</w:t>
      </w:r>
      <w:r>
        <w:rPr>
          <w:spacing w:val="-3"/>
        </w:rPr>
        <w:t xml:space="preserve"> </w:t>
      </w:r>
      <w:r>
        <w:t>montaron</w:t>
      </w:r>
      <w:r>
        <w:rPr>
          <w:spacing w:val="-2"/>
        </w:rPr>
        <w:t xml:space="preserve"> </w:t>
      </w:r>
      <w:r>
        <w:t>muchas</w:t>
      </w:r>
      <w:r>
        <w:rPr>
          <w:spacing w:val="-2"/>
        </w:rPr>
        <w:t xml:space="preserve"> </w:t>
      </w:r>
      <w:r>
        <w:t>tiendas</w:t>
      </w:r>
      <w:r>
        <w:rPr>
          <w:spacing w:val="-2"/>
        </w:rPr>
        <w:t xml:space="preserve"> </w:t>
      </w:r>
      <w:r>
        <w:t>y muchos billares. La inmensa mayoría de familias cambiaron su estilo de vida»</w:t>
      </w:r>
      <w:r w:rsidR="002150D0">
        <w:rPr>
          <w:rStyle w:val="Refdenotaalpie"/>
        </w:rPr>
        <w:footnoteReference w:id="525"/>
      </w:r>
      <w:r>
        <w:t>.</w:t>
      </w:r>
    </w:p>
    <w:p w:rsidR="003804AC" w:rsidRDefault="00AF18A5" w:rsidP="009E048A">
      <w:r>
        <w:t xml:space="preserve">Las economías regionales de la cocaína han tenido una importancia </w:t>
      </w:r>
      <w:r>
        <w:lastRenderedPageBreak/>
        <w:t>relevante en el desarrollo</w:t>
      </w:r>
      <w:r>
        <w:rPr>
          <w:spacing w:val="-14"/>
        </w:rPr>
        <w:t xml:space="preserve"> </w:t>
      </w:r>
      <w:r>
        <w:t>regional</w:t>
      </w:r>
      <w:r>
        <w:rPr>
          <w:spacing w:val="-11"/>
        </w:rPr>
        <w:t xml:space="preserve"> </w:t>
      </w:r>
      <w:r>
        <w:t>y</w:t>
      </w:r>
      <w:r>
        <w:rPr>
          <w:spacing w:val="-11"/>
        </w:rPr>
        <w:t xml:space="preserve"> </w:t>
      </w:r>
      <w:r>
        <w:t>municipal</w:t>
      </w:r>
      <w:r>
        <w:rPr>
          <w:spacing w:val="-11"/>
        </w:rPr>
        <w:t xml:space="preserve"> </w:t>
      </w:r>
      <w:r>
        <w:t>de</w:t>
      </w:r>
      <w:r>
        <w:rPr>
          <w:spacing w:val="-11"/>
        </w:rPr>
        <w:t xml:space="preserve"> </w:t>
      </w:r>
      <w:r>
        <w:t>distintas</w:t>
      </w:r>
      <w:r>
        <w:rPr>
          <w:spacing w:val="-11"/>
        </w:rPr>
        <w:t xml:space="preserve"> </w:t>
      </w:r>
      <w:r>
        <w:t>zonas</w:t>
      </w:r>
      <w:r>
        <w:rPr>
          <w:spacing w:val="-12"/>
        </w:rPr>
        <w:t xml:space="preserve"> </w:t>
      </w:r>
      <w:r>
        <w:t>del</w:t>
      </w:r>
      <w:r>
        <w:rPr>
          <w:spacing w:val="-11"/>
        </w:rPr>
        <w:t xml:space="preserve"> </w:t>
      </w:r>
      <w:r>
        <w:t>país.</w:t>
      </w:r>
      <w:r>
        <w:rPr>
          <w:spacing w:val="-11"/>
        </w:rPr>
        <w:t xml:space="preserve"> </w:t>
      </w:r>
      <w:r>
        <w:t>Muchos</w:t>
      </w:r>
      <w:r>
        <w:rPr>
          <w:spacing w:val="-11"/>
        </w:rPr>
        <w:t xml:space="preserve"> </w:t>
      </w:r>
      <w:r>
        <w:t>pueblos</w:t>
      </w:r>
      <w:r>
        <w:rPr>
          <w:spacing w:val="-11"/>
        </w:rPr>
        <w:t xml:space="preserve"> </w:t>
      </w:r>
      <w:r>
        <w:t>de</w:t>
      </w:r>
      <w:r>
        <w:rPr>
          <w:spacing w:val="-11"/>
        </w:rPr>
        <w:t xml:space="preserve"> </w:t>
      </w:r>
      <w:r>
        <w:t>Colombia</w:t>
      </w:r>
      <w:r>
        <w:rPr>
          <w:spacing w:val="-11"/>
        </w:rPr>
        <w:t xml:space="preserve"> </w:t>
      </w:r>
      <w:r>
        <w:rPr>
          <w:spacing w:val="-5"/>
        </w:rPr>
        <w:t>han</w:t>
      </w:r>
      <w:bookmarkStart w:id="690" w:name="_bookmark584"/>
      <w:bookmarkStart w:id="691" w:name="_bookmark585"/>
      <w:bookmarkStart w:id="692" w:name="_bookmark586"/>
      <w:bookmarkEnd w:id="690"/>
      <w:bookmarkEnd w:id="691"/>
      <w:bookmarkEnd w:id="692"/>
      <w:r w:rsidR="009E048A">
        <w:rPr>
          <w:spacing w:val="-5"/>
        </w:rPr>
        <w:t xml:space="preserve"> </w:t>
      </w:r>
      <w:r>
        <w:t>surgido y son relevantes debido a que estuvieron en contacto con el narcotráfico. Pueblos cercanos</w:t>
      </w:r>
      <w:r>
        <w:rPr>
          <w:spacing w:val="-10"/>
        </w:rPr>
        <w:t xml:space="preserve"> </w:t>
      </w:r>
      <w:r>
        <w:t>a</w:t>
      </w:r>
      <w:r>
        <w:rPr>
          <w:spacing w:val="-9"/>
        </w:rPr>
        <w:t xml:space="preserve"> </w:t>
      </w:r>
      <w:r>
        <w:t>Tumaco,</w:t>
      </w:r>
      <w:r>
        <w:rPr>
          <w:spacing w:val="-10"/>
        </w:rPr>
        <w:t xml:space="preserve"> </w:t>
      </w:r>
      <w:r>
        <w:t>en</w:t>
      </w:r>
      <w:r>
        <w:rPr>
          <w:spacing w:val="-11"/>
        </w:rPr>
        <w:t xml:space="preserve"> </w:t>
      </w:r>
      <w:r>
        <w:t>Nariño,</w:t>
      </w:r>
      <w:r>
        <w:rPr>
          <w:spacing w:val="-10"/>
        </w:rPr>
        <w:t xml:space="preserve"> </w:t>
      </w:r>
      <w:r>
        <w:t>o</w:t>
      </w:r>
      <w:r>
        <w:rPr>
          <w:spacing w:val="-11"/>
        </w:rPr>
        <w:t xml:space="preserve"> </w:t>
      </w:r>
      <w:r>
        <w:t>en</w:t>
      </w:r>
      <w:r>
        <w:rPr>
          <w:spacing w:val="-11"/>
        </w:rPr>
        <w:t xml:space="preserve"> </w:t>
      </w:r>
      <w:r>
        <w:t>Urabá,</w:t>
      </w:r>
      <w:r>
        <w:rPr>
          <w:spacing w:val="-10"/>
        </w:rPr>
        <w:t xml:space="preserve"> </w:t>
      </w:r>
      <w:r>
        <w:t>Antioquia,</w:t>
      </w:r>
      <w:r>
        <w:rPr>
          <w:spacing w:val="-10"/>
        </w:rPr>
        <w:t xml:space="preserve"> </w:t>
      </w:r>
      <w:r>
        <w:t>o</w:t>
      </w:r>
      <w:r>
        <w:rPr>
          <w:spacing w:val="-10"/>
        </w:rPr>
        <w:t xml:space="preserve"> </w:t>
      </w:r>
      <w:r>
        <w:t>San</w:t>
      </w:r>
      <w:r>
        <w:rPr>
          <w:spacing w:val="-11"/>
        </w:rPr>
        <w:t xml:space="preserve"> </w:t>
      </w:r>
      <w:r>
        <w:t>José</w:t>
      </w:r>
      <w:r>
        <w:rPr>
          <w:spacing w:val="-9"/>
        </w:rPr>
        <w:t xml:space="preserve"> </w:t>
      </w:r>
      <w:r>
        <w:t>del</w:t>
      </w:r>
      <w:r>
        <w:rPr>
          <w:spacing w:val="-9"/>
        </w:rPr>
        <w:t xml:space="preserve"> </w:t>
      </w:r>
      <w:r>
        <w:t>Guaviare,</w:t>
      </w:r>
      <w:r>
        <w:rPr>
          <w:spacing w:val="-10"/>
        </w:rPr>
        <w:t xml:space="preserve"> </w:t>
      </w:r>
      <w:r>
        <w:t>en</w:t>
      </w:r>
      <w:r>
        <w:rPr>
          <w:spacing w:val="-10"/>
        </w:rPr>
        <w:t xml:space="preserve"> </w:t>
      </w:r>
      <w:r>
        <w:t>Guaviare, entre otros, pudieron enfrentar una escasa presencia del Estado con los recursos y las dinámicas surgidos alrededor del narcotráfico.</w:t>
      </w:r>
    </w:p>
    <w:p w:rsidR="003804AC" w:rsidRDefault="00AF18A5" w:rsidP="009E048A">
      <w:r>
        <w:t>Estas circunstancias han sido particularmente difíciles para las mujeres. Las economías regionales</w:t>
      </w:r>
      <w:r>
        <w:rPr>
          <w:spacing w:val="-10"/>
        </w:rPr>
        <w:t xml:space="preserve"> </w:t>
      </w:r>
      <w:r>
        <w:t>de</w:t>
      </w:r>
      <w:r>
        <w:rPr>
          <w:spacing w:val="-10"/>
        </w:rPr>
        <w:t xml:space="preserve"> </w:t>
      </w:r>
      <w:r>
        <w:t>la</w:t>
      </w:r>
      <w:r>
        <w:rPr>
          <w:spacing w:val="-10"/>
        </w:rPr>
        <w:t xml:space="preserve"> </w:t>
      </w:r>
      <w:r>
        <w:t>cocaína</w:t>
      </w:r>
      <w:r>
        <w:rPr>
          <w:spacing w:val="-12"/>
        </w:rPr>
        <w:t xml:space="preserve"> </w:t>
      </w:r>
      <w:r>
        <w:t>fueron</w:t>
      </w:r>
      <w:r>
        <w:rPr>
          <w:spacing w:val="-11"/>
        </w:rPr>
        <w:t xml:space="preserve"> </w:t>
      </w:r>
      <w:r>
        <w:t>una</w:t>
      </w:r>
      <w:r>
        <w:rPr>
          <w:spacing w:val="-10"/>
        </w:rPr>
        <w:t xml:space="preserve"> </w:t>
      </w:r>
      <w:r>
        <w:t>oportunidad</w:t>
      </w:r>
      <w:r>
        <w:rPr>
          <w:spacing w:val="-11"/>
        </w:rPr>
        <w:t xml:space="preserve"> </w:t>
      </w:r>
      <w:r>
        <w:t>de</w:t>
      </w:r>
      <w:r>
        <w:rPr>
          <w:spacing w:val="-10"/>
        </w:rPr>
        <w:t xml:space="preserve"> </w:t>
      </w:r>
      <w:r>
        <w:t>trabajo,</w:t>
      </w:r>
      <w:r>
        <w:rPr>
          <w:spacing w:val="-11"/>
        </w:rPr>
        <w:t xml:space="preserve"> </w:t>
      </w:r>
      <w:r>
        <w:t>pero</w:t>
      </w:r>
      <w:r>
        <w:rPr>
          <w:spacing w:val="-11"/>
        </w:rPr>
        <w:t xml:space="preserve"> </w:t>
      </w:r>
      <w:r>
        <w:t>también</w:t>
      </w:r>
      <w:r>
        <w:rPr>
          <w:spacing w:val="-11"/>
        </w:rPr>
        <w:t xml:space="preserve"> </w:t>
      </w:r>
      <w:r>
        <w:t>conllevaron</w:t>
      </w:r>
      <w:r>
        <w:rPr>
          <w:spacing w:val="-11"/>
        </w:rPr>
        <w:t xml:space="preserve"> </w:t>
      </w:r>
      <w:r>
        <w:t>formas de explotación, violencia y desigualdad. La expansión de la prostitución fue uno de los reflejos</w:t>
      </w:r>
      <w:r>
        <w:rPr>
          <w:spacing w:val="-7"/>
        </w:rPr>
        <w:t xml:space="preserve"> </w:t>
      </w:r>
      <w:r>
        <w:t>más</w:t>
      </w:r>
      <w:r>
        <w:rPr>
          <w:spacing w:val="-8"/>
        </w:rPr>
        <w:t xml:space="preserve"> </w:t>
      </w:r>
      <w:r>
        <w:t>claros</w:t>
      </w:r>
      <w:r>
        <w:rPr>
          <w:spacing w:val="-7"/>
        </w:rPr>
        <w:t xml:space="preserve"> </w:t>
      </w:r>
      <w:r>
        <w:t>de</w:t>
      </w:r>
      <w:r>
        <w:rPr>
          <w:spacing w:val="-7"/>
        </w:rPr>
        <w:t xml:space="preserve"> </w:t>
      </w:r>
      <w:r>
        <w:t>este</w:t>
      </w:r>
      <w:r>
        <w:rPr>
          <w:spacing w:val="-7"/>
        </w:rPr>
        <w:t xml:space="preserve"> </w:t>
      </w:r>
      <w:r>
        <w:t>negocio</w:t>
      </w:r>
      <w:r w:rsidR="009E048A">
        <w:rPr>
          <w:rStyle w:val="Refdenotaalpie"/>
        </w:rPr>
        <w:footnoteReference w:id="526"/>
      </w:r>
      <w:r>
        <w:t>.</w:t>
      </w:r>
      <w:r>
        <w:rPr>
          <w:spacing w:val="-7"/>
        </w:rPr>
        <w:t xml:space="preserve"> </w:t>
      </w:r>
      <w:r>
        <w:t>Por</w:t>
      </w:r>
      <w:r>
        <w:rPr>
          <w:spacing w:val="-7"/>
        </w:rPr>
        <w:t xml:space="preserve"> </w:t>
      </w:r>
      <w:r>
        <w:t>otra</w:t>
      </w:r>
      <w:r>
        <w:rPr>
          <w:spacing w:val="-7"/>
        </w:rPr>
        <w:t xml:space="preserve"> </w:t>
      </w:r>
      <w:r>
        <w:t>parte,</w:t>
      </w:r>
      <w:r>
        <w:rPr>
          <w:spacing w:val="-7"/>
        </w:rPr>
        <w:t xml:space="preserve"> </w:t>
      </w:r>
      <w:r>
        <w:t>la</w:t>
      </w:r>
      <w:r>
        <w:rPr>
          <w:spacing w:val="-7"/>
        </w:rPr>
        <w:t xml:space="preserve"> </w:t>
      </w:r>
      <w:r>
        <w:t>vida</w:t>
      </w:r>
      <w:r>
        <w:rPr>
          <w:spacing w:val="-7"/>
        </w:rPr>
        <w:t xml:space="preserve"> </w:t>
      </w:r>
      <w:r>
        <w:t>campesina</w:t>
      </w:r>
      <w:r>
        <w:rPr>
          <w:spacing w:val="-7"/>
        </w:rPr>
        <w:t xml:space="preserve"> </w:t>
      </w:r>
      <w:r>
        <w:t>se</w:t>
      </w:r>
      <w:r>
        <w:rPr>
          <w:spacing w:val="-7"/>
        </w:rPr>
        <w:t xml:space="preserve"> </w:t>
      </w:r>
      <w:r>
        <w:t>vio</w:t>
      </w:r>
      <w:r>
        <w:rPr>
          <w:spacing w:val="-7"/>
        </w:rPr>
        <w:t xml:space="preserve"> </w:t>
      </w:r>
      <w:r>
        <w:t>alterada</w:t>
      </w:r>
      <w:r>
        <w:rPr>
          <w:spacing w:val="-7"/>
        </w:rPr>
        <w:t xml:space="preserve"> </w:t>
      </w:r>
      <w:r>
        <w:t>por</w:t>
      </w:r>
      <w:r>
        <w:rPr>
          <w:spacing w:val="-7"/>
        </w:rPr>
        <w:t xml:space="preserve"> </w:t>
      </w:r>
      <w:r>
        <w:t>la entrada</w:t>
      </w:r>
      <w:r>
        <w:rPr>
          <w:spacing w:val="-10"/>
        </w:rPr>
        <w:t xml:space="preserve"> </w:t>
      </w:r>
      <w:r>
        <w:t>de</w:t>
      </w:r>
      <w:r>
        <w:rPr>
          <w:spacing w:val="-10"/>
        </w:rPr>
        <w:t xml:space="preserve"> </w:t>
      </w:r>
      <w:r>
        <w:t>los</w:t>
      </w:r>
      <w:r>
        <w:rPr>
          <w:spacing w:val="-11"/>
        </w:rPr>
        <w:t xml:space="preserve"> </w:t>
      </w:r>
      <w:r>
        <w:t>narcotraficantes.</w:t>
      </w:r>
      <w:r>
        <w:rPr>
          <w:spacing w:val="-11"/>
        </w:rPr>
        <w:t xml:space="preserve"> </w:t>
      </w:r>
      <w:r>
        <w:t>En</w:t>
      </w:r>
      <w:r>
        <w:rPr>
          <w:spacing w:val="-11"/>
        </w:rPr>
        <w:t xml:space="preserve"> </w:t>
      </w:r>
      <w:r>
        <w:t>el</w:t>
      </w:r>
      <w:r>
        <w:rPr>
          <w:spacing w:val="-11"/>
        </w:rPr>
        <w:t xml:space="preserve"> </w:t>
      </w:r>
      <w:r>
        <w:t>Magdalena</w:t>
      </w:r>
      <w:r>
        <w:rPr>
          <w:spacing w:val="-10"/>
        </w:rPr>
        <w:t xml:space="preserve"> </w:t>
      </w:r>
      <w:r>
        <w:t>Medio,</w:t>
      </w:r>
      <w:r>
        <w:rPr>
          <w:spacing w:val="-11"/>
        </w:rPr>
        <w:t xml:space="preserve"> </w:t>
      </w:r>
      <w:r>
        <w:t>por</w:t>
      </w:r>
      <w:r>
        <w:rPr>
          <w:spacing w:val="-10"/>
        </w:rPr>
        <w:t xml:space="preserve"> </w:t>
      </w:r>
      <w:r>
        <w:t>ejemplo,</w:t>
      </w:r>
      <w:r>
        <w:rPr>
          <w:spacing w:val="-11"/>
        </w:rPr>
        <w:t xml:space="preserve"> </w:t>
      </w:r>
      <w:r>
        <w:t>los</w:t>
      </w:r>
      <w:r>
        <w:rPr>
          <w:spacing w:val="-11"/>
        </w:rPr>
        <w:t xml:space="preserve"> </w:t>
      </w:r>
      <w:r>
        <w:t>campesinos</w:t>
      </w:r>
      <w:r>
        <w:rPr>
          <w:spacing w:val="-11"/>
        </w:rPr>
        <w:t xml:space="preserve"> </w:t>
      </w:r>
      <w:r>
        <w:t>relatan que,</w:t>
      </w:r>
      <w:r>
        <w:rPr>
          <w:spacing w:val="-15"/>
        </w:rPr>
        <w:t xml:space="preserve"> </w:t>
      </w:r>
      <w:r>
        <w:t>en</w:t>
      </w:r>
      <w:r>
        <w:rPr>
          <w:spacing w:val="-15"/>
        </w:rPr>
        <w:t xml:space="preserve"> </w:t>
      </w:r>
      <w:r>
        <w:t>áreas</w:t>
      </w:r>
      <w:r>
        <w:rPr>
          <w:spacing w:val="-15"/>
        </w:rPr>
        <w:t xml:space="preserve"> </w:t>
      </w:r>
      <w:r>
        <w:t>de</w:t>
      </w:r>
      <w:r>
        <w:rPr>
          <w:spacing w:val="-15"/>
        </w:rPr>
        <w:t xml:space="preserve"> </w:t>
      </w:r>
      <w:r>
        <w:t>laboratorios</w:t>
      </w:r>
      <w:r>
        <w:rPr>
          <w:spacing w:val="-15"/>
        </w:rPr>
        <w:t xml:space="preserve"> </w:t>
      </w:r>
      <w:r>
        <w:t>y</w:t>
      </w:r>
      <w:r>
        <w:rPr>
          <w:spacing w:val="-15"/>
        </w:rPr>
        <w:t xml:space="preserve"> </w:t>
      </w:r>
      <w:r>
        <w:t>presencia</w:t>
      </w:r>
      <w:r>
        <w:rPr>
          <w:spacing w:val="-15"/>
        </w:rPr>
        <w:t xml:space="preserve"> </w:t>
      </w:r>
      <w:r>
        <w:t>de</w:t>
      </w:r>
      <w:r>
        <w:rPr>
          <w:spacing w:val="-15"/>
        </w:rPr>
        <w:t xml:space="preserve"> </w:t>
      </w:r>
      <w:r>
        <w:t>traficantes</w:t>
      </w:r>
      <w:r>
        <w:rPr>
          <w:spacing w:val="-15"/>
        </w:rPr>
        <w:t xml:space="preserve"> </w:t>
      </w:r>
      <w:r>
        <w:t>para</w:t>
      </w:r>
      <w:r>
        <w:rPr>
          <w:spacing w:val="-15"/>
        </w:rPr>
        <w:t xml:space="preserve"> </w:t>
      </w:r>
      <w:r>
        <w:t>tareas</w:t>
      </w:r>
      <w:r>
        <w:rPr>
          <w:spacing w:val="-15"/>
        </w:rPr>
        <w:t xml:space="preserve"> </w:t>
      </w:r>
      <w:r>
        <w:t>en</w:t>
      </w:r>
      <w:r>
        <w:rPr>
          <w:spacing w:val="-15"/>
        </w:rPr>
        <w:t xml:space="preserve"> </w:t>
      </w:r>
      <w:r>
        <w:t>las</w:t>
      </w:r>
      <w:r>
        <w:rPr>
          <w:spacing w:val="-15"/>
        </w:rPr>
        <w:t xml:space="preserve"> </w:t>
      </w:r>
      <w:r>
        <w:t>fincas,</w:t>
      </w:r>
      <w:r>
        <w:rPr>
          <w:spacing w:val="-15"/>
        </w:rPr>
        <w:t xml:space="preserve"> </w:t>
      </w:r>
      <w:r>
        <w:t>se</w:t>
      </w:r>
      <w:r>
        <w:rPr>
          <w:spacing w:val="-15"/>
        </w:rPr>
        <w:t xml:space="preserve"> </w:t>
      </w:r>
      <w:r>
        <w:t>les</w:t>
      </w:r>
      <w:r>
        <w:rPr>
          <w:spacing w:val="-15"/>
        </w:rPr>
        <w:t xml:space="preserve"> </w:t>
      </w:r>
      <w:r>
        <w:t>ofrecían pagos mucho mejores de lo que un campesino le podía ofrecer a un trabajador</w:t>
      </w:r>
      <w:r w:rsidR="009E048A">
        <w:rPr>
          <w:rStyle w:val="Refdenotaalpie"/>
        </w:rPr>
        <w:footnoteReference w:id="527"/>
      </w:r>
      <w:r>
        <w:t>. Al principio,</w:t>
      </w:r>
      <w:r>
        <w:rPr>
          <w:spacing w:val="-12"/>
        </w:rPr>
        <w:t xml:space="preserve"> </w:t>
      </w:r>
      <w:r>
        <w:t>con</w:t>
      </w:r>
      <w:r>
        <w:rPr>
          <w:spacing w:val="-12"/>
        </w:rPr>
        <w:t xml:space="preserve"> </w:t>
      </w:r>
      <w:r>
        <w:t>la</w:t>
      </w:r>
      <w:r>
        <w:rPr>
          <w:spacing w:val="-13"/>
        </w:rPr>
        <w:t xml:space="preserve"> </w:t>
      </w:r>
      <w:r>
        <w:t>llegada</w:t>
      </w:r>
      <w:r>
        <w:rPr>
          <w:spacing w:val="-13"/>
        </w:rPr>
        <w:t xml:space="preserve"> </w:t>
      </w:r>
      <w:r>
        <w:t>de</w:t>
      </w:r>
      <w:r>
        <w:rPr>
          <w:spacing w:val="-12"/>
        </w:rPr>
        <w:t xml:space="preserve"> </w:t>
      </w:r>
      <w:r>
        <w:t>las</w:t>
      </w:r>
      <w:r>
        <w:rPr>
          <w:spacing w:val="-13"/>
        </w:rPr>
        <w:t xml:space="preserve"> </w:t>
      </w:r>
      <w:r>
        <w:t>guerrillas</w:t>
      </w:r>
      <w:r>
        <w:rPr>
          <w:spacing w:val="-13"/>
        </w:rPr>
        <w:t xml:space="preserve"> </w:t>
      </w:r>
      <w:r>
        <w:t>a</w:t>
      </w:r>
      <w:r>
        <w:rPr>
          <w:spacing w:val="-13"/>
        </w:rPr>
        <w:t xml:space="preserve"> </w:t>
      </w:r>
      <w:r>
        <w:t>la</w:t>
      </w:r>
      <w:r>
        <w:rPr>
          <w:spacing w:val="-12"/>
        </w:rPr>
        <w:t xml:space="preserve"> </w:t>
      </w:r>
      <w:r>
        <w:t>región,</w:t>
      </w:r>
      <w:r>
        <w:rPr>
          <w:spacing w:val="-12"/>
        </w:rPr>
        <w:t xml:space="preserve"> </w:t>
      </w:r>
      <w:r>
        <w:t>hubo</w:t>
      </w:r>
      <w:r>
        <w:rPr>
          <w:spacing w:val="-12"/>
        </w:rPr>
        <w:t xml:space="preserve"> </w:t>
      </w:r>
      <w:r>
        <w:t>algunas</w:t>
      </w:r>
      <w:r>
        <w:rPr>
          <w:spacing w:val="-12"/>
        </w:rPr>
        <w:t xml:space="preserve"> </w:t>
      </w:r>
      <w:r>
        <w:t>que</w:t>
      </w:r>
      <w:r>
        <w:rPr>
          <w:spacing w:val="-12"/>
        </w:rPr>
        <w:t xml:space="preserve"> </w:t>
      </w:r>
      <w:r>
        <w:t>se</w:t>
      </w:r>
      <w:r>
        <w:rPr>
          <w:spacing w:val="-13"/>
        </w:rPr>
        <w:t xml:space="preserve"> </w:t>
      </w:r>
      <w:r>
        <w:t>opusieron</w:t>
      </w:r>
      <w:r>
        <w:rPr>
          <w:spacing w:val="-13"/>
        </w:rPr>
        <w:t xml:space="preserve"> </w:t>
      </w:r>
      <w:r>
        <w:t>al</w:t>
      </w:r>
      <w:r>
        <w:rPr>
          <w:spacing w:val="-14"/>
        </w:rPr>
        <w:t xml:space="preserve"> </w:t>
      </w:r>
      <w:r>
        <w:t>cultivo exclusivo de coca, como en el caso de las FARC-EP, el ELN o el M-19.</w:t>
      </w:r>
    </w:p>
    <w:p w:rsidR="003804AC" w:rsidRDefault="00AF18A5" w:rsidP="009E048A">
      <w:r>
        <w:t>«Esta guerrilla [M-19] comenzó a ordenar a la gente y decirles que no podían sembrar solo</w:t>
      </w:r>
      <w:r>
        <w:rPr>
          <w:spacing w:val="-7"/>
        </w:rPr>
        <w:t xml:space="preserve"> </w:t>
      </w:r>
      <w:r>
        <w:t>coca,</w:t>
      </w:r>
      <w:r>
        <w:rPr>
          <w:spacing w:val="-7"/>
        </w:rPr>
        <w:t xml:space="preserve"> </w:t>
      </w:r>
      <w:r>
        <w:t>que</w:t>
      </w:r>
      <w:r>
        <w:rPr>
          <w:spacing w:val="-7"/>
        </w:rPr>
        <w:t xml:space="preserve"> </w:t>
      </w:r>
      <w:r>
        <w:t>debían</w:t>
      </w:r>
      <w:r>
        <w:rPr>
          <w:spacing w:val="-7"/>
        </w:rPr>
        <w:t xml:space="preserve"> </w:t>
      </w:r>
      <w:r>
        <w:t>sembrar</w:t>
      </w:r>
      <w:r>
        <w:rPr>
          <w:spacing w:val="-7"/>
        </w:rPr>
        <w:t xml:space="preserve"> </w:t>
      </w:r>
      <w:r>
        <w:t>otros</w:t>
      </w:r>
      <w:r>
        <w:rPr>
          <w:spacing w:val="-8"/>
        </w:rPr>
        <w:t xml:space="preserve"> </w:t>
      </w:r>
      <w:r>
        <w:t>cultivos</w:t>
      </w:r>
      <w:r>
        <w:rPr>
          <w:spacing w:val="-7"/>
        </w:rPr>
        <w:t xml:space="preserve"> </w:t>
      </w:r>
      <w:r>
        <w:t>para</w:t>
      </w:r>
      <w:r>
        <w:rPr>
          <w:spacing w:val="-7"/>
        </w:rPr>
        <w:t xml:space="preserve"> </w:t>
      </w:r>
      <w:r>
        <w:t>la</w:t>
      </w:r>
      <w:r>
        <w:rPr>
          <w:spacing w:val="-7"/>
        </w:rPr>
        <w:t xml:space="preserve"> </w:t>
      </w:r>
      <w:r>
        <w:t>alimentación.</w:t>
      </w:r>
      <w:r>
        <w:rPr>
          <w:spacing w:val="-7"/>
        </w:rPr>
        <w:t xml:space="preserve"> </w:t>
      </w:r>
      <w:r>
        <w:t>Tiempo</w:t>
      </w:r>
      <w:r>
        <w:rPr>
          <w:spacing w:val="-7"/>
        </w:rPr>
        <w:t xml:space="preserve"> </w:t>
      </w:r>
      <w:r>
        <w:t>después,</w:t>
      </w:r>
      <w:r>
        <w:rPr>
          <w:spacing w:val="-7"/>
        </w:rPr>
        <w:t xml:space="preserve"> </w:t>
      </w:r>
      <w:r>
        <w:t>del</w:t>
      </w:r>
      <w:r>
        <w:rPr>
          <w:spacing w:val="-7"/>
        </w:rPr>
        <w:t xml:space="preserve"> </w:t>
      </w:r>
      <w:r>
        <w:t>90</w:t>
      </w:r>
      <w:r>
        <w:rPr>
          <w:spacing w:val="-7"/>
        </w:rPr>
        <w:t xml:space="preserve"> </w:t>
      </w:r>
      <w:r>
        <w:t xml:space="preserve">al 92 fue el sembradío de coca más grande porque la gente llegó a tumbar monte y sembrar, pero del 94 al 96 fue el apogeo del cultivo de coca. Y yo recuerdo que muchos jóvenes en esa época nos fuimos a trabajar a los cultivos de coca como </w:t>
      </w:r>
      <w:r>
        <w:lastRenderedPageBreak/>
        <w:t>raspadores de hoja y eso nos sirvió</w:t>
      </w:r>
      <w:r>
        <w:rPr>
          <w:spacing w:val="-7"/>
        </w:rPr>
        <w:t xml:space="preserve"> </w:t>
      </w:r>
      <w:r>
        <w:t>para</w:t>
      </w:r>
      <w:r>
        <w:rPr>
          <w:spacing w:val="-7"/>
        </w:rPr>
        <w:t xml:space="preserve"> </w:t>
      </w:r>
      <w:r>
        <w:t>continuar</w:t>
      </w:r>
      <w:r>
        <w:rPr>
          <w:spacing w:val="-7"/>
        </w:rPr>
        <w:t xml:space="preserve"> </w:t>
      </w:r>
      <w:r>
        <w:t>nuestros</w:t>
      </w:r>
      <w:r>
        <w:rPr>
          <w:spacing w:val="-7"/>
        </w:rPr>
        <w:t xml:space="preserve"> </w:t>
      </w:r>
      <w:r>
        <w:t>estudios.</w:t>
      </w:r>
      <w:r>
        <w:rPr>
          <w:spacing w:val="-7"/>
        </w:rPr>
        <w:t xml:space="preserve"> </w:t>
      </w:r>
      <w:r>
        <w:t>Es</w:t>
      </w:r>
      <w:r>
        <w:rPr>
          <w:spacing w:val="-7"/>
        </w:rPr>
        <w:t xml:space="preserve"> </w:t>
      </w:r>
      <w:r>
        <w:t>que</w:t>
      </w:r>
      <w:r>
        <w:rPr>
          <w:spacing w:val="-7"/>
        </w:rPr>
        <w:t xml:space="preserve"> </w:t>
      </w:r>
      <w:r>
        <w:t>yo</w:t>
      </w:r>
      <w:r>
        <w:rPr>
          <w:spacing w:val="-7"/>
        </w:rPr>
        <w:t xml:space="preserve"> </w:t>
      </w:r>
      <w:r>
        <w:t>sí</w:t>
      </w:r>
      <w:r>
        <w:rPr>
          <w:spacing w:val="-7"/>
        </w:rPr>
        <w:t xml:space="preserve"> </w:t>
      </w:r>
      <w:r>
        <w:t>le</w:t>
      </w:r>
      <w:r>
        <w:rPr>
          <w:spacing w:val="-7"/>
        </w:rPr>
        <w:t xml:space="preserve"> </w:t>
      </w:r>
      <w:r>
        <w:t>digo</w:t>
      </w:r>
      <w:r>
        <w:rPr>
          <w:spacing w:val="-7"/>
        </w:rPr>
        <w:t xml:space="preserve"> </w:t>
      </w:r>
      <w:r>
        <w:t>que</w:t>
      </w:r>
      <w:r>
        <w:rPr>
          <w:spacing w:val="-7"/>
        </w:rPr>
        <w:t xml:space="preserve"> </w:t>
      </w:r>
      <w:r>
        <w:t>gracias</w:t>
      </w:r>
      <w:r>
        <w:rPr>
          <w:spacing w:val="-7"/>
        </w:rPr>
        <w:t xml:space="preserve"> </w:t>
      </w:r>
      <w:r>
        <w:t>a</w:t>
      </w:r>
      <w:r>
        <w:rPr>
          <w:spacing w:val="-7"/>
        </w:rPr>
        <w:t xml:space="preserve"> </w:t>
      </w:r>
      <w:r>
        <w:t>ese</w:t>
      </w:r>
      <w:r>
        <w:rPr>
          <w:spacing w:val="-7"/>
        </w:rPr>
        <w:t xml:space="preserve"> </w:t>
      </w:r>
      <w:r>
        <w:t>cultivo</w:t>
      </w:r>
      <w:r>
        <w:rPr>
          <w:spacing w:val="-7"/>
        </w:rPr>
        <w:t xml:space="preserve"> </w:t>
      </w:r>
      <w:r>
        <w:t>muchos pudimos estudiar porque el Estado solo les daba educación a los ricos»</w:t>
      </w:r>
      <w:r w:rsidR="009E048A">
        <w:rPr>
          <w:rStyle w:val="Refdenotaalpie"/>
        </w:rPr>
        <w:footnoteReference w:id="528"/>
      </w:r>
      <w:r>
        <w:t>.</w:t>
      </w:r>
    </w:p>
    <w:p w:rsidR="003804AC" w:rsidRDefault="00AF18A5" w:rsidP="009E048A">
      <w:r>
        <w:t>Los pueblos étnicos también han sufrido un impacto específico. La Comisión pudo evidenciar</w:t>
      </w:r>
      <w:r>
        <w:rPr>
          <w:spacing w:val="28"/>
        </w:rPr>
        <w:t xml:space="preserve"> </w:t>
      </w:r>
      <w:r>
        <w:t>que</w:t>
      </w:r>
      <w:r>
        <w:rPr>
          <w:spacing w:val="28"/>
        </w:rPr>
        <w:t xml:space="preserve"> </w:t>
      </w:r>
      <w:r>
        <w:t>existen</w:t>
      </w:r>
      <w:r>
        <w:rPr>
          <w:spacing w:val="28"/>
        </w:rPr>
        <w:t xml:space="preserve"> </w:t>
      </w:r>
      <w:r>
        <w:t>diecisiete</w:t>
      </w:r>
      <w:r>
        <w:rPr>
          <w:spacing w:val="28"/>
        </w:rPr>
        <w:t xml:space="preserve"> </w:t>
      </w:r>
      <w:proofErr w:type="spellStart"/>
      <w:r>
        <w:t>macroterritorios</w:t>
      </w:r>
      <w:proofErr w:type="spellEnd"/>
      <w:r>
        <w:rPr>
          <w:spacing w:val="28"/>
        </w:rPr>
        <w:t xml:space="preserve"> </w:t>
      </w:r>
      <w:r>
        <w:t>interétnicos</w:t>
      </w:r>
      <w:r w:rsidR="009E048A">
        <w:rPr>
          <w:rStyle w:val="Refdenotaalpie"/>
        </w:rPr>
        <w:footnoteReference w:id="529"/>
      </w:r>
      <w:r>
        <w:rPr>
          <w:spacing w:val="28"/>
        </w:rPr>
        <w:t xml:space="preserve"> </w:t>
      </w:r>
      <w:r>
        <w:t>de</w:t>
      </w:r>
      <w:r>
        <w:rPr>
          <w:spacing w:val="29"/>
        </w:rPr>
        <w:t xml:space="preserve"> </w:t>
      </w:r>
      <w:r>
        <w:t>resguardos,</w:t>
      </w:r>
      <w:r>
        <w:rPr>
          <w:spacing w:val="28"/>
        </w:rPr>
        <w:t xml:space="preserve"> </w:t>
      </w:r>
      <w:r>
        <w:rPr>
          <w:spacing w:val="-2"/>
        </w:rPr>
        <w:t>territorios</w:t>
      </w:r>
      <w:bookmarkStart w:id="693" w:name="_bookmark587"/>
      <w:bookmarkStart w:id="694" w:name="_bookmark588"/>
      <w:bookmarkStart w:id="695" w:name="_bookmark589"/>
      <w:bookmarkStart w:id="696" w:name="_bookmark590"/>
      <w:bookmarkEnd w:id="693"/>
      <w:bookmarkEnd w:id="694"/>
      <w:bookmarkEnd w:id="695"/>
      <w:bookmarkEnd w:id="696"/>
      <w:r w:rsidR="009E048A">
        <w:rPr>
          <w:spacing w:val="-2"/>
        </w:rPr>
        <w:t xml:space="preserve"> </w:t>
      </w:r>
      <w:r>
        <w:t>indígenas, territorios colectivos de comunidades negras, afrodescendientes, palenqueras y raizales</w:t>
      </w:r>
      <w:r>
        <w:rPr>
          <w:spacing w:val="-6"/>
        </w:rPr>
        <w:t xml:space="preserve"> </w:t>
      </w:r>
      <w:r>
        <w:t>en</w:t>
      </w:r>
      <w:r>
        <w:rPr>
          <w:spacing w:val="-6"/>
        </w:rPr>
        <w:t xml:space="preserve"> </w:t>
      </w:r>
      <w:r>
        <w:t>los</w:t>
      </w:r>
      <w:r>
        <w:rPr>
          <w:spacing w:val="-6"/>
        </w:rPr>
        <w:t xml:space="preserve"> </w:t>
      </w:r>
      <w:r>
        <w:t>que</w:t>
      </w:r>
      <w:r>
        <w:rPr>
          <w:spacing w:val="-6"/>
        </w:rPr>
        <w:t xml:space="preserve"> </w:t>
      </w:r>
      <w:r>
        <w:t>se</w:t>
      </w:r>
      <w:r>
        <w:rPr>
          <w:spacing w:val="-6"/>
        </w:rPr>
        <w:t xml:space="preserve"> </w:t>
      </w:r>
      <w:r>
        <w:t>han</w:t>
      </w:r>
      <w:r>
        <w:rPr>
          <w:spacing w:val="-6"/>
        </w:rPr>
        <w:t xml:space="preserve"> </w:t>
      </w:r>
      <w:r>
        <w:t>establecido</w:t>
      </w:r>
      <w:r>
        <w:rPr>
          <w:spacing w:val="-6"/>
        </w:rPr>
        <w:t xml:space="preserve"> </w:t>
      </w:r>
      <w:r>
        <w:t>diferentes</w:t>
      </w:r>
      <w:r>
        <w:rPr>
          <w:spacing w:val="-7"/>
        </w:rPr>
        <w:t xml:space="preserve"> </w:t>
      </w:r>
      <w:r>
        <w:t>grupos</w:t>
      </w:r>
      <w:r>
        <w:rPr>
          <w:spacing w:val="-6"/>
        </w:rPr>
        <w:t xml:space="preserve"> </w:t>
      </w:r>
      <w:r>
        <w:t>armados</w:t>
      </w:r>
      <w:r>
        <w:rPr>
          <w:spacing w:val="-6"/>
        </w:rPr>
        <w:t xml:space="preserve"> </w:t>
      </w:r>
      <w:r>
        <w:t>y</w:t>
      </w:r>
      <w:r>
        <w:rPr>
          <w:spacing w:val="-6"/>
        </w:rPr>
        <w:t xml:space="preserve"> </w:t>
      </w:r>
      <w:r>
        <w:t>donde</w:t>
      </w:r>
      <w:r>
        <w:rPr>
          <w:spacing w:val="-5"/>
        </w:rPr>
        <w:t xml:space="preserve"> </w:t>
      </w:r>
      <w:r>
        <w:t>se</w:t>
      </w:r>
      <w:r>
        <w:rPr>
          <w:spacing w:val="-6"/>
        </w:rPr>
        <w:t xml:space="preserve"> </w:t>
      </w:r>
      <w:r>
        <w:t>han</w:t>
      </w:r>
      <w:r>
        <w:rPr>
          <w:spacing w:val="-6"/>
        </w:rPr>
        <w:t xml:space="preserve"> </w:t>
      </w:r>
      <w:r>
        <w:t>disputado</w:t>
      </w:r>
      <w:r>
        <w:rPr>
          <w:spacing w:val="-6"/>
        </w:rPr>
        <w:t xml:space="preserve"> </w:t>
      </w:r>
      <w:r>
        <w:t>el control de</w:t>
      </w:r>
      <w:r>
        <w:rPr>
          <w:spacing w:val="-1"/>
        </w:rPr>
        <w:t xml:space="preserve"> </w:t>
      </w:r>
      <w:r>
        <w:t>la</w:t>
      </w:r>
      <w:r>
        <w:rPr>
          <w:spacing w:val="-1"/>
        </w:rPr>
        <w:t xml:space="preserve"> </w:t>
      </w:r>
      <w:r>
        <w:t>población y</w:t>
      </w:r>
      <w:r>
        <w:rPr>
          <w:spacing w:val="-1"/>
        </w:rPr>
        <w:t xml:space="preserve"> </w:t>
      </w:r>
      <w:r>
        <w:t>las</w:t>
      </w:r>
      <w:r>
        <w:rPr>
          <w:spacing w:val="-1"/>
        </w:rPr>
        <w:t xml:space="preserve"> </w:t>
      </w:r>
      <w:r>
        <w:t>rentas para el desarrollo de</w:t>
      </w:r>
      <w:r>
        <w:rPr>
          <w:spacing w:val="-1"/>
        </w:rPr>
        <w:t xml:space="preserve"> </w:t>
      </w:r>
      <w:r>
        <w:t>la</w:t>
      </w:r>
      <w:r>
        <w:rPr>
          <w:spacing w:val="-1"/>
        </w:rPr>
        <w:t xml:space="preserve"> </w:t>
      </w:r>
      <w:r>
        <w:t>coca o de economías</w:t>
      </w:r>
      <w:r>
        <w:rPr>
          <w:spacing w:val="-1"/>
        </w:rPr>
        <w:t xml:space="preserve"> </w:t>
      </w:r>
      <w:r>
        <w:t>extractivas. En el 2020, en 148 de los 767 resguardos existentes en Colombia había cultivos de coca. Y de los 200 consejos comunitarios reconocidos en el país, 100 presentaron afectación por cultivos de coca</w:t>
      </w:r>
      <w:r w:rsidR="003211D5">
        <w:rPr>
          <w:rStyle w:val="Refdenotaalpie"/>
        </w:rPr>
        <w:footnoteReference w:id="530"/>
      </w:r>
      <w:r>
        <w:t>. Sin embargo, también con mucha resistencia de gobernadores o líderes que incluso han sido asesinados por ello.</w:t>
      </w:r>
    </w:p>
    <w:p w:rsidR="003804AC" w:rsidRDefault="00AF18A5" w:rsidP="009E048A">
      <w:r>
        <w:t xml:space="preserve">San Andrés y Providencia, territorios que se han visto alejados del </w:t>
      </w:r>
      <w:r>
        <w:lastRenderedPageBreak/>
        <w:t>conflicto armado interno,</w:t>
      </w:r>
      <w:r>
        <w:rPr>
          <w:spacing w:val="-13"/>
        </w:rPr>
        <w:t xml:space="preserve"> </w:t>
      </w:r>
      <w:r>
        <w:t>se</w:t>
      </w:r>
      <w:r>
        <w:rPr>
          <w:spacing w:val="-13"/>
        </w:rPr>
        <w:t xml:space="preserve"> </w:t>
      </w:r>
      <w:r>
        <w:t>convirtieron</w:t>
      </w:r>
      <w:r>
        <w:rPr>
          <w:spacing w:val="-13"/>
        </w:rPr>
        <w:t xml:space="preserve"> </w:t>
      </w:r>
      <w:r>
        <w:t>en</w:t>
      </w:r>
      <w:r>
        <w:rPr>
          <w:spacing w:val="-13"/>
        </w:rPr>
        <w:t xml:space="preserve"> </w:t>
      </w:r>
      <w:r>
        <w:t>lugares</w:t>
      </w:r>
      <w:r>
        <w:rPr>
          <w:spacing w:val="-13"/>
        </w:rPr>
        <w:t xml:space="preserve"> </w:t>
      </w:r>
      <w:r>
        <w:t>de</w:t>
      </w:r>
      <w:r>
        <w:rPr>
          <w:spacing w:val="-14"/>
        </w:rPr>
        <w:t xml:space="preserve"> </w:t>
      </w:r>
      <w:r>
        <w:t>paso</w:t>
      </w:r>
      <w:r>
        <w:rPr>
          <w:spacing w:val="-13"/>
        </w:rPr>
        <w:t xml:space="preserve"> </w:t>
      </w:r>
      <w:r>
        <w:t>estratégico</w:t>
      </w:r>
      <w:r>
        <w:rPr>
          <w:spacing w:val="-13"/>
        </w:rPr>
        <w:t xml:space="preserve"> </w:t>
      </w:r>
      <w:r>
        <w:t>de</w:t>
      </w:r>
      <w:r>
        <w:rPr>
          <w:spacing w:val="-13"/>
        </w:rPr>
        <w:t xml:space="preserve"> </w:t>
      </w:r>
      <w:r>
        <w:t>muchos</w:t>
      </w:r>
      <w:r>
        <w:rPr>
          <w:spacing w:val="-13"/>
        </w:rPr>
        <w:t xml:space="preserve"> </w:t>
      </w:r>
      <w:r>
        <w:t>narcotraficantes</w:t>
      </w:r>
      <w:r>
        <w:rPr>
          <w:spacing w:val="-13"/>
        </w:rPr>
        <w:t xml:space="preserve"> </w:t>
      </w:r>
      <w:r>
        <w:t>que</w:t>
      </w:r>
      <w:r>
        <w:rPr>
          <w:spacing w:val="-14"/>
        </w:rPr>
        <w:t xml:space="preserve"> </w:t>
      </w:r>
      <w:r>
        <w:t>debían acceder</w:t>
      </w:r>
      <w:r>
        <w:rPr>
          <w:spacing w:val="-15"/>
        </w:rPr>
        <w:t xml:space="preserve"> </w:t>
      </w:r>
      <w:r>
        <w:t>al</w:t>
      </w:r>
      <w:r>
        <w:rPr>
          <w:spacing w:val="-15"/>
        </w:rPr>
        <w:t xml:space="preserve"> </w:t>
      </w:r>
      <w:r>
        <w:t>Caribe</w:t>
      </w:r>
      <w:r>
        <w:rPr>
          <w:spacing w:val="-15"/>
        </w:rPr>
        <w:t xml:space="preserve"> </w:t>
      </w:r>
      <w:r>
        <w:t>e</w:t>
      </w:r>
      <w:r>
        <w:rPr>
          <w:spacing w:val="-15"/>
        </w:rPr>
        <w:t xml:space="preserve"> </w:t>
      </w:r>
      <w:r>
        <w:t>involucraron</w:t>
      </w:r>
      <w:r>
        <w:rPr>
          <w:spacing w:val="-15"/>
        </w:rPr>
        <w:t xml:space="preserve"> </w:t>
      </w:r>
      <w:r>
        <w:t>a</w:t>
      </w:r>
      <w:r>
        <w:rPr>
          <w:spacing w:val="-15"/>
        </w:rPr>
        <w:t xml:space="preserve"> </w:t>
      </w:r>
      <w:r>
        <w:t>población</w:t>
      </w:r>
      <w:r>
        <w:rPr>
          <w:spacing w:val="-15"/>
        </w:rPr>
        <w:t xml:space="preserve"> </w:t>
      </w:r>
      <w:r>
        <w:t>que</w:t>
      </w:r>
      <w:r>
        <w:rPr>
          <w:spacing w:val="-15"/>
        </w:rPr>
        <w:t xml:space="preserve"> </w:t>
      </w:r>
      <w:r>
        <w:t>supiera</w:t>
      </w:r>
      <w:r>
        <w:rPr>
          <w:spacing w:val="-15"/>
        </w:rPr>
        <w:t xml:space="preserve"> </w:t>
      </w:r>
      <w:r>
        <w:t>de</w:t>
      </w:r>
      <w:r>
        <w:rPr>
          <w:spacing w:val="-15"/>
        </w:rPr>
        <w:t xml:space="preserve"> </w:t>
      </w:r>
      <w:r>
        <w:t>navegación.</w:t>
      </w:r>
      <w:r>
        <w:rPr>
          <w:spacing w:val="-15"/>
        </w:rPr>
        <w:t xml:space="preserve"> </w:t>
      </w:r>
      <w:r>
        <w:t>Los</w:t>
      </w:r>
      <w:r>
        <w:rPr>
          <w:spacing w:val="-15"/>
        </w:rPr>
        <w:t xml:space="preserve"> </w:t>
      </w:r>
      <w:r>
        <w:t>raizales,</w:t>
      </w:r>
      <w:r>
        <w:rPr>
          <w:spacing w:val="-15"/>
        </w:rPr>
        <w:t xml:space="preserve"> </w:t>
      </w:r>
      <w:r>
        <w:t>jóvenes pescadores y la gente diestra en el mar terminaron involucrados en estas tareas que también detonaron violencias</w:t>
      </w:r>
      <w:r w:rsidR="003211D5">
        <w:rPr>
          <w:rStyle w:val="Refdenotaalpie"/>
        </w:rPr>
        <w:footnoteReference w:id="531"/>
      </w:r>
      <w:r>
        <w:t>. Un informe entregado a la Comisión da cuenta de 700 muertos en los últimos diez años, 250 desaparecidos y cientos de hombres encarcelados en Colombia y en Estados Unidos pertenecientes a este archipiélago</w:t>
      </w:r>
      <w:r w:rsidR="003211D5">
        <w:rPr>
          <w:rStyle w:val="Refdenotaalpie"/>
        </w:rPr>
        <w:footnoteReference w:id="532"/>
      </w:r>
      <w:r>
        <w:t>. La UIAF también sospecha lavado de activos en esta región por su carácter de zona aduanera especial</w:t>
      </w:r>
      <w:r w:rsidR="003211D5">
        <w:rPr>
          <w:rStyle w:val="Refdenotaalpie"/>
        </w:rPr>
        <w:footnoteReference w:id="533"/>
      </w:r>
      <w:r>
        <w:t>.</w:t>
      </w:r>
    </w:p>
    <w:p w:rsidR="003804AC" w:rsidRPr="004E769A" w:rsidRDefault="00AF18A5" w:rsidP="004E769A">
      <w:r>
        <w:t>Finalmente,</w:t>
      </w:r>
      <w:r>
        <w:rPr>
          <w:spacing w:val="-7"/>
        </w:rPr>
        <w:t xml:space="preserve"> </w:t>
      </w:r>
      <w:r>
        <w:t>es</w:t>
      </w:r>
      <w:r>
        <w:rPr>
          <w:spacing w:val="-6"/>
        </w:rPr>
        <w:t xml:space="preserve"> </w:t>
      </w:r>
      <w:r>
        <w:t>importante</w:t>
      </w:r>
      <w:r>
        <w:rPr>
          <w:spacing w:val="-6"/>
        </w:rPr>
        <w:t xml:space="preserve"> </w:t>
      </w:r>
      <w:r>
        <w:t>señalar</w:t>
      </w:r>
      <w:r>
        <w:rPr>
          <w:spacing w:val="-6"/>
        </w:rPr>
        <w:t xml:space="preserve"> </w:t>
      </w:r>
      <w:r>
        <w:t>el</w:t>
      </w:r>
      <w:r>
        <w:rPr>
          <w:spacing w:val="-6"/>
        </w:rPr>
        <w:t xml:space="preserve"> </w:t>
      </w:r>
      <w:r>
        <w:t>impacto</w:t>
      </w:r>
      <w:r>
        <w:rPr>
          <w:spacing w:val="-6"/>
        </w:rPr>
        <w:t xml:space="preserve"> </w:t>
      </w:r>
      <w:r>
        <w:t>económico</w:t>
      </w:r>
      <w:r>
        <w:rPr>
          <w:spacing w:val="-6"/>
        </w:rPr>
        <w:t xml:space="preserve"> </w:t>
      </w:r>
      <w:r>
        <w:t>de</w:t>
      </w:r>
      <w:r>
        <w:rPr>
          <w:spacing w:val="-6"/>
        </w:rPr>
        <w:t xml:space="preserve"> </w:t>
      </w:r>
      <w:r>
        <w:t>la</w:t>
      </w:r>
      <w:r>
        <w:rPr>
          <w:spacing w:val="-7"/>
        </w:rPr>
        <w:t xml:space="preserve"> </w:t>
      </w:r>
      <w:r>
        <w:t>política</w:t>
      </w:r>
      <w:r>
        <w:rPr>
          <w:spacing w:val="-6"/>
        </w:rPr>
        <w:t xml:space="preserve"> </w:t>
      </w:r>
      <w:r>
        <w:t>antidrogas</w:t>
      </w:r>
      <w:r>
        <w:rPr>
          <w:spacing w:val="-6"/>
        </w:rPr>
        <w:t xml:space="preserve"> </w:t>
      </w:r>
      <w:r>
        <w:t>sobre</w:t>
      </w:r>
      <w:r>
        <w:rPr>
          <w:spacing w:val="-7"/>
        </w:rPr>
        <w:t xml:space="preserve"> </w:t>
      </w:r>
      <w:r>
        <w:t>la dinámica económica</w:t>
      </w:r>
      <w:r>
        <w:rPr>
          <w:spacing w:val="-1"/>
        </w:rPr>
        <w:t xml:space="preserve"> </w:t>
      </w:r>
      <w:r>
        <w:t>de</w:t>
      </w:r>
      <w:r>
        <w:rPr>
          <w:spacing w:val="-1"/>
        </w:rPr>
        <w:t xml:space="preserve"> </w:t>
      </w:r>
      <w:r>
        <w:t>las regiones</w:t>
      </w:r>
      <w:r>
        <w:rPr>
          <w:spacing w:val="-2"/>
        </w:rPr>
        <w:t xml:space="preserve"> </w:t>
      </w:r>
      <w:r>
        <w:t>con cultivos</w:t>
      </w:r>
      <w:r>
        <w:rPr>
          <w:spacing w:val="-1"/>
        </w:rPr>
        <w:t xml:space="preserve"> </w:t>
      </w:r>
      <w:r>
        <w:t>ilegalizados. La Comisión, en un ejercicio econométrico,</w:t>
      </w:r>
      <w:r>
        <w:rPr>
          <w:spacing w:val="-5"/>
        </w:rPr>
        <w:t xml:space="preserve"> </w:t>
      </w:r>
      <w:r>
        <w:t>mostró</w:t>
      </w:r>
      <w:r>
        <w:rPr>
          <w:spacing w:val="-5"/>
        </w:rPr>
        <w:t xml:space="preserve"> </w:t>
      </w:r>
      <w:r>
        <w:t>que</w:t>
      </w:r>
      <w:r>
        <w:rPr>
          <w:spacing w:val="-4"/>
        </w:rPr>
        <w:t xml:space="preserve"> </w:t>
      </w:r>
      <w:r>
        <w:t>hay</w:t>
      </w:r>
      <w:r>
        <w:rPr>
          <w:spacing w:val="-5"/>
        </w:rPr>
        <w:t xml:space="preserve"> </w:t>
      </w:r>
      <w:r>
        <w:t>choques</w:t>
      </w:r>
      <w:r>
        <w:rPr>
          <w:spacing w:val="-4"/>
        </w:rPr>
        <w:t xml:space="preserve"> </w:t>
      </w:r>
      <w:r>
        <w:t>a</w:t>
      </w:r>
      <w:r>
        <w:rPr>
          <w:spacing w:val="-6"/>
        </w:rPr>
        <w:t xml:space="preserve"> </w:t>
      </w:r>
      <w:r>
        <w:t>la</w:t>
      </w:r>
      <w:r>
        <w:rPr>
          <w:spacing w:val="-4"/>
        </w:rPr>
        <w:t xml:space="preserve"> </w:t>
      </w:r>
      <w:r>
        <w:t>economía</w:t>
      </w:r>
      <w:r>
        <w:rPr>
          <w:spacing w:val="-6"/>
        </w:rPr>
        <w:t xml:space="preserve"> </w:t>
      </w:r>
      <w:r>
        <w:t>formal</w:t>
      </w:r>
      <w:r>
        <w:rPr>
          <w:spacing w:val="-7"/>
        </w:rPr>
        <w:t xml:space="preserve"> </w:t>
      </w:r>
      <w:r>
        <w:t>nacional</w:t>
      </w:r>
      <w:r>
        <w:rPr>
          <w:spacing w:val="-4"/>
        </w:rPr>
        <w:t xml:space="preserve"> </w:t>
      </w:r>
      <w:r>
        <w:t>cuando</w:t>
      </w:r>
      <w:r>
        <w:rPr>
          <w:spacing w:val="-5"/>
        </w:rPr>
        <w:t xml:space="preserve"> </w:t>
      </w:r>
      <w:r>
        <w:t>se</w:t>
      </w:r>
      <w:r>
        <w:rPr>
          <w:spacing w:val="-4"/>
        </w:rPr>
        <w:t xml:space="preserve"> </w:t>
      </w:r>
      <w:r>
        <w:t>desarrollan algunas</w:t>
      </w:r>
      <w:r>
        <w:rPr>
          <w:spacing w:val="77"/>
        </w:rPr>
        <w:t xml:space="preserve"> </w:t>
      </w:r>
      <w:r>
        <w:t>estrategias</w:t>
      </w:r>
      <w:r>
        <w:rPr>
          <w:spacing w:val="80"/>
        </w:rPr>
        <w:t xml:space="preserve"> </w:t>
      </w:r>
      <w:r>
        <w:t>de</w:t>
      </w:r>
      <w:r>
        <w:rPr>
          <w:spacing w:val="78"/>
        </w:rPr>
        <w:t xml:space="preserve"> </w:t>
      </w:r>
      <w:r>
        <w:t>interdicción</w:t>
      </w:r>
      <w:r>
        <w:rPr>
          <w:spacing w:val="79"/>
        </w:rPr>
        <w:t xml:space="preserve"> </w:t>
      </w:r>
      <w:r>
        <w:t>de</w:t>
      </w:r>
      <w:r>
        <w:rPr>
          <w:spacing w:val="79"/>
        </w:rPr>
        <w:t xml:space="preserve"> </w:t>
      </w:r>
      <w:r>
        <w:t>drogas</w:t>
      </w:r>
      <w:r>
        <w:rPr>
          <w:spacing w:val="79"/>
        </w:rPr>
        <w:t xml:space="preserve"> </w:t>
      </w:r>
      <w:r>
        <w:t>en</w:t>
      </w:r>
      <w:r>
        <w:rPr>
          <w:spacing w:val="79"/>
        </w:rPr>
        <w:t xml:space="preserve"> </w:t>
      </w:r>
      <w:r>
        <w:t>los</w:t>
      </w:r>
      <w:r>
        <w:rPr>
          <w:spacing w:val="79"/>
        </w:rPr>
        <w:t xml:space="preserve"> </w:t>
      </w:r>
      <w:r>
        <w:t>territorios.</w:t>
      </w:r>
      <w:r>
        <w:rPr>
          <w:spacing w:val="79"/>
        </w:rPr>
        <w:t xml:space="preserve"> </w:t>
      </w:r>
      <w:r>
        <w:t>Específicamente,</w:t>
      </w:r>
      <w:r>
        <w:rPr>
          <w:spacing w:val="80"/>
        </w:rPr>
        <w:t xml:space="preserve"> </w:t>
      </w:r>
      <w:r>
        <w:rPr>
          <w:spacing w:val="-5"/>
        </w:rPr>
        <w:t>los</w:t>
      </w:r>
      <w:bookmarkStart w:id="697" w:name="_bookmark591"/>
      <w:bookmarkStart w:id="698" w:name="_bookmark592"/>
      <w:bookmarkStart w:id="699" w:name="_bookmark593"/>
      <w:bookmarkStart w:id="700" w:name="_bookmark594"/>
      <w:bookmarkEnd w:id="697"/>
      <w:bookmarkEnd w:id="698"/>
      <w:bookmarkEnd w:id="699"/>
      <w:bookmarkEnd w:id="700"/>
      <w:r w:rsidR="004E769A">
        <w:rPr>
          <w:spacing w:val="-5"/>
        </w:rPr>
        <w:t xml:space="preserve"> </w:t>
      </w:r>
      <w:r>
        <w:t>ejercicios de regresión nos muestran que la destrucción de laboratorios de pasta base tienen efectos negativos en las transacciones en efectivo realizadas en esos municipios del país</w:t>
      </w:r>
      <w:r w:rsidR="00C61FA0">
        <w:rPr>
          <w:rStyle w:val="Refdenotaalpie"/>
        </w:rPr>
        <w:footnoteReference w:id="534"/>
      </w:r>
      <w:r>
        <w:t>. De</w:t>
      </w:r>
      <w:r>
        <w:rPr>
          <w:spacing w:val="-3"/>
        </w:rPr>
        <w:t xml:space="preserve"> </w:t>
      </w:r>
      <w:r>
        <w:t>alguna</w:t>
      </w:r>
      <w:r>
        <w:rPr>
          <w:spacing w:val="-4"/>
        </w:rPr>
        <w:t xml:space="preserve"> </w:t>
      </w:r>
      <w:r>
        <w:t>forma,</w:t>
      </w:r>
      <w:r>
        <w:rPr>
          <w:spacing w:val="-5"/>
        </w:rPr>
        <w:t xml:space="preserve"> </w:t>
      </w:r>
      <w:r>
        <w:t>estos</w:t>
      </w:r>
      <w:r>
        <w:rPr>
          <w:spacing w:val="-6"/>
        </w:rPr>
        <w:t xml:space="preserve"> </w:t>
      </w:r>
      <w:r>
        <w:t>resultados</w:t>
      </w:r>
      <w:r>
        <w:rPr>
          <w:spacing w:val="-4"/>
        </w:rPr>
        <w:t xml:space="preserve"> </w:t>
      </w:r>
      <w:r>
        <w:t>exponen</w:t>
      </w:r>
      <w:r>
        <w:rPr>
          <w:spacing w:val="-3"/>
        </w:rPr>
        <w:t xml:space="preserve"> </w:t>
      </w:r>
      <w:r>
        <w:t>una</w:t>
      </w:r>
      <w:r>
        <w:rPr>
          <w:spacing w:val="-4"/>
        </w:rPr>
        <w:t xml:space="preserve"> </w:t>
      </w:r>
      <w:r>
        <w:t>contradicción</w:t>
      </w:r>
      <w:r>
        <w:rPr>
          <w:spacing w:val="-3"/>
        </w:rPr>
        <w:t xml:space="preserve"> </w:t>
      </w:r>
      <w:r>
        <w:t>en</w:t>
      </w:r>
      <w:r>
        <w:rPr>
          <w:spacing w:val="-3"/>
        </w:rPr>
        <w:t xml:space="preserve"> </w:t>
      </w:r>
      <w:r>
        <w:t>la</w:t>
      </w:r>
      <w:r>
        <w:rPr>
          <w:spacing w:val="-3"/>
        </w:rPr>
        <w:t xml:space="preserve"> </w:t>
      </w:r>
      <w:r>
        <w:t>política</w:t>
      </w:r>
      <w:r>
        <w:rPr>
          <w:spacing w:val="-3"/>
        </w:rPr>
        <w:t xml:space="preserve"> </w:t>
      </w:r>
      <w:r>
        <w:t>pública,</w:t>
      </w:r>
      <w:r>
        <w:rPr>
          <w:spacing w:val="-5"/>
        </w:rPr>
        <w:t xml:space="preserve"> </w:t>
      </w:r>
      <w:r>
        <w:t>en</w:t>
      </w:r>
      <w:r>
        <w:rPr>
          <w:spacing w:val="-3"/>
        </w:rPr>
        <w:t xml:space="preserve"> </w:t>
      </w:r>
      <w:r>
        <w:t>tanto parece</w:t>
      </w:r>
      <w:r>
        <w:rPr>
          <w:spacing w:val="-8"/>
        </w:rPr>
        <w:t xml:space="preserve"> </w:t>
      </w:r>
      <w:r>
        <w:t>que</w:t>
      </w:r>
      <w:r>
        <w:rPr>
          <w:spacing w:val="-9"/>
        </w:rPr>
        <w:t xml:space="preserve"> </w:t>
      </w:r>
      <w:r>
        <w:t>entran</w:t>
      </w:r>
      <w:r>
        <w:rPr>
          <w:spacing w:val="-8"/>
        </w:rPr>
        <w:t xml:space="preserve"> </w:t>
      </w:r>
      <w:r>
        <w:t>en</w:t>
      </w:r>
      <w:r>
        <w:rPr>
          <w:spacing w:val="-8"/>
        </w:rPr>
        <w:t xml:space="preserve"> </w:t>
      </w:r>
      <w:r>
        <w:t>conflicto</w:t>
      </w:r>
      <w:r>
        <w:rPr>
          <w:spacing w:val="-8"/>
        </w:rPr>
        <w:t xml:space="preserve"> </w:t>
      </w:r>
      <w:r>
        <w:t>dos</w:t>
      </w:r>
      <w:r>
        <w:rPr>
          <w:spacing w:val="-8"/>
        </w:rPr>
        <w:t xml:space="preserve"> </w:t>
      </w:r>
      <w:r>
        <w:t>intereses</w:t>
      </w:r>
      <w:r>
        <w:rPr>
          <w:spacing w:val="-8"/>
        </w:rPr>
        <w:t xml:space="preserve"> </w:t>
      </w:r>
      <w:r>
        <w:t>nacionales:</w:t>
      </w:r>
      <w:r>
        <w:rPr>
          <w:spacing w:val="-8"/>
        </w:rPr>
        <w:t xml:space="preserve"> </w:t>
      </w:r>
      <w:r>
        <w:t>por</w:t>
      </w:r>
      <w:r>
        <w:rPr>
          <w:spacing w:val="-8"/>
        </w:rPr>
        <w:t xml:space="preserve"> </w:t>
      </w:r>
      <w:r>
        <w:t>un</w:t>
      </w:r>
      <w:r>
        <w:rPr>
          <w:spacing w:val="-8"/>
        </w:rPr>
        <w:t xml:space="preserve"> </w:t>
      </w:r>
      <w:r>
        <w:t>lado,</w:t>
      </w:r>
      <w:r>
        <w:rPr>
          <w:spacing w:val="-8"/>
        </w:rPr>
        <w:t xml:space="preserve"> </w:t>
      </w:r>
      <w:r>
        <w:t>la</w:t>
      </w:r>
      <w:r>
        <w:rPr>
          <w:spacing w:val="-8"/>
        </w:rPr>
        <w:t xml:space="preserve"> </w:t>
      </w:r>
      <w:r>
        <w:t>política</w:t>
      </w:r>
      <w:r>
        <w:rPr>
          <w:spacing w:val="-8"/>
        </w:rPr>
        <w:t xml:space="preserve"> </w:t>
      </w:r>
      <w:r>
        <w:t>antidrogas,</w:t>
      </w:r>
      <w:r>
        <w:rPr>
          <w:spacing w:val="-8"/>
        </w:rPr>
        <w:t xml:space="preserve"> </w:t>
      </w:r>
      <w:r>
        <w:t>al intentar</w:t>
      </w:r>
      <w:r>
        <w:rPr>
          <w:spacing w:val="-5"/>
        </w:rPr>
        <w:t xml:space="preserve"> </w:t>
      </w:r>
      <w:r>
        <w:t>acabar</w:t>
      </w:r>
      <w:r>
        <w:rPr>
          <w:spacing w:val="-4"/>
        </w:rPr>
        <w:t xml:space="preserve"> </w:t>
      </w:r>
      <w:r>
        <w:t>con</w:t>
      </w:r>
      <w:r>
        <w:rPr>
          <w:spacing w:val="-6"/>
        </w:rPr>
        <w:t xml:space="preserve"> </w:t>
      </w:r>
      <w:r>
        <w:t>el</w:t>
      </w:r>
      <w:r>
        <w:rPr>
          <w:spacing w:val="-4"/>
        </w:rPr>
        <w:t xml:space="preserve"> </w:t>
      </w:r>
      <w:r>
        <w:t>negocio</w:t>
      </w:r>
      <w:r>
        <w:rPr>
          <w:spacing w:val="-5"/>
        </w:rPr>
        <w:t xml:space="preserve"> </w:t>
      </w:r>
      <w:r>
        <w:t>de</w:t>
      </w:r>
      <w:r>
        <w:rPr>
          <w:spacing w:val="-6"/>
        </w:rPr>
        <w:t xml:space="preserve"> </w:t>
      </w:r>
      <w:r>
        <w:t>la</w:t>
      </w:r>
      <w:r>
        <w:rPr>
          <w:spacing w:val="-6"/>
        </w:rPr>
        <w:t xml:space="preserve"> </w:t>
      </w:r>
      <w:r>
        <w:t>cocaína,</w:t>
      </w:r>
      <w:r>
        <w:rPr>
          <w:spacing w:val="-6"/>
        </w:rPr>
        <w:t xml:space="preserve"> </w:t>
      </w:r>
      <w:r>
        <w:t>afecta</w:t>
      </w:r>
      <w:r>
        <w:rPr>
          <w:spacing w:val="-4"/>
        </w:rPr>
        <w:t xml:space="preserve"> </w:t>
      </w:r>
      <w:r>
        <w:t>especialmente</w:t>
      </w:r>
      <w:r>
        <w:rPr>
          <w:spacing w:val="-6"/>
        </w:rPr>
        <w:t xml:space="preserve"> </w:t>
      </w:r>
      <w:r>
        <w:t>las</w:t>
      </w:r>
      <w:r>
        <w:rPr>
          <w:spacing w:val="-6"/>
        </w:rPr>
        <w:t xml:space="preserve"> </w:t>
      </w:r>
      <w:r>
        <w:t>dinámicas</w:t>
      </w:r>
      <w:r>
        <w:rPr>
          <w:spacing w:val="-4"/>
        </w:rPr>
        <w:t xml:space="preserve"> </w:t>
      </w:r>
      <w:r>
        <w:t xml:space="preserve">económicas de </w:t>
      </w:r>
      <w:r>
        <w:lastRenderedPageBreak/>
        <w:t>las regiones; y, por otro, los objetivos de desarrollo económico que demandan una ampliación de la formalización e inclusión de los hogares colombianos a los mercados y sectores formales, por ejemplo, el financiero, se afectan. Los análisis realizados muestran que lo primero tiene consecuencias negativas sobre lo segundo</w:t>
      </w:r>
      <w:r w:rsidR="00C61FA0">
        <w:rPr>
          <w:rStyle w:val="Refdenotaalpie"/>
        </w:rPr>
        <w:footnoteReference w:id="535"/>
      </w:r>
      <w:r>
        <w:t>.</w:t>
      </w:r>
    </w:p>
    <w:p w:rsidR="003804AC" w:rsidRDefault="00AF18A5" w:rsidP="00C61FA0">
      <w:r>
        <w:t>Otro estudio evidencia que entre 2000 y 2012 la destrucción de laboratorios provocó el aumento</w:t>
      </w:r>
      <w:r>
        <w:rPr>
          <w:spacing w:val="-9"/>
        </w:rPr>
        <w:t xml:space="preserve"> </w:t>
      </w:r>
      <w:r>
        <w:t>de</w:t>
      </w:r>
      <w:r>
        <w:rPr>
          <w:spacing w:val="-10"/>
        </w:rPr>
        <w:t xml:space="preserve"> </w:t>
      </w:r>
      <w:r>
        <w:t>los</w:t>
      </w:r>
      <w:r>
        <w:rPr>
          <w:spacing w:val="-9"/>
        </w:rPr>
        <w:t xml:space="preserve"> </w:t>
      </w:r>
      <w:r>
        <w:t>enfrentamientos</w:t>
      </w:r>
      <w:r>
        <w:rPr>
          <w:spacing w:val="-9"/>
        </w:rPr>
        <w:t xml:space="preserve"> </w:t>
      </w:r>
      <w:r>
        <w:t>entre</w:t>
      </w:r>
      <w:r>
        <w:rPr>
          <w:spacing w:val="-9"/>
        </w:rPr>
        <w:t xml:space="preserve"> </w:t>
      </w:r>
      <w:r>
        <w:t>guerrillas</w:t>
      </w:r>
      <w:r>
        <w:rPr>
          <w:spacing w:val="-9"/>
        </w:rPr>
        <w:t xml:space="preserve"> </w:t>
      </w:r>
      <w:r>
        <w:t>y</w:t>
      </w:r>
      <w:r>
        <w:rPr>
          <w:spacing w:val="-9"/>
        </w:rPr>
        <w:t xml:space="preserve"> </w:t>
      </w:r>
      <w:r>
        <w:t>paramilitares</w:t>
      </w:r>
      <w:r>
        <w:rPr>
          <w:spacing w:val="-9"/>
        </w:rPr>
        <w:t xml:space="preserve"> </w:t>
      </w:r>
      <w:r>
        <w:t>en</w:t>
      </w:r>
      <w:r>
        <w:rPr>
          <w:spacing w:val="-9"/>
        </w:rPr>
        <w:t xml:space="preserve"> </w:t>
      </w:r>
      <w:r>
        <w:t>los</w:t>
      </w:r>
      <w:r>
        <w:rPr>
          <w:spacing w:val="-9"/>
        </w:rPr>
        <w:t xml:space="preserve"> </w:t>
      </w:r>
      <w:r>
        <w:t>municipios</w:t>
      </w:r>
      <w:r>
        <w:rPr>
          <w:spacing w:val="-9"/>
        </w:rPr>
        <w:t xml:space="preserve"> </w:t>
      </w:r>
      <w:r>
        <w:t>que</w:t>
      </w:r>
      <w:r>
        <w:rPr>
          <w:spacing w:val="-9"/>
        </w:rPr>
        <w:t xml:space="preserve"> </w:t>
      </w:r>
      <w:r>
        <w:t>fueron objeto</w:t>
      </w:r>
      <w:r>
        <w:rPr>
          <w:spacing w:val="-1"/>
        </w:rPr>
        <w:t xml:space="preserve"> </w:t>
      </w:r>
      <w:r>
        <w:t>de</w:t>
      </w:r>
      <w:r>
        <w:rPr>
          <w:spacing w:val="-1"/>
        </w:rPr>
        <w:t xml:space="preserve"> </w:t>
      </w:r>
      <w:r>
        <w:t>tal</w:t>
      </w:r>
      <w:r>
        <w:rPr>
          <w:spacing w:val="-2"/>
        </w:rPr>
        <w:t xml:space="preserve"> </w:t>
      </w:r>
      <w:r>
        <w:t>destrucción</w:t>
      </w:r>
      <w:r w:rsidR="00B274E6">
        <w:rPr>
          <w:rStyle w:val="Refdenotaalpie"/>
        </w:rPr>
        <w:footnoteReference w:id="536"/>
      </w:r>
      <w:r>
        <w:t>.</w:t>
      </w:r>
      <w:r>
        <w:rPr>
          <w:spacing w:val="-1"/>
        </w:rPr>
        <w:t xml:space="preserve"> </w:t>
      </w:r>
      <w:r>
        <w:t>Así,</w:t>
      </w:r>
      <w:r>
        <w:rPr>
          <w:spacing w:val="-1"/>
        </w:rPr>
        <w:t xml:space="preserve"> </w:t>
      </w:r>
      <w:r>
        <w:t>al</w:t>
      </w:r>
      <w:r>
        <w:rPr>
          <w:spacing w:val="-1"/>
        </w:rPr>
        <w:t xml:space="preserve"> </w:t>
      </w:r>
      <w:r>
        <w:t>análisis</w:t>
      </w:r>
      <w:r>
        <w:rPr>
          <w:spacing w:val="-2"/>
        </w:rPr>
        <w:t xml:space="preserve"> </w:t>
      </w:r>
      <w:r>
        <w:t>del</w:t>
      </w:r>
      <w:r>
        <w:rPr>
          <w:spacing w:val="-2"/>
        </w:rPr>
        <w:t xml:space="preserve"> </w:t>
      </w:r>
      <w:r>
        <w:t>impacto</w:t>
      </w:r>
      <w:r>
        <w:rPr>
          <w:spacing w:val="-1"/>
        </w:rPr>
        <w:t xml:space="preserve"> </w:t>
      </w:r>
      <w:r>
        <w:t>sobre</w:t>
      </w:r>
      <w:r>
        <w:rPr>
          <w:spacing w:val="-1"/>
        </w:rPr>
        <w:t xml:space="preserve"> </w:t>
      </w:r>
      <w:r>
        <w:t>el</w:t>
      </w:r>
      <w:r>
        <w:rPr>
          <w:spacing w:val="-2"/>
        </w:rPr>
        <w:t xml:space="preserve"> </w:t>
      </w:r>
      <w:r>
        <w:t>desarrollo</w:t>
      </w:r>
      <w:r>
        <w:rPr>
          <w:spacing w:val="-2"/>
        </w:rPr>
        <w:t xml:space="preserve"> </w:t>
      </w:r>
      <w:r>
        <w:t>regional</w:t>
      </w:r>
      <w:r>
        <w:rPr>
          <w:spacing w:val="-2"/>
        </w:rPr>
        <w:t xml:space="preserve"> </w:t>
      </w:r>
      <w:r>
        <w:t>también se le debe sumar el impacto sobre la seguridad de las zonas.</w:t>
      </w:r>
    </w:p>
    <w:p w:rsidR="0011361F" w:rsidRDefault="00AF18A5" w:rsidP="004A6EF4">
      <w:pPr>
        <w:pStyle w:val="Ttulo3"/>
        <w:numPr>
          <w:ilvl w:val="1"/>
          <w:numId w:val="16"/>
        </w:numPr>
      </w:pPr>
      <w:bookmarkStart w:id="701" w:name="6.3._Narcotráfico,_poder_político_y_mode"/>
      <w:bookmarkStart w:id="702" w:name="_Toc112399607"/>
      <w:bookmarkEnd w:id="701"/>
      <w:r w:rsidRPr="00C61FA0">
        <w:t>Narcotráfico</w:t>
      </w:r>
      <w:r>
        <w:t>,</w:t>
      </w:r>
      <w:r>
        <w:rPr>
          <w:spacing w:val="-4"/>
        </w:rPr>
        <w:t xml:space="preserve"> </w:t>
      </w:r>
      <w:r>
        <w:t>poder</w:t>
      </w:r>
      <w:r>
        <w:rPr>
          <w:spacing w:val="-1"/>
        </w:rPr>
        <w:t xml:space="preserve"> </w:t>
      </w:r>
      <w:r>
        <w:t>político</w:t>
      </w:r>
      <w:r>
        <w:rPr>
          <w:spacing w:val="-2"/>
        </w:rPr>
        <w:t xml:space="preserve"> </w:t>
      </w:r>
      <w:r>
        <w:t>y</w:t>
      </w:r>
      <w:r>
        <w:rPr>
          <w:spacing w:val="-3"/>
        </w:rPr>
        <w:t xml:space="preserve"> </w:t>
      </w:r>
      <w:r>
        <w:t>modelo</w:t>
      </w:r>
      <w:r>
        <w:rPr>
          <w:spacing w:val="-1"/>
        </w:rPr>
        <w:t xml:space="preserve"> </w:t>
      </w:r>
      <w:r>
        <w:t>de</w:t>
      </w:r>
      <w:r>
        <w:rPr>
          <w:spacing w:val="-2"/>
        </w:rPr>
        <w:t xml:space="preserve"> Estado</w:t>
      </w:r>
      <w:bookmarkEnd w:id="702"/>
    </w:p>
    <w:p w:rsidR="003804AC" w:rsidRDefault="00AF18A5" w:rsidP="00B274E6">
      <w:r>
        <w:t>La investigación de la Comisión de la Verdad muestra que el narcotráfico ha estado imbricado</w:t>
      </w:r>
      <w:r>
        <w:rPr>
          <w:spacing w:val="-5"/>
        </w:rPr>
        <w:t xml:space="preserve"> </w:t>
      </w:r>
      <w:r>
        <w:t>con</w:t>
      </w:r>
      <w:r>
        <w:rPr>
          <w:spacing w:val="-5"/>
        </w:rPr>
        <w:t xml:space="preserve"> </w:t>
      </w:r>
      <w:r>
        <w:t>la</w:t>
      </w:r>
      <w:r>
        <w:rPr>
          <w:spacing w:val="-5"/>
        </w:rPr>
        <w:t xml:space="preserve"> </w:t>
      </w:r>
      <w:r>
        <w:t>economía</w:t>
      </w:r>
      <w:r>
        <w:rPr>
          <w:spacing w:val="-5"/>
        </w:rPr>
        <w:t xml:space="preserve"> </w:t>
      </w:r>
      <w:r>
        <w:t>de</w:t>
      </w:r>
      <w:r>
        <w:rPr>
          <w:spacing w:val="-5"/>
        </w:rPr>
        <w:t xml:space="preserve"> </w:t>
      </w:r>
      <w:r>
        <w:t>Colombia</w:t>
      </w:r>
      <w:r>
        <w:rPr>
          <w:spacing w:val="-5"/>
        </w:rPr>
        <w:t xml:space="preserve"> </w:t>
      </w:r>
      <w:r>
        <w:t>y</w:t>
      </w:r>
      <w:r>
        <w:rPr>
          <w:spacing w:val="-5"/>
        </w:rPr>
        <w:t xml:space="preserve"> </w:t>
      </w:r>
      <w:r>
        <w:t>el</w:t>
      </w:r>
      <w:r>
        <w:rPr>
          <w:spacing w:val="-5"/>
        </w:rPr>
        <w:t xml:space="preserve"> </w:t>
      </w:r>
      <w:r>
        <w:t>poder</w:t>
      </w:r>
      <w:r>
        <w:rPr>
          <w:spacing w:val="-5"/>
        </w:rPr>
        <w:t xml:space="preserve"> </w:t>
      </w:r>
      <w:r>
        <w:t>político</w:t>
      </w:r>
      <w:r>
        <w:rPr>
          <w:spacing w:val="-6"/>
        </w:rPr>
        <w:t xml:space="preserve"> </w:t>
      </w:r>
      <w:r>
        <w:t>desde</w:t>
      </w:r>
      <w:r>
        <w:rPr>
          <w:spacing w:val="-5"/>
        </w:rPr>
        <w:t xml:space="preserve"> </w:t>
      </w:r>
      <w:r>
        <w:t>los</w:t>
      </w:r>
      <w:r>
        <w:rPr>
          <w:spacing w:val="-5"/>
        </w:rPr>
        <w:t xml:space="preserve"> </w:t>
      </w:r>
      <w:r>
        <w:t>años</w:t>
      </w:r>
      <w:r>
        <w:rPr>
          <w:spacing w:val="-5"/>
        </w:rPr>
        <w:t xml:space="preserve"> </w:t>
      </w:r>
      <w:r>
        <w:t>sesenta</w:t>
      </w:r>
      <w:r w:rsidR="00B274E6">
        <w:rPr>
          <w:rStyle w:val="Refdenotaalpie"/>
        </w:rPr>
        <w:footnoteReference w:id="537"/>
      </w:r>
      <w:r>
        <w:t>.</w:t>
      </w:r>
      <w:r>
        <w:rPr>
          <w:spacing w:val="-5"/>
        </w:rPr>
        <w:t xml:space="preserve"> </w:t>
      </w:r>
      <w:r>
        <w:t>En</w:t>
      </w:r>
      <w:r>
        <w:rPr>
          <w:spacing w:val="-5"/>
        </w:rPr>
        <w:t xml:space="preserve"> </w:t>
      </w:r>
      <w:r>
        <w:t>los setenta, el narcotráfico alcanzó dimensiones internacionales y relaciones con algunas élites de</w:t>
      </w:r>
      <w:r>
        <w:rPr>
          <w:spacing w:val="-3"/>
        </w:rPr>
        <w:t xml:space="preserve"> </w:t>
      </w:r>
      <w:r>
        <w:t>la</w:t>
      </w:r>
      <w:r>
        <w:rPr>
          <w:spacing w:val="-3"/>
        </w:rPr>
        <w:t xml:space="preserve"> </w:t>
      </w:r>
      <w:r>
        <w:t>economía</w:t>
      </w:r>
      <w:r>
        <w:rPr>
          <w:spacing w:val="-3"/>
        </w:rPr>
        <w:t xml:space="preserve"> </w:t>
      </w:r>
      <w:r>
        <w:t>formal</w:t>
      </w:r>
      <w:r>
        <w:rPr>
          <w:spacing w:val="-4"/>
        </w:rPr>
        <w:t xml:space="preserve"> </w:t>
      </w:r>
      <w:r>
        <w:t>que</w:t>
      </w:r>
      <w:r>
        <w:rPr>
          <w:spacing w:val="-3"/>
        </w:rPr>
        <w:t xml:space="preserve"> </w:t>
      </w:r>
      <w:r>
        <w:t>aprovecharon</w:t>
      </w:r>
      <w:r>
        <w:rPr>
          <w:spacing w:val="-3"/>
        </w:rPr>
        <w:t xml:space="preserve"> </w:t>
      </w:r>
      <w:r>
        <w:t>infraestructuras,</w:t>
      </w:r>
      <w:r>
        <w:rPr>
          <w:spacing w:val="-5"/>
        </w:rPr>
        <w:t xml:space="preserve"> </w:t>
      </w:r>
      <w:r>
        <w:t>contactos</w:t>
      </w:r>
      <w:r>
        <w:rPr>
          <w:spacing w:val="-3"/>
        </w:rPr>
        <w:t xml:space="preserve"> </w:t>
      </w:r>
      <w:r>
        <w:t>y</w:t>
      </w:r>
      <w:r>
        <w:rPr>
          <w:spacing w:val="-3"/>
        </w:rPr>
        <w:t xml:space="preserve"> </w:t>
      </w:r>
      <w:r>
        <w:t>redes</w:t>
      </w:r>
      <w:r>
        <w:rPr>
          <w:spacing w:val="-3"/>
        </w:rPr>
        <w:t xml:space="preserve"> </w:t>
      </w:r>
      <w:r>
        <w:t>existentes</w:t>
      </w:r>
      <w:r>
        <w:rPr>
          <w:spacing w:val="-3"/>
        </w:rPr>
        <w:t xml:space="preserve"> </w:t>
      </w:r>
      <w:r>
        <w:t>(tales élites, además, crearon nuevas infraestructuras, como pistas para aviones que transportaban la</w:t>
      </w:r>
      <w:r>
        <w:rPr>
          <w:spacing w:val="-15"/>
        </w:rPr>
        <w:t xml:space="preserve"> </w:t>
      </w:r>
      <w:r>
        <w:t>droga</w:t>
      </w:r>
      <w:r>
        <w:rPr>
          <w:spacing w:val="-15"/>
        </w:rPr>
        <w:t xml:space="preserve"> </w:t>
      </w:r>
      <w:r>
        <w:t>y</w:t>
      </w:r>
      <w:r>
        <w:rPr>
          <w:spacing w:val="-15"/>
        </w:rPr>
        <w:t xml:space="preserve"> </w:t>
      </w:r>
      <w:r>
        <w:t>se</w:t>
      </w:r>
      <w:r>
        <w:rPr>
          <w:spacing w:val="-15"/>
        </w:rPr>
        <w:t xml:space="preserve"> </w:t>
      </w:r>
      <w:r>
        <w:t>hicieron</w:t>
      </w:r>
      <w:r>
        <w:rPr>
          <w:spacing w:val="-15"/>
        </w:rPr>
        <w:t xml:space="preserve"> </w:t>
      </w:r>
      <w:r>
        <w:t>al</w:t>
      </w:r>
      <w:r>
        <w:rPr>
          <w:spacing w:val="-15"/>
        </w:rPr>
        <w:t xml:space="preserve"> </w:t>
      </w:r>
      <w:r>
        <w:t>control</w:t>
      </w:r>
      <w:r>
        <w:rPr>
          <w:spacing w:val="-15"/>
        </w:rPr>
        <w:t xml:space="preserve"> </w:t>
      </w:r>
      <w:r>
        <w:t>de</w:t>
      </w:r>
      <w:r>
        <w:rPr>
          <w:spacing w:val="-15"/>
        </w:rPr>
        <w:t xml:space="preserve"> </w:t>
      </w:r>
      <w:r>
        <w:t>los</w:t>
      </w:r>
      <w:r>
        <w:rPr>
          <w:spacing w:val="-15"/>
        </w:rPr>
        <w:t xml:space="preserve"> </w:t>
      </w:r>
      <w:r>
        <w:t>puertos</w:t>
      </w:r>
      <w:r>
        <w:rPr>
          <w:spacing w:val="-15"/>
        </w:rPr>
        <w:t xml:space="preserve"> </w:t>
      </w:r>
      <w:r>
        <w:t>marítimos,</w:t>
      </w:r>
      <w:r>
        <w:rPr>
          <w:spacing w:val="-15"/>
        </w:rPr>
        <w:t xml:space="preserve"> </w:t>
      </w:r>
      <w:r>
        <w:t>buscando</w:t>
      </w:r>
      <w:r>
        <w:rPr>
          <w:spacing w:val="-15"/>
        </w:rPr>
        <w:t xml:space="preserve"> </w:t>
      </w:r>
      <w:r>
        <w:t>las</w:t>
      </w:r>
      <w:r>
        <w:rPr>
          <w:spacing w:val="-15"/>
        </w:rPr>
        <w:t xml:space="preserve"> </w:t>
      </w:r>
      <w:r>
        <w:t>rutas</w:t>
      </w:r>
      <w:r>
        <w:rPr>
          <w:spacing w:val="-15"/>
        </w:rPr>
        <w:t xml:space="preserve"> </w:t>
      </w:r>
      <w:r>
        <w:t>hacia</w:t>
      </w:r>
      <w:r>
        <w:rPr>
          <w:spacing w:val="-15"/>
        </w:rPr>
        <w:t xml:space="preserve"> </w:t>
      </w:r>
      <w:r>
        <w:t>los</w:t>
      </w:r>
      <w:r>
        <w:rPr>
          <w:spacing w:val="-15"/>
        </w:rPr>
        <w:t xml:space="preserve"> </w:t>
      </w:r>
      <w:r>
        <w:t>Estados Unidos</w:t>
      </w:r>
      <w:r>
        <w:rPr>
          <w:spacing w:val="42"/>
        </w:rPr>
        <w:t xml:space="preserve"> </w:t>
      </w:r>
      <w:r>
        <w:t>principalmente</w:t>
      </w:r>
      <w:r w:rsidR="00B274E6">
        <w:rPr>
          <w:rStyle w:val="Refdenotaalpie"/>
        </w:rPr>
        <w:footnoteReference w:id="538"/>
      </w:r>
      <w:r>
        <w:t>).</w:t>
      </w:r>
      <w:r>
        <w:rPr>
          <w:spacing w:val="42"/>
        </w:rPr>
        <w:t xml:space="preserve"> </w:t>
      </w:r>
      <w:r>
        <w:t>De</w:t>
      </w:r>
      <w:r>
        <w:rPr>
          <w:spacing w:val="43"/>
        </w:rPr>
        <w:t xml:space="preserve"> </w:t>
      </w:r>
      <w:r>
        <w:t>este</w:t>
      </w:r>
      <w:r>
        <w:rPr>
          <w:spacing w:val="42"/>
        </w:rPr>
        <w:t xml:space="preserve"> </w:t>
      </w:r>
      <w:r>
        <w:t>modo</w:t>
      </w:r>
      <w:r>
        <w:rPr>
          <w:spacing w:val="43"/>
        </w:rPr>
        <w:t xml:space="preserve"> </w:t>
      </w:r>
      <w:r>
        <w:t>se</w:t>
      </w:r>
      <w:r>
        <w:rPr>
          <w:spacing w:val="43"/>
        </w:rPr>
        <w:t xml:space="preserve"> </w:t>
      </w:r>
      <w:r>
        <w:t>dio</w:t>
      </w:r>
      <w:r>
        <w:rPr>
          <w:spacing w:val="42"/>
        </w:rPr>
        <w:t xml:space="preserve"> </w:t>
      </w:r>
      <w:r>
        <w:t>una</w:t>
      </w:r>
      <w:r>
        <w:rPr>
          <w:spacing w:val="42"/>
        </w:rPr>
        <w:t xml:space="preserve"> </w:t>
      </w:r>
      <w:r>
        <w:t>adaptación</w:t>
      </w:r>
      <w:r>
        <w:rPr>
          <w:spacing w:val="43"/>
        </w:rPr>
        <w:t xml:space="preserve"> </w:t>
      </w:r>
      <w:r>
        <w:t>al</w:t>
      </w:r>
      <w:r>
        <w:rPr>
          <w:spacing w:val="43"/>
        </w:rPr>
        <w:t xml:space="preserve"> </w:t>
      </w:r>
      <w:r>
        <w:t>tipo</w:t>
      </w:r>
      <w:r>
        <w:rPr>
          <w:spacing w:val="42"/>
        </w:rPr>
        <w:t xml:space="preserve"> </w:t>
      </w:r>
      <w:r>
        <w:t>de</w:t>
      </w:r>
      <w:r>
        <w:rPr>
          <w:spacing w:val="42"/>
        </w:rPr>
        <w:t xml:space="preserve"> </w:t>
      </w:r>
      <w:r>
        <w:t>negocio</w:t>
      </w:r>
      <w:r>
        <w:rPr>
          <w:spacing w:val="42"/>
        </w:rPr>
        <w:t xml:space="preserve"> </w:t>
      </w:r>
      <w:r>
        <w:rPr>
          <w:spacing w:val="-5"/>
        </w:rPr>
        <w:t>que</w:t>
      </w:r>
      <w:bookmarkStart w:id="703" w:name="_bookmark596"/>
      <w:bookmarkStart w:id="704" w:name="_bookmark597"/>
      <w:bookmarkStart w:id="705" w:name="_bookmark598"/>
      <w:bookmarkStart w:id="706" w:name="_bookmark599"/>
      <w:bookmarkStart w:id="707" w:name="_bookmark600"/>
      <w:bookmarkEnd w:id="703"/>
      <w:bookmarkEnd w:id="704"/>
      <w:bookmarkEnd w:id="705"/>
      <w:bookmarkEnd w:id="706"/>
      <w:bookmarkEnd w:id="707"/>
      <w:r w:rsidR="00B274E6">
        <w:rPr>
          <w:spacing w:val="-5"/>
        </w:rPr>
        <w:t xml:space="preserve"> </w:t>
      </w:r>
      <w:r>
        <w:t>suponía</w:t>
      </w:r>
      <w:r>
        <w:rPr>
          <w:spacing w:val="-15"/>
        </w:rPr>
        <w:t xml:space="preserve"> </w:t>
      </w:r>
      <w:r>
        <w:t>la</w:t>
      </w:r>
      <w:r>
        <w:rPr>
          <w:spacing w:val="-15"/>
        </w:rPr>
        <w:t xml:space="preserve"> </w:t>
      </w:r>
      <w:r>
        <w:t>droga</w:t>
      </w:r>
      <w:r>
        <w:rPr>
          <w:spacing w:val="-15"/>
        </w:rPr>
        <w:t xml:space="preserve"> </w:t>
      </w:r>
      <w:r>
        <w:t>ilegalizada,</w:t>
      </w:r>
      <w:r>
        <w:rPr>
          <w:spacing w:val="-15"/>
        </w:rPr>
        <w:t xml:space="preserve"> </w:t>
      </w:r>
      <w:r>
        <w:t>ya</w:t>
      </w:r>
      <w:r>
        <w:rPr>
          <w:spacing w:val="-15"/>
        </w:rPr>
        <w:t xml:space="preserve"> </w:t>
      </w:r>
      <w:r>
        <w:t>fuera</w:t>
      </w:r>
      <w:r>
        <w:rPr>
          <w:spacing w:val="-15"/>
        </w:rPr>
        <w:t xml:space="preserve"> </w:t>
      </w:r>
      <w:r>
        <w:t>con</w:t>
      </w:r>
      <w:r>
        <w:rPr>
          <w:spacing w:val="-15"/>
        </w:rPr>
        <w:t xml:space="preserve"> </w:t>
      </w:r>
      <w:r>
        <w:t>la</w:t>
      </w:r>
      <w:r>
        <w:rPr>
          <w:spacing w:val="-15"/>
        </w:rPr>
        <w:t xml:space="preserve"> </w:t>
      </w:r>
      <w:r>
        <w:t>incorporación</w:t>
      </w:r>
      <w:r>
        <w:rPr>
          <w:spacing w:val="-15"/>
        </w:rPr>
        <w:t xml:space="preserve"> </w:t>
      </w:r>
      <w:r>
        <w:t>de</w:t>
      </w:r>
      <w:r>
        <w:rPr>
          <w:spacing w:val="-15"/>
        </w:rPr>
        <w:t xml:space="preserve"> </w:t>
      </w:r>
      <w:r>
        <w:lastRenderedPageBreak/>
        <w:t>las</w:t>
      </w:r>
      <w:r>
        <w:rPr>
          <w:spacing w:val="-15"/>
        </w:rPr>
        <w:t xml:space="preserve"> </w:t>
      </w:r>
      <w:r>
        <w:t>élites</w:t>
      </w:r>
      <w:r>
        <w:rPr>
          <w:spacing w:val="-15"/>
        </w:rPr>
        <w:t xml:space="preserve"> </w:t>
      </w:r>
      <w:r>
        <w:t>económicas</w:t>
      </w:r>
      <w:r>
        <w:rPr>
          <w:spacing w:val="-15"/>
        </w:rPr>
        <w:t xml:space="preserve"> </w:t>
      </w:r>
      <w:r>
        <w:t>al</w:t>
      </w:r>
      <w:r>
        <w:rPr>
          <w:spacing w:val="-15"/>
        </w:rPr>
        <w:t xml:space="preserve"> </w:t>
      </w:r>
      <w:r>
        <w:t>negocio –dedicadas antes, por ejemplo, al banano, el algodón y el café– o en otros casos se constituyeron nuevas élites a partir de los carteles, los clanes o las familias locales basadas en negocios ilícitos. En algunas familias de la élite regional caribeña, la marihuana fue un eslabón clave en su consolidación estamental</w:t>
      </w:r>
      <w:r w:rsidR="00B274E6">
        <w:rPr>
          <w:rStyle w:val="Refdenotaalpie"/>
        </w:rPr>
        <w:footnoteReference w:id="539"/>
      </w:r>
      <w:r>
        <w:t>.</w:t>
      </w:r>
    </w:p>
    <w:p w:rsidR="003804AC" w:rsidRDefault="00AF18A5" w:rsidP="00B274E6">
      <w:r>
        <w:t>La presencia de traficantes internacionales en Colombia se dio tempranamente; así, se constituyeron redes entre traficantes chilenos, cubanos y colombianos centradas en Estados Unidos. El general José Joaquín Matallana, en 1974, denunció en un memorando de la Dirección de Aduanas Nacionales (DIAN) que había un «cinturón de marihuana» en el que participaban extranjeros, personas de la Florida y Texas, así como mafias italianas e israelíes</w:t>
      </w:r>
      <w:r w:rsidR="00B274E6">
        <w:rPr>
          <w:rStyle w:val="Refdenotaalpie"/>
        </w:rPr>
        <w:footnoteReference w:id="540"/>
      </w:r>
      <w:r>
        <w:t>. La Comisión de la Verdad logró establecer que Estados Unidos fue el segundo lugar</w:t>
      </w:r>
      <w:r>
        <w:rPr>
          <w:spacing w:val="-15"/>
        </w:rPr>
        <w:t xml:space="preserve"> </w:t>
      </w:r>
      <w:r>
        <w:t>de</w:t>
      </w:r>
      <w:r>
        <w:rPr>
          <w:spacing w:val="-15"/>
        </w:rPr>
        <w:t xml:space="preserve"> </w:t>
      </w:r>
      <w:r>
        <w:t>registro</w:t>
      </w:r>
      <w:r>
        <w:rPr>
          <w:spacing w:val="-15"/>
        </w:rPr>
        <w:t xml:space="preserve"> </w:t>
      </w:r>
      <w:r>
        <w:t>de</w:t>
      </w:r>
      <w:r>
        <w:rPr>
          <w:spacing w:val="-15"/>
        </w:rPr>
        <w:t xml:space="preserve"> </w:t>
      </w:r>
      <w:r>
        <w:t>aeronaves</w:t>
      </w:r>
      <w:r>
        <w:rPr>
          <w:spacing w:val="-15"/>
        </w:rPr>
        <w:t xml:space="preserve"> </w:t>
      </w:r>
      <w:r>
        <w:t>en</w:t>
      </w:r>
      <w:r>
        <w:rPr>
          <w:spacing w:val="-15"/>
        </w:rPr>
        <w:t xml:space="preserve"> </w:t>
      </w:r>
      <w:r>
        <w:t>la</w:t>
      </w:r>
      <w:r>
        <w:rPr>
          <w:spacing w:val="-15"/>
        </w:rPr>
        <w:t xml:space="preserve"> </w:t>
      </w:r>
      <w:r>
        <w:t>Aerocivil</w:t>
      </w:r>
      <w:r>
        <w:rPr>
          <w:spacing w:val="-15"/>
        </w:rPr>
        <w:t xml:space="preserve"> </w:t>
      </w:r>
      <w:r>
        <w:t>entre</w:t>
      </w:r>
      <w:r>
        <w:rPr>
          <w:spacing w:val="-15"/>
        </w:rPr>
        <w:t xml:space="preserve"> </w:t>
      </w:r>
      <w:r>
        <w:t>1975</w:t>
      </w:r>
      <w:r>
        <w:rPr>
          <w:spacing w:val="-15"/>
        </w:rPr>
        <w:t xml:space="preserve"> </w:t>
      </w:r>
      <w:r>
        <w:t>y</w:t>
      </w:r>
      <w:r>
        <w:rPr>
          <w:spacing w:val="-15"/>
        </w:rPr>
        <w:t xml:space="preserve"> </w:t>
      </w:r>
      <w:r>
        <w:t>1986,</w:t>
      </w:r>
      <w:r>
        <w:rPr>
          <w:spacing w:val="-15"/>
        </w:rPr>
        <w:t xml:space="preserve"> </w:t>
      </w:r>
      <w:r>
        <w:t>especialmente</w:t>
      </w:r>
      <w:r>
        <w:rPr>
          <w:spacing w:val="-15"/>
        </w:rPr>
        <w:t xml:space="preserve"> </w:t>
      </w:r>
      <w:r>
        <w:t>en</w:t>
      </w:r>
      <w:r>
        <w:rPr>
          <w:spacing w:val="-15"/>
        </w:rPr>
        <w:t xml:space="preserve"> </w:t>
      </w:r>
      <w:r>
        <w:t>los</w:t>
      </w:r>
      <w:r>
        <w:rPr>
          <w:spacing w:val="-15"/>
        </w:rPr>
        <w:t xml:space="preserve"> </w:t>
      </w:r>
      <w:r>
        <w:t>estados de Florida, California, Kansas y Texas</w:t>
      </w:r>
      <w:r w:rsidR="00B274E6">
        <w:rPr>
          <w:rStyle w:val="Refdenotaalpie"/>
        </w:rPr>
        <w:footnoteReference w:id="541"/>
      </w:r>
      <w:r>
        <w:t>.Años después, dos informes anuales de la Procuraduría General de la Nación sobre la interdicción de drogas ilícitas informaron de un número</w:t>
      </w:r>
      <w:r>
        <w:rPr>
          <w:spacing w:val="-15"/>
        </w:rPr>
        <w:t xml:space="preserve"> </w:t>
      </w:r>
      <w:r>
        <w:t>significativo</w:t>
      </w:r>
      <w:r>
        <w:rPr>
          <w:spacing w:val="-15"/>
        </w:rPr>
        <w:t xml:space="preserve"> </w:t>
      </w:r>
      <w:r>
        <w:t>de</w:t>
      </w:r>
      <w:r>
        <w:rPr>
          <w:spacing w:val="-15"/>
        </w:rPr>
        <w:t xml:space="preserve"> </w:t>
      </w:r>
      <w:r>
        <w:t>capturados</w:t>
      </w:r>
      <w:r>
        <w:rPr>
          <w:spacing w:val="-15"/>
        </w:rPr>
        <w:t xml:space="preserve"> </w:t>
      </w:r>
      <w:r>
        <w:t>estadounidenses</w:t>
      </w:r>
      <w:r>
        <w:rPr>
          <w:spacing w:val="-15"/>
        </w:rPr>
        <w:t xml:space="preserve"> </w:t>
      </w:r>
      <w:r>
        <w:t>por</w:t>
      </w:r>
      <w:r>
        <w:rPr>
          <w:spacing w:val="-15"/>
        </w:rPr>
        <w:t xml:space="preserve"> </w:t>
      </w:r>
      <w:r>
        <w:t>la</w:t>
      </w:r>
      <w:r>
        <w:rPr>
          <w:spacing w:val="-15"/>
        </w:rPr>
        <w:t xml:space="preserve"> </w:t>
      </w:r>
      <w:r>
        <w:t>policía</w:t>
      </w:r>
      <w:r>
        <w:rPr>
          <w:spacing w:val="-15"/>
        </w:rPr>
        <w:t xml:space="preserve"> </w:t>
      </w:r>
      <w:r>
        <w:t>judicial</w:t>
      </w:r>
      <w:r w:rsidR="00B274E6">
        <w:rPr>
          <w:rStyle w:val="Refdenotaalpie"/>
        </w:rPr>
        <w:footnoteReference w:id="542"/>
      </w:r>
      <w:r>
        <w:t>.</w:t>
      </w:r>
      <w:r>
        <w:rPr>
          <w:spacing w:val="-15"/>
        </w:rPr>
        <w:t xml:space="preserve"> </w:t>
      </w:r>
      <w:r>
        <w:t>Investigaciones del</w:t>
      </w:r>
      <w:r>
        <w:rPr>
          <w:spacing w:val="-10"/>
        </w:rPr>
        <w:t xml:space="preserve"> </w:t>
      </w:r>
      <w:r>
        <w:t>Congreso</w:t>
      </w:r>
      <w:r>
        <w:rPr>
          <w:spacing w:val="-11"/>
        </w:rPr>
        <w:t xml:space="preserve"> </w:t>
      </w:r>
      <w:r>
        <w:t>de</w:t>
      </w:r>
      <w:r>
        <w:rPr>
          <w:spacing w:val="-10"/>
        </w:rPr>
        <w:t xml:space="preserve"> </w:t>
      </w:r>
      <w:r>
        <w:t>Estados</w:t>
      </w:r>
      <w:r>
        <w:rPr>
          <w:spacing w:val="-11"/>
        </w:rPr>
        <w:t xml:space="preserve"> </w:t>
      </w:r>
      <w:r>
        <w:t>Unidos</w:t>
      </w:r>
      <w:r>
        <w:rPr>
          <w:spacing w:val="-10"/>
        </w:rPr>
        <w:t xml:space="preserve"> </w:t>
      </w:r>
      <w:r>
        <w:t>han</w:t>
      </w:r>
      <w:r>
        <w:rPr>
          <w:spacing w:val="-12"/>
        </w:rPr>
        <w:t xml:space="preserve"> </w:t>
      </w:r>
      <w:r>
        <w:t>confirmado</w:t>
      </w:r>
      <w:r>
        <w:rPr>
          <w:spacing w:val="-12"/>
        </w:rPr>
        <w:t xml:space="preserve"> </w:t>
      </w:r>
      <w:r>
        <w:t>el</w:t>
      </w:r>
      <w:r>
        <w:rPr>
          <w:spacing w:val="-10"/>
        </w:rPr>
        <w:t xml:space="preserve"> </w:t>
      </w:r>
      <w:r>
        <w:t>uso</w:t>
      </w:r>
      <w:r>
        <w:rPr>
          <w:spacing w:val="-11"/>
        </w:rPr>
        <w:t xml:space="preserve"> </w:t>
      </w:r>
      <w:r>
        <w:t>del</w:t>
      </w:r>
      <w:r>
        <w:rPr>
          <w:spacing w:val="-11"/>
        </w:rPr>
        <w:t xml:space="preserve"> </w:t>
      </w:r>
      <w:r>
        <w:t>transporte</w:t>
      </w:r>
      <w:r>
        <w:rPr>
          <w:spacing w:val="-11"/>
        </w:rPr>
        <w:t xml:space="preserve"> </w:t>
      </w:r>
      <w:r>
        <w:lastRenderedPageBreak/>
        <w:t>marítimo</w:t>
      </w:r>
      <w:r>
        <w:rPr>
          <w:spacing w:val="-11"/>
        </w:rPr>
        <w:t xml:space="preserve"> </w:t>
      </w:r>
      <w:r>
        <w:t>desde</w:t>
      </w:r>
      <w:r>
        <w:rPr>
          <w:spacing w:val="-11"/>
        </w:rPr>
        <w:t xml:space="preserve"> </w:t>
      </w:r>
      <w:r>
        <w:t>inicios de los años setenta</w:t>
      </w:r>
      <w:r w:rsidR="00B274E6">
        <w:rPr>
          <w:rStyle w:val="Refdenotaalpie"/>
        </w:rPr>
        <w:footnoteReference w:id="543"/>
      </w:r>
      <w:r>
        <w:t>.</w:t>
      </w:r>
    </w:p>
    <w:p w:rsidR="0011361F" w:rsidRDefault="00AF18A5" w:rsidP="004A6EF4">
      <w:pPr>
        <w:pStyle w:val="Ttulo4"/>
        <w:numPr>
          <w:ilvl w:val="2"/>
          <w:numId w:val="16"/>
        </w:numPr>
      </w:pPr>
      <w:bookmarkStart w:id="708" w:name="6.3.1._La_entrada_del_narcotráfico_a_la_"/>
      <w:bookmarkEnd w:id="708"/>
      <w:r>
        <w:t>La</w:t>
      </w:r>
      <w:r>
        <w:rPr>
          <w:spacing w:val="-2"/>
        </w:rPr>
        <w:t xml:space="preserve"> </w:t>
      </w:r>
      <w:r>
        <w:t>entrada</w:t>
      </w:r>
      <w:r>
        <w:rPr>
          <w:spacing w:val="-1"/>
        </w:rPr>
        <w:t xml:space="preserve"> </w:t>
      </w:r>
      <w:r>
        <w:t>del</w:t>
      </w:r>
      <w:r>
        <w:rPr>
          <w:spacing w:val="-2"/>
        </w:rPr>
        <w:t xml:space="preserve"> </w:t>
      </w:r>
      <w:r>
        <w:t>narcotráfico</w:t>
      </w:r>
      <w:r>
        <w:rPr>
          <w:spacing w:val="-3"/>
        </w:rPr>
        <w:t xml:space="preserve"> </w:t>
      </w:r>
      <w:r>
        <w:t>a</w:t>
      </w:r>
      <w:r>
        <w:rPr>
          <w:spacing w:val="-1"/>
        </w:rPr>
        <w:t xml:space="preserve"> </w:t>
      </w:r>
      <w:r>
        <w:t>la</w:t>
      </w:r>
      <w:r>
        <w:rPr>
          <w:spacing w:val="-1"/>
        </w:rPr>
        <w:t xml:space="preserve"> </w:t>
      </w:r>
      <w:r>
        <w:rPr>
          <w:spacing w:val="-2"/>
        </w:rPr>
        <w:t>política</w:t>
      </w:r>
    </w:p>
    <w:p w:rsidR="003804AC" w:rsidRDefault="00AF18A5" w:rsidP="0077000F">
      <w:r>
        <w:t>La</w:t>
      </w:r>
      <w:r>
        <w:rPr>
          <w:spacing w:val="-9"/>
        </w:rPr>
        <w:t xml:space="preserve"> </w:t>
      </w:r>
      <w:r>
        <w:t>relación</w:t>
      </w:r>
      <w:r>
        <w:rPr>
          <w:spacing w:val="-11"/>
        </w:rPr>
        <w:t xml:space="preserve"> </w:t>
      </w:r>
      <w:r>
        <w:t>de</w:t>
      </w:r>
      <w:r>
        <w:rPr>
          <w:spacing w:val="-9"/>
        </w:rPr>
        <w:t xml:space="preserve"> </w:t>
      </w:r>
      <w:r>
        <w:t>la</w:t>
      </w:r>
      <w:r>
        <w:rPr>
          <w:spacing w:val="-10"/>
        </w:rPr>
        <w:t xml:space="preserve"> </w:t>
      </w:r>
      <w:r>
        <w:t>política</w:t>
      </w:r>
      <w:r>
        <w:rPr>
          <w:spacing w:val="-10"/>
        </w:rPr>
        <w:t xml:space="preserve"> </w:t>
      </w:r>
      <w:r>
        <w:t>con</w:t>
      </w:r>
      <w:r>
        <w:rPr>
          <w:spacing w:val="-9"/>
        </w:rPr>
        <w:t xml:space="preserve"> </w:t>
      </w:r>
      <w:r>
        <w:t>el</w:t>
      </w:r>
      <w:r>
        <w:rPr>
          <w:spacing w:val="-9"/>
        </w:rPr>
        <w:t xml:space="preserve"> </w:t>
      </w:r>
      <w:r>
        <w:t>narcotráfico</w:t>
      </w:r>
      <w:r>
        <w:rPr>
          <w:spacing w:val="-11"/>
        </w:rPr>
        <w:t xml:space="preserve"> </w:t>
      </w:r>
      <w:r>
        <w:t>ha</w:t>
      </w:r>
      <w:r>
        <w:rPr>
          <w:spacing w:val="-10"/>
        </w:rPr>
        <w:t xml:space="preserve"> </w:t>
      </w:r>
      <w:r>
        <w:t>sido</w:t>
      </w:r>
      <w:r>
        <w:rPr>
          <w:spacing w:val="-9"/>
        </w:rPr>
        <w:t xml:space="preserve"> </w:t>
      </w:r>
      <w:r>
        <w:t>motivo</w:t>
      </w:r>
      <w:r>
        <w:rPr>
          <w:spacing w:val="-9"/>
        </w:rPr>
        <w:t xml:space="preserve"> </w:t>
      </w:r>
      <w:r>
        <w:t>de</w:t>
      </w:r>
      <w:r>
        <w:rPr>
          <w:spacing w:val="-9"/>
        </w:rPr>
        <w:t xml:space="preserve"> </w:t>
      </w:r>
      <w:r>
        <w:t>preocupación</w:t>
      </w:r>
      <w:r>
        <w:rPr>
          <w:spacing w:val="-9"/>
        </w:rPr>
        <w:t xml:space="preserve"> </w:t>
      </w:r>
      <w:r>
        <w:t>y</w:t>
      </w:r>
      <w:r>
        <w:rPr>
          <w:spacing w:val="-9"/>
        </w:rPr>
        <w:t xml:space="preserve"> </w:t>
      </w:r>
      <w:r>
        <w:t>disputas</w:t>
      </w:r>
      <w:r>
        <w:rPr>
          <w:spacing w:val="-9"/>
        </w:rPr>
        <w:t xml:space="preserve"> </w:t>
      </w:r>
      <w:r>
        <w:t>entre partidos políticos. Desde</w:t>
      </w:r>
      <w:r>
        <w:rPr>
          <w:spacing w:val="-1"/>
        </w:rPr>
        <w:t xml:space="preserve"> </w:t>
      </w:r>
      <w:r>
        <w:t>mediados de los años setenta se adelantaron debates en la prensa</w:t>
      </w:r>
      <w:r>
        <w:rPr>
          <w:spacing w:val="1"/>
        </w:rPr>
        <w:t xml:space="preserve"> </w:t>
      </w:r>
      <w:r>
        <w:rPr>
          <w:spacing w:val="-10"/>
        </w:rPr>
        <w:t>y</w:t>
      </w:r>
      <w:bookmarkStart w:id="709" w:name="_bookmark601"/>
      <w:bookmarkStart w:id="710" w:name="_bookmark602"/>
      <w:bookmarkStart w:id="711" w:name="_bookmark603"/>
      <w:bookmarkStart w:id="712" w:name="_bookmark604"/>
      <w:bookmarkStart w:id="713" w:name="_bookmark605"/>
      <w:bookmarkEnd w:id="709"/>
      <w:bookmarkEnd w:id="710"/>
      <w:bookmarkEnd w:id="711"/>
      <w:bookmarkEnd w:id="712"/>
      <w:bookmarkEnd w:id="713"/>
      <w:r w:rsidR="0077000F">
        <w:t xml:space="preserve"> </w:t>
      </w:r>
      <w:r>
        <w:t>en oficinas del Estado sobre la infiltración de contrabandistas y traficantes de drogas ilegalizadas</w:t>
      </w:r>
      <w:r>
        <w:rPr>
          <w:spacing w:val="-9"/>
        </w:rPr>
        <w:t xml:space="preserve"> </w:t>
      </w:r>
      <w:r>
        <w:t>en</w:t>
      </w:r>
      <w:r>
        <w:rPr>
          <w:spacing w:val="-8"/>
        </w:rPr>
        <w:t xml:space="preserve"> </w:t>
      </w:r>
      <w:r>
        <w:t>el</w:t>
      </w:r>
      <w:r>
        <w:rPr>
          <w:spacing w:val="-8"/>
        </w:rPr>
        <w:t xml:space="preserve"> </w:t>
      </w:r>
      <w:r>
        <w:t>Congreso</w:t>
      </w:r>
      <w:r>
        <w:rPr>
          <w:spacing w:val="-8"/>
        </w:rPr>
        <w:t xml:space="preserve"> </w:t>
      </w:r>
      <w:r>
        <w:t>de</w:t>
      </w:r>
      <w:r>
        <w:rPr>
          <w:spacing w:val="-8"/>
        </w:rPr>
        <w:t xml:space="preserve"> </w:t>
      </w:r>
      <w:r>
        <w:t>la</w:t>
      </w:r>
      <w:r>
        <w:rPr>
          <w:spacing w:val="-9"/>
        </w:rPr>
        <w:t xml:space="preserve"> </w:t>
      </w:r>
      <w:r>
        <w:t>República,</w:t>
      </w:r>
      <w:r>
        <w:rPr>
          <w:spacing w:val="-9"/>
        </w:rPr>
        <w:t xml:space="preserve"> </w:t>
      </w:r>
      <w:r>
        <w:t>en</w:t>
      </w:r>
      <w:r>
        <w:rPr>
          <w:spacing w:val="-8"/>
        </w:rPr>
        <w:t xml:space="preserve"> </w:t>
      </w:r>
      <w:r>
        <w:t>la</w:t>
      </w:r>
      <w:r>
        <w:rPr>
          <w:spacing w:val="-9"/>
        </w:rPr>
        <w:t xml:space="preserve"> </w:t>
      </w:r>
      <w:r>
        <w:t>Dirección</w:t>
      </w:r>
      <w:r>
        <w:rPr>
          <w:spacing w:val="-8"/>
        </w:rPr>
        <w:t xml:space="preserve"> </w:t>
      </w:r>
      <w:r>
        <w:t>de</w:t>
      </w:r>
      <w:r>
        <w:rPr>
          <w:spacing w:val="-9"/>
        </w:rPr>
        <w:t xml:space="preserve"> </w:t>
      </w:r>
      <w:r>
        <w:t>Aduanas</w:t>
      </w:r>
      <w:r>
        <w:rPr>
          <w:spacing w:val="-8"/>
        </w:rPr>
        <w:t xml:space="preserve"> </w:t>
      </w:r>
      <w:r>
        <w:t>Nacionales</w:t>
      </w:r>
      <w:r>
        <w:rPr>
          <w:spacing w:val="-9"/>
        </w:rPr>
        <w:t xml:space="preserve"> </w:t>
      </w:r>
      <w:r>
        <w:t>(DIAN) y</w:t>
      </w:r>
      <w:r>
        <w:rPr>
          <w:spacing w:val="-15"/>
        </w:rPr>
        <w:t xml:space="preserve"> </w:t>
      </w:r>
      <w:r>
        <w:t>en</w:t>
      </w:r>
      <w:r>
        <w:rPr>
          <w:spacing w:val="-15"/>
        </w:rPr>
        <w:t xml:space="preserve"> </w:t>
      </w:r>
      <w:r>
        <w:t>el</w:t>
      </w:r>
      <w:r>
        <w:rPr>
          <w:spacing w:val="-15"/>
        </w:rPr>
        <w:t xml:space="preserve"> </w:t>
      </w:r>
      <w:r>
        <w:t>Departamento</w:t>
      </w:r>
      <w:r>
        <w:rPr>
          <w:spacing w:val="-15"/>
        </w:rPr>
        <w:t xml:space="preserve"> </w:t>
      </w:r>
      <w:r>
        <w:t>Administrativo</w:t>
      </w:r>
      <w:r>
        <w:rPr>
          <w:spacing w:val="-15"/>
        </w:rPr>
        <w:t xml:space="preserve"> </w:t>
      </w:r>
      <w:r>
        <w:t>de</w:t>
      </w:r>
      <w:r>
        <w:rPr>
          <w:spacing w:val="-15"/>
        </w:rPr>
        <w:t xml:space="preserve"> </w:t>
      </w:r>
      <w:r>
        <w:t>Seguridad</w:t>
      </w:r>
      <w:r>
        <w:rPr>
          <w:spacing w:val="-15"/>
        </w:rPr>
        <w:t xml:space="preserve"> </w:t>
      </w:r>
      <w:r>
        <w:t>(DAS)</w:t>
      </w:r>
      <w:r>
        <w:rPr>
          <w:spacing w:val="-15"/>
        </w:rPr>
        <w:t xml:space="preserve"> </w:t>
      </w:r>
      <w:r>
        <w:t>–promovidos</w:t>
      </w:r>
      <w:r>
        <w:rPr>
          <w:spacing w:val="-15"/>
        </w:rPr>
        <w:t xml:space="preserve"> </w:t>
      </w:r>
      <w:r>
        <w:t>por</w:t>
      </w:r>
      <w:r>
        <w:rPr>
          <w:spacing w:val="-15"/>
        </w:rPr>
        <w:t xml:space="preserve"> </w:t>
      </w:r>
      <w:r>
        <w:t>algunas</w:t>
      </w:r>
      <w:r>
        <w:rPr>
          <w:spacing w:val="-15"/>
        </w:rPr>
        <w:t xml:space="preserve"> </w:t>
      </w:r>
      <w:r>
        <w:t>agencias de los Estados Unidos–</w:t>
      </w:r>
      <w:r w:rsidR="001D572E">
        <w:rPr>
          <w:rStyle w:val="Refdenotaalpie"/>
        </w:rPr>
        <w:footnoteReference w:id="544"/>
      </w:r>
      <w:r>
        <w:t>. Desde los años setenta, varias campañas presidenciales han sido señaladas</w:t>
      </w:r>
      <w:r>
        <w:rPr>
          <w:spacing w:val="-10"/>
        </w:rPr>
        <w:t xml:space="preserve"> </w:t>
      </w:r>
      <w:r>
        <w:t>de</w:t>
      </w:r>
      <w:r>
        <w:rPr>
          <w:spacing w:val="-12"/>
        </w:rPr>
        <w:t xml:space="preserve"> </w:t>
      </w:r>
      <w:r>
        <w:t>estar</w:t>
      </w:r>
      <w:r>
        <w:rPr>
          <w:spacing w:val="-11"/>
        </w:rPr>
        <w:t xml:space="preserve"> </w:t>
      </w:r>
      <w:r>
        <w:t>financiadas</w:t>
      </w:r>
      <w:r>
        <w:rPr>
          <w:spacing w:val="-10"/>
        </w:rPr>
        <w:t xml:space="preserve"> </w:t>
      </w:r>
      <w:r>
        <w:t>con</w:t>
      </w:r>
      <w:r>
        <w:rPr>
          <w:spacing w:val="-11"/>
        </w:rPr>
        <w:t xml:space="preserve"> </w:t>
      </w:r>
      <w:r>
        <w:t>dineros</w:t>
      </w:r>
      <w:r>
        <w:rPr>
          <w:spacing w:val="-11"/>
        </w:rPr>
        <w:t xml:space="preserve"> </w:t>
      </w:r>
      <w:r>
        <w:t>provenientes</w:t>
      </w:r>
      <w:r>
        <w:rPr>
          <w:spacing w:val="-10"/>
        </w:rPr>
        <w:t xml:space="preserve"> </w:t>
      </w:r>
      <w:r>
        <w:t>de</w:t>
      </w:r>
      <w:r>
        <w:rPr>
          <w:spacing w:val="-12"/>
        </w:rPr>
        <w:t xml:space="preserve"> </w:t>
      </w:r>
      <w:r>
        <w:t>traficantes</w:t>
      </w:r>
      <w:r>
        <w:rPr>
          <w:spacing w:val="-10"/>
        </w:rPr>
        <w:t xml:space="preserve"> </w:t>
      </w:r>
      <w:r>
        <w:t>de</w:t>
      </w:r>
      <w:r>
        <w:rPr>
          <w:spacing w:val="-10"/>
        </w:rPr>
        <w:t xml:space="preserve"> </w:t>
      </w:r>
      <w:r>
        <w:t>drogas</w:t>
      </w:r>
      <w:r>
        <w:rPr>
          <w:spacing w:val="-10"/>
        </w:rPr>
        <w:t xml:space="preserve"> </w:t>
      </w:r>
      <w:r>
        <w:t>ilegalizadas, lo</w:t>
      </w:r>
      <w:r>
        <w:rPr>
          <w:spacing w:val="-3"/>
        </w:rPr>
        <w:t xml:space="preserve"> </w:t>
      </w:r>
      <w:r>
        <w:t>que</w:t>
      </w:r>
      <w:r>
        <w:rPr>
          <w:spacing w:val="-3"/>
        </w:rPr>
        <w:t xml:space="preserve"> </w:t>
      </w:r>
      <w:r>
        <w:t>ha</w:t>
      </w:r>
      <w:r>
        <w:rPr>
          <w:spacing w:val="-3"/>
        </w:rPr>
        <w:t xml:space="preserve"> </w:t>
      </w:r>
      <w:r>
        <w:t>levantado</w:t>
      </w:r>
      <w:r>
        <w:rPr>
          <w:spacing w:val="-3"/>
        </w:rPr>
        <w:t xml:space="preserve"> </w:t>
      </w:r>
      <w:r>
        <w:t>un</w:t>
      </w:r>
      <w:r>
        <w:rPr>
          <w:spacing w:val="-6"/>
        </w:rPr>
        <w:t xml:space="preserve"> </w:t>
      </w:r>
      <w:r>
        <w:t>manto</w:t>
      </w:r>
      <w:r>
        <w:rPr>
          <w:spacing w:val="-3"/>
        </w:rPr>
        <w:t xml:space="preserve"> </w:t>
      </w:r>
      <w:r>
        <w:t>de</w:t>
      </w:r>
      <w:r>
        <w:rPr>
          <w:spacing w:val="-3"/>
        </w:rPr>
        <w:t xml:space="preserve"> </w:t>
      </w:r>
      <w:r>
        <w:t>ilegitimidad</w:t>
      </w:r>
      <w:r>
        <w:rPr>
          <w:spacing w:val="-5"/>
        </w:rPr>
        <w:t xml:space="preserve"> </w:t>
      </w:r>
      <w:r>
        <w:t>sobre</w:t>
      </w:r>
      <w:r>
        <w:rPr>
          <w:spacing w:val="-3"/>
        </w:rPr>
        <w:t xml:space="preserve"> </w:t>
      </w:r>
      <w:r>
        <w:t>el</w:t>
      </w:r>
      <w:r>
        <w:rPr>
          <w:spacing w:val="-3"/>
        </w:rPr>
        <w:t xml:space="preserve"> </w:t>
      </w:r>
      <w:r>
        <w:t>primer</w:t>
      </w:r>
      <w:r>
        <w:rPr>
          <w:spacing w:val="-3"/>
        </w:rPr>
        <w:t xml:space="preserve"> </w:t>
      </w:r>
      <w:r>
        <w:t>cargo</w:t>
      </w:r>
      <w:r>
        <w:rPr>
          <w:spacing w:val="-3"/>
        </w:rPr>
        <w:t xml:space="preserve"> </w:t>
      </w:r>
      <w:r>
        <w:t>público</w:t>
      </w:r>
      <w:r>
        <w:rPr>
          <w:spacing w:val="-3"/>
        </w:rPr>
        <w:t xml:space="preserve"> </w:t>
      </w:r>
      <w:r>
        <w:t>de</w:t>
      </w:r>
      <w:r>
        <w:rPr>
          <w:spacing w:val="-4"/>
        </w:rPr>
        <w:t xml:space="preserve"> </w:t>
      </w:r>
      <w:r>
        <w:t>la</w:t>
      </w:r>
      <w:r>
        <w:rPr>
          <w:spacing w:val="-3"/>
        </w:rPr>
        <w:t xml:space="preserve"> </w:t>
      </w:r>
      <w:r>
        <w:t>nación.</w:t>
      </w:r>
      <w:r>
        <w:rPr>
          <w:spacing w:val="-3"/>
        </w:rPr>
        <w:t xml:space="preserve"> </w:t>
      </w:r>
      <w:r>
        <w:t>De este</w:t>
      </w:r>
      <w:r>
        <w:rPr>
          <w:spacing w:val="-8"/>
        </w:rPr>
        <w:t xml:space="preserve"> </w:t>
      </w:r>
      <w:r>
        <w:t>modo,</w:t>
      </w:r>
      <w:r>
        <w:rPr>
          <w:spacing w:val="-8"/>
        </w:rPr>
        <w:t xml:space="preserve"> </w:t>
      </w:r>
      <w:r>
        <w:t>la</w:t>
      </w:r>
      <w:r>
        <w:rPr>
          <w:spacing w:val="-8"/>
        </w:rPr>
        <w:t xml:space="preserve"> </w:t>
      </w:r>
      <w:r>
        <w:t>primera</w:t>
      </w:r>
      <w:r>
        <w:rPr>
          <w:spacing w:val="-8"/>
        </w:rPr>
        <w:t xml:space="preserve"> </w:t>
      </w:r>
      <w:r>
        <w:t>articulación</w:t>
      </w:r>
      <w:r>
        <w:rPr>
          <w:spacing w:val="-8"/>
        </w:rPr>
        <w:t xml:space="preserve"> </w:t>
      </w:r>
      <w:r>
        <w:t>del</w:t>
      </w:r>
      <w:r>
        <w:rPr>
          <w:spacing w:val="-9"/>
        </w:rPr>
        <w:t xml:space="preserve"> </w:t>
      </w:r>
      <w:r>
        <w:t>narcotráfico</w:t>
      </w:r>
      <w:r>
        <w:rPr>
          <w:spacing w:val="-10"/>
        </w:rPr>
        <w:t xml:space="preserve"> </w:t>
      </w:r>
      <w:r>
        <w:t>fue</w:t>
      </w:r>
      <w:r>
        <w:rPr>
          <w:spacing w:val="-8"/>
        </w:rPr>
        <w:t xml:space="preserve"> </w:t>
      </w:r>
      <w:r>
        <w:t>con</w:t>
      </w:r>
      <w:r>
        <w:rPr>
          <w:spacing w:val="-8"/>
        </w:rPr>
        <w:t xml:space="preserve"> </w:t>
      </w:r>
      <w:r>
        <w:t>el</w:t>
      </w:r>
      <w:r>
        <w:rPr>
          <w:spacing w:val="-8"/>
        </w:rPr>
        <w:t xml:space="preserve"> </w:t>
      </w:r>
      <w:r>
        <w:t>régimen</w:t>
      </w:r>
      <w:r>
        <w:rPr>
          <w:spacing w:val="-8"/>
        </w:rPr>
        <w:t xml:space="preserve"> </w:t>
      </w:r>
      <w:r>
        <w:t>político,</w:t>
      </w:r>
      <w:r>
        <w:rPr>
          <w:spacing w:val="-8"/>
        </w:rPr>
        <w:t xml:space="preserve"> </w:t>
      </w:r>
      <w:r>
        <w:t>antes</w:t>
      </w:r>
      <w:r>
        <w:rPr>
          <w:spacing w:val="-8"/>
        </w:rPr>
        <w:t xml:space="preserve"> </w:t>
      </w:r>
      <w:r>
        <w:t>que</w:t>
      </w:r>
      <w:r>
        <w:rPr>
          <w:spacing w:val="-8"/>
        </w:rPr>
        <w:t xml:space="preserve"> </w:t>
      </w:r>
      <w:r>
        <w:t>con la violencia del conflicto armado.</w:t>
      </w:r>
    </w:p>
    <w:p w:rsidR="003804AC" w:rsidRDefault="00AF18A5" w:rsidP="00F4582E">
      <w:r>
        <w:t>Si bien el proceso 8.000 puso en evidencia la financiación de</w:t>
      </w:r>
      <w:r>
        <w:rPr>
          <w:spacing w:val="-1"/>
        </w:rPr>
        <w:t xml:space="preserve"> </w:t>
      </w:r>
      <w:r>
        <w:t>la campaña</w:t>
      </w:r>
      <w:r>
        <w:rPr>
          <w:spacing w:val="-1"/>
        </w:rPr>
        <w:t xml:space="preserve"> </w:t>
      </w:r>
      <w:r>
        <w:t xml:space="preserve">presidencial de Ernesto Samper (1994-1998) con dineros del Cartel de Cali, dicho fenómeno, tanto en lo </w:t>
      </w:r>
      <w:r>
        <w:rPr>
          <w:spacing w:val="-2"/>
        </w:rPr>
        <w:t>regional</w:t>
      </w:r>
      <w:r>
        <w:rPr>
          <w:spacing w:val="-5"/>
        </w:rPr>
        <w:t xml:space="preserve"> </w:t>
      </w:r>
      <w:r>
        <w:rPr>
          <w:spacing w:val="-2"/>
        </w:rPr>
        <w:t>como</w:t>
      </w:r>
      <w:r>
        <w:rPr>
          <w:spacing w:val="-6"/>
        </w:rPr>
        <w:t xml:space="preserve"> </w:t>
      </w:r>
      <w:r>
        <w:rPr>
          <w:spacing w:val="-2"/>
        </w:rPr>
        <w:t>nacional,</w:t>
      </w:r>
      <w:r>
        <w:rPr>
          <w:spacing w:val="-7"/>
        </w:rPr>
        <w:t xml:space="preserve"> </w:t>
      </w:r>
      <w:r>
        <w:rPr>
          <w:spacing w:val="-2"/>
        </w:rPr>
        <w:t>se</w:t>
      </w:r>
      <w:r>
        <w:rPr>
          <w:spacing w:val="-6"/>
        </w:rPr>
        <w:t xml:space="preserve"> </w:t>
      </w:r>
      <w:r>
        <w:rPr>
          <w:spacing w:val="-2"/>
        </w:rPr>
        <w:t>insinuaba</w:t>
      </w:r>
      <w:r>
        <w:rPr>
          <w:spacing w:val="-7"/>
        </w:rPr>
        <w:t xml:space="preserve"> </w:t>
      </w:r>
      <w:r>
        <w:rPr>
          <w:spacing w:val="-2"/>
        </w:rPr>
        <w:t>en</w:t>
      </w:r>
      <w:r>
        <w:rPr>
          <w:spacing w:val="-6"/>
        </w:rPr>
        <w:t xml:space="preserve"> </w:t>
      </w:r>
      <w:r>
        <w:rPr>
          <w:spacing w:val="-2"/>
        </w:rPr>
        <w:t>casi</w:t>
      </w:r>
      <w:r>
        <w:rPr>
          <w:spacing w:val="-5"/>
        </w:rPr>
        <w:t xml:space="preserve"> </w:t>
      </w:r>
      <w:r>
        <w:rPr>
          <w:spacing w:val="-2"/>
        </w:rPr>
        <w:t>todas</w:t>
      </w:r>
      <w:r>
        <w:rPr>
          <w:spacing w:val="-6"/>
        </w:rPr>
        <w:t xml:space="preserve"> </w:t>
      </w:r>
      <w:r>
        <w:rPr>
          <w:spacing w:val="-2"/>
        </w:rPr>
        <w:t>las</w:t>
      </w:r>
      <w:r>
        <w:rPr>
          <w:spacing w:val="-7"/>
        </w:rPr>
        <w:t xml:space="preserve"> </w:t>
      </w:r>
      <w:r>
        <w:rPr>
          <w:spacing w:val="-2"/>
        </w:rPr>
        <w:t>campañas</w:t>
      </w:r>
      <w:r>
        <w:rPr>
          <w:spacing w:val="-6"/>
        </w:rPr>
        <w:t xml:space="preserve"> </w:t>
      </w:r>
      <w:r>
        <w:rPr>
          <w:spacing w:val="-2"/>
        </w:rPr>
        <w:t>y</w:t>
      </w:r>
      <w:r>
        <w:rPr>
          <w:spacing w:val="-6"/>
        </w:rPr>
        <w:t xml:space="preserve"> </w:t>
      </w:r>
      <w:r>
        <w:rPr>
          <w:spacing w:val="-2"/>
        </w:rPr>
        <w:t>los</w:t>
      </w:r>
      <w:r>
        <w:rPr>
          <w:spacing w:val="-6"/>
        </w:rPr>
        <w:t xml:space="preserve"> </w:t>
      </w:r>
      <w:r>
        <w:rPr>
          <w:spacing w:val="-2"/>
        </w:rPr>
        <w:t>candidatos</w:t>
      </w:r>
      <w:r>
        <w:rPr>
          <w:spacing w:val="-7"/>
        </w:rPr>
        <w:t xml:space="preserve"> </w:t>
      </w:r>
      <w:r>
        <w:rPr>
          <w:spacing w:val="-2"/>
        </w:rPr>
        <w:t>se</w:t>
      </w:r>
      <w:r>
        <w:rPr>
          <w:spacing w:val="-6"/>
        </w:rPr>
        <w:t xml:space="preserve"> </w:t>
      </w:r>
      <w:r>
        <w:rPr>
          <w:spacing w:val="-2"/>
        </w:rPr>
        <w:t xml:space="preserve">señalaban </w:t>
      </w:r>
      <w:r>
        <w:t>entre ellos. Desde 1977, en los cables enviados por su embajada al gobierno de los Estados Unidos, se informaba de los posibles relacionamientos con narcotraficantes de campañas presidenciales de periodos anteriores y se planteaba que la corrupción que estaba en todos los</w:t>
      </w:r>
      <w:r>
        <w:rPr>
          <w:spacing w:val="-9"/>
        </w:rPr>
        <w:t xml:space="preserve"> </w:t>
      </w:r>
      <w:r>
        <w:t>sectores</w:t>
      </w:r>
      <w:r>
        <w:rPr>
          <w:spacing w:val="-9"/>
        </w:rPr>
        <w:t xml:space="preserve"> </w:t>
      </w:r>
      <w:r>
        <w:t>y</w:t>
      </w:r>
      <w:r>
        <w:rPr>
          <w:spacing w:val="-9"/>
        </w:rPr>
        <w:t xml:space="preserve"> </w:t>
      </w:r>
      <w:r>
        <w:lastRenderedPageBreak/>
        <w:t>estamentos</w:t>
      </w:r>
      <w:r>
        <w:rPr>
          <w:spacing w:val="-9"/>
        </w:rPr>
        <w:t xml:space="preserve"> </w:t>
      </w:r>
      <w:r>
        <w:t>del</w:t>
      </w:r>
      <w:r>
        <w:rPr>
          <w:spacing w:val="-9"/>
        </w:rPr>
        <w:t xml:space="preserve"> </w:t>
      </w:r>
      <w:r>
        <w:t>gobierno</w:t>
      </w:r>
      <w:r>
        <w:rPr>
          <w:spacing w:val="-9"/>
        </w:rPr>
        <w:t xml:space="preserve"> </w:t>
      </w:r>
      <w:r>
        <w:t>era</w:t>
      </w:r>
      <w:r>
        <w:rPr>
          <w:spacing w:val="-9"/>
        </w:rPr>
        <w:t xml:space="preserve"> </w:t>
      </w:r>
      <w:r>
        <w:t>la</w:t>
      </w:r>
      <w:r>
        <w:rPr>
          <w:spacing w:val="-9"/>
        </w:rPr>
        <w:t xml:space="preserve"> </w:t>
      </w:r>
      <w:r>
        <w:t>principal</w:t>
      </w:r>
      <w:r>
        <w:rPr>
          <w:spacing w:val="-9"/>
        </w:rPr>
        <w:t xml:space="preserve"> </w:t>
      </w:r>
      <w:r>
        <w:t>amenaza</w:t>
      </w:r>
      <w:r>
        <w:rPr>
          <w:spacing w:val="-9"/>
        </w:rPr>
        <w:t xml:space="preserve"> </w:t>
      </w:r>
      <w:r>
        <w:t>para</w:t>
      </w:r>
      <w:r>
        <w:rPr>
          <w:spacing w:val="-9"/>
        </w:rPr>
        <w:t xml:space="preserve"> </w:t>
      </w:r>
      <w:r>
        <w:t>«la</w:t>
      </w:r>
      <w:r>
        <w:rPr>
          <w:spacing w:val="-9"/>
        </w:rPr>
        <w:t xml:space="preserve"> </w:t>
      </w:r>
      <w:r>
        <w:t>sobrevivencia</w:t>
      </w:r>
      <w:r>
        <w:rPr>
          <w:spacing w:val="-9"/>
        </w:rPr>
        <w:t xml:space="preserve"> </w:t>
      </w:r>
      <w:r>
        <w:t>de</w:t>
      </w:r>
      <w:r>
        <w:rPr>
          <w:spacing w:val="-9"/>
        </w:rPr>
        <w:t xml:space="preserve"> </w:t>
      </w:r>
      <w:r>
        <w:t>las instituciones democráticas»</w:t>
      </w:r>
      <w:r w:rsidR="001D572E">
        <w:rPr>
          <w:rStyle w:val="Refdenotaalpie"/>
        </w:rPr>
        <w:footnoteReference w:id="545"/>
      </w:r>
      <w:r>
        <w:t>. Sin embargo, en muchos de esos cables es claro que la preocupación de Estados Unidos estaba relacionada con el compromiso de colaboración de Colombia con las agendas de dicho país (como las políticas de presencia de sus pilotos en operaciones</w:t>
      </w:r>
      <w:r>
        <w:rPr>
          <w:spacing w:val="58"/>
          <w:w w:val="150"/>
        </w:rPr>
        <w:t xml:space="preserve"> </w:t>
      </w:r>
      <w:r>
        <w:t>antidrogas,</w:t>
      </w:r>
      <w:r>
        <w:rPr>
          <w:spacing w:val="58"/>
          <w:w w:val="150"/>
        </w:rPr>
        <w:t xml:space="preserve"> </w:t>
      </w:r>
      <w:r>
        <w:t>los</w:t>
      </w:r>
      <w:r>
        <w:rPr>
          <w:spacing w:val="59"/>
          <w:w w:val="150"/>
        </w:rPr>
        <w:t xml:space="preserve"> </w:t>
      </w:r>
      <w:r>
        <w:t>programas</w:t>
      </w:r>
      <w:r>
        <w:rPr>
          <w:spacing w:val="59"/>
          <w:w w:val="150"/>
        </w:rPr>
        <w:t xml:space="preserve"> </w:t>
      </w:r>
      <w:r>
        <w:t>de</w:t>
      </w:r>
      <w:r>
        <w:rPr>
          <w:spacing w:val="60"/>
          <w:w w:val="150"/>
        </w:rPr>
        <w:t xml:space="preserve"> </w:t>
      </w:r>
      <w:r>
        <w:t>desarrollo</w:t>
      </w:r>
      <w:r>
        <w:rPr>
          <w:spacing w:val="59"/>
          <w:w w:val="150"/>
        </w:rPr>
        <w:t xml:space="preserve"> </w:t>
      </w:r>
      <w:r>
        <w:t>alternativo,</w:t>
      </w:r>
      <w:r>
        <w:rPr>
          <w:spacing w:val="59"/>
          <w:w w:val="150"/>
        </w:rPr>
        <w:t xml:space="preserve"> </w:t>
      </w:r>
      <w:r>
        <w:t>la</w:t>
      </w:r>
      <w:r>
        <w:rPr>
          <w:spacing w:val="58"/>
          <w:w w:val="150"/>
        </w:rPr>
        <w:t xml:space="preserve"> </w:t>
      </w:r>
      <w:r>
        <w:t>erradicación</w:t>
      </w:r>
      <w:r>
        <w:rPr>
          <w:spacing w:val="60"/>
          <w:w w:val="150"/>
        </w:rPr>
        <w:t xml:space="preserve"> </w:t>
      </w:r>
      <w:r>
        <w:rPr>
          <w:spacing w:val="-5"/>
        </w:rPr>
        <w:t>con</w:t>
      </w:r>
      <w:bookmarkStart w:id="714" w:name="_bookmark606"/>
      <w:bookmarkStart w:id="715" w:name="_bookmark607"/>
      <w:bookmarkEnd w:id="714"/>
      <w:bookmarkEnd w:id="715"/>
      <w:r w:rsidR="00F4582E">
        <w:rPr>
          <w:spacing w:val="-5"/>
        </w:rPr>
        <w:t xml:space="preserve"> </w:t>
      </w:r>
      <w:r>
        <w:t>herbicidas y la extradición</w:t>
      </w:r>
      <w:r w:rsidR="00F4582E">
        <w:rPr>
          <w:rStyle w:val="Refdenotaalpie"/>
        </w:rPr>
        <w:footnoteReference w:id="546"/>
      </w:r>
      <w:r>
        <w:t>). Mientras tanto, algunos políticos denunciaban que estos señalamientos eran solo rumores</w:t>
      </w:r>
      <w:r w:rsidR="00F4582E">
        <w:rPr>
          <w:rStyle w:val="Refdenotaalpie"/>
        </w:rPr>
        <w:footnoteReference w:id="547"/>
      </w:r>
      <w:r>
        <w:t>.</w:t>
      </w:r>
    </w:p>
    <w:p w:rsidR="003804AC" w:rsidRDefault="00AF18A5" w:rsidP="00F4582E">
      <w:r>
        <w:t>Según</w:t>
      </w:r>
      <w:r>
        <w:rPr>
          <w:spacing w:val="-5"/>
        </w:rPr>
        <w:t xml:space="preserve"> </w:t>
      </w:r>
      <w:r>
        <w:t>los</w:t>
      </w:r>
      <w:r>
        <w:rPr>
          <w:spacing w:val="-5"/>
        </w:rPr>
        <w:t xml:space="preserve"> </w:t>
      </w:r>
      <w:r>
        <w:t>testimonios</w:t>
      </w:r>
      <w:r>
        <w:rPr>
          <w:spacing w:val="-5"/>
        </w:rPr>
        <w:t xml:space="preserve"> </w:t>
      </w:r>
      <w:r>
        <w:t>recogidos</w:t>
      </w:r>
      <w:r>
        <w:rPr>
          <w:spacing w:val="-5"/>
        </w:rPr>
        <w:t xml:space="preserve"> </w:t>
      </w:r>
      <w:r>
        <w:t>por</w:t>
      </w:r>
      <w:r>
        <w:rPr>
          <w:spacing w:val="-6"/>
        </w:rPr>
        <w:t xml:space="preserve"> </w:t>
      </w:r>
      <w:r>
        <w:t>la</w:t>
      </w:r>
      <w:r>
        <w:rPr>
          <w:spacing w:val="-5"/>
        </w:rPr>
        <w:t xml:space="preserve"> </w:t>
      </w:r>
      <w:r>
        <w:t>Comisión,</w:t>
      </w:r>
      <w:r>
        <w:rPr>
          <w:spacing w:val="-6"/>
        </w:rPr>
        <w:t xml:space="preserve"> </w:t>
      </w:r>
      <w:r>
        <w:t>la</w:t>
      </w:r>
      <w:r>
        <w:rPr>
          <w:spacing w:val="-5"/>
        </w:rPr>
        <w:t xml:space="preserve"> </w:t>
      </w:r>
      <w:r>
        <w:t>entrada</w:t>
      </w:r>
      <w:r>
        <w:rPr>
          <w:spacing w:val="-5"/>
        </w:rPr>
        <w:t xml:space="preserve"> </w:t>
      </w:r>
      <w:r>
        <w:t>de</w:t>
      </w:r>
      <w:r>
        <w:rPr>
          <w:spacing w:val="-5"/>
        </w:rPr>
        <w:t xml:space="preserve"> </w:t>
      </w:r>
      <w:r>
        <w:t>dinero</w:t>
      </w:r>
      <w:r>
        <w:rPr>
          <w:spacing w:val="-5"/>
        </w:rPr>
        <w:t xml:space="preserve"> </w:t>
      </w:r>
      <w:r>
        <w:t>del</w:t>
      </w:r>
      <w:r>
        <w:rPr>
          <w:spacing w:val="-6"/>
        </w:rPr>
        <w:t xml:space="preserve"> </w:t>
      </w:r>
      <w:r>
        <w:t>narcotráfico</w:t>
      </w:r>
      <w:r>
        <w:rPr>
          <w:spacing w:val="-6"/>
        </w:rPr>
        <w:t xml:space="preserve"> </w:t>
      </w:r>
      <w:r>
        <w:t>en las campañas presidenciales fue una de las formas en que el narcotráfico obtuvo poder y control</w:t>
      </w:r>
      <w:r>
        <w:rPr>
          <w:spacing w:val="-6"/>
        </w:rPr>
        <w:t xml:space="preserve"> </w:t>
      </w:r>
      <w:r>
        <w:t>político.</w:t>
      </w:r>
      <w:r>
        <w:rPr>
          <w:spacing w:val="-6"/>
        </w:rPr>
        <w:t xml:space="preserve"> </w:t>
      </w:r>
      <w:r>
        <w:t>En</w:t>
      </w:r>
      <w:r>
        <w:rPr>
          <w:spacing w:val="-6"/>
        </w:rPr>
        <w:t xml:space="preserve"> </w:t>
      </w:r>
      <w:r>
        <w:t>el</w:t>
      </w:r>
      <w:r>
        <w:rPr>
          <w:spacing w:val="-6"/>
        </w:rPr>
        <w:t xml:space="preserve"> </w:t>
      </w:r>
      <w:r>
        <w:t>periodo</w:t>
      </w:r>
      <w:r>
        <w:rPr>
          <w:spacing w:val="-6"/>
        </w:rPr>
        <w:t xml:space="preserve"> </w:t>
      </w:r>
      <w:r>
        <w:t>de</w:t>
      </w:r>
      <w:r>
        <w:rPr>
          <w:spacing w:val="-6"/>
        </w:rPr>
        <w:t xml:space="preserve"> </w:t>
      </w:r>
      <w:r>
        <w:t>la</w:t>
      </w:r>
      <w:r>
        <w:rPr>
          <w:spacing w:val="-6"/>
        </w:rPr>
        <w:t xml:space="preserve"> </w:t>
      </w:r>
      <w:r>
        <w:t>configuración</w:t>
      </w:r>
      <w:r>
        <w:rPr>
          <w:spacing w:val="-7"/>
        </w:rPr>
        <w:t xml:space="preserve"> </w:t>
      </w:r>
      <w:r>
        <w:t>de</w:t>
      </w:r>
      <w:r>
        <w:rPr>
          <w:spacing w:val="-6"/>
        </w:rPr>
        <w:t xml:space="preserve"> </w:t>
      </w:r>
      <w:r>
        <w:t>los</w:t>
      </w:r>
      <w:r>
        <w:rPr>
          <w:spacing w:val="-6"/>
        </w:rPr>
        <w:t xml:space="preserve"> </w:t>
      </w:r>
      <w:r>
        <w:t>carteles</w:t>
      </w:r>
      <w:r>
        <w:rPr>
          <w:spacing w:val="-6"/>
        </w:rPr>
        <w:t xml:space="preserve"> </w:t>
      </w:r>
      <w:r>
        <w:t>de</w:t>
      </w:r>
      <w:r>
        <w:rPr>
          <w:spacing w:val="-6"/>
        </w:rPr>
        <w:t xml:space="preserve"> </w:t>
      </w:r>
      <w:r>
        <w:t>Medellín</w:t>
      </w:r>
      <w:r>
        <w:rPr>
          <w:spacing w:val="-6"/>
        </w:rPr>
        <w:t xml:space="preserve"> </w:t>
      </w:r>
      <w:r>
        <w:t>y</w:t>
      </w:r>
      <w:r>
        <w:rPr>
          <w:spacing w:val="-6"/>
        </w:rPr>
        <w:t xml:space="preserve"> </w:t>
      </w:r>
      <w:r>
        <w:t>Cali,</w:t>
      </w:r>
      <w:r>
        <w:rPr>
          <w:spacing w:val="-6"/>
        </w:rPr>
        <w:t xml:space="preserve"> </w:t>
      </w:r>
      <w:r>
        <w:t>el</w:t>
      </w:r>
      <w:r>
        <w:rPr>
          <w:spacing w:val="-7"/>
        </w:rPr>
        <w:t xml:space="preserve"> </w:t>
      </w:r>
      <w:r>
        <w:t>tema central de disputa política fue la extradición. La Comisión tuvo acceso a documentos del gobierno estadounidense</w:t>
      </w:r>
      <w:r w:rsidR="00F4582E">
        <w:rPr>
          <w:rStyle w:val="Refdenotaalpie"/>
        </w:rPr>
        <w:footnoteReference w:id="548"/>
      </w:r>
      <w:r>
        <w:t xml:space="preserve"> donde representantes y </w:t>
      </w:r>
      <w:r>
        <w:lastRenderedPageBreak/>
        <w:t>agencias mostraban serias preocupaciones por el nivel de penetración que podían llegar a tener estos dineros en las campañas</w:t>
      </w:r>
      <w:r>
        <w:rPr>
          <w:spacing w:val="-10"/>
        </w:rPr>
        <w:t xml:space="preserve"> </w:t>
      </w:r>
      <w:r>
        <w:t>de</w:t>
      </w:r>
      <w:r>
        <w:rPr>
          <w:spacing w:val="-12"/>
        </w:rPr>
        <w:t xml:space="preserve"> </w:t>
      </w:r>
      <w:r>
        <w:t>1974,</w:t>
      </w:r>
      <w:r>
        <w:rPr>
          <w:spacing w:val="-11"/>
        </w:rPr>
        <w:t xml:space="preserve"> </w:t>
      </w:r>
      <w:r>
        <w:t>ganada</w:t>
      </w:r>
      <w:r>
        <w:rPr>
          <w:spacing w:val="-10"/>
        </w:rPr>
        <w:t xml:space="preserve"> </w:t>
      </w:r>
      <w:r>
        <w:t>por</w:t>
      </w:r>
      <w:r>
        <w:rPr>
          <w:spacing w:val="-10"/>
        </w:rPr>
        <w:t xml:space="preserve"> </w:t>
      </w:r>
      <w:r>
        <w:t>Alfonso</w:t>
      </w:r>
      <w:r>
        <w:rPr>
          <w:spacing w:val="-11"/>
        </w:rPr>
        <w:t xml:space="preserve"> </w:t>
      </w:r>
      <w:r>
        <w:t>López</w:t>
      </w:r>
      <w:r>
        <w:rPr>
          <w:spacing w:val="-10"/>
        </w:rPr>
        <w:t xml:space="preserve"> </w:t>
      </w:r>
      <w:r>
        <w:t>Michelsen;</w:t>
      </w:r>
      <w:r>
        <w:rPr>
          <w:spacing w:val="-10"/>
        </w:rPr>
        <w:t xml:space="preserve"> </w:t>
      </w:r>
      <w:r>
        <w:t>la</w:t>
      </w:r>
      <w:r>
        <w:rPr>
          <w:spacing w:val="-12"/>
        </w:rPr>
        <w:t xml:space="preserve"> </w:t>
      </w:r>
      <w:r>
        <w:t>de</w:t>
      </w:r>
      <w:r>
        <w:rPr>
          <w:spacing w:val="-12"/>
        </w:rPr>
        <w:t xml:space="preserve"> </w:t>
      </w:r>
      <w:r>
        <w:t>1978,</w:t>
      </w:r>
      <w:r>
        <w:rPr>
          <w:spacing w:val="-11"/>
        </w:rPr>
        <w:t xml:space="preserve"> </w:t>
      </w:r>
      <w:r>
        <w:t>ganada</w:t>
      </w:r>
      <w:r>
        <w:rPr>
          <w:spacing w:val="-10"/>
        </w:rPr>
        <w:t xml:space="preserve"> </w:t>
      </w:r>
      <w:r>
        <w:t>por</w:t>
      </w:r>
      <w:r>
        <w:rPr>
          <w:spacing w:val="-10"/>
        </w:rPr>
        <w:t xml:space="preserve"> </w:t>
      </w:r>
      <w:r>
        <w:t>Julio</w:t>
      </w:r>
      <w:r>
        <w:rPr>
          <w:spacing w:val="-12"/>
        </w:rPr>
        <w:t xml:space="preserve"> </w:t>
      </w:r>
      <w:r>
        <w:t>César Turbay</w:t>
      </w:r>
      <w:r>
        <w:rPr>
          <w:spacing w:val="-7"/>
        </w:rPr>
        <w:t xml:space="preserve"> </w:t>
      </w:r>
      <w:r>
        <w:t>Ayala;</w:t>
      </w:r>
      <w:r>
        <w:rPr>
          <w:spacing w:val="-7"/>
        </w:rPr>
        <w:t xml:space="preserve"> </w:t>
      </w:r>
      <w:r>
        <w:t>y</w:t>
      </w:r>
      <w:r>
        <w:rPr>
          <w:spacing w:val="-7"/>
        </w:rPr>
        <w:t xml:space="preserve"> </w:t>
      </w:r>
      <w:r>
        <w:t>la</w:t>
      </w:r>
      <w:r>
        <w:rPr>
          <w:spacing w:val="-7"/>
        </w:rPr>
        <w:t xml:space="preserve"> </w:t>
      </w:r>
      <w:r>
        <w:t>de</w:t>
      </w:r>
      <w:r>
        <w:rPr>
          <w:spacing w:val="-7"/>
        </w:rPr>
        <w:t xml:space="preserve"> </w:t>
      </w:r>
      <w:r>
        <w:t>1982,</w:t>
      </w:r>
      <w:r>
        <w:rPr>
          <w:spacing w:val="-7"/>
        </w:rPr>
        <w:t xml:space="preserve"> </w:t>
      </w:r>
      <w:r>
        <w:t>donde</w:t>
      </w:r>
      <w:r>
        <w:rPr>
          <w:spacing w:val="-7"/>
        </w:rPr>
        <w:t xml:space="preserve"> </w:t>
      </w:r>
      <w:r>
        <w:t>López</w:t>
      </w:r>
      <w:r>
        <w:rPr>
          <w:spacing w:val="-7"/>
        </w:rPr>
        <w:t xml:space="preserve"> </w:t>
      </w:r>
      <w:r>
        <w:t>Michelsen</w:t>
      </w:r>
      <w:r>
        <w:rPr>
          <w:spacing w:val="-7"/>
        </w:rPr>
        <w:t xml:space="preserve"> </w:t>
      </w:r>
      <w:r>
        <w:t>intentó</w:t>
      </w:r>
      <w:r>
        <w:rPr>
          <w:spacing w:val="-7"/>
        </w:rPr>
        <w:t xml:space="preserve"> </w:t>
      </w:r>
      <w:r>
        <w:t>ser</w:t>
      </w:r>
      <w:r>
        <w:rPr>
          <w:spacing w:val="-7"/>
        </w:rPr>
        <w:t xml:space="preserve"> </w:t>
      </w:r>
      <w:r>
        <w:t>reelegido.</w:t>
      </w:r>
      <w:r>
        <w:rPr>
          <w:spacing w:val="-8"/>
        </w:rPr>
        <w:t xml:space="preserve"> </w:t>
      </w:r>
      <w:r>
        <w:t>Es</w:t>
      </w:r>
      <w:r>
        <w:rPr>
          <w:spacing w:val="-7"/>
        </w:rPr>
        <w:t xml:space="preserve"> </w:t>
      </w:r>
      <w:r>
        <w:t>difícil</w:t>
      </w:r>
      <w:r>
        <w:rPr>
          <w:spacing w:val="-7"/>
        </w:rPr>
        <w:t xml:space="preserve"> </w:t>
      </w:r>
      <w:r>
        <w:t>precisar quién financió a quién, pero es claro que el sistema político y electoral ha sabido promover el</w:t>
      </w:r>
      <w:r>
        <w:rPr>
          <w:spacing w:val="77"/>
        </w:rPr>
        <w:t xml:space="preserve"> </w:t>
      </w:r>
      <w:r>
        <w:t>clientelismo</w:t>
      </w:r>
      <w:r>
        <w:rPr>
          <w:spacing w:val="79"/>
        </w:rPr>
        <w:t xml:space="preserve"> </w:t>
      </w:r>
      <w:r>
        <w:t>y</w:t>
      </w:r>
      <w:r>
        <w:rPr>
          <w:spacing w:val="79"/>
        </w:rPr>
        <w:t xml:space="preserve"> </w:t>
      </w:r>
      <w:r>
        <w:t>una</w:t>
      </w:r>
      <w:r>
        <w:rPr>
          <w:spacing w:val="79"/>
        </w:rPr>
        <w:t xml:space="preserve"> </w:t>
      </w:r>
      <w:r>
        <w:t>creciente</w:t>
      </w:r>
      <w:r>
        <w:rPr>
          <w:spacing w:val="79"/>
        </w:rPr>
        <w:t xml:space="preserve"> </w:t>
      </w:r>
      <w:r>
        <w:t>corrupción</w:t>
      </w:r>
      <w:r>
        <w:rPr>
          <w:spacing w:val="50"/>
          <w:w w:val="150"/>
        </w:rPr>
        <w:t xml:space="preserve"> </w:t>
      </w:r>
      <w:r>
        <w:t>electoral</w:t>
      </w:r>
      <w:r>
        <w:rPr>
          <w:spacing w:val="79"/>
        </w:rPr>
        <w:t xml:space="preserve"> </w:t>
      </w:r>
      <w:r>
        <w:t>que</w:t>
      </w:r>
      <w:r>
        <w:rPr>
          <w:spacing w:val="78"/>
        </w:rPr>
        <w:t xml:space="preserve"> </w:t>
      </w:r>
      <w:r>
        <w:t>ha</w:t>
      </w:r>
      <w:r>
        <w:rPr>
          <w:spacing w:val="79"/>
        </w:rPr>
        <w:t xml:space="preserve"> </w:t>
      </w:r>
      <w:r>
        <w:t>minado</w:t>
      </w:r>
      <w:r>
        <w:rPr>
          <w:spacing w:val="78"/>
        </w:rPr>
        <w:t xml:space="preserve"> </w:t>
      </w:r>
      <w:r>
        <w:t>la</w:t>
      </w:r>
      <w:r>
        <w:rPr>
          <w:spacing w:val="80"/>
        </w:rPr>
        <w:t xml:space="preserve"> </w:t>
      </w:r>
      <w:r>
        <w:rPr>
          <w:spacing w:val="-2"/>
        </w:rPr>
        <w:t>transparencia</w:t>
      </w:r>
      <w:bookmarkStart w:id="716" w:name="_bookmark608"/>
      <w:bookmarkStart w:id="717" w:name="_bookmark609"/>
      <w:bookmarkStart w:id="718" w:name="_bookmark610"/>
      <w:bookmarkEnd w:id="716"/>
      <w:bookmarkEnd w:id="717"/>
      <w:bookmarkEnd w:id="718"/>
      <w:r w:rsidR="00F4582E">
        <w:rPr>
          <w:spacing w:val="-2"/>
        </w:rPr>
        <w:t xml:space="preserve"> </w:t>
      </w:r>
      <w:r>
        <w:t>democrática –sobre todo a nivel regional– y ha incentivado la tolerancia frente a la circulación de recursos de dudosa transparencia como base del ejercicio político</w:t>
      </w:r>
      <w:r w:rsidR="00F4582E">
        <w:rPr>
          <w:rStyle w:val="Refdenotaalpie"/>
        </w:rPr>
        <w:footnoteReference w:id="549"/>
      </w:r>
      <w:r>
        <w:t>.</w:t>
      </w:r>
    </w:p>
    <w:p w:rsidR="003804AC" w:rsidRDefault="00AF18A5" w:rsidP="00F4582E">
      <w:r>
        <w:lastRenderedPageBreak/>
        <w:t>Los</w:t>
      </w:r>
      <w:r>
        <w:rPr>
          <w:spacing w:val="-3"/>
        </w:rPr>
        <w:t xml:space="preserve"> </w:t>
      </w:r>
      <w:r>
        <w:t>señalamientos</w:t>
      </w:r>
      <w:r>
        <w:rPr>
          <w:spacing w:val="-3"/>
        </w:rPr>
        <w:t xml:space="preserve"> </w:t>
      </w:r>
      <w:r>
        <w:t>por</w:t>
      </w:r>
      <w:r>
        <w:rPr>
          <w:spacing w:val="-3"/>
        </w:rPr>
        <w:t xml:space="preserve"> </w:t>
      </w:r>
      <w:r>
        <w:t>el</w:t>
      </w:r>
      <w:r>
        <w:rPr>
          <w:spacing w:val="-4"/>
        </w:rPr>
        <w:t xml:space="preserve"> </w:t>
      </w:r>
      <w:r>
        <w:t>involucramiento</w:t>
      </w:r>
      <w:r>
        <w:rPr>
          <w:spacing w:val="-4"/>
        </w:rPr>
        <w:t xml:space="preserve"> </w:t>
      </w:r>
      <w:r>
        <w:t>del</w:t>
      </w:r>
      <w:r>
        <w:rPr>
          <w:spacing w:val="-3"/>
        </w:rPr>
        <w:t xml:space="preserve"> </w:t>
      </w:r>
      <w:r>
        <w:t>narcotráfico</w:t>
      </w:r>
      <w:r>
        <w:rPr>
          <w:spacing w:val="-4"/>
        </w:rPr>
        <w:t xml:space="preserve"> </w:t>
      </w:r>
      <w:r>
        <w:t>en</w:t>
      </w:r>
      <w:r>
        <w:rPr>
          <w:spacing w:val="-5"/>
        </w:rPr>
        <w:t xml:space="preserve"> </w:t>
      </w:r>
      <w:r>
        <w:t>la</w:t>
      </w:r>
      <w:r>
        <w:rPr>
          <w:spacing w:val="-3"/>
        </w:rPr>
        <w:t xml:space="preserve"> </w:t>
      </w:r>
      <w:r>
        <w:t>política</w:t>
      </w:r>
      <w:r>
        <w:rPr>
          <w:spacing w:val="-3"/>
        </w:rPr>
        <w:t xml:space="preserve"> </w:t>
      </w:r>
      <w:r>
        <w:t>han</w:t>
      </w:r>
      <w:r>
        <w:rPr>
          <w:spacing w:val="-4"/>
        </w:rPr>
        <w:t xml:space="preserve"> </w:t>
      </w:r>
      <w:r>
        <w:t>salido</w:t>
      </w:r>
      <w:r>
        <w:rPr>
          <w:spacing w:val="-4"/>
        </w:rPr>
        <w:t xml:space="preserve"> </w:t>
      </w:r>
      <w:r>
        <w:t>de</w:t>
      </w:r>
      <w:r>
        <w:rPr>
          <w:spacing w:val="-5"/>
        </w:rPr>
        <w:t xml:space="preserve"> </w:t>
      </w:r>
      <w:r>
        <w:t>los propios</w:t>
      </w:r>
      <w:r>
        <w:rPr>
          <w:spacing w:val="-3"/>
        </w:rPr>
        <w:t xml:space="preserve"> </w:t>
      </w:r>
      <w:r>
        <w:t>narcotraficantes.</w:t>
      </w:r>
      <w:r>
        <w:rPr>
          <w:spacing w:val="-5"/>
        </w:rPr>
        <w:t xml:space="preserve"> </w:t>
      </w:r>
      <w:r>
        <w:t>En</w:t>
      </w:r>
      <w:r>
        <w:rPr>
          <w:spacing w:val="-3"/>
        </w:rPr>
        <w:t xml:space="preserve"> </w:t>
      </w:r>
      <w:r>
        <w:t>julio</w:t>
      </w:r>
      <w:r>
        <w:rPr>
          <w:spacing w:val="-5"/>
        </w:rPr>
        <w:t xml:space="preserve"> </w:t>
      </w:r>
      <w:r>
        <w:t>de</w:t>
      </w:r>
      <w:r>
        <w:rPr>
          <w:spacing w:val="-4"/>
        </w:rPr>
        <w:t xml:space="preserve"> </w:t>
      </w:r>
      <w:r>
        <w:t>1984,</w:t>
      </w:r>
      <w:r>
        <w:rPr>
          <w:spacing w:val="-3"/>
        </w:rPr>
        <w:t xml:space="preserve"> </w:t>
      </w:r>
      <w:r>
        <w:t>el</w:t>
      </w:r>
      <w:r>
        <w:rPr>
          <w:spacing w:val="-4"/>
        </w:rPr>
        <w:t xml:space="preserve"> </w:t>
      </w:r>
      <w:r>
        <w:t>expresidente</w:t>
      </w:r>
      <w:r>
        <w:rPr>
          <w:spacing w:val="-4"/>
        </w:rPr>
        <w:t xml:space="preserve"> </w:t>
      </w:r>
      <w:r>
        <w:t>Alfonso</w:t>
      </w:r>
      <w:r>
        <w:rPr>
          <w:spacing w:val="-3"/>
        </w:rPr>
        <w:t xml:space="preserve"> </w:t>
      </w:r>
      <w:r>
        <w:t>López</w:t>
      </w:r>
      <w:r>
        <w:rPr>
          <w:spacing w:val="-4"/>
        </w:rPr>
        <w:t xml:space="preserve"> </w:t>
      </w:r>
      <w:r>
        <w:t>Michelsen</w:t>
      </w:r>
      <w:r>
        <w:rPr>
          <w:spacing w:val="-5"/>
        </w:rPr>
        <w:t xml:space="preserve"> </w:t>
      </w:r>
      <w:r>
        <w:t>(1974- 1978) se entrevistó con narcotraficantes en Panamá, donde dijo que ellos «[c]</w:t>
      </w:r>
      <w:proofErr w:type="spellStart"/>
      <w:r>
        <w:t>onfirmaron</w:t>
      </w:r>
      <w:proofErr w:type="spellEnd"/>
      <w:r>
        <w:t xml:space="preserve"> rumores</w:t>
      </w:r>
      <w:r>
        <w:rPr>
          <w:spacing w:val="-15"/>
        </w:rPr>
        <w:t xml:space="preserve"> </w:t>
      </w:r>
      <w:r>
        <w:t>que</w:t>
      </w:r>
      <w:r>
        <w:rPr>
          <w:spacing w:val="-15"/>
        </w:rPr>
        <w:t xml:space="preserve"> </w:t>
      </w:r>
      <w:r>
        <w:t>circulan</w:t>
      </w:r>
      <w:r>
        <w:rPr>
          <w:spacing w:val="-15"/>
        </w:rPr>
        <w:t xml:space="preserve"> </w:t>
      </w:r>
      <w:r>
        <w:t>acerca</w:t>
      </w:r>
      <w:r>
        <w:rPr>
          <w:spacing w:val="-15"/>
        </w:rPr>
        <w:t xml:space="preserve"> </w:t>
      </w:r>
      <w:r>
        <w:t>de</w:t>
      </w:r>
      <w:r>
        <w:rPr>
          <w:spacing w:val="-15"/>
        </w:rPr>
        <w:t xml:space="preserve"> </w:t>
      </w:r>
      <w:r>
        <w:t>cheques</w:t>
      </w:r>
      <w:r>
        <w:rPr>
          <w:spacing w:val="-15"/>
        </w:rPr>
        <w:t xml:space="preserve"> </w:t>
      </w:r>
      <w:r>
        <w:t>que</w:t>
      </w:r>
      <w:r>
        <w:rPr>
          <w:spacing w:val="-15"/>
        </w:rPr>
        <w:t xml:space="preserve"> </w:t>
      </w:r>
      <w:r>
        <w:t>comprometían</w:t>
      </w:r>
      <w:r>
        <w:rPr>
          <w:spacing w:val="-15"/>
        </w:rPr>
        <w:t xml:space="preserve"> </w:t>
      </w:r>
      <w:r>
        <w:t>a</w:t>
      </w:r>
      <w:r>
        <w:rPr>
          <w:spacing w:val="-15"/>
        </w:rPr>
        <w:t xml:space="preserve"> </w:t>
      </w:r>
      <w:r>
        <w:t>funcionarios</w:t>
      </w:r>
      <w:r>
        <w:rPr>
          <w:spacing w:val="-15"/>
        </w:rPr>
        <w:t xml:space="preserve"> </w:t>
      </w:r>
      <w:r>
        <w:t>públicos,</w:t>
      </w:r>
      <w:r>
        <w:rPr>
          <w:spacing w:val="-15"/>
        </w:rPr>
        <w:t xml:space="preserve"> </w:t>
      </w:r>
      <w:r>
        <w:t>recibidos durante la pasada campaña presidencial»</w:t>
      </w:r>
      <w:r w:rsidR="00F4582E">
        <w:rPr>
          <w:rStyle w:val="Refdenotaalpie"/>
        </w:rPr>
        <w:footnoteReference w:id="550"/>
      </w:r>
      <w:r>
        <w:t>. La Comisión de la Verdad entrevistó a conocidos narcotraficantes del Cartel de Cali, que confirmaron una frecuente relación y apoyo</w:t>
      </w:r>
      <w:r>
        <w:rPr>
          <w:spacing w:val="-6"/>
        </w:rPr>
        <w:t xml:space="preserve"> </w:t>
      </w:r>
      <w:r>
        <w:t>económico</w:t>
      </w:r>
      <w:r>
        <w:rPr>
          <w:spacing w:val="-6"/>
        </w:rPr>
        <w:t xml:space="preserve"> </w:t>
      </w:r>
      <w:r>
        <w:t>a</w:t>
      </w:r>
      <w:r>
        <w:rPr>
          <w:spacing w:val="-5"/>
        </w:rPr>
        <w:t xml:space="preserve"> </w:t>
      </w:r>
      <w:r>
        <w:t>diferentes</w:t>
      </w:r>
      <w:r>
        <w:rPr>
          <w:spacing w:val="-5"/>
        </w:rPr>
        <w:t xml:space="preserve"> </w:t>
      </w:r>
      <w:r>
        <w:t>políticos,</w:t>
      </w:r>
      <w:r>
        <w:rPr>
          <w:spacing w:val="-6"/>
        </w:rPr>
        <w:t xml:space="preserve"> </w:t>
      </w:r>
      <w:r>
        <w:t>particularmente</w:t>
      </w:r>
      <w:r>
        <w:rPr>
          <w:spacing w:val="-5"/>
        </w:rPr>
        <w:t xml:space="preserve"> </w:t>
      </w:r>
      <w:r>
        <w:t>miembros</w:t>
      </w:r>
      <w:r>
        <w:rPr>
          <w:spacing w:val="-5"/>
        </w:rPr>
        <w:t xml:space="preserve"> </w:t>
      </w:r>
      <w:r>
        <w:t>del</w:t>
      </w:r>
      <w:r>
        <w:rPr>
          <w:spacing w:val="-5"/>
        </w:rPr>
        <w:t xml:space="preserve"> </w:t>
      </w:r>
      <w:r>
        <w:t>Congreso,</w:t>
      </w:r>
      <w:r>
        <w:rPr>
          <w:spacing w:val="-6"/>
        </w:rPr>
        <w:t xml:space="preserve"> </w:t>
      </w:r>
      <w:r>
        <w:t>Senadores y Representantes de quienes entregaron a la Comisión los nombres.</w:t>
      </w:r>
    </w:p>
    <w:p w:rsidR="003804AC" w:rsidRDefault="00AF18A5" w:rsidP="00F4582E">
      <w:r>
        <w:t>Frente</w:t>
      </w:r>
      <w:r>
        <w:rPr>
          <w:spacing w:val="-11"/>
        </w:rPr>
        <w:t xml:space="preserve"> </w:t>
      </w:r>
      <w:r>
        <w:t>a</w:t>
      </w:r>
      <w:r>
        <w:rPr>
          <w:spacing w:val="-12"/>
        </w:rPr>
        <w:t xml:space="preserve"> </w:t>
      </w:r>
      <w:r>
        <w:t>estas</w:t>
      </w:r>
      <w:r>
        <w:rPr>
          <w:spacing w:val="-11"/>
        </w:rPr>
        <w:t xml:space="preserve"> </w:t>
      </w:r>
      <w:r>
        <w:t>denuncias,</w:t>
      </w:r>
      <w:r>
        <w:rPr>
          <w:spacing w:val="-12"/>
        </w:rPr>
        <w:t xml:space="preserve"> </w:t>
      </w:r>
      <w:r>
        <w:t>el</w:t>
      </w:r>
      <w:r>
        <w:rPr>
          <w:spacing w:val="-10"/>
        </w:rPr>
        <w:t xml:space="preserve"> </w:t>
      </w:r>
      <w:r>
        <w:t>Estado</w:t>
      </w:r>
      <w:r>
        <w:rPr>
          <w:spacing w:val="-12"/>
        </w:rPr>
        <w:t xml:space="preserve"> </w:t>
      </w:r>
      <w:r>
        <w:t>colombiano</w:t>
      </w:r>
      <w:r>
        <w:rPr>
          <w:spacing w:val="-11"/>
        </w:rPr>
        <w:t xml:space="preserve"> </w:t>
      </w:r>
      <w:r>
        <w:t>no</w:t>
      </w:r>
      <w:r>
        <w:rPr>
          <w:spacing w:val="-12"/>
        </w:rPr>
        <w:t xml:space="preserve"> </w:t>
      </w:r>
      <w:r>
        <w:t>ha</w:t>
      </w:r>
      <w:r>
        <w:rPr>
          <w:spacing w:val="-11"/>
        </w:rPr>
        <w:t xml:space="preserve"> </w:t>
      </w:r>
      <w:r>
        <w:t>establecido</w:t>
      </w:r>
      <w:r>
        <w:rPr>
          <w:spacing w:val="-11"/>
        </w:rPr>
        <w:t xml:space="preserve"> </w:t>
      </w:r>
      <w:r>
        <w:t>una</w:t>
      </w:r>
      <w:r>
        <w:rPr>
          <w:spacing w:val="-11"/>
        </w:rPr>
        <w:t xml:space="preserve"> </w:t>
      </w:r>
      <w:r>
        <w:t>estrategia</w:t>
      </w:r>
      <w:r>
        <w:rPr>
          <w:spacing w:val="-11"/>
        </w:rPr>
        <w:t xml:space="preserve"> </w:t>
      </w:r>
      <w:r>
        <w:t>de</w:t>
      </w:r>
      <w:r>
        <w:rPr>
          <w:spacing w:val="-11"/>
        </w:rPr>
        <w:t xml:space="preserve"> </w:t>
      </w:r>
      <w:r>
        <w:t>control contundente</w:t>
      </w:r>
      <w:r>
        <w:rPr>
          <w:spacing w:val="-15"/>
        </w:rPr>
        <w:t xml:space="preserve"> </w:t>
      </w:r>
      <w:r>
        <w:t>de</w:t>
      </w:r>
      <w:r>
        <w:rPr>
          <w:spacing w:val="-15"/>
        </w:rPr>
        <w:t xml:space="preserve"> </w:t>
      </w:r>
      <w:r>
        <w:t>capitales</w:t>
      </w:r>
      <w:r>
        <w:rPr>
          <w:spacing w:val="-15"/>
        </w:rPr>
        <w:t xml:space="preserve"> </w:t>
      </w:r>
      <w:r>
        <w:t>en</w:t>
      </w:r>
      <w:r>
        <w:rPr>
          <w:spacing w:val="-15"/>
        </w:rPr>
        <w:t xml:space="preserve"> </w:t>
      </w:r>
      <w:r>
        <w:t>las</w:t>
      </w:r>
      <w:r>
        <w:rPr>
          <w:spacing w:val="-15"/>
        </w:rPr>
        <w:t xml:space="preserve"> </w:t>
      </w:r>
      <w:r>
        <w:t>campañas</w:t>
      </w:r>
      <w:r>
        <w:rPr>
          <w:spacing w:val="-14"/>
        </w:rPr>
        <w:t xml:space="preserve"> </w:t>
      </w:r>
      <w:r>
        <w:t>políticas.</w:t>
      </w:r>
      <w:r>
        <w:rPr>
          <w:spacing w:val="-15"/>
        </w:rPr>
        <w:t xml:space="preserve"> </w:t>
      </w:r>
      <w:r>
        <w:t>Por</w:t>
      </w:r>
      <w:r>
        <w:rPr>
          <w:spacing w:val="-15"/>
        </w:rPr>
        <w:t xml:space="preserve"> </w:t>
      </w:r>
      <w:r>
        <w:t>el</w:t>
      </w:r>
      <w:r>
        <w:rPr>
          <w:spacing w:val="-15"/>
        </w:rPr>
        <w:t xml:space="preserve"> </w:t>
      </w:r>
      <w:r>
        <w:t>contrario,</w:t>
      </w:r>
      <w:r>
        <w:rPr>
          <w:spacing w:val="-15"/>
        </w:rPr>
        <w:t xml:space="preserve"> </w:t>
      </w:r>
      <w:r>
        <w:t>en</w:t>
      </w:r>
      <w:r>
        <w:rPr>
          <w:spacing w:val="-14"/>
        </w:rPr>
        <w:t xml:space="preserve"> </w:t>
      </w:r>
      <w:r>
        <w:t>la</w:t>
      </w:r>
      <w:r>
        <w:rPr>
          <w:spacing w:val="-15"/>
        </w:rPr>
        <w:t xml:space="preserve"> </w:t>
      </w:r>
      <w:r>
        <w:t>década</w:t>
      </w:r>
      <w:r>
        <w:rPr>
          <w:spacing w:val="-15"/>
        </w:rPr>
        <w:t xml:space="preserve"> </w:t>
      </w:r>
      <w:r>
        <w:t>del</w:t>
      </w:r>
      <w:r>
        <w:rPr>
          <w:spacing w:val="-15"/>
        </w:rPr>
        <w:t xml:space="preserve"> </w:t>
      </w:r>
      <w:r>
        <w:t>noventa, el despliegue del narcotráfico y el paramilitarismo detonó en dos procesos fundamentales que</w:t>
      </w:r>
      <w:r>
        <w:rPr>
          <w:spacing w:val="-9"/>
        </w:rPr>
        <w:t xml:space="preserve"> </w:t>
      </w:r>
      <w:r>
        <w:t>terminaron</w:t>
      </w:r>
      <w:r>
        <w:rPr>
          <w:spacing w:val="-9"/>
        </w:rPr>
        <w:t xml:space="preserve"> </w:t>
      </w:r>
      <w:r>
        <w:t>de</w:t>
      </w:r>
      <w:r>
        <w:rPr>
          <w:spacing w:val="-9"/>
        </w:rPr>
        <w:t xml:space="preserve"> </w:t>
      </w:r>
      <w:r>
        <w:t>quebrar</w:t>
      </w:r>
      <w:r>
        <w:rPr>
          <w:spacing w:val="-9"/>
        </w:rPr>
        <w:t xml:space="preserve"> </w:t>
      </w:r>
      <w:r>
        <w:t>la</w:t>
      </w:r>
      <w:r>
        <w:rPr>
          <w:spacing w:val="-9"/>
        </w:rPr>
        <w:t xml:space="preserve"> </w:t>
      </w:r>
      <w:r>
        <w:t>legitimidad</w:t>
      </w:r>
      <w:r>
        <w:rPr>
          <w:spacing w:val="-9"/>
        </w:rPr>
        <w:t xml:space="preserve"> </w:t>
      </w:r>
      <w:r>
        <w:t>del</w:t>
      </w:r>
      <w:r>
        <w:rPr>
          <w:spacing w:val="-9"/>
        </w:rPr>
        <w:t xml:space="preserve"> </w:t>
      </w:r>
      <w:r>
        <w:t>régimen</w:t>
      </w:r>
      <w:r>
        <w:rPr>
          <w:spacing w:val="-9"/>
        </w:rPr>
        <w:t xml:space="preserve"> </w:t>
      </w:r>
      <w:r>
        <w:t>político</w:t>
      </w:r>
      <w:r>
        <w:rPr>
          <w:spacing w:val="-11"/>
        </w:rPr>
        <w:t xml:space="preserve"> </w:t>
      </w:r>
      <w:r>
        <w:t>e</w:t>
      </w:r>
      <w:r>
        <w:rPr>
          <w:spacing w:val="-9"/>
        </w:rPr>
        <w:t xml:space="preserve"> </w:t>
      </w:r>
      <w:r>
        <w:t>inauguraron</w:t>
      </w:r>
      <w:r>
        <w:rPr>
          <w:spacing w:val="-9"/>
        </w:rPr>
        <w:t xml:space="preserve"> </w:t>
      </w:r>
      <w:r>
        <w:t>una</w:t>
      </w:r>
      <w:r>
        <w:rPr>
          <w:spacing w:val="-9"/>
        </w:rPr>
        <w:t xml:space="preserve"> </w:t>
      </w:r>
      <w:r>
        <w:t>nueva</w:t>
      </w:r>
      <w:r>
        <w:rPr>
          <w:spacing w:val="-9"/>
        </w:rPr>
        <w:t xml:space="preserve"> </w:t>
      </w:r>
      <w:r>
        <w:t>etapa donde el clientelismo y la corrupción aumentaron. El primero fue el proceso 8000: en él, la Comisión</w:t>
      </w:r>
      <w:r>
        <w:rPr>
          <w:spacing w:val="-12"/>
        </w:rPr>
        <w:t xml:space="preserve"> </w:t>
      </w:r>
      <w:r>
        <w:t>de</w:t>
      </w:r>
      <w:r>
        <w:rPr>
          <w:spacing w:val="-13"/>
        </w:rPr>
        <w:t xml:space="preserve"> </w:t>
      </w:r>
      <w:r>
        <w:t>Acusaciones</w:t>
      </w:r>
      <w:r>
        <w:rPr>
          <w:spacing w:val="-12"/>
        </w:rPr>
        <w:t xml:space="preserve"> </w:t>
      </w:r>
      <w:r>
        <w:t>de</w:t>
      </w:r>
      <w:r>
        <w:rPr>
          <w:spacing w:val="-13"/>
        </w:rPr>
        <w:t xml:space="preserve"> </w:t>
      </w:r>
      <w:r>
        <w:t>la</w:t>
      </w:r>
      <w:r>
        <w:rPr>
          <w:spacing w:val="-12"/>
        </w:rPr>
        <w:t xml:space="preserve"> </w:t>
      </w:r>
      <w:r>
        <w:t>Cámara</w:t>
      </w:r>
      <w:r>
        <w:rPr>
          <w:spacing w:val="-12"/>
        </w:rPr>
        <w:t xml:space="preserve"> </w:t>
      </w:r>
      <w:r>
        <w:t>de</w:t>
      </w:r>
      <w:r>
        <w:rPr>
          <w:spacing w:val="-13"/>
        </w:rPr>
        <w:t xml:space="preserve"> </w:t>
      </w:r>
      <w:r>
        <w:t>Representantes,</w:t>
      </w:r>
      <w:r>
        <w:rPr>
          <w:spacing w:val="-12"/>
        </w:rPr>
        <w:t xml:space="preserve"> </w:t>
      </w:r>
      <w:r>
        <w:t>aduciendo</w:t>
      </w:r>
      <w:r>
        <w:rPr>
          <w:spacing w:val="-13"/>
        </w:rPr>
        <w:t xml:space="preserve"> </w:t>
      </w:r>
      <w:r>
        <w:t>falta</w:t>
      </w:r>
      <w:r>
        <w:rPr>
          <w:spacing w:val="-12"/>
        </w:rPr>
        <w:t xml:space="preserve"> </w:t>
      </w:r>
      <w:r>
        <w:t>de</w:t>
      </w:r>
      <w:r>
        <w:rPr>
          <w:spacing w:val="-12"/>
        </w:rPr>
        <w:t xml:space="preserve"> </w:t>
      </w:r>
      <w:r>
        <w:t>pruebas,</w:t>
      </w:r>
      <w:r>
        <w:rPr>
          <w:spacing w:val="-12"/>
        </w:rPr>
        <w:t xml:space="preserve"> </w:t>
      </w:r>
      <w:r>
        <w:t>sobre la responsabilidad del presidente Samper en la infiltración, ciertamente comprobada de dineros</w:t>
      </w:r>
      <w:r>
        <w:rPr>
          <w:spacing w:val="-5"/>
        </w:rPr>
        <w:t xml:space="preserve"> </w:t>
      </w:r>
      <w:r>
        <w:t>del</w:t>
      </w:r>
      <w:r>
        <w:rPr>
          <w:spacing w:val="-5"/>
        </w:rPr>
        <w:t xml:space="preserve"> </w:t>
      </w:r>
      <w:r>
        <w:t>Cartel</w:t>
      </w:r>
      <w:r>
        <w:rPr>
          <w:spacing w:val="-5"/>
        </w:rPr>
        <w:t xml:space="preserve"> </w:t>
      </w:r>
      <w:r>
        <w:t>de</w:t>
      </w:r>
      <w:r>
        <w:rPr>
          <w:spacing w:val="-5"/>
        </w:rPr>
        <w:t xml:space="preserve"> </w:t>
      </w:r>
      <w:r>
        <w:t>Cali</w:t>
      </w:r>
      <w:r>
        <w:rPr>
          <w:spacing w:val="-5"/>
        </w:rPr>
        <w:t xml:space="preserve"> </w:t>
      </w:r>
      <w:r>
        <w:t>en</w:t>
      </w:r>
      <w:r>
        <w:rPr>
          <w:spacing w:val="-5"/>
        </w:rPr>
        <w:t xml:space="preserve"> </w:t>
      </w:r>
      <w:r>
        <w:t>su</w:t>
      </w:r>
      <w:r>
        <w:rPr>
          <w:spacing w:val="-5"/>
        </w:rPr>
        <w:t xml:space="preserve"> </w:t>
      </w:r>
      <w:r>
        <w:t>campaña</w:t>
      </w:r>
      <w:r w:rsidR="00F4582E">
        <w:rPr>
          <w:rStyle w:val="Refdenotaalpie"/>
        </w:rPr>
        <w:footnoteReference w:id="551"/>
      </w:r>
      <w:r>
        <w:t>,</w:t>
      </w:r>
      <w:r>
        <w:rPr>
          <w:spacing w:val="-5"/>
        </w:rPr>
        <w:t xml:space="preserve"> </w:t>
      </w:r>
      <w:r>
        <w:t>ordenó</w:t>
      </w:r>
      <w:r>
        <w:rPr>
          <w:spacing w:val="-5"/>
        </w:rPr>
        <w:t xml:space="preserve"> </w:t>
      </w:r>
      <w:r>
        <w:t>el</w:t>
      </w:r>
      <w:r>
        <w:rPr>
          <w:spacing w:val="-5"/>
        </w:rPr>
        <w:t xml:space="preserve"> </w:t>
      </w:r>
      <w:r>
        <w:t>archivo</w:t>
      </w:r>
      <w:r>
        <w:rPr>
          <w:spacing w:val="-6"/>
        </w:rPr>
        <w:t xml:space="preserve"> </w:t>
      </w:r>
      <w:r>
        <w:t>del</w:t>
      </w:r>
      <w:r>
        <w:rPr>
          <w:spacing w:val="-5"/>
        </w:rPr>
        <w:t xml:space="preserve"> </w:t>
      </w:r>
      <w:r>
        <w:t>proceso</w:t>
      </w:r>
      <w:r>
        <w:rPr>
          <w:spacing w:val="-6"/>
        </w:rPr>
        <w:t xml:space="preserve"> </w:t>
      </w:r>
      <w:r>
        <w:t>que</w:t>
      </w:r>
      <w:r>
        <w:rPr>
          <w:spacing w:val="-5"/>
        </w:rPr>
        <w:t xml:space="preserve"> </w:t>
      </w:r>
      <w:r>
        <w:t>se</w:t>
      </w:r>
      <w:r>
        <w:rPr>
          <w:spacing w:val="-5"/>
        </w:rPr>
        <w:t xml:space="preserve"> </w:t>
      </w:r>
      <w:r>
        <w:t>adelantaba contra el presidente Samper por infiltración de dineros del narcotráfico en su campaña. El proceso</w:t>
      </w:r>
      <w:r>
        <w:rPr>
          <w:spacing w:val="26"/>
        </w:rPr>
        <w:t xml:space="preserve"> </w:t>
      </w:r>
      <w:r>
        <w:t>deterioró</w:t>
      </w:r>
      <w:r>
        <w:rPr>
          <w:spacing w:val="27"/>
        </w:rPr>
        <w:t xml:space="preserve"> </w:t>
      </w:r>
      <w:r>
        <w:t>las</w:t>
      </w:r>
      <w:r>
        <w:rPr>
          <w:spacing w:val="27"/>
        </w:rPr>
        <w:t xml:space="preserve"> </w:t>
      </w:r>
      <w:r>
        <w:t>relaciones</w:t>
      </w:r>
      <w:r>
        <w:rPr>
          <w:spacing w:val="29"/>
        </w:rPr>
        <w:t xml:space="preserve"> </w:t>
      </w:r>
      <w:r>
        <w:t>de</w:t>
      </w:r>
      <w:r>
        <w:rPr>
          <w:spacing w:val="25"/>
        </w:rPr>
        <w:t xml:space="preserve"> </w:t>
      </w:r>
      <w:r>
        <w:t>Colombia</w:t>
      </w:r>
      <w:r>
        <w:rPr>
          <w:spacing w:val="28"/>
        </w:rPr>
        <w:t xml:space="preserve"> </w:t>
      </w:r>
      <w:r>
        <w:t>con</w:t>
      </w:r>
      <w:r>
        <w:rPr>
          <w:spacing w:val="29"/>
        </w:rPr>
        <w:t xml:space="preserve"> </w:t>
      </w:r>
      <w:r>
        <w:t>Estados</w:t>
      </w:r>
      <w:r>
        <w:rPr>
          <w:spacing w:val="25"/>
        </w:rPr>
        <w:t xml:space="preserve"> </w:t>
      </w:r>
      <w:r>
        <w:t>Unidos,</w:t>
      </w:r>
      <w:r>
        <w:rPr>
          <w:spacing w:val="29"/>
        </w:rPr>
        <w:t xml:space="preserve"> </w:t>
      </w:r>
      <w:r>
        <w:t>situación</w:t>
      </w:r>
      <w:r>
        <w:rPr>
          <w:spacing w:val="28"/>
        </w:rPr>
        <w:t xml:space="preserve"> </w:t>
      </w:r>
      <w:r>
        <w:t>que</w:t>
      </w:r>
      <w:r>
        <w:rPr>
          <w:spacing w:val="29"/>
        </w:rPr>
        <w:t xml:space="preserve"> </w:t>
      </w:r>
      <w:r>
        <w:t>puso</w:t>
      </w:r>
      <w:r>
        <w:rPr>
          <w:spacing w:val="29"/>
        </w:rPr>
        <w:t xml:space="preserve"> </w:t>
      </w:r>
      <w:r>
        <w:rPr>
          <w:spacing w:val="-5"/>
        </w:rPr>
        <w:t>en</w:t>
      </w:r>
      <w:bookmarkStart w:id="719" w:name="_bookmark611"/>
      <w:bookmarkStart w:id="720" w:name="_bookmark612"/>
      <w:bookmarkStart w:id="721" w:name="_bookmark613"/>
      <w:bookmarkEnd w:id="719"/>
      <w:bookmarkEnd w:id="720"/>
      <w:bookmarkEnd w:id="721"/>
      <w:r w:rsidR="00F4582E">
        <w:rPr>
          <w:spacing w:val="-5"/>
        </w:rPr>
        <w:t xml:space="preserve"> </w:t>
      </w:r>
      <w:r>
        <w:t>juego</w:t>
      </w:r>
      <w:r>
        <w:rPr>
          <w:spacing w:val="-6"/>
        </w:rPr>
        <w:t xml:space="preserve"> </w:t>
      </w:r>
      <w:r>
        <w:t>la</w:t>
      </w:r>
      <w:r>
        <w:rPr>
          <w:spacing w:val="-6"/>
        </w:rPr>
        <w:t xml:space="preserve"> </w:t>
      </w:r>
      <w:r>
        <w:t>estabilidad</w:t>
      </w:r>
      <w:r>
        <w:rPr>
          <w:spacing w:val="-6"/>
        </w:rPr>
        <w:t xml:space="preserve"> </w:t>
      </w:r>
      <w:r>
        <w:t>institucional</w:t>
      </w:r>
      <w:r>
        <w:rPr>
          <w:spacing w:val="-6"/>
        </w:rPr>
        <w:t xml:space="preserve"> </w:t>
      </w:r>
      <w:r>
        <w:t>del</w:t>
      </w:r>
      <w:r>
        <w:rPr>
          <w:spacing w:val="-7"/>
        </w:rPr>
        <w:t xml:space="preserve"> </w:t>
      </w:r>
      <w:r>
        <w:t>país.</w:t>
      </w:r>
      <w:r>
        <w:rPr>
          <w:spacing w:val="-6"/>
        </w:rPr>
        <w:t xml:space="preserve"> </w:t>
      </w:r>
      <w:r>
        <w:t>En</w:t>
      </w:r>
      <w:r>
        <w:rPr>
          <w:spacing w:val="-6"/>
        </w:rPr>
        <w:t xml:space="preserve"> </w:t>
      </w:r>
      <w:r>
        <w:t>este</w:t>
      </w:r>
      <w:r>
        <w:rPr>
          <w:spacing w:val="-7"/>
        </w:rPr>
        <w:t xml:space="preserve"> </w:t>
      </w:r>
      <w:r>
        <w:t>periodo,</w:t>
      </w:r>
      <w:r>
        <w:rPr>
          <w:spacing w:val="-6"/>
        </w:rPr>
        <w:t xml:space="preserve"> </w:t>
      </w:r>
      <w:r>
        <w:t>a</w:t>
      </w:r>
      <w:r>
        <w:rPr>
          <w:spacing w:val="-6"/>
        </w:rPr>
        <w:t xml:space="preserve"> </w:t>
      </w:r>
      <w:r>
        <w:t>pesar</w:t>
      </w:r>
      <w:r>
        <w:rPr>
          <w:spacing w:val="-6"/>
        </w:rPr>
        <w:t xml:space="preserve"> </w:t>
      </w:r>
      <w:r>
        <w:t>de</w:t>
      </w:r>
      <w:r>
        <w:rPr>
          <w:spacing w:val="-6"/>
        </w:rPr>
        <w:t xml:space="preserve"> </w:t>
      </w:r>
      <w:r>
        <w:t>que</w:t>
      </w:r>
      <w:r>
        <w:rPr>
          <w:spacing w:val="-7"/>
        </w:rPr>
        <w:t xml:space="preserve"> </w:t>
      </w:r>
      <w:r>
        <w:t>el</w:t>
      </w:r>
      <w:r>
        <w:rPr>
          <w:spacing w:val="-6"/>
        </w:rPr>
        <w:t xml:space="preserve"> </w:t>
      </w:r>
      <w:r>
        <w:t>Cartel</w:t>
      </w:r>
      <w:r>
        <w:rPr>
          <w:spacing w:val="-6"/>
        </w:rPr>
        <w:t xml:space="preserve"> </w:t>
      </w:r>
      <w:r>
        <w:t>de</w:t>
      </w:r>
      <w:r>
        <w:rPr>
          <w:spacing w:val="-7"/>
        </w:rPr>
        <w:t xml:space="preserve"> </w:t>
      </w:r>
      <w:r>
        <w:t>Cali</w:t>
      </w:r>
      <w:r>
        <w:rPr>
          <w:spacing w:val="-6"/>
        </w:rPr>
        <w:t xml:space="preserve"> </w:t>
      </w:r>
      <w:r>
        <w:t xml:space="preserve">se desmanteló, floreció con fuerza el </w:t>
      </w:r>
      <w:r>
        <w:lastRenderedPageBreak/>
        <w:t>Cartel del Norte del Valle</w:t>
      </w:r>
      <w:r w:rsidR="00F4582E">
        <w:rPr>
          <w:rStyle w:val="Refdenotaalpie"/>
        </w:rPr>
        <w:footnoteReference w:id="552"/>
      </w:r>
      <w:r>
        <w:t>.</w:t>
      </w:r>
    </w:p>
    <w:p w:rsidR="003804AC" w:rsidRDefault="00AF18A5" w:rsidP="00F4582E">
      <w:r>
        <w:t>El segundo proceso ocurrió en la historia política más reciente. El excomandante paramilitar</w:t>
      </w:r>
      <w:r>
        <w:rPr>
          <w:spacing w:val="-4"/>
        </w:rPr>
        <w:t xml:space="preserve"> </w:t>
      </w:r>
      <w:r>
        <w:t>Salvatore</w:t>
      </w:r>
      <w:r>
        <w:rPr>
          <w:spacing w:val="-5"/>
        </w:rPr>
        <w:t xml:space="preserve"> </w:t>
      </w:r>
      <w:r>
        <w:t>Mancuso,</w:t>
      </w:r>
      <w:r>
        <w:rPr>
          <w:spacing w:val="-5"/>
        </w:rPr>
        <w:t xml:space="preserve"> </w:t>
      </w:r>
      <w:r>
        <w:t>en</w:t>
      </w:r>
      <w:r>
        <w:rPr>
          <w:spacing w:val="-5"/>
        </w:rPr>
        <w:t xml:space="preserve"> </w:t>
      </w:r>
      <w:r>
        <w:t>el</w:t>
      </w:r>
      <w:r>
        <w:rPr>
          <w:spacing w:val="-4"/>
        </w:rPr>
        <w:t xml:space="preserve"> </w:t>
      </w:r>
      <w:r>
        <w:t>marco</w:t>
      </w:r>
      <w:r>
        <w:rPr>
          <w:spacing w:val="-5"/>
        </w:rPr>
        <w:t xml:space="preserve"> </w:t>
      </w:r>
      <w:r>
        <w:t>de</w:t>
      </w:r>
      <w:r>
        <w:rPr>
          <w:spacing w:val="-5"/>
        </w:rPr>
        <w:t xml:space="preserve"> </w:t>
      </w:r>
      <w:r>
        <w:t>la</w:t>
      </w:r>
      <w:r>
        <w:rPr>
          <w:spacing w:val="-5"/>
        </w:rPr>
        <w:t xml:space="preserve"> </w:t>
      </w:r>
      <w:r>
        <w:t>ley</w:t>
      </w:r>
      <w:r>
        <w:rPr>
          <w:spacing w:val="-5"/>
        </w:rPr>
        <w:t xml:space="preserve"> </w:t>
      </w:r>
      <w:r>
        <w:t>de</w:t>
      </w:r>
      <w:r>
        <w:rPr>
          <w:spacing w:val="-5"/>
        </w:rPr>
        <w:t xml:space="preserve"> </w:t>
      </w:r>
      <w:r>
        <w:t>justicia</w:t>
      </w:r>
      <w:r>
        <w:rPr>
          <w:spacing w:val="-5"/>
        </w:rPr>
        <w:t xml:space="preserve"> </w:t>
      </w:r>
      <w:r>
        <w:t>y</w:t>
      </w:r>
      <w:r>
        <w:rPr>
          <w:spacing w:val="-5"/>
        </w:rPr>
        <w:t xml:space="preserve"> </w:t>
      </w:r>
      <w:r>
        <w:t>paz</w:t>
      </w:r>
      <w:r>
        <w:rPr>
          <w:spacing w:val="-5"/>
        </w:rPr>
        <w:t xml:space="preserve"> </w:t>
      </w:r>
      <w:r>
        <w:t>que</w:t>
      </w:r>
      <w:r>
        <w:rPr>
          <w:spacing w:val="-5"/>
        </w:rPr>
        <w:t xml:space="preserve"> </w:t>
      </w:r>
      <w:r>
        <w:t>facilitó</w:t>
      </w:r>
      <w:r>
        <w:rPr>
          <w:spacing w:val="-5"/>
        </w:rPr>
        <w:t xml:space="preserve"> </w:t>
      </w:r>
      <w:r>
        <w:t>el</w:t>
      </w:r>
      <w:r>
        <w:rPr>
          <w:spacing w:val="-4"/>
        </w:rPr>
        <w:t xml:space="preserve"> </w:t>
      </w:r>
      <w:r>
        <w:t>proceso de</w:t>
      </w:r>
      <w:r>
        <w:rPr>
          <w:spacing w:val="-2"/>
        </w:rPr>
        <w:t xml:space="preserve"> </w:t>
      </w:r>
      <w:r>
        <w:t>desmovilización</w:t>
      </w:r>
      <w:r>
        <w:rPr>
          <w:spacing w:val="-2"/>
        </w:rPr>
        <w:t xml:space="preserve"> </w:t>
      </w:r>
      <w:r>
        <w:t>de</w:t>
      </w:r>
      <w:r>
        <w:rPr>
          <w:spacing w:val="-2"/>
        </w:rPr>
        <w:t xml:space="preserve"> </w:t>
      </w:r>
      <w:r>
        <w:t>paramilitares</w:t>
      </w:r>
      <w:r>
        <w:rPr>
          <w:spacing w:val="-3"/>
        </w:rPr>
        <w:t xml:space="preserve"> </w:t>
      </w:r>
      <w:r>
        <w:t>en</w:t>
      </w:r>
      <w:r>
        <w:rPr>
          <w:spacing w:val="-2"/>
        </w:rPr>
        <w:t xml:space="preserve"> </w:t>
      </w:r>
      <w:r>
        <w:t>Colombia,</w:t>
      </w:r>
      <w:r>
        <w:rPr>
          <w:spacing w:val="-2"/>
        </w:rPr>
        <w:t xml:space="preserve"> </w:t>
      </w:r>
      <w:r>
        <w:t>reveló</w:t>
      </w:r>
      <w:r>
        <w:rPr>
          <w:spacing w:val="-2"/>
        </w:rPr>
        <w:t xml:space="preserve"> </w:t>
      </w:r>
      <w:r>
        <w:t>que</w:t>
      </w:r>
      <w:r>
        <w:rPr>
          <w:spacing w:val="-2"/>
        </w:rPr>
        <w:t xml:space="preserve"> </w:t>
      </w:r>
      <w:r>
        <w:t>en</w:t>
      </w:r>
      <w:r>
        <w:rPr>
          <w:spacing w:val="-2"/>
        </w:rPr>
        <w:t xml:space="preserve"> </w:t>
      </w:r>
      <w:r>
        <w:t>2005</w:t>
      </w:r>
      <w:r>
        <w:rPr>
          <w:spacing w:val="-2"/>
        </w:rPr>
        <w:t xml:space="preserve"> </w:t>
      </w:r>
      <w:r>
        <w:t>el</w:t>
      </w:r>
      <w:r>
        <w:rPr>
          <w:spacing w:val="-2"/>
        </w:rPr>
        <w:t xml:space="preserve"> </w:t>
      </w:r>
      <w:r>
        <w:t>35</w:t>
      </w:r>
      <w:r>
        <w:rPr>
          <w:spacing w:val="-2"/>
        </w:rPr>
        <w:t xml:space="preserve"> </w:t>
      </w:r>
      <w:r>
        <w:t>%</w:t>
      </w:r>
      <w:r>
        <w:rPr>
          <w:spacing w:val="-2"/>
        </w:rPr>
        <w:t xml:space="preserve"> </w:t>
      </w:r>
      <w:r>
        <w:t>del</w:t>
      </w:r>
      <w:r>
        <w:rPr>
          <w:spacing w:val="-2"/>
        </w:rPr>
        <w:t xml:space="preserve"> </w:t>
      </w:r>
      <w:r>
        <w:t>Congreso había sido elegido gracias al paramilitarismo, dado que ese porcentaje correspondía a representantes de zonas de influencia paramilitar donde los dineros del narcotráfico habían sido fundamentales para las campañas</w:t>
      </w:r>
      <w:r w:rsidR="00F4582E">
        <w:rPr>
          <w:rStyle w:val="Refdenotaalpie"/>
        </w:rPr>
        <w:footnoteReference w:id="553"/>
      </w:r>
      <w:r>
        <w:t>.</w:t>
      </w:r>
    </w:p>
    <w:p w:rsidR="003804AC" w:rsidRDefault="00AF18A5" w:rsidP="00F4582E">
      <w:r>
        <w:t>El</w:t>
      </w:r>
      <w:r>
        <w:rPr>
          <w:spacing w:val="-1"/>
        </w:rPr>
        <w:t xml:space="preserve"> </w:t>
      </w:r>
      <w:r>
        <w:t>escándalo</w:t>
      </w:r>
      <w:r>
        <w:rPr>
          <w:spacing w:val="-2"/>
        </w:rPr>
        <w:t xml:space="preserve"> </w:t>
      </w:r>
      <w:r>
        <w:t>de</w:t>
      </w:r>
      <w:r>
        <w:rPr>
          <w:spacing w:val="-1"/>
        </w:rPr>
        <w:t xml:space="preserve"> </w:t>
      </w:r>
      <w:r>
        <w:t>la</w:t>
      </w:r>
      <w:r>
        <w:rPr>
          <w:spacing w:val="-1"/>
        </w:rPr>
        <w:t xml:space="preserve"> </w:t>
      </w:r>
      <w:r>
        <w:t>parapolítica</w:t>
      </w:r>
      <w:r>
        <w:rPr>
          <w:spacing w:val="-1"/>
        </w:rPr>
        <w:t xml:space="preserve"> </w:t>
      </w:r>
      <w:r>
        <w:t>evidenció</w:t>
      </w:r>
      <w:r>
        <w:rPr>
          <w:spacing w:val="-1"/>
        </w:rPr>
        <w:t xml:space="preserve"> </w:t>
      </w:r>
      <w:r>
        <w:t>que</w:t>
      </w:r>
      <w:r>
        <w:rPr>
          <w:spacing w:val="-1"/>
        </w:rPr>
        <w:t xml:space="preserve"> </w:t>
      </w:r>
      <w:r>
        <w:t>el</w:t>
      </w:r>
      <w:r>
        <w:rPr>
          <w:spacing w:val="-1"/>
        </w:rPr>
        <w:t xml:space="preserve"> </w:t>
      </w:r>
      <w:r>
        <w:t>dinero</w:t>
      </w:r>
      <w:r>
        <w:rPr>
          <w:spacing w:val="-1"/>
        </w:rPr>
        <w:t xml:space="preserve"> </w:t>
      </w:r>
      <w:r>
        <w:t>que</w:t>
      </w:r>
      <w:r>
        <w:rPr>
          <w:spacing w:val="-1"/>
        </w:rPr>
        <w:t xml:space="preserve"> </w:t>
      </w:r>
      <w:r>
        <w:t>financió</w:t>
      </w:r>
      <w:r>
        <w:rPr>
          <w:spacing w:val="-1"/>
        </w:rPr>
        <w:t xml:space="preserve"> </w:t>
      </w:r>
      <w:r>
        <w:t>la</w:t>
      </w:r>
      <w:r>
        <w:rPr>
          <w:spacing w:val="-1"/>
        </w:rPr>
        <w:t xml:space="preserve"> </w:t>
      </w:r>
      <w:r>
        <w:t>política</w:t>
      </w:r>
      <w:r>
        <w:rPr>
          <w:spacing w:val="-1"/>
        </w:rPr>
        <w:t xml:space="preserve"> </w:t>
      </w:r>
      <w:r>
        <w:t>regional</w:t>
      </w:r>
      <w:r>
        <w:rPr>
          <w:spacing w:val="-1"/>
        </w:rPr>
        <w:t xml:space="preserve"> </w:t>
      </w:r>
      <w:r>
        <w:t>y nacional también coadyuvó al agravamiento de la guerra y a la corrupción del régimen político</w:t>
      </w:r>
      <w:r>
        <w:rPr>
          <w:spacing w:val="-2"/>
        </w:rPr>
        <w:t xml:space="preserve"> </w:t>
      </w:r>
      <w:r>
        <w:t>colombiano</w:t>
      </w:r>
      <w:r w:rsidR="00F4582E">
        <w:rPr>
          <w:rStyle w:val="Refdenotaalpie"/>
        </w:rPr>
        <w:footnoteReference w:id="554"/>
      </w:r>
      <w:r>
        <w:t>.</w:t>
      </w:r>
      <w:r>
        <w:rPr>
          <w:spacing w:val="-2"/>
        </w:rPr>
        <w:t xml:space="preserve"> </w:t>
      </w:r>
      <w:r>
        <w:t>Se</w:t>
      </w:r>
      <w:r>
        <w:rPr>
          <w:spacing w:val="-2"/>
        </w:rPr>
        <w:t xml:space="preserve"> </w:t>
      </w:r>
      <w:r>
        <w:t>profundizó</w:t>
      </w:r>
      <w:r>
        <w:rPr>
          <w:spacing w:val="-4"/>
        </w:rPr>
        <w:t xml:space="preserve"> </w:t>
      </w:r>
      <w:r>
        <w:t>el</w:t>
      </w:r>
      <w:r>
        <w:rPr>
          <w:spacing w:val="-2"/>
        </w:rPr>
        <w:t xml:space="preserve"> </w:t>
      </w:r>
      <w:r>
        <w:t>daño</w:t>
      </w:r>
      <w:r>
        <w:rPr>
          <w:spacing w:val="-2"/>
        </w:rPr>
        <w:t xml:space="preserve"> </w:t>
      </w:r>
      <w:r>
        <w:t>a</w:t>
      </w:r>
      <w:r>
        <w:rPr>
          <w:spacing w:val="-3"/>
        </w:rPr>
        <w:t xml:space="preserve"> </w:t>
      </w:r>
      <w:r>
        <w:t>las</w:t>
      </w:r>
      <w:r>
        <w:rPr>
          <w:spacing w:val="-3"/>
        </w:rPr>
        <w:t xml:space="preserve"> </w:t>
      </w:r>
      <w:r>
        <w:t>reglas</w:t>
      </w:r>
      <w:r>
        <w:rPr>
          <w:spacing w:val="-2"/>
        </w:rPr>
        <w:t xml:space="preserve"> </w:t>
      </w:r>
      <w:r>
        <w:t>del</w:t>
      </w:r>
      <w:r>
        <w:rPr>
          <w:spacing w:val="-2"/>
        </w:rPr>
        <w:t xml:space="preserve"> </w:t>
      </w:r>
      <w:r>
        <w:t>juego</w:t>
      </w:r>
      <w:r>
        <w:rPr>
          <w:spacing w:val="-3"/>
        </w:rPr>
        <w:t xml:space="preserve"> </w:t>
      </w:r>
      <w:r>
        <w:t>de</w:t>
      </w:r>
      <w:r>
        <w:rPr>
          <w:spacing w:val="-2"/>
        </w:rPr>
        <w:t xml:space="preserve"> </w:t>
      </w:r>
      <w:r>
        <w:t>la</w:t>
      </w:r>
      <w:r>
        <w:rPr>
          <w:spacing w:val="-2"/>
        </w:rPr>
        <w:t xml:space="preserve"> </w:t>
      </w:r>
      <w:r>
        <w:t>democracia</w:t>
      </w:r>
      <w:r>
        <w:rPr>
          <w:spacing w:val="-2"/>
        </w:rPr>
        <w:t xml:space="preserve"> </w:t>
      </w:r>
      <w:r>
        <w:t>y</w:t>
      </w:r>
      <w:r>
        <w:rPr>
          <w:spacing w:val="-4"/>
        </w:rPr>
        <w:t xml:space="preserve"> </w:t>
      </w:r>
      <w:r>
        <w:t>a</w:t>
      </w:r>
      <w:r>
        <w:rPr>
          <w:spacing w:val="-3"/>
        </w:rPr>
        <w:t xml:space="preserve"> </w:t>
      </w:r>
      <w:r>
        <w:t>las maneras de hacer política, debido a la distorsión de una competencia transparente y democrática,</w:t>
      </w:r>
      <w:r>
        <w:rPr>
          <w:spacing w:val="-1"/>
        </w:rPr>
        <w:t xml:space="preserve"> </w:t>
      </w:r>
      <w:r>
        <w:t>y</w:t>
      </w:r>
      <w:r>
        <w:rPr>
          <w:spacing w:val="-1"/>
        </w:rPr>
        <w:t xml:space="preserve"> </w:t>
      </w:r>
      <w:r>
        <w:t>a</w:t>
      </w:r>
      <w:r>
        <w:rPr>
          <w:spacing w:val="-2"/>
        </w:rPr>
        <w:t xml:space="preserve"> </w:t>
      </w:r>
      <w:r>
        <w:t>la</w:t>
      </w:r>
      <w:r>
        <w:rPr>
          <w:spacing w:val="-1"/>
        </w:rPr>
        <w:t xml:space="preserve"> </w:t>
      </w:r>
      <w:r>
        <w:t>captura</w:t>
      </w:r>
      <w:r>
        <w:rPr>
          <w:spacing w:val="-1"/>
        </w:rPr>
        <w:t xml:space="preserve"> </w:t>
      </w:r>
      <w:r>
        <w:t>de</w:t>
      </w:r>
      <w:r>
        <w:rPr>
          <w:spacing w:val="-2"/>
        </w:rPr>
        <w:t xml:space="preserve"> </w:t>
      </w:r>
      <w:r>
        <w:t>instituciones</w:t>
      </w:r>
      <w:r>
        <w:rPr>
          <w:spacing w:val="-1"/>
        </w:rPr>
        <w:t xml:space="preserve"> </w:t>
      </w:r>
      <w:r>
        <w:t>públicas</w:t>
      </w:r>
      <w:r>
        <w:rPr>
          <w:spacing w:val="-1"/>
        </w:rPr>
        <w:t xml:space="preserve"> </w:t>
      </w:r>
      <w:r>
        <w:t>para</w:t>
      </w:r>
      <w:r>
        <w:rPr>
          <w:spacing w:val="-1"/>
        </w:rPr>
        <w:t xml:space="preserve"> </w:t>
      </w:r>
      <w:r>
        <w:t>el</w:t>
      </w:r>
      <w:r>
        <w:rPr>
          <w:spacing w:val="-1"/>
        </w:rPr>
        <w:t xml:space="preserve"> </w:t>
      </w:r>
      <w:r>
        <w:t>beneficio</w:t>
      </w:r>
      <w:r>
        <w:rPr>
          <w:spacing w:val="-1"/>
        </w:rPr>
        <w:t xml:space="preserve"> </w:t>
      </w:r>
      <w:r>
        <w:t>de</w:t>
      </w:r>
      <w:r>
        <w:rPr>
          <w:spacing w:val="-1"/>
        </w:rPr>
        <w:t xml:space="preserve"> </w:t>
      </w:r>
      <w:r>
        <w:t>sus</w:t>
      </w:r>
      <w:r>
        <w:rPr>
          <w:spacing w:val="-1"/>
        </w:rPr>
        <w:t xml:space="preserve"> </w:t>
      </w:r>
      <w:r>
        <w:t>intereses,</w:t>
      </w:r>
      <w:r>
        <w:rPr>
          <w:spacing w:val="-2"/>
        </w:rPr>
        <w:t xml:space="preserve"> </w:t>
      </w:r>
      <w:r>
        <w:t>entre otras.</w:t>
      </w:r>
      <w:r>
        <w:rPr>
          <w:spacing w:val="-15"/>
        </w:rPr>
        <w:t xml:space="preserve"> </w:t>
      </w:r>
      <w:r>
        <w:t>Por</w:t>
      </w:r>
      <w:r>
        <w:rPr>
          <w:spacing w:val="-15"/>
        </w:rPr>
        <w:t xml:space="preserve"> </w:t>
      </w:r>
      <w:r>
        <w:t>ejemplo,</w:t>
      </w:r>
      <w:r>
        <w:rPr>
          <w:spacing w:val="-15"/>
        </w:rPr>
        <w:t xml:space="preserve"> </w:t>
      </w:r>
      <w:r>
        <w:t>Salvatore</w:t>
      </w:r>
      <w:r>
        <w:rPr>
          <w:spacing w:val="-15"/>
        </w:rPr>
        <w:t xml:space="preserve"> </w:t>
      </w:r>
      <w:r>
        <w:t>Mancuso</w:t>
      </w:r>
      <w:r>
        <w:rPr>
          <w:spacing w:val="-15"/>
        </w:rPr>
        <w:t xml:space="preserve"> </w:t>
      </w:r>
      <w:r>
        <w:t>estableció</w:t>
      </w:r>
      <w:r>
        <w:rPr>
          <w:spacing w:val="-15"/>
        </w:rPr>
        <w:t xml:space="preserve"> </w:t>
      </w:r>
      <w:r>
        <w:t>una</w:t>
      </w:r>
      <w:r>
        <w:rPr>
          <w:spacing w:val="-15"/>
        </w:rPr>
        <w:t xml:space="preserve"> </w:t>
      </w:r>
      <w:r>
        <w:t>red</w:t>
      </w:r>
      <w:r>
        <w:rPr>
          <w:spacing w:val="-15"/>
        </w:rPr>
        <w:t xml:space="preserve"> </w:t>
      </w:r>
      <w:r>
        <w:t>de</w:t>
      </w:r>
      <w:r>
        <w:rPr>
          <w:spacing w:val="-15"/>
        </w:rPr>
        <w:t xml:space="preserve"> </w:t>
      </w:r>
      <w:r>
        <w:t>alianzas</w:t>
      </w:r>
      <w:r>
        <w:rPr>
          <w:spacing w:val="-15"/>
        </w:rPr>
        <w:t xml:space="preserve"> </w:t>
      </w:r>
      <w:r>
        <w:t>con</w:t>
      </w:r>
      <w:r>
        <w:rPr>
          <w:spacing w:val="-15"/>
        </w:rPr>
        <w:t xml:space="preserve"> </w:t>
      </w:r>
      <w:r>
        <w:t>los</w:t>
      </w:r>
      <w:r>
        <w:rPr>
          <w:spacing w:val="-15"/>
        </w:rPr>
        <w:t xml:space="preserve"> </w:t>
      </w:r>
      <w:r>
        <w:t>actores</w:t>
      </w:r>
      <w:r>
        <w:rPr>
          <w:spacing w:val="-15"/>
        </w:rPr>
        <w:t xml:space="preserve"> </w:t>
      </w:r>
      <w:r>
        <w:t>políticos de</w:t>
      </w:r>
      <w:r>
        <w:rPr>
          <w:spacing w:val="-3"/>
        </w:rPr>
        <w:t xml:space="preserve"> </w:t>
      </w:r>
      <w:r>
        <w:t>Córdoba</w:t>
      </w:r>
      <w:r>
        <w:rPr>
          <w:spacing w:val="-3"/>
        </w:rPr>
        <w:t xml:space="preserve"> </w:t>
      </w:r>
      <w:r>
        <w:t>que</w:t>
      </w:r>
      <w:r>
        <w:rPr>
          <w:spacing w:val="-3"/>
        </w:rPr>
        <w:t xml:space="preserve"> </w:t>
      </w:r>
      <w:r>
        <w:t>contó</w:t>
      </w:r>
      <w:r>
        <w:rPr>
          <w:spacing w:val="-4"/>
        </w:rPr>
        <w:t xml:space="preserve"> </w:t>
      </w:r>
      <w:r>
        <w:t>con</w:t>
      </w:r>
      <w:r>
        <w:rPr>
          <w:spacing w:val="-4"/>
        </w:rPr>
        <w:t xml:space="preserve"> </w:t>
      </w:r>
      <w:r>
        <w:t>la</w:t>
      </w:r>
      <w:r>
        <w:rPr>
          <w:spacing w:val="-3"/>
        </w:rPr>
        <w:t xml:space="preserve"> </w:t>
      </w:r>
      <w:r>
        <w:t>decisión</w:t>
      </w:r>
      <w:r>
        <w:rPr>
          <w:spacing w:val="-5"/>
        </w:rPr>
        <w:t xml:space="preserve"> </w:t>
      </w:r>
      <w:r>
        <w:t>y</w:t>
      </w:r>
      <w:r>
        <w:rPr>
          <w:spacing w:val="-4"/>
        </w:rPr>
        <w:t xml:space="preserve"> </w:t>
      </w:r>
      <w:r>
        <w:t>voluntad</w:t>
      </w:r>
      <w:r>
        <w:rPr>
          <w:spacing w:val="-4"/>
        </w:rPr>
        <w:t xml:space="preserve"> </w:t>
      </w:r>
      <w:r>
        <w:t>de</w:t>
      </w:r>
      <w:r>
        <w:rPr>
          <w:spacing w:val="-3"/>
        </w:rPr>
        <w:t xml:space="preserve"> </w:t>
      </w:r>
      <w:r>
        <w:t>los</w:t>
      </w:r>
      <w:r>
        <w:rPr>
          <w:spacing w:val="-3"/>
        </w:rPr>
        <w:t xml:space="preserve"> </w:t>
      </w:r>
      <w:r>
        <w:t>mismos,</w:t>
      </w:r>
      <w:r>
        <w:rPr>
          <w:spacing w:val="-4"/>
        </w:rPr>
        <w:t xml:space="preserve"> </w:t>
      </w:r>
      <w:r>
        <w:t>sin</w:t>
      </w:r>
      <w:r>
        <w:rPr>
          <w:spacing w:val="-4"/>
        </w:rPr>
        <w:t xml:space="preserve"> </w:t>
      </w:r>
      <w:r>
        <w:t>ejercer</w:t>
      </w:r>
      <w:r>
        <w:rPr>
          <w:spacing w:val="-3"/>
        </w:rPr>
        <w:t xml:space="preserve"> </w:t>
      </w:r>
      <w:r>
        <w:t>la</w:t>
      </w:r>
      <w:r>
        <w:rPr>
          <w:spacing w:val="-3"/>
        </w:rPr>
        <w:t xml:space="preserve"> </w:t>
      </w:r>
      <w:r>
        <w:t>presión</w:t>
      </w:r>
      <w:r>
        <w:rPr>
          <w:spacing w:val="-5"/>
        </w:rPr>
        <w:t xml:space="preserve"> </w:t>
      </w:r>
      <w:r>
        <w:t>de</w:t>
      </w:r>
      <w:r>
        <w:rPr>
          <w:spacing w:val="-3"/>
        </w:rPr>
        <w:t xml:space="preserve"> </w:t>
      </w:r>
      <w:r>
        <w:t>las armas. En la misma región, como le explicó a la Comisión de la Verdad una excongresista acusada de tener nexos con los paramilitares, candidatos al Congreso que no tenían un peso relevante en la política local, tras la inyección del dinero del narcotráfico y el apoyo de los ejércitos</w:t>
      </w:r>
      <w:r>
        <w:rPr>
          <w:spacing w:val="-7"/>
        </w:rPr>
        <w:t xml:space="preserve"> </w:t>
      </w:r>
      <w:r>
        <w:t>privados</w:t>
      </w:r>
      <w:r>
        <w:rPr>
          <w:spacing w:val="-4"/>
        </w:rPr>
        <w:t xml:space="preserve"> </w:t>
      </w:r>
      <w:r>
        <w:t>paramilitares,</w:t>
      </w:r>
      <w:r>
        <w:rPr>
          <w:spacing w:val="-4"/>
        </w:rPr>
        <w:t xml:space="preserve"> </w:t>
      </w:r>
      <w:r>
        <w:t>lograron</w:t>
      </w:r>
      <w:r>
        <w:rPr>
          <w:spacing w:val="-5"/>
        </w:rPr>
        <w:t xml:space="preserve"> </w:t>
      </w:r>
      <w:r>
        <w:t>más</w:t>
      </w:r>
      <w:r>
        <w:rPr>
          <w:spacing w:val="-4"/>
        </w:rPr>
        <w:t xml:space="preserve"> </w:t>
      </w:r>
      <w:r>
        <w:t>votación</w:t>
      </w:r>
      <w:r>
        <w:rPr>
          <w:spacing w:val="-4"/>
        </w:rPr>
        <w:t xml:space="preserve"> </w:t>
      </w:r>
      <w:r>
        <w:t>que</w:t>
      </w:r>
      <w:r>
        <w:rPr>
          <w:spacing w:val="-4"/>
        </w:rPr>
        <w:t xml:space="preserve"> </w:t>
      </w:r>
      <w:r>
        <w:t>los</w:t>
      </w:r>
      <w:r>
        <w:rPr>
          <w:spacing w:val="-4"/>
        </w:rPr>
        <w:t xml:space="preserve"> </w:t>
      </w:r>
      <w:r>
        <w:t>políticos</w:t>
      </w:r>
      <w:r>
        <w:rPr>
          <w:spacing w:val="-5"/>
        </w:rPr>
        <w:t xml:space="preserve"> </w:t>
      </w:r>
      <w:r>
        <w:t>tradicionales,</w:t>
      </w:r>
      <w:r>
        <w:rPr>
          <w:spacing w:val="-5"/>
        </w:rPr>
        <w:t xml:space="preserve"> </w:t>
      </w:r>
      <w:r>
        <w:rPr>
          <w:spacing w:val="-4"/>
        </w:rPr>
        <w:t>como</w:t>
      </w:r>
      <w:r w:rsidR="00F4582E">
        <w:t xml:space="preserve"> </w:t>
      </w:r>
      <w:r>
        <w:t xml:space="preserve">«Eleonora [que] salió con 82.000 votos en Córdoba que era una locura. O sea, para una muchacha que </w:t>
      </w:r>
      <w:r>
        <w:lastRenderedPageBreak/>
        <w:t>acababa de ser concejal de Tierralta con 400 votos»</w:t>
      </w:r>
      <w:r w:rsidR="00F4582E">
        <w:rPr>
          <w:rStyle w:val="Refdenotaalpie"/>
        </w:rPr>
        <w:footnoteReference w:id="555"/>
      </w:r>
      <w:r>
        <w:t>.</w:t>
      </w:r>
    </w:p>
    <w:p w:rsidR="003804AC" w:rsidRPr="00F4582E" w:rsidRDefault="00AF18A5" w:rsidP="00F4582E">
      <w:r>
        <w:t xml:space="preserve">El principal investigador de la parapolítica le relató a la Comisión que una de las pistas que develó la infiltración del </w:t>
      </w:r>
      <w:proofErr w:type="spellStart"/>
      <w:r>
        <w:t>narcoparamilitarismo</w:t>
      </w:r>
      <w:proofErr w:type="spellEnd"/>
      <w:r>
        <w:t xml:space="preserve"> en las elecciones fue la distribución de las</w:t>
      </w:r>
      <w:r>
        <w:rPr>
          <w:spacing w:val="-9"/>
        </w:rPr>
        <w:t xml:space="preserve"> </w:t>
      </w:r>
      <w:r>
        <w:t>votaciones</w:t>
      </w:r>
      <w:r>
        <w:rPr>
          <w:spacing w:val="-9"/>
        </w:rPr>
        <w:t xml:space="preserve"> </w:t>
      </w:r>
      <w:r>
        <w:t>en</w:t>
      </w:r>
      <w:r>
        <w:rPr>
          <w:spacing w:val="-9"/>
        </w:rPr>
        <w:t xml:space="preserve"> </w:t>
      </w:r>
      <w:r>
        <w:t>los</w:t>
      </w:r>
      <w:r>
        <w:rPr>
          <w:spacing w:val="-9"/>
        </w:rPr>
        <w:t xml:space="preserve"> </w:t>
      </w:r>
      <w:r>
        <w:t>distritos</w:t>
      </w:r>
      <w:r>
        <w:rPr>
          <w:spacing w:val="-9"/>
        </w:rPr>
        <w:t xml:space="preserve"> </w:t>
      </w:r>
      <w:r>
        <w:t>electorales</w:t>
      </w:r>
      <w:r>
        <w:rPr>
          <w:spacing w:val="-9"/>
        </w:rPr>
        <w:t xml:space="preserve"> </w:t>
      </w:r>
      <w:r>
        <w:t>de</w:t>
      </w:r>
      <w:r>
        <w:rPr>
          <w:spacing w:val="-9"/>
        </w:rPr>
        <w:t xml:space="preserve"> </w:t>
      </w:r>
      <w:r>
        <w:t>una</w:t>
      </w:r>
      <w:r>
        <w:rPr>
          <w:spacing w:val="-9"/>
        </w:rPr>
        <w:t xml:space="preserve"> </w:t>
      </w:r>
      <w:r>
        <w:t>manera</w:t>
      </w:r>
      <w:r>
        <w:rPr>
          <w:spacing w:val="-9"/>
        </w:rPr>
        <w:t xml:space="preserve"> </w:t>
      </w:r>
      <w:r>
        <w:t>tan</w:t>
      </w:r>
      <w:r>
        <w:rPr>
          <w:spacing w:val="-9"/>
        </w:rPr>
        <w:t xml:space="preserve"> </w:t>
      </w:r>
      <w:r>
        <w:t>estricta</w:t>
      </w:r>
      <w:r>
        <w:rPr>
          <w:spacing w:val="-9"/>
        </w:rPr>
        <w:t xml:space="preserve"> </w:t>
      </w:r>
      <w:r>
        <w:t>que</w:t>
      </w:r>
      <w:r>
        <w:rPr>
          <w:spacing w:val="-9"/>
        </w:rPr>
        <w:t xml:space="preserve"> </w:t>
      </w:r>
      <w:r>
        <w:t>causó</w:t>
      </w:r>
      <w:r>
        <w:rPr>
          <w:spacing w:val="-9"/>
        </w:rPr>
        <w:t xml:space="preserve"> </w:t>
      </w:r>
      <w:r>
        <w:t>sospechas:</w:t>
      </w:r>
      <w:r>
        <w:rPr>
          <w:spacing w:val="-9"/>
        </w:rPr>
        <w:t xml:space="preserve"> </w:t>
      </w:r>
      <w:r>
        <w:t>«O sea,</w:t>
      </w:r>
      <w:r>
        <w:rPr>
          <w:spacing w:val="-8"/>
        </w:rPr>
        <w:t xml:space="preserve"> </w:t>
      </w:r>
      <w:r>
        <w:t>esto</w:t>
      </w:r>
      <w:r>
        <w:rPr>
          <w:spacing w:val="-6"/>
        </w:rPr>
        <w:t xml:space="preserve"> </w:t>
      </w:r>
      <w:r>
        <w:t>no</w:t>
      </w:r>
      <w:r>
        <w:rPr>
          <w:spacing w:val="-7"/>
        </w:rPr>
        <w:t xml:space="preserve"> </w:t>
      </w:r>
      <w:r>
        <w:t>puede</w:t>
      </w:r>
      <w:r>
        <w:rPr>
          <w:spacing w:val="-6"/>
        </w:rPr>
        <w:t xml:space="preserve"> </w:t>
      </w:r>
      <w:r>
        <w:t>ser</w:t>
      </w:r>
      <w:r>
        <w:rPr>
          <w:spacing w:val="-7"/>
        </w:rPr>
        <w:t xml:space="preserve"> </w:t>
      </w:r>
      <w:r>
        <w:t>disciplina</w:t>
      </w:r>
      <w:r>
        <w:rPr>
          <w:spacing w:val="-6"/>
        </w:rPr>
        <w:t xml:space="preserve"> </w:t>
      </w:r>
      <w:r>
        <w:t>electoral,</w:t>
      </w:r>
      <w:r>
        <w:rPr>
          <w:spacing w:val="-6"/>
        </w:rPr>
        <w:t xml:space="preserve"> </w:t>
      </w:r>
      <w:r>
        <w:t>no</w:t>
      </w:r>
      <w:r>
        <w:rPr>
          <w:spacing w:val="-6"/>
        </w:rPr>
        <w:t xml:space="preserve"> </w:t>
      </w:r>
      <w:r>
        <w:t>puede</w:t>
      </w:r>
      <w:r>
        <w:rPr>
          <w:spacing w:val="-5"/>
        </w:rPr>
        <w:t xml:space="preserve"> </w:t>
      </w:r>
      <w:r>
        <w:t>ser</w:t>
      </w:r>
      <w:r>
        <w:rPr>
          <w:spacing w:val="-6"/>
        </w:rPr>
        <w:t xml:space="preserve"> </w:t>
      </w:r>
      <w:r>
        <w:t>que</w:t>
      </w:r>
      <w:r>
        <w:rPr>
          <w:spacing w:val="-6"/>
        </w:rPr>
        <w:t xml:space="preserve"> </w:t>
      </w:r>
      <w:r>
        <w:t>los</w:t>
      </w:r>
      <w:r>
        <w:rPr>
          <w:spacing w:val="-6"/>
        </w:rPr>
        <w:t xml:space="preserve"> </w:t>
      </w:r>
      <w:r>
        <w:t>partidos</w:t>
      </w:r>
      <w:r>
        <w:rPr>
          <w:spacing w:val="-6"/>
        </w:rPr>
        <w:t xml:space="preserve"> </w:t>
      </w:r>
      <w:r>
        <w:t>son</w:t>
      </w:r>
      <w:r>
        <w:rPr>
          <w:spacing w:val="-6"/>
        </w:rPr>
        <w:t xml:space="preserve"> </w:t>
      </w:r>
      <w:r>
        <w:t>tan</w:t>
      </w:r>
      <w:r>
        <w:rPr>
          <w:spacing w:val="-7"/>
        </w:rPr>
        <w:t xml:space="preserve"> </w:t>
      </w:r>
      <w:r>
        <w:t>fuertes</w:t>
      </w:r>
      <w:r>
        <w:rPr>
          <w:spacing w:val="-7"/>
        </w:rPr>
        <w:t xml:space="preserve"> </w:t>
      </w:r>
      <w:r>
        <w:t>y</w:t>
      </w:r>
      <w:r>
        <w:rPr>
          <w:spacing w:val="-5"/>
        </w:rPr>
        <w:t xml:space="preserve"> que</w:t>
      </w:r>
      <w:bookmarkStart w:id="722" w:name="_bookmark614"/>
      <w:bookmarkStart w:id="723" w:name="_bookmark615"/>
      <w:bookmarkStart w:id="724" w:name="_bookmark616"/>
      <w:bookmarkStart w:id="725" w:name="_bookmark617"/>
      <w:bookmarkEnd w:id="722"/>
      <w:bookmarkEnd w:id="723"/>
      <w:bookmarkEnd w:id="724"/>
      <w:bookmarkEnd w:id="725"/>
      <w:r w:rsidR="00F4582E">
        <w:rPr>
          <w:spacing w:val="-5"/>
        </w:rPr>
        <w:t xml:space="preserve"> </w:t>
      </w:r>
      <w:r>
        <w:t>les atienden tanto las bases que dicen: “Aquí solo votan por Pedro y al lado solo votan por Juan”, y la gente cumple. Esto tiene que ver con algo más»</w:t>
      </w:r>
      <w:r w:rsidR="00F4582E">
        <w:rPr>
          <w:rStyle w:val="Refdenotaalpie"/>
        </w:rPr>
        <w:footnoteReference w:id="556"/>
      </w:r>
      <w:r>
        <w:t>.</w:t>
      </w:r>
    </w:p>
    <w:p w:rsidR="003804AC" w:rsidRDefault="00AF18A5" w:rsidP="00F4582E">
      <w:r>
        <w:t>A</w:t>
      </w:r>
      <w:r>
        <w:rPr>
          <w:spacing w:val="-13"/>
        </w:rPr>
        <w:t xml:space="preserve"> </w:t>
      </w:r>
      <w:r>
        <w:t>pesar</w:t>
      </w:r>
      <w:r>
        <w:rPr>
          <w:spacing w:val="-12"/>
        </w:rPr>
        <w:t xml:space="preserve"> </w:t>
      </w:r>
      <w:r>
        <w:t>del</w:t>
      </w:r>
      <w:r>
        <w:rPr>
          <w:spacing w:val="-13"/>
        </w:rPr>
        <w:t xml:space="preserve"> </w:t>
      </w:r>
      <w:r>
        <w:t>escándalo</w:t>
      </w:r>
      <w:r>
        <w:rPr>
          <w:spacing w:val="-12"/>
        </w:rPr>
        <w:t xml:space="preserve"> </w:t>
      </w:r>
      <w:r>
        <w:t>y</w:t>
      </w:r>
      <w:r>
        <w:rPr>
          <w:spacing w:val="-12"/>
        </w:rPr>
        <w:t xml:space="preserve"> </w:t>
      </w:r>
      <w:r>
        <w:t>las</w:t>
      </w:r>
      <w:r>
        <w:rPr>
          <w:spacing w:val="-12"/>
        </w:rPr>
        <w:t xml:space="preserve"> </w:t>
      </w:r>
      <w:r>
        <w:t>investigaciones</w:t>
      </w:r>
      <w:r>
        <w:rPr>
          <w:spacing w:val="-12"/>
        </w:rPr>
        <w:t xml:space="preserve"> </w:t>
      </w:r>
      <w:r>
        <w:t>de</w:t>
      </w:r>
      <w:r>
        <w:rPr>
          <w:spacing w:val="-13"/>
        </w:rPr>
        <w:t xml:space="preserve"> </w:t>
      </w:r>
      <w:r>
        <w:t>la</w:t>
      </w:r>
      <w:r>
        <w:rPr>
          <w:spacing w:val="-13"/>
        </w:rPr>
        <w:t xml:space="preserve"> </w:t>
      </w:r>
      <w:r>
        <w:t>parapolítica,</w:t>
      </w:r>
      <w:r>
        <w:rPr>
          <w:spacing w:val="-13"/>
        </w:rPr>
        <w:t xml:space="preserve"> </w:t>
      </w:r>
      <w:r>
        <w:t>no</w:t>
      </w:r>
      <w:r>
        <w:rPr>
          <w:spacing w:val="-12"/>
        </w:rPr>
        <w:t xml:space="preserve"> </w:t>
      </w:r>
      <w:r>
        <w:t>hubo</w:t>
      </w:r>
      <w:r>
        <w:rPr>
          <w:spacing w:val="-12"/>
        </w:rPr>
        <w:t xml:space="preserve"> </w:t>
      </w:r>
      <w:r>
        <w:t>una</w:t>
      </w:r>
      <w:r>
        <w:rPr>
          <w:spacing w:val="-12"/>
        </w:rPr>
        <w:t xml:space="preserve"> </w:t>
      </w:r>
      <w:r>
        <w:t>transformación significativa de la cultura o del sistema político del país que desmontara la relación del narcotráfico y el régimen político, vinculación que aún pervive</w:t>
      </w:r>
      <w:r w:rsidR="00F4582E">
        <w:rPr>
          <w:rStyle w:val="Refdenotaalpie"/>
        </w:rPr>
        <w:footnoteReference w:id="557"/>
      </w:r>
      <w:r>
        <w:t>. De estos dos procesos quedaron</w:t>
      </w:r>
      <w:r>
        <w:rPr>
          <w:spacing w:val="-8"/>
        </w:rPr>
        <w:t xml:space="preserve"> </w:t>
      </w:r>
      <w:r>
        <w:t>varios</w:t>
      </w:r>
      <w:r>
        <w:rPr>
          <w:spacing w:val="-9"/>
        </w:rPr>
        <w:t xml:space="preserve"> </w:t>
      </w:r>
      <w:r>
        <w:t>impactos.</w:t>
      </w:r>
      <w:r>
        <w:rPr>
          <w:spacing w:val="-8"/>
        </w:rPr>
        <w:t xml:space="preserve"> </w:t>
      </w:r>
      <w:r>
        <w:t>Por</w:t>
      </w:r>
      <w:r>
        <w:rPr>
          <w:spacing w:val="-8"/>
        </w:rPr>
        <w:t xml:space="preserve"> </w:t>
      </w:r>
      <w:r>
        <w:t>un</w:t>
      </w:r>
      <w:r>
        <w:rPr>
          <w:spacing w:val="-9"/>
        </w:rPr>
        <w:t xml:space="preserve"> </w:t>
      </w:r>
      <w:r>
        <w:t>lado,</w:t>
      </w:r>
      <w:r>
        <w:rPr>
          <w:spacing w:val="-8"/>
        </w:rPr>
        <w:t xml:space="preserve"> </w:t>
      </w:r>
      <w:r>
        <w:t>con</w:t>
      </w:r>
      <w:r>
        <w:rPr>
          <w:spacing w:val="-8"/>
        </w:rPr>
        <w:t xml:space="preserve"> </w:t>
      </w:r>
      <w:r>
        <w:t>el</w:t>
      </w:r>
      <w:r>
        <w:rPr>
          <w:spacing w:val="-8"/>
        </w:rPr>
        <w:t xml:space="preserve"> </w:t>
      </w:r>
      <w:r>
        <w:t>proceso</w:t>
      </w:r>
      <w:r>
        <w:rPr>
          <w:spacing w:val="-8"/>
        </w:rPr>
        <w:t xml:space="preserve"> </w:t>
      </w:r>
      <w:r>
        <w:t>8.000</w:t>
      </w:r>
      <w:r>
        <w:rPr>
          <w:spacing w:val="-9"/>
        </w:rPr>
        <w:t xml:space="preserve"> </w:t>
      </w:r>
      <w:r>
        <w:t>los</w:t>
      </w:r>
      <w:r>
        <w:rPr>
          <w:spacing w:val="-8"/>
        </w:rPr>
        <w:t xml:space="preserve"> </w:t>
      </w:r>
      <w:r>
        <w:t>Estados</w:t>
      </w:r>
      <w:r>
        <w:rPr>
          <w:spacing w:val="-10"/>
        </w:rPr>
        <w:t xml:space="preserve"> </w:t>
      </w:r>
      <w:r>
        <w:t>Unidos</w:t>
      </w:r>
      <w:r>
        <w:rPr>
          <w:spacing w:val="-8"/>
        </w:rPr>
        <w:t xml:space="preserve"> </w:t>
      </w:r>
      <w:r>
        <w:t>utilizaron</w:t>
      </w:r>
      <w:r>
        <w:rPr>
          <w:spacing w:val="-9"/>
        </w:rPr>
        <w:t xml:space="preserve"> </w:t>
      </w:r>
      <w:r>
        <w:t>la coyuntura para incidir en la agenda antidrogas del país; y, por otro, en el caso de la parapolítica, emergió una crisis de legitimidad, y aunque 44 congresistas estuvieron en la cárcel, no se ha investigado suficientemente las redes del sistema político que la hicieron posible, ni los partidos que fueron influenciados o cooptados.</w:t>
      </w:r>
    </w:p>
    <w:p w:rsidR="003804AC" w:rsidRDefault="00AF18A5" w:rsidP="00F4582E">
      <w:r>
        <w:t xml:space="preserve">La Comisión de la Verdad considera que la penetración del narcotráfico obedece a un entramado de relaciones, coaliciones y vínculos entre diferentes actores políticos, económicos, armados o militares, que se funda en el beneficio y la acumulación de capital, pero también en redes clientelistas y relaciones familiares. Tales redes y relaciones, aunque son </w:t>
      </w:r>
      <w:r>
        <w:lastRenderedPageBreak/>
        <w:t>conocidas de manera informal o se han evidenciado en escándalos sucesivos</w:t>
      </w:r>
      <w:r w:rsidR="00F4582E">
        <w:rPr>
          <w:rStyle w:val="Refdenotaalpie"/>
        </w:rPr>
        <w:footnoteReference w:id="558"/>
      </w:r>
      <w:r>
        <w:t>, no han sido investigadas en profundidad ni desmanteladas.</w:t>
      </w:r>
    </w:p>
    <w:p w:rsidR="003804AC" w:rsidRDefault="00AF18A5" w:rsidP="00F4582E">
      <w:r>
        <w:t>Estos vínculos son rastreables en Magdalena, Tolima, Córdoba, Cundinamarca, Bolívar, Meta, Boyacá, Sucre, Cesar, Valle del Cauca, Antioquia, La Guajira, Nariño, Chocó y Santander, lo que evidencia que no solo las periferias, sino también los centros de poder político,</w:t>
      </w:r>
      <w:r>
        <w:rPr>
          <w:spacing w:val="-7"/>
        </w:rPr>
        <w:t xml:space="preserve"> </w:t>
      </w:r>
      <w:r>
        <w:t>han</w:t>
      </w:r>
      <w:r>
        <w:rPr>
          <w:spacing w:val="-8"/>
        </w:rPr>
        <w:t xml:space="preserve"> </w:t>
      </w:r>
      <w:r>
        <w:t>sido</w:t>
      </w:r>
      <w:r>
        <w:rPr>
          <w:spacing w:val="-7"/>
        </w:rPr>
        <w:t xml:space="preserve"> </w:t>
      </w:r>
      <w:r>
        <w:t>decisivos</w:t>
      </w:r>
      <w:r>
        <w:rPr>
          <w:spacing w:val="-7"/>
        </w:rPr>
        <w:t xml:space="preserve"> </w:t>
      </w:r>
      <w:r>
        <w:t>en</w:t>
      </w:r>
      <w:r>
        <w:rPr>
          <w:spacing w:val="-8"/>
        </w:rPr>
        <w:t xml:space="preserve"> </w:t>
      </w:r>
      <w:r>
        <w:t>la</w:t>
      </w:r>
      <w:r>
        <w:rPr>
          <w:spacing w:val="-7"/>
        </w:rPr>
        <w:t xml:space="preserve"> </w:t>
      </w:r>
      <w:r>
        <w:t>consolidación</w:t>
      </w:r>
      <w:r>
        <w:rPr>
          <w:spacing w:val="-7"/>
        </w:rPr>
        <w:t xml:space="preserve"> </w:t>
      </w:r>
      <w:r>
        <w:t>del</w:t>
      </w:r>
      <w:r>
        <w:rPr>
          <w:spacing w:val="-7"/>
        </w:rPr>
        <w:t xml:space="preserve"> </w:t>
      </w:r>
      <w:r>
        <w:t>poder</w:t>
      </w:r>
      <w:r>
        <w:rPr>
          <w:spacing w:val="-8"/>
        </w:rPr>
        <w:t xml:space="preserve"> </w:t>
      </w:r>
      <w:r>
        <w:t>del</w:t>
      </w:r>
      <w:r>
        <w:rPr>
          <w:spacing w:val="-7"/>
        </w:rPr>
        <w:t xml:space="preserve"> </w:t>
      </w:r>
      <w:r>
        <w:t>narcotráfico.</w:t>
      </w:r>
      <w:r>
        <w:rPr>
          <w:spacing w:val="-8"/>
        </w:rPr>
        <w:t xml:space="preserve"> </w:t>
      </w:r>
      <w:r>
        <w:t>En</w:t>
      </w:r>
      <w:r>
        <w:rPr>
          <w:spacing w:val="-7"/>
        </w:rPr>
        <w:t xml:space="preserve"> </w:t>
      </w:r>
      <w:r>
        <w:t>algunos</w:t>
      </w:r>
      <w:r>
        <w:rPr>
          <w:spacing w:val="-8"/>
        </w:rPr>
        <w:t xml:space="preserve"> </w:t>
      </w:r>
      <w:r>
        <w:t>casos, parte de la impunidad y la corrupción se concentraron en el poder del Congreso, donde se dan los principales debates sobre la agenda antidrogas y la extradición, que determinan el rumbo de la misma. Lo que ha permanecido en el régimen político es una estructura constituida</w:t>
      </w:r>
      <w:r>
        <w:rPr>
          <w:spacing w:val="33"/>
        </w:rPr>
        <w:t xml:space="preserve"> </w:t>
      </w:r>
      <w:r>
        <w:t>bajo</w:t>
      </w:r>
      <w:r>
        <w:rPr>
          <w:spacing w:val="36"/>
        </w:rPr>
        <w:t xml:space="preserve"> </w:t>
      </w:r>
      <w:r>
        <w:t>las</w:t>
      </w:r>
      <w:r>
        <w:rPr>
          <w:spacing w:val="36"/>
        </w:rPr>
        <w:t xml:space="preserve"> </w:t>
      </w:r>
      <w:r>
        <w:t>dinámicas</w:t>
      </w:r>
      <w:r>
        <w:rPr>
          <w:spacing w:val="36"/>
        </w:rPr>
        <w:t xml:space="preserve"> </w:t>
      </w:r>
      <w:r>
        <w:t>de</w:t>
      </w:r>
      <w:r>
        <w:rPr>
          <w:spacing w:val="36"/>
        </w:rPr>
        <w:t xml:space="preserve"> </w:t>
      </w:r>
      <w:r>
        <w:t>financiación</w:t>
      </w:r>
      <w:r>
        <w:rPr>
          <w:spacing w:val="34"/>
        </w:rPr>
        <w:t xml:space="preserve"> </w:t>
      </w:r>
      <w:r>
        <w:t>de</w:t>
      </w:r>
      <w:r>
        <w:rPr>
          <w:spacing w:val="36"/>
        </w:rPr>
        <w:t xml:space="preserve"> </w:t>
      </w:r>
      <w:r>
        <w:t>campañas,</w:t>
      </w:r>
      <w:r>
        <w:rPr>
          <w:spacing w:val="36"/>
        </w:rPr>
        <w:t xml:space="preserve"> </w:t>
      </w:r>
      <w:r>
        <w:t>pactos</w:t>
      </w:r>
      <w:r>
        <w:rPr>
          <w:spacing w:val="36"/>
        </w:rPr>
        <w:t xml:space="preserve"> </w:t>
      </w:r>
      <w:r>
        <w:t>locales</w:t>
      </w:r>
      <w:r>
        <w:rPr>
          <w:spacing w:val="36"/>
        </w:rPr>
        <w:t xml:space="preserve"> </w:t>
      </w:r>
      <w:r>
        <w:t>y</w:t>
      </w:r>
      <w:r>
        <w:rPr>
          <w:spacing w:val="36"/>
        </w:rPr>
        <w:t xml:space="preserve"> </w:t>
      </w:r>
      <w:r>
        <w:rPr>
          <w:spacing w:val="-2"/>
        </w:rPr>
        <w:t>nacionales</w:t>
      </w:r>
      <w:bookmarkStart w:id="726" w:name="_bookmark618"/>
      <w:bookmarkStart w:id="727" w:name="_bookmark619"/>
      <w:bookmarkStart w:id="728" w:name="_bookmark620"/>
      <w:bookmarkEnd w:id="726"/>
      <w:bookmarkEnd w:id="727"/>
      <w:bookmarkEnd w:id="728"/>
      <w:r w:rsidR="00F4582E">
        <w:rPr>
          <w:spacing w:val="-2"/>
        </w:rPr>
        <w:t xml:space="preserve"> </w:t>
      </w:r>
      <w:r>
        <w:t>irradiados</w:t>
      </w:r>
      <w:r>
        <w:rPr>
          <w:spacing w:val="-10"/>
        </w:rPr>
        <w:t xml:space="preserve"> </w:t>
      </w:r>
      <w:r>
        <w:t>o</w:t>
      </w:r>
      <w:r>
        <w:rPr>
          <w:spacing w:val="-11"/>
        </w:rPr>
        <w:t xml:space="preserve"> </w:t>
      </w:r>
      <w:r>
        <w:t>convergentes</w:t>
      </w:r>
      <w:r>
        <w:rPr>
          <w:spacing w:val="-9"/>
        </w:rPr>
        <w:t xml:space="preserve"> </w:t>
      </w:r>
      <w:r>
        <w:t>en</w:t>
      </w:r>
      <w:r>
        <w:rPr>
          <w:spacing w:val="-11"/>
        </w:rPr>
        <w:t xml:space="preserve"> </w:t>
      </w:r>
      <w:r>
        <w:t>el</w:t>
      </w:r>
      <w:r>
        <w:rPr>
          <w:spacing w:val="-9"/>
        </w:rPr>
        <w:t xml:space="preserve"> </w:t>
      </w:r>
      <w:r>
        <w:t>Congreso,</w:t>
      </w:r>
      <w:r>
        <w:rPr>
          <w:spacing w:val="-9"/>
        </w:rPr>
        <w:t xml:space="preserve"> </w:t>
      </w:r>
      <w:r>
        <w:t>y</w:t>
      </w:r>
      <w:r>
        <w:rPr>
          <w:spacing w:val="-11"/>
        </w:rPr>
        <w:t xml:space="preserve"> </w:t>
      </w:r>
      <w:r>
        <w:t>complicidades</w:t>
      </w:r>
      <w:r>
        <w:rPr>
          <w:spacing w:val="-10"/>
        </w:rPr>
        <w:t xml:space="preserve"> </w:t>
      </w:r>
      <w:r>
        <w:t>explícitas</w:t>
      </w:r>
      <w:r>
        <w:rPr>
          <w:spacing w:val="-10"/>
        </w:rPr>
        <w:t xml:space="preserve"> </w:t>
      </w:r>
      <w:r>
        <w:t>entre</w:t>
      </w:r>
      <w:r>
        <w:rPr>
          <w:spacing w:val="-10"/>
        </w:rPr>
        <w:t xml:space="preserve"> </w:t>
      </w:r>
      <w:r>
        <w:t>el</w:t>
      </w:r>
      <w:r>
        <w:rPr>
          <w:spacing w:val="-10"/>
        </w:rPr>
        <w:t xml:space="preserve"> </w:t>
      </w:r>
      <w:r>
        <w:t>narcotráfico,</w:t>
      </w:r>
      <w:r>
        <w:rPr>
          <w:spacing w:val="-9"/>
        </w:rPr>
        <w:t xml:space="preserve"> </w:t>
      </w:r>
      <w:r>
        <w:t>la contratación</w:t>
      </w:r>
      <w:r>
        <w:rPr>
          <w:spacing w:val="-5"/>
        </w:rPr>
        <w:t xml:space="preserve"> </w:t>
      </w:r>
      <w:r>
        <w:t>pública</w:t>
      </w:r>
      <w:r>
        <w:rPr>
          <w:spacing w:val="-3"/>
        </w:rPr>
        <w:t xml:space="preserve"> </w:t>
      </w:r>
      <w:r>
        <w:t>y</w:t>
      </w:r>
      <w:r>
        <w:rPr>
          <w:spacing w:val="-5"/>
        </w:rPr>
        <w:t xml:space="preserve"> </w:t>
      </w:r>
      <w:r>
        <w:t>la</w:t>
      </w:r>
      <w:r>
        <w:rPr>
          <w:spacing w:val="-4"/>
        </w:rPr>
        <w:t xml:space="preserve"> </w:t>
      </w:r>
      <w:r>
        <w:t>representación</w:t>
      </w:r>
      <w:r>
        <w:rPr>
          <w:spacing w:val="-3"/>
        </w:rPr>
        <w:t xml:space="preserve"> </w:t>
      </w:r>
      <w:r>
        <w:t>política.</w:t>
      </w:r>
      <w:r>
        <w:rPr>
          <w:spacing w:val="-5"/>
        </w:rPr>
        <w:t xml:space="preserve"> </w:t>
      </w:r>
      <w:r>
        <w:t>La</w:t>
      </w:r>
      <w:r>
        <w:rPr>
          <w:spacing w:val="-3"/>
        </w:rPr>
        <w:t xml:space="preserve"> </w:t>
      </w:r>
      <w:r>
        <w:t>falta</w:t>
      </w:r>
      <w:r>
        <w:rPr>
          <w:spacing w:val="-4"/>
        </w:rPr>
        <w:t xml:space="preserve"> </w:t>
      </w:r>
      <w:r>
        <w:t>de</w:t>
      </w:r>
      <w:r>
        <w:rPr>
          <w:spacing w:val="-4"/>
        </w:rPr>
        <w:t xml:space="preserve"> </w:t>
      </w:r>
      <w:r>
        <w:t>investigación</w:t>
      </w:r>
      <w:r>
        <w:rPr>
          <w:spacing w:val="-5"/>
        </w:rPr>
        <w:t xml:space="preserve"> </w:t>
      </w:r>
      <w:r>
        <w:t>a</w:t>
      </w:r>
      <w:r>
        <w:rPr>
          <w:spacing w:val="-3"/>
        </w:rPr>
        <w:t xml:space="preserve"> </w:t>
      </w:r>
      <w:r>
        <w:t>profundidad</w:t>
      </w:r>
      <w:r>
        <w:rPr>
          <w:spacing w:val="-3"/>
        </w:rPr>
        <w:t xml:space="preserve"> </w:t>
      </w:r>
      <w:r>
        <w:t>del caso</w:t>
      </w:r>
      <w:r>
        <w:rPr>
          <w:spacing w:val="-1"/>
        </w:rPr>
        <w:t xml:space="preserve"> </w:t>
      </w:r>
      <w:r>
        <w:t>del</w:t>
      </w:r>
      <w:r>
        <w:rPr>
          <w:spacing w:val="-1"/>
        </w:rPr>
        <w:t xml:space="preserve"> </w:t>
      </w:r>
      <w:r>
        <w:t>Parqueadero</w:t>
      </w:r>
      <w:r>
        <w:rPr>
          <w:spacing w:val="-1"/>
        </w:rPr>
        <w:t xml:space="preserve"> </w:t>
      </w:r>
      <w:r>
        <w:t>Padilla,</w:t>
      </w:r>
      <w:r>
        <w:rPr>
          <w:spacing w:val="-1"/>
        </w:rPr>
        <w:t xml:space="preserve"> </w:t>
      </w:r>
      <w:r>
        <w:t>de</w:t>
      </w:r>
      <w:r>
        <w:rPr>
          <w:spacing w:val="-2"/>
        </w:rPr>
        <w:t xml:space="preserve"> </w:t>
      </w:r>
      <w:r>
        <w:t>la</w:t>
      </w:r>
      <w:r>
        <w:rPr>
          <w:spacing w:val="-3"/>
        </w:rPr>
        <w:t xml:space="preserve"> </w:t>
      </w:r>
      <w:r>
        <w:t>Oficina</w:t>
      </w:r>
      <w:r>
        <w:rPr>
          <w:spacing w:val="-2"/>
        </w:rPr>
        <w:t xml:space="preserve"> </w:t>
      </w:r>
      <w:r>
        <w:t>de</w:t>
      </w:r>
      <w:r>
        <w:rPr>
          <w:spacing w:val="-2"/>
        </w:rPr>
        <w:t xml:space="preserve"> </w:t>
      </w:r>
      <w:r>
        <w:t>Unicentro</w:t>
      </w:r>
      <w:r>
        <w:rPr>
          <w:spacing w:val="-2"/>
        </w:rPr>
        <w:t xml:space="preserve"> </w:t>
      </w:r>
      <w:r>
        <w:t>y</w:t>
      </w:r>
      <w:r>
        <w:rPr>
          <w:spacing w:val="-3"/>
        </w:rPr>
        <w:t xml:space="preserve"> </w:t>
      </w:r>
      <w:r>
        <w:t>de</w:t>
      </w:r>
      <w:r>
        <w:rPr>
          <w:spacing w:val="-1"/>
        </w:rPr>
        <w:t xml:space="preserve"> </w:t>
      </w:r>
      <w:proofErr w:type="spellStart"/>
      <w:r>
        <w:t>Funpazcor</w:t>
      </w:r>
      <w:proofErr w:type="spellEnd"/>
      <w:r w:rsidR="00F4582E">
        <w:rPr>
          <w:rStyle w:val="Refdenotaalpie"/>
        </w:rPr>
        <w:footnoteReference w:id="559"/>
      </w:r>
      <w:r>
        <w:rPr>
          <w:spacing w:val="-1"/>
        </w:rPr>
        <w:t xml:space="preserve"> </w:t>
      </w:r>
      <w:r>
        <w:t>son</w:t>
      </w:r>
      <w:r>
        <w:rPr>
          <w:spacing w:val="-1"/>
        </w:rPr>
        <w:t xml:space="preserve"> </w:t>
      </w:r>
      <w:r>
        <w:t>ejemplos</w:t>
      </w:r>
      <w:r>
        <w:rPr>
          <w:spacing w:val="-1"/>
        </w:rPr>
        <w:t xml:space="preserve"> </w:t>
      </w:r>
      <w:r>
        <w:t xml:space="preserve">de cómo no se alteraron las estructuras financieras ni de poder del </w:t>
      </w:r>
      <w:proofErr w:type="spellStart"/>
      <w:r>
        <w:t>narcoparamilitarismo</w:t>
      </w:r>
      <w:proofErr w:type="spellEnd"/>
      <w:r>
        <w:t xml:space="preserve"> en el </w:t>
      </w:r>
      <w:r>
        <w:rPr>
          <w:spacing w:val="-2"/>
        </w:rPr>
        <w:t>país</w:t>
      </w:r>
      <w:r w:rsidR="00F4582E">
        <w:rPr>
          <w:rStyle w:val="Refdenotaalpie"/>
          <w:spacing w:val="-2"/>
        </w:rPr>
        <w:footnoteReference w:id="560"/>
      </w:r>
      <w:r>
        <w:rPr>
          <w:spacing w:val="-2"/>
        </w:rPr>
        <w:t>.</w:t>
      </w:r>
    </w:p>
    <w:p w:rsidR="003804AC" w:rsidRDefault="00AF18A5" w:rsidP="00F4582E">
      <w:r>
        <w:t>La</w:t>
      </w:r>
      <w:r>
        <w:rPr>
          <w:spacing w:val="-7"/>
        </w:rPr>
        <w:t xml:space="preserve"> </w:t>
      </w:r>
      <w:r>
        <w:t>función</w:t>
      </w:r>
      <w:r>
        <w:rPr>
          <w:spacing w:val="-7"/>
        </w:rPr>
        <w:t xml:space="preserve"> </w:t>
      </w:r>
      <w:r>
        <w:t>pública</w:t>
      </w:r>
      <w:r>
        <w:rPr>
          <w:spacing w:val="-8"/>
        </w:rPr>
        <w:t xml:space="preserve"> </w:t>
      </w:r>
      <w:r>
        <w:t>ha</w:t>
      </w:r>
      <w:r>
        <w:rPr>
          <w:spacing w:val="-8"/>
        </w:rPr>
        <w:t xml:space="preserve"> </w:t>
      </w:r>
      <w:r>
        <w:t>sido</w:t>
      </w:r>
      <w:r>
        <w:rPr>
          <w:spacing w:val="-7"/>
        </w:rPr>
        <w:t xml:space="preserve"> </w:t>
      </w:r>
      <w:r>
        <w:t>utilizada</w:t>
      </w:r>
      <w:r>
        <w:rPr>
          <w:spacing w:val="-7"/>
        </w:rPr>
        <w:t xml:space="preserve"> </w:t>
      </w:r>
      <w:r>
        <w:t>por</w:t>
      </w:r>
      <w:r>
        <w:rPr>
          <w:spacing w:val="-7"/>
        </w:rPr>
        <w:t xml:space="preserve"> </w:t>
      </w:r>
      <w:r>
        <w:t>el</w:t>
      </w:r>
      <w:r>
        <w:rPr>
          <w:spacing w:val="-7"/>
        </w:rPr>
        <w:t xml:space="preserve"> </w:t>
      </w:r>
      <w:r>
        <w:t>narcotráfico</w:t>
      </w:r>
      <w:r>
        <w:rPr>
          <w:spacing w:val="-8"/>
        </w:rPr>
        <w:t xml:space="preserve"> </w:t>
      </w:r>
      <w:r>
        <w:t>de</w:t>
      </w:r>
      <w:r>
        <w:rPr>
          <w:spacing w:val="-8"/>
        </w:rPr>
        <w:t xml:space="preserve"> </w:t>
      </w:r>
      <w:r>
        <w:t>dos</w:t>
      </w:r>
      <w:r>
        <w:rPr>
          <w:spacing w:val="-8"/>
        </w:rPr>
        <w:t xml:space="preserve"> </w:t>
      </w:r>
      <w:r>
        <w:t>formas.</w:t>
      </w:r>
      <w:r>
        <w:rPr>
          <w:spacing w:val="-7"/>
        </w:rPr>
        <w:t xml:space="preserve"> </w:t>
      </w:r>
      <w:r>
        <w:t>Por</w:t>
      </w:r>
      <w:r>
        <w:rPr>
          <w:spacing w:val="-9"/>
        </w:rPr>
        <w:t xml:space="preserve"> </w:t>
      </w:r>
      <w:r>
        <w:t>una</w:t>
      </w:r>
      <w:r>
        <w:rPr>
          <w:spacing w:val="-7"/>
        </w:rPr>
        <w:t xml:space="preserve"> </w:t>
      </w:r>
      <w:r>
        <w:t>parte,</w:t>
      </w:r>
      <w:r>
        <w:rPr>
          <w:spacing w:val="-8"/>
        </w:rPr>
        <w:t xml:space="preserve"> </w:t>
      </w:r>
      <w:r>
        <w:t xml:space="preserve">para asegurar la impunidad en la logística ilegal de la </w:t>
      </w:r>
      <w:r>
        <w:lastRenderedPageBreak/>
        <w:t>operación del narcotráfico, lo que muestra el</w:t>
      </w:r>
      <w:r>
        <w:rPr>
          <w:spacing w:val="-1"/>
        </w:rPr>
        <w:t xml:space="preserve"> </w:t>
      </w:r>
      <w:r>
        <w:t>entramado</w:t>
      </w:r>
      <w:r>
        <w:rPr>
          <w:spacing w:val="-1"/>
        </w:rPr>
        <w:t xml:space="preserve"> </w:t>
      </w:r>
      <w:r>
        <w:t>paramilitar</w:t>
      </w:r>
      <w:r>
        <w:rPr>
          <w:spacing w:val="-1"/>
        </w:rPr>
        <w:t xml:space="preserve"> </w:t>
      </w:r>
      <w:r>
        <w:t>ya</w:t>
      </w:r>
      <w:r>
        <w:rPr>
          <w:spacing w:val="-1"/>
        </w:rPr>
        <w:t xml:space="preserve"> </w:t>
      </w:r>
      <w:r>
        <w:t>descrito</w:t>
      </w:r>
      <w:r>
        <w:rPr>
          <w:spacing w:val="-2"/>
        </w:rPr>
        <w:t xml:space="preserve"> </w:t>
      </w:r>
      <w:r>
        <w:t>por</w:t>
      </w:r>
      <w:r>
        <w:rPr>
          <w:spacing w:val="-1"/>
        </w:rPr>
        <w:t xml:space="preserve"> </w:t>
      </w:r>
      <w:r>
        <w:t>la</w:t>
      </w:r>
      <w:r>
        <w:rPr>
          <w:spacing w:val="-1"/>
        </w:rPr>
        <w:t xml:space="preserve"> </w:t>
      </w:r>
      <w:r>
        <w:t>Comisión</w:t>
      </w:r>
      <w:r>
        <w:rPr>
          <w:spacing w:val="-1"/>
        </w:rPr>
        <w:t xml:space="preserve"> </w:t>
      </w:r>
      <w:r>
        <w:t>y</w:t>
      </w:r>
      <w:r>
        <w:rPr>
          <w:spacing w:val="-1"/>
        </w:rPr>
        <w:t xml:space="preserve"> </w:t>
      </w:r>
      <w:r>
        <w:t>su</w:t>
      </w:r>
      <w:r>
        <w:rPr>
          <w:spacing w:val="-1"/>
        </w:rPr>
        <w:t xml:space="preserve"> </w:t>
      </w:r>
      <w:r>
        <w:t>influencia</w:t>
      </w:r>
      <w:r>
        <w:rPr>
          <w:spacing w:val="-1"/>
        </w:rPr>
        <w:t xml:space="preserve"> </w:t>
      </w:r>
      <w:r>
        <w:t>en</w:t>
      </w:r>
      <w:r>
        <w:rPr>
          <w:spacing w:val="-1"/>
        </w:rPr>
        <w:t xml:space="preserve"> </w:t>
      </w:r>
      <w:r>
        <w:t>el</w:t>
      </w:r>
      <w:r>
        <w:rPr>
          <w:spacing w:val="-2"/>
        </w:rPr>
        <w:t xml:space="preserve"> </w:t>
      </w:r>
      <w:r>
        <w:t>propio</w:t>
      </w:r>
      <w:r>
        <w:rPr>
          <w:spacing w:val="-1"/>
        </w:rPr>
        <w:t xml:space="preserve"> </w:t>
      </w:r>
      <w:r>
        <w:t>sistema</w:t>
      </w:r>
      <w:r>
        <w:rPr>
          <w:spacing w:val="-1"/>
        </w:rPr>
        <w:t xml:space="preserve"> </w:t>
      </w:r>
      <w:r>
        <w:t>de investigación judicial en</w:t>
      </w:r>
      <w:r>
        <w:rPr>
          <w:spacing w:val="-1"/>
        </w:rPr>
        <w:t xml:space="preserve"> </w:t>
      </w:r>
      <w:r>
        <w:t>diferentes</w:t>
      </w:r>
      <w:r>
        <w:rPr>
          <w:spacing w:val="-1"/>
        </w:rPr>
        <w:t xml:space="preserve"> </w:t>
      </w:r>
      <w:r>
        <w:t>momentos de las últimas</w:t>
      </w:r>
      <w:r>
        <w:rPr>
          <w:spacing w:val="-1"/>
        </w:rPr>
        <w:t xml:space="preserve"> </w:t>
      </w:r>
      <w:r>
        <w:t>décadas. Y</w:t>
      </w:r>
      <w:r>
        <w:rPr>
          <w:spacing w:val="-1"/>
        </w:rPr>
        <w:t xml:space="preserve"> </w:t>
      </w:r>
      <w:r>
        <w:t>por otro, para lavar el dinero a través de la contratación pública o de la compra de tierras (esta compra muchas veces</w:t>
      </w:r>
      <w:r>
        <w:rPr>
          <w:spacing w:val="-3"/>
        </w:rPr>
        <w:t xml:space="preserve"> </w:t>
      </w:r>
      <w:r>
        <w:t>ha</w:t>
      </w:r>
      <w:r>
        <w:rPr>
          <w:spacing w:val="-3"/>
        </w:rPr>
        <w:t xml:space="preserve"> </w:t>
      </w:r>
      <w:r>
        <w:t>estado</w:t>
      </w:r>
      <w:r>
        <w:rPr>
          <w:spacing w:val="-3"/>
        </w:rPr>
        <w:t xml:space="preserve"> </w:t>
      </w:r>
      <w:r>
        <w:t>ligada</w:t>
      </w:r>
      <w:r>
        <w:rPr>
          <w:spacing w:val="-3"/>
        </w:rPr>
        <w:t xml:space="preserve"> </w:t>
      </w:r>
      <w:r>
        <w:t>al</w:t>
      </w:r>
      <w:r>
        <w:rPr>
          <w:spacing w:val="-4"/>
        </w:rPr>
        <w:t xml:space="preserve"> </w:t>
      </w:r>
      <w:r>
        <w:t>despojo</w:t>
      </w:r>
      <w:r>
        <w:rPr>
          <w:spacing w:val="-3"/>
        </w:rPr>
        <w:t xml:space="preserve"> </w:t>
      </w:r>
      <w:r>
        <w:t>de</w:t>
      </w:r>
      <w:r>
        <w:rPr>
          <w:spacing w:val="-4"/>
        </w:rPr>
        <w:t xml:space="preserve"> </w:t>
      </w:r>
      <w:r>
        <w:t>población</w:t>
      </w:r>
      <w:r>
        <w:rPr>
          <w:spacing w:val="-5"/>
        </w:rPr>
        <w:t xml:space="preserve"> </w:t>
      </w:r>
      <w:r>
        <w:t>campesina</w:t>
      </w:r>
      <w:r>
        <w:rPr>
          <w:spacing w:val="-3"/>
        </w:rPr>
        <w:t xml:space="preserve"> </w:t>
      </w:r>
      <w:r>
        <w:t>víctima</w:t>
      </w:r>
      <w:r>
        <w:rPr>
          <w:spacing w:val="-3"/>
        </w:rPr>
        <w:t xml:space="preserve"> </w:t>
      </w:r>
      <w:r>
        <w:t>del</w:t>
      </w:r>
      <w:r>
        <w:rPr>
          <w:spacing w:val="-3"/>
        </w:rPr>
        <w:t xml:space="preserve"> </w:t>
      </w:r>
      <w:r>
        <w:t>conflicto</w:t>
      </w:r>
      <w:r>
        <w:rPr>
          <w:spacing w:val="-3"/>
        </w:rPr>
        <w:t xml:space="preserve"> </w:t>
      </w:r>
      <w:r>
        <w:t>armado</w:t>
      </w:r>
      <w:r>
        <w:rPr>
          <w:spacing w:val="-5"/>
        </w:rPr>
        <w:t xml:space="preserve"> </w:t>
      </w:r>
      <w:r>
        <w:t>y</w:t>
      </w:r>
      <w:r>
        <w:rPr>
          <w:spacing w:val="-3"/>
        </w:rPr>
        <w:t xml:space="preserve"> </w:t>
      </w:r>
      <w:r>
        <w:t>en tal despojo han estado involucrados diferentes niveles de organismos e instituciones del Estado, como algunas notarías</w:t>
      </w:r>
      <w:r w:rsidR="00F4582E">
        <w:rPr>
          <w:rStyle w:val="Refdenotaalpie"/>
        </w:rPr>
        <w:footnoteReference w:id="561"/>
      </w:r>
      <w:r>
        <w:t>).</w:t>
      </w:r>
    </w:p>
    <w:p w:rsidR="003804AC" w:rsidRDefault="00AF18A5" w:rsidP="00F4582E">
      <w:r>
        <w:t>Es</w:t>
      </w:r>
      <w:r>
        <w:rPr>
          <w:spacing w:val="-3"/>
        </w:rPr>
        <w:t xml:space="preserve"> </w:t>
      </w:r>
      <w:r>
        <w:t>importante</w:t>
      </w:r>
      <w:r>
        <w:rPr>
          <w:spacing w:val="-3"/>
        </w:rPr>
        <w:t xml:space="preserve"> </w:t>
      </w:r>
      <w:r>
        <w:t>prestar</w:t>
      </w:r>
      <w:r>
        <w:rPr>
          <w:spacing w:val="-3"/>
        </w:rPr>
        <w:t xml:space="preserve"> </w:t>
      </w:r>
      <w:r>
        <w:t>atención</w:t>
      </w:r>
      <w:r>
        <w:rPr>
          <w:spacing w:val="-3"/>
        </w:rPr>
        <w:t xml:space="preserve"> </w:t>
      </w:r>
      <w:r>
        <w:t>a</w:t>
      </w:r>
      <w:r>
        <w:rPr>
          <w:spacing w:val="-3"/>
        </w:rPr>
        <w:t xml:space="preserve"> </w:t>
      </w:r>
      <w:r>
        <w:t>la</w:t>
      </w:r>
      <w:r>
        <w:rPr>
          <w:spacing w:val="-3"/>
        </w:rPr>
        <w:t xml:space="preserve"> </w:t>
      </w:r>
      <w:r>
        <w:t>impunidad</w:t>
      </w:r>
      <w:r>
        <w:rPr>
          <w:spacing w:val="-3"/>
        </w:rPr>
        <w:t xml:space="preserve"> </w:t>
      </w:r>
      <w:r>
        <w:t>junto</w:t>
      </w:r>
      <w:r>
        <w:rPr>
          <w:spacing w:val="-3"/>
        </w:rPr>
        <w:t xml:space="preserve"> </w:t>
      </w:r>
      <w:r>
        <w:t>con</w:t>
      </w:r>
      <w:r>
        <w:rPr>
          <w:spacing w:val="-3"/>
        </w:rPr>
        <w:t xml:space="preserve"> </w:t>
      </w:r>
      <w:r>
        <w:t>la</w:t>
      </w:r>
      <w:r>
        <w:rPr>
          <w:spacing w:val="-3"/>
        </w:rPr>
        <w:t xml:space="preserve"> </w:t>
      </w:r>
      <w:r>
        <w:t>corrupción</w:t>
      </w:r>
      <w:r>
        <w:rPr>
          <w:spacing w:val="-3"/>
        </w:rPr>
        <w:t xml:space="preserve"> </w:t>
      </w:r>
      <w:r>
        <w:t>en</w:t>
      </w:r>
      <w:r>
        <w:rPr>
          <w:spacing w:val="-5"/>
        </w:rPr>
        <w:t xml:space="preserve"> </w:t>
      </w:r>
      <w:r>
        <w:t>la</w:t>
      </w:r>
      <w:r>
        <w:rPr>
          <w:spacing w:val="-3"/>
        </w:rPr>
        <w:t xml:space="preserve"> </w:t>
      </w:r>
      <w:r>
        <w:t>reproducción y el escalamiento de las violencias del conflicto armado y el narcotráfico, dado que no ha habido mecanismos efectivos para ejercer justicia frente a la violencia que se desató. Como advirtió</w:t>
      </w:r>
      <w:r>
        <w:rPr>
          <w:spacing w:val="-13"/>
        </w:rPr>
        <w:t xml:space="preserve"> </w:t>
      </w:r>
      <w:r>
        <w:t>en</w:t>
      </w:r>
      <w:r>
        <w:rPr>
          <w:spacing w:val="-14"/>
        </w:rPr>
        <w:t xml:space="preserve"> </w:t>
      </w:r>
      <w:r>
        <w:t>su</w:t>
      </w:r>
      <w:r>
        <w:rPr>
          <w:spacing w:val="-13"/>
        </w:rPr>
        <w:t xml:space="preserve"> </w:t>
      </w:r>
      <w:r>
        <w:t>tiempo</w:t>
      </w:r>
      <w:r>
        <w:rPr>
          <w:spacing w:val="-13"/>
        </w:rPr>
        <w:t xml:space="preserve"> </w:t>
      </w:r>
      <w:r>
        <w:t>el</w:t>
      </w:r>
      <w:r>
        <w:rPr>
          <w:spacing w:val="-14"/>
        </w:rPr>
        <w:t xml:space="preserve"> </w:t>
      </w:r>
      <w:r>
        <w:t>procurador</w:t>
      </w:r>
      <w:r>
        <w:rPr>
          <w:spacing w:val="-14"/>
        </w:rPr>
        <w:t xml:space="preserve"> </w:t>
      </w:r>
      <w:r>
        <w:t>Carlos</w:t>
      </w:r>
      <w:r>
        <w:rPr>
          <w:spacing w:val="-13"/>
        </w:rPr>
        <w:t xml:space="preserve"> </w:t>
      </w:r>
      <w:r>
        <w:t>Jiménez</w:t>
      </w:r>
      <w:r>
        <w:rPr>
          <w:spacing w:val="-13"/>
        </w:rPr>
        <w:t xml:space="preserve"> </w:t>
      </w:r>
      <w:r>
        <w:t>Gómez</w:t>
      </w:r>
      <w:r>
        <w:rPr>
          <w:spacing w:val="-14"/>
        </w:rPr>
        <w:t xml:space="preserve"> </w:t>
      </w:r>
      <w:r>
        <w:t>cuando</w:t>
      </w:r>
      <w:r>
        <w:rPr>
          <w:spacing w:val="-13"/>
        </w:rPr>
        <w:t xml:space="preserve"> </w:t>
      </w:r>
      <w:r>
        <w:t>investigó</w:t>
      </w:r>
      <w:r>
        <w:rPr>
          <w:spacing w:val="-13"/>
        </w:rPr>
        <w:t xml:space="preserve"> </w:t>
      </w:r>
      <w:r>
        <w:t>el</w:t>
      </w:r>
      <w:r>
        <w:rPr>
          <w:spacing w:val="-13"/>
        </w:rPr>
        <w:t xml:space="preserve"> </w:t>
      </w:r>
      <w:r>
        <w:t>grupo</w:t>
      </w:r>
      <w:r>
        <w:rPr>
          <w:spacing w:val="-13"/>
        </w:rPr>
        <w:t xml:space="preserve"> </w:t>
      </w:r>
      <w:r>
        <w:t>Muerte a</w:t>
      </w:r>
      <w:r>
        <w:rPr>
          <w:spacing w:val="-4"/>
        </w:rPr>
        <w:t xml:space="preserve"> </w:t>
      </w:r>
      <w:r>
        <w:t>los</w:t>
      </w:r>
      <w:r>
        <w:rPr>
          <w:spacing w:val="-4"/>
        </w:rPr>
        <w:t xml:space="preserve"> </w:t>
      </w:r>
      <w:r>
        <w:t>Secuestradores</w:t>
      </w:r>
      <w:r>
        <w:rPr>
          <w:spacing w:val="-6"/>
        </w:rPr>
        <w:t xml:space="preserve"> </w:t>
      </w:r>
      <w:r>
        <w:t>(MAS),</w:t>
      </w:r>
      <w:r>
        <w:rPr>
          <w:spacing w:val="-5"/>
        </w:rPr>
        <w:t xml:space="preserve"> </w:t>
      </w:r>
      <w:r>
        <w:t>«nuestra</w:t>
      </w:r>
      <w:r>
        <w:rPr>
          <w:spacing w:val="-4"/>
        </w:rPr>
        <w:t xml:space="preserve"> </w:t>
      </w:r>
      <w:r>
        <w:t>misión</w:t>
      </w:r>
      <w:r>
        <w:rPr>
          <w:spacing w:val="-5"/>
        </w:rPr>
        <w:t xml:space="preserve"> </w:t>
      </w:r>
      <w:r>
        <w:t>no</w:t>
      </w:r>
      <w:r>
        <w:rPr>
          <w:spacing w:val="-6"/>
        </w:rPr>
        <w:t xml:space="preserve"> </w:t>
      </w:r>
      <w:r>
        <w:t>era</w:t>
      </w:r>
      <w:r>
        <w:rPr>
          <w:spacing w:val="-4"/>
        </w:rPr>
        <w:t xml:space="preserve"> </w:t>
      </w:r>
      <w:r>
        <w:t>escribir</w:t>
      </w:r>
      <w:r>
        <w:rPr>
          <w:spacing w:val="-7"/>
        </w:rPr>
        <w:t xml:space="preserve"> </w:t>
      </w:r>
      <w:r>
        <w:t>un</w:t>
      </w:r>
      <w:r>
        <w:rPr>
          <w:spacing w:val="-5"/>
        </w:rPr>
        <w:t xml:space="preserve"> </w:t>
      </w:r>
      <w:r>
        <w:t>informe,</w:t>
      </w:r>
      <w:r>
        <w:rPr>
          <w:spacing w:val="-6"/>
        </w:rPr>
        <w:t xml:space="preserve"> </w:t>
      </w:r>
      <w:r>
        <w:t>sino</w:t>
      </w:r>
      <w:r>
        <w:rPr>
          <w:spacing w:val="-5"/>
        </w:rPr>
        <w:t xml:space="preserve"> </w:t>
      </w:r>
      <w:r>
        <w:t>trabajar</w:t>
      </w:r>
      <w:r>
        <w:rPr>
          <w:spacing w:val="-5"/>
        </w:rPr>
        <w:t xml:space="preserve"> </w:t>
      </w:r>
      <w:r>
        <w:t>contra la</w:t>
      </w:r>
      <w:r>
        <w:rPr>
          <w:spacing w:val="-8"/>
        </w:rPr>
        <w:t xml:space="preserve"> </w:t>
      </w:r>
      <w:r>
        <w:t>impunidad»</w:t>
      </w:r>
      <w:r w:rsidR="00F4582E">
        <w:rPr>
          <w:rStyle w:val="Refdenotaalpie"/>
        </w:rPr>
        <w:footnoteReference w:id="562"/>
      </w:r>
      <w:r>
        <w:t>.</w:t>
      </w:r>
      <w:r>
        <w:rPr>
          <w:spacing w:val="-8"/>
        </w:rPr>
        <w:t xml:space="preserve"> </w:t>
      </w:r>
      <w:r>
        <w:t>La</w:t>
      </w:r>
      <w:r>
        <w:rPr>
          <w:spacing w:val="-8"/>
        </w:rPr>
        <w:t xml:space="preserve"> </w:t>
      </w:r>
      <w:r>
        <w:t>arremetida</w:t>
      </w:r>
      <w:r>
        <w:rPr>
          <w:spacing w:val="-8"/>
        </w:rPr>
        <w:t xml:space="preserve"> </w:t>
      </w:r>
      <w:r>
        <w:t>violenta</w:t>
      </w:r>
      <w:r>
        <w:rPr>
          <w:spacing w:val="-8"/>
        </w:rPr>
        <w:t xml:space="preserve"> </w:t>
      </w:r>
      <w:r>
        <w:t>de</w:t>
      </w:r>
      <w:r>
        <w:rPr>
          <w:spacing w:val="-8"/>
        </w:rPr>
        <w:t xml:space="preserve"> </w:t>
      </w:r>
      <w:r>
        <w:t>la</w:t>
      </w:r>
      <w:r>
        <w:rPr>
          <w:spacing w:val="-8"/>
        </w:rPr>
        <w:t xml:space="preserve"> </w:t>
      </w:r>
      <w:r>
        <w:t>alianza</w:t>
      </w:r>
      <w:r>
        <w:rPr>
          <w:spacing w:val="-8"/>
        </w:rPr>
        <w:t xml:space="preserve"> </w:t>
      </w:r>
      <w:r>
        <w:t>de</w:t>
      </w:r>
      <w:r>
        <w:rPr>
          <w:spacing w:val="-8"/>
        </w:rPr>
        <w:t xml:space="preserve"> </w:t>
      </w:r>
      <w:r>
        <w:t>políticos</w:t>
      </w:r>
      <w:r>
        <w:rPr>
          <w:spacing w:val="-8"/>
        </w:rPr>
        <w:t xml:space="preserve"> </w:t>
      </w:r>
      <w:r>
        <w:t>y</w:t>
      </w:r>
      <w:r>
        <w:rPr>
          <w:spacing w:val="-8"/>
        </w:rPr>
        <w:t xml:space="preserve"> </w:t>
      </w:r>
      <w:r>
        <w:t>narcotraficantes</w:t>
      </w:r>
      <w:r>
        <w:rPr>
          <w:spacing w:val="-9"/>
        </w:rPr>
        <w:t xml:space="preserve"> </w:t>
      </w:r>
      <w:r>
        <w:t>tuvo</w:t>
      </w:r>
      <w:r>
        <w:rPr>
          <w:spacing w:val="-8"/>
        </w:rPr>
        <w:t xml:space="preserve"> </w:t>
      </w:r>
      <w:r>
        <w:t>un tremendo impacto negativo en la fortaleza judicial del país.</w:t>
      </w:r>
    </w:p>
    <w:p w:rsidR="003804AC" w:rsidRDefault="00AF18A5" w:rsidP="00F4582E">
      <w:r>
        <w:t>Una forma usada por el narcotráfico para crear alianzas con la política ha sido mediante la influencia en el nombramiento de cargos públicos de especial relevancia. Hay varios ejemplos</w:t>
      </w:r>
      <w:r>
        <w:rPr>
          <w:spacing w:val="34"/>
        </w:rPr>
        <w:t xml:space="preserve"> </w:t>
      </w:r>
      <w:r>
        <w:t>al</w:t>
      </w:r>
      <w:r>
        <w:rPr>
          <w:spacing w:val="34"/>
        </w:rPr>
        <w:t xml:space="preserve"> </w:t>
      </w:r>
      <w:r>
        <w:t>respecto.</w:t>
      </w:r>
      <w:r>
        <w:rPr>
          <w:spacing w:val="34"/>
        </w:rPr>
        <w:t xml:space="preserve"> </w:t>
      </w:r>
      <w:r>
        <w:t>José</w:t>
      </w:r>
      <w:r>
        <w:rPr>
          <w:spacing w:val="34"/>
        </w:rPr>
        <w:t xml:space="preserve"> </w:t>
      </w:r>
      <w:r>
        <w:t>Miguel</w:t>
      </w:r>
      <w:r>
        <w:rPr>
          <w:spacing w:val="34"/>
        </w:rPr>
        <w:t xml:space="preserve"> </w:t>
      </w:r>
      <w:r>
        <w:t>Narváez,</w:t>
      </w:r>
      <w:r>
        <w:rPr>
          <w:spacing w:val="34"/>
        </w:rPr>
        <w:t xml:space="preserve"> </w:t>
      </w:r>
      <w:r>
        <w:t>exsubdirector</w:t>
      </w:r>
      <w:r>
        <w:rPr>
          <w:spacing w:val="33"/>
        </w:rPr>
        <w:t xml:space="preserve"> </w:t>
      </w:r>
      <w:r>
        <w:t>del</w:t>
      </w:r>
      <w:r>
        <w:rPr>
          <w:spacing w:val="35"/>
        </w:rPr>
        <w:t xml:space="preserve"> </w:t>
      </w:r>
      <w:r>
        <w:t>extinto</w:t>
      </w:r>
      <w:r>
        <w:rPr>
          <w:spacing w:val="34"/>
        </w:rPr>
        <w:t xml:space="preserve"> </w:t>
      </w:r>
      <w:r>
        <w:t>DAS</w:t>
      </w:r>
      <w:r>
        <w:rPr>
          <w:spacing w:val="34"/>
        </w:rPr>
        <w:t xml:space="preserve"> </w:t>
      </w:r>
      <w:r>
        <w:t>(2001-</w:t>
      </w:r>
      <w:r>
        <w:rPr>
          <w:spacing w:val="-2"/>
        </w:rPr>
        <w:t>2005),</w:t>
      </w:r>
      <w:bookmarkStart w:id="729" w:name="_bookmark621"/>
      <w:bookmarkStart w:id="730" w:name="_bookmark622"/>
      <w:bookmarkStart w:id="731" w:name="_bookmark623"/>
      <w:bookmarkStart w:id="732" w:name="_bookmark624"/>
      <w:bookmarkEnd w:id="729"/>
      <w:bookmarkEnd w:id="730"/>
      <w:bookmarkEnd w:id="731"/>
      <w:bookmarkEnd w:id="732"/>
      <w:r w:rsidR="00F4582E">
        <w:rPr>
          <w:spacing w:val="-2"/>
        </w:rPr>
        <w:t xml:space="preserve"> </w:t>
      </w:r>
      <w:r>
        <w:t>mantuvo</w:t>
      </w:r>
      <w:r>
        <w:rPr>
          <w:spacing w:val="-15"/>
        </w:rPr>
        <w:t xml:space="preserve"> </w:t>
      </w:r>
      <w:r>
        <w:t>relaciones</w:t>
      </w:r>
      <w:r>
        <w:rPr>
          <w:spacing w:val="-15"/>
        </w:rPr>
        <w:t xml:space="preserve"> </w:t>
      </w:r>
      <w:r>
        <w:t>estrechas</w:t>
      </w:r>
      <w:r>
        <w:rPr>
          <w:spacing w:val="-15"/>
        </w:rPr>
        <w:t xml:space="preserve"> </w:t>
      </w:r>
      <w:r>
        <w:t>con</w:t>
      </w:r>
      <w:r>
        <w:rPr>
          <w:spacing w:val="-15"/>
        </w:rPr>
        <w:t xml:space="preserve"> </w:t>
      </w:r>
      <w:r>
        <w:t>el</w:t>
      </w:r>
      <w:r>
        <w:rPr>
          <w:spacing w:val="-15"/>
        </w:rPr>
        <w:t xml:space="preserve"> </w:t>
      </w:r>
      <w:r>
        <w:t>jefe</w:t>
      </w:r>
      <w:r>
        <w:rPr>
          <w:spacing w:val="-15"/>
        </w:rPr>
        <w:t xml:space="preserve"> </w:t>
      </w:r>
      <w:r>
        <w:t>paramilitar</w:t>
      </w:r>
      <w:r>
        <w:rPr>
          <w:spacing w:val="-15"/>
        </w:rPr>
        <w:t xml:space="preserve"> </w:t>
      </w:r>
      <w:r>
        <w:t>Carlos</w:t>
      </w:r>
      <w:r>
        <w:rPr>
          <w:spacing w:val="-15"/>
        </w:rPr>
        <w:t xml:space="preserve"> </w:t>
      </w:r>
      <w:r>
        <w:t>Castaño,</w:t>
      </w:r>
      <w:r>
        <w:rPr>
          <w:spacing w:val="-15"/>
        </w:rPr>
        <w:t xml:space="preserve"> </w:t>
      </w:r>
      <w:r>
        <w:t>a</w:t>
      </w:r>
      <w:r>
        <w:rPr>
          <w:spacing w:val="-15"/>
        </w:rPr>
        <w:t xml:space="preserve"> </w:t>
      </w:r>
      <w:r>
        <w:t>quien</w:t>
      </w:r>
      <w:r>
        <w:rPr>
          <w:spacing w:val="-15"/>
        </w:rPr>
        <w:t xml:space="preserve"> </w:t>
      </w:r>
      <w:r>
        <w:t>indujo</w:t>
      </w:r>
      <w:r>
        <w:rPr>
          <w:spacing w:val="-14"/>
        </w:rPr>
        <w:t xml:space="preserve"> </w:t>
      </w:r>
      <w:r>
        <w:t>a</w:t>
      </w:r>
      <w:r>
        <w:rPr>
          <w:spacing w:val="-15"/>
        </w:rPr>
        <w:t xml:space="preserve"> </w:t>
      </w:r>
      <w:r>
        <w:t>asesinar al humorista Jaime Garzón el 13 de</w:t>
      </w:r>
      <w:r>
        <w:rPr>
          <w:spacing w:val="-1"/>
        </w:rPr>
        <w:t xml:space="preserve"> </w:t>
      </w:r>
      <w:r>
        <w:t>agosto de 1999</w:t>
      </w:r>
      <w:r w:rsidR="00F4582E">
        <w:rPr>
          <w:rStyle w:val="Refdenotaalpie"/>
        </w:rPr>
        <w:footnoteReference w:id="563"/>
      </w:r>
      <w:r>
        <w:t xml:space="preserve">. Un </w:t>
      </w:r>
      <w:r>
        <w:lastRenderedPageBreak/>
        <w:t xml:space="preserve">exgobernador del Cauca, elegido para el periodo 2004-2008, se vio involucrado en relaciones con los </w:t>
      </w:r>
      <w:proofErr w:type="spellStart"/>
      <w:r>
        <w:t>narcoparamilitares</w:t>
      </w:r>
      <w:proofErr w:type="spellEnd"/>
      <w:r>
        <w:t xml:space="preserve"> del Bloque Calima, quienes incidieron en su elección como gobernador del departamento y en las elecciones a Congreso, también patrocinadas por el paramilitarismo. Jorge Noguera, exdirector del DAS (2002-2005), condenado a 25 años de prisión, tuvo relaciones cercanas con jefes paramilitares de la Costa Caribe como Hernán Giraldo y alias Jorge 40, a quienes pasaba información confidencial si había alguna operación en su contra o en contra de los intereses</w:t>
      </w:r>
      <w:r>
        <w:rPr>
          <w:spacing w:val="-3"/>
        </w:rPr>
        <w:t xml:space="preserve"> </w:t>
      </w:r>
      <w:r>
        <w:t>del</w:t>
      </w:r>
      <w:r>
        <w:rPr>
          <w:spacing w:val="-3"/>
        </w:rPr>
        <w:t xml:space="preserve"> </w:t>
      </w:r>
      <w:r>
        <w:t>narcotráfico</w:t>
      </w:r>
      <w:r>
        <w:rPr>
          <w:spacing w:val="-3"/>
        </w:rPr>
        <w:t xml:space="preserve"> </w:t>
      </w:r>
      <w:r>
        <w:t>(le</w:t>
      </w:r>
      <w:r>
        <w:rPr>
          <w:spacing w:val="-2"/>
        </w:rPr>
        <w:t xml:space="preserve"> </w:t>
      </w:r>
      <w:r>
        <w:t>alertó</w:t>
      </w:r>
      <w:r>
        <w:rPr>
          <w:spacing w:val="-2"/>
        </w:rPr>
        <w:t xml:space="preserve"> </w:t>
      </w:r>
      <w:r>
        <w:t>a</w:t>
      </w:r>
      <w:r>
        <w:rPr>
          <w:spacing w:val="-4"/>
        </w:rPr>
        <w:t xml:space="preserve"> </w:t>
      </w:r>
      <w:r>
        <w:t>Giraldo</w:t>
      </w:r>
      <w:r>
        <w:rPr>
          <w:spacing w:val="-3"/>
        </w:rPr>
        <w:t xml:space="preserve"> </w:t>
      </w:r>
      <w:r>
        <w:t>sobre</w:t>
      </w:r>
      <w:r>
        <w:rPr>
          <w:spacing w:val="-2"/>
        </w:rPr>
        <w:t xml:space="preserve"> </w:t>
      </w:r>
      <w:r>
        <w:t>una</w:t>
      </w:r>
      <w:r>
        <w:rPr>
          <w:spacing w:val="-3"/>
        </w:rPr>
        <w:t xml:space="preserve"> </w:t>
      </w:r>
      <w:r>
        <w:t>investigación</w:t>
      </w:r>
      <w:r>
        <w:rPr>
          <w:spacing w:val="-2"/>
        </w:rPr>
        <w:t xml:space="preserve"> </w:t>
      </w:r>
      <w:r>
        <w:t>que</w:t>
      </w:r>
      <w:r>
        <w:rPr>
          <w:spacing w:val="-2"/>
        </w:rPr>
        <w:t xml:space="preserve"> </w:t>
      </w:r>
      <w:r>
        <w:t>se</w:t>
      </w:r>
      <w:r>
        <w:rPr>
          <w:spacing w:val="-2"/>
        </w:rPr>
        <w:t xml:space="preserve"> </w:t>
      </w:r>
      <w:r>
        <w:t>estaba</w:t>
      </w:r>
      <w:r>
        <w:rPr>
          <w:spacing w:val="-3"/>
        </w:rPr>
        <w:t xml:space="preserve"> </w:t>
      </w:r>
      <w:r>
        <w:t>llevando en su contra por lavado de activos</w:t>
      </w:r>
      <w:r w:rsidR="00F4582E">
        <w:rPr>
          <w:rStyle w:val="Refdenotaalpie"/>
        </w:rPr>
        <w:footnoteReference w:id="564"/>
      </w:r>
      <w:r>
        <w:t>).</w:t>
      </w:r>
    </w:p>
    <w:p w:rsidR="003804AC" w:rsidRDefault="00AF18A5" w:rsidP="00F4582E">
      <w:pPr>
        <w:rPr>
          <w:sz w:val="22"/>
        </w:rPr>
      </w:pPr>
      <w:r>
        <w:t>Aunque</w:t>
      </w:r>
      <w:r>
        <w:rPr>
          <w:spacing w:val="-9"/>
        </w:rPr>
        <w:t xml:space="preserve"> </w:t>
      </w:r>
      <w:r>
        <w:t>estas</w:t>
      </w:r>
      <w:r>
        <w:rPr>
          <w:spacing w:val="-9"/>
        </w:rPr>
        <w:t xml:space="preserve"> </w:t>
      </w:r>
      <w:r>
        <w:t>prácticas</w:t>
      </w:r>
      <w:r>
        <w:rPr>
          <w:spacing w:val="-9"/>
        </w:rPr>
        <w:t xml:space="preserve"> </w:t>
      </w:r>
      <w:r>
        <w:t>se</w:t>
      </w:r>
      <w:r>
        <w:rPr>
          <w:spacing w:val="-9"/>
        </w:rPr>
        <w:t xml:space="preserve"> </w:t>
      </w:r>
      <w:r>
        <w:t>han</w:t>
      </w:r>
      <w:r>
        <w:rPr>
          <w:spacing w:val="-9"/>
        </w:rPr>
        <w:t xml:space="preserve"> </w:t>
      </w:r>
      <w:r>
        <w:t>hecho</w:t>
      </w:r>
      <w:r>
        <w:rPr>
          <w:spacing w:val="-11"/>
        </w:rPr>
        <w:t xml:space="preserve"> </w:t>
      </w:r>
      <w:r>
        <w:t>habituales</w:t>
      </w:r>
      <w:r>
        <w:rPr>
          <w:spacing w:val="-9"/>
        </w:rPr>
        <w:t xml:space="preserve"> </w:t>
      </w:r>
      <w:r>
        <w:t>en</w:t>
      </w:r>
      <w:r>
        <w:rPr>
          <w:spacing w:val="-10"/>
        </w:rPr>
        <w:t xml:space="preserve"> </w:t>
      </w:r>
      <w:r>
        <w:t>diferentes</w:t>
      </w:r>
      <w:r>
        <w:rPr>
          <w:spacing w:val="-10"/>
        </w:rPr>
        <w:t xml:space="preserve"> </w:t>
      </w:r>
      <w:r>
        <w:t>regiones</w:t>
      </w:r>
      <w:r>
        <w:rPr>
          <w:spacing w:val="-9"/>
        </w:rPr>
        <w:t xml:space="preserve"> </w:t>
      </w:r>
      <w:r>
        <w:t>del</w:t>
      </w:r>
      <w:r>
        <w:rPr>
          <w:spacing w:val="-10"/>
        </w:rPr>
        <w:t xml:space="preserve"> </w:t>
      </w:r>
      <w:r>
        <w:t>país</w:t>
      </w:r>
      <w:r>
        <w:rPr>
          <w:spacing w:val="-9"/>
        </w:rPr>
        <w:t xml:space="preserve"> </w:t>
      </w:r>
      <w:r>
        <w:t>como</w:t>
      </w:r>
      <w:r>
        <w:rPr>
          <w:spacing w:val="-9"/>
        </w:rPr>
        <w:t xml:space="preserve"> </w:t>
      </w:r>
      <w:r>
        <w:t xml:space="preserve">parte de la política colombiana, numerosos testimonios presentados a la Comisión muestran un deterioro en la manera como la población percibe la función pública y el papel del Estado. Por ejemplo, en algunos pueblos los alcaldes son vistos como funcionarios comprometidos con el narcotráfico, al ofrecer conciertos y eventos públicos: «con eso mantiene como </w:t>
      </w:r>
      <w:proofErr w:type="spellStart"/>
      <w:r>
        <w:t>empendejado</w:t>
      </w:r>
      <w:proofErr w:type="spellEnd"/>
      <w:r>
        <w:t xml:space="preserve"> el pueblo mientras convierte el municipio en un berraco lavadero»</w:t>
      </w:r>
      <w:r w:rsidR="00F4582E">
        <w:rPr>
          <w:rStyle w:val="Refdenotaalpie"/>
        </w:rPr>
        <w:footnoteReference w:id="565"/>
      </w:r>
      <w:r>
        <w:t>. Esta percepción del narcotráfico se mantiene en muchos lugares, como en Buenaventura, Valle del</w:t>
      </w:r>
      <w:r>
        <w:rPr>
          <w:spacing w:val="-6"/>
        </w:rPr>
        <w:t xml:space="preserve"> </w:t>
      </w:r>
      <w:r>
        <w:t>Cauca,</w:t>
      </w:r>
      <w:r>
        <w:rPr>
          <w:spacing w:val="-6"/>
        </w:rPr>
        <w:t xml:space="preserve"> </w:t>
      </w:r>
      <w:r>
        <w:t>y</w:t>
      </w:r>
      <w:r>
        <w:rPr>
          <w:spacing w:val="-7"/>
        </w:rPr>
        <w:t xml:space="preserve"> </w:t>
      </w:r>
      <w:r>
        <w:t>en</w:t>
      </w:r>
      <w:r>
        <w:rPr>
          <w:spacing w:val="-6"/>
        </w:rPr>
        <w:t xml:space="preserve"> </w:t>
      </w:r>
      <w:r>
        <w:t>Barranquilla</w:t>
      </w:r>
      <w:r w:rsidR="00F4582E">
        <w:rPr>
          <w:rStyle w:val="Refdenotaalpie"/>
        </w:rPr>
        <w:footnoteReference w:id="566"/>
      </w:r>
      <w:r>
        <w:t>,</w:t>
      </w:r>
      <w:r>
        <w:rPr>
          <w:spacing w:val="-6"/>
        </w:rPr>
        <w:t xml:space="preserve"> </w:t>
      </w:r>
      <w:r>
        <w:t>Atlántico,</w:t>
      </w:r>
      <w:r>
        <w:rPr>
          <w:spacing w:val="-6"/>
        </w:rPr>
        <w:t xml:space="preserve"> </w:t>
      </w:r>
      <w:r>
        <w:t>donde</w:t>
      </w:r>
      <w:r>
        <w:rPr>
          <w:spacing w:val="-6"/>
        </w:rPr>
        <w:t xml:space="preserve"> </w:t>
      </w:r>
      <w:r>
        <w:t>una</w:t>
      </w:r>
      <w:r>
        <w:rPr>
          <w:spacing w:val="-6"/>
        </w:rPr>
        <w:t xml:space="preserve"> </w:t>
      </w:r>
      <w:r>
        <w:t>buena</w:t>
      </w:r>
      <w:r>
        <w:rPr>
          <w:spacing w:val="-6"/>
        </w:rPr>
        <w:t xml:space="preserve"> </w:t>
      </w:r>
      <w:r>
        <w:t>parte</w:t>
      </w:r>
      <w:r>
        <w:rPr>
          <w:spacing w:val="-6"/>
        </w:rPr>
        <w:t xml:space="preserve"> </w:t>
      </w:r>
      <w:r>
        <w:t>de</w:t>
      </w:r>
      <w:r>
        <w:rPr>
          <w:spacing w:val="-6"/>
        </w:rPr>
        <w:t xml:space="preserve"> </w:t>
      </w:r>
      <w:r>
        <w:t>la</w:t>
      </w:r>
      <w:r>
        <w:rPr>
          <w:spacing w:val="-7"/>
        </w:rPr>
        <w:t xml:space="preserve"> </w:t>
      </w:r>
      <w:r>
        <w:t>ciudadanía</w:t>
      </w:r>
      <w:r>
        <w:rPr>
          <w:spacing w:val="-6"/>
        </w:rPr>
        <w:t xml:space="preserve"> </w:t>
      </w:r>
      <w:r>
        <w:t>considera que la política está orgánicamente relacionada con el narcotráfico</w:t>
      </w:r>
      <w:r w:rsidR="00F4582E">
        <w:rPr>
          <w:rStyle w:val="Refdenotaalpie"/>
        </w:rPr>
        <w:footnoteReference w:id="567"/>
      </w:r>
      <w:r>
        <w:rPr>
          <w:sz w:val="22"/>
        </w:rPr>
        <w:t>.</w:t>
      </w:r>
    </w:p>
    <w:p w:rsidR="003804AC" w:rsidRDefault="00AF18A5" w:rsidP="00465F33">
      <w:r>
        <w:lastRenderedPageBreak/>
        <w:t>En los casos de la UIAF se relacionan solamente cuatro investigaciones sobre lavado de activos y narcotráfico sobre políticos y funcionarios públicos entre 2015 y 2020</w:t>
      </w:r>
      <w:r w:rsidR="00465F33">
        <w:rPr>
          <w:rStyle w:val="Refdenotaalpie"/>
        </w:rPr>
        <w:footnoteReference w:id="568"/>
      </w:r>
      <w:r>
        <w:t>. Esta influencia</w:t>
      </w:r>
      <w:r>
        <w:rPr>
          <w:spacing w:val="-5"/>
        </w:rPr>
        <w:t xml:space="preserve"> </w:t>
      </w:r>
      <w:r>
        <w:t>del</w:t>
      </w:r>
      <w:r>
        <w:rPr>
          <w:spacing w:val="-2"/>
        </w:rPr>
        <w:t xml:space="preserve"> </w:t>
      </w:r>
      <w:r>
        <w:t>narcotráfico</w:t>
      </w:r>
      <w:r>
        <w:rPr>
          <w:spacing w:val="-3"/>
        </w:rPr>
        <w:t xml:space="preserve"> </w:t>
      </w:r>
      <w:r>
        <w:t>en</w:t>
      </w:r>
      <w:r>
        <w:rPr>
          <w:spacing w:val="-4"/>
        </w:rPr>
        <w:t xml:space="preserve"> </w:t>
      </w:r>
      <w:r>
        <w:t>la</w:t>
      </w:r>
      <w:r>
        <w:rPr>
          <w:spacing w:val="-2"/>
        </w:rPr>
        <w:t xml:space="preserve"> </w:t>
      </w:r>
      <w:r>
        <w:t>política,</w:t>
      </w:r>
      <w:r>
        <w:rPr>
          <w:spacing w:val="-4"/>
        </w:rPr>
        <w:t xml:space="preserve"> </w:t>
      </w:r>
      <w:r>
        <w:t>sea</w:t>
      </w:r>
      <w:r>
        <w:rPr>
          <w:spacing w:val="-3"/>
        </w:rPr>
        <w:t xml:space="preserve"> </w:t>
      </w:r>
      <w:r>
        <w:t>directa</w:t>
      </w:r>
      <w:r>
        <w:rPr>
          <w:spacing w:val="-3"/>
        </w:rPr>
        <w:t xml:space="preserve"> </w:t>
      </w:r>
      <w:r>
        <w:t>o</w:t>
      </w:r>
      <w:r>
        <w:rPr>
          <w:spacing w:val="-3"/>
        </w:rPr>
        <w:t xml:space="preserve"> </w:t>
      </w:r>
      <w:r>
        <w:t>indirecta,</w:t>
      </w:r>
      <w:r>
        <w:rPr>
          <w:spacing w:val="-3"/>
        </w:rPr>
        <w:t xml:space="preserve"> </w:t>
      </w:r>
      <w:r>
        <w:t>y</w:t>
      </w:r>
      <w:r>
        <w:rPr>
          <w:spacing w:val="-3"/>
        </w:rPr>
        <w:t xml:space="preserve"> </w:t>
      </w:r>
      <w:r>
        <w:t>las</w:t>
      </w:r>
      <w:r>
        <w:rPr>
          <w:spacing w:val="-4"/>
        </w:rPr>
        <w:t xml:space="preserve"> </w:t>
      </w:r>
      <w:r>
        <w:t>formas</w:t>
      </w:r>
      <w:r>
        <w:rPr>
          <w:spacing w:val="-2"/>
        </w:rPr>
        <w:t xml:space="preserve"> </w:t>
      </w:r>
      <w:r>
        <w:t>de</w:t>
      </w:r>
      <w:r>
        <w:rPr>
          <w:spacing w:val="-4"/>
        </w:rPr>
        <w:t xml:space="preserve"> </w:t>
      </w:r>
      <w:r>
        <w:t>legalizar</w:t>
      </w:r>
      <w:r>
        <w:rPr>
          <w:spacing w:val="-3"/>
        </w:rPr>
        <w:t xml:space="preserve"> </w:t>
      </w:r>
      <w:r>
        <w:rPr>
          <w:spacing w:val="-5"/>
        </w:rPr>
        <w:t>los</w:t>
      </w:r>
      <w:bookmarkStart w:id="733" w:name="_bookmark625"/>
      <w:bookmarkStart w:id="734" w:name="_bookmark626"/>
      <w:bookmarkStart w:id="735" w:name="_bookmark627"/>
      <w:bookmarkStart w:id="736" w:name="_bookmark628"/>
      <w:bookmarkStart w:id="737" w:name="_bookmark629"/>
      <w:bookmarkStart w:id="738" w:name="_bookmark630"/>
      <w:bookmarkEnd w:id="733"/>
      <w:bookmarkEnd w:id="734"/>
      <w:bookmarkEnd w:id="735"/>
      <w:bookmarkEnd w:id="736"/>
      <w:bookmarkEnd w:id="737"/>
      <w:bookmarkEnd w:id="738"/>
      <w:r w:rsidR="00465F33">
        <w:rPr>
          <w:spacing w:val="-5"/>
        </w:rPr>
        <w:t xml:space="preserve"> </w:t>
      </w:r>
      <w:r>
        <w:t>dineros</w:t>
      </w:r>
      <w:r>
        <w:rPr>
          <w:spacing w:val="-1"/>
        </w:rPr>
        <w:t xml:space="preserve"> </w:t>
      </w:r>
      <w:r>
        <w:t>del</w:t>
      </w:r>
      <w:r>
        <w:rPr>
          <w:spacing w:val="-2"/>
        </w:rPr>
        <w:t xml:space="preserve"> </w:t>
      </w:r>
      <w:r>
        <w:t>narcotráfico</w:t>
      </w:r>
      <w:r>
        <w:rPr>
          <w:spacing w:val="-1"/>
        </w:rPr>
        <w:t xml:space="preserve"> </w:t>
      </w:r>
      <w:r>
        <w:t>a través de las contrataciones públicas, no solo han profundizado la corrupción estructural, sino que han obstaculizado la posibilidad de una apertura democrática. Así, las élites colombianas han tenido un doble discurso frente al narcotráfico con</w:t>
      </w:r>
      <w:r>
        <w:rPr>
          <w:spacing w:val="-5"/>
        </w:rPr>
        <w:t xml:space="preserve"> </w:t>
      </w:r>
      <w:r>
        <w:t>la</w:t>
      </w:r>
      <w:r>
        <w:rPr>
          <w:spacing w:val="-4"/>
        </w:rPr>
        <w:t xml:space="preserve"> </w:t>
      </w:r>
      <w:r>
        <w:t>«guerra</w:t>
      </w:r>
      <w:r>
        <w:rPr>
          <w:spacing w:val="-4"/>
        </w:rPr>
        <w:t xml:space="preserve"> </w:t>
      </w:r>
      <w:r>
        <w:t>contra</w:t>
      </w:r>
      <w:r>
        <w:rPr>
          <w:spacing w:val="-5"/>
        </w:rPr>
        <w:t xml:space="preserve"> </w:t>
      </w:r>
      <w:r>
        <w:t>las</w:t>
      </w:r>
      <w:r>
        <w:rPr>
          <w:spacing w:val="-5"/>
        </w:rPr>
        <w:t xml:space="preserve"> </w:t>
      </w:r>
      <w:r>
        <w:t>drogas»,</w:t>
      </w:r>
      <w:r>
        <w:rPr>
          <w:spacing w:val="-5"/>
        </w:rPr>
        <w:t xml:space="preserve"> </w:t>
      </w:r>
      <w:r>
        <w:t>focalizándose</w:t>
      </w:r>
      <w:r>
        <w:rPr>
          <w:spacing w:val="-5"/>
        </w:rPr>
        <w:t xml:space="preserve"> </w:t>
      </w:r>
      <w:r>
        <w:t>en</w:t>
      </w:r>
      <w:r>
        <w:rPr>
          <w:spacing w:val="-5"/>
        </w:rPr>
        <w:t xml:space="preserve"> </w:t>
      </w:r>
      <w:r>
        <w:t>las</w:t>
      </w:r>
      <w:r>
        <w:rPr>
          <w:spacing w:val="-4"/>
        </w:rPr>
        <w:t xml:space="preserve"> </w:t>
      </w:r>
      <w:r>
        <w:t>guerrillas</w:t>
      </w:r>
      <w:r>
        <w:rPr>
          <w:spacing w:val="-4"/>
        </w:rPr>
        <w:t xml:space="preserve"> </w:t>
      </w:r>
      <w:r>
        <w:t>y</w:t>
      </w:r>
      <w:r>
        <w:rPr>
          <w:spacing w:val="-5"/>
        </w:rPr>
        <w:t xml:space="preserve"> </w:t>
      </w:r>
      <w:r>
        <w:t>el</w:t>
      </w:r>
      <w:r>
        <w:rPr>
          <w:spacing w:val="-5"/>
        </w:rPr>
        <w:t xml:space="preserve"> </w:t>
      </w:r>
      <w:r>
        <w:t>campesinado</w:t>
      </w:r>
      <w:r>
        <w:rPr>
          <w:spacing w:val="-5"/>
        </w:rPr>
        <w:t xml:space="preserve"> </w:t>
      </w:r>
      <w:r>
        <w:t>cocalero, mientras mantienen relaciones con los traficantes de cocaína. El modelo de acumulación de capitales</w:t>
      </w:r>
      <w:r>
        <w:rPr>
          <w:spacing w:val="-1"/>
        </w:rPr>
        <w:t xml:space="preserve"> </w:t>
      </w:r>
      <w:r>
        <w:t>a partir de</w:t>
      </w:r>
      <w:r>
        <w:rPr>
          <w:spacing w:val="-1"/>
        </w:rPr>
        <w:t xml:space="preserve"> </w:t>
      </w:r>
      <w:r>
        <w:t>la cocaína ha</w:t>
      </w:r>
      <w:r>
        <w:rPr>
          <w:spacing w:val="-1"/>
        </w:rPr>
        <w:t xml:space="preserve"> </w:t>
      </w:r>
      <w:r>
        <w:t>sido amplio en</w:t>
      </w:r>
      <w:r>
        <w:rPr>
          <w:spacing w:val="-1"/>
        </w:rPr>
        <w:t xml:space="preserve"> </w:t>
      </w:r>
      <w:r>
        <w:t>el país y, en</w:t>
      </w:r>
      <w:r>
        <w:rPr>
          <w:spacing w:val="-1"/>
        </w:rPr>
        <w:t xml:space="preserve"> </w:t>
      </w:r>
      <w:r>
        <w:t xml:space="preserve">algunos casos, tan frecuente y profundo, que se ha convertido en un atentado a la democracia y a la independencia de las </w:t>
      </w:r>
      <w:r>
        <w:rPr>
          <w:spacing w:val="-2"/>
        </w:rPr>
        <w:t>instituciones.</w:t>
      </w:r>
    </w:p>
    <w:p w:rsidR="0011361F" w:rsidRDefault="00AF18A5" w:rsidP="00465F33">
      <w:r>
        <w:t>La sospecha</w:t>
      </w:r>
      <w:r>
        <w:rPr>
          <w:spacing w:val="-1"/>
        </w:rPr>
        <w:t xml:space="preserve"> </w:t>
      </w:r>
      <w:r>
        <w:t>que cunde</w:t>
      </w:r>
      <w:r>
        <w:rPr>
          <w:spacing w:val="-1"/>
        </w:rPr>
        <w:t xml:space="preserve"> </w:t>
      </w:r>
      <w:r>
        <w:t>sobre la política colombiana ha dado</w:t>
      </w:r>
      <w:r>
        <w:rPr>
          <w:spacing w:val="-1"/>
        </w:rPr>
        <w:t xml:space="preserve"> </w:t>
      </w:r>
      <w:r>
        <w:t>pie a</w:t>
      </w:r>
      <w:r>
        <w:rPr>
          <w:spacing w:val="-1"/>
        </w:rPr>
        <w:t xml:space="preserve"> </w:t>
      </w:r>
      <w:r>
        <w:t>la preeminencia de</w:t>
      </w:r>
      <w:r>
        <w:rPr>
          <w:spacing w:val="-1"/>
        </w:rPr>
        <w:t xml:space="preserve"> </w:t>
      </w:r>
      <w:r>
        <w:t xml:space="preserve">las agendas de los Estados Unidos, que se han impuesto o negociado con facilidad. La relación de la política con el narcotráfico ha sido motivo de preocupación y disputas entre actores políticos nacionales e internacionales. La Comisión encontró que si bien el tema de la corrupción del narcotráfico en la política fue un tema ético que afectó la legitimidad de la autoridad estatal, también fue utilizado para negociar agendas por parte de Estados Unidos. Mientras este país construía un discurso sobre el «flagelo del narcotráfico» que propiciaba un aparente consenso nacional, aumentaba la presencia de la DEA en Colombia y se reconfiguraba el Estado en función de la «lucha contra las drogas. Los Estados Unidos lograron alinear al gobierno colombiano en temas claves como militarización de regiones, empezando por la </w:t>
      </w:r>
      <w:r>
        <w:lastRenderedPageBreak/>
        <w:t>Campaña de La Guajira en 1978</w:t>
      </w:r>
      <w:r w:rsidR="000C04C6">
        <w:rPr>
          <w:rStyle w:val="Refdenotaalpie"/>
        </w:rPr>
        <w:footnoteReference w:id="569"/>
      </w:r>
      <w:r>
        <w:t>. La Comisión de la Verdad encontró que</w:t>
      </w:r>
      <w:r>
        <w:rPr>
          <w:spacing w:val="-15"/>
        </w:rPr>
        <w:t xml:space="preserve"> </w:t>
      </w:r>
      <w:r>
        <w:t>en</w:t>
      </w:r>
      <w:r>
        <w:rPr>
          <w:spacing w:val="-15"/>
        </w:rPr>
        <w:t xml:space="preserve"> </w:t>
      </w:r>
      <w:r>
        <w:t>medio</w:t>
      </w:r>
      <w:r>
        <w:rPr>
          <w:spacing w:val="-15"/>
        </w:rPr>
        <w:t xml:space="preserve"> </w:t>
      </w:r>
      <w:r>
        <w:t>de</w:t>
      </w:r>
      <w:r>
        <w:rPr>
          <w:spacing w:val="-15"/>
        </w:rPr>
        <w:t xml:space="preserve"> </w:t>
      </w:r>
      <w:r>
        <w:t>estas</w:t>
      </w:r>
      <w:r>
        <w:rPr>
          <w:spacing w:val="-15"/>
        </w:rPr>
        <w:t xml:space="preserve"> </w:t>
      </w:r>
      <w:r>
        <w:t>conversaciones</w:t>
      </w:r>
      <w:r>
        <w:rPr>
          <w:spacing w:val="-15"/>
        </w:rPr>
        <w:t xml:space="preserve"> </w:t>
      </w:r>
      <w:r>
        <w:t>hubo</w:t>
      </w:r>
      <w:r>
        <w:rPr>
          <w:spacing w:val="-15"/>
        </w:rPr>
        <w:t xml:space="preserve"> </w:t>
      </w:r>
      <w:r>
        <w:t>un</w:t>
      </w:r>
      <w:r>
        <w:rPr>
          <w:spacing w:val="-15"/>
        </w:rPr>
        <w:t xml:space="preserve"> </w:t>
      </w:r>
      <w:r>
        <w:t>pico</w:t>
      </w:r>
      <w:r>
        <w:rPr>
          <w:spacing w:val="-15"/>
        </w:rPr>
        <w:t xml:space="preserve"> </w:t>
      </w:r>
      <w:r>
        <w:t>de</w:t>
      </w:r>
      <w:r>
        <w:rPr>
          <w:spacing w:val="-15"/>
        </w:rPr>
        <w:t xml:space="preserve"> </w:t>
      </w:r>
      <w:r>
        <w:t>transferencia</w:t>
      </w:r>
      <w:r>
        <w:rPr>
          <w:spacing w:val="-15"/>
        </w:rPr>
        <w:t xml:space="preserve"> </w:t>
      </w:r>
      <w:r>
        <w:t>de</w:t>
      </w:r>
      <w:r>
        <w:rPr>
          <w:spacing w:val="-15"/>
        </w:rPr>
        <w:t xml:space="preserve"> </w:t>
      </w:r>
      <w:r>
        <w:t>apoyos</w:t>
      </w:r>
      <w:r>
        <w:rPr>
          <w:spacing w:val="-15"/>
        </w:rPr>
        <w:t xml:space="preserve"> </w:t>
      </w:r>
      <w:r>
        <w:t>presupuestales de los Estados Unidos a Colombia a</w:t>
      </w:r>
      <w:r>
        <w:rPr>
          <w:spacing w:val="-1"/>
        </w:rPr>
        <w:t xml:space="preserve"> </w:t>
      </w:r>
      <w:r>
        <w:t>finales de los setenta, cuando se instauró el Estatuto de Seguridad (1978-1982)</w:t>
      </w:r>
      <w:r w:rsidR="00007707">
        <w:rPr>
          <w:rStyle w:val="Refdenotaalpie"/>
        </w:rPr>
        <w:footnoteReference w:id="570"/>
      </w:r>
      <w:r>
        <w:t>.</w:t>
      </w:r>
    </w:p>
    <w:p w:rsidR="003804AC" w:rsidRDefault="00AF18A5" w:rsidP="004A6EF4">
      <w:pPr>
        <w:pStyle w:val="Ttulo4"/>
        <w:numPr>
          <w:ilvl w:val="2"/>
          <w:numId w:val="16"/>
        </w:numPr>
      </w:pPr>
      <w:bookmarkStart w:id="739" w:name="_bookmark631"/>
      <w:bookmarkStart w:id="740" w:name="_bookmark632"/>
      <w:bookmarkStart w:id="741" w:name="6.3.2_Limitaciones_de_las_instituciones_"/>
      <w:bookmarkEnd w:id="739"/>
      <w:bookmarkEnd w:id="740"/>
      <w:bookmarkEnd w:id="741"/>
      <w:r>
        <w:t>Limitaciones de las instituciones encargadas de la investigación del dinero y los medios del narcotráfico</w:t>
      </w:r>
    </w:p>
    <w:p w:rsidR="003804AC" w:rsidRDefault="00AF18A5" w:rsidP="00020C09">
      <w:r>
        <w:t>Las</w:t>
      </w:r>
      <w:r>
        <w:rPr>
          <w:spacing w:val="-6"/>
        </w:rPr>
        <w:t xml:space="preserve"> </w:t>
      </w:r>
      <w:r>
        <w:t>instituciones</w:t>
      </w:r>
      <w:r>
        <w:rPr>
          <w:spacing w:val="-6"/>
        </w:rPr>
        <w:t xml:space="preserve"> </w:t>
      </w:r>
      <w:r>
        <w:t>del</w:t>
      </w:r>
      <w:r>
        <w:rPr>
          <w:spacing w:val="-5"/>
        </w:rPr>
        <w:t xml:space="preserve"> </w:t>
      </w:r>
      <w:r>
        <w:t>Estado</w:t>
      </w:r>
      <w:r>
        <w:rPr>
          <w:spacing w:val="-6"/>
        </w:rPr>
        <w:t xml:space="preserve"> </w:t>
      </w:r>
      <w:r>
        <w:t>encargadas</w:t>
      </w:r>
      <w:r>
        <w:rPr>
          <w:spacing w:val="-6"/>
        </w:rPr>
        <w:t xml:space="preserve"> </w:t>
      </w:r>
      <w:r>
        <w:t>de</w:t>
      </w:r>
      <w:r>
        <w:rPr>
          <w:spacing w:val="-6"/>
        </w:rPr>
        <w:t xml:space="preserve"> </w:t>
      </w:r>
      <w:r>
        <w:t>enfrentar</w:t>
      </w:r>
      <w:r>
        <w:rPr>
          <w:spacing w:val="-5"/>
        </w:rPr>
        <w:t xml:space="preserve"> </w:t>
      </w:r>
      <w:r>
        <w:t>el</w:t>
      </w:r>
      <w:r>
        <w:rPr>
          <w:spacing w:val="-5"/>
        </w:rPr>
        <w:t xml:space="preserve"> </w:t>
      </w:r>
      <w:r>
        <w:t>problema</w:t>
      </w:r>
      <w:r>
        <w:rPr>
          <w:spacing w:val="-6"/>
        </w:rPr>
        <w:t xml:space="preserve"> </w:t>
      </w:r>
      <w:r>
        <w:t>del</w:t>
      </w:r>
      <w:r>
        <w:rPr>
          <w:spacing w:val="-5"/>
        </w:rPr>
        <w:t xml:space="preserve"> </w:t>
      </w:r>
      <w:r>
        <w:t>narcotráfico</w:t>
      </w:r>
      <w:r>
        <w:rPr>
          <w:spacing w:val="-6"/>
        </w:rPr>
        <w:t xml:space="preserve"> </w:t>
      </w:r>
      <w:r>
        <w:t>han</w:t>
      </w:r>
      <w:r>
        <w:rPr>
          <w:spacing w:val="-7"/>
        </w:rPr>
        <w:t xml:space="preserve"> </w:t>
      </w:r>
      <w:r>
        <w:t>tenido respuestas</w:t>
      </w:r>
      <w:r>
        <w:rPr>
          <w:spacing w:val="-13"/>
        </w:rPr>
        <w:t xml:space="preserve"> </w:t>
      </w:r>
      <w:r>
        <w:t>parciales</w:t>
      </w:r>
      <w:r>
        <w:rPr>
          <w:spacing w:val="-13"/>
        </w:rPr>
        <w:t xml:space="preserve"> </w:t>
      </w:r>
      <w:r>
        <w:t>para</w:t>
      </w:r>
      <w:r>
        <w:rPr>
          <w:spacing w:val="-14"/>
        </w:rPr>
        <w:t xml:space="preserve"> </w:t>
      </w:r>
      <w:r>
        <w:t>un</w:t>
      </w:r>
      <w:r>
        <w:rPr>
          <w:spacing w:val="-13"/>
        </w:rPr>
        <w:t xml:space="preserve"> </w:t>
      </w:r>
      <w:r>
        <w:t>fenómeno</w:t>
      </w:r>
      <w:r>
        <w:rPr>
          <w:spacing w:val="-13"/>
        </w:rPr>
        <w:t xml:space="preserve"> </w:t>
      </w:r>
      <w:r>
        <w:t>que</w:t>
      </w:r>
      <w:r>
        <w:rPr>
          <w:spacing w:val="-13"/>
        </w:rPr>
        <w:t xml:space="preserve"> </w:t>
      </w:r>
      <w:r>
        <w:t>se</w:t>
      </w:r>
      <w:r>
        <w:rPr>
          <w:spacing w:val="-13"/>
        </w:rPr>
        <w:t xml:space="preserve"> </w:t>
      </w:r>
      <w:r>
        <w:t>ha</w:t>
      </w:r>
      <w:r>
        <w:rPr>
          <w:spacing w:val="-13"/>
        </w:rPr>
        <w:t xml:space="preserve"> </w:t>
      </w:r>
      <w:r>
        <w:t>ido</w:t>
      </w:r>
      <w:r>
        <w:rPr>
          <w:spacing w:val="-13"/>
        </w:rPr>
        <w:t xml:space="preserve"> </w:t>
      </w:r>
      <w:r>
        <w:t>extendiendo</w:t>
      </w:r>
      <w:r>
        <w:rPr>
          <w:spacing w:val="-13"/>
        </w:rPr>
        <w:t xml:space="preserve"> </w:t>
      </w:r>
      <w:r>
        <w:t>y</w:t>
      </w:r>
      <w:r>
        <w:rPr>
          <w:spacing w:val="-13"/>
        </w:rPr>
        <w:t xml:space="preserve"> </w:t>
      </w:r>
      <w:r>
        <w:t>entretejiendo</w:t>
      </w:r>
      <w:r>
        <w:rPr>
          <w:spacing w:val="-13"/>
        </w:rPr>
        <w:t xml:space="preserve"> </w:t>
      </w:r>
      <w:r>
        <w:t>con</w:t>
      </w:r>
      <w:r>
        <w:rPr>
          <w:spacing w:val="-13"/>
        </w:rPr>
        <w:t xml:space="preserve"> </w:t>
      </w:r>
      <w:r>
        <w:t>el</w:t>
      </w:r>
      <w:r>
        <w:rPr>
          <w:spacing w:val="-14"/>
        </w:rPr>
        <w:t xml:space="preserve"> </w:t>
      </w:r>
      <w:r>
        <w:t>poder político y las élites económicas en Colombia. Numerosos traficantes de cocaína han sido detenidos y muchas veces extraditados, pero esto no ha permitido acabar con el negocio, dado que aquellos se han fragmentado en nuevos grupos y jerarquías que han conservado muchas veces sus redes e influencias.</w:t>
      </w:r>
    </w:p>
    <w:p w:rsidR="003804AC" w:rsidRDefault="00AF18A5" w:rsidP="00020C09">
      <w:r>
        <w:t>La estructura institucional de control de drogas también ha sido objeto de disputa entre diversos actores políticos en complicidad con el narcotráfico. Varias instituciones centrales en</w:t>
      </w:r>
      <w:r>
        <w:rPr>
          <w:spacing w:val="-12"/>
        </w:rPr>
        <w:t xml:space="preserve"> </w:t>
      </w:r>
      <w:r>
        <w:t>las</w:t>
      </w:r>
      <w:r>
        <w:rPr>
          <w:spacing w:val="-12"/>
        </w:rPr>
        <w:t xml:space="preserve"> </w:t>
      </w:r>
      <w:r>
        <w:t>políticas</w:t>
      </w:r>
      <w:r>
        <w:rPr>
          <w:spacing w:val="-12"/>
        </w:rPr>
        <w:t xml:space="preserve"> </w:t>
      </w:r>
      <w:r>
        <w:t>antidrogas</w:t>
      </w:r>
      <w:r>
        <w:rPr>
          <w:spacing w:val="-12"/>
        </w:rPr>
        <w:t xml:space="preserve"> </w:t>
      </w:r>
      <w:r>
        <w:t>como</w:t>
      </w:r>
      <w:r>
        <w:rPr>
          <w:spacing w:val="-12"/>
        </w:rPr>
        <w:t xml:space="preserve"> </w:t>
      </w:r>
      <w:r>
        <w:t>el</w:t>
      </w:r>
      <w:r>
        <w:rPr>
          <w:spacing w:val="-11"/>
        </w:rPr>
        <w:t xml:space="preserve"> </w:t>
      </w:r>
      <w:r>
        <w:t>Consejo</w:t>
      </w:r>
      <w:r>
        <w:rPr>
          <w:spacing w:val="-12"/>
        </w:rPr>
        <w:t xml:space="preserve"> </w:t>
      </w:r>
      <w:r>
        <w:t>Nacional</w:t>
      </w:r>
      <w:r>
        <w:rPr>
          <w:spacing w:val="-11"/>
        </w:rPr>
        <w:t xml:space="preserve"> </w:t>
      </w:r>
      <w:r>
        <w:t>de</w:t>
      </w:r>
      <w:r>
        <w:rPr>
          <w:spacing w:val="-12"/>
        </w:rPr>
        <w:t xml:space="preserve"> </w:t>
      </w:r>
      <w:r>
        <w:t>Estupefacientes</w:t>
      </w:r>
      <w:r>
        <w:rPr>
          <w:spacing w:val="-12"/>
        </w:rPr>
        <w:t xml:space="preserve"> </w:t>
      </w:r>
      <w:r>
        <w:t>(CNE),</w:t>
      </w:r>
      <w:r>
        <w:rPr>
          <w:spacing w:val="-12"/>
        </w:rPr>
        <w:t xml:space="preserve"> </w:t>
      </w:r>
      <w:r>
        <w:t>la</w:t>
      </w:r>
      <w:r>
        <w:rPr>
          <w:spacing w:val="-12"/>
        </w:rPr>
        <w:t xml:space="preserve"> </w:t>
      </w:r>
      <w:r>
        <w:t>Dirección Nacional</w:t>
      </w:r>
      <w:r>
        <w:rPr>
          <w:spacing w:val="-14"/>
        </w:rPr>
        <w:t xml:space="preserve"> </w:t>
      </w:r>
      <w:r>
        <w:t>de</w:t>
      </w:r>
      <w:r>
        <w:rPr>
          <w:spacing w:val="-15"/>
        </w:rPr>
        <w:t xml:space="preserve"> </w:t>
      </w:r>
      <w:r>
        <w:t>Estupefacientes</w:t>
      </w:r>
      <w:r>
        <w:rPr>
          <w:spacing w:val="-15"/>
        </w:rPr>
        <w:t xml:space="preserve"> </w:t>
      </w:r>
      <w:r>
        <w:t>(DNE),</w:t>
      </w:r>
      <w:r>
        <w:rPr>
          <w:spacing w:val="-14"/>
        </w:rPr>
        <w:t xml:space="preserve"> </w:t>
      </w:r>
      <w:r>
        <w:t>la</w:t>
      </w:r>
      <w:r>
        <w:rPr>
          <w:spacing w:val="-14"/>
        </w:rPr>
        <w:t xml:space="preserve"> </w:t>
      </w:r>
      <w:r>
        <w:t>Dirección</w:t>
      </w:r>
      <w:r>
        <w:rPr>
          <w:spacing w:val="-15"/>
        </w:rPr>
        <w:t xml:space="preserve"> </w:t>
      </w:r>
      <w:r>
        <w:t>de</w:t>
      </w:r>
      <w:r>
        <w:rPr>
          <w:spacing w:val="-14"/>
        </w:rPr>
        <w:t xml:space="preserve"> </w:t>
      </w:r>
      <w:r>
        <w:t>la</w:t>
      </w:r>
      <w:r>
        <w:rPr>
          <w:spacing w:val="-15"/>
        </w:rPr>
        <w:t xml:space="preserve"> </w:t>
      </w:r>
      <w:r>
        <w:t>Aeronáutica</w:t>
      </w:r>
      <w:r>
        <w:rPr>
          <w:spacing w:val="-15"/>
        </w:rPr>
        <w:t xml:space="preserve"> </w:t>
      </w:r>
      <w:r>
        <w:t>Civil</w:t>
      </w:r>
      <w:r>
        <w:rPr>
          <w:spacing w:val="-14"/>
        </w:rPr>
        <w:t xml:space="preserve"> </w:t>
      </w:r>
      <w:r>
        <w:lastRenderedPageBreak/>
        <w:t>(DAAC)</w:t>
      </w:r>
      <w:r>
        <w:rPr>
          <w:spacing w:val="-14"/>
        </w:rPr>
        <w:t xml:space="preserve"> </w:t>
      </w:r>
      <w:r>
        <w:t>y</w:t>
      </w:r>
      <w:r>
        <w:rPr>
          <w:spacing w:val="-14"/>
        </w:rPr>
        <w:t xml:space="preserve"> </w:t>
      </w:r>
      <w:r>
        <w:t>las</w:t>
      </w:r>
      <w:r>
        <w:rPr>
          <w:spacing w:val="-14"/>
        </w:rPr>
        <w:t xml:space="preserve"> </w:t>
      </w:r>
      <w:r>
        <w:t>áreas encargadas de los bienes en extinción de dominio, así como la Policía Antinarcóticos, han sido</w:t>
      </w:r>
      <w:r>
        <w:rPr>
          <w:spacing w:val="-1"/>
        </w:rPr>
        <w:t xml:space="preserve"> </w:t>
      </w:r>
      <w:r>
        <w:t>protagonistas</w:t>
      </w:r>
      <w:r>
        <w:rPr>
          <w:spacing w:val="-2"/>
        </w:rPr>
        <w:t xml:space="preserve"> </w:t>
      </w:r>
      <w:r>
        <w:t>de</w:t>
      </w:r>
      <w:r>
        <w:rPr>
          <w:spacing w:val="-1"/>
        </w:rPr>
        <w:t xml:space="preserve"> </w:t>
      </w:r>
      <w:r>
        <w:t>importantes</w:t>
      </w:r>
      <w:r>
        <w:rPr>
          <w:spacing w:val="-1"/>
        </w:rPr>
        <w:t xml:space="preserve"> </w:t>
      </w:r>
      <w:r>
        <w:t>escándalos</w:t>
      </w:r>
      <w:r>
        <w:rPr>
          <w:spacing w:val="-1"/>
        </w:rPr>
        <w:t xml:space="preserve"> </w:t>
      </w:r>
      <w:r>
        <w:t>y</w:t>
      </w:r>
      <w:r>
        <w:rPr>
          <w:spacing w:val="-2"/>
        </w:rPr>
        <w:t xml:space="preserve"> </w:t>
      </w:r>
      <w:r>
        <w:t>algunos</w:t>
      </w:r>
      <w:r>
        <w:rPr>
          <w:spacing w:val="-1"/>
        </w:rPr>
        <w:t xml:space="preserve"> </w:t>
      </w:r>
      <w:r>
        <w:t>de</w:t>
      </w:r>
      <w:r>
        <w:rPr>
          <w:spacing w:val="-1"/>
        </w:rPr>
        <w:t xml:space="preserve"> </w:t>
      </w:r>
      <w:r>
        <w:t>sus</w:t>
      </w:r>
      <w:r>
        <w:rPr>
          <w:spacing w:val="-1"/>
        </w:rPr>
        <w:t xml:space="preserve"> </w:t>
      </w:r>
      <w:r>
        <w:t>directores</w:t>
      </w:r>
      <w:r>
        <w:rPr>
          <w:spacing w:val="-2"/>
        </w:rPr>
        <w:t xml:space="preserve"> </w:t>
      </w:r>
      <w:r>
        <w:t>y</w:t>
      </w:r>
      <w:r>
        <w:rPr>
          <w:spacing w:val="-1"/>
        </w:rPr>
        <w:t xml:space="preserve"> </w:t>
      </w:r>
      <w:r>
        <w:t>funcionarios</w:t>
      </w:r>
      <w:r>
        <w:rPr>
          <w:spacing w:val="-1"/>
        </w:rPr>
        <w:t xml:space="preserve"> </w:t>
      </w:r>
      <w:r>
        <w:t>han sido procesados por corrupción, violencia o narcotráfico.</w:t>
      </w:r>
    </w:p>
    <w:p w:rsidR="003804AC" w:rsidRPr="00020C09" w:rsidRDefault="00AF18A5" w:rsidP="00020C09">
      <w:r>
        <w:t>Adicionalmente, el dinero recuperado en la extinción de dominio no ha servido hasta el momento</w:t>
      </w:r>
      <w:r>
        <w:rPr>
          <w:spacing w:val="-11"/>
        </w:rPr>
        <w:t xml:space="preserve"> </w:t>
      </w:r>
      <w:r>
        <w:t>para</w:t>
      </w:r>
      <w:r>
        <w:rPr>
          <w:spacing w:val="-11"/>
        </w:rPr>
        <w:t xml:space="preserve"> </w:t>
      </w:r>
      <w:r>
        <w:t>adelantar</w:t>
      </w:r>
      <w:r>
        <w:rPr>
          <w:spacing w:val="-10"/>
        </w:rPr>
        <w:t xml:space="preserve"> </w:t>
      </w:r>
      <w:r>
        <w:t>procesos</w:t>
      </w:r>
      <w:r>
        <w:rPr>
          <w:spacing w:val="-11"/>
        </w:rPr>
        <w:t xml:space="preserve"> </w:t>
      </w:r>
      <w:r>
        <w:t>de</w:t>
      </w:r>
      <w:r>
        <w:rPr>
          <w:spacing w:val="-12"/>
        </w:rPr>
        <w:t xml:space="preserve"> </w:t>
      </w:r>
      <w:r>
        <w:t>restitución</w:t>
      </w:r>
      <w:r>
        <w:rPr>
          <w:spacing w:val="-11"/>
        </w:rPr>
        <w:t xml:space="preserve"> </w:t>
      </w:r>
      <w:r>
        <w:t>de</w:t>
      </w:r>
      <w:r>
        <w:rPr>
          <w:spacing w:val="-11"/>
        </w:rPr>
        <w:t xml:space="preserve"> </w:t>
      </w:r>
      <w:r>
        <w:t>tierras</w:t>
      </w:r>
      <w:r>
        <w:rPr>
          <w:spacing w:val="-11"/>
        </w:rPr>
        <w:t xml:space="preserve"> </w:t>
      </w:r>
      <w:r>
        <w:t>o</w:t>
      </w:r>
      <w:r>
        <w:rPr>
          <w:spacing w:val="-11"/>
        </w:rPr>
        <w:t xml:space="preserve"> </w:t>
      </w:r>
      <w:r>
        <w:t>reparación</w:t>
      </w:r>
      <w:r>
        <w:rPr>
          <w:spacing w:val="-11"/>
        </w:rPr>
        <w:t xml:space="preserve"> </w:t>
      </w:r>
      <w:r>
        <w:t>de</w:t>
      </w:r>
      <w:r>
        <w:rPr>
          <w:spacing w:val="-11"/>
        </w:rPr>
        <w:t xml:space="preserve"> </w:t>
      </w:r>
      <w:r>
        <w:t>víctimas.</w:t>
      </w:r>
      <w:r>
        <w:rPr>
          <w:spacing w:val="-11"/>
        </w:rPr>
        <w:t xml:space="preserve"> </w:t>
      </w:r>
      <w:r>
        <w:t>Las</w:t>
      </w:r>
      <w:r>
        <w:rPr>
          <w:spacing w:val="-11"/>
        </w:rPr>
        <w:t xml:space="preserve"> </w:t>
      </w:r>
      <w:r>
        <w:t>actas del CNE muestran que una parte significativa del dinero y de los bienes se ha transferido a la Policía Nacional y al antiguo Departamento Administrativo de Seguridad (DAS)</w:t>
      </w:r>
      <w:r w:rsidR="00020C09">
        <w:rPr>
          <w:rStyle w:val="Refdenotaalpie"/>
        </w:rPr>
        <w:footnoteReference w:id="571"/>
      </w:r>
      <w:r>
        <w:t>. Con el dinero se</w:t>
      </w:r>
      <w:r>
        <w:rPr>
          <w:spacing w:val="-1"/>
        </w:rPr>
        <w:t xml:space="preserve"> </w:t>
      </w:r>
      <w:r>
        <w:t>financió el programa Familias Guardabosques</w:t>
      </w:r>
      <w:r w:rsidR="00020C09">
        <w:rPr>
          <w:rStyle w:val="Refdenotaalpie"/>
        </w:rPr>
        <w:footnoteReference w:id="572"/>
      </w:r>
      <w:r>
        <w:t>, se construyeron cárceles</w:t>
      </w:r>
      <w:r>
        <w:rPr>
          <w:spacing w:val="-2"/>
        </w:rPr>
        <w:t xml:space="preserve"> </w:t>
      </w:r>
      <w:r>
        <w:t xml:space="preserve">en </w:t>
      </w:r>
      <w:r>
        <w:rPr>
          <w:spacing w:val="-5"/>
        </w:rPr>
        <w:t>la</w:t>
      </w:r>
      <w:bookmarkStart w:id="742" w:name="_bookmark633"/>
      <w:bookmarkStart w:id="743" w:name="_bookmark634"/>
      <w:bookmarkEnd w:id="742"/>
      <w:bookmarkEnd w:id="743"/>
      <w:r w:rsidR="00020C09">
        <w:rPr>
          <w:spacing w:val="-5"/>
        </w:rPr>
        <w:t xml:space="preserve"> </w:t>
      </w:r>
      <w:r>
        <w:t>época de la seguridad democrática</w:t>
      </w:r>
      <w:r w:rsidR="00020C09">
        <w:rPr>
          <w:rStyle w:val="Refdenotaalpie"/>
        </w:rPr>
        <w:footnoteReference w:id="573"/>
      </w:r>
      <w:r>
        <w:t xml:space="preserve"> y se mejoró la infraestructura militar</w:t>
      </w:r>
      <w:r w:rsidR="00020C09">
        <w:rPr>
          <w:rStyle w:val="Refdenotaalpie"/>
        </w:rPr>
        <w:footnoteReference w:id="574"/>
      </w:r>
      <w:r>
        <w:t>. Es decir, la mayoría de esos recursos no han llegado a las víctimas del narcotráfico, sino que han financiado mecanismos relacionados con el sistema de seguridad y punitivo</w:t>
      </w:r>
      <w:r w:rsidR="00020C09">
        <w:rPr>
          <w:rStyle w:val="Refdenotaalpie"/>
        </w:rPr>
        <w:footnoteReference w:id="575"/>
      </w:r>
      <w:r>
        <w:t>.</w:t>
      </w:r>
    </w:p>
    <w:p w:rsidR="003804AC" w:rsidRDefault="00AF18A5" w:rsidP="00020C09">
      <w:r>
        <w:lastRenderedPageBreak/>
        <w:t>A pesar de que el transporte aeronáutico fue el más usado para el narcotráfico, la suspensión</w:t>
      </w:r>
      <w:r>
        <w:rPr>
          <w:spacing w:val="-12"/>
        </w:rPr>
        <w:t xml:space="preserve"> </w:t>
      </w:r>
      <w:r>
        <w:t>de</w:t>
      </w:r>
      <w:r>
        <w:rPr>
          <w:spacing w:val="-12"/>
        </w:rPr>
        <w:t xml:space="preserve"> </w:t>
      </w:r>
      <w:r>
        <w:t>registros</w:t>
      </w:r>
      <w:r>
        <w:rPr>
          <w:spacing w:val="-12"/>
        </w:rPr>
        <w:t xml:space="preserve"> </w:t>
      </w:r>
      <w:r>
        <w:t>solo</w:t>
      </w:r>
      <w:r>
        <w:rPr>
          <w:spacing w:val="-12"/>
        </w:rPr>
        <w:t xml:space="preserve"> </w:t>
      </w:r>
      <w:r>
        <w:t>se</w:t>
      </w:r>
      <w:r>
        <w:rPr>
          <w:spacing w:val="-12"/>
        </w:rPr>
        <w:t xml:space="preserve"> </w:t>
      </w:r>
      <w:r>
        <w:t>dio</w:t>
      </w:r>
      <w:r>
        <w:rPr>
          <w:spacing w:val="-12"/>
        </w:rPr>
        <w:t xml:space="preserve"> </w:t>
      </w:r>
      <w:r>
        <w:t>entre</w:t>
      </w:r>
      <w:r>
        <w:rPr>
          <w:spacing w:val="-12"/>
        </w:rPr>
        <w:t xml:space="preserve"> </w:t>
      </w:r>
      <w:r>
        <w:t>1983</w:t>
      </w:r>
      <w:r>
        <w:rPr>
          <w:spacing w:val="-12"/>
        </w:rPr>
        <w:t xml:space="preserve"> </w:t>
      </w:r>
      <w:r>
        <w:t>y</w:t>
      </w:r>
      <w:r>
        <w:rPr>
          <w:spacing w:val="-12"/>
        </w:rPr>
        <w:t xml:space="preserve"> </w:t>
      </w:r>
      <w:r>
        <w:t>1986</w:t>
      </w:r>
      <w:r>
        <w:rPr>
          <w:spacing w:val="-12"/>
        </w:rPr>
        <w:t xml:space="preserve"> </w:t>
      </w:r>
      <w:r>
        <w:t>y,</w:t>
      </w:r>
      <w:r>
        <w:rPr>
          <w:spacing w:val="-12"/>
        </w:rPr>
        <w:t xml:space="preserve"> </w:t>
      </w:r>
      <w:r>
        <w:t>en</w:t>
      </w:r>
      <w:r>
        <w:rPr>
          <w:spacing w:val="-12"/>
        </w:rPr>
        <w:t xml:space="preserve"> </w:t>
      </w:r>
      <w:r>
        <w:t>menor</w:t>
      </w:r>
      <w:r>
        <w:rPr>
          <w:spacing w:val="-12"/>
        </w:rPr>
        <w:t xml:space="preserve"> </w:t>
      </w:r>
      <w:r>
        <w:t>medida,</w:t>
      </w:r>
      <w:r>
        <w:rPr>
          <w:spacing w:val="-13"/>
        </w:rPr>
        <w:t xml:space="preserve"> </w:t>
      </w:r>
      <w:r>
        <w:t>entre</w:t>
      </w:r>
      <w:r>
        <w:rPr>
          <w:spacing w:val="-12"/>
        </w:rPr>
        <w:t xml:space="preserve"> </w:t>
      </w:r>
      <w:r>
        <w:t>1988</w:t>
      </w:r>
      <w:r>
        <w:rPr>
          <w:spacing w:val="-12"/>
        </w:rPr>
        <w:t xml:space="preserve"> </w:t>
      </w:r>
      <w:r>
        <w:t>y</w:t>
      </w:r>
      <w:r>
        <w:rPr>
          <w:spacing w:val="-13"/>
        </w:rPr>
        <w:t xml:space="preserve"> </w:t>
      </w:r>
      <w:r>
        <w:t>1990. Entre</w:t>
      </w:r>
      <w:r>
        <w:rPr>
          <w:spacing w:val="-12"/>
        </w:rPr>
        <w:t xml:space="preserve"> </w:t>
      </w:r>
      <w:r>
        <w:t>1983</w:t>
      </w:r>
      <w:r>
        <w:rPr>
          <w:spacing w:val="-12"/>
        </w:rPr>
        <w:t xml:space="preserve"> </w:t>
      </w:r>
      <w:r>
        <w:t>y</w:t>
      </w:r>
      <w:r>
        <w:rPr>
          <w:spacing w:val="-12"/>
        </w:rPr>
        <w:t xml:space="preserve"> </w:t>
      </w:r>
      <w:r>
        <w:t>1990,</w:t>
      </w:r>
      <w:r>
        <w:rPr>
          <w:spacing w:val="-12"/>
        </w:rPr>
        <w:t xml:space="preserve"> </w:t>
      </w:r>
      <w:r>
        <w:t>se</w:t>
      </w:r>
      <w:r>
        <w:rPr>
          <w:spacing w:val="-12"/>
        </w:rPr>
        <w:t xml:space="preserve"> </w:t>
      </w:r>
      <w:r>
        <w:t>suspendieron</w:t>
      </w:r>
      <w:r>
        <w:rPr>
          <w:spacing w:val="-12"/>
        </w:rPr>
        <w:t xml:space="preserve"> </w:t>
      </w:r>
      <w:r>
        <w:t>113</w:t>
      </w:r>
      <w:r>
        <w:rPr>
          <w:spacing w:val="-12"/>
        </w:rPr>
        <w:t xml:space="preserve"> </w:t>
      </w:r>
      <w:r>
        <w:t>aeronaves</w:t>
      </w:r>
      <w:r>
        <w:rPr>
          <w:spacing w:val="-12"/>
        </w:rPr>
        <w:t xml:space="preserve"> </w:t>
      </w:r>
      <w:r>
        <w:t>por</w:t>
      </w:r>
      <w:r>
        <w:rPr>
          <w:spacing w:val="-12"/>
        </w:rPr>
        <w:t xml:space="preserve"> </w:t>
      </w:r>
      <w:r>
        <w:t>solicitud</w:t>
      </w:r>
      <w:r>
        <w:rPr>
          <w:spacing w:val="-12"/>
        </w:rPr>
        <w:t xml:space="preserve"> </w:t>
      </w:r>
      <w:r>
        <w:t>de</w:t>
      </w:r>
      <w:r>
        <w:rPr>
          <w:spacing w:val="-12"/>
        </w:rPr>
        <w:t xml:space="preserve"> </w:t>
      </w:r>
      <w:r>
        <w:t>una</w:t>
      </w:r>
      <w:r>
        <w:rPr>
          <w:spacing w:val="-12"/>
        </w:rPr>
        <w:t xml:space="preserve"> </w:t>
      </w:r>
      <w:r>
        <w:t>autoridad</w:t>
      </w:r>
      <w:r>
        <w:rPr>
          <w:spacing w:val="-12"/>
        </w:rPr>
        <w:t xml:space="preserve"> </w:t>
      </w:r>
      <w:r>
        <w:t>competente como juzgados, el Consejo Nacional de Estupefacientes (CNE), etc.</w:t>
      </w:r>
      <w:r w:rsidR="00020C09">
        <w:rPr>
          <w:rStyle w:val="Refdenotaalpie"/>
        </w:rPr>
        <w:footnoteReference w:id="576"/>
      </w:r>
      <w:r w:rsidR="00020C09">
        <w:t xml:space="preserve"> </w:t>
      </w:r>
    </w:p>
    <w:p w:rsidR="0011361F" w:rsidRDefault="00AF18A5" w:rsidP="00020C09">
      <w:r>
        <w:t>El ministro de justicia Rodrigo Lara Bonilla (1982-1984) entendió la importancia del Consejo</w:t>
      </w:r>
      <w:r>
        <w:rPr>
          <w:spacing w:val="-7"/>
        </w:rPr>
        <w:t xml:space="preserve"> </w:t>
      </w:r>
      <w:r>
        <w:t>Nacional</w:t>
      </w:r>
      <w:r>
        <w:rPr>
          <w:spacing w:val="-7"/>
        </w:rPr>
        <w:t xml:space="preserve"> </w:t>
      </w:r>
      <w:r>
        <w:t>de</w:t>
      </w:r>
      <w:r>
        <w:rPr>
          <w:spacing w:val="-7"/>
        </w:rPr>
        <w:t xml:space="preserve"> </w:t>
      </w:r>
      <w:r>
        <w:t>Estupefacientes</w:t>
      </w:r>
      <w:r>
        <w:rPr>
          <w:spacing w:val="-7"/>
        </w:rPr>
        <w:t xml:space="preserve"> </w:t>
      </w:r>
      <w:r>
        <w:t>y,</w:t>
      </w:r>
      <w:r>
        <w:rPr>
          <w:spacing w:val="-7"/>
        </w:rPr>
        <w:t xml:space="preserve"> </w:t>
      </w:r>
      <w:r>
        <w:t>junto</w:t>
      </w:r>
      <w:r>
        <w:rPr>
          <w:spacing w:val="-7"/>
        </w:rPr>
        <w:t xml:space="preserve"> </w:t>
      </w:r>
      <w:r>
        <w:t>al</w:t>
      </w:r>
      <w:r>
        <w:rPr>
          <w:spacing w:val="-7"/>
        </w:rPr>
        <w:t xml:space="preserve"> </w:t>
      </w:r>
      <w:r>
        <w:t>coronel</w:t>
      </w:r>
      <w:r>
        <w:rPr>
          <w:spacing w:val="-7"/>
        </w:rPr>
        <w:t xml:space="preserve"> </w:t>
      </w:r>
      <w:r>
        <w:t>Jaime</w:t>
      </w:r>
      <w:r>
        <w:rPr>
          <w:spacing w:val="-7"/>
        </w:rPr>
        <w:t xml:space="preserve"> </w:t>
      </w:r>
      <w:r>
        <w:t>Ramírez,</w:t>
      </w:r>
      <w:r>
        <w:rPr>
          <w:spacing w:val="-7"/>
        </w:rPr>
        <w:t xml:space="preserve"> </w:t>
      </w:r>
      <w:r>
        <w:t>se</w:t>
      </w:r>
      <w:r>
        <w:rPr>
          <w:spacing w:val="-7"/>
        </w:rPr>
        <w:t xml:space="preserve"> </w:t>
      </w:r>
      <w:r>
        <w:t>esforzó</w:t>
      </w:r>
      <w:r>
        <w:rPr>
          <w:spacing w:val="-7"/>
        </w:rPr>
        <w:t xml:space="preserve"> </w:t>
      </w:r>
      <w:r>
        <w:t>en</w:t>
      </w:r>
      <w:r>
        <w:rPr>
          <w:spacing w:val="-7"/>
        </w:rPr>
        <w:t xml:space="preserve"> </w:t>
      </w:r>
      <w:r>
        <w:t>apelar a ella como una herramienta para atacar el narcotráfico. Durante el periodo ministerial de Lara Bonilla se dio un aumento significativo de suspensiones. Un caso importante fue la confiscación y el allanamiento de aeronaves en la Hacienda Nápoles. Desde el Congreso, varios senadores acusaron al ministerio de Justicia y al coronel de abuso de autoridad, prevaricato y abuso de función pública por haber incautado siete aeronaves, y les exigieron devolverlas a sus dueños y reconocer la Hacienda Nápoles como lugar de recreación. Tanto el ministro como el coronel fueron asesinados posteriormente</w:t>
      </w:r>
      <w:r w:rsidR="00020C09">
        <w:rPr>
          <w:rStyle w:val="Refdenotaalpie"/>
        </w:rPr>
        <w:footnoteReference w:id="577"/>
      </w:r>
      <w:r>
        <w:t>.</w:t>
      </w:r>
    </w:p>
    <w:p w:rsidR="003804AC" w:rsidRDefault="00AF18A5" w:rsidP="00020C09">
      <w:bookmarkStart w:id="744" w:name="_bookmark635"/>
      <w:bookmarkStart w:id="745" w:name="_bookmark636"/>
      <w:bookmarkStart w:id="746" w:name="_bookmark637"/>
      <w:bookmarkStart w:id="747" w:name="_bookmark638"/>
      <w:bookmarkStart w:id="748" w:name="_bookmark639"/>
      <w:bookmarkEnd w:id="744"/>
      <w:bookmarkEnd w:id="745"/>
      <w:bookmarkEnd w:id="746"/>
      <w:bookmarkEnd w:id="747"/>
      <w:bookmarkEnd w:id="748"/>
      <w:r>
        <w:t>Los escándalos con las instituciones que investigan el narcotráfico se han dado en diferentes</w:t>
      </w:r>
      <w:r>
        <w:rPr>
          <w:spacing w:val="-6"/>
        </w:rPr>
        <w:t xml:space="preserve"> </w:t>
      </w:r>
      <w:r>
        <w:t>momentos.</w:t>
      </w:r>
      <w:r>
        <w:rPr>
          <w:spacing w:val="-7"/>
        </w:rPr>
        <w:t xml:space="preserve"> </w:t>
      </w:r>
      <w:r>
        <w:t>El</w:t>
      </w:r>
      <w:r>
        <w:rPr>
          <w:spacing w:val="-7"/>
        </w:rPr>
        <w:t xml:space="preserve"> </w:t>
      </w:r>
      <w:r>
        <w:t>último</w:t>
      </w:r>
      <w:r>
        <w:rPr>
          <w:spacing w:val="-6"/>
        </w:rPr>
        <w:t xml:space="preserve"> </w:t>
      </w:r>
      <w:r>
        <w:t>de</w:t>
      </w:r>
      <w:r>
        <w:rPr>
          <w:spacing w:val="-7"/>
        </w:rPr>
        <w:t xml:space="preserve"> </w:t>
      </w:r>
      <w:r>
        <w:t>ellos</w:t>
      </w:r>
      <w:r>
        <w:rPr>
          <w:spacing w:val="-6"/>
        </w:rPr>
        <w:t xml:space="preserve"> </w:t>
      </w:r>
      <w:r>
        <w:t>fue</w:t>
      </w:r>
      <w:r>
        <w:rPr>
          <w:spacing w:val="-7"/>
        </w:rPr>
        <w:t xml:space="preserve"> </w:t>
      </w:r>
      <w:r>
        <w:t>el</w:t>
      </w:r>
      <w:r>
        <w:rPr>
          <w:spacing w:val="-5"/>
        </w:rPr>
        <w:t xml:space="preserve"> </w:t>
      </w:r>
      <w:r>
        <w:t>del</w:t>
      </w:r>
      <w:r>
        <w:rPr>
          <w:spacing w:val="-7"/>
        </w:rPr>
        <w:t xml:space="preserve"> </w:t>
      </w:r>
      <w:r>
        <w:t>director</w:t>
      </w:r>
      <w:r>
        <w:rPr>
          <w:spacing w:val="-5"/>
        </w:rPr>
        <w:t xml:space="preserve"> </w:t>
      </w:r>
      <w:r>
        <w:t>del</w:t>
      </w:r>
      <w:r>
        <w:rPr>
          <w:spacing w:val="-7"/>
        </w:rPr>
        <w:t xml:space="preserve"> </w:t>
      </w:r>
      <w:r>
        <w:t>Departamento</w:t>
      </w:r>
      <w:r>
        <w:rPr>
          <w:spacing w:val="-6"/>
        </w:rPr>
        <w:t xml:space="preserve"> </w:t>
      </w:r>
      <w:r>
        <w:t xml:space="preserve">Administrativo de Aeronáutica Civil (DAAC) entre 2005 y 2010: actualmente hace parte de un proceso judicial que busca determinar si tenía un laboratorio de clorhidrato de cocaína en su finca, </w:t>
      </w:r>
      <w:r>
        <w:lastRenderedPageBreak/>
        <w:t>mientras se desempeñaba como embajador de Colombia en Uruguay, en cercanías al aeropuerto El Dorado de Bogotá</w:t>
      </w:r>
      <w:r w:rsidR="00912594">
        <w:rPr>
          <w:rStyle w:val="Refdenotaalpie"/>
        </w:rPr>
        <w:footnoteReference w:id="578"/>
      </w:r>
      <w:r>
        <w:t>.</w:t>
      </w:r>
    </w:p>
    <w:p w:rsidR="0011361F" w:rsidRDefault="00AF18A5" w:rsidP="004A6EF4">
      <w:pPr>
        <w:pStyle w:val="Ttulo4"/>
        <w:numPr>
          <w:ilvl w:val="2"/>
          <w:numId w:val="16"/>
        </w:numPr>
      </w:pPr>
      <w:bookmarkStart w:id="749" w:name="6.3.3._Relación_de_la_fuerza_pública_con"/>
      <w:bookmarkEnd w:id="749"/>
      <w:r>
        <w:t>Relación</w:t>
      </w:r>
      <w:r>
        <w:rPr>
          <w:spacing w:val="-2"/>
        </w:rPr>
        <w:t xml:space="preserve"> </w:t>
      </w:r>
      <w:r>
        <w:t>de</w:t>
      </w:r>
      <w:r>
        <w:rPr>
          <w:spacing w:val="-1"/>
        </w:rPr>
        <w:t xml:space="preserve"> </w:t>
      </w:r>
      <w:r>
        <w:t>la</w:t>
      </w:r>
      <w:r>
        <w:rPr>
          <w:spacing w:val="-1"/>
        </w:rPr>
        <w:t xml:space="preserve"> </w:t>
      </w:r>
      <w:r>
        <w:t>fuerza</w:t>
      </w:r>
      <w:r>
        <w:rPr>
          <w:spacing w:val="-1"/>
        </w:rPr>
        <w:t xml:space="preserve"> </w:t>
      </w:r>
      <w:r w:rsidRPr="00912594">
        <w:t>pública</w:t>
      </w:r>
      <w:r>
        <w:rPr>
          <w:spacing w:val="-1"/>
        </w:rPr>
        <w:t xml:space="preserve"> </w:t>
      </w:r>
      <w:r>
        <w:t>con</w:t>
      </w:r>
      <w:r>
        <w:rPr>
          <w:spacing w:val="-2"/>
        </w:rPr>
        <w:t xml:space="preserve"> </w:t>
      </w:r>
      <w:r>
        <w:t>el</w:t>
      </w:r>
      <w:r>
        <w:rPr>
          <w:spacing w:val="-1"/>
        </w:rPr>
        <w:t xml:space="preserve"> </w:t>
      </w:r>
      <w:r>
        <w:rPr>
          <w:spacing w:val="-2"/>
        </w:rPr>
        <w:t>narcotráfico</w:t>
      </w:r>
    </w:p>
    <w:p w:rsidR="003804AC" w:rsidRDefault="00AF18A5" w:rsidP="00D20CA0">
      <w:r>
        <w:t>Un último elemento</w:t>
      </w:r>
      <w:r>
        <w:rPr>
          <w:spacing w:val="-3"/>
        </w:rPr>
        <w:t xml:space="preserve"> </w:t>
      </w:r>
      <w:r>
        <w:t>para analizar la</w:t>
      </w:r>
      <w:r>
        <w:rPr>
          <w:spacing w:val="-2"/>
        </w:rPr>
        <w:t xml:space="preserve"> </w:t>
      </w:r>
      <w:r>
        <w:t>penetración del narcotráfico en las instituciones del Estado tiene que ver con las fracturas ocurridas al interior de las Fuerzas Armadas</w:t>
      </w:r>
      <w:r>
        <w:rPr>
          <w:spacing w:val="-4"/>
        </w:rPr>
        <w:t xml:space="preserve"> </w:t>
      </w:r>
      <w:r>
        <w:t>por el involucramiento de algunos de sus miembros en ese negocio ilegal". Testimonios tomados por</w:t>
      </w:r>
      <w:r>
        <w:rPr>
          <w:spacing w:val="-4"/>
        </w:rPr>
        <w:t xml:space="preserve"> </w:t>
      </w:r>
      <w:r>
        <w:t>la</w:t>
      </w:r>
      <w:r>
        <w:rPr>
          <w:spacing w:val="-5"/>
        </w:rPr>
        <w:t xml:space="preserve"> </w:t>
      </w:r>
      <w:r>
        <w:t>Comisión</w:t>
      </w:r>
      <w:r>
        <w:rPr>
          <w:spacing w:val="-5"/>
        </w:rPr>
        <w:t xml:space="preserve"> </w:t>
      </w:r>
      <w:r>
        <w:t>relatan</w:t>
      </w:r>
      <w:r>
        <w:rPr>
          <w:spacing w:val="-6"/>
        </w:rPr>
        <w:t xml:space="preserve"> </w:t>
      </w:r>
      <w:r>
        <w:t>cómo</w:t>
      </w:r>
      <w:r>
        <w:rPr>
          <w:spacing w:val="-5"/>
        </w:rPr>
        <w:t xml:space="preserve"> </w:t>
      </w:r>
      <w:r>
        <w:t>algunos</w:t>
      </w:r>
      <w:r>
        <w:rPr>
          <w:spacing w:val="-5"/>
        </w:rPr>
        <w:t xml:space="preserve"> </w:t>
      </w:r>
      <w:r>
        <w:t>grupos</w:t>
      </w:r>
      <w:r>
        <w:rPr>
          <w:spacing w:val="-5"/>
        </w:rPr>
        <w:t xml:space="preserve"> </w:t>
      </w:r>
      <w:r>
        <w:t>del</w:t>
      </w:r>
      <w:r>
        <w:rPr>
          <w:spacing w:val="-4"/>
        </w:rPr>
        <w:t xml:space="preserve"> </w:t>
      </w:r>
      <w:r>
        <w:t>Ejército,</w:t>
      </w:r>
      <w:r>
        <w:rPr>
          <w:spacing w:val="-5"/>
        </w:rPr>
        <w:t xml:space="preserve"> </w:t>
      </w:r>
      <w:r>
        <w:t>la</w:t>
      </w:r>
      <w:r>
        <w:rPr>
          <w:spacing w:val="-6"/>
        </w:rPr>
        <w:t xml:space="preserve"> </w:t>
      </w:r>
      <w:r>
        <w:t>Policía,</w:t>
      </w:r>
      <w:r>
        <w:rPr>
          <w:spacing w:val="-5"/>
        </w:rPr>
        <w:t xml:space="preserve"> </w:t>
      </w:r>
      <w:r>
        <w:t>Fuerza</w:t>
      </w:r>
      <w:r>
        <w:rPr>
          <w:spacing w:val="-5"/>
        </w:rPr>
        <w:t xml:space="preserve"> </w:t>
      </w:r>
      <w:r>
        <w:t>Aérea,</w:t>
      </w:r>
      <w:r>
        <w:rPr>
          <w:spacing w:val="-5"/>
        </w:rPr>
        <w:t xml:space="preserve"> </w:t>
      </w:r>
      <w:r>
        <w:t>Armada y DAS se enriquecieron con el narcotráfico</w:t>
      </w:r>
      <w:r w:rsidR="00D20CA0">
        <w:rPr>
          <w:rStyle w:val="Refdenotaalpie"/>
        </w:rPr>
        <w:footnoteReference w:id="579"/>
      </w:r>
      <w:r>
        <w:t xml:space="preserve"> y permitieron el movimiento de insumos químicos. A finales de los ochenta y la década de los noventa, uno de los lugares más disputados</w:t>
      </w:r>
      <w:r>
        <w:rPr>
          <w:spacing w:val="-7"/>
        </w:rPr>
        <w:t xml:space="preserve"> </w:t>
      </w:r>
      <w:r>
        <w:t>por</w:t>
      </w:r>
      <w:r>
        <w:rPr>
          <w:spacing w:val="-7"/>
        </w:rPr>
        <w:t xml:space="preserve"> </w:t>
      </w:r>
      <w:r>
        <w:t>los</w:t>
      </w:r>
      <w:r>
        <w:rPr>
          <w:spacing w:val="-7"/>
        </w:rPr>
        <w:t xml:space="preserve"> </w:t>
      </w:r>
      <w:r>
        <w:t>militares</w:t>
      </w:r>
      <w:r>
        <w:rPr>
          <w:spacing w:val="-7"/>
        </w:rPr>
        <w:t xml:space="preserve"> </w:t>
      </w:r>
      <w:r>
        <w:t>o</w:t>
      </w:r>
      <w:r>
        <w:rPr>
          <w:spacing w:val="-7"/>
        </w:rPr>
        <w:t xml:space="preserve"> </w:t>
      </w:r>
      <w:r>
        <w:t>policías</w:t>
      </w:r>
      <w:r>
        <w:rPr>
          <w:spacing w:val="-7"/>
        </w:rPr>
        <w:t xml:space="preserve"> </w:t>
      </w:r>
      <w:r>
        <w:t>para</w:t>
      </w:r>
      <w:r>
        <w:rPr>
          <w:spacing w:val="-7"/>
        </w:rPr>
        <w:t xml:space="preserve"> </w:t>
      </w:r>
      <w:r>
        <w:t>ser</w:t>
      </w:r>
      <w:r>
        <w:rPr>
          <w:spacing w:val="-7"/>
        </w:rPr>
        <w:t xml:space="preserve"> </w:t>
      </w:r>
      <w:r>
        <w:t>trasladados</w:t>
      </w:r>
      <w:r>
        <w:rPr>
          <w:spacing w:val="-7"/>
        </w:rPr>
        <w:t xml:space="preserve"> </w:t>
      </w:r>
      <w:r>
        <w:t>fue</w:t>
      </w:r>
      <w:r>
        <w:rPr>
          <w:spacing w:val="-8"/>
        </w:rPr>
        <w:t xml:space="preserve"> </w:t>
      </w:r>
      <w:r>
        <w:t>el</w:t>
      </w:r>
      <w:r>
        <w:rPr>
          <w:spacing w:val="-7"/>
        </w:rPr>
        <w:t xml:space="preserve"> </w:t>
      </w:r>
      <w:r>
        <w:t>aeropuerto</w:t>
      </w:r>
      <w:r>
        <w:rPr>
          <w:spacing w:val="-7"/>
        </w:rPr>
        <w:t xml:space="preserve"> </w:t>
      </w:r>
      <w:r>
        <w:t>de</w:t>
      </w:r>
      <w:r>
        <w:rPr>
          <w:spacing w:val="-7"/>
        </w:rPr>
        <w:t xml:space="preserve"> </w:t>
      </w:r>
      <w:r>
        <w:t>Medellín.</w:t>
      </w:r>
      <w:r>
        <w:rPr>
          <w:spacing w:val="-7"/>
        </w:rPr>
        <w:t xml:space="preserve"> </w:t>
      </w:r>
      <w:r>
        <w:t>Un teniente coronel de la Policía Nacional, retirado, le relató a la Comisión lo que significaba para los policías trabajar en los aeropuertos y por qué eran lugares tan apetecidos:</w:t>
      </w:r>
    </w:p>
    <w:p w:rsidR="0011361F" w:rsidRDefault="00AF18A5" w:rsidP="00D20CA0">
      <w:r>
        <w:t xml:space="preserve">«Cuando estaba en la </w:t>
      </w:r>
      <w:proofErr w:type="spellStart"/>
      <w:r>
        <w:t>Dijin</w:t>
      </w:r>
      <w:proofErr w:type="spellEnd"/>
      <w:r>
        <w:t xml:space="preserve"> nos mandaban en comisión de tres meses al aeropuerto; yo nunca fui a esa comisión. Pero entre los policías de la </w:t>
      </w:r>
      <w:proofErr w:type="spellStart"/>
      <w:r>
        <w:t>Dijin</w:t>
      </w:r>
      <w:proofErr w:type="spellEnd"/>
      <w:r>
        <w:t xml:space="preserve"> todo el mundo quería ir al aeropuerto… ¿por qué se iba a esos tres meses en el aeropuerto? Porque por allí había la salida del narcotráfico, entonces el policía fácilmente podía llegar y manipular y obtener información de los narcotraficantes y le pagaban. Entonces todo el mundo iba al aeropuerto a</w:t>
      </w:r>
      <w:r>
        <w:rPr>
          <w:spacing w:val="-5"/>
        </w:rPr>
        <w:t xml:space="preserve"> </w:t>
      </w:r>
      <w:r>
        <w:t>ese</w:t>
      </w:r>
      <w:r>
        <w:rPr>
          <w:spacing w:val="-5"/>
        </w:rPr>
        <w:t xml:space="preserve"> </w:t>
      </w:r>
      <w:r>
        <w:t>servicio,</w:t>
      </w:r>
      <w:r>
        <w:rPr>
          <w:spacing w:val="-5"/>
        </w:rPr>
        <w:t xml:space="preserve"> </w:t>
      </w:r>
      <w:r>
        <w:t>porque</w:t>
      </w:r>
      <w:r>
        <w:rPr>
          <w:spacing w:val="-5"/>
        </w:rPr>
        <w:t xml:space="preserve"> </w:t>
      </w:r>
      <w:r>
        <w:t>sabía</w:t>
      </w:r>
      <w:r>
        <w:rPr>
          <w:spacing w:val="-5"/>
        </w:rPr>
        <w:t xml:space="preserve"> </w:t>
      </w:r>
      <w:r>
        <w:t>que</w:t>
      </w:r>
      <w:r>
        <w:rPr>
          <w:spacing w:val="-5"/>
        </w:rPr>
        <w:t xml:space="preserve"> </w:t>
      </w:r>
      <w:r>
        <w:t>en</w:t>
      </w:r>
      <w:r>
        <w:rPr>
          <w:spacing w:val="-5"/>
        </w:rPr>
        <w:t xml:space="preserve"> </w:t>
      </w:r>
      <w:r>
        <w:t>esos</w:t>
      </w:r>
      <w:r>
        <w:rPr>
          <w:spacing w:val="-5"/>
        </w:rPr>
        <w:t xml:space="preserve"> </w:t>
      </w:r>
      <w:r>
        <w:t>tres</w:t>
      </w:r>
      <w:r>
        <w:rPr>
          <w:spacing w:val="-6"/>
        </w:rPr>
        <w:t xml:space="preserve"> </w:t>
      </w:r>
      <w:r>
        <w:t>meses</w:t>
      </w:r>
      <w:r>
        <w:rPr>
          <w:spacing w:val="-5"/>
        </w:rPr>
        <w:t xml:space="preserve"> </w:t>
      </w:r>
      <w:r>
        <w:t>podía…</w:t>
      </w:r>
      <w:r>
        <w:rPr>
          <w:spacing w:val="-5"/>
        </w:rPr>
        <w:t xml:space="preserve"> </w:t>
      </w:r>
      <w:r>
        <w:t>en</w:t>
      </w:r>
      <w:r>
        <w:rPr>
          <w:spacing w:val="-5"/>
        </w:rPr>
        <w:t xml:space="preserve"> </w:t>
      </w:r>
      <w:r>
        <w:t>términos</w:t>
      </w:r>
      <w:r>
        <w:rPr>
          <w:spacing w:val="-5"/>
        </w:rPr>
        <w:t xml:space="preserve"> </w:t>
      </w:r>
      <w:r>
        <w:t>policiales,</w:t>
      </w:r>
      <w:r>
        <w:rPr>
          <w:spacing w:val="-5"/>
        </w:rPr>
        <w:t xml:space="preserve"> </w:t>
      </w:r>
      <w:r>
        <w:t>la</w:t>
      </w:r>
      <w:r>
        <w:rPr>
          <w:spacing w:val="-6"/>
        </w:rPr>
        <w:t xml:space="preserve"> </w:t>
      </w:r>
      <w:r>
        <w:t xml:space="preserve">cultura en ese momento era: “se le puede aparecer la Virgen”. ¿Y qué era ese “se le puede aparecer la </w:t>
      </w:r>
      <w:r>
        <w:lastRenderedPageBreak/>
        <w:t>Virgen”? O sea: “se le apareció el dinero»</w:t>
      </w:r>
      <w:r w:rsidR="00D20CA0">
        <w:rPr>
          <w:rStyle w:val="Refdenotaalpie"/>
        </w:rPr>
        <w:footnoteReference w:id="580"/>
      </w:r>
      <w:r>
        <w:t>.</w:t>
      </w:r>
    </w:p>
    <w:p w:rsidR="003804AC" w:rsidRDefault="00AF18A5" w:rsidP="00D20CA0">
      <w:bookmarkStart w:id="750" w:name="_bookmark640"/>
      <w:bookmarkStart w:id="751" w:name="_bookmark641"/>
      <w:bookmarkStart w:id="752" w:name="_bookmark642"/>
      <w:bookmarkEnd w:id="750"/>
      <w:bookmarkEnd w:id="751"/>
      <w:bookmarkEnd w:id="752"/>
      <w:r>
        <w:t>En</w:t>
      </w:r>
      <w:r>
        <w:rPr>
          <w:spacing w:val="-4"/>
        </w:rPr>
        <w:t xml:space="preserve"> </w:t>
      </w:r>
      <w:r>
        <w:t>cuanto</w:t>
      </w:r>
      <w:r>
        <w:rPr>
          <w:spacing w:val="-5"/>
        </w:rPr>
        <w:t xml:space="preserve"> </w:t>
      </w:r>
      <w:r>
        <w:t>a</w:t>
      </w:r>
      <w:r>
        <w:rPr>
          <w:spacing w:val="-5"/>
        </w:rPr>
        <w:t xml:space="preserve"> </w:t>
      </w:r>
      <w:r>
        <w:t>las</w:t>
      </w:r>
      <w:r>
        <w:rPr>
          <w:spacing w:val="-5"/>
        </w:rPr>
        <w:t xml:space="preserve"> </w:t>
      </w:r>
      <w:r>
        <w:t>instituciones</w:t>
      </w:r>
      <w:r>
        <w:rPr>
          <w:spacing w:val="-3"/>
        </w:rPr>
        <w:t xml:space="preserve"> </w:t>
      </w:r>
      <w:r>
        <w:t>encargadas</w:t>
      </w:r>
      <w:r>
        <w:rPr>
          <w:spacing w:val="-3"/>
        </w:rPr>
        <w:t xml:space="preserve"> </w:t>
      </w:r>
      <w:r>
        <w:t>de</w:t>
      </w:r>
      <w:r>
        <w:rPr>
          <w:spacing w:val="-5"/>
        </w:rPr>
        <w:t xml:space="preserve"> </w:t>
      </w:r>
      <w:r>
        <w:t>la</w:t>
      </w:r>
      <w:r>
        <w:rPr>
          <w:spacing w:val="-5"/>
        </w:rPr>
        <w:t xml:space="preserve"> </w:t>
      </w:r>
      <w:r>
        <w:t>seguridad,</w:t>
      </w:r>
      <w:r>
        <w:rPr>
          <w:spacing w:val="-5"/>
        </w:rPr>
        <w:t xml:space="preserve"> </w:t>
      </w:r>
      <w:r>
        <w:t>tanto</w:t>
      </w:r>
      <w:r>
        <w:rPr>
          <w:spacing w:val="-5"/>
        </w:rPr>
        <w:t xml:space="preserve"> </w:t>
      </w:r>
      <w:r>
        <w:t>la</w:t>
      </w:r>
      <w:r>
        <w:rPr>
          <w:spacing w:val="-3"/>
        </w:rPr>
        <w:t xml:space="preserve"> </w:t>
      </w:r>
      <w:r>
        <w:t>Policía</w:t>
      </w:r>
      <w:r>
        <w:rPr>
          <w:spacing w:val="-5"/>
        </w:rPr>
        <w:t xml:space="preserve"> </w:t>
      </w:r>
      <w:r>
        <w:t>como</w:t>
      </w:r>
      <w:r>
        <w:rPr>
          <w:spacing w:val="-4"/>
        </w:rPr>
        <w:t xml:space="preserve"> </w:t>
      </w:r>
      <w:r>
        <w:t>el</w:t>
      </w:r>
      <w:r>
        <w:rPr>
          <w:spacing w:val="-4"/>
        </w:rPr>
        <w:t xml:space="preserve"> </w:t>
      </w:r>
      <w:r>
        <w:t>Ejército han</w:t>
      </w:r>
      <w:r>
        <w:rPr>
          <w:spacing w:val="-10"/>
        </w:rPr>
        <w:t xml:space="preserve"> </w:t>
      </w:r>
      <w:r>
        <w:t>cumplido</w:t>
      </w:r>
      <w:r>
        <w:rPr>
          <w:spacing w:val="-10"/>
        </w:rPr>
        <w:t xml:space="preserve"> </w:t>
      </w:r>
      <w:r>
        <w:t>en</w:t>
      </w:r>
      <w:r>
        <w:rPr>
          <w:spacing w:val="-10"/>
        </w:rPr>
        <w:t xml:space="preserve"> </w:t>
      </w:r>
      <w:r>
        <w:t>distintos</w:t>
      </w:r>
      <w:r>
        <w:rPr>
          <w:spacing w:val="-10"/>
        </w:rPr>
        <w:t xml:space="preserve"> </w:t>
      </w:r>
      <w:r>
        <w:t>momentos</w:t>
      </w:r>
      <w:r>
        <w:rPr>
          <w:spacing w:val="-11"/>
        </w:rPr>
        <w:t xml:space="preserve"> </w:t>
      </w:r>
      <w:r>
        <w:t>con</w:t>
      </w:r>
      <w:r>
        <w:rPr>
          <w:spacing w:val="-10"/>
        </w:rPr>
        <w:t xml:space="preserve"> </w:t>
      </w:r>
      <w:r>
        <w:t>tareas</w:t>
      </w:r>
      <w:r>
        <w:rPr>
          <w:spacing w:val="-9"/>
        </w:rPr>
        <w:t xml:space="preserve"> </w:t>
      </w:r>
      <w:r>
        <w:t>en</w:t>
      </w:r>
      <w:r>
        <w:rPr>
          <w:spacing w:val="-10"/>
        </w:rPr>
        <w:t xml:space="preserve"> </w:t>
      </w:r>
      <w:r>
        <w:t>la</w:t>
      </w:r>
      <w:r>
        <w:rPr>
          <w:spacing w:val="-9"/>
        </w:rPr>
        <w:t xml:space="preserve"> </w:t>
      </w:r>
      <w:r>
        <w:t>lucha</w:t>
      </w:r>
      <w:r>
        <w:rPr>
          <w:spacing w:val="-11"/>
        </w:rPr>
        <w:t xml:space="preserve"> </w:t>
      </w:r>
      <w:r>
        <w:t>contra</w:t>
      </w:r>
      <w:r>
        <w:rPr>
          <w:spacing w:val="-9"/>
        </w:rPr>
        <w:t xml:space="preserve"> </w:t>
      </w:r>
      <w:r>
        <w:t>las</w:t>
      </w:r>
      <w:r>
        <w:rPr>
          <w:spacing w:val="-9"/>
        </w:rPr>
        <w:t xml:space="preserve"> </w:t>
      </w:r>
      <w:r>
        <w:t>drogas.</w:t>
      </w:r>
      <w:r>
        <w:rPr>
          <w:spacing w:val="-10"/>
        </w:rPr>
        <w:t xml:space="preserve"> </w:t>
      </w:r>
      <w:r>
        <w:t>Mientras</w:t>
      </w:r>
      <w:r>
        <w:rPr>
          <w:spacing w:val="-11"/>
        </w:rPr>
        <w:t xml:space="preserve"> </w:t>
      </w:r>
      <w:r>
        <w:t>en</w:t>
      </w:r>
      <w:r>
        <w:rPr>
          <w:spacing w:val="-10"/>
        </w:rPr>
        <w:t xml:space="preserve"> </w:t>
      </w:r>
      <w:r>
        <w:t>los años</w:t>
      </w:r>
      <w:r>
        <w:rPr>
          <w:spacing w:val="-12"/>
        </w:rPr>
        <w:t xml:space="preserve"> </w:t>
      </w:r>
      <w:r>
        <w:t>ochenta</w:t>
      </w:r>
      <w:r>
        <w:rPr>
          <w:spacing w:val="-12"/>
        </w:rPr>
        <w:t xml:space="preserve"> </w:t>
      </w:r>
      <w:r>
        <w:t>la</w:t>
      </w:r>
      <w:r>
        <w:rPr>
          <w:spacing w:val="-12"/>
        </w:rPr>
        <w:t xml:space="preserve"> </w:t>
      </w:r>
      <w:r>
        <w:t>desconfianza</w:t>
      </w:r>
      <w:r>
        <w:rPr>
          <w:spacing w:val="-12"/>
        </w:rPr>
        <w:t xml:space="preserve"> </w:t>
      </w:r>
      <w:r>
        <w:t>en</w:t>
      </w:r>
      <w:r>
        <w:rPr>
          <w:spacing w:val="-13"/>
        </w:rPr>
        <w:t xml:space="preserve"> </w:t>
      </w:r>
      <w:r>
        <w:t>el</w:t>
      </w:r>
      <w:r>
        <w:rPr>
          <w:spacing w:val="-12"/>
        </w:rPr>
        <w:t xml:space="preserve"> </w:t>
      </w:r>
      <w:r>
        <w:t>Ejército</w:t>
      </w:r>
      <w:r>
        <w:rPr>
          <w:spacing w:val="-12"/>
        </w:rPr>
        <w:t xml:space="preserve"> </w:t>
      </w:r>
      <w:r>
        <w:t>llevó</w:t>
      </w:r>
      <w:r>
        <w:rPr>
          <w:spacing w:val="-13"/>
        </w:rPr>
        <w:t xml:space="preserve"> </w:t>
      </w:r>
      <w:r>
        <w:t>a</w:t>
      </w:r>
      <w:r>
        <w:rPr>
          <w:spacing w:val="-12"/>
        </w:rPr>
        <w:t xml:space="preserve"> </w:t>
      </w:r>
      <w:r>
        <w:t>que</w:t>
      </w:r>
      <w:r>
        <w:rPr>
          <w:spacing w:val="-12"/>
        </w:rPr>
        <w:t xml:space="preserve"> </w:t>
      </w:r>
      <w:r>
        <w:t>se</w:t>
      </w:r>
      <w:r>
        <w:rPr>
          <w:spacing w:val="-13"/>
        </w:rPr>
        <w:t xml:space="preserve"> </w:t>
      </w:r>
      <w:r>
        <w:t>concentrara</w:t>
      </w:r>
      <w:r>
        <w:rPr>
          <w:spacing w:val="-13"/>
        </w:rPr>
        <w:t xml:space="preserve"> </w:t>
      </w:r>
      <w:r>
        <w:t>la</w:t>
      </w:r>
      <w:r>
        <w:rPr>
          <w:spacing w:val="-12"/>
        </w:rPr>
        <w:t xml:space="preserve"> </w:t>
      </w:r>
      <w:r>
        <w:t>capacidad</w:t>
      </w:r>
      <w:r>
        <w:rPr>
          <w:spacing w:val="-13"/>
        </w:rPr>
        <w:t xml:space="preserve"> </w:t>
      </w:r>
      <w:r>
        <w:t>y</w:t>
      </w:r>
      <w:r>
        <w:rPr>
          <w:spacing w:val="-12"/>
        </w:rPr>
        <w:t xml:space="preserve"> </w:t>
      </w:r>
      <w:r>
        <w:t>el</w:t>
      </w:r>
      <w:r>
        <w:rPr>
          <w:spacing w:val="-12"/>
        </w:rPr>
        <w:t xml:space="preserve"> </w:t>
      </w:r>
      <w:r>
        <w:t>apoyo en</w:t>
      </w:r>
      <w:r>
        <w:rPr>
          <w:spacing w:val="-7"/>
        </w:rPr>
        <w:t xml:space="preserve"> </w:t>
      </w:r>
      <w:r>
        <w:t>la</w:t>
      </w:r>
      <w:r>
        <w:rPr>
          <w:spacing w:val="-7"/>
        </w:rPr>
        <w:t xml:space="preserve"> </w:t>
      </w:r>
      <w:r>
        <w:t>Policía,</w:t>
      </w:r>
      <w:r>
        <w:rPr>
          <w:spacing w:val="-7"/>
        </w:rPr>
        <w:t xml:space="preserve"> </w:t>
      </w:r>
      <w:r>
        <w:t>a</w:t>
      </w:r>
      <w:r>
        <w:rPr>
          <w:spacing w:val="-7"/>
        </w:rPr>
        <w:t xml:space="preserve"> </w:t>
      </w:r>
      <w:r>
        <w:t>finales</w:t>
      </w:r>
      <w:r>
        <w:rPr>
          <w:spacing w:val="-7"/>
        </w:rPr>
        <w:t xml:space="preserve"> </w:t>
      </w:r>
      <w:r>
        <w:t>de</w:t>
      </w:r>
      <w:r>
        <w:rPr>
          <w:spacing w:val="-8"/>
        </w:rPr>
        <w:t xml:space="preserve"> </w:t>
      </w:r>
      <w:r>
        <w:t>los</w:t>
      </w:r>
      <w:r>
        <w:rPr>
          <w:spacing w:val="-7"/>
        </w:rPr>
        <w:t xml:space="preserve"> </w:t>
      </w:r>
      <w:r>
        <w:t>noventa</w:t>
      </w:r>
      <w:r>
        <w:rPr>
          <w:spacing w:val="-8"/>
        </w:rPr>
        <w:t xml:space="preserve"> </w:t>
      </w:r>
      <w:r>
        <w:t>el</w:t>
      </w:r>
      <w:r>
        <w:rPr>
          <w:spacing w:val="-7"/>
        </w:rPr>
        <w:t xml:space="preserve"> </w:t>
      </w:r>
      <w:r>
        <w:t>Ejército</w:t>
      </w:r>
      <w:r>
        <w:rPr>
          <w:spacing w:val="-7"/>
        </w:rPr>
        <w:t xml:space="preserve"> </w:t>
      </w:r>
      <w:r>
        <w:t>se</w:t>
      </w:r>
      <w:r>
        <w:rPr>
          <w:spacing w:val="-7"/>
        </w:rPr>
        <w:t xml:space="preserve"> </w:t>
      </w:r>
      <w:r>
        <w:t>involucró</w:t>
      </w:r>
      <w:r>
        <w:rPr>
          <w:spacing w:val="-8"/>
        </w:rPr>
        <w:t xml:space="preserve"> </w:t>
      </w:r>
      <w:r>
        <w:t>directamente</w:t>
      </w:r>
      <w:r>
        <w:rPr>
          <w:spacing w:val="-7"/>
        </w:rPr>
        <w:t xml:space="preserve"> </w:t>
      </w:r>
      <w:r>
        <w:t>en</w:t>
      </w:r>
      <w:r>
        <w:rPr>
          <w:spacing w:val="-7"/>
        </w:rPr>
        <w:t xml:space="preserve"> </w:t>
      </w:r>
      <w:r>
        <w:t>la</w:t>
      </w:r>
      <w:r>
        <w:rPr>
          <w:spacing w:val="-7"/>
        </w:rPr>
        <w:t xml:space="preserve"> </w:t>
      </w:r>
      <w:r>
        <w:t>lucha</w:t>
      </w:r>
      <w:r>
        <w:rPr>
          <w:spacing w:val="-8"/>
        </w:rPr>
        <w:t xml:space="preserve"> </w:t>
      </w:r>
      <w:r>
        <w:t>contra el</w:t>
      </w:r>
      <w:r>
        <w:rPr>
          <w:spacing w:val="-14"/>
        </w:rPr>
        <w:t xml:space="preserve"> </w:t>
      </w:r>
      <w:r>
        <w:t>narcotráfico</w:t>
      </w:r>
      <w:r>
        <w:rPr>
          <w:spacing w:val="-14"/>
        </w:rPr>
        <w:t xml:space="preserve"> </w:t>
      </w:r>
      <w:r>
        <w:t>a</w:t>
      </w:r>
      <w:r>
        <w:rPr>
          <w:spacing w:val="-14"/>
        </w:rPr>
        <w:t xml:space="preserve"> </w:t>
      </w:r>
      <w:r>
        <w:t>partir</w:t>
      </w:r>
      <w:r>
        <w:rPr>
          <w:spacing w:val="-14"/>
        </w:rPr>
        <w:t xml:space="preserve"> </w:t>
      </w:r>
      <w:r>
        <w:t>de</w:t>
      </w:r>
      <w:r>
        <w:rPr>
          <w:spacing w:val="-15"/>
        </w:rPr>
        <w:t xml:space="preserve"> </w:t>
      </w:r>
      <w:r>
        <w:t>la</w:t>
      </w:r>
      <w:r>
        <w:rPr>
          <w:spacing w:val="-15"/>
        </w:rPr>
        <w:t xml:space="preserve"> </w:t>
      </w:r>
      <w:r>
        <w:t>consideración</w:t>
      </w:r>
      <w:r>
        <w:rPr>
          <w:spacing w:val="-14"/>
        </w:rPr>
        <w:t xml:space="preserve"> </w:t>
      </w:r>
      <w:r>
        <w:t>de</w:t>
      </w:r>
      <w:r>
        <w:rPr>
          <w:spacing w:val="-15"/>
        </w:rPr>
        <w:t xml:space="preserve"> </w:t>
      </w:r>
      <w:r>
        <w:t>las</w:t>
      </w:r>
      <w:r>
        <w:rPr>
          <w:spacing w:val="-15"/>
        </w:rPr>
        <w:t xml:space="preserve"> </w:t>
      </w:r>
      <w:r>
        <w:t>FARC-EP</w:t>
      </w:r>
      <w:r>
        <w:rPr>
          <w:spacing w:val="-15"/>
        </w:rPr>
        <w:t xml:space="preserve"> </w:t>
      </w:r>
      <w:r>
        <w:t>como</w:t>
      </w:r>
      <w:r>
        <w:rPr>
          <w:spacing w:val="-14"/>
        </w:rPr>
        <w:t xml:space="preserve"> </w:t>
      </w:r>
      <w:r>
        <w:t>un</w:t>
      </w:r>
      <w:r>
        <w:rPr>
          <w:spacing w:val="-14"/>
        </w:rPr>
        <w:t xml:space="preserve"> </w:t>
      </w:r>
      <w:r>
        <w:t>grupo</w:t>
      </w:r>
      <w:r>
        <w:rPr>
          <w:spacing w:val="-15"/>
        </w:rPr>
        <w:t xml:space="preserve"> </w:t>
      </w:r>
      <w:r>
        <w:t>«narcoterrorista», lo que permitió que se utilizaran fondos de la lucha contra las drogas para la lucha contrainsurgente.</w:t>
      </w:r>
      <w:r>
        <w:rPr>
          <w:spacing w:val="-1"/>
        </w:rPr>
        <w:t xml:space="preserve"> </w:t>
      </w:r>
      <w:r>
        <w:t>No</w:t>
      </w:r>
      <w:r>
        <w:rPr>
          <w:spacing w:val="-1"/>
        </w:rPr>
        <w:t xml:space="preserve"> </w:t>
      </w:r>
      <w:r>
        <w:t>obstante,</w:t>
      </w:r>
      <w:r>
        <w:rPr>
          <w:spacing w:val="-2"/>
        </w:rPr>
        <w:t xml:space="preserve"> </w:t>
      </w:r>
      <w:r>
        <w:t>también</w:t>
      </w:r>
      <w:r>
        <w:rPr>
          <w:spacing w:val="-1"/>
        </w:rPr>
        <w:t xml:space="preserve"> </w:t>
      </w:r>
      <w:r>
        <w:t>hubo</w:t>
      </w:r>
      <w:r>
        <w:rPr>
          <w:spacing w:val="-1"/>
        </w:rPr>
        <w:t xml:space="preserve"> </w:t>
      </w:r>
      <w:r>
        <w:t>un</w:t>
      </w:r>
      <w:r>
        <w:rPr>
          <w:spacing w:val="-1"/>
        </w:rPr>
        <w:t xml:space="preserve"> </w:t>
      </w:r>
      <w:r>
        <w:t>involucramiento</w:t>
      </w:r>
      <w:r>
        <w:rPr>
          <w:spacing w:val="-1"/>
        </w:rPr>
        <w:t xml:space="preserve"> </w:t>
      </w:r>
      <w:r>
        <w:t>mayor</w:t>
      </w:r>
      <w:r>
        <w:rPr>
          <w:spacing w:val="-1"/>
        </w:rPr>
        <w:t xml:space="preserve"> </w:t>
      </w:r>
      <w:r>
        <w:t>de</w:t>
      </w:r>
      <w:r>
        <w:rPr>
          <w:spacing w:val="-1"/>
        </w:rPr>
        <w:t xml:space="preserve"> </w:t>
      </w:r>
      <w:r>
        <w:t>algunos</w:t>
      </w:r>
      <w:r>
        <w:rPr>
          <w:spacing w:val="-1"/>
        </w:rPr>
        <w:t xml:space="preserve"> </w:t>
      </w:r>
      <w:r>
        <w:t>mandos del Ejército con el narcotráfico.</w:t>
      </w:r>
    </w:p>
    <w:p w:rsidR="003804AC" w:rsidRDefault="00AF18A5" w:rsidP="00D20CA0">
      <w:r>
        <w:t>Esto</w:t>
      </w:r>
      <w:r>
        <w:rPr>
          <w:spacing w:val="-10"/>
        </w:rPr>
        <w:t xml:space="preserve"> </w:t>
      </w:r>
      <w:r>
        <w:t>se</w:t>
      </w:r>
      <w:r>
        <w:rPr>
          <w:spacing w:val="-9"/>
        </w:rPr>
        <w:t xml:space="preserve"> </w:t>
      </w:r>
      <w:r>
        <w:t>experimentó</w:t>
      </w:r>
      <w:r>
        <w:rPr>
          <w:spacing w:val="-10"/>
        </w:rPr>
        <w:t xml:space="preserve"> </w:t>
      </w:r>
      <w:r>
        <w:t>en</w:t>
      </w:r>
      <w:r>
        <w:rPr>
          <w:spacing w:val="-10"/>
        </w:rPr>
        <w:t xml:space="preserve"> </w:t>
      </w:r>
      <w:r>
        <w:t>cuatro</w:t>
      </w:r>
      <w:r>
        <w:rPr>
          <w:spacing w:val="-10"/>
        </w:rPr>
        <w:t xml:space="preserve"> </w:t>
      </w:r>
      <w:r>
        <w:t>momentos</w:t>
      </w:r>
      <w:r>
        <w:rPr>
          <w:spacing w:val="-9"/>
        </w:rPr>
        <w:t xml:space="preserve"> </w:t>
      </w:r>
      <w:r>
        <w:t>a</w:t>
      </w:r>
      <w:r>
        <w:rPr>
          <w:spacing w:val="-9"/>
        </w:rPr>
        <w:t xml:space="preserve"> </w:t>
      </w:r>
      <w:r>
        <w:t>lo</w:t>
      </w:r>
      <w:r>
        <w:rPr>
          <w:spacing w:val="-10"/>
        </w:rPr>
        <w:t xml:space="preserve"> </w:t>
      </w:r>
      <w:r>
        <w:t>largo</w:t>
      </w:r>
      <w:r>
        <w:rPr>
          <w:spacing w:val="-10"/>
        </w:rPr>
        <w:t xml:space="preserve"> </w:t>
      </w:r>
      <w:r>
        <w:t>del</w:t>
      </w:r>
      <w:r>
        <w:rPr>
          <w:spacing w:val="-9"/>
        </w:rPr>
        <w:t xml:space="preserve"> </w:t>
      </w:r>
      <w:r>
        <w:t>conflicto</w:t>
      </w:r>
      <w:r>
        <w:rPr>
          <w:spacing w:val="-10"/>
        </w:rPr>
        <w:t xml:space="preserve"> </w:t>
      </w:r>
      <w:r>
        <w:t>armado</w:t>
      </w:r>
      <w:r>
        <w:rPr>
          <w:spacing w:val="-10"/>
        </w:rPr>
        <w:t xml:space="preserve"> </w:t>
      </w:r>
      <w:r>
        <w:t>y</w:t>
      </w:r>
      <w:r>
        <w:rPr>
          <w:spacing w:val="-10"/>
        </w:rPr>
        <w:t xml:space="preserve"> </w:t>
      </w:r>
      <w:r>
        <w:t>estuvo</w:t>
      </w:r>
      <w:r>
        <w:rPr>
          <w:spacing w:val="-10"/>
        </w:rPr>
        <w:t xml:space="preserve"> </w:t>
      </w:r>
      <w:r>
        <w:t>influido por</w:t>
      </w:r>
      <w:r>
        <w:rPr>
          <w:spacing w:val="-15"/>
        </w:rPr>
        <w:t xml:space="preserve"> </w:t>
      </w:r>
      <w:r>
        <w:t>el</w:t>
      </w:r>
      <w:r>
        <w:rPr>
          <w:spacing w:val="-15"/>
        </w:rPr>
        <w:t xml:space="preserve"> </w:t>
      </w:r>
      <w:r>
        <w:t>quiebre</w:t>
      </w:r>
      <w:r>
        <w:rPr>
          <w:spacing w:val="-14"/>
        </w:rPr>
        <w:t xml:space="preserve"> </w:t>
      </w:r>
      <w:r>
        <w:t>de</w:t>
      </w:r>
      <w:r>
        <w:rPr>
          <w:spacing w:val="-15"/>
        </w:rPr>
        <w:t xml:space="preserve"> </w:t>
      </w:r>
      <w:r>
        <w:t>los</w:t>
      </w:r>
      <w:r>
        <w:rPr>
          <w:spacing w:val="-15"/>
        </w:rPr>
        <w:t xml:space="preserve"> </w:t>
      </w:r>
      <w:r>
        <w:t>roles</w:t>
      </w:r>
      <w:r>
        <w:rPr>
          <w:spacing w:val="-15"/>
        </w:rPr>
        <w:t xml:space="preserve"> </w:t>
      </w:r>
      <w:r>
        <w:t>de</w:t>
      </w:r>
      <w:r>
        <w:rPr>
          <w:spacing w:val="-15"/>
        </w:rPr>
        <w:t xml:space="preserve"> </w:t>
      </w:r>
      <w:r>
        <w:t>la</w:t>
      </w:r>
      <w:r>
        <w:rPr>
          <w:spacing w:val="-15"/>
        </w:rPr>
        <w:t xml:space="preserve"> </w:t>
      </w:r>
      <w:r>
        <w:t>Policía</w:t>
      </w:r>
      <w:r>
        <w:rPr>
          <w:spacing w:val="-15"/>
        </w:rPr>
        <w:t xml:space="preserve"> </w:t>
      </w:r>
      <w:r>
        <w:t>y</w:t>
      </w:r>
      <w:r>
        <w:rPr>
          <w:spacing w:val="-14"/>
        </w:rPr>
        <w:t xml:space="preserve"> </w:t>
      </w:r>
      <w:r>
        <w:t>las</w:t>
      </w:r>
      <w:r>
        <w:rPr>
          <w:spacing w:val="-15"/>
        </w:rPr>
        <w:t xml:space="preserve"> </w:t>
      </w:r>
      <w:r>
        <w:t>Fuerzas</w:t>
      </w:r>
      <w:r>
        <w:rPr>
          <w:spacing w:val="-14"/>
        </w:rPr>
        <w:t xml:space="preserve"> </w:t>
      </w:r>
      <w:r>
        <w:t>Militares</w:t>
      </w:r>
      <w:r>
        <w:rPr>
          <w:spacing w:val="-15"/>
        </w:rPr>
        <w:t xml:space="preserve"> </w:t>
      </w:r>
      <w:r>
        <w:t>en</w:t>
      </w:r>
      <w:r>
        <w:rPr>
          <w:spacing w:val="-14"/>
        </w:rPr>
        <w:t xml:space="preserve"> </w:t>
      </w:r>
      <w:r>
        <w:t>las</w:t>
      </w:r>
      <w:r>
        <w:rPr>
          <w:spacing w:val="-15"/>
        </w:rPr>
        <w:t xml:space="preserve"> </w:t>
      </w:r>
      <w:r>
        <w:t>tareas</w:t>
      </w:r>
      <w:r>
        <w:rPr>
          <w:spacing w:val="-15"/>
        </w:rPr>
        <w:t xml:space="preserve"> </w:t>
      </w:r>
      <w:r>
        <w:t>de</w:t>
      </w:r>
      <w:r>
        <w:rPr>
          <w:spacing w:val="-15"/>
        </w:rPr>
        <w:t xml:space="preserve"> </w:t>
      </w:r>
      <w:r>
        <w:t>cada</w:t>
      </w:r>
      <w:r>
        <w:rPr>
          <w:spacing w:val="-15"/>
        </w:rPr>
        <w:t xml:space="preserve"> </w:t>
      </w:r>
      <w:r>
        <w:t>institución en</w:t>
      </w:r>
      <w:r>
        <w:rPr>
          <w:spacing w:val="-15"/>
        </w:rPr>
        <w:t xml:space="preserve"> </w:t>
      </w:r>
      <w:r>
        <w:t>lo</w:t>
      </w:r>
      <w:r>
        <w:rPr>
          <w:spacing w:val="-15"/>
        </w:rPr>
        <w:t xml:space="preserve"> </w:t>
      </w:r>
      <w:r>
        <w:t>relacionado</w:t>
      </w:r>
      <w:r>
        <w:rPr>
          <w:spacing w:val="-15"/>
        </w:rPr>
        <w:t xml:space="preserve"> </w:t>
      </w:r>
      <w:r>
        <w:t>con</w:t>
      </w:r>
      <w:r>
        <w:rPr>
          <w:spacing w:val="-15"/>
        </w:rPr>
        <w:t xml:space="preserve"> </w:t>
      </w:r>
      <w:r>
        <w:t>el</w:t>
      </w:r>
      <w:r>
        <w:rPr>
          <w:spacing w:val="-15"/>
        </w:rPr>
        <w:t xml:space="preserve"> </w:t>
      </w:r>
      <w:r>
        <w:t>orden</w:t>
      </w:r>
      <w:r>
        <w:rPr>
          <w:spacing w:val="-15"/>
        </w:rPr>
        <w:t xml:space="preserve"> </w:t>
      </w:r>
      <w:r>
        <w:t>público</w:t>
      </w:r>
      <w:r>
        <w:rPr>
          <w:spacing w:val="-15"/>
        </w:rPr>
        <w:t xml:space="preserve"> </w:t>
      </w:r>
      <w:r>
        <w:t>y</w:t>
      </w:r>
      <w:r>
        <w:rPr>
          <w:spacing w:val="-15"/>
        </w:rPr>
        <w:t xml:space="preserve"> </w:t>
      </w:r>
      <w:r>
        <w:t>la</w:t>
      </w:r>
      <w:r>
        <w:rPr>
          <w:spacing w:val="-15"/>
        </w:rPr>
        <w:t xml:space="preserve"> </w:t>
      </w:r>
      <w:r>
        <w:t>persecución</w:t>
      </w:r>
      <w:r>
        <w:rPr>
          <w:spacing w:val="-15"/>
        </w:rPr>
        <w:t xml:space="preserve"> </w:t>
      </w:r>
      <w:r>
        <w:t>al</w:t>
      </w:r>
      <w:r>
        <w:rPr>
          <w:spacing w:val="-15"/>
        </w:rPr>
        <w:t xml:space="preserve"> </w:t>
      </w:r>
      <w:r>
        <w:t>narcotráfico.</w:t>
      </w:r>
      <w:r>
        <w:rPr>
          <w:spacing w:val="-15"/>
        </w:rPr>
        <w:t xml:space="preserve"> </w:t>
      </w:r>
      <w:r>
        <w:t>Desde</w:t>
      </w:r>
      <w:r>
        <w:rPr>
          <w:spacing w:val="-15"/>
        </w:rPr>
        <w:t xml:space="preserve"> </w:t>
      </w:r>
      <w:r>
        <w:t>los</w:t>
      </w:r>
      <w:r>
        <w:rPr>
          <w:spacing w:val="-15"/>
        </w:rPr>
        <w:t xml:space="preserve"> </w:t>
      </w:r>
      <w:r>
        <w:t>años</w:t>
      </w:r>
      <w:r>
        <w:rPr>
          <w:spacing w:val="-15"/>
        </w:rPr>
        <w:t xml:space="preserve"> </w:t>
      </w:r>
      <w:r>
        <w:t>setenta y</w:t>
      </w:r>
      <w:r>
        <w:rPr>
          <w:spacing w:val="-15"/>
        </w:rPr>
        <w:t xml:space="preserve"> </w:t>
      </w:r>
      <w:r>
        <w:t>ochenta</w:t>
      </w:r>
      <w:r>
        <w:rPr>
          <w:spacing w:val="-15"/>
        </w:rPr>
        <w:t xml:space="preserve"> </w:t>
      </w:r>
      <w:r>
        <w:t>hubo</w:t>
      </w:r>
      <w:r>
        <w:rPr>
          <w:spacing w:val="-15"/>
        </w:rPr>
        <w:t xml:space="preserve"> </w:t>
      </w:r>
      <w:r>
        <w:t>una</w:t>
      </w:r>
      <w:r>
        <w:rPr>
          <w:spacing w:val="-15"/>
        </w:rPr>
        <w:t xml:space="preserve"> </w:t>
      </w:r>
      <w:r>
        <w:t>articulación</w:t>
      </w:r>
      <w:r>
        <w:rPr>
          <w:spacing w:val="-15"/>
        </w:rPr>
        <w:t xml:space="preserve"> </w:t>
      </w:r>
      <w:r>
        <w:t>entre</w:t>
      </w:r>
      <w:r>
        <w:rPr>
          <w:spacing w:val="-15"/>
        </w:rPr>
        <w:t xml:space="preserve"> </w:t>
      </w:r>
      <w:r>
        <w:t>narcotraficantes</w:t>
      </w:r>
      <w:r>
        <w:rPr>
          <w:spacing w:val="-15"/>
        </w:rPr>
        <w:t xml:space="preserve"> </w:t>
      </w:r>
      <w:r>
        <w:t>y</w:t>
      </w:r>
      <w:r>
        <w:rPr>
          <w:spacing w:val="-15"/>
        </w:rPr>
        <w:t xml:space="preserve"> </w:t>
      </w:r>
      <w:r>
        <w:t>miembros</w:t>
      </w:r>
      <w:r>
        <w:rPr>
          <w:spacing w:val="-15"/>
        </w:rPr>
        <w:t xml:space="preserve"> </w:t>
      </w:r>
      <w:r>
        <w:t>de</w:t>
      </w:r>
      <w:r>
        <w:rPr>
          <w:spacing w:val="-15"/>
        </w:rPr>
        <w:t xml:space="preserve"> </w:t>
      </w:r>
      <w:r>
        <w:t>la</w:t>
      </w:r>
      <w:r>
        <w:rPr>
          <w:spacing w:val="-15"/>
        </w:rPr>
        <w:t xml:space="preserve"> </w:t>
      </w:r>
      <w:r>
        <w:t>Policía;</w:t>
      </w:r>
      <w:r>
        <w:rPr>
          <w:spacing w:val="-15"/>
        </w:rPr>
        <w:t xml:space="preserve"> </w:t>
      </w:r>
      <w:r>
        <w:t>incluso</w:t>
      </w:r>
      <w:r>
        <w:rPr>
          <w:spacing w:val="-15"/>
        </w:rPr>
        <w:t xml:space="preserve"> </w:t>
      </w:r>
      <w:r>
        <w:t>hubo transfuguismo desde las Fuerzas Armadas hacia los ejércitos privados del narcotráfico. El gobierno</w:t>
      </w:r>
      <w:r>
        <w:rPr>
          <w:spacing w:val="-14"/>
        </w:rPr>
        <w:t xml:space="preserve"> </w:t>
      </w:r>
      <w:r>
        <w:t>de</w:t>
      </w:r>
      <w:r>
        <w:rPr>
          <w:spacing w:val="-15"/>
        </w:rPr>
        <w:t xml:space="preserve"> </w:t>
      </w:r>
      <w:r>
        <w:t>Estados</w:t>
      </w:r>
      <w:r>
        <w:rPr>
          <w:spacing w:val="-14"/>
        </w:rPr>
        <w:t xml:space="preserve"> </w:t>
      </w:r>
      <w:r>
        <w:t>Unidos</w:t>
      </w:r>
      <w:r>
        <w:rPr>
          <w:spacing w:val="-14"/>
        </w:rPr>
        <w:t xml:space="preserve"> </w:t>
      </w:r>
      <w:r>
        <w:t>sospechó</w:t>
      </w:r>
      <w:r>
        <w:rPr>
          <w:spacing w:val="-14"/>
        </w:rPr>
        <w:t xml:space="preserve"> </w:t>
      </w:r>
      <w:r>
        <w:t>de</w:t>
      </w:r>
      <w:r>
        <w:rPr>
          <w:spacing w:val="-14"/>
        </w:rPr>
        <w:t xml:space="preserve"> </w:t>
      </w:r>
      <w:r>
        <w:t>lo</w:t>
      </w:r>
      <w:r>
        <w:rPr>
          <w:spacing w:val="-15"/>
        </w:rPr>
        <w:t xml:space="preserve"> </w:t>
      </w:r>
      <w:r>
        <w:t>que</w:t>
      </w:r>
      <w:r>
        <w:rPr>
          <w:spacing w:val="-15"/>
        </w:rPr>
        <w:t xml:space="preserve"> </w:t>
      </w:r>
      <w:r>
        <w:t>estaba</w:t>
      </w:r>
      <w:r>
        <w:rPr>
          <w:spacing w:val="-14"/>
        </w:rPr>
        <w:t xml:space="preserve"> </w:t>
      </w:r>
      <w:r>
        <w:t>ocurriendo.</w:t>
      </w:r>
      <w:r>
        <w:rPr>
          <w:spacing w:val="-14"/>
        </w:rPr>
        <w:t xml:space="preserve"> </w:t>
      </w:r>
      <w:r>
        <w:t>Esta</w:t>
      </w:r>
      <w:r>
        <w:rPr>
          <w:spacing w:val="-15"/>
        </w:rPr>
        <w:t xml:space="preserve"> </w:t>
      </w:r>
      <w:r>
        <w:t>alianza</w:t>
      </w:r>
      <w:r>
        <w:rPr>
          <w:spacing w:val="-14"/>
        </w:rPr>
        <w:t xml:space="preserve"> </w:t>
      </w:r>
      <w:r>
        <w:t>se</w:t>
      </w:r>
      <w:r>
        <w:rPr>
          <w:spacing w:val="-15"/>
        </w:rPr>
        <w:t xml:space="preserve"> </w:t>
      </w:r>
      <w:r>
        <w:t>profundizó con</w:t>
      </w:r>
      <w:r>
        <w:rPr>
          <w:spacing w:val="-15"/>
        </w:rPr>
        <w:t xml:space="preserve"> </w:t>
      </w:r>
      <w:r>
        <w:t>la</w:t>
      </w:r>
      <w:r>
        <w:rPr>
          <w:spacing w:val="-15"/>
        </w:rPr>
        <w:t xml:space="preserve"> </w:t>
      </w:r>
      <w:r>
        <w:t>formación</w:t>
      </w:r>
      <w:r>
        <w:rPr>
          <w:spacing w:val="-15"/>
        </w:rPr>
        <w:t xml:space="preserve"> </w:t>
      </w:r>
      <w:r>
        <w:t>de</w:t>
      </w:r>
      <w:r>
        <w:rPr>
          <w:spacing w:val="-15"/>
        </w:rPr>
        <w:t xml:space="preserve"> </w:t>
      </w:r>
      <w:r>
        <w:t>carteles</w:t>
      </w:r>
      <w:r>
        <w:rPr>
          <w:spacing w:val="-15"/>
        </w:rPr>
        <w:t xml:space="preserve"> </w:t>
      </w:r>
      <w:r>
        <w:t>como</w:t>
      </w:r>
      <w:r>
        <w:rPr>
          <w:spacing w:val="-15"/>
        </w:rPr>
        <w:t xml:space="preserve"> </w:t>
      </w:r>
      <w:r>
        <w:t>el</w:t>
      </w:r>
      <w:r>
        <w:rPr>
          <w:spacing w:val="-15"/>
        </w:rPr>
        <w:t xml:space="preserve"> </w:t>
      </w:r>
      <w:r>
        <w:t>del</w:t>
      </w:r>
      <w:r>
        <w:rPr>
          <w:spacing w:val="-15"/>
        </w:rPr>
        <w:t xml:space="preserve"> </w:t>
      </w:r>
      <w:r>
        <w:t>norte</w:t>
      </w:r>
      <w:r>
        <w:rPr>
          <w:spacing w:val="-15"/>
        </w:rPr>
        <w:t xml:space="preserve"> </w:t>
      </w:r>
      <w:r>
        <w:t>del</w:t>
      </w:r>
      <w:r>
        <w:rPr>
          <w:spacing w:val="-15"/>
        </w:rPr>
        <w:t xml:space="preserve"> </w:t>
      </w:r>
      <w:r>
        <w:t>Valle</w:t>
      </w:r>
      <w:r w:rsidR="00D20CA0">
        <w:rPr>
          <w:rStyle w:val="Refdenotaalpie"/>
        </w:rPr>
        <w:footnoteReference w:id="581"/>
      </w:r>
      <w:r>
        <w:t>;</w:t>
      </w:r>
      <w:r>
        <w:rPr>
          <w:spacing w:val="-15"/>
        </w:rPr>
        <w:t xml:space="preserve"> </w:t>
      </w:r>
      <w:r>
        <w:t>la</w:t>
      </w:r>
      <w:r>
        <w:rPr>
          <w:spacing w:val="-15"/>
        </w:rPr>
        <w:t xml:space="preserve"> </w:t>
      </w:r>
      <w:r>
        <w:t>consolidación</w:t>
      </w:r>
      <w:r>
        <w:rPr>
          <w:spacing w:val="-15"/>
        </w:rPr>
        <w:t xml:space="preserve"> </w:t>
      </w:r>
      <w:r>
        <w:t>del</w:t>
      </w:r>
      <w:r>
        <w:rPr>
          <w:spacing w:val="-15"/>
        </w:rPr>
        <w:t xml:space="preserve"> </w:t>
      </w:r>
      <w:r>
        <w:t>grupo</w:t>
      </w:r>
      <w:r>
        <w:rPr>
          <w:spacing w:val="-15"/>
        </w:rPr>
        <w:t xml:space="preserve"> </w:t>
      </w:r>
      <w:r>
        <w:t>Muerte a</w:t>
      </w:r>
      <w:r>
        <w:rPr>
          <w:spacing w:val="-15"/>
        </w:rPr>
        <w:t xml:space="preserve"> </w:t>
      </w:r>
      <w:r>
        <w:t>Secuestradores</w:t>
      </w:r>
      <w:r>
        <w:rPr>
          <w:spacing w:val="-15"/>
        </w:rPr>
        <w:t xml:space="preserve"> </w:t>
      </w:r>
      <w:r>
        <w:t>(MAS),en</w:t>
      </w:r>
      <w:r>
        <w:rPr>
          <w:spacing w:val="-15"/>
        </w:rPr>
        <w:t xml:space="preserve"> </w:t>
      </w:r>
      <w:r>
        <w:t>el</w:t>
      </w:r>
      <w:r>
        <w:rPr>
          <w:spacing w:val="-15"/>
        </w:rPr>
        <w:t xml:space="preserve"> </w:t>
      </w:r>
      <w:r>
        <w:t>que</w:t>
      </w:r>
      <w:r>
        <w:rPr>
          <w:spacing w:val="-15"/>
        </w:rPr>
        <w:t xml:space="preserve"> </w:t>
      </w:r>
      <w:r>
        <w:t>participaron</w:t>
      </w:r>
      <w:r>
        <w:rPr>
          <w:spacing w:val="-15"/>
        </w:rPr>
        <w:t xml:space="preserve"> </w:t>
      </w:r>
      <w:r>
        <w:t>59</w:t>
      </w:r>
      <w:r>
        <w:rPr>
          <w:spacing w:val="-15"/>
        </w:rPr>
        <w:t xml:space="preserve"> </w:t>
      </w:r>
      <w:r>
        <w:lastRenderedPageBreak/>
        <w:t>miembros</w:t>
      </w:r>
      <w:r>
        <w:rPr>
          <w:spacing w:val="-15"/>
        </w:rPr>
        <w:t xml:space="preserve"> </w:t>
      </w:r>
      <w:r>
        <w:t>del</w:t>
      </w:r>
      <w:r>
        <w:rPr>
          <w:spacing w:val="-15"/>
        </w:rPr>
        <w:t xml:space="preserve"> </w:t>
      </w:r>
      <w:r>
        <w:t>servicio</w:t>
      </w:r>
      <w:r>
        <w:rPr>
          <w:spacing w:val="-15"/>
        </w:rPr>
        <w:t xml:space="preserve"> </w:t>
      </w:r>
      <w:r>
        <w:t>activo</w:t>
      </w:r>
      <w:r>
        <w:rPr>
          <w:spacing w:val="-15"/>
        </w:rPr>
        <w:t xml:space="preserve"> </w:t>
      </w:r>
      <w:r>
        <w:t>de</w:t>
      </w:r>
      <w:r>
        <w:rPr>
          <w:spacing w:val="-15"/>
        </w:rPr>
        <w:t xml:space="preserve"> </w:t>
      </w:r>
      <w:r>
        <w:t>las</w:t>
      </w:r>
      <w:r>
        <w:rPr>
          <w:spacing w:val="-15"/>
        </w:rPr>
        <w:t xml:space="preserve"> </w:t>
      </w:r>
      <w:r>
        <w:t>fuerzas militares</w:t>
      </w:r>
      <w:r w:rsidR="00D20CA0">
        <w:rPr>
          <w:rStyle w:val="Refdenotaalpie"/>
        </w:rPr>
        <w:footnoteReference w:id="582"/>
      </w:r>
      <w:r>
        <w:t>; o en el modelo paramilitar del Magdalena Medio, donde hubo un cruce entre esmeralderos</w:t>
      </w:r>
      <w:r>
        <w:rPr>
          <w:spacing w:val="-9"/>
        </w:rPr>
        <w:t xml:space="preserve"> </w:t>
      </w:r>
      <w:r>
        <w:t>y</w:t>
      </w:r>
      <w:r>
        <w:rPr>
          <w:spacing w:val="-7"/>
        </w:rPr>
        <w:t xml:space="preserve"> </w:t>
      </w:r>
      <w:r>
        <w:t>narcotraficantes.</w:t>
      </w:r>
      <w:r>
        <w:rPr>
          <w:spacing w:val="-6"/>
        </w:rPr>
        <w:t xml:space="preserve"> </w:t>
      </w:r>
      <w:r>
        <w:t>El</w:t>
      </w:r>
      <w:r>
        <w:rPr>
          <w:spacing w:val="-7"/>
        </w:rPr>
        <w:t xml:space="preserve"> </w:t>
      </w:r>
      <w:r>
        <w:t>intercambio</w:t>
      </w:r>
      <w:r>
        <w:rPr>
          <w:spacing w:val="-8"/>
        </w:rPr>
        <w:t xml:space="preserve"> </w:t>
      </w:r>
      <w:r>
        <w:t>de</w:t>
      </w:r>
      <w:r>
        <w:rPr>
          <w:spacing w:val="-7"/>
        </w:rPr>
        <w:t xml:space="preserve"> </w:t>
      </w:r>
      <w:r>
        <w:t>conocimientos</w:t>
      </w:r>
      <w:r>
        <w:rPr>
          <w:spacing w:val="-7"/>
        </w:rPr>
        <w:t xml:space="preserve"> </w:t>
      </w:r>
      <w:r>
        <w:t>sobre</w:t>
      </w:r>
      <w:r>
        <w:rPr>
          <w:spacing w:val="-7"/>
        </w:rPr>
        <w:t xml:space="preserve"> </w:t>
      </w:r>
      <w:r>
        <w:t>la</w:t>
      </w:r>
      <w:r>
        <w:rPr>
          <w:spacing w:val="-7"/>
        </w:rPr>
        <w:t xml:space="preserve"> </w:t>
      </w:r>
      <w:r>
        <w:t>violencia</w:t>
      </w:r>
      <w:r>
        <w:rPr>
          <w:spacing w:val="-6"/>
        </w:rPr>
        <w:t xml:space="preserve"> </w:t>
      </w:r>
      <w:r>
        <w:rPr>
          <w:spacing w:val="-2"/>
        </w:rPr>
        <w:t>empezó</w:t>
      </w:r>
      <w:bookmarkStart w:id="753" w:name="_bookmark643"/>
      <w:bookmarkStart w:id="754" w:name="_bookmark644"/>
      <w:bookmarkEnd w:id="753"/>
      <w:bookmarkEnd w:id="754"/>
      <w:r w:rsidR="00D20CA0">
        <w:t xml:space="preserve"> </w:t>
      </w:r>
      <w:r>
        <w:t>un</w:t>
      </w:r>
      <w:r>
        <w:rPr>
          <w:spacing w:val="-11"/>
        </w:rPr>
        <w:t xml:space="preserve"> </w:t>
      </w:r>
      <w:r>
        <w:t>camino</w:t>
      </w:r>
      <w:r>
        <w:rPr>
          <w:spacing w:val="-11"/>
        </w:rPr>
        <w:t xml:space="preserve"> </w:t>
      </w:r>
      <w:r>
        <w:t>de</w:t>
      </w:r>
      <w:r>
        <w:rPr>
          <w:spacing w:val="-11"/>
        </w:rPr>
        <w:t xml:space="preserve"> </w:t>
      </w:r>
      <w:r>
        <w:t>ida</w:t>
      </w:r>
      <w:r>
        <w:rPr>
          <w:spacing w:val="-11"/>
        </w:rPr>
        <w:t xml:space="preserve"> </w:t>
      </w:r>
      <w:r>
        <w:t>y</w:t>
      </w:r>
      <w:r>
        <w:rPr>
          <w:spacing w:val="-11"/>
        </w:rPr>
        <w:t xml:space="preserve"> </w:t>
      </w:r>
      <w:r>
        <w:t>de</w:t>
      </w:r>
      <w:r>
        <w:rPr>
          <w:spacing w:val="-11"/>
        </w:rPr>
        <w:t xml:space="preserve"> </w:t>
      </w:r>
      <w:r>
        <w:t>venida</w:t>
      </w:r>
      <w:r>
        <w:rPr>
          <w:spacing w:val="-11"/>
        </w:rPr>
        <w:t xml:space="preserve"> </w:t>
      </w:r>
      <w:r>
        <w:t>entre</w:t>
      </w:r>
      <w:r>
        <w:rPr>
          <w:spacing w:val="-11"/>
        </w:rPr>
        <w:t xml:space="preserve"> </w:t>
      </w:r>
      <w:r>
        <w:t>los</w:t>
      </w:r>
      <w:r>
        <w:rPr>
          <w:spacing w:val="-11"/>
        </w:rPr>
        <w:t xml:space="preserve"> </w:t>
      </w:r>
      <w:r>
        <w:t>grupos</w:t>
      </w:r>
      <w:r>
        <w:rPr>
          <w:spacing w:val="-11"/>
        </w:rPr>
        <w:t xml:space="preserve"> </w:t>
      </w:r>
      <w:r>
        <w:t>de</w:t>
      </w:r>
      <w:r>
        <w:rPr>
          <w:spacing w:val="-11"/>
        </w:rPr>
        <w:t xml:space="preserve"> </w:t>
      </w:r>
      <w:r>
        <w:t>seguridad</w:t>
      </w:r>
      <w:r>
        <w:rPr>
          <w:spacing w:val="-11"/>
        </w:rPr>
        <w:t xml:space="preserve"> </w:t>
      </w:r>
      <w:r>
        <w:t>de</w:t>
      </w:r>
      <w:r>
        <w:rPr>
          <w:spacing w:val="-12"/>
        </w:rPr>
        <w:t xml:space="preserve"> </w:t>
      </w:r>
      <w:r>
        <w:t>los</w:t>
      </w:r>
      <w:r>
        <w:rPr>
          <w:spacing w:val="-11"/>
        </w:rPr>
        <w:t xml:space="preserve"> </w:t>
      </w:r>
      <w:r>
        <w:t>narcotraficantes</w:t>
      </w:r>
      <w:r>
        <w:rPr>
          <w:spacing w:val="-11"/>
        </w:rPr>
        <w:t xml:space="preserve"> </w:t>
      </w:r>
      <w:r>
        <w:t>y</w:t>
      </w:r>
      <w:r>
        <w:rPr>
          <w:spacing w:val="-11"/>
        </w:rPr>
        <w:t xml:space="preserve"> </w:t>
      </w:r>
      <w:r>
        <w:t>la</w:t>
      </w:r>
      <w:r>
        <w:rPr>
          <w:spacing w:val="-11"/>
        </w:rPr>
        <w:t xml:space="preserve"> </w:t>
      </w:r>
      <w:r>
        <w:t>fuerza pública para favorecer los intereses privados de unos y de contrainsurgencia de los otros.</w:t>
      </w:r>
    </w:p>
    <w:p w:rsidR="003804AC" w:rsidRDefault="00AF18A5" w:rsidP="00D20CA0">
      <w:r>
        <w:t>A finales de los años ochenta se adelantó una campaña de terror del Cartel de Medellín contra</w:t>
      </w:r>
      <w:r>
        <w:rPr>
          <w:spacing w:val="-6"/>
        </w:rPr>
        <w:t xml:space="preserve"> </w:t>
      </w:r>
      <w:r>
        <w:t>el</w:t>
      </w:r>
      <w:r>
        <w:rPr>
          <w:spacing w:val="-6"/>
        </w:rPr>
        <w:t xml:space="preserve"> </w:t>
      </w:r>
      <w:r>
        <w:t>Estado,</w:t>
      </w:r>
      <w:r>
        <w:rPr>
          <w:spacing w:val="-6"/>
        </w:rPr>
        <w:t xml:space="preserve"> </w:t>
      </w:r>
      <w:r>
        <w:t>en</w:t>
      </w:r>
      <w:r>
        <w:rPr>
          <w:spacing w:val="-6"/>
        </w:rPr>
        <w:t xml:space="preserve"> </w:t>
      </w:r>
      <w:r>
        <w:t>la</w:t>
      </w:r>
      <w:r>
        <w:rPr>
          <w:spacing w:val="-6"/>
        </w:rPr>
        <w:t xml:space="preserve"> </w:t>
      </w:r>
      <w:r>
        <w:t>que</w:t>
      </w:r>
      <w:r>
        <w:rPr>
          <w:spacing w:val="-6"/>
        </w:rPr>
        <w:t xml:space="preserve"> </w:t>
      </w:r>
      <w:r>
        <w:t>murieron</w:t>
      </w:r>
      <w:r>
        <w:rPr>
          <w:spacing w:val="-6"/>
        </w:rPr>
        <w:t xml:space="preserve"> </w:t>
      </w:r>
      <w:r>
        <w:t>cientos</w:t>
      </w:r>
      <w:r>
        <w:rPr>
          <w:spacing w:val="-6"/>
        </w:rPr>
        <w:t xml:space="preserve"> </w:t>
      </w:r>
      <w:r>
        <w:t>de</w:t>
      </w:r>
      <w:r>
        <w:rPr>
          <w:spacing w:val="-6"/>
        </w:rPr>
        <w:t xml:space="preserve"> </w:t>
      </w:r>
      <w:r>
        <w:t>policías</w:t>
      </w:r>
      <w:r>
        <w:rPr>
          <w:spacing w:val="-6"/>
        </w:rPr>
        <w:t xml:space="preserve"> </w:t>
      </w:r>
      <w:r>
        <w:t>y</w:t>
      </w:r>
      <w:r>
        <w:rPr>
          <w:spacing w:val="-6"/>
        </w:rPr>
        <w:t xml:space="preserve"> </w:t>
      </w:r>
      <w:r>
        <w:t>hubo</w:t>
      </w:r>
      <w:r>
        <w:rPr>
          <w:spacing w:val="-6"/>
        </w:rPr>
        <w:t xml:space="preserve"> </w:t>
      </w:r>
      <w:r>
        <w:t>atentados</w:t>
      </w:r>
      <w:r>
        <w:rPr>
          <w:spacing w:val="-6"/>
        </w:rPr>
        <w:t xml:space="preserve"> </w:t>
      </w:r>
      <w:r>
        <w:t>masivos</w:t>
      </w:r>
      <w:r>
        <w:rPr>
          <w:spacing w:val="-6"/>
        </w:rPr>
        <w:t xml:space="preserve"> </w:t>
      </w:r>
      <w:r>
        <w:t>con</w:t>
      </w:r>
      <w:r>
        <w:rPr>
          <w:spacing w:val="-6"/>
        </w:rPr>
        <w:t xml:space="preserve"> </w:t>
      </w:r>
      <w:r>
        <w:t>carros bomba,</w:t>
      </w:r>
      <w:r>
        <w:rPr>
          <w:spacing w:val="-2"/>
        </w:rPr>
        <w:t xml:space="preserve"> </w:t>
      </w:r>
      <w:r>
        <w:t>a</w:t>
      </w:r>
      <w:r>
        <w:rPr>
          <w:spacing w:val="-2"/>
        </w:rPr>
        <w:t xml:space="preserve"> </w:t>
      </w:r>
      <w:r>
        <w:t>la</w:t>
      </w:r>
      <w:r>
        <w:rPr>
          <w:spacing w:val="-3"/>
        </w:rPr>
        <w:t xml:space="preserve"> </w:t>
      </w:r>
      <w:r>
        <w:t>vez</w:t>
      </w:r>
      <w:r>
        <w:rPr>
          <w:spacing w:val="-2"/>
        </w:rPr>
        <w:t xml:space="preserve"> </w:t>
      </w:r>
      <w:r>
        <w:t>que</w:t>
      </w:r>
      <w:r>
        <w:rPr>
          <w:spacing w:val="-2"/>
        </w:rPr>
        <w:t xml:space="preserve"> </w:t>
      </w:r>
      <w:r>
        <w:t>los</w:t>
      </w:r>
      <w:r>
        <w:rPr>
          <w:spacing w:val="-4"/>
        </w:rPr>
        <w:t xml:space="preserve"> </w:t>
      </w:r>
      <w:r>
        <w:t>carteles</w:t>
      </w:r>
      <w:r>
        <w:rPr>
          <w:spacing w:val="-2"/>
        </w:rPr>
        <w:t xml:space="preserve"> </w:t>
      </w:r>
      <w:r>
        <w:t>se</w:t>
      </w:r>
      <w:r>
        <w:rPr>
          <w:spacing w:val="-2"/>
        </w:rPr>
        <w:t xml:space="preserve"> </w:t>
      </w:r>
      <w:r>
        <w:t>fracturaron.</w:t>
      </w:r>
      <w:r>
        <w:rPr>
          <w:spacing w:val="-2"/>
        </w:rPr>
        <w:t xml:space="preserve"> </w:t>
      </w:r>
      <w:r>
        <w:t>Una</w:t>
      </w:r>
      <w:r>
        <w:rPr>
          <w:spacing w:val="-2"/>
        </w:rPr>
        <w:t xml:space="preserve"> </w:t>
      </w:r>
      <w:r>
        <w:t>parte</w:t>
      </w:r>
      <w:r>
        <w:rPr>
          <w:spacing w:val="-2"/>
        </w:rPr>
        <w:t xml:space="preserve"> </w:t>
      </w:r>
      <w:r>
        <w:t>del</w:t>
      </w:r>
      <w:r>
        <w:rPr>
          <w:spacing w:val="-3"/>
        </w:rPr>
        <w:t xml:space="preserve"> </w:t>
      </w:r>
      <w:r>
        <w:t>Cartel</w:t>
      </w:r>
      <w:r>
        <w:rPr>
          <w:spacing w:val="-2"/>
        </w:rPr>
        <w:t xml:space="preserve"> </w:t>
      </w:r>
      <w:r>
        <w:t>de</w:t>
      </w:r>
      <w:r>
        <w:rPr>
          <w:spacing w:val="-2"/>
        </w:rPr>
        <w:t xml:space="preserve"> </w:t>
      </w:r>
      <w:r>
        <w:t>Medellín,</w:t>
      </w:r>
      <w:r>
        <w:rPr>
          <w:spacing w:val="-2"/>
        </w:rPr>
        <w:t xml:space="preserve"> </w:t>
      </w:r>
      <w:r>
        <w:t>junto</w:t>
      </w:r>
      <w:r>
        <w:rPr>
          <w:spacing w:val="-2"/>
        </w:rPr>
        <w:t xml:space="preserve"> </w:t>
      </w:r>
      <w:r>
        <w:t>al</w:t>
      </w:r>
      <w:r>
        <w:rPr>
          <w:spacing w:val="-2"/>
        </w:rPr>
        <w:t xml:space="preserve"> </w:t>
      </w:r>
      <w:r>
        <w:t>de Cali, se alió contra Pablo Escobar; en tal alianza participaron agentes de la DEA e instituciones del gobierno colombiano como el Bloque de Búsqueda de la Policía. De esas alianzas surgió una red autodenominada los Pepes (Perseguidos por Pablo Escobar), en la que participaron Fidel y Carlos Castaño, exmiembros del Cartel de Medellín.</w:t>
      </w:r>
    </w:p>
    <w:p w:rsidR="003804AC" w:rsidRDefault="00AF18A5" w:rsidP="00D20CA0">
      <w:r>
        <w:t>De</w:t>
      </w:r>
      <w:r>
        <w:rPr>
          <w:spacing w:val="-15"/>
        </w:rPr>
        <w:t xml:space="preserve"> </w:t>
      </w:r>
      <w:r>
        <w:t>esta</w:t>
      </w:r>
      <w:r>
        <w:rPr>
          <w:spacing w:val="-15"/>
        </w:rPr>
        <w:t xml:space="preserve"> </w:t>
      </w:r>
      <w:r>
        <w:t>forma,</w:t>
      </w:r>
      <w:r>
        <w:rPr>
          <w:spacing w:val="-15"/>
        </w:rPr>
        <w:t xml:space="preserve"> </w:t>
      </w:r>
      <w:r>
        <w:t>el</w:t>
      </w:r>
      <w:r>
        <w:rPr>
          <w:spacing w:val="-15"/>
        </w:rPr>
        <w:t xml:space="preserve"> </w:t>
      </w:r>
      <w:r>
        <w:t>narcotráfico</w:t>
      </w:r>
      <w:r>
        <w:rPr>
          <w:spacing w:val="-15"/>
        </w:rPr>
        <w:t xml:space="preserve"> </w:t>
      </w:r>
      <w:r>
        <w:t>trató</w:t>
      </w:r>
      <w:r>
        <w:rPr>
          <w:spacing w:val="-15"/>
        </w:rPr>
        <w:t xml:space="preserve"> </w:t>
      </w:r>
      <w:r>
        <w:t>de</w:t>
      </w:r>
      <w:r>
        <w:rPr>
          <w:spacing w:val="-15"/>
        </w:rPr>
        <w:t xml:space="preserve"> </w:t>
      </w:r>
      <w:r>
        <w:t>influir</w:t>
      </w:r>
      <w:r>
        <w:rPr>
          <w:spacing w:val="-15"/>
        </w:rPr>
        <w:t xml:space="preserve"> </w:t>
      </w:r>
      <w:r>
        <w:t>y</w:t>
      </w:r>
      <w:r>
        <w:rPr>
          <w:spacing w:val="-15"/>
        </w:rPr>
        <w:t xml:space="preserve"> </w:t>
      </w:r>
      <w:r>
        <w:t>consolidarse</w:t>
      </w:r>
      <w:r>
        <w:rPr>
          <w:spacing w:val="-15"/>
        </w:rPr>
        <w:t xml:space="preserve"> </w:t>
      </w:r>
      <w:r>
        <w:t>en</w:t>
      </w:r>
      <w:r>
        <w:rPr>
          <w:spacing w:val="-15"/>
        </w:rPr>
        <w:t xml:space="preserve"> </w:t>
      </w:r>
      <w:r>
        <w:t>el</w:t>
      </w:r>
      <w:r>
        <w:rPr>
          <w:spacing w:val="-15"/>
        </w:rPr>
        <w:t xml:space="preserve"> </w:t>
      </w:r>
      <w:r>
        <w:t>poder</w:t>
      </w:r>
      <w:r>
        <w:rPr>
          <w:spacing w:val="-15"/>
        </w:rPr>
        <w:t xml:space="preserve"> </w:t>
      </w:r>
      <w:r>
        <w:t>político</w:t>
      </w:r>
      <w:r>
        <w:rPr>
          <w:spacing w:val="-15"/>
        </w:rPr>
        <w:t xml:space="preserve"> </w:t>
      </w:r>
      <w:r>
        <w:t>y,</w:t>
      </w:r>
      <w:r>
        <w:rPr>
          <w:spacing w:val="-15"/>
        </w:rPr>
        <w:t xml:space="preserve"> </w:t>
      </w:r>
      <w:r>
        <w:t>además, estrechar alianzas con miembros de la fuerza pública. En la rendición de testimonio ante la justicia de los Estados Unidos del narcotraficante Luis Hernando Gómez Bustamante, alias Rasguño,</w:t>
      </w:r>
      <w:r>
        <w:rPr>
          <w:spacing w:val="-1"/>
        </w:rPr>
        <w:t xml:space="preserve"> </w:t>
      </w:r>
      <w:r>
        <w:t>se</w:t>
      </w:r>
      <w:r>
        <w:rPr>
          <w:spacing w:val="-1"/>
        </w:rPr>
        <w:t xml:space="preserve"> </w:t>
      </w:r>
      <w:r>
        <w:t>afirmó</w:t>
      </w:r>
      <w:r>
        <w:rPr>
          <w:spacing w:val="-1"/>
        </w:rPr>
        <w:t xml:space="preserve"> </w:t>
      </w:r>
      <w:r>
        <w:t>que</w:t>
      </w:r>
      <w:r>
        <w:rPr>
          <w:spacing w:val="-1"/>
        </w:rPr>
        <w:t xml:space="preserve"> </w:t>
      </w:r>
      <w:r>
        <w:t>el</w:t>
      </w:r>
      <w:r>
        <w:rPr>
          <w:spacing w:val="-1"/>
        </w:rPr>
        <w:t xml:space="preserve"> </w:t>
      </w:r>
      <w:r>
        <w:t>«80</w:t>
      </w:r>
      <w:r>
        <w:rPr>
          <w:spacing w:val="-2"/>
        </w:rPr>
        <w:t xml:space="preserve"> </w:t>
      </w:r>
      <w:r>
        <w:t>%</w:t>
      </w:r>
      <w:r>
        <w:rPr>
          <w:spacing w:val="-1"/>
        </w:rPr>
        <w:t xml:space="preserve"> </w:t>
      </w:r>
      <w:r>
        <w:t>de</w:t>
      </w:r>
      <w:r>
        <w:rPr>
          <w:spacing w:val="-1"/>
        </w:rPr>
        <w:t xml:space="preserve"> </w:t>
      </w:r>
      <w:r>
        <w:t>los</w:t>
      </w:r>
      <w:r>
        <w:rPr>
          <w:spacing w:val="-1"/>
        </w:rPr>
        <w:t xml:space="preserve"> </w:t>
      </w:r>
      <w:r>
        <w:t>comandantes</w:t>
      </w:r>
      <w:r>
        <w:rPr>
          <w:spacing w:val="-1"/>
        </w:rPr>
        <w:t xml:space="preserve"> </w:t>
      </w:r>
      <w:r>
        <w:t>que</w:t>
      </w:r>
      <w:r>
        <w:rPr>
          <w:spacing w:val="-1"/>
        </w:rPr>
        <w:t xml:space="preserve"> </w:t>
      </w:r>
      <w:r>
        <w:t>habían</w:t>
      </w:r>
      <w:r>
        <w:rPr>
          <w:spacing w:val="-1"/>
        </w:rPr>
        <w:t xml:space="preserve"> </w:t>
      </w:r>
      <w:r>
        <w:t>llegado</w:t>
      </w:r>
      <w:r>
        <w:rPr>
          <w:spacing w:val="-3"/>
        </w:rPr>
        <w:t xml:space="preserve"> </w:t>
      </w:r>
      <w:r>
        <w:t>al</w:t>
      </w:r>
      <w:r>
        <w:rPr>
          <w:spacing w:val="-1"/>
        </w:rPr>
        <w:t xml:space="preserve"> </w:t>
      </w:r>
      <w:r>
        <w:t>Valle</w:t>
      </w:r>
      <w:r>
        <w:rPr>
          <w:spacing w:val="-1"/>
        </w:rPr>
        <w:t xml:space="preserve"> </w:t>
      </w:r>
      <w:r>
        <w:t>del</w:t>
      </w:r>
      <w:r>
        <w:rPr>
          <w:spacing w:val="-2"/>
        </w:rPr>
        <w:t xml:space="preserve"> </w:t>
      </w:r>
      <w:r>
        <w:t>Cauca y</w:t>
      </w:r>
      <w:r>
        <w:rPr>
          <w:spacing w:val="-6"/>
        </w:rPr>
        <w:t xml:space="preserve"> </w:t>
      </w:r>
      <w:r>
        <w:t>el</w:t>
      </w:r>
      <w:r>
        <w:rPr>
          <w:spacing w:val="-6"/>
        </w:rPr>
        <w:t xml:space="preserve"> </w:t>
      </w:r>
      <w:r>
        <w:t>80</w:t>
      </w:r>
      <w:r>
        <w:rPr>
          <w:spacing w:val="-3"/>
        </w:rPr>
        <w:t xml:space="preserve"> </w:t>
      </w:r>
      <w:r>
        <w:t>%</w:t>
      </w:r>
      <w:r>
        <w:rPr>
          <w:spacing w:val="-6"/>
        </w:rPr>
        <w:t xml:space="preserve"> </w:t>
      </w:r>
      <w:r>
        <w:t>de</w:t>
      </w:r>
      <w:r>
        <w:rPr>
          <w:spacing w:val="-7"/>
        </w:rPr>
        <w:t xml:space="preserve"> </w:t>
      </w:r>
      <w:r>
        <w:t>los</w:t>
      </w:r>
      <w:r>
        <w:rPr>
          <w:spacing w:val="-6"/>
        </w:rPr>
        <w:t xml:space="preserve"> </w:t>
      </w:r>
      <w:r>
        <w:t>comandantes</w:t>
      </w:r>
      <w:r>
        <w:rPr>
          <w:spacing w:val="-6"/>
        </w:rPr>
        <w:t xml:space="preserve"> </w:t>
      </w:r>
      <w:r>
        <w:t>de</w:t>
      </w:r>
      <w:r>
        <w:rPr>
          <w:spacing w:val="-7"/>
        </w:rPr>
        <w:t xml:space="preserve"> </w:t>
      </w:r>
      <w:r>
        <w:t>la</w:t>
      </w:r>
      <w:r>
        <w:rPr>
          <w:spacing w:val="-6"/>
        </w:rPr>
        <w:t xml:space="preserve"> </w:t>
      </w:r>
      <w:r>
        <w:t>Policía</w:t>
      </w:r>
      <w:r>
        <w:rPr>
          <w:spacing w:val="-6"/>
        </w:rPr>
        <w:t xml:space="preserve"> </w:t>
      </w:r>
      <w:r>
        <w:t>Nacional</w:t>
      </w:r>
      <w:r>
        <w:rPr>
          <w:spacing w:val="-6"/>
        </w:rPr>
        <w:t xml:space="preserve"> </w:t>
      </w:r>
      <w:r>
        <w:t>estuvieron</w:t>
      </w:r>
      <w:r>
        <w:rPr>
          <w:spacing w:val="-6"/>
        </w:rPr>
        <w:t xml:space="preserve"> </w:t>
      </w:r>
      <w:r>
        <w:t>al</w:t>
      </w:r>
      <w:r>
        <w:rPr>
          <w:spacing w:val="-6"/>
        </w:rPr>
        <w:t xml:space="preserve"> </w:t>
      </w:r>
      <w:r>
        <w:t>servicio</w:t>
      </w:r>
      <w:r>
        <w:rPr>
          <w:spacing w:val="-6"/>
        </w:rPr>
        <w:t xml:space="preserve"> </w:t>
      </w:r>
      <w:r>
        <w:t>del</w:t>
      </w:r>
      <w:r>
        <w:rPr>
          <w:spacing w:val="-6"/>
        </w:rPr>
        <w:t xml:space="preserve"> </w:t>
      </w:r>
      <w:r>
        <w:t>narcotráfico». Lo</w:t>
      </w:r>
      <w:r>
        <w:rPr>
          <w:spacing w:val="-7"/>
        </w:rPr>
        <w:t xml:space="preserve"> </w:t>
      </w:r>
      <w:r>
        <w:t>mismo</w:t>
      </w:r>
      <w:r>
        <w:rPr>
          <w:spacing w:val="-6"/>
        </w:rPr>
        <w:t xml:space="preserve"> </w:t>
      </w:r>
      <w:r>
        <w:t>ocurrió,</w:t>
      </w:r>
      <w:r>
        <w:rPr>
          <w:spacing w:val="-5"/>
        </w:rPr>
        <w:t xml:space="preserve"> </w:t>
      </w:r>
      <w:r>
        <w:lastRenderedPageBreak/>
        <w:t>según</w:t>
      </w:r>
      <w:r>
        <w:rPr>
          <w:spacing w:val="-5"/>
        </w:rPr>
        <w:t xml:space="preserve"> </w:t>
      </w:r>
      <w:r>
        <w:t>el</w:t>
      </w:r>
      <w:r>
        <w:rPr>
          <w:spacing w:val="-3"/>
        </w:rPr>
        <w:t xml:space="preserve"> </w:t>
      </w:r>
      <w:r>
        <w:t>testimonio,</w:t>
      </w:r>
      <w:r>
        <w:rPr>
          <w:spacing w:val="-5"/>
        </w:rPr>
        <w:t xml:space="preserve"> </w:t>
      </w:r>
      <w:r>
        <w:t>con</w:t>
      </w:r>
      <w:r>
        <w:rPr>
          <w:spacing w:val="-5"/>
        </w:rPr>
        <w:t xml:space="preserve"> </w:t>
      </w:r>
      <w:r>
        <w:t>el</w:t>
      </w:r>
      <w:r>
        <w:rPr>
          <w:spacing w:val="-5"/>
        </w:rPr>
        <w:t xml:space="preserve"> </w:t>
      </w:r>
      <w:r>
        <w:t>DAS:</w:t>
      </w:r>
      <w:r>
        <w:rPr>
          <w:spacing w:val="-4"/>
        </w:rPr>
        <w:t xml:space="preserve"> </w:t>
      </w:r>
      <w:r>
        <w:t>«también</w:t>
      </w:r>
      <w:r>
        <w:rPr>
          <w:spacing w:val="-4"/>
        </w:rPr>
        <w:t xml:space="preserve"> </w:t>
      </w:r>
      <w:r>
        <w:t>vinculado</w:t>
      </w:r>
      <w:r>
        <w:rPr>
          <w:spacing w:val="-5"/>
        </w:rPr>
        <w:t xml:space="preserve"> </w:t>
      </w:r>
      <w:r>
        <w:t>al</w:t>
      </w:r>
      <w:r>
        <w:rPr>
          <w:spacing w:val="-3"/>
        </w:rPr>
        <w:t xml:space="preserve"> </w:t>
      </w:r>
      <w:r>
        <w:rPr>
          <w:spacing w:val="-2"/>
        </w:rPr>
        <w:t>narcotráfico»</w:t>
      </w:r>
      <w:r w:rsidR="00FC1969">
        <w:rPr>
          <w:rStyle w:val="Refdenotaalpie"/>
          <w:spacing w:val="-2"/>
        </w:rPr>
        <w:footnoteReference w:id="583"/>
      </w:r>
      <w:r>
        <w:rPr>
          <w:spacing w:val="-2"/>
        </w:rPr>
        <w:t>.</w:t>
      </w:r>
    </w:p>
    <w:p w:rsidR="003804AC" w:rsidRDefault="00AF18A5" w:rsidP="00FC1969">
      <w:r>
        <w:t>El</w:t>
      </w:r>
      <w:r>
        <w:rPr>
          <w:spacing w:val="-15"/>
        </w:rPr>
        <w:t xml:space="preserve"> </w:t>
      </w:r>
      <w:r>
        <w:t>testimonio</w:t>
      </w:r>
      <w:r>
        <w:rPr>
          <w:spacing w:val="-15"/>
        </w:rPr>
        <w:t xml:space="preserve"> </w:t>
      </w:r>
      <w:r>
        <w:t>de</w:t>
      </w:r>
      <w:r>
        <w:rPr>
          <w:spacing w:val="-14"/>
        </w:rPr>
        <w:t xml:space="preserve"> </w:t>
      </w:r>
      <w:r>
        <w:t>un</w:t>
      </w:r>
      <w:r>
        <w:rPr>
          <w:spacing w:val="-15"/>
        </w:rPr>
        <w:t xml:space="preserve"> </w:t>
      </w:r>
      <w:r>
        <w:t>mayor</w:t>
      </w:r>
      <w:r>
        <w:rPr>
          <w:spacing w:val="-15"/>
        </w:rPr>
        <w:t xml:space="preserve"> </w:t>
      </w:r>
      <w:r>
        <w:t>retirado</w:t>
      </w:r>
      <w:r>
        <w:rPr>
          <w:spacing w:val="-14"/>
        </w:rPr>
        <w:t xml:space="preserve"> </w:t>
      </w:r>
      <w:r>
        <w:t>del</w:t>
      </w:r>
      <w:r>
        <w:rPr>
          <w:spacing w:val="-15"/>
        </w:rPr>
        <w:t xml:space="preserve"> </w:t>
      </w:r>
      <w:r>
        <w:t>Ejército</w:t>
      </w:r>
      <w:r>
        <w:rPr>
          <w:spacing w:val="-15"/>
        </w:rPr>
        <w:t xml:space="preserve"> </w:t>
      </w:r>
      <w:r>
        <w:t>que</w:t>
      </w:r>
      <w:r>
        <w:rPr>
          <w:spacing w:val="-14"/>
        </w:rPr>
        <w:t xml:space="preserve"> </w:t>
      </w:r>
      <w:r>
        <w:t>ofició</w:t>
      </w:r>
      <w:r>
        <w:rPr>
          <w:spacing w:val="-15"/>
        </w:rPr>
        <w:t xml:space="preserve"> </w:t>
      </w:r>
      <w:r>
        <w:t>como</w:t>
      </w:r>
      <w:r>
        <w:rPr>
          <w:spacing w:val="-15"/>
        </w:rPr>
        <w:t xml:space="preserve"> </w:t>
      </w:r>
      <w:r>
        <w:t>lugarteniente</w:t>
      </w:r>
      <w:r>
        <w:rPr>
          <w:spacing w:val="-14"/>
        </w:rPr>
        <w:t xml:space="preserve"> </w:t>
      </w:r>
      <w:r>
        <w:t>de</w:t>
      </w:r>
      <w:r>
        <w:rPr>
          <w:spacing w:val="-15"/>
        </w:rPr>
        <w:t xml:space="preserve"> </w:t>
      </w:r>
      <w:r>
        <w:t>alias</w:t>
      </w:r>
      <w:r>
        <w:rPr>
          <w:spacing w:val="-15"/>
        </w:rPr>
        <w:t xml:space="preserve"> </w:t>
      </w:r>
      <w:r>
        <w:t>Don Diego,</w:t>
      </w:r>
      <w:r>
        <w:rPr>
          <w:spacing w:val="-4"/>
        </w:rPr>
        <w:t xml:space="preserve"> </w:t>
      </w:r>
      <w:r>
        <w:t>capo</w:t>
      </w:r>
      <w:r>
        <w:rPr>
          <w:spacing w:val="-4"/>
        </w:rPr>
        <w:t xml:space="preserve"> </w:t>
      </w:r>
      <w:r>
        <w:t>del</w:t>
      </w:r>
      <w:r>
        <w:rPr>
          <w:spacing w:val="-3"/>
        </w:rPr>
        <w:t xml:space="preserve"> </w:t>
      </w:r>
      <w:r>
        <w:t>Cartel</w:t>
      </w:r>
      <w:r>
        <w:rPr>
          <w:spacing w:val="-3"/>
        </w:rPr>
        <w:t xml:space="preserve"> </w:t>
      </w:r>
      <w:r>
        <w:t>del</w:t>
      </w:r>
      <w:r>
        <w:rPr>
          <w:spacing w:val="-3"/>
        </w:rPr>
        <w:t xml:space="preserve"> </w:t>
      </w:r>
      <w:r>
        <w:t>Norte</w:t>
      </w:r>
      <w:r>
        <w:rPr>
          <w:spacing w:val="-3"/>
        </w:rPr>
        <w:t xml:space="preserve"> </w:t>
      </w:r>
      <w:r>
        <w:t>del</w:t>
      </w:r>
      <w:r>
        <w:rPr>
          <w:spacing w:val="-4"/>
        </w:rPr>
        <w:t xml:space="preserve"> </w:t>
      </w:r>
      <w:r>
        <w:t>Valle,</w:t>
      </w:r>
      <w:r>
        <w:rPr>
          <w:spacing w:val="-4"/>
        </w:rPr>
        <w:t xml:space="preserve"> </w:t>
      </w:r>
      <w:r>
        <w:t>y</w:t>
      </w:r>
      <w:r>
        <w:rPr>
          <w:spacing w:val="-4"/>
        </w:rPr>
        <w:t xml:space="preserve"> </w:t>
      </w:r>
      <w:r>
        <w:t>que</w:t>
      </w:r>
      <w:r>
        <w:rPr>
          <w:spacing w:val="-3"/>
        </w:rPr>
        <w:t xml:space="preserve"> </w:t>
      </w:r>
      <w:r>
        <w:t>fungió</w:t>
      </w:r>
      <w:r>
        <w:rPr>
          <w:spacing w:val="-4"/>
        </w:rPr>
        <w:t xml:space="preserve"> </w:t>
      </w:r>
      <w:r>
        <w:t>como</w:t>
      </w:r>
      <w:r>
        <w:rPr>
          <w:spacing w:val="-5"/>
        </w:rPr>
        <w:t xml:space="preserve"> </w:t>
      </w:r>
      <w:r>
        <w:t>jefe</w:t>
      </w:r>
      <w:r>
        <w:rPr>
          <w:spacing w:val="-3"/>
        </w:rPr>
        <w:t xml:space="preserve"> </w:t>
      </w:r>
      <w:r>
        <w:t>de</w:t>
      </w:r>
      <w:r>
        <w:rPr>
          <w:spacing w:val="-3"/>
        </w:rPr>
        <w:t xml:space="preserve"> </w:t>
      </w:r>
      <w:r>
        <w:t>la</w:t>
      </w:r>
      <w:r>
        <w:rPr>
          <w:spacing w:val="-3"/>
        </w:rPr>
        <w:t xml:space="preserve"> </w:t>
      </w:r>
      <w:r>
        <w:t>banda</w:t>
      </w:r>
      <w:r>
        <w:rPr>
          <w:spacing w:val="-3"/>
        </w:rPr>
        <w:t xml:space="preserve"> </w:t>
      </w:r>
      <w:r>
        <w:t>Los</w:t>
      </w:r>
      <w:r>
        <w:rPr>
          <w:spacing w:val="-3"/>
        </w:rPr>
        <w:t xml:space="preserve"> </w:t>
      </w:r>
      <w:r>
        <w:t>Machos, afirmó</w:t>
      </w:r>
      <w:r>
        <w:rPr>
          <w:spacing w:val="-4"/>
        </w:rPr>
        <w:t xml:space="preserve"> </w:t>
      </w:r>
      <w:r>
        <w:t>que,</w:t>
      </w:r>
      <w:r>
        <w:rPr>
          <w:spacing w:val="-5"/>
        </w:rPr>
        <w:t xml:space="preserve"> </w:t>
      </w:r>
      <w:r>
        <w:t>tras</w:t>
      </w:r>
      <w:r>
        <w:rPr>
          <w:spacing w:val="-5"/>
        </w:rPr>
        <w:t xml:space="preserve"> </w:t>
      </w:r>
      <w:r>
        <w:t>los</w:t>
      </w:r>
      <w:r>
        <w:rPr>
          <w:spacing w:val="-4"/>
        </w:rPr>
        <w:t xml:space="preserve"> </w:t>
      </w:r>
      <w:r>
        <w:t>ataques</w:t>
      </w:r>
      <w:r>
        <w:rPr>
          <w:spacing w:val="-3"/>
        </w:rPr>
        <w:t xml:space="preserve"> </w:t>
      </w:r>
      <w:r>
        <w:t>contra</w:t>
      </w:r>
      <w:r>
        <w:rPr>
          <w:spacing w:val="-3"/>
        </w:rPr>
        <w:t xml:space="preserve"> </w:t>
      </w:r>
      <w:r>
        <w:t>cuarteles</w:t>
      </w:r>
      <w:r>
        <w:rPr>
          <w:spacing w:val="-3"/>
        </w:rPr>
        <w:t xml:space="preserve"> </w:t>
      </w:r>
      <w:r>
        <w:t>militares</w:t>
      </w:r>
      <w:r>
        <w:rPr>
          <w:spacing w:val="-5"/>
        </w:rPr>
        <w:t xml:space="preserve"> </w:t>
      </w:r>
      <w:r>
        <w:t>cometidos</w:t>
      </w:r>
      <w:r>
        <w:rPr>
          <w:spacing w:val="-4"/>
        </w:rPr>
        <w:t xml:space="preserve"> </w:t>
      </w:r>
      <w:r>
        <w:t>por</w:t>
      </w:r>
      <w:r>
        <w:rPr>
          <w:spacing w:val="-3"/>
        </w:rPr>
        <w:t xml:space="preserve"> </w:t>
      </w:r>
      <w:r>
        <w:t>las</w:t>
      </w:r>
      <w:r>
        <w:rPr>
          <w:spacing w:val="-5"/>
        </w:rPr>
        <w:t xml:space="preserve"> </w:t>
      </w:r>
      <w:r>
        <w:t>FARC-EP</w:t>
      </w:r>
      <w:r>
        <w:rPr>
          <w:spacing w:val="-3"/>
        </w:rPr>
        <w:t xml:space="preserve"> </w:t>
      </w:r>
      <w:r>
        <w:t>–como</w:t>
      </w:r>
      <w:r>
        <w:rPr>
          <w:spacing w:val="-4"/>
        </w:rPr>
        <w:t xml:space="preserve"> </w:t>
      </w:r>
      <w:r>
        <w:t>el de</w:t>
      </w:r>
      <w:r>
        <w:rPr>
          <w:spacing w:val="-6"/>
        </w:rPr>
        <w:t xml:space="preserve"> </w:t>
      </w:r>
      <w:r>
        <w:t>La</w:t>
      </w:r>
      <w:r>
        <w:rPr>
          <w:spacing w:val="-6"/>
        </w:rPr>
        <w:t xml:space="preserve"> </w:t>
      </w:r>
      <w:r>
        <w:t>Carpa,</w:t>
      </w:r>
      <w:r>
        <w:rPr>
          <w:spacing w:val="-7"/>
        </w:rPr>
        <w:t xml:space="preserve"> </w:t>
      </w:r>
      <w:r>
        <w:t>El</w:t>
      </w:r>
      <w:r>
        <w:rPr>
          <w:spacing w:val="-5"/>
        </w:rPr>
        <w:t xml:space="preserve"> </w:t>
      </w:r>
      <w:r>
        <w:t>Billar</w:t>
      </w:r>
      <w:r>
        <w:rPr>
          <w:spacing w:val="-5"/>
        </w:rPr>
        <w:t xml:space="preserve"> </w:t>
      </w:r>
      <w:r>
        <w:t>y</w:t>
      </w:r>
      <w:r>
        <w:rPr>
          <w:spacing w:val="-7"/>
        </w:rPr>
        <w:t xml:space="preserve"> </w:t>
      </w:r>
      <w:proofErr w:type="spellStart"/>
      <w:r>
        <w:t>Patascoy</w:t>
      </w:r>
      <w:proofErr w:type="spellEnd"/>
      <w:r>
        <w:t>–,</w:t>
      </w:r>
      <w:r>
        <w:rPr>
          <w:spacing w:val="-7"/>
        </w:rPr>
        <w:t xml:space="preserve"> </w:t>
      </w:r>
      <w:r>
        <w:t>los</w:t>
      </w:r>
      <w:r>
        <w:rPr>
          <w:spacing w:val="-6"/>
        </w:rPr>
        <w:t xml:space="preserve"> </w:t>
      </w:r>
      <w:r>
        <w:t>narcotraficantes</w:t>
      </w:r>
      <w:r>
        <w:rPr>
          <w:spacing w:val="-6"/>
        </w:rPr>
        <w:t xml:space="preserve"> </w:t>
      </w:r>
      <w:r>
        <w:t>decidieron</w:t>
      </w:r>
      <w:r>
        <w:rPr>
          <w:spacing w:val="-6"/>
        </w:rPr>
        <w:t xml:space="preserve"> </w:t>
      </w:r>
      <w:r>
        <w:t>afianzar</w:t>
      </w:r>
      <w:r>
        <w:rPr>
          <w:spacing w:val="-5"/>
        </w:rPr>
        <w:t xml:space="preserve"> </w:t>
      </w:r>
      <w:r>
        <w:t>sus</w:t>
      </w:r>
      <w:r>
        <w:rPr>
          <w:spacing w:val="-6"/>
        </w:rPr>
        <w:t xml:space="preserve"> </w:t>
      </w:r>
      <w:r>
        <w:t>vínculos</w:t>
      </w:r>
      <w:r>
        <w:rPr>
          <w:spacing w:val="-6"/>
        </w:rPr>
        <w:t xml:space="preserve"> </w:t>
      </w:r>
      <w:r>
        <w:t>con los paramilitares en los Llanos. Esto también ocurrió a raíz de la presión del gobierno por tener resultados y de su sistema de recompensas. Un exmilitar se refirió a las misiones antinarcóticos en el Putumayo a principios de la década del dos mil:</w:t>
      </w:r>
    </w:p>
    <w:p w:rsidR="003804AC" w:rsidRDefault="00AF18A5" w:rsidP="00FC1969">
      <w:r>
        <w:t>«No,</w:t>
      </w:r>
      <w:r>
        <w:rPr>
          <w:spacing w:val="-5"/>
        </w:rPr>
        <w:t xml:space="preserve"> </w:t>
      </w:r>
      <w:r>
        <w:t>es</w:t>
      </w:r>
      <w:r>
        <w:rPr>
          <w:spacing w:val="-5"/>
        </w:rPr>
        <w:t xml:space="preserve"> </w:t>
      </w:r>
      <w:r>
        <w:t>que</w:t>
      </w:r>
      <w:r>
        <w:rPr>
          <w:spacing w:val="-3"/>
        </w:rPr>
        <w:t xml:space="preserve"> </w:t>
      </w:r>
      <w:r>
        <w:t>los</w:t>
      </w:r>
      <w:r>
        <w:rPr>
          <w:spacing w:val="-5"/>
        </w:rPr>
        <w:t xml:space="preserve"> </w:t>
      </w:r>
      <w:r>
        <w:t>gringos</w:t>
      </w:r>
      <w:r>
        <w:rPr>
          <w:spacing w:val="-6"/>
        </w:rPr>
        <w:t xml:space="preserve"> </w:t>
      </w:r>
      <w:r>
        <w:t>necesitan</w:t>
      </w:r>
      <w:r>
        <w:rPr>
          <w:spacing w:val="-5"/>
        </w:rPr>
        <w:t xml:space="preserve"> </w:t>
      </w:r>
      <w:r>
        <w:t>el</w:t>
      </w:r>
      <w:r>
        <w:rPr>
          <w:spacing w:val="-6"/>
        </w:rPr>
        <w:t xml:space="preserve"> </w:t>
      </w:r>
      <w:r>
        <w:t>muerto</w:t>
      </w:r>
      <w:r>
        <w:rPr>
          <w:spacing w:val="-5"/>
        </w:rPr>
        <w:t xml:space="preserve"> </w:t>
      </w:r>
      <w:r>
        <w:t>ahí,</w:t>
      </w:r>
      <w:r>
        <w:rPr>
          <w:spacing w:val="-6"/>
        </w:rPr>
        <w:t xml:space="preserve"> </w:t>
      </w:r>
      <w:r>
        <w:t>el</w:t>
      </w:r>
      <w:r>
        <w:rPr>
          <w:spacing w:val="-4"/>
        </w:rPr>
        <w:t xml:space="preserve"> </w:t>
      </w:r>
      <w:r>
        <w:t>filo</w:t>
      </w:r>
      <w:r>
        <w:rPr>
          <w:spacing w:val="-5"/>
        </w:rPr>
        <w:t xml:space="preserve"> </w:t>
      </w:r>
      <w:r>
        <w:t>de</w:t>
      </w:r>
      <w:r>
        <w:rPr>
          <w:spacing w:val="-5"/>
        </w:rPr>
        <w:t xml:space="preserve"> </w:t>
      </w:r>
      <w:r>
        <w:t>coca</w:t>
      </w:r>
      <w:r>
        <w:rPr>
          <w:spacing w:val="-5"/>
        </w:rPr>
        <w:t xml:space="preserve"> </w:t>
      </w:r>
      <w:r>
        <w:t>en</w:t>
      </w:r>
      <w:r>
        <w:rPr>
          <w:spacing w:val="-5"/>
        </w:rPr>
        <w:t xml:space="preserve"> </w:t>
      </w:r>
      <w:r>
        <w:t>el</w:t>
      </w:r>
      <w:r>
        <w:rPr>
          <w:spacing w:val="-4"/>
        </w:rPr>
        <w:t xml:space="preserve"> </w:t>
      </w:r>
      <w:r>
        <w:t>bolsillo,</w:t>
      </w:r>
      <w:r>
        <w:rPr>
          <w:spacing w:val="-5"/>
        </w:rPr>
        <w:t xml:space="preserve"> </w:t>
      </w:r>
      <w:r>
        <w:t>a</w:t>
      </w:r>
      <w:r>
        <w:rPr>
          <w:spacing w:val="-5"/>
        </w:rPr>
        <w:t xml:space="preserve"> </w:t>
      </w:r>
      <w:r>
        <w:t>diez</w:t>
      </w:r>
      <w:r>
        <w:rPr>
          <w:spacing w:val="-5"/>
        </w:rPr>
        <w:t xml:space="preserve"> </w:t>
      </w:r>
      <w:r>
        <w:t>pasos la cocina y a cincuenta metros el laboratorio para justificar que las FARC no se estaban viendo</w:t>
      </w:r>
      <w:r>
        <w:rPr>
          <w:spacing w:val="23"/>
        </w:rPr>
        <w:t xml:space="preserve"> </w:t>
      </w:r>
      <w:r>
        <w:t>beneficiados</w:t>
      </w:r>
      <w:r>
        <w:rPr>
          <w:spacing w:val="26"/>
        </w:rPr>
        <w:t xml:space="preserve"> </w:t>
      </w:r>
      <w:r>
        <w:t>del</w:t>
      </w:r>
      <w:r>
        <w:rPr>
          <w:spacing w:val="24"/>
        </w:rPr>
        <w:t xml:space="preserve"> </w:t>
      </w:r>
      <w:r>
        <w:t>gramaje,</w:t>
      </w:r>
      <w:r>
        <w:rPr>
          <w:spacing w:val="26"/>
        </w:rPr>
        <w:t xml:space="preserve"> </w:t>
      </w:r>
      <w:r>
        <w:t>sino</w:t>
      </w:r>
      <w:r>
        <w:rPr>
          <w:spacing w:val="25"/>
        </w:rPr>
        <w:t xml:space="preserve"> </w:t>
      </w:r>
      <w:r>
        <w:t>que</w:t>
      </w:r>
      <w:r>
        <w:rPr>
          <w:spacing w:val="26"/>
        </w:rPr>
        <w:t xml:space="preserve"> </w:t>
      </w:r>
      <w:r>
        <w:t>las</w:t>
      </w:r>
      <w:r>
        <w:rPr>
          <w:spacing w:val="25"/>
        </w:rPr>
        <w:t xml:space="preserve"> </w:t>
      </w:r>
      <w:r>
        <w:t>FARC</w:t>
      </w:r>
      <w:r>
        <w:rPr>
          <w:spacing w:val="26"/>
        </w:rPr>
        <w:t xml:space="preserve"> </w:t>
      </w:r>
      <w:r>
        <w:t>eran</w:t>
      </w:r>
      <w:r>
        <w:rPr>
          <w:spacing w:val="26"/>
        </w:rPr>
        <w:t xml:space="preserve"> </w:t>
      </w:r>
      <w:r>
        <w:t>narcoterroristas,</w:t>
      </w:r>
      <w:r>
        <w:rPr>
          <w:spacing w:val="25"/>
        </w:rPr>
        <w:t xml:space="preserve"> </w:t>
      </w:r>
      <w:r>
        <w:t>tenían</w:t>
      </w:r>
      <w:r>
        <w:rPr>
          <w:spacing w:val="26"/>
        </w:rPr>
        <w:t xml:space="preserve"> </w:t>
      </w:r>
      <w:r>
        <w:t>todo</w:t>
      </w:r>
      <w:r>
        <w:rPr>
          <w:spacing w:val="26"/>
        </w:rPr>
        <w:t xml:space="preserve"> </w:t>
      </w:r>
      <w:r>
        <w:rPr>
          <w:spacing w:val="-5"/>
        </w:rPr>
        <w:t>el</w:t>
      </w:r>
      <w:bookmarkStart w:id="755" w:name="_bookmark645"/>
      <w:bookmarkEnd w:id="755"/>
      <w:r w:rsidR="00FC1969">
        <w:rPr>
          <w:spacing w:val="-5"/>
        </w:rPr>
        <w:t xml:space="preserve"> </w:t>
      </w:r>
      <w:r>
        <w:t>complejo</w:t>
      </w:r>
      <w:r>
        <w:rPr>
          <w:spacing w:val="-13"/>
        </w:rPr>
        <w:t xml:space="preserve"> </w:t>
      </w:r>
      <w:r>
        <w:t>y</w:t>
      </w:r>
      <w:r>
        <w:rPr>
          <w:spacing w:val="-14"/>
        </w:rPr>
        <w:t xml:space="preserve"> </w:t>
      </w:r>
      <w:r>
        <w:t>toda</w:t>
      </w:r>
      <w:r>
        <w:rPr>
          <w:spacing w:val="-13"/>
        </w:rPr>
        <w:t xml:space="preserve"> </w:t>
      </w:r>
      <w:r>
        <w:t>la</w:t>
      </w:r>
      <w:r>
        <w:rPr>
          <w:spacing w:val="-14"/>
        </w:rPr>
        <w:t xml:space="preserve"> </w:t>
      </w:r>
      <w:r>
        <w:t>cadena</w:t>
      </w:r>
      <w:r>
        <w:rPr>
          <w:spacing w:val="-13"/>
        </w:rPr>
        <w:t xml:space="preserve"> </w:t>
      </w:r>
      <w:r>
        <w:t>de</w:t>
      </w:r>
      <w:r>
        <w:rPr>
          <w:spacing w:val="-13"/>
        </w:rPr>
        <w:t xml:space="preserve"> </w:t>
      </w:r>
      <w:r>
        <w:t>sembrado,</w:t>
      </w:r>
      <w:r>
        <w:rPr>
          <w:spacing w:val="-13"/>
        </w:rPr>
        <w:t xml:space="preserve"> </w:t>
      </w:r>
      <w:r>
        <w:t>procesamiento</w:t>
      </w:r>
      <w:r>
        <w:rPr>
          <w:spacing w:val="-13"/>
        </w:rPr>
        <w:t xml:space="preserve"> </w:t>
      </w:r>
      <w:r>
        <w:t>y</w:t>
      </w:r>
      <w:r>
        <w:rPr>
          <w:spacing w:val="-14"/>
        </w:rPr>
        <w:t xml:space="preserve"> </w:t>
      </w:r>
      <w:r>
        <w:t>exportación</w:t>
      </w:r>
      <w:r>
        <w:rPr>
          <w:spacing w:val="-13"/>
        </w:rPr>
        <w:t xml:space="preserve"> </w:t>
      </w:r>
      <w:r>
        <w:t>de</w:t>
      </w:r>
      <w:r>
        <w:rPr>
          <w:spacing w:val="-14"/>
        </w:rPr>
        <w:t xml:space="preserve"> </w:t>
      </w:r>
      <w:r>
        <w:t>la</w:t>
      </w:r>
      <w:r>
        <w:rPr>
          <w:spacing w:val="-14"/>
        </w:rPr>
        <w:t xml:space="preserve"> </w:t>
      </w:r>
      <w:r>
        <w:t>hoja</w:t>
      </w:r>
      <w:r>
        <w:rPr>
          <w:spacing w:val="-14"/>
        </w:rPr>
        <w:t xml:space="preserve"> </w:t>
      </w:r>
      <w:r>
        <w:t>de</w:t>
      </w:r>
      <w:r>
        <w:rPr>
          <w:spacing w:val="-13"/>
        </w:rPr>
        <w:t xml:space="preserve"> </w:t>
      </w:r>
      <w:r>
        <w:t>coca,</w:t>
      </w:r>
      <w:r>
        <w:rPr>
          <w:spacing w:val="-13"/>
        </w:rPr>
        <w:t xml:space="preserve"> </w:t>
      </w:r>
      <w:r>
        <w:t>para justificar los dineros que estaban entrando del Plan Colombia»</w:t>
      </w:r>
      <w:r w:rsidR="00FC1969">
        <w:rPr>
          <w:rStyle w:val="Refdenotaalpie"/>
        </w:rPr>
        <w:footnoteReference w:id="584"/>
      </w:r>
      <w:r>
        <w:t>.</w:t>
      </w:r>
    </w:p>
    <w:p w:rsidR="003804AC" w:rsidRDefault="00AF18A5" w:rsidP="00FC1969">
      <w:r>
        <w:t>La</w:t>
      </w:r>
      <w:r>
        <w:rPr>
          <w:spacing w:val="-3"/>
        </w:rPr>
        <w:t xml:space="preserve"> </w:t>
      </w:r>
      <w:r>
        <w:t>participación</w:t>
      </w:r>
      <w:r>
        <w:rPr>
          <w:spacing w:val="-3"/>
        </w:rPr>
        <w:t xml:space="preserve"> </w:t>
      </w:r>
      <w:r>
        <w:t>de</w:t>
      </w:r>
      <w:r>
        <w:rPr>
          <w:spacing w:val="-3"/>
        </w:rPr>
        <w:t xml:space="preserve"> </w:t>
      </w:r>
      <w:r>
        <w:t>sectores</w:t>
      </w:r>
      <w:r>
        <w:rPr>
          <w:spacing w:val="-3"/>
        </w:rPr>
        <w:t xml:space="preserve"> </w:t>
      </w:r>
      <w:r>
        <w:t>del</w:t>
      </w:r>
      <w:r>
        <w:rPr>
          <w:spacing w:val="-3"/>
        </w:rPr>
        <w:t xml:space="preserve"> </w:t>
      </w:r>
      <w:r>
        <w:t>Ejército</w:t>
      </w:r>
      <w:r>
        <w:rPr>
          <w:spacing w:val="-3"/>
        </w:rPr>
        <w:t xml:space="preserve"> </w:t>
      </w:r>
      <w:r>
        <w:t>en</w:t>
      </w:r>
      <w:r>
        <w:rPr>
          <w:spacing w:val="-5"/>
        </w:rPr>
        <w:t xml:space="preserve"> </w:t>
      </w:r>
      <w:r>
        <w:t>el</w:t>
      </w:r>
      <w:r>
        <w:rPr>
          <w:spacing w:val="-3"/>
        </w:rPr>
        <w:t xml:space="preserve"> </w:t>
      </w:r>
      <w:r>
        <w:t>narcotráfico</w:t>
      </w:r>
      <w:r>
        <w:rPr>
          <w:spacing w:val="-3"/>
        </w:rPr>
        <w:t xml:space="preserve"> </w:t>
      </w:r>
      <w:r>
        <w:t>también</w:t>
      </w:r>
      <w:r>
        <w:rPr>
          <w:spacing w:val="-3"/>
        </w:rPr>
        <w:t xml:space="preserve"> </w:t>
      </w:r>
      <w:r>
        <w:t>se</w:t>
      </w:r>
      <w:r>
        <w:rPr>
          <w:spacing w:val="-3"/>
        </w:rPr>
        <w:t xml:space="preserve"> </w:t>
      </w:r>
      <w:r>
        <w:t>hizo</w:t>
      </w:r>
      <w:r>
        <w:rPr>
          <w:spacing w:val="-3"/>
        </w:rPr>
        <w:t xml:space="preserve"> </w:t>
      </w:r>
      <w:r>
        <w:t>evidente</w:t>
      </w:r>
      <w:r>
        <w:rPr>
          <w:spacing w:val="-3"/>
        </w:rPr>
        <w:t xml:space="preserve"> </w:t>
      </w:r>
      <w:r>
        <w:t>en</w:t>
      </w:r>
      <w:r>
        <w:rPr>
          <w:spacing w:val="-3"/>
        </w:rPr>
        <w:t xml:space="preserve"> </w:t>
      </w:r>
      <w:r>
        <w:t>el caso de la masacre de Jamundí en 2006. El investigador de ese caso, un exfuncionario del CTI</w:t>
      </w:r>
      <w:r>
        <w:rPr>
          <w:spacing w:val="15"/>
        </w:rPr>
        <w:t xml:space="preserve"> </w:t>
      </w:r>
      <w:r>
        <w:t>que</w:t>
      </w:r>
      <w:r>
        <w:rPr>
          <w:spacing w:val="18"/>
        </w:rPr>
        <w:t xml:space="preserve"> </w:t>
      </w:r>
      <w:r>
        <w:t>se</w:t>
      </w:r>
      <w:r>
        <w:rPr>
          <w:spacing w:val="16"/>
        </w:rPr>
        <w:t xml:space="preserve"> </w:t>
      </w:r>
      <w:r>
        <w:t>encuentra</w:t>
      </w:r>
      <w:r>
        <w:rPr>
          <w:spacing w:val="18"/>
        </w:rPr>
        <w:t xml:space="preserve"> </w:t>
      </w:r>
      <w:r>
        <w:t>en</w:t>
      </w:r>
      <w:r>
        <w:rPr>
          <w:spacing w:val="18"/>
        </w:rPr>
        <w:t xml:space="preserve"> </w:t>
      </w:r>
      <w:r>
        <w:t>el</w:t>
      </w:r>
      <w:r>
        <w:rPr>
          <w:spacing w:val="17"/>
        </w:rPr>
        <w:t xml:space="preserve"> </w:t>
      </w:r>
      <w:r>
        <w:t>exilio,</w:t>
      </w:r>
      <w:r>
        <w:rPr>
          <w:spacing w:val="17"/>
        </w:rPr>
        <w:t xml:space="preserve"> </w:t>
      </w:r>
      <w:r>
        <w:t>investigó</w:t>
      </w:r>
      <w:r>
        <w:rPr>
          <w:spacing w:val="17"/>
        </w:rPr>
        <w:t xml:space="preserve"> </w:t>
      </w:r>
      <w:r>
        <w:t>lo</w:t>
      </w:r>
      <w:r>
        <w:rPr>
          <w:spacing w:val="15"/>
        </w:rPr>
        <w:t xml:space="preserve"> </w:t>
      </w:r>
      <w:r>
        <w:t>que</w:t>
      </w:r>
      <w:r>
        <w:rPr>
          <w:spacing w:val="18"/>
        </w:rPr>
        <w:t xml:space="preserve"> </w:t>
      </w:r>
      <w:r>
        <w:t>parecía</w:t>
      </w:r>
      <w:r>
        <w:rPr>
          <w:spacing w:val="16"/>
        </w:rPr>
        <w:t xml:space="preserve"> </w:t>
      </w:r>
      <w:r>
        <w:t>un</w:t>
      </w:r>
      <w:r>
        <w:rPr>
          <w:spacing w:val="18"/>
        </w:rPr>
        <w:t xml:space="preserve"> </w:t>
      </w:r>
      <w:r>
        <w:t>enfrentamiento</w:t>
      </w:r>
      <w:r>
        <w:rPr>
          <w:spacing w:val="18"/>
        </w:rPr>
        <w:t xml:space="preserve"> </w:t>
      </w:r>
      <w:r>
        <w:t>fortuito</w:t>
      </w:r>
      <w:r>
        <w:rPr>
          <w:spacing w:val="17"/>
        </w:rPr>
        <w:t xml:space="preserve"> </w:t>
      </w:r>
      <w:r>
        <w:rPr>
          <w:spacing w:val="-5"/>
        </w:rPr>
        <w:t>con</w:t>
      </w:r>
      <w:r w:rsidR="00FC1969">
        <w:t xml:space="preserve"> </w:t>
      </w:r>
      <w:r>
        <w:t>«fuego</w:t>
      </w:r>
      <w:r>
        <w:rPr>
          <w:spacing w:val="-5"/>
        </w:rPr>
        <w:t xml:space="preserve"> </w:t>
      </w:r>
      <w:r>
        <w:t>amigo»</w:t>
      </w:r>
      <w:r>
        <w:rPr>
          <w:spacing w:val="-5"/>
        </w:rPr>
        <w:t xml:space="preserve"> </w:t>
      </w:r>
      <w:r>
        <w:t>por</w:t>
      </w:r>
      <w:r>
        <w:rPr>
          <w:spacing w:val="-4"/>
        </w:rPr>
        <w:t xml:space="preserve"> </w:t>
      </w:r>
      <w:r>
        <w:t>parte</w:t>
      </w:r>
      <w:r>
        <w:rPr>
          <w:spacing w:val="-6"/>
        </w:rPr>
        <w:t xml:space="preserve"> </w:t>
      </w:r>
      <w:r>
        <w:t>de</w:t>
      </w:r>
      <w:r>
        <w:rPr>
          <w:spacing w:val="-4"/>
        </w:rPr>
        <w:t xml:space="preserve"> </w:t>
      </w:r>
      <w:r>
        <w:t>una</w:t>
      </w:r>
      <w:r>
        <w:rPr>
          <w:spacing w:val="-4"/>
        </w:rPr>
        <w:t xml:space="preserve"> </w:t>
      </w:r>
      <w:r>
        <w:t>patrulla</w:t>
      </w:r>
      <w:r>
        <w:rPr>
          <w:spacing w:val="-4"/>
        </w:rPr>
        <w:t xml:space="preserve"> </w:t>
      </w:r>
      <w:r>
        <w:t>del</w:t>
      </w:r>
      <w:r>
        <w:rPr>
          <w:spacing w:val="-4"/>
        </w:rPr>
        <w:t xml:space="preserve"> </w:t>
      </w:r>
      <w:r>
        <w:t>Ejército,</w:t>
      </w:r>
      <w:r>
        <w:rPr>
          <w:spacing w:val="-5"/>
        </w:rPr>
        <w:t xml:space="preserve"> </w:t>
      </w:r>
      <w:r>
        <w:t>supuestamente</w:t>
      </w:r>
      <w:r>
        <w:rPr>
          <w:spacing w:val="-4"/>
        </w:rPr>
        <w:t xml:space="preserve"> </w:t>
      </w:r>
      <w:r>
        <w:t>por</w:t>
      </w:r>
      <w:r>
        <w:rPr>
          <w:spacing w:val="-4"/>
        </w:rPr>
        <w:t xml:space="preserve"> </w:t>
      </w:r>
      <w:r>
        <w:t>haber</w:t>
      </w:r>
      <w:r>
        <w:rPr>
          <w:spacing w:val="-4"/>
        </w:rPr>
        <w:t xml:space="preserve"> </w:t>
      </w:r>
      <w:r>
        <w:t>confundido</w:t>
      </w:r>
      <w:r>
        <w:rPr>
          <w:spacing w:val="-5"/>
        </w:rPr>
        <w:t xml:space="preserve"> </w:t>
      </w:r>
      <w:r>
        <w:t>a policías con narcotraficantes, cuando en realidad se trató de un «falso positivo». Su investigación le costó amenazas, el traslado a otros lugares de forma forzada, se le privó de su</w:t>
      </w:r>
      <w:r>
        <w:rPr>
          <w:spacing w:val="-15"/>
        </w:rPr>
        <w:t xml:space="preserve"> </w:t>
      </w:r>
      <w:r>
        <w:t>protección</w:t>
      </w:r>
      <w:r>
        <w:rPr>
          <w:spacing w:val="-15"/>
        </w:rPr>
        <w:t xml:space="preserve"> </w:t>
      </w:r>
      <w:r>
        <w:t>y,</w:t>
      </w:r>
      <w:r>
        <w:rPr>
          <w:spacing w:val="-15"/>
        </w:rPr>
        <w:t xml:space="preserve"> </w:t>
      </w:r>
      <w:r>
        <w:t>tras</w:t>
      </w:r>
      <w:r>
        <w:rPr>
          <w:spacing w:val="-15"/>
        </w:rPr>
        <w:t xml:space="preserve"> </w:t>
      </w:r>
      <w:r>
        <w:t>sufrir</w:t>
      </w:r>
      <w:r>
        <w:rPr>
          <w:spacing w:val="-14"/>
        </w:rPr>
        <w:t xml:space="preserve"> </w:t>
      </w:r>
      <w:r>
        <w:lastRenderedPageBreak/>
        <w:t>un</w:t>
      </w:r>
      <w:r>
        <w:rPr>
          <w:spacing w:val="-15"/>
        </w:rPr>
        <w:t xml:space="preserve"> </w:t>
      </w:r>
      <w:r>
        <w:t>atentado,</w:t>
      </w:r>
      <w:r>
        <w:rPr>
          <w:spacing w:val="-15"/>
        </w:rPr>
        <w:t xml:space="preserve"> </w:t>
      </w:r>
      <w:r>
        <w:t>tuvo</w:t>
      </w:r>
      <w:r>
        <w:rPr>
          <w:spacing w:val="-15"/>
        </w:rPr>
        <w:t xml:space="preserve"> </w:t>
      </w:r>
      <w:r>
        <w:t>que</w:t>
      </w:r>
      <w:r>
        <w:rPr>
          <w:spacing w:val="-15"/>
        </w:rPr>
        <w:t xml:space="preserve"> </w:t>
      </w:r>
      <w:r>
        <w:t>salir</w:t>
      </w:r>
      <w:r>
        <w:rPr>
          <w:spacing w:val="-14"/>
        </w:rPr>
        <w:t xml:space="preserve"> </w:t>
      </w:r>
      <w:r>
        <w:t>del</w:t>
      </w:r>
      <w:r>
        <w:rPr>
          <w:spacing w:val="-15"/>
        </w:rPr>
        <w:t xml:space="preserve"> </w:t>
      </w:r>
      <w:r>
        <w:t>país</w:t>
      </w:r>
      <w:r w:rsidR="00FC1969">
        <w:rPr>
          <w:rStyle w:val="Refdenotaalpie"/>
        </w:rPr>
        <w:footnoteReference w:id="585"/>
      </w:r>
      <w:r>
        <w:t>.</w:t>
      </w:r>
      <w:r>
        <w:rPr>
          <w:spacing w:val="-13"/>
        </w:rPr>
        <w:t xml:space="preserve"> </w:t>
      </w:r>
      <w:r>
        <w:t>Así,</w:t>
      </w:r>
      <w:r>
        <w:rPr>
          <w:spacing w:val="-15"/>
        </w:rPr>
        <w:t xml:space="preserve"> </w:t>
      </w:r>
      <w:r>
        <w:t>en</w:t>
      </w:r>
      <w:r>
        <w:rPr>
          <w:spacing w:val="-15"/>
        </w:rPr>
        <w:t xml:space="preserve"> </w:t>
      </w:r>
      <w:r>
        <w:t>diferentes</w:t>
      </w:r>
      <w:r>
        <w:rPr>
          <w:spacing w:val="-15"/>
        </w:rPr>
        <w:t xml:space="preserve"> </w:t>
      </w:r>
      <w:r>
        <w:t>momentos ha habido fracturas críticas en instituciones de seguridad del Estado e incluso durante el trabajo de la Comisión ha habido generales del Ejército denunciados por tener alianzas con grupos armados y narcotraficantes</w:t>
      </w:r>
      <w:r w:rsidR="00FC1969">
        <w:rPr>
          <w:rStyle w:val="Refdenotaalpie"/>
        </w:rPr>
        <w:footnoteReference w:id="586"/>
      </w:r>
      <w:r>
        <w:t>.</w:t>
      </w:r>
    </w:p>
    <w:p w:rsidR="003804AC" w:rsidRDefault="00AF18A5" w:rsidP="00FC1969">
      <w:r>
        <w:t>Los</w:t>
      </w:r>
      <w:r>
        <w:rPr>
          <w:spacing w:val="-9"/>
        </w:rPr>
        <w:t xml:space="preserve"> </w:t>
      </w:r>
      <w:r>
        <w:t>grupos</w:t>
      </w:r>
      <w:r>
        <w:rPr>
          <w:spacing w:val="-9"/>
        </w:rPr>
        <w:t xml:space="preserve"> </w:t>
      </w:r>
      <w:r>
        <w:t>narcotraficantes</w:t>
      </w:r>
      <w:r>
        <w:rPr>
          <w:spacing w:val="-9"/>
        </w:rPr>
        <w:t xml:space="preserve"> </w:t>
      </w:r>
      <w:r>
        <w:t>se</w:t>
      </w:r>
      <w:r>
        <w:rPr>
          <w:spacing w:val="-9"/>
        </w:rPr>
        <w:t xml:space="preserve"> </w:t>
      </w:r>
      <w:r>
        <w:t>han</w:t>
      </w:r>
      <w:r>
        <w:rPr>
          <w:spacing w:val="-9"/>
        </w:rPr>
        <w:t xml:space="preserve"> </w:t>
      </w:r>
      <w:r>
        <w:t>adaptado</w:t>
      </w:r>
      <w:r>
        <w:rPr>
          <w:spacing w:val="-9"/>
        </w:rPr>
        <w:t xml:space="preserve"> </w:t>
      </w:r>
      <w:r>
        <w:t>históricamente</w:t>
      </w:r>
      <w:r>
        <w:rPr>
          <w:spacing w:val="-9"/>
        </w:rPr>
        <w:t xml:space="preserve"> </w:t>
      </w:r>
      <w:r>
        <w:t>a</w:t>
      </w:r>
      <w:r>
        <w:rPr>
          <w:spacing w:val="-10"/>
        </w:rPr>
        <w:t xml:space="preserve"> </w:t>
      </w:r>
      <w:r>
        <w:t>diferentes</w:t>
      </w:r>
      <w:r>
        <w:rPr>
          <w:spacing w:val="-9"/>
        </w:rPr>
        <w:t xml:space="preserve"> </w:t>
      </w:r>
      <w:r>
        <w:t>situaciones</w:t>
      </w:r>
      <w:r>
        <w:rPr>
          <w:spacing w:val="-9"/>
        </w:rPr>
        <w:t xml:space="preserve"> </w:t>
      </w:r>
      <w:r>
        <w:t>y</w:t>
      </w:r>
      <w:r>
        <w:rPr>
          <w:spacing w:val="-9"/>
        </w:rPr>
        <w:t xml:space="preserve"> </w:t>
      </w:r>
      <w:r>
        <w:t>han hecho diversas alianzas; así, han entablado relaciones con todos los actores que les han permitido</w:t>
      </w:r>
      <w:r>
        <w:rPr>
          <w:spacing w:val="-12"/>
        </w:rPr>
        <w:t xml:space="preserve"> </w:t>
      </w:r>
      <w:r>
        <w:t>la</w:t>
      </w:r>
      <w:r>
        <w:rPr>
          <w:spacing w:val="-12"/>
        </w:rPr>
        <w:t xml:space="preserve"> </w:t>
      </w:r>
      <w:r>
        <w:t>venta</w:t>
      </w:r>
      <w:r>
        <w:rPr>
          <w:spacing w:val="-11"/>
        </w:rPr>
        <w:t xml:space="preserve"> </w:t>
      </w:r>
      <w:r>
        <w:t>de</w:t>
      </w:r>
      <w:r>
        <w:rPr>
          <w:spacing w:val="-12"/>
        </w:rPr>
        <w:t xml:space="preserve"> </w:t>
      </w:r>
      <w:r>
        <w:t>la</w:t>
      </w:r>
      <w:r>
        <w:rPr>
          <w:spacing w:val="-11"/>
        </w:rPr>
        <w:t xml:space="preserve"> </w:t>
      </w:r>
      <w:r>
        <w:t>cocaína,</w:t>
      </w:r>
      <w:r>
        <w:rPr>
          <w:spacing w:val="-12"/>
        </w:rPr>
        <w:t xml:space="preserve"> </w:t>
      </w:r>
      <w:r>
        <w:t>lo</w:t>
      </w:r>
      <w:r>
        <w:rPr>
          <w:spacing w:val="-11"/>
        </w:rPr>
        <w:t xml:space="preserve"> </w:t>
      </w:r>
      <w:r>
        <w:t>que</w:t>
      </w:r>
      <w:r>
        <w:rPr>
          <w:spacing w:val="-11"/>
        </w:rPr>
        <w:t xml:space="preserve"> </w:t>
      </w:r>
      <w:r>
        <w:t>también</w:t>
      </w:r>
      <w:r>
        <w:rPr>
          <w:spacing w:val="-11"/>
        </w:rPr>
        <w:t xml:space="preserve"> </w:t>
      </w:r>
      <w:r>
        <w:t>incluye</w:t>
      </w:r>
      <w:r>
        <w:rPr>
          <w:spacing w:val="-11"/>
        </w:rPr>
        <w:t xml:space="preserve"> </w:t>
      </w:r>
      <w:r>
        <w:t>personal</w:t>
      </w:r>
      <w:r>
        <w:rPr>
          <w:spacing w:val="-10"/>
        </w:rPr>
        <w:t xml:space="preserve"> </w:t>
      </w:r>
      <w:r>
        <w:t>militar</w:t>
      </w:r>
      <w:r>
        <w:rPr>
          <w:spacing w:val="-10"/>
        </w:rPr>
        <w:t xml:space="preserve"> </w:t>
      </w:r>
      <w:r>
        <w:t>de</w:t>
      </w:r>
      <w:r>
        <w:rPr>
          <w:spacing w:val="-12"/>
        </w:rPr>
        <w:t xml:space="preserve"> </w:t>
      </w:r>
      <w:r>
        <w:t>alto</w:t>
      </w:r>
      <w:r>
        <w:rPr>
          <w:spacing w:val="-11"/>
        </w:rPr>
        <w:t xml:space="preserve"> </w:t>
      </w:r>
      <w:r>
        <w:t>rango.</w:t>
      </w:r>
      <w:r>
        <w:rPr>
          <w:spacing w:val="-12"/>
        </w:rPr>
        <w:t xml:space="preserve"> </w:t>
      </w:r>
      <w:r>
        <w:t>Como le</w:t>
      </w:r>
      <w:r>
        <w:rPr>
          <w:spacing w:val="-5"/>
        </w:rPr>
        <w:t xml:space="preserve"> </w:t>
      </w:r>
      <w:r>
        <w:t>confirmó</w:t>
      </w:r>
      <w:r>
        <w:rPr>
          <w:spacing w:val="-6"/>
        </w:rPr>
        <w:t xml:space="preserve"> </w:t>
      </w:r>
      <w:r>
        <w:t>a</w:t>
      </w:r>
      <w:r>
        <w:rPr>
          <w:spacing w:val="-5"/>
        </w:rPr>
        <w:t xml:space="preserve"> </w:t>
      </w:r>
      <w:r>
        <w:t>la</w:t>
      </w:r>
      <w:r>
        <w:rPr>
          <w:spacing w:val="-6"/>
        </w:rPr>
        <w:t xml:space="preserve"> </w:t>
      </w:r>
      <w:r>
        <w:t>Comisión</w:t>
      </w:r>
      <w:r>
        <w:rPr>
          <w:spacing w:val="-5"/>
        </w:rPr>
        <w:t xml:space="preserve"> </w:t>
      </w:r>
      <w:r>
        <w:t>un</w:t>
      </w:r>
      <w:r>
        <w:rPr>
          <w:spacing w:val="-5"/>
        </w:rPr>
        <w:t xml:space="preserve"> </w:t>
      </w:r>
      <w:r>
        <w:t>excoronel</w:t>
      </w:r>
      <w:r>
        <w:rPr>
          <w:spacing w:val="-5"/>
        </w:rPr>
        <w:t xml:space="preserve"> </w:t>
      </w:r>
      <w:r>
        <w:t>del</w:t>
      </w:r>
      <w:r>
        <w:rPr>
          <w:spacing w:val="-5"/>
        </w:rPr>
        <w:t xml:space="preserve"> </w:t>
      </w:r>
      <w:r>
        <w:t>ejército</w:t>
      </w:r>
      <w:r>
        <w:rPr>
          <w:spacing w:val="-5"/>
        </w:rPr>
        <w:t xml:space="preserve"> </w:t>
      </w:r>
      <w:r>
        <w:t>que</w:t>
      </w:r>
      <w:r>
        <w:rPr>
          <w:spacing w:val="-6"/>
        </w:rPr>
        <w:t xml:space="preserve"> </w:t>
      </w:r>
      <w:r>
        <w:t>operó</w:t>
      </w:r>
      <w:r>
        <w:rPr>
          <w:spacing w:val="-5"/>
        </w:rPr>
        <w:t xml:space="preserve"> </w:t>
      </w:r>
      <w:r>
        <w:t>en</w:t>
      </w:r>
      <w:r>
        <w:rPr>
          <w:spacing w:val="-5"/>
        </w:rPr>
        <w:t xml:space="preserve"> </w:t>
      </w:r>
      <w:r>
        <w:t>el</w:t>
      </w:r>
      <w:r>
        <w:rPr>
          <w:spacing w:val="-5"/>
        </w:rPr>
        <w:t xml:space="preserve"> </w:t>
      </w:r>
      <w:r>
        <w:t>Cauca,</w:t>
      </w:r>
      <w:r>
        <w:rPr>
          <w:spacing w:val="-5"/>
        </w:rPr>
        <w:t xml:space="preserve"> </w:t>
      </w:r>
      <w:r>
        <w:t>los</w:t>
      </w:r>
      <w:r>
        <w:rPr>
          <w:spacing w:val="-6"/>
        </w:rPr>
        <w:t xml:space="preserve"> </w:t>
      </w:r>
      <w:r>
        <w:t>traficantes</w:t>
      </w:r>
      <w:r>
        <w:rPr>
          <w:spacing w:val="-5"/>
        </w:rPr>
        <w:t xml:space="preserve"> </w:t>
      </w:r>
      <w:r>
        <w:t>de cocaína les pagaban a los militares para que les permitieran pasar cemento y combustibles. El excoronel también se refirió a la importancia estratégica de los ríos del Pacífico, las carreteras terciarias y la cordillera Occidental para la producción y el tráfico de cocaína, y a cómo</w:t>
      </w:r>
      <w:r>
        <w:rPr>
          <w:spacing w:val="-2"/>
        </w:rPr>
        <w:t xml:space="preserve"> </w:t>
      </w:r>
      <w:r>
        <w:t>hubo militares y políticos que</w:t>
      </w:r>
      <w:r>
        <w:rPr>
          <w:spacing w:val="-1"/>
        </w:rPr>
        <w:t xml:space="preserve"> </w:t>
      </w:r>
      <w:r>
        <w:t>coludieron en la región para controlarla y</w:t>
      </w:r>
      <w:r>
        <w:rPr>
          <w:spacing w:val="1"/>
        </w:rPr>
        <w:t xml:space="preserve"> </w:t>
      </w:r>
      <w:r>
        <w:rPr>
          <w:spacing w:val="-2"/>
        </w:rPr>
        <w:t>enriquecerse:</w:t>
      </w:r>
    </w:p>
    <w:p w:rsidR="003804AC" w:rsidRDefault="00AF18A5" w:rsidP="00FC1969">
      <w:r>
        <w:t>«y ahora los políticos del Cauca entienden su sistema del Cauca y ellos, pues, básicamente hicieron, están haciendo, lo que hicieron los políticos de los Montes de María»</w:t>
      </w:r>
      <w:r w:rsidR="00FC1969">
        <w:rPr>
          <w:rStyle w:val="Refdenotaalpie"/>
        </w:rPr>
        <w:footnoteReference w:id="587"/>
      </w:r>
      <w:r>
        <w:t>.</w:t>
      </w:r>
    </w:p>
    <w:p w:rsidR="0011361F" w:rsidRDefault="00AF18A5" w:rsidP="00FC1969">
      <w:r>
        <w:t>Además de algunos altos mandos, otros sectores del Ejército se han involucrado con grupos de narcotráfico; así lo declaró un indígena de Nariño:</w:t>
      </w:r>
    </w:p>
    <w:p w:rsidR="003804AC" w:rsidRDefault="00AF18A5" w:rsidP="00FC1969">
      <w:bookmarkStart w:id="756" w:name="_bookmark646"/>
      <w:bookmarkStart w:id="757" w:name="_bookmark647"/>
      <w:bookmarkStart w:id="758" w:name="_bookmark648"/>
      <w:bookmarkStart w:id="759" w:name="_bookmark649"/>
      <w:bookmarkEnd w:id="756"/>
      <w:bookmarkEnd w:id="757"/>
      <w:bookmarkEnd w:id="758"/>
      <w:bookmarkEnd w:id="759"/>
      <w:r>
        <w:t xml:space="preserve">«[...] por abajo hay un grupo de tal batallón que está apoyando a tal grupo, el de batallón de acá apoyando este grupo y no sé si los </w:t>
      </w:r>
      <w:r>
        <w:lastRenderedPageBreak/>
        <w:t>coroneles lo sabrán o no, pero eso es lo que sigue en los territorios, se tiran diez, quince hombres, veinte hombres del Ejército junto con los grupos</w:t>
      </w:r>
      <w:r>
        <w:rPr>
          <w:spacing w:val="-11"/>
        </w:rPr>
        <w:t xml:space="preserve"> </w:t>
      </w:r>
      <w:r>
        <w:t>a</w:t>
      </w:r>
      <w:r>
        <w:rPr>
          <w:spacing w:val="-11"/>
        </w:rPr>
        <w:t xml:space="preserve"> </w:t>
      </w:r>
      <w:r>
        <w:t>darse</w:t>
      </w:r>
      <w:r>
        <w:rPr>
          <w:spacing w:val="-11"/>
        </w:rPr>
        <w:t xml:space="preserve"> </w:t>
      </w:r>
      <w:r>
        <w:t>plomo</w:t>
      </w:r>
      <w:r>
        <w:rPr>
          <w:spacing w:val="-11"/>
        </w:rPr>
        <w:t xml:space="preserve"> </w:t>
      </w:r>
      <w:r>
        <w:t>con</w:t>
      </w:r>
      <w:r>
        <w:rPr>
          <w:spacing w:val="-11"/>
        </w:rPr>
        <w:t xml:space="preserve"> </w:t>
      </w:r>
      <w:r>
        <w:t>los</w:t>
      </w:r>
      <w:r>
        <w:rPr>
          <w:spacing w:val="-11"/>
        </w:rPr>
        <w:t xml:space="preserve"> </w:t>
      </w:r>
      <w:r>
        <w:t>de</w:t>
      </w:r>
      <w:r>
        <w:rPr>
          <w:spacing w:val="-11"/>
        </w:rPr>
        <w:t xml:space="preserve"> </w:t>
      </w:r>
      <w:r>
        <w:t>allá</w:t>
      </w:r>
      <w:r>
        <w:rPr>
          <w:spacing w:val="-12"/>
        </w:rPr>
        <w:t xml:space="preserve"> </w:t>
      </w:r>
      <w:r>
        <w:t>y</w:t>
      </w:r>
      <w:r>
        <w:rPr>
          <w:spacing w:val="-11"/>
        </w:rPr>
        <w:t xml:space="preserve"> </w:t>
      </w:r>
      <w:r>
        <w:t>de</w:t>
      </w:r>
      <w:r>
        <w:rPr>
          <w:spacing w:val="-11"/>
        </w:rPr>
        <w:t xml:space="preserve"> </w:t>
      </w:r>
      <w:r>
        <w:t>allá</w:t>
      </w:r>
      <w:r>
        <w:rPr>
          <w:spacing w:val="-12"/>
        </w:rPr>
        <w:t xml:space="preserve"> </w:t>
      </w:r>
      <w:r>
        <w:t>también</w:t>
      </w:r>
      <w:r>
        <w:rPr>
          <w:spacing w:val="-11"/>
        </w:rPr>
        <w:t xml:space="preserve"> </w:t>
      </w:r>
      <w:r>
        <w:t>vienen</w:t>
      </w:r>
      <w:r>
        <w:rPr>
          <w:spacing w:val="-12"/>
        </w:rPr>
        <w:t xml:space="preserve"> </w:t>
      </w:r>
      <w:r>
        <w:t>los</w:t>
      </w:r>
      <w:r>
        <w:rPr>
          <w:spacing w:val="-11"/>
        </w:rPr>
        <w:t xml:space="preserve"> </w:t>
      </w:r>
      <w:r>
        <w:t>mismos</w:t>
      </w:r>
      <w:r>
        <w:rPr>
          <w:spacing w:val="-11"/>
        </w:rPr>
        <w:t xml:space="preserve"> </w:t>
      </w:r>
      <w:r>
        <w:t>quince,</w:t>
      </w:r>
      <w:r>
        <w:rPr>
          <w:spacing w:val="-11"/>
        </w:rPr>
        <w:t xml:space="preserve"> </w:t>
      </w:r>
      <w:r>
        <w:t>diez,</w:t>
      </w:r>
      <w:r>
        <w:rPr>
          <w:spacing w:val="-12"/>
        </w:rPr>
        <w:t xml:space="preserve"> </w:t>
      </w:r>
      <w:r>
        <w:t>veinte a darse plomo entre ellos mismos»</w:t>
      </w:r>
      <w:r w:rsidR="00FC1969">
        <w:rPr>
          <w:rStyle w:val="Refdenotaalpie"/>
        </w:rPr>
        <w:footnoteReference w:id="588"/>
      </w:r>
      <w:r>
        <w:t>.</w:t>
      </w:r>
    </w:p>
    <w:p w:rsidR="0011361F" w:rsidRDefault="00AF18A5" w:rsidP="004A6EF4">
      <w:pPr>
        <w:pStyle w:val="Ttulo4"/>
        <w:numPr>
          <w:ilvl w:val="2"/>
          <w:numId w:val="16"/>
        </w:numPr>
      </w:pPr>
      <w:bookmarkStart w:id="760" w:name="6.3.4_Modelo_de_Estado_y_capturas_de_ren"/>
      <w:bookmarkEnd w:id="760"/>
      <w:r>
        <w:t>Modelo</w:t>
      </w:r>
      <w:r>
        <w:rPr>
          <w:spacing w:val="-1"/>
        </w:rPr>
        <w:t xml:space="preserve"> </w:t>
      </w:r>
      <w:r>
        <w:t>de</w:t>
      </w:r>
      <w:r>
        <w:rPr>
          <w:spacing w:val="-1"/>
        </w:rPr>
        <w:t xml:space="preserve"> </w:t>
      </w:r>
      <w:r>
        <w:t>Estado</w:t>
      </w:r>
      <w:r>
        <w:rPr>
          <w:spacing w:val="-1"/>
        </w:rPr>
        <w:t xml:space="preserve"> </w:t>
      </w:r>
      <w:r>
        <w:t>y</w:t>
      </w:r>
      <w:r>
        <w:rPr>
          <w:spacing w:val="-2"/>
        </w:rPr>
        <w:t xml:space="preserve"> </w:t>
      </w:r>
      <w:r>
        <w:t>capturas</w:t>
      </w:r>
      <w:r>
        <w:rPr>
          <w:spacing w:val="-3"/>
        </w:rPr>
        <w:t xml:space="preserve"> </w:t>
      </w:r>
      <w:r>
        <w:t>de</w:t>
      </w:r>
      <w:r>
        <w:rPr>
          <w:spacing w:val="-1"/>
        </w:rPr>
        <w:t xml:space="preserve"> </w:t>
      </w:r>
      <w:r w:rsidRPr="00FC1969">
        <w:t>rentas</w:t>
      </w:r>
      <w:r>
        <w:rPr>
          <w:spacing w:val="-1"/>
        </w:rPr>
        <w:t xml:space="preserve"> </w:t>
      </w:r>
      <w:proofErr w:type="spellStart"/>
      <w:r>
        <w:rPr>
          <w:spacing w:val="-2"/>
        </w:rPr>
        <w:t>narcoparamilitares</w:t>
      </w:r>
      <w:proofErr w:type="spellEnd"/>
    </w:p>
    <w:p w:rsidR="003804AC" w:rsidRDefault="00AF18A5" w:rsidP="00F701BD">
      <w:r>
        <w:t>El financiamiento y la captura de rentas por parte de los grupos paramilitares se ha dado principalmente a través de tres mecanismos: 1) el control de la producción y las rutas del narcotráfico, 2) la relación/articulación con sectores empresariales o terratenientes que han financiado sus ejércitos. 3) La cooptación de la contratación estatal local.</w:t>
      </w:r>
    </w:p>
    <w:p w:rsidR="003804AC" w:rsidRDefault="00AF18A5" w:rsidP="00F701BD">
      <w:r>
        <w:t>Vicente Castaño escribió en una de sus comunicaciones que las AUC «dominaban el impuesto a los cultivos ilícitos en un 50 por ciento»</w:t>
      </w:r>
      <w:r w:rsidR="00F701BD">
        <w:rPr>
          <w:rStyle w:val="Refdenotaalpie"/>
        </w:rPr>
        <w:footnoteReference w:id="589"/>
      </w:r>
      <w:r>
        <w:t>, lo que redundó en el despliegue de estrategias para controlar precios, insumos, cultivos y los procesamientos de la cocaína. De otro</w:t>
      </w:r>
      <w:r>
        <w:rPr>
          <w:spacing w:val="-2"/>
        </w:rPr>
        <w:t xml:space="preserve"> </w:t>
      </w:r>
      <w:r>
        <w:t>lado,</w:t>
      </w:r>
      <w:r>
        <w:rPr>
          <w:spacing w:val="-2"/>
        </w:rPr>
        <w:t xml:space="preserve"> </w:t>
      </w:r>
      <w:r>
        <w:t>dos</w:t>
      </w:r>
      <w:r>
        <w:rPr>
          <w:spacing w:val="-2"/>
        </w:rPr>
        <w:t xml:space="preserve"> </w:t>
      </w:r>
      <w:r>
        <w:t>excomandantes</w:t>
      </w:r>
      <w:r>
        <w:rPr>
          <w:spacing w:val="-2"/>
        </w:rPr>
        <w:t xml:space="preserve"> </w:t>
      </w:r>
      <w:r>
        <w:t>paramilitares</w:t>
      </w:r>
      <w:r>
        <w:rPr>
          <w:spacing w:val="-2"/>
        </w:rPr>
        <w:t xml:space="preserve"> </w:t>
      </w:r>
      <w:r>
        <w:t>–uno</w:t>
      </w:r>
      <w:r>
        <w:rPr>
          <w:spacing w:val="-2"/>
        </w:rPr>
        <w:t xml:space="preserve"> </w:t>
      </w:r>
      <w:r>
        <w:t>con</w:t>
      </w:r>
      <w:r>
        <w:rPr>
          <w:spacing w:val="-2"/>
        </w:rPr>
        <w:t xml:space="preserve"> </w:t>
      </w:r>
      <w:r>
        <w:t>presencia</w:t>
      </w:r>
      <w:r>
        <w:rPr>
          <w:spacing w:val="-2"/>
        </w:rPr>
        <w:t xml:space="preserve"> </w:t>
      </w:r>
      <w:r>
        <w:t>en</w:t>
      </w:r>
      <w:r>
        <w:rPr>
          <w:spacing w:val="-2"/>
        </w:rPr>
        <w:t xml:space="preserve"> </w:t>
      </w:r>
      <w:r>
        <w:t>la</w:t>
      </w:r>
      <w:r>
        <w:rPr>
          <w:spacing w:val="-2"/>
        </w:rPr>
        <w:t xml:space="preserve"> </w:t>
      </w:r>
      <w:r>
        <w:t>región</w:t>
      </w:r>
      <w:r>
        <w:rPr>
          <w:spacing w:val="-2"/>
        </w:rPr>
        <w:t xml:space="preserve"> </w:t>
      </w:r>
      <w:r>
        <w:t>Caribe</w:t>
      </w:r>
      <w:r>
        <w:rPr>
          <w:spacing w:val="-2"/>
        </w:rPr>
        <w:t xml:space="preserve"> </w:t>
      </w:r>
      <w:r>
        <w:t>y</w:t>
      </w:r>
      <w:r>
        <w:rPr>
          <w:spacing w:val="-2"/>
        </w:rPr>
        <w:t xml:space="preserve"> </w:t>
      </w:r>
      <w:r>
        <w:t>el</w:t>
      </w:r>
      <w:r>
        <w:rPr>
          <w:spacing w:val="-2"/>
        </w:rPr>
        <w:t xml:space="preserve"> </w:t>
      </w:r>
      <w:r>
        <w:t>otro en</w:t>
      </w:r>
      <w:r>
        <w:rPr>
          <w:spacing w:val="-2"/>
        </w:rPr>
        <w:t xml:space="preserve"> </w:t>
      </w:r>
      <w:r>
        <w:t>el</w:t>
      </w:r>
      <w:r>
        <w:rPr>
          <w:spacing w:val="-2"/>
        </w:rPr>
        <w:t xml:space="preserve"> </w:t>
      </w:r>
      <w:r>
        <w:t>sur</w:t>
      </w:r>
      <w:r>
        <w:rPr>
          <w:spacing w:val="-2"/>
        </w:rPr>
        <w:t xml:space="preserve"> </w:t>
      </w:r>
      <w:r>
        <w:t>de</w:t>
      </w:r>
      <w:r>
        <w:rPr>
          <w:spacing w:val="-3"/>
        </w:rPr>
        <w:t xml:space="preserve"> </w:t>
      </w:r>
      <w:r>
        <w:t>Bolívar–</w:t>
      </w:r>
      <w:r>
        <w:rPr>
          <w:spacing w:val="-2"/>
        </w:rPr>
        <w:t xml:space="preserve"> </w:t>
      </w:r>
      <w:r>
        <w:t>describieron</w:t>
      </w:r>
      <w:r>
        <w:rPr>
          <w:spacing w:val="-4"/>
        </w:rPr>
        <w:t xml:space="preserve"> </w:t>
      </w:r>
      <w:r>
        <w:t>las</w:t>
      </w:r>
      <w:r>
        <w:rPr>
          <w:spacing w:val="-3"/>
        </w:rPr>
        <w:t xml:space="preserve"> </w:t>
      </w:r>
      <w:r>
        <w:t>directrices</w:t>
      </w:r>
      <w:r>
        <w:rPr>
          <w:spacing w:val="-3"/>
        </w:rPr>
        <w:t xml:space="preserve"> </w:t>
      </w:r>
      <w:r>
        <w:t>del</w:t>
      </w:r>
      <w:r>
        <w:rPr>
          <w:spacing w:val="-2"/>
        </w:rPr>
        <w:t xml:space="preserve"> </w:t>
      </w:r>
      <w:r>
        <w:t>recaudo</w:t>
      </w:r>
      <w:r>
        <w:rPr>
          <w:spacing w:val="-4"/>
        </w:rPr>
        <w:t xml:space="preserve"> </w:t>
      </w:r>
      <w:r>
        <w:t>de</w:t>
      </w:r>
      <w:r>
        <w:rPr>
          <w:spacing w:val="-2"/>
        </w:rPr>
        <w:t xml:space="preserve"> </w:t>
      </w:r>
      <w:r>
        <w:t>recursos</w:t>
      </w:r>
      <w:r>
        <w:rPr>
          <w:spacing w:val="-4"/>
        </w:rPr>
        <w:t xml:space="preserve"> </w:t>
      </w:r>
      <w:r>
        <w:t>de</w:t>
      </w:r>
      <w:r>
        <w:rPr>
          <w:spacing w:val="-2"/>
        </w:rPr>
        <w:t xml:space="preserve"> </w:t>
      </w:r>
      <w:r>
        <w:t>las</w:t>
      </w:r>
      <w:r>
        <w:rPr>
          <w:spacing w:val="-2"/>
        </w:rPr>
        <w:t xml:space="preserve"> </w:t>
      </w:r>
      <w:r>
        <w:t>AUC</w:t>
      </w:r>
      <w:r>
        <w:rPr>
          <w:spacing w:val="-3"/>
        </w:rPr>
        <w:t xml:space="preserve"> </w:t>
      </w:r>
      <w:r>
        <w:t>para</w:t>
      </w:r>
      <w:r>
        <w:rPr>
          <w:spacing w:val="-2"/>
        </w:rPr>
        <w:t xml:space="preserve"> </w:t>
      </w:r>
      <w:r>
        <w:t>el sostenimiento</w:t>
      </w:r>
      <w:r>
        <w:rPr>
          <w:spacing w:val="-13"/>
        </w:rPr>
        <w:t xml:space="preserve"> </w:t>
      </w:r>
      <w:r>
        <w:t>de</w:t>
      </w:r>
      <w:r>
        <w:rPr>
          <w:spacing w:val="-13"/>
        </w:rPr>
        <w:t xml:space="preserve"> </w:t>
      </w:r>
      <w:r>
        <w:t>la</w:t>
      </w:r>
      <w:r>
        <w:rPr>
          <w:spacing w:val="-13"/>
        </w:rPr>
        <w:t xml:space="preserve"> </w:t>
      </w:r>
      <w:r>
        <w:t>guerra</w:t>
      </w:r>
      <w:r>
        <w:rPr>
          <w:spacing w:val="-13"/>
        </w:rPr>
        <w:t xml:space="preserve"> </w:t>
      </w:r>
      <w:r>
        <w:t>como</w:t>
      </w:r>
      <w:r>
        <w:rPr>
          <w:spacing w:val="-13"/>
        </w:rPr>
        <w:t xml:space="preserve"> </w:t>
      </w:r>
      <w:r>
        <w:t>una</w:t>
      </w:r>
      <w:r>
        <w:rPr>
          <w:spacing w:val="-14"/>
        </w:rPr>
        <w:t xml:space="preserve"> </w:t>
      </w:r>
      <w:r>
        <w:t>estrategia</w:t>
      </w:r>
      <w:r>
        <w:rPr>
          <w:spacing w:val="-13"/>
        </w:rPr>
        <w:t xml:space="preserve"> </w:t>
      </w:r>
      <w:r>
        <w:t>de</w:t>
      </w:r>
      <w:r>
        <w:rPr>
          <w:spacing w:val="-14"/>
        </w:rPr>
        <w:t xml:space="preserve"> </w:t>
      </w:r>
      <w:r>
        <w:t>descentralización</w:t>
      </w:r>
      <w:r>
        <w:rPr>
          <w:spacing w:val="-13"/>
        </w:rPr>
        <w:t xml:space="preserve"> </w:t>
      </w:r>
      <w:r>
        <w:t>adaptada</w:t>
      </w:r>
      <w:r>
        <w:rPr>
          <w:spacing w:val="-13"/>
        </w:rPr>
        <w:t xml:space="preserve"> </w:t>
      </w:r>
      <w:r>
        <w:t>a</w:t>
      </w:r>
      <w:r>
        <w:rPr>
          <w:spacing w:val="-13"/>
        </w:rPr>
        <w:t xml:space="preserve"> </w:t>
      </w:r>
      <w:r>
        <w:t>las</w:t>
      </w:r>
      <w:r>
        <w:rPr>
          <w:spacing w:val="-13"/>
        </w:rPr>
        <w:t xml:space="preserve"> </w:t>
      </w:r>
      <w:r>
        <w:t>realidades regionales, donde la directriz fue cooptar rentas de la economía regional legal o ilegal</w:t>
      </w:r>
      <w:r w:rsidR="00F701BD">
        <w:rPr>
          <w:rStyle w:val="Refdenotaalpie"/>
        </w:rPr>
        <w:footnoteReference w:id="590"/>
      </w:r>
      <w:r>
        <w:t xml:space="preserve"> e insertarse en las principales economías de cada región</w:t>
      </w:r>
      <w:r w:rsidR="00F701BD">
        <w:rPr>
          <w:rStyle w:val="Refdenotaalpie"/>
        </w:rPr>
        <w:footnoteReference w:id="591"/>
      </w:r>
      <w:r>
        <w:t>. Estas orientaciones dependieron de</w:t>
      </w:r>
      <w:r>
        <w:rPr>
          <w:spacing w:val="-1"/>
        </w:rPr>
        <w:t xml:space="preserve"> </w:t>
      </w:r>
      <w:r>
        <w:t>la</w:t>
      </w:r>
      <w:r>
        <w:rPr>
          <w:spacing w:val="-1"/>
        </w:rPr>
        <w:t xml:space="preserve"> </w:t>
      </w:r>
      <w:r>
        <w:t>ubicación</w:t>
      </w:r>
      <w:r>
        <w:rPr>
          <w:spacing w:val="-1"/>
        </w:rPr>
        <w:t xml:space="preserve"> </w:t>
      </w:r>
      <w:r>
        <w:t>geográfica</w:t>
      </w:r>
      <w:r>
        <w:rPr>
          <w:spacing w:val="-1"/>
        </w:rPr>
        <w:t xml:space="preserve"> </w:t>
      </w:r>
      <w:r>
        <w:t>y</w:t>
      </w:r>
      <w:r>
        <w:rPr>
          <w:spacing w:val="-1"/>
        </w:rPr>
        <w:t xml:space="preserve"> </w:t>
      </w:r>
      <w:r>
        <w:t>las</w:t>
      </w:r>
      <w:r>
        <w:rPr>
          <w:spacing w:val="-1"/>
        </w:rPr>
        <w:t xml:space="preserve"> </w:t>
      </w:r>
      <w:r>
        <w:t>redes</w:t>
      </w:r>
      <w:r>
        <w:rPr>
          <w:spacing w:val="-2"/>
        </w:rPr>
        <w:t xml:space="preserve"> </w:t>
      </w:r>
      <w:r>
        <w:t>políticas.</w:t>
      </w:r>
      <w:r>
        <w:rPr>
          <w:spacing w:val="-1"/>
        </w:rPr>
        <w:t xml:space="preserve"> </w:t>
      </w:r>
      <w:r>
        <w:t>Un</w:t>
      </w:r>
      <w:r>
        <w:rPr>
          <w:spacing w:val="-1"/>
        </w:rPr>
        <w:t xml:space="preserve"> </w:t>
      </w:r>
      <w:r>
        <w:t>exmiembro</w:t>
      </w:r>
      <w:r>
        <w:rPr>
          <w:spacing w:val="-1"/>
        </w:rPr>
        <w:t xml:space="preserve"> </w:t>
      </w:r>
      <w:r>
        <w:t>de</w:t>
      </w:r>
      <w:r>
        <w:rPr>
          <w:spacing w:val="-1"/>
        </w:rPr>
        <w:t xml:space="preserve"> </w:t>
      </w:r>
      <w:r>
        <w:t>la</w:t>
      </w:r>
      <w:r>
        <w:rPr>
          <w:spacing w:val="-1"/>
        </w:rPr>
        <w:t xml:space="preserve"> </w:t>
      </w:r>
      <w:r>
        <w:t>fuerza</w:t>
      </w:r>
      <w:r>
        <w:rPr>
          <w:spacing w:val="-1"/>
        </w:rPr>
        <w:t xml:space="preserve"> </w:t>
      </w:r>
      <w:r>
        <w:t>pública</w:t>
      </w:r>
      <w:r>
        <w:rPr>
          <w:spacing w:val="-2"/>
        </w:rPr>
        <w:t xml:space="preserve"> </w:t>
      </w:r>
      <w:r>
        <w:t>le</w:t>
      </w:r>
      <w:r>
        <w:rPr>
          <w:spacing w:val="-2"/>
        </w:rPr>
        <w:t xml:space="preserve"> </w:t>
      </w:r>
      <w:r>
        <w:t>dijo</w:t>
      </w:r>
      <w:r>
        <w:rPr>
          <w:spacing w:val="-1"/>
        </w:rPr>
        <w:t xml:space="preserve"> </w:t>
      </w:r>
      <w:r>
        <w:t>a la</w:t>
      </w:r>
      <w:r>
        <w:rPr>
          <w:spacing w:val="-6"/>
        </w:rPr>
        <w:t xml:space="preserve"> </w:t>
      </w:r>
      <w:r>
        <w:t>Comisión:</w:t>
      </w:r>
      <w:r>
        <w:rPr>
          <w:spacing w:val="-5"/>
        </w:rPr>
        <w:t xml:space="preserve"> </w:t>
      </w:r>
      <w:r>
        <w:t>«Mis</w:t>
      </w:r>
      <w:r>
        <w:rPr>
          <w:spacing w:val="-6"/>
        </w:rPr>
        <w:t xml:space="preserve"> </w:t>
      </w:r>
      <w:r>
        <w:lastRenderedPageBreak/>
        <w:t>amigos</w:t>
      </w:r>
      <w:r>
        <w:rPr>
          <w:spacing w:val="-6"/>
        </w:rPr>
        <w:t xml:space="preserve"> </w:t>
      </w:r>
      <w:r>
        <w:t>los</w:t>
      </w:r>
      <w:r>
        <w:rPr>
          <w:spacing w:val="-6"/>
        </w:rPr>
        <w:t xml:space="preserve"> </w:t>
      </w:r>
      <w:proofErr w:type="spellStart"/>
      <w:r>
        <w:t>paracos</w:t>
      </w:r>
      <w:proofErr w:type="spellEnd"/>
      <w:r>
        <w:rPr>
          <w:spacing w:val="-6"/>
        </w:rPr>
        <w:t xml:space="preserve"> </w:t>
      </w:r>
      <w:r>
        <w:t>tocó</w:t>
      </w:r>
      <w:r>
        <w:rPr>
          <w:spacing w:val="-6"/>
        </w:rPr>
        <w:t xml:space="preserve"> </w:t>
      </w:r>
      <w:r>
        <w:t>perseguirlos</w:t>
      </w:r>
      <w:r>
        <w:rPr>
          <w:spacing w:val="-6"/>
        </w:rPr>
        <w:t xml:space="preserve"> </w:t>
      </w:r>
      <w:r>
        <w:t>porque</w:t>
      </w:r>
      <w:r>
        <w:rPr>
          <w:spacing w:val="-6"/>
        </w:rPr>
        <w:t xml:space="preserve"> </w:t>
      </w:r>
      <w:r>
        <w:t>estaban</w:t>
      </w:r>
      <w:r>
        <w:rPr>
          <w:spacing w:val="-7"/>
        </w:rPr>
        <w:t xml:space="preserve"> </w:t>
      </w:r>
      <w:r>
        <w:t>entregados</w:t>
      </w:r>
      <w:r>
        <w:rPr>
          <w:spacing w:val="-6"/>
        </w:rPr>
        <w:t xml:space="preserve"> </w:t>
      </w:r>
      <w:r>
        <w:t>a</w:t>
      </w:r>
      <w:r>
        <w:rPr>
          <w:spacing w:val="-7"/>
        </w:rPr>
        <w:t xml:space="preserve"> </w:t>
      </w:r>
      <w:r>
        <w:t>cuerpo y alma al narcotráfico»</w:t>
      </w:r>
      <w:r w:rsidR="00F701BD">
        <w:rPr>
          <w:rStyle w:val="Refdenotaalpie"/>
        </w:rPr>
        <w:footnoteReference w:id="592"/>
      </w:r>
      <w:r>
        <w:t>.</w:t>
      </w:r>
    </w:p>
    <w:p w:rsidR="003804AC" w:rsidRDefault="00AF18A5" w:rsidP="00F701BD">
      <w:r>
        <w:t>La</w:t>
      </w:r>
      <w:r>
        <w:rPr>
          <w:spacing w:val="-14"/>
        </w:rPr>
        <w:t xml:space="preserve"> </w:t>
      </w:r>
      <w:r>
        <w:t>lucha</w:t>
      </w:r>
      <w:r>
        <w:rPr>
          <w:spacing w:val="-14"/>
        </w:rPr>
        <w:t xml:space="preserve"> </w:t>
      </w:r>
      <w:r>
        <w:t>contra</w:t>
      </w:r>
      <w:r>
        <w:rPr>
          <w:spacing w:val="-15"/>
        </w:rPr>
        <w:t xml:space="preserve"> </w:t>
      </w:r>
      <w:r>
        <w:t>la</w:t>
      </w:r>
      <w:r>
        <w:rPr>
          <w:spacing w:val="-14"/>
        </w:rPr>
        <w:t xml:space="preserve"> </w:t>
      </w:r>
      <w:r>
        <w:t>guerrilla</w:t>
      </w:r>
      <w:r>
        <w:rPr>
          <w:spacing w:val="-14"/>
        </w:rPr>
        <w:t xml:space="preserve"> </w:t>
      </w:r>
      <w:r>
        <w:t>se</w:t>
      </w:r>
      <w:r>
        <w:rPr>
          <w:spacing w:val="-15"/>
        </w:rPr>
        <w:t xml:space="preserve"> </w:t>
      </w:r>
      <w:r>
        <w:t>inició</w:t>
      </w:r>
      <w:r>
        <w:rPr>
          <w:spacing w:val="-14"/>
        </w:rPr>
        <w:t xml:space="preserve"> </w:t>
      </w:r>
      <w:r>
        <w:t>por</w:t>
      </w:r>
      <w:r>
        <w:rPr>
          <w:spacing w:val="-14"/>
        </w:rPr>
        <w:t xml:space="preserve"> </w:t>
      </w:r>
      <w:r>
        <w:t>la</w:t>
      </w:r>
      <w:r>
        <w:rPr>
          <w:spacing w:val="-14"/>
        </w:rPr>
        <w:t xml:space="preserve"> </w:t>
      </w:r>
      <w:r>
        <w:t>conquista</w:t>
      </w:r>
      <w:r>
        <w:rPr>
          <w:spacing w:val="-14"/>
        </w:rPr>
        <w:t xml:space="preserve"> </w:t>
      </w:r>
      <w:r>
        <w:t>de</w:t>
      </w:r>
      <w:r>
        <w:rPr>
          <w:spacing w:val="-14"/>
        </w:rPr>
        <w:t xml:space="preserve"> </w:t>
      </w:r>
      <w:r>
        <w:t>territorios</w:t>
      </w:r>
      <w:r>
        <w:rPr>
          <w:spacing w:val="-14"/>
        </w:rPr>
        <w:t xml:space="preserve"> </w:t>
      </w:r>
      <w:r>
        <w:t>donde</w:t>
      </w:r>
      <w:r>
        <w:rPr>
          <w:spacing w:val="-14"/>
        </w:rPr>
        <w:t xml:space="preserve"> </w:t>
      </w:r>
      <w:r>
        <w:t>se</w:t>
      </w:r>
      <w:r>
        <w:rPr>
          <w:spacing w:val="-15"/>
        </w:rPr>
        <w:t xml:space="preserve"> </w:t>
      </w:r>
      <w:r>
        <w:t>producía</w:t>
      </w:r>
      <w:r>
        <w:rPr>
          <w:spacing w:val="-15"/>
        </w:rPr>
        <w:t xml:space="preserve"> </w:t>
      </w:r>
      <w:r>
        <w:t>coca, para</w:t>
      </w:r>
      <w:r>
        <w:rPr>
          <w:spacing w:val="10"/>
        </w:rPr>
        <w:t xml:space="preserve"> </w:t>
      </w:r>
      <w:r>
        <w:t>apropiarse</w:t>
      </w:r>
      <w:r>
        <w:rPr>
          <w:spacing w:val="12"/>
        </w:rPr>
        <w:t xml:space="preserve"> </w:t>
      </w:r>
      <w:r>
        <w:t>del</w:t>
      </w:r>
      <w:r>
        <w:rPr>
          <w:spacing w:val="12"/>
        </w:rPr>
        <w:t xml:space="preserve"> </w:t>
      </w:r>
      <w:r>
        <w:t>negocio,</w:t>
      </w:r>
      <w:r>
        <w:rPr>
          <w:spacing w:val="12"/>
        </w:rPr>
        <w:t xml:space="preserve"> </w:t>
      </w:r>
      <w:r>
        <w:t>como</w:t>
      </w:r>
      <w:r>
        <w:rPr>
          <w:spacing w:val="12"/>
        </w:rPr>
        <w:t xml:space="preserve"> </w:t>
      </w:r>
      <w:r>
        <w:t>ocurrió</w:t>
      </w:r>
      <w:r>
        <w:rPr>
          <w:spacing w:val="11"/>
        </w:rPr>
        <w:t xml:space="preserve"> </w:t>
      </w:r>
      <w:r>
        <w:t>en</w:t>
      </w:r>
      <w:r>
        <w:rPr>
          <w:spacing w:val="12"/>
        </w:rPr>
        <w:t xml:space="preserve"> </w:t>
      </w:r>
      <w:r>
        <w:t>el</w:t>
      </w:r>
      <w:r>
        <w:rPr>
          <w:spacing w:val="11"/>
        </w:rPr>
        <w:t xml:space="preserve"> </w:t>
      </w:r>
      <w:proofErr w:type="spellStart"/>
      <w:r>
        <w:t>Yarí</w:t>
      </w:r>
      <w:proofErr w:type="spellEnd"/>
      <w:r>
        <w:rPr>
          <w:spacing w:val="12"/>
        </w:rPr>
        <w:t xml:space="preserve"> </w:t>
      </w:r>
      <w:r>
        <w:t>(entre</w:t>
      </w:r>
      <w:r>
        <w:rPr>
          <w:spacing w:val="11"/>
        </w:rPr>
        <w:t xml:space="preserve"> </w:t>
      </w:r>
      <w:r>
        <w:t>Meta</w:t>
      </w:r>
      <w:r>
        <w:rPr>
          <w:spacing w:val="12"/>
        </w:rPr>
        <w:t xml:space="preserve"> </w:t>
      </w:r>
      <w:r>
        <w:t>y</w:t>
      </w:r>
      <w:r>
        <w:rPr>
          <w:spacing w:val="12"/>
        </w:rPr>
        <w:t xml:space="preserve"> </w:t>
      </w:r>
      <w:r>
        <w:t>Caquetá),</w:t>
      </w:r>
      <w:r>
        <w:rPr>
          <w:spacing w:val="12"/>
        </w:rPr>
        <w:t xml:space="preserve"> </w:t>
      </w:r>
      <w:r>
        <w:t>y</w:t>
      </w:r>
      <w:r>
        <w:rPr>
          <w:spacing w:val="12"/>
        </w:rPr>
        <w:t xml:space="preserve"> </w:t>
      </w:r>
      <w:r>
        <w:t>en</w:t>
      </w:r>
      <w:r>
        <w:rPr>
          <w:spacing w:val="12"/>
        </w:rPr>
        <w:t xml:space="preserve"> </w:t>
      </w:r>
      <w:r>
        <w:t>el</w:t>
      </w:r>
      <w:r>
        <w:rPr>
          <w:spacing w:val="13"/>
        </w:rPr>
        <w:t xml:space="preserve"> </w:t>
      </w:r>
      <w:r>
        <w:rPr>
          <w:spacing w:val="-4"/>
        </w:rPr>
        <w:t>Azul</w:t>
      </w:r>
      <w:r w:rsidR="00F701BD">
        <w:rPr>
          <w:spacing w:val="-4"/>
        </w:rPr>
        <w:t xml:space="preserve"> </w:t>
      </w:r>
      <w:r>
        <w:t>(en Putumayo) durante la década de los ochenta. Dos testimonios de excomandantes paramilitares exponen esta relación inicial entre paramilitares y narcotraficantes que se estableció</w:t>
      </w:r>
      <w:r>
        <w:rPr>
          <w:spacing w:val="-1"/>
        </w:rPr>
        <w:t xml:space="preserve"> </w:t>
      </w:r>
      <w:r>
        <w:t>en</w:t>
      </w:r>
      <w:r>
        <w:rPr>
          <w:spacing w:val="-1"/>
        </w:rPr>
        <w:t xml:space="preserve"> </w:t>
      </w:r>
      <w:r>
        <w:t>la</w:t>
      </w:r>
      <w:r>
        <w:rPr>
          <w:spacing w:val="-1"/>
        </w:rPr>
        <w:t xml:space="preserve"> </w:t>
      </w:r>
      <w:r>
        <w:t>década</w:t>
      </w:r>
      <w:r>
        <w:rPr>
          <w:spacing w:val="-2"/>
        </w:rPr>
        <w:t xml:space="preserve"> </w:t>
      </w:r>
      <w:r>
        <w:t>de</w:t>
      </w:r>
      <w:r>
        <w:rPr>
          <w:spacing w:val="-1"/>
        </w:rPr>
        <w:t xml:space="preserve"> </w:t>
      </w:r>
      <w:r>
        <w:t>los</w:t>
      </w:r>
      <w:r>
        <w:rPr>
          <w:spacing w:val="-1"/>
        </w:rPr>
        <w:t xml:space="preserve"> </w:t>
      </w:r>
      <w:r>
        <w:t>ochenta</w:t>
      </w:r>
      <w:r>
        <w:rPr>
          <w:spacing w:val="-1"/>
        </w:rPr>
        <w:t xml:space="preserve"> </w:t>
      </w:r>
      <w:r>
        <w:t>cuando</w:t>
      </w:r>
      <w:r>
        <w:rPr>
          <w:spacing w:val="-1"/>
        </w:rPr>
        <w:t xml:space="preserve"> </w:t>
      </w:r>
      <w:r>
        <w:t>se</w:t>
      </w:r>
      <w:r>
        <w:rPr>
          <w:spacing w:val="-1"/>
        </w:rPr>
        <w:t xml:space="preserve"> </w:t>
      </w:r>
      <w:r>
        <w:t>unieron</w:t>
      </w:r>
      <w:r>
        <w:rPr>
          <w:spacing w:val="-1"/>
        </w:rPr>
        <w:t xml:space="preserve"> </w:t>
      </w:r>
      <w:r>
        <w:t>Henry</w:t>
      </w:r>
      <w:r>
        <w:rPr>
          <w:spacing w:val="-1"/>
        </w:rPr>
        <w:t xml:space="preserve"> </w:t>
      </w:r>
      <w:r>
        <w:t>Pérez</w:t>
      </w:r>
      <w:r>
        <w:rPr>
          <w:spacing w:val="-1"/>
        </w:rPr>
        <w:t xml:space="preserve"> </w:t>
      </w:r>
      <w:r>
        <w:t>y</w:t>
      </w:r>
      <w:r>
        <w:rPr>
          <w:spacing w:val="-1"/>
        </w:rPr>
        <w:t xml:space="preserve"> </w:t>
      </w:r>
      <w:r>
        <w:t>Gonzalo</w:t>
      </w:r>
      <w:r>
        <w:rPr>
          <w:spacing w:val="-1"/>
        </w:rPr>
        <w:t xml:space="preserve"> </w:t>
      </w:r>
      <w:r>
        <w:t>Rodríguez Gacha para combatir las FARC-EP</w:t>
      </w:r>
      <w:r w:rsidR="00F701BD">
        <w:rPr>
          <w:rStyle w:val="Refdenotaalpie"/>
        </w:rPr>
        <w:footnoteReference w:id="593"/>
      </w:r>
      <w:r>
        <w:t>:</w:t>
      </w:r>
    </w:p>
    <w:p w:rsidR="003804AC" w:rsidRDefault="00AF18A5" w:rsidP="00F701BD">
      <w:r>
        <w:t>«Para</w:t>
      </w:r>
      <w:r>
        <w:rPr>
          <w:spacing w:val="-4"/>
        </w:rPr>
        <w:t xml:space="preserve"> </w:t>
      </w:r>
      <w:r>
        <w:t>el</w:t>
      </w:r>
      <w:r>
        <w:rPr>
          <w:spacing w:val="-4"/>
        </w:rPr>
        <w:t xml:space="preserve"> </w:t>
      </w:r>
      <w:r>
        <w:t>87,</w:t>
      </w:r>
      <w:r>
        <w:rPr>
          <w:spacing w:val="-7"/>
        </w:rPr>
        <w:t xml:space="preserve"> </w:t>
      </w:r>
      <w:r>
        <w:t>las</w:t>
      </w:r>
      <w:r>
        <w:rPr>
          <w:spacing w:val="-6"/>
        </w:rPr>
        <w:t xml:space="preserve"> </w:t>
      </w:r>
      <w:r>
        <w:t>autodefensas</w:t>
      </w:r>
      <w:r>
        <w:rPr>
          <w:spacing w:val="-4"/>
        </w:rPr>
        <w:t xml:space="preserve"> </w:t>
      </w:r>
      <w:r>
        <w:t>habían</w:t>
      </w:r>
      <w:r>
        <w:rPr>
          <w:spacing w:val="-6"/>
        </w:rPr>
        <w:t xml:space="preserve"> </w:t>
      </w:r>
      <w:r>
        <w:t>ya</w:t>
      </w:r>
      <w:r>
        <w:rPr>
          <w:spacing w:val="-4"/>
        </w:rPr>
        <w:t xml:space="preserve"> </w:t>
      </w:r>
      <w:r>
        <w:t>tenido</w:t>
      </w:r>
      <w:r>
        <w:rPr>
          <w:spacing w:val="-5"/>
        </w:rPr>
        <w:t xml:space="preserve"> </w:t>
      </w:r>
      <w:r>
        <w:t>un</w:t>
      </w:r>
      <w:r>
        <w:rPr>
          <w:spacing w:val="-6"/>
        </w:rPr>
        <w:t xml:space="preserve"> </w:t>
      </w:r>
      <w:r>
        <w:t>cambio</w:t>
      </w:r>
      <w:r>
        <w:rPr>
          <w:spacing w:val="-6"/>
        </w:rPr>
        <w:t xml:space="preserve"> </w:t>
      </w:r>
      <w:r>
        <w:t>en</w:t>
      </w:r>
      <w:r>
        <w:rPr>
          <w:spacing w:val="-5"/>
        </w:rPr>
        <w:t xml:space="preserve"> </w:t>
      </w:r>
      <w:r>
        <w:t>su</w:t>
      </w:r>
      <w:r>
        <w:rPr>
          <w:spacing w:val="-5"/>
        </w:rPr>
        <w:t xml:space="preserve"> </w:t>
      </w:r>
      <w:r>
        <w:t>financiación.</w:t>
      </w:r>
      <w:r>
        <w:rPr>
          <w:spacing w:val="-5"/>
        </w:rPr>
        <w:t xml:space="preserve"> </w:t>
      </w:r>
      <w:r>
        <w:t>Empezamos financiados por el aparato productivo local y regional, y posteriormente iniciamos la financiación del narcotráfico, donde fueron muy activos Gacha y Escobar»</w:t>
      </w:r>
      <w:r w:rsidR="00F701BD">
        <w:rPr>
          <w:rStyle w:val="Refdenotaalpie"/>
        </w:rPr>
        <w:footnoteReference w:id="594"/>
      </w:r>
      <w:r>
        <w:t>.</w:t>
      </w:r>
    </w:p>
    <w:p w:rsidR="003804AC" w:rsidRDefault="00AF18A5" w:rsidP="00F701BD">
      <w:r>
        <w:t>Entre el fin de los grandes carteles y la llegada de los grupos paramilitares como nuevas cabezas de la economía del narcotráfico hubo un proceso constante de victimización de la institucionalidad: representantes del Estado o cercanos a este –como jueces, políticos, ministros</w:t>
      </w:r>
      <w:r>
        <w:rPr>
          <w:spacing w:val="-6"/>
        </w:rPr>
        <w:t xml:space="preserve"> </w:t>
      </w:r>
      <w:r>
        <w:t>o</w:t>
      </w:r>
      <w:r>
        <w:rPr>
          <w:spacing w:val="-7"/>
        </w:rPr>
        <w:t xml:space="preserve"> </w:t>
      </w:r>
      <w:r>
        <w:t>periodistas–</w:t>
      </w:r>
      <w:r>
        <w:rPr>
          <w:spacing w:val="-6"/>
        </w:rPr>
        <w:t xml:space="preserve"> </w:t>
      </w:r>
      <w:r>
        <w:t>se</w:t>
      </w:r>
      <w:r>
        <w:rPr>
          <w:spacing w:val="-6"/>
        </w:rPr>
        <w:t xml:space="preserve"> </w:t>
      </w:r>
      <w:r>
        <w:t>«jugaron»</w:t>
      </w:r>
      <w:r>
        <w:rPr>
          <w:spacing w:val="-6"/>
        </w:rPr>
        <w:t xml:space="preserve"> </w:t>
      </w:r>
      <w:r>
        <w:t>su</w:t>
      </w:r>
      <w:r>
        <w:rPr>
          <w:spacing w:val="-6"/>
        </w:rPr>
        <w:t xml:space="preserve"> </w:t>
      </w:r>
      <w:r>
        <w:t>integridad,</w:t>
      </w:r>
      <w:r>
        <w:rPr>
          <w:spacing w:val="-6"/>
        </w:rPr>
        <w:t xml:space="preserve"> </w:t>
      </w:r>
      <w:r>
        <w:t>su</w:t>
      </w:r>
      <w:r>
        <w:rPr>
          <w:spacing w:val="-6"/>
        </w:rPr>
        <w:t xml:space="preserve"> </w:t>
      </w:r>
      <w:r>
        <w:t>vida,</w:t>
      </w:r>
      <w:r>
        <w:rPr>
          <w:spacing w:val="-7"/>
        </w:rPr>
        <w:t xml:space="preserve"> </w:t>
      </w:r>
      <w:r>
        <w:t>por</w:t>
      </w:r>
      <w:r>
        <w:rPr>
          <w:spacing w:val="-5"/>
        </w:rPr>
        <w:t xml:space="preserve"> </w:t>
      </w:r>
      <w:r>
        <w:t>denunciar</w:t>
      </w:r>
      <w:r>
        <w:rPr>
          <w:spacing w:val="-5"/>
        </w:rPr>
        <w:t xml:space="preserve"> </w:t>
      </w:r>
      <w:r>
        <w:t>las</w:t>
      </w:r>
      <w:r>
        <w:rPr>
          <w:spacing w:val="-7"/>
        </w:rPr>
        <w:t xml:space="preserve"> </w:t>
      </w:r>
      <w:r>
        <w:t>implicaciones del narcotráfico tanto en el sistema político como en la sociedad y la cultura colombiana.</w:t>
      </w:r>
    </w:p>
    <w:p w:rsidR="003804AC" w:rsidRDefault="00AF18A5" w:rsidP="00F701BD">
      <w:r>
        <w:t>Al</w:t>
      </w:r>
      <w:r>
        <w:rPr>
          <w:spacing w:val="-3"/>
        </w:rPr>
        <w:t xml:space="preserve"> </w:t>
      </w:r>
      <w:r>
        <w:t>aparecer</w:t>
      </w:r>
      <w:r>
        <w:rPr>
          <w:spacing w:val="-3"/>
        </w:rPr>
        <w:t xml:space="preserve"> </w:t>
      </w:r>
      <w:r>
        <w:t>la</w:t>
      </w:r>
      <w:r>
        <w:rPr>
          <w:spacing w:val="-3"/>
        </w:rPr>
        <w:t xml:space="preserve"> </w:t>
      </w:r>
      <w:r>
        <w:t>nueva</w:t>
      </w:r>
      <w:r>
        <w:rPr>
          <w:spacing w:val="-3"/>
        </w:rPr>
        <w:t xml:space="preserve"> </w:t>
      </w:r>
      <w:r>
        <w:t>generación</w:t>
      </w:r>
      <w:r>
        <w:rPr>
          <w:spacing w:val="-3"/>
        </w:rPr>
        <w:t xml:space="preserve"> </w:t>
      </w:r>
      <w:r>
        <w:t>paramilitar</w:t>
      </w:r>
      <w:r>
        <w:rPr>
          <w:spacing w:val="-3"/>
        </w:rPr>
        <w:t xml:space="preserve"> </w:t>
      </w:r>
      <w:r>
        <w:t>bajo</w:t>
      </w:r>
      <w:r>
        <w:rPr>
          <w:spacing w:val="-5"/>
        </w:rPr>
        <w:t xml:space="preserve"> </w:t>
      </w:r>
      <w:r>
        <w:t>la</w:t>
      </w:r>
      <w:r>
        <w:rPr>
          <w:spacing w:val="-3"/>
        </w:rPr>
        <w:t xml:space="preserve"> </w:t>
      </w:r>
      <w:r>
        <w:t>figura</w:t>
      </w:r>
      <w:r>
        <w:rPr>
          <w:spacing w:val="-3"/>
        </w:rPr>
        <w:t xml:space="preserve"> </w:t>
      </w:r>
      <w:r>
        <w:t>de</w:t>
      </w:r>
      <w:r>
        <w:rPr>
          <w:spacing w:val="-3"/>
        </w:rPr>
        <w:t xml:space="preserve"> </w:t>
      </w:r>
      <w:r>
        <w:t>las</w:t>
      </w:r>
      <w:r>
        <w:rPr>
          <w:spacing w:val="-3"/>
        </w:rPr>
        <w:t xml:space="preserve"> </w:t>
      </w:r>
      <w:r>
        <w:t>Autodefensas</w:t>
      </w:r>
      <w:r>
        <w:rPr>
          <w:spacing w:val="-3"/>
        </w:rPr>
        <w:t xml:space="preserve"> </w:t>
      </w:r>
      <w:r>
        <w:t>Unidas</w:t>
      </w:r>
      <w:r>
        <w:rPr>
          <w:spacing w:val="-3"/>
        </w:rPr>
        <w:t xml:space="preserve"> </w:t>
      </w:r>
      <w:r>
        <w:t>de Colombia</w:t>
      </w:r>
      <w:r>
        <w:rPr>
          <w:spacing w:val="-1"/>
        </w:rPr>
        <w:t xml:space="preserve"> </w:t>
      </w:r>
      <w:r>
        <w:t>(AUC) en el</w:t>
      </w:r>
      <w:r>
        <w:rPr>
          <w:spacing w:val="-1"/>
        </w:rPr>
        <w:t xml:space="preserve"> </w:t>
      </w:r>
      <w:r>
        <w:t>escenario nacional</w:t>
      </w:r>
      <w:r>
        <w:rPr>
          <w:spacing w:val="-1"/>
        </w:rPr>
        <w:t xml:space="preserve"> </w:t>
      </w:r>
      <w:r>
        <w:t>del</w:t>
      </w:r>
      <w:r>
        <w:rPr>
          <w:spacing w:val="-1"/>
        </w:rPr>
        <w:t xml:space="preserve"> </w:t>
      </w:r>
      <w:r>
        <w:t>conflicto y, particularmente, en</w:t>
      </w:r>
      <w:r>
        <w:rPr>
          <w:spacing w:val="-1"/>
        </w:rPr>
        <w:t xml:space="preserve"> </w:t>
      </w:r>
      <w:r>
        <w:t xml:space="preserve">los territorios de histórica presencia guerrillera como Meta, Caquetá, Putumayo y Catatumbo, las </w:t>
      </w:r>
      <w:r>
        <w:lastRenderedPageBreak/>
        <w:t>comunidades campesinas y étnicas sufrieron una nueva violencia por cuenta de la disputa emprendida por estos ejércitos para controlar la producción, compra de la pasta base, seguridad</w:t>
      </w:r>
      <w:r>
        <w:rPr>
          <w:spacing w:val="-2"/>
        </w:rPr>
        <w:t xml:space="preserve"> </w:t>
      </w:r>
      <w:r>
        <w:t>en</w:t>
      </w:r>
      <w:r>
        <w:rPr>
          <w:spacing w:val="-4"/>
        </w:rPr>
        <w:t xml:space="preserve"> </w:t>
      </w:r>
      <w:r>
        <w:t>los</w:t>
      </w:r>
      <w:r>
        <w:rPr>
          <w:spacing w:val="-2"/>
        </w:rPr>
        <w:t xml:space="preserve"> </w:t>
      </w:r>
      <w:proofErr w:type="spellStart"/>
      <w:r>
        <w:t>cristalizaderos</w:t>
      </w:r>
      <w:proofErr w:type="spellEnd"/>
      <w:r>
        <w:t>,</w:t>
      </w:r>
      <w:r>
        <w:rPr>
          <w:spacing w:val="-3"/>
        </w:rPr>
        <w:t xml:space="preserve"> </w:t>
      </w:r>
      <w:r>
        <w:t>los</w:t>
      </w:r>
      <w:r>
        <w:rPr>
          <w:spacing w:val="-2"/>
        </w:rPr>
        <w:t xml:space="preserve"> </w:t>
      </w:r>
      <w:r>
        <w:t>peajes</w:t>
      </w:r>
      <w:r>
        <w:rPr>
          <w:spacing w:val="-2"/>
        </w:rPr>
        <w:t xml:space="preserve"> </w:t>
      </w:r>
      <w:r>
        <w:t>en</w:t>
      </w:r>
      <w:r>
        <w:rPr>
          <w:spacing w:val="-2"/>
        </w:rPr>
        <w:t xml:space="preserve"> </w:t>
      </w:r>
      <w:r>
        <w:t>las</w:t>
      </w:r>
      <w:r>
        <w:rPr>
          <w:spacing w:val="-3"/>
        </w:rPr>
        <w:t xml:space="preserve"> </w:t>
      </w:r>
      <w:r>
        <w:t>rutas</w:t>
      </w:r>
      <w:r>
        <w:rPr>
          <w:spacing w:val="-2"/>
        </w:rPr>
        <w:t xml:space="preserve"> </w:t>
      </w:r>
      <w:r>
        <w:t>de</w:t>
      </w:r>
      <w:r>
        <w:rPr>
          <w:spacing w:val="-2"/>
        </w:rPr>
        <w:t xml:space="preserve"> </w:t>
      </w:r>
      <w:r>
        <w:t>tráfico</w:t>
      </w:r>
      <w:r>
        <w:rPr>
          <w:spacing w:val="-2"/>
        </w:rPr>
        <w:t xml:space="preserve"> </w:t>
      </w:r>
      <w:r>
        <w:t>y</w:t>
      </w:r>
      <w:r>
        <w:rPr>
          <w:spacing w:val="-2"/>
        </w:rPr>
        <w:t xml:space="preserve"> </w:t>
      </w:r>
      <w:r>
        <w:t>la</w:t>
      </w:r>
      <w:r>
        <w:rPr>
          <w:spacing w:val="-2"/>
        </w:rPr>
        <w:t xml:space="preserve"> </w:t>
      </w:r>
      <w:r>
        <w:t>lucha</w:t>
      </w:r>
      <w:r>
        <w:rPr>
          <w:spacing w:val="-2"/>
        </w:rPr>
        <w:t xml:space="preserve"> </w:t>
      </w:r>
      <w:r>
        <w:t>contrainsurgente y territorial contra las FARC-EP y el ELN.</w:t>
      </w:r>
    </w:p>
    <w:p w:rsidR="003804AC" w:rsidRDefault="00AF18A5" w:rsidP="00F701BD">
      <w:r>
        <w:t>Algunas</w:t>
      </w:r>
      <w:r>
        <w:rPr>
          <w:spacing w:val="-4"/>
        </w:rPr>
        <w:t xml:space="preserve"> </w:t>
      </w:r>
      <w:r>
        <w:t>de</w:t>
      </w:r>
      <w:r>
        <w:rPr>
          <w:spacing w:val="-4"/>
        </w:rPr>
        <w:t xml:space="preserve"> </w:t>
      </w:r>
      <w:r>
        <w:t>las</w:t>
      </w:r>
      <w:r>
        <w:rPr>
          <w:spacing w:val="-4"/>
        </w:rPr>
        <w:t xml:space="preserve"> </w:t>
      </w:r>
      <w:r>
        <w:t>masacres</w:t>
      </w:r>
      <w:r>
        <w:rPr>
          <w:spacing w:val="-6"/>
        </w:rPr>
        <w:t xml:space="preserve"> </w:t>
      </w:r>
      <w:r>
        <w:t>más</w:t>
      </w:r>
      <w:r>
        <w:rPr>
          <w:spacing w:val="-4"/>
        </w:rPr>
        <w:t xml:space="preserve"> </w:t>
      </w:r>
      <w:r>
        <w:t>emblemáticas</w:t>
      </w:r>
      <w:r>
        <w:rPr>
          <w:spacing w:val="-4"/>
        </w:rPr>
        <w:t xml:space="preserve"> </w:t>
      </w:r>
      <w:r>
        <w:t>perpetradas</w:t>
      </w:r>
      <w:r>
        <w:rPr>
          <w:spacing w:val="-4"/>
        </w:rPr>
        <w:t xml:space="preserve"> </w:t>
      </w:r>
      <w:r>
        <w:t>por</w:t>
      </w:r>
      <w:r>
        <w:rPr>
          <w:spacing w:val="-4"/>
        </w:rPr>
        <w:t xml:space="preserve"> </w:t>
      </w:r>
      <w:r>
        <w:t>el</w:t>
      </w:r>
      <w:r>
        <w:rPr>
          <w:spacing w:val="-5"/>
        </w:rPr>
        <w:t xml:space="preserve"> </w:t>
      </w:r>
      <w:r>
        <w:t>paramilitarismo</w:t>
      </w:r>
      <w:r>
        <w:rPr>
          <w:spacing w:val="-5"/>
        </w:rPr>
        <w:t xml:space="preserve"> </w:t>
      </w:r>
      <w:r>
        <w:t>en</w:t>
      </w:r>
      <w:r>
        <w:rPr>
          <w:spacing w:val="-5"/>
        </w:rPr>
        <w:t xml:space="preserve"> </w:t>
      </w:r>
      <w:r>
        <w:t>su</w:t>
      </w:r>
      <w:r>
        <w:rPr>
          <w:spacing w:val="-5"/>
        </w:rPr>
        <w:t xml:space="preserve"> </w:t>
      </w:r>
      <w:r>
        <w:t>afán por capturar las rentas de las economías de la cocaína y llevar adelante la lucha contrainsurgente fueron las de Mapiripán, Meta, en 1997; El Placer, Putumayo, en 1998; y La</w:t>
      </w:r>
      <w:r>
        <w:rPr>
          <w:spacing w:val="-13"/>
        </w:rPr>
        <w:t xml:space="preserve"> </w:t>
      </w:r>
      <w:r>
        <w:t>Gabarra,</w:t>
      </w:r>
      <w:r>
        <w:rPr>
          <w:spacing w:val="-14"/>
        </w:rPr>
        <w:t xml:space="preserve"> </w:t>
      </w:r>
      <w:r>
        <w:t>Norte</w:t>
      </w:r>
      <w:r>
        <w:rPr>
          <w:spacing w:val="-13"/>
        </w:rPr>
        <w:t xml:space="preserve"> </w:t>
      </w:r>
      <w:r>
        <w:t>de</w:t>
      </w:r>
      <w:r>
        <w:rPr>
          <w:spacing w:val="-13"/>
        </w:rPr>
        <w:t xml:space="preserve"> </w:t>
      </w:r>
      <w:r>
        <w:t>Santander,</w:t>
      </w:r>
      <w:r>
        <w:rPr>
          <w:spacing w:val="-14"/>
        </w:rPr>
        <w:t xml:space="preserve"> </w:t>
      </w:r>
      <w:r>
        <w:t>en</w:t>
      </w:r>
      <w:r>
        <w:rPr>
          <w:spacing w:val="-13"/>
        </w:rPr>
        <w:t xml:space="preserve"> </w:t>
      </w:r>
      <w:r>
        <w:t>1999.</w:t>
      </w:r>
      <w:r>
        <w:rPr>
          <w:spacing w:val="-13"/>
        </w:rPr>
        <w:t xml:space="preserve"> </w:t>
      </w:r>
      <w:r>
        <w:t>Estas</w:t>
      </w:r>
      <w:r>
        <w:rPr>
          <w:spacing w:val="-13"/>
        </w:rPr>
        <w:t xml:space="preserve"> </w:t>
      </w:r>
      <w:r>
        <w:t>tres</w:t>
      </w:r>
      <w:r>
        <w:rPr>
          <w:spacing w:val="-13"/>
        </w:rPr>
        <w:t xml:space="preserve"> </w:t>
      </w:r>
      <w:r>
        <w:t>masacres</w:t>
      </w:r>
      <w:r>
        <w:rPr>
          <w:spacing w:val="-14"/>
        </w:rPr>
        <w:t xml:space="preserve"> </w:t>
      </w:r>
      <w:r>
        <w:t>tuvieron</w:t>
      </w:r>
      <w:r>
        <w:rPr>
          <w:spacing w:val="-13"/>
        </w:rPr>
        <w:t xml:space="preserve"> </w:t>
      </w:r>
      <w:r>
        <w:t>dos</w:t>
      </w:r>
      <w:r>
        <w:rPr>
          <w:spacing w:val="-14"/>
        </w:rPr>
        <w:t xml:space="preserve"> </w:t>
      </w:r>
      <w:r>
        <w:t>factores</w:t>
      </w:r>
      <w:r>
        <w:rPr>
          <w:spacing w:val="-13"/>
        </w:rPr>
        <w:t xml:space="preserve"> </w:t>
      </w:r>
      <w:r>
        <w:t>comunes. El</w:t>
      </w:r>
      <w:r>
        <w:rPr>
          <w:spacing w:val="-7"/>
        </w:rPr>
        <w:t xml:space="preserve"> </w:t>
      </w:r>
      <w:r>
        <w:t>primero</w:t>
      </w:r>
      <w:r>
        <w:rPr>
          <w:spacing w:val="-7"/>
        </w:rPr>
        <w:t xml:space="preserve"> </w:t>
      </w:r>
      <w:r>
        <w:t>de</w:t>
      </w:r>
      <w:r>
        <w:rPr>
          <w:spacing w:val="-7"/>
        </w:rPr>
        <w:t xml:space="preserve"> </w:t>
      </w:r>
      <w:r>
        <w:t>ellos</w:t>
      </w:r>
      <w:r>
        <w:rPr>
          <w:spacing w:val="-7"/>
        </w:rPr>
        <w:t xml:space="preserve"> </w:t>
      </w:r>
      <w:r>
        <w:t>es</w:t>
      </w:r>
      <w:r>
        <w:rPr>
          <w:spacing w:val="-8"/>
        </w:rPr>
        <w:t xml:space="preserve"> </w:t>
      </w:r>
      <w:r>
        <w:t>la</w:t>
      </w:r>
      <w:r>
        <w:rPr>
          <w:spacing w:val="-8"/>
        </w:rPr>
        <w:t xml:space="preserve"> </w:t>
      </w:r>
      <w:r>
        <w:t>responsabilidad</w:t>
      </w:r>
      <w:r>
        <w:rPr>
          <w:spacing w:val="-7"/>
        </w:rPr>
        <w:t xml:space="preserve"> </w:t>
      </w:r>
      <w:r>
        <w:t>de</w:t>
      </w:r>
      <w:r>
        <w:rPr>
          <w:spacing w:val="-7"/>
        </w:rPr>
        <w:t xml:space="preserve"> </w:t>
      </w:r>
      <w:r>
        <w:t>miembros</w:t>
      </w:r>
      <w:r>
        <w:rPr>
          <w:spacing w:val="-7"/>
        </w:rPr>
        <w:t xml:space="preserve"> </w:t>
      </w:r>
      <w:r>
        <w:t>de</w:t>
      </w:r>
      <w:r>
        <w:rPr>
          <w:spacing w:val="-7"/>
        </w:rPr>
        <w:t xml:space="preserve"> </w:t>
      </w:r>
      <w:r>
        <w:t>la</w:t>
      </w:r>
      <w:r>
        <w:rPr>
          <w:spacing w:val="-8"/>
        </w:rPr>
        <w:t xml:space="preserve"> </w:t>
      </w:r>
      <w:r>
        <w:t>fuerza</w:t>
      </w:r>
      <w:r>
        <w:rPr>
          <w:spacing w:val="-7"/>
        </w:rPr>
        <w:t xml:space="preserve"> </w:t>
      </w:r>
      <w:r>
        <w:t>pública</w:t>
      </w:r>
      <w:r>
        <w:rPr>
          <w:spacing w:val="-7"/>
        </w:rPr>
        <w:t xml:space="preserve"> </w:t>
      </w:r>
      <w:r>
        <w:t>en</w:t>
      </w:r>
      <w:r>
        <w:rPr>
          <w:spacing w:val="-7"/>
        </w:rPr>
        <w:t xml:space="preserve"> </w:t>
      </w:r>
      <w:r>
        <w:t>ellas,</w:t>
      </w:r>
      <w:r>
        <w:rPr>
          <w:spacing w:val="-7"/>
        </w:rPr>
        <w:t xml:space="preserve"> </w:t>
      </w:r>
      <w:r>
        <w:t>tanto</w:t>
      </w:r>
      <w:r>
        <w:rPr>
          <w:spacing w:val="-7"/>
        </w:rPr>
        <w:t xml:space="preserve"> </w:t>
      </w:r>
      <w:r>
        <w:t>por acción</w:t>
      </w:r>
      <w:r>
        <w:rPr>
          <w:spacing w:val="-6"/>
        </w:rPr>
        <w:t xml:space="preserve"> </w:t>
      </w:r>
      <w:r>
        <w:t>como</w:t>
      </w:r>
      <w:r>
        <w:rPr>
          <w:spacing w:val="-6"/>
        </w:rPr>
        <w:t xml:space="preserve"> </w:t>
      </w:r>
      <w:r>
        <w:t>por</w:t>
      </w:r>
      <w:r>
        <w:rPr>
          <w:spacing w:val="-6"/>
        </w:rPr>
        <w:t xml:space="preserve"> </w:t>
      </w:r>
      <w:r>
        <w:t>omisión.</w:t>
      </w:r>
      <w:r>
        <w:rPr>
          <w:spacing w:val="-5"/>
        </w:rPr>
        <w:t xml:space="preserve"> </w:t>
      </w:r>
      <w:r>
        <w:t>Con</w:t>
      </w:r>
      <w:r>
        <w:rPr>
          <w:spacing w:val="-6"/>
        </w:rPr>
        <w:t xml:space="preserve"> </w:t>
      </w:r>
      <w:r>
        <w:t>relación</w:t>
      </w:r>
      <w:r>
        <w:rPr>
          <w:spacing w:val="-5"/>
        </w:rPr>
        <w:t xml:space="preserve"> </w:t>
      </w:r>
      <w:r>
        <w:t>a</w:t>
      </w:r>
      <w:r>
        <w:rPr>
          <w:spacing w:val="-6"/>
        </w:rPr>
        <w:t xml:space="preserve"> </w:t>
      </w:r>
      <w:r>
        <w:t>la</w:t>
      </w:r>
      <w:r>
        <w:rPr>
          <w:spacing w:val="-6"/>
        </w:rPr>
        <w:t xml:space="preserve"> </w:t>
      </w:r>
      <w:r>
        <w:t>masacre</w:t>
      </w:r>
      <w:r>
        <w:rPr>
          <w:spacing w:val="-5"/>
        </w:rPr>
        <w:t xml:space="preserve"> </w:t>
      </w:r>
      <w:r>
        <w:t>de</w:t>
      </w:r>
      <w:r>
        <w:rPr>
          <w:spacing w:val="-6"/>
        </w:rPr>
        <w:t xml:space="preserve"> </w:t>
      </w:r>
      <w:r>
        <w:t>Mapiripán,</w:t>
      </w:r>
      <w:r>
        <w:rPr>
          <w:spacing w:val="-5"/>
        </w:rPr>
        <w:t xml:space="preserve"> </w:t>
      </w:r>
      <w:r>
        <w:t>la</w:t>
      </w:r>
      <w:r>
        <w:rPr>
          <w:spacing w:val="-7"/>
        </w:rPr>
        <w:t xml:space="preserve"> </w:t>
      </w:r>
      <w:r>
        <w:t>justicia</w:t>
      </w:r>
      <w:r>
        <w:rPr>
          <w:spacing w:val="-5"/>
        </w:rPr>
        <w:t xml:space="preserve"> </w:t>
      </w:r>
      <w:r>
        <w:t>colombiana</w:t>
      </w:r>
      <w:r>
        <w:rPr>
          <w:spacing w:val="-5"/>
        </w:rPr>
        <w:t xml:space="preserve"> ha</w:t>
      </w:r>
      <w:bookmarkStart w:id="761" w:name="_bookmark655"/>
      <w:bookmarkStart w:id="762" w:name="_bookmark656"/>
      <w:bookmarkEnd w:id="761"/>
      <w:bookmarkEnd w:id="762"/>
      <w:r w:rsidR="00F701BD">
        <w:rPr>
          <w:spacing w:val="-5"/>
        </w:rPr>
        <w:t xml:space="preserve"> </w:t>
      </w:r>
      <w:r>
        <w:t xml:space="preserve">documentado la participación de altos mandos militares en la acción conjunta realizada con los paramilitares, algunos como el General (R) Jaime Humberto </w:t>
      </w:r>
      <w:proofErr w:type="spellStart"/>
      <w:r>
        <w:t>Uscátegui</w:t>
      </w:r>
      <w:proofErr w:type="spellEnd"/>
      <w:r>
        <w:t>, condenado a 37 años</w:t>
      </w:r>
      <w:r>
        <w:rPr>
          <w:spacing w:val="-5"/>
        </w:rPr>
        <w:t xml:space="preserve"> </w:t>
      </w:r>
      <w:r>
        <w:t>de</w:t>
      </w:r>
      <w:r>
        <w:rPr>
          <w:spacing w:val="-5"/>
        </w:rPr>
        <w:t xml:space="preserve"> </w:t>
      </w:r>
      <w:r>
        <w:t>prisión</w:t>
      </w:r>
      <w:r>
        <w:rPr>
          <w:spacing w:val="-5"/>
        </w:rPr>
        <w:t xml:space="preserve"> </w:t>
      </w:r>
      <w:r>
        <w:t>por</w:t>
      </w:r>
      <w:r>
        <w:rPr>
          <w:spacing w:val="-4"/>
        </w:rPr>
        <w:t xml:space="preserve"> </w:t>
      </w:r>
      <w:r>
        <w:t>estos</w:t>
      </w:r>
      <w:r>
        <w:rPr>
          <w:spacing w:val="-7"/>
        </w:rPr>
        <w:t xml:space="preserve"> </w:t>
      </w:r>
      <w:r>
        <w:t>hechos.</w:t>
      </w:r>
      <w:r w:rsidR="0029429B">
        <w:rPr>
          <w:rStyle w:val="Refdenotaalpie"/>
        </w:rPr>
        <w:footnoteReference w:id="595"/>
      </w:r>
      <w:r>
        <w:rPr>
          <w:spacing w:val="-4"/>
        </w:rPr>
        <w:t xml:space="preserve"> </w:t>
      </w:r>
      <w:r>
        <w:t>En</w:t>
      </w:r>
      <w:r>
        <w:rPr>
          <w:spacing w:val="-5"/>
        </w:rPr>
        <w:t xml:space="preserve"> </w:t>
      </w:r>
      <w:r>
        <w:t>la</w:t>
      </w:r>
      <w:r>
        <w:rPr>
          <w:spacing w:val="-5"/>
        </w:rPr>
        <w:t xml:space="preserve"> </w:t>
      </w:r>
      <w:r>
        <w:t>masacre</w:t>
      </w:r>
      <w:r>
        <w:rPr>
          <w:spacing w:val="-5"/>
        </w:rPr>
        <w:t xml:space="preserve"> </w:t>
      </w:r>
      <w:r>
        <w:t>de</w:t>
      </w:r>
      <w:r>
        <w:rPr>
          <w:spacing w:val="-5"/>
        </w:rPr>
        <w:t xml:space="preserve"> </w:t>
      </w:r>
      <w:r>
        <w:t>El</w:t>
      </w:r>
      <w:r>
        <w:rPr>
          <w:spacing w:val="-4"/>
        </w:rPr>
        <w:t xml:space="preserve"> </w:t>
      </w:r>
      <w:r>
        <w:t>Placer,</w:t>
      </w:r>
      <w:r>
        <w:rPr>
          <w:spacing w:val="-6"/>
        </w:rPr>
        <w:t xml:space="preserve"> </w:t>
      </w:r>
      <w:r>
        <w:t>paramilitares</w:t>
      </w:r>
      <w:r>
        <w:rPr>
          <w:spacing w:val="-5"/>
        </w:rPr>
        <w:t xml:space="preserve"> </w:t>
      </w:r>
      <w:r>
        <w:t>le</w:t>
      </w:r>
      <w:r>
        <w:rPr>
          <w:spacing w:val="-6"/>
        </w:rPr>
        <w:t xml:space="preserve"> </w:t>
      </w:r>
      <w:r>
        <w:t>han</w:t>
      </w:r>
      <w:r>
        <w:rPr>
          <w:spacing w:val="-6"/>
        </w:rPr>
        <w:t xml:space="preserve"> </w:t>
      </w:r>
      <w:r>
        <w:t>relatado a Justicia y Paz que los militares sabían de su ingreso a la región y su objetivo de entrar a sangre</w:t>
      </w:r>
      <w:r>
        <w:rPr>
          <w:spacing w:val="-2"/>
        </w:rPr>
        <w:t xml:space="preserve"> </w:t>
      </w:r>
      <w:r>
        <w:t>y</w:t>
      </w:r>
      <w:r>
        <w:rPr>
          <w:spacing w:val="-4"/>
        </w:rPr>
        <w:t xml:space="preserve"> </w:t>
      </w:r>
      <w:r>
        <w:t>fuego</w:t>
      </w:r>
      <w:r>
        <w:rPr>
          <w:spacing w:val="-2"/>
        </w:rPr>
        <w:t xml:space="preserve"> </w:t>
      </w:r>
      <w:r>
        <w:t>al</w:t>
      </w:r>
      <w:r>
        <w:rPr>
          <w:spacing w:val="-2"/>
        </w:rPr>
        <w:t xml:space="preserve"> </w:t>
      </w:r>
      <w:r>
        <w:t>corregimiento,</w:t>
      </w:r>
      <w:r>
        <w:rPr>
          <w:spacing w:val="-2"/>
        </w:rPr>
        <w:t xml:space="preserve"> </w:t>
      </w:r>
      <w:r>
        <w:t>sin</w:t>
      </w:r>
      <w:r>
        <w:rPr>
          <w:spacing w:val="-4"/>
        </w:rPr>
        <w:t xml:space="preserve"> </w:t>
      </w:r>
      <w:r>
        <w:t>que</w:t>
      </w:r>
      <w:r>
        <w:rPr>
          <w:spacing w:val="-2"/>
        </w:rPr>
        <w:t xml:space="preserve"> </w:t>
      </w:r>
      <w:r>
        <w:t>estos</w:t>
      </w:r>
      <w:r>
        <w:rPr>
          <w:spacing w:val="-2"/>
        </w:rPr>
        <w:t xml:space="preserve"> </w:t>
      </w:r>
      <w:r>
        <w:t>hicieran</w:t>
      </w:r>
      <w:r>
        <w:rPr>
          <w:spacing w:val="-2"/>
        </w:rPr>
        <w:t xml:space="preserve"> </w:t>
      </w:r>
      <w:r>
        <w:t>nada</w:t>
      </w:r>
      <w:r>
        <w:rPr>
          <w:spacing w:val="-3"/>
        </w:rPr>
        <w:t xml:space="preserve"> </w:t>
      </w:r>
      <w:r>
        <w:t>para</w:t>
      </w:r>
      <w:r>
        <w:rPr>
          <w:spacing w:val="-2"/>
        </w:rPr>
        <w:t xml:space="preserve"> </w:t>
      </w:r>
      <w:r>
        <w:t>evitar</w:t>
      </w:r>
      <w:r>
        <w:rPr>
          <w:spacing w:val="-2"/>
        </w:rPr>
        <w:t xml:space="preserve"> </w:t>
      </w:r>
      <w:r>
        <w:t>su</w:t>
      </w:r>
      <w:r>
        <w:rPr>
          <w:spacing w:val="-2"/>
        </w:rPr>
        <w:t xml:space="preserve"> </w:t>
      </w:r>
      <w:r>
        <w:t>accionar</w:t>
      </w:r>
      <w:r w:rsidR="0029429B">
        <w:rPr>
          <w:rStyle w:val="Refdenotaalpie"/>
        </w:rPr>
        <w:footnoteReference w:id="596"/>
      </w:r>
      <w:r>
        <w:t>.</w:t>
      </w:r>
      <w:r>
        <w:rPr>
          <w:spacing w:val="-4"/>
        </w:rPr>
        <w:t xml:space="preserve"> </w:t>
      </w:r>
      <w:r>
        <w:t>En</w:t>
      </w:r>
      <w:r>
        <w:rPr>
          <w:spacing w:val="-2"/>
        </w:rPr>
        <w:t xml:space="preserve"> </w:t>
      </w:r>
      <w:r>
        <w:t>la de</w:t>
      </w:r>
      <w:r>
        <w:rPr>
          <w:spacing w:val="-7"/>
        </w:rPr>
        <w:t xml:space="preserve"> </w:t>
      </w:r>
      <w:r>
        <w:t>La</w:t>
      </w:r>
      <w:r>
        <w:rPr>
          <w:spacing w:val="-7"/>
        </w:rPr>
        <w:t xml:space="preserve"> </w:t>
      </w:r>
      <w:r>
        <w:t>Gabarra</w:t>
      </w:r>
      <w:r>
        <w:rPr>
          <w:spacing w:val="-7"/>
        </w:rPr>
        <w:t xml:space="preserve"> </w:t>
      </w:r>
      <w:r>
        <w:t>ocurrió</w:t>
      </w:r>
      <w:r>
        <w:rPr>
          <w:spacing w:val="-7"/>
        </w:rPr>
        <w:t xml:space="preserve"> </w:t>
      </w:r>
      <w:r>
        <w:t>lo</w:t>
      </w:r>
      <w:r>
        <w:rPr>
          <w:spacing w:val="-8"/>
        </w:rPr>
        <w:t xml:space="preserve"> </w:t>
      </w:r>
      <w:r>
        <w:t>mismo:</w:t>
      </w:r>
      <w:r>
        <w:rPr>
          <w:spacing w:val="-7"/>
        </w:rPr>
        <w:t xml:space="preserve"> </w:t>
      </w:r>
      <w:r>
        <w:t>los</w:t>
      </w:r>
      <w:r>
        <w:rPr>
          <w:spacing w:val="-8"/>
        </w:rPr>
        <w:t xml:space="preserve"> </w:t>
      </w:r>
      <w:r>
        <w:t>militares</w:t>
      </w:r>
      <w:r>
        <w:rPr>
          <w:spacing w:val="-7"/>
        </w:rPr>
        <w:t xml:space="preserve"> </w:t>
      </w:r>
      <w:r>
        <w:t>participaron</w:t>
      </w:r>
      <w:r>
        <w:rPr>
          <w:spacing w:val="-7"/>
        </w:rPr>
        <w:t xml:space="preserve"> </w:t>
      </w:r>
      <w:r>
        <w:t>facilitando</w:t>
      </w:r>
      <w:r>
        <w:rPr>
          <w:spacing w:val="-7"/>
        </w:rPr>
        <w:t xml:space="preserve"> </w:t>
      </w:r>
      <w:r>
        <w:t>la</w:t>
      </w:r>
      <w:r>
        <w:rPr>
          <w:spacing w:val="-7"/>
        </w:rPr>
        <w:t xml:space="preserve"> </w:t>
      </w:r>
      <w:r>
        <w:t>entrada</w:t>
      </w:r>
      <w:r>
        <w:rPr>
          <w:spacing w:val="-7"/>
        </w:rPr>
        <w:t xml:space="preserve"> </w:t>
      </w:r>
      <w:r>
        <w:t xml:space="preserve">paramilitar; </w:t>
      </w:r>
      <w:r>
        <w:rPr>
          <w:spacing w:val="-2"/>
        </w:rPr>
        <w:t>por</w:t>
      </w:r>
      <w:r>
        <w:rPr>
          <w:spacing w:val="-3"/>
        </w:rPr>
        <w:t xml:space="preserve"> </w:t>
      </w:r>
      <w:r>
        <w:rPr>
          <w:spacing w:val="-2"/>
        </w:rPr>
        <w:t>tales</w:t>
      </w:r>
      <w:r>
        <w:rPr>
          <w:spacing w:val="-4"/>
        </w:rPr>
        <w:t xml:space="preserve"> </w:t>
      </w:r>
      <w:r>
        <w:rPr>
          <w:spacing w:val="-2"/>
        </w:rPr>
        <w:t>hechos,</w:t>
      </w:r>
      <w:r>
        <w:rPr>
          <w:spacing w:val="-4"/>
        </w:rPr>
        <w:t xml:space="preserve"> </w:t>
      </w:r>
      <w:r>
        <w:rPr>
          <w:spacing w:val="-2"/>
        </w:rPr>
        <w:t>el</w:t>
      </w:r>
      <w:r>
        <w:rPr>
          <w:spacing w:val="-3"/>
        </w:rPr>
        <w:t xml:space="preserve"> </w:t>
      </w:r>
      <w:r>
        <w:rPr>
          <w:spacing w:val="-2"/>
        </w:rPr>
        <w:t>Tribunal</w:t>
      </w:r>
      <w:r>
        <w:rPr>
          <w:spacing w:val="-3"/>
        </w:rPr>
        <w:t xml:space="preserve"> </w:t>
      </w:r>
      <w:r>
        <w:rPr>
          <w:spacing w:val="-2"/>
        </w:rPr>
        <w:t>Administrativo</w:t>
      </w:r>
      <w:r>
        <w:rPr>
          <w:spacing w:val="-4"/>
        </w:rPr>
        <w:t xml:space="preserve"> </w:t>
      </w:r>
      <w:r>
        <w:rPr>
          <w:spacing w:val="-2"/>
        </w:rPr>
        <w:t>de</w:t>
      </w:r>
      <w:r>
        <w:rPr>
          <w:spacing w:val="-4"/>
        </w:rPr>
        <w:t xml:space="preserve"> </w:t>
      </w:r>
      <w:r>
        <w:rPr>
          <w:spacing w:val="-2"/>
        </w:rPr>
        <w:t>Cundinamarca</w:t>
      </w:r>
      <w:r>
        <w:rPr>
          <w:spacing w:val="-6"/>
        </w:rPr>
        <w:t xml:space="preserve"> </w:t>
      </w:r>
      <w:r>
        <w:rPr>
          <w:spacing w:val="-2"/>
        </w:rPr>
        <w:t>condenó</w:t>
      </w:r>
      <w:r>
        <w:rPr>
          <w:spacing w:val="-4"/>
        </w:rPr>
        <w:t xml:space="preserve"> </w:t>
      </w:r>
      <w:r>
        <w:rPr>
          <w:spacing w:val="-2"/>
        </w:rPr>
        <w:t>al</w:t>
      </w:r>
      <w:r>
        <w:rPr>
          <w:spacing w:val="-3"/>
        </w:rPr>
        <w:t xml:space="preserve"> </w:t>
      </w:r>
      <w:r>
        <w:rPr>
          <w:spacing w:val="-2"/>
        </w:rPr>
        <w:t>Estado</w:t>
      </w:r>
      <w:r>
        <w:rPr>
          <w:spacing w:val="-4"/>
        </w:rPr>
        <w:t xml:space="preserve"> </w:t>
      </w:r>
      <w:r>
        <w:rPr>
          <w:spacing w:val="-2"/>
        </w:rPr>
        <w:t xml:space="preserve">colombiano </w:t>
      </w:r>
      <w:r>
        <w:t>y</w:t>
      </w:r>
      <w:r>
        <w:rPr>
          <w:spacing w:val="-4"/>
        </w:rPr>
        <w:t xml:space="preserve"> </w:t>
      </w:r>
      <w:r>
        <w:t>le</w:t>
      </w:r>
      <w:r>
        <w:rPr>
          <w:spacing w:val="-3"/>
        </w:rPr>
        <w:t xml:space="preserve"> </w:t>
      </w:r>
      <w:r>
        <w:t>impuso</w:t>
      </w:r>
      <w:r>
        <w:rPr>
          <w:spacing w:val="-5"/>
        </w:rPr>
        <w:t xml:space="preserve"> </w:t>
      </w:r>
      <w:r>
        <w:t>la</w:t>
      </w:r>
      <w:r>
        <w:rPr>
          <w:spacing w:val="-3"/>
        </w:rPr>
        <w:t xml:space="preserve"> </w:t>
      </w:r>
      <w:r>
        <w:t>sanción</w:t>
      </w:r>
      <w:r>
        <w:rPr>
          <w:spacing w:val="-4"/>
        </w:rPr>
        <w:t xml:space="preserve"> </w:t>
      </w:r>
      <w:r>
        <w:t>de</w:t>
      </w:r>
      <w:r>
        <w:rPr>
          <w:spacing w:val="-3"/>
        </w:rPr>
        <w:t xml:space="preserve"> </w:t>
      </w:r>
      <w:r>
        <w:t>pagar</w:t>
      </w:r>
      <w:r>
        <w:rPr>
          <w:spacing w:val="-3"/>
        </w:rPr>
        <w:t xml:space="preserve"> </w:t>
      </w:r>
      <w:r>
        <w:t>45</w:t>
      </w:r>
      <w:r>
        <w:rPr>
          <w:spacing w:val="-5"/>
        </w:rPr>
        <w:t xml:space="preserve"> </w:t>
      </w:r>
      <w:r>
        <w:t>mil</w:t>
      </w:r>
      <w:r>
        <w:rPr>
          <w:spacing w:val="-4"/>
        </w:rPr>
        <w:t xml:space="preserve"> </w:t>
      </w:r>
      <w:r>
        <w:t>millones</w:t>
      </w:r>
      <w:r>
        <w:rPr>
          <w:spacing w:val="-5"/>
        </w:rPr>
        <w:t xml:space="preserve"> </w:t>
      </w:r>
      <w:r>
        <w:t>de</w:t>
      </w:r>
      <w:r>
        <w:rPr>
          <w:spacing w:val="-3"/>
        </w:rPr>
        <w:t xml:space="preserve"> </w:t>
      </w:r>
      <w:r>
        <w:t>pesos</w:t>
      </w:r>
      <w:r>
        <w:rPr>
          <w:spacing w:val="-3"/>
        </w:rPr>
        <w:t xml:space="preserve"> </w:t>
      </w:r>
      <w:r>
        <w:t>a</w:t>
      </w:r>
      <w:r>
        <w:rPr>
          <w:spacing w:val="-3"/>
        </w:rPr>
        <w:t xml:space="preserve"> </w:t>
      </w:r>
      <w:r>
        <w:t>un</w:t>
      </w:r>
      <w:r>
        <w:rPr>
          <w:spacing w:val="-4"/>
        </w:rPr>
        <w:t xml:space="preserve"> </w:t>
      </w:r>
      <w:r>
        <w:t>grupo</w:t>
      </w:r>
      <w:r>
        <w:rPr>
          <w:spacing w:val="-4"/>
        </w:rPr>
        <w:t xml:space="preserve"> </w:t>
      </w:r>
      <w:r>
        <w:t>de</w:t>
      </w:r>
      <w:r>
        <w:rPr>
          <w:spacing w:val="-3"/>
        </w:rPr>
        <w:t xml:space="preserve"> </w:t>
      </w:r>
      <w:r>
        <w:t>120</w:t>
      </w:r>
      <w:r>
        <w:rPr>
          <w:spacing w:val="-4"/>
        </w:rPr>
        <w:t xml:space="preserve"> </w:t>
      </w:r>
      <w:r>
        <w:t>víctimas</w:t>
      </w:r>
      <w:r>
        <w:rPr>
          <w:spacing w:val="-5"/>
        </w:rPr>
        <w:t xml:space="preserve"> </w:t>
      </w:r>
      <w:r>
        <w:t>de</w:t>
      </w:r>
      <w:r>
        <w:rPr>
          <w:spacing w:val="-3"/>
        </w:rPr>
        <w:t xml:space="preserve"> </w:t>
      </w:r>
      <w:r>
        <w:t xml:space="preserve">esta </w:t>
      </w:r>
      <w:r>
        <w:rPr>
          <w:spacing w:val="-2"/>
        </w:rPr>
        <w:t>masacre</w:t>
      </w:r>
      <w:r w:rsidR="0029429B">
        <w:rPr>
          <w:rStyle w:val="Refdenotaalpie"/>
          <w:spacing w:val="-2"/>
        </w:rPr>
        <w:footnoteReference w:id="597"/>
      </w:r>
      <w:r>
        <w:rPr>
          <w:spacing w:val="-2"/>
        </w:rPr>
        <w:t>.</w:t>
      </w:r>
    </w:p>
    <w:p w:rsidR="003804AC" w:rsidRDefault="00AF18A5" w:rsidP="0029429B">
      <w:r>
        <w:t xml:space="preserve">Como han mostrado varias investigaciones, existe un relacionamiento </w:t>
      </w:r>
      <w:r>
        <w:lastRenderedPageBreak/>
        <w:t>directo entre el fortalecimiento</w:t>
      </w:r>
      <w:r>
        <w:rPr>
          <w:spacing w:val="-15"/>
        </w:rPr>
        <w:t xml:space="preserve"> </w:t>
      </w:r>
      <w:r>
        <w:t>del</w:t>
      </w:r>
      <w:r>
        <w:rPr>
          <w:spacing w:val="-15"/>
        </w:rPr>
        <w:t xml:space="preserve"> </w:t>
      </w:r>
      <w:r>
        <w:t>paramilitarismo</w:t>
      </w:r>
      <w:r>
        <w:rPr>
          <w:spacing w:val="-15"/>
        </w:rPr>
        <w:t xml:space="preserve"> </w:t>
      </w:r>
      <w:r>
        <w:t>y</w:t>
      </w:r>
      <w:r>
        <w:rPr>
          <w:spacing w:val="-15"/>
        </w:rPr>
        <w:t xml:space="preserve"> </w:t>
      </w:r>
      <w:r>
        <w:t>el</w:t>
      </w:r>
      <w:r>
        <w:rPr>
          <w:spacing w:val="-15"/>
        </w:rPr>
        <w:t xml:space="preserve"> </w:t>
      </w:r>
      <w:r>
        <w:t>narcotráfico,</w:t>
      </w:r>
      <w:r>
        <w:rPr>
          <w:spacing w:val="-15"/>
        </w:rPr>
        <w:t xml:space="preserve"> </w:t>
      </w:r>
      <w:r>
        <w:t>pues</w:t>
      </w:r>
      <w:r>
        <w:rPr>
          <w:spacing w:val="-15"/>
        </w:rPr>
        <w:t xml:space="preserve"> </w:t>
      </w:r>
      <w:r>
        <w:t>«al</w:t>
      </w:r>
      <w:r>
        <w:rPr>
          <w:spacing w:val="-15"/>
        </w:rPr>
        <w:t xml:space="preserve"> </w:t>
      </w:r>
      <w:r>
        <w:t>superponer</w:t>
      </w:r>
      <w:r>
        <w:rPr>
          <w:spacing w:val="-15"/>
        </w:rPr>
        <w:t xml:space="preserve"> </w:t>
      </w:r>
      <w:r>
        <w:t>el</w:t>
      </w:r>
      <w:r>
        <w:rPr>
          <w:spacing w:val="-15"/>
        </w:rPr>
        <w:t xml:space="preserve"> </w:t>
      </w:r>
      <w:r>
        <w:t>mapa</w:t>
      </w:r>
      <w:r>
        <w:rPr>
          <w:spacing w:val="-15"/>
        </w:rPr>
        <w:t xml:space="preserve"> </w:t>
      </w:r>
      <w:r>
        <w:t>de</w:t>
      </w:r>
      <w:r>
        <w:rPr>
          <w:spacing w:val="-15"/>
        </w:rPr>
        <w:t xml:space="preserve"> </w:t>
      </w:r>
      <w:r>
        <w:t>cultivos y rutas sobre la senda de la expansión paramilitar, la conclusión salta a la vista»</w:t>
      </w:r>
      <w:r w:rsidR="0029429B">
        <w:rPr>
          <w:rStyle w:val="Refdenotaalpie"/>
        </w:rPr>
        <w:footnoteReference w:id="598"/>
      </w:r>
      <w:r>
        <w:t>. Esto no dista de lo relatado a la Comisión de la Verdad por parte de un exasesor de las AUC; según él, Vicente Castaño le recalcó a su hermano, Carlos, que la guerra se hacía controlando el narcotráfico y que el camino contrainsurgente iba en contravía del camino económico y de la riqueza</w:t>
      </w:r>
      <w:r w:rsidR="0029429B">
        <w:rPr>
          <w:rStyle w:val="Refdenotaalpie"/>
        </w:rPr>
        <w:footnoteReference w:id="599"/>
      </w:r>
      <w:r>
        <w:t>.</w:t>
      </w:r>
    </w:p>
    <w:p w:rsidR="003804AC" w:rsidRDefault="00AF18A5" w:rsidP="0029429B">
      <w:r>
        <w:t>Estos</w:t>
      </w:r>
      <w:r>
        <w:rPr>
          <w:spacing w:val="-2"/>
        </w:rPr>
        <w:t xml:space="preserve"> </w:t>
      </w:r>
      <w:r>
        <w:t>mecanismos</w:t>
      </w:r>
      <w:r>
        <w:rPr>
          <w:spacing w:val="-2"/>
        </w:rPr>
        <w:t xml:space="preserve"> </w:t>
      </w:r>
      <w:r>
        <w:t>de</w:t>
      </w:r>
      <w:r>
        <w:rPr>
          <w:spacing w:val="-2"/>
        </w:rPr>
        <w:t xml:space="preserve"> </w:t>
      </w:r>
      <w:r>
        <w:t>financiación</w:t>
      </w:r>
      <w:r>
        <w:rPr>
          <w:spacing w:val="-2"/>
        </w:rPr>
        <w:t xml:space="preserve"> </w:t>
      </w:r>
      <w:r>
        <w:t>no</w:t>
      </w:r>
      <w:r>
        <w:rPr>
          <w:spacing w:val="-3"/>
        </w:rPr>
        <w:t xml:space="preserve"> </w:t>
      </w:r>
      <w:r>
        <w:t>fueron</w:t>
      </w:r>
      <w:r>
        <w:rPr>
          <w:spacing w:val="-2"/>
        </w:rPr>
        <w:t xml:space="preserve"> </w:t>
      </w:r>
      <w:r>
        <w:t>clandestinos.</w:t>
      </w:r>
      <w:r>
        <w:rPr>
          <w:spacing w:val="-2"/>
        </w:rPr>
        <w:t xml:space="preserve"> </w:t>
      </w:r>
      <w:r>
        <w:t>Las</w:t>
      </w:r>
      <w:r>
        <w:rPr>
          <w:spacing w:val="-2"/>
        </w:rPr>
        <w:t xml:space="preserve"> </w:t>
      </w:r>
      <w:r>
        <w:t>armas,</w:t>
      </w:r>
      <w:r>
        <w:rPr>
          <w:spacing w:val="-3"/>
        </w:rPr>
        <w:t xml:space="preserve"> </w:t>
      </w:r>
      <w:r>
        <w:t>los</w:t>
      </w:r>
      <w:r>
        <w:rPr>
          <w:spacing w:val="-3"/>
        </w:rPr>
        <w:t xml:space="preserve"> </w:t>
      </w:r>
      <w:r>
        <w:t>combatientes</w:t>
      </w:r>
      <w:r>
        <w:rPr>
          <w:spacing w:val="-2"/>
        </w:rPr>
        <w:t xml:space="preserve"> </w:t>
      </w:r>
      <w:r>
        <w:t>y las rentas de la guerra se organizaron con un flujo de dinero que permitiera convertir los recursos</w:t>
      </w:r>
      <w:r>
        <w:rPr>
          <w:spacing w:val="-12"/>
        </w:rPr>
        <w:t xml:space="preserve"> </w:t>
      </w:r>
      <w:r>
        <w:t>del</w:t>
      </w:r>
      <w:r>
        <w:rPr>
          <w:spacing w:val="-13"/>
        </w:rPr>
        <w:t xml:space="preserve"> </w:t>
      </w:r>
      <w:r>
        <w:t>narcotráfico</w:t>
      </w:r>
      <w:r>
        <w:rPr>
          <w:spacing w:val="-12"/>
        </w:rPr>
        <w:t xml:space="preserve"> </w:t>
      </w:r>
      <w:r>
        <w:t>en</w:t>
      </w:r>
      <w:r>
        <w:rPr>
          <w:spacing w:val="-12"/>
        </w:rPr>
        <w:t xml:space="preserve"> </w:t>
      </w:r>
      <w:r>
        <w:t>dinero</w:t>
      </w:r>
      <w:r>
        <w:rPr>
          <w:spacing w:val="-12"/>
        </w:rPr>
        <w:t xml:space="preserve"> </w:t>
      </w:r>
      <w:r>
        <w:t>legal</w:t>
      </w:r>
      <w:r>
        <w:rPr>
          <w:spacing w:val="-11"/>
        </w:rPr>
        <w:t xml:space="preserve"> </w:t>
      </w:r>
      <w:r>
        <w:t>en</w:t>
      </w:r>
      <w:r>
        <w:rPr>
          <w:spacing w:val="-12"/>
        </w:rPr>
        <w:t xml:space="preserve"> </w:t>
      </w:r>
      <w:r>
        <w:t>los</w:t>
      </w:r>
      <w:r>
        <w:rPr>
          <w:spacing w:val="-12"/>
        </w:rPr>
        <w:t xml:space="preserve"> </w:t>
      </w:r>
      <w:r>
        <w:t>ejércitos</w:t>
      </w:r>
      <w:r>
        <w:rPr>
          <w:spacing w:val="-12"/>
        </w:rPr>
        <w:t xml:space="preserve"> </w:t>
      </w:r>
      <w:r>
        <w:t>paramilitares.</w:t>
      </w:r>
      <w:r>
        <w:rPr>
          <w:spacing w:val="-12"/>
        </w:rPr>
        <w:t xml:space="preserve"> </w:t>
      </w:r>
      <w:r>
        <w:t>Por</w:t>
      </w:r>
      <w:r>
        <w:rPr>
          <w:spacing w:val="-11"/>
        </w:rPr>
        <w:t xml:space="preserve"> </w:t>
      </w:r>
      <w:r>
        <w:t>ejemplo,</w:t>
      </w:r>
      <w:r>
        <w:rPr>
          <w:spacing w:val="-12"/>
        </w:rPr>
        <w:t xml:space="preserve"> </w:t>
      </w:r>
      <w:r>
        <w:t>el</w:t>
      </w:r>
      <w:r>
        <w:rPr>
          <w:spacing w:val="-12"/>
        </w:rPr>
        <w:t xml:space="preserve"> </w:t>
      </w:r>
      <w:r>
        <w:t>interés por abrir el campo para la empresa criminal en los Llanos Orientales se explica por las ventajas comparativas en términos de explotación del narcotráfico y de otras fuentes de rentas,</w:t>
      </w:r>
      <w:r>
        <w:rPr>
          <w:spacing w:val="-2"/>
        </w:rPr>
        <w:t xml:space="preserve"> </w:t>
      </w:r>
      <w:r>
        <w:t>como</w:t>
      </w:r>
      <w:r>
        <w:rPr>
          <w:spacing w:val="-2"/>
        </w:rPr>
        <w:t xml:space="preserve"> </w:t>
      </w:r>
      <w:r>
        <w:t>lo explica un exmiembro de la organización, financiero del</w:t>
      </w:r>
      <w:r>
        <w:rPr>
          <w:spacing w:val="-1"/>
        </w:rPr>
        <w:t xml:space="preserve"> </w:t>
      </w:r>
      <w:r>
        <w:t>Bloque Centauros:</w:t>
      </w:r>
    </w:p>
    <w:p w:rsidR="003804AC" w:rsidRDefault="00AF18A5" w:rsidP="0029429B">
      <w:r>
        <w:t>«[...]</w:t>
      </w:r>
      <w:r>
        <w:rPr>
          <w:spacing w:val="-10"/>
        </w:rPr>
        <w:t xml:space="preserve"> </w:t>
      </w:r>
      <w:r>
        <w:t>recuerden</w:t>
      </w:r>
      <w:r>
        <w:rPr>
          <w:spacing w:val="-11"/>
        </w:rPr>
        <w:t xml:space="preserve"> </w:t>
      </w:r>
      <w:r>
        <w:t>ustedes</w:t>
      </w:r>
      <w:r>
        <w:rPr>
          <w:spacing w:val="-12"/>
        </w:rPr>
        <w:t xml:space="preserve"> </w:t>
      </w:r>
      <w:r>
        <w:t>que</w:t>
      </w:r>
      <w:r>
        <w:rPr>
          <w:spacing w:val="-11"/>
        </w:rPr>
        <w:t xml:space="preserve"> </w:t>
      </w:r>
      <w:r>
        <w:t>la</w:t>
      </w:r>
      <w:r>
        <w:rPr>
          <w:spacing w:val="-11"/>
        </w:rPr>
        <w:t xml:space="preserve"> </w:t>
      </w:r>
      <w:r>
        <w:t>Orinoquía</w:t>
      </w:r>
      <w:r>
        <w:rPr>
          <w:spacing w:val="-11"/>
        </w:rPr>
        <w:t xml:space="preserve"> </w:t>
      </w:r>
      <w:r>
        <w:t>es</w:t>
      </w:r>
      <w:r>
        <w:rPr>
          <w:spacing w:val="-11"/>
        </w:rPr>
        <w:t xml:space="preserve"> </w:t>
      </w:r>
      <w:r>
        <w:t>el</w:t>
      </w:r>
      <w:r>
        <w:rPr>
          <w:spacing w:val="-10"/>
        </w:rPr>
        <w:t xml:space="preserve"> </w:t>
      </w:r>
      <w:r>
        <w:t>50</w:t>
      </w:r>
      <w:r>
        <w:rPr>
          <w:spacing w:val="-4"/>
        </w:rPr>
        <w:t xml:space="preserve"> </w:t>
      </w:r>
      <w:r>
        <w:t>%</w:t>
      </w:r>
      <w:r>
        <w:rPr>
          <w:spacing w:val="-10"/>
        </w:rPr>
        <w:t xml:space="preserve"> </w:t>
      </w:r>
      <w:r>
        <w:t>del</w:t>
      </w:r>
      <w:r>
        <w:rPr>
          <w:spacing w:val="-10"/>
        </w:rPr>
        <w:t xml:space="preserve"> </w:t>
      </w:r>
      <w:r>
        <w:t>país</w:t>
      </w:r>
      <w:r>
        <w:rPr>
          <w:spacing w:val="-11"/>
        </w:rPr>
        <w:t xml:space="preserve"> </w:t>
      </w:r>
      <w:r>
        <w:t>y</w:t>
      </w:r>
      <w:r>
        <w:rPr>
          <w:spacing w:val="-12"/>
        </w:rPr>
        <w:t xml:space="preserve"> </w:t>
      </w:r>
      <w:r>
        <w:t>que</w:t>
      </w:r>
      <w:r>
        <w:rPr>
          <w:spacing w:val="-11"/>
        </w:rPr>
        <w:t xml:space="preserve"> </w:t>
      </w:r>
      <w:r>
        <w:t>con</w:t>
      </w:r>
      <w:r>
        <w:rPr>
          <w:spacing w:val="-11"/>
        </w:rPr>
        <w:t xml:space="preserve"> </w:t>
      </w:r>
      <w:r>
        <w:t>ese</w:t>
      </w:r>
      <w:r>
        <w:rPr>
          <w:spacing w:val="-11"/>
        </w:rPr>
        <w:t xml:space="preserve"> </w:t>
      </w:r>
      <w:r>
        <w:t>50</w:t>
      </w:r>
      <w:r>
        <w:rPr>
          <w:spacing w:val="-3"/>
        </w:rPr>
        <w:t xml:space="preserve"> </w:t>
      </w:r>
      <w:r>
        <w:t>%</w:t>
      </w:r>
      <w:r>
        <w:rPr>
          <w:spacing w:val="-10"/>
        </w:rPr>
        <w:t xml:space="preserve"> </w:t>
      </w:r>
      <w:r>
        <w:t>se</w:t>
      </w:r>
      <w:r>
        <w:rPr>
          <w:spacing w:val="-11"/>
        </w:rPr>
        <w:t xml:space="preserve"> </w:t>
      </w:r>
      <w:r>
        <w:t>pueden hacer</w:t>
      </w:r>
      <w:r>
        <w:rPr>
          <w:spacing w:val="28"/>
        </w:rPr>
        <w:t xml:space="preserve"> </w:t>
      </w:r>
      <w:r>
        <w:t>finanzas</w:t>
      </w:r>
      <w:r>
        <w:rPr>
          <w:spacing w:val="31"/>
        </w:rPr>
        <w:t xml:space="preserve"> </w:t>
      </w:r>
      <w:r>
        <w:t>importantes</w:t>
      </w:r>
      <w:r>
        <w:rPr>
          <w:spacing w:val="31"/>
        </w:rPr>
        <w:t xml:space="preserve"> </w:t>
      </w:r>
      <w:r>
        <w:t>en</w:t>
      </w:r>
      <w:r>
        <w:rPr>
          <w:spacing w:val="32"/>
        </w:rPr>
        <w:t xml:space="preserve"> </w:t>
      </w:r>
      <w:r>
        <w:t>términos</w:t>
      </w:r>
      <w:r>
        <w:rPr>
          <w:spacing w:val="31"/>
        </w:rPr>
        <w:t xml:space="preserve"> </w:t>
      </w:r>
      <w:r>
        <w:t>de</w:t>
      </w:r>
      <w:r>
        <w:rPr>
          <w:spacing w:val="31"/>
        </w:rPr>
        <w:t xml:space="preserve"> </w:t>
      </w:r>
      <w:r>
        <w:t>ganaderos,</w:t>
      </w:r>
      <w:r>
        <w:rPr>
          <w:spacing w:val="31"/>
        </w:rPr>
        <w:t xml:space="preserve"> </w:t>
      </w:r>
      <w:r>
        <w:t>que</w:t>
      </w:r>
      <w:r>
        <w:rPr>
          <w:spacing w:val="31"/>
        </w:rPr>
        <w:t xml:space="preserve"> </w:t>
      </w:r>
      <w:r>
        <w:t>realmente</w:t>
      </w:r>
      <w:r>
        <w:rPr>
          <w:spacing w:val="30"/>
        </w:rPr>
        <w:t xml:space="preserve"> </w:t>
      </w:r>
      <w:r>
        <w:t>son</w:t>
      </w:r>
      <w:r>
        <w:rPr>
          <w:spacing w:val="31"/>
        </w:rPr>
        <w:t xml:space="preserve"> </w:t>
      </w:r>
      <w:r>
        <w:t>irrelevantes,</w:t>
      </w:r>
      <w:r>
        <w:rPr>
          <w:spacing w:val="32"/>
        </w:rPr>
        <w:t xml:space="preserve"> </w:t>
      </w:r>
      <w:r>
        <w:rPr>
          <w:spacing w:val="-5"/>
        </w:rPr>
        <w:t>en</w:t>
      </w:r>
      <w:bookmarkStart w:id="763" w:name="_bookmark657"/>
      <w:bookmarkStart w:id="764" w:name="_bookmark658"/>
      <w:bookmarkStart w:id="765" w:name="_bookmark659"/>
      <w:bookmarkStart w:id="766" w:name="_bookmark660"/>
      <w:bookmarkStart w:id="767" w:name="_bookmark661"/>
      <w:bookmarkEnd w:id="763"/>
      <w:bookmarkEnd w:id="764"/>
      <w:bookmarkEnd w:id="765"/>
      <w:bookmarkEnd w:id="766"/>
      <w:bookmarkEnd w:id="767"/>
      <w:r w:rsidR="0029429B">
        <w:t xml:space="preserve"> </w:t>
      </w:r>
      <w:r>
        <w:t>términos de contratación, que son muy importantes, y en términos del control del narcotráfico.</w:t>
      </w:r>
      <w:r>
        <w:rPr>
          <w:spacing w:val="-15"/>
        </w:rPr>
        <w:t xml:space="preserve"> </w:t>
      </w:r>
      <w:r>
        <w:t>No</w:t>
      </w:r>
      <w:r>
        <w:rPr>
          <w:spacing w:val="-15"/>
        </w:rPr>
        <w:t xml:space="preserve"> </w:t>
      </w:r>
      <w:r>
        <w:t>existe</w:t>
      </w:r>
      <w:r>
        <w:rPr>
          <w:spacing w:val="-15"/>
        </w:rPr>
        <w:t xml:space="preserve"> </w:t>
      </w:r>
      <w:r>
        <w:t>una</w:t>
      </w:r>
      <w:r>
        <w:rPr>
          <w:spacing w:val="-15"/>
        </w:rPr>
        <w:t xml:space="preserve"> </w:t>
      </w:r>
      <w:r>
        <w:t>zona</w:t>
      </w:r>
      <w:r>
        <w:rPr>
          <w:spacing w:val="-15"/>
        </w:rPr>
        <w:t xml:space="preserve"> </w:t>
      </w:r>
      <w:r>
        <w:t>del</w:t>
      </w:r>
      <w:r>
        <w:rPr>
          <w:spacing w:val="-15"/>
        </w:rPr>
        <w:t xml:space="preserve"> </w:t>
      </w:r>
      <w:r>
        <w:t>país</w:t>
      </w:r>
      <w:r>
        <w:rPr>
          <w:spacing w:val="-14"/>
        </w:rPr>
        <w:t xml:space="preserve"> </w:t>
      </w:r>
      <w:r>
        <w:t>donde</w:t>
      </w:r>
      <w:r>
        <w:rPr>
          <w:spacing w:val="-15"/>
        </w:rPr>
        <w:t xml:space="preserve"> </w:t>
      </w:r>
      <w:r>
        <w:t>para</w:t>
      </w:r>
      <w:r>
        <w:rPr>
          <w:spacing w:val="-15"/>
        </w:rPr>
        <w:t xml:space="preserve"> </w:t>
      </w:r>
      <w:r>
        <w:t>la</w:t>
      </w:r>
      <w:r>
        <w:rPr>
          <w:spacing w:val="-15"/>
        </w:rPr>
        <w:t xml:space="preserve"> </w:t>
      </w:r>
      <w:r>
        <w:t>época</w:t>
      </w:r>
      <w:r>
        <w:rPr>
          <w:spacing w:val="-15"/>
        </w:rPr>
        <w:t xml:space="preserve"> </w:t>
      </w:r>
      <w:r>
        <w:t>hubiera</w:t>
      </w:r>
      <w:r>
        <w:rPr>
          <w:spacing w:val="-15"/>
        </w:rPr>
        <w:t xml:space="preserve"> </w:t>
      </w:r>
      <w:r>
        <w:t>más</w:t>
      </w:r>
      <w:r>
        <w:rPr>
          <w:spacing w:val="-15"/>
        </w:rPr>
        <w:t xml:space="preserve"> </w:t>
      </w:r>
      <w:r>
        <w:t>pistas</w:t>
      </w:r>
      <w:r>
        <w:rPr>
          <w:spacing w:val="-15"/>
        </w:rPr>
        <w:t xml:space="preserve"> </w:t>
      </w:r>
      <w:r>
        <w:t>clandestinas, laboratorios</w:t>
      </w:r>
      <w:r>
        <w:rPr>
          <w:spacing w:val="-11"/>
        </w:rPr>
        <w:t xml:space="preserve"> </w:t>
      </w:r>
      <w:r>
        <w:t>de</w:t>
      </w:r>
      <w:r>
        <w:rPr>
          <w:spacing w:val="-9"/>
        </w:rPr>
        <w:t xml:space="preserve"> </w:t>
      </w:r>
      <w:r>
        <w:t>cocaína</w:t>
      </w:r>
      <w:r>
        <w:rPr>
          <w:spacing w:val="-9"/>
        </w:rPr>
        <w:t xml:space="preserve"> </w:t>
      </w:r>
      <w:r>
        <w:t>y</w:t>
      </w:r>
      <w:r>
        <w:rPr>
          <w:spacing w:val="-11"/>
        </w:rPr>
        <w:t xml:space="preserve"> </w:t>
      </w:r>
      <w:r>
        <w:t>había</w:t>
      </w:r>
      <w:r>
        <w:rPr>
          <w:spacing w:val="-9"/>
        </w:rPr>
        <w:t xml:space="preserve"> </w:t>
      </w:r>
      <w:r>
        <w:t>que</w:t>
      </w:r>
      <w:r>
        <w:rPr>
          <w:spacing w:val="-9"/>
        </w:rPr>
        <w:t xml:space="preserve"> </w:t>
      </w:r>
      <w:r>
        <w:t>hacer</w:t>
      </w:r>
      <w:r>
        <w:rPr>
          <w:spacing w:val="-10"/>
        </w:rPr>
        <w:t xml:space="preserve"> </w:t>
      </w:r>
      <w:r>
        <w:t>finanzas</w:t>
      </w:r>
      <w:r>
        <w:rPr>
          <w:spacing w:val="-9"/>
        </w:rPr>
        <w:t xml:space="preserve"> </w:t>
      </w:r>
      <w:r>
        <w:t>en</w:t>
      </w:r>
      <w:r>
        <w:rPr>
          <w:spacing w:val="-9"/>
        </w:rPr>
        <w:t xml:space="preserve"> </w:t>
      </w:r>
      <w:r>
        <w:t>esos</w:t>
      </w:r>
      <w:r>
        <w:rPr>
          <w:spacing w:val="-11"/>
        </w:rPr>
        <w:t xml:space="preserve"> </w:t>
      </w:r>
      <w:r>
        <w:t>términos.</w:t>
      </w:r>
      <w:r>
        <w:rPr>
          <w:spacing w:val="-10"/>
        </w:rPr>
        <w:t xml:space="preserve"> </w:t>
      </w:r>
      <w:r>
        <w:t>La</w:t>
      </w:r>
      <w:r>
        <w:rPr>
          <w:spacing w:val="-9"/>
        </w:rPr>
        <w:t xml:space="preserve"> </w:t>
      </w:r>
      <w:r>
        <w:t>principal</w:t>
      </w:r>
      <w:r>
        <w:rPr>
          <w:spacing w:val="-9"/>
        </w:rPr>
        <w:t xml:space="preserve"> </w:t>
      </w:r>
      <w:r>
        <w:t xml:space="preserve">motivación fue de carácter financiero. Y el tubo [extracción ilegal de gasolina del oleoducto], por ejemplo, el tubo es un negocio que da plata en efectivo todos los </w:t>
      </w:r>
      <w:r>
        <w:lastRenderedPageBreak/>
        <w:t>días»</w:t>
      </w:r>
      <w:r w:rsidR="001D4ADE">
        <w:rPr>
          <w:rStyle w:val="Refdenotaalpie"/>
        </w:rPr>
        <w:footnoteReference w:id="600"/>
      </w:r>
      <w:r>
        <w:t>.</w:t>
      </w:r>
    </w:p>
    <w:p w:rsidR="003804AC" w:rsidRDefault="00AF18A5" w:rsidP="001D4ADE">
      <w:r>
        <w:t>Estos mismos intereses de expansión justificada por el acaparamiento de rentas, particularmente</w:t>
      </w:r>
      <w:r>
        <w:rPr>
          <w:spacing w:val="-4"/>
        </w:rPr>
        <w:t xml:space="preserve"> </w:t>
      </w:r>
      <w:r>
        <w:t>del</w:t>
      </w:r>
      <w:r>
        <w:rPr>
          <w:spacing w:val="-4"/>
        </w:rPr>
        <w:t xml:space="preserve"> </w:t>
      </w:r>
      <w:r>
        <w:t>narcotráfico,</w:t>
      </w:r>
      <w:r>
        <w:rPr>
          <w:spacing w:val="-5"/>
        </w:rPr>
        <w:t xml:space="preserve"> </w:t>
      </w:r>
      <w:r>
        <w:t>deja</w:t>
      </w:r>
      <w:r>
        <w:rPr>
          <w:spacing w:val="-4"/>
        </w:rPr>
        <w:t xml:space="preserve"> </w:t>
      </w:r>
      <w:r>
        <w:t>ver</w:t>
      </w:r>
      <w:r>
        <w:rPr>
          <w:spacing w:val="-5"/>
        </w:rPr>
        <w:t xml:space="preserve"> </w:t>
      </w:r>
      <w:r>
        <w:t>el</w:t>
      </w:r>
      <w:r>
        <w:rPr>
          <w:spacing w:val="-5"/>
        </w:rPr>
        <w:t xml:space="preserve"> </w:t>
      </w:r>
      <w:r>
        <w:t>caso</w:t>
      </w:r>
      <w:r>
        <w:rPr>
          <w:spacing w:val="-6"/>
        </w:rPr>
        <w:t xml:space="preserve"> </w:t>
      </w:r>
      <w:r>
        <w:t>del</w:t>
      </w:r>
      <w:r>
        <w:rPr>
          <w:spacing w:val="-4"/>
        </w:rPr>
        <w:t xml:space="preserve"> </w:t>
      </w:r>
      <w:r>
        <w:t>Cartel</w:t>
      </w:r>
      <w:r>
        <w:rPr>
          <w:spacing w:val="-4"/>
        </w:rPr>
        <w:t xml:space="preserve"> </w:t>
      </w:r>
      <w:r>
        <w:t>del</w:t>
      </w:r>
      <w:r>
        <w:rPr>
          <w:spacing w:val="-4"/>
        </w:rPr>
        <w:t xml:space="preserve"> </w:t>
      </w:r>
      <w:r>
        <w:t>Norte</w:t>
      </w:r>
      <w:r>
        <w:rPr>
          <w:spacing w:val="-4"/>
        </w:rPr>
        <w:t xml:space="preserve"> </w:t>
      </w:r>
      <w:r>
        <w:t>del</w:t>
      </w:r>
      <w:r>
        <w:rPr>
          <w:spacing w:val="-5"/>
        </w:rPr>
        <w:t xml:space="preserve"> </w:t>
      </w:r>
      <w:r>
        <w:t>Valle</w:t>
      </w:r>
      <w:r>
        <w:rPr>
          <w:spacing w:val="-4"/>
        </w:rPr>
        <w:t xml:space="preserve"> </w:t>
      </w:r>
      <w:r>
        <w:t>y</w:t>
      </w:r>
      <w:r>
        <w:rPr>
          <w:spacing w:val="-6"/>
        </w:rPr>
        <w:t xml:space="preserve"> </w:t>
      </w:r>
      <w:r>
        <w:t>la</w:t>
      </w:r>
      <w:r>
        <w:rPr>
          <w:spacing w:val="-6"/>
        </w:rPr>
        <w:t xml:space="preserve"> </w:t>
      </w:r>
      <w:r>
        <w:t>creación del Bloque Calima en cabeza de Diego León Montoya</w:t>
      </w:r>
      <w:r w:rsidR="001D4ADE">
        <w:rPr>
          <w:rStyle w:val="Refdenotaalpie"/>
        </w:rPr>
        <w:footnoteReference w:id="601"/>
      </w:r>
      <w:r>
        <w:t>. Cuando relató lo que ocurrió con la ACCU y el narcotráfico, Vicente Castaño señaló estos lazos con el empresariado en el Valle del Cauca:</w:t>
      </w:r>
    </w:p>
    <w:p w:rsidR="003804AC" w:rsidRDefault="00AF18A5" w:rsidP="001D4ADE">
      <w:r>
        <w:t>«Un gran número de personas influyentes del Valle desfilaron más de dos años por los corredores de las ACCU implorando la presencia de las Autodefensas en ese departamento. Este grupo de industriales prometió el oro y el moro al Estado Mayor de las ACCU [...] La negativa</w:t>
      </w:r>
      <w:r>
        <w:rPr>
          <w:spacing w:val="-9"/>
        </w:rPr>
        <w:t xml:space="preserve"> </w:t>
      </w:r>
      <w:r>
        <w:t>de</w:t>
      </w:r>
      <w:r>
        <w:rPr>
          <w:spacing w:val="-11"/>
        </w:rPr>
        <w:t xml:space="preserve"> </w:t>
      </w:r>
      <w:r>
        <w:t>las</w:t>
      </w:r>
      <w:r>
        <w:rPr>
          <w:spacing w:val="-9"/>
        </w:rPr>
        <w:t xml:space="preserve"> </w:t>
      </w:r>
      <w:r>
        <w:t>ACCU</w:t>
      </w:r>
      <w:r>
        <w:rPr>
          <w:spacing w:val="-10"/>
        </w:rPr>
        <w:t xml:space="preserve"> </w:t>
      </w:r>
      <w:r>
        <w:t>de</w:t>
      </w:r>
      <w:r>
        <w:rPr>
          <w:spacing w:val="-8"/>
        </w:rPr>
        <w:t xml:space="preserve"> </w:t>
      </w:r>
      <w:r>
        <w:t>incursionar</w:t>
      </w:r>
      <w:r>
        <w:rPr>
          <w:spacing w:val="-10"/>
        </w:rPr>
        <w:t xml:space="preserve"> </w:t>
      </w:r>
      <w:r>
        <w:t>en</w:t>
      </w:r>
      <w:r>
        <w:rPr>
          <w:spacing w:val="-10"/>
        </w:rPr>
        <w:t xml:space="preserve"> </w:t>
      </w:r>
      <w:r>
        <w:t>el</w:t>
      </w:r>
      <w:r>
        <w:rPr>
          <w:spacing w:val="-9"/>
        </w:rPr>
        <w:t xml:space="preserve"> </w:t>
      </w:r>
      <w:r>
        <w:t>Valle</w:t>
      </w:r>
      <w:r>
        <w:rPr>
          <w:spacing w:val="-11"/>
        </w:rPr>
        <w:t xml:space="preserve"> </w:t>
      </w:r>
      <w:r>
        <w:t>se</w:t>
      </w:r>
      <w:r>
        <w:rPr>
          <w:spacing w:val="-9"/>
        </w:rPr>
        <w:t xml:space="preserve"> </w:t>
      </w:r>
      <w:r>
        <w:t>debía</w:t>
      </w:r>
      <w:r>
        <w:rPr>
          <w:spacing w:val="-11"/>
        </w:rPr>
        <w:t xml:space="preserve"> </w:t>
      </w:r>
      <w:r>
        <w:t>al</w:t>
      </w:r>
      <w:r>
        <w:rPr>
          <w:spacing w:val="-10"/>
        </w:rPr>
        <w:t xml:space="preserve"> </w:t>
      </w:r>
      <w:r>
        <w:t>temor</w:t>
      </w:r>
      <w:r>
        <w:rPr>
          <w:spacing w:val="-9"/>
        </w:rPr>
        <w:t xml:space="preserve"> </w:t>
      </w:r>
      <w:r>
        <w:t>de</w:t>
      </w:r>
      <w:r>
        <w:rPr>
          <w:spacing w:val="-11"/>
        </w:rPr>
        <w:t xml:space="preserve"> </w:t>
      </w:r>
      <w:r>
        <w:t>entrar</w:t>
      </w:r>
      <w:r>
        <w:rPr>
          <w:spacing w:val="-9"/>
        </w:rPr>
        <w:t xml:space="preserve"> </w:t>
      </w:r>
      <w:r>
        <w:t>en</w:t>
      </w:r>
      <w:r>
        <w:rPr>
          <w:spacing w:val="-10"/>
        </w:rPr>
        <w:t xml:space="preserve"> </w:t>
      </w:r>
      <w:r>
        <w:t>confrontación con</w:t>
      </w:r>
      <w:r>
        <w:rPr>
          <w:spacing w:val="-14"/>
        </w:rPr>
        <w:t xml:space="preserve"> </w:t>
      </w:r>
      <w:r>
        <w:t>capos</w:t>
      </w:r>
      <w:r>
        <w:rPr>
          <w:spacing w:val="-15"/>
        </w:rPr>
        <w:t xml:space="preserve"> </w:t>
      </w:r>
      <w:r>
        <w:t>del</w:t>
      </w:r>
      <w:r>
        <w:rPr>
          <w:spacing w:val="-14"/>
        </w:rPr>
        <w:t xml:space="preserve"> </w:t>
      </w:r>
      <w:r>
        <w:t>narcotráfico</w:t>
      </w:r>
      <w:r>
        <w:rPr>
          <w:spacing w:val="-14"/>
        </w:rPr>
        <w:t xml:space="preserve"> </w:t>
      </w:r>
      <w:r>
        <w:t>asentados</w:t>
      </w:r>
      <w:r>
        <w:rPr>
          <w:spacing w:val="-15"/>
        </w:rPr>
        <w:t xml:space="preserve"> </w:t>
      </w:r>
      <w:r>
        <w:t>en</w:t>
      </w:r>
      <w:r>
        <w:rPr>
          <w:spacing w:val="-14"/>
        </w:rPr>
        <w:t xml:space="preserve"> </w:t>
      </w:r>
      <w:r>
        <w:t>dicha</w:t>
      </w:r>
      <w:r>
        <w:rPr>
          <w:spacing w:val="-14"/>
        </w:rPr>
        <w:t xml:space="preserve"> </w:t>
      </w:r>
      <w:r>
        <w:t>región</w:t>
      </w:r>
      <w:r>
        <w:rPr>
          <w:spacing w:val="-14"/>
        </w:rPr>
        <w:t xml:space="preserve"> </w:t>
      </w:r>
      <w:r>
        <w:t>[…]</w:t>
      </w:r>
      <w:r>
        <w:rPr>
          <w:spacing w:val="-15"/>
        </w:rPr>
        <w:t xml:space="preserve"> </w:t>
      </w:r>
      <w:r>
        <w:t>Debido</w:t>
      </w:r>
      <w:r>
        <w:rPr>
          <w:spacing w:val="-14"/>
        </w:rPr>
        <w:t xml:space="preserve"> </w:t>
      </w:r>
      <w:r>
        <w:t>a</w:t>
      </w:r>
      <w:r>
        <w:rPr>
          <w:spacing w:val="-14"/>
        </w:rPr>
        <w:t xml:space="preserve"> </w:t>
      </w:r>
      <w:r>
        <w:t>este</w:t>
      </w:r>
      <w:r>
        <w:rPr>
          <w:spacing w:val="-15"/>
        </w:rPr>
        <w:t xml:space="preserve"> </w:t>
      </w:r>
      <w:r>
        <w:t>problema</w:t>
      </w:r>
      <w:r>
        <w:rPr>
          <w:spacing w:val="-15"/>
        </w:rPr>
        <w:t xml:space="preserve"> </w:t>
      </w:r>
      <w:r>
        <w:t>de</w:t>
      </w:r>
      <w:r>
        <w:rPr>
          <w:spacing w:val="-15"/>
        </w:rPr>
        <w:t xml:space="preserve"> </w:t>
      </w:r>
      <w:r>
        <w:t>finanzas y para no abortar el proyecto se hicieron varias reuniones para reestructurar la financiación obteniendo pocos resultados, luego apareció un nuevo grupo de empresarios, entre ellos [alias] Gordo Lindo, quien ayudó a las finanzas y la expansión del Bloque Calima dando origen al frente Libertadores del Cauca»</w:t>
      </w:r>
      <w:r w:rsidR="001D4ADE">
        <w:rPr>
          <w:rStyle w:val="Refdenotaalpie"/>
        </w:rPr>
        <w:footnoteReference w:id="602"/>
      </w:r>
      <w:r>
        <w:t>.</w:t>
      </w:r>
    </w:p>
    <w:p w:rsidR="003804AC" w:rsidRDefault="00AF18A5" w:rsidP="00FA5E71">
      <w:r>
        <w:t>Estos dineros significaron la degradación de la guerra a través de la compra de bloques, armas y hombres. Los bloques se vendían y compraban, como ocurrió con el Bloque Centauros,</w:t>
      </w:r>
      <w:r>
        <w:rPr>
          <w:spacing w:val="-12"/>
        </w:rPr>
        <w:t xml:space="preserve"> </w:t>
      </w:r>
      <w:r>
        <w:t>lo</w:t>
      </w:r>
      <w:r>
        <w:rPr>
          <w:spacing w:val="-12"/>
        </w:rPr>
        <w:t xml:space="preserve"> </w:t>
      </w:r>
      <w:r>
        <w:t>que</w:t>
      </w:r>
      <w:r>
        <w:rPr>
          <w:spacing w:val="-12"/>
        </w:rPr>
        <w:t xml:space="preserve"> </w:t>
      </w:r>
      <w:r>
        <w:t>explica</w:t>
      </w:r>
      <w:r>
        <w:rPr>
          <w:spacing w:val="-12"/>
        </w:rPr>
        <w:t xml:space="preserve"> </w:t>
      </w:r>
      <w:r>
        <w:t>hechos</w:t>
      </w:r>
      <w:r>
        <w:rPr>
          <w:spacing w:val="-12"/>
        </w:rPr>
        <w:t xml:space="preserve"> </w:t>
      </w:r>
      <w:r>
        <w:t>como</w:t>
      </w:r>
      <w:r>
        <w:rPr>
          <w:spacing w:val="-12"/>
        </w:rPr>
        <w:t xml:space="preserve"> </w:t>
      </w:r>
      <w:r>
        <w:t>la</w:t>
      </w:r>
      <w:r>
        <w:rPr>
          <w:spacing w:val="-12"/>
        </w:rPr>
        <w:t xml:space="preserve"> </w:t>
      </w:r>
      <w:r>
        <w:t>jefatura</w:t>
      </w:r>
      <w:r>
        <w:rPr>
          <w:spacing w:val="-12"/>
        </w:rPr>
        <w:t xml:space="preserve"> </w:t>
      </w:r>
      <w:r>
        <w:t>de</w:t>
      </w:r>
      <w:r>
        <w:rPr>
          <w:spacing w:val="-12"/>
        </w:rPr>
        <w:t xml:space="preserve"> </w:t>
      </w:r>
      <w:r>
        <w:t>Miguel</w:t>
      </w:r>
      <w:r>
        <w:rPr>
          <w:spacing w:val="-12"/>
        </w:rPr>
        <w:t xml:space="preserve"> </w:t>
      </w:r>
      <w:r>
        <w:t>Arroyave,</w:t>
      </w:r>
      <w:r>
        <w:rPr>
          <w:spacing w:val="-12"/>
        </w:rPr>
        <w:t xml:space="preserve"> </w:t>
      </w:r>
      <w:r>
        <w:t>procesado</w:t>
      </w:r>
      <w:r>
        <w:rPr>
          <w:spacing w:val="-12"/>
        </w:rPr>
        <w:t xml:space="preserve"> </w:t>
      </w:r>
      <w:r>
        <w:t>por</w:t>
      </w:r>
      <w:r>
        <w:rPr>
          <w:spacing w:val="-13"/>
        </w:rPr>
        <w:t xml:space="preserve"> </w:t>
      </w:r>
      <w:r>
        <w:t xml:space="preserve">tráfico de insumos para el narcotráfico, o la transferencia de Los Pájaros para Cuco </w:t>
      </w:r>
      <w:proofErr w:type="spellStart"/>
      <w:r>
        <w:t>Vanoy</w:t>
      </w:r>
      <w:proofErr w:type="spellEnd"/>
      <w:r>
        <w:t xml:space="preserve"> o el traslado</w:t>
      </w:r>
      <w:r>
        <w:rPr>
          <w:spacing w:val="-5"/>
        </w:rPr>
        <w:t xml:space="preserve"> </w:t>
      </w:r>
      <w:r>
        <w:t>de</w:t>
      </w:r>
      <w:r>
        <w:rPr>
          <w:spacing w:val="-5"/>
        </w:rPr>
        <w:t xml:space="preserve"> </w:t>
      </w:r>
      <w:r>
        <w:t>desertores</w:t>
      </w:r>
      <w:r>
        <w:rPr>
          <w:spacing w:val="-5"/>
        </w:rPr>
        <w:t xml:space="preserve"> </w:t>
      </w:r>
      <w:r>
        <w:t>de</w:t>
      </w:r>
      <w:r>
        <w:rPr>
          <w:spacing w:val="-6"/>
        </w:rPr>
        <w:t xml:space="preserve"> </w:t>
      </w:r>
      <w:r>
        <w:t>las</w:t>
      </w:r>
      <w:r>
        <w:rPr>
          <w:spacing w:val="-5"/>
        </w:rPr>
        <w:t xml:space="preserve"> </w:t>
      </w:r>
      <w:r>
        <w:t>FARC-EP</w:t>
      </w:r>
      <w:r>
        <w:rPr>
          <w:spacing w:val="-5"/>
        </w:rPr>
        <w:t xml:space="preserve"> </w:t>
      </w:r>
      <w:r>
        <w:t>del</w:t>
      </w:r>
      <w:r>
        <w:rPr>
          <w:spacing w:val="-4"/>
        </w:rPr>
        <w:t xml:space="preserve"> </w:t>
      </w:r>
      <w:r>
        <w:t>Urabá</w:t>
      </w:r>
      <w:r>
        <w:rPr>
          <w:spacing w:val="-6"/>
        </w:rPr>
        <w:t xml:space="preserve"> </w:t>
      </w:r>
      <w:r>
        <w:t>para</w:t>
      </w:r>
      <w:r>
        <w:rPr>
          <w:spacing w:val="-5"/>
        </w:rPr>
        <w:t xml:space="preserve"> </w:t>
      </w:r>
      <w:r>
        <w:t>la</w:t>
      </w:r>
      <w:r>
        <w:rPr>
          <w:spacing w:val="-5"/>
        </w:rPr>
        <w:t xml:space="preserve"> </w:t>
      </w:r>
      <w:r>
        <w:t>Orinoquía</w:t>
      </w:r>
      <w:r>
        <w:rPr>
          <w:spacing w:val="-5"/>
        </w:rPr>
        <w:t xml:space="preserve"> </w:t>
      </w:r>
      <w:r>
        <w:t>a</w:t>
      </w:r>
      <w:r>
        <w:rPr>
          <w:spacing w:val="-5"/>
        </w:rPr>
        <w:t xml:space="preserve"> </w:t>
      </w:r>
      <w:r>
        <w:lastRenderedPageBreak/>
        <w:t>finales</w:t>
      </w:r>
      <w:r>
        <w:rPr>
          <w:spacing w:val="-5"/>
        </w:rPr>
        <w:t xml:space="preserve"> </w:t>
      </w:r>
      <w:r>
        <w:t>de</w:t>
      </w:r>
      <w:r>
        <w:rPr>
          <w:spacing w:val="-5"/>
        </w:rPr>
        <w:t xml:space="preserve"> </w:t>
      </w:r>
      <w:r>
        <w:t>la</w:t>
      </w:r>
      <w:r>
        <w:rPr>
          <w:spacing w:val="-5"/>
        </w:rPr>
        <w:t xml:space="preserve"> </w:t>
      </w:r>
      <w:r>
        <w:t>década</w:t>
      </w:r>
      <w:r>
        <w:rPr>
          <w:spacing w:val="-5"/>
        </w:rPr>
        <w:t xml:space="preserve"> </w:t>
      </w:r>
      <w:r>
        <w:t>de los</w:t>
      </w:r>
      <w:r>
        <w:rPr>
          <w:spacing w:val="19"/>
        </w:rPr>
        <w:t xml:space="preserve"> </w:t>
      </w:r>
      <w:r>
        <w:t>noventa:</w:t>
      </w:r>
      <w:r>
        <w:rPr>
          <w:spacing w:val="22"/>
        </w:rPr>
        <w:t xml:space="preserve"> </w:t>
      </w:r>
      <w:r>
        <w:t>«El</w:t>
      </w:r>
      <w:r>
        <w:rPr>
          <w:spacing w:val="21"/>
        </w:rPr>
        <w:t xml:space="preserve"> </w:t>
      </w:r>
      <w:r>
        <w:t>primero</w:t>
      </w:r>
      <w:r>
        <w:rPr>
          <w:spacing w:val="21"/>
        </w:rPr>
        <w:t xml:space="preserve"> </w:t>
      </w:r>
      <w:r>
        <w:t>que</w:t>
      </w:r>
      <w:r>
        <w:rPr>
          <w:spacing w:val="22"/>
        </w:rPr>
        <w:t xml:space="preserve"> </w:t>
      </w:r>
      <w:r>
        <w:t>empezó</w:t>
      </w:r>
      <w:r>
        <w:rPr>
          <w:spacing w:val="21"/>
        </w:rPr>
        <w:t xml:space="preserve"> </w:t>
      </w:r>
      <w:r>
        <w:t>a</w:t>
      </w:r>
      <w:r>
        <w:rPr>
          <w:spacing w:val="22"/>
        </w:rPr>
        <w:t xml:space="preserve"> </w:t>
      </w:r>
      <w:r>
        <w:t>vender</w:t>
      </w:r>
      <w:r>
        <w:rPr>
          <w:spacing w:val="21"/>
        </w:rPr>
        <w:t xml:space="preserve"> </w:t>
      </w:r>
      <w:r>
        <w:t>franquicias</w:t>
      </w:r>
      <w:r>
        <w:rPr>
          <w:spacing w:val="20"/>
        </w:rPr>
        <w:t xml:space="preserve"> </w:t>
      </w:r>
      <w:r>
        <w:t>y</w:t>
      </w:r>
      <w:r>
        <w:rPr>
          <w:spacing w:val="21"/>
        </w:rPr>
        <w:t xml:space="preserve"> </w:t>
      </w:r>
      <w:r>
        <w:t>hombres</w:t>
      </w:r>
      <w:r>
        <w:rPr>
          <w:spacing w:val="21"/>
        </w:rPr>
        <w:t xml:space="preserve"> </w:t>
      </w:r>
      <w:r>
        <w:t>fue</w:t>
      </w:r>
      <w:r>
        <w:rPr>
          <w:spacing w:val="21"/>
        </w:rPr>
        <w:t xml:space="preserve"> </w:t>
      </w:r>
      <w:r>
        <w:t>Vicente.</w:t>
      </w:r>
      <w:r>
        <w:rPr>
          <w:spacing w:val="21"/>
        </w:rPr>
        <w:t xml:space="preserve"> </w:t>
      </w:r>
      <w:r>
        <w:rPr>
          <w:spacing w:val="-4"/>
        </w:rPr>
        <w:t>Como</w:t>
      </w:r>
      <w:bookmarkStart w:id="768" w:name="_bookmark662"/>
      <w:bookmarkStart w:id="769" w:name="_bookmark663"/>
      <w:bookmarkStart w:id="770" w:name="_bookmark664"/>
      <w:bookmarkEnd w:id="768"/>
      <w:bookmarkEnd w:id="769"/>
      <w:bookmarkEnd w:id="770"/>
      <w:r w:rsidR="00FA5E71">
        <w:rPr>
          <w:spacing w:val="-4"/>
        </w:rPr>
        <w:t xml:space="preserve"> </w:t>
      </w:r>
      <w:r>
        <w:t>Vicente era propietario del Bloque, en un 50</w:t>
      </w:r>
      <w:r>
        <w:rPr>
          <w:spacing w:val="-2"/>
        </w:rPr>
        <w:t xml:space="preserve"> </w:t>
      </w:r>
      <w:r>
        <w:t>%, lo que hizo fue generar como una sucursal en el Meta y generaba hombres»</w:t>
      </w:r>
      <w:r w:rsidR="00FA5E71">
        <w:rPr>
          <w:rStyle w:val="Refdenotaalpie"/>
        </w:rPr>
        <w:footnoteReference w:id="603"/>
      </w:r>
      <w:r>
        <w:t>. Dichas «ventas de franquicias» en 2001 para hacerse pasar</w:t>
      </w:r>
      <w:r>
        <w:rPr>
          <w:spacing w:val="-9"/>
        </w:rPr>
        <w:t xml:space="preserve"> </w:t>
      </w:r>
      <w:r>
        <w:t>por</w:t>
      </w:r>
      <w:r>
        <w:rPr>
          <w:spacing w:val="-9"/>
        </w:rPr>
        <w:t xml:space="preserve"> </w:t>
      </w:r>
      <w:r>
        <w:t>paramilitares</w:t>
      </w:r>
      <w:r>
        <w:rPr>
          <w:spacing w:val="-9"/>
        </w:rPr>
        <w:t xml:space="preserve"> </w:t>
      </w:r>
      <w:r>
        <w:t>contrainsurgentes</w:t>
      </w:r>
      <w:r>
        <w:rPr>
          <w:spacing w:val="-9"/>
        </w:rPr>
        <w:t xml:space="preserve"> </w:t>
      </w:r>
      <w:r>
        <w:t>fueron</w:t>
      </w:r>
      <w:r>
        <w:rPr>
          <w:spacing w:val="-9"/>
        </w:rPr>
        <w:t xml:space="preserve"> </w:t>
      </w:r>
      <w:r>
        <w:t>investigadas</w:t>
      </w:r>
      <w:r>
        <w:rPr>
          <w:spacing w:val="-10"/>
        </w:rPr>
        <w:t xml:space="preserve"> </w:t>
      </w:r>
      <w:r>
        <w:t>por</w:t>
      </w:r>
      <w:r>
        <w:rPr>
          <w:spacing w:val="-9"/>
        </w:rPr>
        <w:t xml:space="preserve"> </w:t>
      </w:r>
      <w:r>
        <w:t>la</w:t>
      </w:r>
      <w:r>
        <w:rPr>
          <w:spacing w:val="-9"/>
        </w:rPr>
        <w:t xml:space="preserve"> </w:t>
      </w:r>
      <w:r>
        <w:t>Fiscalía</w:t>
      </w:r>
      <w:r>
        <w:rPr>
          <w:spacing w:val="-9"/>
        </w:rPr>
        <w:t xml:space="preserve"> </w:t>
      </w:r>
      <w:r>
        <w:t>y</w:t>
      </w:r>
      <w:r>
        <w:rPr>
          <w:spacing w:val="-9"/>
        </w:rPr>
        <w:t xml:space="preserve"> </w:t>
      </w:r>
      <w:r>
        <w:t>el</w:t>
      </w:r>
      <w:r>
        <w:rPr>
          <w:spacing w:val="-10"/>
        </w:rPr>
        <w:t xml:space="preserve"> </w:t>
      </w:r>
      <w:r>
        <w:t>CTI,</w:t>
      </w:r>
      <w:r>
        <w:rPr>
          <w:spacing w:val="-9"/>
        </w:rPr>
        <w:t xml:space="preserve"> </w:t>
      </w:r>
      <w:r>
        <w:t>una</w:t>
      </w:r>
      <w:r>
        <w:rPr>
          <w:spacing w:val="-9"/>
        </w:rPr>
        <w:t xml:space="preserve"> </w:t>
      </w:r>
      <w:r>
        <w:t>de cuyas responsables tuvo que salir por ello al exilio:</w:t>
      </w:r>
    </w:p>
    <w:p w:rsidR="003804AC" w:rsidRDefault="00AF18A5" w:rsidP="00FA5E71">
      <w:r>
        <w:t>«También</w:t>
      </w:r>
      <w:r>
        <w:rPr>
          <w:spacing w:val="-11"/>
        </w:rPr>
        <w:t xml:space="preserve"> </w:t>
      </w:r>
      <w:r>
        <w:t>mencioné</w:t>
      </w:r>
      <w:r>
        <w:rPr>
          <w:spacing w:val="-10"/>
        </w:rPr>
        <w:t xml:space="preserve"> </w:t>
      </w:r>
      <w:r>
        <w:t>en</w:t>
      </w:r>
      <w:r>
        <w:rPr>
          <w:spacing w:val="-11"/>
        </w:rPr>
        <w:t xml:space="preserve"> </w:t>
      </w:r>
      <w:r>
        <w:t>mis</w:t>
      </w:r>
      <w:r>
        <w:rPr>
          <w:spacing w:val="-11"/>
        </w:rPr>
        <w:t xml:space="preserve"> </w:t>
      </w:r>
      <w:r>
        <w:t>informes</w:t>
      </w:r>
      <w:r>
        <w:rPr>
          <w:spacing w:val="-11"/>
        </w:rPr>
        <w:t xml:space="preserve"> </w:t>
      </w:r>
      <w:r>
        <w:t>que</w:t>
      </w:r>
      <w:r>
        <w:rPr>
          <w:spacing w:val="-10"/>
        </w:rPr>
        <w:t xml:space="preserve"> </w:t>
      </w:r>
      <w:r>
        <w:t>lo</w:t>
      </w:r>
      <w:r>
        <w:rPr>
          <w:spacing w:val="-11"/>
        </w:rPr>
        <w:t xml:space="preserve"> </w:t>
      </w:r>
      <w:r>
        <w:t>que</w:t>
      </w:r>
      <w:r>
        <w:rPr>
          <w:spacing w:val="-10"/>
        </w:rPr>
        <w:t xml:space="preserve"> </w:t>
      </w:r>
      <w:r>
        <w:t>él</w:t>
      </w:r>
      <w:r>
        <w:rPr>
          <w:spacing w:val="-10"/>
        </w:rPr>
        <w:t xml:space="preserve"> </w:t>
      </w:r>
      <w:r>
        <w:t>estaba</w:t>
      </w:r>
      <w:r>
        <w:rPr>
          <w:spacing w:val="-10"/>
        </w:rPr>
        <w:t xml:space="preserve"> </w:t>
      </w:r>
      <w:r>
        <w:t>haciendo</w:t>
      </w:r>
      <w:r>
        <w:rPr>
          <w:spacing w:val="-11"/>
        </w:rPr>
        <w:t xml:space="preserve"> </w:t>
      </w:r>
      <w:r>
        <w:t>era</w:t>
      </w:r>
      <w:r>
        <w:rPr>
          <w:spacing w:val="-10"/>
        </w:rPr>
        <w:t xml:space="preserve"> </w:t>
      </w:r>
      <w:r>
        <w:t>vender</w:t>
      </w:r>
      <w:r>
        <w:rPr>
          <w:spacing w:val="-10"/>
        </w:rPr>
        <w:t xml:space="preserve"> </w:t>
      </w:r>
      <w:r>
        <w:t>franquicias a los narcotraficantes, entre ellos Los Mellizos: Miguel Ángel y Víctor</w:t>
      </w:r>
      <w:r>
        <w:rPr>
          <w:spacing w:val="-2"/>
        </w:rPr>
        <w:t xml:space="preserve"> </w:t>
      </w:r>
      <w:r>
        <w:t>Manuel Mejía Múnera,</w:t>
      </w:r>
      <w:r>
        <w:rPr>
          <w:spacing w:val="-5"/>
        </w:rPr>
        <w:t xml:space="preserve"> </w:t>
      </w:r>
      <w:r>
        <w:t>para</w:t>
      </w:r>
      <w:r>
        <w:rPr>
          <w:spacing w:val="-5"/>
        </w:rPr>
        <w:t xml:space="preserve"> </w:t>
      </w:r>
      <w:r>
        <w:t>que</w:t>
      </w:r>
      <w:r>
        <w:rPr>
          <w:spacing w:val="-5"/>
        </w:rPr>
        <w:t xml:space="preserve"> </w:t>
      </w:r>
      <w:r>
        <w:t>ellos</w:t>
      </w:r>
      <w:r>
        <w:rPr>
          <w:spacing w:val="-5"/>
        </w:rPr>
        <w:t xml:space="preserve"> </w:t>
      </w:r>
      <w:r>
        <w:t>aparecieran</w:t>
      </w:r>
      <w:r>
        <w:rPr>
          <w:spacing w:val="-5"/>
        </w:rPr>
        <w:t xml:space="preserve"> </w:t>
      </w:r>
      <w:r>
        <w:t>como</w:t>
      </w:r>
      <w:r>
        <w:rPr>
          <w:spacing w:val="-5"/>
        </w:rPr>
        <w:t xml:space="preserve"> </w:t>
      </w:r>
      <w:r>
        <w:t>supuestos</w:t>
      </w:r>
      <w:r>
        <w:rPr>
          <w:spacing w:val="-5"/>
        </w:rPr>
        <w:t xml:space="preserve"> </w:t>
      </w:r>
      <w:r>
        <w:t>miembros</w:t>
      </w:r>
      <w:r>
        <w:rPr>
          <w:spacing w:val="-5"/>
        </w:rPr>
        <w:t xml:space="preserve"> </w:t>
      </w:r>
      <w:r>
        <w:t>de</w:t>
      </w:r>
      <w:r>
        <w:rPr>
          <w:spacing w:val="-5"/>
        </w:rPr>
        <w:t xml:space="preserve"> </w:t>
      </w:r>
      <w:r>
        <w:t>las</w:t>
      </w:r>
      <w:r>
        <w:rPr>
          <w:spacing w:val="-5"/>
        </w:rPr>
        <w:t xml:space="preserve"> </w:t>
      </w:r>
      <w:r>
        <w:t>autodefensas</w:t>
      </w:r>
      <w:r>
        <w:rPr>
          <w:spacing w:val="-5"/>
        </w:rPr>
        <w:t xml:space="preserve"> </w:t>
      </w:r>
      <w:r>
        <w:t>y</w:t>
      </w:r>
      <w:r>
        <w:rPr>
          <w:spacing w:val="-5"/>
        </w:rPr>
        <w:t xml:space="preserve"> </w:t>
      </w:r>
      <w:r>
        <w:t>jefes</w:t>
      </w:r>
      <w:r>
        <w:rPr>
          <w:spacing w:val="-5"/>
        </w:rPr>
        <w:t xml:space="preserve"> </w:t>
      </w:r>
      <w:r>
        <w:t>de bloques de algunas zonas. Fue así como él le vendió una franquicia a uno de Los Mellizos para que fuera el jefe de la zona de Arauca»</w:t>
      </w:r>
      <w:r w:rsidR="00FA5E71">
        <w:rPr>
          <w:rStyle w:val="Refdenotaalpie"/>
        </w:rPr>
        <w:footnoteReference w:id="604"/>
      </w:r>
      <w:r>
        <w:t>.</w:t>
      </w:r>
    </w:p>
    <w:p w:rsidR="003804AC" w:rsidRDefault="00AF18A5" w:rsidP="00FA5E71">
      <w:r>
        <w:t>En el caso del Bloque Centauros, los testimonios entregados a la Comisión de la Verdad señalan</w:t>
      </w:r>
      <w:r>
        <w:rPr>
          <w:spacing w:val="-15"/>
        </w:rPr>
        <w:t xml:space="preserve"> </w:t>
      </w:r>
      <w:r>
        <w:t>que</w:t>
      </w:r>
      <w:r>
        <w:rPr>
          <w:spacing w:val="-15"/>
        </w:rPr>
        <w:t xml:space="preserve"> </w:t>
      </w:r>
      <w:r>
        <w:t>a</w:t>
      </w:r>
      <w:r>
        <w:rPr>
          <w:spacing w:val="-15"/>
        </w:rPr>
        <w:t xml:space="preserve"> </w:t>
      </w:r>
      <w:r>
        <w:t>principios</w:t>
      </w:r>
      <w:r>
        <w:rPr>
          <w:spacing w:val="-15"/>
        </w:rPr>
        <w:t xml:space="preserve"> </w:t>
      </w:r>
      <w:r>
        <w:t>de</w:t>
      </w:r>
      <w:r>
        <w:rPr>
          <w:spacing w:val="-15"/>
        </w:rPr>
        <w:t xml:space="preserve"> </w:t>
      </w:r>
      <w:r>
        <w:t>los</w:t>
      </w:r>
      <w:r>
        <w:rPr>
          <w:spacing w:val="-15"/>
        </w:rPr>
        <w:t xml:space="preserve"> </w:t>
      </w:r>
      <w:r>
        <w:t>años</w:t>
      </w:r>
      <w:r>
        <w:rPr>
          <w:spacing w:val="-15"/>
        </w:rPr>
        <w:t xml:space="preserve"> </w:t>
      </w:r>
      <w:r>
        <w:t>dos</w:t>
      </w:r>
      <w:r>
        <w:rPr>
          <w:spacing w:val="-15"/>
        </w:rPr>
        <w:t xml:space="preserve"> </w:t>
      </w:r>
      <w:r>
        <w:t>mil,</w:t>
      </w:r>
      <w:r>
        <w:rPr>
          <w:spacing w:val="-15"/>
        </w:rPr>
        <w:t xml:space="preserve"> </w:t>
      </w:r>
      <w:r>
        <w:t>su</w:t>
      </w:r>
      <w:r>
        <w:rPr>
          <w:spacing w:val="-15"/>
        </w:rPr>
        <w:t xml:space="preserve"> </w:t>
      </w:r>
      <w:r>
        <w:t>operación</w:t>
      </w:r>
      <w:r>
        <w:rPr>
          <w:spacing w:val="-15"/>
        </w:rPr>
        <w:t xml:space="preserve"> </w:t>
      </w:r>
      <w:r>
        <w:t>costaba</w:t>
      </w:r>
      <w:r>
        <w:rPr>
          <w:spacing w:val="-15"/>
        </w:rPr>
        <w:t xml:space="preserve"> </w:t>
      </w:r>
      <w:r>
        <w:t>1</w:t>
      </w:r>
      <w:r>
        <w:rPr>
          <w:spacing w:val="-15"/>
        </w:rPr>
        <w:t xml:space="preserve"> </w:t>
      </w:r>
      <w:r>
        <w:t>billón</w:t>
      </w:r>
      <w:r>
        <w:rPr>
          <w:spacing w:val="-15"/>
        </w:rPr>
        <w:t xml:space="preserve"> </w:t>
      </w:r>
      <w:r>
        <w:t>de</w:t>
      </w:r>
      <w:r>
        <w:rPr>
          <w:spacing w:val="-15"/>
        </w:rPr>
        <w:t xml:space="preserve"> </w:t>
      </w:r>
      <w:r>
        <w:t>pesos</w:t>
      </w:r>
      <w:r>
        <w:rPr>
          <w:spacing w:val="-15"/>
        </w:rPr>
        <w:t xml:space="preserve"> </w:t>
      </w:r>
      <w:r>
        <w:t>mensuales y todo eso se hacía con dinero del narcotráfico, las vacunas y del «tubo» (extracción ilegal de</w:t>
      </w:r>
      <w:r>
        <w:rPr>
          <w:spacing w:val="-11"/>
        </w:rPr>
        <w:t xml:space="preserve"> </w:t>
      </w:r>
      <w:r>
        <w:t>gasolina</w:t>
      </w:r>
      <w:r>
        <w:rPr>
          <w:spacing w:val="-12"/>
        </w:rPr>
        <w:t xml:space="preserve"> </w:t>
      </w:r>
      <w:r>
        <w:t>del</w:t>
      </w:r>
      <w:r>
        <w:rPr>
          <w:spacing w:val="-10"/>
        </w:rPr>
        <w:t xml:space="preserve"> </w:t>
      </w:r>
      <w:r>
        <w:t>oleoducto</w:t>
      </w:r>
      <w:r>
        <w:rPr>
          <w:spacing w:val="-11"/>
        </w:rPr>
        <w:t xml:space="preserve"> </w:t>
      </w:r>
      <w:r>
        <w:t>que</w:t>
      </w:r>
      <w:r>
        <w:rPr>
          <w:spacing w:val="-11"/>
        </w:rPr>
        <w:t xml:space="preserve"> </w:t>
      </w:r>
      <w:r>
        <w:t>se</w:t>
      </w:r>
      <w:r>
        <w:rPr>
          <w:spacing w:val="-12"/>
        </w:rPr>
        <w:t xml:space="preserve"> </w:t>
      </w:r>
      <w:r>
        <w:t>hizo</w:t>
      </w:r>
      <w:r>
        <w:rPr>
          <w:spacing w:val="-11"/>
        </w:rPr>
        <w:t xml:space="preserve"> </w:t>
      </w:r>
      <w:r>
        <w:t>merced</w:t>
      </w:r>
      <w:r>
        <w:rPr>
          <w:spacing w:val="-11"/>
        </w:rPr>
        <w:t xml:space="preserve"> </w:t>
      </w:r>
      <w:r>
        <w:t>a</w:t>
      </w:r>
      <w:r>
        <w:rPr>
          <w:spacing w:val="-12"/>
        </w:rPr>
        <w:t xml:space="preserve"> </w:t>
      </w:r>
      <w:r>
        <w:t>la</w:t>
      </w:r>
      <w:r>
        <w:rPr>
          <w:spacing w:val="-11"/>
        </w:rPr>
        <w:t xml:space="preserve"> </w:t>
      </w:r>
      <w:r>
        <w:t>corrupción</w:t>
      </w:r>
      <w:r>
        <w:rPr>
          <w:spacing w:val="-12"/>
        </w:rPr>
        <w:t xml:space="preserve"> </w:t>
      </w:r>
      <w:r>
        <w:t>en</w:t>
      </w:r>
      <w:r>
        <w:rPr>
          <w:spacing w:val="-11"/>
        </w:rPr>
        <w:t xml:space="preserve"> </w:t>
      </w:r>
      <w:r>
        <w:t>Ecopetrol</w:t>
      </w:r>
      <w:r w:rsidR="00FA5E71">
        <w:rPr>
          <w:rStyle w:val="Refdenotaalpie"/>
        </w:rPr>
        <w:footnoteReference w:id="605"/>
      </w:r>
      <w:r>
        <w:t>).</w:t>
      </w:r>
      <w:r>
        <w:rPr>
          <w:spacing w:val="-11"/>
        </w:rPr>
        <w:t xml:space="preserve"> </w:t>
      </w:r>
      <w:r>
        <w:t>Estos</w:t>
      </w:r>
      <w:r>
        <w:rPr>
          <w:spacing w:val="-12"/>
        </w:rPr>
        <w:t xml:space="preserve"> </w:t>
      </w:r>
      <w:r>
        <w:t>recursos para</w:t>
      </w:r>
      <w:r>
        <w:rPr>
          <w:spacing w:val="-14"/>
        </w:rPr>
        <w:t xml:space="preserve"> </w:t>
      </w:r>
      <w:r>
        <w:t>fortalecer</w:t>
      </w:r>
      <w:r>
        <w:rPr>
          <w:spacing w:val="-14"/>
        </w:rPr>
        <w:t xml:space="preserve"> </w:t>
      </w:r>
      <w:r>
        <w:t>la</w:t>
      </w:r>
      <w:r>
        <w:rPr>
          <w:spacing w:val="-13"/>
        </w:rPr>
        <w:t xml:space="preserve"> </w:t>
      </w:r>
      <w:r>
        <w:t>organización</w:t>
      </w:r>
      <w:r>
        <w:rPr>
          <w:spacing w:val="-14"/>
        </w:rPr>
        <w:t xml:space="preserve"> </w:t>
      </w:r>
      <w:r>
        <w:t>tenían</w:t>
      </w:r>
      <w:r>
        <w:rPr>
          <w:spacing w:val="-14"/>
        </w:rPr>
        <w:t xml:space="preserve"> </w:t>
      </w:r>
      <w:r>
        <w:t>como</w:t>
      </w:r>
      <w:r>
        <w:rPr>
          <w:spacing w:val="-13"/>
        </w:rPr>
        <w:t xml:space="preserve"> </w:t>
      </w:r>
      <w:r>
        <w:t>objetivo</w:t>
      </w:r>
      <w:r>
        <w:rPr>
          <w:spacing w:val="-13"/>
        </w:rPr>
        <w:t xml:space="preserve"> </w:t>
      </w:r>
      <w:r>
        <w:t>llegar</w:t>
      </w:r>
      <w:r>
        <w:rPr>
          <w:spacing w:val="-14"/>
        </w:rPr>
        <w:t xml:space="preserve"> </w:t>
      </w:r>
      <w:r>
        <w:t>a</w:t>
      </w:r>
      <w:r>
        <w:rPr>
          <w:spacing w:val="-13"/>
        </w:rPr>
        <w:t xml:space="preserve"> </w:t>
      </w:r>
      <w:r>
        <w:t>Vicente</w:t>
      </w:r>
      <w:r>
        <w:rPr>
          <w:spacing w:val="-13"/>
        </w:rPr>
        <w:t xml:space="preserve"> </w:t>
      </w:r>
      <w:r>
        <w:t>Castaño,</w:t>
      </w:r>
      <w:r>
        <w:rPr>
          <w:spacing w:val="-13"/>
        </w:rPr>
        <w:t xml:space="preserve"> </w:t>
      </w:r>
      <w:r>
        <w:t>pues</w:t>
      </w:r>
      <w:r>
        <w:rPr>
          <w:spacing w:val="-14"/>
        </w:rPr>
        <w:t xml:space="preserve"> </w:t>
      </w:r>
      <w:r>
        <w:t>el</w:t>
      </w:r>
      <w:r>
        <w:rPr>
          <w:spacing w:val="-13"/>
        </w:rPr>
        <w:t xml:space="preserve"> </w:t>
      </w:r>
      <w:r>
        <w:t>Bloque era «una sociedad»</w:t>
      </w:r>
      <w:r>
        <w:rPr>
          <w:spacing w:val="-2"/>
        </w:rPr>
        <w:t xml:space="preserve"> </w:t>
      </w:r>
      <w:r>
        <w:t>en la que, según un relato, se ajustaban las bonificaciones pagadas a los subordinados. Esto estuvo acompañado por extorsiones a dueños de ganado, de cultivos de coca y a empresas de transporte, según un miembro de este bloque</w:t>
      </w:r>
      <w:r w:rsidR="00FA5E71">
        <w:rPr>
          <w:rStyle w:val="Refdenotaalpie"/>
        </w:rPr>
        <w:footnoteReference w:id="606"/>
      </w:r>
      <w:r>
        <w:t>. Un exintegrante del Ejército</w:t>
      </w:r>
      <w:r>
        <w:rPr>
          <w:spacing w:val="-1"/>
        </w:rPr>
        <w:t xml:space="preserve"> </w:t>
      </w:r>
      <w:r>
        <w:t>que</w:t>
      </w:r>
      <w:r>
        <w:rPr>
          <w:spacing w:val="-2"/>
        </w:rPr>
        <w:t xml:space="preserve"> </w:t>
      </w:r>
      <w:r>
        <w:t>trabajó</w:t>
      </w:r>
      <w:r>
        <w:rPr>
          <w:spacing w:val="-1"/>
        </w:rPr>
        <w:t xml:space="preserve"> </w:t>
      </w:r>
      <w:r>
        <w:t>con</w:t>
      </w:r>
      <w:r>
        <w:rPr>
          <w:spacing w:val="-2"/>
        </w:rPr>
        <w:t xml:space="preserve"> </w:t>
      </w:r>
      <w:r>
        <w:t>los</w:t>
      </w:r>
      <w:r>
        <w:rPr>
          <w:spacing w:val="-1"/>
        </w:rPr>
        <w:t xml:space="preserve"> </w:t>
      </w:r>
      <w:r>
        <w:t>grupos</w:t>
      </w:r>
      <w:r>
        <w:rPr>
          <w:spacing w:val="-1"/>
        </w:rPr>
        <w:t xml:space="preserve"> </w:t>
      </w:r>
      <w:r>
        <w:t>de</w:t>
      </w:r>
      <w:r>
        <w:rPr>
          <w:spacing w:val="-2"/>
        </w:rPr>
        <w:t xml:space="preserve"> </w:t>
      </w:r>
      <w:r>
        <w:t>traficantes</w:t>
      </w:r>
      <w:r>
        <w:rPr>
          <w:spacing w:val="-3"/>
        </w:rPr>
        <w:t xml:space="preserve"> </w:t>
      </w:r>
      <w:r>
        <w:t>de</w:t>
      </w:r>
      <w:r>
        <w:rPr>
          <w:spacing w:val="-1"/>
        </w:rPr>
        <w:t xml:space="preserve"> </w:t>
      </w:r>
      <w:r>
        <w:t>cocaína</w:t>
      </w:r>
      <w:r>
        <w:rPr>
          <w:spacing w:val="-2"/>
        </w:rPr>
        <w:t xml:space="preserve"> </w:t>
      </w:r>
      <w:r>
        <w:t>le</w:t>
      </w:r>
      <w:r>
        <w:rPr>
          <w:spacing w:val="-1"/>
        </w:rPr>
        <w:t xml:space="preserve"> </w:t>
      </w:r>
      <w:r>
        <w:t>contó</w:t>
      </w:r>
      <w:r>
        <w:rPr>
          <w:spacing w:val="-2"/>
        </w:rPr>
        <w:t xml:space="preserve"> </w:t>
      </w:r>
      <w:r>
        <w:t>a</w:t>
      </w:r>
      <w:r>
        <w:rPr>
          <w:spacing w:val="-1"/>
        </w:rPr>
        <w:t xml:space="preserve"> </w:t>
      </w:r>
      <w:r>
        <w:t>la</w:t>
      </w:r>
      <w:r>
        <w:rPr>
          <w:spacing w:val="-2"/>
        </w:rPr>
        <w:t xml:space="preserve"> </w:t>
      </w:r>
      <w:r>
        <w:t>Comisión</w:t>
      </w:r>
      <w:r>
        <w:rPr>
          <w:spacing w:val="-2"/>
        </w:rPr>
        <w:t xml:space="preserve"> </w:t>
      </w:r>
      <w:r>
        <w:t>cómo</w:t>
      </w:r>
      <w:r>
        <w:rPr>
          <w:spacing w:val="-1"/>
        </w:rPr>
        <w:t xml:space="preserve"> </w:t>
      </w:r>
      <w:r>
        <w:t xml:space="preserve">la </w:t>
      </w:r>
      <w:r>
        <w:lastRenderedPageBreak/>
        <w:t>relación con el negocio del narcotráfico afectó a todos los actores del conflicto armado:</w:t>
      </w:r>
    </w:p>
    <w:p w:rsidR="003804AC" w:rsidRDefault="00AF18A5" w:rsidP="00FA5E71">
      <w:r>
        <w:t>«Como</w:t>
      </w:r>
      <w:r>
        <w:rPr>
          <w:spacing w:val="-15"/>
        </w:rPr>
        <w:t xml:space="preserve"> </w:t>
      </w:r>
      <w:r>
        <w:t>esas</w:t>
      </w:r>
      <w:r>
        <w:rPr>
          <w:spacing w:val="-14"/>
        </w:rPr>
        <w:t xml:space="preserve"> </w:t>
      </w:r>
      <w:r>
        <w:t>bandas</w:t>
      </w:r>
      <w:r>
        <w:rPr>
          <w:spacing w:val="-15"/>
        </w:rPr>
        <w:t xml:space="preserve"> </w:t>
      </w:r>
      <w:r>
        <w:t>cobran,</w:t>
      </w:r>
      <w:r>
        <w:rPr>
          <w:spacing w:val="-15"/>
        </w:rPr>
        <w:t xml:space="preserve"> </w:t>
      </w:r>
      <w:r>
        <w:t>en</w:t>
      </w:r>
      <w:r>
        <w:rPr>
          <w:spacing w:val="-14"/>
        </w:rPr>
        <w:t xml:space="preserve"> </w:t>
      </w:r>
      <w:r>
        <w:t>el</w:t>
      </w:r>
      <w:r>
        <w:rPr>
          <w:spacing w:val="-15"/>
        </w:rPr>
        <w:t xml:space="preserve"> </w:t>
      </w:r>
      <w:r>
        <w:t>momento</w:t>
      </w:r>
      <w:r>
        <w:rPr>
          <w:spacing w:val="-14"/>
        </w:rPr>
        <w:t xml:space="preserve"> </w:t>
      </w:r>
      <w:r>
        <w:t>de</w:t>
      </w:r>
      <w:r>
        <w:rPr>
          <w:spacing w:val="-15"/>
        </w:rPr>
        <w:t xml:space="preserve"> </w:t>
      </w:r>
      <w:r>
        <w:t>hacer</w:t>
      </w:r>
      <w:r>
        <w:rPr>
          <w:spacing w:val="-15"/>
        </w:rPr>
        <w:t xml:space="preserve"> </w:t>
      </w:r>
      <w:r>
        <w:t>negocios</w:t>
      </w:r>
      <w:r>
        <w:rPr>
          <w:spacing w:val="-15"/>
        </w:rPr>
        <w:t xml:space="preserve"> </w:t>
      </w:r>
      <w:r>
        <w:t>todos</w:t>
      </w:r>
      <w:r>
        <w:rPr>
          <w:spacing w:val="-14"/>
        </w:rPr>
        <w:t xml:space="preserve"> </w:t>
      </w:r>
      <w:r>
        <w:t>son</w:t>
      </w:r>
      <w:r>
        <w:rPr>
          <w:spacing w:val="-15"/>
        </w:rPr>
        <w:t xml:space="preserve"> </w:t>
      </w:r>
      <w:r>
        <w:t>amigos,</w:t>
      </w:r>
      <w:r>
        <w:rPr>
          <w:spacing w:val="-14"/>
        </w:rPr>
        <w:t xml:space="preserve"> </w:t>
      </w:r>
      <w:r>
        <w:t>¿por</w:t>
      </w:r>
      <w:r>
        <w:rPr>
          <w:spacing w:val="-15"/>
        </w:rPr>
        <w:t xml:space="preserve"> </w:t>
      </w:r>
      <w:r>
        <w:t xml:space="preserve">qué? Porque va a dar un </w:t>
      </w:r>
      <w:r>
        <w:rPr>
          <w:i/>
        </w:rPr>
        <w:t xml:space="preserve">container </w:t>
      </w:r>
      <w:r>
        <w:t>con una tonelada, dos toneladas, yo voy a montar 500, el otro va</w:t>
      </w:r>
      <w:r>
        <w:rPr>
          <w:spacing w:val="-8"/>
        </w:rPr>
        <w:t xml:space="preserve"> </w:t>
      </w:r>
      <w:r>
        <w:t>a</w:t>
      </w:r>
      <w:r>
        <w:rPr>
          <w:spacing w:val="-8"/>
        </w:rPr>
        <w:t xml:space="preserve"> </w:t>
      </w:r>
      <w:r>
        <w:t>montar</w:t>
      </w:r>
      <w:r>
        <w:rPr>
          <w:spacing w:val="-10"/>
        </w:rPr>
        <w:t xml:space="preserve"> </w:t>
      </w:r>
      <w:r>
        <w:t>200,</w:t>
      </w:r>
      <w:r>
        <w:rPr>
          <w:spacing w:val="-8"/>
        </w:rPr>
        <w:t xml:space="preserve"> </w:t>
      </w:r>
      <w:r>
        <w:t>el</w:t>
      </w:r>
      <w:r>
        <w:rPr>
          <w:spacing w:val="-8"/>
        </w:rPr>
        <w:t xml:space="preserve"> </w:t>
      </w:r>
      <w:r>
        <w:t>otro</w:t>
      </w:r>
      <w:r>
        <w:rPr>
          <w:spacing w:val="-10"/>
        </w:rPr>
        <w:t xml:space="preserve"> </w:t>
      </w:r>
      <w:r>
        <w:t>300,</w:t>
      </w:r>
      <w:r>
        <w:rPr>
          <w:spacing w:val="-8"/>
        </w:rPr>
        <w:t xml:space="preserve"> </w:t>
      </w:r>
      <w:r>
        <w:t>y</w:t>
      </w:r>
      <w:r>
        <w:rPr>
          <w:spacing w:val="-8"/>
        </w:rPr>
        <w:t xml:space="preserve"> </w:t>
      </w:r>
      <w:r>
        <w:t>eso</w:t>
      </w:r>
      <w:r>
        <w:rPr>
          <w:spacing w:val="-8"/>
        </w:rPr>
        <w:t xml:space="preserve"> </w:t>
      </w:r>
      <w:r>
        <w:t>es</w:t>
      </w:r>
      <w:r>
        <w:rPr>
          <w:spacing w:val="-9"/>
        </w:rPr>
        <w:t xml:space="preserve"> </w:t>
      </w:r>
      <w:r>
        <w:t>FARC,</w:t>
      </w:r>
      <w:r>
        <w:rPr>
          <w:spacing w:val="-8"/>
        </w:rPr>
        <w:t xml:space="preserve"> </w:t>
      </w:r>
      <w:r>
        <w:t>ELN,</w:t>
      </w:r>
      <w:r>
        <w:rPr>
          <w:spacing w:val="-8"/>
        </w:rPr>
        <w:t xml:space="preserve"> </w:t>
      </w:r>
      <w:r>
        <w:t>narcotráfico,</w:t>
      </w:r>
      <w:r>
        <w:rPr>
          <w:spacing w:val="-8"/>
        </w:rPr>
        <w:t xml:space="preserve"> </w:t>
      </w:r>
      <w:r>
        <w:t>hasta</w:t>
      </w:r>
      <w:r>
        <w:rPr>
          <w:spacing w:val="-8"/>
        </w:rPr>
        <w:t xml:space="preserve"> </w:t>
      </w:r>
      <w:r>
        <w:t>el</w:t>
      </w:r>
      <w:r>
        <w:rPr>
          <w:spacing w:val="-10"/>
        </w:rPr>
        <w:t xml:space="preserve"> </w:t>
      </w:r>
      <w:r>
        <w:t>Ejército</w:t>
      </w:r>
      <w:r>
        <w:rPr>
          <w:spacing w:val="-8"/>
        </w:rPr>
        <w:t xml:space="preserve"> </w:t>
      </w:r>
      <w:r>
        <w:t>y</w:t>
      </w:r>
      <w:r>
        <w:rPr>
          <w:spacing w:val="-10"/>
        </w:rPr>
        <w:t xml:space="preserve"> </w:t>
      </w:r>
      <w:r>
        <w:t>la</w:t>
      </w:r>
      <w:r>
        <w:rPr>
          <w:spacing w:val="-9"/>
        </w:rPr>
        <w:t xml:space="preserve"> </w:t>
      </w:r>
      <w:r>
        <w:t>Policía van</w:t>
      </w:r>
      <w:r>
        <w:rPr>
          <w:spacing w:val="-5"/>
        </w:rPr>
        <w:t xml:space="preserve"> </w:t>
      </w:r>
      <w:r>
        <w:t>ahí,</w:t>
      </w:r>
      <w:r>
        <w:rPr>
          <w:spacing w:val="-6"/>
        </w:rPr>
        <w:t xml:space="preserve"> </w:t>
      </w:r>
      <w:r>
        <w:t>los</w:t>
      </w:r>
      <w:r>
        <w:rPr>
          <w:spacing w:val="-5"/>
        </w:rPr>
        <w:t xml:space="preserve"> </w:t>
      </w:r>
      <w:r>
        <w:t>que</w:t>
      </w:r>
      <w:r>
        <w:rPr>
          <w:spacing w:val="-5"/>
        </w:rPr>
        <w:t xml:space="preserve"> </w:t>
      </w:r>
      <w:r>
        <w:t>son</w:t>
      </w:r>
      <w:r>
        <w:rPr>
          <w:spacing w:val="-5"/>
        </w:rPr>
        <w:t xml:space="preserve"> </w:t>
      </w:r>
      <w:r>
        <w:t>corruptos</w:t>
      </w:r>
      <w:r>
        <w:rPr>
          <w:spacing w:val="-4"/>
        </w:rPr>
        <w:t xml:space="preserve"> </w:t>
      </w:r>
      <w:r>
        <w:t>y</w:t>
      </w:r>
      <w:r>
        <w:rPr>
          <w:spacing w:val="-5"/>
        </w:rPr>
        <w:t xml:space="preserve"> </w:t>
      </w:r>
      <w:r>
        <w:t>mandan</w:t>
      </w:r>
      <w:r>
        <w:rPr>
          <w:spacing w:val="-5"/>
        </w:rPr>
        <w:t xml:space="preserve"> </w:t>
      </w:r>
      <w:r>
        <w:t>sus</w:t>
      </w:r>
      <w:r>
        <w:rPr>
          <w:spacing w:val="-4"/>
        </w:rPr>
        <w:t xml:space="preserve"> </w:t>
      </w:r>
      <w:r>
        <w:t>cosas</w:t>
      </w:r>
      <w:r>
        <w:rPr>
          <w:spacing w:val="-5"/>
        </w:rPr>
        <w:t xml:space="preserve"> </w:t>
      </w:r>
      <w:r>
        <w:t>y</w:t>
      </w:r>
      <w:r>
        <w:rPr>
          <w:spacing w:val="-5"/>
        </w:rPr>
        <w:t xml:space="preserve"> </w:t>
      </w:r>
      <w:r>
        <w:t>tienen</w:t>
      </w:r>
      <w:r>
        <w:rPr>
          <w:spacing w:val="-4"/>
        </w:rPr>
        <w:t xml:space="preserve"> </w:t>
      </w:r>
      <w:r>
        <w:t>sus</w:t>
      </w:r>
      <w:r>
        <w:rPr>
          <w:spacing w:val="-5"/>
        </w:rPr>
        <w:t xml:space="preserve"> </w:t>
      </w:r>
      <w:r>
        <w:t>líneas,</w:t>
      </w:r>
      <w:r>
        <w:rPr>
          <w:spacing w:val="-5"/>
        </w:rPr>
        <w:t xml:space="preserve"> </w:t>
      </w:r>
      <w:r>
        <w:t>porque</w:t>
      </w:r>
      <w:r>
        <w:rPr>
          <w:spacing w:val="-4"/>
        </w:rPr>
        <w:t xml:space="preserve"> </w:t>
      </w:r>
      <w:r>
        <w:t>esto</w:t>
      </w:r>
      <w:r>
        <w:rPr>
          <w:spacing w:val="-6"/>
        </w:rPr>
        <w:t xml:space="preserve"> </w:t>
      </w:r>
      <w:r>
        <w:t>es</w:t>
      </w:r>
      <w:r>
        <w:rPr>
          <w:spacing w:val="-5"/>
        </w:rPr>
        <w:t xml:space="preserve"> </w:t>
      </w:r>
      <w:r>
        <w:t>todo</w:t>
      </w:r>
      <w:r>
        <w:rPr>
          <w:spacing w:val="-4"/>
        </w:rPr>
        <w:t xml:space="preserve"> </w:t>
      </w:r>
      <w:r>
        <w:rPr>
          <w:spacing w:val="-5"/>
        </w:rPr>
        <w:t>un</w:t>
      </w:r>
      <w:bookmarkStart w:id="771" w:name="_bookmark665"/>
      <w:bookmarkStart w:id="772" w:name="_bookmark666"/>
      <w:bookmarkStart w:id="773" w:name="_bookmark667"/>
      <w:bookmarkStart w:id="774" w:name="_bookmark668"/>
      <w:bookmarkEnd w:id="771"/>
      <w:bookmarkEnd w:id="772"/>
      <w:bookmarkEnd w:id="773"/>
      <w:bookmarkEnd w:id="774"/>
      <w:r w:rsidR="00FA5E71">
        <w:rPr>
          <w:spacing w:val="-5"/>
        </w:rPr>
        <w:t xml:space="preserve"> </w:t>
      </w:r>
      <w:r>
        <w:t xml:space="preserve">proceso, es delicado y tienen que tener el conocimiento del transporte y la ubicación en </w:t>
      </w:r>
      <w:r>
        <w:rPr>
          <w:spacing w:val="-2"/>
        </w:rPr>
        <w:t>puerto»</w:t>
      </w:r>
      <w:r w:rsidR="00FA5E71">
        <w:rPr>
          <w:rStyle w:val="Refdenotaalpie"/>
          <w:spacing w:val="-2"/>
        </w:rPr>
        <w:footnoteReference w:id="607"/>
      </w:r>
      <w:r>
        <w:rPr>
          <w:spacing w:val="-2"/>
        </w:rPr>
        <w:t>.</w:t>
      </w:r>
    </w:p>
    <w:p w:rsidR="003804AC" w:rsidRDefault="00AF18A5" w:rsidP="00FA5E71">
      <w:r>
        <w:t>Estos casos de narcotráfico y enriquecimiento personal de mandos y sus entornos en los grupos paramilitares no han pasado desapercibidos para la UIAF</w:t>
      </w:r>
      <w:r w:rsidR="00FA5E71">
        <w:rPr>
          <w:rStyle w:val="Refdenotaalpie"/>
        </w:rPr>
        <w:footnoteReference w:id="608"/>
      </w:r>
      <w:r>
        <w:t>. También hay investigaciones abiertas en contra de comandantes de las AUC por lavado de activos en el que</w:t>
      </w:r>
      <w:r>
        <w:rPr>
          <w:spacing w:val="-15"/>
        </w:rPr>
        <w:t xml:space="preserve"> </w:t>
      </w:r>
      <w:r>
        <w:t>participaron</w:t>
      </w:r>
      <w:r>
        <w:rPr>
          <w:spacing w:val="-15"/>
        </w:rPr>
        <w:t xml:space="preserve"> </w:t>
      </w:r>
      <w:r>
        <w:t>sus</w:t>
      </w:r>
      <w:r>
        <w:rPr>
          <w:spacing w:val="-15"/>
        </w:rPr>
        <w:t xml:space="preserve"> </w:t>
      </w:r>
      <w:r>
        <w:t>familias,</w:t>
      </w:r>
      <w:r>
        <w:rPr>
          <w:spacing w:val="-15"/>
        </w:rPr>
        <w:t xml:space="preserve"> </w:t>
      </w:r>
      <w:r>
        <w:t>redes</w:t>
      </w:r>
      <w:r>
        <w:rPr>
          <w:spacing w:val="-15"/>
        </w:rPr>
        <w:t xml:space="preserve"> </w:t>
      </w:r>
      <w:r>
        <w:t>de</w:t>
      </w:r>
      <w:r>
        <w:rPr>
          <w:spacing w:val="-15"/>
        </w:rPr>
        <w:t xml:space="preserve"> </w:t>
      </w:r>
      <w:r>
        <w:t>testaferros,</w:t>
      </w:r>
      <w:r>
        <w:rPr>
          <w:spacing w:val="-15"/>
        </w:rPr>
        <w:t xml:space="preserve"> </w:t>
      </w:r>
      <w:r>
        <w:t>cooptación</w:t>
      </w:r>
      <w:r>
        <w:rPr>
          <w:spacing w:val="-15"/>
        </w:rPr>
        <w:t xml:space="preserve"> </w:t>
      </w:r>
      <w:r>
        <w:t>de</w:t>
      </w:r>
      <w:r>
        <w:rPr>
          <w:spacing w:val="-15"/>
        </w:rPr>
        <w:t xml:space="preserve"> </w:t>
      </w:r>
      <w:r>
        <w:t>recursos</w:t>
      </w:r>
      <w:r>
        <w:rPr>
          <w:spacing w:val="-15"/>
        </w:rPr>
        <w:t xml:space="preserve"> </w:t>
      </w:r>
      <w:r>
        <w:t>públicos</w:t>
      </w:r>
      <w:r>
        <w:rPr>
          <w:spacing w:val="-15"/>
        </w:rPr>
        <w:t xml:space="preserve"> </w:t>
      </w:r>
      <w:r>
        <w:t>de</w:t>
      </w:r>
      <w:r>
        <w:rPr>
          <w:spacing w:val="-15"/>
        </w:rPr>
        <w:t xml:space="preserve"> </w:t>
      </w:r>
      <w:r>
        <w:t>la</w:t>
      </w:r>
      <w:r>
        <w:rPr>
          <w:spacing w:val="-15"/>
        </w:rPr>
        <w:t xml:space="preserve"> </w:t>
      </w:r>
      <w:r>
        <w:t>salud y de universidades regionales, y la explotación de predios despojados, entre otros</w:t>
      </w:r>
      <w:r w:rsidR="00FA5E71">
        <w:rPr>
          <w:rStyle w:val="Refdenotaalpie"/>
        </w:rPr>
        <w:footnoteReference w:id="609"/>
      </w:r>
      <w:r>
        <w:t>. También se sospecha del involucramiento de oficinas del Estado en el negocio del narcotráfico: se abrió un caso por los desembolsos que recibió de Finagro la esposa de Salvatore</w:t>
      </w:r>
      <w:r>
        <w:rPr>
          <w:spacing w:val="-2"/>
        </w:rPr>
        <w:t xml:space="preserve"> </w:t>
      </w:r>
      <w:r>
        <w:t>Mancuso,</w:t>
      </w:r>
      <w:r>
        <w:rPr>
          <w:spacing w:val="-2"/>
        </w:rPr>
        <w:t xml:space="preserve"> </w:t>
      </w:r>
      <w:r>
        <w:t>según</w:t>
      </w:r>
      <w:r>
        <w:rPr>
          <w:spacing w:val="-2"/>
        </w:rPr>
        <w:t xml:space="preserve"> </w:t>
      </w:r>
      <w:r>
        <w:t>solicitudes</w:t>
      </w:r>
      <w:r>
        <w:rPr>
          <w:spacing w:val="-3"/>
        </w:rPr>
        <w:t xml:space="preserve"> </w:t>
      </w:r>
      <w:r>
        <w:t>de</w:t>
      </w:r>
      <w:r>
        <w:rPr>
          <w:spacing w:val="-2"/>
        </w:rPr>
        <w:t xml:space="preserve"> </w:t>
      </w:r>
      <w:r>
        <w:t>pago</w:t>
      </w:r>
      <w:r>
        <w:rPr>
          <w:spacing w:val="-2"/>
        </w:rPr>
        <w:t xml:space="preserve"> </w:t>
      </w:r>
      <w:r>
        <w:t>de</w:t>
      </w:r>
      <w:r>
        <w:rPr>
          <w:spacing w:val="-5"/>
        </w:rPr>
        <w:t xml:space="preserve"> </w:t>
      </w:r>
      <w:r>
        <w:t>una</w:t>
      </w:r>
      <w:r>
        <w:rPr>
          <w:spacing w:val="-2"/>
        </w:rPr>
        <w:t xml:space="preserve"> </w:t>
      </w:r>
      <w:r>
        <w:t>entidad</w:t>
      </w:r>
      <w:r>
        <w:rPr>
          <w:spacing w:val="-4"/>
        </w:rPr>
        <w:t xml:space="preserve"> </w:t>
      </w:r>
      <w:r>
        <w:t>regional</w:t>
      </w:r>
      <w:r>
        <w:rPr>
          <w:spacing w:val="-2"/>
        </w:rPr>
        <w:t xml:space="preserve"> </w:t>
      </w:r>
      <w:r>
        <w:t>entre</w:t>
      </w:r>
      <w:r>
        <w:rPr>
          <w:spacing w:val="-2"/>
        </w:rPr>
        <w:t xml:space="preserve"> </w:t>
      </w:r>
      <w:r>
        <w:t>2000</w:t>
      </w:r>
      <w:r>
        <w:rPr>
          <w:spacing w:val="-2"/>
        </w:rPr>
        <w:t xml:space="preserve"> </w:t>
      </w:r>
      <w:r>
        <w:t>y</w:t>
      </w:r>
      <w:r>
        <w:rPr>
          <w:spacing w:val="-2"/>
        </w:rPr>
        <w:t xml:space="preserve"> </w:t>
      </w:r>
      <w:r>
        <w:t>2006</w:t>
      </w:r>
      <w:r w:rsidR="00FA5E71">
        <w:rPr>
          <w:rStyle w:val="Refdenotaalpie"/>
        </w:rPr>
        <w:footnoteReference w:id="610"/>
      </w:r>
      <w:r>
        <w:t>. La Oficina de Envigado también tiene casos de lavado de dinero en ganadería y transacciones, 590 predios y giros postales</w:t>
      </w:r>
      <w:r w:rsidR="00FA5E71">
        <w:rPr>
          <w:rStyle w:val="Refdenotaalpie"/>
        </w:rPr>
        <w:footnoteReference w:id="611"/>
      </w:r>
      <w:r>
        <w:t>. En su matriz de casos, la UIAF tiene investigaciones al Cartel del Norte del Valle</w:t>
      </w:r>
      <w:r w:rsidR="00FA5E71">
        <w:rPr>
          <w:rStyle w:val="Refdenotaalpie"/>
        </w:rPr>
        <w:footnoteReference w:id="612"/>
      </w:r>
      <w:r>
        <w:t xml:space="preserve"> y </w:t>
      </w:r>
      <w:r>
        <w:lastRenderedPageBreak/>
        <w:t>sus facciones</w:t>
      </w:r>
      <w:r w:rsidR="00FA5E71">
        <w:rPr>
          <w:rStyle w:val="Refdenotaalpie"/>
        </w:rPr>
        <w:footnoteReference w:id="613"/>
      </w:r>
      <w:r>
        <w:t xml:space="preserve">. En la lista también están el Clan Úsuga o el Clan del Golfo, y Los </w:t>
      </w:r>
      <w:proofErr w:type="spellStart"/>
      <w:r>
        <w:t>Caparrapos</w:t>
      </w:r>
      <w:proofErr w:type="spellEnd"/>
      <w:r w:rsidR="00FA5E71">
        <w:rPr>
          <w:rStyle w:val="Refdenotaalpie"/>
        </w:rPr>
        <w:footnoteReference w:id="614"/>
      </w:r>
      <w:r>
        <w:t>. En la Orinoquía se hay una investigación sobre una red de Martín Llanos y una red de apoyo entre la ciudad de Bogotá y el municipio de San Martín, Meta, del ERPAC</w:t>
      </w:r>
      <w:r w:rsidR="00FA5E71">
        <w:rPr>
          <w:rStyle w:val="Refdenotaalpie"/>
        </w:rPr>
        <w:footnoteReference w:id="615"/>
      </w:r>
      <w:r>
        <w:t>.</w:t>
      </w:r>
    </w:p>
    <w:p w:rsidR="0011361F" w:rsidRDefault="00AF18A5" w:rsidP="004A6EF4">
      <w:pPr>
        <w:pStyle w:val="Ttulo3"/>
        <w:numPr>
          <w:ilvl w:val="1"/>
          <w:numId w:val="16"/>
        </w:numPr>
      </w:pPr>
      <w:bookmarkStart w:id="775" w:name="6.4._El_narcotráfico_como_actor_contrain"/>
      <w:bookmarkStart w:id="776" w:name="_Toc112399608"/>
      <w:bookmarkEnd w:id="775"/>
      <w:r>
        <w:t>El</w:t>
      </w:r>
      <w:r>
        <w:rPr>
          <w:spacing w:val="-2"/>
        </w:rPr>
        <w:t xml:space="preserve"> </w:t>
      </w:r>
      <w:r>
        <w:t>narcotráfico</w:t>
      </w:r>
      <w:r>
        <w:rPr>
          <w:spacing w:val="-1"/>
        </w:rPr>
        <w:t xml:space="preserve"> </w:t>
      </w:r>
      <w:r w:rsidRPr="00FA5E71">
        <w:t>como</w:t>
      </w:r>
      <w:r>
        <w:rPr>
          <w:spacing w:val="-1"/>
        </w:rPr>
        <w:t xml:space="preserve"> </w:t>
      </w:r>
      <w:r>
        <w:t>actor</w:t>
      </w:r>
      <w:r>
        <w:rPr>
          <w:spacing w:val="-2"/>
        </w:rPr>
        <w:t xml:space="preserve"> contrainsurgente</w:t>
      </w:r>
      <w:bookmarkEnd w:id="776"/>
    </w:p>
    <w:p w:rsidR="003804AC" w:rsidRDefault="00AF18A5" w:rsidP="00FA49EA">
      <w:r>
        <w:t>En los orígenes del narcotráfico hay una violencia propia de la actividad ilegal que se relaciona con la protección del negocio y del mercado frente a potenciales competidores y ajustes de cuenta, pero que no se relacionada con el conflicto armado. Desde finales de los años</w:t>
      </w:r>
      <w:r>
        <w:rPr>
          <w:spacing w:val="-6"/>
        </w:rPr>
        <w:t xml:space="preserve"> </w:t>
      </w:r>
      <w:r>
        <w:t>setenta</w:t>
      </w:r>
      <w:r>
        <w:rPr>
          <w:spacing w:val="-7"/>
        </w:rPr>
        <w:t xml:space="preserve"> </w:t>
      </w:r>
      <w:r>
        <w:t>y</w:t>
      </w:r>
      <w:r>
        <w:rPr>
          <w:spacing w:val="-5"/>
        </w:rPr>
        <w:t xml:space="preserve"> </w:t>
      </w:r>
      <w:r>
        <w:t>principios</w:t>
      </w:r>
      <w:r>
        <w:rPr>
          <w:spacing w:val="-7"/>
        </w:rPr>
        <w:t xml:space="preserve"> </w:t>
      </w:r>
      <w:r>
        <w:t>de</w:t>
      </w:r>
      <w:r>
        <w:rPr>
          <w:spacing w:val="-5"/>
        </w:rPr>
        <w:t xml:space="preserve"> </w:t>
      </w:r>
      <w:r>
        <w:t>los</w:t>
      </w:r>
      <w:r>
        <w:rPr>
          <w:spacing w:val="-6"/>
        </w:rPr>
        <w:t xml:space="preserve"> </w:t>
      </w:r>
      <w:r>
        <w:t>ochenta,</w:t>
      </w:r>
      <w:r>
        <w:rPr>
          <w:spacing w:val="-5"/>
        </w:rPr>
        <w:t xml:space="preserve"> </w:t>
      </w:r>
      <w:r>
        <w:t>los</w:t>
      </w:r>
      <w:r>
        <w:rPr>
          <w:spacing w:val="-5"/>
        </w:rPr>
        <w:t xml:space="preserve"> </w:t>
      </w:r>
      <w:r>
        <w:t>narcotraficantes</w:t>
      </w:r>
      <w:r>
        <w:rPr>
          <w:spacing w:val="-5"/>
        </w:rPr>
        <w:t xml:space="preserve"> </w:t>
      </w:r>
      <w:r>
        <w:t>devienen</w:t>
      </w:r>
      <w:r>
        <w:rPr>
          <w:spacing w:val="-5"/>
        </w:rPr>
        <w:t xml:space="preserve"> </w:t>
      </w:r>
      <w:r>
        <w:t>en</w:t>
      </w:r>
      <w:r>
        <w:rPr>
          <w:spacing w:val="-6"/>
        </w:rPr>
        <w:t xml:space="preserve"> </w:t>
      </w:r>
      <w:r>
        <w:t>ejércitos</w:t>
      </w:r>
      <w:r>
        <w:rPr>
          <w:spacing w:val="-5"/>
        </w:rPr>
        <w:t xml:space="preserve"> </w:t>
      </w:r>
      <w:r>
        <w:t>con</w:t>
      </w:r>
      <w:r>
        <w:rPr>
          <w:spacing w:val="-6"/>
        </w:rPr>
        <w:t xml:space="preserve"> </w:t>
      </w:r>
      <w:r>
        <w:rPr>
          <w:spacing w:val="-2"/>
        </w:rPr>
        <w:t>poder</w:t>
      </w:r>
      <w:bookmarkStart w:id="777" w:name="_bookmark670"/>
      <w:bookmarkStart w:id="778" w:name="_bookmark671"/>
      <w:bookmarkStart w:id="779" w:name="_bookmark672"/>
      <w:bookmarkStart w:id="780" w:name="_bookmark673"/>
      <w:bookmarkStart w:id="781" w:name="_bookmark674"/>
      <w:bookmarkStart w:id="782" w:name="_bookmark675"/>
      <w:bookmarkStart w:id="783" w:name="_bookmark676"/>
      <w:bookmarkStart w:id="784" w:name="_bookmark677"/>
      <w:bookmarkStart w:id="785" w:name="_bookmark678"/>
      <w:bookmarkEnd w:id="777"/>
      <w:bookmarkEnd w:id="778"/>
      <w:bookmarkEnd w:id="779"/>
      <w:bookmarkEnd w:id="780"/>
      <w:bookmarkEnd w:id="781"/>
      <w:bookmarkEnd w:id="782"/>
      <w:bookmarkEnd w:id="783"/>
      <w:bookmarkEnd w:id="784"/>
      <w:bookmarkEnd w:id="785"/>
      <w:r w:rsidR="00FA49EA">
        <w:rPr>
          <w:spacing w:val="-2"/>
        </w:rPr>
        <w:t xml:space="preserve"> </w:t>
      </w:r>
      <w:r>
        <w:t xml:space="preserve">territorial. En la dinámica del conflicto armado, esta mutación de actor narcotraficante a ejército </w:t>
      </w:r>
      <w:proofErr w:type="spellStart"/>
      <w:r>
        <w:t>narcoparamilitar</w:t>
      </w:r>
      <w:proofErr w:type="spellEnd"/>
      <w:r>
        <w:t xml:space="preserve"> explica la extensión de la guerra, su degradación y el impacto del terror en el conflicto.</w:t>
      </w:r>
    </w:p>
    <w:p w:rsidR="003804AC" w:rsidRDefault="00AF18A5" w:rsidP="00FA49EA">
      <w:r>
        <w:t>El</w:t>
      </w:r>
      <w:r>
        <w:rPr>
          <w:spacing w:val="-13"/>
        </w:rPr>
        <w:t xml:space="preserve"> </w:t>
      </w:r>
      <w:r>
        <w:t>paramilitarismo</w:t>
      </w:r>
      <w:r>
        <w:rPr>
          <w:spacing w:val="-13"/>
        </w:rPr>
        <w:t xml:space="preserve"> </w:t>
      </w:r>
      <w:r>
        <w:t>como</w:t>
      </w:r>
      <w:r>
        <w:rPr>
          <w:spacing w:val="-13"/>
        </w:rPr>
        <w:t xml:space="preserve"> </w:t>
      </w:r>
      <w:r>
        <w:t>grupo</w:t>
      </w:r>
      <w:r>
        <w:rPr>
          <w:spacing w:val="-13"/>
        </w:rPr>
        <w:t xml:space="preserve"> </w:t>
      </w:r>
      <w:r>
        <w:t>armado</w:t>
      </w:r>
      <w:r>
        <w:rPr>
          <w:spacing w:val="-13"/>
        </w:rPr>
        <w:t xml:space="preserve"> </w:t>
      </w:r>
      <w:r>
        <w:t>nació</w:t>
      </w:r>
      <w:r>
        <w:rPr>
          <w:spacing w:val="-13"/>
        </w:rPr>
        <w:t xml:space="preserve"> </w:t>
      </w:r>
      <w:r>
        <w:t>como</w:t>
      </w:r>
      <w:r>
        <w:rPr>
          <w:spacing w:val="-13"/>
        </w:rPr>
        <w:t xml:space="preserve"> </w:t>
      </w:r>
      <w:r>
        <w:t>una</w:t>
      </w:r>
      <w:r>
        <w:rPr>
          <w:spacing w:val="-13"/>
        </w:rPr>
        <w:t xml:space="preserve"> </w:t>
      </w:r>
      <w:r>
        <w:t>suma</w:t>
      </w:r>
      <w:r>
        <w:rPr>
          <w:spacing w:val="-13"/>
        </w:rPr>
        <w:t xml:space="preserve"> </w:t>
      </w:r>
      <w:r>
        <w:t>de</w:t>
      </w:r>
      <w:r>
        <w:rPr>
          <w:spacing w:val="-13"/>
        </w:rPr>
        <w:t xml:space="preserve"> </w:t>
      </w:r>
      <w:r>
        <w:t>ejércitos</w:t>
      </w:r>
      <w:r>
        <w:rPr>
          <w:spacing w:val="-13"/>
        </w:rPr>
        <w:t xml:space="preserve"> </w:t>
      </w:r>
      <w:r>
        <w:t>del</w:t>
      </w:r>
      <w:r>
        <w:rPr>
          <w:spacing w:val="-13"/>
        </w:rPr>
        <w:t xml:space="preserve"> </w:t>
      </w:r>
      <w:r>
        <w:t>narcotráfico articulados con sectores de la fuerza pública, a partir del momento de la creación del MAS en 1981 y 1982. Muchas investigaciones sobre estos vínculos quedaron impunes</w:t>
      </w:r>
      <w:r w:rsidR="0042151C">
        <w:rPr>
          <w:rStyle w:val="Refdenotaalpie"/>
        </w:rPr>
        <w:footnoteReference w:id="616"/>
      </w:r>
      <w:r>
        <w:t>.Entre 1985 y 1993 se experimentó la transición del MAS a los Pepes (Perseguidos por Pablo Escobar) con impactos en el conflicto armado. El liderazgo de los Pepes fue asumido por Fidel Castaño Gil, en compañía de su hermano Carlos, a quien Estados Unidos, como se expresa en el siguiente cable de la Embajada, reconocía como un narcotraficante, anticomunista y paramilitar:</w:t>
      </w:r>
    </w:p>
    <w:p w:rsidR="003804AC" w:rsidRDefault="00AF18A5" w:rsidP="00747167">
      <w:r>
        <w:lastRenderedPageBreak/>
        <w:t>A estas alturas, Fidel Castaño, después de haber derrotado ya al EPL, tiene 2.000 paramilitares trabajando para él en las regiones de Córdoba y Urabá. Diciendo «ya basta», volvió</w:t>
      </w:r>
      <w:r>
        <w:rPr>
          <w:spacing w:val="-11"/>
        </w:rPr>
        <w:t xml:space="preserve"> </w:t>
      </w:r>
      <w:r>
        <w:t>su</w:t>
      </w:r>
      <w:r>
        <w:rPr>
          <w:spacing w:val="-10"/>
        </w:rPr>
        <w:t xml:space="preserve"> </w:t>
      </w:r>
      <w:r>
        <w:t>mirada</w:t>
      </w:r>
      <w:r>
        <w:rPr>
          <w:spacing w:val="-11"/>
        </w:rPr>
        <w:t xml:space="preserve"> </w:t>
      </w:r>
      <w:r>
        <w:t>contra</w:t>
      </w:r>
      <w:r>
        <w:rPr>
          <w:spacing w:val="-11"/>
        </w:rPr>
        <w:t xml:space="preserve"> </w:t>
      </w:r>
      <w:r>
        <w:t>Pablo</w:t>
      </w:r>
      <w:r>
        <w:rPr>
          <w:spacing w:val="-10"/>
        </w:rPr>
        <w:t xml:space="preserve"> </w:t>
      </w:r>
      <w:r>
        <w:t>Escobar,</w:t>
      </w:r>
      <w:r>
        <w:rPr>
          <w:spacing w:val="-10"/>
        </w:rPr>
        <w:t xml:space="preserve"> </w:t>
      </w:r>
      <w:r>
        <w:t>su</w:t>
      </w:r>
      <w:r>
        <w:rPr>
          <w:spacing w:val="-10"/>
        </w:rPr>
        <w:t xml:space="preserve"> </w:t>
      </w:r>
      <w:r>
        <w:t>ex</w:t>
      </w:r>
      <w:r>
        <w:rPr>
          <w:spacing w:val="-10"/>
        </w:rPr>
        <w:t xml:space="preserve"> </w:t>
      </w:r>
      <w:r>
        <w:t>narco-asociado,</w:t>
      </w:r>
      <w:r>
        <w:rPr>
          <w:spacing w:val="-10"/>
        </w:rPr>
        <w:t xml:space="preserve"> </w:t>
      </w:r>
      <w:r>
        <w:t>y</w:t>
      </w:r>
      <w:r>
        <w:rPr>
          <w:spacing w:val="-11"/>
        </w:rPr>
        <w:t xml:space="preserve"> </w:t>
      </w:r>
      <w:r>
        <w:t>se</w:t>
      </w:r>
      <w:r>
        <w:rPr>
          <w:spacing w:val="-11"/>
        </w:rPr>
        <w:t xml:space="preserve"> </w:t>
      </w:r>
      <w:r>
        <w:t>convirtió</w:t>
      </w:r>
      <w:r>
        <w:rPr>
          <w:spacing w:val="-11"/>
        </w:rPr>
        <w:t xml:space="preserve"> </w:t>
      </w:r>
      <w:r>
        <w:t>en</w:t>
      </w:r>
      <w:r>
        <w:rPr>
          <w:spacing w:val="-10"/>
        </w:rPr>
        <w:t xml:space="preserve"> </w:t>
      </w:r>
      <w:r>
        <w:t>el</w:t>
      </w:r>
      <w:r>
        <w:rPr>
          <w:spacing w:val="-11"/>
        </w:rPr>
        <w:t xml:space="preserve"> </w:t>
      </w:r>
      <w:r>
        <w:t>líder</w:t>
      </w:r>
      <w:r>
        <w:rPr>
          <w:spacing w:val="-10"/>
        </w:rPr>
        <w:t xml:space="preserve"> </w:t>
      </w:r>
      <w:r>
        <w:t>militar de</w:t>
      </w:r>
      <w:r>
        <w:rPr>
          <w:spacing w:val="-8"/>
        </w:rPr>
        <w:t xml:space="preserve"> </w:t>
      </w:r>
      <w:r>
        <w:t>Los</w:t>
      </w:r>
      <w:r>
        <w:rPr>
          <w:spacing w:val="-9"/>
        </w:rPr>
        <w:t xml:space="preserve"> </w:t>
      </w:r>
      <w:r>
        <w:t>Pepes,</w:t>
      </w:r>
      <w:r>
        <w:rPr>
          <w:spacing w:val="-7"/>
        </w:rPr>
        <w:t xml:space="preserve"> </w:t>
      </w:r>
      <w:r>
        <w:t>los</w:t>
      </w:r>
      <w:r>
        <w:rPr>
          <w:spacing w:val="-9"/>
        </w:rPr>
        <w:t xml:space="preserve"> </w:t>
      </w:r>
      <w:r>
        <w:t>Perseguidos</w:t>
      </w:r>
      <w:r>
        <w:rPr>
          <w:spacing w:val="-9"/>
        </w:rPr>
        <w:t xml:space="preserve"> </w:t>
      </w:r>
      <w:r>
        <w:t>por</w:t>
      </w:r>
      <w:r>
        <w:rPr>
          <w:spacing w:val="-8"/>
        </w:rPr>
        <w:t xml:space="preserve"> </w:t>
      </w:r>
      <w:r>
        <w:t>Pablo</w:t>
      </w:r>
      <w:r>
        <w:rPr>
          <w:spacing w:val="-9"/>
        </w:rPr>
        <w:t xml:space="preserve"> </w:t>
      </w:r>
      <w:r>
        <w:t>Escobar</w:t>
      </w:r>
      <w:r>
        <w:rPr>
          <w:spacing w:val="-8"/>
        </w:rPr>
        <w:t xml:space="preserve"> </w:t>
      </w:r>
      <w:r>
        <w:t>(el</w:t>
      </w:r>
      <w:r>
        <w:rPr>
          <w:spacing w:val="-8"/>
        </w:rPr>
        <w:t xml:space="preserve"> </w:t>
      </w:r>
      <w:r>
        <w:t>hermano</w:t>
      </w:r>
      <w:r>
        <w:rPr>
          <w:spacing w:val="-8"/>
        </w:rPr>
        <w:t xml:space="preserve"> </w:t>
      </w:r>
      <w:r>
        <w:t>menor</w:t>
      </w:r>
      <w:r>
        <w:rPr>
          <w:spacing w:val="-8"/>
        </w:rPr>
        <w:t xml:space="preserve"> </w:t>
      </w:r>
      <w:r>
        <w:t>Carlos,</w:t>
      </w:r>
      <w:r>
        <w:rPr>
          <w:spacing w:val="-8"/>
        </w:rPr>
        <w:t xml:space="preserve"> </w:t>
      </w:r>
      <w:r>
        <w:t>ahora</w:t>
      </w:r>
      <w:r>
        <w:rPr>
          <w:spacing w:val="-8"/>
        </w:rPr>
        <w:t xml:space="preserve"> </w:t>
      </w:r>
      <w:r>
        <w:t>jefe</w:t>
      </w:r>
      <w:r>
        <w:rPr>
          <w:spacing w:val="-8"/>
        </w:rPr>
        <w:t xml:space="preserve"> </w:t>
      </w:r>
      <w:r>
        <w:t>de</w:t>
      </w:r>
      <w:r>
        <w:rPr>
          <w:spacing w:val="-8"/>
        </w:rPr>
        <w:t xml:space="preserve"> </w:t>
      </w:r>
      <w:r>
        <w:t xml:space="preserve">las </w:t>
      </w:r>
      <w:r>
        <w:rPr>
          <w:spacing w:val="-2"/>
        </w:rPr>
        <w:t>ACCU,</w:t>
      </w:r>
      <w:r>
        <w:rPr>
          <w:spacing w:val="-5"/>
        </w:rPr>
        <w:t xml:space="preserve"> </w:t>
      </w:r>
      <w:r>
        <w:rPr>
          <w:spacing w:val="-2"/>
        </w:rPr>
        <w:t>se</w:t>
      </w:r>
      <w:r>
        <w:rPr>
          <w:spacing w:val="-6"/>
        </w:rPr>
        <w:t xml:space="preserve"> </w:t>
      </w:r>
      <w:r>
        <w:rPr>
          <w:spacing w:val="-2"/>
        </w:rPr>
        <w:t>desempeñó</w:t>
      </w:r>
      <w:r>
        <w:rPr>
          <w:spacing w:val="-5"/>
        </w:rPr>
        <w:t xml:space="preserve"> </w:t>
      </w:r>
      <w:r>
        <w:rPr>
          <w:spacing w:val="-2"/>
        </w:rPr>
        <w:t>como</w:t>
      </w:r>
      <w:r>
        <w:rPr>
          <w:spacing w:val="-5"/>
        </w:rPr>
        <w:t xml:space="preserve"> </w:t>
      </w:r>
      <w:r>
        <w:rPr>
          <w:spacing w:val="-2"/>
        </w:rPr>
        <w:t>jefe</w:t>
      </w:r>
      <w:r>
        <w:rPr>
          <w:spacing w:val="-6"/>
        </w:rPr>
        <w:t xml:space="preserve"> </w:t>
      </w:r>
      <w:r>
        <w:rPr>
          <w:spacing w:val="-2"/>
        </w:rPr>
        <w:t>de</w:t>
      </w:r>
      <w:r>
        <w:rPr>
          <w:spacing w:val="-6"/>
        </w:rPr>
        <w:t xml:space="preserve"> </w:t>
      </w:r>
      <w:r>
        <w:rPr>
          <w:spacing w:val="-2"/>
        </w:rPr>
        <w:t>inteligencia</w:t>
      </w:r>
      <w:r>
        <w:rPr>
          <w:spacing w:val="-6"/>
        </w:rPr>
        <w:t xml:space="preserve"> </w:t>
      </w:r>
      <w:r>
        <w:rPr>
          <w:spacing w:val="-2"/>
        </w:rPr>
        <w:t>de</w:t>
      </w:r>
      <w:r>
        <w:rPr>
          <w:spacing w:val="-6"/>
        </w:rPr>
        <w:t xml:space="preserve"> </w:t>
      </w:r>
      <w:r>
        <w:rPr>
          <w:spacing w:val="-2"/>
        </w:rPr>
        <w:t>los</w:t>
      </w:r>
      <w:r>
        <w:rPr>
          <w:spacing w:val="-6"/>
        </w:rPr>
        <w:t xml:space="preserve"> </w:t>
      </w:r>
      <w:r>
        <w:rPr>
          <w:spacing w:val="-2"/>
        </w:rPr>
        <w:t>Pepes).</w:t>
      </w:r>
      <w:r>
        <w:rPr>
          <w:spacing w:val="-5"/>
        </w:rPr>
        <w:t xml:space="preserve"> </w:t>
      </w:r>
      <w:r>
        <w:rPr>
          <w:spacing w:val="-2"/>
        </w:rPr>
        <w:t>Todos</w:t>
      </w:r>
      <w:r>
        <w:rPr>
          <w:spacing w:val="-6"/>
        </w:rPr>
        <w:t xml:space="preserve"> </w:t>
      </w:r>
      <w:r>
        <w:rPr>
          <w:spacing w:val="-2"/>
        </w:rPr>
        <w:t>trabajaban</w:t>
      </w:r>
      <w:r>
        <w:rPr>
          <w:spacing w:val="-5"/>
        </w:rPr>
        <w:t xml:space="preserve"> </w:t>
      </w:r>
      <w:r>
        <w:rPr>
          <w:spacing w:val="-2"/>
        </w:rPr>
        <w:t>con</w:t>
      </w:r>
      <w:r>
        <w:rPr>
          <w:spacing w:val="-5"/>
        </w:rPr>
        <w:t xml:space="preserve"> </w:t>
      </w:r>
      <w:r>
        <w:rPr>
          <w:spacing w:val="-2"/>
        </w:rPr>
        <w:t>los</w:t>
      </w:r>
      <w:r>
        <w:rPr>
          <w:spacing w:val="-6"/>
        </w:rPr>
        <w:t xml:space="preserve"> </w:t>
      </w:r>
      <w:r>
        <w:rPr>
          <w:spacing w:val="-2"/>
        </w:rPr>
        <w:t xml:space="preserve">Pepes </w:t>
      </w:r>
      <w:r>
        <w:t xml:space="preserve">dijeron los tres a </w:t>
      </w:r>
      <w:proofErr w:type="spellStart"/>
      <w:r>
        <w:t>Poloff</w:t>
      </w:r>
      <w:proofErr w:type="spellEnd"/>
      <w:r>
        <w:t xml:space="preserve">: las autodefensas, la Policía, el Ejército, la DEA, dos mercenarios reclutados a través de la revista “Soldado de la fortuna”, todos. Fidel Castaño volvió en su </w:t>
      </w:r>
      <w:r>
        <w:rPr>
          <w:spacing w:val="-2"/>
        </w:rPr>
        <w:t>contra</w:t>
      </w:r>
      <w:r>
        <w:rPr>
          <w:spacing w:val="-5"/>
        </w:rPr>
        <w:t xml:space="preserve"> </w:t>
      </w:r>
      <w:r>
        <w:rPr>
          <w:spacing w:val="-2"/>
        </w:rPr>
        <w:t>las</w:t>
      </w:r>
      <w:r>
        <w:rPr>
          <w:spacing w:val="-5"/>
        </w:rPr>
        <w:t xml:space="preserve"> </w:t>
      </w:r>
      <w:r>
        <w:rPr>
          <w:spacing w:val="-2"/>
        </w:rPr>
        <w:t>reglas</w:t>
      </w:r>
      <w:r>
        <w:rPr>
          <w:spacing w:val="-5"/>
        </w:rPr>
        <w:t xml:space="preserve"> </w:t>
      </w:r>
      <w:r>
        <w:rPr>
          <w:spacing w:val="-2"/>
        </w:rPr>
        <w:t>de</w:t>
      </w:r>
      <w:r>
        <w:rPr>
          <w:spacing w:val="-5"/>
        </w:rPr>
        <w:t xml:space="preserve"> </w:t>
      </w:r>
      <w:r>
        <w:rPr>
          <w:spacing w:val="-2"/>
        </w:rPr>
        <w:t>Escobar,</w:t>
      </w:r>
      <w:r>
        <w:rPr>
          <w:spacing w:val="-3"/>
        </w:rPr>
        <w:t xml:space="preserve"> </w:t>
      </w:r>
      <w:r>
        <w:rPr>
          <w:spacing w:val="-2"/>
        </w:rPr>
        <w:t>declarando</w:t>
      </w:r>
      <w:r>
        <w:rPr>
          <w:spacing w:val="-3"/>
        </w:rPr>
        <w:t xml:space="preserve"> </w:t>
      </w:r>
      <w:r>
        <w:rPr>
          <w:spacing w:val="-2"/>
        </w:rPr>
        <w:t>una</w:t>
      </w:r>
      <w:r>
        <w:rPr>
          <w:spacing w:val="-5"/>
        </w:rPr>
        <w:t xml:space="preserve"> </w:t>
      </w:r>
      <w:r>
        <w:rPr>
          <w:spacing w:val="-2"/>
        </w:rPr>
        <w:t>moratoria</w:t>
      </w:r>
      <w:r>
        <w:rPr>
          <w:spacing w:val="-5"/>
        </w:rPr>
        <w:t xml:space="preserve"> </w:t>
      </w:r>
      <w:r>
        <w:rPr>
          <w:spacing w:val="-2"/>
        </w:rPr>
        <w:t>en</w:t>
      </w:r>
      <w:r>
        <w:rPr>
          <w:spacing w:val="-3"/>
        </w:rPr>
        <w:t xml:space="preserve"> </w:t>
      </w:r>
      <w:r>
        <w:rPr>
          <w:spacing w:val="-2"/>
        </w:rPr>
        <w:t>la</w:t>
      </w:r>
      <w:r>
        <w:rPr>
          <w:spacing w:val="-5"/>
        </w:rPr>
        <w:t xml:space="preserve"> </w:t>
      </w:r>
      <w:r>
        <w:rPr>
          <w:spacing w:val="-2"/>
        </w:rPr>
        <w:t>asistencia</w:t>
      </w:r>
      <w:r>
        <w:rPr>
          <w:spacing w:val="-5"/>
        </w:rPr>
        <w:t xml:space="preserve"> </w:t>
      </w:r>
      <w:r>
        <w:rPr>
          <w:spacing w:val="-2"/>
        </w:rPr>
        <w:t>a</w:t>
      </w:r>
      <w:r>
        <w:rPr>
          <w:spacing w:val="-5"/>
        </w:rPr>
        <w:t xml:space="preserve"> </w:t>
      </w:r>
      <w:r>
        <w:rPr>
          <w:spacing w:val="-2"/>
        </w:rPr>
        <w:t>Escobar:</w:t>
      </w:r>
      <w:r>
        <w:rPr>
          <w:spacing w:val="-3"/>
        </w:rPr>
        <w:t xml:space="preserve"> </w:t>
      </w:r>
      <w:r>
        <w:rPr>
          <w:spacing w:val="-2"/>
        </w:rPr>
        <w:t xml:space="preserve">«Cualquiera </w:t>
      </w:r>
      <w:r>
        <w:t>que pague impuestos a Escobar, yo lo mato». Con la ayuda de la Policía, Fidel acabó con todos los narcos relacionados con Escobar en Montería y Córdoba</w:t>
      </w:r>
      <w:r w:rsidR="00747167">
        <w:rPr>
          <w:rStyle w:val="Refdenotaalpie"/>
        </w:rPr>
        <w:footnoteReference w:id="617"/>
      </w:r>
      <w:r>
        <w:t>.</w:t>
      </w:r>
    </w:p>
    <w:p w:rsidR="003804AC" w:rsidRDefault="00AF18A5" w:rsidP="00747167">
      <w:r>
        <w:t>La relación del gobierno colombiano y los paramilitares liderados por Fidel Castaño Gil empezó a depender de su rol contrainsurgente. Posteriormente, esas alianzas se dieron con las Cooperativas de Seguridad Privada (Convivir)</w:t>
      </w:r>
      <w:r w:rsidR="00747167">
        <w:rPr>
          <w:rStyle w:val="Refdenotaalpie"/>
        </w:rPr>
        <w:footnoteReference w:id="618"/>
      </w:r>
      <w:r>
        <w:t xml:space="preserve"> que permitieron, de nuevo, la legalización</w:t>
      </w:r>
      <w:r>
        <w:rPr>
          <w:spacing w:val="73"/>
        </w:rPr>
        <w:t xml:space="preserve"> </w:t>
      </w:r>
      <w:r>
        <w:t>de</w:t>
      </w:r>
      <w:r>
        <w:rPr>
          <w:spacing w:val="77"/>
        </w:rPr>
        <w:t xml:space="preserve"> </w:t>
      </w:r>
      <w:r>
        <w:t>grupos</w:t>
      </w:r>
      <w:r>
        <w:rPr>
          <w:spacing w:val="76"/>
        </w:rPr>
        <w:t xml:space="preserve"> </w:t>
      </w:r>
      <w:r>
        <w:t>armados</w:t>
      </w:r>
      <w:r>
        <w:rPr>
          <w:spacing w:val="77"/>
        </w:rPr>
        <w:t xml:space="preserve"> </w:t>
      </w:r>
      <w:r>
        <w:t>civiles</w:t>
      </w:r>
      <w:r>
        <w:rPr>
          <w:spacing w:val="77"/>
        </w:rPr>
        <w:t xml:space="preserve"> </w:t>
      </w:r>
      <w:r>
        <w:t>en</w:t>
      </w:r>
      <w:r>
        <w:rPr>
          <w:spacing w:val="75"/>
        </w:rPr>
        <w:t xml:space="preserve"> </w:t>
      </w:r>
      <w:r>
        <w:t>el</w:t>
      </w:r>
      <w:r>
        <w:rPr>
          <w:spacing w:val="76"/>
        </w:rPr>
        <w:t xml:space="preserve"> </w:t>
      </w:r>
      <w:r>
        <w:t>territorio</w:t>
      </w:r>
      <w:r>
        <w:rPr>
          <w:spacing w:val="75"/>
        </w:rPr>
        <w:t xml:space="preserve"> </w:t>
      </w:r>
      <w:r>
        <w:t>colombiano,</w:t>
      </w:r>
      <w:r>
        <w:rPr>
          <w:spacing w:val="75"/>
        </w:rPr>
        <w:t xml:space="preserve"> </w:t>
      </w:r>
      <w:r>
        <w:t>dado</w:t>
      </w:r>
      <w:r>
        <w:rPr>
          <w:spacing w:val="77"/>
        </w:rPr>
        <w:t xml:space="preserve"> </w:t>
      </w:r>
      <w:r>
        <w:t>que</w:t>
      </w:r>
      <w:r>
        <w:rPr>
          <w:spacing w:val="77"/>
        </w:rPr>
        <w:t xml:space="preserve"> </w:t>
      </w:r>
      <w:r>
        <w:rPr>
          <w:spacing w:val="-2"/>
        </w:rPr>
        <w:t>varios</w:t>
      </w:r>
      <w:bookmarkStart w:id="786" w:name="_bookmark679"/>
      <w:bookmarkStart w:id="787" w:name="_bookmark680"/>
      <w:bookmarkStart w:id="788" w:name="_bookmark681"/>
      <w:bookmarkEnd w:id="786"/>
      <w:bookmarkEnd w:id="787"/>
      <w:bookmarkEnd w:id="788"/>
      <w:r w:rsidR="00747167">
        <w:t xml:space="preserve"> </w:t>
      </w:r>
      <w:r>
        <w:t>integrantes de Los Pepes-ACCU y de quienes integrarían posteriormente las AUC tuvieron su Convivir particular</w:t>
      </w:r>
      <w:r w:rsidR="00747167">
        <w:rPr>
          <w:rStyle w:val="Refdenotaalpie"/>
        </w:rPr>
        <w:footnoteReference w:id="619"/>
      </w:r>
      <w:r>
        <w:t>.</w:t>
      </w:r>
    </w:p>
    <w:p w:rsidR="003804AC" w:rsidRDefault="00AF18A5" w:rsidP="006077AB">
      <w:r>
        <w:t xml:space="preserve">Según investigaciones previas y el testimonio de algunos protagonistas, las alianzas de Los Pepes para acabar con Pablo Escobar se hicieron entre el Estado y un sector de los traficantes de drogas, tanto con una </w:t>
      </w:r>
      <w:r>
        <w:lastRenderedPageBreak/>
        <w:t xml:space="preserve">fracción del Cartel de Medellín como con el Cartel de Cali y agencias de inteligencia como la DEA, el FBI, los </w:t>
      </w:r>
      <w:proofErr w:type="spellStart"/>
      <w:r>
        <w:t>Navy</w:t>
      </w:r>
      <w:proofErr w:type="spellEnd"/>
      <w:r>
        <w:t xml:space="preserve"> </w:t>
      </w:r>
      <w:proofErr w:type="spellStart"/>
      <w:r>
        <w:t>Seals</w:t>
      </w:r>
      <w:proofErr w:type="spellEnd"/>
      <w:r>
        <w:t>; además, Los Pepes contaban con protección del DAS</w:t>
      </w:r>
      <w:r w:rsidR="006077AB">
        <w:rPr>
          <w:rStyle w:val="Refdenotaalpie"/>
        </w:rPr>
        <w:footnoteReference w:id="620"/>
      </w:r>
      <w:r>
        <w:t>. Los Pepes asesinaron a sicarios, abogados, antiguos empleados y trabajadores de Pablo Escobar</w:t>
      </w:r>
      <w:r w:rsidR="006077AB">
        <w:rPr>
          <w:rStyle w:val="Refdenotaalpie"/>
        </w:rPr>
        <w:footnoteReference w:id="621"/>
      </w:r>
      <w:r>
        <w:t>. Escobar denunció la alianza que el Estado colombiano había hecho con Fidel Castaño en el asesinato de militantes de la UP y en masacres en la región de Urabá.</w:t>
      </w:r>
    </w:p>
    <w:p w:rsidR="003804AC" w:rsidRDefault="00AF18A5" w:rsidP="006077AB">
      <w:r>
        <w:t>Después del asesinato de Escobar, en seis meses se capturó y extraditó a parte del Cartel de Cali, principalmente a sus jefes (Miguel y Gilberto Rodríguez Orejuela). Su lugar fue ocupado por el otro actor que determinó el rumbo del conflicto armado: el Cartel del Norte del</w:t>
      </w:r>
      <w:r>
        <w:rPr>
          <w:spacing w:val="-4"/>
        </w:rPr>
        <w:t xml:space="preserve"> </w:t>
      </w:r>
      <w:r>
        <w:t>Valle,</w:t>
      </w:r>
      <w:r>
        <w:rPr>
          <w:spacing w:val="-5"/>
        </w:rPr>
        <w:t xml:space="preserve"> </w:t>
      </w:r>
      <w:r>
        <w:t>a</w:t>
      </w:r>
      <w:r>
        <w:rPr>
          <w:spacing w:val="-6"/>
        </w:rPr>
        <w:t xml:space="preserve"> </w:t>
      </w:r>
      <w:r>
        <w:t>partir</w:t>
      </w:r>
      <w:r>
        <w:rPr>
          <w:spacing w:val="-4"/>
        </w:rPr>
        <w:t xml:space="preserve"> </w:t>
      </w:r>
      <w:r>
        <w:t>de</w:t>
      </w:r>
      <w:r>
        <w:rPr>
          <w:spacing w:val="-5"/>
        </w:rPr>
        <w:t xml:space="preserve"> </w:t>
      </w:r>
      <w:r>
        <w:t>la</w:t>
      </w:r>
      <w:r>
        <w:rPr>
          <w:spacing w:val="-5"/>
        </w:rPr>
        <w:t xml:space="preserve"> </w:t>
      </w:r>
      <w:r>
        <w:t>articulación</w:t>
      </w:r>
      <w:r>
        <w:rPr>
          <w:spacing w:val="-5"/>
        </w:rPr>
        <w:t xml:space="preserve"> </w:t>
      </w:r>
      <w:r>
        <w:t>de</w:t>
      </w:r>
      <w:r>
        <w:rPr>
          <w:spacing w:val="-5"/>
        </w:rPr>
        <w:t xml:space="preserve"> </w:t>
      </w:r>
      <w:r>
        <w:t>este</w:t>
      </w:r>
      <w:r>
        <w:rPr>
          <w:spacing w:val="-5"/>
        </w:rPr>
        <w:t xml:space="preserve"> </w:t>
      </w:r>
      <w:r>
        <w:t>con</w:t>
      </w:r>
      <w:r>
        <w:rPr>
          <w:spacing w:val="-5"/>
        </w:rPr>
        <w:t xml:space="preserve"> </w:t>
      </w:r>
      <w:r>
        <w:t>el</w:t>
      </w:r>
      <w:r>
        <w:rPr>
          <w:spacing w:val="-6"/>
        </w:rPr>
        <w:t xml:space="preserve"> </w:t>
      </w:r>
      <w:r>
        <w:t>grupo</w:t>
      </w:r>
      <w:r>
        <w:rPr>
          <w:spacing w:val="-5"/>
        </w:rPr>
        <w:t xml:space="preserve"> </w:t>
      </w:r>
      <w:r>
        <w:t>de</w:t>
      </w:r>
      <w:r>
        <w:rPr>
          <w:spacing w:val="-5"/>
        </w:rPr>
        <w:t xml:space="preserve"> </w:t>
      </w:r>
      <w:r>
        <w:t>narcotraficantes</w:t>
      </w:r>
      <w:r>
        <w:rPr>
          <w:spacing w:val="-5"/>
        </w:rPr>
        <w:t xml:space="preserve"> </w:t>
      </w:r>
      <w:r>
        <w:t>de</w:t>
      </w:r>
      <w:r>
        <w:rPr>
          <w:spacing w:val="-5"/>
        </w:rPr>
        <w:t xml:space="preserve"> </w:t>
      </w:r>
      <w:r>
        <w:t>los</w:t>
      </w:r>
      <w:r>
        <w:rPr>
          <w:spacing w:val="-5"/>
        </w:rPr>
        <w:t xml:space="preserve"> </w:t>
      </w:r>
      <w:r>
        <w:t xml:space="preserve">hermanos Castaño y con las redes políticas y militares que se constituyeron a su alrededor. La CIA investigó en 1993 el grado de implicación del cartel de Cali en las entidades del Estado, en la fuerza pública y con las otras agencias, pero estos archivos aún no han sido </w:t>
      </w:r>
      <w:r>
        <w:rPr>
          <w:spacing w:val="-2"/>
        </w:rPr>
        <w:t>desclasificados</w:t>
      </w:r>
      <w:r w:rsidR="006077AB">
        <w:rPr>
          <w:rStyle w:val="Refdenotaalpie"/>
          <w:spacing w:val="-2"/>
        </w:rPr>
        <w:footnoteReference w:id="622"/>
      </w:r>
      <w:r>
        <w:rPr>
          <w:spacing w:val="-2"/>
        </w:rPr>
        <w:t>.</w:t>
      </w:r>
    </w:p>
    <w:p w:rsidR="003804AC" w:rsidRDefault="00AF18A5" w:rsidP="006077AB">
      <w:r>
        <w:t>El</w:t>
      </w:r>
      <w:r>
        <w:rPr>
          <w:spacing w:val="-2"/>
        </w:rPr>
        <w:t xml:space="preserve"> </w:t>
      </w:r>
      <w:r>
        <w:t>proyecto</w:t>
      </w:r>
      <w:r>
        <w:rPr>
          <w:spacing w:val="-4"/>
        </w:rPr>
        <w:t xml:space="preserve"> </w:t>
      </w:r>
      <w:r>
        <w:t>paramilitar</w:t>
      </w:r>
      <w:r>
        <w:rPr>
          <w:spacing w:val="-2"/>
        </w:rPr>
        <w:t xml:space="preserve"> </w:t>
      </w:r>
      <w:r>
        <w:t>se</w:t>
      </w:r>
      <w:r>
        <w:rPr>
          <w:spacing w:val="-2"/>
        </w:rPr>
        <w:t xml:space="preserve"> </w:t>
      </w:r>
      <w:r>
        <w:t>consolidó</w:t>
      </w:r>
      <w:r>
        <w:rPr>
          <w:spacing w:val="-3"/>
        </w:rPr>
        <w:t xml:space="preserve"> </w:t>
      </w:r>
      <w:r>
        <w:t>con</w:t>
      </w:r>
      <w:r>
        <w:rPr>
          <w:spacing w:val="-2"/>
        </w:rPr>
        <w:t xml:space="preserve"> </w:t>
      </w:r>
      <w:r>
        <w:t>las</w:t>
      </w:r>
      <w:r>
        <w:rPr>
          <w:spacing w:val="-2"/>
        </w:rPr>
        <w:t xml:space="preserve"> </w:t>
      </w:r>
      <w:r>
        <w:t>AUC</w:t>
      </w:r>
      <w:r>
        <w:rPr>
          <w:spacing w:val="-3"/>
        </w:rPr>
        <w:t xml:space="preserve"> </w:t>
      </w:r>
      <w:r>
        <w:t>en</w:t>
      </w:r>
      <w:r>
        <w:rPr>
          <w:spacing w:val="-2"/>
        </w:rPr>
        <w:t xml:space="preserve"> </w:t>
      </w:r>
      <w:r>
        <w:t>1997,</w:t>
      </w:r>
      <w:r>
        <w:rPr>
          <w:spacing w:val="-3"/>
        </w:rPr>
        <w:t xml:space="preserve"> </w:t>
      </w:r>
      <w:r>
        <w:t>que</w:t>
      </w:r>
      <w:r>
        <w:rPr>
          <w:spacing w:val="-2"/>
        </w:rPr>
        <w:t xml:space="preserve"> </w:t>
      </w:r>
      <w:r>
        <w:t>llegó</w:t>
      </w:r>
      <w:r>
        <w:rPr>
          <w:spacing w:val="-2"/>
        </w:rPr>
        <w:t xml:space="preserve"> </w:t>
      </w:r>
      <w:r>
        <w:t>al</w:t>
      </w:r>
      <w:r>
        <w:rPr>
          <w:spacing w:val="-3"/>
        </w:rPr>
        <w:t xml:space="preserve"> </w:t>
      </w:r>
      <w:r>
        <w:t>acuerdo</w:t>
      </w:r>
      <w:r>
        <w:rPr>
          <w:spacing w:val="-3"/>
        </w:rPr>
        <w:t xml:space="preserve"> </w:t>
      </w:r>
      <w:r>
        <w:t>de</w:t>
      </w:r>
      <w:r>
        <w:rPr>
          <w:spacing w:val="-3"/>
        </w:rPr>
        <w:t xml:space="preserve"> </w:t>
      </w:r>
      <w:r>
        <w:t xml:space="preserve">Santa Fe de Ralito en 2003 como parte de la negociación del </w:t>
      </w:r>
      <w:r>
        <w:lastRenderedPageBreak/>
        <w:t>expresidente Álvaro Uribe Vélez (2002-2010).</w:t>
      </w:r>
      <w:r>
        <w:rPr>
          <w:spacing w:val="71"/>
        </w:rPr>
        <w:t xml:space="preserve"> </w:t>
      </w:r>
      <w:r>
        <w:t>El</w:t>
      </w:r>
      <w:r>
        <w:rPr>
          <w:spacing w:val="73"/>
        </w:rPr>
        <w:t xml:space="preserve"> </w:t>
      </w:r>
      <w:r>
        <w:t>texto</w:t>
      </w:r>
      <w:r>
        <w:rPr>
          <w:spacing w:val="71"/>
        </w:rPr>
        <w:t xml:space="preserve"> </w:t>
      </w:r>
      <w:r>
        <w:t>concreto</w:t>
      </w:r>
      <w:r>
        <w:rPr>
          <w:spacing w:val="73"/>
        </w:rPr>
        <w:t xml:space="preserve"> </w:t>
      </w:r>
      <w:r>
        <w:t>del</w:t>
      </w:r>
      <w:r>
        <w:rPr>
          <w:spacing w:val="74"/>
        </w:rPr>
        <w:t xml:space="preserve"> </w:t>
      </w:r>
      <w:r>
        <w:t>acuerdo</w:t>
      </w:r>
      <w:r>
        <w:rPr>
          <w:spacing w:val="72"/>
        </w:rPr>
        <w:t xml:space="preserve"> </w:t>
      </w:r>
      <w:r>
        <w:t>concreto</w:t>
      </w:r>
      <w:r>
        <w:rPr>
          <w:spacing w:val="72"/>
        </w:rPr>
        <w:t xml:space="preserve"> </w:t>
      </w:r>
      <w:r>
        <w:t>y</w:t>
      </w:r>
      <w:r>
        <w:rPr>
          <w:spacing w:val="73"/>
        </w:rPr>
        <w:t xml:space="preserve"> </w:t>
      </w:r>
      <w:r>
        <w:t>la</w:t>
      </w:r>
      <w:r>
        <w:rPr>
          <w:spacing w:val="73"/>
        </w:rPr>
        <w:t xml:space="preserve"> </w:t>
      </w:r>
      <w:r>
        <w:t>negociación</w:t>
      </w:r>
      <w:r>
        <w:rPr>
          <w:spacing w:val="73"/>
        </w:rPr>
        <w:t xml:space="preserve"> </w:t>
      </w:r>
      <w:r>
        <w:t>que</w:t>
      </w:r>
      <w:r>
        <w:rPr>
          <w:spacing w:val="73"/>
        </w:rPr>
        <w:t xml:space="preserve"> </w:t>
      </w:r>
      <w:r>
        <w:t>buscó</w:t>
      </w:r>
      <w:r>
        <w:rPr>
          <w:spacing w:val="73"/>
        </w:rPr>
        <w:t xml:space="preserve"> </w:t>
      </w:r>
      <w:r>
        <w:rPr>
          <w:spacing w:val="-5"/>
        </w:rPr>
        <w:t>su</w:t>
      </w:r>
      <w:bookmarkStart w:id="789" w:name="_bookmark682"/>
      <w:bookmarkStart w:id="790" w:name="_bookmark683"/>
      <w:bookmarkStart w:id="791" w:name="_bookmark685"/>
      <w:bookmarkEnd w:id="789"/>
      <w:bookmarkEnd w:id="790"/>
      <w:bookmarkEnd w:id="791"/>
      <w:r w:rsidR="006077AB">
        <w:rPr>
          <w:spacing w:val="-5"/>
        </w:rPr>
        <w:t xml:space="preserve"> </w:t>
      </w:r>
      <w:r>
        <w:t>desmovilización</w:t>
      </w:r>
      <w:r>
        <w:rPr>
          <w:spacing w:val="-15"/>
        </w:rPr>
        <w:t xml:space="preserve"> </w:t>
      </w:r>
      <w:r>
        <w:t>se</w:t>
      </w:r>
      <w:r>
        <w:rPr>
          <w:spacing w:val="-15"/>
        </w:rPr>
        <w:t xml:space="preserve"> </w:t>
      </w:r>
      <w:r>
        <w:t>desconocen.</w:t>
      </w:r>
      <w:r>
        <w:rPr>
          <w:spacing w:val="-15"/>
        </w:rPr>
        <w:t xml:space="preserve"> </w:t>
      </w:r>
      <w:r>
        <w:t>Tras</w:t>
      </w:r>
      <w:r>
        <w:rPr>
          <w:spacing w:val="-15"/>
        </w:rPr>
        <w:t xml:space="preserve"> </w:t>
      </w:r>
      <w:r>
        <w:t>el</w:t>
      </w:r>
      <w:r>
        <w:rPr>
          <w:spacing w:val="-14"/>
        </w:rPr>
        <w:t xml:space="preserve"> </w:t>
      </w:r>
      <w:r>
        <w:t>acuerdo,</w:t>
      </w:r>
      <w:r>
        <w:rPr>
          <w:spacing w:val="-15"/>
        </w:rPr>
        <w:t xml:space="preserve"> </w:t>
      </w:r>
      <w:r>
        <w:t>los</w:t>
      </w:r>
      <w:r>
        <w:rPr>
          <w:spacing w:val="-15"/>
        </w:rPr>
        <w:t xml:space="preserve"> </w:t>
      </w:r>
      <w:r>
        <w:t>jefes</w:t>
      </w:r>
      <w:r>
        <w:rPr>
          <w:spacing w:val="-14"/>
        </w:rPr>
        <w:t xml:space="preserve"> </w:t>
      </w:r>
      <w:r>
        <w:t>de</w:t>
      </w:r>
      <w:r>
        <w:rPr>
          <w:spacing w:val="-15"/>
        </w:rPr>
        <w:t xml:space="preserve"> </w:t>
      </w:r>
      <w:r>
        <w:t>este</w:t>
      </w:r>
      <w:r>
        <w:rPr>
          <w:spacing w:val="-15"/>
        </w:rPr>
        <w:t xml:space="preserve"> </w:t>
      </w:r>
      <w:r>
        <w:t>proyecto</w:t>
      </w:r>
      <w:r>
        <w:rPr>
          <w:spacing w:val="-15"/>
        </w:rPr>
        <w:t xml:space="preserve"> </w:t>
      </w:r>
      <w:r>
        <w:t>se</w:t>
      </w:r>
      <w:r>
        <w:rPr>
          <w:spacing w:val="-14"/>
        </w:rPr>
        <w:t xml:space="preserve"> </w:t>
      </w:r>
      <w:r>
        <w:t>dividieron</w:t>
      </w:r>
      <w:r>
        <w:rPr>
          <w:spacing w:val="-15"/>
        </w:rPr>
        <w:t xml:space="preserve"> </w:t>
      </w:r>
      <w:r>
        <w:t>entre quienes querían el fortalecimiento de su proyecto político y quienes se decantaron por mantener</w:t>
      </w:r>
      <w:r>
        <w:rPr>
          <w:spacing w:val="-14"/>
        </w:rPr>
        <w:t xml:space="preserve"> </w:t>
      </w:r>
      <w:r>
        <w:t>el</w:t>
      </w:r>
      <w:r>
        <w:rPr>
          <w:spacing w:val="-15"/>
        </w:rPr>
        <w:t xml:space="preserve"> </w:t>
      </w:r>
      <w:r>
        <w:t>control</w:t>
      </w:r>
      <w:r>
        <w:rPr>
          <w:spacing w:val="-14"/>
        </w:rPr>
        <w:t xml:space="preserve"> </w:t>
      </w:r>
      <w:r>
        <w:t>de</w:t>
      </w:r>
      <w:r>
        <w:rPr>
          <w:spacing w:val="-14"/>
        </w:rPr>
        <w:t xml:space="preserve"> </w:t>
      </w:r>
      <w:r>
        <w:t>las</w:t>
      </w:r>
      <w:r>
        <w:rPr>
          <w:spacing w:val="-14"/>
        </w:rPr>
        <w:t xml:space="preserve"> </w:t>
      </w:r>
      <w:r>
        <w:t>economías</w:t>
      </w:r>
      <w:r>
        <w:rPr>
          <w:spacing w:val="-14"/>
        </w:rPr>
        <w:t xml:space="preserve"> </w:t>
      </w:r>
      <w:r>
        <w:t>de</w:t>
      </w:r>
      <w:r>
        <w:rPr>
          <w:spacing w:val="-14"/>
        </w:rPr>
        <w:t xml:space="preserve"> </w:t>
      </w:r>
      <w:r>
        <w:t>la</w:t>
      </w:r>
      <w:r>
        <w:rPr>
          <w:spacing w:val="-14"/>
        </w:rPr>
        <w:t xml:space="preserve"> </w:t>
      </w:r>
      <w:r>
        <w:t>cocaína,</w:t>
      </w:r>
      <w:r>
        <w:rPr>
          <w:spacing w:val="-14"/>
        </w:rPr>
        <w:t xml:space="preserve"> </w:t>
      </w:r>
      <w:r>
        <w:t>lo</w:t>
      </w:r>
      <w:r>
        <w:rPr>
          <w:spacing w:val="-14"/>
        </w:rPr>
        <w:t xml:space="preserve"> </w:t>
      </w:r>
      <w:r>
        <w:t>cual</w:t>
      </w:r>
      <w:r>
        <w:rPr>
          <w:spacing w:val="-14"/>
        </w:rPr>
        <w:t xml:space="preserve"> </w:t>
      </w:r>
      <w:r>
        <w:t>se</w:t>
      </w:r>
      <w:r>
        <w:rPr>
          <w:spacing w:val="-14"/>
        </w:rPr>
        <w:t xml:space="preserve"> </w:t>
      </w:r>
      <w:r>
        <w:t>resolvió</w:t>
      </w:r>
      <w:r>
        <w:rPr>
          <w:spacing w:val="-14"/>
        </w:rPr>
        <w:t xml:space="preserve"> </w:t>
      </w:r>
      <w:r>
        <w:t>a</w:t>
      </w:r>
      <w:r>
        <w:rPr>
          <w:spacing w:val="-14"/>
        </w:rPr>
        <w:t xml:space="preserve"> </w:t>
      </w:r>
      <w:r>
        <w:t>favor</w:t>
      </w:r>
      <w:r>
        <w:rPr>
          <w:spacing w:val="-14"/>
        </w:rPr>
        <w:t xml:space="preserve"> </w:t>
      </w:r>
      <w:r>
        <w:t>de</w:t>
      </w:r>
      <w:r>
        <w:rPr>
          <w:spacing w:val="-14"/>
        </w:rPr>
        <w:t xml:space="preserve"> </w:t>
      </w:r>
      <w:r>
        <w:t>esta</w:t>
      </w:r>
      <w:r>
        <w:rPr>
          <w:spacing w:val="-14"/>
        </w:rPr>
        <w:t xml:space="preserve"> </w:t>
      </w:r>
      <w:r>
        <w:t>segunda visión, lo que derivó en traiciones y asesinatos entre la cúpula de la organización</w:t>
      </w:r>
      <w:r w:rsidR="006077AB">
        <w:rPr>
          <w:rStyle w:val="Refdenotaalpie"/>
        </w:rPr>
        <w:footnoteReference w:id="623"/>
      </w:r>
      <w:r>
        <w:t>.</w:t>
      </w:r>
    </w:p>
    <w:p w:rsidR="003804AC" w:rsidRDefault="00AF18A5" w:rsidP="006077AB">
      <w:r>
        <w:t>Entre 1998 y 2003, el objetivo de las AUC fue convertirse en un actor político mediante la guerra contrainsurgente, pero dicho intento fracasó por esta victoria interna del sector narcotraficante</w:t>
      </w:r>
      <w:r>
        <w:rPr>
          <w:spacing w:val="-11"/>
        </w:rPr>
        <w:t xml:space="preserve"> </w:t>
      </w:r>
      <w:r>
        <w:t>y</w:t>
      </w:r>
      <w:r>
        <w:rPr>
          <w:spacing w:val="-11"/>
        </w:rPr>
        <w:t xml:space="preserve"> </w:t>
      </w:r>
      <w:r>
        <w:t>porque,</w:t>
      </w:r>
      <w:r>
        <w:rPr>
          <w:spacing w:val="-11"/>
        </w:rPr>
        <w:t xml:space="preserve"> </w:t>
      </w:r>
      <w:r>
        <w:t>al</w:t>
      </w:r>
      <w:r>
        <w:rPr>
          <w:spacing w:val="-12"/>
        </w:rPr>
        <w:t xml:space="preserve"> </w:t>
      </w:r>
      <w:r>
        <w:t>menos</w:t>
      </w:r>
      <w:r>
        <w:rPr>
          <w:spacing w:val="-12"/>
        </w:rPr>
        <w:t xml:space="preserve"> </w:t>
      </w:r>
      <w:r>
        <w:t>en</w:t>
      </w:r>
      <w:r>
        <w:rPr>
          <w:spacing w:val="-11"/>
        </w:rPr>
        <w:t xml:space="preserve"> </w:t>
      </w:r>
      <w:r>
        <w:t>parte,</w:t>
      </w:r>
      <w:r>
        <w:rPr>
          <w:spacing w:val="-11"/>
        </w:rPr>
        <w:t xml:space="preserve"> </w:t>
      </w:r>
      <w:r>
        <w:t>se</w:t>
      </w:r>
      <w:r>
        <w:rPr>
          <w:spacing w:val="-12"/>
        </w:rPr>
        <w:t xml:space="preserve"> </w:t>
      </w:r>
      <w:r>
        <w:t>reveló</w:t>
      </w:r>
      <w:r>
        <w:rPr>
          <w:spacing w:val="-11"/>
        </w:rPr>
        <w:t xml:space="preserve"> </w:t>
      </w:r>
      <w:r>
        <w:t>el</w:t>
      </w:r>
      <w:r>
        <w:rPr>
          <w:spacing w:val="-10"/>
        </w:rPr>
        <w:t xml:space="preserve"> </w:t>
      </w:r>
      <w:r>
        <w:t>escándalo</w:t>
      </w:r>
      <w:r>
        <w:rPr>
          <w:spacing w:val="-11"/>
        </w:rPr>
        <w:t xml:space="preserve"> </w:t>
      </w:r>
      <w:r>
        <w:t>de</w:t>
      </w:r>
      <w:r>
        <w:rPr>
          <w:spacing w:val="-12"/>
        </w:rPr>
        <w:t xml:space="preserve"> </w:t>
      </w:r>
      <w:r>
        <w:t>la</w:t>
      </w:r>
      <w:r>
        <w:rPr>
          <w:spacing w:val="-11"/>
        </w:rPr>
        <w:t xml:space="preserve"> </w:t>
      </w:r>
      <w:r>
        <w:t>parapolítica</w:t>
      </w:r>
      <w:r>
        <w:rPr>
          <w:spacing w:val="-11"/>
        </w:rPr>
        <w:t xml:space="preserve"> </w:t>
      </w:r>
      <w:r>
        <w:t>en</w:t>
      </w:r>
      <w:r>
        <w:rPr>
          <w:spacing w:val="-12"/>
        </w:rPr>
        <w:t xml:space="preserve"> </w:t>
      </w:r>
      <w:r>
        <w:t>2006. El gobierno de Álvaro Uribe Vélez que dio prioridad fundamental a la lucha de las Fuerzas Armadas</w:t>
      </w:r>
      <w:r>
        <w:rPr>
          <w:spacing w:val="-15"/>
        </w:rPr>
        <w:t xml:space="preserve"> </w:t>
      </w:r>
      <w:r>
        <w:t>contra</w:t>
      </w:r>
      <w:r>
        <w:rPr>
          <w:spacing w:val="-15"/>
        </w:rPr>
        <w:t xml:space="preserve"> </w:t>
      </w:r>
      <w:r>
        <w:t>las</w:t>
      </w:r>
      <w:r>
        <w:rPr>
          <w:spacing w:val="-15"/>
        </w:rPr>
        <w:t xml:space="preserve"> </w:t>
      </w:r>
      <w:r>
        <w:t>FARC,</w:t>
      </w:r>
      <w:r>
        <w:rPr>
          <w:spacing w:val="-15"/>
        </w:rPr>
        <w:t xml:space="preserve"> </w:t>
      </w:r>
      <w:r>
        <w:t>capitalizó</w:t>
      </w:r>
      <w:r>
        <w:rPr>
          <w:spacing w:val="-15"/>
        </w:rPr>
        <w:t xml:space="preserve"> </w:t>
      </w:r>
      <w:r>
        <w:t>en</w:t>
      </w:r>
      <w:r>
        <w:rPr>
          <w:spacing w:val="-15"/>
        </w:rPr>
        <w:t xml:space="preserve"> </w:t>
      </w:r>
      <w:r>
        <w:t>Ralito,</w:t>
      </w:r>
      <w:r>
        <w:rPr>
          <w:spacing w:val="-15"/>
        </w:rPr>
        <w:t xml:space="preserve"> </w:t>
      </w:r>
      <w:r>
        <w:t>la</w:t>
      </w:r>
      <w:r>
        <w:rPr>
          <w:spacing w:val="-15"/>
        </w:rPr>
        <w:t xml:space="preserve"> </w:t>
      </w:r>
      <w:r>
        <w:t>lucha</w:t>
      </w:r>
      <w:r>
        <w:rPr>
          <w:spacing w:val="-15"/>
        </w:rPr>
        <w:t xml:space="preserve"> </w:t>
      </w:r>
      <w:r>
        <w:t>contrainsurgente</w:t>
      </w:r>
      <w:r>
        <w:rPr>
          <w:spacing w:val="-15"/>
        </w:rPr>
        <w:t xml:space="preserve"> </w:t>
      </w:r>
      <w:r>
        <w:t>de</w:t>
      </w:r>
      <w:r>
        <w:rPr>
          <w:spacing w:val="-15"/>
        </w:rPr>
        <w:t xml:space="preserve"> </w:t>
      </w:r>
      <w:r>
        <w:t>los</w:t>
      </w:r>
      <w:r>
        <w:rPr>
          <w:spacing w:val="-15"/>
        </w:rPr>
        <w:t xml:space="preserve"> </w:t>
      </w:r>
      <w:r>
        <w:t>paramilitares narcotraficantes que actuaron con el apoyo de militares y políticos. Los paramilitares se sometieron primero a Justicia y Paz y luego varios de ellos fueron extraditados.</w:t>
      </w:r>
    </w:p>
    <w:p w:rsidR="003804AC" w:rsidRDefault="00AF18A5" w:rsidP="006077AB">
      <w:r>
        <w:t>El</w:t>
      </w:r>
      <w:r>
        <w:rPr>
          <w:spacing w:val="-10"/>
        </w:rPr>
        <w:t xml:space="preserve"> </w:t>
      </w:r>
      <w:r>
        <w:t>narcotráfico</w:t>
      </w:r>
      <w:r>
        <w:rPr>
          <w:spacing w:val="-11"/>
        </w:rPr>
        <w:t xml:space="preserve"> </w:t>
      </w:r>
      <w:r>
        <w:t>ha</w:t>
      </w:r>
      <w:r>
        <w:rPr>
          <w:spacing w:val="-11"/>
        </w:rPr>
        <w:t xml:space="preserve"> </w:t>
      </w:r>
      <w:r>
        <w:t>sido,</w:t>
      </w:r>
      <w:r>
        <w:rPr>
          <w:spacing w:val="-11"/>
        </w:rPr>
        <w:t xml:space="preserve"> </w:t>
      </w:r>
      <w:r>
        <w:t>entonces,</w:t>
      </w:r>
      <w:r>
        <w:rPr>
          <w:spacing w:val="-11"/>
        </w:rPr>
        <w:t xml:space="preserve"> </w:t>
      </w:r>
      <w:r>
        <w:t>una</w:t>
      </w:r>
      <w:r>
        <w:rPr>
          <w:spacing w:val="-12"/>
        </w:rPr>
        <w:t xml:space="preserve"> </w:t>
      </w:r>
      <w:r>
        <w:t>bisagra</w:t>
      </w:r>
      <w:r>
        <w:rPr>
          <w:spacing w:val="-11"/>
        </w:rPr>
        <w:t xml:space="preserve"> </w:t>
      </w:r>
      <w:r>
        <w:t>entre</w:t>
      </w:r>
      <w:r>
        <w:rPr>
          <w:spacing w:val="-11"/>
        </w:rPr>
        <w:t xml:space="preserve"> </w:t>
      </w:r>
      <w:r>
        <w:t>el</w:t>
      </w:r>
      <w:r>
        <w:rPr>
          <w:spacing w:val="-10"/>
        </w:rPr>
        <w:t xml:space="preserve"> </w:t>
      </w:r>
      <w:r>
        <w:t>crimen</w:t>
      </w:r>
      <w:r>
        <w:rPr>
          <w:spacing w:val="-11"/>
        </w:rPr>
        <w:t xml:space="preserve"> </w:t>
      </w:r>
      <w:r>
        <w:t>y</w:t>
      </w:r>
      <w:r>
        <w:rPr>
          <w:spacing w:val="-12"/>
        </w:rPr>
        <w:t xml:space="preserve"> </w:t>
      </w:r>
      <w:r>
        <w:t>el</w:t>
      </w:r>
      <w:r>
        <w:rPr>
          <w:spacing w:val="-10"/>
        </w:rPr>
        <w:t xml:space="preserve"> </w:t>
      </w:r>
      <w:r>
        <w:t>poder,</w:t>
      </w:r>
      <w:r>
        <w:rPr>
          <w:spacing w:val="-11"/>
        </w:rPr>
        <w:t xml:space="preserve"> </w:t>
      </w:r>
      <w:r>
        <w:t>un</w:t>
      </w:r>
      <w:r>
        <w:rPr>
          <w:spacing w:val="-12"/>
        </w:rPr>
        <w:t xml:space="preserve"> </w:t>
      </w:r>
      <w:r>
        <w:t>actor</w:t>
      </w:r>
      <w:r>
        <w:rPr>
          <w:spacing w:val="-10"/>
        </w:rPr>
        <w:t xml:space="preserve"> </w:t>
      </w:r>
      <w:r>
        <w:t>comodín que ha actuado bajo distintas lógicas. Su rol va desde la formación de grupos que tenían tareas de cuenta de cobros y roles justicieros y de seguridad, por medio inicialmente de combos</w:t>
      </w:r>
      <w:r>
        <w:rPr>
          <w:spacing w:val="-7"/>
        </w:rPr>
        <w:t xml:space="preserve"> </w:t>
      </w:r>
      <w:r>
        <w:t>y</w:t>
      </w:r>
      <w:r>
        <w:rPr>
          <w:spacing w:val="-7"/>
        </w:rPr>
        <w:t xml:space="preserve"> </w:t>
      </w:r>
      <w:r>
        <w:t>pandillas,</w:t>
      </w:r>
      <w:r>
        <w:rPr>
          <w:spacing w:val="-7"/>
        </w:rPr>
        <w:t xml:space="preserve"> </w:t>
      </w:r>
      <w:r>
        <w:t>hasta</w:t>
      </w:r>
      <w:r>
        <w:rPr>
          <w:spacing w:val="-7"/>
        </w:rPr>
        <w:t xml:space="preserve"> </w:t>
      </w:r>
      <w:r>
        <w:t>nuevos</w:t>
      </w:r>
      <w:r>
        <w:rPr>
          <w:spacing w:val="-7"/>
        </w:rPr>
        <w:t xml:space="preserve"> </w:t>
      </w:r>
      <w:r>
        <w:t>escenarios</w:t>
      </w:r>
      <w:r>
        <w:rPr>
          <w:spacing w:val="-8"/>
        </w:rPr>
        <w:t xml:space="preserve"> </w:t>
      </w:r>
      <w:r>
        <w:t>que</w:t>
      </w:r>
      <w:r>
        <w:rPr>
          <w:spacing w:val="-8"/>
        </w:rPr>
        <w:t xml:space="preserve"> </w:t>
      </w:r>
      <w:r>
        <w:t>tuvieron</w:t>
      </w:r>
      <w:r>
        <w:rPr>
          <w:spacing w:val="-8"/>
        </w:rPr>
        <w:t xml:space="preserve"> </w:t>
      </w:r>
      <w:r>
        <w:t>como</w:t>
      </w:r>
      <w:r>
        <w:rPr>
          <w:spacing w:val="-7"/>
        </w:rPr>
        <w:t xml:space="preserve"> </w:t>
      </w:r>
      <w:r>
        <w:t>base</w:t>
      </w:r>
      <w:r>
        <w:rPr>
          <w:spacing w:val="-7"/>
        </w:rPr>
        <w:t xml:space="preserve"> </w:t>
      </w:r>
      <w:r>
        <w:t>grupos</w:t>
      </w:r>
      <w:r>
        <w:rPr>
          <w:spacing w:val="-7"/>
        </w:rPr>
        <w:t xml:space="preserve"> </w:t>
      </w:r>
      <w:r>
        <w:t>de</w:t>
      </w:r>
      <w:r>
        <w:rPr>
          <w:spacing w:val="-7"/>
        </w:rPr>
        <w:t xml:space="preserve"> </w:t>
      </w:r>
      <w:r>
        <w:t>delincuencia común que posteriormente van a seguir alimentando a los ejércitos paramilitares, como lo que ocurrió con el llamado “Departamento de Seguridad y Control” que devino posteriormente</w:t>
      </w:r>
      <w:r>
        <w:rPr>
          <w:spacing w:val="-13"/>
        </w:rPr>
        <w:t xml:space="preserve"> </w:t>
      </w:r>
      <w:r>
        <w:t>en</w:t>
      </w:r>
      <w:r>
        <w:rPr>
          <w:spacing w:val="-14"/>
        </w:rPr>
        <w:t xml:space="preserve"> </w:t>
      </w:r>
      <w:r>
        <w:t>la</w:t>
      </w:r>
      <w:r>
        <w:rPr>
          <w:spacing w:val="-13"/>
        </w:rPr>
        <w:t xml:space="preserve"> </w:t>
      </w:r>
      <w:r>
        <w:lastRenderedPageBreak/>
        <w:t>Oficina</w:t>
      </w:r>
      <w:r>
        <w:rPr>
          <w:spacing w:val="-13"/>
        </w:rPr>
        <w:t xml:space="preserve"> </w:t>
      </w:r>
      <w:r>
        <w:t>de</w:t>
      </w:r>
      <w:r>
        <w:rPr>
          <w:spacing w:val="-13"/>
        </w:rPr>
        <w:t xml:space="preserve"> </w:t>
      </w:r>
      <w:r>
        <w:t>Envigado.</w:t>
      </w:r>
      <w:r>
        <w:rPr>
          <w:spacing w:val="-13"/>
        </w:rPr>
        <w:t xml:space="preserve"> </w:t>
      </w:r>
      <w:r>
        <w:t>Una</w:t>
      </w:r>
      <w:r>
        <w:rPr>
          <w:spacing w:val="-13"/>
        </w:rPr>
        <w:t xml:space="preserve"> </w:t>
      </w:r>
      <w:r>
        <w:t>de</w:t>
      </w:r>
      <w:r>
        <w:rPr>
          <w:spacing w:val="-13"/>
        </w:rPr>
        <w:t xml:space="preserve"> </w:t>
      </w:r>
      <w:r>
        <w:t>sus</w:t>
      </w:r>
      <w:r>
        <w:rPr>
          <w:spacing w:val="-14"/>
        </w:rPr>
        <w:t xml:space="preserve"> </w:t>
      </w:r>
      <w:r>
        <w:t>cabezas,</w:t>
      </w:r>
      <w:r>
        <w:rPr>
          <w:spacing w:val="-13"/>
        </w:rPr>
        <w:t xml:space="preserve"> </w:t>
      </w:r>
      <w:r>
        <w:t>Diego</w:t>
      </w:r>
      <w:r>
        <w:rPr>
          <w:spacing w:val="-14"/>
        </w:rPr>
        <w:t xml:space="preserve"> </w:t>
      </w:r>
      <w:r>
        <w:t>Murillo</w:t>
      </w:r>
      <w:r>
        <w:rPr>
          <w:spacing w:val="-13"/>
        </w:rPr>
        <w:t xml:space="preserve"> </w:t>
      </w:r>
      <w:r>
        <w:t>Bejarano,</w:t>
      </w:r>
      <w:r>
        <w:rPr>
          <w:spacing w:val="-13"/>
        </w:rPr>
        <w:t xml:space="preserve"> </w:t>
      </w:r>
      <w:r>
        <w:t>alias Don</w:t>
      </w:r>
      <w:r>
        <w:rPr>
          <w:spacing w:val="-6"/>
        </w:rPr>
        <w:t xml:space="preserve"> </w:t>
      </w:r>
      <w:r>
        <w:t>Berna,</w:t>
      </w:r>
      <w:r>
        <w:rPr>
          <w:spacing w:val="-5"/>
        </w:rPr>
        <w:t xml:space="preserve"> </w:t>
      </w:r>
      <w:r>
        <w:t>es</w:t>
      </w:r>
      <w:r>
        <w:rPr>
          <w:spacing w:val="-6"/>
        </w:rPr>
        <w:t xml:space="preserve"> </w:t>
      </w:r>
      <w:r>
        <w:t>un</w:t>
      </w:r>
      <w:r>
        <w:rPr>
          <w:spacing w:val="-6"/>
        </w:rPr>
        <w:t xml:space="preserve"> </w:t>
      </w:r>
      <w:r>
        <w:t>ejemplo</w:t>
      </w:r>
      <w:r>
        <w:rPr>
          <w:spacing w:val="-6"/>
        </w:rPr>
        <w:t xml:space="preserve"> </w:t>
      </w:r>
      <w:r>
        <w:t>de</w:t>
      </w:r>
      <w:r>
        <w:rPr>
          <w:spacing w:val="-6"/>
        </w:rPr>
        <w:t xml:space="preserve"> </w:t>
      </w:r>
      <w:r>
        <w:t>cómo</w:t>
      </w:r>
      <w:r>
        <w:rPr>
          <w:spacing w:val="-6"/>
        </w:rPr>
        <w:t xml:space="preserve"> </w:t>
      </w:r>
      <w:r>
        <w:t>los</w:t>
      </w:r>
      <w:r>
        <w:rPr>
          <w:spacing w:val="-6"/>
        </w:rPr>
        <w:t xml:space="preserve"> </w:t>
      </w:r>
      <w:r>
        <w:t>actores</w:t>
      </w:r>
      <w:r>
        <w:rPr>
          <w:spacing w:val="-6"/>
        </w:rPr>
        <w:t xml:space="preserve"> </w:t>
      </w:r>
      <w:r>
        <w:t>del</w:t>
      </w:r>
      <w:r>
        <w:rPr>
          <w:spacing w:val="-6"/>
        </w:rPr>
        <w:t xml:space="preserve"> </w:t>
      </w:r>
      <w:r>
        <w:t>crimen,</w:t>
      </w:r>
      <w:r>
        <w:rPr>
          <w:spacing w:val="-6"/>
        </w:rPr>
        <w:t xml:space="preserve"> </w:t>
      </w:r>
      <w:r>
        <w:t>el</w:t>
      </w:r>
      <w:r>
        <w:rPr>
          <w:spacing w:val="-7"/>
        </w:rPr>
        <w:t xml:space="preserve"> </w:t>
      </w:r>
      <w:r>
        <w:t>narcotráfico</w:t>
      </w:r>
      <w:r>
        <w:rPr>
          <w:spacing w:val="-7"/>
        </w:rPr>
        <w:t xml:space="preserve"> </w:t>
      </w:r>
      <w:r>
        <w:t>y</w:t>
      </w:r>
      <w:r>
        <w:rPr>
          <w:spacing w:val="-6"/>
        </w:rPr>
        <w:t xml:space="preserve"> </w:t>
      </w:r>
      <w:r>
        <w:t>la</w:t>
      </w:r>
      <w:r>
        <w:rPr>
          <w:spacing w:val="-6"/>
        </w:rPr>
        <w:t xml:space="preserve"> </w:t>
      </w:r>
      <w:r>
        <w:t>política</w:t>
      </w:r>
      <w:r>
        <w:rPr>
          <w:spacing w:val="-7"/>
        </w:rPr>
        <w:t xml:space="preserve"> </w:t>
      </w:r>
      <w:r>
        <w:t>tienen un papel en el conflicto armado.</w:t>
      </w:r>
    </w:p>
    <w:p w:rsidR="003804AC" w:rsidRDefault="00AF18A5" w:rsidP="00067BF4">
      <w:r>
        <w:t>Un</w:t>
      </w:r>
      <w:r>
        <w:rPr>
          <w:spacing w:val="-2"/>
        </w:rPr>
        <w:t xml:space="preserve"> </w:t>
      </w:r>
      <w:r>
        <w:t>síntoma</w:t>
      </w:r>
      <w:r>
        <w:rPr>
          <w:spacing w:val="-3"/>
        </w:rPr>
        <w:t xml:space="preserve"> </w:t>
      </w:r>
      <w:r>
        <w:t>de</w:t>
      </w:r>
      <w:r>
        <w:rPr>
          <w:spacing w:val="-2"/>
        </w:rPr>
        <w:t xml:space="preserve"> </w:t>
      </w:r>
      <w:r>
        <w:t>persistencia</w:t>
      </w:r>
      <w:r>
        <w:rPr>
          <w:spacing w:val="-2"/>
        </w:rPr>
        <w:t xml:space="preserve"> </w:t>
      </w:r>
      <w:r>
        <w:t>y</w:t>
      </w:r>
      <w:r>
        <w:rPr>
          <w:spacing w:val="-3"/>
        </w:rPr>
        <w:t xml:space="preserve"> </w:t>
      </w:r>
      <w:r>
        <w:t>degradación</w:t>
      </w:r>
      <w:r>
        <w:rPr>
          <w:spacing w:val="-2"/>
        </w:rPr>
        <w:t xml:space="preserve"> </w:t>
      </w:r>
      <w:r>
        <w:t>de</w:t>
      </w:r>
      <w:r>
        <w:rPr>
          <w:spacing w:val="-3"/>
        </w:rPr>
        <w:t xml:space="preserve"> </w:t>
      </w:r>
      <w:r>
        <w:t>la</w:t>
      </w:r>
      <w:r>
        <w:rPr>
          <w:spacing w:val="-2"/>
        </w:rPr>
        <w:t xml:space="preserve"> </w:t>
      </w:r>
      <w:r>
        <w:t>guerra</w:t>
      </w:r>
      <w:r>
        <w:rPr>
          <w:spacing w:val="-3"/>
        </w:rPr>
        <w:t xml:space="preserve"> </w:t>
      </w:r>
      <w:r>
        <w:t>es</w:t>
      </w:r>
      <w:r>
        <w:rPr>
          <w:spacing w:val="-3"/>
        </w:rPr>
        <w:t xml:space="preserve"> </w:t>
      </w:r>
      <w:r>
        <w:t>la</w:t>
      </w:r>
      <w:r>
        <w:rPr>
          <w:spacing w:val="-3"/>
        </w:rPr>
        <w:t xml:space="preserve"> </w:t>
      </w:r>
      <w:r>
        <w:t>forma</w:t>
      </w:r>
      <w:r>
        <w:rPr>
          <w:spacing w:val="-3"/>
        </w:rPr>
        <w:t xml:space="preserve"> </w:t>
      </w:r>
      <w:r>
        <w:t>en</w:t>
      </w:r>
      <w:r>
        <w:rPr>
          <w:spacing w:val="-2"/>
        </w:rPr>
        <w:t xml:space="preserve"> </w:t>
      </w:r>
      <w:r>
        <w:t>que</w:t>
      </w:r>
      <w:r>
        <w:rPr>
          <w:spacing w:val="-3"/>
        </w:rPr>
        <w:t xml:space="preserve"> </w:t>
      </w:r>
      <w:r>
        <w:t>los</w:t>
      </w:r>
      <w:r>
        <w:rPr>
          <w:spacing w:val="-3"/>
        </w:rPr>
        <w:t xml:space="preserve"> </w:t>
      </w:r>
      <w:r>
        <w:t>procesos</w:t>
      </w:r>
      <w:r>
        <w:rPr>
          <w:spacing w:val="-2"/>
        </w:rPr>
        <w:t xml:space="preserve"> </w:t>
      </w:r>
      <w:r>
        <w:t>de desmovilización y reincorporación de estos grupos han concluido. La intersección entre crimen,</w:t>
      </w:r>
      <w:r>
        <w:rPr>
          <w:spacing w:val="27"/>
        </w:rPr>
        <w:t xml:space="preserve"> </w:t>
      </w:r>
      <w:r>
        <w:t>narcotráfico</w:t>
      </w:r>
      <w:r>
        <w:rPr>
          <w:spacing w:val="28"/>
        </w:rPr>
        <w:t xml:space="preserve"> </w:t>
      </w:r>
      <w:r>
        <w:t>y</w:t>
      </w:r>
      <w:r>
        <w:rPr>
          <w:spacing w:val="26"/>
        </w:rPr>
        <w:t xml:space="preserve"> </w:t>
      </w:r>
      <w:r>
        <w:t>política</w:t>
      </w:r>
      <w:r>
        <w:rPr>
          <w:spacing w:val="29"/>
        </w:rPr>
        <w:t xml:space="preserve"> </w:t>
      </w:r>
      <w:r>
        <w:t>ha</w:t>
      </w:r>
      <w:r>
        <w:rPr>
          <w:spacing w:val="27"/>
        </w:rPr>
        <w:t xml:space="preserve"> </w:t>
      </w:r>
      <w:r>
        <w:t>derivado</w:t>
      </w:r>
      <w:r>
        <w:rPr>
          <w:spacing w:val="27"/>
        </w:rPr>
        <w:t xml:space="preserve"> </w:t>
      </w:r>
      <w:r>
        <w:t>en</w:t>
      </w:r>
      <w:r>
        <w:rPr>
          <w:spacing w:val="27"/>
        </w:rPr>
        <w:t xml:space="preserve"> </w:t>
      </w:r>
      <w:r>
        <w:t>grupos</w:t>
      </w:r>
      <w:r>
        <w:rPr>
          <w:spacing w:val="29"/>
        </w:rPr>
        <w:t xml:space="preserve"> </w:t>
      </w:r>
      <w:r>
        <w:t>que</w:t>
      </w:r>
      <w:r>
        <w:rPr>
          <w:spacing w:val="28"/>
        </w:rPr>
        <w:t xml:space="preserve"> </w:t>
      </w:r>
      <w:r>
        <w:t>van</w:t>
      </w:r>
      <w:r>
        <w:rPr>
          <w:spacing w:val="28"/>
        </w:rPr>
        <w:t xml:space="preserve"> </w:t>
      </w:r>
      <w:r>
        <w:t>más</w:t>
      </w:r>
      <w:r>
        <w:rPr>
          <w:spacing w:val="29"/>
        </w:rPr>
        <w:t xml:space="preserve"> </w:t>
      </w:r>
      <w:r>
        <w:t>allá</w:t>
      </w:r>
      <w:r>
        <w:rPr>
          <w:spacing w:val="28"/>
        </w:rPr>
        <w:t xml:space="preserve"> </w:t>
      </w:r>
      <w:r>
        <w:t>de</w:t>
      </w:r>
      <w:r>
        <w:rPr>
          <w:spacing w:val="29"/>
        </w:rPr>
        <w:t xml:space="preserve"> </w:t>
      </w:r>
      <w:r>
        <w:t>la</w:t>
      </w:r>
      <w:r>
        <w:rPr>
          <w:spacing w:val="29"/>
        </w:rPr>
        <w:t xml:space="preserve"> </w:t>
      </w:r>
      <w:r>
        <w:rPr>
          <w:spacing w:val="-2"/>
        </w:rPr>
        <w:t>concepción</w:t>
      </w:r>
      <w:bookmarkStart w:id="792" w:name="_bookmark686"/>
      <w:bookmarkEnd w:id="792"/>
      <w:r w:rsidR="00067BF4">
        <w:rPr>
          <w:spacing w:val="-2"/>
        </w:rPr>
        <w:t xml:space="preserve"> </w:t>
      </w:r>
      <w:r>
        <w:t>clásica de «carteles»; ahora se trata de grupos híbridos, algunos con sus características propias (como La Cordillera o el Clan del Golfo).</w:t>
      </w:r>
    </w:p>
    <w:p w:rsidR="003804AC" w:rsidRDefault="00AF18A5" w:rsidP="00067BF4">
      <w:r>
        <w:t>La búsqueda de representación política a nivel nacional por parte de los narcotraficantes es</w:t>
      </w:r>
      <w:r>
        <w:rPr>
          <w:spacing w:val="-13"/>
        </w:rPr>
        <w:t xml:space="preserve"> </w:t>
      </w:r>
      <w:r>
        <w:t>uno</w:t>
      </w:r>
      <w:r>
        <w:rPr>
          <w:spacing w:val="-13"/>
        </w:rPr>
        <w:t xml:space="preserve"> </w:t>
      </w:r>
      <w:r>
        <w:t>de</w:t>
      </w:r>
      <w:r>
        <w:rPr>
          <w:spacing w:val="-13"/>
        </w:rPr>
        <w:t xml:space="preserve"> </w:t>
      </w:r>
      <w:r>
        <w:t>los</w:t>
      </w:r>
      <w:r>
        <w:rPr>
          <w:spacing w:val="-14"/>
        </w:rPr>
        <w:t xml:space="preserve"> </w:t>
      </w:r>
      <w:r>
        <w:t>factores</w:t>
      </w:r>
      <w:r>
        <w:rPr>
          <w:spacing w:val="-13"/>
        </w:rPr>
        <w:t xml:space="preserve"> </w:t>
      </w:r>
      <w:r>
        <w:t>de</w:t>
      </w:r>
      <w:r>
        <w:rPr>
          <w:spacing w:val="-14"/>
        </w:rPr>
        <w:t xml:space="preserve"> </w:t>
      </w:r>
      <w:r>
        <w:t>persistencia</w:t>
      </w:r>
      <w:r>
        <w:rPr>
          <w:spacing w:val="-14"/>
        </w:rPr>
        <w:t xml:space="preserve"> </w:t>
      </w:r>
      <w:r>
        <w:t>que</w:t>
      </w:r>
      <w:r>
        <w:rPr>
          <w:spacing w:val="-13"/>
        </w:rPr>
        <w:t xml:space="preserve"> </w:t>
      </w:r>
      <w:r>
        <w:t>ha</w:t>
      </w:r>
      <w:r>
        <w:rPr>
          <w:spacing w:val="-13"/>
        </w:rPr>
        <w:t xml:space="preserve"> </w:t>
      </w:r>
      <w:r>
        <w:t>causado</w:t>
      </w:r>
      <w:r>
        <w:rPr>
          <w:spacing w:val="-13"/>
        </w:rPr>
        <w:t xml:space="preserve"> </w:t>
      </w:r>
      <w:r>
        <w:t>el</w:t>
      </w:r>
      <w:r>
        <w:rPr>
          <w:spacing w:val="-13"/>
        </w:rPr>
        <w:t xml:space="preserve"> </w:t>
      </w:r>
      <w:r>
        <w:t>cruce</w:t>
      </w:r>
      <w:r>
        <w:rPr>
          <w:spacing w:val="-13"/>
        </w:rPr>
        <w:t xml:space="preserve"> </w:t>
      </w:r>
      <w:r>
        <w:t>del</w:t>
      </w:r>
      <w:r>
        <w:rPr>
          <w:spacing w:val="-13"/>
        </w:rPr>
        <w:t xml:space="preserve"> </w:t>
      </w:r>
      <w:r>
        <w:t>narcotráfico</w:t>
      </w:r>
      <w:r>
        <w:rPr>
          <w:spacing w:val="-13"/>
        </w:rPr>
        <w:t xml:space="preserve"> </w:t>
      </w:r>
      <w:r>
        <w:t>con</w:t>
      </w:r>
      <w:r>
        <w:rPr>
          <w:spacing w:val="-13"/>
        </w:rPr>
        <w:t xml:space="preserve"> </w:t>
      </w:r>
      <w:r>
        <w:t>el</w:t>
      </w:r>
      <w:r>
        <w:rPr>
          <w:spacing w:val="-13"/>
        </w:rPr>
        <w:t xml:space="preserve"> </w:t>
      </w:r>
      <w:r>
        <w:t xml:space="preserve">conflicto armado. La parapolítica fue una expresión de ello y, hasta la actualidad, algunos casos relacionados con ella aparecen frecuentemente ligados a escándalos que muestran un profundo enraizamiento en el país, la política y la economía. Sin embargo, en el periodo </w:t>
      </w:r>
      <w:proofErr w:type="spellStart"/>
      <w:r>
        <w:t>posdesmovilización</w:t>
      </w:r>
      <w:proofErr w:type="spellEnd"/>
      <w:r>
        <w:t>, esto ha cambiado. Estos grupos híbridos han desembocado en formas de gobernanzas político-territoriales como el Clan del Golfo, y se han convertido a nivel regional en un actor central del poder político y económico,</w:t>
      </w:r>
      <w:r w:rsidR="00067BF4">
        <w:rPr>
          <w:rStyle w:val="Refdenotaalpie"/>
        </w:rPr>
        <w:footnoteReference w:id="624"/>
      </w:r>
      <w:r>
        <w:t xml:space="preserve"> en la definición de candidaturas locales, financiación de campañas y acuerdos con gobernantes para captura de rentas a través de la contratación pública.</w:t>
      </w:r>
    </w:p>
    <w:p w:rsidR="0011361F" w:rsidRDefault="00AF18A5" w:rsidP="004A6EF4">
      <w:pPr>
        <w:pStyle w:val="Ttulo3"/>
        <w:numPr>
          <w:ilvl w:val="1"/>
          <w:numId w:val="16"/>
        </w:numPr>
      </w:pPr>
      <w:bookmarkStart w:id="793" w:name="6.5._La_violencia_en_la_disputa_del_narc"/>
      <w:bookmarkStart w:id="794" w:name="_Toc112399609"/>
      <w:bookmarkEnd w:id="793"/>
      <w:r>
        <w:t>La</w:t>
      </w:r>
      <w:r>
        <w:rPr>
          <w:spacing w:val="-2"/>
        </w:rPr>
        <w:t xml:space="preserve"> </w:t>
      </w:r>
      <w:r>
        <w:t>violencia</w:t>
      </w:r>
      <w:r>
        <w:rPr>
          <w:spacing w:val="-1"/>
        </w:rPr>
        <w:t xml:space="preserve"> </w:t>
      </w:r>
      <w:r>
        <w:t>en</w:t>
      </w:r>
      <w:r>
        <w:rPr>
          <w:spacing w:val="-2"/>
        </w:rPr>
        <w:t xml:space="preserve"> </w:t>
      </w:r>
      <w:r>
        <w:t>la</w:t>
      </w:r>
      <w:r>
        <w:rPr>
          <w:spacing w:val="-3"/>
        </w:rPr>
        <w:t xml:space="preserve"> </w:t>
      </w:r>
      <w:r>
        <w:t>disputa</w:t>
      </w:r>
      <w:r>
        <w:rPr>
          <w:spacing w:val="-1"/>
        </w:rPr>
        <w:t xml:space="preserve"> </w:t>
      </w:r>
      <w:r>
        <w:t>del</w:t>
      </w:r>
      <w:r>
        <w:rPr>
          <w:spacing w:val="-2"/>
        </w:rPr>
        <w:t xml:space="preserve"> narcotráfico</w:t>
      </w:r>
      <w:bookmarkEnd w:id="794"/>
    </w:p>
    <w:p w:rsidR="003804AC" w:rsidRDefault="00AF18A5" w:rsidP="00532056">
      <w:r>
        <w:t xml:space="preserve">Las relaciones establecidas entre guerrillas y grupos paramilitares con el narcotráfico no fueron iguales. Mientras los grupos paramilitares han tenido una relación orgánica con el narcotráfico, dada la sofisticación de </w:t>
      </w:r>
      <w:r>
        <w:lastRenderedPageBreak/>
        <w:t>los esquemas de seguridad privados de traficantes de cocaína convertidos en ejércitos funcionales para la contrainsurgencia y el enriquecimiento personal, el</w:t>
      </w:r>
      <w:r>
        <w:rPr>
          <w:spacing w:val="-1"/>
        </w:rPr>
        <w:t xml:space="preserve"> </w:t>
      </w:r>
      <w:r>
        <w:t xml:space="preserve">tránsito de las guerrillas ha tenido predominantemente una trayectoria propia, y se ha basado en conseguir recursos para desarrollar su accionar y fortalecerse militar y </w:t>
      </w:r>
      <w:r>
        <w:rPr>
          <w:spacing w:val="-2"/>
        </w:rPr>
        <w:t>económicamente.</w:t>
      </w:r>
    </w:p>
    <w:p w:rsidR="003804AC" w:rsidRDefault="00AF18A5" w:rsidP="00532056">
      <w:r>
        <w:t>También hay diferencias significativas respecto a la inversión de recursos y el blanqueo de los dineros. Una de las diferencias primordiales, como le contó a la Comisión un exfuncionario de la UIAF y del Ministerio de Justicia, fue dónde se invertía el dinero conseguido:</w:t>
      </w:r>
      <w:r>
        <w:rPr>
          <w:spacing w:val="19"/>
        </w:rPr>
        <w:t xml:space="preserve"> </w:t>
      </w:r>
      <w:r>
        <w:t>las</w:t>
      </w:r>
      <w:r>
        <w:rPr>
          <w:spacing w:val="20"/>
        </w:rPr>
        <w:t xml:space="preserve"> </w:t>
      </w:r>
      <w:r>
        <w:t>FARC-EP</w:t>
      </w:r>
      <w:r>
        <w:rPr>
          <w:spacing w:val="20"/>
        </w:rPr>
        <w:t xml:space="preserve"> </w:t>
      </w:r>
      <w:r>
        <w:t>lo</w:t>
      </w:r>
      <w:r>
        <w:rPr>
          <w:spacing w:val="20"/>
        </w:rPr>
        <w:t xml:space="preserve"> </w:t>
      </w:r>
      <w:r>
        <w:t>hicieron</w:t>
      </w:r>
      <w:r>
        <w:rPr>
          <w:spacing w:val="21"/>
        </w:rPr>
        <w:t xml:space="preserve"> </w:t>
      </w:r>
      <w:r>
        <w:t>en</w:t>
      </w:r>
      <w:r>
        <w:rPr>
          <w:spacing w:val="20"/>
        </w:rPr>
        <w:t xml:space="preserve"> </w:t>
      </w:r>
      <w:r>
        <w:t>fincas</w:t>
      </w:r>
      <w:r>
        <w:rPr>
          <w:spacing w:val="19"/>
        </w:rPr>
        <w:t xml:space="preserve"> </w:t>
      </w:r>
      <w:r>
        <w:t>o</w:t>
      </w:r>
      <w:r>
        <w:rPr>
          <w:spacing w:val="20"/>
        </w:rPr>
        <w:t xml:space="preserve"> </w:t>
      </w:r>
      <w:r>
        <w:t>estaciones</w:t>
      </w:r>
      <w:r>
        <w:rPr>
          <w:spacing w:val="21"/>
        </w:rPr>
        <w:t xml:space="preserve"> </w:t>
      </w:r>
      <w:r>
        <w:t>de</w:t>
      </w:r>
      <w:r>
        <w:rPr>
          <w:spacing w:val="20"/>
        </w:rPr>
        <w:t xml:space="preserve"> </w:t>
      </w:r>
      <w:r>
        <w:t>gasolina</w:t>
      </w:r>
      <w:r>
        <w:rPr>
          <w:spacing w:val="20"/>
        </w:rPr>
        <w:t xml:space="preserve"> </w:t>
      </w:r>
      <w:r>
        <w:t>y</w:t>
      </w:r>
      <w:r>
        <w:rPr>
          <w:spacing w:val="20"/>
        </w:rPr>
        <w:t xml:space="preserve"> </w:t>
      </w:r>
      <w:r>
        <w:t>otros</w:t>
      </w:r>
      <w:r>
        <w:rPr>
          <w:spacing w:val="21"/>
        </w:rPr>
        <w:t xml:space="preserve"> </w:t>
      </w:r>
      <w:r>
        <w:rPr>
          <w:spacing w:val="-2"/>
        </w:rPr>
        <w:t>negocios</w:t>
      </w:r>
      <w:bookmarkStart w:id="795" w:name="_bookmark688"/>
      <w:bookmarkEnd w:id="795"/>
      <w:r w:rsidR="00532056">
        <w:rPr>
          <w:spacing w:val="-2"/>
        </w:rPr>
        <w:t xml:space="preserve"> </w:t>
      </w:r>
      <w:r>
        <w:t>locales, y los paramilitares en bancos extranjeros o en inversiones en bienes fuera del país, dado que controlaban las rutas internacionales</w:t>
      </w:r>
      <w:r w:rsidR="00532056">
        <w:rPr>
          <w:rStyle w:val="Refdenotaalpie"/>
        </w:rPr>
        <w:footnoteReference w:id="625"/>
      </w:r>
      <w:r>
        <w:t>.</w:t>
      </w:r>
    </w:p>
    <w:p w:rsidR="003804AC" w:rsidRDefault="00AF18A5" w:rsidP="00532056">
      <w:r>
        <w:t>En diferentes épocas del conflicto armado, uno de los móviles de los enfrentamientos armados, incluso a veces en el propio «bando», ha sido el control del narcotráfico. Y en diferentes</w:t>
      </w:r>
      <w:r>
        <w:rPr>
          <w:spacing w:val="-7"/>
        </w:rPr>
        <w:t xml:space="preserve"> </w:t>
      </w:r>
      <w:r>
        <w:t>momentos</w:t>
      </w:r>
      <w:r>
        <w:rPr>
          <w:spacing w:val="-8"/>
        </w:rPr>
        <w:t xml:space="preserve"> </w:t>
      </w:r>
      <w:r>
        <w:t>los</w:t>
      </w:r>
      <w:r>
        <w:rPr>
          <w:spacing w:val="-8"/>
        </w:rPr>
        <w:t xml:space="preserve"> </w:t>
      </w:r>
      <w:r>
        <w:t>grupos</w:t>
      </w:r>
      <w:r>
        <w:rPr>
          <w:spacing w:val="-7"/>
        </w:rPr>
        <w:t xml:space="preserve"> </w:t>
      </w:r>
      <w:r>
        <w:t>armados</w:t>
      </w:r>
      <w:r>
        <w:rPr>
          <w:spacing w:val="-7"/>
        </w:rPr>
        <w:t xml:space="preserve"> </w:t>
      </w:r>
      <w:r>
        <w:t>han</w:t>
      </w:r>
      <w:r>
        <w:rPr>
          <w:spacing w:val="-7"/>
        </w:rPr>
        <w:t xml:space="preserve"> </w:t>
      </w:r>
      <w:r>
        <w:t>hecho</w:t>
      </w:r>
      <w:r>
        <w:rPr>
          <w:spacing w:val="-7"/>
        </w:rPr>
        <w:t xml:space="preserve"> </w:t>
      </w:r>
      <w:r>
        <w:t>negocios</w:t>
      </w:r>
      <w:r>
        <w:rPr>
          <w:spacing w:val="-8"/>
        </w:rPr>
        <w:t xml:space="preserve"> </w:t>
      </w:r>
      <w:r>
        <w:t>a</w:t>
      </w:r>
      <w:r>
        <w:rPr>
          <w:spacing w:val="-7"/>
        </w:rPr>
        <w:t xml:space="preserve"> </w:t>
      </w:r>
      <w:r>
        <w:t>través</w:t>
      </w:r>
      <w:r>
        <w:rPr>
          <w:spacing w:val="-7"/>
        </w:rPr>
        <w:t xml:space="preserve"> </w:t>
      </w:r>
      <w:r>
        <w:t>del</w:t>
      </w:r>
      <w:r>
        <w:rPr>
          <w:spacing w:val="-7"/>
        </w:rPr>
        <w:t xml:space="preserve"> </w:t>
      </w:r>
      <w:r>
        <w:t>tráfico</w:t>
      </w:r>
      <w:r>
        <w:rPr>
          <w:spacing w:val="-7"/>
        </w:rPr>
        <w:t xml:space="preserve"> </w:t>
      </w:r>
      <w:r>
        <w:t>de</w:t>
      </w:r>
      <w:r>
        <w:rPr>
          <w:spacing w:val="-7"/>
        </w:rPr>
        <w:t xml:space="preserve"> </w:t>
      </w:r>
      <w:r>
        <w:t>drogas</w:t>
      </w:r>
      <w:r>
        <w:rPr>
          <w:spacing w:val="-7"/>
        </w:rPr>
        <w:t xml:space="preserve"> </w:t>
      </w:r>
      <w:r>
        <w:t>o de armas. Las rutas de salida, las zonas de cultivo, los laboratorios y los pasajes de frontera han ocasionado un deterioro en distintos lugares del país y los territorios donde hay persistencia del conflicto armado están mediados por el control del narcotráfico y otras economías ilegales como la minería ilegal. Como señaló alias Otoniel en entrevista con la Comisión, «[e]l Estado dice que está contra el narcotráfico, pero mire lo que pasa ahora en Urabá. Un campesino tiene diez hectáreas</w:t>
      </w:r>
      <w:r>
        <w:rPr>
          <w:spacing w:val="-1"/>
        </w:rPr>
        <w:t xml:space="preserve"> </w:t>
      </w:r>
      <w:r>
        <w:t>con coca, el Estado</w:t>
      </w:r>
      <w:r>
        <w:rPr>
          <w:spacing w:val="-1"/>
        </w:rPr>
        <w:t xml:space="preserve"> </w:t>
      </w:r>
      <w:r>
        <w:t>erradica una y negocia</w:t>
      </w:r>
      <w:r>
        <w:rPr>
          <w:spacing w:val="-1"/>
        </w:rPr>
        <w:t xml:space="preserve"> </w:t>
      </w:r>
      <w:r>
        <w:t>con el cultivador</w:t>
      </w:r>
      <w:r>
        <w:rPr>
          <w:spacing w:val="-3"/>
        </w:rPr>
        <w:t xml:space="preserve"> </w:t>
      </w:r>
      <w:r>
        <w:t>las</w:t>
      </w:r>
      <w:r>
        <w:rPr>
          <w:spacing w:val="-2"/>
        </w:rPr>
        <w:t xml:space="preserve"> </w:t>
      </w:r>
      <w:r>
        <w:t>otras</w:t>
      </w:r>
      <w:r>
        <w:rPr>
          <w:spacing w:val="-2"/>
        </w:rPr>
        <w:t xml:space="preserve"> </w:t>
      </w:r>
      <w:r>
        <w:t>nueve.</w:t>
      </w:r>
      <w:r>
        <w:rPr>
          <w:spacing w:val="-2"/>
        </w:rPr>
        <w:t xml:space="preserve"> </w:t>
      </w:r>
      <w:r>
        <w:t>Gana</w:t>
      </w:r>
      <w:r>
        <w:rPr>
          <w:spacing w:val="-2"/>
        </w:rPr>
        <w:t xml:space="preserve"> </w:t>
      </w:r>
      <w:r>
        <w:lastRenderedPageBreak/>
        <w:t>plata</w:t>
      </w:r>
      <w:r>
        <w:rPr>
          <w:spacing w:val="-2"/>
        </w:rPr>
        <w:t xml:space="preserve"> </w:t>
      </w:r>
      <w:r>
        <w:t>con</w:t>
      </w:r>
      <w:r>
        <w:rPr>
          <w:spacing w:val="-2"/>
        </w:rPr>
        <w:t xml:space="preserve"> </w:t>
      </w:r>
      <w:r>
        <w:t>el</w:t>
      </w:r>
      <w:r>
        <w:rPr>
          <w:spacing w:val="-2"/>
        </w:rPr>
        <w:t xml:space="preserve"> </w:t>
      </w:r>
      <w:r>
        <w:t>cultivo</w:t>
      </w:r>
      <w:r>
        <w:rPr>
          <w:spacing w:val="-2"/>
        </w:rPr>
        <w:t xml:space="preserve"> </w:t>
      </w:r>
      <w:r>
        <w:t>y</w:t>
      </w:r>
      <w:r>
        <w:rPr>
          <w:spacing w:val="-2"/>
        </w:rPr>
        <w:t xml:space="preserve"> </w:t>
      </w:r>
      <w:r>
        <w:t>con</w:t>
      </w:r>
      <w:r>
        <w:rPr>
          <w:spacing w:val="-3"/>
        </w:rPr>
        <w:t xml:space="preserve"> </w:t>
      </w:r>
      <w:r>
        <w:t>la</w:t>
      </w:r>
      <w:r>
        <w:rPr>
          <w:spacing w:val="-3"/>
        </w:rPr>
        <w:t xml:space="preserve"> </w:t>
      </w:r>
      <w:r>
        <w:t>erradicación.</w:t>
      </w:r>
      <w:r>
        <w:rPr>
          <w:spacing w:val="-2"/>
        </w:rPr>
        <w:t xml:space="preserve"> </w:t>
      </w:r>
      <w:r>
        <w:t>Gana</w:t>
      </w:r>
      <w:r>
        <w:rPr>
          <w:spacing w:val="-2"/>
        </w:rPr>
        <w:t xml:space="preserve"> </w:t>
      </w:r>
      <w:r>
        <w:t>por</w:t>
      </w:r>
      <w:r>
        <w:rPr>
          <w:spacing w:val="-2"/>
        </w:rPr>
        <w:t xml:space="preserve"> </w:t>
      </w:r>
      <w:r>
        <w:t>un</w:t>
      </w:r>
      <w:r>
        <w:rPr>
          <w:spacing w:val="-2"/>
        </w:rPr>
        <w:t xml:space="preserve"> </w:t>
      </w:r>
      <w:r>
        <w:t>lado y por el otro»</w:t>
      </w:r>
      <w:r w:rsidR="00532056">
        <w:rPr>
          <w:rStyle w:val="Refdenotaalpie"/>
        </w:rPr>
        <w:footnoteReference w:id="626"/>
      </w:r>
      <w:r>
        <w:t>.</w:t>
      </w:r>
    </w:p>
    <w:p w:rsidR="00532056" w:rsidRDefault="00781F60" w:rsidP="00532056">
      <w:pPr>
        <w:pStyle w:val="Ttulo4"/>
      </w:pPr>
      <w:r>
        <w:t>“</w:t>
      </w:r>
      <w:r w:rsidR="00532056">
        <w:t>Negocio del narcotráfico y persistencia en territorios</w:t>
      </w:r>
    </w:p>
    <w:p w:rsidR="00532056" w:rsidRDefault="00532056" w:rsidP="00532056">
      <w:r>
        <w:t>Hay territorios del país que desde hace décadas se han destacado en el cultivo de coca y la producción de cocaína. Catatumbo, en Norte Santander, Putumayo, Caquetá, Nariño y Cauca tienen un largo historial en este sentido. En particular, la trayectoria pasa por los enclaves cocaleros y la persistencia de los cultivos de coca. Cauca y Nariño, junto a la región del Catatumbo, han gozado históricamente de una ubicación estratégica que articula cultivos, procesamiento y tráfico, y se han posicionado hoy en día como centros fundamentales del narcotráfico.</w:t>
      </w:r>
      <w:r>
        <w:rPr>
          <w:rStyle w:val="Refdenotaalpie"/>
        </w:rPr>
        <w:footnoteReference w:id="627"/>
      </w:r>
    </w:p>
    <w:p w:rsidR="00532056" w:rsidRDefault="00532056" w:rsidP="00532056">
      <w:r>
        <w:t xml:space="preserve">Según el último reporte de monitoreo de territorios afectados por cultivos ilícitos de la </w:t>
      </w:r>
      <w:proofErr w:type="spellStart"/>
      <w:r>
        <w:t>Undoc</w:t>
      </w:r>
      <w:proofErr w:type="spellEnd"/>
      <w:r>
        <w:t>, las zonas estratégicas de presencia de cultivos son Tibú, Sardinata, El Tarra y Teorama</w:t>
      </w:r>
      <w:r w:rsidR="00781F60">
        <w:rPr>
          <w:rStyle w:val="Refdenotaalpie"/>
        </w:rPr>
        <w:footnoteReference w:id="628"/>
      </w:r>
      <w:r>
        <w:t>. Se mantienen los enclaves productivos identificados en Argelia, Nariño; El Tambo, Cauca; El Charco-Olaya Herrera, Nariño; El Naya, Valle del Cauca; y Frontera, en Tumaco (Nariño).</w:t>
      </w:r>
    </w:p>
    <w:p w:rsidR="00532056" w:rsidRDefault="00532056" w:rsidP="00532056">
      <w:r>
        <w:t>Respecto a los precios, según la información disponible, en Argelia, Cauca, y El Tambo se mueven 73 millones de dólares en el mercado de la hoja de coca, 50 en el mercado de pasta básica de cocaína (PBC) y 171 en el mercado de cocaína</w:t>
      </w:r>
      <w:r w:rsidR="00781F60">
        <w:rPr>
          <w:rStyle w:val="Refdenotaalpie"/>
        </w:rPr>
        <w:footnoteReference w:id="629"/>
      </w:r>
      <w:r>
        <w:t xml:space="preserve">. En la región de Catatumbo, Norte de </w:t>
      </w:r>
      <w:r>
        <w:lastRenderedPageBreak/>
        <w:t>Santander, se mueven 2,6 millones de dólares por la hoja de coca, 136 por PBC y 299 por cocaína</w:t>
      </w:r>
      <w:r w:rsidR="00781F60">
        <w:rPr>
          <w:rStyle w:val="Refdenotaalpie"/>
        </w:rPr>
        <w:footnoteReference w:id="630"/>
      </w:r>
      <w:r>
        <w:t>. Estos territorios cocaleros actualmente son protagonistas del resurgir de la guerra y la Comisión de la Verdad encuentra que parte de la reactivación del conflicto descansa en la persistencia del narcotráfico.</w:t>
      </w:r>
      <w:r w:rsidR="00781F60">
        <w:t>”</w:t>
      </w:r>
    </w:p>
    <w:p w:rsidR="003804AC" w:rsidRDefault="00AF18A5" w:rsidP="004B045D">
      <w:bookmarkStart w:id="796" w:name="_bookmark689"/>
      <w:bookmarkStart w:id="797" w:name="_bookmark690"/>
      <w:bookmarkStart w:id="798" w:name="_bookmark691"/>
      <w:bookmarkEnd w:id="796"/>
      <w:bookmarkEnd w:id="797"/>
      <w:bookmarkEnd w:id="798"/>
      <w:r>
        <w:t>Las disputas por el control de las economías regionales de la cocaína es uno de los factores de persistencia del conflicto armado interno. Al ser un mercado ilegalizado, los actores armados</w:t>
      </w:r>
      <w:r>
        <w:rPr>
          <w:spacing w:val="-11"/>
        </w:rPr>
        <w:t xml:space="preserve"> </w:t>
      </w:r>
      <w:r>
        <w:t>y</w:t>
      </w:r>
      <w:r>
        <w:rPr>
          <w:spacing w:val="-10"/>
        </w:rPr>
        <w:t xml:space="preserve"> </w:t>
      </w:r>
      <w:r>
        <w:t>los</w:t>
      </w:r>
      <w:r>
        <w:rPr>
          <w:spacing w:val="-9"/>
        </w:rPr>
        <w:t xml:space="preserve"> </w:t>
      </w:r>
      <w:r>
        <w:t>entramados</w:t>
      </w:r>
      <w:r>
        <w:rPr>
          <w:spacing w:val="-9"/>
        </w:rPr>
        <w:t xml:space="preserve"> </w:t>
      </w:r>
      <w:r>
        <w:t>que</w:t>
      </w:r>
      <w:r>
        <w:rPr>
          <w:spacing w:val="-9"/>
        </w:rPr>
        <w:t xml:space="preserve"> </w:t>
      </w:r>
      <w:r>
        <w:t>han</w:t>
      </w:r>
      <w:r>
        <w:rPr>
          <w:spacing w:val="-11"/>
        </w:rPr>
        <w:t xml:space="preserve"> </w:t>
      </w:r>
      <w:r>
        <w:t>entrado</w:t>
      </w:r>
      <w:r>
        <w:rPr>
          <w:spacing w:val="-11"/>
        </w:rPr>
        <w:t xml:space="preserve"> </w:t>
      </w:r>
      <w:r>
        <w:t>en</w:t>
      </w:r>
      <w:r>
        <w:rPr>
          <w:spacing w:val="-10"/>
        </w:rPr>
        <w:t xml:space="preserve"> </w:t>
      </w:r>
      <w:r>
        <w:t>la</w:t>
      </w:r>
      <w:r>
        <w:rPr>
          <w:spacing w:val="-9"/>
        </w:rPr>
        <w:t xml:space="preserve"> </w:t>
      </w:r>
      <w:r>
        <w:t>pugna</w:t>
      </w:r>
      <w:r>
        <w:rPr>
          <w:spacing w:val="-9"/>
        </w:rPr>
        <w:t xml:space="preserve"> </w:t>
      </w:r>
      <w:r>
        <w:t>por</w:t>
      </w:r>
      <w:r>
        <w:rPr>
          <w:spacing w:val="-9"/>
        </w:rPr>
        <w:t xml:space="preserve"> </w:t>
      </w:r>
      <w:r>
        <w:t>controlarlo</w:t>
      </w:r>
      <w:r>
        <w:rPr>
          <w:spacing w:val="-11"/>
        </w:rPr>
        <w:t xml:space="preserve"> </w:t>
      </w:r>
      <w:r>
        <w:t>han</w:t>
      </w:r>
      <w:r>
        <w:rPr>
          <w:spacing w:val="-11"/>
        </w:rPr>
        <w:t xml:space="preserve"> </w:t>
      </w:r>
      <w:r>
        <w:t>sido</w:t>
      </w:r>
      <w:r>
        <w:rPr>
          <w:spacing w:val="-11"/>
        </w:rPr>
        <w:t xml:space="preserve"> </w:t>
      </w:r>
      <w:r>
        <w:t>tanto</w:t>
      </w:r>
      <w:r>
        <w:rPr>
          <w:spacing w:val="-11"/>
        </w:rPr>
        <w:t xml:space="preserve"> </w:t>
      </w:r>
      <w:r>
        <w:t>ilegales (insurgencias, paramilitares y narcotraficantes) como agentes de la fuerza pública involucrados en el negocio. Las propias leyes de prohibición aumentan el beneficio de la elaboración y el tráfico en cada eslabón de la cadena.</w:t>
      </w:r>
    </w:p>
    <w:p w:rsidR="0011361F" w:rsidRDefault="00AF18A5" w:rsidP="00781F60">
      <w:r>
        <w:t>La</w:t>
      </w:r>
      <w:r>
        <w:rPr>
          <w:spacing w:val="-3"/>
        </w:rPr>
        <w:t xml:space="preserve"> </w:t>
      </w:r>
      <w:r>
        <w:t>Comisión</w:t>
      </w:r>
      <w:r>
        <w:rPr>
          <w:spacing w:val="-3"/>
        </w:rPr>
        <w:t xml:space="preserve"> </w:t>
      </w:r>
      <w:r>
        <w:t>de</w:t>
      </w:r>
      <w:r>
        <w:rPr>
          <w:spacing w:val="-3"/>
        </w:rPr>
        <w:t xml:space="preserve"> </w:t>
      </w:r>
      <w:r>
        <w:t>la</w:t>
      </w:r>
      <w:r>
        <w:rPr>
          <w:spacing w:val="-3"/>
        </w:rPr>
        <w:t xml:space="preserve"> </w:t>
      </w:r>
      <w:r>
        <w:t>Verdad,</w:t>
      </w:r>
      <w:r>
        <w:rPr>
          <w:spacing w:val="-3"/>
        </w:rPr>
        <w:t xml:space="preserve"> </w:t>
      </w:r>
      <w:r>
        <w:t>realizó</w:t>
      </w:r>
      <w:r>
        <w:rPr>
          <w:spacing w:val="-3"/>
        </w:rPr>
        <w:t xml:space="preserve"> </w:t>
      </w:r>
      <w:r>
        <w:t>un</w:t>
      </w:r>
      <w:r>
        <w:rPr>
          <w:spacing w:val="-3"/>
        </w:rPr>
        <w:t xml:space="preserve"> </w:t>
      </w:r>
      <w:r>
        <w:t>análisis</w:t>
      </w:r>
      <w:r>
        <w:rPr>
          <w:spacing w:val="-3"/>
        </w:rPr>
        <w:t xml:space="preserve"> </w:t>
      </w:r>
      <w:r>
        <w:t>comparativo</w:t>
      </w:r>
      <w:r>
        <w:rPr>
          <w:spacing w:val="-3"/>
        </w:rPr>
        <w:t xml:space="preserve"> </w:t>
      </w:r>
      <w:r>
        <w:t>territorial</w:t>
      </w:r>
      <w:r>
        <w:rPr>
          <w:spacing w:val="-3"/>
        </w:rPr>
        <w:t xml:space="preserve"> </w:t>
      </w:r>
      <w:r>
        <w:t>sobre</w:t>
      </w:r>
      <w:r>
        <w:rPr>
          <w:spacing w:val="-3"/>
        </w:rPr>
        <w:t xml:space="preserve"> </w:t>
      </w:r>
      <w:r>
        <w:t>las</w:t>
      </w:r>
      <w:r>
        <w:rPr>
          <w:spacing w:val="-3"/>
        </w:rPr>
        <w:t xml:space="preserve"> </w:t>
      </w:r>
      <w:r>
        <w:t>violencias que se presentan entre municipios con coca y sin coca, y pudo constatar que los niveles de violencia,</w:t>
      </w:r>
      <w:r>
        <w:rPr>
          <w:spacing w:val="-12"/>
        </w:rPr>
        <w:t xml:space="preserve"> </w:t>
      </w:r>
      <w:r>
        <w:t>sin</w:t>
      </w:r>
      <w:r>
        <w:rPr>
          <w:spacing w:val="-12"/>
        </w:rPr>
        <w:t xml:space="preserve"> </w:t>
      </w:r>
      <w:r>
        <w:t>duda,</w:t>
      </w:r>
      <w:r>
        <w:rPr>
          <w:spacing w:val="-12"/>
        </w:rPr>
        <w:t xml:space="preserve"> </w:t>
      </w:r>
      <w:r>
        <w:t>fueron</w:t>
      </w:r>
      <w:r>
        <w:rPr>
          <w:spacing w:val="-12"/>
        </w:rPr>
        <w:t xml:space="preserve"> </w:t>
      </w:r>
      <w:r>
        <w:t>más</w:t>
      </w:r>
      <w:r>
        <w:rPr>
          <w:spacing w:val="-13"/>
        </w:rPr>
        <w:t xml:space="preserve"> </w:t>
      </w:r>
      <w:r>
        <w:t>altos</w:t>
      </w:r>
      <w:r>
        <w:rPr>
          <w:spacing w:val="-13"/>
        </w:rPr>
        <w:t xml:space="preserve"> </w:t>
      </w:r>
      <w:r>
        <w:t>en</w:t>
      </w:r>
      <w:r>
        <w:rPr>
          <w:spacing w:val="-12"/>
        </w:rPr>
        <w:t xml:space="preserve"> </w:t>
      </w:r>
      <w:r>
        <w:t>lugares</w:t>
      </w:r>
      <w:r>
        <w:rPr>
          <w:spacing w:val="-13"/>
        </w:rPr>
        <w:t xml:space="preserve"> </w:t>
      </w:r>
      <w:r>
        <w:t>con</w:t>
      </w:r>
      <w:r>
        <w:rPr>
          <w:spacing w:val="-12"/>
        </w:rPr>
        <w:t xml:space="preserve"> </w:t>
      </w:r>
      <w:r>
        <w:t>presencia</w:t>
      </w:r>
      <w:r>
        <w:rPr>
          <w:spacing w:val="-13"/>
        </w:rPr>
        <w:t xml:space="preserve"> </w:t>
      </w:r>
      <w:r>
        <w:t>de</w:t>
      </w:r>
      <w:r>
        <w:rPr>
          <w:spacing w:val="-12"/>
        </w:rPr>
        <w:t xml:space="preserve"> </w:t>
      </w:r>
      <w:r>
        <w:t>cultivos</w:t>
      </w:r>
      <w:r>
        <w:rPr>
          <w:spacing w:val="-13"/>
        </w:rPr>
        <w:t xml:space="preserve"> </w:t>
      </w:r>
      <w:r>
        <w:t>de</w:t>
      </w:r>
      <w:r>
        <w:rPr>
          <w:spacing w:val="-12"/>
        </w:rPr>
        <w:t xml:space="preserve"> </w:t>
      </w:r>
      <w:r>
        <w:t>coca;</w:t>
      </w:r>
      <w:r>
        <w:rPr>
          <w:spacing w:val="-12"/>
        </w:rPr>
        <w:t xml:space="preserve"> </w:t>
      </w:r>
      <w:r>
        <w:t>ya</w:t>
      </w:r>
      <w:r>
        <w:rPr>
          <w:spacing w:val="-13"/>
        </w:rPr>
        <w:t xml:space="preserve"> </w:t>
      </w:r>
      <w:r>
        <w:t>lo</w:t>
      </w:r>
      <w:r>
        <w:rPr>
          <w:spacing w:val="-12"/>
        </w:rPr>
        <w:t xml:space="preserve"> </w:t>
      </w:r>
      <w:r>
        <w:t>había afirmado Vicente Castaño: «la guerra se hace controlando el narcotráfico»</w:t>
      </w:r>
      <w:r w:rsidR="00781F60">
        <w:rPr>
          <w:rStyle w:val="Refdenotaalpie"/>
        </w:rPr>
        <w:footnoteReference w:id="631"/>
      </w:r>
      <w:r>
        <w:t>.</w:t>
      </w:r>
    </w:p>
    <w:p w:rsidR="003804AC" w:rsidRDefault="00AF18A5" w:rsidP="005F4072">
      <w:bookmarkStart w:id="799" w:name="_bookmark692"/>
      <w:bookmarkStart w:id="800" w:name="_bookmark693"/>
      <w:bookmarkStart w:id="801" w:name="_bookmark694"/>
      <w:bookmarkStart w:id="802" w:name="_bookmark695"/>
      <w:bookmarkEnd w:id="799"/>
      <w:bookmarkEnd w:id="800"/>
      <w:bookmarkEnd w:id="801"/>
      <w:bookmarkEnd w:id="802"/>
      <w:r>
        <w:t>La tasa de ocurrencia de asesinatos selectivos, desplazamiento forzado, masacres y violencia sexual por cada 10.000 habitantes es mucho mayor en territorios cocaleros, como puede verse en las gráficas siguientes, que muestran la relación entre la frecuencia de estas violencias en los municipios con y sin presencia de cultivos de coca.</w:t>
      </w:r>
    </w:p>
    <w:p w:rsidR="005F4072" w:rsidRDefault="005F4072" w:rsidP="005F4072">
      <w:pPr>
        <w:pStyle w:val="Descripcin"/>
        <w:keepNext/>
      </w:pPr>
      <w:r>
        <w:lastRenderedPageBreak/>
        <w:t xml:space="preserve">Gráfica </w:t>
      </w:r>
      <w:r w:rsidRPr="000A4BDA">
        <w:t>1. Asesinatos selectivos en municipios con y sin presencia de cultivos de coca. 1999- 2016</w:t>
      </w:r>
    </w:p>
    <w:p w:rsidR="0011361F" w:rsidRDefault="00AF18A5">
      <w:pPr>
        <w:pStyle w:val="Textoindependiente"/>
        <w:spacing w:before="9"/>
        <w:rPr>
          <w:sz w:val="14"/>
        </w:rPr>
      </w:pPr>
      <w:r>
        <w:rPr>
          <w:noProof/>
        </w:rPr>
        <w:drawing>
          <wp:inline distT="0" distB="0" distL="0" distR="0">
            <wp:extent cx="3875050" cy="2219134"/>
            <wp:effectExtent l="0" t="0" r="0" b="0"/>
            <wp:docPr id="39" name="image20.png"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875050" cy="2219134"/>
                    </a:xfrm>
                    <a:prstGeom prst="rect">
                      <a:avLst/>
                    </a:prstGeom>
                  </pic:spPr>
                </pic:pic>
              </a:graphicData>
            </a:graphic>
          </wp:inline>
        </w:drawing>
      </w:r>
    </w:p>
    <w:p w:rsidR="003804AC" w:rsidRDefault="00AF18A5" w:rsidP="005F4072">
      <w:r w:rsidRPr="005F4072">
        <w:t>Fuente: Comisión de la Verdad con base en datos del Observatorio de</w:t>
      </w:r>
      <w:r>
        <w:t xml:space="preserve"> Drogas de Colombia, Centro Nacional de Memoria Histórica y proyecciones de población del DANE.</w:t>
      </w:r>
    </w:p>
    <w:p w:rsidR="003804AC" w:rsidRPr="005F4072" w:rsidRDefault="00AF18A5" w:rsidP="005F4072">
      <w:pPr>
        <w:rPr>
          <w:b/>
        </w:rPr>
      </w:pPr>
      <w:r w:rsidRPr="005F4072">
        <w:rPr>
          <w:b/>
        </w:rPr>
        <w:t>Gráfica 2. Desplazamiento Forzado en municipios con y sin presencia de cultivos de coca. 1999-2016</w:t>
      </w:r>
    </w:p>
    <w:p w:rsidR="003804AC" w:rsidRDefault="00AF18A5">
      <w:pPr>
        <w:pStyle w:val="Textoindependiente"/>
        <w:rPr>
          <w:sz w:val="15"/>
        </w:rPr>
      </w:pPr>
      <w:r>
        <w:rPr>
          <w:noProof/>
        </w:rPr>
        <w:drawing>
          <wp:inline distT="0" distB="0" distL="0" distR="0">
            <wp:extent cx="3696716" cy="2116264"/>
            <wp:effectExtent l="0" t="0" r="0" b="0"/>
            <wp:docPr id="41" name="image21.png"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696716" cy="2116264"/>
                    </a:xfrm>
                    <a:prstGeom prst="rect">
                      <a:avLst/>
                    </a:prstGeom>
                  </pic:spPr>
                </pic:pic>
              </a:graphicData>
            </a:graphic>
          </wp:inline>
        </w:drawing>
      </w:r>
    </w:p>
    <w:p w:rsidR="003804AC" w:rsidRPr="005F4072" w:rsidRDefault="00AF18A5" w:rsidP="005F4072">
      <w:r w:rsidRPr="005F4072">
        <w:t>Fuente: Comisión de la Verdad con base en datos del Observatorio de Drogas de Colombia, Centro Nacional de Memoria Histórica y proyecciones de población del DANE.</w:t>
      </w:r>
    </w:p>
    <w:p w:rsidR="003804AC" w:rsidRPr="005F4072" w:rsidRDefault="00AF18A5" w:rsidP="005F4072">
      <w:pPr>
        <w:rPr>
          <w:b/>
        </w:rPr>
      </w:pPr>
      <w:r w:rsidRPr="005F4072">
        <w:rPr>
          <w:b/>
        </w:rPr>
        <w:lastRenderedPageBreak/>
        <w:t>Gráfica 3. Masacres en municipios con y sin presencia de cultivos de</w:t>
      </w:r>
      <w:r w:rsidRPr="005F4072">
        <w:rPr>
          <w:b/>
          <w:spacing w:val="-1"/>
        </w:rPr>
        <w:t xml:space="preserve"> </w:t>
      </w:r>
      <w:r w:rsidRPr="005F4072">
        <w:rPr>
          <w:b/>
        </w:rPr>
        <w:t>coca. 1999-</w:t>
      </w:r>
      <w:r w:rsidRPr="005F4072">
        <w:rPr>
          <w:b/>
          <w:spacing w:val="-4"/>
        </w:rPr>
        <w:t>2016</w:t>
      </w:r>
    </w:p>
    <w:p w:rsidR="0011361F" w:rsidRDefault="00AF18A5">
      <w:pPr>
        <w:pStyle w:val="Textoindependiente"/>
        <w:spacing w:before="8"/>
        <w:rPr>
          <w:sz w:val="23"/>
        </w:rPr>
      </w:pPr>
      <w:r>
        <w:rPr>
          <w:noProof/>
        </w:rPr>
        <w:drawing>
          <wp:inline distT="0" distB="0" distL="0" distR="0">
            <wp:extent cx="3685547" cy="2121407"/>
            <wp:effectExtent l="0" t="0" r="0" b="0"/>
            <wp:docPr id="43" name="image22.jpeg"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685547" cy="2121407"/>
                    </a:xfrm>
                    <a:prstGeom prst="rect">
                      <a:avLst/>
                    </a:prstGeom>
                  </pic:spPr>
                </pic:pic>
              </a:graphicData>
            </a:graphic>
          </wp:inline>
        </w:drawing>
      </w:r>
    </w:p>
    <w:p w:rsidR="003804AC" w:rsidRPr="005F4072" w:rsidRDefault="00AF18A5" w:rsidP="005F4072">
      <w:r w:rsidRPr="005F4072">
        <w:t>Fuente: Comisión de la Verdad con base en datos del Observatorio de Drogas de Colombia, Centro Nacional de Memoria Histórica y proyecciones de población del DANE.</w:t>
      </w:r>
    </w:p>
    <w:p w:rsidR="0011361F" w:rsidRPr="005F4072" w:rsidRDefault="00AF18A5" w:rsidP="005F4072">
      <w:pPr>
        <w:rPr>
          <w:b/>
        </w:rPr>
      </w:pPr>
      <w:r w:rsidRPr="005F4072">
        <w:rPr>
          <w:b/>
        </w:rPr>
        <w:t>Gráfica 4. Violencia Sexual en municipios con y sin presencia de cultivos de coca. 1999- 2016</w:t>
      </w:r>
    </w:p>
    <w:p w:rsidR="003804AC" w:rsidRDefault="005F4072">
      <w:pPr>
        <w:pStyle w:val="Textoindependiente"/>
        <w:spacing w:before="2"/>
        <w:rPr>
          <w:sz w:val="17"/>
        </w:rPr>
      </w:pPr>
      <w:r w:rsidRPr="005F4072">
        <w:rPr>
          <w:noProof/>
          <w:sz w:val="17"/>
        </w:rPr>
        <w:drawing>
          <wp:inline distT="0" distB="0" distL="0" distR="0" wp14:anchorId="31B4FBA7" wp14:editId="427D87BA">
            <wp:extent cx="4620270" cy="2143424"/>
            <wp:effectExtent l="0" t="0" r="8890" b="9525"/>
            <wp:docPr id="8" name="Imagen 8"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620270" cy="2143424"/>
                    </a:xfrm>
                    <a:prstGeom prst="rect">
                      <a:avLst/>
                    </a:prstGeom>
                  </pic:spPr>
                </pic:pic>
              </a:graphicData>
            </a:graphic>
          </wp:inline>
        </w:drawing>
      </w:r>
    </w:p>
    <w:p w:rsidR="003804AC" w:rsidRPr="005F4072" w:rsidRDefault="00AF18A5" w:rsidP="005F4072">
      <w:r w:rsidRPr="005F4072">
        <w:t>Fuente: Comisión de la Verdad con base en datos del Observatorio de Drogas de Colombia, Centro Nacional de Memoria Histórica y proyecciones de población del DANE.</w:t>
      </w:r>
    </w:p>
    <w:p w:rsidR="003804AC" w:rsidRDefault="00AF18A5" w:rsidP="005F4072">
      <w:r>
        <w:lastRenderedPageBreak/>
        <w:t>Ciertos</w:t>
      </w:r>
      <w:r>
        <w:rPr>
          <w:spacing w:val="-3"/>
        </w:rPr>
        <w:t xml:space="preserve"> </w:t>
      </w:r>
      <w:r>
        <w:t>elementos</w:t>
      </w:r>
      <w:r>
        <w:rPr>
          <w:spacing w:val="-3"/>
        </w:rPr>
        <w:t xml:space="preserve"> </w:t>
      </w:r>
      <w:r>
        <w:t>de</w:t>
      </w:r>
      <w:r>
        <w:rPr>
          <w:spacing w:val="-3"/>
        </w:rPr>
        <w:t xml:space="preserve"> </w:t>
      </w:r>
      <w:r>
        <w:t>la</w:t>
      </w:r>
      <w:r>
        <w:rPr>
          <w:spacing w:val="-3"/>
        </w:rPr>
        <w:t xml:space="preserve"> </w:t>
      </w:r>
      <w:r>
        <w:t>economía</w:t>
      </w:r>
      <w:r>
        <w:rPr>
          <w:spacing w:val="-3"/>
        </w:rPr>
        <w:t xml:space="preserve"> </w:t>
      </w:r>
      <w:r>
        <w:t>política</w:t>
      </w:r>
      <w:r>
        <w:rPr>
          <w:spacing w:val="-3"/>
        </w:rPr>
        <w:t xml:space="preserve"> </w:t>
      </w:r>
      <w:r>
        <w:t>tienen</w:t>
      </w:r>
      <w:r>
        <w:rPr>
          <w:spacing w:val="-5"/>
        </w:rPr>
        <w:t xml:space="preserve"> </w:t>
      </w:r>
      <w:r>
        <w:t>un</w:t>
      </w:r>
      <w:r>
        <w:rPr>
          <w:spacing w:val="-3"/>
        </w:rPr>
        <w:t xml:space="preserve"> </w:t>
      </w:r>
      <w:r>
        <w:t>efecto</w:t>
      </w:r>
      <w:r>
        <w:rPr>
          <w:spacing w:val="-5"/>
        </w:rPr>
        <w:t xml:space="preserve"> </w:t>
      </w:r>
      <w:r>
        <w:t>espejo</w:t>
      </w:r>
      <w:r>
        <w:rPr>
          <w:spacing w:val="-3"/>
        </w:rPr>
        <w:t xml:space="preserve"> </w:t>
      </w:r>
      <w:r>
        <w:t>entre</w:t>
      </w:r>
      <w:r>
        <w:rPr>
          <w:spacing w:val="-3"/>
        </w:rPr>
        <w:t xml:space="preserve"> </w:t>
      </w:r>
      <w:r>
        <w:t>los</w:t>
      </w:r>
      <w:r>
        <w:rPr>
          <w:spacing w:val="-3"/>
        </w:rPr>
        <w:t xml:space="preserve"> </w:t>
      </w:r>
      <w:r>
        <w:t>actores</w:t>
      </w:r>
      <w:r>
        <w:rPr>
          <w:spacing w:val="-3"/>
        </w:rPr>
        <w:t xml:space="preserve"> </w:t>
      </w:r>
      <w:r>
        <w:t xml:space="preserve">armados, en el sentido de que fenómenos como el narcotráfico, por ejemplo, cuentan con la participación de todos los actores, lo que hace que el comportamiento de unos sea el reflejo </w:t>
      </w:r>
      <w:r>
        <w:rPr>
          <w:i/>
        </w:rPr>
        <w:t>especular</w:t>
      </w:r>
      <w:r>
        <w:rPr>
          <w:i/>
          <w:spacing w:val="-2"/>
        </w:rPr>
        <w:t xml:space="preserve"> </w:t>
      </w:r>
      <w:r>
        <w:t>de</w:t>
      </w:r>
      <w:r>
        <w:rPr>
          <w:spacing w:val="-3"/>
        </w:rPr>
        <w:t xml:space="preserve"> </w:t>
      </w:r>
      <w:r>
        <w:t>otros.</w:t>
      </w:r>
      <w:r>
        <w:rPr>
          <w:spacing w:val="-2"/>
        </w:rPr>
        <w:t xml:space="preserve"> </w:t>
      </w:r>
      <w:r>
        <w:t>El</w:t>
      </w:r>
      <w:r>
        <w:rPr>
          <w:spacing w:val="-2"/>
        </w:rPr>
        <w:t xml:space="preserve"> </w:t>
      </w:r>
      <w:r>
        <w:t>caso</w:t>
      </w:r>
      <w:r>
        <w:rPr>
          <w:spacing w:val="-2"/>
        </w:rPr>
        <w:t xml:space="preserve"> </w:t>
      </w:r>
      <w:r>
        <w:t>de</w:t>
      </w:r>
      <w:r>
        <w:rPr>
          <w:spacing w:val="-2"/>
        </w:rPr>
        <w:t xml:space="preserve"> </w:t>
      </w:r>
      <w:r>
        <w:t>la</w:t>
      </w:r>
      <w:r>
        <w:rPr>
          <w:spacing w:val="-2"/>
        </w:rPr>
        <w:t xml:space="preserve"> </w:t>
      </w:r>
      <w:r>
        <w:t>economía</w:t>
      </w:r>
      <w:r>
        <w:rPr>
          <w:spacing w:val="-2"/>
        </w:rPr>
        <w:t xml:space="preserve"> </w:t>
      </w:r>
      <w:r>
        <w:t>del</w:t>
      </w:r>
      <w:r>
        <w:rPr>
          <w:spacing w:val="-2"/>
        </w:rPr>
        <w:t xml:space="preserve"> </w:t>
      </w:r>
      <w:r>
        <w:t>narcotráfico</w:t>
      </w:r>
      <w:r>
        <w:rPr>
          <w:spacing w:val="-2"/>
        </w:rPr>
        <w:t xml:space="preserve"> </w:t>
      </w:r>
      <w:r>
        <w:t>es</w:t>
      </w:r>
      <w:r>
        <w:rPr>
          <w:spacing w:val="-2"/>
        </w:rPr>
        <w:t xml:space="preserve"> </w:t>
      </w:r>
      <w:r>
        <w:t>palpable</w:t>
      </w:r>
      <w:r>
        <w:rPr>
          <w:spacing w:val="-2"/>
        </w:rPr>
        <w:t xml:space="preserve"> </w:t>
      </w:r>
      <w:r>
        <w:t>en</w:t>
      </w:r>
      <w:r>
        <w:rPr>
          <w:spacing w:val="-2"/>
        </w:rPr>
        <w:t xml:space="preserve"> </w:t>
      </w:r>
      <w:r>
        <w:t>este</w:t>
      </w:r>
      <w:r>
        <w:rPr>
          <w:spacing w:val="-2"/>
        </w:rPr>
        <w:t xml:space="preserve"> </w:t>
      </w:r>
      <w:r>
        <w:t>sentido,</w:t>
      </w:r>
      <w:r>
        <w:rPr>
          <w:spacing w:val="-2"/>
        </w:rPr>
        <w:t xml:space="preserve"> </w:t>
      </w:r>
      <w:r>
        <w:t>pues las colisiones por el control de cultivos, los medios de producción, los laboratorios de procesamiento, las rutas de movilidad de insumos y los productos, por ejemplo, dan lugar a reacciones</w:t>
      </w:r>
      <w:r>
        <w:rPr>
          <w:spacing w:val="-15"/>
        </w:rPr>
        <w:t xml:space="preserve"> </w:t>
      </w:r>
      <w:r>
        <w:t>de</w:t>
      </w:r>
      <w:r>
        <w:rPr>
          <w:spacing w:val="-15"/>
        </w:rPr>
        <w:t xml:space="preserve"> </w:t>
      </w:r>
      <w:r>
        <w:t>ataque</w:t>
      </w:r>
      <w:r>
        <w:rPr>
          <w:spacing w:val="-15"/>
        </w:rPr>
        <w:t xml:space="preserve"> </w:t>
      </w:r>
      <w:r>
        <w:t>por</w:t>
      </w:r>
      <w:r>
        <w:rPr>
          <w:spacing w:val="-15"/>
        </w:rPr>
        <w:t xml:space="preserve"> </w:t>
      </w:r>
      <w:r>
        <w:t>parte</w:t>
      </w:r>
      <w:r>
        <w:rPr>
          <w:spacing w:val="-15"/>
        </w:rPr>
        <w:t xml:space="preserve"> </w:t>
      </w:r>
      <w:r>
        <w:t>de</w:t>
      </w:r>
      <w:r>
        <w:rPr>
          <w:spacing w:val="-15"/>
        </w:rPr>
        <w:t xml:space="preserve"> </w:t>
      </w:r>
      <w:r>
        <w:t>los</w:t>
      </w:r>
      <w:r>
        <w:rPr>
          <w:spacing w:val="-15"/>
        </w:rPr>
        <w:t xml:space="preserve"> </w:t>
      </w:r>
      <w:r>
        <w:t>distintos</w:t>
      </w:r>
      <w:r>
        <w:rPr>
          <w:spacing w:val="-15"/>
        </w:rPr>
        <w:t xml:space="preserve"> </w:t>
      </w:r>
      <w:r>
        <w:t>actores</w:t>
      </w:r>
      <w:r>
        <w:rPr>
          <w:spacing w:val="-15"/>
        </w:rPr>
        <w:t xml:space="preserve"> </w:t>
      </w:r>
      <w:r>
        <w:t>o</w:t>
      </w:r>
      <w:r>
        <w:rPr>
          <w:spacing w:val="-15"/>
        </w:rPr>
        <w:t xml:space="preserve"> </w:t>
      </w:r>
      <w:r>
        <w:t>a</w:t>
      </w:r>
      <w:r>
        <w:rPr>
          <w:spacing w:val="-15"/>
        </w:rPr>
        <w:t xml:space="preserve"> </w:t>
      </w:r>
      <w:r>
        <w:t>la</w:t>
      </w:r>
      <w:r>
        <w:rPr>
          <w:spacing w:val="-15"/>
        </w:rPr>
        <w:t xml:space="preserve"> </w:t>
      </w:r>
      <w:r>
        <w:t>búsqueda</w:t>
      </w:r>
      <w:r>
        <w:rPr>
          <w:spacing w:val="-15"/>
        </w:rPr>
        <w:t xml:space="preserve"> </w:t>
      </w:r>
      <w:r>
        <w:t>conveniente</w:t>
      </w:r>
      <w:r>
        <w:rPr>
          <w:spacing w:val="-15"/>
        </w:rPr>
        <w:t xml:space="preserve"> </w:t>
      </w:r>
      <w:r>
        <w:t>de</w:t>
      </w:r>
      <w:r>
        <w:rPr>
          <w:spacing w:val="-15"/>
        </w:rPr>
        <w:t xml:space="preserve"> </w:t>
      </w:r>
      <w:r>
        <w:t>alianzas para distribuir el dominio sobre ciertas etapas, generando múltiples violencias en los territorios de disputa.</w:t>
      </w:r>
    </w:p>
    <w:p w:rsidR="0011361F" w:rsidRDefault="00AF18A5" w:rsidP="004A6EF4">
      <w:pPr>
        <w:pStyle w:val="Ttulo3"/>
        <w:numPr>
          <w:ilvl w:val="1"/>
          <w:numId w:val="16"/>
        </w:numPr>
      </w:pPr>
      <w:bookmarkStart w:id="803" w:name="6.6._Relaciones_entre_insurgencias_y_eco"/>
      <w:bookmarkStart w:id="804" w:name="_Toc112399610"/>
      <w:bookmarkEnd w:id="803"/>
      <w:r>
        <w:t>Relaciones</w:t>
      </w:r>
      <w:r>
        <w:rPr>
          <w:spacing w:val="-4"/>
        </w:rPr>
        <w:t xml:space="preserve"> </w:t>
      </w:r>
      <w:r>
        <w:t>entre</w:t>
      </w:r>
      <w:r>
        <w:rPr>
          <w:spacing w:val="-2"/>
        </w:rPr>
        <w:t xml:space="preserve"> </w:t>
      </w:r>
      <w:r w:rsidRPr="005F4072">
        <w:t>insurgencias</w:t>
      </w:r>
      <w:r>
        <w:rPr>
          <w:spacing w:val="-4"/>
        </w:rPr>
        <w:t xml:space="preserve"> </w:t>
      </w:r>
      <w:r>
        <w:t>y</w:t>
      </w:r>
      <w:r>
        <w:rPr>
          <w:spacing w:val="-2"/>
        </w:rPr>
        <w:t xml:space="preserve"> </w:t>
      </w:r>
      <w:r>
        <w:t>economías</w:t>
      </w:r>
      <w:r>
        <w:rPr>
          <w:spacing w:val="-2"/>
        </w:rPr>
        <w:t xml:space="preserve"> </w:t>
      </w:r>
      <w:r>
        <w:t>de</w:t>
      </w:r>
      <w:r>
        <w:rPr>
          <w:spacing w:val="-2"/>
        </w:rPr>
        <w:t xml:space="preserve"> </w:t>
      </w:r>
      <w:r>
        <w:t>la</w:t>
      </w:r>
      <w:r>
        <w:rPr>
          <w:spacing w:val="-1"/>
        </w:rPr>
        <w:t xml:space="preserve"> </w:t>
      </w:r>
      <w:r>
        <w:rPr>
          <w:spacing w:val="-4"/>
        </w:rPr>
        <w:t>coca</w:t>
      </w:r>
      <w:bookmarkEnd w:id="804"/>
    </w:p>
    <w:p w:rsidR="003804AC" w:rsidRDefault="00AF18A5" w:rsidP="00C82005">
      <w:r>
        <w:t>La mayor información que ha recopilado la Comisión sobre actores armados ha sido de las extintas FARC-EP, ya que fueron las protagonistas del Acuerdo de Paz que dio vida al sistema de justicia transicional que opera actualmente en el país. Ese proceso ha permitido que sus excombatientes hablen de sus responsabilidades en el conflicto armado colombiano y de sus relaciones con las economías regionales de la cocaína. La información sobre narcotráfico y guerrillas ha estado más disponible respecto a las FARC-EP que a otras insurgencias desmovilizadas hace tres décadas como el M-19, el EPL o el PRT.</w:t>
      </w:r>
    </w:p>
    <w:p w:rsidR="003804AC" w:rsidRPr="00C82005" w:rsidRDefault="00AF18A5" w:rsidP="00C82005">
      <w:r>
        <w:t>El debate sobre la participación de las guerrillas en el narcotráfico se ha centrado en dos posturas. Una asume que las insurgencias se convirtieron en un cartel más del tráfico de drogas</w:t>
      </w:r>
      <w:r w:rsidR="00C82005">
        <w:rPr>
          <w:rStyle w:val="Refdenotaalpie"/>
        </w:rPr>
        <w:footnoteReference w:id="632"/>
      </w:r>
      <w:r w:rsidR="00C82005">
        <w:t xml:space="preserve"> </w:t>
      </w:r>
      <w:r>
        <w:t xml:space="preserve">y la otra afirma que las insurgencias no tuvieron ningún involucramiento significativo con los mercados de la cocaína, como sostienen los grupos </w:t>
      </w:r>
      <w:r>
        <w:lastRenderedPageBreak/>
        <w:t>guerrilleros</w:t>
      </w:r>
      <w:r w:rsidR="00C82005">
        <w:rPr>
          <w:rStyle w:val="Refdenotaalpie"/>
        </w:rPr>
        <w:footnoteReference w:id="633"/>
      </w:r>
      <w:r>
        <w:t>. El esclarecimiento</w:t>
      </w:r>
      <w:r>
        <w:rPr>
          <w:spacing w:val="-11"/>
        </w:rPr>
        <w:t xml:space="preserve"> </w:t>
      </w:r>
      <w:r>
        <w:t>de</w:t>
      </w:r>
      <w:r>
        <w:rPr>
          <w:spacing w:val="-11"/>
        </w:rPr>
        <w:t xml:space="preserve"> </w:t>
      </w:r>
      <w:r>
        <w:t>esta</w:t>
      </w:r>
      <w:r>
        <w:rPr>
          <w:spacing w:val="-11"/>
        </w:rPr>
        <w:t xml:space="preserve"> </w:t>
      </w:r>
      <w:r>
        <w:t>relación</w:t>
      </w:r>
      <w:r w:rsidR="00C82005">
        <w:rPr>
          <w:rStyle w:val="Refdenotaalpie"/>
        </w:rPr>
        <w:footnoteReference w:id="634"/>
      </w:r>
      <w:r>
        <w:rPr>
          <w:spacing w:val="-11"/>
        </w:rPr>
        <w:t xml:space="preserve"> </w:t>
      </w:r>
      <w:r>
        <w:t>alimenta</w:t>
      </w:r>
      <w:r>
        <w:rPr>
          <w:spacing w:val="-11"/>
        </w:rPr>
        <w:t xml:space="preserve"> </w:t>
      </w:r>
      <w:r>
        <w:t>el</w:t>
      </w:r>
      <w:r>
        <w:rPr>
          <w:spacing w:val="-11"/>
        </w:rPr>
        <w:t xml:space="preserve"> </w:t>
      </w:r>
      <w:r>
        <w:t>debate</w:t>
      </w:r>
      <w:r>
        <w:rPr>
          <w:spacing w:val="-11"/>
        </w:rPr>
        <w:t xml:space="preserve"> </w:t>
      </w:r>
      <w:r>
        <w:t>sobre</w:t>
      </w:r>
      <w:r>
        <w:rPr>
          <w:spacing w:val="-11"/>
        </w:rPr>
        <w:t xml:space="preserve"> </w:t>
      </w:r>
      <w:r>
        <w:t>la</w:t>
      </w:r>
      <w:r>
        <w:rPr>
          <w:spacing w:val="-11"/>
        </w:rPr>
        <w:t xml:space="preserve"> </w:t>
      </w:r>
      <w:r>
        <w:t>conexidad</w:t>
      </w:r>
      <w:r>
        <w:rPr>
          <w:spacing w:val="-11"/>
        </w:rPr>
        <w:t xml:space="preserve"> </w:t>
      </w:r>
      <w:r>
        <w:t>del</w:t>
      </w:r>
      <w:r>
        <w:rPr>
          <w:spacing w:val="-12"/>
        </w:rPr>
        <w:t xml:space="preserve"> </w:t>
      </w:r>
      <w:r>
        <w:t>narcotráfico</w:t>
      </w:r>
      <w:r>
        <w:rPr>
          <w:spacing w:val="-12"/>
        </w:rPr>
        <w:t xml:space="preserve"> </w:t>
      </w:r>
      <w:r>
        <w:rPr>
          <w:spacing w:val="-5"/>
        </w:rPr>
        <w:t>con</w:t>
      </w:r>
      <w:bookmarkStart w:id="805" w:name="_bookmark697"/>
      <w:bookmarkStart w:id="806" w:name="_bookmark698"/>
      <w:bookmarkStart w:id="807" w:name="_bookmark699"/>
      <w:bookmarkEnd w:id="805"/>
      <w:bookmarkEnd w:id="806"/>
      <w:bookmarkEnd w:id="807"/>
      <w:r w:rsidR="00C82005">
        <w:rPr>
          <w:spacing w:val="-5"/>
        </w:rPr>
        <w:t xml:space="preserve"> </w:t>
      </w:r>
      <w:r>
        <w:t>el</w:t>
      </w:r>
      <w:r>
        <w:rPr>
          <w:spacing w:val="-3"/>
        </w:rPr>
        <w:t xml:space="preserve"> </w:t>
      </w:r>
      <w:r>
        <w:t>delito</w:t>
      </w:r>
      <w:r>
        <w:rPr>
          <w:spacing w:val="-4"/>
        </w:rPr>
        <w:t xml:space="preserve"> </w:t>
      </w:r>
      <w:r>
        <w:t>político</w:t>
      </w:r>
      <w:r>
        <w:rPr>
          <w:spacing w:val="-4"/>
        </w:rPr>
        <w:t xml:space="preserve"> </w:t>
      </w:r>
      <w:r>
        <w:t>que</w:t>
      </w:r>
      <w:r>
        <w:rPr>
          <w:spacing w:val="-3"/>
        </w:rPr>
        <w:t xml:space="preserve"> </w:t>
      </w:r>
      <w:r>
        <w:t>viene</w:t>
      </w:r>
      <w:r>
        <w:rPr>
          <w:spacing w:val="-3"/>
        </w:rPr>
        <w:t xml:space="preserve"> </w:t>
      </w:r>
      <w:r>
        <w:t>dándose</w:t>
      </w:r>
      <w:r>
        <w:rPr>
          <w:spacing w:val="-3"/>
        </w:rPr>
        <w:t xml:space="preserve"> </w:t>
      </w:r>
      <w:r>
        <w:t>en</w:t>
      </w:r>
      <w:r>
        <w:rPr>
          <w:spacing w:val="-4"/>
        </w:rPr>
        <w:t xml:space="preserve"> </w:t>
      </w:r>
      <w:r>
        <w:t>Colombia</w:t>
      </w:r>
      <w:r>
        <w:rPr>
          <w:spacing w:val="-3"/>
        </w:rPr>
        <w:t xml:space="preserve"> </w:t>
      </w:r>
      <w:r>
        <w:t>desde</w:t>
      </w:r>
      <w:r>
        <w:rPr>
          <w:spacing w:val="-3"/>
        </w:rPr>
        <w:t xml:space="preserve"> </w:t>
      </w:r>
      <w:r>
        <w:t>los</w:t>
      </w:r>
      <w:r>
        <w:rPr>
          <w:spacing w:val="-5"/>
        </w:rPr>
        <w:t xml:space="preserve"> </w:t>
      </w:r>
      <w:r>
        <w:t>primeros</w:t>
      </w:r>
      <w:r>
        <w:rPr>
          <w:spacing w:val="-3"/>
        </w:rPr>
        <w:t xml:space="preserve"> </w:t>
      </w:r>
      <w:r>
        <w:t>acercamientos</w:t>
      </w:r>
      <w:r>
        <w:rPr>
          <w:spacing w:val="-5"/>
        </w:rPr>
        <w:t xml:space="preserve"> </w:t>
      </w:r>
      <w:r>
        <w:t>de</w:t>
      </w:r>
      <w:r>
        <w:rPr>
          <w:spacing w:val="-3"/>
        </w:rPr>
        <w:t xml:space="preserve"> </w:t>
      </w:r>
      <w:r>
        <w:t>paz</w:t>
      </w:r>
      <w:r>
        <w:rPr>
          <w:spacing w:val="-3"/>
        </w:rPr>
        <w:t xml:space="preserve"> </w:t>
      </w:r>
      <w:r>
        <w:t>y que, probablemente, afectará al futuro de otros procesos de paz, pero en todo caso, además de</w:t>
      </w:r>
      <w:r>
        <w:rPr>
          <w:spacing w:val="-2"/>
        </w:rPr>
        <w:t xml:space="preserve"> </w:t>
      </w:r>
      <w:r>
        <w:t>la</w:t>
      </w:r>
      <w:r>
        <w:rPr>
          <w:spacing w:val="-2"/>
        </w:rPr>
        <w:t xml:space="preserve"> </w:t>
      </w:r>
      <w:r>
        <w:t>disputa</w:t>
      </w:r>
      <w:r>
        <w:rPr>
          <w:spacing w:val="-2"/>
        </w:rPr>
        <w:t xml:space="preserve"> </w:t>
      </w:r>
      <w:r>
        <w:t>por</w:t>
      </w:r>
      <w:r>
        <w:rPr>
          <w:spacing w:val="-2"/>
        </w:rPr>
        <w:t xml:space="preserve"> </w:t>
      </w:r>
      <w:r>
        <w:t>el</w:t>
      </w:r>
      <w:r>
        <w:rPr>
          <w:spacing w:val="-2"/>
        </w:rPr>
        <w:t xml:space="preserve"> </w:t>
      </w:r>
      <w:r>
        <w:t>poder</w:t>
      </w:r>
      <w:r>
        <w:rPr>
          <w:spacing w:val="-2"/>
        </w:rPr>
        <w:t xml:space="preserve"> </w:t>
      </w:r>
      <w:r>
        <w:t>político,</w:t>
      </w:r>
      <w:r>
        <w:rPr>
          <w:spacing w:val="-2"/>
        </w:rPr>
        <w:t xml:space="preserve"> </w:t>
      </w:r>
      <w:r>
        <w:t>es</w:t>
      </w:r>
      <w:r>
        <w:rPr>
          <w:spacing w:val="-2"/>
        </w:rPr>
        <w:t xml:space="preserve"> </w:t>
      </w:r>
      <w:r>
        <w:t>indiscutible</w:t>
      </w:r>
      <w:r>
        <w:rPr>
          <w:spacing w:val="-2"/>
        </w:rPr>
        <w:t xml:space="preserve"> </w:t>
      </w:r>
      <w:r>
        <w:t>que</w:t>
      </w:r>
      <w:r>
        <w:rPr>
          <w:spacing w:val="-2"/>
        </w:rPr>
        <w:t xml:space="preserve"> </w:t>
      </w:r>
      <w:r>
        <w:t>la</w:t>
      </w:r>
      <w:r>
        <w:rPr>
          <w:spacing w:val="-2"/>
        </w:rPr>
        <w:t xml:space="preserve"> </w:t>
      </w:r>
      <w:r>
        <w:t>guerra</w:t>
      </w:r>
      <w:r>
        <w:rPr>
          <w:spacing w:val="-2"/>
        </w:rPr>
        <w:t xml:space="preserve"> </w:t>
      </w:r>
      <w:r>
        <w:t>colombiana</w:t>
      </w:r>
      <w:r>
        <w:rPr>
          <w:spacing w:val="-2"/>
        </w:rPr>
        <w:t xml:space="preserve"> </w:t>
      </w:r>
      <w:r>
        <w:t>también</w:t>
      </w:r>
      <w:r>
        <w:rPr>
          <w:spacing w:val="-2"/>
        </w:rPr>
        <w:t xml:space="preserve"> </w:t>
      </w:r>
      <w:r>
        <w:t>tuvo</w:t>
      </w:r>
      <w:r>
        <w:rPr>
          <w:spacing w:val="-2"/>
        </w:rPr>
        <w:t xml:space="preserve"> </w:t>
      </w:r>
      <w:r>
        <w:t>en el centro la disputa por la riqueza y las rentas.</w:t>
      </w:r>
    </w:p>
    <w:p w:rsidR="0011361F" w:rsidRPr="00C82005" w:rsidRDefault="00AF18A5" w:rsidP="004A6EF4">
      <w:pPr>
        <w:pStyle w:val="Ttulo4"/>
        <w:numPr>
          <w:ilvl w:val="2"/>
          <w:numId w:val="16"/>
        </w:numPr>
      </w:pPr>
      <w:bookmarkStart w:id="808" w:name="6.6.1._FARC-EP_y_narcotráfico"/>
      <w:bookmarkEnd w:id="808"/>
      <w:r>
        <w:t>FARC-EP</w:t>
      </w:r>
      <w:r>
        <w:rPr>
          <w:spacing w:val="-3"/>
        </w:rPr>
        <w:t xml:space="preserve"> </w:t>
      </w:r>
      <w:r>
        <w:t>y narcotráfico</w:t>
      </w:r>
    </w:p>
    <w:p w:rsidR="003804AC" w:rsidRDefault="00AF18A5" w:rsidP="00010241">
      <w:r>
        <w:t>En los años setenta, las políticas guerrilleras sobre la aceptación de cultivos de coca o marihuana</w:t>
      </w:r>
      <w:r>
        <w:rPr>
          <w:spacing w:val="-13"/>
        </w:rPr>
        <w:t xml:space="preserve"> </w:t>
      </w:r>
      <w:r>
        <w:t>en</w:t>
      </w:r>
      <w:r>
        <w:rPr>
          <w:spacing w:val="-13"/>
        </w:rPr>
        <w:t xml:space="preserve"> </w:t>
      </w:r>
      <w:r>
        <w:t>sus</w:t>
      </w:r>
      <w:r>
        <w:rPr>
          <w:spacing w:val="-13"/>
        </w:rPr>
        <w:t xml:space="preserve"> </w:t>
      </w:r>
      <w:r>
        <w:t>zonas</w:t>
      </w:r>
      <w:r>
        <w:rPr>
          <w:spacing w:val="-13"/>
        </w:rPr>
        <w:t xml:space="preserve"> </w:t>
      </w:r>
      <w:r>
        <w:t>de</w:t>
      </w:r>
      <w:r>
        <w:rPr>
          <w:spacing w:val="-13"/>
        </w:rPr>
        <w:t xml:space="preserve"> </w:t>
      </w:r>
      <w:r>
        <w:t>presencia</w:t>
      </w:r>
      <w:r>
        <w:rPr>
          <w:spacing w:val="-14"/>
        </w:rPr>
        <w:t xml:space="preserve"> </w:t>
      </w:r>
      <w:r>
        <w:t>fueron</w:t>
      </w:r>
      <w:r>
        <w:rPr>
          <w:spacing w:val="-13"/>
        </w:rPr>
        <w:t xml:space="preserve"> </w:t>
      </w:r>
      <w:r>
        <w:t>prohibicionistas.</w:t>
      </w:r>
      <w:r>
        <w:rPr>
          <w:spacing w:val="-14"/>
        </w:rPr>
        <w:t xml:space="preserve"> </w:t>
      </w:r>
      <w:r>
        <w:t>En</w:t>
      </w:r>
      <w:r>
        <w:rPr>
          <w:spacing w:val="-13"/>
        </w:rPr>
        <w:t xml:space="preserve"> </w:t>
      </w:r>
      <w:r>
        <w:t>los</w:t>
      </w:r>
      <w:r>
        <w:rPr>
          <w:spacing w:val="-13"/>
        </w:rPr>
        <w:t xml:space="preserve"> </w:t>
      </w:r>
      <w:r>
        <w:t>años</w:t>
      </w:r>
      <w:r>
        <w:rPr>
          <w:spacing w:val="-13"/>
        </w:rPr>
        <w:t xml:space="preserve"> </w:t>
      </w:r>
      <w:r>
        <w:t>ochenta</w:t>
      </w:r>
      <w:r>
        <w:rPr>
          <w:spacing w:val="-13"/>
        </w:rPr>
        <w:t xml:space="preserve"> </w:t>
      </w:r>
      <w:r>
        <w:t>empezaron a incluir en sus fuentes de financiación las economías de la cocaína y marihuana. Así lo expresó un campesino del Guaviare que vivió este cambio de políticas sobre los cultivos de coca por parte de las FARC-EP en el territorio:</w:t>
      </w:r>
    </w:p>
    <w:p w:rsidR="003804AC" w:rsidRDefault="00AF18A5" w:rsidP="00010241">
      <w:r>
        <w:t>«[...] cuando empezó el cultivo de marihuana y coca, las FARC se opusieron a que el campesinado</w:t>
      </w:r>
      <w:r>
        <w:rPr>
          <w:spacing w:val="-12"/>
        </w:rPr>
        <w:t xml:space="preserve"> </w:t>
      </w:r>
      <w:r>
        <w:t>sembrara</w:t>
      </w:r>
      <w:r>
        <w:rPr>
          <w:spacing w:val="-12"/>
        </w:rPr>
        <w:t xml:space="preserve"> </w:t>
      </w:r>
      <w:r>
        <w:t>eso.</w:t>
      </w:r>
      <w:r>
        <w:rPr>
          <w:spacing w:val="-12"/>
        </w:rPr>
        <w:t xml:space="preserve"> </w:t>
      </w:r>
      <w:r>
        <w:t>Esa</w:t>
      </w:r>
      <w:r>
        <w:rPr>
          <w:spacing w:val="-12"/>
        </w:rPr>
        <w:t xml:space="preserve"> </w:t>
      </w:r>
      <w:r>
        <w:t>persecución</w:t>
      </w:r>
      <w:r>
        <w:rPr>
          <w:spacing w:val="-12"/>
        </w:rPr>
        <w:t xml:space="preserve"> </w:t>
      </w:r>
      <w:r>
        <w:t>y</w:t>
      </w:r>
      <w:r>
        <w:rPr>
          <w:spacing w:val="-12"/>
        </w:rPr>
        <w:t xml:space="preserve"> </w:t>
      </w:r>
      <w:r>
        <w:t>prohibición</w:t>
      </w:r>
      <w:r>
        <w:rPr>
          <w:spacing w:val="-12"/>
        </w:rPr>
        <w:t xml:space="preserve"> </w:t>
      </w:r>
      <w:r>
        <w:t>de</w:t>
      </w:r>
      <w:r>
        <w:rPr>
          <w:spacing w:val="-12"/>
        </w:rPr>
        <w:t xml:space="preserve"> </w:t>
      </w:r>
      <w:r>
        <w:t>las</w:t>
      </w:r>
      <w:r>
        <w:rPr>
          <w:spacing w:val="-12"/>
        </w:rPr>
        <w:t xml:space="preserve"> </w:t>
      </w:r>
      <w:r>
        <w:t>FARC</w:t>
      </w:r>
      <w:r>
        <w:rPr>
          <w:spacing w:val="-13"/>
        </w:rPr>
        <w:t xml:space="preserve"> </w:t>
      </w:r>
      <w:r>
        <w:t>contra</w:t>
      </w:r>
      <w:r>
        <w:rPr>
          <w:spacing w:val="-12"/>
        </w:rPr>
        <w:t xml:space="preserve"> </w:t>
      </w:r>
      <w:r>
        <w:t>la</w:t>
      </w:r>
      <w:r>
        <w:rPr>
          <w:spacing w:val="-12"/>
        </w:rPr>
        <w:t xml:space="preserve"> </w:t>
      </w:r>
      <w:r>
        <w:t>coca</w:t>
      </w:r>
      <w:r>
        <w:rPr>
          <w:spacing w:val="-13"/>
        </w:rPr>
        <w:t xml:space="preserve"> </w:t>
      </w:r>
      <w:r>
        <w:t>se</w:t>
      </w:r>
      <w:r>
        <w:rPr>
          <w:spacing w:val="-12"/>
        </w:rPr>
        <w:t xml:space="preserve"> </w:t>
      </w:r>
      <w:r>
        <w:t>dio, más o menos, hasta 1979, porque ya entre 1980 y 1981 en adelante la guerrilla relajó sus posturas sobre estos cultivos y los campesinos que la cultivábamos»</w:t>
      </w:r>
      <w:r w:rsidR="00010241">
        <w:rPr>
          <w:rStyle w:val="Refdenotaalpie"/>
        </w:rPr>
        <w:footnoteReference w:id="635"/>
      </w:r>
      <w:r>
        <w:t>.</w:t>
      </w:r>
    </w:p>
    <w:p w:rsidR="003804AC" w:rsidRDefault="00AF18A5" w:rsidP="00010241">
      <w:r>
        <w:t>Esto</w:t>
      </w:r>
      <w:r>
        <w:rPr>
          <w:spacing w:val="-2"/>
        </w:rPr>
        <w:t xml:space="preserve"> </w:t>
      </w:r>
      <w:r>
        <w:t>fue</w:t>
      </w:r>
      <w:r>
        <w:rPr>
          <w:spacing w:val="-2"/>
        </w:rPr>
        <w:t xml:space="preserve"> </w:t>
      </w:r>
      <w:r>
        <w:t>un</w:t>
      </w:r>
      <w:r>
        <w:rPr>
          <w:spacing w:val="-2"/>
        </w:rPr>
        <w:t xml:space="preserve"> </w:t>
      </w:r>
      <w:r>
        <w:t>proceso</w:t>
      </w:r>
      <w:r>
        <w:rPr>
          <w:spacing w:val="-2"/>
        </w:rPr>
        <w:t xml:space="preserve"> </w:t>
      </w:r>
      <w:r>
        <w:t>por</w:t>
      </w:r>
      <w:r>
        <w:rPr>
          <w:spacing w:val="-3"/>
        </w:rPr>
        <w:t xml:space="preserve"> </w:t>
      </w:r>
      <w:r>
        <w:t>etapas;</w:t>
      </w:r>
      <w:r>
        <w:rPr>
          <w:spacing w:val="-2"/>
        </w:rPr>
        <w:t xml:space="preserve"> </w:t>
      </w:r>
      <w:r>
        <w:t>ante</w:t>
      </w:r>
      <w:r>
        <w:rPr>
          <w:spacing w:val="-3"/>
        </w:rPr>
        <w:t xml:space="preserve"> </w:t>
      </w:r>
      <w:r>
        <w:t>la</w:t>
      </w:r>
      <w:r>
        <w:rPr>
          <w:spacing w:val="-2"/>
        </w:rPr>
        <w:t xml:space="preserve"> </w:t>
      </w:r>
      <w:r>
        <w:t>violencia</w:t>
      </w:r>
      <w:r>
        <w:rPr>
          <w:spacing w:val="-3"/>
        </w:rPr>
        <w:t xml:space="preserve"> </w:t>
      </w:r>
      <w:r>
        <w:t>de</w:t>
      </w:r>
      <w:r>
        <w:rPr>
          <w:spacing w:val="-2"/>
        </w:rPr>
        <w:t xml:space="preserve"> </w:t>
      </w:r>
      <w:r>
        <w:t>los</w:t>
      </w:r>
      <w:r>
        <w:rPr>
          <w:spacing w:val="-2"/>
        </w:rPr>
        <w:t xml:space="preserve"> </w:t>
      </w:r>
      <w:r>
        <w:t>compradores</w:t>
      </w:r>
      <w:r>
        <w:rPr>
          <w:spacing w:val="-2"/>
        </w:rPr>
        <w:t xml:space="preserve"> </w:t>
      </w:r>
      <w:r>
        <w:t>de</w:t>
      </w:r>
      <w:r>
        <w:rPr>
          <w:spacing w:val="-2"/>
        </w:rPr>
        <w:t xml:space="preserve"> </w:t>
      </w:r>
      <w:r>
        <w:t>pasta</w:t>
      </w:r>
      <w:r>
        <w:rPr>
          <w:spacing w:val="-2"/>
        </w:rPr>
        <w:t xml:space="preserve"> </w:t>
      </w:r>
      <w:r>
        <w:t>base</w:t>
      </w:r>
      <w:r>
        <w:rPr>
          <w:spacing w:val="-2"/>
        </w:rPr>
        <w:t xml:space="preserve"> </w:t>
      </w:r>
      <w:r>
        <w:t xml:space="preserve">contra los campesinos, las FARC-EP empezaron a mediar en la regulación de pagos, precios y compromisos. Ante la oportunidad de </w:t>
      </w:r>
      <w:r>
        <w:lastRenderedPageBreak/>
        <w:t>captar rentas, iniciaron cobrando un impuesto a la producción de pasta base de coca al comprador y, en algunos casos, a los campesinos</w:t>
      </w:r>
      <w:r w:rsidR="00010241">
        <w:rPr>
          <w:rStyle w:val="Refdenotaalpie"/>
        </w:rPr>
        <w:footnoteReference w:id="636"/>
      </w:r>
      <w:r>
        <w:t xml:space="preserve">. Posteriormente, transitaron a ocupar el rol de intermediario entre campesino y traficante, comprándoles la producción de pasta base a las comunidades y vendiéndosela a los traficantes de cocaína, quienes finalmente la procesaban en clorhidrato de cocaína. En algunas regiones y estructuras tuvieron </w:t>
      </w:r>
      <w:proofErr w:type="spellStart"/>
      <w:r>
        <w:t>cristalizaderos</w:t>
      </w:r>
      <w:proofErr w:type="spellEnd"/>
      <w:r>
        <w:t xml:space="preserve"> para vendérsela a narcotraficantes</w:t>
      </w:r>
      <w:r w:rsidR="00010241">
        <w:rPr>
          <w:rStyle w:val="Refdenotaalpie"/>
        </w:rPr>
        <w:footnoteReference w:id="637"/>
      </w:r>
      <w:r>
        <w:t xml:space="preserve"> o</w:t>
      </w:r>
      <w:r>
        <w:rPr>
          <w:spacing w:val="-11"/>
        </w:rPr>
        <w:t xml:space="preserve"> </w:t>
      </w:r>
      <w:r>
        <w:t>cobraron</w:t>
      </w:r>
      <w:r>
        <w:rPr>
          <w:spacing w:val="-10"/>
        </w:rPr>
        <w:t xml:space="preserve"> </w:t>
      </w:r>
      <w:r>
        <w:t>impuestos</w:t>
      </w:r>
      <w:r>
        <w:rPr>
          <w:spacing w:val="-10"/>
        </w:rPr>
        <w:t xml:space="preserve"> </w:t>
      </w:r>
      <w:r>
        <w:t>por</w:t>
      </w:r>
      <w:r>
        <w:rPr>
          <w:spacing w:val="-9"/>
        </w:rPr>
        <w:t xml:space="preserve"> </w:t>
      </w:r>
      <w:r>
        <w:t>ello.</w:t>
      </w:r>
      <w:r>
        <w:rPr>
          <w:spacing w:val="-11"/>
        </w:rPr>
        <w:t xml:space="preserve"> </w:t>
      </w:r>
      <w:r>
        <w:t>También</w:t>
      </w:r>
      <w:r>
        <w:rPr>
          <w:spacing w:val="-10"/>
        </w:rPr>
        <w:t xml:space="preserve"> </w:t>
      </w:r>
      <w:r>
        <w:t>instalaron</w:t>
      </w:r>
      <w:r>
        <w:rPr>
          <w:spacing w:val="-10"/>
        </w:rPr>
        <w:t xml:space="preserve"> </w:t>
      </w:r>
      <w:r>
        <w:t>cobros,</w:t>
      </w:r>
      <w:r>
        <w:rPr>
          <w:spacing w:val="-10"/>
        </w:rPr>
        <w:t xml:space="preserve"> </w:t>
      </w:r>
      <w:r>
        <w:t>como</w:t>
      </w:r>
      <w:r>
        <w:rPr>
          <w:spacing w:val="-11"/>
        </w:rPr>
        <w:t xml:space="preserve"> </w:t>
      </w:r>
      <w:r>
        <w:t>peajes,</w:t>
      </w:r>
      <w:r>
        <w:rPr>
          <w:spacing w:val="-10"/>
        </w:rPr>
        <w:t xml:space="preserve"> </w:t>
      </w:r>
      <w:r>
        <w:t>en</w:t>
      </w:r>
      <w:r>
        <w:rPr>
          <w:spacing w:val="-10"/>
        </w:rPr>
        <w:t xml:space="preserve"> </w:t>
      </w:r>
      <w:r>
        <w:t>los</w:t>
      </w:r>
      <w:r>
        <w:rPr>
          <w:spacing w:val="-10"/>
        </w:rPr>
        <w:t xml:space="preserve"> </w:t>
      </w:r>
      <w:r>
        <w:t>lugares</w:t>
      </w:r>
      <w:r>
        <w:rPr>
          <w:spacing w:val="-11"/>
        </w:rPr>
        <w:t xml:space="preserve"> </w:t>
      </w:r>
      <w:r>
        <w:rPr>
          <w:spacing w:val="-2"/>
        </w:rPr>
        <w:t>donde</w:t>
      </w:r>
      <w:bookmarkStart w:id="809" w:name="_bookmark700"/>
      <w:bookmarkStart w:id="810" w:name="_bookmark701"/>
      <w:bookmarkStart w:id="811" w:name="_bookmark702"/>
      <w:bookmarkEnd w:id="809"/>
      <w:bookmarkEnd w:id="810"/>
      <w:bookmarkEnd w:id="811"/>
      <w:r w:rsidR="00010241">
        <w:rPr>
          <w:spacing w:val="-2"/>
        </w:rPr>
        <w:t xml:space="preserve"> </w:t>
      </w:r>
      <w:r>
        <w:t xml:space="preserve">tenían presencia y por donde aseguraban el paso en ríos, trochas o carreteras de la </w:t>
      </w:r>
      <w:r>
        <w:rPr>
          <w:spacing w:val="-2"/>
        </w:rPr>
        <w:t>mercancía</w:t>
      </w:r>
      <w:r w:rsidR="00010241">
        <w:rPr>
          <w:rStyle w:val="Refdenotaalpie"/>
          <w:spacing w:val="-2"/>
        </w:rPr>
        <w:footnoteReference w:id="638"/>
      </w:r>
      <w:r>
        <w:rPr>
          <w:spacing w:val="-2"/>
        </w:rPr>
        <w:t>.</w:t>
      </w:r>
    </w:p>
    <w:p w:rsidR="003804AC" w:rsidRDefault="00AF18A5" w:rsidP="00010241">
      <w:r>
        <w:t xml:space="preserve">Al interior de las FARC-EP, algunos grupos se especializaron y se dedicaron a la producción e intermediación de la cocaína para recabar dinero, tal fue el caso de los alias Negro Acacio o John 40, según le relató a la Comisión un </w:t>
      </w:r>
      <w:proofErr w:type="spellStart"/>
      <w:r>
        <w:t>exfinanciero</w:t>
      </w:r>
      <w:proofErr w:type="spellEnd"/>
      <w:r>
        <w:t xml:space="preserve"> del Bloque </w:t>
      </w:r>
      <w:r>
        <w:rPr>
          <w:spacing w:val="-2"/>
        </w:rPr>
        <w:t>Oriental</w:t>
      </w:r>
      <w:r w:rsidR="00010241">
        <w:rPr>
          <w:rStyle w:val="Refdenotaalpie"/>
          <w:spacing w:val="-2"/>
        </w:rPr>
        <w:footnoteReference w:id="639"/>
      </w:r>
      <w:r>
        <w:rPr>
          <w:spacing w:val="-2"/>
        </w:rPr>
        <w:t>.</w:t>
      </w:r>
    </w:p>
    <w:p w:rsidR="003804AC" w:rsidRDefault="00AF18A5" w:rsidP="005F5CA8">
      <w:r>
        <w:t>A partir de la Octava Conferencia de las FARC-EP (1993), la guerrilla comenzó a encargarse</w:t>
      </w:r>
      <w:r>
        <w:rPr>
          <w:spacing w:val="-6"/>
        </w:rPr>
        <w:t xml:space="preserve"> </w:t>
      </w:r>
      <w:r>
        <w:t>del</w:t>
      </w:r>
      <w:r>
        <w:rPr>
          <w:spacing w:val="-5"/>
        </w:rPr>
        <w:t xml:space="preserve"> </w:t>
      </w:r>
      <w:r>
        <w:t>funcionamiento</w:t>
      </w:r>
      <w:r>
        <w:rPr>
          <w:spacing w:val="-6"/>
        </w:rPr>
        <w:t xml:space="preserve"> </w:t>
      </w:r>
      <w:r>
        <w:t>del</w:t>
      </w:r>
      <w:r>
        <w:rPr>
          <w:spacing w:val="-7"/>
        </w:rPr>
        <w:t xml:space="preserve"> </w:t>
      </w:r>
      <w:r>
        <w:t>mercado</w:t>
      </w:r>
      <w:r>
        <w:rPr>
          <w:spacing w:val="-6"/>
        </w:rPr>
        <w:t xml:space="preserve"> </w:t>
      </w:r>
      <w:r>
        <w:t>de</w:t>
      </w:r>
      <w:r>
        <w:rPr>
          <w:spacing w:val="-7"/>
        </w:rPr>
        <w:t xml:space="preserve"> </w:t>
      </w:r>
      <w:r>
        <w:t>la</w:t>
      </w:r>
      <w:r>
        <w:rPr>
          <w:spacing w:val="-6"/>
        </w:rPr>
        <w:t xml:space="preserve"> </w:t>
      </w:r>
      <w:r>
        <w:t>coca,</w:t>
      </w:r>
      <w:r>
        <w:rPr>
          <w:spacing w:val="-6"/>
        </w:rPr>
        <w:t xml:space="preserve"> </w:t>
      </w:r>
      <w:r>
        <w:t>lo</w:t>
      </w:r>
      <w:r>
        <w:rPr>
          <w:spacing w:val="-7"/>
        </w:rPr>
        <w:t xml:space="preserve"> </w:t>
      </w:r>
      <w:r>
        <w:t>cual</w:t>
      </w:r>
      <w:r>
        <w:rPr>
          <w:spacing w:val="-5"/>
        </w:rPr>
        <w:t xml:space="preserve"> </w:t>
      </w:r>
      <w:r>
        <w:t>implicó</w:t>
      </w:r>
      <w:r>
        <w:rPr>
          <w:spacing w:val="-7"/>
        </w:rPr>
        <w:t xml:space="preserve"> </w:t>
      </w:r>
      <w:r>
        <w:t>el</w:t>
      </w:r>
      <w:r>
        <w:rPr>
          <w:spacing w:val="-5"/>
        </w:rPr>
        <w:t xml:space="preserve"> </w:t>
      </w:r>
      <w:r>
        <w:t>control</w:t>
      </w:r>
      <w:r>
        <w:rPr>
          <w:spacing w:val="-7"/>
        </w:rPr>
        <w:t xml:space="preserve"> </w:t>
      </w:r>
      <w:r>
        <w:t>del</w:t>
      </w:r>
      <w:r>
        <w:rPr>
          <w:spacing w:val="-5"/>
        </w:rPr>
        <w:t xml:space="preserve"> </w:t>
      </w:r>
      <w:r>
        <w:t>cultivo, la producción y la comercialización, lo que llevó a la insurgencia a tratar de controlar la violencia que se ejercía</w:t>
      </w:r>
      <w:r>
        <w:rPr>
          <w:spacing w:val="-1"/>
        </w:rPr>
        <w:t xml:space="preserve"> </w:t>
      </w:r>
      <w:r>
        <w:t>por parte de</w:t>
      </w:r>
      <w:r>
        <w:rPr>
          <w:spacing w:val="-1"/>
        </w:rPr>
        <w:t xml:space="preserve"> </w:t>
      </w:r>
      <w:r>
        <w:t>los narcotraficantes, pero</w:t>
      </w:r>
      <w:r>
        <w:rPr>
          <w:spacing w:val="-1"/>
        </w:rPr>
        <w:t xml:space="preserve"> </w:t>
      </w:r>
      <w:r>
        <w:t>también a imponerse</w:t>
      </w:r>
      <w:r>
        <w:rPr>
          <w:spacing w:val="-1"/>
        </w:rPr>
        <w:t xml:space="preserve"> </w:t>
      </w:r>
      <w:r>
        <w:t>en</w:t>
      </w:r>
      <w:r>
        <w:rPr>
          <w:spacing w:val="-1"/>
        </w:rPr>
        <w:t xml:space="preserve"> </w:t>
      </w:r>
      <w:r>
        <w:t>estas funciones</w:t>
      </w:r>
      <w:r>
        <w:rPr>
          <w:spacing w:val="-2"/>
        </w:rPr>
        <w:t xml:space="preserve"> </w:t>
      </w:r>
      <w:r>
        <w:t>de</w:t>
      </w:r>
      <w:r>
        <w:rPr>
          <w:spacing w:val="-2"/>
        </w:rPr>
        <w:t xml:space="preserve"> </w:t>
      </w:r>
      <w:r>
        <w:t>regulación</w:t>
      </w:r>
      <w:r>
        <w:rPr>
          <w:spacing w:val="-2"/>
        </w:rPr>
        <w:t xml:space="preserve"> </w:t>
      </w:r>
      <w:r>
        <w:t>de</w:t>
      </w:r>
      <w:r>
        <w:rPr>
          <w:spacing w:val="-1"/>
        </w:rPr>
        <w:t xml:space="preserve"> </w:t>
      </w:r>
      <w:r>
        <w:t>la</w:t>
      </w:r>
      <w:r>
        <w:rPr>
          <w:spacing w:val="-1"/>
        </w:rPr>
        <w:t xml:space="preserve"> </w:t>
      </w:r>
      <w:r>
        <w:t>cadena</w:t>
      </w:r>
      <w:r>
        <w:rPr>
          <w:spacing w:val="-2"/>
        </w:rPr>
        <w:t xml:space="preserve"> </w:t>
      </w:r>
      <w:r>
        <w:t>de</w:t>
      </w:r>
      <w:r>
        <w:rPr>
          <w:spacing w:val="-1"/>
        </w:rPr>
        <w:t xml:space="preserve"> </w:t>
      </w:r>
      <w:r>
        <w:t>producción</w:t>
      </w:r>
      <w:r>
        <w:rPr>
          <w:spacing w:val="-1"/>
        </w:rPr>
        <w:t xml:space="preserve"> </w:t>
      </w:r>
      <w:r>
        <w:t>y</w:t>
      </w:r>
      <w:r>
        <w:rPr>
          <w:spacing w:val="-1"/>
        </w:rPr>
        <w:t xml:space="preserve"> </w:t>
      </w:r>
      <w:r>
        <w:t>comercialización</w:t>
      </w:r>
      <w:r>
        <w:rPr>
          <w:spacing w:val="-1"/>
        </w:rPr>
        <w:t xml:space="preserve"> </w:t>
      </w:r>
      <w:r>
        <w:t>y</w:t>
      </w:r>
      <w:r>
        <w:rPr>
          <w:spacing w:val="-2"/>
        </w:rPr>
        <w:t xml:space="preserve"> </w:t>
      </w:r>
      <w:r>
        <w:t>a</w:t>
      </w:r>
      <w:r>
        <w:rPr>
          <w:spacing w:val="-1"/>
        </w:rPr>
        <w:t xml:space="preserve"> </w:t>
      </w:r>
      <w:r>
        <w:t>ejercer</w:t>
      </w:r>
      <w:r>
        <w:rPr>
          <w:spacing w:val="-2"/>
        </w:rPr>
        <w:t xml:space="preserve"> </w:t>
      </w:r>
      <w:r>
        <w:t>las</w:t>
      </w:r>
      <w:r>
        <w:rPr>
          <w:spacing w:val="-2"/>
        </w:rPr>
        <w:t xml:space="preserve"> </w:t>
      </w:r>
      <w:r>
        <w:t xml:space="preserve">suyas propias. Sin embargo, la situación en los años ochenta, antes de este involucramiento, era </w:t>
      </w:r>
      <w:r>
        <w:rPr>
          <w:spacing w:val="-2"/>
        </w:rPr>
        <w:t>otra:</w:t>
      </w:r>
    </w:p>
    <w:p w:rsidR="003804AC" w:rsidRDefault="00AF18A5" w:rsidP="005F5CA8">
      <w:r>
        <w:t>«Había</w:t>
      </w:r>
      <w:r>
        <w:rPr>
          <w:spacing w:val="-1"/>
        </w:rPr>
        <w:t xml:space="preserve"> </w:t>
      </w:r>
      <w:r>
        <w:t>mucha</w:t>
      </w:r>
      <w:r>
        <w:rPr>
          <w:spacing w:val="-1"/>
        </w:rPr>
        <w:t xml:space="preserve"> </w:t>
      </w:r>
      <w:r>
        <w:t>matazón</w:t>
      </w:r>
      <w:r>
        <w:rPr>
          <w:spacing w:val="-4"/>
        </w:rPr>
        <w:t xml:space="preserve"> </w:t>
      </w:r>
      <w:r>
        <w:t>de</w:t>
      </w:r>
      <w:r>
        <w:rPr>
          <w:spacing w:val="-1"/>
        </w:rPr>
        <w:t xml:space="preserve"> </w:t>
      </w:r>
      <w:r>
        <w:t>gente,</w:t>
      </w:r>
      <w:r>
        <w:rPr>
          <w:spacing w:val="-1"/>
        </w:rPr>
        <w:t xml:space="preserve"> </w:t>
      </w:r>
      <w:r>
        <w:t>o</w:t>
      </w:r>
      <w:r>
        <w:rPr>
          <w:spacing w:val="-2"/>
        </w:rPr>
        <w:t xml:space="preserve"> </w:t>
      </w:r>
      <w:r>
        <w:t>sea,</w:t>
      </w:r>
      <w:r>
        <w:rPr>
          <w:spacing w:val="-1"/>
        </w:rPr>
        <w:t xml:space="preserve"> </w:t>
      </w:r>
      <w:r>
        <w:t>Los</w:t>
      </w:r>
      <w:r>
        <w:rPr>
          <w:spacing w:val="-1"/>
        </w:rPr>
        <w:t xml:space="preserve"> </w:t>
      </w:r>
      <w:r>
        <w:t>Pájaros</w:t>
      </w:r>
      <w:r>
        <w:rPr>
          <w:spacing w:val="-1"/>
        </w:rPr>
        <w:t xml:space="preserve"> </w:t>
      </w:r>
      <w:r>
        <w:t>mataban</w:t>
      </w:r>
      <w:r>
        <w:rPr>
          <w:spacing w:val="-2"/>
        </w:rPr>
        <w:t xml:space="preserve"> </w:t>
      </w:r>
      <w:r>
        <w:t>a</w:t>
      </w:r>
      <w:r>
        <w:rPr>
          <w:spacing w:val="-2"/>
        </w:rPr>
        <w:t xml:space="preserve"> </w:t>
      </w:r>
      <w:r>
        <w:t>los</w:t>
      </w:r>
      <w:r>
        <w:rPr>
          <w:spacing w:val="-2"/>
        </w:rPr>
        <w:t xml:space="preserve"> </w:t>
      </w:r>
      <w:r>
        <w:t>trabajadores,</w:t>
      </w:r>
      <w:r>
        <w:rPr>
          <w:spacing w:val="-2"/>
        </w:rPr>
        <w:t xml:space="preserve"> </w:t>
      </w:r>
      <w:r>
        <w:t>mataban mucha</w:t>
      </w:r>
      <w:r>
        <w:rPr>
          <w:spacing w:val="-15"/>
        </w:rPr>
        <w:t xml:space="preserve"> </w:t>
      </w:r>
      <w:r>
        <w:t>gente</w:t>
      </w:r>
      <w:r>
        <w:rPr>
          <w:spacing w:val="-15"/>
        </w:rPr>
        <w:t xml:space="preserve"> </w:t>
      </w:r>
      <w:r>
        <w:t>por</w:t>
      </w:r>
      <w:r>
        <w:rPr>
          <w:spacing w:val="-15"/>
        </w:rPr>
        <w:t xml:space="preserve"> </w:t>
      </w:r>
      <w:r>
        <w:t>orden</w:t>
      </w:r>
      <w:r>
        <w:rPr>
          <w:spacing w:val="-15"/>
        </w:rPr>
        <w:t xml:space="preserve"> </w:t>
      </w:r>
      <w:r>
        <w:t>de</w:t>
      </w:r>
      <w:r>
        <w:rPr>
          <w:spacing w:val="-15"/>
        </w:rPr>
        <w:t xml:space="preserve"> </w:t>
      </w:r>
      <w:r>
        <w:t>los</w:t>
      </w:r>
      <w:r>
        <w:rPr>
          <w:spacing w:val="-15"/>
        </w:rPr>
        <w:t xml:space="preserve"> </w:t>
      </w:r>
      <w:r>
        <w:t>patrones,</w:t>
      </w:r>
      <w:r>
        <w:rPr>
          <w:spacing w:val="-15"/>
        </w:rPr>
        <w:t xml:space="preserve"> </w:t>
      </w:r>
      <w:r>
        <w:t>porque</w:t>
      </w:r>
      <w:r>
        <w:rPr>
          <w:spacing w:val="-15"/>
        </w:rPr>
        <w:t xml:space="preserve"> </w:t>
      </w:r>
      <w:r>
        <w:lastRenderedPageBreak/>
        <w:t>no</w:t>
      </w:r>
      <w:r>
        <w:rPr>
          <w:spacing w:val="-15"/>
        </w:rPr>
        <w:t xml:space="preserve"> </w:t>
      </w:r>
      <w:r>
        <w:t>le</w:t>
      </w:r>
      <w:r>
        <w:rPr>
          <w:spacing w:val="-15"/>
        </w:rPr>
        <w:t xml:space="preserve"> </w:t>
      </w:r>
      <w:r>
        <w:t>pagaban</w:t>
      </w:r>
      <w:r>
        <w:rPr>
          <w:spacing w:val="-15"/>
        </w:rPr>
        <w:t xml:space="preserve"> </w:t>
      </w:r>
      <w:r>
        <w:t>a</w:t>
      </w:r>
      <w:r>
        <w:rPr>
          <w:spacing w:val="-15"/>
        </w:rPr>
        <w:t xml:space="preserve"> </w:t>
      </w:r>
      <w:r>
        <w:t>uno</w:t>
      </w:r>
      <w:r>
        <w:rPr>
          <w:spacing w:val="-15"/>
        </w:rPr>
        <w:t xml:space="preserve"> </w:t>
      </w:r>
      <w:r>
        <w:t>y</w:t>
      </w:r>
      <w:r>
        <w:rPr>
          <w:spacing w:val="-15"/>
        </w:rPr>
        <w:t xml:space="preserve"> </w:t>
      </w:r>
      <w:r>
        <w:t>si</w:t>
      </w:r>
      <w:r>
        <w:rPr>
          <w:spacing w:val="-15"/>
        </w:rPr>
        <w:t xml:space="preserve"> </w:t>
      </w:r>
      <w:r>
        <w:t>le</w:t>
      </w:r>
      <w:r>
        <w:rPr>
          <w:spacing w:val="-15"/>
        </w:rPr>
        <w:t xml:space="preserve"> </w:t>
      </w:r>
      <w:r>
        <w:t>pagaban</w:t>
      </w:r>
      <w:r>
        <w:rPr>
          <w:spacing w:val="-15"/>
        </w:rPr>
        <w:t xml:space="preserve"> </w:t>
      </w:r>
      <w:r>
        <w:t>lo</w:t>
      </w:r>
      <w:r>
        <w:rPr>
          <w:spacing w:val="-15"/>
        </w:rPr>
        <w:t xml:space="preserve"> </w:t>
      </w:r>
      <w:r>
        <w:t xml:space="preserve">pelaban. Pero entonces, ya entrando la guerrilla, eso se compuso. Ya no </w:t>
      </w:r>
      <w:proofErr w:type="gramStart"/>
      <w:r>
        <w:t>hubieron</w:t>
      </w:r>
      <w:proofErr w:type="gramEnd"/>
      <w:r>
        <w:t xml:space="preserve"> más muertes, desarmaron a todo el mundo, nadie cargaba un arma, todo el mundo era desarmado»</w:t>
      </w:r>
      <w:r w:rsidR="005F5CA8">
        <w:rPr>
          <w:rStyle w:val="Refdenotaalpie"/>
        </w:rPr>
        <w:footnoteReference w:id="640"/>
      </w:r>
      <w:r>
        <w:t>.</w:t>
      </w:r>
    </w:p>
    <w:p w:rsidR="003804AC" w:rsidRDefault="00AF18A5" w:rsidP="005F5CA8">
      <w:r>
        <w:t>La influencia del narcotráfico en la guerrilla trajo consecuencias evidentes en el cambio de la relación con las comunidades y</w:t>
      </w:r>
      <w:r>
        <w:rPr>
          <w:spacing w:val="-1"/>
        </w:rPr>
        <w:t xml:space="preserve"> </w:t>
      </w:r>
      <w:r>
        <w:t>los campesinos cocaleros. Aumentó</w:t>
      </w:r>
      <w:r>
        <w:rPr>
          <w:spacing w:val="-1"/>
        </w:rPr>
        <w:t xml:space="preserve"> </w:t>
      </w:r>
      <w:r>
        <w:t>el control social y los conflictos con la producción o el dinero derivaron en una mayor violencia contra campesinos o comunidades que no permitían imposiciones o rechazaban dicho control. La búsqueda</w:t>
      </w:r>
      <w:r>
        <w:rPr>
          <w:spacing w:val="-7"/>
        </w:rPr>
        <w:t xml:space="preserve"> </w:t>
      </w:r>
      <w:r>
        <w:t>de</w:t>
      </w:r>
      <w:r>
        <w:rPr>
          <w:spacing w:val="-8"/>
        </w:rPr>
        <w:t xml:space="preserve"> </w:t>
      </w:r>
      <w:r>
        <w:t>recursos</w:t>
      </w:r>
      <w:r>
        <w:rPr>
          <w:spacing w:val="-7"/>
        </w:rPr>
        <w:t xml:space="preserve"> </w:t>
      </w:r>
      <w:r>
        <w:t>a</w:t>
      </w:r>
      <w:r>
        <w:rPr>
          <w:spacing w:val="-7"/>
        </w:rPr>
        <w:t xml:space="preserve"> </w:t>
      </w:r>
      <w:r>
        <w:t>cualquier</w:t>
      </w:r>
      <w:r>
        <w:rPr>
          <w:spacing w:val="-7"/>
        </w:rPr>
        <w:t xml:space="preserve"> </w:t>
      </w:r>
      <w:r>
        <w:t>precio,</w:t>
      </w:r>
      <w:r>
        <w:rPr>
          <w:spacing w:val="-7"/>
        </w:rPr>
        <w:t xml:space="preserve"> </w:t>
      </w:r>
      <w:r>
        <w:t>incluido</w:t>
      </w:r>
      <w:r>
        <w:rPr>
          <w:spacing w:val="-8"/>
        </w:rPr>
        <w:t xml:space="preserve"> </w:t>
      </w:r>
      <w:r>
        <w:t>el</w:t>
      </w:r>
      <w:r>
        <w:rPr>
          <w:spacing w:val="-7"/>
        </w:rPr>
        <w:t xml:space="preserve"> </w:t>
      </w:r>
      <w:r>
        <w:t>secuestro,</w:t>
      </w:r>
      <w:r>
        <w:rPr>
          <w:spacing w:val="-7"/>
        </w:rPr>
        <w:t xml:space="preserve"> </w:t>
      </w:r>
      <w:r>
        <w:t>causó</w:t>
      </w:r>
      <w:r>
        <w:rPr>
          <w:spacing w:val="-7"/>
        </w:rPr>
        <w:t xml:space="preserve"> </w:t>
      </w:r>
      <w:r>
        <w:t>un</w:t>
      </w:r>
      <w:r>
        <w:rPr>
          <w:spacing w:val="-7"/>
        </w:rPr>
        <w:t xml:space="preserve"> </w:t>
      </w:r>
      <w:r>
        <w:t>nuevo</w:t>
      </w:r>
      <w:r>
        <w:rPr>
          <w:spacing w:val="-7"/>
        </w:rPr>
        <w:t xml:space="preserve"> </w:t>
      </w:r>
      <w:r>
        <w:t>impacto</w:t>
      </w:r>
      <w:r>
        <w:rPr>
          <w:spacing w:val="-7"/>
        </w:rPr>
        <w:t xml:space="preserve"> </w:t>
      </w:r>
      <w:r>
        <w:t>en</w:t>
      </w:r>
      <w:r>
        <w:rPr>
          <w:spacing w:val="-7"/>
        </w:rPr>
        <w:t xml:space="preserve"> </w:t>
      </w:r>
      <w:r>
        <w:t xml:space="preserve">la </w:t>
      </w:r>
      <w:r>
        <w:rPr>
          <w:spacing w:val="-2"/>
        </w:rPr>
        <w:t>población.</w:t>
      </w:r>
    </w:p>
    <w:p w:rsidR="003804AC" w:rsidRDefault="00AF18A5" w:rsidP="005F5CA8">
      <w:r>
        <w:t>Un excombatiente de las FARC-EP que durante la guerra hizo parte del Bloque Oriental relató</w:t>
      </w:r>
      <w:r>
        <w:rPr>
          <w:spacing w:val="-16"/>
        </w:rPr>
        <w:t xml:space="preserve"> </w:t>
      </w:r>
      <w:r>
        <w:t>que,</w:t>
      </w:r>
      <w:r>
        <w:rPr>
          <w:spacing w:val="-15"/>
        </w:rPr>
        <w:t xml:space="preserve"> </w:t>
      </w:r>
      <w:r>
        <w:t>con</w:t>
      </w:r>
      <w:r>
        <w:rPr>
          <w:spacing w:val="-13"/>
        </w:rPr>
        <w:t xml:space="preserve"> </w:t>
      </w:r>
      <w:r>
        <w:t>la</w:t>
      </w:r>
      <w:r>
        <w:rPr>
          <w:spacing w:val="-14"/>
        </w:rPr>
        <w:t xml:space="preserve"> </w:t>
      </w:r>
      <w:r>
        <w:t>avanzada</w:t>
      </w:r>
      <w:r>
        <w:rPr>
          <w:spacing w:val="-13"/>
        </w:rPr>
        <w:t xml:space="preserve"> </w:t>
      </w:r>
      <w:r>
        <w:t>paramilitar</w:t>
      </w:r>
      <w:r>
        <w:rPr>
          <w:spacing w:val="-13"/>
        </w:rPr>
        <w:t xml:space="preserve"> </w:t>
      </w:r>
      <w:r>
        <w:t>a</w:t>
      </w:r>
      <w:r>
        <w:rPr>
          <w:spacing w:val="-14"/>
        </w:rPr>
        <w:t xml:space="preserve"> </w:t>
      </w:r>
      <w:r>
        <w:t>finales</w:t>
      </w:r>
      <w:r>
        <w:rPr>
          <w:spacing w:val="-14"/>
        </w:rPr>
        <w:t xml:space="preserve"> </w:t>
      </w:r>
      <w:r>
        <w:t>de</w:t>
      </w:r>
      <w:r>
        <w:rPr>
          <w:spacing w:val="-14"/>
        </w:rPr>
        <w:t xml:space="preserve"> </w:t>
      </w:r>
      <w:r>
        <w:t>los</w:t>
      </w:r>
      <w:r>
        <w:rPr>
          <w:spacing w:val="-13"/>
        </w:rPr>
        <w:t xml:space="preserve"> </w:t>
      </w:r>
      <w:r>
        <w:t>noventa,</w:t>
      </w:r>
      <w:r>
        <w:rPr>
          <w:spacing w:val="-13"/>
        </w:rPr>
        <w:t xml:space="preserve"> </w:t>
      </w:r>
      <w:r>
        <w:t>el</w:t>
      </w:r>
      <w:r>
        <w:rPr>
          <w:spacing w:val="-14"/>
        </w:rPr>
        <w:t xml:space="preserve"> </w:t>
      </w:r>
      <w:r>
        <w:t>control</w:t>
      </w:r>
      <w:r>
        <w:rPr>
          <w:spacing w:val="-14"/>
        </w:rPr>
        <w:t xml:space="preserve"> </w:t>
      </w:r>
      <w:r>
        <w:t>de</w:t>
      </w:r>
      <w:r>
        <w:rPr>
          <w:spacing w:val="-13"/>
        </w:rPr>
        <w:t xml:space="preserve"> </w:t>
      </w:r>
      <w:r>
        <w:t>la</w:t>
      </w:r>
      <w:r>
        <w:rPr>
          <w:spacing w:val="-14"/>
        </w:rPr>
        <w:t xml:space="preserve"> </w:t>
      </w:r>
      <w:r>
        <w:t>guerrilla</w:t>
      </w:r>
      <w:r>
        <w:rPr>
          <w:spacing w:val="-13"/>
        </w:rPr>
        <w:t xml:space="preserve"> </w:t>
      </w:r>
      <w:r>
        <w:rPr>
          <w:spacing w:val="-2"/>
        </w:rPr>
        <w:t>sobre</w:t>
      </w:r>
      <w:bookmarkStart w:id="812" w:name="_bookmark703"/>
      <w:bookmarkStart w:id="813" w:name="_bookmark704"/>
      <w:bookmarkStart w:id="814" w:name="_bookmark705"/>
      <w:bookmarkEnd w:id="812"/>
      <w:bookmarkEnd w:id="813"/>
      <w:bookmarkEnd w:id="814"/>
      <w:r w:rsidR="005F5CA8">
        <w:t xml:space="preserve"> </w:t>
      </w:r>
      <w:r>
        <w:t>compradores y personas que entraban a trabajar como «</w:t>
      </w:r>
      <w:proofErr w:type="spellStart"/>
      <w:r>
        <w:t>raspachines</w:t>
      </w:r>
      <w:proofErr w:type="spellEnd"/>
      <w:r>
        <w:t>» a estos territorios se volvió</w:t>
      </w:r>
      <w:r>
        <w:rPr>
          <w:spacing w:val="-3"/>
        </w:rPr>
        <w:t xml:space="preserve"> </w:t>
      </w:r>
      <w:r>
        <w:t>más</w:t>
      </w:r>
      <w:r>
        <w:rPr>
          <w:spacing w:val="-3"/>
        </w:rPr>
        <w:t xml:space="preserve"> </w:t>
      </w:r>
      <w:r>
        <w:t>riguroso,</w:t>
      </w:r>
      <w:r>
        <w:rPr>
          <w:spacing w:val="-3"/>
        </w:rPr>
        <w:t xml:space="preserve"> </w:t>
      </w:r>
      <w:r>
        <w:t>ya</w:t>
      </w:r>
      <w:r>
        <w:rPr>
          <w:spacing w:val="-4"/>
        </w:rPr>
        <w:t xml:space="preserve"> </w:t>
      </w:r>
      <w:r>
        <w:t>que,</w:t>
      </w:r>
      <w:r>
        <w:rPr>
          <w:spacing w:val="-3"/>
        </w:rPr>
        <w:t xml:space="preserve"> </w:t>
      </w:r>
      <w:r>
        <w:t>según</w:t>
      </w:r>
      <w:r>
        <w:rPr>
          <w:spacing w:val="-3"/>
        </w:rPr>
        <w:t xml:space="preserve"> </w:t>
      </w:r>
      <w:r>
        <w:t>su</w:t>
      </w:r>
      <w:r>
        <w:rPr>
          <w:spacing w:val="-3"/>
        </w:rPr>
        <w:t xml:space="preserve"> </w:t>
      </w:r>
      <w:r>
        <w:t>versión,</w:t>
      </w:r>
      <w:r>
        <w:rPr>
          <w:spacing w:val="-3"/>
        </w:rPr>
        <w:t xml:space="preserve"> </w:t>
      </w:r>
      <w:r>
        <w:t>“varios</w:t>
      </w:r>
      <w:r>
        <w:rPr>
          <w:spacing w:val="-3"/>
        </w:rPr>
        <w:t xml:space="preserve"> </w:t>
      </w:r>
      <w:r>
        <w:t>de</w:t>
      </w:r>
      <w:r>
        <w:rPr>
          <w:spacing w:val="-4"/>
        </w:rPr>
        <w:t xml:space="preserve"> </w:t>
      </w:r>
      <w:r>
        <w:t>ellos</w:t>
      </w:r>
      <w:r>
        <w:rPr>
          <w:spacing w:val="-3"/>
        </w:rPr>
        <w:t xml:space="preserve"> </w:t>
      </w:r>
      <w:r>
        <w:t>eran</w:t>
      </w:r>
      <w:r>
        <w:rPr>
          <w:spacing w:val="-3"/>
        </w:rPr>
        <w:t xml:space="preserve"> </w:t>
      </w:r>
      <w:r>
        <w:t>paramilitares</w:t>
      </w:r>
      <w:r>
        <w:rPr>
          <w:spacing w:val="-4"/>
        </w:rPr>
        <w:t xml:space="preserve"> </w:t>
      </w:r>
      <w:r>
        <w:t>infiltrados que recogían la información para cometer masacres y otras victimizaciones contra las comunidades”</w:t>
      </w:r>
      <w:r w:rsidR="005F5CA8">
        <w:rPr>
          <w:rStyle w:val="Refdenotaalpie"/>
        </w:rPr>
        <w:footnoteReference w:id="641"/>
      </w:r>
      <w:r>
        <w:t>. Así ocurrió en la masacre de La Gabarra, Norte de Santander, en 2004, contra</w:t>
      </w:r>
      <w:r>
        <w:rPr>
          <w:spacing w:val="-15"/>
        </w:rPr>
        <w:t xml:space="preserve"> </w:t>
      </w:r>
      <w:r>
        <w:t>un</w:t>
      </w:r>
      <w:r>
        <w:rPr>
          <w:spacing w:val="-14"/>
        </w:rPr>
        <w:t xml:space="preserve"> </w:t>
      </w:r>
      <w:r>
        <w:t>grupo</w:t>
      </w:r>
      <w:r>
        <w:rPr>
          <w:spacing w:val="-14"/>
        </w:rPr>
        <w:t xml:space="preserve"> </w:t>
      </w:r>
      <w:r>
        <w:t>de</w:t>
      </w:r>
      <w:r>
        <w:rPr>
          <w:spacing w:val="-14"/>
        </w:rPr>
        <w:t xml:space="preserve"> </w:t>
      </w:r>
      <w:proofErr w:type="spellStart"/>
      <w:r>
        <w:t>raspachines</w:t>
      </w:r>
      <w:proofErr w:type="spellEnd"/>
      <w:r>
        <w:rPr>
          <w:spacing w:val="-14"/>
        </w:rPr>
        <w:t xml:space="preserve"> </w:t>
      </w:r>
      <w:r>
        <w:t>o</w:t>
      </w:r>
      <w:r>
        <w:rPr>
          <w:spacing w:val="-15"/>
        </w:rPr>
        <w:t xml:space="preserve"> </w:t>
      </w:r>
      <w:r>
        <w:t>cosechadores</w:t>
      </w:r>
      <w:r>
        <w:rPr>
          <w:spacing w:val="-14"/>
        </w:rPr>
        <w:t xml:space="preserve"> </w:t>
      </w:r>
      <w:r>
        <w:t>de</w:t>
      </w:r>
      <w:r>
        <w:rPr>
          <w:spacing w:val="-14"/>
        </w:rPr>
        <w:t xml:space="preserve"> </w:t>
      </w:r>
      <w:r>
        <w:t>hoja</w:t>
      </w:r>
      <w:r>
        <w:rPr>
          <w:spacing w:val="-15"/>
        </w:rPr>
        <w:t xml:space="preserve"> </w:t>
      </w:r>
      <w:r>
        <w:t>de</w:t>
      </w:r>
      <w:r>
        <w:rPr>
          <w:spacing w:val="-14"/>
        </w:rPr>
        <w:t xml:space="preserve"> </w:t>
      </w:r>
      <w:r>
        <w:t>coca,</w:t>
      </w:r>
      <w:r>
        <w:rPr>
          <w:spacing w:val="-14"/>
        </w:rPr>
        <w:t xml:space="preserve"> </w:t>
      </w:r>
      <w:r>
        <w:t>llevada</w:t>
      </w:r>
      <w:r>
        <w:rPr>
          <w:spacing w:val="-15"/>
        </w:rPr>
        <w:t xml:space="preserve"> </w:t>
      </w:r>
      <w:r>
        <w:t>a</w:t>
      </w:r>
      <w:r>
        <w:rPr>
          <w:spacing w:val="-14"/>
        </w:rPr>
        <w:t xml:space="preserve"> </w:t>
      </w:r>
      <w:r>
        <w:t>cabo</w:t>
      </w:r>
      <w:r>
        <w:rPr>
          <w:spacing w:val="-14"/>
        </w:rPr>
        <w:t xml:space="preserve"> </w:t>
      </w:r>
      <w:r>
        <w:t>por</w:t>
      </w:r>
      <w:r>
        <w:rPr>
          <w:spacing w:val="-15"/>
        </w:rPr>
        <w:t xml:space="preserve"> </w:t>
      </w:r>
      <w:r>
        <w:t>las</w:t>
      </w:r>
      <w:r>
        <w:rPr>
          <w:spacing w:val="-14"/>
        </w:rPr>
        <w:t xml:space="preserve"> </w:t>
      </w:r>
      <w:r>
        <w:t>FARC- EP en la que fueron asesinadas con crueldad 34 personas, después de que este territorio ya había padecido otra masacre perpetrada por los paramilitares en 1999. Un caso sobre el que la</w:t>
      </w:r>
      <w:r>
        <w:rPr>
          <w:spacing w:val="-1"/>
        </w:rPr>
        <w:t xml:space="preserve"> </w:t>
      </w:r>
      <w:r>
        <w:t>Comisión</w:t>
      </w:r>
      <w:r>
        <w:rPr>
          <w:spacing w:val="-2"/>
        </w:rPr>
        <w:t xml:space="preserve"> </w:t>
      </w:r>
      <w:r>
        <w:t>llevó</w:t>
      </w:r>
      <w:r>
        <w:rPr>
          <w:spacing w:val="-2"/>
        </w:rPr>
        <w:t xml:space="preserve"> </w:t>
      </w:r>
      <w:r>
        <w:t>a</w:t>
      </w:r>
      <w:r>
        <w:rPr>
          <w:spacing w:val="-1"/>
        </w:rPr>
        <w:t xml:space="preserve"> </w:t>
      </w:r>
      <w:r>
        <w:t>cabo</w:t>
      </w:r>
      <w:r>
        <w:rPr>
          <w:spacing w:val="-2"/>
        </w:rPr>
        <w:t xml:space="preserve"> </w:t>
      </w:r>
      <w:r>
        <w:t>un</w:t>
      </w:r>
      <w:r>
        <w:rPr>
          <w:spacing w:val="-1"/>
        </w:rPr>
        <w:t xml:space="preserve"> </w:t>
      </w:r>
      <w:r>
        <w:t>difícil</w:t>
      </w:r>
      <w:r>
        <w:rPr>
          <w:spacing w:val="-1"/>
        </w:rPr>
        <w:t xml:space="preserve"> </w:t>
      </w:r>
      <w:r>
        <w:t>proceso</w:t>
      </w:r>
      <w:r>
        <w:rPr>
          <w:spacing w:val="-1"/>
        </w:rPr>
        <w:t xml:space="preserve"> </w:t>
      </w:r>
      <w:r>
        <w:t>de</w:t>
      </w:r>
      <w:r>
        <w:rPr>
          <w:spacing w:val="-2"/>
        </w:rPr>
        <w:t xml:space="preserve"> </w:t>
      </w:r>
      <w:r>
        <w:t>reconocimiento,</w:t>
      </w:r>
      <w:r>
        <w:rPr>
          <w:spacing w:val="-1"/>
        </w:rPr>
        <w:t xml:space="preserve"> </w:t>
      </w:r>
      <w:r>
        <w:t>entre</w:t>
      </w:r>
      <w:r>
        <w:rPr>
          <w:spacing w:val="-1"/>
        </w:rPr>
        <w:t xml:space="preserve"> </w:t>
      </w:r>
      <w:r>
        <w:t>los</w:t>
      </w:r>
      <w:r>
        <w:rPr>
          <w:spacing w:val="-2"/>
        </w:rPr>
        <w:t xml:space="preserve"> </w:t>
      </w:r>
      <w:r>
        <w:t>ex</w:t>
      </w:r>
      <w:r>
        <w:rPr>
          <w:spacing w:val="-1"/>
        </w:rPr>
        <w:t xml:space="preserve"> </w:t>
      </w:r>
      <w:r>
        <w:t>miembros</w:t>
      </w:r>
      <w:r>
        <w:rPr>
          <w:spacing w:val="-3"/>
        </w:rPr>
        <w:t xml:space="preserve"> </w:t>
      </w:r>
      <w:r>
        <w:t>de</w:t>
      </w:r>
      <w:r>
        <w:rPr>
          <w:spacing w:val="-1"/>
        </w:rPr>
        <w:t xml:space="preserve"> </w:t>
      </w:r>
      <w:r>
        <w:t>las FARC-EP y las víctimas.</w:t>
      </w:r>
    </w:p>
    <w:p w:rsidR="003804AC" w:rsidRDefault="00AF18A5" w:rsidP="005F5CA8">
      <w:r>
        <w:lastRenderedPageBreak/>
        <w:t>Los cálculos sobre cuánto recaudaron las FARC-EP para su financiación por cuenta del narcotráfico han estado sometidos a diferentes especulaciones y contradicciones, y han dependido</w:t>
      </w:r>
      <w:r>
        <w:rPr>
          <w:spacing w:val="-10"/>
        </w:rPr>
        <w:t xml:space="preserve"> </w:t>
      </w:r>
      <w:r>
        <w:t>más</w:t>
      </w:r>
      <w:r>
        <w:rPr>
          <w:spacing w:val="-9"/>
        </w:rPr>
        <w:t xml:space="preserve"> </w:t>
      </w:r>
      <w:r>
        <w:t>de</w:t>
      </w:r>
      <w:r>
        <w:rPr>
          <w:spacing w:val="-9"/>
        </w:rPr>
        <w:t xml:space="preserve"> </w:t>
      </w:r>
      <w:r>
        <w:t>coyunturas</w:t>
      </w:r>
      <w:r>
        <w:rPr>
          <w:spacing w:val="-9"/>
        </w:rPr>
        <w:t xml:space="preserve"> </w:t>
      </w:r>
      <w:r>
        <w:t>políticas</w:t>
      </w:r>
      <w:r>
        <w:rPr>
          <w:spacing w:val="-9"/>
        </w:rPr>
        <w:t xml:space="preserve"> </w:t>
      </w:r>
      <w:r>
        <w:t>que</w:t>
      </w:r>
      <w:r>
        <w:rPr>
          <w:spacing w:val="-9"/>
        </w:rPr>
        <w:t xml:space="preserve"> </w:t>
      </w:r>
      <w:r>
        <w:t>de</w:t>
      </w:r>
      <w:r>
        <w:rPr>
          <w:spacing w:val="-9"/>
        </w:rPr>
        <w:t xml:space="preserve"> </w:t>
      </w:r>
      <w:r>
        <w:t>estudios</w:t>
      </w:r>
      <w:r>
        <w:rPr>
          <w:spacing w:val="-9"/>
        </w:rPr>
        <w:t xml:space="preserve"> </w:t>
      </w:r>
      <w:r>
        <w:t>rigurosos.</w:t>
      </w:r>
      <w:r>
        <w:rPr>
          <w:spacing w:val="-9"/>
        </w:rPr>
        <w:t xml:space="preserve"> </w:t>
      </w:r>
      <w:r>
        <w:t>En</w:t>
      </w:r>
      <w:r>
        <w:rPr>
          <w:spacing w:val="-9"/>
        </w:rPr>
        <w:t xml:space="preserve"> </w:t>
      </w:r>
      <w:r>
        <w:t>la</w:t>
      </w:r>
      <w:r>
        <w:rPr>
          <w:spacing w:val="-9"/>
        </w:rPr>
        <w:t xml:space="preserve"> </w:t>
      </w:r>
      <w:r>
        <w:t>década</w:t>
      </w:r>
      <w:r>
        <w:rPr>
          <w:spacing w:val="-9"/>
        </w:rPr>
        <w:t xml:space="preserve"> </w:t>
      </w:r>
      <w:r>
        <w:t>de</w:t>
      </w:r>
      <w:r>
        <w:rPr>
          <w:spacing w:val="-9"/>
        </w:rPr>
        <w:t xml:space="preserve"> </w:t>
      </w:r>
      <w:r>
        <w:t>1990,</w:t>
      </w:r>
      <w:r>
        <w:rPr>
          <w:spacing w:val="-9"/>
        </w:rPr>
        <w:t xml:space="preserve"> </w:t>
      </w:r>
      <w:r>
        <w:t>para el</w:t>
      </w:r>
      <w:r>
        <w:rPr>
          <w:spacing w:val="-4"/>
        </w:rPr>
        <w:t xml:space="preserve"> </w:t>
      </w:r>
      <w:r>
        <w:t>financiamiento</w:t>
      </w:r>
      <w:r>
        <w:rPr>
          <w:spacing w:val="-5"/>
        </w:rPr>
        <w:t xml:space="preserve"> </w:t>
      </w:r>
      <w:r>
        <w:t>de</w:t>
      </w:r>
      <w:r>
        <w:rPr>
          <w:spacing w:val="-5"/>
        </w:rPr>
        <w:t xml:space="preserve"> </w:t>
      </w:r>
      <w:r>
        <w:t>los</w:t>
      </w:r>
      <w:r>
        <w:rPr>
          <w:spacing w:val="-6"/>
        </w:rPr>
        <w:t xml:space="preserve"> </w:t>
      </w:r>
      <w:r>
        <w:t>diferentes</w:t>
      </w:r>
      <w:r>
        <w:rPr>
          <w:spacing w:val="-5"/>
        </w:rPr>
        <w:t xml:space="preserve"> </w:t>
      </w:r>
      <w:r>
        <w:t>frentes</w:t>
      </w:r>
      <w:r>
        <w:rPr>
          <w:spacing w:val="-5"/>
        </w:rPr>
        <w:t xml:space="preserve"> </w:t>
      </w:r>
      <w:r>
        <w:t>y</w:t>
      </w:r>
      <w:r>
        <w:rPr>
          <w:spacing w:val="-6"/>
        </w:rPr>
        <w:t xml:space="preserve"> </w:t>
      </w:r>
      <w:r>
        <w:t>la</w:t>
      </w:r>
      <w:r>
        <w:rPr>
          <w:spacing w:val="-6"/>
        </w:rPr>
        <w:t xml:space="preserve"> </w:t>
      </w:r>
      <w:r>
        <w:t>compra</w:t>
      </w:r>
      <w:r>
        <w:rPr>
          <w:spacing w:val="-5"/>
        </w:rPr>
        <w:t xml:space="preserve"> </w:t>
      </w:r>
      <w:r>
        <w:t>de</w:t>
      </w:r>
      <w:r>
        <w:rPr>
          <w:spacing w:val="-5"/>
        </w:rPr>
        <w:t xml:space="preserve"> </w:t>
      </w:r>
      <w:r>
        <w:t>armas,</w:t>
      </w:r>
      <w:r>
        <w:rPr>
          <w:spacing w:val="-5"/>
        </w:rPr>
        <w:t xml:space="preserve"> </w:t>
      </w:r>
      <w:r>
        <w:t>un</w:t>
      </w:r>
      <w:r>
        <w:rPr>
          <w:spacing w:val="-5"/>
        </w:rPr>
        <w:t xml:space="preserve"> </w:t>
      </w:r>
      <w:r>
        <w:t>cable</w:t>
      </w:r>
      <w:r>
        <w:rPr>
          <w:spacing w:val="-7"/>
        </w:rPr>
        <w:t xml:space="preserve"> </w:t>
      </w:r>
      <w:r>
        <w:t>de</w:t>
      </w:r>
      <w:r>
        <w:rPr>
          <w:spacing w:val="-5"/>
        </w:rPr>
        <w:t xml:space="preserve"> </w:t>
      </w:r>
      <w:r>
        <w:t>la</w:t>
      </w:r>
      <w:r>
        <w:rPr>
          <w:spacing w:val="-6"/>
        </w:rPr>
        <w:t xml:space="preserve"> </w:t>
      </w:r>
      <w:r>
        <w:t>Embajada</w:t>
      </w:r>
      <w:r>
        <w:rPr>
          <w:spacing w:val="-5"/>
        </w:rPr>
        <w:t xml:space="preserve"> </w:t>
      </w:r>
      <w:r>
        <w:t>de los Estados Unidos, de septiembre de 1994, señaló las redes que permitieron que esos recursos administrados por personas externas fueran adquiriendo propiedades, carros, negocios</w:t>
      </w:r>
      <w:r>
        <w:rPr>
          <w:spacing w:val="-15"/>
        </w:rPr>
        <w:t xml:space="preserve"> </w:t>
      </w:r>
      <w:r>
        <w:t>y</w:t>
      </w:r>
      <w:r>
        <w:rPr>
          <w:spacing w:val="-15"/>
        </w:rPr>
        <w:t xml:space="preserve"> </w:t>
      </w:r>
      <w:r>
        <w:t>hasta</w:t>
      </w:r>
      <w:r>
        <w:rPr>
          <w:spacing w:val="-15"/>
        </w:rPr>
        <w:t xml:space="preserve"> </w:t>
      </w:r>
      <w:r>
        <w:t>estableciendo</w:t>
      </w:r>
      <w:r>
        <w:rPr>
          <w:spacing w:val="-15"/>
        </w:rPr>
        <w:t xml:space="preserve"> </w:t>
      </w:r>
      <w:r>
        <w:t>cuentas</w:t>
      </w:r>
      <w:r>
        <w:rPr>
          <w:spacing w:val="-15"/>
        </w:rPr>
        <w:t xml:space="preserve"> </w:t>
      </w:r>
      <w:r>
        <w:t>bancarias</w:t>
      </w:r>
      <w:r w:rsidR="005F5CA8">
        <w:rPr>
          <w:rStyle w:val="Refdenotaalpie"/>
        </w:rPr>
        <w:footnoteReference w:id="642"/>
      </w:r>
      <w:r>
        <w:t>.</w:t>
      </w:r>
      <w:r>
        <w:rPr>
          <w:spacing w:val="-15"/>
        </w:rPr>
        <w:t xml:space="preserve"> </w:t>
      </w:r>
      <w:r>
        <w:t>Un</w:t>
      </w:r>
      <w:r>
        <w:rPr>
          <w:spacing w:val="-15"/>
        </w:rPr>
        <w:t xml:space="preserve"> </w:t>
      </w:r>
      <w:r>
        <w:t>estudio</w:t>
      </w:r>
      <w:r>
        <w:rPr>
          <w:spacing w:val="-15"/>
        </w:rPr>
        <w:t xml:space="preserve"> </w:t>
      </w:r>
      <w:r>
        <w:t>de</w:t>
      </w:r>
      <w:r>
        <w:rPr>
          <w:spacing w:val="-15"/>
        </w:rPr>
        <w:t xml:space="preserve"> </w:t>
      </w:r>
      <w:r>
        <w:t>inteligencia</w:t>
      </w:r>
      <w:r>
        <w:rPr>
          <w:spacing w:val="-15"/>
        </w:rPr>
        <w:t xml:space="preserve"> </w:t>
      </w:r>
      <w:r>
        <w:t>de</w:t>
      </w:r>
      <w:r>
        <w:rPr>
          <w:spacing w:val="-15"/>
        </w:rPr>
        <w:t xml:space="preserve"> </w:t>
      </w:r>
      <w:r>
        <w:t>los</w:t>
      </w:r>
      <w:r>
        <w:rPr>
          <w:spacing w:val="-15"/>
        </w:rPr>
        <w:t xml:space="preserve"> </w:t>
      </w:r>
      <w:r>
        <w:t>Estados Unidos de 1996 concluyó que, por la participación de las FARC-EP en el comercio de cocaína, sus ganancias anuales eran de «cientos de millones de dólares». El informe menciona que estas ganancias provenían de los impuestos que las FARC-EP establecieron en sus áreas de control por la protección de laboratorios, pistas y cultivos</w:t>
      </w:r>
      <w:r w:rsidR="005F5CA8">
        <w:rPr>
          <w:rStyle w:val="Refdenotaalpie"/>
        </w:rPr>
        <w:footnoteReference w:id="643"/>
      </w:r>
      <w:r>
        <w:t>.</w:t>
      </w:r>
    </w:p>
    <w:p w:rsidR="003804AC" w:rsidRDefault="00AF18A5" w:rsidP="005F5CA8">
      <w:r>
        <w:t>El</w:t>
      </w:r>
      <w:r>
        <w:rPr>
          <w:spacing w:val="-15"/>
        </w:rPr>
        <w:t xml:space="preserve"> </w:t>
      </w:r>
      <w:r>
        <w:t>Ministerio</w:t>
      </w:r>
      <w:r>
        <w:rPr>
          <w:spacing w:val="-15"/>
        </w:rPr>
        <w:t xml:space="preserve"> </w:t>
      </w:r>
      <w:r>
        <w:t>de</w:t>
      </w:r>
      <w:r>
        <w:rPr>
          <w:spacing w:val="-15"/>
        </w:rPr>
        <w:t xml:space="preserve"> </w:t>
      </w:r>
      <w:r>
        <w:t>Defensa</w:t>
      </w:r>
      <w:r>
        <w:rPr>
          <w:spacing w:val="-14"/>
        </w:rPr>
        <w:t xml:space="preserve"> </w:t>
      </w:r>
      <w:r>
        <w:t>de</w:t>
      </w:r>
      <w:r>
        <w:rPr>
          <w:spacing w:val="-15"/>
        </w:rPr>
        <w:t xml:space="preserve"> </w:t>
      </w:r>
      <w:r>
        <w:t>Colombia,</w:t>
      </w:r>
      <w:r>
        <w:rPr>
          <w:spacing w:val="-15"/>
        </w:rPr>
        <w:t xml:space="preserve"> </w:t>
      </w:r>
      <w:r>
        <w:t>a</w:t>
      </w:r>
      <w:r>
        <w:rPr>
          <w:spacing w:val="-15"/>
        </w:rPr>
        <w:t xml:space="preserve"> </w:t>
      </w:r>
      <w:r>
        <w:t>través</w:t>
      </w:r>
      <w:r>
        <w:rPr>
          <w:spacing w:val="-14"/>
        </w:rPr>
        <w:t xml:space="preserve"> </w:t>
      </w:r>
      <w:r>
        <w:t>del</w:t>
      </w:r>
      <w:r>
        <w:rPr>
          <w:spacing w:val="-15"/>
        </w:rPr>
        <w:t xml:space="preserve"> </w:t>
      </w:r>
      <w:r>
        <w:t>Informe</w:t>
      </w:r>
      <w:r>
        <w:rPr>
          <w:spacing w:val="-15"/>
        </w:rPr>
        <w:t xml:space="preserve"> </w:t>
      </w:r>
      <w:r>
        <w:t>Génesis,</w:t>
      </w:r>
      <w:r>
        <w:rPr>
          <w:spacing w:val="-15"/>
        </w:rPr>
        <w:t xml:space="preserve"> </w:t>
      </w:r>
      <w:r>
        <w:t>señaló</w:t>
      </w:r>
      <w:r>
        <w:rPr>
          <w:spacing w:val="-15"/>
        </w:rPr>
        <w:t xml:space="preserve"> </w:t>
      </w:r>
      <w:r>
        <w:t>que</w:t>
      </w:r>
      <w:r>
        <w:rPr>
          <w:spacing w:val="-14"/>
        </w:rPr>
        <w:t xml:space="preserve"> </w:t>
      </w:r>
      <w:r>
        <w:t>para</w:t>
      </w:r>
      <w:r>
        <w:rPr>
          <w:spacing w:val="-15"/>
        </w:rPr>
        <w:t xml:space="preserve"> </w:t>
      </w:r>
      <w:r>
        <w:t>2003 el 76</w:t>
      </w:r>
      <w:r>
        <w:rPr>
          <w:spacing w:val="-2"/>
        </w:rPr>
        <w:t xml:space="preserve"> </w:t>
      </w:r>
      <w:r>
        <w:t>% de los frentes</w:t>
      </w:r>
      <w:r>
        <w:rPr>
          <w:spacing w:val="-1"/>
        </w:rPr>
        <w:t xml:space="preserve"> </w:t>
      </w:r>
      <w:r>
        <w:t>se</w:t>
      </w:r>
      <w:r>
        <w:rPr>
          <w:spacing w:val="-1"/>
        </w:rPr>
        <w:t xml:space="preserve"> </w:t>
      </w:r>
      <w:r>
        <w:t>dedicaban a</w:t>
      </w:r>
      <w:r>
        <w:rPr>
          <w:spacing w:val="-1"/>
        </w:rPr>
        <w:t xml:space="preserve"> </w:t>
      </w:r>
      <w:r>
        <w:t>actividades</w:t>
      </w:r>
      <w:r>
        <w:rPr>
          <w:spacing w:val="-1"/>
        </w:rPr>
        <w:t xml:space="preserve"> </w:t>
      </w:r>
      <w:r>
        <w:t>de narcotráfico y que obtenían</w:t>
      </w:r>
      <w:r>
        <w:rPr>
          <w:spacing w:val="-1"/>
        </w:rPr>
        <w:t xml:space="preserve"> </w:t>
      </w:r>
      <w:r>
        <w:t>más de 456 mil</w:t>
      </w:r>
      <w:r>
        <w:rPr>
          <w:spacing w:val="-15"/>
        </w:rPr>
        <w:t xml:space="preserve"> </w:t>
      </w:r>
      <w:r>
        <w:t>millones</w:t>
      </w:r>
      <w:r>
        <w:rPr>
          <w:spacing w:val="-13"/>
        </w:rPr>
        <w:t xml:space="preserve"> </w:t>
      </w:r>
      <w:r>
        <w:t>de</w:t>
      </w:r>
      <w:r>
        <w:rPr>
          <w:spacing w:val="-12"/>
        </w:rPr>
        <w:t xml:space="preserve"> </w:t>
      </w:r>
      <w:r>
        <w:t>pesos</w:t>
      </w:r>
      <w:r>
        <w:rPr>
          <w:spacing w:val="-13"/>
        </w:rPr>
        <w:t xml:space="preserve"> </w:t>
      </w:r>
      <w:r>
        <w:t>como</w:t>
      </w:r>
      <w:r>
        <w:rPr>
          <w:spacing w:val="-11"/>
        </w:rPr>
        <w:t xml:space="preserve"> </w:t>
      </w:r>
      <w:r>
        <w:t>producto</w:t>
      </w:r>
      <w:r>
        <w:rPr>
          <w:spacing w:val="-13"/>
        </w:rPr>
        <w:t xml:space="preserve"> </w:t>
      </w:r>
      <w:r>
        <w:t>del</w:t>
      </w:r>
      <w:r>
        <w:rPr>
          <w:spacing w:val="-12"/>
        </w:rPr>
        <w:t xml:space="preserve"> </w:t>
      </w:r>
      <w:r>
        <w:t>negocio.</w:t>
      </w:r>
      <w:r>
        <w:rPr>
          <w:spacing w:val="-13"/>
        </w:rPr>
        <w:t xml:space="preserve"> </w:t>
      </w:r>
      <w:r>
        <w:t>En</w:t>
      </w:r>
      <w:r>
        <w:rPr>
          <w:spacing w:val="-12"/>
        </w:rPr>
        <w:t xml:space="preserve"> </w:t>
      </w:r>
      <w:r>
        <w:t>2005,</w:t>
      </w:r>
      <w:r>
        <w:rPr>
          <w:spacing w:val="-12"/>
        </w:rPr>
        <w:t xml:space="preserve"> </w:t>
      </w:r>
      <w:r>
        <w:t>la</w:t>
      </w:r>
      <w:r>
        <w:rPr>
          <w:spacing w:val="-13"/>
        </w:rPr>
        <w:t xml:space="preserve"> </w:t>
      </w:r>
      <w:r>
        <w:t>UIAF</w:t>
      </w:r>
      <w:r>
        <w:rPr>
          <w:spacing w:val="-13"/>
        </w:rPr>
        <w:t xml:space="preserve"> </w:t>
      </w:r>
      <w:r>
        <w:t>estimó</w:t>
      </w:r>
      <w:r>
        <w:rPr>
          <w:spacing w:val="-12"/>
        </w:rPr>
        <w:t xml:space="preserve"> </w:t>
      </w:r>
      <w:r>
        <w:t>que</w:t>
      </w:r>
      <w:r>
        <w:rPr>
          <w:spacing w:val="-12"/>
        </w:rPr>
        <w:t xml:space="preserve"> </w:t>
      </w:r>
      <w:r>
        <w:t>el</w:t>
      </w:r>
      <w:r>
        <w:rPr>
          <w:spacing w:val="-12"/>
        </w:rPr>
        <w:t xml:space="preserve"> </w:t>
      </w:r>
      <w:r>
        <w:rPr>
          <w:spacing w:val="-2"/>
        </w:rPr>
        <w:t>porcentaje</w:t>
      </w:r>
      <w:bookmarkStart w:id="815" w:name="_bookmark706"/>
      <w:bookmarkStart w:id="816" w:name="_bookmark707"/>
      <w:bookmarkStart w:id="817" w:name="_bookmark708"/>
      <w:bookmarkEnd w:id="815"/>
      <w:bookmarkEnd w:id="816"/>
      <w:bookmarkEnd w:id="817"/>
      <w:r w:rsidR="005F5CA8">
        <w:t xml:space="preserve"> </w:t>
      </w:r>
      <w:r>
        <w:t>de dinero captado por cuenta del gramaje por parte de las FARC-EP representaba cerca de un 30 % de sus ingresos totales.</w:t>
      </w:r>
    </w:p>
    <w:p w:rsidR="003804AC" w:rsidRDefault="00AF18A5" w:rsidP="005F5CA8">
      <w:r>
        <w:t xml:space="preserve">El manejo del dinero al interior de las FARC-EP fue central en la estructuración de esta guerrilla y estuvo en medio de intensos debates hasta que llegó al proceso de centralización entre la Séptima y Octava Conferencia, cuando se organizaron las finanzas entre el secretariado y los frentes. Esto llevó a que una parte de las finanzas se dirigieran al </w:t>
      </w:r>
      <w:r>
        <w:lastRenderedPageBreak/>
        <w:t>secretariado e implicó que la apropiación de recursos para el funcionamiento de los frentes se</w:t>
      </w:r>
      <w:r>
        <w:rPr>
          <w:spacing w:val="-7"/>
        </w:rPr>
        <w:t xml:space="preserve"> </w:t>
      </w:r>
      <w:r>
        <w:t>realizara</w:t>
      </w:r>
      <w:r>
        <w:rPr>
          <w:spacing w:val="-8"/>
        </w:rPr>
        <w:t xml:space="preserve"> </w:t>
      </w:r>
      <w:r>
        <w:t>según</w:t>
      </w:r>
      <w:r>
        <w:rPr>
          <w:spacing w:val="-7"/>
        </w:rPr>
        <w:t xml:space="preserve"> </w:t>
      </w:r>
      <w:r>
        <w:t>las</w:t>
      </w:r>
      <w:r>
        <w:rPr>
          <w:spacing w:val="-7"/>
        </w:rPr>
        <w:t xml:space="preserve"> </w:t>
      </w:r>
      <w:r>
        <w:t>condiciones</w:t>
      </w:r>
      <w:r>
        <w:rPr>
          <w:spacing w:val="-7"/>
        </w:rPr>
        <w:t xml:space="preserve"> </w:t>
      </w:r>
      <w:r>
        <w:t>territoriales,</w:t>
      </w:r>
      <w:r>
        <w:rPr>
          <w:spacing w:val="-7"/>
        </w:rPr>
        <w:t xml:space="preserve"> </w:t>
      </w:r>
      <w:r>
        <w:t>Así,</w:t>
      </w:r>
      <w:r>
        <w:rPr>
          <w:spacing w:val="-7"/>
        </w:rPr>
        <w:t xml:space="preserve"> </w:t>
      </w:r>
      <w:r>
        <w:t>se</w:t>
      </w:r>
      <w:r>
        <w:rPr>
          <w:spacing w:val="-8"/>
        </w:rPr>
        <w:t xml:space="preserve"> </w:t>
      </w:r>
      <w:r>
        <w:t>articularon</w:t>
      </w:r>
      <w:r>
        <w:rPr>
          <w:spacing w:val="-7"/>
        </w:rPr>
        <w:t xml:space="preserve"> </w:t>
      </w:r>
      <w:r>
        <w:t>la</w:t>
      </w:r>
      <w:r>
        <w:rPr>
          <w:spacing w:val="-7"/>
        </w:rPr>
        <w:t xml:space="preserve"> </w:t>
      </w:r>
      <w:r>
        <w:t>extorsión,</w:t>
      </w:r>
      <w:r>
        <w:rPr>
          <w:spacing w:val="-7"/>
        </w:rPr>
        <w:t xml:space="preserve"> </w:t>
      </w:r>
      <w:r>
        <w:t>el</w:t>
      </w:r>
      <w:r>
        <w:rPr>
          <w:spacing w:val="-7"/>
        </w:rPr>
        <w:t xml:space="preserve"> </w:t>
      </w:r>
      <w:r>
        <w:t>secuestro</w:t>
      </w:r>
      <w:r>
        <w:rPr>
          <w:spacing w:val="-8"/>
        </w:rPr>
        <w:t xml:space="preserve"> </w:t>
      </w:r>
      <w:r>
        <w:t>y el impuesto o ganancias de la regulación de las economías de la cocaína en dichas zonas</w:t>
      </w:r>
      <w:r w:rsidR="00720AB9">
        <w:rPr>
          <w:rStyle w:val="Refdenotaalpie"/>
        </w:rPr>
        <w:footnoteReference w:id="644"/>
      </w:r>
      <w:r>
        <w:t>.</w:t>
      </w:r>
    </w:p>
    <w:p w:rsidR="003804AC" w:rsidRDefault="00AF18A5" w:rsidP="00720AB9">
      <w:r>
        <w:t>Un</w:t>
      </w:r>
      <w:r>
        <w:rPr>
          <w:spacing w:val="-2"/>
        </w:rPr>
        <w:t xml:space="preserve"> </w:t>
      </w:r>
      <w:r>
        <w:t>excombatiente</w:t>
      </w:r>
      <w:r>
        <w:rPr>
          <w:spacing w:val="-2"/>
        </w:rPr>
        <w:t xml:space="preserve"> </w:t>
      </w:r>
      <w:r>
        <w:t>de</w:t>
      </w:r>
      <w:r>
        <w:rPr>
          <w:spacing w:val="-3"/>
        </w:rPr>
        <w:t xml:space="preserve"> </w:t>
      </w:r>
      <w:r>
        <w:t>las</w:t>
      </w:r>
      <w:r>
        <w:rPr>
          <w:spacing w:val="-3"/>
        </w:rPr>
        <w:t xml:space="preserve"> </w:t>
      </w:r>
      <w:r>
        <w:t>FARC-EP</w:t>
      </w:r>
      <w:r>
        <w:rPr>
          <w:spacing w:val="-3"/>
        </w:rPr>
        <w:t xml:space="preserve"> </w:t>
      </w:r>
      <w:r>
        <w:t>le</w:t>
      </w:r>
      <w:r>
        <w:rPr>
          <w:spacing w:val="-2"/>
        </w:rPr>
        <w:t xml:space="preserve"> </w:t>
      </w:r>
      <w:r>
        <w:t>dijo</w:t>
      </w:r>
      <w:r>
        <w:rPr>
          <w:spacing w:val="-3"/>
        </w:rPr>
        <w:t xml:space="preserve"> </w:t>
      </w:r>
      <w:r>
        <w:t>a</w:t>
      </w:r>
      <w:r>
        <w:rPr>
          <w:spacing w:val="-3"/>
        </w:rPr>
        <w:t xml:space="preserve"> </w:t>
      </w:r>
      <w:r>
        <w:t>la</w:t>
      </w:r>
      <w:r>
        <w:rPr>
          <w:spacing w:val="-3"/>
        </w:rPr>
        <w:t xml:space="preserve"> </w:t>
      </w:r>
      <w:r>
        <w:t>Comisión:</w:t>
      </w:r>
      <w:r>
        <w:rPr>
          <w:spacing w:val="-2"/>
        </w:rPr>
        <w:t xml:space="preserve"> </w:t>
      </w:r>
      <w:r>
        <w:t>«el</w:t>
      </w:r>
      <w:r>
        <w:rPr>
          <w:spacing w:val="-3"/>
        </w:rPr>
        <w:t xml:space="preserve"> </w:t>
      </w:r>
      <w:r>
        <w:t>narcotráfico</w:t>
      </w:r>
      <w:r>
        <w:rPr>
          <w:spacing w:val="-3"/>
        </w:rPr>
        <w:t xml:space="preserve"> </w:t>
      </w:r>
      <w:r>
        <w:t>lo</w:t>
      </w:r>
      <w:r>
        <w:rPr>
          <w:spacing w:val="-2"/>
        </w:rPr>
        <w:t xml:space="preserve"> </w:t>
      </w:r>
      <w:r>
        <w:t>miramos</w:t>
      </w:r>
      <w:r>
        <w:rPr>
          <w:spacing w:val="-3"/>
        </w:rPr>
        <w:t xml:space="preserve"> </w:t>
      </w:r>
      <w:r>
        <w:t>de una</w:t>
      </w:r>
      <w:r>
        <w:rPr>
          <w:spacing w:val="-10"/>
        </w:rPr>
        <w:t xml:space="preserve"> </w:t>
      </w:r>
      <w:r>
        <w:t>forma</w:t>
      </w:r>
      <w:r>
        <w:rPr>
          <w:spacing w:val="-10"/>
        </w:rPr>
        <w:t xml:space="preserve"> </w:t>
      </w:r>
      <w:r>
        <w:t>bien</w:t>
      </w:r>
      <w:r>
        <w:rPr>
          <w:spacing w:val="-10"/>
        </w:rPr>
        <w:t xml:space="preserve"> </w:t>
      </w:r>
      <w:r>
        <w:t>y</w:t>
      </w:r>
      <w:r>
        <w:rPr>
          <w:spacing w:val="-10"/>
        </w:rPr>
        <w:t xml:space="preserve"> </w:t>
      </w:r>
      <w:r>
        <w:t>mal.</w:t>
      </w:r>
      <w:r>
        <w:rPr>
          <w:spacing w:val="-10"/>
        </w:rPr>
        <w:t xml:space="preserve"> </w:t>
      </w:r>
      <w:r>
        <w:t>Era</w:t>
      </w:r>
      <w:r>
        <w:rPr>
          <w:spacing w:val="-10"/>
        </w:rPr>
        <w:t xml:space="preserve"> </w:t>
      </w:r>
      <w:r>
        <w:t>un</w:t>
      </w:r>
      <w:r>
        <w:rPr>
          <w:spacing w:val="-10"/>
        </w:rPr>
        <w:t xml:space="preserve"> </w:t>
      </w:r>
      <w:r>
        <w:t>mal</w:t>
      </w:r>
      <w:r>
        <w:rPr>
          <w:spacing w:val="-9"/>
        </w:rPr>
        <w:t xml:space="preserve"> </w:t>
      </w:r>
      <w:r>
        <w:t>necesario</w:t>
      </w:r>
      <w:r>
        <w:rPr>
          <w:spacing w:val="-10"/>
        </w:rPr>
        <w:t xml:space="preserve"> </w:t>
      </w:r>
      <w:r>
        <w:t>a</w:t>
      </w:r>
      <w:r>
        <w:rPr>
          <w:spacing w:val="-11"/>
        </w:rPr>
        <w:t xml:space="preserve"> </w:t>
      </w:r>
      <w:r>
        <w:t>la</w:t>
      </w:r>
      <w:r>
        <w:rPr>
          <w:spacing w:val="-10"/>
        </w:rPr>
        <w:t xml:space="preserve"> </w:t>
      </w:r>
      <w:r>
        <w:t>vez»</w:t>
      </w:r>
      <w:r w:rsidR="00720AB9">
        <w:rPr>
          <w:rStyle w:val="Refdenotaalpie"/>
        </w:rPr>
        <w:footnoteReference w:id="645"/>
      </w:r>
      <w:r>
        <w:t>.</w:t>
      </w:r>
      <w:r>
        <w:rPr>
          <w:spacing w:val="-10"/>
        </w:rPr>
        <w:t xml:space="preserve"> </w:t>
      </w:r>
      <w:r>
        <w:rPr>
          <w:color w:val="333333"/>
        </w:rPr>
        <w:t>El</w:t>
      </w:r>
      <w:r>
        <w:rPr>
          <w:color w:val="333333"/>
          <w:spacing w:val="-9"/>
        </w:rPr>
        <w:t xml:space="preserve"> </w:t>
      </w:r>
      <w:r>
        <w:rPr>
          <w:color w:val="333333"/>
        </w:rPr>
        <w:t>testimonio</w:t>
      </w:r>
      <w:r>
        <w:rPr>
          <w:color w:val="333333"/>
          <w:spacing w:val="-10"/>
        </w:rPr>
        <w:t xml:space="preserve"> </w:t>
      </w:r>
      <w:r>
        <w:rPr>
          <w:color w:val="333333"/>
        </w:rPr>
        <w:t>del</w:t>
      </w:r>
      <w:r>
        <w:rPr>
          <w:color w:val="333333"/>
          <w:spacing w:val="-9"/>
        </w:rPr>
        <w:t xml:space="preserve"> </w:t>
      </w:r>
      <w:r>
        <w:rPr>
          <w:color w:val="333333"/>
        </w:rPr>
        <w:t>otrora</w:t>
      </w:r>
      <w:r>
        <w:rPr>
          <w:color w:val="333333"/>
          <w:spacing w:val="-10"/>
        </w:rPr>
        <w:t xml:space="preserve"> </w:t>
      </w:r>
      <w:r>
        <w:rPr>
          <w:color w:val="333333"/>
        </w:rPr>
        <w:t>comandante del Frente 14 del Bloque Sur de las FARC-EP que operó en Caquetá también dio cuenta de la manera como la guerrilla se dotó de armamento para el escalamiento de la guerra:</w:t>
      </w:r>
    </w:p>
    <w:p w:rsidR="003804AC" w:rsidRDefault="00AF18A5" w:rsidP="00720AB9">
      <w:r>
        <w:t>«Eso le da combustible a todo en este país, no solamente a la guerra, eso hay que dejarlo claro, a la política en Colombia, a la economía en Colombia, todo eso dejó para eso, a la guerra</w:t>
      </w:r>
      <w:r>
        <w:rPr>
          <w:spacing w:val="-1"/>
        </w:rPr>
        <w:t xml:space="preserve"> </w:t>
      </w:r>
      <w:r>
        <w:t>también, y sigue dejando si no</w:t>
      </w:r>
      <w:r>
        <w:rPr>
          <w:spacing w:val="-1"/>
        </w:rPr>
        <w:t xml:space="preserve"> </w:t>
      </w:r>
      <w:r>
        <w:t>le ponen juicio a eso, ¿claro? Pues de a dónde más, el apoyo de una persona no alcanza para comprar un fusil, si eso se puso caro, un fusil llegó a costar hasta 30 millones de pesos, un sencillo fusil, una ametralladora 80 millones llegó a costar, una M60, una .50, pues se pasaba los 100 millones de pesos, un misil, por ejemplo, llegó a costar casi 400 millones de pesos»</w:t>
      </w:r>
      <w:r w:rsidR="00720AB9">
        <w:rPr>
          <w:rStyle w:val="Refdenotaalpie"/>
        </w:rPr>
        <w:footnoteReference w:id="646"/>
      </w:r>
      <w:r>
        <w:t>.</w:t>
      </w:r>
    </w:p>
    <w:p w:rsidR="0011361F" w:rsidRDefault="00AF18A5" w:rsidP="00720AB9">
      <w:r>
        <w:t xml:space="preserve">Un </w:t>
      </w:r>
      <w:proofErr w:type="spellStart"/>
      <w:r>
        <w:t>exfinanciero</w:t>
      </w:r>
      <w:proofErr w:type="spellEnd"/>
      <w:r>
        <w:t xml:space="preserve"> del Frente 43 del Bloque Oriental de las FARC-EP también confirmó ante la Comisión que el narcotráfico financió la compra de armas en el contexto de los crecientes enfrentamientos con el Ejército</w:t>
      </w:r>
      <w:r w:rsidR="00720AB9">
        <w:rPr>
          <w:rStyle w:val="Refdenotaalpie"/>
        </w:rPr>
        <w:footnoteReference w:id="647"/>
      </w:r>
      <w:r>
        <w:t>.</w:t>
      </w:r>
    </w:p>
    <w:p w:rsidR="003804AC" w:rsidRDefault="00AF18A5" w:rsidP="00720AB9">
      <w:pPr>
        <w:pStyle w:val="Textoindependiente"/>
        <w:spacing w:before="5"/>
      </w:pPr>
      <w:bookmarkStart w:id="818" w:name="_bookmark709"/>
      <w:bookmarkStart w:id="819" w:name="_bookmark710"/>
      <w:bookmarkStart w:id="820" w:name="_bookmark711"/>
      <w:bookmarkStart w:id="821" w:name="_bookmark712"/>
      <w:bookmarkEnd w:id="818"/>
      <w:bookmarkEnd w:id="819"/>
      <w:bookmarkEnd w:id="820"/>
      <w:bookmarkEnd w:id="821"/>
      <w:r>
        <w:t xml:space="preserve">Tras la firma del Acuerdo de Paz con las FARC-EP y su desmovilización, </w:t>
      </w:r>
      <w:r>
        <w:lastRenderedPageBreak/>
        <w:t>el negocio del narcotráfico y la violencia en los territorios han sufrido cambios. Por ejemplo, un excombatiente del Bloque Magdalena Medio, que operó por la región del Bajo Cauca antioqueño,</w:t>
      </w:r>
      <w:r>
        <w:rPr>
          <w:spacing w:val="-15"/>
        </w:rPr>
        <w:t xml:space="preserve"> </w:t>
      </w:r>
      <w:r>
        <w:t>en</w:t>
      </w:r>
      <w:r>
        <w:rPr>
          <w:spacing w:val="-15"/>
        </w:rPr>
        <w:t xml:space="preserve"> </w:t>
      </w:r>
      <w:r>
        <w:t>el</w:t>
      </w:r>
      <w:r>
        <w:rPr>
          <w:spacing w:val="-15"/>
        </w:rPr>
        <w:t xml:space="preserve"> </w:t>
      </w:r>
      <w:r>
        <w:t>municipio</w:t>
      </w:r>
      <w:r>
        <w:rPr>
          <w:spacing w:val="-15"/>
        </w:rPr>
        <w:t xml:space="preserve"> </w:t>
      </w:r>
      <w:r>
        <w:t>de</w:t>
      </w:r>
      <w:r>
        <w:rPr>
          <w:spacing w:val="-15"/>
        </w:rPr>
        <w:t xml:space="preserve"> </w:t>
      </w:r>
      <w:r>
        <w:t>El</w:t>
      </w:r>
      <w:r>
        <w:rPr>
          <w:spacing w:val="-15"/>
        </w:rPr>
        <w:t xml:space="preserve"> </w:t>
      </w:r>
      <w:r>
        <w:t>Bagre</w:t>
      </w:r>
      <w:r>
        <w:rPr>
          <w:spacing w:val="-15"/>
        </w:rPr>
        <w:t xml:space="preserve"> </w:t>
      </w:r>
      <w:r>
        <w:t>en</w:t>
      </w:r>
      <w:r>
        <w:rPr>
          <w:spacing w:val="-15"/>
        </w:rPr>
        <w:t xml:space="preserve"> </w:t>
      </w:r>
      <w:r>
        <w:t>2016,</w:t>
      </w:r>
      <w:r>
        <w:rPr>
          <w:spacing w:val="-15"/>
        </w:rPr>
        <w:t xml:space="preserve"> </w:t>
      </w:r>
      <w:r>
        <w:t>le</w:t>
      </w:r>
      <w:r>
        <w:rPr>
          <w:spacing w:val="-15"/>
        </w:rPr>
        <w:t xml:space="preserve"> </w:t>
      </w:r>
      <w:r>
        <w:t>refirió</w:t>
      </w:r>
      <w:r>
        <w:rPr>
          <w:spacing w:val="-15"/>
        </w:rPr>
        <w:t xml:space="preserve"> </w:t>
      </w:r>
      <w:r>
        <w:t>al</w:t>
      </w:r>
      <w:r>
        <w:rPr>
          <w:spacing w:val="-15"/>
        </w:rPr>
        <w:t xml:space="preserve"> </w:t>
      </w:r>
      <w:r>
        <w:t>Grupo</w:t>
      </w:r>
      <w:r>
        <w:rPr>
          <w:spacing w:val="-15"/>
        </w:rPr>
        <w:t xml:space="preserve"> </w:t>
      </w:r>
      <w:r>
        <w:t>de</w:t>
      </w:r>
      <w:r>
        <w:rPr>
          <w:spacing w:val="-15"/>
        </w:rPr>
        <w:t xml:space="preserve"> </w:t>
      </w:r>
      <w:r>
        <w:t>Atención</w:t>
      </w:r>
      <w:r>
        <w:rPr>
          <w:spacing w:val="-15"/>
        </w:rPr>
        <w:t xml:space="preserve"> </w:t>
      </w:r>
      <w:r>
        <w:t>Humanitaria al</w:t>
      </w:r>
      <w:r>
        <w:rPr>
          <w:spacing w:val="-15"/>
        </w:rPr>
        <w:t xml:space="preserve"> </w:t>
      </w:r>
      <w:r>
        <w:t>Desmovilizado</w:t>
      </w:r>
      <w:r>
        <w:rPr>
          <w:spacing w:val="-15"/>
        </w:rPr>
        <w:t xml:space="preserve"> </w:t>
      </w:r>
      <w:r>
        <w:t>del</w:t>
      </w:r>
      <w:r>
        <w:rPr>
          <w:spacing w:val="-15"/>
        </w:rPr>
        <w:t xml:space="preserve"> </w:t>
      </w:r>
      <w:r>
        <w:t>Ministerio</w:t>
      </w:r>
      <w:r>
        <w:rPr>
          <w:spacing w:val="-15"/>
        </w:rPr>
        <w:t xml:space="preserve"> </w:t>
      </w:r>
      <w:r>
        <w:t>de</w:t>
      </w:r>
      <w:r>
        <w:rPr>
          <w:spacing w:val="-15"/>
        </w:rPr>
        <w:t xml:space="preserve"> </w:t>
      </w:r>
      <w:r>
        <w:t>Defensa</w:t>
      </w:r>
      <w:r>
        <w:rPr>
          <w:spacing w:val="-15"/>
        </w:rPr>
        <w:t xml:space="preserve"> </w:t>
      </w:r>
      <w:r>
        <w:t>Nacional</w:t>
      </w:r>
      <w:r>
        <w:rPr>
          <w:spacing w:val="-15"/>
        </w:rPr>
        <w:t xml:space="preserve"> </w:t>
      </w:r>
      <w:r>
        <w:t>la</w:t>
      </w:r>
      <w:r>
        <w:rPr>
          <w:spacing w:val="-15"/>
        </w:rPr>
        <w:t xml:space="preserve"> </w:t>
      </w:r>
      <w:r>
        <w:t>forma</w:t>
      </w:r>
      <w:r>
        <w:rPr>
          <w:spacing w:val="-15"/>
        </w:rPr>
        <w:t xml:space="preserve"> </w:t>
      </w:r>
      <w:r>
        <w:t>en</w:t>
      </w:r>
      <w:r>
        <w:rPr>
          <w:spacing w:val="-15"/>
        </w:rPr>
        <w:t xml:space="preserve"> </w:t>
      </w:r>
      <w:r>
        <w:t>que</w:t>
      </w:r>
      <w:r>
        <w:rPr>
          <w:spacing w:val="-15"/>
        </w:rPr>
        <w:t xml:space="preserve"> </w:t>
      </w:r>
      <w:r>
        <w:t>se</w:t>
      </w:r>
      <w:r>
        <w:rPr>
          <w:spacing w:val="-15"/>
        </w:rPr>
        <w:t xml:space="preserve"> </w:t>
      </w:r>
      <w:r>
        <w:t>hacían</w:t>
      </w:r>
      <w:r>
        <w:rPr>
          <w:spacing w:val="-15"/>
        </w:rPr>
        <w:t xml:space="preserve"> </w:t>
      </w:r>
      <w:r>
        <w:t xml:space="preserve">transacciones entre las FARC-EP y Los </w:t>
      </w:r>
      <w:proofErr w:type="spellStart"/>
      <w:r>
        <w:t>Urabeños</w:t>
      </w:r>
      <w:proofErr w:type="spellEnd"/>
      <w:r>
        <w:t xml:space="preserve">: «era una transacción en la que las FARC les vendía a Los </w:t>
      </w:r>
      <w:proofErr w:type="spellStart"/>
      <w:r>
        <w:t>Urabeños</w:t>
      </w:r>
      <w:proofErr w:type="spellEnd"/>
      <w:r>
        <w:t xml:space="preserve"> la pasta base con un porcentaje de ganancia de 200 mil pesos por kilo”</w:t>
      </w:r>
      <w:r w:rsidR="00720AB9">
        <w:rPr>
          <w:rStyle w:val="Refdenotaalpie"/>
        </w:rPr>
        <w:footnoteReference w:id="648"/>
      </w:r>
      <w:r>
        <w:t>.</w:t>
      </w:r>
    </w:p>
    <w:p w:rsidR="003804AC" w:rsidRDefault="00AF18A5" w:rsidP="00720AB9">
      <w:r>
        <w:t>Por otro lado, un exguerrillero del ELN le habló a la Comisión de los pagos que, para 2019, le hacía el Clan del Golfo a esta guerrilla por dejar transitar droga hacia Venezuela, mientras</w:t>
      </w:r>
      <w:r>
        <w:rPr>
          <w:spacing w:val="-12"/>
        </w:rPr>
        <w:t xml:space="preserve"> </w:t>
      </w:r>
      <w:r>
        <w:t>estas</w:t>
      </w:r>
      <w:r>
        <w:rPr>
          <w:spacing w:val="-12"/>
        </w:rPr>
        <w:t xml:space="preserve"> </w:t>
      </w:r>
      <w:r>
        <w:t>mismas</w:t>
      </w:r>
      <w:r>
        <w:rPr>
          <w:spacing w:val="-12"/>
        </w:rPr>
        <w:t xml:space="preserve"> </w:t>
      </w:r>
      <w:r>
        <w:t>organizaciones</w:t>
      </w:r>
      <w:r>
        <w:rPr>
          <w:spacing w:val="-12"/>
        </w:rPr>
        <w:t xml:space="preserve"> </w:t>
      </w:r>
      <w:r>
        <w:t>mantenían</w:t>
      </w:r>
      <w:r>
        <w:rPr>
          <w:spacing w:val="-12"/>
        </w:rPr>
        <w:t xml:space="preserve"> </w:t>
      </w:r>
      <w:r>
        <w:t>enfrentamientos</w:t>
      </w:r>
      <w:r>
        <w:rPr>
          <w:spacing w:val="-12"/>
        </w:rPr>
        <w:t xml:space="preserve"> </w:t>
      </w:r>
      <w:r>
        <w:t>intensos</w:t>
      </w:r>
      <w:r>
        <w:rPr>
          <w:spacing w:val="-12"/>
        </w:rPr>
        <w:t xml:space="preserve"> </w:t>
      </w:r>
      <w:r>
        <w:t>y</w:t>
      </w:r>
      <w:r>
        <w:rPr>
          <w:spacing w:val="-12"/>
        </w:rPr>
        <w:t xml:space="preserve"> </w:t>
      </w:r>
      <w:r>
        <w:t>con</w:t>
      </w:r>
      <w:r>
        <w:rPr>
          <w:spacing w:val="-12"/>
        </w:rPr>
        <w:t xml:space="preserve"> </w:t>
      </w:r>
      <w:r>
        <w:t>altos</w:t>
      </w:r>
      <w:r>
        <w:rPr>
          <w:spacing w:val="-12"/>
        </w:rPr>
        <w:t xml:space="preserve"> </w:t>
      </w:r>
      <w:r>
        <w:t>costos para las comunidades rurales en Chocó y el Sur de Bolívar, enfrentamientos que aún persisten.</w:t>
      </w:r>
      <w:r w:rsidR="00720AB9">
        <w:rPr>
          <w:rStyle w:val="Refdenotaalpie"/>
        </w:rPr>
        <w:footnoteReference w:id="649"/>
      </w:r>
      <w:r>
        <w:rPr>
          <w:spacing w:val="-4"/>
        </w:rPr>
        <w:t xml:space="preserve"> </w:t>
      </w:r>
      <w:r>
        <w:t>Actualmente,</w:t>
      </w:r>
      <w:r>
        <w:rPr>
          <w:spacing w:val="-5"/>
        </w:rPr>
        <w:t xml:space="preserve"> </w:t>
      </w:r>
      <w:r>
        <w:t>y</w:t>
      </w:r>
      <w:r>
        <w:rPr>
          <w:spacing w:val="-5"/>
        </w:rPr>
        <w:t xml:space="preserve"> </w:t>
      </w:r>
      <w:r>
        <w:t>con</w:t>
      </w:r>
      <w:r>
        <w:rPr>
          <w:spacing w:val="-5"/>
        </w:rPr>
        <w:t xml:space="preserve"> </w:t>
      </w:r>
      <w:r>
        <w:t>otros</w:t>
      </w:r>
      <w:r>
        <w:rPr>
          <w:spacing w:val="-5"/>
        </w:rPr>
        <w:t xml:space="preserve"> </w:t>
      </w:r>
      <w:r>
        <w:t>grupos</w:t>
      </w:r>
      <w:r>
        <w:rPr>
          <w:spacing w:val="-5"/>
        </w:rPr>
        <w:t xml:space="preserve"> </w:t>
      </w:r>
      <w:r>
        <w:t>armados</w:t>
      </w:r>
      <w:r>
        <w:rPr>
          <w:spacing w:val="-5"/>
        </w:rPr>
        <w:t xml:space="preserve"> </w:t>
      </w:r>
      <w:r>
        <w:t>que</w:t>
      </w:r>
      <w:r>
        <w:rPr>
          <w:spacing w:val="-5"/>
        </w:rPr>
        <w:t xml:space="preserve"> </w:t>
      </w:r>
      <w:r>
        <w:t>controlan</w:t>
      </w:r>
      <w:r>
        <w:rPr>
          <w:spacing w:val="-5"/>
        </w:rPr>
        <w:t xml:space="preserve"> </w:t>
      </w:r>
      <w:r>
        <w:t>los</w:t>
      </w:r>
      <w:r>
        <w:rPr>
          <w:spacing w:val="-5"/>
        </w:rPr>
        <w:t xml:space="preserve"> </w:t>
      </w:r>
      <w:r>
        <w:t>territorios</w:t>
      </w:r>
      <w:r>
        <w:rPr>
          <w:spacing w:val="-5"/>
        </w:rPr>
        <w:t xml:space="preserve"> </w:t>
      </w:r>
      <w:r>
        <w:t>como</w:t>
      </w:r>
      <w:r>
        <w:rPr>
          <w:spacing w:val="-6"/>
        </w:rPr>
        <w:t xml:space="preserve"> </w:t>
      </w:r>
      <w:r>
        <w:t>las disidencias</w:t>
      </w:r>
      <w:r>
        <w:rPr>
          <w:spacing w:val="-5"/>
        </w:rPr>
        <w:t xml:space="preserve"> </w:t>
      </w:r>
      <w:r>
        <w:t>de</w:t>
      </w:r>
      <w:r>
        <w:rPr>
          <w:spacing w:val="-4"/>
        </w:rPr>
        <w:t xml:space="preserve"> </w:t>
      </w:r>
      <w:r>
        <w:t>las</w:t>
      </w:r>
      <w:r>
        <w:rPr>
          <w:spacing w:val="-4"/>
        </w:rPr>
        <w:t xml:space="preserve"> </w:t>
      </w:r>
      <w:r>
        <w:t>antiguas</w:t>
      </w:r>
      <w:r>
        <w:rPr>
          <w:spacing w:val="-4"/>
        </w:rPr>
        <w:t xml:space="preserve"> </w:t>
      </w:r>
      <w:r>
        <w:t>FARC-EP,</w:t>
      </w:r>
      <w:r>
        <w:rPr>
          <w:spacing w:val="-4"/>
        </w:rPr>
        <w:t xml:space="preserve"> </w:t>
      </w:r>
      <w:r>
        <w:t>se</w:t>
      </w:r>
      <w:r>
        <w:rPr>
          <w:spacing w:val="-4"/>
        </w:rPr>
        <w:t xml:space="preserve"> </w:t>
      </w:r>
      <w:r>
        <w:t>han</w:t>
      </w:r>
      <w:r>
        <w:rPr>
          <w:spacing w:val="-4"/>
        </w:rPr>
        <w:t xml:space="preserve"> </w:t>
      </w:r>
      <w:r>
        <w:t>constituido</w:t>
      </w:r>
      <w:r>
        <w:rPr>
          <w:spacing w:val="-4"/>
        </w:rPr>
        <w:t xml:space="preserve"> </w:t>
      </w:r>
      <w:r>
        <w:t>enclaves</w:t>
      </w:r>
      <w:r w:rsidR="00720AB9">
        <w:rPr>
          <w:rStyle w:val="Refdenotaalpie"/>
        </w:rPr>
        <w:footnoteReference w:id="650"/>
      </w:r>
      <w:r>
        <w:rPr>
          <w:spacing w:val="-3"/>
        </w:rPr>
        <w:t xml:space="preserve"> </w:t>
      </w:r>
      <w:r>
        <w:t>que</w:t>
      </w:r>
      <w:r>
        <w:rPr>
          <w:spacing w:val="-4"/>
        </w:rPr>
        <w:t xml:space="preserve"> </w:t>
      </w:r>
      <w:r>
        <w:t>son</w:t>
      </w:r>
      <w:r>
        <w:rPr>
          <w:spacing w:val="-4"/>
        </w:rPr>
        <w:t xml:space="preserve"> </w:t>
      </w:r>
      <w:r>
        <w:t>focos</w:t>
      </w:r>
      <w:r>
        <w:rPr>
          <w:spacing w:val="-4"/>
        </w:rPr>
        <w:t xml:space="preserve"> </w:t>
      </w:r>
      <w:r>
        <w:t>donde</w:t>
      </w:r>
      <w:r>
        <w:rPr>
          <w:spacing w:val="-4"/>
        </w:rPr>
        <w:t xml:space="preserve"> </w:t>
      </w:r>
      <w:r>
        <w:t>se concentra por primera vez el cultivo, procesamiento y tránsito. De ahí que las fronteras – como</w:t>
      </w:r>
      <w:r>
        <w:rPr>
          <w:spacing w:val="-7"/>
        </w:rPr>
        <w:t xml:space="preserve"> </w:t>
      </w:r>
      <w:r>
        <w:t>las</w:t>
      </w:r>
      <w:r>
        <w:rPr>
          <w:spacing w:val="-8"/>
        </w:rPr>
        <w:t xml:space="preserve"> </w:t>
      </w:r>
      <w:r>
        <w:t>del</w:t>
      </w:r>
      <w:r>
        <w:rPr>
          <w:spacing w:val="-8"/>
        </w:rPr>
        <w:t xml:space="preserve"> </w:t>
      </w:r>
      <w:r>
        <w:t>Catatumbo</w:t>
      </w:r>
      <w:r>
        <w:rPr>
          <w:spacing w:val="-8"/>
        </w:rPr>
        <w:t xml:space="preserve"> </w:t>
      </w:r>
      <w:r>
        <w:t>con</w:t>
      </w:r>
      <w:r>
        <w:rPr>
          <w:spacing w:val="-7"/>
        </w:rPr>
        <w:t xml:space="preserve"> </w:t>
      </w:r>
      <w:r>
        <w:t>Venezuela,</w:t>
      </w:r>
      <w:r>
        <w:rPr>
          <w:spacing w:val="-8"/>
        </w:rPr>
        <w:t xml:space="preserve"> </w:t>
      </w:r>
      <w:r>
        <w:t>Putumayo</w:t>
      </w:r>
      <w:r>
        <w:rPr>
          <w:spacing w:val="-7"/>
        </w:rPr>
        <w:t xml:space="preserve"> </w:t>
      </w:r>
      <w:r>
        <w:t>con</w:t>
      </w:r>
      <w:r>
        <w:rPr>
          <w:spacing w:val="-8"/>
        </w:rPr>
        <w:t xml:space="preserve"> </w:t>
      </w:r>
      <w:r>
        <w:t>Ecuador</w:t>
      </w:r>
      <w:r>
        <w:rPr>
          <w:spacing w:val="-7"/>
        </w:rPr>
        <w:t xml:space="preserve"> </w:t>
      </w:r>
      <w:r>
        <w:t>y</w:t>
      </w:r>
      <w:r>
        <w:rPr>
          <w:spacing w:val="-8"/>
        </w:rPr>
        <w:t xml:space="preserve"> </w:t>
      </w:r>
      <w:r>
        <w:t>Nariño,</w:t>
      </w:r>
      <w:r>
        <w:rPr>
          <w:spacing w:val="-7"/>
        </w:rPr>
        <w:t xml:space="preserve"> </w:t>
      </w:r>
      <w:r>
        <w:t>y</w:t>
      </w:r>
      <w:r>
        <w:rPr>
          <w:spacing w:val="-8"/>
        </w:rPr>
        <w:t xml:space="preserve"> </w:t>
      </w:r>
      <w:r>
        <w:t>Valle</w:t>
      </w:r>
      <w:r>
        <w:rPr>
          <w:spacing w:val="-7"/>
        </w:rPr>
        <w:t xml:space="preserve"> </w:t>
      </w:r>
      <w:r>
        <w:t>del</w:t>
      </w:r>
      <w:r>
        <w:rPr>
          <w:spacing w:val="-8"/>
        </w:rPr>
        <w:t xml:space="preserve"> </w:t>
      </w:r>
      <w:r>
        <w:t>Cauca y Chocó con el Pacífico– se hayan convertido en los escenarios actuales de producción y conflicto en el país</w:t>
      </w:r>
      <w:r w:rsidR="00720AB9">
        <w:rPr>
          <w:rStyle w:val="Refdenotaalpie"/>
        </w:rPr>
        <w:footnoteReference w:id="651"/>
      </w:r>
      <w:r>
        <w:t>.</w:t>
      </w:r>
    </w:p>
    <w:p w:rsidR="0011361F" w:rsidRDefault="00AF18A5" w:rsidP="004A6EF4">
      <w:pPr>
        <w:pStyle w:val="Ttulo4"/>
        <w:numPr>
          <w:ilvl w:val="2"/>
          <w:numId w:val="16"/>
        </w:numPr>
      </w:pPr>
      <w:bookmarkStart w:id="822" w:name="6.6.2._ELN_y_narcotráfico"/>
      <w:bookmarkEnd w:id="822"/>
      <w:r w:rsidRPr="00720AB9">
        <w:t>ELN</w:t>
      </w:r>
      <w:r>
        <w:rPr>
          <w:spacing w:val="-3"/>
        </w:rPr>
        <w:t xml:space="preserve"> </w:t>
      </w:r>
      <w:r>
        <w:t>y</w:t>
      </w:r>
      <w:r>
        <w:rPr>
          <w:spacing w:val="-1"/>
        </w:rPr>
        <w:t xml:space="preserve"> </w:t>
      </w:r>
      <w:r>
        <w:t>narcotráfico</w:t>
      </w:r>
    </w:p>
    <w:p w:rsidR="003804AC" w:rsidRDefault="00AF18A5" w:rsidP="00720AB9">
      <w:r>
        <w:lastRenderedPageBreak/>
        <w:t>El ELN declaró formalmente su deslinde del narcotráfico en su Segundo Congreso, Poder Popular y Nuevo Gobierno, en noviembre de 1989, así como el apoyo a las políticas de sustitución, restricción del comercio y rehabilitación de consumidores, entre otros aspectos</w:t>
      </w:r>
      <w:r w:rsidR="00720AB9">
        <w:rPr>
          <w:rStyle w:val="Refdenotaalpie"/>
        </w:rPr>
        <w:footnoteReference w:id="652"/>
      </w:r>
      <w:r>
        <w:t>.</w:t>
      </w:r>
      <w:r>
        <w:rPr>
          <w:spacing w:val="-5"/>
        </w:rPr>
        <w:t xml:space="preserve"> </w:t>
      </w:r>
      <w:r>
        <w:t>En</w:t>
      </w:r>
      <w:r>
        <w:rPr>
          <w:spacing w:val="-4"/>
        </w:rPr>
        <w:t xml:space="preserve"> </w:t>
      </w:r>
      <w:r>
        <w:t>2022,</w:t>
      </w:r>
      <w:r>
        <w:rPr>
          <w:spacing w:val="-4"/>
        </w:rPr>
        <w:t xml:space="preserve"> </w:t>
      </w:r>
      <w:r>
        <w:t>un</w:t>
      </w:r>
      <w:r>
        <w:rPr>
          <w:spacing w:val="-5"/>
        </w:rPr>
        <w:t xml:space="preserve"> </w:t>
      </w:r>
      <w:r>
        <w:t>comunicado</w:t>
      </w:r>
      <w:r>
        <w:rPr>
          <w:spacing w:val="-4"/>
        </w:rPr>
        <w:t xml:space="preserve"> </w:t>
      </w:r>
      <w:r>
        <w:t>del</w:t>
      </w:r>
      <w:r>
        <w:rPr>
          <w:spacing w:val="-4"/>
        </w:rPr>
        <w:t xml:space="preserve"> </w:t>
      </w:r>
      <w:r>
        <w:t>Frente</w:t>
      </w:r>
      <w:r>
        <w:rPr>
          <w:spacing w:val="-4"/>
        </w:rPr>
        <w:t xml:space="preserve"> </w:t>
      </w:r>
      <w:r>
        <w:t>de</w:t>
      </w:r>
      <w:r>
        <w:rPr>
          <w:spacing w:val="-6"/>
        </w:rPr>
        <w:t xml:space="preserve"> </w:t>
      </w:r>
      <w:r>
        <w:t>Guerra</w:t>
      </w:r>
      <w:r>
        <w:rPr>
          <w:spacing w:val="-4"/>
        </w:rPr>
        <w:t xml:space="preserve"> </w:t>
      </w:r>
      <w:r>
        <w:t>Oriental</w:t>
      </w:r>
      <w:r>
        <w:rPr>
          <w:spacing w:val="-4"/>
        </w:rPr>
        <w:t xml:space="preserve"> </w:t>
      </w:r>
      <w:r>
        <w:t>y</w:t>
      </w:r>
      <w:r>
        <w:rPr>
          <w:spacing w:val="-4"/>
        </w:rPr>
        <w:t xml:space="preserve"> </w:t>
      </w:r>
      <w:r>
        <w:t>el</w:t>
      </w:r>
      <w:r>
        <w:rPr>
          <w:spacing w:val="-5"/>
        </w:rPr>
        <w:t xml:space="preserve"> </w:t>
      </w:r>
      <w:r>
        <w:t>Frente</w:t>
      </w:r>
      <w:r>
        <w:rPr>
          <w:spacing w:val="-4"/>
        </w:rPr>
        <w:t xml:space="preserve"> </w:t>
      </w:r>
      <w:r>
        <w:rPr>
          <w:spacing w:val="-2"/>
        </w:rPr>
        <w:t>Internacional</w:t>
      </w:r>
      <w:bookmarkStart w:id="823" w:name="_bookmark713"/>
      <w:bookmarkStart w:id="824" w:name="_bookmark714"/>
      <w:bookmarkStart w:id="825" w:name="_bookmark715"/>
      <w:bookmarkStart w:id="826" w:name="_bookmark716"/>
      <w:bookmarkStart w:id="827" w:name="_bookmark717"/>
      <w:bookmarkEnd w:id="823"/>
      <w:bookmarkEnd w:id="824"/>
      <w:bookmarkEnd w:id="825"/>
      <w:bookmarkEnd w:id="826"/>
      <w:bookmarkEnd w:id="827"/>
      <w:r w:rsidR="00720AB9">
        <w:rPr>
          <w:spacing w:val="-2"/>
        </w:rPr>
        <w:t xml:space="preserve"> </w:t>
      </w:r>
      <w:r>
        <w:t>Milton Hernández, ambos del ELN, dirigido a la comunidad regional, nacional e internacional, ratificó la posición adoptada en 1989.</w:t>
      </w:r>
    </w:p>
    <w:p w:rsidR="003804AC" w:rsidRDefault="00AF18A5" w:rsidP="00720AB9">
      <w:r>
        <w:t>Sin embargo, estas directrices internas se han visto rebasadas por las realidades territoriales</w:t>
      </w:r>
      <w:r>
        <w:rPr>
          <w:spacing w:val="-13"/>
        </w:rPr>
        <w:t xml:space="preserve"> </w:t>
      </w:r>
      <w:r>
        <w:t>donde</w:t>
      </w:r>
      <w:r>
        <w:rPr>
          <w:spacing w:val="-10"/>
        </w:rPr>
        <w:t xml:space="preserve"> </w:t>
      </w:r>
      <w:r>
        <w:t>operan</w:t>
      </w:r>
      <w:r>
        <w:rPr>
          <w:spacing w:val="-11"/>
        </w:rPr>
        <w:t xml:space="preserve"> </w:t>
      </w:r>
      <w:r>
        <w:t>las</w:t>
      </w:r>
      <w:r>
        <w:rPr>
          <w:spacing w:val="-12"/>
        </w:rPr>
        <w:t xml:space="preserve"> </w:t>
      </w:r>
      <w:r>
        <w:t>estructuras</w:t>
      </w:r>
      <w:r>
        <w:rPr>
          <w:spacing w:val="-10"/>
        </w:rPr>
        <w:t xml:space="preserve"> </w:t>
      </w:r>
      <w:r>
        <w:t>guerrilleras</w:t>
      </w:r>
      <w:r>
        <w:rPr>
          <w:spacing w:val="-10"/>
        </w:rPr>
        <w:t xml:space="preserve"> </w:t>
      </w:r>
      <w:r>
        <w:t>del</w:t>
      </w:r>
      <w:r>
        <w:rPr>
          <w:spacing w:val="-10"/>
        </w:rPr>
        <w:t xml:space="preserve"> </w:t>
      </w:r>
      <w:r>
        <w:t>ELN.</w:t>
      </w:r>
      <w:r>
        <w:rPr>
          <w:spacing w:val="-11"/>
        </w:rPr>
        <w:t xml:space="preserve"> </w:t>
      </w:r>
      <w:r>
        <w:t>Así,</w:t>
      </w:r>
      <w:r>
        <w:rPr>
          <w:spacing w:val="-11"/>
        </w:rPr>
        <w:t xml:space="preserve"> </w:t>
      </w:r>
      <w:r>
        <w:t>los</w:t>
      </w:r>
      <w:r>
        <w:rPr>
          <w:spacing w:val="-10"/>
        </w:rPr>
        <w:t xml:space="preserve"> </w:t>
      </w:r>
      <w:r>
        <w:t>vínculos</w:t>
      </w:r>
      <w:r>
        <w:rPr>
          <w:spacing w:val="-12"/>
        </w:rPr>
        <w:t xml:space="preserve"> </w:t>
      </w:r>
      <w:r>
        <w:t>del</w:t>
      </w:r>
      <w:r>
        <w:rPr>
          <w:spacing w:val="-13"/>
        </w:rPr>
        <w:t xml:space="preserve"> </w:t>
      </w:r>
      <w:r>
        <w:t>ELN</w:t>
      </w:r>
      <w:r>
        <w:rPr>
          <w:spacing w:val="-11"/>
        </w:rPr>
        <w:t xml:space="preserve"> </w:t>
      </w:r>
      <w:r>
        <w:t>con la economía de la cocaína tienen varias características: se centra en cobrar impuestos a compradores</w:t>
      </w:r>
      <w:r>
        <w:rPr>
          <w:spacing w:val="-6"/>
        </w:rPr>
        <w:t xml:space="preserve"> </w:t>
      </w:r>
      <w:r>
        <w:t>de</w:t>
      </w:r>
      <w:r>
        <w:rPr>
          <w:spacing w:val="-6"/>
        </w:rPr>
        <w:t xml:space="preserve"> </w:t>
      </w:r>
      <w:r>
        <w:t>pasta</w:t>
      </w:r>
      <w:r>
        <w:rPr>
          <w:spacing w:val="-7"/>
        </w:rPr>
        <w:t xml:space="preserve"> </w:t>
      </w:r>
      <w:r>
        <w:t>base</w:t>
      </w:r>
      <w:r>
        <w:rPr>
          <w:spacing w:val="-6"/>
        </w:rPr>
        <w:t xml:space="preserve"> </w:t>
      </w:r>
      <w:r>
        <w:t>y</w:t>
      </w:r>
      <w:r>
        <w:rPr>
          <w:spacing w:val="-7"/>
        </w:rPr>
        <w:t xml:space="preserve"> </w:t>
      </w:r>
      <w:r>
        <w:t>traficantes,</w:t>
      </w:r>
      <w:r>
        <w:rPr>
          <w:spacing w:val="-6"/>
        </w:rPr>
        <w:t xml:space="preserve"> </w:t>
      </w:r>
      <w:r>
        <w:t>ofrecer</w:t>
      </w:r>
      <w:r>
        <w:rPr>
          <w:spacing w:val="-7"/>
        </w:rPr>
        <w:t xml:space="preserve"> </w:t>
      </w:r>
      <w:r>
        <w:t>seguridad</w:t>
      </w:r>
      <w:r>
        <w:rPr>
          <w:spacing w:val="-7"/>
        </w:rPr>
        <w:t xml:space="preserve"> </w:t>
      </w:r>
      <w:r>
        <w:t>a</w:t>
      </w:r>
      <w:r>
        <w:rPr>
          <w:spacing w:val="-7"/>
        </w:rPr>
        <w:t xml:space="preserve"> </w:t>
      </w:r>
      <w:r>
        <w:t>cultivos</w:t>
      </w:r>
      <w:r>
        <w:rPr>
          <w:spacing w:val="-7"/>
        </w:rPr>
        <w:t xml:space="preserve"> </w:t>
      </w:r>
      <w:r>
        <w:t>y</w:t>
      </w:r>
      <w:r>
        <w:rPr>
          <w:spacing w:val="-7"/>
        </w:rPr>
        <w:t xml:space="preserve"> </w:t>
      </w:r>
      <w:proofErr w:type="spellStart"/>
      <w:r>
        <w:t>cristalizaderos</w:t>
      </w:r>
      <w:proofErr w:type="spellEnd"/>
      <w:r>
        <w:rPr>
          <w:spacing w:val="-7"/>
        </w:rPr>
        <w:t xml:space="preserve"> </w:t>
      </w:r>
      <w:r>
        <w:t>que</w:t>
      </w:r>
      <w:r>
        <w:rPr>
          <w:spacing w:val="-6"/>
        </w:rPr>
        <w:t xml:space="preserve"> </w:t>
      </w:r>
      <w:r>
        <w:t xml:space="preserve">se encuentran en sus zonas de control, y participa en los eslabones clave de la economía de la cocaína y la marihuana como el cultivo, procesamiento y tránsito de la droga al interior de las fronteras, así como en las transacciones sobre las fronteras de droga por armas o por </w:t>
      </w:r>
      <w:r>
        <w:rPr>
          <w:spacing w:val="-2"/>
        </w:rPr>
        <w:t>dinero.</w:t>
      </w:r>
    </w:p>
    <w:p w:rsidR="003804AC" w:rsidRDefault="00AF18A5" w:rsidP="00720AB9">
      <w:r>
        <w:t>Un</w:t>
      </w:r>
      <w:r>
        <w:rPr>
          <w:spacing w:val="-5"/>
        </w:rPr>
        <w:t xml:space="preserve"> </w:t>
      </w:r>
      <w:r>
        <w:t>informe</w:t>
      </w:r>
      <w:r>
        <w:rPr>
          <w:spacing w:val="-6"/>
        </w:rPr>
        <w:t xml:space="preserve"> </w:t>
      </w:r>
      <w:r>
        <w:t>del</w:t>
      </w:r>
      <w:r>
        <w:rPr>
          <w:spacing w:val="-4"/>
        </w:rPr>
        <w:t xml:space="preserve"> </w:t>
      </w:r>
      <w:r>
        <w:t>Ejército</w:t>
      </w:r>
      <w:r>
        <w:rPr>
          <w:spacing w:val="-6"/>
        </w:rPr>
        <w:t xml:space="preserve"> </w:t>
      </w:r>
      <w:r>
        <w:t>colombiano</w:t>
      </w:r>
      <w:r>
        <w:rPr>
          <w:spacing w:val="-6"/>
        </w:rPr>
        <w:t xml:space="preserve"> </w:t>
      </w:r>
      <w:r>
        <w:t>de</w:t>
      </w:r>
      <w:r>
        <w:rPr>
          <w:spacing w:val="-5"/>
        </w:rPr>
        <w:t xml:space="preserve"> </w:t>
      </w:r>
      <w:r>
        <w:t>1993,</w:t>
      </w:r>
      <w:r>
        <w:rPr>
          <w:spacing w:val="-5"/>
        </w:rPr>
        <w:t xml:space="preserve"> </w:t>
      </w:r>
      <w:r>
        <w:t>reseñado</w:t>
      </w:r>
      <w:r>
        <w:rPr>
          <w:spacing w:val="-5"/>
        </w:rPr>
        <w:t xml:space="preserve"> </w:t>
      </w:r>
      <w:r>
        <w:t>en</w:t>
      </w:r>
      <w:r>
        <w:rPr>
          <w:spacing w:val="-6"/>
        </w:rPr>
        <w:t xml:space="preserve"> </w:t>
      </w:r>
      <w:r>
        <w:t>un</w:t>
      </w:r>
      <w:r>
        <w:rPr>
          <w:spacing w:val="-6"/>
        </w:rPr>
        <w:t xml:space="preserve"> </w:t>
      </w:r>
      <w:r>
        <w:t>cable</w:t>
      </w:r>
      <w:r>
        <w:rPr>
          <w:spacing w:val="-6"/>
        </w:rPr>
        <w:t xml:space="preserve"> </w:t>
      </w:r>
      <w:r>
        <w:t>de</w:t>
      </w:r>
      <w:r>
        <w:rPr>
          <w:spacing w:val="-6"/>
        </w:rPr>
        <w:t xml:space="preserve"> </w:t>
      </w:r>
      <w:r>
        <w:t>la</w:t>
      </w:r>
      <w:r>
        <w:rPr>
          <w:spacing w:val="-5"/>
        </w:rPr>
        <w:t xml:space="preserve"> </w:t>
      </w:r>
      <w:r>
        <w:t>Embajada</w:t>
      </w:r>
      <w:r>
        <w:rPr>
          <w:spacing w:val="-5"/>
        </w:rPr>
        <w:t xml:space="preserve"> </w:t>
      </w:r>
      <w:r>
        <w:t>de</w:t>
      </w:r>
      <w:r>
        <w:rPr>
          <w:spacing w:val="-6"/>
        </w:rPr>
        <w:t xml:space="preserve"> </w:t>
      </w:r>
      <w:r>
        <w:t>los Estados Unidos</w:t>
      </w:r>
      <w:r w:rsidR="00720AB9">
        <w:rPr>
          <w:rStyle w:val="Refdenotaalpie"/>
        </w:rPr>
        <w:footnoteReference w:id="653"/>
      </w:r>
      <w:r>
        <w:t xml:space="preserve">, identifica estructuras del ELN con </w:t>
      </w:r>
      <w:r>
        <w:lastRenderedPageBreak/>
        <w:t>algún grado de involucramiento con el</w:t>
      </w:r>
      <w:r>
        <w:rPr>
          <w:spacing w:val="-10"/>
        </w:rPr>
        <w:t xml:space="preserve"> </w:t>
      </w:r>
      <w:r>
        <w:t>narcotráfico.</w:t>
      </w:r>
      <w:r>
        <w:rPr>
          <w:spacing w:val="-11"/>
        </w:rPr>
        <w:t xml:space="preserve"> </w:t>
      </w:r>
      <w:r>
        <w:t>Parte</w:t>
      </w:r>
      <w:r>
        <w:rPr>
          <w:spacing w:val="-11"/>
        </w:rPr>
        <w:t xml:space="preserve"> </w:t>
      </w:r>
      <w:r>
        <w:t>del</w:t>
      </w:r>
      <w:r>
        <w:rPr>
          <w:spacing w:val="-12"/>
        </w:rPr>
        <w:t xml:space="preserve"> </w:t>
      </w:r>
      <w:r>
        <w:t>informe</w:t>
      </w:r>
      <w:r>
        <w:rPr>
          <w:spacing w:val="-11"/>
        </w:rPr>
        <w:t xml:space="preserve"> </w:t>
      </w:r>
      <w:r>
        <w:t>reconoce</w:t>
      </w:r>
      <w:r>
        <w:rPr>
          <w:spacing w:val="-11"/>
        </w:rPr>
        <w:t xml:space="preserve"> </w:t>
      </w:r>
      <w:r>
        <w:t>que</w:t>
      </w:r>
      <w:r>
        <w:rPr>
          <w:spacing w:val="-11"/>
        </w:rPr>
        <w:t xml:space="preserve"> </w:t>
      </w:r>
      <w:r>
        <w:t>hay</w:t>
      </w:r>
      <w:r>
        <w:rPr>
          <w:spacing w:val="-11"/>
        </w:rPr>
        <w:t xml:space="preserve"> </w:t>
      </w:r>
      <w:r>
        <w:t>unas</w:t>
      </w:r>
      <w:r>
        <w:rPr>
          <w:spacing w:val="-11"/>
        </w:rPr>
        <w:t xml:space="preserve"> </w:t>
      </w:r>
      <w:r>
        <w:t>directrices</w:t>
      </w:r>
      <w:r>
        <w:rPr>
          <w:spacing w:val="-11"/>
        </w:rPr>
        <w:t xml:space="preserve"> </w:t>
      </w:r>
      <w:r>
        <w:t>nacionales</w:t>
      </w:r>
      <w:r>
        <w:rPr>
          <w:spacing w:val="-11"/>
        </w:rPr>
        <w:t xml:space="preserve"> </w:t>
      </w:r>
      <w:r>
        <w:t>de</w:t>
      </w:r>
      <w:r>
        <w:rPr>
          <w:spacing w:val="-11"/>
        </w:rPr>
        <w:t xml:space="preserve"> </w:t>
      </w:r>
      <w:r>
        <w:t>la</w:t>
      </w:r>
      <w:r>
        <w:rPr>
          <w:spacing w:val="-11"/>
        </w:rPr>
        <w:t xml:space="preserve"> </w:t>
      </w:r>
      <w:r>
        <w:t>guerrilla del</w:t>
      </w:r>
      <w:r>
        <w:rPr>
          <w:spacing w:val="-5"/>
        </w:rPr>
        <w:t xml:space="preserve"> </w:t>
      </w:r>
      <w:r>
        <w:t>ELN</w:t>
      </w:r>
      <w:r>
        <w:rPr>
          <w:spacing w:val="-5"/>
        </w:rPr>
        <w:t xml:space="preserve"> </w:t>
      </w:r>
      <w:r>
        <w:t>que</w:t>
      </w:r>
      <w:r>
        <w:rPr>
          <w:spacing w:val="-4"/>
        </w:rPr>
        <w:t xml:space="preserve"> </w:t>
      </w:r>
      <w:r>
        <w:t>determinan</w:t>
      </w:r>
      <w:r>
        <w:rPr>
          <w:spacing w:val="-6"/>
        </w:rPr>
        <w:t xml:space="preserve"> </w:t>
      </w:r>
      <w:r>
        <w:t>romper</w:t>
      </w:r>
      <w:r>
        <w:rPr>
          <w:spacing w:val="-5"/>
        </w:rPr>
        <w:t xml:space="preserve"> </w:t>
      </w:r>
      <w:r>
        <w:t>cualquier</w:t>
      </w:r>
      <w:r>
        <w:rPr>
          <w:spacing w:val="-5"/>
        </w:rPr>
        <w:t xml:space="preserve"> </w:t>
      </w:r>
      <w:r>
        <w:t>relación</w:t>
      </w:r>
      <w:r>
        <w:rPr>
          <w:spacing w:val="-5"/>
        </w:rPr>
        <w:t xml:space="preserve"> </w:t>
      </w:r>
      <w:r>
        <w:t>con</w:t>
      </w:r>
      <w:r>
        <w:rPr>
          <w:spacing w:val="-5"/>
        </w:rPr>
        <w:t xml:space="preserve"> </w:t>
      </w:r>
      <w:r>
        <w:t>el</w:t>
      </w:r>
      <w:r>
        <w:rPr>
          <w:spacing w:val="-5"/>
        </w:rPr>
        <w:t xml:space="preserve"> </w:t>
      </w:r>
      <w:r>
        <w:t>comercio</w:t>
      </w:r>
      <w:r>
        <w:rPr>
          <w:spacing w:val="-5"/>
        </w:rPr>
        <w:t xml:space="preserve"> </w:t>
      </w:r>
      <w:r>
        <w:t>de</w:t>
      </w:r>
      <w:r>
        <w:rPr>
          <w:spacing w:val="-5"/>
        </w:rPr>
        <w:t xml:space="preserve"> </w:t>
      </w:r>
      <w:r>
        <w:t>drogas,</w:t>
      </w:r>
      <w:r>
        <w:rPr>
          <w:spacing w:val="-5"/>
        </w:rPr>
        <w:t xml:space="preserve"> </w:t>
      </w:r>
      <w:r>
        <w:t>pero</w:t>
      </w:r>
      <w:r>
        <w:rPr>
          <w:spacing w:val="-5"/>
        </w:rPr>
        <w:t xml:space="preserve"> </w:t>
      </w:r>
      <w:r>
        <w:t xml:space="preserve">también que algunas estructuras participan prestando seguridad a cultivos, laboratorios y pistas </w:t>
      </w:r>
      <w:r>
        <w:rPr>
          <w:spacing w:val="-2"/>
        </w:rPr>
        <w:t>clandestinas.</w:t>
      </w:r>
    </w:p>
    <w:p w:rsidR="003804AC" w:rsidRDefault="00AF18A5" w:rsidP="00720AB9">
      <w:r>
        <w:t>Adicionalmente,</w:t>
      </w:r>
      <w:r>
        <w:rPr>
          <w:spacing w:val="-12"/>
        </w:rPr>
        <w:t xml:space="preserve"> </w:t>
      </w:r>
      <w:r>
        <w:t>múltiples</w:t>
      </w:r>
      <w:r>
        <w:rPr>
          <w:spacing w:val="-12"/>
        </w:rPr>
        <w:t xml:space="preserve"> </w:t>
      </w:r>
      <w:r>
        <w:t>testimonios</w:t>
      </w:r>
      <w:r>
        <w:rPr>
          <w:spacing w:val="-12"/>
        </w:rPr>
        <w:t xml:space="preserve"> </w:t>
      </w:r>
      <w:r>
        <w:t>entregados</w:t>
      </w:r>
      <w:r>
        <w:rPr>
          <w:spacing w:val="-12"/>
        </w:rPr>
        <w:t xml:space="preserve"> </w:t>
      </w:r>
      <w:r>
        <w:t>a</w:t>
      </w:r>
      <w:r>
        <w:rPr>
          <w:spacing w:val="-12"/>
        </w:rPr>
        <w:t xml:space="preserve"> </w:t>
      </w:r>
      <w:r>
        <w:t>la</w:t>
      </w:r>
      <w:r>
        <w:rPr>
          <w:spacing w:val="-12"/>
        </w:rPr>
        <w:t xml:space="preserve"> </w:t>
      </w:r>
      <w:r>
        <w:t>Comisión</w:t>
      </w:r>
      <w:r>
        <w:rPr>
          <w:spacing w:val="-12"/>
        </w:rPr>
        <w:t xml:space="preserve"> </w:t>
      </w:r>
      <w:r>
        <w:t>de</w:t>
      </w:r>
      <w:r>
        <w:rPr>
          <w:spacing w:val="-12"/>
        </w:rPr>
        <w:t xml:space="preserve"> </w:t>
      </w:r>
      <w:r>
        <w:t>la</w:t>
      </w:r>
      <w:r>
        <w:rPr>
          <w:spacing w:val="-12"/>
        </w:rPr>
        <w:t xml:space="preserve"> </w:t>
      </w:r>
      <w:r>
        <w:t>Verdad,</w:t>
      </w:r>
      <w:r>
        <w:rPr>
          <w:spacing w:val="-12"/>
        </w:rPr>
        <w:t xml:space="preserve"> </w:t>
      </w:r>
      <w:r>
        <w:t>dan</w:t>
      </w:r>
      <w:r>
        <w:rPr>
          <w:spacing w:val="-12"/>
        </w:rPr>
        <w:t xml:space="preserve"> </w:t>
      </w:r>
      <w:r>
        <w:t>cuenta que</w:t>
      </w:r>
      <w:r>
        <w:rPr>
          <w:spacing w:val="-7"/>
        </w:rPr>
        <w:t xml:space="preserve"> </w:t>
      </w:r>
      <w:r>
        <w:t>el</w:t>
      </w:r>
      <w:r>
        <w:rPr>
          <w:spacing w:val="-7"/>
        </w:rPr>
        <w:t xml:space="preserve"> </w:t>
      </w:r>
      <w:r>
        <w:t>ELN</w:t>
      </w:r>
      <w:r>
        <w:rPr>
          <w:spacing w:val="-8"/>
        </w:rPr>
        <w:t xml:space="preserve"> </w:t>
      </w:r>
      <w:r>
        <w:t>se</w:t>
      </w:r>
      <w:r>
        <w:rPr>
          <w:spacing w:val="-7"/>
        </w:rPr>
        <w:t xml:space="preserve"> </w:t>
      </w:r>
      <w:r>
        <w:t>ha</w:t>
      </w:r>
      <w:r>
        <w:rPr>
          <w:spacing w:val="-7"/>
        </w:rPr>
        <w:t xml:space="preserve"> </w:t>
      </w:r>
      <w:r>
        <w:t>enfrentado</w:t>
      </w:r>
      <w:r>
        <w:rPr>
          <w:spacing w:val="-7"/>
        </w:rPr>
        <w:t xml:space="preserve"> </w:t>
      </w:r>
      <w:r>
        <w:t>recientemente</w:t>
      </w:r>
      <w:r>
        <w:rPr>
          <w:spacing w:val="-8"/>
        </w:rPr>
        <w:t xml:space="preserve"> </w:t>
      </w:r>
      <w:r>
        <w:t>a</w:t>
      </w:r>
      <w:r>
        <w:rPr>
          <w:spacing w:val="-7"/>
        </w:rPr>
        <w:t xml:space="preserve"> </w:t>
      </w:r>
      <w:r>
        <w:t>otras</w:t>
      </w:r>
      <w:r>
        <w:rPr>
          <w:spacing w:val="-7"/>
        </w:rPr>
        <w:t xml:space="preserve"> </w:t>
      </w:r>
      <w:r>
        <w:t>guerrillas,</w:t>
      </w:r>
      <w:r>
        <w:rPr>
          <w:spacing w:val="-8"/>
        </w:rPr>
        <w:t xml:space="preserve"> </w:t>
      </w:r>
      <w:r>
        <w:t>particularmente</w:t>
      </w:r>
      <w:r>
        <w:rPr>
          <w:spacing w:val="-7"/>
        </w:rPr>
        <w:t xml:space="preserve"> </w:t>
      </w:r>
      <w:r>
        <w:t>las</w:t>
      </w:r>
      <w:r>
        <w:rPr>
          <w:spacing w:val="-7"/>
        </w:rPr>
        <w:t xml:space="preserve"> </w:t>
      </w:r>
      <w:r>
        <w:t>disidencias de</w:t>
      </w:r>
      <w:r>
        <w:rPr>
          <w:spacing w:val="-6"/>
        </w:rPr>
        <w:t xml:space="preserve"> </w:t>
      </w:r>
      <w:r>
        <w:t>las</w:t>
      </w:r>
      <w:r>
        <w:rPr>
          <w:spacing w:val="-6"/>
        </w:rPr>
        <w:t xml:space="preserve"> </w:t>
      </w:r>
      <w:r>
        <w:t>antiguas</w:t>
      </w:r>
      <w:r>
        <w:rPr>
          <w:spacing w:val="-6"/>
        </w:rPr>
        <w:t xml:space="preserve"> </w:t>
      </w:r>
      <w:r>
        <w:t>FARC-EP,</w:t>
      </w:r>
      <w:r>
        <w:rPr>
          <w:spacing w:val="-6"/>
        </w:rPr>
        <w:t xml:space="preserve"> </w:t>
      </w:r>
      <w:r>
        <w:t>en</w:t>
      </w:r>
      <w:r>
        <w:rPr>
          <w:spacing w:val="-6"/>
        </w:rPr>
        <w:t xml:space="preserve"> </w:t>
      </w:r>
      <w:r>
        <w:t>Arauca,</w:t>
      </w:r>
      <w:r>
        <w:rPr>
          <w:spacing w:val="-6"/>
        </w:rPr>
        <w:t xml:space="preserve"> </w:t>
      </w:r>
      <w:r>
        <w:t>Perijá,</w:t>
      </w:r>
      <w:r>
        <w:rPr>
          <w:spacing w:val="-7"/>
        </w:rPr>
        <w:t xml:space="preserve"> </w:t>
      </w:r>
      <w:r>
        <w:t>el</w:t>
      </w:r>
      <w:r>
        <w:rPr>
          <w:spacing w:val="-6"/>
        </w:rPr>
        <w:t xml:space="preserve"> </w:t>
      </w:r>
      <w:r>
        <w:t>Sur</w:t>
      </w:r>
      <w:r>
        <w:rPr>
          <w:spacing w:val="-6"/>
        </w:rPr>
        <w:t xml:space="preserve"> </w:t>
      </w:r>
      <w:r>
        <w:t>de</w:t>
      </w:r>
      <w:r>
        <w:rPr>
          <w:spacing w:val="-6"/>
        </w:rPr>
        <w:t xml:space="preserve"> </w:t>
      </w:r>
      <w:r>
        <w:t>Bolívar</w:t>
      </w:r>
      <w:r>
        <w:rPr>
          <w:spacing w:val="-6"/>
        </w:rPr>
        <w:t xml:space="preserve"> </w:t>
      </w:r>
      <w:r>
        <w:t>y</w:t>
      </w:r>
      <w:r>
        <w:rPr>
          <w:spacing w:val="-6"/>
        </w:rPr>
        <w:t xml:space="preserve"> </w:t>
      </w:r>
      <w:r>
        <w:t>Cauca,</w:t>
      </w:r>
      <w:r>
        <w:rPr>
          <w:spacing w:val="-6"/>
        </w:rPr>
        <w:t xml:space="preserve"> </w:t>
      </w:r>
      <w:r>
        <w:t>entre</w:t>
      </w:r>
      <w:r>
        <w:rPr>
          <w:spacing w:val="-6"/>
        </w:rPr>
        <w:t xml:space="preserve"> </w:t>
      </w:r>
      <w:r>
        <w:t>otras</w:t>
      </w:r>
      <w:r>
        <w:rPr>
          <w:spacing w:val="-7"/>
        </w:rPr>
        <w:t xml:space="preserve"> </w:t>
      </w:r>
      <w:r>
        <w:t>regiones, y con el EPL en el Catatumbo, por el control de territorios cocaleros. A pesar de ello, en un comunicado</w:t>
      </w:r>
      <w:r>
        <w:rPr>
          <w:spacing w:val="-7"/>
        </w:rPr>
        <w:t xml:space="preserve"> </w:t>
      </w:r>
      <w:r>
        <w:t>emitido</w:t>
      </w:r>
      <w:r>
        <w:rPr>
          <w:spacing w:val="-6"/>
        </w:rPr>
        <w:t xml:space="preserve"> </w:t>
      </w:r>
      <w:r>
        <w:t>en</w:t>
      </w:r>
      <w:r>
        <w:rPr>
          <w:spacing w:val="-6"/>
        </w:rPr>
        <w:t xml:space="preserve"> </w:t>
      </w:r>
      <w:r>
        <w:t>noviembre</w:t>
      </w:r>
      <w:r>
        <w:rPr>
          <w:spacing w:val="-6"/>
        </w:rPr>
        <w:t xml:space="preserve"> </w:t>
      </w:r>
      <w:r>
        <w:t>de</w:t>
      </w:r>
      <w:r>
        <w:rPr>
          <w:spacing w:val="-6"/>
        </w:rPr>
        <w:t xml:space="preserve"> </w:t>
      </w:r>
      <w:r>
        <w:t>2020,</w:t>
      </w:r>
      <w:r>
        <w:rPr>
          <w:spacing w:val="-6"/>
        </w:rPr>
        <w:t xml:space="preserve"> </w:t>
      </w:r>
      <w:r>
        <w:t>el</w:t>
      </w:r>
      <w:r>
        <w:rPr>
          <w:spacing w:val="-6"/>
        </w:rPr>
        <w:t xml:space="preserve"> </w:t>
      </w:r>
      <w:r>
        <w:t>ELN</w:t>
      </w:r>
      <w:r>
        <w:rPr>
          <w:spacing w:val="-7"/>
        </w:rPr>
        <w:t xml:space="preserve"> </w:t>
      </w:r>
      <w:r>
        <w:t>invitó</w:t>
      </w:r>
      <w:r>
        <w:rPr>
          <w:spacing w:val="-6"/>
        </w:rPr>
        <w:t xml:space="preserve"> </w:t>
      </w:r>
      <w:r>
        <w:t>al</w:t>
      </w:r>
      <w:r>
        <w:rPr>
          <w:spacing w:val="-7"/>
        </w:rPr>
        <w:t xml:space="preserve"> </w:t>
      </w:r>
      <w:r>
        <w:t>Departamento</w:t>
      </w:r>
      <w:r>
        <w:rPr>
          <w:spacing w:val="-6"/>
        </w:rPr>
        <w:t xml:space="preserve"> </w:t>
      </w:r>
      <w:r>
        <w:t>de</w:t>
      </w:r>
      <w:r>
        <w:rPr>
          <w:spacing w:val="-6"/>
        </w:rPr>
        <w:t xml:space="preserve"> </w:t>
      </w:r>
      <w:r>
        <w:t>Estado</w:t>
      </w:r>
      <w:r>
        <w:rPr>
          <w:spacing w:val="-7"/>
        </w:rPr>
        <w:t xml:space="preserve"> </w:t>
      </w:r>
      <w:r>
        <w:t>de</w:t>
      </w:r>
      <w:r>
        <w:rPr>
          <w:spacing w:val="-6"/>
        </w:rPr>
        <w:t xml:space="preserve"> </w:t>
      </w:r>
      <w:r>
        <w:t>los Estados</w:t>
      </w:r>
      <w:r>
        <w:rPr>
          <w:spacing w:val="-15"/>
        </w:rPr>
        <w:t xml:space="preserve"> </w:t>
      </w:r>
      <w:r>
        <w:t>Unidos</w:t>
      </w:r>
      <w:r>
        <w:rPr>
          <w:spacing w:val="-12"/>
        </w:rPr>
        <w:t xml:space="preserve"> </w:t>
      </w:r>
      <w:r>
        <w:t>y</w:t>
      </w:r>
      <w:r>
        <w:rPr>
          <w:spacing w:val="-12"/>
        </w:rPr>
        <w:t xml:space="preserve"> </w:t>
      </w:r>
      <w:r>
        <w:t>a</w:t>
      </w:r>
      <w:r>
        <w:rPr>
          <w:spacing w:val="-13"/>
        </w:rPr>
        <w:t xml:space="preserve"> </w:t>
      </w:r>
      <w:r>
        <w:t>la</w:t>
      </w:r>
      <w:r>
        <w:rPr>
          <w:spacing w:val="-13"/>
        </w:rPr>
        <w:t xml:space="preserve"> </w:t>
      </w:r>
      <w:r>
        <w:t>ONU</w:t>
      </w:r>
      <w:r>
        <w:rPr>
          <w:spacing w:val="-13"/>
        </w:rPr>
        <w:t xml:space="preserve"> </w:t>
      </w:r>
      <w:r>
        <w:t>a</w:t>
      </w:r>
      <w:r>
        <w:rPr>
          <w:spacing w:val="-12"/>
        </w:rPr>
        <w:t xml:space="preserve"> </w:t>
      </w:r>
      <w:r>
        <w:t>conformar</w:t>
      </w:r>
      <w:r>
        <w:rPr>
          <w:spacing w:val="-12"/>
        </w:rPr>
        <w:t xml:space="preserve"> </w:t>
      </w:r>
      <w:r>
        <w:t>una</w:t>
      </w:r>
      <w:r>
        <w:rPr>
          <w:spacing w:val="-12"/>
        </w:rPr>
        <w:t xml:space="preserve"> </w:t>
      </w:r>
      <w:r>
        <w:t>comisión</w:t>
      </w:r>
      <w:r>
        <w:rPr>
          <w:spacing w:val="-13"/>
        </w:rPr>
        <w:t xml:space="preserve"> </w:t>
      </w:r>
      <w:r>
        <w:t>de</w:t>
      </w:r>
      <w:r>
        <w:rPr>
          <w:spacing w:val="-13"/>
        </w:rPr>
        <w:t xml:space="preserve"> </w:t>
      </w:r>
      <w:r>
        <w:t>verificación</w:t>
      </w:r>
      <w:r>
        <w:rPr>
          <w:spacing w:val="-12"/>
        </w:rPr>
        <w:t xml:space="preserve"> </w:t>
      </w:r>
      <w:r>
        <w:t>en</w:t>
      </w:r>
      <w:r>
        <w:rPr>
          <w:spacing w:val="-13"/>
        </w:rPr>
        <w:t xml:space="preserve"> </w:t>
      </w:r>
      <w:r>
        <w:t>los</w:t>
      </w:r>
      <w:r>
        <w:rPr>
          <w:spacing w:val="-13"/>
        </w:rPr>
        <w:t xml:space="preserve"> </w:t>
      </w:r>
      <w:r>
        <w:t>territorios</w:t>
      </w:r>
      <w:r>
        <w:rPr>
          <w:spacing w:val="-12"/>
        </w:rPr>
        <w:t xml:space="preserve"> </w:t>
      </w:r>
      <w:r>
        <w:rPr>
          <w:spacing w:val="-2"/>
        </w:rPr>
        <w:t>donde</w:t>
      </w:r>
      <w:bookmarkStart w:id="828" w:name="_bookmark718"/>
      <w:bookmarkEnd w:id="828"/>
      <w:r w:rsidR="00720AB9">
        <w:t xml:space="preserve"> </w:t>
      </w:r>
      <w:r>
        <w:t>hay</w:t>
      </w:r>
      <w:r>
        <w:rPr>
          <w:spacing w:val="-14"/>
        </w:rPr>
        <w:t xml:space="preserve"> </w:t>
      </w:r>
      <w:r>
        <w:t>presencia</w:t>
      </w:r>
      <w:r>
        <w:rPr>
          <w:spacing w:val="-14"/>
        </w:rPr>
        <w:t xml:space="preserve"> </w:t>
      </w:r>
      <w:r>
        <w:t>del</w:t>
      </w:r>
      <w:r>
        <w:rPr>
          <w:spacing w:val="-14"/>
        </w:rPr>
        <w:t xml:space="preserve"> </w:t>
      </w:r>
      <w:r>
        <w:t>grupo</w:t>
      </w:r>
      <w:r>
        <w:rPr>
          <w:spacing w:val="-14"/>
        </w:rPr>
        <w:t xml:space="preserve"> </w:t>
      </w:r>
      <w:r>
        <w:t>guerrillero</w:t>
      </w:r>
      <w:r>
        <w:rPr>
          <w:spacing w:val="-14"/>
        </w:rPr>
        <w:t xml:space="preserve"> </w:t>
      </w:r>
      <w:r>
        <w:t>para</w:t>
      </w:r>
      <w:r>
        <w:rPr>
          <w:spacing w:val="-14"/>
        </w:rPr>
        <w:t xml:space="preserve"> </w:t>
      </w:r>
      <w:r>
        <w:t>constatar</w:t>
      </w:r>
      <w:r>
        <w:rPr>
          <w:spacing w:val="-15"/>
        </w:rPr>
        <w:t xml:space="preserve"> </w:t>
      </w:r>
      <w:r>
        <w:t>que</w:t>
      </w:r>
      <w:r>
        <w:rPr>
          <w:spacing w:val="-14"/>
        </w:rPr>
        <w:t xml:space="preserve"> </w:t>
      </w:r>
      <w:r>
        <w:t>este</w:t>
      </w:r>
      <w:r>
        <w:rPr>
          <w:spacing w:val="-14"/>
        </w:rPr>
        <w:t xml:space="preserve"> </w:t>
      </w:r>
      <w:r>
        <w:t>«no</w:t>
      </w:r>
      <w:r>
        <w:rPr>
          <w:spacing w:val="-14"/>
        </w:rPr>
        <w:t xml:space="preserve"> </w:t>
      </w:r>
      <w:r>
        <w:t>tiene</w:t>
      </w:r>
      <w:r>
        <w:rPr>
          <w:spacing w:val="-14"/>
        </w:rPr>
        <w:t xml:space="preserve"> </w:t>
      </w:r>
      <w:r>
        <w:t>ningún</w:t>
      </w:r>
      <w:r>
        <w:rPr>
          <w:spacing w:val="-14"/>
        </w:rPr>
        <w:t xml:space="preserve"> </w:t>
      </w:r>
      <w:r>
        <w:t>involucramiento, en ninguna fase, con las economías regionales de la cocaína».</w:t>
      </w:r>
    </w:p>
    <w:p w:rsidR="003804AC" w:rsidRDefault="00AF18A5" w:rsidP="00720AB9">
      <w:r>
        <w:t>Voces de excombatientes desmovilizados del ELN y acogidos por el Grupo de Atención Humanitaria</w:t>
      </w:r>
      <w:r>
        <w:rPr>
          <w:spacing w:val="-6"/>
        </w:rPr>
        <w:t xml:space="preserve"> </w:t>
      </w:r>
      <w:r>
        <w:t>al</w:t>
      </w:r>
      <w:r>
        <w:rPr>
          <w:spacing w:val="-5"/>
        </w:rPr>
        <w:t xml:space="preserve"> </w:t>
      </w:r>
      <w:r>
        <w:t>Desmovilizado</w:t>
      </w:r>
      <w:r>
        <w:rPr>
          <w:spacing w:val="-5"/>
        </w:rPr>
        <w:t xml:space="preserve"> </w:t>
      </w:r>
      <w:r>
        <w:t>del</w:t>
      </w:r>
      <w:r>
        <w:rPr>
          <w:spacing w:val="-5"/>
        </w:rPr>
        <w:t xml:space="preserve"> </w:t>
      </w:r>
      <w:r>
        <w:t>Ministerio</w:t>
      </w:r>
      <w:r>
        <w:rPr>
          <w:spacing w:val="-6"/>
        </w:rPr>
        <w:t xml:space="preserve"> </w:t>
      </w:r>
      <w:r>
        <w:t>de</w:t>
      </w:r>
      <w:r>
        <w:rPr>
          <w:spacing w:val="-6"/>
        </w:rPr>
        <w:t xml:space="preserve"> </w:t>
      </w:r>
      <w:r>
        <w:t>Defensa</w:t>
      </w:r>
      <w:r>
        <w:rPr>
          <w:spacing w:val="-5"/>
        </w:rPr>
        <w:t xml:space="preserve"> </w:t>
      </w:r>
      <w:r>
        <w:t>han</w:t>
      </w:r>
      <w:r>
        <w:rPr>
          <w:spacing w:val="-6"/>
        </w:rPr>
        <w:t xml:space="preserve"> </w:t>
      </w:r>
      <w:r>
        <w:t>detallado</w:t>
      </w:r>
      <w:r>
        <w:rPr>
          <w:spacing w:val="-6"/>
        </w:rPr>
        <w:t xml:space="preserve"> </w:t>
      </w:r>
      <w:r>
        <w:t>cómo</w:t>
      </w:r>
      <w:r>
        <w:rPr>
          <w:spacing w:val="-5"/>
        </w:rPr>
        <w:t xml:space="preserve"> </w:t>
      </w:r>
      <w:r>
        <w:t>las</w:t>
      </w:r>
      <w:r>
        <w:rPr>
          <w:spacing w:val="-4"/>
        </w:rPr>
        <w:t xml:space="preserve"> </w:t>
      </w:r>
      <w:r>
        <w:t>estructuras del ELN apelan al cobro de impuestos a la compra de pasta base de coca en sus zonas de control</w:t>
      </w:r>
      <w:r>
        <w:rPr>
          <w:spacing w:val="-15"/>
        </w:rPr>
        <w:t xml:space="preserve"> </w:t>
      </w:r>
      <w:r>
        <w:t>para</w:t>
      </w:r>
      <w:r>
        <w:rPr>
          <w:spacing w:val="-15"/>
        </w:rPr>
        <w:t xml:space="preserve"> </w:t>
      </w:r>
      <w:r>
        <w:t>financiar</w:t>
      </w:r>
      <w:r>
        <w:rPr>
          <w:spacing w:val="-15"/>
        </w:rPr>
        <w:t xml:space="preserve"> </w:t>
      </w:r>
      <w:r>
        <w:t>su</w:t>
      </w:r>
      <w:r>
        <w:rPr>
          <w:spacing w:val="-15"/>
        </w:rPr>
        <w:t xml:space="preserve"> </w:t>
      </w:r>
      <w:r>
        <w:t>proyecto</w:t>
      </w:r>
      <w:r>
        <w:rPr>
          <w:spacing w:val="-15"/>
        </w:rPr>
        <w:t xml:space="preserve"> </w:t>
      </w:r>
      <w:r>
        <w:t>político-militar.</w:t>
      </w:r>
      <w:r>
        <w:rPr>
          <w:spacing w:val="-15"/>
        </w:rPr>
        <w:t xml:space="preserve"> </w:t>
      </w:r>
      <w:r>
        <w:t>En</w:t>
      </w:r>
      <w:r>
        <w:rPr>
          <w:spacing w:val="-15"/>
        </w:rPr>
        <w:t xml:space="preserve"> </w:t>
      </w:r>
      <w:r>
        <w:t>muchos</w:t>
      </w:r>
      <w:r>
        <w:rPr>
          <w:spacing w:val="-15"/>
        </w:rPr>
        <w:t xml:space="preserve"> </w:t>
      </w:r>
      <w:r>
        <w:t>territorios</w:t>
      </w:r>
      <w:r>
        <w:rPr>
          <w:spacing w:val="-15"/>
        </w:rPr>
        <w:t xml:space="preserve"> </w:t>
      </w:r>
      <w:r>
        <w:t>del</w:t>
      </w:r>
      <w:r>
        <w:rPr>
          <w:spacing w:val="-15"/>
        </w:rPr>
        <w:t xml:space="preserve"> </w:t>
      </w:r>
      <w:r>
        <w:t>país,</w:t>
      </w:r>
      <w:r>
        <w:rPr>
          <w:spacing w:val="-15"/>
        </w:rPr>
        <w:t xml:space="preserve"> </w:t>
      </w:r>
      <w:r>
        <w:t>las</w:t>
      </w:r>
      <w:r>
        <w:rPr>
          <w:spacing w:val="-15"/>
        </w:rPr>
        <w:t xml:space="preserve"> </w:t>
      </w:r>
      <w:r>
        <w:t>víctimas le han señalado a la Comisión cómo se da esa relación en diferentes regiones. La UIAF no tiene ningún caso abierto de narcotráfico o lavado del ELN.</w:t>
      </w:r>
    </w:p>
    <w:p w:rsidR="003804AC" w:rsidRDefault="00AF18A5" w:rsidP="00720AB9">
      <w:r>
        <w:t xml:space="preserve">En síntesis, el ELN hasta los años 90 mantuvo una decisión de prohibición frente al narcotráfico. Con el tiempo, algunos frentes comenzaron a involucrarse, especialmente los del pacífico y el sur del </w:t>
      </w:r>
      <w:r>
        <w:lastRenderedPageBreak/>
        <w:t>país, porque era una manera de competir en recursos con grupos paramilitares</w:t>
      </w:r>
      <w:r>
        <w:rPr>
          <w:spacing w:val="-12"/>
        </w:rPr>
        <w:t xml:space="preserve"> </w:t>
      </w:r>
      <w:r>
        <w:t>y</w:t>
      </w:r>
      <w:r>
        <w:rPr>
          <w:spacing w:val="-12"/>
        </w:rPr>
        <w:t xml:space="preserve"> </w:t>
      </w:r>
      <w:r>
        <w:t>con</w:t>
      </w:r>
      <w:r>
        <w:rPr>
          <w:spacing w:val="-12"/>
        </w:rPr>
        <w:t xml:space="preserve"> </w:t>
      </w:r>
      <w:r>
        <w:t>las</w:t>
      </w:r>
      <w:r>
        <w:rPr>
          <w:spacing w:val="-12"/>
        </w:rPr>
        <w:t xml:space="preserve"> </w:t>
      </w:r>
      <w:r>
        <w:t>FARC-EP.</w:t>
      </w:r>
      <w:r>
        <w:rPr>
          <w:spacing w:val="-12"/>
        </w:rPr>
        <w:t xml:space="preserve"> </w:t>
      </w:r>
      <w:r>
        <w:t>En</w:t>
      </w:r>
      <w:r>
        <w:rPr>
          <w:spacing w:val="-12"/>
        </w:rPr>
        <w:t xml:space="preserve"> </w:t>
      </w:r>
      <w:r>
        <w:t>Arauca,</w:t>
      </w:r>
      <w:r>
        <w:rPr>
          <w:spacing w:val="-12"/>
        </w:rPr>
        <w:t xml:space="preserve"> </w:t>
      </w:r>
      <w:r>
        <w:t>la</w:t>
      </w:r>
      <w:r>
        <w:rPr>
          <w:spacing w:val="-13"/>
        </w:rPr>
        <w:t xml:space="preserve"> </w:t>
      </w:r>
      <w:r>
        <w:t>posición</w:t>
      </w:r>
      <w:r>
        <w:rPr>
          <w:spacing w:val="-12"/>
        </w:rPr>
        <w:t xml:space="preserve"> </w:t>
      </w:r>
      <w:r>
        <w:t>del</w:t>
      </w:r>
      <w:r>
        <w:rPr>
          <w:spacing w:val="-13"/>
        </w:rPr>
        <w:t xml:space="preserve"> </w:t>
      </w:r>
      <w:r>
        <w:t>Frente</w:t>
      </w:r>
      <w:r>
        <w:rPr>
          <w:spacing w:val="-12"/>
        </w:rPr>
        <w:t xml:space="preserve"> </w:t>
      </w:r>
      <w:r>
        <w:t>Domingo</w:t>
      </w:r>
      <w:r>
        <w:rPr>
          <w:spacing w:val="-12"/>
        </w:rPr>
        <w:t xml:space="preserve"> </w:t>
      </w:r>
      <w:r>
        <w:t>Laín</w:t>
      </w:r>
      <w:r>
        <w:rPr>
          <w:spacing w:val="-12"/>
        </w:rPr>
        <w:t xml:space="preserve"> </w:t>
      </w:r>
      <w:r>
        <w:t>de</w:t>
      </w:r>
      <w:r>
        <w:rPr>
          <w:spacing w:val="-13"/>
        </w:rPr>
        <w:t xml:space="preserve"> </w:t>
      </w:r>
      <w:r>
        <w:t>cobrar por</w:t>
      </w:r>
      <w:r>
        <w:rPr>
          <w:spacing w:val="-3"/>
        </w:rPr>
        <w:t xml:space="preserve"> </w:t>
      </w:r>
      <w:r>
        <w:t>las</w:t>
      </w:r>
      <w:r>
        <w:rPr>
          <w:spacing w:val="-3"/>
        </w:rPr>
        <w:t xml:space="preserve"> </w:t>
      </w:r>
      <w:r>
        <w:t>la</w:t>
      </w:r>
      <w:r>
        <w:rPr>
          <w:spacing w:val="-3"/>
        </w:rPr>
        <w:t xml:space="preserve"> </w:t>
      </w:r>
      <w:r>
        <w:t>rutas</w:t>
      </w:r>
      <w:r>
        <w:rPr>
          <w:spacing w:val="-3"/>
        </w:rPr>
        <w:t xml:space="preserve"> </w:t>
      </w:r>
      <w:r>
        <w:t>de</w:t>
      </w:r>
      <w:r>
        <w:rPr>
          <w:spacing w:val="-3"/>
        </w:rPr>
        <w:t xml:space="preserve"> </w:t>
      </w:r>
      <w:r>
        <w:t>tránsito,</w:t>
      </w:r>
      <w:r>
        <w:rPr>
          <w:spacing w:val="-4"/>
        </w:rPr>
        <w:t xml:space="preserve"> </w:t>
      </w:r>
      <w:r>
        <w:t>pero</w:t>
      </w:r>
      <w:r>
        <w:rPr>
          <w:spacing w:val="-4"/>
        </w:rPr>
        <w:t xml:space="preserve"> </w:t>
      </w:r>
      <w:r>
        <w:t>no</w:t>
      </w:r>
      <w:r>
        <w:rPr>
          <w:spacing w:val="-4"/>
        </w:rPr>
        <w:t xml:space="preserve"> </w:t>
      </w:r>
      <w:r>
        <w:t>permitir</w:t>
      </w:r>
      <w:r>
        <w:rPr>
          <w:spacing w:val="-3"/>
        </w:rPr>
        <w:t xml:space="preserve"> </w:t>
      </w:r>
      <w:r>
        <w:t>cultivos,</w:t>
      </w:r>
      <w:r>
        <w:rPr>
          <w:spacing w:val="-4"/>
        </w:rPr>
        <w:t xml:space="preserve"> </w:t>
      </w:r>
      <w:r>
        <w:t>es</w:t>
      </w:r>
      <w:r>
        <w:rPr>
          <w:spacing w:val="-3"/>
        </w:rPr>
        <w:t xml:space="preserve"> </w:t>
      </w:r>
      <w:r>
        <w:t>distinta</w:t>
      </w:r>
      <w:r>
        <w:rPr>
          <w:spacing w:val="-3"/>
        </w:rPr>
        <w:t xml:space="preserve"> </w:t>
      </w:r>
      <w:r>
        <w:t>con</w:t>
      </w:r>
      <w:r>
        <w:rPr>
          <w:spacing w:val="-4"/>
        </w:rPr>
        <w:t xml:space="preserve"> </w:t>
      </w:r>
      <w:r>
        <w:t>respecto</w:t>
      </w:r>
      <w:r>
        <w:rPr>
          <w:spacing w:val="-4"/>
        </w:rPr>
        <w:t xml:space="preserve"> </w:t>
      </w:r>
      <w:r>
        <w:t>a</w:t>
      </w:r>
      <w:r>
        <w:rPr>
          <w:spacing w:val="-3"/>
        </w:rPr>
        <w:t xml:space="preserve"> </w:t>
      </w:r>
      <w:r>
        <w:t>la</w:t>
      </w:r>
      <w:r>
        <w:rPr>
          <w:spacing w:val="-3"/>
        </w:rPr>
        <w:t xml:space="preserve"> </w:t>
      </w:r>
      <w:r>
        <w:t>imposición que ejercen sobre las comunidades para que cultiven y procesen la coca, los frentes en el Chocó, Cauca y Catatumbo.</w:t>
      </w:r>
    </w:p>
    <w:p w:rsidR="0011361F" w:rsidRDefault="00AF18A5" w:rsidP="004A6EF4">
      <w:pPr>
        <w:pStyle w:val="Ttulo3"/>
        <w:numPr>
          <w:ilvl w:val="1"/>
          <w:numId w:val="16"/>
        </w:numPr>
      </w:pPr>
      <w:bookmarkStart w:id="829" w:name="6.7._Aspersiones_con_glifosato:_de_soluc"/>
      <w:bookmarkStart w:id="830" w:name="_Toc112399611"/>
      <w:bookmarkEnd w:id="829"/>
      <w:r>
        <w:t>Aspersiones</w:t>
      </w:r>
      <w:r>
        <w:rPr>
          <w:spacing w:val="-4"/>
        </w:rPr>
        <w:t xml:space="preserve"> </w:t>
      </w:r>
      <w:r>
        <w:t>con</w:t>
      </w:r>
      <w:r>
        <w:rPr>
          <w:spacing w:val="-3"/>
        </w:rPr>
        <w:t xml:space="preserve"> </w:t>
      </w:r>
      <w:r>
        <w:t>glifosato:</w:t>
      </w:r>
      <w:r>
        <w:rPr>
          <w:spacing w:val="-2"/>
        </w:rPr>
        <w:t xml:space="preserve"> </w:t>
      </w:r>
      <w:r>
        <w:t>de</w:t>
      </w:r>
      <w:r>
        <w:rPr>
          <w:spacing w:val="-3"/>
        </w:rPr>
        <w:t xml:space="preserve"> </w:t>
      </w:r>
      <w:r>
        <w:t>solución</w:t>
      </w:r>
      <w:r>
        <w:rPr>
          <w:spacing w:val="-2"/>
        </w:rPr>
        <w:t xml:space="preserve"> </w:t>
      </w:r>
      <w:r w:rsidRPr="00402844">
        <w:t>pretendida</w:t>
      </w:r>
      <w:r>
        <w:rPr>
          <w:spacing w:val="-2"/>
        </w:rPr>
        <w:t xml:space="preserve"> </w:t>
      </w:r>
      <w:r>
        <w:t>a</w:t>
      </w:r>
      <w:r>
        <w:rPr>
          <w:spacing w:val="-2"/>
        </w:rPr>
        <w:t xml:space="preserve"> </w:t>
      </w:r>
      <w:r>
        <w:t>parte</w:t>
      </w:r>
      <w:r>
        <w:rPr>
          <w:spacing w:val="-2"/>
        </w:rPr>
        <w:t xml:space="preserve"> </w:t>
      </w:r>
      <w:r>
        <w:t>del</w:t>
      </w:r>
      <w:r>
        <w:rPr>
          <w:spacing w:val="-1"/>
        </w:rPr>
        <w:t xml:space="preserve"> </w:t>
      </w:r>
      <w:r>
        <w:rPr>
          <w:spacing w:val="-2"/>
        </w:rPr>
        <w:t>problema</w:t>
      </w:r>
      <w:bookmarkEnd w:id="830"/>
    </w:p>
    <w:p w:rsidR="0011361F" w:rsidRPr="00402844" w:rsidRDefault="00AF18A5" w:rsidP="00402844">
      <w:r w:rsidRPr="00402844">
        <w:t>[...] que el lunes pasó una avioneta, iba a fumigar, y por fumigar la coca, fumigó mi «</w:t>
      </w:r>
      <w:proofErr w:type="spellStart"/>
      <w:r w:rsidRPr="00402844">
        <w:t>papachinal</w:t>
      </w:r>
      <w:proofErr w:type="spellEnd"/>
      <w:r w:rsidRPr="00402844">
        <w:t xml:space="preserve">», páguenme mi </w:t>
      </w:r>
      <w:proofErr w:type="spellStart"/>
      <w:r w:rsidRPr="00402844">
        <w:t>papachinal</w:t>
      </w:r>
      <w:proofErr w:type="spellEnd"/>
      <w:r w:rsidRPr="00402844">
        <w:t xml:space="preserve">, gobierno de Uribe, quiero mi </w:t>
      </w:r>
      <w:proofErr w:type="spellStart"/>
      <w:r w:rsidRPr="00402844">
        <w:t>papachinal</w:t>
      </w:r>
      <w:proofErr w:type="spellEnd"/>
      <w:r w:rsidRPr="00402844">
        <w:t>, Estados Unidos quiero mi</w:t>
      </w:r>
      <w:r w:rsidR="00402844">
        <w:t xml:space="preserve"> </w:t>
      </w:r>
      <w:proofErr w:type="spellStart"/>
      <w:r w:rsidRPr="00402844">
        <w:t>papachinal</w:t>
      </w:r>
      <w:proofErr w:type="spellEnd"/>
      <w:r w:rsidRPr="00402844">
        <w:t>, ese glifosato.</w:t>
      </w:r>
    </w:p>
    <w:p w:rsidR="0011361F" w:rsidRPr="00402844" w:rsidRDefault="00AF18A5" w:rsidP="00402844">
      <w:r w:rsidRPr="00402844">
        <w:t>Mujer, víctima</w:t>
      </w:r>
      <w:r w:rsidR="00402844">
        <w:rPr>
          <w:rStyle w:val="Refdenotaalpie"/>
        </w:rPr>
        <w:footnoteReference w:id="654"/>
      </w:r>
    </w:p>
    <w:p w:rsidR="0011361F" w:rsidRDefault="00AF18A5" w:rsidP="00402844">
      <w:r>
        <w:t>Un capítulo particular en el conflicto armado tiene que ver con la aspersión aérea con glifosato.</w:t>
      </w:r>
      <w:r>
        <w:rPr>
          <w:spacing w:val="-15"/>
        </w:rPr>
        <w:t xml:space="preserve"> </w:t>
      </w:r>
      <w:r>
        <w:t>Las</w:t>
      </w:r>
      <w:r>
        <w:rPr>
          <w:spacing w:val="-15"/>
        </w:rPr>
        <w:t xml:space="preserve"> </w:t>
      </w:r>
      <w:r>
        <w:t>fumigaciones</w:t>
      </w:r>
      <w:r>
        <w:rPr>
          <w:spacing w:val="-14"/>
        </w:rPr>
        <w:t xml:space="preserve"> </w:t>
      </w:r>
      <w:r>
        <w:t>de</w:t>
      </w:r>
      <w:r>
        <w:rPr>
          <w:spacing w:val="-15"/>
        </w:rPr>
        <w:t xml:space="preserve"> </w:t>
      </w:r>
      <w:r>
        <w:t>cultivos</w:t>
      </w:r>
      <w:r>
        <w:rPr>
          <w:spacing w:val="-14"/>
        </w:rPr>
        <w:t xml:space="preserve"> </w:t>
      </w:r>
      <w:r>
        <w:t>de</w:t>
      </w:r>
      <w:r>
        <w:rPr>
          <w:spacing w:val="-15"/>
        </w:rPr>
        <w:t xml:space="preserve"> </w:t>
      </w:r>
      <w:r>
        <w:t>coca</w:t>
      </w:r>
      <w:r>
        <w:rPr>
          <w:spacing w:val="-14"/>
        </w:rPr>
        <w:t xml:space="preserve"> </w:t>
      </w:r>
      <w:r>
        <w:t>se</w:t>
      </w:r>
      <w:r>
        <w:rPr>
          <w:spacing w:val="-15"/>
        </w:rPr>
        <w:t xml:space="preserve"> </w:t>
      </w:r>
      <w:r>
        <w:t>han</w:t>
      </w:r>
      <w:r>
        <w:rPr>
          <w:spacing w:val="-15"/>
        </w:rPr>
        <w:t xml:space="preserve"> </w:t>
      </w:r>
      <w:r>
        <w:t>usado</w:t>
      </w:r>
      <w:r>
        <w:rPr>
          <w:spacing w:val="-14"/>
        </w:rPr>
        <w:t xml:space="preserve"> </w:t>
      </w:r>
      <w:r>
        <w:t>repetidamente</w:t>
      </w:r>
      <w:r>
        <w:rPr>
          <w:spacing w:val="-15"/>
        </w:rPr>
        <w:t xml:space="preserve"> </w:t>
      </w:r>
      <w:r>
        <w:t>en</w:t>
      </w:r>
      <w:r>
        <w:rPr>
          <w:spacing w:val="-14"/>
        </w:rPr>
        <w:t xml:space="preserve"> </w:t>
      </w:r>
      <w:r>
        <w:t>el</w:t>
      </w:r>
      <w:r>
        <w:rPr>
          <w:spacing w:val="-15"/>
        </w:rPr>
        <w:t xml:space="preserve"> </w:t>
      </w:r>
      <w:r>
        <w:t>país,</w:t>
      </w:r>
      <w:r>
        <w:rPr>
          <w:spacing w:val="-15"/>
        </w:rPr>
        <w:t xml:space="preserve"> </w:t>
      </w:r>
      <w:r>
        <w:t>a</w:t>
      </w:r>
      <w:r>
        <w:rPr>
          <w:spacing w:val="-14"/>
        </w:rPr>
        <w:t xml:space="preserve"> </w:t>
      </w:r>
      <w:r>
        <w:t>pesar de</w:t>
      </w:r>
      <w:r>
        <w:rPr>
          <w:spacing w:val="-5"/>
        </w:rPr>
        <w:t xml:space="preserve"> </w:t>
      </w:r>
      <w:r>
        <w:t>los</w:t>
      </w:r>
      <w:r>
        <w:rPr>
          <w:spacing w:val="-5"/>
        </w:rPr>
        <w:t xml:space="preserve"> </w:t>
      </w:r>
      <w:r>
        <w:t>efectos</w:t>
      </w:r>
      <w:r>
        <w:rPr>
          <w:spacing w:val="-5"/>
        </w:rPr>
        <w:t xml:space="preserve"> </w:t>
      </w:r>
      <w:r>
        <w:t>negativos</w:t>
      </w:r>
      <w:r>
        <w:rPr>
          <w:spacing w:val="-5"/>
        </w:rPr>
        <w:t xml:space="preserve"> </w:t>
      </w:r>
      <w:r>
        <w:t>sobre</w:t>
      </w:r>
      <w:r>
        <w:rPr>
          <w:spacing w:val="-5"/>
        </w:rPr>
        <w:t xml:space="preserve"> </w:t>
      </w:r>
      <w:r>
        <w:t>la</w:t>
      </w:r>
      <w:r>
        <w:rPr>
          <w:spacing w:val="-6"/>
        </w:rPr>
        <w:t xml:space="preserve"> </w:t>
      </w:r>
      <w:r>
        <w:t>salud</w:t>
      </w:r>
      <w:r>
        <w:rPr>
          <w:spacing w:val="-6"/>
        </w:rPr>
        <w:t xml:space="preserve"> </w:t>
      </w:r>
      <w:r>
        <w:t>humana,</w:t>
      </w:r>
      <w:r>
        <w:rPr>
          <w:spacing w:val="-6"/>
        </w:rPr>
        <w:t xml:space="preserve"> </w:t>
      </w:r>
      <w:r>
        <w:t>la</w:t>
      </w:r>
      <w:r>
        <w:rPr>
          <w:spacing w:val="-6"/>
        </w:rPr>
        <w:t xml:space="preserve"> </w:t>
      </w:r>
      <w:r>
        <w:t>seguridad</w:t>
      </w:r>
      <w:r>
        <w:rPr>
          <w:spacing w:val="-6"/>
        </w:rPr>
        <w:t xml:space="preserve"> </w:t>
      </w:r>
      <w:r>
        <w:t>alimentaria</w:t>
      </w:r>
      <w:r>
        <w:rPr>
          <w:spacing w:val="-5"/>
        </w:rPr>
        <w:t xml:space="preserve"> </w:t>
      </w:r>
      <w:r>
        <w:t>y</w:t>
      </w:r>
      <w:r>
        <w:rPr>
          <w:spacing w:val="-6"/>
        </w:rPr>
        <w:t xml:space="preserve"> </w:t>
      </w:r>
      <w:r>
        <w:t>los</w:t>
      </w:r>
      <w:r>
        <w:rPr>
          <w:spacing w:val="-5"/>
        </w:rPr>
        <w:t xml:space="preserve"> </w:t>
      </w:r>
      <w:r>
        <w:t>impactos</w:t>
      </w:r>
      <w:r>
        <w:rPr>
          <w:spacing w:val="-7"/>
        </w:rPr>
        <w:t xml:space="preserve"> </w:t>
      </w:r>
      <w:r>
        <w:t>en</w:t>
      </w:r>
      <w:r>
        <w:rPr>
          <w:spacing w:val="-5"/>
        </w:rPr>
        <w:t xml:space="preserve"> </w:t>
      </w:r>
      <w:r>
        <w:t>la naturaleza. El debate sobre las fumigaciones ha estado mediado por las estrategias de lucha contra las FARC-EP, especialmente,</w:t>
      </w:r>
      <w:r>
        <w:rPr>
          <w:spacing w:val="-1"/>
        </w:rPr>
        <w:t xml:space="preserve"> </w:t>
      </w:r>
      <w:r>
        <w:t>en las zonas bajo su control o con una fuerte presencia en el sur de Colombia (gráfica 5).</w:t>
      </w:r>
    </w:p>
    <w:p w:rsidR="0011361F" w:rsidRDefault="00AF18A5" w:rsidP="00166CD7">
      <w:bookmarkStart w:id="831" w:name="_bookmark720"/>
      <w:bookmarkEnd w:id="831"/>
      <w:r>
        <w:rPr>
          <w:b/>
        </w:rPr>
        <w:t>Gráfica</w:t>
      </w:r>
      <w:r>
        <w:rPr>
          <w:b/>
          <w:spacing w:val="-4"/>
        </w:rPr>
        <w:t xml:space="preserve"> </w:t>
      </w:r>
      <w:r>
        <w:rPr>
          <w:b/>
        </w:rPr>
        <w:t>5.</w:t>
      </w:r>
      <w:r>
        <w:rPr>
          <w:b/>
          <w:spacing w:val="-2"/>
        </w:rPr>
        <w:t xml:space="preserve"> </w:t>
      </w:r>
      <w:r>
        <w:t>Presencia</w:t>
      </w:r>
      <w:r>
        <w:rPr>
          <w:spacing w:val="-2"/>
        </w:rPr>
        <w:t xml:space="preserve"> </w:t>
      </w:r>
      <w:r w:rsidRPr="00166CD7">
        <w:t>cultivos</w:t>
      </w:r>
      <w:r>
        <w:rPr>
          <w:spacing w:val="-2"/>
        </w:rPr>
        <w:t xml:space="preserve"> </w:t>
      </w:r>
      <w:r>
        <w:t>de</w:t>
      </w:r>
      <w:r>
        <w:rPr>
          <w:spacing w:val="-2"/>
        </w:rPr>
        <w:t xml:space="preserve"> </w:t>
      </w:r>
      <w:r>
        <w:t>coca,</w:t>
      </w:r>
      <w:r>
        <w:rPr>
          <w:spacing w:val="-1"/>
        </w:rPr>
        <w:t xml:space="preserve"> </w:t>
      </w:r>
      <w:r>
        <w:t>erradicación</w:t>
      </w:r>
      <w:r>
        <w:rPr>
          <w:spacing w:val="-2"/>
        </w:rPr>
        <w:t xml:space="preserve"> </w:t>
      </w:r>
      <w:r>
        <w:t>manual</w:t>
      </w:r>
      <w:r>
        <w:rPr>
          <w:spacing w:val="-2"/>
        </w:rPr>
        <w:t xml:space="preserve"> </w:t>
      </w:r>
      <w:r>
        <w:t>y</w:t>
      </w:r>
      <w:r>
        <w:rPr>
          <w:spacing w:val="-4"/>
        </w:rPr>
        <w:t xml:space="preserve"> </w:t>
      </w:r>
      <w:r>
        <w:t>glifosato.</w:t>
      </w:r>
      <w:r>
        <w:rPr>
          <w:spacing w:val="-1"/>
        </w:rPr>
        <w:t xml:space="preserve"> </w:t>
      </w:r>
      <w:r>
        <w:t>1999-</w:t>
      </w:r>
      <w:r>
        <w:rPr>
          <w:spacing w:val="-4"/>
        </w:rPr>
        <w:t>2016</w:t>
      </w:r>
    </w:p>
    <w:p w:rsidR="0011361F" w:rsidRDefault="00AF18A5">
      <w:pPr>
        <w:pStyle w:val="Textoindependiente"/>
        <w:spacing w:before="1"/>
        <w:rPr>
          <w:sz w:val="10"/>
        </w:rPr>
      </w:pPr>
      <w:r>
        <w:rPr>
          <w:noProof/>
        </w:rPr>
        <w:lastRenderedPageBreak/>
        <w:drawing>
          <wp:inline distT="0" distB="0" distL="0" distR="0">
            <wp:extent cx="5319255" cy="3491103"/>
            <wp:effectExtent l="0" t="0" r="0" b="0"/>
            <wp:docPr id="45" name="image24.png" descr="Descripción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319255" cy="3491103"/>
                    </a:xfrm>
                    <a:prstGeom prst="rect">
                      <a:avLst/>
                    </a:prstGeom>
                  </pic:spPr>
                </pic:pic>
              </a:graphicData>
            </a:graphic>
          </wp:inline>
        </w:drawing>
      </w:r>
    </w:p>
    <w:p w:rsidR="003804AC" w:rsidRPr="00166CD7" w:rsidRDefault="00AF18A5" w:rsidP="00166CD7">
      <w:r w:rsidRPr="00166CD7">
        <w:t>Fuente: Elaboración Analítica SIM con base en datos del Observatorio de Drogas de Colombia.</w:t>
      </w:r>
    </w:p>
    <w:p w:rsidR="003804AC" w:rsidRDefault="00AF18A5" w:rsidP="008A7083">
      <w:r>
        <w:t>Las fumigaciones masivas que se dieron desde mediados de los años noventa fueron negociadas con Estados Unidos y defendidas por gobiernos colombianos. Además de las consecuencias</w:t>
      </w:r>
      <w:r>
        <w:rPr>
          <w:spacing w:val="-3"/>
        </w:rPr>
        <w:t xml:space="preserve"> </w:t>
      </w:r>
      <w:r>
        <w:t>que</w:t>
      </w:r>
      <w:r>
        <w:rPr>
          <w:spacing w:val="-3"/>
        </w:rPr>
        <w:t xml:space="preserve"> </w:t>
      </w:r>
      <w:r>
        <w:t>esto</w:t>
      </w:r>
      <w:r>
        <w:rPr>
          <w:spacing w:val="-5"/>
        </w:rPr>
        <w:t xml:space="preserve"> </w:t>
      </w:r>
      <w:r>
        <w:t>tuvo</w:t>
      </w:r>
      <w:r>
        <w:rPr>
          <w:spacing w:val="-3"/>
        </w:rPr>
        <w:t xml:space="preserve"> </w:t>
      </w:r>
      <w:r>
        <w:t>en</w:t>
      </w:r>
      <w:r>
        <w:rPr>
          <w:spacing w:val="-3"/>
        </w:rPr>
        <w:t xml:space="preserve"> </w:t>
      </w:r>
      <w:r>
        <w:t>las</w:t>
      </w:r>
      <w:r>
        <w:rPr>
          <w:spacing w:val="-3"/>
        </w:rPr>
        <w:t xml:space="preserve"> </w:t>
      </w:r>
      <w:r>
        <w:t>poblaciones</w:t>
      </w:r>
      <w:r>
        <w:rPr>
          <w:spacing w:val="-3"/>
        </w:rPr>
        <w:t xml:space="preserve"> </w:t>
      </w:r>
      <w:r>
        <w:t>afectadas,</w:t>
      </w:r>
      <w:r>
        <w:rPr>
          <w:spacing w:val="-3"/>
        </w:rPr>
        <w:t xml:space="preserve"> </w:t>
      </w:r>
      <w:r>
        <w:t>en</w:t>
      </w:r>
      <w:r>
        <w:rPr>
          <w:spacing w:val="-5"/>
        </w:rPr>
        <w:t xml:space="preserve"> </w:t>
      </w:r>
      <w:r>
        <w:t>los</w:t>
      </w:r>
      <w:r>
        <w:rPr>
          <w:spacing w:val="-3"/>
        </w:rPr>
        <w:t xml:space="preserve"> </w:t>
      </w:r>
      <w:r>
        <w:t>campesinos</w:t>
      </w:r>
      <w:r>
        <w:rPr>
          <w:spacing w:val="-3"/>
        </w:rPr>
        <w:t xml:space="preserve"> </w:t>
      </w:r>
      <w:r>
        <w:t>cocaleros</w:t>
      </w:r>
      <w:r>
        <w:rPr>
          <w:spacing w:val="-3"/>
        </w:rPr>
        <w:t xml:space="preserve"> </w:t>
      </w:r>
      <w:r>
        <w:t>y</w:t>
      </w:r>
      <w:r>
        <w:rPr>
          <w:spacing w:val="-3"/>
        </w:rPr>
        <w:t xml:space="preserve"> </w:t>
      </w:r>
      <w:r>
        <w:t>los territorios, también influyó en el rumbo de la guerra. Por ejemplo, después de las fumigaciones</w:t>
      </w:r>
      <w:r>
        <w:rPr>
          <w:spacing w:val="-8"/>
        </w:rPr>
        <w:t xml:space="preserve"> </w:t>
      </w:r>
      <w:r>
        <w:t>en</w:t>
      </w:r>
      <w:r>
        <w:rPr>
          <w:spacing w:val="-8"/>
        </w:rPr>
        <w:t xml:space="preserve"> </w:t>
      </w:r>
      <w:r>
        <w:t>Putumayo</w:t>
      </w:r>
      <w:r>
        <w:rPr>
          <w:spacing w:val="-8"/>
        </w:rPr>
        <w:t xml:space="preserve"> </w:t>
      </w:r>
      <w:r>
        <w:t>a</w:t>
      </w:r>
      <w:r>
        <w:rPr>
          <w:spacing w:val="-8"/>
        </w:rPr>
        <w:t xml:space="preserve"> </w:t>
      </w:r>
      <w:r>
        <w:t>finales</w:t>
      </w:r>
      <w:r>
        <w:rPr>
          <w:spacing w:val="-8"/>
        </w:rPr>
        <w:t xml:space="preserve"> </w:t>
      </w:r>
      <w:r>
        <w:t>de</w:t>
      </w:r>
      <w:r>
        <w:rPr>
          <w:spacing w:val="-8"/>
        </w:rPr>
        <w:t xml:space="preserve"> </w:t>
      </w:r>
      <w:r>
        <w:t>esa</w:t>
      </w:r>
      <w:r>
        <w:rPr>
          <w:spacing w:val="-8"/>
        </w:rPr>
        <w:t xml:space="preserve"> </w:t>
      </w:r>
      <w:r>
        <w:t>década,</w:t>
      </w:r>
      <w:r>
        <w:rPr>
          <w:spacing w:val="-8"/>
        </w:rPr>
        <w:t xml:space="preserve"> </w:t>
      </w:r>
      <w:r>
        <w:t>los</w:t>
      </w:r>
      <w:r>
        <w:rPr>
          <w:spacing w:val="-8"/>
        </w:rPr>
        <w:t xml:space="preserve"> </w:t>
      </w:r>
      <w:r>
        <w:t>cultivos</w:t>
      </w:r>
      <w:r>
        <w:rPr>
          <w:spacing w:val="-8"/>
        </w:rPr>
        <w:t xml:space="preserve"> </w:t>
      </w:r>
      <w:r>
        <w:t>se</w:t>
      </w:r>
      <w:r>
        <w:rPr>
          <w:spacing w:val="-8"/>
        </w:rPr>
        <w:t xml:space="preserve"> </w:t>
      </w:r>
      <w:r>
        <w:t>desplazaron</w:t>
      </w:r>
      <w:r>
        <w:rPr>
          <w:spacing w:val="-8"/>
        </w:rPr>
        <w:t xml:space="preserve"> </w:t>
      </w:r>
      <w:r>
        <w:t>hacia</w:t>
      </w:r>
      <w:r>
        <w:rPr>
          <w:spacing w:val="-8"/>
        </w:rPr>
        <w:t xml:space="preserve"> </w:t>
      </w:r>
      <w:r>
        <w:t>Nariño, donde aparecieron nuevas formas de colonización y despojo.</w:t>
      </w:r>
    </w:p>
    <w:p w:rsidR="003804AC" w:rsidRDefault="00AF18A5" w:rsidP="008A7083">
      <w:r>
        <w:t>Desde su inicio en 1980, las fumigaciones despertaron fuertes debates internos en el Estado,</w:t>
      </w:r>
      <w:r>
        <w:rPr>
          <w:spacing w:val="-11"/>
        </w:rPr>
        <w:t xml:space="preserve"> </w:t>
      </w:r>
      <w:r>
        <w:t>porque</w:t>
      </w:r>
      <w:r>
        <w:rPr>
          <w:spacing w:val="-11"/>
        </w:rPr>
        <w:t xml:space="preserve"> </w:t>
      </w:r>
      <w:r>
        <w:t>los</w:t>
      </w:r>
      <w:r>
        <w:rPr>
          <w:spacing w:val="-11"/>
        </w:rPr>
        <w:t xml:space="preserve"> </w:t>
      </w:r>
      <w:r>
        <w:t>derechos</w:t>
      </w:r>
      <w:r>
        <w:rPr>
          <w:spacing w:val="-11"/>
        </w:rPr>
        <w:t xml:space="preserve"> </w:t>
      </w:r>
      <w:r>
        <w:t>a</w:t>
      </w:r>
      <w:r>
        <w:rPr>
          <w:spacing w:val="-11"/>
        </w:rPr>
        <w:t xml:space="preserve"> </w:t>
      </w:r>
      <w:r>
        <w:t>la</w:t>
      </w:r>
      <w:r>
        <w:rPr>
          <w:spacing w:val="-11"/>
        </w:rPr>
        <w:t xml:space="preserve"> </w:t>
      </w:r>
      <w:r>
        <w:t>salud</w:t>
      </w:r>
      <w:r>
        <w:rPr>
          <w:spacing w:val="-11"/>
        </w:rPr>
        <w:t xml:space="preserve"> </w:t>
      </w:r>
      <w:r>
        <w:t>o</w:t>
      </w:r>
      <w:r>
        <w:rPr>
          <w:spacing w:val="-11"/>
        </w:rPr>
        <w:t xml:space="preserve"> </w:t>
      </w:r>
      <w:r>
        <w:t>a</w:t>
      </w:r>
      <w:r>
        <w:rPr>
          <w:spacing w:val="-11"/>
        </w:rPr>
        <w:t xml:space="preserve"> </w:t>
      </w:r>
      <w:r>
        <w:t>un</w:t>
      </w:r>
      <w:r>
        <w:rPr>
          <w:spacing w:val="-11"/>
        </w:rPr>
        <w:t xml:space="preserve"> </w:t>
      </w:r>
      <w:r>
        <w:t>ambiente</w:t>
      </w:r>
      <w:r>
        <w:rPr>
          <w:spacing w:val="-12"/>
        </w:rPr>
        <w:t xml:space="preserve"> </w:t>
      </w:r>
      <w:r>
        <w:t>sano</w:t>
      </w:r>
      <w:r>
        <w:rPr>
          <w:spacing w:val="-11"/>
        </w:rPr>
        <w:t xml:space="preserve"> </w:t>
      </w:r>
      <w:r>
        <w:t>se</w:t>
      </w:r>
      <w:r>
        <w:rPr>
          <w:spacing w:val="-12"/>
        </w:rPr>
        <w:t xml:space="preserve"> </w:t>
      </w:r>
      <w:r>
        <w:t>enfrentaron</w:t>
      </w:r>
      <w:r>
        <w:rPr>
          <w:spacing w:val="-12"/>
        </w:rPr>
        <w:t xml:space="preserve"> </w:t>
      </w:r>
      <w:r>
        <w:t>con</w:t>
      </w:r>
      <w:r>
        <w:rPr>
          <w:spacing w:val="-11"/>
        </w:rPr>
        <w:t xml:space="preserve"> </w:t>
      </w:r>
      <w:r>
        <w:t>las</w:t>
      </w:r>
      <w:r>
        <w:rPr>
          <w:spacing w:val="-12"/>
        </w:rPr>
        <w:t xml:space="preserve"> </w:t>
      </w:r>
      <w:r>
        <w:t>estrategias de seguridad nacional. Diversas instituciones se declararon a favor y en contra de las fumigaciones.</w:t>
      </w:r>
      <w:r>
        <w:rPr>
          <w:spacing w:val="3"/>
        </w:rPr>
        <w:t xml:space="preserve"> </w:t>
      </w:r>
      <w:r>
        <w:t>En</w:t>
      </w:r>
      <w:r>
        <w:rPr>
          <w:spacing w:val="5"/>
        </w:rPr>
        <w:t xml:space="preserve"> </w:t>
      </w:r>
      <w:r>
        <w:lastRenderedPageBreak/>
        <w:t>un</w:t>
      </w:r>
      <w:r>
        <w:rPr>
          <w:spacing w:val="3"/>
        </w:rPr>
        <w:t xml:space="preserve"> </w:t>
      </w:r>
      <w:r>
        <w:t>lado</w:t>
      </w:r>
      <w:r>
        <w:rPr>
          <w:spacing w:val="5"/>
        </w:rPr>
        <w:t xml:space="preserve"> </w:t>
      </w:r>
      <w:r>
        <w:t>estuvieron</w:t>
      </w:r>
      <w:r>
        <w:rPr>
          <w:spacing w:val="3"/>
        </w:rPr>
        <w:t xml:space="preserve"> </w:t>
      </w:r>
      <w:r>
        <w:t>la</w:t>
      </w:r>
      <w:r>
        <w:rPr>
          <w:spacing w:val="4"/>
        </w:rPr>
        <w:t xml:space="preserve"> </w:t>
      </w:r>
      <w:r>
        <w:t>Policía</w:t>
      </w:r>
      <w:r>
        <w:rPr>
          <w:spacing w:val="4"/>
        </w:rPr>
        <w:t xml:space="preserve"> </w:t>
      </w:r>
      <w:r>
        <w:t>y</w:t>
      </w:r>
      <w:r>
        <w:rPr>
          <w:spacing w:val="3"/>
        </w:rPr>
        <w:t xml:space="preserve"> </w:t>
      </w:r>
      <w:r>
        <w:t>la</w:t>
      </w:r>
      <w:r>
        <w:rPr>
          <w:spacing w:val="4"/>
        </w:rPr>
        <w:t xml:space="preserve"> </w:t>
      </w:r>
      <w:r>
        <w:t>fuerza</w:t>
      </w:r>
      <w:r>
        <w:rPr>
          <w:spacing w:val="5"/>
        </w:rPr>
        <w:t xml:space="preserve"> </w:t>
      </w:r>
      <w:r>
        <w:t>pública</w:t>
      </w:r>
      <w:r>
        <w:rPr>
          <w:spacing w:val="4"/>
        </w:rPr>
        <w:t xml:space="preserve"> </w:t>
      </w:r>
      <w:r>
        <w:t>y</w:t>
      </w:r>
      <w:r>
        <w:rPr>
          <w:spacing w:val="5"/>
        </w:rPr>
        <w:t xml:space="preserve"> </w:t>
      </w:r>
      <w:r>
        <w:t>en</w:t>
      </w:r>
      <w:r>
        <w:rPr>
          <w:spacing w:val="3"/>
        </w:rPr>
        <w:t xml:space="preserve"> </w:t>
      </w:r>
      <w:r>
        <w:t>el</w:t>
      </w:r>
      <w:r>
        <w:rPr>
          <w:spacing w:val="4"/>
        </w:rPr>
        <w:t xml:space="preserve"> </w:t>
      </w:r>
      <w:r>
        <w:t>otro</w:t>
      </w:r>
      <w:r>
        <w:rPr>
          <w:spacing w:val="3"/>
        </w:rPr>
        <w:t xml:space="preserve"> </w:t>
      </w:r>
      <w:r>
        <w:t>el</w:t>
      </w:r>
      <w:r>
        <w:rPr>
          <w:spacing w:val="5"/>
        </w:rPr>
        <w:t xml:space="preserve"> </w:t>
      </w:r>
      <w:r>
        <w:rPr>
          <w:spacing w:val="-2"/>
        </w:rPr>
        <w:t>Ministerio</w:t>
      </w:r>
    </w:p>
    <w:p w:rsidR="003804AC" w:rsidRDefault="00AF18A5" w:rsidP="008A7083">
      <w:r>
        <w:t>de</w:t>
      </w:r>
      <w:r>
        <w:rPr>
          <w:spacing w:val="-7"/>
        </w:rPr>
        <w:t xml:space="preserve"> </w:t>
      </w:r>
      <w:r>
        <w:t>Salud</w:t>
      </w:r>
      <w:r>
        <w:rPr>
          <w:spacing w:val="-7"/>
        </w:rPr>
        <w:t xml:space="preserve"> </w:t>
      </w:r>
      <w:r>
        <w:t>y</w:t>
      </w:r>
      <w:r>
        <w:rPr>
          <w:spacing w:val="-8"/>
        </w:rPr>
        <w:t xml:space="preserve"> </w:t>
      </w:r>
      <w:r>
        <w:t>Ambiente</w:t>
      </w:r>
      <w:r>
        <w:rPr>
          <w:spacing w:val="-7"/>
        </w:rPr>
        <w:t xml:space="preserve"> </w:t>
      </w:r>
      <w:r>
        <w:t>o</w:t>
      </w:r>
      <w:r>
        <w:rPr>
          <w:spacing w:val="-8"/>
        </w:rPr>
        <w:t xml:space="preserve"> </w:t>
      </w:r>
      <w:r>
        <w:t>el</w:t>
      </w:r>
      <w:r>
        <w:rPr>
          <w:spacing w:val="-7"/>
        </w:rPr>
        <w:t xml:space="preserve"> </w:t>
      </w:r>
      <w:proofErr w:type="spellStart"/>
      <w:r>
        <w:t>Inderena</w:t>
      </w:r>
      <w:proofErr w:type="spellEnd"/>
      <w:r w:rsidR="008A7083">
        <w:rPr>
          <w:rStyle w:val="Refdenotaalpie"/>
        </w:rPr>
        <w:footnoteReference w:id="655"/>
      </w:r>
      <w:r>
        <w:t>.</w:t>
      </w:r>
      <w:r>
        <w:rPr>
          <w:spacing w:val="-7"/>
        </w:rPr>
        <w:t xml:space="preserve"> </w:t>
      </w:r>
      <w:r>
        <w:t>Más</w:t>
      </w:r>
      <w:r>
        <w:rPr>
          <w:spacing w:val="-7"/>
        </w:rPr>
        <w:t xml:space="preserve"> </w:t>
      </w:r>
      <w:r>
        <w:t>adelante</w:t>
      </w:r>
      <w:r>
        <w:rPr>
          <w:spacing w:val="-7"/>
        </w:rPr>
        <w:t xml:space="preserve"> </w:t>
      </w:r>
      <w:r>
        <w:t>entraron</w:t>
      </w:r>
      <w:r>
        <w:rPr>
          <w:spacing w:val="-7"/>
        </w:rPr>
        <w:t xml:space="preserve"> </w:t>
      </w:r>
      <w:r>
        <w:t>en</w:t>
      </w:r>
      <w:r>
        <w:rPr>
          <w:spacing w:val="-7"/>
        </w:rPr>
        <w:t xml:space="preserve"> </w:t>
      </w:r>
      <w:r>
        <w:t>conflicto</w:t>
      </w:r>
      <w:r>
        <w:rPr>
          <w:spacing w:val="-8"/>
        </w:rPr>
        <w:t xml:space="preserve"> </w:t>
      </w:r>
      <w:r>
        <w:t>instituciones</w:t>
      </w:r>
      <w:r>
        <w:rPr>
          <w:spacing w:val="-8"/>
        </w:rPr>
        <w:t xml:space="preserve"> </w:t>
      </w:r>
      <w:r>
        <w:t>como el</w:t>
      </w:r>
      <w:r>
        <w:rPr>
          <w:spacing w:val="-7"/>
        </w:rPr>
        <w:t xml:space="preserve"> </w:t>
      </w:r>
      <w:r>
        <w:t>Ministerio</w:t>
      </w:r>
      <w:r>
        <w:rPr>
          <w:spacing w:val="-7"/>
        </w:rPr>
        <w:t xml:space="preserve"> </w:t>
      </w:r>
      <w:r>
        <w:t>de</w:t>
      </w:r>
      <w:r>
        <w:rPr>
          <w:spacing w:val="-7"/>
        </w:rPr>
        <w:t xml:space="preserve"> </w:t>
      </w:r>
      <w:r>
        <w:t>Salud</w:t>
      </w:r>
      <w:r>
        <w:rPr>
          <w:spacing w:val="-7"/>
        </w:rPr>
        <w:t xml:space="preserve"> </w:t>
      </w:r>
      <w:r>
        <w:t>y</w:t>
      </w:r>
      <w:r>
        <w:rPr>
          <w:spacing w:val="-8"/>
        </w:rPr>
        <w:t xml:space="preserve"> </w:t>
      </w:r>
      <w:r>
        <w:t>de</w:t>
      </w:r>
      <w:r>
        <w:rPr>
          <w:spacing w:val="-7"/>
        </w:rPr>
        <w:t xml:space="preserve"> </w:t>
      </w:r>
      <w:r>
        <w:t>Ambiente</w:t>
      </w:r>
      <w:r>
        <w:rPr>
          <w:spacing w:val="-7"/>
        </w:rPr>
        <w:t xml:space="preserve"> </w:t>
      </w:r>
      <w:r>
        <w:t>con</w:t>
      </w:r>
      <w:r>
        <w:rPr>
          <w:spacing w:val="-7"/>
        </w:rPr>
        <w:t xml:space="preserve"> </w:t>
      </w:r>
      <w:r>
        <w:t>la</w:t>
      </w:r>
      <w:r>
        <w:rPr>
          <w:spacing w:val="-8"/>
        </w:rPr>
        <w:t xml:space="preserve"> </w:t>
      </w:r>
      <w:r>
        <w:t>Dirección</w:t>
      </w:r>
      <w:r>
        <w:rPr>
          <w:spacing w:val="-7"/>
        </w:rPr>
        <w:t xml:space="preserve"> </w:t>
      </w:r>
      <w:r>
        <w:t>Antinarcóticos</w:t>
      </w:r>
      <w:r>
        <w:rPr>
          <w:spacing w:val="-7"/>
        </w:rPr>
        <w:t xml:space="preserve"> </w:t>
      </w:r>
      <w:r>
        <w:t>de</w:t>
      </w:r>
      <w:r>
        <w:rPr>
          <w:spacing w:val="-8"/>
        </w:rPr>
        <w:t xml:space="preserve"> </w:t>
      </w:r>
      <w:r>
        <w:t>la</w:t>
      </w:r>
      <w:r>
        <w:rPr>
          <w:spacing w:val="-7"/>
        </w:rPr>
        <w:t xml:space="preserve"> </w:t>
      </w:r>
      <w:r>
        <w:t>Policía</w:t>
      </w:r>
      <w:r>
        <w:rPr>
          <w:spacing w:val="-7"/>
        </w:rPr>
        <w:t xml:space="preserve"> </w:t>
      </w:r>
      <w:r>
        <w:t>Nacional o el Consejo Nacional de Estupefacientes (CNE)</w:t>
      </w:r>
      <w:r w:rsidR="008A7083">
        <w:rPr>
          <w:rStyle w:val="Refdenotaalpie"/>
        </w:rPr>
        <w:footnoteReference w:id="656"/>
      </w:r>
      <w:r>
        <w:t>. A principios de los ochenta se desarrollaron las misiones colombianas para la evaluación de la aspersión aérea con herbicidas</w:t>
      </w:r>
      <w:r>
        <w:rPr>
          <w:spacing w:val="-10"/>
        </w:rPr>
        <w:t xml:space="preserve"> </w:t>
      </w:r>
      <w:r>
        <w:t>en</w:t>
      </w:r>
      <w:r>
        <w:rPr>
          <w:spacing w:val="-11"/>
        </w:rPr>
        <w:t xml:space="preserve"> </w:t>
      </w:r>
      <w:r>
        <w:t>México</w:t>
      </w:r>
      <w:r>
        <w:rPr>
          <w:spacing w:val="-11"/>
        </w:rPr>
        <w:t xml:space="preserve"> </w:t>
      </w:r>
      <w:r>
        <w:t>y</w:t>
      </w:r>
      <w:r>
        <w:rPr>
          <w:spacing w:val="-12"/>
        </w:rPr>
        <w:t xml:space="preserve"> </w:t>
      </w:r>
      <w:r>
        <w:t>Colombia,</w:t>
      </w:r>
      <w:r>
        <w:rPr>
          <w:spacing w:val="-11"/>
        </w:rPr>
        <w:t xml:space="preserve"> </w:t>
      </w:r>
      <w:r>
        <w:t>cuyas</w:t>
      </w:r>
      <w:r>
        <w:rPr>
          <w:spacing w:val="-10"/>
        </w:rPr>
        <w:t xml:space="preserve"> </w:t>
      </w:r>
      <w:r>
        <w:t>conclusiones</w:t>
      </w:r>
      <w:r>
        <w:rPr>
          <w:spacing w:val="-10"/>
        </w:rPr>
        <w:t xml:space="preserve"> </w:t>
      </w:r>
      <w:r>
        <w:t>fueron</w:t>
      </w:r>
      <w:r>
        <w:rPr>
          <w:spacing w:val="-12"/>
        </w:rPr>
        <w:t xml:space="preserve"> </w:t>
      </w:r>
      <w:r>
        <w:t>diferentes</w:t>
      </w:r>
      <w:r>
        <w:rPr>
          <w:spacing w:val="-10"/>
        </w:rPr>
        <w:t xml:space="preserve"> </w:t>
      </w:r>
      <w:r>
        <w:t>para</w:t>
      </w:r>
      <w:r>
        <w:rPr>
          <w:spacing w:val="-10"/>
        </w:rPr>
        <w:t xml:space="preserve"> </w:t>
      </w:r>
      <w:r>
        <w:t>los</w:t>
      </w:r>
      <w:r>
        <w:rPr>
          <w:spacing w:val="-12"/>
        </w:rPr>
        <w:t xml:space="preserve"> </w:t>
      </w:r>
      <w:r>
        <w:t>enviados</w:t>
      </w:r>
      <w:r>
        <w:rPr>
          <w:spacing w:val="-10"/>
        </w:rPr>
        <w:t xml:space="preserve"> </w:t>
      </w:r>
      <w:r>
        <w:t>de la</w:t>
      </w:r>
      <w:r>
        <w:rPr>
          <w:spacing w:val="-3"/>
        </w:rPr>
        <w:t xml:space="preserve"> </w:t>
      </w:r>
      <w:r>
        <w:t>Policía</w:t>
      </w:r>
      <w:r>
        <w:rPr>
          <w:spacing w:val="-3"/>
        </w:rPr>
        <w:t xml:space="preserve"> </w:t>
      </w:r>
      <w:r>
        <w:t>y</w:t>
      </w:r>
      <w:r>
        <w:rPr>
          <w:spacing w:val="-4"/>
        </w:rPr>
        <w:t xml:space="preserve"> </w:t>
      </w:r>
      <w:r>
        <w:t>los</w:t>
      </w:r>
      <w:r>
        <w:rPr>
          <w:spacing w:val="-3"/>
        </w:rPr>
        <w:t xml:space="preserve"> </w:t>
      </w:r>
      <w:r>
        <w:t>científicos</w:t>
      </w:r>
      <w:r>
        <w:rPr>
          <w:spacing w:val="-3"/>
        </w:rPr>
        <w:t xml:space="preserve"> </w:t>
      </w:r>
      <w:r>
        <w:t>de</w:t>
      </w:r>
      <w:r>
        <w:rPr>
          <w:spacing w:val="-3"/>
        </w:rPr>
        <w:t xml:space="preserve"> </w:t>
      </w:r>
      <w:r>
        <w:t>los</w:t>
      </w:r>
      <w:r>
        <w:rPr>
          <w:spacing w:val="-3"/>
        </w:rPr>
        <w:t xml:space="preserve"> </w:t>
      </w:r>
      <w:r>
        <w:t>ministerios:</w:t>
      </w:r>
      <w:r>
        <w:rPr>
          <w:spacing w:val="-3"/>
        </w:rPr>
        <w:t xml:space="preserve"> </w:t>
      </w:r>
      <w:r>
        <w:t>unos</w:t>
      </w:r>
      <w:r>
        <w:rPr>
          <w:spacing w:val="-5"/>
        </w:rPr>
        <w:t xml:space="preserve"> </w:t>
      </w:r>
      <w:r>
        <w:t>estuvieron</w:t>
      </w:r>
      <w:r>
        <w:rPr>
          <w:spacing w:val="-4"/>
        </w:rPr>
        <w:t xml:space="preserve"> </w:t>
      </w:r>
      <w:r>
        <w:t>a</w:t>
      </w:r>
      <w:r>
        <w:rPr>
          <w:spacing w:val="-5"/>
        </w:rPr>
        <w:t xml:space="preserve"> </w:t>
      </w:r>
      <w:r>
        <w:t>favor</w:t>
      </w:r>
      <w:r>
        <w:rPr>
          <w:spacing w:val="-3"/>
        </w:rPr>
        <w:t xml:space="preserve"> </w:t>
      </w:r>
      <w:r>
        <w:t>y</w:t>
      </w:r>
      <w:r>
        <w:rPr>
          <w:spacing w:val="-4"/>
        </w:rPr>
        <w:t xml:space="preserve"> </w:t>
      </w:r>
      <w:r>
        <w:t>otros</w:t>
      </w:r>
      <w:r>
        <w:rPr>
          <w:spacing w:val="-3"/>
        </w:rPr>
        <w:t xml:space="preserve"> </w:t>
      </w:r>
      <w:r>
        <w:t>en</w:t>
      </w:r>
      <w:r>
        <w:rPr>
          <w:spacing w:val="-4"/>
        </w:rPr>
        <w:t xml:space="preserve"> </w:t>
      </w:r>
      <w:r>
        <w:t>contra</w:t>
      </w:r>
      <w:r w:rsidR="008A7083">
        <w:rPr>
          <w:rStyle w:val="Refdenotaalpie"/>
        </w:rPr>
        <w:footnoteReference w:id="657"/>
      </w:r>
      <w:r>
        <w:t>.</w:t>
      </w:r>
      <w:r>
        <w:rPr>
          <w:spacing w:val="-4"/>
        </w:rPr>
        <w:t xml:space="preserve"> </w:t>
      </w:r>
      <w:r>
        <w:t>El CNE</w:t>
      </w:r>
      <w:r>
        <w:rPr>
          <w:spacing w:val="-5"/>
        </w:rPr>
        <w:t xml:space="preserve"> </w:t>
      </w:r>
      <w:r>
        <w:t>aprobó</w:t>
      </w:r>
      <w:r>
        <w:rPr>
          <w:spacing w:val="-5"/>
        </w:rPr>
        <w:t xml:space="preserve"> </w:t>
      </w:r>
      <w:r>
        <w:t>su</w:t>
      </w:r>
      <w:r>
        <w:rPr>
          <w:spacing w:val="-5"/>
        </w:rPr>
        <w:t xml:space="preserve"> </w:t>
      </w:r>
      <w:r>
        <w:t>uso</w:t>
      </w:r>
      <w:r>
        <w:rPr>
          <w:spacing w:val="-5"/>
        </w:rPr>
        <w:t xml:space="preserve"> </w:t>
      </w:r>
      <w:r>
        <w:t>días</w:t>
      </w:r>
      <w:r>
        <w:rPr>
          <w:spacing w:val="-6"/>
        </w:rPr>
        <w:t xml:space="preserve"> </w:t>
      </w:r>
      <w:r>
        <w:t>después</w:t>
      </w:r>
      <w:r>
        <w:rPr>
          <w:spacing w:val="-4"/>
        </w:rPr>
        <w:t xml:space="preserve"> </w:t>
      </w:r>
      <w:r>
        <w:t>del</w:t>
      </w:r>
      <w:r>
        <w:rPr>
          <w:spacing w:val="-5"/>
        </w:rPr>
        <w:t xml:space="preserve"> </w:t>
      </w:r>
      <w:r>
        <w:t>asesinato</w:t>
      </w:r>
      <w:r>
        <w:rPr>
          <w:spacing w:val="-5"/>
        </w:rPr>
        <w:t xml:space="preserve"> </w:t>
      </w:r>
      <w:r>
        <w:t>del</w:t>
      </w:r>
      <w:r>
        <w:rPr>
          <w:spacing w:val="-4"/>
        </w:rPr>
        <w:t xml:space="preserve"> </w:t>
      </w:r>
      <w:r>
        <w:t>ministro</w:t>
      </w:r>
      <w:r>
        <w:rPr>
          <w:spacing w:val="-5"/>
        </w:rPr>
        <w:t xml:space="preserve"> </w:t>
      </w:r>
      <w:r>
        <w:t>de</w:t>
      </w:r>
      <w:r>
        <w:rPr>
          <w:spacing w:val="-6"/>
        </w:rPr>
        <w:t xml:space="preserve"> </w:t>
      </w:r>
      <w:r>
        <w:t>justicia</w:t>
      </w:r>
      <w:r>
        <w:rPr>
          <w:spacing w:val="-4"/>
        </w:rPr>
        <w:t xml:space="preserve"> </w:t>
      </w:r>
      <w:r>
        <w:t>Rodrigo</w:t>
      </w:r>
      <w:r>
        <w:rPr>
          <w:spacing w:val="-5"/>
        </w:rPr>
        <w:t xml:space="preserve"> </w:t>
      </w:r>
      <w:r>
        <w:t>Lara</w:t>
      </w:r>
      <w:r>
        <w:rPr>
          <w:spacing w:val="-4"/>
        </w:rPr>
        <w:t xml:space="preserve"> </w:t>
      </w:r>
      <w:r>
        <w:t>Bonilla, el 30 de abril de 1984</w:t>
      </w:r>
      <w:r w:rsidR="008A7083">
        <w:rPr>
          <w:rStyle w:val="Refdenotaalpie"/>
        </w:rPr>
        <w:footnoteReference w:id="658"/>
      </w:r>
      <w:r>
        <w:t>. La decisión de asperjar se tomó bajo la presión de los Estados Unidos,</w:t>
      </w:r>
      <w:r>
        <w:rPr>
          <w:spacing w:val="-3"/>
        </w:rPr>
        <w:t xml:space="preserve"> </w:t>
      </w:r>
      <w:r>
        <w:t>pese</w:t>
      </w:r>
      <w:r>
        <w:rPr>
          <w:spacing w:val="-2"/>
        </w:rPr>
        <w:t xml:space="preserve"> </w:t>
      </w:r>
      <w:r>
        <w:t>a</w:t>
      </w:r>
      <w:r>
        <w:rPr>
          <w:spacing w:val="-2"/>
        </w:rPr>
        <w:t xml:space="preserve"> </w:t>
      </w:r>
      <w:r>
        <w:t>la</w:t>
      </w:r>
      <w:r>
        <w:rPr>
          <w:spacing w:val="-2"/>
        </w:rPr>
        <w:t xml:space="preserve"> </w:t>
      </w:r>
      <w:r>
        <w:t>falta</w:t>
      </w:r>
      <w:r>
        <w:rPr>
          <w:spacing w:val="-2"/>
        </w:rPr>
        <w:t xml:space="preserve"> </w:t>
      </w:r>
      <w:r>
        <w:t>de</w:t>
      </w:r>
      <w:r>
        <w:rPr>
          <w:spacing w:val="-2"/>
        </w:rPr>
        <w:t xml:space="preserve"> </w:t>
      </w:r>
      <w:r>
        <w:t>información</w:t>
      </w:r>
      <w:r>
        <w:rPr>
          <w:spacing w:val="-2"/>
        </w:rPr>
        <w:t xml:space="preserve"> </w:t>
      </w:r>
      <w:r>
        <w:t>concluyente</w:t>
      </w:r>
      <w:r>
        <w:rPr>
          <w:spacing w:val="-2"/>
        </w:rPr>
        <w:t xml:space="preserve"> </w:t>
      </w:r>
      <w:r>
        <w:t>sobre</w:t>
      </w:r>
      <w:r>
        <w:rPr>
          <w:spacing w:val="-3"/>
        </w:rPr>
        <w:t xml:space="preserve"> </w:t>
      </w:r>
      <w:r>
        <w:t>su</w:t>
      </w:r>
      <w:r>
        <w:rPr>
          <w:spacing w:val="-3"/>
        </w:rPr>
        <w:t xml:space="preserve"> </w:t>
      </w:r>
      <w:r>
        <w:t>eficacia</w:t>
      </w:r>
      <w:r>
        <w:rPr>
          <w:spacing w:val="-2"/>
        </w:rPr>
        <w:t xml:space="preserve"> </w:t>
      </w:r>
      <w:r>
        <w:t>y</w:t>
      </w:r>
      <w:r>
        <w:rPr>
          <w:spacing w:val="-4"/>
        </w:rPr>
        <w:t xml:space="preserve"> </w:t>
      </w:r>
      <w:r>
        <w:t>las</w:t>
      </w:r>
      <w:r>
        <w:rPr>
          <w:spacing w:val="-3"/>
        </w:rPr>
        <w:t xml:space="preserve"> </w:t>
      </w:r>
      <w:r>
        <w:t>serias</w:t>
      </w:r>
      <w:r>
        <w:rPr>
          <w:spacing w:val="-2"/>
        </w:rPr>
        <w:t xml:space="preserve"> </w:t>
      </w:r>
      <w:r>
        <w:t>dudas</w:t>
      </w:r>
      <w:r>
        <w:rPr>
          <w:spacing w:val="-3"/>
        </w:rPr>
        <w:t xml:space="preserve"> </w:t>
      </w:r>
      <w:r>
        <w:t>sobre los posibles daños a la salud y al ecosistema</w:t>
      </w:r>
      <w:r w:rsidR="008A7083">
        <w:rPr>
          <w:rStyle w:val="Refdenotaalpie"/>
        </w:rPr>
        <w:footnoteReference w:id="659"/>
      </w:r>
      <w:r>
        <w:t>.</w:t>
      </w:r>
    </w:p>
    <w:p w:rsidR="003804AC" w:rsidRDefault="00AF18A5" w:rsidP="008A7083">
      <w:r>
        <w:lastRenderedPageBreak/>
        <w:t>Esto</w:t>
      </w:r>
      <w:r>
        <w:rPr>
          <w:spacing w:val="73"/>
        </w:rPr>
        <w:t xml:space="preserve"> </w:t>
      </w:r>
      <w:r>
        <w:t>volvió</w:t>
      </w:r>
      <w:r>
        <w:rPr>
          <w:spacing w:val="75"/>
        </w:rPr>
        <w:t xml:space="preserve"> </w:t>
      </w:r>
      <w:r>
        <w:t>a</w:t>
      </w:r>
      <w:r>
        <w:rPr>
          <w:spacing w:val="76"/>
        </w:rPr>
        <w:t xml:space="preserve"> </w:t>
      </w:r>
      <w:r>
        <w:t>repetirse</w:t>
      </w:r>
      <w:r>
        <w:rPr>
          <w:spacing w:val="75"/>
        </w:rPr>
        <w:t xml:space="preserve"> </w:t>
      </w:r>
      <w:r>
        <w:t>en</w:t>
      </w:r>
      <w:r>
        <w:rPr>
          <w:spacing w:val="75"/>
        </w:rPr>
        <w:t xml:space="preserve"> </w:t>
      </w:r>
      <w:r>
        <w:t>la</w:t>
      </w:r>
      <w:r>
        <w:rPr>
          <w:spacing w:val="77"/>
        </w:rPr>
        <w:t xml:space="preserve"> </w:t>
      </w:r>
      <w:r>
        <w:t>década</w:t>
      </w:r>
      <w:r>
        <w:rPr>
          <w:spacing w:val="77"/>
        </w:rPr>
        <w:t xml:space="preserve"> </w:t>
      </w:r>
      <w:r>
        <w:t>de</w:t>
      </w:r>
      <w:r>
        <w:rPr>
          <w:spacing w:val="76"/>
        </w:rPr>
        <w:t xml:space="preserve"> </w:t>
      </w:r>
      <w:r>
        <w:t>los</w:t>
      </w:r>
      <w:r>
        <w:rPr>
          <w:spacing w:val="75"/>
        </w:rPr>
        <w:t xml:space="preserve"> </w:t>
      </w:r>
      <w:r>
        <w:t>noventa</w:t>
      </w:r>
      <w:r>
        <w:rPr>
          <w:spacing w:val="76"/>
        </w:rPr>
        <w:t xml:space="preserve"> </w:t>
      </w:r>
      <w:r>
        <w:t>cuando</w:t>
      </w:r>
      <w:r>
        <w:rPr>
          <w:spacing w:val="76"/>
        </w:rPr>
        <w:t xml:space="preserve"> </w:t>
      </w:r>
      <w:r>
        <w:t>se</w:t>
      </w:r>
      <w:r>
        <w:rPr>
          <w:spacing w:val="76"/>
        </w:rPr>
        <w:t xml:space="preserve"> </w:t>
      </w:r>
      <w:r>
        <w:t>apeló</w:t>
      </w:r>
      <w:r>
        <w:rPr>
          <w:spacing w:val="76"/>
        </w:rPr>
        <w:t xml:space="preserve"> </w:t>
      </w:r>
      <w:r>
        <w:t>al</w:t>
      </w:r>
      <w:r>
        <w:rPr>
          <w:spacing w:val="76"/>
        </w:rPr>
        <w:t xml:space="preserve"> </w:t>
      </w:r>
      <w:r>
        <w:rPr>
          <w:spacing w:val="-2"/>
        </w:rPr>
        <w:t>término</w:t>
      </w:r>
      <w:r w:rsidR="008A7083">
        <w:t xml:space="preserve"> </w:t>
      </w:r>
      <w:r>
        <w:t>«</w:t>
      </w:r>
      <w:proofErr w:type="spellStart"/>
      <w:r>
        <w:t>narcoguerrilla</w:t>
      </w:r>
      <w:proofErr w:type="spellEnd"/>
      <w:r>
        <w:t>» y los cultivadores de coca se convirtieron en un eje de disputa. Tras las marchas campesinas en 1996 hubo visitas del gobierno de los Estados Unidos junto a miembros</w:t>
      </w:r>
      <w:r>
        <w:rPr>
          <w:spacing w:val="-11"/>
        </w:rPr>
        <w:t xml:space="preserve"> </w:t>
      </w:r>
      <w:r>
        <w:t>de</w:t>
      </w:r>
      <w:r>
        <w:rPr>
          <w:spacing w:val="-11"/>
        </w:rPr>
        <w:t xml:space="preserve"> </w:t>
      </w:r>
      <w:r>
        <w:t>la</w:t>
      </w:r>
      <w:r>
        <w:rPr>
          <w:spacing w:val="-11"/>
        </w:rPr>
        <w:t xml:space="preserve"> </w:t>
      </w:r>
      <w:r>
        <w:t>fuerza</w:t>
      </w:r>
      <w:r>
        <w:rPr>
          <w:spacing w:val="-11"/>
        </w:rPr>
        <w:t xml:space="preserve"> </w:t>
      </w:r>
      <w:r>
        <w:t>pública</w:t>
      </w:r>
      <w:r>
        <w:rPr>
          <w:spacing w:val="-11"/>
        </w:rPr>
        <w:t xml:space="preserve"> </w:t>
      </w:r>
      <w:r>
        <w:t>colombiana</w:t>
      </w:r>
      <w:r>
        <w:rPr>
          <w:spacing w:val="-11"/>
        </w:rPr>
        <w:t xml:space="preserve"> </w:t>
      </w:r>
      <w:r>
        <w:t>a</w:t>
      </w:r>
      <w:r>
        <w:rPr>
          <w:spacing w:val="-12"/>
        </w:rPr>
        <w:t xml:space="preserve"> </w:t>
      </w:r>
      <w:r>
        <w:t>las</w:t>
      </w:r>
      <w:r>
        <w:rPr>
          <w:spacing w:val="-12"/>
        </w:rPr>
        <w:t xml:space="preserve"> </w:t>
      </w:r>
      <w:r>
        <w:t>bases</w:t>
      </w:r>
      <w:r>
        <w:rPr>
          <w:spacing w:val="-11"/>
        </w:rPr>
        <w:t xml:space="preserve"> </w:t>
      </w:r>
      <w:r>
        <w:t>de</w:t>
      </w:r>
      <w:r>
        <w:rPr>
          <w:spacing w:val="-11"/>
        </w:rPr>
        <w:t xml:space="preserve"> </w:t>
      </w:r>
      <w:proofErr w:type="spellStart"/>
      <w:r>
        <w:t>Villagarzón</w:t>
      </w:r>
      <w:proofErr w:type="spellEnd"/>
      <w:r>
        <w:t>,</w:t>
      </w:r>
      <w:r>
        <w:rPr>
          <w:spacing w:val="-11"/>
        </w:rPr>
        <w:t xml:space="preserve"> </w:t>
      </w:r>
      <w:r>
        <w:t>Putumayo,</w:t>
      </w:r>
      <w:r>
        <w:rPr>
          <w:spacing w:val="-11"/>
        </w:rPr>
        <w:t xml:space="preserve"> </w:t>
      </w:r>
      <w:r>
        <w:t>y</w:t>
      </w:r>
      <w:r>
        <w:rPr>
          <w:spacing w:val="-11"/>
        </w:rPr>
        <w:t xml:space="preserve"> </w:t>
      </w:r>
      <w:r>
        <w:t>Larandia, Caquetá,</w:t>
      </w:r>
      <w:r>
        <w:rPr>
          <w:spacing w:val="-14"/>
        </w:rPr>
        <w:t xml:space="preserve"> </w:t>
      </w:r>
      <w:r>
        <w:t>para</w:t>
      </w:r>
      <w:r>
        <w:rPr>
          <w:spacing w:val="-14"/>
        </w:rPr>
        <w:t xml:space="preserve"> </w:t>
      </w:r>
      <w:r>
        <w:t>adecuarlas</w:t>
      </w:r>
      <w:r>
        <w:rPr>
          <w:spacing w:val="-14"/>
        </w:rPr>
        <w:t xml:space="preserve"> </w:t>
      </w:r>
      <w:r>
        <w:t>como</w:t>
      </w:r>
      <w:r>
        <w:rPr>
          <w:spacing w:val="-14"/>
        </w:rPr>
        <w:t xml:space="preserve"> </w:t>
      </w:r>
      <w:r>
        <w:t>bases</w:t>
      </w:r>
      <w:r>
        <w:rPr>
          <w:spacing w:val="-14"/>
        </w:rPr>
        <w:t xml:space="preserve"> </w:t>
      </w:r>
      <w:r>
        <w:t>para</w:t>
      </w:r>
      <w:r>
        <w:rPr>
          <w:spacing w:val="-14"/>
        </w:rPr>
        <w:t xml:space="preserve"> </w:t>
      </w:r>
      <w:r>
        <w:t>la</w:t>
      </w:r>
      <w:r>
        <w:rPr>
          <w:spacing w:val="-14"/>
        </w:rPr>
        <w:t xml:space="preserve"> </w:t>
      </w:r>
      <w:r>
        <w:t>fumigación</w:t>
      </w:r>
      <w:r>
        <w:rPr>
          <w:spacing w:val="-14"/>
        </w:rPr>
        <w:t xml:space="preserve"> </w:t>
      </w:r>
      <w:r>
        <w:t>aérea.</w:t>
      </w:r>
      <w:r>
        <w:rPr>
          <w:spacing w:val="-14"/>
        </w:rPr>
        <w:t xml:space="preserve"> </w:t>
      </w:r>
      <w:r>
        <w:t>A</w:t>
      </w:r>
      <w:r>
        <w:rPr>
          <w:spacing w:val="-14"/>
        </w:rPr>
        <w:t xml:space="preserve"> </w:t>
      </w:r>
      <w:r>
        <w:t>pesar</w:t>
      </w:r>
      <w:r>
        <w:rPr>
          <w:spacing w:val="-14"/>
        </w:rPr>
        <w:t xml:space="preserve"> </w:t>
      </w:r>
      <w:r>
        <w:t>de</w:t>
      </w:r>
      <w:r>
        <w:rPr>
          <w:spacing w:val="-14"/>
        </w:rPr>
        <w:t xml:space="preserve"> </w:t>
      </w:r>
      <w:r>
        <w:t>las</w:t>
      </w:r>
      <w:r>
        <w:rPr>
          <w:spacing w:val="-14"/>
        </w:rPr>
        <w:t xml:space="preserve"> </w:t>
      </w:r>
      <w:r>
        <w:t>movilizaciones campesinas</w:t>
      </w:r>
      <w:r>
        <w:rPr>
          <w:spacing w:val="23"/>
        </w:rPr>
        <w:t xml:space="preserve"> </w:t>
      </w:r>
      <w:r>
        <w:t>que</w:t>
      </w:r>
      <w:r>
        <w:rPr>
          <w:spacing w:val="25"/>
        </w:rPr>
        <w:t xml:space="preserve"> </w:t>
      </w:r>
      <w:r>
        <w:t>demandaban</w:t>
      </w:r>
      <w:r>
        <w:rPr>
          <w:spacing w:val="25"/>
        </w:rPr>
        <w:t xml:space="preserve"> </w:t>
      </w:r>
      <w:r>
        <w:t>la</w:t>
      </w:r>
      <w:r>
        <w:rPr>
          <w:spacing w:val="25"/>
        </w:rPr>
        <w:t xml:space="preserve"> </w:t>
      </w:r>
      <w:r>
        <w:t>cancelación</w:t>
      </w:r>
      <w:r>
        <w:rPr>
          <w:spacing w:val="25"/>
        </w:rPr>
        <w:t xml:space="preserve"> </w:t>
      </w:r>
      <w:r>
        <w:t>de</w:t>
      </w:r>
      <w:r>
        <w:rPr>
          <w:spacing w:val="25"/>
        </w:rPr>
        <w:t xml:space="preserve"> </w:t>
      </w:r>
      <w:r>
        <w:t>esta</w:t>
      </w:r>
      <w:r>
        <w:rPr>
          <w:spacing w:val="25"/>
        </w:rPr>
        <w:t xml:space="preserve"> </w:t>
      </w:r>
      <w:r>
        <w:t>política</w:t>
      </w:r>
      <w:r>
        <w:rPr>
          <w:spacing w:val="24"/>
        </w:rPr>
        <w:t xml:space="preserve"> </w:t>
      </w:r>
      <w:r>
        <w:t>al</w:t>
      </w:r>
      <w:r>
        <w:rPr>
          <w:spacing w:val="25"/>
        </w:rPr>
        <w:t xml:space="preserve"> </w:t>
      </w:r>
      <w:r>
        <w:t>gobierno</w:t>
      </w:r>
      <w:r>
        <w:rPr>
          <w:spacing w:val="24"/>
        </w:rPr>
        <w:t xml:space="preserve"> </w:t>
      </w:r>
      <w:r>
        <w:t>colombiano,</w:t>
      </w:r>
      <w:r>
        <w:rPr>
          <w:spacing w:val="25"/>
        </w:rPr>
        <w:t xml:space="preserve"> </w:t>
      </w:r>
      <w:r>
        <w:rPr>
          <w:spacing w:val="-4"/>
        </w:rPr>
        <w:t>este</w:t>
      </w:r>
      <w:bookmarkStart w:id="832" w:name="_bookmark721"/>
      <w:bookmarkStart w:id="833" w:name="_bookmark722"/>
      <w:bookmarkStart w:id="834" w:name="_bookmark723"/>
      <w:bookmarkStart w:id="835" w:name="_bookmark724"/>
      <w:bookmarkStart w:id="836" w:name="_bookmark725"/>
      <w:bookmarkEnd w:id="832"/>
      <w:bookmarkEnd w:id="833"/>
      <w:bookmarkEnd w:id="834"/>
      <w:bookmarkEnd w:id="835"/>
      <w:bookmarkEnd w:id="836"/>
      <w:r w:rsidR="008A7083">
        <w:rPr>
          <w:spacing w:val="-4"/>
        </w:rPr>
        <w:t xml:space="preserve"> </w:t>
      </w:r>
      <w:r>
        <w:t>siguió con su estrategia</w:t>
      </w:r>
      <w:r w:rsidR="008A7083">
        <w:rPr>
          <w:rStyle w:val="Refdenotaalpie"/>
        </w:rPr>
        <w:footnoteReference w:id="660"/>
      </w:r>
      <w:r>
        <w:t>. Es más, el gobierno de los Estados Unidos, en la estrategia del Plan</w:t>
      </w:r>
      <w:r>
        <w:rPr>
          <w:spacing w:val="-13"/>
        </w:rPr>
        <w:t xml:space="preserve"> </w:t>
      </w:r>
      <w:r>
        <w:t>Colombia,</w:t>
      </w:r>
      <w:r>
        <w:rPr>
          <w:spacing w:val="-13"/>
        </w:rPr>
        <w:t xml:space="preserve"> </w:t>
      </w:r>
      <w:r>
        <w:t>consideró</w:t>
      </w:r>
      <w:r>
        <w:rPr>
          <w:spacing w:val="-13"/>
        </w:rPr>
        <w:t xml:space="preserve"> </w:t>
      </w:r>
      <w:r>
        <w:t>una</w:t>
      </w:r>
      <w:r>
        <w:rPr>
          <w:spacing w:val="-13"/>
        </w:rPr>
        <w:t xml:space="preserve"> </w:t>
      </w:r>
      <w:r>
        <w:t>partida</w:t>
      </w:r>
      <w:r>
        <w:rPr>
          <w:spacing w:val="-13"/>
        </w:rPr>
        <w:t xml:space="preserve"> </w:t>
      </w:r>
      <w:r>
        <w:t>presupuestal</w:t>
      </w:r>
      <w:r>
        <w:rPr>
          <w:spacing w:val="-13"/>
        </w:rPr>
        <w:t xml:space="preserve"> </w:t>
      </w:r>
      <w:r>
        <w:t>de</w:t>
      </w:r>
      <w:r>
        <w:rPr>
          <w:spacing w:val="-14"/>
        </w:rPr>
        <w:t xml:space="preserve"> </w:t>
      </w:r>
      <w:proofErr w:type="spellStart"/>
      <w:r>
        <w:t>Usaid</w:t>
      </w:r>
      <w:proofErr w:type="spellEnd"/>
      <w:r>
        <w:rPr>
          <w:spacing w:val="-15"/>
        </w:rPr>
        <w:t xml:space="preserve"> </w:t>
      </w:r>
      <w:r>
        <w:t>que</w:t>
      </w:r>
      <w:r>
        <w:rPr>
          <w:spacing w:val="-13"/>
        </w:rPr>
        <w:t xml:space="preserve"> </w:t>
      </w:r>
      <w:r>
        <w:t>cubría</w:t>
      </w:r>
      <w:r>
        <w:rPr>
          <w:spacing w:val="-14"/>
        </w:rPr>
        <w:t xml:space="preserve"> </w:t>
      </w:r>
      <w:r>
        <w:t>el</w:t>
      </w:r>
      <w:r>
        <w:rPr>
          <w:spacing w:val="-14"/>
        </w:rPr>
        <w:t xml:space="preserve"> </w:t>
      </w:r>
      <w:r>
        <w:t>pago</w:t>
      </w:r>
      <w:r>
        <w:rPr>
          <w:spacing w:val="-13"/>
        </w:rPr>
        <w:t xml:space="preserve"> </w:t>
      </w:r>
      <w:r>
        <w:t>de</w:t>
      </w:r>
      <w:r>
        <w:rPr>
          <w:spacing w:val="-14"/>
        </w:rPr>
        <w:t xml:space="preserve"> </w:t>
      </w:r>
      <w:r>
        <w:t>reparación de daños por la aspersión, incluido el desplazamiento</w:t>
      </w:r>
      <w:r w:rsidR="008A7083">
        <w:rPr>
          <w:rStyle w:val="Refdenotaalpie"/>
        </w:rPr>
        <w:footnoteReference w:id="661"/>
      </w:r>
      <w:r>
        <w:t>.</w:t>
      </w:r>
    </w:p>
    <w:p w:rsidR="003804AC" w:rsidRDefault="00AF18A5" w:rsidP="008A7083">
      <w:r>
        <w:t>Al final del periodo presidencial de Andrés Pastrana Arango (1998-2002) y la implementación</w:t>
      </w:r>
      <w:r>
        <w:rPr>
          <w:spacing w:val="-13"/>
        </w:rPr>
        <w:t xml:space="preserve"> </w:t>
      </w:r>
      <w:r>
        <w:t>de</w:t>
      </w:r>
      <w:r>
        <w:rPr>
          <w:spacing w:val="-14"/>
        </w:rPr>
        <w:t xml:space="preserve"> </w:t>
      </w:r>
      <w:r>
        <w:t>la</w:t>
      </w:r>
      <w:r>
        <w:rPr>
          <w:spacing w:val="-13"/>
        </w:rPr>
        <w:t xml:space="preserve"> </w:t>
      </w:r>
      <w:r>
        <w:t>política</w:t>
      </w:r>
      <w:r>
        <w:rPr>
          <w:spacing w:val="-14"/>
        </w:rPr>
        <w:t xml:space="preserve"> </w:t>
      </w:r>
      <w:r>
        <w:t>de</w:t>
      </w:r>
      <w:r>
        <w:rPr>
          <w:spacing w:val="-13"/>
        </w:rPr>
        <w:t xml:space="preserve"> </w:t>
      </w:r>
      <w:r>
        <w:t>«seguridad</w:t>
      </w:r>
      <w:r>
        <w:rPr>
          <w:spacing w:val="-14"/>
        </w:rPr>
        <w:t xml:space="preserve"> </w:t>
      </w:r>
      <w:r>
        <w:t>democrática»</w:t>
      </w:r>
      <w:r>
        <w:rPr>
          <w:spacing w:val="-14"/>
        </w:rPr>
        <w:t xml:space="preserve"> </w:t>
      </w:r>
      <w:r>
        <w:t>del</w:t>
      </w:r>
      <w:r>
        <w:rPr>
          <w:spacing w:val="-14"/>
        </w:rPr>
        <w:t xml:space="preserve"> </w:t>
      </w:r>
      <w:r>
        <w:t>presidente</w:t>
      </w:r>
      <w:r>
        <w:rPr>
          <w:spacing w:val="-14"/>
        </w:rPr>
        <w:t xml:space="preserve"> </w:t>
      </w:r>
      <w:r>
        <w:t>Álvaro</w:t>
      </w:r>
      <w:r>
        <w:rPr>
          <w:spacing w:val="-13"/>
        </w:rPr>
        <w:t xml:space="preserve"> </w:t>
      </w:r>
      <w:r>
        <w:t>Uribe</w:t>
      </w:r>
      <w:r>
        <w:rPr>
          <w:spacing w:val="-13"/>
        </w:rPr>
        <w:t xml:space="preserve"> </w:t>
      </w:r>
      <w:r>
        <w:t>Vélez (2002-2010),</w:t>
      </w:r>
      <w:r>
        <w:rPr>
          <w:spacing w:val="-13"/>
        </w:rPr>
        <w:t xml:space="preserve"> </w:t>
      </w:r>
      <w:r>
        <w:t>las</w:t>
      </w:r>
      <w:r>
        <w:rPr>
          <w:spacing w:val="-14"/>
        </w:rPr>
        <w:t xml:space="preserve"> </w:t>
      </w:r>
      <w:r>
        <w:t>actas</w:t>
      </w:r>
      <w:r>
        <w:rPr>
          <w:spacing w:val="-13"/>
        </w:rPr>
        <w:t xml:space="preserve"> </w:t>
      </w:r>
      <w:r>
        <w:t>del</w:t>
      </w:r>
      <w:r>
        <w:rPr>
          <w:spacing w:val="-13"/>
        </w:rPr>
        <w:t xml:space="preserve"> </w:t>
      </w:r>
      <w:r>
        <w:t>CNE</w:t>
      </w:r>
      <w:r>
        <w:rPr>
          <w:spacing w:val="-13"/>
        </w:rPr>
        <w:t xml:space="preserve"> </w:t>
      </w:r>
      <w:r>
        <w:t>muestran</w:t>
      </w:r>
      <w:r>
        <w:rPr>
          <w:spacing w:val="-13"/>
        </w:rPr>
        <w:t xml:space="preserve"> </w:t>
      </w:r>
      <w:r>
        <w:t>que</w:t>
      </w:r>
      <w:r>
        <w:rPr>
          <w:spacing w:val="-14"/>
        </w:rPr>
        <w:t xml:space="preserve"> </w:t>
      </w:r>
      <w:r>
        <w:t>este</w:t>
      </w:r>
      <w:r>
        <w:rPr>
          <w:spacing w:val="-14"/>
        </w:rPr>
        <w:t xml:space="preserve"> </w:t>
      </w:r>
      <w:r>
        <w:t>ente</w:t>
      </w:r>
      <w:r>
        <w:rPr>
          <w:spacing w:val="-13"/>
        </w:rPr>
        <w:t xml:space="preserve"> </w:t>
      </w:r>
      <w:r>
        <w:t>desestimó</w:t>
      </w:r>
      <w:r>
        <w:rPr>
          <w:spacing w:val="-13"/>
        </w:rPr>
        <w:t xml:space="preserve"> </w:t>
      </w:r>
      <w:r>
        <w:t>las</w:t>
      </w:r>
      <w:r>
        <w:rPr>
          <w:spacing w:val="-13"/>
        </w:rPr>
        <w:t xml:space="preserve"> </w:t>
      </w:r>
      <w:r>
        <w:t>quejas</w:t>
      </w:r>
      <w:r>
        <w:rPr>
          <w:spacing w:val="-13"/>
        </w:rPr>
        <w:t xml:space="preserve"> </w:t>
      </w:r>
      <w:r>
        <w:t>y</w:t>
      </w:r>
      <w:r>
        <w:rPr>
          <w:spacing w:val="-13"/>
        </w:rPr>
        <w:t xml:space="preserve"> </w:t>
      </w:r>
      <w:r>
        <w:t>los</w:t>
      </w:r>
      <w:r>
        <w:rPr>
          <w:spacing w:val="-14"/>
        </w:rPr>
        <w:t xml:space="preserve"> </w:t>
      </w:r>
      <w:r>
        <w:t>argumentos científicos acerca de los daños de la aspersión en Putumayo</w:t>
      </w:r>
      <w:r w:rsidR="008A7083">
        <w:rPr>
          <w:rStyle w:val="Refdenotaalpie"/>
        </w:rPr>
        <w:footnoteReference w:id="662"/>
      </w:r>
      <w:r>
        <w:t>. Además, el Estado colombiano incumplió el compromiso con la sustitución que había sido acordado con los campesinos cocaleros del sur del país</w:t>
      </w:r>
      <w:r w:rsidR="008A7083">
        <w:rPr>
          <w:rStyle w:val="Refdenotaalpie"/>
        </w:rPr>
        <w:footnoteReference w:id="663"/>
      </w:r>
      <w:r>
        <w:t>. Por el contrario, la dirección del Plan Colombia arremetió</w:t>
      </w:r>
      <w:r>
        <w:rPr>
          <w:spacing w:val="54"/>
        </w:rPr>
        <w:t xml:space="preserve"> </w:t>
      </w:r>
      <w:r>
        <w:t>contra</w:t>
      </w:r>
      <w:r>
        <w:rPr>
          <w:spacing w:val="58"/>
        </w:rPr>
        <w:t xml:space="preserve"> </w:t>
      </w:r>
      <w:r>
        <w:t>los</w:t>
      </w:r>
      <w:r>
        <w:rPr>
          <w:spacing w:val="57"/>
        </w:rPr>
        <w:t xml:space="preserve"> </w:t>
      </w:r>
      <w:r>
        <w:t>campesinos</w:t>
      </w:r>
      <w:r>
        <w:rPr>
          <w:spacing w:val="57"/>
        </w:rPr>
        <w:t xml:space="preserve"> </w:t>
      </w:r>
      <w:r>
        <w:t>y</w:t>
      </w:r>
      <w:r>
        <w:rPr>
          <w:spacing w:val="56"/>
        </w:rPr>
        <w:t xml:space="preserve"> </w:t>
      </w:r>
      <w:r>
        <w:t>generó</w:t>
      </w:r>
      <w:r>
        <w:rPr>
          <w:spacing w:val="57"/>
        </w:rPr>
        <w:t xml:space="preserve"> </w:t>
      </w:r>
      <w:r>
        <w:t>tensiones</w:t>
      </w:r>
      <w:r>
        <w:rPr>
          <w:spacing w:val="58"/>
        </w:rPr>
        <w:t xml:space="preserve"> </w:t>
      </w:r>
      <w:r>
        <w:t>y</w:t>
      </w:r>
      <w:r>
        <w:rPr>
          <w:spacing w:val="57"/>
        </w:rPr>
        <w:t xml:space="preserve"> </w:t>
      </w:r>
      <w:r>
        <w:t>afectaciones</w:t>
      </w:r>
      <w:r>
        <w:rPr>
          <w:spacing w:val="58"/>
        </w:rPr>
        <w:t xml:space="preserve"> </w:t>
      </w:r>
      <w:r>
        <w:t>al</w:t>
      </w:r>
      <w:r>
        <w:rPr>
          <w:spacing w:val="58"/>
        </w:rPr>
        <w:t xml:space="preserve"> </w:t>
      </w:r>
      <w:r>
        <w:t>proyecto</w:t>
      </w:r>
      <w:r>
        <w:rPr>
          <w:spacing w:val="57"/>
        </w:rPr>
        <w:t xml:space="preserve"> </w:t>
      </w:r>
      <w:r>
        <w:t>de</w:t>
      </w:r>
      <w:r>
        <w:rPr>
          <w:spacing w:val="58"/>
        </w:rPr>
        <w:t xml:space="preserve"> </w:t>
      </w:r>
      <w:r>
        <w:rPr>
          <w:spacing w:val="-5"/>
        </w:rPr>
        <w:t>los</w:t>
      </w:r>
    </w:p>
    <w:p w:rsidR="003804AC" w:rsidRDefault="00AF18A5" w:rsidP="008A7083">
      <w:r>
        <w:t>«Laboratorios de Paz»</w:t>
      </w:r>
      <w:r w:rsidR="008A7083">
        <w:rPr>
          <w:rStyle w:val="Refdenotaalpie"/>
        </w:rPr>
        <w:footnoteReference w:id="664"/>
      </w:r>
      <w:r>
        <w:t xml:space="preserve">, y a quienes se oponían a las fumigaciones. La </w:t>
      </w:r>
      <w:r>
        <w:lastRenderedPageBreak/>
        <w:t>directora del Plan Colombia de ese momento señaló: “La decisión de gobierno a ese respecto es muy clara y las fumigaciones no se van a suspender”</w:t>
      </w:r>
      <w:r w:rsidR="008A7083">
        <w:rPr>
          <w:rStyle w:val="Refdenotaalpie"/>
        </w:rPr>
        <w:footnoteReference w:id="665"/>
      </w:r>
      <w:r>
        <w:t>. Esto quedó consignado en el acta así:</w:t>
      </w:r>
    </w:p>
    <w:p w:rsidR="003804AC" w:rsidRDefault="00AF18A5" w:rsidP="008A7083">
      <w:r>
        <w:t>«El presidente del Consejo Nacional de Estupefacientes dispuso que los organismos de seguridad del Estado deben hacerles un seguimiento a esas organizaciones y mantener informado al Ministerio del Interior y de Justicia permanentemente»</w:t>
      </w:r>
      <w:r w:rsidR="008A7083">
        <w:rPr>
          <w:rStyle w:val="Refdenotaalpie"/>
        </w:rPr>
        <w:footnoteReference w:id="666"/>
      </w:r>
      <w:r>
        <w:t>.</w:t>
      </w:r>
    </w:p>
    <w:p w:rsidR="003804AC" w:rsidRDefault="00AF18A5" w:rsidP="008A7083">
      <w:r>
        <w:t xml:space="preserve">La relación de esta estrategia con el conflicto armado la sintetizó el general Euclides Sánchez Vargas, jefe del Estado Mayor Conjunto, cuando dio cuenta de las operaciones en Peñas Coloradas y Cartagena del </w:t>
      </w:r>
      <w:proofErr w:type="spellStart"/>
      <w:r>
        <w:t>Chairá</w:t>
      </w:r>
      <w:proofErr w:type="spellEnd"/>
      <w:r>
        <w:t>, Caquetá, en 2002:</w:t>
      </w:r>
    </w:p>
    <w:p w:rsidR="003804AC" w:rsidRPr="008A7083" w:rsidRDefault="00AF18A5" w:rsidP="008A7083">
      <w:pPr>
        <w:rPr>
          <w:lang w:val="es-CO"/>
        </w:rPr>
      </w:pPr>
      <w:r>
        <w:t>«[...] que es fundamental lograr por parte del Estado el control territorial para la erradicación,</w:t>
      </w:r>
      <w:r>
        <w:rPr>
          <w:spacing w:val="23"/>
        </w:rPr>
        <w:t xml:space="preserve"> </w:t>
      </w:r>
      <w:r>
        <w:t>pues</w:t>
      </w:r>
      <w:r>
        <w:rPr>
          <w:spacing w:val="26"/>
        </w:rPr>
        <w:t xml:space="preserve"> </w:t>
      </w:r>
      <w:r>
        <w:t>quien</w:t>
      </w:r>
      <w:r>
        <w:rPr>
          <w:spacing w:val="25"/>
        </w:rPr>
        <w:t xml:space="preserve"> </w:t>
      </w:r>
      <w:r>
        <w:t>controla</w:t>
      </w:r>
      <w:r>
        <w:rPr>
          <w:spacing w:val="24"/>
        </w:rPr>
        <w:t xml:space="preserve"> </w:t>
      </w:r>
      <w:r>
        <w:t>el</w:t>
      </w:r>
      <w:r>
        <w:rPr>
          <w:spacing w:val="25"/>
        </w:rPr>
        <w:t xml:space="preserve"> </w:t>
      </w:r>
      <w:r>
        <w:t>campo</w:t>
      </w:r>
      <w:r>
        <w:rPr>
          <w:spacing w:val="26"/>
        </w:rPr>
        <w:t xml:space="preserve"> </w:t>
      </w:r>
      <w:r>
        <w:t>controla</w:t>
      </w:r>
      <w:r>
        <w:rPr>
          <w:spacing w:val="25"/>
        </w:rPr>
        <w:t xml:space="preserve"> </w:t>
      </w:r>
      <w:r>
        <w:t>la</w:t>
      </w:r>
      <w:r>
        <w:rPr>
          <w:spacing w:val="26"/>
        </w:rPr>
        <w:t xml:space="preserve"> </w:t>
      </w:r>
      <w:r>
        <w:t>nación.</w:t>
      </w:r>
      <w:r>
        <w:rPr>
          <w:spacing w:val="26"/>
        </w:rPr>
        <w:t xml:space="preserve"> </w:t>
      </w:r>
      <w:r w:rsidRPr="008A7083">
        <w:rPr>
          <w:lang w:val="es-CO"/>
        </w:rPr>
        <w:t>En</w:t>
      </w:r>
      <w:r w:rsidRPr="008A7083">
        <w:rPr>
          <w:spacing w:val="25"/>
          <w:lang w:val="es-CO"/>
        </w:rPr>
        <w:t xml:space="preserve"> </w:t>
      </w:r>
      <w:r w:rsidRPr="008A7083">
        <w:rPr>
          <w:lang w:val="es-CO"/>
        </w:rPr>
        <w:t>este</w:t>
      </w:r>
      <w:r w:rsidRPr="008A7083">
        <w:rPr>
          <w:spacing w:val="25"/>
          <w:lang w:val="es-CO"/>
        </w:rPr>
        <w:t xml:space="preserve"> </w:t>
      </w:r>
      <w:r w:rsidRPr="008A7083">
        <w:rPr>
          <w:lang w:val="es-CO"/>
        </w:rPr>
        <w:t>sentido</w:t>
      </w:r>
      <w:r w:rsidRPr="008A7083">
        <w:rPr>
          <w:spacing w:val="25"/>
          <w:lang w:val="es-CO"/>
        </w:rPr>
        <w:t xml:space="preserve"> </w:t>
      </w:r>
      <w:r w:rsidRPr="008A7083">
        <w:rPr>
          <w:lang w:val="es-CO"/>
        </w:rPr>
        <w:t>la</w:t>
      </w:r>
      <w:r w:rsidRPr="008A7083">
        <w:rPr>
          <w:spacing w:val="26"/>
          <w:lang w:val="es-CO"/>
        </w:rPr>
        <w:t xml:space="preserve"> </w:t>
      </w:r>
      <w:r w:rsidRPr="008A7083">
        <w:rPr>
          <w:spacing w:val="-2"/>
          <w:lang w:val="es-CO"/>
        </w:rPr>
        <w:t>doctora</w:t>
      </w:r>
      <w:bookmarkStart w:id="837" w:name="_bookmark726"/>
      <w:bookmarkStart w:id="838" w:name="_bookmark727"/>
      <w:bookmarkStart w:id="839" w:name="_bookmark728"/>
      <w:bookmarkStart w:id="840" w:name="_bookmark729"/>
      <w:bookmarkStart w:id="841" w:name="_bookmark730"/>
      <w:bookmarkStart w:id="842" w:name="_bookmark731"/>
      <w:bookmarkStart w:id="843" w:name="_bookmark732"/>
      <w:bookmarkEnd w:id="837"/>
      <w:bookmarkEnd w:id="838"/>
      <w:bookmarkEnd w:id="839"/>
      <w:bookmarkEnd w:id="840"/>
      <w:bookmarkEnd w:id="841"/>
      <w:bookmarkEnd w:id="842"/>
      <w:bookmarkEnd w:id="843"/>
      <w:r w:rsidR="008A7083">
        <w:rPr>
          <w:spacing w:val="-2"/>
          <w:lang w:val="es-CO"/>
        </w:rPr>
        <w:t xml:space="preserve"> </w:t>
      </w:r>
      <w:r>
        <w:t>Sandra Suárez informa que los alcaldes del Putumayo solicitan colaboración de la fuerza pública para facilitar la erradicación»</w:t>
      </w:r>
      <w:r w:rsidR="00A55B1A">
        <w:rPr>
          <w:rStyle w:val="Refdenotaalpie"/>
        </w:rPr>
        <w:footnoteReference w:id="667"/>
      </w:r>
      <w:r>
        <w:t>.</w:t>
      </w:r>
    </w:p>
    <w:p w:rsidR="003804AC" w:rsidRDefault="00AF18A5" w:rsidP="00A55B1A">
      <w:r>
        <w:t>Un lugar geoestratégico del conflicto armado fueron los Parques Naturales Nacionales (PNN). Así, por ejemplo, la región de La Macarena, Meta, en el sur del país, sufrió una ofensiva militar porque era una zona de presencia histórica de las FARC-EP. El uso de la aspersión aérea implicó un proceso sancionatorio de la Unidad de Parques Nacionales Naturales y el Ministerio de Ambiente contra la Policía Antinarcóticos y la Dirección Nacional</w:t>
      </w:r>
      <w:r>
        <w:rPr>
          <w:spacing w:val="-1"/>
        </w:rPr>
        <w:t xml:space="preserve"> </w:t>
      </w:r>
      <w:r>
        <w:t>de</w:t>
      </w:r>
      <w:r>
        <w:rPr>
          <w:spacing w:val="-2"/>
        </w:rPr>
        <w:t xml:space="preserve"> </w:t>
      </w:r>
      <w:r>
        <w:t>Estupefacientes</w:t>
      </w:r>
      <w:r w:rsidR="00A55B1A">
        <w:rPr>
          <w:rStyle w:val="Refdenotaalpie"/>
        </w:rPr>
        <w:footnoteReference w:id="668"/>
      </w:r>
      <w:r>
        <w:t>.</w:t>
      </w:r>
      <w:r>
        <w:rPr>
          <w:spacing w:val="-1"/>
        </w:rPr>
        <w:t xml:space="preserve"> </w:t>
      </w:r>
      <w:r>
        <w:t>La</w:t>
      </w:r>
      <w:r>
        <w:rPr>
          <w:spacing w:val="-1"/>
        </w:rPr>
        <w:t xml:space="preserve"> </w:t>
      </w:r>
      <w:r>
        <w:t>aspersión</w:t>
      </w:r>
      <w:r>
        <w:rPr>
          <w:spacing w:val="-1"/>
        </w:rPr>
        <w:t xml:space="preserve"> </w:t>
      </w:r>
      <w:r>
        <w:t>en</w:t>
      </w:r>
      <w:r>
        <w:rPr>
          <w:spacing w:val="-1"/>
        </w:rPr>
        <w:t xml:space="preserve"> </w:t>
      </w:r>
      <w:r>
        <w:t>el</w:t>
      </w:r>
      <w:r>
        <w:rPr>
          <w:spacing w:val="-1"/>
        </w:rPr>
        <w:t xml:space="preserve"> </w:t>
      </w:r>
      <w:r>
        <w:t>parque</w:t>
      </w:r>
      <w:r>
        <w:rPr>
          <w:spacing w:val="-1"/>
        </w:rPr>
        <w:t xml:space="preserve"> </w:t>
      </w:r>
      <w:r>
        <w:lastRenderedPageBreak/>
        <w:t>implicó</w:t>
      </w:r>
      <w:r>
        <w:rPr>
          <w:spacing w:val="-1"/>
        </w:rPr>
        <w:t xml:space="preserve"> </w:t>
      </w:r>
      <w:r>
        <w:t>una</w:t>
      </w:r>
      <w:r>
        <w:rPr>
          <w:spacing w:val="-1"/>
        </w:rPr>
        <w:t xml:space="preserve"> </w:t>
      </w:r>
      <w:r>
        <w:t>división</w:t>
      </w:r>
      <w:r>
        <w:rPr>
          <w:spacing w:val="-1"/>
        </w:rPr>
        <w:t xml:space="preserve"> </w:t>
      </w:r>
      <w:r>
        <w:t xml:space="preserve">institucional en las decisiones sobre la información requerida, que resultó en el desconocimiento de la presencia de grupos indígenas y la falta de planes ambientales por parte de la fuerza </w:t>
      </w:r>
      <w:r>
        <w:rPr>
          <w:spacing w:val="-2"/>
        </w:rPr>
        <w:t>pública</w:t>
      </w:r>
      <w:r w:rsidR="00A55B1A">
        <w:rPr>
          <w:rStyle w:val="Refdenotaalpie"/>
          <w:spacing w:val="-2"/>
        </w:rPr>
        <w:footnoteReference w:id="669"/>
      </w:r>
      <w:r>
        <w:rPr>
          <w:spacing w:val="-2"/>
        </w:rPr>
        <w:t>.</w:t>
      </w:r>
    </w:p>
    <w:p w:rsidR="0011361F" w:rsidRDefault="00AF18A5" w:rsidP="00A55B1A">
      <w:r>
        <w:t>A</w:t>
      </w:r>
      <w:r>
        <w:rPr>
          <w:spacing w:val="-8"/>
        </w:rPr>
        <w:t xml:space="preserve"> </w:t>
      </w:r>
      <w:r>
        <w:t>pesar</w:t>
      </w:r>
      <w:r>
        <w:rPr>
          <w:spacing w:val="-7"/>
        </w:rPr>
        <w:t xml:space="preserve"> </w:t>
      </w:r>
      <w:r>
        <w:t>de</w:t>
      </w:r>
      <w:r>
        <w:rPr>
          <w:spacing w:val="-7"/>
        </w:rPr>
        <w:t xml:space="preserve"> </w:t>
      </w:r>
      <w:r>
        <w:t>que</w:t>
      </w:r>
      <w:r>
        <w:rPr>
          <w:spacing w:val="-7"/>
        </w:rPr>
        <w:t xml:space="preserve"> </w:t>
      </w:r>
      <w:r>
        <w:t>el</w:t>
      </w:r>
      <w:r>
        <w:rPr>
          <w:spacing w:val="-7"/>
        </w:rPr>
        <w:t xml:space="preserve"> </w:t>
      </w:r>
      <w:r>
        <w:t>general</w:t>
      </w:r>
      <w:r>
        <w:rPr>
          <w:spacing w:val="-8"/>
        </w:rPr>
        <w:t xml:space="preserve"> </w:t>
      </w:r>
      <w:r>
        <w:t>de</w:t>
      </w:r>
      <w:r>
        <w:rPr>
          <w:spacing w:val="-7"/>
        </w:rPr>
        <w:t xml:space="preserve"> </w:t>
      </w:r>
      <w:r>
        <w:t>la</w:t>
      </w:r>
      <w:r>
        <w:rPr>
          <w:spacing w:val="-7"/>
        </w:rPr>
        <w:t xml:space="preserve"> </w:t>
      </w:r>
      <w:r>
        <w:t>Policía,</w:t>
      </w:r>
      <w:r>
        <w:rPr>
          <w:spacing w:val="-7"/>
        </w:rPr>
        <w:t xml:space="preserve"> </w:t>
      </w:r>
      <w:r>
        <w:t>Óscar</w:t>
      </w:r>
      <w:r>
        <w:rPr>
          <w:spacing w:val="-7"/>
        </w:rPr>
        <w:t xml:space="preserve"> </w:t>
      </w:r>
      <w:r>
        <w:t>Naranjo,</w:t>
      </w:r>
      <w:r>
        <w:rPr>
          <w:spacing w:val="-7"/>
        </w:rPr>
        <w:t xml:space="preserve"> </w:t>
      </w:r>
      <w:r>
        <w:t>advirtió</w:t>
      </w:r>
      <w:r>
        <w:rPr>
          <w:spacing w:val="-7"/>
        </w:rPr>
        <w:t xml:space="preserve"> </w:t>
      </w:r>
      <w:r>
        <w:t>que</w:t>
      </w:r>
      <w:r>
        <w:rPr>
          <w:spacing w:val="-7"/>
        </w:rPr>
        <w:t xml:space="preserve"> </w:t>
      </w:r>
      <w:r>
        <w:t>«al</w:t>
      </w:r>
      <w:r>
        <w:rPr>
          <w:spacing w:val="-7"/>
        </w:rPr>
        <w:t xml:space="preserve"> </w:t>
      </w:r>
      <w:r>
        <w:t>principio</w:t>
      </w:r>
      <w:r>
        <w:rPr>
          <w:spacing w:val="-7"/>
        </w:rPr>
        <w:t xml:space="preserve"> </w:t>
      </w:r>
      <w:r>
        <w:t>no</w:t>
      </w:r>
      <w:r>
        <w:rPr>
          <w:spacing w:val="-7"/>
        </w:rPr>
        <w:t xml:space="preserve"> </w:t>
      </w:r>
      <w:r>
        <w:t xml:space="preserve">había ciencia cierta </w:t>
      </w:r>
      <w:proofErr w:type="spellStart"/>
      <w:r>
        <w:t>que</w:t>
      </w:r>
      <w:proofErr w:type="spellEnd"/>
      <w:r>
        <w:t xml:space="preserve"> contradijera esta apreciación de que el glifosato no hacía daño»</w:t>
      </w:r>
      <w:r w:rsidR="00A55B1A">
        <w:rPr>
          <w:rStyle w:val="Refdenotaalpie"/>
        </w:rPr>
        <w:footnoteReference w:id="670"/>
      </w:r>
      <w:r>
        <w:t>, desde la década de los ochenta hay alarmas sobre las afectaciones de esta estrategia. Por ejemplo, a mediados de los noventa se publicaron los primeros reportes médicos de daños en salud a la</w:t>
      </w:r>
      <w:r>
        <w:rPr>
          <w:spacing w:val="-13"/>
        </w:rPr>
        <w:t xml:space="preserve"> </w:t>
      </w:r>
      <w:r>
        <w:t>población</w:t>
      </w:r>
      <w:r>
        <w:rPr>
          <w:color w:val="252525"/>
        </w:rPr>
        <w:t>,</w:t>
      </w:r>
      <w:r>
        <w:rPr>
          <w:color w:val="252525"/>
          <w:spacing w:val="-13"/>
        </w:rPr>
        <w:t xml:space="preserve"> </w:t>
      </w:r>
      <w:r>
        <w:t>y</w:t>
      </w:r>
      <w:r>
        <w:rPr>
          <w:spacing w:val="-13"/>
        </w:rPr>
        <w:t xml:space="preserve"> </w:t>
      </w:r>
      <w:r>
        <w:t>entre</w:t>
      </w:r>
      <w:r>
        <w:rPr>
          <w:spacing w:val="-13"/>
        </w:rPr>
        <w:t xml:space="preserve"> </w:t>
      </w:r>
      <w:r>
        <w:t>1998</w:t>
      </w:r>
      <w:r>
        <w:rPr>
          <w:spacing w:val="-13"/>
        </w:rPr>
        <w:t xml:space="preserve"> </w:t>
      </w:r>
      <w:r>
        <w:t>y</w:t>
      </w:r>
      <w:r>
        <w:rPr>
          <w:spacing w:val="-13"/>
        </w:rPr>
        <w:t xml:space="preserve"> </w:t>
      </w:r>
      <w:r>
        <w:t>2002,</w:t>
      </w:r>
      <w:r>
        <w:rPr>
          <w:spacing w:val="-13"/>
        </w:rPr>
        <w:t xml:space="preserve"> </w:t>
      </w:r>
      <w:r>
        <w:t>las</w:t>
      </w:r>
      <w:r>
        <w:rPr>
          <w:spacing w:val="-14"/>
        </w:rPr>
        <w:t xml:space="preserve"> </w:t>
      </w:r>
      <w:r>
        <w:t>comunidades</w:t>
      </w:r>
      <w:r>
        <w:rPr>
          <w:spacing w:val="-13"/>
        </w:rPr>
        <w:t xml:space="preserve"> </w:t>
      </w:r>
      <w:r>
        <w:t>del</w:t>
      </w:r>
      <w:r>
        <w:rPr>
          <w:spacing w:val="-13"/>
        </w:rPr>
        <w:t xml:space="preserve"> </w:t>
      </w:r>
      <w:r>
        <w:t>Putumayo</w:t>
      </w:r>
      <w:r>
        <w:rPr>
          <w:spacing w:val="-13"/>
        </w:rPr>
        <w:t xml:space="preserve"> </w:t>
      </w:r>
      <w:r>
        <w:t>advirtieron</w:t>
      </w:r>
      <w:r>
        <w:rPr>
          <w:spacing w:val="-13"/>
        </w:rPr>
        <w:t xml:space="preserve"> </w:t>
      </w:r>
      <w:r>
        <w:t>sobre</w:t>
      </w:r>
      <w:r>
        <w:rPr>
          <w:spacing w:val="-13"/>
        </w:rPr>
        <w:t xml:space="preserve"> </w:t>
      </w:r>
      <w:r>
        <w:t>los</w:t>
      </w:r>
      <w:r>
        <w:rPr>
          <w:spacing w:val="-13"/>
        </w:rPr>
        <w:t xml:space="preserve"> </w:t>
      </w:r>
      <w:r>
        <w:t>daños y exigieron un seguimiento técnico y científico</w:t>
      </w:r>
      <w:r w:rsidR="00A55B1A">
        <w:rPr>
          <w:rStyle w:val="Refdenotaalpie"/>
        </w:rPr>
        <w:footnoteReference w:id="671"/>
      </w:r>
      <w:r>
        <w:t>.</w:t>
      </w:r>
    </w:p>
    <w:p w:rsidR="003804AC" w:rsidRDefault="00AF18A5" w:rsidP="00A55B1A">
      <w:bookmarkStart w:id="844" w:name="_bookmark733"/>
      <w:bookmarkStart w:id="845" w:name="_bookmark734"/>
      <w:bookmarkStart w:id="846" w:name="_bookmark735"/>
      <w:bookmarkStart w:id="847" w:name="_bookmark736"/>
      <w:bookmarkStart w:id="848" w:name="_bookmark737"/>
      <w:bookmarkEnd w:id="844"/>
      <w:bookmarkEnd w:id="845"/>
      <w:bookmarkEnd w:id="846"/>
      <w:bookmarkEnd w:id="847"/>
      <w:bookmarkEnd w:id="848"/>
      <w:r>
        <w:t>Numerosos</w:t>
      </w:r>
      <w:r>
        <w:rPr>
          <w:spacing w:val="-2"/>
        </w:rPr>
        <w:t xml:space="preserve"> </w:t>
      </w:r>
      <w:r>
        <w:t>testimonios</w:t>
      </w:r>
      <w:r>
        <w:rPr>
          <w:spacing w:val="-2"/>
        </w:rPr>
        <w:t xml:space="preserve"> </w:t>
      </w:r>
      <w:r>
        <w:t>recogidos</w:t>
      </w:r>
      <w:r>
        <w:rPr>
          <w:spacing w:val="-2"/>
        </w:rPr>
        <w:t xml:space="preserve"> </w:t>
      </w:r>
      <w:r>
        <w:t>tras</w:t>
      </w:r>
      <w:r>
        <w:rPr>
          <w:spacing w:val="-1"/>
        </w:rPr>
        <w:t xml:space="preserve"> </w:t>
      </w:r>
      <w:r>
        <w:t>campañas</w:t>
      </w:r>
      <w:r>
        <w:rPr>
          <w:spacing w:val="-2"/>
        </w:rPr>
        <w:t xml:space="preserve"> </w:t>
      </w:r>
      <w:r>
        <w:t>de</w:t>
      </w:r>
      <w:r>
        <w:rPr>
          <w:spacing w:val="-1"/>
        </w:rPr>
        <w:t xml:space="preserve"> </w:t>
      </w:r>
      <w:r>
        <w:t>fumigación</w:t>
      </w:r>
      <w:r>
        <w:rPr>
          <w:spacing w:val="-1"/>
        </w:rPr>
        <w:t xml:space="preserve"> </w:t>
      </w:r>
      <w:r>
        <w:t>señalan</w:t>
      </w:r>
      <w:r>
        <w:rPr>
          <w:spacing w:val="-1"/>
        </w:rPr>
        <w:t xml:space="preserve"> </w:t>
      </w:r>
      <w:r>
        <w:t>fuertes</w:t>
      </w:r>
      <w:r>
        <w:rPr>
          <w:spacing w:val="-2"/>
        </w:rPr>
        <w:t xml:space="preserve"> </w:t>
      </w:r>
      <w:r>
        <w:t xml:space="preserve">impactos en la salud, además de la pérdida de cosechas de </w:t>
      </w:r>
      <w:proofErr w:type="spellStart"/>
      <w:r>
        <w:t>pancoger</w:t>
      </w:r>
      <w:proofErr w:type="spellEnd"/>
      <w:r>
        <w:t xml:space="preserve"> y mayor pobreza de las comunidades afectadas</w:t>
      </w:r>
      <w:r w:rsidR="00A55B1A">
        <w:rPr>
          <w:rStyle w:val="Refdenotaalpie"/>
        </w:rPr>
        <w:footnoteReference w:id="672"/>
      </w:r>
      <w:r>
        <w:t>.</w:t>
      </w:r>
    </w:p>
    <w:p w:rsidR="0011361F" w:rsidRPr="0036054D" w:rsidRDefault="0036054D" w:rsidP="0036054D">
      <w:pPr>
        <w:pStyle w:val="Ttulo4"/>
      </w:pPr>
      <w:r>
        <w:lastRenderedPageBreak/>
        <w:t>“</w:t>
      </w:r>
      <w:r w:rsidR="00AF18A5">
        <w:t>Los</w:t>
      </w:r>
      <w:r w:rsidR="00AF18A5">
        <w:rPr>
          <w:spacing w:val="-4"/>
        </w:rPr>
        <w:t xml:space="preserve"> </w:t>
      </w:r>
      <w:r w:rsidR="00AF18A5">
        <w:t>impactos</w:t>
      </w:r>
      <w:r w:rsidR="00AF18A5">
        <w:rPr>
          <w:spacing w:val="-1"/>
        </w:rPr>
        <w:t xml:space="preserve"> </w:t>
      </w:r>
      <w:r w:rsidR="00AF18A5">
        <w:t>de</w:t>
      </w:r>
      <w:r w:rsidR="00AF18A5">
        <w:rPr>
          <w:spacing w:val="-1"/>
        </w:rPr>
        <w:t xml:space="preserve"> </w:t>
      </w:r>
      <w:r w:rsidR="00AF18A5">
        <w:t>las</w:t>
      </w:r>
      <w:r w:rsidR="00AF18A5">
        <w:rPr>
          <w:spacing w:val="-1"/>
        </w:rPr>
        <w:t xml:space="preserve"> </w:t>
      </w:r>
      <w:r w:rsidR="00AF18A5">
        <w:t>fumigaciones en</w:t>
      </w:r>
      <w:r w:rsidR="00AF18A5">
        <w:rPr>
          <w:spacing w:val="-3"/>
        </w:rPr>
        <w:t xml:space="preserve"> </w:t>
      </w:r>
      <w:r w:rsidR="00AF18A5">
        <w:t>los</w:t>
      </w:r>
      <w:r w:rsidR="00AF18A5">
        <w:rPr>
          <w:spacing w:val="-1"/>
        </w:rPr>
        <w:t xml:space="preserve"> </w:t>
      </w:r>
      <w:r w:rsidR="00AF18A5">
        <w:t>cultivos</w:t>
      </w:r>
      <w:r w:rsidR="00AF18A5">
        <w:rPr>
          <w:spacing w:val="-1"/>
        </w:rPr>
        <w:t xml:space="preserve"> </w:t>
      </w:r>
      <w:r w:rsidR="00AF18A5">
        <w:t>y</w:t>
      </w:r>
      <w:r w:rsidR="00AF18A5">
        <w:rPr>
          <w:spacing w:val="-1"/>
        </w:rPr>
        <w:t xml:space="preserve"> </w:t>
      </w:r>
      <w:r w:rsidR="00AF18A5" w:rsidRPr="0036054D">
        <w:t>la salud</w:t>
      </w:r>
    </w:p>
    <w:p w:rsidR="003804AC" w:rsidRPr="0036054D" w:rsidRDefault="00AF18A5" w:rsidP="0036054D">
      <w:r w:rsidRPr="0036054D">
        <w:t>Las afectaciones por las aspersiones aéreas han sido recogidas por la Defensoría del Pueblo e informadas a diversas instituciones del país</w:t>
      </w:r>
      <w:r w:rsidR="0036054D">
        <w:rPr>
          <w:rStyle w:val="Refdenotaalpie"/>
        </w:rPr>
        <w:footnoteReference w:id="673"/>
      </w:r>
      <w:r w:rsidRPr="0036054D">
        <w:t>. Entre las afectaciones se cuentan problemas dermatológicos, abortos y una especial afectación sobre las mujeres, los niños y las niñas, incluyendo malformaciones asociadas a dicho uso</w:t>
      </w:r>
      <w:r w:rsidR="0036054D">
        <w:rPr>
          <w:rStyle w:val="Refdenotaalpie"/>
        </w:rPr>
        <w:footnoteReference w:id="674"/>
      </w:r>
      <w:r w:rsidRPr="0036054D">
        <w:t>. Numerosas denuncias de problemas de salud graves que no se daban antes y la realización de diferentes estudios, tanto en Colombia como en Ecuador, han señalado el grave riesgo para la salud por las fumigaciones y han conllevado conflictos entre ambos países por las implicaciones de estas fumigaciones en territorio ecuatoriano.</w:t>
      </w:r>
    </w:p>
    <w:p w:rsidR="0036054D" w:rsidRPr="0036054D" w:rsidRDefault="00AF18A5" w:rsidP="0036054D">
      <w:pPr>
        <w:rPr>
          <w:spacing w:val="-2"/>
        </w:rPr>
      </w:pPr>
      <w:r>
        <w:t>En</w:t>
      </w:r>
      <w:r>
        <w:rPr>
          <w:spacing w:val="-4"/>
        </w:rPr>
        <w:t xml:space="preserve"> </w:t>
      </w:r>
      <w:r>
        <w:t>2001,</w:t>
      </w:r>
      <w:r>
        <w:rPr>
          <w:spacing w:val="-4"/>
        </w:rPr>
        <w:t xml:space="preserve"> </w:t>
      </w:r>
      <w:r>
        <w:t>en</w:t>
      </w:r>
      <w:r>
        <w:rPr>
          <w:spacing w:val="-2"/>
        </w:rPr>
        <w:t xml:space="preserve"> </w:t>
      </w:r>
      <w:r>
        <w:t>un</w:t>
      </w:r>
      <w:r>
        <w:rPr>
          <w:spacing w:val="-4"/>
        </w:rPr>
        <w:t xml:space="preserve"> </w:t>
      </w:r>
      <w:r>
        <w:t>estudio</w:t>
      </w:r>
      <w:r>
        <w:rPr>
          <w:spacing w:val="-4"/>
        </w:rPr>
        <w:t xml:space="preserve"> </w:t>
      </w:r>
      <w:r>
        <w:t>realizado</w:t>
      </w:r>
      <w:r>
        <w:rPr>
          <w:spacing w:val="-4"/>
        </w:rPr>
        <w:t xml:space="preserve"> </w:t>
      </w:r>
      <w:r>
        <w:t>con</w:t>
      </w:r>
      <w:r>
        <w:rPr>
          <w:spacing w:val="-5"/>
        </w:rPr>
        <w:t xml:space="preserve"> </w:t>
      </w:r>
      <w:r>
        <w:t>las</w:t>
      </w:r>
      <w:r>
        <w:rPr>
          <w:spacing w:val="-3"/>
        </w:rPr>
        <w:t xml:space="preserve"> </w:t>
      </w:r>
      <w:r>
        <w:t>poblaciones</w:t>
      </w:r>
      <w:r>
        <w:rPr>
          <w:spacing w:val="-3"/>
        </w:rPr>
        <w:t xml:space="preserve"> </w:t>
      </w:r>
      <w:r>
        <w:t>de</w:t>
      </w:r>
      <w:r>
        <w:rPr>
          <w:spacing w:val="-3"/>
        </w:rPr>
        <w:t xml:space="preserve"> </w:t>
      </w:r>
      <w:r>
        <w:t>la</w:t>
      </w:r>
      <w:r>
        <w:rPr>
          <w:spacing w:val="-3"/>
        </w:rPr>
        <w:t xml:space="preserve"> </w:t>
      </w:r>
      <w:r>
        <w:t>provincia</w:t>
      </w:r>
      <w:r>
        <w:rPr>
          <w:spacing w:val="-3"/>
        </w:rPr>
        <w:t xml:space="preserve"> </w:t>
      </w:r>
      <w:r>
        <w:t>de</w:t>
      </w:r>
      <w:r>
        <w:rPr>
          <w:spacing w:val="-3"/>
        </w:rPr>
        <w:t xml:space="preserve"> </w:t>
      </w:r>
      <w:r>
        <w:t>Sucumbíos,</w:t>
      </w:r>
      <w:r>
        <w:rPr>
          <w:spacing w:val="-4"/>
        </w:rPr>
        <w:t xml:space="preserve"> </w:t>
      </w:r>
      <w:r>
        <w:t>en</w:t>
      </w:r>
      <w:r>
        <w:rPr>
          <w:spacing w:val="-5"/>
        </w:rPr>
        <w:t xml:space="preserve"> </w:t>
      </w:r>
      <w:r>
        <w:t>la frontera entre Ecuador y Colombia, se mencionaron afectaciones sufridas por las comunidades</w:t>
      </w:r>
      <w:r>
        <w:rPr>
          <w:spacing w:val="-10"/>
        </w:rPr>
        <w:t xml:space="preserve"> </w:t>
      </w:r>
      <w:r>
        <w:t>como</w:t>
      </w:r>
      <w:r>
        <w:rPr>
          <w:spacing w:val="-11"/>
        </w:rPr>
        <w:t xml:space="preserve"> </w:t>
      </w:r>
      <w:r>
        <w:t>intoxicación</w:t>
      </w:r>
      <w:r>
        <w:rPr>
          <w:spacing w:val="-11"/>
        </w:rPr>
        <w:t xml:space="preserve"> </w:t>
      </w:r>
      <w:r>
        <w:t>aguda,</w:t>
      </w:r>
      <w:r>
        <w:rPr>
          <w:spacing w:val="-11"/>
        </w:rPr>
        <w:t xml:space="preserve"> </w:t>
      </w:r>
      <w:r>
        <w:t>intensidad</w:t>
      </w:r>
      <w:r>
        <w:rPr>
          <w:spacing w:val="-12"/>
        </w:rPr>
        <w:t xml:space="preserve"> </w:t>
      </w:r>
      <w:r>
        <w:t>de</w:t>
      </w:r>
      <w:r>
        <w:rPr>
          <w:spacing w:val="-10"/>
        </w:rPr>
        <w:t xml:space="preserve"> </w:t>
      </w:r>
      <w:r>
        <w:t>padecimientos</w:t>
      </w:r>
      <w:r>
        <w:rPr>
          <w:spacing w:val="-11"/>
        </w:rPr>
        <w:t xml:space="preserve"> </w:t>
      </w:r>
      <w:r>
        <w:t>en</w:t>
      </w:r>
      <w:r>
        <w:rPr>
          <w:spacing w:val="-11"/>
        </w:rPr>
        <w:t xml:space="preserve"> </w:t>
      </w:r>
      <w:r>
        <w:t>zonas</w:t>
      </w:r>
      <w:r>
        <w:rPr>
          <w:spacing w:val="-10"/>
        </w:rPr>
        <w:t xml:space="preserve"> </w:t>
      </w:r>
      <w:r>
        <w:t>próximas</w:t>
      </w:r>
      <w:r>
        <w:rPr>
          <w:spacing w:val="-12"/>
        </w:rPr>
        <w:t xml:space="preserve"> </w:t>
      </w:r>
      <w:r>
        <w:t>a</w:t>
      </w:r>
      <w:r>
        <w:rPr>
          <w:spacing w:val="-10"/>
        </w:rPr>
        <w:t xml:space="preserve"> </w:t>
      </w:r>
      <w:r>
        <w:t>las fumigaciones, niños enfermos, fiebres, diarreas y vómitos</w:t>
      </w:r>
      <w:r w:rsidR="0036054D">
        <w:rPr>
          <w:rStyle w:val="Refdenotaalpie"/>
        </w:rPr>
        <w:footnoteReference w:id="675"/>
      </w:r>
      <w:r>
        <w:t>. También se destacaron las afectaciones digestivas, dolores de cabeza, dermatitis y conjuntivitis. En el caso de los animales, los campesinos reportaron que hubo muchos abortos bovinos, los caballos quedaban</w:t>
      </w:r>
      <w:r>
        <w:rPr>
          <w:spacing w:val="-10"/>
        </w:rPr>
        <w:t xml:space="preserve"> </w:t>
      </w:r>
      <w:r>
        <w:t>sin</w:t>
      </w:r>
      <w:r>
        <w:rPr>
          <w:spacing w:val="-10"/>
        </w:rPr>
        <w:t xml:space="preserve"> </w:t>
      </w:r>
      <w:r>
        <w:t>pelo</w:t>
      </w:r>
      <w:r>
        <w:rPr>
          <w:spacing w:val="-11"/>
        </w:rPr>
        <w:t xml:space="preserve"> </w:t>
      </w:r>
      <w:r>
        <w:t>y</w:t>
      </w:r>
      <w:r>
        <w:rPr>
          <w:spacing w:val="-10"/>
        </w:rPr>
        <w:t xml:space="preserve"> </w:t>
      </w:r>
      <w:r>
        <w:t>se</w:t>
      </w:r>
      <w:r>
        <w:rPr>
          <w:spacing w:val="-9"/>
        </w:rPr>
        <w:t xml:space="preserve"> </w:t>
      </w:r>
      <w:r>
        <w:t>redujo</w:t>
      </w:r>
      <w:r>
        <w:rPr>
          <w:spacing w:val="-10"/>
        </w:rPr>
        <w:t xml:space="preserve"> </w:t>
      </w:r>
      <w:r>
        <w:t>el</w:t>
      </w:r>
      <w:r>
        <w:rPr>
          <w:spacing w:val="-9"/>
        </w:rPr>
        <w:t xml:space="preserve"> </w:t>
      </w:r>
      <w:r>
        <w:t>número</w:t>
      </w:r>
      <w:r>
        <w:rPr>
          <w:spacing w:val="-11"/>
        </w:rPr>
        <w:t xml:space="preserve"> </w:t>
      </w:r>
      <w:r>
        <w:t>de</w:t>
      </w:r>
      <w:r>
        <w:rPr>
          <w:spacing w:val="-9"/>
        </w:rPr>
        <w:t xml:space="preserve"> </w:t>
      </w:r>
      <w:r>
        <w:t>pollos</w:t>
      </w:r>
      <w:r>
        <w:rPr>
          <w:spacing w:val="-9"/>
        </w:rPr>
        <w:t xml:space="preserve"> </w:t>
      </w:r>
      <w:r>
        <w:t>nacidos</w:t>
      </w:r>
      <w:r>
        <w:rPr>
          <w:spacing w:val="-9"/>
        </w:rPr>
        <w:t xml:space="preserve"> </w:t>
      </w:r>
      <w:r>
        <w:t>vivos</w:t>
      </w:r>
      <w:r w:rsidR="0036054D">
        <w:rPr>
          <w:rStyle w:val="Refdenotaalpie"/>
        </w:rPr>
        <w:footnoteReference w:id="676"/>
      </w:r>
      <w:r>
        <w:t>.</w:t>
      </w:r>
      <w:r>
        <w:rPr>
          <w:spacing w:val="-10"/>
        </w:rPr>
        <w:t xml:space="preserve"> </w:t>
      </w:r>
      <w:r>
        <w:t>En</w:t>
      </w:r>
      <w:r>
        <w:rPr>
          <w:spacing w:val="-10"/>
        </w:rPr>
        <w:t xml:space="preserve"> </w:t>
      </w:r>
      <w:r>
        <w:t>otro</w:t>
      </w:r>
      <w:r>
        <w:rPr>
          <w:spacing w:val="-11"/>
        </w:rPr>
        <w:t xml:space="preserve"> </w:t>
      </w:r>
      <w:r>
        <w:t>estudio</w:t>
      </w:r>
      <w:r>
        <w:rPr>
          <w:spacing w:val="-11"/>
        </w:rPr>
        <w:t xml:space="preserve"> </w:t>
      </w:r>
      <w:r>
        <w:t>realizado en</w:t>
      </w:r>
      <w:r>
        <w:rPr>
          <w:spacing w:val="38"/>
        </w:rPr>
        <w:t xml:space="preserve"> </w:t>
      </w:r>
      <w:r>
        <w:t>Ecuador</w:t>
      </w:r>
      <w:r>
        <w:rPr>
          <w:spacing w:val="40"/>
        </w:rPr>
        <w:t xml:space="preserve"> </w:t>
      </w:r>
      <w:r>
        <w:t>solo</w:t>
      </w:r>
      <w:r>
        <w:rPr>
          <w:spacing w:val="39"/>
        </w:rPr>
        <w:t xml:space="preserve"> </w:t>
      </w:r>
      <w:r>
        <w:t>con</w:t>
      </w:r>
      <w:r>
        <w:rPr>
          <w:spacing w:val="39"/>
        </w:rPr>
        <w:t xml:space="preserve"> </w:t>
      </w:r>
      <w:r>
        <w:t>mujeres,</w:t>
      </w:r>
      <w:r>
        <w:rPr>
          <w:spacing w:val="39"/>
        </w:rPr>
        <w:t xml:space="preserve"> </w:t>
      </w:r>
      <w:r>
        <w:t>se</w:t>
      </w:r>
      <w:r>
        <w:rPr>
          <w:spacing w:val="39"/>
        </w:rPr>
        <w:t xml:space="preserve"> </w:t>
      </w:r>
      <w:r>
        <w:t>concluyó</w:t>
      </w:r>
      <w:r>
        <w:rPr>
          <w:spacing w:val="41"/>
        </w:rPr>
        <w:t xml:space="preserve"> </w:t>
      </w:r>
      <w:r>
        <w:t>que</w:t>
      </w:r>
      <w:r>
        <w:rPr>
          <w:spacing w:val="41"/>
        </w:rPr>
        <w:t xml:space="preserve"> </w:t>
      </w:r>
      <w:r>
        <w:t>la</w:t>
      </w:r>
      <w:r>
        <w:rPr>
          <w:spacing w:val="40"/>
        </w:rPr>
        <w:t xml:space="preserve"> </w:t>
      </w:r>
      <w:r>
        <w:t>totalidad</w:t>
      </w:r>
      <w:r>
        <w:rPr>
          <w:spacing w:val="41"/>
        </w:rPr>
        <w:t xml:space="preserve"> </w:t>
      </w:r>
      <w:r>
        <w:t>de</w:t>
      </w:r>
      <w:r>
        <w:rPr>
          <w:spacing w:val="41"/>
        </w:rPr>
        <w:t xml:space="preserve"> </w:t>
      </w:r>
      <w:r>
        <w:t>ellas</w:t>
      </w:r>
      <w:r>
        <w:rPr>
          <w:spacing w:val="41"/>
        </w:rPr>
        <w:t xml:space="preserve"> </w:t>
      </w:r>
      <w:r>
        <w:t>en</w:t>
      </w:r>
      <w:r>
        <w:rPr>
          <w:spacing w:val="41"/>
        </w:rPr>
        <w:t xml:space="preserve"> </w:t>
      </w:r>
      <w:r>
        <w:t>áreas</w:t>
      </w:r>
      <w:r>
        <w:rPr>
          <w:spacing w:val="41"/>
        </w:rPr>
        <w:t xml:space="preserve"> </w:t>
      </w:r>
      <w:r>
        <w:rPr>
          <w:spacing w:val="-2"/>
        </w:rPr>
        <w:t>asperjadas</w:t>
      </w:r>
      <w:r w:rsidR="0036054D">
        <w:rPr>
          <w:spacing w:val="-2"/>
        </w:rPr>
        <w:t xml:space="preserve"> </w:t>
      </w:r>
      <w:r w:rsidR="0036054D" w:rsidRPr="0036054D">
        <w:rPr>
          <w:spacing w:val="-2"/>
        </w:rPr>
        <w:t xml:space="preserve">sufrieron síntomas de intoxicación y lesiones en el 36 % de células </w:t>
      </w:r>
      <w:r w:rsidR="0036054D" w:rsidRPr="0036054D">
        <w:rPr>
          <w:spacing w:val="-2"/>
        </w:rPr>
        <w:lastRenderedPageBreak/>
        <w:t>examinadas, lo que se relacionó con un aumento del riesgo de cáncer, lesiones y mutaciones genéticas</w:t>
      </w:r>
      <w:r w:rsidR="0036054D">
        <w:rPr>
          <w:rStyle w:val="Refdenotaalpie"/>
          <w:spacing w:val="-2"/>
        </w:rPr>
        <w:footnoteReference w:id="677"/>
      </w:r>
      <w:r w:rsidR="0036054D" w:rsidRPr="0036054D">
        <w:rPr>
          <w:spacing w:val="-2"/>
        </w:rPr>
        <w:t>.</w:t>
      </w:r>
    </w:p>
    <w:p w:rsidR="0011361F" w:rsidRDefault="0036054D" w:rsidP="0036054D">
      <w:r w:rsidRPr="0036054D">
        <w:rPr>
          <w:spacing w:val="-2"/>
        </w:rPr>
        <w:t xml:space="preserve">Por otra parte, las fumigaciones llevaron a la contaminación de fuentes de agua y a la pérdida cultivos de </w:t>
      </w:r>
      <w:proofErr w:type="spellStart"/>
      <w:r w:rsidRPr="0036054D">
        <w:rPr>
          <w:spacing w:val="-2"/>
        </w:rPr>
        <w:t>pancoger</w:t>
      </w:r>
      <w:proofErr w:type="spellEnd"/>
      <w:r w:rsidRPr="0036054D">
        <w:rPr>
          <w:spacing w:val="-2"/>
        </w:rPr>
        <w:t xml:space="preserve"> y plantas medicinales. La pobreza extrema se hizo visible en esas zonas, como lo relató una mujer a la Comisión: «una pobreza que solamente uno que lo vivió lo puede entender y sentir las cosas que fueron; o sea, es muy horrible»</w:t>
      </w:r>
      <w:r>
        <w:rPr>
          <w:rStyle w:val="Refdenotaalpie"/>
          <w:spacing w:val="-2"/>
        </w:rPr>
        <w:footnoteReference w:id="678"/>
      </w:r>
      <w:r w:rsidRPr="0036054D">
        <w:rPr>
          <w:spacing w:val="-2"/>
        </w:rPr>
        <w:t>. Cuando las fumigaciones se dieron de forma repetida o varias veces al año, se produjo una grave crisis de salud y alimentaria en las comunidades afectadas. Además, numerosos testimonios de población campesina señalan que a la tierra le costó reiniciar la vida productiva y quedó afectada severamente, se volvió infértil o solo sirvió, paradójicamente, para la siembra de coca</w:t>
      </w:r>
      <w:r>
        <w:rPr>
          <w:rStyle w:val="Refdenotaalpie"/>
          <w:spacing w:val="-2"/>
        </w:rPr>
        <w:footnoteReference w:id="679"/>
      </w:r>
      <w:r w:rsidRPr="0036054D">
        <w:rPr>
          <w:spacing w:val="-2"/>
        </w:rPr>
        <w:t>. Entre 2003 y septiembre de 2015 se asperjaron 1.308.071 hectáreas</w:t>
      </w:r>
      <w:r>
        <w:rPr>
          <w:rStyle w:val="Refdenotaalpie"/>
          <w:spacing w:val="-2"/>
        </w:rPr>
        <w:footnoteReference w:id="680"/>
      </w:r>
      <w:r w:rsidRPr="0036054D">
        <w:rPr>
          <w:spacing w:val="-2"/>
        </w:rPr>
        <w:t>.</w:t>
      </w:r>
      <w:r w:rsidR="00837E51" w:rsidRPr="00837E51">
        <w:rPr>
          <w:b/>
          <w:spacing w:val="-2"/>
        </w:rPr>
        <w:t>”</w:t>
      </w:r>
    </w:p>
    <w:p w:rsidR="0011361F" w:rsidRDefault="00AF18A5" w:rsidP="0036054D">
      <w:bookmarkStart w:id="849" w:name="_bookmark738"/>
      <w:bookmarkStart w:id="850" w:name="_bookmark739"/>
      <w:bookmarkStart w:id="851" w:name="_bookmark740"/>
      <w:bookmarkStart w:id="852" w:name="_bookmark741"/>
      <w:bookmarkStart w:id="853" w:name="_bookmark742"/>
      <w:bookmarkEnd w:id="849"/>
      <w:bookmarkEnd w:id="850"/>
      <w:bookmarkEnd w:id="851"/>
      <w:bookmarkEnd w:id="852"/>
      <w:bookmarkEnd w:id="853"/>
      <w:r>
        <w:t>Estas afectaciones han puesto en tensión a las comunidades y su relación con el Estado colombiano. Así sucedió, por ejemplo, por los daños de la aspersión de territorios sin coca, que</w:t>
      </w:r>
      <w:r>
        <w:rPr>
          <w:spacing w:val="-11"/>
        </w:rPr>
        <w:t xml:space="preserve"> </w:t>
      </w:r>
      <w:r>
        <w:t>desde</w:t>
      </w:r>
      <w:r>
        <w:rPr>
          <w:spacing w:val="-11"/>
        </w:rPr>
        <w:t xml:space="preserve"> </w:t>
      </w:r>
      <w:r>
        <w:t>1998</w:t>
      </w:r>
      <w:r>
        <w:rPr>
          <w:spacing w:val="-11"/>
        </w:rPr>
        <w:t xml:space="preserve"> </w:t>
      </w:r>
      <w:r>
        <w:t>hasta</w:t>
      </w:r>
      <w:r>
        <w:rPr>
          <w:spacing w:val="-11"/>
        </w:rPr>
        <w:t xml:space="preserve"> </w:t>
      </w:r>
      <w:r>
        <w:t>el</w:t>
      </w:r>
      <w:r>
        <w:rPr>
          <w:spacing w:val="-12"/>
        </w:rPr>
        <w:t xml:space="preserve"> </w:t>
      </w:r>
      <w:r>
        <w:t>presente</w:t>
      </w:r>
      <w:r>
        <w:rPr>
          <w:spacing w:val="-11"/>
        </w:rPr>
        <w:t xml:space="preserve"> </w:t>
      </w:r>
      <w:r>
        <w:t>ha</w:t>
      </w:r>
      <w:r>
        <w:rPr>
          <w:spacing w:val="-12"/>
        </w:rPr>
        <w:t xml:space="preserve"> </w:t>
      </w:r>
      <w:r>
        <w:t>ocurrido</w:t>
      </w:r>
      <w:r>
        <w:rPr>
          <w:spacing w:val="-12"/>
        </w:rPr>
        <w:t xml:space="preserve"> </w:t>
      </w:r>
      <w:r>
        <w:t>en</w:t>
      </w:r>
      <w:r>
        <w:rPr>
          <w:spacing w:val="-12"/>
        </w:rPr>
        <w:t xml:space="preserve"> </w:t>
      </w:r>
      <w:r>
        <w:t>26</w:t>
      </w:r>
      <w:r>
        <w:rPr>
          <w:spacing w:val="-11"/>
        </w:rPr>
        <w:t xml:space="preserve"> </w:t>
      </w:r>
      <w:r>
        <w:t>municipios</w:t>
      </w:r>
      <w:r>
        <w:rPr>
          <w:spacing w:val="-11"/>
        </w:rPr>
        <w:t xml:space="preserve"> </w:t>
      </w:r>
      <w:r>
        <w:t>del</w:t>
      </w:r>
      <w:r>
        <w:rPr>
          <w:spacing w:val="-11"/>
        </w:rPr>
        <w:t xml:space="preserve"> </w:t>
      </w:r>
      <w:r>
        <w:t>país</w:t>
      </w:r>
      <w:r w:rsidR="0063484F">
        <w:rPr>
          <w:rStyle w:val="Refdenotaalpie"/>
        </w:rPr>
        <w:footnoteReference w:id="681"/>
      </w:r>
      <w:r>
        <w:rPr>
          <w:spacing w:val="-11"/>
        </w:rPr>
        <w:t xml:space="preserve"> </w:t>
      </w:r>
      <w:r>
        <w:t>y</w:t>
      </w:r>
      <w:r>
        <w:rPr>
          <w:spacing w:val="-11"/>
        </w:rPr>
        <w:t xml:space="preserve"> </w:t>
      </w:r>
      <w:r>
        <w:t>que</w:t>
      </w:r>
      <w:r>
        <w:rPr>
          <w:spacing w:val="-11"/>
        </w:rPr>
        <w:t xml:space="preserve"> </w:t>
      </w:r>
      <w:r>
        <w:t>aún</w:t>
      </w:r>
      <w:r>
        <w:rPr>
          <w:spacing w:val="-11"/>
        </w:rPr>
        <w:t xml:space="preserve"> </w:t>
      </w:r>
      <w:r>
        <w:t>no</w:t>
      </w:r>
      <w:r>
        <w:rPr>
          <w:spacing w:val="-11"/>
        </w:rPr>
        <w:t xml:space="preserve"> </w:t>
      </w:r>
      <w:r>
        <w:t xml:space="preserve">tienen reparación; tal fue el caso de la destrucción de cultivos legales de la organización </w:t>
      </w:r>
      <w:proofErr w:type="spellStart"/>
      <w:r>
        <w:t>Asocazul</w:t>
      </w:r>
      <w:proofErr w:type="spellEnd"/>
      <w:r>
        <w:t xml:space="preserve"> en el Sur de Bolívar, donde, después de que hicieran una inversión significativa y se endeudaran para transitar a la economía del cacao, la región empezó a ser asperjada con glifosato </w:t>
      </w:r>
      <w:r>
        <w:lastRenderedPageBreak/>
        <w:t>desde 2003</w:t>
      </w:r>
      <w:r w:rsidR="0063484F">
        <w:rPr>
          <w:rStyle w:val="Refdenotaalpie"/>
        </w:rPr>
        <w:footnoteReference w:id="682"/>
      </w:r>
      <w:r>
        <w:t>. Esto llevó a que pagar los créditos fuera imposible, se embargaron las cuentas y el futuro de muchos se vio truncado. Ante esto, cerca de dos mil personas afectadas por la fumigación de cinco municipios en el Sur de Bolívar se organizaron para demandar al Estado por daños y perjuicios</w:t>
      </w:r>
      <w:r w:rsidR="0063484F">
        <w:rPr>
          <w:rStyle w:val="Refdenotaalpie"/>
        </w:rPr>
        <w:footnoteReference w:id="683"/>
      </w:r>
      <w:r>
        <w:t>. En este momento, su caso está siendo escuchado en audiencia de observación por la Jurisdicción Especial para la Paz (JEP).</w:t>
      </w:r>
    </w:p>
    <w:p w:rsidR="003804AC" w:rsidRDefault="00AF18A5" w:rsidP="0063484F">
      <w:bookmarkStart w:id="854" w:name="_bookmark743"/>
      <w:bookmarkStart w:id="855" w:name="_bookmark744"/>
      <w:bookmarkStart w:id="856" w:name="_bookmark745"/>
      <w:bookmarkStart w:id="857" w:name="_bookmark746"/>
      <w:bookmarkStart w:id="858" w:name="_bookmark747"/>
      <w:bookmarkStart w:id="859" w:name="_bookmark748"/>
      <w:bookmarkStart w:id="860" w:name="_bookmark749"/>
      <w:bookmarkEnd w:id="854"/>
      <w:bookmarkEnd w:id="855"/>
      <w:bookmarkEnd w:id="856"/>
      <w:bookmarkEnd w:id="857"/>
      <w:bookmarkEnd w:id="858"/>
      <w:bookmarkEnd w:id="859"/>
      <w:bookmarkEnd w:id="860"/>
      <w:r>
        <w:t>La aspersión implicó el desplazamiento de los territorios, como ocurrió en el Sur de Bolívar, donde quedaron fincas abandonadas, y en Arauca, donde «la gente se fue alejando porque igual no había trabajo y no había otro tipo de economía»</w:t>
      </w:r>
      <w:r w:rsidR="00EB1D29">
        <w:rPr>
          <w:rStyle w:val="Refdenotaalpie"/>
        </w:rPr>
        <w:footnoteReference w:id="684"/>
      </w:r>
      <w:r>
        <w:t>. Numerosos testimonios de víctimas de esos hechos le señalaron a la Comisión que las alternativas para paliar sus efectos</w:t>
      </w:r>
      <w:r>
        <w:rPr>
          <w:spacing w:val="-6"/>
        </w:rPr>
        <w:t xml:space="preserve"> </w:t>
      </w:r>
      <w:r>
        <w:t>fueron</w:t>
      </w:r>
      <w:r>
        <w:rPr>
          <w:spacing w:val="-6"/>
        </w:rPr>
        <w:t xml:space="preserve"> </w:t>
      </w:r>
      <w:r>
        <w:t>precarias</w:t>
      </w:r>
      <w:r>
        <w:rPr>
          <w:spacing w:val="-7"/>
        </w:rPr>
        <w:t xml:space="preserve"> </w:t>
      </w:r>
      <w:r>
        <w:t>y</w:t>
      </w:r>
      <w:r>
        <w:rPr>
          <w:spacing w:val="-6"/>
        </w:rPr>
        <w:t xml:space="preserve"> </w:t>
      </w:r>
      <w:r>
        <w:t>no</w:t>
      </w:r>
      <w:r>
        <w:rPr>
          <w:spacing w:val="-6"/>
        </w:rPr>
        <w:t xml:space="preserve"> </w:t>
      </w:r>
      <w:r>
        <w:t>tuvieron</w:t>
      </w:r>
      <w:r>
        <w:rPr>
          <w:spacing w:val="-6"/>
        </w:rPr>
        <w:t xml:space="preserve"> </w:t>
      </w:r>
      <w:r>
        <w:t>mayor</w:t>
      </w:r>
      <w:r>
        <w:rPr>
          <w:spacing w:val="-6"/>
        </w:rPr>
        <w:t xml:space="preserve"> </w:t>
      </w:r>
      <w:r>
        <w:t>impacto</w:t>
      </w:r>
      <w:r>
        <w:rPr>
          <w:spacing w:val="-6"/>
        </w:rPr>
        <w:t xml:space="preserve"> </w:t>
      </w:r>
      <w:r>
        <w:t>en</w:t>
      </w:r>
      <w:r>
        <w:rPr>
          <w:spacing w:val="-6"/>
        </w:rPr>
        <w:t xml:space="preserve"> </w:t>
      </w:r>
      <w:r>
        <w:t>su</w:t>
      </w:r>
      <w:r>
        <w:rPr>
          <w:spacing w:val="-6"/>
        </w:rPr>
        <w:t xml:space="preserve"> </w:t>
      </w:r>
      <w:r>
        <w:t>situación.</w:t>
      </w:r>
      <w:r>
        <w:rPr>
          <w:spacing w:val="-6"/>
        </w:rPr>
        <w:t xml:space="preserve"> </w:t>
      </w:r>
      <w:r>
        <w:t>Un</w:t>
      </w:r>
      <w:r>
        <w:rPr>
          <w:spacing w:val="-6"/>
        </w:rPr>
        <w:t xml:space="preserve"> </w:t>
      </w:r>
      <w:r>
        <w:t>gobernador</w:t>
      </w:r>
      <w:r>
        <w:rPr>
          <w:spacing w:val="-7"/>
        </w:rPr>
        <w:t xml:space="preserve"> </w:t>
      </w:r>
      <w:r>
        <w:t>awá</w:t>
      </w:r>
      <w:r>
        <w:rPr>
          <w:spacing w:val="-6"/>
        </w:rPr>
        <w:t xml:space="preserve"> </w:t>
      </w:r>
      <w:r>
        <w:t>lo recordó así:</w:t>
      </w:r>
    </w:p>
    <w:p w:rsidR="003804AC" w:rsidRDefault="00AF18A5" w:rsidP="00EB1D29">
      <w:r>
        <w:t>«La</w:t>
      </w:r>
      <w:r>
        <w:rPr>
          <w:spacing w:val="-15"/>
        </w:rPr>
        <w:t xml:space="preserve"> </w:t>
      </w:r>
      <w:r>
        <w:t>fumiga</w:t>
      </w:r>
      <w:r>
        <w:rPr>
          <w:spacing w:val="-15"/>
        </w:rPr>
        <w:t xml:space="preserve"> </w:t>
      </w:r>
      <w:r>
        <w:t>afectó</w:t>
      </w:r>
      <w:r>
        <w:rPr>
          <w:spacing w:val="-15"/>
        </w:rPr>
        <w:t xml:space="preserve"> </w:t>
      </w:r>
      <w:r>
        <w:t>mucho.</w:t>
      </w:r>
      <w:r>
        <w:rPr>
          <w:spacing w:val="-15"/>
        </w:rPr>
        <w:t xml:space="preserve"> </w:t>
      </w:r>
      <w:r>
        <w:t>Le</w:t>
      </w:r>
      <w:r>
        <w:rPr>
          <w:spacing w:val="-15"/>
        </w:rPr>
        <w:t xml:space="preserve"> </w:t>
      </w:r>
      <w:r>
        <w:t>digo</w:t>
      </w:r>
      <w:r>
        <w:rPr>
          <w:spacing w:val="-15"/>
        </w:rPr>
        <w:t xml:space="preserve"> </w:t>
      </w:r>
      <w:r>
        <w:t>sinceramente</w:t>
      </w:r>
      <w:r>
        <w:rPr>
          <w:spacing w:val="-15"/>
        </w:rPr>
        <w:t xml:space="preserve"> </w:t>
      </w:r>
      <w:r>
        <w:t>que</w:t>
      </w:r>
      <w:r>
        <w:rPr>
          <w:spacing w:val="-15"/>
        </w:rPr>
        <w:t xml:space="preserve"> </w:t>
      </w:r>
      <w:r>
        <w:t>nosotros</w:t>
      </w:r>
      <w:r>
        <w:rPr>
          <w:spacing w:val="-15"/>
        </w:rPr>
        <w:t xml:space="preserve"> </w:t>
      </w:r>
      <w:r>
        <w:t>pedíamos</w:t>
      </w:r>
      <w:r>
        <w:rPr>
          <w:spacing w:val="-15"/>
        </w:rPr>
        <w:t xml:space="preserve"> </w:t>
      </w:r>
      <w:r>
        <w:t>ayuda,</w:t>
      </w:r>
      <w:r>
        <w:rPr>
          <w:spacing w:val="-15"/>
        </w:rPr>
        <w:t xml:space="preserve"> </w:t>
      </w:r>
      <w:r>
        <w:t>ese</w:t>
      </w:r>
      <w:r>
        <w:rPr>
          <w:spacing w:val="-15"/>
        </w:rPr>
        <w:t xml:space="preserve"> </w:t>
      </w:r>
      <w:r>
        <w:t>tiempo el presidente nos dijo... el Estado, ¿qué hizo el Estado? Nos mandó a regalar unas vacas viejas, unas gallinas viejas, que parecían de no sé cuántos años serían. A cada uno nos dio una</w:t>
      </w:r>
      <w:r>
        <w:rPr>
          <w:spacing w:val="-5"/>
        </w:rPr>
        <w:t xml:space="preserve"> </w:t>
      </w:r>
      <w:r>
        <w:t>vaquita,</w:t>
      </w:r>
      <w:r>
        <w:rPr>
          <w:spacing w:val="-6"/>
        </w:rPr>
        <w:t xml:space="preserve"> </w:t>
      </w:r>
      <w:r>
        <w:t>una</w:t>
      </w:r>
      <w:r>
        <w:rPr>
          <w:spacing w:val="-5"/>
        </w:rPr>
        <w:t xml:space="preserve"> </w:t>
      </w:r>
      <w:r>
        <w:t>vaquita</w:t>
      </w:r>
      <w:r>
        <w:rPr>
          <w:spacing w:val="-5"/>
        </w:rPr>
        <w:t xml:space="preserve"> </w:t>
      </w:r>
      <w:r>
        <w:t>que</w:t>
      </w:r>
      <w:r>
        <w:rPr>
          <w:spacing w:val="-5"/>
        </w:rPr>
        <w:t xml:space="preserve"> </w:t>
      </w:r>
      <w:r>
        <w:t>ni</w:t>
      </w:r>
      <w:r>
        <w:rPr>
          <w:spacing w:val="-4"/>
        </w:rPr>
        <w:t xml:space="preserve"> </w:t>
      </w:r>
      <w:r>
        <w:t>leche</w:t>
      </w:r>
      <w:r>
        <w:rPr>
          <w:spacing w:val="-6"/>
        </w:rPr>
        <w:t xml:space="preserve"> </w:t>
      </w:r>
      <w:r>
        <w:t>dio</w:t>
      </w:r>
      <w:r>
        <w:rPr>
          <w:spacing w:val="-5"/>
        </w:rPr>
        <w:t xml:space="preserve"> </w:t>
      </w:r>
      <w:r>
        <w:t>esa</w:t>
      </w:r>
      <w:r>
        <w:rPr>
          <w:spacing w:val="-5"/>
        </w:rPr>
        <w:t xml:space="preserve"> </w:t>
      </w:r>
      <w:r>
        <w:t>vaca.</w:t>
      </w:r>
      <w:r>
        <w:rPr>
          <w:spacing w:val="-5"/>
        </w:rPr>
        <w:t xml:space="preserve"> </w:t>
      </w:r>
      <w:r>
        <w:t>De</w:t>
      </w:r>
      <w:r>
        <w:rPr>
          <w:spacing w:val="-5"/>
        </w:rPr>
        <w:t xml:space="preserve"> </w:t>
      </w:r>
      <w:r>
        <w:t>ver</w:t>
      </w:r>
      <w:r>
        <w:rPr>
          <w:spacing w:val="-4"/>
        </w:rPr>
        <w:t xml:space="preserve"> </w:t>
      </w:r>
      <w:r>
        <w:t>que</w:t>
      </w:r>
      <w:r>
        <w:rPr>
          <w:spacing w:val="-3"/>
        </w:rPr>
        <w:t xml:space="preserve"> </w:t>
      </w:r>
      <w:r>
        <w:t>tantos</w:t>
      </w:r>
      <w:r>
        <w:rPr>
          <w:spacing w:val="-5"/>
        </w:rPr>
        <w:t xml:space="preserve"> </w:t>
      </w:r>
      <w:r>
        <w:t>pedíamos</w:t>
      </w:r>
      <w:r>
        <w:rPr>
          <w:spacing w:val="-5"/>
        </w:rPr>
        <w:t xml:space="preserve"> </w:t>
      </w:r>
      <w:r>
        <w:t>auxilio</w:t>
      </w:r>
      <w:r>
        <w:rPr>
          <w:spacing w:val="-5"/>
        </w:rPr>
        <w:t xml:space="preserve"> </w:t>
      </w:r>
      <w:r>
        <w:t>y</w:t>
      </w:r>
      <w:r>
        <w:rPr>
          <w:spacing w:val="-5"/>
        </w:rPr>
        <w:t xml:space="preserve"> </w:t>
      </w:r>
      <w:r>
        <w:t>eso fue… que nos daban contentillo, y unas semillas que no sirvieron»</w:t>
      </w:r>
      <w:r w:rsidR="00EB1D29">
        <w:rPr>
          <w:rStyle w:val="Refdenotaalpie"/>
        </w:rPr>
        <w:footnoteReference w:id="685"/>
      </w:r>
      <w:r>
        <w:t>.</w:t>
      </w:r>
    </w:p>
    <w:p w:rsidR="003804AC" w:rsidRDefault="00AF18A5" w:rsidP="00EB1D29">
      <w:r>
        <w:t>A</w:t>
      </w:r>
      <w:r>
        <w:rPr>
          <w:spacing w:val="-4"/>
        </w:rPr>
        <w:t xml:space="preserve"> </w:t>
      </w:r>
      <w:r>
        <w:t>todo</w:t>
      </w:r>
      <w:r>
        <w:rPr>
          <w:spacing w:val="-5"/>
        </w:rPr>
        <w:t xml:space="preserve"> </w:t>
      </w:r>
      <w:r>
        <w:t>lo</w:t>
      </w:r>
      <w:r>
        <w:rPr>
          <w:spacing w:val="-4"/>
        </w:rPr>
        <w:t xml:space="preserve"> </w:t>
      </w:r>
      <w:r>
        <w:t>anterior,</w:t>
      </w:r>
      <w:r>
        <w:rPr>
          <w:spacing w:val="-5"/>
        </w:rPr>
        <w:t xml:space="preserve"> </w:t>
      </w:r>
      <w:r>
        <w:t>se</w:t>
      </w:r>
      <w:r>
        <w:rPr>
          <w:spacing w:val="-5"/>
        </w:rPr>
        <w:t xml:space="preserve"> </w:t>
      </w:r>
      <w:r>
        <w:t>suma</w:t>
      </w:r>
      <w:r>
        <w:rPr>
          <w:spacing w:val="-4"/>
        </w:rPr>
        <w:t xml:space="preserve"> </w:t>
      </w:r>
      <w:r>
        <w:t>que</w:t>
      </w:r>
      <w:r>
        <w:rPr>
          <w:spacing w:val="-4"/>
        </w:rPr>
        <w:t xml:space="preserve"> </w:t>
      </w:r>
      <w:r>
        <w:t>las</w:t>
      </w:r>
      <w:r>
        <w:rPr>
          <w:spacing w:val="-4"/>
        </w:rPr>
        <w:t xml:space="preserve"> </w:t>
      </w:r>
      <w:r>
        <w:t>fumigaciones</w:t>
      </w:r>
      <w:r>
        <w:rPr>
          <w:spacing w:val="-5"/>
        </w:rPr>
        <w:t xml:space="preserve"> </w:t>
      </w:r>
      <w:r>
        <w:t>fueron,</w:t>
      </w:r>
      <w:r>
        <w:rPr>
          <w:spacing w:val="-4"/>
        </w:rPr>
        <w:t xml:space="preserve"> </w:t>
      </w:r>
      <w:r>
        <w:t>sobre</w:t>
      </w:r>
      <w:r>
        <w:rPr>
          <w:spacing w:val="-4"/>
        </w:rPr>
        <w:t xml:space="preserve"> </w:t>
      </w:r>
      <w:r>
        <w:t>todo,</w:t>
      </w:r>
      <w:r>
        <w:rPr>
          <w:spacing w:val="-4"/>
        </w:rPr>
        <w:t xml:space="preserve"> </w:t>
      </w:r>
      <w:r>
        <w:t>ineficaces.</w:t>
      </w:r>
      <w:r>
        <w:rPr>
          <w:spacing w:val="-5"/>
        </w:rPr>
        <w:t xml:space="preserve"> </w:t>
      </w:r>
      <w:r>
        <w:t>Esta</w:t>
      </w:r>
      <w:r>
        <w:rPr>
          <w:spacing w:val="-4"/>
        </w:rPr>
        <w:t xml:space="preserve"> </w:t>
      </w:r>
      <w:r>
        <w:t xml:space="preserve">solo ha tenido éxito en la reducción del cultivo en momentos determinados y territorios específicos. La Comisión coincide </w:t>
      </w:r>
      <w:r>
        <w:lastRenderedPageBreak/>
        <w:t>con varios expertos que ponen en evidencia que con las fumigaciones los cultivos se trasladaron hacia otras zonas del país donde estas no se realizaban, por ejemplo, cuando iniciaron las fumigaciones en el Putumayo en el marco del Plan Colombia, los cultivos se movieron hacia regiones como Nariño y el Pacífico. En ese mismo contexto, se dieron los picos más altos de las fumigaciones entre el 2002 y el 2006, periodo en el que se fumigaron más de 320.000 hectáreas. Sin embargo:</w:t>
      </w:r>
    </w:p>
    <w:p w:rsidR="003804AC" w:rsidRDefault="00AF18A5" w:rsidP="00EB1D29">
      <w:r>
        <w:t>“En 2007, el gobierno estadounidense midió casi la misma cantidad de cultivos de coca en Colombia que en 2001, el peor año de la historia. Desde el 2005 hasta el 2007 fue un periodo de aumentos constantes en el cultivo de coca. Fue durante este periodo que un informe de la Oficina de Control y Fiscalización del gobierno de Estados Unidos (</w:t>
      </w:r>
      <w:proofErr w:type="spellStart"/>
      <w:r>
        <w:rPr>
          <w:i/>
        </w:rPr>
        <w:t>Government</w:t>
      </w:r>
      <w:proofErr w:type="spellEnd"/>
      <w:r>
        <w:rPr>
          <w:i/>
          <w:spacing w:val="75"/>
          <w:w w:val="150"/>
        </w:rPr>
        <w:t xml:space="preserve"> </w:t>
      </w:r>
      <w:proofErr w:type="spellStart"/>
      <w:r>
        <w:rPr>
          <w:i/>
        </w:rPr>
        <w:t>Accountability</w:t>
      </w:r>
      <w:proofErr w:type="spellEnd"/>
      <w:r>
        <w:rPr>
          <w:i/>
          <w:spacing w:val="76"/>
          <w:w w:val="150"/>
        </w:rPr>
        <w:t xml:space="preserve"> </w:t>
      </w:r>
      <w:r>
        <w:rPr>
          <w:i/>
        </w:rPr>
        <w:t>Office,</w:t>
      </w:r>
      <w:r>
        <w:rPr>
          <w:i/>
          <w:spacing w:val="77"/>
          <w:w w:val="150"/>
        </w:rPr>
        <w:t xml:space="preserve"> </w:t>
      </w:r>
      <w:r>
        <w:t>GAO)</w:t>
      </w:r>
      <w:r>
        <w:rPr>
          <w:spacing w:val="77"/>
          <w:w w:val="150"/>
        </w:rPr>
        <w:t xml:space="preserve"> </w:t>
      </w:r>
      <w:r>
        <w:t>encontró</w:t>
      </w:r>
      <w:r>
        <w:rPr>
          <w:spacing w:val="76"/>
          <w:w w:val="150"/>
        </w:rPr>
        <w:t xml:space="preserve"> </w:t>
      </w:r>
      <w:r>
        <w:t>que</w:t>
      </w:r>
      <w:r>
        <w:rPr>
          <w:spacing w:val="77"/>
          <w:w w:val="150"/>
        </w:rPr>
        <w:t xml:space="preserve"> </w:t>
      </w:r>
      <w:r>
        <w:t>el</w:t>
      </w:r>
      <w:r>
        <w:rPr>
          <w:spacing w:val="76"/>
          <w:w w:val="150"/>
        </w:rPr>
        <w:t xml:space="preserve"> </w:t>
      </w:r>
      <w:r>
        <w:t>Plan</w:t>
      </w:r>
      <w:r>
        <w:rPr>
          <w:spacing w:val="75"/>
          <w:w w:val="150"/>
        </w:rPr>
        <w:t xml:space="preserve"> </w:t>
      </w:r>
      <w:r>
        <w:t>Colombia</w:t>
      </w:r>
      <w:r>
        <w:rPr>
          <w:spacing w:val="76"/>
          <w:w w:val="150"/>
        </w:rPr>
        <w:t xml:space="preserve"> </w:t>
      </w:r>
      <w:r>
        <w:t>se</w:t>
      </w:r>
      <w:r>
        <w:rPr>
          <w:spacing w:val="77"/>
          <w:w w:val="150"/>
        </w:rPr>
        <w:t xml:space="preserve"> </w:t>
      </w:r>
      <w:r>
        <w:rPr>
          <w:spacing w:val="-5"/>
        </w:rPr>
        <w:t>fue</w:t>
      </w:r>
      <w:bookmarkStart w:id="861" w:name="_bookmark750"/>
      <w:bookmarkStart w:id="862" w:name="_bookmark751"/>
      <w:bookmarkEnd w:id="861"/>
      <w:bookmarkEnd w:id="862"/>
      <w:r w:rsidR="00EB1D29">
        <w:t xml:space="preserve"> </w:t>
      </w:r>
      <w:r>
        <w:t>convirtiendo en una estrategia exitosa de seguridad -la violencia guerrillera estaba disminuyendo- pero no tenía tanto éxito como una estrategia de lucha contra las drogas”</w:t>
      </w:r>
      <w:r w:rsidR="00EB1D29">
        <w:rPr>
          <w:rStyle w:val="Refdenotaalpie"/>
        </w:rPr>
        <w:footnoteReference w:id="686"/>
      </w:r>
      <w:r>
        <w:t>.</w:t>
      </w:r>
    </w:p>
    <w:p w:rsidR="0011361F" w:rsidRDefault="00AF18A5" w:rsidP="00EB1D29">
      <w:r>
        <w:t>El</w:t>
      </w:r>
      <w:r>
        <w:rPr>
          <w:spacing w:val="-1"/>
        </w:rPr>
        <w:t xml:space="preserve"> </w:t>
      </w:r>
      <w:r>
        <w:t>expresidente</w:t>
      </w:r>
      <w:r>
        <w:rPr>
          <w:spacing w:val="-1"/>
        </w:rPr>
        <w:t xml:space="preserve"> </w:t>
      </w:r>
      <w:r>
        <w:t>Ernesto</w:t>
      </w:r>
      <w:r>
        <w:rPr>
          <w:spacing w:val="-3"/>
        </w:rPr>
        <w:t xml:space="preserve"> </w:t>
      </w:r>
      <w:r>
        <w:t>Samper</w:t>
      </w:r>
      <w:r>
        <w:rPr>
          <w:spacing w:val="-2"/>
        </w:rPr>
        <w:t xml:space="preserve"> </w:t>
      </w:r>
      <w:r>
        <w:t>le</w:t>
      </w:r>
      <w:r>
        <w:rPr>
          <w:spacing w:val="-1"/>
        </w:rPr>
        <w:t xml:space="preserve"> </w:t>
      </w:r>
      <w:r>
        <w:t>dijo</w:t>
      </w:r>
      <w:r>
        <w:rPr>
          <w:spacing w:val="-1"/>
        </w:rPr>
        <w:t xml:space="preserve"> </w:t>
      </w:r>
      <w:r>
        <w:t>a</w:t>
      </w:r>
      <w:r>
        <w:rPr>
          <w:spacing w:val="-1"/>
        </w:rPr>
        <w:t xml:space="preserve"> </w:t>
      </w:r>
      <w:r>
        <w:t>la</w:t>
      </w:r>
      <w:r>
        <w:rPr>
          <w:spacing w:val="-1"/>
        </w:rPr>
        <w:t xml:space="preserve"> </w:t>
      </w:r>
      <w:r>
        <w:t>Comisión</w:t>
      </w:r>
      <w:r>
        <w:rPr>
          <w:spacing w:val="-1"/>
        </w:rPr>
        <w:t xml:space="preserve"> </w:t>
      </w:r>
      <w:r>
        <w:t>de</w:t>
      </w:r>
      <w:r>
        <w:rPr>
          <w:spacing w:val="-1"/>
        </w:rPr>
        <w:t xml:space="preserve"> </w:t>
      </w:r>
      <w:r>
        <w:t>la</w:t>
      </w:r>
      <w:r>
        <w:rPr>
          <w:spacing w:val="-1"/>
        </w:rPr>
        <w:t xml:space="preserve"> </w:t>
      </w:r>
      <w:r>
        <w:rPr>
          <w:spacing w:val="-2"/>
        </w:rPr>
        <w:t>Verdad:</w:t>
      </w:r>
    </w:p>
    <w:p w:rsidR="003804AC" w:rsidRDefault="00AF18A5" w:rsidP="00EB1D29">
      <w:r>
        <w:t xml:space="preserve">«Pero ahora me he vuelto a </w:t>
      </w:r>
      <w:proofErr w:type="spellStart"/>
      <w:r>
        <w:t>reconvencer</w:t>
      </w:r>
      <w:proofErr w:type="spellEnd"/>
      <w:r>
        <w:t xml:space="preserve"> de que fue un error las fumigaciones, con las cifras que se han conocido recientemente y que yo comparto totalmente, de que el principal problema de la fumigación aérea, e inclusive de la fumigación vía mano militar, es que estimula las resiembras. Los cultivos que se destruían con la fumigación aérea se estaban resembrando en un 90 %. Y está demostrado ahora, con casos recientes, como el del Catatumbo o Tumaco, que los cultivos que se destruyen militarmente se </w:t>
      </w:r>
      <w:proofErr w:type="spellStart"/>
      <w:r>
        <w:t>resiembran</w:t>
      </w:r>
      <w:proofErr w:type="spellEnd"/>
      <w:r>
        <w:t xml:space="preserve"> en un 70</w:t>
      </w:r>
      <w:r>
        <w:rPr>
          <w:spacing w:val="-3"/>
        </w:rPr>
        <w:t xml:space="preserve"> </w:t>
      </w:r>
      <w:r>
        <w:t>%,</w:t>
      </w:r>
      <w:r>
        <w:rPr>
          <w:spacing w:val="-8"/>
        </w:rPr>
        <w:t xml:space="preserve"> </w:t>
      </w:r>
      <w:r>
        <w:t>mientras</w:t>
      </w:r>
      <w:r>
        <w:rPr>
          <w:spacing w:val="-8"/>
        </w:rPr>
        <w:t xml:space="preserve"> </w:t>
      </w:r>
      <w:r>
        <w:t>que</w:t>
      </w:r>
      <w:r>
        <w:rPr>
          <w:spacing w:val="-9"/>
        </w:rPr>
        <w:t xml:space="preserve"> </w:t>
      </w:r>
      <w:r>
        <w:t>los</w:t>
      </w:r>
      <w:r>
        <w:rPr>
          <w:spacing w:val="-9"/>
        </w:rPr>
        <w:t xml:space="preserve"> </w:t>
      </w:r>
      <w:r>
        <w:lastRenderedPageBreak/>
        <w:t>cultivos</w:t>
      </w:r>
      <w:r>
        <w:rPr>
          <w:spacing w:val="-9"/>
        </w:rPr>
        <w:t xml:space="preserve"> </w:t>
      </w:r>
      <w:r>
        <w:t>que</w:t>
      </w:r>
      <w:r>
        <w:rPr>
          <w:spacing w:val="-8"/>
        </w:rPr>
        <w:t xml:space="preserve"> </w:t>
      </w:r>
      <w:r>
        <w:t>se</w:t>
      </w:r>
      <w:r>
        <w:rPr>
          <w:spacing w:val="-8"/>
        </w:rPr>
        <w:t xml:space="preserve"> </w:t>
      </w:r>
      <w:r>
        <w:t>están</w:t>
      </w:r>
      <w:r>
        <w:rPr>
          <w:spacing w:val="-8"/>
        </w:rPr>
        <w:t xml:space="preserve"> </w:t>
      </w:r>
      <w:r>
        <w:t>sustituyendo</w:t>
      </w:r>
      <w:r>
        <w:rPr>
          <w:spacing w:val="-8"/>
        </w:rPr>
        <w:t xml:space="preserve"> </w:t>
      </w:r>
      <w:r>
        <w:t>socialmente,</w:t>
      </w:r>
      <w:r>
        <w:rPr>
          <w:spacing w:val="-9"/>
        </w:rPr>
        <w:t xml:space="preserve"> </w:t>
      </w:r>
      <w:r>
        <w:t>el</w:t>
      </w:r>
      <w:r>
        <w:rPr>
          <w:spacing w:val="-8"/>
        </w:rPr>
        <w:t xml:space="preserve"> </w:t>
      </w:r>
      <w:r>
        <w:t>grado</w:t>
      </w:r>
      <w:r>
        <w:rPr>
          <w:spacing w:val="-8"/>
        </w:rPr>
        <w:t xml:space="preserve"> </w:t>
      </w:r>
      <w:r>
        <w:t>de</w:t>
      </w:r>
      <w:r>
        <w:rPr>
          <w:spacing w:val="-9"/>
        </w:rPr>
        <w:t xml:space="preserve"> </w:t>
      </w:r>
      <w:r>
        <w:t>resiembra no pasa del 5 %».</w:t>
      </w:r>
      <w:r w:rsidR="00EB1D29">
        <w:rPr>
          <w:rStyle w:val="Refdenotaalpie"/>
        </w:rPr>
        <w:footnoteReference w:id="687"/>
      </w:r>
    </w:p>
    <w:p w:rsidR="0011361F" w:rsidRDefault="00AF18A5" w:rsidP="004A6EF4">
      <w:pPr>
        <w:pStyle w:val="Ttulo3"/>
        <w:numPr>
          <w:ilvl w:val="1"/>
          <w:numId w:val="16"/>
        </w:numPr>
      </w:pPr>
      <w:bookmarkStart w:id="863" w:name="6.8._El_conflicto_armado_y_la_guerra_con"/>
      <w:bookmarkStart w:id="864" w:name="_Toc112399612"/>
      <w:bookmarkEnd w:id="863"/>
      <w:r>
        <w:t>El</w:t>
      </w:r>
      <w:r>
        <w:rPr>
          <w:spacing w:val="-3"/>
        </w:rPr>
        <w:t xml:space="preserve"> </w:t>
      </w:r>
      <w:r w:rsidRPr="00EB1D29">
        <w:t>conflicto</w:t>
      </w:r>
      <w:r>
        <w:rPr>
          <w:spacing w:val="-1"/>
        </w:rPr>
        <w:t xml:space="preserve"> </w:t>
      </w:r>
      <w:r>
        <w:t>armado</w:t>
      </w:r>
      <w:r>
        <w:rPr>
          <w:spacing w:val="-1"/>
        </w:rPr>
        <w:t xml:space="preserve"> </w:t>
      </w:r>
      <w:r>
        <w:t>y</w:t>
      </w:r>
      <w:r>
        <w:rPr>
          <w:spacing w:val="-1"/>
        </w:rPr>
        <w:t xml:space="preserve"> </w:t>
      </w:r>
      <w:r>
        <w:t>la</w:t>
      </w:r>
      <w:r>
        <w:rPr>
          <w:spacing w:val="-2"/>
        </w:rPr>
        <w:t xml:space="preserve"> </w:t>
      </w:r>
      <w:r>
        <w:t>guerra</w:t>
      </w:r>
      <w:r>
        <w:rPr>
          <w:spacing w:val="-1"/>
        </w:rPr>
        <w:t xml:space="preserve"> </w:t>
      </w:r>
      <w:r>
        <w:t>contra</w:t>
      </w:r>
      <w:r>
        <w:rPr>
          <w:spacing w:val="-1"/>
        </w:rPr>
        <w:t xml:space="preserve"> </w:t>
      </w:r>
      <w:r>
        <w:t>las</w:t>
      </w:r>
      <w:r>
        <w:rPr>
          <w:spacing w:val="-1"/>
        </w:rPr>
        <w:t xml:space="preserve"> </w:t>
      </w:r>
      <w:r>
        <w:rPr>
          <w:spacing w:val="-2"/>
        </w:rPr>
        <w:t>drogas</w:t>
      </w:r>
      <w:bookmarkEnd w:id="864"/>
    </w:p>
    <w:p w:rsidR="003804AC" w:rsidRDefault="00AF18A5" w:rsidP="00EB1D29">
      <w:r>
        <w:t>Los</w:t>
      </w:r>
      <w:r>
        <w:rPr>
          <w:spacing w:val="-2"/>
        </w:rPr>
        <w:t xml:space="preserve"> </w:t>
      </w:r>
      <w:r>
        <w:t>discursos</w:t>
      </w:r>
      <w:r>
        <w:rPr>
          <w:spacing w:val="-2"/>
        </w:rPr>
        <w:t xml:space="preserve"> </w:t>
      </w:r>
      <w:r>
        <w:t>de</w:t>
      </w:r>
      <w:r>
        <w:rPr>
          <w:spacing w:val="-2"/>
        </w:rPr>
        <w:t xml:space="preserve"> </w:t>
      </w:r>
      <w:r>
        <w:t>la</w:t>
      </w:r>
      <w:r>
        <w:rPr>
          <w:spacing w:val="-2"/>
        </w:rPr>
        <w:t xml:space="preserve"> </w:t>
      </w:r>
      <w:r>
        <w:t>lucha</w:t>
      </w:r>
      <w:r>
        <w:rPr>
          <w:spacing w:val="-3"/>
        </w:rPr>
        <w:t xml:space="preserve"> </w:t>
      </w:r>
      <w:r>
        <w:t>contra</w:t>
      </w:r>
      <w:r>
        <w:rPr>
          <w:spacing w:val="-2"/>
        </w:rPr>
        <w:t xml:space="preserve"> </w:t>
      </w:r>
      <w:r>
        <w:t>las</w:t>
      </w:r>
      <w:r>
        <w:rPr>
          <w:spacing w:val="-2"/>
        </w:rPr>
        <w:t xml:space="preserve"> </w:t>
      </w:r>
      <w:r>
        <w:t>drogas</w:t>
      </w:r>
      <w:r>
        <w:rPr>
          <w:spacing w:val="-2"/>
        </w:rPr>
        <w:t xml:space="preserve"> </w:t>
      </w:r>
      <w:r>
        <w:t>han</w:t>
      </w:r>
      <w:r>
        <w:rPr>
          <w:spacing w:val="-4"/>
        </w:rPr>
        <w:t xml:space="preserve"> </w:t>
      </w:r>
      <w:r>
        <w:t>cambiado</w:t>
      </w:r>
      <w:r>
        <w:rPr>
          <w:spacing w:val="-4"/>
        </w:rPr>
        <w:t xml:space="preserve"> </w:t>
      </w:r>
      <w:r>
        <w:t>la</w:t>
      </w:r>
      <w:r>
        <w:rPr>
          <w:spacing w:val="-3"/>
        </w:rPr>
        <w:t xml:space="preserve"> </w:t>
      </w:r>
      <w:r>
        <w:t>forma</w:t>
      </w:r>
      <w:r>
        <w:rPr>
          <w:spacing w:val="-3"/>
        </w:rPr>
        <w:t xml:space="preserve"> </w:t>
      </w:r>
      <w:r>
        <w:t>en</w:t>
      </w:r>
      <w:r>
        <w:rPr>
          <w:spacing w:val="-2"/>
        </w:rPr>
        <w:t xml:space="preserve"> </w:t>
      </w:r>
      <w:r>
        <w:t>que</w:t>
      </w:r>
      <w:r>
        <w:rPr>
          <w:spacing w:val="-3"/>
        </w:rPr>
        <w:t xml:space="preserve"> </w:t>
      </w:r>
      <w:r>
        <w:t>el</w:t>
      </w:r>
      <w:r>
        <w:rPr>
          <w:spacing w:val="-2"/>
        </w:rPr>
        <w:t xml:space="preserve"> </w:t>
      </w:r>
      <w:r>
        <w:t>país</w:t>
      </w:r>
      <w:r>
        <w:rPr>
          <w:spacing w:val="-2"/>
        </w:rPr>
        <w:t xml:space="preserve"> </w:t>
      </w:r>
      <w:r>
        <w:t>entiende</w:t>
      </w:r>
      <w:r>
        <w:rPr>
          <w:spacing w:val="-2"/>
        </w:rPr>
        <w:t xml:space="preserve"> </w:t>
      </w:r>
      <w:r>
        <w:t>el conflicto armado y el enemigo interno. La narrativa de la guerra incluye su propia justificación y define cómo se comprende y argumenta lo que se disputa en la guerra. La representación de la guerra contra las drogas como la lucha contra las FARC-EP se dio especialmente</w:t>
      </w:r>
      <w:r>
        <w:rPr>
          <w:spacing w:val="-12"/>
        </w:rPr>
        <w:t xml:space="preserve"> </w:t>
      </w:r>
      <w:r>
        <w:t>a</w:t>
      </w:r>
      <w:r>
        <w:rPr>
          <w:spacing w:val="-12"/>
        </w:rPr>
        <w:t xml:space="preserve"> </w:t>
      </w:r>
      <w:r>
        <w:t>partir</w:t>
      </w:r>
      <w:r>
        <w:rPr>
          <w:spacing w:val="-12"/>
        </w:rPr>
        <w:t xml:space="preserve"> </w:t>
      </w:r>
      <w:r>
        <w:t>de</w:t>
      </w:r>
      <w:r>
        <w:rPr>
          <w:spacing w:val="-13"/>
        </w:rPr>
        <w:t xml:space="preserve"> </w:t>
      </w:r>
      <w:r>
        <w:t>mediados</w:t>
      </w:r>
      <w:r>
        <w:rPr>
          <w:spacing w:val="-12"/>
        </w:rPr>
        <w:t xml:space="preserve"> </w:t>
      </w:r>
      <w:r>
        <w:t>de</w:t>
      </w:r>
      <w:r>
        <w:rPr>
          <w:spacing w:val="-12"/>
        </w:rPr>
        <w:t xml:space="preserve"> </w:t>
      </w:r>
      <w:r>
        <w:t>los</w:t>
      </w:r>
      <w:r>
        <w:rPr>
          <w:spacing w:val="-12"/>
        </w:rPr>
        <w:t xml:space="preserve"> </w:t>
      </w:r>
      <w:r>
        <w:t>años</w:t>
      </w:r>
      <w:r>
        <w:rPr>
          <w:spacing w:val="-12"/>
        </w:rPr>
        <w:t xml:space="preserve"> </w:t>
      </w:r>
      <w:r>
        <w:t>noventa</w:t>
      </w:r>
      <w:r>
        <w:rPr>
          <w:spacing w:val="-12"/>
        </w:rPr>
        <w:t xml:space="preserve"> </w:t>
      </w:r>
      <w:r>
        <w:t>y</w:t>
      </w:r>
      <w:r>
        <w:rPr>
          <w:spacing w:val="-12"/>
        </w:rPr>
        <w:t xml:space="preserve"> </w:t>
      </w:r>
      <w:r>
        <w:t>no</w:t>
      </w:r>
      <w:r>
        <w:rPr>
          <w:spacing w:val="-12"/>
        </w:rPr>
        <w:t xml:space="preserve"> </w:t>
      </w:r>
      <w:r>
        <w:t>puso</w:t>
      </w:r>
      <w:r>
        <w:rPr>
          <w:spacing w:val="-12"/>
        </w:rPr>
        <w:t xml:space="preserve"> </w:t>
      </w:r>
      <w:r>
        <w:t>en</w:t>
      </w:r>
      <w:r>
        <w:rPr>
          <w:spacing w:val="-12"/>
        </w:rPr>
        <w:t xml:space="preserve"> </w:t>
      </w:r>
      <w:r>
        <w:t>suficiente</w:t>
      </w:r>
      <w:r>
        <w:rPr>
          <w:spacing w:val="-12"/>
        </w:rPr>
        <w:t xml:space="preserve"> </w:t>
      </w:r>
      <w:r>
        <w:t>evidencia</w:t>
      </w:r>
      <w:r>
        <w:rPr>
          <w:spacing w:val="-12"/>
        </w:rPr>
        <w:t xml:space="preserve"> </w:t>
      </w:r>
      <w:r>
        <w:t>que los grupos paramilitares eran aliados del Estado en la lucha contrainsurgente y que estaban orgánicamente</w:t>
      </w:r>
      <w:r>
        <w:rPr>
          <w:spacing w:val="-4"/>
        </w:rPr>
        <w:t xml:space="preserve"> </w:t>
      </w:r>
      <w:r>
        <w:t>asociados</w:t>
      </w:r>
      <w:r>
        <w:rPr>
          <w:spacing w:val="-4"/>
        </w:rPr>
        <w:t xml:space="preserve"> </w:t>
      </w:r>
      <w:r>
        <w:t>al</w:t>
      </w:r>
      <w:r>
        <w:rPr>
          <w:spacing w:val="-4"/>
        </w:rPr>
        <w:t xml:space="preserve"> </w:t>
      </w:r>
      <w:r>
        <w:t>negocio</w:t>
      </w:r>
      <w:r>
        <w:rPr>
          <w:spacing w:val="-5"/>
        </w:rPr>
        <w:t xml:space="preserve"> </w:t>
      </w:r>
      <w:r>
        <w:t>del</w:t>
      </w:r>
      <w:r>
        <w:rPr>
          <w:spacing w:val="-4"/>
        </w:rPr>
        <w:t xml:space="preserve"> </w:t>
      </w:r>
      <w:r>
        <w:t>narcotráfico.</w:t>
      </w:r>
      <w:r>
        <w:rPr>
          <w:spacing w:val="-5"/>
        </w:rPr>
        <w:t xml:space="preserve"> </w:t>
      </w:r>
      <w:r>
        <w:t>Esto</w:t>
      </w:r>
      <w:r>
        <w:rPr>
          <w:spacing w:val="-5"/>
        </w:rPr>
        <w:t xml:space="preserve"> </w:t>
      </w:r>
      <w:r>
        <w:t>redundó</w:t>
      </w:r>
      <w:r>
        <w:rPr>
          <w:spacing w:val="-5"/>
        </w:rPr>
        <w:t xml:space="preserve"> </w:t>
      </w:r>
      <w:r>
        <w:t>en</w:t>
      </w:r>
      <w:r>
        <w:rPr>
          <w:spacing w:val="-5"/>
        </w:rPr>
        <w:t xml:space="preserve"> </w:t>
      </w:r>
      <w:r>
        <w:t>la</w:t>
      </w:r>
      <w:r>
        <w:rPr>
          <w:spacing w:val="-4"/>
        </w:rPr>
        <w:t xml:space="preserve"> </w:t>
      </w:r>
      <w:r>
        <w:t>criminalización</w:t>
      </w:r>
      <w:r>
        <w:rPr>
          <w:spacing w:val="-5"/>
        </w:rPr>
        <w:t xml:space="preserve"> </w:t>
      </w:r>
      <w:r>
        <w:t>del campesino cocalero, al considerarlo base social de la guerrilla y principal responsable del narcotráfico, lo que ha servido para mantener de manera más intensa la violencia contra los eslabones más débiles y diluir la responsabilidad de los actores políticos o institucionales, quienes son los principales beneficiarios de los réditos del negocio.</w:t>
      </w:r>
    </w:p>
    <w:p w:rsidR="003804AC" w:rsidRDefault="00AF18A5" w:rsidP="00EB1D29">
      <w:r>
        <w:t>En el caso del Ejército Nacional, a comienzos de los años noventa se dio una reinterpretación</w:t>
      </w:r>
      <w:r>
        <w:rPr>
          <w:spacing w:val="-10"/>
        </w:rPr>
        <w:t xml:space="preserve"> </w:t>
      </w:r>
      <w:r>
        <w:t>del</w:t>
      </w:r>
      <w:r>
        <w:rPr>
          <w:spacing w:val="-7"/>
        </w:rPr>
        <w:t xml:space="preserve"> </w:t>
      </w:r>
      <w:r>
        <w:t>enemigo</w:t>
      </w:r>
      <w:r>
        <w:rPr>
          <w:spacing w:val="-8"/>
        </w:rPr>
        <w:t xml:space="preserve"> </w:t>
      </w:r>
      <w:r>
        <w:t>que</w:t>
      </w:r>
      <w:r>
        <w:rPr>
          <w:spacing w:val="-8"/>
        </w:rPr>
        <w:t xml:space="preserve"> </w:t>
      </w:r>
      <w:r>
        <w:t>pasó</w:t>
      </w:r>
      <w:r>
        <w:rPr>
          <w:spacing w:val="-10"/>
        </w:rPr>
        <w:t xml:space="preserve"> </w:t>
      </w:r>
      <w:r>
        <w:t>de</w:t>
      </w:r>
      <w:r>
        <w:rPr>
          <w:spacing w:val="-7"/>
        </w:rPr>
        <w:t xml:space="preserve"> </w:t>
      </w:r>
      <w:r>
        <w:t>ser</w:t>
      </w:r>
      <w:r>
        <w:rPr>
          <w:spacing w:val="-9"/>
        </w:rPr>
        <w:t xml:space="preserve"> </w:t>
      </w:r>
      <w:r>
        <w:t>el</w:t>
      </w:r>
      <w:r>
        <w:rPr>
          <w:spacing w:val="-8"/>
        </w:rPr>
        <w:t xml:space="preserve"> </w:t>
      </w:r>
      <w:r>
        <w:t>subversivo</w:t>
      </w:r>
      <w:r>
        <w:rPr>
          <w:spacing w:val="-10"/>
        </w:rPr>
        <w:t xml:space="preserve"> </w:t>
      </w:r>
      <w:r>
        <w:t>al</w:t>
      </w:r>
      <w:r>
        <w:rPr>
          <w:spacing w:val="-8"/>
        </w:rPr>
        <w:t xml:space="preserve"> </w:t>
      </w:r>
      <w:r>
        <w:t>narcotraficante.</w:t>
      </w:r>
      <w:r>
        <w:rPr>
          <w:spacing w:val="-8"/>
        </w:rPr>
        <w:t xml:space="preserve"> </w:t>
      </w:r>
      <w:r>
        <w:t>Es</w:t>
      </w:r>
      <w:r>
        <w:rPr>
          <w:spacing w:val="-7"/>
        </w:rPr>
        <w:t xml:space="preserve"> </w:t>
      </w:r>
      <w:r>
        <w:t>decir,</w:t>
      </w:r>
      <w:r>
        <w:rPr>
          <w:spacing w:val="-9"/>
        </w:rPr>
        <w:t xml:space="preserve"> </w:t>
      </w:r>
      <w:r>
        <w:rPr>
          <w:spacing w:val="-2"/>
        </w:rPr>
        <w:t>desde</w:t>
      </w:r>
      <w:bookmarkStart w:id="865" w:name="_bookmark753"/>
      <w:bookmarkStart w:id="866" w:name="_bookmark754"/>
      <w:bookmarkEnd w:id="865"/>
      <w:bookmarkEnd w:id="866"/>
      <w:r w:rsidR="00EB1D29">
        <w:t xml:space="preserve"> </w:t>
      </w:r>
      <w:r>
        <w:t>el discurso oficial, las FARC-EP empezaron a ser consideradas una organización narcoterrorista, lo que justificaba la guerra y el acopio de los recursos internacionales de la lucha contra las drogas, que en realidad servían para la lucha contrainsurgente. Esto en un contexto en el cual las FARC-EP habían decidido, desde la Octava Conferencia en 1993, asumir</w:t>
      </w:r>
      <w:r>
        <w:rPr>
          <w:spacing w:val="-5"/>
        </w:rPr>
        <w:t xml:space="preserve"> </w:t>
      </w:r>
      <w:r>
        <w:t>el</w:t>
      </w:r>
      <w:r>
        <w:rPr>
          <w:spacing w:val="-7"/>
        </w:rPr>
        <w:t xml:space="preserve"> </w:t>
      </w:r>
      <w:r>
        <w:t>control</w:t>
      </w:r>
      <w:r>
        <w:rPr>
          <w:spacing w:val="-7"/>
        </w:rPr>
        <w:t xml:space="preserve"> </w:t>
      </w:r>
      <w:r>
        <w:t>de</w:t>
      </w:r>
      <w:r>
        <w:rPr>
          <w:spacing w:val="-7"/>
        </w:rPr>
        <w:t xml:space="preserve"> </w:t>
      </w:r>
      <w:r>
        <w:t>los</w:t>
      </w:r>
      <w:r>
        <w:rPr>
          <w:spacing w:val="-8"/>
        </w:rPr>
        <w:t xml:space="preserve"> </w:t>
      </w:r>
      <w:r>
        <w:lastRenderedPageBreak/>
        <w:t>cultivos,</w:t>
      </w:r>
      <w:r>
        <w:rPr>
          <w:spacing w:val="-6"/>
        </w:rPr>
        <w:t xml:space="preserve"> </w:t>
      </w:r>
      <w:r>
        <w:t>producción</w:t>
      </w:r>
      <w:r>
        <w:rPr>
          <w:spacing w:val="-6"/>
        </w:rPr>
        <w:t xml:space="preserve"> </w:t>
      </w:r>
      <w:r>
        <w:t>y</w:t>
      </w:r>
      <w:r>
        <w:rPr>
          <w:spacing w:val="-7"/>
        </w:rPr>
        <w:t xml:space="preserve"> </w:t>
      </w:r>
      <w:r>
        <w:t>comercialización</w:t>
      </w:r>
      <w:r>
        <w:rPr>
          <w:spacing w:val="-6"/>
        </w:rPr>
        <w:t xml:space="preserve"> </w:t>
      </w:r>
      <w:r>
        <w:t>como</w:t>
      </w:r>
      <w:r>
        <w:rPr>
          <w:spacing w:val="-7"/>
        </w:rPr>
        <w:t xml:space="preserve"> </w:t>
      </w:r>
      <w:r>
        <w:t>una</w:t>
      </w:r>
      <w:r>
        <w:rPr>
          <w:spacing w:val="-6"/>
        </w:rPr>
        <w:t xml:space="preserve"> </w:t>
      </w:r>
      <w:r>
        <w:t>estrategia</w:t>
      </w:r>
      <w:r>
        <w:rPr>
          <w:spacing w:val="-7"/>
        </w:rPr>
        <w:t xml:space="preserve"> </w:t>
      </w:r>
      <w:r>
        <w:t>para</w:t>
      </w:r>
      <w:r>
        <w:rPr>
          <w:spacing w:val="-7"/>
        </w:rPr>
        <w:t xml:space="preserve"> </w:t>
      </w:r>
      <w:r>
        <w:t>su financiamiento. Mientras, a su vez, el narcotráfico buscaba reconocimiento por medio de la vía contrainsurgente del paramilitarismo. La Comisión ha denominado este doble rasero como un «péndulo moral»; en otras palabras, mientras se señalaban unas cosas como inmorales –tales como el financiamiento de la guerrilla– se minimizaba esta misma acción del Estado y del entramado paramilitar, los cuales también se lucraban del narcotráfico.</w:t>
      </w:r>
      <w:r w:rsidR="00EB1D29">
        <w:rPr>
          <w:rStyle w:val="Refdenotaalpie"/>
        </w:rPr>
        <w:footnoteReference w:id="688"/>
      </w:r>
      <w:r w:rsidR="00EB1D29">
        <w:t xml:space="preserve"> </w:t>
      </w:r>
    </w:p>
    <w:p w:rsidR="0011361F" w:rsidRDefault="00AF18A5" w:rsidP="00EB1D29">
      <w:r>
        <w:t>El «péndulo moral» ha permitido no solo criminalizar poblaciones, grupos u organizaciones, sino ocultar complicidades. Mientras esto se daba durante el periodo de la Seguridad</w:t>
      </w:r>
      <w:r>
        <w:rPr>
          <w:spacing w:val="-15"/>
        </w:rPr>
        <w:t xml:space="preserve"> </w:t>
      </w:r>
      <w:r>
        <w:t>Democrática</w:t>
      </w:r>
      <w:r>
        <w:rPr>
          <w:spacing w:val="-15"/>
        </w:rPr>
        <w:t xml:space="preserve"> </w:t>
      </w:r>
      <w:r>
        <w:t>el</w:t>
      </w:r>
      <w:r>
        <w:rPr>
          <w:spacing w:val="-15"/>
        </w:rPr>
        <w:t xml:space="preserve"> </w:t>
      </w:r>
      <w:r>
        <w:t>presidente</w:t>
      </w:r>
      <w:r>
        <w:rPr>
          <w:spacing w:val="-15"/>
        </w:rPr>
        <w:t xml:space="preserve"> </w:t>
      </w:r>
      <w:r>
        <w:t>Álvaro</w:t>
      </w:r>
      <w:r>
        <w:rPr>
          <w:spacing w:val="-15"/>
        </w:rPr>
        <w:t xml:space="preserve"> </w:t>
      </w:r>
      <w:r>
        <w:t>Uribe</w:t>
      </w:r>
      <w:r>
        <w:rPr>
          <w:spacing w:val="-15"/>
        </w:rPr>
        <w:t xml:space="preserve"> </w:t>
      </w:r>
      <w:r>
        <w:t>Vélez</w:t>
      </w:r>
      <w:r>
        <w:rPr>
          <w:spacing w:val="-15"/>
        </w:rPr>
        <w:t xml:space="preserve"> </w:t>
      </w:r>
      <w:r>
        <w:t>y</w:t>
      </w:r>
      <w:r>
        <w:rPr>
          <w:spacing w:val="-15"/>
        </w:rPr>
        <w:t xml:space="preserve"> </w:t>
      </w:r>
      <w:r>
        <w:t>el</w:t>
      </w:r>
      <w:r>
        <w:rPr>
          <w:spacing w:val="-15"/>
        </w:rPr>
        <w:t xml:space="preserve"> </w:t>
      </w:r>
      <w:r>
        <w:t>gobierno</w:t>
      </w:r>
      <w:r>
        <w:rPr>
          <w:spacing w:val="-15"/>
        </w:rPr>
        <w:t xml:space="preserve"> </w:t>
      </w:r>
      <w:r>
        <w:t>de</w:t>
      </w:r>
      <w:r>
        <w:rPr>
          <w:spacing w:val="-15"/>
        </w:rPr>
        <w:t xml:space="preserve"> </w:t>
      </w:r>
      <w:r>
        <w:t>los</w:t>
      </w:r>
      <w:r>
        <w:rPr>
          <w:spacing w:val="-15"/>
        </w:rPr>
        <w:t xml:space="preserve"> </w:t>
      </w:r>
      <w:r>
        <w:t>Estados</w:t>
      </w:r>
      <w:r>
        <w:rPr>
          <w:spacing w:val="-15"/>
        </w:rPr>
        <w:t xml:space="preserve"> </w:t>
      </w:r>
      <w:r>
        <w:t>Unidos desconocieron</w:t>
      </w:r>
      <w:r>
        <w:rPr>
          <w:spacing w:val="-8"/>
        </w:rPr>
        <w:t xml:space="preserve"> </w:t>
      </w:r>
      <w:r>
        <w:t>la</w:t>
      </w:r>
      <w:r>
        <w:rPr>
          <w:spacing w:val="-9"/>
        </w:rPr>
        <w:t xml:space="preserve"> </w:t>
      </w:r>
      <w:r>
        <w:t>naturaleza</w:t>
      </w:r>
      <w:r>
        <w:rPr>
          <w:spacing w:val="-8"/>
        </w:rPr>
        <w:t xml:space="preserve"> </w:t>
      </w:r>
      <w:r>
        <w:t>política</w:t>
      </w:r>
      <w:r>
        <w:rPr>
          <w:spacing w:val="-10"/>
        </w:rPr>
        <w:t xml:space="preserve"> </w:t>
      </w:r>
      <w:r>
        <w:t>del</w:t>
      </w:r>
      <w:r>
        <w:rPr>
          <w:spacing w:val="-8"/>
        </w:rPr>
        <w:t xml:space="preserve"> </w:t>
      </w:r>
      <w:r>
        <w:t>conflicto</w:t>
      </w:r>
      <w:r>
        <w:rPr>
          <w:spacing w:val="-9"/>
        </w:rPr>
        <w:t xml:space="preserve"> </w:t>
      </w:r>
      <w:r>
        <w:t>negando</w:t>
      </w:r>
      <w:r>
        <w:rPr>
          <w:spacing w:val="-9"/>
        </w:rPr>
        <w:t xml:space="preserve"> </w:t>
      </w:r>
      <w:r>
        <w:t>su</w:t>
      </w:r>
      <w:r>
        <w:rPr>
          <w:spacing w:val="-9"/>
        </w:rPr>
        <w:t xml:space="preserve"> </w:t>
      </w:r>
      <w:r>
        <w:t>existencia</w:t>
      </w:r>
      <w:r>
        <w:rPr>
          <w:spacing w:val="-9"/>
        </w:rPr>
        <w:t xml:space="preserve"> </w:t>
      </w:r>
      <w:r>
        <w:t>y</w:t>
      </w:r>
      <w:r>
        <w:rPr>
          <w:spacing w:val="-9"/>
        </w:rPr>
        <w:t xml:space="preserve"> </w:t>
      </w:r>
      <w:r>
        <w:t>argumentando</w:t>
      </w:r>
      <w:r>
        <w:rPr>
          <w:spacing w:val="-8"/>
        </w:rPr>
        <w:t xml:space="preserve"> </w:t>
      </w:r>
      <w:r>
        <w:t>que lo</w:t>
      </w:r>
      <w:r>
        <w:rPr>
          <w:spacing w:val="-6"/>
        </w:rPr>
        <w:t xml:space="preserve"> </w:t>
      </w:r>
      <w:r>
        <w:t>que</w:t>
      </w:r>
      <w:r>
        <w:rPr>
          <w:spacing w:val="-7"/>
        </w:rPr>
        <w:t xml:space="preserve"> </w:t>
      </w:r>
      <w:r>
        <w:t>ha</w:t>
      </w:r>
      <w:r>
        <w:rPr>
          <w:spacing w:val="-6"/>
        </w:rPr>
        <w:t xml:space="preserve"> </w:t>
      </w:r>
      <w:r>
        <w:t>vivido</w:t>
      </w:r>
      <w:r>
        <w:rPr>
          <w:spacing w:val="-6"/>
        </w:rPr>
        <w:t xml:space="preserve"> </w:t>
      </w:r>
      <w:r>
        <w:t>Colombia</w:t>
      </w:r>
      <w:r>
        <w:rPr>
          <w:spacing w:val="-6"/>
        </w:rPr>
        <w:t xml:space="preserve"> </w:t>
      </w:r>
      <w:r>
        <w:t>es</w:t>
      </w:r>
      <w:r>
        <w:rPr>
          <w:spacing w:val="-6"/>
        </w:rPr>
        <w:t xml:space="preserve"> </w:t>
      </w:r>
      <w:r>
        <w:t>una</w:t>
      </w:r>
      <w:r>
        <w:rPr>
          <w:spacing w:val="-7"/>
        </w:rPr>
        <w:t xml:space="preserve"> </w:t>
      </w:r>
      <w:r>
        <w:t>amenaza</w:t>
      </w:r>
      <w:r>
        <w:rPr>
          <w:spacing w:val="-7"/>
        </w:rPr>
        <w:t xml:space="preserve"> </w:t>
      </w:r>
      <w:r>
        <w:t>narcoterrorista</w:t>
      </w:r>
      <w:r w:rsidR="00837E51">
        <w:rPr>
          <w:rStyle w:val="Refdenotaalpie"/>
        </w:rPr>
        <w:footnoteReference w:id="689"/>
      </w:r>
      <w:r>
        <w:t>.</w:t>
      </w:r>
      <w:r>
        <w:rPr>
          <w:spacing w:val="-6"/>
        </w:rPr>
        <w:t xml:space="preserve"> </w:t>
      </w:r>
      <w:r>
        <w:t>Como</w:t>
      </w:r>
      <w:r>
        <w:rPr>
          <w:spacing w:val="-6"/>
        </w:rPr>
        <w:t xml:space="preserve"> </w:t>
      </w:r>
      <w:r>
        <w:t>antecedente,</w:t>
      </w:r>
      <w:r>
        <w:rPr>
          <w:spacing w:val="-7"/>
        </w:rPr>
        <w:t xml:space="preserve"> </w:t>
      </w:r>
      <w:r>
        <w:t>las</w:t>
      </w:r>
      <w:r>
        <w:rPr>
          <w:spacing w:val="-7"/>
        </w:rPr>
        <w:t xml:space="preserve"> </w:t>
      </w:r>
      <w:r>
        <w:t>FARC- EP habían sido incorporadas a la lista de organizaciones terroristas del Departamento de Estado de los Estados Unidos en 1997,</w:t>
      </w:r>
      <w:r w:rsidR="00837E51">
        <w:rPr>
          <w:rStyle w:val="Refdenotaalpie"/>
        </w:rPr>
        <w:footnoteReference w:id="690"/>
      </w:r>
      <w:r>
        <w:t xml:space="preserve"> y las AUC lo fueron hasta el 2001.</w:t>
      </w:r>
    </w:p>
    <w:p w:rsidR="0011361F" w:rsidRPr="00C61DE9" w:rsidRDefault="00AF18A5" w:rsidP="004A6EF4">
      <w:pPr>
        <w:pStyle w:val="Ttulo4"/>
        <w:numPr>
          <w:ilvl w:val="2"/>
          <w:numId w:val="16"/>
        </w:numPr>
      </w:pPr>
      <w:bookmarkStart w:id="867" w:name="_bookmark755"/>
      <w:bookmarkStart w:id="868" w:name="_bookmark756"/>
      <w:bookmarkStart w:id="869" w:name="_bookmark757"/>
      <w:bookmarkStart w:id="870" w:name="6.8.1._La_construcción_del_discurso_sobr"/>
      <w:bookmarkEnd w:id="867"/>
      <w:bookmarkEnd w:id="868"/>
      <w:bookmarkEnd w:id="869"/>
      <w:bookmarkEnd w:id="870"/>
      <w:r w:rsidRPr="00C61DE9">
        <w:lastRenderedPageBreak/>
        <w:t>La construcción del discurso sobre las FARC-EP como «</w:t>
      </w:r>
      <w:proofErr w:type="spellStart"/>
      <w:r w:rsidRPr="00C61DE9">
        <w:t>narcoguerrilla</w:t>
      </w:r>
      <w:proofErr w:type="spellEnd"/>
      <w:r w:rsidRPr="00C61DE9">
        <w:t>»</w:t>
      </w:r>
    </w:p>
    <w:p w:rsidR="003804AC" w:rsidRDefault="00AF18A5" w:rsidP="00053184">
      <w:r>
        <w:t>Desde la época del gobierno Samper, algunos oficiales, como el comandante de las Fuerzas Armadas general Harold Bedoya Pizarro, tenían su propia interpretación del fenómeno alejada muchas veces de la posición oficial del gobierno</w:t>
      </w:r>
      <w:r w:rsidR="00053184">
        <w:rPr>
          <w:rStyle w:val="Refdenotaalpie"/>
        </w:rPr>
        <w:footnoteReference w:id="691"/>
      </w:r>
      <w:r>
        <w:t>. Es así como en este periodo se van</w:t>
      </w:r>
      <w:r>
        <w:rPr>
          <w:spacing w:val="35"/>
        </w:rPr>
        <w:t xml:space="preserve"> </w:t>
      </w:r>
      <w:r>
        <w:t>a</w:t>
      </w:r>
      <w:r>
        <w:rPr>
          <w:spacing w:val="36"/>
        </w:rPr>
        <w:t xml:space="preserve"> </w:t>
      </w:r>
      <w:r>
        <w:t>retomar</w:t>
      </w:r>
      <w:r>
        <w:rPr>
          <w:spacing w:val="35"/>
        </w:rPr>
        <w:t xml:space="preserve"> </w:t>
      </w:r>
      <w:r>
        <w:t>y</w:t>
      </w:r>
      <w:r>
        <w:rPr>
          <w:spacing w:val="36"/>
        </w:rPr>
        <w:t xml:space="preserve"> </w:t>
      </w:r>
      <w:r>
        <w:t>fortalecer</w:t>
      </w:r>
      <w:r>
        <w:rPr>
          <w:spacing w:val="36"/>
        </w:rPr>
        <w:t xml:space="preserve"> </w:t>
      </w:r>
      <w:r>
        <w:t>categorías</w:t>
      </w:r>
      <w:r>
        <w:rPr>
          <w:spacing w:val="35"/>
        </w:rPr>
        <w:t xml:space="preserve"> </w:t>
      </w:r>
      <w:r>
        <w:t>como</w:t>
      </w:r>
      <w:r>
        <w:rPr>
          <w:spacing w:val="34"/>
        </w:rPr>
        <w:t xml:space="preserve"> </w:t>
      </w:r>
      <w:r>
        <w:t>el</w:t>
      </w:r>
      <w:r>
        <w:rPr>
          <w:spacing w:val="34"/>
        </w:rPr>
        <w:t xml:space="preserve"> </w:t>
      </w:r>
      <w:r>
        <w:t>«cartel</w:t>
      </w:r>
      <w:r>
        <w:rPr>
          <w:spacing w:val="36"/>
        </w:rPr>
        <w:t xml:space="preserve"> </w:t>
      </w:r>
      <w:r>
        <w:t>de</w:t>
      </w:r>
      <w:r>
        <w:rPr>
          <w:spacing w:val="35"/>
        </w:rPr>
        <w:t xml:space="preserve"> </w:t>
      </w:r>
      <w:r>
        <w:t>las</w:t>
      </w:r>
      <w:r>
        <w:rPr>
          <w:spacing w:val="35"/>
        </w:rPr>
        <w:t xml:space="preserve"> </w:t>
      </w:r>
      <w:r>
        <w:t>FARC»,</w:t>
      </w:r>
      <w:r>
        <w:rPr>
          <w:spacing w:val="37"/>
        </w:rPr>
        <w:t xml:space="preserve"> </w:t>
      </w:r>
      <w:r>
        <w:t>«</w:t>
      </w:r>
      <w:proofErr w:type="spellStart"/>
      <w:r>
        <w:t>narcoguerrilla</w:t>
      </w:r>
      <w:proofErr w:type="spellEnd"/>
      <w:r>
        <w:t>»</w:t>
      </w:r>
      <w:r>
        <w:rPr>
          <w:spacing w:val="35"/>
        </w:rPr>
        <w:t xml:space="preserve"> </w:t>
      </w:r>
      <w:r>
        <w:rPr>
          <w:spacing w:val="-10"/>
        </w:rPr>
        <w:t>y</w:t>
      </w:r>
      <w:r w:rsidR="00053184">
        <w:rPr>
          <w:spacing w:val="-10"/>
        </w:rPr>
        <w:t xml:space="preserve"> </w:t>
      </w:r>
      <w:r>
        <w:t>«</w:t>
      </w:r>
      <w:proofErr w:type="spellStart"/>
      <w:r>
        <w:t>narcosubversión</w:t>
      </w:r>
      <w:proofErr w:type="spellEnd"/>
      <w:r>
        <w:t>»,</w:t>
      </w:r>
      <w:r>
        <w:rPr>
          <w:spacing w:val="-15"/>
        </w:rPr>
        <w:t xml:space="preserve"> </w:t>
      </w:r>
      <w:r>
        <w:t>las</w:t>
      </w:r>
      <w:r>
        <w:rPr>
          <w:spacing w:val="-15"/>
        </w:rPr>
        <w:t xml:space="preserve"> </w:t>
      </w:r>
      <w:r>
        <w:t>cuales</w:t>
      </w:r>
      <w:r>
        <w:rPr>
          <w:spacing w:val="-15"/>
        </w:rPr>
        <w:t xml:space="preserve"> </w:t>
      </w:r>
      <w:r>
        <w:t>atizarán</w:t>
      </w:r>
      <w:r>
        <w:rPr>
          <w:spacing w:val="-15"/>
        </w:rPr>
        <w:t xml:space="preserve"> </w:t>
      </w:r>
      <w:r>
        <w:t>de</w:t>
      </w:r>
      <w:r>
        <w:rPr>
          <w:spacing w:val="-15"/>
        </w:rPr>
        <w:t xml:space="preserve"> </w:t>
      </w:r>
      <w:r>
        <w:t>manera</w:t>
      </w:r>
      <w:r>
        <w:rPr>
          <w:spacing w:val="-15"/>
        </w:rPr>
        <w:t xml:space="preserve"> </w:t>
      </w:r>
      <w:r>
        <w:t>muy</w:t>
      </w:r>
      <w:r>
        <w:rPr>
          <w:spacing w:val="-15"/>
        </w:rPr>
        <w:t xml:space="preserve"> </w:t>
      </w:r>
      <w:r>
        <w:t>intensa</w:t>
      </w:r>
      <w:r>
        <w:rPr>
          <w:spacing w:val="-15"/>
        </w:rPr>
        <w:t xml:space="preserve"> </w:t>
      </w:r>
      <w:r>
        <w:t>el</w:t>
      </w:r>
      <w:r>
        <w:rPr>
          <w:spacing w:val="-15"/>
        </w:rPr>
        <w:t xml:space="preserve"> </w:t>
      </w:r>
      <w:r>
        <w:t>conflicto</w:t>
      </w:r>
      <w:r>
        <w:rPr>
          <w:spacing w:val="-15"/>
        </w:rPr>
        <w:t xml:space="preserve"> </w:t>
      </w:r>
      <w:r>
        <w:t>armado.</w:t>
      </w:r>
      <w:r>
        <w:rPr>
          <w:spacing w:val="-15"/>
        </w:rPr>
        <w:t xml:space="preserve"> </w:t>
      </w:r>
      <w:r>
        <w:t>La</w:t>
      </w:r>
      <w:r>
        <w:rPr>
          <w:spacing w:val="-15"/>
        </w:rPr>
        <w:t xml:space="preserve"> </w:t>
      </w:r>
      <w:r>
        <w:t>llegada del general Bedoya a la comandancia del Ejército y después a las Fuerzas Armadas, entre 1994 y 1996, impulsó la doctrina del «aniquilamiento del enemigo»</w:t>
      </w:r>
      <w:r w:rsidR="00053184">
        <w:rPr>
          <w:rStyle w:val="Refdenotaalpie"/>
        </w:rPr>
        <w:footnoteReference w:id="692"/>
      </w:r>
      <w:r>
        <w:t>, basada en que las FARC-EP eran unos «gánsteres con ruana» y que, tras la destrucción de los carteles del narcotráfico, estas eran el último actor que quedaba por eliminar</w:t>
      </w:r>
      <w:r w:rsidR="00053184">
        <w:rPr>
          <w:rStyle w:val="Refdenotaalpie"/>
        </w:rPr>
        <w:footnoteReference w:id="693"/>
      </w:r>
      <w:r>
        <w:t>.</w:t>
      </w:r>
    </w:p>
    <w:p w:rsidR="0011361F" w:rsidRDefault="00AF18A5" w:rsidP="00053184">
      <w:r>
        <w:t>A</w:t>
      </w:r>
      <w:r>
        <w:rPr>
          <w:spacing w:val="-8"/>
        </w:rPr>
        <w:t xml:space="preserve"> </w:t>
      </w:r>
      <w:r>
        <w:t>mediados</w:t>
      </w:r>
      <w:r>
        <w:rPr>
          <w:spacing w:val="-8"/>
        </w:rPr>
        <w:t xml:space="preserve"> </w:t>
      </w:r>
      <w:r>
        <w:t>de</w:t>
      </w:r>
      <w:r>
        <w:rPr>
          <w:spacing w:val="-7"/>
        </w:rPr>
        <w:t xml:space="preserve"> </w:t>
      </w:r>
      <w:r>
        <w:t>los</w:t>
      </w:r>
      <w:r>
        <w:rPr>
          <w:spacing w:val="-7"/>
        </w:rPr>
        <w:t xml:space="preserve"> </w:t>
      </w:r>
      <w:r>
        <w:t>años</w:t>
      </w:r>
      <w:r>
        <w:rPr>
          <w:spacing w:val="-8"/>
        </w:rPr>
        <w:t xml:space="preserve"> </w:t>
      </w:r>
      <w:r>
        <w:t>noventa,</w:t>
      </w:r>
      <w:r>
        <w:rPr>
          <w:spacing w:val="-7"/>
        </w:rPr>
        <w:t xml:space="preserve"> </w:t>
      </w:r>
      <w:r>
        <w:t>detrás</w:t>
      </w:r>
      <w:r>
        <w:rPr>
          <w:spacing w:val="-7"/>
        </w:rPr>
        <w:t xml:space="preserve"> </w:t>
      </w:r>
      <w:r>
        <w:t>del</w:t>
      </w:r>
      <w:r>
        <w:rPr>
          <w:spacing w:val="-7"/>
        </w:rPr>
        <w:t xml:space="preserve"> </w:t>
      </w:r>
      <w:r>
        <w:t>uso</w:t>
      </w:r>
      <w:r>
        <w:rPr>
          <w:spacing w:val="-7"/>
        </w:rPr>
        <w:t xml:space="preserve"> </w:t>
      </w:r>
      <w:r>
        <w:t>del</w:t>
      </w:r>
      <w:r>
        <w:rPr>
          <w:spacing w:val="-7"/>
        </w:rPr>
        <w:t xml:space="preserve"> </w:t>
      </w:r>
      <w:r>
        <w:t>concepto</w:t>
      </w:r>
      <w:r>
        <w:rPr>
          <w:spacing w:val="-8"/>
        </w:rPr>
        <w:t xml:space="preserve"> </w:t>
      </w:r>
      <w:r>
        <w:lastRenderedPageBreak/>
        <w:t>«</w:t>
      </w:r>
      <w:proofErr w:type="spellStart"/>
      <w:r>
        <w:t>narcoguerrilla</w:t>
      </w:r>
      <w:proofErr w:type="spellEnd"/>
      <w:r>
        <w:t>»</w:t>
      </w:r>
      <w:r w:rsidR="00053184">
        <w:rPr>
          <w:rStyle w:val="Refdenotaalpie"/>
        </w:rPr>
        <w:footnoteReference w:id="694"/>
      </w:r>
      <w:r>
        <w:t>,</w:t>
      </w:r>
      <w:r>
        <w:rPr>
          <w:spacing w:val="-7"/>
        </w:rPr>
        <w:t xml:space="preserve"> </w:t>
      </w:r>
      <w:r>
        <w:t>hubo</w:t>
      </w:r>
      <w:r>
        <w:rPr>
          <w:spacing w:val="-7"/>
        </w:rPr>
        <w:t xml:space="preserve"> </w:t>
      </w:r>
      <w:r>
        <w:t>un cambio en el discurso e interpretación de las dinámicas internas del conflicto armado. De esta manera, se presentaron situaciones paradójicas. Por ejemplo, aunque las agencias gubernamentales norteamericanas asumieron que los grupos paramilitares tenían el mayor porcentaje del negocio del narcotráfico después de la desaparición de los carteles de Cali y Medellín</w:t>
      </w:r>
      <w:r w:rsidR="00053184">
        <w:rPr>
          <w:rStyle w:val="Refdenotaalpie"/>
        </w:rPr>
        <w:footnoteReference w:id="695"/>
      </w:r>
      <w:r>
        <w:t xml:space="preserve">, el discurso que se reforzó fue el de la </w:t>
      </w:r>
      <w:proofErr w:type="spellStart"/>
      <w:r>
        <w:t>narcoguerrilla</w:t>
      </w:r>
      <w:proofErr w:type="spellEnd"/>
      <w:r>
        <w:t>.</w:t>
      </w:r>
    </w:p>
    <w:p w:rsidR="003804AC" w:rsidRDefault="00AF18A5" w:rsidP="00053184">
      <w:bookmarkStart w:id="871" w:name="_bookmark758"/>
      <w:bookmarkStart w:id="872" w:name="_bookmark759"/>
      <w:bookmarkStart w:id="873" w:name="_bookmark760"/>
      <w:bookmarkStart w:id="874" w:name="_bookmark761"/>
      <w:bookmarkEnd w:id="871"/>
      <w:bookmarkEnd w:id="872"/>
      <w:bookmarkEnd w:id="873"/>
      <w:bookmarkEnd w:id="874"/>
      <w:r>
        <w:t>Históricamente, la lucha contra el narcotráfico le correspondió a la Policía Nacional con apoyo de la DEA</w:t>
      </w:r>
      <w:r w:rsidR="00053184">
        <w:rPr>
          <w:rStyle w:val="Refdenotaalpie"/>
        </w:rPr>
        <w:footnoteReference w:id="696"/>
      </w:r>
      <w:r>
        <w:t>. Sin embargo, desde la segunda mitad de los años ochenta, el gobierno estadounidense buscó involucrar de una manera más directa a las Fuerzas Militares de la región y las colombianas no fueron la excepción. Por este motivo se dieron operaciones contra el narcotráfico en las cuales el Ejército Nacional tuvo alguna clase de coordinación con otras fuerzas, como la Policía</w:t>
      </w:r>
      <w:r w:rsidR="00053184">
        <w:rPr>
          <w:rStyle w:val="Refdenotaalpie"/>
        </w:rPr>
        <w:footnoteReference w:id="697"/>
      </w:r>
      <w:r>
        <w:t>. Esta tensión entre militares y policías frente a la lucha contra</w:t>
      </w:r>
      <w:r>
        <w:rPr>
          <w:spacing w:val="-9"/>
        </w:rPr>
        <w:t xml:space="preserve"> </w:t>
      </w:r>
      <w:r>
        <w:t>las</w:t>
      </w:r>
      <w:r>
        <w:rPr>
          <w:spacing w:val="-8"/>
        </w:rPr>
        <w:t xml:space="preserve"> </w:t>
      </w:r>
      <w:r>
        <w:t>drogas</w:t>
      </w:r>
      <w:r>
        <w:rPr>
          <w:spacing w:val="-8"/>
        </w:rPr>
        <w:t xml:space="preserve"> </w:t>
      </w:r>
      <w:r>
        <w:t>trajo</w:t>
      </w:r>
      <w:r>
        <w:rPr>
          <w:spacing w:val="-8"/>
        </w:rPr>
        <w:t xml:space="preserve"> </w:t>
      </w:r>
      <w:r>
        <w:t>un</w:t>
      </w:r>
      <w:r>
        <w:rPr>
          <w:spacing w:val="-10"/>
        </w:rPr>
        <w:t xml:space="preserve"> </w:t>
      </w:r>
      <w:r>
        <w:t>debate</w:t>
      </w:r>
      <w:r>
        <w:rPr>
          <w:spacing w:val="-9"/>
        </w:rPr>
        <w:t xml:space="preserve"> </w:t>
      </w:r>
      <w:r>
        <w:t>interno</w:t>
      </w:r>
      <w:r>
        <w:rPr>
          <w:spacing w:val="-8"/>
        </w:rPr>
        <w:t xml:space="preserve"> </w:t>
      </w:r>
      <w:r>
        <w:t>definitivo</w:t>
      </w:r>
      <w:r>
        <w:rPr>
          <w:spacing w:val="-10"/>
        </w:rPr>
        <w:t xml:space="preserve"> </w:t>
      </w:r>
      <w:r>
        <w:t>sobre</w:t>
      </w:r>
      <w:r>
        <w:rPr>
          <w:spacing w:val="-8"/>
        </w:rPr>
        <w:t xml:space="preserve"> </w:t>
      </w:r>
      <w:r>
        <w:t>el</w:t>
      </w:r>
      <w:r>
        <w:rPr>
          <w:spacing w:val="-8"/>
        </w:rPr>
        <w:t xml:space="preserve"> </w:t>
      </w:r>
      <w:r>
        <w:t>modo</w:t>
      </w:r>
      <w:r>
        <w:rPr>
          <w:spacing w:val="-8"/>
        </w:rPr>
        <w:t xml:space="preserve"> </w:t>
      </w:r>
      <w:r>
        <w:t>de</w:t>
      </w:r>
      <w:r>
        <w:rPr>
          <w:spacing w:val="-8"/>
        </w:rPr>
        <w:t xml:space="preserve"> </w:t>
      </w:r>
      <w:r>
        <w:t>operar,</w:t>
      </w:r>
      <w:r>
        <w:rPr>
          <w:spacing w:val="-8"/>
        </w:rPr>
        <w:t xml:space="preserve"> </w:t>
      </w:r>
      <w:r>
        <w:t>como</w:t>
      </w:r>
      <w:r>
        <w:rPr>
          <w:spacing w:val="-8"/>
        </w:rPr>
        <w:t xml:space="preserve"> </w:t>
      </w:r>
      <w:r>
        <w:t>lo</w:t>
      </w:r>
      <w:r>
        <w:rPr>
          <w:spacing w:val="-10"/>
        </w:rPr>
        <w:t xml:space="preserve"> </w:t>
      </w:r>
      <w:r>
        <w:t>expresó el general Jorge Enrique Mora Rangel,</w:t>
      </w:r>
    </w:p>
    <w:p w:rsidR="003804AC" w:rsidRDefault="00AF18A5" w:rsidP="00053184">
      <w:r>
        <w:t>Los</w:t>
      </w:r>
      <w:r>
        <w:rPr>
          <w:spacing w:val="-16"/>
        </w:rPr>
        <w:t xml:space="preserve"> </w:t>
      </w:r>
      <w:r>
        <w:t>ejércitos</w:t>
      </w:r>
      <w:r>
        <w:rPr>
          <w:spacing w:val="-14"/>
        </w:rPr>
        <w:t xml:space="preserve"> </w:t>
      </w:r>
      <w:r>
        <w:t>se</w:t>
      </w:r>
      <w:r>
        <w:rPr>
          <w:spacing w:val="-14"/>
        </w:rPr>
        <w:t xml:space="preserve"> </w:t>
      </w:r>
      <w:r>
        <w:t>preparan,</w:t>
      </w:r>
      <w:r>
        <w:rPr>
          <w:spacing w:val="-13"/>
        </w:rPr>
        <w:t xml:space="preserve"> </w:t>
      </w:r>
      <w:r>
        <w:t>se</w:t>
      </w:r>
      <w:r>
        <w:rPr>
          <w:spacing w:val="-14"/>
        </w:rPr>
        <w:t xml:space="preserve"> </w:t>
      </w:r>
      <w:r>
        <w:t>entrenan,</w:t>
      </w:r>
      <w:r>
        <w:rPr>
          <w:spacing w:val="-14"/>
        </w:rPr>
        <w:t xml:space="preserve"> </w:t>
      </w:r>
      <w:r>
        <w:t>se</w:t>
      </w:r>
      <w:r>
        <w:rPr>
          <w:spacing w:val="-14"/>
        </w:rPr>
        <w:t xml:space="preserve"> </w:t>
      </w:r>
      <w:r>
        <w:t>organizan</w:t>
      </w:r>
      <w:r>
        <w:rPr>
          <w:spacing w:val="-13"/>
        </w:rPr>
        <w:t xml:space="preserve"> </w:t>
      </w:r>
      <w:r>
        <w:t>para</w:t>
      </w:r>
      <w:r>
        <w:rPr>
          <w:spacing w:val="-14"/>
        </w:rPr>
        <w:t xml:space="preserve"> </w:t>
      </w:r>
      <w:r>
        <w:t>la</w:t>
      </w:r>
      <w:r>
        <w:rPr>
          <w:spacing w:val="-14"/>
        </w:rPr>
        <w:t xml:space="preserve"> </w:t>
      </w:r>
      <w:r>
        <w:t>guerra.</w:t>
      </w:r>
      <w:r>
        <w:rPr>
          <w:spacing w:val="-14"/>
        </w:rPr>
        <w:t xml:space="preserve"> </w:t>
      </w:r>
      <w:r>
        <w:t>Esa</w:t>
      </w:r>
      <w:r>
        <w:rPr>
          <w:spacing w:val="-13"/>
        </w:rPr>
        <w:t xml:space="preserve"> </w:t>
      </w:r>
      <w:r>
        <w:t>es</w:t>
      </w:r>
      <w:r>
        <w:rPr>
          <w:spacing w:val="-14"/>
        </w:rPr>
        <w:t xml:space="preserve"> </w:t>
      </w:r>
      <w:r>
        <w:t>su</w:t>
      </w:r>
      <w:r>
        <w:rPr>
          <w:spacing w:val="-14"/>
        </w:rPr>
        <w:t xml:space="preserve"> </w:t>
      </w:r>
      <w:r>
        <w:t>misión.</w:t>
      </w:r>
      <w:r>
        <w:rPr>
          <w:spacing w:val="-14"/>
        </w:rPr>
        <w:t xml:space="preserve"> </w:t>
      </w:r>
      <w:r>
        <w:t>Un</w:t>
      </w:r>
      <w:r>
        <w:rPr>
          <w:spacing w:val="-13"/>
        </w:rPr>
        <w:t xml:space="preserve"> </w:t>
      </w:r>
      <w:r>
        <w:t>Ejército es una fuerza armada para cumplir unas misiones como defensa del país, soberanía [...] Porque cuando</w:t>
      </w:r>
      <w:r>
        <w:rPr>
          <w:spacing w:val="-1"/>
        </w:rPr>
        <w:t xml:space="preserve"> </w:t>
      </w:r>
      <w:r>
        <w:t>usted</w:t>
      </w:r>
      <w:r>
        <w:rPr>
          <w:spacing w:val="-1"/>
        </w:rPr>
        <w:t xml:space="preserve"> </w:t>
      </w:r>
      <w:r>
        <w:lastRenderedPageBreak/>
        <w:t>habla</w:t>
      </w:r>
      <w:r>
        <w:rPr>
          <w:spacing w:val="-1"/>
        </w:rPr>
        <w:t xml:space="preserve"> </w:t>
      </w:r>
      <w:r>
        <w:t>del</w:t>
      </w:r>
      <w:r>
        <w:rPr>
          <w:spacing w:val="-2"/>
        </w:rPr>
        <w:t xml:space="preserve"> </w:t>
      </w:r>
      <w:r>
        <w:t>orden público,</w:t>
      </w:r>
      <w:r>
        <w:rPr>
          <w:spacing w:val="-2"/>
        </w:rPr>
        <w:t xml:space="preserve"> </w:t>
      </w:r>
      <w:r>
        <w:t>para</w:t>
      </w:r>
      <w:r>
        <w:rPr>
          <w:spacing w:val="-1"/>
        </w:rPr>
        <w:t xml:space="preserve"> </w:t>
      </w:r>
      <w:r>
        <w:t>un militar</w:t>
      </w:r>
      <w:r>
        <w:rPr>
          <w:spacing w:val="-1"/>
        </w:rPr>
        <w:t xml:space="preserve"> </w:t>
      </w:r>
      <w:r>
        <w:t>tiene</w:t>
      </w:r>
      <w:r>
        <w:rPr>
          <w:spacing w:val="-1"/>
        </w:rPr>
        <w:t xml:space="preserve"> </w:t>
      </w:r>
      <w:r>
        <w:t>muy</w:t>
      </w:r>
      <w:r>
        <w:rPr>
          <w:spacing w:val="-2"/>
        </w:rPr>
        <w:t xml:space="preserve"> </w:t>
      </w:r>
      <w:r>
        <w:t>poco significado.</w:t>
      </w:r>
      <w:r>
        <w:rPr>
          <w:spacing w:val="-1"/>
        </w:rPr>
        <w:t xml:space="preserve"> </w:t>
      </w:r>
      <w:r>
        <w:t>La</w:t>
      </w:r>
      <w:r>
        <w:rPr>
          <w:spacing w:val="-1"/>
        </w:rPr>
        <w:t xml:space="preserve"> </w:t>
      </w:r>
      <w:r>
        <w:t>concepción de orden público es más del lado de la Policía, de la ciudadanía, la seguridad ciudadana. A los militares</w:t>
      </w:r>
      <w:r>
        <w:rPr>
          <w:spacing w:val="-1"/>
        </w:rPr>
        <w:t xml:space="preserve"> </w:t>
      </w:r>
      <w:r>
        <w:t>nos tocó enfrentar</w:t>
      </w:r>
      <w:r>
        <w:rPr>
          <w:spacing w:val="-1"/>
        </w:rPr>
        <w:t xml:space="preserve"> </w:t>
      </w:r>
      <w:r>
        <w:t>ese concepto de</w:t>
      </w:r>
      <w:r>
        <w:rPr>
          <w:spacing w:val="-1"/>
        </w:rPr>
        <w:t xml:space="preserve"> </w:t>
      </w:r>
      <w:r>
        <w:t>orden público y adaptar</w:t>
      </w:r>
      <w:r>
        <w:rPr>
          <w:spacing w:val="-1"/>
        </w:rPr>
        <w:t xml:space="preserve"> </w:t>
      </w:r>
      <w:r>
        <w:t>la</w:t>
      </w:r>
      <w:r>
        <w:rPr>
          <w:spacing w:val="-1"/>
        </w:rPr>
        <w:t xml:space="preserve"> </w:t>
      </w:r>
      <w:r>
        <w:t>formación a</w:t>
      </w:r>
      <w:r>
        <w:rPr>
          <w:spacing w:val="-1"/>
        </w:rPr>
        <w:t xml:space="preserve"> </w:t>
      </w:r>
      <w:r>
        <w:t>la</w:t>
      </w:r>
      <w:r>
        <w:rPr>
          <w:spacing w:val="-1"/>
        </w:rPr>
        <w:t xml:space="preserve"> </w:t>
      </w:r>
      <w:r>
        <w:t>estructura, la</w:t>
      </w:r>
      <w:r>
        <w:rPr>
          <w:spacing w:val="-6"/>
        </w:rPr>
        <w:t xml:space="preserve"> </w:t>
      </w:r>
      <w:r>
        <w:t>capacitación,</w:t>
      </w:r>
      <w:r>
        <w:rPr>
          <w:spacing w:val="-5"/>
        </w:rPr>
        <w:t xml:space="preserve"> </w:t>
      </w:r>
      <w:r>
        <w:t>el</w:t>
      </w:r>
      <w:r>
        <w:rPr>
          <w:spacing w:val="-6"/>
        </w:rPr>
        <w:t xml:space="preserve"> </w:t>
      </w:r>
      <w:r>
        <w:t>entrenamiento,</w:t>
      </w:r>
      <w:r>
        <w:rPr>
          <w:spacing w:val="-5"/>
        </w:rPr>
        <w:t xml:space="preserve"> </w:t>
      </w:r>
      <w:r>
        <w:t>a</w:t>
      </w:r>
      <w:r>
        <w:rPr>
          <w:spacing w:val="-6"/>
        </w:rPr>
        <w:t xml:space="preserve"> </w:t>
      </w:r>
      <w:r>
        <w:t>un</w:t>
      </w:r>
      <w:r>
        <w:rPr>
          <w:spacing w:val="-6"/>
        </w:rPr>
        <w:t xml:space="preserve"> </w:t>
      </w:r>
      <w:r>
        <w:t>conflicto</w:t>
      </w:r>
      <w:r>
        <w:rPr>
          <w:spacing w:val="-5"/>
        </w:rPr>
        <w:t xml:space="preserve"> </w:t>
      </w:r>
      <w:r>
        <w:t>interno</w:t>
      </w:r>
      <w:r>
        <w:rPr>
          <w:spacing w:val="-5"/>
        </w:rPr>
        <w:t xml:space="preserve"> </w:t>
      </w:r>
      <w:r>
        <w:t>que</w:t>
      </w:r>
      <w:r>
        <w:rPr>
          <w:spacing w:val="-6"/>
        </w:rPr>
        <w:t xml:space="preserve"> </w:t>
      </w:r>
      <w:r>
        <w:t>tenía</w:t>
      </w:r>
      <w:r>
        <w:rPr>
          <w:spacing w:val="-7"/>
        </w:rPr>
        <w:t xml:space="preserve"> </w:t>
      </w:r>
      <w:r>
        <w:t>matices</w:t>
      </w:r>
      <w:r>
        <w:rPr>
          <w:spacing w:val="-6"/>
        </w:rPr>
        <w:t xml:space="preserve"> </w:t>
      </w:r>
      <w:r>
        <w:t>muy</w:t>
      </w:r>
      <w:r>
        <w:rPr>
          <w:spacing w:val="-5"/>
        </w:rPr>
        <w:t xml:space="preserve"> </w:t>
      </w:r>
      <w:r>
        <w:t>diferentes</w:t>
      </w:r>
      <w:r>
        <w:rPr>
          <w:spacing w:val="-6"/>
        </w:rPr>
        <w:t xml:space="preserve"> </w:t>
      </w:r>
      <w:r>
        <w:t>a</w:t>
      </w:r>
      <w:r>
        <w:rPr>
          <w:spacing w:val="-6"/>
        </w:rPr>
        <w:t xml:space="preserve"> </w:t>
      </w:r>
      <w:r>
        <w:t>lo</w:t>
      </w:r>
      <w:r>
        <w:rPr>
          <w:spacing w:val="-5"/>
        </w:rPr>
        <w:t xml:space="preserve"> </w:t>
      </w:r>
      <w:r>
        <w:t>que es una fuerza militar. Terminamos cuidando pueblos, campesinos, carreteras; manejando secuestros […], circunstancias que hicieron que los militares colombianos se adaptaran a un conflicto interno</w:t>
      </w:r>
      <w:r w:rsidR="00926BD0">
        <w:rPr>
          <w:rStyle w:val="Refdenotaalpie"/>
        </w:rPr>
        <w:footnoteReference w:id="698"/>
      </w:r>
      <w:r>
        <w:t>.</w:t>
      </w:r>
    </w:p>
    <w:p w:rsidR="0011361F" w:rsidRDefault="00AF18A5" w:rsidP="00926BD0">
      <w:r>
        <w:t>En</w:t>
      </w:r>
      <w:r>
        <w:rPr>
          <w:spacing w:val="-15"/>
        </w:rPr>
        <w:t xml:space="preserve"> </w:t>
      </w:r>
      <w:r>
        <w:t>la</w:t>
      </w:r>
      <w:r>
        <w:rPr>
          <w:spacing w:val="-15"/>
        </w:rPr>
        <w:t xml:space="preserve"> </w:t>
      </w:r>
      <w:r>
        <w:t>segunda</w:t>
      </w:r>
      <w:r>
        <w:rPr>
          <w:spacing w:val="-14"/>
        </w:rPr>
        <w:t xml:space="preserve"> </w:t>
      </w:r>
      <w:r>
        <w:t>mitad</w:t>
      </w:r>
      <w:r>
        <w:rPr>
          <w:spacing w:val="-15"/>
        </w:rPr>
        <w:t xml:space="preserve"> </w:t>
      </w:r>
      <w:r>
        <w:t>de</w:t>
      </w:r>
      <w:r>
        <w:rPr>
          <w:spacing w:val="-14"/>
        </w:rPr>
        <w:t xml:space="preserve"> </w:t>
      </w:r>
      <w:r>
        <w:t>los</w:t>
      </w:r>
      <w:r>
        <w:rPr>
          <w:spacing w:val="-15"/>
        </w:rPr>
        <w:t xml:space="preserve"> </w:t>
      </w:r>
      <w:r>
        <w:t>ochenta,</w:t>
      </w:r>
      <w:r>
        <w:rPr>
          <w:spacing w:val="-14"/>
        </w:rPr>
        <w:t xml:space="preserve"> </w:t>
      </w:r>
      <w:r>
        <w:t>la</w:t>
      </w:r>
      <w:r>
        <w:rPr>
          <w:spacing w:val="-15"/>
        </w:rPr>
        <w:t xml:space="preserve"> </w:t>
      </w:r>
      <w:r>
        <w:t>oficialidad</w:t>
      </w:r>
      <w:r>
        <w:rPr>
          <w:spacing w:val="-15"/>
        </w:rPr>
        <w:t xml:space="preserve"> </w:t>
      </w:r>
      <w:r>
        <w:t>militar</w:t>
      </w:r>
      <w:r>
        <w:rPr>
          <w:spacing w:val="-15"/>
        </w:rPr>
        <w:t xml:space="preserve"> </w:t>
      </w:r>
      <w:r>
        <w:t>estaba</w:t>
      </w:r>
      <w:r>
        <w:rPr>
          <w:spacing w:val="-14"/>
        </w:rPr>
        <w:t xml:space="preserve"> </w:t>
      </w:r>
      <w:r>
        <w:t>en</w:t>
      </w:r>
      <w:r>
        <w:rPr>
          <w:spacing w:val="-15"/>
        </w:rPr>
        <w:t xml:space="preserve"> </w:t>
      </w:r>
      <w:r>
        <w:t>desacuerdo</w:t>
      </w:r>
      <w:r>
        <w:rPr>
          <w:spacing w:val="-14"/>
        </w:rPr>
        <w:t xml:space="preserve"> </w:t>
      </w:r>
      <w:r>
        <w:t>con</w:t>
      </w:r>
      <w:r>
        <w:rPr>
          <w:spacing w:val="-15"/>
        </w:rPr>
        <w:t xml:space="preserve"> </w:t>
      </w:r>
      <w:r>
        <w:t>involucrar a la institución en el tema del narcotráfico</w:t>
      </w:r>
      <w:r w:rsidR="00926BD0">
        <w:rPr>
          <w:rStyle w:val="Refdenotaalpie"/>
        </w:rPr>
        <w:footnoteReference w:id="699"/>
      </w:r>
      <w:r>
        <w:t>. Una posición que se modificó a mediados de la</w:t>
      </w:r>
      <w:r>
        <w:rPr>
          <w:spacing w:val="-4"/>
        </w:rPr>
        <w:t xml:space="preserve"> </w:t>
      </w:r>
      <w:r>
        <w:t>década</w:t>
      </w:r>
      <w:r>
        <w:rPr>
          <w:spacing w:val="-4"/>
        </w:rPr>
        <w:t xml:space="preserve"> </w:t>
      </w:r>
      <w:r>
        <w:t>de</w:t>
      </w:r>
      <w:r>
        <w:rPr>
          <w:spacing w:val="-6"/>
        </w:rPr>
        <w:t xml:space="preserve"> </w:t>
      </w:r>
      <w:r>
        <w:t>los</w:t>
      </w:r>
      <w:r>
        <w:rPr>
          <w:spacing w:val="-5"/>
        </w:rPr>
        <w:t xml:space="preserve"> </w:t>
      </w:r>
      <w:r>
        <w:t>noventa,</w:t>
      </w:r>
      <w:r>
        <w:rPr>
          <w:spacing w:val="-6"/>
        </w:rPr>
        <w:t xml:space="preserve"> </w:t>
      </w:r>
      <w:r>
        <w:t>cuando</w:t>
      </w:r>
      <w:r>
        <w:rPr>
          <w:spacing w:val="-5"/>
        </w:rPr>
        <w:t xml:space="preserve"> </w:t>
      </w:r>
      <w:r>
        <w:t>sectores</w:t>
      </w:r>
      <w:r>
        <w:rPr>
          <w:spacing w:val="-4"/>
        </w:rPr>
        <w:t xml:space="preserve"> </w:t>
      </w:r>
      <w:r>
        <w:t>clave</w:t>
      </w:r>
      <w:r>
        <w:rPr>
          <w:spacing w:val="-4"/>
        </w:rPr>
        <w:t xml:space="preserve"> </w:t>
      </w:r>
      <w:r>
        <w:t>de</w:t>
      </w:r>
      <w:r>
        <w:rPr>
          <w:spacing w:val="-4"/>
        </w:rPr>
        <w:t xml:space="preserve"> </w:t>
      </w:r>
      <w:r>
        <w:t>la</w:t>
      </w:r>
      <w:r>
        <w:rPr>
          <w:spacing w:val="-4"/>
        </w:rPr>
        <w:t xml:space="preserve"> </w:t>
      </w:r>
      <w:r>
        <w:t>comandancia</w:t>
      </w:r>
      <w:r>
        <w:rPr>
          <w:spacing w:val="-4"/>
        </w:rPr>
        <w:t xml:space="preserve"> </w:t>
      </w:r>
      <w:r>
        <w:t>estuvieron</w:t>
      </w:r>
      <w:r>
        <w:rPr>
          <w:spacing w:val="-5"/>
        </w:rPr>
        <w:t xml:space="preserve"> </w:t>
      </w:r>
      <w:r>
        <w:t>de</w:t>
      </w:r>
      <w:r>
        <w:rPr>
          <w:spacing w:val="-4"/>
        </w:rPr>
        <w:t xml:space="preserve"> </w:t>
      </w:r>
      <w:r>
        <w:t>acuerdo</w:t>
      </w:r>
      <w:r>
        <w:rPr>
          <w:spacing w:val="-5"/>
        </w:rPr>
        <w:t xml:space="preserve"> </w:t>
      </w:r>
      <w:r>
        <w:t>en tener una mayor participación</w:t>
      </w:r>
      <w:r w:rsidR="00926BD0">
        <w:rPr>
          <w:rStyle w:val="Refdenotaalpie"/>
        </w:rPr>
        <w:footnoteReference w:id="700"/>
      </w:r>
      <w:r>
        <w:t>. Esto también significó la búsqueda de mayores recursos económicos</w:t>
      </w:r>
      <w:r>
        <w:rPr>
          <w:spacing w:val="-15"/>
        </w:rPr>
        <w:t xml:space="preserve"> </w:t>
      </w:r>
      <w:r>
        <w:t>que</w:t>
      </w:r>
      <w:r>
        <w:rPr>
          <w:spacing w:val="-15"/>
        </w:rPr>
        <w:t xml:space="preserve"> </w:t>
      </w:r>
      <w:r>
        <w:t>permitieran</w:t>
      </w:r>
      <w:r>
        <w:rPr>
          <w:spacing w:val="-15"/>
        </w:rPr>
        <w:t xml:space="preserve"> </w:t>
      </w:r>
      <w:r>
        <w:t>un</w:t>
      </w:r>
      <w:r>
        <w:rPr>
          <w:spacing w:val="-15"/>
        </w:rPr>
        <w:t xml:space="preserve"> </w:t>
      </w:r>
      <w:r>
        <w:t>proceso</w:t>
      </w:r>
      <w:r>
        <w:rPr>
          <w:spacing w:val="-15"/>
        </w:rPr>
        <w:t xml:space="preserve"> </w:t>
      </w:r>
      <w:r>
        <w:t>de</w:t>
      </w:r>
      <w:r>
        <w:rPr>
          <w:spacing w:val="-15"/>
        </w:rPr>
        <w:t xml:space="preserve"> </w:t>
      </w:r>
      <w:r>
        <w:t>reingeniería</w:t>
      </w:r>
      <w:r>
        <w:rPr>
          <w:spacing w:val="-15"/>
        </w:rPr>
        <w:t xml:space="preserve"> </w:t>
      </w:r>
      <w:r>
        <w:t>institucional</w:t>
      </w:r>
      <w:r>
        <w:rPr>
          <w:spacing w:val="-15"/>
        </w:rPr>
        <w:t xml:space="preserve"> </w:t>
      </w:r>
      <w:r>
        <w:t>en</w:t>
      </w:r>
      <w:r>
        <w:rPr>
          <w:spacing w:val="-15"/>
        </w:rPr>
        <w:t xml:space="preserve"> </w:t>
      </w:r>
      <w:r>
        <w:t>las</w:t>
      </w:r>
      <w:r>
        <w:rPr>
          <w:spacing w:val="-15"/>
        </w:rPr>
        <w:t xml:space="preserve"> </w:t>
      </w:r>
      <w:r>
        <w:t>Fuerzas</w:t>
      </w:r>
      <w:r>
        <w:rPr>
          <w:spacing w:val="-15"/>
        </w:rPr>
        <w:t xml:space="preserve"> </w:t>
      </w:r>
      <w:r>
        <w:t xml:space="preserve">Armadas, pues en esa década los ingresos habían sido absorbidos principalmente por la Policía </w:t>
      </w:r>
      <w:r>
        <w:rPr>
          <w:spacing w:val="-2"/>
        </w:rPr>
        <w:t>Nacional.</w:t>
      </w:r>
      <w:r w:rsidR="00926BD0">
        <w:rPr>
          <w:rStyle w:val="Refdenotaalpie"/>
          <w:spacing w:val="-2"/>
        </w:rPr>
        <w:footnoteReference w:id="701"/>
      </w:r>
      <w:r w:rsidR="00926BD0">
        <w:t xml:space="preserve"> </w:t>
      </w:r>
    </w:p>
    <w:p w:rsidR="003804AC" w:rsidRDefault="00AF18A5" w:rsidP="00926BD0">
      <w:bookmarkStart w:id="875" w:name="_bookmark763"/>
      <w:bookmarkStart w:id="876" w:name="_bookmark764"/>
      <w:bookmarkStart w:id="877" w:name="_bookmark765"/>
      <w:bookmarkStart w:id="878" w:name="_bookmark766"/>
      <w:bookmarkStart w:id="879" w:name="_bookmark767"/>
      <w:bookmarkStart w:id="880" w:name="_bookmark768"/>
      <w:bookmarkEnd w:id="875"/>
      <w:bookmarkEnd w:id="876"/>
      <w:bookmarkEnd w:id="877"/>
      <w:bookmarkEnd w:id="878"/>
      <w:bookmarkEnd w:id="879"/>
      <w:bookmarkEnd w:id="880"/>
      <w:r>
        <w:t>En</w:t>
      </w:r>
      <w:r>
        <w:rPr>
          <w:spacing w:val="-3"/>
        </w:rPr>
        <w:t xml:space="preserve"> </w:t>
      </w:r>
      <w:r>
        <w:t>el</w:t>
      </w:r>
      <w:r>
        <w:rPr>
          <w:spacing w:val="-3"/>
        </w:rPr>
        <w:t xml:space="preserve"> </w:t>
      </w:r>
      <w:r>
        <w:t>contexto</w:t>
      </w:r>
      <w:r>
        <w:rPr>
          <w:spacing w:val="-3"/>
        </w:rPr>
        <w:t xml:space="preserve"> </w:t>
      </w:r>
      <w:r>
        <w:t>en</w:t>
      </w:r>
      <w:r>
        <w:rPr>
          <w:spacing w:val="-3"/>
        </w:rPr>
        <w:t xml:space="preserve"> </w:t>
      </w:r>
      <w:r>
        <w:t>que</w:t>
      </w:r>
      <w:r>
        <w:rPr>
          <w:spacing w:val="-4"/>
        </w:rPr>
        <w:t xml:space="preserve"> </w:t>
      </w:r>
      <w:r>
        <w:t>las</w:t>
      </w:r>
      <w:r>
        <w:rPr>
          <w:spacing w:val="-4"/>
        </w:rPr>
        <w:t xml:space="preserve"> </w:t>
      </w:r>
      <w:r>
        <w:t>FARC-EP</w:t>
      </w:r>
      <w:r>
        <w:rPr>
          <w:spacing w:val="-4"/>
        </w:rPr>
        <w:t xml:space="preserve"> </w:t>
      </w:r>
      <w:r>
        <w:t>habían</w:t>
      </w:r>
      <w:r>
        <w:rPr>
          <w:spacing w:val="-3"/>
        </w:rPr>
        <w:t xml:space="preserve"> </w:t>
      </w:r>
      <w:r>
        <w:t>proporcionado</w:t>
      </w:r>
      <w:r>
        <w:rPr>
          <w:spacing w:val="-3"/>
        </w:rPr>
        <w:t xml:space="preserve"> </w:t>
      </w:r>
      <w:r>
        <w:t>golpes</w:t>
      </w:r>
      <w:r>
        <w:rPr>
          <w:spacing w:val="-3"/>
        </w:rPr>
        <w:t xml:space="preserve"> </w:t>
      </w:r>
      <w:r>
        <w:t>militares</w:t>
      </w:r>
      <w:r>
        <w:rPr>
          <w:spacing w:val="-4"/>
        </w:rPr>
        <w:t xml:space="preserve"> </w:t>
      </w:r>
      <w:r>
        <w:t>importantes</w:t>
      </w:r>
      <w:r>
        <w:rPr>
          <w:spacing w:val="-4"/>
        </w:rPr>
        <w:t xml:space="preserve"> </w:t>
      </w:r>
      <w:r>
        <w:t>a las Fuerzas Militares en zonas con una fuerte presencia de la guerrilla, y donde además interfirieron</w:t>
      </w:r>
      <w:r>
        <w:rPr>
          <w:spacing w:val="-11"/>
        </w:rPr>
        <w:t xml:space="preserve"> </w:t>
      </w:r>
      <w:r>
        <w:t>en</w:t>
      </w:r>
      <w:r>
        <w:rPr>
          <w:spacing w:val="-10"/>
        </w:rPr>
        <w:t xml:space="preserve"> </w:t>
      </w:r>
      <w:r>
        <w:t>la</w:t>
      </w:r>
      <w:r>
        <w:rPr>
          <w:spacing w:val="-9"/>
        </w:rPr>
        <w:t xml:space="preserve"> </w:t>
      </w:r>
      <w:r>
        <w:t>movilización</w:t>
      </w:r>
      <w:r>
        <w:rPr>
          <w:spacing w:val="-10"/>
        </w:rPr>
        <w:t xml:space="preserve"> </w:t>
      </w:r>
      <w:r>
        <w:t>y</w:t>
      </w:r>
      <w:r>
        <w:rPr>
          <w:spacing w:val="-10"/>
        </w:rPr>
        <w:t xml:space="preserve"> </w:t>
      </w:r>
      <w:r>
        <w:t>transporte</w:t>
      </w:r>
      <w:r>
        <w:rPr>
          <w:spacing w:val="-9"/>
        </w:rPr>
        <w:t xml:space="preserve"> </w:t>
      </w:r>
      <w:r>
        <w:t>por</w:t>
      </w:r>
      <w:r>
        <w:rPr>
          <w:spacing w:val="-9"/>
        </w:rPr>
        <w:t xml:space="preserve"> </w:t>
      </w:r>
      <w:r>
        <w:t>carretera</w:t>
      </w:r>
      <w:r>
        <w:rPr>
          <w:spacing w:val="-9"/>
        </w:rPr>
        <w:t xml:space="preserve"> </w:t>
      </w:r>
      <w:r>
        <w:t>en</w:t>
      </w:r>
      <w:r>
        <w:rPr>
          <w:spacing w:val="-10"/>
        </w:rPr>
        <w:t xml:space="preserve"> </w:t>
      </w:r>
      <w:r>
        <w:t>varias</w:t>
      </w:r>
      <w:r>
        <w:rPr>
          <w:spacing w:val="-11"/>
        </w:rPr>
        <w:t xml:space="preserve"> </w:t>
      </w:r>
      <w:r>
        <w:t>regiones</w:t>
      </w:r>
      <w:r>
        <w:rPr>
          <w:spacing w:val="-11"/>
        </w:rPr>
        <w:t xml:space="preserve"> </w:t>
      </w:r>
      <w:r>
        <w:t>del</w:t>
      </w:r>
      <w:r>
        <w:rPr>
          <w:spacing w:val="-9"/>
        </w:rPr>
        <w:t xml:space="preserve"> </w:t>
      </w:r>
      <w:r>
        <w:t>país,</w:t>
      </w:r>
      <w:r>
        <w:rPr>
          <w:spacing w:val="-10"/>
        </w:rPr>
        <w:t xml:space="preserve"> </w:t>
      </w:r>
      <w:r>
        <w:t>algunos sectores</w:t>
      </w:r>
      <w:r>
        <w:rPr>
          <w:spacing w:val="-11"/>
        </w:rPr>
        <w:t xml:space="preserve"> </w:t>
      </w:r>
      <w:r>
        <w:t>plantearon</w:t>
      </w:r>
      <w:r>
        <w:rPr>
          <w:spacing w:val="-12"/>
        </w:rPr>
        <w:t xml:space="preserve"> </w:t>
      </w:r>
      <w:r>
        <w:t>que</w:t>
      </w:r>
      <w:r>
        <w:rPr>
          <w:spacing w:val="-12"/>
        </w:rPr>
        <w:t xml:space="preserve"> </w:t>
      </w:r>
      <w:r>
        <w:t>Colombia</w:t>
      </w:r>
      <w:r>
        <w:rPr>
          <w:spacing w:val="-12"/>
        </w:rPr>
        <w:t xml:space="preserve"> </w:t>
      </w:r>
      <w:r>
        <w:t>estaba</w:t>
      </w:r>
      <w:r>
        <w:rPr>
          <w:spacing w:val="-11"/>
        </w:rPr>
        <w:t xml:space="preserve"> </w:t>
      </w:r>
      <w:r>
        <w:t>a</w:t>
      </w:r>
      <w:r>
        <w:rPr>
          <w:spacing w:val="-12"/>
        </w:rPr>
        <w:t xml:space="preserve"> </w:t>
      </w:r>
      <w:r>
        <w:t>punto</w:t>
      </w:r>
      <w:r>
        <w:rPr>
          <w:spacing w:val="-13"/>
        </w:rPr>
        <w:t xml:space="preserve"> </w:t>
      </w:r>
      <w:r>
        <w:t>de</w:t>
      </w:r>
      <w:r>
        <w:rPr>
          <w:spacing w:val="-11"/>
        </w:rPr>
        <w:t xml:space="preserve"> </w:t>
      </w:r>
      <w:r>
        <w:t>ser</w:t>
      </w:r>
      <w:r>
        <w:rPr>
          <w:spacing w:val="-12"/>
        </w:rPr>
        <w:t xml:space="preserve"> </w:t>
      </w:r>
      <w:r>
        <w:t>un</w:t>
      </w:r>
      <w:r>
        <w:rPr>
          <w:spacing w:val="-11"/>
        </w:rPr>
        <w:t xml:space="preserve"> </w:t>
      </w:r>
      <w:r>
        <w:t>Estado</w:t>
      </w:r>
      <w:r>
        <w:rPr>
          <w:spacing w:val="-11"/>
        </w:rPr>
        <w:t xml:space="preserve"> </w:t>
      </w:r>
      <w:r>
        <w:t>fallido</w:t>
      </w:r>
      <w:r w:rsidR="009E54D0">
        <w:rPr>
          <w:rStyle w:val="Refdenotaalpie"/>
        </w:rPr>
        <w:footnoteReference w:id="702"/>
      </w:r>
      <w:r>
        <w:t>,</w:t>
      </w:r>
      <w:r>
        <w:rPr>
          <w:spacing w:val="-11"/>
        </w:rPr>
        <w:t xml:space="preserve"> </w:t>
      </w:r>
      <w:r>
        <w:t>lo</w:t>
      </w:r>
      <w:r>
        <w:rPr>
          <w:spacing w:val="-11"/>
        </w:rPr>
        <w:t xml:space="preserve"> </w:t>
      </w:r>
      <w:r>
        <w:t>que</w:t>
      </w:r>
      <w:r>
        <w:rPr>
          <w:spacing w:val="-11"/>
        </w:rPr>
        <w:t xml:space="preserve"> </w:t>
      </w:r>
      <w:r>
        <w:t xml:space="preserve">fortaleció </w:t>
      </w:r>
      <w:r>
        <w:lastRenderedPageBreak/>
        <w:t xml:space="preserve">el </w:t>
      </w:r>
      <w:r>
        <w:rPr>
          <w:i/>
        </w:rPr>
        <w:t xml:space="preserve">lobby </w:t>
      </w:r>
      <w:r>
        <w:t>para las negociaciones que darían como resultado el Plan Colombia. El objetivo de esta política era desarrollar la guerra contra las drogas; una que se orientaría a la lucha contrainsurgente</w:t>
      </w:r>
      <w:r>
        <w:rPr>
          <w:spacing w:val="-10"/>
        </w:rPr>
        <w:t xml:space="preserve"> </w:t>
      </w:r>
      <w:r>
        <w:t>en</w:t>
      </w:r>
      <w:r>
        <w:rPr>
          <w:spacing w:val="-11"/>
        </w:rPr>
        <w:t xml:space="preserve"> </w:t>
      </w:r>
      <w:r>
        <w:t>las</w:t>
      </w:r>
      <w:r>
        <w:rPr>
          <w:spacing w:val="-10"/>
        </w:rPr>
        <w:t xml:space="preserve"> </w:t>
      </w:r>
      <w:r>
        <w:t>zonas</w:t>
      </w:r>
      <w:r>
        <w:rPr>
          <w:spacing w:val="-10"/>
        </w:rPr>
        <w:t xml:space="preserve"> </w:t>
      </w:r>
      <w:r>
        <w:t>de</w:t>
      </w:r>
      <w:r>
        <w:rPr>
          <w:spacing w:val="-10"/>
        </w:rPr>
        <w:t xml:space="preserve"> </w:t>
      </w:r>
      <w:r>
        <w:t>control</w:t>
      </w:r>
      <w:r>
        <w:rPr>
          <w:spacing w:val="-10"/>
        </w:rPr>
        <w:t xml:space="preserve"> </w:t>
      </w:r>
      <w:r>
        <w:t>de</w:t>
      </w:r>
      <w:r>
        <w:rPr>
          <w:spacing w:val="-10"/>
        </w:rPr>
        <w:t xml:space="preserve"> </w:t>
      </w:r>
      <w:r>
        <w:t>las</w:t>
      </w:r>
      <w:r>
        <w:rPr>
          <w:spacing w:val="-10"/>
        </w:rPr>
        <w:t xml:space="preserve"> </w:t>
      </w:r>
      <w:r>
        <w:t>FARC-EP</w:t>
      </w:r>
      <w:r>
        <w:rPr>
          <w:spacing w:val="-11"/>
        </w:rPr>
        <w:t xml:space="preserve"> </w:t>
      </w:r>
      <w:r>
        <w:t>y</w:t>
      </w:r>
      <w:r>
        <w:rPr>
          <w:spacing w:val="-9"/>
        </w:rPr>
        <w:t xml:space="preserve"> </w:t>
      </w:r>
      <w:r>
        <w:t>que</w:t>
      </w:r>
      <w:r>
        <w:rPr>
          <w:spacing w:val="-10"/>
        </w:rPr>
        <w:t xml:space="preserve"> </w:t>
      </w:r>
      <w:r>
        <w:t>conduciría</w:t>
      </w:r>
      <w:r>
        <w:rPr>
          <w:spacing w:val="-10"/>
        </w:rPr>
        <w:t xml:space="preserve"> </w:t>
      </w:r>
      <w:r>
        <w:t>al</w:t>
      </w:r>
      <w:r>
        <w:rPr>
          <w:spacing w:val="-10"/>
        </w:rPr>
        <w:t xml:space="preserve"> </w:t>
      </w:r>
      <w:r>
        <w:t>fortalecimiento de</w:t>
      </w:r>
      <w:r>
        <w:rPr>
          <w:spacing w:val="-11"/>
        </w:rPr>
        <w:t xml:space="preserve"> </w:t>
      </w:r>
      <w:r>
        <w:t>la</w:t>
      </w:r>
      <w:r>
        <w:rPr>
          <w:spacing w:val="-12"/>
        </w:rPr>
        <w:t xml:space="preserve"> </w:t>
      </w:r>
      <w:r>
        <w:t>capacidad</w:t>
      </w:r>
      <w:r>
        <w:rPr>
          <w:spacing w:val="-11"/>
        </w:rPr>
        <w:t xml:space="preserve"> </w:t>
      </w:r>
      <w:r>
        <w:t>militar</w:t>
      </w:r>
      <w:r>
        <w:rPr>
          <w:spacing w:val="-12"/>
        </w:rPr>
        <w:t xml:space="preserve"> </w:t>
      </w:r>
      <w:r>
        <w:t>del</w:t>
      </w:r>
      <w:r>
        <w:rPr>
          <w:spacing w:val="-10"/>
        </w:rPr>
        <w:t xml:space="preserve"> </w:t>
      </w:r>
      <w:r>
        <w:t>Estado</w:t>
      </w:r>
      <w:r>
        <w:rPr>
          <w:spacing w:val="-11"/>
        </w:rPr>
        <w:t xml:space="preserve"> </w:t>
      </w:r>
      <w:r>
        <w:t>para</w:t>
      </w:r>
      <w:r>
        <w:rPr>
          <w:spacing w:val="-11"/>
        </w:rPr>
        <w:t xml:space="preserve"> </w:t>
      </w:r>
      <w:r>
        <w:t>combatir</w:t>
      </w:r>
      <w:r>
        <w:rPr>
          <w:spacing w:val="-13"/>
        </w:rPr>
        <w:t xml:space="preserve"> </w:t>
      </w:r>
      <w:r>
        <w:t>a</w:t>
      </w:r>
      <w:r>
        <w:rPr>
          <w:spacing w:val="-11"/>
        </w:rPr>
        <w:t xml:space="preserve"> </w:t>
      </w:r>
      <w:r>
        <w:t>las</w:t>
      </w:r>
      <w:r>
        <w:rPr>
          <w:spacing w:val="-11"/>
        </w:rPr>
        <w:t xml:space="preserve"> </w:t>
      </w:r>
      <w:r>
        <w:t>guerrillas,</w:t>
      </w:r>
      <w:r>
        <w:rPr>
          <w:spacing w:val="-11"/>
        </w:rPr>
        <w:t xml:space="preserve"> </w:t>
      </w:r>
      <w:r>
        <w:t>pero</w:t>
      </w:r>
      <w:r>
        <w:rPr>
          <w:spacing w:val="-12"/>
        </w:rPr>
        <w:t xml:space="preserve"> </w:t>
      </w:r>
      <w:r>
        <w:t>que</w:t>
      </w:r>
      <w:r>
        <w:rPr>
          <w:spacing w:val="-13"/>
        </w:rPr>
        <w:t xml:space="preserve"> </w:t>
      </w:r>
      <w:r>
        <w:t>también</w:t>
      </w:r>
      <w:r>
        <w:rPr>
          <w:spacing w:val="-12"/>
        </w:rPr>
        <w:t xml:space="preserve"> </w:t>
      </w:r>
      <w:r>
        <w:t>redundaría en una mayor militarización de esas regiones del país.</w:t>
      </w:r>
    </w:p>
    <w:p w:rsidR="0011361F" w:rsidRPr="00995737" w:rsidRDefault="00AF18A5" w:rsidP="004A6EF4">
      <w:pPr>
        <w:pStyle w:val="Ttulo4"/>
        <w:numPr>
          <w:ilvl w:val="2"/>
          <w:numId w:val="16"/>
        </w:numPr>
      </w:pPr>
      <w:bookmarkStart w:id="881" w:name="6.8.2._El_péndulo_moral_de_la_estigmatiz"/>
      <w:bookmarkEnd w:id="881"/>
      <w:r w:rsidRPr="00995737">
        <w:t>El</w:t>
      </w:r>
      <w:r w:rsidRPr="00995737">
        <w:rPr>
          <w:spacing w:val="-2"/>
        </w:rPr>
        <w:t xml:space="preserve"> </w:t>
      </w:r>
      <w:r w:rsidRPr="00995737">
        <w:t>péndulo</w:t>
      </w:r>
      <w:r w:rsidRPr="00995737">
        <w:rPr>
          <w:spacing w:val="-2"/>
        </w:rPr>
        <w:t xml:space="preserve"> </w:t>
      </w:r>
      <w:r w:rsidRPr="00995737">
        <w:t>moral</w:t>
      </w:r>
      <w:r w:rsidRPr="00995737">
        <w:rPr>
          <w:spacing w:val="-2"/>
        </w:rPr>
        <w:t xml:space="preserve"> </w:t>
      </w:r>
      <w:r w:rsidRPr="00995737">
        <w:t>de</w:t>
      </w:r>
      <w:r w:rsidRPr="00995737">
        <w:rPr>
          <w:spacing w:val="-2"/>
        </w:rPr>
        <w:t xml:space="preserve"> </w:t>
      </w:r>
      <w:r w:rsidRPr="00995737">
        <w:t>la</w:t>
      </w:r>
      <w:r w:rsidRPr="00995737">
        <w:rPr>
          <w:spacing w:val="-2"/>
        </w:rPr>
        <w:t xml:space="preserve"> </w:t>
      </w:r>
      <w:r w:rsidRPr="00995737">
        <w:t>estigmatización</w:t>
      </w:r>
      <w:r w:rsidRPr="00995737">
        <w:rPr>
          <w:spacing w:val="-3"/>
        </w:rPr>
        <w:t xml:space="preserve"> </w:t>
      </w:r>
      <w:r w:rsidRPr="00995737">
        <w:t>de</w:t>
      </w:r>
      <w:r w:rsidRPr="00995737">
        <w:rPr>
          <w:spacing w:val="-2"/>
        </w:rPr>
        <w:t xml:space="preserve"> </w:t>
      </w:r>
      <w:r w:rsidRPr="00995737">
        <w:t>las</w:t>
      </w:r>
      <w:r w:rsidRPr="00995737">
        <w:rPr>
          <w:spacing w:val="-2"/>
        </w:rPr>
        <w:t xml:space="preserve"> </w:t>
      </w:r>
      <w:r w:rsidRPr="00995737">
        <w:t>familias</w:t>
      </w:r>
      <w:r w:rsidRPr="00995737">
        <w:rPr>
          <w:spacing w:val="-2"/>
        </w:rPr>
        <w:t xml:space="preserve"> </w:t>
      </w:r>
      <w:r w:rsidRPr="00995737">
        <w:t>campesinas</w:t>
      </w:r>
      <w:r w:rsidRPr="00995737">
        <w:rPr>
          <w:spacing w:val="-1"/>
        </w:rPr>
        <w:t xml:space="preserve"> </w:t>
      </w:r>
      <w:r w:rsidRPr="00995737">
        <w:rPr>
          <w:spacing w:val="-2"/>
        </w:rPr>
        <w:t>cocaleras</w:t>
      </w:r>
    </w:p>
    <w:p w:rsidR="003804AC" w:rsidRDefault="00AF18A5" w:rsidP="00502B4C">
      <w:r>
        <w:t>Las marchas cocaleras desarrolladas a mediados de 1996 en el país reflejaron la criminalización de las familias campesinas cocaleras. Esta se constituyó en la primera movilización campesina que reivindicaba medidas de desarrollo para tener alternativas a la coca,</w:t>
      </w:r>
      <w:r>
        <w:rPr>
          <w:spacing w:val="-8"/>
        </w:rPr>
        <w:t xml:space="preserve"> </w:t>
      </w:r>
      <w:r>
        <w:t>para</w:t>
      </w:r>
      <w:r>
        <w:rPr>
          <w:spacing w:val="-8"/>
        </w:rPr>
        <w:t xml:space="preserve"> </w:t>
      </w:r>
      <w:r>
        <w:t>detener</w:t>
      </w:r>
      <w:r>
        <w:rPr>
          <w:spacing w:val="-8"/>
        </w:rPr>
        <w:t xml:space="preserve"> </w:t>
      </w:r>
      <w:r>
        <w:t>las</w:t>
      </w:r>
      <w:r>
        <w:rPr>
          <w:spacing w:val="-8"/>
        </w:rPr>
        <w:t xml:space="preserve"> </w:t>
      </w:r>
      <w:r>
        <w:t>aspersiones</w:t>
      </w:r>
      <w:r>
        <w:rPr>
          <w:spacing w:val="-8"/>
        </w:rPr>
        <w:t xml:space="preserve"> </w:t>
      </w:r>
      <w:r>
        <w:t>aéreas</w:t>
      </w:r>
      <w:r>
        <w:rPr>
          <w:spacing w:val="-8"/>
        </w:rPr>
        <w:t xml:space="preserve"> </w:t>
      </w:r>
      <w:r>
        <w:t>y</w:t>
      </w:r>
      <w:r>
        <w:rPr>
          <w:spacing w:val="-9"/>
        </w:rPr>
        <w:t xml:space="preserve"> </w:t>
      </w:r>
      <w:r>
        <w:t>reflejaron</w:t>
      </w:r>
      <w:r>
        <w:rPr>
          <w:spacing w:val="-8"/>
        </w:rPr>
        <w:t xml:space="preserve"> </w:t>
      </w:r>
      <w:r>
        <w:t>el</w:t>
      </w:r>
      <w:r>
        <w:rPr>
          <w:spacing w:val="-9"/>
        </w:rPr>
        <w:t xml:space="preserve"> </w:t>
      </w:r>
      <w:r>
        <w:t>surgimiento</w:t>
      </w:r>
      <w:r>
        <w:rPr>
          <w:spacing w:val="-8"/>
        </w:rPr>
        <w:t xml:space="preserve"> </w:t>
      </w:r>
      <w:r>
        <w:t>de</w:t>
      </w:r>
      <w:r>
        <w:rPr>
          <w:spacing w:val="-8"/>
        </w:rPr>
        <w:t xml:space="preserve"> </w:t>
      </w:r>
      <w:r>
        <w:t>este</w:t>
      </w:r>
      <w:r>
        <w:rPr>
          <w:spacing w:val="-8"/>
        </w:rPr>
        <w:t xml:space="preserve"> </w:t>
      </w:r>
      <w:r>
        <w:t>campesino</w:t>
      </w:r>
      <w:r>
        <w:rPr>
          <w:spacing w:val="-8"/>
        </w:rPr>
        <w:t xml:space="preserve"> </w:t>
      </w:r>
      <w:r>
        <w:t>como un sujeto político en disputa en el conflicto armado y que reivindicaba una negociación con el Estado.</w:t>
      </w:r>
    </w:p>
    <w:p w:rsidR="003804AC" w:rsidRDefault="00AF18A5" w:rsidP="00502B4C">
      <w:r>
        <w:t>Sin embargo, algunas fuerzas del Estado estigmatizaron la movilización. En el debate de la Cámara de Representantes en septiembre de 1996 sobre las movilizaciones, el general Ospina Valle –comandante de la Brigada Móvil n.º 2 ubicada en Guaviare– señaló a las FARC-EP de ser los motivadores, organizadores y cabeza de las marchas</w:t>
      </w:r>
      <w:r w:rsidR="00502B4C">
        <w:rPr>
          <w:rStyle w:val="Refdenotaalpie"/>
        </w:rPr>
        <w:footnoteReference w:id="703"/>
      </w:r>
      <w:r>
        <w:t xml:space="preserve">. A su vez, el </w:t>
      </w:r>
      <w:r>
        <w:lastRenderedPageBreak/>
        <w:t>director</w:t>
      </w:r>
      <w:r>
        <w:rPr>
          <w:spacing w:val="-1"/>
        </w:rPr>
        <w:t xml:space="preserve"> </w:t>
      </w:r>
      <w:r>
        <w:t>de</w:t>
      </w:r>
      <w:r>
        <w:rPr>
          <w:spacing w:val="-1"/>
        </w:rPr>
        <w:t xml:space="preserve"> </w:t>
      </w:r>
      <w:r>
        <w:t>la Policía Antinarcóticos,</w:t>
      </w:r>
      <w:r>
        <w:rPr>
          <w:spacing w:val="-2"/>
        </w:rPr>
        <w:t xml:space="preserve"> </w:t>
      </w:r>
      <w:r>
        <w:t>coronel Leonardo Gallego, dijo</w:t>
      </w:r>
      <w:r>
        <w:rPr>
          <w:spacing w:val="-1"/>
        </w:rPr>
        <w:t xml:space="preserve"> </w:t>
      </w:r>
      <w:r>
        <w:t>que</w:t>
      </w:r>
      <w:r>
        <w:rPr>
          <w:spacing w:val="-1"/>
        </w:rPr>
        <w:t xml:space="preserve"> </w:t>
      </w:r>
      <w:r>
        <w:t xml:space="preserve">los campesinos </w:t>
      </w:r>
      <w:r>
        <w:rPr>
          <w:spacing w:val="-5"/>
        </w:rPr>
        <w:t>no</w:t>
      </w:r>
      <w:bookmarkStart w:id="882" w:name="_bookmark769"/>
      <w:bookmarkStart w:id="883" w:name="_bookmark770"/>
      <w:bookmarkEnd w:id="882"/>
      <w:bookmarkEnd w:id="883"/>
      <w:r w:rsidR="00502B4C">
        <w:rPr>
          <w:spacing w:val="-5"/>
        </w:rPr>
        <w:t xml:space="preserve"> </w:t>
      </w:r>
      <w:r>
        <w:t>estaban preocupados por el efecto de las fumigaciones y negó los impactos del glifosato</w:t>
      </w:r>
      <w:r w:rsidR="00502B4C">
        <w:rPr>
          <w:rStyle w:val="Refdenotaalpie"/>
        </w:rPr>
        <w:footnoteReference w:id="704"/>
      </w:r>
      <w:r>
        <w:t>. Diversos relatos de comandantes de las FARC-EP a la Comisión reafirman su papel en las marchas, pero los campesinos entrevistados matizan estas afirmaciones al mostrar sus discusiones</w:t>
      </w:r>
      <w:r>
        <w:rPr>
          <w:spacing w:val="-15"/>
        </w:rPr>
        <w:t xml:space="preserve"> </w:t>
      </w:r>
      <w:r>
        <w:t>con</w:t>
      </w:r>
      <w:r>
        <w:rPr>
          <w:spacing w:val="-15"/>
        </w:rPr>
        <w:t xml:space="preserve"> </w:t>
      </w:r>
      <w:r>
        <w:t>esta</w:t>
      </w:r>
      <w:r>
        <w:rPr>
          <w:spacing w:val="-15"/>
        </w:rPr>
        <w:t xml:space="preserve"> </w:t>
      </w:r>
      <w:r>
        <w:t>guerrilla,</w:t>
      </w:r>
      <w:r>
        <w:rPr>
          <w:spacing w:val="-15"/>
        </w:rPr>
        <w:t xml:space="preserve"> </w:t>
      </w:r>
      <w:r>
        <w:t>sin</w:t>
      </w:r>
      <w:r>
        <w:rPr>
          <w:spacing w:val="-15"/>
        </w:rPr>
        <w:t xml:space="preserve"> </w:t>
      </w:r>
      <w:r>
        <w:t>negar</w:t>
      </w:r>
      <w:r>
        <w:rPr>
          <w:spacing w:val="-14"/>
        </w:rPr>
        <w:t xml:space="preserve"> </w:t>
      </w:r>
      <w:r>
        <w:t>que</w:t>
      </w:r>
      <w:r>
        <w:rPr>
          <w:spacing w:val="-15"/>
        </w:rPr>
        <w:t xml:space="preserve"> </w:t>
      </w:r>
      <w:r>
        <w:t>su</w:t>
      </w:r>
      <w:r>
        <w:rPr>
          <w:spacing w:val="-15"/>
        </w:rPr>
        <w:t xml:space="preserve"> </w:t>
      </w:r>
      <w:r>
        <w:t>influencia</w:t>
      </w:r>
      <w:r>
        <w:rPr>
          <w:spacing w:val="-15"/>
        </w:rPr>
        <w:t xml:space="preserve"> </w:t>
      </w:r>
      <w:r>
        <w:t>fue</w:t>
      </w:r>
      <w:r>
        <w:rPr>
          <w:spacing w:val="-15"/>
        </w:rPr>
        <w:t xml:space="preserve"> </w:t>
      </w:r>
      <w:r>
        <w:t>importante</w:t>
      </w:r>
      <w:r w:rsidR="00502B4C">
        <w:rPr>
          <w:rStyle w:val="Refdenotaalpie"/>
        </w:rPr>
        <w:footnoteReference w:id="705"/>
      </w:r>
      <w:r>
        <w:t>.</w:t>
      </w:r>
      <w:r>
        <w:rPr>
          <w:spacing w:val="-15"/>
        </w:rPr>
        <w:t xml:space="preserve"> </w:t>
      </w:r>
      <w:r>
        <w:t>En</w:t>
      </w:r>
      <w:r>
        <w:rPr>
          <w:spacing w:val="-14"/>
        </w:rPr>
        <w:t xml:space="preserve"> </w:t>
      </w:r>
      <w:r>
        <w:t>una</w:t>
      </w:r>
      <w:r>
        <w:rPr>
          <w:spacing w:val="-14"/>
        </w:rPr>
        <w:t xml:space="preserve"> </w:t>
      </w:r>
      <w:r>
        <w:t>audiencia en la Cámara de Representantes en 1996, tras las marchas campesinas, el comisionado Alfredo Molano (q. e. p. d.) defendió que «ese movimiento en realidad responde a aspiraciones legítimas, no importa si son legales o ilegales en este momento, pero son aspiraciones</w:t>
      </w:r>
      <w:r>
        <w:rPr>
          <w:spacing w:val="-9"/>
        </w:rPr>
        <w:t xml:space="preserve"> </w:t>
      </w:r>
      <w:r>
        <w:t>e</w:t>
      </w:r>
      <w:r>
        <w:rPr>
          <w:spacing w:val="-8"/>
        </w:rPr>
        <w:t xml:space="preserve"> </w:t>
      </w:r>
      <w:r>
        <w:t>intereses</w:t>
      </w:r>
      <w:r>
        <w:rPr>
          <w:spacing w:val="-9"/>
        </w:rPr>
        <w:t xml:space="preserve"> </w:t>
      </w:r>
      <w:r>
        <w:t>legítimos</w:t>
      </w:r>
      <w:r>
        <w:rPr>
          <w:spacing w:val="-9"/>
        </w:rPr>
        <w:t xml:space="preserve"> </w:t>
      </w:r>
      <w:r>
        <w:t>de</w:t>
      </w:r>
      <w:r>
        <w:rPr>
          <w:spacing w:val="-9"/>
        </w:rPr>
        <w:t xml:space="preserve"> </w:t>
      </w:r>
      <w:r>
        <w:t>la</w:t>
      </w:r>
      <w:r>
        <w:rPr>
          <w:spacing w:val="-8"/>
        </w:rPr>
        <w:t xml:space="preserve"> </w:t>
      </w:r>
      <w:r>
        <w:t>gente.</w:t>
      </w:r>
      <w:r>
        <w:rPr>
          <w:spacing w:val="-8"/>
        </w:rPr>
        <w:t xml:space="preserve"> </w:t>
      </w:r>
      <w:r>
        <w:t>La</w:t>
      </w:r>
      <w:r>
        <w:rPr>
          <w:spacing w:val="-9"/>
        </w:rPr>
        <w:t xml:space="preserve"> </w:t>
      </w:r>
      <w:r>
        <w:t>guerrilla</w:t>
      </w:r>
      <w:r>
        <w:rPr>
          <w:spacing w:val="-8"/>
        </w:rPr>
        <w:t xml:space="preserve"> </w:t>
      </w:r>
      <w:r>
        <w:t>está</w:t>
      </w:r>
      <w:r>
        <w:rPr>
          <w:spacing w:val="-8"/>
        </w:rPr>
        <w:t xml:space="preserve"> </w:t>
      </w:r>
      <w:r>
        <w:t>ahí,</w:t>
      </w:r>
      <w:r>
        <w:rPr>
          <w:spacing w:val="-9"/>
        </w:rPr>
        <w:t xml:space="preserve"> </w:t>
      </w:r>
      <w:r>
        <w:t>la</w:t>
      </w:r>
      <w:r>
        <w:rPr>
          <w:spacing w:val="-9"/>
        </w:rPr>
        <w:t xml:space="preserve"> </w:t>
      </w:r>
      <w:r>
        <w:t>guerrilla</w:t>
      </w:r>
      <w:r>
        <w:rPr>
          <w:spacing w:val="-9"/>
        </w:rPr>
        <w:t xml:space="preserve"> </w:t>
      </w:r>
      <w:r>
        <w:t>apoya,</w:t>
      </w:r>
      <w:r>
        <w:rPr>
          <w:spacing w:val="-9"/>
        </w:rPr>
        <w:t xml:space="preserve"> </w:t>
      </w:r>
      <w:r>
        <w:t>pero</w:t>
      </w:r>
      <w:r>
        <w:rPr>
          <w:spacing w:val="-8"/>
        </w:rPr>
        <w:t xml:space="preserve"> </w:t>
      </w:r>
      <w:r>
        <w:t>la guerrilla no se puede oponer tampoco. Si la gente sale a las manifestaciones, estas son incapaces de oponerse, como fue incapaz de oponerse al cultivo de la coca»</w:t>
      </w:r>
      <w:r w:rsidR="00502B4C">
        <w:rPr>
          <w:rStyle w:val="Refdenotaalpie"/>
        </w:rPr>
        <w:footnoteReference w:id="706"/>
      </w:r>
      <w:r>
        <w:t>.</w:t>
      </w:r>
    </w:p>
    <w:p w:rsidR="003804AC" w:rsidRDefault="00AF18A5" w:rsidP="00502B4C">
      <w:r>
        <w:t>Las Zonas Especiales de Orden Público se convirtieron en otra propuesta del modelo de administración</w:t>
      </w:r>
      <w:r>
        <w:rPr>
          <w:spacing w:val="-11"/>
        </w:rPr>
        <w:t xml:space="preserve"> </w:t>
      </w:r>
      <w:r>
        <w:t>militar</w:t>
      </w:r>
      <w:r>
        <w:rPr>
          <w:spacing w:val="-10"/>
        </w:rPr>
        <w:t xml:space="preserve"> </w:t>
      </w:r>
      <w:r>
        <w:t>de</w:t>
      </w:r>
      <w:r>
        <w:rPr>
          <w:spacing w:val="-12"/>
        </w:rPr>
        <w:t xml:space="preserve"> </w:t>
      </w:r>
      <w:r>
        <w:t>territorios</w:t>
      </w:r>
      <w:r>
        <w:rPr>
          <w:spacing w:val="-12"/>
        </w:rPr>
        <w:t xml:space="preserve"> </w:t>
      </w:r>
      <w:r>
        <w:t>considerados</w:t>
      </w:r>
      <w:r>
        <w:rPr>
          <w:spacing w:val="-12"/>
        </w:rPr>
        <w:t xml:space="preserve"> </w:t>
      </w:r>
      <w:r>
        <w:t>estratégicos</w:t>
      </w:r>
      <w:r>
        <w:rPr>
          <w:spacing w:val="-12"/>
        </w:rPr>
        <w:t xml:space="preserve"> </w:t>
      </w:r>
      <w:r>
        <w:t>en</w:t>
      </w:r>
      <w:r>
        <w:rPr>
          <w:spacing w:val="-11"/>
        </w:rPr>
        <w:t xml:space="preserve"> </w:t>
      </w:r>
      <w:r>
        <w:t>el</w:t>
      </w:r>
      <w:r>
        <w:rPr>
          <w:spacing w:val="-10"/>
        </w:rPr>
        <w:t xml:space="preserve"> </w:t>
      </w:r>
      <w:r>
        <w:t>conflicto</w:t>
      </w:r>
      <w:r>
        <w:rPr>
          <w:spacing w:val="-11"/>
        </w:rPr>
        <w:t xml:space="preserve"> </w:t>
      </w:r>
      <w:r>
        <w:t>armado,</w:t>
      </w:r>
      <w:r>
        <w:rPr>
          <w:spacing w:val="-11"/>
        </w:rPr>
        <w:t xml:space="preserve"> </w:t>
      </w:r>
      <w:r>
        <w:t>debido a que se veían como fortines sociales y económicos de la guerrilla. No obstante, en el gobierno</w:t>
      </w:r>
      <w:r>
        <w:rPr>
          <w:spacing w:val="-15"/>
        </w:rPr>
        <w:t xml:space="preserve"> </w:t>
      </w:r>
      <w:r>
        <w:t>de</w:t>
      </w:r>
      <w:r>
        <w:rPr>
          <w:spacing w:val="-15"/>
        </w:rPr>
        <w:t xml:space="preserve"> </w:t>
      </w:r>
      <w:r>
        <w:t>Ernesto</w:t>
      </w:r>
      <w:r>
        <w:rPr>
          <w:spacing w:val="-14"/>
        </w:rPr>
        <w:t xml:space="preserve"> </w:t>
      </w:r>
      <w:r>
        <w:t>Samper</w:t>
      </w:r>
      <w:r>
        <w:rPr>
          <w:spacing w:val="-14"/>
        </w:rPr>
        <w:t xml:space="preserve"> </w:t>
      </w:r>
      <w:r>
        <w:t>hubo</w:t>
      </w:r>
      <w:r>
        <w:rPr>
          <w:spacing w:val="-14"/>
        </w:rPr>
        <w:t xml:space="preserve"> </w:t>
      </w:r>
      <w:r>
        <w:t>opiniones</w:t>
      </w:r>
      <w:r>
        <w:rPr>
          <w:spacing w:val="-14"/>
        </w:rPr>
        <w:t xml:space="preserve"> </w:t>
      </w:r>
      <w:r>
        <w:t>discordantes</w:t>
      </w:r>
      <w:r>
        <w:rPr>
          <w:spacing w:val="-15"/>
        </w:rPr>
        <w:t xml:space="preserve"> </w:t>
      </w:r>
      <w:r>
        <w:t>con</w:t>
      </w:r>
      <w:r>
        <w:rPr>
          <w:spacing w:val="-14"/>
        </w:rPr>
        <w:t xml:space="preserve"> </w:t>
      </w:r>
      <w:r>
        <w:t>las</w:t>
      </w:r>
      <w:r>
        <w:rPr>
          <w:spacing w:val="-14"/>
        </w:rPr>
        <w:t xml:space="preserve"> </w:t>
      </w:r>
      <w:r>
        <w:t>miradas</w:t>
      </w:r>
      <w:r>
        <w:rPr>
          <w:spacing w:val="-15"/>
        </w:rPr>
        <w:t xml:space="preserve"> </w:t>
      </w:r>
      <w:r>
        <w:t>militaristas.</w:t>
      </w:r>
      <w:r>
        <w:rPr>
          <w:spacing w:val="-15"/>
        </w:rPr>
        <w:t xml:space="preserve"> </w:t>
      </w:r>
      <w:r>
        <w:t>Varios funcionarios, como Horacio Serpa, ministro del Interior para ese entonces, o Eduardo Díaz, que</w:t>
      </w:r>
      <w:r>
        <w:rPr>
          <w:spacing w:val="-9"/>
        </w:rPr>
        <w:t xml:space="preserve"> </w:t>
      </w:r>
      <w:r>
        <w:t>fue</w:t>
      </w:r>
      <w:r>
        <w:rPr>
          <w:spacing w:val="-9"/>
        </w:rPr>
        <w:t xml:space="preserve"> </w:t>
      </w:r>
      <w:r>
        <w:t>ministro</w:t>
      </w:r>
      <w:r>
        <w:rPr>
          <w:spacing w:val="-10"/>
        </w:rPr>
        <w:t xml:space="preserve"> </w:t>
      </w:r>
      <w:r>
        <w:t>de</w:t>
      </w:r>
      <w:r>
        <w:rPr>
          <w:spacing w:val="-9"/>
        </w:rPr>
        <w:t xml:space="preserve"> </w:t>
      </w:r>
      <w:r>
        <w:t>salud,</w:t>
      </w:r>
      <w:r>
        <w:rPr>
          <w:spacing w:val="-10"/>
        </w:rPr>
        <w:t xml:space="preserve"> </w:t>
      </w:r>
      <w:r>
        <w:t>buscaron</w:t>
      </w:r>
      <w:r>
        <w:rPr>
          <w:spacing w:val="-10"/>
        </w:rPr>
        <w:t xml:space="preserve"> </w:t>
      </w:r>
      <w:r>
        <w:t>mediar</w:t>
      </w:r>
      <w:r>
        <w:rPr>
          <w:spacing w:val="-9"/>
        </w:rPr>
        <w:t xml:space="preserve"> </w:t>
      </w:r>
      <w:r>
        <w:lastRenderedPageBreak/>
        <w:t>políticamente</w:t>
      </w:r>
      <w:r>
        <w:rPr>
          <w:spacing w:val="-9"/>
        </w:rPr>
        <w:t xml:space="preserve"> </w:t>
      </w:r>
      <w:r>
        <w:t>y</w:t>
      </w:r>
      <w:r>
        <w:rPr>
          <w:spacing w:val="-10"/>
        </w:rPr>
        <w:t xml:space="preserve"> </w:t>
      </w:r>
      <w:r>
        <w:t>no</w:t>
      </w:r>
      <w:r>
        <w:rPr>
          <w:spacing w:val="-8"/>
        </w:rPr>
        <w:t xml:space="preserve"> </w:t>
      </w:r>
      <w:r>
        <w:t>replicar</w:t>
      </w:r>
      <w:r>
        <w:rPr>
          <w:spacing w:val="-9"/>
        </w:rPr>
        <w:t xml:space="preserve"> </w:t>
      </w:r>
      <w:r>
        <w:t>dichas</w:t>
      </w:r>
      <w:r>
        <w:rPr>
          <w:spacing w:val="-9"/>
        </w:rPr>
        <w:t xml:space="preserve"> </w:t>
      </w:r>
      <w:r>
        <w:t>fórmulas.</w:t>
      </w:r>
      <w:r>
        <w:rPr>
          <w:spacing w:val="-11"/>
        </w:rPr>
        <w:t xml:space="preserve"> </w:t>
      </w:r>
      <w:r>
        <w:t>Esas múltiples caras del Estado influyeron en los resultados de las marchas y, en los distintos lugares</w:t>
      </w:r>
      <w:r>
        <w:rPr>
          <w:spacing w:val="-11"/>
        </w:rPr>
        <w:t xml:space="preserve"> </w:t>
      </w:r>
      <w:r>
        <w:t>de</w:t>
      </w:r>
      <w:r>
        <w:rPr>
          <w:spacing w:val="-11"/>
        </w:rPr>
        <w:t xml:space="preserve"> </w:t>
      </w:r>
      <w:r>
        <w:t>movilización,</w:t>
      </w:r>
      <w:r>
        <w:rPr>
          <w:spacing w:val="-12"/>
        </w:rPr>
        <w:t xml:space="preserve"> </w:t>
      </w:r>
      <w:r>
        <w:t>llegaron</w:t>
      </w:r>
      <w:r>
        <w:rPr>
          <w:spacing w:val="-11"/>
        </w:rPr>
        <w:t xml:space="preserve"> </w:t>
      </w:r>
      <w:r>
        <w:t>a</w:t>
      </w:r>
      <w:r>
        <w:rPr>
          <w:spacing w:val="-11"/>
        </w:rPr>
        <w:t xml:space="preserve"> </w:t>
      </w:r>
      <w:r>
        <w:t>compromisos</w:t>
      </w:r>
      <w:r>
        <w:rPr>
          <w:spacing w:val="-12"/>
        </w:rPr>
        <w:t xml:space="preserve"> </w:t>
      </w:r>
      <w:r>
        <w:t>diversos.</w:t>
      </w:r>
      <w:r>
        <w:rPr>
          <w:spacing w:val="-11"/>
        </w:rPr>
        <w:t xml:space="preserve"> </w:t>
      </w:r>
      <w:r>
        <w:t>En</w:t>
      </w:r>
      <w:r>
        <w:rPr>
          <w:spacing w:val="-12"/>
        </w:rPr>
        <w:t xml:space="preserve"> </w:t>
      </w:r>
      <w:r>
        <w:t>algunos,</w:t>
      </w:r>
      <w:r>
        <w:rPr>
          <w:spacing w:val="-11"/>
        </w:rPr>
        <w:t xml:space="preserve"> </w:t>
      </w:r>
      <w:r>
        <w:t>se</w:t>
      </w:r>
      <w:r>
        <w:rPr>
          <w:spacing w:val="-12"/>
        </w:rPr>
        <w:t xml:space="preserve"> </w:t>
      </w:r>
      <w:r>
        <w:t>promovió</w:t>
      </w:r>
      <w:r>
        <w:rPr>
          <w:spacing w:val="-12"/>
        </w:rPr>
        <w:t xml:space="preserve"> </w:t>
      </w:r>
      <w:r>
        <w:t>la</w:t>
      </w:r>
      <w:r>
        <w:rPr>
          <w:spacing w:val="-12"/>
        </w:rPr>
        <w:t xml:space="preserve"> </w:t>
      </w:r>
      <w:r>
        <w:t>salida política</w:t>
      </w:r>
      <w:r>
        <w:rPr>
          <w:spacing w:val="-3"/>
        </w:rPr>
        <w:t xml:space="preserve"> </w:t>
      </w:r>
      <w:r>
        <w:t>y</w:t>
      </w:r>
      <w:r>
        <w:rPr>
          <w:spacing w:val="-3"/>
        </w:rPr>
        <w:t xml:space="preserve"> </w:t>
      </w:r>
      <w:r>
        <w:t>hubo</w:t>
      </w:r>
      <w:r>
        <w:rPr>
          <w:spacing w:val="-3"/>
        </w:rPr>
        <w:t xml:space="preserve"> </w:t>
      </w:r>
      <w:r>
        <w:t>avances</w:t>
      </w:r>
      <w:r>
        <w:rPr>
          <w:spacing w:val="-3"/>
        </w:rPr>
        <w:t xml:space="preserve"> </w:t>
      </w:r>
      <w:r>
        <w:t>en</w:t>
      </w:r>
      <w:r>
        <w:rPr>
          <w:spacing w:val="-3"/>
        </w:rPr>
        <w:t xml:space="preserve"> </w:t>
      </w:r>
      <w:r>
        <w:t>términos</w:t>
      </w:r>
      <w:r>
        <w:rPr>
          <w:spacing w:val="-3"/>
        </w:rPr>
        <w:t xml:space="preserve"> </w:t>
      </w:r>
      <w:r>
        <w:t>de</w:t>
      </w:r>
      <w:r>
        <w:rPr>
          <w:spacing w:val="-3"/>
        </w:rPr>
        <w:t xml:space="preserve"> </w:t>
      </w:r>
      <w:r>
        <w:t>inversión,</w:t>
      </w:r>
      <w:r>
        <w:rPr>
          <w:spacing w:val="-3"/>
        </w:rPr>
        <w:t xml:space="preserve"> </w:t>
      </w:r>
      <w:r>
        <w:t>pero</w:t>
      </w:r>
      <w:r>
        <w:rPr>
          <w:spacing w:val="-3"/>
        </w:rPr>
        <w:t xml:space="preserve"> </w:t>
      </w:r>
      <w:r>
        <w:t>en</w:t>
      </w:r>
      <w:r>
        <w:rPr>
          <w:spacing w:val="-3"/>
        </w:rPr>
        <w:t xml:space="preserve"> </w:t>
      </w:r>
      <w:r>
        <w:t>otros,</w:t>
      </w:r>
      <w:r>
        <w:rPr>
          <w:spacing w:val="-3"/>
        </w:rPr>
        <w:t xml:space="preserve"> </w:t>
      </w:r>
      <w:r>
        <w:t>como</w:t>
      </w:r>
      <w:r>
        <w:rPr>
          <w:spacing w:val="-3"/>
        </w:rPr>
        <w:t xml:space="preserve"> </w:t>
      </w:r>
      <w:r>
        <w:t>Putumayo</w:t>
      </w:r>
      <w:r>
        <w:rPr>
          <w:spacing w:val="-3"/>
        </w:rPr>
        <w:t xml:space="preserve"> </w:t>
      </w:r>
      <w:r>
        <w:t>y</w:t>
      </w:r>
      <w:r>
        <w:rPr>
          <w:spacing w:val="-3"/>
        </w:rPr>
        <w:t xml:space="preserve"> </w:t>
      </w:r>
      <w:r>
        <w:t>Caquetá, la represión fue contundente</w:t>
      </w:r>
      <w:r w:rsidR="00502B4C">
        <w:rPr>
          <w:rStyle w:val="Refdenotaalpie"/>
        </w:rPr>
        <w:footnoteReference w:id="707"/>
      </w:r>
      <w:r>
        <w:t>.</w:t>
      </w:r>
    </w:p>
    <w:p w:rsidR="003804AC" w:rsidRDefault="00AF18A5" w:rsidP="00502B4C">
      <w:r>
        <w:t>Estas respuestas del Estado, que aumentó la militarización de las comunidades o la criminalización</w:t>
      </w:r>
      <w:r>
        <w:rPr>
          <w:spacing w:val="45"/>
        </w:rPr>
        <w:t xml:space="preserve"> </w:t>
      </w:r>
      <w:r>
        <w:t>de</w:t>
      </w:r>
      <w:r>
        <w:rPr>
          <w:spacing w:val="46"/>
        </w:rPr>
        <w:t xml:space="preserve"> </w:t>
      </w:r>
      <w:r>
        <w:t>la</w:t>
      </w:r>
      <w:r>
        <w:rPr>
          <w:spacing w:val="46"/>
        </w:rPr>
        <w:t xml:space="preserve"> </w:t>
      </w:r>
      <w:r>
        <w:t>protesta</w:t>
      </w:r>
      <w:r>
        <w:rPr>
          <w:spacing w:val="46"/>
        </w:rPr>
        <w:t xml:space="preserve"> </w:t>
      </w:r>
      <w:r>
        <w:t>social,</w:t>
      </w:r>
      <w:r>
        <w:rPr>
          <w:spacing w:val="45"/>
        </w:rPr>
        <w:t xml:space="preserve"> </w:t>
      </w:r>
      <w:r>
        <w:t>son</w:t>
      </w:r>
      <w:r>
        <w:rPr>
          <w:spacing w:val="45"/>
        </w:rPr>
        <w:t xml:space="preserve"> </w:t>
      </w:r>
      <w:r>
        <w:t>parte</w:t>
      </w:r>
      <w:r>
        <w:rPr>
          <w:spacing w:val="47"/>
        </w:rPr>
        <w:t xml:space="preserve"> </w:t>
      </w:r>
      <w:r>
        <w:t>de</w:t>
      </w:r>
      <w:r>
        <w:rPr>
          <w:spacing w:val="46"/>
        </w:rPr>
        <w:t xml:space="preserve"> </w:t>
      </w:r>
      <w:r>
        <w:t>las</w:t>
      </w:r>
      <w:r>
        <w:rPr>
          <w:spacing w:val="46"/>
        </w:rPr>
        <w:t xml:space="preserve"> </w:t>
      </w:r>
      <w:r>
        <w:t>tendencias</w:t>
      </w:r>
      <w:r>
        <w:rPr>
          <w:spacing w:val="46"/>
        </w:rPr>
        <w:t xml:space="preserve"> </w:t>
      </w:r>
      <w:r>
        <w:t>que</w:t>
      </w:r>
      <w:r>
        <w:rPr>
          <w:spacing w:val="46"/>
        </w:rPr>
        <w:t xml:space="preserve"> </w:t>
      </w:r>
      <w:r>
        <w:t>se</w:t>
      </w:r>
      <w:r>
        <w:rPr>
          <w:spacing w:val="46"/>
        </w:rPr>
        <w:t xml:space="preserve"> </w:t>
      </w:r>
      <w:r>
        <w:t>han</w:t>
      </w:r>
      <w:r>
        <w:rPr>
          <w:spacing w:val="45"/>
        </w:rPr>
        <w:t xml:space="preserve"> </w:t>
      </w:r>
      <w:r>
        <w:t>dado</w:t>
      </w:r>
      <w:r>
        <w:rPr>
          <w:spacing w:val="46"/>
        </w:rPr>
        <w:t xml:space="preserve"> </w:t>
      </w:r>
      <w:r>
        <w:rPr>
          <w:spacing w:val="-5"/>
        </w:rPr>
        <w:t>más</w:t>
      </w:r>
      <w:bookmarkStart w:id="884" w:name="_bookmark771"/>
      <w:bookmarkStart w:id="885" w:name="_bookmark772"/>
      <w:bookmarkStart w:id="886" w:name="_bookmark773"/>
      <w:bookmarkStart w:id="887" w:name="_bookmark774"/>
      <w:bookmarkEnd w:id="884"/>
      <w:bookmarkEnd w:id="885"/>
      <w:bookmarkEnd w:id="886"/>
      <w:bookmarkEnd w:id="887"/>
      <w:r w:rsidR="00502B4C">
        <w:t xml:space="preserve"> </w:t>
      </w:r>
      <w:r>
        <w:t>ampliamente</w:t>
      </w:r>
      <w:r>
        <w:rPr>
          <w:spacing w:val="-15"/>
        </w:rPr>
        <w:t xml:space="preserve"> </w:t>
      </w:r>
      <w:r>
        <w:t>en</w:t>
      </w:r>
      <w:r>
        <w:rPr>
          <w:spacing w:val="-15"/>
        </w:rPr>
        <w:t xml:space="preserve"> </w:t>
      </w:r>
      <w:r>
        <w:t>otros</w:t>
      </w:r>
      <w:r>
        <w:rPr>
          <w:spacing w:val="-15"/>
        </w:rPr>
        <w:t xml:space="preserve"> </w:t>
      </w:r>
      <w:r>
        <w:t>momentos</w:t>
      </w:r>
      <w:r>
        <w:rPr>
          <w:spacing w:val="-15"/>
        </w:rPr>
        <w:t xml:space="preserve"> </w:t>
      </w:r>
      <w:r>
        <w:t>y</w:t>
      </w:r>
      <w:r>
        <w:rPr>
          <w:spacing w:val="-15"/>
        </w:rPr>
        <w:t xml:space="preserve"> </w:t>
      </w:r>
      <w:r>
        <w:t>en</w:t>
      </w:r>
      <w:r>
        <w:rPr>
          <w:spacing w:val="-15"/>
        </w:rPr>
        <w:t xml:space="preserve"> </w:t>
      </w:r>
      <w:r>
        <w:t>otras</w:t>
      </w:r>
      <w:r>
        <w:rPr>
          <w:spacing w:val="-15"/>
        </w:rPr>
        <w:t xml:space="preserve"> </w:t>
      </w:r>
      <w:r>
        <w:t>regiones.</w:t>
      </w:r>
      <w:r>
        <w:rPr>
          <w:spacing w:val="-15"/>
        </w:rPr>
        <w:t xml:space="preserve"> </w:t>
      </w:r>
      <w:r>
        <w:t>Por</w:t>
      </w:r>
      <w:r>
        <w:rPr>
          <w:spacing w:val="-15"/>
        </w:rPr>
        <w:t xml:space="preserve"> </w:t>
      </w:r>
      <w:r>
        <w:t>ejemplo,</w:t>
      </w:r>
      <w:r>
        <w:rPr>
          <w:spacing w:val="-15"/>
        </w:rPr>
        <w:t xml:space="preserve"> </w:t>
      </w:r>
      <w:r>
        <w:t>estas</w:t>
      </w:r>
      <w:r>
        <w:rPr>
          <w:spacing w:val="-15"/>
        </w:rPr>
        <w:t xml:space="preserve"> </w:t>
      </w:r>
      <w:r>
        <w:t>percepciones</w:t>
      </w:r>
      <w:r>
        <w:rPr>
          <w:spacing w:val="-15"/>
        </w:rPr>
        <w:t xml:space="preserve"> </w:t>
      </w:r>
      <w:r>
        <w:t>también han sido recolectadas por la Comisión, en San Andrés y Providencia:</w:t>
      </w:r>
    </w:p>
    <w:p w:rsidR="003804AC" w:rsidRDefault="00AF18A5" w:rsidP="00502B4C">
      <w:r>
        <w:t xml:space="preserve">«El narcotráfico justifica la militarización de las islas. Si a alguien le ha servido el narcotráfico, precisamente es al Estado, para justificar su presencia cada vez más fuerte, independientemente de lo útil que eso resulte en las islas. Y para mí el tema de la militarización es muy claro y las islas se han ido militarizando cada vez más, ha ido aumentando el pie de fuerza, ha ido aumentando los espacios que ellos tienen, que les “pertenecen” entre comillas, donde tienen sus bases, donde tienen sus cuarteles y sus </w:t>
      </w:r>
      <w:r>
        <w:rPr>
          <w:spacing w:val="-2"/>
        </w:rPr>
        <w:t>vainas»</w:t>
      </w:r>
      <w:r w:rsidR="00502B4C">
        <w:rPr>
          <w:rStyle w:val="Refdenotaalpie"/>
          <w:spacing w:val="-2"/>
        </w:rPr>
        <w:footnoteReference w:id="708"/>
      </w:r>
      <w:r>
        <w:rPr>
          <w:spacing w:val="-2"/>
        </w:rPr>
        <w:t>.</w:t>
      </w:r>
    </w:p>
    <w:p w:rsidR="003804AC" w:rsidRDefault="00AF18A5" w:rsidP="00502B4C">
      <w:r>
        <w:t>La representación del conflicto como producto de una amenaza interna provocó la estigmatización de los campesinos cocaleros y justificó la represión de las marchas campesinas, el ataque a sus liderazgos y la normalización de las aspersiones con glifosato. Los</w:t>
      </w:r>
      <w:r>
        <w:rPr>
          <w:spacing w:val="-15"/>
        </w:rPr>
        <w:t xml:space="preserve"> </w:t>
      </w:r>
      <w:r>
        <w:t>líderes</w:t>
      </w:r>
      <w:r>
        <w:rPr>
          <w:spacing w:val="-14"/>
        </w:rPr>
        <w:t xml:space="preserve"> </w:t>
      </w:r>
      <w:r>
        <w:t>de</w:t>
      </w:r>
      <w:r>
        <w:rPr>
          <w:spacing w:val="-14"/>
        </w:rPr>
        <w:t xml:space="preserve"> </w:t>
      </w:r>
      <w:r>
        <w:t>esas</w:t>
      </w:r>
      <w:r>
        <w:rPr>
          <w:spacing w:val="-15"/>
        </w:rPr>
        <w:t xml:space="preserve"> </w:t>
      </w:r>
      <w:r>
        <w:t>marchas,</w:t>
      </w:r>
      <w:r>
        <w:rPr>
          <w:spacing w:val="-14"/>
        </w:rPr>
        <w:t xml:space="preserve"> </w:t>
      </w:r>
      <w:r>
        <w:t>incluso</w:t>
      </w:r>
      <w:r>
        <w:rPr>
          <w:spacing w:val="-15"/>
        </w:rPr>
        <w:t xml:space="preserve"> </w:t>
      </w:r>
      <w:r>
        <w:t>los</w:t>
      </w:r>
      <w:r>
        <w:rPr>
          <w:spacing w:val="-14"/>
        </w:rPr>
        <w:t xml:space="preserve"> </w:t>
      </w:r>
      <w:r>
        <w:t>mediadores,</w:t>
      </w:r>
      <w:r>
        <w:rPr>
          <w:spacing w:val="-14"/>
        </w:rPr>
        <w:t xml:space="preserve"> </w:t>
      </w:r>
      <w:r>
        <w:t>fueron</w:t>
      </w:r>
      <w:r>
        <w:rPr>
          <w:spacing w:val="-14"/>
        </w:rPr>
        <w:t xml:space="preserve"> </w:t>
      </w:r>
      <w:r>
        <w:t>posteriormente</w:t>
      </w:r>
      <w:r>
        <w:rPr>
          <w:spacing w:val="-15"/>
        </w:rPr>
        <w:t xml:space="preserve"> </w:t>
      </w:r>
      <w:r>
        <w:t>víctimas</w:t>
      </w:r>
      <w:r>
        <w:rPr>
          <w:spacing w:val="-14"/>
        </w:rPr>
        <w:t xml:space="preserve"> </w:t>
      </w:r>
      <w:r>
        <w:t>de</w:t>
      </w:r>
      <w:r>
        <w:rPr>
          <w:spacing w:val="-15"/>
        </w:rPr>
        <w:t xml:space="preserve"> </w:t>
      </w:r>
      <w:r>
        <w:lastRenderedPageBreak/>
        <w:t>todos los actores, en particular de los grupos paramilitares, aunque también de las FARC-EP</w:t>
      </w:r>
      <w:r w:rsidR="00502B4C">
        <w:rPr>
          <w:rStyle w:val="Refdenotaalpie"/>
        </w:rPr>
        <w:footnoteReference w:id="709"/>
      </w:r>
      <w:r>
        <w:t>.</w:t>
      </w:r>
    </w:p>
    <w:p w:rsidR="00502B4C" w:rsidRDefault="00502B4C" w:rsidP="00502B4C">
      <w:pPr>
        <w:pStyle w:val="Ttulo5"/>
      </w:pPr>
      <w:r>
        <w:t>El Plan Colombia</w:t>
      </w:r>
    </w:p>
    <w:p w:rsidR="00502B4C" w:rsidRDefault="00502B4C" w:rsidP="00502B4C">
      <w:r>
        <w:t>El gobierno de los Estados Unidos acordó con el gobierno colombiano, como estrategia fundamental para enfrentar a las FARC-EP, en el periodo de diálogos del Caguán en 1998, una profunda profesionalización del Ejército. Así lo planteó un memorando del Departamento de Estado en septiembre de 1998 en el que se asumía que era posible separar a la guerrilla de «su alianza con los narcotraficantes» y se hablaba de la «necesidad de modernizar y profesionalizar a los militares colombianos», asuntos que tendrían un costo económico considerable</w:t>
      </w:r>
      <w:r>
        <w:rPr>
          <w:rStyle w:val="Refdenotaalpie"/>
        </w:rPr>
        <w:footnoteReference w:id="710"/>
      </w:r>
      <w:r>
        <w:t>.</w:t>
      </w:r>
    </w:p>
    <w:p w:rsidR="003804AC" w:rsidRDefault="00AF18A5" w:rsidP="00502B4C">
      <w:bookmarkStart w:id="888" w:name="_bookmark775"/>
      <w:bookmarkStart w:id="889" w:name="_bookmark776"/>
      <w:bookmarkStart w:id="890" w:name="_bookmark777"/>
      <w:bookmarkEnd w:id="888"/>
      <w:bookmarkEnd w:id="889"/>
      <w:bookmarkEnd w:id="890"/>
      <w:r>
        <w:t>Para los Estados Unidos, el tema del narcotráfico rebasaba las fronteras de Colombia y por ello se debía diseñar un paquete de ayuda cívico-militar en el cual, sin embargo, las iniciativas</w:t>
      </w:r>
      <w:r>
        <w:rPr>
          <w:spacing w:val="-1"/>
        </w:rPr>
        <w:t xml:space="preserve"> </w:t>
      </w:r>
      <w:r>
        <w:t>de</w:t>
      </w:r>
      <w:r>
        <w:rPr>
          <w:spacing w:val="-1"/>
        </w:rPr>
        <w:t xml:space="preserve"> </w:t>
      </w:r>
      <w:r>
        <w:t>programas</w:t>
      </w:r>
      <w:r>
        <w:rPr>
          <w:spacing w:val="-2"/>
        </w:rPr>
        <w:t xml:space="preserve"> </w:t>
      </w:r>
      <w:r>
        <w:t>de</w:t>
      </w:r>
      <w:r>
        <w:rPr>
          <w:spacing w:val="-1"/>
        </w:rPr>
        <w:t xml:space="preserve"> </w:t>
      </w:r>
      <w:r>
        <w:t>entrenamiento</w:t>
      </w:r>
      <w:r>
        <w:rPr>
          <w:spacing w:val="-1"/>
        </w:rPr>
        <w:t xml:space="preserve"> </w:t>
      </w:r>
      <w:r>
        <w:t>militar</w:t>
      </w:r>
      <w:r>
        <w:rPr>
          <w:spacing w:val="-1"/>
        </w:rPr>
        <w:t xml:space="preserve"> </w:t>
      </w:r>
      <w:r>
        <w:t>existentes</w:t>
      </w:r>
      <w:r>
        <w:rPr>
          <w:spacing w:val="-2"/>
        </w:rPr>
        <w:t xml:space="preserve"> </w:t>
      </w:r>
      <w:r>
        <w:t>debían</w:t>
      </w:r>
      <w:r>
        <w:rPr>
          <w:spacing w:val="-1"/>
        </w:rPr>
        <w:t xml:space="preserve"> </w:t>
      </w:r>
      <w:r>
        <w:t>mantenerse</w:t>
      </w:r>
      <w:r>
        <w:rPr>
          <w:spacing w:val="-1"/>
        </w:rPr>
        <w:t xml:space="preserve"> </w:t>
      </w:r>
      <w:r>
        <w:t>alejadas</w:t>
      </w:r>
      <w:r>
        <w:rPr>
          <w:spacing w:val="-1"/>
        </w:rPr>
        <w:t xml:space="preserve"> </w:t>
      </w:r>
      <w:r>
        <w:t>del conflicto armado, pero a su vez era necesario que participaran en los esfuerzos de la «lucha contra las drogas»</w:t>
      </w:r>
      <w:r w:rsidR="00502B4C">
        <w:rPr>
          <w:rStyle w:val="Refdenotaalpie"/>
        </w:rPr>
        <w:footnoteReference w:id="711"/>
      </w:r>
      <w:r>
        <w:t>.</w:t>
      </w:r>
    </w:p>
    <w:p w:rsidR="003804AC" w:rsidRDefault="00AF18A5" w:rsidP="00502B4C">
      <w:r>
        <w:t>En</w:t>
      </w:r>
      <w:r>
        <w:rPr>
          <w:spacing w:val="-3"/>
        </w:rPr>
        <w:t xml:space="preserve"> </w:t>
      </w:r>
      <w:r>
        <w:t>los</w:t>
      </w:r>
      <w:r>
        <w:rPr>
          <w:spacing w:val="-3"/>
        </w:rPr>
        <w:t xml:space="preserve"> </w:t>
      </w:r>
      <w:r>
        <w:t>inicios</w:t>
      </w:r>
      <w:r>
        <w:rPr>
          <w:spacing w:val="-3"/>
        </w:rPr>
        <w:t xml:space="preserve"> </w:t>
      </w:r>
      <w:r>
        <w:t>del</w:t>
      </w:r>
      <w:r>
        <w:rPr>
          <w:spacing w:val="-3"/>
        </w:rPr>
        <w:t xml:space="preserve"> </w:t>
      </w:r>
      <w:r>
        <w:t>gobierno</w:t>
      </w:r>
      <w:r>
        <w:rPr>
          <w:spacing w:val="-3"/>
        </w:rPr>
        <w:t xml:space="preserve"> </w:t>
      </w:r>
      <w:r>
        <w:t>de</w:t>
      </w:r>
      <w:r>
        <w:rPr>
          <w:spacing w:val="-3"/>
        </w:rPr>
        <w:t xml:space="preserve"> </w:t>
      </w:r>
      <w:r>
        <w:t>Andrés</w:t>
      </w:r>
      <w:r>
        <w:rPr>
          <w:spacing w:val="-3"/>
        </w:rPr>
        <w:t xml:space="preserve"> </w:t>
      </w:r>
      <w:r>
        <w:t>Pastrana</w:t>
      </w:r>
      <w:r>
        <w:rPr>
          <w:spacing w:val="-4"/>
        </w:rPr>
        <w:t xml:space="preserve"> </w:t>
      </w:r>
      <w:r>
        <w:t>(1998-2002),</w:t>
      </w:r>
      <w:r>
        <w:rPr>
          <w:spacing w:val="-5"/>
        </w:rPr>
        <w:t xml:space="preserve"> </w:t>
      </w:r>
      <w:r>
        <w:t>una</w:t>
      </w:r>
      <w:r>
        <w:rPr>
          <w:spacing w:val="-3"/>
        </w:rPr>
        <w:t xml:space="preserve"> </w:t>
      </w:r>
      <w:r>
        <w:t>de</w:t>
      </w:r>
      <w:r>
        <w:rPr>
          <w:spacing w:val="-3"/>
        </w:rPr>
        <w:t xml:space="preserve"> </w:t>
      </w:r>
      <w:r>
        <w:t>las</w:t>
      </w:r>
      <w:r>
        <w:rPr>
          <w:spacing w:val="-3"/>
        </w:rPr>
        <w:t xml:space="preserve"> </w:t>
      </w:r>
      <w:r>
        <w:t xml:space="preserve">recomendaciones que hizo la Embajada estadounidense en Bogotá, momentos previos al inicio de la elaboración del Plan, era mantener la </w:t>
      </w:r>
      <w:r>
        <w:lastRenderedPageBreak/>
        <w:t>postura tradicional de apoyar las distintas iniciativas antinarcóticos en el territorio, pero evitando a toda costa involucrarse en el lucha antisubversiva, ya que, para ellos, no se podía afirmar que la lucha antisubversiva repercutiera</w:t>
      </w:r>
      <w:r>
        <w:rPr>
          <w:spacing w:val="-6"/>
        </w:rPr>
        <w:t xml:space="preserve"> </w:t>
      </w:r>
      <w:r>
        <w:t>de</w:t>
      </w:r>
      <w:r>
        <w:rPr>
          <w:spacing w:val="-5"/>
        </w:rPr>
        <w:t xml:space="preserve"> </w:t>
      </w:r>
      <w:r>
        <w:t>forma</w:t>
      </w:r>
      <w:r>
        <w:rPr>
          <w:spacing w:val="-5"/>
        </w:rPr>
        <w:t xml:space="preserve"> </w:t>
      </w:r>
      <w:r>
        <w:t>clara</w:t>
      </w:r>
      <w:r>
        <w:rPr>
          <w:spacing w:val="-5"/>
        </w:rPr>
        <w:t xml:space="preserve"> </w:t>
      </w:r>
      <w:r>
        <w:t>en</w:t>
      </w:r>
      <w:r>
        <w:rPr>
          <w:spacing w:val="-5"/>
        </w:rPr>
        <w:t xml:space="preserve"> </w:t>
      </w:r>
      <w:r>
        <w:t>la</w:t>
      </w:r>
      <w:r>
        <w:rPr>
          <w:spacing w:val="-5"/>
        </w:rPr>
        <w:t xml:space="preserve"> </w:t>
      </w:r>
      <w:r>
        <w:t>consecución</w:t>
      </w:r>
      <w:r>
        <w:rPr>
          <w:spacing w:val="-5"/>
        </w:rPr>
        <w:t xml:space="preserve"> </w:t>
      </w:r>
      <w:r>
        <w:t>de</w:t>
      </w:r>
      <w:r>
        <w:rPr>
          <w:spacing w:val="-5"/>
        </w:rPr>
        <w:t xml:space="preserve"> </w:t>
      </w:r>
      <w:r>
        <w:t>las</w:t>
      </w:r>
      <w:r>
        <w:rPr>
          <w:spacing w:val="-5"/>
        </w:rPr>
        <w:t xml:space="preserve"> </w:t>
      </w:r>
      <w:r>
        <w:t>metas</w:t>
      </w:r>
      <w:r>
        <w:rPr>
          <w:spacing w:val="-5"/>
        </w:rPr>
        <w:t xml:space="preserve"> </w:t>
      </w:r>
      <w:r>
        <w:t>planteadas</w:t>
      </w:r>
      <w:r>
        <w:rPr>
          <w:spacing w:val="-5"/>
        </w:rPr>
        <w:t xml:space="preserve"> </w:t>
      </w:r>
      <w:r>
        <w:t>en</w:t>
      </w:r>
      <w:r>
        <w:rPr>
          <w:spacing w:val="-5"/>
        </w:rPr>
        <w:t xml:space="preserve"> </w:t>
      </w:r>
      <w:r>
        <w:t>la</w:t>
      </w:r>
      <w:r>
        <w:rPr>
          <w:spacing w:val="-5"/>
        </w:rPr>
        <w:t xml:space="preserve"> </w:t>
      </w:r>
      <w:r>
        <w:t>«lucha</w:t>
      </w:r>
      <w:r>
        <w:rPr>
          <w:spacing w:val="-5"/>
        </w:rPr>
        <w:t xml:space="preserve"> </w:t>
      </w:r>
      <w:r>
        <w:t>contra</w:t>
      </w:r>
      <w:r>
        <w:rPr>
          <w:spacing w:val="-5"/>
        </w:rPr>
        <w:t xml:space="preserve"> </w:t>
      </w:r>
      <w:r>
        <w:t>las drogas»</w:t>
      </w:r>
      <w:r w:rsidR="00502B4C">
        <w:rPr>
          <w:rStyle w:val="Refdenotaalpie"/>
        </w:rPr>
        <w:footnoteReference w:id="712"/>
      </w:r>
      <w:r>
        <w:t xml:space="preserve">. El embajador William </w:t>
      </w:r>
      <w:proofErr w:type="spellStart"/>
      <w:r>
        <w:t>Brownfield</w:t>
      </w:r>
      <w:proofErr w:type="spellEnd"/>
      <w:r w:rsidR="00502B4C">
        <w:rPr>
          <w:rStyle w:val="Refdenotaalpie"/>
        </w:rPr>
        <w:footnoteReference w:id="713"/>
      </w:r>
      <w:r>
        <w:t xml:space="preserve"> insistió en la necesidad de no mezclar objetivos,</w:t>
      </w:r>
      <w:r>
        <w:rPr>
          <w:spacing w:val="-6"/>
        </w:rPr>
        <w:t xml:space="preserve"> </w:t>
      </w:r>
      <w:r>
        <w:t>buscando</w:t>
      </w:r>
      <w:r>
        <w:rPr>
          <w:spacing w:val="-6"/>
        </w:rPr>
        <w:t xml:space="preserve"> </w:t>
      </w:r>
      <w:r>
        <w:t>equilibrar</w:t>
      </w:r>
      <w:r>
        <w:rPr>
          <w:spacing w:val="-7"/>
        </w:rPr>
        <w:t xml:space="preserve"> </w:t>
      </w:r>
      <w:r>
        <w:t>la</w:t>
      </w:r>
      <w:r>
        <w:rPr>
          <w:spacing w:val="-7"/>
        </w:rPr>
        <w:t xml:space="preserve"> </w:t>
      </w:r>
      <w:r>
        <w:t>asistencia</w:t>
      </w:r>
      <w:r>
        <w:rPr>
          <w:spacing w:val="-6"/>
        </w:rPr>
        <w:t xml:space="preserve"> </w:t>
      </w:r>
      <w:r>
        <w:t>antidrogas</w:t>
      </w:r>
      <w:r>
        <w:rPr>
          <w:spacing w:val="-6"/>
        </w:rPr>
        <w:t xml:space="preserve"> </w:t>
      </w:r>
      <w:r>
        <w:t>«dura»</w:t>
      </w:r>
      <w:r>
        <w:rPr>
          <w:spacing w:val="-6"/>
        </w:rPr>
        <w:t xml:space="preserve"> </w:t>
      </w:r>
      <w:r>
        <w:t>con</w:t>
      </w:r>
      <w:r>
        <w:rPr>
          <w:spacing w:val="-6"/>
        </w:rPr>
        <w:t xml:space="preserve"> </w:t>
      </w:r>
      <w:r>
        <w:t>el</w:t>
      </w:r>
      <w:r>
        <w:rPr>
          <w:spacing w:val="-7"/>
        </w:rPr>
        <w:t xml:space="preserve"> </w:t>
      </w:r>
      <w:r>
        <w:t>apoyo</w:t>
      </w:r>
      <w:r>
        <w:rPr>
          <w:spacing w:val="-6"/>
        </w:rPr>
        <w:t xml:space="preserve"> </w:t>
      </w:r>
      <w:r>
        <w:t>«suave»</w:t>
      </w:r>
      <w:r>
        <w:rPr>
          <w:spacing w:val="-7"/>
        </w:rPr>
        <w:t xml:space="preserve"> </w:t>
      </w:r>
      <w:r>
        <w:t>como</w:t>
      </w:r>
      <w:r>
        <w:rPr>
          <w:spacing w:val="-6"/>
        </w:rPr>
        <w:t xml:space="preserve"> </w:t>
      </w:r>
      <w:r>
        <w:t>el del desarrollo alternativo</w:t>
      </w:r>
      <w:r w:rsidR="00502B4C">
        <w:rPr>
          <w:rStyle w:val="Refdenotaalpie"/>
        </w:rPr>
        <w:footnoteReference w:id="714"/>
      </w:r>
      <w:r>
        <w:t>.</w:t>
      </w:r>
    </w:p>
    <w:p w:rsidR="0011361F" w:rsidRDefault="00AF18A5" w:rsidP="00502B4C">
      <w:r>
        <w:t>En</w:t>
      </w:r>
      <w:r>
        <w:rPr>
          <w:spacing w:val="-6"/>
        </w:rPr>
        <w:t xml:space="preserve"> </w:t>
      </w:r>
      <w:r>
        <w:t>el</w:t>
      </w:r>
      <w:r>
        <w:rPr>
          <w:spacing w:val="-5"/>
        </w:rPr>
        <w:t xml:space="preserve"> </w:t>
      </w:r>
      <w:r>
        <w:t>plan</w:t>
      </w:r>
      <w:r>
        <w:rPr>
          <w:spacing w:val="-7"/>
        </w:rPr>
        <w:t xml:space="preserve"> </w:t>
      </w:r>
      <w:r>
        <w:t>original</w:t>
      </w:r>
      <w:r>
        <w:rPr>
          <w:spacing w:val="-5"/>
        </w:rPr>
        <w:t xml:space="preserve"> </w:t>
      </w:r>
      <w:r>
        <w:t>o</w:t>
      </w:r>
      <w:r>
        <w:rPr>
          <w:spacing w:val="-6"/>
        </w:rPr>
        <w:t xml:space="preserve"> </w:t>
      </w:r>
      <w:r>
        <w:t>primer</w:t>
      </w:r>
      <w:r>
        <w:rPr>
          <w:spacing w:val="-7"/>
        </w:rPr>
        <w:t xml:space="preserve"> </w:t>
      </w:r>
      <w:r>
        <w:t>borrador</w:t>
      </w:r>
      <w:r>
        <w:rPr>
          <w:spacing w:val="-5"/>
        </w:rPr>
        <w:t xml:space="preserve"> </w:t>
      </w:r>
      <w:r>
        <w:t>del</w:t>
      </w:r>
      <w:r>
        <w:rPr>
          <w:spacing w:val="-5"/>
        </w:rPr>
        <w:t xml:space="preserve"> </w:t>
      </w:r>
      <w:r>
        <w:t>Plan</w:t>
      </w:r>
      <w:r>
        <w:rPr>
          <w:spacing w:val="-7"/>
        </w:rPr>
        <w:t xml:space="preserve"> </w:t>
      </w:r>
      <w:r>
        <w:t>Colombia,</w:t>
      </w:r>
      <w:r>
        <w:rPr>
          <w:spacing w:val="-6"/>
        </w:rPr>
        <w:t xml:space="preserve"> </w:t>
      </w:r>
      <w:r>
        <w:t>el</w:t>
      </w:r>
      <w:r>
        <w:rPr>
          <w:spacing w:val="-7"/>
        </w:rPr>
        <w:t xml:space="preserve"> </w:t>
      </w:r>
      <w:r>
        <w:t>Putumayo</w:t>
      </w:r>
      <w:r>
        <w:rPr>
          <w:spacing w:val="-7"/>
        </w:rPr>
        <w:t xml:space="preserve"> </w:t>
      </w:r>
      <w:r>
        <w:t>era</w:t>
      </w:r>
      <w:r>
        <w:rPr>
          <w:spacing w:val="-6"/>
        </w:rPr>
        <w:t xml:space="preserve"> </w:t>
      </w:r>
      <w:r>
        <w:t>visto</w:t>
      </w:r>
      <w:r>
        <w:rPr>
          <w:spacing w:val="-6"/>
        </w:rPr>
        <w:t xml:space="preserve"> </w:t>
      </w:r>
      <w:r>
        <w:t>como</w:t>
      </w:r>
      <w:r>
        <w:rPr>
          <w:spacing w:val="-7"/>
        </w:rPr>
        <w:t xml:space="preserve"> </w:t>
      </w:r>
      <w:r>
        <w:t>una región-laboratorio desde la que, tras un primer año de experimentación, se debía llegar a un proceso de expansión de las políticas del Plan a otras regiones del país</w:t>
      </w:r>
      <w:r w:rsidR="00502B4C">
        <w:rPr>
          <w:rStyle w:val="Refdenotaalpie"/>
        </w:rPr>
        <w:footnoteReference w:id="715"/>
      </w:r>
      <w:r>
        <w:t>. Sin embargo, la aplicación</w:t>
      </w:r>
      <w:r>
        <w:rPr>
          <w:spacing w:val="-9"/>
        </w:rPr>
        <w:t xml:space="preserve"> </w:t>
      </w:r>
      <w:r>
        <w:t>del</w:t>
      </w:r>
      <w:r>
        <w:rPr>
          <w:spacing w:val="-9"/>
        </w:rPr>
        <w:t xml:space="preserve"> </w:t>
      </w:r>
      <w:r>
        <w:t>Plan</w:t>
      </w:r>
      <w:r>
        <w:rPr>
          <w:spacing w:val="-9"/>
        </w:rPr>
        <w:t xml:space="preserve"> </w:t>
      </w:r>
      <w:r>
        <w:t>se</w:t>
      </w:r>
      <w:r>
        <w:rPr>
          <w:spacing w:val="-9"/>
        </w:rPr>
        <w:t xml:space="preserve"> </w:t>
      </w:r>
      <w:r>
        <w:t>dio</w:t>
      </w:r>
      <w:r>
        <w:rPr>
          <w:spacing w:val="-9"/>
        </w:rPr>
        <w:t xml:space="preserve"> </w:t>
      </w:r>
      <w:r>
        <w:t>al</w:t>
      </w:r>
      <w:r>
        <w:rPr>
          <w:spacing w:val="-9"/>
        </w:rPr>
        <w:t xml:space="preserve"> </w:t>
      </w:r>
      <w:r>
        <w:t>mismo</w:t>
      </w:r>
      <w:r>
        <w:rPr>
          <w:spacing w:val="-9"/>
        </w:rPr>
        <w:t xml:space="preserve"> </w:t>
      </w:r>
      <w:r>
        <w:t>tiempo</w:t>
      </w:r>
      <w:r>
        <w:rPr>
          <w:spacing w:val="-9"/>
        </w:rPr>
        <w:t xml:space="preserve"> </w:t>
      </w:r>
      <w:r>
        <w:t>que</w:t>
      </w:r>
      <w:r>
        <w:rPr>
          <w:spacing w:val="-9"/>
        </w:rPr>
        <w:t xml:space="preserve"> </w:t>
      </w:r>
      <w:r>
        <w:t>la</w:t>
      </w:r>
      <w:r>
        <w:rPr>
          <w:spacing w:val="-9"/>
        </w:rPr>
        <w:t xml:space="preserve"> </w:t>
      </w:r>
      <w:r>
        <w:t>avanzada</w:t>
      </w:r>
      <w:r>
        <w:rPr>
          <w:spacing w:val="-9"/>
        </w:rPr>
        <w:t xml:space="preserve"> </w:t>
      </w:r>
      <w:r>
        <w:t>paramilitar</w:t>
      </w:r>
      <w:r>
        <w:rPr>
          <w:spacing w:val="-9"/>
        </w:rPr>
        <w:t xml:space="preserve"> </w:t>
      </w:r>
      <w:r>
        <w:t>en</w:t>
      </w:r>
      <w:r>
        <w:rPr>
          <w:spacing w:val="-10"/>
        </w:rPr>
        <w:t xml:space="preserve"> </w:t>
      </w:r>
      <w:r>
        <w:t>este</w:t>
      </w:r>
      <w:r>
        <w:rPr>
          <w:spacing w:val="-9"/>
        </w:rPr>
        <w:t xml:space="preserve"> </w:t>
      </w:r>
      <w:r>
        <w:t>departamento y al inicio de las aspersiones aéreas masivas en él.</w:t>
      </w:r>
    </w:p>
    <w:p w:rsidR="00502B4C" w:rsidRDefault="00502B4C" w:rsidP="00502B4C">
      <w:r w:rsidRPr="00502B4C">
        <w:t xml:space="preserve">El Plan Colombia supuso una inversión de 10.000 millones de dólares en los siguientes años y, aunque tuvo otros componentes sociales, la mayor parte de su asistencia estuvo relacionada con las áreas militar, tecnológica y de armamento; con base en este tipo de visión bélica, se implantaría en las zonas donde se encontraban las FARC-EP. El Plan Colombia y el Plan Patriota –que le dio continuidad a buena parte de sus </w:t>
      </w:r>
      <w:r w:rsidRPr="00502B4C">
        <w:lastRenderedPageBreak/>
        <w:t>directrices– se justificaron al señalarse a las FARC-EP como el enemigo público número uno por tratarse de una organización «narcoguerrillera». Esta política constituyó un antes y un después en el conflicto armado colombiano.</w:t>
      </w:r>
    </w:p>
    <w:p w:rsidR="0011361F" w:rsidRDefault="00AF18A5" w:rsidP="004A6EF4">
      <w:pPr>
        <w:pStyle w:val="Ttulo3"/>
        <w:numPr>
          <w:ilvl w:val="1"/>
          <w:numId w:val="16"/>
        </w:numPr>
      </w:pPr>
      <w:bookmarkStart w:id="891" w:name="_bookmark778"/>
      <w:bookmarkStart w:id="892" w:name="_bookmark779"/>
      <w:bookmarkStart w:id="893" w:name="_bookmark780"/>
      <w:bookmarkStart w:id="894" w:name="_bookmark781"/>
      <w:bookmarkStart w:id="895" w:name="_bookmark782"/>
      <w:bookmarkStart w:id="896" w:name="6.9._Impacto_en_los_territorios_y_las_ví"/>
      <w:bookmarkStart w:id="897" w:name="_Toc112399613"/>
      <w:bookmarkEnd w:id="891"/>
      <w:bookmarkEnd w:id="892"/>
      <w:bookmarkEnd w:id="893"/>
      <w:bookmarkEnd w:id="894"/>
      <w:bookmarkEnd w:id="895"/>
      <w:bookmarkEnd w:id="896"/>
      <w:r>
        <w:t>Impacto</w:t>
      </w:r>
      <w:r>
        <w:rPr>
          <w:spacing w:val="-1"/>
        </w:rPr>
        <w:t xml:space="preserve"> </w:t>
      </w:r>
      <w:r>
        <w:t>en</w:t>
      </w:r>
      <w:r>
        <w:rPr>
          <w:spacing w:val="-2"/>
        </w:rPr>
        <w:t xml:space="preserve"> </w:t>
      </w:r>
      <w:r>
        <w:t>los</w:t>
      </w:r>
      <w:r>
        <w:rPr>
          <w:spacing w:val="-1"/>
        </w:rPr>
        <w:t xml:space="preserve"> </w:t>
      </w:r>
      <w:r>
        <w:t>territorios</w:t>
      </w:r>
      <w:r>
        <w:rPr>
          <w:spacing w:val="-1"/>
        </w:rPr>
        <w:t xml:space="preserve"> </w:t>
      </w:r>
      <w:r>
        <w:t>y</w:t>
      </w:r>
      <w:r>
        <w:rPr>
          <w:spacing w:val="-1"/>
        </w:rPr>
        <w:t xml:space="preserve"> </w:t>
      </w:r>
      <w:r>
        <w:t>las</w:t>
      </w:r>
      <w:r>
        <w:rPr>
          <w:spacing w:val="-1"/>
        </w:rPr>
        <w:t xml:space="preserve"> </w:t>
      </w:r>
      <w:r>
        <w:rPr>
          <w:spacing w:val="-2"/>
        </w:rPr>
        <w:t>víctimas</w:t>
      </w:r>
      <w:bookmarkEnd w:id="897"/>
    </w:p>
    <w:p w:rsidR="003804AC" w:rsidRDefault="00AF18A5" w:rsidP="00ED43A7">
      <w:r>
        <w:t>La guerra contra las drogas ha conllevado un enorme impacto en las poblaciones rurales y urbanas</w:t>
      </w:r>
      <w:r>
        <w:rPr>
          <w:spacing w:val="-4"/>
        </w:rPr>
        <w:t xml:space="preserve"> </w:t>
      </w:r>
      <w:r>
        <w:t>más</w:t>
      </w:r>
      <w:r>
        <w:rPr>
          <w:spacing w:val="-4"/>
        </w:rPr>
        <w:t xml:space="preserve"> </w:t>
      </w:r>
      <w:r>
        <w:t>empobrecidas,</w:t>
      </w:r>
      <w:r>
        <w:rPr>
          <w:spacing w:val="-3"/>
        </w:rPr>
        <w:t xml:space="preserve"> </w:t>
      </w:r>
      <w:r>
        <w:t>los</w:t>
      </w:r>
      <w:r>
        <w:rPr>
          <w:spacing w:val="-3"/>
        </w:rPr>
        <w:t xml:space="preserve"> </w:t>
      </w:r>
      <w:r>
        <w:t>campesinos,</w:t>
      </w:r>
      <w:r>
        <w:rPr>
          <w:spacing w:val="-4"/>
        </w:rPr>
        <w:t xml:space="preserve"> </w:t>
      </w:r>
      <w:r>
        <w:t>los</w:t>
      </w:r>
      <w:r>
        <w:rPr>
          <w:spacing w:val="-3"/>
        </w:rPr>
        <w:t xml:space="preserve"> </w:t>
      </w:r>
      <w:r>
        <w:t>usuarios</w:t>
      </w:r>
      <w:r>
        <w:rPr>
          <w:spacing w:val="-3"/>
        </w:rPr>
        <w:t xml:space="preserve"> </w:t>
      </w:r>
      <w:r>
        <w:t>de</w:t>
      </w:r>
      <w:r>
        <w:rPr>
          <w:spacing w:val="-3"/>
        </w:rPr>
        <w:t xml:space="preserve"> </w:t>
      </w:r>
      <w:r>
        <w:t>drogas</w:t>
      </w:r>
      <w:r>
        <w:rPr>
          <w:spacing w:val="-3"/>
        </w:rPr>
        <w:t xml:space="preserve"> </w:t>
      </w:r>
      <w:r>
        <w:t>y</w:t>
      </w:r>
      <w:r>
        <w:rPr>
          <w:spacing w:val="-3"/>
        </w:rPr>
        <w:t xml:space="preserve"> </w:t>
      </w:r>
      <w:r>
        <w:t>los</w:t>
      </w:r>
      <w:r>
        <w:rPr>
          <w:spacing w:val="-3"/>
        </w:rPr>
        <w:t xml:space="preserve"> </w:t>
      </w:r>
      <w:r>
        <w:t>pueblos</w:t>
      </w:r>
      <w:r>
        <w:rPr>
          <w:spacing w:val="-3"/>
        </w:rPr>
        <w:t xml:space="preserve"> </w:t>
      </w:r>
      <w:r>
        <w:t>étnicos.</w:t>
      </w:r>
      <w:r>
        <w:rPr>
          <w:spacing w:val="-4"/>
        </w:rPr>
        <w:t xml:space="preserve"> </w:t>
      </w:r>
      <w:r>
        <w:t>Es posible</w:t>
      </w:r>
      <w:r>
        <w:rPr>
          <w:spacing w:val="-6"/>
        </w:rPr>
        <w:t xml:space="preserve"> </w:t>
      </w:r>
      <w:r>
        <w:t>identificar</w:t>
      </w:r>
      <w:r>
        <w:rPr>
          <w:spacing w:val="-6"/>
        </w:rPr>
        <w:t xml:space="preserve"> </w:t>
      </w:r>
      <w:r>
        <w:t>tres</w:t>
      </w:r>
      <w:r>
        <w:rPr>
          <w:spacing w:val="-7"/>
        </w:rPr>
        <w:t xml:space="preserve"> </w:t>
      </w:r>
      <w:r>
        <w:t>formas</w:t>
      </w:r>
      <w:r>
        <w:rPr>
          <w:spacing w:val="-6"/>
        </w:rPr>
        <w:t xml:space="preserve"> </w:t>
      </w:r>
      <w:r>
        <w:t>de</w:t>
      </w:r>
      <w:r>
        <w:rPr>
          <w:spacing w:val="-6"/>
        </w:rPr>
        <w:t xml:space="preserve"> </w:t>
      </w:r>
      <w:r>
        <w:t>victimización</w:t>
      </w:r>
      <w:r>
        <w:rPr>
          <w:spacing w:val="-6"/>
        </w:rPr>
        <w:t xml:space="preserve"> </w:t>
      </w:r>
      <w:r>
        <w:t>anejas</w:t>
      </w:r>
      <w:r>
        <w:rPr>
          <w:spacing w:val="-6"/>
        </w:rPr>
        <w:t xml:space="preserve"> </w:t>
      </w:r>
      <w:r>
        <w:t>a</w:t>
      </w:r>
      <w:r>
        <w:rPr>
          <w:spacing w:val="-6"/>
        </w:rPr>
        <w:t xml:space="preserve"> </w:t>
      </w:r>
      <w:r>
        <w:t>tal</w:t>
      </w:r>
      <w:r>
        <w:rPr>
          <w:spacing w:val="-6"/>
        </w:rPr>
        <w:t xml:space="preserve"> </w:t>
      </w:r>
      <w:r>
        <w:t>política:</w:t>
      </w:r>
      <w:r>
        <w:rPr>
          <w:spacing w:val="-6"/>
        </w:rPr>
        <w:t xml:space="preserve"> </w:t>
      </w:r>
      <w:r>
        <w:t>la</w:t>
      </w:r>
      <w:r>
        <w:rPr>
          <w:spacing w:val="-6"/>
        </w:rPr>
        <w:t xml:space="preserve"> </w:t>
      </w:r>
      <w:r>
        <w:t>del</w:t>
      </w:r>
      <w:r>
        <w:rPr>
          <w:spacing w:val="-6"/>
        </w:rPr>
        <w:t xml:space="preserve"> </w:t>
      </w:r>
      <w:r>
        <w:t>narcotráfico,</w:t>
      </w:r>
      <w:r>
        <w:rPr>
          <w:spacing w:val="-6"/>
        </w:rPr>
        <w:t xml:space="preserve"> </w:t>
      </w:r>
      <w:r>
        <w:t>la</w:t>
      </w:r>
      <w:r>
        <w:rPr>
          <w:spacing w:val="-6"/>
        </w:rPr>
        <w:t xml:space="preserve"> </w:t>
      </w:r>
      <w:r>
        <w:t>de la política de drogas prohibicionista con su consiguiente militarización y la del modelo de acumulación del mercado de la cocaína basado en la violencia.</w:t>
      </w:r>
    </w:p>
    <w:p w:rsidR="003804AC" w:rsidRDefault="00AF18A5" w:rsidP="00534BFB">
      <w:r>
        <w:t>Es imposible trazar una clara línea divisoria entre las víctimas del narcotráfico y las del conflicto armado y, si bien hay zonas grises en el carácter de esa violencia, de acuerdo con la</w:t>
      </w:r>
      <w:r>
        <w:rPr>
          <w:spacing w:val="-7"/>
        </w:rPr>
        <w:t xml:space="preserve"> </w:t>
      </w:r>
      <w:r>
        <w:t>relación</w:t>
      </w:r>
      <w:r>
        <w:rPr>
          <w:spacing w:val="-7"/>
        </w:rPr>
        <w:t xml:space="preserve"> </w:t>
      </w:r>
      <w:r>
        <w:t>entre</w:t>
      </w:r>
      <w:r>
        <w:rPr>
          <w:spacing w:val="-7"/>
        </w:rPr>
        <w:t xml:space="preserve"> </w:t>
      </w:r>
      <w:r>
        <w:t>crimen</w:t>
      </w:r>
      <w:r>
        <w:rPr>
          <w:spacing w:val="-8"/>
        </w:rPr>
        <w:t xml:space="preserve"> </w:t>
      </w:r>
      <w:r>
        <w:t>y</w:t>
      </w:r>
      <w:r>
        <w:rPr>
          <w:spacing w:val="-7"/>
        </w:rPr>
        <w:t xml:space="preserve"> </w:t>
      </w:r>
      <w:r>
        <w:t>política</w:t>
      </w:r>
      <w:r>
        <w:rPr>
          <w:spacing w:val="-7"/>
        </w:rPr>
        <w:t xml:space="preserve"> </w:t>
      </w:r>
      <w:r>
        <w:t>establecida</w:t>
      </w:r>
      <w:r>
        <w:rPr>
          <w:spacing w:val="-7"/>
        </w:rPr>
        <w:t xml:space="preserve"> </w:t>
      </w:r>
      <w:r>
        <w:t>por</w:t>
      </w:r>
      <w:r>
        <w:rPr>
          <w:spacing w:val="-8"/>
        </w:rPr>
        <w:t xml:space="preserve"> </w:t>
      </w:r>
      <w:r>
        <w:t>el</w:t>
      </w:r>
      <w:r>
        <w:rPr>
          <w:spacing w:val="-7"/>
        </w:rPr>
        <w:t xml:space="preserve"> </w:t>
      </w:r>
      <w:r>
        <w:t>análisis</w:t>
      </w:r>
      <w:r>
        <w:rPr>
          <w:spacing w:val="-7"/>
        </w:rPr>
        <w:t xml:space="preserve"> </w:t>
      </w:r>
      <w:r>
        <w:t>de</w:t>
      </w:r>
      <w:r>
        <w:rPr>
          <w:spacing w:val="-7"/>
        </w:rPr>
        <w:t xml:space="preserve"> </w:t>
      </w:r>
      <w:r>
        <w:t>la</w:t>
      </w:r>
      <w:r>
        <w:rPr>
          <w:spacing w:val="-7"/>
        </w:rPr>
        <w:t xml:space="preserve"> </w:t>
      </w:r>
      <w:r>
        <w:t>Comisión,</w:t>
      </w:r>
      <w:r>
        <w:rPr>
          <w:spacing w:val="-7"/>
        </w:rPr>
        <w:t xml:space="preserve"> </w:t>
      </w:r>
      <w:r>
        <w:t>muchas</w:t>
      </w:r>
      <w:r>
        <w:rPr>
          <w:spacing w:val="-7"/>
        </w:rPr>
        <w:t xml:space="preserve"> </w:t>
      </w:r>
      <w:r>
        <w:t>de</w:t>
      </w:r>
      <w:r>
        <w:rPr>
          <w:spacing w:val="-7"/>
        </w:rPr>
        <w:t xml:space="preserve"> </w:t>
      </w:r>
      <w:r>
        <w:t>ellas requieren un reconocimiento que las incluya en el análisis del conflicto. Por ejemplo, 107 personas</w:t>
      </w:r>
      <w:r>
        <w:rPr>
          <w:spacing w:val="-5"/>
        </w:rPr>
        <w:t xml:space="preserve"> </w:t>
      </w:r>
      <w:r>
        <w:t>murieron</w:t>
      </w:r>
      <w:r>
        <w:rPr>
          <w:spacing w:val="-5"/>
        </w:rPr>
        <w:t xml:space="preserve"> </w:t>
      </w:r>
      <w:r>
        <w:t>en</w:t>
      </w:r>
      <w:r>
        <w:rPr>
          <w:spacing w:val="-5"/>
        </w:rPr>
        <w:t xml:space="preserve"> </w:t>
      </w:r>
      <w:r>
        <w:t>el</w:t>
      </w:r>
      <w:r>
        <w:rPr>
          <w:spacing w:val="-4"/>
        </w:rPr>
        <w:t xml:space="preserve"> </w:t>
      </w:r>
      <w:r>
        <w:t>atentado</w:t>
      </w:r>
      <w:r>
        <w:rPr>
          <w:spacing w:val="-5"/>
        </w:rPr>
        <w:t xml:space="preserve"> </w:t>
      </w:r>
      <w:r>
        <w:t>al</w:t>
      </w:r>
      <w:r>
        <w:rPr>
          <w:spacing w:val="-4"/>
        </w:rPr>
        <w:t xml:space="preserve"> </w:t>
      </w:r>
      <w:r>
        <w:t>avión</w:t>
      </w:r>
      <w:r>
        <w:rPr>
          <w:spacing w:val="-5"/>
        </w:rPr>
        <w:t xml:space="preserve"> </w:t>
      </w:r>
      <w:r>
        <w:t>de</w:t>
      </w:r>
      <w:r>
        <w:rPr>
          <w:spacing w:val="-5"/>
        </w:rPr>
        <w:t xml:space="preserve"> </w:t>
      </w:r>
      <w:r>
        <w:t>Avianca</w:t>
      </w:r>
      <w:r>
        <w:rPr>
          <w:spacing w:val="-5"/>
        </w:rPr>
        <w:t xml:space="preserve"> </w:t>
      </w:r>
      <w:r>
        <w:t>el</w:t>
      </w:r>
      <w:r>
        <w:rPr>
          <w:spacing w:val="-4"/>
        </w:rPr>
        <w:t xml:space="preserve"> </w:t>
      </w:r>
      <w:r>
        <w:t>27</w:t>
      </w:r>
      <w:r>
        <w:rPr>
          <w:spacing w:val="-5"/>
        </w:rPr>
        <w:t xml:space="preserve"> </w:t>
      </w:r>
      <w:r>
        <w:t>de</w:t>
      </w:r>
      <w:r>
        <w:rPr>
          <w:spacing w:val="-5"/>
        </w:rPr>
        <w:t xml:space="preserve"> </w:t>
      </w:r>
      <w:r>
        <w:t>noviembre</w:t>
      </w:r>
      <w:r>
        <w:rPr>
          <w:spacing w:val="-6"/>
        </w:rPr>
        <w:t xml:space="preserve"> </w:t>
      </w:r>
      <w:r>
        <w:t>de</w:t>
      </w:r>
      <w:r>
        <w:rPr>
          <w:spacing w:val="-5"/>
        </w:rPr>
        <w:t xml:space="preserve"> </w:t>
      </w:r>
      <w:r>
        <w:t>1989,</w:t>
      </w:r>
      <w:r>
        <w:rPr>
          <w:spacing w:val="-5"/>
        </w:rPr>
        <w:t xml:space="preserve"> </w:t>
      </w:r>
      <w:r>
        <w:t>llevado</w:t>
      </w:r>
      <w:r>
        <w:rPr>
          <w:spacing w:val="-5"/>
        </w:rPr>
        <w:t xml:space="preserve"> </w:t>
      </w:r>
      <w:r>
        <w:t>a cabo por el Cartel de Medellín. Muchas de las víctimas del avión y, en general, del narcotráfico y el narcoterrorismo, han carecido de la verdad y a sus victimarios los ha cobijado</w:t>
      </w:r>
      <w:r>
        <w:rPr>
          <w:spacing w:val="-6"/>
        </w:rPr>
        <w:t xml:space="preserve"> </w:t>
      </w:r>
      <w:r>
        <w:t>la</w:t>
      </w:r>
      <w:r>
        <w:rPr>
          <w:spacing w:val="-4"/>
        </w:rPr>
        <w:t xml:space="preserve"> </w:t>
      </w:r>
      <w:r>
        <w:t>impunidad;</w:t>
      </w:r>
      <w:r>
        <w:rPr>
          <w:spacing w:val="-4"/>
        </w:rPr>
        <w:t xml:space="preserve"> </w:t>
      </w:r>
      <w:r>
        <w:t>las</w:t>
      </w:r>
      <w:r>
        <w:rPr>
          <w:spacing w:val="-4"/>
        </w:rPr>
        <w:t xml:space="preserve"> </w:t>
      </w:r>
      <w:r>
        <w:t>víctimas</w:t>
      </w:r>
      <w:r>
        <w:rPr>
          <w:spacing w:val="-6"/>
        </w:rPr>
        <w:t xml:space="preserve"> </w:t>
      </w:r>
      <w:r>
        <w:t>consideran</w:t>
      </w:r>
      <w:r>
        <w:rPr>
          <w:spacing w:val="-5"/>
        </w:rPr>
        <w:t xml:space="preserve"> </w:t>
      </w:r>
      <w:r>
        <w:t>que</w:t>
      </w:r>
      <w:r>
        <w:rPr>
          <w:spacing w:val="-4"/>
        </w:rPr>
        <w:t xml:space="preserve"> </w:t>
      </w:r>
      <w:r>
        <w:t>la</w:t>
      </w:r>
      <w:r>
        <w:rPr>
          <w:spacing w:val="-4"/>
        </w:rPr>
        <w:t xml:space="preserve"> </w:t>
      </w:r>
      <w:r>
        <w:t>histórica</w:t>
      </w:r>
      <w:r>
        <w:rPr>
          <w:spacing w:val="-4"/>
        </w:rPr>
        <w:t xml:space="preserve"> </w:t>
      </w:r>
      <w:proofErr w:type="spellStart"/>
      <w:r>
        <w:t>invisibilización</w:t>
      </w:r>
      <w:proofErr w:type="spellEnd"/>
      <w:r>
        <w:rPr>
          <w:spacing w:val="-5"/>
        </w:rPr>
        <w:t xml:space="preserve"> </w:t>
      </w:r>
      <w:r>
        <w:t>y</w:t>
      </w:r>
      <w:r>
        <w:rPr>
          <w:spacing w:val="-5"/>
        </w:rPr>
        <w:t xml:space="preserve"> </w:t>
      </w:r>
      <w:r>
        <w:t>negación</w:t>
      </w:r>
      <w:r>
        <w:rPr>
          <w:spacing w:val="-5"/>
        </w:rPr>
        <w:t xml:space="preserve"> </w:t>
      </w:r>
      <w:r>
        <w:t>a las que han sido sometidas por el Estado sigue vigente</w:t>
      </w:r>
      <w:r w:rsidR="00534BFB">
        <w:rPr>
          <w:rStyle w:val="Refdenotaalpie"/>
        </w:rPr>
        <w:footnoteReference w:id="716"/>
      </w:r>
      <w:r>
        <w:t>.</w:t>
      </w:r>
    </w:p>
    <w:p w:rsidR="003804AC" w:rsidRDefault="00AF18A5" w:rsidP="00534BFB">
      <w:r>
        <w:lastRenderedPageBreak/>
        <w:t>Durante</w:t>
      </w:r>
      <w:r>
        <w:rPr>
          <w:spacing w:val="-4"/>
        </w:rPr>
        <w:t xml:space="preserve"> </w:t>
      </w:r>
      <w:r>
        <w:t>los</w:t>
      </w:r>
      <w:r>
        <w:rPr>
          <w:spacing w:val="-5"/>
        </w:rPr>
        <w:t xml:space="preserve"> </w:t>
      </w:r>
      <w:r>
        <w:t>ochenta,</w:t>
      </w:r>
      <w:r>
        <w:rPr>
          <w:spacing w:val="-5"/>
        </w:rPr>
        <w:t xml:space="preserve"> </w:t>
      </w:r>
      <w:r>
        <w:t>muchos</w:t>
      </w:r>
      <w:r>
        <w:rPr>
          <w:spacing w:val="-4"/>
        </w:rPr>
        <w:t xml:space="preserve"> </w:t>
      </w:r>
      <w:r>
        <w:t>jueces</w:t>
      </w:r>
      <w:r>
        <w:rPr>
          <w:spacing w:val="-5"/>
        </w:rPr>
        <w:t xml:space="preserve"> </w:t>
      </w:r>
      <w:r>
        <w:t>del</w:t>
      </w:r>
      <w:r>
        <w:rPr>
          <w:spacing w:val="-4"/>
        </w:rPr>
        <w:t xml:space="preserve"> </w:t>
      </w:r>
      <w:r>
        <w:t>país</w:t>
      </w:r>
      <w:r>
        <w:rPr>
          <w:spacing w:val="-4"/>
        </w:rPr>
        <w:t xml:space="preserve"> </w:t>
      </w:r>
      <w:r>
        <w:t>fueron</w:t>
      </w:r>
      <w:r>
        <w:rPr>
          <w:spacing w:val="-4"/>
        </w:rPr>
        <w:t xml:space="preserve"> </w:t>
      </w:r>
      <w:r>
        <w:t>asesinados</w:t>
      </w:r>
      <w:r>
        <w:rPr>
          <w:spacing w:val="-4"/>
        </w:rPr>
        <w:t xml:space="preserve"> </w:t>
      </w:r>
      <w:r>
        <w:t>o</w:t>
      </w:r>
      <w:r>
        <w:rPr>
          <w:spacing w:val="-4"/>
        </w:rPr>
        <w:t xml:space="preserve"> </w:t>
      </w:r>
      <w:r>
        <w:t>tuvieron</w:t>
      </w:r>
      <w:r>
        <w:rPr>
          <w:spacing w:val="-4"/>
        </w:rPr>
        <w:t xml:space="preserve"> </w:t>
      </w:r>
      <w:r>
        <w:t>que</w:t>
      </w:r>
      <w:r>
        <w:rPr>
          <w:spacing w:val="-4"/>
        </w:rPr>
        <w:t xml:space="preserve"> </w:t>
      </w:r>
      <w:r>
        <w:t>exiliarse</w:t>
      </w:r>
      <w:r>
        <w:rPr>
          <w:spacing w:val="-4"/>
        </w:rPr>
        <w:t xml:space="preserve"> </w:t>
      </w:r>
      <w:r>
        <w:t>al recibir</w:t>
      </w:r>
      <w:r>
        <w:rPr>
          <w:spacing w:val="-14"/>
        </w:rPr>
        <w:t xml:space="preserve"> </w:t>
      </w:r>
      <w:r>
        <w:t>amenazas</w:t>
      </w:r>
      <w:r>
        <w:rPr>
          <w:spacing w:val="-11"/>
        </w:rPr>
        <w:t xml:space="preserve"> </w:t>
      </w:r>
      <w:r>
        <w:t>de</w:t>
      </w:r>
      <w:r>
        <w:rPr>
          <w:spacing w:val="-12"/>
        </w:rPr>
        <w:t xml:space="preserve"> </w:t>
      </w:r>
      <w:r>
        <w:t>narcotraficantes.</w:t>
      </w:r>
      <w:r>
        <w:rPr>
          <w:spacing w:val="-12"/>
        </w:rPr>
        <w:t xml:space="preserve"> </w:t>
      </w:r>
      <w:r>
        <w:t>Sus</w:t>
      </w:r>
      <w:r>
        <w:rPr>
          <w:spacing w:val="-12"/>
        </w:rPr>
        <w:t xml:space="preserve"> </w:t>
      </w:r>
      <w:r>
        <w:t>vidas</w:t>
      </w:r>
      <w:r>
        <w:rPr>
          <w:spacing w:val="-11"/>
        </w:rPr>
        <w:t xml:space="preserve"> </w:t>
      </w:r>
      <w:r>
        <w:t>se</w:t>
      </w:r>
      <w:r>
        <w:rPr>
          <w:spacing w:val="-13"/>
        </w:rPr>
        <w:t xml:space="preserve"> </w:t>
      </w:r>
      <w:r>
        <w:t>vieron</w:t>
      </w:r>
      <w:r>
        <w:rPr>
          <w:spacing w:val="-11"/>
        </w:rPr>
        <w:t xml:space="preserve"> </w:t>
      </w:r>
      <w:r>
        <w:t>truncadas</w:t>
      </w:r>
      <w:r>
        <w:rPr>
          <w:spacing w:val="-12"/>
        </w:rPr>
        <w:t xml:space="preserve"> </w:t>
      </w:r>
      <w:r>
        <w:t>porque</w:t>
      </w:r>
      <w:r>
        <w:rPr>
          <w:spacing w:val="-12"/>
        </w:rPr>
        <w:t xml:space="preserve"> </w:t>
      </w:r>
      <w:r>
        <w:t>llevaban</w:t>
      </w:r>
      <w:r>
        <w:rPr>
          <w:spacing w:val="-11"/>
        </w:rPr>
        <w:t xml:space="preserve"> </w:t>
      </w:r>
      <w:r>
        <w:rPr>
          <w:spacing w:val="-2"/>
        </w:rPr>
        <w:t>procesos</w:t>
      </w:r>
      <w:bookmarkStart w:id="898" w:name="_bookmark784"/>
      <w:bookmarkEnd w:id="898"/>
      <w:r w:rsidR="00534BFB">
        <w:t xml:space="preserve"> </w:t>
      </w:r>
      <w:r>
        <w:t>contra</w:t>
      </w:r>
      <w:r>
        <w:rPr>
          <w:spacing w:val="-13"/>
        </w:rPr>
        <w:t xml:space="preserve"> </w:t>
      </w:r>
      <w:r>
        <w:t>la</w:t>
      </w:r>
      <w:r>
        <w:rPr>
          <w:spacing w:val="-13"/>
        </w:rPr>
        <w:t xml:space="preserve"> </w:t>
      </w:r>
      <w:r>
        <w:t>mafia</w:t>
      </w:r>
      <w:r>
        <w:rPr>
          <w:spacing w:val="-13"/>
        </w:rPr>
        <w:t xml:space="preserve"> </w:t>
      </w:r>
      <w:r>
        <w:t>o</w:t>
      </w:r>
      <w:r>
        <w:rPr>
          <w:spacing w:val="-13"/>
        </w:rPr>
        <w:t xml:space="preserve"> </w:t>
      </w:r>
      <w:r>
        <w:t>contra</w:t>
      </w:r>
      <w:r>
        <w:rPr>
          <w:spacing w:val="-14"/>
        </w:rPr>
        <w:t xml:space="preserve"> </w:t>
      </w:r>
      <w:r>
        <w:t>entramados</w:t>
      </w:r>
      <w:r>
        <w:rPr>
          <w:spacing w:val="-14"/>
        </w:rPr>
        <w:t xml:space="preserve"> </w:t>
      </w:r>
      <w:r>
        <w:t>paramilitares</w:t>
      </w:r>
      <w:r>
        <w:rPr>
          <w:spacing w:val="-13"/>
        </w:rPr>
        <w:t xml:space="preserve"> </w:t>
      </w:r>
      <w:r>
        <w:t>ligados</w:t>
      </w:r>
      <w:r>
        <w:rPr>
          <w:spacing w:val="-13"/>
        </w:rPr>
        <w:t xml:space="preserve"> </w:t>
      </w:r>
      <w:r>
        <w:t>al</w:t>
      </w:r>
      <w:r>
        <w:rPr>
          <w:spacing w:val="-13"/>
        </w:rPr>
        <w:t xml:space="preserve"> </w:t>
      </w:r>
      <w:r>
        <w:t>narcotráfico.</w:t>
      </w:r>
      <w:r>
        <w:rPr>
          <w:spacing w:val="-14"/>
        </w:rPr>
        <w:t xml:space="preserve"> </w:t>
      </w:r>
      <w:r>
        <w:t>Un</w:t>
      </w:r>
      <w:r>
        <w:rPr>
          <w:spacing w:val="-13"/>
        </w:rPr>
        <w:t xml:space="preserve"> </w:t>
      </w:r>
      <w:r>
        <w:t>secretario</w:t>
      </w:r>
      <w:r>
        <w:rPr>
          <w:spacing w:val="-13"/>
        </w:rPr>
        <w:t xml:space="preserve"> </w:t>
      </w:r>
      <w:r>
        <w:t>penal del circuito de Medellín le contó a la Comisión que, en 1984, después de la muerte del ministro de Justicia Rodrigo Lara Bonilla, Pablo Escobar inició una campaña para sobornar jueces con el fin de desaparecer los procesos en su contra que estaban a punto de salir a la luz pública. Quienes no aceptaron el soborno fueron asesinados.</w:t>
      </w:r>
    </w:p>
    <w:p w:rsidR="003804AC" w:rsidRDefault="00AF18A5" w:rsidP="00534BFB">
      <w:r>
        <w:t>«[…]</w:t>
      </w:r>
      <w:r>
        <w:rPr>
          <w:spacing w:val="-15"/>
        </w:rPr>
        <w:t xml:space="preserve"> </w:t>
      </w:r>
      <w:r>
        <w:t>los</w:t>
      </w:r>
      <w:r>
        <w:rPr>
          <w:spacing w:val="-15"/>
        </w:rPr>
        <w:t xml:space="preserve"> </w:t>
      </w:r>
      <w:r>
        <w:t>jueces</w:t>
      </w:r>
      <w:r>
        <w:rPr>
          <w:spacing w:val="-15"/>
        </w:rPr>
        <w:t xml:space="preserve"> </w:t>
      </w:r>
      <w:r>
        <w:t>no</w:t>
      </w:r>
      <w:r>
        <w:rPr>
          <w:spacing w:val="-15"/>
        </w:rPr>
        <w:t xml:space="preserve"> </w:t>
      </w:r>
      <w:r>
        <w:t>aceptaron</w:t>
      </w:r>
      <w:r>
        <w:rPr>
          <w:spacing w:val="-15"/>
        </w:rPr>
        <w:t xml:space="preserve"> </w:t>
      </w:r>
      <w:r>
        <w:t>dinero,</w:t>
      </w:r>
      <w:r>
        <w:rPr>
          <w:spacing w:val="-15"/>
        </w:rPr>
        <w:t xml:space="preserve"> </w:t>
      </w:r>
      <w:r>
        <w:t>aquí</w:t>
      </w:r>
      <w:r>
        <w:rPr>
          <w:spacing w:val="-15"/>
        </w:rPr>
        <w:t xml:space="preserve"> </w:t>
      </w:r>
      <w:r>
        <w:t>se</w:t>
      </w:r>
      <w:r>
        <w:rPr>
          <w:spacing w:val="-15"/>
        </w:rPr>
        <w:t xml:space="preserve"> </w:t>
      </w:r>
      <w:r>
        <w:t>pararon</w:t>
      </w:r>
      <w:r>
        <w:rPr>
          <w:spacing w:val="-15"/>
        </w:rPr>
        <w:t xml:space="preserve"> </w:t>
      </w:r>
      <w:r>
        <w:t>en</w:t>
      </w:r>
      <w:r>
        <w:rPr>
          <w:spacing w:val="-15"/>
        </w:rPr>
        <w:t xml:space="preserve"> </w:t>
      </w:r>
      <w:r>
        <w:t>la</w:t>
      </w:r>
      <w:r>
        <w:rPr>
          <w:spacing w:val="-15"/>
        </w:rPr>
        <w:t xml:space="preserve"> </w:t>
      </w:r>
      <w:r>
        <w:t>raya,</w:t>
      </w:r>
      <w:r>
        <w:rPr>
          <w:spacing w:val="-15"/>
        </w:rPr>
        <w:t xml:space="preserve"> </w:t>
      </w:r>
      <w:r>
        <w:t>y</w:t>
      </w:r>
      <w:r>
        <w:rPr>
          <w:spacing w:val="-15"/>
        </w:rPr>
        <w:t xml:space="preserve"> </w:t>
      </w:r>
      <w:r>
        <w:t>ahí</w:t>
      </w:r>
      <w:r>
        <w:rPr>
          <w:spacing w:val="-15"/>
        </w:rPr>
        <w:t xml:space="preserve"> </w:t>
      </w:r>
      <w:r>
        <w:t>fue</w:t>
      </w:r>
      <w:r>
        <w:rPr>
          <w:spacing w:val="-15"/>
        </w:rPr>
        <w:t xml:space="preserve"> </w:t>
      </w:r>
      <w:r>
        <w:t>donde</w:t>
      </w:r>
      <w:r>
        <w:rPr>
          <w:spacing w:val="-15"/>
        </w:rPr>
        <w:t xml:space="preserve"> </w:t>
      </w:r>
      <w:r>
        <w:t>empezaron a matar funcionarios de la rama judicial, mataron una juez de instrucción criminal que se llamaba Ceci Cartagena, después otro Mayer Marín, a una juez Mariela Espinosa, ella fue magistrada, a ella la mataron siendo magistrada, cuando era juez de circuito le quemaron el juzgado, porque en el juzgado de ella había un proceso contra él, entonces quemaron el juzgado, le pusieron una bomba por la ventana, eso pasó, esa fue la guerra, y aquí no había cómo proteger a los jueces, no había forma de protegerlos»</w:t>
      </w:r>
      <w:r w:rsidR="00534BFB">
        <w:rPr>
          <w:rStyle w:val="Refdenotaalpie"/>
        </w:rPr>
        <w:footnoteReference w:id="717"/>
      </w:r>
      <w:r>
        <w:t>.</w:t>
      </w:r>
    </w:p>
    <w:p w:rsidR="003804AC" w:rsidRDefault="00AF18A5" w:rsidP="00534BFB">
      <w:r>
        <w:t>La</w:t>
      </w:r>
      <w:r>
        <w:rPr>
          <w:spacing w:val="-13"/>
        </w:rPr>
        <w:t xml:space="preserve"> </w:t>
      </w:r>
      <w:r>
        <w:t>disputa</w:t>
      </w:r>
      <w:r>
        <w:rPr>
          <w:spacing w:val="-13"/>
        </w:rPr>
        <w:t xml:space="preserve"> </w:t>
      </w:r>
      <w:r>
        <w:t>por</w:t>
      </w:r>
      <w:r>
        <w:rPr>
          <w:spacing w:val="-13"/>
        </w:rPr>
        <w:t xml:space="preserve"> </w:t>
      </w:r>
      <w:r>
        <w:t>el</w:t>
      </w:r>
      <w:r>
        <w:rPr>
          <w:spacing w:val="-13"/>
        </w:rPr>
        <w:t xml:space="preserve"> </w:t>
      </w:r>
      <w:r>
        <w:t>Estado</w:t>
      </w:r>
      <w:r>
        <w:rPr>
          <w:spacing w:val="-15"/>
        </w:rPr>
        <w:t xml:space="preserve"> </w:t>
      </w:r>
      <w:r>
        <w:t>también</w:t>
      </w:r>
      <w:r>
        <w:rPr>
          <w:spacing w:val="-13"/>
        </w:rPr>
        <w:t xml:space="preserve"> </w:t>
      </w:r>
      <w:r>
        <w:t>se</w:t>
      </w:r>
      <w:r>
        <w:rPr>
          <w:spacing w:val="-13"/>
        </w:rPr>
        <w:t xml:space="preserve"> </w:t>
      </w:r>
      <w:r>
        <w:t>dio</w:t>
      </w:r>
      <w:r>
        <w:rPr>
          <w:spacing w:val="-13"/>
        </w:rPr>
        <w:t xml:space="preserve"> </w:t>
      </w:r>
      <w:r>
        <w:t>en</w:t>
      </w:r>
      <w:r>
        <w:rPr>
          <w:spacing w:val="-13"/>
        </w:rPr>
        <w:t xml:space="preserve"> </w:t>
      </w:r>
      <w:r>
        <w:t>el</w:t>
      </w:r>
      <w:r>
        <w:rPr>
          <w:spacing w:val="-14"/>
        </w:rPr>
        <w:t xml:space="preserve"> </w:t>
      </w:r>
      <w:r>
        <w:t>campo</w:t>
      </w:r>
      <w:r>
        <w:rPr>
          <w:spacing w:val="-13"/>
        </w:rPr>
        <w:t xml:space="preserve"> </w:t>
      </w:r>
      <w:r>
        <w:t>de</w:t>
      </w:r>
      <w:r>
        <w:rPr>
          <w:spacing w:val="-13"/>
        </w:rPr>
        <w:t xml:space="preserve"> </w:t>
      </w:r>
      <w:r>
        <w:t>la</w:t>
      </w:r>
      <w:r>
        <w:rPr>
          <w:spacing w:val="-13"/>
        </w:rPr>
        <w:t xml:space="preserve"> </w:t>
      </w:r>
      <w:r>
        <w:t>función</w:t>
      </w:r>
      <w:r>
        <w:rPr>
          <w:spacing w:val="-13"/>
        </w:rPr>
        <w:t xml:space="preserve"> </w:t>
      </w:r>
      <w:r>
        <w:t>pública</w:t>
      </w:r>
      <w:r>
        <w:rPr>
          <w:spacing w:val="-13"/>
        </w:rPr>
        <w:t xml:space="preserve"> </w:t>
      </w:r>
      <w:r>
        <w:t>con</w:t>
      </w:r>
      <w:r>
        <w:rPr>
          <w:spacing w:val="-13"/>
        </w:rPr>
        <w:t xml:space="preserve"> </w:t>
      </w:r>
      <w:r>
        <w:t>un</w:t>
      </w:r>
      <w:r>
        <w:rPr>
          <w:spacing w:val="-13"/>
        </w:rPr>
        <w:t xml:space="preserve"> </w:t>
      </w:r>
      <w:r>
        <w:t>profundo impacto en la democracia y la institucionalidad cuando sectores militares hicieron alianzas con</w:t>
      </w:r>
      <w:r>
        <w:rPr>
          <w:spacing w:val="-5"/>
        </w:rPr>
        <w:t xml:space="preserve"> </w:t>
      </w:r>
      <w:r>
        <w:t>el</w:t>
      </w:r>
      <w:r>
        <w:rPr>
          <w:spacing w:val="-4"/>
        </w:rPr>
        <w:t xml:space="preserve"> </w:t>
      </w:r>
      <w:r>
        <w:t>narcotráfico.</w:t>
      </w:r>
      <w:r>
        <w:rPr>
          <w:spacing w:val="-5"/>
        </w:rPr>
        <w:t xml:space="preserve"> </w:t>
      </w:r>
      <w:r>
        <w:t>La</w:t>
      </w:r>
      <w:r>
        <w:rPr>
          <w:spacing w:val="-6"/>
        </w:rPr>
        <w:t xml:space="preserve"> </w:t>
      </w:r>
      <w:r>
        <w:t>impunidad</w:t>
      </w:r>
      <w:r>
        <w:rPr>
          <w:spacing w:val="-5"/>
        </w:rPr>
        <w:t xml:space="preserve"> </w:t>
      </w:r>
      <w:r>
        <w:t>y</w:t>
      </w:r>
      <w:r>
        <w:rPr>
          <w:spacing w:val="-6"/>
        </w:rPr>
        <w:t xml:space="preserve"> </w:t>
      </w:r>
      <w:r>
        <w:t>el</w:t>
      </w:r>
      <w:r>
        <w:rPr>
          <w:spacing w:val="-4"/>
        </w:rPr>
        <w:t xml:space="preserve"> </w:t>
      </w:r>
      <w:r>
        <w:t>peligro</w:t>
      </w:r>
      <w:r>
        <w:rPr>
          <w:spacing w:val="-6"/>
        </w:rPr>
        <w:t xml:space="preserve"> </w:t>
      </w:r>
      <w:r>
        <w:t>rondaron</w:t>
      </w:r>
      <w:r>
        <w:rPr>
          <w:spacing w:val="-5"/>
        </w:rPr>
        <w:t xml:space="preserve"> </w:t>
      </w:r>
      <w:r>
        <w:t>las</w:t>
      </w:r>
      <w:r>
        <w:rPr>
          <w:spacing w:val="-5"/>
        </w:rPr>
        <w:t xml:space="preserve"> </w:t>
      </w:r>
      <w:r>
        <w:t>investigaciones</w:t>
      </w:r>
      <w:r>
        <w:rPr>
          <w:spacing w:val="-4"/>
        </w:rPr>
        <w:t xml:space="preserve"> </w:t>
      </w:r>
      <w:r>
        <w:t>de</w:t>
      </w:r>
      <w:r>
        <w:rPr>
          <w:spacing w:val="-4"/>
        </w:rPr>
        <w:t xml:space="preserve"> </w:t>
      </w:r>
      <w:r>
        <w:t>la</w:t>
      </w:r>
      <w:r>
        <w:rPr>
          <w:spacing w:val="-4"/>
        </w:rPr>
        <w:t xml:space="preserve"> </w:t>
      </w:r>
      <w:r>
        <w:t>masacre</w:t>
      </w:r>
      <w:r>
        <w:rPr>
          <w:spacing w:val="-4"/>
        </w:rPr>
        <w:t xml:space="preserve"> </w:t>
      </w:r>
      <w:r>
        <w:t>de la finca Honduras y La Negra</w:t>
      </w:r>
      <w:r w:rsidR="00534BFB">
        <w:rPr>
          <w:rStyle w:val="Refdenotaalpie"/>
        </w:rPr>
        <w:footnoteReference w:id="718"/>
      </w:r>
      <w:r>
        <w:t xml:space="preserve"> (Turbo, Antioquia), el rol central del narcotráfico y paramilitarismo en el exterminio contra la UP</w:t>
      </w:r>
      <w:r w:rsidR="00534BFB">
        <w:rPr>
          <w:rStyle w:val="Refdenotaalpie"/>
        </w:rPr>
        <w:footnoteReference w:id="719"/>
      </w:r>
      <w:r>
        <w:t xml:space="preserve">, el embate de los </w:t>
      </w:r>
      <w:r>
        <w:lastRenderedPageBreak/>
        <w:t>carteles de Medellín y de Cali contra los jueces</w:t>
      </w:r>
      <w:r w:rsidR="00534BFB">
        <w:rPr>
          <w:rStyle w:val="Refdenotaalpie"/>
        </w:rPr>
        <w:footnoteReference w:id="720"/>
      </w:r>
      <w:r>
        <w:t xml:space="preserve"> y la escuela de sicarios del Magdalena Medio, del </w:t>
      </w:r>
      <w:proofErr w:type="spellStart"/>
      <w:r>
        <w:t>Yarí</w:t>
      </w:r>
      <w:proofErr w:type="spellEnd"/>
      <w:r>
        <w:t xml:space="preserve"> en Meta y Caquetá,</w:t>
      </w:r>
      <w:r>
        <w:rPr>
          <w:spacing w:val="-15"/>
        </w:rPr>
        <w:t xml:space="preserve"> </w:t>
      </w:r>
      <w:r>
        <w:t>y</w:t>
      </w:r>
      <w:r>
        <w:rPr>
          <w:spacing w:val="-15"/>
        </w:rPr>
        <w:t xml:space="preserve"> </w:t>
      </w:r>
      <w:r>
        <w:t>de</w:t>
      </w:r>
      <w:r>
        <w:rPr>
          <w:spacing w:val="-15"/>
        </w:rPr>
        <w:t xml:space="preserve"> </w:t>
      </w:r>
      <w:r>
        <w:t>El</w:t>
      </w:r>
      <w:r>
        <w:rPr>
          <w:spacing w:val="-15"/>
        </w:rPr>
        <w:t xml:space="preserve"> </w:t>
      </w:r>
      <w:r>
        <w:t>Azul</w:t>
      </w:r>
      <w:r>
        <w:rPr>
          <w:spacing w:val="-15"/>
        </w:rPr>
        <w:t xml:space="preserve"> </w:t>
      </w:r>
      <w:r>
        <w:t>en</w:t>
      </w:r>
      <w:r>
        <w:rPr>
          <w:spacing w:val="-15"/>
        </w:rPr>
        <w:t xml:space="preserve"> </w:t>
      </w:r>
      <w:r>
        <w:t>Putumayo</w:t>
      </w:r>
      <w:r w:rsidR="00534BFB">
        <w:rPr>
          <w:rStyle w:val="Refdenotaalpie"/>
        </w:rPr>
        <w:footnoteReference w:id="721"/>
      </w:r>
      <w:r>
        <w:t>.</w:t>
      </w:r>
      <w:r>
        <w:rPr>
          <w:spacing w:val="-15"/>
        </w:rPr>
        <w:t xml:space="preserve"> </w:t>
      </w:r>
      <w:r>
        <w:t>Este</w:t>
      </w:r>
      <w:r>
        <w:rPr>
          <w:spacing w:val="-15"/>
        </w:rPr>
        <w:t xml:space="preserve"> </w:t>
      </w:r>
      <w:r>
        <w:t>entramado</w:t>
      </w:r>
      <w:r>
        <w:rPr>
          <w:spacing w:val="-15"/>
        </w:rPr>
        <w:t xml:space="preserve"> </w:t>
      </w:r>
      <w:r>
        <w:t>de</w:t>
      </w:r>
      <w:r>
        <w:rPr>
          <w:spacing w:val="-15"/>
        </w:rPr>
        <w:t xml:space="preserve"> </w:t>
      </w:r>
      <w:r>
        <w:t>actores</w:t>
      </w:r>
      <w:r>
        <w:rPr>
          <w:spacing w:val="-15"/>
        </w:rPr>
        <w:t xml:space="preserve"> </w:t>
      </w:r>
      <w:r>
        <w:t>legales</w:t>
      </w:r>
      <w:r>
        <w:rPr>
          <w:spacing w:val="-14"/>
        </w:rPr>
        <w:t xml:space="preserve"> </w:t>
      </w:r>
      <w:r>
        <w:t>e</w:t>
      </w:r>
      <w:r>
        <w:rPr>
          <w:spacing w:val="-15"/>
        </w:rPr>
        <w:t xml:space="preserve"> </w:t>
      </w:r>
      <w:r>
        <w:t>ilegales</w:t>
      </w:r>
      <w:r>
        <w:rPr>
          <w:spacing w:val="-15"/>
        </w:rPr>
        <w:t xml:space="preserve"> </w:t>
      </w:r>
      <w:r>
        <w:t>detonaron persecuciones, amenazas y asesinatos. En todos estos casos hubo un sector en el Estado (fuerza</w:t>
      </w:r>
      <w:r>
        <w:rPr>
          <w:spacing w:val="-2"/>
        </w:rPr>
        <w:t xml:space="preserve"> </w:t>
      </w:r>
      <w:r>
        <w:t>pública</w:t>
      </w:r>
      <w:r>
        <w:rPr>
          <w:spacing w:val="-2"/>
        </w:rPr>
        <w:t xml:space="preserve"> </w:t>
      </w:r>
      <w:r>
        <w:t>y</w:t>
      </w:r>
      <w:r>
        <w:rPr>
          <w:spacing w:val="-3"/>
        </w:rPr>
        <w:t xml:space="preserve"> </w:t>
      </w:r>
      <w:r>
        <w:t>agencias</w:t>
      </w:r>
      <w:r>
        <w:rPr>
          <w:spacing w:val="-2"/>
        </w:rPr>
        <w:t xml:space="preserve"> </w:t>
      </w:r>
      <w:r>
        <w:t>de</w:t>
      </w:r>
      <w:r>
        <w:rPr>
          <w:spacing w:val="-3"/>
        </w:rPr>
        <w:t xml:space="preserve"> </w:t>
      </w:r>
      <w:r>
        <w:t>inteligencia)</w:t>
      </w:r>
      <w:r>
        <w:rPr>
          <w:spacing w:val="-2"/>
        </w:rPr>
        <w:t xml:space="preserve"> </w:t>
      </w:r>
      <w:r>
        <w:t>que</w:t>
      </w:r>
      <w:r>
        <w:rPr>
          <w:spacing w:val="-3"/>
        </w:rPr>
        <w:t xml:space="preserve"> </w:t>
      </w:r>
      <w:r>
        <w:t>fungió</w:t>
      </w:r>
      <w:r>
        <w:rPr>
          <w:spacing w:val="-2"/>
        </w:rPr>
        <w:t xml:space="preserve"> </w:t>
      </w:r>
      <w:r>
        <w:t>como</w:t>
      </w:r>
      <w:r>
        <w:rPr>
          <w:spacing w:val="-3"/>
        </w:rPr>
        <w:t xml:space="preserve"> </w:t>
      </w:r>
      <w:r>
        <w:t>defensor</w:t>
      </w:r>
      <w:r>
        <w:rPr>
          <w:spacing w:val="-3"/>
        </w:rPr>
        <w:t xml:space="preserve"> </w:t>
      </w:r>
      <w:r>
        <w:t>y</w:t>
      </w:r>
      <w:r>
        <w:rPr>
          <w:spacing w:val="-2"/>
        </w:rPr>
        <w:t xml:space="preserve"> </w:t>
      </w:r>
      <w:r>
        <w:t>beneficiario</w:t>
      </w:r>
      <w:r>
        <w:rPr>
          <w:spacing w:val="-3"/>
        </w:rPr>
        <w:t xml:space="preserve"> </w:t>
      </w:r>
      <w:r>
        <w:t>de</w:t>
      </w:r>
      <w:r>
        <w:rPr>
          <w:spacing w:val="-2"/>
        </w:rPr>
        <w:t xml:space="preserve"> </w:t>
      </w:r>
      <w:r>
        <w:t xml:space="preserve">estas </w:t>
      </w:r>
      <w:r>
        <w:rPr>
          <w:spacing w:val="-2"/>
        </w:rPr>
        <w:t>alianzas.</w:t>
      </w:r>
    </w:p>
    <w:p w:rsidR="003804AC" w:rsidRDefault="00AF18A5" w:rsidP="000A50A3">
      <w:r>
        <w:t>El</w:t>
      </w:r>
      <w:r>
        <w:rPr>
          <w:spacing w:val="-11"/>
        </w:rPr>
        <w:t xml:space="preserve"> </w:t>
      </w:r>
      <w:r>
        <w:t>sistema</w:t>
      </w:r>
      <w:r>
        <w:rPr>
          <w:spacing w:val="-13"/>
        </w:rPr>
        <w:t xml:space="preserve"> </w:t>
      </w:r>
      <w:r>
        <w:t>judicial</w:t>
      </w:r>
      <w:r>
        <w:rPr>
          <w:spacing w:val="-11"/>
        </w:rPr>
        <w:t xml:space="preserve"> </w:t>
      </w:r>
      <w:r>
        <w:t>y</w:t>
      </w:r>
      <w:r>
        <w:rPr>
          <w:spacing w:val="-12"/>
        </w:rPr>
        <w:t xml:space="preserve"> </w:t>
      </w:r>
      <w:r>
        <w:t>la</w:t>
      </w:r>
      <w:r>
        <w:rPr>
          <w:spacing w:val="-12"/>
        </w:rPr>
        <w:t xml:space="preserve"> </w:t>
      </w:r>
      <w:r>
        <w:t>oposición</w:t>
      </w:r>
      <w:r>
        <w:rPr>
          <w:spacing w:val="-12"/>
        </w:rPr>
        <w:t xml:space="preserve"> </w:t>
      </w:r>
      <w:r>
        <w:t>política</w:t>
      </w:r>
      <w:r>
        <w:rPr>
          <w:spacing w:val="-12"/>
        </w:rPr>
        <w:t xml:space="preserve"> </w:t>
      </w:r>
      <w:r>
        <w:t>fueron</w:t>
      </w:r>
      <w:r>
        <w:rPr>
          <w:spacing w:val="-13"/>
        </w:rPr>
        <w:t xml:space="preserve"> </w:t>
      </w:r>
      <w:r>
        <w:t>los</w:t>
      </w:r>
      <w:r>
        <w:rPr>
          <w:spacing w:val="-12"/>
        </w:rPr>
        <w:t xml:space="preserve"> </w:t>
      </w:r>
      <w:r>
        <w:t>sectores</w:t>
      </w:r>
      <w:r>
        <w:rPr>
          <w:spacing w:val="-13"/>
        </w:rPr>
        <w:t xml:space="preserve"> </w:t>
      </w:r>
      <w:r>
        <w:t>más</w:t>
      </w:r>
      <w:r>
        <w:rPr>
          <w:spacing w:val="-12"/>
        </w:rPr>
        <w:t xml:space="preserve"> </w:t>
      </w:r>
      <w:r>
        <w:t>victimizados.</w:t>
      </w:r>
      <w:r>
        <w:rPr>
          <w:spacing w:val="-12"/>
        </w:rPr>
        <w:t xml:space="preserve"> </w:t>
      </w:r>
      <w:r>
        <w:t>Un</w:t>
      </w:r>
      <w:r>
        <w:rPr>
          <w:spacing w:val="-12"/>
        </w:rPr>
        <w:t xml:space="preserve"> </w:t>
      </w:r>
      <w:r>
        <w:t>testigo de</w:t>
      </w:r>
      <w:r>
        <w:rPr>
          <w:spacing w:val="19"/>
        </w:rPr>
        <w:t xml:space="preserve"> </w:t>
      </w:r>
      <w:r>
        <w:t>la</w:t>
      </w:r>
      <w:r>
        <w:rPr>
          <w:spacing w:val="22"/>
        </w:rPr>
        <w:t xml:space="preserve"> </w:t>
      </w:r>
      <w:r>
        <w:t>destrucción</w:t>
      </w:r>
      <w:r>
        <w:rPr>
          <w:spacing w:val="21"/>
        </w:rPr>
        <w:t xml:space="preserve"> </w:t>
      </w:r>
      <w:r>
        <w:t>de</w:t>
      </w:r>
      <w:r>
        <w:rPr>
          <w:spacing w:val="20"/>
        </w:rPr>
        <w:t xml:space="preserve"> </w:t>
      </w:r>
      <w:r>
        <w:t>un</w:t>
      </w:r>
      <w:r>
        <w:rPr>
          <w:spacing w:val="20"/>
        </w:rPr>
        <w:t xml:space="preserve"> </w:t>
      </w:r>
      <w:r>
        <w:t>sindicato</w:t>
      </w:r>
      <w:r>
        <w:rPr>
          <w:spacing w:val="20"/>
        </w:rPr>
        <w:t xml:space="preserve"> </w:t>
      </w:r>
      <w:r>
        <w:t>judicial</w:t>
      </w:r>
      <w:r>
        <w:rPr>
          <w:spacing w:val="22"/>
        </w:rPr>
        <w:t xml:space="preserve"> </w:t>
      </w:r>
      <w:r>
        <w:t>en</w:t>
      </w:r>
      <w:r>
        <w:rPr>
          <w:spacing w:val="20"/>
        </w:rPr>
        <w:t xml:space="preserve"> </w:t>
      </w:r>
      <w:r>
        <w:t>el</w:t>
      </w:r>
      <w:r>
        <w:rPr>
          <w:spacing w:val="20"/>
        </w:rPr>
        <w:t xml:space="preserve"> </w:t>
      </w:r>
      <w:r>
        <w:t>Valle</w:t>
      </w:r>
      <w:r>
        <w:rPr>
          <w:spacing w:val="22"/>
        </w:rPr>
        <w:t xml:space="preserve"> </w:t>
      </w:r>
      <w:r>
        <w:t>por</w:t>
      </w:r>
      <w:r>
        <w:rPr>
          <w:spacing w:val="22"/>
        </w:rPr>
        <w:t xml:space="preserve"> </w:t>
      </w:r>
      <w:r>
        <w:t>parte</w:t>
      </w:r>
      <w:r>
        <w:rPr>
          <w:spacing w:val="22"/>
        </w:rPr>
        <w:t xml:space="preserve"> </w:t>
      </w:r>
      <w:r>
        <w:t>de</w:t>
      </w:r>
      <w:r>
        <w:rPr>
          <w:spacing w:val="22"/>
        </w:rPr>
        <w:t xml:space="preserve"> </w:t>
      </w:r>
      <w:r>
        <w:t>las</w:t>
      </w:r>
      <w:r>
        <w:rPr>
          <w:spacing w:val="22"/>
        </w:rPr>
        <w:t xml:space="preserve"> </w:t>
      </w:r>
      <w:r>
        <w:t>redes</w:t>
      </w:r>
      <w:r>
        <w:rPr>
          <w:spacing w:val="22"/>
        </w:rPr>
        <w:t xml:space="preserve"> </w:t>
      </w:r>
      <w:r>
        <w:t>de</w:t>
      </w:r>
      <w:r>
        <w:rPr>
          <w:spacing w:val="22"/>
        </w:rPr>
        <w:t xml:space="preserve"> </w:t>
      </w:r>
      <w:r>
        <w:rPr>
          <w:spacing w:val="-2"/>
        </w:rPr>
        <w:t>protección</w:t>
      </w:r>
      <w:bookmarkStart w:id="899" w:name="_bookmark785"/>
      <w:bookmarkStart w:id="900" w:name="_bookmark786"/>
      <w:bookmarkStart w:id="901" w:name="_bookmark787"/>
      <w:bookmarkStart w:id="902" w:name="_bookmark788"/>
      <w:bookmarkStart w:id="903" w:name="_bookmark789"/>
      <w:bookmarkEnd w:id="899"/>
      <w:bookmarkEnd w:id="900"/>
      <w:bookmarkEnd w:id="901"/>
      <w:bookmarkEnd w:id="902"/>
      <w:bookmarkEnd w:id="903"/>
      <w:r w:rsidR="000A50A3">
        <w:t xml:space="preserve"> </w:t>
      </w:r>
      <w:r>
        <w:t>constituidas</w:t>
      </w:r>
      <w:r>
        <w:rPr>
          <w:spacing w:val="4"/>
        </w:rPr>
        <w:t xml:space="preserve"> </w:t>
      </w:r>
      <w:r>
        <w:t>por</w:t>
      </w:r>
      <w:r>
        <w:rPr>
          <w:spacing w:val="6"/>
        </w:rPr>
        <w:t xml:space="preserve"> </w:t>
      </w:r>
      <w:r>
        <w:t>el</w:t>
      </w:r>
      <w:r>
        <w:rPr>
          <w:spacing w:val="7"/>
        </w:rPr>
        <w:t xml:space="preserve"> </w:t>
      </w:r>
      <w:r>
        <w:t>Cartel</w:t>
      </w:r>
      <w:r>
        <w:rPr>
          <w:spacing w:val="5"/>
        </w:rPr>
        <w:t xml:space="preserve"> </w:t>
      </w:r>
      <w:r>
        <w:t>de</w:t>
      </w:r>
      <w:r>
        <w:rPr>
          <w:spacing w:val="7"/>
        </w:rPr>
        <w:t xml:space="preserve"> </w:t>
      </w:r>
      <w:r>
        <w:t>Cali</w:t>
      </w:r>
      <w:r>
        <w:rPr>
          <w:spacing w:val="6"/>
        </w:rPr>
        <w:t xml:space="preserve"> </w:t>
      </w:r>
      <w:r>
        <w:t>le</w:t>
      </w:r>
      <w:r>
        <w:rPr>
          <w:spacing w:val="7"/>
        </w:rPr>
        <w:t xml:space="preserve"> </w:t>
      </w:r>
      <w:r>
        <w:t>relató</w:t>
      </w:r>
      <w:r>
        <w:rPr>
          <w:spacing w:val="6"/>
        </w:rPr>
        <w:t xml:space="preserve"> </w:t>
      </w:r>
      <w:r>
        <w:t>a</w:t>
      </w:r>
      <w:r>
        <w:rPr>
          <w:spacing w:val="6"/>
        </w:rPr>
        <w:t xml:space="preserve"> </w:t>
      </w:r>
      <w:r>
        <w:t>la</w:t>
      </w:r>
      <w:r>
        <w:rPr>
          <w:spacing w:val="6"/>
        </w:rPr>
        <w:t xml:space="preserve"> </w:t>
      </w:r>
      <w:r>
        <w:t>Comisión</w:t>
      </w:r>
      <w:r>
        <w:rPr>
          <w:spacing w:val="6"/>
        </w:rPr>
        <w:t xml:space="preserve"> </w:t>
      </w:r>
      <w:r>
        <w:t>lo</w:t>
      </w:r>
      <w:r>
        <w:rPr>
          <w:spacing w:val="6"/>
        </w:rPr>
        <w:t xml:space="preserve"> </w:t>
      </w:r>
      <w:r>
        <w:t>vivido</w:t>
      </w:r>
      <w:r>
        <w:rPr>
          <w:spacing w:val="7"/>
        </w:rPr>
        <w:t xml:space="preserve"> </w:t>
      </w:r>
      <w:r>
        <w:t>en</w:t>
      </w:r>
      <w:r>
        <w:rPr>
          <w:spacing w:val="6"/>
        </w:rPr>
        <w:t xml:space="preserve"> </w:t>
      </w:r>
      <w:r>
        <w:t>la</w:t>
      </w:r>
      <w:r>
        <w:rPr>
          <w:spacing w:val="7"/>
        </w:rPr>
        <w:t xml:space="preserve"> </w:t>
      </w:r>
      <w:r>
        <w:t>década</w:t>
      </w:r>
      <w:r>
        <w:rPr>
          <w:spacing w:val="6"/>
        </w:rPr>
        <w:t xml:space="preserve"> </w:t>
      </w:r>
      <w:r>
        <w:t>del</w:t>
      </w:r>
      <w:r>
        <w:rPr>
          <w:spacing w:val="7"/>
        </w:rPr>
        <w:t xml:space="preserve"> </w:t>
      </w:r>
      <w:r>
        <w:rPr>
          <w:spacing w:val="-2"/>
        </w:rPr>
        <w:t>ochenta</w:t>
      </w:r>
    </w:p>
    <w:p w:rsidR="003804AC" w:rsidRDefault="00AF18A5" w:rsidP="000A50A3">
      <w:r>
        <w:t>«Y</w:t>
      </w:r>
      <w:r>
        <w:rPr>
          <w:spacing w:val="-7"/>
        </w:rPr>
        <w:t xml:space="preserve"> </w:t>
      </w:r>
      <w:r>
        <w:t>eso</w:t>
      </w:r>
      <w:r>
        <w:rPr>
          <w:spacing w:val="-6"/>
        </w:rPr>
        <w:t xml:space="preserve"> </w:t>
      </w:r>
      <w:r>
        <w:t>era</w:t>
      </w:r>
      <w:r>
        <w:rPr>
          <w:spacing w:val="-6"/>
        </w:rPr>
        <w:t xml:space="preserve"> </w:t>
      </w:r>
      <w:r>
        <w:t>una</w:t>
      </w:r>
      <w:r>
        <w:rPr>
          <w:spacing w:val="-6"/>
        </w:rPr>
        <w:t xml:space="preserve"> </w:t>
      </w:r>
      <w:r>
        <w:t>cosa</w:t>
      </w:r>
      <w:r>
        <w:rPr>
          <w:spacing w:val="-6"/>
        </w:rPr>
        <w:t xml:space="preserve"> </w:t>
      </w:r>
      <w:r>
        <w:t>de</w:t>
      </w:r>
      <w:r>
        <w:rPr>
          <w:spacing w:val="-6"/>
        </w:rPr>
        <w:t xml:space="preserve"> </w:t>
      </w:r>
      <w:r>
        <w:rPr>
          <w:i/>
        </w:rPr>
        <w:t>vox</w:t>
      </w:r>
      <w:r>
        <w:rPr>
          <w:i/>
          <w:spacing w:val="-6"/>
        </w:rPr>
        <w:t xml:space="preserve"> </w:t>
      </w:r>
      <w:r>
        <w:rPr>
          <w:i/>
        </w:rPr>
        <w:t>populi</w:t>
      </w:r>
      <w:r>
        <w:t>,</w:t>
      </w:r>
      <w:r>
        <w:rPr>
          <w:spacing w:val="-6"/>
        </w:rPr>
        <w:t xml:space="preserve"> </w:t>
      </w:r>
      <w:r>
        <w:t>se</w:t>
      </w:r>
      <w:r>
        <w:rPr>
          <w:spacing w:val="-7"/>
        </w:rPr>
        <w:t xml:space="preserve"> </w:t>
      </w:r>
      <w:r>
        <w:t>sabía,</w:t>
      </w:r>
      <w:r>
        <w:rPr>
          <w:spacing w:val="-6"/>
        </w:rPr>
        <w:t xml:space="preserve"> </w:t>
      </w:r>
      <w:r>
        <w:t>pero</w:t>
      </w:r>
      <w:r>
        <w:rPr>
          <w:spacing w:val="-7"/>
        </w:rPr>
        <w:t xml:space="preserve"> </w:t>
      </w:r>
      <w:r>
        <w:t>como</w:t>
      </w:r>
      <w:r>
        <w:rPr>
          <w:spacing w:val="-6"/>
        </w:rPr>
        <w:t xml:space="preserve"> </w:t>
      </w:r>
      <w:r>
        <w:t>siempre,</w:t>
      </w:r>
      <w:r>
        <w:rPr>
          <w:spacing w:val="-6"/>
        </w:rPr>
        <w:t xml:space="preserve"> </w:t>
      </w:r>
      <w:r>
        <w:t>se</w:t>
      </w:r>
      <w:r>
        <w:rPr>
          <w:spacing w:val="-6"/>
        </w:rPr>
        <w:t xml:space="preserve"> </w:t>
      </w:r>
      <w:r>
        <w:t>calla</w:t>
      </w:r>
      <w:r>
        <w:rPr>
          <w:spacing w:val="-6"/>
        </w:rPr>
        <w:t xml:space="preserve"> </w:t>
      </w:r>
      <w:r>
        <w:t>todo»</w:t>
      </w:r>
      <w:r w:rsidR="000A50A3">
        <w:rPr>
          <w:rStyle w:val="Refdenotaalpie"/>
        </w:rPr>
        <w:footnoteReference w:id="722"/>
      </w:r>
      <w:r>
        <w:t>.</w:t>
      </w:r>
      <w:r>
        <w:rPr>
          <w:spacing w:val="-1"/>
        </w:rPr>
        <w:t xml:space="preserve"> </w:t>
      </w:r>
      <w:r>
        <w:t>Más</w:t>
      </w:r>
      <w:r>
        <w:rPr>
          <w:spacing w:val="-6"/>
        </w:rPr>
        <w:t xml:space="preserve"> </w:t>
      </w:r>
      <w:r>
        <w:t>de</w:t>
      </w:r>
      <w:r>
        <w:rPr>
          <w:spacing w:val="-6"/>
        </w:rPr>
        <w:t xml:space="preserve"> </w:t>
      </w:r>
      <w:r>
        <w:t>30 años después, una fiscal le relató a la Comisión otros hechos recientes que la llevaron al exilio,</w:t>
      </w:r>
      <w:r>
        <w:rPr>
          <w:spacing w:val="-3"/>
        </w:rPr>
        <w:t xml:space="preserve"> </w:t>
      </w:r>
      <w:r>
        <w:t>como</w:t>
      </w:r>
      <w:r>
        <w:rPr>
          <w:spacing w:val="-4"/>
        </w:rPr>
        <w:t xml:space="preserve"> </w:t>
      </w:r>
      <w:r>
        <w:t>las</w:t>
      </w:r>
      <w:r>
        <w:rPr>
          <w:spacing w:val="-2"/>
        </w:rPr>
        <w:t xml:space="preserve"> </w:t>
      </w:r>
      <w:r>
        <w:t>graves</w:t>
      </w:r>
      <w:r>
        <w:rPr>
          <w:spacing w:val="-2"/>
        </w:rPr>
        <w:t xml:space="preserve"> </w:t>
      </w:r>
      <w:r>
        <w:t>amenazas</w:t>
      </w:r>
      <w:r>
        <w:rPr>
          <w:spacing w:val="-2"/>
        </w:rPr>
        <w:t xml:space="preserve"> </w:t>
      </w:r>
      <w:r>
        <w:t>a</w:t>
      </w:r>
      <w:r>
        <w:rPr>
          <w:spacing w:val="-2"/>
        </w:rPr>
        <w:t xml:space="preserve"> </w:t>
      </w:r>
      <w:r>
        <w:t>toda</w:t>
      </w:r>
      <w:r>
        <w:rPr>
          <w:spacing w:val="-2"/>
        </w:rPr>
        <w:t xml:space="preserve"> </w:t>
      </w:r>
      <w:r>
        <w:t>su</w:t>
      </w:r>
      <w:r>
        <w:rPr>
          <w:spacing w:val="-3"/>
        </w:rPr>
        <w:t xml:space="preserve"> </w:t>
      </w:r>
      <w:r>
        <w:t>familia</w:t>
      </w:r>
      <w:r>
        <w:rPr>
          <w:spacing w:val="-2"/>
        </w:rPr>
        <w:t xml:space="preserve"> </w:t>
      </w:r>
      <w:r>
        <w:t>por</w:t>
      </w:r>
      <w:r>
        <w:rPr>
          <w:spacing w:val="-2"/>
        </w:rPr>
        <w:t xml:space="preserve"> </w:t>
      </w:r>
      <w:r>
        <w:t>parte</w:t>
      </w:r>
      <w:r>
        <w:rPr>
          <w:spacing w:val="-2"/>
        </w:rPr>
        <w:t xml:space="preserve"> </w:t>
      </w:r>
      <w:r>
        <w:t>de</w:t>
      </w:r>
      <w:r>
        <w:rPr>
          <w:spacing w:val="-2"/>
        </w:rPr>
        <w:t xml:space="preserve"> </w:t>
      </w:r>
      <w:r>
        <w:t>una</w:t>
      </w:r>
      <w:r>
        <w:rPr>
          <w:spacing w:val="-2"/>
        </w:rPr>
        <w:t xml:space="preserve"> </w:t>
      </w:r>
      <w:r>
        <w:t>estructura</w:t>
      </w:r>
      <w:r>
        <w:rPr>
          <w:spacing w:val="-2"/>
        </w:rPr>
        <w:t xml:space="preserve"> </w:t>
      </w:r>
      <w:r>
        <w:t>del</w:t>
      </w:r>
      <w:r>
        <w:rPr>
          <w:spacing w:val="-2"/>
        </w:rPr>
        <w:t xml:space="preserve"> </w:t>
      </w:r>
      <w:r>
        <w:t>Cartel</w:t>
      </w:r>
      <w:r>
        <w:rPr>
          <w:spacing w:val="-2"/>
        </w:rPr>
        <w:t xml:space="preserve"> </w:t>
      </w:r>
      <w:r>
        <w:t>del Norte del Valle: «Es que para mí los paramilitares no se han acabado»</w:t>
      </w:r>
      <w:r w:rsidR="000A50A3">
        <w:rPr>
          <w:rStyle w:val="Refdenotaalpie"/>
        </w:rPr>
        <w:footnoteReference w:id="723"/>
      </w:r>
      <w:r>
        <w:t>.</w:t>
      </w:r>
    </w:p>
    <w:p w:rsidR="003804AC" w:rsidRDefault="00AF18A5" w:rsidP="000A50A3">
      <w:r>
        <w:t>Desde</w:t>
      </w:r>
      <w:r>
        <w:rPr>
          <w:spacing w:val="-15"/>
        </w:rPr>
        <w:t xml:space="preserve"> </w:t>
      </w:r>
      <w:r>
        <w:t>mediados</w:t>
      </w:r>
      <w:r>
        <w:rPr>
          <w:spacing w:val="-15"/>
        </w:rPr>
        <w:t xml:space="preserve"> </w:t>
      </w:r>
      <w:r>
        <w:t>de</w:t>
      </w:r>
      <w:r>
        <w:rPr>
          <w:spacing w:val="-15"/>
        </w:rPr>
        <w:t xml:space="preserve"> </w:t>
      </w:r>
      <w:r>
        <w:t>los</w:t>
      </w:r>
      <w:r>
        <w:rPr>
          <w:spacing w:val="-15"/>
        </w:rPr>
        <w:t xml:space="preserve"> </w:t>
      </w:r>
      <w:r>
        <w:t>años</w:t>
      </w:r>
      <w:r>
        <w:rPr>
          <w:spacing w:val="-15"/>
        </w:rPr>
        <w:t xml:space="preserve"> </w:t>
      </w:r>
      <w:r>
        <w:t>ochenta,</w:t>
      </w:r>
      <w:r>
        <w:rPr>
          <w:spacing w:val="-15"/>
        </w:rPr>
        <w:t xml:space="preserve"> </w:t>
      </w:r>
      <w:r>
        <w:t>al</w:t>
      </w:r>
      <w:r>
        <w:rPr>
          <w:spacing w:val="-15"/>
        </w:rPr>
        <w:t xml:space="preserve"> </w:t>
      </w:r>
      <w:r>
        <w:t>menos,</w:t>
      </w:r>
      <w:r>
        <w:rPr>
          <w:spacing w:val="-15"/>
        </w:rPr>
        <w:t xml:space="preserve"> </w:t>
      </w:r>
      <w:r>
        <w:t>los</w:t>
      </w:r>
      <w:r>
        <w:rPr>
          <w:spacing w:val="-15"/>
        </w:rPr>
        <w:t xml:space="preserve"> </w:t>
      </w:r>
      <w:r>
        <w:t>cultivadores</w:t>
      </w:r>
      <w:r>
        <w:rPr>
          <w:spacing w:val="-15"/>
        </w:rPr>
        <w:t xml:space="preserve"> </w:t>
      </w:r>
      <w:r>
        <w:t>y</w:t>
      </w:r>
      <w:r>
        <w:rPr>
          <w:spacing w:val="-14"/>
        </w:rPr>
        <w:t xml:space="preserve"> </w:t>
      </w:r>
      <w:r>
        <w:t>pobladores</w:t>
      </w:r>
      <w:r>
        <w:rPr>
          <w:spacing w:val="-15"/>
        </w:rPr>
        <w:t xml:space="preserve"> </w:t>
      </w:r>
      <w:r>
        <w:t>de</w:t>
      </w:r>
      <w:r>
        <w:rPr>
          <w:spacing w:val="-15"/>
        </w:rPr>
        <w:t xml:space="preserve"> </w:t>
      </w:r>
      <w:r>
        <w:t>territorios con coca y marihuana han sufrido la violencia de los choques entre los distintos grupos armados que han tratado tanto de controlar el mercado de la cocaína como de llevar a cabo una</w:t>
      </w:r>
      <w:r>
        <w:rPr>
          <w:spacing w:val="-15"/>
        </w:rPr>
        <w:t xml:space="preserve"> </w:t>
      </w:r>
      <w:r>
        <w:t>guerra</w:t>
      </w:r>
      <w:r>
        <w:rPr>
          <w:spacing w:val="-15"/>
        </w:rPr>
        <w:t xml:space="preserve"> </w:t>
      </w:r>
      <w:r>
        <w:t>insurgente-contrainsurgente</w:t>
      </w:r>
      <w:r>
        <w:rPr>
          <w:spacing w:val="-15"/>
        </w:rPr>
        <w:t xml:space="preserve"> </w:t>
      </w:r>
      <w:r>
        <w:t>en</w:t>
      </w:r>
      <w:r>
        <w:rPr>
          <w:spacing w:val="-15"/>
        </w:rPr>
        <w:t xml:space="preserve"> </w:t>
      </w:r>
      <w:r>
        <w:t>la</w:t>
      </w:r>
      <w:r>
        <w:rPr>
          <w:spacing w:val="-15"/>
        </w:rPr>
        <w:t xml:space="preserve"> </w:t>
      </w:r>
      <w:r>
        <w:t>que</w:t>
      </w:r>
      <w:r>
        <w:rPr>
          <w:spacing w:val="-15"/>
        </w:rPr>
        <w:t xml:space="preserve"> </w:t>
      </w:r>
      <w:r>
        <w:t>la</w:t>
      </w:r>
      <w:r>
        <w:rPr>
          <w:spacing w:val="-15"/>
        </w:rPr>
        <w:t xml:space="preserve"> </w:t>
      </w:r>
      <w:r>
        <w:t>población</w:t>
      </w:r>
      <w:r>
        <w:rPr>
          <w:spacing w:val="-15"/>
        </w:rPr>
        <w:t xml:space="preserve"> </w:t>
      </w:r>
      <w:r>
        <w:t>civil</w:t>
      </w:r>
      <w:r>
        <w:rPr>
          <w:spacing w:val="-15"/>
        </w:rPr>
        <w:t xml:space="preserve"> </w:t>
      </w:r>
      <w:r>
        <w:t>ha</w:t>
      </w:r>
      <w:r>
        <w:rPr>
          <w:spacing w:val="-15"/>
        </w:rPr>
        <w:t xml:space="preserve"> </w:t>
      </w:r>
      <w:r>
        <w:t>sido</w:t>
      </w:r>
      <w:r>
        <w:rPr>
          <w:spacing w:val="-15"/>
        </w:rPr>
        <w:t xml:space="preserve"> </w:t>
      </w:r>
      <w:r>
        <w:t>afectada</w:t>
      </w:r>
      <w:r>
        <w:rPr>
          <w:spacing w:val="-15"/>
        </w:rPr>
        <w:t xml:space="preserve"> </w:t>
      </w:r>
      <w:r>
        <w:t>en</w:t>
      </w:r>
      <w:r>
        <w:rPr>
          <w:spacing w:val="-15"/>
        </w:rPr>
        <w:t xml:space="preserve"> </w:t>
      </w:r>
      <w:r>
        <w:t>primer término. La disputa e imposición a través de la violencia, la consideración de la población como</w:t>
      </w:r>
      <w:r>
        <w:rPr>
          <w:spacing w:val="-9"/>
        </w:rPr>
        <w:t xml:space="preserve"> </w:t>
      </w:r>
      <w:r>
        <w:t>enemigo</w:t>
      </w:r>
      <w:r>
        <w:rPr>
          <w:spacing w:val="-9"/>
        </w:rPr>
        <w:t xml:space="preserve"> </w:t>
      </w:r>
      <w:r>
        <w:t>por</w:t>
      </w:r>
      <w:r>
        <w:rPr>
          <w:spacing w:val="-9"/>
        </w:rPr>
        <w:t xml:space="preserve"> </w:t>
      </w:r>
      <w:r>
        <w:t>los</w:t>
      </w:r>
      <w:r>
        <w:rPr>
          <w:spacing w:val="-9"/>
        </w:rPr>
        <w:t xml:space="preserve"> </w:t>
      </w:r>
      <w:r>
        <w:t>diferentes</w:t>
      </w:r>
      <w:r>
        <w:rPr>
          <w:spacing w:val="-9"/>
        </w:rPr>
        <w:t xml:space="preserve"> </w:t>
      </w:r>
      <w:r>
        <w:t>grupos</w:t>
      </w:r>
      <w:r>
        <w:rPr>
          <w:spacing w:val="-9"/>
        </w:rPr>
        <w:t xml:space="preserve"> </w:t>
      </w:r>
      <w:r>
        <w:t>y</w:t>
      </w:r>
      <w:r>
        <w:rPr>
          <w:spacing w:val="-9"/>
        </w:rPr>
        <w:t xml:space="preserve"> </w:t>
      </w:r>
      <w:r>
        <w:lastRenderedPageBreak/>
        <w:t>las</w:t>
      </w:r>
      <w:r>
        <w:rPr>
          <w:spacing w:val="-9"/>
        </w:rPr>
        <w:t xml:space="preserve"> </w:t>
      </w:r>
      <w:r>
        <w:t>respuestas</w:t>
      </w:r>
      <w:r>
        <w:rPr>
          <w:spacing w:val="-9"/>
        </w:rPr>
        <w:t xml:space="preserve"> </w:t>
      </w:r>
      <w:r>
        <w:t>violentas</w:t>
      </w:r>
      <w:r>
        <w:rPr>
          <w:spacing w:val="-9"/>
        </w:rPr>
        <w:t xml:space="preserve"> </w:t>
      </w:r>
      <w:r>
        <w:t>ante</w:t>
      </w:r>
      <w:r>
        <w:rPr>
          <w:spacing w:val="-9"/>
        </w:rPr>
        <w:t xml:space="preserve"> </w:t>
      </w:r>
      <w:r>
        <w:t>las</w:t>
      </w:r>
      <w:r>
        <w:rPr>
          <w:spacing w:val="-9"/>
        </w:rPr>
        <w:t xml:space="preserve"> </w:t>
      </w:r>
      <w:r>
        <w:t>resistencias</w:t>
      </w:r>
      <w:r>
        <w:rPr>
          <w:spacing w:val="-9"/>
        </w:rPr>
        <w:t xml:space="preserve"> </w:t>
      </w:r>
      <w:r>
        <w:t>frente a</w:t>
      </w:r>
      <w:r>
        <w:rPr>
          <w:spacing w:val="-15"/>
        </w:rPr>
        <w:t xml:space="preserve"> </w:t>
      </w:r>
      <w:r>
        <w:t>la</w:t>
      </w:r>
      <w:r>
        <w:rPr>
          <w:spacing w:val="-15"/>
        </w:rPr>
        <w:t xml:space="preserve"> </w:t>
      </w:r>
      <w:r>
        <w:t>imposición</w:t>
      </w:r>
      <w:r>
        <w:rPr>
          <w:spacing w:val="-15"/>
        </w:rPr>
        <w:t xml:space="preserve"> </w:t>
      </w:r>
      <w:r>
        <w:t>han</w:t>
      </w:r>
      <w:r>
        <w:rPr>
          <w:spacing w:val="-15"/>
        </w:rPr>
        <w:t xml:space="preserve"> </w:t>
      </w:r>
      <w:r>
        <w:t>producido</w:t>
      </w:r>
      <w:r>
        <w:rPr>
          <w:spacing w:val="-14"/>
        </w:rPr>
        <w:t xml:space="preserve"> </w:t>
      </w:r>
      <w:r>
        <w:t>miles</w:t>
      </w:r>
      <w:r>
        <w:rPr>
          <w:spacing w:val="-15"/>
        </w:rPr>
        <w:t xml:space="preserve"> </w:t>
      </w:r>
      <w:r>
        <w:t>de</w:t>
      </w:r>
      <w:r>
        <w:rPr>
          <w:spacing w:val="-15"/>
        </w:rPr>
        <w:t xml:space="preserve"> </w:t>
      </w:r>
      <w:r>
        <w:t>víctimas,</w:t>
      </w:r>
      <w:r>
        <w:rPr>
          <w:spacing w:val="-15"/>
        </w:rPr>
        <w:t xml:space="preserve"> </w:t>
      </w:r>
      <w:r>
        <w:t>especialmente</w:t>
      </w:r>
      <w:r>
        <w:rPr>
          <w:spacing w:val="-15"/>
        </w:rPr>
        <w:t xml:space="preserve"> </w:t>
      </w:r>
      <w:r>
        <w:t>entre</w:t>
      </w:r>
      <w:r>
        <w:rPr>
          <w:spacing w:val="-14"/>
        </w:rPr>
        <w:t xml:space="preserve"> </w:t>
      </w:r>
      <w:r>
        <w:t>la</w:t>
      </w:r>
      <w:r>
        <w:rPr>
          <w:spacing w:val="-15"/>
        </w:rPr>
        <w:t xml:space="preserve"> </w:t>
      </w:r>
      <w:r>
        <w:t>población</w:t>
      </w:r>
      <w:r>
        <w:rPr>
          <w:spacing w:val="-15"/>
        </w:rPr>
        <w:t xml:space="preserve"> </w:t>
      </w:r>
      <w:r>
        <w:t>campesina y los pueblos étnicos.</w:t>
      </w:r>
    </w:p>
    <w:p w:rsidR="000A50A3" w:rsidRDefault="000A50A3" w:rsidP="00554CD7">
      <w:pPr>
        <w:pStyle w:val="Ttulo4"/>
      </w:pPr>
      <w:r>
        <w:t>“Crímenes</w:t>
      </w:r>
      <w:r>
        <w:rPr>
          <w:spacing w:val="-2"/>
        </w:rPr>
        <w:t xml:space="preserve"> </w:t>
      </w:r>
      <w:r>
        <w:t>contra</w:t>
      </w:r>
      <w:r>
        <w:rPr>
          <w:spacing w:val="-2"/>
        </w:rPr>
        <w:t xml:space="preserve"> </w:t>
      </w:r>
      <w:r>
        <w:t>usuarios</w:t>
      </w:r>
      <w:r>
        <w:rPr>
          <w:spacing w:val="-2"/>
        </w:rPr>
        <w:t xml:space="preserve"> </w:t>
      </w:r>
      <w:r>
        <w:t>de</w:t>
      </w:r>
      <w:r>
        <w:rPr>
          <w:spacing w:val="-1"/>
        </w:rPr>
        <w:t xml:space="preserve"> </w:t>
      </w:r>
      <w:r>
        <w:rPr>
          <w:spacing w:val="-2"/>
        </w:rPr>
        <w:t>drogas</w:t>
      </w:r>
    </w:p>
    <w:p w:rsidR="003804AC" w:rsidRPr="000A50A3" w:rsidRDefault="000A50A3" w:rsidP="000A50A3">
      <w:r>
        <w:t>Otro</w:t>
      </w:r>
      <w:r>
        <w:rPr>
          <w:spacing w:val="-2"/>
        </w:rPr>
        <w:t xml:space="preserve"> </w:t>
      </w:r>
      <w:r>
        <w:t>patrón</w:t>
      </w:r>
      <w:r>
        <w:rPr>
          <w:spacing w:val="-3"/>
        </w:rPr>
        <w:t xml:space="preserve"> </w:t>
      </w:r>
      <w:r>
        <w:t>de</w:t>
      </w:r>
      <w:r>
        <w:rPr>
          <w:spacing w:val="-2"/>
        </w:rPr>
        <w:t xml:space="preserve"> </w:t>
      </w:r>
      <w:r>
        <w:t>victimización</w:t>
      </w:r>
      <w:r>
        <w:rPr>
          <w:spacing w:val="-2"/>
        </w:rPr>
        <w:t xml:space="preserve"> </w:t>
      </w:r>
      <w:r>
        <w:t>es</w:t>
      </w:r>
      <w:r>
        <w:rPr>
          <w:spacing w:val="-3"/>
        </w:rPr>
        <w:t xml:space="preserve"> </w:t>
      </w:r>
      <w:r>
        <w:t>el</w:t>
      </w:r>
      <w:r>
        <w:rPr>
          <w:spacing w:val="-2"/>
        </w:rPr>
        <w:t xml:space="preserve"> </w:t>
      </w:r>
      <w:r>
        <w:t>de</w:t>
      </w:r>
      <w:r>
        <w:rPr>
          <w:spacing w:val="-3"/>
        </w:rPr>
        <w:t xml:space="preserve"> </w:t>
      </w:r>
      <w:r>
        <w:t>los</w:t>
      </w:r>
      <w:r>
        <w:rPr>
          <w:spacing w:val="-2"/>
        </w:rPr>
        <w:t xml:space="preserve"> </w:t>
      </w:r>
      <w:r>
        <w:t>crímenes</w:t>
      </w:r>
      <w:r>
        <w:rPr>
          <w:spacing w:val="-2"/>
        </w:rPr>
        <w:t xml:space="preserve"> </w:t>
      </w:r>
      <w:r>
        <w:t>por</w:t>
      </w:r>
      <w:r>
        <w:rPr>
          <w:spacing w:val="-2"/>
        </w:rPr>
        <w:t xml:space="preserve"> </w:t>
      </w:r>
      <w:r>
        <w:t>discriminación</w:t>
      </w:r>
      <w:r>
        <w:rPr>
          <w:spacing w:val="-2"/>
        </w:rPr>
        <w:t xml:space="preserve"> </w:t>
      </w:r>
      <w:r>
        <w:t>contra</w:t>
      </w:r>
      <w:r>
        <w:rPr>
          <w:spacing w:val="-3"/>
        </w:rPr>
        <w:t xml:space="preserve"> </w:t>
      </w:r>
      <w:r>
        <w:t>los</w:t>
      </w:r>
      <w:r>
        <w:rPr>
          <w:spacing w:val="-2"/>
        </w:rPr>
        <w:t xml:space="preserve"> </w:t>
      </w:r>
      <w:r>
        <w:t>usuarios</w:t>
      </w:r>
      <w:r>
        <w:rPr>
          <w:spacing w:val="-2"/>
        </w:rPr>
        <w:t xml:space="preserve"> </w:t>
      </w:r>
      <w:r>
        <w:t>de drogas en el marco del conflicto armado</w:t>
      </w:r>
      <w:r>
        <w:rPr>
          <w:rStyle w:val="Refdenotaalpie"/>
        </w:rPr>
        <w:footnoteReference w:id="724"/>
      </w:r>
      <w:r>
        <w:t xml:space="preserve">. Esto conjugó una mirada </w:t>
      </w:r>
      <w:proofErr w:type="spellStart"/>
      <w:r>
        <w:t>estigmatizante</w:t>
      </w:r>
      <w:proofErr w:type="spellEnd"/>
      <w:r>
        <w:t xml:space="preserve"> promovida</w:t>
      </w:r>
      <w:r>
        <w:rPr>
          <w:spacing w:val="-3"/>
        </w:rPr>
        <w:t xml:space="preserve"> </w:t>
      </w:r>
      <w:r>
        <w:t>por</w:t>
      </w:r>
      <w:r>
        <w:rPr>
          <w:spacing w:val="-3"/>
        </w:rPr>
        <w:t xml:space="preserve"> </w:t>
      </w:r>
      <w:r>
        <w:t>el</w:t>
      </w:r>
      <w:r>
        <w:rPr>
          <w:spacing w:val="-3"/>
        </w:rPr>
        <w:t xml:space="preserve"> </w:t>
      </w:r>
      <w:r>
        <w:t>discurso</w:t>
      </w:r>
      <w:r>
        <w:rPr>
          <w:spacing w:val="-3"/>
        </w:rPr>
        <w:t xml:space="preserve"> </w:t>
      </w:r>
      <w:r>
        <w:t>global</w:t>
      </w:r>
      <w:r>
        <w:rPr>
          <w:spacing w:val="-3"/>
        </w:rPr>
        <w:t xml:space="preserve"> </w:t>
      </w:r>
      <w:r>
        <w:t>imperante</w:t>
      </w:r>
      <w:r>
        <w:rPr>
          <w:spacing w:val="-3"/>
        </w:rPr>
        <w:t xml:space="preserve"> </w:t>
      </w:r>
      <w:r>
        <w:t>que</w:t>
      </w:r>
      <w:r>
        <w:rPr>
          <w:spacing w:val="-3"/>
        </w:rPr>
        <w:t xml:space="preserve"> </w:t>
      </w:r>
      <w:r>
        <w:t>instaló</w:t>
      </w:r>
      <w:r>
        <w:rPr>
          <w:spacing w:val="-3"/>
        </w:rPr>
        <w:t xml:space="preserve"> </w:t>
      </w:r>
      <w:r>
        <w:t>en</w:t>
      </w:r>
      <w:r>
        <w:rPr>
          <w:spacing w:val="-3"/>
        </w:rPr>
        <w:t xml:space="preserve"> </w:t>
      </w:r>
      <w:r>
        <w:t>Colombia</w:t>
      </w:r>
      <w:r>
        <w:rPr>
          <w:spacing w:val="-3"/>
        </w:rPr>
        <w:t xml:space="preserve"> </w:t>
      </w:r>
      <w:r>
        <w:t>la</w:t>
      </w:r>
      <w:r>
        <w:rPr>
          <w:spacing w:val="-3"/>
        </w:rPr>
        <w:t xml:space="preserve"> </w:t>
      </w:r>
      <w:r>
        <w:t>idea</w:t>
      </w:r>
      <w:r>
        <w:rPr>
          <w:spacing w:val="-3"/>
        </w:rPr>
        <w:t xml:space="preserve"> </w:t>
      </w:r>
      <w:r>
        <w:t>del</w:t>
      </w:r>
      <w:r>
        <w:rPr>
          <w:spacing w:val="-3"/>
        </w:rPr>
        <w:t xml:space="preserve"> </w:t>
      </w:r>
      <w:r>
        <w:t>consumidor como</w:t>
      </w:r>
      <w:r>
        <w:rPr>
          <w:spacing w:val="-5"/>
        </w:rPr>
        <w:t xml:space="preserve"> </w:t>
      </w:r>
      <w:r>
        <w:t>alguien</w:t>
      </w:r>
      <w:r>
        <w:rPr>
          <w:spacing w:val="-5"/>
        </w:rPr>
        <w:t xml:space="preserve"> </w:t>
      </w:r>
      <w:r>
        <w:t>que</w:t>
      </w:r>
      <w:r>
        <w:rPr>
          <w:spacing w:val="-5"/>
        </w:rPr>
        <w:t xml:space="preserve"> </w:t>
      </w:r>
      <w:r>
        <w:t>debía</w:t>
      </w:r>
      <w:r>
        <w:rPr>
          <w:spacing w:val="-5"/>
        </w:rPr>
        <w:t xml:space="preserve"> </w:t>
      </w:r>
      <w:r>
        <w:t>y</w:t>
      </w:r>
      <w:r>
        <w:rPr>
          <w:spacing w:val="-5"/>
        </w:rPr>
        <w:t xml:space="preserve"> </w:t>
      </w:r>
      <w:r>
        <w:t>podría</w:t>
      </w:r>
      <w:r>
        <w:rPr>
          <w:spacing w:val="-5"/>
        </w:rPr>
        <w:t xml:space="preserve"> </w:t>
      </w:r>
      <w:r>
        <w:t>ser</w:t>
      </w:r>
      <w:r>
        <w:rPr>
          <w:spacing w:val="-6"/>
        </w:rPr>
        <w:t xml:space="preserve"> </w:t>
      </w:r>
      <w:r>
        <w:t>eliminado</w:t>
      </w:r>
      <w:r>
        <w:rPr>
          <w:spacing w:val="-5"/>
        </w:rPr>
        <w:t xml:space="preserve"> </w:t>
      </w:r>
      <w:r>
        <w:t>de</w:t>
      </w:r>
      <w:r>
        <w:rPr>
          <w:spacing w:val="-5"/>
        </w:rPr>
        <w:t xml:space="preserve"> </w:t>
      </w:r>
      <w:r>
        <w:t>la</w:t>
      </w:r>
      <w:r>
        <w:rPr>
          <w:spacing w:val="-5"/>
        </w:rPr>
        <w:t xml:space="preserve"> </w:t>
      </w:r>
      <w:r>
        <w:t>sociedad.</w:t>
      </w:r>
      <w:r>
        <w:rPr>
          <w:spacing w:val="-5"/>
        </w:rPr>
        <w:t xml:space="preserve"> </w:t>
      </w:r>
      <w:r>
        <w:t>En</w:t>
      </w:r>
      <w:r>
        <w:rPr>
          <w:spacing w:val="-5"/>
        </w:rPr>
        <w:t xml:space="preserve"> </w:t>
      </w:r>
      <w:r>
        <w:t>las</w:t>
      </w:r>
      <w:r>
        <w:rPr>
          <w:spacing w:val="-5"/>
        </w:rPr>
        <w:t xml:space="preserve"> </w:t>
      </w:r>
      <w:r>
        <w:t>FARC-EP</w:t>
      </w:r>
      <w:r>
        <w:rPr>
          <w:spacing w:val="-5"/>
        </w:rPr>
        <w:t xml:space="preserve"> </w:t>
      </w:r>
      <w:r>
        <w:t>fue</w:t>
      </w:r>
      <w:r>
        <w:rPr>
          <w:spacing w:val="-5"/>
        </w:rPr>
        <w:t xml:space="preserve"> </w:t>
      </w:r>
      <w:r>
        <w:t>un</w:t>
      </w:r>
      <w:r>
        <w:rPr>
          <w:spacing w:val="-5"/>
        </w:rPr>
        <w:t xml:space="preserve"> </w:t>
      </w:r>
      <w:r>
        <w:t>tema de</w:t>
      </w:r>
      <w:r>
        <w:rPr>
          <w:spacing w:val="49"/>
        </w:rPr>
        <w:t xml:space="preserve"> </w:t>
      </w:r>
      <w:r>
        <w:t>control</w:t>
      </w:r>
      <w:r>
        <w:rPr>
          <w:spacing w:val="48"/>
        </w:rPr>
        <w:t xml:space="preserve"> </w:t>
      </w:r>
      <w:r>
        <w:t>de</w:t>
      </w:r>
      <w:r>
        <w:rPr>
          <w:spacing w:val="49"/>
        </w:rPr>
        <w:t xml:space="preserve"> </w:t>
      </w:r>
      <w:r>
        <w:t>sus</w:t>
      </w:r>
      <w:r>
        <w:rPr>
          <w:spacing w:val="49"/>
        </w:rPr>
        <w:t xml:space="preserve"> </w:t>
      </w:r>
      <w:r>
        <w:t>combatientes</w:t>
      </w:r>
      <w:r>
        <w:rPr>
          <w:rStyle w:val="Refdenotaalpie"/>
        </w:rPr>
        <w:footnoteReference w:id="725"/>
      </w:r>
      <w:r>
        <w:rPr>
          <w:spacing w:val="50"/>
        </w:rPr>
        <w:t xml:space="preserve"> </w:t>
      </w:r>
      <w:r>
        <w:t>y</w:t>
      </w:r>
      <w:r>
        <w:rPr>
          <w:spacing w:val="49"/>
        </w:rPr>
        <w:t xml:space="preserve"> </w:t>
      </w:r>
      <w:r>
        <w:t>el</w:t>
      </w:r>
      <w:r>
        <w:rPr>
          <w:spacing w:val="49"/>
        </w:rPr>
        <w:t xml:space="preserve"> </w:t>
      </w:r>
      <w:r>
        <w:t>ELN</w:t>
      </w:r>
      <w:r>
        <w:rPr>
          <w:spacing w:val="48"/>
        </w:rPr>
        <w:t xml:space="preserve"> </w:t>
      </w:r>
      <w:r>
        <w:t>consideró</w:t>
      </w:r>
      <w:r>
        <w:rPr>
          <w:spacing w:val="49"/>
        </w:rPr>
        <w:t xml:space="preserve"> </w:t>
      </w:r>
      <w:r>
        <w:t>que</w:t>
      </w:r>
      <w:r>
        <w:rPr>
          <w:spacing w:val="49"/>
        </w:rPr>
        <w:t xml:space="preserve"> </w:t>
      </w:r>
      <w:r>
        <w:t>«los</w:t>
      </w:r>
      <w:r>
        <w:rPr>
          <w:spacing w:val="49"/>
        </w:rPr>
        <w:t xml:space="preserve"> </w:t>
      </w:r>
      <w:r>
        <w:t>narcodependientes</w:t>
      </w:r>
      <w:r>
        <w:rPr>
          <w:spacing w:val="48"/>
        </w:rPr>
        <w:t xml:space="preserve"> </w:t>
      </w:r>
      <w:r>
        <w:rPr>
          <w:spacing w:val="-5"/>
        </w:rPr>
        <w:t>son</w:t>
      </w:r>
      <w:bookmarkStart w:id="904" w:name="_bookmark790"/>
      <w:bookmarkStart w:id="905" w:name="_bookmark791"/>
      <w:bookmarkStart w:id="906" w:name="_bookmark792"/>
      <w:bookmarkStart w:id="907" w:name="_bookmark793"/>
      <w:bookmarkEnd w:id="904"/>
      <w:bookmarkEnd w:id="905"/>
      <w:bookmarkEnd w:id="906"/>
      <w:bookmarkEnd w:id="907"/>
      <w:r>
        <w:rPr>
          <w:spacing w:val="-5"/>
        </w:rPr>
        <w:t xml:space="preserve"> </w:t>
      </w:r>
      <w:r w:rsidR="00AF18A5">
        <w:t>enfermos»</w:t>
      </w:r>
      <w:r>
        <w:rPr>
          <w:rStyle w:val="Refdenotaalpie"/>
        </w:rPr>
        <w:footnoteReference w:id="726"/>
      </w:r>
      <w:r w:rsidR="00AF18A5">
        <w:t>. El control del consumo</w:t>
      </w:r>
      <w:r w:rsidR="00AF18A5">
        <w:rPr>
          <w:spacing w:val="-1"/>
        </w:rPr>
        <w:t xml:space="preserve"> </w:t>
      </w:r>
      <w:r w:rsidR="00AF18A5">
        <w:t>y el microtráfico</w:t>
      </w:r>
      <w:r w:rsidR="00AF18A5">
        <w:rPr>
          <w:spacing w:val="-1"/>
        </w:rPr>
        <w:t xml:space="preserve"> </w:t>
      </w:r>
      <w:r w:rsidR="00AF18A5">
        <w:t>está basado en la</w:t>
      </w:r>
      <w:r w:rsidR="00AF18A5">
        <w:rPr>
          <w:spacing w:val="-1"/>
        </w:rPr>
        <w:t xml:space="preserve"> </w:t>
      </w:r>
      <w:r w:rsidR="00AF18A5">
        <w:t>estigmatización de la sociedad en muchas áreas rurales de control de las FARC-EP.</w:t>
      </w:r>
    </w:p>
    <w:p w:rsidR="003804AC" w:rsidRDefault="00AF18A5" w:rsidP="000A50A3">
      <w:pPr>
        <w:rPr>
          <w:i/>
        </w:rPr>
      </w:pPr>
      <w:r>
        <w:t>Donde</w:t>
      </w:r>
      <w:r>
        <w:rPr>
          <w:spacing w:val="-6"/>
        </w:rPr>
        <w:t xml:space="preserve"> </w:t>
      </w:r>
      <w:r>
        <w:t>se</w:t>
      </w:r>
      <w:r>
        <w:rPr>
          <w:spacing w:val="-6"/>
        </w:rPr>
        <w:t xml:space="preserve"> </w:t>
      </w:r>
      <w:r>
        <w:t>promovió</w:t>
      </w:r>
      <w:r>
        <w:rPr>
          <w:spacing w:val="-6"/>
        </w:rPr>
        <w:t xml:space="preserve"> </w:t>
      </w:r>
      <w:r>
        <w:t>con</w:t>
      </w:r>
      <w:r>
        <w:rPr>
          <w:spacing w:val="-8"/>
        </w:rPr>
        <w:t xml:space="preserve"> </w:t>
      </w:r>
      <w:r>
        <w:t>mayor</w:t>
      </w:r>
      <w:r>
        <w:rPr>
          <w:spacing w:val="-5"/>
        </w:rPr>
        <w:t xml:space="preserve"> </w:t>
      </w:r>
      <w:r>
        <w:t>vehemencia</w:t>
      </w:r>
      <w:r>
        <w:rPr>
          <w:spacing w:val="-6"/>
        </w:rPr>
        <w:t xml:space="preserve"> </w:t>
      </w:r>
      <w:r>
        <w:t>la</w:t>
      </w:r>
      <w:r>
        <w:rPr>
          <w:spacing w:val="-6"/>
        </w:rPr>
        <w:t xml:space="preserve"> </w:t>
      </w:r>
      <w:r>
        <w:t>violencia</w:t>
      </w:r>
      <w:r>
        <w:rPr>
          <w:spacing w:val="-5"/>
        </w:rPr>
        <w:t xml:space="preserve"> </w:t>
      </w:r>
      <w:r>
        <w:t>contra</w:t>
      </w:r>
      <w:r>
        <w:rPr>
          <w:spacing w:val="-6"/>
        </w:rPr>
        <w:t xml:space="preserve"> </w:t>
      </w:r>
      <w:r>
        <w:t>los</w:t>
      </w:r>
      <w:r>
        <w:rPr>
          <w:spacing w:val="-6"/>
        </w:rPr>
        <w:t xml:space="preserve"> </w:t>
      </w:r>
      <w:r>
        <w:t>consumidores</w:t>
      </w:r>
      <w:r>
        <w:rPr>
          <w:spacing w:val="-6"/>
        </w:rPr>
        <w:t xml:space="preserve"> </w:t>
      </w:r>
      <w:r>
        <w:t>de</w:t>
      </w:r>
      <w:r>
        <w:rPr>
          <w:spacing w:val="-6"/>
        </w:rPr>
        <w:t xml:space="preserve"> </w:t>
      </w:r>
      <w:r>
        <w:t>drogas fue</w:t>
      </w:r>
      <w:r>
        <w:rPr>
          <w:spacing w:val="-5"/>
        </w:rPr>
        <w:t xml:space="preserve"> </w:t>
      </w:r>
      <w:r>
        <w:t>en</w:t>
      </w:r>
      <w:r>
        <w:rPr>
          <w:spacing w:val="-7"/>
        </w:rPr>
        <w:t xml:space="preserve"> </w:t>
      </w:r>
      <w:r>
        <w:t>aquellas</w:t>
      </w:r>
      <w:r>
        <w:rPr>
          <w:spacing w:val="-5"/>
        </w:rPr>
        <w:t xml:space="preserve"> </w:t>
      </w:r>
      <w:r>
        <w:t>regiones</w:t>
      </w:r>
      <w:r>
        <w:rPr>
          <w:spacing w:val="-7"/>
        </w:rPr>
        <w:t xml:space="preserve"> </w:t>
      </w:r>
      <w:r>
        <w:t>con</w:t>
      </w:r>
      <w:r>
        <w:rPr>
          <w:spacing w:val="-5"/>
        </w:rPr>
        <w:t xml:space="preserve"> </w:t>
      </w:r>
      <w:r>
        <w:t>presencia</w:t>
      </w:r>
      <w:r>
        <w:rPr>
          <w:spacing w:val="-7"/>
        </w:rPr>
        <w:t xml:space="preserve"> </w:t>
      </w:r>
      <w:r>
        <w:t>paramilitar.</w:t>
      </w:r>
      <w:r>
        <w:rPr>
          <w:spacing w:val="-7"/>
        </w:rPr>
        <w:t xml:space="preserve"> </w:t>
      </w:r>
      <w:r>
        <w:t>Por</w:t>
      </w:r>
      <w:r>
        <w:rPr>
          <w:spacing w:val="-4"/>
        </w:rPr>
        <w:t xml:space="preserve"> </w:t>
      </w:r>
      <w:r>
        <w:t>ejemplo,</w:t>
      </w:r>
      <w:r>
        <w:rPr>
          <w:spacing w:val="-7"/>
        </w:rPr>
        <w:t xml:space="preserve"> </w:t>
      </w:r>
      <w:r>
        <w:t>desde</w:t>
      </w:r>
      <w:r>
        <w:rPr>
          <w:spacing w:val="-5"/>
        </w:rPr>
        <w:t xml:space="preserve"> </w:t>
      </w:r>
      <w:r>
        <w:t>1998</w:t>
      </w:r>
      <w:r>
        <w:rPr>
          <w:spacing w:val="-8"/>
        </w:rPr>
        <w:t xml:space="preserve"> </w:t>
      </w:r>
      <w:r>
        <w:t>las</w:t>
      </w:r>
      <w:r>
        <w:rPr>
          <w:spacing w:val="-5"/>
        </w:rPr>
        <w:t xml:space="preserve"> </w:t>
      </w:r>
      <w:r>
        <w:t>AUC</w:t>
      </w:r>
      <w:r>
        <w:rPr>
          <w:spacing w:val="-5"/>
        </w:rPr>
        <w:t xml:space="preserve"> </w:t>
      </w:r>
      <w:r>
        <w:t>llegaron al Valle del Cauca a combatir a la guerrilla, que había establecido su control sobre las rutas del narcotráfico en la región</w:t>
      </w:r>
      <w:r w:rsidR="000A50A3">
        <w:rPr>
          <w:rStyle w:val="Refdenotaalpie"/>
        </w:rPr>
        <w:footnoteReference w:id="727"/>
      </w:r>
      <w:r>
        <w:t>; para ganar legitimidad entre la población, los paramilitares dijeron que iban a «combatir a los drogadictos», pero contradictoriamente, como señala el relato</w:t>
      </w:r>
      <w:r>
        <w:rPr>
          <w:spacing w:val="-7"/>
        </w:rPr>
        <w:t xml:space="preserve"> </w:t>
      </w:r>
      <w:r>
        <w:t>de</w:t>
      </w:r>
      <w:r>
        <w:rPr>
          <w:spacing w:val="-8"/>
        </w:rPr>
        <w:t xml:space="preserve"> </w:t>
      </w:r>
      <w:r>
        <w:t>una</w:t>
      </w:r>
      <w:r>
        <w:rPr>
          <w:spacing w:val="-7"/>
        </w:rPr>
        <w:t xml:space="preserve"> </w:t>
      </w:r>
      <w:r>
        <w:lastRenderedPageBreak/>
        <w:t>trabajadora</w:t>
      </w:r>
      <w:r>
        <w:rPr>
          <w:spacing w:val="-7"/>
        </w:rPr>
        <w:t xml:space="preserve"> </w:t>
      </w:r>
      <w:r>
        <w:t>en</w:t>
      </w:r>
      <w:r>
        <w:rPr>
          <w:spacing w:val="-7"/>
        </w:rPr>
        <w:t xml:space="preserve"> </w:t>
      </w:r>
      <w:r>
        <w:t>prevención</w:t>
      </w:r>
      <w:r>
        <w:rPr>
          <w:spacing w:val="-7"/>
        </w:rPr>
        <w:t xml:space="preserve"> </w:t>
      </w:r>
      <w:r>
        <w:t>de</w:t>
      </w:r>
      <w:r>
        <w:rPr>
          <w:spacing w:val="-8"/>
        </w:rPr>
        <w:t xml:space="preserve"> </w:t>
      </w:r>
      <w:r>
        <w:t>consumo,</w:t>
      </w:r>
      <w:r>
        <w:rPr>
          <w:spacing w:val="-7"/>
        </w:rPr>
        <w:t xml:space="preserve"> </w:t>
      </w:r>
      <w:r>
        <w:t>eran</w:t>
      </w:r>
      <w:r>
        <w:rPr>
          <w:spacing w:val="-7"/>
        </w:rPr>
        <w:t xml:space="preserve"> </w:t>
      </w:r>
      <w:r>
        <w:t>ellos</w:t>
      </w:r>
      <w:r>
        <w:rPr>
          <w:spacing w:val="-7"/>
        </w:rPr>
        <w:t xml:space="preserve"> </w:t>
      </w:r>
      <w:r>
        <w:t>quienes</w:t>
      </w:r>
      <w:r>
        <w:rPr>
          <w:spacing w:val="-7"/>
        </w:rPr>
        <w:t xml:space="preserve"> </w:t>
      </w:r>
      <w:r>
        <w:t>habían</w:t>
      </w:r>
      <w:r>
        <w:rPr>
          <w:spacing w:val="-7"/>
        </w:rPr>
        <w:t xml:space="preserve"> </w:t>
      </w:r>
      <w:r>
        <w:t>promovido</w:t>
      </w:r>
      <w:r>
        <w:rPr>
          <w:spacing w:val="-7"/>
        </w:rPr>
        <w:t xml:space="preserve"> </w:t>
      </w:r>
      <w:r>
        <w:t>el consumo de droga, regalándola: «como el ejercicio inicial, el trabajo inicial de establecimiento»</w:t>
      </w:r>
      <w:r w:rsidR="000A50A3">
        <w:rPr>
          <w:rStyle w:val="Refdenotaalpie"/>
        </w:rPr>
        <w:footnoteReference w:id="728"/>
      </w:r>
      <w:r>
        <w:rPr>
          <w:i/>
        </w:rPr>
        <w:t>.</w:t>
      </w:r>
    </w:p>
    <w:p w:rsidR="003804AC" w:rsidRDefault="00AF18A5" w:rsidP="000A50A3">
      <w:r>
        <w:t>En la guerra contra las drogas, los consumidores se convirtieron en objetivo militar, ya fuera</w:t>
      </w:r>
      <w:r>
        <w:rPr>
          <w:spacing w:val="-2"/>
        </w:rPr>
        <w:t xml:space="preserve"> </w:t>
      </w:r>
      <w:r>
        <w:t>por</w:t>
      </w:r>
      <w:r>
        <w:rPr>
          <w:spacing w:val="-2"/>
        </w:rPr>
        <w:t xml:space="preserve"> </w:t>
      </w:r>
      <w:r>
        <w:t>esas</w:t>
      </w:r>
      <w:r>
        <w:rPr>
          <w:spacing w:val="-2"/>
        </w:rPr>
        <w:t xml:space="preserve"> </w:t>
      </w:r>
      <w:r>
        <w:t>acciones</w:t>
      </w:r>
      <w:r>
        <w:rPr>
          <w:spacing w:val="-2"/>
        </w:rPr>
        <w:t xml:space="preserve"> </w:t>
      </w:r>
      <w:r>
        <w:t>de</w:t>
      </w:r>
      <w:r>
        <w:rPr>
          <w:spacing w:val="-2"/>
        </w:rPr>
        <w:t xml:space="preserve"> </w:t>
      </w:r>
      <w:r>
        <w:t>eliminación</w:t>
      </w:r>
      <w:r>
        <w:rPr>
          <w:spacing w:val="-2"/>
        </w:rPr>
        <w:t xml:space="preserve"> </w:t>
      </w:r>
      <w:r>
        <w:t>de</w:t>
      </w:r>
      <w:r>
        <w:rPr>
          <w:spacing w:val="-2"/>
        </w:rPr>
        <w:t xml:space="preserve"> </w:t>
      </w:r>
      <w:r>
        <w:t>población</w:t>
      </w:r>
      <w:r>
        <w:rPr>
          <w:spacing w:val="-2"/>
        </w:rPr>
        <w:t xml:space="preserve"> </w:t>
      </w:r>
      <w:r>
        <w:t>considerada</w:t>
      </w:r>
      <w:r>
        <w:rPr>
          <w:spacing w:val="-2"/>
        </w:rPr>
        <w:t xml:space="preserve"> </w:t>
      </w:r>
      <w:r>
        <w:t>marginal</w:t>
      </w:r>
      <w:r>
        <w:rPr>
          <w:spacing w:val="-2"/>
        </w:rPr>
        <w:t xml:space="preserve"> </w:t>
      </w:r>
      <w:r>
        <w:t>o,</w:t>
      </w:r>
      <w:r>
        <w:rPr>
          <w:spacing w:val="-2"/>
        </w:rPr>
        <w:t xml:space="preserve"> </w:t>
      </w:r>
      <w:r>
        <w:t>en</w:t>
      </w:r>
      <w:r>
        <w:rPr>
          <w:spacing w:val="-2"/>
        </w:rPr>
        <w:t xml:space="preserve"> </w:t>
      </w:r>
      <w:r>
        <w:t>otros</w:t>
      </w:r>
      <w:r>
        <w:rPr>
          <w:spacing w:val="-2"/>
        </w:rPr>
        <w:t xml:space="preserve"> </w:t>
      </w:r>
      <w:r>
        <w:t>casos, para</w:t>
      </w:r>
      <w:r>
        <w:rPr>
          <w:spacing w:val="-12"/>
        </w:rPr>
        <w:t xml:space="preserve"> </w:t>
      </w:r>
      <w:r>
        <w:t>disminuir</w:t>
      </w:r>
      <w:r>
        <w:rPr>
          <w:spacing w:val="-12"/>
        </w:rPr>
        <w:t xml:space="preserve"> </w:t>
      </w:r>
      <w:r>
        <w:t>el</w:t>
      </w:r>
      <w:r>
        <w:rPr>
          <w:spacing w:val="-12"/>
        </w:rPr>
        <w:t xml:space="preserve"> </w:t>
      </w:r>
      <w:r>
        <w:t>riesgo</w:t>
      </w:r>
      <w:r>
        <w:rPr>
          <w:spacing w:val="-13"/>
        </w:rPr>
        <w:t xml:space="preserve"> </w:t>
      </w:r>
      <w:r>
        <w:t>de</w:t>
      </w:r>
      <w:r>
        <w:rPr>
          <w:spacing w:val="-12"/>
        </w:rPr>
        <w:t xml:space="preserve"> </w:t>
      </w:r>
      <w:r>
        <w:t>denuncias</w:t>
      </w:r>
      <w:r>
        <w:rPr>
          <w:spacing w:val="-12"/>
        </w:rPr>
        <w:t xml:space="preserve"> </w:t>
      </w:r>
      <w:r>
        <w:t>como</w:t>
      </w:r>
      <w:r>
        <w:rPr>
          <w:spacing w:val="-12"/>
        </w:rPr>
        <w:t xml:space="preserve"> </w:t>
      </w:r>
      <w:r>
        <w:t>en</w:t>
      </w:r>
      <w:r>
        <w:rPr>
          <w:spacing w:val="-12"/>
        </w:rPr>
        <w:t xml:space="preserve"> </w:t>
      </w:r>
      <w:r>
        <w:t>el</w:t>
      </w:r>
      <w:r>
        <w:rPr>
          <w:spacing w:val="-13"/>
        </w:rPr>
        <w:t xml:space="preserve"> </w:t>
      </w:r>
      <w:r>
        <w:t>caso</w:t>
      </w:r>
      <w:r>
        <w:rPr>
          <w:spacing w:val="-12"/>
        </w:rPr>
        <w:t xml:space="preserve"> </w:t>
      </w:r>
      <w:r>
        <w:t>de</w:t>
      </w:r>
      <w:r>
        <w:rPr>
          <w:spacing w:val="-12"/>
        </w:rPr>
        <w:t xml:space="preserve"> </w:t>
      </w:r>
      <w:r>
        <w:t>algunas</w:t>
      </w:r>
      <w:r>
        <w:rPr>
          <w:spacing w:val="-12"/>
        </w:rPr>
        <w:t xml:space="preserve"> </w:t>
      </w:r>
      <w:r>
        <w:t>ejecuciones</w:t>
      </w:r>
      <w:r>
        <w:rPr>
          <w:spacing w:val="-12"/>
        </w:rPr>
        <w:t xml:space="preserve"> </w:t>
      </w:r>
      <w:r>
        <w:t>extrajudiciales, denominadas</w:t>
      </w:r>
      <w:r>
        <w:rPr>
          <w:spacing w:val="-15"/>
        </w:rPr>
        <w:t xml:space="preserve"> </w:t>
      </w:r>
      <w:r>
        <w:t>«falsos</w:t>
      </w:r>
      <w:r>
        <w:rPr>
          <w:spacing w:val="-14"/>
        </w:rPr>
        <w:t xml:space="preserve"> </w:t>
      </w:r>
      <w:r>
        <w:t>positivos».</w:t>
      </w:r>
      <w:r>
        <w:rPr>
          <w:spacing w:val="-15"/>
        </w:rPr>
        <w:t xml:space="preserve"> </w:t>
      </w:r>
      <w:r>
        <w:t>De</w:t>
      </w:r>
      <w:r>
        <w:rPr>
          <w:spacing w:val="-15"/>
        </w:rPr>
        <w:t xml:space="preserve"> </w:t>
      </w:r>
      <w:r>
        <w:t>acuerdo</w:t>
      </w:r>
      <w:r>
        <w:rPr>
          <w:spacing w:val="-14"/>
        </w:rPr>
        <w:t xml:space="preserve"> </w:t>
      </w:r>
      <w:r>
        <w:t>con</w:t>
      </w:r>
      <w:r>
        <w:rPr>
          <w:spacing w:val="-15"/>
        </w:rPr>
        <w:t xml:space="preserve"> </w:t>
      </w:r>
      <w:r>
        <w:t>los</w:t>
      </w:r>
      <w:r>
        <w:rPr>
          <w:spacing w:val="-15"/>
        </w:rPr>
        <w:t xml:space="preserve"> </w:t>
      </w:r>
      <w:r>
        <w:t>testimonios</w:t>
      </w:r>
      <w:r>
        <w:rPr>
          <w:spacing w:val="-14"/>
        </w:rPr>
        <w:t xml:space="preserve"> </w:t>
      </w:r>
      <w:r>
        <w:t>y</w:t>
      </w:r>
      <w:r>
        <w:rPr>
          <w:spacing w:val="-15"/>
        </w:rPr>
        <w:t xml:space="preserve"> </w:t>
      </w:r>
      <w:r>
        <w:t>documentos</w:t>
      </w:r>
      <w:r>
        <w:rPr>
          <w:spacing w:val="-14"/>
        </w:rPr>
        <w:t xml:space="preserve"> </w:t>
      </w:r>
      <w:r>
        <w:t>recogidos</w:t>
      </w:r>
      <w:r>
        <w:rPr>
          <w:spacing w:val="-15"/>
        </w:rPr>
        <w:t xml:space="preserve"> </w:t>
      </w:r>
      <w:r>
        <w:t>por la</w:t>
      </w:r>
      <w:r>
        <w:rPr>
          <w:spacing w:val="-7"/>
        </w:rPr>
        <w:t xml:space="preserve"> </w:t>
      </w:r>
      <w:r>
        <w:t>Sala</w:t>
      </w:r>
      <w:r>
        <w:rPr>
          <w:spacing w:val="-7"/>
        </w:rPr>
        <w:t xml:space="preserve"> </w:t>
      </w:r>
      <w:r>
        <w:t>de</w:t>
      </w:r>
      <w:r>
        <w:rPr>
          <w:spacing w:val="-7"/>
        </w:rPr>
        <w:t xml:space="preserve"> </w:t>
      </w:r>
      <w:r>
        <w:t>Reconocimiento</w:t>
      </w:r>
      <w:r>
        <w:rPr>
          <w:spacing w:val="-7"/>
        </w:rPr>
        <w:t xml:space="preserve"> </w:t>
      </w:r>
      <w:r>
        <w:t>de</w:t>
      </w:r>
      <w:r>
        <w:rPr>
          <w:spacing w:val="-7"/>
        </w:rPr>
        <w:t xml:space="preserve"> </w:t>
      </w:r>
      <w:r>
        <w:t>la</w:t>
      </w:r>
      <w:r>
        <w:rPr>
          <w:spacing w:val="-7"/>
        </w:rPr>
        <w:t xml:space="preserve"> </w:t>
      </w:r>
      <w:r>
        <w:t>JEP,</w:t>
      </w:r>
      <w:r>
        <w:rPr>
          <w:spacing w:val="-8"/>
        </w:rPr>
        <w:t xml:space="preserve"> </w:t>
      </w:r>
      <w:r>
        <w:t>entre</w:t>
      </w:r>
      <w:r>
        <w:rPr>
          <w:spacing w:val="-7"/>
        </w:rPr>
        <w:t xml:space="preserve"> </w:t>
      </w:r>
      <w:r>
        <w:t>el</w:t>
      </w:r>
      <w:r>
        <w:rPr>
          <w:spacing w:val="-7"/>
        </w:rPr>
        <w:t xml:space="preserve"> </w:t>
      </w:r>
      <w:r>
        <w:t>21</w:t>
      </w:r>
      <w:r>
        <w:rPr>
          <w:spacing w:val="-7"/>
        </w:rPr>
        <w:t xml:space="preserve"> </w:t>
      </w:r>
      <w:r>
        <w:t>de</w:t>
      </w:r>
      <w:r>
        <w:rPr>
          <w:spacing w:val="-7"/>
        </w:rPr>
        <w:t xml:space="preserve"> </w:t>
      </w:r>
      <w:r>
        <w:t>enero</w:t>
      </w:r>
      <w:r>
        <w:rPr>
          <w:spacing w:val="-7"/>
        </w:rPr>
        <w:t xml:space="preserve"> </w:t>
      </w:r>
      <w:r>
        <w:t>de</w:t>
      </w:r>
      <w:r>
        <w:rPr>
          <w:spacing w:val="-8"/>
        </w:rPr>
        <w:t xml:space="preserve"> </w:t>
      </w:r>
      <w:r>
        <w:t>2007</w:t>
      </w:r>
      <w:r>
        <w:rPr>
          <w:spacing w:val="-7"/>
        </w:rPr>
        <w:t xml:space="preserve"> </w:t>
      </w:r>
      <w:r>
        <w:t>y</w:t>
      </w:r>
      <w:r>
        <w:rPr>
          <w:spacing w:val="-7"/>
        </w:rPr>
        <w:t xml:space="preserve"> </w:t>
      </w:r>
      <w:r>
        <w:t>el</w:t>
      </w:r>
      <w:r>
        <w:rPr>
          <w:spacing w:val="-7"/>
        </w:rPr>
        <w:t xml:space="preserve"> </w:t>
      </w:r>
      <w:r>
        <w:t>25</w:t>
      </w:r>
      <w:r>
        <w:rPr>
          <w:spacing w:val="-7"/>
        </w:rPr>
        <w:t xml:space="preserve"> </w:t>
      </w:r>
      <w:r>
        <w:t>de</w:t>
      </w:r>
      <w:r>
        <w:rPr>
          <w:spacing w:val="-7"/>
        </w:rPr>
        <w:t xml:space="preserve"> </w:t>
      </w:r>
      <w:r>
        <w:t>agosto</w:t>
      </w:r>
      <w:r>
        <w:rPr>
          <w:spacing w:val="-7"/>
        </w:rPr>
        <w:t xml:space="preserve"> </w:t>
      </w:r>
      <w:r>
        <w:t>de</w:t>
      </w:r>
      <w:r>
        <w:rPr>
          <w:spacing w:val="-7"/>
        </w:rPr>
        <w:t xml:space="preserve"> </w:t>
      </w:r>
      <w:r>
        <w:t>2008, miembros del Ejército acantonados en la región del Catatumbo, Norte de Santander, asesinaron a consumidores de drogas</w:t>
      </w:r>
      <w:r w:rsidR="000A50A3">
        <w:rPr>
          <w:rStyle w:val="Refdenotaalpie"/>
        </w:rPr>
        <w:footnoteReference w:id="729"/>
      </w:r>
      <w:r>
        <w:t>, una situación de suma vulnerabilidad en la que se encuentran muchos usuarios</w:t>
      </w:r>
      <w:r w:rsidR="000A50A3">
        <w:rPr>
          <w:rStyle w:val="Refdenotaalpie"/>
        </w:rPr>
        <w:footnoteReference w:id="730"/>
      </w:r>
      <w:r>
        <w:t>.</w:t>
      </w:r>
      <w:r w:rsidR="000A50A3">
        <w:t>”</w:t>
      </w:r>
    </w:p>
    <w:p w:rsidR="003804AC" w:rsidRDefault="00AF18A5" w:rsidP="000A50A3">
      <w:r>
        <w:t>La Comisión reconoce, entonces, que buena parte de las víctimas de la llamada «guerra contra las drogas y del narcotráfico» lo son como parte del conflicto armado y que la continuidad de estas violencias atraviesa la cotidianidad de numerosas comunidades.</w:t>
      </w:r>
    </w:p>
    <w:p w:rsidR="003804AC" w:rsidRDefault="00AF18A5" w:rsidP="000A50A3">
      <w:r>
        <w:t>El empeoramiento de la seguridad en muchos territorios durante el tiempo de trabajo de la</w:t>
      </w:r>
      <w:r>
        <w:rPr>
          <w:spacing w:val="35"/>
        </w:rPr>
        <w:t xml:space="preserve"> </w:t>
      </w:r>
      <w:r>
        <w:t>Comisión</w:t>
      </w:r>
      <w:r>
        <w:rPr>
          <w:spacing w:val="33"/>
        </w:rPr>
        <w:t xml:space="preserve"> </w:t>
      </w:r>
      <w:r>
        <w:t>llevó</w:t>
      </w:r>
      <w:r>
        <w:rPr>
          <w:spacing w:val="35"/>
        </w:rPr>
        <w:t xml:space="preserve"> </w:t>
      </w:r>
      <w:r>
        <w:t>a</w:t>
      </w:r>
      <w:r>
        <w:rPr>
          <w:spacing w:val="35"/>
        </w:rPr>
        <w:t xml:space="preserve"> </w:t>
      </w:r>
      <w:r>
        <w:t>que</w:t>
      </w:r>
      <w:r>
        <w:rPr>
          <w:spacing w:val="35"/>
        </w:rPr>
        <w:t xml:space="preserve"> </w:t>
      </w:r>
      <w:r>
        <w:t>varios</w:t>
      </w:r>
      <w:r>
        <w:rPr>
          <w:spacing w:val="35"/>
        </w:rPr>
        <w:t xml:space="preserve"> </w:t>
      </w:r>
      <w:r>
        <w:t>líderes</w:t>
      </w:r>
      <w:r>
        <w:rPr>
          <w:spacing w:val="35"/>
        </w:rPr>
        <w:t xml:space="preserve"> </w:t>
      </w:r>
      <w:r>
        <w:t>de</w:t>
      </w:r>
      <w:r>
        <w:rPr>
          <w:spacing w:val="35"/>
        </w:rPr>
        <w:t xml:space="preserve"> </w:t>
      </w:r>
      <w:r>
        <w:t>los</w:t>
      </w:r>
      <w:r>
        <w:rPr>
          <w:spacing w:val="35"/>
        </w:rPr>
        <w:t xml:space="preserve"> </w:t>
      </w:r>
      <w:r>
        <w:t>procesos</w:t>
      </w:r>
      <w:r>
        <w:rPr>
          <w:spacing w:val="36"/>
        </w:rPr>
        <w:t xml:space="preserve"> </w:t>
      </w:r>
      <w:r>
        <w:t>de</w:t>
      </w:r>
      <w:r>
        <w:rPr>
          <w:spacing w:val="35"/>
        </w:rPr>
        <w:t xml:space="preserve"> </w:t>
      </w:r>
      <w:r>
        <w:t>sustitución</w:t>
      </w:r>
      <w:r>
        <w:rPr>
          <w:spacing w:val="35"/>
        </w:rPr>
        <w:t xml:space="preserve"> </w:t>
      </w:r>
      <w:r>
        <w:t>de</w:t>
      </w:r>
      <w:r>
        <w:rPr>
          <w:spacing w:val="35"/>
        </w:rPr>
        <w:t xml:space="preserve"> </w:t>
      </w:r>
      <w:r>
        <w:t>cultivos</w:t>
      </w:r>
      <w:r>
        <w:rPr>
          <w:spacing w:val="36"/>
        </w:rPr>
        <w:t xml:space="preserve"> </w:t>
      </w:r>
      <w:r>
        <w:rPr>
          <w:spacing w:val="-2"/>
        </w:rPr>
        <w:t>fueron</w:t>
      </w:r>
      <w:bookmarkStart w:id="908" w:name="_bookmark794"/>
      <w:bookmarkStart w:id="909" w:name="_bookmark795"/>
      <w:bookmarkStart w:id="910" w:name="_bookmark796"/>
      <w:bookmarkStart w:id="911" w:name="_bookmark797"/>
      <w:bookmarkStart w:id="912" w:name="_bookmark798"/>
      <w:bookmarkEnd w:id="908"/>
      <w:bookmarkEnd w:id="909"/>
      <w:bookmarkEnd w:id="910"/>
      <w:bookmarkEnd w:id="911"/>
      <w:bookmarkEnd w:id="912"/>
      <w:r w:rsidR="000A50A3">
        <w:rPr>
          <w:spacing w:val="-2"/>
        </w:rPr>
        <w:t xml:space="preserve"> </w:t>
      </w:r>
      <w:r>
        <w:t>asesinados por diferentes grupos armados opuestos a tal sustitución. Una gobernadora nasa fue asesinada en Cauca y en la vereda El Tandil, municipio de Tumaco (Nariño), siete campesinos fueron muertos por la fuerza pública el 5 de octubre de 2017, en medio de una protesta cocalera para evitar la erradicación forzada y pedir su ingreso al programa de sustitución</w:t>
      </w:r>
      <w:r>
        <w:rPr>
          <w:spacing w:val="-8"/>
        </w:rPr>
        <w:t xml:space="preserve"> </w:t>
      </w:r>
      <w:r>
        <w:t>del</w:t>
      </w:r>
      <w:r>
        <w:rPr>
          <w:spacing w:val="-7"/>
        </w:rPr>
        <w:t xml:space="preserve"> </w:t>
      </w:r>
      <w:r>
        <w:lastRenderedPageBreak/>
        <w:t>Acuerdo</w:t>
      </w:r>
      <w:r>
        <w:rPr>
          <w:spacing w:val="-10"/>
        </w:rPr>
        <w:t xml:space="preserve"> </w:t>
      </w:r>
      <w:r>
        <w:t>de</w:t>
      </w:r>
      <w:r>
        <w:rPr>
          <w:spacing w:val="-7"/>
        </w:rPr>
        <w:t xml:space="preserve"> </w:t>
      </w:r>
      <w:r>
        <w:t>Paz</w:t>
      </w:r>
      <w:r w:rsidR="000A50A3">
        <w:rPr>
          <w:rStyle w:val="Refdenotaalpie"/>
        </w:rPr>
        <w:footnoteReference w:id="731"/>
      </w:r>
      <w:r>
        <w:t>.</w:t>
      </w:r>
      <w:r>
        <w:rPr>
          <w:spacing w:val="-7"/>
        </w:rPr>
        <w:t xml:space="preserve"> </w:t>
      </w:r>
      <w:r>
        <w:t>Los</w:t>
      </w:r>
      <w:r>
        <w:rPr>
          <w:spacing w:val="-8"/>
        </w:rPr>
        <w:t xml:space="preserve"> </w:t>
      </w:r>
      <w:r>
        <w:t>civiles</w:t>
      </w:r>
      <w:r>
        <w:rPr>
          <w:spacing w:val="-7"/>
        </w:rPr>
        <w:t xml:space="preserve"> </w:t>
      </w:r>
      <w:r>
        <w:t>y</w:t>
      </w:r>
      <w:r>
        <w:rPr>
          <w:spacing w:val="-7"/>
        </w:rPr>
        <w:t xml:space="preserve"> </w:t>
      </w:r>
      <w:r>
        <w:t>policías</w:t>
      </w:r>
      <w:r>
        <w:rPr>
          <w:spacing w:val="-7"/>
        </w:rPr>
        <w:t xml:space="preserve"> </w:t>
      </w:r>
      <w:r>
        <w:t>que</w:t>
      </w:r>
      <w:r>
        <w:rPr>
          <w:spacing w:val="-7"/>
        </w:rPr>
        <w:t xml:space="preserve"> </w:t>
      </w:r>
      <w:r>
        <w:t>han</w:t>
      </w:r>
      <w:r>
        <w:rPr>
          <w:spacing w:val="-7"/>
        </w:rPr>
        <w:t xml:space="preserve"> </w:t>
      </w:r>
      <w:r>
        <w:t>sido</w:t>
      </w:r>
      <w:r>
        <w:rPr>
          <w:spacing w:val="-7"/>
        </w:rPr>
        <w:t xml:space="preserve"> </w:t>
      </w:r>
      <w:r>
        <w:t>parte</w:t>
      </w:r>
      <w:r>
        <w:rPr>
          <w:spacing w:val="-9"/>
        </w:rPr>
        <w:t xml:space="preserve"> </w:t>
      </w:r>
      <w:r>
        <w:t>de</w:t>
      </w:r>
      <w:r>
        <w:rPr>
          <w:spacing w:val="-7"/>
        </w:rPr>
        <w:t xml:space="preserve"> </w:t>
      </w:r>
      <w:r>
        <w:t>la</w:t>
      </w:r>
      <w:r>
        <w:rPr>
          <w:spacing w:val="-7"/>
        </w:rPr>
        <w:t xml:space="preserve"> </w:t>
      </w:r>
      <w:r>
        <w:t>operaciones de erradicación también han sido víctimas de estas confrontaciones y de minas; muchos de ellos carecen de atención médica, psicosocial y reparación</w:t>
      </w:r>
      <w:r w:rsidR="000A50A3">
        <w:rPr>
          <w:rStyle w:val="Refdenotaalpie"/>
        </w:rPr>
        <w:footnoteReference w:id="732"/>
      </w:r>
      <w:r>
        <w:t>.</w:t>
      </w:r>
    </w:p>
    <w:p w:rsidR="003804AC" w:rsidRDefault="00AF18A5" w:rsidP="000A50A3">
      <w:r>
        <w:t>Actualmente, muchas de las víctimas en las regiones están relacionadas con el incumplimiento de</w:t>
      </w:r>
      <w:r>
        <w:rPr>
          <w:spacing w:val="-1"/>
        </w:rPr>
        <w:t xml:space="preserve"> </w:t>
      </w:r>
      <w:r>
        <w:t>los acuerdos de</w:t>
      </w:r>
      <w:r>
        <w:rPr>
          <w:spacing w:val="-1"/>
        </w:rPr>
        <w:t xml:space="preserve"> </w:t>
      </w:r>
      <w:r>
        <w:t>paz en</w:t>
      </w:r>
      <w:r>
        <w:rPr>
          <w:spacing w:val="-1"/>
        </w:rPr>
        <w:t xml:space="preserve"> </w:t>
      </w:r>
      <w:r>
        <w:t>torno a</w:t>
      </w:r>
      <w:r>
        <w:rPr>
          <w:spacing w:val="-2"/>
        </w:rPr>
        <w:t xml:space="preserve"> </w:t>
      </w:r>
      <w:r>
        <w:t>la reforma</w:t>
      </w:r>
      <w:r>
        <w:rPr>
          <w:spacing w:val="-1"/>
        </w:rPr>
        <w:t xml:space="preserve"> </w:t>
      </w:r>
      <w:r>
        <w:t>rural</w:t>
      </w:r>
      <w:r>
        <w:rPr>
          <w:spacing w:val="-1"/>
        </w:rPr>
        <w:t xml:space="preserve"> </w:t>
      </w:r>
      <w:r>
        <w:t>integral</w:t>
      </w:r>
      <w:r>
        <w:rPr>
          <w:spacing w:val="-1"/>
        </w:rPr>
        <w:t xml:space="preserve"> </w:t>
      </w:r>
      <w:r>
        <w:t>y a</w:t>
      </w:r>
      <w:r>
        <w:rPr>
          <w:spacing w:val="-1"/>
        </w:rPr>
        <w:t xml:space="preserve"> </w:t>
      </w:r>
      <w:r>
        <w:t>la solución al problema</w:t>
      </w:r>
      <w:r>
        <w:rPr>
          <w:spacing w:val="14"/>
        </w:rPr>
        <w:t xml:space="preserve"> </w:t>
      </w:r>
      <w:r>
        <w:t>de</w:t>
      </w:r>
      <w:r>
        <w:rPr>
          <w:spacing w:val="14"/>
        </w:rPr>
        <w:t xml:space="preserve"> </w:t>
      </w:r>
      <w:r>
        <w:t>las</w:t>
      </w:r>
      <w:r>
        <w:rPr>
          <w:spacing w:val="16"/>
        </w:rPr>
        <w:t xml:space="preserve"> </w:t>
      </w:r>
      <w:r>
        <w:t>drogas</w:t>
      </w:r>
      <w:r>
        <w:rPr>
          <w:spacing w:val="15"/>
        </w:rPr>
        <w:t xml:space="preserve"> </w:t>
      </w:r>
      <w:r>
        <w:t>ilícitas.</w:t>
      </w:r>
      <w:r>
        <w:rPr>
          <w:spacing w:val="15"/>
        </w:rPr>
        <w:t xml:space="preserve"> </w:t>
      </w:r>
      <w:r>
        <w:t>Su</w:t>
      </w:r>
      <w:r>
        <w:rPr>
          <w:spacing w:val="15"/>
        </w:rPr>
        <w:t xml:space="preserve"> </w:t>
      </w:r>
      <w:r>
        <w:t>liderazgo</w:t>
      </w:r>
      <w:r>
        <w:rPr>
          <w:spacing w:val="16"/>
        </w:rPr>
        <w:t xml:space="preserve"> </w:t>
      </w:r>
      <w:r>
        <w:t>ha</w:t>
      </w:r>
      <w:r>
        <w:rPr>
          <w:spacing w:val="14"/>
        </w:rPr>
        <w:t xml:space="preserve"> </w:t>
      </w:r>
      <w:r>
        <w:t>sido</w:t>
      </w:r>
      <w:r>
        <w:rPr>
          <w:spacing w:val="15"/>
        </w:rPr>
        <w:t xml:space="preserve"> </w:t>
      </w:r>
      <w:r>
        <w:t>castigado,</w:t>
      </w:r>
      <w:r>
        <w:rPr>
          <w:spacing w:val="16"/>
        </w:rPr>
        <w:t xml:space="preserve"> </w:t>
      </w:r>
      <w:r>
        <w:t>como</w:t>
      </w:r>
      <w:r>
        <w:rPr>
          <w:spacing w:val="15"/>
        </w:rPr>
        <w:t xml:space="preserve"> </w:t>
      </w:r>
      <w:r>
        <w:t>ocurrió</w:t>
      </w:r>
      <w:r>
        <w:rPr>
          <w:spacing w:val="15"/>
        </w:rPr>
        <w:t xml:space="preserve"> </w:t>
      </w:r>
      <w:r>
        <w:t>con</w:t>
      </w:r>
      <w:r>
        <w:rPr>
          <w:spacing w:val="16"/>
        </w:rPr>
        <w:t xml:space="preserve"> </w:t>
      </w:r>
      <w:r>
        <w:rPr>
          <w:spacing w:val="-2"/>
        </w:rPr>
        <w:t>Antonio</w:t>
      </w:r>
      <w:r w:rsidR="000A50A3">
        <w:rPr>
          <w:spacing w:val="-2"/>
        </w:rPr>
        <w:t xml:space="preserve"> </w:t>
      </w:r>
      <w:r>
        <w:t>«el Mono» Rivera, cultivador del Plateado, Cauca, asesinado el 30 de diciembre del 2020 y que le había relatado a la Comisión poco antes:</w:t>
      </w:r>
    </w:p>
    <w:p w:rsidR="003804AC" w:rsidRDefault="00AF18A5" w:rsidP="00F26303">
      <w:r>
        <w:t>«Yo creo que aumentó más la hoja de coca, porque legalmente el Gobierno nacional no ha</w:t>
      </w:r>
      <w:r>
        <w:rPr>
          <w:spacing w:val="-3"/>
        </w:rPr>
        <w:t xml:space="preserve"> </w:t>
      </w:r>
      <w:r>
        <w:t>cumplido</w:t>
      </w:r>
      <w:r>
        <w:rPr>
          <w:spacing w:val="-5"/>
        </w:rPr>
        <w:t xml:space="preserve"> </w:t>
      </w:r>
      <w:r>
        <w:t>con</w:t>
      </w:r>
      <w:r>
        <w:rPr>
          <w:spacing w:val="-4"/>
        </w:rPr>
        <w:t xml:space="preserve"> </w:t>
      </w:r>
      <w:r>
        <w:t>los</w:t>
      </w:r>
      <w:r>
        <w:rPr>
          <w:spacing w:val="-3"/>
        </w:rPr>
        <w:t xml:space="preserve"> </w:t>
      </w:r>
      <w:r>
        <w:t>acuerdos</w:t>
      </w:r>
      <w:r>
        <w:rPr>
          <w:spacing w:val="-3"/>
        </w:rPr>
        <w:t xml:space="preserve"> </w:t>
      </w:r>
      <w:r>
        <w:t>de</w:t>
      </w:r>
      <w:r>
        <w:rPr>
          <w:spacing w:val="-3"/>
        </w:rPr>
        <w:t xml:space="preserve"> </w:t>
      </w:r>
      <w:r>
        <w:t>La</w:t>
      </w:r>
      <w:r>
        <w:rPr>
          <w:spacing w:val="-5"/>
        </w:rPr>
        <w:t xml:space="preserve"> </w:t>
      </w:r>
      <w:r>
        <w:t>Habana,</w:t>
      </w:r>
      <w:r>
        <w:rPr>
          <w:spacing w:val="-4"/>
        </w:rPr>
        <w:t xml:space="preserve"> </w:t>
      </w:r>
      <w:r>
        <w:t>por</w:t>
      </w:r>
      <w:r>
        <w:rPr>
          <w:spacing w:val="-4"/>
        </w:rPr>
        <w:t xml:space="preserve"> </w:t>
      </w:r>
      <w:r>
        <w:t>lo</w:t>
      </w:r>
      <w:r>
        <w:rPr>
          <w:spacing w:val="-4"/>
        </w:rPr>
        <w:t xml:space="preserve"> </w:t>
      </w:r>
      <w:r>
        <w:t>que</w:t>
      </w:r>
      <w:r>
        <w:rPr>
          <w:spacing w:val="-3"/>
        </w:rPr>
        <w:t xml:space="preserve"> </w:t>
      </w:r>
      <w:r>
        <w:t>el</w:t>
      </w:r>
      <w:r>
        <w:rPr>
          <w:spacing w:val="-3"/>
        </w:rPr>
        <w:t xml:space="preserve"> </w:t>
      </w:r>
      <w:r>
        <w:t>campesino</w:t>
      </w:r>
      <w:r>
        <w:rPr>
          <w:spacing w:val="-5"/>
        </w:rPr>
        <w:t xml:space="preserve"> </w:t>
      </w:r>
      <w:r>
        <w:t>sigue</w:t>
      </w:r>
      <w:r>
        <w:rPr>
          <w:spacing w:val="-3"/>
        </w:rPr>
        <w:t xml:space="preserve"> </w:t>
      </w:r>
      <w:r>
        <w:t>cultivando</w:t>
      </w:r>
      <w:r>
        <w:rPr>
          <w:spacing w:val="-4"/>
        </w:rPr>
        <w:t xml:space="preserve"> </w:t>
      </w:r>
      <w:r>
        <w:t>coca, ya</w:t>
      </w:r>
      <w:r>
        <w:rPr>
          <w:spacing w:val="-7"/>
        </w:rPr>
        <w:t xml:space="preserve"> </w:t>
      </w:r>
      <w:r>
        <w:t>que</w:t>
      </w:r>
      <w:r>
        <w:rPr>
          <w:spacing w:val="-7"/>
        </w:rPr>
        <w:t xml:space="preserve"> </w:t>
      </w:r>
      <w:r>
        <w:t>no</w:t>
      </w:r>
      <w:r>
        <w:rPr>
          <w:spacing w:val="-7"/>
        </w:rPr>
        <w:t xml:space="preserve"> </w:t>
      </w:r>
      <w:r>
        <w:t>les</w:t>
      </w:r>
      <w:r>
        <w:rPr>
          <w:spacing w:val="-7"/>
        </w:rPr>
        <w:t xml:space="preserve"> </w:t>
      </w:r>
      <w:r>
        <w:t>han</w:t>
      </w:r>
      <w:r>
        <w:rPr>
          <w:spacing w:val="-7"/>
        </w:rPr>
        <w:t xml:space="preserve"> </w:t>
      </w:r>
      <w:r>
        <w:t>dado</w:t>
      </w:r>
      <w:r>
        <w:rPr>
          <w:spacing w:val="-7"/>
        </w:rPr>
        <w:t xml:space="preserve"> </w:t>
      </w:r>
      <w:r>
        <w:t>otros</w:t>
      </w:r>
      <w:r>
        <w:rPr>
          <w:spacing w:val="-7"/>
        </w:rPr>
        <w:t xml:space="preserve"> </w:t>
      </w:r>
      <w:r>
        <w:t>presupuestos</w:t>
      </w:r>
      <w:r>
        <w:rPr>
          <w:spacing w:val="-7"/>
        </w:rPr>
        <w:t xml:space="preserve"> </w:t>
      </w:r>
      <w:r>
        <w:t>para</w:t>
      </w:r>
      <w:r>
        <w:rPr>
          <w:spacing w:val="-7"/>
        </w:rPr>
        <w:t xml:space="preserve"> </w:t>
      </w:r>
      <w:r>
        <w:t>otra</w:t>
      </w:r>
      <w:r>
        <w:rPr>
          <w:spacing w:val="-7"/>
        </w:rPr>
        <w:t xml:space="preserve"> </w:t>
      </w:r>
      <w:r>
        <w:t>producción,</w:t>
      </w:r>
      <w:r>
        <w:rPr>
          <w:spacing w:val="-7"/>
        </w:rPr>
        <w:t xml:space="preserve"> </w:t>
      </w:r>
      <w:r>
        <w:t>por</w:t>
      </w:r>
      <w:r>
        <w:rPr>
          <w:spacing w:val="-7"/>
        </w:rPr>
        <w:t xml:space="preserve"> </w:t>
      </w:r>
      <w:r>
        <w:t>eso</w:t>
      </w:r>
      <w:r>
        <w:rPr>
          <w:spacing w:val="-7"/>
        </w:rPr>
        <w:t xml:space="preserve"> </w:t>
      </w:r>
      <w:r>
        <w:t>no</w:t>
      </w:r>
      <w:r>
        <w:rPr>
          <w:spacing w:val="-7"/>
        </w:rPr>
        <w:t xml:space="preserve"> </w:t>
      </w:r>
      <w:r>
        <w:t>han</w:t>
      </w:r>
      <w:r>
        <w:rPr>
          <w:spacing w:val="-7"/>
        </w:rPr>
        <w:t xml:space="preserve"> </w:t>
      </w:r>
      <w:r>
        <w:t>crecido</w:t>
      </w:r>
      <w:r>
        <w:rPr>
          <w:spacing w:val="-8"/>
        </w:rPr>
        <w:t xml:space="preserve"> </w:t>
      </w:r>
      <w:r>
        <w:t xml:space="preserve">otros cultivos, por el abandono estatal del Gobierno nacional, no del Ejército, no de los militares, los campesinos no necesitamos Fuerzas Militares en la zona, necesitamos presupuesto para los propios cultivos de </w:t>
      </w:r>
      <w:proofErr w:type="spellStart"/>
      <w:r>
        <w:t>pancoger</w:t>
      </w:r>
      <w:proofErr w:type="spellEnd"/>
      <w:r>
        <w:t xml:space="preserve"> de nuestras regiones»</w:t>
      </w:r>
      <w:r w:rsidR="00F26303">
        <w:rPr>
          <w:rStyle w:val="Refdenotaalpie"/>
        </w:rPr>
        <w:footnoteReference w:id="733"/>
      </w:r>
      <w:r>
        <w:t>.</w:t>
      </w:r>
    </w:p>
    <w:p w:rsidR="005B3095" w:rsidRDefault="005B3095" w:rsidP="00554CD7">
      <w:pPr>
        <w:pStyle w:val="Ttulo4"/>
      </w:pPr>
      <w:r>
        <w:t>“El impacto en los pueblos étnicos</w:t>
      </w:r>
    </w:p>
    <w:p w:rsidR="005B3095" w:rsidRDefault="005B3095" w:rsidP="005B3095">
      <w:r>
        <w:t xml:space="preserve">Este complejo entramado de la economía política del conflicto ha conducido a la acumulación de capital y de poder de los actores armados en detrimento de las prácticas agropecuarias ancestrales y del </w:t>
      </w:r>
      <w:r>
        <w:lastRenderedPageBreak/>
        <w:t xml:space="preserve">equilibrio o armonía de los pueblos étnicos. Además, las violaciones de derechos humanos en los territorios indígenas o afrodescendientes se han incrementado, incluso en medio de las fronteras de control pactadas, por ejemplo, entre guerrillas y grupos </w:t>
      </w:r>
      <w:proofErr w:type="spellStart"/>
      <w:r>
        <w:t>posdesmovilización</w:t>
      </w:r>
      <w:proofErr w:type="spellEnd"/>
      <w:r>
        <w:t xml:space="preserve"> de las AUC.</w:t>
      </w:r>
    </w:p>
    <w:p w:rsidR="005B3095" w:rsidRDefault="005B3095" w:rsidP="005B3095">
      <w:r>
        <w:t>En muchos lugares, a las comunidades y los territorios de pueblos indígenas y afrocolombianos se les impuso no solamente la siembra de cultivos de uso ilícito, sino también todas las formas de vida social y cultural que encierra el modelo mafioso. Esto tuvo como consecuencia, además de la violencia a través de asesinatos de jóvenes y líderes comunitarios étnicos, la destrucción del tejido social de las comunidades y de sus redes culturales y familiares, desestructurando los procesos organizativos y las reivindicaciones por los derechos colectivos a la tierra, el territorio y la defensa del ambiente. Los efectos destructivos del narcotráfico y su relación con el conflicto armado en los territorios y las reivindicaciones étnicas suponen un daño específico en sus formas de vida y su cultura.</w:t>
      </w:r>
    </w:p>
    <w:p w:rsidR="0011361F" w:rsidRDefault="00AF18A5" w:rsidP="004A6EF4">
      <w:pPr>
        <w:pStyle w:val="Ttulo3"/>
        <w:numPr>
          <w:ilvl w:val="1"/>
          <w:numId w:val="16"/>
        </w:numPr>
      </w:pPr>
      <w:bookmarkStart w:id="913" w:name="6.10._Conclusiones:_factores_de_persiste"/>
      <w:bookmarkStart w:id="914" w:name="_Toc112399614"/>
      <w:bookmarkEnd w:id="913"/>
      <w:r>
        <w:t>Conclusiones:</w:t>
      </w:r>
      <w:r>
        <w:rPr>
          <w:spacing w:val="-5"/>
        </w:rPr>
        <w:t xml:space="preserve"> </w:t>
      </w:r>
      <w:r>
        <w:t>factores</w:t>
      </w:r>
      <w:r>
        <w:rPr>
          <w:spacing w:val="-3"/>
        </w:rPr>
        <w:t xml:space="preserve"> </w:t>
      </w:r>
      <w:r>
        <w:t>de</w:t>
      </w:r>
      <w:r>
        <w:rPr>
          <w:spacing w:val="-3"/>
        </w:rPr>
        <w:t xml:space="preserve"> </w:t>
      </w:r>
      <w:r>
        <w:t>persistencia</w:t>
      </w:r>
      <w:r>
        <w:rPr>
          <w:spacing w:val="-3"/>
        </w:rPr>
        <w:t xml:space="preserve"> </w:t>
      </w:r>
      <w:r>
        <w:t>ligados</w:t>
      </w:r>
      <w:r>
        <w:rPr>
          <w:spacing w:val="-3"/>
        </w:rPr>
        <w:t xml:space="preserve"> </w:t>
      </w:r>
      <w:r>
        <w:t>al</w:t>
      </w:r>
      <w:r>
        <w:rPr>
          <w:spacing w:val="-2"/>
        </w:rPr>
        <w:t xml:space="preserve"> narcotráfico</w:t>
      </w:r>
      <w:bookmarkEnd w:id="914"/>
    </w:p>
    <w:p w:rsidR="003804AC" w:rsidRDefault="00AF18A5" w:rsidP="00CB0525">
      <w:r>
        <w:t>El</w:t>
      </w:r>
      <w:r>
        <w:rPr>
          <w:spacing w:val="-5"/>
        </w:rPr>
        <w:t xml:space="preserve"> </w:t>
      </w:r>
      <w:r>
        <w:t>narcotráfico</w:t>
      </w:r>
      <w:r>
        <w:rPr>
          <w:spacing w:val="-6"/>
        </w:rPr>
        <w:t xml:space="preserve"> </w:t>
      </w:r>
      <w:r>
        <w:t>es</w:t>
      </w:r>
      <w:r>
        <w:rPr>
          <w:spacing w:val="-7"/>
        </w:rPr>
        <w:t xml:space="preserve"> </w:t>
      </w:r>
      <w:r>
        <w:t>un</w:t>
      </w:r>
      <w:r>
        <w:rPr>
          <w:spacing w:val="-6"/>
        </w:rPr>
        <w:t xml:space="preserve"> </w:t>
      </w:r>
      <w:r>
        <w:t>grave</w:t>
      </w:r>
      <w:r>
        <w:rPr>
          <w:spacing w:val="-6"/>
        </w:rPr>
        <w:t xml:space="preserve"> </w:t>
      </w:r>
      <w:r>
        <w:t>problema</w:t>
      </w:r>
      <w:r>
        <w:rPr>
          <w:spacing w:val="-7"/>
        </w:rPr>
        <w:t xml:space="preserve"> </w:t>
      </w:r>
      <w:r>
        <w:t>económico,</w:t>
      </w:r>
      <w:r>
        <w:rPr>
          <w:spacing w:val="-8"/>
        </w:rPr>
        <w:t xml:space="preserve"> </w:t>
      </w:r>
      <w:r>
        <w:t>social</w:t>
      </w:r>
      <w:r>
        <w:rPr>
          <w:spacing w:val="-5"/>
        </w:rPr>
        <w:t xml:space="preserve"> </w:t>
      </w:r>
      <w:r>
        <w:t>y</w:t>
      </w:r>
      <w:r>
        <w:rPr>
          <w:spacing w:val="-7"/>
        </w:rPr>
        <w:t xml:space="preserve"> </w:t>
      </w:r>
      <w:r>
        <w:t>político,</w:t>
      </w:r>
      <w:r>
        <w:rPr>
          <w:spacing w:val="-7"/>
        </w:rPr>
        <w:t xml:space="preserve"> </w:t>
      </w:r>
      <w:r>
        <w:t>de</w:t>
      </w:r>
      <w:r>
        <w:rPr>
          <w:spacing w:val="-6"/>
        </w:rPr>
        <w:t xml:space="preserve"> </w:t>
      </w:r>
      <w:r>
        <w:t>nivel</w:t>
      </w:r>
      <w:r>
        <w:rPr>
          <w:spacing w:val="-5"/>
        </w:rPr>
        <w:t xml:space="preserve"> </w:t>
      </w:r>
      <w:r>
        <w:t>internacional,</w:t>
      </w:r>
      <w:r>
        <w:rPr>
          <w:spacing w:val="-6"/>
        </w:rPr>
        <w:t xml:space="preserve"> </w:t>
      </w:r>
      <w:r>
        <w:t>no es</w:t>
      </w:r>
      <w:r>
        <w:rPr>
          <w:spacing w:val="-11"/>
        </w:rPr>
        <w:t xml:space="preserve"> </w:t>
      </w:r>
      <w:r>
        <w:t>solo</w:t>
      </w:r>
      <w:r>
        <w:rPr>
          <w:spacing w:val="-11"/>
        </w:rPr>
        <w:t xml:space="preserve"> </w:t>
      </w:r>
      <w:r>
        <w:t>un</w:t>
      </w:r>
      <w:r>
        <w:rPr>
          <w:spacing w:val="-11"/>
        </w:rPr>
        <w:t xml:space="preserve"> </w:t>
      </w:r>
      <w:r>
        <w:t>asunto</w:t>
      </w:r>
      <w:r>
        <w:rPr>
          <w:spacing w:val="-11"/>
        </w:rPr>
        <w:t xml:space="preserve"> </w:t>
      </w:r>
      <w:r>
        <w:t>delictivo</w:t>
      </w:r>
      <w:r>
        <w:rPr>
          <w:spacing w:val="-11"/>
        </w:rPr>
        <w:t xml:space="preserve"> </w:t>
      </w:r>
      <w:r>
        <w:t>o</w:t>
      </w:r>
      <w:r>
        <w:rPr>
          <w:spacing w:val="-11"/>
        </w:rPr>
        <w:t xml:space="preserve"> </w:t>
      </w:r>
      <w:r>
        <w:t>de</w:t>
      </w:r>
      <w:r>
        <w:rPr>
          <w:spacing w:val="-11"/>
        </w:rPr>
        <w:t xml:space="preserve"> </w:t>
      </w:r>
      <w:r>
        <w:t>carácter</w:t>
      </w:r>
      <w:r>
        <w:rPr>
          <w:spacing w:val="-10"/>
        </w:rPr>
        <w:t xml:space="preserve"> </w:t>
      </w:r>
      <w:r>
        <w:t>militar,</w:t>
      </w:r>
      <w:r>
        <w:rPr>
          <w:spacing w:val="-11"/>
        </w:rPr>
        <w:t xml:space="preserve"> </w:t>
      </w:r>
      <w:r>
        <w:t>y</w:t>
      </w:r>
      <w:r>
        <w:rPr>
          <w:spacing w:val="-11"/>
        </w:rPr>
        <w:t xml:space="preserve"> </w:t>
      </w:r>
      <w:r>
        <w:t>ha</w:t>
      </w:r>
      <w:r>
        <w:rPr>
          <w:spacing w:val="-11"/>
        </w:rPr>
        <w:t xml:space="preserve"> </w:t>
      </w:r>
      <w:r>
        <w:t>condicionado</w:t>
      </w:r>
      <w:r>
        <w:rPr>
          <w:spacing w:val="-11"/>
        </w:rPr>
        <w:t xml:space="preserve"> </w:t>
      </w:r>
      <w:r>
        <w:t>históricamente</w:t>
      </w:r>
      <w:r>
        <w:rPr>
          <w:spacing w:val="-11"/>
        </w:rPr>
        <w:t xml:space="preserve"> </w:t>
      </w:r>
      <w:r>
        <w:t>la</w:t>
      </w:r>
      <w:r>
        <w:rPr>
          <w:spacing w:val="-11"/>
        </w:rPr>
        <w:t xml:space="preserve"> </w:t>
      </w:r>
      <w:r>
        <w:t xml:space="preserve">relación entre Colombia y Estados Unidos desde los setenta. El narcotráfico penetró de diferentes maneras una parte de la política y se convirtió en un actor de la confrontación armada; al pasar a ser parte de la contrainsurgencia, se consolidó como un factor de degradación del conflicto armado y se convirtió en financiador de los grupos armados paramilitares y de las guerrillas en </w:t>
      </w:r>
      <w:r>
        <w:lastRenderedPageBreak/>
        <w:t>diferentes eslabones de la cadena. También se unió a sectores de la fuerza pública que se han enriquecido con él.</w:t>
      </w:r>
    </w:p>
    <w:p w:rsidR="003804AC" w:rsidRDefault="00AF18A5" w:rsidP="00F976D7">
      <w:r>
        <w:t>La economía de Colombia depende en gran parte del narcotráfico, que ha sido un regulador de la economía tanto para los sectores populares y campesinos como para la macroeconomía del país y los sectores económicos dominantes. La forma en la que se enfrenta el narcotráfico (como si fuera una guerra), la visión militar de perseguir los eslabones</w:t>
      </w:r>
      <w:r>
        <w:rPr>
          <w:spacing w:val="-10"/>
        </w:rPr>
        <w:t xml:space="preserve"> </w:t>
      </w:r>
      <w:r>
        <w:t>más</w:t>
      </w:r>
      <w:r>
        <w:rPr>
          <w:spacing w:val="-9"/>
        </w:rPr>
        <w:t xml:space="preserve"> </w:t>
      </w:r>
      <w:r>
        <w:t>débiles</w:t>
      </w:r>
      <w:r>
        <w:rPr>
          <w:spacing w:val="-9"/>
        </w:rPr>
        <w:t xml:space="preserve"> </w:t>
      </w:r>
      <w:r>
        <w:t>de</w:t>
      </w:r>
      <w:r>
        <w:rPr>
          <w:spacing w:val="-10"/>
        </w:rPr>
        <w:t xml:space="preserve"> </w:t>
      </w:r>
      <w:r>
        <w:t>la</w:t>
      </w:r>
      <w:r>
        <w:rPr>
          <w:spacing w:val="-9"/>
        </w:rPr>
        <w:t xml:space="preserve"> </w:t>
      </w:r>
      <w:r>
        <w:t>cadena,</w:t>
      </w:r>
      <w:r>
        <w:rPr>
          <w:spacing w:val="-9"/>
        </w:rPr>
        <w:t xml:space="preserve"> </w:t>
      </w:r>
      <w:r>
        <w:t>la</w:t>
      </w:r>
      <w:r>
        <w:rPr>
          <w:spacing w:val="-9"/>
        </w:rPr>
        <w:t xml:space="preserve"> </w:t>
      </w:r>
      <w:r>
        <w:t>militarización</w:t>
      </w:r>
      <w:r>
        <w:rPr>
          <w:spacing w:val="-9"/>
        </w:rPr>
        <w:t xml:space="preserve"> </w:t>
      </w:r>
      <w:r>
        <w:t>de</w:t>
      </w:r>
      <w:r>
        <w:rPr>
          <w:spacing w:val="-9"/>
        </w:rPr>
        <w:t xml:space="preserve"> </w:t>
      </w:r>
      <w:r>
        <w:t>los</w:t>
      </w:r>
      <w:r>
        <w:rPr>
          <w:spacing w:val="-9"/>
        </w:rPr>
        <w:t xml:space="preserve"> </w:t>
      </w:r>
      <w:r>
        <w:t>territorios</w:t>
      </w:r>
      <w:r>
        <w:rPr>
          <w:spacing w:val="-11"/>
        </w:rPr>
        <w:t xml:space="preserve"> </w:t>
      </w:r>
      <w:r>
        <w:t>e,</w:t>
      </w:r>
      <w:r>
        <w:rPr>
          <w:spacing w:val="-9"/>
        </w:rPr>
        <w:t xml:space="preserve"> </w:t>
      </w:r>
      <w:r>
        <w:t>incluso,</w:t>
      </w:r>
      <w:r>
        <w:rPr>
          <w:spacing w:val="-9"/>
        </w:rPr>
        <w:t xml:space="preserve"> </w:t>
      </w:r>
      <w:r>
        <w:t>las</w:t>
      </w:r>
      <w:r>
        <w:rPr>
          <w:spacing w:val="-9"/>
        </w:rPr>
        <w:t xml:space="preserve"> </w:t>
      </w:r>
      <w:r>
        <w:t>políticas criminales de detenciones sucesivas de capos durante décadas, no han resuelto el problema. Más bien ha ocurrido lo contrario: la representación de que se trata de una «guerra» lo convierte en factor fundamental de la persistencia.</w:t>
      </w:r>
    </w:p>
    <w:p w:rsidR="003804AC" w:rsidRDefault="00AF18A5" w:rsidP="00F976D7">
      <w:r>
        <w:t>Si</w:t>
      </w:r>
      <w:r>
        <w:rPr>
          <w:spacing w:val="-3"/>
        </w:rPr>
        <w:t xml:space="preserve"> </w:t>
      </w:r>
      <w:r>
        <w:t>Colombia</w:t>
      </w:r>
      <w:r>
        <w:rPr>
          <w:spacing w:val="-4"/>
        </w:rPr>
        <w:t xml:space="preserve"> </w:t>
      </w:r>
      <w:r>
        <w:t>no</w:t>
      </w:r>
      <w:r>
        <w:rPr>
          <w:spacing w:val="-3"/>
        </w:rPr>
        <w:t xml:space="preserve"> </w:t>
      </w:r>
      <w:r>
        <w:t>encuentra,</w:t>
      </w:r>
      <w:r>
        <w:rPr>
          <w:spacing w:val="-3"/>
        </w:rPr>
        <w:t xml:space="preserve"> </w:t>
      </w:r>
      <w:r>
        <w:t>como</w:t>
      </w:r>
      <w:r>
        <w:rPr>
          <w:spacing w:val="-3"/>
        </w:rPr>
        <w:t xml:space="preserve"> </w:t>
      </w:r>
      <w:r>
        <w:t>sociedad,</w:t>
      </w:r>
      <w:r>
        <w:rPr>
          <w:spacing w:val="-3"/>
        </w:rPr>
        <w:t xml:space="preserve"> </w:t>
      </w:r>
      <w:r>
        <w:t>una</w:t>
      </w:r>
      <w:r>
        <w:rPr>
          <w:spacing w:val="-3"/>
        </w:rPr>
        <w:t xml:space="preserve"> </w:t>
      </w:r>
      <w:r>
        <w:t>solución</w:t>
      </w:r>
      <w:r>
        <w:rPr>
          <w:spacing w:val="-3"/>
        </w:rPr>
        <w:t xml:space="preserve"> </w:t>
      </w:r>
      <w:r>
        <w:t>de</w:t>
      </w:r>
      <w:r>
        <w:rPr>
          <w:spacing w:val="-3"/>
        </w:rPr>
        <w:t xml:space="preserve"> </w:t>
      </w:r>
      <w:r>
        <w:t>fondo</w:t>
      </w:r>
      <w:r>
        <w:rPr>
          <w:spacing w:val="-3"/>
        </w:rPr>
        <w:t xml:space="preserve"> </w:t>
      </w:r>
      <w:r>
        <w:t>y</w:t>
      </w:r>
      <w:r>
        <w:rPr>
          <w:spacing w:val="-3"/>
        </w:rPr>
        <w:t xml:space="preserve"> </w:t>
      </w:r>
      <w:r>
        <w:t>negociada</w:t>
      </w:r>
      <w:r>
        <w:rPr>
          <w:spacing w:val="-3"/>
        </w:rPr>
        <w:t xml:space="preserve"> </w:t>
      </w:r>
      <w:r>
        <w:t>nacional</w:t>
      </w:r>
      <w:r>
        <w:rPr>
          <w:spacing w:val="-4"/>
        </w:rPr>
        <w:t xml:space="preserve"> </w:t>
      </w:r>
      <w:r>
        <w:t>e internacionalmente al problema del narcotráfico, el conflicto armado continuará. La Comisión considera que se necesita reconocer y replantear el problema del narcotráfico y encontrar</w:t>
      </w:r>
      <w:r>
        <w:rPr>
          <w:spacing w:val="-8"/>
        </w:rPr>
        <w:t xml:space="preserve"> </w:t>
      </w:r>
      <w:r>
        <w:t>los</w:t>
      </w:r>
      <w:r>
        <w:rPr>
          <w:spacing w:val="-8"/>
        </w:rPr>
        <w:t xml:space="preserve"> </w:t>
      </w:r>
      <w:r>
        <w:t>caminos</w:t>
      </w:r>
      <w:r>
        <w:rPr>
          <w:spacing w:val="-8"/>
        </w:rPr>
        <w:t xml:space="preserve"> </w:t>
      </w:r>
      <w:r>
        <w:t>políticos,</w:t>
      </w:r>
      <w:r>
        <w:rPr>
          <w:spacing w:val="-8"/>
        </w:rPr>
        <w:t xml:space="preserve"> </w:t>
      </w:r>
      <w:r>
        <w:t>económicos,</w:t>
      </w:r>
      <w:r>
        <w:rPr>
          <w:spacing w:val="-8"/>
        </w:rPr>
        <w:t xml:space="preserve"> </w:t>
      </w:r>
      <w:r>
        <w:t>éticos</w:t>
      </w:r>
      <w:r>
        <w:rPr>
          <w:spacing w:val="-8"/>
        </w:rPr>
        <w:t xml:space="preserve"> </w:t>
      </w:r>
      <w:r>
        <w:t>y</w:t>
      </w:r>
      <w:r>
        <w:rPr>
          <w:spacing w:val="-8"/>
        </w:rPr>
        <w:t xml:space="preserve"> </w:t>
      </w:r>
      <w:r>
        <w:t>jurídicos</w:t>
      </w:r>
      <w:r>
        <w:rPr>
          <w:spacing w:val="-8"/>
        </w:rPr>
        <w:t xml:space="preserve"> </w:t>
      </w:r>
      <w:r>
        <w:t>de</w:t>
      </w:r>
      <w:r>
        <w:rPr>
          <w:spacing w:val="-8"/>
        </w:rPr>
        <w:t xml:space="preserve"> </w:t>
      </w:r>
      <w:r>
        <w:t>salida</w:t>
      </w:r>
      <w:r>
        <w:rPr>
          <w:spacing w:val="-8"/>
        </w:rPr>
        <w:t xml:space="preserve"> </w:t>
      </w:r>
      <w:r>
        <w:t>en</w:t>
      </w:r>
      <w:r>
        <w:rPr>
          <w:spacing w:val="-8"/>
        </w:rPr>
        <w:t xml:space="preserve"> </w:t>
      </w:r>
      <w:r>
        <w:t>debates</w:t>
      </w:r>
      <w:r>
        <w:rPr>
          <w:spacing w:val="-8"/>
        </w:rPr>
        <w:t xml:space="preserve"> </w:t>
      </w:r>
      <w:r>
        <w:t>de</w:t>
      </w:r>
      <w:r>
        <w:rPr>
          <w:spacing w:val="-8"/>
        </w:rPr>
        <w:t xml:space="preserve"> </w:t>
      </w:r>
      <w:r>
        <w:t>fondo y procesos de concertación que permitan la comprensión, regulación e integración económica, social y política de esa actividad.</w:t>
      </w:r>
    </w:p>
    <w:p w:rsidR="0011361F" w:rsidRDefault="00AF18A5" w:rsidP="004A6EF4">
      <w:pPr>
        <w:pStyle w:val="Ttulo4"/>
        <w:numPr>
          <w:ilvl w:val="2"/>
          <w:numId w:val="16"/>
        </w:numPr>
      </w:pPr>
      <w:bookmarkStart w:id="915" w:name="6.10.1._Relación_del_narcotráfico_con_el"/>
      <w:bookmarkEnd w:id="915"/>
      <w:r>
        <w:t>Relación</w:t>
      </w:r>
      <w:r>
        <w:rPr>
          <w:spacing w:val="-3"/>
        </w:rPr>
        <w:t xml:space="preserve"> </w:t>
      </w:r>
      <w:r>
        <w:t>del</w:t>
      </w:r>
      <w:r>
        <w:rPr>
          <w:spacing w:val="-1"/>
        </w:rPr>
        <w:t xml:space="preserve"> </w:t>
      </w:r>
      <w:r>
        <w:t>narcotráfico</w:t>
      </w:r>
      <w:r>
        <w:rPr>
          <w:spacing w:val="-1"/>
        </w:rPr>
        <w:t xml:space="preserve"> </w:t>
      </w:r>
      <w:r>
        <w:t>con</w:t>
      </w:r>
      <w:r>
        <w:rPr>
          <w:spacing w:val="-2"/>
        </w:rPr>
        <w:t xml:space="preserve"> </w:t>
      </w:r>
      <w:r>
        <w:t>el</w:t>
      </w:r>
      <w:r>
        <w:rPr>
          <w:spacing w:val="-2"/>
        </w:rPr>
        <w:t xml:space="preserve"> </w:t>
      </w:r>
      <w:r>
        <w:t>modelo</w:t>
      </w:r>
      <w:r>
        <w:rPr>
          <w:spacing w:val="-3"/>
        </w:rPr>
        <w:t xml:space="preserve"> </w:t>
      </w:r>
      <w:r>
        <w:t>económico</w:t>
      </w:r>
      <w:r>
        <w:rPr>
          <w:spacing w:val="-3"/>
        </w:rPr>
        <w:t xml:space="preserve"> </w:t>
      </w:r>
      <w:r>
        <w:t>y</w:t>
      </w:r>
      <w:r>
        <w:rPr>
          <w:spacing w:val="-1"/>
        </w:rPr>
        <w:t xml:space="preserve"> </w:t>
      </w:r>
      <w:r>
        <w:t>la</w:t>
      </w:r>
      <w:r>
        <w:rPr>
          <w:spacing w:val="-1"/>
        </w:rPr>
        <w:t xml:space="preserve"> </w:t>
      </w:r>
      <w:r>
        <w:t>exclusión</w:t>
      </w:r>
      <w:r>
        <w:rPr>
          <w:spacing w:val="-2"/>
        </w:rPr>
        <w:t xml:space="preserve"> social</w:t>
      </w:r>
    </w:p>
    <w:p w:rsidR="003804AC" w:rsidRDefault="00AF18A5" w:rsidP="00F976D7">
      <w:r>
        <w:t>El</w:t>
      </w:r>
      <w:r>
        <w:rPr>
          <w:spacing w:val="-3"/>
        </w:rPr>
        <w:t xml:space="preserve"> </w:t>
      </w:r>
      <w:r>
        <w:t>narcotráfico,</w:t>
      </w:r>
      <w:r>
        <w:rPr>
          <w:spacing w:val="-4"/>
        </w:rPr>
        <w:t xml:space="preserve"> </w:t>
      </w:r>
      <w:r>
        <w:t>al</w:t>
      </w:r>
      <w:r>
        <w:rPr>
          <w:spacing w:val="-3"/>
        </w:rPr>
        <w:t xml:space="preserve"> </w:t>
      </w:r>
      <w:r>
        <w:t>ser</w:t>
      </w:r>
      <w:r>
        <w:rPr>
          <w:spacing w:val="-3"/>
        </w:rPr>
        <w:t xml:space="preserve"> </w:t>
      </w:r>
      <w:r>
        <w:t>un</w:t>
      </w:r>
      <w:r>
        <w:rPr>
          <w:spacing w:val="-4"/>
        </w:rPr>
        <w:t xml:space="preserve"> </w:t>
      </w:r>
      <w:r>
        <w:t>modo</w:t>
      </w:r>
      <w:r>
        <w:rPr>
          <w:spacing w:val="-4"/>
        </w:rPr>
        <w:t xml:space="preserve"> </w:t>
      </w:r>
      <w:r>
        <w:t>de</w:t>
      </w:r>
      <w:r>
        <w:rPr>
          <w:spacing w:val="-3"/>
        </w:rPr>
        <w:t xml:space="preserve"> </w:t>
      </w:r>
      <w:r>
        <w:t>acumulación</w:t>
      </w:r>
      <w:r>
        <w:rPr>
          <w:spacing w:val="-4"/>
        </w:rPr>
        <w:t xml:space="preserve"> </w:t>
      </w:r>
      <w:r>
        <w:t>de</w:t>
      </w:r>
      <w:r>
        <w:rPr>
          <w:spacing w:val="-5"/>
        </w:rPr>
        <w:t xml:space="preserve"> </w:t>
      </w:r>
      <w:r>
        <w:t>capital</w:t>
      </w:r>
      <w:r>
        <w:rPr>
          <w:spacing w:val="-3"/>
        </w:rPr>
        <w:t xml:space="preserve"> </w:t>
      </w:r>
      <w:r>
        <w:t>y</w:t>
      </w:r>
      <w:r>
        <w:rPr>
          <w:spacing w:val="-4"/>
        </w:rPr>
        <w:t xml:space="preserve"> </w:t>
      </w:r>
      <w:r>
        <w:t>de</w:t>
      </w:r>
      <w:r>
        <w:rPr>
          <w:spacing w:val="-3"/>
        </w:rPr>
        <w:t xml:space="preserve"> </w:t>
      </w:r>
      <w:r>
        <w:t>poder,</w:t>
      </w:r>
      <w:r>
        <w:rPr>
          <w:spacing w:val="-4"/>
        </w:rPr>
        <w:t xml:space="preserve"> </w:t>
      </w:r>
      <w:r>
        <w:t>ha</w:t>
      </w:r>
      <w:r>
        <w:rPr>
          <w:spacing w:val="-3"/>
        </w:rPr>
        <w:t xml:space="preserve"> </w:t>
      </w:r>
      <w:r>
        <w:t>tenido</w:t>
      </w:r>
      <w:r>
        <w:rPr>
          <w:spacing w:val="-4"/>
        </w:rPr>
        <w:t xml:space="preserve"> </w:t>
      </w:r>
      <w:r>
        <w:t>una</w:t>
      </w:r>
      <w:r>
        <w:rPr>
          <w:spacing w:val="-3"/>
        </w:rPr>
        <w:t xml:space="preserve"> </w:t>
      </w:r>
      <w:r>
        <w:t>relación con</w:t>
      </w:r>
      <w:r>
        <w:rPr>
          <w:spacing w:val="-15"/>
        </w:rPr>
        <w:t xml:space="preserve"> </w:t>
      </w:r>
      <w:r>
        <w:t>la</w:t>
      </w:r>
      <w:r>
        <w:rPr>
          <w:spacing w:val="-15"/>
        </w:rPr>
        <w:t xml:space="preserve"> </w:t>
      </w:r>
      <w:r>
        <w:t>economía</w:t>
      </w:r>
      <w:r>
        <w:rPr>
          <w:spacing w:val="-15"/>
        </w:rPr>
        <w:t xml:space="preserve"> </w:t>
      </w:r>
      <w:r>
        <w:t>nacional</w:t>
      </w:r>
      <w:r>
        <w:rPr>
          <w:spacing w:val="-15"/>
        </w:rPr>
        <w:t xml:space="preserve"> </w:t>
      </w:r>
      <w:r>
        <w:t>y</w:t>
      </w:r>
      <w:r>
        <w:rPr>
          <w:spacing w:val="-15"/>
        </w:rPr>
        <w:t xml:space="preserve"> </w:t>
      </w:r>
      <w:r>
        <w:t>ha</w:t>
      </w:r>
      <w:r>
        <w:rPr>
          <w:spacing w:val="-15"/>
        </w:rPr>
        <w:t xml:space="preserve"> </w:t>
      </w:r>
      <w:r>
        <w:t>impactado</w:t>
      </w:r>
      <w:r>
        <w:rPr>
          <w:spacing w:val="-15"/>
        </w:rPr>
        <w:t xml:space="preserve"> </w:t>
      </w:r>
      <w:r>
        <w:t>los</w:t>
      </w:r>
      <w:r>
        <w:rPr>
          <w:spacing w:val="-15"/>
        </w:rPr>
        <w:t xml:space="preserve"> </w:t>
      </w:r>
      <w:r>
        <w:t>conflictos</w:t>
      </w:r>
      <w:r>
        <w:rPr>
          <w:spacing w:val="-15"/>
        </w:rPr>
        <w:t xml:space="preserve"> </w:t>
      </w:r>
      <w:r>
        <w:t>sociales</w:t>
      </w:r>
      <w:r>
        <w:rPr>
          <w:spacing w:val="-15"/>
        </w:rPr>
        <w:t xml:space="preserve"> </w:t>
      </w:r>
      <w:r>
        <w:t>producidos</w:t>
      </w:r>
      <w:r>
        <w:rPr>
          <w:spacing w:val="-15"/>
        </w:rPr>
        <w:t xml:space="preserve"> </w:t>
      </w:r>
      <w:r>
        <w:t>por</w:t>
      </w:r>
      <w:r>
        <w:rPr>
          <w:spacing w:val="-15"/>
        </w:rPr>
        <w:t xml:space="preserve"> </w:t>
      </w:r>
      <w:r>
        <w:t>las</w:t>
      </w:r>
      <w:r>
        <w:rPr>
          <w:spacing w:val="-15"/>
        </w:rPr>
        <w:t xml:space="preserve"> </w:t>
      </w:r>
      <w:r>
        <w:t>relaciones históricas</w:t>
      </w:r>
      <w:r>
        <w:rPr>
          <w:spacing w:val="-7"/>
        </w:rPr>
        <w:t xml:space="preserve"> </w:t>
      </w:r>
      <w:r>
        <w:t>entre</w:t>
      </w:r>
      <w:r>
        <w:rPr>
          <w:spacing w:val="-7"/>
        </w:rPr>
        <w:t xml:space="preserve"> </w:t>
      </w:r>
      <w:r>
        <w:t>el</w:t>
      </w:r>
      <w:r>
        <w:rPr>
          <w:spacing w:val="-7"/>
        </w:rPr>
        <w:t xml:space="preserve"> </w:t>
      </w:r>
      <w:r>
        <w:t>Estado</w:t>
      </w:r>
      <w:r>
        <w:rPr>
          <w:spacing w:val="-8"/>
        </w:rPr>
        <w:t xml:space="preserve"> </w:t>
      </w:r>
      <w:r>
        <w:t>y</w:t>
      </w:r>
      <w:r>
        <w:rPr>
          <w:spacing w:val="-7"/>
        </w:rPr>
        <w:t xml:space="preserve"> </w:t>
      </w:r>
      <w:r>
        <w:t>los</w:t>
      </w:r>
      <w:r>
        <w:rPr>
          <w:spacing w:val="-7"/>
        </w:rPr>
        <w:t xml:space="preserve"> </w:t>
      </w:r>
      <w:r>
        <w:t>modos</w:t>
      </w:r>
      <w:r>
        <w:rPr>
          <w:spacing w:val="-7"/>
        </w:rPr>
        <w:t xml:space="preserve"> </w:t>
      </w:r>
      <w:r>
        <w:t>de</w:t>
      </w:r>
      <w:r>
        <w:rPr>
          <w:spacing w:val="-7"/>
        </w:rPr>
        <w:t xml:space="preserve"> </w:t>
      </w:r>
      <w:r>
        <w:t>acumulación</w:t>
      </w:r>
      <w:r>
        <w:rPr>
          <w:spacing w:val="-7"/>
        </w:rPr>
        <w:t xml:space="preserve"> </w:t>
      </w:r>
      <w:r>
        <w:t>de</w:t>
      </w:r>
      <w:r>
        <w:rPr>
          <w:spacing w:val="-7"/>
        </w:rPr>
        <w:t xml:space="preserve"> </w:t>
      </w:r>
      <w:r>
        <w:t>riqueza.</w:t>
      </w:r>
      <w:r>
        <w:rPr>
          <w:spacing w:val="-7"/>
        </w:rPr>
        <w:t xml:space="preserve"> </w:t>
      </w:r>
      <w:r>
        <w:t>El</w:t>
      </w:r>
      <w:r>
        <w:rPr>
          <w:spacing w:val="-7"/>
        </w:rPr>
        <w:t xml:space="preserve"> </w:t>
      </w:r>
      <w:r>
        <w:t>dinero</w:t>
      </w:r>
      <w:r>
        <w:rPr>
          <w:spacing w:val="-7"/>
        </w:rPr>
        <w:t xml:space="preserve"> </w:t>
      </w:r>
      <w:r>
        <w:t>producido</w:t>
      </w:r>
      <w:r>
        <w:rPr>
          <w:spacing w:val="-7"/>
        </w:rPr>
        <w:t xml:space="preserve"> </w:t>
      </w:r>
      <w:r>
        <w:t>por</w:t>
      </w:r>
      <w:r>
        <w:rPr>
          <w:spacing w:val="-7"/>
        </w:rPr>
        <w:t xml:space="preserve"> </w:t>
      </w:r>
      <w:r>
        <w:t>el narcotráfico ha estabilizado la economía nacional, que aparece dependiente de este. Las relaciones</w:t>
      </w:r>
      <w:r>
        <w:rPr>
          <w:spacing w:val="-9"/>
        </w:rPr>
        <w:t xml:space="preserve"> </w:t>
      </w:r>
      <w:r>
        <w:t>entre</w:t>
      </w:r>
      <w:r>
        <w:rPr>
          <w:spacing w:val="-9"/>
        </w:rPr>
        <w:t xml:space="preserve"> </w:t>
      </w:r>
      <w:r>
        <w:t>el</w:t>
      </w:r>
      <w:r>
        <w:rPr>
          <w:spacing w:val="-9"/>
        </w:rPr>
        <w:t xml:space="preserve"> </w:t>
      </w:r>
      <w:r>
        <w:t>narcotráfico</w:t>
      </w:r>
      <w:r>
        <w:rPr>
          <w:spacing w:val="-10"/>
        </w:rPr>
        <w:t xml:space="preserve"> </w:t>
      </w:r>
      <w:r>
        <w:t>y</w:t>
      </w:r>
      <w:r>
        <w:rPr>
          <w:spacing w:val="-10"/>
        </w:rPr>
        <w:t xml:space="preserve"> </w:t>
      </w:r>
      <w:r>
        <w:t>los</w:t>
      </w:r>
      <w:r>
        <w:rPr>
          <w:spacing w:val="-10"/>
        </w:rPr>
        <w:t xml:space="preserve"> </w:t>
      </w:r>
      <w:r>
        <w:t>proyectos</w:t>
      </w:r>
      <w:r>
        <w:rPr>
          <w:spacing w:val="-9"/>
        </w:rPr>
        <w:t xml:space="preserve"> </w:t>
      </w:r>
      <w:r>
        <w:lastRenderedPageBreak/>
        <w:t>o</w:t>
      </w:r>
      <w:r>
        <w:rPr>
          <w:spacing w:val="-10"/>
        </w:rPr>
        <w:t xml:space="preserve"> </w:t>
      </w:r>
      <w:r>
        <w:t>sectores</w:t>
      </w:r>
      <w:r>
        <w:rPr>
          <w:spacing w:val="-9"/>
        </w:rPr>
        <w:t xml:space="preserve"> </w:t>
      </w:r>
      <w:r>
        <w:t>económicos</w:t>
      </w:r>
      <w:r>
        <w:rPr>
          <w:spacing w:val="-9"/>
        </w:rPr>
        <w:t xml:space="preserve"> </w:t>
      </w:r>
      <w:r>
        <w:t>legales</w:t>
      </w:r>
      <w:r>
        <w:rPr>
          <w:spacing w:val="-9"/>
        </w:rPr>
        <w:t xml:space="preserve"> </w:t>
      </w:r>
      <w:r>
        <w:t>son</w:t>
      </w:r>
      <w:r>
        <w:rPr>
          <w:spacing w:val="-10"/>
        </w:rPr>
        <w:t xml:space="preserve"> </w:t>
      </w:r>
      <w:r>
        <w:t>muestra</w:t>
      </w:r>
      <w:r>
        <w:rPr>
          <w:spacing w:val="-9"/>
        </w:rPr>
        <w:t xml:space="preserve"> </w:t>
      </w:r>
      <w:r>
        <w:t xml:space="preserve">de </w:t>
      </w:r>
      <w:r>
        <w:rPr>
          <w:spacing w:val="-2"/>
        </w:rPr>
        <w:t>ello.</w:t>
      </w:r>
    </w:p>
    <w:p w:rsidR="003804AC" w:rsidRDefault="00AF18A5" w:rsidP="00E013A2">
      <w:r>
        <w:t>El</w:t>
      </w:r>
      <w:r>
        <w:rPr>
          <w:spacing w:val="-8"/>
        </w:rPr>
        <w:t xml:space="preserve"> </w:t>
      </w:r>
      <w:r>
        <w:t>narcotráfico</w:t>
      </w:r>
      <w:r>
        <w:rPr>
          <w:spacing w:val="-8"/>
        </w:rPr>
        <w:t xml:space="preserve"> </w:t>
      </w:r>
      <w:r>
        <w:t>ha</w:t>
      </w:r>
      <w:r>
        <w:rPr>
          <w:spacing w:val="-8"/>
        </w:rPr>
        <w:t xml:space="preserve"> </w:t>
      </w:r>
      <w:r>
        <w:t>impactado</w:t>
      </w:r>
      <w:r>
        <w:rPr>
          <w:spacing w:val="-8"/>
        </w:rPr>
        <w:t xml:space="preserve"> </w:t>
      </w:r>
      <w:r>
        <w:t>de</w:t>
      </w:r>
      <w:r>
        <w:rPr>
          <w:spacing w:val="-8"/>
        </w:rPr>
        <w:t xml:space="preserve"> </w:t>
      </w:r>
      <w:r>
        <w:t>diversas</w:t>
      </w:r>
      <w:r>
        <w:rPr>
          <w:spacing w:val="-8"/>
        </w:rPr>
        <w:t xml:space="preserve"> </w:t>
      </w:r>
      <w:r>
        <w:t>formas</w:t>
      </w:r>
      <w:r>
        <w:rPr>
          <w:spacing w:val="-8"/>
        </w:rPr>
        <w:t xml:space="preserve"> </w:t>
      </w:r>
      <w:r>
        <w:t>los</w:t>
      </w:r>
      <w:r>
        <w:rPr>
          <w:spacing w:val="-8"/>
        </w:rPr>
        <w:t xml:space="preserve"> </w:t>
      </w:r>
      <w:r>
        <w:t>conflictos</w:t>
      </w:r>
      <w:r>
        <w:rPr>
          <w:spacing w:val="-9"/>
        </w:rPr>
        <w:t xml:space="preserve"> </w:t>
      </w:r>
      <w:r>
        <w:t>históricos</w:t>
      </w:r>
      <w:r>
        <w:rPr>
          <w:spacing w:val="-8"/>
        </w:rPr>
        <w:t xml:space="preserve"> </w:t>
      </w:r>
      <w:r>
        <w:t>por</w:t>
      </w:r>
      <w:r>
        <w:rPr>
          <w:spacing w:val="-8"/>
        </w:rPr>
        <w:t xml:space="preserve"> </w:t>
      </w:r>
      <w:r>
        <w:t>la</w:t>
      </w:r>
      <w:r>
        <w:rPr>
          <w:spacing w:val="-8"/>
        </w:rPr>
        <w:t xml:space="preserve"> </w:t>
      </w:r>
      <w:r>
        <w:t>tierra,</w:t>
      </w:r>
      <w:r>
        <w:rPr>
          <w:spacing w:val="-8"/>
        </w:rPr>
        <w:t xml:space="preserve"> </w:t>
      </w:r>
      <w:r>
        <w:t>y</w:t>
      </w:r>
      <w:r>
        <w:rPr>
          <w:spacing w:val="-10"/>
        </w:rPr>
        <w:t xml:space="preserve"> </w:t>
      </w:r>
      <w:r>
        <w:t>la histórica exclusión política y social. El narcotráfico, a partir de la extensión de los cultivos de</w:t>
      </w:r>
      <w:r>
        <w:rPr>
          <w:spacing w:val="-5"/>
        </w:rPr>
        <w:t xml:space="preserve"> </w:t>
      </w:r>
      <w:r>
        <w:t>coca,</w:t>
      </w:r>
      <w:r>
        <w:rPr>
          <w:spacing w:val="-5"/>
        </w:rPr>
        <w:t xml:space="preserve"> </w:t>
      </w:r>
      <w:r>
        <w:t>reemplazó</w:t>
      </w:r>
      <w:r>
        <w:rPr>
          <w:spacing w:val="-6"/>
        </w:rPr>
        <w:t xml:space="preserve"> </w:t>
      </w:r>
      <w:r>
        <w:t>la</w:t>
      </w:r>
      <w:r>
        <w:rPr>
          <w:spacing w:val="-5"/>
        </w:rPr>
        <w:t xml:space="preserve"> </w:t>
      </w:r>
      <w:r>
        <w:t>reforma</w:t>
      </w:r>
      <w:r>
        <w:rPr>
          <w:spacing w:val="-6"/>
        </w:rPr>
        <w:t xml:space="preserve"> </w:t>
      </w:r>
      <w:r>
        <w:t>agraria</w:t>
      </w:r>
      <w:r>
        <w:rPr>
          <w:spacing w:val="-5"/>
        </w:rPr>
        <w:t xml:space="preserve"> </w:t>
      </w:r>
      <w:r>
        <w:t>y</w:t>
      </w:r>
      <w:r>
        <w:rPr>
          <w:spacing w:val="-5"/>
        </w:rPr>
        <w:t xml:space="preserve"> </w:t>
      </w:r>
      <w:r>
        <w:t>se</w:t>
      </w:r>
      <w:r>
        <w:rPr>
          <w:spacing w:val="-5"/>
        </w:rPr>
        <w:t xml:space="preserve"> </w:t>
      </w:r>
      <w:r>
        <w:t>ha</w:t>
      </w:r>
      <w:r>
        <w:rPr>
          <w:spacing w:val="-5"/>
        </w:rPr>
        <w:t xml:space="preserve"> </w:t>
      </w:r>
      <w:r>
        <w:t>convertido</w:t>
      </w:r>
      <w:r>
        <w:rPr>
          <w:spacing w:val="-5"/>
        </w:rPr>
        <w:t xml:space="preserve"> </w:t>
      </w:r>
      <w:r>
        <w:t>en</w:t>
      </w:r>
      <w:r>
        <w:rPr>
          <w:spacing w:val="-6"/>
        </w:rPr>
        <w:t xml:space="preserve"> </w:t>
      </w:r>
      <w:r>
        <w:t>una</w:t>
      </w:r>
      <w:r>
        <w:rPr>
          <w:spacing w:val="-5"/>
        </w:rPr>
        <w:t xml:space="preserve"> </w:t>
      </w:r>
      <w:r>
        <w:t>forma</w:t>
      </w:r>
      <w:r>
        <w:rPr>
          <w:spacing w:val="-5"/>
        </w:rPr>
        <w:t xml:space="preserve"> </w:t>
      </w:r>
      <w:r>
        <w:t>de</w:t>
      </w:r>
      <w:r>
        <w:rPr>
          <w:spacing w:val="-5"/>
        </w:rPr>
        <w:t xml:space="preserve"> </w:t>
      </w:r>
      <w:r>
        <w:t>ascenso</w:t>
      </w:r>
      <w:r>
        <w:rPr>
          <w:spacing w:val="-5"/>
        </w:rPr>
        <w:t xml:space="preserve"> </w:t>
      </w:r>
      <w:r>
        <w:t>social.</w:t>
      </w:r>
      <w:r>
        <w:rPr>
          <w:spacing w:val="-5"/>
        </w:rPr>
        <w:t xml:space="preserve"> </w:t>
      </w:r>
      <w:r>
        <w:t xml:space="preserve">De alguna manera, el narcotráfico ha servido de «entrada al sistema» a sectores excluidos que, sin caminos para acceder legalmente a la distribución de la riqueza y el poder, lo hacen de manera ilegal. Al mismo tiempo, les ha facilitado a sectores de las élites conservar el </w:t>
      </w:r>
      <w:r>
        <w:rPr>
          <w:i/>
        </w:rPr>
        <w:t>statu quo</w:t>
      </w:r>
      <w:r>
        <w:t>, porque cumple con un papel estabilizador en la economía del país. El mayor beneficio se ha concentrado en quien controla los eslabones más altos de la cadena, incluyendo el lavado de activos, la compra de tierras, el expolio de las arcas públicas y el acceso al poder político para controlar el negocio o blanquear el dinero.</w:t>
      </w:r>
    </w:p>
    <w:p w:rsidR="003804AC" w:rsidRDefault="00AF18A5" w:rsidP="00E013A2">
      <w:r>
        <w:t>Frente al narcotráfico, los grupos de poder político-económico y militar del país siguen adoptando una doble moral que propicia el ocultamiento, el provecho por parte de algunos sectores (como el financiero), la estigmatización y persecución de otros (como los campesinos cultivadores de coca), y la imposibilidad de hacer justicia.</w:t>
      </w:r>
    </w:p>
    <w:p w:rsidR="003804AC" w:rsidRDefault="00AF18A5" w:rsidP="00E013A2">
      <w:r>
        <w:t xml:space="preserve">Mientras aumentan las características autoritarias de la cultura y se promueve la masificación del «todo vale» y la obtención de dinero rápido a través de la ilegalidad y la </w:t>
      </w:r>
      <w:r>
        <w:rPr>
          <w:spacing w:val="-2"/>
        </w:rPr>
        <w:t>violencia,</w:t>
      </w:r>
      <w:r>
        <w:rPr>
          <w:spacing w:val="-5"/>
        </w:rPr>
        <w:t xml:space="preserve"> </w:t>
      </w:r>
      <w:r>
        <w:rPr>
          <w:spacing w:val="-2"/>
        </w:rPr>
        <w:t>Colombia</w:t>
      </w:r>
      <w:r>
        <w:rPr>
          <w:spacing w:val="-5"/>
        </w:rPr>
        <w:t xml:space="preserve"> </w:t>
      </w:r>
      <w:r>
        <w:rPr>
          <w:spacing w:val="-2"/>
        </w:rPr>
        <w:t>se</w:t>
      </w:r>
      <w:r>
        <w:rPr>
          <w:spacing w:val="-6"/>
        </w:rPr>
        <w:t xml:space="preserve"> </w:t>
      </w:r>
      <w:r>
        <w:rPr>
          <w:spacing w:val="-2"/>
        </w:rPr>
        <w:t>ha</w:t>
      </w:r>
      <w:r>
        <w:rPr>
          <w:spacing w:val="-5"/>
        </w:rPr>
        <w:t xml:space="preserve"> </w:t>
      </w:r>
      <w:r>
        <w:rPr>
          <w:spacing w:val="-2"/>
        </w:rPr>
        <w:t>convertido</w:t>
      </w:r>
      <w:r>
        <w:rPr>
          <w:spacing w:val="-7"/>
        </w:rPr>
        <w:t xml:space="preserve"> </w:t>
      </w:r>
      <w:r>
        <w:rPr>
          <w:spacing w:val="-2"/>
        </w:rPr>
        <w:t>en</w:t>
      </w:r>
      <w:r>
        <w:rPr>
          <w:spacing w:val="-5"/>
        </w:rPr>
        <w:t xml:space="preserve"> </w:t>
      </w:r>
      <w:r>
        <w:rPr>
          <w:spacing w:val="-2"/>
        </w:rPr>
        <w:t>una</w:t>
      </w:r>
      <w:r>
        <w:rPr>
          <w:spacing w:val="-6"/>
        </w:rPr>
        <w:t xml:space="preserve"> </w:t>
      </w:r>
      <w:r>
        <w:rPr>
          <w:spacing w:val="-2"/>
        </w:rPr>
        <w:t>sociedad</w:t>
      </w:r>
      <w:r>
        <w:rPr>
          <w:spacing w:val="-5"/>
        </w:rPr>
        <w:t xml:space="preserve"> </w:t>
      </w:r>
      <w:r>
        <w:rPr>
          <w:spacing w:val="-2"/>
        </w:rPr>
        <w:t>propensa</w:t>
      </w:r>
      <w:r>
        <w:rPr>
          <w:spacing w:val="-5"/>
        </w:rPr>
        <w:t xml:space="preserve"> </w:t>
      </w:r>
      <w:r>
        <w:rPr>
          <w:spacing w:val="-2"/>
        </w:rPr>
        <w:t>a</w:t>
      </w:r>
      <w:r>
        <w:rPr>
          <w:spacing w:val="-6"/>
        </w:rPr>
        <w:t xml:space="preserve"> </w:t>
      </w:r>
      <w:r>
        <w:rPr>
          <w:spacing w:val="-2"/>
        </w:rPr>
        <w:t>tolerar</w:t>
      </w:r>
      <w:r>
        <w:rPr>
          <w:spacing w:val="-4"/>
        </w:rPr>
        <w:t xml:space="preserve"> </w:t>
      </w:r>
      <w:r>
        <w:rPr>
          <w:spacing w:val="-2"/>
        </w:rPr>
        <w:t>los</w:t>
      </w:r>
      <w:r>
        <w:rPr>
          <w:spacing w:val="-5"/>
        </w:rPr>
        <w:t xml:space="preserve"> </w:t>
      </w:r>
      <w:r>
        <w:rPr>
          <w:spacing w:val="-2"/>
        </w:rPr>
        <w:t xml:space="preserve">comportamientos </w:t>
      </w:r>
      <w:r>
        <w:t>ilegales porque nunca ha habido un acuerdo ciudadano en un Estado vigoroso que ponga la ley para todos y que acabe con la impunidad.</w:t>
      </w:r>
    </w:p>
    <w:p w:rsidR="0011361F" w:rsidRDefault="00AF18A5" w:rsidP="004A6EF4">
      <w:pPr>
        <w:pStyle w:val="Ttulo4"/>
        <w:numPr>
          <w:ilvl w:val="2"/>
          <w:numId w:val="16"/>
        </w:numPr>
      </w:pPr>
      <w:bookmarkStart w:id="916" w:name="6.10.2._Desmilitarizar_la_guerra_contra_"/>
      <w:bookmarkEnd w:id="916"/>
      <w:r>
        <w:t>Desmilitarizar</w:t>
      </w:r>
      <w:r>
        <w:rPr>
          <w:spacing w:val="-3"/>
        </w:rPr>
        <w:t xml:space="preserve"> </w:t>
      </w:r>
      <w:r>
        <w:t>la</w:t>
      </w:r>
      <w:r>
        <w:rPr>
          <w:spacing w:val="-1"/>
        </w:rPr>
        <w:t xml:space="preserve"> </w:t>
      </w:r>
      <w:r>
        <w:t>guerra</w:t>
      </w:r>
      <w:r>
        <w:rPr>
          <w:spacing w:val="-2"/>
        </w:rPr>
        <w:t xml:space="preserve"> </w:t>
      </w:r>
      <w:r w:rsidRPr="00E013A2">
        <w:t>contra</w:t>
      </w:r>
      <w:r>
        <w:rPr>
          <w:spacing w:val="-1"/>
        </w:rPr>
        <w:t xml:space="preserve"> </w:t>
      </w:r>
      <w:r>
        <w:t>las</w:t>
      </w:r>
      <w:r>
        <w:rPr>
          <w:spacing w:val="-1"/>
        </w:rPr>
        <w:t xml:space="preserve"> </w:t>
      </w:r>
      <w:r>
        <w:rPr>
          <w:spacing w:val="-2"/>
        </w:rPr>
        <w:t>drogas</w:t>
      </w:r>
    </w:p>
    <w:p w:rsidR="003804AC" w:rsidRDefault="00AF18A5" w:rsidP="00E013A2">
      <w:r>
        <w:lastRenderedPageBreak/>
        <w:t>El problema del narcotráfico no puede ser atendido como una guerra. Las consecuencias de este planteamiento concertado y en gran parte impulsado por Estados Unidos muestra que los sucesivos intentos de abordar el problema mediante las mismas fórmulas (no abordar su naturaleza económica y política, sino centrarse en su ilegalización; atacar los puntos más débiles de la cadena; basarse en el prohibicionismo; utilizar las fumigaciones y eliminar o extraditar las cabezas ilegales del negocio) no ha llevado a superar la situación, sino que se ha llegado a un callejón sin salida. Esta guerra ha producido la militarización de los territorios, la criminalización de la relación del Estado con sectores de la ciudadanía (los campesinos cocaleros y pueblos étnicos) y un endurecimiento del conflicto en el que la población civil ha sido la principal víctima.</w:t>
      </w:r>
    </w:p>
    <w:p w:rsidR="003804AC" w:rsidRDefault="00AF18A5" w:rsidP="00E013A2">
      <w:r>
        <w:t>La</w:t>
      </w:r>
      <w:r>
        <w:rPr>
          <w:spacing w:val="-3"/>
        </w:rPr>
        <w:t xml:space="preserve"> </w:t>
      </w:r>
      <w:r>
        <w:t>guerra</w:t>
      </w:r>
      <w:r>
        <w:rPr>
          <w:spacing w:val="-3"/>
        </w:rPr>
        <w:t xml:space="preserve"> </w:t>
      </w:r>
      <w:r>
        <w:t>contra</w:t>
      </w:r>
      <w:r>
        <w:rPr>
          <w:spacing w:val="-4"/>
        </w:rPr>
        <w:t xml:space="preserve"> </w:t>
      </w:r>
      <w:r>
        <w:t>las</w:t>
      </w:r>
      <w:r>
        <w:rPr>
          <w:spacing w:val="-3"/>
        </w:rPr>
        <w:t xml:space="preserve"> </w:t>
      </w:r>
      <w:r>
        <w:t>drogas</w:t>
      </w:r>
      <w:r>
        <w:rPr>
          <w:spacing w:val="-3"/>
        </w:rPr>
        <w:t xml:space="preserve"> </w:t>
      </w:r>
      <w:r>
        <w:t>llegó</w:t>
      </w:r>
      <w:r>
        <w:rPr>
          <w:spacing w:val="-3"/>
        </w:rPr>
        <w:t xml:space="preserve"> </w:t>
      </w:r>
      <w:r>
        <w:t>incluso</w:t>
      </w:r>
      <w:r>
        <w:rPr>
          <w:spacing w:val="-4"/>
        </w:rPr>
        <w:t xml:space="preserve"> </w:t>
      </w:r>
      <w:r>
        <w:t>a</w:t>
      </w:r>
      <w:r>
        <w:rPr>
          <w:spacing w:val="-3"/>
        </w:rPr>
        <w:t xml:space="preserve"> </w:t>
      </w:r>
      <w:r>
        <w:t>reemplazar</w:t>
      </w:r>
      <w:r>
        <w:rPr>
          <w:spacing w:val="-4"/>
        </w:rPr>
        <w:t xml:space="preserve"> </w:t>
      </w:r>
      <w:r>
        <w:t>la</w:t>
      </w:r>
      <w:r>
        <w:rPr>
          <w:spacing w:val="-3"/>
        </w:rPr>
        <w:t xml:space="preserve"> </w:t>
      </w:r>
      <w:r>
        <w:t>política</w:t>
      </w:r>
      <w:r>
        <w:rPr>
          <w:spacing w:val="-3"/>
        </w:rPr>
        <w:t xml:space="preserve"> </w:t>
      </w:r>
      <w:r>
        <w:t>de</w:t>
      </w:r>
      <w:r>
        <w:rPr>
          <w:spacing w:val="-3"/>
        </w:rPr>
        <w:t xml:space="preserve"> </w:t>
      </w:r>
      <w:r>
        <w:t>seguridad</w:t>
      </w:r>
      <w:r>
        <w:rPr>
          <w:spacing w:val="-3"/>
        </w:rPr>
        <w:t xml:space="preserve"> </w:t>
      </w:r>
      <w:r>
        <w:t>del</w:t>
      </w:r>
      <w:r>
        <w:rPr>
          <w:spacing w:val="-3"/>
        </w:rPr>
        <w:t xml:space="preserve"> </w:t>
      </w:r>
      <w:r>
        <w:t>Estado colombiano. Este enfoque para abordar el problema, centrado en atacar militarmente las partes</w:t>
      </w:r>
      <w:r>
        <w:rPr>
          <w:spacing w:val="-1"/>
        </w:rPr>
        <w:t xml:space="preserve"> </w:t>
      </w:r>
      <w:r>
        <w:t>más visibles y débiles de</w:t>
      </w:r>
      <w:r>
        <w:rPr>
          <w:spacing w:val="-1"/>
        </w:rPr>
        <w:t xml:space="preserve"> </w:t>
      </w:r>
      <w:r>
        <w:t>la cadena y no atender las relaciones del</w:t>
      </w:r>
      <w:r>
        <w:rPr>
          <w:spacing w:val="-1"/>
        </w:rPr>
        <w:t xml:space="preserve"> </w:t>
      </w:r>
      <w:r>
        <w:t>narcotráfico</w:t>
      </w:r>
      <w:r>
        <w:rPr>
          <w:spacing w:val="-1"/>
        </w:rPr>
        <w:t xml:space="preserve"> </w:t>
      </w:r>
      <w:r>
        <w:t>con la política</w:t>
      </w:r>
      <w:r>
        <w:rPr>
          <w:spacing w:val="-8"/>
        </w:rPr>
        <w:t xml:space="preserve"> </w:t>
      </w:r>
      <w:r>
        <w:t>y</w:t>
      </w:r>
      <w:r>
        <w:rPr>
          <w:spacing w:val="-8"/>
        </w:rPr>
        <w:t xml:space="preserve"> </w:t>
      </w:r>
      <w:r>
        <w:t>la</w:t>
      </w:r>
      <w:r>
        <w:rPr>
          <w:spacing w:val="-9"/>
        </w:rPr>
        <w:t xml:space="preserve"> </w:t>
      </w:r>
      <w:r>
        <w:t>economía,</w:t>
      </w:r>
      <w:r>
        <w:rPr>
          <w:spacing w:val="-8"/>
        </w:rPr>
        <w:t xml:space="preserve"> </w:t>
      </w:r>
      <w:r>
        <w:t>ha</w:t>
      </w:r>
      <w:r>
        <w:rPr>
          <w:spacing w:val="-8"/>
        </w:rPr>
        <w:t xml:space="preserve"> </w:t>
      </w:r>
      <w:r>
        <w:t>facilitado</w:t>
      </w:r>
      <w:r>
        <w:rPr>
          <w:spacing w:val="-8"/>
        </w:rPr>
        <w:t xml:space="preserve"> </w:t>
      </w:r>
      <w:r>
        <w:t>su</w:t>
      </w:r>
      <w:r>
        <w:rPr>
          <w:spacing w:val="-8"/>
        </w:rPr>
        <w:t xml:space="preserve"> </w:t>
      </w:r>
      <w:r>
        <w:t>permanencia</w:t>
      </w:r>
      <w:r>
        <w:rPr>
          <w:spacing w:val="-8"/>
        </w:rPr>
        <w:t xml:space="preserve"> </w:t>
      </w:r>
      <w:r>
        <w:t>en</w:t>
      </w:r>
      <w:r>
        <w:rPr>
          <w:spacing w:val="-8"/>
        </w:rPr>
        <w:t xml:space="preserve"> </w:t>
      </w:r>
      <w:r>
        <w:t>el</w:t>
      </w:r>
      <w:r>
        <w:rPr>
          <w:spacing w:val="-8"/>
        </w:rPr>
        <w:t xml:space="preserve"> </w:t>
      </w:r>
      <w:r>
        <w:t>tiempo.</w:t>
      </w:r>
      <w:r>
        <w:rPr>
          <w:spacing w:val="-8"/>
        </w:rPr>
        <w:t xml:space="preserve"> </w:t>
      </w:r>
      <w:r>
        <w:t>La</w:t>
      </w:r>
      <w:r>
        <w:rPr>
          <w:spacing w:val="-8"/>
        </w:rPr>
        <w:t xml:space="preserve"> </w:t>
      </w:r>
      <w:r>
        <w:t>persecución</w:t>
      </w:r>
      <w:r>
        <w:rPr>
          <w:spacing w:val="-8"/>
        </w:rPr>
        <w:t xml:space="preserve"> </w:t>
      </w:r>
      <w:r>
        <w:t>de</w:t>
      </w:r>
      <w:r>
        <w:rPr>
          <w:spacing w:val="-8"/>
        </w:rPr>
        <w:t xml:space="preserve"> </w:t>
      </w:r>
      <w:r>
        <w:t>la</w:t>
      </w:r>
      <w:r>
        <w:rPr>
          <w:spacing w:val="-9"/>
        </w:rPr>
        <w:t xml:space="preserve"> </w:t>
      </w:r>
      <w:r>
        <w:t>gente en</w:t>
      </w:r>
      <w:r>
        <w:rPr>
          <w:spacing w:val="-1"/>
        </w:rPr>
        <w:t xml:space="preserve"> </w:t>
      </w:r>
      <w:r>
        <w:t>lugar</w:t>
      </w:r>
      <w:r>
        <w:rPr>
          <w:spacing w:val="-1"/>
        </w:rPr>
        <w:t xml:space="preserve"> </w:t>
      </w:r>
      <w:r>
        <w:t>de</w:t>
      </w:r>
      <w:r>
        <w:rPr>
          <w:spacing w:val="-1"/>
        </w:rPr>
        <w:t xml:space="preserve"> </w:t>
      </w:r>
      <w:r>
        <w:t>la</w:t>
      </w:r>
      <w:r>
        <w:rPr>
          <w:spacing w:val="-1"/>
        </w:rPr>
        <w:t xml:space="preserve"> </w:t>
      </w:r>
      <w:r>
        <w:t>persecución</w:t>
      </w:r>
      <w:r>
        <w:rPr>
          <w:spacing w:val="-1"/>
        </w:rPr>
        <w:t xml:space="preserve"> </w:t>
      </w:r>
      <w:r>
        <w:t>del</w:t>
      </w:r>
      <w:r>
        <w:rPr>
          <w:spacing w:val="-1"/>
        </w:rPr>
        <w:t xml:space="preserve"> </w:t>
      </w:r>
      <w:r>
        <w:t>dinero</w:t>
      </w:r>
      <w:r>
        <w:rPr>
          <w:spacing w:val="-1"/>
        </w:rPr>
        <w:t xml:space="preserve"> </w:t>
      </w:r>
      <w:r>
        <w:t>y</w:t>
      </w:r>
      <w:r>
        <w:rPr>
          <w:spacing w:val="-1"/>
        </w:rPr>
        <w:t xml:space="preserve"> </w:t>
      </w:r>
      <w:r>
        <w:t>de</w:t>
      </w:r>
      <w:r>
        <w:rPr>
          <w:spacing w:val="-1"/>
        </w:rPr>
        <w:t xml:space="preserve"> </w:t>
      </w:r>
      <w:r>
        <w:t>los</w:t>
      </w:r>
      <w:r>
        <w:rPr>
          <w:spacing w:val="-1"/>
        </w:rPr>
        <w:t xml:space="preserve"> </w:t>
      </w:r>
      <w:r>
        <w:t>mecanismos</w:t>
      </w:r>
      <w:r>
        <w:rPr>
          <w:spacing w:val="-1"/>
        </w:rPr>
        <w:t xml:space="preserve"> </w:t>
      </w:r>
      <w:r>
        <w:t>de</w:t>
      </w:r>
      <w:r>
        <w:rPr>
          <w:spacing w:val="-2"/>
        </w:rPr>
        <w:t xml:space="preserve"> </w:t>
      </w:r>
      <w:r>
        <w:t>blanqueo</w:t>
      </w:r>
      <w:r>
        <w:rPr>
          <w:spacing w:val="-1"/>
        </w:rPr>
        <w:t xml:space="preserve"> </w:t>
      </w:r>
      <w:r>
        <w:t>debe</w:t>
      </w:r>
      <w:r>
        <w:rPr>
          <w:spacing w:val="-1"/>
        </w:rPr>
        <w:t xml:space="preserve"> </w:t>
      </w:r>
      <w:r>
        <w:t>tener</w:t>
      </w:r>
      <w:r>
        <w:rPr>
          <w:spacing w:val="-1"/>
        </w:rPr>
        <w:t xml:space="preserve"> </w:t>
      </w:r>
      <w:r>
        <w:t>tanto</w:t>
      </w:r>
      <w:r>
        <w:rPr>
          <w:spacing w:val="-1"/>
        </w:rPr>
        <w:t xml:space="preserve"> </w:t>
      </w:r>
      <w:r>
        <w:t>una dimensión nacional como internacional.</w:t>
      </w:r>
    </w:p>
    <w:p w:rsidR="003804AC" w:rsidRDefault="00AF18A5" w:rsidP="00E013A2">
      <w:r>
        <w:t>La</w:t>
      </w:r>
      <w:r>
        <w:rPr>
          <w:spacing w:val="-8"/>
        </w:rPr>
        <w:t xml:space="preserve"> </w:t>
      </w:r>
      <w:r>
        <w:t>desmilitarización</w:t>
      </w:r>
      <w:r>
        <w:rPr>
          <w:spacing w:val="-8"/>
        </w:rPr>
        <w:t xml:space="preserve"> </w:t>
      </w:r>
      <w:r>
        <w:t>de</w:t>
      </w:r>
      <w:r>
        <w:rPr>
          <w:spacing w:val="-9"/>
        </w:rPr>
        <w:t xml:space="preserve"> </w:t>
      </w:r>
      <w:r>
        <w:t>las</w:t>
      </w:r>
      <w:r>
        <w:rPr>
          <w:spacing w:val="-8"/>
        </w:rPr>
        <w:t xml:space="preserve"> </w:t>
      </w:r>
      <w:r>
        <w:t>políticas</w:t>
      </w:r>
      <w:r>
        <w:rPr>
          <w:spacing w:val="-10"/>
        </w:rPr>
        <w:t xml:space="preserve"> </w:t>
      </w:r>
      <w:r>
        <w:t>pasa</w:t>
      </w:r>
      <w:r>
        <w:rPr>
          <w:spacing w:val="-8"/>
        </w:rPr>
        <w:t xml:space="preserve"> </w:t>
      </w:r>
      <w:r>
        <w:t>también</w:t>
      </w:r>
      <w:r>
        <w:rPr>
          <w:spacing w:val="-8"/>
        </w:rPr>
        <w:t xml:space="preserve"> </w:t>
      </w:r>
      <w:r>
        <w:t>por</w:t>
      </w:r>
      <w:r>
        <w:rPr>
          <w:spacing w:val="-8"/>
        </w:rPr>
        <w:t xml:space="preserve"> </w:t>
      </w:r>
      <w:r>
        <w:t>avanzar</w:t>
      </w:r>
      <w:r>
        <w:rPr>
          <w:spacing w:val="-8"/>
        </w:rPr>
        <w:t xml:space="preserve"> </w:t>
      </w:r>
      <w:r>
        <w:t>en</w:t>
      </w:r>
      <w:r>
        <w:rPr>
          <w:spacing w:val="-8"/>
        </w:rPr>
        <w:t xml:space="preserve"> </w:t>
      </w:r>
      <w:r>
        <w:t>el</w:t>
      </w:r>
      <w:r>
        <w:rPr>
          <w:spacing w:val="-9"/>
        </w:rPr>
        <w:t xml:space="preserve"> </w:t>
      </w:r>
      <w:r>
        <w:t>modelo</w:t>
      </w:r>
      <w:r>
        <w:rPr>
          <w:spacing w:val="-8"/>
        </w:rPr>
        <w:t xml:space="preserve"> </w:t>
      </w:r>
      <w:r>
        <w:t>de</w:t>
      </w:r>
      <w:r>
        <w:rPr>
          <w:spacing w:val="-8"/>
        </w:rPr>
        <w:t xml:space="preserve"> </w:t>
      </w:r>
      <w:r>
        <w:t>regulación y legalización de la cocaína, dado el fracaso de las políticas prohibicionistas y el altísimo costo que Colombia ha pagado por el narcotráfico, donde la propia guerra contra las drogas se ha convertido en un factor de persistencia del conflicto.</w:t>
      </w:r>
    </w:p>
    <w:p w:rsidR="0011361F" w:rsidRDefault="00AF18A5" w:rsidP="004A6EF4">
      <w:pPr>
        <w:pStyle w:val="Ttulo4"/>
        <w:numPr>
          <w:ilvl w:val="2"/>
          <w:numId w:val="16"/>
        </w:numPr>
      </w:pPr>
      <w:bookmarkStart w:id="917" w:name="6.10.3._Persistencia_del_conflicto_armad"/>
      <w:bookmarkEnd w:id="917"/>
      <w:r>
        <w:t>Persistencia</w:t>
      </w:r>
      <w:r>
        <w:rPr>
          <w:spacing w:val="-2"/>
        </w:rPr>
        <w:t xml:space="preserve"> </w:t>
      </w:r>
      <w:r>
        <w:t>del</w:t>
      </w:r>
      <w:r>
        <w:rPr>
          <w:spacing w:val="-3"/>
        </w:rPr>
        <w:t xml:space="preserve"> </w:t>
      </w:r>
      <w:r w:rsidRPr="00E013A2">
        <w:t>conflicto</w:t>
      </w:r>
      <w:r>
        <w:rPr>
          <w:spacing w:val="-1"/>
        </w:rPr>
        <w:t xml:space="preserve"> </w:t>
      </w:r>
      <w:r>
        <w:t>armado</w:t>
      </w:r>
      <w:r>
        <w:rPr>
          <w:spacing w:val="-2"/>
        </w:rPr>
        <w:t xml:space="preserve"> </w:t>
      </w:r>
      <w:r>
        <w:t>y</w:t>
      </w:r>
      <w:r>
        <w:rPr>
          <w:spacing w:val="-1"/>
        </w:rPr>
        <w:t xml:space="preserve"> </w:t>
      </w:r>
      <w:r>
        <w:t>papel</w:t>
      </w:r>
      <w:r>
        <w:rPr>
          <w:spacing w:val="-2"/>
        </w:rPr>
        <w:t xml:space="preserve"> </w:t>
      </w:r>
      <w:r>
        <w:t>del</w:t>
      </w:r>
      <w:r>
        <w:rPr>
          <w:spacing w:val="-1"/>
        </w:rPr>
        <w:t xml:space="preserve"> </w:t>
      </w:r>
      <w:r>
        <w:rPr>
          <w:spacing w:val="-2"/>
        </w:rPr>
        <w:lastRenderedPageBreak/>
        <w:t>narcotráfico</w:t>
      </w:r>
    </w:p>
    <w:p w:rsidR="003804AC" w:rsidRDefault="00AF18A5" w:rsidP="00E013A2">
      <w:r>
        <w:t>La</w:t>
      </w:r>
      <w:r>
        <w:rPr>
          <w:spacing w:val="-5"/>
        </w:rPr>
        <w:t xml:space="preserve"> </w:t>
      </w:r>
      <w:r>
        <w:t>persistencia</w:t>
      </w:r>
      <w:r>
        <w:rPr>
          <w:spacing w:val="-3"/>
        </w:rPr>
        <w:t xml:space="preserve"> </w:t>
      </w:r>
      <w:r>
        <w:t>actual</w:t>
      </w:r>
      <w:r>
        <w:rPr>
          <w:spacing w:val="-2"/>
        </w:rPr>
        <w:t xml:space="preserve"> </w:t>
      </w:r>
      <w:r>
        <w:t>del</w:t>
      </w:r>
      <w:r>
        <w:rPr>
          <w:spacing w:val="-3"/>
        </w:rPr>
        <w:t xml:space="preserve"> </w:t>
      </w:r>
      <w:r>
        <w:t>conflicto</w:t>
      </w:r>
      <w:r>
        <w:rPr>
          <w:spacing w:val="-4"/>
        </w:rPr>
        <w:t xml:space="preserve"> </w:t>
      </w:r>
      <w:r>
        <w:t>tras</w:t>
      </w:r>
      <w:r>
        <w:rPr>
          <w:spacing w:val="-3"/>
        </w:rPr>
        <w:t xml:space="preserve"> </w:t>
      </w:r>
      <w:r>
        <w:t>el</w:t>
      </w:r>
      <w:r>
        <w:rPr>
          <w:spacing w:val="-3"/>
        </w:rPr>
        <w:t xml:space="preserve"> </w:t>
      </w:r>
      <w:r>
        <w:t>Acuerdo</w:t>
      </w:r>
      <w:r>
        <w:rPr>
          <w:spacing w:val="-4"/>
        </w:rPr>
        <w:t xml:space="preserve"> </w:t>
      </w:r>
      <w:r>
        <w:t>de</w:t>
      </w:r>
      <w:r>
        <w:rPr>
          <w:spacing w:val="-2"/>
        </w:rPr>
        <w:t xml:space="preserve"> </w:t>
      </w:r>
      <w:r>
        <w:t>Paz</w:t>
      </w:r>
      <w:r>
        <w:rPr>
          <w:spacing w:val="-5"/>
        </w:rPr>
        <w:t xml:space="preserve"> </w:t>
      </w:r>
      <w:r>
        <w:t>con</w:t>
      </w:r>
      <w:r>
        <w:rPr>
          <w:spacing w:val="-4"/>
        </w:rPr>
        <w:t xml:space="preserve"> </w:t>
      </w:r>
      <w:r>
        <w:t>las</w:t>
      </w:r>
      <w:r>
        <w:rPr>
          <w:spacing w:val="-4"/>
        </w:rPr>
        <w:t xml:space="preserve"> </w:t>
      </w:r>
      <w:r>
        <w:t>FARC-EP</w:t>
      </w:r>
      <w:r>
        <w:rPr>
          <w:spacing w:val="-4"/>
        </w:rPr>
        <w:t xml:space="preserve"> </w:t>
      </w:r>
      <w:r>
        <w:t>ha</w:t>
      </w:r>
      <w:r>
        <w:rPr>
          <w:spacing w:val="-2"/>
        </w:rPr>
        <w:t xml:space="preserve"> </w:t>
      </w:r>
      <w:r>
        <w:t>llevado</w:t>
      </w:r>
      <w:r>
        <w:rPr>
          <w:spacing w:val="-4"/>
        </w:rPr>
        <w:t xml:space="preserve"> </w:t>
      </w:r>
      <w:r>
        <w:t>a</w:t>
      </w:r>
      <w:r>
        <w:rPr>
          <w:spacing w:val="-2"/>
        </w:rPr>
        <w:t xml:space="preserve"> </w:t>
      </w:r>
      <w:r>
        <w:rPr>
          <w:spacing w:val="-5"/>
        </w:rPr>
        <w:t>un</w:t>
      </w:r>
      <w:r w:rsidR="00E013A2">
        <w:rPr>
          <w:spacing w:val="-5"/>
        </w:rPr>
        <w:t xml:space="preserve"> </w:t>
      </w:r>
      <w:r>
        <w:t>escenario donde el narcotráfico aparece como un factor clave, debido a las ganancias monetarias</w:t>
      </w:r>
      <w:r>
        <w:rPr>
          <w:spacing w:val="-11"/>
        </w:rPr>
        <w:t xml:space="preserve"> </w:t>
      </w:r>
      <w:r>
        <w:t>que</w:t>
      </w:r>
      <w:r>
        <w:rPr>
          <w:spacing w:val="-11"/>
        </w:rPr>
        <w:t xml:space="preserve"> </w:t>
      </w:r>
      <w:r>
        <w:t>no</w:t>
      </w:r>
      <w:r>
        <w:rPr>
          <w:spacing w:val="-11"/>
        </w:rPr>
        <w:t xml:space="preserve"> </w:t>
      </w:r>
      <w:r>
        <w:t>se</w:t>
      </w:r>
      <w:r>
        <w:rPr>
          <w:spacing w:val="-11"/>
        </w:rPr>
        <w:t xml:space="preserve"> </w:t>
      </w:r>
      <w:r>
        <w:t>obtienen</w:t>
      </w:r>
      <w:r>
        <w:rPr>
          <w:spacing w:val="-11"/>
        </w:rPr>
        <w:t xml:space="preserve"> </w:t>
      </w:r>
      <w:r>
        <w:t>con</w:t>
      </w:r>
      <w:r>
        <w:rPr>
          <w:spacing w:val="-11"/>
        </w:rPr>
        <w:t xml:space="preserve"> </w:t>
      </w:r>
      <w:r>
        <w:t>ningún</w:t>
      </w:r>
      <w:r>
        <w:rPr>
          <w:spacing w:val="-11"/>
        </w:rPr>
        <w:t xml:space="preserve"> </w:t>
      </w:r>
      <w:r>
        <w:t>otro</w:t>
      </w:r>
      <w:r>
        <w:rPr>
          <w:spacing w:val="-11"/>
        </w:rPr>
        <w:t xml:space="preserve"> </w:t>
      </w:r>
      <w:r>
        <w:t>producto.</w:t>
      </w:r>
      <w:r>
        <w:rPr>
          <w:spacing w:val="-11"/>
        </w:rPr>
        <w:t xml:space="preserve"> </w:t>
      </w:r>
      <w:r>
        <w:t>No</w:t>
      </w:r>
      <w:r>
        <w:rPr>
          <w:spacing w:val="-11"/>
        </w:rPr>
        <w:t xml:space="preserve"> </w:t>
      </w:r>
      <w:r>
        <w:t>hay</w:t>
      </w:r>
      <w:r>
        <w:rPr>
          <w:spacing w:val="-11"/>
        </w:rPr>
        <w:t xml:space="preserve"> </w:t>
      </w:r>
      <w:r>
        <w:t>punto</w:t>
      </w:r>
      <w:r>
        <w:rPr>
          <w:spacing w:val="-11"/>
        </w:rPr>
        <w:t xml:space="preserve"> </w:t>
      </w:r>
      <w:r>
        <w:t>de</w:t>
      </w:r>
      <w:r>
        <w:rPr>
          <w:spacing w:val="-11"/>
        </w:rPr>
        <w:t xml:space="preserve"> </w:t>
      </w:r>
      <w:r>
        <w:t>comparación</w:t>
      </w:r>
      <w:r>
        <w:rPr>
          <w:spacing w:val="-12"/>
        </w:rPr>
        <w:t xml:space="preserve"> </w:t>
      </w:r>
      <w:r>
        <w:t>entre las ganancias del narcotráfico y las de otros negocios ilegales (salvo la minería de oro en algunos lugares).</w:t>
      </w:r>
    </w:p>
    <w:p w:rsidR="003804AC" w:rsidRDefault="00AF18A5" w:rsidP="00E013A2">
      <w:r>
        <w:t>En el control del negocio se pelean la producción, la transformación y las plusvalías, y también</w:t>
      </w:r>
      <w:r>
        <w:rPr>
          <w:spacing w:val="-11"/>
        </w:rPr>
        <w:t xml:space="preserve"> </w:t>
      </w:r>
      <w:r>
        <w:t>los</w:t>
      </w:r>
      <w:r>
        <w:rPr>
          <w:spacing w:val="-12"/>
        </w:rPr>
        <w:t xml:space="preserve"> </w:t>
      </w:r>
      <w:r>
        <w:t>pagos</w:t>
      </w:r>
      <w:r>
        <w:rPr>
          <w:spacing w:val="-11"/>
        </w:rPr>
        <w:t xml:space="preserve"> </w:t>
      </w:r>
      <w:r>
        <w:t>a</w:t>
      </w:r>
      <w:r>
        <w:rPr>
          <w:spacing w:val="-11"/>
        </w:rPr>
        <w:t xml:space="preserve"> </w:t>
      </w:r>
      <w:r>
        <w:t>los</w:t>
      </w:r>
      <w:r>
        <w:rPr>
          <w:spacing w:val="-11"/>
        </w:rPr>
        <w:t xml:space="preserve"> </w:t>
      </w:r>
      <w:r>
        <w:t>campesinos</w:t>
      </w:r>
      <w:r>
        <w:rPr>
          <w:spacing w:val="-11"/>
        </w:rPr>
        <w:t xml:space="preserve"> </w:t>
      </w:r>
      <w:r>
        <w:t>y</w:t>
      </w:r>
      <w:r>
        <w:rPr>
          <w:spacing w:val="-12"/>
        </w:rPr>
        <w:t xml:space="preserve"> </w:t>
      </w:r>
      <w:r>
        <w:t>la</w:t>
      </w:r>
      <w:r>
        <w:rPr>
          <w:spacing w:val="-11"/>
        </w:rPr>
        <w:t xml:space="preserve"> </w:t>
      </w:r>
      <w:r>
        <w:t>distribución</w:t>
      </w:r>
      <w:r>
        <w:rPr>
          <w:spacing w:val="-11"/>
        </w:rPr>
        <w:t xml:space="preserve"> </w:t>
      </w:r>
      <w:r>
        <w:t>de</w:t>
      </w:r>
      <w:r>
        <w:rPr>
          <w:spacing w:val="-11"/>
        </w:rPr>
        <w:t xml:space="preserve"> </w:t>
      </w:r>
      <w:r>
        <w:t>las</w:t>
      </w:r>
      <w:r>
        <w:rPr>
          <w:spacing w:val="-11"/>
        </w:rPr>
        <w:t xml:space="preserve"> </w:t>
      </w:r>
      <w:r>
        <w:t>ganancias</w:t>
      </w:r>
      <w:r>
        <w:rPr>
          <w:spacing w:val="-12"/>
        </w:rPr>
        <w:t xml:space="preserve"> </w:t>
      </w:r>
      <w:r>
        <w:t>entre</w:t>
      </w:r>
      <w:r>
        <w:rPr>
          <w:spacing w:val="-11"/>
        </w:rPr>
        <w:t xml:space="preserve"> </w:t>
      </w:r>
      <w:r>
        <w:t>quienes</w:t>
      </w:r>
      <w:r>
        <w:rPr>
          <w:spacing w:val="-12"/>
        </w:rPr>
        <w:t xml:space="preserve"> </w:t>
      </w:r>
      <w:r>
        <w:t>controlan el</w:t>
      </w:r>
      <w:r>
        <w:rPr>
          <w:spacing w:val="-7"/>
        </w:rPr>
        <w:t xml:space="preserve"> </w:t>
      </w:r>
      <w:r>
        <w:t>mercado.</w:t>
      </w:r>
      <w:r>
        <w:rPr>
          <w:spacing w:val="-10"/>
        </w:rPr>
        <w:t xml:space="preserve"> </w:t>
      </w:r>
      <w:r>
        <w:t>La</w:t>
      </w:r>
      <w:r>
        <w:rPr>
          <w:spacing w:val="-7"/>
        </w:rPr>
        <w:t xml:space="preserve"> </w:t>
      </w:r>
      <w:r>
        <w:t>violencia</w:t>
      </w:r>
      <w:r>
        <w:rPr>
          <w:spacing w:val="-8"/>
        </w:rPr>
        <w:t xml:space="preserve"> </w:t>
      </w:r>
      <w:r>
        <w:t>se</w:t>
      </w:r>
      <w:r>
        <w:rPr>
          <w:spacing w:val="-7"/>
        </w:rPr>
        <w:t xml:space="preserve"> </w:t>
      </w:r>
      <w:r>
        <w:t>ejerce</w:t>
      </w:r>
      <w:r>
        <w:rPr>
          <w:spacing w:val="-8"/>
        </w:rPr>
        <w:t xml:space="preserve"> </w:t>
      </w:r>
      <w:r>
        <w:t>especialmente</w:t>
      </w:r>
      <w:r>
        <w:rPr>
          <w:spacing w:val="-8"/>
        </w:rPr>
        <w:t xml:space="preserve"> </w:t>
      </w:r>
      <w:r>
        <w:t>contra</w:t>
      </w:r>
      <w:r>
        <w:rPr>
          <w:spacing w:val="-8"/>
        </w:rPr>
        <w:t xml:space="preserve"> </w:t>
      </w:r>
      <w:r>
        <w:t>la</w:t>
      </w:r>
      <w:r>
        <w:rPr>
          <w:spacing w:val="-7"/>
        </w:rPr>
        <w:t xml:space="preserve"> </w:t>
      </w:r>
      <w:r>
        <w:t>población</w:t>
      </w:r>
      <w:r>
        <w:rPr>
          <w:spacing w:val="-8"/>
        </w:rPr>
        <w:t xml:space="preserve"> </w:t>
      </w:r>
      <w:r>
        <w:t>civil</w:t>
      </w:r>
      <w:r>
        <w:rPr>
          <w:spacing w:val="-8"/>
        </w:rPr>
        <w:t xml:space="preserve"> </w:t>
      </w:r>
      <w:r>
        <w:t>y</w:t>
      </w:r>
      <w:r>
        <w:rPr>
          <w:spacing w:val="-7"/>
        </w:rPr>
        <w:t xml:space="preserve"> </w:t>
      </w:r>
      <w:r>
        <w:t>las</w:t>
      </w:r>
      <w:r>
        <w:rPr>
          <w:spacing w:val="-8"/>
        </w:rPr>
        <w:t xml:space="preserve"> </w:t>
      </w:r>
      <w:r>
        <w:t>comunidades que se oponen a los cultivos, o incluso los líderes de los procesos de sustitución. En la relación</w:t>
      </w:r>
      <w:r>
        <w:rPr>
          <w:spacing w:val="-5"/>
        </w:rPr>
        <w:t xml:space="preserve"> </w:t>
      </w:r>
      <w:r>
        <w:t>entre</w:t>
      </w:r>
      <w:r>
        <w:rPr>
          <w:spacing w:val="-4"/>
        </w:rPr>
        <w:t xml:space="preserve"> </w:t>
      </w:r>
      <w:r>
        <w:t>narcotráfico</w:t>
      </w:r>
      <w:r>
        <w:rPr>
          <w:spacing w:val="-5"/>
        </w:rPr>
        <w:t xml:space="preserve"> </w:t>
      </w:r>
      <w:r>
        <w:t>y</w:t>
      </w:r>
      <w:r>
        <w:rPr>
          <w:spacing w:val="-5"/>
        </w:rPr>
        <w:t xml:space="preserve"> </w:t>
      </w:r>
      <w:r>
        <w:t>conflicto</w:t>
      </w:r>
      <w:r>
        <w:rPr>
          <w:spacing w:val="-6"/>
        </w:rPr>
        <w:t xml:space="preserve"> </w:t>
      </w:r>
      <w:r>
        <w:t>armado</w:t>
      </w:r>
      <w:r>
        <w:rPr>
          <w:spacing w:val="-5"/>
        </w:rPr>
        <w:t xml:space="preserve"> </w:t>
      </w:r>
      <w:r>
        <w:t>se</w:t>
      </w:r>
      <w:r>
        <w:rPr>
          <w:spacing w:val="-6"/>
        </w:rPr>
        <w:t xml:space="preserve"> </w:t>
      </w:r>
      <w:r>
        <w:t>han</w:t>
      </w:r>
      <w:r>
        <w:rPr>
          <w:spacing w:val="-5"/>
        </w:rPr>
        <w:t xml:space="preserve"> </w:t>
      </w:r>
      <w:r>
        <w:t>involucrado</w:t>
      </w:r>
      <w:r>
        <w:rPr>
          <w:spacing w:val="-5"/>
        </w:rPr>
        <w:t xml:space="preserve"> </w:t>
      </w:r>
      <w:r>
        <w:t>las</w:t>
      </w:r>
      <w:r>
        <w:rPr>
          <w:spacing w:val="-4"/>
        </w:rPr>
        <w:t xml:space="preserve"> </w:t>
      </w:r>
      <w:r>
        <w:t>guerrillas,</w:t>
      </w:r>
      <w:r>
        <w:rPr>
          <w:spacing w:val="-6"/>
        </w:rPr>
        <w:t xml:space="preserve"> </w:t>
      </w:r>
      <w:r>
        <w:t>la</w:t>
      </w:r>
      <w:r>
        <w:rPr>
          <w:spacing w:val="-6"/>
        </w:rPr>
        <w:t xml:space="preserve"> </w:t>
      </w:r>
      <w:r>
        <w:t xml:space="preserve">economía y la política, las élites nacionales y regionales, los sectores militares y los grupos </w:t>
      </w:r>
      <w:r>
        <w:rPr>
          <w:spacing w:val="-2"/>
        </w:rPr>
        <w:t>paramilitares</w:t>
      </w:r>
    </w:p>
    <w:p w:rsidR="003804AC" w:rsidRDefault="00AF18A5" w:rsidP="00E013A2">
      <w:r>
        <w:t>El</w:t>
      </w:r>
      <w:r>
        <w:rPr>
          <w:spacing w:val="-6"/>
        </w:rPr>
        <w:t xml:space="preserve"> </w:t>
      </w:r>
      <w:r>
        <w:t>narcotráfico</w:t>
      </w:r>
      <w:r>
        <w:rPr>
          <w:spacing w:val="-6"/>
        </w:rPr>
        <w:t xml:space="preserve"> </w:t>
      </w:r>
      <w:r>
        <w:t>les</w:t>
      </w:r>
      <w:r>
        <w:rPr>
          <w:spacing w:val="-7"/>
        </w:rPr>
        <w:t xml:space="preserve"> </w:t>
      </w:r>
      <w:r>
        <w:t>ofrece</w:t>
      </w:r>
      <w:r>
        <w:rPr>
          <w:spacing w:val="-7"/>
        </w:rPr>
        <w:t xml:space="preserve"> </w:t>
      </w:r>
      <w:r>
        <w:t>mucho</w:t>
      </w:r>
      <w:r>
        <w:rPr>
          <w:spacing w:val="-6"/>
        </w:rPr>
        <w:t xml:space="preserve"> </w:t>
      </w:r>
      <w:r>
        <w:t>dinero</w:t>
      </w:r>
      <w:r>
        <w:rPr>
          <w:spacing w:val="-6"/>
        </w:rPr>
        <w:t xml:space="preserve"> </w:t>
      </w:r>
      <w:r>
        <w:t>a</w:t>
      </w:r>
      <w:r>
        <w:rPr>
          <w:spacing w:val="-7"/>
        </w:rPr>
        <w:t xml:space="preserve"> </w:t>
      </w:r>
      <w:r>
        <w:t>muchas</w:t>
      </w:r>
      <w:r>
        <w:rPr>
          <w:spacing w:val="-8"/>
        </w:rPr>
        <w:t xml:space="preserve"> </w:t>
      </w:r>
      <w:r>
        <w:t>personas</w:t>
      </w:r>
      <w:r>
        <w:rPr>
          <w:spacing w:val="-7"/>
        </w:rPr>
        <w:t xml:space="preserve"> </w:t>
      </w:r>
      <w:r>
        <w:t>y</w:t>
      </w:r>
      <w:r>
        <w:rPr>
          <w:spacing w:val="-6"/>
        </w:rPr>
        <w:t xml:space="preserve"> </w:t>
      </w:r>
      <w:r>
        <w:t>fomenta</w:t>
      </w:r>
      <w:r>
        <w:rPr>
          <w:spacing w:val="-7"/>
        </w:rPr>
        <w:t xml:space="preserve"> </w:t>
      </w:r>
      <w:r>
        <w:t>la</w:t>
      </w:r>
      <w:r>
        <w:rPr>
          <w:spacing w:val="-7"/>
        </w:rPr>
        <w:t xml:space="preserve"> </w:t>
      </w:r>
      <w:r>
        <w:t>corrupción</w:t>
      </w:r>
      <w:r>
        <w:rPr>
          <w:spacing w:val="-7"/>
        </w:rPr>
        <w:t xml:space="preserve"> </w:t>
      </w:r>
      <w:r>
        <w:t>de</w:t>
      </w:r>
      <w:r>
        <w:rPr>
          <w:spacing w:val="-7"/>
        </w:rPr>
        <w:t xml:space="preserve"> </w:t>
      </w:r>
      <w:r>
        <w:t>un sinnúmero de funcionarios públicos, desde la policía de carreteras o miembros del Ejército en</w:t>
      </w:r>
      <w:r>
        <w:rPr>
          <w:spacing w:val="-14"/>
        </w:rPr>
        <w:t xml:space="preserve"> </w:t>
      </w:r>
      <w:r>
        <w:t>ciertas</w:t>
      </w:r>
      <w:r>
        <w:rPr>
          <w:spacing w:val="-14"/>
        </w:rPr>
        <w:t xml:space="preserve"> </w:t>
      </w:r>
      <w:r>
        <w:t>zonas</w:t>
      </w:r>
      <w:r>
        <w:rPr>
          <w:spacing w:val="-14"/>
        </w:rPr>
        <w:t xml:space="preserve"> </w:t>
      </w:r>
      <w:r>
        <w:t>que</w:t>
      </w:r>
      <w:r>
        <w:rPr>
          <w:spacing w:val="-14"/>
        </w:rPr>
        <w:t xml:space="preserve"> </w:t>
      </w:r>
      <w:r>
        <w:t>permiten</w:t>
      </w:r>
      <w:r>
        <w:rPr>
          <w:spacing w:val="-14"/>
        </w:rPr>
        <w:t xml:space="preserve"> </w:t>
      </w:r>
      <w:r>
        <w:t>el</w:t>
      </w:r>
      <w:r>
        <w:rPr>
          <w:spacing w:val="-15"/>
        </w:rPr>
        <w:t xml:space="preserve"> </w:t>
      </w:r>
      <w:r>
        <w:t>traslado</w:t>
      </w:r>
      <w:r>
        <w:rPr>
          <w:spacing w:val="-14"/>
        </w:rPr>
        <w:t xml:space="preserve"> </w:t>
      </w:r>
      <w:r>
        <w:t>de</w:t>
      </w:r>
      <w:r>
        <w:rPr>
          <w:spacing w:val="-15"/>
        </w:rPr>
        <w:t xml:space="preserve"> </w:t>
      </w:r>
      <w:r>
        <w:t>armas</w:t>
      </w:r>
      <w:r>
        <w:rPr>
          <w:spacing w:val="-14"/>
        </w:rPr>
        <w:t xml:space="preserve"> </w:t>
      </w:r>
      <w:r>
        <w:t>e</w:t>
      </w:r>
      <w:r>
        <w:rPr>
          <w:spacing w:val="-14"/>
        </w:rPr>
        <w:t xml:space="preserve"> </w:t>
      </w:r>
      <w:r>
        <w:t>insumos</w:t>
      </w:r>
      <w:r>
        <w:rPr>
          <w:spacing w:val="-15"/>
        </w:rPr>
        <w:t xml:space="preserve"> </w:t>
      </w:r>
      <w:r>
        <w:t>químicos</w:t>
      </w:r>
      <w:r>
        <w:rPr>
          <w:spacing w:val="-14"/>
        </w:rPr>
        <w:t xml:space="preserve"> </w:t>
      </w:r>
      <w:r>
        <w:t>y</w:t>
      </w:r>
      <w:r>
        <w:rPr>
          <w:spacing w:val="-14"/>
        </w:rPr>
        <w:t xml:space="preserve"> </w:t>
      </w:r>
      <w:r>
        <w:t>protege</w:t>
      </w:r>
      <w:r>
        <w:rPr>
          <w:spacing w:val="-15"/>
        </w:rPr>
        <w:t xml:space="preserve"> </w:t>
      </w:r>
      <w:r>
        <w:t>la</w:t>
      </w:r>
      <w:r>
        <w:rPr>
          <w:spacing w:val="-15"/>
        </w:rPr>
        <w:t xml:space="preserve"> </w:t>
      </w:r>
      <w:r>
        <w:t>movilidad de los narcotraficantes, pasando por notarios y registradores que legalizan sus bienes y propiedades,</w:t>
      </w:r>
      <w:r>
        <w:rPr>
          <w:spacing w:val="-15"/>
        </w:rPr>
        <w:t xml:space="preserve"> </w:t>
      </w:r>
      <w:r>
        <w:t>hasta</w:t>
      </w:r>
      <w:r>
        <w:rPr>
          <w:spacing w:val="-15"/>
        </w:rPr>
        <w:t xml:space="preserve"> </w:t>
      </w:r>
      <w:r>
        <w:t>alcaldes</w:t>
      </w:r>
      <w:r>
        <w:rPr>
          <w:spacing w:val="-15"/>
        </w:rPr>
        <w:t xml:space="preserve"> </w:t>
      </w:r>
      <w:r>
        <w:t>y</w:t>
      </w:r>
      <w:r>
        <w:rPr>
          <w:spacing w:val="-15"/>
        </w:rPr>
        <w:t xml:space="preserve"> </w:t>
      </w:r>
      <w:r>
        <w:t>gobernadores</w:t>
      </w:r>
      <w:r>
        <w:rPr>
          <w:spacing w:val="-15"/>
        </w:rPr>
        <w:t xml:space="preserve"> </w:t>
      </w:r>
      <w:r>
        <w:t>que</w:t>
      </w:r>
      <w:r>
        <w:rPr>
          <w:spacing w:val="-15"/>
        </w:rPr>
        <w:t xml:space="preserve"> </w:t>
      </w:r>
      <w:r>
        <w:t>otorgan</w:t>
      </w:r>
      <w:r>
        <w:rPr>
          <w:spacing w:val="-15"/>
        </w:rPr>
        <w:t xml:space="preserve"> </w:t>
      </w:r>
      <w:r>
        <w:t>importantes</w:t>
      </w:r>
      <w:r>
        <w:rPr>
          <w:spacing w:val="-15"/>
        </w:rPr>
        <w:t xml:space="preserve"> </w:t>
      </w:r>
      <w:r>
        <w:t>rubros</w:t>
      </w:r>
      <w:r>
        <w:rPr>
          <w:spacing w:val="-15"/>
        </w:rPr>
        <w:t xml:space="preserve"> </w:t>
      </w:r>
      <w:r>
        <w:t>de</w:t>
      </w:r>
      <w:r>
        <w:rPr>
          <w:spacing w:val="-15"/>
        </w:rPr>
        <w:t xml:space="preserve"> </w:t>
      </w:r>
      <w:r>
        <w:t>la</w:t>
      </w:r>
      <w:r>
        <w:rPr>
          <w:spacing w:val="-15"/>
        </w:rPr>
        <w:t xml:space="preserve"> </w:t>
      </w:r>
      <w:r>
        <w:t>contratación pública a narcotraficantes, así como políticos que tienen vínculos con unos y otros. El narcotráfico provee recursos para seguir haciendo la guerra, por lo que, si no se integran salidas</w:t>
      </w:r>
      <w:r>
        <w:rPr>
          <w:spacing w:val="-14"/>
        </w:rPr>
        <w:t xml:space="preserve"> </w:t>
      </w:r>
      <w:r>
        <w:t>efectivas</w:t>
      </w:r>
      <w:r>
        <w:rPr>
          <w:spacing w:val="-14"/>
        </w:rPr>
        <w:t xml:space="preserve"> </w:t>
      </w:r>
      <w:r>
        <w:t>a</w:t>
      </w:r>
      <w:r>
        <w:rPr>
          <w:spacing w:val="-14"/>
        </w:rPr>
        <w:t xml:space="preserve"> </w:t>
      </w:r>
      <w:r>
        <w:t>este</w:t>
      </w:r>
      <w:r>
        <w:rPr>
          <w:spacing w:val="-14"/>
        </w:rPr>
        <w:t xml:space="preserve"> </w:t>
      </w:r>
      <w:r>
        <w:t>problema</w:t>
      </w:r>
      <w:r>
        <w:rPr>
          <w:spacing w:val="-14"/>
        </w:rPr>
        <w:t xml:space="preserve"> </w:t>
      </w:r>
      <w:r>
        <w:t>en</w:t>
      </w:r>
      <w:r>
        <w:rPr>
          <w:spacing w:val="-14"/>
        </w:rPr>
        <w:t xml:space="preserve"> </w:t>
      </w:r>
      <w:r>
        <w:t>el</w:t>
      </w:r>
      <w:r>
        <w:rPr>
          <w:spacing w:val="-14"/>
        </w:rPr>
        <w:t xml:space="preserve"> </w:t>
      </w:r>
      <w:r>
        <w:t>proceso</w:t>
      </w:r>
      <w:r>
        <w:rPr>
          <w:spacing w:val="-14"/>
        </w:rPr>
        <w:t xml:space="preserve"> </w:t>
      </w:r>
      <w:r>
        <w:t>de</w:t>
      </w:r>
      <w:r>
        <w:rPr>
          <w:spacing w:val="-14"/>
        </w:rPr>
        <w:t xml:space="preserve"> </w:t>
      </w:r>
      <w:r>
        <w:t>construcción</w:t>
      </w:r>
      <w:r>
        <w:rPr>
          <w:spacing w:val="-14"/>
        </w:rPr>
        <w:t xml:space="preserve"> </w:t>
      </w:r>
      <w:r>
        <w:t>de</w:t>
      </w:r>
      <w:r>
        <w:rPr>
          <w:spacing w:val="-14"/>
        </w:rPr>
        <w:t xml:space="preserve"> </w:t>
      </w:r>
      <w:r>
        <w:t>paz,</w:t>
      </w:r>
      <w:r>
        <w:rPr>
          <w:spacing w:val="-14"/>
        </w:rPr>
        <w:t xml:space="preserve"> </w:t>
      </w:r>
      <w:r>
        <w:t>los</w:t>
      </w:r>
      <w:r>
        <w:rPr>
          <w:spacing w:val="-14"/>
        </w:rPr>
        <w:t xml:space="preserve"> </w:t>
      </w:r>
      <w:r>
        <w:t>conflictos</w:t>
      </w:r>
      <w:r>
        <w:rPr>
          <w:spacing w:val="-14"/>
        </w:rPr>
        <w:t xml:space="preserve"> </w:t>
      </w:r>
      <w:r>
        <w:t>armados que persisten serán probablemente insolubles.</w:t>
      </w:r>
    </w:p>
    <w:p w:rsidR="0011361F" w:rsidRDefault="00AF18A5" w:rsidP="004A6EF4">
      <w:pPr>
        <w:pStyle w:val="Ttulo4"/>
        <w:numPr>
          <w:ilvl w:val="2"/>
          <w:numId w:val="16"/>
        </w:numPr>
      </w:pPr>
      <w:bookmarkStart w:id="918" w:name="6.10.4._Investigación,_desmantelamiento_"/>
      <w:bookmarkEnd w:id="918"/>
      <w:r>
        <w:lastRenderedPageBreak/>
        <w:t>Investigación,</w:t>
      </w:r>
      <w:r>
        <w:rPr>
          <w:spacing w:val="-5"/>
        </w:rPr>
        <w:t xml:space="preserve"> </w:t>
      </w:r>
      <w:r w:rsidRPr="00E013A2">
        <w:t>desmantelamiento</w:t>
      </w:r>
      <w:r>
        <w:rPr>
          <w:spacing w:val="-3"/>
        </w:rPr>
        <w:t xml:space="preserve"> </w:t>
      </w:r>
      <w:r>
        <w:t>de</w:t>
      </w:r>
      <w:r>
        <w:rPr>
          <w:spacing w:val="-2"/>
        </w:rPr>
        <w:t xml:space="preserve"> </w:t>
      </w:r>
      <w:r>
        <w:t>estructuras</w:t>
      </w:r>
      <w:r>
        <w:rPr>
          <w:spacing w:val="-3"/>
        </w:rPr>
        <w:t xml:space="preserve"> </w:t>
      </w:r>
      <w:r>
        <w:t>y</w:t>
      </w:r>
      <w:r>
        <w:rPr>
          <w:spacing w:val="-2"/>
        </w:rPr>
        <w:t xml:space="preserve"> </w:t>
      </w:r>
      <w:r>
        <w:t>justicia</w:t>
      </w:r>
      <w:r>
        <w:rPr>
          <w:spacing w:val="-4"/>
        </w:rPr>
        <w:t xml:space="preserve"> </w:t>
      </w:r>
      <w:r>
        <w:rPr>
          <w:spacing w:val="-2"/>
        </w:rPr>
        <w:t>transicional</w:t>
      </w:r>
    </w:p>
    <w:p w:rsidR="003804AC" w:rsidRDefault="00AF18A5" w:rsidP="00E013A2">
      <w:r>
        <w:t>La forma en que se ha abordado el narcotráfico, centrado en la investigación de responsabilidades individuales y dirigiendo las investigaciones contra narcotraficantes a los que</w:t>
      </w:r>
      <w:r>
        <w:rPr>
          <w:spacing w:val="-11"/>
        </w:rPr>
        <w:t xml:space="preserve"> </w:t>
      </w:r>
      <w:r>
        <w:t>se</w:t>
      </w:r>
      <w:r>
        <w:rPr>
          <w:spacing w:val="-11"/>
        </w:rPr>
        <w:t xml:space="preserve"> </w:t>
      </w:r>
      <w:r>
        <w:t>ha</w:t>
      </w:r>
      <w:r>
        <w:rPr>
          <w:spacing w:val="-11"/>
        </w:rPr>
        <w:t xml:space="preserve"> </w:t>
      </w:r>
      <w:r>
        <w:t>tratado</w:t>
      </w:r>
      <w:r>
        <w:rPr>
          <w:spacing w:val="-11"/>
        </w:rPr>
        <w:t xml:space="preserve"> </w:t>
      </w:r>
      <w:r>
        <w:t>de</w:t>
      </w:r>
      <w:r>
        <w:rPr>
          <w:spacing w:val="-11"/>
        </w:rPr>
        <w:t xml:space="preserve"> </w:t>
      </w:r>
      <w:r>
        <w:t>detener</w:t>
      </w:r>
      <w:r>
        <w:rPr>
          <w:spacing w:val="-10"/>
        </w:rPr>
        <w:t xml:space="preserve"> </w:t>
      </w:r>
      <w:r>
        <w:t>y</w:t>
      </w:r>
      <w:r>
        <w:rPr>
          <w:spacing w:val="-11"/>
        </w:rPr>
        <w:t xml:space="preserve"> </w:t>
      </w:r>
      <w:r>
        <w:t>extraditar</w:t>
      </w:r>
      <w:r>
        <w:rPr>
          <w:spacing w:val="-10"/>
        </w:rPr>
        <w:t xml:space="preserve"> </w:t>
      </w:r>
      <w:r>
        <w:t>a</w:t>
      </w:r>
      <w:r>
        <w:rPr>
          <w:spacing w:val="-11"/>
        </w:rPr>
        <w:t xml:space="preserve"> </w:t>
      </w:r>
      <w:r>
        <w:t>los</w:t>
      </w:r>
      <w:r>
        <w:rPr>
          <w:spacing w:val="-11"/>
        </w:rPr>
        <w:t xml:space="preserve"> </w:t>
      </w:r>
      <w:r>
        <w:t>Estados</w:t>
      </w:r>
      <w:r>
        <w:rPr>
          <w:spacing w:val="-11"/>
        </w:rPr>
        <w:t xml:space="preserve"> </w:t>
      </w:r>
      <w:r>
        <w:t>Unidos</w:t>
      </w:r>
      <w:r>
        <w:rPr>
          <w:spacing w:val="-9"/>
        </w:rPr>
        <w:t xml:space="preserve"> </w:t>
      </w:r>
      <w:r>
        <w:t>no</w:t>
      </w:r>
      <w:r>
        <w:rPr>
          <w:spacing w:val="-11"/>
        </w:rPr>
        <w:t xml:space="preserve"> </w:t>
      </w:r>
      <w:r>
        <w:t>ha</w:t>
      </w:r>
      <w:r>
        <w:rPr>
          <w:spacing w:val="-11"/>
        </w:rPr>
        <w:t xml:space="preserve"> </w:t>
      </w:r>
      <w:r>
        <w:t>solucionado</w:t>
      </w:r>
      <w:r>
        <w:rPr>
          <w:spacing w:val="-11"/>
        </w:rPr>
        <w:t xml:space="preserve"> </w:t>
      </w:r>
      <w:r>
        <w:t>el</w:t>
      </w:r>
      <w:r>
        <w:rPr>
          <w:spacing w:val="-10"/>
        </w:rPr>
        <w:t xml:space="preserve"> </w:t>
      </w:r>
      <w:r>
        <w:t>problema. Actualmente, Colombia tiene la capacidad de llevar a cabo investigaciones y procesos judiciales –a diferencia de lo que ocurría en los años ochenta–, pero la extradición se ha convertido</w:t>
      </w:r>
      <w:r>
        <w:rPr>
          <w:spacing w:val="-14"/>
        </w:rPr>
        <w:t xml:space="preserve"> </w:t>
      </w:r>
      <w:r>
        <w:t>en</w:t>
      </w:r>
      <w:r>
        <w:rPr>
          <w:spacing w:val="-14"/>
        </w:rPr>
        <w:t xml:space="preserve"> </w:t>
      </w:r>
      <w:r>
        <w:t>un</w:t>
      </w:r>
      <w:r>
        <w:rPr>
          <w:spacing w:val="-14"/>
        </w:rPr>
        <w:t xml:space="preserve"> </w:t>
      </w:r>
      <w:r>
        <w:t>mecanismo</w:t>
      </w:r>
      <w:r>
        <w:rPr>
          <w:spacing w:val="-14"/>
        </w:rPr>
        <w:t xml:space="preserve"> </w:t>
      </w:r>
      <w:r>
        <w:t>que</w:t>
      </w:r>
      <w:r>
        <w:rPr>
          <w:spacing w:val="-15"/>
        </w:rPr>
        <w:t xml:space="preserve"> </w:t>
      </w:r>
      <w:r>
        <w:t>le</w:t>
      </w:r>
      <w:r>
        <w:rPr>
          <w:spacing w:val="-14"/>
        </w:rPr>
        <w:t xml:space="preserve"> </w:t>
      </w:r>
      <w:r>
        <w:t>expropia</w:t>
      </w:r>
      <w:r>
        <w:rPr>
          <w:spacing w:val="-15"/>
        </w:rPr>
        <w:t xml:space="preserve"> </w:t>
      </w:r>
      <w:r>
        <w:t>al</w:t>
      </w:r>
      <w:r>
        <w:rPr>
          <w:spacing w:val="-15"/>
        </w:rPr>
        <w:t xml:space="preserve"> </w:t>
      </w:r>
      <w:r>
        <w:t>país</w:t>
      </w:r>
      <w:r>
        <w:rPr>
          <w:spacing w:val="-15"/>
        </w:rPr>
        <w:t xml:space="preserve"> </w:t>
      </w:r>
      <w:r>
        <w:t>los</w:t>
      </w:r>
      <w:r>
        <w:rPr>
          <w:spacing w:val="-15"/>
        </w:rPr>
        <w:t xml:space="preserve"> </w:t>
      </w:r>
      <w:r>
        <w:t>resultados</w:t>
      </w:r>
      <w:r>
        <w:rPr>
          <w:spacing w:val="-14"/>
        </w:rPr>
        <w:t xml:space="preserve"> </w:t>
      </w:r>
      <w:r>
        <w:t>de</w:t>
      </w:r>
      <w:r>
        <w:rPr>
          <w:spacing w:val="-15"/>
        </w:rPr>
        <w:t xml:space="preserve"> </w:t>
      </w:r>
      <w:r>
        <w:t>la</w:t>
      </w:r>
      <w:r>
        <w:rPr>
          <w:spacing w:val="-15"/>
        </w:rPr>
        <w:t xml:space="preserve"> </w:t>
      </w:r>
      <w:r>
        <w:t>investigación</w:t>
      </w:r>
      <w:r>
        <w:rPr>
          <w:spacing w:val="-15"/>
        </w:rPr>
        <w:t xml:space="preserve"> </w:t>
      </w:r>
      <w:r>
        <w:t>judicial y</w:t>
      </w:r>
      <w:r>
        <w:rPr>
          <w:spacing w:val="34"/>
        </w:rPr>
        <w:t xml:space="preserve"> </w:t>
      </w:r>
      <w:r>
        <w:t>evita</w:t>
      </w:r>
      <w:r>
        <w:rPr>
          <w:spacing w:val="37"/>
        </w:rPr>
        <w:t xml:space="preserve"> </w:t>
      </w:r>
      <w:r>
        <w:t>desmantelar</w:t>
      </w:r>
      <w:r>
        <w:rPr>
          <w:spacing w:val="36"/>
        </w:rPr>
        <w:t xml:space="preserve"> </w:t>
      </w:r>
      <w:r>
        <w:t>los</w:t>
      </w:r>
      <w:r>
        <w:rPr>
          <w:spacing w:val="36"/>
        </w:rPr>
        <w:t xml:space="preserve"> </w:t>
      </w:r>
      <w:r>
        <w:t>entramados</w:t>
      </w:r>
      <w:r>
        <w:rPr>
          <w:spacing w:val="36"/>
        </w:rPr>
        <w:t xml:space="preserve"> </w:t>
      </w:r>
      <w:r>
        <w:t>que</w:t>
      </w:r>
      <w:r>
        <w:rPr>
          <w:spacing w:val="36"/>
        </w:rPr>
        <w:t xml:space="preserve"> </w:t>
      </w:r>
      <w:r>
        <w:t>hacen</w:t>
      </w:r>
      <w:r>
        <w:rPr>
          <w:spacing w:val="36"/>
        </w:rPr>
        <w:t xml:space="preserve"> </w:t>
      </w:r>
      <w:r>
        <w:t>posible</w:t>
      </w:r>
      <w:r>
        <w:rPr>
          <w:spacing w:val="36"/>
        </w:rPr>
        <w:t xml:space="preserve"> </w:t>
      </w:r>
      <w:r>
        <w:t>esta</w:t>
      </w:r>
      <w:r>
        <w:rPr>
          <w:spacing w:val="36"/>
        </w:rPr>
        <w:t xml:space="preserve"> </w:t>
      </w:r>
      <w:r>
        <w:t>economía</w:t>
      </w:r>
      <w:r>
        <w:rPr>
          <w:spacing w:val="36"/>
        </w:rPr>
        <w:t xml:space="preserve"> </w:t>
      </w:r>
      <w:r>
        <w:t>ilícita.</w:t>
      </w:r>
      <w:r>
        <w:rPr>
          <w:spacing w:val="36"/>
        </w:rPr>
        <w:t xml:space="preserve"> </w:t>
      </w:r>
      <w:r>
        <w:t>Además,</w:t>
      </w:r>
      <w:r>
        <w:rPr>
          <w:spacing w:val="37"/>
        </w:rPr>
        <w:t xml:space="preserve"> </w:t>
      </w:r>
      <w:r>
        <w:rPr>
          <w:spacing w:val="-5"/>
        </w:rPr>
        <w:t>la</w:t>
      </w:r>
      <w:r w:rsidR="00E013A2">
        <w:t xml:space="preserve"> </w:t>
      </w:r>
      <w:r>
        <w:t>extradición</w:t>
      </w:r>
      <w:r>
        <w:rPr>
          <w:spacing w:val="-6"/>
        </w:rPr>
        <w:t xml:space="preserve"> </w:t>
      </w:r>
      <w:r>
        <w:t>obstruye</w:t>
      </w:r>
      <w:r>
        <w:rPr>
          <w:spacing w:val="-4"/>
        </w:rPr>
        <w:t xml:space="preserve"> </w:t>
      </w:r>
      <w:r>
        <w:t>el</w:t>
      </w:r>
      <w:r>
        <w:rPr>
          <w:spacing w:val="-5"/>
        </w:rPr>
        <w:t xml:space="preserve"> </w:t>
      </w:r>
      <w:r>
        <w:t>derecho</w:t>
      </w:r>
      <w:r>
        <w:rPr>
          <w:spacing w:val="-5"/>
        </w:rPr>
        <w:t xml:space="preserve"> </w:t>
      </w:r>
      <w:r>
        <w:t>a</w:t>
      </w:r>
      <w:r>
        <w:rPr>
          <w:spacing w:val="-3"/>
        </w:rPr>
        <w:t xml:space="preserve"> </w:t>
      </w:r>
      <w:r>
        <w:t>la</w:t>
      </w:r>
      <w:r>
        <w:rPr>
          <w:spacing w:val="-4"/>
        </w:rPr>
        <w:t xml:space="preserve"> </w:t>
      </w:r>
      <w:r>
        <w:t>verdad</w:t>
      </w:r>
      <w:r>
        <w:rPr>
          <w:spacing w:val="-3"/>
        </w:rPr>
        <w:t xml:space="preserve"> </w:t>
      </w:r>
      <w:r>
        <w:t>de</w:t>
      </w:r>
      <w:r>
        <w:rPr>
          <w:spacing w:val="-4"/>
        </w:rPr>
        <w:t xml:space="preserve"> </w:t>
      </w:r>
      <w:r>
        <w:t>las</w:t>
      </w:r>
      <w:r>
        <w:rPr>
          <w:spacing w:val="-3"/>
        </w:rPr>
        <w:t xml:space="preserve"> </w:t>
      </w:r>
      <w:r>
        <w:t>víctimas,</w:t>
      </w:r>
      <w:r>
        <w:rPr>
          <w:spacing w:val="-3"/>
        </w:rPr>
        <w:t xml:space="preserve"> </w:t>
      </w:r>
      <w:r>
        <w:t>como</w:t>
      </w:r>
      <w:r>
        <w:rPr>
          <w:spacing w:val="-3"/>
        </w:rPr>
        <w:t xml:space="preserve"> </w:t>
      </w:r>
      <w:r>
        <w:t>sucedió</w:t>
      </w:r>
      <w:r>
        <w:rPr>
          <w:spacing w:val="-5"/>
        </w:rPr>
        <w:t xml:space="preserve"> </w:t>
      </w:r>
      <w:r>
        <w:t>con</w:t>
      </w:r>
      <w:r>
        <w:rPr>
          <w:spacing w:val="-3"/>
        </w:rPr>
        <w:t xml:space="preserve"> </w:t>
      </w:r>
      <w:r>
        <w:t>la</w:t>
      </w:r>
      <w:r>
        <w:rPr>
          <w:spacing w:val="-3"/>
        </w:rPr>
        <w:t xml:space="preserve"> </w:t>
      </w:r>
      <w:r>
        <w:t>extradición de</w:t>
      </w:r>
      <w:r>
        <w:rPr>
          <w:spacing w:val="-6"/>
        </w:rPr>
        <w:t xml:space="preserve"> </w:t>
      </w:r>
      <w:r>
        <w:t>los</w:t>
      </w:r>
      <w:r>
        <w:rPr>
          <w:spacing w:val="-6"/>
        </w:rPr>
        <w:t xml:space="preserve"> </w:t>
      </w:r>
      <w:r>
        <w:t>líderes</w:t>
      </w:r>
      <w:r>
        <w:rPr>
          <w:spacing w:val="-6"/>
        </w:rPr>
        <w:t xml:space="preserve"> </w:t>
      </w:r>
      <w:r>
        <w:t>de</w:t>
      </w:r>
      <w:r>
        <w:rPr>
          <w:spacing w:val="-6"/>
        </w:rPr>
        <w:t xml:space="preserve"> </w:t>
      </w:r>
      <w:r>
        <w:t>las</w:t>
      </w:r>
      <w:r>
        <w:rPr>
          <w:spacing w:val="-6"/>
        </w:rPr>
        <w:t xml:space="preserve"> </w:t>
      </w:r>
      <w:r>
        <w:t>AUC</w:t>
      </w:r>
      <w:r>
        <w:rPr>
          <w:spacing w:val="-7"/>
        </w:rPr>
        <w:t xml:space="preserve"> </w:t>
      </w:r>
      <w:r>
        <w:t>o,</w:t>
      </w:r>
      <w:r>
        <w:rPr>
          <w:spacing w:val="-6"/>
        </w:rPr>
        <w:t xml:space="preserve"> </w:t>
      </w:r>
      <w:r>
        <w:t>recientemente,</w:t>
      </w:r>
      <w:r>
        <w:rPr>
          <w:spacing w:val="-6"/>
        </w:rPr>
        <w:t xml:space="preserve"> </w:t>
      </w:r>
      <w:r>
        <w:t>con</w:t>
      </w:r>
      <w:r>
        <w:rPr>
          <w:spacing w:val="-7"/>
        </w:rPr>
        <w:t xml:space="preserve"> </w:t>
      </w:r>
      <w:r>
        <w:t>la</w:t>
      </w:r>
      <w:r>
        <w:rPr>
          <w:spacing w:val="-6"/>
        </w:rPr>
        <w:t xml:space="preserve"> </w:t>
      </w:r>
      <w:r>
        <w:t>de</w:t>
      </w:r>
      <w:r>
        <w:rPr>
          <w:spacing w:val="-6"/>
        </w:rPr>
        <w:t xml:space="preserve"> </w:t>
      </w:r>
      <w:r>
        <w:t>Darío</w:t>
      </w:r>
      <w:r>
        <w:rPr>
          <w:spacing w:val="-6"/>
        </w:rPr>
        <w:t xml:space="preserve"> </w:t>
      </w:r>
      <w:r>
        <w:t>Antonio</w:t>
      </w:r>
      <w:r>
        <w:rPr>
          <w:spacing w:val="-6"/>
        </w:rPr>
        <w:t xml:space="preserve"> </w:t>
      </w:r>
      <w:r>
        <w:t>Úsuga,</w:t>
      </w:r>
      <w:r>
        <w:rPr>
          <w:spacing w:val="-6"/>
        </w:rPr>
        <w:t xml:space="preserve"> </w:t>
      </w:r>
      <w:r>
        <w:t>alias</w:t>
      </w:r>
      <w:r>
        <w:rPr>
          <w:spacing w:val="-6"/>
        </w:rPr>
        <w:t xml:space="preserve"> </w:t>
      </w:r>
      <w:r>
        <w:t>Otoniel,</w:t>
      </w:r>
      <w:r>
        <w:rPr>
          <w:spacing w:val="-6"/>
        </w:rPr>
        <w:t xml:space="preserve"> </w:t>
      </w:r>
      <w:r>
        <w:t xml:space="preserve">en </w:t>
      </w:r>
      <w:r>
        <w:rPr>
          <w:spacing w:val="-2"/>
        </w:rPr>
        <w:t>2022.</w:t>
      </w:r>
    </w:p>
    <w:p w:rsidR="003804AC" w:rsidRDefault="00AF18A5" w:rsidP="00E013A2">
      <w:r>
        <w:t>En Colombia hay, desde hace 40 años, instituciones encargadas del control de estupefacientes</w:t>
      </w:r>
      <w:r>
        <w:rPr>
          <w:spacing w:val="-8"/>
        </w:rPr>
        <w:t xml:space="preserve"> </w:t>
      </w:r>
      <w:r>
        <w:t>y</w:t>
      </w:r>
      <w:r>
        <w:rPr>
          <w:spacing w:val="-8"/>
        </w:rPr>
        <w:t xml:space="preserve"> </w:t>
      </w:r>
      <w:r>
        <w:t>del</w:t>
      </w:r>
      <w:r>
        <w:rPr>
          <w:spacing w:val="-8"/>
        </w:rPr>
        <w:t xml:space="preserve"> </w:t>
      </w:r>
      <w:r>
        <w:t>lavado</w:t>
      </w:r>
      <w:r>
        <w:rPr>
          <w:spacing w:val="-8"/>
        </w:rPr>
        <w:t xml:space="preserve"> </w:t>
      </w:r>
      <w:r>
        <w:t>de</w:t>
      </w:r>
      <w:r>
        <w:rPr>
          <w:spacing w:val="-8"/>
        </w:rPr>
        <w:t xml:space="preserve"> </w:t>
      </w:r>
      <w:r>
        <w:t>activos</w:t>
      </w:r>
      <w:r>
        <w:rPr>
          <w:spacing w:val="-8"/>
        </w:rPr>
        <w:t xml:space="preserve"> </w:t>
      </w:r>
      <w:r>
        <w:t>que</w:t>
      </w:r>
      <w:r>
        <w:rPr>
          <w:spacing w:val="-8"/>
        </w:rPr>
        <w:t xml:space="preserve"> </w:t>
      </w:r>
      <w:r>
        <w:t>han</w:t>
      </w:r>
      <w:r>
        <w:rPr>
          <w:spacing w:val="-8"/>
        </w:rPr>
        <w:t xml:space="preserve"> </w:t>
      </w:r>
      <w:r>
        <w:t>sido</w:t>
      </w:r>
      <w:r>
        <w:rPr>
          <w:spacing w:val="-8"/>
        </w:rPr>
        <w:t xml:space="preserve"> </w:t>
      </w:r>
      <w:r>
        <w:t>poco</w:t>
      </w:r>
      <w:r>
        <w:rPr>
          <w:spacing w:val="-8"/>
        </w:rPr>
        <w:t xml:space="preserve"> </w:t>
      </w:r>
      <w:r>
        <w:t>efectivas</w:t>
      </w:r>
      <w:r>
        <w:rPr>
          <w:spacing w:val="-8"/>
        </w:rPr>
        <w:t xml:space="preserve"> </w:t>
      </w:r>
      <w:r>
        <w:t>enfrentando</w:t>
      </w:r>
      <w:r>
        <w:rPr>
          <w:spacing w:val="-8"/>
        </w:rPr>
        <w:t xml:space="preserve"> </w:t>
      </w:r>
      <w:r>
        <w:t>el</w:t>
      </w:r>
      <w:r>
        <w:rPr>
          <w:spacing w:val="-8"/>
        </w:rPr>
        <w:t xml:space="preserve"> </w:t>
      </w:r>
      <w:r>
        <w:t>problema. El</w:t>
      </w:r>
      <w:r>
        <w:rPr>
          <w:spacing w:val="-8"/>
        </w:rPr>
        <w:t xml:space="preserve"> </w:t>
      </w:r>
      <w:r>
        <w:t>grado</w:t>
      </w:r>
      <w:r>
        <w:rPr>
          <w:spacing w:val="-9"/>
        </w:rPr>
        <w:t xml:space="preserve"> </w:t>
      </w:r>
      <w:r>
        <w:t>de</w:t>
      </w:r>
      <w:r>
        <w:rPr>
          <w:spacing w:val="-9"/>
        </w:rPr>
        <w:t xml:space="preserve"> </w:t>
      </w:r>
      <w:r>
        <w:t>desconocimiento</w:t>
      </w:r>
      <w:r>
        <w:rPr>
          <w:spacing w:val="-8"/>
        </w:rPr>
        <w:t xml:space="preserve"> </w:t>
      </w:r>
      <w:r>
        <w:t>en</w:t>
      </w:r>
      <w:r>
        <w:rPr>
          <w:spacing w:val="-9"/>
        </w:rPr>
        <w:t xml:space="preserve"> </w:t>
      </w:r>
      <w:r>
        <w:t>las</w:t>
      </w:r>
      <w:r>
        <w:rPr>
          <w:spacing w:val="-9"/>
        </w:rPr>
        <w:t xml:space="preserve"> </w:t>
      </w:r>
      <w:r>
        <w:t>propias</w:t>
      </w:r>
      <w:r>
        <w:rPr>
          <w:spacing w:val="-9"/>
        </w:rPr>
        <w:t xml:space="preserve"> </w:t>
      </w:r>
      <w:r>
        <w:t>instituciones</w:t>
      </w:r>
      <w:r>
        <w:rPr>
          <w:spacing w:val="-8"/>
        </w:rPr>
        <w:t xml:space="preserve"> </w:t>
      </w:r>
      <w:r>
        <w:t>del</w:t>
      </w:r>
      <w:r>
        <w:rPr>
          <w:spacing w:val="-9"/>
        </w:rPr>
        <w:t xml:space="preserve"> </w:t>
      </w:r>
      <w:r>
        <w:t>Estado</w:t>
      </w:r>
      <w:r>
        <w:rPr>
          <w:spacing w:val="-8"/>
        </w:rPr>
        <w:t xml:space="preserve"> </w:t>
      </w:r>
      <w:r>
        <w:t>es</w:t>
      </w:r>
      <w:r>
        <w:rPr>
          <w:spacing w:val="-9"/>
        </w:rPr>
        <w:t xml:space="preserve"> </w:t>
      </w:r>
      <w:r>
        <w:t>enorme;</w:t>
      </w:r>
      <w:r>
        <w:rPr>
          <w:spacing w:val="-8"/>
        </w:rPr>
        <w:t xml:space="preserve"> </w:t>
      </w:r>
      <w:r>
        <w:t>todo</w:t>
      </w:r>
      <w:r>
        <w:rPr>
          <w:spacing w:val="-9"/>
        </w:rPr>
        <w:t xml:space="preserve"> </w:t>
      </w:r>
      <w:r>
        <w:t>se</w:t>
      </w:r>
      <w:r>
        <w:rPr>
          <w:spacing w:val="-8"/>
        </w:rPr>
        <w:t xml:space="preserve"> </w:t>
      </w:r>
      <w:r>
        <w:t>sabe, porque el fenómeno es evidente, pero hay poca información consolidada</w:t>
      </w:r>
      <w:r>
        <w:rPr>
          <w:i/>
        </w:rPr>
        <w:t xml:space="preserve">. </w:t>
      </w:r>
      <w:r>
        <w:t>Entes de control como las superintendencias de industria y bancaria, y otras con competencias como la Contraloría, la UIAF o la Unidad de Lavado de la Fiscalía, han adelantado investigaciones, desde</w:t>
      </w:r>
      <w:r>
        <w:rPr>
          <w:spacing w:val="-5"/>
        </w:rPr>
        <w:t xml:space="preserve"> </w:t>
      </w:r>
      <w:r>
        <w:t>su</w:t>
      </w:r>
      <w:r>
        <w:rPr>
          <w:spacing w:val="-6"/>
        </w:rPr>
        <w:t xml:space="preserve"> </w:t>
      </w:r>
      <w:r>
        <w:t>creación</w:t>
      </w:r>
      <w:r>
        <w:rPr>
          <w:spacing w:val="-6"/>
        </w:rPr>
        <w:t xml:space="preserve"> </w:t>
      </w:r>
      <w:r>
        <w:t>en</w:t>
      </w:r>
      <w:r>
        <w:rPr>
          <w:spacing w:val="-5"/>
        </w:rPr>
        <w:t xml:space="preserve"> </w:t>
      </w:r>
      <w:r>
        <w:t>la</w:t>
      </w:r>
      <w:r>
        <w:rPr>
          <w:spacing w:val="-6"/>
        </w:rPr>
        <w:t xml:space="preserve"> </w:t>
      </w:r>
      <w:r>
        <w:t>Constitución</w:t>
      </w:r>
      <w:r>
        <w:rPr>
          <w:spacing w:val="-6"/>
        </w:rPr>
        <w:t xml:space="preserve"> </w:t>
      </w:r>
      <w:r>
        <w:t>del</w:t>
      </w:r>
      <w:r>
        <w:rPr>
          <w:spacing w:val="-4"/>
        </w:rPr>
        <w:t xml:space="preserve"> </w:t>
      </w:r>
      <w:r>
        <w:t>91,</w:t>
      </w:r>
      <w:r>
        <w:rPr>
          <w:spacing w:val="-6"/>
        </w:rPr>
        <w:t xml:space="preserve"> </w:t>
      </w:r>
      <w:r>
        <w:t>sobre</w:t>
      </w:r>
      <w:r>
        <w:rPr>
          <w:spacing w:val="-5"/>
        </w:rPr>
        <w:t xml:space="preserve"> </w:t>
      </w:r>
      <w:r>
        <w:t>lavado</w:t>
      </w:r>
      <w:r>
        <w:rPr>
          <w:spacing w:val="-5"/>
        </w:rPr>
        <w:t xml:space="preserve"> </w:t>
      </w:r>
      <w:r>
        <w:t>de</w:t>
      </w:r>
      <w:r>
        <w:rPr>
          <w:spacing w:val="-7"/>
        </w:rPr>
        <w:t xml:space="preserve"> </w:t>
      </w:r>
      <w:r>
        <w:t>activos</w:t>
      </w:r>
      <w:r>
        <w:rPr>
          <w:spacing w:val="-5"/>
        </w:rPr>
        <w:t xml:space="preserve"> </w:t>
      </w:r>
      <w:r>
        <w:t>o</w:t>
      </w:r>
      <w:r>
        <w:rPr>
          <w:spacing w:val="-6"/>
        </w:rPr>
        <w:t xml:space="preserve"> </w:t>
      </w:r>
      <w:r>
        <w:t>la</w:t>
      </w:r>
      <w:r>
        <w:rPr>
          <w:spacing w:val="-6"/>
        </w:rPr>
        <w:t xml:space="preserve"> </w:t>
      </w:r>
      <w:r>
        <w:t>relación</w:t>
      </w:r>
      <w:r>
        <w:rPr>
          <w:spacing w:val="-5"/>
        </w:rPr>
        <w:t xml:space="preserve"> </w:t>
      </w:r>
      <w:r>
        <w:t>de</w:t>
      </w:r>
      <w:r>
        <w:rPr>
          <w:spacing w:val="-6"/>
        </w:rPr>
        <w:t xml:space="preserve"> </w:t>
      </w:r>
      <w:r>
        <w:t>sectores económicos y narcotráfico, pero no han contado con una estrategia sistemática de investigación para la judicialización.</w:t>
      </w:r>
    </w:p>
    <w:p w:rsidR="003804AC" w:rsidRDefault="00AF18A5" w:rsidP="00E013A2">
      <w:r>
        <w:t xml:space="preserve">El impacto de la corrupción, los ataques al sector judicial, las presiones políticas y la ausencia de mecanismos efectivos de investigación son </w:t>
      </w:r>
      <w:r>
        <w:lastRenderedPageBreak/>
        <w:t>parte del fenómeno. La fragmentación</w:t>
      </w:r>
      <w:r>
        <w:rPr>
          <w:spacing w:val="-14"/>
        </w:rPr>
        <w:t xml:space="preserve"> </w:t>
      </w:r>
      <w:r>
        <w:t>de</w:t>
      </w:r>
      <w:r>
        <w:rPr>
          <w:spacing w:val="-14"/>
        </w:rPr>
        <w:t xml:space="preserve"> </w:t>
      </w:r>
      <w:r>
        <w:t>todas</w:t>
      </w:r>
      <w:r>
        <w:rPr>
          <w:spacing w:val="-15"/>
        </w:rPr>
        <w:t xml:space="preserve"> </w:t>
      </w:r>
      <w:r>
        <w:t>esas</w:t>
      </w:r>
      <w:r>
        <w:rPr>
          <w:spacing w:val="-14"/>
        </w:rPr>
        <w:t xml:space="preserve"> </w:t>
      </w:r>
      <w:r>
        <w:t>investigaciones</w:t>
      </w:r>
      <w:r>
        <w:rPr>
          <w:spacing w:val="-14"/>
        </w:rPr>
        <w:t xml:space="preserve"> </w:t>
      </w:r>
      <w:r>
        <w:t>–muchas</w:t>
      </w:r>
      <w:r>
        <w:rPr>
          <w:spacing w:val="-14"/>
        </w:rPr>
        <w:t xml:space="preserve"> </w:t>
      </w:r>
      <w:r>
        <w:t>veces</w:t>
      </w:r>
      <w:r>
        <w:rPr>
          <w:spacing w:val="-15"/>
        </w:rPr>
        <w:t xml:space="preserve"> </w:t>
      </w:r>
      <w:r>
        <w:t>sin</w:t>
      </w:r>
      <w:r>
        <w:rPr>
          <w:spacing w:val="-14"/>
        </w:rPr>
        <w:t xml:space="preserve"> </w:t>
      </w:r>
      <w:r>
        <w:t>tener</w:t>
      </w:r>
      <w:r>
        <w:rPr>
          <w:spacing w:val="-15"/>
        </w:rPr>
        <w:t xml:space="preserve"> </w:t>
      </w:r>
      <w:r>
        <w:t>en</w:t>
      </w:r>
      <w:r>
        <w:rPr>
          <w:spacing w:val="-14"/>
        </w:rPr>
        <w:t xml:space="preserve"> </w:t>
      </w:r>
      <w:r>
        <w:t>cuenta</w:t>
      </w:r>
      <w:r>
        <w:rPr>
          <w:spacing w:val="-15"/>
        </w:rPr>
        <w:t xml:space="preserve"> </w:t>
      </w:r>
      <w:r>
        <w:t>los</w:t>
      </w:r>
      <w:r>
        <w:rPr>
          <w:spacing w:val="-14"/>
        </w:rPr>
        <w:t xml:space="preserve"> </w:t>
      </w:r>
      <w:r>
        <w:t>elementos del contexto, el análisis de las redes criminales y la relación de las investigaciones penales con</w:t>
      </w:r>
      <w:r>
        <w:rPr>
          <w:spacing w:val="-12"/>
        </w:rPr>
        <w:t xml:space="preserve"> </w:t>
      </w:r>
      <w:r>
        <w:t>las</w:t>
      </w:r>
      <w:r>
        <w:rPr>
          <w:spacing w:val="-12"/>
        </w:rPr>
        <w:t xml:space="preserve"> </w:t>
      </w:r>
      <w:r>
        <w:t>de</w:t>
      </w:r>
      <w:r>
        <w:rPr>
          <w:spacing w:val="-13"/>
        </w:rPr>
        <w:t xml:space="preserve"> </w:t>
      </w:r>
      <w:r>
        <w:t>estupefacientes</w:t>
      </w:r>
      <w:r>
        <w:rPr>
          <w:spacing w:val="-12"/>
        </w:rPr>
        <w:t xml:space="preserve"> </w:t>
      </w:r>
      <w:r>
        <w:t>o</w:t>
      </w:r>
      <w:r>
        <w:rPr>
          <w:spacing w:val="-12"/>
        </w:rPr>
        <w:t xml:space="preserve"> </w:t>
      </w:r>
      <w:r>
        <w:t>la</w:t>
      </w:r>
      <w:r>
        <w:rPr>
          <w:spacing w:val="-12"/>
        </w:rPr>
        <w:t xml:space="preserve"> </w:t>
      </w:r>
      <w:r>
        <w:t>Unidad</w:t>
      </w:r>
      <w:r>
        <w:rPr>
          <w:spacing w:val="-12"/>
        </w:rPr>
        <w:t xml:space="preserve"> </w:t>
      </w:r>
      <w:r>
        <w:t>de</w:t>
      </w:r>
      <w:r>
        <w:rPr>
          <w:spacing w:val="-12"/>
        </w:rPr>
        <w:t xml:space="preserve"> </w:t>
      </w:r>
      <w:r>
        <w:t>Delitos</w:t>
      </w:r>
      <w:r>
        <w:rPr>
          <w:spacing w:val="-13"/>
        </w:rPr>
        <w:t xml:space="preserve"> </w:t>
      </w:r>
      <w:r>
        <w:t>Financieros–</w:t>
      </w:r>
      <w:r>
        <w:rPr>
          <w:spacing w:val="-12"/>
        </w:rPr>
        <w:t xml:space="preserve"> </w:t>
      </w:r>
      <w:r>
        <w:t>ha</w:t>
      </w:r>
      <w:r>
        <w:rPr>
          <w:spacing w:val="-12"/>
        </w:rPr>
        <w:t xml:space="preserve"> </w:t>
      </w:r>
      <w:r>
        <w:t>creado</w:t>
      </w:r>
      <w:r>
        <w:rPr>
          <w:spacing w:val="-15"/>
        </w:rPr>
        <w:t xml:space="preserve"> </w:t>
      </w:r>
      <w:r>
        <w:t>numerosos</w:t>
      </w:r>
      <w:r>
        <w:rPr>
          <w:spacing w:val="-13"/>
        </w:rPr>
        <w:t xml:space="preserve"> </w:t>
      </w:r>
      <w:r>
        <w:t>espacios para</w:t>
      </w:r>
      <w:r>
        <w:rPr>
          <w:spacing w:val="-13"/>
        </w:rPr>
        <w:t xml:space="preserve"> </w:t>
      </w:r>
      <w:r>
        <w:t>la</w:t>
      </w:r>
      <w:r>
        <w:rPr>
          <w:spacing w:val="-13"/>
        </w:rPr>
        <w:t xml:space="preserve"> </w:t>
      </w:r>
      <w:r>
        <w:t>impunidad.</w:t>
      </w:r>
      <w:r>
        <w:rPr>
          <w:spacing w:val="-13"/>
        </w:rPr>
        <w:t xml:space="preserve"> </w:t>
      </w:r>
      <w:r>
        <w:t>La</w:t>
      </w:r>
      <w:r>
        <w:rPr>
          <w:spacing w:val="-13"/>
        </w:rPr>
        <w:t xml:space="preserve"> </w:t>
      </w:r>
      <w:r>
        <w:t>persecución</w:t>
      </w:r>
      <w:r>
        <w:rPr>
          <w:spacing w:val="-13"/>
        </w:rPr>
        <w:t xml:space="preserve"> </w:t>
      </w:r>
      <w:r>
        <w:t>de</w:t>
      </w:r>
      <w:r>
        <w:rPr>
          <w:spacing w:val="-14"/>
        </w:rPr>
        <w:t xml:space="preserve"> </w:t>
      </w:r>
      <w:r>
        <w:t>capos</w:t>
      </w:r>
      <w:r>
        <w:rPr>
          <w:spacing w:val="-13"/>
        </w:rPr>
        <w:t xml:space="preserve"> </w:t>
      </w:r>
      <w:r>
        <w:t>del</w:t>
      </w:r>
      <w:r>
        <w:rPr>
          <w:spacing w:val="-13"/>
        </w:rPr>
        <w:t xml:space="preserve"> </w:t>
      </w:r>
      <w:r>
        <w:t>narcotráfico,</w:t>
      </w:r>
      <w:r>
        <w:rPr>
          <w:spacing w:val="-13"/>
        </w:rPr>
        <w:t xml:space="preserve"> </w:t>
      </w:r>
      <w:r>
        <w:t>en</w:t>
      </w:r>
      <w:r>
        <w:rPr>
          <w:spacing w:val="-13"/>
        </w:rPr>
        <w:t xml:space="preserve"> </w:t>
      </w:r>
      <w:r>
        <w:t>lugar</w:t>
      </w:r>
      <w:r>
        <w:rPr>
          <w:spacing w:val="-13"/>
        </w:rPr>
        <w:t xml:space="preserve"> </w:t>
      </w:r>
      <w:r>
        <w:t>de</w:t>
      </w:r>
      <w:r>
        <w:rPr>
          <w:spacing w:val="-13"/>
        </w:rPr>
        <w:t xml:space="preserve"> </w:t>
      </w:r>
      <w:r>
        <w:t>a</w:t>
      </w:r>
      <w:r>
        <w:rPr>
          <w:spacing w:val="-13"/>
        </w:rPr>
        <w:t xml:space="preserve"> </w:t>
      </w:r>
      <w:r>
        <w:t>las</w:t>
      </w:r>
      <w:r>
        <w:rPr>
          <w:spacing w:val="-13"/>
        </w:rPr>
        <w:t xml:space="preserve"> </w:t>
      </w:r>
      <w:r>
        <w:t>redes,</w:t>
      </w:r>
      <w:r>
        <w:rPr>
          <w:spacing w:val="-13"/>
        </w:rPr>
        <w:t xml:space="preserve"> </w:t>
      </w:r>
      <w:r>
        <w:t>así</w:t>
      </w:r>
      <w:r>
        <w:rPr>
          <w:spacing w:val="-14"/>
        </w:rPr>
        <w:t xml:space="preserve"> </w:t>
      </w:r>
      <w:r>
        <w:t>como la ausencia de investigación del recorrido del dinero y las responsabilidades institucionales hacen</w:t>
      </w:r>
      <w:r>
        <w:rPr>
          <w:spacing w:val="-5"/>
        </w:rPr>
        <w:t xml:space="preserve"> </w:t>
      </w:r>
      <w:r>
        <w:t>que</w:t>
      </w:r>
      <w:r>
        <w:rPr>
          <w:spacing w:val="-4"/>
        </w:rPr>
        <w:t xml:space="preserve"> </w:t>
      </w:r>
      <w:r>
        <w:t>Colombia</w:t>
      </w:r>
      <w:r>
        <w:rPr>
          <w:spacing w:val="-4"/>
        </w:rPr>
        <w:t xml:space="preserve"> </w:t>
      </w:r>
      <w:r>
        <w:t>cuente</w:t>
      </w:r>
      <w:r>
        <w:rPr>
          <w:spacing w:val="-4"/>
        </w:rPr>
        <w:t xml:space="preserve"> </w:t>
      </w:r>
      <w:r>
        <w:t>con</w:t>
      </w:r>
      <w:r>
        <w:rPr>
          <w:spacing w:val="-5"/>
        </w:rPr>
        <w:t xml:space="preserve"> </w:t>
      </w:r>
      <w:r>
        <w:t>una</w:t>
      </w:r>
      <w:r>
        <w:rPr>
          <w:spacing w:val="-6"/>
        </w:rPr>
        <w:t xml:space="preserve"> </w:t>
      </w:r>
      <w:r>
        <w:t>institucionalidad</w:t>
      </w:r>
      <w:r>
        <w:rPr>
          <w:spacing w:val="-5"/>
        </w:rPr>
        <w:t xml:space="preserve"> </w:t>
      </w:r>
      <w:r>
        <w:t>que</w:t>
      </w:r>
      <w:r>
        <w:rPr>
          <w:spacing w:val="-4"/>
        </w:rPr>
        <w:t xml:space="preserve"> </w:t>
      </w:r>
      <w:r>
        <w:t>aparentemente</w:t>
      </w:r>
      <w:r>
        <w:rPr>
          <w:spacing w:val="-4"/>
        </w:rPr>
        <w:t xml:space="preserve"> </w:t>
      </w:r>
      <w:r>
        <w:t>funciona,</w:t>
      </w:r>
      <w:r>
        <w:rPr>
          <w:spacing w:val="-5"/>
        </w:rPr>
        <w:t xml:space="preserve"> </w:t>
      </w:r>
      <w:r>
        <w:t>pero</w:t>
      </w:r>
      <w:r>
        <w:rPr>
          <w:spacing w:val="-5"/>
        </w:rPr>
        <w:t xml:space="preserve"> </w:t>
      </w:r>
      <w:r>
        <w:t>que ha arrojado escasos resultados.</w:t>
      </w:r>
    </w:p>
    <w:p w:rsidR="003804AC" w:rsidRDefault="00AF18A5" w:rsidP="00E013A2">
      <w:r>
        <w:t>Colombia necesita encontrar mecanismos alternativos para enfrentar el problema de la verdad y la justicia, desarrollando y fortaleciendo mecanismos de investigación que les permitan</w:t>
      </w:r>
      <w:r>
        <w:rPr>
          <w:spacing w:val="-6"/>
        </w:rPr>
        <w:t xml:space="preserve"> </w:t>
      </w:r>
      <w:r>
        <w:t>al</w:t>
      </w:r>
      <w:r>
        <w:rPr>
          <w:spacing w:val="-7"/>
        </w:rPr>
        <w:t xml:space="preserve"> </w:t>
      </w:r>
      <w:r>
        <w:t>Estado</w:t>
      </w:r>
      <w:r>
        <w:rPr>
          <w:spacing w:val="-6"/>
        </w:rPr>
        <w:t xml:space="preserve"> </w:t>
      </w:r>
      <w:r>
        <w:t>y</w:t>
      </w:r>
      <w:r>
        <w:rPr>
          <w:spacing w:val="-6"/>
        </w:rPr>
        <w:t xml:space="preserve"> </w:t>
      </w:r>
      <w:r>
        <w:t>a</w:t>
      </w:r>
      <w:r>
        <w:rPr>
          <w:spacing w:val="-6"/>
        </w:rPr>
        <w:t xml:space="preserve"> </w:t>
      </w:r>
      <w:r>
        <w:t>la</w:t>
      </w:r>
      <w:r>
        <w:rPr>
          <w:spacing w:val="-7"/>
        </w:rPr>
        <w:t xml:space="preserve"> </w:t>
      </w:r>
      <w:r>
        <w:t>sociedad</w:t>
      </w:r>
      <w:r>
        <w:rPr>
          <w:spacing w:val="-6"/>
        </w:rPr>
        <w:t xml:space="preserve"> </w:t>
      </w:r>
      <w:r>
        <w:t>conocer</w:t>
      </w:r>
      <w:r>
        <w:rPr>
          <w:spacing w:val="-6"/>
        </w:rPr>
        <w:t xml:space="preserve"> </w:t>
      </w:r>
      <w:r>
        <w:t>a</w:t>
      </w:r>
      <w:r>
        <w:rPr>
          <w:spacing w:val="-6"/>
        </w:rPr>
        <w:t xml:space="preserve"> </w:t>
      </w:r>
      <w:r>
        <w:t>profundidad</w:t>
      </w:r>
      <w:r>
        <w:rPr>
          <w:spacing w:val="-6"/>
        </w:rPr>
        <w:t xml:space="preserve"> </w:t>
      </w:r>
      <w:r>
        <w:t>el</w:t>
      </w:r>
      <w:r>
        <w:rPr>
          <w:spacing w:val="-6"/>
        </w:rPr>
        <w:t xml:space="preserve"> </w:t>
      </w:r>
      <w:r>
        <w:t>sistema</w:t>
      </w:r>
      <w:r>
        <w:rPr>
          <w:spacing w:val="-6"/>
        </w:rPr>
        <w:t xml:space="preserve"> </w:t>
      </w:r>
      <w:r>
        <w:t>de</w:t>
      </w:r>
      <w:r>
        <w:rPr>
          <w:spacing w:val="-6"/>
        </w:rPr>
        <w:t xml:space="preserve"> </w:t>
      </w:r>
      <w:r>
        <w:t>relaciones,</w:t>
      </w:r>
      <w:r>
        <w:rPr>
          <w:spacing w:val="-6"/>
        </w:rPr>
        <w:t xml:space="preserve"> </w:t>
      </w:r>
      <w:r>
        <w:t>alianzas</w:t>
      </w:r>
      <w:r>
        <w:rPr>
          <w:spacing w:val="-6"/>
        </w:rPr>
        <w:t xml:space="preserve"> </w:t>
      </w:r>
      <w:r>
        <w:t>e intereses involucrados en el narcotráfico.</w:t>
      </w:r>
    </w:p>
    <w:p w:rsidR="003804AC" w:rsidRDefault="00AF18A5" w:rsidP="00E013A2">
      <w:r>
        <w:t>Estos mecanismos pasan por la investigación de los entramados políticos, financieros y armados que hacen posible el narcotráfico y, además, por diseñar un modelo de justicia transicional</w:t>
      </w:r>
      <w:r>
        <w:rPr>
          <w:spacing w:val="-2"/>
        </w:rPr>
        <w:t xml:space="preserve"> </w:t>
      </w:r>
      <w:r>
        <w:t>que</w:t>
      </w:r>
      <w:r>
        <w:rPr>
          <w:spacing w:val="2"/>
        </w:rPr>
        <w:t xml:space="preserve"> </w:t>
      </w:r>
      <w:r>
        <w:t>aborde el</w:t>
      </w:r>
      <w:r>
        <w:rPr>
          <w:spacing w:val="3"/>
        </w:rPr>
        <w:t xml:space="preserve"> </w:t>
      </w:r>
      <w:r>
        <w:t>conjunto de</w:t>
      </w:r>
      <w:r>
        <w:rPr>
          <w:spacing w:val="1"/>
        </w:rPr>
        <w:t xml:space="preserve"> </w:t>
      </w:r>
      <w:r>
        <w:t>los</w:t>
      </w:r>
      <w:r>
        <w:rPr>
          <w:spacing w:val="1"/>
        </w:rPr>
        <w:t xml:space="preserve"> </w:t>
      </w:r>
      <w:r>
        <w:t>actores</w:t>
      </w:r>
      <w:r>
        <w:rPr>
          <w:spacing w:val="1"/>
        </w:rPr>
        <w:t xml:space="preserve"> </w:t>
      </w:r>
      <w:r>
        <w:t>armados</w:t>
      </w:r>
      <w:r>
        <w:rPr>
          <w:spacing w:val="2"/>
        </w:rPr>
        <w:t xml:space="preserve"> </w:t>
      </w:r>
      <w:r>
        <w:t>que</w:t>
      </w:r>
      <w:r>
        <w:rPr>
          <w:spacing w:val="2"/>
        </w:rPr>
        <w:t xml:space="preserve"> </w:t>
      </w:r>
      <w:r>
        <w:t>aún</w:t>
      </w:r>
      <w:r>
        <w:rPr>
          <w:spacing w:val="1"/>
        </w:rPr>
        <w:t xml:space="preserve"> </w:t>
      </w:r>
      <w:r>
        <w:t>persisten,</w:t>
      </w:r>
      <w:r>
        <w:rPr>
          <w:spacing w:val="2"/>
        </w:rPr>
        <w:t xml:space="preserve"> </w:t>
      </w:r>
      <w:r>
        <w:t>sus</w:t>
      </w:r>
      <w:r>
        <w:rPr>
          <w:spacing w:val="2"/>
        </w:rPr>
        <w:t xml:space="preserve"> </w:t>
      </w:r>
      <w:r>
        <w:rPr>
          <w:spacing w:val="-2"/>
        </w:rPr>
        <w:t>relaciones</w:t>
      </w:r>
      <w:r w:rsidR="00E013A2">
        <w:t xml:space="preserve"> </w:t>
      </w:r>
      <w:r>
        <w:t>con el negocio y el sometimiento a la ley de estos grupos. Los mecanismos de la justicia transicional</w:t>
      </w:r>
      <w:r>
        <w:rPr>
          <w:spacing w:val="-5"/>
        </w:rPr>
        <w:t xml:space="preserve"> </w:t>
      </w:r>
      <w:r>
        <w:t>ofrecen</w:t>
      </w:r>
      <w:r>
        <w:rPr>
          <w:spacing w:val="-5"/>
        </w:rPr>
        <w:t xml:space="preserve"> </w:t>
      </w:r>
      <w:r>
        <w:t>posibilidades</w:t>
      </w:r>
      <w:r>
        <w:rPr>
          <w:spacing w:val="-4"/>
        </w:rPr>
        <w:t xml:space="preserve"> </w:t>
      </w:r>
      <w:r>
        <w:t>que</w:t>
      </w:r>
      <w:r>
        <w:rPr>
          <w:spacing w:val="-4"/>
        </w:rPr>
        <w:t xml:space="preserve"> </w:t>
      </w:r>
      <w:r>
        <w:t>deben</w:t>
      </w:r>
      <w:r>
        <w:rPr>
          <w:spacing w:val="-5"/>
        </w:rPr>
        <w:t xml:space="preserve"> </w:t>
      </w:r>
      <w:r>
        <w:t>ser</w:t>
      </w:r>
      <w:r>
        <w:rPr>
          <w:spacing w:val="-5"/>
        </w:rPr>
        <w:t xml:space="preserve"> </w:t>
      </w:r>
      <w:r>
        <w:t>exploradas,</w:t>
      </w:r>
      <w:r>
        <w:rPr>
          <w:spacing w:val="-5"/>
        </w:rPr>
        <w:t xml:space="preserve"> </w:t>
      </w:r>
      <w:r>
        <w:t>incluyendo</w:t>
      </w:r>
      <w:r>
        <w:rPr>
          <w:spacing w:val="-5"/>
        </w:rPr>
        <w:t xml:space="preserve"> </w:t>
      </w:r>
      <w:r>
        <w:t>los</w:t>
      </w:r>
      <w:r>
        <w:rPr>
          <w:spacing w:val="-4"/>
        </w:rPr>
        <w:t xml:space="preserve"> </w:t>
      </w:r>
      <w:r>
        <w:t>acuerdos</w:t>
      </w:r>
      <w:r>
        <w:rPr>
          <w:spacing w:val="-6"/>
        </w:rPr>
        <w:t xml:space="preserve"> </w:t>
      </w:r>
      <w:r>
        <w:t>para</w:t>
      </w:r>
      <w:r>
        <w:rPr>
          <w:spacing w:val="-4"/>
        </w:rPr>
        <w:t xml:space="preserve"> </w:t>
      </w:r>
      <w:r>
        <w:t>el desmantelamiento de las redes, la contribución a la verdad y las penas restaurativas.</w:t>
      </w:r>
    </w:p>
    <w:p w:rsidR="0011361F" w:rsidRDefault="00AF18A5" w:rsidP="004A6EF4">
      <w:pPr>
        <w:pStyle w:val="Ttulo4"/>
        <w:numPr>
          <w:ilvl w:val="2"/>
          <w:numId w:val="16"/>
        </w:numPr>
      </w:pPr>
      <w:bookmarkStart w:id="919" w:name="6.10.5._Narcotráfico_y_conflicto_armado:"/>
      <w:bookmarkEnd w:id="919"/>
      <w:r>
        <w:t>Narcotráfico</w:t>
      </w:r>
      <w:r>
        <w:rPr>
          <w:spacing w:val="-4"/>
        </w:rPr>
        <w:t xml:space="preserve"> </w:t>
      </w:r>
      <w:r>
        <w:t>y</w:t>
      </w:r>
      <w:r>
        <w:rPr>
          <w:spacing w:val="-2"/>
        </w:rPr>
        <w:t xml:space="preserve"> </w:t>
      </w:r>
      <w:r>
        <w:t>conflicto</w:t>
      </w:r>
      <w:r>
        <w:rPr>
          <w:spacing w:val="-1"/>
        </w:rPr>
        <w:t xml:space="preserve"> </w:t>
      </w:r>
      <w:r>
        <w:t>armado:</w:t>
      </w:r>
      <w:r>
        <w:rPr>
          <w:spacing w:val="-2"/>
        </w:rPr>
        <w:t xml:space="preserve"> </w:t>
      </w:r>
      <w:r>
        <w:t>la</w:t>
      </w:r>
      <w:r>
        <w:rPr>
          <w:spacing w:val="-1"/>
        </w:rPr>
        <w:t xml:space="preserve"> </w:t>
      </w:r>
      <w:r>
        <w:t>consideración</w:t>
      </w:r>
      <w:r>
        <w:rPr>
          <w:spacing w:val="-3"/>
        </w:rPr>
        <w:t xml:space="preserve"> </w:t>
      </w:r>
      <w:r>
        <w:t>de</w:t>
      </w:r>
      <w:r>
        <w:rPr>
          <w:spacing w:val="-2"/>
        </w:rPr>
        <w:t xml:space="preserve"> </w:t>
      </w:r>
      <w:r>
        <w:t>las</w:t>
      </w:r>
      <w:r>
        <w:rPr>
          <w:spacing w:val="-1"/>
        </w:rPr>
        <w:t xml:space="preserve"> </w:t>
      </w:r>
      <w:r>
        <w:rPr>
          <w:spacing w:val="-2"/>
        </w:rPr>
        <w:t>víctimas</w:t>
      </w:r>
    </w:p>
    <w:p w:rsidR="003804AC" w:rsidRDefault="00AF18A5" w:rsidP="00E013A2">
      <w:r>
        <w:t xml:space="preserve">A pesar de lo dicho, las víctimas del narcotráfico no han sido consideradas en Colombia como víctimas del conflicto armado. La Comisión ha dado cuenta de cómo a partir de los ochenta, </w:t>
      </w:r>
      <w:r>
        <w:lastRenderedPageBreak/>
        <w:t>especialmente, los ejércitos del narcotráfico se incorporaron a la lucha contrainsurgente. Numerosos hechos vistos desde la lógica contrainsurgente han tenido también una lógica de control del narcotráfico.</w:t>
      </w:r>
    </w:p>
    <w:p w:rsidR="003804AC" w:rsidRDefault="00AF18A5" w:rsidP="00E013A2">
      <w:r>
        <w:t xml:space="preserve">Miembros de comunidades campesinas y étnicas, pobladores de los barrios populares, fueron víctimas de grupos </w:t>
      </w:r>
      <w:proofErr w:type="spellStart"/>
      <w:r>
        <w:t>posdesmovilización</w:t>
      </w:r>
      <w:proofErr w:type="spellEnd"/>
      <w:r>
        <w:t xml:space="preserve"> de las AUC considerados como «bandas criminales».</w:t>
      </w:r>
      <w:r>
        <w:rPr>
          <w:spacing w:val="-1"/>
        </w:rPr>
        <w:t xml:space="preserve"> </w:t>
      </w:r>
      <w:r>
        <w:t>A la par, jueces, fiscales, agentes del CTI o investigadores fueron asesinados o tuvieron que salir al exilio por investigar estos casos de estrecha relación entre el conflicto armado y el narcotráfico. Adicionalmente, muchos ciudadanos fueron asesinados en atentados</w:t>
      </w:r>
      <w:r>
        <w:rPr>
          <w:spacing w:val="-8"/>
        </w:rPr>
        <w:t xml:space="preserve"> </w:t>
      </w:r>
      <w:r>
        <w:t>o</w:t>
      </w:r>
      <w:r>
        <w:rPr>
          <w:spacing w:val="-8"/>
        </w:rPr>
        <w:t xml:space="preserve"> </w:t>
      </w:r>
      <w:r>
        <w:t>en</w:t>
      </w:r>
      <w:r>
        <w:rPr>
          <w:spacing w:val="-8"/>
        </w:rPr>
        <w:t xml:space="preserve"> </w:t>
      </w:r>
      <w:r>
        <w:t>múltiples</w:t>
      </w:r>
      <w:r>
        <w:rPr>
          <w:spacing w:val="-9"/>
        </w:rPr>
        <w:t xml:space="preserve"> </w:t>
      </w:r>
      <w:r>
        <w:t>acciones</w:t>
      </w:r>
      <w:r>
        <w:rPr>
          <w:spacing w:val="-8"/>
        </w:rPr>
        <w:t xml:space="preserve"> </w:t>
      </w:r>
      <w:r>
        <w:t>del</w:t>
      </w:r>
      <w:r>
        <w:rPr>
          <w:spacing w:val="-9"/>
        </w:rPr>
        <w:t xml:space="preserve"> </w:t>
      </w:r>
      <w:r>
        <w:t>narcotráfico</w:t>
      </w:r>
      <w:r>
        <w:rPr>
          <w:spacing w:val="-10"/>
        </w:rPr>
        <w:t xml:space="preserve"> </w:t>
      </w:r>
      <w:r>
        <w:t>contra</w:t>
      </w:r>
      <w:r>
        <w:rPr>
          <w:spacing w:val="-8"/>
        </w:rPr>
        <w:t xml:space="preserve"> </w:t>
      </w:r>
      <w:r>
        <w:t>el</w:t>
      </w:r>
      <w:r>
        <w:rPr>
          <w:spacing w:val="-8"/>
        </w:rPr>
        <w:t xml:space="preserve"> </w:t>
      </w:r>
      <w:r>
        <w:t>Estado</w:t>
      </w:r>
      <w:r>
        <w:rPr>
          <w:spacing w:val="-8"/>
        </w:rPr>
        <w:t xml:space="preserve"> </w:t>
      </w:r>
      <w:r>
        <w:t>y</w:t>
      </w:r>
      <w:r>
        <w:rPr>
          <w:spacing w:val="-8"/>
        </w:rPr>
        <w:t xml:space="preserve"> </w:t>
      </w:r>
      <w:r>
        <w:t>la</w:t>
      </w:r>
      <w:r>
        <w:rPr>
          <w:spacing w:val="-8"/>
        </w:rPr>
        <w:t xml:space="preserve"> </w:t>
      </w:r>
      <w:r>
        <w:t>población</w:t>
      </w:r>
      <w:r>
        <w:rPr>
          <w:spacing w:val="-8"/>
        </w:rPr>
        <w:t xml:space="preserve"> </w:t>
      </w:r>
      <w:r>
        <w:t>civil</w:t>
      </w:r>
      <w:r>
        <w:rPr>
          <w:spacing w:val="-9"/>
        </w:rPr>
        <w:t xml:space="preserve"> </w:t>
      </w:r>
      <w:r>
        <w:t>en</w:t>
      </w:r>
      <w:r>
        <w:rPr>
          <w:spacing w:val="-8"/>
        </w:rPr>
        <w:t xml:space="preserve"> </w:t>
      </w:r>
      <w:r>
        <w:t>los años</w:t>
      </w:r>
      <w:r>
        <w:rPr>
          <w:spacing w:val="-9"/>
        </w:rPr>
        <w:t xml:space="preserve"> </w:t>
      </w:r>
      <w:r>
        <w:t>ochenta</w:t>
      </w:r>
      <w:r>
        <w:rPr>
          <w:spacing w:val="-9"/>
        </w:rPr>
        <w:t xml:space="preserve"> </w:t>
      </w:r>
      <w:r>
        <w:t>y</w:t>
      </w:r>
      <w:r>
        <w:rPr>
          <w:spacing w:val="-9"/>
        </w:rPr>
        <w:t xml:space="preserve"> </w:t>
      </w:r>
      <w:r>
        <w:t>noventa.</w:t>
      </w:r>
      <w:r>
        <w:rPr>
          <w:spacing w:val="-11"/>
        </w:rPr>
        <w:t xml:space="preserve"> </w:t>
      </w:r>
      <w:r>
        <w:t>Estos</w:t>
      </w:r>
      <w:r>
        <w:rPr>
          <w:spacing w:val="-9"/>
        </w:rPr>
        <w:t xml:space="preserve"> </w:t>
      </w:r>
      <w:r>
        <w:t>ejemplos</w:t>
      </w:r>
      <w:r>
        <w:rPr>
          <w:spacing w:val="-9"/>
        </w:rPr>
        <w:t xml:space="preserve"> </w:t>
      </w:r>
      <w:r>
        <w:t>muestran</w:t>
      </w:r>
      <w:r>
        <w:rPr>
          <w:spacing w:val="-11"/>
        </w:rPr>
        <w:t xml:space="preserve"> </w:t>
      </w:r>
      <w:r>
        <w:t>la</w:t>
      </w:r>
      <w:r>
        <w:rPr>
          <w:spacing w:val="-9"/>
        </w:rPr>
        <w:t xml:space="preserve"> </w:t>
      </w:r>
      <w:r>
        <w:t>importancia</w:t>
      </w:r>
      <w:r>
        <w:rPr>
          <w:spacing w:val="-9"/>
        </w:rPr>
        <w:t xml:space="preserve"> </w:t>
      </w:r>
      <w:r>
        <w:t>de</w:t>
      </w:r>
      <w:r>
        <w:rPr>
          <w:spacing w:val="-9"/>
        </w:rPr>
        <w:t xml:space="preserve"> </w:t>
      </w:r>
      <w:r>
        <w:t>darle</w:t>
      </w:r>
      <w:r>
        <w:rPr>
          <w:spacing w:val="-9"/>
        </w:rPr>
        <w:t xml:space="preserve"> </w:t>
      </w:r>
      <w:r>
        <w:t>una</w:t>
      </w:r>
      <w:r>
        <w:rPr>
          <w:spacing w:val="-9"/>
        </w:rPr>
        <w:t xml:space="preserve"> </w:t>
      </w:r>
      <w:r>
        <w:t>mirada</w:t>
      </w:r>
      <w:r>
        <w:rPr>
          <w:spacing w:val="-9"/>
        </w:rPr>
        <w:t xml:space="preserve"> </w:t>
      </w:r>
      <w:r>
        <w:t>distinta al</w:t>
      </w:r>
      <w:r>
        <w:rPr>
          <w:spacing w:val="-9"/>
        </w:rPr>
        <w:t xml:space="preserve"> </w:t>
      </w:r>
      <w:r>
        <w:t>narcotráfico,</w:t>
      </w:r>
      <w:r>
        <w:rPr>
          <w:spacing w:val="-10"/>
        </w:rPr>
        <w:t xml:space="preserve"> </w:t>
      </w:r>
      <w:r>
        <w:t>incluso</w:t>
      </w:r>
      <w:r>
        <w:rPr>
          <w:spacing w:val="-11"/>
        </w:rPr>
        <w:t xml:space="preserve"> </w:t>
      </w:r>
      <w:r>
        <w:t>a</w:t>
      </w:r>
      <w:r>
        <w:rPr>
          <w:spacing w:val="-11"/>
        </w:rPr>
        <w:t xml:space="preserve"> </w:t>
      </w:r>
      <w:r>
        <w:t>las</w:t>
      </w:r>
      <w:r>
        <w:rPr>
          <w:spacing w:val="-11"/>
        </w:rPr>
        <w:t xml:space="preserve"> </w:t>
      </w:r>
      <w:r>
        <w:t>zonas</w:t>
      </w:r>
      <w:r>
        <w:rPr>
          <w:spacing w:val="-11"/>
        </w:rPr>
        <w:t xml:space="preserve"> </w:t>
      </w:r>
      <w:r>
        <w:t>grises</w:t>
      </w:r>
      <w:r>
        <w:rPr>
          <w:spacing w:val="-10"/>
        </w:rPr>
        <w:t xml:space="preserve"> </w:t>
      </w:r>
      <w:r>
        <w:t>de</w:t>
      </w:r>
      <w:r>
        <w:rPr>
          <w:spacing w:val="-9"/>
        </w:rPr>
        <w:t xml:space="preserve"> </w:t>
      </w:r>
      <w:r>
        <w:t>la</w:t>
      </w:r>
      <w:r>
        <w:rPr>
          <w:spacing w:val="-11"/>
        </w:rPr>
        <w:t xml:space="preserve"> </w:t>
      </w:r>
      <w:r>
        <w:t>relación</w:t>
      </w:r>
      <w:r>
        <w:rPr>
          <w:spacing w:val="-11"/>
        </w:rPr>
        <w:t xml:space="preserve"> </w:t>
      </w:r>
      <w:r>
        <w:t>entre</w:t>
      </w:r>
      <w:r>
        <w:rPr>
          <w:spacing w:val="-9"/>
        </w:rPr>
        <w:t xml:space="preserve"> </w:t>
      </w:r>
      <w:r>
        <w:t>el</w:t>
      </w:r>
      <w:r>
        <w:rPr>
          <w:spacing w:val="-9"/>
        </w:rPr>
        <w:t xml:space="preserve"> </w:t>
      </w:r>
      <w:r>
        <w:t>crimen</w:t>
      </w:r>
      <w:r>
        <w:rPr>
          <w:spacing w:val="-10"/>
        </w:rPr>
        <w:t xml:space="preserve"> </w:t>
      </w:r>
      <w:r>
        <w:t>y</w:t>
      </w:r>
      <w:r>
        <w:rPr>
          <w:spacing w:val="-11"/>
        </w:rPr>
        <w:t xml:space="preserve"> </w:t>
      </w:r>
      <w:r>
        <w:t>la</w:t>
      </w:r>
      <w:r>
        <w:rPr>
          <w:spacing w:val="-11"/>
        </w:rPr>
        <w:t xml:space="preserve"> </w:t>
      </w:r>
      <w:r>
        <w:t>política</w:t>
      </w:r>
      <w:r>
        <w:rPr>
          <w:spacing w:val="-9"/>
        </w:rPr>
        <w:t xml:space="preserve"> </w:t>
      </w:r>
      <w:r>
        <w:t>en</w:t>
      </w:r>
      <w:r>
        <w:rPr>
          <w:spacing w:val="-11"/>
        </w:rPr>
        <w:t xml:space="preserve"> </w:t>
      </w:r>
      <w:r>
        <w:t>el</w:t>
      </w:r>
      <w:r>
        <w:rPr>
          <w:spacing w:val="-9"/>
        </w:rPr>
        <w:t xml:space="preserve"> </w:t>
      </w:r>
      <w:r>
        <w:t>caso del conflicto armado.</w:t>
      </w:r>
    </w:p>
    <w:p w:rsidR="003804AC" w:rsidRDefault="00AF18A5" w:rsidP="00E013A2">
      <w:r>
        <w:t>Por</w:t>
      </w:r>
      <w:r>
        <w:rPr>
          <w:spacing w:val="-9"/>
        </w:rPr>
        <w:t xml:space="preserve"> </w:t>
      </w:r>
      <w:r>
        <w:t>último,</w:t>
      </w:r>
      <w:r>
        <w:rPr>
          <w:spacing w:val="-11"/>
        </w:rPr>
        <w:t xml:space="preserve"> </w:t>
      </w:r>
      <w:r>
        <w:t>las</w:t>
      </w:r>
      <w:r>
        <w:rPr>
          <w:spacing w:val="-9"/>
        </w:rPr>
        <w:t xml:space="preserve"> </w:t>
      </w:r>
      <w:r>
        <w:t>cárceles</w:t>
      </w:r>
      <w:r>
        <w:rPr>
          <w:spacing w:val="-9"/>
        </w:rPr>
        <w:t xml:space="preserve"> </w:t>
      </w:r>
      <w:r>
        <w:t>colombianas</w:t>
      </w:r>
      <w:r>
        <w:rPr>
          <w:spacing w:val="-10"/>
        </w:rPr>
        <w:t xml:space="preserve"> </w:t>
      </w:r>
      <w:r>
        <w:t>están</w:t>
      </w:r>
      <w:r>
        <w:rPr>
          <w:spacing w:val="-11"/>
        </w:rPr>
        <w:t xml:space="preserve"> </w:t>
      </w:r>
      <w:r>
        <w:t>copadas</w:t>
      </w:r>
      <w:r>
        <w:rPr>
          <w:spacing w:val="-9"/>
        </w:rPr>
        <w:t xml:space="preserve"> </w:t>
      </w:r>
      <w:r>
        <w:t>en</w:t>
      </w:r>
      <w:r>
        <w:rPr>
          <w:spacing w:val="-9"/>
        </w:rPr>
        <w:t xml:space="preserve"> </w:t>
      </w:r>
      <w:r>
        <w:t>buena</w:t>
      </w:r>
      <w:r>
        <w:rPr>
          <w:spacing w:val="-10"/>
        </w:rPr>
        <w:t xml:space="preserve"> </w:t>
      </w:r>
      <w:r>
        <w:t>parte</w:t>
      </w:r>
      <w:r>
        <w:rPr>
          <w:spacing w:val="-10"/>
        </w:rPr>
        <w:t xml:space="preserve"> </w:t>
      </w:r>
      <w:r>
        <w:t>con</w:t>
      </w:r>
      <w:r>
        <w:rPr>
          <w:spacing w:val="-9"/>
        </w:rPr>
        <w:t xml:space="preserve"> </w:t>
      </w:r>
      <w:r>
        <w:t>personas</w:t>
      </w:r>
      <w:r>
        <w:rPr>
          <w:spacing w:val="-9"/>
        </w:rPr>
        <w:t xml:space="preserve"> </w:t>
      </w:r>
      <w:r>
        <w:t>detenidas por delitos ligados al consumo o tráfico a pequeña escala. Una parte importante de los colombianos detenidos en otros países también lo están por haberse involucrado en el narcotráfico. En general, se trata de personas de escasos recursos. Se trata de una situación que</w:t>
      </w:r>
      <w:r>
        <w:rPr>
          <w:spacing w:val="-4"/>
        </w:rPr>
        <w:t xml:space="preserve"> </w:t>
      </w:r>
      <w:r>
        <w:t>necesita</w:t>
      </w:r>
      <w:r>
        <w:rPr>
          <w:spacing w:val="-6"/>
        </w:rPr>
        <w:t xml:space="preserve"> </w:t>
      </w:r>
      <w:r>
        <w:t>ser</w:t>
      </w:r>
      <w:r>
        <w:rPr>
          <w:spacing w:val="-4"/>
        </w:rPr>
        <w:t xml:space="preserve"> </w:t>
      </w:r>
      <w:r>
        <w:t>abordada</w:t>
      </w:r>
      <w:r>
        <w:rPr>
          <w:spacing w:val="-4"/>
        </w:rPr>
        <w:t xml:space="preserve"> </w:t>
      </w:r>
      <w:r>
        <w:t>con</w:t>
      </w:r>
      <w:r>
        <w:rPr>
          <w:spacing w:val="-5"/>
        </w:rPr>
        <w:t xml:space="preserve"> </w:t>
      </w:r>
      <w:r>
        <w:t>medidas</w:t>
      </w:r>
      <w:r>
        <w:rPr>
          <w:spacing w:val="-4"/>
        </w:rPr>
        <w:t xml:space="preserve"> </w:t>
      </w:r>
      <w:r>
        <w:t>que</w:t>
      </w:r>
      <w:r>
        <w:rPr>
          <w:spacing w:val="-4"/>
        </w:rPr>
        <w:t xml:space="preserve"> </w:t>
      </w:r>
      <w:r>
        <w:t>faciliten</w:t>
      </w:r>
      <w:r>
        <w:rPr>
          <w:spacing w:val="-5"/>
        </w:rPr>
        <w:t xml:space="preserve"> </w:t>
      </w:r>
      <w:r>
        <w:t>la</w:t>
      </w:r>
      <w:r>
        <w:rPr>
          <w:spacing w:val="-4"/>
        </w:rPr>
        <w:t xml:space="preserve"> </w:t>
      </w:r>
      <w:r>
        <w:t>prevención,</w:t>
      </w:r>
      <w:r>
        <w:rPr>
          <w:spacing w:val="-5"/>
        </w:rPr>
        <w:t xml:space="preserve"> </w:t>
      </w:r>
      <w:r>
        <w:t>educación</w:t>
      </w:r>
      <w:r>
        <w:rPr>
          <w:spacing w:val="-5"/>
        </w:rPr>
        <w:t xml:space="preserve"> </w:t>
      </w:r>
      <w:r>
        <w:t>y</w:t>
      </w:r>
      <w:r>
        <w:rPr>
          <w:spacing w:val="-5"/>
        </w:rPr>
        <w:t xml:space="preserve"> </w:t>
      </w:r>
      <w:r>
        <w:t>el</w:t>
      </w:r>
      <w:r>
        <w:rPr>
          <w:spacing w:val="-5"/>
        </w:rPr>
        <w:t xml:space="preserve"> </w:t>
      </w:r>
      <w:r>
        <w:t>trabajo</w:t>
      </w:r>
      <w:r>
        <w:rPr>
          <w:spacing w:val="-5"/>
        </w:rPr>
        <w:t xml:space="preserve"> </w:t>
      </w:r>
      <w:r>
        <w:t>en las comunidades de origen más afectadas.</w:t>
      </w:r>
    </w:p>
    <w:p w:rsidR="0011361F" w:rsidRDefault="00AF18A5" w:rsidP="004A6EF4">
      <w:pPr>
        <w:pStyle w:val="Ttulo4"/>
        <w:numPr>
          <w:ilvl w:val="2"/>
          <w:numId w:val="16"/>
        </w:numPr>
      </w:pPr>
      <w:bookmarkStart w:id="920" w:name="6.10.6._Desarrollo_rural_y_cumplimiento_"/>
      <w:bookmarkEnd w:id="920"/>
      <w:r>
        <w:t>Desarrollo</w:t>
      </w:r>
      <w:r>
        <w:rPr>
          <w:spacing w:val="-6"/>
        </w:rPr>
        <w:t xml:space="preserve"> </w:t>
      </w:r>
      <w:r>
        <w:t>rural</w:t>
      </w:r>
      <w:r>
        <w:rPr>
          <w:spacing w:val="-3"/>
        </w:rPr>
        <w:t xml:space="preserve"> </w:t>
      </w:r>
      <w:r>
        <w:t>y</w:t>
      </w:r>
      <w:r>
        <w:rPr>
          <w:spacing w:val="-2"/>
        </w:rPr>
        <w:t xml:space="preserve"> </w:t>
      </w:r>
      <w:r>
        <w:t>cumplimiento</w:t>
      </w:r>
      <w:r>
        <w:rPr>
          <w:spacing w:val="-2"/>
        </w:rPr>
        <w:t xml:space="preserve"> </w:t>
      </w:r>
      <w:r>
        <w:t>del</w:t>
      </w:r>
      <w:r>
        <w:rPr>
          <w:spacing w:val="-2"/>
        </w:rPr>
        <w:t xml:space="preserve"> </w:t>
      </w:r>
      <w:r w:rsidRPr="00E013A2">
        <w:t>Acuerdo</w:t>
      </w:r>
      <w:r>
        <w:rPr>
          <w:spacing w:val="-2"/>
        </w:rPr>
        <w:t xml:space="preserve"> </w:t>
      </w:r>
      <w:r>
        <w:t>de</w:t>
      </w:r>
      <w:r>
        <w:rPr>
          <w:spacing w:val="-1"/>
        </w:rPr>
        <w:t xml:space="preserve"> </w:t>
      </w:r>
      <w:r>
        <w:rPr>
          <w:spacing w:val="-5"/>
        </w:rPr>
        <w:t>Paz</w:t>
      </w:r>
    </w:p>
    <w:p w:rsidR="003804AC" w:rsidRDefault="00AF18A5" w:rsidP="00E013A2">
      <w:r>
        <w:t xml:space="preserve">En el contexto de la negociación del Acuerdo de Paz con las FARC-EP, el tema del narcotráfico fue un elemento central para destrabar el avance de las negociaciones, al </w:t>
      </w:r>
      <w:r>
        <w:rPr>
          <w:spacing w:val="-2"/>
        </w:rPr>
        <w:t>considerarse</w:t>
      </w:r>
      <w:r>
        <w:rPr>
          <w:spacing w:val="-7"/>
        </w:rPr>
        <w:t xml:space="preserve"> </w:t>
      </w:r>
      <w:r>
        <w:rPr>
          <w:spacing w:val="-2"/>
        </w:rPr>
        <w:t>el</w:t>
      </w:r>
      <w:r>
        <w:rPr>
          <w:spacing w:val="-4"/>
        </w:rPr>
        <w:t xml:space="preserve"> </w:t>
      </w:r>
      <w:r>
        <w:rPr>
          <w:spacing w:val="-2"/>
        </w:rPr>
        <w:t>financiamiento</w:t>
      </w:r>
      <w:r>
        <w:rPr>
          <w:spacing w:val="-4"/>
        </w:rPr>
        <w:t xml:space="preserve"> </w:t>
      </w:r>
      <w:r>
        <w:rPr>
          <w:spacing w:val="-2"/>
        </w:rPr>
        <w:t>en</w:t>
      </w:r>
      <w:r>
        <w:rPr>
          <w:spacing w:val="-5"/>
        </w:rPr>
        <w:t xml:space="preserve"> </w:t>
      </w:r>
      <w:r>
        <w:rPr>
          <w:spacing w:val="-2"/>
        </w:rPr>
        <w:t>conexidad</w:t>
      </w:r>
      <w:r>
        <w:rPr>
          <w:spacing w:val="-4"/>
        </w:rPr>
        <w:t xml:space="preserve"> </w:t>
      </w:r>
      <w:r>
        <w:rPr>
          <w:spacing w:val="-2"/>
        </w:rPr>
        <w:t>con</w:t>
      </w:r>
      <w:r>
        <w:rPr>
          <w:spacing w:val="-4"/>
        </w:rPr>
        <w:t xml:space="preserve"> </w:t>
      </w:r>
      <w:r>
        <w:rPr>
          <w:spacing w:val="-2"/>
        </w:rPr>
        <w:lastRenderedPageBreak/>
        <w:t>el delito</w:t>
      </w:r>
      <w:r>
        <w:rPr>
          <w:spacing w:val="-5"/>
        </w:rPr>
        <w:t xml:space="preserve"> </w:t>
      </w:r>
      <w:r>
        <w:rPr>
          <w:spacing w:val="-2"/>
        </w:rPr>
        <w:t>político.</w:t>
      </w:r>
      <w:r>
        <w:rPr>
          <w:spacing w:val="-3"/>
        </w:rPr>
        <w:t xml:space="preserve"> </w:t>
      </w:r>
      <w:r>
        <w:rPr>
          <w:spacing w:val="-2"/>
        </w:rPr>
        <w:t>Sin</w:t>
      </w:r>
      <w:r>
        <w:rPr>
          <w:spacing w:val="-5"/>
        </w:rPr>
        <w:t xml:space="preserve"> </w:t>
      </w:r>
      <w:r>
        <w:rPr>
          <w:spacing w:val="-2"/>
        </w:rPr>
        <w:t>embargo,</w:t>
      </w:r>
      <w:r>
        <w:rPr>
          <w:spacing w:val="-3"/>
        </w:rPr>
        <w:t xml:space="preserve"> </w:t>
      </w:r>
      <w:r>
        <w:rPr>
          <w:spacing w:val="-2"/>
        </w:rPr>
        <w:t>tras</w:t>
      </w:r>
      <w:r>
        <w:rPr>
          <w:spacing w:val="-5"/>
        </w:rPr>
        <w:t xml:space="preserve"> </w:t>
      </w:r>
      <w:r>
        <w:rPr>
          <w:spacing w:val="-2"/>
        </w:rPr>
        <w:t>la</w:t>
      </w:r>
      <w:r>
        <w:rPr>
          <w:spacing w:val="-4"/>
        </w:rPr>
        <w:t xml:space="preserve"> </w:t>
      </w:r>
      <w:r>
        <w:rPr>
          <w:spacing w:val="-2"/>
        </w:rPr>
        <w:t>puesta</w:t>
      </w:r>
      <w:r w:rsidR="00E013A2">
        <w:rPr>
          <w:spacing w:val="-2"/>
        </w:rPr>
        <w:t xml:space="preserve"> </w:t>
      </w:r>
      <w:r>
        <w:t>en marcha del Acuerdo de Paz, los problemas en el cumplimiento de las medidas de desarrollo rural, la falta de atención del Estado de una forma integral a las zonas donde las FARC-EP tenían control</w:t>
      </w:r>
      <w:r>
        <w:rPr>
          <w:spacing w:val="-1"/>
        </w:rPr>
        <w:t xml:space="preserve"> </w:t>
      </w:r>
      <w:r>
        <w:t>y el mantenimiento de los grupos armados ilegales está llevando a una reconfiguración del conflicto armado.</w:t>
      </w:r>
    </w:p>
    <w:p w:rsidR="003804AC" w:rsidRDefault="00AF18A5" w:rsidP="00E013A2">
      <w:r>
        <w:t>Como se ha mostrado, parte de la explicación de</w:t>
      </w:r>
      <w:r>
        <w:rPr>
          <w:spacing w:val="-1"/>
        </w:rPr>
        <w:t xml:space="preserve"> </w:t>
      </w:r>
      <w:r>
        <w:t>la persistencia del conflicto relacionada con el mercado de la cocaína es la disputa por el control de esta economía en los territorios. Tras</w:t>
      </w:r>
      <w:r>
        <w:rPr>
          <w:spacing w:val="-7"/>
        </w:rPr>
        <w:t xml:space="preserve"> </w:t>
      </w:r>
      <w:r>
        <w:t>la</w:t>
      </w:r>
      <w:r>
        <w:rPr>
          <w:spacing w:val="-7"/>
        </w:rPr>
        <w:t xml:space="preserve"> </w:t>
      </w:r>
      <w:r>
        <w:t>salida</w:t>
      </w:r>
      <w:r>
        <w:rPr>
          <w:spacing w:val="-7"/>
        </w:rPr>
        <w:t xml:space="preserve"> </w:t>
      </w:r>
      <w:r>
        <w:t>de</w:t>
      </w:r>
      <w:r>
        <w:rPr>
          <w:spacing w:val="-7"/>
        </w:rPr>
        <w:t xml:space="preserve"> </w:t>
      </w:r>
      <w:r>
        <w:t>las</w:t>
      </w:r>
      <w:r>
        <w:rPr>
          <w:spacing w:val="-7"/>
        </w:rPr>
        <w:t xml:space="preserve"> </w:t>
      </w:r>
      <w:r>
        <w:t>FARC-EP</w:t>
      </w:r>
      <w:r>
        <w:rPr>
          <w:spacing w:val="-8"/>
        </w:rPr>
        <w:t xml:space="preserve"> </w:t>
      </w:r>
      <w:r>
        <w:t>del</w:t>
      </w:r>
      <w:r>
        <w:rPr>
          <w:spacing w:val="-7"/>
        </w:rPr>
        <w:t xml:space="preserve"> </w:t>
      </w:r>
      <w:r>
        <w:t>escenario</w:t>
      </w:r>
      <w:r>
        <w:rPr>
          <w:spacing w:val="-7"/>
        </w:rPr>
        <w:t xml:space="preserve"> </w:t>
      </w:r>
      <w:r>
        <w:t>de</w:t>
      </w:r>
      <w:r>
        <w:rPr>
          <w:spacing w:val="-7"/>
        </w:rPr>
        <w:t xml:space="preserve"> </w:t>
      </w:r>
      <w:r>
        <w:t>la</w:t>
      </w:r>
      <w:r>
        <w:rPr>
          <w:spacing w:val="-7"/>
        </w:rPr>
        <w:t xml:space="preserve"> </w:t>
      </w:r>
      <w:r>
        <w:t>guerra</w:t>
      </w:r>
      <w:r>
        <w:rPr>
          <w:spacing w:val="-7"/>
        </w:rPr>
        <w:t xml:space="preserve"> </w:t>
      </w:r>
      <w:r>
        <w:t>en</w:t>
      </w:r>
      <w:r>
        <w:rPr>
          <w:spacing w:val="-8"/>
        </w:rPr>
        <w:t xml:space="preserve"> </w:t>
      </w:r>
      <w:r>
        <w:t>muchos</w:t>
      </w:r>
      <w:r>
        <w:rPr>
          <w:spacing w:val="-7"/>
        </w:rPr>
        <w:t xml:space="preserve"> </w:t>
      </w:r>
      <w:r>
        <w:t>territorios,</w:t>
      </w:r>
      <w:r>
        <w:rPr>
          <w:spacing w:val="-7"/>
        </w:rPr>
        <w:t xml:space="preserve"> </w:t>
      </w:r>
      <w:r>
        <w:t>ha</w:t>
      </w:r>
      <w:r>
        <w:rPr>
          <w:spacing w:val="-7"/>
        </w:rPr>
        <w:t xml:space="preserve"> </w:t>
      </w:r>
      <w:r>
        <w:t>habido</w:t>
      </w:r>
      <w:r>
        <w:rPr>
          <w:spacing w:val="-7"/>
        </w:rPr>
        <w:t xml:space="preserve"> </w:t>
      </w:r>
      <w:r>
        <w:t>un aumento en la violencia en esos lugares por la disputa de los</w:t>
      </w:r>
      <w:r>
        <w:rPr>
          <w:spacing w:val="-1"/>
        </w:rPr>
        <w:t xml:space="preserve"> </w:t>
      </w:r>
      <w:r>
        <w:t>armados que pretenden ocupar las zonas</w:t>
      </w:r>
      <w:r w:rsidR="00E013A2">
        <w:rPr>
          <w:rStyle w:val="Refdenotaalpie"/>
        </w:rPr>
        <w:footnoteReference w:id="734"/>
      </w:r>
      <w:r>
        <w:t>.</w:t>
      </w:r>
    </w:p>
    <w:p w:rsidR="003804AC" w:rsidRDefault="00AF18A5" w:rsidP="00E013A2">
      <w:r>
        <w:t>Los</w:t>
      </w:r>
      <w:r>
        <w:rPr>
          <w:spacing w:val="-1"/>
        </w:rPr>
        <w:t xml:space="preserve"> </w:t>
      </w:r>
      <w:r>
        <w:t>cambios</w:t>
      </w:r>
      <w:r>
        <w:rPr>
          <w:spacing w:val="-2"/>
        </w:rPr>
        <w:t xml:space="preserve"> </w:t>
      </w:r>
      <w:r>
        <w:t>actuales</w:t>
      </w:r>
      <w:r>
        <w:rPr>
          <w:spacing w:val="-1"/>
        </w:rPr>
        <w:t xml:space="preserve"> </w:t>
      </w:r>
      <w:r>
        <w:t>en</w:t>
      </w:r>
      <w:r>
        <w:rPr>
          <w:spacing w:val="-4"/>
        </w:rPr>
        <w:t xml:space="preserve"> </w:t>
      </w:r>
      <w:r>
        <w:t>los</w:t>
      </w:r>
      <w:r>
        <w:rPr>
          <w:spacing w:val="-1"/>
        </w:rPr>
        <w:t xml:space="preserve"> </w:t>
      </w:r>
      <w:r>
        <w:t>grupos</w:t>
      </w:r>
      <w:r>
        <w:rPr>
          <w:spacing w:val="-2"/>
        </w:rPr>
        <w:t xml:space="preserve"> </w:t>
      </w:r>
      <w:r>
        <w:t>armados</w:t>
      </w:r>
      <w:r>
        <w:rPr>
          <w:spacing w:val="-1"/>
        </w:rPr>
        <w:t xml:space="preserve"> </w:t>
      </w:r>
      <w:r>
        <w:t>y</w:t>
      </w:r>
      <w:r>
        <w:rPr>
          <w:spacing w:val="-2"/>
        </w:rPr>
        <w:t xml:space="preserve"> </w:t>
      </w:r>
      <w:r>
        <w:t>sus</w:t>
      </w:r>
      <w:r>
        <w:rPr>
          <w:spacing w:val="-1"/>
        </w:rPr>
        <w:t xml:space="preserve"> </w:t>
      </w:r>
      <w:r>
        <w:t>reglas</w:t>
      </w:r>
      <w:r>
        <w:rPr>
          <w:spacing w:val="-1"/>
        </w:rPr>
        <w:t xml:space="preserve"> </w:t>
      </w:r>
      <w:r>
        <w:t>de</w:t>
      </w:r>
      <w:r>
        <w:rPr>
          <w:spacing w:val="-2"/>
        </w:rPr>
        <w:t xml:space="preserve"> </w:t>
      </w:r>
      <w:r>
        <w:t>juego,</w:t>
      </w:r>
      <w:r>
        <w:rPr>
          <w:spacing w:val="-1"/>
        </w:rPr>
        <w:t xml:space="preserve"> </w:t>
      </w:r>
      <w:r>
        <w:t>la</w:t>
      </w:r>
      <w:r>
        <w:rPr>
          <w:spacing w:val="-2"/>
        </w:rPr>
        <w:t xml:space="preserve"> </w:t>
      </w:r>
      <w:r>
        <w:t>movilidad</w:t>
      </w:r>
      <w:r>
        <w:rPr>
          <w:spacing w:val="-1"/>
        </w:rPr>
        <w:t xml:space="preserve"> </w:t>
      </w:r>
      <w:r>
        <w:t>de</w:t>
      </w:r>
      <w:r>
        <w:rPr>
          <w:spacing w:val="-1"/>
        </w:rPr>
        <w:t xml:space="preserve"> </w:t>
      </w:r>
      <w:r>
        <w:t>estos, su número y la confrontación múltiple entre ellos incrementa la zozobra y el riesgo para la población campesina. En paralelo, los reclamos de la población rural organizada persisten: se</w:t>
      </w:r>
      <w:r>
        <w:rPr>
          <w:spacing w:val="-4"/>
        </w:rPr>
        <w:t xml:space="preserve"> </w:t>
      </w:r>
      <w:r>
        <w:t>exige</w:t>
      </w:r>
      <w:r>
        <w:rPr>
          <w:spacing w:val="-4"/>
        </w:rPr>
        <w:t xml:space="preserve"> </w:t>
      </w:r>
      <w:r>
        <w:t>el</w:t>
      </w:r>
      <w:r>
        <w:rPr>
          <w:spacing w:val="-4"/>
        </w:rPr>
        <w:t xml:space="preserve"> </w:t>
      </w:r>
      <w:r>
        <w:t>cumplimiento</w:t>
      </w:r>
      <w:r>
        <w:rPr>
          <w:spacing w:val="-6"/>
        </w:rPr>
        <w:t xml:space="preserve"> </w:t>
      </w:r>
      <w:r>
        <w:t>del</w:t>
      </w:r>
      <w:r>
        <w:rPr>
          <w:spacing w:val="-4"/>
        </w:rPr>
        <w:t xml:space="preserve"> </w:t>
      </w:r>
      <w:r>
        <w:t>Acuerdo,</w:t>
      </w:r>
      <w:r>
        <w:rPr>
          <w:spacing w:val="-5"/>
        </w:rPr>
        <w:t xml:space="preserve"> </w:t>
      </w:r>
      <w:r>
        <w:t>con</w:t>
      </w:r>
      <w:r>
        <w:rPr>
          <w:spacing w:val="-5"/>
        </w:rPr>
        <w:t xml:space="preserve"> </w:t>
      </w:r>
      <w:r>
        <w:t>particularidades</w:t>
      </w:r>
      <w:r>
        <w:rPr>
          <w:spacing w:val="-6"/>
        </w:rPr>
        <w:t xml:space="preserve"> </w:t>
      </w:r>
      <w:r>
        <w:t>referidas</w:t>
      </w:r>
      <w:r>
        <w:rPr>
          <w:spacing w:val="-6"/>
        </w:rPr>
        <w:t xml:space="preserve"> </w:t>
      </w:r>
      <w:r>
        <w:t>al</w:t>
      </w:r>
      <w:r>
        <w:rPr>
          <w:spacing w:val="-5"/>
        </w:rPr>
        <w:t xml:space="preserve"> </w:t>
      </w:r>
      <w:r>
        <w:t>cumplimiento</w:t>
      </w:r>
      <w:r>
        <w:rPr>
          <w:spacing w:val="-6"/>
        </w:rPr>
        <w:t xml:space="preserve"> </w:t>
      </w:r>
      <w:r>
        <w:t>de</w:t>
      </w:r>
      <w:r>
        <w:rPr>
          <w:spacing w:val="-4"/>
        </w:rPr>
        <w:t xml:space="preserve"> </w:t>
      </w:r>
      <w:r>
        <w:t>los acuerdos individuales y colectivos del Plan de Atención Inmediata (PAI) del Programa Nacional Integral de Sustitución (PNIS). Si bien el cumplimiento integral del Acuerdo de Paz es una base fundamental que hasta ahora no se ha desarrollado en gran parte, en este campo las alternativas deben extenderse no solo a los planes individuales o familiares, sino a establecer las condiciones locales y en dichos contextos para hacer que esas medidas no solo sean posibles, sino sostenibles en el tiempo.</w:t>
      </w:r>
    </w:p>
    <w:p w:rsidR="003804AC" w:rsidRDefault="00AF18A5" w:rsidP="00E013A2">
      <w:r>
        <w:t>Las</w:t>
      </w:r>
      <w:r>
        <w:rPr>
          <w:spacing w:val="-4"/>
        </w:rPr>
        <w:t xml:space="preserve"> </w:t>
      </w:r>
      <w:r>
        <w:t>recomendaciones</w:t>
      </w:r>
      <w:r>
        <w:rPr>
          <w:spacing w:val="-6"/>
        </w:rPr>
        <w:t xml:space="preserve"> </w:t>
      </w:r>
      <w:r>
        <w:t>de</w:t>
      </w:r>
      <w:r>
        <w:rPr>
          <w:spacing w:val="-4"/>
        </w:rPr>
        <w:t xml:space="preserve"> </w:t>
      </w:r>
      <w:r>
        <w:t>la</w:t>
      </w:r>
      <w:r>
        <w:rPr>
          <w:spacing w:val="-6"/>
        </w:rPr>
        <w:t xml:space="preserve"> </w:t>
      </w:r>
      <w:r>
        <w:t>Comisión</w:t>
      </w:r>
      <w:r>
        <w:rPr>
          <w:spacing w:val="-5"/>
        </w:rPr>
        <w:t xml:space="preserve"> </w:t>
      </w:r>
      <w:r>
        <w:t>van</w:t>
      </w:r>
      <w:r>
        <w:rPr>
          <w:spacing w:val="-5"/>
        </w:rPr>
        <w:t xml:space="preserve"> </w:t>
      </w:r>
      <w:r>
        <w:t>dirigidas</w:t>
      </w:r>
      <w:r>
        <w:rPr>
          <w:spacing w:val="-4"/>
        </w:rPr>
        <w:t xml:space="preserve"> </w:t>
      </w:r>
      <w:r>
        <w:t>a</w:t>
      </w:r>
      <w:r>
        <w:rPr>
          <w:spacing w:val="-6"/>
        </w:rPr>
        <w:t xml:space="preserve"> </w:t>
      </w:r>
      <w:r>
        <w:t>un</w:t>
      </w:r>
      <w:r>
        <w:rPr>
          <w:spacing w:val="-5"/>
        </w:rPr>
        <w:t xml:space="preserve"> </w:t>
      </w:r>
      <w:r>
        <w:t>cambio</w:t>
      </w:r>
      <w:r>
        <w:rPr>
          <w:spacing w:val="-5"/>
        </w:rPr>
        <w:t xml:space="preserve"> </w:t>
      </w:r>
      <w:r>
        <w:t>de</w:t>
      </w:r>
      <w:r>
        <w:rPr>
          <w:spacing w:val="-6"/>
        </w:rPr>
        <w:t xml:space="preserve"> </w:t>
      </w:r>
      <w:r>
        <w:lastRenderedPageBreak/>
        <w:t>paradigma</w:t>
      </w:r>
      <w:r>
        <w:rPr>
          <w:spacing w:val="-6"/>
        </w:rPr>
        <w:t xml:space="preserve"> </w:t>
      </w:r>
      <w:r>
        <w:t>que</w:t>
      </w:r>
      <w:r>
        <w:rPr>
          <w:spacing w:val="-6"/>
        </w:rPr>
        <w:t xml:space="preserve"> </w:t>
      </w:r>
      <w:r>
        <w:t>supere el prohibicionismo y permita transitar a otras formas de comprender y convivir con las drogas, pasando a una regulación de forma estricta y bajo unos principios específicos y de mercado justo para las comunidades rurales, un tratamiento de salud pública a los consumidores y una prevención social y educativa.</w:t>
      </w:r>
    </w:p>
    <w:p w:rsidR="003804AC" w:rsidRDefault="00AF18A5" w:rsidP="00E013A2">
      <w:r>
        <w:t>Se debe separar la política del narcotráfico y el modelo de Estado que ha construido nuestro</w:t>
      </w:r>
      <w:r>
        <w:rPr>
          <w:spacing w:val="-11"/>
        </w:rPr>
        <w:t xml:space="preserve"> </w:t>
      </w:r>
      <w:r>
        <w:t>país.</w:t>
      </w:r>
      <w:r>
        <w:rPr>
          <w:spacing w:val="-10"/>
        </w:rPr>
        <w:t xml:space="preserve"> </w:t>
      </w:r>
      <w:r>
        <w:t>Se</w:t>
      </w:r>
      <w:r>
        <w:rPr>
          <w:spacing w:val="-8"/>
        </w:rPr>
        <w:t xml:space="preserve"> </w:t>
      </w:r>
      <w:r>
        <w:t>necesita</w:t>
      </w:r>
      <w:r>
        <w:rPr>
          <w:spacing w:val="-10"/>
        </w:rPr>
        <w:t xml:space="preserve"> </w:t>
      </w:r>
      <w:r>
        <w:t>superar</w:t>
      </w:r>
      <w:r>
        <w:rPr>
          <w:spacing w:val="-9"/>
        </w:rPr>
        <w:t xml:space="preserve"> </w:t>
      </w:r>
      <w:r>
        <w:t>la</w:t>
      </w:r>
      <w:r>
        <w:rPr>
          <w:spacing w:val="-8"/>
        </w:rPr>
        <w:t xml:space="preserve"> </w:t>
      </w:r>
      <w:r>
        <w:t>visión</w:t>
      </w:r>
      <w:r>
        <w:rPr>
          <w:spacing w:val="-9"/>
        </w:rPr>
        <w:t xml:space="preserve"> </w:t>
      </w:r>
      <w:r>
        <w:t>de</w:t>
      </w:r>
      <w:r>
        <w:rPr>
          <w:spacing w:val="-8"/>
        </w:rPr>
        <w:t xml:space="preserve"> </w:t>
      </w:r>
      <w:r>
        <w:t>la</w:t>
      </w:r>
      <w:r>
        <w:rPr>
          <w:spacing w:val="-8"/>
        </w:rPr>
        <w:t xml:space="preserve"> </w:t>
      </w:r>
      <w:r>
        <w:t>guerra</w:t>
      </w:r>
      <w:r>
        <w:rPr>
          <w:spacing w:val="-8"/>
        </w:rPr>
        <w:t xml:space="preserve"> </w:t>
      </w:r>
      <w:r>
        <w:t>que</w:t>
      </w:r>
      <w:r>
        <w:rPr>
          <w:spacing w:val="-10"/>
        </w:rPr>
        <w:t xml:space="preserve"> </w:t>
      </w:r>
      <w:r>
        <w:t>lleva</w:t>
      </w:r>
      <w:r>
        <w:rPr>
          <w:spacing w:val="-8"/>
        </w:rPr>
        <w:t xml:space="preserve"> </w:t>
      </w:r>
      <w:r>
        <w:t>a</w:t>
      </w:r>
      <w:r>
        <w:rPr>
          <w:spacing w:val="-8"/>
        </w:rPr>
        <w:t xml:space="preserve"> </w:t>
      </w:r>
      <w:r>
        <w:t>buscar</w:t>
      </w:r>
      <w:r>
        <w:rPr>
          <w:spacing w:val="-8"/>
        </w:rPr>
        <w:t xml:space="preserve"> </w:t>
      </w:r>
      <w:r>
        <w:t>soluciones</w:t>
      </w:r>
      <w:r>
        <w:rPr>
          <w:spacing w:val="-8"/>
        </w:rPr>
        <w:t xml:space="preserve"> </w:t>
      </w:r>
      <w:r>
        <w:rPr>
          <w:spacing w:val="-2"/>
        </w:rPr>
        <w:t>militares</w:t>
      </w:r>
      <w:bookmarkStart w:id="921" w:name="_bookmark803"/>
      <w:bookmarkEnd w:id="921"/>
      <w:r w:rsidR="00E013A2">
        <w:rPr>
          <w:spacing w:val="-2"/>
        </w:rPr>
        <w:t xml:space="preserve"> </w:t>
      </w:r>
      <w:r>
        <w:t>desde</w:t>
      </w:r>
      <w:r>
        <w:rPr>
          <w:spacing w:val="-11"/>
        </w:rPr>
        <w:t xml:space="preserve"> </w:t>
      </w:r>
      <w:r>
        <w:t>hace</w:t>
      </w:r>
      <w:r>
        <w:rPr>
          <w:spacing w:val="-11"/>
        </w:rPr>
        <w:t xml:space="preserve"> </w:t>
      </w:r>
      <w:r>
        <w:t>décadas</w:t>
      </w:r>
      <w:r>
        <w:rPr>
          <w:spacing w:val="-11"/>
        </w:rPr>
        <w:t xml:space="preserve"> </w:t>
      </w:r>
      <w:r>
        <w:t>y</w:t>
      </w:r>
      <w:r>
        <w:rPr>
          <w:spacing w:val="-11"/>
        </w:rPr>
        <w:t xml:space="preserve"> </w:t>
      </w:r>
      <w:r>
        <w:t>que</w:t>
      </w:r>
      <w:r>
        <w:rPr>
          <w:spacing w:val="-12"/>
        </w:rPr>
        <w:t xml:space="preserve"> </w:t>
      </w:r>
      <w:r>
        <w:t>ha</w:t>
      </w:r>
      <w:r>
        <w:rPr>
          <w:spacing w:val="-11"/>
        </w:rPr>
        <w:t xml:space="preserve"> </w:t>
      </w:r>
      <w:r>
        <w:t>llevado</w:t>
      </w:r>
      <w:r>
        <w:rPr>
          <w:spacing w:val="-11"/>
        </w:rPr>
        <w:t xml:space="preserve"> </w:t>
      </w:r>
      <w:r>
        <w:t>a</w:t>
      </w:r>
      <w:r>
        <w:rPr>
          <w:spacing w:val="-12"/>
        </w:rPr>
        <w:t xml:space="preserve"> </w:t>
      </w:r>
      <w:r>
        <w:t>considerar</w:t>
      </w:r>
      <w:r>
        <w:rPr>
          <w:spacing w:val="-10"/>
        </w:rPr>
        <w:t xml:space="preserve"> </w:t>
      </w:r>
      <w:r>
        <w:t>a</w:t>
      </w:r>
      <w:r>
        <w:rPr>
          <w:spacing w:val="-12"/>
        </w:rPr>
        <w:t xml:space="preserve"> </w:t>
      </w:r>
      <w:r>
        <w:t>los</w:t>
      </w:r>
      <w:r>
        <w:rPr>
          <w:spacing w:val="-11"/>
        </w:rPr>
        <w:t xml:space="preserve"> </w:t>
      </w:r>
      <w:r>
        <w:t>campesinos</w:t>
      </w:r>
      <w:r>
        <w:rPr>
          <w:spacing w:val="-11"/>
        </w:rPr>
        <w:t xml:space="preserve"> </w:t>
      </w:r>
      <w:r>
        <w:t>cocaleros</w:t>
      </w:r>
      <w:r>
        <w:rPr>
          <w:spacing w:val="-11"/>
        </w:rPr>
        <w:t xml:space="preserve"> </w:t>
      </w:r>
      <w:r>
        <w:t>como</w:t>
      </w:r>
      <w:r>
        <w:rPr>
          <w:spacing w:val="-11"/>
        </w:rPr>
        <w:t xml:space="preserve"> </w:t>
      </w:r>
      <w:r>
        <w:t>enemigos y no ciudadanos. Se necesita una regulación pacífica donde los ingresos de este negocio vayan al Estado y no a la conformación y el fortalecimiento de ejércitos o grupos armados, dentro o fuera de la ley.</w:t>
      </w:r>
    </w:p>
    <w:p w:rsidR="00E013A2" w:rsidRDefault="00AF18A5" w:rsidP="00E013A2">
      <w:r>
        <w:t>La</w:t>
      </w:r>
      <w:r>
        <w:rPr>
          <w:spacing w:val="-10"/>
        </w:rPr>
        <w:t xml:space="preserve"> </w:t>
      </w:r>
      <w:r>
        <w:t>Comisión</w:t>
      </w:r>
      <w:r>
        <w:rPr>
          <w:spacing w:val="-11"/>
        </w:rPr>
        <w:t xml:space="preserve"> </w:t>
      </w:r>
      <w:r>
        <w:t>invita</w:t>
      </w:r>
      <w:r>
        <w:rPr>
          <w:spacing w:val="-10"/>
        </w:rPr>
        <w:t xml:space="preserve"> </w:t>
      </w:r>
      <w:r>
        <w:t>a</w:t>
      </w:r>
      <w:r>
        <w:rPr>
          <w:spacing w:val="-10"/>
        </w:rPr>
        <w:t xml:space="preserve"> </w:t>
      </w:r>
      <w:r>
        <w:t>reconocer</w:t>
      </w:r>
      <w:r>
        <w:rPr>
          <w:spacing w:val="-10"/>
        </w:rPr>
        <w:t xml:space="preserve"> </w:t>
      </w:r>
      <w:r>
        <w:t>y</w:t>
      </w:r>
      <w:r>
        <w:rPr>
          <w:spacing w:val="-11"/>
        </w:rPr>
        <w:t xml:space="preserve"> </w:t>
      </w:r>
      <w:r>
        <w:t>replantear</w:t>
      </w:r>
      <w:r>
        <w:rPr>
          <w:spacing w:val="-10"/>
        </w:rPr>
        <w:t xml:space="preserve"> </w:t>
      </w:r>
      <w:r>
        <w:t>el</w:t>
      </w:r>
      <w:r>
        <w:rPr>
          <w:spacing w:val="-10"/>
        </w:rPr>
        <w:t xml:space="preserve"> </w:t>
      </w:r>
      <w:r>
        <w:t>problema</w:t>
      </w:r>
      <w:r>
        <w:rPr>
          <w:spacing w:val="-10"/>
        </w:rPr>
        <w:t xml:space="preserve"> </w:t>
      </w:r>
      <w:r>
        <w:t>del</w:t>
      </w:r>
      <w:r>
        <w:rPr>
          <w:spacing w:val="-10"/>
        </w:rPr>
        <w:t xml:space="preserve"> </w:t>
      </w:r>
      <w:r>
        <w:t>narcotráfico</w:t>
      </w:r>
      <w:r>
        <w:rPr>
          <w:spacing w:val="-11"/>
        </w:rPr>
        <w:t xml:space="preserve"> </w:t>
      </w:r>
      <w:r>
        <w:t>y</w:t>
      </w:r>
      <w:r>
        <w:rPr>
          <w:spacing w:val="-11"/>
        </w:rPr>
        <w:t xml:space="preserve"> </w:t>
      </w:r>
      <w:r>
        <w:t>a</w:t>
      </w:r>
      <w:r>
        <w:rPr>
          <w:spacing w:val="-10"/>
        </w:rPr>
        <w:t xml:space="preserve"> </w:t>
      </w:r>
      <w:r>
        <w:t>encontrar</w:t>
      </w:r>
      <w:r>
        <w:rPr>
          <w:spacing w:val="-10"/>
        </w:rPr>
        <w:t xml:space="preserve"> </w:t>
      </w:r>
      <w:r>
        <w:t>los caminos políticos, económicos, éticos y jurídicos de salida en debates de fondo y procesos de concertación que permitan la comprensión, regulación e integración económica, social y política del narcotráfico.</w:t>
      </w:r>
    </w:p>
    <w:p w:rsidR="00E013A2" w:rsidRDefault="00E013A2">
      <w:pPr>
        <w:spacing w:before="0" w:after="0" w:line="240" w:lineRule="auto"/>
      </w:pPr>
      <w:r>
        <w:br w:type="page"/>
      </w:r>
    </w:p>
    <w:p w:rsidR="0011361F" w:rsidRDefault="00AF18A5" w:rsidP="004A6EF4">
      <w:pPr>
        <w:pStyle w:val="Ttulo2"/>
        <w:numPr>
          <w:ilvl w:val="0"/>
          <w:numId w:val="16"/>
        </w:numPr>
      </w:pPr>
      <w:bookmarkStart w:id="922" w:name="7._MODELO_DE_SEGURIDAD"/>
      <w:bookmarkStart w:id="923" w:name="_Toc112399615"/>
      <w:bookmarkEnd w:id="922"/>
      <w:r>
        <w:rPr>
          <w:w w:val="95"/>
        </w:rPr>
        <w:lastRenderedPageBreak/>
        <w:t>MODELO</w:t>
      </w:r>
      <w:r>
        <w:rPr>
          <w:spacing w:val="17"/>
        </w:rPr>
        <w:t xml:space="preserve"> </w:t>
      </w:r>
      <w:r>
        <w:rPr>
          <w:w w:val="95"/>
        </w:rPr>
        <w:t>DE</w:t>
      </w:r>
      <w:r>
        <w:rPr>
          <w:spacing w:val="16"/>
        </w:rPr>
        <w:t xml:space="preserve"> </w:t>
      </w:r>
      <w:r>
        <w:rPr>
          <w:spacing w:val="-2"/>
          <w:w w:val="95"/>
        </w:rPr>
        <w:t>SEGURIDAD</w:t>
      </w:r>
      <w:bookmarkEnd w:id="923"/>
    </w:p>
    <w:p w:rsidR="003804AC" w:rsidRDefault="00AF18A5" w:rsidP="0016372D">
      <w:r>
        <w:t>La guerra conllevó en Colombia un enorme sufrimiento social y humano durante décadas. No</w:t>
      </w:r>
      <w:r>
        <w:rPr>
          <w:spacing w:val="-4"/>
        </w:rPr>
        <w:t xml:space="preserve"> </w:t>
      </w:r>
      <w:r>
        <w:t>trajo</w:t>
      </w:r>
      <w:r>
        <w:rPr>
          <w:spacing w:val="-4"/>
        </w:rPr>
        <w:t xml:space="preserve"> </w:t>
      </w:r>
      <w:r>
        <w:t>a</w:t>
      </w:r>
      <w:r>
        <w:rPr>
          <w:spacing w:val="-3"/>
        </w:rPr>
        <w:t xml:space="preserve"> </w:t>
      </w:r>
      <w:r>
        <w:t>Colombia</w:t>
      </w:r>
      <w:r>
        <w:rPr>
          <w:spacing w:val="-3"/>
        </w:rPr>
        <w:t xml:space="preserve"> </w:t>
      </w:r>
      <w:r>
        <w:t>tranquilidad</w:t>
      </w:r>
      <w:r>
        <w:rPr>
          <w:spacing w:val="-4"/>
        </w:rPr>
        <w:t xml:space="preserve"> </w:t>
      </w:r>
      <w:r>
        <w:t>ni</w:t>
      </w:r>
      <w:r>
        <w:rPr>
          <w:spacing w:val="-3"/>
        </w:rPr>
        <w:t xml:space="preserve"> </w:t>
      </w:r>
      <w:r>
        <w:t>seguridad.</w:t>
      </w:r>
      <w:r>
        <w:rPr>
          <w:spacing w:val="-4"/>
        </w:rPr>
        <w:t xml:space="preserve"> </w:t>
      </w:r>
      <w:r>
        <w:t>No</w:t>
      </w:r>
      <w:r>
        <w:rPr>
          <w:spacing w:val="-4"/>
        </w:rPr>
        <w:t xml:space="preserve"> </w:t>
      </w:r>
      <w:r>
        <w:t>fue</w:t>
      </w:r>
      <w:r>
        <w:rPr>
          <w:spacing w:val="-3"/>
        </w:rPr>
        <w:t xml:space="preserve"> </w:t>
      </w:r>
      <w:r>
        <w:t>el</w:t>
      </w:r>
      <w:r>
        <w:rPr>
          <w:spacing w:val="-3"/>
        </w:rPr>
        <w:t xml:space="preserve"> </w:t>
      </w:r>
      <w:r>
        <w:t>camino</w:t>
      </w:r>
      <w:r>
        <w:rPr>
          <w:spacing w:val="-4"/>
        </w:rPr>
        <w:t xml:space="preserve"> </w:t>
      </w:r>
      <w:r>
        <w:t>para</w:t>
      </w:r>
      <w:r>
        <w:rPr>
          <w:spacing w:val="-3"/>
        </w:rPr>
        <w:t xml:space="preserve"> </w:t>
      </w:r>
      <w:r>
        <w:t>unir</w:t>
      </w:r>
      <w:r>
        <w:rPr>
          <w:spacing w:val="-4"/>
        </w:rPr>
        <w:t xml:space="preserve"> </w:t>
      </w:r>
      <w:r>
        <w:t>territorios</w:t>
      </w:r>
      <w:r>
        <w:rPr>
          <w:spacing w:val="-3"/>
        </w:rPr>
        <w:t xml:space="preserve"> </w:t>
      </w:r>
      <w:r>
        <w:t>ni</w:t>
      </w:r>
      <w:r>
        <w:rPr>
          <w:spacing w:val="-3"/>
        </w:rPr>
        <w:t xml:space="preserve"> </w:t>
      </w:r>
      <w:r>
        <w:t>para recuperar</w:t>
      </w:r>
      <w:r>
        <w:rPr>
          <w:spacing w:val="-3"/>
        </w:rPr>
        <w:t xml:space="preserve"> </w:t>
      </w:r>
      <w:r>
        <w:t>la</w:t>
      </w:r>
      <w:r>
        <w:rPr>
          <w:spacing w:val="-4"/>
        </w:rPr>
        <w:t xml:space="preserve"> </w:t>
      </w:r>
      <w:r>
        <w:t>confianza</w:t>
      </w:r>
      <w:r>
        <w:rPr>
          <w:spacing w:val="-3"/>
        </w:rPr>
        <w:t xml:space="preserve"> </w:t>
      </w:r>
      <w:r>
        <w:t>colectiva,</w:t>
      </w:r>
      <w:r>
        <w:rPr>
          <w:spacing w:val="-3"/>
        </w:rPr>
        <w:t xml:space="preserve"> </w:t>
      </w:r>
      <w:r>
        <w:t>tampoco</w:t>
      </w:r>
      <w:r>
        <w:rPr>
          <w:spacing w:val="-3"/>
        </w:rPr>
        <w:t xml:space="preserve"> </w:t>
      </w:r>
      <w:r>
        <w:t>generó</w:t>
      </w:r>
      <w:r>
        <w:rPr>
          <w:spacing w:val="-5"/>
        </w:rPr>
        <w:t xml:space="preserve"> </w:t>
      </w:r>
      <w:r>
        <w:t>los</w:t>
      </w:r>
      <w:r>
        <w:rPr>
          <w:spacing w:val="-3"/>
        </w:rPr>
        <w:t xml:space="preserve"> </w:t>
      </w:r>
      <w:r>
        <w:t>cambios</w:t>
      </w:r>
      <w:r>
        <w:rPr>
          <w:spacing w:val="-4"/>
        </w:rPr>
        <w:t xml:space="preserve"> </w:t>
      </w:r>
      <w:r>
        <w:t>hacia</w:t>
      </w:r>
      <w:r>
        <w:rPr>
          <w:spacing w:val="-3"/>
        </w:rPr>
        <w:t xml:space="preserve"> </w:t>
      </w:r>
      <w:r>
        <w:t>la</w:t>
      </w:r>
      <w:r>
        <w:rPr>
          <w:spacing w:val="-3"/>
        </w:rPr>
        <w:t xml:space="preserve"> </w:t>
      </w:r>
      <w:r>
        <w:t>igualdad</w:t>
      </w:r>
      <w:r>
        <w:rPr>
          <w:spacing w:val="-3"/>
        </w:rPr>
        <w:t xml:space="preserve"> </w:t>
      </w:r>
      <w:r>
        <w:t>y</w:t>
      </w:r>
      <w:r>
        <w:rPr>
          <w:spacing w:val="-3"/>
        </w:rPr>
        <w:t xml:space="preserve"> </w:t>
      </w:r>
      <w:r>
        <w:t>la</w:t>
      </w:r>
      <w:r>
        <w:rPr>
          <w:spacing w:val="-3"/>
        </w:rPr>
        <w:t xml:space="preserve"> </w:t>
      </w:r>
      <w:r>
        <w:t>equidad económica y el acceso a las tierras que pretendían los insurgentes, sino que agravó las injusticias estructurales. Después de 60 años de guerra inútil, Colombia no puede seguir poniendo la seguridad en las armas.</w:t>
      </w:r>
    </w:p>
    <w:p w:rsidR="003804AC" w:rsidRDefault="00AF18A5" w:rsidP="00757EBB">
      <w:r>
        <w:t>El sistema de seguridad vigente hasta ahora –a pesar de todos los ajustes que se le han hecho y del acuerdo de paz irreversible entre el Estado y las Fuerzas Armadas Revolucionarias</w:t>
      </w:r>
      <w:r>
        <w:rPr>
          <w:spacing w:val="-15"/>
        </w:rPr>
        <w:t xml:space="preserve"> </w:t>
      </w:r>
      <w:r>
        <w:t>de</w:t>
      </w:r>
      <w:r>
        <w:rPr>
          <w:spacing w:val="-13"/>
        </w:rPr>
        <w:t xml:space="preserve"> </w:t>
      </w:r>
      <w:r>
        <w:t>Colombia-Ejército</w:t>
      </w:r>
      <w:r>
        <w:rPr>
          <w:spacing w:val="-13"/>
        </w:rPr>
        <w:t xml:space="preserve"> </w:t>
      </w:r>
      <w:r>
        <w:t>del</w:t>
      </w:r>
      <w:r>
        <w:rPr>
          <w:spacing w:val="-12"/>
        </w:rPr>
        <w:t xml:space="preserve"> </w:t>
      </w:r>
      <w:r>
        <w:t>Pueblo</w:t>
      </w:r>
      <w:r>
        <w:rPr>
          <w:spacing w:val="-14"/>
        </w:rPr>
        <w:t xml:space="preserve"> </w:t>
      </w:r>
      <w:r>
        <w:t>(FARC-EP)–</w:t>
      </w:r>
      <w:r>
        <w:rPr>
          <w:spacing w:val="-13"/>
        </w:rPr>
        <w:t xml:space="preserve"> </w:t>
      </w:r>
      <w:r>
        <w:t>no</w:t>
      </w:r>
      <w:r>
        <w:rPr>
          <w:spacing w:val="-12"/>
        </w:rPr>
        <w:t xml:space="preserve"> </w:t>
      </w:r>
      <w:r>
        <w:t>ha</w:t>
      </w:r>
      <w:r>
        <w:rPr>
          <w:spacing w:val="-13"/>
        </w:rPr>
        <w:t xml:space="preserve"> </w:t>
      </w:r>
      <w:r>
        <w:t>logrado</w:t>
      </w:r>
      <w:r>
        <w:rPr>
          <w:spacing w:val="-13"/>
        </w:rPr>
        <w:t xml:space="preserve"> </w:t>
      </w:r>
      <w:r>
        <w:t>seguridad</w:t>
      </w:r>
      <w:r>
        <w:rPr>
          <w:spacing w:val="-13"/>
        </w:rPr>
        <w:t xml:space="preserve"> </w:t>
      </w:r>
      <w:r>
        <w:rPr>
          <w:spacing w:val="-4"/>
        </w:rPr>
        <w:t>para</w:t>
      </w:r>
      <w:r w:rsidR="00757EBB">
        <w:t xml:space="preserve"> </w:t>
      </w:r>
      <w:r>
        <w:t>la</w:t>
      </w:r>
      <w:r>
        <w:rPr>
          <w:spacing w:val="-6"/>
        </w:rPr>
        <w:t xml:space="preserve"> </w:t>
      </w:r>
      <w:r>
        <w:t>vida</w:t>
      </w:r>
      <w:r>
        <w:rPr>
          <w:spacing w:val="-6"/>
        </w:rPr>
        <w:t xml:space="preserve"> </w:t>
      </w:r>
      <w:r>
        <w:t>de</w:t>
      </w:r>
      <w:r>
        <w:rPr>
          <w:spacing w:val="-6"/>
        </w:rPr>
        <w:t xml:space="preserve"> </w:t>
      </w:r>
      <w:r>
        <w:t>los</w:t>
      </w:r>
      <w:r>
        <w:rPr>
          <w:spacing w:val="-6"/>
        </w:rPr>
        <w:t xml:space="preserve"> </w:t>
      </w:r>
      <w:r>
        <w:t>ciudadanos,</w:t>
      </w:r>
      <w:r>
        <w:rPr>
          <w:spacing w:val="-6"/>
        </w:rPr>
        <w:t xml:space="preserve"> </w:t>
      </w:r>
      <w:r>
        <w:t>las</w:t>
      </w:r>
      <w:r>
        <w:rPr>
          <w:spacing w:val="-6"/>
        </w:rPr>
        <w:t xml:space="preserve"> </w:t>
      </w:r>
      <w:r>
        <w:t>instituciones,</w:t>
      </w:r>
      <w:r>
        <w:rPr>
          <w:spacing w:val="-6"/>
        </w:rPr>
        <w:t xml:space="preserve"> </w:t>
      </w:r>
      <w:r>
        <w:t>la</w:t>
      </w:r>
      <w:r>
        <w:rPr>
          <w:spacing w:val="-6"/>
        </w:rPr>
        <w:t xml:space="preserve"> </w:t>
      </w:r>
      <w:r>
        <w:t>naturaleza</w:t>
      </w:r>
      <w:r>
        <w:rPr>
          <w:spacing w:val="-6"/>
        </w:rPr>
        <w:t xml:space="preserve"> </w:t>
      </w:r>
      <w:r>
        <w:t>ni</w:t>
      </w:r>
      <w:r>
        <w:rPr>
          <w:spacing w:val="-7"/>
        </w:rPr>
        <w:t xml:space="preserve"> </w:t>
      </w:r>
      <w:r>
        <w:t>la</w:t>
      </w:r>
      <w:r>
        <w:rPr>
          <w:spacing w:val="-6"/>
        </w:rPr>
        <w:t xml:space="preserve"> </w:t>
      </w:r>
      <w:r>
        <w:t>economía.</w:t>
      </w:r>
      <w:r>
        <w:rPr>
          <w:spacing w:val="-6"/>
        </w:rPr>
        <w:t xml:space="preserve"> </w:t>
      </w:r>
      <w:r>
        <w:t>Lo</w:t>
      </w:r>
      <w:r>
        <w:rPr>
          <w:spacing w:val="-6"/>
        </w:rPr>
        <w:t xml:space="preserve"> </w:t>
      </w:r>
      <w:r>
        <w:t>demuestran</w:t>
      </w:r>
      <w:r>
        <w:rPr>
          <w:spacing w:val="-6"/>
        </w:rPr>
        <w:t xml:space="preserve"> </w:t>
      </w:r>
      <w:r>
        <w:t>más de nueve millones de víctimas, de las cuales el 90</w:t>
      </w:r>
      <w:r>
        <w:rPr>
          <w:spacing w:val="-2"/>
        </w:rPr>
        <w:t xml:space="preserve"> </w:t>
      </w:r>
      <w:r>
        <w:t>% son civiles: cerca de 450.664 personas muertas</w:t>
      </w:r>
      <w:r>
        <w:rPr>
          <w:spacing w:val="-7"/>
        </w:rPr>
        <w:t xml:space="preserve"> </w:t>
      </w:r>
      <w:r>
        <w:t>y</w:t>
      </w:r>
      <w:r>
        <w:rPr>
          <w:spacing w:val="-8"/>
        </w:rPr>
        <w:t xml:space="preserve"> </w:t>
      </w:r>
      <w:r>
        <w:t>121.768</w:t>
      </w:r>
      <w:r>
        <w:rPr>
          <w:spacing w:val="-7"/>
        </w:rPr>
        <w:t xml:space="preserve"> </w:t>
      </w:r>
      <w:r>
        <w:t>desaparecidas,</w:t>
      </w:r>
      <w:r>
        <w:rPr>
          <w:spacing w:val="-7"/>
        </w:rPr>
        <w:t xml:space="preserve"> </w:t>
      </w:r>
      <w:r>
        <w:t>así</w:t>
      </w:r>
      <w:r>
        <w:rPr>
          <w:spacing w:val="-7"/>
        </w:rPr>
        <w:t xml:space="preserve"> </w:t>
      </w:r>
      <w:r>
        <w:t>como</w:t>
      </w:r>
      <w:r>
        <w:rPr>
          <w:spacing w:val="-7"/>
        </w:rPr>
        <w:t xml:space="preserve"> </w:t>
      </w:r>
      <w:r>
        <w:t>millones</w:t>
      </w:r>
      <w:r>
        <w:rPr>
          <w:spacing w:val="-7"/>
        </w:rPr>
        <w:t xml:space="preserve"> </w:t>
      </w:r>
      <w:r>
        <w:t>desplazadas,</w:t>
      </w:r>
      <w:r>
        <w:rPr>
          <w:spacing w:val="-7"/>
        </w:rPr>
        <w:t xml:space="preserve"> </w:t>
      </w:r>
      <w:r>
        <w:t>muchas</w:t>
      </w:r>
      <w:r>
        <w:rPr>
          <w:spacing w:val="-8"/>
        </w:rPr>
        <w:t xml:space="preserve"> </w:t>
      </w:r>
      <w:r>
        <w:t>hoy</w:t>
      </w:r>
      <w:r>
        <w:rPr>
          <w:spacing w:val="-7"/>
        </w:rPr>
        <w:t xml:space="preserve"> </w:t>
      </w:r>
      <w:r>
        <w:t>en</w:t>
      </w:r>
      <w:r>
        <w:rPr>
          <w:spacing w:val="-7"/>
        </w:rPr>
        <w:t xml:space="preserve"> </w:t>
      </w:r>
      <w:r>
        <w:t>el</w:t>
      </w:r>
      <w:r>
        <w:rPr>
          <w:spacing w:val="-7"/>
        </w:rPr>
        <w:t xml:space="preserve"> </w:t>
      </w:r>
      <w:r>
        <w:t>exilio,</w:t>
      </w:r>
      <w:r>
        <w:rPr>
          <w:spacing w:val="-7"/>
        </w:rPr>
        <w:t xml:space="preserve"> </w:t>
      </w:r>
      <w:r>
        <w:t xml:space="preserve">y miles secuestradas, violadas o torturadas. </w:t>
      </w:r>
      <w:r>
        <w:rPr>
          <w:color w:val="000009"/>
        </w:rPr>
        <w:t>Las violaciones de los derechos humanos y las infracciones</w:t>
      </w:r>
      <w:r>
        <w:rPr>
          <w:color w:val="000009"/>
          <w:spacing w:val="-11"/>
        </w:rPr>
        <w:t xml:space="preserve"> </w:t>
      </w:r>
      <w:r>
        <w:rPr>
          <w:color w:val="000009"/>
        </w:rPr>
        <w:t>al</w:t>
      </w:r>
      <w:r>
        <w:rPr>
          <w:color w:val="000009"/>
          <w:spacing w:val="-10"/>
        </w:rPr>
        <w:t xml:space="preserve"> </w:t>
      </w:r>
      <w:r>
        <w:rPr>
          <w:color w:val="000009"/>
        </w:rPr>
        <w:t>derecho</w:t>
      </w:r>
      <w:r>
        <w:rPr>
          <w:color w:val="000009"/>
          <w:spacing w:val="-12"/>
        </w:rPr>
        <w:t xml:space="preserve"> </w:t>
      </w:r>
      <w:r>
        <w:rPr>
          <w:color w:val="000009"/>
        </w:rPr>
        <w:t>internacional</w:t>
      </w:r>
      <w:r>
        <w:rPr>
          <w:color w:val="000009"/>
          <w:spacing w:val="-11"/>
        </w:rPr>
        <w:t xml:space="preserve"> </w:t>
      </w:r>
      <w:r>
        <w:rPr>
          <w:color w:val="000009"/>
        </w:rPr>
        <w:t>humanitario</w:t>
      </w:r>
      <w:r>
        <w:rPr>
          <w:color w:val="000009"/>
          <w:spacing w:val="-12"/>
        </w:rPr>
        <w:t xml:space="preserve"> </w:t>
      </w:r>
      <w:r>
        <w:rPr>
          <w:color w:val="000009"/>
        </w:rPr>
        <w:t>(DIH)</w:t>
      </w:r>
      <w:r>
        <w:rPr>
          <w:color w:val="000009"/>
          <w:spacing w:val="-10"/>
        </w:rPr>
        <w:t xml:space="preserve"> </w:t>
      </w:r>
      <w:r>
        <w:t>han</w:t>
      </w:r>
      <w:r>
        <w:rPr>
          <w:spacing w:val="-12"/>
        </w:rPr>
        <w:t xml:space="preserve"> </w:t>
      </w:r>
      <w:r>
        <w:t>afectado</w:t>
      </w:r>
      <w:r>
        <w:rPr>
          <w:spacing w:val="-12"/>
        </w:rPr>
        <w:t xml:space="preserve"> </w:t>
      </w:r>
      <w:r>
        <w:t>directamente</w:t>
      </w:r>
      <w:r>
        <w:rPr>
          <w:spacing w:val="-10"/>
        </w:rPr>
        <w:t xml:space="preserve"> </w:t>
      </w:r>
      <w:r>
        <w:t>al</w:t>
      </w:r>
      <w:r>
        <w:rPr>
          <w:spacing w:val="-10"/>
        </w:rPr>
        <w:t xml:space="preserve"> </w:t>
      </w:r>
      <w:r>
        <w:t>menos al 20</w:t>
      </w:r>
      <w:r>
        <w:rPr>
          <w:spacing w:val="-2"/>
        </w:rPr>
        <w:t xml:space="preserve"> </w:t>
      </w:r>
      <w:r>
        <w:t>% de la población colombiana. Casi ninguna familia colombiana ha escapado a la violencia. Aunque la mayor victimización y daños los han sufrido personas y comunidades campesinas, así como indígenas y afrocolombianas, mujeres, niñas y niños, la violencia también</w:t>
      </w:r>
      <w:r>
        <w:rPr>
          <w:spacing w:val="-8"/>
        </w:rPr>
        <w:t xml:space="preserve"> </w:t>
      </w:r>
      <w:r>
        <w:t>ha</w:t>
      </w:r>
      <w:r>
        <w:rPr>
          <w:spacing w:val="-9"/>
        </w:rPr>
        <w:t xml:space="preserve"> </w:t>
      </w:r>
      <w:r>
        <w:t>afectado</w:t>
      </w:r>
      <w:r>
        <w:rPr>
          <w:spacing w:val="-8"/>
        </w:rPr>
        <w:t xml:space="preserve"> </w:t>
      </w:r>
      <w:r>
        <w:t>a</w:t>
      </w:r>
      <w:r>
        <w:rPr>
          <w:spacing w:val="-9"/>
        </w:rPr>
        <w:t xml:space="preserve"> </w:t>
      </w:r>
      <w:r>
        <w:t>sectores</w:t>
      </w:r>
      <w:r>
        <w:rPr>
          <w:spacing w:val="-9"/>
        </w:rPr>
        <w:t xml:space="preserve"> </w:t>
      </w:r>
      <w:r>
        <w:t>con</w:t>
      </w:r>
      <w:r>
        <w:rPr>
          <w:spacing w:val="-8"/>
        </w:rPr>
        <w:t xml:space="preserve"> </w:t>
      </w:r>
      <w:r>
        <w:t>poder</w:t>
      </w:r>
      <w:r>
        <w:rPr>
          <w:spacing w:val="-8"/>
        </w:rPr>
        <w:t xml:space="preserve"> </w:t>
      </w:r>
      <w:r>
        <w:t>político</w:t>
      </w:r>
      <w:r>
        <w:rPr>
          <w:spacing w:val="-9"/>
        </w:rPr>
        <w:t xml:space="preserve"> </w:t>
      </w:r>
      <w:r>
        <w:t>y</w:t>
      </w:r>
      <w:r>
        <w:rPr>
          <w:spacing w:val="-8"/>
        </w:rPr>
        <w:t xml:space="preserve"> </w:t>
      </w:r>
      <w:r>
        <w:t>económico.</w:t>
      </w:r>
      <w:r>
        <w:rPr>
          <w:spacing w:val="-8"/>
        </w:rPr>
        <w:t xml:space="preserve"> </w:t>
      </w:r>
      <w:r>
        <w:t>Miles</w:t>
      </w:r>
      <w:r>
        <w:rPr>
          <w:spacing w:val="-8"/>
        </w:rPr>
        <w:t xml:space="preserve"> </w:t>
      </w:r>
      <w:r>
        <w:t>de</w:t>
      </w:r>
      <w:r>
        <w:rPr>
          <w:spacing w:val="-10"/>
        </w:rPr>
        <w:t xml:space="preserve"> </w:t>
      </w:r>
      <w:r>
        <w:t>millones</w:t>
      </w:r>
      <w:r>
        <w:rPr>
          <w:spacing w:val="-8"/>
        </w:rPr>
        <w:t xml:space="preserve"> </w:t>
      </w:r>
      <w:r>
        <w:t>de</w:t>
      </w:r>
      <w:r>
        <w:rPr>
          <w:spacing w:val="-9"/>
        </w:rPr>
        <w:t xml:space="preserve"> </w:t>
      </w:r>
      <w:r>
        <w:t xml:space="preserve">dólares utilizados y perdidos en la guerra, tierras abandonadas, infraestructura, oleoductos y empresas destruidas. Esto se da en un país que tiene, posiblemente, el aparato de seguridad y defensa militar y policivo más grande, costoso y mejor entrenado y dotado de todo el </w:t>
      </w:r>
      <w:r>
        <w:lastRenderedPageBreak/>
        <w:t>continente, después del de Estados Unidos.</w:t>
      </w:r>
    </w:p>
    <w:p w:rsidR="003804AC" w:rsidRDefault="00AF18A5" w:rsidP="00757EBB">
      <w:r>
        <w:t>Tenemos</w:t>
      </w:r>
      <w:r>
        <w:rPr>
          <w:spacing w:val="28"/>
        </w:rPr>
        <w:t xml:space="preserve"> </w:t>
      </w:r>
      <w:r>
        <w:t>un</w:t>
      </w:r>
      <w:r>
        <w:rPr>
          <w:spacing w:val="29"/>
        </w:rPr>
        <w:t xml:space="preserve"> </w:t>
      </w:r>
      <w:r>
        <w:t>sistema</w:t>
      </w:r>
      <w:r>
        <w:rPr>
          <w:spacing w:val="29"/>
        </w:rPr>
        <w:t xml:space="preserve"> </w:t>
      </w:r>
      <w:r>
        <w:t>que</w:t>
      </w:r>
      <w:r>
        <w:rPr>
          <w:spacing w:val="30"/>
        </w:rPr>
        <w:t xml:space="preserve"> </w:t>
      </w:r>
      <w:r>
        <w:t>junta</w:t>
      </w:r>
      <w:r>
        <w:rPr>
          <w:spacing w:val="30"/>
        </w:rPr>
        <w:t xml:space="preserve"> </w:t>
      </w:r>
      <w:r>
        <w:t>la</w:t>
      </w:r>
      <w:r>
        <w:rPr>
          <w:spacing w:val="30"/>
        </w:rPr>
        <w:t xml:space="preserve"> </w:t>
      </w:r>
      <w:r>
        <w:t>seguridad</w:t>
      </w:r>
      <w:r>
        <w:rPr>
          <w:spacing w:val="29"/>
        </w:rPr>
        <w:t xml:space="preserve"> </w:t>
      </w:r>
      <w:r>
        <w:t>y</w:t>
      </w:r>
      <w:r>
        <w:rPr>
          <w:spacing w:val="30"/>
        </w:rPr>
        <w:t xml:space="preserve"> </w:t>
      </w:r>
      <w:r>
        <w:t>la</w:t>
      </w:r>
      <w:r>
        <w:rPr>
          <w:spacing w:val="30"/>
        </w:rPr>
        <w:t xml:space="preserve"> </w:t>
      </w:r>
      <w:r>
        <w:t>defensa</w:t>
      </w:r>
      <w:r>
        <w:rPr>
          <w:spacing w:val="30"/>
        </w:rPr>
        <w:t xml:space="preserve"> </w:t>
      </w:r>
      <w:r>
        <w:t>en</w:t>
      </w:r>
      <w:r>
        <w:rPr>
          <w:spacing w:val="30"/>
        </w:rPr>
        <w:t xml:space="preserve"> </w:t>
      </w:r>
      <w:r>
        <w:t>dos</w:t>
      </w:r>
      <w:r>
        <w:rPr>
          <w:spacing w:val="30"/>
        </w:rPr>
        <w:t xml:space="preserve"> </w:t>
      </w:r>
      <w:r>
        <w:t>fronteras.</w:t>
      </w:r>
      <w:r>
        <w:rPr>
          <w:spacing w:val="30"/>
        </w:rPr>
        <w:t xml:space="preserve"> </w:t>
      </w:r>
      <w:r>
        <w:t>La</w:t>
      </w:r>
      <w:r>
        <w:rPr>
          <w:spacing w:val="29"/>
        </w:rPr>
        <w:t xml:space="preserve"> </w:t>
      </w:r>
      <w:r>
        <w:rPr>
          <w:spacing w:val="-2"/>
        </w:rPr>
        <w:t>frontera</w:t>
      </w:r>
      <w:r w:rsidR="00757EBB">
        <w:t xml:space="preserve"> </w:t>
      </w:r>
      <w:r>
        <w:t>externa de los países vecinos y la interna respecto a los grupos insurgentes y los civiles considerados</w:t>
      </w:r>
      <w:r>
        <w:rPr>
          <w:spacing w:val="-6"/>
        </w:rPr>
        <w:t xml:space="preserve"> </w:t>
      </w:r>
      <w:r>
        <w:t>aliados</w:t>
      </w:r>
      <w:r>
        <w:rPr>
          <w:spacing w:val="-6"/>
        </w:rPr>
        <w:t xml:space="preserve"> </w:t>
      </w:r>
      <w:r>
        <w:t>de</w:t>
      </w:r>
      <w:r>
        <w:rPr>
          <w:spacing w:val="-7"/>
        </w:rPr>
        <w:t xml:space="preserve"> </w:t>
      </w:r>
      <w:r>
        <w:t>la</w:t>
      </w:r>
      <w:r>
        <w:rPr>
          <w:spacing w:val="-6"/>
        </w:rPr>
        <w:t xml:space="preserve"> </w:t>
      </w:r>
      <w:r>
        <w:t>insurgencia;</w:t>
      </w:r>
      <w:r>
        <w:rPr>
          <w:spacing w:val="-6"/>
        </w:rPr>
        <w:t xml:space="preserve"> </w:t>
      </w:r>
      <w:r>
        <w:t>y</w:t>
      </w:r>
      <w:r>
        <w:rPr>
          <w:spacing w:val="-6"/>
        </w:rPr>
        <w:t xml:space="preserve"> </w:t>
      </w:r>
      <w:r>
        <w:t>donde</w:t>
      </w:r>
      <w:r>
        <w:rPr>
          <w:spacing w:val="-6"/>
        </w:rPr>
        <w:t xml:space="preserve"> </w:t>
      </w:r>
      <w:r>
        <w:t>el</w:t>
      </w:r>
      <w:r>
        <w:rPr>
          <w:spacing w:val="-6"/>
        </w:rPr>
        <w:t xml:space="preserve"> </w:t>
      </w:r>
      <w:r>
        <w:t>énfasis</w:t>
      </w:r>
      <w:r>
        <w:rPr>
          <w:spacing w:val="-6"/>
        </w:rPr>
        <w:t xml:space="preserve"> </w:t>
      </w:r>
      <w:r>
        <w:t>se</w:t>
      </w:r>
      <w:r>
        <w:rPr>
          <w:spacing w:val="-6"/>
        </w:rPr>
        <w:t xml:space="preserve"> </w:t>
      </w:r>
      <w:r>
        <w:t>ha</w:t>
      </w:r>
      <w:r>
        <w:rPr>
          <w:spacing w:val="-6"/>
        </w:rPr>
        <w:t xml:space="preserve"> </w:t>
      </w:r>
      <w:r>
        <w:t>puesto</w:t>
      </w:r>
      <w:r>
        <w:rPr>
          <w:spacing w:val="-6"/>
        </w:rPr>
        <w:t xml:space="preserve"> </w:t>
      </w:r>
      <w:r>
        <w:t>en</w:t>
      </w:r>
      <w:r>
        <w:rPr>
          <w:spacing w:val="-6"/>
        </w:rPr>
        <w:t xml:space="preserve"> </w:t>
      </w:r>
      <w:r>
        <w:t>la</w:t>
      </w:r>
      <w:r>
        <w:rPr>
          <w:spacing w:val="-6"/>
        </w:rPr>
        <w:t xml:space="preserve"> </w:t>
      </w:r>
      <w:r>
        <w:t>frontera</w:t>
      </w:r>
      <w:r>
        <w:rPr>
          <w:spacing w:val="-7"/>
        </w:rPr>
        <w:t xml:space="preserve"> </w:t>
      </w:r>
      <w:r>
        <w:t>interna. En un país que ha optado por la paz, la seguridad debe ser líder en la construcción de convivencia</w:t>
      </w:r>
      <w:r>
        <w:rPr>
          <w:spacing w:val="-2"/>
        </w:rPr>
        <w:t xml:space="preserve"> </w:t>
      </w:r>
      <w:r>
        <w:t>y</w:t>
      </w:r>
      <w:r>
        <w:rPr>
          <w:spacing w:val="-1"/>
        </w:rPr>
        <w:t xml:space="preserve"> </w:t>
      </w:r>
      <w:r>
        <w:t>salirse</w:t>
      </w:r>
      <w:r>
        <w:rPr>
          <w:spacing w:val="-1"/>
        </w:rPr>
        <w:t xml:space="preserve"> </w:t>
      </w:r>
      <w:r>
        <w:t>de</w:t>
      </w:r>
      <w:r>
        <w:rPr>
          <w:spacing w:val="-2"/>
        </w:rPr>
        <w:t xml:space="preserve"> </w:t>
      </w:r>
      <w:r>
        <w:t>la</w:t>
      </w:r>
      <w:r>
        <w:rPr>
          <w:spacing w:val="-1"/>
        </w:rPr>
        <w:t xml:space="preserve"> </w:t>
      </w:r>
      <w:r>
        <w:t>idea</w:t>
      </w:r>
      <w:r>
        <w:rPr>
          <w:spacing w:val="-1"/>
        </w:rPr>
        <w:t xml:space="preserve"> </w:t>
      </w:r>
      <w:r>
        <w:t>del</w:t>
      </w:r>
      <w:r>
        <w:rPr>
          <w:spacing w:val="-1"/>
        </w:rPr>
        <w:t xml:space="preserve"> </w:t>
      </w:r>
      <w:r>
        <w:t>enemigo</w:t>
      </w:r>
      <w:r>
        <w:rPr>
          <w:spacing w:val="-1"/>
        </w:rPr>
        <w:t xml:space="preserve"> </w:t>
      </w:r>
      <w:r>
        <w:t>interno</w:t>
      </w:r>
      <w:r>
        <w:rPr>
          <w:spacing w:val="-1"/>
        </w:rPr>
        <w:t xml:space="preserve"> </w:t>
      </w:r>
      <w:r>
        <w:t>y</w:t>
      </w:r>
      <w:r>
        <w:rPr>
          <w:spacing w:val="-1"/>
        </w:rPr>
        <w:t xml:space="preserve"> </w:t>
      </w:r>
      <w:r>
        <w:t>de</w:t>
      </w:r>
      <w:r>
        <w:rPr>
          <w:spacing w:val="-1"/>
        </w:rPr>
        <w:t xml:space="preserve"> </w:t>
      </w:r>
      <w:r>
        <w:t>la</w:t>
      </w:r>
      <w:r>
        <w:rPr>
          <w:spacing w:val="-1"/>
        </w:rPr>
        <w:t xml:space="preserve"> </w:t>
      </w:r>
      <w:r>
        <w:t>guerra</w:t>
      </w:r>
      <w:r>
        <w:rPr>
          <w:spacing w:val="-1"/>
        </w:rPr>
        <w:t xml:space="preserve"> </w:t>
      </w:r>
      <w:r>
        <w:t>en</w:t>
      </w:r>
      <w:r>
        <w:rPr>
          <w:spacing w:val="-2"/>
        </w:rPr>
        <w:t xml:space="preserve"> </w:t>
      </w:r>
      <w:r>
        <w:t>la</w:t>
      </w:r>
      <w:r>
        <w:rPr>
          <w:spacing w:val="-1"/>
        </w:rPr>
        <w:t xml:space="preserve"> </w:t>
      </w:r>
      <w:r>
        <w:t>frontera</w:t>
      </w:r>
      <w:r>
        <w:rPr>
          <w:spacing w:val="-2"/>
        </w:rPr>
        <w:t xml:space="preserve"> </w:t>
      </w:r>
      <w:r>
        <w:t>interna</w:t>
      </w:r>
      <w:r>
        <w:rPr>
          <w:spacing w:val="-1"/>
        </w:rPr>
        <w:t xml:space="preserve"> </w:t>
      </w:r>
      <w:r>
        <w:t>que hace imposible la construcción de un nosotros colectivo de nación.</w:t>
      </w:r>
    </w:p>
    <w:p w:rsidR="003804AC" w:rsidRDefault="00AF18A5" w:rsidP="00757EBB">
      <w:r>
        <w:t>El Estado ha entregado la seguridad al Ejército y a la Policía militarizada, cuando el encuentro con la Colombia herida le ha mostrado a la Comisión que, si bien es necesaria la intervención militar en casos críticos en los que aún sigue del conflicto –y siempre en la perspectiva de ir hacia la paz–, la mayoría de los elementos de la seguridad no deben ser militares.</w:t>
      </w:r>
      <w:r>
        <w:rPr>
          <w:spacing w:val="-15"/>
        </w:rPr>
        <w:t xml:space="preserve"> </w:t>
      </w:r>
      <w:r>
        <w:t>El</w:t>
      </w:r>
      <w:r>
        <w:rPr>
          <w:spacing w:val="-15"/>
        </w:rPr>
        <w:t xml:space="preserve"> </w:t>
      </w:r>
      <w:r>
        <w:t>diseño</w:t>
      </w:r>
      <w:r>
        <w:rPr>
          <w:spacing w:val="-15"/>
        </w:rPr>
        <w:t xml:space="preserve"> </w:t>
      </w:r>
      <w:r>
        <w:t>de</w:t>
      </w:r>
      <w:r>
        <w:rPr>
          <w:spacing w:val="-15"/>
        </w:rPr>
        <w:t xml:space="preserve"> </w:t>
      </w:r>
      <w:r>
        <w:t>seguridad</w:t>
      </w:r>
      <w:r>
        <w:rPr>
          <w:spacing w:val="-15"/>
        </w:rPr>
        <w:t xml:space="preserve"> </w:t>
      </w:r>
      <w:r>
        <w:t>debería</w:t>
      </w:r>
      <w:r>
        <w:rPr>
          <w:spacing w:val="-15"/>
        </w:rPr>
        <w:t xml:space="preserve"> </w:t>
      </w:r>
      <w:r>
        <w:t>partir</w:t>
      </w:r>
      <w:r>
        <w:rPr>
          <w:spacing w:val="-15"/>
        </w:rPr>
        <w:t xml:space="preserve"> </w:t>
      </w:r>
      <w:r>
        <w:t>de</w:t>
      </w:r>
      <w:r>
        <w:rPr>
          <w:spacing w:val="-15"/>
        </w:rPr>
        <w:t xml:space="preserve"> </w:t>
      </w:r>
      <w:r>
        <w:t>la</w:t>
      </w:r>
      <w:r>
        <w:rPr>
          <w:spacing w:val="-14"/>
        </w:rPr>
        <w:t xml:space="preserve"> </w:t>
      </w:r>
      <w:r>
        <w:t>vida</w:t>
      </w:r>
      <w:r>
        <w:rPr>
          <w:spacing w:val="-15"/>
        </w:rPr>
        <w:t xml:space="preserve"> </w:t>
      </w:r>
      <w:r>
        <w:t>cotidiana</w:t>
      </w:r>
      <w:r>
        <w:rPr>
          <w:spacing w:val="-15"/>
        </w:rPr>
        <w:t xml:space="preserve"> </w:t>
      </w:r>
      <w:r>
        <w:t>de</w:t>
      </w:r>
      <w:r>
        <w:rPr>
          <w:spacing w:val="-14"/>
        </w:rPr>
        <w:t xml:space="preserve"> </w:t>
      </w:r>
      <w:r>
        <w:t>la</w:t>
      </w:r>
      <w:r>
        <w:rPr>
          <w:spacing w:val="-15"/>
        </w:rPr>
        <w:t xml:space="preserve"> </w:t>
      </w:r>
      <w:r>
        <w:t>gente</w:t>
      </w:r>
      <w:r>
        <w:rPr>
          <w:spacing w:val="-14"/>
        </w:rPr>
        <w:t xml:space="preserve"> </w:t>
      </w:r>
      <w:r>
        <w:t>y</w:t>
      </w:r>
      <w:r>
        <w:rPr>
          <w:spacing w:val="-15"/>
        </w:rPr>
        <w:t xml:space="preserve"> </w:t>
      </w:r>
      <w:r>
        <w:t>de</w:t>
      </w:r>
      <w:r>
        <w:rPr>
          <w:spacing w:val="-14"/>
        </w:rPr>
        <w:t xml:space="preserve"> </w:t>
      </w:r>
      <w:r>
        <w:t>sus</w:t>
      </w:r>
      <w:r>
        <w:rPr>
          <w:spacing w:val="-15"/>
        </w:rPr>
        <w:t xml:space="preserve"> </w:t>
      </w:r>
      <w:r>
        <w:t>líderes sociales, pasar desde allí a las instancias civiles del Estado, gobernadores y alcaldes, que deberían</w:t>
      </w:r>
      <w:r>
        <w:rPr>
          <w:spacing w:val="-4"/>
        </w:rPr>
        <w:t xml:space="preserve"> </w:t>
      </w:r>
      <w:r>
        <w:t>poner</w:t>
      </w:r>
      <w:r>
        <w:rPr>
          <w:spacing w:val="-3"/>
        </w:rPr>
        <w:t xml:space="preserve"> </w:t>
      </w:r>
      <w:r>
        <w:t>el</w:t>
      </w:r>
      <w:r>
        <w:rPr>
          <w:spacing w:val="-3"/>
        </w:rPr>
        <w:t xml:space="preserve"> </w:t>
      </w:r>
      <w:r>
        <w:t>foco</w:t>
      </w:r>
      <w:r>
        <w:rPr>
          <w:spacing w:val="-5"/>
        </w:rPr>
        <w:t xml:space="preserve"> </w:t>
      </w:r>
      <w:r>
        <w:t>en</w:t>
      </w:r>
      <w:r>
        <w:rPr>
          <w:spacing w:val="-4"/>
        </w:rPr>
        <w:t xml:space="preserve"> </w:t>
      </w:r>
      <w:r>
        <w:t>proteger</w:t>
      </w:r>
      <w:r>
        <w:rPr>
          <w:spacing w:val="-4"/>
        </w:rPr>
        <w:t xml:space="preserve"> </w:t>
      </w:r>
      <w:r>
        <w:t>las</w:t>
      </w:r>
      <w:r>
        <w:rPr>
          <w:spacing w:val="-3"/>
        </w:rPr>
        <w:t xml:space="preserve"> </w:t>
      </w:r>
      <w:r>
        <w:t>formas</w:t>
      </w:r>
      <w:r>
        <w:rPr>
          <w:spacing w:val="-5"/>
        </w:rPr>
        <w:t xml:space="preserve"> </w:t>
      </w:r>
      <w:r>
        <w:t>como</w:t>
      </w:r>
      <w:r>
        <w:rPr>
          <w:spacing w:val="-4"/>
        </w:rPr>
        <w:t xml:space="preserve"> </w:t>
      </w:r>
      <w:r>
        <w:t>la</w:t>
      </w:r>
      <w:r>
        <w:rPr>
          <w:spacing w:val="-5"/>
        </w:rPr>
        <w:t xml:space="preserve"> </w:t>
      </w:r>
      <w:r>
        <w:t>gente</w:t>
      </w:r>
      <w:r>
        <w:rPr>
          <w:spacing w:val="-6"/>
        </w:rPr>
        <w:t xml:space="preserve"> </w:t>
      </w:r>
      <w:r>
        <w:t>quiere</w:t>
      </w:r>
      <w:r>
        <w:rPr>
          <w:spacing w:val="-5"/>
        </w:rPr>
        <w:t xml:space="preserve"> </w:t>
      </w:r>
      <w:r>
        <w:t>vivir,</w:t>
      </w:r>
      <w:r>
        <w:rPr>
          <w:spacing w:val="-5"/>
        </w:rPr>
        <w:t xml:space="preserve"> </w:t>
      </w:r>
      <w:r>
        <w:t>y</w:t>
      </w:r>
      <w:r>
        <w:rPr>
          <w:spacing w:val="-4"/>
        </w:rPr>
        <w:t xml:space="preserve"> </w:t>
      </w:r>
      <w:r>
        <w:t>desde</w:t>
      </w:r>
      <w:r>
        <w:rPr>
          <w:spacing w:val="-5"/>
        </w:rPr>
        <w:t xml:space="preserve"> </w:t>
      </w:r>
      <w:r>
        <w:t>ese</w:t>
      </w:r>
      <w:r>
        <w:rPr>
          <w:spacing w:val="-5"/>
        </w:rPr>
        <w:t xml:space="preserve"> </w:t>
      </w:r>
      <w:r>
        <w:t>foco</w:t>
      </w:r>
      <w:r>
        <w:rPr>
          <w:spacing w:val="-4"/>
        </w:rPr>
        <w:t xml:space="preserve"> </w:t>
      </w:r>
      <w:r>
        <w:t>el presidente de la República debería orientar a la Policía para proteger los ciudadanos, sus familias y comunidades.</w:t>
      </w:r>
    </w:p>
    <w:p w:rsidR="003804AC" w:rsidRDefault="00AF18A5" w:rsidP="00757EBB">
      <w:r>
        <w:t>Colombia es un país cansado, abrumado y aterrado por un conflicto inútil de casi seis décadas,</w:t>
      </w:r>
      <w:r>
        <w:rPr>
          <w:spacing w:val="-7"/>
        </w:rPr>
        <w:t xml:space="preserve"> </w:t>
      </w:r>
      <w:r>
        <w:t>donde</w:t>
      </w:r>
      <w:r>
        <w:rPr>
          <w:spacing w:val="-7"/>
        </w:rPr>
        <w:t xml:space="preserve"> </w:t>
      </w:r>
      <w:r>
        <w:t>el</w:t>
      </w:r>
      <w:r>
        <w:rPr>
          <w:spacing w:val="-7"/>
        </w:rPr>
        <w:t xml:space="preserve"> </w:t>
      </w:r>
      <w:r>
        <w:t>Estado</w:t>
      </w:r>
      <w:r>
        <w:rPr>
          <w:spacing w:val="-7"/>
        </w:rPr>
        <w:t xml:space="preserve"> </w:t>
      </w:r>
      <w:r>
        <w:t>debería</w:t>
      </w:r>
      <w:r>
        <w:rPr>
          <w:spacing w:val="-7"/>
        </w:rPr>
        <w:t xml:space="preserve"> </w:t>
      </w:r>
      <w:r>
        <w:t>empezar</w:t>
      </w:r>
      <w:r>
        <w:rPr>
          <w:spacing w:val="-7"/>
        </w:rPr>
        <w:t xml:space="preserve"> </w:t>
      </w:r>
      <w:r>
        <w:t>por</w:t>
      </w:r>
      <w:r>
        <w:rPr>
          <w:spacing w:val="-8"/>
        </w:rPr>
        <w:t xml:space="preserve"> </w:t>
      </w:r>
      <w:r>
        <w:t>tener</w:t>
      </w:r>
      <w:r>
        <w:rPr>
          <w:spacing w:val="-7"/>
        </w:rPr>
        <w:t xml:space="preserve"> </w:t>
      </w:r>
      <w:r>
        <w:t>confianza</w:t>
      </w:r>
      <w:r>
        <w:rPr>
          <w:spacing w:val="-7"/>
        </w:rPr>
        <w:t xml:space="preserve"> </w:t>
      </w:r>
      <w:r>
        <w:t>en</w:t>
      </w:r>
      <w:r>
        <w:rPr>
          <w:spacing w:val="-8"/>
        </w:rPr>
        <w:t xml:space="preserve"> </w:t>
      </w:r>
      <w:r>
        <w:t>las</w:t>
      </w:r>
      <w:r>
        <w:rPr>
          <w:spacing w:val="-8"/>
        </w:rPr>
        <w:t xml:space="preserve"> </w:t>
      </w:r>
      <w:r>
        <w:t>formas</w:t>
      </w:r>
      <w:r>
        <w:rPr>
          <w:spacing w:val="-7"/>
        </w:rPr>
        <w:t xml:space="preserve"> </w:t>
      </w:r>
      <w:r>
        <w:t>humanitarias</w:t>
      </w:r>
      <w:r>
        <w:rPr>
          <w:spacing w:val="-8"/>
        </w:rPr>
        <w:t xml:space="preserve"> </w:t>
      </w:r>
      <w:r>
        <w:t>de tranquilidad</w:t>
      </w:r>
      <w:r>
        <w:rPr>
          <w:spacing w:val="-15"/>
        </w:rPr>
        <w:t xml:space="preserve"> </w:t>
      </w:r>
      <w:r>
        <w:t>ciudadana</w:t>
      </w:r>
      <w:r>
        <w:rPr>
          <w:spacing w:val="-15"/>
        </w:rPr>
        <w:t xml:space="preserve"> </w:t>
      </w:r>
      <w:r>
        <w:t>que</w:t>
      </w:r>
      <w:r>
        <w:rPr>
          <w:spacing w:val="-15"/>
        </w:rPr>
        <w:t xml:space="preserve"> </w:t>
      </w:r>
      <w:r>
        <w:t>la</w:t>
      </w:r>
      <w:r>
        <w:rPr>
          <w:spacing w:val="-15"/>
        </w:rPr>
        <w:t xml:space="preserve"> </w:t>
      </w:r>
      <w:r>
        <w:t>gente</w:t>
      </w:r>
      <w:r>
        <w:rPr>
          <w:spacing w:val="-15"/>
        </w:rPr>
        <w:t xml:space="preserve"> </w:t>
      </w:r>
      <w:r>
        <w:t>se</w:t>
      </w:r>
      <w:r>
        <w:rPr>
          <w:spacing w:val="-15"/>
        </w:rPr>
        <w:t xml:space="preserve"> </w:t>
      </w:r>
      <w:r>
        <w:t>dio,</w:t>
      </w:r>
      <w:r>
        <w:rPr>
          <w:spacing w:val="-15"/>
        </w:rPr>
        <w:t xml:space="preserve"> </w:t>
      </w:r>
      <w:r>
        <w:t>y</w:t>
      </w:r>
      <w:r>
        <w:rPr>
          <w:spacing w:val="-15"/>
        </w:rPr>
        <w:t xml:space="preserve"> </w:t>
      </w:r>
      <w:r>
        <w:t>desde</w:t>
      </w:r>
      <w:r>
        <w:rPr>
          <w:spacing w:val="-15"/>
        </w:rPr>
        <w:t xml:space="preserve"> </w:t>
      </w:r>
      <w:r>
        <w:t>allí</w:t>
      </w:r>
      <w:r>
        <w:rPr>
          <w:spacing w:val="-15"/>
        </w:rPr>
        <w:t xml:space="preserve"> </w:t>
      </w:r>
      <w:r>
        <w:t>impulsó</w:t>
      </w:r>
      <w:r>
        <w:rPr>
          <w:spacing w:val="-15"/>
        </w:rPr>
        <w:t xml:space="preserve"> </w:t>
      </w:r>
      <w:r>
        <w:t>la</w:t>
      </w:r>
      <w:r>
        <w:rPr>
          <w:spacing w:val="-14"/>
        </w:rPr>
        <w:t xml:space="preserve"> </w:t>
      </w:r>
      <w:r>
        <w:t>protección</w:t>
      </w:r>
      <w:r>
        <w:rPr>
          <w:spacing w:val="-15"/>
        </w:rPr>
        <w:t xml:space="preserve"> </w:t>
      </w:r>
      <w:r>
        <w:t>de</w:t>
      </w:r>
      <w:r>
        <w:rPr>
          <w:spacing w:val="-14"/>
        </w:rPr>
        <w:t xml:space="preserve"> </w:t>
      </w:r>
      <w:r>
        <w:t>los</w:t>
      </w:r>
      <w:r>
        <w:rPr>
          <w:spacing w:val="-15"/>
        </w:rPr>
        <w:t xml:space="preserve"> </w:t>
      </w:r>
      <w:r>
        <w:t>territorios y luego de la nación.</w:t>
      </w:r>
    </w:p>
    <w:p w:rsidR="003804AC" w:rsidRDefault="00AF18A5" w:rsidP="00757EBB">
      <w:r>
        <w:t xml:space="preserve">La defensa, que es militar, debe corresponder en Colombia a un país que sale de una de las guerras más largas del planeta y, por lo tanto, </w:t>
      </w:r>
      <w:r>
        <w:lastRenderedPageBreak/>
        <w:t>debe ser la de un ejército que pone sus propios</w:t>
      </w:r>
      <w:r>
        <w:rPr>
          <w:spacing w:val="-1"/>
        </w:rPr>
        <w:t xml:space="preserve"> </w:t>
      </w:r>
      <w:r>
        <w:t>valores</w:t>
      </w:r>
      <w:r>
        <w:rPr>
          <w:spacing w:val="-1"/>
        </w:rPr>
        <w:t xml:space="preserve"> </w:t>
      </w:r>
      <w:r>
        <w:t>y</w:t>
      </w:r>
      <w:r>
        <w:rPr>
          <w:spacing w:val="-1"/>
        </w:rPr>
        <w:t xml:space="preserve"> </w:t>
      </w:r>
      <w:r>
        <w:t>su</w:t>
      </w:r>
      <w:r>
        <w:rPr>
          <w:spacing w:val="-1"/>
        </w:rPr>
        <w:t xml:space="preserve"> </w:t>
      </w:r>
      <w:r>
        <w:t>fortaleza</w:t>
      </w:r>
      <w:r>
        <w:rPr>
          <w:spacing w:val="-1"/>
        </w:rPr>
        <w:t xml:space="preserve"> </w:t>
      </w:r>
      <w:r>
        <w:t>al</w:t>
      </w:r>
      <w:r>
        <w:rPr>
          <w:spacing w:val="-1"/>
        </w:rPr>
        <w:t xml:space="preserve"> </w:t>
      </w:r>
      <w:r>
        <w:t>servicio</w:t>
      </w:r>
      <w:r>
        <w:rPr>
          <w:spacing w:val="-1"/>
        </w:rPr>
        <w:t xml:space="preserve"> </w:t>
      </w:r>
      <w:r>
        <w:t>a</w:t>
      </w:r>
      <w:r>
        <w:rPr>
          <w:spacing w:val="-1"/>
        </w:rPr>
        <w:t xml:space="preserve"> </w:t>
      </w:r>
      <w:r>
        <w:t>la</w:t>
      </w:r>
      <w:r>
        <w:rPr>
          <w:spacing w:val="-1"/>
        </w:rPr>
        <w:t xml:space="preserve"> </w:t>
      </w:r>
      <w:r>
        <w:t>paz,</w:t>
      </w:r>
      <w:r>
        <w:rPr>
          <w:spacing w:val="-2"/>
        </w:rPr>
        <w:t xml:space="preserve"> </w:t>
      </w:r>
      <w:r>
        <w:t>que</w:t>
      </w:r>
      <w:r>
        <w:rPr>
          <w:spacing w:val="-1"/>
        </w:rPr>
        <w:t xml:space="preserve"> </w:t>
      </w:r>
      <w:r>
        <w:t>protege</w:t>
      </w:r>
      <w:r>
        <w:rPr>
          <w:spacing w:val="-2"/>
        </w:rPr>
        <w:t xml:space="preserve"> </w:t>
      </w:r>
      <w:r>
        <w:t>–en</w:t>
      </w:r>
      <w:r>
        <w:rPr>
          <w:spacing w:val="-1"/>
        </w:rPr>
        <w:t xml:space="preserve"> </w:t>
      </w:r>
      <w:r>
        <w:t>la</w:t>
      </w:r>
      <w:r>
        <w:rPr>
          <w:spacing w:val="-1"/>
        </w:rPr>
        <w:t xml:space="preserve"> </w:t>
      </w:r>
      <w:r>
        <w:t>serenidad</w:t>
      </w:r>
      <w:r>
        <w:rPr>
          <w:spacing w:val="-1"/>
        </w:rPr>
        <w:t xml:space="preserve"> </w:t>
      </w:r>
      <w:r>
        <w:t>de</w:t>
      </w:r>
      <w:r>
        <w:rPr>
          <w:spacing w:val="-1"/>
        </w:rPr>
        <w:t xml:space="preserve"> </w:t>
      </w:r>
      <w:r>
        <w:t>la</w:t>
      </w:r>
      <w:r>
        <w:rPr>
          <w:spacing w:val="-1"/>
        </w:rPr>
        <w:t xml:space="preserve"> </w:t>
      </w:r>
      <w:r>
        <w:t>justicia sin impunidad y dentro de la Constitución– el monopolio de las armas en manos del Estado y</w:t>
      </w:r>
      <w:r>
        <w:rPr>
          <w:spacing w:val="-15"/>
        </w:rPr>
        <w:t xml:space="preserve"> </w:t>
      </w:r>
      <w:r>
        <w:t>que</w:t>
      </w:r>
      <w:r>
        <w:rPr>
          <w:spacing w:val="-15"/>
        </w:rPr>
        <w:t xml:space="preserve"> </w:t>
      </w:r>
      <w:r>
        <w:t>pone</w:t>
      </w:r>
      <w:r>
        <w:rPr>
          <w:spacing w:val="-15"/>
        </w:rPr>
        <w:t xml:space="preserve"> </w:t>
      </w:r>
      <w:r>
        <w:t>la</w:t>
      </w:r>
      <w:r>
        <w:rPr>
          <w:spacing w:val="-14"/>
        </w:rPr>
        <w:t xml:space="preserve"> </w:t>
      </w:r>
      <w:r>
        <w:t>prioridad</w:t>
      </w:r>
      <w:r>
        <w:rPr>
          <w:spacing w:val="-15"/>
        </w:rPr>
        <w:t xml:space="preserve"> </w:t>
      </w:r>
      <w:r>
        <w:t>en</w:t>
      </w:r>
      <w:r>
        <w:rPr>
          <w:spacing w:val="-14"/>
        </w:rPr>
        <w:t xml:space="preserve"> </w:t>
      </w:r>
      <w:r>
        <w:t>la</w:t>
      </w:r>
      <w:r>
        <w:rPr>
          <w:spacing w:val="-15"/>
        </w:rPr>
        <w:t xml:space="preserve"> </w:t>
      </w:r>
      <w:r>
        <w:t>protección</w:t>
      </w:r>
      <w:r>
        <w:rPr>
          <w:spacing w:val="-14"/>
        </w:rPr>
        <w:t xml:space="preserve"> </w:t>
      </w:r>
      <w:r>
        <w:t>de</w:t>
      </w:r>
      <w:r>
        <w:rPr>
          <w:spacing w:val="-15"/>
        </w:rPr>
        <w:t xml:space="preserve"> </w:t>
      </w:r>
      <w:r>
        <w:t>las</w:t>
      </w:r>
      <w:r>
        <w:rPr>
          <w:spacing w:val="-14"/>
        </w:rPr>
        <w:t xml:space="preserve"> </w:t>
      </w:r>
      <w:r>
        <w:t>personas,</w:t>
      </w:r>
      <w:r>
        <w:rPr>
          <w:spacing w:val="-15"/>
        </w:rPr>
        <w:t xml:space="preserve"> </w:t>
      </w:r>
      <w:r>
        <w:t>antes</w:t>
      </w:r>
      <w:r>
        <w:rPr>
          <w:spacing w:val="-15"/>
        </w:rPr>
        <w:t xml:space="preserve"> </w:t>
      </w:r>
      <w:r>
        <w:t>que</w:t>
      </w:r>
      <w:r>
        <w:rPr>
          <w:spacing w:val="-14"/>
        </w:rPr>
        <w:t xml:space="preserve"> </w:t>
      </w:r>
      <w:r>
        <w:t>la</w:t>
      </w:r>
      <w:r>
        <w:rPr>
          <w:spacing w:val="-15"/>
        </w:rPr>
        <w:t xml:space="preserve"> </w:t>
      </w:r>
      <w:r>
        <w:t>seguridad</w:t>
      </w:r>
      <w:r>
        <w:rPr>
          <w:spacing w:val="-15"/>
        </w:rPr>
        <w:t xml:space="preserve"> </w:t>
      </w:r>
      <w:r>
        <w:t>de</w:t>
      </w:r>
      <w:r>
        <w:rPr>
          <w:spacing w:val="-15"/>
        </w:rPr>
        <w:t xml:space="preserve"> </w:t>
      </w:r>
      <w:r>
        <w:t>las</w:t>
      </w:r>
      <w:r>
        <w:rPr>
          <w:spacing w:val="-15"/>
        </w:rPr>
        <w:t xml:space="preserve"> </w:t>
      </w:r>
      <w:r>
        <w:t>riquezas o de las empresas.</w:t>
      </w:r>
    </w:p>
    <w:p w:rsidR="003804AC" w:rsidRDefault="00AF18A5" w:rsidP="00757EBB">
      <w:r>
        <w:t>Esto</w:t>
      </w:r>
      <w:r>
        <w:rPr>
          <w:spacing w:val="-10"/>
        </w:rPr>
        <w:t xml:space="preserve"> </w:t>
      </w:r>
      <w:r>
        <w:t>debe</w:t>
      </w:r>
      <w:r>
        <w:rPr>
          <w:spacing w:val="-9"/>
        </w:rPr>
        <w:t xml:space="preserve"> </w:t>
      </w:r>
      <w:r>
        <w:t>llevar</w:t>
      </w:r>
      <w:r>
        <w:rPr>
          <w:spacing w:val="-9"/>
        </w:rPr>
        <w:t xml:space="preserve"> </w:t>
      </w:r>
      <w:r>
        <w:t>a</w:t>
      </w:r>
      <w:r>
        <w:rPr>
          <w:spacing w:val="-9"/>
        </w:rPr>
        <w:t xml:space="preserve"> </w:t>
      </w:r>
      <w:r>
        <w:t>la</w:t>
      </w:r>
      <w:r>
        <w:rPr>
          <w:spacing w:val="-9"/>
        </w:rPr>
        <w:t xml:space="preserve"> </w:t>
      </w:r>
      <w:r>
        <w:t>separación</w:t>
      </w:r>
      <w:r>
        <w:rPr>
          <w:spacing w:val="-10"/>
        </w:rPr>
        <w:t xml:space="preserve"> </w:t>
      </w:r>
      <w:r>
        <w:t>de</w:t>
      </w:r>
      <w:r>
        <w:rPr>
          <w:spacing w:val="-9"/>
        </w:rPr>
        <w:t xml:space="preserve"> </w:t>
      </w:r>
      <w:r>
        <w:t>la</w:t>
      </w:r>
      <w:r>
        <w:rPr>
          <w:spacing w:val="-9"/>
        </w:rPr>
        <w:t xml:space="preserve"> </w:t>
      </w:r>
      <w:r>
        <w:t>Policía</w:t>
      </w:r>
      <w:r>
        <w:rPr>
          <w:spacing w:val="-9"/>
        </w:rPr>
        <w:t xml:space="preserve"> </w:t>
      </w:r>
      <w:r>
        <w:t>–instrumento</w:t>
      </w:r>
      <w:r>
        <w:rPr>
          <w:spacing w:val="-10"/>
        </w:rPr>
        <w:t xml:space="preserve"> </w:t>
      </w:r>
      <w:r>
        <w:t>de</w:t>
      </w:r>
      <w:r>
        <w:rPr>
          <w:spacing w:val="-9"/>
        </w:rPr>
        <w:t xml:space="preserve"> </w:t>
      </w:r>
      <w:r>
        <w:t>la</w:t>
      </w:r>
      <w:r>
        <w:rPr>
          <w:spacing w:val="-9"/>
        </w:rPr>
        <w:t xml:space="preserve"> </w:t>
      </w:r>
      <w:r>
        <w:t>seguridad–</w:t>
      </w:r>
      <w:r>
        <w:rPr>
          <w:spacing w:val="-11"/>
        </w:rPr>
        <w:t xml:space="preserve"> </w:t>
      </w:r>
      <w:r>
        <w:t>de</w:t>
      </w:r>
      <w:r>
        <w:rPr>
          <w:spacing w:val="-9"/>
        </w:rPr>
        <w:t xml:space="preserve"> </w:t>
      </w:r>
      <w:r>
        <w:t>las</w:t>
      </w:r>
      <w:r>
        <w:rPr>
          <w:spacing w:val="-9"/>
        </w:rPr>
        <w:t xml:space="preserve"> </w:t>
      </w:r>
      <w:r>
        <w:t>Fuerzas Militares</w:t>
      </w:r>
      <w:r>
        <w:rPr>
          <w:spacing w:val="-2"/>
        </w:rPr>
        <w:t xml:space="preserve"> </w:t>
      </w:r>
      <w:r>
        <w:t>–instrumento</w:t>
      </w:r>
      <w:r>
        <w:rPr>
          <w:spacing w:val="-4"/>
        </w:rPr>
        <w:t xml:space="preserve"> </w:t>
      </w:r>
      <w:r>
        <w:t>de</w:t>
      </w:r>
      <w:r>
        <w:rPr>
          <w:spacing w:val="-2"/>
        </w:rPr>
        <w:t xml:space="preserve"> </w:t>
      </w:r>
      <w:r>
        <w:t>la</w:t>
      </w:r>
      <w:r>
        <w:rPr>
          <w:spacing w:val="-2"/>
        </w:rPr>
        <w:t xml:space="preserve"> </w:t>
      </w:r>
      <w:r>
        <w:t>defensa–,</w:t>
      </w:r>
      <w:r>
        <w:rPr>
          <w:spacing w:val="-2"/>
        </w:rPr>
        <w:t xml:space="preserve"> </w:t>
      </w:r>
      <w:r>
        <w:t>y</w:t>
      </w:r>
      <w:r>
        <w:rPr>
          <w:spacing w:val="-2"/>
        </w:rPr>
        <w:t xml:space="preserve"> </w:t>
      </w:r>
      <w:r>
        <w:t>con</w:t>
      </w:r>
      <w:r>
        <w:rPr>
          <w:spacing w:val="-2"/>
        </w:rPr>
        <w:t xml:space="preserve"> </w:t>
      </w:r>
      <w:r>
        <w:t>el</w:t>
      </w:r>
      <w:r>
        <w:rPr>
          <w:spacing w:val="-3"/>
        </w:rPr>
        <w:t xml:space="preserve"> </w:t>
      </w:r>
      <w:r>
        <w:t>tiempo,</w:t>
      </w:r>
      <w:r>
        <w:rPr>
          <w:spacing w:val="-2"/>
        </w:rPr>
        <w:t xml:space="preserve"> </w:t>
      </w:r>
      <w:r>
        <w:t>a</w:t>
      </w:r>
      <w:r>
        <w:rPr>
          <w:spacing w:val="-2"/>
        </w:rPr>
        <w:t xml:space="preserve"> </w:t>
      </w:r>
      <w:r>
        <w:t>la</w:t>
      </w:r>
      <w:r>
        <w:rPr>
          <w:spacing w:val="-3"/>
        </w:rPr>
        <w:t xml:space="preserve"> </w:t>
      </w:r>
      <w:r>
        <w:t>disminución</w:t>
      </w:r>
      <w:r>
        <w:rPr>
          <w:spacing w:val="-4"/>
        </w:rPr>
        <w:t xml:space="preserve"> </w:t>
      </w:r>
      <w:r>
        <w:t>del</w:t>
      </w:r>
      <w:r>
        <w:rPr>
          <w:spacing w:val="-2"/>
        </w:rPr>
        <w:t xml:space="preserve"> </w:t>
      </w:r>
      <w:r>
        <w:t>Ejército</w:t>
      </w:r>
      <w:r>
        <w:rPr>
          <w:spacing w:val="-4"/>
        </w:rPr>
        <w:t xml:space="preserve"> </w:t>
      </w:r>
      <w:r>
        <w:t>porque no habrá más frontera interna y porque en la frontera externa Colombia buscará relaciones de</w:t>
      </w:r>
      <w:r>
        <w:rPr>
          <w:spacing w:val="-5"/>
        </w:rPr>
        <w:t xml:space="preserve"> </w:t>
      </w:r>
      <w:r>
        <w:t>amistad</w:t>
      </w:r>
      <w:r>
        <w:rPr>
          <w:spacing w:val="-5"/>
        </w:rPr>
        <w:t xml:space="preserve"> </w:t>
      </w:r>
      <w:r>
        <w:t>y</w:t>
      </w:r>
      <w:r>
        <w:rPr>
          <w:spacing w:val="-6"/>
        </w:rPr>
        <w:t xml:space="preserve"> </w:t>
      </w:r>
      <w:r>
        <w:t>colaboración</w:t>
      </w:r>
      <w:r>
        <w:rPr>
          <w:spacing w:val="-5"/>
        </w:rPr>
        <w:t xml:space="preserve"> </w:t>
      </w:r>
      <w:r>
        <w:t>con</w:t>
      </w:r>
      <w:r>
        <w:rPr>
          <w:spacing w:val="-5"/>
        </w:rPr>
        <w:t xml:space="preserve"> </w:t>
      </w:r>
      <w:r>
        <w:t>los</w:t>
      </w:r>
      <w:r>
        <w:rPr>
          <w:spacing w:val="-5"/>
        </w:rPr>
        <w:t xml:space="preserve"> </w:t>
      </w:r>
      <w:r>
        <w:t>países</w:t>
      </w:r>
      <w:r>
        <w:rPr>
          <w:spacing w:val="-5"/>
        </w:rPr>
        <w:t xml:space="preserve"> </w:t>
      </w:r>
      <w:r>
        <w:t>vecinos.</w:t>
      </w:r>
      <w:r>
        <w:rPr>
          <w:spacing w:val="-6"/>
        </w:rPr>
        <w:t xml:space="preserve"> </w:t>
      </w:r>
      <w:r>
        <w:t>Sin</w:t>
      </w:r>
      <w:r>
        <w:rPr>
          <w:spacing w:val="-5"/>
        </w:rPr>
        <w:t xml:space="preserve"> </w:t>
      </w:r>
      <w:r>
        <w:t>fronteras</w:t>
      </w:r>
      <w:r>
        <w:rPr>
          <w:spacing w:val="-5"/>
        </w:rPr>
        <w:t xml:space="preserve"> </w:t>
      </w:r>
      <w:r>
        <w:t>para</w:t>
      </w:r>
      <w:r>
        <w:rPr>
          <w:spacing w:val="-5"/>
        </w:rPr>
        <w:t xml:space="preserve"> </w:t>
      </w:r>
      <w:r>
        <w:t>la</w:t>
      </w:r>
      <w:r>
        <w:rPr>
          <w:spacing w:val="-5"/>
        </w:rPr>
        <w:t xml:space="preserve"> </w:t>
      </w:r>
      <w:r>
        <w:t>guerra</w:t>
      </w:r>
      <w:r>
        <w:rPr>
          <w:spacing w:val="-5"/>
        </w:rPr>
        <w:t xml:space="preserve"> </w:t>
      </w:r>
      <w:r>
        <w:t>no</w:t>
      </w:r>
      <w:r>
        <w:rPr>
          <w:spacing w:val="-5"/>
        </w:rPr>
        <w:t xml:space="preserve"> </w:t>
      </w:r>
      <w:r>
        <w:t>hay</w:t>
      </w:r>
      <w:r>
        <w:rPr>
          <w:spacing w:val="-5"/>
        </w:rPr>
        <w:t xml:space="preserve"> </w:t>
      </w:r>
      <w:r>
        <w:t>guerra. Y Colombia, que ha sido ejemplo internacional del valor en la guerra, debe pasar a ser paradigma de la seguridad de la paz.</w:t>
      </w:r>
    </w:p>
    <w:p w:rsidR="003804AC" w:rsidRDefault="00AF18A5" w:rsidP="00757EBB">
      <w:r>
        <w:t>El modelo de seguridad que desde hace décadas rige en Colombia nació en buena parte del Frente Nacional, y posteriormente se ha dado en el contexto de un conflicto armado interno. Este modelo ha sido problemático y no ha tenido la capacidad de garantizar los derechos ni proteger a toda la ciudadanía por igual, sino especialmente a ciertos grupos, mientras</w:t>
      </w:r>
      <w:r>
        <w:rPr>
          <w:spacing w:val="-5"/>
        </w:rPr>
        <w:t xml:space="preserve"> </w:t>
      </w:r>
      <w:r>
        <w:t>desprotege</w:t>
      </w:r>
      <w:r>
        <w:rPr>
          <w:spacing w:val="-5"/>
        </w:rPr>
        <w:t xml:space="preserve"> </w:t>
      </w:r>
      <w:r>
        <w:t>a</w:t>
      </w:r>
      <w:r>
        <w:rPr>
          <w:spacing w:val="-5"/>
        </w:rPr>
        <w:t xml:space="preserve"> </w:t>
      </w:r>
      <w:r>
        <w:t>otros.</w:t>
      </w:r>
      <w:r>
        <w:rPr>
          <w:spacing w:val="-5"/>
        </w:rPr>
        <w:t xml:space="preserve"> </w:t>
      </w:r>
      <w:r>
        <w:t>La</w:t>
      </w:r>
      <w:r>
        <w:rPr>
          <w:spacing w:val="-5"/>
        </w:rPr>
        <w:t xml:space="preserve"> </w:t>
      </w:r>
      <w:r>
        <w:t>seguridad</w:t>
      </w:r>
      <w:r>
        <w:rPr>
          <w:spacing w:val="-5"/>
        </w:rPr>
        <w:t xml:space="preserve"> </w:t>
      </w:r>
      <w:r>
        <w:t>del</w:t>
      </w:r>
      <w:r>
        <w:rPr>
          <w:spacing w:val="-4"/>
        </w:rPr>
        <w:t xml:space="preserve"> </w:t>
      </w:r>
      <w:r>
        <w:t>Estado</w:t>
      </w:r>
      <w:r>
        <w:rPr>
          <w:spacing w:val="-5"/>
        </w:rPr>
        <w:t xml:space="preserve"> </w:t>
      </w:r>
      <w:r>
        <w:t>no</w:t>
      </w:r>
      <w:r>
        <w:rPr>
          <w:spacing w:val="-5"/>
        </w:rPr>
        <w:t xml:space="preserve"> </w:t>
      </w:r>
      <w:r>
        <w:t>ha</w:t>
      </w:r>
      <w:r>
        <w:rPr>
          <w:spacing w:val="-5"/>
        </w:rPr>
        <w:t xml:space="preserve"> </w:t>
      </w:r>
      <w:r>
        <w:t>amparado</w:t>
      </w:r>
      <w:r>
        <w:rPr>
          <w:spacing w:val="-5"/>
        </w:rPr>
        <w:t xml:space="preserve"> </w:t>
      </w:r>
      <w:r>
        <w:t>a</w:t>
      </w:r>
      <w:r>
        <w:rPr>
          <w:spacing w:val="-5"/>
        </w:rPr>
        <w:t xml:space="preserve"> </w:t>
      </w:r>
      <w:r>
        <w:t>todo</w:t>
      </w:r>
      <w:r>
        <w:rPr>
          <w:spacing w:val="-5"/>
        </w:rPr>
        <w:t xml:space="preserve"> </w:t>
      </w:r>
      <w:r>
        <w:t>el</w:t>
      </w:r>
      <w:r>
        <w:rPr>
          <w:spacing w:val="-4"/>
        </w:rPr>
        <w:t xml:space="preserve"> </w:t>
      </w:r>
      <w:r>
        <w:t>territorio</w:t>
      </w:r>
      <w:r>
        <w:rPr>
          <w:spacing w:val="-5"/>
        </w:rPr>
        <w:t xml:space="preserve"> </w:t>
      </w:r>
      <w:r>
        <w:t>ni</w:t>
      </w:r>
      <w:r>
        <w:rPr>
          <w:spacing w:val="-5"/>
        </w:rPr>
        <w:t xml:space="preserve"> </w:t>
      </w:r>
      <w:r>
        <w:t>a toda la población.</w:t>
      </w:r>
    </w:p>
    <w:p w:rsidR="003804AC" w:rsidRDefault="00AF18A5" w:rsidP="00757EBB">
      <w:r>
        <w:t>El Estado y la democracia en Colombia se han construido en medio de guerras y breves periodos</w:t>
      </w:r>
      <w:r>
        <w:rPr>
          <w:spacing w:val="-1"/>
        </w:rPr>
        <w:t xml:space="preserve"> </w:t>
      </w:r>
      <w:r>
        <w:t>de</w:t>
      </w:r>
      <w:r>
        <w:rPr>
          <w:spacing w:val="-2"/>
        </w:rPr>
        <w:t xml:space="preserve"> </w:t>
      </w:r>
      <w:r>
        <w:t>paz.</w:t>
      </w:r>
      <w:r>
        <w:rPr>
          <w:spacing w:val="-1"/>
        </w:rPr>
        <w:t xml:space="preserve"> </w:t>
      </w:r>
      <w:r>
        <w:t>En</w:t>
      </w:r>
      <w:r>
        <w:rPr>
          <w:spacing w:val="-1"/>
        </w:rPr>
        <w:t xml:space="preserve"> </w:t>
      </w:r>
      <w:r>
        <w:t>los</w:t>
      </w:r>
      <w:r>
        <w:rPr>
          <w:spacing w:val="-2"/>
        </w:rPr>
        <w:t xml:space="preserve"> </w:t>
      </w:r>
      <w:r>
        <w:t>200</w:t>
      </w:r>
      <w:r>
        <w:rPr>
          <w:spacing w:val="-1"/>
        </w:rPr>
        <w:t xml:space="preserve"> </w:t>
      </w:r>
      <w:r>
        <w:t>años</w:t>
      </w:r>
      <w:r>
        <w:rPr>
          <w:spacing w:val="-1"/>
        </w:rPr>
        <w:t xml:space="preserve"> </w:t>
      </w:r>
      <w:r>
        <w:t>de</w:t>
      </w:r>
      <w:r>
        <w:rPr>
          <w:spacing w:val="-1"/>
        </w:rPr>
        <w:t xml:space="preserve"> </w:t>
      </w:r>
      <w:r>
        <w:t>vida</w:t>
      </w:r>
      <w:r>
        <w:rPr>
          <w:spacing w:val="-1"/>
        </w:rPr>
        <w:t xml:space="preserve"> </w:t>
      </w:r>
      <w:r>
        <w:t>republicana</w:t>
      </w:r>
      <w:r>
        <w:rPr>
          <w:spacing w:val="-1"/>
        </w:rPr>
        <w:t xml:space="preserve"> </w:t>
      </w:r>
      <w:r>
        <w:t>el</w:t>
      </w:r>
      <w:r>
        <w:rPr>
          <w:spacing w:val="-1"/>
        </w:rPr>
        <w:t xml:space="preserve"> </w:t>
      </w:r>
      <w:r>
        <w:t>problema</w:t>
      </w:r>
      <w:r>
        <w:rPr>
          <w:spacing w:val="-1"/>
        </w:rPr>
        <w:t xml:space="preserve"> </w:t>
      </w:r>
      <w:r>
        <w:t>central</w:t>
      </w:r>
      <w:r>
        <w:rPr>
          <w:spacing w:val="-2"/>
        </w:rPr>
        <w:t xml:space="preserve"> </w:t>
      </w:r>
      <w:r>
        <w:t>del</w:t>
      </w:r>
      <w:r>
        <w:rPr>
          <w:spacing w:val="-1"/>
        </w:rPr>
        <w:t xml:space="preserve"> </w:t>
      </w:r>
      <w:r>
        <w:t>Estado</w:t>
      </w:r>
      <w:r>
        <w:rPr>
          <w:spacing w:val="-2"/>
        </w:rPr>
        <w:t xml:space="preserve"> </w:t>
      </w:r>
      <w:r>
        <w:t>ha</w:t>
      </w:r>
      <w:r>
        <w:rPr>
          <w:spacing w:val="-1"/>
        </w:rPr>
        <w:t xml:space="preserve"> </w:t>
      </w:r>
      <w:r>
        <w:t>sido el de la soberanía o control del territorio por parte del poder central. Durante la guerra insurgente de finales del siglo XX, la ecuación principal para el “dominio del territorio” en medio</w:t>
      </w:r>
      <w:r>
        <w:rPr>
          <w:spacing w:val="-6"/>
        </w:rPr>
        <w:t xml:space="preserve"> </w:t>
      </w:r>
      <w:r>
        <w:t>de</w:t>
      </w:r>
      <w:r>
        <w:rPr>
          <w:spacing w:val="-7"/>
        </w:rPr>
        <w:t xml:space="preserve"> </w:t>
      </w:r>
      <w:r>
        <w:t>la</w:t>
      </w:r>
      <w:r>
        <w:rPr>
          <w:spacing w:val="-7"/>
        </w:rPr>
        <w:t xml:space="preserve"> </w:t>
      </w:r>
      <w:r>
        <w:t>guerra</w:t>
      </w:r>
      <w:r>
        <w:rPr>
          <w:spacing w:val="-7"/>
        </w:rPr>
        <w:t xml:space="preserve"> </w:t>
      </w:r>
      <w:r>
        <w:t>insurgente-contrainsurgente</w:t>
      </w:r>
      <w:r>
        <w:rPr>
          <w:spacing w:val="-6"/>
        </w:rPr>
        <w:t xml:space="preserve"> </w:t>
      </w:r>
      <w:r>
        <w:t>fue</w:t>
      </w:r>
      <w:r>
        <w:rPr>
          <w:spacing w:val="-6"/>
        </w:rPr>
        <w:t xml:space="preserve"> </w:t>
      </w:r>
      <w:r>
        <w:t>el</w:t>
      </w:r>
      <w:r>
        <w:rPr>
          <w:spacing w:val="-5"/>
        </w:rPr>
        <w:t xml:space="preserve"> </w:t>
      </w:r>
      <w:r>
        <w:t>control</w:t>
      </w:r>
      <w:r>
        <w:rPr>
          <w:spacing w:val="-7"/>
        </w:rPr>
        <w:t xml:space="preserve"> </w:t>
      </w:r>
      <w:r>
        <w:t>de</w:t>
      </w:r>
      <w:r>
        <w:rPr>
          <w:spacing w:val="-6"/>
        </w:rPr>
        <w:t xml:space="preserve"> </w:t>
      </w:r>
      <w:r>
        <w:t>la</w:t>
      </w:r>
      <w:r>
        <w:rPr>
          <w:spacing w:val="-6"/>
        </w:rPr>
        <w:t xml:space="preserve"> </w:t>
      </w:r>
      <w:r>
        <w:t>población,</w:t>
      </w:r>
      <w:r>
        <w:rPr>
          <w:spacing w:val="-6"/>
        </w:rPr>
        <w:t xml:space="preserve"> </w:t>
      </w:r>
      <w:r>
        <w:t xml:space="preserve">entendiéndola como la base del proyecto revolucionario. A </w:t>
      </w:r>
      <w:r>
        <w:lastRenderedPageBreak/>
        <w:t>pesar de ciertas transformaciones que se han promovido</w:t>
      </w:r>
      <w:r>
        <w:rPr>
          <w:spacing w:val="7"/>
        </w:rPr>
        <w:t xml:space="preserve"> </w:t>
      </w:r>
      <w:r>
        <w:t>en</w:t>
      </w:r>
      <w:r>
        <w:rPr>
          <w:spacing w:val="9"/>
        </w:rPr>
        <w:t xml:space="preserve"> </w:t>
      </w:r>
      <w:r>
        <w:t>el</w:t>
      </w:r>
      <w:r>
        <w:rPr>
          <w:spacing w:val="9"/>
        </w:rPr>
        <w:t xml:space="preserve"> </w:t>
      </w:r>
      <w:r>
        <w:t>sector</w:t>
      </w:r>
      <w:r>
        <w:rPr>
          <w:spacing w:val="9"/>
        </w:rPr>
        <w:t xml:space="preserve"> </w:t>
      </w:r>
      <w:r>
        <w:t>de</w:t>
      </w:r>
      <w:r>
        <w:rPr>
          <w:spacing w:val="10"/>
        </w:rPr>
        <w:t xml:space="preserve"> </w:t>
      </w:r>
      <w:r>
        <w:t>seguridad,</w:t>
      </w:r>
      <w:r>
        <w:rPr>
          <w:spacing w:val="10"/>
        </w:rPr>
        <w:t xml:space="preserve"> </w:t>
      </w:r>
      <w:r>
        <w:t>se</w:t>
      </w:r>
      <w:r>
        <w:rPr>
          <w:spacing w:val="10"/>
        </w:rPr>
        <w:t xml:space="preserve"> </w:t>
      </w:r>
      <w:r>
        <w:t>mantiene</w:t>
      </w:r>
      <w:r>
        <w:rPr>
          <w:spacing w:val="10"/>
        </w:rPr>
        <w:t xml:space="preserve"> </w:t>
      </w:r>
      <w:r>
        <w:t>un</w:t>
      </w:r>
      <w:r>
        <w:rPr>
          <w:spacing w:val="9"/>
        </w:rPr>
        <w:t xml:space="preserve"> </w:t>
      </w:r>
      <w:r>
        <w:t>rasgo</w:t>
      </w:r>
      <w:r>
        <w:rPr>
          <w:spacing w:val="8"/>
        </w:rPr>
        <w:t xml:space="preserve"> </w:t>
      </w:r>
      <w:r>
        <w:t>de</w:t>
      </w:r>
      <w:r>
        <w:rPr>
          <w:spacing w:val="11"/>
        </w:rPr>
        <w:t xml:space="preserve"> </w:t>
      </w:r>
      <w:r>
        <w:t>la</w:t>
      </w:r>
      <w:r>
        <w:rPr>
          <w:spacing w:val="8"/>
        </w:rPr>
        <w:t xml:space="preserve"> </w:t>
      </w:r>
      <w:r>
        <w:t>actuación</w:t>
      </w:r>
      <w:r>
        <w:rPr>
          <w:spacing w:val="9"/>
        </w:rPr>
        <w:t xml:space="preserve"> </w:t>
      </w:r>
      <w:r>
        <w:t>o</w:t>
      </w:r>
      <w:r>
        <w:rPr>
          <w:spacing w:val="9"/>
        </w:rPr>
        <w:t xml:space="preserve"> </w:t>
      </w:r>
      <w:r>
        <w:t>doctrina</w:t>
      </w:r>
      <w:r>
        <w:rPr>
          <w:spacing w:val="10"/>
        </w:rPr>
        <w:t xml:space="preserve"> </w:t>
      </w:r>
      <w:r>
        <w:t>de</w:t>
      </w:r>
      <w:r>
        <w:rPr>
          <w:spacing w:val="11"/>
        </w:rPr>
        <w:t xml:space="preserve"> </w:t>
      </w:r>
      <w:r>
        <w:rPr>
          <w:spacing w:val="-5"/>
        </w:rPr>
        <w:t>la</w:t>
      </w:r>
    </w:p>
    <w:p w:rsidR="003804AC" w:rsidRPr="00757EBB" w:rsidRDefault="00AF18A5" w:rsidP="00757EBB">
      <w:r w:rsidRPr="00757EBB">
        <w:t xml:space="preserve">fuerza pública orientado a </w:t>
      </w:r>
      <w:proofErr w:type="spellStart"/>
      <w:r w:rsidRPr="00757EBB">
        <w:t>search</w:t>
      </w:r>
      <w:proofErr w:type="spellEnd"/>
      <w:r w:rsidRPr="00757EBB">
        <w:t xml:space="preserve"> and </w:t>
      </w:r>
      <w:proofErr w:type="spellStart"/>
      <w:r w:rsidRPr="00757EBB">
        <w:t>destroy</w:t>
      </w:r>
      <w:proofErr w:type="spellEnd"/>
      <w:r w:rsidRPr="00757EBB">
        <w:t>: buscar y destruir. La urgencia es pasar a una</w:t>
      </w:r>
      <w:r w:rsidR="00757EBB" w:rsidRPr="00757EBB">
        <w:t xml:space="preserve"> </w:t>
      </w:r>
      <w:r w:rsidRPr="00757EBB">
        <w:t xml:space="preserve">human </w:t>
      </w:r>
      <w:proofErr w:type="spellStart"/>
      <w:r w:rsidRPr="00757EBB">
        <w:t>centric</w:t>
      </w:r>
      <w:proofErr w:type="spellEnd"/>
      <w:r w:rsidRPr="00757EBB">
        <w:t>, una seguridad basada en el ser humano.</w:t>
      </w:r>
    </w:p>
    <w:p w:rsidR="003804AC" w:rsidRDefault="00AF18A5" w:rsidP="00757EBB">
      <w:r>
        <w:t>La garantía de la seguridad es un derecho y una necesidad de las personas, de las comunidades, de la sociedad. Es uno de los fines del Estado y una necesidad actual, real y urgente</w:t>
      </w:r>
      <w:r>
        <w:rPr>
          <w:spacing w:val="-5"/>
        </w:rPr>
        <w:t xml:space="preserve"> </w:t>
      </w:r>
      <w:r>
        <w:t>en</w:t>
      </w:r>
      <w:r>
        <w:rPr>
          <w:spacing w:val="-5"/>
        </w:rPr>
        <w:t xml:space="preserve"> </w:t>
      </w:r>
      <w:r>
        <w:t>Colombia.</w:t>
      </w:r>
      <w:r>
        <w:rPr>
          <w:spacing w:val="-5"/>
        </w:rPr>
        <w:t xml:space="preserve"> </w:t>
      </w:r>
      <w:r>
        <w:t>Sin</w:t>
      </w:r>
      <w:r>
        <w:rPr>
          <w:spacing w:val="-6"/>
        </w:rPr>
        <w:t xml:space="preserve"> </w:t>
      </w:r>
      <w:r>
        <w:t>embargo,</w:t>
      </w:r>
      <w:r>
        <w:rPr>
          <w:spacing w:val="-5"/>
        </w:rPr>
        <w:t xml:space="preserve"> </w:t>
      </w:r>
      <w:r>
        <w:t>el</w:t>
      </w:r>
      <w:r>
        <w:rPr>
          <w:spacing w:val="-6"/>
        </w:rPr>
        <w:t xml:space="preserve"> </w:t>
      </w:r>
      <w:r>
        <w:t>modelo</w:t>
      </w:r>
      <w:r>
        <w:rPr>
          <w:spacing w:val="-5"/>
        </w:rPr>
        <w:t xml:space="preserve"> </w:t>
      </w:r>
      <w:r>
        <w:t>de</w:t>
      </w:r>
      <w:r>
        <w:rPr>
          <w:spacing w:val="-5"/>
        </w:rPr>
        <w:t xml:space="preserve"> </w:t>
      </w:r>
      <w:r>
        <w:t>seguridad</w:t>
      </w:r>
      <w:r>
        <w:rPr>
          <w:spacing w:val="-5"/>
        </w:rPr>
        <w:t xml:space="preserve"> </w:t>
      </w:r>
      <w:r>
        <w:t>en</w:t>
      </w:r>
      <w:r>
        <w:rPr>
          <w:spacing w:val="-6"/>
        </w:rPr>
        <w:t xml:space="preserve"> </w:t>
      </w:r>
      <w:r>
        <w:t>Colombia</w:t>
      </w:r>
      <w:r>
        <w:rPr>
          <w:spacing w:val="-5"/>
        </w:rPr>
        <w:t xml:space="preserve"> </w:t>
      </w:r>
      <w:r>
        <w:t>–que</w:t>
      </w:r>
      <w:r>
        <w:rPr>
          <w:spacing w:val="-5"/>
        </w:rPr>
        <w:t xml:space="preserve"> </w:t>
      </w:r>
      <w:r>
        <w:t>es</w:t>
      </w:r>
      <w:r>
        <w:rPr>
          <w:spacing w:val="-5"/>
        </w:rPr>
        <w:t xml:space="preserve"> </w:t>
      </w:r>
      <w:r>
        <w:t>el</w:t>
      </w:r>
      <w:r>
        <w:rPr>
          <w:spacing w:val="-4"/>
        </w:rPr>
        <w:t xml:space="preserve"> </w:t>
      </w:r>
      <w:r>
        <w:t>país</w:t>
      </w:r>
      <w:r>
        <w:rPr>
          <w:spacing w:val="-5"/>
        </w:rPr>
        <w:t xml:space="preserve"> </w:t>
      </w:r>
      <w:r>
        <w:t>que tiene</w:t>
      </w:r>
      <w:r>
        <w:rPr>
          <w:spacing w:val="-6"/>
        </w:rPr>
        <w:t xml:space="preserve"> </w:t>
      </w:r>
      <w:r>
        <w:t>el</w:t>
      </w:r>
      <w:r>
        <w:rPr>
          <w:spacing w:val="-6"/>
        </w:rPr>
        <w:t xml:space="preserve"> </w:t>
      </w:r>
      <w:r>
        <w:t>mayor</w:t>
      </w:r>
      <w:r>
        <w:rPr>
          <w:spacing w:val="-5"/>
        </w:rPr>
        <w:t xml:space="preserve"> </w:t>
      </w:r>
      <w:r>
        <w:t>presupuesto</w:t>
      </w:r>
      <w:r>
        <w:rPr>
          <w:spacing w:val="-5"/>
        </w:rPr>
        <w:t xml:space="preserve"> </w:t>
      </w:r>
      <w:r>
        <w:t>y</w:t>
      </w:r>
      <w:r>
        <w:rPr>
          <w:spacing w:val="-5"/>
        </w:rPr>
        <w:t xml:space="preserve"> </w:t>
      </w:r>
      <w:r>
        <w:t>las</w:t>
      </w:r>
      <w:r>
        <w:rPr>
          <w:spacing w:val="-6"/>
        </w:rPr>
        <w:t xml:space="preserve"> </w:t>
      </w:r>
      <w:r>
        <w:t>Fuerzas</w:t>
      </w:r>
      <w:r>
        <w:rPr>
          <w:spacing w:val="-5"/>
        </w:rPr>
        <w:t xml:space="preserve"> </w:t>
      </w:r>
      <w:r>
        <w:t>Armadas</w:t>
      </w:r>
      <w:r>
        <w:rPr>
          <w:spacing w:val="-5"/>
        </w:rPr>
        <w:t xml:space="preserve"> </w:t>
      </w:r>
      <w:r>
        <w:t>más</w:t>
      </w:r>
      <w:r>
        <w:rPr>
          <w:spacing w:val="-6"/>
        </w:rPr>
        <w:t xml:space="preserve"> </w:t>
      </w:r>
      <w:r>
        <w:t>numerosas</w:t>
      </w:r>
      <w:r>
        <w:rPr>
          <w:spacing w:val="-5"/>
        </w:rPr>
        <w:t xml:space="preserve"> </w:t>
      </w:r>
      <w:r>
        <w:t>del</w:t>
      </w:r>
      <w:r>
        <w:rPr>
          <w:spacing w:val="-6"/>
        </w:rPr>
        <w:t xml:space="preserve"> </w:t>
      </w:r>
      <w:r>
        <w:t>continente</w:t>
      </w:r>
      <w:r>
        <w:rPr>
          <w:spacing w:val="-5"/>
        </w:rPr>
        <w:t xml:space="preserve"> </w:t>
      </w:r>
      <w:r>
        <w:t>después</w:t>
      </w:r>
      <w:r>
        <w:rPr>
          <w:spacing w:val="-5"/>
        </w:rPr>
        <w:t xml:space="preserve"> </w:t>
      </w:r>
      <w:r>
        <w:t>de Estados Unidos– no ha proporcionado seguridad a la población. Si bien Colombia ha enfrentado un conflicto armado interno en los últimos 60 años, y en épocas anteriores había vivido el llamado tiempo de la Violencia, con un enorme número de víctimas civiles igualmente,</w:t>
      </w:r>
      <w:r>
        <w:rPr>
          <w:spacing w:val="-6"/>
        </w:rPr>
        <w:t xml:space="preserve"> </w:t>
      </w:r>
      <w:r>
        <w:t>la</w:t>
      </w:r>
      <w:r>
        <w:rPr>
          <w:spacing w:val="-3"/>
        </w:rPr>
        <w:t xml:space="preserve"> </w:t>
      </w:r>
      <w:r>
        <w:t>defensa</w:t>
      </w:r>
      <w:r>
        <w:rPr>
          <w:spacing w:val="-4"/>
        </w:rPr>
        <w:t xml:space="preserve"> </w:t>
      </w:r>
      <w:r>
        <w:t>del</w:t>
      </w:r>
      <w:r>
        <w:rPr>
          <w:spacing w:val="-3"/>
        </w:rPr>
        <w:t xml:space="preserve"> </w:t>
      </w:r>
      <w:r>
        <w:t>Estado</w:t>
      </w:r>
      <w:r>
        <w:rPr>
          <w:spacing w:val="-4"/>
        </w:rPr>
        <w:t xml:space="preserve"> </w:t>
      </w:r>
      <w:r>
        <w:t>no</w:t>
      </w:r>
      <w:r>
        <w:rPr>
          <w:spacing w:val="-5"/>
        </w:rPr>
        <w:t xml:space="preserve"> </w:t>
      </w:r>
      <w:r>
        <w:t>puede</w:t>
      </w:r>
      <w:r>
        <w:rPr>
          <w:spacing w:val="-3"/>
        </w:rPr>
        <w:t xml:space="preserve"> </w:t>
      </w:r>
      <w:r>
        <w:t>ser</w:t>
      </w:r>
      <w:r>
        <w:rPr>
          <w:spacing w:val="-3"/>
        </w:rPr>
        <w:t xml:space="preserve"> </w:t>
      </w:r>
      <w:r>
        <w:t>diferente</w:t>
      </w:r>
      <w:r>
        <w:rPr>
          <w:spacing w:val="-3"/>
        </w:rPr>
        <w:t xml:space="preserve"> </w:t>
      </w:r>
      <w:r>
        <w:t>a</w:t>
      </w:r>
      <w:r>
        <w:rPr>
          <w:spacing w:val="-5"/>
        </w:rPr>
        <w:t xml:space="preserve"> </w:t>
      </w:r>
      <w:r>
        <w:t>la</w:t>
      </w:r>
      <w:r>
        <w:rPr>
          <w:spacing w:val="-3"/>
        </w:rPr>
        <w:t xml:space="preserve"> </w:t>
      </w:r>
      <w:r>
        <w:t>seguridad</w:t>
      </w:r>
      <w:r>
        <w:rPr>
          <w:spacing w:val="-4"/>
        </w:rPr>
        <w:t xml:space="preserve"> </w:t>
      </w:r>
      <w:r>
        <w:t>de</w:t>
      </w:r>
      <w:r>
        <w:rPr>
          <w:spacing w:val="-5"/>
        </w:rPr>
        <w:t xml:space="preserve"> </w:t>
      </w:r>
      <w:r>
        <w:t>los</w:t>
      </w:r>
      <w:r>
        <w:rPr>
          <w:spacing w:val="-4"/>
        </w:rPr>
        <w:t xml:space="preserve"> </w:t>
      </w:r>
      <w:r>
        <w:t>ciudadanos.</w:t>
      </w:r>
      <w:r>
        <w:rPr>
          <w:spacing w:val="-4"/>
        </w:rPr>
        <w:t xml:space="preserve"> </w:t>
      </w:r>
      <w:r>
        <w:t>Y esa victimización no se ha dado solo por los grupos guerrilleros, sino por el propio modelo de seguridad del Estado, las Fuerzas Armadas y las alianzas con grupos paramilitares en las que se ha sostenido.</w:t>
      </w:r>
    </w:p>
    <w:p w:rsidR="003804AC" w:rsidRDefault="00AF18A5" w:rsidP="00757EBB">
      <w:r>
        <w:t>¿Cuáles son los rasgos más relevantes del modelo de seguridad y defensa del Estado en Colombia en las últimas décadas?, ¿cómo se han construido esos rasgos a lo largo de la historia? y ¿por qué este modelo de seguridad y defensa no ha servido para garantizar la seguridad de todas las personas?</w:t>
      </w:r>
    </w:p>
    <w:p w:rsidR="003804AC" w:rsidRDefault="00AF18A5" w:rsidP="00757EBB">
      <w:r>
        <w:t>La acumulación de problemas sociales, la exclusión étnica, económica y política, el abandono</w:t>
      </w:r>
      <w:r>
        <w:rPr>
          <w:spacing w:val="-5"/>
        </w:rPr>
        <w:t xml:space="preserve"> </w:t>
      </w:r>
      <w:r>
        <w:t>del</w:t>
      </w:r>
      <w:r>
        <w:rPr>
          <w:spacing w:val="-4"/>
        </w:rPr>
        <w:t xml:space="preserve"> </w:t>
      </w:r>
      <w:r>
        <w:t>campesinado</w:t>
      </w:r>
      <w:r>
        <w:rPr>
          <w:spacing w:val="-5"/>
        </w:rPr>
        <w:t xml:space="preserve"> </w:t>
      </w:r>
      <w:r>
        <w:t>y</w:t>
      </w:r>
      <w:r>
        <w:rPr>
          <w:spacing w:val="-5"/>
        </w:rPr>
        <w:t xml:space="preserve"> </w:t>
      </w:r>
      <w:r>
        <w:t>la</w:t>
      </w:r>
      <w:r>
        <w:rPr>
          <w:spacing w:val="-6"/>
        </w:rPr>
        <w:t xml:space="preserve"> </w:t>
      </w:r>
      <w:r>
        <w:t>penetración</w:t>
      </w:r>
      <w:r>
        <w:rPr>
          <w:spacing w:val="-6"/>
        </w:rPr>
        <w:t xml:space="preserve"> </w:t>
      </w:r>
      <w:r>
        <w:t>del</w:t>
      </w:r>
      <w:r>
        <w:rPr>
          <w:spacing w:val="-5"/>
        </w:rPr>
        <w:t xml:space="preserve"> </w:t>
      </w:r>
      <w:r>
        <w:t>narcotráfico</w:t>
      </w:r>
      <w:r>
        <w:rPr>
          <w:spacing w:val="-6"/>
        </w:rPr>
        <w:t xml:space="preserve"> </w:t>
      </w:r>
      <w:r>
        <w:t>se</w:t>
      </w:r>
      <w:r>
        <w:rPr>
          <w:spacing w:val="-4"/>
        </w:rPr>
        <w:t xml:space="preserve"> </w:t>
      </w:r>
      <w:r>
        <w:t>han</w:t>
      </w:r>
      <w:r>
        <w:rPr>
          <w:spacing w:val="-5"/>
        </w:rPr>
        <w:t xml:space="preserve"> </w:t>
      </w:r>
      <w:r>
        <w:t>abordado</w:t>
      </w:r>
      <w:r>
        <w:rPr>
          <w:spacing w:val="-5"/>
        </w:rPr>
        <w:t xml:space="preserve"> </w:t>
      </w:r>
      <w:r>
        <w:t xml:space="preserve">históricamente como un problema de orden público. </w:t>
      </w:r>
      <w:r>
        <w:lastRenderedPageBreak/>
        <w:t>Desde hace décadas, con el Frente Nacional, el poder político acordó con las Fuerzas Armadas y de seguridad darles una relativa autonomía en el manejo del orden público y de la lucha contrainsurgente a partir del surgimiento de las guerrillas, así como ciertas prerrogativas institucionales para esa tarea que se concedieron especialmente</w:t>
      </w:r>
      <w:r>
        <w:rPr>
          <w:spacing w:val="-2"/>
        </w:rPr>
        <w:t xml:space="preserve"> </w:t>
      </w:r>
      <w:r>
        <w:t>a</w:t>
      </w:r>
      <w:r>
        <w:rPr>
          <w:spacing w:val="-2"/>
        </w:rPr>
        <w:t xml:space="preserve"> </w:t>
      </w:r>
      <w:r>
        <w:t>través</w:t>
      </w:r>
      <w:r>
        <w:rPr>
          <w:spacing w:val="-2"/>
        </w:rPr>
        <w:t xml:space="preserve"> </w:t>
      </w:r>
      <w:r>
        <w:t>del</w:t>
      </w:r>
      <w:r>
        <w:rPr>
          <w:spacing w:val="-2"/>
        </w:rPr>
        <w:t xml:space="preserve"> </w:t>
      </w:r>
      <w:r>
        <w:t>estado</w:t>
      </w:r>
      <w:r>
        <w:rPr>
          <w:spacing w:val="-2"/>
        </w:rPr>
        <w:t xml:space="preserve"> </w:t>
      </w:r>
      <w:r>
        <w:t>de</w:t>
      </w:r>
      <w:r>
        <w:rPr>
          <w:spacing w:val="-3"/>
        </w:rPr>
        <w:t xml:space="preserve"> </w:t>
      </w:r>
      <w:r>
        <w:t>sitio</w:t>
      </w:r>
      <w:r>
        <w:rPr>
          <w:spacing w:val="-2"/>
        </w:rPr>
        <w:t xml:space="preserve"> </w:t>
      </w:r>
      <w:r>
        <w:t>que</w:t>
      </w:r>
      <w:r>
        <w:rPr>
          <w:spacing w:val="-2"/>
        </w:rPr>
        <w:t xml:space="preserve"> </w:t>
      </w:r>
      <w:r>
        <w:t>funcionó</w:t>
      </w:r>
      <w:r>
        <w:rPr>
          <w:spacing w:val="-2"/>
        </w:rPr>
        <w:t xml:space="preserve"> </w:t>
      </w:r>
      <w:r>
        <w:t>en</w:t>
      </w:r>
      <w:r>
        <w:rPr>
          <w:spacing w:val="-2"/>
        </w:rPr>
        <w:t xml:space="preserve"> </w:t>
      </w:r>
      <w:r>
        <w:t>Colombia</w:t>
      </w:r>
      <w:r>
        <w:rPr>
          <w:spacing w:val="-2"/>
        </w:rPr>
        <w:t xml:space="preserve"> </w:t>
      </w:r>
      <w:r>
        <w:t>entre</w:t>
      </w:r>
      <w:r>
        <w:rPr>
          <w:spacing w:val="-2"/>
        </w:rPr>
        <w:t xml:space="preserve"> </w:t>
      </w:r>
      <w:r>
        <w:t>1949</w:t>
      </w:r>
      <w:r>
        <w:rPr>
          <w:spacing w:val="-2"/>
        </w:rPr>
        <w:t xml:space="preserve"> </w:t>
      </w:r>
      <w:r>
        <w:t>y</w:t>
      </w:r>
      <w:r>
        <w:rPr>
          <w:spacing w:val="-2"/>
        </w:rPr>
        <w:t xml:space="preserve"> </w:t>
      </w:r>
      <w:r>
        <w:t>1991,</w:t>
      </w:r>
      <w:r>
        <w:rPr>
          <w:spacing w:val="-2"/>
        </w:rPr>
        <w:t xml:space="preserve"> </w:t>
      </w:r>
      <w:r>
        <w:t>con una</w:t>
      </w:r>
      <w:r>
        <w:rPr>
          <w:spacing w:val="-7"/>
        </w:rPr>
        <w:t xml:space="preserve"> </w:t>
      </w:r>
      <w:r>
        <w:t>fuerte</w:t>
      </w:r>
      <w:r>
        <w:rPr>
          <w:spacing w:val="-7"/>
        </w:rPr>
        <w:t xml:space="preserve"> </w:t>
      </w:r>
      <w:r>
        <w:t>limitación</w:t>
      </w:r>
      <w:r>
        <w:rPr>
          <w:spacing w:val="-7"/>
        </w:rPr>
        <w:t xml:space="preserve"> </w:t>
      </w:r>
      <w:r>
        <w:t>de</w:t>
      </w:r>
      <w:r>
        <w:rPr>
          <w:spacing w:val="-8"/>
        </w:rPr>
        <w:t xml:space="preserve"> </w:t>
      </w:r>
      <w:r>
        <w:t>derechos</w:t>
      </w:r>
      <w:r>
        <w:rPr>
          <w:spacing w:val="-7"/>
        </w:rPr>
        <w:t xml:space="preserve"> </w:t>
      </w:r>
      <w:r>
        <w:t>y</w:t>
      </w:r>
      <w:r>
        <w:rPr>
          <w:spacing w:val="-7"/>
        </w:rPr>
        <w:t xml:space="preserve"> </w:t>
      </w:r>
      <w:r>
        <w:t>unas</w:t>
      </w:r>
      <w:r>
        <w:rPr>
          <w:spacing w:val="-7"/>
        </w:rPr>
        <w:t xml:space="preserve"> </w:t>
      </w:r>
      <w:r>
        <w:t>competencias</w:t>
      </w:r>
      <w:r>
        <w:rPr>
          <w:spacing w:val="-7"/>
        </w:rPr>
        <w:t xml:space="preserve"> </w:t>
      </w:r>
      <w:r>
        <w:t>muy</w:t>
      </w:r>
      <w:r>
        <w:rPr>
          <w:spacing w:val="-8"/>
        </w:rPr>
        <w:t xml:space="preserve"> </w:t>
      </w:r>
      <w:r>
        <w:t>amplias</w:t>
      </w:r>
      <w:r>
        <w:rPr>
          <w:spacing w:val="-7"/>
        </w:rPr>
        <w:t xml:space="preserve"> </w:t>
      </w:r>
      <w:r>
        <w:t>de</w:t>
      </w:r>
      <w:r>
        <w:rPr>
          <w:spacing w:val="-7"/>
        </w:rPr>
        <w:t xml:space="preserve"> </w:t>
      </w:r>
      <w:r>
        <w:t>las</w:t>
      </w:r>
      <w:r>
        <w:rPr>
          <w:spacing w:val="-7"/>
        </w:rPr>
        <w:t xml:space="preserve"> </w:t>
      </w:r>
      <w:r>
        <w:t>Fuerzas</w:t>
      </w:r>
      <w:r>
        <w:rPr>
          <w:spacing w:val="-7"/>
        </w:rPr>
        <w:t xml:space="preserve"> </w:t>
      </w:r>
      <w:r>
        <w:t>Militares en</w:t>
      </w:r>
      <w:r>
        <w:rPr>
          <w:spacing w:val="-11"/>
        </w:rPr>
        <w:t xml:space="preserve"> </w:t>
      </w:r>
      <w:r>
        <w:t>lo</w:t>
      </w:r>
      <w:r>
        <w:rPr>
          <w:spacing w:val="-12"/>
        </w:rPr>
        <w:t xml:space="preserve"> </w:t>
      </w:r>
      <w:r>
        <w:t>que</w:t>
      </w:r>
      <w:r>
        <w:rPr>
          <w:spacing w:val="-12"/>
        </w:rPr>
        <w:t xml:space="preserve"> </w:t>
      </w:r>
      <w:r>
        <w:t>se</w:t>
      </w:r>
      <w:r>
        <w:rPr>
          <w:spacing w:val="-12"/>
        </w:rPr>
        <w:t xml:space="preserve"> </w:t>
      </w:r>
      <w:r>
        <w:t>considera</w:t>
      </w:r>
      <w:r>
        <w:rPr>
          <w:spacing w:val="-11"/>
        </w:rPr>
        <w:t xml:space="preserve"> </w:t>
      </w:r>
      <w:r>
        <w:t>orden</w:t>
      </w:r>
      <w:r>
        <w:rPr>
          <w:spacing w:val="-11"/>
        </w:rPr>
        <w:t xml:space="preserve"> </w:t>
      </w:r>
      <w:r>
        <w:t>público,</w:t>
      </w:r>
      <w:r>
        <w:rPr>
          <w:spacing w:val="-12"/>
        </w:rPr>
        <w:t xml:space="preserve"> </w:t>
      </w:r>
      <w:r>
        <w:t>como</w:t>
      </w:r>
      <w:r>
        <w:rPr>
          <w:spacing w:val="-12"/>
        </w:rPr>
        <w:t xml:space="preserve"> </w:t>
      </w:r>
      <w:r>
        <w:t>detenciones</w:t>
      </w:r>
      <w:r>
        <w:rPr>
          <w:spacing w:val="-12"/>
        </w:rPr>
        <w:t xml:space="preserve"> </w:t>
      </w:r>
      <w:r>
        <w:t>o</w:t>
      </w:r>
      <w:r>
        <w:rPr>
          <w:spacing w:val="-11"/>
        </w:rPr>
        <w:t xml:space="preserve"> </w:t>
      </w:r>
      <w:r>
        <w:t>investigación</w:t>
      </w:r>
      <w:r>
        <w:rPr>
          <w:spacing w:val="-12"/>
        </w:rPr>
        <w:t xml:space="preserve"> </w:t>
      </w:r>
      <w:r>
        <w:t>de</w:t>
      </w:r>
      <w:r>
        <w:rPr>
          <w:spacing w:val="-11"/>
        </w:rPr>
        <w:t xml:space="preserve"> </w:t>
      </w:r>
      <w:r>
        <w:t>casos</w:t>
      </w:r>
      <w:r>
        <w:rPr>
          <w:spacing w:val="-11"/>
        </w:rPr>
        <w:t xml:space="preserve"> </w:t>
      </w:r>
      <w:r>
        <w:t>y</w:t>
      </w:r>
      <w:r>
        <w:rPr>
          <w:spacing w:val="-12"/>
        </w:rPr>
        <w:t xml:space="preserve"> </w:t>
      </w:r>
      <w:r>
        <w:t>aplicación de justicia penal militar contra civiles acusados de diferentes delitos.</w:t>
      </w:r>
    </w:p>
    <w:p w:rsidR="003804AC" w:rsidRDefault="00AF18A5" w:rsidP="00757EBB">
      <w:r>
        <w:t>El</w:t>
      </w:r>
      <w:r>
        <w:rPr>
          <w:spacing w:val="-14"/>
        </w:rPr>
        <w:t xml:space="preserve"> </w:t>
      </w:r>
      <w:r>
        <w:t>Estado</w:t>
      </w:r>
      <w:r>
        <w:rPr>
          <w:spacing w:val="-15"/>
        </w:rPr>
        <w:t xml:space="preserve"> </w:t>
      </w:r>
      <w:r>
        <w:t>decidió</w:t>
      </w:r>
      <w:r>
        <w:rPr>
          <w:spacing w:val="-15"/>
        </w:rPr>
        <w:t xml:space="preserve"> </w:t>
      </w:r>
      <w:r>
        <w:t>enfrentar</w:t>
      </w:r>
      <w:r>
        <w:rPr>
          <w:spacing w:val="-14"/>
        </w:rPr>
        <w:t xml:space="preserve"> </w:t>
      </w:r>
      <w:r>
        <w:t>el</w:t>
      </w:r>
      <w:r>
        <w:rPr>
          <w:spacing w:val="-14"/>
        </w:rPr>
        <w:t xml:space="preserve"> </w:t>
      </w:r>
      <w:r>
        <w:t>problema</w:t>
      </w:r>
      <w:r>
        <w:rPr>
          <w:spacing w:val="-14"/>
        </w:rPr>
        <w:t xml:space="preserve"> </w:t>
      </w:r>
      <w:r>
        <w:t>político</w:t>
      </w:r>
      <w:r>
        <w:rPr>
          <w:spacing w:val="-15"/>
        </w:rPr>
        <w:t xml:space="preserve"> </w:t>
      </w:r>
      <w:r>
        <w:t>que</w:t>
      </w:r>
      <w:r>
        <w:rPr>
          <w:spacing w:val="-14"/>
        </w:rPr>
        <w:t xml:space="preserve"> </w:t>
      </w:r>
      <w:r>
        <w:t>planteaba</w:t>
      </w:r>
      <w:r>
        <w:rPr>
          <w:spacing w:val="-14"/>
        </w:rPr>
        <w:t xml:space="preserve"> </w:t>
      </w:r>
      <w:r>
        <w:t>una</w:t>
      </w:r>
      <w:r>
        <w:rPr>
          <w:spacing w:val="-15"/>
        </w:rPr>
        <w:t xml:space="preserve"> </w:t>
      </w:r>
      <w:r>
        <w:t>insurgencia</w:t>
      </w:r>
      <w:r>
        <w:rPr>
          <w:spacing w:val="-15"/>
        </w:rPr>
        <w:t xml:space="preserve"> </w:t>
      </w:r>
      <w:r>
        <w:t>en</w:t>
      </w:r>
      <w:r>
        <w:rPr>
          <w:spacing w:val="-15"/>
        </w:rPr>
        <w:t xml:space="preserve"> </w:t>
      </w:r>
      <w:r>
        <w:t>rebeldía contra el Estado mediante una solución militar, en lugar de hacerlo con el diálogo y la negociación</w:t>
      </w:r>
      <w:r>
        <w:rPr>
          <w:spacing w:val="58"/>
        </w:rPr>
        <w:t xml:space="preserve"> </w:t>
      </w:r>
      <w:r>
        <w:t>política</w:t>
      </w:r>
      <w:r>
        <w:rPr>
          <w:spacing w:val="60"/>
        </w:rPr>
        <w:t xml:space="preserve"> </w:t>
      </w:r>
      <w:r>
        <w:t>desde</w:t>
      </w:r>
      <w:r>
        <w:rPr>
          <w:spacing w:val="60"/>
        </w:rPr>
        <w:t xml:space="preserve"> </w:t>
      </w:r>
      <w:r>
        <w:t>un</w:t>
      </w:r>
      <w:r>
        <w:rPr>
          <w:spacing w:val="59"/>
        </w:rPr>
        <w:t xml:space="preserve"> </w:t>
      </w:r>
      <w:r>
        <w:t>principio,</w:t>
      </w:r>
      <w:r>
        <w:rPr>
          <w:spacing w:val="59"/>
        </w:rPr>
        <w:t xml:space="preserve"> </w:t>
      </w:r>
      <w:r>
        <w:t>pero</w:t>
      </w:r>
      <w:r>
        <w:rPr>
          <w:spacing w:val="57"/>
        </w:rPr>
        <w:t xml:space="preserve"> </w:t>
      </w:r>
      <w:r>
        <w:t>esa</w:t>
      </w:r>
      <w:r>
        <w:rPr>
          <w:spacing w:val="59"/>
        </w:rPr>
        <w:t xml:space="preserve"> </w:t>
      </w:r>
      <w:r>
        <w:t>misma</w:t>
      </w:r>
      <w:r>
        <w:rPr>
          <w:spacing w:val="58"/>
        </w:rPr>
        <w:t xml:space="preserve"> </w:t>
      </w:r>
      <w:r>
        <w:t>solución</w:t>
      </w:r>
      <w:r>
        <w:rPr>
          <w:spacing w:val="59"/>
        </w:rPr>
        <w:t xml:space="preserve"> </w:t>
      </w:r>
      <w:r>
        <w:t>militar</w:t>
      </w:r>
      <w:r>
        <w:rPr>
          <w:spacing w:val="59"/>
        </w:rPr>
        <w:t xml:space="preserve"> </w:t>
      </w:r>
      <w:r>
        <w:t>acrecentó</w:t>
      </w:r>
      <w:r>
        <w:rPr>
          <w:spacing w:val="60"/>
        </w:rPr>
        <w:t xml:space="preserve"> </w:t>
      </w:r>
      <w:r>
        <w:rPr>
          <w:spacing w:val="-5"/>
        </w:rPr>
        <w:t>la</w:t>
      </w:r>
      <w:r w:rsidR="00757EBB">
        <w:t xml:space="preserve"> </w:t>
      </w:r>
      <w:r>
        <w:t>seguridad armada del Estado mientras se aumentaban cada vez más las fuerzas insurgentes. La sociedad se hizo a la solución militar y apoyó el crecimiento de la seguridad armada. Algunos líderes empresariales y militares se opusieron a los procesos de paz de diversas maneras</w:t>
      </w:r>
      <w:r>
        <w:rPr>
          <w:spacing w:val="-10"/>
        </w:rPr>
        <w:t xml:space="preserve"> </w:t>
      </w:r>
      <w:r>
        <w:t>y</w:t>
      </w:r>
      <w:r>
        <w:rPr>
          <w:spacing w:val="-11"/>
        </w:rPr>
        <w:t xml:space="preserve"> </w:t>
      </w:r>
      <w:r>
        <w:t>en</w:t>
      </w:r>
      <w:r>
        <w:rPr>
          <w:spacing w:val="-11"/>
        </w:rPr>
        <w:t xml:space="preserve"> </w:t>
      </w:r>
      <w:r>
        <w:t>distintas</w:t>
      </w:r>
      <w:r>
        <w:rPr>
          <w:spacing w:val="-10"/>
        </w:rPr>
        <w:t xml:space="preserve"> </w:t>
      </w:r>
      <w:r>
        <w:t>épocas</w:t>
      </w:r>
      <w:r>
        <w:rPr>
          <w:spacing w:val="-10"/>
        </w:rPr>
        <w:t xml:space="preserve"> </w:t>
      </w:r>
      <w:r>
        <w:t>esperando</w:t>
      </w:r>
      <w:r>
        <w:rPr>
          <w:spacing w:val="-11"/>
        </w:rPr>
        <w:t xml:space="preserve"> </w:t>
      </w:r>
      <w:r>
        <w:t>el</w:t>
      </w:r>
      <w:r>
        <w:rPr>
          <w:spacing w:val="-10"/>
        </w:rPr>
        <w:t xml:space="preserve"> </w:t>
      </w:r>
      <w:r>
        <w:t>triunfo</w:t>
      </w:r>
      <w:r>
        <w:rPr>
          <w:spacing w:val="-11"/>
        </w:rPr>
        <w:t xml:space="preserve"> </w:t>
      </w:r>
      <w:r>
        <w:t>por</w:t>
      </w:r>
      <w:r>
        <w:rPr>
          <w:spacing w:val="-10"/>
        </w:rPr>
        <w:t xml:space="preserve"> </w:t>
      </w:r>
      <w:r>
        <w:t>las</w:t>
      </w:r>
      <w:r>
        <w:rPr>
          <w:spacing w:val="-10"/>
        </w:rPr>
        <w:t xml:space="preserve"> </w:t>
      </w:r>
      <w:r>
        <w:t>armas,</w:t>
      </w:r>
      <w:r>
        <w:rPr>
          <w:spacing w:val="-11"/>
        </w:rPr>
        <w:t xml:space="preserve"> </w:t>
      </w:r>
      <w:r>
        <w:t>mientras</w:t>
      </w:r>
      <w:r>
        <w:rPr>
          <w:spacing w:val="-10"/>
        </w:rPr>
        <w:t xml:space="preserve"> </w:t>
      </w:r>
      <w:r>
        <w:t>la</w:t>
      </w:r>
      <w:r>
        <w:rPr>
          <w:spacing w:val="-10"/>
        </w:rPr>
        <w:t xml:space="preserve"> </w:t>
      </w:r>
      <w:r>
        <w:t>seguridad</w:t>
      </w:r>
      <w:r>
        <w:rPr>
          <w:spacing w:val="-11"/>
        </w:rPr>
        <w:t xml:space="preserve"> </w:t>
      </w:r>
      <w:r>
        <w:t>de</w:t>
      </w:r>
      <w:r>
        <w:rPr>
          <w:spacing w:val="-10"/>
        </w:rPr>
        <w:t xml:space="preserve"> </w:t>
      </w:r>
      <w:r>
        <w:t>las personas se rompía en los campos y en las organizaciones sociales.</w:t>
      </w:r>
    </w:p>
    <w:p w:rsidR="003804AC" w:rsidRDefault="00AF18A5" w:rsidP="00757EBB">
      <w:r>
        <w:t>En este</w:t>
      </w:r>
      <w:r>
        <w:rPr>
          <w:spacing w:val="-1"/>
        </w:rPr>
        <w:t xml:space="preserve"> </w:t>
      </w:r>
      <w:r>
        <w:t>modelo se</w:t>
      </w:r>
      <w:r>
        <w:rPr>
          <w:spacing w:val="-1"/>
        </w:rPr>
        <w:t xml:space="preserve"> </w:t>
      </w:r>
      <w:r>
        <w:t>ha confundido</w:t>
      </w:r>
      <w:r>
        <w:rPr>
          <w:spacing w:val="-1"/>
        </w:rPr>
        <w:t xml:space="preserve"> </w:t>
      </w:r>
      <w:r>
        <w:t>la</w:t>
      </w:r>
      <w:r>
        <w:rPr>
          <w:spacing w:val="-1"/>
        </w:rPr>
        <w:t xml:space="preserve"> </w:t>
      </w:r>
      <w:r>
        <w:t>seguridad</w:t>
      </w:r>
      <w:r>
        <w:rPr>
          <w:spacing w:val="-1"/>
        </w:rPr>
        <w:t xml:space="preserve"> </w:t>
      </w:r>
      <w:r>
        <w:t>con la defensa.</w:t>
      </w:r>
      <w:r>
        <w:rPr>
          <w:spacing w:val="-1"/>
        </w:rPr>
        <w:t xml:space="preserve"> </w:t>
      </w:r>
      <w:r>
        <w:t>Por una parte, la seguridad se refiere a</w:t>
      </w:r>
      <w:r>
        <w:rPr>
          <w:spacing w:val="-1"/>
        </w:rPr>
        <w:t xml:space="preserve"> </w:t>
      </w:r>
      <w:r>
        <w:t>la percepción</w:t>
      </w:r>
      <w:r>
        <w:rPr>
          <w:spacing w:val="-1"/>
        </w:rPr>
        <w:t xml:space="preserve"> </w:t>
      </w:r>
      <w:r>
        <w:t>que se</w:t>
      </w:r>
      <w:r>
        <w:rPr>
          <w:spacing w:val="-1"/>
        </w:rPr>
        <w:t xml:space="preserve"> </w:t>
      </w:r>
      <w:r>
        <w:t>tiene</w:t>
      </w:r>
      <w:r>
        <w:rPr>
          <w:spacing w:val="-1"/>
        </w:rPr>
        <w:t xml:space="preserve"> </w:t>
      </w:r>
      <w:r>
        <w:t>de no enfrentar</w:t>
      </w:r>
      <w:r>
        <w:rPr>
          <w:spacing w:val="-1"/>
        </w:rPr>
        <w:t xml:space="preserve"> </w:t>
      </w:r>
      <w:r>
        <w:t>riesgos</w:t>
      </w:r>
      <w:r>
        <w:rPr>
          <w:spacing w:val="-1"/>
        </w:rPr>
        <w:t xml:space="preserve"> </w:t>
      </w:r>
      <w:r>
        <w:t>ni amenazas, que promueve el desarrollo humano y la convivencia. La defensa armada, por su parte, se activa cuando hay una</w:t>
      </w:r>
      <w:r>
        <w:rPr>
          <w:spacing w:val="-3"/>
        </w:rPr>
        <w:t xml:space="preserve"> </w:t>
      </w:r>
      <w:r>
        <w:t>amenaza</w:t>
      </w:r>
      <w:r>
        <w:rPr>
          <w:spacing w:val="-3"/>
        </w:rPr>
        <w:t xml:space="preserve"> </w:t>
      </w:r>
      <w:r>
        <w:t>a</w:t>
      </w:r>
      <w:r>
        <w:rPr>
          <w:spacing w:val="-4"/>
        </w:rPr>
        <w:t xml:space="preserve"> </w:t>
      </w:r>
      <w:r>
        <w:t>la</w:t>
      </w:r>
      <w:r>
        <w:rPr>
          <w:spacing w:val="-3"/>
        </w:rPr>
        <w:t xml:space="preserve"> </w:t>
      </w:r>
      <w:r>
        <w:t>seguridad.</w:t>
      </w:r>
      <w:r>
        <w:rPr>
          <w:spacing w:val="-3"/>
        </w:rPr>
        <w:t xml:space="preserve"> </w:t>
      </w:r>
      <w:r>
        <w:t>El</w:t>
      </w:r>
      <w:r>
        <w:rPr>
          <w:spacing w:val="-3"/>
        </w:rPr>
        <w:t xml:space="preserve"> </w:t>
      </w:r>
      <w:r>
        <w:t>Estado,</w:t>
      </w:r>
      <w:r>
        <w:rPr>
          <w:spacing w:val="-3"/>
        </w:rPr>
        <w:t xml:space="preserve"> </w:t>
      </w:r>
      <w:r>
        <w:t>desde</w:t>
      </w:r>
      <w:r>
        <w:rPr>
          <w:spacing w:val="-4"/>
        </w:rPr>
        <w:t xml:space="preserve"> </w:t>
      </w:r>
      <w:r>
        <w:t>las</w:t>
      </w:r>
      <w:r>
        <w:rPr>
          <w:spacing w:val="-3"/>
        </w:rPr>
        <w:t xml:space="preserve"> </w:t>
      </w:r>
      <w:r>
        <w:t>autoridades</w:t>
      </w:r>
      <w:r>
        <w:rPr>
          <w:spacing w:val="-3"/>
        </w:rPr>
        <w:t xml:space="preserve"> </w:t>
      </w:r>
      <w:r>
        <w:t>civiles,</w:t>
      </w:r>
      <w:r>
        <w:rPr>
          <w:spacing w:val="-5"/>
        </w:rPr>
        <w:t xml:space="preserve"> </w:t>
      </w:r>
      <w:r>
        <w:t>pero</w:t>
      </w:r>
      <w:r>
        <w:rPr>
          <w:spacing w:val="-3"/>
        </w:rPr>
        <w:t xml:space="preserve"> </w:t>
      </w:r>
      <w:r>
        <w:t>también</w:t>
      </w:r>
      <w:r>
        <w:rPr>
          <w:spacing w:val="-3"/>
        </w:rPr>
        <w:t xml:space="preserve"> </w:t>
      </w:r>
      <w:r>
        <w:t>desde</w:t>
      </w:r>
      <w:r>
        <w:rPr>
          <w:spacing w:val="-3"/>
        </w:rPr>
        <w:t xml:space="preserve"> </w:t>
      </w:r>
      <w:r>
        <w:t>las Fuerzas Armadas, en medio del conflicto armado, se sumergió en un enfoque de defensa frente</w:t>
      </w:r>
      <w:r>
        <w:rPr>
          <w:spacing w:val="-9"/>
        </w:rPr>
        <w:t xml:space="preserve"> </w:t>
      </w:r>
      <w:r>
        <w:t>a</w:t>
      </w:r>
      <w:r>
        <w:rPr>
          <w:spacing w:val="-9"/>
        </w:rPr>
        <w:t xml:space="preserve"> </w:t>
      </w:r>
      <w:r>
        <w:t>amenazas,</w:t>
      </w:r>
      <w:r>
        <w:rPr>
          <w:spacing w:val="-9"/>
        </w:rPr>
        <w:t xml:space="preserve"> </w:t>
      </w:r>
      <w:r>
        <w:t>concentrando</w:t>
      </w:r>
      <w:r>
        <w:rPr>
          <w:spacing w:val="-11"/>
        </w:rPr>
        <w:t xml:space="preserve"> </w:t>
      </w:r>
      <w:r>
        <w:lastRenderedPageBreak/>
        <w:t>todos</w:t>
      </w:r>
      <w:r>
        <w:rPr>
          <w:spacing w:val="-9"/>
        </w:rPr>
        <w:t xml:space="preserve"> </w:t>
      </w:r>
      <w:r>
        <w:t>sus</w:t>
      </w:r>
      <w:r>
        <w:rPr>
          <w:spacing w:val="-9"/>
        </w:rPr>
        <w:t xml:space="preserve"> </w:t>
      </w:r>
      <w:r>
        <w:t>esfuerzos</w:t>
      </w:r>
      <w:r>
        <w:rPr>
          <w:spacing w:val="-9"/>
        </w:rPr>
        <w:t xml:space="preserve"> </w:t>
      </w:r>
      <w:r>
        <w:t>en</w:t>
      </w:r>
      <w:r>
        <w:rPr>
          <w:spacing w:val="-9"/>
        </w:rPr>
        <w:t xml:space="preserve"> </w:t>
      </w:r>
      <w:r>
        <w:t>la</w:t>
      </w:r>
      <w:r>
        <w:rPr>
          <w:spacing w:val="-10"/>
        </w:rPr>
        <w:t xml:space="preserve"> </w:t>
      </w:r>
      <w:r>
        <w:t>identificación</w:t>
      </w:r>
      <w:r>
        <w:rPr>
          <w:spacing w:val="-9"/>
        </w:rPr>
        <w:t xml:space="preserve"> </w:t>
      </w:r>
      <w:r>
        <w:t>del</w:t>
      </w:r>
      <w:r>
        <w:rPr>
          <w:spacing w:val="-9"/>
        </w:rPr>
        <w:t xml:space="preserve"> </w:t>
      </w:r>
      <w:r>
        <w:t>enemigo</w:t>
      </w:r>
      <w:r>
        <w:rPr>
          <w:spacing w:val="-9"/>
        </w:rPr>
        <w:t xml:space="preserve"> </w:t>
      </w:r>
      <w:r>
        <w:t>y</w:t>
      </w:r>
      <w:r>
        <w:rPr>
          <w:spacing w:val="-11"/>
        </w:rPr>
        <w:t xml:space="preserve"> </w:t>
      </w:r>
      <w:r>
        <w:t>en</w:t>
      </w:r>
      <w:r>
        <w:rPr>
          <w:spacing w:val="-9"/>
        </w:rPr>
        <w:t xml:space="preserve"> </w:t>
      </w:r>
      <w:r>
        <w:t>su persecución</w:t>
      </w:r>
      <w:r>
        <w:rPr>
          <w:spacing w:val="-15"/>
        </w:rPr>
        <w:t xml:space="preserve"> </w:t>
      </w:r>
      <w:r>
        <w:t>a</w:t>
      </w:r>
      <w:r>
        <w:rPr>
          <w:spacing w:val="-15"/>
        </w:rPr>
        <w:t xml:space="preserve"> </w:t>
      </w:r>
      <w:r>
        <w:t>través</w:t>
      </w:r>
      <w:r>
        <w:rPr>
          <w:spacing w:val="-14"/>
        </w:rPr>
        <w:t xml:space="preserve"> </w:t>
      </w:r>
      <w:r>
        <w:t>de</w:t>
      </w:r>
      <w:r>
        <w:rPr>
          <w:spacing w:val="-14"/>
        </w:rPr>
        <w:t xml:space="preserve"> </w:t>
      </w:r>
      <w:r>
        <w:t>una</w:t>
      </w:r>
      <w:r>
        <w:rPr>
          <w:spacing w:val="-14"/>
        </w:rPr>
        <w:t xml:space="preserve"> </w:t>
      </w:r>
      <w:r>
        <w:t>respuesta</w:t>
      </w:r>
      <w:r>
        <w:rPr>
          <w:spacing w:val="-14"/>
        </w:rPr>
        <w:t xml:space="preserve"> </w:t>
      </w:r>
      <w:r>
        <w:t>militar,</w:t>
      </w:r>
      <w:r>
        <w:rPr>
          <w:spacing w:val="-14"/>
        </w:rPr>
        <w:t xml:space="preserve"> </w:t>
      </w:r>
      <w:r>
        <w:t>armada,</w:t>
      </w:r>
      <w:r>
        <w:rPr>
          <w:spacing w:val="-14"/>
        </w:rPr>
        <w:t xml:space="preserve"> </w:t>
      </w:r>
      <w:r>
        <w:t>de</w:t>
      </w:r>
      <w:r>
        <w:rPr>
          <w:spacing w:val="-14"/>
        </w:rPr>
        <w:t xml:space="preserve"> </w:t>
      </w:r>
      <w:r>
        <w:t>guerra,</w:t>
      </w:r>
      <w:r>
        <w:rPr>
          <w:spacing w:val="-14"/>
        </w:rPr>
        <w:t xml:space="preserve"> </w:t>
      </w:r>
      <w:r>
        <w:t>y</w:t>
      </w:r>
      <w:r>
        <w:rPr>
          <w:spacing w:val="-14"/>
        </w:rPr>
        <w:t xml:space="preserve"> </w:t>
      </w:r>
      <w:r>
        <w:t>perdió</w:t>
      </w:r>
      <w:r>
        <w:rPr>
          <w:spacing w:val="-14"/>
        </w:rPr>
        <w:t xml:space="preserve"> </w:t>
      </w:r>
      <w:r>
        <w:t>de</w:t>
      </w:r>
      <w:r>
        <w:rPr>
          <w:spacing w:val="-14"/>
        </w:rPr>
        <w:t xml:space="preserve"> </w:t>
      </w:r>
      <w:r>
        <w:t>vista</w:t>
      </w:r>
      <w:r>
        <w:rPr>
          <w:spacing w:val="-14"/>
        </w:rPr>
        <w:t xml:space="preserve"> </w:t>
      </w:r>
      <w:r>
        <w:t>o</w:t>
      </w:r>
      <w:r>
        <w:rPr>
          <w:spacing w:val="-14"/>
        </w:rPr>
        <w:t xml:space="preserve"> </w:t>
      </w:r>
      <w:r>
        <w:t>minimizó la importancia de otras condiciones estructurales que contribuyen a la seguridad, que no exacerban la guerra y que no dependen de las instituciones armadas y de inteligencia.</w:t>
      </w:r>
    </w:p>
    <w:p w:rsidR="003804AC" w:rsidRDefault="00AF18A5" w:rsidP="00757EBB">
      <w:r>
        <w:t>Cuando se dieron tensiones políticas, demandas económicas y sociales, la respuesta del Estado</w:t>
      </w:r>
      <w:r>
        <w:rPr>
          <w:spacing w:val="6"/>
        </w:rPr>
        <w:t xml:space="preserve"> </w:t>
      </w:r>
      <w:r>
        <w:t>a</w:t>
      </w:r>
      <w:r>
        <w:rPr>
          <w:spacing w:val="8"/>
        </w:rPr>
        <w:t xml:space="preserve"> </w:t>
      </w:r>
      <w:r>
        <w:t>través</w:t>
      </w:r>
      <w:r>
        <w:rPr>
          <w:spacing w:val="9"/>
        </w:rPr>
        <w:t xml:space="preserve"> </w:t>
      </w:r>
      <w:r>
        <w:t>de</w:t>
      </w:r>
      <w:r>
        <w:rPr>
          <w:spacing w:val="8"/>
        </w:rPr>
        <w:t xml:space="preserve"> </w:t>
      </w:r>
      <w:r>
        <w:t>las</w:t>
      </w:r>
      <w:r>
        <w:rPr>
          <w:spacing w:val="8"/>
        </w:rPr>
        <w:t xml:space="preserve"> </w:t>
      </w:r>
      <w:r>
        <w:t>Fuerzas</w:t>
      </w:r>
      <w:r>
        <w:rPr>
          <w:spacing w:val="9"/>
        </w:rPr>
        <w:t xml:space="preserve"> </w:t>
      </w:r>
      <w:r>
        <w:t>Armadas</w:t>
      </w:r>
      <w:r>
        <w:rPr>
          <w:spacing w:val="8"/>
        </w:rPr>
        <w:t xml:space="preserve"> </w:t>
      </w:r>
      <w:r>
        <w:t>y</w:t>
      </w:r>
      <w:r>
        <w:rPr>
          <w:spacing w:val="9"/>
        </w:rPr>
        <w:t xml:space="preserve"> </w:t>
      </w:r>
      <w:r>
        <w:t>los</w:t>
      </w:r>
      <w:r>
        <w:rPr>
          <w:spacing w:val="8"/>
        </w:rPr>
        <w:t xml:space="preserve"> </w:t>
      </w:r>
      <w:r>
        <w:t>organismos</w:t>
      </w:r>
      <w:r>
        <w:rPr>
          <w:spacing w:val="8"/>
        </w:rPr>
        <w:t xml:space="preserve"> </w:t>
      </w:r>
      <w:r>
        <w:t>de</w:t>
      </w:r>
      <w:r>
        <w:rPr>
          <w:spacing w:val="9"/>
        </w:rPr>
        <w:t xml:space="preserve"> </w:t>
      </w:r>
      <w:r>
        <w:t>seguridad</w:t>
      </w:r>
      <w:r>
        <w:rPr>
          <w:spacing w:val="7"/>
        </w:rPr>
        <w:t xml:space="preserve"> </w:t>
      </w:r>
      <w:r>
        <w:t>se</w:t>
      </w:r>
      <w:r>
        <w:rPr>
          <w:spacing w:val="8"/>
        </w:rPr>
        <w:t xml:space="preserve"> </w:t>
      </w:r>
      <w:r>
        <w:t>ha</w:t>
      </w:r>
      <w:r>
        <w:rPr>
          <w:spacing w:val="9"/>
        </w:rPr>
        <w:t xml:space="preserve"> </w:t>
      </w:r>
      <w:r>
        <w:t>orientado</w:t>
      </w:r>
      <w:r>
        <w:rPr>
          <w:spacing w:val="8"/>
        </w:rPr>
        <w:t xml:space="preserve"> </w:t>
      </w:r>
      <w:r>
        <w:t>a</w:t>
      </w:r>
      <w:r>
        <w:rPr>
          <w:spacing w:val="9"/>
        </w:rPr>
        <w:t xml:space="preserve"> </w:t>
      </w:r>
      <w:r>
        <w:rPr>
          <w:spacing w:val="-5"/>
        </w:rPr>
        <w:t>la</w:t>
      </w:r>
      <w:r w:rsidR="00757EBB">
        <w:t xml:space="preserve"> </w:t>
      </w:r>
      <w:r>
        <w:t>«defensa»</w:t>
      </w:r>
      <w:r>
        <w:rPr>
          <w:spacing w:val="-5"/>
        </w:rPr>
        <w:t xml:space="preserve"> </w:t>
      </w:r>
      <w:r>
        <w:t>de</w:t>
      </w:r>
      <w:r>
        <w:rPr>
          <w:spacing w:val="-3"/>
        </w:rPr>
        <w:t xml:space="preserve"> </w:t>
      </w:r>
      <w:r>
        <w:t>las</w:t>
      </w:r>
      <w:r>
        <w:rPr>
          <w:spacing w:val="-4"/>
        </w:rPr>
        <w:t xml:space="preserve"> </w:t>
      </w:r>
      <w:r>
        <w:t>instituciones</w:t>
      </w:r>
      <w:r>
        <w:rPr>
          <w:spacing w:val="-3"/>
        </w:rPr>
        <w:t xml:space="preserve"> </w:t>
      </w:r>
      <w:r>
        <w:t>y</w:t>
      </w:r>
      <w:r>
        <w:rPr>
          <w:spacing w:val="-5"/>
        </w:rPr>
        <w:t xml:space="preserve"> </w:t>
      </w:r>
      <w:r>
        <w:t>de</w:t>
      </w:r>
      <w:r>
        <w:rPr>
          <w:spacing w:val="-4"/>
        </w:rPr>
        <w:t xml:space="preserve"> </w:t>
      </w:r>
      <w:r>
        <w:t>los</w:t>
      </w:r>
      <w:r>
        <w:rPr>
          <w:spacing w:val="-3"/>
        </w:rPr>
        <w:t xml:space="preserve"> </w:t>
      </w:r>
      <w:r>
        <w:t>intereses</w:t>
      </w:r>
      <w:r>
        <w:rPr>
          <w:spacing w:val="-3"/>
        </w:rPr>
        <w:t xml:space="preserve"> </w:t>
      </w:r>
      <w:r>
        <w:t>de</w:t>
      </w:r>
      <w:r>
        <w:rPr>
          <w:spacing w:val="-3"/>
        </w:rPr>
        <w:t xml:space="preserve"> </w:t>
      </w:r>
      <w:r>
        <w:t>sectores</w:t>
      </w:r>
      <w:r>
        <w:rPr>
          <w:spacing w:val="-4"/>
        </w:rPr>
        <w:t xml:space="preserve"> </w:t>
      </w:r>
      <w:r>
        <w:t>con</w:t>
      </w:r>
      <w:r>
        <w:rPr>
          <w:spacing w:val="-3"/>
        </w:rPr>
        <w:t xml:space="preserve"> </w:t>
      </w:r>
      <w:r>
        <w:t>poder</w:t>
      </w:r>
      <w:r>
        <w:rPr>
          <w:spacing w:val="-4"/>
        </w:rPr>
        <w:t xml:space="preserve"> </w:t>
      </w:r>
      <w:r>
        <w:t>económico,</w:t>
      </w:r>
      <w:r>
        <w:rPr>
          <w:spacing w:val="-3"/>
        </w:rPr>
        <w:t xml:space="preserve"> </w:t>
      </w:r>
      <w:r>
        <w:t>político</w:t>
      </w:r>
      <w:r>
        <w:rPr>
          <w:spacing w:val="-3"/>
        </w:rPr>
        <w:t xml:space="preserve"> </w:t>
      </w:r>
      <w:r>
        <w:t>y social, no a proteger de manera prioritaria a la población civil y sus derechos. En medio de la</w:t>
      </w:r>
      <w:r>
        <w:rPr>
          <w:spacing w:val="-9"/>
        </w:rPr>
        <w:t xml:space="preserve"> </w:t>
      </w:r>
      <w:r>
        <w:t>guerra,</w:t>
      </w:r>
      <w:r>
        <w:rPr>
          <w:spacing w:val="-9"/>
        </w:rPr>
        <w:t xml:space="preserve"> </w:t>
      </w:r>
      <w:r>
        <w:t>el</w:t>
      </w:r>
      <w:r>
        <w:rPr>
          <w:spacing w:val="-9"/>
        </w:rPr>
        <w:t xml:space="preserve"> </w:t>
      </w:r>
      <w:r>
        <w:t>Estado</w:t>
      </w:r>
      <w:r>
        <w:rPr>
          <w:spacing w:val="-9"/>
        </w:rPr>
        <w:t xml:space="preserve"> </w:t>
      </w:r>
      <w:r>
        <w:t>ha</w:t>
      </w:r>
      <w:r>
        <w:rPr>
          <w:spacing w:val="-9"/>
        </w:rPr>
        <w:t xml:space="preserve"> </w:t>
      </w:r>
      <w:r>
        <w:t>caracterizado</w:t>
      </w:r>
      <w:r>
        <w:rPr>
          <w:spacing w:val="-10"/>
        </w:rPr>
        <w:t xml:space="preserve"> </w:t>
      </w:r>
      <w:r>
        <w:t>las</w:t>
      </w:r>
      <w:r>
        <w:rPr>
          <w:spacing w:val="-9"/>
        </w:rPr>
        <w:t xml:space="preserve"> </w:t>
      </w:r>
      <w:r>
        <w:t>propuestas</w:t>
      </w:r>
      <w:r>
        <w:rPr>
          <w:spacing w:val="-9"/>
        </w:rPr>
        <w:t xml:space="preserve"> </w:t>
      </w:r>
      <w:r>
        <w:t>alternativas</w:t>
      </w:r>
      <w:r>
        <w:rPr>
          <w:spacing w:val="-9"/>
        </w:rPr>
        <w:t xml:space="preserve"> </w:t>
      </w:r>
      <w:r>
        <w:t>políticas</w:t>
      </w:r>
      <w:r>
        <w:rPr>
          <w:spacing w:val="-9"/>
        </w:rPr>
        <w:t xml:space="preserve"> </w:t>
      </w:r>
      <w:r>
        <w:t>y</w:t>
      </w:r>
      <w:r>
        <w:rPr>
          <w:spacing w:val="-9"/>
        </w:rPr>
        <w:t xml:space="preserve"> </w:t>
      </w:r>
      <w:r>
        <w:t>sociales,</w:t>
      </w:r>
      <w:r>
        <w:rPr>
          <w:spacing w:val="-9"/>
        </w:rPr>
        <w:t xml:space="preserve"> </w:t>
      </w:r>
      <w:r>
        <w:t>e</w:t>
      </w:r>
      <w:r>
        <w:rPr>
          <w:spacing w:val="-9"/>
        </w:rPr>
        <w:t xml:space="preserve"> </w:t>
      </w:r>
      <w:r>
        <w:t>incluso las comunidades o los territorios ocupados por las guerrillas, como si fueran parte de la insurgencia o del conflicto armado, y entonces los ha considerado una «amenaza» para la seguridad y los ha etiquetado frecuentemente como «enemigos» que pueden y deben ser perseguidos a través de las facultades represivas del Estado.</w:t>
      </w:r>
    </w:p>
    <w:p w:rsidR="003804AC" w:rsidRDefault="00AF18A5" w:rsidP="00757EBB">
      <w:r>
        <w:t>Esta</w:t>
      </w:r>
      <w:r>
        <w:rPr>
          <w:spacing w:val="-9"/>
        </w:rPr>
        <w:t xml:space="preserve"> </w:t>
      </w:r>
      <w:r>
        <w:t>visión</w:t>
      </w:r>
      <w:r>
        <w:rPr>
          <w:spacing w:val="-9"/>
        </w:rPr>
        <w:t xml:space="preserve"> </w:t>
      </w:r>
      <w:r>
        <w:t>de</w:t>
      </w:r>
      <w:r>
        <w:rPr>
          <w:spacing w:val="-9"/>
        </w:rPr>
        <w:t xml:space="preserve"> </w:t>
      </w:r>
      <w:r>
        <w:t>la</w:t>
      </w:r>
      <w:r>
        <w:rPr>
          <w:spacing w:val="-10"/>
        </w:rPr>
        <w:t xml:space="preserve"> </w:t>
      </w:r>
      <w:r>
        <w:t>seguridad,</w:t>
      </w:r>
      <w:r>
        <w:rPr>
          <w:spacing w:val="-9"/>
        </w:rPr>
        <w:t xml:space="preserve"> </w:t>
      </w:r>
      <w:r>
        <w:t>fundamentada</w:t>
      </w:r>
      <w:r>
        <w:rPr>
          <w:spacing w:val="-9"/>
        </w:rPr>
        <w:t xml:space="preserve"> </w:t>
      </w:r>
      <w:r>
        <w:t>en</w:t>
      </w:r>
      <w:r>
        <w:rPr>
          <w:spacing w:val="-11"/>
        </w:rPr>
        <w:t xml:space="preserve"> </w:t>
      </w:r>
      <w:r>
        <w:t>la</w:t>
      </w:r>
      <w:r>
        <w:rPr>
          <w:spacing w:val="-10"/>
        </w:rPr>
        <w:t xml:space="preserve"> </w:t>
      </w:r>
      <w:r>
        <w:t>persecución</w:t>
      </w:r>
      <w:r>
        <w:rPr>
          <w:spacing w:val="-9"/>
        </w:rPr>
        <w:t xml:space="preserve"> </w:t>
      </w:r>
      <w:r>
        <w:t>a</w:t>
      </w:r>
      <w:r>
        <w:rPr>
          <w:spacing w:val="-10"/>
        </w:rPr>
        <w:t xml:space="preserve"> </w:t>
      </w:r>
      <w:r>
        <w:t>las</w:t>
      </w:r>
      <w:r>
        <w:rPr>
          <w:spacing w:val="-9"/>
        </w:rPr>
        <w:t xml:space="preserve"> </w:t>
      </w:r>
      <w:r>
        <w:t>guerrillas</w:t>
      </w:r>
      <w:r>
        <w:rPr>
          <w:spacing w:val="-12"/>
        </w:rPr>
        <w:t xml:space="preserve"> </w:t>
      </w:r>
      <w:r>
        <w:t>a</w:t>
      </w:r>
      <w:r>
        <w:rPr>
          <w:spacing w:val="-9"/>
        </w:rPr>
        <w:t xml:space="preserve"> </w:t>
      </w:r>
      <w:r>
        <w:t>través</w:t>
      </w:r>
      <w:r>
        <w:rPr>
          <w:spacing w:val="-9"/>
        </w:rPr>
        <w:t xml:space="preserve"> </w:t>
      </w:r>
      <w:r>
        <w:t>de</w:t>
      </w:r>
      <w:r>
        <w:rPr>
          <w:spacing w:val="-9"/>
        </w:rPr>
        <w:t xml:space="preserve"> </w:t>
      </w:r>
      <w:r>
        <w:t>las Fuerzas Armadas, la Policía y los organismos de inteligencia, ha conllevado la comisión de crímenes</w:t>
      </w:r>
      <w:r>
        <w:rPr>
          <w:spacing w:val="-3"/>
        </w:rPr>
        <w:t xml:space="preserve"> </w:t>
      </w:r>
      <w:r>
        <w:t>de</w:t>
      </w:r>
      <w:r>
        <w:rPr>
          <w:spacing w:val="-3"/>
        </w:rPr>
        <w:t xml:space="preserve"> </w:t>
      </w:r>
      <w:r>
        <w:t>extrema</w:t>
      </w:r>
      <w:r>
        <w:rPr>
          <w:spacing w:val="-2"/>
        </w:rPr>
        <w:t xml:space="preserve"> </w:t>
      </w:r>
      <w:r>
        <w:t>gravedad</w:t>
      </w:r>
      <w:r>
        <w:rPr>
          <w:spacing w:val="-2"/>
        </w:rPr>
        <w:t xml:space="preserve"> </w:t>
      </w:r>
      <w:r>
        <w:t>contra</w:t>
      </w:r>
      <w:r>
        <w:rPr>
          <w:spacing w:val="-2"/>
        </w:rPr>
        <w:t xml:space="preserve"> </w:t>
      </w:r>
      <w:r>
        <w:t>estas</w:t>
      </w:r>
      <w:r>
        <w:rPr>
          <w:spacing w:val="-2"/>
        </w:rPr>
        <w:t xml:space="preserve"> </w:t>
      </w:r>
      <w:r>
        <w:t>personas,</w:t>
      </w:r>
      <w:r>
        <w:rPr>
          <w:spacing w:val="-2"/>
        </w:rPr>
        <w:t xml:space="preserve"> </w:t>
      </w:r>
      <w:r>
        <w:t>grupos</w:t>
      </w:r>
      <w:r>
        <w:rPr>
          <w:spacing w:val="-4"/>
        </w:rPr>
        <w:t xml:space="preserve"> </w:t>
      </w:r>
      <w:r>
        <w:t>y</w:t>
      </w:r>
      <w:r>
        <w:rPr>
          <w:spacing w:val="-2"/>
        </w:rPr>
        <w:t xml:space="preserve"> </w:t>
      </w:r>
      <w:r>
        <w:t>pueblos,</w:t>
      </w:r>
      <w:r>
        <w:rPr>
          <w:spacing w:val="-4"/>
        </w:rPr>
        <w:t xml:space="preserve"> </w:t>
      </w:r>
      <w:r>
        <w:t>tanto</w:t>
      </w:r>
      <w:r>
        <w:rPr>
          <w:spacing w:val="-2"/>
        </w:rPr>
        <w:t xml:space="preserve"> </w:t>
      </w:r>
      <w:r>
        <w:t>por</w:t>
      </w:r>
      <w:r>
        <w:rPr>
          <w:spacing w:val="-3"/>
        </w:rPr>
        <w:t xml:space="preserve"> </w:t>
      </w:r>
      <w:r>
        <w:t>las</w:t>
      </w:r>
      <w:r>
        <w:rPr>
          <w:spacing w:val="-3"/>
        </w:rPr>
        <w:t xml:space="preserve"> </w:t>
      </w:r>
      <w:r>
        <w:t>fuerzas del</w:t>
      </w:r>
      <w:r>
        <w:rPr>
          <w:spacing w:val="-3"/>
        </w:rPr>
        <w:t xml:space="preserve"> </w:t>
      </w:r>
      <w:r>
        <w:t>Estado</w:t>
      </w:r>
      <w:r>
        <w:rPr>
          <w:spacing w:val="-4"/>
        </w:rPr>
        <w:t xml:space="preserve"> </w:t>
      </w:r>
      <w:r>
        <w:t>como</w:t>
      </w:r>
      <w:r>
        <w:rPr>
          <w:spacing w:val="-4"/>
        </w:rPr>
        <w:t xml:space="preserve"> </w:t>
      </w:r>
      <w:r>
        <w:t>por</w:t>
      </w:r>
      <w:r>
        <w:rPr>
          <w:spacing w:val="-4"/>
        </w:rPr>
        <w:t xml:space="preserve"> </w:t>
      </w:r>
      <w:r>
        <w:t>los</w:t>
      </w:r>
      <w:r>
        <w:rPr>
          <w:spacing w:val="-5"/>
        </w:rPr>
        <w:t xml:space="preserve"> </w:t>
      </w:r>
      <w:r>
        <w:t>paramilitares</w:t>
      </w:r>
      <w:r>
        <w:rPr>
          <w:spacing w:val="-4"/>
        </w:rPr>
        <w:t xml:space="preserve"> </w:t>
      </w:r>
      <w:r>
        <w:t>frente</w:t>
      </w:r>
      <w:r>
        <w:rPr>
          <w:spacing w:val="-5"/>
        </w:rPr>
        <w:t xml:space="preserve"> </w:t>
      </w:r>
      <w:r>
        <w:t>a</w:t>
      </w:r>
      <w:r>
        <w:rPr>
          <w:spacing w:val="-5"/>
        </w:rPr>
        <w:t xml:space="preserve"> </w:t>
      </w:r>
      <w:r>
        <w:t>las</w:t>
      </w:r>
      <w:r>
        <w:rPr>
          <w:spacing w:val="-5"/>
        </w:rPr>
        <w:t xml:space="preserve"> </w:t>
      </w:r>
      <w:r>
        <w:t>acciones</w:t>
      </w:r>
      <w:r>
        <w:rPr>
          <w:spacing w:val="-3"/>
        </w:rPr>
        <w:t xml:space="preserve"> </w:t>
      </w:r>
      <w:r>
        <w:t>de</w:t>
      </w:r>
      <w:r>
        <w:rPr>
          <w:spacing w:val="-6"/>
        </w:rPr>
        <w:t xml:space="preserve"> </w:t>
      </w:r>
      <w:r>
        <w:t>las</w:t>
      </w:r>
      <w:r>
        <w:rPr>
          <w:spacing w:val="-3"/>
        </w:rPr>
        <w:t xml:space="preserve"> </w:t>
      </w:r>
      <w:r>
        <w:t>guerrillas</w:t>
      </w:r>
      <w:r>
        <w:rPr>
          <w:spacing w:val="-4"/>
        </w:rPr>
        <w:t xml:space="preserve"> </w:t>
      </w:r>
      <w:r>
        <w:t>y</w:t>
      </w:r>
      <w:r>
        <w:rPr>
          <w:spacing w:val="-4"/>
        </w:rPr>
        <w:t xml:space="preserve"> </w:t>
      </w:r>
      <w:r>
        <w:t>ha</w:t>
      </w:r>
      <w:r>
        <w:rPr>
          <w:spacing w:val="-3"/>
        </w:rPr>
        <w:t xml:space="preserve"> </w:t>
      </w:r>
      <w:r>
        <w:t>destruido</w:t>
      </w:r>
      <w:r>
        <w:rPr>
          <w:spacing w:val="-4"/>
        </w:rPr>
        <w:t xml:space="preserve"> </w:t>
      </w:r>
      <w:r>
        <w:t>la seguridad</w:t>
      </w:r>
      <w:r>
        <w:rPr>
          <w:spacing w:val="-15"/>
        </w:rPr>
        <w:t xml:space="preserve"> </w:t>
      </w:r>
      <w:r>
        <w:t>de</w:t>
      </w:r>
      <w:r>
        <w:rPr>
          <w:spacing w:val="-15"/>
        </w:rPr>
        <w:t xml:space="preserve"> </w:t>
      </w:r>
      <w:r>
        <w:t>los</w:t>
      </w:r>
      <w:r>
        <w:rPr>
          <w:spacing w:val="-15"/>
        </w:rPr>
        <w:t xml:space="preserve"> </w:t>
      </w:r>
      <w:r>
        <w:t>civiles</w:t>
      </w:r>
      <w:r>
        <w:rPr>
          <w:spacing w:val="-15"/>
        </w:rPr>
        <w:t xml:space="preserve"> </w:t>
      </w:r>
      <w:r>
        <w:t>no</w:t>
      </w:r>
      <w:r>
        <w:rPr>
          <w:spacing w:val="-15"/>
        </w:rPr>
        <w:t xml:space="preserve"> </w:t>
      </w:r>
      <w:r>
        <w:t>combatientes</w:t>
      </w:r>
      <w:r>
        <w:rPr>
          <w:spacing w:val="-15"/>
        </w:rPr>
        <w:t xml:space="preserve"> </w:t>
      </w:r>
      <w:r>
        <w:t>y,</w:t>
      </w:r>
      <w:r>
        <w:rPr>
          <w:spacing w:val="-15"/>
        </w:rPr>
        <w:t xml:space="preserve"> </w:t>
      </w:r>
      <w:r>
        <w:t>en</w:t>
      </w:r>
      <w:r>
        <w:rPr>
          <w:spacing w:val="-15"/>
        </w:rPr>
        <w:t xml:space="preserve"> </w:t>
      </w:r>
      <w:r>
        <w:t>general,</w:t>
      </w:r>
      <w:r>
        <w:rPr>
          <w:spacing w:val="-15"/>
        </w:rPr>
        <w:t xml:space="preserve"> </w:t>
      </w:r>
      <w:r>
        <w:t>la</w:t>
      </w:r>
      <w:r>
        <w:rPr>
          <w:spacing w:val="-15"/>
        </w:rPr>
        <w:t xml:space="preserve"> </w:t>
      </w:r>
      <w:r>
        <w:t>tranquilidad</w:t>
      </w:r>
      <w:r>
        <w:rPr>
          <w:spacing w:val="-15"/>
        </w:rPr>
        <w:t xml:space="preserve"> </w:t>
      </w:r>
      <w:r>
        <w:t>del</w:t>
      </w:r>
      <w:r>
        <w:rPr>
          <w:spacing w:val="-15"/>
        </w:rPr>
        <w:t xml:space="preserve"> </w:t>
      </w:r>
      <w:r>
        <w:t>país.</w:t>
      </w:r>
      <w:r>
        <w:rPr>
          <w:spacing w:val="-15"/>
        </w:rPr>
        <w:t xml:space="preserve"> </w:t>
      </w:r>
      <w:r>
        <w:t>Paralelamente, el</w:t>
      </w:r>
      <w:r>
        <w:rPr>
          <w:spacing w:val="-9"/>
        </w:rPr>
        <w:t xml:space="preserve"> </w:t>
      </w:r>
      <w:r>
        <w:t>escalamiento</w:t>
      </w:r>
      <w:r>
        <w:rPr>
          <w:spacing w:val="-9"/>
        </w:rPr>
        <w:t xml:space="preserve"> </w:t>
      </w:r>
      <w:r>
        <w:t>del</w:t>
      </w:r>
      <w:r>
        <w:rPr>
          <w:spacing w:val="-9"/>
        </w:rPr>
        <w:t xml:space="preserve"> </w:t>
      </w:r>
      <w:r>
        <w:t>conflicto</w:t>
      </w:r>
      <w:r>
        <w:rPr>
          <w:spacing w:val="-9"/>
        </w:rPr>
        <w:t xml:space="preserve"> </w:t>
      </w:r>
      <w:r>
        <w:t>armado,</w:t>
      </w:r>
      <w:r>
        <w:rPr>
          <w:spacing w:val="-11"/>
        </w:rPr>
        <w:t xml:space="preserve"> </w:t>
      </w:r>
      <w:r>
        <w:t>su</w:t>
      </w:r>
      <w:r>
        <w:rPr>
          <w:spacing w:val="-9"/>
        </w:rPr>
        <w:t xml:space="preserve"> </w:t>
      </w:r>
      <w:r>
        <w:t>exacerbación</w:t>
      </w:r>
      <w:r>
        <w:rPr>
          <w:spacing w:val="-9"/>
        </w:rPr>
        <w:t xml:space="preserve"> </w:t>
      </w:r>
      <w:r>
        <w:t>y</w:t>
      </w:r>
      <w:r>
        <w:rPr>
          <w:spacing w:val="-9"/>
        </w:rPr>
        <w:t xml:space="preserve"> </w:t>
      </w:r>
      <w:r>
        <w:t>la</w:t>
      </w:r>
      <w:r>
        <w:rPr>
          <w:spacing w:val="-10"/>
        </w:rPr>
        <w:t xml:space="preserve"> </w:t>
      </w:r>
      <w:r>
        <w:t>intensificación</w:t>
      </w:r>
      <w:r>
        <w:rPr>
          <w:spacing w:val="-9"/>
        </w:rPr>
        <w:t xml:space="preserve"> </w:t>
      </w:r>
      <w:r>
        <w:t>de</w:t>
      </w:r>
      <w:r>
        <w:rPr>
          <w:spacing w:val="-9"/>
        </w:rPr>
        <w:t xml:space="preserve"> </w:t>
      </w:r>
      <w:r>
        <w:t>los</w:t>
      </w:r>
      <w:r>
        <w:rPr>
          <w:spacing w:val="-9"/>
        </w:rPr>
        <w:t xml:space="preserve"> </w:t>
      </w:r>
      <w:r>
        <w:t>crímenes</w:t>
      </w:r>
      <w:r>
        <w:rPr>
          <w:spacing w:val="-9"/>
        </w:rPr>
        <w:t xml:space="preserve"> </w:t>
      </w:r>
      <w:r>
        <w:t>de derechos</w:t>
      </w:r>
      <w:r>
        <w:rPr>
          <w:spacing w:val="12"/>
        </w:rPr>
        <w:t xml:space="preserve"> </w:t>
      </w:r>
      <w:r>
        <w:t>humanos</w:t>
      </w:r>
      <w:r>
        <w:rPr>
          <w:spacing w:val="16"/>
        </w:rPr>
        <w:t xml:space="preserve"> </w:t>
      </w:r>
      <w:r>
        <w:t>y</w:t>
      </w:r>
      <w:r>
        <w:rPr>
          <w:spacing w:val="15"/>
        </w:rPr>
        <w:t xml:space="preserve"> </w:t>
      </w:r>
      <w:r>
        <w:t>DIH</w:t>
      </w:r>
      <w:r>
        <w:rPr>
          <w:spacing w:val="15"/>
        </w:rPr>
        <w:t xml:space="preserve"> </w:t>
      </w:r>
      <w:r>
        <w:t>dieron</w:t>
      </w:r>
      <w:r>
        <w:rPr>
          <w:spacing w:val="15"/>
        </w:rPr>
        <w:t xml:space="preserve"> </w:t>
      </w:r>
      <w:r>
        <w:t>pie</w:t>
      </w:r>
      <w:r>
        <w:rPr>
          <w:spacing w:val="16"/>
        </w:rPr>
        <w:t xml:space="preserve"> </w:t>
      </w:r>
      <w:r>
        <w:t>a</w:t>
      </w:r>
      <w:r>
        <w:rPr>
          <w:spacing w:val="16"/>
        </w:rPr>
        <w:t xml:space="preserve"> </w:t>
      </w:r>
      <w:r>
        <w:t>una</w:t>
      </w:r>
      <w:r>
        <w:rPr>
          <w:spacing w:val="17"/>
        </w:rPr>
        <w:t xml:space="preserve"> </w:t>
      </w:r>
      <w:r>
        <w:t>visión</w:t>
      </w:r>
      <w:r>
        <w:rPr>
          <w:spacing w:val="15"/>
        </w:rPr>
        <w:t xml:space="preserve"> </w:t>
      </w:r>
      <w:r>
        <w:t>en</w:t>
      </w:r>
      <w:r>
        <w:rPr>
          <w:spacing w:val="15"/>
        </w:rPr>
        <w:t xml:space="preserve"> </w:t>
      </w:r>
      <w:r>
        <w:t>la</w:t>
      </w:r>
      <w:r>
        <w:rPr>
          <w:spacing w:val="14"/>
        </w:rPr>
        <w:t xml:space="preserve"> </w:t>
      </w:r>
      <w:r>
        <w:t>que</w:t>
      </w:r>
      <w:r>
        <w:rPr>
          <w:spacing w:val="14"/>
        </w:rPr>
        <w:t xml:space="preserve"> </w:t>
      </w:r>
      <w:r>
        <w:t>dichas</w:t>
      </w:r>
      <w:r>
        <w:rPr>
          <w:spacing w:val="14"/>
        </w:rPr>
        <w:t xml:space="preserve"> </w:t>
      </w:r>
      <w:r>
        <w:t>acciones</w:t>
      </w:r>
      <w:r>
        <w:rPr>
          <w:spacing w:val="16"/>
        </w:rPr>
        <w:t xml:space="preserve"> </w:t>
      </w:r>
      <w:r>
        <w:t>se</w:t>
      </w:r>
      <w:r>
        <w:rPr>
          <w:spacing w:val="15"/>
        </w:rPr>
        <w:t xml:space="preserve"> </w:t>
      </w:r>
      <w:r>
        <w:rPr>
          <w:spacing w:val="-2"/>
        </w:rPr>
        <w:t>justificaron</w:t>
      </w:r>
      <w:r w:rsidR="00757EBB">
        <w:t xml:space="preserve"> </w:t>
      </w:r>
      <w:r>
        <w:t xml:space="preserve">con base en el bien superior de la seguridad del Estado. La movilización y las demandas sociales, desde el movimiento </w:t>
      </w:r>
      <w:r>
        <w:lastRenderedPageBreak/>
        <w:t>estudiantil, social o sindical en los años ochenta, fueron consideradas parte de ese enemigo, extendiendo a ella la sospecha y considerando a numerosas organizaciones y comunidades como base social de las guerrillas.</w:t>
      </w:r>
    </w:p>
    <w:p w:rsidR="003804AC" w:rsidRDefault="00AF18A5" w:rsidP="00757EBB">
      <w:r>
        <w:t>La seguridad se ha delegado exclusivamente en el aparato armado del Estado. Solo de manera muy excepcional la seguridad se ha entendido como un derecho y una construcción del</w:t>
      </w:r>
      <w:r>
        <w:rPr>
          <w:spacing w:val="-10"/>
        </w:rPr>
        <w:t xml:space="preserve"> </w:t>
      </w:r>
      <w:r>
        <w:t>poder</w:t>
      </w:r>
      <w:r>
        <w:rPr>
          <w:spacing w:val="-10"/>
        </w:rPr>
        <w:t xml:space="preserve"> </w:t>
      </w:r>
      <w:r>
        <w:t>ejecutivo</w:t>
      </w:r>
      <w:r>
        <w:rPr>
          <w:spacing w:val="-11"/>
        </w:rPr>
        <w:t xml:space="preserve"> </w:t>
      </w:r>
      <w:r>
        <w:t>del</w:t>
      </w:r>
      <w:r>
        <w:rPr>
          <w:spacing w:val="-10"/>
        </w:rPr>
        <w:t xml:space="preserve"> </w:t>
      </w:r>
      <w:r>
        <w:t>Estado</w:t>
      </w:r>
      <w:r>
        <w:rPr>
          <w:spacing w:val="-11"/>
        </w:rPr>
        <w:t xml:space="preserve"> </w:t>
      </w:r>
      <w:r>
        <w:t>con</w:t>
      </w:r>
      <w:r>
        <w:rPr>
          <w:spacing w:val="-12"/>
        </w:rPr>
        <w:t xml:space="preserve"> </w:t>
      </w:r>
      <w:r>
        <w:t>la</w:t>
      </w:r>
      <w:r>
        <w:rPr>
          <w:spacing w:val="-13"/>
        </w:rPr>
        <w:t xml:space="preserve"> </w:t>
      </w:r>
      <w:r>
        <w:t>presencia</w:t>
      </w:r>
      <w:r>
        <w:rPr>
          <w:spacing w:val="-11"/>
        </w:rPr>
        <w:t xml:space="preserve"> </w:t>
      </w:r>
      <w:r>
        <w:t>de</w:t>
      </w:r>
      <w:r>
        <w:rPr>
          <w:spacing w:val="-12"/>
        </w:rPr>
        <w:t xml:space="preserve"> </w:t>
      </w:r>
      <w:r>
        <w:t>otras</w:t>
      </w:r>
      <w:r>
        <w:rPr>
          <w:spacing w:val="-11"/>
        </w:rPr>
        <w:t xml:space="preserve"> </w:t>
      </w:r>
      <w:r>
        <w:t>instancias</w:t>
      </w:r>
      <w:r>
        <w:rPr>
          <w:spacing w:val="-12"/>
        </w:rPr>
        <w:t xml:space="preserve"> </w:t>
      </w:r>
      <w:r>
        <w:t>como</w:t>
      </w:r>
      <w:r>
        <w:rPr>
          <w:spacing w:val="-12"/>
        </w:rPr>
        <w:t xml:space="preserve"> </w:t>
      </w:r>
      <w:r>
        <w:t>el</w:t>
      </w:r>
      <w:r>
        <w:rPr>
          <w:spacing w:val="-12"/>
        </w:rPr>
        <w:t xml:space="preserve"> </w:t>
      </w:r>
      <w:r>
        <w:t>Congreso,</w:t>
      </w:r>
      <w:r>
        <w:rPr>
          <w:spacing w:val="-12"/>
        </w:rPr>
        <w:t xml:space="preserve"> </w:t>
      </w:r>
      <w:r>
        <w:t>la</w:t>
      </w:r>
      <w:r>
        <w:rPr>
          <w:spacing w:val="-11"/>
        </w:rPr>
        <w:t xml:space="preserve"> </w:t>
      </w:r>
      <w:r>
        <w:t xml:space="preserve">rama jurisdiccional y la sociedad civil. </w:t>
      </w:r>
      <w:r>
        <w:rPr>
          <w:color w:val="000009"/>
        </w:rPr>
        <w:t>En muchas regiones del país, el despliegue territorial del Estado ha sido principalmente militar, en especial en las zonas rurales alejadas del centro económico</w:t>
      </w:r>
      <w:r>
        <w:rPr>
          <w:color w:val="000009"/>
          <w:spacing w:val="-5"/>
        </w:rPr>
        <w:t xml:space="preserve"> </w:t>
      </w:r>
      <w:r>
        <w:rPr>
          <w:color w:val="000009"/>
        </w:rPr>
        <w:t>y</w:t>
      </w:r>
      <w:r>
        <w:rPr>
          <w:color w:val="000009"/>
          <w:spacing w:val="-5"/>
        </w:rPr>
        <w:t xml:space="preserve"> </w:t>
      </w:r>
      <w:r>
        <w:rPr>
          <w:color w:val="000009"/>
        </w:rPr>
        <w:t>político,</w:t>
      </w:r>
      <w:r>
        <w:rPr>
          <w:color w:val="000009"/>
          <w:spacing w:val="-5"/>
        </w:rPr>
        <w:t xml:space="preserve"> </w:t>
      </w:r>
      <w:r>
        <w:rPr>
          <w:color w:val="000009"/>
        </w:rPr>
        <w:t>lo</w:t>
      </w:r>
      <w:r>
        <w:rPr>
          <w:color w:val="000009"/>
          <w:spacing w:val="-5"/>
        </w:rPr>
        <w:t xml:space="preserve"> </w:t>
      </w:r>
      <w:r>
        <w:rPr>
          <w:color w:val="000009"/>
        </w:rPr>
        <w:t>cual</w:t>
      </w:r>
      <w:r>
        <w:rPr>
          <w:color w:val="000009"/>
          <w:spacing w:val="-4"/>
        </w:rPr>
        <w:t xml:space="preserve"> </w:t>
      </w:r>
      <w:r>
        <w:rPr>
          <w:color w:val="000009"/>
        </w:rPr>
        <w:t>ha</w:t>
      </w:r>
      <w:r>
        <w:rPr>
          <w:color w:val="000009"/>
          <w:spacing w:val="-5"/>
        </w:rPr>
        <w:t xml:space="preserve"> </w:t>
      </w:r>
      <w:r>
        <w:rPr>
          <w:color w:val="000009"/>
        </w:rPr>
        <w:t>militarizado</w:t>
      </w:r>
      <w:r>
        <w:rPr>
          <w:color w:val="000009"/>
          <w:spacing w:val="-5"/>
        </w:rPr>
        <w:t xml:space="preserve"> </w:t>
      </w:r>
      <w:r>
        <w:rPr>
          <w:color w:val="000009"/>
        </w:rPr>
        <w:t>la</w:t>
      </w:r>
      <w:r>
        <w:rPr>
          <w:color w:val="000009"/>
          <w:spacing w:val="-5"/>
        </w:rPr>
        <w:t xml:space="preserve"> </w:t>
      </w:r>
      <w:r>
        <w:rPr>
          <w:color w:val="000009"/>
        </w:rPr>
        <w:t>relación</w:t>
      </w:r>
      <w:r>
        <w:rPr>
          <w:color w:val="000009"/>
          <w:spacing w:val="-5"/>
        </w:rPr>
        <w:t xml:space="preserve"> </w:t>
      </w:r>
      <w:r>
        <w:rPr>
          <w:color w:val="000009"/>
        </w:rPr>
        <w:t>del</w:t>
      </w:r>
      <w:r>
        <w:rPr>
          <w:color w:val="000009"/>
          <w:spacing w:val="-4"/>
        </w:rPr>
        <w:t xml:space="preserve"> </w:t>
      </w:r>
      <w:r>
        <w:rPr>
          <w:color w:val="000009"/>
        </w:rPr>
        <w:t>Estado</w:t>
      </w:r>
      <w:r>
        <w:rPr>
          <w:color w:val="000009"/>
          <w:spacing w:val="-5"/>
        </w:rPr>
        <w:t xml:space="preserve"> </w:t>
      </w:r>
      <w:r>
        <w:rPr>
          <w:color w:val="000009"/>
        </w:rPr>
        <w:t>con</w:t>
      </w:r>
      <w:r>
        <w:rPr>
          <w:color w:val="000009"/>
          <w:spacing w:val="-5"/>
        </w:rPr>
        <w:t xml:space="preserve"> </w:t>
      </w:r>
      <w:r>
        <w:rPr>
          <w:color w:val="000009"/>
        </w:rPr>
        <w:t>las</w:t>
      </w:r>
      <w:r>
        <w:rPr>
          <w:color w:val="000009"/>
          <w:spacing w:val="-5"/>
        </w:rPr>
        <w:t xml:space="preserve"> </w:t>
      </w:r>
      <w:r>
        <w:rPr>
          <w:color w:val="000009"/>
        </w:rPr>
        <w:t>comunidades.</w:t>
      </w:r>
      <w:r>
        <w:rPr>
          <w:color w:val="000009"/>
          <w:spacing w:val="-5"/>
        </w:rPr>
        <w:t xml:space="preserve"> </w:t>
      </w:r>
      <w:r>
        <w:rPr>
          <w:color w:val="000009"/>
        </w:rPr>
        <w:t>La seguridad</w:t>
      </w:r>
      <w:r>
        <w:rPr>
          <w:color w:val="000009"/>
          <w:spacing w:val="-11"/>
        </w:rPr>
        <w:t xml:space="preserve"> </w:t>
      </w:r>
      <w:r>
        <w:rPr>
          <w:color w:val="000009"/>
        </w:rPr>
        <w:t>no</w:t>
      </w:r>
      <w:r>
        <w:rPr>
          <w:color w:val="000009"/>
          <w:spacing w:val="-12"/>
        </w:rPr>
        <w:t xml:space="preserve"> </w:t>
      </w:r>
      <w:r>
        <w:rPr>
          <w:color w:val="000009"/>
        </w:rPr>
        <w:t>la</w:t>
      </w:r>
      <w:r>
        <w:rPr>
          <w:color w:val="000009"/>
          <w:spacing w:val="-11"/>
        </w:rPr>
        <w:t xml:space="preserve"> </w:t>
      </w:r>
      <w:r>
        <w:rPr>
          <w:color w:val="000009"/>
        </w:rPr>
        <w:t>ha</w:t>
      </w:r>
      <w:r>
        <w:rPr>
          <w:color w:val="000009"/>
          <w:spacing w:val="-11"/>
        </w:rPr>
        <w:t xml:space="preserve"> </w:t>
      </w:r>
      <w:r>
        <w:rPr>
          <w:color w:val="000009"/>
        </w:rPr>
        <w:t>proporcionado</w:t>
      </w:r>
      <w:r>
        <w:rPr>
          <w:color w:val="000009"/>
          <w:spacing w:val="-11"/>
        </w:rPr>
        <w:t xml:space="preserve"> </w:t>
      </w:r>
      <w:r>
        <w:rPr>
          <w:color w:val="000009"/>
        </w:rPr>
        <w:t>la</w:t>
      </w:r>
      <w:r>
        <w:rPr>
          <w:color w:val="000009"/>
          <w:spacing w:val="-11"/>
        </w:rPr>
        <w:t xml:space="preserve"> </w:t>
      </w:r>
      <w:r>
        <w:rPr>
          <w:color w:val="000009"/>
        </w:rPr>
        <w:t>existencia</w:t>
      </w:r>
      <w:r>
        <w:rPr>
          <w:color w:val="000009"/>
          <w:spacing w:val="-11"/>
        </w:rPr>
        <w:t xml:space="preserve"> </w:t>
      </w:r>
      <w:r>
        <w:rPr>
          <w:color w:val="000009"/>
        </w:rPr>
        <w:t>de</w:t>
      </w:r>
      <w:r>
        <w:rPr>
          <w:color w:val="000009"/>
          <w:spacing w:val="-12"/>
        </w:rPr>
        <w:t xml:space="preserve"> </w:t>
      </w:r>
      <w:r>
        <w:rPr>
          <w:color w:val="000009"/>
        </w:rPr>
        <w:t>instituciones,</w:t>
      </w:r>
      <w:r>
        <w:rPr>
          <w:color w:val="000009"/>
          <w:spacing w:val="-11"/>
        </w:rPr>
        <w:t xml:space="preserve"> </w:t>
      </w:r>
      <w:r>
        <w:rPr>
          <w:color w:val="000009"/>
        </w:rPr>
        <w:t>un</w:t>
      </w:r>
      <w:r>
        <w:rPr>
          <w:color w:val="000009"/>
          <w:spacing w:val="-11"/>
        </w:rPr>
        <w:t xml:space="preserve"> </w:t>
      </w:r>
      <w:r>
        <w:rPr>
          <w:color w:val="000009"/>
        </w:rPr>
        <w:t>Estado</w:t>
      </w:r>
      <w:r>
        <w:rPr>
          <w:color w:val="000009"/>
          <w:spacing w:val="-11"/>
        </w:rPr>
        <w:t xml:space="preserve"> </w:t>
      </w:r>
      <w:r>
        <w:rPr>
          <w:color w:val="000009"/>
        </w:rPr>
        <w:t>civil</w:t>
      </w:r>
      <w:r>
        <w:rPr>
          <w:color w:val="000009"/>
          <w:spacing w:val="-10"/>
        </w:rPr>
        <w:t xml:space="preserve"> </w:t>
      </w:r>
      <w:r>
        <w:rPr>
          <w:color w:val="000009"/>
        </w:rPr>
        <w:t>de</w:t>
      </w:r>
      <w:r>
        <w:rPr>
          <w:color w:val="000009"/>
          <w:spacing w:val="-11"/>
        </w:rPr>
        <w:t xml:space="preserve"> </w:t>
      </w:r>
      <w:r>
        <w:rPr>
          <w:color w:val="000009"/>
        </w:rPr>
        <w:t>protección social,</w:t>
      </w:r>
      <w:r>
        <w:rPr>
          <w:color w:val="000009"/>
          <w:spacing w:val="-12"/>
        </w:rPr>
        <w:t xml:space="preserve"> </w:t>
      </w:r>
      <w:r>
        <w:rPr>
          <w:color w:val="000009"/>
        </w:rPr>
        <w:t>lo</w:t>
      </w:r>
      <w:r>
        <w:rPr>
          <w:color w:val="000009"/>
          <w:spacing w:val="-13"/>
        </w:rPr>
        <w:t xml:space="preserve"> </w:t>
      </w:r>
      <w:r>
        <w:rPr>
          <w:color w:val="000009"/>
        </w:rPr>
        <w:t>que</w:t>
      </w:r>
      <w:r>
        <w:rPr>
          <w:color w:val="000009"/>
          <w:spacing w:val="-12"/>
        </w:rPr>
        <w:t xml:space="preserve"> </w:t>
      </w:r>
      <w:r>
        <w:rPr>
          <w:color w:val="000009"/>
        </w:rPr>
        <w:t>es</w:t>
      </w:r>
      <w:r>
        <w:rPr>
          <w:color w:val="000009"/>
          <w:spacing w:val="-13"/>
        </w:rPr>
        <w:t xml:space="preserve"> </w:t>
      </w:r>
      <w:r>
        <w:rPr>
          <w:color w:val="000009"/>
        </w:rPr>
        <w:t>un</w:t>
      </w:r>
      <w:r>
        <w:rPr>
          <w:color w:val="000009"/>
          <w:spacing w:val="-12"/>
        </w:rPr>
        <w:t xml:space="preserve"> </w:t>
      </w:r>
      <w:r>
        <w:rPr>
          <w:color w:val="000009"/>
        </w:rPr>
        <w:t>fuerte</w:t>
      </w:r>
      <w:r>
        <w:rPr>
          <w:color w:val="000009"/>
          <w:spacing w:val="-12"/>
        </w:rPr>
        <w:t xml:space="preserve"> </w:t>
      </w:r>
      <w:r>
        <w:rPr>
          <w:color w:val="000009"/>
        </w:rPr>
        <w:t>reclamo</w:t>
      </w:r>
      <w:r>
        <w:rPr>
          <w:color w:val="000009"/>
          <w:spacing w:val="-12"/>
        </w:rPr>
        <w:t xml:space="preserve"> </w:t>
      </w:r>
      <w:r>
        <w:rPr>
          <w:color w:val="000009"/>
        </w:rPr>
        <w:t>en</w:t>
      </w:r>
      <w:r>
        <w:rPr>
          <w:color w:val="000009"/>
          <w:spacing w:val="-13"/>
        </w:rPr>
        <w:t xml:space="preserve"> </w:t>
      </w:r>
      <w:r>
        <w:rPr>
          <w:color w:val="000009"/>
        </w:rPr>
        <w:t>las</w:t>
      </w:r>
      <w:r>
        <w:rPr>
          <w:color w:val="000009"/>
          <w:spacing w:val="-13"/>
        </w:rPr>
        <w:t xml:space="preserve"> </w:t>
      </w:r>
      <w:r>
        <w:rPr>
          <w:color w:val="000009"/>
        </w:rPr>
        <w:t>comunidades</w:t>
      </w:r>
      <w:r>
        <w:rPr>
          <w:color w:val="000009"/>
          <w:spacing w:val="-13"/>
        </w:rPr>
        <w:t xml:space="preserve"> </w:t>
      </w:r>
      <w:r>
        <w:rPr>
          <w:color w:val="000009"/>
        </w:rPr>
        <w:t>más</w:t>
      </w:r>
      <w:r>
        <w:rPr>
          <w:color w:val="000009"/>
          <w:spacing w:val="-13"/>
        </w:rPr>
        <w:t xml:space="preserve"> </w:t>
      </w:r>
      <w:r>
        <w:rPr>
          <w:color w:val="000009"/>
        </w:rPr>
        <w:t>afectadas</w:t>
      </w:r>
      <w:r>
        <w:rPr>
          <w:color w:val="000009"/>
          <w:spacing w:val="-13"/>
        </w:rPr>
        <w:t xml:space="preserve"> </w:t>
      </w:r>
      <w:r>
        <w:rPr>
          <w:color w:val="000009"/>
        </w:rPr>
        <w:t>por</w:t>
      </w:r>
      <w:r>
        <w:rPr>
          <w:color w:val="000009"/>
          <w:spacing w:val="-13"/>
        </w:rPr>
        <w:t xml:space="preserve"> </w:t>
      </w:r>
      <w:r>
        <w:rPr>
          <w:color w:val="000009"/>
        </w:rPr>
        <w:t>el</w:t>
      </w:r>
      <w:r>
        <w:rPr>
          <w:color w:val="000009"/>
          <w:spacing w:val="-13"/>
        </w:rPr>
        <w:t xml:space="preserve"> </w:t>
      </w:r>
      <w:r>
        <w:rPr>
          <w:color w:val="000009"/>
        </w:rPr>
        <w:t>conflicto</w:t>
      </w:r>
      <w:r>
        <w:rPr>
          <w:color w:val="000009"/>
          <w:spacing w:val="-12"/>
        </w:rPr>
        <w:t xml:space="preserve"> </w:t>
      </w:r>
      <w:r>
        <w:rPr>
          <w:color w:val="000009"/>
        </w:rPr>
        <w:t>armado. En</w:t>
      </w:r>
      <w:r>
        <w:rPr>
          <w:color w:val="000009"/>
          <w:spacing w:val="-5"/>
        </w:rPr>
        <w:t xml:space="preserve"> </w:t>
      </w:r>
      <w:r>
        <w:rPr>
          <w:color w:val="000009"/>
        </w:rPr>
        <w:t>este</w:t>
      </w:r>
      <w:r>
        <w:rPr>
          <w:color w:val="000009"/>
          <w:spacing w:val="-5"/>
        </w:rPr>
        <w:t xml:space="preserve"> </w:t>
      </w:r>
      <w:r>
        <w:rPr>
          <w:color w:val="000009"/>
        </w:rPr>
        <w:t>despliegue,</w:t>
      </w:r>
      <w:r>
        <w:rPr>
          <w:color w:val="000009"/>
          <w:spacing w:val="-6"/>
        </w:rPr>
        <w:t xml:space="preserve"> </w:t>
      </w:r>
      <w:r>
        <w:rPr>
          <w:color w:val="000009"/>
        </w:rPr>
        <w:t>la</w:t>
      </w:r>
      <w:r>
        <w:rPr>
          <w:color w:val="000009"/>
          <w:spacing w:val="-6"/>
        </w:rPr>
        <w:t xml:space="preserve"> </w:t>
      </w:r>
      <w:r>
        <w:rPr>
          <w:color w:val="000009"/>
        </w:rPr>
        <w:t>fuerza</w:t>
      </w:r>
      <w:r>
        <w:rPr>
          <w:color w:val="000009"/>
          <w:spacing w:val="-5"/>
        </w:rPr>
        <w:t xml:space="preserve"> </w:t>
      </w:r>
      <w:r>
        <w:rPr>
          <w:color w:val="000009"/>
        </w:rPr>
        <w:t>pública,</w:t>
      </w:r>
      <w:r>
        <w:rPr>
          <w:color w:val="000009"/>
          <w:spacing w:val="-6"/>
        </w:rPr>
        <w:t xml:space="preserve"> </w:t>
      </w:r>
      <w:r>
        <w:rPr>
          <w:color w:val="000009"/>
        </w:rPr>
        <w:t>en</w:t>
      </w:r>
      <w:r>
        <w:rPr>
          <w:color w:val="000009"/>
          <w:spacing w:val="-5"/>
        </w:rPr>
        <w:t xml:space="preserve"> </w:t>
      </w:r>
      <w:r>
        <w:rPr>
          <w:color w:val="000009"/>
        </w:rPr>
        <w:t>medio</w:t>
      </w:r>
      <w:r>
        <w:rPr>
          <w:color w:val="000009"/>
          <w:spacing w:val="-5"/>
        </w:rPr>
        <w:t xml:space="preserve"> </w:t>
      </w:r>
      <w:r>
        <w:rPr>
          <w:color w:val="000009"/>
        </w:rPr>
        <w:t>de</w:t>
      </w:r>
      <w:r>
        <w:rPr>
          <w:color w:val="000009"/>
          <w:spacing w:val="-6"/>
        </w:rPr>
        <w:t xml:space="preserve"> </w:t>
      </w:r>
      <w:r>
        <w:rPr>
          <w:color w:val="000009"/>
        </w:rPr>
        <w:t>la</w:t>
      </w:r>
      <w:r>
        <w:rPr>
          <w:color w:val="000009"/>
          <w:spacing w:val="-5"/>
        </w:rPr>
        <w:t xml:space="preserve"> </w:t>
      </w:r>
      <w:r>
        <w:rPr>
          <w:color w:val="000009"/>
        </w:rPr>
        <w:t>guerra,</w:t>
      </w:r>
      <w:r>
        <w:rPr>
          <w:color w:val="000009"/>
          <w:spacing w:val="-5"/>
        </w:rPr>
        <w:t xml:space="preserve"> </w:t>
      </w:r>
      <w:r>
        <w:rPr>
          <w:color w:val="000009"/>
        </w:rPr>
        <w:t>ha</w:t>
      </w:r>
      <w:r>
        <w:rPr>
          <w:color w:val="000009"/>
          <w:spacing w:val="-5"/>
        </w:rPr>
        <w:t xml:space="preserve"> </w:t>
      </w:r>
      <w:r>
        <w:rPr>
          <w:color w:val="000009"/>
        </w:rPr>
        <w:t>buscado</w:t>
      </w:r>
      <w:r>
        <w:rPr>
          <w:color w:val="000009"/>
          <w:spacing w:val="-5"/>
        </w:rPr>
        <w:t xml:space="preserve"> </w:t>
      </w:r>
      <w:r>
        <w:rPr>
          <w:color w:val="000009"/>
        </w:rPr>
        <w:t>disputar</w:t>
      </w:r>
      <w:r>
        <w:rPr>
          <w:color w:val="000009"/>
          <w:spacing w:val="-6"/>
        </w:rPr>
        <w:t xml:space="preserve"> </w:t>
      </w:r>
      <w:r>
        <w:rPr>
          <w:color w:val="000009"/>
        </w:rPr>
        <w:t>el</w:t>
      </w:r>
      <w:r>
        <w:rPr>
          <w:color w:val="000009"/>
          <w:spacing w:val="-6"/>
        </w:rPr>
        <w:t xml:space="preserve"> </w:t>
      </w:r>
      <w:r>
        <w:rPr>
          <w:color w:val="000009"/>
        </w:rPr>
        <w:t>territorio frente a los armados, clasificando a la población en función de su actitud frente al Estado o las Fuerzas Armadas, para tratar de neutralizar o eliminar a los considerados opositores y lograr o fortalecer la simpatía de otros sectores de la población civil y obtener información para ganar ventajas frente a los adversarios.</w:t>
      </w:r>
    </w:p>
    <w:p w:rsidR="003804AC" w:rsidRDefault="00AF18A5" w:rsidP="00757EBB">
      <w:r>
        <w:t>De esta manera, comunidades campesinas, indígenas o afrodescendientes en no pocas ocasiones se vieron como un objeto en disputa por los actores de la guerra, incluyendo el Estado.</w:t>
      </w:r>
      <w:r>
        <w:rPr>
          <w:spacing w:val="-10"/>
        </w:rPr>
        <w:t xml:space="preserve"> </w:t>
      </w:r>
      <w:r>
        <w:t>Esa</w:t>
      </w:r>
      <w:r>
        <w:rPr>
          <w:spacing w:val="-12"/>
        </w:rPr>
        <w:t xml:space="preserve"> </w:t>
      </w:r>
      <w:r>
        <w:t>confrontación</w:t>
      </w:r>
      <w:r>
        <w:rPr>
          <w:spacing w:val="-10"/>
        </w:rPr>
        <w:t xml:space="preserve"> </w:t>
      </w:r>
      <w:r>
        <w:t>las</w:t>
      </w:r>
      <w:r>
        <w:rPr>
          <w:spacing w:val="-9"/>
        </w:rPr>
        <w:t xml:space="preserve"> </w:t>
      </w:r>
      <w:r>
        <w:t>puso</w:t>
      </w:r>
      <w:r>
        <w:rPr>
          <w:spacing w:val="-10"/>
        </w:rPr>
        <w:t xml:space="preserve"> </w:t>
      </w:r>
      <w:r>
        <w:t>en</w:t>
      </w:r>
      <w:r>
        <w:rPr>
          <w:spacing w:val="-11"/>
        </w:rPr>
        <w:t xml:space="preserve"> </w:t>
      </w:r>
      <w:r>
        <w:t>riesgo,</w:t>
      </w:r>
      <w:r>
        <w:rPr>
          <w:spacing w:val="-10"/>
        </w:rPr>
        <w:t xml:space="preserve"> </w:t>
      </w:r>
      <w:r>
        <w:t>las</w:t>
      </w:r>
      <w:r>
        <w:rPr>
          <w:spacing w:val="-9"/>
        </w:rPr>
        <w:t xml:space="preserve"> </w:t>
      </w:r>
      <w:r>
        <w:t>estigmatizó</w:t>
      </w:r>
      <w:r>
        <w:rPr>
          <w:spacing w:val="-10"/>
        </w:rPr>
        <w:t xml:space="preserve"> </w:t>
      </w:r>
      <w:r>
        <w:t>y</w:t>
      </w:r>
      <w:r>
        <w:rPr>
          <w:spacing w:val="-11"/>
        </w:rPr>
        <w:t xml:space="preserve"> </w:t>
      </w:r>
      <w:r>
        <w:t>las</w:t>
      </w:r>
      <w:r>
        <w:rPr>
          <w:spacing w:val="-11"/>
        </w:rPr>
        <w:t xml:space="preserve"> </w:t>
      </w:r>
      <w:r>
        <w:t>llevó</w:t>
      </w:r>
      <w:r>
        <w:rPr>
          <w:spacing w:val="-11"/>
        </w:rPr>
        <w:t xml:space="preserve"> </w:t>
      </w:r>
      <w:r>
        <w:t>a</w:t>
      </w:r>
      <w:r>
        <w:rPr>
          <w:spacing w:val="-9"/>
        </w:rPr>
        <w:t xml:space="preserve"> </w:t>
      </w:r>
      <w:r>
        <w:t>padecer</w:t>
      </w:r>
      <w:r>
        <w:rPr>
          <w:spacing w:val="-10"/>
        </w:rPr>
        <w:t xml:space="preserve"> </w:t>
      </w:r>
      <w:r>
        <w:t>numerosas formas</w:t>
      </w:r>
      <w:r>
        <w:rPr>
          <w:spacing w:val="-3"/>
        </w:rPr>
        <w:t xml:space="preserve"> </w:t>
      </w:r>
      <w:r>
        <w:t>de</w:t>
      </w:r>
      <w:r>
        <w:rPr>
          <w:spacing w:val="-3"/>
        </w:rPr>
        <w:t xml:space="preserve"> </w:t>
      </w:r>
      <w:r>
        <w:t>violencia.</w:t>
      </w:r>
      <w:r>
        <w:rPr>
          <w:spacing w:val="-4"/>
        </w:rPr>
        <w:t xml:space="preserve"> </w:t>
      </w:r>
      <w:r>
        <w:t>Este</w:t>
      </w:r>
      <w:r>
        <w:rPr>
          <w:spacing w:val="-5"/>
        </w:rPr>
        <w:t xml:space="preserve"> </w:t>
      </w:r>
      <w:r>
        <w:t>abordaje</w:t>
      </w:r>
      <w:r>
        <w:rPr>
          <w:spacing w:val="-3"/>
        </w:rPr>
        <w:t xml:space="preserve"> </w:t>
      </w:r>
      <w:r>
        <w:t>de</w:t>
      </w:r>
      <w:r>
        <w:rPr>
          <w:spacing w:val="-5"/>
        </w:rPr>
        <w:t xml:space="preserve"> </w:t>
      </w:r>
      <w:r>
        <w:t>la</w:t>
      </w:r>
      <w:r>
        <w:rPr>
          <w:spacing w:val="-3"/>
        </w:rPr>
        <w:t xml:space="preserve"> </w:t>
      </w:r>
      <w:r>
        <w:t>seguridad</w:t>
      </w:r>
      <w:r>
        <w:rPr>
          <w:spacing w:val="-5"/>
        </w:rPr>
        <w:t xml:space="preserve"> </w:t>
      </w:r>
      <w:r>
        <w:t>ha</w:t>
      </w:r>
      <w:r>
        <w:rPr>
          <w:spacing w:val="-3"/>
        </w:rPr>
        <w:t xml:space="preserve"> </w:t>
      </w:r>
      <w:r>
        <w:t>tenido</w:t>
      </w:r>
      <w:r>
        <w:rPr>
          <w:spacing w:val="-4"/>
        </w:rPr>
        <w:t xml:space="preserve"> </w:t>
      </w:r>
      <w:r>
        <w:t>impactos</w:t>
      </w:r>
      <w:r>
        <w:rPr>
          <w:spacing w:val="-3"/>
        </w:rPr>
        <w:t xml:space="preserve"> </w:t>
      </w:r>
      <w:r>
        <w:t>no</w:t>
      </w:r>
      <w:r>
        <w:rPr>
          <w:spacing w:val="-4"/>
        </w:rPr>
        <w:t xml:space="preserve"> </w:t>
      </w:r>
      <w:r>
        <w:t>solo</w:t>
      </w:r>
      <w:r>
        <w:rPr>
          <w:spacing w:val="-4"/>
        </w:rPr>
        <w:t xml:space="preserve"> </w:t>
      </w:r>
      <w:r>
        <w:t>en</w:t>
      </w:r>
      <w:r>
        <w:rPr>
          <w:spacing w:val="-4"/>
        </w:rPr>
        <w:t xml:space="preserve"> </w:t>
      </w:r>
      <w:r>
        <w:t>la</w:t>
      </w:r>
      <w:r>
        <w:rPr>
          <w:spacing w:val="-3"/>
        </w:rPr>
        <w:t xml:space="preserve"> </w:t>
      </w:r>
      <w:r>
        <w:t xml:space="preserve">vigencia de los derechos humanos, sino también en la democracia, restringiendo o eliminando el pluralismo que </w:t>
      </w:r>
      <w:r>
        <w:lastRenderedPageBreak/>
        <w:t>caracteriza a la democracia, pues privilegia la protección de unos sectores, unas ideas y unos intereses, desprotegiendo a otros que, además, son considerados frecuentemente como el «enemigo».</w:t>
      </w:r>
    </w:p>
    <w:p w:rsidR="003804AC" w:rsidRDefault="00AF18A5" w:rsidP="00757EBB">
      <w:r>
        <w:t>En diferentes momentos de la historia reciente, Colombia ha tratado de llevar adelante procesos de negociación para la paz. La cuestión del modelo de seguridad no ha sido abordada en ninguno de ellos. Hoy en día, aún tras el proceso de paz con las FARC-EP que ha significado un nuevo marco para la transición política, continúa en parte un conflicto armado</w:t>
      </w:r>
      <w:r>
        <w:rPr>
          <w:spacing w:val="25"/>
        </w:rPr>
        <w:t xml:space="preserve"> </w:t>
      </w:r>
      <w:r>
        <w:t>fragmentado</w:t>
      </w:r>
      <w:r>
        <w:rPr>
          <w:spacing w:val="27"/>
        </w:rPr>
        <w:t xml:space="preserve"> </w:t>
      </w:r>
      <w:r>
        <w:t>en</w:t>
      </w:r>
      <w:r>
        <w:rPr>
          <w:spacing w:val="26"/>
        </w:rPr>
        <w:t xml:space="preserve"> </w:t>
      </w:r>
      <w:r>
        <w:t>el</w:t>
      </w:r>
      <w:r>
        <w:rPr>
          <w:spacing w:val="28"/>
        </w:rPr>
        <w:t xml:space="preserve"> </w:t>
      </w:r>
      <w:r>
        <w:t>que</w:t>
      </w:r>
      <w:r>
        <w:rPr>
          <w:spacing w:val="28"/>
        </w:rPr>
        <w:t xml:space="preserve"> </w:t>
      </w:r>
      <w:r>
        <w:t>la</w:t>
      </w:r>
      <w:r>
        <w:rPr>
          <w:spacing w:val="28"/>
        </w:rPr>
        <w:t xml:space="preserve"> </w:t>
      </w:r>
      <w:r>
        <w:t>demanda</w:t>
      </w:r>
      <w:r>
        <w:rPr>
          <w:spacing w:val="29"/>
        </w:rPr>
        <w:t xml:space="preserve"> </w:t>
      </w:r>
      <w:r>
        <w:t>de</w:t>
      </w:r>
      <w:r>
        <w:rPr>
          <w:spacing w:val="28"/>
        </w:rPr>
        <w:t xml:space="preserve"> </w:t>
      </w:r>
      <w:r>
        <w:t>las</w:t>
      </w:r>
      <w:r>
        <w:rPr>
          <w:spacing w:val="28"/>
        </w:rPr>
        <w:t xml:space="preserve"> </w:t>
      </w:r>
      <w:r>
        <w:t>comunidades</w:t>
      </w:r>
      <w:r>
        <w:rPr>
          <w:spacing w:val="28"/>
        </w:rPr>
        <w:t xml:space="preserve"> </w:t>
      </w:r>
      <w:r>
        <w:t>afectadas</w:t>
      </w:r>
      <w:r>
        <w:rPr>
          <w:spacing w:val="28"/>
        </w:rPr>
        <w:t xml:space="preserve"> </w:t>
      </w:r>
      <w:r>
        <w:t>sigue</w:t>
      </w:r>
      <w:r>
        <w:rPr>
          <w:spacing w:val="28"/>
        </w:rPr>
        <w:t xml:space="preserve"> </w:t>
      </w:r>
      <w:r>
        <w:t>siendo</w:t>
      </w:r>
      <w:r>
        <w:rPr>
          <w:spacing w:val="28"/>
        </w:rPr>
        <w:t xml:space="preserve"> </w:t>
      </w:r>
      <w:r>
        <w:rPr>
          <w:spacing w:val="-5"/>
        </w:rPr>
        <w:t>la</w:t>
      </w:r>
      <w:r w:rsidR="00757EBB">
        <w:t xml:space="preserve"> </w:t>
      </w:r>
      <w:r>
        <w:t>presencia</w:t>
      </w:r>
      <w:r>
        <w:rPr>
          <w:spacing w:val="-2"/>
        </w:rPr>
        <w:t xml:space="preserve"> </w:t>
      </w:r>
      <w:r>
        <w:t>de</w:t>
      </w:r>
      <w:r>
        <w:rPr>
          <w:spacing w:val="-3"/>
        </w:rPr>
        <w:t xml:space="preserve"> </w:t>
      </w:r>
      <w:r>
        <w:t>un</w:t>
      </w:r>
      <w:r>
        <w:rPr>
          <w:spacing w:val="-2"/>
        </w:rPr>
        <w:t xml:space="preserve"> </w:t>
      </w:r>
      <w:r>
        <w:t>Estado</w:t>
      </w:r>
      <w:r>
        <w:rPr>
          <w:spacing w:val="-2"/>
        </w:rPr>
        <w:t xml:space="preserve"> </w:t>
      </w:r>
      <w:r>
        <w:t>social</w:t>
      </w:r>
      <w:r>
        <w:rPr>
          <w:spacing w:val="-2"/>
        </w:rPr>
        <w:t xml:space="preserve"> </w:t>
      </w:r>
      <w:r>
        <w:t>que</w:t>
      </w:r>
      <w:r>
        <w:rPr>
          <w:spacing w:val="-2"/>
        </w:rPr>
        <w:t xml:space="preserve"> </w:t>
      </w:r>
      <w:r>
        <w:t>no</w:t>
      </w:r>
      <w:r>
        <w:rPr>
          <w:spacing w:val="-4"/>
        </w:rPr>
        <w:t xml:space="preserve"> </w:t>
      </w:r>
      <w:r>
        <w:t>se</w:t>
      </w:r>
      <w:r>
        <w:rPr>
          <w:spacing w:val="-2"/>
        </w:rPr>
        <w:t xml:space="preserve"> </w:t>
      </w:r>
      <w:r>
        <w:t>ha</w:t>
      </w:r>
      <w:r>
        <w:rPr>
          <w:spacing w:val="-2"/>
        </w:rPr>
        <w:t xml:space="preserve"> </w:t>
      </w:r>
      <w:r>
        <w:t>hecho</w:t>
      </w:r>
      <w:r>
        <w:rPr>
          <w:spacing w:val="-2"/>
        </w:rPr>
        <w:t xml:space="preserve"> </w:t>
      </w:r>
      <w:r>
        <w:t>presente</w:t>
      </w:r>
      <w:r>
        <w:rPr>
          <w:spacing w:val="-2"/>
        </w:rPr>
        <w:t xml:space="preserve"> </w:t>
      </w:r>
      <w:r>
        <w:t>después</w:t>
      </w:r>
      <w:r>
        <w:rPr>
          <w:spacing w:val="-2"/>
        </w:rPr>
        <w:t xml:space="preserve"> </w:t>
      </w:r>
      <w:r>
        <w:t>de</w:t>
      </w:r>
      <w:r>
        <w:rPr>
          <w:spacing w:val="-2"/>
        </w:rPr>
        <w:t xml:space="preserve"> </w:t>
      </w:r>
      <w:r>
        <w:t>la</w:t>
      </w:r>
      <w:r>
        <w:rPr>
          <w:spacing w:val="-2"/>
        </w:rPr>
        <w:t xml:space="preserve"> </w:t>
      </w:r>
      <w:r>
        <w:t>desmovilización</w:t>
      </w:r>
      <w:r>
        <w:rPr>
          <w:spacing w:val="-2"/>
        </w:rPr>
        <w:t xml:space="preserve"> </w:t>
      </w:r>
      <w:r>
        <w:t>de las FARC-EP.</w:t>
      </w:r>
    </w:p>
    <w:p w:rsidR="003804AC" w:rsidRDefault="00AF18A5" w:rsidP="00757EBB">
      <w:r>
        <w:t>Una solución estructural de la guerra y de la violencia requiere un cambio de mentalidad y</w:t>
      </w:r>
      <w:r>
        <w:rPr>
          <w:spacing w:val="-1"/>
        </w:rPr>
        <w:t xml:space="preserve"> </w:t>
      </w:r>
      <w:r>
        <w:t>un</w:t>
      </w:r>
      <w:r>
        <w:rPr>
          <w:spacing w:val="-1"/>
        </w:rPr>
        <w:t xml:space="preserve"> </w:t>
      </w:r>
      <w:r>
        <w:t>enfoque</w:t>
      </w:r>
      <w:r>
        <w:rPr>
          <w:spacing w:val="-1"/>
        </w:rPr>
        <w:t xml:space="preserve"> </w:t>
      </w:r>
      <w:r>
        <w:t>de</w:t>
      </w:r>
      <w:r>
        <w:rPr>
          <w:spacing w:val="-1"/>
        </w:rPr>
        <w:t xml:space="preserve"> </w:t>
      </w:r>
      <w:r>
        <w:t>seguridad</w:t>
      </w:r>
      <w:r>
        <w:rPr>
          <w:spacing w:val="-1"/>
        </w:rPr>
        <w:t xml:space="preserve"> </w:t>
      </w:r>
      <w:r>
        <w:t>en</w:t>
      </w:r>
      <w:r>
        <w:rPr>
          <w:spacing w:val="-1"/>
        </w:rPr>
        <w:t xml:space="preserve"> </w:t>
      </w:r>
      <w:r>
        <w:t>los</w:t>
      </w:r>
      <w:r>
        <w:rPr>
          <w:spacing w:val="-1"/>
        </w:rPr>
        <w:t xml:space="preserve"> </w:t>
      </w:r>
      <w:r>
        <w:t>términos</w:t>
      </w:r>
      <w:r>
        <w:rPr>
          <w:spacing w:val="-1"/>
        </w:rPr>
        <w:t xml:space="preserve"> </w:t>
      </w:r>
      <w:r>
        <w:t>expuestos,</w:t>
      </w:r>
      <w:r>
        <w:rPr>
          <w:spacing w:val="-1"/>
        </w:rPr>
        <w:t xml:space="preserve"> </w:t>
      </w:r>
      <w:r>
        <w:t>así</w:t>
      </w:r>
      <w:r>
        <w:rPr>
          <w:spacing w:val="-1"/>
        </w:rPr>
        <w:t xml:space="preserve"> </w:t>
      </w:r>
      <w:r>
        <w:t>como</w:t>
      </w:r>
      <w:r>
        <w:rPr>
          <w:spacing w:val="-1"/>
        </w:rPr>
        <w:t xml:space="preserve"> </w:t>
      </w:r>
      <w:r>
        <w:t>transformaciones</w:t>
      </w:r>
      <w:r>
        <w:rPr>
          <w:spacing w:val="-1"/>
        </w:rPr>
        <w:t xml:space="preserve"> </w:t>
      </w:r>
      <w:r>
        <w:t>necesarias que se derivan de los hallazgos de la Comisión en las diferentes áreas de estudio: paz completa, protección integral de los territorios, superación del enfoque prohibicionista del problema del narcotráfico, lucha contra la impunidad, apertura del régimen político y potenciamiento de la cultura de paz. Se requiere un compromiso serio con el cumplimiento de la ley que redunde en la legitimidad del Estado.</w:t>
      </w:r>
    </w:p>
    <w:p w:rsidR="00757EBB" w:rsidRDefault="00757EBB" w:rsidP="00757EBB">
      <w:pPr>
        <w:pStyle w:val="Ttulo3"/>
      </w:pPr>
      <w:bookmarkStart w:id="924" w:name="_Toc112399616"/>
      <w:r>
        <w:t>Discursos presidenciales y seguridad</w:t>
      </w:r>
      <w:bookmarkEnd w:id="924"/>
    </w:p>
    <w:p w:rsidR="00757EBB" w:rsidRDefault="00757EBB" w:rsidP="00757EBB">
      <w:r>
        <w:t>La Comisión de la Verdad analizó</w:t>
      </w:r>
      <w:r w:rsidR="00F8662D">
        <w:rPr>
          <w:rStyle w:val="Refdenotaalpie"/>
        </w:rPr>
        <w:footnoteReference w:id="735"/>
      </w:r>
      <w:r>
        <w:t xml:space="preserve"> 16 de los 17 discursos pronunciados por los presidentes de la República en su acto de posesión, desde </w:t>
      </w:r>
      <w:r>
        <w:lastRenderedPageBreak/>
        <w:t>Gustavo Rojas Pinilla en 1953 hasta Iván Duque Márquez en el 2018, con el objetivo de dar cuenta de las tendencias y relaciones entre los discursos de posesión y el trabajo realizado en cada mandato, así de los hechos sociales más relevantes de cada uno de estos periodos.</w:t>
      </w:r>
    </w:p>
    <w:p w:rsidR="00757EBB" w:rsidRDefault="00757EBB" w:rsidP="00757EBB">
      <w:r>
        <w:t>De este análisis, la Comisión concluyó que a lo largo de este periodo (1953-2022):</w:t>
      </w:r>
    </w:p>
    <w:p w:rsidR="00757EBB" w:rsidRPr="00757EBB" w:rsidRDefault="00757EBB" w:rsidP="004A6EF4">
      <w:pPr>
        <w:pStyle w:val="Prrafodelista"/>
        <w:numPr>
          <w:ilvl w:val="0"/>
          <w:numId w:val="22"/>
        </w:numPr>
      </w:pPr>
      <w:r w:rsidRPr="00757EBB">
        <w:t>El enfoque discursivo hegemónico que ha preponderado en la política colombiana durante más de 70 años gira en torno a términos concretos cómo violencia, seguridad social y defensa.</w:t>
      </w:r>
    </w:p>
    <w:p w:rsidR="00757EBB" w:rsidRPr="00757EBB" w:rsidRDefault="00757EBB" w:rsidP="004A6EF4">
      <w:pPr>
        <w:pStyle w:val="Prrafodelista"/>
        <w:numPr>
          <w:ilvl w:val="0"/>
          <w:numId w:val="22"/>
        </w:numPr>
      </w:pPr>
      <w:r w:rsidRPr="00757EBB">
        <w:t>En todos los discursos, el Ministerio de Defensa es el que más se menciona, especialmente en el discurso de Alberto Lleras Camargo (1962), disminuyendo hasta el discurso de Andrés Pastrana Arango (1998), cuando la frecuencia nuevamente empieza a aumentar.</w:t>
      </w:r>
    </w:p>
    <w:p w:rsidR="0011361F" w:rsidRPr="00757EBB" w:rsidRDefault="00757EBB" w:rsidP="004A6EF4">
      <w:pPr>
        <w:pStyle w:val="Prrafodelista"/>
        <w:numPr>
          <w:ilvl w:val="0"/>
          <w:numId w:val="22"/>
        </w:numPr>
      </w:pPr>
      <w:r w:rsidRPr="00757EBB">
        <w:t>En todos los discursos, los términos asociados a los ministerios Salud y de Educación presentan un bajo índice de frecuencia. No se trata solo de discursos, sino que se relaciona con las prioridades políticas y presupuestales.</w:t>
      </w:r>
    </w:p>
    <w:p w:rsidR="0011361F" w:rsidRDefault="00AF18A5" w:rsidP="004A6EF4">
      <w:pPr>
        <w:pStyle w:val="Ttulo3"/>
        <w:numPr>
          <w:ilvl w:val="1"/>
          <w:numId w:val="16"/>
        </w:numPr>
      </w:pPr>
      <w:bookmarkStart w:id="925" w:name="_bookmark805"/>
      <w:bookmarkStart w:id="926" w:name="7.1._La_construcción_histórica_del_actua"/>
      <w:bookmarkStart w:id="927" w:name="_Toc112399617"/>
      <w:bookmarkEnd w:id="925"/>
      <w:bookmarkEnd w:id="926"/>
      <w:r>
        <w:t>La</w:t>
      </w:r>
      <w:r>
        <w:rPr>
          <w:spacing w:val="-4"/>
        </w:rPr>
        <w:t xml:space="preserve"> </w:t>
      </w:r>
      <w:r w:rsidRPr="00E62705">
        <w:t>construcción</w:t>
      </w:r>
      <w:r>
        <w:rPr>
          <w:spacing w:val="-3"/>
        </w:rPr>
        <w:t xml:space="preserve"> </w:t>
      </w:r>
      <w:r>
        <w:t>histórica</w:t>
      </w:r>
      <w:r>
        <w:rPr>
          <w:spacing w:val="-2"/>
        </w:rPr>
        <w:t xml:space="preserve"> </w:t>
      </w:r>
      <w:r>
        <w:t>del</w:t>
      </w:r>
      <w:r>
        <w:rPr>
          <w:spacing w:val="-2"/>
        </w:rPr>
        <w:t xml:space="preserve"> </w:t>
      </w:r>
      <w:r>
        <w:t>actual</w:t>
      </w:r>
      <w:r>
        <w:rPr>
          <w:spacing w:val="-2"/>
        </w:rPr>
        <w:t xml:space="preserve"> </w:t>
      </w:r>
      <w:r>
        <w:t>modelo</w:t>
      </w:r>
      <w:r>
        <w:rPr>
          <w:spacing w:val="-2"/>
        </w:rPr>
        <w:t xml:space="preserve"> </w:t>
      </w:r>
      <w:r>
        <w:t>de</w:t>
      </w:r>
      <w:r>
        <w:rPr>
          <w:spacing w:val="-2"/>
        </w:rPr>
        <w:t xml:space="preserve"> </w:t>
      </w:r>
      <w:r>
        <w:t>seguridad</w:t>
      </w:r>
      <w:r>
        <w:rPr>
          <w:spacing w:val="-3"/>
        </w:rPr>
        <w:t xml:space="preserve"> </w:t>
      </w:r>
      <w:r>
        <w:t>y</w:t>
      </w:r>
      <w:r>
        <w:rPr>
          <w:spacing w:val="-2"/>
        </w:rPr>
        <w:t xml:space="preserve"> </w:t>
      </w:r>
      <w:r>
        <w:t>sus</w:t>
      </w:r>
      <w:r>
        <w:rPr>
          <w:spacing w:val="-2"/>
        </w:rPr>
        <w:t xml:space="preserve"> </w:t>
      </w:r>
      <w:r>
        <w:t>principales</w:t>
      </w:r>
      <w:r>
        <w:rPr>
          <w:spacing w:val="-2"/>
        </w:rPr>
        <w:t xml:space="preserve"> rasgos</w:t>
      </w:r>
      <w:bookmarkEnd w:id="927"/>
    </w:p>
    <w:p w:rsidR="003804AC" w:rsidRDefault="00AF18A5" w:rsidP="00E62705">
      <w:r>
        <w:t xml:space="preserve">A continuación, se explican los principales rasgos del modelo de seguridad que ha prevalecido en Colombia. Primero, la relativa autonomía de las autoridades militares frente a la autoridad civil; segundo, el uso del concepto de </w:t>
      </w:r>
      <w:r>
        <w:rPr>
          <w:i/>
        </w:rPr>
        <w:t>enemigo</w:t>
      </w:r>
      <w:r>
        <w:t>; tercero, la militarización, los estados</w:t>
      </w:r>
      <w:r>
        <w:rPr>
          <w:spacing w:val="-15"/>
        </w:rPr>
        <w:t xml:space="preserve"> </w:t>
      </w:r>
      <w:r>
        <w:t>de</w:t>
      </w:r>
      <w:r>
        <w:rPr>
          <w:spacing w:val="-15"/>
        </w:rPr>
        <w:t xml:space="preserve"> </w:t>
      </w:r>
      <w:r>
        <w:t>excepción</w:t>
      </w:r>
      <w:r>
        <w:rPr>
          <w:spacing w:val="-15"/>
        </w:rPr>
        <w:t xml:space="preserve"> </w:t>
      </w:r>
      <w:r>
        <w:t>y</w:t>
      </w:r>
      <w:r>
        <w:rPr>
          <w:spacing w:val="-15"/>
        </w:rPr>
        <w:t xml:space="preserve"> </w:t>
      </w:r>
      <w:r>
        <w:t>los</w:t>
      </w:r>
      <w:r>
        <w:rPr>
          <w:spacing w:val="-15"/>
        </w:rPr>
        <w:t xml:space="preserve"> </w:t>
      </w:r>
      <w:r>
        <w:t>territorios,</w:t>
      </w:r>
      <w:r>
        <w:rPr>
          <w:spacing w:val="-15"/>
        </w:rPr>
        <w:t xml:space="preserve"> </w:t>
      </w:r>
      <w:r>
        <w:t>especialmente</w:t>
      </w:r>
      <w:r>
        <w:rPr>
          <w:spacing w:val="-15"/>
        </w:rPr>
        <w:t xml:space="preserve"> </w:t>
      </w:r>
      <w:r>
        <w:t>rurales;</w:t>
      </w:r>
      <w:r>
        <w:rPr>
          <w:spacing w:val="-15"/>
        </w:rPr>
        <w:t xml:space="preserve"> </w:t>
      </w:r>
      <w:r>
        <w:t>cuarto,</w:t>
      </w:r>
      <w:r>
        <w:rPr>
          <w:spacing w:val="-15"/>
        </w:rPr>
        <w:t xml:space="preserve"> </w:t>
      </w:r>
      <w:r>
        <w:t>el</w:t>
      </w:r>
      <w:r>
        <w:rPr>
          <w:spacing w:val="-15"/>
        </w:rPr>
        <w:t xml:space="preserve"> </w:t>
      </w:r>
      <w:r>
        <w:t>modelo</w:t>
      </w:r>
      <w:r>
        <w:rPr>
          <w:spacing w:val="-15"/>
        </w:rPr>
        <w:t xml:space="preserve"> </w:t>
      </w:r>
      <w:r>
        <w:t>de</w:t>
      </w:r>
      <w:r>
        <w:rPr>
          <w:spacing w:val="-15"/>
        </w:rPr>
        <w:t xml:space="preserve"> </w:t>
      </w:r>
      <w:r>
        <w:t xml:space="preserve">inteligencia y su impacto en violaciones de los derechos humanos; quinto, la limitada independencia de la justicia en el conflicto </w:t>
      </w:r>
      <w:r>
        <w:lastRenderedPageBreak/>
        <w:t>armado; sexto, la aceptación de la injerencia de Estados Unidos; y séptimo,</w:t>
      </w:r>
      <w:r>
        <w:rPr>
          <w:spacing w:val="-14"/>
        </w:rPr>
        <w:t xml:space="preserve"> </w:t>
      </w:r>
      <w:r>
        <w:t>el</w:t>
      </w:r>
      <w:r>
        <w:rPr>
          <w:spacing w:val="-14"/>
        </w:rPr>
        <w:t xml:space="preserve"> </w:t>
      </w:r>
      <w:r>
        <w:t>uso</w:t>
      </w:r>
      <w:r>
        <w:rPr>
          <w:spacing w:val="-14"/>
        </w:rPr>
        <w:t xml:space="preserve"> </w:t>
      </w:r>
      <w:r>
        <w:t>de</w:t>
      </w:r>
      <w:r>
        <w:rPr>
          <w:spacing w:val="-14"/>
        </w:rPr>
        <w:t xml:space="preserve"> </w:t>
      </w:r>
      <w:r>
        <w:t>civiles</w:t>
      </w:r>
      <w:r>
        <w:rPr>
          <w:spacing w:val="-14"/>
        </w:rPr>
        <w:t xml:space="preserve"> </w:t>
      </w:r>
      <w:r>
        <w:t>en</w:t>
      </w:r>
      <w:r>
        <w:rPr>
          <w:spacing w:val="-14"/>
        </w:rPr>
        <w:t xml:space="preserve"> </w:t>
      </w:r>
      <w:r>
        <w:t>las</w:t>
      </w:r>
      <w:r>
        <w:rPr>
          <w:spacing w:val="-14"/>
        </w:rPr>
        <w:t xml:space="preserve"> </w:t>
      </w:r>
      <w:r>
        <w:t>labores</w:t>
      </w:r>
      <w:r>
        <w:rPr>
          <w:spacing w:val="-14"/>
        </w:rPr>
        <w:t xml:space="preserve"> </w:t>
      </w:r>
      <w:r>
        <w:t>de</w:t>
      </w:r>
      <w:r>
        <w:rPr>
          <w:spacing w:val="-14"/>
        </w:rPr>
        <w:t xml:space="preserve"> </w:t>
      </w:r>
      <w:r>
        <w:t>seguridad,</w:t>
      </w:r>
      <w:r>
        <w:rPr>
          <w:spacing w:val="-14"/>
        </w:rPr>
        <w:t xml:space="preserve"> </w:t>
      </w:r>
      <w:r>
        <w:t>apoyo</w:t>
      </w:r>
      <w:r>
        <w:rPr>
          <w:spacing w:val="-14"/>
        </w:rPr>
        <w:t xml:space="preserve"> </w:t>
      </w:r>
      <w:r>
        <w:t>que</w:t>
      </w:r>
      <w:r>
        <w:rPr>
          <w:spacing w:val="-14"/>
        </w:rPr>
        <w:t xml:space="preserve"> </w:t>
      </w:r>
      <w:r>
        <w:t>derivó</w:t>
      </w:r>
      <w:r>
        <w:rPr>
          <w:spacing w:val="-14"/>
        </w:rPr>
        <w:t xml:space="preserve"> </w:t>
      </w:r>
      <w:r>
        <w:t>en</w:t>
      </w:r>
      <w:r>
        <w:rPr>
          <w:spacing w:val="-14"/>
        </w:rPr>
        <w:t xml:space="preserve"> </w:t>
      </w:r>
      <w:r>
        <w:t>el</w:t>
      </w:r>
      <w:r>
        <w:rPr>
          <w:spacing w:val="-14"/>
        </w:rPr>
        <w:t xml:space="preserve"> </w:t>
      </w:r>
      <w:r>
        <w:t>paramilitarismo. Estos tres últimos aspectos han sido analizados ya en los capítulos correspondientes.</w:t>
      </w:r>
    </w:p>
    <w:p w:rsidR="003804AC" w:rsidRDefault="00AF18A5" w:rsidP="004A6EF4">
      <w:pPr>
        <w:pStyle w:val="Ttulo4"/>
        <w:numPr>
          <w:ilvl w:val="0"/>
          <w:numId w:val="23"/>
        </w:numPr>
      </w:pPr>
      <w:r>
        <w:t xml:space="preserve">La relativa </w:t>
      </w:r>
      <w:r w:rsidRPr="00E62705">
        <w:t>autonomía</w:t>
      </w:r>
      <w:r>
        <w:t xml:space="preserve"> de los militares frente al poder civil y la delegación del control del orden público</w:t>
      </w:r>
    </w:p>
    <w:p w:rsidR="003804AC" w:rsidRDefault="00AF18A5" w:rsidP="00E62705">
      <w:r>
        <w:t>La relación poder civil-poder militar ha tenido tres momentos en la historia reciente de Colombia.</w:t>
      </w:r>
      <w:r>
        <w:rPr>
          <w:spacing w:val="-2"/>
        </w:rPr>
        <w:t xml:space="preserve"> </w:t>
      </w:r>
      <w:r>
        <w:t>El</w:t>
      </w:r>
      <w:r>
        <w:rPr>
          <w:spacing w:val="-2"/>
        </w:rPr>
        <w:t xml:space="preserve"> </w:t>
      </w:r>
      <w:r>
        <w:t>primero</w:t>
      </w:r>
      <w:r>
        <w:rPr>
          <w:spacing w:val="-2"/>
        </w:rPr>
        <w:t xml:space="preserve"> </w:t>
      </w:r>
      <w:r>
        <w:t>es</w:t>
      </w:r>
      <w:r>
        <w:rPr>
          <w:spacing w:val="-3"/>
        </w:rPr>
        <w:t xml:space="preserve"> </w:t>
      </w:r>
      <w:r>
        <w:t>del</w:t>
      </w:r>
      <w:r>
        <w:rPr>
          <w:spacing w:val="-2"/>
        </w:rPr>
        <w:t xml:space="preserve"> </w:t>
      </w:r>
      <w:r>
        <w:t>Frente</w:t>
      </w:r>
      <w:r>
        <w:rPr>
          <w:spacing w:val="-2"/>
        </w:rPr>
        <w:t xml:space="preserve"> </w:t>
      </w:r>
      <w:r>
        <w:t>Nacional,</w:t>
      </w:r>
      <w:r>
        <w:rPr>
          <w:spacing w:val="-2"/>
        </w:rPr>
        <w:t xml:space="preserve"> </w:t>
      </w:r>
      <w:r>
        <w:t>de</w:t>
      </w:r>
      <w:r>
        <w:rPr>
          <w:spacing w:val="-2"/>
        </w:rPr>
        <w:t xml:space="preserve"> </w:t>
      </w:r>
      <w:r>
        <w:t>relativa</w:t>
      </w:r>
      <w:r>
        <w:rPr>
          <w:spacing w:val="-2"/>
        </w:rPr>
        <w:t xml:space="preserve"> </w:t>
      </w:r>
      <w:r>
        <w:t>autonomía</w:t>
      </w:r>
      <w:r>
        <w:rPr>
          <w:spacing w:val="-2"/>
        </w:rPr>
        <w:t xml:space="preserve"> </w:t>
      </w:r>
      <w:r>
        <w:t>bajo</w:t>
      </w:r>
      <w:r>
        <w:rPr>
          <w:spacing w:val="-4"/>
        </w:rPr>
        <w:t xml:space="preserve"> </w:t>
      </w:r>
      <w:r>
        <w:t>el</w:t>
      </w:r>
      <w:r>
        <w:rPr>
          <w:spacing w:val="-2"/>
        </w:rPr>
        <w:t xml:space="preserve"> </w:t>
      </w:r>
      <w:r>
        <w:t>estado</w:t>
      </w:r>
      <w:r>
        <w:rPr>
          <w:spacing w:val="-2"/>
        </w:rPr>
        <w:t xml:space="preserve"> </w:t>
      </w:r>
      <w:r>
        <w:t>de</w:t>
      </w:r>
      <w:r>
        <w:rPr>
          <w:spacing w:val="-3"/>
        </w:rPr>
        <w:t xml:space="preserve"> </w:t>
      </w:r>
      <w:r>
        <w:t>sitio</w:t>
      </w:r>
      <w:r>
        <w:rPr>
          <w:spacing w:val="-2"/>
        </w:rPr>
        <w:t xml:space="preserve"> </w:t>
      </w:r>
      <w:r>
        <w:t>y la noción de orden público, con los marcos mentales de la Guerra Fría, las dictaduras y las luchas en su contra en el Cono Sur, que inspiraron también tanto las soluciones militares desde</w:t>
      </w:r>
      <w:r>
        <w:rPr>
          <w:spacing w:val="-6"/>
        </w:rPr>
        <w:t xml:space="preserve"> </w:t>
      </w:r>
      <w:r>
        <w:t>el</w:t>
      </w:r>
      <w:r>
        <w:rPr>
          <w:spacing w:val="-6"/>
        </w:rPr>
        <w:t xml:space="preserve"> </w:t>
      </w:r>
      <w:r>
        <w:t>poder</w:t>
      </w:r>
      <w:r>
        <w:rPr>
          <w:spacing w:val="-6"/>
        </w:rPr>
        <w:t xml:space="preserve"> </w:t>
      </w:r>
      <w:r>
        <w:t>ejecutivo,</w:t>
      </w:r>
      <w:r>
        <w:rPr>
          <w:spacing w:val="-7"/>
        </w:rPr>
        <w:t xml:space="preserve"> </w:t>
      </w:r>
      <w:r>
        <w:t>como</w:t>
      </w:r>
      <w:r>
        <w:rPr>
          <w:spacing w:val="-6"/>
        </w:rPr>
        <w:t xml:space="preserve"> </w:t>
      </w:r>
      <w:r>
        <w:t>a</w:t>
      </w:r>
      <w:r>
        <w:rPr>
          <w:spacing w:val="-6"/>
        </w:rPr>
        <w:t xml:space="preserve"> </w:t>
      </w:r>
      <w:r>
        <w:t>la</w:t>
      </w:r>
      <w:r>
        <w:rPr>
          <w:spacing w:val="-6"/>
        </w:rPr>
        <w:t xml:space="preserve"> </w:t>
      </w:r>
      <w:r>
        <w:t>insurgencia</w:t>
      </w:r>
      <w:r>
        <w:rPr>
          <w:spacing w:val="-6"/>
        </w:rPr>
        <w:t xml:space="preserve"> </w:t>
      </w:r>
      <w:r>
        <w:t>contra</w:t>
      </w:r>
      <w:r>
        <w:rPr>
          <w:spacing w:val="-6"/>
        </w:rPr>
        <w:t xml:space="preserve"> </w:t>
      </w:r>
      <w:r>
        <w:t>el</w:t>
      </w:r>
      <w:r>
        <w:rPr>
          <w:spacing w:val="-6"/>
        </w:rPr>
        <w:t xml:space="preserve"> </w:t>
      </w:r>
      <w:r>
        <w:t>Estado</w:t>
      </w:r>
      <w:r>
        <w:rPr>
          <w:spacing w:val="-6"/>
        </w:rPr>
        <w:t xml:space="preserve"> </w:t>
      </w:r>
      <w:r>
        <w:t>en</w:t>
      </w:r>
      <w:r>
        <w:rPr>
          <w:spacing w:val="-6"/>
        </w:rPr>
        <w:t xml:space="preserve"> </w:t>
      </w:r>
      <w:r>
        <w:t>Colombia.</w:t>
      </w:r>
      <w:r>
        <w:rPr>
          <w:spacing w:val="-6"/>
        </w:rPr>
        <w:t xml:space="preserve"> </w:t>
      </w:r>
      <w:r>
        <w:t>La</w:t>
      </w:r>
      <w:r>
        <w:rPr>
          <w:spacing w:val="-6"/>
        </w:rPr>
        <w:t xml:space="preserve"> </w:t>
      </w:r>
      <w:r>
        <w:t>época</w:t>
      </w:r>
      <w:r>
        <w:rPr>
          <w:spacing w:val="-6"/>
        </w:rPr>
        <w:t xml:space="preserve"> </w:t>
      </w:r>
      <w:r>
        <w:t>más clara en ese sentido fue el Estatuto de Seguridad del gobierno de Julio César Turbay Ayala, en</w:t>
      </w:r>
      <w:r>
        <w:rPr>
          <w:spacing w:val="-12"/>
        </w:rPr>
        <w:t xml:space="preserve"> </w:t>
      </w:r>
      <w:r>
        <w:t>la</w:t>
      </w:r>
      <w:r>
        <w:rPr>
          <w:spacing w:val="-12"/>
        </w:rPr>
        <w:t xml:space="preserve"> </w:t>
      </w:r>
      <w:r>
        <w:t>que</w:t>
      </w:r>
      <w:r>
        <w:rPr>
          <w:spacing w:val="-13"/>
        </w:rPr>
        <w:t xml:space="preserve"> </w:t>
      </w:r>
      <w:r>
        <w:t>el</w:t>
      </w:r>
      <w:r>
        <w:rPr>
          <w:spacing w:val="-13"/>
        </w:rPr>
        <w:t xml:space="preserve"> </w:t>
      </w:r>
      <w:r>
        <w:t>poder</w:t>
      </w:r>
      <w:r>
        <w:rPr>
          <w:spacing w:val="-12"/>
        </w:rPr>
        <w:t xml:space="preserve"> </w:t>
      </w:r>
      <w:r>
        <w:t>militar</w:t>
      </w:r>
      <w:r>
        <w:rPr>
          <w:spacing w:val="-12"/>
        </w:rPr>
        <w:t xml:space="preserve"> </w:t>
      </w:r>
      <w:r>
        <w:t>tuvo</w:t>
      </w:r>
      <w:r>
        <w:rPr>
          <w:spacing w:val="-12"/>
        </w:rPr>
        <w:t xml:space="preserve"> </w:t>
      </w:r>
      <w:r>
        <w:t>un</w:t>
      </w:r>
      <w:r>
        <w:rPr>
          <w:spacing w:val="-12"/>
        </w:rPr>
        <w:t xml:space="preserve"> </w:t>
      </w:r>
      <w:r>
        <w:t>papel</w:t>
      </w:r>
      <w:r>
        <w:rPr>
          <w:spacing w:val="-12"/>
        </w:rPr>
        <w:t xml:space="preserve"> </w:t>
      </w:r>
      <w:r>
        <w:t>central</w:t>
      </w:r>
      <w:r>
        <w:rPr>
          <w:spacing w:val="-12"/>
        </w:rPr>
        <w:t xml:space="preserve"> </w:t>
      </w:r>
      <w:r>
        <w:t>y</w:t>
      </w:r>
      <w:r>
        <w:rPr>
          <w:spacing w:val="-13"/>
        </w:rPr>
        <w:t xml:space="preserve"> </w:t>
      </w:r>
      <w:r>
        <w:t>las</w:t>
      </w:r>
      <w:r>
        <w:rPr>
          <w:spacing w:val="-12"/>
        </w:rPr>
        <w:t xml:space="preserve"> </w:t>
      </w:r>
      <w:r>
        <w:t>garantías</w:t>
      </w:r>
      <w:r>
        <w:rPr>
          <w:spacing w:val="-13"/>
        </w:rPr>
        <w:t xml:space="preserve"> </w:t>
      </w:r>
      <w:r>
        <w:t>de</w:t>
      </w:r>
      <w:r>
        <w:rPr>
          <w:spacing w:val="-12"/>
        </w:rPr>
        <w:t xml:space="preserve"> </w:t>
      </w:r>
      <w:r>
        <w:t>derechos</w:t>
      </w:r>
      <w:r>
        <w:rPr>
          <w:spacing w:val="-13"/>
        </w:rPr>
        <w:t xml:space="preserve"> </w:t>
      </w:r>
      <w:r>
        <w:t>quedaron</w:t>
      </w:r>
      <w:r>
        <w:rPr>
          <w:spacing w:val="-12"/>
        </w:rPr>
        <w:t xml:space="preserve"> </w:t>
      </w:r>
      <w:r>
        <w:t>a</w:t>
      </w:r>
      <w:r>
        <w:rPr>
          <w:spacing w:val="-13"/>
        </w:rPr>
        <w:t xml:space="preserve"> </w:t>
      </w:r>
      <w:r>
        <w:t>merced de</w:t>
      </w:r>
      <w:r>
        <w:rPr>
          <w:spacing w:val="-4"/>
        </w:rPr>
        <w:t xml:space="preserve"> </w:t>
      </w:r>
      <w:r>
        <w:t>tribunales</w:t>
      </w:r>
      <w:r>
        <w:rPr>
          <w:spacing w:val="-5"/>
        </w:rPr>
        <w:t xml:space="preserve"> </w:t>
      </w:r>
      <w:r>
        <w:t>militares</w:t>
      </w:r>
      <w:r>
        <w:rPr>
          <w:spacing w:val="-4"/>
        </w:rPr>
        <w:t xml:space="preserve"> </w:t>
      </w:r>
      <w:r>
        <w:t>y</w:t>
      </w:r>
      <w:r>
        <w:rPr>
          <w:spacing w:val="-6"/>
        </w:rPr>
        <w:t xml:space="preserve"> </w:t>
      </w:r>
      <w:r>
        <w:t>leyes</w:t>
      </w:r>
      <w:r>
        <w:rPr>
          <w:spacing w:val="-4"/>
        </w:rPr>
        <w:t xml:space="preserve"> </w:t>
      </w:r>
      <w:r>
        <w:t>de</w:t>
      </w:r>
      <w:r>
        <w:rPr>
          <w:spacing w:val="-4"/>
        </w:rPr>
        <w:t xml:space="preserve"> </w:t>
      </w:r>
      <w:r>
        <w:t>excepción.</w:t>
      </w:r>
      <w:r>
        <w:rPr>
          <w:spacing w:val="-5"/>
        </w:rPr>
        <w:t xml:space="preserve"> </w:t>
      </w:r>
      <w:r>
        <w:t>Una</w:t>
      </w:r>
      <w:r>
        <w:rPr>
          <w:spacing w:val="-5"/>
        </w:rPr>
        <w:t xml:space="preserve"> </w:t>
      </w:r>
      <w:r>
        <w:t>segunda</w:t>
      </w:r>
      <w:r>
        <w:rPr>
          <w:spacing w:val="-4"/>
        </w:rPr>
        <w:t xml:space="preserve"> </w:t>
      </w:r>
      <w:r>
        <w:t>época</w:t>
      </w:r>
      <w:r>
        <w:rPr>
          <w:spacing w:val="-4"/>
        </w:rPr>
        <w:t xml:space="preserve"> </w:t>
      </w:r>
      <w:r>
        <w:t>se</w:t>
      </w:r>
      <w:r>
        <w:rPr>
          <w:spacing w:val="-5"/>
        </w:rPr>
        <w:t xml:space="preserve"> </w:t>
      </w:r>
      <w:r>
        <w:t>inicia</w:t>
      </w:r>
      <w:r>
        <w:rPr>
          <w:spacing w:val="-5"/>
        </w:rPr>
        <w:t xml:space="preserve"> </w:t>
      </w:r>
      <w:r>
        <w:t>con</w:t>
      </w:r>
      <w:r>
        <w:rPr>
          <w:spacing w:val="-5"/>
        </w:rPr>
        <w:t xml:space="preserve"> </w:t>
      </w:r>
      <w:r>
        <w:t>el</w:t>
      </w:r>
      <w:r>
        <w:rPr>
          <w:spacing w:val="-5"/>
        </w:rPr>
        <w:t xml:space="preserve"> </w:t>
      </w:r>
      <w:r>
        <w:t>gobierno</w:t>
      </w:r>
      <w:r>
        <w:rPr>
          <w:spacing w:val="-5"/>
        </w:rPr>
        <w:t xml:space="preserve"> </w:t>
      </w:r>
      <w:r>
        <w:t>de Belisario Betancur Cuartas, un nuevo periodo de intentos de procesos de paz y fuertes tensiones con el poder militar, que exigió siempre más poder y libertad para acabar con las guerrillas, las cuales, sin embargo, fueron a su vez creciendo y vieron en el poder civil un obstáculo para sus estrategias.</w:t>
      </w:r>
    </w:p>
    <w:p w:rsidR="003804AC" w:rsidRDefault="00AF18A5" w:rsidP="00E62705">
      <w:r>
        <w:t>En las siguientes dos décadas, numerosos episodios de tensión fueron muestra de esto. Desde la toma y retoma</w:t>
      </w:r>
      <w:r>
        <w:rPr>
          <w:spacing w:val="-1"/>
        </w:rPr>
        <w:t xml:space="preserve"> </w:t>
      </w:r>
      <w:r>
        <w:t>del Palacio</w:t>
      </w:r>
      <w:r>
        <w:rPr>
          <w:spacing w:val="-1"/>
        </w:rPr>
        <w:t xml:space="preserve"> </w:t>
      </w:r>
      <w:r>
        <w:t>de Justicia, hasta el bombardeo a Casa Verde; desde las presiones</w:t>
      </w:r>
      <w:r>
        <w:rPr>
          <w:spacing w:val="-3"/>
        </w:rPr>
        <w:t xml:space="preserve"> </w:t>
      </w:r>
      <w:r>
        <w:t>para</w:t>
      </w:r>
      <w:r>
        <w:rPr>
          <w:spacing w:val="-3"/>
        </w:rPr>
        <w:t xml:space="preserve"> </w:t>
      </w:r>
      <w:r>
        <w:t>poder</w:t>
      </w:r>
      <w:r>
        <w:rPr>
          <w:spacing w:val="-3"/>
        </w:rPr>
        <w:t xml:space="preserve"> </w:t>
      </w:r>
      <w:r>
        <w:t>contar</w:t>
      </w:r>
      <w:r>
        <w:rPr>
          <w:spacing w:val="-4"/>
        </w:rPr>
        <w:t xml:space="preserve"> </w:t>
      </w:r>
      <w:r>
        <w:t>con</w:t>
      </w:r>
      <w:r>
        <w:rPr>
          <w:spacing w:val="-3"/>
        </w:rPr>
        <w:t xml:space="preserve"> </w:t>
      </w:r>
      <w:r>
        <w:t>mayor</w:t>
      </w:r>
      <w:r>
        <w:rPr>
          <w:spacing w:val="-3"/>
        </w:rPr>
        <w:t xml:space="preserve"> </w:t>
      </w:r>
      <w:r>
        <w:t>armamento</w:t>
      </w:r>
      <w:r>
        <w:rPr>
          <w:spacing w:val="-3"/>
        </w:rPr>
        <w:t xml:space="preserve"> </w:t>
      </w:r>
      <w:r>
        <w:t>y</w:t>
      </w:r>
      <w:r>
        <w:rPr>
          <w:spacing w:val="-3"/>
        </w:rPr>
        <w:t xml:space="preserve"> </w:t>
      </w:r>
      <w:r>
        <w:t>efectivos,</w:t>
      </w:r>
      <w:r>
        <w:rPr>
          <w:spacing w:val="-3"/>
        </w:rPr>
        <w:t xml:space="preserve"> </w:t>
      </w:r>
      <w:r>
        <w:t>hasta</w:t>
      </w:r>
      <w:r>
        <w:rPr>
          <w:spacing w:val="-4"/>
        </w:rPr>
        <w:t xml:space="preserve"> </w:t>
      </w:r>
      <w:r>
        <w:t>el</w:t>
      </w:r>
      <w:r>
        <w:rPr>
          <w:spacing w:val="-4"/>
        </w:rPr>
        <w:t xml:space="preserve"> </w:t>
      </w:r>
      <w:r>
        <w:t>modelo</w:t>
      </w:r>
      <w:r>
        <w:rPr>
          <w:spacing w:val="-3"/>
        </w:rPr>
        <w:t xml:space="preserve"> </w:t>
      </w:r>
      <w:r>
        <w:t>basado</w:t>
      </w:r>
      <w:r>
        <w:rPr>
          <w:spacing w:val="-5"/>
        </w:rPr>
        <w:t xml:space="preserve"> </w:t>
      </w:r>
      <w:r>
        <w:t>en</w:t>
      </w:r>
      <w:r>
        <w:rPr>
          <w:spacing w:val="-3"/>
        </w:rPr>
        <w:t xml:space="preserve"> </w:t>
      </w:r>
      <w:r>
        <w:t>la relación con el paramilitarismo. Las Fuerzas Armadas fueron durante dos décadas un poder con</w:t>
      </w:r>
      <w:r>
        <w:rPr>
          <w:spacing w:val="-1"/>
        </w:rPr>
        <w:t xml:space="preserve"> </w:t>
      </w:r>
      <w:r>
        <w:t>amplia</w:t>
      </w:r>
      <w:r>
        <w:rPr>
          <w:spacing w:val="-2"/>
        </w:rPr>
        <w:t xml:space="preserve"> </w:t>
      </w:r>
      <w:r>
        <w:t>autonomía</w:t>
      </w:r>
      <w:r>
        <w:rPr>
          <w:spacing w:val="-1"/>
        </w:rPr>
        <w:t xml:space="preserve"> </w:t>
      </w:r>
      <w:r>
        <w:t>concedida</w:t>
      </w:r>
      <w:r>
        <w:rPr>
          <w:spacing w:val="-1"/>
        </w:rPr>
        <w:t xml:space="preserve"> </w:t>
      </w:r>
      <w:r>
        <w:t>o</w:t>
      </w:r>
      <w:r>
        <w:rPr>
          <w:spacing w:val="-1"/>
        </w:rPr>
        <w:t xml:space="preserve"> </w:t>
      </w:r>
      <w:r>
        <w:t>respetada</w:t>
      </w:r>
      <w:r>
        <w:rPr>
          <w:spacing w:val="-1"/>
        </w:rPr>
        <w:t xml:space="preserve"> </w:t>
      </w:r>
      <w:r>
        <w:t>por</w:t>
      </w:r>
      <w:r>
        <w:rPr>
          <w:spacing w:val="-2"/>
        </w:rPr>
        <w:t xml:space="preserve"> </w:t>
      </w:r>
      <w:r>
        <w:t>los</w:t>
      </w:r>
      <w:r>
        <w:rPr>
          <w:spacing w:val="-1"/>
        </w:rPr>
        <w:t xml:space="preserve"> </w:t>
      </w:r>
      <w:r>
        <w:t>presidentes</w:t>
      </w:r>
      <w:r>
        <w:rPr>
          <w:spacing w:val="-1"/>
        </w:rPr>
        <w:t xml:space="preserve"> </w:t>
      </w:r>
      <w:r>
        <w:lastRenderedPageBreak/>
        <w:t>de</w:t>
      </w:r>
      <w:r>
        <w:rPr>
          <w:spacing w:val="-1"/>
        </w:rPr>
        <w:t xml:space="preserve"> </w:t>
      </w:r>
      <w:r>
        <w:t>la</w:t>
      </w:r>
      <w:r>
        <w:rPr>
          <w:spacing w:val="-1"/>
        </w:rPr>
        <w:t xml:space="preserve"> </w:t>
      </w:r>
      <w:r>
        <w:t>República,</w:t>
      </w:r>
      <w:r>
        <w:rPr>
          <w:spacing w:val="-2"/>
        </w:rPr>
        <w:t xml:space="preserve"> </w:t>
      </w:r>
      <w:r>
        <w:t>lo</w:t>
      </w:r>
      <w:r>
        <w:rPr>
          <w:spacing w:val="-1"/>
        </w:rPr>
        <w:t xml:space="preserve"> </w:t>
      </w:r>
      <w:r>
        <w:t>cual</w:t>
      </w:r>
      <w:r>
        <w:rPr>
          <w:spacing w:val="-1"/>
        </w:rPr>
        <w:t xml:space="preserve"> </w:t>
      </w:r>
      <w:r>
        <w:t>las convirtió en un poder temido y opaco.</w:t>
      </w:r>
    </w:p>
    <w:p w:rsidR="003804AC" w:rsidRDefault="00AF18A5" w:rsidP="00E62705">
      <w:r>
        <w:t>Una</w:t>
      </w:r>
      <w:r>
        <w:rPr>
          <w:spacing w:val="-11"/>
        </w:rPr>
        <w:t xml:space="preserve"> </w:t>
      </w:r>
      <w:r>
        <w:t>tercera</w:t>
      </w:r>
      <w:r>
        <w:rPr>
          <w:spacing w:val="-13"/>
        </w:rPr>
        <w:t xml:space="preserve"> </w:t>
      </w:r>
      <w:r>
        <w:t>época</w:t>
      </w:r>
      <w:r>
        <w:rPr>
          <w:spacing w:val="-11"/>
        </w:rPr>
        <w:t xml:space="preserve"> </w:t>
      </w:r>
      <w:r>
        <w:t>es</w:t>
      </w:r>
      <w:r>
        <w:rPr>
          <w:spacing w:val="-11"/>
        </w:rPr>
        <w:t xml:space="preserve"> </w:t>
      </w:r>
      <w:r>
        <w:t>la</w:t>
      </w:r>
      <w:r>
        <w:rPr>
          <w:spacing w:val="-11"/>
        </w:rPr>
        <w:t xml:space="preserve"> </w:t>
      </w:r>
      <w:r>
        <w:t>del</w:t>
      </w:r>
      <w:r>
        <w:rPr>
          <w:spacing w:val="-10"/>
        </w:rPr>
        <w:t xml:space="preserve"> </w:t>
      </w:r>
      <w:r>
        <w:t>presidente</w:t>
      </w:r>
      <w:r>
        <w:rPr>
          <w:spacing w:val="-12"/>
        </w:rPr>
        <w:t xml:space="preserve"> </w:t>
      </w:r>
      <w:r>
        <w:t>Álvaro</w:t>
      </w:r>
      <w:r>
        <w:rPr>
          <w:spacing w:val="-12"/>
        </w:rPr>
        <w:t xml:space="preserve"> </w:t>
      </w:r>
      <w:r>
        <w:t>Uribe</w:t>
      </w:r>
      <w:r>
        <w:rPr>
          <w:spacing w:val="-11"/>
        </w:rPr>
        <w:t xml:space="preserve"> </w:t>
      </w:r>
      <w:r>
        <w:t>Vélez,</w:t>
      </w:r>
      <w:r>
        <w:rPr>
          <w:spacing w:val="-12"/>
        </w:rPr>
        <w:t xml:space="preserve"> </w:t>
      </w:r>
      <w:r>
        <w:t>en</w:t>
      </w:r>
      <w:r>
        <w:rPr>
          <w:spacing w:val="-12"/>
        </w:rPr>
        <w:t xml:space="preserve"> </w:t>
      </w:r>
      <w:r>
        <w:t>cuyo</w:t>
      </w:r>
      <w:r>
        <w:rPr>
          <w:spacing w:val="-11"/>
        </w:rPr>
        <w:t xml:space="preserve"> </w:t>
      </w:r>
      <w:r>
        <w:t>gobierno</w:t>
      </w:r>
      <w:r>
        <w:rPr>
          <w:spacing w:val="-11"/>
        </w:rPr>
        <w:t xml:space="preserve"> </w:t>
      </w:r>
      <w:r>
        <w:t>el</w:t>
      </w:r>
      <w:r>
        <w:rPr>
          <w:spacing w:val="-12"/>
        </w:rPr>
        <w:t xml:space="preserve"> </w:t>
      </w:r>
      <w:r>
        <w:t>poder</w:t>
      </w:r>
      <w:r>
        <w:rPr>
          <w:spacing w:val="-12"/>
        </w:rPr>
        <w:t xml:space="preserve"> </w:t>
      </w:r>
      <w:r>
        <w:t>civil retoma</w:t>
      </w:r>
      <w:r>
        <w:rPr>
          <w:spacing w:val="-9"/>
        </w:rPr>
        <w:t xml:space="preserve"> </w:t>
      </w:r>
      <w:r>
        <w:t>y</w:t>
      </w:r>
      <w:r>
        <w:rPr>
          <w:spacing w:val="-10"/>
        </w:rPr>
        <w:t xml:space="preserve"> </w:t>
      </w:r>
      <w:r>
        <w:t>alinea</w:t>
      </w:r>
      <w:r>
        <w:rPr>
          <w:spacing w:val="-9"/>
        </w:rPr>
        <w:t xml:space="preserve"> </w:t>
      </w:r>
      <w:r>
        <w:t>al</w:t>
      </w:r>
      <w:r>
        <w:rPr>
          <w:spacing w:val="-9"/>
        </w:rPr>
        <w:t xml:space="preserve"> </w:t>
      </w:r>
      <w:r>
        <w:t>poder</w:t>
      </w:r>
      <w:r>
        <w:rPr>
          <w:spacing w:val="-9"/>
        </w:rPr>
        <w:t xml:space="preserve"> </w:t>
      </w:r>
      <w:r>
        <w:t>militar</w:t>
      </w:r>
      <w:r>
        <w:rPr>
          <w:spacing w:val="-9"/>
        </w:rPr>
        <w:t xml:space="preserve"> </w:t>
      </w:r>
      <w:r>
        <w:t>con</w:t>
      </w:r>
      <w:r>
        <w:rPr>
          <w:spacing w:val="-10"/>
        </w:rPr>
        <w:t xml:space="preserve"> </w:t>
      </w:r>
      <w:r>
        <w:t>una</w:t>
      </w:r>
      <w:r>
        <w:rPr>
          <w:spacing w:val="-9"/>
        </w:rPr>
        <w:t xml:space="preserve"> </w:t>
      </w:r>
      <w:r>
        <w:t>identificación</w:t>
      </w:r>
      <w:r>
        <w:rPr>
          <w:spacing w:val="-10"/>
        </w:rPr>
        <w:t xml:space="preserve"> </w:t>
      </w:r>
      <w:r>
        <w:t>en</w:t>
      </w:r>
      <w:r>
        <w:rPr>
          <w:spacing w:val="-10"/>
        </w:rPr>
        <w:t xml:space="preserve"> </w:t>
      </w:r>
      <w:r>
        <w:t>sus</w:t>
      </w:r>
      <w:r>
        <w:rPr>
          <w:spacing w:val="-10"/>
        </w:rPr>
        <w:t xml:space="preserve"> </w:t>
      </w:r>
      <w:r>
        <w:t>objetivos;</w:t>
      </w:r>
      <w:r>
        <w:rPr>
          <w:spacing w:val="-9"/>
        </w:rPr>
        <w:t xml:space="preserve"> </w:t>
      </w:r>
      <w:r>
        <w:t>las</w:t>
      </w:r>
      <w:r>
        <w:rPr>
          <w:spacing w:val="-10"/>
        </w:rPr>
        <w:t xml:space="preserve"> </w:t>
      </w:r>
      <w:r>
        <w:t>Fuerzas</w:t>
      </w:r>
      <w:r>
        <w:rPr>
          <w:spacing w:val="-9"/>
        </w:rPr>
        <w:t xml:space="preserve"> </w:t>
      </w:r>
      <w:r>
        <w:t>Armadas crecen</w:t>
      </w:r>
      <w:r>
        <w:rPr>
          <w:spacing w:val="-7"/>
        </w:rPr>
        <w:t xml:space="preserve"> </w:t>
      </w:r>
      <w:r>
        <w:t>y</w:t>
      </w:r>
      <w:r>
        <w:rPr>
          <w:spacing w:val="-8"/>
        </w:rPr>
        <w:t xml:space="preserve"> </w:t>
      </w:r>
      <w:r>
        <w:t>se</w:t>
      </w:r>
      <w:r>
        <w:rPr>
          <w:spacing w:val="-8"/>
        </w:rPr>
        <w:t xml:space="preserve"> </w:t>
      </w:r>
      <w:r>
        <w:t>modernizan</w:t>
      </w:r>
      <w:r>
        <w:rPr>
          <w:spacing w:val="-8"/>
        </w:rPr>
        <w:t xml:space="preserve"> </w:t>
      </w:r>
      <w:r>
        <w:t>con</w:t>
      </w:r>
      <w:r>
        <w:rPr>
          <w:spacing w:val="-7"/>
        </w:rPr>
        <w:t xml:space="preserve"> </w:t>
      </w:r>
      <w:r>
        <w:t>apoyo</w:t>
      </w:r>
      <w:r>
        <w:rPr>
          <w:spacing w:val="-7"/>
        </w:rPr>
        <w:t xml:space="preserve"> </w:t>
      </w:r>
      <w:r>
        <w:t>de</w:t>
      </w:r>
      <w:r>
        <w:rPr>
          <w:spacing w:val="-7"/>
        </w:rPr>
        <w:t xml:space="preserve"> </w:t>
      </w:r>
      <w:r>
        <w:t>Estados</w:t>
      </w:r>
      <w:r>
        <w:rPr>
          <w:spacing w:val="-7"/>
        </w:rPr>
        <w:t xml:space="preserve"> </w:t>
      </w:r>
      <w:r>
        <w:t>Unidos</w:t>
      </w:r>
      <w:r>
        <w:rPr>
          <w:spacing w:val="-7"/>
        </w:rPr>
        <w:t xml:space="preserve"> </w:t>
      </w:r>
      <w:r>
        <w:t>y</w:t>
      </w:r>
      <w:r>
        <w:rPr>
          <w:spacing w:val="-7"/>
        </w:rPr>
        <w:t xml:space="preserve"> </w:t>
      </w:r>
      <w:r>
        <w:t>se</w:t>
      </w:r>
      <w:r>
        <w:rPr>
          <w:spacing w:val="-7"/>
        </w:rPr>
        <w:t xml:space="preserve"> </w:t>
      </w:r>
      <w:r>
        <w:t>negocia</w:t>
      </w:r>
      <w:r>
        <w:rPr>
          <w:spacing w:val="-7"/>
        </w:rPr>
        <w:t xml:space="preserve"> </w:t>
      </w:r>
      <w:r>
        <w:t>con</w:t>
      </w:r>
      <w:r>
        <w:rPr>
          <w:spacing w:val="-9"/>
        </w:rPr>
        <w:t xml:space="preserve"> </w:t>
      </w:r>
      <w:r>
        <w:t>el</w:t>
      </w:r>
      <w:r>
        <w:rPr>
          <w:spacing w:val="-7"/>
        </w:rPr>
        <w:t xml:space="preserve"> </w:t>
      </w:r>
      <w:r>
        <w:t>paramilitarismo</w:t>
      </w:r>
      <w:r>
        <w:rPr>
          <w:spacing w:val="-7"/>
        </w:rPr>
        <w:t xml:space="preserve"> </w:t>
      </w:r>
      <w:r>
        <w:t>de las Autodefensas Unidas de Colombia (AUC), que ya habían llevado a cabo la fase dura de la guerra mediante el terror contra la población civil. Finaliza esta época con el presidente Juan</w:t>
      </w:r>
      <w:r>
        <w:rPr>
          <w:spacing w:val="-8"/>
        </w:rPr>
        <w:t xml:space="preserve"> </w:t>
      </w:r>
      <w:r>
        <w:t>Manuel</w:t>
      </w:r>
      <w:r>
        <w:rPr>
          <w:spacing w:val="-9"/>
        </w:rPr>
        <w:t xml:space="preserve"> </w:t>
      </w:r>
      <w:r>
        <w:t>Santos</w:t>
      </w:r>
      <w:r>
        <w:rPr>
          <w:spacing w:val="-8"/>
        </w:rPr>
        <w:t xml:space="preserve"> </w:t>
      </w:r>
      <w:r>
        <w:t>Calderón,</w:t>
      </w:r>
      <w:r>
        <w:rPr>
          <w:spacing w:val="-8"/>
        </w:rPr>
        <w:t xml:space="preserve"> </w:t>
      </w:r>
      <w:r>
        <w:t>quien,</w:t>
      </w:r>
      <w:r>
        <w:rPr>
          <w:spacing w:val="-9"/>
        </w:rPr>
        <w:t xml:space="preserve"> </w:t>
      </w:r>
      <w:r>
        <w:t>manteniendo</w:t>
      </w:r>
      <w:r>
        <w:rPr>
          <w:spacing w:val="-8"/>
        </w:rPr>
        <w:t xml:space="preserve"> </w:t>
      </w:r>
      <w:r>
        <w:t>ese</w:t>
      </w:r>
      <w:r>
        <w:rPr>
          <w:spacing w:val="-9"/>
        </w:rPr>
        <w:t xml:space="preserve"> </w:t>
      </w:r>
      <w:r>
        <w:t>liderazgo</w:t>
      </w:r>
      <w:r>
        <w:rPr>
          <w:spacing w:val="-8"/>
        </w:rPr>
        <w:t xml:space="preserve"> </w:t>
      </w:r>
      <w:r>
        <w:t>civil,</w:t>
      </w:r>
      <w:r>
        <w:rPr>
          <w:spacing w:val="-8"/>
        </w:rPr>
        <w:t xml:space="preserve"> </w:t>
      </w:r>
      <w:r>
        <w:t>trató</w:t>
      </w:r>
      <w:r>
        <w:rPr>
          <w:spacing w:val="-8"/>
        </w:rPr>
        <w:t xml:space="preserve"> </w:t>
      </w:r>
      <w:r>
        <w:t>de</w:t>
      </w:r>
      <w:r>
        <w:rPr>
          <w:spacing w:val="-8"/>
        </w:rPr>
        <w:t xml:space="preserve"> </w:t>
      </w:r>
      <w:r>
        <w:t>implicar</w:t>
      </w:r>
      <w:r>
        <w:rPr>
          <w:spacing w:val="-8"/>
        </w:rPr>
        <w:t xml:space="preserve"> </w:t>
      </w:r>
      <w:r>
        <w:t>a</w:t>
      </w:r>
      <w:r>
        <w:rPr>
          <w:spacing w:val="-9"/>
        </w:rPr>
        <w:t xml:space="preserve"> </w:t>
      </w:r>
      <w:r>
        <w:t>los militares en el proceso que condujo al país al Acuerdo de Paz con las FARC-EP.</w:t>
      </w:r>
    </w:p>
    <w:p w:rsidR="003804AC" w:rsidRDefault="00AF18A5" w:rsidP="00E62705">
      <w:r>
        <w:t>La</w:t>
      </w:r>
      <w:r>
        <w:rPr>
          <w:spacing w:val="-9"/>
        </w:rPr>
        <w:t xml:space="preserve"> </w:t>
      </w:r>
      <w:r>
        <w:t>relativa</w:t>
      </w:r>
      <w:r>
        <w:rPr>
          <w:spacing w:val="-9"/>
        </w:rPr>
        <w:t xml:space="preserve"> </w:t>
      </w:r>
      <w:r>
        <w:t>autonomía</w:t>
      </w:r>
      <w:r>
        <w:rPr>
          <w:spacing w:val="-9"/>
        </w:rPr>
        <w:t xml:space="preserve"> </w:t>
      </w:r>
      <w:r>
        <w:t>de</w:t>
      </w:r>
      <w:r>
        <w:rPr>
          <w:spacing w:val="-10"/>
        </w:rPr>
        <w:t xml:space="preserve"> </w:t>
      </w:r>
      <w:r>
        <w:t>los</w:t>
      </w:r>
      <w:r>
        <w:rPr>
          <w:spacing w:val="-9"/>
        </w:rPr>
        <w:t xml:space="preserve"> </w:t>
      </w:r>
      <w:r>
        <w:t>militares</w:t>
      </w:r>
      <w:r>
        <w:rPr>
          <w:spacing w:val="-10"/>
        </w:rPr>
        <w:t xml:space="preserve"> </w:t>
      </w:r>
      <w:r>
        <w:t>frente</w:t>
      </w:r>
      <w:r>
        <w:rPr>
          <w:spacing w:val="-9"/>
        </w:rPr>
        <w:t xml:space="preserve"> </w:t>
      </w:r>
      <w:r>
        <w:t>al</w:t>
      </w:r>
      <w:r>
        <w:rPr>
          <w:spacing w:val="-9"/>
        </w:rPr>
        <w:t xml:space="preserve"> </w:t>
      </w:r>
      <w:r>
        <w:t>poder</w:t>
      </w:r>
      <w:r>
        <w:rPr>
          <w:spacing w:val="-9"/>
        </w:rPr>
        <w:t xml:space="preserve"> </w:t>
      </w:r>
      <w:r>
        <w:t>político</w:t>
      </w:r>
      <w:r>
        <w:rPr>
          <w:spacing w:val="-11"/>
        </w:rPr>
        <w:t xml:space="preserve"> </w:t>
      </w:r>
      <w:r>
        <w:t>tiene</w:t>
      </w:r>
      <w:r>
        <w:rPr>
          <w:spacing w:val="-9"/>
        </w:rPr>
        <w:t xml:space="preserve"> </w:t>
      </w:r>
      <w:r>
        <w:t>como</w:t>
      </w:r>
      <w:r>
        <w:rPr>
          <w:spacing w:val="-10"/>
        </w:rPr>
        <w:t xml:space="preserve"> </w:t>
      </w:r>
      <w:r>
        <w:t>hito</w:t>
      </w:r>
      <w:r>
        <w:rPr>
          <w:spacing w:val="-9"/>
        </w:rPr>
        <w:t xml:space="preserve"> </w:t>
      </w:r>
      <w:r>
        <w:t>fundacional el discurso</w:t>
      </w:r>
      <w:r>
        <w:rPr>
          <w:spacing w:val="-1"/>
        </w:rPr>
        <w:t xml:space="preserve"> </w:t>
      </w:r>
      <w:r>
        <w:t>de Alberto Lleras Camargo, primer presidente del Frente Nacional (1958-1962), en</w:t>
      </w:r>
      <w:r>
        <w:rPr>
          <w:spacing w:val="-10"/>
        </w:rPr>
        <w:t xml:space="preserve"> </w:t>
      </w:r>
      <w:r>
        <w:t>el</w:t>
      </w:r>
      <w:r>
        <w:rPr>
          <w:spacing w:val="-9"/>
        </w:rPr>
        <w:t xml:space="preserve"> </w:t>
      </w:r>
      <w:r>
        <w:t>Teatro</w:t>
      </w:r>
      <w:r>
        <w:rPr>
          <w:spacing w:val="-11"/>
        </w:rPr>
        <w:t xml:space="preserve"> </w:t>
      </w:r>
      <w:r>
        <w:t>Patria</w:t>
      </w:r>
      <w:r>
        <w:rPr>
          <w:spacing w:val="-9"/>
        </w:rPr>
        <w:t xml:space="preserve"> </w:t>
      </w:r>
      <w:r>
        <w:t>el</w:t>
      </w:r>
      <w:r>
        <w:rPr>
          <w:spacing w:val="-9"/>
        </w:rPr>
        <w:t xml:space="preserve"> </w:t>
      </w:r>
      <w:r>
        <w:t>9</w:t>
      </w:r>
      <w:r>
        <w:rPr>
          <w:spacing w:val="-10"/>
        </w:rPr>
        <w:t xml:space="preserve"> </w:t>
      </w:r>
      <w:r>
        <w:t>de</w:t>
      </w:r>
      <w:r>
        <w:rPr>
          <w:spacing w:val="-9"/>
        </w:rPr>
        <w:t xml:space="preserve"> </w:t>
      </w:r>
      <w:r>
        <w:t>mayo</w:t>
      </w:r>
      <w:r>
        <w:rPr>
          <w:spacing w:val="-10"/>
        </w:rPr>
        <w:t xml:space="preserve"> </w:t>
      </w:r>
      <w:r>
        <w:t>de</w:t>
      </w:r>
      <w:r>
        <w:rPr>
          <w:spacing w:val="-9"/>
        </w:rPr>
        <w:t xml:space="preserve"> </w:t>
      </w:r>
      <w:r>
        <w:t>1958.</w:t>
      </w:r>
      <w:r>
        <w:rPr>
          <w:spacing w:val="-10"/>
        </w:rPr>
        <w:t xml:space="preserve"> </w:t>
      </w:r>
      <w:r>
        <w:t>El</w:t>
      </w:r>
      <w:r>
        <w:rPr>
          <w:spacing w:val="-9"/>
        </w:rPr>
        <w:t xml:space="preserve"> </w:t>
      </w:r>
      <w:r>
        <w:t>presidente</w:t>
      </w:r>
      <w:r>
        <w:rPr>
          <w:spacing w:val="-9"/>
        </w:rPr>
        <w:t xml:space="preserve"> </w:t>
      </w:r>
      <w:r>
        <w:t>ofreció</w:t>
      </w:r>
      <w:r>
        <w:rPr>
          <w:spacing w:val="-10"/>
        </w:rPr>
        <w:t xml:space="preserve"> </w:t>
      </w:r>
      <w:r>
        <w:t>a</w:t>
      </w:r>
      <w:r>
        <w:rPr>
          <w:spacing w:val="-9"/>
        </w:rPr>
        <w:t xml:space="preserve"> </w:t>
      </w:r>
      <w:r>
        <w:t>los</w:t>
      </w:r>
      <w:r>
        <w:rPr>
          <w:spacing w:val="-10"/>
        </w:rPr>
        <w:t xml:space="preserve"> </w:t>
      </w:r>
      <w:r>
        <w:t>militares</w:t>
      </w:r>
      <w:r>
        <w:rPr>
          <w:spacing w:val="-9"/>
        </w:rPr>
        <w:t xml:space="preserve"> </w:t>
      </w:r>
      <w:r>
        <w:t>autonomía</w:t>
      </w:r>
      <w:r>
        <w:rPr>
          <w:spacing w:val="-9"/>
        </w:rPr>
        <w:t xml:space="preserve"> </w:t>
      </w:r>
      <w:r>
        <w:t>para el</w:t>
      </w:r>
      <w:r>
        <w:rPr>
          <w:spacing w:val="-3"/>
        </w:rPr>
        <w:t xml:space="preserve"> </w:t>
      </w:r>
      <w:r>
        <w:t>manejo</w:t>
      </w:r>
      <w:r>
        <w:rPr>
          <w:spacing w:val="-4"/>
        </w:rPr>
        <w:t xml:space="preserve"> </w:t>
      </w:r>
      <w:r>
        <w:t>del</w:t>
      </w:r>
      <w:r>
        <w:rPr>
          <w:spacing w:val="-3"/>
        </w:rPr>
        <w:t xml:space="preserve"> </w:t>
      </w:r>
      <w:r>
        <w:t>orden</w:t>
      </w:r>
      <w:r>
        <w:rPr>
          <w:spacing w:val="-4"/>
        </w:rPr>
        <w:t xml:space="preserve"> </w:t>
      </w:r>
      <w:r>
        <w:t>público</w:t>
      </w:r>
      <w:r>
        <w:rPr>
          <w:spacing w:val="-4"/>
        </w:rPr>
        <w:t xml:space="preserve"> </w:t>
      </w:r>
      <w:r>
        <w:t>y</w:t>
      </w:r>
      <w:r>
        <w:rPr>
          <w:spacing w:val="-4"/>
        </w:rPr>
        <w:t xml:space="preserve"> </w:t>
      </w:r>
      <w:r>
        <w:t>prerrogativas</w:t>
      </w:r>
      <w:r>
        <w:rPr>
          <w:spacing w:val="-3"/>
        </w:rPr>
        <w:t xml:space="preserve"> </w:t>
      </w:r>
      <w:r>
        <w:t>para</w:t>
      </w:r>
      <w:r>
        <w:rPr>
          <w:spacing w:val="-5"/>
        </w:rPr>
        <w:t xml:space="preserve"> </w:t>
      </w:r>
      <w:r>
        <w:t>el</w:t>
      </w:r>
      <w:r>
        <w:rPr>
          <w:spacing w:val="-3"/>
        </w:rPr>
        <w:t xml:space="preserve"> </w:t>
      </w:r>
      <w:r>
        <w:t>ejercicio</w:t>
      </w:r>
      <w:r>
        <w:rPr>
          <w:spacing w:val="-4"/>
        </w:rPr>
        <w:t xml:space="preserve"> </w:t>
      </w:r>
      <w:r>
        <w:t>de</w:t>
      </w:r>
      <w:r>
        <w:rPr>
          <w:spacing w:val="-3"/>
        </w:rPr>
        <w:t xml:space="preserve"> </w:t>
      </w:r>
      <w:r>
        <w:t>su</w:t>
      </w:r>
      <w:r>
        <w:rPr>
          <w:spacing w:val="-4"/>
        </w:rPr>
        <w:t xml:space="preserve"> </w:t>
      </w:r>
      <w:r>
        <w:t>función</w:t>
      </w:r>
      <w:r>
        <w:rPr>
          <w:spacing w:val="-5"/>
        </w:rPr>
        <w:t xml:space="preserve"> </w:t>
      </w:r>
      <w:r>
        <w:t>como</w:t>
      </w:r>
      <w:r>
        <w:rPr>
          <w:spacing w:val="-4"/>
        </w:rPr>
        <w:t xml:space="preserve"> </w:t>
      </w:r>
      <w:r>
        <w:t>medio</w:t>
      </w:r>
      <w:r>
        <w:rPr>
          <w:spacing w:val="-4"/>
        </w:rPr>
        <w:t xml:space="preserve"> </w:t>
      </w:r>
      <w:r>
        <w:t>para evitar un golpe de Estado. En la antesala de la jornada electoral de la elección de Lleras Camargo, los militares promovieron un golpe que terminó por no materializarse. El nuevo presidente debía calmar los ánimos y conseguir el respaldo de las Fuerzas Armadas</w:t>
      </w:r>
      <w:r w:rsidR="00E62705">
        <w:rPr>
          <w:rStyle w:val="Refdenotaalpie"/>
        </w:rPr>
        <w:footnoteReference w:id="736"/>
      </w:r>
      <w:r>
        <w:t>. El discurso</w:t>
      </w:r>
      <w:r>
        <w:rPr>
          <w:spacing w:val="-13"/>
        </w:rPr>
        <w:t xml:space="preserve"> </w:t>
      </w:r>
      <w:r>
        <w:t>dio</w:t>
      </w:r>
      <w:r>
        <w:rPr>
          <w:spacing w:val="-14"/>
        </w:rPr>
        <w:t xml:space="preserve"> </w:t>
      </w:r>
      <w:r>
        <w:t>tranquilidad</w:t>
      </w:r>
      <w:r>
        <w:rPr>
          <w:spacing w:val="-13"/>
        </w:rPr>
        <w:t xml:space="preserve"> </w:t>
      </w:r>
      <w:r>
        <w:t>a</w:t>
      </w:r>
      <w:r>
        <w:rPr>
          <w:spacing w:val="-12"/>
        </w:rPr>
        <w:t xml:space="preserve"> </w:t>
      </w:r>
      <w:r>
        <w:t>los</w:t>
      </w:r>
      <w:r>
        <w:rPr>
          <w:spacing w:val="-13"/>
        </w:rPr>
        <w:t xml:space="preserve"> </w:t>
      </w:r>
      <w:r>
        <w:t>militares</w:t>
      </w:r>
      <w:r>
        <w:rPr>
          <w:spacing w:val="-12"/>
        </w:rPr>
        <w:t xml:space="preserve"> </w:t>
      </w:r>
      <w:r>
        <w:t>y</w:t>
      </w:r>
      <w:r>
        <w:rPr>
          <w:spacing w:val="-13"/>
        </w:rPr>
        <w:t xml:space="preserve"> </w:t>
      </w:r>
      <w:r>
        <w:t>estableció</w:t>
      </w:r>
      <w:r>
        <w:rPr>
          <w:spacing w:val="-12"/>
        </w:rPr>
        <w:t xml:space="preserve"> </w:t>
      </w:r>
      <w:r>
        <w:t>las</w:t>
      </w:r>
      <w:r>
        <w:rPr>
          <w:spacing w:val="-12"/>
        </w:rPr>
        <w:t xml:space="preserve"> </w:t>
      </w:r>
      <w:r>
        <w:t>bases</w:t>
      </w:r>
      <w:r>
        <w:rPr>
          <w:spacing w:val="-13"/>
        </w:rPr>
        <w:t xml:space="preserve"> </w:t>
      </w:r>
      <w:r>
        <w:t>de</w:t>
      </w:r>
      <w:r>
        <w:rPr>
          <w:spacing w:val="-12"/>
        </w:rPr>
        <w:t xml:space="preserve"> </w:t>
      </w:r>
      <w:r>
        <w:t>la</w:t>
      </w:r>
      <w:r>
        <w:rPr>
          <w:spacing w:val="-13"/>
        </w:rPr>
        <w:t xml:space="preserve"> </w:t>
      </w:r>
      <w:r>
        <w:t>relación</w:t>
      </w:r>
      <w:r>
        <w:rPr>
          <w:spacing w:val="-12"/>
        </w:rPr>
        <w:t xml:space="preserve"> </w:t>
      </w:r>
      <w:r>
        <w:t>entre</w:t>
      </w:r>
      <w:r>
        <w:rPr>
          <w:spacing w:val="-13"/>
        </w:rPr>
        <w:t xml:space="preserve"> </w:t>
      </w:r>
      <w:r>
        <w:t>la</w:t>
      </w:r>
      <w:r>
        <w:rPr>
          <w:spacing w:val="-13"/>
        </w:rPr>
        <w:t xml:space="preserve"> </w:t>
      </w:r>
      <w:r>
        <w:t>autoridad civil y el poder militar en las décadas siguientes.</w:t>
      </w:r>
    </w:p>
    <w:p w:rsidR="003804AC" w:rsidRDefault="00AF18A5" w:rsidP="00E62705">
      <w:r>
        <w:t>Lleras</w:t>
      </w:r>
      <w:r>
        <w:rPr>
          <w:spacing w:val="40"/>
        </w:rPr>
        <w:t xml:space="preserve"> </w:t>
      </w:r>
      <w:r>
        <w:t>Camargo</w:t>
      </w:r>
      <w:r>
        <w:rPr>
          <w:spacing w:val="40"/>
        </w:rPr>
        <w:t xml:space="preserve"> </w:t>
      </w:r>
      <w:r>
        <w:t>afirmó</w:t>
      </w:r>
      <w:r>
        <w:rPr>
          <w:spacing w:val="40"/>
        </w:rPr>
        <w:t xml:space="preserve"> </w:t>
      </w:r>
      <w:r>
        <w:t>en</w:t>
      </w:r>
      <w:r>
        <w:rPr>
          <w:spacing w:val="40"/>
        </w:rPr>
        <w:t xml:space="preserve"> </w:t>
      </w:r>
      <w:r>
        <w:t>ese</w:t>
      </w:r>
      <w:r>
        <w:rPr>
          <w:spacing w:val="40"/>
        </w:rPr>
        <w:t xml:space="preserve"> </w:t>
      </w:r>
      <w:r>
        <w:t>discurso</w:t>
      </w:r>
      <w:r>
        <w:rPr>
          <w:spacing w:val="40"/>
        </w:rPr>
        <w:t xml:space="preserve"> </w:t>
      </w:r>
      <w:r>
        <w:t>que</w:t>
      </w:r>
      <w:r>
        <w:rPr>
          <w:spacing w:val="40"/>
        </w:rPr>
        <w:t xml:space="preserve"> </w:t>
      </w:r>
      <w:r>
        <w:t>un</w:t>
      </w:r>
      <w:r>
        <w:rPr>
          <w:spacing w:val="40"/>
        </w:rPr>
        <w:t xml:space="preserve"> </w:t>
      </w:r>
      <w:r>
        <w:t>golpe</w:t>
      </w:r>
      <w:r>
        <w:rPr>
          <w:spacing w:val="40"/>
        </w:rPr>
        <w:t xml:space="preserve"> </w:t>
      </w:r>
      <w:r>
        <w:t>de</w:t>
      </w:r>
      <w:r>
        <w:rPr>
          <w:spacing w:val="40"/>
        </w:rPr>
        <w:t xml:space="preserve"> </w:t>
      </w:r>
      <w:r>
        <w:t>Estado</w:t>
      </w:r>
      <w:r>
        <w:rPr>
          <w:spacing w:val="40"/>
        </w:rPr>
        <w:t xml:space="preserve"> </w:t>
      </w:r>
      <w:r>
        <w:t>sería</w:t>
      </w:r>
      <w:r>
        <w:rPr>
          <w:spacing w:val="40"/>
        </w:rPr>
        <w:t xml:space="preserve"> </w:t>
      </w:r>
      <w:r>
        <w:t>escasamente</w:t>
      </w:r>
      <w:r>
        <w:rPr>
          <w:spacing w:val="40"/>
        </w:rPr>
        <w:t xml:space="preserve"> </w:t>
      </w:r>
      <w:r>
        <w:t>sostenible en el tiempo y contraproducente para la inversión extranjera y la prosperidad del país.</w:t>
      </w:r>
      <w:r>
        <w:rPr>
          <w:spacing w:val="-11"/>
        </w:rPr>
        <w:t xml:space="preserve"> </w:t>
      </w:r>
      <w:r>
        <w:t>En</w:t>
      </w:r>
      <w:r>
        <w:rPr>
          <w:spacing w:val="-11"/>
        </w:rPr>
        <w:t xml:space="preserve"> </w:t>
      </w:r>
      <w:r>
        <w:t>vez</w:t>
      </w:r>
      <w:r>
        <w:rPr>
          <w:spacing w:val="-13"/>
        </w:rPr>
        <w:t xml:space="preserve"> </w:t>
      </w:r>
      <w:r>
        <w:t>de</w:t>
      </w:r>
      <w:r>
        <w:rPr>
          <w:spacing w:val="-11"/>
        </w:rPr>
        <w:t xml:space="preserve"> </w:t>
      </w:r>
      <w:r>
        <w:t>eso,</w:t>
      </w:r>
      <w:r>
        <w:rPr>
          <w:spacing w:val="-11"/>
        </w:rPr>
        <w:t xml:space="preserve"> </w:t>
      </w:r>
      <w:r>
        <w:t>planteó</w:t>
      </w:r>
      <w:r>
        <w:rPr>
          <w:spacing w:val="-11"/>
        </w:rPr>
        <w:t xml:space="preserve"> </w:t>
      </w:r>
      <w:r>
        <w:lastRenderedPageBreak/>
        <w:t>una</w:t>
      </w:r>
      <w:r>
        <w:rPr>
          <w:spacing w:val="-11"/>
        </w:rPr>
        <w:t xml:space="preserve"> </w:t>
      </w:r>
      <w:r>
        <w:t>división</w:t>
      </w:r>
      <w:r>
        <w:rPr>
          <w:spacing w:val="-11"/>
        </w:rPr>
        <w:t xml:space="preserve"> </w:t>
      </w:r>
      <w:r>
        <w:t>del</w:t>
      </w:r>
      <w:r>
        <w:rPr>
          <w:spacing w:val="-10"/>
        </w:rPr>
        <w:t xml:space="preserve"> </w:t>
      </w:r>
      <w:r>
        <w:t>trabajo</w:t>
      </w:r>
      <w:r>
        <w:rPr>
          <w:spacing w:val="-11"/>
        </w:rPr>
        <w:t xml:space="preserve"> </w:t>
      </w:r>
      <w:r>
        <w:t>entre</w:t>
      </w:r>
      <w:r>
        <w:rPr>
          <w:spacing w:val="-12"/>
        </w:rPr>
        <w:t xml:space="preserve"> </w:t>
      </w:r>
      <w:r>
        <w:t>el</w:t>
      </w:r>
      <w:r>
        <w:rPr>
          <w:spacing w:val="-10"/>
        </w:rPr>
        <w:t xml:space="preserve"> </w:t>
      </w:r>
      <w:r>
        <w:t>poder</w:t>
      </w:r>
      <w:r>
        <w:rPr>
          <w:spacing w:val="-10"/>
        </w:rPr>
        <w:t xml:space="preserve"> </w:t>
      </w:r>
      <w:r>
        <w:t>civil</w:t>
      </w:r>
      <w:r>
        <w:rPr>
          <w:spacing w:val="-10"/>
        </w:rPr>
        <w:t xml:space="preserve"> </w:t>
      </w:r>
      <w:r>
        <w:t>y</w:t>
      </w:r>
      <w:r>
        <w:rPr>
          <w:spacing w:val="-12"/>
        </w:rPr>
        <w:t xml:space="preserve"> </w:t>
      </w:r>
      <w:r>
        <w:t>el</w:t>
      </w:r>
      <w:r>
        <w:rPr>
          <w:spacing w:val="-12"/>
        </w:rPr>
        <w:t xml:space="preserve"> </w:t>
      </w:r>
      <w:r>
        <w:t>militar.</w:t>
      </w:r>
      <w:r>
        <w:rPr>
          <w:spacing w:val="-11"/>
        </w:rPr>
        <w:t xml:space="preserve"> </w:t>
      </w:r>
      <w:r>
        <w:t>Enalteció la</w:t>
      </w:r>
      <w:r>
        <w:rPr>
          <w:spacing w:val="-15"/>
        </w:rPr>
        <w:t xml:space="preserve"> </w:t>
      </w:r>
      <w:r>
        <w:t>función</w:t>
      </w:r>
      <w:r>
        <w:rPr>
          <w:spacing w:val="-15"/>
        </w:rPr>
        <w:t xml:space="preserve"> </w:t>
      </w:r>
      <w:r>
        <w:t>de</w:t>
      </w:r>
      <w:r>
        <w:rPr>
          <w:spacing w:val="-15"/>
        </w:rPr>
        <w:t xml:space="preserve"> </w:t>
      </w:r>
      <w:r>
        <w:t>los</w:t>
      </w:r>
      <w:r>
        <w:rPr>
          <w:spacing w:val="-15"/>
        </w:rPr>
        <w:t xml:space="preserve"> </w:t>
      </w:r>
      <w:r>
        <w:t>militares</w:t>
      </w:r>
      <w:r>
        <w:rPr>
          <w:spacing w:val="-15"/>
        </w:rPr>
        <w:t xml:space="preserve"> </w:t>
      </w:r>
      <w:r>
        <w:t>en</w:t>
      </w:r>
      <w:r>
        <w:rPr>
          <w:spacing w:val="-15"/>
        </w:rPr>
        <w:t xml:space="preserve"> </w:t>
      </w:r>
      <w:r>
        <w:t>el</w:t>
      </w:r>
      <w:r>
        <w:rPr>
          <w:spacing w:val="-15"/>
        </w:rPr>
        <w:t xml:space="preserve"> </w:t>
      </w:r>
      <w:r>
        <w:t>manejo</w:t>
      </w:r>
      <w:r>
        <w:rPr>
          <w:spacing w:val="-15"/>
        </w:rPr>
        <w:t xml:space="preserve"> </w:t>
      </w:r>
      <w:r>
        <w:t>del</w:t>
      </w:r>
      <w:r>
        <w:rPr>
          <w:spacing w:val="-15"/>
        </w:rPr>
        <w:t xml:space="preserve"> </w:t>
      </w:r>
      <w:r>
        <w:t>orden</w:t>
      </w:r>
      <w:r>
        <w:rPr>
          <w:spacing w:val="-15"/>
        </w:rPr>
        <w:t xml:space="preserve"> </w:t>
      </w:r>
      <w:r>
        <w:t>público,</w:t>
      </w:r>
      <w:r>
        <w:rPr>
          <w:spacing w:val="-15"/>
        </w:rPr>
        <w:t xml:space="preserve"> </w:t>
      </w:r>
      <w:r>
        <w:t>por</w:t>
      </w:r>
      <w:r>
        <w:rPr>
          <w:spacing w:val="-15"/>
        </w:rPr>
        <w:t xml:space="preserve"> </w:t>
      </w:r>
      <w:r>
        <w:t>el</w:t>
      </w:r>
      <w:r>
        <w:rPr>
          <w:spacing w:val="-15"/>
        </w:rPr>
        <w:t xml:space="preserve"> </w:t>
      </w:r>
      <w:r>
        <w:t>sacrificio</w:t>
      </w:r>
      <w:r>
        <w:rPr>
          <w:spacing w:val="-15"/>
        </w:rPr>
        <w:t xml:space="preserve"> </w:t>
      </w:r>
      <w:r>
        <w:t>que</w:t>
      </w:r>
      <w:r>
        <w:rPr>
          <w:spacing w:val="-15"/>
        </w:rPr>
        <w:t xml:space="preserve"> </w:t>
      </w:r>
      <w:r>
        <w:t>esta</w:t>
      </w:r>
      <w:r>
        <w:rPr>
          <w:spacing w:val="-15"/>
        </w:rPr>
        <w:t xml:space="preserve"> </w:t>
      </w:r>
      <w:r>
        <w:t>implicaba. En consecuencia, en primer lugar, ofreció rodearla con «privilegios, honras fueros que no tienen</w:t>
      </w:r>
      <w:r>
        <w:rPr>
          <w:spacing w:val="-12"/>
        </w:rPr>
        <w:t xml:space="preserve"> </w:t>
      </w:r>
      <w:r>
        <w:t>los</w:t>
      </w:r>
      <w:r>
        <w:rPr>
          <w:spacing w:val="-11"/>
        </w:rPr>
        <w:t xml:space="preserve"> </w:t>
      </w:r>
      <w:r>
        <w:t>demás</w:t>
      </w:r>
      <w:r>
        <w:rPr>
          <w:spacing w:val="-11"/>
        </w:rPr>
        <w:t xml:space="preserve"> </w:t>
      </w:r>
      <w:r>
        <w:t>ciudadanos</w:t>
      </w:r>
      <w:r>
        <w:rPr>
          <w:spacing w:val="-11"/>
        </w:rPr>
        <w:t xml:space="preserve"> </w:t>
      </w:r>
      <w:r>
        <w:t>comunes»</w:t>
      </w:r>
      <w:r w:rsidR="00E62705">
        <w:rPr>
          <w:rStyle w:val="Refdenotaalpie"/>
        </w:rPr>
        <w:footnoteReference w:id="737"/>
      </w:r>
      <w:r>
        <w:t>.</w:t>
      </w:r>
      <w:r>
        <w:rPr>
          <w:spacing w:val="-11"/>
        </w:rPr>
        <w:t xml:space="preserve"> </w:t>
      </w:r>
      <w:r>
        <w:t>En</w:t>
      </w:r>
      <w:r>
        <w:rPr>
          <w:spacing w:val="-11"/>
        </w:rPr>
        <w:t xml:space="preserve"> </w:t>
      </w:r>
      <w:r>
        <w:t>segundo</w:t>
      </w:r>
      <w:r>
        <w:rPr>
          <w:spacing w:val="-11"/>
        </w:rPr>
        <w:t xml:space="preserve"> </w:t>
      </w:r>
      <w:r>
        <w:t>lugar,</w:t>
      </w:r>
      <w:r>
        <w:rPr>
          <w:spacing w:val="-12"/>
        </w:rPr>
        <w:t xml:space="preserve"> </w:t>
      </w:r>
      <w:r>
        <w:t>se</w:t>
      </w:r>
      <w:r>
        <w:rPr>
          <w:spacing w:val="-12"/>
        </w:rPr>
        <w:t xml:space="preserve"> </w:t>
      </w:r>
      <w:r>
        <w:t>comprometió</w:t>
      </w:r>
      <w:r>
        <w:rPr>
          <w:spacing w:val="-11"/>
        </w:rPr>
        <w:t xml:space="preserve"> </w:t>
      </w:r>
      <w:r>
        <w:t>a</w:t>
      </w:r>
      <w:r>
        <w:rPr>
          <w:spacing w:val="-11"/>
        </w:rPr>
        <w:t xml:space="preserve"> </w:t>
      </w:r>
      <w:r>
        <w:t>no</w:t>
      </w:r>
      <w:r>
        <w:rPr>
          <w:spacing w:val="-11"/>
        </w:rPr>
        <w:t xml:space="preserve"> </w:t>
      </w:r>
      <w:r>
        <w:t>intervenir en</w:t>
      </w:r>
      <w:r>
        <w:rPr>
          <w:spacing w:val="25"/>
        </w:rPr>
        <w:t xml:space="preserve"> </w:t>
      </w:r>
      <w:r>
        <w:t>los</w:t>
      </w:r>
      <w:r>
        <w:rPr>
          <w:spacing w:val="25"/>
        </w:rPr>
        <w:t xml:space="preserve"> </w:t>
      </w:r>
      <w:r>
        <w:t>reglamentos</w:t>
      </w:r>
      <w:r>
        <w:rPr>
          <w:spacing w:val="25"/>
        </w:rPr>
        <w:t xml:space="preserve"> </w:t>
      </w:r>
      <w:r>
        <w:t>y</w:t>
      </w:r>
      <w:r>
        <w:rPr>
          <w:spacing w:val="24"/>
        </w:rPr>
        <w:t xml:space="preserve"> </w:t>
      </w:r>
      <w:r>
        <w:t>las</w:t>
      </w:r>
      <w:r>
        <w:rPr>
          <w:spacing w:val="25"/>
        </w:rPr>
        <w:t xml:space="preserve"> </w:t>
      </w:r>
      <w:r>
        <w:t>reglas</w:t>
      </w:r>
      <w:r>
        <w:rPr>
          <w:spacing w:val="25"/>
        </w:rPr>
        <w:t xml:space="preserve"> </w:t>
      </w:r>
      <w:r>
        <w:t>de</w:t>
      </w:r>
      <w:r>
        <w:rPr>
          <w:spacing w:val="25"/>
        </w:rPr>
        <w:t xml:space="preserve"> </w:t>
      </w:r>
      <w:r>
        <w:t>ingreso,</w:t>
      </w:r>
      <w:r>
        <w:rPr>
          <w:spacing w:val="25"/>
        </w:rPr>
        <w:t xml:space="preserve"> </w:t>
      </w:r>
      <w:r>
        <w:t>remoción</w:t>
      </w:r>
      <w:r>
        <w:rPr>
          <w:spacing w:val="25"/>
        </w:rPr>
        <w:t xml:space="preserve"> </w:t>
      </w:r>
      <w:r>
        <w:t>o</w:t>
      </w:r>
      <w:r>
        <w:rPr>
          <w:spacing w:val="25"/>
        </w:rPr>
        <w:t xml:space="preserve"> </w:t>
      </w:r>
      <w:r>
        <w:t>escalafón</w:t>
      </w:r>
      <w:r>
        <w:rPr>
          <w:spacing w:val="25"/>
        </w:rPr>
        <w:t xml:space="preserve"> </w:t>
      </w:r>
      <w:r>
        <w:t>de</w:t>
      </w:r>
      <w:r>
        <w:rPr>
          <w:spacing w:val="25"/>
        </w:rPr>
        <w:t xml:space="preserve"> </w:t>
      </w:r>
      <w:r>
        <w:t>los</w:t>
      </w:r>
      <w:r>
        <w:rPr>
          <w:spacing w:val="25"/>
        </w:rPr>
        <w:t xml:space="preserve"> </w:t>
      </w:r>
      <w:r>
        <w:t>miembros</w:t>
      </w:r>
      <w:r>
        <w:rPr>
          <w:spacing w:val="24"/>
        </w:rPr>
        <w:t xml:space="preserve"> </w:t>
      </w:r>
      <w:r>
        <w:t>de</w:t>
      </w:r>
      <w:r>
        <w:rPr>
          <w:spacing w:val="25"/>
        </w:rPr>
        <w:t xml:space="preserve"> </w:t>
      </w:r>
      <w:r>
        <w:t>las fuerzas:</w:t>
      </w:r>
      <w:r>
        <w:rPr>
          <w:spacing w:val="-1"/>
        </w:rPr>
        <w:t xml:space="preserve"> </w:t>
      </w:r>
      <w:r>
        <w:t>«La</w:t>
      </w:r>
      <w:r>
        <w:rPr>
          <w:spacing w:val="-2"/>
        </w:rPr>
        <w:t xml:space="preserve"> </w:t>
      </w:r>
      <w:r>
        <w:t>política</w:t>
      </w:r>
      <w:r>
        <w:rPr>
          <w:spacing w:val="-1"/>
        </w:rPr>
        <w:t xml:space="preserve"> </w:t>
      </w:r>
      <w:r>
        <w:t>no</w:t>
      </w:r>
      <w:r>
        <w:rPr>
          <w:spacing w:val="-2"/>
        </w:rPr>
        <w:t xml:space="preserve"> </w:t>
      </w:r>
      <w:r>
        <w:t>va</w:t>
      </w:r>
      <w:r>
        <w:rPr>
          <w:spacing w:val="-1"/>
        </w:rPr>
        <w:t xml:space="preserve"> </w:t>
      </w:r>
      <w:r>
        <w:t>a</w:t>
      </w:r>
      <w:r>
        <w:rPr>
          <w:spacing w:val="-1"/>
        </w:rPr>
        <w:t xml:space="preserve"> </w:t>
      </w:r>
      <w:r>
        <w:t>entrar</w:t>
      </w:r>
      <w:r>
        <w:rPr>
          <w:spacing w:val="-1"/>
        </w:rPr>
        <w:t xml:space="preserve"> </w:t>
      </w:r>
      <w:r>
        <w:t>en</w:t>
      </w:r>
      <w:r>
        <w:rPr>
          <w:spacing w:val="-1"/>
        </w:rPr>
        <w:t xml:space="preserve"> </w:t>
      </w:r>
      <w:r>
        <w:t>los</w:t>
      </w:r>
      <w:r>
        <w:rPr>
          <w:spacing w:val="-1"/>
        </w:rPr>
        <w:t xml:space="preserve"> </w:t>
      </w:r>
      <w:r>
        <w:t>cuerpos</w:t>
      </w:r>
      <w:r>
        <w:rPr>
          <w:spacing w:val="-1"/>
        </w:rPr>
        <w:t xml:space="preserve"> </w:t>
      </w:r>
      <w:r>
        <w:t>de</w:t>
      </w:r>
      <w:r>
        <w:rPr>
          <w:spacing w:val="-1"/>
        </w:rPr>
        <w:t xml:space="preserve"> </w:t>
      </w:r>
      <w:r>
        <w:t>la</w:t>
      </w:r>
      <w:r>
        <w:rPr>
          <w:spacing w:val="-1"/>
        </w:rPr>
        <w:t xml:space="preserve"> </w:t>
      </w:r>
      <w:r>
        <w:t>defensa</w:t>
      </w:r>
      <w:r>
        <w:rPr>
          <w:spacing w:val="-1"/>
        </w:rPr>
        <w:t xml:space="preserve"> </w:t>
      </w:r>
      <w:r>
        <w:t>nacional</w:t>
      </w:r>
      <w:r>
        <w:rPr>
          <w:spacing w:val="-1"/>
        </w:rPr>
        <w:t xml:space="preserve"> </w:t>
      </w:r>
      <w:r>
        <w:t>[...].</w:t>
      </w:r>
      <w:r>
        <w:rPr>
          <w:spacing w:val="-1"/>
        </w:rPr>
        <w:t xml:space="preserve"> </w:t>
      </w:r>
      <w:r>
        <w:t>En</w:t>
      </w:r>
      <w:r>
        <w:rPr>
          <w:spacing w:val="-1"/>
        </w:rPr>
        <w:t xml:space="preserve"> </w:t>
      </w:r>
      <w:r>
        <w:t>Palacio</w:t>
      </w:r>
      <w:r>
        <w:rPr>
          <w:spacing w:val="-1"/>
        </w:rPr>
        <w:t xml:space="preserve"> </w:t>
      </w:r>
      <w:r>
        <w:t>no habrá</w:t>
      </w:r>
      <w:r>
        <w:rPr>
          <w:spacing w:val="-3"/>
        </w:rPr>
        <w:t xml:space="preserve"> </w:t>
      </w:r>
      <w:r>
        <w:t>intrigas</w:t>
      </w:r>
      <w:r>
        <w:rPr>
          <w:spacing w:val="-3"/>
        </w:rPr>
        <w:t xml:space="preserve"> </w:t>
      </w:r>
      <w:r>
        <w:t>militares,</w:t>
      </w:r>
      <w:r>
        <w:rPr>
          <w:spacing w:val="-5"/>
        </w:rPr>
        <w:t xml:space="preserve"> </w:t>
      </w:r>
      <w:r>
        <w:t>desde</w:t>
      </w:r>
      <w:r>
        <w:rPr>
          <w:spacing w:val="-4"/>
        </w:rPr>
        <w:t xml:space="preserve"> </w:t>
      </w:r>
      <w:r>
        <w:t>Palacio</w:t>
      </w:r>
      <w:r>
        <w:rPr>
          <w:spacing w:val="-4"/>
        </w:rPr>
        <w:t xml:space="preserve"> </w:t>
      </w:r>
      <w:r>
        <w:t>no</w:t>
      </w:r>
      <w:r>
        <w:rPr>
          <w:spacing w:val="-4"/>
        </w:rPr>
        <w:t xml:space="preserve"> </w:t>
      </w:r>
      <w:r>
        <w:t>se</w:t>
      </w:r>
      <w:r>
        <w:rPr>
          <w:spacing w:val="-3"/>
        </w:rPr>
        <w:t xml:space="preserve"> </w:t>
      </w:r>
      <w:r>
        <w:t>jugará</w:t>
      </w:r>
      <w:r>
        <w:rPr>
          <w:spacing w:val="-3"/>
        </w:rPr>
        <w:t xml:space="preserve"> </w:t>
      </w:r>
      <w:r>
        <w:t>con</w:t>
      </w:r>
      <w:r>
        <w:rPr>
          <w:spacing w:val="-4"/>
        </w:rPr>
        <w:t xml:space="preserve"> </w:t>
      </w:r>
      <w:r>
        <w:t>la</w:t>
      </w:r>
      <w:r>
        <w:rPr>
          <w:spacing w:val="-3"/>
        </w:rPr>
        <w:t xml:space="preserve"> </w:t>
      </w:r>
      <w:r>
        <w:t>suerte,</w:t>
      </w:r>
      <w:r>
        <w:rPr>
          <w:spacing w:val="-4"/>
        </w:rPr>
        <w:t xml:space="preserve"> </w:t>
      </w:r>
      <w:r>
        <w:t>ni</w:t>
      </w:r>
      <w:r>
        <w:rPr>
          <w:spacing w:val="-3"/>
        </w:rPr>
        <w:t xml:space="preserve"> </w:t>
      </w:r>
      <w:r>
        <w:t>el</w:t>
      </w:r>
      <w:r>
        <w:rPr>
          <w:spacing w:val="-3"/>
        </w:rPr>
        <w:t xml:space="preserve"> </w:t>
      </w:r>
      <w:r>
        <w:t>honor,</w:t>
      </w:r>
      <w:r>
        <w:rPr>
          <w:spacing w:val="-4"/>
        </w:rPr>
        <w:t xml:space="preserve"> </w:t>
      </w:r>
      <w:r>
        <w:t>ni</w:t>
      </w:r>
      <w:r>
        <w:rPr>
          <w:spacing w:val="-3"/>
        </w:rPr>
        <w:t xml:space="preserve"> </w:t>
      </w:r>
      <w:r>
        <w:t>la</w:t>
      </w:r>
      <w:r>
        <w:rPr>
          <w:spacing w:val="-3"/>
        </w:rPr>
        <w:t xml:space="preserve"> </w:t>
      </w:r>
      <w:r>
        <w:t>carrera</w:t>
      </w:r>
      <w:r>
        <w:rPr>
          <w:spacing w:val="-3"/>
        </w:rPr>
        <w:t xml:space="preserve"> </w:t>
      </w:r>
      <w:r>
        <w:t>de ningún</w:t>
      </w:r>
      <w:r>
        <w:rPr>
          <w:spacing w:val="-11"/>
        </w:rPr>
        <w:t xml:space="preserve"> </w:t>
      </w:r>
      <w:r>
        <w:t>miembro</w:t>
      </w:r>
      <w:r>
        <w:rPr>
          <w:spacing w:val="-10"/>
        </w:rPr>
        <w:t xml:space="preserve"> </w:t>
      </w:r>
      <w:r>
        <w:t>de</w:t>
      </w:r>
      <w:r>
        <w:rPr>
          <w:spacing w:val="-11"/>
        </w:rPr>
        <w:t xml:space="preserve"> </w:t>
      </w:r>
      <w:r>
        <w:t>las</w:t>
      </w:r>
      <w:r>
        <w:rPr>
          <w:spacing w:val="-12"/>
        </w:rPr>
        <w:t xml:space="preserve"> </w:t>
      </w:r>
      <w:r>
        <w:t>Fuerzas</w:t>
      </w:r>
      <w:r>
        <w:rPr>
          <w:spacing w:val="-10"/>
        </w:rPr>
        <w:t xml:space="preserve"> </w:t>
      </w:r>
      <w:r>
        <w:t>Armadas.</w:t>
      </w:r>
      <w:r>
        <w:rPr>
          <w:spacing w:val="-10"/>
        </w:rPr>
        <w:t xml:space="preserve"> </w:t>
      </w:r>
      <w:r>
        <w:t>Las</w:t>
      </w:r>
      <w:r>
        <w:rPr>
          <w:spacing w:val="-11"/>
        </w:rPr>
        <w:t xml:space="preserve"> </w:t>
      </w:r>
      <w:r>
        <w:t>faltas</w:t>
      </w:r>
      <w:r>
        <w:rPr>
          <w:spacing w:val="-10"/>
        </w:rPr>
        <w:t xml:space="preserve"> </w:t>
      </w:r>
      <w:r>
        <w:t>serán</w:t>
      </w:r>
      <w:r>
        <w:rPr>
          <w:spacing w:val="-10"/>
        </w:rPr>
        <w:t xml:space="preserve"> </w:t>
      </w:r>
      <w:r>
        <w:t>juzgadas</w:t>
      </w:r>
      <w:r>
        <w:rPr>
          <w:spacing w:val="-10"/>
        </w:rPr>
        <w:t xml:space="preserve"> </w:t>
      </w:r>
      <w:r>
        <w:t>por</w:t>
      </w:r>
      <w:r>
        <w:rPr>
          <w:spacing w:val="-11"/>
        </w:rPr>
        <w:t xml:space="preserve"> </w:t>
      </w:r>
      <w:r>
        <w:t>las</w:t>
      </w:r>
      <w:r>
        <w:rPr>
          <w:spacing w:val="-10"/>
        </w:rPr>
        <w:t xml:space="preserve"> </w:t>
      </w:r>
      <w:r>
        <w:t>Fuerzas</w:t>
      </w:r>
      <w:r>
        <w:rPr>
          <w:spacing w:val="-11"/>
        </w:rPr>
        <w:t xml:space="preserve"> </w:t>
      </w:r>
      <w:r>
        <w:rPr>
          <w:spacing w:val="-2"/>
        </w:rPr>
        <w:t>Armadas,</w:t>
      </w:r>
      <w:bookmarkStart w:id="928" w:name="_bookmark807"/>
      <w:bookmarkStart w:id="929" w:name="_bookmark808"/>
      <w:bookmarkEnd w:id="928"/>
      <w:bookmarkEnd w:id="929"/>
      <w:r w:rsidR="00E62705">
        <w:rPr>
          <w:spacing w:val="-2"/>
        </w:rPr>
        <w:t xml:space="preserve"> </w:t>
      </w:r>
      <w:r>
        <w:t>como lo disponen los reglamentos y los códigos»</w:t>
      </w:r>
      <w:r w:rsidR="00E62705">
        <w:rPr>
          <w:rStyle w:val="Refdenotaalpie"/>
        </w:rPr>
        <w:footnoteReference w:id="738"/>
      </w:r>
      <w:r>
        <w:t>. En tercer lugar, se comprometió a defender</w:t>
      </w:r>
      <w:r>
        <w:rPr>
          <w:spacing w:val="-3"/>
        </w:rPr>
        <w:t xml:space="preserve"> </w:t>
      </w:r>
      <w:r>
        <w:t>a</w:t>
      </w:r>
      <w:r>
        <w:rPr>
          <w:spacing w:val="-3"/>
        </w:rPr>
        <w:t xml:space="preserve"> </w:t>
      </w:r>
      <w:r>
        <w:t>las</w:t>
      </w:r>
      <w:r>
        <w:rPr>
          <w:spacing w:val="-3"/>
        </w:rPr>
        <w:t xml:space="preserve"> </w:t>
      </w:r>
      <w:r>
        <w:t>Fuerzas</w:t>
      </w:r>
      <w:r>
        <w:rPr>
          <w:spacing w:val="-5"/>
        </w:rPr>
        <w:t xml:space="preserve"> </w:t>
      </w:r>
      <w:r>
        <w:t>Armadas</w:t>
      </w:r>
      <w:r>
        <w:rPr>
          <w:spacing w:val="-3"/>
        </w:rPr>
        <w:t xml:space="preserve"> </w:t>
      </w:r>
      <w:r>
        <w:t>y</w:t>
      </w:r>
      <w:r>
        <w:rPr>
          <w:spacing w:val="-4"/>
        </w:rPr>
        <w:t xml:space="preserve"> </w:t>
      </w:r>
      <w:r>
        <w:t>su</w:t>
      </w:r>
      <w:r>
        <w:rPr>
          <w:spacing w:val="-4"/>
        </w:rPr>
        <w:t xml:space="preserve"> </w:t>
      </w:r>
      <w:r>
        <w:t>labor</w:t>
      </w:r>
      <w:r>
        <w:rPr>
          <w:spacing w:val="-3"/>
        </w:rPr>
        <w:t xml:space="preserve"> </w:t>
      </w:r>
      <w:r>
        <w:t>en</w:t>
      </w:r>
      <w:r>
        <w:rPr>
          <w:spacing w:val="-4"/>
        </w:rPr>
        <w:t xml:space="preserve"> </w:t>
      </w:r>
      <w:r>
        <w:t>cuanto</w:t>
      </w:r>
      <w:r>
        <w:rPr>
          <w:spacing w:val="-4"/>
        </w:rPr>
        <w:t xml:space="preserve"> </w:t>
      </w:r>
      <w:r>
        <w:t>no</w:t>
      </w:r>
      <w:r>
        <w:rPr>
          <w:spacing w:val="-4"/>
        </w:rPr>
        <w:t xml:space="preserve"> </w:t>
      </w:r>
      <w:r>
        <w:t>se</w:t>
      </w:r>
      <w:r>
        <w:rPr>
          <w:spacing w:val="-5"/>
        </w:rPr>
        <w:t xml:space="preserve"> </w:t>
      </w:r>
      <w:r>
        <w:t>podría</w:t>
      </w:r>
      <w:r>
        <w:rPr>
          <w:spacing w:val="-3"/>
        </w:rPr>
        <w:t xml:space="preserve"> </w:t>
      </w:r>
      <w:r>
        <w:t>atacar</w:t>
      </w:r>
      <w:r>
        <w:rPr>
          <w:spacing w:val="-3"/>
        </w:rPr>
        <w:t xml:space="preserve"> </w:t>
      </w:r>
      <w:r>
        <w:t>a</w:t>
      </w:r>
      <w:r>
        <w:rPr>
          <w:spacing w:val="-3"/>
        </w:rPr>
        <w:t xml:space="preserve"> </w:t>
      </w:r>
      <w:r>
        <w:t>sus</w:t>
      </w:r>
      <w:r>
        <w:rPr>
          <w:spacing w:val="-4"/>
        </w:rPr>
        <w:t xml:space="preserve"> </w:t>
      </w:r>
      <w:r>
        <w:t>miembros</w:t>
      </w:r>
      <w:r>
        <w:rPr>
          <w:spacing w:val="-4"/>
        </w:rPr>
        <w:t xml:space="preserve"> </w:t>
      </w:r>
      <w:r>
        <w:t>por acciones</w:t>
      </w:r>
      <w:r>
        <w:rPr>
          <w:spacing w:val="-13"/>
        </w:rPr>
        <w:t xml:space="preserve"> </w:t>
      </w:r>
      <w:r>
        <w:t>que</w:t>
      </w:r>
      <w:r>
        <w:rPr>
          <w:spacing w:val="-14"/>
        </w:rPr>
        <w:t xml:space="preserve"> </w:t>
      </w:r>
      <w:r>
        <w:t>desarrollaron</w:t>
      </w:r>
      <w:r>
        <w:rPr>
          <w:spacing w:val="-13"/>
        </w:rPr>
        <w:t xml:space="preserve"> </w:t>
      </w:r>
      <w:r>
        <w:t>«bajo</w:t>
      </w:r>
      <w:r>
        <w:rPr>
          <w:spacing w:val="-13"/>
        </w:rPr>
        <w:t xml:space="preserve"> </w:t>
      </w:r>
      <w:r>
        <w:t>órdenes</w:t>
      </w:r>
      <w:r>
        <w:rPr>
          <w:spacing w:val="-13"/>
        </w:rPr>
        <w:t xml:space="preserve"> </w:t>
      </w:r>
      <w:r>
        <w:t>superiores</w:t>
      </w:r>
      <w:r>
        <w:rPr>
          <w:spacing w:val="-13"/>
        </w:rPr>
        <w:t xml:space="preserve"> </w:t>
      </w:r>
      <w:r>
        <w:t>del</w:t>
      </w:r>
      <w:r>
        <w:rPr>
          <w:spacing w:val="-12"/>
        </w:rPr>
        <w:t xml:space="preserve"> </w:t>
      </w:r>
      <w:r>
        <w:t>Gobierno,</w:t>
      </w:r>
      <w:r>
        <w:rPr>
          <w:spacing w:val="-13"/>
        </w:rPr>
        <w:t xml:space="preserve"> </w:t>
      </w:r>
      <w:r>
        <w:t>en</w:t>
      </w:r>
      <w:r>
        <w:rPr>
          <w:spacing w:val="-13"/>
        </w:rPr>
        <w:t xml:space="preserve"> </w:t>
      </w:r>
      <w:r>
        <w:t>condiciones</w:t>
      </w:r>
      <w:r>
        <w:rPr>
          <w:spacing w:val="-13"/>
        </w:rPr>
        <w:t xml:space="preserve"> </w:t>
      </w:r>
      <w:r>
        <w:t>tremendas de peligro y en medio de una situación de locura y confusión colectivas»</w:t>
      </w:r>
      <w:r w:rsidR="00E62705">
        <w:rPr>
          <w:rStyle w:val="Refdenotaalpie"/>
        </w:rPr>
        <w:footnoteReference w:id="739"/>
      </w:r>
      <w:r>
        <w:t>.</w:t>
      </w:r>
    </w:p>
    <w:p w:rsidR="003804AC" w:rsidRDefault="00AF18A5" w:rsidP="00E62705">
      <w:r>
        <w:t>A cambio, les solicitó no intervenir en política, lo cual suponía, primero, no violentar las decisiones del pueblo en las urnas; y, segundo, no actuar en favor de un partido u otro, ni opinar</w:t>
      </w:r>
      <w:r>
        <w:rPr>
          <w:spacing w:val="-10"/>
        </w:rPr>
        <w:t xml:space="preserve"> </w:t>
      </w:r>
      <w:r>
        <w:t>o</w:t>
      </w:r>
      <w:r>
        <w:rPr>
          <w:spacing w:val="-11"/>
        </w:rPr>
        <w:t xml:space="preserve"> </w:t>
      </w:r>
      <w:r>
        <w:t>defender</w:t>
      </w:r>
      <w:r>
        <w:rPr>
          <w:spacing w:val="-10"/>
        </w:rPr>
        <w:t xml:space="preserve"> </w:t>
      </w:r>
      <w:r>
        <w:t>las</w:t>
      </w:r>
      <w:r>
        <w:rPr>
          <w:spacing w:val="-11"/>
        </w:rPr>
        <w:t xml:space="preserve"> </w:t>
      </w:r>
      <w:r>
        <w:t>políticas</w:t>
      </w:r>
      <w:r>
        <w:rPr>
          <w:spacing w:val="-11"/>
        </w:rPr>
        <w:t xml:space="preserve"> </w:t>
      </w:r>
      <w:r>
        <w:t>del</w:t>
      </w:r>
      <w:r>
        <w:rPr>
          <w:spacing w:val="-10"/>
        </w:rPr>
        <w:t xml:space="preserve"> </w:t>
      </w:r>
      <w:r>
        <w:t>Gobierno,</w:t>
      </w:r>
      <w:r>
        <w:rPr>
          <w:spacing w:val="-11"/>
        </w:rPr>
        <w:t xml:space="preserve"> </w:t>
      </w:r>
      <w:r>
        <w:t>o</w:t>
      </w:r>
      <w:r>
        <w:rPr>
          <w:spacing w:val="-11"/>
        </w:rPr>
        <w:t xml:space="preserve"> </w:t>
      </w:r>
      <w:r>
        <w:t>convertirse</w:t>
      </w:r>
      <w:r>
        <w:rPr>
          <w:spacing w:val="-11"/>
        </w:rPr>
        <w:t xml:space="preserve"> </w:t>
      </w:r>
      <w:r>
        <w:t>en</w:t>
      </w:r>
      <w:r>
        <w:rPr>
          <w:spacing w:val="-12"/>
        </w:rPr>
        <w:t xml:space="preserve"> </w:t>
      </w:r>
      <w:r>
        <w:t>escuderos</w:t>
      </w:r>
      <w:r>
        <w:rPr>
          <w:spacing w:val="-10"/>
        </w:rPr>
        <w:t xml:space="preserve"> </w:t>
      </w:r>
      <w:r>
        <w:t>de</w:t>
      </w:r>
      <w:r>
        <w:rPr>
          <w:spacing w:val="-12"/>
        </w:rPr>
        <w:t xml:space="preserve"> </w:t>
      </w:r>
      <w:r>
        <w:t>grupos</w:t>
      </w:r>
      <w:r>
        <w:rPr>
          <w:spacing w:val="-11"/>
        </w:rPr>
        <w:t xml:space="preserve"> </w:t>
      </w:r>
      <w:r>
        <w:t>o</w:t>
      </w:r>
      <w:r>
        <w:rPr>
          <w:spacing w:val="-11"/>
        </w:rPr>
        <w:t xml:space="preserve"> </w:t>
      </w:r>
      <w:r>
        <w:t>personas particulares. El discurso no ofreció impunidad ni autorización para la comisión de abusos, sino</w:t>
      </w:r>
      <w:r>
        <w:rPr>
          <w:spacing w:val="-11"/>
        </w:rPr>
        <w:t xml:space="preserve"> </w:t>
      </w:r>
      <w:r>
        <w:t>autonomía</w:t>
      </w:r>
      <w:r>
        <w:rPr>
          <w:spacing w:val="-10"/>
        </w:rPr>
        <w:t xml:space="preserve"> </w:t>
      </w:r>
      <w:r>
        <w:t>con</w:t>
      </w:r>
      <w:r>
        <w:rPr>
          <w:spacing w:val="-12"/>
        </w:rPr>
        <w:t xml:space="preserve"> </w:t>
      </w:r>
      <w:r>
        <w:t>responsabilidad</w:t>
      </w:r>
      <w:r>
        <w:rPr>
          <w:spacing w:val="-12"/>
        </w:rPr>
        <w:t xml:space="preserve"> </w:t>
      </w:r>
      <w:r>
        <w:t>plena</w:t>
      </w:r>
      <w:r>
        <w:rPr>
          <w:spacing w:val="-10"/>
        </w:rPr>
        <w:t xml:space="preserve"> </w:t>
      </w:r>
      <w:r>
        <w:t>en</w:t>
      </w:r>
      <w:r>
        <w:rPr>
          <w:spacing w:val="-11"/>
        </w:rPr>
        <w:t xml:space="preserve"> </w:t>
      </w:r>
      <w:r>
        <w:t>el</w:t>
      </w:r>
      <w:r>
        <w:rPr>
          <w:spacing w:val="-10"/>
        </w:rPr>
        <w:t xml:space="preserve"> </w:t>
      </w:r>
      <w:r>
        <w:t>cumplimiento</w:t>
      </w:r>
      <w:r>
        <w:rPr>
          <w:spacing w:val="-12"/>
        </w:rPr>
        <w:t xml:space="preserve"> </w:t>
      </w:r>
      <w:r>
        <w:t>de</w:t>
      </w:r>
      <w:r>
        <w:rPr>
          <w:spacing w:val="-10"/>
        </w:rPr>
        <w:t xml:space="preserve"> </w:t>
      </w:r>
      <w:r>
        <w:t>la</w:t>
      </w:r>
      <w:r>
        <w:rPr>
          <w:spacing w:val="-10"/>
        </w:rPr>
        <w:t xml:space="preserve"> </w:t>
      </w:r>
      <w:r>
        <w:t>función,</w:t>
      </w:r>
      <w:r>
        <w:rPr>
          <w:spacing w:val="-11"/>
        </w:rPr>
        <w:t xml:space="preserve"> </w:t>
      </w:r>
      <w:r>
        <w:t>pero</w:t>
      </w:r>
      <w:r>
        <w:rPr>
          <w:spacing w:val="-11"/>
        </w:rPr>
        <w:t xml:space="preserve"> </w:t>
      </w:r>
      <w:r>
        <w:t>incluyendo la jurisdicción militar propia. Esta responsabilidad no involucraría a la autoridad civil en la Presidencia de la República, sino exclusivamente a las Fuerzas Armadas:</w:t>
      </w:r>
    </w:p>
    <w:p w:rsidR="003804AC" w:rsidRDefault="00AF18A5" w:rsidP="00E62705">
      <w:r>
        <w:lastRenderedPageBreak/>
        <w:t>Si</w:t>
      </w:r>
      <w:r>
        <w:rPr>
          <w:spacing w:val="-2"/>
        </w:rPr>
        <w:t xml:space="preserve"> </w:t>
      </w:r>
      <w:r>
        <w:t>el</w:t>
      </w:r>
      <w:r>
        <w:rPr>
          <w:spacing w:val="-2"/>
        </w:rPr>
        <w:t xml:space="preserve"> </w:t>
      </w:r>
      <w:r>
        <w:t>Ejército,</w:t>
      </w:r>
      <w:r>
        <w:rPr>
          <w:spacing w:val="-1"/>
        </w:rPr>
        <w:t xml:space="preserve"> </w:t>
      </w:r>
      <w:r>
        <w:t>la</w:t>
      </w:r>
      <w:r>
        <w:rPr>
          <w:spacing w:val="-3"/>
        </w:rPr>
        <w:t xml:space="preserve"> </w:t>
      </w:r>
      <w:r>
        <w:t>Marina,</w:t>
      </w:r>
      <w:r>
        <w:rPr>
          <w:spacing w:val="-2"/>
        </w:rPr>
        <w:t xml:space="preserve"> </w:t>
      </w:r>
      <w:r>
        <w:t>la</w:t>
      </w:r>
      <w:r>
        <w:rPr>
          <w:spacing w:val="-1"/>
        </w:rPr>
        <w:t xml:space="preserve"> </w:t>
      </w:r>
      <w:r>
        <w:t>Aviación,</w:t>
      </w:r>
      <w:r>
        <w:rPr>
          <w:spacing w:val="-2"/>
        </w:rPr>
        <w:t xml:space="preserve"> </w:t>
      </w:r>
      <w:r>
        <w:t>la</w:t>
      </w:r>
      <w:r>
        <w:rPr>
          <w:spacing w:val="-1"/>
        </w:rPr>
        <w:t xml:space="preserve"> </w:t>
      </w:r>
      <w:r>
        <w:t>Policía</w:t>
      </w:r>
      <w:r>
        <w:rPr>
          <w:spacing w:val="-3"/>
        </w:rPr>
        <w:t xml:space="preserve"> </w:t>
      </w:r>
      <w:r>
        <w:t>se</w:t>
      </w:r>
      <w:r>
        <w:rPr>
          <w:spacing w:val="-1"/>
        </w:rPr>
        <w:t xml:space="preserve"> </w:t>
      </w:r>
      <w:r>
        <w:t>engrandecen,</w:t>
      </w:r>
      <w:r>
        <w:rPr>
          <w:spacing w:val="-2"/>
        </w:rPr>
        <w:t xml:space="preserve"> </w:t>
      </w:r>
      <w:r>
        <w:t>como</w:t>
      </w:r>
      <w:r>
        <w:rPr>
          <w:spacing w:val="-2"/>
        </w:rPr>
        <w:t xml:space="preserve"> </w:t>
      </w:r>
      <w:r>
        <w:t>yo</w:t>
      </w:r>
      <w:r>
        <w:rPr>
          <w:spacing w:val="-2"/>
        </w:rPr>
        <w:t xml:space="preserve"> </w:t>
      </w:r>
      <w:r>
        <w:t>creo</w:t>
      </w:r>
      <w:r>
        <w:rPr>
          <w:spacing w:val="-2"/>
        </w:rPr>
        <w:t xml:space="preserve"> </w:t>
      </w:r>
      <w:r>
        <w:t>que</w:t>
      </w:r>
      <w:r>
        <w:rPr>
          <w:spacing w:val="-3"/>
        </w:rPr>
        <w:t xml:space="preserve"> </w:t>
      </w:r>
      <w:r>
        <w:t>ocurrirá,</w:t>
      </w:r>
      <w:r>
        <w:rPr>
          <w:spacing w:val="-2"/>
        </w:rPr>
        <w:t xml:space="preserve"> </w:t>
      </w:r>
      <w:r>
        <w:t>si se hacen más dignas de la admiración y el respeto de los colombianos, será porque han adquirido por sí solas ese título, sin presión, intriga ni obstáculos por parte del Gobierno. Si fallan, será solo su culpa. Así entiendo yo el gran contrato recíproco entre el Gobierno civil y las Fuerzas Armadas</w:t>
      </w:r>
      <w:r w:rsidR="00E62705">
        <w:rPr>
          <w:rStyle w:val="Refdenotaalpie"/>
        </w:rPr>
        <w:footnoteReference w:id="740"/>
      </w:r>
      <w:r>
        <w:t>.</w:t>
      </w:r>
    </w:p>
    <w:p w:rsidR="003804AC" w:rsidRDefault="00AF18A5" w:rsidP="00147D75">
      <w:r>
        <w:t>La</w:t>
      </w:r>
      <w:r>
        <w:rPr>
          <w:spacing w:val="-5"/>
        </w:rPr>
        <w:t xml:space="preserve"> </w:t>
      </w:r>
      <w:r>
        <w:t>autonomía</w:t>
      </w:r>
      <w:r>
        <w:rPr>
          <w:spacing w:val="-5"/>
        </w:rPr>
        <w:t xml:space="preserve"> </w:t>
      </w:r>
      <w:r>
        <w:t>de</w:t>
      </w:r>
      <w:r>
        <w:rPr>
          <w:spacing w:val="-5"/>
        </w:rPr>
        <w:t xml:space="preserve"> </w:t>
      </w:r>
      <w:r>
        <w:t>los</w:t>
      </w:r>
      <w:r>
        <w:rPr>
          <w:spacing w:val="-6"/>
        </w:rPr>
        <w:t xml:space="preserve"> </w:t>
      </w:r>
      <w:r>
        <w:t>militares</w:t>
      </w:r>
      <w:r>
        <w:rPr>
          <w:spacing w:val="-6"/>
        </w:rPr>
        <w:t xml:space="preserve"> </w:t>
      </w:r>
      <w:r>
        <w:t>en</w:t>
      </w:r>
      <w:r>
        <w:rPr>
          <w:spacing w:val="-5"/>
        </w:rPr>
        <w:t xml:space="preserve"> </w:t>
      </w:r>
      <w:r>
        <w:t>el</w:t>
      </w:r>
      <w:r>
        <w:rPr>
          <w:spacing w:val="-6"/>
        </w:rPr>
        <w:t xml:space="preserve"> </w:t>
      </w:r>
      <w:r>
        <w:t>manejo</w:t>
      </w:r>
      <w:r>
        <w:rPr>
          <w:spacing w:val="-5"/>
        </w:rPr>
        <w:t xml:space="preserve"> </w:t>
      </w:r>
      <w:r>
        <w:t>del</w:t>
      </w:r>
      <w:r>
        <w:rPr>
          <w:spacing w:val="-4"/>
        </w:rPr>
        <w:t xml:space="preserve"> </w:t>
      </w:r>
      <w:r>
        <w:t>orden</w:t>
      </w:r>
      <w:r>
        <w:rPr>
          <w:spacing w:val="-5"/>
        </w:rPr>
        <w:t xml:space="preserve"> </w:t>
      </w:r>
      <w:r>
        <w:t>público</w:t>
      </w:r>
      <w:r>
        <w:rPr>
          <w:spacing w:val="-6"/>
        </w:rPr>
        <w:t xml:space="preserve"> </w:t>
      </w:r>
      <w:r>
        <w:t>se</w:t>
      </w:r>
      <w:r>
        <w:rPr>
          <w:spacing w:val="-5"/>
        </w:rPr>
        <w:t xml:space="preserve"> </w:t>
      </w:r>
      <w:r>
        <w:t>garantizaría,</w:t>
      </w:r>
      <w:r>
        <w:rPr>
          <w:spacing w:val="-5"/>
        </w:rPr>
        <w:t xml:space="preserve"> </w:t>
      </w:r>
      <w:r>
        <w:t>esencialmente, a través de medidas de estado de excepción. Desde 1958, hasta finales de los años ochenta, por medio de la declaratoria de estado de sitio, las Fuerzas Armadas y los organismos de seguridad del Estado ejercieron funciones civiles y judiciales; así, los militares fueron nombrados como alcaldes y gobernadores y el Gobierno les dio facultades para detener, investigar y juzgar a civiles en consejos verbales de guerra. Además, les concedió un fuero penal</w:t>
      </w:r>
      <w:r>
        <w:rPr>
          <w:spacing w:val="-9"/>
        </w:rPr>
        <w:t xml:space="preserve"> </w:t>
      </w:r>
      <w:r>
        <w:t>militar</w:t>
      </w:r>
      <w:r>
        <w:rPr>
          <w:spacing w:val="-10"/>
        </w:rPr>
        <w:t xml:space="preserve"> </w:t>
      </w:r>
      <w:r>
        <w:t>amplio</w:t>
      </w:r>
      <w:r>
        <w:rPr>
          <w:spacing w:val="-10"/>
        </w:rPr>
        <w:t xml:space="preserve"> </w:t>
      </w:r>
      <w:r>
        <w:t>que</w:t>
      </w:r>
      <w:r>
        <w:rPr>
          <w:spacing w:val="-11"/>
        </w:rPr>
        <w:t xml:space="preserve"> </w:t>
      </w:r>
      <w:r>
        <w:t>les</w:t>
      </w:r>
      <w:r>
        <w:rPr>
          <w:spacing w:val="-9"/>
        </w:rPr>
        <w:t xml:space="preserve"> </w:t>
      </w:r>
      <w:r>
        <w:t>permitió</w:t>
      </w:r>
      <w:r>
        <w:rPr>
          <w:spacing w:val="-10"/>
        </w:rPr>
        <w:t xml:space="preserve"> </w:t>
      </w:r>
      <w:r>
        <w:t>a</w:t>
      </w:r>
      <w:r>
        <w:rPr>
          <w:spacing w:val="-9"/>
        </w:rPr>
        <w:t xml:space="preserve"> </w:t>
      </w:r>
      <w:r>
        <w:t>los</w:t>
      </w:r>
      <w:r>
        <w:rPr>
          <w:spacing w:val="-10"/>
        </w:rPr>
        <w:t xml:space="preserve"> </w:t>
      </w:r>
      <w:r>
        <w:t>propios</w:t>
      </w:r>
      <w:r>
        <w:rPr>
          <w:spacing w:val="-11"/>
        </w:rPr>
        <w:t xml:space="preserve"> </w:t>
      </w:r>
      <w:r>
        <w:t>militares</w:t>
      </w:r>
      <w:r>
        <w:rPr>
          <w:spacing w:val="-9"/>
        </w:rPr>
        <w:t xml:space="preserve"> </w:t>
      </w:r>
      <w:r>
        <w:t>juzgar</w:t>
      </w:r>
      <w:r>
        <w:rPr>
          <w:spacing w:val="-9"/>
        </w:rPr>
        <w:t xml:space="preserve"> </w:t>
      </w:r>
      <w:r>
        <w:t>los</w:t>
      </w:r>
      <w:r>
        <w:rPr>
          <w:spacing w:val="-10"/>
        </w:rPr>
        <w:t xml:space="preserve"> </w:t>
      </w:r>
      <w:r>
        <w:t>posibles</w:t>
      </w:r>
      <w:r>
        <w:rPr>
          <w:spacing w:val="-9"/>
        </w:rPr>
        <w:t xml:space="preserve"> </w:t>
      </w:r>
      <w:r>
        <w:t>delitos</w:t>
      </w:r>
      <w:r>
        <w:rPr>
          <w:spacing w:val="-11"/>
        </w:rPr>
        <w:t xml:space="preserve"> </w:t>
      </w:r>
      <w:r>
        <w:t>de</w:t>
      </w:r>
      <w:r>
        <w:rPr>
          <w:spacing w:val="-9"/>
        </w:rPr>
        <w:t xml:space="preserve"> </w:t>
      </w:r>
      <w:r>
        <w:t>sus miembros, incluyendo violaciones de los derechos humanos, y contar legalmente con el apoyo de civiles armados que podían usar armas de guerra y colaborar con los organismos militares y de seguridad como informantes.</w:t>
      </w:r>
    </w:p>
    <w:p w:rsidR="0011361F" w:rsidRDefault="00AF18A5" w:rsidP="00E62705">
      <w:r>
        <w:t>La</w:t>
      </w:r>
      <w:r>
        <w:rPr>
          <w:spacing w:val="-5"/>
        </w:rPr>
        <w:t xml:space="preserve"> </w:t>
      </w:r>
      <w:r>
        <w:t>Policía,</w:t>
      </w:r>
      <w:r>
        <w:rPr>
          <w:spacing w:val="-5"/>
        </w:rPr>
        <w:t xml:space="preserve"> </w:t>
      </w:r>
      <w:r>
        <w:t>desde</w:t>
      </w:r>
      <w:r>
        <w:rPr>
          <w:spacing w:val="-5"/>
        </w:rPr>
        <w:t xml:space="preserve"> </w:t>
      </w:r>
      <w:r>
        <w:t>la</w:t>
      </w:r>
      <w:r>
        <w:rPr>
          <w:spacing w:val="-5"/>
        </w:rPr>
        <w:t xml:space="preserve"> </w:t>
      </w:r>
      <w:r>
        <w:t>década</w:t>
      </w:r>
      <w:r>
        <w:rPr>
          <w:spacing w:val="-5"/>
        </w:rPr>
        <w:t xml:space="preserve"> </w:t>
      </w:r>
      <w:r>
        <w:t>de</w:t>
      </w:r>
      <w:r>
        <w:rPr>
          <w:spacing w:val="-5"/>
        </w:rPr>
        <w:t xml:space="preserve"> </w:t>
      </w:r>
      <w:r>
        <w:t>1950,</w:t>
      </w:r>
      <w:r>
        <w:rPr>
          <w:spacing w:val="-5"/>
        </w:rPr>
        <w:t xml:space="preserve"> </w:t>
      </w:r>
      <w:r>
        <w:t>se</w:t>
      </w:r>
      <w:r>
        <w:rPr>
          <w:spacing w:val="-5"/>
        </w:rPr>
        <w:t xml:space="preserve"> </w:t>
      </w:r>
      <w:r>
        <w:t>militarizó</w:t>
      </w:r>
      <w:r>
        <w:rPr>
          <w:spacing w:val="-6"/>
        </w:rPr>
        <w:t xml:space="preserve"> </w:t>
      </w:r>
      <w:r>
        <w:t>cuando</w:t>
      </w:r>
      <w:r>
        <w:rPr>
          <w:spacing w:val="-5"/>
        </w:rPr>
        <w:t xml:space="preserve"> </w:t>
      </w:r>
      <w:r>
        <w:t>se</w:t>
      </w:r>
      <w:r>
        <w:rPr>
          <w:spacing w:val="-5"/>
        </w:rPr>
        <w:t xml:space="preserve"> </w:t>
      </w:r>
      <w:r>
        <w:t>puso</w:t>
      </w:r>
      <w:r>
        <w:rPr>
          <w:spacing w:val="-5"/>
        </w:rPr>
        <w:t xml:space="preserve"> </w:t>
      </w:r>
      <w:r>
        <w:t>a</w:t>
      </w:r>
      <w:r>
        <w:rPr>
          <w:spacing w:val="-5"/>
        </w:rPr>
        <w:t xml:space="preserve"> </w:t>
      </w:r>
      <w:r>
        <w:t>órdenes</w:t>
      </w:r>
      <w:r>
        <w:rPr>
          <w:spacing w:val="-5"/>
        </w:rPr>
        <w:t xml:space="preserve"> </w:t>
      </w:r>
      <w:r>
        <w:t>del</w:t>
      </w:r>
      <w:r>
        <w:rPr>
          <w:spacing w:val="-4"/>
        </w:rPr>
        <w:t xml:space="preserve"> </w:t>
      </w:r>
      <w:r>
        <w:t>Comando General</w:t>
      </w:r>
      <w:r>
        <w:rPr>
          <w:spacing w:val="5"/>
        </w:rPr>
        <w:t xml:space="preserve"> </w:t>
      </w:r>
      <w:r>
        <w:t>de</w:t>
      </w:r>
      <w:r>
        <w:rPr>
          <w:spacing w:val="7"/>
        </w:rPr>
        <w:t xml:space="preserve"> </w:t>
      </w:r>
      <w:r>
        <w:t>las</w:t>
      </w:r>
      <w:r>
        <w:rPr>
          <w:spacing w:val="7"/>
        </w:rPr>
        <w:t xml:space="preserve"> </w:t>
      </w:r>
      <w:r>
        <w:t>Fuerzas</w:t>
      </w:r>
      <w:r>
        <w:rPr>
          <w:spacing w:val="7"/>
        </w:rPr>
        <w:t xml:space="preserve"> </w:t>
      </w:r>
      <w:r>
        <w:t>Armadas,</w:t>
      </w:r>
      <w:r>
        <w:rPr>
          <w:spacing w:val="7"/>
        </w:rPr>
        <w:t xml:space="preserve"> </w:t>
      </w:r>
      <w:r>
        <w:t>al</w:t>
      </w:r>
      <w:r>
        <w:rPr>
          <w:spacing w:val="7"/>
        </w:rPr>
        <w:t xml:space="preserve"> </w:t>
      </w:r>
      <w:r>
        <w:t>tiempo</w:t>
      </w:r>
      <w:r>
        <w:rPr>
          <w:spacing w:val="7"/>
        </w:rPr>
        <w:t xml:space="preserve"> </w:t>
      </w:r>
      <w:r>
        <w:t>que</w:t>
      </w:r>
      <w:r>
        <w:rPr>
          <w:spacing w:val="7"/>
        </w:rPr>
        <w:t xml:space="preserve"> </w:t>
      </w:r>
      <w:r>
        <w:t>cumplía</w:t>
      </w:r>
      <w:r>
        <w:rPr>
          <w:spacing w:val="7"/>
        </w:rPr>
        <w:t xml:space="preserve"> </w:t>
      </w:r>
      <w:r>
        <w:t>funciones</w:t>
      </w:r>
      <w:r>
        <w:rPr>
          <w:spacing w:val="7"/>
        </w:rPr>
        <w:t xml:space="preserve"> </w:t>
      </w:r>
      <w:r>
        <w:t>de</w:t>
      </w:r>
      <w:r>
        <w:rPr>
          <w:spacing w:val="7"/>
        </w:rPr>
        <w:t xml:space="preserve"> </w:t>
      </w:r>
      <w:r>
        <w:t>seguridad</w:t>
      </w:r>
      <w:r>
        <w:rPr>
          <w:spacing w:val="8"/>
        </w:rPr>
        <w:t xml:space="preserve"> </w:t>
      </w:r>
      <w:r>
        <w:rPr>
          <w:spacing w:val="-2"/>
        </w:rPr>
        <w:t>ciudadana.</w:t>
      </w:r>
    </w:p>
    <w:p w:rsidR="003804AC" w:rsidRDefault="00AF18A5" w:rsidP="00E62705">
      <w:bookmarkStart w:id="930" w:name="_bookmark809"/>
      <w:bookmarkStart w:id="931" w:name="_bookmark810"/>
      <w:bookmarkStart w:id="932" w:name="_bookmark811"/>
      <w:bookmarkEnd w:id="930"/>
      <w:bookmarkEnd w:id="931"/>
      <w:bookmarkEnd w:id="932"/>
      <w:r>
        <w:t xml:space="preserve">La autonomía en el control del orden público y la concentración de facultades típicamente civiles en las Fuerzas Militares a través de las declaratorias de estado de sitio, derivaron en violaciones a derechos humanos, como detenciones arbitrarias, torturas, desapariciones </w:t>
      </w:r>
      <w:r>
        <w:lastRenderedPageBreak/>
        <w:t xml:space="preserve">forzadas y ejecuciones extrajudiciales, en el marco de la lucha </w:t>
      </w:r>
      <w:proofErr w:type="spellStart"/>
      <w:r>
        <w:t>contraguerrillera</w:t>
      </w:r>
      <w:proofErr w:type="spellEnd"/>
      <w:r>
        <w:t>, y así se desdibujó la división de poderes propios de una sociedad democrática, al concentrar los poderes en el ejecutivo y delegar en la justicia penal militar el juzgamiento de civiles.</w:t>
      </w:r>
    </w:p>
    <w:p w:rsidR="003804AC" w:rsidRDefault="00AF18A5" w:rsidP="00147D75">
      <w:r>
        <w:t>Los militares contaron con estructuras propias de inteligencia y con los organismos de inteligencia civiles: primero, el Servicio Nacional de Inteligencia (SIC), y luego, el Departamento Administrativo de Seguridad (DAS), aunque fuera de la estructura de las Fuerzas Armadas, también sirvieron funcionalmente a los intereses militares y estuvieron dirigidas mayoritariamente por miembros de las Fuerzas Armadas.</w:t>
      </w:r>
    </w:p>
    <w:p w:rsidR="003804AC" w:rsidRDefault="00AF18A5" w:rsidP="00147D75">
      <w:r>
        <w:t>En los años sesenta y setenta, se conformaron las principales guerrillas. Sin embargo, el Partido</w:t>
      </w:r>
      <w:r>
        <w:rPr>
          <w:spacing w:val="-5"/>
        </w:rPr>
        <w:t xml:space="preserve"> </w:t>
      </w:r>
      <w:r>
        <w:t>Revolucionario</w:t>
      </w:r>
      <w:r>
        <w:rPr>
          <w:spacing w:val="-6"/>
        </w:rPr>
        <w:t xml:space="preserve"> </w:t>
      </w:r>
      <w:r>
        <w:t>de</w:t>
      </w:r>
      <w:r>
        <w:rPr>
          <w:spacing w:val="-3"/>
        </w:rPr>
        <w:t xml:space="preserve"> </w:t>
      </w:r>
      <w:r>
        <w:t>los</w:t>
      </w:r>
      <w:r>
        <w:rPr>
          <w:spacing w:val="-4"/>
        </w:rPr>
        <w:t xml:space="preserve"> </w:t>
      </w:r>
      <w:r>
        <w:t>Trabajadores</w:t>
      </w:r>
      <w:r>
        <w:rPr>
          <w:spacing w:val="-4"/>
        </w:rPr>
        <w:t xml:space="preserve"> </w:t>
      </w:r>
      <w:r>
        <w:t>(PRT),</w:t>
      </w:r>
      <w:r>
        <w:rPr>
          <w:spacing w:val="-3"/>
        </w:rPr>
        <w:t xml:space="preserve"> </w:t>
      </w:r>
      <w:r>
        <w:t>el</w:t>
      </w:r>
      <w:r>
        <w:rPr>
          <w:spacing w:val="-4"/>
        </w:rPr>
        <w:t xml:space="preserve"> </w:t>
      </w:r>
      <w:r>
        <w:t>Ejército</w:t>
      </w:r>
      <w:r>
        <w:rPr>
          <w:spacing w:val="-3"/>
        </w:rPr>
        <w:t xml:space="preserve"> </w:t>
      </w:r>
      <w:r>
        <w:t>Popular</w:t>
      </w:r>
      <w:r>
        <w:rPr>
          <w:spacing w:val="-4"/>
        </w:rPr>
        <w:t xml:space="preserve"> </w:t>
      </w:r>
      <w:r>
        <w:t>de</w:t>
      </w:r>
      <w:r>
        <w:rPr>
          <w:spacing w:val="-4"/>
        </w:rPr>
        <w:t xml:space="preserve"> </w:t>
      </w:r>
      <w:r>
        <w:t>Liberación</w:t>
      </w:r>
      <w:r>
        <w:rPr>
          <w:spacing w:val="-6"/>
        </w:rPr>
        <w:t xml:space="preserve"> </w:t>
      </w:r>
      <w:r>
        <w:t>(EPL), el Movimiento 19 de Abril (M-19) y el Movimiento Armado Quintín Lame (MAQL) firmaron</w:t>
      </w:r>
      <w:r>
        <w:rPr>
          <w:spacing w:val="-9"/>
        </w:rPr>
        <w:t xml:space="preserve"> </w:t>
      </w:r>
      <w:r>
        <w:t>acuerdos</w:t>
      </w:r>
      <w:r>
        <w:rPr>
          <w:spacing w:val="-8"/>
        </w:rPr>
        <w:t xml:space="preserve"> </w:t>
      </w:r>
      <w:r>
        <w:t>de</w:t>
      </w:r>
      <w:r>
        <w:rPr>
          <w:spacing w:val="-8"/>
        </w:rPr>
        <w:t xml:space="preserve"> </w:t>
      </w:r>
      <w:r>
        <w:t>paz</w:t>
      </w:r>
      <w:r>
        <w:rPr>
          <w:spacing w:val="-9"/>
        </w:rPr>
        <w:t xml:space="preserve"> </w:t>
      </w:r>
      <w:r>
        <w:t>y</w:t>
      </w:r>
      <w:r>
        <w:rPr>
          <w:spacing w:val="-8"/>
        </w:rPr>
        <w:t xml:space="preserve"> </w:t>
      </w:r>
      <w:r>
        <w:t>se</w:t>
      </w:r>
      <w:r>
        <w:rPr>
          <w:spacing w:val="-9"/>
        </w:rPr>
        <w:t xml:space="preserve"> </w:t>
      </w:r>
      <w:r>
        <w:t>acogieron</w:t>
      </w:r>
      <w:r>
        <w:rPr>
          <w:spacing w:val="-8"/>
        </w:rPr>
        <w:t xml:space="preserve"> </w:t>
      </w:r>
      <w:r>
        <w:t>a</w:t>
      </w:r>
      <w:r>
        <w:rPr>
          <w:spacing w:val="-9"/>
        </w:rPr>
        <w:t xml:space="preserve"> </w:t>
      </w:r>
      <w:r>
        <w:t>la</w:t>
      </w:r>
      <w:r>
        <w:rPr>
          <w:spacing w:val="-8"/>
        </w:rPr>
        <w:t xml:space="preserve"> </w:t>
      </w:r>
      <w:r>
        <w:t>Constitución</w:t>
      </w:r>
      <w:r>
        <w:rPr>
          <w:spacing w:val="-8"/>
        </w:rPr>
        <w:t xml:space="preserve"> </w:t>
      </w:r>
      <w:r>
        <w:t>de</w:t>
      </w:r>
      <w:r>
        <w:rPr>
          <w:spacing w:val="-8"/>
        </w:rPr>
        <w:t xml:space="preserve"> </w:t>
      </w:r>
      <w:r>
        <w:t>1991.</w:t>
      </w:r>
      <w:r>
        <w:rPr>
          <w:spacing w:val="-8"/>
        </w:rPr>
        <w:t xml:space="preserve"> </w:t>
      </w:r>
      <w:r>
        <w:t>No</w:t>
      </w:r>
      <w:r>
        <w:rPr>
          <w:spacing w:val="-8"/>
        </w:rPr>
        <w:t xml:space="preserve"> </w:t>
      </w:r>
      <w:r>
        <w:t>ocurrió</w:t>
      </w:r>
      <w:r>
        <w:rPr>
          <w:spacing w:val="-10"/>
        </w:rPr>
        <w:t xml:space="preserve"> </w:t>
      </w:r>
      <w:r>
        <w:t>lo</w:t>
      </w:r>
      <w:r>
        <w:rPr>
          <w:spacing w:val="-9"/>
        </w:rPr>
        <w:t xml:space="preserve"> </w:t>
      </w:r>
      <w:r>
        <w:t>mismo</w:t>
      </w:r>
      <w:r>
        <w:rPr>
          <w:spacing w:val="-8"/>
        </w:rPr>
        <w:t xml:space="preserve"> </w:t>
      </w:r>
      <w:r>
        <w:t>con las</w:t>
      </w:r>
      <w:r>
        <w:rPr>
          <w:spacing w:val="-6"/>
        </w:rPr>
        <w:t xml:space="preserve"> </w:t>
      </w:r>
      <w:r>
        <w:t>FARC-EP</w:t>
      </w:r>
      <w:r>
        <w:rPr>
          <w:spacing w:val="-6"/>
        </w:rPr>
        <w:t xml:space="preserve"> </w:t>
      </w:r>
      <w:r>
        <w:t>y</w:t>
      </w:r>
      <w:r>
        <w:rPr>
          <w:spacing w:val="-6"/>
        </w:rPr>
        <w:t xml:space="preserve"> </w:t>
      </w:r>
      <w:r>
        <w:t>el</w:t>
      </w:r>
      <w:r>
        <w:rPr>
          <w:spacing w:val="-5"/>
        </w:rPr>
        <w:t xml:space="preserve"> </w:t>
      </w:r>
      <w:r>
        <w:t>Ejército</w:t>
      </w:r>
      <w:r>
        <w:rPr>
          <w:spacing w:val="-6"/>
        </w:rPr>
        <w:t xml:space="preserve"> </w:t>
      </w:r>
      <w:r>
        <w:t>de</w:t>
      </w:r>
      <w:r>
        <w:rPr>
          <w:spacing w:val="-6"/>
        </w:rPr>
        <w:t xml:space="preserve"> </w:t>
      </w:r>
      <w:r>
        <w:t>Liberación</w:t>
      </w:r>
      <w:r>
        <w:rPr>
          <w:spacing w:val="-6"/>
        </w:rPr>
        <w:t xml:space="preserve"> </w:t>
      </w:r>
      <w:r>
        <w:t>Nacional</w:t>
      </w:r>
      <w:r>
        <w:rPr>
          <w:spacing w:val="-5"/>
        </w:rPr>
        <w:t xml:space="preserve"> </w:t>
      </w:r>
      <w:r>
        <w:t>(ELN),</w:t>
      </w:r>
      <w:r>
        <w:rPr>
          <w:spacing w:val="-7"/>
        </w:rPr>
        <w:t xml:space="preserve"> </w:t>
      </w:r>
      <w:r>
        <w:t>las</w:t>
      </w:r>
      <w:r>
        <w:rPr>
          <w:spacing w:val="-6"/>
        </w:rPr>
        <w:t xml:space="preserve"> </w:t>
      </w:r>
      <w:r>
        <w:t>guerrillas</w:t>
      </w:r>
      <w:r>
        <w:rPr>
          <w:spacing w:val="-8"/>
        </w:rPr>
        <w:t xml:space="preserve"> </w:t>
      </w:r>
      <w:r>
        <w:t>más</w:t>
      </w:r>
      <w:r>
        <w:rPr>
          <w:spacing w:val="-6"/>
        </w:rPr>
        <w:t xml:space="preserve"> </w:t>
      </w:r>
      <w:r>
        <w:t>grandes,</w:t>
      </w:r>
      <w:r>
        <w:rPr>
          <w:spacing w:val="-6"/>
        </w:rPr>
        <w:t xml:space="preserve"> </w:t>
      </w:r>
      <w:r>
        <w:t>que</w:t>
      </w:r>
      <w:r>
        <w:rPr>
          <w:spacing w:val="-6"/>
        </w:rPr>
        <w:t xml:space="preserve"> </w:t>
      </w:r>
      <w:r>
        <w:t>se fortalecieron en los años noventa, cuando se inició en Colombia la fase más cruel del conflicto armado.</w:t>
      </w:r>
    </w:p>
    <w:p w:rsidR="003804AC" w:rsidRDefault="00AF18A5" w:rsidP="00147D75">
      <w:r>
        <w:t>En 1991, el presidente César Gaviria Trujillo nombró al primer civil como ministro de Defensa, Rafael Pardo Rueda, y desde entonces se abandonó la práctica de tener ministros de Defensa militares. Si bien esta decisión expresaba el interés de hacer prevalecer la autoridad civil sobre la militar en un contexto de esperanza y renovación, como lo fue el de la Constitución de 1991, este cambio no logró la prevalencia de la autoridad civil del Gobierno sobre las Fuerzas Militares, ni un cambio de mentalidad.</w:t>
      </w:r>
    </w:p>
    <w:p w:rsidR="003804AC" w:rsidRDefault="00AF18A5" w:rsidP="002146F6">
      <w:r>
        <w:lastRenderedPageBreak/>
        <w:t>A</w:t>
      </w:r>
      <w:r>
        <w:rPr>
          <w:spacing w:val="-4"/>
        </w:rPr>
        <w:t xml:space="preserve"> </w:t>
      </w:r>
      <w:r>
        <w:t>pesar</w:t>
      </w:r>
      <w:r>
        <w:rPr>
          <w:spacing w:val="-3"/>
        </w:rPr>
        <w:t xml:space="preserve"> </w:t>
      </w:r>
      <w:r>
        <w:t>de</w:t>
      </w:r>
      <w:r>
        <w:rPr>
          <w:spacing w:val="-3"/>
        </w:rPr>
        <w:t xml:space="preserve"> </w:t>
      </w:r>
      <w:r>
        <w:t>contar</w:t>
      </w:r>
      <w:r>
        <w:rPr>
          <w:spacing w:val="-3"/>
        </w:rPr>
        <w:t xml:space="preserve"> </w:t>
      </w:r>
      <w:r>
        <w:t>con</w:t>
      </w:r>
      <w:r>
        <w:rPr>
          <w:spacing w:val="-4"/>
        </w:rPr>
        <w:t xml:space="preserve"> </w:t>
      </w:r>
      <w:r>
        <w:t>el</w:t>
      </w:r>
      <w:r>
        <w:rPr>
          <w:spacing w:val="-4"/>
        </w:rPr>
        <w:t xml:space="preserve"> </w:t>
      </w:r>
      <w:r>
        <w:t>nuevo</w:t>
      </w:r>
      <w:r>
        <w:rPr>
          <w:spacing w:val="-4"/>
        </w:rPr>
        <w:t xml:space="preserve"> </w:t>
      </w:r>
      <w:r>
        <w:t>marco</w:t>
      </w:r>
      <w:r>
        <w:rPr>
          <w:spacing w:val="-4"/>
        </w:rPr>
        <w:t xml:space="preserve"> </w:t>
      </w:r>
      <w:r>
        <w:t>normativo</w:t>
      </w:r>
      <w:r>
        <w:rPr>
          <w:spacing w:val="-4"/>
        </w:rPr>
        <w:t xml:space="preserve"> </w:t>
      </w:r>
      <w:r>
        <w:t>fundacional</w:t>
      </w:r>
      <w:r>
        <w:rPr>
          <w:spacing w:val="-4"/>
        </w:rPr>
        <w:t xml:space="preserve"> </w:t>
      </w:r>
      <w:r>
        <w:t>de</w:t>
      </w:r>
      <w:r>
        <w:rPr>
          <w:spacing w:val="-3"/>
        </w:rPr>
        <w:t xml:space="preserve"> </w:t>
      </w:r>
      <w:r>
        <w:t>la</w:t>
      </w:r>
      <w:r>
        <w:rPr>
          <w:spacing w:val="-3"/>
        </w:rPr>
        <w:t xml:space="preserve"> </w:t>
      </w:r>
      <w:r>
        <w:t>Constitución</w:t>
      </w:r>
      <w:r>
        <w:rPr>
          <w:spacing w:val="-4"/>
        </w:rPr>
        <w:t xml:space="preserve"> </w:t>
      </w:r>
      <w:r>
        <w:t>de</w:t>
      </w:r>
      <w:r>
        <w:rPr>
          <w:spacing w:val="-3"/>
        </w:rPr>
        <w:t xml:space="preserve"> </w:t>
      </w:r>
      <w:r>
        <w:t>1991, el</w:t>
      </w:r>
      <w:r>
        <w:rPr>
          <w:spacing w:val="-1"/>
        </w:rPr>
        <w:t xml:space="preserve"> </w:t>
      </w:r>
      <w:r>
        <w:t>Gobierno</w:t>
      </w:r>
      <w:r>
        <w:rPr>
          <w:spacing w:val="-2"/>
        </w:rPr>
        <w:t xml:space="preserve"> </w:t>
      </w:r>
      <w:r>
        <w:t>siguió</w:t>
      </w:r>
      <w:r>
        <w:rPr>
          <w:spacing w:val="-1"/>
        </w:rPr>
        <w:t xml:space="preserve"> </w:t>
      </w:r>
      <w:r>
        <w:t>ofreciendo</w:t>
      </w:r>
      <w:r>
        <w:rPr>
          <w:spacing w:val="-1"/>
        </w:rPr>
        <w:t xml:space="preserve"> </w:t>
      </w:r>
      <w:r>
        <w:t>facultades</w:t>
      </w:r>
      <w:r>
        <w:rPr>
          <w:spacing w:val="-1"/>
        </w:rPr>
        <w:t xml:space="preserve"> </w:t>
      </w:r>
      <w:r>
        <w:t>a</w:t>
      </w:r>
      <w:r>
        <w:rPr>
          <w:spacing w:val="-1"/>
        </w:rPr>
        <w:t xml:space="preserve"> </w:t>
      </w:r>
      <w:r>
        <w:t>las</w:t>
      </w:r>
      <w:r>
        <w:rPr>
          <w:spacing w:val="-1"/>
        </w:rPr>
        <w:t xml:space="preserve"> </w:t>
      </w:r>
      <w:r>
        <w:t>Fuerzas</w:t>
      </w:r>
      <w:r>
        <w:rPr>
          <w:spacing w:val="-1"/>
        </w:rPr>
        <w:t xml:space="preserve"> </w:t>
      </w:r>
      <w:r>
        <w:t>Armadas</w:t>
      </w:r>
      <w:r>
        <w:rPr>
          <w:spacing w:val="-1"/>
        </w:rPr>
        <w:t xml:space="preserve"> </w:t>
      </w:r>
      <w:r>
        <w:t>en</w:t>
      </w:r>
      <w:r>
        <w:rPr>
          <w:spacing w:val="-1"/>
        </w:rPr>
        <w:t xml:space="preserve"> </w:t>
      </w:r>
      <w:r>
        <w:t>orden</w:t>
      </w:r>
      <w:r>
        <w:rPr>
          <w:spacing w:val="-1"/>
        </w:rPr>
        <w:t xml:space="preserve"> </w:t>
      </w:r>
      <w:r>
        <w:t>público,</w:t>
      </w:r>
      <w:r>
        <w:rPr>
          <w:spacing w:val="-1"/>
        </w:rPr>
        <w:t xml:space="preserve"> </w:t>
      </w:r>
      <w:r>
        <w:t>mediante nuevas</w:t>
      </w:r>
      <w:r>
        <w:rPr>
          <w:spacing w:val="-3"/>
        </w:rPr>
        <w:t xml:space="preserve"> </w:t>
      </w:r>
      <w:r>
        <w:t>figuras</w:t>
      </w:r>
      <w:r>
        <w:rPr>
          <w:spacing w:val="-3"/>
        </w:rPr>
        <w:t xml:space="preserve"> </w:t>
      </w:r>
      <w:r>
        <w:t>jurídicas,</w:t>
      </w:r>
      <w:r>
        <w:rPr>
          <w:spacing w:val="-6"/>
        </w:rPr>
        <w:t xml:space="preserve"> </w:t>
      </w:r>
      <w:r>
        <w:t>como</w:t>
      </w:r>
      <w:r>
        <w:rPr>
          <w:spacing w:val="-3"/>
        </w:rPr>
        <w:t xml:space="preserve"> </w:t>
      </w:r>
      <w:r>
        <w:t>el</w:t>
      </w:r>
      <w:r>
        <w:rPr>
          <w:spacing w:val="-3"/>
        </w:rPr>
        <w:t xml:space="preserve"> </w:t>
      </w:r>
      <w:r>
        <w:t>estado</w:t>
      </w:r>
      <w:r>
        <w:rPr>
          <w:spacing w:val="-3"/>
        </w:rPr>
        <w:t xml:space="preserve"> </w:t>
      </w:r>
      <w:r>
        <w:t>de</w:t>
      </w:r>
      <w:r>
        <w:rPr>
          <w:spacing w:val="-3"/>
        </w:rPr>
        <w:t xml:space="preserve"> </w:t>
      </w:r>
      <w:r>
        <w:t>conmoción</w:t>
      </w:r>
      <w:r>
        <w:rPr>
          <w:spacing w:val="-5"/>
        </w:rPr>
        <w:t xml:space="preserve"> </w:t>
      </w:r>
      <w:r>
        <w:t>interior,</w:t>
      </w:r>
      <w:r>
        <w:rPr>
          <w:spacing w:val="-3"/>
        </w:rPr>
        <w:t xml:space="preserve"> </w:t>
      </w:r>
      <w:r>
        <w:t>y</w:t>
      </w:r>
      <w:r>
        <w:rPr>
          <w:spacing w:val="-3"/>
        </w:rPr>
        <w:t xml:space="preserve"> </w:t>
      </w:r>
      <w:r>
        <w:t>otras</w:t>
      </w:r>
      <w:r>
        <w:rPr>
          <w:spacing w:val="-4"/>
        </w:rPr>
        <w:t xml:space="preserve"> </w:t>
      </w:r>
      <w:r>
        <w:t>muchas</w:t>
      </w:r>
      <w:r>
        <w:rPr>
          <w:spacing w:val="-3"/>
        </w:rPr>
        <w:t xml:space="preserve"> </w:t>
      </w:r>
      <w:r>
        <w:t>medidas</w:t>
      </w:r>
      <w:r>
        <w:rPr>
          <w:spacing w:val="-3"/>
        </w:rPr>
        <w:t xml:space="preserve"> </w:t>
      </w:r>
      <w:r>
        <w:t>que fueron</w:t>
      </w:r>
      <w:r>
        <w:rPr>
          <w:spacing w:val="-14"/>
        </w:rPr>
        <w:t xml:space="preserve"> </w:t>
      </w:r>
      <w:r>
        <w:t>declaradas</w:t>
      </w:r>
      <w:r>
        <w:rPr>
          <w:spacing w:val="-14"/>
        </w:rPr>
        <w:t xml:space="preserve"> </w:t>
      </w:r>
      <w:r>
        <w:t>inconstitucionales.</w:t>
      </w:r>
      <w:r>
        <w:rPr>
          <w:spacing w:val="-15"/>
        </w:rPr>
        <w:t xml:space="preserve"> </w:t>
      </w:r>
      <w:r>
        <w:t>Más</w:t>
      </w:r>
      <w:r>
        <w:rPr>
          <w:spacing w:val="-14"/>
        </w:rPr>
        <w:t xml:space="preserve"> </w:t>
      </w:r>
      <w:r>
        <w:t>adelante,</w:t>
      </w:r>
      <w:r>
        <w:rPr>
          <w:spacing w:val="-14"/>
        </w:rPr>
        <w:t xml:space="preserve"> </w:t>
      </w:r>
      <w:r>
        <w:t>se</w:t>
      </w:r>
      <w:r>
        <w:rPr>
          <w:spacing w:val="-14"/>
        </w:rPr>
        <w:t xml:space="preserve"> </w:t>
      </w:r>
      <w:r>
        <w:t>expidió</w:t>
      </w:r>
      <w:r>
        <w:rPr>
          <w:spacing w:val="-15"/>
        </w:rPr>
        <w:t xml:space="preserve"> </w:t>
      </w:r>
      <w:r>
        <w:t>la</w:t>
      </w:r>
      <w:r>
        <w:rPr>
          <w:spacing w:val="-14"/>
        </w:rPr>
        <w:t xml:space="preserve"> </w:t>
      </w:r>
      <w:r>
        <w:t>Ley</w:t>
      </w:r>
      <w:r>
        <w:rPr>
          <w:spacing w:val="-14"/>
        </w:rPr>
        <w:t xml:space="preserve"> </w:t>
      </w:r>
      <w:r>
        <w:t>de</w:t>
      </w:r>
      <w:r>
        <w:rPr>
          <w:spacing w:val="-14"/>
        </w:rPr>
        <w:t xml:space="preserve"> </w:t>
      </w:r>
      <w:r>
        <w:t>Seguridad</w:t>
      </w:r>
      <w:r>
        <w:rPr>
          <w:spacing w:val="-14"/>
        </w:rPr>
        <w:t xml:space="preserve"> </w:t>
      </w:r>
      <w:r>
        <w:t>Nacional, que</w:t>
      </w:r>
      <w:r>
        <w:rPr>
          <w:spacing w:val="54"/>
          <w:w w:val="150"/>
        </w:rPr>
        <w:t xml:space="preserve"> </w:t>
      </w:r>
      <w:r>
        <w:t>retomó</w:t>
      </w:r>
      <w:r>
        <w:rPr>
          <w:spacing w:val="53"/>
          <w:w w:val="150"/>
        </w:rPr>
        <w:t xml:space="preserve"> </w:t>
      </w:r>
      <w:r>
        <w:t>estas</w:t>
      </w:r>
      <w:r>
        <w:rPr>
          <w:spacing w:val="54"/>
          <w:w w:val="150"/>
        </w:rPr>
        <w:t xml:space="preserve"> </w:t>
      </w:r>
      <w:r>
        <w:t>facultades</w:t>
      </w:r>
      <w:r>
        <w:rPr>
          <w:spacing w:val="54"/>
          <w:w w:val="150"/>
        </w:rPr>
        <w:t xml:space="preserve"> </w:t>
      </w:r>
      <w:r>
        <w:t>y</w:t>
      </w:r>
      <w:r>
        <w:rPr>
          <w:spacing w:val="55"/>
          <w:w w:val="150"/>
        </w:rPr>
        <w:t xml:space="preserve"> </w:t>
      </w:r>
      <w:r>
        <w:t>militarizó</w:t>
      </w:r>
      <w:r>
        <w:rPr>
          <w:spacing w:val="54"/>
          <w:w w:val="150"/>
        </w:rPr>
        <w:t xml:space="preserve"> </w:t>
      </w:r>
      <w:r>
        <w:t>los</w:t>
      </w:r>
      <w:r>
        <w:rPr>
          <w:spacing w:val="54"/>
          <w:w w:val="150"/>
        </w:rPr>
        <w:t xml:space="preserve"> </w:t>
      </w:r>
      <w:r>
        <w:t>territorios,</w:t>
      </w:r>
      <w:r>
        <w:rPr>
          <w:spacing w:val="53"/>
          <w:w w:val="150"/>
        </w:rPr>
        <w:t xml:space="preserve"> </w:t>
      </w:r>
      <w:r>
        <w:t>pero</w:t>
      </w:r>
      <w:r>
        <w:rPr>
          <w:spacing w:val="54"/>
          <w:w w:val="150"/>
        </w:rPr>
        <w:t xml:space="preserve"> </w:t>
      </w:r>
      <w:r>
        <w:t>también</w:t>
      </w:r>
      <w:r>
        <w:rPr>
          <w:spacing w:val="54"/>
          <w:w w:val="150"/>
        </w:rPr>
        <w:t xml:space="preserve"> </w:t>
      </w:r>
      <w:r>
        <w:t>fue</w:t>
      </w:r>
      <w:r>
        <w:rPr>
          <w:spacing w:val="55"/>
          <w:w w:val="150"/>
        </w:rPr>
        <w:t xml:space="preserve"> </w:t>
      </w:r>
      <w:r>
        <w:rPr>
          <w:spacing w:val="-2"/>
        </w:rPr>
        <w:t>declarada</w:t>
      </w:r>
    </w:p>
    <w:p w:rsidR="003804AC" w:rsidRDefault="00AF18A5" w:rsidP="002146F6">
      <w:r>
        <w:t>inconstitucional.</w:t>
      </w:r>
      <w:r>
        <w:rPr>
          <w:spacing w:val="-7"/>
        </w:rPr>
        <w:t xml:space="preserve"> </w:t>
      </w:r>
      <w:r>
        <w:t>En</w:t>
      </w:r>
      <w:r>
        <w:rPr>
          <w:spacing w:val="-7"/>
        </w:rPr>
        <w:t xml:space="preserve"> </w:t>
      </w:r>
      <w:r>
        <w:t>2003,</w:t>
      </w:r>
      <w:r>
        <w:rPr>
          <w:spacing w:val="-7"/>
        </w:rPr>
        <w:t xml:space="preserve"> </w:t>
      </w:r>
      <w:r>
        <w:t>se</w:t>
      </w:r>
      <w:r>
        <w:rPr>
          <w:spacing w:val="-7"/>
        </w:rPr>
        <w:t xml:space="preserve"> </w:t>
      </w:r>
      <w:r>
        <w:t>intentó</w:t>
      </w:r>
      <w:r>
        <w:rPr>
          <w:spacing w:val="-8"/>
        </w:rPr>
        <w:t xml:space="preserve"> </w:t>
      </w:r>
      <w:r>
        <w:t>reformar</w:t>
      </w:r>
      <w:r>
        <w:rPr>
          <w:spacing w:val="-7"/>
        </w:rPr>
        <w:t xml:space="preserve"> </w:t>
      </w:r>
      <w:r>
        <w:t>la</w:t>
      </w:r>
      <w:r>
        <w:rPr>
          <w:spacing w:val="-8"/>
        </w:rPr>
        <w:t xml:space="preserve"> </w:t>
      </w:r>
      <w:r>
        <w:t>Constitución</w:t>
      </w:r>
      <w:r>
        <w:rPr>
          <w:spacing w:val="-8"/>
        </w:rPr>
        <w:t xml:space="preserve"> </w:t>
      </w:r>
      <w:r>
        <w:t>con</w:t>
      </w:r>
      <w:r>
        <w:rPr>
          <w:spacing w:val="-7"/>
        </w:rPr>
        <w:t xml:space="preserve"> </w:t>
      </w:r>
      <w:r>
        <w:t>la</w:t>
      </w:r>
      <w:r>
        <w:rPr>
          <w:spacing w:val="-7"/>
        </w:rPr>
        <w:t xml:space="preserve"> </w:t>
      </w:r>
      <w:r>
        <w:t>aprobación</w:t>
      </w:r>
      <w:r>
        <w:rPr>
          <w:spacing w:val="-7"/>
        </w:rPr>
        <w:t xml:space="preserve"> </w:t>
      </w:r>
      <w:r>
        <w:t>del</w:t>
      </w:r>
      <w:r>
        <w:rPr>
          <w:spacing w:val="-8"/>
        </w:rPr>
        <w:t xml:space="preserve"> </w:t>
      </w:r>
      <w:r>
        <w:t>llamado Estatuto Antiterrorista, opción que también fue rechazada en la Corte Constitucional.</w:t>
      </w:r>
    </w:p>
    <w:p w:rsidR="003804AC" w:rsidRDefault="00AF18A5" w:rsidP="002146F6">
      <w:r>
        <w:t>Particularmente,</w:t>
      </w:r>
      <w:r>
        <w:rPr>
          <w:spacing w:val="-6"/>
        </w:rPr>
        <w:t xml:space="preserve"> </w:t>
      </w:r>
      <w:r>
        <w:t>con</w:t>
      </w:r>
      <w:r>
        <w:rPr>
          <w:spacing w:val="-6"/>
        </w:rPr>
        <w:t xml:space="preserve"> </w:t>
      </w:r>
      <w:r>
        <w:t>la</w:t>
      </w:r>
      <w:r>
        <w:rPr>
          <w:spacing w:val="-6"/>
        </w:rPr>
        <w:t xml:space="preserve"> </w:t>
      </w:r>
      <w:r>
        <w:t>política</w:t>
      </w:r>
      <w:r>
        <w:rPr>
          <w:spacing w:val="-6"/>
        </w:rPr>
        <w:t xml:space="preserve"> </w:t>
      </w:r>
      <w:r>
        <w:t>de</w:t>
      </w:r>
      <w:r>
        <w:rPr>
          <w:spacing w:val="-6"/>
        </w:rPr>
        <w:t xml:space="preserve"> </w:t>
      </w:r>
      <w:r>
        <w:t>Seguridad</w:t>
      </w:r>
      <w:r>
        <w:rPr>
          <w:spacing w:val="-6"/>
        </w:rPr>
        <w:t xml:space="preserve"> </w:t>
      </w:r>
      <w:r>
        <w:t>Democrática,</w:t>
      </w:r>
      <w:r>
        <w:rPr>
          <w:spacing w:val="-6"/>
        </w:rPr>
        <w:t xml:space="preserve"> </w:t>
      </w:r>
      <w:r>
        <w:t>entre</w:t>
      </w:r>
      <w:r>
        <w:rPr>
          <w:spacing w:val="-6"/>
        </w:rPr>
        <w:t xml:space="preserve"> </w:t>
      </w:r>
      <w:r>
        <w:t>el</w:t>
      </w:r>
      <w:r>
        <w:rPr>
          <w:spacing w:val="-6"/>
        </w:rPr>
        <w:t xml:space="preserve"> </w:t>
      </w:r>
      <w:r>
        <w:t>2002</w:t>
      </w:r>
      <w:r>
        <w:rPr>
          <w:spacing w:val="-7"/>
        </w:rPr>
        <w:t xml:space="preserve"> </w:t>
      </w:r>
      <w:r>
        <w:t>y</w:t>
      </w:r>
      <w:r>
        <w:rPr>
          <w:spacing w:val="-6"/>
        </w:rPr>
        <w:t xml:space="preserve"> </w:t>
      </w:r>
      <w:r>
        <w:t>el</w:t>
      </w:r>
      <w:r>
        <w:rPr>
          <w:spacing w:val="-6"/>
        </w:rPr>
        <w:t xml:space="preserve"> </w:t>
      </w:r>
      <w:r>
        <w:t>2010,</w:t>
      </w:r>
      <w:r>
        <w:rPr>
          <w:spacing w:val="-6"/>
        </w:rPr>
        <w:t xml:space="preserve"> </w:t>
      </w:r>
      <w:r>
        <w:t>desde la Presidencia de la República se lideró una estrategia fuerte de militarización y guerra con amplias</w:t>
      </w:r>
      <w:r>
        <w:rPr>
          <w:spacing w:val="-5"/>
        </w:rPr>
        <w:t xml:space="preserve"> </w:t>
      </w:r>
      <w:r>
        <w:t>facultades</w:t>
      </w:r>
      <w:r>
        <w:rPr>
          <w:spacing w:val="-5"/>
        </w:rPr>
        <w:t xml:space="preserve"> </w:t>
      </w:r>
      <w:r>
        <w:t>para</w:t>
      </w:r>
      <w:r>
        <w:rPr>
          <w:spacing w:val="-6"/>
        </w:rPr>
        <w:t xml:space="preserve"> </w:t>
      </w:r>
      <w:r>
        <w:t>las</w:t>
      </w:r>
      <w:r>
        <w:rPr>
          <w:spacing w:val="-5"/>
        </w:rPr>
        <w:t xml:space="preserve"> </w:t>
      </w:r>
      <w:r>
        <w:t>Fuerzas</w:t>
      </w:r>
      <w:r>
        <w:rPr>
          <w:spacing w:val="-6"/>
        </w:rPr>
        <w:t xml:space="preserve"> </w:t>
      </w:r>
      <w:r>
        <w:t>Armadas.</w:t>
      </w:r>
      <w:r>
        <w:rPr>
          <w:spacing w:val="-5"/>
        </w:rPr>
        <w:t xml:space="preserve"> </w:t>
      </w:r>
      <w:r>
        <w:t>En</w:t>
      </w:r>
      <w:r>
        <w:rPr>
          <w:spacing w:val="-5"/>
        </w:rPr>
        <w:t xml:space="preserve"> </w:t>
      </w:r>
      <w:r>
        <w:t>todos</w:t>
      </w:r>
      <w:r>
        <w:rPr>
          <w:spacing w:val="-5"/>
        </w:rPr>
        <w:t xml:space="preserve"> </w:t>
      </w:r>
      <w:r>
        <w:t>esos</w:t>
      </w:r>
      <w:r>
        <w:rPr>
          <w:spacing w:val="-6"/>
        </w:rPr>
        <w:t xml:space="preserve"> </w:t>
      </w:r>
      <w:r>
        <w:t>años</w:t>
      </w:r>
      <w:r>
        <w:rPr>
          <w:spacing w:val="-5"/>
        </w:rPr>
        <w:t xml:space="preserve"> </w:t>
      </w:r>
      <w:r>
        <w:t>fue</w:t>
      </w:r>
      <w:r>
        <w:rPr>
          <w:spacing w:val="-5"/>
        </w:rPr>
        <w:t xml:space="preserve"> </w:t>
      </w:r>
      <w:r>
        <w:t>evidente</w:t>
      </w:r>
      <w:r>
        <w:rPr>
          <w:spacing w:val="-5"/>
        </w:rPr>
        <w:t xml:space="preserve"> </w:t>
      </w:r>
      <w:r>
        <w:t>la</w:t>
      </w:r>
      <w:r>
        <w:rPr>
          <w:spacing w:val="-6"/>
        </w:rPr>
        <w:t xml:space="preserve"> </w:t>
      </w:r>
      <w:r>
        <w:t>tendencia</w:t>
      </w:r>
      <w:r>
        <w:rPr>
          <w:spacing w:val="-5"/>
        </w:rPr>
        <w:t xml:space="preserve"> </w:t>
      </w:r>
      <w:r>
        <w:t>a reforzar las competencias militares en materia de orden público y las garantías para su funcionamiento autónomo, aunque el país contaba con más garantías, como el papel de la Corte de Constitucionalidad, que limitó esos intentos al amparo de la Constitución.</w:t>
      </w:r>
    </w:p>
    <w:p w:rsidR="003804AC" w:rsidRDefault="00AF18A5" w:rsidP="002146F6">
      <w:r>
        <w:t>Entre 2012 y 2016 se combinó la acción militar con un proceso de negociación política que condujo a la firma del Acuerdo de Paz con las FARC-EP y se trató de involucrar a los militares</w:t>
      </w:r>
      <w:r>
        <w:rPr>
          <w:spacing w:val="-4"/>
        </w:rPr>
        <w:t xml:space="preserve"> </w:t>
      </w:r>
      <w:r>
        <w:t>en</w:t>
      </w:r>
      <w:r>
        <w:rPr>
          <w:spacing w:val="-6"/>
        </w:rPr>
        <w:t xml:space="preserve"> </w:t>
      </w:r>
      <w:r>
        <w:t>el</w:t>
      </w:r>
      <w:r>
        <w:rPr>
          <w:spacing w:val="-4"/>
        </w:rPr>
        <w:t xml:space="preserve"> </w:t>
      </w:r>
      <w:r>
        <w:t>proceso</w:t>
      </w:r>
      <w:r>
        <w:rPr>
          <w:spacing w:val="-5"/>
        </w:rPr>
        <w:t xml:space="preserve"> </w:t>
      </w:r>
      <w:r>
        <w:t>de</w:t>
      </w:r>
      <w:r>
        <w:rPr>
          <w:spacing w:val="-4"/>
        </w:rPr>
        <w:t xml:space="preserve"> </w:t>
      </w:r>
      <w:r>
        <w:t>negociación.</w:t>
      </w:r>
      <w:r>
        <w:rPr>
          <w:spacing w:val="-5"/>
        </w:rPr>
        <w:t xml:space="preserve"> </w:t>
      </w:r>
      <w:r>
        <w:t>Si</w:t>
      </w:r>
      <w:r>
        <w:rPr>
          <w:spacing w:val="-4"/>
        </w:rPr>
        <w:t xml:space="preserve"> </w:t>
      </w:r>
      <w:r>
        <w:t>bien</w:t>
      </w:r>
      <w:r>
        <w:rPr>
          <w:spacing w:val="-5"/>
        </w:rPr>
        <w:t xml:space="preserve"> </w:t>
      </w:r>
      <w:r>
        <w:t>eso</w:t>
      </w:r>
      <w:r>
        <w:rPr>
          <w:spacing w:val="-5"/>
        </w:rPr>
        <w:t xml:space="preserve"> </w:t>
      </w:r>
      <w:r>
        <w:t>tuvo</w:t>
      </w:r>
      <w:r>
        <w:rPr>
          <w:spacing w:val="-5"/>
        </w:rPr>
        <w:t xml:space="preserve"> </w:t>
      </w:r>
      <w:r>
        <w:t>resultados</w:t>
      </w:r>
      <w:r>
        <w:rPr>
          <w:spacing w:val="-4"/>
        </w:rPr>
        <w:t xml:space="preserve"> </w:t>
      </w:r>
      <w:r>
        <w:t>positivos,</w:t>
      </w:r>
      <w:r>
        <w:rPr>
          <w:spacing w:val="-5"/>
        </w:rPr>
        <w:t xml:space="preserve"> </w:t>
      </w:r>
      <w:r>
        <w:t>posteriormente las</w:t>
      </w:r>
      <w:r>
        <w:rPr>
          <w:spacing w:val="-6"/>
        </w:rPr>
        <w:t xml:space="preserve"> </w:t>
      </w:r>
      <w:r>
        <w:t>críticas</w:t>
      </w:r>
      <w:r>
        <w:rPr>
          <w:spacing w:val="-6"/>
        </w:rPr>
        <w:t xml:space="preserve"> </w:t>
      </w:r>
      <w:r>
        <w:t>al</w:t>
      </w:r>
      <w:r>
        <w:rPr>
          <w:spacing w:val="-6"/>
        </w:rPr>
        <w:t xml:space="preserve"> </w:t>
      </w:r>
      <w:r>
        <w:t>proceso</w:t>
      </w:r>
      <w:r>
        <w:rPr>
          <w:spacing w:val="-6"/>
        </w:rPr>
        <w:t xml:space="preserve"> </w:t>
      </w:r>
      <w:r>
        <w:t>vinieron</w:t>
      </w:r>
      <w:r>
        <w:rPr>
          <w:spacing w:val="-6"/>
        </w:rPr>
        <w:t xml:space="preserve"> </w:t>
      </w:r>
      <w:r>
        <w:t>de</w:t>
      </w:r>
      <w:r>
        <w:rPr>
          <w:spacing w:val="-6"/>
        </w:rPr>
        <w:t xml:space="preserve"> </w:t>
      </w:r>
      <w:r>
        <w:t>los</w:t>
      </w:r>
      <w:r>
        <w:rPr>
          <w:spacing w:val="-6"/>
        </w:rPr>
        <w:t xml:space="preserve"> </w:t>
      </w:r>
      <w:r>
        <w:t>mismos</w:t>
      </w:r>
      <w:r>
        <w:rPr>
          <w:spacing w:val="-6"/>
        </w:rPr>
        <w:t xml:space="preserve"> </w:t>
      </w:r>
      <w:r>
        <w:t>sectores</w:t>
      </w:r>
      <w:r>
        <w:rPr>
          <w:spacing w:val="-6"/>
        </w:rPr>
        <w:t xml:space="preserve"> </w:t>
      </w:r>
      <w:r>
        <w:t>de</w:t>
      </w:r>
      <w:r>
        <w:rPr>
          <w:spacing w:val="-7"/>
        </w:rPr>
        <w:t xml:space="preserve"> </w:t>
      </w:r>
      <w:r>
        <w:t>la</w:t>
      </w:r>
      <w:r>
        <w:rPr>
          <w:spacing w:val="-6"/>
        </w:rPr>
        <w:t xml:space="preserve"> </w:t>
      </w:r>
      <w:r>
        <w:t>fuerza</w:t>
      </w:r>
      <w:r>
        <w:rPr>
          <w:spacing w:val="-6"/>
        </w:rPr>
        <w:t xml:space="preserve"> </w:t>
      </w:r>
      <w:r>
        <w:t>pública</w:t>
      </w:r>
      <w:r>
        <w:rPr>
          <w:spacing w:val="-6"/>
        </w:rPr>
        <w:t xml:space="preserve"> </w:t>
      </w:r>
      <w:r>
        <w:t>involucrados.</w:t>
      </w:r>
      <w:r>
        <w:rPr>
          <w:spacing w:val="-6"/>
        </w:rPr>
        <w:t xml:space="preserve"> </w:t>
      </w:r>
      <w:r>
        <w:t>Por otra parte, el Gobierno no aceptó que se discutiera en el Acuerdo de Paz el papel de las Fuerzas Armadas, lo que constituyó una línea «roja» de la negociación.</w:t>
      </w:r>
    </w:p>
    <w:p w:rsidR="003804AC" w:rsidRDefault="00AF18A5" w:rsidP="002146F6">
      <w:r>
        <w:t xml:space="preserve">Ahora bien, la relación entre la autoridad civil del presidente y las </w:t>
      </w:r>
      <w:r>
        <w:lastRenderedPageBreak/>
        <w:t>Fuerzas Militares ha sufrido tensiones, especialmente en momentos de apertura democrática y construcción de paz, en las que sectores de las Fuerzas Armadas se han resistido a las reformas, como en la cuestión</w:t>
      </w:r>
      <w:r>
        <w:rPr>
          <w:spacing w:val="-13"/>
        </w:rPr>
        <w:t xml:space="preserve"> </w:t>
      </w:r>
      <w:r>
        <w:t>agraria,</w:t>
      </w:r>
      <w:r>
        <w:rPr>
          <w:spacing w:val="-13"/>
        </w:rPr>
        <w:t xml:space="preserve"> </w:t>
      </w:r>
      <w:r>
        <w:t>en</w:t>
      </w:r>
      <w:r>
        <w:rPr>
          <w:spacing w:val="-13"/>
        </w:rPr>
        <w:t xml:space="preserve"> </w:t>
      </w:r>
      <w:r>
        <w:t>ciertos</w:t>
      </w:r>
      <w:r>
        <w:rPr>
          <w:spacing w:val="-13"/>
        </w:rPr>
        <w:t xml:space="preserve"> </w:t>
      </w:r>
      <w:r>
        <w:t>momentos,</w:t>
      </w:r>
      <w:r>
        <w:rPr>
          <w:spacing w:val="-13"/>
        </w:rPr>
        <w:t xml:space="preserve"> </w:t>
      </w:r>
      <w:r>
        <w:t>o</w:t>
      </w:r>
      <w:r>
        <w:rPr>
          <w:spacing w:val="-13"/>
        </w:rPr>
        <w:t xml:space="preserve"> </w:t>
      </w:r>
      <w:r>
        <w:t>los</w:t>
      </w:r>
      <w:r>
        <w:rPr>
          <w:spacing w:val="-13"/>
        </w:rPr>
        <w:t xml:space="preserve"> </w:t>
      </w:r>
      <w:r>
        <w:t>procesos</w:t>
      </w:r>
      <w:r>
        <w:rPr>
          <w:spacing w:val="-13"/>
        </w:rPr>
        <w:t xml:space="preserve"> </w:t>
      </w:r>
      <w:r>
        <w:t>de</w:t>
      </w:r>
      <w:r>
        <w:rPr>
          <w:spacing w:val="-13"/>
        </w:rPr>
        <w:t xml:space="preserve"> </w:t>
      </w:r>
      <w:r>
        <w:t>negociación</w:t>
      </w:r>
      <w:r>
        <w:rPr>
          <w:spacing w:val="-13"/>
        </w:rPr>
        <w:t xml:space="preserve"> </w:t>
      </w:r>
      <w:r>
        <w:t>que</w:t>
      </w:r>
      <w:r>
        <w:rPr>
          <w:spacing w:val="-13"/>
        </w:rPr>
        <w:t xml:space="preserve"> </w:t>
      </w:r>
      <w:r>
        <w:t>se</w:t>
      </w:r>
      <w:r>
        <w:rPr>
          <w:spacing w:val="-13"/>
        </w:rPr>
        <w:t xml:space="preserve"> </w:t>
      </w:r>
      <w:r>
        <w:t>trataron</w:t>
      </w:r>
      <w:r>
        <w:rPr>
          <w:spacing w:val="-13"/>
        </w:rPr>
        <w:t xml:space="preserve"> </w:t>
      </w:r>
      <w:r>
        <w:t>de</w:t>
      </w:r>
      <w:r>
        <w:rPr>
          <w:spacing w:val="-13"/>
        </w:rPr>
        <w:t xml:space="preserve"> </w:t>
      </w:r>
      <w:r>
        <w:t>poner en</w:t>
      </w:r>
      <w:r>
        <w:rPr>
          <w:spacing w:val="-14"/>
        </w:rPr>
        <w:t xml:space="preserve"> </w:t>
      </w:r>
      <w:r>
        <w:t>marcha,</w:t>
      </w:r>
      <w:r>
        <w:rPr>
          <w:spacing w:val="-15"/>
        </w:rPr>
        <w:t xml:space="preserve"> </w:t>
      </w:r>
      <w:r>
        <w:t>en</w:t>
      </w:r>
      <w:r>
        <w:rPr>
          <w:spacing w:val="-14"/>
        </w:rPr>
        <w:t xml:space="preserve"> </w:t>
      </w:r>
      <w:r>
        <w:t>otros.</w:t>
      </w:r>
      <w:r>
        <w:rPr>
          <w:spacing w:val="-15"/>
        </w:rPr>
        <w:t xml:space="preserve"> </w:t>
      </w:r>
      <w:r>
        <w:t>Algunos</w:t>
      </w:r>
      <w:r>
        <w:rPr>
          <w:spacing w:val="-14"/>
        </w:rPr>
        <w:t xml:space="preserve"> </w:t>
      </w:r>
      <w:r>
        <w:t>ejemplos</w:t>
      </w:r>
      <w:r>
        <w:rPr>
          <w:spacing w:val="-14"/>
        </w:rPr>
        <w:t xml:space="preserve"> </w:t>
      </w:r>
      <w:r>
        <w:t>de</w:t>
      </w:r>
      <w:r>
        <w:rPr>
          <w:spacing w:val="-15"/>
        </w:rPr>
        <w:t xml:space="preserve"> </w:t>
      </w:r>
      <w:r>
        <w:t>esta</w:t>
      </w:r>
      <w:r>
        <w:rPr>
          <w:spacing w:val="-15"/>
        </w:rPr>
        <w:t xml:space="preserve"> </w:t>
      </w:r>
      <w:r>
        <w:t>tensión</w:t>
      </w:r>
      <w:r>
        <w:rPr>
          <w:spacing w:val="-14"/>
        </w:rPr>
        <w:t xml:space="preserve"> </w:t>
      </w:r>
      <w:r>
        <w:t>fueron,</w:t>
      </w:r>
      <w:r>
        <w:rPr>
          <w:spacing w:val="-14"/>
        </w:rPr>
        <w:t xml:space="preserve"> </w:t>
      </w:r>
      <w:r>
        <w:t>en</w:t>
      </w:r>
      <w:r>
        <w:rPr>
          <w:spacing w:val="-14"/>
        </w:rPr>
        <w:t xml:space="preserve"> </w:t>
      </w:r>
      <w:r>
        <w:t>primer</w:t>
      </w:r>
      <w:r>
        <w:rPr>
          <w:spacing w:val="-15"/>
        </w:rPr>
        <w:t xml:space="preserve"> </w:t>
      </w:r>
      <w:r>
        <w:t>lugar,</w:t>
      </w:r>
      <w:r>
        <w:rPr>
          <w:spacing w:val="-15"/>
        </w:rPr>
        <w:t xml:space="preserve"> </w:t>
      </w:r>
      <w:r>
        <w:t>la</w:t>
      </w:r>
      <w:r>
        <w:rPr>
          <w:spacing w:val="-14"/>
        </w:rPr>
        <w:t xml:space="preserve"> </w:t>
      </w:r>
      <w:r>
        <w:t>persecución de</w:t>
      </w:r>
      <w:r>
        <w:rPr>
          <w:spacing w:val="-7"/>
        </w:rPr>
        <w:t xml:space="preserve"> </w:t>
      </w:r>
      <w:r>
        <w:t>la</w:t>
      </w:r>
      <w:r>
        <w:rPr>
          <w:spacing w:val="-7"/>
        </w:rPr>
        <w:t xml:space="preserve"> </w:t>
      </w:r>
      <w:r>
        <w:t>Alianza</w:t>
      </w:r>
      <w:r>
        <w:rPr>
          <w:spacing w:val="-7"/>
        </w:rPr>
        <w:t xml:space="preserve"> </w:t>
      </w:r>
      <w:r>
        <w:t>Nacional</w:t>
      </w:r>
      <w:r>
        <w:rPr>
          <w:spacing w:val="-7"/>
        </w:rPr>
        <w:t xml:space="preserve"> </w:t>
      </w:r>
      <w:r>
        <w:t>de</w:t>
      </w:r>
      <w:r>
        <w:rPr>
          <w:spacing w:val="-7"/>
        </w:rPr>
        <w:t xml:space="preserve"> </w:t>
      </w:r>
      <w:r>
        <w:t>Usuarios</w:t>
      </w:r>
      <w:r>
        <w:rPr>
          <w:spacing w:val="-7"/>
        </w:rPr>
        <w:t xml:space="preserve"> </w:t>
      </w:r>
      <w:r>
        <w:t>Campesinos</w:t>
      </w:r>
      <w:r>
        <w:rPr>
          <w:spacing w:val="-8"/>
        </w:rPr>
        <w:t xml:space="preserve"> </w:t>
      </w:r>
      <w:r>
        <w:t>(ANUC),</w:t>
      </w:r>
      <w:r>
        <w:rPr>
          <w:spacing w:val="-7"/>
        </w:rPr>
        <w:t xml:space="preserve"> </w:t>
      </w:r>
      <w:r>
        <w:t>que</w:t>
      </w:r>
      <w:r>
        <w:rPr>
          <w:spacing w:val="-7"/>
        </w:rPr>
        <w:t xml:space="preserve"> </w:t>
      </w:r>
      <w:r>
        <w:t>había</w:t>
      </w:r>
      <w:r>
        <w:rPr>
          <w:spacing w:val="-7"/>
        </w:rPr>
        <w:t xml:space="preserve"> </w:t>
      </w:r>
      <w:r>
        <w:t>sido</w:t>
      </w:r>
      <w:r>
        <w:rPr>
          <w:spacing w:val="-7"/>
        </w:rPr>
        <w:t xml:space="preserve"> </w:t>
      </w:r>
      <w:r>
        <w:t>creada</w:t>
      </w:r>
      <w:r>
        <w:rPr>
          <w:spacing w:val="-7"/>
        </w:rPr>
        <w:t xml:space="preserve"> </w:t>
      </w:r>
      <w:r>
        <w:t>en</w:t>
      </w:r>
      <w:r>
        <w:rPr>
          <w:spacing w:val="-7"/>
        </w:rPr>
        <w:t xml:space="preserve"> </w:t>
      </w:r>
      <w:r>
        <w:t>el</w:t>
      </w:r>
      <w:r>
        <w:rPr>
          <w:spacing w:val="-7"/>
        </w:rPr>
        <w:t xml:space="preserve"> </w:t>
      </w:r>
      <w:r>
        <w:t>marco de un proceso de reforma agraria emprendida por el Gobierno liberal de Carlos Lleras Restrepo en 1970, pero que sería duramente reprimida por las Fuerzas Armadas durante el Gobierno de Misael Pastrana Borrero.</w:t>
      </w:r>
    </w:p>
    <w:p w:rsidR="003804AC" w:rsidRDefault="00AF18A5" w:rsidP="002146F6">
      <w:r>
        <w:t>En segundo lugar, el genocidio de la Unión Patriótica (UP), que se había creado en el proceso de paz de Belisario Betancur (1982-1986) con las FARC-EP, proceso frente al que hubo muchas resistencias por parte de los militares. En tercer lugar, la respuesta militar a la toma del Palacio de Justicia por el M-19, cuya retoma supuso la preeminencia del poder militar sobre el civil y la respuesta de guerra sin espacio para la negociación, que concluyó con la muerte de 94 personas, incluyendo la cúpula de la justicia colombiana, así como numerosas</w:t>
      </w:r>
      <w:r>
        <w:rPr>
          <w:spacing w:val="-15"/>
        </w:rPr>
        <w:t xml:space="preserve"> </w:t>
      </w:r>
      <w:r>
        <w:t>torturadas</w:t>
      </w:r>
      <w:r>
        <w:rPr>
          <w:spacing w:val="-12"/>
        </w:rPr>
        <w:t xml:space="preserve"> </w:t>
      </w:r>
      <w:r>
        <w:t>y</w:t>
      </w:r>
      <w:r>
        <w:rPr>
          <w:spacing w:val="-12"/>
        </w:rPr>
        <w:t xml:space="preserve"> </w:t>
      </w:r>
      <w:r>
        <w:t>doce</w:t>
      </w:r>
      <w:r>
        <w:rPr>
          <w:spacing w:val="-12"/>
        </w:rPr>
        <w:t xml:space="preserve"> </w:t>
      </w:r>
      <w:r>
        <w:t>desaparecidas.</w:t>
      </w:r>
      <w:r>
        <w:rPr>
          <w:spacing w:val="-13"/>
        </w:rPr>
        <w:t xml:space="preserve"> </w:t>
      </w:r>
      <w:r>
        <w:t>Un</w:t>
      </w:r>
      <w:r>
        <w:rPr>
          <w:spacing w:val="-12"/>
        </w:rPr>
        <w:t xml:space="preserve"> </w:t>
      </w:r>
      <w:r>
        <w:t>cuarto</w:t>
      </w:r>
      <w:r>
        <w:rPr>
          <w:spacing w:val="-12"/>
        </w:rPr>
        <w:t xml:space="preserve"> </w:t>
      </w:r>
      <w:r>
        <w:t>momento</w:t>
      </w:r>
      <w:r>
        <w:rPr>
          <w:spacing w:val="-13"/>
        </w:rPr>
        <w:t xml:space="preserve"> </w:t>
      </w:r>
      <w:r>
        <w:t>fue</w:t>
      </w:r>
      <w:r>
        <w:rPr>
          <w:spacing w:val="-12"/>
        </w:rPr>
        <w:t xml:space="preserve"> </w:t>
      </w:r>
      <w:r>
        <w:t>la</w:t>
      </w:r>
      <w:r>
        <w:rPr>
          <w:spacing w:val="-12"/>
        </w:rPr>
        <w:t xml:space="preserve"> </w:t>
      </w:r>
      <w:r>
        <w:t>resistencia</w:t>
      </w:r>
      <w:r>
        <w:rPr>
          <w:spacing w:val="-12"/>
        </w:rPr>
        <w:t xml:space="preserve"> </w:t>
      </w:r>
      <w:r>
        <w:t>de</w:t>
      </w:r>
      <w:r>
        <w:rPr>
          <w:spacing w:val="-13"/>
        </w:rPr>
        <w:t xml:space="preserve"> </w:t>
      </w:r>
      <w:r>
        <w:rPr>
          <w:spacing w:val="-2"/>
        </w:rPr>
        <w:t>sectores</w:t>
      </w:r>
      <w:r w:rsidR="002146F6">
        <w:t xml:space="preserve"> </w:t>
      </w:r>
      <w:r>
        <w:t xml:space="preserve">de las Fuerzas Armadas al proceso de paz del Caguán en el gobierno de Andrés Pastrana (1998-2002), que estaban en desacuerdo con avanzar en la negociación de un cese al fuego, lo que determinó en el año 2000 la renuncia del alto comisionado para la Paz, Víctor G. </w:t>
      </w:r>
      <w:r>
        <w:rPr>
          <w:spacing w:val="-2"/>
        </w:rPr>
        <w:t>Ricardo,</w:t>
      </w:r>
      <w:r>
        <w:rPr>
          <w:spacing w:val="-7"/>
        </w:rPr>
        <w:t xml:space="preserve"> </w:t>
      </w:r>
      <w:r>
        <w:rPr>
          <w:spacing w:val="-2"/>
        </w:rPr>
        <w:t>quien</w:t>
      </w:r>
      <w:r>
        <w:rPr>
          <w:spacing w:val="-7"/>
        </w:rPr>
        <w:t xml:space="preserve"> </w:t>
      </w:r>
      <w:r>
        <w:rPr>
          <w:spacing w:val="-2"/>
        </w:rPr>
        <w:t>señaló,</w:t>
      </w:r>
      <w:r>
        <w:rPr>
          <w:spacing w:val="-7"/>
        </w:rPr>
        <w:t xml:space="preserve"> </w:t>
      </w:r>
      <w:r>
        <w:rPr>
          <w:spacing w:val="-2"/>
        </w:rPr>
        <w:t>en</w:t>
      </w:r>
      <w:r>
        <w:rPr>
          <w:spacing w:val="-9"/>
        </w:rPr>
        <w:t xml:space="preserve"> </w:t>
      </w:r>
      <w:r>
        <w:rPr>
          <w:spacing w:val="-2"/>
        </w:rPr>
        <w:t>entrevista</w:t>
      </w:r>
      <w:r>
        <w:rPr>
          <w:spacing w:val="-9"/>
        </w:rPr>
        <w:t xml:space="preserve"> </w:t>
      </w:r>
      <w:r>
        <w:rPr>
          <w:spacing w:val="-2"/>
        </w:rPr>
        <w:t>con</w:t>
      </w:r>
      <w:r>
        <w:rPr>
          <w:spacing w:val="-7"/>
        </w:rPr>
        <w:t xml:space="preserve"> </w:t>
      </w:r>
      <w:r>
        <w:rPr>
          <w:spacing w:val="-2"/>
        </w:rPr>
        <w:t>la</w:t>
      </w:r>
      <w:r>
        <w:rPr>
          <w:spacing w:val="-9"/>
        </w:rPr>
        <w:t xml:space="preserve"> </w:t>
      </w:r>
      <w:r>
        <w:rPr>
          <w:spacing w:val="-2"/>
        </w:rPr>
        <w:t>Comisión</w:t>
      </w:r>
      <w:r>
        <w:rPr>
          <w:spacing w:val="-7"/>
        </w:rPr>
        <w:t xml:space="preserve"> </w:t>
      </w:r>
      <w:r>
        <w:rPr>
          <w:spacing w:val="-2"/>
        </w:rPr>
        <w:t>de</w:t>
      </w:r>
      <w:r>
        <w:rPr>
          <w:spacing w:val="-9"/>
        </w:rPr>
        <w:t xml:space="preserve"> </w:t>
      </w:r>
      <w:r>
        <w:rPr>
          <w:spacing w:val="-2"/>
        </w:rPr>
        <w:t>la</w:t>
      </w:r>
      <w:r>
        <w:rPr>
          <w:spacing w:val="-7"/>
        </w:rPr>
        <w:t xml:space="preserve"> </w:t>
      </w:r>
      <w:r>
        <w:rPr>
          <w:spacing w:val="-2"/>
        </w:rPr>
        <w:t>Verdad,</w:t>
      </w:r>
      <w:r>
        <w:rPr>
          <w:spacing w:val="-7"/>
        </w:rPr>
        <w:t xml:space="preserve"> </w:t>
      </w:r>
      <w:r>
        <w:rPr>
          <w:spacing w:val="-2"/>
        </w:rPr>
        <w:t>que</w:t>
      </w:r>
      <w:r>
        <w:rPr>
          <w:spacing w:val="-9"/>
        </w:rPr>
        <w:t xml:space="preserve"> </w:t>
      </w:r>
      <w:r>
        <w:rPr>
          <w:spacing w:val="-2"/>
        </w:rPr>
        <w:t>tenía</w:t>
      </w:r>
      <w:r>
        <w:rPr>
          <w:spacing w:val="-7"/>
        </w:rPr>
        <w:t xml:space="preserve"> </w:t>
      </w:r>
      <w:r>
        <w:rPr>
          <w:spacing w:val="-2"/>
        </w:rPr>
        <w:t>su</w:t>
      </w:r>
      <w:r>
        <w:rPr>
          <w:spacing w:val="-7"/>
        </w:rPr>
        <w:t xml:space="preserve"> </w:t>
      </w:r>
      <w:r>
        <w:rPr>
          <w:spacing w:val="-2"/>
        </w:rPr>
        <w:t>vida</w:t>
      </w:r>
      <w:r>
        <w:rPr>
          <w:spacing w:val="-9"/>
        </w:rPr>
        <w:t xml:space="preserve"> </w:t>
      </w:r>
      <w:r>
        <w:rPr>
          <w:spacing w:val="-2"/>
        </w:rPr>
        <w:t>en</w:t>
      </w:r>
      <w:r>
        <w:rPr>
          <w:spacing w:val="-9"/>
        </w:rPr>
        <w:t xml:space="preserve"> </w:t>
      </w:r>
      <w:r>
        <w:rPr>
          <w:spacing w:val="-2"/>
        </w:rPr>
        <w:t xml:space="preserve">riesgo. </w:t>
      </w:r>
      <w:r>
        <w:t>En quinto lugar, mientras algunos altos mandos se preparaban para ser los generales de la paz, y el Gobierno incluyó a los militares en la negociación, que se consideraron pasos positivos, se dio la resistencia de parte de las Fuerzas Armadas y de Juan Carlos Pinzón, ministro</w:t>
      </w:r>
      <w:r>
        <w:rPr>
          <w:spacing w:val="-12"/>
        </w:rPr>
        <w:t xml:space="preserve"> </w:t>
      </w:r>
      <w:r>
        <w:t>de</w:t>
      </w:r>
      <w:r>
        <w:rPr>
          <w:spacing w:val="-12"/>
        </w:rPr>
        <w:t xml:space="preserve"> </w:t>
      </w:r>
      <w:r>
        <w:lastRenderedPageBreak/>
        <w:t>Defensa</w:t>
      </w:r>
      <w:r>
        <w:rPr>
          <w:spacing w:val="-10"/>
        </w:rPr>
        <w:t xml:space="preserve"> </w:t>
      </w:r>
      <w:r>
        <w:t>del</w:t>
      </w:r>
      <w:r>
        <w:rPr>
          <w:spacing w:val="-11"/>
        </w:rPr>
        <w:t xml:space="preserve"> </w:t>
      </w:r>
      <w:r>
        <w:t>presidente</w:t>
      </w:r>
      <w:r>
        <w:rPr>
          <w:spacing w:val="-12"/>
        </w:rPr>
        <w:t xml:space="preserve"> </w:t>
      </w:r>
      <w:r>
        <w:t>Juan</w:t>
      </w:r>
      <w:r>
        <w:rPr>
          <w:spacing w:val="-11"/>
        </w:rPr>
        <w:t xml:space="preserve"> </w:t>
      </w:r>
      <w:r>
        <w:t>Manuel</w:t>
      </w:r>
      <w:r>
        <w:rPr>
          <w:spacing w:val="-11"/>
        </w:rPr>
        <w:t xml:space="preserve"> </w:t>
      </w:r>
      <w:r>
        <w:t>Santos,</w:t>
      </w:r>
      <w:r>
        <w:rPr>
          <w:spacing w:val="-11"/>
        </w:rPr>
        <w:t xml:space="preserve"> </w:t>
      </w:r>
      <w:r>
        <w:t>al</w:t>
      </w:r>
      <w:r>
        <w:rPr>
          <w:spacing w:val="-10"/>
        </w:rPr>
        <w:t xml:space="preserve"> </w:t>
      </w:r>
      <w:r>
        <w:t>proceso</w:t>
      </w:r>
      <w:r>
        <w:rPr>
          <w:spacing w:val="-11"/>
        </w:rPr>
        <w:t xml:space="preserve"> </w:t>
      </w:r>
      <w:r>
        <w:t>de</w:t>
      </w:r>
      <w:r>
        <w:rPr>
          <w:spacing w:val="-12"/>
        </w:rPr>
        <w:t xml:space="preserve"> </w:t>
      </w:r>
      <w:r>
        <w:t>paz</w:t>
      </w:r>
      <w:r>
        <w:rPr>
          <w:spacing w:val="-12"/>
        </w:rPr>
        <w:t xml:space="preserve"> </w:t>
      </w:r>
      <w:r>
        <w:t>con</w:t>
      </w:r>
      <w:r>
        <w:rPr>
          <w:spacing w:val="-11"/>
        </w:rPr>
        <w:t xml:space="preserve"> </w:t>
      </w:r>
      <w:r>
        <w:t>las</w:t>
      </w:r>
      <w:r>
        <w:rPr>
          <w:spacing w:val="-10"/>
        </w:rPr>
        <w:t xml:space="preserve"> </w:t>
      </w:r>
      <w:r>
        <w:t>FARC-EP, a pesar de que los militares tuvieron representación en la mesa de negociación y tomaron parte en las decisiones</w:t>
      </w:r>
    </w:p>
    <w:p w:rsidR="003804AC" w:rsidRDefault="00AF18A5" w:rsidP="002146F6">
      <w:r>
        <w:t>Estos elementos muestran que la seguridad puesta en manos de los militares con alta autonomía es contraria al proceso de paz. Los militares no han conocido unas Fuerzas Armadas dedicadas totalmente a la paz y a proteger a todos los ciudadanos de Colombia, empezando por los que tradicionalmente han sido excluidos, perseguidos y empobrecidos.</w:t>
      </w:r>
    </w:p>
    <w:p w:rsidR="003804AC" w:rsidRDefault="00AF18A5" w:rsidP="004A6EF4">
      <w:pPr>
        <w:pStyle w:val="Ttulo3"/>
        <w:numPr>
          <w:ilvl w:val="1"/>
          <w:numId w:val="16"/>
        </w:numPr>
      </w:pPr>
      <w:bookmarkStart w:id="933" w:name="7.2._El_enemigo_interno_y_cambios_en_la_"/>
      <w:bookmarkStart w:id="934" w:name="_Toc112399618"/>
      <w:bookmarkEnd w:id="933"/>
      <w:r>
        <w:t xml:space="preserve">El enemigo </w:t>
      </w:r>
      <w:r w:rsidRPr="00C70A6F">
        <w:t>interno</w:t>
      </w:r>
      <w:r>
        <w:t xml:space="preserve"> y cambios en la doctrina de seguridad: la consideración de la población civil y los movimientos sociales</w:t>
      </w:r>
      <w:bookmarkEnd w:id="934"/>
    </w:p>
    <w:p w:rsidR="003804AC" w:rsidRDefault="00AF18A5" w:rsidP="00C70A6F">
      <w:r>
        <w:t>La persecución, represión y estigmatización como «enemigos» de los opositores políticos o de sectores sociales alternativos a las formas dominantes de poder político, económico y social, que reivindican reformas de apertura política o de igualdad social, ha sido una característica de la cultura política y social en Colombia desde el siglo XIX. El discurso del enemigo ha usado tres etiquetas, correspondientes a tres etapas de la relación con Estados Unidos: el enemigo comunista o insurgente, propio de las décadas de 1960 y 1970, con la doctrina de la seguridad nacional de la Guerra Fría y de las dictaduras del Cono Sur; el enemigo</w:t>
      </w:r>
      <w:r>
        <w:rPr>
          <w:spacing w:val="-3"/>
        </w:rPr>
        <w:t xml:space="preserve"> </w:t>
      </w:r>
      <w:r>
        <w:t>narcotraficante,</w:t>
      </w:r>
      <w:r>
        <w:rPr>
          <w:spacing w:val="-4"/>
        </w:rPr>
        <w:t xml:space="preserve"> </w:t>
      </w:r>
      <w:r>
        <w:t>propio</w:t>
      </w:r>
      <w:r>
        <w:rPr>
          <w:spacing w:val="-3"/>
        </w:rPr>
        <w:t xml:space="preserve"> </w:t>
      </w:r>
      <w:r>
        <w:t>de</w:t>
      </w:r>
      <w:r>
        <w:rPr>
          <w:spacing w:val="-3"/>
        </w:rPr>
        <w:t xml:space="preserve"> </w:t>
      </w:r>
      <w:r>
        <w:t>la</w:t>
      </w:r>
      <w:r>
        <w:rPr>
          <w:spacing w:val="-4"/>
        </w:rPr>
        <w:t xml:space="preserve"> </w:t>
      </w:r>
      <w:r>
        <w:t>lucha</w:t>
      </w:r>
      <w:r>
        <w:rPr>
          <w:spacing w:val="-3"/>
        </w:rPr>
        <w:t xml:space="preserve"> </w:t>
      </w:r>
      <w:r>
        <w:t>contra</w:t>
      </w:r>
      <w:r>
        <w:rPr>
          <w:spacing w:val="-3"/>
        </w:rPr>
        <w:t xml:space="preserve"> </w:t>
      </w:r>
      <w:r>
        <w:t>las</w:t>
      </w:r>
      <w:r>
        <w:rPr>
          <w:spacing w:val="-3"/>
        </w:rPr>
        <w:t xml:space="preserve"> </w:t>
      </w:r>
      <w:r>
        <w:t>drogas,</w:t>
      </w:r>
      <w:r>
        <w:rPr>
          <w:spacing w:val="-4"/>
        </w:rPr>
        <w:t xml:space="preserve"> </w:t>
      </w:r>
      <w:r>
        <w:t>que</w:t>
      </w:r>
      <w:r>
        <w:rPr>
          <w:spacing w:val="-3"/>
        </w:rPr>
        <w:t xml:space="preserve"> </w:t>
      </w:r>
      <w:r>
        <w:t>inició</w:t>
      </w:r>
      <w:r>
        <w:rPr>
          <w:spacing w:val="-3"/>
        </w:rPr>
        <w:t xml:space="preserve"> </w:t>
      </w:r>
      <w:r>
        <w:t>con</w:t>
      </w:r>
      <w:r>
        <w:rPr>
          <w:spacing w:val="-3"/>
        </w:rPr>
        <w:t xml:space="preserve"> </w:t>
      </w:r>
      <w:r>
        <w:t>el</w:t>
      </w:r>
      <w:r>
        <w:rPr>
          <w:spacing w:val="-3"/>
        </w:rPr>
        <w:t xml:space="preserve"> </w:t>
      </w:r>
      <w:r>
        <w:t>gobierno</w:t>
      </w:r>
      <w:r>
        <w:rPr>
          <w:spacing w:val="-3"/>
        </w:rPr>
        <w:t xml:space="preserve"> </w:t>
      </w:r>
      <w:r>
        <w:t>del presidente Richard Nixon de los Estados Unidos en los años 70 y se mantiene hasta hoy; y, el</w:t>
      </w:r>
      <w:r>
        <w:rPr>
          <w:spacing w:val="-10"/>
        </w:rPr>
        <w:t xml:space="preserve"> </w:t>
      </w:r>
      <w:r>
        <w:t>enemigo</w:t>
      </w:r>
      <w:r>
        <w:rPr>
          <w:spacing w:val="-12"/>
        </w:rPr>
        <w:t xml:space="preserve"> </w:t>
      </w:r>
      <w:r>
        <w:t>terrorista,</w:t>
      </w:r>
      <w:r>
        <w:rPr>
          <w:spacing w:val="-11"/>
        </w:rPr>
        <w:t xml:space="preserve"> </w:t>
      </w:r>
      <w:r>
        <w:t>que</w:t>
      </w:r>
      <w:r>
        <w:rPr>
          <w:spacing w:val="-11"/>
        </w:rPr>
        <w:t xml:space="preserve"> </w:t>
      </w:r>
      <w:r>
        <w:t>se</w:t>
      </w:r>
      <w:r>
        <w:rPr>
          <w:spacing w:val="-11"/>
        </w:rPr>
        <w:t xml:space="preserve"> </w:t>
      </w:r>
      <w:r>
        <w:t>usó</w:t>
      </w:r>
      <w:r>
        <w:rPr>
          <w:spacing w:val="-12"/>
        </w:rPr>
        <w:t xml:space="preserve"> </w:t>
      </w:r>
      <w:r>
        <w:t>después</w:t>
      </w:r>
      <w:r>
        <w:rPr>
          <w:spacing w:val="-11"/>
        </w:rPr>
        <w:t xml:space="preserve"> </w:t>
      </w:r>
      <w:r>
        <w:t>del</w:t>
      </w:r>
      <w:r>
        <w:rPr>
          <w:spacing w:val="-12"/>
        </w:rPr>
        <w:t xml:space="preserve"> </w:t>
      </w:r>
      <w:r>
        <w:t>ataque</w:t>
      </w:r>
      <w:r>
        <w:rPr>
          <w:spacing w:val="-11"/>
        </w:rPr>
        <w:t xml:space="preserve"> </w:t>
      </w:r>
      <w:r>
        <w:t>a</w:t>
      </w:r>
      <w:r>
        <w:rPr>
          <w:spacing w:val="-11"/>
        </w:rPr>
        <w:t xml:space="preserve"> </w:t>
      </w:r>
      <w:r>
        <w:t>las</w:t>
      </w:r>
      <w:r>
        <w:rPr>
          <w:spacing w:val="-11"/>
        </w:rPr>
        <w:t xml:space="preserve"> </w:t>
      </w:r>
      <w:r>
        <w:t>Torres</w:t>
      </w:r>
      <w:r>
        <w:rPr>
          <w:spacing w:val="-11"/>
        </w:rPr>
        <w:t xml:space="preserve"> </w:t>
      </w:r>
      <w:r>
        <w:t>Gemelas</w:t>
      </w:r>
      <w:r>
        <w:rPr>
          <w:spacing w:val="-13"/>
        </w:rPr>
        <w:t xml:space="preserve"> </w:t>
      </w:r>
      <w:r>
        <w:t>el</w:t>
      </w:r>
      <w:r>
        <w:rPr>
          <w:spacing w:val="-10"/>
        </w:rPr>
        <w:t xml:space="preserve"> </w:t>
      </w:r>
      <w:r>
        <w:t>11</w:t>
      </w:r>
      <w:r>
        <w:rPr>
          <w:spacing w:val="-11"/>
        </w:rPr>
        <w:t xml:space="preserve"> </w:t>
      </w:r>
      <w:r>
        <w:t>de</w:t>
      </w:r>
      <w:r>
        <w:rPr>
          <w:spacing w:val="-12"/>
        </w:rPr>
        <w:t xml:space="preserve"> </w:t>
      </w:r>
      <w:r>
        <w:t>septiembre de 2001.</w:t>
      </w:r>
    </w:p>
    <w:p w:rsidR="003804AC" w:rsidRDefault="00AF18A5" w:rsidP="00640067">
      <w:r>
        <w:t xml:space="preserve">Desde los años cincuenta del siglo XX, esta cultura encontró un discurso </w:t>
      </w:r>
      <w:r>
        <w:lastRenderedPageBreak/>
        <w:t>propicio en la doctrina</w:t>
      </w:r>
      <w:r>
        <w:rPr>
          <w:spacing w:val="22"/>
        </w:rPr>
        <w:t xml:space="preserve"> </w:t>
      </w:r>
      <w:r>
        <w:t>de</w:t>
      </w:r>
      <w:r>
        <w:rPr>
          <w:spacing w:val="23"/>
        </w:rPr>
        <w:t xml:space="preserve"> </w:t>
      </w:r>
      <w:r>
        <w:t>la</w:t>
      </w:r>
      <w:r>
        <w:rPr>
          <w:spacing w:val="24"/>
        </w:rPr>
        <w:t xml:space="preserve"> </w:t>
      </w:r>
      <w:r>
        <w:t>seguridad</w:t>
      </w:r>
      <w:r>
        <w:rPr>
          <w:spacing w:val="24"/>
        </w:rPr>
        <w:t xml:space="preserve"> </w:t>
      </w:r>
      <w:r>
        <w:t>nacional,</w:t>
      </w:r>
      <w:r>
        <w:rPr>
          <w:spacing w:val="24"/>
        </w:rPr>
        <w:t xml:space="preserve"> </w:t>
      </w:r>
      <w:r>
        <w:t>propia</w:t>
      </w:r>
      <w:r>
        <w:rPr>
          <w:spacing w:val="24"/>
        </w:rPr>
        <w:t xml:space="preserve"> </w:t>
      </w:r>
      <w:r>
        <w:t>de</w:t>
      </w:r>
      <w:r>
        <w:rPr>
          <w:spacing w:val="24"/>
        </w:rPr>
        <w:t xml:space="preserve"> </w:t>
      </w:r>
      <w:r>
        <w:t>la</w:t>
      </w:r>
      <w:r>
        <w:rPr>
          <w:spacing w:val="23"/>
        </w:rPr>
        <w:t xml:space="preserve"> </w:t>
      </w:r>
      <w:r>
        <w:t>guerra</w:t>
      </w:r>
      <w:r>
        <w:rPr>
          <w:spacing w:val="23"/>
        </w:rPr>
        <w:t xml:space="preserve"> </w:t>
      </w:r>
      <w:r>
        <w:t>contra</w:t>
      </w:r>
      <w:r>
        <w:rPr>
          <w:spacing w:val="25"/>
        </w:rPr>
        <w:t xml:space="preserve"> </w:t>
      </w:r>
      <w:r>
        <w:t>el</w:t>
      </w:r>
      <w:r>
        <w:rPr>
          <w:spacing w:val="24"/>
        </w:rPr>
        <w:t xml:space="preserve"> </w:t>
      </w:r>
      <w:r>
        <w:t>comunismo,</w:t>
      </w:r>
      <w:r>
        <w:rPr>
          <w:spacing w:val="24"/>
        </w:rPr>
        <w:t xml:space="preserve"> </w:t>
      </w:r>
      <w:r>
        <w:t>que</w:t>
      </w:r>
      <w:r>
        <w:rPr>
          <w:spacing w:val="25"/>
        </w:rPr>
        <w:t xml:space="preserve"> </w:t>
      </w:r>
      <w:r>
        <w:rPr>
          <w:spacing w:val="-2"/>
        </w:rPr>
        <w:t>permitió</w:t>
      </w:r>
      <w:r w:rsidR="00640067">
        <w:t xml:space="preserve"> </w:t>
      </w:r>
      <w:r>
        <w:t>equiparar</w:t>
      </w:r>
      <w:r>
        <w:rPr>
          <w:spacing w:val="-3"/>
        </w:rPr>
        <w:t xml:space="preserve"> </w:t>
      </w:r>
      <w:r>
        <w:t>y</w:t>
      </w:r>
      <w:r>
        <w:rPr>
          <w:spacing w:val="-3"/>
        </w:rPr>
        <w:t xml:space="preserve"> </w:t>
      </w:r>
      <w:r>
        <w:t>etiquetar</w:t>
      </w:r>
      <w:r>
        <w:rPr>
          <w:spacing w:val="-3"/>
        </w:rPr>
        <w:t xml:space="preserve"> </w:t>
      </w:r>
      <w:r>
        <w:t>como</w:t>
      </w:r>
      <w:r>
        <w:rPr>
          <w:spacing w:val="-3"/>
        </w:rPr>
        <w:t xml:space="preserve"> </w:t>
      </w:r>
      <w:r>
        <w:t>«enemigo»</w:t>
      </w:r>
      <w:r>
        <w:rPr>
          <w:spacing w:val="-3"/>
        </w:rPr>
        <w:t xml:space="preserve"> </w:t>
      </w:r>
      <w:r>
        <w:t>a</w:t>
      </w:r>
      <w:r>
        <w:rPr>
          <w:spacing w:val="-3"/>
        </w:rPr>
        <w:t xml:space="preserve"> </w:t>
      </w:r>
      <w:r>
        <w:t>los</w:t>
      </w:r>
      <w:r>
        <w:rPr>
          <w:spacing w:val="-3"/>
        </w:rPr>
        <w:t xml:space="preserve"> </w:t>
      </w:r>
      <w:r>
        <w:t>movimientos</w:t>
      </w:r>
      <w:r>
        <w:rPr>
          <w:spacing w:val="-3"/>
        </w:rPr>
        <w:t xml:space="preserve"> </w:t>
      </w:r>
      <w:r>
        <w:t>sociales</w:t>
      </w:r>
      <w:r>
        <w:rPr>
          <w:spacing w:val="-3"/>
        </w:rPr>
        <w:t xml:space="preserve"> </w:t>
      </w:r>
      <w:r>
        <w:t>y</w:t>
      </w:r>
      <w:r>
        <w:rPr>
          <w:spacing w:val="-3"/>
        </w:rPr>
        <w:t xml:space="preserve"> </w:t>
      </w:r>
      <w:r>
        <w:t>políticos</w:t>
      </w:r>
      <w:r>
        <w:rPr>
          <w:spacing w:val="-3"/>
        </w:rPr>
        <w:t xml:space="preserve"> </w:t>
      </w:r>
      <w:r>
        <w:t>alternativos,</w:t>
      </w:r>
      <w:r>
        <w:rPr>
          <w:spacing w:val="-3"/>
        </w:rPr>
        <w:t xml:space="preserve"> </w:t>
      </w:r>
      <w:r>
        <w:t>y evolucionó en el tiempo con diferentes discursos y denominaciones, con una base siempre contrainsurgente (guerra contra las drogas y la guerra contra el terrorismo).</w:t>
      </w:r>
    </w:p>
    <w:p w:rsidR="003804AC" w:rsidRDefault="00AF18A5" w:rsidP="00640067">
      <w:r>
        <w:t>Así,</w:t>
      </w:r>
      <w:r>
        <w:rPr>
          <w:spacing w:val="-15"/>
        </w:rPr>
        <w:t xml:space="preserve"> </w:t>
      </w:r>
      <w:r>
        <w:t>en</w:t>
      </w:r>
      <w:r>
        <w:rPr>
          <w:spacing w:val="-15"/>
        </w:rPr>
        <w:t xml:space="preserve"> </w:t>
      </w:r>
      <w:r>
        <w:t>un</w:t>
      </w:r>
      <w:r>
        <w:rPr>
          <w:spacing w:val="-15"/>
        </w:rPr>
        <w:t xml:space="preserve"> </w:t>
      </w:r>
      <w:r>
        <w:t>primer</w:t>
      </w:r>
      <w:r>
        <w:rPr>
          <w:spacing w:val="-15"/>
        </w:rPr>
        <w:t xml:space="preserve"> </w:t>
      </w:r>
      <w:r>
        <w:t>momento,</w:t>
      </w:r>
      <w:r>
        <w:rPr>
          <w:spacing w:val="-15"/>
        </w:rPr>
        <w:t xml:space="preserve"> </w:t>
      </w:r>
      <w:r>
        <w:t>el</w:t>
      </w:r>
      <w:r>
        <w:rPr>
          <w:spacing w:val="-15"/>
        </w:rPr>
        <w:t xml:space="preserve"> </w:t>
      </w:r>
      <w:r>
        <w:t>enemigo</w:t>
      </w:r>
      <w:r>
        <w:rPr>
          <w:spacing w:val="-15"/>
        </w:rPr>
        <w:t xml:space="preserve"> </w:t>
      </w:r>
      <w:r>
        <w:t>era</w:t>
      </w:r>
      <w:r>
        <w:rPr>
          <w:spacing w:val="-15"/>
        </w:rPr>
        <w:t xml:space="preserve"> </w:t>
      </w:r>
      <w:r>
        <w:t>el</w:t>
      </w:r>
      <w:r>
        <w:rPr>
          <w:spacing w:val="-15"/>
        </w:rPr>
        <w:t xml:space="preserve"> </w:t>
      </w:r>
      <w:r>
        <w:t>comunista,</w:t>
      </w:r>
      <w:r>
        <w:rPr>
          <w:spacing w:val="-15"/>
        </w:rPr>
        <w:t xml:space="preserve"> </w:t>
      </w:r>
      <w:r>
        <w:t>sin</w:t>
      </w:r>
      <w:r>
        <w:rPr>
          <w:spacing w:val="-15"/>
        </w:rPr>
        <w:t xml:space="preserve"> </w:t>
      </w:r>
      <w:r>
        <w:t>distinción</w:t>
      </w:r>
      <w:r>
        <w:rPr>
          <w:spacing w:val="-15"/>
        </w:rPr>
        <w:t xml:space="preserve"> </w:t>
      </w:r>
      <w:r>
        <w:t>de</w:t>
      </w:r>
      <w:r>
        <w:rPr>
          <w:spacing w:val="-15"/>
        </w:rPr>
        <w:t xml:space="preserve"> </w:t>
      </w:r>
      <w:r>
        <w:t>si</w:t>
      </w:r>
      <w:r>
        <w:rPr>
          <w:spacing w:val="-15"/>
        </w:rPr>
        <w:t xml:space="preserve"> </w:t>
      </w:r>
      <w:r>
        <w:t>había</w:t>
      </w:r>
      <w:r>
        <w:rPr>
          <w:spacing w:val="-15"/>
        </w:rPr>
        <w:t xml:space="preserve"> </w:t>
      </w:r>
      <w:r>
        <w:t>tomado las</w:t>
      </w:r>
      <w:r>
        <w:rPr>
          <w:spacing w:val="17"/>
        </w:rPr>
        <w:t xml:space="preserve"> </w:t>
      </w:r>
      <w:r>
        <w:t>armas</w:t>
      </w:r>
      <w:r>
        <w:rPr>
          <w:spacing w:val="19"/>
        </w:rPr>
        <w:t xml:space="preserve"> </w:t>
      </w:r>
      <w:r>
        <w:t>o</w:t>
      </w:r>
      <w:r>
        <w:rPr>
          <w:spacing w:val="18"/>
        </w:rPr>
        <w:t xml:space="preserve"> </w:t>
      </w:r>
      <w:r>
        <w:t>no.</w:t>
      </w:r>
      <w:r>
        <w:rPr>
          <w:spacing w:val="20"/>
        </w:rPr>
        <w:t xml:space="preserve"> </w:t>
      </w:r>
      <w:r>
        <w:t>En</w:t>
      </w:r>
      <w:r>
        <w:rPr>
          <w:spacing w:val="19"/>
        </w:rPr>
        <w:t xml:space="preserve"> </w:t>
      </w:r>
      <w:r>
        <w:t>un</w:t>
      </w:r>
      <w:r>
        <w:rPr>
          <w:spacing w:val="19"/>
        </w:rPr>
        <w:t xml:space="preserve"> </w:t>
      </w:r>
      <w:r>
        <w:t>segundo</w:t>
      </w:r>
      <w:r>
        <w:rPr>
          <w:spacing w:val="19"/>
        </w:rPr>
        <w:t xml:space="preserve"> </w:t>
      </w:r>
      <w:r>
        <w:t>momento,</w:t>
      </w:r>
      <w:r>
        <w:rPr>
          <w:spacing w:val="20"/>
        </w:rPr>
        <w:t xml:space="preserve"> </w:t>
      </w:r>
      <w:r>
        <w:t>en</w:t>
      </w:r>
      <w:r>
        <w:rPr>
          <w:spacing w:val="18"/>
        </w:rPr>
        <w:t xml:space="preserve"> </w:t>
      </w:r>
      <w:r>
        <w:t>la</w:t>
      </w:r>
      <w:r>
        <w:rPr>
          <w:spacing w:val="18"/>
        </w:rPr>
        <w:t xml:space="preserve"> </w:t>
      </w:r>
      <w:r>
        <w:t>guerra</w:t>
      </w:r>
      <w:r>
        <w:rPr>
          <w:spacing w:val="19"/>
        </w:rPr>
        <w:t xml:space="preserve"> </w:t>
      </w:r>
      <w:r>
        <w:t>contra</w:t>
      </w:r>
      <w:r>
        <w:rPr>
          <w:spacing w:val="20"/>
        </w:rPr>
        <w:t xml:space="preserve"> </w:t>
      </w:r>
      <w:r>
        <w:t>las</w:t>
      </w:r>
      <w:r>
        <w:rPr>
          <w:spacing w:val="19"/>
        </w:rPr>
        <w:t xml:space="preserve"> </w:t>
      </w:r>
      <w:r>
        <w:t>drogas,</w:t>
      </w:r>
      <w:r>
        <w:rPr>
          <w:spacing w:val="19"/>
        </w:rPr>
        <w:t xml:space="preserve"> </w:t>
      </w:r>
      <w:r>
        <w:t>muchas</w:t>
      </w:r>
      <w:r>
        <w:rPr>
          <w:spacing w:val="19"/>
        </w:rPr>
        <w:t xml:space="preserve"> </w:t>
      </w:r>
      <w:r>
        <w:t>veces</w:t>
      </w:r>
      <w:r>
        <w:rPr>
          <w:spacing w:val="20"/>
        </w:rPr>
        <w:t xml:space="preserve"> </w:t>
      </w:r>
      <w:r>
        <w:rPr>
          <w:spacing w:val="-5"/>
        </w:rPr>
        <w:t>el</w:t>
      </w:r>
      <w:r w:rsidR="00640067">
        <w:t xml:space="preserve"> </w:t>
      </w:r>
      <w:r>
        <w:t>«enemigo» fue identificado como el campesino cocalero y, luego, el terrorista o el narcoterrorista,</w:t>
      </w:r>
      <w:r>
        <w:rPr>
          <w:spacing w:val="-15"/>
        </w:rPr>
        <w:t xml:space="preserve"> </w:t>
      </w:r>
      <w:r>
        <w:t>asociando</w:t>
      </w:r>
      <w:r>
        <w:rPr>
          <w:spacing w:val="-15"/>
        </w:rPr>
        <w:t xml:space="preserve"> </w:t>
      </w:r>
      <w:r>
        <w:t>a</w:t>
      </w:r>
      <w:r>
        <w:rPr>
          <w:spacing w:val="-15"/>
        </w:rPr>
        <w:t xml:space="preserve"> </w:t>
      </w:r>
      <w:r>
        <w:t>esos</w:t>
      </w:r>
      <w:r>
        <w:rPr>
          <w:spacing w:val="-15"/>
        </w:rPr>
        <w:t xml:space="preserve"> </w:t>
      </w:r>
      <w:r>
        <w:t>términos</w:t>
      </w:r>
      <w:r>
        <w:rPr>
          <w:spacing w:val="-15"/>
        </w:rPr>
        <w:t xml:space="preserve"> </w:t>
      </w:r>
      <w:r>
        <w:t>no</w:t>
      </w:r>
      <w:r>
        <w:rPr>
          <w:spacing w:val="-15"/>
        </w:rPr>
        <w:t xml:space="preserve"> </w:t>
      </w:r>
      <w:r>
        <w:t>solo</w:t>
      </w:r>
      <w:r>
        <w:rPr>
          <w:spacing w:val="-15"/>
        </w:rPr>
        <w:t xml:space="preserve"> </w:t>
      </w:r>
      <w:r>
        <w:t>a</w:t>
      </w:r>
      <w:r>
        <w:rPr>
          <w:spacing w:val="-15"/>
        </w:rPr>
        <w:t xml:space="preserve"> </w:t>
      </w:r>
      <w:r>
        <w:t>los</w:t>
      </w:r>
      <w:r>
        <w:rPr>
          <w:spacing w:val="-14"/>
        </w:rPr>
        <w:t xml:space="preserve"> </w:t>
      </w:r>
      <w:r>
        <w:t>miembros</w:t>
      </w:r>
      <w:r>
        <w:rPr>
          <w:spacing w:val="-15"/>
        </w:rPr>
        <w:t xml:space="preserve"> </w:t>
      </w:r>
      <w:r>
        <w:t>de</w:t>
      </w:r>
      <w:r>
        <w:rPr>
          <w:spacing w:val="-15"/>
        </w:rPr>
        <w:t xml:space="preserve"> </w:t>
      </w:r>
      <w:r>
        <w:t>grupos</w:t>
      </w:r>
      <w:r>
        <w:rPr>
          <w:spacing w:val="-15"/>
        </w:rPr>
        <w:t xml:space="preserve"> </w:t>
      </w:r>
      <w:r>
        <w:t>guerrilleros,</w:t>
      </w:r>
      <w:r>
        <w:rPr>
          <w:spacing w:val="-15"/>
        </w:rPr>
        <w:t xml:space="preserve"> </w:t>
      </w:r>
      <w:r>
        <w:t>sino extendiendo ese estigma a diferentes sectores y movimientos sociales o sindicales.</w:t>
      </w:r>
    </w:p>
    <w:p w:rsidR="003804AC" w:rsidRDefault="00AF18A5" w:rsidP="00640067">
      <w:r>
        <w:t>La</w:t>
      </w:r>
      <w:r>
        <w:rPr>
          <w:spacing w:val="-2"/>
        </w:rPr>
        <w:t xml:space="preserve"> </w:t>
      </w:r>
      <w:r>
        <w:t>guerra</w:t>
      </w:r>
      <w:r>
        <w:rPr>
          <w:spacing w:val="-2"/>
        </w:rPr>
        <w:t xml:space="preserve"> </w:t>
      </w:r>
      <w:r>
        <w:t>contra</w:t>
      </w:r>
      <w:r>
        <w:rPr>
          <w:spacing w:val="-3"/>
        </w:rPr>
        <w:t xml:space="preserve"> </w:t>
      </w:r>
      <w:r>
        <w:t>las</w:t>
      </w:r>
      <w:r>
        <w:rPr>
          <w:spacing w:val="-2"/>
        </w:rPr>
        <w:t xml:space="preserve"> </w:t>
      </w:r>
      <w:r>
        <w:t>drogas</w:t>
      </w:r>
      <w:r>
        <w:rPr>
          <w:spacing w:val="-2"/>
        </w:rPr>
        <w:t xml:space="preserve"> </w:t>
      </w:r>
      <w:r>
        <w:t>recrudeció</w:t>
      </w:r>
      <w:r>
        <w:rPr>
          <w:spacing w:val="-2"/>
        </w:rPr>
        <w:t xml:space="preserve"> </w:t>
      </w:r>
      <w:r>
        <w:t>el</w:t>
      </w:r>
      <w:r>
        <w:rPr>
          <w:spacing w:val="-2"/>
        </w:rPr>
        <w:t xml:space="preserve"> </w:t>
      </w:r>
      <w:r>
        <w:t>conflicto</w:t>
      </w:r>
      <w:r>
        <w:rPr>
          <w:spacing w:val="-2"/>
        </w:rPr>
        <w:t xml:space="preserve"> </w:t>
      </w:r>
      <w:r>
        <w:t>armado,</w:t>
      </w:r>
      <w:r>
        <w:rPr>
          <w:spacing w:val="-2"/>
        </w:rPr>
        <w:t xml:space="preserve"> </w:t>
      </w:r>
      <w:r>
        <w:t>incrementó</w:t>
      </w:r>
      <w:r>
        <w:rPr>
          <w:spacing w:val="-2"/>
        </w:rPr>
        <w:t xml:space="preserve"> </w:t>
      </w:r>
      <w:r>
        <w:t>el</w:t>
      </w:r>
      <w:r>
        <w:rPr>
          <w:spacing w:val="-3"/>
        </w:rPr>
        <w:t xml:space="preserve"> </w:t>
      </w:r>
      <w:r>
        <w:t>combate</w:t>
      </w:r>
      <w:r>
        <w:rPr>
          <w:spacing w:val="-2"/>
        </w:rPr>
        <w:t xml:space="preserve"> </w:t>
      </w:r>
      <w:r>
        <w:t>en</w:t>
      </w:r>
      <w:r>
        <w:rPr>
          <w:spacing w:val="-3"/>
        </w:rPr>
        <w:t xml:space="preserve"> </w:t>
      </w:r>
      <w:r>
        <w:t>los territorios</w:t>
      </w:r>
      <w:r>
        <w:rPr>
          <w:spacing w:val="-6"/>
        </w:rPr>
        <w:t xml:space="preserve"> </w:t>
      </w:r>
      <w:r>
        <w:t>y</w:t>
      </w:r>
      <w:r>
        <w:rPr>
          <w:spacing w:val="-6"/>
        </w:rPr>
        <w:t xml:space="preserve"> </w:t>
      </w:r>
      <w:r>
        <w:t>afectó</w:t>
      </w:r>
      <w:r>
        <w:rPr>
          <w:spacing w:val="-5"/>
        </w:rPr>
        <w:t xml:space="preserve"> </w:t>
      </w:r>
      <w:r>
        <w:t>especialmente</w:t>
      </w:r>
      <w:r>
        <w:rPr>
          <w:spacing w:val="-6"/>
        </w:rPr>
        <w:t xml:space="preserve"> </w:t>
      </w:r>
      <w:r>
        <w:t>al</w:t>
      </w:r>
      <w:r>
        <w:rPr>
          <w:spacing w:val="-5"/>
        </w:rPr>
        <w:t xml:space="preserve"> </w:t>
      </w:r>
      <w:r>
        <w:t>campesinado.</w:t>
      </w:r>
      <w:r>
        <w:rPr>
          <w:spacing w:val="-6"/>
        </w:rPr>
        <w:t xml:space="preserve"> </w:t>
      </w:r>
      <w:r>
        <w:t>La</w:t>
      </w:r>
      <w:r>
        <w:rPr>
          <w:spacing w:val="-4"/>
        </w:rPr>
        <w:t xml:space="preserve"> </w:t>
      </w:r>
      <w:r>
        <w:t>presión</w:t>
      </w:r>
      <w:r>
        <w:rPr>
          <w:spacing w:val="-6"/>
        </w:rPr>
        <w:t xml:space="preserve"> </w:t>
      </w:r>
      <w:r>
        <w:t>por</w:t>
      </w:r>
      <w:r>
        <w:rPr>
          <w:spacing w:val="-4"/>
        </w:rPr>
        <w:t xml:space="preserve"> </w:t>
      </w:r>
      <w:r>
        <w:t>bajas</w:t>
      </w:r>
      <w:r>
        <w:rPr>
          <w:spacing w:val="-4"/>
        </w:rPr>
        <w:t xml:space="preserve"> </w:t>
      </w:r>
      <w:r>
        <w:t>en</w:t>
      </w:r>
      <w:r>
        <w:rPr>
          <w:spacing w:val="-7"/>
        </w:rPr>
        <w:t xml:space="preserve"> </w:t>
      </w:r>
      <w:r>
        <w:t>combate</w:t>
      </w:r>
      <w:r>
        <w:rPr>
          <w:spacing w:val="-4"/>
        </w:rPr>
        <w:t xml:space="preserve"> </w:t>
      </w:r>
      <w:r>
        <w:t>aumentó en las Fuerzas Armadas, lo cual alentó la comisión de crímenes muy graves, como los llamados «falsos positivos», en los que se presentaba como guerrilleros dados de baja a personas inocentes y asesinadas en estado de indefensión.</w:t>
      </w:r>
    </w:p>
    <w:p w:rsidR="003804AC" w:rsidRDefault="00AF18A5" w:rsidP="00640067">
      <w:r>
        <w:t>La idea del enemigo impidió que las propuestas se discutieran y se resolvieran en democracia</w:t>
      </w:r>
      <w:r>
        <w:rPr>
          <w:spacing w:val="-15"/>
        </w:rPr>
        <w:t xml:space="preserve"> </w:t>
      </w:r>
      <w:r>
        <w:t>y</w:t>
      </w:r>
      <w:r>
        <w:rPr>
          <w:spacing w:val="-15"/>
        </w:rPr>
        <w:t xml:space="preserve"> </w:t>
      </w:r>
      <w:r>
        <w:t>simplificó</w:t>
      </w:r>
      <w:r>
        <w:rPr>
          <w:spacing w:val="-15"/>
        </w:rPr>
        <w:t xml:space="preserve"> </w:t>
      </w:r>
      <w:r>
        <w:t>las</w:t>
      </w:r>
      <w:r>
        <w:rPr>
          <w:spacing w:val="-14"/>
        </w:rPr>
        <w:t xml:space="preserve"> </w:t>
      </w:r>
      <w:r>
        <w:t>tensiones</w:t>
      </w:r>
      <w:r>
        <w:rPr>
          <w:spacing w:val="-15"/>
        </w:rPr>
        <w:t xml:space="preserve"> </w:t>
      </w:r>
      <w:r>
        <w:t>que</w:t>
      </w:r>
      <w:r>
        <w:rPr>
          <w:spacing w:val="-15"/>
        </w:rPr>
        <w:t xml:space="preserve"> </w:t>
      </w:r>
      <w:r>
        <w:t>existían</w:t>
      </w:r>
      <w:r>
        <w:rPr>
          <w:spacing w:val="-15"/>
        </w:rPr>
        <w:t xml:space="preserve"> </w:t>
      </w:r>
      <w:r>
        <w:t>alrededor</w:t>
      </w:r>
      <w:r>
        <w:rPr>
          <w:spacing w:val="-14"/>
        </w:rPr>
        <w:t xml:space="preserve"> </w:t>
      </w:r>
      <w:r>
        <w:t>de</w:t>
      </w:r>
      <w:r>
        <w:rPr>
          <w:spacing w:val="-15"/>
        </w:rPr>
        <w:t xml:space="preserve"> </w:t>
      </w:r>
      <w:r>
        <w:t>la</w:t>
      </w:r>
      <w:r>
        <w:rPr>
          <w:spacing w:val="-14"/>
        </w:rPr>
        <w:t xml:space="preserve"> </w:t>
      </w:r>
      <w:r>
        <w:t>agenda</w:t>
      </w:r>
      <w:r>
        <w:rPr>
          <w:spacing w:val="-15"/>
        </w:rPr>
        <w:t xml:space="preserve"> </w:t>
      </w:r>
      <w:r>
        <w:t>política,</w:t>
      </w:r>
      <w:r>
        <w:rPr>
          <w:spacing w:val="-14"/>
        </w:rPr>
        <w:t xml:space="preserve"> </w:t>
      </w:r>
      <w:r>
        <w:t>económica y</w:t>
      </w:r>
      <w:r>
        <w:rPr>
          <w:spacing w:val="-2"/>
        </w:rPr>
        <w:t xml:space="preserve"> </w:t>
      </w:r>
      <w:r>
        <w:t>social</w:t>
      </w:r>
      <w:r>
        <w:rPr>
          <w:spacing w:val="-2"/>
        </w:rPr>
        <w:t xml:space="preserve"> </w:t>
      </w:r>
      <w:r>
        <w:t>del</w:t>
      </w:r>
      <w:r>
        <w:rPr>
          <w:spacing w:val="-4"/>
        </w:rPr>
        <w:t xml:space="preserve"> </w:t>
      </w:r>
      <w:r>
        <w:t>país,</w:t>
      </w:r>
      <w:r>
        <w:rPr>
          <w:spacing w:val="-2"/>
        </w:rPr>
        <w:t xml:space="preserve"> </w:t>
      </w:r>
      <w:r>
        <w:t>pues</w:t>
      </w:r>
      <w:r>
        <w:rPr>
          <w:spacing w:val="-3"/>
        </w:rPr>
        <w:t xml:space="preserve"> </w:t>
      </w:r>
      <w:r>
        <w:t>la</w:t>
      </w:r>
      <w:r>
        <w:rPr>
          <w:spacing w:val="-3"/>
        </w:rPr>
        <w:t xml:space="preserve"> </w:t>
      </w:r>
      <w:r>
        <w:t>estigmatización</w:t>
      </w:r>
      <w:r>
        <w:rPr>
          <w:spacing w:val="-2"/>
        </w:rPr>
        <w:t xml:space="preserve"> </w:t>
      </w:r>
      <w:r>
        <w:t>de</w:t>
      </w:r>
      <w:r>
        <w:rPr>
          <w:spacing w:val="-3"/>
        </w:rPr>
        <w:t xml:space="preserve"> </w:t>
      </w:r>
      <w:r>
        <w:t>las</w:t>
      </w:r>
      <w:r>
        <w:rPr>
          <w:spacing w:val="-2"/>
        </w:rPr>
        <w:t xml:space="preserve"> </w:t>
      </w:r>
      <w:r>
        <w:t>visiones</w:t>
      </w:r>
      <w:r>
        <w:rPr>
          <w:spacing w:val="-3"/>
        </w:rPr>
        <w:t xml:space="preserve"> </w:t>
      </w:r>
      <w:r>
        <w:t>reformistas</w:t>
      </w:r>
      <w:r>
        <w:rPr>
          <w:spacing w:val="-2"/>
        </w:rPr>
        <w:t xml:space="preserve"> </w:t>
      </w:r>
      <w:r>
        <w:t>justificó</w:t>
      </w:r>
      <w:r>
        <w:rPr>
          <w:spacing w:val="-2"/>
        </w:rPr>
        <w:t xml:space="preserve"> </w:t>
      </w:r>
      <w:r>
        <w:t>su</w:t>
      </w:r>
      <w:r>
        <w:rPr>
          <w:spacing w:val="-2"/>
        </w:rPr>
        <w:t xml:space="preserve"> </w:t>
      </w:r>
      <w:r>
        <w:t>persecución y</w:t>
      </w:r>
      <w:r>
        <w:rPr>
          <w:spacing w:val="-12"/>
        </w:rPr>
        <w:t xml:space="preserve"> </w:t>
      </w:r>
      <w:r>
        <w:t>la</w:t>
      </w:r>
      <w:r>
        <w:rPr>
          <w:spacing w:val="-12"/>
        </w:rPr>
        <w:t xml:space="preserve"> </w:t>
      </w:r>
      <w:r>
        <w:t>extensión</w:t>
      </w:r>
      <w:r>
        <w:rPr>
          <w:spacing w:val="-12"/>
        </w:rPr>
        <w:t xml:space="preserve"> </w:t>
      </w:r>
      <w:r>
        <w:t>de</w:t>
      </w:r>
      <w:r>
        <w:rPr>
          <w:spacing w:val="-12"/>
        </w:rPr>
        <w:t xml:space="preserve"> </w:t>
      </w:r>
      <w:r>
        <w:t>la</w:t>
      </w:r>
      <w:r>
        <w:rPr>
          <w:spacing w:val="-12"/>
        </w:rPr>
        <w:t xml:space="preserve"> </w:t>
      </w:r>
      <w:r>
        <w:t>sospecha</w:t>
      </w:r>
      <w:r>
        <w:rPr>
          <w:spacing w:val="-12"/>
        </w:rPr>
        <w:t xml:space="preserve"> </w:t>
      </w:r>
      <w:r>
        <w:t>contra</w:t>
      </w:r>
      <w:r>
        <w:rPr>
          <w:spacing w:val="-12"/>
        </w:rPr>
        <w:t xml:space="preserve"> </w:t>
      </w:r>
      <w:r>
        <w:t>las</w:t>
      </w:r>
      <w:r>
        <w:rPr>
          <w:spacing w:val="-12"/>
        </w:rPr>
        <w:t xml:space="preserve"> </w:t>
      </w:r>
      <w:r>
        <w:t>alternativas</w:t>
      </w:r>
      <w:r>
        <w:rPr>
          <w:spacing w:val="-12"/>
        </w:rPr>
        <w:t xml:space="preserve"> </w:t>
      </w:r>
      <w:r>
        <w:t>sociales</w:t>
      </w:r>
      <w:r>
        <w:rPr>
          <w:spacing w:val="-12"/>
        </w:rPr>
        <w:t xml:space="preserve"> </w:t>
      </w:r>
      <w:r>
        <w:t>y</w:t>
      </w:r>
      <w:r>
        <w:rPr>
          <w:spacing w:val="-13"/>
        </w:rPr>
        <w:t xml:space="preserve"> </w:t>
      </w:r>
      <w:r>
        <w:t>políticas.</w:t>
      </w:r>
      <w:r>
        <w:rPr>
          <w:spacing w:val="-13"/>
        </w:rPr>
        <w:t xml:space="preserve"> </w:t>
      </w:r>
      <w:r>
        <w:t>También</w:t>
      </w:r>
      <w:r>
        <w:rPr>
          <w:spacing w:val="-13"/>
        </w:rPr>
        <w:t xml:space="preserve"> </w:t>
      </w:r>
      <w:r>
        <w:t>tuvo</w:t>
      </w:r>
      <w:r>
        <w:rPr>
          <w:spacing w:val="-13"/>
        </w:rPr>
        <w:t xml:space="preserve"> </w:t>
      </w:r>
      <w:r>
        <w:t>un</w:t>
      </w:r>
      <w:r>
        <w:rPr>
          <w:spacing w:val="-12"/>
        </w:rPr>
        <w:t xml:space="preserve"> </w:t>
      </w:r>
      <w:r>
        <w:t xml:space="preserve">alto impacto en la cultura política y social, debido a que instaló en el imaginario colectivo una fuerte asociación entre oposición política o alternatividad social con el riesgo de estigmatización y </w:t>
      </w:r>
      <w:r>
        <w:lastRenderedPageBreak/>
        <w:t>persecución; por lo tanto, el miedo y el señalamiento como impactos en buena parte de esos sectores sociales.</w:t>
      </w:r>
    </w:p>
    <w:p w:rsidR="003804AC" w:rsidRDefault="00AF18A5" w:rsidP="00640067">
      <w:r>
        <w:t>Así, en la guerra, las Fuerzas Armadas y los organismos de seguridad no han perseguido únicamente a los guerrilleros, terroristas o narcotraficantes, sino también a campesinos, sindicalistas, indígenas, afrodescendientes y estudiantes, así como a los integrantes de la oposición política y de organizaciones sociales y de mujeres. También se ha perseguido a quienes denuncian o hacen control de los abusos, como periodistas, defensores de derechos humanos</w:t>
      </w:r>
      <w:r>
        <w:rPr>
          <w:spacing w:val="-15"/>
        </w:rPr>
        <w:t xml:space="preserve"> </w:t>
      </w:r>
      <w:r>
        <w:t>e</w:t>
      </w:r>
      <w:r>
        <w:rPr>
          <w:spacing w:val="-15"/>
        </w:rPr>
        <w:t xml:space="preserve"> </w:t>
      </w:r>
      <w:r>
        <w:t>incluso</w:t>
      </w:r>
      <w:r>
        <w:rPr>
          <w:spacing w:val="-15"/>
        </w:rPr>
        <w:t xml:space="preserve"> </w:t>
      </w:r>
      <w:r>
        <w:t>a</w:t>
      </w:r>
      <w:r>
        <w:rPr>
          <w:spacing w:val="-15"/>
        </w:rPr>
        <w:t xml:space="preserve"> </w:t>
      </w:r>
      <w:r>
        <w:t>empleados</w:t>
      </w:r>
      <w:r>
        <w:rPr>
          <w:spacing w:val="-15"/>
        </w:rPr>
        <w:t xml:space="preserve"> </w:t>
      </w:r>
      <w:r>
        <w:t>públicos,</w:t>
      </w:r>
      <w:r>
        <w:rPr>
          <w:spacing w:val="-15"/>
        </w:rPr>
        <w:t xml:space="preserve"> </w:t>
      </w:r>
      <w:r>
        <w:t>particularmente</w:t>
      </w:r>
      <w:r>
        <w:rPr>
          <w:spacing w:val="-15"/>
        </w:rPr>
        <w:t xml:space="preserve"> </w:t>
      </w:r>
      <w:r>
        <w:t>jueces</w:t>
      </w:r>
      <w:r>
        <w:rPr>
          <w:spacing w:val="-15"/>
        </w:rPr>
        <w:t xml:space="preserve"> </w:t>
      </w:r>
      <w:r>
        <w:t>y</w:t>
      </w:r>
      <w:r>
        <w:rPr>
          <w:spacing w:val="-15"/>
        </w:rPr>
        <w:t xml:space="preserve"> </w:t>
      </w:r>
      <w:r>
        <w:t>magistrados,</w:t>
      </w:r>
      <w:r>
        <w:rPr>
          <w:spacing w:val="-15"/>
        </w:rPr>
        <w:t xml:space="preserve"> </w:t>
      </w:r>
      <w:r>
        <w:t>que</w:t>
      </w:r>
      <w:r>
        <w:rPr>
          <w:spacing w:val="-15"/>
        </w:rPr>
        <w:t xml:space="preserve"> </w:t>
      </w:r>
      <w:r>
        <w:t>en</w:t>
      </w:r>
      <w:r>
        <w:rPr>
          <w:spacing w:val="-15"/>
        </w:rPr>
        <w:t xml:space="preserve"> </w:t>
      </w:r>
      <w:r>
        <w:t>virtud del ejercicio de su función terminaron siendo vistos como obstáculos para la estrategia de guerra o para la impunidad de los crímenes que se cometieron. Estos hechos han sido expuestos</w:t>
      </w:r>
      <w:r>
        <w:rPr>
          <w:spacing w:val="12"/>
        </w:rPr>
        <w:t xml:space="preserve"> </w:t>
      </w:r>
      <w:r>
        <w:t>ante</w:t>
      </w:r>
      <w:r>
        <w:rPr>
          <w:spacing w:val="16"/>
        </w:rPr>
        <w:t xml:space="preserve"> </w:t>
      </w:r>
      <w:r>
        <w:t>la</w:t>
      </w:r>
      <w:r>
        <w:rPr>
          <w:spacing w:val="15"/>
        </w:rPr>
        <w:t xml:space="preserve"> </w:t>
      </w:r>
      <w:r>
        <w:t>justicia</w:t>
      </w:r>
      <w:r>
        <w:rPr>
          <w:spacing w:val="16"/>
        </w:rPr>
        <w:t xml:space="preserve"> </w:t>
      </w:r>
      <w:r>
        <w:t>nacional</w:t>
      </w:r>
      <w:r>
        <w:rPr>
          <w:spacing w:val="16"/>
        </w:rPr>
        <w:t xml:space="preserve"> </w:t>
      </w:r>
      <w:r>
        <w:t>y</w:t>
      </w:r>
      <w:r>
        <w:rPr>
          <w:spacing w:val="14"/>
        </w:rPr>
        <w:t xml:space="preserve"> </w:t>
      </w:r>
      <w:r>
        <w:t>los</w:t>
      </w:r>
      <w:r>
        <w:rPr>
          <w:spacing w:val="15"/>
        </w:rPr>
        <w:t xml:space="preserve"> </w:t>
      </w:r>
      <w:r>
        <w:t>organismos</w:t>
      </w:r>
      <w:r>
        <w:rPr>
          <w:spacing w:val="15"/>
        </w:rPr>
        <w:t xml:space="preserve"> </w:t>
      </w:r>
      <w:r>
        <w:t>internacionales</w:t>
      </w:r>
      <w:r>
        <w:rPr>
          <w:spacing w:val="15"/>
        </w:rPr>
        <w:t xml:space="preserve"> </w:t>
      </w:r>
      <w:r>
        <w:t>de</w:t>
      </w:r>
      <w:r>
        <w:rPr>
          <w:spacing w:val="14"/>
        </w:rPr>
        <w:t xml:space="preserve"> </w:t>
      </w:r>
      <w:r>
        <w:t>derechos</w:t>
      </w:r>
      <w:r>
        <w:rPr>
          <w:spacing w:val="15"/>
        </w:rPr>
        <w:t xml:space="preserve"> </w:t>
      </w:r>
      <w:r>
        <w:rPr>
          <w:spacing w:val="-2"/>
        </w:rPr>
        <w:t>humanos,</w:t>
      </w:r>
      <w:r w:rsidR="00640067">
        <w:t xml:space="preserve"> </w:t>
      </w:r>
      <w:r>
        <w:t>que</w:t>
      </w:r>
      <w:r>
        <w:rPr>
          <w:spacing w:val="-6"/>
        </w:rPr>
        <w:t xml:space="preserve"> </w:t>
      </w:r>
      <w:r>
        <w:t>han</w:t>
      </w:r>
      <w:r>
        <w:rPr>
          <w:spacing w:val="-6"/>
        </w:rPr>
        <w:t xml:space="preserve"> </w:t>
      </w:r>
      <w:r>
        <w:t>establecido</w:t>
      </w:r>
      <w:r>
        <w:rPr>
          <w:spacing w:val="-6"/>
        </w:rPr>
        <w:t xml:space="preserve"> </w:t>
      </w:r>
      <w:r>
        <w:t>la</w:t>
      </w:r>
      <w:r>
        <w:rPr>
          <w:spacing w:val="-6"/>
        </w:rPr>
        <w:t xml:space="preserve"> </w:t>
      </w:r>
      <w:r>
        <w:t>responsabilidad</w:t>
      </w:r>
      <w:r>
        <w:rPr>
          <w:spacing w:val="-6"/>
        </w:rPr>
        <w:t xml:space="preserve"> </w:t>
      </w:r>
      <w:r>
        <w:t>del</w:t>
      </w:r>
      <w:r>
        <w:rPr>
          <w:spacing w:val="-6"/>
        </w:rPr>
        <w:t xml:space="preserve"> </w:t>
      </w:r>
      <w:r>
        <w:t>Estado</w:t>
      </w:r>
      <w:r>
        <w:rPr>
          <w:spacing w:val="-6"/>
        </w:rPr>
        <w:t xml:space="preserve"> </w:t>
      </w:r>
      <w:r>
        <w:t>por</w:t>
      </w:r>
      <w:r>
        <w:rPr>
          <w:spacing w:val="-6"/>
        </w:rPr>
        <w:t xml:space="preserve"> </w:t>
      </w:r>
      <w:r>
        <w:t>muchos</w:t>
      </w:r>
      <w:r>
        <w:rPr>
          <w:spacing w:val="-6"/>
        </w:rPr>
        <w:t xml:space="preserve"> </w:t>
      </w:r>
      <w:r>
        <w:t>de</w:t>
      </w:r>
      <w:r>
        <w:rPr>
          <w:spacing w:val="-6"/>
        </w:rPr>
        <w:t xml:space="preserve"> </w:t>
      </w:r>
      <w:r>
        <w:t>estos</w:t>
      </w:r>
      <w:r>
        <w:rPr>
          <w:spacing w:val="-6"/>
        </w:rPr>
        <w:t xml:space="preserve"> </w:t>
      </w:r>
      <w:r>
        <w:t>hechos.</w:t>
      </w:r>
      <w:r>
        <w:rPr>
          <w:spacing w:val="-6"/>
        </w:rPr>
        <w:t xml:space="preserve"> </w:t>
      </w:r>
      <w:r>
        <w:t>También</w:t>
      </w:r>
      <w:r>
        <w:rPr>
          <w:spacing w:val="-6"/>
        </w:rPr>
        <w:t xml:space="preserve"> </w:t>
      </w:r>
      <w:r>
        <w:t xml:space="preserve">hay numerosas sentencias nacionales, incluyendo las del Consejo de Estado, sobre casos de torturas, desaparición forzada, ejecuciones extrajudiciales desplazamiento forzado o exilio, </w:t>
      </w:r>
      <w:r>
        <w:rPr>
          <w:spacing w:val="-2"/>
        </w:rPr>
        <w:t>fundamentalmente</w:t>
      </w:r>
      <w:r w:rsidR="00640067">
        <w:rPr>
          <w:rStyle w:val="Refdenotaalpie"/>
          <w:spacing w:val="-2"/>
        </w:rPr>
        <w:footnoteReference w:id="741"/>
      </w:r>
      <w:r>
        <w:rPr>
          <w:spacing w:val="-2"/>
        </w:rPr>
        <w:t>.</w:t>
      </w:r>
    </w:p>
    <w:p w:rsidR="003804AC" w:rsidRDefault="00AF18A5" w:rsidP="00640067">
      <w:r>
        <w:t>En</w:t>
      </w:r>
      <w:r>
        <w:rPr>
          <w:spacing w:val="-15"/>
        </w:rPr>
        <w:t xml:space="preserve"> </w:t>
      </w:r>
      <w:r>
        <w:t>una</w:t>
      </w:r>
      <w:r>
        <w:rPr>
          <w:spacing w:val="-15"/>
        </w:rPr>
        <w:t xml:space="preserve"> </w:t>
      </w:r>
      <w:r>
        <w:t>primera</w:t>
      </w:r>
      <w:r>
        <w:rPr>
          <w:spacing w:val="-15"/>
        </w:rPr>
        <w:t xml:space="preserve"> </w:t>
      </w:r>
      <w:r>
        <w:t>etapa,</w:t>
      </w:r>
      <w:r>
        <w:rPr>
          <w:spacing w:val="-15"/>
        </w:rPr>
        <w:t xml:space="preserve"> </w:t>
      </w:r>
      <w:r>
        <w:t>se</w:t>
      </w:r>
      <w:r>
        <w:rPr>
          <w:spacing w:val="-15"/>
        </w:rPr>
        <w:t xml:space="preserve"> </w:t>
      </w:r>
      <w:r>
        <w:t>adoptó</w:t>
      </w:r>
      <w:r>
        <w:rPr>
          <w:spacing w:val="-15"/>
        </w:rPr>
        <w:t xml:space="preserve"> </w:t>
      </w:r>
      <w:r>
        <w:t>la</w:t>
      </w:r>
      <w:r>
        <w:rPr>
          <w:spacing w:val="-15"/>
        </w:rPr>
        <w:t xml:space="preserve"> </w:t>
      </w:r>
      <w:r>
        <w:t>doctrina</w:t>
      </w:r>
      <w:r>
        <w:rPr>
          <w:spacing w:val="-15"/>
        </w:rPr>
        <w:t xml:space="preserve"> </w:t>
      </w:r>
      <w:r>
        <w:t>de</w:t>
      </w:r>
      <w:r>
        <w:rPr>
          <w:spacing w:val="-15"/>
        </w:rPr>
        <w:t xml:space="preserve"> </w:t>
      </w:r>
      <w:r>
        <w:t>la</w:t>
      </w:r>
      <w:r>
        <w:rPr>
          <w:spacing w:val="-15"/>
        </w:rPr>
        <w:t xml:space="preserve"> </w:t>
      </w:r>
      <w:r>
        <w:t>seguridad</w:t>
      </w:r>
      <w:r>
        <w:rPr>
          <w:spacing w:val="-15"/>
        </w:rPr>
        <w:t xml:space="preserve"> </w:t>
      </w:r>
      <w:r>
        <w:t>nacional,</w:t>
      </w:r>
      <w:r>
        <w:rPr>
          <w:spacing w:val="-15"/>
        </w:rPr>
        <w:t xml:space="preserve"> </w:t>
      </w:r>
      <w:r>
        <w:t>no</w:t>
      </w:r>
      <w:r>
        <w:rPr>
          <w:spacing w:val="-15"/>
        </w:rPr>
        <w:t xml:space="preserve"> </w:t>
      </w:r>
      <w:r>
        <w:t>solo</w:t>
      </w:r>
      <w:r>
        <w:rPr>
          <w:spacing w:val="-15"/>
        </w:rPr>
        <w:t xml:space="preserve"> </w:t>
      </w:r>
      <w:r>
        <w:t>por</w:t>
      </w:r>
      <w:r>
        <w:rPr>
          <w:spacing w:val="-15"/>
        </w:rPr>
        <w:t xml:space="preserve"> </w:t>
      </w:r>
      <w:r>
        <w:t xml:space="preserve">influencia de Estados Unidos, sino también porque resultaba funcional a los intereses de los sectores con poder político, económico y social del país. Por ejemplo, antes de la fundación del Partido Comunista, en 1930, los sectores más conservadores de la sociedad rechazaban el comunismo y calificaban a sus seguidores como ateos y </w:t>
      </w:r>
      <w:r>
        <w:lastRenderedPageBreak/>
        <w:t>fomentadores del desorden. Esta mentalidad</w:t>
      </w:r>
      <w:r>
        <w:rPr>
          <w:spacing w:val="-11"/>
        </w:rPr>
        <w:t xml:space="preserve"> </w:t>
      </w:r>
      <w:r>
        <w:t>también</w:t>
      </w:r>
      <w:r>
        <w:rPr>
          <w:spacing w:val="-11"/>
        </w:rPr>
        <w:t xml:space="preserve"> </w:t>
      </w:r>
      <w:r>
        <w:t>había</w:t>
      </w:r>
      <w:r>
        <w:rPr>
          <w:spacing w:val="-9"/>
        </w:rPr>
        <w:t xml:space="preserve"> </w:t>
      </w:r>
      <w:r>
        <w:t>irradiado</w:t>
      </w:r>
      <w:r>
        <w:rPr>
          <w:spacing w:val="-11"/>
        </w:rPr>
        <w:t xml:space="preserve"> </w:t>
      </w:r>
      <w:r>
        <w:t>la</w:t>
      </w:r>
      <w:r>
        <w:rPr>
          <w:spacing w:val="-9"/>
        </w:rPr>
        <w:t xml:space="preserve"> </w:t>
      </w:r>
      <w:r>
        <w:t>persecución</w:t>
      </w:r>
      <w:r>
        <w:rPr>
          <w:spacing w:val="-9"/>
        </w:rPr>
        <w:t xml:space="preserve"> </w:t>
      </w:r>
      <w:r>
        <w:t>durante</w:t>
      </w:r>
      <w:r>
        <w:rPr>
          <w:spacing w:val="-11"/>
        </w:rPr>
        <w:t xml:space="preserve"> </w:t>
      </w:r>
      <w:r>
        <w:t>la</w:t>
      </w:r>
      <w:r>
        <w:rPr>
          <w:spacing w:val="-10"/>
        </w:rPr>
        <w:t xml:space="preserve"> </w:t>
      </w:r>
      <w:r>
        <w:t>Violencia</w:t>
      </w:r>
      <w:r>
        <w:rPr>
          <w:spacing w:val="-9"/>
        </w:rPr>
        <w:t xml:space="preserve"> </w:t>
      </w:r>
      <w:r>
        <w:t>de</w:t>
      </w:r>
      <w:r>
        <w:rPr>
          <w:spacing w:val="-10"/>
        </w:rPr>
        <w:t xml:space="preserve"> </w:t>
      </w:r>
      <w:r>
        <w:t>los</w:t>
      </w:r>
      <w:r>
        <w:rPr>
          <w:spacing w:val="-11"/>
        </w:rPr>
        <w:t xml:space="preserve"> </w:t>
      </w:r>
      <w:r>
        <w:t>conservadores contra</w:t>
      </w:r>
      <w:r>
        <w:rPr>
          <w:spacing w:val="-10"/>
        </w:rPr>
        <w:t xml:space="preserve"> </w:t>
      </w:r>
      <w:r>
        <w:t>las</w:t>
      </w:r>
      <w:r>
        <w:rPr>
          <w:spacing w:val="-8"/>
        </w:rPr>
        <w:t xml:space="preserve"> </w:t>
      </w:r>
      <w:r>
        <w:t>guerrillas</w:t>
      </w:r>
      <w:r>
        <w:rPr>
          <w:spacing w:val="-8"/>
        </w:rPr>
        <w:t xml:space="preserve"> </w:t>
      </w:r>
      <w:r>
        <w:t>liberales</w:t>
      </w:r>
      <w:r>
        <w:rPr>
          <w:spacing w:val="-8"/>
        </w:rPr>
        <w:t xml:space="preserve"> </w:t>
      </w:r>
      <w:r>
        <w:t>y</w:t>
      </w:r>
      <w:r>
        <w:rPr>
          <w:spacing w:val="-9"/>
        </w:rPr>
        <w:t xml:space="preserve"> </w:t>
      </w:r>
      <w:r>
        <w:t>comunistas,</w:t>
      </w:r>
      <w:r>
        <w:rPr>
          <w:spacing w:val="-10"/>
        </w:rPr>
        <w:t xml:space="preserve"> </w:t>
      </w:r>
      <w:r>
        <w:t>a</w:t>
      </w:r>
      <w:r>
        <w:rPr>
          <w:spacing w:val="-8"/>
        </w:rPr>
        <w:t xml:space="preserve"> </w:t>
      </w:r>
      <w:r>
        <w:t>través</w:t>
      </w:r>
      <w:r>
        <w:rPr>
          <w:spacing w:val="-8"/>
        </w:rPr>
        <w:t xml:space="preserve"> </w:t>
      </w:r>
      <w:r>
        <w:t>de</w:t>
      </w:r>
      <w:r>
        <w:rPr>
          <w:spacing w:val="-8"/>
        </w:rPr>
        <w:t xml:space="preserve"> </w:t>
      </w:r>
      <w:r>
        <w:t>pájaros</w:t>
      </w:r>
      <w:r w:rsidR="00640067">
        <w:rPr>
          <w:rStyle w:val="Refdenotaalpie"/>
        </w:rPr>
        <w:footnoteReference w:id="742"/>
      </w:r>
      <w:r>
        <w:rPr>
          <w:spacing w:val="-8"/>
        </w:rPr>
        <w:t xml:space="preserve"> </w:t>
      </w:r>
      <w:r>
        <w:t>y</w:t>
      </w:r>
      <w:r>
        <w:rPr>
          <w:spacing w:val="-9"/>
        </w:rPr>
        <w:t xml:space="preserve"> </w:t>
      </w:r>
      <w:proofErr w:type="spellStart"/>
      <w:r>
        <w:t>chulavitas</w:t>
      </w:r>
      <w:proofErr w:type="spellEnd"/>
      <w:r w:rsidR="00640067">
        <w:rPr>
          <w:rStyle w:val="Refdenotaalpie"/>
        </w:rPr>
        <w:footnoteReference w:id="743"/>
      </w:r>
      <w:r>
        <w:t>,</w:t>
      </w:r>
      <w:r>
        <w:rPr>
          <w:spacing w:val="-9"/>
        </w:rPr>
        <w:t xml:space="preserve"> </w:t>
      </w:r>
      <w:r>
        <w:t>y</w:t>
      </w:r>
      <w:r>
        <w:rPr>
          <w:spacing w:val="-9"/>
        </w:rPr>
        <w:t xml:space="preserve"> </w:t>
      </w:r>
      <w:r>
        <w:t>se</w:t>
      </w:r>
      <w:r>
        <w:rPr>
          <w:spacing w:val="-9"/>
        </w:rPr>
        <w:t xml:space="preserve"> </w:t>
      </w:r>
      <w:r>
        <w:t xml:space="preserve">tradujo </w:t>
      </w:r>
      <w:r>
        <w:rPr>
          <w:spacing w:val="-2"/>
        </w:rPr>
        <w:t>durante</w:t>
      </w:r>
      <w:r>
        <w:rPr>
          <w:spacing w:val="-7"/>
        </w:rPr>
        <w:t xml:space="preserve"> </w:t>
      </w:r>
      <w:r>
        <w:rPr>
          <w:spacing w:val="-2"/>
        </w:rPr>
        <w:t>el</w:t>
      </w:r>
      <w:r>
        <w:rPr>
          <w:spacing w:val="-7"/>
        </w:rPr>
        <w:t xml:space="preserve"> </w:t>
      </w:r>
      <w:r>
        <w:rPr>
          <w:spacing w:val="-2"/>
        </w:rPr>
        <w:t>gobierno</w:t>
      </w:r>
      <w:r>
        <w:rPr>
          <w:spacing w:val="-6"/>
        </w:rPr>
        <w:t xml:space="preserve"> </w:t>
      </w:r>
      <w:r>
        <w:rPr>
          <w:spacing w:val="-2"/>
        </w:rPr>
        <w:t>de</w:t>
      </w:r>
      <w:r>
        <w:rPr>
          <w:spacing w:val="-6"/>
        </w:rPr>
        <w:t xml:space="preserve"> </w:t>
      </w:r>
      <w:r>
        <w:rPr>
          <w:spacing w:val="-2"/>
        </w:rPr>
        <w:t>Rojas</w:t>
      </w:r>
      <w:r>
        <w:rPr>
          <w:spacing w:val="-6"/>
        </w:rPr>
        <w:t xml:space="preserve"> </w:t>
      </w:r>
      <w:r>
        <w:rPr>
          <w:spacing w:val="-2"/>
        </w:rPr>
        <w:t>Pinilla</w:t>
      </w:r>
      <w:r>
        <w:rPr>
          <w:spacing w:val="-6"/>
        </w:rPr>
        <w:t xml:space="preserve"> </w:t>
      </w:r>
      <w:r>
        <w:rPr>
          <w:spacing w:val="-2"/>
        </w:rPr>
        <w:t>en</w:t>
      </w:r>
      <w:r>
        <w:rPr>
          <w:spacing w:val="-7"/>
        </w:rPr>
        <w:t xml:space="preserve"> </w:t>
      </w:r>
      <w:r>
        <w:rPr>
          <w:spacing w:val="-2"/>
        </w:rPr>
        <w:t>la</w:t>
      </w:r>
      <w:r>
        <w:rPr>
          <w:spacing w:val="-6"/>
        </w:rPr>
        <w:t xml:space="preserve"> </w:t>
      </w:r>
      <w:r>
        <w:rPr>
          <w:spacing w:val="-2"/>
        </w:rPr>
        <w:t>prohibición</w:t>
      </w:r>
      <w:r>
        <w:rPr>
          <w:spacing w:val="-6"/>
        </w:rPr>
        <w:t xml:space="preserve"> </w:t>
      </w:r>
      <w:r>
        <w:rPr>
          <w:spacing w:val="-2"/>
        </w:rPr>
        <w:t>del</w:t>
      </w:r>
      <w:r>
        <w:rPr>
          <w:spacing w:val="-5"/>
        </w:rPr>
        <w:t xml:space="preserve"> </w:t>
      </w:r>
      <w:r>
        <w:rPr>
          <w:spacing w:val="-2"/>
        </w:rPr>
        <w:t>Partido</w:t>
      </w:r>
      <w:r>
        <w:rPr>
          <w:spacing w:val="-6"/>
        </w:rPr>
        <w:t xml:space="preserve"> </w:t>
      </w:r>
      <w:r>
        <w:rPr>
          <w:spacing w:val="-2"/>
        </w:rPr>
        <w:t>Comunista</w:t>
      </w:r>
      <w:r>
        <w:rPr>
          <w:spacing w:val="-7"/>
        </w:rPr>
        <w:t xml:space="preserve"> </w:t>
      </w:r>
      <w:r>
        <w:rPr>
          <w:spacing w:val="-2"/>
        </w:rPr>
        <w:t>en</w:t>
      </w:r>
      <w:r>
        <w:rPr>
          <w:spacing w:val="-6"/>
        </w:rPr>
        <w:t xml:space="preserve"> </w:t>
      </w:r>
      <w:r>
        <w:rPr>
          <w:spacing w:val="-2"/>
        </w:rPr>
        <w:t>1953,</w:t>
      </w:r>
      <w:r>
        <w:rPr>
          <w:spacing w:val="-6"/>
        </w:rPr>
        <w:t xml:space="preserve"> </w:t>
      </w:r>
      <w:r>
        <w:rPr>
          <w:spacing w:val="-2"/>
        </w:rPr>
        <w:t xml:space="preserve">después </w:t>
      </w:r>
      <w:r>
        <w:t>de la amnistía a las guerrillas liberales.</w:t>
      </w:r>
    </w:p>
    <w:p w:rsidR="00640067" w:rsidRDefault="00640067" w:rsidP="00640067">
      <w:pPr>
        <w:pStyle w:val="Ttulo4"/>
      </w:pPr>
      <w:r>
        <w:t>Manuales de contrainsurgencia y población civil</w:t>
      </w:r>
    </w:p>
    <w:p w:rsidR="00640067" w:rsidRDefault="00640067" w:rsidP="00640067">
      <w:r>
        <w:t xml:space="preserve">Para 1958, el Frente Nacional había traído la pacificación entre las jerarquías de los partidos liberal y conservador, pero también había excluido a quienes no estaban representados en esos partidos. Las ideas </w:t>
      </w:r>
      <w:proofErr w:type="spellStart"/>
      <w:r>
        <w:t>gaitanistas</w:t>
      </w:r>
      <w:proofErr w:type="spellEnd"/>
      <w:r>
        <w:t>, comunistas y socialistas fueron homogeneizadas, excluidas, estigmatizadas y calificadas como enemigas que debían ser perseguidas por las fuerzas de seguridad, incluso antes de la conformación de las guerrillas. Dos años antes del surgimiento de las FARC y del ELN, el Manual de operaciones contra las fuerzas irregulares, publicado en 1962, definía estas fuerzas como unidades guerrilleras y «elementos secretos»</w:t>
      </w:r>
      <w:r>
        <w:rPr>
          <w:rStyle w:val="Refdenotaalpie"/>
        </w:rPr>
        <w:footnoteReference w:id="744"/>
      </w:r>
      <w:r>
        <w:t xml:space="preserve"> que desempeñaban «ocupaciones civiles» y tenían «su base de apoyo en la población local», especialmente entre «los grupos de familia y los vecinos» </w:t>
      </w:r>
      <w:r>
        <w:rPr>
          <w:rStyle w:val="Refdenotaalpie"/>
        </w:rPr>
        <w:footnoteReference w:id="745"/>
      </w:r>
      <w:r>
        <w:t xml:space="preserve"> de los combatientes irregulares. Según el Manual, «la estrecha relación entre la población civil y la fuerza irregular </w:t>
      </w:r>
      <w:r>
        <w:lastRenderedPageBreak/>
        <w:t>puede exigir la ejecución de drásticas medidas de control»</w:t>
      </w:r>
      <w:r>
        <w:rPr>
          <w:rStyle w:val="Refdenotaalpie"/>
        </w:rPr>
        <w:footnoteReference w:id="746"/>
      </w:r>
      <w:r>
        <w:t>.</w:t>
      </w:r>
    </w:p>
    <w:p w:rsidR="00640067" w:rsidRDefault="00640067" w:rsidP="00640067">
      <w:r>
        <w:t>Esta aproximación se mantuvo en las décadas siguientes, como lo evidencia un manual de 1979 que clasifica la población civil en la que apoya al Ejército (listas blancas), la que apoya a los grupos subversivos (listas negras) y aquella que tiene una posición indefinida respecto de los bandos en conflicto (listas grises)</w:t>
      </w:r>
      <w:r>
        <w:rPr>
          <w:rStyle w:val="Refdenotaalpie"/>
        </w:rPr>
        <w:footnoteReference w:id="747"/>
      </w:r>
      <w:r>
        <w:t>. El manual señalaba que la guerra revolucionaria se expresaba en «paros y huelgas» y en «la motivación y organización de grupos humanos por la lucha revolucionaria, estudiantado, obrerismo, empleados de servicios públicos, etc.»</w:t>
      </w:r>
      <w:r>
        <w:rPr>
          <w:rStyle w:val="Refdenotaalpie"/>
        </w:rPr>
        <w:footnoteReference w:id="748"/>
      </w:r>
      <w:r>
        <w:t>.</w:t>
      </w:r>
    </w:p>
    <w:p w:rsidR="003804AC" w:rsidRDefault="00AF18A5" w:rsidP="00640067">
      <w:bookmarkStart w:id="935" w:name="_bookmark813"/>
      <w:bookmarkStart w:id="936" w:name="_bookmark815"/>
      <w:bookmarkEnd w:id="935"/>
      <w:bookmarkEnd w:id="936"/>
      <w:r>
        <w:t>Entre</w:t>
      </w:r>
      <w:r>
        <w:rPr>
          <w:spacing w:val="74"/>
        </w:rPr>
        <w:t xml:space="preserve"> </w:t>
      </w:r>
      <w:r>
        <w:t>1958</w:t>
      </w:r>
      <w:r>
        <w:rPr>
          <w:spacing w:val="75"/>
        </w:rPr>
        <w:t xml:space="preserve"> </w:t>
      </w:r>
      <w:r>
        <w:t>y</w:t>
      </w:r>
      <w:r>
        <w:rPr>
          <w:spacing w:val="77"/>
        </w:rPr>
        <w:t xml:space="preserve"> </w:t>
      </w:r>
      <w:r>
        <w:t>1991,</w:t>
      </w:r>
      <w:r>
        <w:rPr>
          <w:spacing w:val="77"/>
        </w:rPr>
        <w:t xml:space="preserve"> </w:t>
      </w:r>
      <w:r>
        <w:t>las</w:t>
      </w:r>
      <w:r>
        <w:rPr>
          <w:spacing w:val="77"/>
        </w:rPr>
        <w:t xml:space="preserve"> </w:t>
      </w:r>
      <w:r>
        <w:t>declaraciones</w:t>
      </w:r>
      <w:r>
        <w:rPr>
          <w:spacing w:val="77"/>
        </w:rPr>
        <w:t xml:space="preserve"> </w:t>
      </w:r>
      <w:r>
        <w:t>de</w:t>
      </w:r>
      <w:r>
        <w:rPr>
          <w:spacing w:val="77"/>
        </w:rPr>
        <w:t xml:space="preserve"> </w:t>
      </w:r>
      <w:r>
        <w:t>estado</w:t>
      </w:r>
      <w:r>
        <w:rPr>
          <w:spacing w:val="76"/>
        </w:rPr>
        <w:t xml:space="preserve"> </w:t>
      </w:r>
      <w:r>
        <w:t>de</w:t>
      </w:r>
      <w:r>
        <w:rPr>
          <w:spacing w:val="77"/>
        </w:rPr>
        <w:t xml:space="preserve"> </w:t>
      </w:r>
      <w:r>
        <w:t>sitio</w:t>
      </w:r>
      <w:r>
        <w:rPr>
          <w:spacing w:val="77"/>
        </w:rPr>
        <w:t xml:space="preserve"> </w:t>
      </w:r>
      <w:r>
        <w:t>se</w:t>
      </w:r>
      <w:r>
        <w:rPr>
          <w:spacing w:val="77"/>
        </w:rPr>
        <w:t xml:space="preserve"> </w:t>
      </w:r>
      <w:r>
        <w:t>caracterizaron</w:t>
      </w:r>
      <w:r>
        <w:rPr>
          <w:spacing w:val="77"/>
        </w:rPr>
        <w:t xml:space="preserve"> </w:t>
      </w:r>
      <w:r>
        <w:t>por</w:t>
      </w:r>
      <w:r>
        <w:rPr>
          <w:spacing w:val="77"/>
        </w:rPr>
        <w:t xml:space="preserve"> </w:t>
      </w:r>
      <w:r>
        <w:rPr>
          <w:spacing w:val="-2"/>
        </w:rPr>
        <w:t>estar</w:t>
      </w:r>
      <w:r w:rsidR="00640067">
        <w:t xml:space="preserve"> </w:t>
      </w:r>
      <w:r>
        <w:t>fundamentadas en la consideración de que las protestas y manifestaciones de trabajadores, estudiantes, indígenas y campesinos eran alteraciones del orden público que requerían medidas de excepción</w:t>
      </w:r>
      <w:r w:rsidR="00640067">
        <w:rPr>
          <w:rStyle w:val="Refdenotaalpie"/>
        </w:rPr>
        <w:footnoteReference w:id="749"/>
      </w:r>
      <w:r>
        <w:t>. La respuesta a estas reivindicaciones fueron las medidas autoritarias</w:t>
      </w:r>
      <w:r>
        <w:rPr>
          <w:spacing w:val="-2"/>
        </w:rPr>
        <w:t xml:space="preserve"> </w:t>
      </w:r>
      <w:r>
        <w:t>dirigidas,</w:t>
      </w:r>
      <w:r>
        <w:rPr>
          <w:spacing w:val="-1"/>
        </w:rPr>
        <w:t xml:space="preserve"> </w:t>
      </w:r>
      <w:r>
        <w:t>principalmente,</w:t>
      </w:r>
      <w:r>
        <w:rPr>
          <w:spacing w:val="-2"/>
        </w:rPr>
        <w:t xml:space="preserve"> </w:t>
      </w:r>
      <w:r>
        <w:t>a</w:t>
      </w:r>
      <w:r>
        <w:rPr>
          <w:spacing w:val="-1"/>
        </w:rPr>
        <w:t xml:space="preserve"> </w:t>
      </w:r>
      <w:r>
        <w:t>restringir</w:t>
      </w:r>
      <w:r>
        <w:rPr>
          <w:spacing w:val="-2"/>
        </w:rPr>
        <w:t xml:space="preserve"> </w:t>
      </w:r>
      <w:r>
        <w:t>los</w:t>
      </w:r>
      <w:r>
        <w:rPr>
          <w:spacing w:val="-1"/>
        </w:rPr>
        <w:t xml:space="preserve"> </w:t>
      </w:r>
      <w:r>
        <w:t>derechos</w:t>
      </w:r>
      <w:r>
        <w:rPr>
          <w:spacing w:val="-2"/>
        </w:rPr>
        <w:t xml:space="preserve"> </w:t>
      </w:r>
      <w:r>
        <w:t>a</w:t>
      </w:r>
      <w:r>
        <w:rPr>
          <w:spacing w:val="-1"/>
        </w:rPr>
        <w:t xml:space="preserve"> </w:t>
      </w:r>
      <w:r>
        <w:t>la</w:t>
      </w:r>
      <w:r>
        <w:rPr>
          <w:spacing w:val="-2"/>
        </w:rPr>
        <w:t xml:space="preserve"> </w:t>
      </w:r>
      <w:r>
        <w:t>libertad</w:t>
      </w:r>
      <w:r>
        <w:rPr>
          <w:spacing w:val="-1"/>
        </w:rPr>
        <w:t xml:space="preserve"> </w:t>
      </w:r>
      <w:r>
        <w:t>personal,</w:t>
      </w:r>
      <w:r>
        <w:rPr>
          <w:spacing w:val="-2"/>
        </w:rPr>
        <w:t xml:space="preserve"> </w:t>
      </w:r>
      <w:r>
        <w:t>la</w:t>
      </w:r>
      <w:r>
        <w:rPr>
          <w:spacing w:val="-1"/>
        </w:rPr>
        <w:t xml:space="preserve"> </w:t>
      </w:r>
      <w:r>
        <w:t>libre circulación, la libertad de prensa, la manifestación y la reunión</w:t>
      </w:r>
      <w:r w:rsidR="00640067">
        <w:rPr>
          <w:rStyle w:val="Refdenotaalpie"/>
        </w:rPr>
        <w:footnoteReference w:id="750"/>
      </w:r>
      <w:r>
        <w:t>.</w:t>
      </w:r>
    </w:p>
    <w:p w:rsidR="003804AC" w:rsidRDefault="00AF18A5" w:rsidP="00640067">
      <w:r>
        <w:t>Los</w:t>
      </w:r>
      <w:r>
        <w:rPr>
          <w:spacing w:val="-1"/>
        </w:rPr>
        <w:t xml:space="preserve"> </w:t>
      </w:r>
      <w:r>
        <w:t>organismos</w:t>
      </w:r>
      <w:r>
        <w:rPr>
          <w:spacing w:val="-1"/>
        </w:rPr>
        <w:t xml:space="preserve"> </w:t>
      </w:r>
      <w:r>
        <w:t>de</w:t>
      </w:r>
      <w:r>
        <w:rPr>
          <w:spacing w:val="-1"/>
        </w:rPr>
        <w:t xml:space="preserve"> </w:t>
      </w:r>
      <w:r>
        <w:t>seguridad</w:t>
      </w:r>
      <w:r>
        <w:rPr>
          <w:spacing w:val="-1"/>
        </w:rPr>
        <w:t xml:space="preserve"> </w:t>
      </w:r>
      <w:r>
        <w:t>no</w:t>
      </w:r>
      <w:r>
        <w:rPr>
          <w:spacing w:val="-1"/>
        </w:rPr>
        <w:t xml:space="preserve"> </w:t>
      </w:r>
      <w:r>
        <w:t>perseguían</w:t>
      </w:r>
      <w:r>
        <w:rPr>
          <w:spacing w:val="-1"/>
        </w:rPr>
        <w:t xml:space="preserve"> </w:t>
      </w:r>
      <w:r>
        <w:t>un</w:t>
      </w:r>
      <w:r>
        <w:rPr>
          <w:spacing w:val="-1"/>
        </w:rPr>
        <w:t xml:space="preserve"> </w:t>
      </w:r>
      <w:r>
        <w:t>delito</w:t>
      </w:r>
      <w:r>
        <w:rPr>
          <w:spacing w:val="-1"/>
        </w:rPr>
        <w:t xml:space="preserve"> </w:t>
      </w:r>
      <w:r>
        <w:t>determinado,</w:t>
      </w:r>
      <w:r>
        <w:rPr>
          <w:spacing w:val="-1"/>
        </w:rPr>
        <w:t xml:space="preserve"> </w:t>
      </w:r>
      <w:r>
        <w:t>sino</w:t>
      </w:r>
      <w:r>
        <w:rPr>
          <w:spacing w:val="-1"/>
        </w:rPr>
        <w:t xml:space="preserve"> </w:t>
      </w:r>
      <w:r>
        <w:t>que</w:t>
      </w:r>
      <w:r>
        <w:rPr>
          <w:spacing w:val="-1"/>
        </w:rPr>
        <w:t xml:space="preserve"> </w:t>
      </w:r>
      <w:r>
        <w:t>ejercían</w:t>
      </w:r>
      <w:r>
        <w:rPr>
          <w:spacing w:val="-2"/>
        </w:rPr>
        <w:t xml:space="preserve"> </w:t>
      </w:r>
      <w:r>
        <w:t xml:space="preserve">una forma de control de la población y perseguían a quien </w:t>
      </w:r>
      <w:r>
        <w:lastRenderedPageBreak/>
        <w:t>presumían que hacía parte de esas organizaciones,</w:t>
      </w:r>
      <w:r>
        <w:rPr>
          <w:spacing w:val="9"/>
        </w:rPr>
        <w:t xml:space="preserve"> </w:t>
      </w:r>
      <w:r>
        <w:t>aunque</w:t>
      </w:r>
      <w:r>
        <w:rPr>
          <w:spacing w:val="11"/>
        </w:rPr>
        <w:t xml:space="preserve"> </w:t>
      </w:r>
      <w:r>
        <w:t>no</w:t>
      </w:r>
      <w:r>
        <w:rPr>
          <w:spacing w:val="12"/>
        </w:rPr>
        <w:t xml:space="preserve"> </w:t>
      </w:r>
      <w:r>
        <w:t>hubiera</w:t>
      </w:r>
      <w:r>
        <w:rPr>
          <w:spacing w:val="12"/>
        </w:rPr>
        <w:t xml:space="preserve"> </w:t>
      </w:r>
      <w:r>
        <w:t>incurrido</w:t>
      </w:r>
      <w:r>
        <w:rPr>
          <w:spacing w:val="11"/>
        </w:rPr>
        <w:t xml:space="preserve"> </w:t>
      </w:r>
      <w:r>
        <w:t>en</w:t>
      </w:r>
      <w:r>
        <w:rPr>
          <w:spacing w:val="11"/>
        </w:rPr>
        <w:t xml:space="preserve"> </w:t>
      </w:r>
      <w:r>
        <w:t>delitos.</w:t>
      </w:r>
      <w:r>
        <w:rPr>
          <w:spacing w:val="12"/>
        </w:rPr>
        <w:t xml:space="preserve"> </w:t>
      </w:r>
      <w:r>
        <w:t>La</w:t>
      </w:r>
      <w:r>
        <w:rPr>
          <w:spacing w:val="12"/>
        </w:rPr>
        <w:t xml:space="preserve"> </w:t>
      </w:r>
      <w:r>
        <w:t>persecución</w:t>
      </w:r>
      <w:r>
        <w:rPr>
          <w:spacing w:val="12"/>
        </w:rPr>
        <w:t xml:space="preserve"> </w:t>
      </w:r>
      <w:r>
        <w:t>no</w:t>
      </w:r>
      <w:r>
        <w:rPr>
          <w:spacing w:val="12"/>
        </w:rPr>
        <w:t xml:space="preserve"> </w:t>
      </w:r>
      <w:r>
        <w:t>se</w:t>
      </w:r>
      <w:r>
        <w:rPr>
          <w:spacing w:val="12"/>
        </w:rPr>
        <w:t xml:space="preserve"> </w:t>
      </w:r>
      <w:r>
        <w:t>hizo</w:t>
      </w:r>
      <w:r>
        <w:rPr>
          <w:spacing w:val="12"/>
        </w:rPr>
        <w:t xml:space="preserve"> </w:t>
      </w:r>
      <w:r>
        <w:t>a</w:t>
      </w:r>
      <w:r>
        <w:rPr>
          <w:spacing w:val="11"/>
        </w:rPr>
        <w:t xml:space="preserve"> </w:t>
      </w:r>
      <w:r>
        <w:rPr>
          <w:spacing w:val="-2"/>
        </w:rPr>
        <w:t>través</w:t>
      </w:r>
      <w:bookmarkStart w:id="937" w:name="_bookmark816"/>
      <w:bookmarkStart w:id="938" w:name="_bookmark817"/>
      <w:bookmarkStart w:id="939" w:name="_bookmark818"/>
      <w:bookmarkStart w:id="940" w:name="_bookmark819"/>
      <w:bookmarkStart w:id="941" w:name="_bookmark820"/>
      <w:bookmarkStart w:id="942" w:name="_bookmark821"/>
      <w:bookmarkStart w:id="943" w:name="_bookmark822"/>
      <w:bookmarkEnd w:id="937"/>
      <w:bookmarkEnd w:id="938"/>
      <w:bookmarkEnd w:id="939"/>
      <w:bookmarkEnd w:id="940"/>
      <w:bookmarkEnd w:id="941"/>
      <w:bookmarkEnd w:id="942"/>
      <w:bookmarkEnd w:id="943"/>
      <w:r w:rsidR="00640067">
        <w:t xml:space="preserve"> </w:t>
      </w:r>
      <w:r>
        <w:t>de una rama judicial independiente que adelantara procesos con las debidas garantías judiciales, sino por medio de juicios a civiles y guerrilleros, juzgados por cortes marciales que no garantizaron la mínima independencia. Todo ello se dio también utilizando frecuentemente como medio de «investigación» la tortura y la violencia sexual, y como eliminación del enemigo, la desaparición forzada y las ejecuciones extrajudiciales.</w:t>
      </w:r>
    </w:p>
    <w:p w:rsidR="003804AC" w:rsidRDefault="00AF18A5" w:rsidP="00640067">
      <w:r>
        <w:t>La mayor expresión de lo anterior se dio durante el Estatuto de Seguridad de Turbay (1978-1982), marco en el que surgió el movimiento de defensa de los derechos humanos, bajo el cual se agruparon varios abogados de quienes eran procesados en los consejos verbales de guerra y adelantaron denuncias públicas de lo que estaba ocurriendo. Desde entonces, defensores y defensoras de derechos humanos han sido frecuentemente considerados enemigos y han sido víctimas de seguimientos, actividades de inteligencia, asesinatos</w:t>
      </w:r>
      <w:r>
        <w:rPr>
          <w:spacing w:val="-3"/>
        </w:rPr>
        <w:t xml:space="preserve"> </w:t>
      </w:r>
      <w:r>
        <w:t>y</w:t>
      </w:r>
      <w:r>
        <w:rPr>
          <w:spacing w:val="-5"/>
        </w:rPr>
        <w:t xml:space="preserve"> </w:t>
      </w:r>
      <w:r>
        <w:t>desaparición</w:t>
      </w:r>
      <w:r>
        <w:rPr>
          <w:spacing w:val="-5"/>
        </w:rPr>
        <w:t xml:space="preserve"> </w:t>
      </w:r>
      <w:r>
        <w:t>forzada,</w:t>
      </w:r>
      <w:r>
        <w:rPr>
          <w:spacing w:val="-3"/>
        </w:rPr>
        <w:t xml:space="preserve"> </w:t>
      </w:r>
      <w:r>
        <w:t>así</w:t>
      </w:r>
      <w:r>
        <w:rPr>
          <w:spacing w:val="-4"/>
        </w:rPr>
        <w:t xml:space="preserve"> </w:t>
      </w:r>
      <w:r>
        <w:t>como</w:t>
      </w:r>
      <w:r>
        <w:rPr>
          <w:spacing w:val="-3"/>
        </w:rPr>
        <w:t xml:space="preserve"> </w:t>
      </w:r>
      <w:r>
        <w:t>de</w:t>
      </w:r>
      <w:r>
        <w:rPr>
          <w:spacing w:val="-3"/>
        </w:rPr>
        <w:t xml:space="preserve"> </w:t>
      </w:r>
      <w:r>
        <w:t>amenazas,</w:t>
      </w:r>
      <w:r>
        <w:rPr>
          <w:spacing w:val="-3"/>
        </w:rPr>
        <w:t xml:space="preserve"> </w:t>
      </w:r>
      <w:r>
        <w:t>atentados,</w:t>
      </w:r>
      <w:r>
        <w:rPr>
          <w:spacing w:val="-4"/>
        </w:rPr>
        <w:t xml:space="preserve"> </w:t>
      </w:r>
      <w:r>
        <w:t>detenciones</w:t>
      </w:r>
      <w:r>
        <w:rPr>
          <w:spacing w:val="-3"/>
        </w:rPr>
        <w:t xml:space="preserve"> </w:t>
      </w:r>
      <w:r>
        <w:t>arbitrarias, judicialización, hurto de información sensible, desplazamiento y exilio</w:t>
      </w:r>
      <w:r w:rsidR="00053E17">
        <w:rPr>
          <w:rStyle w:val="Refdenotaalpie"/>
        </w:rPr>
        <w:footnoteReference w:id="751"/>
      </w:r>
      <w:r>
        <w:t>.</w:t>
      </w:r>
    </w:p>
    <w:p w:rsidR="003804AC" w:rsidRDefault="00AF18A5" w:rsidP="00053E17">
      <w:r>
        <w:t>Como se ha dicho, esta guerra sucia afectó especialmente a movimientos sociales reformistas, alternativos o de oposición. Por ejemplo, en distintos momentos históricos de los</w:t>
      </w:r>
      <w:r>
        <w:rPr>
          <w:spacing w:val="-13"/>
        </w:rPr>
        <w:t xml:space="preserve"> </w:t>
      </w:r>
      <w:r>
        <w:t>últimos</w:t>
      </w:r>
      <w:r>
        <w:rPr>
          <w:spacing w:val="-13"/>
        </w:rPr>
        <w:t xml:space="preserve"> </w:t>
      </w:r>
      <w:r>
        <w:t>60</w:t>
      </w:r>
      <w:r>
        <w:rPr>
          <w:spacing w:val="-13"/>
        </w:rPr>
        <w:t xml:space="preserve"> </w:t>
      </w:r>
      <w:r>
        <w:t>años</w:t>
      </w:r>
      <w:r>
        <w:rPr>
          <w:spacing w:val="-14"/>
        </w:rPr>
        <w:t xml:space="preserve"> </w:t>
      </w:r>
      <w:r>
        <w:t>se</w:t>
      </w:r>
      <w:r>
        <w:rPr>
          <w:spacing w:val="-13"/>
        </w:rPr>
        <w:t xml:space="preserve"> </w:t>
      </w:r>
      <w:r>
        <w:t>dieron</w:t>
      </w:r>
      <w:r>
        <w:rPr>
          <w:spacing w:val="-13"/>
        </w:rPr>
        <w:t xml:space="preserve"> </w:t>
      </w:r>
      <w:r>
        <w:t>acciones</w:t>
      </w:r>
      <w:r>
        <w:rPr>
          <w:spacing w:val="-14"/>
        </w:rPr>
        <w:t xml:space="preserve"> </w:t>
      </w:r>
      <w:r>
        <w:t>contra</w:t>
      </w:r>
      <w:r>
        <w:rPr>
          <w:spacing w:val="-14"/>
        </w:rPr>
        <w:t xml:space="preserve"> </w:t>
      </w:r>
      <w:r>
        <w:t>el</w:t>
      </w:r>
      <w:r>
        <w:rPr>
          <w:spacing w:val="-14"/>
        </w:rPr>
        <w:t xml:space="preserve"> </w:t>
      </w:r>
      <w:r>
        <w:t>campesinado</w:t>
      </w:r>
      <w:r>
        <w:rPr>
          <w:spacing w:val="-13"/>
        </w:rPr>
        <w:t xml:space="preserve"> </w:t>
      </w:r>
      <w:r>
        <w:t>que</w:t>
      </w:r>
      <w:r>
        <w:rPr>
          <w:spacing w:val="-13"/>
        </w:rPr>
        <w:t xml:space="preserve"> </w:t>
      </w:r>
      <w:r>
        <w:t>promovía</w:t>
      </w:r>
      <w:r>
        <w:rPr>
          <w:spacing w:val="-14"/>
        </w:rPr>
        <w:t xml:space="preserve"> </w:t>
      </w:r>
      <w:r>
        <w:t>la</w:t>
      </w:r>
      <w:r>
        <w:rPr>
          <w:spacing w:val="-14"/>
        </w:rPr>
        <w:t xml:space="preserve"> </w:t>
      </w:r>
      <w:r>
        <w:t>toma</w:t>
      </w:r>
      <w:r>
        <w:rPr>
          <w:spacing w:val="-13"/>
        </w:rPr>
        <w:t xml:space="preserve"> </w:t>
      </w:r>
      <w:r>
        <w:t>de</w:t>
      </w:r>
      <w:r>
        <w:rPr>
          <w:spacing w:val="-14"/>
        </w:rPr>
        <w:t xml:space="preserve"> </w:t>
      </w:r>
      <w:r>
        <w:t xml:space="preserve">tierras y demandaba la reforma agraria y rural: la ANUC, el Comité de Integración del Macizo Colombiano (CIMA), la Federación Nacional </w:t>
      </w:r>
      <w:r>
        <w:lastRenderedPageBreak/>
        <w:t>Sindical Unitaria Agropecuaria (</w:t>
      </w:r>
      <w:proofErr w:type="spellStart"/>
      <w:r>
        <w:t>Fensuagro</w:t>
      </w:r>
      <w:proofErr w:type="spellEnd"/>
      <w:r>
        <w:t>), la Asociación de Pequeños y Medianos Agricultores del Norte del Tolima (</w:t>
      </w:r>
      <w:proofErr w:type="spellStart"/>
      <w:r>
        <w:t>Asopema</w:t>
      </w:r>
      <w:proofErr w:type="spellEnd"/>
      <w:r>
        <w:t>) y las organizaciones promotoras de las Zonas de Reserva Campesina fueron algunas de las organizaciones estigmatizadas, perseguidas y violentadas en Colombia</w:t>
      </w:r>
      <w:r w:rsidR="00053E17">
        <w:rPr>
          <w:rStyle w:val="Refdenotaalpie"/>
        </w:rPr>
        <w:footnoteReference w:id="752"/>
      </w:r>
      <w:r>
        <w:t>. Así mismo, el movimiento</w:t>
      </w:r>
      <w:r>
        <w:rPr>
          <w:spacing w:val="-8"/>
        </w:rPr>
        <w:t xml:space="preserve"> </w:t>
      </w:r>
      <w:r>
        <w:t>estudiantil,</w:t>
      </w:r>
      <w:r>
        <w:rPr>
          <w:spacing w:val="-7"/>
        </w:rPr>
        <w:t xml:space="preserve"> </w:t>
      </w:r>
      <w:r>
        <w:t>con</w:t>
      </w:r>
      <w:r>
        <w:rPr>
          <w:spacing w:val="-7"/>
        </w:rPr>
        <w:t xml:space="preserve"> </w:t>
      </w:r>
      <w:r>
        <w:t>una</w:t>
      </w:r>
      <w:r>
        <w:rPr>
          <w:spacing w:val="-7"/>
        </w:rPr>
        <w:t xml:space="preserve"> </w:t>
      </w:r>
      <w:r>
        <w:t>fuerte</w:t>
      </w:r>
      <w:r>
        <w:rPr>
          <w:spacing w:val="-7"/>
        </w:rPr>
        <w:t xml:space="preserve"> </w:t>
      </w:r>
      <w:r>
        <w:t>movilización</w:t>
      </w:r>
      <w:r>
        <w:rPr>
          <w:spacing w:val="-7"/>
        </w:rPr>
        <w:t xml:space="preserve"> </w:t>
      </w:r>
      <w:r>
        <w:t>en</w:t>
      </w:r>
      <w:r>
        <w:rPr>
          <w:spacing w:val="-7"/>
        </w:rPr>
        <w:t xml:space="preserve"> </w:t>
      </w:r>
      <w:r>
        <w:t>los</w:t>
      </w:r>
      <w:r>
        <w:rPr>
          <w:spacing w:val="-7"/>
        </w:rPr>
        <w:t xml:space="preserve"> </w:t>
      </w:r>
      <w:r>
        <w:t>años</w:t>
      </w:r>
      <w:r>
        <w:rPr>
          <w:spacing w:val="-7"/>
        </w:rPr>
        <w:t xml:space="preserve"> </w:t>
      </w:r>
      <w:r>
        <w:t>setenta,</w:t>
      </w:r>
      <w:r>
        <w:rPr>
          <w:spacing w:val="-7"/>
        </w:rPr>
        <w:t xml:space="preserve"> </w:t>
      </w:r>
      <w:r>
        <w:t>fue</w:t>
      </w:r>
      <w:r>
        <w:rPr>
          <w:spacing w:val="-7"/>
        </w:rPr>
        <w:t xml:space="preserve"> </w:t>
      </w:r>
      <w:r>
        <w:t>estigmatizado</w:t>
      </w:r>
      <w:r>
        <w:rPr>
          <w:spacing w:val="-7"/>
        </w:rPr>
        <w:t xml:space="preserve"> </w:t>
      </w:r>
      <w:r>
        <w:t>y reprimido</w:t>
      </w:r>
      <w:r>
        <w:rPr>
          <w:spacing w:val="-2"/>
        </w:rPr>
        <w:t xml:space="preserve"> </w:t>
      </w:r>
      <w:r>
        <w:t>en el marco</w:t>
      </w:r>
      <w:r>
        <w:rPr>
          <w:spacing w:val="-1"/>
        </w:rPr>
        <w:t xml:space="preserve"> </w:t>
      </w:r>
      <w:r>
        <w:t>del estado de</w:t>
      </w:r>
      <w:r>
        <w:rPr>
          <w:spacing w:val="-2"/>
        </w:rPr>
        <w:t xml:space="preserve"> </w:t>
      </w:r>
      <w:r>
        <w:t>sitio,</w:t>
      </w:r>
      <w:r>
        <w:rPr>
          <w:spacing w:val="-1"/>
        </w:rPr>
        <w:t xml:space="preserve"> </w:t>
      </w:r>
      <w:r>
        <w:t>como</w:t>
      </w:r>
      <w:r>
        <w:rPr>
          <w:spacing w:val="-1"/>
        </w:rPr>
        <w:t xml:space="preserve"> </w:t>
      </w:r>
      <w:r>
        <w:t>resultado, muchos de sus</w:t>
      </w:r>
      <w:r>
        <w:rPr>
          <w:spacing w:val="-1"/>
        </w:rPr>
        <w:t xml:space="preserve"> </w:t>
      </w:r>
      <w:r>
        <w:t>integrantes</w:t>
      </w:r>
      <w:r>
        <w:rPr>
          <w:spacing w:val="-1"/>
        </w:rPr>
        <w:t xml:space="preserve"> </w:t>
      </w:r>
      <w:r>
        <w:rPr>
          <w:spacing w:val="-2"/>
        </w:rPr>
        <w:t>fueron</w:t>
      </w:r>
      <w:bookmarkStart w:id="944" w:name="_bookmark823"/>
      <w:bookmarkStart w:id="945" w:name="_bookmark824"/>
      <w:bookmarkEnd w:id="944"/>
      <w:bookmarkEnd w:id="945"/>
      <w:r w:rsidR="00053E17">
        <w:rPr>
          <w:spacing w:val="-2"/>
        </w:rPr>
        <w:t xml:space="preserve"> </w:t>
      </w:r>
      <w:r>
        <w:t>víctimas de violaciones de derechos humanos. La respuesta violenta conllevó la militarización de los campus</w:t>
      </w:r>
      <w:r w:rsidR="00053E17">
        <w:rPr>
          <w:rStyle w:val="Refdenotaalpie"/>
        </w:rPr>
        <w:footnoteReference w:id="753"/>
      </w:r>
      <w:r>
        <w:t>.</w:t>
      </w:r>
    </w:p>
    <w:p w:rsidR="003804AC" w:rsidRDefault="00AF18A5" w:rsidP="00053E17">
      <w:r>
        <w:t>Después</w:t>
      </w:r>
      <w:r>
        <w:rPr>
          <w:spacing w:val="-7"/>
        </w:rPr>
        <w:t xml:space="preserve"> </w:t>
      </w:r>
      <w:r>
        <w:t>de</w:t>
      </w:r>
      <w:r>
        <w:rPr>
          <w:spacing w:val="-8"/>
        </w:rPr>
        <w:t xml:space="preserve"> </w:t>
      </w:r>
      <w:r>
        <w:t>1985,</w:t>
      </w:r>
      <w:r>
        <w:rPr>
          <w:spacing w:val="-7"/>
        </w:rPr>
        <w:t xml:space="preserve"> </w:t>
      </w:r>
      <w:r>
        <w:t>el</w:t>
      </w:r>
      <w:r>
        <w:rPr>
          <w:spacing w:val="-7"/>
        </w:rPr>
        <w:t xml:space="preserve"> </w:t>
      </w:r>
      <w:r>
        <w:t>Estado</w:t>
      </w:r>
      <w:r>
        <w:rPr>
          <w:spacing w:val="-7"/>
        </w:rPr>
        <w:t xml:space="preserve"> </w:t>
      </w:r>
      <w:r>
        <w:t>y</w:t>
      </w:r>
      <w:r>
        <w:rPr>
          <w:spacing w:val="-7"/>
        </w:rPr>
        <w:t xml:space="preserve"> </w:t>
      </w:r>
      <w:r>
        <w:t>el</w:t>
      </w:r>
      <w:r>
        <w:rPr>
          <w:spacing w:val="-7"/>
        </w:rPr>
        <w:t xml:space="preserve"> </w:t>
      </w:r>
      <w:r>
        <w:t>paramilitarismo</w:t>
      </w:r>
      <w:r>
        <w:rPr>
          <w:spacing w:val="-8"/>
        </w:rPr>
        <w:t xml:space="preserve"> </w:t>
      </w:r>
      <w:r>
        <w:t>persiguieron</w:t>
      </w:r>
      <w:r>
        <w:rPr>
          <w:spacing w:val="-8"/>
        </w:rPr>
        <w:t xml:space="preserve"> </w:t>
      </w:r>
      <w:r>
        <w:t>a</w:t>
      </w:r>
      <w:r>
        <w:rPr>
          <w:spacing w:val="-7"/>
        </w:rPr>
        <w:t xml:space="preserve"> </w:t>
      </w:r>
      <w:r>
        <w:t>los</w:t>
      </w:r>
      <w:r>
        <w:rPr>
          <w:spacing w:val="-7"/>
        </w:rPr>
        <w:t xml:space="preserve"> </w:t>
      </w:r>
      <w:r>
        <w:t>miembros</w:t>
      </w:r>
      <w:r>
        <w:rPr>
          <w:spacing w:val="-7"/>
        </w:rPr>
        <w:t xml:space="preserve"> </w:t>
      </w:r>
      <w:r>
        <w:t>de</w:t>
      </w:r>
      <w:r>
        <w:rPr>
          <w:spacing w:val="-7"/>
        </w:rPr>
        <w:t xml:space="preserve"> </w:t>
      </w:r>
      <w:r>
        <w:t>la</w:t>
      </w:r>
      <w:r>
        <w:rPr>
          <w:spacing w:val="-7"/>
        </w:rPr>
        <w:t xml:space="preserve"> </w:t>
      </w:r>
      <w:r>
        <w:t>UP</w:t>
      </w:r>
      <w:r w:rsidR="00997B72">
        <w:rPr>
          <w:rStyle w:val="Refdenotaalpie"/>
        </w:rPr>
        <w:footnoteReference w:id="754"/>
      </w:r>
      <w:r>
        <w:t>, partido político de izquierda que había sido creado en las negociaciones del Gobierno de Belisario Betancur con las FARC-EP. La creación de la UP representaba la canalización democrática de una parte de las tendencias políticas excluidas en el Frente Nacional. Sin embargo, en lo que constituyó un genocidio político, fue perseguida y exterminada, por ser considerada parte de las FARC-EP, a pesar de haberse constituido como una organización política sin armas a la que confluyeron no solo personas que provenían de la guerrilla para dejar las armas y hacer política, sino también numerosos sectores sociales y políticos de izquierda</w:t>
      </w:r>
      <w:r>
        <w:rPr>
          <w:spacing w:val="-15"/>
        </w:rPr>
        <w:t xml:space="preserve"> </w:t>
      </w:r>
      <w:r>
        <w:t>e,</w:t>
      </w:r>
      <w:r>
        <w:rPr>
          <w:spacing w:val="-15"/>
        </w:rPr>
        <w:t xml:space="preserve"> </w:t>
      </w:r>
      <w:r>
        <w:t>incluso,</w:t>
      </w:r>
      <w:r>
        <w:rPr>
          <w:spacing w:val="-15"/>
        </w:rPr>
        <w:t xml:space="preserve"> </w:t>
      </w:r>
      <w:r>
        <w:t>liberales.</w:t>
      </w:r>
      <w:r>
        <w:rPr>
          <w:spacing w:val="-15"/>
        </w:rPr>
        <w:t xml:space="preserve"> </w:t>
      </w:r>
      <w:r>
        <w:t>Una</w:t>
      </w:r>
      <w:r>
        <w:rPr>
          <w:spacing w:val="-15"/>
        </w:rPr>
        <w:t xml:space="preserve"> </w:t>
      </w:r>
      <w:r>
        <w:t>vez</w:t>
      </w:r>
      <w:r>
        <w:rPr>
          <w:spacing w:val="-15"/>
        </w:rPr>
        <w:t xml:space="preserve"> </w:t>
      </w:r>
      <w:r>
        <w:t>el</w:t>
      </w:r>
      <w:r>
        <w:rPr>
          <w:spacing w:val="-15"/>
        </w:rPr>
        <w:t xml:space="preserve"> </w:t>
      </w:r>
      <w:r>
        <w:t>proceso</w:t>
      </w:r>
      <w:r>
        <w:rPr>
          <w:spacing w:val="-15"/>
        </w:rPr>
        <w:t xml:space="preserve"> </w:t>
      </w:r>
      <w:r>
        <w:t>de</w:t>
      </w:r>
      <w:r>
        <w:rPr>
          <w:spacing w:val="-15"/>
        </w:rPr>
        <w:t xml:space="preserve"> </w:t>
      </w:r>
      <w:r>
        <w:t>paz</w:t>
      </w:r>
      <w:r>
        <w:rPr>
          <w:spacing w:val="-15"/>
        </w:rPr>
        <w:t xml:space="preserve"> </w:t>
      </w:r>
      <w:r>
        <w:t>fracasó,</w:t>
      </w:r>
      <w:r>
        <w:rPr>
          <w:spacing w:val="-15"/>
        </w:rPr>
        <w:t xml:space="preserve"> </w:t>
      </w:r>
      <w:r>
        <w:t>sectores</w:t>
      </w:r>
      <w:r>
        <w:rPr>
          <w:spacing w:val="-15"/>
        </w:rPr>
        <w:t xml:space="preserve"> </w:t>
      </w:r>
      <w:r>
        <w:t>de</w:t>
      </w:r>
      <w:r>
        <w:rPr>
          <w:spacing w:val="-15"/>
        </w:rPr>
        <w:t xml:space="preserve"> </w:t>
      </w:r>
      <w:r>
        <w:t>la</w:t>
      </w:r>
      <w:r>
        <w:rPr>
          <w:spacing w:val="-15"/>
        </w:rPr>
        <w:t xml:space="preserve"> </w:t>
      </w:r>
      <w:r>
        <w:t>fuerza</w:t>
      </w:r>
      <w:r>
        <w:rPr>
          <w:spacing w:val="-15"/>
        </w:rPr>
        <w:t xml:space="preserve"> </w:t>
      </w:r>
      <w:r>
        <w:t>pública mantuvieron la tesis de que la UP era de las FARC-EP, muy a pesar de que entre el movimiento político legal y esa guerrilla se había producido una ruptura desde 1987.</w:t>
      </w:r>
    </w:p>
    <w:p w:rsidR="003804AC" w:rsidRDefault="00AF18A5" w:rsidP="00053E17">
      <w:r>
        <w:t xml:space="preserve">La Constitución de 1991 generó una apertura democrática, pues integró </w:t>
      </w:r>
      <w:r>
        <w:lastRenderedPageBreak/>
        <w:t>en la Asamblea Nacional Constituyente a movimientos de izquierda –incluso a las guerrillas que habían dejado las armas–, la UP, indígenas, afrodescendientes, sindicalistas y campesinos. La Constitución</w:t>
      </w:r>
      <w:r>
        <w:rPr>
          <w:spacing w:val="-15"/>
        </w:rPr>
        <w:t xml:space="preserve"> </w:t>
      </w:r>
      <w:r>
        <w:t>reconoció</w:t>
      </w:r>
      <w:r>
        <w:rPr>
          <w:spacing w:val="-15"/>
        </w:rPr>
        <w:t xml:space="preserve"> </w:t>
      </w:r>
      <w:r>
        <w:t>a</w:t>
      </w:r>
      <w:r>
        <w:rPr>
          <w:spacing w:val="-15"/>
        </w:rPr>
        <w:t xml:space="preserve"> </w:t>
      </w:r>
      <w:r>
        <w:t>Colombia</w:t>
      </w:r>
      <w:r>
        <w:rPr>
          <w:spacing w:val="-15"/>
        </w:rPr>
        <w:t xml:space="preserve"> </w:t>
      </w:r>
      <w:r>
        <w:t>como</w:t>
      </w:r>
      <w:r>
        <w:rPr>
          <w:spacing w:val="-15"/>
        </w:rPr>
        <w:t xml:space="preserve"> </w:t>
      </w:r>
      <w:r>
        <w:t>un</w:t>
      </w:r>
      <w:r>
        <w:rPr>
          <w:spacing w:val="-15"/>
        </w:rPr>
        <w:t xml:space="preserve"> </w:t>
      </w:r>
      <w:r>
        <w:t>país</w:t>
      </w:r>
      <w:r>
        <w:rPr>
          <w:spacing w:val="-15"/>
        </w:rPr>
        <w:t xml:space="preserve"> </w:t>
      </w:r>
      <w:r>
        <w:t>multiétnico</w:t>
      </w:r>
      <w:r>
        <w:rPr>
          <w:spacing w:val="-15"/>
        </w:rPr>
        <w:t xml:space="preserve"> </w:t>
      </w:r>
      <w:r>
        <w:t>y</w:t>
      </w:r>
      <w:r>
        <w:rPr>
          <w:spacing w:val="-15"/>
        </w:rPr>
        <w:t xml:space="preserve"> </w:t>
      </w:r>
      <w:r>
        <w:t>pluricultural,</w:t>
      </w:r>
      <w:r>
        <w:rPr>
          <w:spacing w:val="-15"/>
        </w:rPr>
        <w:t xml:space="preserve"> </w:t>
      </w:r>
      <w:r>
        <w:t>previó</w:t>
      </w:r>
      <w:r>
        <w:rPr>
          <w:spacing w:val="-15"/>
        </w:rPr>
        <w:t xml:space="preserve"> </w:t>
      </w:r>
      <w:r>
        <w:t>garantías para el pluralismo político y la participación ciudadana y electoral y se basó en el reconocimiento</w:t>
      </w:r>
      <w:r>
        <w:rPr>
          <w:spacing w:val="-11"/>
        </w:rPr>
        <w:t xml:space="preserve"> </w:t>
      </w:r>
      <w:r>
        <w:t>de</w:t>
      </w:r>
      <w:r>
        <w:rPr>
          <w:spacing w:val="-10"/>
        </w:rPr>
        <w:t xml:space="preserve"> </w:t>
      </w:r>
      <w:r>
        <w:t>los</w:t>
      </w:r>
      <w:r>
        <w:rPr>
          <w:spacing w:val="-10"/>
        </w:rPr>
        <w:t xml:space="preserve"> </w:t>
      </w:r>
      <w:r>
        <w:t>derechos</w:t>
      </w:r>
      <w:r>
        <w:rPr>
          <w:spacing w:val="-10"/>
        </w:rPr>
        <w:t xml:space="preserve"> </w:t>
      </w:r>
      <w:r>
        <w:t>humanos</w:t>
      </w:r>
      <w:r>
        <w:rPr>
          <w:spacing w:val="-10"/>
        </w:rPr>
        <w:t xml:space="preserve"> </w:t>
      </w:r>
      <w:r>
        <w:t>y</w:t>
      </w:r>
      <w:r>
        <w:rPr>
          <w:spacing w:val="-11"/>
        </w:rPr>
        <w:t xml:space="preserve"> </w:t>
      </w:r>
      <w:r>
        <w:t>la</w:t>
      </w:r>
      <w:r>
        <w:rPr>
          <w:spacing w:val="-10"/>
        </w:rPr>
        <w:t xml:space="preserve"> </w:t>
      </w:r>
      <w:r>
        <w:t>aplicación</w:t>
      </w:r>
      <w:r>
        <w:rPr>
          <w:spacing w:val="-11"/>
        </w:rPr>
        <w:t xml:space="preserve"> </w:t>
      </w:r>
      <w:r>
        <w:t>del</w:t>
      </w:r>
      <w:r>
        <w:rPr>
          <w:spacing w:val="-10"/>
        </w:rPr>
        <w:t xml:space="preserve"> </w:t>
      </w:r>
      <w:r>
        <w:t>DIH</w:t>
      </w:r>
      <w:r>
        <w:rPr>
          <w:spacing w:val="-11"/>
        </w:rPr>
        <w:t xml:space="preserve"> </w:t>
      </w:r>
      <w:r>
        <w:t>en</w:t>
      </w:r>
      <w:r>
        <w:rPr>
          <w:spacing w:val="-11"/>
        </w:rPr>
        <w:t xml:space="preserve"> </w:t>
      </w:r>
      <w:r>
        <w:t>el</w:t>
      </w:r>
      <w:r>
        <w:rPr>
          <w:spacing w:val="-10"/>
        </w:rPr>
        <w:t xml:space="preserve"> </w:t>
      </w:r>
      <w:r>
        <w:t>conflicto</w:t>
      </w:r>
      <w:r>
        <w:rPr>
          <w:spacing w:val="-11"/>
        </w:rPr>
        <w:t xml:space="preserve"> </w:t>
      </w:r>
      <w:r>
        <w:t>armado,</w:t>
      </w:r>
      <w:r>
        <w:rPr>
          <w:spacing w:val="-11"/>
        </w:rPr>
        <w:t xml:space="preserve"> </w:t>
      </w:r>
      <w:r>
        <w:t>aun durante</w:t>
      </w:r>
      <w:r>
        <w:rPr>
          <w:spacing w:val="-7"/>
        </w:rPr>
        <w:t xml:space="preserve"> </w:t>
      </w:r>
      <w:r>
        <w:t>estados</w:t>
      </w:r>
      <w:r>
        <w:rPr>
          <w:spacing w:val="-6"/>
        </w:rPr>
        <w:t xml:space="preserve"> </w:t>
      </w:r>
      <w:r>
        <w:t>de</w:t>
      </w:r>
      <w:r>
        <w:rPr>
          <w:spacing w:val="-6"/>
        </w:rPr>
        <w:t xml:space="preserve"> </w:t>
      </w:r>
      <w:r>
        <w:t>excepción.</w:t>
      </w:r>
      <w:r>
        <w:rPr>
          <w:spacing w:val="-6"/>
        </w:rPr>
        <w:t xml:space="preserve"> </w:t>
      </w:r>
      <w:r>
        <w:t>Sin</w:t>
      </w:r>
      <w:r>
        <w:rPr>
          <w:spacing w:val="-6"/>
        </w:rPr>
        <w:t xml:space="preserve"> </w:t>
      </w:r>
      <w:r>
        <w:t>embargo,</w:t>
      </w:r>
      <w:r>
        <w:rPr>
          <w:spacing w:val="-7"/>
        </w:rPr>
        <w:t xml:space="preserve"> </w:t>
      </w:r>
      <w:r>
        <w:t>tanto</w:t>
      </w:r>
      <w:r>
        <w:rPr>
          <w:spacing w:val="-6"/>
        </w:rPr>
        <w:t xml:space="preserve"> </w:t>
      </w:r>
      <w:r>
        <w:t>desde</w:t>
      </w:r>
      <w:r>
        <w:rPr>
          <w:spacing w:val="-6"/>
        </w:rPr>
        <w:t xml:space="preserve"> </w:t>
      </w:r>
      <w:r>
        <w:t>la</w:t>
      </w:r>
      <w:r>
        <w:rPr>
          <w:spacing w:val="-6"/>
        </w:rPr>
        <w:t xml:space="preserve"> </w:t>
      </w:r>
      <w:r>
        <w:t>sociedad</w:t>
      </w:r>
      <w:r>
        <w:rPr>
          <w:spacing w:val="-7"/>
        </w:rPr>
        <w:t xml:space="preserve"> </w:t>
      </w:r>
      <w:r>
        <w:t>como</w:t>
      </w:r>
      <w:r>
        <w:rPr>
          <w:spacing w:val="-7"/>
        </w:rPr>
        <w:t xml:space="preserve"> </w:t>
      </w:r>
      <w:r>
        <w:t>desde</w:t>
      </w:r>
      <w:r>
        <w:rPr>
          <w:spacing w:val="-6"/>
        </w:rPr>
        <w:t xml:space="preserve"> </w:t>
      </w:r>
      <w:r>
        <w:t>el</w:t>
      </w:r>
      <w:r>
        <w:rPr>
          <w:spacing w:val="-6"/>
        </w:rPr>
        <w:t xml:space="preserve"> </w:t>
      </w:r>
      <w:r>
        <w:t>Estado</w:t>
      </w:r>
      <w:r>
        <w:rPr>
          <w:spacing w:val="-6"/>
        </w:rPr>
        <w:t xml:space="preserve"> </w:t>
      </w:r>
      <w:r>
        <w:t xml:space="preserve">se dieron fuertes resistencias a avanzar hacia el cambio de mentalidad que este nuevo régimen político implicaba y no hubo ninguna reforma a las Fuerzas Armadas ni al modelo de seguridad. La visión del enemigo continuó reforzada por la lucha contra las drogas y el </w:t>
      </w:r>
      <w:r>
        <w:rPr>
          <w:spacing w:val="-2"/>
        </w:rPr>
        <w:t>terrorismo.</w:t>
      </w:r>
    </w:p>
    <w:p w:rsidR="0011361F" w:rsidRDefault="00AF18A5" w:rsidP="00053E17">
      <w:r>
        <w:t>Esta doctrina del enemigo que venía de épocas anteriores se siguió aplicando a seguimientos</w:t>
      </w:r>
      <w:r>
        <w:rPr>
          <w:spacing w:val="-4"/>
        </w:rPr>
        <w:t xml:space="preserve"> </w:t>
      </w:r>
      <w:r>
        <w:t>de</w:t>
      </w:r>
      <w:r>
        <w:rPr>
          <w:spacing w:val="-2"/>
        </w:rPr>
        <w:t xml:space="preserve"> </w:t>
      </w:r>
      <w:r>
        <w:t>organizaciones</w:t>
      </w:r>
      <w:r>
        <w:rPr>
          <w:spacing w:val="-2"/>
        </w:rPr>
        <w:t xml:space="preserve"> </w:t>
      </w:r>
      <w:r>
        <w:t>sociales,</w:t>
      </w:r>
      <w:r>
        <w:rPr>
          <w:spacing w:val="-4"/>
        </w:rPr>
        <w:t xml:space="preserve"> </w:t>
      </w:r>
      <w:r>
        <w:t>a</w:t>
      </w:r>
      <w:r>
        <w:rPr>
          <w:spacing w:val="-3"/>
        </w:rPr>
        <w:t xml:space="preserve"> </w:t>
      </w:r>
      <w:r>
        <w:t>través</w:t>
      </w:r>
      <w:r>
        <w:rPr>
          <w:spacing w:val="-1"/>
        </w:rPr>
        <w:t xml:space="preserve"> </w:t>
      </w:r>
      <w:r>
        <w:t>de</w:t>
      </w:r>
      <w:r>
        <w:rPr>
          <w:spacing w:val="-2"/>
        </w:rPr>
        <w:t xml:space="preserve"> </w:t>
      </w:r>
      <w:r>
        <w:t>órdenes</w:t>
      </w:r>
      <w:r>
        <w:rPr>
          <w:spacing w:val="-3"/>
        </w:rPr>
        <w:t xml:space="preserve"> </w:t>
      </w:r>
      <w:r>
        <w:t>de</w:t>
      </w:r>
      <w:r>
        <w:rPr>
          <w:spacing w:val="-1"/>
        </w:rPr>
        <w:t xml:space="preserve"> </w:t>
      </w:r>
      <w:r>
        <w:t>operaciones</w:t>
      </w:r>
      <w:r>
        <w:rPr>
          <w:spacing w:val="-2"/>
        </w:rPr>
        <w:t xml:space="preserve"> </w:t>
      </w:r>
      <w:r>
        <w:t>de</w:t>
      </w:r>
      <w:r>
        <w:rPr>
          <w:spacing w:val="-2"/>
        </w:rPr>
        <w:t xml:space="preserve"> inteligencia.</w:t>
      </w:r>
    </w:p>
    <w:p w:rsidR="003804AC" w:rsidRDefault="00AF18A5" w:rsidP="00997B72">
      <w:pPr>
        <w:pStyle w:val="Textoindependiente"/>
        <w:spacing w:before="8"/>
      </w:pPr>
      <w:bookmarkStart w:id="946" w:name="_bookmark825"/>
      <w:bookmarkStart w:id="947" w:name="_bookmark826"/>
      <w:bookmarkEnd w:id="946"/>
      <w:bookmarkEnd w:id="947"/>
      <w:r>
        <w:t>Por ejemplo, en 1998, un documento titulado «Normas de seguridad con bandoleros que se entregan»</w:t>
      </w:r>
      <w:r w:rsidR="00997B72">
        <w:rPr>
          <w:rStyle w:val="Refdenotaalpie"/>
        </w:rPr>
        <w:footnoteReference w:id="755"/>
      </w:r>
      <w:r>
        <w:t>, en el apartado «Milicias populares en jurisdicción de la 2</w:t>
      </w:r>
      <w:r>
        <w:rPr>
          <w:vertAlign w:val="superscript"/>
        </w:rPr>
        <w:t>a</w:t>
      </w:r>
      <w:r>
        <w:t xml:space="preserve"> División» se habla de los «Grupos de Estudio y Trabajo (GET) encargados de identificar las Necesidades Básicas Insatisfechas (NBI), de una región en particular, especialmente en cuanto a la presencia</w:t>
      </w:r>
      <w:r>
        <w:rPr>
          <w:spacing w:val="-9"/>
        </w:rPr>
        <w:t xml:space="preserve"> </w:t>
      </w:r>
      <w:r>
        <w:t>del</w:t>
      </w:r>
      <w:r>
        <w:rPr>
          <w:spacing w:val="-7"/>
        </w:rPr>
        <w:t xml:space="preserve"> </w:t>
      </w:r>
      <w:r>
        <w:t>Estado».</w:t>
      </w:r>
      <w:r>
        <w:rPr>
          <w:spacing w:val="-6"/>
        </w:rPr>
        <w:t xml:space="preserve"> </w:t>
      </w:r>
      <w:r>
        <w:t>En</w:t>
      </w:r>
      <w:r>
        <w:rPr>
          <w:spacing w:val="-7"/>
        </w:rPr>
        <w:t xml:space="preserve"> </w:t>
      </w:r>
      <w:r>
        <w:t>la</w:t>
      </w:r>
      <w:r>
        <w:rPr>
          <w:spacing w:val="-6"/>
        </w:rPr>
        <w:t xml:space="preserve"> </w:t>
      </w:r>
      <w:r>
        <w:t>nota</w:t>
      </w:r>
      <w:r>
        <w:rPr>
          <w:spacing w:val="-7"/>
        </w:rPr>
        <w:t xml:space="preserve"> </w:t>
      </w:r>
      <w:r>
        <w:t>al</w:t>
      </w:r>
      <w:r>
        <w:rPr>
          <w:spacing w:val="-7"/>
        </w:rPr>
        <w:t xml:space="preserve"> </w:t>
      </w:r>
      <w:r>
        <w:t>pie</w:t>
      </w:r>
      <w:r>
        <w:rPr>
          <w:spacing w:val="-6"/>
        </w:rPr>
        <w:t xml:space="preserve"> </w:t>
      </w:r>
      <w:r>
        <w:t>de</w:t>
      </w:r>
      <w:r>
        <w:rPr>
          <w:spacing w:val="-7"/>
        </w:rPr>
        <w:t xml:space="preserve"> </w:t>
      </w:r>
      <w:r>
        <w:t>estas</w:t>
      </w:r>
      <w:r>
        <w:rPr>
          <w:spacing w:val="-6"/>
        </w:rPr>
        <w:t xml:space="preserve"> </w:t>
      </w:r>
      <w:r>
        <w:t>actuaciones</w:t>
      </w:r>
      <w:r>
        <w:rPr>
          <w:spacing w:val="-7"/>
        </w:rPr>
        <w:t xml:space="preserve"> </w:t>
      </w:r>
      <w:r>
        <w:t>se</w:t>
      </w:r>
      <w:r>
        <w:rPr>
          <w:spacing w:val="-7"/>
        </w:rPr>
        <w:t xml:space="preserve"> </w:t>
      </w:r>
      <w:r>
        <w:t>incluye</w:t>
      </w:r>
      <w:r>
        <w:rPr>
          <w:spacing w:val="-6"/>
        </w:rPr>
        <w:t xml:space="preserve"> </w:t>
      </w:r>
      <w:r>
        <w:t>una</w:t>
      </w:r>
      <w:r>
        <w:rPr>
          <w:spacing w:val="-7"/>
        </w:rPr>
        <w:t xml:space="preserve"> </w:t>
      </w:r>
      <w:r>
        <w:t>lista</w:t>
      </w:r>
      <w:r>
        <w:rPr>
          <w:spacing w:val="-6"/>
        </w:rPr>
        <w:t xml:space="preserve"> </w:t>
      </w:r>
      <w:r>
        <w:t>bajo</w:t>
      </w:r>
      <w:r>
        <w:rPr>
          <w:spacing w:val="-7"/>
        </w:rPr>
        <w:t xml:space="preserve"> </w:t>
      </w:r>
      <w:r>
        <w:t>el</w:t>
      </w:r>
      <w:r>
        <w:rPr>
          <w:spacing w:val="-6"/>
        </w:rPr>
        <w:t xml:space="preserve"> </w:t>
      </w:r>
      <w:r>
        <w:rPr>
          <w:spacing w:val="-2"/>
        </w:rPr>
        <w:t>título</w:t>
      </w:r>
    </w:p>
    <w:p w:rsidR="003804AC" w:rsidRDefault="00AF18A5" w:rsidP="00997B72">
      <w:r>
        <w:t xml:space="preserve">«Algunos organismos fachada de las </w:t>
      </w:r>
      <w:proofErr w:type="spellStart"/>
      <w:r>
        <w:t>milpol</w:t>
      </w:r>
      <w:proofErr w:type="spellEnd"/>
      <w:r>
        <w:t xml:space="preserve"> [milicias populares]»</w:t>
      </w:r>
      <w:r w:rsidR="00997B72">
        <w:rPr>
          <w:rStyle w:val="Refdenotaalpie"/>
        </w:rPr>
        <w:footnoteReference w:id="756"/>
      </w:r>
      <w:r>
        <w:t xml:space="preserve"> en la cual se señala de posibles vínculos con el ELN al Programa de Desarrollo </w:t>
      </w:r>
      <w:r>
        <w:lastRenderedPageBreak/>
        <w:t>y Paz del Magdalena Medio (consorcio</w:t>
      </w:r>
      <w:r>
        <w:rPr>
          <w:spacing w:val="-7"/>
        </w:rPr>
        <w:t xml:space="preserve"> </w:t>
      </w:r>
      <w:r>
        <w:t>formado</w:t>
      </w:r>
      <w:r>
        <w:rPr>
          <w:spacing w:val="-7"/>
        </w:rPr>
        <w:t xml:space="preserve"> </w:t>
      </w:r>
      <w:r>
        <w:t>entre</w:t>
      </w:r>
      <w:r>
        <w:rPr>
          <w:spacing w:val="-6"/>
        </w:rPr>
        <w:t xml:space="preserve"> </w:t>
      </w:r>
      <w:r>
        <w:t>la</w:t>
      </w:r>
      <w:r>
        <w:rPr>
          <w:spacing w:val="-7"/>
        </w:rPr>
        <w:t xml:space="preserve"> </w:t>
      </w:r>
      <w:r>
        <w:t>Sociedad</w:t>
      </w:r>
      <w:r>
        <w:rPr>
          <w:spacing w:val="-6"/>
        </w:rPr>
        <w:t xml:space="preserve"> </w:t>
      </w:r>
      <w:r>
        <w:t>Económica</w:t>
      </w:r>
      <w:r>
        <w:rPr>
          <w:spacing w:val="-6"/>
        </w:rPr>
        <w:t xml:space="preserve"> </w:t>
      </w:r>
      <w:r>
        <w:t>de</w:t>
      </w:r>
      <w:r>
        <w:rPr>
          <w:spacing w:val="-6"/>
        </w:rPr>
        <w:t xml:space="preserve"> </w:t>
      </w:r>
      <w:r>
        <w:t>Amigos</w:t>
      </w:r>
      <w:r>
        <w:rPr>
          <w:spacing w:val="-7"/>
        </w:rPr>
        <w:t xml:space="preserve"> </w:t>
      </w:r>
      <w:r>
        <w:t>del</w:t>
      </w:r>
      <w:r>
        <w:rPr>
          <w:spacing w:val="-5"/>
        </w:rPr>
        <w:t xml:space="preserve"> </w:t>
      </w:r>
      <w:r>
        <w:t>País</w:t>
      </w:r>
      <w:r>
        <w:rPr>
          <w:spacing w:val="-7"/>
        </w:rPr>
        <w:t xml:space="preserve"> </w:t>
      </w:r>
      <w:r>
        <w:t>[SEAP]</w:t>
      </w:r>
      <w:r>
        <w:rPr>
          <w:spacing w:val="-5"/>
        </w:rPr>
        <w:t xml:space="preserve"> </w:t>
      </w:r>
      <w:r>
        <w:t>y</w:t>
      </w:r>
      <w:r>
        <w:rPr>
          <w:spacing w:val="-6"/>
        </w:rPr>
        <w:t xml:space="preserve"> </w:t>
      </w:r>
      <w:r>
        <w:t>el</w:t>
      </w:r>
      <w:r>
        <w:rPr>
          <w:spacing w:val="-7"/>
        </w:rPr>
        <w:t xml:space="preserve"> </w:t>
      </w:r>
      <w:r>
        <w:t>Centro</w:t>
      </w:r>
      <w:r>
        <w:rPr>
          <w:spacing w:val="-6"/>
        </w:rPr>
        <w:t xml:space="preserve"> </w:t>
      </w:r>
      <w:r>
        <w:t>de Investigación para la Educación Popular [</w:t>
      </w:r>
      <w:proofErr w:type="spellStart"/>
      <w:r>
        <w:t>Cinep</w:t>
      </w:r>
      <w:proofErr w:type="spellEnd"/>
      <w:r>
        <w:t>]), así como a la Asociación de Familiares Detenidos Desaparecidos (</w:t>
      </w:r>
      <w:proofErr w:type="spellStart"/>
      <w:r>
        <w:t>Asfaddes</w:t>
      </w:r>
      <w:proofErr w:type="spellEnd"/>
      <w:r>
        <w:t>), a la Comisión Colombiana de Juristas, a la Comisión para la Vida, Justicia y Paz y al Comité de Derechos Humanos de Sabana de Torres. Estas organizaciones sufrieron infiltración, ataques, allanamientos y, en algunos casos, asesinatos y atentados, además de exilio de sus miembros por dichas acciones.</w:t>
      </w:r>
    </w:p>
    <w:p w:rsidR="0047661F" w:rsidRDefault="0047661F" w:rsidP="0047661F">
      <w:pPr>
        <w:pStyle w:val="Ttulo4"/>
      </w:pPr>
      <w:r>
        <w:t>“«Todo indio es guerrillero»</w:t>
      </w:r>
    </w:p>
    <w:p w:rsidR="0047661F" w:rsidRDefault="0047661F" w:rsidP="0047661F">
      <w:r>
        <w:t>Miembros de las fuerzas armadas, en su trato a la población étnica, estigmatizaron los procesos organizativos étnicos, sus autoridades y las comunidades como base social de las guerrillas. Eran catalogados como organizaciones de carácter subversivo, no como formas comunitarias y colectivas étnicas:</w:t>
      </w:r>
    </w:p>
    <w:p w:rsidR="0047661F" w:rsidRDefault="0047661F" w:rsidP="0047661F">
      <w:pPr>
        <w:pStyle w:val="Textoindependiente"/>
        <w:spacing w:before="9"/>
      </w:pPr>
      <w:r>
        <w:t>«Necesidad de una resistencia pacífica, porque en esa época el Ejército era muy sanguinario y ellos mismos atropellaban a la población […]. Tocaba reunirse de noche para planear las cosas que se iban a hacer, porque no podían hacer convocatorias públicas y tocaba avisar voz a voz en qué lugar y a qué hora de la noche se podían reunir, y ya después le contaban a la gente, uno a uno, lo que se había planteado.» Pues</w:t>
      </w:r>
      <w:r>
        <w:rPr>
          <w:spacing w:val="-12"/>
        </w:rPr>
        <w:t xml:space="preserve"> </w:t>
      </w:r>
      <w:r>
        <w:t>no</w:t>
      </w:r>
      <w:r>
        <w:rPr>
          <w:spacing w:val="-12"/>
        </w:rPr>
        <w:t xml:space="preserve"> </w:t>
      </w:r>
      <w:r>
        <w:t>sé,</w:t>
      </w:r>
      <w:r>
        <w:rPr>
          <w:spacing w:val="-11"/>
        </w:rPr>
        <w:t xml:space="preserve"> </w:t>
      </w:r>
      <w:r>
        <w:t>yo</w:t>
      </w:r>
      <w:r>
        <w:rPr>
          <w:spacing w:val="-12"/>
        </w:rPr>
        <w:t xml:space="preserve"> </w:t>
      </w:r>
      <w:r>
        <w:t>digo</w:t>
      </w:r>
      <w:r>
        <w:rPr>
          <w:spacing w:val="-12"/>
        </w:rPr>
        <w:t xml:space="preserve"> </w:t>
      </w:r>
      <w:r>
        <w:t>que</w:t>
      </w:r>
      <w:r>
        <w:rPr>
          <w:spacing w:val="-12"/>
        </w:rPr>
        <w:t xml:space="preserve"> </w:t>
      </w:r>
      <w:r>
        <w:t>ellos</w:t>
      </w:r>
      <w:r>
        <w:rPr>
          <w:spacing w:val="-12"/>
        </w:rPr>
        <w:t xml:space="preserve"> </w:t>
      </w:r>
      <w:r>
        <w:t>manejaban</w:t>
      </w:r>
      <w:r>
        <w:rPr>
          <w:spacing w:val="-12"/>
        </w:rPr>
        <w:t xml:space="preserve"> </w:t>
      </w:r>
      <w:r>
        <w:t>como</w:t>
      </w:r>
      <w:r>
        <w:rPr>
          <w:spacing w:val="-12"/>
        </w:rPr>
        <w:t xml:space="preserve"> </w:t>
      </w:r>
      <w:r>
        <w:t>una</w:t>
      </w:r>
      <w:r>
        <w:rPr>
          <w:spacing w:val="-12"/>
        </w:rPr>
        <w:t xml:space="preserve"> </w:t>
      </w:r>
      <w:r>
        <w:t>idea</w:t>
      </w:r>
      <w:r>
        <w:rPr>
          <w:spacing w:val="-12"/>
        </w:rPr>
        <w:t xml:space="preserve"> </w:t>
      </w:r>
      <w:r>
        <w:t>de</w:t>
      </w:r>
      <w:r>
        <w:rPr>
          <w:spacing w:val="-12"/>
        </w:rPr>
        <w:t xml:space="preserve"> </w:t>
      </w:r>
      <w:r>
        <w:t>"es</w:t>
      </w:r>
      <w:r>
        <w:rPr>
          <w:spacing w:val="-13"/>
        </w:rPr>
        <w:t xml:space="preserve"> </w:t>
      </w:r>
      <w:r>
        <w:t>que</w:t>
      </w:r>
      <w:r>
        <w:rPr>
          <w:spacing w:val="-12"/>
        </w:rPr>
        <w:t xml:space="preserve"> </w:t>
      </w:r>
      <w:proofErr w:type="spellStart"/>
      <w:r>
        <w:t>pa</w:t>
      </w:r>
      <w:proofErr w:type="spellEnd"/>
      <w:r>
        <w:rPr>
          <w:spacing w:val="-12"/>
        </w:rPr>
        <w:t xml:space="preserve"> </w:t>
      </w:r>
      <w:r>
        <w:t>nosotros</w:t>
      </w:r>
      <w:r>
        <w:rPr>
          <w:spacing w:val="-12"/>
        </w:rPr>
        <w:t xml:space="preserve"> </w:t>
      </w:r>
      <w:r>
        <w:t>todo</w:t>
      </w:r>
      <w:r>
        <w:rPr>
          <w:spacing w:val="-12"/>
        </w:rPr>
        <w:t xml:space="preserve"> </w:t>
      </w:r>
      <w:r>
        <w:t>indio es guerrillero". El decir de ellos era "todo indio es guerrillero". Ese día yo les dije, me dio rabia y les dije: "Es que todo indio no es guerrillero, entonces ¿por qué no investigan antes de ir matando la gente?", porque yo, la verdad, no sé ni de dónde saqué yo mi valentía y les contesté, y</w:t>
      </w:r>
      <w:r>
        <w:rPr>
          <w:spacing w:val="-1"/>
        </w:rPr>
        <w:t xml:space="preserve"> </w:t>
      </w:r>
      <w:r>
        <w:t xml:space="preserve">mire que desde esa fecha a acá siempre mermaron en matar mujeres y como que empezaron fue como a investigar más a la </w:t>
      </w:r>
      <w:r>
        <w:lastRenderedPageBreak/>
        <w:t>gente, porque antes no, antes llegaban y te señalaban</w:t>
      </w:r>
      <w:r>
        <w:rPr>
          <w:spacing w:val="-2"/>
        </w:rPr>
        <w:t xml:space="preserve"> </w:t>
      </w:r>
      <w:r>
        <w:t>y</w:t>
      </w:r>
      <w:r>
        <w:rPr>
          <w:spacing w:val="-2"/>
        </w:rPr>
        <w:t xml:space="preserve"> </w:t>
      </w:r>
      <w:r>
        <w:t>eso</w:t>
      </w:r>
      <w:r>
        <w:rPr>
          <w:spacing w:val="-2"/>
        </w:rPr>
        <w:t xml:space="preserve"> </w:t>
      </w:r>
      <w:r>
        <w:t>ellos</w:t>
      </w:r>
      <w:r>
        <w:rPr>
          <w:spacing w:val="-2"/>
        </w:rPr>
        <w:t xml:space="preserve"> </w:t>
      </w:r>
      <w:r>
        <w:t>le</w:t>
      </w:r>
      <w:r>
        <w:rPr>
          <w:spacing w:val="-3"/>
        </w:rPr>
        <w:t xml:space="preserve"> </w:t>
      </w:r>
      <w:r>
        <w:t>daban</w:t>
      </w:r>
      <w:r>
        <w:rPr>
          <w:spacing w:val="-2"/>
        </w:rPr>
        <w:t xml:space="preserve"> </w:t>
      </w:r>
      <w:r>
        <w:t>era...</w:t>
      </w:r>
      <w:r>
        <w:rPr>
          <w:spacing w:val="-2"/>
        </w:rPr>
        <w:t xml:space="preserve"> </w:t>
      </w:r>
      <w:r>
        <w:t>ellos</w:t>
      </w:r>
      <w:r>
        <w:rPr>
          <w:spacing w:val="-2"/>
        </w:rPr>
        <w:t xml:space="preserve"> </w:t>
      </w:r>
      <w:r>
        <w:t>no</w:t>
      </w:r>
      <w:r>
        <w:rPr>
          <w:spacing w:val="-2"/>
        </w:rPr>
        <w:t xml:space="preserve"> </w:t>
      </w:r>
      <w:r>
        <w:t>preguntaban</w:t>
      </w:r>
      <w:r>
        <w:rPr>
          <w:spacing w:val="-2"/>
        </w:rPr>
        <w:t xml:space="preserve"> </w:t>
      </w:r>
      <w:r>
        <w:t>quién</w:t>
      </w:r>
      <w:r>
        <w:rPr>
          <w:spacing w:val="-2"/>
        </w:rPr>
        <w:t xml:space="preserve"> </w:t>
      </w:r>
      <w:r>
        <w:t>era,</w:t>
      </w:r>
      <w:r>
        <w:rPr>
          <w:spacing w:val="-2"/>
        </w:rPr>
        <w:t xml:space="preserve"> </w:t>
      </w:r>
      <w:r>
        <w:t>usted</w:t>
      </w:r>
      <w:r>
        <w:rPr>
          <w:spacing w:val="-2"/>
        </w:rPr>
        <w:t xml:space="preserve"> </w:t>
      </w:r>
      <w:r>
        <w:t>iba</w:t>
      </w:r>
      <w:r>
        <w:rPr>
          <w:spacing w:val="-2"/>
        </w:rPr>
        <w:t xml:space="preserve"> </w:t>
      </w:r>
      <w:r>
        <w:t>y</w:t>
      </w:r>
      <w:r>
        <w:rPr>
          <w:spacing w:val="-2"/>
        </w:rPr>
        <w:t xml:space="preserve"> </w:t>
      </w:r>
      <w:r>
        <w:t>le</w:t>
      </w:r>
      <w:r>
        <w:rPr>
          <w:spacing w:val="-2"/>
        </w:rPr>
        <w:t xml:space="preserve"> </w:t>
      </w:r>
      <w:r>
        <w:t>decía</w:t>
      </w:r>
      <w:r>
        <w:rPr>
          <w:spacing w:val="-2"/>
        </w:rPr>
        <w:t xml:space="preserve"> </w:t>
      </w:r>
      <w:r>
        <w:t>"ve, a fulano lo vimos conversando en tal parte con un guerrillero", allá iban y lo mataban»</w:t>
      </w:r>
      <w:r>
        <w:rPr>
          <w:rStyle w:val="Refdenotaalpie"/>
        </w:rPr>
        <w:footnoteReference w:id="757"/>
      </w:r>
      <w:r>
        <w:t>.”</w:t>
      </w:r>
    </w:p>
    <w:p w:rsidR="003804AC" w:rsidRPr="00B519D3" w:rsidRDefault="00AF18A5" w:rsidP="00B519D3">
      <w:bookmarkStart w:id="948" w:name="_bookmark827"/>
      <w:bookmarkStart w:id="949" w:name="_bookmark828"/>
      <w:bookmarkEnd w:id="948"/>
      <w:bookmarkEnd w:id="949"/>
      <w:r w:rsidRPr="00B519D3">
        <w:t xml:space="preserve">En los años noventa comienza el tránsito del enemigo guerrillero al enemigo narcoguerrillero, que se extendió hasta la década siguiente. Es ilustrativo que esa categoría de la </w:t>
      </w:r>
      <w:proofErr w:type="spellStart"/>
      <w:r w:rsidRPr="00B519D3">
        <w:t>narcoguerrilla</w:t>
      </w:r>
      <w:proofErr w:type="spellEnd"/>
      <w:r w:rsidRPr="00B519D3">
        <w:t xml:space="preserve"> la acuñó un embajador de Estados Unidos. Más adelante, y en un contexto de agudización del conflicto armado, en el año 2000 y en los siguientes estas concepciones estuvieron en la base de intentos de reformas para validar la persecución con atribuciones de orden público para las Fuerzas Armadas, por medio de la Ley de Seguridad Nacional de 2001 y del Estatuto Antiterrorista de 2003, ambos declarados inconstitucionales por la Corte Constitucional y que se basaban en buena parte en esta concepción de doctrina del enemigo interno con la suspensión de derechos y la criminalización de protestas sociales.</w:t>
      </w:r>
    </w:p>
    <w:p w:rsidR="003804AC" w:rsidRDefault="00AF18A5" w:rsidP="00833077">
      <w:r>
        <w:t>Durante la política de seguridad democrática, entre 2002 y 2010, desde la Presidencia de la República se fortaleció el discurso del enemigo terrorista o narcoterrorista. En esa época, la estigmatización se agudizó contra periodistas, políticos de oposición que adelantaban denuncias en el Congreso, defensores de derechos humanos, magistrados de altas cortes (como la Corte Constitucional y de la Corte Suprema de Justicia), miembros de organismos de derechos humanos de la Organización de Estados Americanos y de Naciones Unidas. Incluso los empleados públicos que develaban los crímenes fueron estigmatizados y perseguidos,</w:t>
      </w:r>
      <w:r>
        <w:rPr>
          <w:spacing w:val="-9"/>
        </w:rPr>
        <w:t xml:space="preserve"> </w:t>
      </w:r>
      <w:r>
        <w:t>como</w:t>
      </w:r>
      <w:r>
        <w:rPr>
          <w:spacing w:val="-8"/>
        </w:rPr>
        <w:t xml:space="preserve"> </w:t>
      </w:r>
      <w:r>
        <w:t>ocurrió</w:t>
      </w:r>
      <w:r>
        <w:rPr>
          <w:spacing w:val="-8"/>
        </w:rPr>
        <w:t xml:space="preserve"> </w:t>
      </w:r>
      <w:r>
        <w:t>con</w:t>
      </w:r>
      <w:r>
        <w:rPr>
          <w:spacing w:val="-8"/>
        </w:rPr>
        <w:t xml:space="preserve"> </w:t>
      </w:r>
      <w:r>
        <w:t>fiscales</w:t>
      </w:r>
      <w:r>
        <w:rPr>
          <w:spacing w:val="-8"/>
        </w:rPr>
        <w:t xml:space="preserve"> </w:t>
      </w:r>
      <w:r>
        <w:t>que</w:t>
      </w:r>
      <w:r>
        <w:rPr>
          <w:spacing w:val="-8"/>
        </w:rPr>
        <w:t xml:space="preserve"> </w:t>
      </w:r>
      <w:r>
        <w:t>no</w:t>
      </w:r>
      <w:r>
        <w:rPr>
          <w:spacing w:val="-8"/>
        </w:rPr>
        <w:t xml:space="preserve"> </w:t>
      </w:r>
      <w:r>
        <w:t>avalaron</w:t>
      </w:r>
      <w:r>
        <w:rPr>
          <w:spacing w:val="-9"/>
        </w:rPr>
        <w:t xml:space="preserve"> </w:t>
      </w:r>
      <w:r>
        <w:t>las</w:t>
      </w:r>
      <w:r>
        <w:rPr>
          <w:spacing w:val="-8"/>
        </w:rPr>
        <w:t xml:space="preserve"> </w:t>
      </w:r>
      <w:r>
        <w:t>detenciones</w:t>
      </w:r>
      <w:r>
        <w:rPr>
          <w:spacing w:val="-9"/>
        </w:rPr>
        <w:t xml:space="preserve"> </w:t>
      </w:r>
      <w:r>
        <w:lastRenderedPageBreak/>
        <w:t>masivas</w:t>
      </w:r>
      <w:r>
        <w:rPr>
          <w:spacing w:val="-8"/>
        </w:rPr>
        <w:t xml:space="preserve"> </w:t>
      </w:r>
      <w:r>
        <w:t>y</w:t>
      </w:r>
      <w:r>
        <w:rPr>
          <w:spacing w:val="-8"/>
        </w:rPr>
        <w:t xml:space="preserve"> </w:t>
      </w:r>
      <w:r>
        <w:t>arbitrarias en</w:t>
      </w:r>
      <w:r>
        <w:rPr>
          <w:spacing w:val="-6"/>
        </w:rPr>
        <w:t xml:space="preserve"> </w:t>
      </w:r>
      <w:r>
        <w:t>la</w:t>
      </w:r>
      <w:r>
        <w:rPr>
          <w:spacing w:val="-7"/>
        </w:rPr>
        <w:t xml:space="preserve"> </w:t>
      </w:r>
      <w:r>
        <w:t>época</w:t>
      </w:r>
      <w:r>
        <w:rPr>
          <w:spacing w:val="-7"/>
        </w:rPr>
        <w:t xml:space="preserve"> </w:t>
      </w:r>
      <w:r>
        <w:t>de</w:t>
      </w:r>
      <w:r>
        <w:rPr>
          <w:spacing w:val="-6"/>
        </w:rPr>
        <w:t xml:space="preserve"> </w:t>
      </w:r>
      <w:r>
        <w:t>la</w:t>
      </w:r>
      <w:r>
        <w:rPr>
          <w:spacing w:val="-6"/>
        </w:rPr>
        <w:t xml:space="preserve"> </w:t>
      </w:r>
      <w:r>
        <w:t>seguridad</w:t>
      </w:r>
      <w:r>
        <w:rPr>
          <w:spacing w:val="-6"/>
        </w:rPr>
        <w:t xml:space="preserve"> </w:t>
      </w:r>
      <w:r>
        <w:t>democrática,</w:t>
      </w:r>
      <w:r>
        <w:rPr>
          <w:spacing w:val="-6"/>
        </w:rPr>
        <w:t xml:space="preserve"> </w:t>
      </w:r>
      <w:r>
        <w:t>quienes</w:t>
      </w:r>
      <w:r>
        <w:rPr>
          <w:spacing w:val="-7"/>
        </w:rPr>
        <w:t xml:space="preserve"> </w:t>
      </w:r>
      <w:r>
        <w:t>judicializaron</w:t>
      </w:r>
      <w:r>
        <w:rPr>
          <w:spacing w:val="-6"/>
        </w:rPr>
        <w:t xml:space="preserve"> </w:t>
      </w:r>
      <w:r>
        <w:t>a</w:t>
      </w:r>
      <w:r>
        <w:rPr>
          <w:spacing w:val="-6"/>
        </w:rPr>
        <w:t xml:space="preserve"> </w:t>
      </w:r>
      <w:r>
        <w:t>los</w:t>
      </w:r>
      <w:r>
        <w:rPr>
          <w:spacing w:val="-6"/>
        </w:rPr>
        <w:t xml:space="preserve"> </w:t>
      </w:r>
      <w:r>
        <w:t>parapolíticos</w:t>
      </w:r>
      <w:r>
        <w:rPr>
          <w:spacing w:val="-7"/>
        </w:rPr>
        <w:t xml:space="preserve"> </w:t>
      </w:r>
      <w:r>
        <w:t>revelando el</w:t>
      </w:r>
      <w:r>
        <w:rPr>
          <w:spacing w:val="-5"/>
        </w:rPr>
        <w:t xml:space="preserve"> </w:t>
      </w:r>
      <w:r>
        <w:t>entramado</w:t>
      </w:r>
      <w:r>
        <w:rPr>
          <w:spacing w:val="-3"/>
        </w:rPr>
        <w:t xml:space="preserve"> </w:t>
      </w:r>
      <w:r>
        <w:t>paramilitar.</w:t>
      </w:r>
      <w:r>
        <w:rPr>
          <w:spacing w:val="-3"/>
        </w:rPr>
        <w:t xml:space="preserve"> </w:t>
      </w:r>
      <w:r>
        <w:t>La</w:t>
      </w:r>
      <w:r>
        <w:rPr>
          <w:spacing w:val="-2"/>
        </w:rPr>
        <w:t xml:space="preserve"> </w:t>
      </w:r>
      <w:r>
        <w:t>estigmatización</w:t>
      </w:r>
      <w:r>
        <w:rPr>
          <w:spacing w:val="-4"/>
        </w:rPr>
        <w:t xml:space="preserve"> </w:t>
      </w:r>
      <w:r>
        <w:t>y</w:t>
      </w:r>
      <w:r>
        <w:rPr>
          <w:spacing w:val="-3"/>
        </w:rPr>
        <w:t xml:space="preserve"> </w:t>
      </w:r>
      <w:r>
        <w:t>la</w:t>
      </w:r>
      <w:r>
        <w:rPr>
          <w:spacing w:val="-2"/>
        </w:rPr>
        <w:t xml:space="preserve"> </w:t>
      </w:r>
      <w:r>
        <w:t>persecución</w:t>
      </w:r>
      <w:r>
        <w:rPr>
          <w:spacing w:val="-3"/>
        </w:rPr>
        <w:t xml:space="preserve"> </w:t>
      </w:r>
      <w:r>
        <w:t>se</w:t>
      </w:r>
      <w:r>
        <w:rPr>
          <w:spacing w:val="-4"/>
        </w:rPr>
        <w:t xml:space="preserve"> </w:t>
      </w:r>
      <w:r>
        <w:t>usó</w:t>
      </w:r>
      <w:r>
        <w:rPr>
          <w:spacing w:val="-3"/>
        </w:rPr>
        <w:t xml:space="preserve"> </w:t>
      </w:r>
      <w:r>
        <w:t>en</w:t>
      </w:r>
      <w:r>
        <w:rPr>
          <w:spacing w:val="-3"/>
        </w:rPr>
        <w:t xml:space="preserve"> </w:t>
      </w:r>
      <w:r>
        <w:t>contra</w:t>
      </w:r>
      <w:r>
        <w:rPr>
          <w:spacing w:val="-2"/>
        </w:rPr>
        <w:t xml:space="preserve"> </w:t>
      </w:r>
      <w:r>
        <w:t>de</w:t>
      </w:r>
      <w:r>
        <w:rPr>
          <w:spacing w:val="-2"/>
        </w:rPr>
        <w:t xml:space="preserve"> servidores</w:t>
      </w:r>
      <w:bookmarkStart w:id="950" w:name="_bookmark829"/>
      <w:bookmarkEnd w:id="950"/>
      <w:r w:rsidR="00833077">
        <w:rPr>
          <w:spacing w:val="-2"/>
        </w:rPr>
        <w:t xml:space="preserve"> </w:t>
      </w:r>
      <w:r>
        <w:t>públicos</w:t>
      </w:r>
      <w:r>
        <w:rPr>
          <w:spacing w:val="-6"/>
        </w:rPr>
        <w:t xml:space="preserve"> </w:t>
      </w:r>
      <w:r>
        <w:t>que</w:t>
      </w:r>
      <w:r>
        <w:rPr>
          <w:spacing w:val="-7"/>
        </w:rPr>
        <w:t xml:space="preserve"> </w:t>
      </w:r>
      <w:r>
        <w:t>cumplían</w:t>
      </w:r>
      <w:r>
        <w:rPr>
          <w:spacing w:val="-6"/>
        </w:rPr>
        <w:t xml:space="preserve"> </w:t>
      </w:r>
      <w:r>
        <w:t>su</w:t>
      </w:r>
      <w:r>
        <w:rPr>
          <w:spacing w:val="-7"/>
        </w:rPr>
        <w:t xml:space="preserve"> </w:t>
      </w:r>
      <w:r>
        <w:t>función,</w:t>
      </w:r>
      <w:r>
        <w:rPr>
          <w:spacing w:val="-6"/>
        </w:rPr>
        <w:t xml:space="preserve"> </w:t>
      </w:r>
      <w:r>
        <w:t>y</w:t>
      </w:r>
      <w:r>
        <w:rPr>
          <w:spacing w:val="-6"/>
        </w:rPr>
        <w:t xml:space="preserve"> </w:t>
      </w:r>
      <w:r>
        <w:t>así</w:t>
      </w:r>
      <w:r>
        <w:rPr>
          <w:spacing w:val="-6"/>
        </w:rPr>
        <w:t xml:space="preserve"> </w:t>
      </w:r>
      <w:r>
        <w:t>prevalecieron</w:t>
      </w:r>
      <w:r>
        <w:rPr>
          <w:spacing w:val="-6"/>
        </w:rPr>
        <w:t xml:space="preserve"> </w:t>
      </w:r>
      <w:r>
        <w:t>el</w:t>
      </w:r>
      <w:r>
        <w:rPr>
          <w:spacing w:val="-6"/>
        </w:rPr>
        <w:t xml:space="preserve"> </w:t>
      </w:r>
      <w:r>
        <w:t>negacionismo</w:t>
      </w:r>
      <w:r>
        <w:rPr>
          <w:spacing w:val="-6"/>
        </w:rPr>
        <w:t xml:space="preserve"> </w:t>
      </w:r>
      <w:r>
        <w:t>y</w:t>
      </w:r>
      <w:r>
        <w:rPr>
          <w:spacing w:val="-6"/>
        </w:rPr>
        <w:t xml:space="preserve"> </w:t>
      </w:r>
      <w:r>
        <w:t>la</w:t>
      </w:r>
      <w:r>
        <w:rPr>
          <w:spacing w:val="-7"/>
        </w:rPr>
        <w:t xml:space="preserve"> </w:t>
      </w:r>
      <w:r>
        <w:t>impunidad</w:t>
      </w:r>
      <w:r>
        <w:rPr>
          <w:spacing w:val="-7"/>
        </w:rPr>
        <w:t xml:space="preserve"> </w:t>
      </w:r>
      <w:r>
        <w:t>sobre la gravedad de lo que estaba ocurriendo</w:t>
      </w:r>
      <w:r w:rsidR="00833077">
        <w:rPr>
          <w:rStyle w:val="Refdenotaalpie"/>
        </w:rPr>
        <w:footnoteReference w:id="758"/>
      </w:r>
      <w:r>
        <w:t>.</w:t>
      </w:r>
    </w:p>
    <w:p w:rsidR="003804AC" w:rsidRDefault="00AF18A5" w:rsidP="00833077">
      <w:r>
        <w:t>Por</w:t>
      </w:r>
      <w:r>
        <w:rPr>
          <w:spacing w:val="-1"/>
        </w:rPr>
        <w:t xml:space="preserve"> </w:t>
      </w:r>
      <w:r>
        <w:t>ejemplo,</w:t>
      </w:r>
      <w:r>
        <w:rPr>
          <w:spacing w:val="-1"/>
        </w:rPr>
        <w:t xml:space="preserve"> </w:t>
      </w:r>
      <w:r>
        <w:t>en</w:t>
      </w:r>
      <w:r>
        <w:rPr>
          <w:spacing w:val="-1"/>
        </w:rPr>
        <w:t xml:space="preserve"> </w:t>
      </w:r>
      <w:r>
        <w:t>el</w:t>
      </w:r>
      <w:r>
        <w:rPr>
          <w:spacing w:val="-1"/>
        </w:rPr>
        <w:t xml:space="preserve"> </w:t>
      </w:r>
      <w:r>
        <w:t>2003,</w:t>
      </w:r>
      <w:r>
        <w:rPr>
          <w:spacing w:val="-2"/>
        </w:rPr>
        <w:t xml:space="preserve"> </w:t>
      </w:r>
      <w:r>
        <w:t>cuando</w:t>
      </w:r>
      <w:r>
        <w:rPr>
          <w:spacing w:val="-1"/>
        </w:rPr>
        <w:t xml:space="preserve"> </w:t>
      </w:r>
      <w:r>
        <w:t>un</w:t>
      </w:r>
      <w:r>
        <w:rPr>
          <w:spacing w:val="-2"/>
        </w:rPr>
        <w:t xml:space="preserve"> </w:t>
      </w:r>
      <w:r>
        <w:t>grupo</w:t>
      </w:r>
      <w:r>
        <w:rPr>
          <w:spacing w:val="-1"/>
        </w:rPr>
        <w:t xml:space="preserve"> </w:t>
      </w:r>
      <w:r>
        <w:t>de</w:t>
      </w:r>
      <w:r>
        <w:rPr>
          <w:spacing w:val="-1"/>
        </w:rPr>
        <w:t xml:space="preserve"> </w:t>
      </w:r>
      <w:r>
        <w:t>organizaciones</w:t>
      </w:r>
      <w:r>
        <w:rPr>
          <w:spacing w:val="-1"/>
        </w:rPr>
        <w:t xml:space="preserve"> </w:t>
      </w:r>
      <w:r>
        <w:t>no</w:t>
      </w:r>
      <w:r>
        <w:rPr>
          <w:spacing w:val="-1"/>
        </w:rPr>
        <w:t xml:space="preserve"> </w:t>
      </w:r>
      <w:r>
        <w:t>gubernamentales</w:t>
      </w:r>
      <w:r>
        <w:rPr>
          <w:spacing w:val="-2"/>
        </w:rPr>
        <w:t xml:space="preserve"> </w:t>
      </w:r>
      <w:r>
        <w:t>(ONG) de</w:t>
      </w:r>
      <w:r>
        <w:rPr>
          <w:spacing w:val="-8"/>
        </w:rPr>
        <w:t xml:space="preserve"> </w:t>
      </w:r>
      <w:r>
        <w:t>derechos</w:t>
      </w:r>
      <w:r>
        <w:rPr>
          <w:spacing w:val="-9"/>
        </w:rPr>
        <w:t xml:space="preserve"> </w:t>
      </w:r>
      <w:r>
        <w:t>humanos</w:t>
      </w:r>
      <w:r>
        <w:rPr>
          <w:spacing w:val="-8"/>
        </w:rPr>
        <w:t xml:space="preserve"> </w:t>
      </w:r>
      <w:r>
        <w:t>publicó</w:t>
      </w:r>
      <w:r>
        <w:rPr>
          <w:spacing w:val="-9"/>
        </w:rPr>
        <w:t xml:space="preserve"> </w:t>
      </w:r>
      <w:r>
        <w:t>el</w:t>
      </w:r>
      <w:r>
        <w:rPr>
          <w:spacing w:val="-9"/>
        </w:rPr>
        <w:t xml:space="preserve"> </w:t>
      </w:r>
      <w:r>
        <w:t>informe</w:t>
      </w:r>
      <w:r>
        <w:rPr>
          <w:spacing w:val="-8"/>
        </w:rPr>
        <w:t xml:space="preserve"> </w:t>
      </w:r>
      <w:r>
        <w:t>«El</w:t>
      </w:r>
      <w:r>
        <w:rPr>
          <w:spacing w:val="-8"/>
        </w:rPr>
        <w:t xml:space="preserve"> </w:t>
      </w:r>
      <w:r>
        <w:t>embrujo</w:t>
      </w:r>
      <w:r>
        <w:rPr>
          <w:spacing w:val="-8"/>
        </w:rPr>
        <w:t xml:space="preserve"> </w:t>
      </w:r>
      <w:r>
        <w:t>autoritario»,</w:t>
      </w:r>
      <w:r>
        <w:rPr>
          <w:spacing w:val="-9"/>
        </w:rPr>
        <w:t xml:space="preserve"> </w:t>
      </w:r>
      <w:r>
        <w:t>crítico</w:t>
      </w:r>
      <w:r>
        <w:rPr>
          <w:spacing w:val="-9"/>
        </w:rPr>
        <w:t xml:space="preserve"> </w:t>
      </w:r>
      <w:r>
        <w:t>de</w:t>
      </w:r>
      <w:r>
        <w:rPr>
          <w:spacing w:val="-8"/>
        </w:rPr>
        <w:t xml:space="preserve"> </w:t>
      </w:r>
      <w:r>
        <w:t>las</w:t>
      </w:r>
      <w:r>
        <w:rPr>
          <w:spacing w:val="-8"/>
        </w:rPr>
        <w:t xml:space="preserve"> </w:t>
      </w:r>
      <w:r>
        <w:t>políticas</w:t>
      </w:r>
      <w:r>
        <w:rPr>
          <w:spacing w:val="-8"/>
        </w:rPr>
        <w:t xml:space="preserve"> </w:t>
      </w:r>
      <w:r>
        <w:t>del Gobierno,</w:t>
      </w:r>
      <w:r>
        <w:rPr>
          <w:spacing w:val="-2"/>
        </w:rPr>
        <w:t xml:space="preserve"> </w:t>
      </w:r>
      <w:r>
        <w:t>el</w:t>
      </w:r>
      <w:r>
        <w:rPr>
          <w:spacing w:val="-3"/>
        </w:rPr>
        <w:t xml:space="preserve"> </w:t>
      </w:r>
      <w:r>
        <w:t>presidente</w:t>
      </w:r>
      <w:r>
        <w:rPr>
          <w:spacing w:val="-2"/>
        </w:rPr>
        <w:t xml:space="preserve"> </w:t>
      </w:r>
      <w:r>
        <w:t>Uribe</w:t>
      </w:r>
      <w:r>
        <w:rPr>
          <w:spacing w:val="-2"/>
        </w:rPr>
        <w:t xml:space="preserve"> </w:t>
      </w:r>
      <w:r>
        <w:t>pronunció</w:t>
      </w:r>
      <w:r>
        <w:rPr>
          <w:spacing w:val="-2"/>
        </w:rPr>
        <w:t xml:space="preserve"> </w:t>
      </w:r>
      <w:r>
        <w:t>un</w:t>
      </w:r>
      <w:r>
        <w:rPr>
          <w:spacing w:val="-2"/>
        </w:rPr>
        <w:t xml:space="preserve"> </w:t>
      </w:r>
      <w:r>
        <w:t>enérgico</w:t>
      </w:r>
      <w:r>
        <w:rPr>
          <w:spacing w:val="-2"/>
        </w:rPr>
        <w:t xml:space="preserve"> </w:t>
      </w:r>
      <w:r>
        <w:t>discurso</w:t>
      </w:r>
      <w:r>
        <w:rPr>
          <w:spacing w:val="-2"/>
        </w:rPr>
        <w:t xml:space="preserve"> </w:t>
      </w:r>
      <w:r>
        <w:t>que</w:t>
      </w:r>
      <w:r>
        <w:rPr>
          <w:spacing w:val="-2"/>
        </w:rPr>
        <w:t xml:space="preserve"> </w:t>
      </w:r>
      <w:r>
        <w:t>fue</w:t>
      </w:r>
      <w:r>
        <w:rPr>
          <w:spacing w:val="-2"/>
        </w:rPr>
        <w:t xml:space="preserve"> </w:t>
      </w:r>
      <w:r>
        <w:t>transmitido</w:t>
      </w:r>
      <w:r>
        <w:rPr>
          <w:spacing w:val="-2"/>
        </w:rPr>
        <w:t xml:space="preserve"> </w:t>
      </w:r>
      <w:r>
        <w:t>por</w:t>
      </w:r>
      <w:r>
        <w:rPr>
          <w:spacing w:val="-3"/>
        </w:rPr>
        <w:t xml:space="preserve"> </w:t>
      </w:r>
      <w:r>
        <w:t>todos los canales de televisión en el horario de mayor sintonía, refiriéndose a los defensores de derechos humanos como:</w:t>
      </w:r>
    </w:p>
    <w:p w:rsidR="003804AC" w:rsidRPr="00B519D3" w:rsidRDefault="00AF18A5" w:rsidP="00B519D3">
      <w:r w:rsidRPr="00B519D3">
        <w:t>Politiqueros al servicio del terrorismo, que cobardemente se agitan en la bandera de los derechos humanos, para tratar de devolverle en Colombia al terrorismo el espacio que la fuerza pública y que la ciudadanía le ha quitado.</w:t>
      </w:r>
    </w:p>
    <w:p w:rsidR="003804AC" w:rsidRDefault="00AF18A5" w:rsidP="00B519D3">
      <w:r>
        <w:t>Cada vez que en Colombia aparece una política de seguridad para derrotar el terrorismo, cuando los terroristas empiezan a sentirse débiles, inmediatamente envían sus voceros a que hablen de derechos humanos.</w:t>
      </w:r>
    </w:p>
    <w:p w:rsidR="003804AC" w:rsidRDefault="00AF18A5" w:rsidP="00833077">
      <w:r>
        <w:t>Muchas</w:t>
      </w:r>
      <w:r>
        <w:rPr>
          <w:spacing w:val="28"/>
        </w:rPr>
        <w:t xml:space="preserve"> </w:t>
      </w:r>
      <w:r>
        <w:t>de</w:t>
      </w:r>
      <w:r>
        <w:rPr>
          <w:spacing w:val="28"/>
        </w:rPr>
        <w:t xml:space="preserve"> </w:t>
      </w:r>
      <w:r>
        <w:t>estas</w:t>
      </w:r>
      <w:r>
        <w:rPr>
          <w:spacing w:val="28"/>
        </w:rPr>
        <w:t xml:space="preserve"> </w:t>
      </w:r>
      <w:r>
        <w:t>críticas</w:t>
      </w:r>
      <w:r>
        <w:rPr>
          <w:spacing w:val="28"/>
        </w:rPr>
        <w:t xml:space="preserve"> </w:t>
      </w:r>
      <w:r>
        <w:t>las</w:t>
      </w:r>
      <w:r>
        <w:rPr>
          <w:spacing w:val="28"/>
        </w:rPr>
        <w:t xml:space="preserve"> </w:t>
      </w:r>
      <w:r>
        <w:t>han</w:t>
      </w:r>
      <w:r>
        <w:rPr>
          <w:spacing w:val="28"/>
        </w:rPr>
        <w:t xml:space="preserve"> </w:t>
      </w:r>
      <w:r>
        <w:t>tomado</w:t>
      </w:r>
      <w:r>
        <w:rPr>
          <w:spacing w:val="28"/>
        </w:rPr>
        <w:t xml:space="preserve"> </w:t>
      </w:r>
      <w:r>
        <w:t>de</w:t>
      </w:r>
      <w:r>
        <w:rPr>
          <w:spacing w:val="28"/>
        </w:rPr>
        <w:t xml:space="preserve"> </w:t>
      </w:r>
      <w:r>
        <w:t>la</w:t>
      </w:r>
      <w:r>
        <w:rPr>
          <w:spacing w:val="28"/>
        </w:rPr>
        <w:t xml:space="preserve"> </w:t>
      </w:r>
      <w:r>
        <w:t>página</w:t>
      </w:r>
      <w:r>
        <w:rPr>
          <w:spacing w:val="28"/>
        </w:rPr>
        <w:t xml:space="preserve"> </w:t>
      </w:r>
      <w:r>
        <w:t>de</w:t>
      </w:r>
      <w:r>
        <w:rPr>
          <w:spacing w:val="28"/>
        </w:rPr>
        <w:t xml:space="preserve"> </w:t>
      </w:r>
      <w:r>
        <w:t>internet</w:t>
      </w:r>
      <w:r>
        <w:rPr>
          <w:spacing w:val="28"/>
        </w:rPr>
        <w:t xml:space="preserve"> </w:t>
      </w:r>
      <w:r>
        <w:t>de</w:t>
      </w:r>
      <w:r>
        <w:rPr>
          <w:spacing w:val="28"/>
        </w:rPr>
        <w:t xml:space="preserve"> </w:t>
      </w:r>
      <w:r>
        <w:t>las</w:t>
      </w:r>
      <w:r>
        <w:rPr>
          <w:spacing w:val="28"/>
        </w:rPr>
        <w:t xml:space="preserve"> </w:t>
      </w:r>
      <w:r>
        <w:t>FARC.</w:t>
      </w:r>
      <w:r>
        <w:rPr>
          <w:spacing w:val="28"/>
        </w:rPr>
        <w:t xml:space="preserve"> </w:t>
      </w:r>
      <w:r>
        <w:t>No</w:t>
      </w:r>
      <w:r>
        <w:rPr>
          <w:spacing w:val="28"/>
        </w:rPr>
        <w:t xml:space="preserve"> </w:t>
      </w:r>
      <w:r>
        <w:t>tienen vergüenza</w:t>
      </w:r>
      <w:r>
        <w:rPr>
          <w:spacing w:val="-7"/>
        </w:rPr>
        <w:t xml:space="preserve"> </w:t>
      </w:r>
      <w:r>
        <w:t>ni</w:t>
      </w:r>
      <w:r>
        <w:rPr>
          <w:spacing w:val="-7"/>
        </w:rPr>
        <w:t xml:space="preserve"> </w:t>
      </w:r>
      <w:r>
        <w:t>limitaciones.</w:t>
      </w:r>
      <w:r>
        <w:rPr>
          <w:spacing w:val="-5"/>
        </w:rPr>
        <w:t xml:space="preserve"> </w:t>
      </w:r>
      <w:r>
        <w:t>Sacan</w:t>
      </w:r>
      <w:r>
        <w:rPr>
          <w:spacing w:val="-6"/>
        </w:rPr>
        <w:t xml:space="preserve"> </w:t>
      </w:r>
      <w:r>
        <w:t>libros</w:t>
      </w:r>
      <w:r>
        <w:rPr>
          <w:spacing w:val="-7"/>
        </w:rPr>
        <w:t xml:space="preserve"> </w:t>
      </w:r>
      <w:r>
        <w:t>en</w:t>
      </w:r>
      <w:r>
        <w:rPr>
          <w:spacing w:val="-6"/>
        </w:rPr>
        <w:t xml:space="preserve"> </w:t>
      </w:r>
      <w:r>
        <w:t>Europa</w:t>
      </w:r>
      <w:r>
        <w:rPr>
          <w:spacing w:val="-7"/>
        </w:rPr>
        <w:t xml:space="preserve"> </w:t>
      </w:r>
      <w:r>
        <w:t>sobre</w:t>
      </w:r>
      <w:r>
        <w:rPr>
          <w:spacing w:val="-7"/>
        </w:rPr>
        <w:t xml:space="preserve"> </w:t>
      </w:r>
      <w:r>
        <w:t>rumores</w:t>
      </w:r>
      <w:r>
        <w:rPr>
          <w:spacing w:val="-7"/>
        </w:rPr>
        <w:t xml:space="preserve"> </w:t>
      </w:r>
      <w:r>
        <w:t>y</w:t>
      </w:r>
      <w:r>
        <w:rPr>
          <w:spacing w:val="-6"/>
        </w:rPr>
        <w:t xml:space="preserve"> </w:t>
      </w:r>
      <w:r>
        <w:t>calumnias.</w:t>
      </w:r>
      <w:r>
        <w:rPr>
          <w:spacing w:val="-7"/>
        </w:rPr>
        <w:t xml:space="preserve"> </w:t>
      </w:r>
      <w:r>
        <w:t>Ellos</w:t>
      </w:r>
      <w:r>
        <w:rPr>
          <w:spacing w:val="-7"/>
        </w:rPr>
        <w:t xml:space="preserve"> </w:t>
      </w:r>
      <w:r>
        <w:t>saben</w:t>
      </w:r>
      <w:r>
        <w:rPr>
          <w:spacing w:val="-6"/>
        </w:rPr>
        <w:t xml:space="preserve"> </w:t>
      </w:r>
      <w:r>
        <w:t>que su única arma es la calumnia que hipócritamente se esconde detrás de los derechos humanos. Estos</w:t>
      </w:r>
      <w:r>
        <w:rPr>
          <w:spacing w:val="40"/>
        </w:rPr>
        <w:t xml:space="preserve"> </w:t>
      </w:r>
      <w:r>
        <w:t>señores</w:t>
      </w:r>
      <w:r>
        <w:rPr>
          <w:spacing w:val="40"/>
        </w:rPr>
        <w:t xml:space="preserve"> </w:t>
      </w:r>
      <w:r>
        <w:t>pueden</w:t>
      </w:r>
      <w:r>
        <w:rPr>
          <w:spacing w:val="40"/>
        </w:rPr>
        <w:t xml:space="preserve"> </w:t>
      </w:r>
      <w:r>
        <w:t>saber</w:t>
      </w:r>
      <w:r>
        <w:rPr>
          <w:spacing w:val="40"/>
        </w:rPr>
        <w:t xml:space="preserve"> </w:t>
      </w:r>
      <w:r>
        <w:t>que</w:t>
      </w:r>
      <w:r>
        <w:rPr>
          <w:spacing w:val="40"/>
        </w:rPr>
        <w:t xml:space="preserve"> </w:t>
      </w:r>
      <w:r>
        <w:t>aquella</w:t>
      </w:r>
      <w:r>
        <w:rPr>
          <w:spacing w:val="40"/>
        </w:rPr>
        <w:t xml:space="preserve"> </w:t>
      </w:r>
      <w:r>
        <w:t>determinación</w:t>
      </w:r>
      <w:r>
        <w:rPr>
          <w:spacing w:val="40"/>
        </w:rPr>
        <w:t xml:space="preserve"> </w:t>
      </w:r>
      <w:r>
        <w:t>de</w:t>
      </w:r>
      <w:r>
        <w:rPr>
          <w:spacing w:val="40"/>
        </w:rPr>
        <w:t xml:space="preserve"> </w:t>
      </w:r>
      <w:r>
        <w:lastRenderedPageBreak/>
        <w:t>derrotar</w:t>
      </w:r>
      <w:r>
        <w:rPr>
          <w:spacing w:val="40"/>
        </w:rPr>
        <w:t xml:space="preserve"> </w:t>
      </w:r>
      <w:r>
        <w:t>al</w:t>
      </w:r>
      <w:r>
        <w:rPr>
          <w:spacing w:val="40"/>
        </w:rPr>
        <w:t xml:space="preserve"> </w:t>
      </w:r>
      <w:r>
        <w:t>terrorismo</w:t>
      </w:r>
      <w:r>
        <w:rPr>
          <w:spacing w:val="40"/>
        </w:rPr>
        <w:t xml:space="preserve"> </w:t>
      </w:r>
      <w:r>
        <w:t>y</w:t>
      </w:r>
      <w:r>
        <w:rPr>
          <w:spacing w:val="40"/>
        </w:rPr>
        <w:t xml:space="preserve"> </w:t>
      </w:r>
      <w:r>
        <w:t>a</w:t>
      </w:r>
      <w:r>
        <w:rPr>
          <w:spacing w:val="40"/>
        </w:rPr>
        <w:t xml:space="preserve"> </w:t>
      </w:r>
      <w:r>
        <w:t>sus secuaces, que una de nuestras decisiones políticas es aislar el terrorismo y que para aislarlo</w:t>
      </w:r>
      <w:r>
        <w:rPr>
          <w:spacing w:val="40"/>
        </w:rPr>
        <w:t xml:space="preserve"> </w:t>
      </w:r>
      <w:r>
        <w:t>vamos a capturar a todos aquellos que delinquen por complicidad o por ocultamiento</w:t>
      </w:r>
      <w:r w:rsidR="00833077">
        <w:rPr>
          <w:rStyle w:val="Refdenotaalpie"/>
        </w:rPr>
        <w:footnoteReference w:id="759"/>
      </w:r>
      <w:r>
        <w:t>.</w:t>
      </w:r>
    </w:p>
    <w:p w:rsidR="003804AC" w:rsidRDefault="00AF18A5" w:rsidP="00833077">
      <w:r>
        <w:t>Es</w:t>
      </w:r>
      <w:r>
        <w:rPr>
          <w:spacing w:val="-6"/>
        </w:rPr>
        <w:t xml:space="preserve"> </w:t>
      </w:r>
      <w:r>
        <w:t>decir,</w:t>
      </w:r>
      <w:r>
        <w:rPr>
          <w:spacing w:val="-6"/>
        </w:rPr>
        <w:t xml:space="preserve"> </w:t>
      </w:r>
      <w:r>
        <w:t>esta</w:t>
      </w:r>
      <w:r>
        <w:rPr>
          <w:spacing w:val="-6"/>
        </w:rPr>
        <w:t xml:space="preserve"> </w:t>
      </w:r>
      <w:r>
        <w:t>visión</w:t>
      </w:r>
      <w:r>
        <w:rPr>
          <w:spacing w:val="-6"/>
        </w:rPr>
        <w:t xml:space="preserve"> </w:t>
      </w:r>
      <w:r>
        <w:t>de</w:t>
      </w:r>
      <w:r>
        <w:rPr>
          <w:spacing w:val="-6"/>
        </w:rPr>
        <w:t xml:space="preserve"> </w:t>
      </w:r>
      <w:r>
        <w:t>enemigo</w:t>
      </w:r>
      <w:r>
        <w:rPr>
          <w:spacing w:val="-7"/>
        </w:rPr>
        <w:t xml:space="preserve"> </w:t>
      </w:r>
      <w:r>
        <w:t>interno</w:t>
      </w:r>
      <w:r>
        <w:rPr>
          <w:spacing w:val="-6"/>
        </w:rPr>
        <w:t xml:space="preserve"> </w:t>
      </w:r>
      <w:r>
        <w:t>de</w:t>
      </w:r>
      <w:r>
        <w:rPr>
          <w:spacing w:val="-6"/>
        </w:rPr>
        <w:t xml:space="preserve"> </w:t>
      </w:r>
      <w:r>
        <w:t>parte</w:t>
      </w:r>
      <w:r>
        <w:rPr>
          <w:spacing w:val="-7"/>
        </w:rPr>
        <w:t xml:space="preserve"> </w:t>
      </w:r>
      <w:r>
        <w:t>de</w:t>
      </w:r>
      <w:r>
        <w:rPr>
          <w:spacing w:val="-6"/>
        </w:rPr>
        <w:t xml:space="preserve"> </w:t>
      </w:r>
      <w:r>
        <w:t>la</w:t>
      </w:r>
      <w:r>
        <w:rPr>
          <w:spacing w:val="-6"/>
        </w:rPr>
        <w:t xml:space="preserve"> </w:t>
      </w:r>
      <w:r>
        <w:t>población</w:t>
      </w:r>
      <w:r>
        <w:rPr>
          <w:spacing w:val="-6"/>
        </w:rPr>
        <w:t xml:space="preserve"> </w:t>
      </w:r>
      <w:r>
        <w:t>ha</w:t>
      </w:r>
      <w:r>
        <w:rPr>
          <w:spacing w:val="-6"/>
        </w:rPr>
        <w:t xml:space="preserve"> </w:t>
      </w:r>
      <w:r>
        <w:t>sido</w:t>
      </w:r>
      <w:r>
        <w:rPr>
          <w:spacing w:val="-7"/>
        </w:rPr>
        <w:t xml:space="preserve"> </w:t>
      </w:r>
      <w:r>
        <w:t>una</w:t>
      </w:r>
      <w:r>
        <w:rPr>
          <w:spacing w:val="-6"/>
        </w:rPr>
        <w:t xml:space="preserve"> </w:t>
      </w:r>
      <w:r>
        <w:t>tendencia</w:t>
      </w:r>
      <w:r>
        <w:rPr>
          <w:spacing w:val="-7"/>
        </w:rPr>
        <w:t xml:space="preserve"> </w:t>
      </w:r>
      <w:r>
        <w:t>de</w:t>
      </w:r>
      <w:r>
        <w:rPr>
          <w:spacing w:val="-6"/>
        </w:rPr>
        <w:t xml:space="preserve"> </w:t>
      </w:r>
      <w:r>
        <w:t>un modelo de seguridad basado en una concepción contrainsurgente. En los años setenta y ochenta, respecto a la población campesina la estigmatización se dio contra movimientos como la ANUC o el Consejo Regional Indígena del Cauca (CRIC), frente a las acciones de toma de tierras y demandas de reforma agraria, contraviniendo incluso la doctrina militar desarrollista</w:t>
      </w:r>
      <w:r>
        <w:rPr>
          <w:spacing w:val="-13"/>
        </w:rPr>
        <w:t xml:space="preserve"> </w:t>
      </w:r>
      <w:r>
        <w:t>de</w:t>
      </w:r>
      <w:r>
        <w:rPr>
          <w:spacing w:val="-12"/>
        </w:rPr>
        <w:t xml:space="preserve"> </w:t>
      </w:r>
      <w:r>
        <w:t>los</w:t>
      </w:r>
      <w:r>
        <w:rPr>
          <w:spacing w:val="-12"/>
        </w:rPr>
        <w:t xml:space="preserve"> </w:t>
      </w:r>
      <w:r>
        <w:t>años</w:t>
      </w:r>
      <w:r>
        <w:rPr>
          <w:spacing w:val="-12"/>
        </w:rPr>
        <w:t xml:space="preserve"> </w:t>
      </w:r>
      <w:r>
        <w:t>sesenta</w:t>
      </w:r>
      <w:r>
        <w:rPr>
          <w:spacing w:val="-13"/>
        </w:rPr>
        <w:t xml:space="preserve"> </w:t>
      </w:r>
      <w:r>
        <w:t>que</w:t>
      </w:r>
      <w:r>
        <w:rPr>
          <w:spacing w:val="-12"/>
        </w:rPr>
        <w:t xml:space="preserve"> </w:t>
      </w:r>
      <w:r>
        <w:t>consideraba</w:t>
      </w:r>
      <w:r>
        <w:rPr>
          <w:spacing w:val="-12"/>
        </w:rPr>
        <w:t xml:space="preserve"> </w:t>
      </w:r>
      <w:r>
        <w:t>que</w:t>
      </w:r>
      <w:r>
        <w:rPr>
          <w:spacing w:val="-12"/>
        </w:rPr>
        <w:t xml:space="preserve"> </w:t>
      </w:r>
      <w:r>
        <w:t>había</w:t>
      </w:r>
      <w:r>
        <w:rPr>
          <w:spacing w:val="-13"/>
        </w:rPr>
        <w:t xml:space="preserve"> </w:t>
      </w:r>
      <w:r>
        <w:t>que</w:t>
      </w:r>
      <w:r>
        <w:rPr>
          <w:spacing w:val="-13"/>
        </w:rPr>
        <w:t xml:space="preserve"> </w:t>
      </w:r>
      <w:r>
        <w:t>proporcionar</w:t>
      </w:r>
      <w:r>
        <w:rPr>
          <w:spacing w:val="-11"/>
        </w:rPr>
        <w:t xml:space="preserve"> </w:t>
      </w:r>
      <w:r>
        <w:t>y</w:t>
      </w:r>
      <w:r>
        <w:rPr>
          <w:spacing w:val="-12"/>
        </w:rPr>
        <w:t xml:space="preserve"> </w:t>
      </w:r>
      <w:r>
        <w:t>dar</w:t>
      </w:r>
      <w:r>
        <w:rPr>
          <w:spacing w:val="-13"/>
        </w:rPr>
        <w:t xml:space="preserve"> </w:t>
      </w:r>
      <w:r>
        <w:t>respuestas sociales al campesinado para que tuvieran una perspectiva de desarrollo y disminuir la posible</w:t>
      </w:r>
      <w:r>
        <w:rPr>
          <w:spacing w:val="-1"/>
        </w:rPr>
        <w:t xml:space="preserve"> </w:t>
      </w:r>
      <w:r>
        <w:t>influencia de</w:t>
      </w:r>
      <w:r>
        <w:rPr>
          <w:spacing w:val="-1"/>
        </w:rPr>
        <w:t xml:space="preserve"> </w:t>
      </w:r>
      <w:r>
        <w:t>la</w:t>
      </w:r>
      <w:r>
        <w:rPr>
          <w:spacing w:val="-1"/>
        </w:rPr>
        <w:t xml:space="preserve"> </w:t>
      </w:r>
      <w:r>
        <w:t>insurgencia.</w:t>
      </w:r>
      <w:r>
        <w:rPr>
          <w:spacing w:val="-1"/>
        </w:rPr>
        <w:t xml:space="preserve"> </w:t>
      </w:r>
      <w:r>
        <w:t>A</w:t>
      </w:r>
      <w:r>
        <w:rPr>
          <w:spacing w:val="-1"/>
        </w:rPr>
        <w:t xml:space="preserve"> </w:t>
      </w:r>
      <w:r>
        <w:t>mediados</w:t>
      </w:r>
      <w:r>
        <w:rPr>
          <w:spacing w:val="-1"/>
        </w:rPr>
        <w:t xml:space="preserve"> </w:t>
      </w:r>
      <w:r>
        <w:t>de los años</w:t>
      </w:r>
      <w:r>
        <w:rPr>
          <w:spacing w:val="-2"/>
        </w:rPr>
        <w:t xml:space="preserve"> </w:t>
      </w:r>
      <w:r>
        <w:t>noventa, en</w:t>
      </w:r>
      <w:r>
        <w:rPr>
          <w:spacing w:val="-1"/>
        </w:rPr>
        <w:t xml:space="preserve"> </w:t>
      </w:r>
      <w:r>
        <w:t>las zonas de</w:t>
      </w:r>
      <w:r>
        <w:rPr>
          <w:spacing w:val="-1"/>
        </w:rPr>
        <w:t xml:space="preserve"> </w:t>
      </w:r>
      <w:r>
        <w:t>fuerte presencia</w:t>
      </w:r>
      <w:r>
        <w:rPr>
          <w:spacing w:val="-6"/>
        </w:rPr>
        <w:t xml:space="preserve"> </w:t>
      </w:r>
      <w:r>
        <w:t>y</w:t>
      </w:r>
      <w:r>
        <w:rPr>
          <w:spacing w:val="-7"/>
        </w:rPr>
        <w:t xml:space="preserve"> </w:t>
      </w:r>
      <w:r>
        <w:t>control</w:t>
      </w:r>
      <w:r>
        <w:rPr>
          <w:spacing w:val="-6"/>
        </w:rPr>
        <w:t xml:space="preserve"> </w:t>
      </w:r>
      <w:r>
        <w:t>de</w:t>
      </w:r>
      <w:r>
        <w:rPr>
          <w:spacing w:val="-6"/>
        </w:rPr>
        <w:t xml:space="preserve"> </w:t>
      </w:r>
      <w:r>
        <w:t>las</w:t>
      </w:r>
      <w:r>
        <w:rPr>
          <w:spacing w:val="-6"/>
        </w:rPr>
        <w:t xml:space="preserve"> </w:t>
      </w:r>
      <w:r>
        <w:t>FARC-EP</w:t>
      </w:r>
      <w:r>
        <w:rPr>
          <w:spacing w:val="-5"/>
        </w:rPr>
        <w:t xml:space="preserve"> </w:t>
      </w:r>
      <w:r>
        <w:t>y</w:t>
      </w:r>
      <w:r>
        <w:rPr>
          <w:spacing w:val="-6"/>
        </w:rPr>
        <w:t xml:space="preserve"> </w:t>
      </w:r>
      <w:r>
        <w:t>presencia</w:t>
      </w:r>
      <w:r>
        <w:rPr>
          <w:spacing w:val="-7"/>
        </w:rPr>
        <w:t xml:space="preserve"> </w:t>
      </w:r>
      <w:r>
        <w:t>de</w:t>
      </w:r>
      <w:r>
        <w:rPr>
          <w:spacing w:val="-6"/>
        </w:rPr>
        <w:t xml:space="preserve"> </w:t>
      </w:r>
      <w:r>
        <w:t>cultivos</w:t>
      </w:r>
      <w:r>
        <w:rPr>
          <w:spacing w:val="-6"/>
        </w:rPr>
        <w:t xml:space="preserve"> </w:t>
      </w:r>
      <w:r>
        <w:t>de</w:t>
      </w:r>
      <w:r>
        <w:rPr>
          <w:spacing w:val="-6"/>
        </w:rPr>
        <w:t xml:space="preserve"> </w:t>
      </w:r>
      <w:r>
        <w:t>coca,</w:t>
      </w:r>
      <w:r>
        <w:rPr>
          <w:spacing w:val="-6"/>
        </w:rPr>
        <w:t xml:space="preserve"> </w:t>
      </w:r>
      <w:r>
        <w:t>y</w:t>
      </w:r>
      <w:r>
        <w:rPr>
          <w:spacing w:val="-6"/>
        </w:rPr>
        <w:t xml:space="preserve"> </w:t>
      </w:r>
      <w:r>
        <w:t>con</w:t>
      </w:r>
      <w:r>
        <w:rPr>
          <w:spacing w:val="-6"/>
        </w:rPr>
        <w:t xml:space="preserve"> </w:t>
      </w:r>
      <w:r>
        <w:t>fundamento</w:t>
      </w:r>
      <w:r>
        <w:rPr>
          <w:spacing w:val="-6"/>
        </w:rPr>
        <w:t xml:space="preserve"> </w:t>
      </w:r>
      <w:r>
        <w:t>en</w:t>
      </w:r>
      <w:r>
        <w:rPr>
          <w:spacing w:val="-6"/>
        </w:rPr>
        <w:t xml:space="preserve"> </w:t>
      </w:r>
      <w:r>
        <w:t>la lucha</w:t>
      </w:r>
      <w:r w:rsidR="00833077">
        <w:t xml:space="preserve"> </w:t>
      </w:r>
      <w:r>
        <w:t>contra</w:t>
      </w:r>
      <w:r>
        <w:rPr>
          <w:spacing w:val="54"/>
        </w:rPr>
        <w:t xml:space="preserve"> </w:t>
      </w:r>
      <w:r>
        <w:t>las</w:t>
      </w:r>
      <w:r>
        <w:rPr>
          <w:spacing w:val="53"/>
        </w:rPr>
        <w:t xml:space="preserve"> </w:t>
      </w:r>
      <w:r>
        <w:t>drogas,</w:t>
      </w:r>
      <w:r>
        <w:rPr>
          <w:spacing w:val="54"/>
        </w:rPr>
        <w:t xml:space="preserve"> </w:t>
      </w:r>
      <w:r>
        <w:t>las</w:t>
      </w:r>
      <w:r>
        <w:rPr>
          <w:spacing w:val="53"/>
        </w:rPr>
        <w:t xml:space="preserve"> </w:t>
      </w:r>
      <w:r>
        <w:t>comunidades</w:t>
      </w:r>
      <w:r>
        <w:rPr>
          <w:spacing w:val="53"/>
        </w:rPr>
        <w:t xml:space="preserve"> </w:t>
      </w:r>
      <w:r>
        <w:t>campesinas,</w:t>
      </w:r>
      <w:r>
        <w:rPr>
          <w:spacing w:val="54"/>
        </w:rPr>
        <w:t xml:space="preserve"> </w:t>
      </w:r>
      <w:r>
        <w:t>cocaleras,</w:t>
      </w:r>
      <w:r>
        <w:rPr>
          <w:spacing w:val="53"/>
        </w:rPr>
        <w:t xml:space="preserve"> </w:t>
      </w:r>
      <w:r>
        <w:t>indígenas</w:t>
      </w:r>
      <w:r>
        <w:rPr>
          <w:spacing w:val="54"/>
        </w:rPr>
        <w:t xml:space="preserve"> </w:t>
      </w:r>
      <w:r>
        <w:rPr>
          <w:spacing w:val="-10"/>
        </w:rPr>
        <w:t>y</w:t>
      </w:r>
      <w:bookmarkStart w:id="951" w:name="_bookmark830"/>
      <w:bookmarkEnd w:id="951"/>
      <w:r w:rsidR="00833077">
        <w:rPr>
          <w:spacing w:val="-10"/>
        </w:rPr>
        <w:t xml:space="preserve"> </w:t>
      </w:r>
      <w:r>
        <w:t xml:space="preserve">afrodescendientes fueron afectadas por la militarización, la estigmatización y las </w:t>
      </w:r>
      <w:r>
        <w:rPr>
          <w:spacing w:val="-2"/>
        </w:rPr>
        <w:t>fumigaciones</w:t>
      </w:r>
      <w:r w:rsidR="00833077">
        <w:rPr>
          <w:rStyle w:val="Refdenotaalpie"/>
          <w:spacing w:val="-2"/>
        </w:rPr>
        <w:footnoteReference w:id="760"/>
      </w:r>
      <w:r>
        <w:rPr>
          <w:spacing w:val="-2"/>
        </w:rPr>
        <w:t>.</w:t>
      </w:r>
    </w:p>
    <w:p w:rsidR="003804AC" w:rsidRDefault="00AF18A5" w:rsidP="00833077">
      <w:r>
        <w:t xml:space="preserve">El etiquetamiento y estigmatización también ha sido usado para intereses espurios. Por ejemplo, se utilizó contra quienes investigaron dinámicas de corrupción y la denunciaron. Por ejemplo, los señalamientos contra la Asociación Nacional Sindical de Trabajadores y Servidores Públicos de la Salud, Seguridad Social Integral y Servicios </w:t>
      </w:r>
      <w:r>
        <w:lastRenderedPageBreak/>
        <w:t>Complementarios de Colombia (ANTHOC). La campaña paramilitar contra dicho sindicato en los años 2000 se basaba</w:t>
      </w:r>
      <w:r>
        <w:rPr>
          <w:spacing w:val="-10"/>
        </w:rPr>
        <w:t xml:space="preserve"> </w:t>
      </w:r>
      <w:r>
        <w:t>en</w:t>
      </w:r>
      <w:r>
        <w:rPr>
          <w:spacing w:val="-11"/>
        </w:rPr>
        <w:t xml:space="preserve"> </w:t>
      </w:r>
      <w:r>
        <w:t>considerar</w:t>
      </w:r>
      <w:r>
        <w:rPr>
          <w:spacing w:val="-10"/>
        </w:rPr>
        <w:t xml:space="preserve"> </w:t>
      </w:r>
      <w:r>
        <w:t>que</w:t>
      </w:r>
      <w:r>
        <w:rPr>
          <w:spacing w:val="-12"/>
        </w:rPr>
        <w:t xml:space="preserve"> </w:t>
      </w:r>
      <w:r>
        <w:t>era</w:t>
      </w:r>
      <w:r>
        <w:rPr>
          <w:spacing w:val="-10"/>
        </w:rPr>
        <w:t xml:space="preserve"> </w:t>
      </w:r>
      <w:r>
        <w:t>un</w:t>
      </w:r>
      <w:r>
        <w:rPr>
          <w:spacing w:val="-11"/>
        </w:rPr>
        <w:t xml:space="preserve"> </w:t>
      </w:r>
      <w:r>
        <w:t>obstáculo</w:t>
      </w:r>
      <w:r>
        <w:rPr>
          <w:spacing w:val="-11"/>
        </w:rPr>
        <w:t xml:space="preserve"> </w:t>
      </w:r>
      <w:r>
        <w:t>para</w:t>
      </w:r>
      <w:r>
        <w:rPr>
          <w:spacing w:val="-11"/>
        </w:rPr>
        <w:t xml:space="preserve"> </w:t>
      </w:r>
      <w:r>
        <w:t>la</w:t>
      </w:r>
      <w:r>
        <w:rPr>
          <w:spacing w:val="-12"/>
        </w:rPr>
        <w:t xml:space="preserve"> </w:t>
      </w:r>
      <w:r>
        <w:t>apropiación</w:t>
      </w:r>
      <w:r>
        <w:rPr>
          <w:spacing w:val="-11"/>
        </w:rPr>
        <w:t xml:space="preserve"> </w:t>
      </w:r>
      <w:r>
        <w:t>fraudulenta</w:t>
      </w:r>
      <w:r>
        <w:rPr>
          <w:spacing w:val="-12"/>
        </w:rPr>
        <w:t xml:space="preserve"> </w:t>
      </w:r>
      <w:r>
        <w:t>del</w:t>
      </w:r>
      <w:r>
        <w:rPr>
          <w:spacing w:val="-10"/>
        </w:rPr>
        <w:t xml:space="preserve"> </w:t>
      </w:r>
      <w:r>
        <w:t>presupuesto</w:t>
      </w:r>
      <w:r>
        <w:rPr>
          <w:spacing w:val="-11"/>
        </w:rPr>
        <w:t xml:space="preserve"> </w:t>
      </w:r>
      <w:r>
        <w:t>de salud</w:t>
      </w:r>
      <w:r>
        <w:rPr>
          <w:spacing w:val="-6"/>
        </w:rPr>
        <w:t xml:space="preserve"> </w:t>
      </w:r>
      <w:r>
        <w:t>para</w:t>
      </w:r>
      <w:r>
        <w:rPr>
          <w:spacing w:val="-6"/>
        </w:rPr>
        <w:t xml:space="preserve"> </w:t>
      </w:r>
      <w:r>
        <w:t>objetivos</w:t>
      </w:r>
      <w:r>
        <w:rPr>
          <w:spacing w:val="-6"/>
        </w:rPr>
        <w:t xml:space="preserve"> </w:t>
      </w:r>
      <w:r>
        <w:t>de</w:t>
      </w:r>
      <w:r>
        <w:rPr>
          <w:spacing w:val="-7"/>
        </w:rPr>
        <w:t xml:space="preserve"> </w:t>
      </w:r>
      <w:r>
        <w:t>financiamiento</w:t>
      </w:r>
      <w:r>
        <w:rPr>
          <w:spacing w:val="-6"/>
        </w:rPr>
        <w:t xml:space="preserve"> </w:t>
      </w:r>
      <w:r>
        <w:t>de</w:t>
      </w:r>
      <w:r>
        <w:rPr>
          <w:spacing w:val="-7"/>
        </w:rPr>
        <w:t xml:space="preserve"> </w:t>
      </w:r>
      <w:r>
        <w:t>los</w:t>
      </w:r>
      <w:r>
        <w:rPr>
          <w:spacing w:val="-6"/>
        </w:rPr>
        <w:t xml:space="preserve"> </w:t>
      </w:r>
      <w:r>
        <w:t>grupos</w:t>
      </w:r>
      <w:r>
        <w:rPr>
          <w:spacing w:val="-6"/>
        </w:rPr>
        <w:t xml:space="preserve"> </w:t>
      </w:r>
      <w:r>
        <w:t>paramilitares</w:t>
      </w:r>
      <w:r>
        <w:rPr>
          <w:spacing w:val="-7"/>
        </w:rPr>
        <w:t xml:space="preserve"> </w:t>
      </w:r>
      <w:r>
        <w:t>de</w:t>
      </w:r>
      <w:r>
        <w:rPr>
          <w:spacing w:val="-7"/>
        </w:rPr>
        <w:t xml:space="preserve"> </w:t>
      </w:r>
      <w:r>
        <w:t>las</w:t>
      </w:r>
      <w:r>
        <w:rPr>
          <w:spacing w:val="-7"/>
        </w:rPr>
        <w:t xml:space="preserve"> </w:t>
      </w:r>
      <w:r>
        <w:t>AUC</w:t>
      </w:r>
      <w:r w:rsidR="004A28C3">
        <w:rPr>
          <w:rStyle w:val="Refdenotaalpie"/>
        </w:rPr>
        <w:footnoteReference w:id="761"/>
      </w:r>
      <w:r>
        <w:t>.</w:t>
      </w:r>
      <w:r>
        <w:rPr>
          <w:spacing w:val="-6"/>
        </w:rPr>
        <w:t xml:space="preserve"> </w:t>
      </w:r>
      <w:r>
        <w:t>Lo</w:t>
      </w:r>
      <w:r>
        <w:rPr>
          <w:spacing w:val="-6"/>
        </w:rPr>
        <w:t xml:space="preserve"> </w:t>
      </w:r>
      <w:r>
        <w:t>mismo sucedió con el asesinato de varios profesores y alumnos de la Universidad de Córdoba y Barranquilla, debido a sus denuncias sobre el desvío de fondos de las universidades para la financiación paramilitar en 2001-2002</w:t>
      </w:r>
      <w:r w:rsidR="004A28C3">
        <w:rPr>
          <w:rStyle w:val="Refdenotaalpie"/>
        </w:rPr>
        <w:footnoteReference w:id="762"/>
      </w:r>
      <w:r>
        <w:t>, hecho en el que actuaron grupos paramilitares junto con el Grupo de Acción Unificada por la Libertad Personal (Gaula) o el DAS. Una buena</w:t>
      </w:r>
      <w:r>
        <w:rPr>
          <w:spacing w:val="-6"/>
        </w:rPr>
        <w:t xml:space="preserve"> </w:t>
      </w:r>
      <w:r>
        <w:t>parte</w:t>
      </w:r>
      <w:r>
        <w:rPr>
          <w:spacing w:val="-7"/>
        </w:rPr>
        <w:t xml:space="preserve"> </w:t>
      </w:r>
      <w:r>
        <w:t>de</w:t>
      </w:r>
      <w:r>
        <w:rPr>
          <w:spacing w:val="-6"/>
        </w:rPr>
        <w:t xml:space="preserve"> </w:t>
      </w:r>
      <w:r>
        <w:t>la</w:t>
      </w:r>
      <w:r>
        <w:rPr>
          <w:spacing w:val="-6"/>
        </w:rPr>
        <w:t xml:space="preserve"> </w:t>
      </w:r>
      <w:r>
        <w:t>violencia</w:t>
      </w:r>
      <w:r>
        <w:rPr>
          <w:spacing w:val="-6"/>
        </w:rPr>
        <w:t xml:space="preserve"> </w:t>
      </w:r>
      <w:r>
        <w:t>antisindical</w:t>
      </w:r>
      <w:r>
        <w:rPr>
          <w:spacing w:val="-5"/>
        </w:rPr>
        <w:t xml:space="preserve"> </w:t>
      </w:r>
      <w:r>
        <w:t>se</w:t>
      </w:r>
      <w:r>
        <w:rPr>
          <w:spacing w:val="-7"/>
        </w:rPr>
        <w:t xml:space="preserve"> </w:t>
      </w:r>
      <w:r>
        <w:t>justificó</w:t>
      </w:r>
      <w:r>
        <w:rPr>
          <w:spacing w:val="-6"/>
        </w:rPr>
        <w:t xml:space="preserve"> </w:t>
      </w:r>
      <w:r>
        <w:t>en</w:t>
      </w:r>
      <w:r>
        <w:rPr>
          <w:spacing w:val="-6"/>
        </w:rPr>
        <w:t xml:space="preserve"> </w:t>
      </w:r>
      <w:r>
        <w:t>la</w:t>
      </w:r>
      <w:r>
        <w:rPr>
          <w:spacing w:val="-6"/>
        </w:rPr>
        <w:t xml:space="preserve"> </w:t>
      </w:r>
      <w:r>
        <w:t>estigmatización</w:t>
      </w:r>
      <w:r>
        <w:rPr>
          <w:spacing w:val="-6"/>
        </w:rPr>
        <w:t xml:space="preserve"> </w:t>
      </w:r>
      <w:r>
        <w:t>como</w:t>
      </w:r>
      <w:r>
        <w:rPr>
          <w:spacing w:val="-6"/>
        </w:rPr>
        <w:t xml:space="preserve"> </w:t>
      </w:r>
      <w:r>
        <w:t>guerrilleros</w:t>
      </w:r>
      <w:r>
        <w:rPr>
          <w:spacing w:val="-6"/>
        </w:rPr>
        <w:t xml:space="preserve"> </w:t>
      </w:r>
      <w:r>
        <w:t>o terroristas cuando en realidad respondían a que los sindicatos eran un obstáculo para las condiciones</w:t>
      </w:r>
      <w:r>
        <w:rPr>
          <w:spacing w:val="-4"/>
        </w:rPr>
        <w:t xml:space="preserve"> </w:t>
      </w:r>
      <w:r>
        <w:t>de</w:t>
      </w:r>
      <w:r>
        <w:rPr>
          <w:spacing w:val="-3"/>
        </w:rPr>
        <w:t xml:space="preserve"> </w:t>
      </w:r>
      <w:r>
        <w:t>venta</w:t>
      </w:r>
      <w:r>
        <w:rPr>
          <w:spacing w:val="-3"/>
        </w:rPr>
        <w:t xml:space="preserve"> </w:t>
      </w:r>
      <w:r>
        <w:t>de</w:t>
      </w:r>
      <w:r>
        <w:rPr>
          <w:spacing w:val="-6"/>
        </w:rPr>
        <w:t xml:space="preserve"> </w:t>
      </w:r>
      <w:r>
        <w:t>empresas</w:t>
      </w:r>
      <w:r>
        <w:rPr>
          <w:spacing w:val="-3"/>
        </w:rPr>
        <w:t xml:space="preserve"> </w:t>
      </w:r>
      <w:r>
        <w:t>o</w:t>
      </w:r>
      <w:r>
        <w:rPr>
          <w:spacing w:val="-6"/>
        </w:rPr>
        <w:t xml:space="preserve"> </w:t>
      </w:r>
      <w:r>
        <w:t>cuando</w:t>
      </w:r>
      <w:r>
        <w:rPr>
          <w:spacing w:val="-3"/>
        </w:rPr>
        <w:t xml:space="preserve"> </w:t>
      </w:r>
      <w:r>
        <w:t>denunciaron</w:t>
      </w:r>
      <w:r>
        <w:rPr>
          <w:spacing w:val="-5"/>
        </w:rPr>
        <w:t xml:space="preserve"> </w:t>
      </w:r>
      <w:r>
        <w:t>la</w:t>
      </w:r>
      <w:r>
        <w:rPr>
          <w:spacing w:val="-4"/>
        </w:rPr>
        <w:t xml:space="preserve"> </w:t>
      </w:r>
      <w:r>
        <w:t>infiltración</w:t>
      </w:r>
      <w:r>
        <w:rPr>
          <w:spacing w:val="-3"/>
        </w:rPr>
        <w:t xml:space="preserve"> </w:t>
      </w:r>
      <w:r>
        <w:t>paramilitar,</w:t>
      </w:r>
      <w:r>
        <w:rPr>
          <w:spacing w:val="-5"/>
        </w:rPr>
        <w:t xml:space="preserve"> </w:t>
      </w:r>
      <w:r>
        <w:t>como</w:t>
      </w:r>
      <w:r>
        <w:rPr>
          <w:spacing w:val="-3"/>
        </w:rPr>
        <w:t xml:space="preserve"> </w:t>
      </w:r>
      <w:r>
        <w:t>en el caso de la Unión Sindical Obrera (USO)</w:t>
      </w:r>
      <w:r w:rsidR="004A28C3">
        <w:rPr>
          <w:rStyle w:val="Refdenotaalpie"/>
        </w:rPr>
        <w:footnoteReference w:id="763"/>
      </w:r>
      <w:r>
        <w:t>.</w:t>
      </w:r>
    </w:p>
    <w:p w:rsidR="003804AC" w:rsidRDefault="00AF18A5" w:rsidP="00276F08">
      <w:r>
        <w:t>El</w:t>
      </w:r>
      <w:r>
        <w:rPr>
          <w:spacing w:val="16"/>
        </w:rPr>
        <w:t xml:space="preserve"> </w:t>
      </w:r>
      <w:r>
        <w:t>análisis</w:t>
      </w:r>
      <w:r>
        <w:rPr>
          <w:spacing w:val="19"/>
        </w:rPr>
        <w:t xml:space="preserve"> </w:t>
      </w:r>
      <w:r>
        <w:t>de</w:t>
      </w:r>
      <w:r>
        <w:rPr>
          <w:spacing w:val="19"/>
        </w:rPr>
        <w:t xml:space="preserve"> </w:t>
      </w:r>
      <w:r>
        <w:t>los</w:t>
      </w:r>
      <w:r>
        <w:rPr>
          <w:spacing w:val="18"/>
        </w:rPr>
        <w:t xml:space="preserve"> </w:t>
      </w:r>
      <w:r>
        <w:t>despojos</w:t>
      </w:r>
      <w:r>
        <w:rPr>
          <w:spacing w:val="18"/>
        </w:rPr>
        <w:t xml:space="preserve"> </w:t>
      </w:r>
      <w:r>
        <w:t>de</w:t>
      </w:r>
      <w:r>
        <w:rPr>
          <w:spacing w:val="18"/>
        </w:rPr>
        <w:t xml:space="preserve"> </w:t>
      </w:r>
      <w:r>
        <w:t>tierras</w:t>
      </w:r>
      <w:r>
        <w:rPr>
          <w:spacing w:val="18"/>
        </w:rPr>
        <w:t xml:space="preserve"> </w:t>
      </w:r>
      <w:r>
        <w:t>llevado</w:t>
      </w:r>
      <w:r>
        <w:rPr>
          <w:spacing w:val="18"/>
        </w:rPr>
        <w:t xml:space="preserve"> </w:t>
      </w:r>
      <w:r>
        <w:t>a</w:t>
      </w:r>
      <w:r>
        <w:rPr>
          <w:spacing w:val="19"/>
        </w:rPr>
        <w:t xml:space="preserve"> </w:t>
      </w:r>
      <w:r>
        <w:t>cabo</w:t>
      </w:r>
      <w:r>
        <w:rPr>
          <w:spacing w:val="18"/>
        </w:rPr>
        <w:t xml:space="preserve"> </w:t>
      </w:r>
      <w:r>
        <w:t>por</w:t>
      </w:r>
      <w:r>
        <w:rPr>
          <w:spacing w:val="18"/>
        </w:rPr>
        <w:t xml:space="preserve"> </w:t>
      </w:r>
      <w:r>
        <w:t>la</w:t>
      </w:r>
      <w:r>
        <w:rPr>
          <w:spacing w:val="17"/>
        </w:rPr>
        <w:t xml:space="preserve"> </w:t>
      </w:r>
      <w:r>
        <w:t>Comisión</w:t>
      </w:r>
      <w:r>
        <w:rPr>
          <w:spacing w:val="18"/>
        </w:rPr>
        <w:t xml:space="preserve"> </w:t>
      </w:r>
      <w:r>
        <w:t>demuestra</w:t>
      </w:r>
      <w:r>
        <w:rPr>
          <w:spacing w:val="18"/>
        </w:rPr>
        <w:t xml:space="preserve"> </w:t>
      </w:r>
      <w:r>
        <w:t>que</w:t>
      </w:r>
      <w:r>
        <w:rPr>
          <w:spacing w:val="19"/>
        </w:rPr>
        <w:t xml:space="preserve"> </w:t>
      </w:r>
      <w:r>
        <w:rPr>
          <w:spacing w:val="-5"/>
        </w:rPr>
        <w:t>en</w:t>
      </w:r>
      <w:r w:rsidR="004A28C3">
        <w:t xml:space="preserve"> </w:t>
      </w:r>
      <w:r>
        <w:t>muchos casos se señaló a los campesinos o pobladores de ser parte de la base social de la guerrilla con el objetivo de quedarse con sus tierras, como sucedió en numerosos casos de Urabá,</w:t>
      </w:r>
      <w:r>
        <w:rPr>
          <w:spacing w:val="-10"/>
        </w:rPr>
        <w:t xml:space="preserve"> </w:t>
      </w:r>
      <w:r>
        <w:t>Magdalena</w:t>
      </w:r>
      <w:r>
        <w:rPr>
          <w:spacing w:val="-9"/>
        </w:rPr>
        <w:t xml:space="preserve"> </w:t>
      </w:r>
      <w:r>
        <w:t>Medio</w:t>
      </w:r>
      <w:r>
        <w:rPr>
          <w:spacing w:val="-10"/>
        </w:rPr>
        <w:t xml:space="preserve"> </w:t>
      </w:r>
      <w:r>
        <w:t>y</w:t>
      </w:r>
      <w:r>
        <w:rPr>
          <w:spacing w:val="-10"/>
        </w:rPr>
        <w:t xml:space="preserve"> </w:t>
      </w:r>
      <w:r>
        <w:t>Cesar</w:t>
      </w:r>
      <w:r w:rsidR="00276F08">
        <w:rPr>
          <w:rStyle w:val="Refdenotaalpie"/>
        </w:rPr>
        <w:footnoteReference w:id="764"/>
      </w:r>
      <w:r>
        <w:t>.</w:t>
      </w:r>
      <w:r>
        <w:rPr>
          <w:spacing w:val="-10"/>
        </w:rPr>
        <w:t xml:space="preserve"> </w:t>
      </w:r>
      <w:r>
        <w:t>Por</w:t>
      </w:r>
      <w:r>
        <w:rPr>
          <w:spacing w:val="-9"/>
        </w:rPr>
        <w:t xml:space="preserve"> </w:t>
      </w:r>
      <w:r>
        <w:t>otra</w:t>
      </w:r>
      <w:r>
        <w:rPr>
          <w:spacing w:val="-9"/>
        </w:rPr>
        <w:t xml:space="preserve"> </w:t>
      </w:r>
      <w:r>
        <w:t>parte,</w:t>
      </w:r>
      <w:r>
        <w:rPr>
          <w:spacing w:val="-11"/>
        </w:rPr>
        <w:t xml:space="preserve"> </w:t>
      </w:r>
      <w:r>
        <w:t>no</w:t>
      </w:r>
      <w:r>
        <w:rPr>
          <w:spacing w:val="-10"/>
        </w:rPr>
        <w:t xml:space="preserve"> </w:t>
      </w:r>
      <w:r>
        <w:t>se</w:t>
      </w:r>
      <w:r>
        <w:rPr>
          <w:spacing w:val="-9"/>
        </w:rPr>
        <w:t xml:space="preserve"> </w:t>
      </w:r>
      <w:r>
        <w:t>trata</w:t>
      </w:r>
      <w:r>
        <w:rPr>
          <w:spacing w:val="-11"/>
        </w:rPr>
        <w:t xml:space="preserve"> </w:t>
      </w:r>
      <w:r>
        <w:t>solo</w:t>
      </w:r>
      <w:r>
        <w:rPr>
          <w:spacing w:val="-10"/>
        </w:rPr>
        <w:t xml:space="preserve"> </w:t>
      </w:r>
      <w:r>
        <w:t>de</w:t>
      </w:r>
      <w:r>
        <w:rPr>
          <w:spacing w:val="-9"/>
        </w:rPr>
        <w:t xml:space="preserve"> </w:t>
      </w:r>
      <w:r>
        <w:t>violencia</w:t>
      </w:r>
      <w:r>
        <w:rPr>
          <w:spacing w:val="-9"/>
        </w:rPr>
        <w:t xml:space="preserve"> </w:t>
      </w:r>
      <w:r>
        <w:t>directa,</w:t>
      </w:r>
      <w:r>
        <w:rPr>
          <w:spacing w:val="-11"/>
        </w:rPr>
        <w:t xml:space="preserve"> </w:t>
      </w:r>
      <w:r>
        <w:t>sino de</w:t>
      </w:r>
      <w:r>
        <w:rPr>
          <w:spacing w:val="-14"/>
        </w:rPr>
        <w:t xml:space="preserve"> </w:t>
      </w:r>
      <w:r>
        <w:t>la</w:t>
      </w:r>
      <w:r>
        <w:rPr>
          <w:spacing w:val="-12"/>
        </w:rPr>
        <w:t xml:space="preserve"> </w:t>
      </w:r>
      <w:r>
        <w:t>actuación</w:t>
      </w:r>
      <w:r>
        <w:rPr>
          <w:spacing w:val="-12"/>
        </w:rPr>
        <w:t xml:space="preserve"> </w:t>
      </w:r>
      <w:r>
        <w:t>de</w:t>
      </w:r>
      <w:r>
        <w:rPr>
          <w:spacing w:val="-12"/>
        </w:rPr>
        <w:t xml:space="preserve"> </w:t>
      </w:r>
      <w:r>
        <w:t>otros</w:t>
      </w:r>
      <w:r>
        <w:rPr>
          <w:spacing w:val="-12"/>
        </w:rPr>
        <w:t xml:space="preserve"> </w:t>
      </w:r>
      <w:r>
        <w:t>sectores</w:t>
      </w:r>
      <w:r>
        <w:rPr>
          <w:spacing w:val="-12"/>
        </w:rPr>
        <w:t xml:space="preserve"> </w:t>
      </w:r>
      <w:r>
        <w:t>del</w:t>
      </w:r>
      <w:r>
        <w:rPr>
          <w:spacing w:val="-12"/>
        </w:rPr>
        <w:t xml:space="preserve"> </w:t>
      </w:r>
      <w:r>
        <w:t>Estado,</w:t>
      </w:r>
      <w:r>
        <w:rPr>
          <w:spacing w:val="-11"/>
        </w:rPr>
        <w:t xml:space="preserve"> </w:t>
      </w:r>
      <w:r>
        <w:t>como</w:t>
      </w:r>
      <w:r>
        <w:rPr>
          <w:spacing w:val="-12"/>
        </w:rPr>
        <w:t xml:space="preserve"> </w:t>
      </w:r>
      <w:r>
        <w:t>los</w:t>
      </w:r>
      <w:r>
        <w:rPr>
          <w:spacing w:val="-12"/>
        </w:rPr>
        <w:t xml:space="preserve"> </w:t>
      </w:r>
      <w:r>
        <w:t>notarios,</w:t>
      </w:r>
      <w:r>
        <w:rPr>
          <w:spacing w:val="-13"/>
        </w:rPr>
        <w:t xml:space="preserve"> </w:t>
      </w:r>
      <w:r>
        <w:t>en</w:t>
      </w:r>
      <w:r>
        <w:rPr>
          <w:spacing w:val="-12"/>
        </w:rPr>
        <w:t xml:space="preserve"> </w:t>
      </w:r>
      <w:r>
        <w:t>redes</w:t>
      </w:r>
      <w:r>
        <w:rPr>
          <w:spacing w:val="-12"/>
        </w:rPr>
        <w:t xml:space="preserve"> </w:t>
      </w:r>
      <w:r>
        <w:t>de</w:t>
      </w:r>
      <w:r>
        <w:rPr>
          <w:spacing w:val="-12"/>
        </w:rPr>
        <w:t xml:space="preserve"> </w:t>
      </w:r>
      <w:r>
        <w:t>blanqueo</w:t>
      </w:r>
      <w:r>
        <w:rPr>
          <w:spacing w:val="-12"/>
        </w:rPr>
        <w:t xml:space="preserve"> </w:t>
      </w:r>
      <w:r>
        <w:t>de</w:t>
      </w:r>
      <w:r>
        <w:rPr>
          <w:spacing w:val="-11"/>
        </w:rPr>
        <w:t xml:space="preserve"> </w:t>
      </w:r>
      <w:r>
        <w:rPr>
          <w:spacing w:val="-2"/>
        </w:rPr>
        <w:t>dicho</w:t>
      </w:r>
      <w:bookmarkStart w:id="952" w:name="_bookmark832"/>
      <w:bookmarkStart w:id="953" w:name="_bookmark833"/>
      <w:bookmarkStart w:id="954" w:name="_bookmark834"/>
      <w:bookmarkStart w:id="955" w:name="_bookmark835"/>
      <w:bookmarkStart w:id="956" w:name="_bookmark836"/>
      <w:bookmarkEnd w:id="952"/>
      <w:bookmarkEnd w:id="953"/>
      <w:bookmarkEnd w:id="954"/>
      <w:bookmarkEnd w:id="955"/>
      <w:bookmarkEnd w:id="956"/>
      <w:r w:rsidR="00276F08">
        <w:t xml:space="preserve"> </w:t>
      </w:r>
      <w:r>
        <w:t xml:space="preserve">despojo de tierras, lo cual muestra cómo estos entramados utilizaron muchas veces el discurso de la contrainsurgencia como parte de un proyecto de enriquecimiento </w:t>
      </w:r>
      <w:r>
        <w:lastRenderedPageBreak/>
        <w:t>ilícito</w:t>
      </w:r>
      <w:r w:rsidR="00276F08">
        <w:rPr>
          <w:rStyle w:val="Refdenotaalpie"/>
        </w:rPr>
        <w:footnoteReference w:id="765"/>
      </w:r>
      <w:r>
        <w:t>.</w:t>
      </w:r>
    </w:p>
    <w:p w:rsidR="003804AC" w:rsidRDefault="00AF18A5" w:rsidP="00276F08">
      <w:r>
        <w:t>En los casos de las ejecuciones extrajudiciales conocidas como «falsos positivos» se usó la lógica del enemigo para justificar los homicidios de personas en condiciones de indefensión y presentarlas falsamente como guerrilleros muertos en combate, para mostrar resultados en la lucha contrainsurgente. El discurso del enemigo se usó para encubrir la corrupción</w:t>
      </w:r>
      <w:r>
        <w:rPr>
          <w:spacing w:val="-7"/>
        </w:rPr>
        <w:t xml:space="preserve"> </w:t>
      </w:r>
      <w:r>
        <w:t>y</w:t>
      </w:r>
      <w:r>
        <w:rPr>
          <w:spacing w:val="-7"/>
        </w:rPr>
        <w:t xml:space="preserve"> </w:t>
      </w:r>
      <w:r>
        <w:t>los</w:t>
      </w:r>
      <w:r>
        <w:rPr>
          <w:spacing w:val="-7"/>
        </w:rPr>
        <w:t xml:space="preserve"> </w:t>
      </w:r>
      <w:r>
        <w:t>intereses</w:t>
      </w:r>
      <w:r>
        <w:rPr>
          <w:spacing w:val="-7"/>
        </w:rPr>
        <w:t xml:space="preserve"> </w:t>
      </w:r>
      <w:r>
        <w:t>particulares</w:t>
      </w:r>
      <w:r>
        <w:rPr>
          <w:spacing w:val="-7"/>
        </w:rPr>
        <w:t xml:space="preserve"> </w:t>
      </w:r>
      <w:r>
        <w:t>con</w:t>
      </w:r>
      <w:r>
        <w:rPr>
          <w:spacing w:val="-7"/>
        </w:rPr>
        <w:t xml:space="preserve"> </w:t>
      </w:r>
      <w:r>
        <w:t>impunidad.</w:t>
      </w:r>
      <w:r>
        <w:rPr>
          <w:spacing w:val="-7"/>
        </w:rPr>
        <w:t xml:space="preserve"> </w:t>
      </w:r>
      <w:r>
        <w:t>El</w:t>
      </w:r>
      <w:r>
        <w:rPr>
          <w:spacing w:val="-7"/>
        </w:rPr>
        <w:t xml:space="preserve"> </w:t>
      </w:r>
      <w:r>
        <w:t>objetivo</w:t>
      </w:r>
      <w:r>
        <w:rPr>
          <w:spacing w:val="-7"/>
        </w:rPr>
        <w:t xml:space="preserve"> </w:t>
      </w:r>
      <w:r>
        <w:t>en</w:t>
      </w:r>
      <w:r>
        <w:rPr>
          <w:spacing w:val="-7"/>
        </w:rPr>
        <w:t xml:space="preserve"> </w:t>
      </w:r>
      <w:r>
        <w:t>este</w:t>
      </w:r>
      <w:r>
        <w:rPr>
          <w:spacing w:val="-8"/>
        </w:rPr>
        <w:t xml:space="preserve"> </w:t>
      </w:r>
      <w:r>
        <w:t>caso</w:t>
      </w:r>
      <w:r>
        <w:rPr>
          <w:spacing w:val="-7"/>
        </w:rPr>
        <w:t xml:space="preserve"> </w:t>
      </w:r>
      <w:r>
        <w:t>no</w:t>
      </w:r>
      <w:r>
        <w:rPr>
          <w:spacing w:val="-7"/>
        </w:rPr>
        <w:t xml:space="preserve"> </w:t>
      </w:r>
      <w:r>
        <w:t>fue</w:t>
      </w:r>
      <w:r>
        <w:rPr>
          <w:spacing w:val="-7"/>
        </w:rPr>
        <w:t xml:space="preserve"> </w:t>
      </w:r>
      <w:r>
        <w:t>«ganar la guerra», sino «aparentar ganar la guerra».</w:t>
      </w:r>
    </w:p>
    <w:p w:rsidR="003804AC" w:rsidRDefault="00AF18A5" w:rsidP="00276F08">
      <w:r>
        <w:t>Estos casos en diferentes momentos muestran cómo esta construcción del enemigo con diferentes denominaciones ha sido parte de la concepción del modelo de seguridad en Colombia. En este «modo guerra», una parte considerable de la población civil, las luchas sociales y las movilizaciones se convirtieron en parte de dicho enemigo por eliminar.</w:t>
      </w:r>
    </w:p>
    <w:p w:rsidR="003804AC" w:rsidRDefault="00AF18A5" w:rsidP="00276F08">
      <w:r>
        <w:t>En el gobierno de Santos se inició el proceso de cambio en la doctrina militar, para transitar</w:t>
      </w:r>
      <w:r>
        <w:rPr>
          <w:spacing w:val="-12"/>
        </w:rPr>
        <w:t xml:space="preserve"> </w:t>
      </w:r>
      <w:r>
        <w:t>a</w:t>
      </w:r>
      <w:r>
        <w:rPr>
          <w:spacing w:val="-12"/>
        </w:rPr>
        <w:t xml:space="preserve"> </w:t>
      </w:r>
      <w:r>
        <w:t>la</w:t>
      </w:r>
      <w:r>
        <w:rPr>
          <w:spacing w:val="-12"/>
        </w:rPr>
        <w:t xml:space="preserve"> </w:t>
      </w:r>
      <w:r>
        <w:t>denominada</w:t>
      </w:r>
      <w:r>
        <w:rPr>
          <w:spacing w:val="-12"/>
        </w:rPr>
        <w:t xml:space="preserve"> </w:t>
      </w:r>
      <w:r>
        <w:t>«doctrina</w:t>
      </w:r>
      <w:r>
        <w:rPr>
          <w:spacing w:val="-12"/>
        </w:rPr>
        <w:t xml:space="preserve"> </w:t>
      </w:r>
      <w:r>
        <w:t>Damasco»,</w:t>
      </w:r>
      <w:r>
        <w:rPr>
          <w:spacing w:val="-12"/>
        </w:rPr>
        <w:t xml:space="preserve"> </w:t>
      </w:r>
      <w:r>
        <w:t>que</w:t>
      </w:r>
      <w:r>
        <w:rPr>
          <w:spacing w:val="-12"/>
        </w:rPr>
        <w:t xml:space="preserve"> </w:t>
      </w:r>
      <w:r>
        <w:t>buscó</w:t>
      </w:r>
      <w:r>
        <w:rPr>
          <w:spacing w:val="-12"/>
        </w:rPr>
        <w:t xml:space="preserve"> </w:t>
      </w:r>
      <w:r>
        <w:t>distanciarse</w:t>
      </w:r>
      <w:r>
        <w:rPr>
          <w:spacing w:val="-12"/>
        </w:rPr>
        <w:t xml:space="preserve"> </w:t>
      </w:r>
      <w:r>
        <w:t>de</w:t>
      </w:r>
      <w:r>
        <w:rPr>
          <w:spacing w:val="-12"/>
        </w:rPr>
        <w:t xml:space="preserve"> </w:t>
      </w:r>
      <w:r>
        <w:t>la</w:t>
      </w:r>
      <w:r>
        <w:rPr>
          <w:spacing w:val="-13"/>
        </w:rPr>
        <w:t xml:space="preserve"> </w:t>
      </w:r>
      <w:r>
        <w:t>idea</w:t>
      </w:r>
      <w:r>
        <w:rPr>
          <w:spacing w:val="-12"/>
        </w:rPr>
        <w:t xml:space="preserve"> </w:t>
      </w:r>
      <w:r>
        <w:t>del</w:t>
      </w:r>
      <w:r>
        <w:rPr>
          <w:spacing w:val="-12"/>
        </w:rPr>
        <w:t xml:space="preserve"> </w:t>
      </w:r>
      <w:r>
        <w:t xml:space="preserve">enemigo interno, al reconocerla como un concepto cuestionable desde la perspectiva de los derechos </w:t>
      </w:r>
      <w:r>
        <w:rPr>
          <w:spacing w:val="-2"/>
        </w:rPr>
        <w:t>humanos:</w:t>
      </w:r>
    </w:p>
    <w:p w:rsidR="003804AC" w:rsidRDefault="00AF18A5" w:rsidP="00276F08">
      <w:r>
        <w:t>La</w:t>
      </w:r>
      <w:r>
        <w:rPr>
          <w:spacing w:val="-5"/>
        </w:rPr>
        <w:t xml:space="preserve"> </w:t>
      </w:r>
      <w:r>
        <w:t>reforma</w:t>
      </w:r>
      <w:r>
        <w:rPr>
          <w:spacing w:val="-5"/>
        </w:rPr>
        <w:t xml:space="preserve"> </w:t>
      </w:r>
      <w:r>
        <w:t>doctrinal</w:t>
      </w:r>
      <w:r>
        <w:rPr>
          <w:spacing w:val="-4"/>
        </w:rPr>
        <w:t xml:space="preserve"> </w:t>
      </w:r>
      <w:r>
        <w:t>no</w:t>
      </w:r>
      <w:r>
        <w:rPr>
          <w:spacing w:val="-5"/>
        </w:rPr>
        <w:t xml:space="preserve"> </w:t>
      </w:r>
      <w:r>
        <w:t>debe</w:t>
      </w:r>
      <w:r>
        <w:rPr>
          <w:spacing w:val="-5"/>
        </w:rPr>
        <w:t xml:space="preserve"> </w:t>
      </w:r>
      <w:r>
        <w:t>apuntar</w:t>
      </w:r>
      <w:r>
        <w:rPr>
          <w:spacing w:val="-6"/>
        </w:rPr>
        <w:t xml:space="preserve"> </w:t>
      </w:r>
      <w:r>
        <w:t>únicamente</w:t>
      </w:r>
      <w:r>
        <w:rPr>
          <w:spacing w:val="-5"/>
        </w:rPr>
        <w:t xml:space="preserve"> </w:t>
      </w:r>
      <w:r>
        <w:t>a</w:t>
      </w:r>
      <w:r>
        <w:rPr>
          <w:spacing w:val="-5"/>
        </w:rPr>
        <w:t xml:space="preserve"> </w:t>
      </w:r>
      <w:r>
        <w:t>la</w:t>
      </w:r>
      <w:r>
        <w:rPr>
          <w:spacing w:val="-6"/>
        </w:rPr>
        <w:t xml:space="preserve"> </w:t>
      </w:r>
      <w:r>
        <w:t>guerra</w:t>
      </w:r>
      <w:r>
        <w:rPr>
          <w:spacing w:val="-5"/>
        </w:rPr>
        <w:t xml:space="preserve"> </w:t>
      </w:r>
      <w:r>
        <w:t>contrainsurgente,</w:t>
      </w:r>
      <w:r>
        <w:rPr>
          <w:spacing w:val="-4"/>
        </w:rPr>
        <w:t xml:space="preserve"> </w:t>
      </w:r>
      <w:r>
        <w:t>puesto</w:t>
      </w:r>
      <w:r>
        <w:rPr>
          <w:spacing w:val="-4"/>
        </w:rPr>
        <w:t xml:space="preserve"> </w:t>
      </w:r>
      <w:r>
        <w:t>que</w:t>
      </w:r>
      <w:r>
        <w:rPr>
          <w:spacing w:val="-5"/>
        </w:rPr>
        <w:t xml:space="preserve"> </w:t>
      </w:r>
      <w:r>
        <w:t>ello ha sido la materia prima para que la mayoría de sentencias internacionales contra Colombia y varios</w:t>
      </w:r>
      <w:r>
        <w:rPr>
          <w:spacing w:val="-1"/>
        </w:rPr>
        <w:t xml:space="preserve"> </w:t>
      </w:r>
      <w:r>
        <w:t>informes</w:t>
      </w:r>
      <w:r>
        <w:rPr>
          <w:spacing w:val="-1"/>
        </w:rPr>
        <w:t xml:space="preserve"> </w:t>
      </w:r>
      <w:r>
        <w:t>de</w:t>
      </w:r>
      <w:r>
        <w:rPr>
          <w:spacing w:val="-1"/>
        </w:rPr>
        <w:t xml:space="preserve"> </w:t>
      </w:r>
      <w:r>
        <w:t>organizaciones</w:t>
      </w:r>
      <w:r>
        <w:rPr>
          <w:spacing w:val="-1"/>
        </w:rPr>
        <w:t xml:space="preserve"> </w:t>
      </w:r>
      <w:r>
        <w:t>no gubernamentales</w:t>
      </w:r>
      <w:r>
        <w:rPr>
          <w:spacing w:val="-1"/>
        </w:rPr>
        <w:t xml:space="preserve"> </w:t>
      </w:r>
      <w:r>
        <w:t>(ONG)</w:t>
      </w:r>
      <w:r>
        <w:rPr>
          <w:spacing w:val="-1"/>
        </w:rPr>
        <w:t xml:space="preserve"> </w:t>
      </w:r>
      <w:r>
        <w:t>apunten a</w:t>
      </w:r>
      <w:r>
        <w:rPr>
          <w:spacing w:val="-1"/>
        </w:rPr>
        <w:t xml:space="preserve"> </w:t>
      </w:r>
      <w:r>
        <w:t>que</w:t>
      </w:r>
      <w:r>
        <w:rPr>
          <w:spacing w:val="-1"/>
        </w:rPr>
        <w:t xml:space="preserve"> </w:t>
      </w:r>
      <w:r>
        <w:t>es</w:t>
      </w:r>
      <w:r>
        <w:rPr>
          <w:spacing w:val="-1"/>
        </w:rPr>
        <w:t xml:space="preserve"> </w:t>
      </w:r>
      <w:r>
        <w:t>justamente</w:t>
      </w:r>
      <w:r>
        <w:rPr>
          <w:spacing w:val="-1"/>
        </w:rPr>
        <w:t xml:space="preserve"> </w:t>
      </w:r>
      <w:r>
        <w:t xml:space="preserve">la doctrina –sustentada en el enemigo interno, el anticomunismo y la doctrina de la seguridad nacional, en el contexto de la Guerra Fría– el marco a través del cual las Fuerzas Armadas </w:t>
      </w:r>
      <w:r>
        <w:lastRenderedPageBreak/>
        <w:t>colombianas, especialmente el Ejército, presuntamente cometieron los más grandes crímenes de lesa humanidad del continente.</w:t>
      </w:r>
      <w:r w:rsidR="00397F4B">
        <w:rPr>
          <w:rStyle w:val="Refdenotaalpie"/>
        </w:rPr>
        <w:footnoteReference w:id="766"/>
      </w:r>
      <w:r w:rsidR="00397F4B">
        <w:t xml:space="preserve"> </w:t>
      </w:r>
    </w:p>
    <w:p w:rsidR="003804AC" w:rsidRDefault="00AF18A5" w:rsidP="00397F4B">
      <w:r>
        <w:t>Estas iniciativas muestran la toma de conciencia en este caso del entonces presidente y una parte</w:t>
      </w:r>
      <w:r>
        <w:rPr>
          <w:spacing w:val="-2"/>
        </w:rPr>
        <w:t xml:space="preserve"> </w:t>
      </w:r>
      <w:r>
        <w:t>de</w:t>
      </w:r>
      <w:r>
        <w:rPr>
          <w:spacing w:val="-2"/>
        </w:rPr>
        <w:t xml:space="preserve"> </w:t>
      </w:r>
      <w:r>
        <w:t>la</w:t>
      </w:r>
      <w:r>
        <w:rPr>
          <w:spacing w:val="-2"/>
        </w:rPr>
        <w:t xml:space="preserve"> </w:t>
      </w:r>
      <w:r>
        <w:t>cúpula</w:t>
      </w:r>
      <w:r>
        <w:rPr>
          <w:spacing w:val="-2"/>
        </w:rPr>
        <w:t xml:space="preserve"> </w:t>
      </w:r>
      <w:r>
        <w:t>militar</w:t>
      </w:r>
      <w:r>
        <w:rPr>
          <w:spacing w:val="-2"/>
        </w:rPr>
        <w:t xml:space="preserve"> </w:t>
      </w:r>
      <w:r>
        <w:t>involucrada</w:t>
      </w:r>
      <w:r>
        <w:rPr>
          <w:spacing w:val="-2"/>
        </w:rPr>
        <w:t xml:space="preserve"> </w:t>
      </w:r>
      <w:r>
        <w:t>en</w:t>
      </w:r>
      <w:r>
        <w:rPr>
          <w:spacing w:val="-2"/>
        </w:rPr>
        <w:t xml:space="preserve"> </w:t>
      </w:r>
      <w:r>
        <w:t>ese</w:t>
      </w:r>
      <w:r>
        <w:rPr>
          <w:spacing w:val="-2"/>
        </w:rPr>
        <w:t xml:space="preserve"> </w:t>
      </w:r>
      <w:r>
        <w:t>momento</w:t>
      </w:r>
      <w:r>
        <w:rPr>
          <w:spacing w:val="-2"/>
        </w:rPr>
        <w:t xml:space="preserve"> </w:t>
      </w:r>
      <w:r>
        <w:t>en</w:t>
      </w:r>
      <w:r>
        <w:rPr>
          <w:spacing w:val="-2"/>
        </w:rPr>
        <w:t xml:space="preserve"> </w:t>
      </w:r>
      <w:r>
        <w:t>estos</w:t>
      </w:r>
      <w:r>
        <w:rPr>
          <w:spacing w:val="-2"/>
        </w:rPr>
        <w:t xml:space="preserve"> </w:t>
      </w:r>
      <w:r>
        <w:t>cambios,</w:t>
      </w:r>
      <w:r>
        <w:rPr>
          <w:spacing w:val="-4"/>
        </w:rPr>
        <w:t xml:space="preserve"> </w:t>
      </w:r>
      <w:r>
        <w:t>como</w:t>
      </w:r>
      <w:r>
        <w:rPr>
          <w:spacing w:val="-2"/>
        </w:rPr>
        <w:t xml:space="preserve"> </w:t>
      </w:r>
      <w:r>
        <w:t>la</w:t>
      </w:r>
      <w:r>
        <w:rPr>
          <w:spacing w:val="-2"/>
        </w:rPr>
        <w:t xml:space="preserve"> </w:t>
      </w:r>
      <w:r>
        <w:t>vía</w:t>
      </w:r>
      <w:r>
        <w:rPr>
          <w:spacing w:val="-3"/>
        </w:rPr>
        <w:t xml:space="preserve"> </w:t>
      </w:r>
      <w:r>
        <w:t>en</w:t>
      </w:r>
      <w:r>
        <w:rPr>
          <w:spacing w:val="-2"/>
        </w:rPr>
        <w:t xml:space="preserve"> </w:t>
      </w:r>
      <w:r>
        <w:t>que Colombia puede dejar atrás esa doctrina que ha sido la causa de una buena parte del sufrimiento social y de la violencia contra la población civil, con un compromiso de Estado y</w:t>
      </w:r>
      <w:r>
        <w:rPr>
          <w:spacing w:val="13"/>
        </w:rPr>
        <w:t xml:space="preserve"> </w:t>
      </w:r>
      <w:r>
        <w:t>de</w:t>
      </w:r>
      <w:r>
        <w:rPr>
          <w:spacing w:val="16"/>
        </w:rPr>
        <w:t xml:space="preserve"> </w:t>
      </w:r>
      <w:r>
        <w:t>las</w:t>
      </w:r>
      <w:r>
        <w:rPr>
          <w:spacing w:val="16"/>
        </w:rPr>
        <w:t xml:space="preserve"> </w:t>
      </w:r>
      <w:r>
        <w:t>Fuerzas</w:t>
      </w:r>
      <w:r>
        <w:rPr>
          <w:spacing w:val="16"/>
        </w:rPr>
        <w:t xml:space="preserve"> </w:t>
      </w:r>
      <w:r>
        <w:t>militares.</w:t>
      </w:r>
      <w:r>
        <w:rPr>
          <w:spacing w:val="15"/>
        </w:rPr>
        <w:t xml:space="preserve"> </w:t>
      </w:r>
      <w:r>
        <w:t>Durante</w:t>
      </w:r>
      <w:r>
        <w:rPr>
          <w:spacing w:val="16"/>
        </w:rPr>
        <w:t xml:space="preserve"> </w:t>
      </w:r>
      <w:r>
        <w:t>el</w:t>
      </w:r>
      <w:r>
        <w:rPr>
          <w:spacing w:val="17"/>
        </w:rPr>
        <w:t xml:space="preserve"> </w:t>
      </w:r>
      <w:r>
        <w:t>gobierno</w:t>
      </w:r>
      <w:r>
        <w:rPr>
          <w:spacing w:val="15"/>
        </w:rPr>
        <w:t xml:space="preserve"> </w:t>
      </w:r>
      <w:r>
        <w:t>de</w:t>
      </w:r>
      <w:r>
        <w:rPr>
          <w:spacing w:val="16"/>
        </w:rPr>
        <w:t xml:space="preserve"> </w:t>
      </w:r>
      <w:r>
        <w:t>Duque</w:t>
      </w:r>
      <w:r>
        <w:rPr>
          <w:spacing w:val="16"/>
        </w:rPr>
        <w:t xml:space="preserve"> </w:t>
      </w:r>
      <w:r>
        <w:t>se</w:t>
      </w:r>
      <w:r>
        <w:rPr>
          <w:spacing w:val="17"/>
        </w:rPr>
        <w:t xml:space="preserve"> </w:t>
      </w:r>
      <w:r>
        <w:t>revaluó</w:t>
      </w:r>
      <w:r>
        <w:rPr>
          <w:spacing w:val="15"/>
        </w:rPr>
        <w:t xml:space="preserve"> </w:t>
      </w:r>
      <w:r>
        <w:t>la</w:t>
      </w:r>
      <w:r>
        <w:rPr>
          <w:spacing w:val="16"/>
        </w:rPr>
        <w:t xml:space="preserve"> </w:t>
      </w:r>
      <w:r>
        <w:t>doctrina</w:t>
      </w:r>
      <w:r>
        <w:rPr>
          <w:spacing w:val="17"/>
        </w:rPr>
        <w:t xml:space="preserve"> </w:t>
      </w:r>
      <w:r>
        <w:rPr>
          <w:spacing w:val="-2"/>
        </w:rPr>
        <w:t>Damasco,</w:t>
      </w:r>
      <w:bookmarkStart w:id="957" w:name="_bookmark837"/>
      <w:bookmarkStart w:id="958" w:name="_bookmark838"/>
      <w:bookmarkEnd w:id="957"/>
      <w:bookmarkEnd w:id="958"/>
      <w:r w:rsidR="00397F4B">
        <w:rPr>
          <w:spacing w:val="-2"/>
        </w:rPr>
        <w:t xml:space="preserve"> </w:t>
      </w:r>
      <w:r>
        <w:t>que</w:t>
      </w:r>
      <w:r>
        <w:rPr>
          <w:spacing w:val="-6"/>
        </w:rPr>
        <w:t xml:space="preserve"> </w:t>
      </w:r>
      <w:r>
        <w:t>había</w:t>
      </w:r>
      <w:r>
        <w:rPr>
          <w:spacing w:val="-6"/>
        </w:rPr>
        <w:t xml:space="preserve"> </w:t>
      </w:r>
      <w:r>
        <w:t>sido</w:t>
      </w:r>
      <w:r>
        <w:rPr>
          <w:spacing w:val="-6"/>
        </w:rPr>
        <w:t xml:space="preserve"> </w:t>
      </w:r>
      <w:r>
        <w:t>construida</w:t>
      </w:r>
      <w:r>
        <w:rPr>
          <w:spacing w:val="-6"/>
        </w:rPr>
        <w:t xml:space="preserve"> </w:t>
      </w:r>
      <w:r>
        <w:t>como</w:t>
      </w:r>
      <w:r>
        <w:rPr>
          <w:spacing w:val="-6"/>
        </w:rPr>
        <w:t xml:space="preserve"> </w:t>
      </w:r>
      <w:r>
        <w:t>un</w:t>
      </w:r>
      <w:r>
        <w:rPr>
          <w:spacing w:val="-6"/>
        </w:rPr>
        <w:t xml:space="preserve"> </w:t>
      </w:r>
      <w:r>
        <w:t>marco</w:t>
      </w:r>
      <w:r>
        <w:rPr>
          <w:spacing w:val="-6"/>
        </w:rPr>
        <w:t xml:space="preserve"> </w:t>
      </w:r>
      <w:r>
        <w:t>para</w:t>
      </w:r>
      <w:r>
        <w:rPr>
          <w:spacing w:val="-6"/>
        </w:rPr>
        <w:t xml:space="preserve"> </w:t>
      </w:r>
      <w:r>
        <w:t>la</w:t>
      </w:r>
      <w:r>
        <w:rPr>
          <w:spacing w:val="-6"/>
        </w:rPr>
        <w:t xml:space="preserve"> </w:t>
      </w:r>
      <w:r>
        <w:t>actuación</w:t>
      </w:r>
      <w:r>
        <w:rPr>
          <w:spacing w:val="-6"/>
        </w:rPr>
        <w:t xml:space="preserve"> </w:t>
      </w:r>
      <w:r>
        <w:t>militar</w:t>
      </w:r>
      <w:r>
        <w:rPr>
          <w:spacing w:val="-6"/>
        </w:rPr>
        <w:t xml:space="preserve"> </w:t>
      </w:r>
      <w:r>
        <w:t>durante</w:t>
      </w:r>
      <w:r>
        <w:rPr>
          <w:spacing w:val="-6"/>
        </w:rPr>
        <w:t xml:space="preserve"> </w:t>
      </w:r>
      <w:r>
        <w:t>el</w:t>
      </w:r>
      <w:r>
        <w:rPr>
          <w:spacing w:val="-6"/>
        </w:rPr>
        <w:t xml:space="preserve"> </w:t>
      </w:r>
      <w:r>
        <w:t>posconflicto,</w:t>
      </w:r>
      <w:r>
        <w:rPr>
          <w:spacing w:val="-7"/>
        </w:rPr>
        <w:t xml:space="preserve"> </w:t>
      </w:r>
      <w:r>
        <w:t>y se retomó la antigua doctrina de guerra.</w:t>
      </w:r>
    </w:p>
    <w:p w:rsidR="0011361F" w:rsidRDefault="00AF18A5" w:rsidP="004A6EF4">
      <w:pPr>
        <w:pStyle w:val="Ttulo3"/>
        <w:numPr>
          <w:ilvl w:val="1"/>
          <w:numId w:val="16"/>
        </w:numPr>
      </w:pPr>
      <w:bookmarkStart w:id="959" w:name="7.3._Militarización,_territorios_y_estad"/>
      <w:bookmarkStart w:id="960" w:name="_Toc112399619"/>
      <w:bookmarkEnd w:id="959"/>
      <w:r>
        <w:t>Militarización,</w:t>
      </w:r>
      <w:r>
        <w:rPr>
          <w:spacing w:val="-4"/>
        </w:rPr>
        <w:t xml:space="preserve"> </w:t>
      </w:r>
      <w:r>
        <w:t>territorios</w:t>
      </w:r>
      <w:r>
        <w:rPr>
          <w:spacing w:val="-2"/>
        </w:rPr>
        <w:t xml:space="preserve"> </w:t>
      </w:r>
      <w:r>
        <w:t>y</w:t>
      </w:r>
      <w:r>
        <w:rPr>
          <w:spacing w:val="-2"/>
        </w:rPr>
        <w:t xml:space="preserve"> </w:t>
      </w:r>
      <w:r w:rsidRPr="00397F4B">
        <w:t>estados</w:t>
      </w:r>
      <w:r>
        <w:rPr>
          <w:spacing w:val="-2"/>
        </w:rPr>
        <w:t xml:space="preserve"> </w:t>
      </w:r>
      <w:r>
        <w:t>de</w:t>
      </w:r>
      <w:r>
        <w:rPr>
          <w:spacing w:val="-2"/>
        </w:rPr>
        <w:t xml:space="preserve"> excepción</w:t>
      </w:r>
      <w:bookmarkEnd w:id="960"/>
    </w:p>
    <w:p w:rsidR="003804AC" w:rsidRDefault="00AF18A5" w:rsidP="00397F4B">
      <w:r>
        <w:t>La militarización de los territorios es</w:t>
      </w:r>
      <w:r>
        <w:rPr>
          <w:spacing w:val="-1"/>
        </w:rPr>
        <w:t xml:space="preserve"> </w:t>
      </w:r>
      <w:r>
        <w:t>una consecuencia de la</w:t>
      </w:r>
      <w:r>
        <w:rPr>
          <w:spacing w:val="-1"/>
        </w:rPr>
        <w:t xml:space="preserve"> </w:t>
      </w:r>
      <w:r>
        <w:t>manera como el poder político y militar se relaciona con el territorio y pretende mantener la «soberanía»: se disputa el territorio y la población con las armas y la coerción, más que con la participación y la democracia. Así, se ha tratado de controlar el territorio a través del control de la población. En Colombia no ha sido prioridad la construcción de una presencia del Estado que sea integral y civil, pues la autoridad civil ha delegado la presencia territorial del Estado en el poder militar y en sus relaciones con los poderes locales.</w:t>
      </w:r>
    </w:p>
    <w:p w:rsidR="003804AC" w:rsidRDefault="00AF18A5" w:rsidP="00397F4B">
      <w:r>
        <w:t xml:space="preserve">El modelo de seguridad se estructuró fundamentalmente bajo la necesidad del control territorial del Estado, a través de la militarización de territorios considerados como zonas rojas, zonas especiales de orden </w:t>
      </w:r>
      <w:r>
        <w:lastRenderedPageBreak/>
        <w:t>público, teatros de operaciones y zonas de rehabilitación y consolidación,</w:t>
      </w:r>
      <w:r>
        <w:rPr>
          <w:spacing w:val="-9"/>
        </w:rPr>
        <w:t xml:space="preserve"> </w:t>
      </w:r>
      <w:r>
        <w:t>entre</w:t>
      </w:r>
      <w:r>
        <w:rPr>
          <w:spacing w:val="-10"/>
        </w:rPr>
        <w:t xml:space="preserve"> </w:t>
      </w:r>
      <w:r>
        <w:t>otros.</w:t>
      </w:r>
      <w:r>
        <w:rPr>
          <w:spacing w:val="-9"/>
        </w:rPr>
        <w:t xml:space="preserve"> </w:t>
      </w:r>
      <w:r>
        <w:t>Durante</w:t>
      </w:r>
      <w:r>
        <w:rPr>
          <w:spacing w:val="-10"/>
        </w:rPr>
        <w:t xml:space="preserve"> </w:t>
      </w:r>
      <w:r>
        <w:t>los</w:t>
      </w:r>
      <w:r>
        <w:rPr>
          <w:spacing w:val="-9"/>
        </w:rPr>
        <w:t xml:space="preserve"> </w:t>
      </w:r>
      <w:r>
        <w:t>primeros</w:t>
      </w:r>
      <w:r>
        <w:rPr>
          <w:spacing w:val="-10"/>
        </w:rPr>
        <w:t xml:space="preserve"> </w:t>
      </w:r>
      <w:r>
        <w:t>30</w:t>
      </w:r>
      <w:r>
        <w:rPr>
          <w:spacing w:val="-9"/>
        </w:rPr>
        <w:t xml:space="preserve"> </w:t>
      </w:r>
      <w:r>
        <w:t>años</w:t>
      </w:r>
      <w:r>
        <w:rPr>
          <w:spacing w:val="-10"/>
        </w:rPr>
        <w:t xml:space="preserve"> </w:t>
      </w:r>
      <w:r>
        <w:t>del</w:t>
      </w:r>
      <w:r>
        <w:rPr>
          <w:spacing w:val="-9"/>
        </w:rPr>
        <w:t xml:space="preserve"> </w:t>
      </w:r>
      <w:r>
        <w:t>conflicto</w:t>
      </w:r>
      <w:r>
        <w:rPr>
          <w:spacing w:val="-10"/>
        </w:rPr>
        <w:t xml:space="preserve"> </w:t>
      </w:r>
      <w:r>
        <w:t>armado,</w:t>
      </w:r>
      <w:r>
        <w:rPr>
          <w:spacing w:val="-9"/>
        </w:rPr>
        <w:t xml:space="preserve"> </w:t>
      </w:r>
      <w:r>
        <w:t>el</w:t>
      </w:r>
      <w:r>
        <w:rPr>
          <w:spacing w:val="-10"/>
        </w:rPr>
        <w:t xml:space="preserve"> </w:t>
      </w:r>
      <w:r>
        <w:t>mecanismo que</w:t>
      </w:r>
      <w:r>
        <w:rPr>
          <w:spacing w:val="-1"/>
        </w:rPr>
        <w:t xml:space="preserve"> </w:t>
      </w:r>
      <w:r>
        <w:t>permitió</w:t>
      </w:r>
      <w:r>
        <w:rPr>
          <w:spacing w:val="-2"/>
        </w:rPr>
        <w:t xml:space="preserve"> </w:t>
      </w:r>
      <w:r>
        <w:t>esta</w:t>
      </w:r>
      <w:r>
        <w:rPr>
          <w:spacing w:val="-1"/>
        </w:rPr>
        <w:t xml:space="preserve"> </w:t>
      </w:r>
      <w:r>
        <w:t>militarización</w:t>
      </w:r>
      <w:r>
        <w:rPr>
          <w:spacing w:val="-1"/>
        </w:rPr>
        <w:t xml:space="preserve"> </w:t>
      </w:r>
      <w:r>
        <w:t>fue</w:t>
      </w:r>
      <w:r>
        <w:rPr>
          <w:spacing w:val="-1"/>
        </w:rPr>
        <w:t xml:space="preserve"> </w:t>
      </w:r>
      <w:r>
        <w:t>el</w:t>
      </w:r>
      <w:r>
        <w:rPr>
          <w:spacing w:val="-1"/>
        </w:rPr>
        <w:t xml:space="preserve"> </w:t>
      </w:r>
      <w:r>
        <w:t>estado</w:t>
      </w:r>
      <w:r>
        <w:rPr>
          <w:spacing w:val="-1"/>
        </w:rPr>
        <w:t xml:space="preserve"> </w:t>
      </w:r>
      <w:r>
        <w:t>de</w:t>
      </w:r>
      <w:r>
        <w:rPr>
          <w:spacing w:val="-1"/>
        </w:rPr>
        <w:t xml:space="preserve"> </w:t>
      </w:r>
      <w:r>
        <w:t>excepción.</w:t>
      </w:r>
      <w:r>
        <w:rPr>
          <w:spacing w:val="-1"/>
        </w:rPr>
        <w:t xml:space="preserve"> </w:t>
      </w:r>
      <w:r>
        <w:t>Sin</w:t>
      </w:r>
      <w:r>
        <w:rPr>
          <w:spacing w:val="-1"/>
        </w:rPr>
        <w:t xml:space="preserve"> </w:t>
      </w:r>
      <w:r>
        <w:t>embargo,</w:t>
      </w:r>
      <w:r>
        <w:rPr>
          <w:spacing w:val="-1"/>
        </w:rPr>
        <w:t xml:space="preserve"> </w:t>
      </w:r>
      <w:r>
        <w:t>la</w:t>
      </w:r>
      <w:r>
        <w:rPr>
          <w:spacing w:val="-1"/>
        </w:rPr>
        <w:t xml:space="preserve"> </w:t>
      </w:r>
      <w:r>
        <w:t>«excepción»</w:t>
      </w:r>
      <w:r>
        <w:rPr>
          <w:spacing w:val="-1"/>
        </w:rPr>
        <w:t xml:space="preserve"> </w:t>
      </w:r>
      <w:r>
        <w:t>se convirtió</w:t>
      </w:r>
      <w:r>
        <w:rPr>
          <w:spacing w:val="-6"/>
        </w:rPr>
        <w:t xml:space="preserve"> </w:t>
      </w:r>
      <w:r>
        <w:t>en</w:t>
      </w:r>
      <w:r>
        <w:rPr>
          <w:spacing w:val="-7"/>
        </w:rPr>
        <w:t xml:space="preserve"> </w:t>
      </w:r>
      <w:r>
        <w:t>la</w:t>
      </w:r>
      <w:r>
        <w:rPr>
          <w:spacing w:val="-6"/>
        </w:rPr>
        <w:t xml:space="preserve"> </w:t>
      </w:r>
      <w:r>
        <w:t>regla,</w:t>
      </w:r>
      <w:r>
        <w:rPr>
          <w:spacing w:val="-6"/>
        </w:rPr>
        <w:t xml:space="preserve"> </w:t>
      </w:r>
      <w:r>
        <w:t>pues</w:t>
      </w:r>
      <w:r>
        <w:rPr>
          <w:spacing w:val="-6"/>
        </w:rPr>
        <w:t xml:space="preserve"> </w:t>
      </w:r>
      <w:r>
        <w:t>este</w:t>
      </w:r>
      <w:r>
        <w:rPr>
          <w:spacing w:val="-6"/>
        </w:rPr>
        <w:t xml:space="preserve"> </w:t>
      </w:r>
      <w:r>
        <w:t>tipo</w:t>
      </w:r>
      <w:r>
        <w:rPr>
          <w:spacing w:val="-6"/>
        </w:rPr>
        <w:t xml:space="preserve"> </w:t>
      </w:r>
      <w:r>
        <w:t>de</w:t>
      </w:r>
      <w:r>
        <w:rPr>
          <w:spacing w:val="-6"/>
        </w:rPr>
        <w:t xml:space="preserve"> </w:t>
      </w:r>
      <w:r>
        <w:t>medidas</w:t>
      </w:r>
      <w:r>
        <w:rPr>
          <w:spacing w:val="-6"/>
        </w:rPr>
        <w:t xml:space="preserve"> </w:t>
      </w:r>
      <w:r>
        <w:t>de</w:t>
      </w:r>
      <w:r>
        <w:rPr>
          <w:spacing w:val="-6"/>
        </w:rPr>
        <w:t xml:space="preserve"> </w:t>
      </w:r>
      <w:r>
        <w:t>control</w:t>
      </w:r>
      <w:r>
        <w:rPr>
          <w:spacing w:val="-7"/>
        </w:rPr>
        <w:t xml:space="preserve"> </w:t>
      </w:r>
      <w:r>
        <w:t>territorial</w:t>
      </w:r>
      <w:r>
        <w:rPr>
          <w:spacing w:val="-6"/>
        </w:rPr>
        <w:t xml:space="preserve"> </w:t>
      </w:r>
      <w:r>
        <w:t>fueron</w:t>
      </w:r>
      <w:r>
        <w:rPr>
          <w:spacing w:val="-6"/>
        </w:rPr>
        <w:t xml:space="preserve"> </w:t>
      </w:r>
      <w:r>
        <w:t>casi</w:t>
      </w:r>
      <w:r>
        <w:rPr>
          <w:spacing w:val="-6"/>
        </w:rPr>
        <w:t xml:space="preserve"> </w:t>
      </w:r>
      <w:r>
        <w:t>permanentes durante entre 1959 y 1991, incluyendo la designación de mandos militares como alcaldes o gobernadores o con mando prevalente sobre la autoridad civil. Si bien la Constitución de 1991</w:t>
      </w:r>
      <w:r>
        <w:rPr>
          <w:spacing w:val="-2"/>
        </w:rPr>
        <w:t xml:space="preserve"> </w:t>
      </w:r>
      <w:r>
        <w:t>ofreció</w:t>
      </w:r>
      <w:r>
        <w:rPr>
          <w:spacing w:val="-3"/>
        </w:rPr>
        <w:t xml:space="preserve"> </w:t>
      </w:r>
      <w:r>
        <w:t>nuevas</w:t>
      </w:r>
      <w:r>
        <w:rPr>
          <w:spacing w:val="-2"/>
        </w:rPr>
        <w:t xml:space="preserve"> </w:t>
      </w:r>
      <w:r>
        <w:t>garantías,</w:t>
      </w:r>
      <w:r>
        <w:rPr>
          <w:spacing w:val="-2"/>
        </w:rPr>
        <w:t xml:space="preserve"> </w:t>
      </w:r>
      <w:r>
        <w:t>incluso</w:t>
      </w:r>
      <w:r>
        <w:rPr>
          <w:spacing w:val="-2"/>
        </w:rPr>
        <w:t xml:space="preserve"> </w:t>
      </w:r>
      <w:r>
        <w:t>después</w:t>
      </w:r>
      <w:r>
        <w:rPr>
          <w:spacing w:val="-2"/>
        </w:rPr>
        <w:t xml:space="preserve"> </w:t>
      </w:r>
      <w:r>
        <w:t>se</w:t>
      </w:r>
      <w:r>
        <w:rPr>
          <w:spacing w:val="-2"/>
        </w:rPr>
        <w:t xml:space="preserve"> </w:t>
      </w:r>
      <w:r>
        <w:t>dieron</w:t>
      </w:r>
      <w:r>
        <w:rPr>
          <w:spacing w:val="-2"/>
        </w:rPr>
        <w:t xml:space="preserve"> </w:t>
      </w:r>
      <w:r>
        <w:t>estados</w:t>
      </w:r>
      <w:r>
        <w:rPr>
          <w:spacing w:val="-2"/>
        </w:rPr>
        <w:t xml:space="preserve"> </w:t>
      </w:r>
      <w:r>
        <w:t>de</w:t>
      </w:r>
      <w:r>
        <w:rPr>
          <w:spacing w:val="-2"/>
        </w:rPr>
        <w:t xml:space="preserve"> </w:t>
      </w:r>
      <w:r>
        <w:t>«excepción»</w:t>
      </w:r>
      <w:r>
        <w:rPr>
          <w:spacing w:val="-2"/>
        </w:rPr>
        <w:t xml:space="preserve"> </w:t>
      </w:r>
      <w:r>
        <w:t>con</w:t>
      </w:r>
      <w:r>
        <w:rPr>
          <w:spacing w:val="-3"/>
        </w:rPr>
        <w:t xml:space="preserve"> </w:t>
      </w:r>
      <w:r>
        <w:t xml:space="preserve">nuevo </w:t>
      </w:r>
      <w:r>
        <w:rPr>
          <w:spacing w:val="-2"/>
        </w:rPr>
        <w:t>formato.</w:t>
      </w:r>
    </w:p>
    <w:p w:rsidR="003804AC" w:rsidRDefault="00AF18A5" w:rsidP="00397F4B">
      <w:r>
        <w:t>En cuanto a las medidas de excepción, estas consistían en limitar derechos para la población, en especial, la detención sin el debido control judicial, que afectó a personas pertenecientes</w:t>
      </w:r>
      <w:r>
        <w:rPr>
          <w:spacing w:val="-4"/>
        </w:rPr>
        <w:t xml:space="preserve"> </w:t>
      </w:r>
      <w:r>
        <w:t>a</w:t>
      </w:r>
      <w:r>
        <w:rPr>
          <w:spacing w:val="-5"/>
        </w:rPr>
        <w:t xml:space="preserve"> </w:t>
      </w:r>
      <w:r>
        <w:t>movimientos</w:t>
      </w:r>
      <w:r>
        <w:rPr>
          <w:spacing w:val="-4"/>
        </w:rPr>
        <w:t xml:space="preserve"> </w:t>
      </w:r>
      <w:r>
        <w:t>políticos,</w:t>
      </w:r>
      <w:r>
        <w:rPr>
          <w:spacing w:val="-5"/>
        </w:rPr>
        <w:t xml:space="preserve"> </w:t>
      </w:r>
      <w:r>
        <w:t>organizaciones</w:t>
      </w:r>
      <w:r>
        <w:rPr>
          <w:spacing w:val="-5"/>
        </w:rPr>
        <w:t xml:space="preserve"> </w:t>
      </w:r>
      <w:r>
        <w:t>sociales</w:t>
      </w:r>
      <w:r>
        <w:rPr>
          <w:spacing w:val="-4"/>
        </w:rPr>
        <w:t xml:space="preserve"> </w:t>
      </w:r>
      <w:r>
        <w:t>o</w:t>
      </w:r>
      <w:r>
        <w:rPr>
          <w:spacing w:val="-6"/>
        </w:rPr>
        <w:t xml:space="preserve"> </w:t>
      </w:r>
      <w:r>
        <w:t>autoridades</w:t>
      </w:r>
      <w:r>
        <w:rPr>
          <w:spacing w:val="-4"/>
        </w:rPr>
        <w:t xml:space="preserve"> </w:t>
      </w:r>
      <w:r>
        <w:t>étnicas</w:t>
      </w:r>
      <w:r>
        <w:rPr>
          <w:spacing w:val="-5"/>
        </w:rPr>
        <w:t xml:space="preserve"> </w:t>
      </w:r>
      <w:r>
        <w:t>por</w:t>
      </w:r>
      <w:r>
        <w:rPr>
          <w:spacing w:val="-4"/>
        </w:rPr>
        <w:t xml:space="preserve"> </w:t>
      </w:r>
      <w:r>
        <w:t>su actividad política y social, incluyendo requisas, allanamientos y registros de domicilio. Por otra parte, actividades de inteligencia consistentes en el perfilamiento de personas, comunidades o zonas, seguimientos y señalamientos como los antes indicados, o el control de la movilización y de medicamentos y alimentos, con numerosas personas acusadas de colaborar con las guerrillas.</w:t>
      </w:r>
    </w:p>
    <w:p w:rsidR="003804AC" w:rsidRDefault="00AF18A5" w:rsidP="00397F4B">
      <w:r>
        <w:t>Otro rasgo de la militarización territorial es la instalación de la fuerza pública en el territorio, no solo para despejarlo del enemigo, sino también para proteger sectores poderosos,</w:t>
      </w:r>
      <w:r>
        <w:rPr>
          <w:spacing w:val="-8"/>
        </w:rPr>
        <w:t xml:space="preserve"> </w:t>
      </w:r>
      <w:r>
        <w:t>la</w:t>
      </w:r>
      <w:r>
        <w:rPr>
          <w:spacing w:val="-7"/>
        </w:rPr>
        <w:t xml:space="preserve"> </w:t>
      </w:r>
      <w:r>
        <w:t>riqueza,</w:t>
      </w:r>
      <w:r>
        <w:rPr>
          <w:spacing w:val="-8"/>
        </w:rPr>
        <w:t xml:space="preserve"> </w:t>
      </w:r>
      <w:r>
        <w:t>los</w:t>
      </w:r>
      <w:r>
        <w:rPr>
          <w:spacing w:val="-7"/>
        </w:rPr>
        <w:t xml:space="preserve"> </w:t>
      </w:r>
      <w:r>
        <w:t>megaproyectos,</w:t>
      </w:r>
      <w:r>
        <w:rPr>
          <w:spacing w:val="-8"/>
        </w:rPr>
        <w:t xml:space="preserve"> </w:t>
      </w:r>
      <w:r>
        <w:t>la</w:t>
      </w:r>
      <w:r>
        <w:rPr>
          <w:spacing w:val="-8"/>
        </w:rPr>
        <w:t xml:space="preserve"> </w:t>
      </w:r>
      <w:r>
        <w:t>infraestructura,</w:t>
      </w:r>
      <w:r>
        <w:rPr>
          <w:spacing w:val="-8"/>
        </w:rPr>
        <w:t xml:space="preserve"> </w:t>
      </w:r>
      <w:r>
        <w:t>mientras</w:t>
      </w:r>
      <w:r>
        <w:rPr>
          <w:spacing w:val="-8"/>
        </w:rPr>
        <w:t xml:space="preserve"> </w:t>
      </w:r>
      <w:r>
        <w:t>que</w:t>
      </w:r>
      <w:r>
        <w:rPr>
          <w:spacing w:val="-7"/>
        </w:rPr>
        <w:t xml:space="preserve"> </w:t>
      </w:r>
      <w:r>
        <w:t>desatiende</w:t>
      </w:r>
      <w:r>
        <w:rPr>
          <w:spacing w:val="-8"/>
        </w:rPr>
        <w:t xml:space="preserve"> </w:t>
      </w:r>
      <w:r>
        <w:t>al</w:t>
      </w:r>
      <w:r>
        <w:rPr>
          <w:spacing w:val="-8"/>
        </w:rPr>
        <w:t xml:space="preserve"> </w:t>
      </w:r>
      <w:r>
        <w:t>resto de la población. Así, por ejemplo, a la fuerza pública se le encomendó la protección de proyectos</w:t>
      </w:r>
      <w:r>
        <w:rPr>
          <w:spacing w:val="-13"/>
        </w:rPr>
        <w:t xml:space="preserve"> </w:t>
      </w:r>
      <w:r>
        <w:t>de</w:t>
      </w:r>
      <w:r>
        <w:rPr>
          <w:spacing w:val="-13"/>
        </w:rPr>
        <w:t xml:space="preserve"> </w:t>
      </w:r>
      <w:r>
        <w:t>empresas</w:t>
      </w:r>
      <w:r>
        <w:rPr>
          <w:spacing w:val="-13"/>
        </w:rPr>
        <w:t xml:space="preserve"> </w:t>
      </w:r>
      <w:r>
        <w:t>extractivas</w:t>
      </w:r>
      <w:r>
        <w:rPr>
          <w:spacing w:val="-12"/>
        </w:rPr>
        <w:t xml:space="preserve"> </w:t>
      </w:r>
      <w:r>
        <w:t>del</w:t>
      </w:r>
      <w:r>
        <w:rPr>
          <w:spacing w:val="-13"/>
        </w:rPr>
        <w:t xml:space="preserve"> </w:t>
      </w:r>
      <w:r>
        <w:t>sector</w:t>
      </w:r>
      <w:r>
        <w:rPr>
          <w:spacing w:val="-13"/>
        </w:rPr>
        <w:t xml:space="preserve"> </w:t>
      </w:r>
      <w:r>
        <w:t>privado</w:t>
      </w:r>
      <w:r>
        <w:rPr>
          <w:spacing w:val="-12"/>
        </w:rPr>
        <w:t xml:space="preserve"> </w:t>
      </w:r>
      <w:r>
        <w:t>que</w:t>
      </w:r>
      <w:r>
        <w:rPr>
          <w:spacing w:val="-12"/>
        </w:rPr>
        <w:t xml:space="preserve"> </w:t>
      </w:r>
      <w:r>
        <w:t>adelantan</w:t>
      </w:r>
      <w:r>
        <w:rPr>
          <w:spacing w:val="-12"/>
        </w:rPr>
        <w:t xml:space="preserve"> </w:t>
      </w:r>
      <w:r>
        <w:t>su</w:t>
      </w:r>
      <w:r>
        <w:rPr>
          <w:spacing w:val="-13"/>
        </w:rPr>
        <w:t xml:space="preserve"> </w:t>
      </w:r>
      <w:r>
        <w:t>actividad</w:t>
      </w:r>
      <w:r>
        <w:rPr>
          <w:spacing w:val="-12"/>
        </w:rPr>
        <w:t xml:space="preserve"> </w:t>
      </w:r>
      <w:r>
        <w:t>en</w:t>
      </w:r>
      <w:r>
        <w:rPr>
          <w:spacing w:val="-13"/>
        </w:rPr>
        <w:t xml:space="preserve"> </w:t>
      </w:r>
      <w:r>
        <w:t>territorios étnicos, desconociendo sus autoridades, derechos territoriales y su cultura, implantando lógicas</w:t>
      </w:r>
      <w:r>
        <w:rPr>
          <w:spacing w:val="-15"/>
        </w:rPr>
        <w:t xml:space="preserve"> </w:t>
      </w:r>
      <w:r>
        <w:t>de</w:t>
      </w:r>
      <w:r>
        <w:rPr>
          <w:spacing w:val="-15"/>
        </w:rPr>
        <w:t xml:space="preserve"> </w:t>
      </w:r>
      <w:r>
        <w:lastRenderedPageBreak/>
        <w:t>desarrollo</w:t>
      </w:r>
      <w:r>
        <w:rPr>
          <w:spacing w:val="-15"/>
        </w:rPr>
        <w:t xml:space="preserve"> </w:t>
      </w:r>
      <w:r>
        <w:t>ajenas</w:t>
      </w:r>
      <w:r>
        <w:rPr>
          <w:spacing w:val="-15"/>
        </w:rPr>
        <w:t xml:space="preserve"> </w:t>
      </w:r>
      <w:r>
        <w:t>a</w:t>
      </w:r>
      <w:r>
        <w:rPr>
          <w:spacing w:val="-15"/>
        </w:rPr>
        <w:t xml:space="preserve"> </w:t>
      </w:r>
      <w:r>
        <w:t>las</w:t>
      </w:r>
      <w:r>
        <w:rPr>
          <w:spacing w:val="-15"/>
        </w:rPr>
        <w:t xml:space="preserve"> </w:t>
      </w:r>
      <w:r>
        <w:t>de</w:t>
      </w:r>
      <w:r>
        <w:rPr>
          <w:spacing w:val="-15"/>
        </w:rPr>
        <w:t xml:space="preserve"> </w:t>
      </w:r>
      <w:r>
        <w:t>las</w:t>
      </w:r>
      <w:r>
        <w:rPr>
          <w:spacing w:val="-15"/>
        </w:rPr>
        <w:t xml:space="preserve"> </w:t>
      </w:r>
      <w:r>
        <w:t>comunidades.</w:t>
      </w:r>
      <w:r>
        <w:rPr>
          <w:spacing w:val="-15"/>
        </w:rPr>
        <w:t xml:space="preserve"> </w:t>
      </w:r>
      <w:r>
        <w:t>En</w:t>
      </w:r>
      <w:r>
        <w:rPr>
          <w:spacing w:val="-15"/>
        </w:rPr>
        <w:t xml:space="preserve"> </w:t>
      </w:r>
      <w:r>
        <w:t>ocasiones,</w:t>
      </w:r>
      <w:r>
        <w:rPr>
          <w:spacing w:val="-15"/>
        </w:rPr>
        <w:t xml:space="preserve"> </w:t>
      </w:r>
      <w:r>
        <w:t>la</w:t>
      </w:r>
      <w:r>
        <w:rPr>
          <w:spacing w:val="-15"/>
        </w:rPr>
        <w:t xml:space="preserve"> </w:t>
      </w:r>
      <w:r>
        <w:t>fuerza</w:t>
      </w:r>
      <w:r>
        <w:rPr>
          <w:spacing w:val="-15"/>
        </w:rPr>
        <w:t xml:space="preserve"> </w:t>
      </w:r>
      <w:r>
        <w:t>pública</w:t>
      </w:r>
      <w:r>
        <w:rPr>
          <w:spacing w:val="-15"/>
        </w:rPr>
        <w:t xml:space="preserve"> </w:t>
      </w:r>
      <w:r>
        <w:t>violentó a las poblaciones y actuó en alianza con estructuras criminales locales que generaron violaciones</w:t>
      </w:r>
      <w:r>
        <w:rPr>
          <w:spacing w:val="-15"/>
        </w:rPr>
        <w:t xml:space="preserve"> </w:t>
      </w:r>
      <w:r>
        <w:t>a</w:t>
      </w:r>
      <w:r>
        <w:rPr>
          <w:spacing w:val="-15"/>
        </w:rPr>
        <w:t xml:space="preserve"> </w:t>
      </w:r>
      <w:r>
        <w:t>derechos</w:t>
      </w:r>
      <w:r>
        <w:rPr>
          <w:spacing w:val="-15"/>
        </w:rPr>
        <w:t xml:space="preserve"> </w:t>
      </w:r>
      <w:r>
        <w:t>humanos,</w:t>
      </w:r>
      <w:r>
        <w:rPr>
          <w:spacing w:val="-15"/>
        </w:rPr>
        <w:t xml:space="preserve"> </w:t>
      </w:r>
      <w:r>
        <w:t>despojo,</w:t>
      </w:r>
      <w:r>
        <w:rPr>
          <w:spacing w:val="-15"/>
        </w:rPr>
        <w:t xml:space="preserve"> </w:t>
      </w:r>
      <w:r>
        <w:t>desplazamiento</w:t>
      </w:r>
      <w:r>
        <w:rPr>
          <w:spacing w:val="-15"/>
        </w:rPr>
        <w:t xml:space="preserve"> </w:t>
      </w:r>
      <w:r>
        <w:t>de</w:t>
      </w:r>
      <w:r>
        <w:rPr>
          <w:spacing w:val="-15"/>
        </w:rPr>
        <w:t xml:space="preserve"> </w:t>
      </w:r>
      <w:r>
        <w:t>las</w:t>
      </w:r>
      <w:r>
        <w:rPr>
          <w:spacing w:val="-15"/>
        </w:rPr>
        <w:t xml:space="preserve"> </w:t>
      </w:r>
      <w:r>
        <w:t>comunidades</w:t>
      </w:r>
      <w:r w:rsidR="00397F4B">
        <w:rPr>
          <w:rStyle w:val="Refdenotaalpie"/>
        </w:rPr>
        <w:footnoteReference w:id="767"/>
      </w:r>
      <w:r>
        <w:t>.</w:t>
      </w:r>
      <w:r>
        <w:rPr>
          <w:spacing w:val="-15"/>
        </w:rPr>
        <w:t xml:space="preserve"> </w:t>
      </w:r>
      <w:r>
        <w:t>Las</w:t>
      </w:r>
      <w:r>
        <w:rPr>
          <w:spacing w:val="-15"/>
        </w:rPr>
        <w:t xml:space="preserve"> </w:t>
      </w:r>
      <w:r>
        <w:t>fuerzas armadas desarrollaron convenios de seguridad para empresas privadas que sufragan los costos de la presencia militar con objetivos específicos de protección de la sede y la infraestructura</w:t>
      </w:r>
      <w:r>
        <w:rPr>
          <w:spacing w:val="-2"/>
        </w:rPr>
        <w:t xml:space="preserve"> </w:t>
      </w:r>
      <w:r>
        <w:t>de</w:t>
      </w:r>
      <w:r>
        <w:rPr>
          <w:spacing w:val="-2"/>
        </w:rPr>
        <w:t xml:space="preserve"> </w:t>
      </w:r>
      <w:r>
        <w:t>los</w:t>
      </w:r>
      <w:r>
        <w:rPr>
          <w:spacing w:val="-2"/>
        </w:rPr>
        <w:t xml:space="preserve"> </w:t>
      </w:r>
      <w:r>
        <w:t>proyectos,</w:t>
      </w:r>
      <w:r>
        <w:rPr>
          <w:spacing w:val="-4"/>
        </w:rPr>
        <w:t xml:space="preserve"> </w:t>
      </w:r>
      <w:r>
        <w:t>lo</w:t>
      </w:r>
      <w:r>
        <w:rPr>
          <w:spacing w:val="-2"/>
        </w:rPr>
        <w:t xml:space="preserve"> </w:t>
      </w:r>
      <w:r>
        <w:t>que</w:t>
      </w:r>
      <w:r>
        <w:rPr>
          <w:spacing w:val="-2"/>
        </w:rPr>
        <w:t xml:space="preserve"> </w:t>
      </w:r>
      <w:r>
        <w:t>necesariamente</w:t>
      </w:r>
      <w:r>
        <w:rPr>
          <w:spacing w:val="-2"/>
        </w:rPr>
        <w:t xml:space="preserve"> </w:t>
      </w:r>
      <w:r>
        <w:t>deja</w:t>
      </w:r>
      <w:r>
        <w:rPr>
          <w:spacing w:val="-3"/>
        </w:rPr>
        <w:t xml:space="preserve"> </w:t>
      </w:r>
      <w:r>
        <w:t>en</w:t>
      </w:r>
      <w:r>
        <w:rPr>
          <w:spacing w:val="-2"/>
        </w:rPr>
        <w:t xml:space="preserve"> </w:t>
      </w:r>
      <w:r>
        <w:t>menor</w:t>
      </w:r>
      <w:r>
        <w:rPr>
          <w:spacing w:val="-2"/>
        </w:rPr>
        <w:t xml:space="preserve"> </w:t>
      </w:r>
      <w:r>
        <w:t>nivel</w:t>
      </w:r>
      <w:r>
        <w:rPr>
          <w:spacing w:val="-2"/>
        </w:rPr>
        <w:t xml:space="preserve"> </w:t>
      </w:r>
      <w:r>
        <w:t>de</w:t>
      </w:r>
      <w:r>
        <w:rPr>
          <w:spacing w:val="-2"/>
        </w:rPr>
        <w:t xml:space="preserve"> </w:t>
      </w:r>
      <w:r>
        <w:t>protección</w:t>
      </w:r>
      <w:r>
        <w:rPr>
          <w:spacing w:val="-2"/>
        </w:rPr>
        <w:t xml:space="preserve"> </w:t>
      </w:r>
      <w:r>
        <w:t>al resto de la población.</w:t>
      </w:r>
    </w:p>
    <w:p w:rsidR="003804AC" w:rsidRDefault="00AF18A5" w:rsidP="00397F4B">
      <w:r>
        <w:t>El enfoque expansivo de lo militar también se ha reflejado en la creciente militarización de</w:t>
      </w:r>
      <w:r>
        <w:rPr>
          <w:spacing w:val="-7"/>
        </w:rPr>
        <w:t xml:space="preserve"> </w:t>
      </w:r>
      <w:r>
        <w:t>la</w:t>
      </w:r>
      <w:r>
        <w:rPr>
          <w:spacing w:val="-7"/>
        </w:rPr>
        <w:t xml:space="preserve"> </w:t>
      </w:r>
      <w:r>
        <w:t>Policía</w:t>
      </w:r>
      <w:r>
        <w:rPr>
          <w:spacing w:val="-8"/>
        </w:rPr>
        <w:t xml:space="preserve"> </w:t>
      </w:r>
      <w:r>
        <w:t>Nacional,</w:t>
      </w:r>
      <w:r>
        <w:rPr>
          <w:spacing w:val="-7"/>
        </w:rPr>
        <w:t xml:space="preserve"> </w:t>
      </w:r>
      <w:r>
        <w:t>que</w:t>
      </w:r>
      <w:r>
        <w:rPr>
          <w:spacing w:val="-7"/>
        </w:rPr>
        <w:t xml:space="preserve"> </w:t>
      </w:r>
      <w:r>
        <w:t>formalmente</w:t>
      </w:r>
      <w:r>
        <w:rPr>
          <w:spacing w:val="-7"/>
        </w:rPr>
        <w:t xml:space="preserve"> </w:t>
      </w:r>
      <w:r>
        <w:t>es</w:t>
      </w:r>
      <w:r>
        <w:rPr>
          <w:spacing w:val="-7"/>
        </w:rPr>
        <w:t xml:space="preserve"> </w:t>
      </w:r>
      <w:r>
        <w:t>considerada</w:t>
      </w:r>
      <w:r>
        <w:rPr>
          <w:spacing w:val="-7"/>
        </w:rPr>
        <w:t xml:space="preserve"> </w:t>
      </w:r>
      <w:r>
        <w:t>un</w:t>
      </w:r>
      <w:r>
        <w:rPr>
          <w:spacing w:val="-7"/>
        </w:rPr>
        <w:t xml:space="preserve"> </w:t>
      </w:r>
      <w:r>
        <w:t>organismo</w:t>
      </w:r>
      <w:r>
        <w:rPr>
          <w:spacing w:val="-7"/>
        </w:rPr>
        <w:t xml:space="preserve"> </w:t>
      </w:r>
      <w:r>
        <w:t>civil,</w:t>
      </w:r>
      <w:r>
        <w:rPr>
          <w:spacing w:val="-7"/>
        </w:rPr>
        <w:t xml:space="preserve"> </w:t>
      </w:r>
      <w:r>
        <w:t>pero</w:t>
      </w:r>
      <w:r>
        <w:rPr>
          <w:spacing w:val="-8"/>
        </w:rPr>
        <w:t xml:space="preserve"> </w:t>
      </w:r>
      <w:r>
        <w:t>el</w:t>
      </w:r>
      <w:r>
        <w:rPr>
          <w:spacing w:val="-7"/>
        </w:rPr>
        <w:t xml:space="preserve"> </w:t>
      </w:r>
      <w:r>
        <w:t>conflicto armado</w:t>
      </w:r>
      <w:r>
        <w:rPr>
          <w:spacing w:val="-2"/>
        </w:rPr>
        <w:t xml:space="preserve"> </w:t>
      </w:r>
      <w:r>
        <w:t>la</w:t>
      </w:r>
      <w:r>
        <w:rPr>
          <w:spacing w:val="-1"/>
        </w:rPr>
        <w:t xml:space="preserve"> </w:t>
      </w:r>
      <w:r>
        <w:t>ha</w:t>
      </w:r>
      <w:r>
        <w:rPr>
          <w:spacing w:val="-1"/>
        </w:rPr>
        <w:t xml:space="preserve"> </w:t>
      </w:r>
      <w:r>
        <w:t>involucrado</w:t>
      </w:r>
      <w:r>
        <w:rPr>
          <w:spacing w:val="-1"/>
        </w:rPr>
        <w:t xml:space="preserve"> </w:t>
      </w:r>
      <w:r>
        <w:t>en</w:t>
      </w:r>
      <w:r>
        <w:rPr>
          <w:spacing w:val="-1"/>
        </w:rPr>
        <w:t xml:space="preserve"> </w:t>
      </w:r>
      <w:r>
        <w:t>la</w:t>
      </w:r>
      <w:r>
        <w:rPr>
          <w:spacing w:val="-1"/>
        </w:rPr>
        <w:t xml:space="preserve"> </w:t>
      </w:r>
      <w:r>
        <w:t>guerra.</w:t>
      </w:r>
      <w:r>
        <w:rPr>
          <w:spacing w:val="-1"/>
        </w:rPr>
        <w:t xml:space="preserve"> </w:t>
      </w:r>
      <w:r>
        <w:t>La</w:t>
      </w:r>
      <w:r>
        <w:rPr>
          <w:spacing w:val="-1"/>
        </w:rPr>
        <w:t xml:space="preserve"> </w:t>
      </w:r>
      <w:r>
        <w:t>Policía</w:t>
      </w:r>
      <w:r>
        <w:rPr>
          <w:spacing w:val="-2"/>
        </w:rPr>
        <w:t xml:space="preserve"> </w:t>
      </w:r>
      <w:r>
        <w:t>Nacional</w:t>
      </w:r>
      <w:r>
        <w:rPr>
          <w:spacing w:val="-1"/>
        </w:rPr>
        <w:t xml:space="preserve"> </w:t>
      </w:r>
      <w:r>
        <w:t>ha</w:t>
      </w:r>
      <w:r>
        <w:rPr>
          <w:spacing w:val="-2"/>
        </w:rPr>
        <w:t xml:space="preserve"> </w:t>
      </w:r>
      <w:r>
        <w:t>sido</w:t>
      </w:r>
      <w:r>
        <w:rPr>
          <w:spacing w:val="-1"/>
        </w:rPr>
        <w:t xml:space="preserve"> </w:t>
      </w:r>
      <w:r>
        <w:t>usada</w:t>
      </w:r>
      <w:r>
        <w:rPr>
          <w:spacing w:val="-2"/>
        </w:rPr>
        <w:t xml:space="preserve"> </w:t>
      </w:r>
      <w:r>
        <w:t>por</w:t>
      </w:r>
      <w:r>
        <w:rPr>
          <w:spacing w:val="-1"/>
        </w:rPr>
        <w:t xml:space="preserve"> </w:t>
      </w:r>
      <w:r>
        <w:t>el</w:t>
      </w:r>
      <w:r>
        <w:rPr>
          <w:spacing w:val="-1"/>
        </w:rPr>
        <w:t xml:space="preserve"> </w:t>
      </w:r>
      <w:r>
        <w:t>Estado</w:t>
      </w:r>
      <w:r>
        <w:rPr>
          <w:spacing w:val="-1"/>
        </w:rPr>
        <w:t xml:space="preserve"> </w:t>
      </w:r>
      <w:r>
        <w:t>para la guerra, y también ha sido atacada por los grupos armados como actor de guerra, combatiente.</w:t>
      </w:r>
      <w:r>
        <w:rPr>
          <w:spacing w:val="-14"/>
        </w:rPr>
        <w:t xml:space="preserve"> </w:t>
      </w:r>
      <w:r>
        <w:t>Por</w:t>
      </w:r>
      <w:r>
        <w:rPr>
          <w:spacing w:val="-14"/>
        </w:rPr>
        <w:t xml:space="preserve"> </w:t>
      </w:r>
      <w:r>
        <w:t>ejemplo,</w:t>
      </w:r>
      <w:r>
        <w:rPr>
          <w:spacing w:val="-14"/>
        </w:rPr>
        <w:t xml:space="preserve"> </w:t>
      </w:r>
      <w:r>
        <w:t>a</w:t>
      </w:r>
      <w:r>
        <w:rPr>
          <w:spacing w:val="-14"/>
        </w:rPr>
        <w:t xml:space="preserve"> </w:t>
      </w:r>
      <w:r>
        <w:t>través</w:t>
      </w:r>
      <w:r>
        <w:rPr>
          <w:spacing w:val="-15"/>
        </w:rPr>
        <w:t xml:space="preserve"> </w:t>
      </w:r>
      <w:r>
        <w:t>de</w:t>
      </w:r>
      <w:r>
        <w:rPr>
          <w:spacing w:val="-14"/>
        </w:rPr>
        <w:t xml:space="preserve"> </w:t>
      </w:r>
      <w:r>
        <w:t>los</w:t>
      </w:r>
      <w:r>
        <w:rPr>
          <w:spacing w:val="-15"/>
        </w:rPr>
        <w:t xml:space="preserve"> </w:t>
      </w:r>
      <w:r>
        <w:t>Carabineros,</w:t>
      </w:r>
      <w:r>
        <w:rPr>
          <w:spacing w:val="-14"/>
        </w:rPr>
        <w:t xml:space="preserve"> </w:t>
      </w:r>
      <w:r>
        <w:t>se</w:t>
      </w:r>
      <w:r>
        <w:rPr>
          <w:spacing w:val="-14"/>
        </w:rPr>
        <w:t xml:space="preserve"> </w:t>
      </w:r>
      <w:r>
        <w:t>le</w:t>
      </w:r>
      <w:r>
        <w:rPr>
          <w:spacing w:val="-14"/>
        </w:rPr>
        <w:t xml:space="preserve"> </w:t>
      </w:r>
      <w:r>
        <w:t>asignaron</w:t>
      </w:r>
      <w:r>
        <w:rPr>
          <w:spacing w:val="-15"/>
        </w:rPr>
        <w:t xml:space="preserve"> </w:t>
      </w:r>
      <w:r>
        <w:t>funciones</w:t>
      </w:r>
      <w:r>
        <w:rPr>
          <w:spacing w:val="-14"/>
        </w:rPr>
        <w:t xml:space="preserve"> </w:t>
      </w:r>
      <w:r>
        <w:t>de</w:t>
      </w:r>
      <w:r>
        <w:rPr>
          <w:spacing w:val="-14"/>
        </w:rPr>
        <w:t xml:space="preserve"> </w:t>
      </w:r>
      <w:r>
        <w:t>seguridad nacional y contraguerrilla. Adicionalmente, en la medida en que la Policía Nacional fue subsumida en las Fuerzas Armadas y el Ministerio de Defensa, también fue involucrada en la doctrina militar y en la mentalidad del enemigo interno. Esto se ha traducido en que, aun cuando</w:t>
      </w:r>
      <w:r>
        <w:rPr>
          <w:spacing w:val="-1"/>
        </w:rPr>
        <w:t xml:space="preserve"> </w:t>
      </w:r>
      <w:r>
        <w:t>la</w:t>
      </w:r>
      <w:r>
        <w:rPr>
          <w:spacing w:val="-1"/>
        </w:rPr>
        <w:t xml:space="preserve"> </w:t>
      </w:r>
      <w:r>
        <w:t>Policía</w:t>
      </w:r>
      <w:r>
        <w:rPr>
          <w:spacing w:val="-1"/>
        </w:rPr>
        <w:t xml:space="preserve"> </w:t>
      </w:r>
      <w:r>
        <w:t>está</w:t>
      </w:r>
      <w:r>
        <w:rPr>
          <w:spacing w:val="-1"/>
        </w:rPr>
        <w:t xml:space="preserve"> </w:t>
      </w:r>
      <w:r>
        <w:t>cumpliendo</w:t>
      </w:r>
      <w:r>
        <w:rPr>
          <w:spacing w:val="-1"/>
        </w:rPr>
        <w:t xml:space="preserve"> </w:t>
      </w:r>
      <w:r>
        <w:t>funciones</w:t>
      </w:r>
      <w:r>
        <w:rPr>
          <w:spacing w:val="-1"/>
        </w:rPr>
        <w:t xml:space="preserve"> </w:t>
      </w:r>
      <w:r>
        <w:t>de</w:t>
      </w:r>
      <w:r>
        <w:rPr>
          <w:spacing w:val="-2"/>
        </w:rPr>
        <w:t xml:space="preserve"> </w:t>
      </w:r>
      <w:r>
        <w:t>seguridad</w:t>
      </w:r>
      <w:r>
        <w:rPr>
          <w:spacing w:val="-2"/>
        </w:rPr>
        <w:t xml:space="preserve"> </w:t>
      </w:r>
      <w:r>
        <w:t>y</w:t>
      </w:r>
      <w:r>
        <w:rPr>
          <w:spacing w:val="-2"/>
        </w:rPr>
        <w:t xml:space="preserve"> </w:t>
      </w:r>
      <w:r>
        <w:t>protección</w:t>
      </w:r>
      <w:r>
        <w:rPr>
          <w:spacing w:val="-1"/>
        </w:rPr>
        <w:t xml:space="preserve"> </w:t>
      </w:r>
      <w:r>
        <w:t>externas</w:t>
      </w:r>
      <w:r>
        <w:rPr>
          <w:spacing w:val="-2"/>
        </w:rPr>
        <w:t xml:space="preserve"> </w:t>
      </w:r>
      <w:r>
        <w:t>al</w:t>
      </w:r>
      <w:r>
        <w:rPr>
          <w:spacing w:val="-2"/>
        </w:rPr>
        <w:t xml:space="preserve"> </w:t>
      </w:r>
      <w:r>
        <w:t>conflicto armado, esté imbuida en el carácter militar, por lo que termina, por ejemplo, atendiendo movilizaciones</w:t>
      </w:r>
      <w:r>
        <w:rPr>
          <w:spacing w:val="-14"/>
        </w:rPr>
        <w:t xml:space="preserve"> </w:t>
      </w:r>
      <w:r>
        <w:t>y</w:t>
      </w:r>
      <w:r>
        <w:rPr>
          <w:spacing w:val="-14"/>
        </w:rPr>
        <w:t xml:space="preserve"> </w:t>
      </w:r>
      <w:r>
        <w:t>protestas</w:t>
      </w:r>
      <w:r>
        <w:rPr>
          <w:spacing w:val="-14"/>
        </w:rPr>
        <w:t xml:space="preserve"> </w:t>
      </w:r>
      <w:r>
        <w:t>sociales</w:t>
      </w:r>
      <w:r>
        <w:rPr>
          <w:spacing w:val="-14"/>
        </w:rPr>
        <w:t xml:space="preserve"> </w:t>
      </w:r>
      <w:r>
        <w:t>o</w:t>
      </w:r>
      <w:r>
        <w:rPr>
          <w:spacing w:val="-15"/>
        </w:rPr>
        <w:t xml:space="preserve"> </w:t>
      </w:r>
      <w:r>
        <w:t>campesinas</w:t>
      </w:r>
      <w:r>
        <w:rPr>
          <w:spacing w:val="-15"/>
        </w:rPr>
        <w:t xml:space="preserve"> </w:t>
      </w:r>
      <w:r>
        <w:t>como</w:t>
      </w:r>
      <w:r>
        <w:rPr>
          <w:spacing w:val="-14"/>
        </w:rPr>
        <w:t xml:space="preserve"> </w:t>
      </w:r>
      <w:r>
        <w:t>si</w:t>
      </w:r>
      <w:r>
        <w:rPr>
          <w:spacing w:val="-14"/>
        </w:rPr>
        <w:t xml:space="preserve"> </w:t>
      </w:r>
      <w:r>
        <w:t>fueran</w:t>
      </w:r>
      <w:r>
        <w:rPr>
          <w:spacing w:val="-14"/>
        </w:rPr>
        <w:t xml:space="preserve"> </w:t>
      </w:r>
      <w:r>
        <w:t>una</w:t>
      </w:r>
      <w:r>
        <w:rPr>
          <w:spacing w:val="-14"/>
        </w:rPr>
        <w:t xml:space="preserve"> </w:t>
      </w:r>
      <w:r>
        <w:t>guerra</w:t>
      </w:r>
      <w:r>
        <w:rPr>
          <w:spacing w:val="-14"/>
        </w:rPr>
        <w:t xml:space="preserve"> </w:t>
      </w:r>
      <w:r>
        <w:t>que</w:t>
      </w:r>
      <w:r>
        <w:rPr>
          <w:spacing w:val="-14"/>
        </w:rPr>
        <w:t xml:space="preserve"> </w:t>
      </w:r>
      <w:r>
        <w:t>atenta</w:t>
      </w:r>
      <w:r>
        <w:rPr>
          <w:spacing w:val="-15"/>
        </w:rPr>
        <w:t xml:space="preserve"> </w:t>
      </w:r>
      <w:r>
        <w:t>contra la existencia del Estado. Esto la lleva, no solo a no proteger al ciudadano que se moviliza, sino</w:t>
      </w:r>
      <w:r>
        <w:rPr>
          <w:spacing w:val="13"/>
        </w:rPr>
        <w:t xml:space="preserve"> </w:t>
      </w:r>
      <w:r>
        <w:t>a</w:t>
      </w:r>
      <w:r>
        <w:rPr>
          <w:spacing w:val="17"/>
        </w:rPr>
        <w:t xml:space="preserve"> </w:t>
      </w:r>
      <w:r>
        <w:t>repelerlo</w:t>
      </w:r>
      <w:r>
        <w:rPr>
          <w:spacing w:val="15"/>
        </w:rPr>
        <w:t xml:space="preserve"> </w:t>
      </w:r>
      <w:r>
        <w:t>como</w:t>
      </w:r>
      <w:r>
        <w:rPr>
          <w:spacing w:val="16"/>
        </w:rPr>
        <w:t xml:space="preserve"> </w:t>
      </w:r>
      <w:r>
        <w:t>enemigo,</w:t>
      </w:r>
      <w:r>
        <w:rPr>
          <w:spacing w:val="15"/>
        </w:rPr>
        <w:t xml:space="preserve"> </w:t>
      </w:r>
      <w:r>
        <w:t>contando</w:t>
      </w:r>
      <w:r>
        <w:rPr>
          <w:spacing w:val="16"/>
        </w:rPr>
        <w:t xml:space="preserve"> </w:t>
      </w:r>
      <w:r>
        <w:t>con</w:t>
      </w:r>
      <w:r>
        <w:rPr>
          <w:spacing w:val="16"/>
        </w:rPr>
        <w:t xml:space="preserve"> </w:t>
      </w:r>
      <w:r>
        <w:t>un</w:t>
      </w:r>
      <w:r>
        <w:rPr>
          <w:spacing w:val="15"/>
        </w:rPr>
        <w:t xml:space="preserve"> </w:t>
      </w:r>
      <w:r>
        <w:t>cuerpo</w:t>
      </w:r>
      <w:r>
        <w:rPr>
          <w:spacing w:val="16"/>
        </w:rPr>
        <w:t xml:space="preserve"> </w:t>
      </w:r>
      <w:r>
        <w:t>especializado</w:t>
      </w:r>
      <w:r>
        <w:rPr>
          <w:spacing w:val="14"/>
        </w:rPr>
        <w:t xml:space="preserve"> </w:t>
      </w:r>
      <w:r>
        <w:t>como</w:t>
      </w:r>
      <w:r>
        <w:rPr>
          <w:spacing w:val="16"/>
        </w:rPr>
        <w:t xml:space="preserve"> </w:t>
      </w:r>
      <w:r>
        <w:t>el</w:t>
      </w:r>
      <w:r>
        <w:rPr>
          <w:spacing w:val="17"/>
        </w:rPr>
        <w:t xml:space="preserve"> </w:t>
      </w:r>
      <w:r>
        <w:rPr>
          <w:spacing w:val="-2"/>
        </w:rPr>
        <w:lastRenderedPageBreak/>
        <w:t>Escuadrón</w:t>
      </w:r>
      <w:bookmarkStart w:id="961" w:name="_bookmark840"/>
      <w:bookmarkEnd w:id="961"/>
      <w:r w:rsidR="00397F4B">
        <w:rPr>
          <w:spacing w:val="-2"/>
        </w:rPr>
        <w:t xml:space="preserve"> </w:t>
      </w:r>
      <w:r>
        <w:t>Móvil</w:t>
      </w:r>
      <w:r>
        <w:rPr>
          <w:spacing w:val="-4"/>
        </w:rPr>
        <w:t xml:space="preserve"> </w:t>
      </w:r>
      <w:r>
        <w:t>Antidisturbios</w:t>
      </w:r>
      <w:r>
        <w:rPr>
          <w:spacing w:val="-6"/>
        </w:rPr>
        <w:t xml:space="preserve"> </w:t>
      </w:r>
      <w:r>
        <w:t>(ESMAD)</w:t>
      </w:r>
      <w:r w:rsidR="00397F4B">
        <w:rPr>
          <w:rStyle w:val="Refdenotaalpie"/>
        </w:rPr>
        <w:footnoteReference w:id="768"/>
      </w:r>
      <w:r>
        <w:t>,</w:t>
      </w:r>
      <w:r>
        <w:rPr>
          <w:spacing w:val="-5"/>
        </w:rPr>
        <w:t xml:space="preserve"> </w:t>
      </w:r>
      <w:r>
        <w:t>que</w:t>
      </w:r>
      <w:r>
        <w:rPr>
          <w:spacing w:val="-5"/>
        </w:rPr>
        <w:t xml:space="preserve"> </w:t>
      </w:r>
      <w:r>
        <w:t>ha</w:t>
      </w:r>
      <w:r>
        <w:rPr>
          <w:spacing w:val="-5"/>
        </w:rPr>
        <w:t xml:space="preserve"> </w:t>
      </w:r>
      <w:r>
        <w:t>estado</w:t>
      </w:r>
      <w:r>
        <w:rPr>
          <w:spacing w:val="-5"/>
        </w:rPr>
        <w:t xml:space="preserve"> </w:t>
      </w:r>
      <w:r>
        <w:t>involucrado</w:t>
      </w:r>
      <w:r>
        <w:rPr>
          <w:spacing w:val="-6"/>
        </w:rPr>
        <w:t xml:space="preserve"> </w:t>
      </w:r>
      <w:r>
        <w:t>en</w:t>
      </w:r>
      <w:r>
        <w:rPr>
          <w:spacing w:val="-5"/>
        </w:rPr>
        <w:t xml:space="preserve"> </w:t>
      </w:r>
      <w:r>
        <w:t>las</w:t>
      </w:r>
      <w:r>
        <w:rPr>
          <w:spacing w:val="-6"/>
        </w:rPr>
        <w:t xml:space="preserve"> </w:t>
      </w:r>
      <w:r>
        <w:t>acciones</w:t>
      </w:r>
      <w:r>
        <w:rPr>
          <w:spacing w:val="-5"/>
        </w:rPr>
        <w:t xml:space="preserve"> </w:t>
      </w:r>
      <w:r>
        <w:t>de</w:t>
      </w:r>
      <w:r>
        <w:rPr>
          <w:spacing w:val="-5"/>
        </w:rPr>
        <w:t xml:space="preserve"> </w:t>
      </w:r>
      <w:r>
        <w:t>represión</w:t>
      </w:r>
      <w:r>
        <w:rPr>
          <w:spacing w:val="-7"/>
        </w:rPr>
        <w:t xml:space="preserve"> </w:t>
      </w:r>
      <w:r>
        <w:t>a movilizaciones sociales con numerosos casos de violaciones de derechos humanos.</w:t>
      </w:r>
    </w:p>
    <w:p w:rsidR="003804AC" w:rsidRDefault="00AF18A5" w:rsidP="00397F4B">
      <w:r>
        <w:t>Otro factor que ha conllevado la militarización de la Policía es su rol en las acciones antinarcóticos. Si bien, en principio, no son acciones militares, por la capacidad armada y vocación</w:t>
      </w:r>
      <w:r>
        <w:rPr>
          <w:spacing w:val="-5"/>
        </w:rPr>
        <w:t xml:space="preserve"> </w:t>
      </w:r>
      <w:r>
        <w:t>de</w:t>
      </w:r>
      <w:r>
        <w:rPr>
          <w:spacing w:val="-6"/>
        </w:rPr>
        <w:t xml:space="preserve"> </w:t>
      </w:r>
      <w:r>
        <w:t>dominio</w:t>
      </w:r>
      <w:r>
        <w:rPr>
          <w:spacing w:val="-6"/>
        </w:rPr>
        <w:t xml:space="preserve"> </w:t>
      </w:r>
      <w:r>
        <w:t>territorial</w:t>
      </w:r>
      <w:r>
        <w:rPr>
          <w:spacing w:val="-4"/>
        </w:rPr>
        <w:t xml:space="preserve"> </w:t>
      </w:r>
      <w:r>
        <w:t>que</w:t>
      </w:r>
      <w:r>
        <w:rPr>
          <w:spacing w:val="-4"/>
        </w:rPr>
        <w:t xml:space="preserve"> </w:t>
      </w:r>
      <w:r>
        <w:t>terminan</w:t>
      </w:r>
      <w:r>
        <w:rPr>
          <w:spacing w:val="-5"/>
        </w:rPr>
        <w:t xml:space="preserve"> </w:t>
      </w:r>
      <w:r>
        <w:t>teniendo</w:t>
      </w:r>
      <w:r>
        <w:rPr>
          <w:spacing w:val="-5"/>
        </w:rPr>
        <w:t xml:space="preserve"> </w:t>
      </w:r>
      <w:r>
        <w:t>los</w:t>
      </w:r>
      <w:r>
        <w:rPr>
          <w:spacing w:val="-4"/>
        </w:rPr>
        <w:t xml:space="preserve"> </w:t>
      </w:r>
      <w:r>
        <w:t>grupos</w:t>
      </w:r>
      <w:r>
        <w:rPr>
          <w:spacing w:val="-4"/>
        </w:rPr>
        <w:t xml:space="preserve"> </w:t>
      </w:r>
      <w:r>
        <w:t>narcotraficantes,</w:t>
      </w:r>
      <w:r>
        <w:rPr>
          <w:spacing w:val="-6"/>
        </w:rPr>
        <w:t xml:space="preserve"> </w:t>
      </w:r>
      <w:r>
        <w:t>la</w:t>
      </w:r>
      <w:r>
        <w:rPr>
          <w:spacing w:val="-4"/>
        </w:rPr>
        <w:t xml:space="preserve"> </w:t>
      </w:r>
      <w:r>
        <w:t>Policía mezcla la persecución del delito con la guerra contra un enemigo del conflicto armado, y termina persiguiendo más al campesino cocalero que al propio actor armado. Su rol protagónico en la guerra antinarcóticos también la ha hecho propensa al enorme poder corruptor</w:t>
      </w:r>
      <w:r>
        <w:rPr>
          <w:spacing w:val="-3"/>
        </w:rPr>
        <w:t xml:space="preserve"> </w:t>
      </w:r>
      <w:r>
        <w:t>del</w:t>
      </w:r>
      <w:r>
        <w:rPr>
          <w:spacing w:val="-3"/>
        </w:rPr>
        <w:t xml:space="preserve"> </w:t>
      </w:r>
      <w:r>
        <w:t>narcotráfico,</w:t>
      </w:r>
      <w:r>
        <w:rPr>
          <w:spacing w:val="-3"/>
        </w:rPr>
        <w:t xml:space="preserve"> </w:t>
      </w:r>
      <w:r>
        <w:t>a</w:t>
      </w:r>
      <w:r>
        <w:rPr>
          <w:spacing w:val="-3"/>
        </w:rPr>
        <w:t xml:space="preserve"> </w:t>
      </w:r>
      <w:r>
        <w:t>pesar</w:t>
      </w:r>
      <w:r>
        <w:rPr>
          <w:spacing w:val="-3"/>
        </w:rPr>
        <w:t xml:space="preserve"> </w:t>
      </w:r>
      <w:r>
        <w:t>de</w:t>
      </w:r>
      <w:r>
        <w:rPr>
          <w:spacing w:val="-4"/>
        </w:rPr>
        <w:t xml:space="preserve"> </w:t>
      </w:r>
      <w:r>
        <w:t>que</w:t>
      </w:r>
      <w:r>
        <w:rPr>
          <w:spacing w:val="-3"/>
        </w:rPr>
        <w:t xml:space="preserve"> </w:t>
      </w:r>
      <w:r>
        <w:t>muchos</w:t>
      </w:r>
      <w:r>
        <w:rPr>
          <w:spacing w:val="-4"/>
        </w:rPr>
        <w:t xml:space="preserve"> </w:t>
      </w:r>
      <w:r>
        <w:t>policías</w:t>
      </w:r>
      <w:r>
        <w:rPr>
          <w:spacing w:val="-4"/>
        </w:rPr>
        <w:t xml:space="preserve"> </w:t>
      </w:r>
      <w:r>
        <w:t>han</w:t>
      </w:r>
      <w:r>
        <w:rPr>
          <w:spacing w:val="-5"/>
        </w:rPr>
        <w:t xml:space="preserve"> </w:t>
      </w:r>
      <w:r>
        <w:t>demostrado</w:t>
      </w:r>
      <w:r>
        <w:rPr>
          <w:spacing w:val="-5"/>
        </w:rPr>
        <w:t xml:space="preserve"> </w:t>
      </w:r>
      <w:r>
        <w:t>también</w:t>
      </w:r>
      <w:r>
        <w:rPr>
          <w:spacing w:val="-5"/>
        </w:rPr>
        <w:t xml:space="preserve"> </w:t>
      </w:r>
      <w:r>
        <w:t>entereza y</w:t>
      </w:r>
      <w:r>
        <w:rPr>
          <w:spacing w:val="-3"/>
        </w:rPr>
        <w:t xml:space="preserve"> </w:t>
      </w:r>
      <w:r>
        <w:t>respeto</w:t>
      </w:r>
      <w:r>
        <w:rPr>
          <w:spacing w:val="-3"/>
        </w:rPr>
        <w:t xml:space="preserve"> </w:t>
      </w:r>
      <w:r>
        <w:t>por</w:t>
      </w:r>
      <w:r>
        <w:rPr>
          <w:spacing w:val="-2"/>
        </w:rPr>
        <w:t xml:space="preserve"> </w:t>
      </w:r>
      <w:r>
        <w:t>la</w:t>
      </w:r>
      <w:r>
        <w:rPr>
          <w:spacing w:val="-2"/>
        </w:rPr>
        <w:t xml:space="preserve"> </w:t>
      </w:r>
      <w:r>
        <w:t>ley</w:t>
      </w:r>
      <w:r w:rsidR="00397F4B">
        <w:rPr>
          <w:rStyle w:val="Refdenotaalpie"/>
        </w:rPr>
        <w:footnoteReference w:id="769"/>
      </w:r>
      <w:r>
        <w:t>.</w:t>
      </w:r>
      <w:r>
        <w:rPr>
          <w:spacing w:val="-3"/>
        </w:rPr>
        <w:t xml:space="preserve"> </w:t>
      </w:r>
      <w:r>
        <w:t>En</w:t>
      </w:r>
      <w:r>
        <w:rPr>
          <w:spacing w:val="-3"/>
        </w:rPr>
        <w:t xml:space="preserve"> </w:t>
      </w:r>
      <w:r>
        <w:t>el</w:t>
      </w:r>
      <w:r>
        <w:rPr>
          <w:spacing w:val="-2"/>
        </w:rPr>
        <w:t xml:space="preserve"> </w:t>
      </w:r>
      <w:r>
        <w:t>conflicto</w:t>
      </w:r>
      <w:r>
        <w:rPr>
          <w:spacing w:val="-3"/>
        </w:rPr>
        <w:t xml:space="preserve"> </w:t>
      </w:r>
      <w:r>
        <w:t>armado</w:t>
      </w:r>
      <w:r>
        <w:rPr>
          <w:spacing w:val="-3"/>
        </w:rPr>
        <w:t xml:space="preserve"> </w:t>
      </w:r>
      <w:r>
        <w:t>la</w:t>
      </w:r>
      <w:r>
        <w:rPr>
          <w:spacing w:val="-2"/>
        </w:rPr>
        <w:t xml:space="preserve"> </w:t>
      </w:r>
      <w:r>
        <w:t>Policía</w:t>
      </w:r>
      <w:r>
        <w:rPr>
          <w:spacing w:val="-2"/>
        </w:rPr>
        <w:t xml:space="preserve"> </w:t>
      </w:r>
      <w:r>
        <w:t>ha</w:t>
      </w:r>
      <w:r>
        <w:rPr>
          <w:spacing w:val="-2"/>
        </w:rPr>
        <w:t xml:space="preserve"> </w:t>
      </w:r>
      <w:r>
        <w:t>tenido</w:t>
      </w:r>
      <w:r>
        <w:rPr>
          <w:spacing w:val="-4"/>
        </w:rPr>
        <w:t xml:space="preserve"> </w:t>
      </w:r>
      <w:r>
        <w:t>carácter</w:t>
      </w:r>
      <w:r>
        <w:rPr>
          <w:spacing w:val="-2"/>
        </w:rPr>
        <w:t xml:space="preserve"> </w:t>
      </w:r>
      <w:r>
        <w:t>contrainsurgente, antinarcóticos</w:t>
      </w:r>
      <w:r>
        <w:rPr>
          <w:spacing w:val="-12"/>
        </w:rPr>
        <w:t xml:space="preserve"> </w:t>
      </w:r>
      <w:r>
        <w:t>y</w:t>
      </w:r>
      <w:r>
        <w:rPr>
          <w:spacing w:val="-12"/>
        </w:rPr>
        <w:t xml:space="preserve"> </w:t>
      </w:r>
      <w:r>
        <w:t>antiterrorista.</w:t>
      </w:r>
      <w:r>
        <w:rPr>
          <w:spacing w:val="-12"/>
        </w:rPr>
        <w:t xml:space="preserve"> </w:t>
      </w:r>
      <w:r>
        <w:t>Además,</w:t>
      </w:r>
      <w:r>
        <w:rPr>
          <w:spacing w:val="-12"/>
        </w:rPr>
        <w:t xml:space="preserve"> </w:t>
      </w:r>
      <w:r>
        <w:t>emula</w:t>
      </w:r>
      <w:r>
        <w:rPr>
          <w:spacing w:val="-12"/>
        </w:rPr>
        <w:t xml:space="preserve"> </w:t>
      </w:r>
      <w:r>
        <w:t>la</w:t>
      </w:r>
      <w:r>
        <w:rPr>
          <w:spacing w:val="-12"/>
        </w:rPr>
        <w:t xml:space="preserve"> </w:t>
      </w:r>
      <w:r>
        <w:t>estructura,</w:t>
      </w:r>
      <w:r>
        <w:rPr>
          <w:spacing w:val="-12"/>
        </w:rPr>
        <w:t xml:space="preserve"> </w:t>
      </w:r>
      <w:r>
        <w:t>jerarquía</w:t>
      </w:r>
      <w:r>
        <w:rPr>
          <w:spacing w:val="-12"/>
        </w:rPr>
        <w:t xml:space="preserve"> </w:t>
      </w:r>
      <w:r>
        <w:t>y</w:t>
      </w:r>
      <w:r>
        <w:rPr>
          <w:spacing w:val="-12"/>
        </w:rPr>
        <w:t xml:space="preserve"> </w:t>
      </w:r>
      <w:r>
        <w:t>grados</w:t>
      </w:r>
      <w:r>
        <w:rPr>
          <w:spacing w:val="-12"/>
        </w:rPr>
        <w:t xml:space="preserve"> </w:t>
      </w:r>
      <w:r>
        <w:t>de</w:t>
      </w:r>
      <w:r>
        <w:rPr>
          <w:spacing w:val="-12"/>
        </w:rPr>
        <w:t xml:space="preserve"> </w:t>
      </w:r>
      <w:r>
        <w:t>las</w:t>
      </w:r>
      <w:r>
        <w:rPr>
          <w:spacing w:val="-12"/>
        </w:rPr>
        <w:t xml:space="preserve"> </w:t>
      </w:r>
      <w:r>
        <w:t>Fuerzas Militares, usa su doctrina y se involucra en la guerra.</w:t>
      </w:r>
    </w:p>
    <w:p w:rsidR="0011361F" w:rsidRDefault="00AF18A5" w:rsidP="00397F4B">
      <w:r>
        <w:lastRenderedPageBreak/>
        <w:t>Otro medio de militarización es el servicio militar obligatorio, que existe en Colombia desde 1886. El servicio obligatorio ha involucrado principalmente a jóvenes campesinos y de</w:t>
      </w:r>
      <w:r>
        <w:rPr>
          <w:spacing w:val="-1"/>
        </w:rPr>
        <w:t xml:space="preserve"> </w:t>
      </w:r>
      <w:r>
        <w:t>escasos</w:t>
      </w:r>
      <w:r>
        <w:rPr>
          <w:spacing w:val="-1"/>
        </w:rPr>
        <w:t xml:space="preserve"> </w:t>
      </w:r>
      <w:r>
        <w:t>recursos.</w:t>
      </w:r>
      <w:r>
        <w:rPr>
          <w:spacing w:val="-2"/>
        </w:rPr>
        <w:t xml:space="preserve"> </w:t>
      </w:r>
      <w:r>
        <w:t>A</w:t>
      </w:r>
      <w:r>
        <w:rPr>
          <w:spacing w:val="-2"/>
        </w:rPr>
        <w:t xml:space="preserve"> </w:t>
      </w:r>
      <w:r>
        <w:t>pesar</w:t>
      </w:r>
      <w:r>
        <w:rPr>
          <w:spacing w:val="-1"/>
        </w:rPr>
        <w:t xml:space="preserve"> </w:t>
      </w:r>
      <w:r>
        <w:t>de</w:t>
      </w:r>
      <w:r>
        <w:rPr>
          <w:spacing w:val="-1"/>
        </w:rPr>
        <w:t xml:space="preserve"> </w:t>
      </w:r>
      <w:r>
        <w:t>que</w:t>
      </w:r>
      <w:r>
        <w:rPr>
          <w:spacing w:val="-2"/>
        </w:rPr>
        <w:t xml:space="preserve"> </w:t>
      </w:r>
      <w:r>
        <w:t>en</w:t>
      </w:r>
      <w:r>
        <w:rPr>
          <w:spacing w:val="-1"/>
        </w:rPr>
        <w:t xml:space="preserve"> </w:t>
      </w:r>
      <w:r>
        <w:t>el</w:t>
      </w:r>
      <w:r>
        <w:rPr>
          <w:spacing w:val="-1"/>
        </w:rPr>
        <w:t xml:space="preserve"> </w:t>
      </w:r>
      <w:r>
        <w:t>2017</w:t>
      </w:r>
      <w:r>
        <w:rPr>
          <w:spacing w:val="-2"/>
        </w:rPr>
        <w:t xml:space="preserve"> </w:t>
      </w:r>
      <w:r>
        <w:t>se</w:t>
      </w:r>
      <w:r>
        <w:rPr>
          <w:spacing w:val="-1"/>
        </w:rPr>
        <w:t xml:space="preserve"> </w:t>
      </w:r>
      <w:r>
        <w:t>reconoció</w:t>
      </w:r>
      <w:r>
        <w:rPr>
          <w:spacing w:val="-1"/>
        </w:rPr>
        <w:t xml:space="preserve"> </w:t>
      </w:r>
      <w:r>
        <w:t>la</w:t>
      </w:r>
      <w:r>
        <w:rPr>
          <w:spacing w:val="-1"/>
        </w:rPr>
        <w:t xml:space="preserve"> </w:t>
      </w:r>
      <w:r>
        <w:t>objeción</w:t>
      </w:r>
      <w:r>
        <w:rPr>
          <w:spacing w:val="-3"/>
        </w:rPr>
        <w:t xml:space="preserve"> </w:t>
      </w:r>
      <w:r>
        <w:t>de</w:t>
      </w:r>
      <w:r>
        <w:rPr>
          <w:spacing w:val="-1"/>
        </w:rPr>
        <w:t xml:space="preserve"> </w:t>
      </w:r>
      <w:r>
        <w:t>conciencia</w:t>
      </w:r>
      <w:r w:rsidR="00397F4B">
        <w:rPr>
          <w:rStyle w:val="Refdenotaalpie"/>
        </w:rPr>
        <w:footnoteReference w:id="770"/>
      </w:r>
      <w:r>
        <w:t>,</w:t>
      </w:r>
      <w:r>
        <w:rPr>
          <w:spacing w:val="-1"/>
        </w:rPr>
        <w:t xml:space="preserve"> </w:t>
      </w:r>
      <w:r>
        <w:t>en general los jóvenes están obligados a prestar el servicio. Los criterios para aplazar la obligación favorecen a quienes estén estudiando, por lo que se termina incorporando como conscriptos</w:t>
      </w:r>
      <w:r>
        <w:rPr>
          <w:spacing w:val="-3"/>
        </w:rPr>
        <w:t xml:space="preserve"> </w:t>
      </w:r>
      <w:r>
        <w:t>principalmente</w:t>
      </w:r>
      <w:r>
        <w:rPr>
          <w:spacing w:val="-1"/>
        </w:rPr>
        <w:t xml:space="preserve"> </w:t>
      </w:r>
      <w:r>
        <w:t>a</w:t>
      </w:r>
      <w:r>
        <w:rPr>
          <w:spacing w:val="-1"/>
        </w:rPr>
        <w:t xml:space="preserve"> </w:t>
      </w:r>
      <w:r>
        <w:t>los</w:t>
      </w:r>
      <w:r>
        <w:rPr>
          <w:spacing w:val="-3"/>
        </w:rPr>
        <w:t xml:space="preserve"> </w:t>
      </w:r>
      <w:r>
        <w:t>jóvenes</w:t>
      </w:r>
      <w:r>
        <w:rPr>
          <w:spacing w:val="-2"/>
        </w:rPr>
        <w:t xml:space="preserve"> </w:t>
      </w:r>
      <w:r>
        <w:t>más</w:t>
      </w:r>
      <w:r>
        <w:rPr>
          <w:spacing w:val="-1"/>
        </w:rPr>
        <w:t xml:space="preserve"> </w:t>
      </w:r>
      <w:r>
        <w:t>vulnerables,</w:t>
      </w:r>
      <w:r>
        <w:rPr>
          <w:spacing w:val="-1"/>
        </w:rPr>
        <w:t xml:space="preserve"> </w:t>
      </w:r>
      <w:r>
        <w:t>con</w:t>
      </w:r>
      <w:r>
        <w:rPr>
          <w:spacing w:val="-1"/>
        </w:rPr>
        <w:t xml:space="preserve"> </w:t>
      </w:r>
      <w:r>
        <w:t>menor</w:t>
      </w:r>
      <w:r>
        <w:rPr>
          <w:spacing w:val="-2"/>
        </w:rPr>
        <w:t xml:space="preserve"> </w:t>
      </w:r>
      <w:r>
        <w:t>acceso</w:t>
      </w:r>
      <w:r>
        <w:rPr>
          <w:spacing w:val="-1"/>
        </w:rPr>
        <w:t xml:space="preserve"> </w:t>
      </w:r>
      <w:r>
        <w:t>a</w:t>
      </w:r>
      <w:r>
        <w:rPr>
          <w:spacing w:val="-1"/>
        </w:rPr>
        <w:t xml:space="preserve"> </w:t>
      </w:r>
      <w:r>
        <w:t>la</w:t>
      </w:r>
      <w:r>
        <w:rPr>
          <w:spacing w:val="-1"/>
        </w:rPr>
        <w:t xml:space="preserve"> </w:t>
      </w:r>
      <w:r>
        <w:rPr>
          <w:spacing w:val="-2"/>
        </w:rPr>
        <w:t>educación.</w:t>
      </w:r>
    </w:p>
    <w:p w:rsidR="003804AC" w:rsidRDefault="00AF18A5" w:rsidP="00397F4B">
      <w:bookmarkStart w:id="962" w:name="_bookmark841"/>
      <w:bookmarkStart w:id="963" w:name="_bookmark842"/>
      <w:bookmarkStart w:id="964" w:name="_bookmark843"/>
      <w:bookmarkEnd w:id="962"/>
      <w:bookmarkEnd w:id="963"/>
      <w:bookmarkEnd w:id="964"/>
      <w:r>
        <w:t>También afecta diferencialmente a las comunidades étnicas, pues transforma la vivencia tradicional de sus miembros y deslegitima al Estado dentro de ellas. No obstante, en las últimas décadas se ha fortalecido la profesionalización de la fuerza pública.</w:t>
      </w:r>
    </w:p>
    <w:p w:rsidR="003804AC" w:rsidRDefault="00AF18A5" w:rsidP="00397F4B">
      <w:r>
        <w:t>Una estrategia central de la intervención militar involucrando a la población civil en el conflicto</w:t>
      </w:r>
      <w:r>
        <w:rPr>
          <w:spacing w:val="-12"/>
        </w:rPr>
        <w:t xml:space="preserve"> </w:t>
      </w:r>
      <w:r>
        <w:t>han</w:t>
      </w:r>
      <w:r>
        <w:rPr>
          <w:spacing w:val="-11"/>
        </w:rPr>
        <w:t xml:space="preserve"> </w:t>
      </w:r>
      <w:r>
        <w:t>sido</w:t>
      </w:r>
      <w:r>
        <w:rPr>
          <w:spacing w:val="-12"/>
        </w:rPr>
        <w:t xml:space="preserve"> </w:t>
      </w:r>
      <w:r>
        <w:t>las</w:t>
      </w:r>
      <w:r>
        <w:rPr>
          <w:spacing w:val="-12"/>
        </w:rPr>
        <w:t xml:space="preserve"> </w:t>
      </w:r>
      <w:r>
        <w:t>«acciones</w:t>
      </w:r>
      <w:r>
        <w:rPr>
          <w:spacing w:val="-12"/>
        </w:rPr>
        <w:t xml:space="preserve"> </w:t>
      </w:r>
      <w:r>
        <w:t>cívico-militares»</w:t>
      </w:r>
      <w:r>
        <w:rPr>
          <w:spacing w:val="-11"/>
        </w:rPr>
        <w:t xml:space="preserve"> </w:t>
      </w:r>
      <w:r>
        <w:t>planteadas</w:t>
      </w:r>
      <w:r>
        <w:rPr>
          <w:spacing w:val="-12"/>
        </w:rPr>
        <w:t xml:space="preserve"> </w:t>
      </w:r>
      <w:r>
        <w:t>inicialmente</w:t>
      </w:r>
      <w:r>
        <w:rPr>
          <w:spacing w:val="-10"/>
        </w:rPr>
        <w:t xml:space="preserve"> </w:t>
      </w:r>
      <w:r>
        <w:t>desde</w:t>
      </w:r>
      <w:r>
        <w:rPr>
          <w:spacing w:val="-12"/>
        </w:rPr>
        <w:t xml:space="preserve"> </w:t>
      </w:r>
      <w:r>
        <w:t>el</w:t>
      </w:r>
      <w:r>
        <w:rPr>
          <w:spacing w:val="-10"/>
        </w:rPr>
        <w:t xml:space="preserve"> </w:t>
      </w:r>
      <w:r>
        <w:t>Plan</w:t>
      </w:r>
      <w:r>
        <w:rPr>
          <w:spacing w:val="-11"/>
        </w:rPr>
        <w:t xml:space="preserve"> </w:t>
      </w:r>
      <w:r>
        <w:t xml:space="preserve">Lazo en los años sesenta, que evolucionaron en los mecanismos de coordinación de la acción integral en los años 2000 y que hoy se mantienen en parte como la «doctrina de la acción </w:t>
      </w:r>
      <w:r>
        <w:rPr>
          <w:spacing w:val="-2"/>
        </w:rPr>
        <w:t>integral».</w:t>
      </w:r>
    </w:p>
    <w:p w:rsidR="003804AC" w:rsidRDefault="00AF18A5" w:rsidP="00397F4B">
      <w:r>
        <w:t>En</w:t>
      </w:r>
      <w:r>
        <w:rPr>
          <w:spacing w:val="-6"/>
        </w:rPr>
        <w:t xml:space="preserve"> </w:t>
      </w:r>
      <w:r>
        <w:t>el</w:t>
      </w:r>
      <w:r>
        <w:rPr>
          <w:spacing w:val="-7"/>
        </w:rPr>
        <w:t xml:space="preserve"> </w:t>
      </w:r>
      <w:r>
        <w:t>marco</w:t>
      </w:r>
      <w:r>
        <w:rPr>
          <w:spacing w:val="-7"/>
        </w:rPr>
        <w:t xml:space="preserve"> </w:t>
      </w:r>
      <w:r>
        <w:t>del</w:t>
      </w:r>
      <w:r>
        <w:rPr>
          <w:spacing w:val="-5"/>
        </w:rPr>
        <w:t xml:space="preserve"> </w:t>
      </w:r>
      <w:r>
        <w:t>Plan</w:t>
      </w:r>
      <w:r>
        <w:rPr>
          <w:spacing w:val="-6"/>
        </w:rPr>
        <w:t xml:space="preserve"> </w:t>
      </w:r>
      <w:r>
        <w:t>Lazo,</w:t>
      </w:r>
      <w:r>
        <w:rPr>
          <w:spacing w:val="-6"/>
        </w:rPr>
        <w:t xml:space="preserve"> </w:t>
      </w:r>
      <w:r>
        <w:t>con</w:t>
      </w:r>
      <w:r>
        <w:rPr>
          <w:spacing w:val="-7"/>
        </w:rPr>
        <w:t xml:space="preserve"> </w:t>
      </w:r>
      <w:r>
        <w:t>las</w:t>
      </w:r>
      <w:r>
        <w:rPr>
          <w:spacing w:val="-7"/>
        </w:rPr>
        <w:t xml:space="preserve"> </w:t>
      </w:r>
      <w:r>
        <w:t>acciones</w:t>
      </w:r>
      <w:r>
        <w:rPr>
          <w:spacing w:val="-7"/>
        </w:rPr>
        <w:t xml:space="preserve"> </w:t>
      </w:r>
      <w:r>
        <w:t>cívico-militares,</w:t>
      </w:r>
      <w:r>
        <w:rPr>
          <w:spacing w:val="-7"/>
        </w:rPr>
        <w:t xml:space="preserve"> </w:t>
      </w:r>
      <w:r>
        <w:t>se</w:t>
      </w:r>
      <w:r>
        <w:rPr>
          <w:spacing w:val="-6"/>
        </w:rPr>
        <w:t xml:space="preserve"> </w:t>
      </w:r>
      <w:r>
        <w:t>buscaba</w:t>
      </w:r>
      <w:r>
        <w:rPr>
          <w:spacing w:val="-6"/>
        </w:rPr>
        <w:t xml:space="preserve"> </w:t>
      </w:r>
      <w:r>
        <w:t>obtener</w:t>
      </w:r>
      <w:r>
        <w:rPr>
          <w:spacing w:val="-7"/>
        </w:rPr>
        <w:t xml:space="preserve"> </w:t>
      </w:r>
      <w:r>
        <w:t>el</w:t>
      </w:r>
      <w:r>
        <w:rPr>
          <w:spacing w:val="-7"/>
        </w:rPr>
        <w:t xml:space="preserve"> </w:t>
      </w:r>
      <w:r>
        <w:t>apoyo de</w:t>
      </w:r>
      <w:r>
        <w:rPr>
          <w:spacing w:val="-14"/>
        </w:rPr>
        <w:t xml:space="preserve"> </w:t>
      </w:r>
      <w:r>
        <w:t>la</w:t>
      </w:r>
      <w:r>
        <w:rPr>
          <w:spacing w:val="-12"/>
        </w:rPr>
        <w:t xml:space="preserve"> </w:t>
      </w:r>
      <w:r>
        <w:t>población</w:t>
      </w:r>
      <w:r>
        <w:rPr>
          <w:spacing w:val="-11"/>
        </w:rPr>
        <w:t xml:space="preserve"> </w:t>
      </w:r>
      <w:r>
        <w:t>civil</w:t>
      </w:r>
      <w:r>
        <w:rPr>
          <w:spacing w:val="-11"/>
        </w:rPr>
        <w:t xml:space="preserve"> </w:t>
      </w:r>
      <w:r>
        <w:t>y</w:t>
      </w:r>
      <w:r>
        <w:rPr>
          <w:spacing w:val="-12"/>
        </w:rPr>
        <w:t xml:space="preserve"> </w:t>
      </w:r>
      <w:r>
        <w:t>eliminar</w:t>
      </w:r>
      <w:r>
        <w:rPr>
          <w:spacing w:val="-11"/>
        </w:rPr>
        <w:t xml:space="preserve"> </w:t>
      </w:r>
      <w:r>
        <w:t>el</w:t>
      </w:r>
      <w:r>
        <w:rPr>
          <w:spacing w:val="-12"/>
        </w:rPr>
        <w:t xml:space="preserve"> </w:t>
      </w:r>
      <w:r>
        <w:t>respaldo</w:t>
      </w:r>
      <w:r>
        <w:rPr>
          <w:spacing w:val="-11"/>
        </w:rPr>
        <w:t xml:space="preserve"> </w:t>
      </w:r>
      <w:r>
        <w:t>de</w:t>
      </w:r>
      <w:r>
        <w:rPr>
          <w:spacing w:val="-12"/>
        </w:rPr>
        <w:t xml:space="preserve"> </w:t>
      </w:r>
      <w:r>
        <w:t>las</w:t>
      </w:r>
      <w:r>
        <w:rPr>
          <w:spacing w:val="-12"/>
        </w:rPr>
        <w:t xml:space="preserve"> </w:t>
      </w:r>
      <w:r>
        <w:t>comunidades</w:t>
      </w:r>
      <w:r>
        <w:rPr>
          <w:spacing w:val="-11"/>
        </w:rPr>
        <w:t xml:space="preserve"> </w:t>
      </w:r>
      <w:r>
        <w:t>a</w:t>
      </w:r>
      <w:r>
        <w:rPr>
          <w:spacing w:val="-12"/>
        </w:rPr>
        <w:t xml:space="preserve"> </w:t>
      </w:r>
      <w:r>
        <w:t>las</w:t>
      </w:r>
      <w:r>
        <w:rPr>
          <w:spacing w:val="-12"/>
        </w:rPr>
        <w:t xml:space="preserve"> </w:t>
      </w:r>
      <w:r>
        <w:t>cuadrillas</w:t>
      </w:r>
      <w:r>
        <w:rPr>
          <w:spacing w:val="-12"/>
        </w:rPr>
        <w:t xml:space="preserve"> </w:t>
      </w:r>
      <w:r>
        <w:t>de</w:t>
      </w:r>
      <w:r>
        <w:rPr>
          <w:spacing w:val="-11"/>
        </w:rPr>
        <w:t xml:space="preserve"> </w:t>
      </w:r>
      <w:r>
        <w:rPr>
          <w:spacing w:val="-2"/>
        </w:rPr>
        <w:t>bandoleros:</w:t>
      </w:r>
    </w:p>
    <w:p w:rsidR="003804AC" w:rsidRDefault="00AF18A5" w:rsidP="00397F4B">
      <w:r>
        <w:t>«quitarle</w:t>
      </w:r>
      <w:r>
        <w:rPr>
          <w:spacing w:val="-2"/>
        </w:rPr>
        <w:t xml:space="preserve"> </w:t>
      </w:r>
      <w:r>
        <w:t>el</w:t>
      </w:r>
      <w:r>
        <w:rPr>
          <w:spacing w:val="-3"/>
        </w:rPr>
        <w:t xml:space="preserve"> </w:t>
      </w:r>
      <w:r>
        <w:t>agua</w:t>
      </w:r>
      <w:r>
        <w:rPr>
          <w:spacing w:val="-1"/>
        </w:rPr>
        <w:t xml:space="preserve"> </w:t>
      </w:r>
      <w:r>
        <w:t>al</w:t>
      </w:r>
      <w:r>
        <w:rPr>
          <w:spacing w:val="-1"/>
        </w:rPr>
        <w:t xml:space="preserve"> </w:t>
      </w:r>
      <w:r>
        <w:t>pez»</w:t>
      </w:r>
      <w:r w:rsidR="00397F4B">
        <w:rPr>
          <w:rStyle w:val="Refdenotaalpie"/>
        </w:rPr>
        <w:footnoteReference w:id="771"/>
      </w:r>
      <w:r>
        <w:t>,</w:t>
      </w:r>
      <w:r>
        <w:rPr>
          <w:spacing w:val="-1"/>
        </w:rPr>
        <w:t xml:space="preserve"> </w:t>
      </w:r>
      <w:r>
        <w:t>mediante</w:t>
      </w:r>
      <w:r>
        <w:rPr>
          <w:spacing w:val="-2"/>
        </w:rPr>
        <w:t xml:space="preserve"> </w:t>
      </w:r>
      <w:r>
        <w:t>la</w:t>
      </w:r>
      <w:r>
        <w:rPr>
          <w:spacing w:val="-1"/>
        </w:rPr>
        <w:t xml:space="preserve"> </w:t>
      </w:r>
      <w:r>
        <w:t>legitimación</w:t>
      </w:r>
      <w:r>
        <w:rPr>
          <w:spacing w:val="-1"/>
        </w:rPr>
        <w:t xml:space="preserve"> </w:t>
      </w:r>
      <w:r>
        <w:t>militar</w:t>
      </w:r>
      <w:r>
        <w:rPr>
          <w:spacing w:val="-2"/>
        </w:rPr>
        <w:t xml:space="preserve"> </w:t>
      </w:r>
      <w:r>
        <w:t>a</w:t>
      </w:r>
      <w:r>
        <w:rPr>
          <w:spacing w:val="-2"/>
        </w:rPr>
        <w:t xml:space="preserve"> </w:t>
      </w:r>
      <w:r>
        <w:t>través</w:t>
      </w:r>
      <w:r>
        <w:rPr>
          <w:spacing w:val="-2"/>
        </w:rPr>
        <w:t xml:space="preserve"> </w:t>
      </w:r>
      <w:r>
        <w:t>de</w:t>
      </w:r>
      <w:r>
        <w:rPr>
          <w:spacing w:val="-2"/>
        </w:rPr>
        <w:t xml:space="preserve"> </w:t>
      </w:r>
      <w:r>
        <w:t>la</w:t>
      </w:r>
      <w:r>
        <w:rPr>
          <w:spacing w:val="-3"/>
        </w:rPr>
        <w:t xml:space="preserve"> </w:t>
      </w:r>
      <w:r>
        <w:t>acción</w:t>
      </w:r>
      <w:r>
        <w:rPr>
          <w:spacing w:val="-2"/>
        </w:rPr>
        <w:t xml:space="preserve"> </w:t>
      </w:r>
      <w:r>
        <w:t>social</w:t>
      </w:r>
      <w:r>
        <w:rPr>
          <w:spacing w:val="-1"/>
        </w:rPr>
        <w:t xml:space="preserve"> </w:t>
      </w:r>
      <w:r>
        <w:t>y</w:t>
      </w:r>
      <w:r>
        <w:rPr>
          <w:spacing w:val="-2"/>
        </w:rPr>
        <w:t xml:space="preserve"> </w:t>
      </w:r>
      <w:r>
        <w:t xml:space="preserve">la colaboración de la población en tareas de inteligencia. En 1963 se creó el Comité Nacional de Acción Cívico-Militar, </w:t>
      </w:r>
      <w:r>
        <w:lastRenderedPageBreak/>
        <w:t>integrado por el Ministerio de Defensa y los ministerios sociales y de gobierno, que estuvo encargado de liderar la implementación de estas campañas, con apoyo</w:t>
      </w:r>
      <w:r>
        <w:rPr>
          <w:spacing w:val="18"/>
        </w:rPr>
        <w:t xml:space="preserve"> </w:t>
      </w:r>
      <w:r>
        <w:t>del</w:t>
      </w:r>
      <w:r>
        <w:rPr>
          <w:spacing w:val="17"/>
        </w:rPr>
        <w:t xml:space="preserve"> </w:t>
      </w:r>
      <w:r>
        <w:t>gobierno</w:t>
      </w:r>
      <w:r>
        <w:rPr>
          <w:spacing w:val="18"/>
        </w:rPr>
        <w:t xml:space="preserve"> </w:t>
      </w:r>
      <w:r>
        <w:t>de</w:t>
      </w:r>
      <w:r>
        <w:rPr>
          <w:spacing w:val="17"/>
        </w:rPr>
        <w:t xml:space="preserve"> </w:t>
      </w:r>
      <w:r>
        <w:t>Estados</w:t>
      </w:r>
      <w:r>
        <w:rPr>
          <w:spacing w:val="18"/>
        </w:rPr>
        <w:t xml:space="preserve"> </w:t>
      </w:r>
      <w:r>
        <w:t>Unidos</w:t>
      </w:r>
      <w:r w:rsidR="00397F4B">
        <w:rPr>
          <w:rStyle w:val="Refdenotaalpie"/>
        </w:rPr>
        <w:footnoteReference w:id="772"/>
      </w:r>
      <w:r>
        <w:t>.</w:t>
      </w:r>
      <w:r>
        <w:rPr>
          <w:spacing w:val="18"/>
        </w:rPr>
        <w:t xml:space="preserve"> </w:t>
      </w:r>
      <w:r>
        <w:t>La</w:t>
      </w:r>
      <w:r>
        <w:rPr>
          <w:spacing w:val="18"/>
        </w:rPr>
        <w:t xml:space="preserve"> </w:t>
      </w:r>
      <w:r>
        <w:t>acción</w:t>
      </w:r>
      <w:r>
        <w:rPr>
          <w:spacing w:val="18"/>
        </w:rPr>
        <w:t xml:space="preserve"> </w:t>
      </w:r>
      <w:r>
        <w:t>cívico-militar</w:t>
      </w:r>
      <w:r>
        <w:rPr>
          <w:spacing w:val="17"/>
        </w:rPr>
        <w:t xml:space="preserve"> </w:t>
      </w:r>
      <w:r>
        <w:t>daba</w:t>
      </w:r>
      <w:r>
        <w:rPr>
          <w:spacing w:val="17"/>
        </w:rPr>
        <w:t xml:space="preserve"> </w:t>
      </w:r>
      <w:r>
        <w:t>paso</w:t>
      </w:r>
      <w:r>
        <w:rPr>
          <w:spacing w:val="18"/>
        </w:rPr>
        <w:t xml:space="preserve"> </w:t>
      </w:r>
      <w:r>
        <w:t>a</w:t>
      </w:r>
      <w:r>
        <w:rPr>
          <w:spacing w:val="18"/>
        </w:rPr>
        <w:t xml:space="preserve"> </w:t>
      </w:r>
      <w:r>
        <w:t>una</w:t>
      </w:r>
      <w:r>
        <w:rPr>
          <w:spacing w:val="18"/>
        </w:rPr>
        <w:t xml:space="preserve"> </w:t>
      </w:r>
      <w:r>
        <w:rPr>
          <w:spacing w:val="-2"/>
        </w:rPr>
        <w:t>nueva</w:t>
      </w:r>
      <w:r w:rsidR="00397F4B">
        <w:t xml:space="preserve"> </w:t>
      </w:r>
      <w:r>
        <w:t>«organización, entrenamiento, adecuación técnica y psicología del instrumento militar de acuerdo con las características del reto»</w:t>
      </w:r>
      <w:r w:rsidR="00397F4B">
        <w:rPr>
          <w:rStyle w:val="Refdenotaalpie"/>
        </w:rPr>
        <w:footnoteReference w:id="773"/>
      </w:r>
      <w:r>
        <w:t xml:space="preserve"> en la lucha contrainsurgente, pero conllevó involucramiento de civiles en dichas tareas y de seguimientos y operaciones de inteligencia que tenían como objetivo la población civil.</w:t>
      </w:r>
    </w:p>
    <w:p w:rsidR="003804AC" w:rsidRPr="00C6432E" w:rsidRDefault="00AF18A5" w:rsidP="00C6432E">
      <w:r>
        <w:t>La acción cívico-militar se planteó como un mecanismo de ayuda para la solución de problemas</w:t>
      </w:r>
      <w:r>
        <w:rPr>
          <w:spacing w:val="-11"/>
        </w:rPr>
        <w:t xml:space="preserve"> </w:t>
      </w:r>
      <w:r>
        <w:t>básicos</w:t>
      </w:r>
      <w:r>
        <w:rPr>
          <w:spacing w:val="-11"/>
        </w:rPr>
        <w:t xml:space="preserve"> </w:t>
      </w:r>
      <w:r>
        <w:t>de</w:t>
      </w:r>
      <w:r>
        <w:rPr>
          <w:spacing w:val="-12"/>
        </w:rPr>
        <w:t xml:space="preserve"> </w:t>
      </w:r>
      <w:r>
        <w:t>la</w:t>
      </w:r>
      <w:r>
        <w:rPr>
          <w:spacing w:val="-12"/>
        </w:rPr>
        <w:t xml:space="preserve"> </w:t>
      </w:r>
      <w:r>
        <w:t>población</w:t>
      </w:r>
      <w:r>
        <w:rPr>
          <w:spacing w:val="-11"/>
        </w:rPr>
        <w:t xml:space="preserve"> </w:t>
      </w:r>
      <w:r>
        <w:t>civil.</w:t>
      </w:r>
      <w:r>
        <w:rPr>
          <w:spacing w:val="-11"/>
        </w:rPr>
        <w:t xml:space="preserve"> </w:t>
      </w:r>
      <w:r>
        <w:t>Según</w:t>
      </w:r>
      <w:r>
        <w:rPr>
          <w:spacing w:val="-11"/>
        </w:rPr>
        <w:t xml:space="preserve"> </w:t>
      </w:r>
      <w:r>
        <w:t>un</w:t>
      </w:r>
      <w:r>
        <w:rPr>
          <w:spacing w:val="-11"/>
        </w:rPr>
        <w:t xml:space="preserve"> </w:t>
      </w:r>
      <w:r>
        <w:t>informe</w:t>
      </w:r>
      <w:r>
        <w:rPr>
          <w:spacing w:val="-11"/>
        </w:rPr>
        <w:t xml:space="preserve"> </w:t>
      </w:r>
      <w:r>
        <w:t>del</w:t>
      </w:r>
      <w:r>
        <w:rPr>
          <w:spacing w:val="-10"/>
        </w:rPr>
        <w:t xml:space="preserve"> </w:t>
      </w:r>
      <w:r>
        <w:t>Ejército</w:t>
      </w:r>
      <w:r>
        <w:rPr>
          <w:spacing w:val="-11"/>
        </w:rPr>
        <w:t xml:space="preserve"> </w:t>
      </w:r>
      <w:r>
        <w:t>Nacional</w:t>
      </w:r>
      <w:r>
        <w:rPr>
          <w:spacing w:val="-12"/>
        </w:rPr>
        <w:t xml:space="preserve"> </w:t>
      </w:r>
      <w:r>
        <w:t>recibido</w:t>
      </w:r>
      <w:r>
        <w:rPr>
          <w:spacing w:val="-11"/>
        </w:rPr>
        <w:t xml:space="preserve"> </w:t>
      </w:r>
      <w:r>
        <w:t>por la Comisión de la Verdad, en lo referente a «la acción cívico-militar se incorporó […] a la doctrina militar, con el firme propósito de que por medio de esta se apoyara a la población campesina,</w:t>
      </w:r>
      <w:r>
        <w:rPr>
          <w:spacing w:val="29"/>
        </w:rPr>
        <w:t xml:space="preserve"> </w:t>
      </w:r>
      <w:r>
        <w:t>logrando</w:t>
      </w:r>
      <w:r>
        <w:rPr>
          <w:spacing w:val="32"/>
        </w:rPr>
        <w:t xml:space="preserve"> </w:t>
      </w:r>
      <w:r>
        <w:t>erradicar</w:t>
      </w:r>
      <w:r>
        <w:rPr>
          <w:spacing w:val="33"/>
        </w:rPr>
        <w:t xml:space="preserve"> </w:t>
      </w:r>
      <w:r>
        <w:t>los</w:t>
      </w:r>
      <w:r>
        <w:rPr>
          <w:spacing w:val="32"/>
        </w:rPr>
        <w:t xml:space="preserve"> </w:t>
      </w:r>
      <w:r>
        <w:t>aún</w:t>
      </w:r>
      <w:r>
        <w:rPr>
          <w:spacing w:val="32"/>
        </w:rPr>
        <w:t xml:space="preserve"> </w:t>
      </w:r>
      <w:r>
        <w:t>existentes</w:t>
      </w:r>
      <w:r>
        <w:rPr>
          <w:spacing w:val="31"/>
        </w:rPr>
        <w:t xml:space="preserve"> </w:t>
      </w:r>
      <w:r>
        <w:t>vestigios</w:t>
      </w:r>
      <w:r>
        <w:rPr>
          <w:spacing w:val="32"/>
        </w:rPr>
        <w:t xml:space="preserve"> </w:t>
      </w:r>
      <w:r>
        <w:t>de</w:t>
      </w:r>
      <w:r>
        <w:rPr>
          <w:spacing w:val="32"/>
        </w:rPr>
        <w:t xml:space="preserve"> </w:t>
      </w:r>
      <w:r>
        <w:t>violencia</w:t>
      </w:r>
      <w:r>
        <w:rPr>
          <w:spacing w:val="32"/>
        </w:rPr>
        <w:t xml:space="preserve"> </w:t>
      </w:r>
      <w:r>
        <w:t>bandolera</w:t>
      </w:r>
      <w:r>
        <w:rPr>
          <w:spacing w:val="31"/>
        </w:rPr>
        <w:t xml:space="preserve"> </w:t>
      </w:r>
      <w:r>
        <w:t>que</w:t>
      </w:r>
      <w:r>
        <w:rPr>
          <w:spacing w:val="32"/>
        </w:rPr>
        <w:t xml:space="preserve"> </w:t>
      </w:r>
      <w:r>
        <w:rPr>
          <w:spacing w:val="-5"/>
        </w:rPr>
        <w:t>se</w:t>
      </w:r>
      <w:bookmarkStart w:id="965" w:name="_bookmark844"/>
      <w:bookmarkStart w:id="966" w:name="_bookmark845"/>
      <w:bookmarkStart w:id="967" w:name="_bookmark846"/>
      <w:bookmarkEnd w:id="965"/>
      <w:bookmarkEnd w:id="966"/>
      <w:bookmarkEnd w:id="967"/>
      <w:r w:rsidR="00C6432E">
        <w:rPr>
          <w:spacing w:val="-5"/>
        </w:rPr>
        <w:t xml:space="preserve"> </w:t>
      </w:r>
      <w:r>
        <w:t>mantenía en ciertas zonas del país»</w:t>
      </w:r>
      <w:r w:rsidR="00C6432E">
        <w:rPr>
          <w:rStyle w:val="Refdenotaalpie"/>
        </w:rPr>
        <w:footnoteReference w:id="774"/>
      </w:r>
      <w:r>
        <w:t>. Sin embargo, la contribución al desarrollo local y territorial no se concibió como un derecho de la población a unas mejores condiciones de vida,</w:t>
      </w:r>
      <w:r>
        <w:rPr>
          <w:spacing w:val="-8"/>
        </w:rPr>
        <w:t xml:space="preserve"> </w:t>
      </w:r>
      <w:r>
        <w:t>sino</w:t>
      </w:r>
      <w:r>
        <w:rPr>
          <w:spacing w:val="-8"/>
        </w:rPr>
        <w:t xml:space="preserve"> </w:t>
      </w:r>
      <w:r>
        <w:t>como</w:t>
      </w:r>
      <w:r>
        <w:rPr>
          <w:spacing w:val="-8"/>
        </w:rPr>
        <w:t xml:space="preserve"> </w:t>
      </w:r>
      <w:r>
        <w:t>un</w:t>
      </w:r>
      <w:r>
        <w:rPr>
          <w:spacing w:val="-8"/>
        </w:rPr>
        <w:t xml:space="preserve"> </w:t>
      </w:r>
      <w:r>
        <w:t>medio</w:t>
      </w:r>
      <w:r>
        <w:rPr>
          <w:spacing w:val="-8"/>
        </w:rPr>
        <w:t xml:space="preserve"> </w:t>
      </w:r>
      <w:r>
        <w:t>para</w:t>
      </w:r>
      <w:r>
        <w:rPr>
          <w:spacing w:val="-8"/>
        </w:rPr>
        <w:t xml:space="preserve"> </w:t>
      </w:r>
      <w:r>
        <w:t>ganar</w:t>
      </w:r>
      <w:r>
        <w:rPr>
          <w:spacing w:val="-9"/>
        </w:rPr>
        <w:t xml:space="preserve"> </w:t>
      </w:r>
      <w:r>
        <w:t>empatía</w:t>
      </w:r>
      <w:r>
        <w:rPr>
          <w:spacing w:val="-8"/>
        </w:rPr>
        <w:t xml:space="preserve"> </w:t>
      </w:r>
      <w:r>
        <w:t>con</w:t>
      </w:r>
      <w:r>
        <w:rPr>
          <w:spacing w:val="-10"/>
        </w:rPr>
        <w:t xml:space="preserve"> </w:t>
      </w:r>
      <w:r>
        <w:t>la</w:t>
      </w:r>
      <w:r>
        <w:rPr>
          <w:spacing w:val="-8"/>
        </w:rPr>
        <w:t xml:space="preserve"> </w:t>
      </w:r>
      <w:r>
        <w:t>población</w:t>
      </w:r>
      <w:r>
        <w:rPr>
          <w:spacing w:val="-10"/>
        </w:rPr>
        <w:t xml:space="preserve"> </w:t>
      </w:r>
      <w:r>
        <w:t>y</w:t>
      </w:r>
      <w:r>
        <w:rPr>
          <w:spacing w:val="-8"/>
        </w:rPr>
        <w:t xml:space="preserve"> </w:t>
      </w:r>
      <w:r>
        <w:t>desplazar</w:t>
      </w:r>
      <w:r>
        <w:rPr>
          <w:spacing w:val="-9"/>
        </w:rPr>
        <w:t xml:space="preserve"> </w:t>
      </w:r>
      <w:r>
        <w:t>al</w:t>
      </w:r>
      <w:r>
        <w:rPr>
          <w:spacing w:val="-8"/>
        </w:rPr>
        <w:t xml:space="preserve"> </w:t>
      </w:r>
      <w:r>
        <w:t>adversario.</w:t>
      </w:r>
      <w:r>
        <w:rPr>
          <w:spacing w:val="-8"/>
        </w:rPr>
        <w:t xml:space="preserve"> </w:t>
      </w:r>
      <w:r>
        <w:t>Las acciones</w:t>
      </w:r>
      <w:r>
        <w:rPr>
          <w:spacing w:val="-11"/>
        </w:rPr>
        <w:t xml:space="preserve"> </w:t>
      </w:r>
      <w:r>
        <w:t>cívico-militares</w:t>
      </w:r>
      <w:r>
        <w:rPr>
          <w:spacing w:val="-12"/>
        </w:rPr>
        <w:t xml:space="preserve"> </w:t>
      </w:r>
      <w:r>
        <w:t>deben</w:t>
      </w:r>
      <w:r>
        <w:rPr>
          <w:spacing w:val="-11"/>
        </w:rPr>
        <w:t xml:space="preserve"> </w:t>
      </w:r>
      <w:r>
        <w:t>evaluarse</w:t>
      </w:r>
      <w:r>
        <w:rPr>
          <w:spacing w:val="-12"/>
        </w:rPr>
        <w:t xml:space="preserve"> </w:t>
      </w:r>
      <w:r>
        <w:t>siempre</w:t>
      </w:r>
      <w:r>
        <w:rPr>
          <w:spacing w:val="-12"/>
        </w:rPr>
        <w:t xml:space="preserve"> </w:t>
      </w:r>
      <w:r>
        <w:t>en</w:t>
      </w:r>
      <w:r>
        <w:rPr>
          <w:spacing w:val="-11"/>
        </w:rPr>
        <w:t xml:space="preserve"> </w:t>
      </w:r>
      <w:r>
        <w:t>relación</w:t>
      </w:r>
      <w:r>
        <w:rPr>
          <w:spacing w:val="-12"/>
        </w:rPr>
        <w:t xml:space="preserve"> </w:t>
      </w:r>
      <w:r>
        <w:t>con</w:t>
      </w:r>
      <w:r>
        <w:rPr>
          <w:spacing w:val="-11"/>
        </w:rPr>
        <w:t xml:space="preserve"> </w:t>
      </w:r>
      <w:r>
        <w:t>el</w:t>
      </w:r>
      <w:r>
        <w:rPr>
          <w:spacing w:val="-11"/>
        </w:rPr>
        <w:t xml:space="preserve"> </w:t>
      </w:r>
      <w:r>
        <w:t>riesgo</w:t>
      </w:r>
      <w:r>
        <w:rPr>
          <w:spacing w:val="-12"/>
        </w:rPr>
        <w:t xml:space="preserve"> </w:t>
      </w:r>
      <w:r>
        <w:t>para</w:t>
      </w:r>
      <w:r>
        <w:rPr>
          <w:spacing w:val="-12"/>
        </w:rPr>
        <w:t xml:space="preserve"> </w:t>
      </w:r>
      <w:r>
        <w:t>la</w:t>
      </w:r>
      <w:r>
        <w:rPr>
          <w:spacing w:val="-12"/>
        </w:rPr>
        <w:t xml:space="preserve"> </w:t>
      </w:r>
      <w:r>
        <w:t>población civil y no en zonas de conflicto armado.</w:t>
      </w:r>
    </w:p>
    <w:p w:rsidR="003804AC" w:rsidRDefault="00AF18A5" w:rsidP="00BD61B0">
      <w:r>
        <w:t>[...]</w:t>
      </w:r>
      <w:r>
        <w:rPr>
          <w:spacing w:val="-2"/>
        </w:rPr>
        <w:t xml:space="preserve"> </w:t>
      </w:r>
      <w:r>
        <w:t>un</w:t>
      </w:r>
      <w:r>
        <w:rPr>
          <w:spacing w:val="-2"/>
        </w:rPr>
        <w:t xml:space="preserve"> </w:t>
      </w:r>
      <w:r>
        <w:t>caso</w:t>
      </w:r>
      <w:r>
        <w:rPr>
          <w:spacing w:val="-2"/>
        </w:rPr>
        <w:t xml:space="preserve"> </w:t>
      </w:r>
      <w:r>
        <w:t>notorio</w:t>
      </w:r>
      <w:r>
        <w:rPr>
          <w:spacing w:val="-2"/>
        </w:rPr>
        <w:t xml:space="preserve"> </w:t>
      </w:r>
      <w:r>
        <w:t>de</w:t>
      </w:r>
      <w:r>
        <w:rPr>
          <w:spacing w:val="-3"/>
        </w:rPr>
        <w:t xml:space="preserve"> </w:t>
      </w:r>
      <w:r>
        <w:t>la</w:t>
      </w:r>
      <w:r>
        <w:rPr>
          <w:spacing w:val="-3"/>
        </w:rPr>
        <w:t xml:space="preserve"> </w:t>
      </w:r>
      <w:r>
        <w:t>instrumentalización</w:t>
      </w:r>
      <w:r>
        <w:rPr>
          <w:spacing w:val="-2"/>
        </w:rPr>
        <w:t xml:space="preserve"> </w:t>
      </w:r>
      <w:r>
        <w:t>de</w:t>
      </w:r>
      <w:r>
        <w:rPr>
          <w:spacing w:val="-3"/>
        </w:rPr>
        <w:t xml:space="preserve"> </w:t>
      </w:r>
      <w:r>
        <w:t>las</w:t>
      </w:r>
      <w:r>
        <w:rPr>
          <w:spacing w:val="-1"/>
        </w:rPr>
        <w:t xml:space="preserve"> </w:t>
      </w:r>
      <w:r>
        <w:t>mujeres</w:t>
      </w:r>
      <w:r>
        <w:rPr>
          <w:spacing w:val="-3"/>
        </w:rPr>
        <w:t xml:space="preserve"> </w:t>
      </w:r>
      <w:r>
        <w:t>por</w:t>
      </w:r>
      <w:r>
        <w:rPr>
          <w:spacing w:val="-2"/>
        </w:rPr>
        <w:t xml:space="preserve"> </w:t>
      </w:r>
      <w:r>
        <w:t>parte</w:t>
      </w:r>
      <w:r>
        <w:rPr>
          <w:spacing w:val="-3"/>
        </w:rPr>
        <w:t xml:space="preserve"> </w:t>
      </w:r>
      <w:r>
        <w:t>de</w:t>
      </w:r>
      <w:r>
        <w:rPr>
          <w:spacing w:val="-3"/>
        </w:rPr>
        <w:t xml:space="preserve"> </w:t>
      </w:r>
      <w:r>
        <w:t>la</w:t>
      </w:r>
      <w:r>
        <w:rPr>
          <w:spacing w:val="-2"/>
        </w:rPr>
        <w:t xml:space="preserve"> </w:t>
      </w:r>
      <w:r>
        <w:t>fuerza</w:t>
      </w:r>
      <w:r>
        <w:rPr>
          <w:spacing w:val="-3"/>
        </w:rPr>
        <w:t xml:space="preserve"> </w:t>
      </w:r>
      <w:r>
        <w:t>pública</w:t>
      </w:r>
      <w:r>
        <w:rPr>
          <w:spacing w:val="-3"/>
        </w:rPr>
        <w:t xml:space="preserve"> </w:t>
      </w:r>
      <w:r>
        <w:t xml:space="preserve">fue el denominado de «las chicas de acero», quienes </w:t>
      </w:r>
      <w:r>
        <w:lastRenderedPageBreak/>
        <w:t>eran mujeres civiles que invitaron a que portaran el uniforme militar para hacer parte de una acción cívico-militar impulsada por el Ejército. Las «chicas de acero» apoyaban programas humanitarios y de recreación. Al mismo tiempo, en varios testimonios se identificó que las simples charlas con miembros de la fuerza pública las catalogaba por las FARC como simpatizantes, colaboradoras del «enemigo»</w:t>
      </w:r>
      <w:r w:rsidR="00BD61B0">
        <w:rPr>
          <w:rStyle w:val="Refdenotaalpie"/>
        </w:rPr>
        <w:footnoteReference w:id="775"/>
      </w:r>
      <w:r>
        <w:t>.</w:t>
      </w:r>
    </w:p>
    <w:p w:rsidR="003804AC" w:rsidRDefault="00AF18A5" w:rsidP="00BD61B0">
      <w:r>
        <w:t>La estrategia de acciones cívico-militares se basaba en la lógica no solo de una perspectiva desarrollista,</w:t>
      </w:r>
      <w:r>
        <w:rPr>
          <w:spacing w:val="-11"/>
        </w:rPr>
        <w:t xml:space="preserve"> </w:t>
      </w:r>
      <w:r>
        <w:t>sino</w:t>
      </w:r>
      <w:r>
        <w:rPr>
          <w:spacing w:val="-11"/>
        </w:rPr>
        <w:t xml:space="preserve"> </w:t>
      </w:r>
      <w:r>
        <w:t>sobre</w:t>
      </w:r>
      <w:r>
        <w:rPr>
          <w:spacing w:val="-11"/>
        </w:rPr>
        <w:t xml:space="preserve"> </w:t>
      </w:r>
      <w:r>
        <w:t>todo</w:t>
      </w:r>
      <w:r>
        <w:rPr>
          <w:spacing w:val="-11"/>
        </w:rPr>
        <w:t xml:space="preserve"> </w:t>
      </w:r>
      <w:r>
        <w:t>como</w:t>
      </w:r>
      <w:r>
        <w:rPr>
          <w:spacing w:val="-11"/>
        </w:rPr>
        <w:t xml:space="preserve"> </w:t>
      </w:r>
      <w:r>
        <w:t>una</w:t>
      </w:r>
      <w:r>
        <w:rPr>
          <w:spacing w:val="-11"/>
        </w:rPr>
        <w:t xml:space="preserve"> </w:t>
      </w:r>
      <w:r>
        <w:t>forma</w:t>
      </w:r>
      <w:r>
        <w:rPr>
          <w:spacing w:val="-11"/>
        </w:rPr>
        <w:t xml:space="preserve"> </w:t>
      </w:r>
      <w:r>
        <w:t>de</w:t>
      </w:r>
      <w:r>
        <w:rPr>
          <w:spacing w:val="-12"/>
        </w:rPr>
        <w:t xml:space="preserve"> </w:t>
      </w:r>
      <w:r>
        <w:t>obtener</w:t>
      </w:r>
      <w:r>
        <w:rPr>
          <w:spacing w:val="-12"/>
        </w:rPr>
        <w:t xml:space="preserve"> </w:t>
      </w:r>
      <w:r>
        <w:t>información</w:t>
      </w:r>
      <w:r>
        <w:rPr>
          <w:spacing w:val="-11"/>
        </w:rPr>
        <w:t xml:space="preserve"> </w:t>
      </w:r>
      <w:r>
        <w:t>como</w:t>
      </w:r>
      <w:r>
        <w:rPr>
          <w:spacing w:val="-11"/>
        </w:rPr>
        <w:t xml:space="preserve"> </w:t>
      </w:r>
      <w:r>
        <w:t>factor</w:t>
      </w:r>
      <w:r>
        <w:rPr>
          <w:spacing w:val="-10"/>
        </w:rPr>
        <w:t xml:space="preserve"> </w:t>
      </w:r>
      <w:r>
        <w:t>clave</w:t>
      </w:r>
      <w:r>
        <w:rPr>
          <w:spacing w:val="-11"/>
        </w:rPr>
        <w:t xml:space="preserve"> </w:t>
      </w:r>
      <w:r>
        <w:t>para ejecutar</w:t>
      </w:r>
      <w:r>
        <w:rPr>
          <w:spacing w:val="-15"/>
        </w:rPr>
        <w:t xml:space="preserve"> </w:t>
      </w:r>
      <w:r>
        <w:t>las</w:t>
      </w:r>
      <w:r>
        <w:rPr>
          <w:spacing w:val="-15"/>
        </w:rPr>
        <w:t xml:space="preserve"> </w:t>
      </w:r>
      <w:r>
        <w:t>operaciones</w:t>
      </w:r>
      <w:r>
        <w:rPr>
          <w:spacing w:val="-15"/>
        </w:rPr>
        <w:t xml:space="preserve"> </w:t>
      </w:r>
      <w:r>
        <w:t>militares.</w:t>
      </w:r>
      <w:r>
        <w:rPr>
          <w:spacing w:val="-15"/>
        </w:rPr>
        <w:t xml:space="preserve"> </w:t>
      </w:r>
      <w:r>
        <w:t>En</w:t>
      </w:r>
      <w:r>
        <w:rPr>
          <w:spacing w:val="-15"/>
        </w:rPr>
        <w:t xml:space="preserve"> </w:t>
      </w:r>
      <w:r>
        <w:t>la</w:t>
      </w:r>
      <w:r>
        <w:rPr>
          <w:spacing w:val="-15"/>
        </w:rPr>
        <w:t xml:space="preserve"> </w:t>
      </w:r>
      <w:r>
        <w:t>medida</w:t>
      </w:r>
      <w:r>
        <w:rPr>
          <w:spacing w:val="-15"/>
        </w:rPr>
        <w:t xml:space="preserve"> </w:t>
      </w:r>
      <w:r>
        <w:t>en</w:t>
      </w:r>
      <w:r>
        <w:rPr>
          <w:spacing w:val="-15"/>
        </w:rPr>
        <w:t xml:space="preserve"> </w:t>
      </w:r>
      <w:r>
        <w:t>que</w:t>
      </w:r>
      <w:r>
        <w:rPr>
          <w:spacing w:val="-15"/>
        </w:rPr>
        <w:t xml:space="preserve"> </w:t>
      </w:r>
      <w:r>
        <w:t>los</w:t>
      </w:r>
      <w:r>
        <w:rPr>
          <w:spacing w:val="-15"/>
        </w:rPr>
        <w:t xml:space="preserve"> </w:t>
      </w:r>
      <w:r>
        <w:t>grupos</w:t>
      </w:r>
      <w:r>
        <w:rPr>
          <w:spacing w:val="-15"/>
        </w:rPr>
        <w:t xml:space="preserve"> </w:t>
      </w:r>
      <w:r>
        <w:t>guerrilleros</w:t>
      </w:r>
      <w:r>
        <w:rPr>
          <w:spacing w:val="-15"/>
        </w:rPr>
        <w:t xml:space="preserve"> </w:t>
      </w:r>
      <w:r>
        <w:t>se</w:t>
      </w:r>
      <w:r>
        <w:rPr>
          <w:spacing w:val="-15"/>
        </w:rPr>
        <w:t xml:space="preserve"> </w:t>
      </w:r>
      <w:r>
        <w:t>expandieron y ganaron control territorial, las acciones cívico-militares pusieron en riesgo a la población civil</w:t>
      </w:r>
      <w:r>
        <w:rPr>
          <w:spacing w:val="-10"/>
        </w:rPr>
        <w:t xml:space="preserve"> </w:t>
      </w:r>
      <w:r>
        <w:t>también</w:t>
      </w:r>
      <w:r>
        <w:rPr>
          <w:spacing w:val="-11"/>
        </w:rPr>
        <w:t xml:space="preserve"> </w:t>
      </w:r>
      <w:r>
        <w:t>frente</w:t>
      </w:r>
      <w:r>
        <w:rPr>
          <w:spacing w:val="-10"/>
        </w:rPr>
        <w:t xml:space="preserve"> </w:t>
      </w:r>
      <w:r>
        <w:t>a</w:t>
      </w:r>
      <w:r>
        <w:rPr>
          <w:spacing w:val="-10"/>
        </w:rPr>
        <w:t xml:space="preserve"> </w:t>
      </w:r>
      <w:r>
        <w:t>los</w:t>
      </w:r>
      <w:r>
        <w:rPr>
          <w:spacing w:val="-12"/>
        </w:rPr>
        <w:t xml:space="preserve"> </w:t>
      </w:r>
      <w:r>
        <w:t>grupos</w:t>
      </w:r>
      <w:r>
        <w:rPr>
          <w:spacing w:val="-10"/>
        </w:rPr>
        <w:t xml:space="preserve"> </w:t>
      </w:r>
      <w:r>
        <w:t>guerrilleros,</w:t>
      </w:r>
      <w:r>
        <w:rPr>
          <w:spacing w:val="-11"/>
        </w:rPr>
        <w:t xml:space="preserve"> </w:t>
      </w:r>
      <w:r>
        <w:t>que</w:t>
      </w:r>
      <w:r>
        <w:rPr>
          <w:spacing w:val="-12"/>
        </w:rPr>
        <w:t xml:space="preserve"> </w:t>
      </w:r>
      <w:r>
        <w:t>veían</w:t>
      </w:r>
      <w:r>
        <w:rPr>
          <w:spacing w:val="-11"/>
        </w:rPr>
        <w:t xml:space="preserve"> </w:t>
      </w:r>
      <w:r>
        <w:t>a</w:t>
      </w:r>
      <w:r>
        <w:rPr>
          <w:spacing w:val="-10"/>
        </w:rPr>
        <w:t xml:space="preserve"> </w:t>
      </w:r>
      <w:r>
        <w:t>las</w:t>
      </w:r>
      <w:r>
        <w:rPr>
          <w:spacing w:val="-10"/>
        </w:rPr>
        <w:t xml:space="preserve"> </w:t>
      </w:r>
      <w:r>
        <w:t>comunidades</w:t>
      </w:r>
      <w:r>
        <w:rPr>
          <w:spacing w:val="-10"/>
        </w:rPr>
        <w:t xml:space="preserve"> </w:t>
      </w:r>
      <w:r>
        <w:t>como</w:t>
      </w:r>
      <w:r>
        <w:rPr>
          <w:spacing w:val="-11"/>
        </w:rPr>
        <w:t xml:space="preserve"> </w:t>
      </w:r>
      <w:r>
        <w:t>informantes de las Fuerzas Armadas:</w:t>
      </w:r>
    </w:p>
    <w:p w:rsidR="0011361F" w:rsidRDefault="00AF18A5" w:rsidP="00BD61B0">
      <w:r>
        <w:t>«Claro, el tema de</w:t>
      </w:r>
      <w:r>
        <w:rPr>
          <w:spacing w:val="-1"/>
        </w:rPr>
        <w:t xml:space="preserve"> </w:t>
      </w:r>
      <w:r>
        <w:t>las</w:t>
      </w:r>
      <w:r>
        <w:rPr>
          <w:spacing w:val="-1"/>
        </w:rPr>
        <w:t xml:space="preserve"> </w:t>
      </w:r>
      <w:r>
        <w:t>cívico-militares, como</w:t>
      </w:r>
      <w:r>
        <w:rPr>
          <w:spacing w:val="-1"/>
        </w:rPr>
        <w:t xml:space="preserve"> </w:t>
      </w:r>
      <w:r>
        <w:t>les</w:t>
      </w:r>
      <w:r>
        <w:rPr>
          <w:spacing w:val="-1"/>
        </w:rPr>
        <w:t xml:space="preserve"> </w:t>
      </w:r>
      <w:r>
        <w:t>decían</w:t>
      </w:r>
      <w:r>
        <w:rPr>
          <w:spacing w:val="-1"/>
        </w:rPr>
        <w:t xml:space="preserve"> </w:t>
      </w:r>
      <w:r>
        <w:t>antes, o la</w:t>
      </w:r>
      <w:r>
        <w:rPr>
          <w:spacing w:val="-1"/>
        </w:rPr>
        <w:t xml:space="preserve"> </w:t>
      </w:r>
      <w:r>
        <w:t>acción integral,</w:t>
      </w:r>
      <w:r>
        <w:rPr>
          <w:spacing w:val="-1"/>
        </w:rPr>
        <w:t xml:space="preserve"> </w:t>
      </w:r>
      <w:r>
        <w:t xml:space="preserve">que le dicen ahora, tiene de fondo la característica de que es inteligencia y de por sí va gente de inteligencia en las misiones para hacer trabajos de recolección de información. Entonces, el payasito curiosamente terminaba preguntándoles a los niños si habían visto cosas raras, los niños estaban aislados y les podían hacer preguntas en medio del juego a niños que podían contar si habían visto hombres armados, qué habían visto y tal, y así, cada uno de los que estaban ahí finalmente no perdían su esencia o categoría militar y estaban era recogiendo información, y esa información, sin lugar a dudas, puso en riesgo en un momento determinado a la población civil porque vieron cómo los grupos armados los vieron como auxiliadores del Estado o del </w:t>
      </w:r>
      <w:r>
        <w:lastRenderedPageBreak/>
        <w:t>Ejército y los convertían en un objetivo militar»</w:t>
      </w:r>
      <w:r w:rsidR="00BD61B0">
        <w:rPr>
          <w:rStyle w:val="Refdenotaalpie"/>
        </w:rPr>
        <w:footnoteReference w:id="776"/>
      </w:r>
      <w:r>
        <w:t>.</w:t>
      </w:r>
    </w:p>
    <w:p w:rsidR="003804AC" w:rsidRDefault="00AF18A5" w:rsidP="00BD61B0">
      <w:bookmarkStart w:id="968" w:name="_bookmark847"/>
      <w:bookmarkStart w:id="969" w:name="_bookmark848"/>
      <w:bookmarkStart w:id="970" w:name="_bookmark849"/>
      <w:bookmarkEnd w:id="968"/>
      <w:bookmarkEnd w:id="969"/>
      <w:bookmarkEnd w:id="970"/>
      <w:r>
        <w:t>En los años setenta, regiones como Urabá, Magdalena Medio, Caquetá, Meta y Cauca permanecieron en estado de sitio y con medidas de excepción</w:t>
      </w:r>
      <w:r w:rsidR="00BD61B0">
        <w:rPr>
          <w:rStyle w:val="Refdenotaalpie"/>
        </w:rPr>
        <w:footnoteReference w:id="777"/>
      </w:r>
      <w:r>
        <w:t>.</w:t>
      </w:r>
    </w:p>
    <w:p w:rsidR="003804AC" w:rsidRDefault="00AF18A5" w:rsidP="00BD61B0">
      <w:r>
        <w:t>Después de 1982, cuando se posesionó el presidente Betancur, se dio una apertura hacia las</w:t>
      </w:r>
      <w:r>
        <w:rPr>
          <w:spacing w:val="-6"/>
        </w:rPr>
        <w:t xml:space="preserve"> </w:t>
      </w:r>
      <w:r>
        <w:t>políticas</w:t>
      </w:r>
      <w:r>
        <w:rPr>
          <w:spacing w:val="-7"/>
        </w:rPr>
        <w:t xml:space="preserve"> </w:t>
      </w:r>
      <w:r>
        <w:t>de</w:t>
      </w:r>
      <w:r>
        <w:rPr>
          <w:spacing w:val="-6"/>
        </w:rPr>
        <w:t xml:space="preserve"> </w:t>
      </w:r>
      <w:r>
        <w:t>paz</w:t>
      </w:r>
      <w:r>
        <w:rPr>
          <w:spacing w:val="-6"/>
        </w:rPr>
        <w:t xml:space="preserve"> </w:t>
      </w:r>
      <w:r>
        <w:t>y</w:t>
      </w:r>
      <w:r>
        <w:rPr>
          <w:spacing w:val="-6"/>
        </w:rPr>
        <w:t xml:space="preserve"> </w:t>
      </w:r>
      <w:r>
        <w:t>otros</w:t>
      </w:r>
      <w:r>
        <w:rPr>
          <w:spacing w:val="-6"/>
        </w:rPr>
        <w:t xml:space="preserve"> </w:t>
      </w:r>
      <w:r>
        <w:t>avances</w:t>
      </w:r>
      <w:r>
        <w:rPr>
          <w:spacing w:val="-6"/>
        </w:rPr>
        <w:t xml:space="preserve"> </w:t>
      </w:r>
      <w:r>
        <w:t>civilistas</w:t>
      </w:r>
      <w:r>
        <w:rPr>
          <w:spacing w:val="-6"/>
        </w:rPr>
        <w:t xml:space="preserve"> </w:t>
      </w:r>
      <w:r>
        <w:t>en</w:t>
      </w:r>
      <w:r>
        <w:rPr>
          <w:spacing w:val="-7"/>
        </w:rPr>
        <w:t xml:space="preserve"> </w:t>
      </w:r>
      <w:r>
        <w:t>manejo</w:t>
      </w:r>
      <w:r>
        <w:rPr>
          <w:spacing w:val="-6"/>
        </w:rPr>
        <w:t xml:space="preserve"> </w:t>
      </w:r>
      <w:r>
        <w:t>del</w:t>
      </w:r>
      <w:r>
        <w:rPr>
          <w:spacing w:val="-7"/>
        </w:rPr>
        <w:t xml:space="preserve"> </w:t>
      </w:r>
      <w:r>
        <w:t>orden</w:t>
      </w:r>
      <w:r>
        <w:rPr>
          <w:spacing w:val="-6"/>
        </w:rPr>
        <w:t xml:space="preserve"> </w:t>
      </w:r>
      <w:r>
        <w:t>público,</w:t>
      </w:r>
      <w:r>
        <w:rPr>
          <w:spacing w:val="-6"/>
        </w:rPr>
        <w:t xml:space="preserve"> </w:t>
      </w:r>
      <w:r>
        <w:t>que,</w:t>
      </w:r>
      <w:r>
        <w:rPr>
          <w:spacing w:val="-6"/>
        </w:rPr>
        <w:t xml:space="preserve"> </w:t>
      </w:r>
      <w:r>
        <w:t>sin</w:t>
      </w:r>
      <w:r>
        <w:rPr>
          <w:spacing w:val="-6"/>
        </w:rPr>
        <w:t xml:space="preserve"> </w:t>
      </w:r>
      <w:r>
        <w:t>embargo, coincidió</w:t>
      </w:r>
      <w:r>
        <w:rPr>
          <w:spacing w:val="25"/>
        </w:rPr>
        <w:t xml:space="preserve"> </w:t>
      </w:r>
      <w:r>
        <w:t>con</w:t>
      </w:r>
      <w:r>
        <w:rPr>
          <w:spacing w:val="25"/>
        </w:rPr>
        <w:t xml:space="preserve"> </w:t>
      </w:r>
      <w:r>
        <w:t>la</w:t>
      </w:r>
      <w:r>
        <w:rPr>
          <w:spacing w:val="24"/>
        </w:rPr>
        <w:t xml:space="preserve"> </w:t>
      </w:r>
      <w:r>
        <w:t>intensificación</w:t>
      </w:r>
      <w:r>
        <w:rPr>
          <w:spacing w:val="25"/>
        </w:rPr>
        <w:t xml:space="preserve"> </w:t>
      </w:r>
      <w:r>
        <w:t>de</w:t>
      </w:r>
      <w:r>
        <w:rPr>
          <w:spacing w:val="24"/>
        </w:rPr>
        <w:t xml:space="preserve"> </w:t>
      </w:r>
      <w:r>
        <w:t>la</w:t>
      </w:r>
      <w:r>
        <w:rPr>
          <w:spacing w:val="26"/>
        </w:rPr>
        <w:t xml:space="preserve"> </w:t>
      </w:r>
      <w:r>
        <w:t>violencia</w:t>
      </w:r>
      <w:r>
        <w:rPr>
          <w:spacing w:val="24"/>
        </w:rPr>
        <w:t xml:space="preserve"> </w:t>
      </w:r>
      <w:r>
        <w:t>del</w:t>
      </w:r>
      <w:r>
        <w:rPr>
          <w:spacing w:val="26"/>
        </w:rPr>
        <w:t xml:space="preserve"> </w:t>
      </w:r>
      <w:r>
        <w:t>narcotráfico</w:t>
      </w:r>
      <w:r>
        <w:rPr>
          <w:spacing w:val="25"/>
        </w:rPr>
        <w:t xml:space="preserve"> </w:t>
      </w:r>
      <w:r>
        <w:t>que</w:t>
      </w:r>
      <w:r>
        <w:rPr>
          <w:spacing w:val="26"/>
        </w:rPr>
        <w:t xml:space="preserve"> </w:t>
      </w:r>
      <w:r>
        <w:t>dinamizó</w:t>
      </w:r>
      <w:r>
        <w:rPr>
          <w:spacing w:val="24"/>
        </w:rPr>
        <w:t xml:space="preserve"> </w:t>
      </w:r>
      <w:r>
        <w:t>y</w:t>
      </w:r>
      <w:r>
        <w:rPr>
          <w:spacing w:val="25"/>
        </w:rPr>
        <w:t xml:space="preserve"> </w:t>
      </w:r>
      <w:r>
        <w:t>escaló</w:t>
      </w:r>
      <w:r>
        <w:rPr>
          <w:spacing w:val="24"/>
        </w:rPr>
        <w:t xml:space="preserve"> </w:t>
      </w:r>
      <w:r>
        <w:t>la magnitud y violencia del conflicto armado. Entre finales de los ochenta y 1992 se lograron acuerdos</w:t>
      </w:r>
      <w:r>
        <w:rPr>
          <w:spacing w:val="-6"/>
        </w:rPr>
        <w:t xml:space="preserve"> </w:t>
      </w:r>
      <w:r>
        <w:t>de</w:t>
      </w:r>
      <w:r>
        <w:rPr>
          <w:spacing w:val="-7"/>
        </w:rPr>
        <w:t xml:space="preserve"> </w:t>
      </w:r>
      <w:r>
        <w:t>paz</w:t>
      </w:r>
      <w:r>
        <w:rPr>
          <w:spacing w:val="-6"/>
        </w:rPr>
        <w:t xml:space="preserve"> </w:t>
      </w:r>
      <w:r>
        <w:t>con</w:t>
      </w:r>
      <w:r>
        <w:rPr>
          <w:spacing w:val="-6"/>
        </w:rPr>
        <w:t xml:space="preserve"> </w:t>
      </w:r>
      <w:r>
        <w:t>el</w:t>
      </w:r>
      <w:r>
        <w:rPr>
          <w:spacing w:val="-7"/>
        </w:rPr>
        <w:t xml:space="preserve"> </w:t>
      </w:r>
      <w:r>
        <w:t>M-19,</w:t>
      </w:r>
      <w:r>
        <w:rPr>
          <w:spacing w:val="-6"/>
        </w:rPr>
        <w:t xml:space="preserve"> </w:t>
      </w:r>
      <w:r>
        <w:t>el</w:t>
      </w:r>
      <w:r>
        <w:rPr>
          <w:spacing w:val="-6"/>
        </w:rPr>
        <w:t xml:space="preserve"> </w:t>
      </w:r>
      <w:r>
        <w:t>Quintín</w:t>
      </w:r>
      <w:r>
        <w:rPr>
          <w:spacing w:val="-6"/>
        </w:rPr>
        <w:t xml:space="preserve"> </w:t>
      </w:r>
      <w:r>
        <w:t>Lame</w:t>
      </w:r>
      <w:r>
        <w:rPr>
          <w:spacing w:val="-6"/>
        </w:rPr>
        <w:t xml:space="preserve"> </w:t>
      </w:r>
      <w:r>
        <w:t>y</w:t>
      </w:r>
      <w:r>
        <w:rPr>
          <w:spacing w:val="-7"/>
        </w:rPr>
        <w:t xml:space="preserve"> </w:t>
      </w:r>
      <w:r>
        <w:t>el</w:t>
      </w:r>
      <w:r>
        <w:rPr>
          <w:spacing w:val="-6"/>
        </w:rPr>
        <w:t xml:space="preserve"> </w:t>
      </w:r>
      <w:r>
        <w:t>EPL,</w:t>
      </w:r>
      <w:r>
        <w:rPr>
          <w:spacing w:val="-6"/>
        </w:rPr>
        <w:t xml:space="preserve"> </w:t>
      </w:r>
      <w:r>
        <w:t>cuyos</w:t>
      </w:r>
      <w:r>
        <w:rPr>
          <w:spacing w:val="-6"/>
        </w:rPr>
        <w:t xml:space="preserve"> </w:t>
      </w:r>
      <w:r>
        <w:t>integrantes</w:t>
      </w:r>
      <w:r>
        <w:rPr>
          <w:spacing w:val="-6"/>
        </w:rPr>
        <w:t xml:space="preserve"> </w:t>
      </w:r>
      <w:r>
        <w:t>confluyeron</w:t>
      </w:r>
      <w:r>
        <w:rPr>
          <w:spacing w:val="-6"/>
        </w:rPr>
        <w:t xml:space="preserve"> </w:t>
      </w:r>
      <w:r>
        <w:t>en</w:t>
      </w:r>
      <w:r>
        <w:rPr>
          <w:spacing w:val="-6"/>
        </w:rPr>
        <w:t xml:space="preserve"> </w:t>
      </w:r>
      <w:r>
        <w:t>la Asamblea</w:t>
      </w:r>
      <w:r>
        <w:rPr>
          <w:spacing w:val="-9"/>
        </w:rPr>
        <w:t xml:space="preserve"> </w:t>
      </w:r>
      <w:r>
        <w:t>Nacional</w:t>
      </w:r>
      <w:r>
        <w:rPr>
          <w:spacing w:val="-9"/>
        </w:rPr>
        <w:t xml:space="preserve"> </w:t>
      </w:r>
      <w:r>
        <w:t>Constituyente</w:t>
      </w:r>
      <w:r>
        <w:rPr>
          <w:spacing w:val="-9"/>
        </w:rPr>
        <w:t xml:space="preserve"> </w:t>
      </w:r>
      <w:r>
        <w:t>de</w:t>
      </w:r>
      <w:r>
        <w:rPr>
          <w:spacing w:val="-10"/>
        </w:rPr>
        <w:t xml:space="preserve"> </w:t>
      </w:r>
      <w:r>
        <w:t>1991,</w:t>
      </w:r>
      <w:r>
        <w:rPr>
          <w:spacing w:val="-9"/>
        </w:rPr>
        <w:t xml:space="preserve"> </w:t>
      </w:r>
      <w:r>
        <w:t>algunos</w:t>
      </w:r>
      <w:r>
        <w:rPr>
          <w:spacing w:val="-9"/>
        </w:rPr>
        <w:t xml:space="preserve"> </w:t>
      </w:r>
      <w:r>
        <w:t>como</w:t>
      </w:r>
      <w:r>
        <w:rPr>
          <w:spacing w:val="-9"/>
        </w:rPr>
        <w:t xml:space="preserve"> </w:t>
      </w:r>
      <w:r>
        <w:t>delegados</w:t>
      </w:r>
      <w:r>
        <w:rPr>
          <w:spacing w:val="-9"/>
        </w:rPr>
        <w:t xml:space="preserve"> </w:t>
      </w:r>
      <w:r>
        <w:t>y</w:t>
      </w:r>
      <w:r>
        <w:rPr>
          <w:spacing w:val="-9"/>
        </w:rPr>
        <w:t xml:space="preserve"> </w:t>
      </w:r>
      <w:r>
        <w:t>otros</w:t>
      </w:r>
      <w:r>
        <w:rPr>
          <w:spacing w:val="-9"/>
        </w:rPr>
        <w:t xml:space="preserve"> </w:t>
      </w:r>
      <w:r>
        <w:t>como</w:t>
      </w:r>
      <w:r>
        <w:rPr>
          <w:spacing w:val="-9"/>
        </w:rPr>
        <w:t xml:space="preserve"> </w:t>
      </w:r>
      <w:r>
        <w:t>invitados. La</w:t>
      </w:r>
      <w:r>
        <w:rPr>
          <w:spacing w:val="40"/>
        </w:rPr>
        <w:t xml:space="preserve"> </w:t>
      </w:r>
      <w:r>
        <w:t>Constitución</w:t>
      </w:r>
      <w:r>
        <w:rPr>
          <w:spacing w:val="40"/>
        </w:rPr>
        <w:t xml:space="preserve"> </w:t>
      </w:r>
      <w:r>
        <w:t>de</w:t>
      </w:r>
      <w:r>
        <w:rPr>
          <w:spacing w:val="40"/>
        </w:rPr>
        <w:t xml:space="preserve"> </w:t>
      </w:r>
      <w:r>
        <w:t>1991</w:t>
      </w:r>
      <w:r>
        <w:rPr>
          <w:spacing w:val="40"/>
        </w:rPr>
        <w:t xml:space="preserve"> </w:t>
      </w:r>
      <w:r>
        <w:t>hizo</w:t>
      </w:r>
      <w:r>
        <w:rPr>
          <w:spacing w:val="40"/>
        </w:rPr>
        <w:t xml:space="preserve"> </w:t>
      </w:r>
      <w:r>
        <w:t>una</w:t>
      </w:r>
      <w:r>
        <w:rPr>
          <w:spacing w:val="40"/>
        </w:rPr>
        <w:t xml:space="preserve"> </w:t>
      </w:r>
      <w:r>
        <w:t>reforma</w:t>
      </w:r>
      <w:r>
        <w:rPr>
          <w:spacing w:val="40"/>
        </w:rPr>
        <w:t xml:space="preserve"> </w:t>
      </w:r>
      <w:r>
        <w:t>sustantiva</w:t>
      </w:r>
      <w:r>
        <w:rPr>
          <w:spacing w:val="40"/>
        </w:rPr>
        <w:t xml:space="preserve"> </w:t>
      </w:r>
      <w:r>
        <w:t>a</w:t>
      </w:r>
      <w:r>
        <w:rPr>
          <w:spacing w:val="40"/>
        </w:rPr>
        <w:t xml:space="preserve"> </w:t>
      </w:r>
      <w:r>
        <w:t>la</w:t>
      </w:r>
      <w:r>
        <w:rPr>
          <w:spacing w:val="40"/>
        </w:rPr>
        <w:t xml:space="preserve"> </w:t>
      </w:r>
      <w:r>
        <w:t>figura</w:t>
      </w:r>
      <w:r>
        <w:rPr>
          <w:spacing w:val="40"/>
        </w:rPr>
        <w:t xml:space="preserve"> </w:t>
      </w:r>
      <w:r>
        <w:t>de</w:t>
      </w:r>
      <w:r>
        <w:rPr>
          <w:spacing w:val="40"/>
        </w:rPr>
        <w:t xml:space="preserve"> </w:t>
      </w:r>
      <w:r>
        <w:t>los</w:t>
      </w:r>
      <w:r>
        <w:rPr>
          <w:spacing w:val="40"/>
        </w:rPr>
        <w:t xml:space="preserve"> </w:t>
      </w:r>
      <w:r>
        <w:t>estados</w:t>
      </w:r>
      <w:r>
        <w:rPr>
          <w:spacing w:val="40"/>
        </w:rPr>
        <w:t xml:space="preserve"> </w:t>
      </w:r>
      <w:r>
        <w:t>de excepción: limitó su uso y fortaleció sus controles</w:t>
      </w:r>
      <w:r w:rsidR="00BD61B0">
        <w:rPr>
          <w:rStyle w:val="Refdenotaalpie"/>
        </w:rPr>
        <w:footnoteReference w:id="778"/>
      </w:r>
      <w:r>
        <w:t>. El nuevo régimen constitucional se</w:t>
      </w:r>
      <w:r>
        <w:rPr>
          <w:spacing w:val="80"/>
        </w:rPr>
        <w:t xml:space="preserve"> </w:t>
      </w:r>
      <w:r>
        <w:t>limitó al uso de medidas excepcionales, como el «estado de conmoción interior» que, sin</w:t>
      </w:r>
      <w:r>
        <w:rPr>
          <w:spacing w:val="80"/>
        </w:rPr>
        <w:t xml:space="preserve"> </w:t>
      </w:r>
      <w:r>
        <w:t>embargo, se dio en diferentes momentos, y al</w:t>
      </w:r>
      <w:r>
        <w:rPr>
          <w:spacing w:val="21"/>
        </w:rPr>
        <w:t xml:space="preserve"> </w:t>
      </w:r>
      <w:r>
        <w:t>de</w:t>
      </w:r>
      <w:r>
        <w:rPr>
          <w:spacing w:val="21"/>
        </w:rPr>
        <w:t xml:space="preserve"> </w:t>
      </w:r>
      <w:r>
        <w:t>otro tipo de</w:t>
      </w:r>
      <w:r>
        <w:rPr>
          <w:spacing w:val="21"/>
        </w:rPr>
        <w:t xml:space="preserve"> </w:t>
      </w:r>
      <w:r>
        <w:t>facultades de</w:t>
      </w:r>
      <w:r>
        <w:rPr>
          <w:spacing w:val="21"/>
        </w:rPr>
        <w:t xml:space="preserve"> </w:t>
      </w:r>
      <w:r>
        <w:t>excepción sin</w:t>
      </w:r>
      <w:r>
        <w:rPr>
          <w:spacing w:val="40"/>
        </w:rPr>
        <w:t xml:space="preserve"> </w:t>
      </w:r>
      <w:r>
        <w:t>declarar formalmente la conmoción y, por ende, sin pasar por los controles previstos en la Constitución</w:t>
      </w:r>
      <w:r w:rsidR="00BD61B0">
        <w:rPr>
          <w:rStyle w:val="Refdenotaalpie"/>
        </w:rPr>
        <w:footnoteReference w:id="779"/>
      </w:r>
      <w:r>
        <w:t>.</w:t>
      </w:r>
      <w:r>
        <w:rPr>
          <w:spacing w:val="14"/>
        </w:rPr>
        <w:t xml:space="preserve"> </w:t>
      </w:r>
      <w:r>
        <w:t>Desde</w:t>
      </w:r>
      <w:r>
        <w:rPr>
          <w:spacing w:val="15"/>
        </w:rPr>
        <w:t xml:space="preserve"> </w:t>
      </w:r>
      <w:r>
        <w:t>1991</w:t>
      </w:r>
      <w:r>
        <w:rPr>
          <w:spacing w:val="14"/>
        </w:rPr>
        <w:t xml:space="preserve"> </w:t>
      </w:r>
      <w:r>
        <w:t>se</w:t>
      </w:r>
      <w:r>
        <w:rPr>
          <w:spacing w:val="15"/>
        </w:rPr>
        <w:t xml:space="preserve"> </w:t>
      </w:r>
      <w:r>
        <w:t>ha</w:t>
      </w:r>
      <w:r>
        <w:rPr>
          <w:spacing w:val="15"/>
        </w:rPr>
        <w:t xml:space="preserve"> </w:t>
      </w:r>
      <w:r>
        <w:t>declarado</w:t>
      </w:r>
      <w:r>
        <w:rPr>
          <w:spacing w:val="14"/>
        </w:rPr>
        <w:t xml:space="preserve"> </w:t>
      </w:r>
      <w:r>
        <w:t>siete</w:t>
      </w:r>
      <w:r>
        <w:rPr>
          <w:spacing w:val="14"/>
        </w:rPr>
        <w:t xml:space="preserve"> </w:t>
      </w:r>
      <w:r>
        <w:t>veces</w:t>
      </w:r>
      <w:r>
        <w:rPr>
          <w:spacing w:val="15"/>
        </w:rPr>
        <w:t xml:space="preserve"> </w:t>
      </w:r>
      <w:r>
        <w:lastRenderedPageBreak/>
        <w:t>el</w:t>
      </w:r>
      <w:r>
        <w:rPr>
          <w:spacing w:val="13"/>
        </w:rPr>
        <w:t xml:space="preserve"> </w:t>
      </w:r>
      <w:r>
        <w:t>estado</w:t>
      </w:r>
      <w:r>
        <w:rPr>
          <w:spacing w:val="15"/>
        </w:rPr>
        <w:t xml:space="preserve"> </w:t>
      </w:r>
      <w:r>
        <w:t>de</w:t>
      </w:r>
      <w:r>
        <w:rPr>
          <w:spacing w:val="15"/>
        </w:rPr>
        <w:t xml:space="preserve"> </w:t>
      </w:r>
      <w:r>
        <w:t>conmoción</w:t>
      </w:r>
      <w:r>
        <w:rPr>
          <w:spacing w:val="13"/>
        </w:rPr>
        <w:t xml:space="preserve"> </w:t>
      </w:r>
      <w:r>
        <w:t>interior</w:t>
      </w:r>
      <w:r>
        <w:rPr>
          <w:spacing w:val="14"/>
        </w:rPr>
        <w:t xml:space="preserve"> </w:t>
      </w:r>
      <w:r>
        <w:rPr>
          <w:spacing w:val="-10"/>
        </w:rPr>
        <w:t>y</w:t>
      </w:r>
      <w:r w:rsidR="00BD61B0">
        <w:t xml:space="preserve"> </w:t>
      </w:r>
      <w:r>
        <w:t>tres</w:t>
      </w:r>
      <w:r>
        <w:rPr>
          <w:spacing w:val="-1"/>
        </w:rPr>
        <w:t xml:space="preserve"> </w:t>
      </w:r>
      <w:r>
        <w:t>veces</w:t>
      </w:r>
      <w:r>
        <w:rPr>
          <w:spacing w:val="-1"/>
        </w:rPr>
        <w:t xml:space="preserve"> </w:t>
      </w:r>
      <w:r>
        <w:t>ha</w:t>
      </w:r>
      <w:r>
        <w:rPr>
          <w:spacing w:val="-2"/>
        </w:rPr>
        <w:t xml:space="preserve"> </w:t>
      </w:r>
      <w:r>
        <w:t>sido</w:t>
      </w:r>
      <w:r>
        <w:rPr>
          <w:spacing w:val="-1"/>
        </w:rPr>
        <w:t xml:space="preserve"> </w:t>
      </w:r>
      <w:r>
        <w:t>invalidado</w:t>
      </w:r>
      <w:r>
        <w:rPr>
          <w:spacing w:val="-1"/>
        </w:rPr>
        <w:t xml:space="preserve"> </w:t>
      </w:r>
      <w:r>
        <w:t>por</w:t>
      </w:r>
      <w:r>
        <w:rPr>
          <w:spacing w:val="-1"/>
        </w:rPr>
        <w:t xml:space="preserve"> </w:t>
      </w:r>
      <w:r>
        <w:t>la</w:t>
      </w:r>
      <w:r>
        <w:rPr>
          <w:spacing w:val="-2"/>
        </w:rPr>
        <w:t xml:space="preserve"> </w:t>
      </w:r>
      <w:r>
        <w:t>Corte</w:t>
      </w:r>
      <w:r>
        <w:rPr>
          <w:spacing w:val="-1"/>
        </w:rPr>
        <w:t xml:space="preserve"> </w:t>
      </w:r>
      <w:r>
        <w:t>Constitucional,</w:t>
      </w:r>
      <w:r>
        <w:rPr>
          <w:spacing w:val="-1"/>
        </w:rPr>
        <w:t xml:space="preserve"> </w:t>
      </w:r>
      <w:r>
        <w:t>debido</w:t>
      </w:r>
      <w:r>
        <w:rPr>
          <w:spacing w:val="-1"/>
        </w:rPr>
        <w:t xml:space="preserve"> </w:t>
      </w:r>
      <w:r>
        <w:t>a</w:t>
      </w:r>
      <w:r>
        <w:rPr>
          <w:spacing w:val="-1"/>
        </w:rPr>
        <w:t xml:space="preserve"> </w:t>
      </w:r>
      <w:r>
        <w:t>su</w:t>
      </w:r>
      <w:r>
        <w:rPr>
          <w:spacing w:val="-1"/>
        </w:rPr>
        <w:t xml:space="preserve"> </w:t>
      </w:r>
      <w:r>
        <w:t>uso</w:t>
      </w:r>
      <w:r>
        <w:rPr>
          <w:spacing w:val="-2"/>
        </w:rPr>
        <w:t xml:space="preserve"> abusivo.</w:t>
      </w:r>
    </w:p>
    <w:p w:rsidR="00BD61B0" w:rsidRDefault="00AF18A5" w:rsidP="00BD61B0">
      <w:pPr>
        <w:rPr>
          <w:spacing w:val="-2"/>
        </w:rPr>
      </w:pPr>
      <w:r>
        <w:t xml:space="preserve">El gobierno de Gaviria (1990-1994) decretó tres veces el estado de conmoción interior, uno de los cuales fue declarado inconstitucional. Así mismo, emprendió la Estrategia Nacional contra la Violencia, que tuvo un enfoque integral, pues abarcaba componentes de reducción de la violencia y rehabilitación social; política de paz; fortalecimiento de la justicia, de las Fuerzas Armadas y de la defensa, y protección de los derechos humanos a través del fortalecimiento del control interno y de educación en derechos humanos para los </w:t>
      </w:r>
      <w:r>
        <w:rPr>
          <w:spacing w:val="-2"/>
        </w:rPr>
        <w:t>funcionarios.</w:t>
      </w:r>
    </w:p>
    <w:p w:rsidR="003804AC" w:rsidRPr="00BD61B0" w:rsidRDefault="00AF18A5" w:rsidP="00BD61B0">
      <w:bookmarkStart w:id="971" w:name="_bookmark850"/>
      <w:bookmarkStart w:id="972" w:name="_bookmark851"/>
      <w:bookmarkStart w:id="973" w:name="_bookmark852"/>
      <w:bookmarkEnd w:id="971"/>
      <w:bookmarkEnd w:id="972"/>
      <w:bookmarkEnd w:id="973"/>
      <w:r>
        <w:t>La rehabilitación social regional consistía en la intervención en los territorios más violentos, con base en planes de seguridad construidos entre los alcaldes y la Policía, con medidas para fortalecer la justicia local. El fortalecimiento a la justicia se formalizó con el Estatuto para la Defensa de la Justicia y con decretos de sometimiento de actores ilegales; sin embargo, se basó en el enfoque de justicia de excepción al crear la justicia de orden público. Combinó el diálogo y las negociaciones de paz con el fortalecimiento de la fuerza pública en dirección a una victoria militar, para lo cual se garantizó la intervención en los territorios y el accionar militar</w:t>
      </w:r>
      <w:r w:rsidR="00A71FBC">
        <w:rPr>
          <w:rStyle w:val="Refdenotaalpie"/>
        </w:rPr>
        <w:footnoteReference w:id="780"/>
      </w:r>
      <w:r>
        <w:t>, usando como marco los decretos aún vigentes del estado de sitio de 1984 y expidiendo otros bajo el estado de conmoción interior</w:t>
      </w:r>
      <w:r w:rsidR="00A71FBC">
        <w:rPr>
          <w:rStyle w:val="Refdenotaalpie"/>
        </w:rPr>
        <w:footnoteReference w:id="781"/>
      </w:r>
      <w:r>
        <w:t xml:space="preserve">. Durante el gobierno de Gaviria se inició también </w:t>
      </w:r>
      <w:r>
        <w:lastRenderedPageBreak/>
        <w:t>la fumigación de cultivos de uso ilícito, ligada a una respuesta militar y de control del eslabón más débil del narcotráfico.</w:t>
      </w:r>
    </w:p>
    <w:p w:rsidR="003804AC" w:rsidRDefault="00AF18A5" w:rsidP="00A71FBC">
      <w:r>
        <w:t>El gobierno de Ernesto Samper Pizano (1994-1998) declaró dos veces la conmoción interior, una de las cuales resultó inexequible. La conmoción declarada exequible se fundamentó, entre otros hechos, en el asesinato de Álvaro Gómez Hurtado y en el atentado contra</w:t>
      </w:r>
      <w:r>
        <w:rPr>
          <w:spacing w:val="-10"/>
        </w:rPr>
        <w:t xml:space="preserve"> </w:t>
      </w:r>
      <w:r>
        <w:t>el</w:t>
      </w:r>
      <w:r>
        <w:rPr>
          <w:spacing w:val="-9"/>
        </w:rPr>
        <w:t xml:space="preserve"> </w:t>
      </w:r>
      <w:r>
        <w:t>abogado</w:t>
      </w:r>
      <w:r>
        <w:rPr>
          <w:spacing w:val="-9"/>
        </w:rPr>
        <w:t xml:space="preserve"> </w:t>
      </w:r>
      <w:r>
        <w:t>Antonio</w:t>
      </w:r>
      <w:r>
        <w:rPr>
          <w:spacing w:val="-9"/>
        </w:rPr>
        <w:t xml:space="preserve"> </w:t>
      </w:r>
      <w:r>
        <w:t>José</w:t>
      </w:r>
      <w:r>
        <w:rPr>
          <w:spacing w:val="-9"/>
        </w:rPr>
        <w:t xml:space="preserve"> </w:t>
      </w:r>
      <w:proofErr w:type="spellStart"/>
      <w:r>
        <w:t>Cancino</w:t>
      </w:r>
      <w:proofErr w:type="spellEnd"/>
      <w:r>
        <w:t>,</w:t>
      </w:r>
      <w:r>
        <w:rPr>
          <w:spacing w:val="-9"/>
        </w:rPr>
        <w:t xml:space="preserve"> </w:t>
      </w:r>
      <w:r>
        <w:t>quien</w:t>
      </w:r>
      <w:r>
        <w:rPr>
          <w:spacing w:val="-9"/>
        </w:rPr>
        <w:t xml:space="preserve"> </w:t>
      </w:r>
      <w:r>
        <w:t>defendía</w:t>
      </w:r>
      <w:r>
        <w:rPr>
          <w:spacing w:val="-10"/>
        </w:rPr>
        <w:t xml:space="preserve"> </w:t>
      </w:r>
      <w:r>
        <w:t>a</w:t>
      </w:r>
      <w:r>
        <w:rPr>
          <w:spacing w:val="-9"/>
        </w:rPr>
        <w:t xml:space="preserve"> </w:t>
      </w:r>
      <w:r>
        <w:t>Samper</w:t>
      </w:r>
      <w:r>
        <w:rPr>
          <w:spacing w:val="-9"/>
        </w:rPr>
        <w:t xml:space="preserve"> </w:t>
      </w:r>
      <w:r>
        <w:t>por</w:t>
      </w:r>
      <w:r>
        <w:rPr>
          <w:spacing w:val="-9"/>
        </w:rPr>
        <w:t xml:space="preserve"> </w:t>
      </w:r>
      <w:r>
        <w:t>las</w:t>
      </w:r>
      <w:r>
        <w:rPr>
          <w:spacing w:val="-11"/>
        </w:rPr>
        <w:t xml:space="preserve"> </w:t>
      </w:r>
      <w:r>
        <w:t>investigaciones</w:t>
      </w:r>
      <w:r>
        <w:rPr>
          <w:spacing w:val="-9"/>
        </w:rPr>
        <w:t xml:space="preserve"> </w:t>
      </w:r>
      <w:r>
        <w:t>en su contra en el proceso 8000. Con base en estos hechos, ocurridos en Bogotá, se tomaron medidas</w:t>
      </w:r>
      <w:r>
        <w:rPr>
          <w:spacing w:val="-2"/>
        </w:rPr>
        <w:t xml:space="preserve"> </w:t>
      </w:r>
      <w:r>
        <w:t>de</w:t>
      </w:r>
      <w:r>
        <w:rPr>
          <w:spacing w:val="-3"/>
        </w:rPr>
        <w:t xml:space="preserve"> </w:t>
      </w:r>
      <w:r>
        <w:t>restricción</w:t>
      </w:r>
      <w:r>
        <w:rPr>
          <w:spacing w:val="-2"/>
        </w:rPr>
        <w:t xml:space="preserve"> </w:t>
      </w:r>
      <w:r>
        <w:t>de</w:t>
      </w:r>
      <w:r>
        <w:rPr>
          <w:spacing w:val="-3"/>
        </w:rPr>
        <w:t xml:space="preserve"> </w:t>
      </w:r>
      <w:r>
        <w:t>derechos</w:t>
      </w:r>
      <w:r>
        <w:rPr>
          <w:spacing w:val="-3"/>
        </w:rPr>
        <w:t xml:space="preserve"> </w:t>
      </w:r>
      <w:r>
        <w:t>en</w:t>
      </w:r>
      <w:r>
        <w:rPr>
          <w:spacing w:val="-3"/>
        </w:rPr>
        <w:t xml:space="preserve"> </w:t>
      </w:r>
      <w:r>
        <w:t>todo</w:t>
      </w:r>
      <w:r>
        <w:rPr>
          <w:spacing w:val="-2"/>
        </w:rPr>
        <w:t xml:space="preserve"> </w:t>
      </w:r>
      <w:r>
        <w:t>el</w:t>
      </w:r>
      <w:r>
        <w:rPr>
          <w:spacing w:val="-2"/>
        </w:rPr>
        <w:t xml:space="preserve"> </w:t>
      </w:r>
      <w:r>
        <w:t>territorio</w:t>
      </w:r>
      <w:r>
        <w:rPr>
          <w:spacing w:val="-2"/>
        </w:rPr>
        <w:t xml:space="preserve"> </w:t>
      </w:r>
      <w:r>
        <w:t>nacional,</w:t>
      </w:r>
      <w:r>
        <w:rPr>
          <w:spacing w:val="-2"/>
        </w:rPr>
        <w:t xml:space="preserve"> </w:t>
      </w:r>
      <w:r>
        <w:t>se</w:t>
      </w:r>
      <w:r>
        <w:rPr>
          <w:spacing w:val="-3"/>
        </w:rPr>
        <w:t xml:space="preserve"> </w:t>
      </w:r>
      <w:r>
        <w:t>censuró</w:t>
      </w:r>
      <w:r>
        <w:rPr>
          <w:spacing w:val="-2"/>
        </w:rPr>
        <w:t xml:space="preserve"> </w:t>
      </w:r>
      <w:r>
        <w:t>a</w:t>
      </w:r>
      <w:r>
        <w:rPr>
          <w:spacing w:val="-2"/>
        </w:rPr>
        <w:t xml:space="preserve"> </w:t>
      </w:r>
      <w:r>
        <w:t>los</w:t>
      </w:r>
      <w:r>
        <w:rPr>
          <w:spacing w:val="-3"/>
        </w:rPr>
        <w:t xml:space="preserve"> </w:t>
      </w:r>
      <w:r>
        <w:t>medios</w:t>
      </w:r>
      <w:r>
        <w:rPr>
          <w:spacing w:val="-2"/>
        </w:rPr>
        <w:t xml:space="preserve"> </w:t>
      </w:r>
      <w:r>
        <w:t>de comunicación</w:t>
      </w:r>
      <w:r>
        <w:rPr>
          <w:spacing w:val="-13"/>
        </w:rPr>
        <w:t xml:space="preserve"> </w:t>
      </w:r>
      <w:r>
        <w:t>para</w:t>
      </w:r>
      <w:r>
        <w:rPr>
          <w:spacing w:val="-13"/>
        </w:rPr>
        <w:t xml:space="preserve"> </w:t>
      </w:r>
      <w:r>
        <w:t>que</w:t>
      </w:r>
      <w:r>
        <w:rPr>
          <w:spacing w:val="-13"/>
        </w:rPr>
        <w:t xml:space="preserve"> </w:t>
      </w:r>
      <w:r>
        <w:t>no</w:t>
      </w:r>
      <w:r>
        <w:rPr>
          <w:spacing w:val="-13"/>
        </w:rPr>
        <w:t xml:space="preserve"> </w:t>
      </w:r>
      <w:r>
        <w:t>divulgaran</w:t>
      </w:r>
      <w:r>
        <w:rPr>
          <w:spacing w:val="-14"/>
        </w:rPr>
        <w:t xml:space="preserve"> </w:t>
      </w:r>
      <w:r>
        <w:t>comunicados</w:t>
      </w:r>
      <w:r>
        <w:rPr>
          <w:spacing w:val="-13"/>
        </w:rPr>
        <w:t xml:space="preserve"> </w:t>
      </w:r>
      <w:r>
        <w:t>ni</w:t>
      </w:r>
      <w:r>
        <w:rPr>
          <w:spacing w:val="-13"/>
        </w:rPr>
        <w:t xml:space="preserve"> </w:t>
      </w:r>
      <w:r>
        <w:t>entrevistas</w:t>
      </w:r>
      <w:r>
        <w:rPr>
          <w:spacing w:val="-13"/>
        </w:rPr>
        <w:t xml:space="preserve"> </w:t>
      </w:r>
      <w:r>
        <w:t>de</w:t>
      </w:r>
      <w:r>
        <w:rPr>
          <w:spacing w:val="-13"/>
        </w:rPr>
        <w:t xml:space="preserve"> </w:t>
      </w:r>
      <w:r>
        <w:t>organizaciones</w:t>
      </w:r>
      <w:r>
        <w:rPr>
          <w:spacing w:val="-13"/>
        </w:rPr>
        <w:t xml:space="preserve"> </w:t>
      </w:r>
      <w:r>
        <w:t>a</w:t>
      </w:r>
      <w:r>
        <w:rPr>
          <w:spacing w:val="-14"/>
        </w:rPr>
        <w:t xml:space="preserve"> </w:t>
      </w:r>
      <w:r>
        <w:t>las</w:t>
      </w:r>
      <w:r>
        <w:rPr>
          <w:spacing w:val="-13"/>
        </w:rPr>
        <w:t xml:space="preserve"> </w:t>
      </w:r>
      <w:r>
        <w:t>que se les atribuyera la comisión de los delitos perseguidos, se dieron facultades para restringir la circulación de vehículos y de personas en cualquier parte del territorio nacional y se presentaron proyectos de ley para hacer permanente la legislación de excepción.</w:t>
      </w:r>
    </w:p>
    <w:p w:rsidR="003804AC" w:rsidRDefault="00AF18A5" w:rsidP="00A71FBC">
      <w:r>
        <w:t>Durante</w:t>
      </w:r>
      <w:r>
        <w:rPr>
          <w:spacing w:val="-9"/>
        </w:rPr>
        <w:t xml:space="preserve"> </w:t>
      </w:r>
      <w:r>
        <w:t>el</w:t>
      </w:r>
      <w:r>
        <w:rPr>
          <w:spacing w:val="-9"/>
        </w:rPr>
        <w:t xml:space="preserve"> </w:t>
      </w:r>
      <w:r>
        <w:t>gobierno</w:t>
      </w:r>
      <w:r>
        <w:rPr>
          <w:spacing w:val="-9"/>
        </w:rPr>
        <w:t xml:space="preserve"> </w:t>
      </w:r>
      <w:r>
        <w:t>de</w:t>
      </w:r>
      <w:r>
        <w:rPr>
          <w:spacing w:val="-10"/>
        </w:rPr>
        <w:t xml:space="preserve"> </w:t>
      </w:r>
      <w:r>
        <w:t>Andrés</w:t>
      </w:r>
      <w:r>
        <w:rPr>
          <w:spacing w:val="-9"/>
        </w:rPr>
        <w:t xml:space="preserve"> </w:t>
      </w:r>
      <w:r>
        <w:t>Pastrana</w:t>
      </w:r>
      <w:r>
        <w:rPr>
          <w:spacing w:val="-9"/>
        </w:rPr>
        <w:t xml:space="preserve"> </w:t>
      </w:r>
      <w:r>
        <w:t>(1998-2002)</w:t>
      </w:r>
      <w:r>
        <w:rPr>
          <w:spacing w:val="-9"/>
        </w:rPr>
        <w:t xml:space="preserve"> </w:t>
      </w:r>
      <w:r>
        <w:t>se</w:t>
      </w:r>
      <w:r>
        <w:rPr>
          <w:spacing w:val="-9"/>
        </w:rPr>
        <w:t xml:space="preserve"> </w:t>
      </w:r>
      <w:r>
        <w:t>adelantó</w:t>
      </w:r>
      <w:r>
        <w:rPr>
          <w:spacing w:val="-9"/>
        </w:rPr>
        <w:t xml:space="preserve"> </w:t>
      </w:r>
      <w:r>
        <w:t>el</w:t>
      </w:r>
      <w:r>
        <w:rPr>
          <w:spacing w:val="-9"/>
        </w:rPr>
        <w:t xml:space="preserve"> </w:t>
      </w:r>
      <w:r>
        <w:t>fallido</w:t>
      </w:r>
      <w:r>
        <w:rPr>
          <w:spacing w:val="-9"/>
        </w:rPr>
        <w:t xml:space="preserve"> </w:t>
      </w:r>
      <w:r>
        <w:t>proceso</w:t>
      </w:r>
      <w:r>
        <w:rPr>
          <w:spacing w:val="-9"/>
        </w:rPr>
        <w:t xml:space="preserve"> </w:t>
      </w:r>
      <w:r>
        <w:t>de</w:t>
      </w:r>
      <w:r>
        <w:rPr>
          <w:spacing w:val="-10"/>
        </w:rPr>
        <w:t xml:space="preserve"> </w:t>
      </w:r>
      <w:r>
        <w:t>paz con</w:t>
      </w:r>
      <w:r>
        <w:rPr>
          <w:spacing w:val="-8"/>
        </w:rPr>
        <w:t xml:space="preserve"> </w:t>
      </w:r>
      <w:r>
        <w:t>las</w:t>
      </w:r>
      <w:r>
        <w:rPr>
          <w:spacing w:val="-8"/>
        </w:rPr>
        <w:t xml:space="preserve"> </w:t>
      </w:r>
      <w:r>
        <w:t>FARC-EP</w:t>
      </w:r>
      <w:r>
        <w:rPr>
          <w:spacing w:val="-9"/>
        </w:rPr>
        <w:t xml:space="preserve"> </w:t>
      </w:r>
      <w:r>
        <w:t>del</w:t>
      </w:r>
      <w:r>
        <w:rPr>
          <w:spacing w:val="-8"/>
        </w:rPr>
        <w:t xml:space="preserve"> </w:t>
      </w:r>
      <w:r>
        <w:t>Caguán</w:t>
      </w:r>
      <w:r>
        <w:rPr>
          <w:spacing w:val="-8"/>
        </w:rPr>
        <w:t xml:space="preserve"> </w:t>
      </w:r>
      <w:r>
        <w:t>y</w:t>
      </w:r>
      <w:r>
        <w:rPr>
          <w:spacing w:val="-8"/>
        </w:rPr>
        <w:t xml:space="preserve"> </w:t>
      </w:r>
      <w:r>
        <w:t>no</w:t>
      </w:r>
      <w:r>
        <w:rPr>
          <w:spacing w:val="-9"/>
        </w:rPr>
        <w:t xml:space="preserve"> </w:t>
      </w:r>
      <w:r>
        <w:t>se</w:t>
      </w:r>
      <w:r>
        <w:rPr>
          <w:spacing w:val="-9"/>
        </w:rPr>
        <w:t xml:space="preserve"> </w:t>
      </w:r>
      <w:r>
        <w:t>acudió</w:t>
      </w:r>
      <w:r>
        <w:rPr>
          <w:spacing w:val="-9"/>
        </w:rPr>
        <w:t xml:space="preserve"> </w:t>
      </w:r>
      <w:r>
        <w:t>a</w:t>
      </w:r>
      <w:r>
        <w:rPr>
          <w:spacing w:val="-9"/>
        </w:rPr>
        <w:t xml:space="preserve"> </w:t>
      </w:r>
      <w:r>
        <w:t>la</w:t>
      </w:r>
      <w:r>
        <w:rPr>
          <w:spacing w:val="-10"/>
        </w:rPr>
        <w:t xml:space="preserve"> </w:t>
      </w:r>
      <w:r>
        <w:t>conmoción</w:t>
      </w:r>
      <w:r>
        <w:rPr>
          <w:spacing w:val="-9"/>
        </w:rPr>
        <w:t xml:space="preserve"> </w:t>
      </w:r>
      <w:r>
        <w:t>interior.</w:t>
      </w:r>
      <w:r>
        <w:rPr>
          <w:spacing w:val="-8"/>
        </w:rPr>
        <w:t xml:space="preserve"> </w:t>
      </w:r>
      <w:r>
        <w:t>Esta</w:t>
      </w:r>
      <w:r>
        <w:rPr>
          <w:spacing w:val="-9"/>
        </w:rPr>
        <w:t xml:space="preserve"> </w:t>
      </w:r>
      <w:r>
        <w:t>decisión</w:t>
      </w:r>
      <w:r>
        <w:rPr>
          <w:spacing w:val="-8"/>
        </w:rPr>
        <w:t xml:space="preserve"> </w:t>
      </w:r>
      <w:r>
        <w:t>resultaba coherente</w:t>
      </w:r>
      <w:r>
        <w:rPr>
          <w:spacing w:val="-1"/>
        </w:rPr>
        <w:t xml:space="preserve"> </w:t>
      </w:r>
      <w:r>
        <w:t>si</w:t>
      </w:r>
      <w:r>
        <w:rPr>
          <w:spacing w:val="1"/>
        </w:rPr>
        <w:t xml:space="preserve"> </w:t>
      </w:r>
      <w:r>
        <w:t>se</w:t>
      </w:r>
      <w:r>
        <w:rPr>
          <w:spacing w:val="2"/>
        </w:rPr>
        <w:t xml:space="preserve"> </w:t>
      </w:r>
      <w:r>
        <w:t>tiene</w:t>
      </w:r>
      <w:r>
        <w:rPr>
          <w:spacing w:val="1"/>
        </w:rPr>
        <w:t xml:space="preserve"> </w:t>
      </w:r>
      <w:r>
        <w:t>en</w:t>
      </w:r>
      <w:r>
        <w:rPr>
          <w:spacing w:val="1"/>
        </w:rPr>
        <w:t xml:space="preserve"> </w:t>
      </w:r>
      <w:r>
        <w:t>cuenta</w:t>
      </w:r>
      <w:r>
        <w:rPr>
          <w:spacing w:val="2"/>
        </w:rPr>
        <w:t xml:space="preserve"> </w:t>
      </w:r>
      <w:r>
        <w:t>que</w:t>
      </w:r>
      <w:r>
        <w:rPr>
          <w:spacing w:val="1"/>
        </w:rPr>
        <w:t xml:space="preserve"> </w:t>
      </w:r>
      <w:r>
        <w:t>los</w:t>
      </w:r>
      <w:r>
        <w:rPr>
          <w:spacing w:val="1"/>
        </w:rPr>
        <w:t xml:space="preserve"> </w:t>
      </w:r>
      <w:r>
        <w:t>estados</w:t>
      </w:r>
      <w:r>
        <w:rPr>
          <w:spacing w:val="2"/>
        </w:rPr>
        <w:t xml:space="preserve"> </w:t>
      </w:r>
      <w:r>
        <w:t>de</w:t>
      </w:r>
      <w:r>
        <w:rPr>
          <w:spacing w:val="1"/>
        </w:rPr>
        <w:t xml:space="preserve"> </w:t>
      </w:r>
      <w:r>
        <w:t>excepción</w:t>
      </w:r>
      <w:r>
        <w:rPr>
          <w:spacing w:val="1"/>
        </w:rPr>
        <w:t xml:space="preserve"> </w:t>
      </w:r>
      <w:r>
        <w:t>se</w:t>
      </w:r>
      <w:r>
        <w:rPr>
          <w:spacing w:val="2"/>
        </w:rPr>
        <w:t xml:space="preserve"> </w:t>
      </w:r>
      <w:r>
        <w:t>habían</w:t>
      </w:r>
      <w:r>
        <w:rPr>
          <w:spacing w:val="1"/>
        </w:rPr>
        <w:t xml:space="preserve"> </w:t>
      </w:r>
      <w:r>
        <w:t>usado</w:t>
      </w:r>
      <w:r>
        <w:rPr>
          <w:spacing w:val="2"/>
        </w:rPr>
        <w:t xml:space="preserve"> </w:t>
      </w:r>
      <w:r>
        <w:rPr>
          <w:spacing w:val="-2"/>
        </w:rPr>
        <w:t>históricamente</w:t>
      </w:r>
      <w:bookmarkStart w:id="974" w:name="_bookmark853"/>
      <w:bookmarkStart w:id="975" w:name="_bookmark854"/>
      <w:bookmarkEnd w:id="974"/>
      <w:bookmarkEnd w:id="975"/>
      <w:r w:rsidR="00A71FBC">
        <w:t xml:space="preserve"> </w:t>
      </w:r>
      <w:r>
        <w:t>como</w:t>
      </w:r>
      <w:r>
        <w:rPr>
          <w:spacing w:val="-10"/>
        </w:rPr>
        <w:t xml:space="preserve"> </w:t>
      </w:r>
      <w:r>
        <w:t>medio</w:t>
      </w:r>
      <w:r>
        <w:rPr>
          <w:spacing w:val="-11"/>
        </w:rPr>
        <w:t xml:space="preserve"> </w:t>
      </w:r>
      <w:r>
        <w:t>de</w:t>
      </w:r>
      <w:r>
        <w:rPr>
          <w:spacing w:val="-9"/>
        </w:rPr>
        <w:t xml:space="preserve"> </w:t>
      </w:r>
      <w:r>
        <w:t>guerra.</w:t>
      </w:r>
      <w:r>
        <w:rPr>
          <w:spacing w:val="-10"/>
        </w:rPr>
        <w:t xml:space="preserve"> </w:t>
      </w:r>
      <w:r>
        <w:t>Sin</w:t>
      </w:r>
      <w:r>
        <w:rPr>
          <w:spacing w:val="-10"/>
        </w:rPr>
        <w:t xml:space="preserve"> </w:t>
      </w:r>
      <w:r>
        <w:t>embargo,</w:t>
      </w:r>
      <w:r>
        <w:rPr>
          <w:spacing w:val="-11"/>
        </w:rPr>
        <w:t xml:space="preserve"> </w:t>
      </w:r>
      <w:r>
        <w:t>el</w:t>
      </w:r>
      <w:r>
        <w:rPr>
          <w:spacing w:val="-9"/>
        </w:rPr>
        <w:t xml:space="preserve"> </w:t>
      </w:r>
      <w:r>
        <w:t>Gobierno,</w:t>
      </w:r>
      <w:r>
        <w:rPr>
          <w:spacing w:val="-11"/>
        </w:rPr>
        <w:t xml:space="preserve"> </w:t>
      </w:r>
      <w:r>
        <w:t>igual</w:t>
      </w:r>
      <w:r>
        <w:rPr>
          <w:spacing w:val="-9"/>
        </w:rPr>
        <w:t xml:space="preserve"> </w:t>
      </w:r>
      <w:r>
        <w:t>que</w:t>
      </w:r>
      <w:r>
        <w:rPr>
          <w:spacing w:val="-9"/>
        </w:rPr>
        <w:t xml:space="preserve"> </w:t>
      </w:r>
      <w:r>
        <w:t>las</w:t>
      </w:r>
      <w:r>
        <w:rPr>
          <w:spacing w:val="-9"/>
        </w:rPr>
        <w:t xml:space="preserve"> </w:t>
      </w:r>
      <w:r>
        <w:t>FARC-EP,</w:t>
      </w:r>
      <w:r>
        <w:rPr>
          <w:spacing w:val="-8"/>
        </w:rPr>
        <w:t xml:space="preserve"> </w:t>
      </w:r>
      <w:r>
        <w:t>desarrollaron</w:t>
      </w:r>
      <w:r>
        <w:rPr>
          <w:spacing w:val="-10"/>
        </w:rPr>
        <w:t xml:space="preserve"> </w:t>
      </w:r>
      <w:r>
        <w:t>una doble estrategia de negociación y fortalecimiento militar. Mientras que el Gobierno negociaba</w:t>
      </w:r>
      <w:r>
        <w:rPr>
          <w:spacing w:val="-8"/>
        </w:rPr>
        <w:t xml:space="preserve"> </w:t>
      </w:r>
      <w:r>
        <w:t>con</w:t>
      </w:r>
      <w:r>
        <w:rPr>
          <w:spacing w:val="-7"/>
        </w:rPr>
        <w:t xml:space="preserve"> </w:t>
      </w:r>
      <w:r>
        <w:t>las</w:t>
      </w:r>
      <w:r>
        <w:rPr>
          <w:spacing w:val="-8"/>
        </w:rPr>
        <w:t xml:space="preserve"> </w:t>
      </w:r>
      <w:r>
        <w:t>FARC-EP,</w:t>
      </w:r>
      <w:r>
        <w:rPr>
          <w:spacing w:val="-7"/>
        </w:rPr>
        <w:t xml:space="preserve"> </w:t>
      </w:r>
      <w:r>
        <w:t>los</w:t>
      </w:r>
      <w:r>
        <w:rPr>
          <w:spacing w:val="-7"/>
        </w:rPr>
        <w:t xml:space="preserve"> </w:t>
      </w:r>
      <w:r>
        <w:t>paramilitares</w:t>
      </w:r>
      <w:r>
        <w:rPr>
          <w:spacing w:val="-7"/>
        </w:rPr>
        <w:t xml:space="preserve"> </w:t>
      </w:r>
      <w:r>
        <w:t>adelantaban</w:t>
      </w:r>
      <w:r>
        <w:rPr>
          <w:spacing w:val="-7"/>
        </w:rPr>
        <w:t xml:space="preserve"> </w:t>
      </w:r>
      <w:r>
        <w:t>su</w:t>
      </w:r>
      <w:r>
        <w:rPr>
          <w:spacing w:val="-7"/>
        </w:rPr>
        <w:t xml:space="preserve"> </w:t>
      </w:r>
      <w:r>
        <w:t>mayor</w:t>
      </w:r>
      <w:r>
        <w:rPr>
          <w:spacing w:val="-8"/>
        </w:rPr>
        <w:t xml:space="preserve"> </w:t>
      </w:r>
      <w:r>
        <w:t>escalada</w:t>
      </w:r>
      <w:r>
        <w:rPr>
          <w:spacing w:val="-7"/>
        </w:rPr>
        <w:t xml:space="preserve"> </w:t>
      </w:r>
      <w:r>
        <w:t>de</w:t>
      </w:r>
      <w:r>
        <w:rPr>
          <w:spacing w:val="-7"/>
        </w:rPr>
        <w:t xml:space="preserve"> </w:t>
      </w:r>
      <w:r>
        <w:t>terror</w:t>
      </w:r>
      <w:r>
        <w:rPr>
          <w:spacing w:val="-7"/>
        </w:rPr>
        <w:t xml:space="preserve"> </w:t>
      </w:r>
      <w:r>
        <w:t>en</w:t>
      </w:r>
      <w:r>
        <w:rPr>
          <w:spacing w:val="-8"/>
        </w:rPr>
        <w:t xml:space="preserve"> </w:t>
      </w:r>
      <w:r>
        <w:t>el país y empezó el proceso de fortalecimiento militar con apoyo de Estados Unidos a través del Plan Colombia. Para el 2002, las Fuerzas Militares habían aumentado en un 61</w:t>
      </w:r>
      <w:r>
        <w:rPr>
          <w:spacing w:val="-2"/>
        </w:rPr>
        <w:t xml:space="preserve"> </w:t>
      </w:r>
      <w:r>
        <w:t>% el número de soldados profesionales, la capacidad aeromóvil de la fuerza pública creció</w:t>
      </w:r>
      <w:r>
        <w:rPr>
          <w:spacing w:val="-1"/>
        </w:rPr>
        <w:t xml:space="preserve"> </w:t>
      </w:r>
      <w:r>
        <w:t xml:space="preserve">en un 77 % en </w:t>
      </w:r>
      <w:r>
        <w:lastRenderedPageBreak/>
        <w:t>helicópteros y en 16 % en número de aviones</w:t>
      </w:r>
      <w:r w:rsidR="000C79EB">
        <w:rPr>
          <w:rStyle w:val="Refdenotaalpie"/>
        </w:rPr>
        <w:footnoteReference w:id="782"/>
      </w:r>
      <w:r>
        <w:t>.</w:t>
      </w:r>
    </w:p>
    <w:p w:rsidR="003804AC" w:rsidRDefault="00AF18A5" w:rsidP="00A71FBC">
      <w:r>
        <w:t>Esta estrategia de fortalecimiento militar para la guerra, inconsistente con el discurso de paz, respondió al hecho de que las FARC-EP habían crecido y se habían involucrado en el narcotráfico, primero a través del cobro de impuestos a las actividades de cultivo, procesamiento</w:t>
      </w:r>
      <w:r>
        <w:rPr>
          <w:spacing w:val="-15"/>
        </w:rPr>
        <w:t xml:space="preserve"> </w:t>
      </w:r>
      <w:r>
        <w:t>y</w:t>
      </w:r>
      <w:r>
        <w:rPr>
          <w:spacing w:val="-15"/>
        </w:rPr>
        <w:t xml:space="preserve"> </w:t>
      </w:r>
      <w:r>
        <w:t>tráfico,</w:t>
      </w:r>
      <w:r>
        <w:rPr>
          <w:spacing w:val="-15"/>
        </w:rPr>
        <w:t xml:space="preserve"> </w:t>
      </w:r>
      <w:r>
        <w:t>y</w:t>
      </w:r>
      <w:r>
        <w:rPr>
          <w:spacing w:val="-15"/>
        </w:rPr>
        <w:t xml:space="preserve"> </w:t>
      </w:r>
      <w:r>
        <w:t>luego</w:t>
      </w:r>
      <w:r>
        <w:rPr>
          <w:spacing w:val="-15"/>
        </w:rPr>
        <w:t xml:space="preserve"> </w:t>
      </w:r>
      <w:r>
        <w:t>por</w:t>
      </w:r>
      <w:r>
        <w:rPr>
          <w:spacing w:val="-15"/>
        </w:rPr>
        <w:t xml:space="preserve"> </w:t>
      </w:r>
      <w:r>
        <w:t>medio</w:t>
      </w:r>
      <w:r>
        <w:rPr>
          <w:spacing w:val="-15"/>
        </w:rPr>
        <w:t xml:space="preserve"> </w:t>
      </w:r>
      <w:r>
        <w:t>del</w:t>
      </w:r>
      <w:r>
        <w:rPr>
          <w:spacing w:val="-15"/>
        </w:rPr>
        <w:t xml:space="preserve"> </w:t>
      </w:r>
      <w:r>
        <w:t>control</w:t>
      </w:r>
      <w:r>
        <w:rPr>
          <w:spacing w:val="-15"/>
        </w:rPr>
        <w:t xml:space="preserve"> </w:t>
      </w:r>
      <w:r>
        <w:t>directo</w:t>
      </w:r>
      <w:r>
        <w:rPr>
          <w:spacing w:val="-15"/>
        </w:rPr>
        <w:t xml:space="preserve"> </w:t>
      </w:r>
      <w:r>
        <w:t>de</w:t>
      </w:r>
      <w:r>
        <w:rPr>
          <w:spacing w:val="-15"/>
        </w:rPr>
        <w:t xml:space="preserve"> </w:t>
      </w:r>
      <w:r>
        <w:t>los</w:t>
      </w:r>
      <w:r>
        <w:rPr>
          <w:spacing w:val="-15"/>
        </w:rPr>
        <w:t xml:space="preserve"> </w:t>
      </w:r>
      <w:r>
        <w:t>cultivos</w:t>
      </w:r>
      <w:r>
        <w:rPr>
          <w:spacing w:val="-14"/>
        </w:rPr>
        <w:t xml:space="preserve"> </w:t>
      </w:r>
      <w:r>
        <w:t>y</w:t>
      </w:r>
      <w:r>
        <w:rPr>
          <w:spacing w:val="-14"/>
        </w:rPr>
        <w:t xml:space="preserve"> </w:t>
      </w:r>
      <w:r>
        <w:t>la</w:t>
      </w:r>
      <w:r>
        <w:rPr>
          <w:spacing w:val="-14"/>
        </w:rPr>
        <w:t xml:space="preserve"> </w:t>
      </w:r>
      <w:r>
        <w:t>distribución de las drogas de varios frentes</w:t>
      </w:r>
      <w:r w:rsidR="000C79EB">
        <w:rPr>
          <w:rStyle w:val="Refdenotaalpie"/>
        </w:rPr>
        <w:footnoteReference w:id="783"/>
      </w:r>
      <w:r>
        <w:t>. El ELN, además, estaba asediando a multinacionales con secuestros, atentados y extorsiones. Las FARC habían generalizado el secuestro y habían iniciado una</w:t>
      </w:r>
      <w:r>
        <w:rPr>
          <w:spacing w:val="-1"/>
        </w:rPr>
        <w:t xml:space="preserve"> </w:t>
      </w:r>
      <w:r>
        <w:t>ofensiva que había dado</w:t>
      </w:r>
      <w:r>
        <w:rPr>
          <w:spacing w:val="-1"/>
        </w:rPr>
        <w:t xml:space="preserve"> </w:t>
      </w:r>
      <w:r>
        <w:t>duros</w:t>
      </w:r>
      <w:r>
        <w:rPr>
          <w:spacing w:val="-1"/>
        </w:rPr>
        <w:t xml:space="preserve"> </w:t>
      </w:r>
      <w:r>
        <w:t>golpes a</w:t>
      </w:r>
      <w:r>
        <w:rPr>
          <w:spacing w:val="-1"/>
        </w:rPr>
        <w:t xml:space="preserve"> </w:t>
      </w:r>
      <w:r>
        <w:t>las</w:t>
      </w:r>
      <w:r>
        <w:rPr>
          <w:spacing w:val="-1"/>
        </w:rPr>
        <w:t xml:space="preserve"> </w:t>
      </w:r>
      <w:r>
        <w:t>Fuerzas Armadas,</w:t>
      </w:r>
      <w:r>
        <w:rPr>
          <w:spacing w:val="-1"/>
        </w:rPr>
        <w:t xml:space="preserve"> </w:t>
      </w:r>
      <w:r>
        <w:t>como</w:t>
      </w:r>
      <w:r>
        <w:rPr>
          <w:spacing w:val="-1"/>
        </w:rPr>
        <w:t xml:space="preserve"> </w:t>
      </w:r>
      <w:r>
        <w:t>el</w:t>
      </w:r>
      <w:r>
        <w:rPr>
          <w:spacing w:val="-1"/>
        </w:rPr>
        <w:t xml:space="preserve"> </w:t>
      </w:r>
      <w:r>
        <w:t xml:space="preserve">ataque a un convoy militar en Puerres, Nariño; la destrucción de la base militar de Las Delicias, en Putumayo; el ataque a la base militar de La Carpa, en San José de Guaviare; el ataque a la base militar de </w:t>
      </w:r>
      <w:proofErr w:type="spellStart"/>
      <w:r>
        <w:t>Patascoy</w:t>
      </w:r>
      <w:proofErr w:type="spellEnd"/>
      <w:r>
        <w:t xml:space="preserve">, en Nariño; la emboscada a la Brigada Móvil </w:t>
      </w:r>
      <w:proofErr w:type="spellStart"/>
      <w:r>
        <w:t>N.°</w:t>
      </w:r>
      <w:proofErr w:type="spellEnd"/>
      <w:r>
        <w:t xml:space="preserve"> 3 en El Billar, Caquetá;</w:t>
      </w:r>
      <w:r>
        <w:rPr>
          <w:spacing w:val="-15"/>
        </w:rPr>
        <w:t xml:space="preserve"> </w:t>
      </w:r>
      <w:r>
        <w:t>el</w:t>
      </w:r>
      <w:r>
        <w:rPr>
          <w:spacing w:val="-15"/>
        </w:rPr>
        <w:t xml:space="preserve"> </w:t>
      </w:r>
      <w:r>
        <w:t>ataque</w:t>
      </w:r>
      <w:r>
        <w:rPr>
          <w:spacing w:val="-15"/>
        </w:rPr>
        <w:t xml:space="preserve"> </w:t>
      </w:r>
      <w:r>
        <w:t>al</w:t>
      </w:r>
      <w:r>
        <w:rPr>
          <w:spacing w:val="-15"/>
        </w:rPr>
        <w:t xml:space="preserve"> </w:t>
      </w:r>
      <w:r>
        <w:t>Batallón</w:t>
      </w:r>
      <w:r>
        <w:rPr>
          <w:spacing w:val="-15"/>
        </w:rPr>
        <w:t xml:space="preserve"> </w:t>
      </w:r>
      <w:r>
        <w:t>de</w:t>
      </w:r>
      <w:r>
        <w:rPr>
          <w:spacing w:val="-15"/>
        </w:rPr>
        <w:t xml:space="preserve"> </w:t>
      </w:r>
      <w:r>
        <w:t>Infantería</w:t>
      </w:r>
      <w:r>
        <w:rPr>
          <w:spacing w:val="-15"/>
        </w:rPr>
        <w:t xml:space="preserve"> </w:t>
      </w:r>
      <w:r>
        <w:t>y</w:t>
      </w:r>
      <w:r>
        <w:rPr>
          <w:spacing w:val="-15"/>
        </w:rPr>
        <w:t xml:space="preserve"> </w:t>
      </w:r>
      <w:r>
        <w:t>la</w:t>
      </w:r>
      <w:r>
        <w:rPr>
          <w:spacing w:val="-15"/>
        </w:rPr>
        <w:t xml:space="preserve"> </w:t>
      </w:r>
      <w:r>
        <w:t>Base</w:t>
      </w:r>
      <w:r>
        <w:rPr>
          <w:spacing w:val="-15"/>
        </w:rPr>
        <w:t xml:space="preserve"> </w:t>
      </w:r>
      <w:r>
        <w:t>Antinarcóticos</w:t>
      </w:r>
      <w:r>
        <w:rPr>
          <w:spacing w:val="-14"/>
        </w:rPr>
        <w:t xml:space="preserve"> </w:t>
      </w:r>
      <w:r>
        <w:t>en</w:t>
      </w:r>
      <w:r>
        <w:rPr>
          <w:spacing w:val="-15"/>
        </w:rPr>
        <w:t xml:space="preserve"> </w:t>
      </w:r>
      <w:r>
        <w:t>Miraflores,</w:t>
      </w:r>
      <w:r>
        <w:rPr>
          <w:spacing w:val="-15"/>
        </w:rPr>
        <w:t xml:space="preserve"> </w:t>
      </w:r>
      <w:r>
        <w:t>Guaviare; y la toma de Mitú, todos ellos entre 1996 y 1998</w:t>
      </w:r>
      <w:r w:rsidR="000C79EB">
        <w:rPr>
          <w:rStyle w:val="Refdenotaalpie"/>
        </w:rPr>
        <w:footnoteReference w:id="784"/>
      </w:r>
      <w:r>
        <w:t>.</w:t>
      </w:r>
    </w:p>
    <w:p w:rsidR="003804AC" w:rsidRDefault="00AF18A5" w:rsidP="000C79EB">
      <w:r>
        <w:t>En este contexto se dio la militarización de la lucha contra las drogas. El Gobierno de Estados Unidos, hasta el momento había apoyado la lucha antidrogas a través de la Policía. Sin embargo, el Gobierno de Colombia requería fortalecerse militarmente para la guerra contrainsurgente, usando el Plan Colombia para combinar ambas luchas, satisfacer la expectativa del gobierno extranjero y fortalecerse para la guerra contra las guerrillas, particularmente</w:t>
      </w:r>
      <w:r>
        <w:rPr>
          <w:spacing w:val="9"/>
        </w:rPr>
        <w:t xml:space="preserve"> </w:t>
      </w:r>
      <w:r>
        <w:t>las</w:t>
      </w:r>
      <w:r>
        <w:rPr>
          <w:spacing w:val="11"/>
        </w:rPr>
        <w:t xml:space="preserve"> </w:t>
      </w:r>
      <w:r>
        <w:t>FARC-EP.</w:t>
      </w:r>
      <w:r>
        <w:rPr>
          <w:spacing w:val="12"/>
        </w:rPr>
        <w:t xml:space="preserve"> </w:t>
      </w:r>
      <w:r>
        <w:t>Para</w:t>
      </w:r>
      <w:r>
        <w:rPr>
          <w:spacing w:val="11"/>
        </w:rPr>
        <w:t xml:space="preserve"> </w:t>
      </w:r>
      <w:r>
        <w:t>que</w:t>
      </w:r>
      <w:r>
        <w:rPr>
          <w:spacing w:val="12"/>
        </w:rPr>
        <w:t xml:space="preserve"> </w:t>
      </w:r>
      <w:r>
        <w:t>las</w:t>
      </w:r>
      <w:r>
        <w:rPr>
          <w:spacing w:val="11"/>
        </w:rPr>
        <w:t xml:space="preserve"> </w:t>
      </w:r>
      <w:r>
        <w:t>fuerzas</w:t>
      </w:r>
      <w:r>
        <w:rPr>
          <w:spacing w:val="11"/>
        </w:rPr>
        <w:t xml:space="preserve"> </w:t>
      </w:r>
      <w:r>
        <w:t>militares</w:t>
      </w:r>
      <w:r>
        <w:rPr>
          <w:spacing w:val="11"/>
        </w:rPr>
        <w:t xml:space="preserve"> </w:t>
      </w:r>
      <w:r>
        <w:t>accedieran</w:t>
      </w:r>
      <w:r>
        <w:rPr>
          <w:spacing w:val="10"/>
        </w:rPr>
        <w:t xml:space="preserve"> </w:t>
      </w:r>
      <w:r>
        <w:t>a</w:t>
      </w:r>
      <w:r>
        <w:rPr>
          <w:spacing w:val="12"/>
        </w:rPr>
        <w:t xml:space="preserve"> </w:t>
      </w:r>
      <w:r>
        <w:t>los</w:t>
      </w:r>
      <w:r>
        <w:rPr>
          <w:spacing w:val="11"/>
        </w:rPr>
        <w:t xml:space="preserve"> </w:t>
      </w:r>
      <w:r>
        <w:t>recursos,</w:t>
      </w:r>
      <w:r>
        <w:rPr>
          <w:spacing w:val="12"/>
        </w:rPr>
        <w:t xml:space="preserve"> </w:t>
      </w:r>
      <w:r>
        <w:rPr>
          <w:spacing w:val="-5"/>
        </w:rPr>
        <w:t>era</w:t>
      </w:r>
      <w:bookmarkStart w:id="976" w:name="_bookmark855"/>
      <w:bookmarkStart w:id="977" w:name="_bookmark856"/>
      <w:bookmarkStart w:id="978" w:name="_bookmark857"/>
      <w:bookmarkEnd w:id="976"/>
      <w:bookmarkEnd w:id="977"/>
      <w:bookmarkEnd w:id="978"/>
      <w:r w:rsidR="000C79EB">
        <w:rPr>
          <w:spacing w:val="-5"/>
        </w:rPr>
        <w:t xml:space="preserve"> </w:t>
      </w:r>
      <w:r>
        <w:t xml:space="preserve">necesario estar involucradas en </w:t>
      </w:r>
      <w:r>
        <w:lastRenderedPageBreak/>
        <w:t xml:space="preserve">la guerra contra las drogas, lo que se dio militarizando esa lucha. Esto era posible por el involucramiento y uso de todos los grupos armados en el </w:t>
      </w:r>
      <w:r>
        <w:rPr>
          <w:spacing w:val="-2"/>
        </w:rPr>
        <w:t>narcotráfico</w:t>
      </w:r>
      <w:r>
        <w:rPr>
          <w:spacing w:val="-6"/>
        </w:rPr>
        <w:t xml:space="preserve"> </w:t>
      </w:r>
      <w:r>
        <w:rPr>
          <w:spacing w:val="-2"/>
        </w:rPr>
        <w:t>–aunque,</w:t>
      </w:r>
      <w:r>
        <w:rPr>
          <w:spacing w:val="-5"/>
        </w:rPr>
        <w:t xml:space="preserve"> </w:t>
      </w:r>
      <w:r>
        <w:rPr>
          <w:spacing w:val="-2"/>
        </w:rPr>
        <w:t>como</w:t>
      </w:r>
      <w:r>
        <w:rPr>
          <w:spacing w:val="-5"/>
        </w:rPr>
        <w:t xml:space="preserve"> </w:t>
      </w:r>
      <w:r>
        <w:rPr>
          <w:spacing w:val="-2"/>
        </w:rPr>
        <w:t>se</w:t>
      </w:r>
      <w:r>
        <w:rPr>
          <w:spacing w:val="-6"/>
        </w:rPr>
        <w:t xml:space="preserve"> </w:t>
      </w:r>
      <w:r>
        <w:rPr>
          <w:spacing w:val="-2"/>
        </w:rPr>
        <w:t>expuso</w:t>
      </w:r>
      <w:r>
        <w:rPr>
          <w:spacing w:val="-5"/>
        </w:rPr>
        <w:t xml:space="preserve"> </w:t>
      </w:r>
      <w:r>
        <w:rPr>
          <w:spacing w:val="-2"/>
        </w:rPr>
        <w:t>en</w:t>
      </w:r>
      <w:r>
        <w:rPr>
          <w:spacing w:val="-5"/>
        </w:rPr>
        <w:t xml:space="preserve"> </w:t>
      </w:r>
      <w:r>
        <w:rPr>
          <w:spacing w:val="-2"/>
        </w:rPr>
        <w:t>el</w:t>
      </w:r>
      <w:r>
        <w:rPr>
          <w:spacing w:val="-6"/>
        </w:rPr>
        <w:t xml:space="preserve"> </w:t>
      </w:r>
      <w:r>
        <w:rPr>
          <w:spacing w:val="-2"/>
        </w:rPr>
        <w:t>hallazgo</w:t>
      </w:r>
      <w:r>
        <w:rPr>
          <w:spacing w:val="-5"/>
        </w:rPr>
        <w:t xml:space="preserve"> </w:t>
      </w:r>
      <w:r>
        <w:rPr>
          <w:spacing w:val="-2"/>
        </w:rPr>
        <w:t>de</w:t>
      </w:r>
      <w:r>
        <w:rPr>
          <w:spacing w:val="-5"/>
        </w:rPr>
        <w:t xml:space="preserve"> </w:t>
      </w:r>
      <w:r>
        <w:rPr>
          <w:spacing w:val="-2"/>
        </w:rPr>
        <w:t>narcotráfico,</w:t>
      </w:r>
      <w:r>
        <w:rPr>
          <w:spacing w:val="-6"/>
        </w:rPr>
        <w:t xml:space="preserve"> </w:t>
      </w:r>
      <w:r>
        <w:rPr>
          <w:spacing w:val="-2"/>
        </w:rPr>
        <w:t>en</w:t>
      </w:r>
      <w:r>
        <w:rPr>
          <w:spacing w:val="-5"/>
        </w:rPr>
        <w:t xml:space="preserve"> </w:t>
      </w:r>
      <w:r>
        <w:rPr>
          <w:spacing w:val="-2"/>
        </w:rPr>
        <w:t>el</w:t>
      </w:r>
      <w:r>
        <w:rPr>
          <w:spacing w:val="-6"/>
        </w:rPr>
        <w:t xml:space="preserve"> </w:t>
      </w:r>
      <w:r>
        <w:rPr>
          <w:spacing w:val="-2"/>
        </w:rPr>
        <w:t>de</w:t>
      </w:r>
      <w:r>
        <w:rPr>
          <w:spacing w:val="-5"/>
        </w:rPr>
        <w:t xml:space="preserve"> </w:t>
      </w:r>
      <w:r>
        <w:rPr>
          <w:spacing w:val="-2"/>
        </w:rPr>
        <w:t xml:space="preserve">paramilitarismo </w:t>
      </w:r>
      <w:r>
        <w:t>y en el de guerrillas, con diferentes connotaciones para los paramilitares que para las guerrillas–. También fue posible porque en ese momento se conjugó la lucha contrainsurgente que se venía desarrollando décadas atrás con la lucha contra las drogas, alentada por Estados Unidos y con el renovado discurso antiterrorista después del ataque a las Torres Gemelas el 11 de septiembre del 2001. El Plan Colombia condensaría las tres guerras en una sola que se libraría principalmente contra las FARC-EP.</w:t>
      </w:r>
    </w:p>
    <w:p w:rsidR="003804AC" w:rsidRDefault="00AF18A5" w:rsidP="000C79EB">
      <w:r>
        <w:t>Asimismo, el gobierno de Pastrana promovió y expidió la Ley de Seguridad Nacional</w:t>
      </w:r>
      <w:r w:rsidR="000C79EB">
        <w:rPr>
          <w:rStyle w:val="Refdenotaalpie"/>
        </w:rPr>
        <w:footnoteReference w:id="785"/>
      </w:r>
      <w:r>
        <w:t xml:space="preserve"> que</w:t>
      </w:r>
      <w:r>
        <w:rPr>
          <w:spacing w:val="40"/>
        </w:rPr>
        <w:t xml:space="preserve"> </w:t>
      </w:r>
      <w:r>
        <w:t>legalizaba</w:t>
      </w:r>
      <w:r>
        <w:rPr>
          <w:spacing w:val="40"/>
        </w:rPr>
        <w:t xml:space="preserve"> </w:t>
      </w:r>
      <w:r>
        <w:t>nuevamente</w:t>
      </w:r>
      <w:r>
        <w:rPr>
          <w:spacing w:val="40"/>
        </w:rPr>
        <w:t xml:space="preserve"> </w:t>
      </w:r>
      <w:r>
        <w:t>la</w:t>
      </w:r>
      <w:r>
        <w:rPr>
          <w:spacing w:val="40"/>
        </w:rPr>
        <w:t xml:space="preserve"> </w:t>
      </w:r>
      <w:r>
        <w:t>doctrina</w:t>
      </w:r>
      <w:r>
        <w:rPr>
          <w:spacing w:val="40"/>
        </w:rPr>
        <w:t xml:space="preserve"> </w:t>
      </w:r>
      <w:r>
        <w:t>de</w:t>
      </w:r>
      <w:r>
        <w:rPr>
          <w:spacing w:val="40"/>
        </w:rPr>
        <w:t xml:space="preserve"> </w:t>
      </w:r>
      <w:r>
        <w:t>la</w:t>
      </w:r>
      <w:r>
        <w:rPr>
          <w:spacing w:val="40"/>
        </w:rPr>
        <w:t xml:space="preserve"> </w:t>
      </w:r>
      <w:r>
        <w:t>seguridad</w:t>
      </w:r>
      <w:r>
        <w:rPr>
          <w:spacing w:val="40"/>
        </w:rPr>
        <w:t xml:space="preserve"> </w:t>
      </w:r>
      <w:r>
        <w:t>nacional.</w:t>
      </w:r>
      <w:r>
        <w:rPr>
          <w:spacing w:val="40"/>
        </w:rPr>
        <w:t xml:space="preserve"> </w:t>
      </w:r>
      <w:r>
        <w:t>La</w:t>
      </w:r>
      <w:r>
        <w:rPr>
          <w:spacing w:val="40"/>
        </w:rPr>
        <w:t xml:space="preserve"> </w:t>
      </w:r>
      <w:r>
        <w:t>Ley</w:t>
      </w:r>
      <w:r>
        <w:rPr>
          <w:spacing w:val="40"/>
        </w:rPr>
        <w:t xml:space="preserve"> </w:t>
      </w:r>
      <w:r>
        <w:t>de</w:t>
      </w:r>
      <w:r>
        <w:rPr>
          <w:spacing w:val="40"/>
        </w:rPr>
        <w:t xml:space="preserve"> </w:t>
      </w:r>
      <w:r>
        <w:t>Seguridad Nacional permitía al Gobierno declarar «teatros de operaciones» en regiones del país en las que los militares tendrían facultades de excepción y donde el Gobierno podía nombrar un</w:t>
      </w:r>
      <w:r>
        <w:rPr>
          <w:spacing w:val="40"/>
        </w:rPr>
        <w:t xml:space="preserve"> </w:t>
      </w:r>
      <w:r>
        <w:t>comandante</w:t>
      </w:r>
      <w:r>
        <w:rPr>
          <w:spacing w:val="-9"/>
        </w:rPr>
        <w:t xml:space="preserve"> </w:t>
      </w:r>
      <w:r>
        <w:t>militar</w:t>
      </w:r>
      <w:r>
        <w:rPr>
          <w:spacing w:val="-8"/>
        </w:rPr>
        <w:t xml:space="preserve"> </w:t>
      </w:r>
      <w:r>
        <w:t>que</w:t>
      </w:r>
      <w:r>
        <w:rPr>
          <w:spacing w:val="-8"/>
        </w:rPr>
        <w:t xml:space="preserve"> </w:t>
      </w:r>
      <w:r>
        <w:t>tomaría</w:t>
      </w:r>
      <w:r>
        <w:rPr>
          <w:spacing w:val="-8"/>
        </w:rPr>
        <w:t xml:space="preserve"> </w:t>
      </w:r>
      <w:r>
        <w:t>decisiones</w:t>
      </w:r>
      <w:r>
        <w:rPr>
          <w:spacing w:val="-8"/>
        </w:rPr>
        <w:t xml:space="preserve"> </w:t>
      </w:r>
      <w:r>
        <w:t>prevalentes</w:t>
      </w:r>
      <w:r>
        <w:rPr>
          <w:spacing w:val="-8"/>
        </w:rPr>
        <w:t xml:space="preserve"> </w:t>
      </w:r>
      <w:r>
        <w:t>sobre</w:t>
      </w:r>
      <w:r>
        <w:rPr>
          <w:spacing w:val="-8"/>
        </w:rPr>
        <w:t xml:space="preserve"> </w:t>
      </w:r>
      <w:r>
        <w:t>las</w:t>
      </w:r>
      <w:r>
        <w:rPr>
          <w:spacing w:val="-8"/>
        </w:rPr>
        <w:t xml:space="preserve"> </w:t>
      </w:r>
      <w:r>
        <w:t>de</w:t>
      </w:r>
      <w:r>
        <w:rPr>
          <w:spacing w:val="-8"/>
        </w:rPr>
        <w:t xml:space="preserve"> </w:t>
      </w:r>
      <w:r>
        <w:t>gobernadores</w:t>
      </w:r>
      <w:r>
        <w:rPr>
          <w:spacing w:val="-8"/>
        </w:rPr>
        <w:t xml:space="preserve"> </w:t>
      </w:r>
      <w:r>
        <w:t>y</w:t>
      </w:r>
      <w:r>
        <w:rPr>
          <w:spacing w:val="-8"/>
        </w:rPr>
        <w:t xml:space="preserve"> </w:t>
      </w:r>
      <w:r>
        <w:t>alcaldes. La</w:t>
      </w:r>
      <w:r>
        <w:rPr>
          <w:spacing w:val="80"/>
        </w:rPr>
        <w:t xml:space="preserve"> </w:t>
      </w:r>
      <w:r>
        <w:t>Ley</w:t>
      </w:r>
      <w:r>
        <w:rPr>
          <w:spacing w:val="80"/>
        </w:rPr>
        <w:t xml:space="preserve"> </w:t>
      </w:r>
      <w:r>
        <w:t>también</w:t>
      </w:r>
      <w:r>
        <w:rPr>
          <w:spacing w:val="80"/>
        </w:rPr>
        <w:t xml:space="preserve"> </w:t>
      </w:r>
      <w:r>
        <w:t>facultaba</w:t>
      </w:r>
      <w:r>
        <w:rPr>
          <w:spacing w:val="80"/>
        </w:rPr>
        <w:t xml:space="preserve"> </w:t>
      </w:r>
      <w:r>
        <w:t>al</w:t>
      </w:r>
      <w:r>
        <w:rPr>
          <w:spacing w:val="80"/>
        </w:rPr>
        <w:t xml:space="preserve"> </w:t>
      </w:r>
      <w:r>
        <w:t>presidente</w:t>
      </w:r>
      <w:r>
        <w:rPr>
          <w:spacing w:val="80"/>
        </w:rPr>
        <w:t xml:space="preserve"> </w:t>
      </w:r>
      <w:r>
        <w:t>para</w:t>
      </w:r>
      <w:r>
        <w:rPr>
          <w:spacing w:val="80"/>
        </w:rPr>
        <w:t xml:space="preserve"> </w:t>
      </w:r>
      <w:r>
        <w:t>«nombrar</w:t>
      </w:r>
      <w:r>
        <w:rPr>
          <w:spacing w:val="80"/>
        </w:rPr>
        <w:t xml:space="preserve"> </w:t>
      </w:r>
      <w:r>
        <w:t>sus</w:t>
      </w:r>
      <w:r>
        <w:rPr>
          <w:spacing w:val="80"/>
        </w:rPr>
        <w:t xml:space="preserve"> </w:t>
      </w:r>
      <w:r>
        <w:t>comandantes,</w:t>
      </w:r>
      <w:r>
        <w:rPr>
          <w:spacing w:val="80"/>
        </w:rPr>
        <w:t xml:space="preserve"> </w:t>
      </w:r>
      <w:r>
        <w:t>fijarles atribuciones</w:t>
      </w:r>
      <w:r>
        <w:rPr>
          <w:spacing w:val="40"/>
        </w:rPr>
        <w:t xml:space="preserve"> </w:t>
      </w:r>
      <w:r>
        <w:t>y</w:t>
      </w:r>
      <w:r>
        <w:rPr>
          <w:spacing w:val="40"/>
        </w:rPr>
        <w:t xml:space="preserve"> </w:t>
      </w:r>
      <w:r>
        <w:t>establecer</w:t>
      </w:r>
      <w:r>
        <w:rPr>
          <w:spacing w:val="40"/>
        </w:rPr>
        <w:t xml:space="preserve"> </w:t>
      </w:r>
      <w:r>
        <w:t>las</w:t>
      </w:r>
      <w:r>
        <w:rPr>
          <w:spacing w:val="40"/>
        </w:rPr>
        <w:t xml:space="preserve"> </w:t>
      </w:r>
      <w:r>
        <w:t>medidas</w:t>
      </w:r>
      <w:r>
        <w:rPr>
          <w:spacing w:val="40"/>
        </w:rPr>
        <w:t xml:space="preserve"> </w:t>
      </w:r>
      <w:r>
        <w:t>especiales</w:t>
      </w:r>
      <w:r>
        <w:rPr>
          <w:spacing w:val="40"/>
        </w:rPr>
        <w:t xml:space="preserve"> </w:t>
      </w:r>
      <w:r>
        <w:t>de</w:t>
      </w:r>
      <w:r>
        <w:rPr>
          <w:spacing w:val="40"/>
        </w:rPr>
        <w:t xml:space="preserve"> </w:t>
      </w:r>
      <w:r>
        <w:t>control</w:t>
      </w:r>
      <w:r>
        <w:rPr>
          <w:spacing w:val="40"/>
        </w:rPr>
        <w:t xml:space="preserve"> </w:t>
      </w:r>
      <w:r>
        <w:t>y</w:t>
      </w:r>
      <w:r>
        <w:rPr>
          <w:spacing w:val="40"/>
        </w:rPr>
        <w:t xml:space="preserve"> </w:t>
      </w:r>
      <w:r>
        <w:t>protección</w:t>
      </w:r>
      <w:r>
        <w:rPr>
          <w:spacing w:val="40"/>
        </w:rPr>
        <w:t xml:space="preserve"> </w:t>
      </w:r>
      <w:r>
        <w:t>aplicables</w:t>
      </w:r>
      <w:r>
        <w:rPr>
          <w:spacing w:val="40"/>
        </w:rPr>
        <w:t xml:space="preserve"> </w:t>
      </w:r>
      <w:r>
        <w:t>a</w:t>
      </w:r>
      <w:r>
        <w:rPr>
          <w:spacing w:val="40"/>
        </w:rPr>
        <w:t xml:space="preserve"> </w:t>
      </w:r>
      <w:r>
        <w:t>la población</w:t>
      </w:r>
      <w:r>
        <w:rPr>
          <w:spacing w:val="-5"/>
        </w:rPr>
        <w:t xml:space="preserve"> </w:t>
      </w:r>
      <w:r>
        <w:t>civil</w:t>
      </w:r>
      <w:r>
        <w:rPr>
          <w:spacing w:val="-3"/>
        </w:rPr>
        <w:t xml:space="preserve"> </w:t>
      </w:r>
      <w:r>
        <w:t>y</w:t>
      </w:r>
      <w:r>
        <w:rPr>
          <w:spacing w:val="-5"/>
        </w:rPr>
        <w:t xml:space="preserve"> </w:t>
      </w:r>
      <w:r>
        <w:t>a</w:t>
      </w:r>
      <w:r>
        <w:rPr>
          <w:spacing w:val="-4"/>
        </w:rPr>
        <w:t xml:space="preserve"> </w:t>
      </w:r>
      <w:r>
        <w:t>los</w:t>
      </w:r>
      <w:r>
        <w:rPr>
          <w:spacing w:val="-5"/>
        </w:rPr>
        <w:t xml:space="preserve"> </w:t>
      </w:r>
      <w:r>
        <w:t>recursos</w:t>
      </w:r>
      <w:r>
        <w:rPr>
          <w:spacing w:val="-4"/>
        </w:rPr>
        <w:t xml:space="preserve"> </w:t>
      </w:r>
      <w:r>
        <w:t>objeto</w:t>
      </w:r>
      <w:r>
        <w:rPr>
          <w:spacing w:val="-4"/>
        </w:rPr>
        <w:t xml:space="preserve"> </w:t>
      </w:r>
      <w:r>
        <w:t>de</w:t>
      </w:r>
      <w:r>
        <w:rPr>
          <w:spacing w:val="-4"/>
        </w:rPr>
        <w:t xml:space="preserve"> </w:t>
      </w:r>
      <w:r>
        <w:t>protección</w:t>
      </w:r>
      <w:r>
        <w:rPr>
          <w:spacing w:val="-4"/>
        </w:rPr>
        <w:t xml:space="preserve"> </w:t>
      </w:r>
      <w:r>
        <w:t>ubicados</w:t>
      </w:r>
      <w:r>
        <w:rPr>
          <w:spacing w:val="-5"/>
        </w:rPr>
        <w:t xml:space="preserve"> </w:t>
      </w:r>
      <w:r>
        <w:t>en</w:t>
      </w:r>
      <w:r>
        <w:rPr>
          <w:spacing w:val="-4"/>
        </w:rPr>
        <w:t xml:space="preserve"> </w:t>
      </w:r>
      <w:r>
        <w:t>el</w:t>
      </w:r>
      <w:r>
        <w:rPr>
          <w:spacing w:val="-5"/>
        </w:rPr>
        <w:t xml:space="preserve"> </w:t>
      </w:r>
      <w:r>
        <w:t>área»</w:t>
      </w:r>
      <w:r w:rsidR="000C79EB">
        <w:rPr>
          <w:rStyle w:val="Refdenotaalpie"/>
        </w:rPr>
        <w:footnoteReference w:id="786"/>
      </w:r>
      <w:r>
        <w:t>.</w:t>
      </w:r>
      <w:r>
        <w:rPr>
          <w:spacing w:val="-4"/>
        </w:rPr>
        <w:t xml:space="preserve"> </w:t>
      </w:r>
      <w:r>
        <w:t>Con</w:t>
      </w:r>
      <w:r>
        <w:rPr>
          <w:spacing w:val="-4"/>
        </w:rPr>
        <w:t xml:space="preserve"> </w:t>
      </w:r>
      <w:r>
        <w:t>base</w:t>
      </w:r>
      <w:r>
        <w:rPr>
          <w:spacing w:val="-4"/>
        </w:rPr>
        <w:t xml:space="preserve"> </w:t>
      </w:r>
      <w:r>
        <w:t>en</w:t>
      </w:r>
      <w:r>
        <w:rPr>
          <w:spacing w:val="-5"/>
        </w:rPr>
        <w:t xml:space="preserve"> </w:t>
      </w:r>
      <w:r>
        <w:t>las órdenes</w:t>
      </w:r>
      <w:r>
        <w:rPr>
          <w:spacing w:val="36"/>
        </w:rPr>
        <w:t xml:space="preserve"> </w:t>
      </w:r>
      <w:r>
        <w:t>entregadas</w:t>
      </w:r>
      <w:r>
        <w:rPr>
          <w:spacing w:val="36"/>
        </w:rPr>
        <w:t xml:space="preserve"> </w:t>
      </w:r>
      <w:r>
        <w:t>por</w:t>
      </w:r>
      <w:r>
        <w:rPr>
          <w:spacing w:val="35"/>
        </w:rPr>
        <w:t xml:space="preserve"> </w:t>
      </w:r>
      <w:r>
        <w:t>el</w:t>
      </w:r>
      <w:r>
        <w:rPr>
          <w:spacing w:val="37"/>
        </w:rPr>
        <w:t xml:space="preserve"> </w:t>
      </w:r>
      <w:r>
        <w:t>presidente</w:t>
      </w:r>
      <w:r>
        <w:rPr>
          <w:spacing w:val="36"/>
        </w:rPr>
        <w:t xml:space="preserve"> </w:t>
      </w:r>
      <w:r>
        <w:t>a</w:t>
      </w:r>
      <w:r>
        <w:rPr>
          <w:spacing w:val="36"/>
        </w:rPr>
        <w:t xml:space="preserve"> </w:t>
      </w:r>
      <w:r>
        <w:t>los</w:t>
      </w:r>
      <w:r>
        <w:rPr>
          <w:spacing w:val="35"/>
        </w:rPr>
        <w:t xml:space="preserve"> </w:t>
      </w:r>
      <w:r>
        <w:t>comandantes,</w:t>
      </w:r>
      <w:r>
        <w:rPr>
          <w:spacing w:val="35"/>
        </w:rPr>
        <w:t xml:space="preserve"> </w:t>
      </w:r>
      <w:r>
        <w:t>las</w:t>
      </w:r>
      <w:r>
        <w:rPr>
          <w:spacing w:val="36"/>
        </w:rPr>
        <w:t xml:space="preserve"> </w:t>
      </w:r>
      <w:r>
        <w:t>decisiones</w:t>
      </w:r>
      <w:r>
        <w:rPr>
          <w:spacing w:val="35"/>
        </w:rPr>
        <w:t xml:space="preserve"> </w:t>
      </w:r>
      <w:r>
        <w:t>de</w:t>
      </w:r>
      <w:r>
        <w:rPr>
          <w:spacing w:val="36"/>
        </w:rPr>
        <w:t xml:space="preserve"> </w:t>
      </w:r>
      <w:r>
        <w:t>estos</w:t>
      </w:r>
      <w:r>
        <w:rPr>
          <w:spacing w:val="35"/>
        </w:rPr>
        <w:t xml:space="preserve"> </w:t>
      </w:r>
      <w:r>
        <w:t>últimos prevalecían</w:t>
      </w:r>
      <w:r>
        <w:rPr>
          <w:spacing w:val="-16"/>
        </w:rPr>
        <w:t xml:space="preserve"> </w:t>
      </w:r>
      <w:r>
        <w:t>sobre</w:t>
      </w:r>
      <w:r>
        <w:rPr>
          <w:spacing w:val="-15"/>
        </w:rPr>
        <w:t xml:space="preserve"> </w:t>
      </w:r>
      <w:r>
        <w:t>las</w:t>
      </w:r>
      <w:r>
        <w:rPr>
          <w:spacing w:val="-15"/>
        </w:rPr>
        <w:t xml:space="preserve"> </w:t>
      </w:r>
      <w:r>
        <w:t>de</w:t>
      </w:r>
      <w:r>
        <w:rPr>
          <w:spacing w:val="-15"/>
        </w:rPr>
        <w:t xml:space="preserve"> </w:t>
      </w:r>
      <w:r>
        <w:t>alcaldes</w:t>
      </w:r>
      <w:r>
        <w:rPr>
          <w:spacing w:val="-15"/>
        </w:rPr>
        <w:t xml:space="preserve"> </w:t>
      </w:r>
      <w:r>
        <w:t>y</w:t>
      </w:r>
      <w:r>
        <w:rPr>
          <w:spacing w:val="-15"/>
        </w:rPr>
        <w:t xml:space="preserve"> </w:t>
      </w:r>
      <w:r>
        <w:t>gobernadores.</w:t>
      </w:r>
      <w:r>
        <w:rPr>
          <w:spacing w:val="-15"/>
        </w:rPr>
        <w:t xml:space="preserve"> </w:t>
      </w:r>
      <w:r>
        <w:t>Se</w:t>
      </w:r>
      <w:r>
        <w:rPr>
          <w:spacing w:val="-15"/>
        </w:rPr>
        <w:t xml:space="preserve"> </w:t>
      </w:r>
      <w:r>
        <w:t>contemplaban</w:t>
      </w:r>
      <w:r>
        <w:rPr>
          <w:spacing w:val="-15"/>
        </w:rPr>
        <w:t xml:space="preserve"> </w:t>
      </w:r>
      <w:r>
        <w:t>las</w:t>
      </w:r>
      <w:r>
        <w:rPr>
          <w:spacing w:val="-15"/>
        </w:rPr>
        <w:t xml:space="preserve"> </w:t>
      </w:r>
      <w:r>
        <w:t>obligaciones</w:t>
      </w:r>
      <w:r>
        <w:rPr>
          <w:spacing w:val="-15"/>
        </w:rPr>
        <w:t xml:space="preserve"> </w:t>
      </w:r>
      <w:r>
        <w:t>de</w:t>
      </w:r>
      <w:r>
        <w:rPr>
          <w:spacing w:val="-15"/>
        </w:rPr>
        <w:t xml:space="preserve"> </w:t>
      </w:r>
      <w:r>
        <w:t>incluir en el Plan</w:t>
      </w:r>
      <w:r>
        <w:rPr>
          <w:spacing w:val="-1"/>
        </w:rPr>
        <w:t xml:space="preserve"> </w:t>
      </w:r>
      <w:r>
        <w:t>Nacional de Desarrollo</w:t>
      </w:r>
      <w:r>
        <w:rPr>
          <w:spacing w:val="-1"/>
        </w:rPr>
        <w:t xml:space="preserve"> </w:t>
      </w:r>
      <w:r>
        <w:t>la</w:t>
      </w:r>
      <w:r>
        <w:rPr>
          <w:spacing w:val="-1"/>
        </w:rPr>
        <w:t xml:space="preserve"> </w:t>
      </w:r>
      <w:r>
        <w:t>estrategia de</w:t>
      </w:r>
      <w:r>
        <w:rPr>
          <w:spacing w:val="-1"/>
        </w:rPr>
        <w:t xml:space="preserve"> </w:t>
      </w:r>
      <w:r>
        <w:t>defensa y</w:t>
      </w:r>
      <w:r>
        <w:rPr>
          <w:spacing w:val="-1"/>
        </w:rPr>
        <w:t xml:space="preserve"> </w:t>
      </w:r>
      <w:r>
        <w:t xml:space="preserve">seguridad nacional y de evaluar las políticas públicas a la luz de los impactos en </w:t>
      </w:r>
      <w:r>
        <w:lastRenderedPageBreak/>
        <w:t>materia de seguridad. Los militares podían hacer registros y requisas de la población en los teatros de operaciones; tenían la facultad</w:t>
      </w:r>
      <w:r>
        <w:rPr>
          <w:spacing w:val="40"/>
        </w:rPr>
        <w:t xml:space="preserve"> </w:t>
      </w:r>
      <w:r>
        <w:t>para</w:t>
      </w:r>
      <w:r>
        <w:rPr>
          <w:spacing w:val="71"/>
        </w:rPr>
        <w:t xml:space="preserve"> </w:t>
      </w:r>
      <w:r>
        <w:t>adelantar</w:t>
      </w:r>
      <w:r>
        <w:rPr>
          <w:spacing w:val="70"/>
        </w:rPr>
        <w:t xml:space="preserve"> </w:t>
      </w:r>
      <w:r>
        <w:t>capturas</w:t>
      </w:r>
      <w:r>
        <w:rPr>
          <w:spacing w:val="70"/>
        </w:rPr>
        <w:t xml:space="preserve"> </w:t>
      </w:r>
      <w:r>
        <w:t>en</w:t>
      </w:r>
      <w:r>
        <w:rPr>
          <w:spacing w:val="71"/>
        </w:rPr>
        <w:t xml:space="preserve"> </w:t>
      </w:r>
      <w:r>
        <w:t>flagrancia</w:t>
      </w:r>
      <w:r>
        <w:rPr>
          <w:spacing w:val="71"/>
        </w:rPr>
        <w:t xml:space="preserve"> </w:t>
      </w:r>
      <w:r>
        <w:t>bajo</w:t>
      </w:r>
      <w:r>
        <w:rPr>
          <w:spacing w:val="71"/>
        </w:rPr>
        <w:t xml:space="preserve"> </w:t>
      </w:r>
      <w:r>
        <w:t>unas</w:t>
      </w:r>
      <w:r>
        <w:rPr>
          <w:spacing w:val="71"/>
        </w:rPr>
        <w:t xml:space="preserve"> </w:t>
      </w:r>
      <w:r>
        <w:t>reglas</w:t>
      </w:r>
      <w:r>
        <w:rPr>
          <w:spacing w:val="70"/>
        </w:rPr>
        <w:t xml:space="preserve"> </w:t>
      </w:r>
      <w:r>
        <w:t>flexibles,</w:t>
      </w:r>
      <w:r>
        <w:rPr>
          <w:spacing w:val="71"/>
        </w:rPr>
        <w:t xml:space="preserve"> </w:t>
      </w:r>
      <w:r>
        <w:t>respecto</w:t>
      </w:r>
      <w:r>
        <w:rPr>
          <w:spacing w:val="71"/>
        </w:rPr>
        <w:t xml:space="preserve"> </w:t>
      </w:r>
      <w:r>
        <w:t>de</w:t>
      </w:r>
      <w:r>
        <w:rPr>
          <w:spacing w:val="70"/>
        </w:rPr>
        <w:t xml:space="preserve"> </w:t>
      </w:r>
      <w:r>
        <w:t>las</w:t>
      </w:r>
      <w:r>
        <w:rPr>
          <w:spacing w:val="71"/>
        </w:rPr>
        <w:t xml:space="preserve"> </w:t>
      </w:r>
      <w:r>
        <w:t>que contemplaba</w:t>
      </w:r>
      <w:r>
        <w:rPr>
          <w:spacing w:val="7"/>
        </w:rPr>
        <w:t xml:space="preserve"> </w:t>
      </w:r>
      <w:r>
        <w:t>el</w:t>
      </w:r>
      <w:r>
        <w:rPr>
          <w:spacing w:val="11"/>
        </w:rPr>
        <w:t xml:space="preserve"> </w:t>
      </w:r>
      <w:r>
        <w:t>Código</w:t>
      </w:r>
      <w:r>
        <w:rPr>
          <w:spacing w:val="11"/>
        </w:rPr>
        <w:t xml:space="preserve"> </w:t>
      </w:r>
      <w:r>
        <w:t>Penal,</w:t>
      </w:r>
      <w:r>
        <w:rPr>
          <w:spacing w:val="11"/>
        </w:rPr>
        <w:t xml:space="preserve"> </w:t>
      </w:r>
      <w:r>
        <w:t>y</w:t>
      </w:r>
      <w:r>
        <w:rPr>
          <w:spacing w:val="11"/>
        </w:rPr>
        <w:t xml:space="preserve"> </w:t>
      </w:r>
      <w:r>
        <w:t>ejercían</w:t>
      </w:r>
      <w:r>
        <w:rPr>
          <w:spacing w:val="11"/>
        </w:rPr>
        <w:t xml:space="preserve"> </w:t>
      </w:r>
      <w:r>
        <w:t>facultades</w:t>
      </w:r>
      <w:r>
        <w:rPr>
          <w:spacing w:val="11"/>
        </w:rPr>
        <w:t xml:space="preserve"> </w:t>
      </w:r>
      <w:r>
        <w:t>de</w:t>
      </w:r>
      <w:r>
        <w:rPr>
          <w:spacing w:val="11"/>
        </w:rPr>
        <w:t xml:space="preserve"> </w:t>
      </w:r>
      <w:r>
        <w:t>policía</w:t>
      </w:r>
      <w:r>
        <w:rPr>
          <w:spacing w:val="11"/>
        </w:rPr>
        <w:t xml:space="preserve"> </w:t>
      </w:r>
      <w:r>
        <w:t>judicial</w:t>
      </w:r>
      <w:r>
        <w:rPr>
          <w:spacing w:val="11"/>
        </w:rPr>
        <w:t xml:space="preserve"> </w:t>
      </w:r>
      <w:r>
        <w:t>que</w:t>
      </w:r>
      <w:r>
        <w:rPr>
          <w:spacing w:val="11"/>
        </w:rPr>
        <w:t xml:space="preserve"> </w:t>
      </w:r>
      <w:r>
        <w:t>el</w:t>
      </w:r>
      <w:r>
        <w:rPr>
          <w:spacing w:val="11"/>
        </w:rPr>
        <w:t xml:space="preserve"> </w:t>
      </w:r>
      <w:r>
        <w:t>fiscal</w:t>
      </w:r>
      <w:r>
        <w:rPr>
          <w:spacing w:val="10"/>
        </w:rPr>
        <w:t xml:space="preserve"> </w:t>
      </w:r>
      <w:r>
        <w:rPr>
          <w:spacing w:val="-2"/>
        </w:rPr>
        <w:t>general</w:t>
      </w:r>
      <w:r w:rsidR="000C79EB">
        <w:t xml:space="preserve"> </w:t>
      </w:r>
      <w:r>
        <w:t>«debía»</w:t>
      </w:r>
      <w:r>
        <w:rPr>
          <w:spacing w:val="-13"/>
        </w:rPr>
        <w:t xml:space="preserve"> </w:t>
      </w:r>
      <w:r>
        <w:t>otorgarles.</w:t>
      </w:r>
      <w:r>
        <w:rPr>
          <w:spacing w:val="-13"/>
        </w:rPr>
        <w:t xml:space="preserve"> </w:t>
      </w:r>
      <w:r>
        <w:t>Además,</w:t>
      </w:r>
      <w:r>
        <w:rPr>
          <w:spacing w:val="-13"/>
        </w:rPr>
        <w:t xml:space="preserve"> </w:t>
      </w:r>
      <w:r>
        <w:t>se</w:t>
      </w:r>
      <w:r>
        <w:rPr>
          <w:spacing w:val="-14"/>
        </w:rPr>
        <w:t xml:space="preserve"> </w:t>
      </w:r>
      <w:r>
        <w:t>restringía</w:t>
      </w:r>
      <w:r>
        <w:rPr>
          <w:spacing w:val="-14"/>
        </w:rPr>
        <w:t xml:space="preserve"> </w:t>
      </w:r>
      <w:r>
        <w:t>la</w:t>
      </w:r>
      <w:r>
        <w:rPr>
          <w:spacing w:val="-13"/>
        </w:rPr>
        <w:t xml:space="preserve"> </w:t>
      </w:r>
      <w:r>
        <w:t>facultad</w:t>
      </w:r>
      <w:r>
        <w:rPr>
          <w:spacing w:val="-13"/>
        </w:rPr>
        <w:t xml:space="preserve"> </w:t>
      </w:r>
      <w:r>
        <w:t>de</w:t>
      </w:r>
      <w:r>
        <w:rPr>
          <w:spacing w:val="-14"/>
        </w:rPr>
        <w:t xml:space="preserve"> </w:t>
      </w:r>
      <w:r>
        <w:t>la</w:t>
      </w:r>
      <w:r>
        <w:rPr>
          <w:spacing w:val="-13"/>
        </w:rPr>
        <w:t xml:space="preserve"> </w:t>
      </w:r>
      <w:r>
        <w:t>Procuraduría</w:t>
      </w:r>
      <w:r>
        <w:rPr>
          <w:spacing w:val="-13"/>
        </w:rPr>
        <w:t xml:space="preserve"> </w:t>
      </w:r>
      <w:r>
        <w:t>para</w:t>
      </w:r>
      <w:r>
        <w:rPr>
          <w:spacing w:val="-13"/>
        </w:rPr>
        <w:t xml:space="preserve"> </w:t>
      </w:r>
      <w:r>
        <w:t>decidir</w:t>
      </w:r>
      <w:r>
        <w:rPr>
          <w:spacing w:val="-13"/>
        </w:rPr>
        <w:t xml:space="preserve"> </w:t>
      </w:r>
      <w:r>
        <w:t>si</w:t>
      </w:r>
      <w:r>
        <w:rPr>
          <w:spacing w:val="-14"/>
        </w:rPr>
        <w:t xml:space="preserve"> </w:t>
      </w:r>
      <w:r>
        <w:t>abriría o</w:t>
      </w:r>
      <w:r>
        <w:rPr>
          <w:spacing w:val="9"/>
        </w:rPr>
        <w:t xml:space="preserve"> </w:t>
      </w:r>
      <w:r>
        <w:t>no</w:t>
      </w:r>
      <w:r>
        <w:rPr>
          <w:spacing w:val="12"/>
        </w:rPr>
        <w:t xml:space="preserve"> </w:t>
      </w:r>
      <w:r>
        <w:t>investigación</w:t>
      </w:r>
      <w:r>
        <w:rPr>
          <w:spacing w:val="11"/>
        </w:rPr>
        <w:t xml:space="preserve"> </w:t>
      </w:r>
      <w:r>
        <w:t>por</w:t>
      </w:r>
      <w:r>
        <w:rPr>
          <w:spacing w:val="12"/>
        </w:rPr>
        <w:t xml:space="preserve"> </w:t>
      </w:r>
      <w:r>
        <w:t>las</w:t>
      </w:r>
      <w:r>
        <w:rPr>
          <w:spacing w:val="12"/>
        </w:rPr>
        <w:t xml:space="preserve"> </w:t>
      </w:r>
      <w:r>
        <w:t>actuaciones</w:t>
      </w:r>
      <w:r>
        <w:rPr>
          <w:spacing w:val="11"/>
        </w:rPr>
        <w:t xml:space="preserve"> </w:t>
      </w:r>
      <w:r>
        <w:t>de</w:t>
      </w:r>
      <w:r>
        <w:rPr>
          <w:spacing w:val="12"/>
        </w:rPr>
        <w:t xml:space="preserve"> </w:t>
      </w:r>
      <w:r>
        <w:t>la</w:t>
      </w:r>
      <w:r>
        <w:rPr>
          <w:spacing w:val="11"/>
        </w:rPr>
        <w:t xml:space="preserve"> </w:t>
      </w:r>
      <w:r>
        <w:t>fuerza</w:t>
      </w:r>
      <w:r>
        <w:rPr>
          <w:spacing w:val="12"/>
        </w:rPr>
        <w:t xml:space="preserve"> </w:t>
      </w:r>
      <w:r>
        <w:t>pública</w:t>
      </w:r>
      <w:r>
        <w:rPr>
          <w:spacing w:val="11"/>
        </w:rPr>
        <w:t xml:space="preserve"> </w:t>
      </w:r>
      <w:r>
        <w:t>en</w:t>
      </w:r>
      <w:r>
        <w:rPr>
          <w:spacing w:val="12"/>
        </w:rPr>
        <w:t xml:space="preserve"> </w:t>
      </w:r>
      <w:r>
        <w:t>los</w:t>
      </w:r>
      <w:r>
        <w:rPr>
          <w:spacing w:val="12"/>
        </w:rPr>
        <w:t xml:space="preserve"> </w:t>
      </w:r>
      <w:r>
        <w:t>teatros</w:t>
      </w:r>
      <w:r>
        <w:rPr>
          <w:spacing w:val="10"/>
        </w:rPr>
        <w:t xml:space="preserve"> </w:t>
      </w:r>
      <w:r>
        <w:t>de</w:t>
      </w:r>
      <w:r>
        <w:rPr>
          <w:spacing w:val="12"/>
        </w:rPr>
        <w:t xml:space="preserve"> </w:t>
      </w:r>
      <w:r>
        <w:t>operaciones</w:t>
      </w:r>
      <w:r>
        <w:rPr>
          <w:spacing w:val="12"/>
        </w:rPr>
        <w:t xml:space="preserve"> </w:t>
      </w:r>
      <w:r>
        <w:rPr>
          <w:spacing w:val="-5"/>
        </w:rPr>
        <w:t>al</w:t>
      </w:r>
      <w:bookmarkStart w:id="979" w:name="_bookmark858"/>
      <w:bookmarkStart w:id="980" w:name="_bookmark859"/>
      <w:bookmarkEnd w:id="979"/>
      <w:bookmarkEnd w:id="980"/>
      <w:r w:rsidR="000C79EB">
        <w:t xml:space="preserve"> </w:t>
      </w:r>
      <w:r>
        <w:t>establecer un término de máximo 30 días para hacerlo. Todo esto sin que fuera necesario declarar el estado de conmoción interior.</w:t>
      </w:r>
    </w:p>
    <w:p w:rsidR="003804AC" w:rsidRDefault="00AF18A5" w:rsidP="000C79EB">
      <w:r>
        <w:t>Ocho meses después de su expedición, la Corte Constitucional declaró la inconstitucionalidad</w:t>
      </w:r>
      <w:r>
        <w:rPr>
          <w:spacing w:val="-5"/>
        </w:rPr>
        <w:t xml:space="preserve"> </w:t>
      </w:r>
      <w:r>
        <w:t>de</w:t>
      </w:r>
      <w:r>
        <w:rPr>
          <w:spacing w:val="-6"/>
        </w:rPr>
        <w:t xml:space="preserve"> </w:t>
      </w:r>
      <w:r>
        <w:t>toda</w:t>
      </w:r>
      <w:r>
        <w:rPr>
          <w:spacing w:val="-5"/>
        </w:rPr>
        <w:t xml:space="preserve"> </w:t>
      </w:r>
      <w:r>
        <w:t>la</w:t>
      </w:r>
      <w:r>
        <w:rPr>
          <w:spacing w:val="-5"/>
        </w:rPr>
        <w:t xml:space="preserve"> </w:t>
      </w:r>
      <w:r>
        <w:t>ley</w:t>
      </w:r>
      <w:r>
        <w:rPr>
          <w:spacing w:val="-5"/>
        </w:rPr>
        <w:t xml:space="preserve"> </w:t>
      </w:r>
      <w:r>
        <w:t>y</w:t>
      </w:r>
      <w:r>
        <w:rPr>
          <w:spacing w:val="-6"/>
        </w:rPr>
        <w:t xml:space="preserve"> </w:t>
      </w:r>
      <w:r>
        <w:t>concluyó</w:t>
      </w:r>
      <w:r>
        <w:rPr>
          <w:spacing w:val="-5"/>
        </w:rPr>
        <w:t xml:space="preserve"> </w:t>
      </w:r>
      <w:r>
        <w:t>que,</w:t>
      </w:r>
      <w:r>
        <w:rPr>
          <w:spacing w:val="-5"/>
        </w:rPr>
        <w:t xml:space="preserve"> </w:t>
      </w:r>
      <w:r>
        <w:t>en</w:t>
      </w:r>
      <w:r>
        <w:rPr>
          <w:spacing w:val="-5"/>
        </w:rPr>
        <w:t xml:space="preserve"> </w:t>
      </w:r>
      <w:r>
        <w:t>sus</w:t>
      </w:r>
      <w:r>
        <w:rPr>
          <w:spacing w:val="-5"/>
        </w:rPr>
        <w:t xml:space="preserve"> </w:t>
      </w:r>
      <w:r>
        <w:t>bases</w:t>
      </w:r>
      <w:r>
        <w:rPr>
          <w:spacing w:val="-5"/>
        </w:rPr>
        <w:t xml:space="preserve"> </w:t>
      </w:r>
      <w:r>
        <w:t>y</w:t>
      </w:r>
      <w:r>
        <w:rPr>
          <w:spacing w:val="-5"/>
        </w:rPr>
        <w:t xml:space="preserve"> </w:t>
      </w:r>
      <w:r>
        <w:t>concepción,</w:t>
      </w:r>
      <w:r>
        <w:rPr>
          <w:spacing w:val="-5"/>
        </w:rPr>
        <w:t xml:space="preserve"> </w:t>
      </w:r>
      <w:r>
        <w:t>desconocía</w:t>
      </w:r>
      <w:r>
        <w:rPr>
          <w:spacing w:val="-5"/>
        </w:rPr>
        <w:t xml:space="preserve"> </w:t>
      </w:r>
      <w:r>
        <w:t>el principio</w:t>
      </w:r>
      <w:r>
        <w:rPr>
          <w:spacing w:val="-5"/>
        </w:rPr>
        <w:t xml:space="preserve"> </w:t>
      </w:r>
      <w:r>
        <w:t>de</w:t>
      </w:r>
      <w:r>
        <w:rPr>
          <w:spacing w:val="-6"/>
        </w:rPr>
        <w:t xml:space="preserve"> </w:t>
      </w:r>
      <w:r>
        <w:t>pluralismo</w:t>
      </w:r>
      <w:r>
        <w:rPr>
          <w:spacing w:val="-5"/>
        </w:rPr>
        <w:t xml:space="preserve"> </w:t>
      </w:r>
      <w:r>
        <w:t>democrático,</w:t>
      </w:r>
      <w:r>
        <w:rPr>
          <w:spacing w:val="-5"/>
        </w:rPr>
        <w:t xml:space="preserve"> </w:t>
      </w:r>
      <w:r>
        <w:t>la</w:t>
      </w:r>
      <w:r>
        <w:rPr>
          <w:spacing w:val="-4"/>
        </w:rPr>
        <w:t xml:space="preserve"> </w:t>
      </w:r>
      <w:r>
        <w:t>separación</w:t>
      </w:r>
      <w:r>
        <w:rPr>
          <w:spacing w:val="-5"/>
        </w:rPr>
        <w:t xml:space="preserve"> </w:t>
      </w:r>
      <w:r>
        <w:t>de</w:t>
      </w:r>
      <w:r>
        <w:rPr>
          <w:spacing w:val="-4"/>
        </w:rPr>
        <w:t xml:space="preserve"> </w:t>
      </w:r>
      <w:r>
        <w:t>poderes,</w:t>
      </w:r>
      <w:r>
        <w:rPr>
          <w:spacing w:val="-5"/>
        </w:rPr>
        <w:t xml:space="preserve"> </w:t>
      </w:r>
      <w:r>
        <w:t>la</w:t>
      </w:r>
      <w:r>
        <w:rPr>
          <w:spacing w:val="-4"/>
        </w:rPr>
        <w:t xml:space="preserve"> </w:t>
      </w:r>
      <w:r>
        <w:t>supremacía</w:t>
      </w:r>
      <w:r>
        <w:rPr>
          <w:spacing w:val="-4"/>
        </w:rPr>
        <w:t xml:space="preserve"> </w:t>
      </w:r>
      <w:r>
        <w:t>del</w:t>
      </w:r>
      <w:r>
        <w:rPr>
          <w:spacing w:val="-4"/>
        </w:rPr>
        <w:t xml:space="preserve"> </w:t>
      </w:r>
      <w:r>
        <w:t>poder</w:t>
      </w:r>
      <w:r>
        <w:rPr>
          <w:spacing w:val="-4"/>
        </w:rPr>
        <w:t xml:space="preserve"> </w:t>
      </w:r>
      <w:r>
        <w:t>civil sobre el militar, la dirección presidencial de las Fuerzas Armadas, el principio de exclusividad del uso de la fuerza en la fuerza pública y, en conflicto armado, el respeto del DIH.</w:t>
      </w:r>
      <w:r>
        <w:rPr>
          <w:spacing w:val="-2"/>
        </w:rPr>
        <w:t xml:space="preserve"> </w:t>
      </w:r>
      <w:r>
        <w:t>La</w:t>
      </w:r>
      <w:r>
        <w:rPr>
          <w:spacing w:val="-2"/>
        </w:rPr>
        <w:t xml:space="preserve"> </w:t>
      </w:r>
      <w:r>
        <w:t>Corte</w:t>
      </w:r>
      <w:r>
        <w:rPr>
          <w:spacing w:val="-2"/>
        </w:rPr>
        <w:t xml:space="preserve"> </w:t>
      </w:r>
      <w:r>
        <w:t>resaltó</w:t>
      </w:r>
      <w:r>
        <w:rPr>
          <w:spacing w:val="-2"/>
        </w:rPr>
        <w:t xml:space="preserve"> </w:t>
      </w:r>
      <w:r>
        <w:t>que</w:t>
      </w:r>
      <w:r>
        <w:rPr>
          <w:spacing w:val="-2"/>
        </w:rPr>
        <w:t xml:space="preserve"> </w:t>
      </w:r>
      <w:r>
        <w:t>en</w:t>
      </w:r>
      <w:r>
        <w:rPr>
          <w:spacing w:val="-2"/>
        </w:rPr>
        <w:t xml:space="preserve"> </w:t>
      </w:r>
      <w:r>
        <w:t>un</w:t>
      </w:r>
      <w:r>
        <w:rPr>
          <w:spacing w:val="-3"/>
        </w:rPr>
        <w:t xml:space="preserve"> </w:t>
      </w:r>
      <w:r>
        <w:t>modelo</w:t>
      </w:r>
      <w:r>
        <w:rPr>
          <w:spacing w:val="-2"/>
        </w:rPr>
        <w:t xml:space="preserve"> </w:t>
      </w:r>
      <w:r>
        <w:t>democrático</w:t>
      </w:r>
      <w:r>
        <w:rPr>
          <w:spacing w:val="-2"/>
        </w:rPr>
        <w:t xml:space="preserve"> </w:t>
      </w:r>
      <w:r>
        <w:t>y</w:t>
      </w:r>
      <w:r>
        <w:rPr>
          <w:spacing w:val="-3"/>
        </w:rPr>
        <w:t xml:space="preserve"> </w:t>
      </w:r>
      <w:r>
        <w:t>constitucional</w:t>
      </w:r>
      <w:r>
        <w:rPr>
          <w:spacing w:val="-2"/>
        </w:rPr>
        <w:t xml:space="preserve"> </w:t>
      </w:r>
      <w:r>
        <w:t>el</w:t>
      </w:r>
      <w:r>
        <w:rPr>
          <w:spacing w:val="-2"/>
        </w:rPr>
        <w:t xml:space="preserve"> </w:t>
      </w:r>
      <w:r>
        <w:t>disenso</w:t>
      </w:r>
      <w:r>
        <w:rPr>
          <w:spacing w:val="-3"/>
        </w:rPr>
        <w:t xml:space="preserve"> </w:t>
      </w:r>
      <w:r>
        <w:t>frente</w:t>
      </w:r>
      <w:r>
        <w:rPr>
          <w:spacing w:val="-3"/>
        </w:rPr>
        <w:t xml:space="preserve"> </w:t>
      </w:r>
      <w:r>
        <w:t>a</w:t>
      </w:r>
      <w:r>
        <w:rPr>
          <w:spacing w:val="-2"/>
        </w:rPr>
        <w:t xml:space="preserve"> </w:t>
      </w:r>
      <w:r>
        <w:t>las políticas</w:t>
      </w:r>
      <w:r>
        <w:rPr>
          <w:spacing w:val="-6"/>
        </w:rPr>
        <w:t xml:space="preserve"> </w:t>
      </w:r>
      <w:r>
        <w:t>estatales</w:t>
      </w:r>
      <w:r>
        <w:rPr>
          <w:spacing w:val="-5"/>
        </w:rPr>
        <w:t xml:space="preserve"> </w:t>
      </w:r>
      <w:r>
        <w:t>no</w:t>
      </w:r>
      <w:r>
        <w:rPr>
          <w:spacing w:val="-5"/>
        </w:rPr>
        <w:t xml:space="preserve"> </w:t>
      </w:r>
      <w:r>
        <w:t>solo</w:t>
      </w:r>
      <w:r>
        <w:rPr>
          <w:spacing w:val="-5"/>
        </w:rPr>
        <w:t xml:space="preserve"> </w:t>
      </w:r>
      <w:r>
        <w:t>es</w:t>
      </w:r>
      <w:r>
        <w:rPr>
          <w:spacing w:val="-5"/>
        </w:rPr>
        <w:t xml:space="preserve"> </w:t>
      </w:r>
      <w:r>
        <w:t>admisible,</w:t>
      </w:r>
      <w:r>
        <w:rPr>
          <w:spacing w:val="-5"/>
        </w:rPr>
        <w:t xml:space="preserve"> </w:t>
      </w:r>
      <w:r>
        <w:t>sino</w:t>
      </w:r>
      <w:r>
        <w:rPr>
          <w:spacing w:val="-5"/>
        </w:rPr>
        <w:t xml:space="preserve"> </w:t>
      </w:r>
      <w:r>
        <w:t>natural</w:t>
      </w:r>
      <w:r>
        <w:rPr>
          <w:spacing w:val="-4"/>
        </w:rPr>
        <w:t xml:space="preserve"> </w:t>
      </w:r>
      <w:r>
        <w:t>y</w:t>
      </w:r>
      <w:r>
        <w:rPr>
          <w:spacing w:val="-5"/>
        </w:rPr>
        <w:t xml:space="preserve"> </w:t>
      </w:r>
      <w:r>
        <w:t>democrático</w:t>
      </w:r>
      <w:r>
        <w:rPr>
          <w:spacing w:val="-6"/>
        </w:rPr>
        <w:t xml:space="preserve"> </w:t>
      </w:r>
      <w:r>
        <w:t>“pues</w:t>
      </w:r>
      <w:r>
        <w:rPr>
          <w:spacing w:val="-5"/>
        </w:rPr>
        <w:t xml:space="preserve"> </w:t>
      </w:r>
      <w:r>
        <w:t>la</w:t>
      </w:r>
      <w:r>
        <w:rPr>
          <w:spacing w:val="-5"/>
        </w:rPr>
        <w:t xml:space="preserve"> </w:t>
      </w:r>
      <w:r>
        <w:t>controversia</w:t>
      </w:r>
      <w:r>
        <w:rPr>
          <w:spacing w:val="-5"/>
        </w:rPr>
        <w:t xml:space="preserve"> </w:t>
      </w:r>
      <w:r>
        <w:t>y</w:t>
      </w:r>
      <w:r>
        <w:rPr>
          <w:spacing w:val="-5"/>
        </w:rPr>
        <w:t xml:space="preserve"> </w:t>
      </w:r>
      <w:r>
        <w:t>la deliberación</w:t>
      </w:r>
      <w:r>
        <w:rPr>
          <w:spacing w:val="-13"/>
        </w:rPr>
        <w:t xml:space="preserve"> </w:t>
      </w:r>
      <w:r>
        <w:t>son</w:t>
      </w:r>
      <w:r>
        <w:rPr>
          <w:spacing w:val="-9"/>
        </w:rPr>
        <w:t xml:space="preserve"> </w:t>
      </w:r>
      <w:r>
        <w:t>consustanciales</w:t>
      </w:r>
      <w:r>
        <w:rPr>
          <w:spacing w:val="-10"/>
        </w:rPr>
        <w:t xml:space="preserve"> </w:t>
      </w:r>
      <w:r>
        <w:t>a</w:t>
      </w:r>
      <w:r>
        <w:rPr>
          <w:spacing w:val="-10"/>
        </w:rPr>
        <w:t xml:space="preserve"> </w:t>
      </w:r>
      <w:r>
        <w:t>la</w:t>
      </w:r>
      <w:r>
        <w:rPr>
          <w:spacing w:val="-10"/>
        </w:rPr>
        <w:t xml:space="preserve"> </w:t>
      </w:r>
      <w:r>
        <w:t>democracia</w:t>
      </w:r>
      <w:r>
        <w:rPr>
          <w:spacing w:val="-12"/>
        </w:rPr>
        <w:t xml:space="preserve"> </w:t>
      </w:r>
      <w:r>
        <w:t>y</w:t>
      </w:r>
      <w:r>
        <w:rPr>
          <w:spacing w:val="-9"/>
        </w:rPr>
        <w:t xml:space="preserve"> </w:t>
      </w:r>
      <w:r>
        <w:t>al</w:t>
      </w:r>
      <w:r>
        <w:rPr>
          <w:spacing w:val="-10"/>
        </w:rPr>
        <w:t xml:space="preserve"> </w:t>
      </w:r>
      <w:r>
        <w:t>pluralismo”</w:t>
      </w:r>
      <w:r w:rsidR="00DA46C7">
        <w:rPr>
          <w:rStyle w:val="Refdenotaalpie"/>
        </w:rPr>
        <w:footnoteReference w:id="787"/>
      </w:r>
      <w:r>
        <w:t>.</w:t>
      </w:r>
      <w:r>
        <w:rPr>
          <w:spacing w:val="-9"/>
        </w:rPr>
        <w:t xml:space="preserve"> </w:t>
      </w:r>
      <w:r>
        <w:t>Respecto</w:t>
      </w:r>
      <w:r>
        <w:rPr>
          <w:spacing w:val="-9"/>
        </w:rPr>
        <w:t xml:space="preserve"> </w:t>
      </w:r>
      <w:r>
        <w:t>de</w:t>
      </w:r>
      <w:r>
        <w:rPr>
          <w:spacing w:val="-10"/>
        </w:rPr>
        <w:t xml:space="preserve"> </w:t>
      </w:r>
      <w:r>
        <w:t>los</w:t>
      </w:r>
      <w:r>
        <w:rPr>
          <w:spacing w:val="-11"/>
        </w:rPr>
        <w:t xml:space="preserve"> </w:t>
      </w:r>
      <w:r>
        <w:t>teatros de operaciones, la Corte identificó que se trataba de estados de conmoción interior encubiertos,</w:t>
      </w:r>
      <w:r>
        <w:rPr>
          <w:spacing w:val="-11"/>
        </w:rPr>
        <w:t xml:space="preserve"> </w:t>
      </w:r>
      <w:r>
        <w:t>que</w:t>
      </w:r>
      <w:r>
        <w:rPr>
          <w:spacing w:val="-9"/>
        </w:rPr>
        <w:t xml:space="preserve"> </w:t>
      </w:r>
      <w:r>
        <w:t>evadían</w:t>
      </w:r>
      <w:r>
        <w:rPr>
          <w:spacing w:val="-10"/>
        </w:rPr>
        <w:t xml:space="preserve"> </w:t>
      </w:r>
      <w:r>
        <w:t>los</w:t>
      </w:r>
      <w:r>
        <w:rPr>
          <w:spacing w:val="-9"/>
        </w:rPr>
        <w:t xml:space="preserve"> </w:t>
      </w:r>
      <w:r>
        <w:t>controles</w:t>
      </w:r>
      <w:r>
        <w:rPr>
          <w:spacing w:val="-10"/>
        </w:rPr>
        <w:t xml:space="preserve"> </w:t>
      </w:r>
      <w:r>
        <w:t>constitucionales</w:t>
      </w:r>
      <w:r>
        <w:rPr>
          <w:spacing w:val="-10"/>
        </w:rPr>
        <w:t xml:space="preserve"> </w:t>
      </w:r>
      <w:r>
        <w:t>previstos.</w:t>
      </w:r>
      <w:r>
        <w:rPr>
          <w:spacing w:val="-9"/>
        </w:rPr>
        <w:t xml:space="preserve"> </w:t>
      </w:r>
      <w:r>
        <w:t>Determinó</w:t>
      </w:r>
      <w:r>
        <w:rPr>
          <w:spacing w:val="-9"/>
        </w:rPr>
        <w:t xml:space="preserve"> </w:t>
      </w:r>
      <w:r>
        <w:t>que</w:t>
      </w:r>
      <w:r>
        <w:rPr>
          <w:spacing w:val="-9"/>
        </w:rPr>
        <w:t xml:space="preserve"> </w:t>
      </w:r>
      <w:r>
        <w:t>el</w:t>
      </w:r>
      <w:r>
        <w:rPr>
          <w:spacing w:val="-9"/>
        </w:rPr>
        <w:t xml:space="preserve"> </w:t>
      </w:r>
      <w:r>
        <w:t>hecho</w:t>
      </w:r>
      <w:r>
        <w:rPr>
          <w:spacing w:val="-9"/>
        </w:rPr>
        <w:t xml:space="preserve"> </w:t>
      </w:r>
      <w:r>
        <w:t>de que comandantes militares asumieran funciones ejecutivas prevalentes frente alcaldes y gobernadores violentaba la subordinación de la función militar a la autoridad civil.</w:t>
      </w:r>
    </w:p>
    <w:p w:rsidR="003804AC" w:rsidRDefault="00AF18A5" w:rsidP="00DA46C7">
      <w:r>
        <w:lastRenderedPageBreak/>
        <w:t>A</w:t>
      </w:r>
      <w:r>
        <w:rPr>
          <w:spacing w:val="-14"/>
        </w:rPr>
        <w:t xml:space="preserve"> </w:t>
      </w:r>
      <w:r>
        <w:t>la</w:t>
      </w:r>
      <w:r>
        <w:rPr>
          <w:spacing w:val="-13"/>
        </w:rPr>
        <w:t xml:space="preserve"> </w:t>
      </w:r>
      <w:r>
        <w:t>vez</w:t>
      </w:r>
      <w:r>
        <w:rPr>
          <w:spacing w:val="-13"/>
        </w:rPr>
        <w:t xml:space="preserve"> </w:t>
      </w:r>
      <w:r>
        <w:t>que</w:t>
      </w:r>
      <w:r>
        <w:rPr>
          <w:spacing w:val="-12"/>
        </w:rPr>
        <w:t xml:space="preserve"> </w:t>
      </w:r>
      <w:r>
        <w:t>reconoció</w:t>
      </w:r>
      <w:r>
        <w:rPr>
          <w:spacing w:val="-13"/>
        </w:rPr>
        <w:t xml:space="preserve"> </w:t>
      </w:r>
      <w:r>
        <w:t>la</w:t>
      </w:r>
      <w:r>
        <w:rPr>
          <w:spacing w:val="-13"/>
        </w:rPr>
        <w:t xml:space="preserve"> </w:t>
      </w:r>
      <w:r>
        <w:t>importancia</w:t>
      </w:r>
      <w:r>
        <w:rPr>
          <w:spacing w:val="-13"/>
        </w:rPr>
        <w:t xml:space="preserve"> </w:t>
      </w:r>
      <w:r>
        <w:t>y</w:t>
      </w:r>
      <w:r>
        <w:rPr>
          <w:spacing w:val="-13"/>
        </w:rPr>
        <w:t xml:space="preserve"> </w:t>
      </w:r>
      <w:r>
        <w:t>deber</w:t>
      </w:r>
      <w:r>
        <w:rPr>
          <w:spacing w:val="-13"/>
        </w:rPr>
        <w:t xml:space="preserve"> </w:t>
      </w:r>
      <w:r>
        <w:t>del</w:t>
      </w:r>
      <w:r>
        <w:rPr>
          <w:spacing w:val="-13"/>
        </w:rPr>
        <w:t xml:space="preserve"> </w:t>
      </w:r>
      <w:r>
        <w:t>Estado</w:t>
      </w:r>
      <w:r>
        <w:rPr>
          <w:spacing w:val="-13"/>
        </w:rPr>
        <w:t xml:space="preserve"> </w:t>
      </w:r>
      <w:r>
        <w:t>de</w:t>
      </w:r>
      <w:r>
        <w:rPr>
          <w:spacing w:val="-13"/>
        </w:rPr>
        <w:t xml:space="preserve"> </w:t>
      </w:r>
      <w:r>
        <w:t>adoptar</w:t>
      </w:r>
      <w:r>
        <w:rPr>
          <w:spacing w:val="-13"/>
        </w:rPr>
        <w:t xml:space="preserve"> </w:t>
      </w:r>
      <w:r>
        <w:t>políticas</w:t>
      </w:r>
      <w:r>
        <w:rPr>
          <w:spacing w:val="-13"/>
        </w:rPr>
        <w:t xml:space="preserve"> </w:t>
      </w:r>
      <w:r>
        <w:t>de</w:t>
      </w:r>
      <w:r>
        <w:rPr>
          <w:spacing w:val="-13"/>
        </w:rPr>
        <w:t xml:space="preserve"> </w:t>
      </w:r>
      <w:r>
        <w:t>seguridad y</w:t>
      </w:r>
      <w:r>
        <w:rPr>
          <w:spacing w:val="-11"/>
        </w:rPr>
        <w:t xml:space="preserve"> </w:t>
      </w:r>
      <w:r>
        <w:t>defensa,</w:t>
      </w:r>
      <w:r>
        <w:rPr>
          <w:spacing w:val="-11"/>
        </w:rPr>
        <w:t xml:space="preserve"> </w:t>
      </w:r>
      <w:r>
        <w:t>la</w:t>
      </w:r>
      <w:r>
        <w:rPr>
          <w:spacing w:val="-12"/>
        </w:rPr>
        <w:t xml:space="preserve"> </w:t>
      </w:r>
      <w:r>
        <w:t>Corte</w:t>
      </w:r>
      <w:r>
        <w:rPr>
          <w:spacing w:val="-11"/>
        </w:rPr>
        <w:t xml:space="preserve"> </w:t>
      </w:r>
      <w:r>
        <w:t>Constitucional</w:t>
      </w:r>
      <w:r>
        <w:rPr>
          <w:spacing w:val="-10"/>
        </w:rPr>
        <w:t xml:space="preserve"> </w:t>
      </w:r>
      <w:r>
        <w:t>advirtió</w:t>
      </w:r>
      <w:r>
        <w:rPr>
          <w:spacing w:val="-11"/>
        </w:rPr>
        <w:t xml:space="preserve"> </w:t>
      </w:r>
      <w:r>
        <w:t>que</w:t>
      </w:r>
      <w:r>
        <w:rPr>
          <w:spacing w:val="-11"/>
        </w:rPr>
        <w:t xml:space="preserve"> </w:t>
      </w:r>
      <w:r>
        <w:t>estas</w:t>
      </w:r>
      <w:r>
        <w:rPr>
          <w:spacing w:val="-11"/>
        </w:rPr>
        <w:t xml:space="preserve"> </w:t>
      </w:r>
      <w:r>
        <w:t>debían</w:t>
      </w:r>
      <w:r>
        <w:rPr>
          <w:spacing w:val="-11"/>
        </w:rPr>
        <w:t xml:space="preserve"> </w:t>
      </w:r>
      <w:r>
        <w:t>respetar</w:t>
      </w:r>
      <w:r>
        <w:rPr>
          <w:spacing w:val="-12"/>
        </w:rPr>
        <w:t xml:space="preserve"> </w:t>
      </w:r>
      <w:r>
        <w:t>los</w:t>
      </w:r>
      <w:r>
        <w:rPr>
          <w:spacing w:val="-11"/>
        </w:rPr>
        <w:t xml:space="preserve"> </w:t>
      </w:r>
      <w:r>
        <w:t>principios</w:t>
      </w:r>
      <w:r>
        <w:rPr>
          <w:spacing w:val="-11"/>
        </w:rPr>
        <w:t xml:space="preserve"> </w:t>
      </w:r>
      <w:r>
        <w:t>del</w:t>
      </w:r>
      <w:r>
        <w:rPr>
          <w:spacing w:val="-12"/>
        </w:rPr>
        <w:t xml:space="preserve"> </w:t>
      </w:r>
      <w:r>
        <w:t>Estado de</w:t>
      </w:r>
      <w:r>
        <w:rPr>
          <w:spacing w:val="-14"/>
        </w:rPr>
        <w:t xml:space="preserve"> </w:t>
      </w:r>
      <w:r>
        <w:t>derecho,</w:t>
      </w:r>
      <w:r>
        <w:rPr>
          <w:spacing w:val="-15"/>
        </w:rPr>
        <w:t xml:space="preserve"> </w:t>
      </w:r>
      <w:r>
        <w:t>como</w:t>
      </w:r>
      <w:r>
        <w:rPr>
          <w:spacing w:val="-14"/>
        </w:rPr>
        <w:t xml:space="preserve"> </w:t>
      </w:r>
      <w:r>
        <w:t>el</w:t>
      </w:r>
      <w:r>
        <w:rPr>
          <w:spacing w:val="-14"/>
        </w:rPr>
        <w:t xml:space="preserve"> </w:t>
      </w:r>
      <w:r>
        <w:t>pluralismo,</w:t>
      </w:r>
      <w:r>
        <w:rPr>
          <w:spacing w:val="-14"/>
        </w:rPr>
        <w:t xml:space="preserve"> </w:t>
      </w:r>
      <w:r>
        <w:t>la</w:t>
      </w:r>
      <w:r>
        <w:rPr>
          <w:spacing w:val="-14"/>
        </w:rPr>
        <w:t xml:space="preserve"> </w:t>
      </w:r>
      <w:r>
        <w:t>separación</w:t>
      </w:r>
      <w:r>
        <w:rPr>
          <w:spacing w:val="-14"/>
        </w:rPr>
        <w:t xml:space="preserve"> </w:t>
      </w:r>
      <w:r>
        <w:t>de</w:t>
      </w:r>
      <w:r>
        <w:rPr>
          <w:spacing w:val="-15"/>
        </w:rPr>
        <w:t xml:space="preserve"> </w:t>
      </w:r>
      <w:r>
        <w:t>poderes,</w:t>
      </w:r>
      <w:r>
        <w:rPr>
          <w:spacing w:val="-15"/>
        </w:rPr>
        <w:t xml:space="preserve"> </w:t>
      </w:r>
      <w:r>
        <w:t>la</w:t>
      </w:r>
      <w:r>
        <w:rPr>
          <w:spacing w:val="-15"/>
        </w:rPr>
        <w:t xml:space="preserve"> </w:t>
      </w:r>
      <w:r>
        <w:t>subordinación</w:t>
      </w:r>
      <w:r>
        <w:rPr>
          <w:spacing w:val="-14"/>
        </w:rPr>
        <w:t xml:space="preserve"> </w:t>
      </w:r>
      <w:r>
        <w:t>de</w:t>
      </w:r>
      <w:r>
        <w:rPr>
          <w:spacing w:val="-14"/>
        </w:rPr>
        <w:t xml:space="preserve"> </w:t>
      </w:r>
      <w:r>
        <w:t>las</w:t>
      </w:r>
      <w:r>
        <w:rPr>
          <w:spacing w:val="-14"/>
        </w:rPr>
        <w:t xml:space="preserve"> </w:t>
      </w:r>
      <w:r>
        <w:t>autoridades militares</w:t>
      </w:r>
      <w:r>
        <w:rPr>
          <w:spacing w:val="-15"/>
        </w:rPr>
        <w:t xml:space="preserve"> </w:t>
      </w:r>
      <w:r>
        <w:t>a</w:t>
      </w:r>
      <w:r>
        <w:rPr>
          <w:spacing w:val="-15"/>
        </w:rPr>
        <w:t xml:space="preserve"> </w:t>
      </w:r>
      <w:r>
        <w:t>las</w:t>
      </w:r>
      <w:r>
        <w:rPr>
          <w:spacing w:val="-15"/>
        </w:rPr>
        <w:t xml:space="preserve"> </w:t>
      </w:r>
      <w:r>
        <w:t>civiles</w:t>
      </w:r>
      <w:r>
        <w:rPr>
          <w:spacing w:val="-14"/>
        </w:rPr>
        <w:t xml:space="preserve"> </w:t>
      </w:r>
      <w:r>
        <w:t>y</w:t>
      </w:r>
      <w:r>
        <w:rPr>
          <w:spacing w:val="-14"/>
        </w:rPr>
        <w:t xml:space="preserve"> </w:t>
      </w:r>
      <w:r>
        <w:t>que</w:t>
      </w:r>
      <w:r>
        <w:rPr>
          <w:spacing w:val="-14"/>
        </w:rPr>
        <w:t xml:space="preserve"> </w:t>
      </w:r>
      <w:r>
        <w:t>la</w:t>
      </w:r>
      <w:r>
        <w:rPr>
          <w:spacing w:val="-14"/>
        </w:rPr>
        <w:t xml:space="preserve"> </w:t>
      </w:r>
      <w:r>
        <w:t>sociedad</w:t>
      </w:r>
      <w:r>
        <w:rPr>
          <w:spacing w:val="-15"/>
        </w:rPr>
        <w:t xml:space="preserve"> </w:t>
      </w:r>
      <w:r>
        <w:t>civil</w:t>
      </w:r>
      <w:r>
        <w:rPr>
          <w:spacing w:val="-14"/>
        </w:rPr>
        <w:t xml:space="preserve"> </w:t>
      </w:r>
      <w:r>
        <w:t>no</w:t>
      </w:r>
      <w:r>
        <w:rPr>
          <w:spacing w:val="-14"/>
        </w:rPr>
        <w:t xml:space="preserve"> </w:t>
      </w:r>
      <w:r>
        <w:t>podía</w:t>
      </w:r>
      <w:r>
        <w:rPr>
          <w:spacing w:val="-14"/>
        </w:rPr>
        <w:t xml:space="preserve"> </w:t>
      </w:r>
      <w:r>
        <w:t>ser</w:t>
      </w:r>
      <w:r>
        <w:rPr>
          <w:spacing w:val="-14"/>
        </w:rPr>
        <w:t xml:space="preserve"> </w:t>
      </w:r>
      <w:r>
        <w:t>privada</w:t>
      </w:r>
      <w:r>
        <w:rPr>
          <w:spacing w:val="-14"/>
        </w:rPr>
        <w:t xml:space="preserve"> </w:t>
      </w:r>
      <w:r>
        <w:t>de</w:t>
      </w:r>
      <w:r>
        <w:rPr>
          <w:spacing w:val="-14"/>
        </w:rPr>
        <w:t xml:space="preserve"> </w:t>
      </w:r>
      <w:r>
        <w:t>su</w:t>
      </w:r>
      <w:r>
        <w:rPr>
          <w:spacing w:val="-15"/>
        </w:rPr>
        <w:t xml:space="preserve"> </w:t>
      </w:r>
      <w:r>
        <w:t>autonomía</w:t>
      </w:r>
      <w:r>
        <w:rPr>
          <w:spacing w:val="-14"/>
        </w:rPr>
        <w:t xml:space="preserve"> </w:t>
      </w:r>
      <w:r>
        <w:t>y</w:t>
      </w:r>
      <w:r>
        <w:rPr>
          <w:spacing w:val="-15"/>
        </w:rPr>
        <w:t xml:space="preserve"> </w:t>
      </w:r>
      <w:r>
        <w:t>absorbida y puesta a órdenes del Estado</w:t>
      </w:r>
      <w:r w:rsidR="00DA46C7">
        <w:rPr>
          <w:rStyle w:val="Refdenotaalpie"/>
        </w:rPr>
        <w:footnoteReference w:id="788"/>
      </w:r>
      <w:r>
        <w:t>.</w:t>
      </w:r>
    </w:p>
    <w:p w:rsidR="003804AC" w:rsidRPr="00DA46C7" w:rsidRDefault="00AF18A5" w:rsidP="00DA46C7">
      <w:r>
        <w:t>La</w:t>
      </w:r>
      <w:r>
        <w:rPr>
          <w:spacing w:val="-6"/>
        </w:rPr>
        <w:t xml:space="preserve"> </w:t>
      </w:r>
      <w:r>
        <w:t>sensación</w:t>
      </w:r>
      <w:r>
        <w:rPr>
          <w:spacing w:val="-6"/>
        </w:rPr>
        <w:t xml:space="preserve"> </w:t>
      </w:r>
      <w:r>
        <w:t>de</w:t>
      </w:r>
      <w:r>
        <w:rPr>
          <w:spacing w:val="-6"/>
        </w:rPr>
        <w:t xml:space="preserve"> </w:t>
      </w:r>
      <w:r>
        <w:t>que</w:t>
      </w:r>
      <w:r>
        <w:rPr>
          <w:spacing w:val="-6"/>
        </w:rPr>
        <w:t xml:space="preserve"> </w:t>
      </w:r>
      <w:r>
        <w:t>las</w:t>
      </w:r>
      <w:r>
        <w:rPr>
          <w:spacing w:val="-6"/>
        </w:rPr>
        <w:t xml:space="preserve"> </w:t>
      </w:r>
      <w:r>
        <w:t>negociaciones</w:t>
      </w:r>
      <w:r>
        <w:rPr>
          <w:spacing w:val="-6"/>
        </w:rPr>
        <w:t xml:space="preserve"> </w:t>
      </w:r>
      <w:r>
        <w:t>del</w:t>
      </w:r>
      <w:r>
        <w:rPr>
          <w:spacing w:val="-6"/>
        </w:rPr>
        <w:t xml:space="preserve"> </w:t>
      </w:r>
      <w:r>
        <w:t>Caguán</w:t>
      </w:r>
      <w:r>
        <w:rPr>
          <w:spacing w:val="-6"/>
        </w:rPr>
        <w:t xml:space="preserve"> </w:t>
      </w:r>
      <w:r>
        <w:t>habían</w:t>
      </w:r>
      <w:r>
        <w:rPr>
          <w:spacing w:val="-6"/>
        </w:rPr>
        <w:t xml:space="preserve"> </w:t>
      </w:r>
      <w:r>
        <w:t>sido</w:t>
      </w:r>
      <w:r>
        <w:rPr>
          <w:spacing w:val="-6"/>
        </w:rPr>
        <w:t xml:space="preserve"> </w:t>
      </w:r>
      <w:r>
        <w:t>una</w:t>
      </w:r>
      <w:r>
        <w:rPr>
          <w:spacing w:val="-6"/>
        </w:rPr>
        <w:t xml:space="preserve"> </w:t>
      </w:r>
      <w:r>
        <w:t>burla</w:t>
      </w:r>
      <w:r>
        <w:rPr>
          <w:spacing w:val="-6"/>
        </w:rPr>
        <w:t xml:space="preserve"> </w:t>
      </w:r>
      <w:r>
        <w:t>llevó</w:t>
      </w:r>
      <w:r>
        <w:rPr>
          <w:spacing w:val="-6"/>
        </w:rPr>
        <w:t xml:space="preserve"> </w:t>
      </w:r>
      <w:r>
        <w:t>a</w:t>
      </w:r>
      <w:r>
        <w:rPr>
          <w:spacing w:val="-6"/>
        </w:rPr>
        <w:t xml:space="preserve"> </w:t>
      </w:r>
      <w:r>
        <w:t>que</w:t>
      </w:r>
      <w:r>
        <w:rPr>
          <w:spacing w:val="-6"/>
        </w:rPr>
        <w:t xml:space="preserve"> </w:t>
      </w:r>
      <w:r>
        <w:t>parte importante</w:t>
      </w:r>
      <w:r>
        <w:rPr>
          <w:spacing w:val="-10"/>
        </w:rPr>
        <w:t xml:space="preserve"> </w:t>
      </w:r>
      <w:r>
        <w:t>de</w:t>
      </w:r>
      <w:r>
        <w:rPr>
          <w:spacing w:val="-10"/>
        </w:rPr>
        <w:t xml:space="preserve"> </w:t>
      </w:r>
      <w:r>
        <w:t>la</w:t>
      </w:r>
      <w:r>
        <w:rPr>
          <w:spacing w:val="-10"/>
        </w:rPr>
        <w:t xml:space="preserve"> </w:t>
      </w:r>
      <w:r>
        <w:t>sociedad,</w:t>
      </w:r>
      <w:r>
        <w:rPr>
          <w:spacing w:val="-11"/>
        </w:rPr>
        <w:t xml:space="preserve"> </w:t>
      </w:r>
      <w:r>
        <w:t>así</w:t>
      </w:r>
      <w:r>
        <w:rPr>
          <w:spacing w:val="-10"/>
        </w:rPr>
        <w:t xml:space="preserve"> </w:t>
      </w:r>
      <w:r>
        <w:t>como</w:t>
      </w:r>
      <w:r>
        <w:rPr>
          <w:spacing w:val="-12"/>
        </w:rPr>
        <w:t xml:space="preserve"> </w:t>
      </w:r>
      <w:r>
        <w:t>el</w:t>
      </w:r>
      <w:r>
        <w:rPr>
          <w:spacing w:val="-11"/>
        </w:rPr>
        <w:t xml:space="preserve"> </w:t>
      </w:r>
      <w:r>
        <w:t>Estado,</w:t>
      </w:r>
      <w:r>
        <w:rPr>
          <w:spacing w:val="-11"/>
        </w:rPr>
        <w:t xml:space="preserve"> </w:t>
      </w:r>
      <w:r>
        <w:t>se</w:t>
      </w:r>
      <w:r>
        <w:rPr>
          <w:spacing w:val="-11"/>
        </w:rPr>
        <w:t xml:space="preserve"> </w:t>
      </w:r>
      <w:r>
        <w:t>radicalizarán</w:t>
      </w:r>
      <w:r>
        <w:rPr>
          <w:spacing w:val="-12"/>
        </w:rPr>
        <w:t xml:space="preserve"> </w:t>
      </w:r>
      <w:r>
        <w:t>contra</w:t>
      </w:r>
      <w:r>
        <w:rPr>
          <w:spacing w:val="-12"/>
        </w:rPr>
        <w:t xml:space="preserve"> </w:t>
      </w:r>
      <w:r>
        <w:t>las</w:t>
      </w:r>
      <w:r>
        <w:rPr>
          <w:spacing w:val="-10"/>
        </w:rPr>
        <w:t xml:space="preserve"> </w:t>
      </w:r>
      <w:r>
        <w:t>FARC-EP.</w:t>
      </w:r>
      <w:r>
        <w:rPr>
          <w:spacing w:val="-10"/>
        </w:rPr>
        <w:t xml:space="preserve"> </w:t>
      </w:r>
      <w:r>
        <w:t>Durante sus dos gobiernos (2002-2010), Uribe implementó la política de «seguridad democrática» denominada así, según el propio Gobierno, para diferenciarla de la doctrina de seguridad nacional</w:t>
      </w:r>
      <w:r w:rsidR="00DA46C7">
        <w:rPr>
          <w:rStyle w:val="Refdenotaalpie"/>
        </w:rPr>
        <w:footnoteReference w:id="789"/>
      </w:r>
      <w:r>
        <w:t>.</w:t>
      </w:r>
      <w:r>
        <w:rPr>
          <w:spacing w:val="-2"/>
        </w:rPr>
        <w:t xml:space="preserve"> </w:t>
      </w:r>
      <w:r>
        <w:t>Esta</w:t>
      </w:r>
      <w:r>
        <w:rPr>
          <w:spacing w:val="-2"/>
        </w:rPr>
        <w:t xml:space="preserve"> </w:t>
      </w:r>
      <w:r>
        <w:t>política</w:t>
      </w:r>
      <w:r>
        <w:rPr>
          <w:spacing w:val="-2"/>
        </w:rPr>
        <w:t xml:space="preserve"> </w:t>
      </w:r>
      <w:r>
        <w:t>se</w:t>
      </w:r>
      <w:r>
        <w:rPr>
          <w:spacing w:val="-3"/>
        </w:rPr>
        <w:t xml:space="preserve"> </w:t>
      </w:r>
      <w:r>
        <w:t>enmarcó</w:t>
      </w:r>
      <w:r>
        <w:rPr>
          <w:spacing w:val="-2"/>
        </w:rPr>
        <w:t xml:space="preserve"> </w:t>
      </w:r>
      <w:r>
        <w:t>en</w:t>
      </w:r>
      <w:r>
        <w:rPr>
          <w:spacing w:val="-4"/>
        </w:rPr>
        <w:t xml:space="preserve"> </w:t>
      </w:r>
      <w:r>
        <w:t>el</w:t>
      </w:r>
      <w:r>
        <w:rPr>
          <w:spacing w:val="-2"/>
        </w:rPr>
        <w:t xml:space="preserve"> </w:t>
      </w:r>
      <w:r>
        <w:t>nuevo</w:t>
      </w:r>
      <w:r>
        <w:rPr>
          <w:spacing w:val="-2"/>
        </w:rPr>
        <w:t xml:space="preserve"> </w:t>
      </w:r>
      <w:r>
        <w:t>discurso</w:t>
      </w:r>
      <w:r>
        <w:rPr>
          <w:spacing w:val="-2"/>
        </w:rPr>
        <w:t xml:space="preserve"> </w:t>
      </w:r>
      <w:r>
        <w:t>de</w:t>
      </w:r>
      <w:r>
        <w:rPr>
          <w:spacing w:val="-3"/>
        </w:rPr>
        <w:t xml:space="preserve"> </w:t>
      </w:r>
      <w:r>
        <w:t>la</w:t>
      </w:r>
      <w:r>
        <w:rPr>
          <w:spacing w:val="-3"/>
        </w:rPr>
        <w:t xml:space="preserve"> </w:t>
      </w:r>
      <w:r>
        <w:t>lucha</w:t>
      </w:r>
      <w:r>
        <w:rPr>
          <w:spacing w:val="-2"/>
        </w:rPr>
        <w:t xml:space="preserve"> </w:t>
      </w:r>
      <w:r>
        <w:t>contra</w:t>
      </w:r>
      <w:r>
        <w:rPr>
          <w:spacing w:val="-3"/>
        </w:rPr>
        <w:t xml:space="preserve"> </w:t>
      </w:r>
      <w:r>
        <w:t>el</w:t>
      </w:r>
      <w:r>
        <w:rPr>
          <w:spacing w:val="-2"/>
        </w:rPr>
        <w:t xml:space="preserve"> </w:t>
      </w:r>
      <w:r>
        <w:t>terrorismo</w:t>
      </w:r>
      <w:r>
        <w:rPr>
          <w:spacing w:val="-2"/>
        </w:rPr>
        <w:t xml:space="preserve"> </w:t>
      </w:r>
      <w:r>
        <w:t>y, a pesar de los esfuerzos discursivos, mantuvo el enfoque de militarización del territorio, amplias</w:t>
      </w:r>
      <w:r>
        <w:rPr>
          <w:spacing w:val="-3"/>
        </w:rPr>
        <w:t xml:space="preserve"> </w:t>
      </w:r>
      <w:r>
        <w:t>facultades</w:t>
      </w:r>
      <w:r>
        <w:rPr>
          <w:spacing w:val="1"/>
        </w:rPr>
        <w:t xml:space="preserve"> </w:t>
      </w:r>
      <w:r>
        <w:t>a las</w:t>
      </w:r>
      <w:r>
        <w:rPr>
          <w:spacing w:val="-2"/>
        </w:rPr>
        <w:t xml:space="preserve"> </w:t>
      </w:r>
      <w:r>
        <w:t>Fuerzas</w:t>
      </w:r>
      <w:r>
        <w:rPr>
          <w:spacing w:val="1"/>
        </w:rPr>
        <w:t xml:space="preserve"> </w:t>
      </w:r>
      <w:r>
        <w:t>Armadas</w:t>
      </w:r>
      <w:r>
        <w:rPr>
          <w:spacing w:val="1"/>
        </w:rPr>
        <w:t xml:space="preserve"> </w:t>
      </w:r>
      <w:r>
        <w:t>para</w:t>
      </w:r>
      <w:r>
        <w:rPr>
          <w:spacing w:val="-1"/>
        </w:rPr>
        <w:t xml:space="preserve"> </w:t>
      </w:r>
      <w:r>
        <w:t>el manejo del</w:t>
      </w:r>
      <w:r>
        <w:rPr>
          <w:spacing w:val="1"/>
        </w:rPr>
        <w:t xml:space="preserve"> </w:t>
      </w:r>
      <w:r>
        <w:t>orden público</w:t>
      </w:r>
      <w:r>
        <w:rPr>
          <w:spacing w:val="1"/>
        </w:rPr>
        <w:t xml:space="preserve"> </w:t>
      </w:r>
      <w:r>
        <w:t>y para</w:t>
      </w:r>
      <w:r>
        <w:rPr>
          <w:spacing w:val="1"/>
        </w:rPr>
        <w:t xml:space="preserve"> </w:t>
      </w:r>
      <w:r>
        <w:rPr>
          <w:spacing w:val="-2"/>
        </w:rPr>
        <w:t>adelantar</w:t>
      </w:r>
      <w:bookmarkStart w:id="981" w:name="_bookmark860"/>
      <w:bookmarkStart w:id="982" w:name="_bookmark861"/>
      <w:bookmarkStart w:id="983" w:name="_bookmark862"/>
      <w:bookmarkEnd w:id="981"/>
      <w:bookmarkEnd w:id="982"/>
      <w:bookmarkEnd w:id="983"/>
      <w:r w:rsidR="00DA46C7">
        <w:rPr>
          <w:spacing w:val="-2"/>
        </w:rPr>
        <w:t xml:space="preserve"> </w:t>
      </w:r>
      <w:r>
        <w:t>la</w:t>
      </w:r>
      <w:r>
        <w:rPr>
          <w:spacing w:val="-15"/>
        </w:rPr>
        <w:t xml:space="preserve"> </w:t>
      </w:r>
      <w:r>
        <w:t>guerra</w:t>
      </w:r>
      <w:r>
        <w:rPr>
          <w:spacing w:val="-15"/>
        </w:rPr>
        <w:t xml:space="preserve"> </w:t>
      </w:r>
      <w:r>
        <w:t>y</w:t>
      </w:r>
      <w:r>
        <w:rPr>
          <w:spacing w:val="-15"/>
        </w:rPr>
        <w:t xml:space="preserve"> </w:t>
      </w:r>
      <w:r>
        <w:t>estigmatización</w:t>
      </w:r>
      <w:r>
        <w:rPr>
          <w:spacing w:val="-15"/>
        </w:rPr>
        <w:t xml:space="preserve"> </w:t>
      </w:r>
      <w:r>
        <w:t>y</w:t>
      </w:r>
      <w:r>
        <w:rPr>
          <w:spacing w:val="-15"/>
        </w:rPr>
        <w:t xml:space="preserve"> </w:t>
      </w:r>
      <w:r>
        <w:t>persecución</w:t>
      </w:r>
      <w:r>
        <w:rPr>
          <w:spacing w:val="-15"/>
        </w:rPr>
        <w:t xml:space="preserve"> </w:t>
      </w:r>
      <w:r>
        <w:t>de</w:t>
      </w:r>
      <w:r>
        <w:rPr>
          <w:spacing w:val="-15"/>
        </w:rPr>
        <w:t xml:space="preserve"> </w:t>
      </w:r>
      <w:r>
        <w:t>los</w:t>
      </w:r>
      <w:r>
        <w:rPr>
          <w:spacing w:val="-15"/>
        </w:rPr>
        <w:t xml:space="preserve"> </w:t>
      </w:r>
      <w:r>
        <w:t>movimientos</w:t>
      </w:r>
      <w:r>
        <w:rPr>
          <w:spacing w:val="-15"/>
        </w:rPr>
        <w:t xml:space="preserve"> </w:t>
      </w:r>
      <w:r>
        <w:t>sociales</w:t>
      </w:r>
      <w:r>
        <w:rPr>
          <w:spacing w:val="-15"/>
        </w:rPr>
        <w:t xml:space="preserve"> </w:t>
      </w:r>
      <w:r>
        <w:t>y</w:t>
      </w:r>
      <w:r>
        <w:rPr>
          <w:spacing w:val="-15"/>
        </w:rPr>
        <w:t xml:space="preserve"> </w:t>
      </w:r>
      <w:r>
        <w:t>políticos</w:t>
      </w:r>
      <w:r>
        <w:rPr>
          <w:spacing w:val="-15"/>
        </w:rPr>
        <w:t xml:space="preserve"> </w:t>
      </w:r>
      <w:r>
        <w:t>alternativos e incluso de la rama judicial.</w:t>
      </w:r>
    </w:p>
    <w:p w:rsidR="003804AC" w:rsidRDefault="00AF18A5" w:rsidP="00DA46C7">
      <w:r>
        <w:t>El gobierno de Uribe declaró dos veces la conmoción interior: en agosto del 2002, aceptada por la Corte Constitucional, pero su prórroga fue declarada inexequible en noviembre del mismo año; y en el 2008, declarada inconstitucional.</w:t>
      </w:r>
    </w:p>
    <w:p w:rsidR="003804AC" w:rsidRDefault="00AF18A5" w:rsidP="00DA46C7">
      <w:r>
        <w:t>Como parte de las medidas de excepción, el Gobierno adoptó en 2002 un decreto que permitía</w:t>
      </w:r>
      <w:r>
        <w:rPr>
          <w:spacing w:val="-14"/>
        </w:rPr>
        <w:t xml:space="preserve"> </w:t>
      </w:r>
      <w:r>
        <w:t>nuevamente</w:t>
      </w:r>
      <w:r>
        <w:rPr>
          <w:spacing w:val="-14"/>
        </w:rPr>
        <w:t xml:space="preserve"> </w:t>
      </w:r>
      <w:r>
        <w:t>censos</w:t>
      </w:r>
      <w:r>
        <w:rPr>
          <w:spacing w:val="-14"/>
        </w:rPr>
        <w:t xml:space="preserve"> </w:t>
      </w:r>
      <w:r>
        <w:t>de</w:t>
      </w:r>
      <w:r>
        <w:rPr>
          <w:spacing w:val="-14"/>
        </w:rPr>
        <w:t xml:space="preserve"> </w:t>
      </w:r>
      <w:r>
        <w:t>población,</w:t>
      </w:r>
      <w:r>
        <w:rPr>
          <w:spacing w:val="-14"/>
        </w:rPr>
        <w:t xml:space="preserve"> </w:t>
      </w:r>
      <w:r>
        <w:t>control</w:t>
      </w:r>
      <w:r>
        <w:rPr>
          <w:spacing w:val="-15"/>
        </w:rPr>
        <w:t xml:space="preserve"> </w:t>
      </w:r>
      <w:r>
        <w:t>de</w:t>
      </w:r>
      <w:r>
        <w:rPr>
          <w:spacing w:val="-14"/>
        </w:rPr>
        <w:t xml:space="preserve"> </w:t>
      </w:r>
      <w:r>
        <w:t>la</w:t>
      </w:r>
      <w:r>
        <w:rPr>
          <w:spacing w:val="-14"/>
        </w:rPr>
        <w:t xml:space="preserve"> </w:t>
      </w:r>
      <w:r>
        <w:t>circulación</w:t>
      </w:r>
      <w:r>
        <w:rPr>
          <w:spacing w:val="-14"/>
        </w:rPr>
        <w:t xml:space="preserve"> </w:t>
      </w:r>
      <w:r>
        <w:t>de</w:t>
      </w:r>
      <w:r>
        <w:rPr>
          <w:spacing w:val="-14"/>
        </w:rPr>
        <w:t xml:space="preserve"> </w:t>
      </w:r>
      <w:r>
        <w:t>la</w:t>
      </w:r>
      <w:r>
        <w:rPr>
          <w:spacing w:val="-14"/>
        </w:rPr>
        <w:t xml:space="preserve"> </w:t>
      </w:r>
      <w:r>
        <w:t>población,</w:t>
      </w:r>
      <w:r>
        <w:rPr>
          <w:spacing w:val="-14"/>
        </w:rPr>
        <w:t xml:space="preserve"> </w:t>
      </w:r>
      <w:r>
        <w:t xml:space="preserve">capturas, interceptación de comunicaciones, </w:t>
      </w:r>
      <w:r>
        <w:lastRenderedPageBreak/>
        <w:t>registros y allanamientos sin orden judicial, ya no solo por</w:t>
      </w:r>
      <w:r>
        <w:rPr>
          <w:spacing w:val="25"/>
        </w:rPr>
        <w:t xml:space="preserve"> </w:t>
      </w:r>
      <w:r>
        <w:t>parte</w:t>
      </w:r>
      <w:r>
        <w:rPr>
          <w:spacing w:val="26"/>
        </w:rPr>
        <w:t xml:space="preserve"> </w:t>
      </w:r>
      <w:r>
        <w:t>de</w:t>
      </w:r>
      <w:r>
        <w:rPr>
          <w:spacing w:val="26"/>
        </w:rPr>
        <w:t xml:space="preserve"> </w:t>
      </w:r>
      <w:r>
        <w:t>la</w:t>
      </w:r>
      <w:r>
        <w:rPr>
          <w:spacing w:val="26"/>
        </w:rPr>
        <w:t xml:space="preserve"> </w:t>
      </w:r>
      <w:r>
        <w:t>fuerza</w:t>
      </w:r>
      <w:r>
        <w:rPr>
          <w:spacing w:val="26"/>
        </w:rPr>
        <w:t xml:space="preserve"> </w:t>
      </w:r>
      <w:r>
        <w:t>pública,</w:t>
      </w:r>
      <w:r>
        <w:rPr>
          <w:spacing w:val="27"/>
        </w:rPr>
        <w:t xml:space="preserve"> </w:t>
      </w:r>
      <w:r>
        <w:t>sino</w:t>
      </w:r>
      <w:r>
        <w:rPr>
          <w:spacing w:val="26"/>
        </w:rPr>
        <w:t xml:space="preserve"> </w:t>
      </w:r>
      <w:r>
        <w:t>también</w:t>
      </w:r>
      <w:r>
        <w:rPr>
          <w:spacing w:val="26"/>
        </w:rPr>
        <w:t xml:space="preserve"> </w:t>
      </w:r>
      <w:r>
        <w:t>del</w:t>
      </w:r>
      <w:r>
        <w:rPr>
          <w:spacing w:val="26"/>
        </w:rPr>
        <w:t xml:space="preserve"> </w:t>
      </w:r>
      <w:r>
        <w:t>DAS.</w:t>
      </w:r>
      <w:r>
        <w:rPr>
          <w:spacing w:val="27"/>
        </w:rPr>
        <w:t xml:space="preserve"> </w:t>
      </w:r>
      <w:r>
        <w:t>Estas</w:t>
      </w:r>
      <w:r>
        <w:rPr>
          <w:spacing w:val="26"/>
        </w:rPr>
        <w:t xml:space="preserve"> </w:t>
      </w:r>
      <w:r>
        <w:t>medidas</w:t>
      </w:r>
      <w:r>
        <w:rPr>
          <w:spacing w:val="26"/>
        </w:rPr>
        <w:t xml:space="preserve"> </w:t>
      </w:r>
      <w:r>
        <w:t>se</w:t>
      </w:r>
      <w:r>
        <w:rPr>
          <w:spacing w:val="26"/>
        </w:rPr>
        <w:t xml:space="preserve"> </w:t>
      </w:r>
      <w:r>
        <w:t>aplicarían</w:t>
      </w:r>
      <w:r>
        <w:rPr>
          <w:spacing w:val="25"/>
        </w:rPr>
        <w:t xml:space="preserve"> </w:t>
      </w:r>
      <w:r>
        <w:t>en</w:t>
      </w:r>
      <w:r>
        <w:rPr>
          <w:spacing w:val="27"/>
        </w:rPr>
        <w:t xml:space="preserve"> </w:t>
      </w:r>
      <w:r>
        <w:rPr>
          <w:spacing w:val="-5"/>
        </w:rPr>
        <w:t>las</w:t>
      </w:r>
      <w:r w:rsidR="00DA46C7">
        <w:t xml:space="preserve"> </w:t>
      </w:r>
      <w:r>
        <w:t>«zonas de rehabilitación y consolidación»</w:t>
      </w:r>
      <w:r w:rsidR="00DA46C7">
        <w:rPr>
          <w:rStyle w:val="Refdenotaalpie"/>
        </w:rPr>
        <w:footnoteReference w:id="790"/>
      </w:r>
      <w:r>
        <w:t>, en las que habría «control operacional» de autoridades</w:t>
      </w:r>
      <w:r>
        <w:rPr>
          <w:spacing w:val="-4"/>
        </w:rPr>
        <w:t xml:space="preserve"> </w:t>
      </w:r>
      <w:r>
        <w:t>militares,</w:t>
      </w:r>
      <w:r>
        <w:rPr>
          <w:spacing w:val="-3"/>
        </w:rPr>
        <w:t xml:space="preserve"> </w:t>
      </w:r>
      <w:r>
        <w:t>quienes</w:t>
      </w:r>
      <w:r>
        <w:rPr>
          <w:spacing w:val="-3"/>
        </w:rPr>
        <w:t xml:space="preserve"> </w:t>
      </w:r>
      <w:r>
        <w:t>podrían</w:t>
      </w:r>
      <w:r>
        <w:rPr>
          <w:spacing w:val="-3"/>
        </w:rPr>
        <w:t xml:space="preserve"> </w:t>
      </w:r>
      <w:r>
        <w:t>recolectar</w:t>
      </w:r>
      <w:r>
        <w:rPr>
          <w:spacing w:val="-4"/>
        </w:rPr>
        <w:t xml:space="preserve"> </w:t>
      </w:r>
      <w:r>
        <w:t>información</w:t>
      </w:r>
      <w:r>
        <w:rPr>
          <w:spacing w:val="-5"/>
        </w:rPr>
        <w:t xml:space="preserve"> </w:t>
      </w:r>
      <w:r>
        <w:t>sobre</w:t>
      </w:r>
      <w:r>
        <w:rPr>
          <w:spacing w:val="-4"/>
        </w:rPr>
        <w:t xml:space="preserve"> </w:t>
      </w:r>
      <w:r>
        <w:t>la</w:t>
      </w:r>
      <w:r>
        <w:rPr>
          <w:spacing w:val="-3"/>
        </w:rPr>
        <w:t xml:space="preserve"> </w:t>
      </w:r>
      <w:r>
        <w:t>población</w:t>
      </w:r>
      <w:r w:rsidR="00DA46C7">
        <w:rPr>
          <w:rStyle w:val="Refdenotaalpie"/>
        </w:rPr>
        <w:footnoteReference w:id="791"/>
      </w:r>
      <w:r>
        <w:t>.</w:t>
      </w:r>
      <w:r>
        <w:rPr>
          <w:spacing w:val="-3"/>
        </w:rPr>
        <w:t xml:space="preserve"> </w:t>
      </w:r>
      <w:r>
        <w:t>Muchas de estas medidas fueron limitadas o declaradas inexequibles por la Corte Constitucional en noviembre del 2002</w:t>
      </w:r>
      <w:r w:rsidR="00DA46C7">
        <w:rPr>
          <w:rStyle w:val="Refdenotaalpie"/>
        </w:rPr>
        <w:footnoteReference w:id="792"/>
      </w:r>
      <w:r>
        <w:t>.</w:t>
      </w:r>
    </w:p>
    <w:p w:rsidR="003804AC" w:rsidRDefault="00AF18A5" w:rsidP="00DA46C7">
      <w:r>
        <w:t>En consecuencia, por iniciativa del Gobierno, el Congreso adelantó una reforma constitucional que se expidió en diciembre del 2003 y que se conoció como el Estatuto Antiterrorista</w:t>
      </w:r>
      <w:r w:rsidR="00DA46C7">
        <w:rPr>
          <w:rStyle w:val="Refdenotaalpie"/>
        </w:rPr>
        <w:footnoteReference w:id="793"/>
      </w:r>
      <w:r>
        <w:t>. En la reforma se insistía en la concesión a las Fuerzas Militares de facultades de policía judicial, captura, allanamientos, registro de residencia e interceptación de comunicaciones y limitaciones a la libertad de circulación; todas estas, sin el debido control</w:t>
      </w:r>
      <w:r>
        <w:rPr>
          <w:spacing w:val="-8"/>
        </w:rPr>
        <w:t xml:space="preserve"> </w:t>
      </w:r>
      <w:r>
        <w:t>judicial.</w:t>
      </w:r>
      <w:r>
        <w:rPr>
          <w:spacing w:val="-8"/>
        </w:rPr>
        <w:t xml:space="preserve"> </w:t>
      </w:r>
      <w:r>
        <w:t>La</w:t>
      </w:r>
      <w:r>
        <w:rPr>
          <w:spacing w:val="-9"/>
        </w:rPr>
        <w:t xml:space="preserve"> </w:t>
      </w:r>
      <w:r>
        <w:t>reforma</w:t>
      </w:r>
      <w:r>
        <w:rPr>
          <w:spacing w:val="-8"/>
        </w:rPr>
        <w:t xml:space="preserve"> </w:t>
      </w:r>
      <w:r>
        <w:t>constitucional</w:t>
      </w:r>
      <w:r>
        <w:rPr>
          <w:spacing w:val="-9"/>
        </w:rPr>
        <w:t xml:space="preserve"> </w:t>
      </w:r>
      <w:r>
        <w:t>fue</w:t>
      </w:r>
      <w:r>
        <w:rPr>
          <w:spacing w:val="-8"/>
        </w:rPr>
        <w:t xml:space="preserve"> </w:t>
      </w:r>
      <w:r>
        <w:t>declarada</w:t>
      </w:r>
      <w:r>
        <w:rPr>
          <w:spacing w:val="-8"/>
        </w:rPr>
        <w:t xml:space="preserve"> </w:t>
      </w:r>
      <w:r>
        <w:t>inexequible</w:t>
      </w:r>
      <w:r>
        <w:rPr>
          <w:spacing w:val="-8"/>
        </w:rPr>
        <w:t xml:space="preserve"> </w:t>
      </w:r>
      <w:r>
        <w:t>por</w:t>
      </w:r>
      <w:r>
        <w:rPr>
          <w:spacing w:val="-9"/>
        </w:rPr>
        <w:t xml:space="preserve"> </w:t>
      </w:r>
      <w:r>
        <w:t>vicios</w:t>
      </w:r>
      <w:r>
        <w:rPr>
          <w:spacing w:val="-8"/>
        </w:rPr>
        <w:t xml:space="preserve"> </w:t>
      </w:r>
      <w:r>
        <w:t>de</w:t>
      </w:r>
      <w:r>
        <w:rPr>
          <w:spacing w:val="-8"/>
        </w:rPr>
        <w:t xml:space="preserve"> </w:t>
      </w:r>
      <w:r>
        <w:t>forma</w:t>
      </w:r>
      <w:r>
        <w:rPr>
          <w:spacing w:val="-8"/>
        </w:rPr>
        <w:t xml:space="preserve"> </w:t>
      </w:r>
      <w:r>
        <w:t>por la Corte Constitucional.</w:t>
      </w:r>
    </w:p>
    <w:p w:rsidR="003804AC" w:rsidRDefault="00AF18A5" w:rsidP="00DA46C7">
      <w:r>
        <w:t>Aun</w:t>
      </w:r>
      <w:r>
        <w:rPr>
          <w:spacing w:val="-11"/>
        </w:rPr>
        <w:t xml:space="preserve"> </w:t>
      </w:r>
      <w:r>
        <w:t>así,</w:t>
      </w:r>
      <w:r>
        <w:rPr>
          <w:spacing w:val="-11"/>
        </w:rPr>
        <w:t xml:space="preserve"> </w:t>
      </w:r>
      <w:r>
        <w:t>las</w:t>
      </w:r>
      <w:r>
        <w:rPr>
          <w:spacing w:val="-12"/>
        </w:rPr>
        <w:t xml:space="preserve"> </w:t>
      </w:r>
      <w:r>
        <w:t>medidas</w:t>
      </w:r>
      <w:r>
        <w:rPr>
          <w:spacing w:val="-11"/>
        </w:rPr>
        <w:t xml:space="preserve"> </w:t>
      </w:r>
      <w:r>
        <w:t>centradas</w:t>
      </w:r>
      <w:r>
        <w:rPr>
          <w:spacing w:val="-12"/>
        </w:rPr>
        <w:t xml:space="preserve"> </w:t>
      </w:r>
      <w:r>
        <w:t>en</w:t>
      </w:r>
      <w:r>
        <w:rPr>
          <w:spacing w:val="-11"/>
        </w:rPr>
        <w:t xml:space="preserve"> </w:t>
      </w:r>
      <w:r>
        <w:t>la</w:t>
      </w:r>
      <w:r>
        <w:rPr>
          <w:spacing w:val="-12"/>
        </w:rPr>
        <w:t xml:space="preserve"> </w:t>
      </w:r>
      <w:r>
        <w:t>militarización</w:t>
      </w:r>
      <w:r>
        <w:rPr>
          <w:spacing w:val="-11"/>
        </w:rPr>
        <w:t xml:space="preserve"> </w:t>
      </w:r>
      <w:r>
        <w:t>prevalecieron</w:t>
      </w:r>
      <w:r>
        <w:rPr>
          <w:spacing w:val="-11"/>
        </w:rPr>
        <w:t xml:space="preserve"> </w:t>
      </w:r>
      <w:r>
        <w:t>durante</w:t>
      </w:r>
      <w:r>
        <w:rPr>
          <w:spacing w:val="-10"/>
        </w:rPr>
        <w:t xml:space="preserve"> </w:t>
      </w:r>
      <w:r>
        <w:t>todo</w:t>
      </w:r>
      <w:r>
        <w:rPr>
          <w:spacing w:val="-11"/>
        </w:rPr>
        <w:t xml:space="preserve"> </w:t>
      </w:r>
      <w:r>
        <w:t>el</w:t>
      </w:r>
      <w:r>
        <w:rPr>
          <w:spacing w:val="-10"/>
        </w:rPr>
        <w:t xml:space="preserve"> </w:t>
      </w:r>
      <w:r>
        <w:t>gobierno de Uribe, que negó la existencia del</w:t>
      </w:r>
      <w:r>
        <w:rPr>
          <w:spacing w:val="-1"/>
        </w:rPr>
        <w:t xml:space="preserve"> </w:t>
      </w:r>
      <w:r>
        <w:t>conflicto armado y caracterizó a</w:t>
      </w:r>
      <w:r>
        <w:rPr>
          <w:spacing w:val="-1"/>
        </w:rPr>
        <w:t xml:space="preserve"> </w:t>
      </w:r>
      <w:r>
        <w:t>los grupos guerrilleros como</w:t>
      </w:r>
      <w:r>
        <w:rPr>
          <w:spacing w:val="-11"/>
        </w:rPr>
        <w:t xml:space="preserve"> </w:t>
      </w:r>
      <w:r>
        <w:t>terroristas</w:t>
      </w:r>
      <w:r>
        <w:rPr>
          <w:spacing w:val="-10"/>
        </w:rPr>
        <w:t xml:space="preserve"> </w:t>
      </w:r>
      <w:r>
        <w:t>sin</w:t>
      </w:r>
      <w:r>
        <w:rPr>
          <w:spacing w:val="-11"/>
        </w:rPr>
        <w:t xml:space="preserve"> </w:t>
      </w:r>
      <w:r>
        <w:t>fundamento</w:t>
      </w:r>
      <w:r>
        <w:rPr>
          <w:spacing w:val="-11"/>
        </w:rPr>
        <w:t xml:space="preserve"> </w:t>
      </w:r>
      <w:r>
        <w:t>ni</w:t>
      </w:r>
      <w:r>
        <w:rPr>
          <w:spacing w:val="-10"/>
        </w:rPr>
        <w:t xml:space="preserve"> </w:t>
      </w:r>
      <w:r>
        <w:t>intenciones</w:t>
      </w:r>
      <w:r>
        <w:rPr>
          <w:spacing w:val="-10"/>
        </w:rPr>
        <w:t xml:space="preserve"> </w:t>
      </w:r>
      <w:r>
        <w:t>políticas.</w:t>
      </w:r>
      <w:r>
        <w:rPr>
          <w:spacing w:val="-11"/>
        </w:rPr>
        <w:t xml:space="preserve"> </w:t>
      </w:r>
      <w:r>
        <w:t>El</w:t>
      </w:r>
      <w:r>
        <w:rPr>
          <w:spacing w:val="-10"/>
        </w:rPr>
        <w:t xml:space="preserve"> </w:t>
      </w:r>
      <w:r>
        <w:t>Gobierno</w:t>
      </w:r>
      <w:r>
        <w:rPr>
          <w:spacing w:val="-11"/>
        </w:rPr>
        <w:t xml:space="preserve"> </w:t>
      </w:r>
      <w:r>
        <w:t>sostenía</w:t>
      </w:r>
      <w:r>
        <w:rPr>
          <w:spacing w:val="-10"/>
        </w:rPr>
        <w:t xml:space="preserve"> </w:t>
      </w:r>
      <w:r>
        <w:t>que</w:t>
      </w:r>
      <w:r>
        <w:rPr>
          <w:spacing w:val="-12"/>
        </w:rPr>
        <w:t xml:space="preserve"> </w:t>
      </w:r>
      <w:r>
        <w:t>reconocer el</w:t>
      </w:r>
      <w:r>
        <w:rPr>
          <w:spacing w:val="-7"/>
        </w:rPr>
        <w:t xml:space="preserve"> </w:t>
      </w:r>
      <w:r>
        <w:t>conflicto</w:t>
      </w:r>
      <w:r>
        <w:rPr>
          <w:spacing w:val="-9"/>
        </w:rPr>
        <w:t xml:space="preserve"> </w:t>
      </w:r>
      <w:r>
        <w:t>armado</w:t>
      </w:r>
      <w:r>
        <w:rPr>
          <w:spacing w:val="-8"/>
        </w:rPr>
        <w:t xml:space="preserve"> </w:t>
      </w:r>
      <w:r>
        <w:t>o</w:t>
      </w:r>
      <w:r>
        <w:rPr>
          <w:spacing w:val="-6"/>
        </w:rPr>
        <w:t xml:space="preserve"> </w:t>
      </w:r>
      <w:r>
        <w:t>el</w:t>
      </w:r>
      <w:r>
        <w:rPr>
          <w:spacing w:val="-8"/>
        </w:rPr>
        <w:t xml:space="preserve"> </w:t>
      </w:r>
      <w:r>
        <w:t>origen</w:t>
      </w:r>
      <w:r>
        <w:rPr>
          <w:spacing w:val="-6"/>
        </w:rPr>
        <w:t xml:space="preserve"> </w:t>
      </w:r>
      <w:r>
        <w:t>político</w:t>
      </w:r>
      <w:r>
        <w:rPr>
          <w:spacing w:val="-7"/>
        </w:rPr>
        <w:t xml:space="preserve"> </w:t>
      </w:r>
      <w:r>
        <w:t>de</w:t>
      </w:r>
      <w:r>
        <w:rPr>
          <w:spacing w:val="-7"/>
        </w:rPr>
        <w:t xml:space="preserve"> </w:t>
      </w:r>
      <w:r>
        <w:t>los</w:t>
      </w:r>
      <w:r>
        <w:rPr>
          <w:spacing w:val="-7"/>
        </w:rPr>
        <w:t xml:space="preserve"> </w:t>
      </w:r>
      <w:r>
        <w:t>grupos</w:t>
      </w:r>
      <w:r>
        <w:rPr>
          <w:spacing w:val="-6"/>
        </w:rPr>
        <w:t xml:space="preserve"> </w:t>
      </w:r>
      <w:r>
        <w:t>guerrilleros</w:t>
      </w:r>
      <w:r>
        <w:rPr>
          <w:spacing w:val="-7"/>
        </w:rPr>
        <w:t xml:space="preserve"> </w:t>
      </w:r>
      <w:r>
        <w:t>legitimaba</w:t>
      </w:r>
      <w:r>
        <w:rPr>
          <w:spacing w:val="-6"/>
        </w:rPr>
        <w:t xml:space="preserve"> </w:t>
      </w:r>
      <w:r>
        <w:t>su</w:t>
      </w:r>
      <w:r>
        <w:rPr>
          <w:spacing w:val="-7"/>
        </w:rPr>
        <w:t xml:space="preserve"> </w:t>
      </w:r>
      <w:r>
        <w:t>actuación,</w:t>
      </w:r>
      <w:r>
        <w:rPr>
          <w:spacing w:val="-6"/>
        </w:rPr>
        <w:t xml:space="preserve"> </w:t>
      </w:r>
      <w:r>
        <w:rPr>
          <w:spacing w:val="-5"/>
        </w:rPr>
        <w:t>su</w:t>
      </w:r>
      <w:bookmarkStart w:id="984" w:name="_bookmark863"/>
      <w:bookmarkStart w:id="985" w:name="_bookmark864"/>
      <w:bookmarkStart w:id="986" w:name="_bookmark865"/>
      <w:bookmarkStart w:id="987" w:name="_bookmark866"/>
      <w:bookmarkEnd w:id="984"/>
      <w:bookmarkEnd w:id="985"/>
      <w:bookmarkEnd w:id="986"/>
      <w:bookmarkEnd w:id="987"/>
      <w:r w:rsidR="00DA46C7">
        <w:t xml:space="preserve"> </w:t>
      </w:r>
      <w:r>
        <w:t>existencia</w:t>
      </w:r>
      <w:r>
        <w:rPr>
          <w:spacing w:val="-6"/>
        </w:rPr>
        <w:t xml:space="preserve"> </w:t>
      </w:r>
      <w:r>
        <w:t>y</w:t>
      </w:r>
      <w:r>
        <w:rPr>
          <w:spacing w:val="-7"/>
        </w:rPr>
        <w:t xml:space="preserve"> </w:t>
      </w:r>
      <w:r>
        <w:t>sus</w:t>
      </w:r>
      <w:r>
        <w:rPr>
          <w:spacing w:val="-6"/>
        </w:rPr>
        <w:t xml:space="preserve"> </w:t>
      </w:r>
      <w:r>
        <w:t>crímenes.</w:t>
      </w:r>
      <w:r>
        <w:rPr>
          <w:spacing w:val="-6"/>
        </w:rPr>
        <w:t xml:space="preserve"> </w:t>
      </w:r>
      <w:r>
        <w:t>En</w:t>
      </w:r>
      <w:r>
        <w:rPr>
          <w:spacing w:val="-6"/>
        </w:rPr>
        <w:t xml:space="preserve"> </w:t>
      </w:r>
      <w:r>
        <w:t>ese</w:t>
      </w:r>
      <w:r>
        <w:rPr>
          <w:spacing w:val="-6"/>
        </w:rPr>
        <w:t xml:space="preserve"> </w:t>
      </w:r>
      <w:r>
        <w:t>periodo</w:t>
      </w:r>
      <w:r>
        <w:rPr>
          <w:spacing w:val="-6"/>
        </w:rPr>
        <w:t xml:space="preserve"> </w:t>
      </w:r>
      <w:r>
        <w:t>también</w:t>
      </w:r>
      <w:r>
        <w:rPr>
          <w:spacing w:val="-6"/>
        </w:rPr>
        <w:t xml:space="preserve"> </w:t>
      </w:r>
      <w:r>
        <w:t>se</w:t>
      </w:r>
      <w:r>
        <w:rPr>
          <w:spacing w:val="-6"/>
        </w:rPr>
        <w:t xml:space="preserve"> </w:t>
      </w:r>
      <w:r>
        <w:t>estableció</w:t>
      </w:r>
      <w:r>
        <w:rPr>
          <w:spacing w:val="-6"/>
        </w:rPr>
        <w:t xml:space="preserve"> </w:t>
      </w:r>
      <w:r>
        <w:t>un</w:t>
      </w:r>
      <w:r>
        <w:rPr>
          <w:spacing w:val="-6"/>
        </w:rPr>
        <w:t xml:space="preserve"> </w:t>
      </w:r>
      <w:r>
        <w:t>impuesto</w:t>
      </w:r>
      <w:r>
        <w:rPr>
          <w:spacing w:val="-6"/>
        </w:rPr>
        <w:t xml:space="preserve"> </w:t>
      </w:r>
      <w:r>
        <w:t>para</w:t>
      </w:r>
      <w:r>
        <w:rPr>
          <w:spacing w:val="-7"/>
        </w:rPr>
        <w:t xml:space="preserve"> </w:t>
      </w:r>
      <w:r>
        <w:t>la</w:t>
      </w:r>
      <w:r>
        <w:rPr>
          <w:spacing w:val="-6"/>
        </w:rPr>
        <w:t xml:space="preserve"> </w:t>
      </w:r>
      <w:r>
        <w:t>guerra</w:t>
      </w:r>
      <w:r>
        <w:rPr>
          <w:spacing w:val="-7"/>
        </w:rPr>
        <w:t xml:space="preserve"> </w:t>
      </w:r>
      <w:r>
        <w:t xml:space="preserve">y se conformó una amplia red de civiles cooperantes –no remunerados– y de informantes remunerados, </w:t>
      </w:r>
      <w:r>
        <w:lastRenderedPageBreak/>
        <w:t>que ascendían a cerca de un millón de personas</w:t>
      </w:r>
      <w:r w:rsidR="00DA46C7">
        <w:rPr>
          <w:rStyle w:val="Refdenotaalpie"/>
        </w:rPr>
        <w:footnoteReference w:id="794"/>
      </w:r>
      <w:r>
        <w:t>. Así mismo, se amplió el servicio militar, principalmente a través de la figura voluntaria de «soldados campesinos» que prestaban el servicio en medio tiempo, en sus lugares de residencia, y el otro medio tiempo lo ocupaban en sus actividades cotidianas.</w:t>
      </w:r>
    </w:p>
    <w:p w:rsidR="003804AC" w:rsidRDefault="00AF18A5" w:rsidP="00DA46C7">
      <w:r>
        <w:t>Durante el mandato de Uribe se consolidó una política de gobierno que tuvo apoyo de otras ramas del poder público para incrementar las cifras de muertes del enemigo, legitimar la política de seguridad oficial y publicitar su efectividad. Al privilegiar las muertes en combate sobre cualquier otro resultado militar, se incentivaron graves violaciones de los derechos humanos e infracciones al DIH, particularmente ejecuciones extrajudiciales y desapariciones forzadas de personas que fueron asesinadas en estado de indefensión y presentadas falsamente como guerrilleros muertos en combate. El periodo de exacerbación de</w:t>
      </w:r>
      <w:r>
        <w:rPr>
          <w:spacing w:val="-3"/>
        </w:rPr>
        <w:t xml:space="preserve"> </w:t>
      </w:r>
      <w:r>
        <w:t>los</w:t>
      </w:r>
      <w:r>
        <w:rPr>
          <w:spacing w:val="-4"/>
        </w:rPr>
        <w:t xml:space="preserve"> </w:t>
      </w:r>
      <w:r>
        <w:t>denominados</w:t>
      </w:r>
      <w:r>
        <w:rPr>
          <w:spacing w:val="-4"/>
        </w:rPr>
        <w:t xml:space="preserve"> </w:t>
      </w:r>
      <w:r>
        <w:t>«falsos</w:t>
      </w:r>
      <w:r>
        <w:rPr>
          <w:spacing w:val="-3"/>
        </w:rPr>
        <w:t xml:space="preserve"> </w:t>
      </w:r>
      <w:r>
        <w:t>positivos»</w:t>
      </w:r>
      <w:r>
        <w:rPr>
          <w:spacing w:val="-3"/>
        </w:rPr>
        <w:t xml:space="preserve"> </w:t>
      </w:r>
      <w:r>
        <w:t>transcurrió</w:t>
      </w:r>
      <w:r>
        <w:rPr>
          <w:spacing w:val="-3"/>
        </w:rPr>
        <w:t xml:space="preserve"> </w:t>
      </w:r>
      <w:r>
        <w:t>entre</w:t>
      </w:r>
      <w:r>
        <w:rPr>
          <w:spacing w:val="-3"/>
        </w:rPr>
        <w:t xml:space="preserve"> </w:t>
      </w:r>
      <w:r>
        <w:t>2002</w:t>
      </w:r>
      <w:r>
        <w:rPr>
          <w:spacing w:val="-5"/>
        </w:rPr>
        <w:t xml:space="preserve"> </w:t>
      </w:r>
      <w:r>
        <w:t>y</w:t>
      </w:r>
      <w:r>
        <w:rPr>
          <w:spacing w:val="-3"/>
        </w:rPr>
        <w:t xml:space="preserve"> </w:t>
      </w:r>
      <w:r>
        <w:t>2008.</w:t>
      </w:r>
      <w:r>
        <w:rPr>
          <w:spacing w:val="-5"/>
        </w:rPr>
        <w:t xml:space="preserve"> </w:t>
      </w:r>
      <w:r>
        <w:t>Estos</w:t>
      </w:r>
      <w:r>
        <w:rPr>
          <w:spacing w:val="-3"/>
        </w:rPr>
        <w:t xml:space="preserve"> </w:t>
      </w:r>
      <w:r>
        <w:t>crímenes</w:t>
      </w:r>
      <w:r>
        <w:rPr>
          <w:spacing w:val="-4"/>
        </w:rPr>
        <w:t xml:space="preserve"> </w:t>
      </w:r>
      <w:r>
        <w:t>fueron propiciados por un sistema de disposiciones legales y extralegales nacidas desde el mismo Gobierno e implementadas por las Fuerzas Militares.</w:t>
      </w:r>
    </w:p>
    <w:p w:rsidR="0011361F" w:rsidRDefault="00AF18A5" w:rsidP="00DA46C7">
      <w:r>
        <w:t>Durante dicho periodo de gobierno se mantuvieron las acciones cívico-militares encabezadas por las Fuerzas Armadas, que se incluyeron dentro del paquete de ayudas económicas del Plan Colombia. En el 2004, se creó el Centro de Coordinación de Acción Integral</w:t>
      </w:r>
      <w:r>
        <w:rPr>
          <w:spacing w:val="-2"/>
        </w:rPr>
        <w:t xml:space="preserve"> </w:t>
      </w:r>
      <w:r>
        <w:t>(CCAI),</w:t>
      </w:r>
      <w:r>
        <w:rPr>
          <w:spacing w:val="-2"/>
        </w:rPr>
        <w:t xml:space="preserve"> </w:t>
      </w:r>
      <w:r>
        <w:t>que</w:t>
      </w:r>
      <w:r>
        <w:rPr>
          <w:spacing w:val="-2"/>
        </w:rPr>
        <w:t xml:space="preserve"> </w:t>
      </w:r>
      <w:r>
        <w:t>buscaba</w:t>
      </w:r>
      <w:r>
        <w:rPr>
          <w:spacing w:val="-2"/>
        </w:rPr>
        <w:t xml:space="preserve"> </w:t>
      </w:r>
      <w:r>
        <w:t>consolidar</w:t>
      </w:r>
      <w:r>
        <w:rPr>
          <w:spacing w:val="-2"/>
        </w:rPr>
        <w:t xml:space="preserve"> </w:t>
      </w:r>
      <w:r>
        <w:t>el</w:t>
      </w:r>
      <w:r>
        <w:rPr>
          <w:spacing w:val="-2"/>
        </w:rPr>
        <w:t xml:space="preserve"> </w:t>
      </w:r>
      <w:r>
        <w:t>control</w:t>
      </w:r>
      <w:r>
        <w:rPr>
          <w:spacing w:val="-2"/>
        </w:rPr>
        <w:t xml:space="preserve"> </w:t>
      </w:r>
      <w:r>
        <w:t>territorial</w:t>
      </w:r>
      <w:r>
        <w:rPr>
          <w:spacing w:val="-2"/>
        </w:rPr>
        <w:t xml:space="preserve"> </w:t>
      </w:r>
      <w:r>
        <w:t>a</w:t>
      </w:r>
      <w:r>
        <w:rPr>
          <w:spacing w:val="-3"/>
        </w:rPr>
        <w:t xml:space="preserve"> </w:t>
      </w:r>
      <w:r>
        <w:t>través</w:t>
      </w:r>
      <w:r>
        <w:rPr>
          <w:spacing w:val="-2"/>
        </w:rPr>
        <w:t xml:space="preserve"> </w:t>
      </w:r>
      <w:r>
        <w:t>de</w:t>
      </w:r>
      <w:r>
        <w:rPr>
          <w:spacing w:val="-2"/>
        </w:rPr>
        <w:t xml:space="preserve"> </w:t>
      </w:r>
      <w:r>
        <w:t>programas</w:t>
      </w:r>
      <w:r>
        <w:rPr>
          <w:spacing w:val="-2"/>
        </w:rPr>
        <w:t xml:space="preserve"> </w:t>
      </w:r>
      <w:r>
        <w:t xml:space="preserve">sociales y económicos. Las acciones de coordinación cívica y militar fueron planteadas como esfuerzos de coordinación </w:t>
      </w:r>
      <w:proofErr w:type="spellStart"/>
      <w:r>
        <w:t>interagencial</w:t>
      </w:r>
      <w:proofErr w:type="spellEnd"/>
      <w:r>
        <w:t xml:space="preserve"> entre el sector defensa y sectores encargados de servicios</w:t>
      </w:r>
      <w:r>
        <w:rPr>
          <w:spacing w:val="-12"/>
        </w:rPr>
        <w:t xml:space="preserve"> </w:t>
      </w:r>
      <w:r>
        <w:t>sociales</w:t>
      </w:r>
      <w:r>
        <w:rPr>
          <w:spacing w:val="-11"/>
        </w:rPr>
        <w:t xml:space="preserve"> </w:t>
      </w:r>
      <w:r>
        <w:t>en</w:t>
      </w:r>
      <w:r>
        <w:rPr>
          <w:spacing w:val="-12"/>
        </w:rPr>
        <w:t xml:space="preserve"> </w:t>
      </w:r>
      <w:r>
        <w:t>el</w:t>
      </w:r>
      <w:r>
        <w:rPr>
          <w:spacing w:val="-10"/>
        </w:rPr>
        <w:t xml:space="preserve"> </w:t>
      </w:r>
      <w:r>
        <w:t>Estado</w:t>
      </w:r>
      <w:r>
        <w:rPr>
          <w:spacing w:val="-11"/>
        </w:rPr>
        <w:t xml:space="preserve"> </w:t>
      </w:r>
      <w:r>
        <w:t>que</w:t>
      </w:r>
      <w:r>
        <w:rPr>
          <w:spacing w:val="-12"/>
        </w:rPr>
        <w:t xml:space="preserve"> </w:t>
      </w:r>
      <w:r>
        <w:t>se</w:t>
      </w:r>
      <w:r>
        <w:rPr>
          <w:spacing w:val="-12"/>
        </w:rPr>
        <w:t xml:space="preserve"> </w:t>
      </w:r>
      <w:r>
        <w:lastRenderedPageBreak/>
        <w:t>orientarían</w:t>
      </w:r>
      <w:r>
        <w:rPr>
          <w:spacing w:val="-11"/>
        </w:rPr>
        <w:t xml:space="preserve"> </w:t>
      </w:r>
      <w:r>
        <w:t>a</w:t>
      </w:r>
      <w:r>
        <w:rPr>
          <w:spacing w:val="-12"/>
        </w:rPr>
        <w:t xml:space="preserve"> </w:t>
      </w:r>
      <w:r>
        <w:t>mejorar</w:t>
      </w:r>
      <w:r>
        <w:rPr>
          <w:spacing w:val="-11"/>
        </w:rPr>
        <w:t xml:space="preserve"> </w:t>
      </w:r>
      <w:r>
        <w:t>condiciones</w:t>
      </w:r>
      <w:r>
        <w:rPr>
          <w:spacing w:val="-11"/>
        </w:rPr>
        <w:t xml:space="preserve"> </w:t>
      </w:r>
      <w:r>
        <w:t>sociales</w:t>
      </w:r>
      <w:r>
        <w:rPr>
          <w:spacing w:val="-11"/>
        </w:rPr>
        <w:t xml:space="preserve"> </w:t>
      </w:r>
      <w:r>
        <w:t>del</w:t>
      </w:r>
      <w:r>
        <w:rPr>
          <w:spacing w:val="-10"/>
        </w:rPr>
        <w:t xml:space="preserve"> </w:t>
      </w:r>
      <w:r>
        <w:t>territorio y garantizar las necesidades básicas de la población, como un medio para prevenir la violencia en los territorios</w:t>
      </w:r>
      <w:r w:rsidR="00DA46C7">
        <w:rPr>
          <w:rStyle w:val="Refdenotaalpie"/>
        </w:rPr>
        <w:footnoteReference w:id="795"/>
      </w:r>
      <w:r>
        <w:t>.</w:t>
      </w:r>
    </w:p>
    <w:p w:rsidR="003804AC" w:rsidRDefault="00AF18A5" w:rsidP="00DA46C7">
      <w:bookmarkStart w:id="988" w:name="_bookmark867"/>
      <w:bookmarkStart w:id="989" w:name="_bookmark868"/>
      <w:bookmarkEnd w:id="988"/>
      <w:bookmarkEnd w:id="989"/>
      <w:r>
        <w:t>No obstante, las acciones sociales se desplegaron principalmente como parte de una política</w:t>
      </w:r>
      <w:r>
        <w:rPr>
          <w:spacing w:val="-8"/>
        </w:rPr>
        <w:t xml:space="preserve"> </w:t>
      </w:r>
      <w:r>
        <w:t>de</w:t>
      </w:r>
      <w:r>
        <w:rPr>
          <w:spacing w:val="-8"/>
        </w:rPr>
        <w:t xml:space="preserve"> </w:t>
      </w:r>
      <w:r>
        <w:t>control</w:t>
      </w:r>
      <w:r>
        <w:rPr>
          <w:spacing w:val="-8"/>
        </w:rPr>
        <w:t xml:space="preserve"> </w:t>
      </w:r>
      <w:r>
        <w:t>poblacional</w:t>
      </w:r>
      <w:r>
        <w:rPr>
          <w:spacing w:val="-8"/>
        </w:rPr>
        <w:t xml:space="preserve"> </w:t>
      </w:r>
      <w:r>
        <w:t>y</w:t>
      </w:r>
      <w:r>
        <w:rPr>
          <w:spacing w:val="-8"/>
        </w:rPr>
        <w:t xml:space="preserve"> </w:t>
      </w:r>
      <w:r>
        <w:t>seguridad,</w:t>
      </w:r>
      <w:r>
        <w:rPr>
          <w:spacing w:val="-8"/>
        </w:rPr>
        <w:t xml:space="preserve"> </w:t>
      </w:r>
      <w:r>
        <w:t>no</w:t>
      </w:r>
      <w:r>
        <w:rPr>
          <w:spacing w:val="-7"/>
        </w:rPr>
        <w:t xml:space="preserve"> </w:t>
      </w:r>
      <w:r>
        <w:t>como</w:t>
      </w:r>
      <w:r>
        <w:rPr>
          <w:spacing w:val="-7"/>
        </w:rPr>
        <w:t xml:space="preserve"> </w:t>
      </w:r>
      <w:r>
        <w:t>un</w:t>
      </w:r>
      <w:r>
        <w:rPr>
          <w:spacing w:val="-8"/>
        </w:rPr>
        <w:t xml:space="preserve"> </w:t>
      </w:r>
      <w:r>
        <w:t>fin</w:t>
      </w:r>
      <w:r>
        <w:rPr>
          <w:spacing w:val="-8"/>
        </w:rPr>
        <w:t xml:space="preserve"> </w:t>
      </w:r>
      <w:r>
        <w:t>en</w:t>
      </w:r>
      <w:r>
        <w:rPr>
          <w:spacing w:val="-7"/>
        </w:rPr>
        <w:t xml:space="preserve"> </w:t>
      </w:r>
      <w:r>
        <w:t>sí</w:t>
      </w:r>
      <w:r>
        <w:rPr>
          <w:spacing w:val="-8"/>
        </w:rPr>
        <w:t xml:space="preserve"> </w:t>
      </w:r>
      <w:r>
        <w:t>mismo.</w:t>
      </w:r>
      <w:r>
        <w:rPr>
          <w:spacing w:val="-10"/>
        </w:rPr>
        <w:t xml:space="preserve"> </w:t>
      </w:r>
      <w:r>
        <w:t>Es</w:t>
      </w:r>
      <w:r>
        <w:rPr>
          <w:spacing w:val="-7"/>
        </w:rPr>
        <w:t xml:space="preserve"> </w:t>
      </w:r>
      <w:r>
        <w:t>decir,</w:t>
      </w:r>
      <w:r>
        <w:rPr>
          <w:spacing w:val="-8"/>
        </w:rPr>
        <w:t xml:space="preserve"> </w:t>
      </w:r>
      <w:r>
        <w:t>la</w:t>
      </w:r>
      <w:r>
        <w:rPr>
          <w:spacing w:val="-8"/>
        </w:rPr>
        <w:t xml:space="preserve"> </w:t>
      </w:r>
      <w:r>
        <w:t>garantía de los derechos sociales y económicos de la población se concibe como un medio para garantizar el control territorial, no los derechos de la población.</w:t>
      </w:r>
    </w:p>
    <w:p w:rsidR="003804AC" w:rsidRDefault="00AF18A5" w:rsidP="00DA46C7">
      <w:r>
        <w:t>Las acciones cívico-militares se mantienen hasta hoy en los manuales de las Fuerzas Militares como parte de la denominada «doctrina Damasco», impulsada por el presidente Santos para adaptar el rol de las Fuerzas Armadas a un contexto de paz, en el que las necesidades de seguridad variarían. Esta mantiene esta tipología de intervención militar en los territorios a través de la figura de la «doctrina de la acción integral»</w:t>
      </w:r>
      <w:r w:rsidR="00DA46C7">
        <w:rPr>
          <w:rStyle w:val="Refdenotaalpie"/>
        </w:rPr>
        <w:footnoteReference w:id="796"/>
      </w:r>
      <w:r>
        <w:t>, según la cual:</w:t>
      </w:r>
    </w:p>
    <w:p w:rsidR="003804AC" w:rsidRDefault="00AF18A5" w:rsidP="00DA46C7">
      <w:r>
        <w:t>[...]</w:t>
      </w:r>
      <w:r>
        <w:rPr>
          <w:spacing w:val="-10"/>
        </w:rPr>
        <w:t xml:space="preserve"> </w:t>
      </w:r>
      <w:r>
        <w:t>el</w:t>
      </w:r>
      <w:r>
        <w:rPr>
          <w:spacing w:val="-10"/>
        </w:rPr>
        <w:t xml:space="preserve"> </w:t>
      </w:r>
      <w:r>
        <w:t>Ejército</w:t>
      </w:r>
      <w:r>
        <w:rPr>
          <w:spacing w:val="-10"/>
        </w:rPr>
        <w:t xml:space="preserve"> </w:t>
      </w:r>
      <w:r>
        <w:t>podrá</w:t>
      </w:r>
      <w:r>
        <w:rPr>
          <w:spacing w:val="-11"/>
        </w:rPr>
        <w:t xml:space="preserve"> </w:t>
      </w:r>
      <w:r>
        <w:t>cumplir</w:t>
      </w:r>
      <w:r>
        <w:rPr>
          <w:spacing w:val="-10"/>
        </w:rPr>
        <w:t xml:space="preserve"> </w:t>
      </w:r>
      <w:r>
        <w:t>diferentes</w:t>
      </w:r>
      <w:r>
        <w:rPr>
          <w:spacing w:val="-11"/>
        </w:rPr>
        <w:t xml:space="preserve"> </w:t>
      </w:r>
      <w:r>
        <w:t>misiones</w:t>
      </w:r>
      <w:r>
        <w:rPr>
          <w:spacing w:val="-11"/>
        </w:rPr>
        <w:t xml:space="preserve"> </w:t>
      </w:r>
      <w:r>
        <w:t>derivadas</w:t>
      </w:r>
      <w:r>
        <w:rPr>
          <w:spacing w:val="-11"/>
        </w:rPr>
        <w:t xml:space="preserve"> </w:t>
      </w:r>
      <w:r>
        <w:t>de</w:t>
      </w:r>
      <w:r>
        <w:rPr>
          <w:spacing w:val="-11"/>
        </w:rPr>
        <w:t xml:space="preserve"> </w:t>
      </w:r>
      <w:r>
        <w:t>las</w:t>
      </w:r>
      <w:r>
        <w:rPr>
          <w:spacing w:val="-11"/>
        </w:rPr>
        <w:t xml:space="preserve"> </w:t>
      </w:r>
      <w:r>
        <w:t>responsabilidades</w:t>
      </w:r>
      <w:r>
        <w:rPr>
          <w:spacing w:val="-11"/>
        </w:rPr>
        <w:t xml:space="preserve"> </w:t>
      </w:r>
      <w:r>
        <w:t>que</w:t>
      </w:r>
      <w:r>
        <w:rPr>
          <w:spacing w:val="-11"/>
        </w:rPr>
        <w:t xml:space="preserve"> </w:t>
      </w:r>
      <w:r>
        <w:t>le</w:t>
      </w:r>
      <w:r>
        <w:rPr>
          <w:spacing w:val="-11"/>
        </w:rPr>
        <w:t xml:space="preserve"> </w:t>
      </w:r>
      <w:r>
        <w:t>han sido asignadas por la Constitución Nacional, haciendo un esfuerzo principal en la defensa de la soberanía y la protección interna del territorio, apoyando la realización de tareas complementarias de contribución al desarrollo del país en temas ambientales, de atención de desastres</w:t>
      </w:r>
      <w:r>
        <w:rPr>
          <w:spacing w:val="-7"/>
        </w:rPr>
        <w:t xml:space="preserve"> </w:t>
      </w:r>
      <w:r>
        <w:t>y</w:t>
      </w:r>
      <w:r>
        <w:rPr>
          <w:spacing w:val="-6"/>
        </w:rPr>
        <w:t xml:space="preserve"> </w:t>
      </w:r>
      <w:r>
        <w:t>asistencia</w:t>
      </w:r>
      <w:r>
        <w:rPr>
          <w:spacing w:val="-7"/>
        </w:rPr>
        <w:t xml:space="preserve"> </w:t>
      </w:r>
      <w:r>
        <w:t>humanitaria,</w:t>
      </w:r>
      <w:r>
        <w:rPr>
          <w:spacing w:val="-7"/>
        </w:rPr>
        <w:t xml:space="preserve"> </w:t>
      </w:r>
      <w:r>
        <w:t>así</w:t>
      </w:r>
      <w:r>
        <w:rPr>
          <w:spacing w:val="-7"/>
        </w:rPr>
        <w:t xml:space="preserve"> </w:t>
      </w:r>
      <w:r>
        <w:lastRenderedPageBreak/>
        <w:t>como</w:t>
      </w:r>
      <w:r>
        <w:rPr>
          <w:spacing w:val="-6"/>
        </w:rPr>
        <w:t xml:space="preserve"> </w:t>
      </w:r>
      <w:r>
        <w:t>en</w:t>
      </w:r>
      <w:r>
        <w:rPr>
          <w:spacing w:val="-6"/>
        </w:rPr>
        <w:t xml:space="preserve"> </w:t>
      </w:r>
      <w:r>
        <w:t>la</w:t>
      </w:r>
      <w:r>
        <w:rPr>
          <w:spacing w:val="-7"/>
        </w:rPr>
        <w:t xml:space="preserve"> </w:t>
      </w:r>
      <w:r>
        <w:t>participación</w:t>
      </w:r>
      <w:r>
        <w:rPr>
          <w:spacing w:val="-6"/>
        </w:rPr>
        <w:t xml:space="preserve"> </w:t>
      </w:r>
      <w:r>
        <w:t>en</w:t>
      </w:r>
      <w:r>
        <w:rPr>
          <w:spacing w:val="-6"/>
        </w:rPr>
        <w:t xml:space="preserve"> </w:t>
      </w:r>
      <w:r>
        <w:t>misiones</w:t>
      </w:r>
      <w:r>
        <w:rPr>
          <w:spacing w:val="-7"/>
        </w:rPr>
        <w:t xml:space="preserve"> </w:t>
      </w:r>
      <w:r>
        <w:t>internacionales</w:t>
      </w:r>
      <w:r w:rsidR="00DA46C7">
        <w:rPr>
          <w:rStyle w:val="Refdenotaalpie"/>
        </w:rPr>
        <w:footnoteReference w:id="797"/>
      </w:r>
      <w:r>
        <w:t>.</w:t>
      </w:r>
    </w:p>
    <w:p w:rsidR="003804AC" w:rsidRDefault="00AF18A5" w:rsidP="00DA46C7">
      <w:r>
        <w:t>Entre</w:t>
      </w:r>
      <w:r>
        <w:rPr>
          <w:spacing w:val="-11"/>
        </w:rPr>
        <w:t xml:space="preserve"> </w:t>
      </w:r>
      <w:r>
        <w:t>otros</w:t>
      </w:r>
      <w:r>
        <w:rPr>
          <w:spacing w:val="-12"/>
        </w:rPr>
        <w:t xml:space="preserve"> </w:t>
      </w:r>
      <w:r>
        <w:t>medios,</w:t>
      </w:r>
      <w:r>
        <w:rPr>
          <w:spacing w:val="-12"/>
        </w:rPr>
        <w:t xml:space="preserve"> </w:t>
      </w:r>
      <w:r>
        <w:t>esta</w:t>
      </w:r>
      <w:r>
        <w:rPr>
          <w:spacing w:val="-12"/>
        </w:rPr>
        <w:t xml:space="preserve"> </w:t>
      </w:r>
      <w:r>
        <w:t>doctrina</w:t>
      </w:r>
      <w:r>
        <w:rPr>
          <w:spacing w:val="-11"/>
        </w:rPr>
        <w:t xml:space="preserve"> </w:t>
      </w:r>
      <w:r>
        <w:t>incluye</w:t>
      </w:r>
      <w:r>
        <w:rPr>
          <w:spacing w:val="-11"/>
        </w:rPr>
        <w:t xml:space="preserve"> </w:t>
      </w:r>
      <w:r>
        <w:t>«operaciones</w:t>
      </w:r>
      <w:r>
        <w:rPr>
          <w:spacing w:val="-11"/>
        </w:rPr>
        <w:t xml:space="preserve"> </w:t>
      </w:r>
      <w:r>
        <w:t>de</w:t>
      </w:r>
      <w:r>
        <w:rPr>
          <w:spacing w:val="-12"/>
        </w:rPr>
        <w:t xml:space="preserve"> </w:t>
      </w:r>
      <w:r>
        <w:t>apoyo</w:t>
      </w:r>
      <w:r>
        <w:rPr>
          <w:spacing w:val="-11"/>
        </w:rPr>
        <w:t xml:space="preserve"> </w:t>
      </w:r>
      <w:r>
        <w:t>a</w:t>
      </w:r>
      <w:r>
        <w:rPr>
          <w:spacing w:val="-11"/>
        </w:rPr>
        <w:t xml:space="preserve"> </w:t>
      </w:r>
      <w:r>
        <w:t>la</w:t>
      </w:r>
      <w:r>
        <w:rPr>
          <w:spacing w:val="-12"/>
        </w:rPr>
        <w:t xml:space="preserve"> </w:t>
      </w:r>
      <w:r>
        <w:t>información</w:t>
      </w:r>
      <w:r>
        <w:rPr>
          <w:spacing w:val="-12"/>
        </w:rPr>
        <w:t xml:space="preserve"> </w:t>
      </w:r>
      <w:r>
        <w:t>militar»</w:t>
      </w:r>
      <w:r w:rsidR="00DA46C7">
        <w:rPr>
          <w:rStyle w:val="Refdenotaalpie"/>
        </w:rPr>
        <w:footnoteReference w:id="798"/>
      </w:r>
      <w:r>
        <w:t>. Según las Fuerzas Armadas, la filosofía de la nueva doctrina se representa por una espada que se denominó «Espada de Honor», como elemento integrador de tres procesos base: operaciones, inteligencia y acción integral, los cuales se encuentran reflejados en la cruz de la espada. «Damasco representa la conversión de nuestra doctrina, la nueva visión, el despertar y la transformación doctrinal del Ejército Nacional de Colombia»</w:t>
      </w:r>
      <w:r w:rsidR="00DA46C7">
        <w:rPr>
          <w:rStyle w:val="Refdenotaalpie"/>
        </w:rPr>
        <w:footnoteReference w:id="799"/>
      </w:r>
      <w:r>
        <w:t>. Aunque las acciones</w:t>
      </w:r>
      <w:r>
        <w:rPr>
          <w:spacing w:val="-6"/>
        </w:rPr>
        <w:t xml:space="preserve"> </w:t>
      </w:r>
      <w:r>
        <w:t>civiles</w:t>
      </w:r>
      <w:r>
        <w:rPr>
          <w:spacing w:val="-7"/>
        </w:rPr>
        <w:t xml:space="preserve"> </w:t>
      </w:r>
      <w:r>
        <w:t>por</w:t>
      </w:r>
      <w:r>
        <w:rPr>
          <w:spacing w:val="-5"/>
        </w:rPr>
        <w:t xml:space="preserve"> </w:t>
      </w:r>
      <w:r>
        <w:t>parte</w:t>
      </w:r>
      <w:r>
        <w:rPr>
          <w:spacing w:val="-6"/>
        </w:rPr>
        <w:t xml:space="preserve"> </w:t>
      </w:r>
      <w:r>
        <w:t>de</w:t>
      </w:r>
      <w:r>
        <w:rPr>
          <w:spacing w:val="-6"/>
        </w:rPr>
        <w:t xml:space="preserve"> </w:t>
      </w:r>
      <w:r>
        <w:t>la</w:t>
      </w:r>
      <w:r>
        <w:rPr>
          <w:spacing w:val="-6"/>
        </w:rPr>
        <w:t xml:space="preserve"> </w:t>
      </w:r>
      <w:r>
        <w:t>fuerza</w:t>
      </w:r>
      <w:r>
        <w:rPr>
          <w:spacing w:val="-6"/>
        </w:rPr>
        <w:t xml:space="preserve"> </w:t>
      </w:r>
      <w:r>
        <w:t>pública</w:t>
      </w:r>
      <w:r>
        <w:rPr>
          <w:spacing w:val="-6"/>
        </w:rPr>
        <w:t xml:space="preserve"> </w:t>
      </w:r>
      <w:r>
        <w:t>son</w:t>
      </w:r>
      <w:r>
        <w:rPr>
          <w:spacing w:val="-6"/>
        </w:rPr>
        <w:t xml:space="preserve"> </w:t>
      </w:r>
      <w:r>
        <w:t>comunes</w:t>
      </w:r>
      <w:r>
        <w:rPr>
          <w:spacing w:val="-7"/>
        </w:rPr>
        <w:t xml:space="preserve"> </w:t>
      </w:r>
      <w:r>
        <w:t>en</w:t>
      </w:r>
      <w:r>
        <w:rPr>
          <w:spacing w:val="-6"/>
        </w:rPr>
        <w:t xml:space="preserve"> </w:t>
      </w:r>
      <w:r>
        <w:t>fuerzas</w:t>
      </w:r>
      <w:r>
        <w:rPr>
          <w:spacing w:val="-6"/>
        </w:rPr>
        <w:t xml:space="preserve"> </w:t>
      </w:r>
      <w:r>
        <w:t>armadas</w:t>
      </w:r>
      <w:r>
        <w:rPr>
          <w:spacing w:val="-6"/>
        </w:rPr>
        <w:t xml:space="preserve"> </w:t>
      </w:r>
      <w:r>
        <w:t>de</w:t>
      </w:r>
      <w:r>
        <w:rPr>
          <w:spacing w:val="-6"/>
        </w:rPr>
        <w:t xml:space="preserve"> </w:t>
      </w:r>
      <w:r>
        <w:t>diferentes países, en contextos de conflicto armado pueden poner en riesgo a la población, especialmente si son usadas como medio para realizar actividades de inteligencia y ganar control</w:t>
      </w:r>
      <w:r>
        <w:rPr>
          <w:spacing w:val="-10"/>
        </w:rPr>
        <w:t xml:space="preserve"> </w:t>
      </w:r>
      <w:r>
        <w:t>territorial.</w:t>
      </w:r>
      <w:r>
        <w:rPr>
          <w:spacing w:val="-11"/>
        </w:rPr>
        <w:t xml:space="preserve"> </w:t>
      </w:r>
      <w:r>
        <w:t>Estas</w:t>
      </w:r>
      <w:r>
        <w:rPr>
          <w:spacing w:val="-11"/>
        </w:rPr>
        <w:t xml:space="preserve"> </w:t>
      </w:r>
      <w:r>
        <w:t>acciones</w:t>
      </w:r>
      <w:r>
        <w:rPr>
          <w:spacing w:val="-10"/>
        </w:rPr>
        <w:t xml:space="preserve"> </w:t>
      </w:r>
      <w:r>
        <w:t>pueden</w:t>
      </w:r>
      <w:r>
        <w:rPr>
          <w:spacing w:val="-11"/>
        </w:rPr>
        <w:t xml:space="preserve"> </w:t>
      </w:r>
      <w:r>
        <w:t>tener</w:t>
      </w:r>
      <w:r>
        <w:rPr>
          <w:spacing w:val="-10"/>
        </w:rPr>
        <w:t xml:space="preserve"> </w:t>
      </w:r>
      <w:r>
        <w:t>una</w:t>
      </w:r>
      <w:r>
        <w:rPr>
          <w:spacing w:val="-10"/>
        </w:rPr>
        <w:t xml:space="preserve"> </w:t>
      </w:r>
      <w:r>
        <w:t>connotación</w:t>
      </w:r>
      <w:r>
        <w:rPr>
          <w:spacing w:val="-11"/>
        </w:rPr>
        <w:t xml:space="preserve"> </w:t>
      </w:r>
      <w:r>
        <w:t>distinta</w:t>
      </w:r>
      <w:r>
        <w:rPr>
          <w:spacing w:val="-11"/>
        </w:rPr>
        <w:t xml:space="preserve"> </w:t>
      </w:r>
      <w:r>
        <w:t>y</w:t>
      </w:r>
      <w:r>
        <w:rPr>
          <w:spacing w:val="-10"/>
        </w:rPr>
        <w:t xml:space="preserve"> </w:t>
      </w:r>
      <w:r>
        <w:t>no</w:t>
      </w:r>
      <w:r>
        <w:rPr>
          <w:spacing w:val="-11"/>
        </w:rPr>
        <w:t xml:space="preserve"> </w:t>
      </w:r>
      <w:r>
        <w:t>problemática</w:t>
      </w:r>
      <w:r>
        <w:rPr>
          <w:spacing w:val="-10"/>
        </w:rPr>
        <w:t xml:space="preserve"> </w:t>
      </w:r>
      <w:r>
        <w:rPr>
          <w:spacing w:val="-5"/>
        </w:rPr>
        <w:t>en</w:t>
      </w:r>
      <w:bookmarkStart w:id="990" w:name="_bookmark869"/>
      <w:bookmarkStart w:id="991" w:name="_bookmark870"/>
      <w:bookmarkStart w:id="992" w:name="_bookmark871"/>
      <w:bookmarkStart w:id="993" w:name="_bookmark872"/>
      <w:bookmarkEnd w:id="990"/>
      <w:bookmarkEnd w:id="991"/>
      <w:bookmarkEnd w:id="992"/>
      <w:bookmarkEnd w:id="993"/>
      <w:r w:rsidR="00DA46C7">
        <w:t xml:space="preserve"> </w:t>
      </w:r>
      <w:r>
        <w:t>un contexto de posconflicto, como lo previó el gobierno de Santos, pero su uso es negativo mientras perdure el conflicto armado, en zonas en las que se mantienen las hostilidades. El gobierno del presidente Duque inició una revisión y desmonte de esa doctrina, decisión que generó debate dentro de las Fuerzas Militares.</w:t>
      </w:r>
    </w:p>
    <w:p w:rsidR="0011361F" w:rsidRDefault="00AF18A5" w:rsidP="004A6EF4">
      <w:pPr>
        <w:pStyle w:val="Ttulo3"/>
        <w:numPr>
          <w:ilvl w:val="1"/>
          <w:numId w:val="16"/>
        </w:numPr>
      </w:pPr>
      <w:bookmarkStart w:id="994" w:name="7.4._Modelo_de_inteligencia_y_violacione"/>
      <w:bookmarkStart w:id="995" w:name="_Toc112399620"/>
      <w:bookmarkEnd w:id="994"/>
      <w:r>
        <w:t>Modelo</w:t>
      </w:r>
      <w:r>
        <w:rPr>
          <w:spacing w:val="-6"/>
        </w:rPr>
        <w:t xml:space="preserve"> </w:t>
      </w:r>
      <w:r>
        <w:t>de</w:t>
      </w:r>
      <w:r>
        <w:rPr>
          <w:spacing w:val="-2"/>
        </w:rPr>
        <w:t xml:space="preserve"> </w:t>
      </w:r>
      <w:r w:rsidRPr="00DA46C7">
        <w:t>inteligencia</w:t>
      </w:r>
      <w:r>
        <w:rPr>
          <w:spacing w:val="-2"/>
        </w:rPr>
        <w:t xml:space="preserve"> </w:t>
      </w:r>
      <w:r>
        <w:t>y</w:t>
      </w:r>
      <w:r>
        <w:rPr>
          <w:spacing w:val="-2"/>
        </w:rPr>
        <w:t xml:space="preserve"> </w:t>
      </w:r>
      <w:r>
        <w:t>violaciones</w:t>
      </w:r>
      <w:r>
        <w:rPr>
          <w:spacing w:val="-2"/>
        </w:rPr>
        <w:t xml:space="preserve"> </w:t>
      </w:r>
      <w:r>
        <w:t>de</w:t>
      </w:r>
      <w:r>
        <w:rPr>
          <w:spacing w:val="-2"/>
        </w:rPr>
        <w:t xml:space="preserve"> </w:t>
      </w:r>
      <w:r>
        <w:t>los</w:t>
      </w:r>
      <w:r>
        <w:rPr>
          <w:spacing w:val="-2"/>
        </w:rPr>
        <w:t xml:space="preserve"> </w:t>
      </w:r>
      <w:r>
        <w:t>derechos</w:t>
      </w:r>
      <w:r>
        <w:rPr>
          <w:spacing w:val="-3"/>
        </w:rPr>
        <w:t xml:space="preserve"> </w:t>
      </w:r>
      <w:r>
        <w:rPr>
          <w:spacing w:val="-2"/>
        </w:rPr>
        <w:t>humanos</w:t>
      </w:r>
      <w:bookmarkEnd w:id="995"/>
    </w:p>
    <w:p w:rsidR="003804AC" w:rsidRDefault="00AF18A5" w:rsidP="00494D3D">
      <w:r>
        <w:t xml:space="preserve">Las actividades de inteligencia son parte de la función de los ejércitos y servicios de seguridad de todos los países. En Colombia, desde el Frente </w:t>
      </w:r>
      <w:r>
        <w:lastRenderedPageBreak/>
        <w:t>Nacional, los servicios de inteligencia fueron orientándose con una perspectiva contrainsurgente que consideró a organizaciones</w:t>
      </w:r>
      <w:r>
        <w:rPr>
          <w:spacing w:val="-3"/>
        </w:rPr>
        <w:t xml:space="preserve"> </w:t>
      </w:r>
      <w:r>
        <w:t>sociales</w:t>
      </w:r>
      <w:r>
        <w:rPr>
          <w:spacing w:val="-4"/>
        </w:rPr>
        <w:t xml:space="preserve"> </w:t>
      </w:r>
      <w:r>
        <w:t>y</w:t>
      </w:r>
      <w:r>
        <w:rPr>
          <w:spacing w:val="-3"/>
        </w:rPr>
        <w:t xml:space="preserve"> </w:t>
      </w:r>
      <w:r>
        <w:t>movimientos</w:t>
      </w:r>
      <w:r>
        <w:rPr>
          <w:spacing w:val="-3"/>
        </w:rPr>
        <w:t xml:space="preserve"> </w:t>
      </w:r>
      <w:r>
        <w:t>como</w:t>
      </w:r>
      <w:r>
        <w:rPr>
          <w:spacing w:val="-3"/>
        </w:rPr>
        <w:t xml:space="preserve"> </w:t>
      </w:r>
      <w:r>
        <w:t>base</w:t>
      </w:r>
      <w:r>
        <w:rPr>
          <w:spacing w:val="-3"/>
        </w:rPr>
        <w:t xml:space="preserve"> </w:t>
      </w:r>
      <w:r>
        <w:t>social</w:t>
      </w:r>
      <w:r>
        <w:rPr>
          <w:spacing w:val="-3"/>
        </w:rPr>
        <w:t xml:space="preserve"> </w:t>
      </w:r>
      <w:r>
        <w:t>de</w:t>
      </w:r>
      <w:r>
        <w:rPr>
          <w:spacing w:val="-3"/>
        </w:rPr>
        <w:t xml:space="preserve"> </w:t>
      </w:r>
      <w:r>
        <w:t>las</w:t>
      </w:r>
      <w:r>
        <w:rPr>
          <w:spacing w:val="-3"/>
        </w:rPr>
        <w:t xml:space="preserve"> </w:t>
      </w:r>
      <w:r>
        <w:t>guerrillas,</w:t>
      </w:r>
      <w:r>
        <w:rPr>
          <w:spacing w:val="-5"/>
        </w:rPr>
        <w:t xml:space="preserve"> </w:t>
      </w:r>
      <w:r>
        <w:t>a</w:t>
      </w:r>
      <w:r>
        <w:rPr>
          <w:spacing w:val="-3"/>
        </w:rPr>
        <w:t xml:space="preserve"> </w:t>
      </w:r>
      <w:r>
        <w:t>los</w:t>
      </w:r>
      <w:r>
        <w:rPr>
          <w:spacing w:val="-3"/>
        </w:rPr>
        <w:t xml:space="preserve"> </w:t>
      </w:r>
      <w:r>
        <w:t>cuales</w:t>
      </w:r>
      <w:r>
        <w:rPr>
          <w:spacing w:val="-5"/>
        </w:rPr>
        <w:t xml:space="preserve"> </w:t>
      </w:r>
      <w:r>
        <w:t>había que infiltrar, atacar o neutralizar.</w:t>
      </w:r>
    </w:p>
    <w:p w:rsidR="003804AC" w:rsidRDefault="00AF18A5" w:rsidP="00494D3D">
      <w:r>
        <w:t>En los años cincuenta, se creó el Servicio de Inteligencia Colombiano (SIC) por el gobierno militar de Rojas Pinilla, que había actuado cometiendo numerosas violaciones de derechos</w:t>
      </w:r>
      <w:r>
        <w:rPr>
          <w:spacing w:val="-7"/>
        </w:rPr>
        <w:t xml:space="preserve"> </w:t>
      </w:r>
      <w:r>
        <w:t>humanos</w:t>
      </w:r>
      <w:r>
        <w:rPr>
          <w:spacing w:val="-6"/>
        </w:rPr>
        <w:t xml:space="preserve"> </w:t>
      </w:r>
      <w:r>
        <w:t>con</w:t>
      </w:r>
      <w:r>
        <w:rPr>
          <w:spacing w:val="-7"/>
        </w:rPr>
        <w:t xml:space="preserve"> </w:t>
      </w:r>
      <w:r>
        <w:t>el</w:t>
      </w:r>
      <w:r>
        <w:rPr>
          <w:spacing w:val="-6"/>
        </w:rPr>
        <w:t xml:space="preserve"> </w:t>
      </w:r>
      <w:r>
        <w:t>apoyo</w:t>
      </w:r>
      <w:r>
        <w:rPr>
          <w:spacing w:val="-6"/>
        </w:rPr>
        <w:t xml:space="preserve"> </w:t>
      </w:r>
      <w:r>
        <w:t>de</w:t>
      </w:r>
      <w:r>
        <w:rPr>
          <w:spacing w:val="-7"/>
        </w:rPr>
        <w:t xml:space="preserve"> </w:t>
      </w:r>
      <w:r>
        <w:t>pájaros</w:t>
      </w:r>
      <w:r>
        <w:rPr>
          <w:spacing w:val="-7"/>
        </w:rPr>
        <w:t xml:space="preserve"> </w:t>
      </w:r>
      <w:r>
        <w:t>y</w:t>
      </w:r>
      <w:r>
        <w:rPr>
          <w:spacing w:val="-6"/>
        </w:rPr>
        <w:t xml:space="preserve"> </w:t>
      </w:r>
      <w:proofErr w:type="spellStart"/>
      <w:r>
        <w:t>chulavitas</w:t>
      </w:r>
      <w:proofErr w:type="spellEnd"/>
      <w:r>
        <w:rPr>
          <w:spacing w:val="-6"/>
        </w:rPr>
        <w:t xml:space="preserve"> </w:t>
      </w:r>
      <w:r>
        <w:t>en</w:t>
      </w:r>
      <w:r>
        <w:rPr>
          <w:spacing w:val="-7"/>
        </w:rPr>
        <w:t xml:space="preserve"> </w:t>
      </w:r>
      <w:r>
        <w:t>contra</w:t>
      </w:r>
      <w:r>
        <w:rPr>
          <w:spacing w:val="-6"/>
        </w:rPr>
        <w:t xml:space="preserve"> </w:t>
      </w:r>
      <w:r>
        <w:t>de</w:t>
      </w:r>
      <w:r>
        <w:rPr>
          <w:spacing w:val="-6"/>
        </w:rPr>
        <w:t xml:space="preserve"> </w:t>
      </w:r>
      <w:r>
        <w:t>las</w:t>
      </w:r>
      <w:r>
        <w:rPr>
          <w:spacing w:val="-6"/>
        </w:rPr>
        <w:t xml:space="preserve"> </w:t>
      </w:r>
      <w:r>
        <w:t>guerrillas</w:t>
      </w:r>
      <w:r>
        <w:rPr>
          <w:spacing w:val="-6"/>
        </w:rPr>
        <w:t xml:space="preserve"> </w:t>
      </w:r>
      <w:r>
        <w:t>liberales</w:t>
      </w:r>
      <w:r>
        <w:rPr>
          <w:spacing w:val="-7"/>
        </w:rPr>
        <w:t xml:space="preserve"> </w:t>
      </w:r>
      <w:r>
        <w:t>y comunistas.</w:t>
      </w:r>
      <w:r>
        <w:rPr>
          <w:spacing w:val="-13"/>
        </w:rPr>
        <w:t xml:space="preserve"> </w:t>
      </w:r>
      <w:r>
        <w:t>Posteriormente,</w:t>
      </w:r>
      <w:r>
        <w:rPr>
          <w:spacing w:val="-12"/>
        </w:rPr>
        <w:t xml:space="preserve"> </w:t>
      </w:r>
      <w:r>
        <w:t>el</w:t>
      </w:r>
      <w:r>
        <w:rPr>
          <w:spacing w:val="-11"/>
        </w:rPr>
        <w:t xml:space="preserve"> </w:t>
      </w:r>
      <w:r>
        <w:t>SIC</w:t>
      </w:r>
      <w:r>
        <w:rPr>
          <w:spacing w:val="-12"/>
        </w:rPr>
        <w:t xml:space="preserve"> </w:t>
      </w:r>
      <w:r>
        <w:t>se</w:t>
      </w:r>
      <w:r>
        <w:rPr>
          <w:spacing w:val="-12"/>
        </w:rPr>
        <w:t xml:space="preserve"> </w:t>
      </w:r>
      <w:r>
        <w:t>desmanteló</w:t>
      </w:r>
      <w:r>
        <w:rPr>
          <w:spacing w:val="-12"/>
        </w:rPr>
        <w:t xml:space="preserve"> </w:t>
      </w:r>
      <w:r>
        <w:t>y,</w:t>
      </w:r>
      <w:r>
        <w:rPr>
          <w:spacing w:val="-12"/>
        </w:rPr>
        <w:t xml:space="preserve"> </w:t>
      </w:r>
      <w:r>
        <w:t>en</w:t>
      </w:r>
      <w:r>
        <w:rPr>
          <w:spacing w:val="-12"/>
        </w:rPr>
        <w:t xml:space="preserve"> </w:t>
      </w:r>
      <w:r>
        <w:t>1960,</w:t>
      </w:r>
      <w:r>
        <w:rPr>
          <w:spacing w:val="-13"/>
        </w:rPr>
        <w:t xml:space="preserve"> </w:t>
      </w:r>
      <w:r>
        <w:t>el</w:t>
      </w:r>
      <w:r>
        <w:rPr>
          <w:spacing w:val="-11"/>
        </w:rPr>
        <w:t xml:space="preserve"> </w:t>
      </w:r>
      <w:r>
        <w:t>gobierno</w:t>
      </w:r>
      <w:r>
        <w:rPr>
          <w:spacing w:val="-14"/>
        </w:rPr>
        <w:t xml:space="preserve"> </w:t>
      </w:r>
      <w:r>
        <w:t>de</w:t>
      </w:r>
      <w:r>
        <w:rPr>
          <w:spacing w:val="-12"/>
        </w:rPr>
        <w:t xml:space="preserve"> </w:t>
      </w:r>
      <w:r>
        <w:t>Lleras</w:t>
      </w:r>
      <w:r>
        <w:rPr>
          <w:spacing w:val="-12"/>
        </w:rPr>
        <w:t xml:space="preserve"> </w:t>
      </w:r>
      <w:r>
        <w:t>Camargo creó el DAS, cuyas estructuras de inteligencia dependían directamente del presidente. El DAS</w:t>
      </w:r>
      <w:r>
        <w:rPr>
          <w:spacing w:val="-5"/>
        </w:rPr>
        <w:t xml:space="preserve"> </w:t>
      </w:r>
      <w:r>
        <w:t>estuvo</w:t>
      </w:r>
      <w:r>
        <w:rPr>
          <w:spacing w:val="-4"/>
        </w:rPr>
        <w:t xml:space="preserve"> </w:t>
      </w:r>
      <w:r>
        <w:t>implicado</w:t>
      </w:r>
      <w:r>
        <w:rPr>
          <w:spacing w:val="-5"/>
        </w:rPr>
        <w:t xml:space="preserve"> </w:t>
      </w:r>
      <w:r>
        <w:t>en</w:t>
      </w:r>
      <w:r>
        <w:rPr>
          <w:spacing w:val="-5"/>
        </w:rPr>
        <w:t xml:space="preserve"> </w:t>
      </w:r>
      <w:r>
        <w:t>graves</w:t>
      </w:r>
      <w:r>
        <w:rPr>
          <w:spacing w:val="-5"/>
        </w:rPr>
        <w:t xml:space="preserve"> </w:t>
      </w:r>
      <w:r>
        <w:t>violaciones</w:t>
      </w:r>
      <w:r>
        <w:rPr>
          <w:spacing w:val="-5"/>
        </w:rPr>
        <w:t xml:space="preserve"> </w:t>
      </w:r>
      <w:r>
        <w:t>de</w:t>
      </w:r>
      <w:r>
        <w:rPr>
          <w:spacing w:val="-5"/>
        </w:rPr>
        <w:t xml:space="preserve"> </w:t>
      </w:r>
      <w:r>
        <w:t>derechos</w:t>
      </w:r>
      <w:r>
        <w:rPr>
          <w:spacing w:val="-5"/>
        </w:rPr>
        <w:t xml:space="preserve"> </w:t>
      </w:r>
      <w:r>
        <w:t>humanos</w:t>
      </w:r>
      <w:r>
        <w:rPr>
          <w:spacing w:val="-5"/>
        </w:rPr>
        <w:t xml:space="preserve"> </w:t>
      </w:r>
      <w:r>
        <w:t>desde</w:t>
      </w:r>
      <w:r>
        <w:rPr>
          <w:spacing w:val="-5"/>
        </w:rPr>
        <w:t xml:space="preserve"> </w:t>
      </w:r>
      <w:r>
        <w:t>sus</w:t>
      </w:r>
      <w:r>
        <w:rPr>
          <w:spacing w:val="-5"/>
        </w:rPr>
        <w:t xml:space="preserve"> </w:t>
      </w:r>
      <w:r>
        <w:t>inicios.</w:t>
      </w:r>
      <w:r>
        <w:rPr>
          <w:spacing w:val="-5"/>
        </w:rPr>
        <w:t xml:space="preserve"> </w:t>
      </w:r>
      <w:r>
        <w:t>Con</w:t>
      </w:r>
      <w:r>
        <w:rPr>
          <w:spacing w:val="-5"/>
        </w:rPr>
        <w:t xml:space="preserve"> </w:t>
      </w:r>
      <w:r>
        <w:t>la consolidación del paramilitarismo, el DAS participa en el exterminio de la Unión Patriótica y en actividades de inteligencia en contra de defensores de derechos humanos, de líderes políticos y hasta de la Corte Suprema de Justicia entre los años 2003 y 2006. Fue desmantelado en el 2011.</w:t>
      </w:r>
    </w:p>
    <w:p w:rsidR="003804AC" w:rsidRDefault="00AF18A5" w:rsidP="00494D3D">
      <w:r>
        <w:t>Por otra parte, se crearon los servicios militares de inteligencia: primero la Brigada de Institutos</w:t>
      </w:r>
      <w:r>
        <w:rPr>
          <w:spacing w:val="-2"/>
        </w:rPr>
        <w:t xml:space="preserve"> </w:t>
      </w:r>
      <w:r>
        <w:t>Militares</w:t>
      </w:r>
      <w:r>
        <w:rPr>
          <w:spacing w:val="-1"/>
        </w:rPr>
        <w:t xml:space="preserve"> </w:t>
      </w:r>
      <w:r>
        <w:t>(BIM)</w:t>
      </w:r>
      <w:r>
        <w:rPr>
          <w:spacing w:val="-1"/>
        </w:rPr>
        <w:t xml:space="preserve"> </w:t>
      </w:r>
      <w:r>
        <w:t>y</w:t>
      </w:r>
      <w:r>
        <w:rPr>
          <w:spacing w:val="-1"/>
        </w:rPr>
        <w:t xml:space="preserve"> </w:t>
      </w:r>
      <w:r>
        <w:t>luego,</w:t>
      </w:r>
      <w:r>
        <w:rPr>
          <w:spacing w:val="-2"/>
        </w:rPr>
        <w:t xml:space="preserve"> </w:t>
      </w:r>
      <w:r>
        <w:t>en</w:t>
      </w:r>
      <w:r>
        <w:rPr>
          <w:spacing w:val="-1"/>
        </w:rPr>
        <w:t xml:space="preserve"> </w:t>
      </w:r>
      <w:r>
        <w:t>1965,</w:t>
      </w:r>
      <w:r>
        <w:rPr>
          <w:spacing w:val="-1"/>
        </w:rPr>
        <w:t xml:space="preserve"> </w:t>
      </w:r>
      <w:r>
        <w:t>el</w:t>
      </w:r>
      <w:r>
        <w:rPr>
          <w:spacing w:val="-2"/>
        </w:rPr>
        <w:t xml:space="preserve"> </w:t>
      </w:r>
      <w:r>
        <w:t>Batallón</w:t>
      </w:r>
      <w:r>
        <w:rPr>
          <w:spacing w:val="-2"/>
        </w:rPr>
        <w:t xml:space="preserve"> </w:t>
      </w:r>
      <w:r>
        <w:t>de</w:t>
      </w:r>
      <w:r>
        <w:rPr>
          <w:spacing w:val="-2"/>
        </w:rPr>
        <w:t xml:space="preserve"> </w:t>
      </w:r>
      <w:r>
        <w:t>Inteligencia</w:t>
      </w:r>
      <w:r>
        <w:rPr>
          <w:spacing w:val="-2"/>
        </w:rPr>
        <w:t xml:space="preserve"> </w:t>
      </w:r>
      <w:r>
        <w:t>y</w:t>
      </w:r>
      <w:r>
        <w:rPr>
          <w:spacing w:val="-1"/>
        </w:rPr>
        <w:t xml:space="preserve"> </w:t>
      </w:r>
      <w:r>
        <w:t>Contrainteligencia “Brigadier General Ricardo Charry Solano” (</w:t>
      </w:r>
      <w:proofErr w:type="spellStart"/>
      <w:r>
        <w:t>Binci</w:t>
      </w:r>
      <w:proofErr w:type="spellEnd"/>
      <w:r>
        <w:t>), en el gobierno conservador de Guillermo León Valencia. Esa brigada y ese batallón cometieron numerosas violaciones de derechos</w:t>
      </w:r>
      <w:r>
        <w:rPr>
          <w:spacing w:val="-5"/>
        </w:rPr>
        <w:t xml:space="preserve"> </w:t>
      </w:r>
      <w:r>
        <w:t>humanos,</w:t>
      </w:r>
      <w:r>
        <w:rPr>
          <w:spacing w:val="-5"/>
        </w:rPr>
        <w:t xml:space="preserve"> </w:t>
      </w:r>
      <w:r>
        <w:t>como</w:t>
      </w:r>
      <w:r>
        <w:rPr>
          <w:spacing w:val="-5"/>
        </w:rPr>
        <w:t xml:space="preserve"> </w:t>
      </w:r>
      <w:r>
        <w:t>torturas,</w:t>
      </w:r>
      <w:r>
        <w:rPr>
          <w:spacing w:val="-5"/>
        </w:rPr>
        <w:t xml:space="preserve"> </w:t>
      </w:r>
      <w:r>
        <w:t>ejecuciones</w:t>
      </w:r>
      <w:r>
        <w:rPr>
          <w:spacing w:val="-5"/>
        </w:rPr>
        <w:t xml:space="preserve"> </w:t>
      </w:r>
      <w:r>
        <w:t>y</w:t>
      </w:r>
      <w:r>
        <w:rPr>
          <w:spacing w:val="-6"/>
        </w:rPr>
        <w:t xml:space="preserve"> </w:t>
      </w:r>
      <w:r>
        <w:t>desapariciones</w:t>
      </w:r>
      <w:r>
        <w:rPr>
          <w:spacing w:val="-4"/>
        </w:rPr>
        <w:t xml:space="preserve"> </w:t>
      </w:r>
      <w:r>
        <w:t>forzadas</w:t>
      </w:r>
      <w:r>
        <w:rPr>
          <w:spacing w:val="-6"/>
        </w:rPr>
        <w:t xml:space="preserve"> </w:t>
      </w:r>
      <w:r>
        <w:t>durante</w:t>
      </w:r>
      <w:r>
        <w:rPr>
          <w:spacing w:val="-6"/>
        </w:rPr>
        <w:t xml:space="preserve"> </w:t>
      </w:r>
      <w:r>
        <w:t>el</w:t>
      </w:r>
      <w:r>
        <w:rPr>
          <w:spacing w:val="-4"/>
        </w:rPr>
        <w:t xml:space="preserve"> </w:t>
      </w:r>
      <w:r>
        <w:t>Estatuto de</w:t>
      </w:r>
      <w:r>
        <w:rPr>
          <w:spacing w:val="-5"/>
        </w:rPr>
        <w:t xml:space="preserve"> </w:t>
      </w:r>
      <w:r>
        <w:t>Seguridad,</w:t>
      </w:r>
      <w:r>
        <w:rPr>
          <w:spacing w:val="-5"/>
        </w:rPr>
        <w:t xml:space="preserve"> </w:t>
      </w:r>
      <w:r>
        <w:t>en</w:t>
      </w:r>
      <w:r>
        <w:rPr>
          <w:spacing w:val="-5"/>
        </w:rPr>
        <w:t xml:space="preserve"> </w:t>
      </w:r>
      <w:r>
        <w:t>la</w:t>
      </w:r>
      <w:r>
        <w:rPr>
          <w:spacing w:val="-5"/>
        </w:rPr>
        <w:t xml:space="preserve"> </w:t>
      </w:r>
      <w:r>
        <w:t>persecución</w:t>
      </w:r>
      <w:r>
        <w:rPr>
          <w:spacing w:val="-5"/>
        </w:rPr>
        <w:t xml:space="preserve"> </w:t>
      </w:r>
      <w:r>
        <w:t>al</w:t>
      </w:r>
      <w:r>
        <w:rPr>
          <w:spacing w:val="-6"/>
        </w:rPr>
        <w:t xml:space="preserve"> </w:t>
      </w:r>
      <w:r>
        <w:t>M-19</w:t>
      </w:r>
      <w:r>
        <w:rPr>
          <w:spacing w:val="-5"/>
        </w:rPr>
        <w:t xml:space="preserve"> </w:t>
      </w:r>
      <w:r>
        <w:t>después</w:t>
      </w:r>
      <w:r>
        <w:rPr>
          <w:spacing w:val="-5"/>
        </w:rPr>
        <w:t xml:space="preserve"> </w:t>
      </w:r>
      <w:r>
        <w:t>del</w:t>
      </w:r>
      <w:r>
        <w:rPr>
          <w:spacing w:val="-4"/>
        </w:rPr>
        <w:t xml:space="preserve"> </w:t>
      </w:r>
      <w:r>
        <w:t>robo</w:t>
      </w:r>
      <w:r>
        <w:rPr>
          <w:spacing w:val="-5"/>
        </w:rPr>
        <w:t xml:space="preserve"> </w:t>
      </w:r>
      <w:r>
        <w:t>de</w:t>
      </w:r>
      <w:r>
        <w:rPr>
          <w:spacing w:val="-5"/>
        </w:rPr>
        <w:t xml:space="preserve"> </w:t>
      </w:r>
      <w:r>
        <w:t>armas</w:t>
      </w:r>
      <w:r>
        <w:rPr>
          <w:spacing w:val="-5"/>
        </w:rPr>
        <w:t xml:space="preserve"> </w:t>
      </w:r>
      <w:r>
        <w:t>del</w:t>
      </w:r>
      <w:r>
        <w:rPr>
          <w:spacing w:val="-6"/>
        </w:rPr>
        <w:t xml:space="preserve"> </w:t>
      </w:r>
      <w:r>
        <w:t>Cantón</w:t>
      </w:r>
      <w:r>
        <w:rPr>
          <w:spacing w:val="-5"/>
        </w:rPr>
        <w:t xml:space="preserve"> </w:t>
      </w:r>
      <w:r>
        <w:t>Norte</w:t>
      </w:r>
      <w:r>
        <w:rPr>
          <w:spacing w:val="-5"/>
        </w:rPr>
        <w:t xml:space="preserve"> </w:t>
      </w:r>
      <w:r>
        <w:t>y</w:t>
      </w:r>
      <w:r>
        <w:rPr>
          <w:spacing w:val="-5"/>
        </w:rPr>
        <w:t xml:space="preserve"> </w:t>
      </w:r>
      <w:r>
        <w:t>en</w:t>
      </w:r>
      <w:r>
        <w:rPr>
          <w:spacing w:val="-5"/>
        </w:rPr>
        <w:t xml:space="preserve"> </w:t>
      </w:r>
      <w:r>
        <w:t>el caso del Palacio de Justicia, entre otros muchos.</w:t>
      </w:r>
    </w:p>
    <w:p w:rsidR="003804AC" w:rsidRDefault="00AF18A5" w:rsidP="00494D3D">
      <w:r>
        <w:t>Tras sucesivos escándalos, se creó la Brigada XX del Ejército, en 1985, durante el gobierno</w:t>
      </w:r>
      <w:r>
        <w:rPr>
          <w:spacing w:val="2"/>
        </w:rPr>
        <w:t xml:space="preserve"> </w:t>
      </w:r>
      <w:r>
        <w:t>de</w:t>
      </w:r>
      <w:r>
        <w:rPr>
          <w:spacing w:val="3"/>
        </w:rPr>
        <w:t xml:space="preserve"> </w:t>
      </w:r>
      <w:r>
        <w:t>Belisario</w:t>
      </w:r>
      <w:r>
        <w:rPr>
          <w:spacing w:val="4"/>
        </w:rPr>
        <w:t xml:space="preserve"> </w:t>
      </w:r>
      <w:r>
        <w:t>Betancur,</w:t>
      </w:r>
      <w:r>
        <w:rPr>
          <w:spacing w:val="4"/>
        </w:rPr>
        <w:t xml:space="preserve"> </w:t>
      </w:r>
      <w:r>
        <w:t>como</w:t>
      </w:r>
      <w:r>
        <w:rPr>
          <w:spacing w:val="5"/>
        </w:rPr>
        <w:t xml:space="preserve"> </w:t>
      </w:r>
      <w:r>
        <w:t>alternativa</w:t>
      </w:r>
      <w:r>
        <w:rPr>
          <w:spacing w:val="3"/>
        </w:rPr>
        <w:t xml:space="preserve"> </w:t>
      </w:r>
      <w:r>
        <w:t>a</w:t>
      </w:r>
      <w:r>
        <w:rPr>
          <w:spacing w:val="4"/>
        </w:rPr>
        <w:t xml:space="preserve"> </w:t>
      </w:r>
      <w:r>
        <w:t>los</w:t>
      </w:r>
      <w:r>
        <w:rPr>
          <w:spacing w:val="5"/>
        </w:rPr>
        <w:t xml:space="preserve"> </w:t>
      </w:r>
      <w:r>
        <w:lastRenderedPageBreak/>
        <w:t>mecanismos</w:t>
      </w:r>
      <w:r>
        <w:rPr>
          <w:spacing w:val="4"/>
        </w:rPr>
        <w:t xml:space="preserve"> </w:t>
      </w:r>
      <w:r>
        <w:t>anteriores</w:t>
      </w:r>
      <w:r>
        <w:rPr>
          <w:spacing w:val="5"/>
        </w:rPr>
        <w:t xml:space="preserve"> </w:t>
      </w:r>
      <w:r>
        <w:rPr>
          <w:spacing w:val="-2"/>
        </w:rPr>
        <w:t>involucrados</w:t>
      </w:r>
      <w:r w:rsidR="00494D3D">
        <w:t xml:space="preserve"> </w:t>
      </w:r>
      <w:r>
        <w:t>en</w:t>
      </w:r>
      <w:r>
        <w:rPr>
          <w:spacing w:val="-2"/>
        </w:rPr>
        <w:t xml:space="preserve"> </w:t>
      </w:r>
      <w:r>
        <w:t>violaciones</w:t>
      </w:r>
      <w:r>
        <w:rPr>
          <w:spacing w:val="-2"/>
        </w:rPr>
        <w:t xml:space="preserve"> </w:t>
      </w:r>
      <w:r>
        <w:t>masivas</w:t>
      </w:r>
      <w:r>
        <w:rPr>
          <w:spacing w:val="-2"/>
        </w:rPr>
        <w:t xml:space="preserve"> </w:t>
      </w:r>
      <w:r>
        <w:t>de</w:t>
      </w:r>
      <w:r>
        <w:rPr>
          <w:spacing w:val="-2"/>
        </w:rPr>
        <w:t xml:space="preserve"> </w:t>
      </w:r>
      <w:r>
        <w:t>derechos</w:t>
      </w:r>
      <w:r>
        <w:rPr>
          <w:spacing w:val="-2"/>
        </w:rPr>
        <w:t xml:space="preserve"> </w:t>
      </w:r>
      <w:r>
        <w:t>humanos.</w:t>
      </w:r>
      <w:r>
        <w:rPr>
          <w:spacing w:val="-2"/>
        </w:rPr>
        <w:t xml:space="preserve"> </w:t>
      </w:r>
      <w:r>
        <w:t>La</w:t>
      </w:r>
      <w:r>
        <w:rPr>
          <w:spacing w:val="-3"/>
        </w:rPr>
        <w:t xml:space="preserve"> </w:t>
      </w:r>
      <w:r>
        <w:t>Brigada</w:t>
      </w:r>
      <w:r>
        <w:rPr>
          <w:spacing w:val="-2"/>
        </w:rPr>
        <w:t xml:space="preserve"> </w:t>
      </w:r>
      <w:r>
        <w:t>XX</w:t>
      </w:r>
      <w:r>
        <w:rPr>
          <w:spacing w:val="-3"/>
        </w:rPr>
        <w:t xml:space="preserve"> </w:t>
      </w:r>
      <w:r>
        <w:t>tuvo</w:t>
      </w:r>
      <w:r>
        <w:rPr>
          <w:spacing w:val="-2"/>
        </w:rPr>
        <w:t xml:space="preserve"> </w:t>
      </w:r>
      <w:r>
        <w:t>que</w:t>
      </w:r>
      <w:r>
        <w:rPr>
          <w:spacing w:val="-2"/>
        </w:rPr>
        <w:t xml:space="preserve"> </w:t>
      </w:r>
      <w:r>
        <w:t>ser</w:t>
      </w:r>
      <w:r>
        <w:rPr>
          <w:spacing w:val="-2"/>
        </w:rPr>
        <w:t xml:space="preserve"> </w:t>
      </w:r>
      <w:r>
        <w:t>desmantelada</w:t>
      </w:r>
      <w:r>
        <w:rPr>
          <w:spacing w:val="-2"/>
        </w:rPr>
        <w:t xml:space="preserve"> </w:t>
      </w:r>
      <w:r>
        <w:t>en 1998,</w:t>
      </w:r>
      <w:r>
        <w:rPr>
          <w:spacing w:val="-4"/>
        </w:rPr>
        <w:t xml:space="preserve"> </w:t>
      </w:r>
      <w:r>
        <w:t>en</w:t>
      </w:r>
      <w:r>
        <w:rPr>
          <w:spacing w:val="-4"/>
        </w:rPr>
        <w:t xml:space="preserve"> </w:t>
      </w:r>
      <w:r>
        <w:t>medio</w:t>
      </w:r>
      <w:r>
        <w:rPr>
          <w:spacing w:val="-4"/>
        </w:rPr>
        <w:t xml:space="preserve"> </w:t>
      </w:r>
      <w:r>
        <w:t>de</w:t>
      </w:r>
      <w:r>
        <w:rPr>
          <w:spacing w:val="-3"/>
        </w:rPr>
        <w:t xml:space="preserve"> </w:t>
      </w:r>
      <w:r>
        <w:t>fuertes</w:t>
      </w:r>
      <w:r>
        <w:rPr>
          <w:spacing w:val="-3"/>
        </w:rPr>
        <w:t xml:space="preserve"> </w:t>
      </w:r>
      <w:r>
        <w:t>presiones</w:t>
      </w:r>
      <w:r>
        <w:rPr>
          <w:spacing w:val="-5"/>
        </w:rPr>
        <w:t xml:space="preserve"> </w:t>
      </w:r>
      <w:r>
        <w:t>del</w:t>
      </w:r>
      <w:r>
        <w:rPr>
          <w:spacing w:val="-3"/>
        </w:rPr>
        <w:t xml:space="preserve"> </w:t>
      </w:r>
      <w:r>
        <w:t>gobierno</w:t>
      </w:r>
      <w:r>
        <w:rPr>
          <w:spacing w:val="-5"/>
        </w:rPr>
        <w:t xml:space="preserve"> </w:t>
      </w:r>
      <w:r>
        <w:t>de</w:t>
      </w:r>
      <w:r>
        <w:rPr>
          <w:spacing w:val="-3"/>
        </w:rPr>
        <w:t xml:space="preserve"> </w:t>
      </w:r>
      <w:r>
        <w:t>Estados</w:t>
      </w:r>
      <w:r>
        <w:rPr>
          <w:spacing w:val="-5"/>
        </w:rPr>
        <w:t xml:space="preserve"> </w:t>
      </w:r>
      <w:r>
        <w:t>Unidos</w:t>
      </w:r>
      <w:r>
        <w:rPr>
          <w:spacing w:val="-3"/>
        </w:rPr>
        <w:t xml:space="preserve"> </w:t>
      </w:r>
      <w:r>
        <w:t>por</w:t>
      </w:r>
      <w:r>
        <w:rPr>
          <w:spacing w:val="-3"/>
        </w:rPr>
        <w:t xml:space="preserve"> </w:t>
      </w:r>
      <w:r>
        <w:t>su</w:t>
      </w:r>
      <w:r>
        <w:rPr>
          <w:spacing w:val="-4"/>
        </w:rPr>
        <w:t xml:space="preserve"> </w:t>
      </w:r>
      <w:r>
        <w:t>involucramiento en ejecuciones extrajudiciales y desapariciones forzadas y por su relación con grupos paramilitares. Mientras tanto, el F2, estructura de inteligencia de la Policía, se vio involucrado en las mismas violaciones de derechos humanos y en vínculos con paramilitarismo y narcotráfico, por lo cual fue disuelto en 1995.</w:t>
      </w:r>
    </w:p>
    <w:p w:rsidR="003804AC" w:rsidRDefault="00AF18A5" w:rsidP="00494D3D">
      <w:r>
        <w:t>Las agencias de inteligencia infiltraron en diferentes épocas a grupos guerrilleros, pero también a partidos y movimientos políticos de oposición, sindicatos y organizaciones sociales, cívicas y culturales. También la impunidad y la opacidad total en la rendición de cuentas ha sido un factor de persistencia de las responsabilidades de organismos de inteligencia</w:t>
      </w:r>
      <w:r>
        <w:rPr>
          <w:spacing w:val="-1"/>
        </w:rPr>
        <w:t xml:space="preserve"> </w:t>
      </w:r>
      <w:r>
        <w:t>en violaciones de derechos humanos.</w:t>
      </w:r>
      <w:r>
        <w:rPr>
          <w:spacing w:val="-1"/>
        </w:rPr>
        <w:t xml:space="preserve"> </w:t>
      </w:r>
      <w:r>
        <w:t>Por ejemplo, la Brigada XX contó con un doble registro de hojas de vida que, en caso de investigaciones judiciales</w:t>
      </w:r>
      <w:r>
        <w:rPr>
          <w:spacing w:val="-1"/>
        </w:rPr>
        <w:t xml:space="preserve"> </w:t>
      </w:r>
      <w:r>
        <w:t>o disciplinarias, le permitía presentar a los funcionarios como civiles, negar la responsabilidad institucional y desviar las investigaciones</w:t>
      </w:r>
      <w:r w:rsidR="00494D3D">
        <w:rPr>
          <w:rStyle w:val="Refdenotaalpie"/>
        </w:rPr>
        <w:footnoteReference w:id="800"/>
      </w:r>
      <w:r>
        <w:t>.</w:t>
      </w:r>
    </w:p>
    <w:p w:rsidR="0011361F" w:rsidRDefault="00AF18A5" w:rsidP="00494D3D">
      <w:r>
        <w:t>Estas</w:t>
      </w:r>
      <w:r>
        <w:rPr>
          <w:spacing w:val="-10"/>
        </w:rPr>
        <w:t xml:space="preserve"> </w:t>
      </w:r>
      <w:r>
        <w:t>estructuras</w:t>
      </w:r>
      <w:r>
        <w:rPr>
          <w:spacing w:val="-10"/>
        </w:rPr>
        <w:t xml:space="preserve"> </w:t>
      </w:r>
      <w:r>
        <w:t>de</w:t>
      </w:r>
      <w:r>
        <w:rPr>
          <w:spacing w:val="-10"/>
        </w:rPr>
        <w:t xml:space="preserve"> </w:t>
      </w:r>
      <w:r>
        <w:t>inteligencia</w:t>
      </w:r>
      <w:r>
        <w:rPr>
          <w:spacing w:val="-10"/>
        </w:rPr>
        <w:t xml:space="preserve"> </w:t>
      </w:r>
      <w:r>
        <w:t>del</w:t>
      </w:r>
      <w:r>
        <w:rPr>
          <w:spacing w:val="-10"/>
        </w:rPr>
        <w:t xml:space="preserve"> </w:t>
      </w:r>
      <w:r>
        <w:t>Estado</w:t>
      </w:r>
      <w:r>
        <w:rPr>
          <w:spacing w:val="-11"/>
        </w:rPr>
        <w:t xml:space="preserve"> </w:t>
      </w:r>
      <w:r>
        <w:t>terminaron</w:t>
      </w:r>
      <w:r>
        <w:rPr>
          <w:spacing w:val="-11"/>
        </w:rPr>
        <w:t xml:space="preserve"> </w:t>
      </w:r>
      <w:r>
        <w:t>usando</w:t>
      </w:r>
      <w:r>
        <w:rPr>
          <w:spacing w:val="-12"/>
        </w:rPr>
        <w:t xml:space="preserve"> </w:t>
      </w:r>
      <w:r>
        <w:t>sus</w:t>
      </w:r>
      <w:r>
        <w:rPr>
          <w:spacing w:val="-11"/>
        </w:rPr>
        <w:t xml:space="preserve"> </w:t>
      </w:r>
      <w:r>
        <w:t>funciones</w:t>
      </w:r>
      <w:r>
        <w:rPr>
          <w:spacing w:val="-11"/>
        </w:rPr>
        <w:t xml:space="preserve"> </w:t>
      </w:r>
      <w:r>
        <w:t>de</w:t>
      </w:r>
      <w:r>
        <w:rPr>
          <w:spacing w:val="-10"/>
        </w:rPr>
        <w:t xml:space="preserve"> </w:t>
      </w:r>
      <w:r>
        <w:t>seguridad para perseguir a personas de grupos alternativos, organizaciones sociales y opositores políticos; llevaron a cabo no solo seguimientos e interceptaciones ilegales, ya de por sí graves, sino también ejecuciones extrajudiciales, torturas y desapariciones forzadas; y actuaron</w:t>
      </w:r>
      <w:r>
        <w:rPr>
          <w:spacing w:val="-1"/>
        </w:rPr>
        <w:t xml:space="preserve"> </w:t>
      </w:r>
      <w:r>
        <w:t>de</w:t>
      </w:r>
      <w:r>
        <w:rPr>
          <w:spacing w:val="-2"/>
        </w:rPr>
        <w:t xml:space="preserve"> </w:t>
      </w:r>
      <w:r>
        <w:t>diferentes</w:t>
      </w:r>
      <w:r>
        <w:rPr>
          <w:spacing w:val="-1"/>
        </w:rPr>
        <w:t xml:space="preserve"> </w:t>
      </w:r>
      <w:r>
        <w:t>maneras</w:t>
      </w:r>
      <w:r>
        <w:rPr>
          <w:spacing w:val="-1"/>
        </w:rPr>
        <w:t xml:space="preserve"> </w:t>
      </w:r>
      <w:r>
        <w:t>en</w:t>
      </w:r>
      <w:r>
        <w:rPr>
          <w:spacing w:val="-2"/>
        </w:rPr>
        <w:t xml:space="preserve"> </w:t>
      </w:r>
      <w:r>
        <w:t>coordinación</w:t>
      </w:r>
      <w:r>
        <w:rPr>
          <w:spacing w:val="-1"/>
        </w:rPr>
        <w:t xml:space="preserve"> </w:t>
      </w:r>
      <w:r>
        <w:t>con</w:t>
      </w:r>
      <w:r>
        <w:rPr>
          <w:spacing w:val="-1"/>
        </w:rPr>
        <w:t xml:space="preserve"> </w:t>
      </w:r>
      <w:r>
        <w:t>grupos</w:t>
      </w:r>
      <w:r>
        <w:rPr>
          <w:spacing w:val="-1"/>
        </w:rPr>
        <w:t xml:space="preserve"> </w:t>
      </w:r>
      <w:r>
        <w:t>civiles</w:t>
      </w:r>
      <w:r>
        <w:rPr>
          <w:spacing w:val="-1"/>
        </w:rPr>
        <w:t xml:space="preserve"> </w:t>
      </w:r>
      <w:r>
        <w:t>armados</w:t>
      </w:r>
      <w:r>
        <w:rPr>
          <w:spacing w:val="-1"/>
        </w:rPr>
        <w:t xml:space="preserve"> </w:t>
      </w:r>
      <w:r>
        <w:t>y</w:t>
      </w:r>
      <w:r>
        <w:rPr>
          <w:spacing w:val="-1"/>
        </w:rPr>
        <w:t xml:space="preserve"> </w:t>
      </w:r>
      <w:r>
        <w:t xml:space="preserve">paramilitares. La reserva de la información de inteligencia, el uso de gastos reservados y la ausencia </w:t>
      </w:r>
      <w:r>
        <w:lastRenderedPageBreak/>
        <w:t>de controles independientes facilitaron la impunidad de los hechos. En algunos casos estas estructuras de inteligencia llevaron a cabo ejecuciones extrajudiciales a través de bandas o sicarios.</w:t>
      </w:r>
      <w:r>
        <w:rPr>
          <w:spacing w:val="-7"/>
        </w:rPr>
        <w:t xml:space="preserve"> </w:t>
      </w:r>
      <w:r>
        <w:t>Por</w:t>
      </w:r>
      <w:r>
        <w:rPr>
          <w:spacing w:val="-8"/>
        </w:rPr>
        <w:t xml:space="preserve"> </w:t>
      </w:r>
      <w:r>
        <w:t>ejemplo,</w:t>
      </w:r>
      <w:r>
        <w:rPr>
          <w:spacing w:val="-7"/>
        </w:rPr>
        <w:t xml:space="preserve"> </w:t>
      </w:r>
      <w:r>
        <w:t>a</w:t>
      </w:r>
      <w:r>
        <w:rPr>
          <w:spacing w:val="-7"/>
        </w:rPr>
        <w:t xml:space="preserve"> </w:t>
      </w:r>
      <w:r>
        <w:t>finales</w:t>
      </w:r>
      <w:r>
        <w:rPr>
          <w:spacing w:val="-7"/>
        </w:rPr>
        <w:t xml:space="preserve"> </w:t>
      </w:r>
      <w:r>
        <w:t>de</w:t>
      </w:r>
      <w:r>
        <w:rPr>
          <w:spacing w:val="-7"/>
        </w:rPr>
        <w:t xml:space="preserve"> </w:t>
      </w:r>
      <w:r>
        <w:t>los</w:t>
      </w:r>
      <w:r>
        <w:rPr>
          <w:spacing w:val="-8"/>
        </w:rPr>
        <w:t xml:space="preserve"> </w:t>
      </w:r>
      <w:r>
        <w:t>años</w:t>
      </w:r>
      <w:r>
        <w:rPr>
          <w:spacing w:val="-7"/>
        </w:rPr>
        <w:t xml:space="preserve"> </w:t>
      </w:r>
      <w:r>
        <w:t>ochenta,</w:t>
      </w:r>
      <w:r>
        <w:rPr>
          <w:spacing w:val="-7"/>
        </w:rPr>
        <w:t xml:space="preserve"> </w:t>
      </w:r>
      <w:r>
        <w:t>la</w:t>
      </w:r>
      <w:r>
        <w:rPr>
          <w:spacing w:val="-7"/>
        </w:rPr>
        <w:t xml:space="preserve"> </w:t>
      </w:r>
      <w:r>
        <w:t>Brigada</w:t>
      </w:r>
      <w:r>
        <w:rPr>
          <w:spacing w:val="-8"/>
        </w:rPr>
        <w:t xml:space="preserve"> </w:t>
      </w:r>
      <w:r>
        <w:t>XX</w:t>
      </w:r>
      <w:r>
        <w:rPr>
          <w:spacing w:val="-7"/>
        </w:rPr>
        <w:t xml:space="preserve"> </w:t>
      </w:r>
      <w:r>
        <w:t>empezó</w:t>
      </w:r>
      <w:r>
        <w:rPr>
          <w:spacing w:val="-8"/>
        </w:rPr>
        <w:t xml:space="preserve"> </w:t>
      </w:r>
      <w:r>
        <w:t>a</w:t>
      </w:r>
      <w:r>
        <w:rPr>
          <w:spacing w:val="-7"/>
        </w:rPr>
        <w:t xml:space="preserve"> </w:t>
      </w:r>
      <w:r>
        <w:t>utilizar</w:t>
      </w:r>
      <w:r>
        <w:rPr>
          <w:spacing w:val="-7"/>
        </w:rPr>
        <w:t xml:space="preserve"> </w:t>
      </w:r>
      <w:r>
        <w:t>sicarios y estructuras paramilitares</w:t>
      </w:r>
      <w:r w:rsidR="00494D3D">
        <w:rPr>
          <w:rStyle w:val="Refdenotaalpie"/>
        </w:rPr>
        <w:footnoteReference w:id="801"/>
      </w:r>
      <w:r>
        <w:t>.</w:t>
      </w:r>
    </w:p>
    <w:p w:rsidR="003804AC" w:rsidRDefault="00AF18A5" w:rsidP="00494D3D">
      <w:pPr>
        <w:pStyle w:val="Textoindependiente"/>
        <w:spacing w:before="1"/>
      </w:pPr>
      <w:bookmarkStart w:id="996" w:name="_bookmark874"/>
      <w:bookmarkStart w:id="997" w:name="_bookmark875"/>
      <w:bookmarkEnd w:id="996"/>
      <w:bookmarkEnd w:id="997"/>
      <w:r>
        <w:t>Así mismo, con la puesta en funcionamiento de la jurisdicción de orden público, justicia sin rostro o justicia regional –como sería llamada con modificaciones desde su creación en 1990 por el Estatuto para la Defensa de la Justicia</w:t>
      </w:r>
      <w:r w:rsidR="00A90AAC">
        <w:rPr>
          <w:rStyle w:val="Refdenotaalpie"/>
        </w:rPr>
        <w:footnoteReference w:id="802"/>
      </w:r>
      <w:r>
        <w:t>– hasta su eliminación en junio de 1999</w:t>
      </w:r>
      <w:r w:rsidR="009F4F4C">
        <w:rPr>
          <w:rStyle w:val="Refdenotaalpie"/>
        </w:rPr>
        <w:footnoteReference w:id="803"/>
      </w:r>
      <w:r>
        <w:t>,</w:t>
      </w:r>
      <w:r>
        <w:rPr>
          <w:spacing w:val="-14"/>
        </w:rPr>
        <w:t xml:space="preserve"> </w:t>
      </w:r>
      <w:r>
        <w:t>la</w:t>
      </w:r>
      <w:r>
        <w:rPr>
          <w:spacing w:val="-14"/>
        </w:rPr>
        <w:t xml:space="preserve"> </w:t>
      </w:r>
      <w:r>
        <w:t>Brigada</w:t>
      </w:r>
      <w:r>
        <w:rPr>
          <w:spacing w:val="-14"/>
        </w:rPr>
        <w:t xml:space="preserve"> </w:t>
      </w:r>
      <w:r>
        <w:t>XX,</w:t>
      </w:r>
      <w:r>
        <w:rPr>
          <w:spacing w:val="-14"/>
        </w:rPr>
        <w:t xml:space="preserve"> </w:t>
      </w:r>
      <w:r>
        <w:t>a</w:t>
      </w:r>
      <w:r>
        <w:rPr>
          <w:spacing w:val="-14"/>
        </w:rPr>
        <w:t xml:space="preserve"> </w:t>
      </w:r>
      <w:r>
        <w:t>través</w:t>
      </w:r>
      <w:r>
        <w:rPr>
          <w:spacing w:val="-14"/>
        </w:rPr>
        <w:t xml:space="preserve"> </w:t>
      </w:r>
      <w:r>
        <w:t>de</w:t>
      </w:r>
      <w:r>
        <w:rPr>
          <w:spacing w:val="-14"/>
        </w:rPr>
        <w:t xml:space="preserve"> </w:t>
      </w:r>
      <w:r>
        <w:t>sus</w:t>
      </w:r>
      <w:r>
        <w:rPr>
          <w:spacing w:val="-15"/>
        </w:rPr>
        <w:t xml:space="preserve"> </w:t>
      </w:r>
      <w:r>
        <w:t>facultades</w:t>
      </w:r>
      <w:r>
        <w:rPr>
          <w:spacing w:val="-14"/>
        </w:rPr>
        <w:t xml:space="preserve"> </w:t>
      </w:r>
      <w:r>
        <w:t>de</w:t>
      </w:r>
      <w:r>
        <w:rPr>
          <w:spacing w:val="-14"/>
        </w:rPr>
        <w:t xml:space="preserve"> </w:t>
      </w:r>
      <w:r>
        <w:t>policía</w:t>
      </w:r>
      <w:r>
        <w:rPr>
          <w:spacing w:val="-14"/>
        </w:rPr>
        <w:t xml:space="preserve"> </w:t>
      </w:r>
      <w:r>
        <w:t>judicial,</w:t>
      </w:r>
      <w:r>
        <w:rPr>
          <w:spacing w:val="-14"/>
        </w:rPr>
        <w:t xml:space="preserve"> </w:t>
      </w:r>
      <w:r>
        <w:t>también</w:t>
      </w:r>
      <w:r>
        <w:rPr>
          <w:spacing w:val="-14"/>
        </w:rPr>
        <w:t xml:space="preserve"> </w:t>
      </w:r>
      <w:r>
        <w:t>fabricó</w:t>
      </w:r>
      <w:r>
        <w:rPr>
          <w:spacing w:val="-15"/>
        </w:rPr>
        <w:t xml:space="preserve"> </w:t>
      </w:r>
      <w:r>
        <w:t>testigos y</w:t>
      </w:r>
      <w:r>
        <w:rPr>
          <w:spacing w:val="-6"/>
        </w:rPr>
        <w:t xml:space="preserve"> </w:t>
      </w:r>
      <w:r>
        <w:t>los</w:t>
      </w:r>
      <w:r>
        <w:rPr>
          <w:spacing w:val="-6"/>
        </w:rPr>
        <w:t xml:space="preserve"> </w:t>
      </w:r>
      <w:r>
        <w:t>presentó</w:t>
      </w:r>
      <w:r>
        <w:rPr>
          <w:spacing w:val="-6"/>
        </w:rPr>
        <w:t xml:space="preserve"> </w:t>
      </w:r>
      <w:r>
        <w:t>de</w:t>
      </w:r>
      <w:r>
        <w:rPr>
          <w:spacing w:val="-6"/>
        </w:rPr>
        <w:t xml:space="preserve"> </w:t>
      </w:r>
      <w:r>
        <w:t>manera</w:t>
      </w:r>
      <w:r>
        <w:rPr>
          <w:spacing w:val="-7"/>
        </w:rPr>
        <w:t xml:space="preserve"> </w:t>
      </w:r>
      <w:r>
        <w:t>anónima</w:t>
      </w:r>
      <w:r>
        <w:rPr>
          <w:spacing w:val="-7"/>
        </w:rPr>
        <w:t xml:space="preserve"> </w:t>
      </w:r>
      <w:r>
        <w:t>a</w:t>
      </w:r>
      <w:r>
        <w:rPr>
          <w:spacing w:val="-6"/>
        </w:rPr>
        <w:t xml:space="preserve"> </w:t>
      </w:r>
      <w:r>
        <w:t>los</w:t>
      </w:r>
      <w:r>
        <w:rPr>
          <w:spacing w:val="-6"/>
        </w:rPr>
        <w:t xml:space="preserve"> </w:t>
      </w:r>
      <w:r>
        <w:t>procesos</w:t>
      </w:r>
      <w:r>
        <w:rPr>
          <w:spacing w:val="-7"/>
        </w:rPr>
        <w:t xml:space="preserve"> </w:t>
      </w:r>
      <w:r>
        <w:t>penales,</w:t>
      </w:r>
      <w:r>
        <w:rPr>
          <w:spacing w:val="-6"/>
        </w:rPr>
        <w:t xml:space="preserve"> </w:t>
      </w:r>
      <w:r>
        <w:t>como</w:t>
      </w:r>
      <w:r>
        <w:rPr>
          <w:spacing w:val="-6"/>
        </w:rPr>
        <w:t xml:space="preserve"> </w:t>
      </w:r>
      <w:r>
        <w:t>«pruebas</w:t>
      </w:r>
      <w:r>
        <w:rPr>
          <w:spacing w:val="-6"/>
        </w:rPr>
        <w:t xml:space="preserve"> </w:t>
      </w:r>
      <w:r>
        <w:t>secretas»;</w:t>
      </w:r>
      <w:r>
        <w:rPr>
          <w:spacing w:val="-7"/>
        </w:rPr>
        <w:t xml:space="preserve"> </w:t>
      </w:r>
      <w:r>
        <w:t>además, infiltró</w:t>
      </w:r>
      <w:r>
        <w:rPr>
          <w:spacing w:val="-15"/>
        </w:rPr>
        <w:t xml:space="preserve"> </w:t>
      </w:r>
      <w:r>
        <w:t>la</w:t>
      </w:r>
      <w:r>
        <w:rPr>
          <w:spacing w:val="-15"/>
        </w:rPr>
        <w:t xml:space="preserve"> </w:t>
      </w:r>
      <w:r>
        <w:t>Fiscalía</w:t>
      </w:r>
      <w:r>
        <w:rPr>
          <w:spacing w:val="-15"/>
        </w:rPr>
        <w:t xml:space="preserve"> </w:t>
      </w:r>
      <w:r>
        <w:t>y</w:t>
      </w:r>
      <w:r>
        <w:rPr>
          <w:spacing w:val="-15"/>
        </w:rPr>
        <w:t xml:space="preserve"> </w:t>
      </w:r>
      <w:r>
        <w:t>su</w:t>
      </w:r>
      <w:r>
        <w:rPr>
          <w:spacing w:val="-15"/>
        </w:rPr>
        <w:t xml:space="preserve"> </w:t>
      </w:r>
      <w:r>
        <w:t>Cuerpo</w:t>
      </w:r>
      <w:r>
        <w:rPr>
          <w:spacing w:val="-15"/>
        </w:rPr>
        <w:t xml:space="preserve"> </w:t>
      </w:r>
      <w:r>
        <w:t>Técnico</w:t>
      </w:r>
      <w:r>
        <w:rPr>
          <w:spacing w:val="-15"/>
        </w:rPr>
        <w:t xml:space="preserve"> </w:t>
      </w:r>
      <w:r>
        <w:t>de</w:t>
      </w:r>
      <w:r>
        <w:rPr>
          <w:spacing w:val="-15"/>
        </w:rPr>
        <w:t xml:space="preserve"> </w:t>
      </w:r>
      <w:r>
        <w:t>Investigación</w:t>
      </w:r>
      <w:r>
        <w:rPr>
          <w:spacing w:val="-15"/>
        </w:rPr>
        <w:t xml:space="preserve"> </w:t>
      </w:r>
      <w:r>
        <w:t>(CTI)</w:t>
      </w:r>
      <w:r>
        <w:rPr>
          <w:spacing w:val="-15"/>
        </w:rPr>
        <w:t xml:space="preserve"> </w:t>
      </w:r>
      <w:r>
        <w:t>con</w:t>
      </w:r>
      <w:r>
        <w:rPr>
          <w:spacing w:val="-15"/>
        </w:rPr>
        <w:t xml:space="preserve"> </w:t>
      </w:r>
      <w:r>
        <w:t>agentes</w:t>
      </w:r>
      <w:r>
        <w:rPr>
          <w:spacing w:val="-15"/>
        </w:rPr>
        <w:t xml:space="preserve"> </w:t>
      </w:r>
      <w:r>
        <w:t>encubiertos.</w:t>
      </w:r>
      <w:r>
        <w:rPr>
          <w:spacing w:val="-15"/>
        </w:rPr>
        <w:t xml:space="preserve"> </w:t>
      </w:r>
      <w:r>
        <w:t>Estos montajes fueron usados para desviar las investigaciones por los crímenes cometidos por los propios miembros de la Brigada. Investigaciones disciplinarias y penales, así como declaraciones de miembros de la Brigada XX, han revelado estas prácticas y métodos</w:t>
      </w:r>
      <w:r w:rsidR="00A90AAC">
        <w:rPr>
          <w:rStyle w:val="Refdenotaalpie"/>
        </w:rPr>
        <w:footnoteReference w:id="804"/>
      </w:r>
      <w:r>
        <w:t xml:space="preserve">. Todo ello llevó a la disolución de </w:t>
      </w:r>
      <w:r>
        <w:lastRenderedPageBreak/>
        <w:t xml:space="preserve">la Brigada XX, pero no a una revisión de personal, competencias y archivos, que fueron absorbidos por las entidades que la sucedieron. Parte del </w:t>
      </w:r>
      <w:proofErr w:type="spellStart"/>
      <w:r>
        <w:t>personal</w:t>
      </w:r>
      <w:proofErr w:type="spellEnd"/>
      <w:r>
        <w:t xml:space="preserve"> también pasó al CTI y al DAS.</w:t>
      </w:r>
    </w:p>
    <w:p w:rsidR="003804AC" w:rsidRDefault="00AF18A5" w:rsidP="009F4F4C">
      <w:r>
        <w:t>A</w:t>
      </w:r>
      <w:r>
        <w:rPr>
          <w:spacing w:val="-15"/>
        </w:rPr>
        <w:t xml:space="preserve"> </w:t>
      </w:r>
      <w:r>
        <w:t>partir</w:t>
      </w:r>
      <w:r>
        <w:rPr>
          <w:spacing w:val="-15"/>
        </w:rPr>
        <w:t xml:space="preserve"> </w:t>
      </w:r>
      <w:r>
        <w:t>de</w:t>
      </w:r>
      <w:r>
        <w:rPr>
          <w:spacing w:val="-15"/>
        </w:rPr>
        <w:t xml:space="preserve"> </w:t>
      </w:r>
      <w:r>
        <w:t>1991</w:t>
      </w:r>
      <w:r w:rsidR="00A90AAC">
        <w:rPr>
          <w:rStyle w:val="Refdenotaalpie"/>
        </w:rPr>
        <w:footnoteReference w:id="805"/>
      </w:r>
      <w:r>
        <w:t>,</w:t>
      </w:r>
      <w:r>
        <w:rPr>
          <w:spacing w:val="-15"/>
        </w:rPr>
        <w:t xml:space="preserve"> </w:t>
      </w:r>
      <w:r>
        <w:t>en</w:t>
      </w:r>
      <w:r>
        <w:rPr>
          <w:spacing w:val="-15"/>
        </w:rPr>
        <w:t xml:space="preserve"> </w:t>
      </w:r>
      <w:r>
        <w:t>el</w:t>
      </w:r>
      <w:r>
        <w:rPr>
          <w:spacing w:val="-14"/>
        </w:rPr>
        <w:t xml:space="preserve"> </w:t>
      </w:r>
      <w:r>
        <w:t>marco</w:t>
      </w:r>
      <w:r>
        <w:rPr>
          <w:spacing w:val="-15"/>
        </w:rPr>
        <w:t xml:space="preserve"> </w:t>
      </w:r>
      <w:r>
        <w:t>de</w:t>
      </w:r>
      <w:r>
        <w:rPr>
          <w:spacing w:val="-15"/>
        </w:rPr>
        <w:t xml:space="preserve"> </w:t>
      </w:r>
      <w:r>
        <w:t>la</w:t>
      </w:r>
      <w:r>
        <w:rPr>
          <w:spacing w:val="-14"/>
        </w:rPr>
        <w:t xml:space="preserve"> </w:t>
      </w:r>
      <w:r>
        <w:t>Estrategia</w:t>
      </w:r>
      <w:r>
        <w:rPr>
          <w:spacing w:val="-15"/>
        </w:rPr>
        <w:t xml:space="preserve"> </w:t>
      </w:r>
      <w:r>
        <w:t>Nacional</w:t>
      </w:r>
      <w:r>
        <w:rPr>
          <w:spacing w:val="-14"/>
        </w:rPr>
        <w:t xml:space="preserve"> </w:t>
      </w:r>
      <w:r>
        <w:t>contra</w:t>
      </w:r>
      <w:r>
        <w:rPr>
          <w:spacing w:val="-15"/>
        </w:rPr>
        <w:t xml:space="preserve"> </w:t>
      </w:r>
      <w:r>
        <w:t>la</w:t>
      </w:r>
      <w:r>
        <w:rPr>
          <w:spacing w:val="-14"/>
        </w:rPr>
        <w:t xml:space="preserve"> </w:t>
      </w:r>
      <w:r>
        <w:t>Violencia,</w:t>
      </w:r>
      <w:r>
        <w:rPr>
          <w:spacing w:val="-15"/>
        </w:rPr>
        <w:t xml:space="preserve"> </w:t>
      </w:r>
      <w:r>
        <w:t>del</w:t>
      </w:r>
      <w:r>
        <w:rPr>
          <w:spacing w:val="-15"/>
        </w:rPr>
        <w:t xml:space="preserve"> </w:t>
      </w:r>
      <w:r>
        <w:t>gobierno de Gaviria, se implementó un proceso de reorganización y «modernización» del sistema de inteligencia</w:t>
      </w:r>
      <w:r>
        <w:rPr>
          <w:spacing w:val="43"/>
        </w:rPr>
        <w:t xml:space="preserve"> </w:t>
      </w:r>
      <w:r>
        <w:t>de</w:t>
      </w:r>
      <w:r>
        <w:rPr>
          <w:spacing w:val="46"/>
        </w:rPr>
        <w:t xml:space="preserve"> </w:t>
      </w:r>
      <w:r>
        <w:t>las</w:t>
      </w:r>
      <w:r>
        <w:rPr>
          <w:spacing w:val="46"/>
        </w:rPr>
        <w:t xml:space="preserve"> </w:t>
      </w:r>
      <w:r>
        <w:t>Fuerzas</w:t>
      </w:r>
      <w:r>
        <w:rPr>
          <w:spacing w:val="47"/>
        </w:rPr>
        <w:t xml:space="preserve"> </w:t>
      </w:r>
      <w:r>
        <w:t>Militares</w:t>
      </w:r>
      <w:r>
        <w:rPr>
          <w:spacing w:val="46"/>
        </w:rPr>
        <w:t xml:space="preserve"> </w:t>
      </w:r>
      <w:r>
        <w:t>siguiendo</w:t>
      </w:r>
      <w:r>
        <w:rPr>
          <w:spacing w:val="44"/>
        </w:rPr>
        <w:t xml:space="preserve"> </w:t>
      </w:r>
      <w:r>
        <w:t>las</w:t>
      </w:r>
      <w:r>
        <w:rPr>
          <w:spacing w:val="46"/>
        </w:rPr>
        <w:t xml:space="preserve"> </w:t>
      </w:r>
      <w:r>
        <w:t>recomendaciones</w:t>
      </w:r>
      <w:r>
        <w:rPr>
          <w:spacing w:val="47"/>
        </w:rPr>
        <w:t xml:space="preserve"> </w:t>
      </w:r>
      <w:r>
        <w:t>de</w:t>
      </w:r>
      <w:r>
        <w:rPr>
          <w:spacing w:val="46"/>
        </w:rPr>
        <w:t xml:space="preserve"> </w:t>
      </w:r>
      <w:r>
        <w:t>la</w:t>
      </w:r>
      <w:r>
        <w:rPr>
          <w:spacing w:val="46"/>
        </w:rPr>
        <w:t xml:space="preserve"> </w:t>
      </w:r>
      <w:r>
        <w:t>Comisión</w:t>
      </w:r>
      <w:r>
        <w:rPr>
          <w:spacing w:val="47"/>
        </w:rPr>
        <w:t xml:space="preserve"> </w:t>
      </w:r>
      <w:r>
        <w:rPr>
          <w:spacing w:val="-5"/>
        </w:rPr>
        <w:t>de</w:t>
      </w:r>
      <w:bookmarkStart w:id="998" w:name="_bookmark876"/>
      <w:bookmarkStart w:id="999" w:name="_bookmark877"/>
      <w:bookmarkStart w:id="1000" w:name="_bookmark878"/>
      <w:bookmarkEnd w:id="998"/>
      <w:bookmarkEnd w:id="999"/>
      <w:bookmarkEnd w:id="1000"/>
      <w:r w:rsidR="009F4F4C">
        <w:t xml:space="preserve"> </w:t>
      </w:r>
      <w:r>
        <w:t>Asesores de las Fuerzas Militares de los Estados Unidos</w:t>
      </w:r>
      <w:r w:rsidR="0059516A">
        <w:rPr>
          <w:rStyle w:val="Refdenotaalpie"/>
        </w:rPr>
        <w:footnoteReference w:id="806"/>
      </w:r>
      <w:r>
        <w:t xml:space="preserve">, que obedecía a la estrategia antinarcóticos hemisférica de ese país. Se destaca por su gravedad el caso de la Red de Inteligencia </w:t>
      </w:r>
      <w:proofErr w:type="spellStart"/>
      <w:r>
        <w:t>N.°</w:t>
      </w:r>
      <w:proofErr w:type="spellEnd"/>
      <w:r>
        <w:t xml:space="preserve"> 07 de la Armada, con sede en Barrancabermeja y que operaba en parte de Bolívar y de Cesar. Según la jurisdicción penal ordinaria</w:t>
      </w:r>
      <w:r w:rsidR="0059516A">
        <w:rPr>
          <w:rStyle w:val="Refdenotaalpie"/>
        </w:rPr>
        <w:footnoteReference w:id="807"/>
      </w:r>
      <w:r>
        <w:t>, la red funcionó como un poderoso</w:t>
      </w:r>
      <w:r>
        <w:rPr>
          <w:spacing w:val="-5"/>
        </w:rPr>
        <w:t xml:space="preserve"> </w:t>
      </w:r>
      <w:r>
        <w:t>«escuadrón</w:t>
      </w:r>
      <w:r>
        <w:rPr>
          <w:spacing w:val="-5"/>
        </w:rPr>
        <w:t xml:space="preserve"> </w:t>
      </w:r>
      <w:r>
        <w:t>de</w:t>
      </w:r>
      <w:r>
        <w:rPr>
          <w:spacing w:val="-6"/>
        </w:rPr>
        <w:t xml:space="preserve"> </w:t>
      </w:r>
      <w:r>
        <w:t>la</w:t>
      </w:r>
      <w:r>
        <w:rPr>
          <w:spacing w:val="-4"/>
        </w:rPr>
        <w:t xml:space="preserve"> </w:t>
      </w:r>
      <w:r>
        <w:t>muerte»</w:t>
      </w:r>
      <w:r>
        <w:rPr>
          <w:spacing w:val="-5"/>
        </w:rPr>
        <w:t xml:space="preserve"> </w:t>
      </w:r>
      <w:r>
        <w:t>con</w:t>
      </w:r>
      <w:r>
        <w:rPr>
          <w:spacing w:val="-5"/>
        </w:rPr>
        <w:t xml:space="preserve"> </w:t>
      </w:r>
      <w:r>
        <w:t>medios</w:t>
      </w:r>
      <w:r>
        <w:rPr>
          <w:spacing w:val="-4"/>
        </w:rPr>
        <w:t xml:space="preserve"> </w:t>
      </w:r>
      <w:r>
        <w:t>logísticos</w:t>
      </w:r>
      <w:r>
        <w:rPr>
          <w:spacing w:val="-4"/>
        </w:rPr>
        <w:t xml:space="preserve"> </w:t>
      </w:r>
      <w:r>
        <w:t>y</w:t>
      </w:r>
      <w:r>
        <w:rPr>
          <w:spacing w:val="-5"/>
        </w:rPr>
        <w:t xml:space="preserve"> </w:t>
      </w:r>
      <w:r>
        <w:t>personal</w:t>
      </w:r>
      <w:r>
        <w:rPr>
          <w:spacing w:val="-5"/>
        </w:rPr>
        <w:t xml:space="preserve"> </w:t>
      </w:r>
      <w:r>
        <w:t>entrenado</w:t>
      </w:r>
      <w:r>
        <w:rPr>
          <w:spacing w:val="-5"/>
        </w:rPr>
        <w:t xml:space="preserve"> </w:t>
      </w:r>
      <w:r>
        <w:t>para</w:t>
      </w:r>
      <w:r>
        <w:rPr>
          <w:spacing w:val="-6"/>
        </w:rPr>
        <w:t xml:space="preserve"> </w:t>
      </w:r>
      <w:r>
        <w:t>matar</w:t>
      </w:r>
      <w:r>
        <w:rPr>
          <w:spacing w:val="-4"/>
        </w:rPr>
        <w:t xml:space="preserve"> </w:t>
      </w:r>
      <w:r>
        <w:t>y fue</w:t>
      </w:r>
      <w:r>
        <w:rPr>
          <w:spacing w:val="-15"/>
        </w:rPr>
        <w:t xml:space="preserve"> </w:t>
      </w:r>
      <w:r>
        <w:t>responsable</w:t>
      </w:r>
      <w:r>
        <w:rPr>
          <w:spacing w:val="-15"/>
        </w:rPr>
        <w:t xml:space="preserve"> </w:t>
      </w:r>
      <w:r>
        <w:t>de</w:t>
      </w:r>
      <w:r>
        <w:rPr>
          <w:spacing w:val="-15"/>
        </w:rPr>
        <w:t xml:space="preserve"> </w:t>
      </w:r>
      <w:r>
        <w:t>decenas</w:t>
      </w:r>
      <w:r>
        <w:rPr>
          <w:spacing w:val="-15"/>
        </w:rPr>
        <w:t xml:space="preserve"> </w:t>
      </w:r>
      <w:r>
        <w:t>de</w:t>
      </w:r>
      <w:r>
        <w:rPr>
          <w:spacing w:val="-15"/>
        </w:rPr>
        <w:t xml:space="preserve"> </w:t>
      </w:r>
      <w:r>
        <w:t>asesinatos,</w:t>
      </w:r>
      <w:r>
        <w:rPr>
          <w:spacing w:val="-15"/>
        </w:rPr>
        <w:t xml:space="preserve"> </w:t>
      </w:r>
      <w:r>
        <w:lastRenderedPageBreak/>
        <w:t>desapariciones</w:t>
      </w:r>
      <w:r>
        <w:rPr>
          <w:spacing w:val="-15"/>
        </w:rPr>
        <w:t xml:space="preserve"> </w:t>
      </w:r>
      <w:r>
        <w:t>forzadas</w:t>
      </w:r>
      <w:r>
        <w:rPr>
          <w:spacing w:val="-15"/>
        </w:rPr>
        <w:t xml:space="preserve"> </w:t>
      </w:r>
      <w:r>
        <w:t>y</w:t>
      </w:r>
      <w:r>
        <w:rPr>
          <w:spacing w:val="-15"/>
        </w:rPr>
        <w:t xml:space="preserve"> </w:t>
      </w:r>
      <w:r>
        <w:t>masacres,</w:t>
      </w:r>
      <w:r>
        <w:rPr>
          <w:spacing w:val="-15"/>
        </w:rPr>
        <w:t xml:space="preserve"> </w:t>
      </w:r>
      <w:r>
        <w:t>cuyas</w:t>
      </w:r>
      <w:r>
        <w:rPr>
          <w:spacing w:val="-15"/>
        </w:rPr>
        <w:t xml:space="preserve"> </w:t>
      </w:r>
      <w:r>
        <w:t>víctimas fueron,</w:t>
      </w:r>
      <w:r>
        <w:rPr>
          <w:spacing w:val="-8"/>
        </w:rPr>
        <w:t xml:space="preserve"> </w:t>
      </w:r>
      <w:r>
        <w:t>principalmente,</w:t>
      </w:r>
      <w:r>
        <w:rPr>
          <w:spacing w:val="-9"/>
        </w:rPr>
        <w:t xml:space="preserve"> </w:t>
      </w:r>
      <w:r>
        <w:t>sindicalistas,</w:t>
      </w:r>
      <w:r>
        <w:rPr>
          <w:spacing w:val="-8"/>
        </w:rPr>
        <w:t xml:space="preserve"> </w:t>
      </w:r>
      <w:r>
        <w:t>políticos,</w:t>
      </w:r>
      <w:r>
        <w:rPr>
          <w:spacing w:val="-9"/>
        </w:rPr>
        <w:t xml:space="preserve"> </w:t>
      </w:r>
      <w:r>
        <w:t>líderes</w:t>
      </w:r>
      <w:r>
        <w:rPr>
          <w:spacing w:val="-8"/>
        </w:rPr>
        <w:t xml:space="preserve"> </w:t>
      </w:r>
      <w:r>
        <w:t>comunitarios</w:t>
      </w:r>
      <w:r>
        <w:rPr>
          <w:spacing w:val="-8"/>
        </w:rPr>
        <w:t xml:space="preserve"> </w:t>
      </w:r>
      <w:r>
        <w:t>y</w:t>
      </w:r>
      <w:r>
        <w:rPr>
          <w:spacing w:val="-8"/>
        </w:rPr>
        <w:t xml:space="preserve"> </w:t>
      </w:r>
      <w:r>
        <w:t>activistas.</w:t>
      </w:r>
      <w:r>
        <w:rPr>
          <w:spacing w:val="-8"/>
        </w:rPr>
        <w:t xml:space="preserve"> </w:t>
      </w:r>
      <w:r>
        <w:t>La</w:t>
      </w:r>
      <w:r>
        <w:rPr>
          <w:spacing w:val="-8"/>
        </w:rPr>
        <w:t xml:space="preserve"> </w:t>
      </w:r>
      <w:r>
        <w:t>red</w:t>
      </w:r>
      <w:r>
        <w:rPr>
          <w:spacing w:val="-8"/>
        </w:rPr>
        <w:t xml:space="preserve"> </w:t>
      </w:r>
      <w:r>
        <w:t>de</w:t>
      </w:r>
      <w:r>
        <w:rPr>
          <w:spacing w:val="-8"/>
        </w:rPr>
        <w:t xml:space="preserve"> </w:t>
      </w:r>
      <w:r>
        <w:t>la Armada financió grupos paramilitares con el uso de gastos reservados</w:t>
      </w:r>
      <w:r w:rsidR="0059516A">
        <w:rPr>
          <w:rStyle w:val="Refdenotaalpie"/>
        </w:rPr>
        <w:footnoteReference w:id="808"/>
      </w:r>
      <w:r>
        <w:t>.</w:t>
      </w:r>
    </w:p>
    <w:p w:rsidR="003804AC" w:rsidRDefault="00AF18A5" w:rsidP="0059516A">
      <w:r>
        <w:t>En lo referente al DAS, desde el año 1970, sus funcionarios estuvieron vinculados a numerosos casos de desaparición forzada y homicidios que fueron encubiertos a través de medios de inteligencia. El DAS estuvo vinculado a actividades con grupos paramilitares en distintas regiones en operaciones conjuntas con organismos de inteligencia militar, también violatorias de los derechos humanos. La justicia ordinaria ha comprobado las relaciones de seccionales del DAS con grupos paramilitares desde 1990 en Córdoba, Sucre, Magdalena, Bolívar</w:t>
      </w:r>
      <w:r w:rsidR="0059516A">
        <w:rPr>
          <w:rStyle w:val="Refdenotaalpie"/>
        </w:rPr>
        <w:footnoteReference w:id="809"/>
      </w:r>
      <w:r>
        <w:t>, Cesar</w:t>
      </w:r>
      <w:r w:rsidR="0059516A">
        <w:rPr>
          <w:rStyle w:val="Refdenotaalpie"/>
        </w:rPr>
        <w:footnoteReference w:id="810"/>
      </w:r>
      <w:r>
        <w:t>, Meta, Casanare, Santander y Norte de Santander, entre otros.</w:t>
      </w:r>
    </w:p>
    <w:p w:rsidR="003804AC" w:rsidRDefault="00AF18A5" w:rsidP="0059516A">
      <w:r>
        <w:t>Entre</w:t>
      </w:r>
      <w:r>
        <w:rPr>
          <w:spacing w:val="-8"/>
        </w:rPr>
        <w:t xml:space="preserve"> </w:t>
      </w:r>
      <w:r>
        <w:t>el</w:t>
      </w:r>
      <w:r>
        <w:rPr>
          <w:spacing w:val="-8"/>
        </w:rPr>
        <w:t xml:space="preserve"> </w:t>
      </w:r>
      <w:r>
        <w:t>2003</w:t>
      </w:r>
      <w:r>
        <w:rPr>
          <w:spacing w:val="-8"/>
        </w:rPr>
        <w:t xml:space="preserve"> </w:t>
      </w:r>
      <w:r>
        <w:t>y</w:t>
      </w:r>
      <w:r>
        <w:rPr>
          <w:spacing w:val="-8"/>
        </w:rPr>
        <w:t xml:space="preserve"> </w:t>
      </w:r>
      <w:r>
        <w:t>el</w:t>
      </w:r>
      <w:r>
        <w:rPr>
          <w:spacing w:val="-8"/>
        </w:rPr>
        <w:t xml:space="preserve"> </w:t>
      </w:r>
      <w:r>
        <w:t>2009,</w:t>
      </w:r>
      <w:r>
        <w:rPr>
          <w:spacing w:val="-7"/>
        </w:rPr>
        <w:t xml:space="preserve"> </w:t>
      </w:r>
      <w:r>
        <w:t>el</w:t>
      </w:r>
      <w:r>
        <w:rPr>
          <w:spacing w:val="-8"/>
        </w:rPr>
        <w:t xml:space="preserve"> </w:t>
      </w:r>
      <w:r>
        <w:t>DAS</w:t>
      </w:r>
      <w:r>
        <w:rPr>
          <w:spacing w:val="-9"/>
        </w:rPr>
        <w:t xml:space="preserve"> </w:t>
      </w:r>
      <w:r>
        <w:t>lideró</w:t>
      </w:r>
      <w:r>
        <w:rPr>
          <w:spacing w:val="-8"/>
        </w:rPr>
        <w:t xml:space="preserve"> </w:t>
      </w:r>
      <w:r>
        <w:t>una</w:t>
      </w:r>
      <w:r>
        <w:rPr>
          <w:spacing w:val="-8"/>
        </w:rPr>
        <w:t xml:space="preserve"> </w:t>
      </w:r>
      <w:r>
        <w:t>enorme</w:t>
      </w:r>
      <w:r>
        <w:rPr>
          <w:spacing w:val="-8"/>
        </w:rPr>
        <w:t xml:space="preserve"> </w:t>
      </w:r>
      <w:r>
        <w:t>operación</w:t>
      </w:r>
      <w:r>
        <w:rPr>
          <w:spacing w:val="-10"/>
        </w:rPr>
        <w:t xml:space="preserve"> </w:t>
      </w:r>
      <w:r>
        <w:t>de</w:t>
      </w:r>
      <w:r>
        <w:rPr>
          <w:spacing w:val="-8"/>
        </w:rPr>
        <w:t xml:space="preserve"> </w:t>
      </w:r>
      <w:r>
        <w:t>seguimientos,</w:t>
      </w:r>
      <w:r>
        <w:rPr>
          <w:spacing w:val="-8"/>
        </w:rPr>
        <w:t xml:space="preserve"> </w:t>
      </w:r>
      <w:r>
        <w:t>vigilancia, control e interceptación de comunicaciones ilegales contra personas y entidades, públicas y privadas,</w:t>
      </w:r>
      <w:r>
        <w:rPr>
          <w:spacing w:val="-15"/>
        </w:rPr>
        <w:t xml:space="preserve"> </w:t>
      </w:r>
      <w:r>
        <w:t>colombianas</w:t>
      </w:r>
      <w:r>
        <w:rPr>
          <w:spacing w:val="-12"/>
        </w:rPr>
        <w:t xml:space="preserve"> </w:t>
      </w:r>
      <w:r>
        <w:t>y</w:t>
      </w:r>
      <w:r>
        <w:rPr>
          <w:spacing w:val="-13"/>
        </w:rPr>
        <w:t xml:space="preserve"> </w:t>
      </w:r>
      <w:r>
        <w:t>extranjeras</w:t>
      </w:r>
      <w:r>
        <w:rPr>
          <w:spacing w:val="-12"/>
        </w:rPr>
        <w:t xml:space="preserve"> </w:t>
      </w:r>
      <w:r>
        <w:t>consideradas</w:t>
      </w:r>
      <w:r>
        <w:rPr>
          <w:spacing w:val="-13"/>
        </w:rPr>
        <w:t xml:space="preserve"> </w:t>
      </w:r>
      <w:r>
        <w:t>opositoras</w:t>
      </w:r>
      <w:r>
        <w:rPr>
          <w:spacing w:val="-12"/>
        </w:rPr>
        <w:t xml:space="preserve"> </w:t>
      </w:r>
      <w:r>
        <w:t>de</w:t>
      </w:r>
      <w:r>
        <w:rPr>
          <w:spacing w:val="-13"/>
        </w:rPr>
        <w:t xml:space="preserve"> </w:t>
      </w:r>
      <w:r>
        <w:t>las</w:t>
      </w:r>
      <w:r>
        <w:rPr>
          <w:spacing w:val="-12"/>
        </w:rPr>
        <w:t xml:space="preserve"> </w:t>
      </w:r>
      <w:r>
        <w:t>políticas</w:t>
      </w:r>
      <w:r>
        <w:rPr>
          <w:spacing w:val="-13"/>
        </w:rPr>
        <w:t xml:space="preserve"> </w:t>
      </w:r>
      <w:r>
        <w:t>de</w:t>
      </w:r>
      <w:r>
        <w:rPr>
          <w:spacing w:val="-12"/>
        </w:rPr>
        <w:t xml:space="preserve"> </w:t>
      </w:r>
      <w:r>
        <w:t>gobierno.</w:t>
      </w:r>
      <w:r>
        <w:rPr>
          <w:spacing w:val="-12"/>
        </w:rPr>
        <w:t xml:space="preserve"> </w:t>
      </w:r>
      <w:r>
        <w:rPr>
          <w:spacing w:val="-5"/>
        </w:rPr>
        <w:t>Los</w:t>
      </w:r>
      <w:bookmarkStart w:id="1001" w:name="_bookmark880"/>
      <w:bookmarkStart w:id="1002" w:name="_bookmark881"/>
      <w:bookmarkStart w:id="1003" w:name="_bookmark882"/>
      <w:bookmarkStart w:id="1004" w:name="_bookmark883"/>
      <w:bookmarkStart w:id="1005" w:name="_bookmark884"/>
      <w:bookmarkEnd w:id="1001"/>
      <w:bookmarkEnd w:id="1002"/>
      <w:bookmarkEnd w:id="1003"/>
      <w:bookmarkEnd w:id="1004"/>
      <w:bookmarkEnd w:id="1005"/>
      <w:r w:rsidR="0059516A">
        <w:t xml:space="preserve"> </w:t>
      </w:r>
      <w:r>
        <w:t xml:space="preserve">seguimientos también alcanzaron a los familiares de las personas objeto de la actividad de inteligencia, incluso niños y niñas. En las operaciones </w:t>
      </w:r>
      <w:r>
        <w:lastRenderedPageBreak/>
        <w:t>participaron funcionarios de la Presidencia de la República</w:t>
      </w:r>
      <w:r w:rsidR="007C2170">
        <w:rPr>
          <w:rStyle w:val="Refdenotaalpie"/>
        </w:rPr>
        <w:footnoteReference w:id="811"/>
      </w:r>
      <w:r>
        <w:t>, incluyendo el secretario general de la Presidencia, Bernardo Moreno Villegas, que dirigía y supervisaba las operaciones</w:t>
      </w:r>
      <w:r w:rsidR="007C2170">
        <w:rPr>
          <w:rStyle w:val="Refdenotaalpie"/>
        </w:rPr>
        <w:footnoteReference w:id="812"/>
      </w:r>
      <w:r>
        <w:t>.</w:t>
      </w:r>
    </w:p>
    <w:p w:rsidR="003804AC" w:rsidRPr="007C2170" w:rsidRDefault="00AF18A5" w:rsidP="007C2170">
      <w:r>
        <w:t>También, especialmente entre el 2002 y el 2005, el DAS estuvo involucrado en ejecuciones extrajudiciales, operativos de inteligencia e interceptación de comunicaciones, persecución a organizaciones sociales, asesinatos de profesores y estudiantes de universidades</w:t>
      </w:r>
      <w:r>
        <w:rPr>
          <w:spacing w:val="-2"/>
        </w:rPr>
        <w:t xml:space="preserve"> </w:t>
      </w:r>
      <w:r>
        <w:t>en</w:t>
      </w:r>
      <w:r>
        <w:rPr>
          <w:spacing w:val="-2"/>
        </w:rPr>
        <w:t xml:space="preserve"> </w:t>
      </w:r>
      <w:r>
        <w:t>el</w:t>
      </w:r>
      <w:r>
        <w:rPr>
          <w:spacing w:val="-2"/>
        </w:rPr>
        <w:t xml:space="preserve"> </w:t>
      </w:r>
      <w:r>
        <w:t>Caribe</w:t>
      </w:r>
      <w:r>
        <w:rPr>
          <w:spacing w:val="-2"/>
        </w:rPr>
        <w:t xml:space="preserve"> </w:t>
      </w:r>
      <w:r>
        <w:t>y</w:t>
      </w:r>
      <w:r>
        <w:rPr>
          <w:spacing w:val="-2"/>
        </w:rPr>
        <w:t xml:space="preserve"> </w:t>
      </w:r>
      <w:r>
        <w:t>otras</w:t>
      </w:r>
      <w:r>
        <w:rPr>
          <w:spacing w:val="-3"/>
        </w:rPr>
        <w:t xml:space="preserve"> </w:t>
      </w:r>
      <w:r>
        <w:t>regiones</w:t>
      </w:r>
      <w:r>
        <w:rPr>
          <w:spacing w:val="-2"/>
        </w:rPr>
        <w:t xml:space="preserve"> </w:t>
      </w:r>
      <w:r>
        <w:t>del</w:t>
      </w:r>
      <w:r>
        <w:rPr>
          <w:spacing w:val="-2"/>
        </w:rPr>
        <w:t xml:space="preserve"> </w:t>
      </w:r>
      <w:r>
        <w:t>país.</w:t>
      </w:r>
      <w:r>
        <w:rPr>
          <w:spacing w:val="-2"/>
        </w:rPr>
        <w:t xml:space="preserve"> </w:t>
      </w:r>
      <w:r>
        <w:t>Posteriormente</w:t>
      </w:r>
      <w:r>
        <w:rPr>
          <w:spacing w:val="-3"/>
        </w:rPr>
        <w:t xml:space="preserve"> </w:t>
      </w:r>
      <w:r>
        <w:t>llegó</w:t>
      </w:r>
      <w:r>
        <w:rPr>
          <w:spacing w:val="-3"/>
        </w:rPr>
        <w:t xml:space="preserve"> </w:t>
      </w:r>
      <w:r>
        <w:t>a</w:t>
      </w:r>
      <w:r>
        <w:rPr>
          <w:spacing w:val="-2"/>
        </w:rPr>
        <w:t xml:space="preserve"> </w:t>
      </w:r>
      <w:r>
        <w:t>espiar</w:t>
      </w:r>
      <w:r>
        <w:rPr>
          <w:spacing w:val="-2"/>
        </w:rPr>
        <w:t xml:space="preserve"> </w:t>
      </w:r>
      <w:r>
        <w:t>a</w:t>
      </w:r>
      <w:r>
        <w:rPr>
          <w:spacing w:val="-3"/>
        </w:rPr>
        <w:t xml:space="preserve"> </w:t>
      </w:r>
      <w:r>
        <w:t>la</w:t>
      </w:r>
      <w:r>
        <w:rPr>
          <w:spacing w:val="-3"/>
        </w:rPr>
        <w:t xml:space="preserve"> </w:t>
      </w:r>
      <w:r>
        <w:t>Corte Suprema de Justicia cuando esta investigaba la parapolítica y a organizaciones de derechos humanos, incluso en Europa. Esa enorme operación criminal se dirigió contra sindicatos, organizaciones</w:t>
      </w:r>
      <w:r>
        <w:rPr>
          <w:spacing w:val="-2"/>
        </w:rPr>
        <w:t xml:space="preserve"> </w:t>
      </w:r>
      <w:r>
        <w:t>de</w:t>
      </w:r>
      <w:r>
        <w:rPr>
          <w:spacing w:val="-2"/>
        </w:rPr>
        <w:t xml:space="preserve"> </w:t>
      </w:r>
      <w:r>
        <w:t>derechos</w:t>
      </w:r>
      <w:r>
        <w:rPr>
          <w:spacing w:val="-2"/>
        </w:rPr>
        <w:t xml:space="preserve"> </w:t>
      </w:r>
      <w:r>
        <w:t>humanos</w:t>
      </w:r>
      <w:r>
        <w:rPr>
          <w:spacing w:val="-2"/>
        </w:rPr>
        <w:t xml:space="preserve"> </w:t>
      </w:r>
      <w:r>
        <w:t>colombianas</w:t>
      </w:r>
      <w:r>
        <w:rPr>
          <w:spacing w:val="-2"/>
        </w:rPr>
        <w:t xml:space="preserve"> </w:t>
      </w:r>
      <w:r>
        <w:t>e</w:t>
      </w:r>
      <w:r>
        <w:rPr>
          <w:spacing w:val="-2"/>
        </w:rPr>
        <w:t xml:space="preserve"> </w:t>
      </w:r>
      <w:r>
        <w:t>internacionales,</w:t>
      </w:r>
      <w:r>
        <w:rPr>
          <w:spacing w:val="-2"/>
        </w:rPr>
        <w:t xml:space="preserve"> </w:t>
      </w:r>
      <w:r>
        <w:t>congresistas,</w:t>
      </w:r>
      <w:r>
        <w:rPr>
          <w:spacing w:val="-2"/>
        </w:rPr>
        <w:t xml:space="preserve"> </w:t>
      </w:r>
      <w:r>
        <w:t>políticos, miembros</w:t>
      </w:r>
      <w:r>
        <w:rPr>
          <w:spacing w:val="-4"/>
        </w:rPr>
        <w:t xml:space="preserve"> </w:t>
      </w:r>
      <w:r>
        <w:t>de</w:t>
      </w:r>
      <w:r>
        <w:rPr>
          <w:spacing w:val="-4"/>
        </w:rPr>
        <w:t xml:space="preserve"> </w:t>
      </w:r>
      <w:r>
        <w:t>la</w:t>
      </w:r>
      <w:r>
        <w:rPr>
          <w:spacing w:val="-4"/>
        </w:rPr>
        <w:t xml:space="preserve"> </w:t>
      </w:r>
      <w:r>
        <w:t>judicatura</w:t>
      </w:r>
      <w:r>
        <w:rPr>
          <w:spacing w:val="-4"/>
        </w:rPr>
        <w:t xml:space="preserve"> </w:t>
      </w:r>
      <w:r>
        <w:t>(incluyendo</w:t>
      </w:r>
      <w:r>
        <w:rPr>
          <w:spacing w:val="-4"/>
        </w:rPr>
        <w:t xml:space="preserve"> </w:t>
      </w:r>
      <w:r>
        <w:t>magistrados</w:t>
      </w:r>
      <w:r>
        <w:rPr>
          <w:spacing w:val="-4"/>
        </w:rPr>
        <w:t xml:space="preserve"> </w:t>
      </w:r>
      <w:r>
        <w:t>de</w:t>
      </w:r>
      <w:r>
        <w:rPr>
          <w:spacing w:val="-4"/>
        </w:rPr>
        <w:t xml:space="preserve"> </w:t>
      </w:r>
      <w:r>
        <w:t>altas</w:t>
      </w:r>
      <w:r>
        <w:rPr>
          <w:spacing w:val="-4"/>
        </w:rPr>
        <w:t xml:space="preserve"> </w:t>
      </w:r>
      <w:r>
        <w:t>cortes),</w:t>
      </w:r>
      <w:r>
        <w:rPr>
          <w:spacing w:val="-4"/>
        </w:rPr>
        <w:t xml:space="preserve"> </w:t>
      </w:r>
      <w:r>
        <w:t>periodistas</w:t>
      </w:r>
      <w:r>
        <w:rPr>
          <w:spacing w:val="-4"/>
        </w:rPr>
        <w:t xml:space="preserve"> </w:t>
      </w:r>
      <w:r>
        <w:t>nacionales</w:t>
      </w:r>
      <w:r>
        <w:rPr>
          <w:spacing w:val="-4"/>
        </w:rPr>
        <w:t xml:space="preserve"> </w:t>
      </w:r>
      <w:r>
        <w:t xml:space="preserve">y extranjeros, académicos y organizaciones intergubernamentales de derechos humanos. La operación «Transmilenio», dirigida a realizar infiltraciones, montajes para judicializar y desacreditar organizaciones de derechos humanos colombianas e internacionales, así como contra la Comisión Interamericana de Derechos Humanos, la Corte Interamericana de Derechos Humanos y la Oficina en Colombia de la Alta Comisionada de Naciones Unidas para los Derechos Humanos. La Procuraduría General </w:t>
      </w:r>
      <w:r>
        <w:lastRenderedPageBreak/>
        <w:t>de la Nación concluyó que esta inmensa</w:t>
      </w:r>
      <w:r>
        <w:rPr>
          <w:spacing w:val="-2"/>
        </w:rPr>
        <w:t xml:space="preserve"> </w:t>
      </w:r>
      <w:r>
        <w:t>operación</w:t>
      </w:r>
      <w:r>
        <w:rPr>
          <w:spacing w:val="-2"/>
        </w:rPr>
        <w:t xml:space="preserve"> </w:t>
      </w:r>
      <w:r>
        <w:t>de</w:t>
      </w:r>
      <w:r>
        <w:rPr>
          <w:spacing w:val="-2"/>
        </w:rPr>
        <w:t xml:space="preserve"> </w:t>
      </w:r>
      <w:r>
        <w:t>persecución</w:t>
      </w:r>
      <w:r>
        <w:rPr>
          <w:spacing w:val="-2"/>
        </w:rPr>
        <w:t xml:space="preserve"> </w:t>
      </w:r>
      <w:r>
        <w:t>política</w:t>
      </w:r>
      <w:r>
        <w:rPr>
          <w:spacing w:val="-2"/>
        </w:rPr>
        <w:t xml:space="preserve"> </w:t>
      </w:r>
      <w:r>
        <w:t>obedeció</w:t>
      </w:r>
      <w:r>
        <w:rPr>
          <w:spacing w:val="-2"/>
        </w:rPr>
        <w:t xml:space="preserve"> </w:t>
      </w:r>
      <w:r>
        <w:t>«a</w:t>
      </w:r>
      <w:r>
        <w:rPr>
          <w:spacing w:val="-2"/>
        </w:rPr>
        <w:t xml:space="preserve"> </w:t>
      </w:r>
      <w:r>
        <w:t>una</w:t>
      </w:r>
      <w:r>
        <w:rPr>
          <w:spacing w:val="-2"/>
        </w:rPr>
        <w:t xml:space="preserve"> </w:t>
      </w:r>
      <w:r>
        <w:t>concepción</w:t>
      </w:r>
      <w:r>
        <w:rPr>
          <w:spacing w:val="-2"/>
        </w:rPr>
        <w:t xml:space="preserve"> </w:t>
      </w:r>
      <w:r>
        <w:t>propia</w:t>
      </w:r>
      <w:r>
        <w:rPr>
          <w:spacing w:val="-2"/>
        </w:rPr>
        <w:t xml:space="preserve"> </w:t>
      </w:r>
      <w:r>
        <w:t>de</w:t>
      </w:r>
      <w:r>
        <w:rPr>
          <w:spacing w:val="-2"/>
        </w:rPr>
        <w:t xml:space="preserve"> </w:t>
      </w:r>
      <w:r>
        <w:t>un</w:t>
      </w:r>
      <w:r>
        <w:rPr>
          <w:spacing w:val="-2"/>
        </w:rPr>
        <w:t xml:space="preserve"> </w:t>
      </w:r>
      <w:r>
        <w:t>Estado policíaco, que persigue a sus opositores, por el solo hecho de serlos»</w:t>
      </w:r>
      <w:r w:rsidR="007C2170">
        <w:rPr>
          <w:rStyle w:val="Refdenotaalpie"/>
        </w:rPr>
        <w:footnoteReference w:id="813"/>
      </w:r>
      <w:r>
        <w:t>. Los abusos trascendieron</w:t>
      </w:r>
      <w:r>
        <w:rPr>
          <w:spacing w:val="20"/>
        </w:rPr>
        <w:t xml:space="preserve"> </w:t>
      </w:r>
      <w:r>
        <w:t>las</w:t>
      </w:r>
      <w:r>
        <w:rPr>
          <w:spacing w:val="23"/>
        </w:rPr>
        <w:t xml:space="preserve"> </w:t>
      </w:r>
      <w:r>
        <w:t>actividades</w:t>
      </w:r>
      <w:r>
        <w:rPr>
          <w:spacing w:val="23"/>
        </w:rPr>
        <w:t xml:space="preserve"> </w:t>
      </w:r>
      <w:r>
        <w:t>de</w:t>
      </w:r>
      <w:r>
        <w:rPr>
          <w:spacing w:val="22"/>
        </w:rPr>
        <w:t xml:space="preserve"> </w:t>
      </w:r>
      <w:r>
        <w:t>inteligencia</w:t>
      </w:r>
      <w:r>
        <w:rPr>
          <w:spacing w:val="23"/>
        </w:rPr>
        <w:t xml:space="preserve"> </w:t>
      </w:r>
      <w:r>
        <w:t>y</w:t>
      </w:r>
      <w:r>
        <w:rPr>
          <w:spacing w:val="23"/>
        </w:rPr>
        <w:t xml:space="preserve"> </w:t>
      </w:r>
      <w:r>
        <w:t>se</w:t>
      </w:r>
      <w:r>
        <w:rPr>
          <w:spacing w:val="23"/>
        </w:rPr>
        <w:t xml:space="preserve"> </w:t>
      </w:r>
      <w:r>
        <w:t>tradujeron</w:t>
      </w:r>
      <w:r>
        <w:rPr>
          <w:spacing w:val="20"/>
        </w:rPr>
        <w:t xml:space="preserve"> </w:t>
      </w:r>
      <w:r>
        <w:t>en</w:t>
      </w:r>
      <w:r>
        <w:rPr>
          <w:spacing w:val="23"/>
        </w:rPr>
        <w:t xml:space="preserve"> </w:t>
      </w:r>
      <w:r>
        <w:t>campañas</w:t>
      </w:r>
      <w:r>
        <w:rPr>
          <w:spacing w:val="23"/>
        </w:rPr>
        <w:t xml:space="preserve"> </w:t>
      </w:r>
      <w:r>
        <w:t>de</w:t>
      </w:r>
      <w:r>
        <w:rPr>
          <w:spacing w:val="23"/>
        </w:rPr>
        <w:t xml:space="preserve"> </w:t>
      </w:r>
      <w:r>
        <w:rPr>
          <w:spacing w:val="-2"/>
        </w:rPr>
        <w:t>desprestigio,</w:t>
      </w:r>
      <w:bookmarkStart w:id="1006" w:name="_bookmark885"/>
      <w:bookmarkStart w:id="1007" w:name="_bookmark886"/>
      <w:bookmarkStart w:id="1008" w:name="_bookmark887"/>
      <w:bookmarkEnd w:id="1006"/>
      <w:bookmarkEnd w:id="1007"/>
      <w:bookmarkEnd w:id="1008"/>
      <w:r w:rsidR="007C2170">
        <w:rPr>
          <w:spacing w:val="-2"/>
        </w:rPr>
        <w:t xml:space="preserve"> </w:t>
      </w:r>
      <w:r>
        <w:t>exilio</w:t>
      </w:r>
      <w:r>
        <w:rPr>
          <w:spacing w:val="-1"/>
        </w:rPr>
        <w:t xml:space="preserve"> </w:t>
      </w:r>
      <w:r>
        <w:t xml:space="preserve">y </w:t>
      </w:r>
      <w:r>
        <w:rPr>
          <w:spacing w:val="-2"/>
        </w:rPr>
        <w:t>asesinatos</w:t>
      </w:r>
      <w:r w:rsidR="007B43DB">
        <w:rPr>
          <w:rStyle w:val="Refdenotaalpie"/>
          <w:spacing w:val="-2"/>
        </w:rPr>
        <w:footnoteReference w:id="814"/>
      </w:r>
      <w:r>
        <w:rPr>
          <w:spacing w:val="-2"/>
        </w:rPr>
        <w:t>.</w:t>
      </w:r>
    </w:p>
    <w:p w:rsidR="003804AC" w:rsidRDefault="00AF18A5" w:rsidP="007C2170">
      <w:r>
        <w:t>Esta evolución desde hace 50 años de los servicios de inteligencia, tanto militares como ligados</w:t>
      </w:r>
      <w:r>
        <w:rPr>
          <w:spacing w:val="-12"/>
        </w:rPr>
        <w:t xml:space="preserve"> </w:t>
      </w:r>
      <w:r>
        <w:t>directamente</w:t>
      </w:r>
      <w:r>
        <w:rPr>
          <w:spacing w:val="-12"/>
        </w:rPr>
        <w:t xml:space="preserve"> </w:t>
      </w:r>
      <w:r>
        <w:t>a</w:t>
      </w:r>
      <w:r>
        <w:rPr>
          <w:spacing w:val="-12"/>
        </w:rPr>
        <w:t xml:space="preserve"> </w:t>
      </w:r>
      <w:r>
        <w:t>presidencia</w:t>
      </w:r>
      <w:r>
        <w:rPr>
          <w:spacing w:val="-12"/>
        </w:rPr>
        <w:t xml:space="preserve"> </w:t>
      </w:r>
      <w:r>
        <w:t>de</w:t>
      </w:r>
      <w:r>
        <w:rPr>
          <w:spacing w:val="-13"/>
        </w:rPr>
        <w:t xml:space="preserve"> </w:t>
      </w:r>
      <w:r>
        <w:t>la</w:t>
      </w:r>
      <w:r>
        <w:rPr>
          <w:spacing w:val="-12"/>
        </w:rPr>
        <w:t xml:space="preserve"> </w:t>
      </w:r>
      <w:r>
        <w:t>República,</w:t>
      </w:r>
      <w:r>
        <w:rPr>
          <w:spacing w:val="-12"/>
        </w:rPr>
        <w:t xml:space="preserve"> </w:t>
      </w:r>
      <w:r>
        <w:t>muestran</w:t>
      </w:r>
      <w:r>
        <w:rPr>
          <w:spacing w:val="-12"/>
        </w:rPr>
        <w:t xml:space="preserve"> </w:t>
      </w:r>
      <w:r>
        <w:t>cómo</w:t>
      </w:r>
      <w:r>
        <w:rPr>
          <w:spacing w:val="-12"/>
        </w:rPr>
        <w:t xml:space="preserve"> </w:t>
      </w:r>
      <w:r>
        <w:t>la</w:t>
      </w:r>
      <w:r>
        <w:rPr>
          <w:spacing w:val="-12"/>
        </w:rPr>
        <w:t xml:space="preserve"> </w:t>
      </w:r>
      <w:r>
        <w:t>lucha</w:t>
      </w:r>
      <w:r>
        <w:rPr>
          <w:spacing w:val="-13"/>
        </w:rPr>
        <w:t xml:space="preserve"> </w:t>
      </w:r>
      <w:r>
        <w:t>contrainsurgente se dio en buena parte contra la población civil, opositores políticos, miembros de movimientos y organizaciones sociales, sectores de la Iglesia Católica, e incluso miembros del poder judicial. Cómo sucesivamente se tuvieron que desmantelar los diferentes mecanismos, no porque hubiera una política del propio Estado, sino como respuesta a las denuncias</w:t>
      </w:r>
      <w:r>
        <w:rPr>
          <w:spacing w:val="-15"/>
        </w:rPr>
        <w:t xml:space="preserve"> </w:t>
      </w:r>
      <w:r>
        <w:t>de</w:t>
      </w:r>
      <w:r>
        <w:rPr>
          <w:spacing w:val="-15"/>
        </w:rPr>
        <w:t xml:space="preserve"> </w:t>
      </w:r>
      <w:r>
        <w:t>víctimas,</w:t>
      </w:r>
      <w:r>
        <w:rPr>
          <w:spacing w:val="-15"/>
        </w:rPr>
        <w:t xml:space="preserve"> </w:t>
      </w:r>
      <w:r>
        <w:t>organizaciones</w:t>
      </w:r>
      <w:r>
        <w:rPr>
          <w:spacing w:val="-15"/>
        </w:rPr>
        <w:t xml:space="preserve"> </w:t>
      </w:r>
      <w:r>
        <w:t>de</w:t>
      </w:r>
      <w:r>
        <w:rPr>
          <w:spacing w:val="-15"/>
        </w:rPr>
        <w:t xml:space="preserve"> </w:t>
      </w:r>
      <w:r>
        <w:t>derechos</w:t>
      </w:r>
      <w:r>
        <w:rPr>
          <w:spacing w:val="-15"/>
        </w:rPr>
        <w:t xml:space="preserve"> </w:t>
      </w:r>
      <w:r>
        <w:t>humanos,</w:t>
      </w:r>
      <w:r>
        <w:rPr>
          <w:spacing w:val="-15"/>
        </w:rPr>
        <w:t xml:space="preserve"> </w:t>
      </w:r>
      <w:r>
        <w:t>sentencias</w:t>
      </w:r>
      <w:r>
        <w:rPr>
          <w:spacing w:val="-15"/>
        </w:rPr>
        <w:t xml:space="preserve"> </w:t>
      </w:r>
      <w:r>
        <w:t>de</w:t>
      </w:r>
      <w:r>
        <w:rPr>
          <w:spacing w:val="-15"/>
        </w:rPr>
        <w:t xml:space="preserve"> </w:t>
      </w:r>
      <w:r>
        <w:t>las</w:t>
      </w:r>
      <w:r>
        <w:rPr>
          <w:spacing w:val="-15"/>
        </w:rPr>
        <w:t xml:space="preserve"> </w:t>
      </w:r>
      <w:r>
        <w:t>cortes</w:t>
      </w:r>
      <w:r>
        <w:rPr>
          <w:spacing w:val="-15"/>
        </w:rPr>
        <w:t xml:space="preserve"> </w:t>
      </w:r>
      <w:r>
        <w:t>internas e incluso presiones de instituciones de EEUU donde se investigaban los hechos.</w:t>
      </w:r>
    </w:p>
    <w:p w:rsidR="003804AC" w:rsidRDefault="00AF18A5" w:rsidP="007B43DB">
      <w:r>
        <w:t>Estas acciones y la continuidad de las formas de actuación de distintos organismos de inteligencia</w:t>
      </w:r>
      <w:r>
        <w:rPr>
          <w:spacing w:val="-12"/>
        </w:rPr>
        <w:t xml:space="preserve"> </w:t>
      </w:r>
      <w:r>
        <w:t>se</w:t>
      </w:r>
      <w:r>
        <w:rPr>
          <w:spacing w:val="-10"/>
        </w:rPr>
        <w:t xml:space="preserve"> </w:t>
      </w:r>
      <w:r>
        <w:t>basaron</w:t>
      </w:r>
      <w:r>
        <w:rPr>
          <w:spacing w:val="-11"/>
        </w:rPr>
        <w:t xml:space="preserve"> </w:t>
      </w:r>
      <w:r>
        <w:t>en</w:t>
      </w:r>
      <w:r>
        <w:rPr>
          <w:spacing w:val="-11"/>
        </w:rPr>
        <w:t xml:space="preserve"> </w:t>
      </w:r>
      <w:r>
        <w:t>esa</w:t>
      </w:r>
      <w:r>
        <w:rPr>
          <w:spacing w:val="-12"/>
        </w:rPr>
        <w:t xml:space="preserve"> </w:t>
      </w:r>
      <w:r>
        <w:t>concepción</w:t>
      </w:r>
      <w:r>
        <w:rPr>
          <w:spacing w:val="-11"/>
        </w:rPr>
        <w:t xml:space="preserve"> </w:t>
      </w:r>
      <w:r>
        <w:t>del</w:t>
      </w:r>
      <w:r>
        <w:rPr>
          <w:spacing w:val="-10"/>
        </w:rPr>
        <w:t xml:space="preserve"> </w:t>
      </w:r>
      <w:r>
        <w:t>enemigo</w:t>
      </w:r>
      <w:r>
        <w:rPr>
          <w:spacing w:val="-12"/>
        </w:rPr>
        <w:t xml:space="preserve"> </w:t>
      </w:r>
      <w:r>
        <w:t>interno</w:t>
      </w:r>
      <w:r>
        <w:rPr>
          <w:spacing w:val="-12"/>
        </w:rPr>
        <w:t xml:space="preserve"> </w:t>
      </w:r>
      <w:r>
        <w:t>y</w:t>
      </w:r>
      <w:r>
        <w:rPr>
          <w:spacing w:val="-11"/>
        </w:rPr>
        <w:t xml:space="preserve"> </w:t>
      </w:r>
      <w:r>
        <w:t>conceptualizaron</w:t>
      </w:r>
      <w:r>
        <w:rPr>
          <w:spacing w:val="-12"/>
        </w:rPr>
        <w:t xml:space="preserve"> </w:t>
      </w:r>
      <w:r>
        <w:t>muchas</w:t>
      </w:r>
      <w:r>
        <w:rPr>
          <w:spacing w:val="-10"/>
        </w:rPr>
        <w:t xml:space="preserve"> </w:t>
      </w:r>
      <w:r>
        <w:t>de las</w:t>
      </w:r>
      <w:r>
        <w:rPr>
          <w:spacing w:val="-9"/>
        </w:rPr>
        <w:t xml:space="preserve"> </w:t>
      </w:r>
      <w:r>
        <w:t>luchas</w:t>
      </w:r>
      <w:r>
        <w:rPr>
          <w:spacing w:val="-7"/>
        </w:rPr>
        <w:t xml:space="preserve"> </w:t>
      </w:r>
      <w:r>
        <w:t>por</w:t>
      </w:r>
      <w:r>
        <w:rPr>
          <w:spacing w:val="-7"/>
        </w:rPr>
        <w:t xml:space="preserve"> </w:t>
      </w:r>
      <w:r>
        <w:t>la</w:t>
      </w:r>
      <w:r>
        <w:rPr>
          <w:spacing w:val="-7"/>
        </w:rPr>
        <w:t xml:space="preserve"> </w:t>
      </w:r>
      <w:r>
        <w:t>defensa</w:t>
      </w:r>
      <w:r>
        <w:rPr>
          <w:spacing w:val="-8"/>
        </w:rPr>
        <w:t xml:space="preserve"> </w:t>
      </w:r>
      <w:r>
        <w:t>de</w:t>
      </w:r>
      <w:r>
        <w:rPr>
          <w:spacing w:val="-7"/>
        </w:rPr>
        <w:t xml:space="preserve"> </w:t>
      </w:r>
      <w:r>
        <w:t>los</w:t>
      </w:r>
      <w:r>
        <w:rPr>
          <w:spacing w:val="-7"/>
        </w:rPr>
        <w:t xml:space="preserve"> </w:t>
      </w:r>
      <w:r>
        <w:t>derechos</w:t>
      </w:r>
      <w:r>
        <w:rPr>
          <w:spacing w:val="-7"/>
        </w:rPr>
        <w:t xml:space="preserve"> </w:t>
      </w:r>
      <w:r>
        <w:t>humanos</w:t>
      </w:r>
      <w:r>
        <w:rPr>
          <w:spacing w:val="-8"/>
        </w:rPr>
        <w:t xml:space="preserve"> </w:t>
      </w:r>
      <w:r>
        <w:t>en</w:t>
      </w:r>
      <w:r>
        <w:rPr>
          <w:spacing w:val="-7"/>
        </w:rPr>
        <w:t xml:space="preserve"> </w:t>
      </w:r>
      <w:r>
        <w:t>ese</w:t>
      </w:r>
      <w:r>
        <w:rPr>
          <w:spacing w:val="-8"/>
        </w:rPr>
        <w:t xml:space="preserve"> </w:t>
      </w:r>
      <w:r>
        <w:t>«modo</w:t>
      </w:r>
      <w:r>
        <w:rPr>
          <w:spacing w:val="-7"/>
        </w:rPr>
        <w:t xml:space="preserve"> </w:t>
      </w:r>
      <w:r>
        <w:t>guerra»,</w:t>
      </w:r>
      <w:r>
        <w:rPr>
          <w:spacing w:val="-10"/>
        </w:rPr>
        <w:t xml:space="preserve"> </w:t>
      </w:r>
      <w:r>
        <w:t>como</w:t>
      </w:r>
      <w:r>
        <w:rPr>
          <w:spacing w:val="-7"/>
        </w:rPr>
        <w:t xml:space="preserve"> </w:t>
      </w:r>
      <w:r>
        <w:t>si</w:t>
      </w:r>
      <w:r>
        <w:rPr>
          <w:spacing w:val="-8"/>
        </w:rPr>
        <w:t xml:space="preserve"> </w:t>
      </w:r>
      <w:r>
        <w:t>fueran</w:t>
      </w:r>
      <w:r>
        <w:rPr>
          <w:spacing w:val="-6"/>
        </w:rPr>
        <w:t xml:space="preserve"> </w:t>
      </w:r>
      <w:r>
        <w:rPr>
          <w:spacing w:val="-5"/>
        </w:rPr>
        <w:t>una</w:t>
      </w:r>
      <w:r w:rsidR="007B43DB">
        <w:t xml:space="preserve"> </w:t>
      </w:r>
      <w:r>
        <w:t>«guerra jurídica», concepto que ha sido utilizado para justificar el ataque a defensores de derechos</w:t>
      </w:r>
      <w:r>
        <w:rPr>
          <w:spacing w:val="-5"/>
        </w:rPr>
        <w:t xml:space="preserve"> </w:t>
      </w:r>
      <w:r>
        <w:t>humanos,</w:t>
      </w:r>
      <w:r>
        <w:rPr>
          <w:spacing w:val="-5"/>
        </w:rPr>
        <w:t xml:space="preserve"> </w:t>
      </w:r>
      <w:r>
        <w:t>no</w:t>
      </w:r>
      <w:r>
        <w:rPr>
          <w:spacing w:val="-5"/>
        </w:rPr>
        <w:t xml:space="preserve"> </w:t>
      </w:r>
      <w:r>
        <w:t>reaccionar</w:t>
      </w:r>
      <w:r>
        <w:rPr>
          <w:spacing w:val="-4"/>
        </w:rPr>
        <w:t xml:space="preserve"> </w:t>
      </w:r>
      <w:r>
        <w:t>frente</w:t>
      </w:r>
      <w:r>
        <w:rPr>
          <w:spacing w:val="-5"/>
        </w:rPr>
        <w:t xml:space="preserve"> </w:t>
      </w:r>
      <w:r>
        <w:t>a</w:t>
      </w:r>
      <w:r>
        <w:rPr>
          <w:spacing w:val="-5"/>
        </w:rPr>
        <w:t xml:space="preserve"> </w:t>
      </w:r>
      <w:r>
        <w:t>las</w:t>
      </w:r>
      <w:r>
        <w:rPr>
          <w:spacing w:val="-5"/>
        </w:rPr>
        <w:t xml:space="preserve"> </w:t>
      </w:r>
      <w:r>
        <w:t>denuncias</w:t>
      </w:r>
      <w:r>
        <w:rPr>
          <w:spacing w:val="-5"/>
        </w:rPr>
        <w:t xml:space="preserve"> </w:t>
      </w:r>
      <w:r>
        <w:t>o</w:t>
      </w:r>
      <w:r>
        <w:rPr>
          <w:spacing w:val="-5"/>
        </w:rPr>
        <w:t xml:space="preserve"> </w:t>
      </w:r>
      <w:r>
        <w:t>mantener</w:t>
      </w:r>
      <w:r>
        <w:rPr>
          <w:spacing w:val="-4"/>
        </w:rPr>
        <w:t xml:space="preserve"> </w:t>
      </w:r>
      <w:r>
        <w:t>la</w:t>
      </w:r>
      <w:r>
        <w:rPr>
          <w:spacing w:val="-5"/>
        </w:rPr>
        <w:t xml:space="preserve"> </w:t>
      </w:r>
      <w:r>
        <w:t>impunidad</w:t>
      </w:r>
      <w:r>
        <w:rPr>
          <w:spacing w:val="-5"/>
        </w:rPr>
        <w:t xml:space="preserve"> </w:t>
      </w:r>
      <w:r>
        <w:t>de</w:t>
      </w:r>
      <w:r>
        <w:rPr>
          <w:spacing w:val="-5"/>
        </w:rPr>
        <w:t xml:space="preserve"> </w:t>
      </w:r>
      <w:r>
        <w:t>muchas acciones.</w:t>
      </w:r>
      <w:r>
        <w:rPr>
          <w:spacing w:val="-10"/>
        </w:rPr>
        <w:t xml:space="preserve"> </w:t>
      </w:r>
      <w:r>
        <w:t>Esta</w:t>
      </w:r>
      <w:r>
        <w:rPr>
          <w:spacing w:val="-9"/>
        </w:rPr>
        <w:t xml:space="preserve"> </w:t>
      </w:r>
      <w:r>
        <w:t>relación</w:t>
      </w:r>
      <w:r>
        <w:rPr>
          <w:spacing w:val="-10"/>
        </w:rPr>
        <w:t xml:space="preserve"> </w:t>
      </w:r>
      <w:r>
        <w:t>entre</w:t>
      </w:r>
      <w:r>
        <w:rPr>
          <w:spacing w:val="-9"/>
        </w:rPr>
        <w:t xml:space="preserve"> </w:t>
      </w:r>
      <w:r>
        <w:lastRenderedPageBreak/>
        <w:t>concepción</w:t>
      </w:r>
      <w:r>
        <w:rPr>
          <w:spacing w:val="-9"/>
        </w:rPr>
        <w:t xml:space="preserve"> </w:t>
      </w:r>
      <w:r>
        <w:t>del</w:t>
      </w:r>
      <w:r>
        <w:rPr>
          <w:spacing w:val="-9"/>
        </w:rPr>
        <w:t xml:space="preserve"> </w:t>
      </w:r>
      <w:r>
        <w:t>enemigo</w:t>
      </w:r>
      <w:r>
        <w:rPr>
          <w:spacing w:val="-9"/>
        </w:rPr>
        <w:t xml:space="preserve"> </w:t>
      </w:r>
      <w:r>
        <w:t>y</w:t>
      </w:r>
      <w:r>
        <w:rPr>
          <w:spacing w:val="-9"/>
        </w:rPr>
        <w:t xml:space="preserve"> </w:t>
      </w:r>
      <w:r>
        <w:t>acción</w:t>
      </w:r>
      <w:r>
        <w:rPr>
          <w:spacing w:val="-11"/>
        </w:rPr>
        <w:t xml:space="preserve"> </w:t>
      </w:r>
      <w:r>
        <w:t>de</w:t>
      </w:r>
      <w:r>
        <w:rPr>
          <w:spacing w:val="-9"/>
        </w:rPr>
        <w:t xml:space="preserve"> </w:t>
      </w:r>
      <w:r>
        <w:t>organismos</w:t>
      </w:r>
      <w:r>
        <w:rPr>
          <w:spacing w:val="-9"/>
        </w:rPr>
        <w:t xml:space="preserve"> </w:t>
      </w:r>
      <w:r>
        <w:t>de</w:t>
      </w:r>
      <w:r>
        <w:rPr>
          <w:spacing w:val="-9"/>
        </w:rPr>
        <w:t xml:space="preserve"> </w:t>
      </w:r>
      <w:r>
        <w:t>inteligencia ha sido un factor de persistencia del conflicto armado. Cambiar la perspectiva de estos organismos,</w:t>
      </w:r>
      <w:r>
        <w:rPr>
          <w:spacing w:val="-9"/>
        </w:rPr>
        <w:t xml:space="preserve"> </w:t>
      </w:r>
      <w:r>
        <w:t>contar</w:t>
      </w:r>
      <w:r>
        <w:rPr>
          <w:spacing w:val="-9"/>
        </w:rPr>
        <w:t xml:space="preserve"> </w:t>
      </w:r>
      <w:r>
        <w:t>con</w:t>
      </w:r>
      <w:r>
        <w:rPr>
          <w:spacing w:val="-9"/>
        </w:rPr>
        <w:t xml:space="preserve"> </w:t>
      </w:r>
      <w:r>
        <w:t>mecanismos</w:t>
      </w:r>
      <w:r>
        <w:rPr>
          <w:spacing w:val="-9"/>
        </w:rPr>
        <w:t xml:space="preserve"> </w:t>
      </w:r>
      <w:r>
        <w:t>de</w:t>
      </w:r>
      <w:r>
        <w:rPr>
          <w:spacing w:val="-8"/>
        </w:rPr>
        <w:t xml:space="preserve"> </w:t>
      </w:r>
      <w:r>
        <w:t>control</w:t>
      </w:r>
      <w:r>
        <w:rPr>
          <w:spacing w:val="-9"/>
        </w:rPr>
        <w:t xml:space="preserve"> </w:t>
      </w:r>
      <w:r>
        <w:t>efectivos</w:t>
      </w:r>
      <w:r>
        <w:rPr>
          <w:spacing w:val="-8"/>
        </w:rPr>
        <w:t xml:space="preserve"> </w:t>
      </w:r>
      <w:r>
        <w:t>y</w:t>
      </w:r>
      <w:r>
        <w:rPr>
          <w:spacing w:val="-8"/>
        </w:rPr>
        <w:t xml:space="preserve"> </w:t>
      </w:r>
      <w:r>
        <w:t>dejar</w:t>
      </w:r>
      <w:r>
        <w:rPr>
          <w:spacing w:val="-8"/>
        </w:rPr>
        <w:t xml:space="preserve"> </w:t>
      </w:r>
      <w:r>
        <w:t>de</w:t>
      </w:r>
      <w:r>
        <w:rPr>
          <w:spacing w:val="-8"/>
        </w:rPr>
        <w:t xml:space="preserve"> </w:t>
      </w:r>
      <w:r>
        <w:t>considerar</w:t>
      </w:r>
      <w:r>
        <w:rPr>
          <w:spacing w:val="-9"/>
        </w:rPr>
        <w:t xml:space="preserve"> </w:t>
      </w:r>
      <w:r>
        <w:t>a</w:t>
      </w:r>
      <w:r>
        <w:rPr>
          <w:spacing w:val="-8"/>
        </w:rPr>
        <w:t xml:space="preserve"> </w:t>
      </w:r>
      <w:r>
        <w:t>la</w:t>
      </w:r>
      <w:r>
        <w:rPr>
          <w:spacing w:val="-8"/>
        </w:rPr>
        <w:t xml:space="preserve"> </w:t>
      </w:r>
      <w:r>
        <w:t>población y a las organizaciones y</w:t>
      </w:r>
      <w:r>
        <w:rPr>
          <w:spacing w:val="-1"/>
        </w:rPr>
        <w:t xml:space="preserve"> </w:t>
      </w:r>
      <w:r>
        <w:t>movimientos sociales</w:t>
      </w:r>
      <w:r>
        <w:rPr>
          <w:spacing w:val="-1"/>
        </w:rPr>
        <w:t xml:space="preserve"> </w:t>
      </w:r>
      <w:r>
        <w:t>como base social de</w:t>
      </w:r>
      <w:r>
        <w:rPr>
          <w:spacing w:val="-1"/>
        </w:rPr>
        <w:t xml:space="preserve"> </w:t>
      </w:r>
      <w:r>
        <w:t>la guerrilla</w:t>
      </w:r>
      <w:r>
        <w:rPr>
          <w:spacing w:val="-1"/>
        </w:rPr>
        <w:t xml:space="preserve"> </w:t>
      </w:r>
      <w:r>
        <w:t>son parte del cambio instrumental y de mentalidad que se necesita para la construcción de la paz.</w:t>
      </w:r>
    </w:p>
    <w:p w:rsidR="0011361F" w:rsidRDefault="00AF18A5" w:rsidP="004A6EF4">
      <w:pPr>
        <w:pStyle w:val="Ttulo3"/>
        <w:numPr>
          <w:ilvl w:val="1"/>
          <w:numId w:val="16"/>
        </w:numPr>
      </w:pPr>
      <w:bookmarkStart w:id="1009" w:name="7.5._Opacidad_de_los_fueros_y_militariza"/>
      <w:bookmarkStart w:id="1010" w:name="_Toc112399621"/>
      <w:bookmarkEnd w:id="1009"/>
      <w:r>
        <w:t>Opacidad</w:t>
      </w:r>
      <w:r>
        <w:rPr>
          <w:spacing w:val="-3"/>
        </w:rPr>
        <w:t xml:space="preserve"> </w:t>
      </w:r>
      <w:r>
        <w:t>de</w:t>
      </w:r>
      <w:r>
        <w:rPr>
          <w:spacing w:val="-1"/>
        </w:rPr>
        <w:t xml:space="preserve"> </w:t>
      </w:r>
      <w:r>
        <w:t>los</w:t>
      </w:r>
      <w:r>
        <w:rPr>
          <w:spacing w:val="-2"/>
        </w:rPr>
        <w:t xml:space="preserve"> </w:t>
      </w:r>
      <w:r>
        <w:t>fueros</w:t>
      </w:r>
      <w:r>
        <w:rPr>
          <w:spacing w:val="-1"/>
        </w:rPr>
        <w:t xml:space="preserve"> </w:t>
      </w:r>
      <w:r>
        <w:t>y</w:t>
      </w:r>
      <w:r>
        <w:rPr>
          <w:spacing w:val="-1"/>
        </w:rPr>
        <w:t xml:space="preserve"> </w:t>
      </w:r>
      <w:r>
        <w:t>militarización</w:t>
      </w:r>
      <w:r>
        <w:rPr>
          <w:spacing w:val="-3"/>
        </w:rPr>
        <w:t xml:space="preserve"> </w:t>
      </w:r>
      <w:r>
        <w:t>de</w:t>
      </w:r>
      <w:r>
        <w:rPr>
          <w:spacing w:val="-1"/>
        </w:rPr>
        <w:t xml:space="preserve"> </w:t>
      </w:r>
      <w:r>
        <w:t>la</w:t>
      </w:r>
      <w:r>
        <w:rPr>
          <w:spacing w:val="-1"/>
        </w:rPr>
        <w:t xml:space="preserve"> </w:t>
      </w:r>
      <w:r>
        <w:rPr>
          <w:spacing w:val="-2"/>
        </w:rPr>
        <w:t>justicia</w:t>
      </w:r>
      <w:bookmarkEnd w:id="1010"/>
    </w:p>
    <w:p w:rsidR="003804AC" w:rsidRPr="00265AEA" w:rsidRDefault="00AF18A5" w:rsidP="00265AEA">
      <w:r>
        <w:t>El</w:t>
      </w:r>
      <w:r>
        <w:rPr>
          <w:spacing w:val="-8"/>
        </w:rPr>
        <w:t xml:space="preserve"> </w:t>
      </w:r>
      <w:r>
        <w:t>modelo</w:t>
      </w:r>
      <w:r>
        <w:rPr>
          <w:spacing w:val="-8"/>
        </w:rPr>
        <w:t xml:space="preserve"> </w:t>
      </w:r>
      <w:r>
        <w:t>de</w:t>
      </w:r>
      <w:r>
        <w:rPr>
          <w:spacing w:val="-8"/>
        </w:rPr>
        <w:t xml:space="preserve"> </w:t>
      </w:r>
      <w:r>
        <w:t>seguridad</w:t>
      </w:r>
      <w:r>
        <w:rPr>
          <w:spacing w:val="-9"/>
        </w:rPr>
        <w:t xml:space="preserve"> </w:t>
      </w:r>
      <w:r>
        <w:t>ha</w:t>
      </w:r>
      <w:r>
        <w:rPr>
          <w:spacing w:val="-8"/>
        </w:rPr>
        <w:t xml:space="preserve"> </w:t>
      </w:r>
      <w:r>
        <w:t>estado</w:t>
      </w:r>
      <w:r>
        <w:rPr>
          <w:spacing w:val="-9"/>
        </w:rPr>
        <w:t xml:space="preserve"> </w:t>
      </w:r>
      <w:r>
        <w:t>mediatizado</w:t>
      </w:r>
      <w:r>
        <w:rPr>
          <w:spacing w:val="-8"/>
        </w:rPr>
        <w:t xml:space="preserve"> </w:t>
      </w:r>
      <w:r>
        <w:t>por</w:t>
      </w:r>
      <w:r>
        <w:rPr>
          <w:spacing w:val="-8"/>
        </w:rPr>
        <w:t xml:space="preserve"> </w:t>
      </w:r>
      <w:r>
        <w:t>la</w:t>
      </w:r>
      <w:r>
        <w:rPr>
          <w:spacing w:val="-8"/>
        </w:rPr>
        <w:t xml:space="preserve"> </w:t>
      </w:r>
      <w:r>
        <w:t>creación</w:t>
      </w:r>
      <w:r>
        <w:rPr>
          <w:spacing w:val="-8"/>
        </w:rPr>
        <w:t xml:space="preserve"> </w:t>
      </w:r>
      <w:r>
        <w:t>de</w:t>
      </w:r>
      <w:r>
        <w:rPr>
          <w:spacing w:val="-8"/>
        </w:rPr>
        <w:t xml:space="preserve"> </w:t>
      </w:r>
      <w:r>
        <w:t>un</w:t>
      </w:r>
      <w:r>
        <w:rPr>
          <w:spacing w:val="-8"/>
        </w:rPr>
        <w:t xml:space="preserve"> </w:t>
      </w:r>
      <w:r>
        <w:t>contexto</w:t>
      </w:r>
      <w:r>
        <w:rPr>
          <w:spacing w:val="-8"/>
        </w:rPr>
        <w:t xml:space="preserve"> </w:t>
      </w:r>
      <w:r>
        <w:t>de</w:t>
      </w:r>
      <w:r>
        <w:rPr>
          <w:spacing w:val="-8"/>
        </w:rPr>
        <w:t xml:space="preserve"> </w:t>
      </w:r>
      <w:r>
        <w:t>jurisdicción especial, opacidad de los fueros y justicias especiales que ha operado como formas de impunidad. Así, ha sacrificado la independencia e imparcialidad de la justicia por dos vías. En primer lugar, durante las décadas en que se instituyó, por el juzgamiento de civiles por parte</w:t>
      </w:r>
      <w:r>
        <w:rPr>
          <w:spacing w:val="-1"/>
        </w:rPr>
        <w:t xml:space="preserve"> </w:t>
      </w:r>
      <w:r>
        <w:t>de la justicia penal</w:t>
      </w:r>
      <w:r>
        <w:rPr>
          <w:spacing w:val="-2"/>
        </w:rPr>
        <w:t xml:space="preserve"> </w:t>
      </w:r>
      <w:r>
        <w:t>militar que,</w:t>
      </w:r>
      <w:r>
        <w:rPr>
          <w:spacing w:val="-1"/>
        </w:rPr>
        <w:t xml:space="preserve"> </w:t>
      </w:r>
      <w:r>
        <w:t>después de</w:t>
      </w:r>
      <w:r>
        <w:rPr>
          <w:spacing w:val="-1"/>
        </w:rPr>
        <w:t xml:space="preserve"> </w:t>
      </w:r>
      <w:r>
        <w:t>su</w:t>
      </w:r>
      <w:r>
        <w:rPr>
          <w:spacing w:val="-1"/>
        </w:rPr>
        <w:t xml:space="preserve"> </w:t>
      </w:r>
      <w:r>
        <w:t>abolición,</w:t>
      </w:r>
      <w:r>
        <w:rPr>
          <w:spacing w:val="-1"/>
        </w:rPr>
        <w:t xml:space="preserve"> </w:t>
      </w:r>
      <w:r>
        <w:t>evolucionó</w:t>
      </w:r>
      <w:r>
        <w:rPr>
          <w:spacing w:val="-1"/>
        </w:rPr>
        <w:t xml:space="preserve"> </w:t>
      </w:r>
      <w:r>
        <w:t xml:space="preserve">a concepciones </w:t>
      </w:r>
      <w:r>
        <w:rPr>
          <w:spacing w:val="-5"/>
        </w:rPr>
        <w:t>de</w:t>
      </w:r>
      <w:bookmarkStart w:id="1011" w:name="_bookmark889"/>
      <w:bookmarkEnd w:id="1011"/>
      <w:r w:rsidR="00265AEA">
        <w:rPr>
          <w:spacing w:val="-5"/>
        </w:rPr>
        <w:t xml:space="preserve"> </w:t>
      </w:r>
      <w:r>
        <w:t>justicia de excepción, principalmente la justicia de orden público o justicia regional. En segundo</w:t>
      </w:r>
      <w:r>
        <w:rPr>
          <w:spacing w:val="-7"/>
        </w:rPr>
        <w:t xml:space="preserve"> </w:t>
      </w:r>
      <w:r>
        <w:t>lugar,</w:t>
      </w:r>
      <w:r>
        <w:rPr>
          <w:spacing w:val="-7"/>
        </w:rPr>
        <w:t xml:space="preserve"> </w:t>
      </w:r>
      <w:r>
        <w:t>a</w:t>
      </w:r>
      <w:r>
        <w:rPr>
          <w:spacing w:val="-7"/>
        </w:rPr>
        <w:t xml:space="preserve"> </w:t>
      </w:r>
      <w:r>
        <w:t>través</w:t>
      </w:r>
      <w:r>
        <w:rPr>
          <w:spacing w:val="-7"/>
        </w:rPr>
        <w:t xml:space="preserve"> </w:t>
      </w:r>
      <w:r>
        <w:t>del</w:t>
      </w:r>
      <w:r>
        <w:rPr>
          <w:spacing w:val="-7"/>
        </w:rPr>
        <w:t xml:space="preserve"> </w:t>
      </w:r>
      <w:r>
        <w:t>fuero</w:t>
      </w:r>
      <w:r>
        <w:rPr>
          <w:spacing w:val="-7"/>
        </w:rPr>
        <w:t xml:space="preserve"> </w:t>
      </w:r>
      <w:r>
        <w:t>penal</w:t>
      </w:r>
      <w:r>
        <w:rPr>
          <w:spacing w:val="-7"/>
        </w:rPr>
        <w:t xml:space="preserve"> </w:t>
      </w:r>
      <w:r>
        <w:t>militar,</w:t>
      </w:r>
      <w:r>
        <w:rPr>
          <w:spacing w:val="-7"/>
        </w:rPr>
        <w:t xml:space="preserve"> </w:t>
      </w:r>
      <w:r>
        <w:t>consistente</w:t>
      </w:r>
      <w:r>
        <w:rPr>
          <w:spacing w:val="-7"/>
        </w:rPr>
        <w:t xml:space="preserve"> </w:t>
      </w:r>
      <w:r>
        <w:t>en</w:t>
      </w:r>
      <w:r>
        <w:rPr>
          <w:spacing w:val="-7"/>
        </w:rPr>
        <w:t xml:space="preserve"> </w:t>
      </w:r>
      <w:r>
        <w:t>el</w:t>
      </w:r>
      <w:r>
        <w:rPr>
          <w:spacing w:val="-7"/>
        </w:rPr>
        <w:t xml:space="preserve"> </w:t>
      </w:r>
      <w:r>
        <w:t>juzgamiento</w:t>
      </w:r>
      <w:r>
        <w:rPr>
          <w:spacing w:val="-7"/>
        </w:rPr>
        <w:t xml:space="preserve"> </w:t>
      </w:r>
      <w:r>
        <w:t>por</w:t>
      </w:r>
      <w:r>
        <w:rPr>
          <w:spacing w:val="-7"/>
        </w:rPr>
        <w:t xml:space="preserve"> </w:t>
      </w:r>
      <w:r>
        <w:t>parte</w:t>
      </w:r>
      <w:r>
        <w:rPr>
          <w:spacing w:val="-7"/>
        </w:rPr>
        <w:t xml:space="preserve"> </w:t>
      </w:r>
      <w:r>
        <w:t>de</w:t>
      </w:r>
      <w:r>
        <w:rPr>
          <w:spacing w:val="-7"/>
        </w:rPr>
        <w:t xml:space="preserve"> </w:t>
      </w:r>
      <w:r>
        <w:t>las Fuerzas</w:t>
      </w:r>
      <w:r>
        <w:rPr>
          <w:spacing w:val="-5"/>
        </w:rPr>
        <w:t xml:space="preserve"> </w:t>
      </w:r>
      <w:r>
        <w:t>Armadas,</w:t>
      </w:r>
      <w:r>
        <w:rPr>
          <w:spacing w:val="-6"/>
        </w:rPr>
        <w:t xml:space="preserve"> </w:t>
      </w:r>
      <w:r>
        <w:t>a</w:t>
      </w:r>
      <w:r>
        <w:rPr>
          <w:spacing w:val="-5"/>
        </w:rPr>
        <w:t xml:space="preserve"> </w:t>
      </w:r>
      <w:r>
        <w:t>través</w:t>
      </w:r>
      <w:r>
        <w:rPr>
          <w:spacing w:val="-5"/>
        </w:rPr>
        <w:t xml:space="preserve"> </w:t>
      </w:r>
      <w:r>
        <w:t>de</w:t>
      </w:r>
      <w:r>
        <w:rPr>
          <w:spacing w:val="-6"/>
        </w:rPr>
        <w:t xml:space="preserve"> </w:t>
      </w:r>
      <w:r>
        <w:t>la</w:t>
      </w:r>
      <w:r>
        <w:rPr>
          <w:spacing w:val="-6"/>
        </w:rPr>
        <w:t xml:space="preserve"> </w:t>
      </w:r>
      <w:r>
        <w:t>justicia</w:t>
      </w:r>
      <w:r>
        <w:rPr>
          <w:spacing w:val="-5"/>
        </w:rPr>
        <w:t xml:space="preserve"> </w:t>
      </w:r>
      <w:r>
        <w:t>penal</w:t>
      </w:r>
      <w:r>
        <w:rPr>
          <w:spacing w:val="-6"/>
        </w:rPr>
        <w:t xml:space="preserve"> </w:t>
      </w:r>
      <w:r>
        <w:t>militar,</w:t>
      </w:r>
      <w:r>
        <w:rPr>
          <w:spacing w:val="-5"/>
        </w:rPr>
        <w:t xml:space="preserve"> </w:t>
      </w:r>
      <w:r>
        <w:t>de</w:t>
      </w:r>
      <w:r>
        <w:rPr>
          <w:spacing w:val="-6"/>
        </w:rPr>
        <w:t xml:space="preserve"> </w:t>
      </w:r>
      <w:r>
        <w:t>violaciones</w:t>
      </w:r>
      <w:r>
        <w:rPr>
          <w:spacing w:val="-5"/>
        </w:rPr>
        <w:t xml:space="preserve"> </w:t>
      </w:r>
      <w:r>
        <w:t>de</w:t>
      </w:r>
      <w:r>
        <w:rPr>
          <w:spacing w:val="-6"/>
        </w:rPr>
        <w:t xml:space="preserve"> </w:t>
      </w:r>
      <w:r>
        <w:t>derechos</w:t>
      </w:r>
      <w:r>
        <w:rPr>
          <w:spacing w:val="-5"/>
        </w:rPr>
        <w:t xml:space="preserve"> </w:t>
      </w:r>
      <w:r>
        <w:t>humanos</w:t>
      </w:r>
      <w:r>
        <w:rPr>
          <w:spacing w:val="-6"/>
        </w:rPr>
        <w:t xml:space="preserve"> </w:t>
      </w:r>
      <w:r>
        <w:t>e infracciones al DIH en que sus miembros hayan podido incurrir.</w:t>
      </w:r>
    </w:p>
    <w:p w:rsidR="003804AC" w:rsidRDefault="00AF18A5" w:rsidP="00265AEA">
      <w:r>
        <w:t>Ambos diseños afectaron la independencia e imparcialidad de la justicia y la pusieron al servicio</w:t>
      </w:r>
      <w:r>
        <w:rPr>
          <w:spacing w:val="-9"/>
        </w:rPr>
        <w:t xml:space="preserve"> </w:t>
      </w:r>
      <w:r>
        <w:t>de</w:t>
      </w:r>
      <w:r>
        <w:rPr>
          <w:spacing w:val="-9"/>
        </w:rPr>
        <w:t xml:space="preserve"> </w:t>
      </w:r>
      <w:r>
        <w:t>la</w:t>
      </w:r>
      <w:r>
        <w:rPr>
          <w:spacing w:val="-8"/>
        </w:rPr>
        <w:t xml:space="preserve"> </w:t>
      </w:r>
      <w:r>
        <w:t>guerra.</w:t>
      </w:r>
      <w:r>
        <w:rPr>
          <w:spacing w:val="-8"/>
        </w:rPr>
        <w:t xml:space="preserve"> </w:t>
      </w:r>
      <w:r>
        <w:t>En</w:t>
      </w:r>
      <w:r>
        <w:rPr>
          <w:spacing w:val="-11"/>
        </w:rPr>
        <w:t xml:space="preserve"> </w:t>
      </w:r>
      <w:r>
        <w:t>el</w:t>
      </w:r>
      <w:r>
        <w:rPr>
          <w:spacing w:val="-8"/>
        </w:rPr>
        <w:t xml:space="preserve"> </w:t>
      </w:r>
      <w:r>
        <w:t>primer</w:t>
      </w:r>
      <w:r>
        <w:rPr>
          <w:spacing w:val="-9"/>
        </w:rPr>
        <w:t xml:space="preserve"> </w:t>
      </w:r>
      <w:r>
        <w:t>caso,</w:t>
      </w:r>
      <w:r>
        <w:rPr>
          <w:spacing w:val="-8"/>
        </w:rPr>
        <w:t xml:space="preserve"> </w:t>
      </w:r>
      <w:r>
        <w:t>porque</w:t>
      </w:r>
      <w:r>
        <w:rPr>
          <w:spacing w:val="-9"/>
        </w:rPr>
        <w:t xml:space="preserve"> </w:t>
      </w:r>
      <w:r>
        <w:t>el</w:t>
      </w:r>
      <w:r>
        <w:rPr>
          <w:spacing w:val="-10"/>
        </w:rPr>
        <w:t xml:space="preserve"> </w:t>
      </w:r>
      <w:r>
        <w:t>juzgamiento</w:t>
      </w:r>
      <w:r>
        <w:rPr>
          <w:spacing w:val="-10"/>
        </w:rPr>
        <w:t xml:space="preserve"> </w:t>
      </w:r>
      <w:r>
        <w:t>de</w:t>
      </w:r>
      <w:r>
        <w:rPr>
          <w:spacing w:val="-8"/>
        </w:rPr>
        <w:t xml:space="preserve"> </w:t>
      </w:r>
      <w:r>
        <w:t>civiles</w:t>
      </w:r>
      <w:r>
        <w:rPr>
          <w:spacing w:val="-9"/>
        </w:rPr>
        <w:t xml:space="preserve"> </w:t>
      </w:r>
      <w:r>
        <w:t>por</w:t>
      </w:r>
      <w:r>
        <w:rPr>
          <w:spacing w:val="-8"/>
        </w:rPr>
        <w:t xml:space="preserve"> </w:t>
      </w:r>
      <w:r>
        <w:t>la</w:t>
      </w:r>
      <w:r>
        <w:rPr>
          <w:spacing w:val="-8"/>
        </w:rPr>
        <w:t xml:space="preserve"> </w:t>
      </w:r>
      <w:r>
        <w:t>justicia</w:t>
      </w:r>
      <w:r>
        <w:rPr>
          <w:spacing w:val="-11"/>
        </w:rPr>
        <w:t xml:space="preserve"> </w:t>
      </w:r>
      <w:r>
        <w:t>penal militar permitió a las Fuerzas Armadas ser jueces de quienes consideraban enemigos, a quienes se acusaba de tener lazos o ser parte de grupos subversivos. El extremo de esa falta de independencia y de la impunidad de las violaciones de derechos humanos cometidas se dio</w:t>
      </w:r>
      <w:r>
        <w:rPr>
          <w:spacing w:val="-10"/>
        </w:rPr>
        <w:t xml:space="preserve"> </w:t>
      </w:r>
      <w:r>
        <w:t>antes</w:t>
      </w:r>
      <w:r>
        <w:rPr>
          <w:spacing w:val="-10"/>
        </w:rPr>
        <w:t xml:space="preserve"> </w:t>
      </w:r>
      <w:r>
        <w:t>de</w:t>
      </w:r>
      <w:r>
        <w:rPr>
          <w:spacing w:val="-10"/>
        </w:rPr>
        <w:t xml:space="preserve"> </w:t>
      </w:r>
      <w:r>
        <w:t>la</w:t>
      </w:r>
      <w:r>
        <w:rPr>
          <w:spacing w:val="-10"/>
        </w:rPr>
        <w:t xml:space="preserve"> </w:t>
      </w:r>
      <w:r>
        <w:t>época</w:t>
      </w:r>
      <w:r>
        <w:rPr>
          <w:spacing w:val="-10"/>
        </w:rPr>
        <w:t xml:space="preserve"> </w:t>
      </w:r>
      <w:r>
        <w:t>del</w:t>
      </w:r>
      <w:r>
        <w:rPr>
          <w:spacing w:val="-11"/>
        </w:rPr>
        <w:t xml:space="preserve"> </w:t>
      </w:r>
      <w:r>
        <w:t>Estatuto</w:t>
      </w:r>
      <w:r>
        <w:rPr>
          <w:spacing w:val="-10"/>
        </w:rPr>
        <w:t xml:space="preserve"> </w:t>
      </w:r>
      <w:r>
        <w:t>de</w:t>
      </w:r>
      <w:r>
        <w:rPr>
          <w:spacing w:val="-10"/>
        </w:rPr>
        <w:t xml:space="preserve"> </w:t>
      </w:r>
      <w:r>
        <w:t>Seguridad,</w:t>
      </w:r>
      <w:r>
        <w:rPr>
          <w:spacing w:val="-10"/>
        </w:rPr>
        <w:t xml:space="preserve"> </w:t>
      </w:r>
      <w:r>
        <w:t>pero</w:t>
      </w:r>
      <w:r>
        <w:rPr>
          <w:spacing w:val="-10"/>
        </w:rPr>
        <w:t xml:space="preserve"> </w:t>
      </w:r>
      <w:r>
        <w:t>dichas</w:t>
      </w:r>
      <w:r>
        <w:rPr>
          <w:spacing w:val="-10"/>
        </w:rPr>
        <w:t xml:space="preserve"> </w:t>
      </w:r>
      <w:r>
        <w:t>acciones</w:t>
      </w:r>
      <w:r>
        <w:rPr>
          <w:spacing w:val="-10"/>
        </w:rPr>
        <w:t xml:space="preserve"> </w:t>
      </w:r>
      <w:r>
        <w:t>se</w:t>
      </w:r>
      <w:r>
        <w:rPr>
          <w:spacing w:val="-10"/>
        </w:rPr>
        <w:t xml:space="preserve"> </w:t>
      </w:r>
      <w:r>
        <w:t>llevaron</w:t>
      </w:r>
      <w:r>
        <w:rPr>
          <w:spacing w:val="-10"/>
        </w:rPr>
        <w:t xml:space="preserve"> </w:t>
      </w:r>
      <w:r>
        <w:t>a</w:t>
      </w:r>
      <w:r>
        <w:rPr>
          <w:spacing w:val="-10"/>
        </w:rPr>
        <w:t xml:space="preserve"> </w:t>
      </w:r>
      <w:r>
        <w:t>cabo</w:t>
      </w:r>
      <w:r>
        <w:rPr>
          <w:spacing w:val="-10"/>
        </w:rPr>
        <w:t xml:space="preserve"> </w:t>
      </w:r>
      <w:r>
        <w:t xml:space="preserve">hasta la Constitución </w:t>
      </w:r>
      <w:r>
        <w:lastRenderedPageBreak/>
        <w:t>de 1991.</w:t>
      </w:r>
    </w:p>
    <w:p w:rsidR="003804AC" w:rsidRDefault="00AF18A5" w:rsidP="00265AEA">
      <w:r>
        <w:t>En el segundo caso, el fuero penal militar ha permitido a las Fuerzas Militares ser jueces de los delitos que sus propios miembros puedan cometer en el ámbito de la guerra. Esta jurisdicción no solo operó como un mecanismo de impunidad durante décadas, sino que después</w:t>
      </w:r>
      <w:r>
        <w:rPr>
          <w:spacing w:val="-10"/>
        </w:rPr>
        <w:t xml:space="preserve"> </w:t>
      </w:r>
      <w:r>
        <w:t>de</w:t>
      </w:r>
      <w:r>
        <w:rPr>
          <w:spacing w:val="-12"/>
        </w:rPr>
        <w:t xml:space="preserve"> </w:t>
      </w:r>
      <w:r>
        <w:t>sucesivas</w:t>
      </w:r>
      <w:r>
        <w:rPr>
          <w:spacing w:val="-12"/>
        </w:rPr>
        <w:t xml:space="preserve"> </w:t>
      </w:r>
      <w:r>
        <w:t>sentencias</w:t>
      </w:r>
      <w:r>
        <w:rPr>
          <w:spacing w:val="-10"/>
        </w:rPr>
        <w:t xml:space="preserve"> </w:t>
      </w:r>
      <w:r>
        <w:t>de</w:t>
      </w:r>
      <w:r>
        <w:rPr>
          <w:spacing w:val="-12"/>
        </w:rPr>
        <w:t xml:space="preserve"> </w:t>
      </w:r>
      <w:r>
        <w:t>la</w:t>
      </w:r>
      <w:r>
        <w:rPr>
          <w:spacing w:val="-13"/>
        </w:rPr>
        <w:t xml:space="preserve"> </w:t>
      </w:r>
      <w:r>
        <w:t>propia</w:t>
      </w:r>
      <w:r>
        <w:rPr>
          <w:spacing w:val="-10"/>
        </w:rPr>
        <w:t xml:space="preserve"> </w:t>
      </w:r>
      <w:r>
        <w:t>Corte</w:t>
      </w:r>
      <w:r>
        <w:rPr>
          <w:spacing w:val="-12"/>
        </w:rPr>
        <w:t xml:space="preserve"> </w:t>
      </w:r>
      <w:r>
        <w:t>Constitucional</w:t>
      </w:r>
      <w:r>
        <w:rPr>
          <w:spacing w:val="-10"/>
        </w:rPr>
        <w:t xml:space="preserve"> </w:t>
      </w:r>
      <w:r>
        <w:t>que</w:t>
      </w:r>
      <w:r>
        <w:rPr>
          <w:spacing w:val="-12"/>
        </w:rPr>
        <w:t xml:space="preserve"> </w:t>
      </w:r>
      <w:r>
        <w:t>limitaron</w:t>
      </w:r>
      <w:r>
        <w:rPr>
          <w:spacing w:val="-11"/>
        </w:rPr>
        <w:t xml:space="preserve"> </w:t>
      </w:r>
      <w:r>
        <w:t>su</w:t>
      </w:r>
      <w:r>
        <w:rPr>
          <w:spacing w:val="-12"/>
        </w:rPr>
        <w:t xml:space="preserve"> </w:t>
      </w:r>
      <w:r>
        <w:t>ámbito</w:t>
      </w:r>
      <w:r>
        <w:rPr>
          <w:spacing w:val="-11"/>
        </w:rPr>
        <w:t xml:space="preserve"> </w:t>
      </w:r>
      <w:r>
        <w:t>de competencia</w:t>
      </w:r>
      <w:r>
        <w:rPr>
          <w:spacing w:val="-15"/>
        </w:rPr>
        <w:t xml:space="preserve"> </w:t>
      </w:r>
      <w:r>
        <w:t>o</w:t>
      </w:r>
      <w:r>
        <w:rPr>
          <w:spacing w:val="-15"/>
        </w:rPr>
        <w:t xml:space="preserve"> </w:t>
      </w:r>
      <w:r>
        <w:t>de</w:t>
      </w:r>
      <w:r>
        <w:rPr>
          <w:spacing w:val="-15"/>
        </w:rPr>
        <w:t xml:space="preserve"> </w:t>
      </w:r>
      <w:r>
        <w:t>sentencias</w:t>
      </w:r>
      <w:r>
        <w:rPr>
          <w:spacing w:val="-15"/>
        </w:rPr>
        <w:t xml:space="preserve"> </w:t>
      </w:r>
      <w:r>
        <w:t>de</w:t>
      </w:r>
      <w:r>
        <w:rPr>
          <w:spacing w:val="-15"/>
        </w:rPr>
        <w:t xml:space="preserve"> </w:t>
      </w:r>
      <w:r>
        <w:t>la</w:t>
      </w:r>
      <w:r>
        <w:rPr>
          <w:spacing w:val="-15"/>
        </w:rPr>
        <w:t xml:space="preserve"> </w:t>
      </w:r>
      <w:r>
        <w:t>Corte</w:t>
      </w:r>
      <w:r>
        <w:rPr>
          <w:spacing w:val="-15"/>
        </w:rPr>
        <w:t xml:space="preserve"> </w:t>
      </w:r>
      <w:r>
        <w:t>Interamericana</w:t>
      </w:r>
      <w:r>
        <w:rPr>
          <w:spacing w:val="-15"/>
        </w:rPr>
        <w:t xml:space="preserve"> </w:t>
      </w:r>
      <w:r>
        <w:t>de</w:t>
      </w:r>
      <w:r>
        <w:rPr>
          <w:spacing w:val="-15"/>
        </w:rPr>
        <w:t xml:space="preserve"> </w:t>
      </w:r>
      <w:r>
        <w:t>Derechos</w:t>
      </w:r>
      <w:r>
        <w:rPr>
          <w:spacing w:val="-15"/>
        </w:rPr>
        <w:t xml:space="preserve"> </w:t>
      </w:r>
      <w:r>
        <w:t>Humanos</w:t>
      </w:r>
      <w:r>
        <w:rPr>
          <w:spacing w:val="-15"/>
        </w:rPr>
        <w:t xml:space="preserve"> </w:t>
      </w:r>
      <w:r>
        <w:t>que</w:t>
      </w:r>
      <w:r>
        <w:rPr>
          <w:spacing w:val="-15"/>
        </w:rPr>
        <w:t xml:space="preserve"> </w:t>
      </w:r>
      <w:r>
        <w:t>señalaban que las violaciones de derechos humanos no podían ser investigadas por la justicia penal militar,</w:t>
      </w:r>
      <w:r>
        <w:rPr>
          <w:spacing w:val="-5"/>
        </w:rPr>
        <w:t xml:space="preserve"> </w:t>
      </w:r>
      <w:r>
        <w:t>se</w:t>
      </w:r>
      <w:r>
        <w:rPr>
          <w:spacing w:val="-5"/>
        </w:rPr>
        <w:t xml:space="preserve"> </w:t>
      </w:r>
      <w:r>
        <w:t>han</w:t>
      </w:r>
      <w:r>
        <w:rPr>
          <w:spacing w:val="-5"/>
        </w:rPr>
        <w:t xml:space="preserve"> </w:t>
      </w:r>
      <w:r>
        <w:t>ido</w:t>
      </w:r>
      <w:r>
        <w:rPr>
          <w:spacing w:val="-5"/>
        </w:rPr>
        <w:t xml:space="preserve"> </w:t>
      </w:r>
      <w:r>
        <w:t>dando</w:t>
      </w:r>
      <w:r>
        <w:rPr>
          <w:spacing w:val="-5"/>
        </w:rPr>
        <w:t xml:space="preserve"> </w:t>
      </w:r>
      <w:r>
        <w:t>hasta</w:t>
      </w:r>
      <w:r>
        <w:rPr>
          <w:spacing w:val="-6"/>
        </w:rPr>
        <w:t xml:space="preserve"> </w:t>
      </w:r>
      <w:r>
        <w:t>hace</w:t>
      </w:r>
      <w:r>
        <w:rPr>
          <w:spacing w:val="-7"/>
        </w:rPr>
        <w:t xml:space="preserve"> </w:t>
      </w:r>
      <w:r>
        <w:t>muy</w:t>
      </w:r>
      <w:r>
        <w:rPr>
          <w:spacing w:val="-5"/>
        </w:rPr>
        <w:t xml:space="preserve"> </w:t>
      </w:r>
      <w:r>
        <w:t>poco</w:t>
      </w:r>
      <w:r>
        <w:rPr>
          <w:spacing w:val="-5"/>
        </w:rPr>
        <w:t xml:space="preserve"> </w:t>
      </w:r>
      <w:r>
        <w:t>demandas</w:t>
      </w:r>
      <w:r>
        <w:rPr>
          <w:spacing w:val="-6"/>
        </w:rPr>
        <w:t xml:space="preserve"> </w:t>
      </w:r>
      <w:r>
        <w:t>por</w:t>
      </w:r>
      <w:r>
        <w:rPr>
          <w:spacing w:val="-6"/>
        </w:rPr>
        <w:t xml:space="preserve"> </w:t>
      </w:r>
      <w:r>
        <w:t>conflictos</w:t>
      </w:r>
      <w:r>
        <w:rPr>
          <w:spacing w:val="-5"/>
        </w:rPr>
        <w:t xml:space="preserve"> </w:t>
      </w:r>
      <w:r>
        <w:t>de</w:t>
      </w:r>
      <w:r>
        <w:rPr>
          <w:spacing w:val="-5"/>
        </w:rPr>
        <w:t xml:space="preserve"> </w:t>
      </w:r>
      <w:r>
        <w:t>competencia</w:t>
      </w:r>
      <w:r>
        <w:rPr>
          <w:spacing w:val="-5"/>
        </w:rPr>
        <w:t xml:space="preserve"> </w:t>
      </w:r>
      <w:r>
        <w:t>que, si bien se han resuelto de forma congruente con la perspectiva de la jurisprudencia nacional e internacional, han retrasado los procesos y limitado la investigación en las fases iniciales. Por</w:t>
      </w:r>
      <w:r>
        <w:rPr>
          <w:spacing w:val="-10"/>
        </w:rPr>
        <w:t xml:space="preserve"> </w:t>
      </w:r>
      <w:r>
        <w:t>ejemplo,</w:t>
      </w:r>
      <w:r>
        <w:rPr>
          <w:spacing w:val="-12"/>
        </w:rPr>
        <w:t xml:space="preserve"> </w:t>
      </w:r>
      <w:r>
        <w:t>la</w:t>
      </w:r>
      <w:r>
        <w:rPr>
          <w:spacing w:val="-10"/>
        </w:rPr>
        <w:t xml:space="preserve"> </w:t>
      </w:r>
      <w:r>
        <w:t>justicia</w:t>
      </w:r>
      <w:r>
        <w:rPr>
          <w:spacing w:val="-10"/>
        </w:rPr>
        <w:t xml:space="preserve"> </w:t>
      </w:r>
      <w:r>
        <w:t>penal</w:t>
      </w:r>
      <w:r>
        <w:rPr>
          <w:spacing w:val="-10"/>
        </w:rPr>
        <w:t xml:space="preserve"> </w:t>
      </w:r>
      <w:r>
        <w:t>militar</w:t>
      </w:r>
      <w:r>
        <w:rPr>
          <w:spacing w:val="-10"/>
        </w:rPr>
        <w:t xml:space="preserve"> </w:t>
      </w:r>
      <w:r>
        <w:t>tuvo</w:t>
      </w:r>
      <w:r>
        <w:rPr>
          <w:spacing w:val="-11"/>
        </w:rPr>
        <w:t xml:space="preserve"> </w:t>
      </w:r>
      <w:r>
        <w:t>un</w:t>
      </w:r>
      <w:r>
        <w:rPr>
          <w:spacing w:val="-11"/>
        </w:rPr>
        <w:t xml:space="preserve"> </w:t>
      </w:r>
      <w:r>
        <w:t>papel</w:t>
      </w:r>
      <w:r>
        <w:rPr>
          <w:spacing w:val="-11"/>
        </w:rPr>
        <w:t xml:space="preserve"> </w:t>
      </w:r>
      <w:r>
        <w:t>de</w:t>
      </w:r>
      <w:r>
        <w:rPr>
          <w:spacing w:val="-10"/>
        </w:rPr>
        <w:t xml:space="preserve"> </w:t>
      </w:r>
      <w:r>
        <w:t>encubridor</w:t>
      </w:r>
      <w:r>
        <w:rPr>
          <w:spacing w:val="-10"/>
        </w:rPr>
        <w:t xml:space="preserve"> </w:t>
      </w:r>
      <w:r>
        <w:t>y</w:t>
      </w:r>
      <w:r>
        <w:rPr>
          <w:spacing w:val="-11"/>
        </w:rPr>
        <w:t xml:space="preserve"> </w:t>
      </w:r>
      <w:r>
        <w:t>cohonestó</w:t>
      </w:r>
      <w:r>
        <w:rPr>
          <w:spacing w:val="-11"/>
        </w:rPr>
        <w:t xml:space="preserve"> </w:t>
      </w:r>
      <w:r>
        <w:t>la</w:t>
      </w:r>
      <w:r>
        <w:rPr>
          <w:spacing w:val="-10"/>
        </w:rPr>
        <w:t xml:space="preserve"> </w:t>
      </w:r>
      <w:r>
        <w:t>falsificación de</w:t>
      </w:r>
      <w:r>
        <w:rPr>
          <w:spacing w:val="-9"/>
        </w:rPr>
        <w:t xml:space="preserve"> </w:t>
      </w:r>
      <w:r>
        <w:t>pruebas</w:t>
      </w:r>
      <w:r>
        <w:rPr>
          <w:spacing w:val="-9"/>
        </w:rPr>
        <w:t xml:space="preserve"> </w:t>
      </w:r>
      <w:r>
        <w:t>en</w:t>
      </w:r>
      <w:r>
        <w:rPr>
          <w:spacing w:val="-9"/>
        </w:rPr>
        <w:t xml:space="preserve"> </w:t>
      </w:r>
      <w:r>
        <w:t>los</w:t>
      </w:r>
      <w:r>
        <w:rPr>
          <w:spacing w:val="-10"/>
        </w:rPr>
        <w:t xml:space="preserve"> </w:t>
      </w:r>
      <w:r>
        <w:t>casos</w:t>
      </w:r>
      <w:r>
        <w:rPr>
          <w:spacing w:val="-10"/>
        </w:rPr>
        <w:t xml:space="preserve"> </w:t>
      </w:r>
      <w:r>
        <w:t>de</w:t>
      </w:r>
      <w:r>
        <w:rPr>
          <w:spacing w:val="-9"/>
        </w:rPr>
        <w:t xml:space="preserve"> </w:t>
      </w:r>
      <w:r>
        <w:t>ejecuciones</w:t>
      </w:r>
      <w:r>
        <w:rPr>
          <w:spacing w:val="-9"/>
        </w:rPr>
        <w:t xml:space="preserve"> </w:t>
      </w:r>
      <w:r>
        <w:t>extrajudiciales</w:t>
      </w:r>
      <w:r>
        <w:rPr>
          <w:spacing w:val="-10"/>
        </w:rPr>
        <w:t xml:space="preserve"> </w:t>
      </w:r>
      <w:r>
        <w:t>presentadas</w:t>
      </w:r>
      <w:r>
        <w:rPr>
          <w:spacing w:val="-9"/>
        </w:rPr>
        <w:t xml:space="preserve"> </w:t>
      </w:r>
      <w:r>
        <w:t>como</w:t>
      </w:r>
      <w:r>
        <w:rPr>
          <w:spacing w:val="-9"/>
        </w:rPr>
        <w:t xml:space="preserve"> </w:t>
      </w:r>
      <w:r>
        <w:t>muertes</w:t>
      </w:r>
      <w:r>
        <w:rPr>
          <w:spacing w:val="-10"/>
        </w:rPr>
        <w:t xml:space="preserve"> </w:t>
      </w:r>
      <w:r>
        <w:t>en</w:t>
      </w:r>
      <w:r>
        <w:rPr>
          <w:spacing w:val="-11"/>
        </w:rPr>
        <w:t xml:space="preserve"> </w:t>
      </w:r>
      <w:r>
        <w:t>combate llamadas «falsos positivos», como se ha demostrado al menos entre el 2002 y el 2008.</w:t>
      </w:r>
    </w:p>
    <w:p w:rsidR="00265AEA" w:rsidRDefault="00265AEA" w:rsidP="00265AEA">
      <w:pPr>
        <w:pStyle w:val="Ttulo4"/>
      </w:pPr>
      <w:r>
        <w:t>Estatuto de Seguridad y práctica de la tortura</w:t>
      </w:r>
    </w:p>
    <w:p w:rsidR="003804AC" w:rsidRPr="00265AEA" w:rsidRDefault="00265AEA" w:rsidP="00265AEA">
      <w:r>
        <w:t>El Estatuto de Seguridad (1978-1982)</w:t>
      </w:r>
      <w:r>
        <w:rPr>
          <w:rStyle w:val="Refdenotaalpie"/>
        </w:rPr>
        <w:footnoteReference w:id="815"/>
      </w:r>
      <w:r>
        <w:t>, del presidente Julio César Turbay Ayala, consistió que facultades especiales otorgadas a la fuerza pública en el marco del estado de sitio, pero derivó en abusos de autoridad y violaciones de derechos humanos, como</w:t>
      </w:r>
      <w:bookmarkStart w:id="1012" w:name="_bookmark890"/>
      <w:bookmarkEnd w:id="1012"/>
      <w:r>
        <w:t xml:space="preserve"> </w:t>
      </w:r>
      <w:r w:rsidR="00AF18A5">
        <w:t>detenciones arbitrarias, tortura y violencia sexual.</w:t>
      </w:r>
      <w:r w:rsidR="00AF18A5">
        <w:rPr>
          <w:spacing w:val="-2"/>
        </w:rPr>
        <w:t xml:space="preserve"> </w:t>
      </w:r>
      <w:r w:rsidR="00AF18A5">
        <w:t>Fue la respuesta del estado a las movilizaciones</w:t>
      </w:r>
      <w:r w:rsidR="00AF18A5">
        <w:rPr>
          <w:spacing w:val="-6"/>
        </w:rPr>
        <w:t xml:space="preserve"> </w:t>
      </w:r>
      <w:r w:rsidR="00AF18A5">
        <w:t>del</w:t>
      </w:r>
      <w:r w:rsidR="00AF18A5">
        <w:rPr>
          <w:spacing w:val="-6"/>
        </w:rPr>
        <w:t xml:space="preserve"> </w:t>
      </w:r>
      <w:r w:rsidR="00AF18A5">
        <w:t>paro</w:t>
      </w:r>
      <w:r w:rsidR="00AF18A5">
        <w:rPr>
          <w:spacing w:val="-7"/>
        </w:rPr>
        <w:t xml:space="preserve"> </w:t>
      </w:r>
      <w:r w:rsidR="00AF18A5">
        <w:t>cívico</w:t>
      </w:r>
      <w:r w:rsidR="00AF18A5">
        <w:rPr>
          <w:spacing w:val="-6"/>
        </w:rPr>
        <w:t xml:space="preserve"> </w:t>
      </w:r>
      <w:r w:rsidR="00AF18A5">
        <w:t>de</w:t>
      </w:r>
      <w:r w:rsidR="00AF18A5">
        <w:rPr>
          <w:spacing w:val="-6"/>
        </w:rPr>
        <w:t xml:space="preserve"> </w:t>
      </w:r>
      <w:r w:rsidR="00AF18A5">
        <w:t>1977,</w:t>
      </w:r>
      <w:r w:rsidR="00AF18A5">
        <w:rPr>
          <w:spacing w:val="-6"/>
        </w:rPr>
        <w:t xml:space="preserve"> </w:t>
      </w:r>
      <w:r w:rsidR="00AF18A5">
        <w:t>el</w:t>
      </w:r>
      <w:r w:rsidR="00AF18A5">
        <w:rPr>
          <w:spacing w:val="-6"/>
        </w:rPr>
        <w:t xml:space="preserve"> </w:t>
      </w:r>
      <w:r w:rsidR="00AF18A5">
        <w:t>fortalecimiento</w:t>
      </w:r>
      <w:r w:rsidR="00AF18A5">
        <w:rPr>
          <w:spacing w:val="-6"/>
        </w:rPr>
        <w:t xml:space="preserve"> </w:t>
      </w:r>
      <w:r w:rsidR="00AF18A5">
        <w:t>de</w:t>
      </w:r>
      <w:r w:rsidR="00AF18A5">
        <w:rPr>
          <w:spacing w:val="-7"/>
        </w:rPr>
        <w:t xml:space="preserve"> </w:t>
      </w:r>
      <w:r w:rsidR="00AF18A5">
        <w:t>la</w:t>
      </w:r>
      <w:r w:rsidR="00AF18A5">
        <w:rPr>
          <w:spacing w:val="-6"/>
        </w:rPr>
        <w:t xml:space="preserve"> </w:t>
      </w:r>
      <w:r w:rsidR="00AF18A5">
        <w:t>protesta</w:t>
      </w:r>
      <w:r w:rsidR="00AF18A5">
        <w:rPr>
          <w:spacing w:val="-6"/>
        </w:rPr>
        <w:t xml:space="preserve"> </w:t>
      </w:r>
      <w:r w:rsidR="00AF18A5">
        <w:t>social</w:t>
      </w:r>
      <w:r w:rsidR="00AF18A5">
        <w:rPr>
          <w:spacing w:val="-6"/>
        </w:rPr>
        <w:t xml:space="preserve"> </w:t>
      </w:r>
      <w:r w:rsidR="00AF18A5">
        <w:t>y</w:t>
      </w:r>
      <w:r w:rsidR="00AF18A5">
        <w:rPr>
          <w:spacing w:val="-6"/>
        </w:rPr>
        <w:t xml:space="preserve"> </w:t>
      </w:r>
      <w:r w:rsidR="00AF18A5">
        <w:t>la</w:t>
      </w:r>
      <w:r w:rsidR="00AF18A5">
        <w:rPr>
          <w:spacing w:val="-6"/>
        </w:rPr>
        <w:t xml:space="preserve"> </w:t>
      </w:r>
      <w:r w:rsidR="00AF18A5">
        <w:t>creciente acción de las guerrillas, como el M-19.</w:t>
      </w:r>
    </w:p>
    <w:p w:rsidR="003804AC" w:rsidRDefault="00AF18A5" w:rsidP="00265AEA">
      <w:pPr>
        <w:pStyle w:val="Ttulo4"/>
      </w:pPr>
      <w:r>
        <w:lastRenderedPageBreak/>
        <w:t>Personas</w:t>
      </w:r>
      <w:r>
        <w:rPr>
          <w:spacing w:val="-3"/>
        </w:rPr>
        <w:t xml:space="preserve"> </w:t>
      </w:r>
      <w:r>
        <w:t>que</w:t>
      </w:r>
      <w:r>
        <w:rPr>
          <w:spacing w:val="-3"/>
        </w:rPr>
        <w:t xml:space="preserve"> </w:t>
      </w:r>
      <w:r>
        <w:t>sufrieron</w:t>
      </w:r>
      <w:r>
        <w:rPr>
          <w:spacing w:val="-4"/>
        </w:rPr>
        <w:t xml:space="preserve"> </w:t>
      </w:r>
      <w:r>
        <w:t>tortura</w:t>
      </w:r>
      <w:r>
        <w:rPr>
          <w:spacing w:val="-3"/>
        </w:rPr>
        <w:t xml:space="preserve"> </w:t>
      </w:r>
      <w:r>
        <w:t>y</w:t>
      </w:r>
      <w:r>
        <w:rPr>
          <w:spacing w:val="-5"/>
        </w:rPr>
        <w:t xml:space="preserve"> </w:t>
      </w:r>
      <w:r>
        <w:t>cuya</w:t>
      </w:r>
      <w:r>
        <w:rPr>
          <w:spacing w:val="-3"/>
        </w:rPr>
        <w:t xml:space="preserve"> </w:t>
      </w:r>
      <w:r>
        <w:t>detención</w:t>
      </w:r>
      <w:r>
        <w:rPr>
          <w:spacing w:val="-4"/>
        </w:rPr>
        <w:t xml:space="preserve"> </w:t>
      </w:r>
      <w:r>
        <w:t>fue</w:t>
      </w:r>
      <w:r>
        <w:rPr>
          <w:spacing w:val="-3"/>
        </w:rPr>
        <w:t xml:space="preserve"> </w:t>
      </w:r>
      <w:r>
        <w:t>ordenada</w:t>
      </w:r>
      <w:r>
        <w:rPr>
          <w:spacing w:val="-3"/>
        </w:rPr>
        <w:t xml:space="preserve"> </w:t>
      </w:r>
      <w:r>
        <w:t>a</w:t>
      </w:r>
      <w:r>
        <w:rPr>
          <w:spacing w:val="-3"/>
        </w:rPr>
        <w:t xml:space="preserve"> </w:t>
      </w:r>
      <w:r>
        <w:t>través</w:t>
      </w:r>
      <w:r>
        <w:rPr>
          <w:spacing w:val="-3"/>
        </w:rPr>
        <w:t xml:space="preserve"> </w:t>
      </w:r>
      <w:r>
        <w:t>de</w:t>
      </w:r>
      <w:r>
        <w:rPr>
          <w:spacing w:val="-3"/>
        </w:rPr>
        <w:t xml:space="preserve"> </w:t>
      </w:r>
      <w:r>
        <w:t>actas</w:t>
      </w:r>
      <w:r>
        <w:rPr>
          <w:spacing w:val="-5"/>
        </w:rPr>
        <w:t xml:space="preserve"> </w:t>
      </w:r>
      <w:r>
        <w:t>del Consejo de Ministros</w:t>
      </w:r>
    </w:p>
    <w:p w:rsidR="003804AC" w:rsidRDefault="00AF18A5" w:rsidP="00265AEA">
      <w:r>
        <w:t>A través de actas del Consejo de Ministros durante el Estatuto de Seguridad, se ordenó la detención de 3.752 personas, en aplicación del artículo 28 de la Constitución de 1886, que permitía la detención de las personas en unidades militares hasta por diez días, previa a la presentación</w:t>
      </w:r>
      <w:r>
        <w:rPr>
          <w:spacing w:val="-15"/>
        </w:rPr>
        <w:t xml:space="preserve"> </w:t>
      </w:r>
      <w:r>
        <w:t>ante</w:t>
      </w:r>
      <w:r>
        <w:rPr>
          <w:spacing w:val="-15"/>
        </w:rPr>
        <w:t xml:space="preserve"> </w:t>
      </w:r>
      <w:r>
        <w:t>un</w:t>
      </w:r>
      <w:r>
        <w:rPr>
          <w:spacing w:val="-14"/>
        </w:rPr>
        <w:t xml:space="preserve"> </w:t>
      </w:r>
      <w:r>
        <w:t>juez</w:t>
      </w:r>
      <w:r>
        <w:rPr>
          <w:spacing w:val="-11"/>
        </w:rPr>
        <w:t xml:space="preserve"> </w:t>
      </w:r>
      <w:r>
        <w:t>penal</w:t>
      </w:r>
      <w:r>
        <w:rPr>
          <w:spacing w:val="-11"/>
        </w:rPr>
        <w:t xml:space="preserve"> </w:t>
      </w:r>
      <w:r>
        <w:t>militar.</w:t>
      </w:r>
      <w:r>
        <w:rPr>
          <w:spacing w:val="-10"/>
        </w:rPr>
        <w:t xml:space="preserve"> </w:t>
      </w:r>
      <w:r>
        <w:t>De</w:t>
      </w:r>
      <w:r>
        <w:rPr>
          <w:spacing w:val="-10"/>
        </w:rPr>
        <w:t xml:space="preserve"> </w:t>
      </w:r>
      <w:r>
        <w:t>ellas,</w:t>
      </w:r>
      <w:r>
        <w:rPr>
          <w:spacing w:val="-11"/>
        </w:rPr>
        <w:t xml:space="preserve"> </w:t>
      </w:r>
      <w:r>
        <w:t>264</w:t>
      </w:r>
      <w:r w:rsidR="00265AEA">
        <w:rPr>
          <w:rStyle w:val="Refdenotaalpie"/>
        </w:rPr>
        <w:footnoteReference w:id="816"/>
      </w:r>
      <w:r>
        <w:rPr>
          <w:spacing w:val="-15"/>
        </w:rPr>
        <w:t xml:space="preserve"> </w:t>
      </w:r>
      <w:r>
        <w:t>fueron</w:t>
      </w:r>
      <w:r>
        <w:rPr>
          <w:spacing w:val="-11"/>
        </w:rPr>
        <w:t xml:space="preserve"> </w:t>
      </w:r>
      <w:r>
        <w:t>registradas</w:t>
      </w:r>
      <w:r>
        <w:rPr>
          <w:spacing w:val="-11"/>
        </w:rPr>
        <w:t xml:space="preserve"> </w:t>
      </w:r>
      <w:r>
        <w:t>en</w:t>
      </w:r>
      <w:r>
        <w:rPr>
          <w:spacing w:val="-11"/>
        </w:rPr>
        <w:t xml:space="preserve"> </w:t>
      </w:r>
      <w:r>
        <w:t>la</w:t>
      </w:r>
      <w:r>
        <w:rPr>
          <w:spacing w:val="-10"/>
        </w:rPr>
        <w:t xml:space="preserve"> </w:t>
      </w:r>
      <w:r>
        <w:t>base</w:t>
      </w:r>
      <w:r>
        <w:rPr>
          <w:spacing w:val="-10"/>
        </w:rPr>
        <w:t xml:space="preserve"> </w:t>
      </w:r>
      <w:r>
        <w:t>de</w:t>
      </w:r>
      <w:r>
        <w:rPr>
          <w:spacing w:val="-11"/>
        </w:rPr>
        <w:t xml:space="preserve"> </w:t>
      </w:r>
      <w:r>
        <w:t>datos de</w:t>
      </w:r>
      <w:r>
        <w:rPr>
          <w:spacing w:val="-7"/>
        </w:rPr>
        <w:t xml:space="preserve"> </w:t>
      </w:r>
      <w:r>
        <w:t>la</w:t>
      </w:r>
      <w:r>
        <w:rPr>
          <w:spacing w:val="-7"/>
        </w:rPr>
        <w:t xml:space="preserve"> </w:t>
      </w:r>
      <w:r>
        <w:t>Comisión</w:t>
      </w:r>
      <w:r>
        <w:rPr>
          <w:spacing w:val="-7"/>
        </w:rPr>
        <w:t xml:space="preserve"> </w:t>
      </w:r>
      <w:r>
        <w:t>como</w:t>
      </w:r>
      <w:r>
        <w:rPr>
          <w:spacing w:val="-7"/>
        </w:rPr>
        <w:t xml:space="preserve"> </w:t>
      </w:r>
      <w:r>
        <w:t>detenidas</w:t>
      </w:r>
      <w:r>
        <w:rPr>
          <w:spacing w:val="-7"/>
        </w:rPr>
        <w:t xml:space="preserve"> </w:t>
      </w:r>
      <w:r>
        <w:t>y</w:t>
      </w:r>
      <w:r>
        <w:rPr>
          <w:spacing w:val="-7"/>
        </w:rPr>
        <w:t xml:space="preserve"> </w:t>
      </w:r>
      <w:r>
        <w:t>torturadas,</w:t>
      </w:r>
      <w:r>
        <w:rPr>
          <w:spacing w:val="-7"/>
        </w:rPr>
        <w:t xml:space="preserve"> </w:t>
      </w:r>
      <w:r>
        <w:t>cuatro</w:t>
      </w:r>
      <w:r>
        <w:rPr>
          <w:spacing w:val="-7"/>
        </w:rPr>
        <w:t xml:space="preserve"> </w:t>
      </w:r>
      <w:r>
        <w:t>de</w:t>
      </w:r>
      <w:r>
        <w:rPr>
          <w:spacing w:val="-7"/>
        </w:rPr>
        <w:t xml:space="preserve"> </w:t>
      </w:r>
      <w:r>
        <w:t>ellas</w:t>
      </w:r>
      <w:r>
        <w:rPr>
          <w:spacing w:val="-7"/>
        </w:rPr>
        <w:t xml:space="preserve"> </w:t>
      </w:r>
      <w:r>
        <w:t>detenidas</w:t>
      </w:r>
      <w:r>
        <w:rPr>
          <w:spacing w:val="-7"/>
        </w:rPr>
        <w:t xml:space="preserve"> </w:t>
      </w:r>
      <w:r>
        <w:t>y</w:t>
      </w:r>
      <w:r>
        <w:rPr>
          <w:spacing w:val="-7"/>
        </w:rPr>
        <w:t xml:space="preserve"> </w:t>
      </w:r>
      <w:r>
        <w:t>torturadas</w:t>
      </w:r>
      <w:r>
        <w:rPr>
          <w:spacing w:val="-7"/>
        </w:rPr>
        <w:t xml:space="preserve"> </w:t>
      </w:r>
      <w:r>
        <w:t>en</w:t>
      </w:r>
      <w:r>
        <w:rPr>
          <w:spacing w:val="-8"/>
        </w:rPr>
        <w:t xml:space="preserve"> </w:t>
      </w:r>
      <w:r>
        <w:t>más</w:t>
      </w:r>
      <w:r>
        <w:rPr>
          <w:spacing w:val="-7"/>
        </w:rPr>
        <w:t xml:space="preserve"> </w:t>
      </w:r>
      <w:r>
        <w:t>de una</w:t>
      </w:r>
      <w:r>
        <w:rPr>
          <w:spacing w:val="-12"/>
        </w:rPr>
        <w:t xml:space="preserve"> </w:t>
      </w:r>
      <w:r>
        <w:t>oportunidad.</w:t>
      </w:r>
      <w:r>
        <w:rPr>
          <w:spacing w:val="-12"/>
        </w:rPr>
        <w:t xml:space="preserve"> </w:t>
      </w:r>
      <w:r>
        <w:t>De</w:t>
      </w:r>
      <w:r>
        <w:rPr>
          <w:spacing w:val="-12"/>
        </w:rPr>
        <w:t xml:space="preserve"> </w:t>
      </w:r>
      <w:r>
        <w:t>las</w:t>
      </w:r>
      <w:r>
        <w:rPr>
          <w:spacing w:val="-12"/>
        </w:rPr>
        <w:t xml:space="preserve"> </w:t>
      </w:r>
      <w:r>
        <w:t>264</w:t>
      </w:r>
      <w:r>
        <w:rPr>
          <w:spacing w:val="-12"/>
        </w:rPr>
        <w:t xml:space="preserve"> </w:t>
      </w:r>
      <w:r>
        <w:t>personas</w:t>
      </w:r>
      <w:r>
        <w:rPr>
          <w:spacing w:val="-13"/>
        </w:rPr>
        <w:t xml:space="preserve"> </w:t>
      </w:r>
      <w:r>
        <w:t>que</w:t>
      </w:r>
      <w:r>
        <w:rPr>
          <w:spacing w:val="-12"/>
        </w:rPr>
        <w:t xml:space="preserve"> </w:t>
      </w:r>
      <w:r>
        <w:t>denunciaron</w:t>
      </w:r>
      <w:r>
        <w:rPr>
          <w:spacing w:val="-12"/>
        </w:rPr>
        <w:t xml:space="preserve"> </w:t>
      </w:r>
      <w:r>
        <w:t>haber</w:t>
      </w:r>
      <w:r>
        <w:rPr>
          <w:spacing w:val="-12"/>
        </w:rPr>
        <w:t xml:space="preserve"> </w:t>
      </w:r>
      <w:r>
        <w:t>sido</w:t>
      </w:r>
      <w:r>
        <w:rPr>
          <w:spacing w:val="-12"/>
        </w:rPr>
        <w:t xml:space="preserve"> </w:t>
      </w:r>
      <w:r>
        <w:t>víctimas</w:t>
      </w:r>
      <w:r>
        <w:rPr>
          <w:spacing w:val="-13"/>
        </w:rPr>
        <w:t xml:space="preserve"> </w:t>
      </w:r>
      <w:r>
        <w:t>de</w:t>
      </w:r>
      <w:r>
        <w:rPr>
          <w:spacing w:val="-12"/>
        </w:rPr>
        <w:t xml:space="preserve"> </w:t>
      </w:r>
      <w:r>
        <w:t>tortura</w:t>
      </w:r>
      <w:r>
        <w:rPr>
          <w:spacing w:val="-12"/>
        </w:rPr>
        <w:t xml:space="preserve"> </w:t>
      </w:r>
      <w:r>
        <w:t>durante los interrogatorios en unidades militares, herramienta de persecución de la izquierda en Colombia, 70 fueron capturadas antes de la expedición de las correspondientes actas ministeriales; es decir, su detención se legalizó días posteriores a su captura, según se pudo establecer a partir de la base de datos de la Comisión de la Verdad.</w:t>
      </w:r>
    </w:p>
    <w:p w:rsidR="0011361F" w:rsidRDefault="00AF18A5" w:rsidP="00265AEA">
      <w:r>
        <w:t>La Comisión de la Verdad, sistematizó en una base de datos</w:t>
      </w:r>
      <w:r>
        <w:rPr>
          <w:spacing w:val="-1"/>
        </w:rPr>
        <w:t xml:space="preserve"> </w:t>
      </w:r>
      <w:r>
        <w:t>1.340 hechos de tortura, correspondientes a 1.322 víctimas</w:t>
      </w:r>
      <w:r w:rsidR="00265AEA">
        <w:rPr>
          <w:rStyle w:val="Refdenotaalpie"/>
        </w:rPr>
        <w:footnoteReference w:id="817"/>
      </w:r>
      <w:r>
        <w:t>. En las actas del Consejo de Ministros en las que se ordenan</w:t>
      </w:r>
      <w:r>
        <w:rPr>
          <w:spacing w:val="-7"/>
        </w:rPr>
        <w:t xml:space="preserve"> </w:t>
      </w:r>
      <w:r>
        <w:t>más</w:t>
      </w:r>
      <w:r>
        <w:rPr>
          <w:spacing w:val="-7"/>
        </w:rPr>
        <w:t xml:space="preserve"> </w:t>
      </w:r>
      <w:r>
        <w:t>de</w:t>
      </w:r>
      <w:r>
        <w:rPr>
          <w:spacing w:val="-7"/>
        </w:rPr>
        <w:t xml:space="preserve"> </w:t>
      </w:r>
      <w:r>
        <w:t>3.000</w:t>
      </w:r>
      <w:r>
        <w:rPr>
          <w:spacing w:val="-7"/>
        </w:rPr>
        <w:t xml:space="preserve"> </w:t>
      </w:r>
      <w:r>
        <w:t>detenciones</w:t>
      </w:r>
      <w:r>
        <w:rPr>
          <w:spacing w:val="-7"/>
        </w:rPr>
        <w:t xml:space="preserve"> </w:t>
      </w:r>
      <w:r>
        <w:t>en</w:t>
      </w:r>
      <w:r>
        <w:rPr>
          <w:spacing w:val="-7"/>
        </w:rPr>
        <w:t xml:space="preserve"> </w:t>
      </w:r>
      <w:r>
        <w:t>ese</w:t>
      </w:r>
      <w:r>
        <w:rPr>
          <w:spacing w:val="-7"/>
        </w:rPr>
        <w:t xml:space="preserve"> </w:t>
      </w:r>
      <w:r>
        <w:t>periodo,</w:t>
      </w:r>
      <w:r>
        <w:rPr>
          <w:spacing w:val="-7"/>
        </w:rPr>
        <w:t xml:space="preserve"> </w:t>
      </w:r>
      <w:r>
        <w:t>aparecen</w:t>
      </w:r>
      <w:r>
        <w:rPr>
          <w:spacing w:val="-7"/>
        </w:rPr>
        <w:t xml:space="preserve"> </w:t>
      </w:r>
      <w:r>
        <w:t>nombres</w:t>
      </w:r>
      <w:r>
        <w:rPr>
          <w:spacing w:val="-7"/>
        </w:rPr>
        <w:t xml:space="preserve"> </w:t>
      </w:r>
      <w:r>
        <w:t>de</w:t>
      </w:r>
      <w:r>
        <w:rPr>
          <w:spacing w:val="-7"/>
        </w:rPr>
        <w:t xml:space="preserve"> </w:t>
      </w:r>
      <w:r>
        <w:t>personas</w:t>
      </w:r>
      <w:r>
        <w:rPr>
          <w:spacing w:val="-7"/>
        </w:rPr>
        <w:t xml:space="preserve"> </w:t>
      </w:r>
      <w:r>
        <w:t>que</w:t>
      </w:r>
      <w:r>
        <w:rPr>
          <w:spacing w:val="-7"/>
        </w:rPr>
        <w:t xml:space="preserve"> </w:t>
      </w:r>
      <w:r>
        <w:t>fueron torturadas y se cuenta con sentencias que condenan al Estado por dichas acciones</w:t>
      </w:r>
      <w:r w:rsidR="00265AEA">
        <w:rPr>
          <w:rStyle w:val="Refdenotaalpie"/>
        </w:rPr>
        <w:footnoteReference w:id="818"/>
      </w:r>
      <w:r>
        <w:t>.</w:t>
      </w:r>
    </w:p>
    <w:p w:rsidR="003804AC" w:rsidRDefault="00AF18A5" w:rsidP="00265AEA">
      <w:bookmarkStart w:id="1013" w:name="_bookmark891"/>
      <w:bookmarkStart w:id="1014" w:name="_bookmark892"/>
      <w:bookmarkStart w:id="1015" w:name="_bookmark893"/>
      <w:bookmarkEnd w:id="1013"/>
      <w:bookmarkEnd w:id="1014"/>
      <w:bookmarkEnd w:id="1015"/>
      <w:r>
        <w:lastRenderedPageBreak/>
        <w:t>Así,</w:t>
      </w:r>
      <w:r>
        <w:rPr>
          <w:spacing w:val="-2"/>
        </w:rPr>
        <w:t xml:space="preserve"> </w:t>
      </w:r>
      <w:r>
        <w:t>por</w:t>
      </w:r>
      <w:r>
        <w:rPr>
          <w:spacing w:val="-2"/>
        </w:rPr>
        <w:t xml:space="preserve"> </w:t>
      </w:r>
      <w:r>
        <w:t>ejemplo,</w:t>
      </w:r>
      <w:r>
        <w:rPr>
          <w:spacing w:val="-2"/>
        </w:rPr>
        <w:t xml:space="preserve"> </w:t>
      </w:r>
      <w:r>
        <w:t>el</w:t>
      </w:r>
      <w:r>
        <w:rPr>
          <w:spacing w:val="-2"/>
        </w:rPr>
        <w:t xml:space="preserve"> </w:t>
      </w:r>
      <w:r>
        <w:t>9</w:t>
      </w:r>
      <w:r>
        <w:rPr>
          <w:spacing w:val="-2"/>
        </w:rPr>
        <w:t xml:space="preserve"> </w:t>
      </w:r>
      <w:r>
        <w:t>de</w:t>
      </w:r>
      <w:r>
        <w:rPr>
          <w:spacing w:val="-2"/>
        </w:rPr>
        <w:t xml:space="preserve"> </w:t>
      </w:r>
      <w:r>
        <w:t>enero</w:t>
      </w:r>
      <w:r>
        <w:rPr>
          <w:spacing w:val="-2"/>
        </w:rPr>
        <w:t xml:space="preserve"> </w:t>
      </w:r>
      <w:r>
        <w:t>de</w:t>
      </w:r>
      <w:r>
        <w:rPr>
          <w:spacing w:val="-2"/>
        </w:rPr>
        <w:t xml:space="preserve"> </w:t>
      </w:r>
      <w:r>
        <w:t>1979,</w:t>
      </w:r>
      <w:r>
        <w:rPr>
          <w:spacing w:val="-2"/>
        </w:rPr>
        <w:t xml:space="preserve"> </w:t>
      </w:r>
      <w:r>
        <w:t>el</w:t>
      </w:r>
      <w:r>
        <w:rPr>
          <w:spacing w:val="-2"/>
        </w:rPr>
        <w:t xml:space="preserve"> </w:t>
      </w:r>
      <w:r>
        <w:t>Consejo</w:t>
      </w:r>
      <w:r>
        <w:rPr>
          <w:spacing w:val="-2"/>
        </w:rPr>
        <w:t xml:space="preserve"> </w:t>
      </w:r>
      <w:r>
        <w:t>de</w:t>
      </w:r>
      <w:r>
        <w:rPr>
          <w:spacing w:val="-2"/>
        </w:rPr>
        <w:t xml:space="preserve"> </w:t>
      </w:r>
      <w:r>
        <w:t>Ministros</w:t>
      </w:r>
      <w:r>
        <w:rPr>
          <w:spacing w:val="-2"/>
        </w:rPr>
        <w:t xml:space="preserve"> </w:t>
      </w:r>
      <w:r>
        <w:t>autorizó</w:t>
      </w:r>
      <w:r>
        <w:rPr>
          <w:spacing w:val="-4"/>
        </w:rPr>
        <w:t xml:space="preserve"> </w:t>
      </w:r>
      <w:r>
        <w:t>la</w:t>
      </w:r>
      <w:r>
        <w:rPr>
          <w:spacing w:val="-2"/>
        </w:rPr>
        <w:t xml:space="preserve"> </w:t>
      </w:r>
      <w:r>
        <w:t>detención</w:t>
      </w:r>
      <w:r>
        <w:rPr>
          <w:spacing w:val="-4"/>
        </w:rPr>
        <w:t xml:space="preserve"> </w:t>
      </w:r>
      <w:r>
        <w:t>de 138 personas, dentro de las cuales se encontraban figuras del M-19, estudiantes y médicos, entre</w:t>
      </w:r>
      <w:r>
        <w:rPr>
          <w:spacing w:val="-15"/>
        </w:rPr>
        <w:t xml:space="preserve"> </w:t>
      </w:r>
      <w:r>
        <w:t>otros.</w:t>
      </w:r>
      <w:r>
        <w:rPr>
          <w:spacing w:val="-15"/>
        </w:rPr>
        <w:t xml:space="preserve"> </w:t>
      </w:r>
      <w:r>
        <w:t>Al</w:t>
      </w:r>
      <w:r>
        <w:rPr>
          <w:spacing w:val="-15"/>
        </w:rPr>
        <w:t xml:space="preserve"> </w:t>
      </w:r>
      <w:r>
        <w:t>menos</w:t>
      </w:r>
      <w:r>
        <w:rPr>
          <w:spacing w:val="-15"/>
        </w:rPr>
        <w:t xml:space="preserve"> </w:t>
      </w:r>
      <w:r>
        <w:t>19</w:t>
      </w:r>
      <w:r>
        <w:rPr>
          <w:spacing w:val="-15"/>
        </w:rPr>
        <w:t xml:space="preserve"> </w:t>
      </w:r>
      <w:r>
        <w:t>personas</w:t>
      </w:r>
      <w:r>
        <w:rPr>
          <w:spacing w:val="-15"/>
        </w:rPr>
        <w:t xml:space="preserve"> </w:t>
      </w:r>
      <w:r>
        <w:t>detenidas</w:t>
      </w:r>
      <w:r>
        <w:rPr>
          <w:spacing w:val="-15"/>
        </w:rPr>
        <w:t xml:space="preserve"> </w:t>
      </w:r>
      <w:r>
        <w:t>entre</w:t>
      </w:r>
      <w:r>
        <w:rPr>
          <w:spacing w:val="-15"/>
        </w:rPr>
        <w:t xml:space="preserve"> </w:t>
      </w:r>
      <w:r>
        <w:t>el</w:t>
      </w:r>
      <w:r>
        <w:rPr>
          <w:spacing w:val="-15"/>
        </w:rPr>
        <w:t xml:space="preserve"> </w:t>
      </w:r>
      <w:r>
        <w:t>2</w:t>
      </w:r>
      <w:r>
        <w:rPr>
          <w:spacing w:val="-15"/>
        </w:rPr>
        <w:t xml:space="preserve"> </w:t>
      </w:r>
      <w:r>
        <w:t>y</w:t>
      </w:r>
      <w:r>
        <w:rPr>
          <w:spacing w:val="-15"/>
        </w:rPr>
        <w:t xml:space="preserve"> </w:t>
      </w:r>
      <w:r>
        <w:t>el</w:t>
      </w:r>
      <w:r>
        <w:rPr>
          <w:spacing w:val="-15"/>
        </w:rPr>
        <w:t xml:space="preserve"> </w:t>
      </w:r>
      <w:r>
        <w:t>8</w:t>
      </w:r>
      <w:r>
        <w:rPr>
          <w:spacing w:val="-15"/>
        </w:rPr>
        <w:t xml:space="preserve"> </w:t>
      </w:r>
      <w:r>
        <w:t>de</w:t>
      </w:r>
      <w:r>
        <w:rPr>
          <w:spacing w:val="-15"/>
        </w:rPr>
        <w:t xml:space="preserve"> </w:t>
      </w:r>
      <w:r>
        <w:t>enero</w:t>
      </w:r>
      <w:r>
        <w:rPr>
          <w:spacing w:val="-15"/>
        </w:rPr>
        <w:t xml:space="preserve"> </w:t>
      </w:r>
      <w:r>
        <w:t>de</w:t>
      </w:r>
      <w:r>
        <w:rPr>
          <w:spacing w:val="-15"/>
        </w:rPr>
        <w:t xml:space="preserve"> </w:t>
      </w:r>
      <w:r>
        <w:t>1979</w:t>
      </w:r>
      <w:r>
        <w:rPr>
          <w:spacing w:val="-15"/>
        </w:rPr>
        <w:t xml:space="preserve"> </w:t>
      </w:r>
      <w:r>
        <w:t>fueron</w:t>
      </w:r>
      <w:r>
        <w:rPr>
          <w:spacing w:val="-15"/>
        </w:rPr>
        <w:t xml:space="preserve"> </w:t>
      </w:r>
      <w:r>
        <w:t>incluidas en actas ministeriales posteriores a su detención. Es decir, dichas detenciones fueron legalizadas retroactivamente por medio del Acta 10, como denunciaron varios abogados en la</w:t>
      </w:r>
      <w:r>
        <w:rPr>
          <w:spacing w:val="-3"/>
        </w:rPr>
        <w:t xml:space="preserve"> </w:t>
      </w:r>
      <w:r>
        <w:t>época</w:t>
      </w:r>
      <w:r w:rsidR="00265AEA">
        <w:rPr>
          <w:rStyle w:val="Refdenotaalpie"/>
        </w:rPr>
        <w:footnoteReference w:id="819"/>
      </w:r>
      <w:r>
        <w:rPr>
          <w:spacing w:val="-3"/>
        </w:rPr>
        <w:t xml:space="preserve"> </w:t>
      </w:r>
      <w:r>
        <w:t>y</w:t>
      </w:r>
      <w:r>
        <w:rPr>
          <w:spacing w:val="-4"/>
        </w:rPr>
        <w:t xml:space="preserve"> </w:t>
      </w:r>
      <w:r>
        <w:t>como</w:t>
      </w:r>
      <w:r>
        <w:rPr>
          <w:spacing w:val="-4"/>
        </w:rPr>
        <w:t xml:space="preserve"> </w:t>
      </w:r>
      <w:r>
        <w:t>fue</w:t>
      </w:r>
      <w:r>
        <w:rPr>
          <w:spacing w:val="-5"/>
        </w:rPr>
        <w:t xml:space="preserve"> </w:t>
      </w:r>
      <w:r>
        <w:t>el</w:t>
      </w:r>
      <w:r>
        <w:rPr>
          <w:spacing w:val="-4"/>
        </w:rPr>
        <w:t xml:space="preserve"> </w:t>
      </w:r>
      <w:r>
        <w:t>caso</w:t>
      </w:r>
      <w:r>
        <w:rPr>
          <w:spacing w:val="-4"/>
        </w:rPr>
        <w:t xml:space="preserve"> </w:t>
      </w:r>
      <w:r>
        <w:t>de</w:t>
      </w:r>
      <w:r>
        <w:rPr>
          <w:spacing w:val="-3"/>
        </w:rPr>
        <w:t xml:space="preserve"> </w:t>
      </w:r>
      <w:r>
        <w:t>Olga</w:t>
      </w:r>
      <w:r>
        <w:rPr>
          <w:spacing w:val="-5"/>
        </w:rPr>
        <w:t xml:space="preserve"> </w:t>
      </w:r>
      <w:r>
        <w:t>López</w:t>
      </w:r>
      <w:r>
        <w:rPr>
          <w:spacing w:val="-3"/>
        </w:rPr>
        <w:t xml:space="preserve"> </w:t>
      </w:r>
      <w:r>
        <w:t>de</w:t>
      </w:r>
      <w:r>
        <w:rPr>
          <w:spacing w:val="-3"/>
        </w:rPr>
        <w:t xml:space="preserve"> </w:t>
      </w:r>
      <w:r>
        <w:t>Roldán,</w:t>
      </w:r>
      <w:r>
        <w:rPr>
          <w:spacing w:val="-4"/>
        </w:rPr>
        <w:t xml:space="preserve"> </w:t>
      </w:r>
      <w:r>
        <w:t>en</w:t>
      </w:r>
      <w:r>
        <w:rPr>
          <w:spacing w:val="-5"/>
        </w:rPr>
        <w:t xml:space="preserve"> </w:t>
      </w:r>
      <w:r>
        <w:t>el</w:t>
      </w:r>
      <w:r>
        <w:rPr>
          <w:spacing w:val="-4"/>
        </w:rPr>
        <w:t xml:space="preserve"> </w:t>
      </w:r>
      <w:r>
        <w:t>cual</w:t>
      </w:r>
      <w:r>
        <w:rPr>
          <w:spacing w:val="-3"/>
        </w:rPr>
        <w:t xml:space="preserve"> </w:t>
      </w:r>
      <w:r>
        <w:t>el</w:t>
      </w:r>
      <w:r>
        <w:rPr>
          <w:spacing w:val="-3"/>
        </w:rPr>
        <w:t xml:space="preserve"> </w:t>
      </w:r>
      <w:r>
        <w:t>Estado</w:t>
      </w:r>
      <w:r>
        <w:rPr>
          <w:spacing w:val="-4"/>
        </w:rPr>
        <w:t xml:space="preserve"> </w:t>
      </w:r>
      <w:r>
        <w:t>fue</w:t>
      </w:r>
      <w:r>
        <w:rPr>
          <w:spacing w:val="-5"/>
        </w:rPr>
        <w:t xml:space="preserve"> </w:t>
      </w:r>
      <w:r>
        <w:t xml:space="preserve">condenado como responsable por las torturas a las que fue sometida en la Brigada de Institutos </w:t>
      </w:r>
      <w:r>
        <w:rPr>
          <w:spacing w:val="-2"/>
        </w:rPr>
        <w:t>Militares</w:t>
      </w:r>
      <w:r w:rsidR="00265AEA">
        <w:rPr>
          <w:rStyle w:val="Refdenotaalpie"/>
          <w:spacing w:val="-2"/>
        </w:rPr>
        <w:footnoteReference w:id="820"/>
      </w:r>
      <w:r>
        <w:rPr>
          <w:spacing w:val="-2"/>
        </w:rPr>
        <w:t>.</w:t>
      </w:r>
    </w:p>
    <w:p w:rsidR="003804AC" w:rsidRDefault="00AF18A5" w:rsidP="00265AEA">
      <w:pPr>
        <w:pStyle w:val="Ttulo4"/>
      </w:pPr>
      <w:r>
        <w:t>Abogados</w:t>
      </w:r>
      <w:r>
        <w:rPr>
          <w:spacing w:val="-3"/>
        </w:rPr>
        <w:t xml:space="preserve"> </w:t>
      </w:r>
      <w:r>
        <w:t>y</w:t>
      </w:r>
      <w:r>
        <w:rPr>
          <w:spacing w:val="-2"/>
        </w:rPr>
        <w:t xml:space="preserve"> </w:t>
      </w:r>
      <w:r>
        <w:t>médicos</w:t>
      </w:r>
      <w:r>
        <w:rPr>
          <w:spacing w:val="-5"/>
        </w:rPr>
        <w:t xml:space="preserve"> </w:t>
      </w:r>
      <w:r>
        <w:t>mencionados</w:t>
      </w:r>
      <w:r>
        <w:rPr>
          <w:spacing w:val="-3"/>
        </w:rPr>
        <w:t xml:space="preserve"> </w:t>
      </w:r>
      <w:r>
        <w:t>en</w:t>
      </w:r>
      <w:r>
        <w:rPr>
          <w:spacing w:val="-4"/>
        </w:rPr>
        <w:t xml:space="preserve"> </w:t>
      </w:r>
      <w:r>
        <w:t>las</w:t>
      </w:r>
      <w:r>
        <w:rPr>
          <w:spacing w:val="-3"/>
        </w:rPr>
        <w:t xml:space="preserve"> </w:t>
      </w:r>
      <w:r>
        <w:t>actas</w:t>
      </w:r>
      <w:r>
        <w:rPr>
          <w:spacing w:val="-5"/>
        </w:rPr>
        <w:t xml:space="preserve"> </w:t>
      </w:r>
      <w:r>
        <w:t>del</w:t>
      </w:r>
      <w:r>
        <w:rPr>
          <w:spacing w:val="-3"/>
        </w:rPr>
        <w:t xml:space="preserve"> </w:t>
      </w:r>
      <w:r>
        <w:t>Consejo</w:t>
      </w:r>
      <w:r>
        <w:rPr>
          <w:spacing w:val="-5"/>
        </w:rPr>
        <w:t xml:space="preserve"> </w:t>
      </w:r>
      <w:r>
        <w:t>de</w:t>
      </w:r>
      <w:r>
        <w:rPr>
          <w:spacing w:val="-3"/>
        </w:rPr>
        <w:t xml:space="preserve"> </w:t>
      </w:r>
      <w:r>
        <w:t>Ministros</w:t>
      </w:r>
      <w:r>
        <w:rPr>
          <w:spacing w:val="-3"/>
        </w:rPr>
        <w:t xml:space="preserve"> </w:t>
      </w:r>
      <w:r>
        <w:t>que</w:t>
      </w:r>
      <w:r>
        <w:rPr>
          <w:spacing w:val="-3"/>
        </w:rPr>
        <w:t xml:space="preserve"> </w:t>
      </w:r>
      <w:r>
        <w:t>no</w:t>
      </w:r>
      <w:r>
        <w:rPr>
          <w:spacing w:val="-4"/>
        </w:rPr>
        <w:t xml:space="preserve"> </w:t>
      </w:r>
      <w:r>
        <w:t xml:space="preserve">fueron detenidos durante el Estatuto, pero </w:t>
      </w:r>
      <w:r>
        <w:lastRenderedPageBreak/>
        <w:t>contra quienes existía orden de captura</w:t>
      </w:r>
    </w:p>
    <w:p w:rsidR="003804AC" w:rsidRDefault="00AF18A5" w:rsidP="00265AEA">
      <w:r>
        <w:t>En el</w:t>
      </w:r>
      <w:r>
        <w:rPr>
          <w:spacing w:val="-2"/>
        </w:rPr>
        <w:t xml:space="preserve"> </w:t>
      </w:r>
      <w:r>
        <w:t>Acta 35 del 3 de mayo de 1979 se menciona a los abogados defensores de derechos humanos</w:t>
      </w:r>
      <w:r>
        <w:rPr>
          <w:spacing w:val="-4"/>
        </w:rPr>
        <w:t xml:space="preserve"> </w:t>
      </w:r>
      <w:r>
        <w:t>Eduardo</w:t>
      </w:r>
      <w:r>
        <w:rPr>
          <w:spacing w:val="-7"/>
        </w:rPr>
        <w:t xml:space="preserve"> </w:t>
      </w:r>
      <w:r>
        <w:t>Umaña</w:t>
      </w:r>
      <w:r>
        <w:rPr>
          <w:spacing w:val="-7"/>
        </w:rPr>
        <w:t xml:space="preserve"> </w:t>
      </w:r>
      <w:r>
        <w:t>Mendoza</w:t>
      </w:r>
      <w:r>
        <w:rPr>
          <w:spacing w:val="-9"/>
        </w:rPr>
        <w:t xml:space="preserve"> </w:t>
      </w:r>
      <w:r>
        <w:t>y</w:t>
      </w:r>
      <w:r>
        <w:rPr>
          <w:spacing w:val="-7"/>
        </w:rPr>
        <w:t xml:space="preserve"> </w:t>
      </w:r>
      <w:r>
        <w:t>Alberto</w:t>
      </w:r>
      <w:r>
        <w:rPr>
          <w:spacing w:val="-8"/>
        </w:rPr>
        <w:t xml:space="preserve"> </w:t>
      </w:r>
      <w:proofErr w:type="spellStart"/>
      <w:r>
        <w:t>Alava</w:t>
      </w:r>
      <w:proofErr w:type="spellEnd"/>
      <w:r>
        <w:rPr>
          <w:spacing w:val="-7"/>
        </w:rPr>
        <w:t xml:space="preserve"> </w:t>
      </w:r>
      <w:r>
        <w:t>(abogado</w:t>
      </w:r>
      <w:r>
        <w:rPr>
          <w:spacing w:val="-7"/>
        </w:rPr>
        <w:t xml:space="preserve"> </w:t>
      </w:r>
      <w:r>
        <w:t>defensor</w:t>
      </w:r>
      <w:r>
        <w:rPr>
          <w:spacing w:val="-7"/>
        </w:rPr>
        <w:t xml:space="preserve"> </w:t>
      </w:r>
      <w:r>
        <w:t>de</w:t>
      </w:r>
      <w:r>
        <w:rPr>
          <w:spacing w:val="-7"/>
        </w:rPr>
        <w:t xml:space="preserve"> </w:t>
      </w:r>
      <w:r>
        <w:t>presos</w:t>
      </w:r>
      <w:r>
        <w:rPr>
          <w:spacing w:val="-7"/>
        </w:rPr>
        <w:t xml:space="preserve"> </w:t>
      </w:r>
      <w:r>
        <w:t>políticos), que en años posteriores fueron asesinados.</w:t>
      </w:r>
    </w:p>
    <w:p w:rsidR="003804AC" w:rsidRDefault="00AF18A5" w:rsidP="00265AEA">
      <w:pPr>
        <w:pStyle w:val="Ttulo4"/>
      </w:pPr>
      <w:r>
        <w:t>Miembros</w:t>
      </w:r>
      <w:r>
        <w:rPr>
          <w:spacing w:val="-5"/>
        </w:rPr>
        <w:t xml:space="preserve"> </w:t>
      </w:r>
      <w:r>
        <w:t>quizá</w:t>
      </w:r>
      <w:r>
        <w:rPr>
          <w:spacing w:val="-3"/>
        </w:rPr>
        <w:t xml:space="preserve"> </w:t>
      </w:r>
      <w:r>
        <w:t>del</w:t>
      </w:r>
      <w:r>
        <w:rPr>
          <w:spacing w:val="-3"/>
        </w:rPr>
        <w:t xml:space="preserve"> </w:t>
      </w:r>
      <w:r>
        <w:t>Partido</w:t>
      </w:r>
      <w:r>
        <w:rPr>
          <w:spacing w:val="-3"/>
        </w:rPr>
        <w:t xml:space="preserve"> </w:t>
      </w:r>
      <w:r>
        <w:t>Comunista</w:t>
      </w:r>
      <w:r>
        <w:rPr>
          <w:spacing w:val="-3"/>
        </w:rPr>
        <w:t xml:space="preserve"> </w:t>
      </w:r>
      <w:r>
        <w:t>que</w:t>
      </w:r>
      <w:r>
        <w:rPr>
          <w:spacing w:val="-3"/>
        </w:rPr>
        <w:t xml:space="preserve"> </w:t>
      </w:r>
      <w:r>
        <w:t>fueron</w:t>
      </w:r>
      <w:r>
        <w:rPr>
          <w:spacing w:val="-4"/>
        </w:rPr>
        <w:t xml:space="preserve"> </w:t>
      </w:r>
      <w:r>
        <w:t>incluidos</w:t>
      </w:r>
      <w:r>
        <w:rPr>
          <w:spacing w:val="-3"/>
        </w:rPr>
        <w:t xml:space="preserve"> </w:t>
      </w:r>
      <w:r>
        <w:t>en</w:t>
      </w:r>
      <w:r>
        <w:rPr>
          <w:spacing w:val="-4"/>
        </w:rPr>
        <w:t xml:space="preserve"> </w:t>
      </w:r>
      <w:r>
        <w:t>el</w:t>
      </w:r>
      <w:r>
        <w:rPr>
          <w:spacing w:val="-3"/>
        </w:rPr>
        <w:t xml:space="preserve"> </w:t>
      </w:r>
      <w:r>
        <w:t>acta</w:t>
      </w:r>
      <w:r>
        <w:rPr>
          <w:spacing w:val="-3"/>
        </w:rPr>
        <w:t xml:space="preserve"> </w:t>
      </w:r>
      <w:r>
        <w:t>de</w:t>
      </w:r>
      <w:r>
        <w:rPr>
          <w:spacing w:val="-3"/>
        </w:rPr>
        <w:t xml:space="preserve"> </w:t>
      </w:r>
      <w:r>
        <w:t>Consejo</w:t>
      </w:r>
      <w:r>
        <w:rPr>
          <w:spacing w:val="-3"/>
        </w:rPr>
        <w:t xml:space="preserve"> </w:t>
      </w:r>
      <w:r>
        <w:t>de Ministros de 1981</w:t>
      </w:r>
    </w:p>
    <w:p w:rsidR="00265AEA" w:rsidRPr="00265AEA" w:rsidRDefault="00AF18A5" w:rsidP="00265AEA">
      <w:pPr>
        <w:rPr>
          <w:spacing w:val="-2"/>
        </w:rPr>
      </w:pPr>
      <w:r>
        <w:t>No hay noticia de que hubieran sido detenidos durante la vigencia del Estatuto de Seguridad,</w:t>
      </w:r>
      <w:r>
        <w:rPr>
          <w:spacing w:val="-12"/>
        </w:rPr>
        <w:t xml:space="preserve"> </w:t>
      </w:r>
      <w:r>
        <w:t>pero</w:t>
      </w:r>
      <w:r>
        <w:rPr>
          <w:spacing w:val="-10"/>
        </w:rPr>
        <w:t xml:space="preserve"> </w:t>
      </w:r>
      <w:r>
        <w:t>en</w:t>
      </w:r>
      <w:r>
        <w:rPr>
          <w:spacing w:val="-10"/>
        </w:rPr>
        <w:t xml:space="preserve"> </w:t>
      </w:r>
      <w:r>
        <w:t>años</w:t>
      </w:r>
      <w:r>
        <w:rPr>
          <w:spacing w:val="-11"/>
        </w:rPr>
        <w:t xml:space="preserve"> </w:t>
      </w:r>
      <w:r>
        <w:t>posteriores,</w:t>
      </w:r>
      <w:r>
        <w:rPr>
          <w:spacing w:val="-11"/>
        </w:rPr>
        <w:t xml:space="preserve"> </w:t>
      </w:r>
      <w:r>
        <w:t>siendo</w:t>
      </w:r>
      <w:r>
        <w:rPr>
          <w:spacing w:val="-10"/>
        </w:rPr>
        <w:t xml:space="preserve"> </w:t>
      </w:r>
      <w:r>
        <w:t>miembros</w:t>
      </w:r>
      <w:r>
        <w:rPr>
          <w:spacing w:val="-9"/>
        </w:rPr>
        <w:t xml:space="preserve"> </w:t>
      </w:r>
      <w:r>
        <w:t>de</w:t>
      </w:r>
      <w:r>
        <w:rPr>
          <w:spacing w:val="-10"/>
        </w:rPr>
        <w:t xml:space="preserve"> </w:t>
      </w:r>
      <w:r>
        <w:t>la</w:t>
      </w:r>
      <w:r>
        <w:rPr>
          <w:spacing w:val="-10"/>
        </w:rPr>
        <w:t xml:space="preserve"> </w:t>
      </w:r>
      <w:r>
        <w:t>UP,</w:t>
      </w:r>
      <w:r>
        <w:rPr>
          <w:spacing w:val="-10"/>
        </w:rPr>
        <w:t xml:space="preserve"> </w:t>
      </w:r>
      <w:r>
        <w:t>fueron</w:t>
      </w:r>
      <w:r>
        <w:rPr>
          <w:spacing w:val="-10"/>
        </w:rPr>
        <w:t xml:space="preserve"> </w:t>
      </w:r>
      <w:r>
        <w:t>víctimas</w:t>
      </w:r>
      <w:r>
        <w:rPr>
          <w:spacing w:val="-10"/>
        </w:rPr>
        <w:t xml:space="preserve"> </w:t>
      </w:r>
      <w:r>
        <w:t>de</w:t>
      </w:r>
      <w:r>
        <w:rPr>
          <w:spacing w:val="-9"/>
        </w:rPr>
        <w:t xml:space="preserve"> </w:t>
      </w:r>
      <w:r>
        <w:rPr>
          <w:spacing w:val="-2"/>
        </w:rPr>
        <w:t>atentados</w:t>
      </w:r>
      <w:r w:rsidR="00265AEA">
        <w:rPr>
          <w:spacing w:val="-2"/>
        </w:rPr>
        <w:t xml:space="preserve"> </w:t>
      </w:r>
      <w:r w:rsidR="00265AEA" w:rsidRPr="00265AEA">
        <w:rPr>
          <w:spacing w:val="-2"/>
        </w:rPr>
        <w:t>y asesinatos. En el Acta 154 del 15 de octubre de 1981 aparecen Aída Avella, José Antequera y Jaime Pardo Leal.</w:t>
      </w:r>
    </w:p>
    <w:p w:rsidR="0011361F" w:rsidRDefault="00265AEA" w:rsidP="00265AEA">
      <w:r w:rsidRPr="00265AEA">
        <w:rPr>
          <w:spacing w:val="-2"/>
        </w:rPr>
        <w:t>El Estatuto de Seguridad se convirtió en el instrumento legal que compiló los diferentes mecanismos represivos y las facultades extraordinarias otorgadas a las Fuerzas Militares para reprimir las diversas formas de expresión social de oposición, adoptadas paulatinamente en periodos presidenciales anteriores. Para 1980, la Justicia Penal Militar llevaba 334 consejos de guerra verbales por diferentes delitos relacionados con rebelión y otros como extorsión, secuestro, chantaje, homicidios en funcionarios públicos, atracos y asaltos, delitos que figuraban en el Estatuto de Seguridad</w:t>
      </w:r>
      <w:r>
        <w:rPr>
          <w:rStyle w:val="Refdenotaalpie"/>
          <w:spacing w:val="-2"/>
        </w:rPr>
        <w:footnoteReference w:id="821"/>
      </w:r>
      <w:r w:rsidRPr="00265AEA">
        <w:rPr>
          <w:spacing w:val="-2"/>
        </w:rPr>
        <w:t xml:space="preserve">. Esto fue parte de la primera visita de Amnistía internacional a Colombia y del informe de la Comisión Interamericana de Derechos Humanos que daba cuenta de estas violaciones masivas de </w:t>
      </w:r>
      <w:r w:rsidRPr="00265AEA">
        <w:rPr>
          <w:spacing w:val="-2"/>
        </w:rPr>
        <w:lastRenderedPageBreak/>
        <w:t>derechos humanos</w:t>
      </w:r>
      <w:r>
        <w:rPr>
          <w:rStyle w:val="Refdenotaalpie"/>
          <w:spacing w:val="-2"/>
        </w:rPr>
        <w:footnoteReference w:id="822"/>
      </w:r>
      <w:r w:rsidRPr="00265AEA">
        <w:rPr>
          <w:spacing w:val="-2"/>
        </w:rPr>
        <w:t>.</w:t>
      </w:r>
    </w:p>
    <w:p w:rsidR="003804AC" w:rsidRDefault="00AF18A5" w:rsidP="00265AEA">
      <w:bookmarkStart w:id="1016" w:name="_bookmark894"/>
      <w:bookmarkStart w:id="1017" w:name="_bookmark895"/>
      <w:bookmarkEnd w:id="1016"/>
      <w:bookmarkEnd w:id="1017"/>
      <w:r>
        <w:t>La</w:t>
      </w:r>
      <w:r>
        <w:rPr>
          <w:spacing w:val="-3"/>
        </w:rPr>
        <w:t xml:space="preserve"> </w:t>
      </w:r>
      <w:r>
        <w:t>lucha</w:t>
      </w:r>
      <w:r>
        <w:rPr>
          <w:spacing w:val="-2"/>
        </w:rPr>
        <w:t xml:space="preserve"> </w:t>
      </w:r>
      <w:r>
        <w:t>por</w:t>
      </w:r>
      <w:r>
        <w:rPr>
          <w:spacing w:val="-2"/>
        </w:rPr>
        <w:t xml:space="preserve"> </w:t>
      </w:r>
      <w:r>
        <w:t>forzar un</w:t>
      </w:r>
      <w:r>
        <w:rPr>
          <w:spacing w:val="-3"/>
        </w:rPr>
        <w:t xml:space="preserve"> </w:t>
      </w:r>
      <w:r>
        <w:t>papel</w:t>
      </w:r>
      <w:r>
        <w:rPr>
          <w:spacing w:val="-1"/>
        </w:rPr>
        <w:t xml:space="preserve"> </w:t>
      </w:r>
      <w:r>
        <w:t>de</w:t>
      </w:r>
      <w:r>
        <w:rPr>
          <w:spacing w:val="-2"/>
        </w:rPr>
        <w:t xml:space="preserve"> </w:t>
      </w:r>
      <w:r>
        <w:t>la</w:t>
      </w:r>
      <w:r>
        <w:rPr>
          <w:spacing w:val="-1"/>
        </w:rPr>
        <w:t xml:space="preserve"> </w:t>
      </w:r>
      <w:r>
        <w:t>justicia</w:t>
      </w:r>
      <w:r>
        <w:rPr>
          <w:spacing w:val="-2"/>
        </w:rPr>
        <w:t xml:space="preserve"> </w:t>
      </w:r>
      <w:r>
        <w:t>penal</w:t>
      </w:r>
      <w:r>
        <w:rPr>
          <w:spacing w:val="-1"/>
        </w:rPr>
        <w:t xml:space="preserve"> </w:t>
      </w:r>
      <w:r>
        <w:t>militar</w:t>
      </w:r>
      <w:r>
        <w:rPr>
          <w:spacing w:val="-2"/>
        </w:rPr>
        <w:t xml:space="preserve"> </w:t>
      </w:r>
      <w:r>
        <w:t>y mecanismos</w:t>
      </w:r>
      <w:r>
        <w:rPr>
          <w:spacing w:val="-2"/>
        </w:rPr>
        <w:t xml:space="preserve"> </w:t>
      </w:r>
      <w:r>
        <w:t>de</w:t>
      </w:r>
      <w:r>
        <w:rPr>
          <w:spacing w:val="-1"/>
        </w:rPr>
        <w:t xml:space="preserve"> </w:t>
      </w:r>
      <w:r>
        <w:t>excepción</w:t>
      </w:r>
      <w:r>
        <w:rPr>
          <w:spacing w:val="-2"/>
        </w:rPr>
        <w:t xml:space="preserve"> muestra</w:t>
      </w:r>
      <w:r w:rsidR="00265AEA">
        <w:t xml:space="preserve"> </w:t>
      </w:r>
      <w:r>
        <w:t>que</w:t>
      </w:r>
      <w:r>
        <w:rPr>
          <w:spacing w:val="-7"/>
        </w:rPr>
        <w:t xml:space="preserve"> </w:t>
      </w:r>
      <w:r>
        <w:t>no</w:t>
      </w:r>
      <w:r>
        <w:rPr>
          <w:spacing w:val="-7"/>
        </w:rPr>
        <w:t xml:space="preserve"> </w:t>
      </w:r>
      <w:r>
        <w:t>se</w:t>
      </w:r>
      <w:r>
        <w:rPr>
          <w:spacing w:val="-7"/>
        </w:rPr>
        <w:t xml:space="preserve"> </w:t>
      </w:r>
      <w:r>
        <w:t>ha</w:t>
      </w:r>
      <w:r>
        <w:rPr>
          <w:spacing w:val="-8"/>
        </w:rPr>
        <w:t xml:space="preserve"> </w:t>
      </w:r>
      <w:r>
        <w:t>asumido</w:t>
      </w:r>
      <w:r>
        <w:rPr>
          <w:spacing w:val="-8"/>
        </w:rPr>
        <w:t xml:space="preserve"> </w:t>
      </w:r>
      <w:r>
        <w:t>como</w:t>
      </w:r>
      <w:r>
        <w:rPr>
          <w:spacing w:val="-7"/>
        </w:rPr>
        <w:t xml:space="preserve"> </w:t>
      </w:r>
      <w:r>
        <w:t>poder</w:t>
      </w:r>
      <w:r>
        <w:rPr>
          <w:spacing w:val="-8"/>
        </w:rPr>
        <w:t xml:space="preserve"> </w:t>
      </w:r>
      <w:r>
        <w:t>ejecutivo</w:t>
      </w:r>
      <w:r>
        <w:rPr>
          <w:spacing w:val="-8"/>
        </w:rPr>
        <w:t xml:space="preserve"> </w:t>
      </w:r>
      <w:r>
        <w:t>y</w:t>
      </w:r>
      <w:r>
        <w:rPr>
          <w:spacing w:val="-7"/>
        </w:rPr>
        <w:t xml:space="preserve"> </w:t>
      </w:r>
      <w:r>
        <w:t>militar</w:t>
      </w:r>
      <w:r>
        <w:rPr>
          <w:spacing w:val="-8"/>
        </w:rPr>
        <w:t xml:space="preserve"> </w:t>
      </w:r>
      <w:r>
        <w:t>lo</w:t>
      </w:r>
      <w:r>
        <w:rPr>
          <w:spacing w:val="-7"/>
        </w:rPr>
        <w:t xml:space="preserve"> </w:t>
      </w:r>
      <w:r>
        <w:t>que</w:t>
      </w:r>
      <w:r>
        <w:rPr>
          <w:spacing w:val="-7"/>
        </w:rPr>
        <w:t xml:space="preserve"> </w:t>
      </w:r>
      <w:r>
        <w:t>el</w:t>
      </w:r>
      <w:r>
        <w:rPr>
          <w:spacing w:val="-7"/>
        </w:rPr>
        <w:t xml:space="preserve"> </w:t>
      </w:r>
      <w:r>
        <w:t>poder</w:t>
      </w:r>
      <w:r>
        <w:rPr>
          <w:spacing w:val="-8"/>
        </w:rPr>
        <w:t xml:space="preserve"> </w:t>
      </w:r>
      <w:r>
        <w:t>judicial</w:t>
      </w:r>
      <w:r>
        <w:rPr>
          <w:spacing w:val="-7"/>
        </w:rPr>
        <w:t xml:space="preserve"> </w:t>
      </w:r>
      <w:r>
        <w:t>ha</w:t>
      </w:r>
      <w:r>
        <w:rPr>
          <w:spacing w:val="-7"/>
        </w:rPr>
        <w:t xml:space="preserve"> </w:t>
      </w:r>
      <w:r>
        <w:t>decretado</w:t>
      </w:r>
      <w:r>
        <w:rPr>
          <w:spacing w:val="-7"/>
        </w:rPr>
        <w:t xml:space="preserve"> </w:t>
      </w:r>
      <w:r>
        <w:t>en numerosas</w:t>
      </w:r>
      <w:r>
        <w:rPr>
          <w:spacing w:val="-6"/>
        </w:rPr>
        <w:t xml:space="preserve"> </w:t>
      </w:r>
      <w:r>
        <w:t>sentencias</w:t>
      </w:r>
      <w:r>
        <w:rPr>
          <w:spacing w:val="-6"/>
        </w:rPr>
        <w:t xml:space="preserve"> </w:t>
      </w:r>
      <w:r>
        <w:t>y</w:t>
      </w:r>
      <w:r>
        <w:rPr>
          <w:spacing w:val="-6"/>
        </w:rPr>
        <w:t xml:space="preserve"> </w:t>
      </w:r>
      <w:r>
        <w:t>en</w:t>
      </w:r>
      <w:r>
        <w:rPr>
          <w:spacing w:val="-6"/>
        </w:rPr>
        <w:t xml:space="preserve"> </w:t>
      </w:r>
      <w:r>
        <w:t>jurisprudencia.</w:t>
      </w:r>
      <w:r>
        <w:rPr>
          <w:spacing w:val="-6"/>
        </w:rPr>
        <w:t xml:space="preserve"> </w:t>
      </w:r>
      <w:r>
        <w:t>En</w:t>
      </w:r>
      <w:r>
        <w:rPr>
          <w:spacing w:val="-6"/>
        </w:rPr>
        <w:t xml:space="preserve"> </w:t>
      </w:r>
      <w:r>
        <w:t>1987,</w:t>
      </w:r>
      <w:r>
        <w:rPr>
          <w:spacing w:val="-6"/>
        </w:rPr>
        <w:t xml:space="preserve"> </w:t>
      </w:r>
      <w:r>
        <w:t>la</w:t>
      </w:r>
      <w:r>
        <w:rPr>
          <w:spacing w:val="-6"/>
        </w:rPr>
        <w:t xml:space="preserve"> </w:t>
      </w:r>
      <w:r>
        <w:t>Corte</w:t>
      </w:r>
      <w:r>
        <w:rPr>
          <w:spacing w:val="-6"/>
        </w:rPr>
        <w:t xml:space="preserve"> </w:t>
      </w:r>
      <w:r>
        <w:t>Suprema</w:t>
      </w:r>
      <w:r>
        <w:rPr>
          <w:spacing w:val="-6"/>
        </w:rPr>
        <w:t xml:space="preserve"> </w:t>
      </w:r>
      <w:r>
        <w:t>de</w:t>
      </w:r>
      <w:r>
        <w:rPr>
          <w:spacing w:val="-7"/>
        </w:rPr>
        <w:t xml:space="preserve"> </w:t>
      </w:r>
      <w:r>
        <w:t>Justicia</w:t>
      </w:r>
      <w:r>
        <w:rPr>
          <w:spacing w:val="-6"/>
        </w:rPr>
        <w:t xml:space="preserve"> </w:t>
      </w:r>
      <w:r>
        <w:t>prohibió</w:t>
      </w:r>
      <w:r>
        <w:rPr>
          <w:spacing w:val="-6"/>
        </w:rPr>
        <w:t xml:space="preserve"> </w:t>
      </w:r>
      <w:r>
        <w:t xml:space="preserve">el juzgamiento de civiles por parte de la Justicia Penal Militar. En la Constitución de 1991 se reforzó la prohibición explícitamente al establecer que ni siquiera durante el estado de conmoción interior los civiles podrían ser investigados o juzgados por la Justicia Penal </w:t>
      </w:r>
      <w:r>
        <w:rPr>
          <w:spacing w:val="-2"/>
        </w:rPr>
        <w:t>Militar</w:t>
      </w:r>
      <w:r w:rsidR="00265AEA">
        <w:rPr>
          <w:rStyle w:val="Refdenotaalpie"/>
          <w:spacing w:val="-2"/>
        </w:rPr>
        <w:footnoteReference w:id="823"/>
      </w:r>
      <w:r>
        <w:rPr>
          <w:spacing w:val="-2"/>
        </w:rPr>
        <w:t>.</w:t>
      </w:r>
    </w:p>
    <w:p w:rsidR="003804AC" w:rsidRPr="00265AEA" w:rsidRDefault="00AF18A5" w:rsidP="00265AEA">
      <w:r>
        <w:t>Sin embargo, a través de dos mecanismos se buscó mantener esquemas de persecución penal con garantías limitadas de debido proceso e imparcialidad de la justicia. En primer lugar, el intento recurrente de otorgar facultades a las Fuerzas Armadas de policía judicial, así como para adelantar detenciones, registros, interceptaciones y allanamientos, sin el debido</w:t>
      </w:r>
      <w:r>
        <w:rPr>
          <w:spacing w:val="-5"/>
        </w:rPr>
        <w:t xml:space="preserve"> </w:t>
      </w:r>
      <w:r>
        <w:t>control</w:t>
      </w:r>
      <w:r>
        <w:rPr>
          <w:spacing w:val="-4"/>
        </w:rPr>
        <w:t xml:space="preserve"> </w:t>
      </w:r>
      <w:r>
        <w:t>judicial.</w:t>
      </w:r>
      <w:r>
        <w:rPr>
          <w:spacing w:val="-6"/>
        </w:rPr>
        <w:t xml:space="preserve"> </w:t>
      </w:r>
      <w:r>
        <w:t>En</w:t>
      </w:r>
      <w:r>
        <w:rPr>
          <w:spacing w:val="-5"/>
        </w:rPr>
        <w:t xml:space="preserve"> </w:t>
      </w:r>
      <w:r>
        <w:t>segundo</w:t>
      </w:r>
      <w:r>
        <w:rPr>
          <w:spacing w:val="-5"/>
        </w:rPr>
        <w:t xml:space="preserve"> </w:t>
      </w:r>
      <w:r>
        <w:t>lugar,</w:t>
      </w:r>
      <w:r>
        <w:rPr>
          <w:spacing w:val="-5"/>
        </w:rPr>
        <w:t xml:space="preserve"> </w:t>
      </w:r>
      <w:r>
        <w:t>la</w:t>
      </w:r>
      <w:r>
        <w:rPr>
          <w:spacing w:val="-5"/>
        </w:rPr>
        <w:t xml:space="preserve"> </w:t>
      </w:r>
      <w:r>
        <w:t>justicia</w:t>
      </w:r>
      <w:r>
        <w:rPr>
          <w:spacing w:val="-5"/>
        </w:rPr>
        <w:t xml:space="preserve"> </w:t>
      </w:r>
      <w:r>
        <w:t>de</w:t>
      </w:r>
      <w:r>
        <w:rPr>
          <w:spacing w:val="-5"/>
        </w:rPr>
        <w:t xml:space="preserve"> </w:t>
      </w:r>
      <w:r>
        <w:t>orden</w:t>
      </w:r>
      <w:r>
        <w:rPr>
          <w:spacing w:val="-5"/>
        </w:rPr>
        <w:t xml:space="preserve"> </w:t>
      </w:r>
      <w:r>
        <w:t>público,</w:t>
      </w:r>
      <w:r>
        <w:rPr>
          <w:spacing w:val="-6"/>
        </w:rPr>
        <w:t xml:space="preserve"> </w:t>
      </w:r>
      <w:r>
        <w:t>justicia</w:t>
      </w:r>
      <w:r>
        <w:rPr>
          <w:spacing w:val="-5"/>
        </w:rPr>
        <w:t xml:space="preserve"> </w:t>
      </w:r>
      <w:r>
        <w:t>regional</w:t>
      </w:r>
      <w:r>
        <w:rPr>
          <w:spacing w:val="-4"/>
        </w:rPr>
        <w:t xml:space="preserve"> </w:t>
      </w:r>
      <w:r>
        <w:t>o</w:t>
      </w:r>
      <w:r>
        <w:rPr>
          <w:spacing w:val="-5"/>
        </w:rPr>
        <w:t xml:space="preserve"> </w:t>
      </w:r>
      <w:r>
        <w:t>sin rostro,</w:t>
      </w:r>
      <w:r>
        <w:rPr>
          <w:spacing w:val="24"/>
        </w:rPr>
        <w:t xml:space="preserve"> </w:t>
      </w:r>
      <w:r>
        <w:t>como</w:t>
      </w:r>
      <w:r>
        <w:rPr>
          <w:spacing w:val="25"/>
        </w:rPr>
        <w:t xml:space="preserve"> </w:t>
      </w:r>
      <w:r>
        <w:t>se</w:t>
      </w:r>
      <w:r>
        <w:rPr>
          <w:spacing w:val="25"/>
        </w:rPr>
        <w:t xml:space="preserve"> </w:t>
      </w:r>
      <w:r>
        <w:t>le</w:t>
      </w:r>
      <w:r>
        <w:rPr>
          <w:spacing w:val="24"/>
        </w:rPr>
        <w:t xml:space="preserve"> </w:t>
      </w:r>
      <w:r>
        <w:t>llamó</w:t>
      </w:r>
      <w:r>
        <w:rPr>
          <w:spacing w:val="26"/>
        </w:rPr>
        <w:t xml:space="preserve"> </w:t>
      </w:r>
      <w:r>
        <w:t>entre</w:t>
      </w:r>
      <w:r>
        <w:rPr>
          <w:spacing w:val="25"/>
        </w:rPr>
        <w:t xml:space="preserve"> </w:t>
      </w:r>
      <w:r>
        <w:t>1991</w:t>
      </w:r>
      <w:r>
        <w:rPr>
          <w:spacing w:val="26"/>
        </w:rPr>
        <w:t xml:space="preserve"> </w:t>
      </w:r>
      <w:r>
        <w:t>y</w:t>
      </w:r>
      <w:r>
        <w:rPr>
          <w:spacing w:val="25"/>
        </w:rPr>
        <w:t xml:space="preserve"> </w:t>
      </w:r>
      <w:r>
        <w:t>el</w:t>
      </w:r>
      <w:r>
        <w:rPr>
          <w:spacing w:val="25"/>
        </w:rPr>
        <w:t xml:space="preserve"> </w:t>
      </w:r>
      <w:r>
        <w:t>2000.</w:t>
      </w:r>
      <w:r>
        <w:rPr>
          <w:spacing w:val="24"/>
        </w:rPr>
        <w:t xml:space="preserve"> </w:t>
      </w:r>
      <w:r>
        <w:t>Como</w:t>
      </w:r>
      <w:r>
        <w:rPr>
          <w:spacing w:val="26"/>
        </w:rPr>
        <w:t xml:space="preserve"> </w:t>
      </w:r>
      <w:r>
        <w:t>ya</w:t>
      </w:r>
      <w:r>
        <w:rPr>
          <w:spacing w:val="24"/>
        </w:rPr>
        <w:t xml:space="preserve"> </w:t>
      </w:r>
      <w:r>
        <w:t>se</w:t>
      </w:r>
      <w:r>
        <w:rPr>
          <w:spacing w:val="26"/>
        </w:rPr>
        <w:t xml:space="preserve"> </w:t>
      </w:r>
      <w:r>
        <w:t>señaló,</w:t>
      </w:r>
      <w:r>
        <w:rPr>
          <w:spacing w:val="25"/>
        </w:rPr>
        <w:t xml:space="preserve"> </w:t>
      </w:r>
      <w:r>
        <w:t>en</w:t>
      </w:r>
      <w:r>
        <w:rPr>
          <w:spacing w:val="25"/>
        </w:rPr>
        <w:t xml:space="preserve"> </w:t>
      </w:r>
      <w:r>
        <w:t>el</w:t>
      </w:r>
      <w:r>
        <w:rPr>
          <w:spacing w:val="25"/>
        </w:rPr>
        <w:t xml:space="preserve"> </w:t>
      </w:r>
      <w:r>
        <w:t>2001</w:t>
      </w:r>
      <w:r>
        <w:rPr>
          <w:spacing w:val="25"/>
        </w:rPr>
        <w:t xml:space="preserve"> </w:t>
      </w:r>
      <w:r>
        <w:t>la</w:t>
      </w:r>
      <w:r>
        <w:rPr>
          <w:spacing w:val="23"/>
        </w:rPr>
        <w:t xml:space="preserve"> </w:t>
      </w:r>
      <w:r>
        <w:t>Ley</w:t>
      </w:r>
      <w:r>
        <w:rPr>
          <w:spacing w:val="26"/>
        </w:rPr>
        <w:t xml:space="preserve"> </w:t>
      </w:r>
      <w:r>
        <w:rPr>
          <w:spacing w:val="-5"/>
        </w:rPr>
        <w:t>de</w:t>
      </w:r>
      <w:bookmarkStart w:id="1018" w:name="_bookmark896"/>
      <w:bookmarkStart w:id="1019" w:name="_bookmark897"/>
      <w:bookmarkStart w:id="1020" w:name="_bookmark898"/>
      <w:bookmarkEnd w:id="1018"/>
      <w:bookmarkEnd w:id="1019"/>
      <w:bookmarkEnd w:id="1020"/>
      <w:r w:rsidR="00265AEA">
        <w:rPr>
          <w:spacing w:val="-5"/>
        </w:rPr>
        <w:t xml:space="preserve"> </w:t>
      </w:r>
      <w:r>
        <w:t>Seguridad Nacional otorgaba estas mismas facultades a las Fuerzas Militares, y la Corte Constitucional sostuvo que estas normas violaban las garantías del debido proceso.</w:t>
      </w:r>
    </w:p>
    <w:p w:rsidR="003804AC" w:rsidRDefault="00AF18A5" w:rsidP="00EA7834">
      <w:r>
        <w:t xml:space="preserve">En el periodo presidencial de Álvaro Uribe Vélez, se volvieron a contemplar estas facultades en el Decreto 2002 del 2002, sobre el estado de excepción, y en el Estatuto Antiterrorista. Después de esto, y a pesar de la declaratoria de inconstitucionalidad de esas normas, se realizaron detenciones masivas en zonas de orden público. El fiscal </w:t>
      </w:r>
      <w:r>
        <w:lastRenderedPageBreak/>
        <w:t>general de entonces, Luis Camilo</w:t>
      </w:r>
      <w:r>
        <w:rPr>
          <w:spacing w:val="-1"/>
        </w:rPr>
        <w:t xml:space="preserve"> </w:t>
      </w:r>
      <w:r>
        <w:t>Osorio, defendió las capturas señalando que «en</w:t>
      </w:r>
      <w:r>
        <w:rPr>
          <w:spacing w:val="-1"/>
        </w:rPr>
        <w:t xml:space="preserve"> </w:t>
      </w:r>
      <w:r>
        <w:t>determinadas zonas donde</w:t>
      </w:r>
      <w:r>
        <w:rPr>
          <w:spacing w:val="-7"/>
        </w:rPr>
        <w:t xml:space="preserve"> </w:t>
      </w:r>
      <w:r>
        <w:t>toda</w:t>
      </w:r>
      <w:r>
        <w:rPr>
          <w:spacing w:val="-9"/>
        </w:rPr>
        <w:t xml:space="preserve"> </w:t>
      </w:r>
      <w:r>
        <w:t>una</w:t>
      </w:r>
      <w:r>
        <w:rPr>
          <w:spacing w:val="-7"/>
        </w:rPr>
        <w:t xml:space="preserve"> </w:t>
      </w:r>
      <w:r>
        <w:t>comunidad</w:t>
      </w:r>
      <w:r>
        <w:rPr>
          <w:spacing w:val="-7"/>
        </w:rPr>
        <w:t xml:space="preserve"> </w:t>
      </w:r>
      <w:r>
        <w:t>se</w:t>
      </w:r>
      <w:r>
        <w:rPr>
          <w:spacing w:val="-8"/>
        </w:rPr>
        <w:t xml:space="preserve"> </w:t>
      </w:r>
      <w:r>
        <w:t>pone</w:t>
      </w:r>
      <w:r>
        <w:rPr>
          <w:spacing w:val="-8"/>
        </w:rPr>
        <w:t xml:space="preserve"> </w:t>
      </w:r>
      <w:r>
        <w:t>de</w:t>
      </w:r>
      <w:r>
        <w:rPr>
          <w:spacing w:val="-7"/>
        </w:rPr>
        <w:t xml:space="preserve"> </w:t>
      </w:r>
      <w:r>
        <w:t>acuerdo</w:t>
      </w:r>
      <w:r>
        <w:rPr>
          <w:spacing w:val="-7"/>
        </w:rPr>
        <w:t xml:space="preserve"> </w:t>
      </w:r>
      <w:r>
        <w:t>para</w:t>
      </w:r>
      <w:r>
        <w:rPr>
          <w:spacing w:val="-7"/>
        </w:rPr>
        <w:t xml:space="preserve"> </w:t>
      </w:r>
      <w:r>
        <w:t>hacer</w:t>
      </w:r>
      <w:r>
        <w:rPr>
          <w:spacing w:val="-8"/>
        </w:rPr>
        <w:t xml:space="preserve"> </w:t>
      </w:r>
      <w:r>
        <w:t>actos</w:t>
      </w:r>
      <w:r>
        <w:rPr>
          <w:spacing w:val="-7"/>
        </w:rPr>
        <w:t xml:space="preserve"> </w:t>
      </w:r>
      <w:r>
        <w:t>de</w:t>
      </w:r>
      <w:r>
        <w:rPr>
          <w:spacing w:val="-7"/>
        </w:rPr>
        <w:t xml:space="preserve"> </w:t>
      </w:r>
      <w:r>
        <w:t>violencia,</w:t>
      </w:r>
      <w:r>
        <w:rPr>
          <w:spacing w:val="-8"/>
        </w:rPr>
        <w:t xml:space="preserve"> </w:t>
      </w:r>
      <w:r>
        <w:t>las</w:t>
      </w:r>
      <w:r>
        <w:rPr>
          <w:spacing w:val="-8"/>
        </w:rPr>
        <w:t xml:space="preserve"> </w:t>
      </w:r>
      <w:r>
        <w:t>detenciones tienen que ser colectivas»</w:t>
      </w:r>
      <w:r w:rsidR="00EA7834">
        <w:rPr>
          <w:rStyle w:val="Refdenotaalpie"/>
        </w:rPr>
        <w:footnoteReference w:id="824"/>
      </w:r>
      <w:r>
        <w:t>.</w:t>
      </w:r>
    </w:p>
    <w:p w:rsidR="003804AC" w:rsidRDefault="00AF18A5" w:rsidP="00EA7834">
      <w:r>
        <w:t>La Procuraduría General de la Nación expidió un informe en el que manifestó preocupación por las irregularidades en las aprehensiones, inexistencia de órdenes de capturas y violaciones de garantías judiciales</w:t>
      </w:r>
      <w:r w:rsidR="00EA7834">
        <w:rPr>
          <w:rStyle w:val="Refdenotaalpie"/>
        </w:rPr>
        <w:footnoteReference w:id="825"/>
      </w:r>
      <w:r>
        <w:t>. Muchas de las capturas se hicieron con fundamento en el señalamiento de los informantes o cooperantes, que muchas veces eran desmovilizados e iban encapuchados.</w:t>
      </w:r>
    </w:p>
    <w:p w:rsidR="003804AC" w:rsidRDefault="00AF18A5" w:rsidP="00EA7834">
      <w:r>
        <w:t>Ejemplos de estas detenciones masivas en zonas de conflicto armado fueron, en 2003, la detención masiva de políticos, funcionarios y líderes regionales de Arauca, acusados de ser integrantes</w:t>
      </w:r>
      <w:r>
        <w:rPr>
          <w:spacing w:val="-13"/>
        </w:rPr>
        <w:t xml:space="preserve"> </w:t>
      </w:r>
      <w:r>
        <w:t>del</w:t>
      </w:r>
      <w:r>
        <w:rPr>
          <w:spacing w:val="-13"/>
        </w:rPr>
        <w:t xml:space="preserve"> </w:t>
      </w:r>
      <w:r>
        <w:t>ELN,</w:t>
      </w:r>
      <w:r>
        <w:rPr>
          <w:spacing w:val="-13"/>
        </w:rPr>
        <w:t xml:space="preserve"> </w:t>
      </w:r>
      <w:r>
        <w:t>y</w:t>
      </w:r>
      <w:r>
        <w:rPr>
          <w:spacing w:val="-13"/>
        </w:rPr>
        <w:t xml:space="preserve"> </w:t>
      </w:r>
      <w:r>
        <w:t>en</w:t>
      </w:r>
      <w:r>
        <w:rPr>
          <w:spacing w:val="-12"/>
        </w:rPr>
        <w:t xml:space="preserve"> </w:t>
      </w:r>
      <w:r>
        <w:t>2004</w:t>
      </w:r>
      <w:r>
        <w:rPr>
          <w:spacing w:val="-13"/>
        </w:rPr>
        <w:t xml:space="preserve"> </w:t>
      </w:r>
      <w:r>
        <w:t>la</w:t>
      </w:r>
      <w:r>
        <w:rPr>
          <w:spacing w:val="-13"/>
        </w:rPr>
        <w:t xml:space="preserve"> </w:t>
      </w:r>
      <w:r>
        <w:t>Operación</w:t>
      </w:r>
      <w:r>
        <w:rPr>
          <w:spacing w:val="-13"/>
        </w:rPr>
        <w:t xml:space="preserve"> </w:t>
      </w:r>
      <w:r>
        <w:t>Dragón,</w:t>
      </w:r>
      <w:r>
        <w:rPr>
          <w:spacing w:val="-13"/>
        </w:rPr>
        <w:t xml:space="preserve"> </w:t>
      </w:r>
      <w:r>
        <w:t>que</w:t>
      </w:r>
      <w:r>
        <w:rPr>
          <w:spacing w:val="-13"/>
        </w:rPr>
        <w:t xml:space="preserve"> </w:t>
      </w:r>
      <w:r>
        <w:t>afectó</w:t>
      </w:r>
      <w:r>
        <w:rPr>
          <w:spacing w:val="-13"/>
        </w:rPr>
        <w:t xml:space="preserve"> </w:t>
      </w:r>
      <w:r>
        <w:t>al</w:t>
      </w:r>
      <w:r>
        <w:rPr>
          <w:spacing w:val="-13"/>
        </w:rPr>
        <w:t xml:space="preserve"> </w:t>
      </w:r>
      <w:r>
        <w:t>Sindicato</w:t>
      </w:r>
      <w:r>
        <w:rPr>
          <w:spacing w:val="-13"/>
        </w:rPr>
        <w:t xml:space="preserve"> </w:t>
      </w:r>
      <w:r>
        <w:t>de</w:t>
      </w:r>
      <w:r>
        <w:rPr>
          <w:spacing w:val="-13"/>
        </w:rPr>
        <w:t xml:space="preserve"> </w:t>
      </w:r>
      <w:r>
        <w:t>Trabajadores de</w:t>
      </w:r>
      <w:r>
        <w:rPr>
          <w:spacing w:val="-6"/>
        </w:rPr>
        <w:t xml:space="preserve"> </w:t>
      </w:r>
      <w:r>
        <w:t>las</w:t>
      </w:r>
      <w:r>
        <w:rPr>
          <w:spacing w:val="-6"/>
        </w:rPr>
        <w:t xml:space="preserve"> </w:t>
      </w:r>
      <w:r>
        <w:t>Empresas</w:t>
      </w:r>
      <w:r>
        <w:rPr>
          <w:spacing w:val="-6"/>
        </w:rPr>
        <w:t xml:space="preserve"> </w:t>
      </w:r>
      <w:r>
        <w:t>Municipales</w:t>
      </w:r>
      <w:r>
        <w:rPr>
          <w:spacing w:val="-6"/>
        </w:rPr>
        <w:t xml:space="preserve"> </w:t>
      </w:r>
      <w:r>
        <w:t>de</w:t>
      </w:r>
      <w:r>
        <w:rPr>
          <w:spacing w:val="-6"/>
        </w:rPr>
        <w:t xml:space="preserve"> </w:t>
      </w:r>
      <w:r>
        <w:t>Cali</w:t>
      </w:r>
      <w:r>
        <w:rPr>
          <w:spacing w:val="-5"/>
        </w:rPr>
        <w:t xml:space="preserve"> </w:t>
      </w:r>
      <w:r>
        <w:t>(</w:t>
      </w:r>
      <w:proofErr w:type="spellStart"/>
      <w:r>
        <w:t>Sintraemcali</w:t>
      </w:r>
      <w:proofErr w:type="spellEnd"/>
      <w:r>
        <w:t>)</w:t>
      </w:r>
      <w:r>
        <w:rPr>
          <w:spacing w:val="-5"/>
        </w:rPr>
        <w:t xml:space="preserve"> </w:t>
      </w:r>
      <w:r>
        <w:t>y</w:t>
      </w:r>
      <w:r>
        <w:rPr>
          <w:spacing w:val="-6"/>
        </w:rPr>
        <w:t xml:space="preserve"> </w:t>
      </w:r>
      <w:r>
        <w:t>al</w:t>
      </w:r>
      <w:r>
        <w:rPr>
          <w:spacing w:val="-5"/>
        </w:rPr>
        <w:t xml:space="preserve"> </w:t>
      </w:r>
      <w:r>
        <w:t>congresista</w:t>
      </w:r>
      <w:r>
        <w:rPr>
          <w:spacing w:val="-6"/>
        </w:rPr>
        <w:t xml:space="preserve"> </w:t>
      </w:r>
      <w:r>
        <w:t>de</w:t>
      </w:r>
      <w:r>
        <w:rPr>
          <w:spacing w:val="-6"/>
        </w:rPr>
        <w:t xml:space="preserve"> </w:t>
      </w:r>
      <w:r>
        <w:t>oposición</w:t>
      </w:r>
      <w:r>
        <w:rPr>
          <w:spacing w:val="-6"/>
        </w:rPr>
        <w:t xml:space="preserve"> </w:t>
      </w:r>
      <w:proofErr w:type="spellStart"/>
      <w:r>
        <w:t>Alexánder</w:t>
      </w:r>
      <w:proofErr w:type="spellEnd"/>
      <w:r>
        <w:t xml:space="preserve"> </w:t>
      </w:r>
      <w:r>
        <w:rPr>
          <w:spacing w:val="-2"/>
        </w:rPr>
        <w:t>López</w:t>
      </w:r>
      <w:r w:rsidR="00EA7834">
        <w:rPr>
          <w:rStyle w:val="Refdenotaalpie"/>
          <w:spacing w:val="-2"/>
        </w:rPr>
        <w:footnoteReference w:id="826"/>
      </w:r>
      <w:r>
        <w:rPr>
          <w:spacing w:val="-2"/>
        </w:rPr>
        <w:t>.</w:t>
      </w:r>
    </w:p>
    <w:p w:rsidR="0011361F" w:rsidRDefault="00AF18A5" w:rsidP="00EA7834">
      <w:r>
        <w:t>Incluso,</w:t>
      </w:r>
      <w:r>
        <w:rPr>
          <w:spacing w:val="-5"/>
        </w:rPr>
        <w:t xml:space="preserve"> </w:t>
      </w:r>
      <w:r>
        <w:t>un</w:t>
      </w:r>
      <w:r>
        <w:rPr>
          <w:spacing w:val="-3"/>
        </w:rPr>
        <w:t xml:space="preserve"> </w:t>
      </w:r>
      <w:r>
        <w:t>fiscal,</w:t>
      </w:r>
      <w:r>
        <w:rPr>
          <w:spacing w:val="-3"/>
        </w:rPr>
        <w:t xml:space="preserve"> </w:t>
      </w:r>
      <w:r>
        <w:t>Orlando</w:t>
      </w:r>
      <w:r>
        <w:rPr>
          <w:spacing w:val="-3"/>
        </w:rPr>
        <w:t xml:space="preserve"> </w:t>
      </w:r>
      <w:r>
        <w:t>Pacheco</w:t>
      </w:r>
      <w:r>
        <w:rPr>
          <w:spacing w:val="-3"/>
        </w:rPr>
        <w:t xml:space="preserve"> </w:t>
      </w:r>
      <w:r>
        <w:t>Osorio,</w:t>
      </w:r>
      <w:r>
        <w:rPr>
          <w:spacing w:val="-3"/>
        </w:rPr>
        <w:t xml:space="preserve"> </w:t>
      </w:r>
      <w:r>
        <w:t>fue</w:t>
      </w:r>
      <w:r>
        <w:rPr>
          <w:spacing w:val="-2"/>
        </w:rPr>
        <w:t xml:space="preserve"> </w:t>
      </w:r>
      <w:r>
        <w:t>judicializado</w:t>
      </w:r>
      <w:r>
        <w:rPr>
          <w:spacing w:val="-3"/>
        </w:rPr>
        <w:t xml:space="preserve"> </w:t>
      </w:r>
      <w:r>
        <w:t>por</w:t>
      </w:r>
      <w:r>
        <w:rPr>
          <w:spacing w:val="-2"/>
        </w:rPr>
        <w:t xml:space="preserve"> </w:t>
      </w:r>
      <w:r>
        <w:t>ordenar</w:t>
      </w:r>
      <w:r>
        <w:rPr>
          <w:spacing w:val="-3"/>
        </w:rPr>
        <w:t xml:space="preserve"> </w:t>
      </w:r>
      <w:r>
        <w:t>la</w:t>
      </w:r>
      <w:r>
        <w:rPr>
          <w:spacing w:val="-3"/>
        </w:rPr>
        <w:t xml:space="preserve"> </w:t>
      </w:r>
      <w:r>
        <w:t>liberación</w:t>
      </w:r>
      <w:r>
        <w:rPr>
          <w:spacing w:val="-3"/>
        </w:rPr>
        <w:t xml:space="preserve"> </w:t>
      </w:r>
      <w:r>
        <w:rPr>
          <w:spacing w:val="-5"/>
        </w:rPr>
        <w:t>de</w:t>
      </w:r>
      <w:r w:rsidR="00EA7834">
        <w:t xml:space="preserve"> </w:t>
      </w:r>
      <w:r>
        <w:t>135 personas capturadas en una detención masiva con fundamento en un informe de inteligencia,</w:t>
      </w:r>
      <w:r>
        <w:rPr>
          <w:spacing w:val="-10"/>
        </w:rPr>
        <w:t xml:space="preserve"> </w:t>
      </w:r>
      <w:r>
        <w:t>una</w:t>
      </w:r>
      <w:r>
        <w:rPr>
          <w:spacing w:val="-9"/>
        </w:rPr>
        <w:t xml:space="preserve"> </w:t>
      </w:r>
      <w:r>
        <w:t>«orden</w:t>
      </w:r>
      <w:r>
        <w:rPr>
          <w:spacing w:val="-9"/>
        </w:rPr>
        <w:t xml:space="preserve"> </w:t>
      </w:r>
      <w:r>
        <w:t>de</w:t>
      </w:r>
      <w:r>
        <w:rPr>
          <w:spacing w:val="-9"/>
        </w:rPr>
        <w:t xml:space="preserve"> </w:t>
      </w:r>
      <w:r>
        <w:t>batalla»</w:t>
      </w:r>
      <w:r>
        <w:rPr>
          <w:spacing w:val="-9"/>
        </w:rPr>
        <w:t xml:space="preserve"> </w:t>
      </w:r>
      <w:r>
        <w:t>y</w:t>
      </w:r>
      <w:r>
        <w:rPr>
          <w:spacing w:val="-10"/>
        </w:rPr>
        <w:t xml:space="preserve"> </w:t>
      </w:r>
      <w:r>
        <w:t>el</w:t>
      </w:r>
      <w:r>
        <w:rPr>
          <w:spacing w:val="-9"/>
        </w:rPr>
        <w:t xml:space="preserve"> </w:t>
      </w:r>
      <w:r>
        <w:t>testimonio</w:t>
      </w:r>
      <w:r>
        <w:rPr>
          <w:spacing w:val="-9"/>
        </w:rPr>
        <w:t xml:space="preserve"> </w:t>
      </w:r>
      <w:r>
        <w:t>de</w:t>
      </w:r>
      <w:r>
        <w:rPr>
          <w:spacing w:val="-9"/>
        </w:rPr>
        <w:t xml:space="preserve"> </w:t>
      </w:r>
      <w:r>
        <w:t>un</w:t>
      </w:r>
      <w:r>
        <w:rPr>
          <w:spacing w:val="-9"/>
        </w:rPr>
        <w:t xml:space="preserve"> </w:t>
      </w:r>
      <w:r>
        <w:t>guerrillero</w:t>
      </w:r>
      <w:r>
        <w:rPr>
          <w:spacing w:val="-9"/>
        </w:rPr>
        <w:t xml:space="preserve"> </w:t>
      </w:r>
      <w:r>
        <w:t>reinsertado.</w:t>
      </w:r>
      <w:r>
        <w:rPr>
          <w:spacing w:val="-9"/>
        </w:rPr>
        <w:t xml:space="preserve"> </w:t>
      </w:r>
      <w:r>
        <w:t>Después</w:t>
      </w:r>
      <w:r>
        <w:rPr>
          <w:spacing w:val="-9"/>
        </w:rPr>
        <w:t xml:space="preserve"> </w:t>
      </w:r>
      <w:r>
        <w:t>de que</w:t>
      </w:r>
      <w:r>
        <w:rPr>
          <w:spacing w:val="-9"/>
        </w:rPr>
        <w:t xml:space="preserve"> </w:t>
      </w:r>
      <w:r>
        <w:t>el</w:t>
      </w:r>
      <w:r>
        <w:rPr>
          <w:spacing w:val="-10"/>
        </w:rPr>
        <w:t xml:space="preserve"> </w:t>
      </w:r>
      <w:r>
        <w:t>fiscal</w:t>
      </w:r>
      <w:r>
        <w:rPr>
          <w:spacing w:val="-10"/>
        </w:rPr>
        <w:t xml:space="preserve"> </w:t>
      </w:r>
      <w:r>
        <w:t>general</w:t>
      </w:r>
      <w:r>
        <w:rPr>
          <w:spacing w:val="-9"/>
        </w:rPr>
        <w:t xml:space="preserve"> </w:t>
      </w:r>
      <w:r>
        <w:t>lamentara</w:t>
      </w:r>
      <w:r>
        <w:rPr>
          <w:spacing w:val="-11"/>
        </w:rPr>
        <w:t xml:space="preserve"> </w:t>
      </w:r>
      <w:r>
        <w:t>la</w:t>
      </w:r>
      <w:r>
        <w:rPr>
          <w:spacing w:val="-9"/>
        </w:rPr>
        <w:t xml:space="preserve"> </w:t>
      </w:r>
      <w:r>
        <w:t>decisión,</w:t>
      </w:r>
      <w:r>
        <w:rPr>
          <w:spacing w:val="-10"/>
        </w:rPr>
        <w:t xml:space="preserve"> </w:t>
      </w:r>
      <w:r>
        <w:t>suspendió</w:t>
      </w:r>
      <w:r>
        <w:rPr>
          <w:spacing w:val="-10"/>
        </w:rPr>
        <w:t xml:space="preserve"> </w:t>
      </w:r>
      <w:r>
        <w:t>al</w:t>
      </w:r>
      <w:r>
        <w:rPr>
          <w:spacing w:val="-10"/>
        </w:rPr>
        <w:t xml:space="preserve"> </w:t>
      </w:r>
      <w:r>
        <w:t>fiscal</w:t>
      </w:r>
      <w:r>
        <w:rPr>
          <w:spacing w:val="-12"/>
        </w:rPr>
        <w:t xml:space="preserve"> </w:t>
      </w:r>
      <w:r>
        <w:t>Pacheco</w:t>
      </w:r>
      <w:r>
        <w:rPr>
          <w:spacing w:val="-10"/>
        </w:rPr>
        <w:t xml:space="preserve"> </w:t>
      </w:r>
      <w:r>
        <w:t>de</w:t>
      </w:r>
      <w:r>
        <w:rPr>
          <w:spacing w:val="-11"/>
        </w:rPr>
        <w:t xml:space="preserve"> </w:t>
      </w:r>
      <w:r>
        <w:t>su</w:t>
      </w:r>
      <w:r>
        <w:rPr>
          <w:spacing w:val="-10"/>
        </w:rPr>
        <w:t xml:space="preserve"> </w:t>
      </w:r>
      <w:r>
        <w:t>cargo,</w:t>
      </w:r>
      <w:r>
        <w:rPr>
          <w:spacing w:val="-10"/>
        </w:rPr>
        <w:t xml:space="preserve"> </w:t>
      </w:r>
      <w:r>
        <w:t>quien</w:t>
      </w:r>
      <w:r>
        <w:rPr>
          <w:spacing w:val="-10"/>
        </w:rPr>
        <w:t xml:space="preserve"> </w:t>
      </w:r>
      <w:r>
        <w:t>fue detenido preventivamente por prevaricato</w:t>
      </w:r>
      <w:r w:rsidR="00EA7834">
        <w:rPr>
          <w:rStyle w:val="Refdenotaalpie"/>
        </w:rPr>
        <w:footnoteReference w:id="827"/>
      </w:r>
      <w:r>
        <w:t>.</w:t>
      </w:r>
    </w:p>
    <w:p w:rsidR="003804AC" w:rsidRDefault="00AF18A5" w:rsidP="0051230C">
      <w:bookmarkStart w:id="1021" w:name="_bookmark899"/>
      <w:bookmarkStart w:id="1022" w:name="_bookmark900"/>
      <w:bookmarkStart w:id="1023" w:name="_bookmark901"/>
      <w:bookmarkStart w:id="1024" w:name="_bookmark902"/>
      <w:bookmarkEnd w:id="1021"/>
      <w:bookmarkEnd w:id="1022"/>
      <w:bookmarkEnd w:id="1023"/>
      <w:bookmarkEnd w:id="1024"/>
      <w:r>
        <w:lastRenderedPageBreak/>
        <w:t>Como se analizó en el hallazgo de la impunidad en este informe, la justicia de excepción no solo fue la penal militar. También estuvieron los Juzgados de Orden Público de 1987 y, en 1990, los que se convirtieron en la denominada «justicia sin rostro» a través del Estatuto para</w:t>
      </w:r>
      <w:r>
        <w:rPr>
          <w:spacing w:val="-14"/>
        </w:rPr>
        <w:t xml:space="preserve"> </w:t>
      </w:r>
      <w:r>
        <w:t>la</w:t>
      </w:r>
      <w:r>
        <w:rPr>
          <w:spacing w:val="-13"/>
        </w:rPr>
        <w:t xml:space="preserve"> </w:t>
      </w:r>
      <w:r>
        <w:t>Defensa</w:t>
      </w:r>
      <w:r>
        <w:rPr>
          <w:spacing w:val="-13"/>
        </w:rPr>
        <w:t xml:space="preserve"> </w:t>
      </w:r>
      <w:r>
        <w:t>de</w:t>
      </w:r>
      <w:r>
        <w:rPr>
          <w:spacing w:val="-14"/>
        </w:rPr>
        <w:t xml:space="preserve"> </w:t>
      </w:r>
      <w:r>
        <w:t>la</w:t>
      </w:r>
      <w:r>
        <w:rPr>
          <w:spacing w:val="-13"/>
        </w:rPr>
        <w:t xml:space="preserve"> </w:t>
      </w:r>
      <w:r>
        <w:t>Justicia.</w:t>
      </w:r>
      <w:r>
        <w:rPr>
          <w:spacing w:val="-13"/>
        </w:rPr>
        <w:t xml:space="preserve"> </w:t>
      </w:r>
      <w:r>
        <w:t>Esta</w:t>
      </w:r>
      <w:r>
        <w:rPr>
          <w:spacing w:val="-13"/>
        </w:rPr>
        <w:t xml:space="preserve"> </w:t>
      </w:r>
      <w:r>
        <w:t>justicia</w:t>
      </w:r>
      <w:r>
        <w:rPr>
          <w:spacing w:val="-13"/>
        </w:rPr>
        <w:t xml:space="preserve"> </w:t>
      </w:r>
      <w:r>
        <w:t>sin</w:t>
      </w:r>
      <w:r>
        <w:rPr>
          <w:spacing w:val="-14"/>
        </w:rPr>
        <w:t xml:space="preserve"> </w:t>
      </w:r>
      <w:r>
        <w:t>rostro</w:t>
      </w:r>
      <w:r>
        <w:rPr>
          <w:spacing w:val="-13"/>
        </w:rPr>
        <w:t xml:space="preserve"> </w:t>
      </w:r>
      <w:r>
        <w:t>se</w:t>
      </w:r>
      <w:r>
        <w:rPr>
          <w:spacing w:val="-13"/>
        </w:rPr>
        <w:t xml:space="preserve"> </w:t>
      </w:r>
      <w:r>
        <w:t>caracterizó</w:t>
      </w:r>
      <w:r>
        <w:rPr>
          <w:spacing w:val="-14"/>
        </w:rPr>
        <w:t xml:space="preserve"> </w:t>
      </w:r>
      <w:r>
        <w:t>por</w:t>
      </w:r>
      <w:r>
        <w:rPr>
          <w:spacing w:val="-14"/>
        </w:rPr>
        <w:t xml:space="preserve"> </w:t>
      </w:r>
      <w:r>
        <w:t>la</w:t>
      </w:r>
      <w:r>
        <w:rPr>
          <w:spacing w:val="-14"/>
        </w:rPr>
        <w:t xml:space="preserve"> </w:t>
      </w:r>
      <w:r>
        <w:t>reserva</w:t>
      </w:r>
      <w:r>
        <w:rPr>
          <w:spacing w:val="-14"/>
        </w:rPr>
        <w:t xml:space="preserve"> </w:t>
      </w:r>
      <w:r>
        <w:t>de</w:t>
      </w:r>
      <w:r>
        <w:rPr>
          <w:spacing w:val="-14"/>
        </w:rPr>
        <w:t xml:space="preserve"> </w:t>
      </w:r>
      <w:r>
        <w:t>identidad de jueces y testigos, incluso para las partes dentro del proceso, como una medida de protección. Sin embargo, este mecanismo judicial sacrificaba las garantías procesales y mantenía la idea de una justicia de excepción para la persecución de los hechos más graves de criminalidad organizada y como medio para el control del orden público. Además, fue instrumentalizada</w:t>
      </w:r>
      <w:r>
        <w:rPr>
          <w:spacing w:val="-1"/>
        </w:rPr>
        <w:t xml:space="preserve"> </w:t>
      </w:r>
      <w:r>
        <w:t>por</w:t>
      </w:r>
      <w:r>
        <w:rPr>
          <w:spacing w:val="-1"/>
        </w:rPr>
        <w:t xml:space="preserve"> </w:t>
      </w:r>
      <w:r>
        <w:t>los organismos civiles y</w:t>
      </w:r>
      <w:r>
        <w:rPr>
          <w:spacing w:val="-1"/>
        </w:rPr>
        <w:t xml:space="preserve"> </w:t>
      </w:r>
      <w:r>
        <w:t>militares de</w:t>
      </w:r>
      <w:r>
        <w:rPr>
          <w:spacing w:val="-1"/>
        </w:rPr>
        <w:t xml:space="preserve"> </w:t>
      </w:r>
      <w:r>
        <w:t>inteligencia para hacer</w:t>
      </w:r>
      <w:r>
        <w:rPr>
          <w:spacing w:val="-1"/>
        </w:rPr>
        <w:t xml:space="preserve"> </w:t>
      </w:r>
      <w:r>
        <w:t>montajes judiciales y perseguir ilegítimamente a opositores y disidentes</w:t>
      </w:r>
      <w:r w:rsidR="000B6B19">
        <w:rPr>
          <w:rStyle w:val="Refdenotaalpie"/>
        </w:rPr>
        <w:footnoteReference w:id="828"/>
      </w:r>
      <w:r>
        <w:t>. En el 2000, la Corte Constitucional declaró inexequibles los elementos que afectaban el debido proceso, la publicidad y la contradicción de la prueba</w:t>
      </w:r>
      <w:r w:rsidR="000B6B19">
        <w:rPr>
          <w:rStyle w:val="Refdenotaalpie"/>
        </w:rPr>
        <w:footnoteReference w:id="829"/>
      </w:r>
      <w:r>
        <w:t>.</w:t>
      </w:r>
    </w:p>
    <w:p w:rsidR="003804AC" w:rsidRDefault="00AF18A5" w:rsidP="000B6B19">
      <w:r>
        <w:t>La Constitución de 1991 mantuvo el fuero penal militar en los mismos términos de la Constitución de 1886. Sin embargo, en 1997 y los años siguientes, la Corte Constitucional limitó</w:t>
      </w:r>
      <w:r>
        <w:rPr>
          <w:spacing w:val="-7"/>
        </w:rPr>
        <w:t xml:space="preserve"> </w:t>
      </w:r>
      <w:r>
        <w:t>su</w:t>
      </w:r>
      <w:r>
        <w:rPr>
          <w:spacing w:val="-7"/>
        </w:rPr>
        <w:t xml:space="preserve"> </w:t>
      </w:r>
      <w:r>
        <w:t>alcance</w:t>
      </w:r>
      <w:r>
        <w:rPr>
          <w:spacing w:val="-7"/>
        </w:rPr>
        <w:t xml:space="preserve"> </w:t>
      </w:r>
      <w:r>
        <w:t>y</w:t>
      </w:r>
      <w:r>
        <w:rPr>
          <w:spacing w:val="-7"/>
        </w:rPr>
        <w:t xml:space="preserve"> </w:t>
      </w:r>
      <w:r>
        <w:t>prohibió</w:t>
      </w:r>
      <w:r>
        <w:rPr>
          <w:spacing w:val="-7"/>
        </w:rPr>
        <w:t xml:space="preserve"> </w:t>
      </w:r>
      <w:r>
        <w:t>que</w:t>
      </w:r>
      <w:r>
        <w:rPr>
          <w:spacing w:val="-7"/>
        </w:rPr>
        <w:t xml:space="preserve"> </w:t>
      </w:r>
      <w:r>
        <w:t>la</w:t>
      </w:r>
      <w:r>
        <w:rPr>
          <w:spacing w:val="-7"/>
        </w:rPr>
        <w:t xml:space="preserve"> </w:t>
      </w:r>
      <w:r>
        <w:t>Justicia</w:t>
      </w:r>
      <w:r>
        <w:rPr>
          <w:spacing w:val="-7"/>
        </w:rPr>
        <w:t xml:space="preserve"> </w:t>
      </w:r>
      <w:r>
        <w:t>Penal</w:t>
      </w:r>
      <w:r>
        <w:rPr>
          <w:spacing w:val="-8"/>
        </w:rPr>
        <w:t xml:space="preserve"> </w:t>
      </w:r>
      <w:r>
        <w:t>Militar</w:t>
      </w:r>
      <w:r>
        <w:rPr>
          <w:spacing w:val="-7"/>
        </w:rPr>
        <w:t xml:space="preserve"> </w:t>
      </w:r>
      <w:r>
        <w:t>asumiera</w:t>
      </w:r>
      <w:r>
        <w:rPr>
          <w:spacing w:val="-7"/>
        </w:rPr>
        <w:t xml:space="preserve"> </w:t>
      </w:r>
      <w:r>
        <w:t>competencia</w:t>
      </w:r>
      <w:r>
        <w:rPr>
          <w:spacing w:val="-7"/>
        </w:rPr>
        <w:t xml:space="preserve"> </w:t>
      </w:r>
      <w:r>
        <w:t>sobre</w:t>
      </w:r>
      <w:r>
        <w:rPr>
          <w:spacing w:val="-7"/>
        </w:rPr>
        <w:t xml:space="preserve"> </w:t>
      </w:r>
      <w:r>
        <w:t>graves violaciones de los derechos humanos</w:t>
      </w:r>
      <w:r w:rsidR="000B6B19">
        <w:rPr>
          <w:rStyle w:val="Refdenotaalpie"/>
        </w:rPr>
        <w:footnoteReference w:id="830"/>
      </w:r>
      <w:r>
        <w:t>.</w:t>
      </w:r>
    </w:p>
    <w:p w:rsidR="003804AC" w:rsidRPr="000B6B19" w:rsidRDefault="00AF18A5" w:rsidP="000B6B19">
      <w:r>
        <w:t xml:space="preserve">No obstante, la justicia penal militar ha conllevado impunidad y encubrimiento de crímenes de miembros de la fuerza pública. Esta falta </w:t>
      </w:r>
      <w:r>
        <w:lastRenderedPageBreak/>
        <w:t>de imparcialidad e independencia se constató en innumerables casos, como el del juzgamiento de militares por los hechos del Palacio</w:t>
      </w:r>
      <w:r>
        <w:rPr>
          <w:spacing w:val="-15"/>
        </w:rPr>
        <w:t xml:space="preserve"> </w:t>
      </w:r>
      <w:r>
        <w:t>de</w:t>
      </w:r>
      <w:r>
        <w:rPr>
          <w:spacing w:val="-15"/>
        </w:rPr>
        <w:t xml:space="preserve"> </w:t>
      </w:r>
      <w:r>
        <w:t>Justicia</w:t>
      </w:r>
      <w:r w:rsidR="000B6B19">
        <w:rPr>
          <w:rStyle w:val="Refdenotaalpie"/>
        </w:rPr>
        <w:footnoteReference w:id="831"/>
      </w:r>
      <w:r>
        <w:t>,</w:t>
      </w:r>
      <w:r>
        <w:rPr>
          <w:spacing w:val="-15"/>
        </w:rPr>
        <w:t xml:space="preserve"> </w:t>
      </w:r>
      <w:r>
        <w:t>la</w:t>
      </w:r>
      <w:r>
        <w:rPr>
          <w:spacing w:val="-15"/>
        </w:rPr>
        <w:t xml:space="preserve"> </w:t>
      </w:r>
      <w:r>
        <w:t>absolución</w:t>
      </w:r>
      <w:r>
        <w:rPr>
          <w:spacing w:val="-15"/>
        </w:rPr>
        <w:t xml:space="preserve"> </w:t>
      </w:r>
      <w:r>
        <w:t>del</w:t>
      </w:r>
      <w:r>
        <w:rPr>
          <w:spacing w:val="-15"/>
        </w:rPr>
        <w:t xml:space="preserve"> </w:t>
      </w:r>
      <w:r>
        <w:t>general</w:t>
      </w:r>
      <w:r>
        <w:rPr>
          <w:spacing w:val="-15"/>
        </w:rPr>
        <w:t xml:space="preserve"> </w:t>
      </w:r>
      <w:proofErr w:type="spellStart"/>
      <w:r>
        <w:t>Faruk</w:t>
      </w:r>
      <w:proofErr w:type="spellEnd"/>
      <w:r>
        <w:rPr>
          <w:spacing w:val="-15"/>
        </w:rPr>
        <w:t xml:space="preserve"> </w:t>
      </w:r>
      <w:proofErr w:type="spellStart"/>
      <w:r>
        <w:t>Yanine</w:t>
      </w:r>
      <w:proofErr w:type="spellEnd"/>
      <w:r>
        <w:rPr>
          <w:spacing w:val="-15"/>
        </w:rPr>
        <w:t xml:space="preserve"> </w:t>
      </w:r>
      <w:r>
        <w:t>Díaz</w:t>
      </w:r>
      <w:r w:rsidR="000B6B19">
        <w:rPr>
          <w:rStyle w:val="Refdenotaalpie"/>
        </w:rPr>
        <w:footnoteReference w:id="832"/>
      </w:r>
      <w:r>
        <w:t>,</w:t>
      </w:r>
      <w:r>
        <w:rPr>
          <w:spacing w:val="-15"/>
        </w:rPr>
        <w:t xml:space="preserve"> </w:t>
      </w:r>
      <w:r>
        <w:t>la</w:t>
      </w:r>
      <w:r>
        <w:rPr>
          <w:spacing w:val="-15"/>
        </w:rPr>
        <w:t xml:space="preserve"> </w:t>
      </w:r>
      <w:r>
        <w:t>desaparición</w:t>
      </w:r>
      <w:r>
        <w:rPr>
          <w:spacing w:val="-15"/>
        </w:rPr>
        <w:t xml:space="preserve"> </w:t>
      </w:r>
      <w:r>
        <w:t>forzada de</w:t>
      </w:r>
      <w:r>
        <w:rPr>
          <w:spacing w:val="64"/>
          <w:w w:val="150"/>
        </w:rPr>
        <w:t xml:space="preserve"> </w:t>
      </w:r>
      <w:r>
        <w:t>Luis</w:t>
      </w:r>
      <w:r>
        <w:rPr>
          <w:spacing w:val="67"/>
          <w:w w:val="150"/>
        </w:rPr>
        <w:t xml:space="preserve"> </w:t>
      </w:r>
      <w:r>
        <w:t>Fernando</w:t>
      </w:r>
      <w:r>
        <w:rPr>
          <w:spacing w:val="67"/>
          <w:w w:val="150"/>
        </w:rPr>
        <w:t xml:space="preserve"> </w:t>
      </w:r>
      <w:proofErr w:type="spellStart"/>
      <w:r>
        <w:t>Lalinde</w:t>
      </w:r>
      <w:proofErr w:type="spellEnd"/>
      <w:r>
        <w:rPr>
          <w:spacing w:val="67"/>
          <w:w w:val="150"/>
        </w:rPr>
        <w:t xml:space="preserve"> </w:t>
      </w:r>
      <w:r>
        <w:t>en</w:t>
      </w:r>
      <w:r>
        <w:rPr>
          <w:spacing w:val="67"/>
          <w:w w:val="150"/>
        </w:rPr>
        <w:t xml:space="preserve"> </w:t>
      </w:r>
      <w:r>
        <w:t>1984,</w:t>
      </w:r>
      <w:r>
        <w:rPr>
          <w:spacing w:val="67"/>
          <w:w w:val="150"/>
        </w:rPr>
        <w:t xml:space="preserve"> </w:t>
      </w:r>
      <w:r>
        <w:t>el</w:t>
      </w:r>
      <w:r>
        <w:rPr>
          <w:spacing w:val="67"/>
          <w:w w:val="150"/>
        </w:rPr>
        <w:t xml:space="preserve"> </w:t>
      </w:r>
      <w:r>
        <w:t>caso</w:t>
      </w:r>
      <w:r>
        <w:rPr>
          <w:spacing w:val="66"/>
          <w:w w:val="150"/>
        </w:rPr>
        <w:t xml:space="preserve"> </w:t>
      </w:r>
      <w:r>
        <w:t>Las</w:t>
      </w:r>
      <w:r>
        <w:rPr>
          <w:spacing w:val="67"/>
          <w:w w:val="150"/>
        </w:rPr>
        <w:t xml:space="preserve"> </w:t>
      </w:r>
      <w:r>
        <w:t>Palmeras</w:t>
      </w:r>
      <w:r>
        <w:rPr>
          <w:spacing w:val="67"/>
          <w:w w:val="150"/>
        </w:rPr>
        <w:t xml:space="preserve"> </w:t>
      </w:r>
      <w:r>
        <w:t>(llevado</w:t>
      </w:r>
      <w:r>
        <w:rPr>
          <w:spacing w:val="67"/>
          <w:w w:val="150"/>
        </w:rPr>
        <w:t xml:space="preserve"> </w:t>
      </w:r>
      <w:r>
        <w:t>ante</w:t>
      </w:r>
      <w:r>
        <w:rPr>
          <w:spacing w:val="67"/>
          <w:w w:val="150"/>
        </w:rPr>
        <w:t xml:space="preserve"> </w:t>
      </w:r>
      <w:r>
        <w:t>la</w:t>
      </w:r>
      <w:r>
        <w:rPr>
          <w:spacing w:val="66"/>
          <w:w w:val="150"/>
        </w:rPr>
        <w:t xml:space="preserve"> </w:t>
      </w:r>
      <w:r>
        <w:rPr>
          <w:spacing w:val="-2"/>
        </w:rPr>
        <w:t>Corte</w:t>
      </w:r>
      <w:bookmarkStart w:id="1025" w:name="_bookmark903"/>
      <w:bookmarkStart w:id="1026" w:name="_bookmark904"/>
      <w:bookmarkStart w:id="1027" w:name="_bookmark905"/>
      <w:bookmarkStart w:id="1028" w:name="_bookmark906"/>
      <w:bookmarkStart w:id="1029" w:name="_bookmark907"/>
      <w:bookmarkEnd w:id="1025"/>
      <w:bookmarkEnd w:id="1026"/>
      <w:bookmarkEnd w:id="1027"/>
      <w:bookmarkEnd w:id="1028"/>
      <w:bookmarkEnd w:id="1029"/>
      <w:r w:rsidR="000B6B19">
        <w:rPr>
          <w:spacing w:val="-2"/>
        </w:rPr>
        <w:t xml:space="preserve"> </w:t>
      </w:r>
      <w:r>
        <w:t>Interamericana de Derechos Humanos</w:t>
      </w:r>
      <w:r w:rsidR="000B6B19">
        <w:rPr>
          <w:rStyle w:val="Refdenotaalpie"/>
        </w:rPr>
        <w:footnoteReference w:id="833"/>
      </w:r>
      <w:r>
        <w:t>) o la masacre del Nilo en diciembre de 1991</w:t>
      </w:r>
      <w:r w:rsidR="003335FE">
        <w:rPr>
          <w:rStyle w:val="Refdenotaalpie"/>
        </w:rPr>
        <w:footnoteReference w:id="834"/>
      </w:r>
      <w:r>
        <w:t>, entre muchos otros.</w:t>
      </w:r>
    </w:p>
    <w:p w:rsidR="003804AC" w:rsidRDefault="00AF18A5" w:rsidP="000B6B19">
      <w:r>
        <w:t>Todavía</w:t>
      </w:r>
      <w:r>
        <w:rPr>
          <w:spacing w:val="-11"/>
        </w:rPr>
        <w:t xml:space="preserve"> </w:t>
      </w:r>
      <w:r>
        <w:t>en</w:t>
      </w:r>
      <w:r>
        <w:rPr>
          <w:spacing w:val="-11"/>
        </w:rPr>
        <w:t xml:space="preserve"> </w:t>
      </w:r>
      <w:r>
        <w:t>el</w:t>
      </w:r>
      <w:r>
        <w:rPr>
          <w:spacing w:val="-10"/>
        </w:rPr>
        <w:t xml:space="preserve"> </w:t>
      </w:r>
      <w:r>
        <w:t>2021,</w:t>
      </w:r>
      <w:r>
        <w:rPr>
          <w:spacing w:val="-11"/>
        </w:rPr>
        <w:t xml:space="preserve"> </w:t>
      </w:r>
      <w:r>
        <w:t>la</w:t>
      </w:r>
      <w:r>
        <w:rPr>
          <w:spacing w:val="-11"/>
        </w:rPr>
        <w:t xml:space="preserve"> </w:t>
      </w:r>
      <w:r>
        <w:t>Corte</w:t>
      </w:r>
      <w:r>
        <w:rPr>
          <w:spacing w:val="-11"/>
        </w:rPr>
        <w:t xml:space="preserve"> </w:t>
      </w:r>
      <w:r>
        <w:t>Constitucional</w:t>
      </w:r>
      <w:r>
        <w:rPr>
          <w:spacing w:val="-10"/>
        </w:rPr>
        <w:t xml:space="preserve"> </w:t>
      </w:r>
      <w:r>
        <w:t>debió</w:t>
      </w:r>
      <w:r>
        <w:rPr>
          <w:spacing w:val="-11"/>
        </w:rPr>
        <w:t xml:space="preserve"> </w:t>
      </w:r>
      <w:r>
        <w:t>resolver</w:t>
      </w:r>
      <w:r>
        <w:rPr>
          <w:spacing w:val="-10"/>
        </w:rPr>
        <w:t xml:space="preserve"> </w:t>
      </w:r>
      <w:r>
        <w:t>una</w:t>
      </w:r>
      <w:r>
        <w:rPr>
          <w:spacing w:val="-11"/>
        </w:rPr>
        <w:t xml:space="preserve"> </w:t>
      </w:r>
      <w:r>
        <w:t>tutela</w:t>
      </w:r>
      <w:r>
        <w:rPr>
          <w:spacing w:val="-11"/>
        </w:rPr>
        <w:t xml:space="preserve"> </w:t>
      </w:r>
      <w:r>
        <w:t>en</w:t>
      </w:r>
      <w:r>
        <w:rPr>
          <w:spacing w:val="-12"/>
        </w:rPr>
        <w:t xml:space="preserve"> </w:t>
      </w:r>
      <w:r>
        <w:t>la</w:t>
      </w:r>
      <w:r>
        <w:rPr>
          <w:spacing w:val="-11"/>
        </w:rPr>
        <w:t xml:space="preserve"> </w:t>
      </w:r>
      <w:r>
        <w:t>que</w:t>
      </w:r>
      <w:r>
        <w:rPr>
          <w:spacing w:val="-11"/>
        </w:rPr>
        <w:t xml:space="preserve"> </w:t>
      </w:r>
      <w:r>
        <w:t>ordenó</w:t>
      </w:r>
      <w:r>
        <w:rPr>
          <w:spacing w:val="-11"/>
        </w:rPr>
        <w:t xml:space="preserve"> </w:t>
      </w:r>
      <w:r>
        <w:t>que el</w:t>
      </w:r>
      <w:r>
        <w:rPr>
          <w:spacing w:val="-13"/>
        </w:rPr>
        <w:t xml:space="preserve"> </w:t>
      </w:r>
      <w:r>
        <w:t>caso</w:t>
      </w:r>
      <w:r>
        <w:rPr>
          <w:spacing w:val="-13"/>
        </w:rPr>
        <w:t xml:space="preserve"> </w:t>
      </w:r>
      <w:r>
        <w:t>de</w:t>
      </w:r>
      <w:r>
        <w:rPr>
          <w:spacing w:val="-13"/>
        </w:rPr>
        <w:t xml:space="preserve"> </w:t>
      </w:r>
      <w:r>
        <w:t>Dilan</w:t>
      </w:r>
      <w:r>
        <w:rPr>
          <w:spacing w:val="-13"/>
        </w:rPr>
        <w:t xml:space="preserve"> </w:t>
      </w:r>
      <w:r>
        <w:t>Cruz,</w:t>
      </w:r>
      <w:r>
        <w:rPr>
          <w:spacing w:val="-13"/>
        </w:rPr>
        <w:t xml:space="preserve"> </w:t>
      </w:r>
      <w:r>
        <w:t>un</w:t>
      </w:r>
      <w:r>
        <w:rPr>
          <w:spacing w:val="-13"/>
        </w:rPr>
        <w:t xml:space="preserve"> </w:t>
      </w:r>
      <w:r>
        <w:t>joven</w:t>
      </w:r>
      <w:r>
        <w:rPr>
          <w:spacing w:val="-13"/>
        </w:rPr>
        <w:t xml:space="preserve"> </w:t>
      </w:r>
      <w:r>
        <w:t>manifestante</w:t>
      </w:r>
      <w:r>
        <w:rPr>
          <w:spacing w:val="-13"/>
        </w:rPr>
        <w:t xml:space="preserve"> </w:t>
      </w:r>
      <w:r>
        <w:t>asesinado</w:t>
      </w:r>
      <w:r>
        <w:rPr>
          <w:spacing w:val="-13"/>
        </w:rPr>
        <w:t xml:space="preserve"> </w:t>
      </w:r>
      <w:r>
        <w:t>por</w:t>
      </w:r>
      <w:r>
        <w:rPr>
          <w:spacing w:val="-13"/>
        </w:rPr>
        <w:t xml:space="preserve"> </w:t>
      </w:r>
      <w:r>
        <w:t>el</w:t>
      </w:r>
      <w:r>
        <w:rPr>
          <w:spacing w:val="-15"/>
        </w:rPr>
        <w:t xml:space="preserve"> </w:t>
      </w:r>
      <w:proofErr w:type="spellStart"/>
      <w:r>
        <w:t>Esmad</w:t>
      </w:r>
      <w:proofErr w:type="spellEnd"/>
      <w:r>
        <w:rPr>
          <w:spacing w:val="-13"/>
        </w:rPr>
        <w:t xml:space="preserve"> </w:t>
      </w:r>
      <w:r>
        <w:t>durante</w:t>
      </w:r>
      <w:r>
        <w:rPr>
          <w:spacing w:val="-13"/>
        </w:rPr>
        <w:t xml:space="preserve"> </w:t>
      </w:r>
      <w:r>
        <w:t>el</w:t>
      </w:r>
      <w:r>
        <w:rPr>
          <w:spacing w:val="-13"/>
        </w:rPr>
        <w:t xml:space="preserve"> </w:t>
      </w:r>
      <w:r>
        <w:t>paro</w:t>
      </w:r>
      <w:r>
        <w:rPr>
          <w:spacing w:val="-13"/>
        </w:rPr>
        <w:t xml:space="preserve"> </w:t>
      </w:r>
      <w:r>
        <w:t>nacional de 2019, fuera trasladado de la Justicia Penal Militar a la Justicia Penal Ordinaria por no tratarse de un delito relacionado con el servicio. La Corte Constitucional recordó:</w:t>
      </w:r>
    </w:p>
    <w:p w:rsidR="003804AC" w:rsidRDefault="00AF18A5" w:rsidP="000B6B19">
      <w:r>
        <w:t>[...] cuando la Justicia Penal Militar asume competencia sobre un asunto que debe conocer la Justicia</w:t>
      </w:r>
      <w:r>
        <w:rPr>
          <w:spacing w:val="-4"/>
        </w:rPr>
        <w:t xml:space="preserve"> </w:t>
      </w:r>
      <w:r>
        <w:t>Ordinaria,</w:t>
      </w:r>
      <w:r>
        <w:rPr>
          <w:spacing w:val="-4"/>
        </w:rPr>
        <w:t xml:space="preserve"> </w:t>
      </w:r>
      <w:r>
        <w:t>resulta</w:t>
      </w:r>
      <w:r>
        <w:rPr>
          <w:spacing w:val="-4"/>
        </w:rPr>
        <w:t xml:space="preserve"> </w:t>
      </w:r>
      <w:r>
        <w:t>afectado</w:t>
      </w:r>
      <w:r>
        <w:rPr>
          <w:spacing w:val="-4"/>
        </w:rPr>
        <w:t xml:space="preserve"> </w:t>
      </w:r>
      <w:r>
        <w:t>el</w:t>
      </w:r>
      <w:r>
        <w:rPr>
          <w:spacing w:val="-4"/>
        </w:rPr>
        <w:t xml:space="preserve"> </w:t>
      </w:r>
      <w:r>
        <w:t>derecho</w:t>
      </w:r>
      <w:r>
        <w:rPr>
          <w:spacing w:val="-4"/>
        </w:rPr>
        <w:t xml:space="preserve"> </w:t>
      </w:r>
      <w:r>
        <w:t>al</w:t>
      </w:r>
      <w:r>
        <w:rPr>
          <w:spacing w:val="-4"/>
        </w:rPr>
        <w:t xml:space="preserve"> </w:t>
      </w:r>
      <w:r>
        <w:t>juez</w:t>
      </w:r>
      <w:r>
        <w:rPr>
          <w:spacing w:val="-4"/>
        </w:rPr>
        <w:t xml:space="preserve"> </w:t>
      </w:r>
      <w:r>
        <w:t>natural</w:t>
      </w:r>
      <w:r>
        <w:rPr>
          <w:spacing w:val="-4"/>
        </w:rPr>
        <w:t xml:space="preserve"> </w:t>
      </w:r>
      <w:r>
        <w:t>y,</w:t>
      </w:r>
      <w:r>
        <w:rPr>
          <w:spacing w:val="-4"/>
        </w:rPr>
        <w:t xml:space="preserve"> </w:t>
      </w:r>
      <w:r>
        <w:t>por</w:t>
      </w:r>
      <w:r>
        <w:rPr>
          <w:spacing w:val="-4"/>
        </w:rPr>
        <w:t xml:space="preserve"> </w:t>
      </w:r>
      <w:r>
        <w:t>ende,</w:t>
      </w:r>
      <w:r>
        <w:rPr>
          <w:spacing w:val="-4"/>
        </w:rPr>
        <w:t xml:space="preserve"> </w:t>
      </w:r>
      <w:r>
        <w:t>el</w:t>
      </w:r>
      <w:r>
        <w:rPr>
          <w:spacing w:val="-4"/>
        </w:rPr>
        <w:t xml:space="preserve"> </w:t>
      </w:r>
      <w:r>
        <w:t>debido</w:t>
      </w:r>
      <w:r>
        <w:rPr>
          <w:spacing w:val="-4"/>
        </w:rPr>
        <w:t xml:space="preserve"> </w:t>
      </w:r>
      <w:r>
        <w:t>proceso</w:t>
      </w:r>
      <w:r>
        <w:rPr>
          <w:spacing w:val="-4"/>
        </w:rPr>
        <w:t xml:space="preserve"> </w:t>
      </w:r>
      <w:r>
        <w:t>de las</w:t>
      </w:r>
      <w:r>
        <w:rPr>
          <w:spacing w:val="-4"/>
        </w:rPr>
        <w:t xml:space="preserve"> </w:t>
      </w:r>
      <w:r>
        <w:t>víctimas.</w:t>
      </w:r>
      <w:r>
        <w:rPr>
          <w:spacing w:val="-4"/>
        </w:rPr>
        <w:t xml:space="preserve"> </w:t>
      </w:r>
      <w:r>
        <w:t>A</w:t>
      </w:r>
      <w:r>
        <w:rPr>
          <w:spacing w:val="-4"/>
        </w:rPr>
        <w:t xml:space="preserve"> </w:t>
      </w:r>
      <w:r>
        <w:t>este</w:t>
      </w:r>
      <w:r>
        <w:rPr>
          <w:spacing w:val="-4"/>
        </w:rPr>
        <w:t xml:space="preserve"> </w:t>
      </w:r>
      <w:r>
        <w:t>respecto,</w:t>
      </w:r>
      <w:r>
        <w:rPr>
          <w:spacing w:val="-4"/>
        </w:rPr>
        <w:t xml:space="preserve"> </w:t>
      </w:r>
      <w:r>
        <w:t>debe</w:t>
      </w:r>
      <w:r>
        <w:rPr>
          <w:spacing w:val="-4"/>
        </w:rPr>
        <w:t xml:space="preserve"> </w:t>
      </w:r>
      <w:r>
        <w:t>ser</w:t>
      </w:r>
      <w:r>
        <w:rPr>
          <w:spacing w:val="-4"/>
        </w:rPr>
        <w:t xml:space="preserve"> </w:t>
      </w:r>
      <w:r>
        <w:t>subrayado</w:t>
      </w:r>
      <w:r>
        <w:rPr>
          <w:spacing w:val="-4"/>
        </w:rPr>
        <w:t xml:space="preserve"> </w:t>
      </w:r>
      <w:r>
        <w:t>que</w:t>
      </w:r>
      <w:r>
        <w:rPr>
          <w:spacing w:val="-4"/>
        </w:rPr>
        <w:t xml:space="preserve"> </w:t>
      </w:r>
      <w:r>
        <w:t>esta</w:t>
      </w:r>
      <w:r>
        <w:rPr>
          <w:spacing w:val="-4"/>
        </w:rPr>
        <w:t xml:space="preserve"> </w:t>
      </w:r>
      <w:r>
        <w:t>última</w:t>
      </w:r>
      <w:r>
        <w:rPr>
          <w:spacing w:val="-4"/>
        </w:rPr>
        <w:t xml:space="preserve"> </w:t>
      </w:r>
      <w:r>
        <w:t>garantía</w:t>
      </w:r>
      <w:r>
        <w:rPr>
          <w:spacing w:val="-4"/>
        </w:rPr>
        <w:t xml:space="preserve"> </w:t>
      </w:r>
      <w:r>
        <w:t>no</w:t>
      </w:r>
      <w:r>
        <w:rPr>
          <w:spacing w:val="-4"/>
        </w:rPr>
        <w:t xml:space="preserve"> </w:t>
      </w:r>
      <w:r>
        <w:t>solo</w:t>
      </w:r>
      <w:r>
        <w:rPr>
          <w:spacing w:val="-4"/>
        </w:rPr>
        <w:t xml:space="preserve"> </w:t>
      </w:r>
      <w:r>
        <w:t>se</w:t>
      </w:r>
      <w:r>
        <w:rPr>
          <w:spacing w:val="-4"/>
        </w:rPr>
        <w:t xml:space="preserve"> </w:t>
      </w:r>
      <w:r>
        <w:t>encuentra instituida</w:t>
      </w:r>
      <w:r>
        <w:rPr>
          <w:spacing w:val="-2"/>
        </w:rPr>
        <w:t xml:space="preserve"> </w:t>
      </w:r>
      <w:r>
        <w:t>a</w:t>
      </w:r>
      <w:r>
        <w:rPr>
          <w:spacing w:val="-2"/>
        </w:rPr>
        <w:t xml:space="preserve"> </w:t>
      </w:r>
      <w:r>
        <w:t>favor</w:t>
      </w:r>
      <w:r>
        <w:rPr>
          <w:spacing w:val="-2"/>
        </w:rPr>
        <w:t xml:space="preserve"> </w:t>
      </w:r>
      <w:r>
        <w:t>de</w:t>
      </w:r>
      <w:r>
        <w:rPr>
          <w:spacing w:val="-2"/>
        </w:rPr>
        <w:t xml:space="preserve"> </w:t>
      </w:r>
      <w:r>
        <w:t>la</w:t>
      </w:r>
      <w:r>
        <w:rPr>
          <w:spacing w:val="-2"/>
        </w:rPr>
        <w:t xml:space="preserve"> </w:t>
      </w:r>
      <w:r>
        <w:t>persona</w:t>
      </w:r>
      <w:r>
        <w:rPr>
          <w:spacing w:val="-2"/>
        </w:rPr>
        <w:t xml:space="preserve"> </w:t>
      </w:r>
      <w:r>
        <w:t>investigada</w:t>
      </w:r>
      <w:r>
        <w:rPr>
          <w:spacing w:val="-2"/>
        </w:rPr>
        <w:t xml:space="preserve"> </w:t>
      </w:r>
      <w:r>
        <w:t>y</w:t>
      </w:r>
      <w:r>
        <w:rPr>
          <w:spacing w:val="-1"/>
        </w:rPr>
        <w:t xml:space="preserve"> </w:t>
      </w:r>
      <w:r>
        <w:t>juzgada,</w:t>
      </w:r>
      <w:r>
        <w:rPr>
          <w:spacing w:val="-2"/>
        </w:rPr>
        <w:t xml:space="preserve"> </w:t>
      </w:r>
      <w:r>
        <w:t>sino</w:t>
      </w:r>
      <w:r>
        <w:rPr>
          <w:spacing w:val="-1"/>
        </w:rPr>
        <w:t xml:space="preserve"> </w:t>
      </w:r>
      <w:r>
        <w:t>también</w:t>
      </w:r>
      <w:r>
        <w:rPr>
          <w:spacing w:val="-1"/>
        </w:rPr>
        <w:t xml:space="preserve"> </w:t>
      </w:r>
      <w:r>
        <w:t>de</w:t>
      </w:r>
      <w:r>
        <w:rPr>
          <w:spacing w:val="-2"/>
        </w:rPr>
        <w:t xml:space="preserve"> </w:t>
      </w:r>
      <w:r>
        <w:t>los</w:t>
      </w:r>
      <w:r>
        <w:rPr>
          <w:spacing w:val="-2"/>
        </w:rPr>
        <w:t xml:space="preserve"> </w:t>
      </w:r>
      <w:r>
        <w:t>perjudicados</w:t>
      </w:r>
      <w:r>
        <w:rPr>
          <w:spacing w:val="-2"/>
        </w:rPr>
        <w:t xml:space="preserve"> </w:t>
      </w:r>
      <w:r>
        <w:t>con</w:t>
      </w:r>
      <w:r>
        <w:rPr>
          <w:spacing w:val="-1"/>
        </w:rPr>
        <w:t xml:space="preserve"> </w:t>
      </w:r>
      <w:r>
        <w:t>el injusto. A las víctimas, junto al derecho al debido proceso, debe garantizárseles, además, el acceso a un recurso judicial efectivo, como mecanismo para la obtención de sus derechos a la verdad, la justicia y a la reparación.</w:t>
      </w:r>
      <w:r w:rsidR="00ED6C2F">
        <w:rPr>
          <w:rStyle w:val="Refdenotaalpie"/>
        </w:rPr>
        <w:footnoteReference w:id="835"/>
      </w:r>
      <w:r w:rsidR="00ED6C2F">
        <w:t xml:space="preserve"> </w:t>
      </w:r>
    </w:p>
    <w:p w:rsidR="003804AC" w:rsidRDefault="00AF18A5" w:rsidP="00ED6C2F">
      <w:r>
        <w:t xml:space="preserve">Si bien el uso abusivo de la competencia de la Justicia Penal Militar encuentra como límite la intervención de la Corte Constitucional, cuando </w:t>
      </w:r>
      <w:r>
        <w:lastRenderedPageBreak/>
        <w:t>el tribunal finalmente interviene y envía los</w:t>
      </w:r>
      <w:r>
        <w:rPr>
          <w:spacing w:val="-2"/>
        </w:rPr>
        <w:t xml:space="preserve"> </w:t>
      </w:r>
      <w:r>
        <w:t>casos</w:t>
      </w:r>
      <w:r>
        <w:rPr>
          <w:spacing w:val="-2"/>
        </w:rPr>
        <w:t xml:space="preserve"> </w:t>
      </w:r>
      <w:r>
        <w:t>a</w:t>
      </w:r>
      <w:r>
        <w:rPr>
          <w:spacing w:val="-2"/>
        </w:rPr>
        <w:t xml:space="preserve"> </w:t>
      </w:r>
      <w:r>
        <w:t>la</w:t>
      </w:r>
      <w:r>
        <w:rPr>
          <w:spacing w:val="-2"/>
        </w:rPr>
        <w:t xml:space="preserve"> </w:t>
      </w:r>
      <w:r>
        <w:t>Justicia</w:t>
      </w:r>
      <w:r>
        <w:rPr>
          <w:spacing w:val="-2"/>
        </w:rPr>
        <w:t xml:space="preserve"> </w:t>
      </w:r>
      <w:r>
        <w:t>Ordinaria,</w:t>
      </w:r>
      <w:r>
        <w:rPr>
          <w:spacing w:val="-2"/>
        </w:rPr>
        <w:t xml:space="preserve"> </w:t>
      </w:r>
      <w:r>
        <w:t>el</w:t>
      </w:r>
      <w:r>
        <w:rPr>
          <w:spacing w:val="-2"/>
        </w:rPr>
        <w:t xml:space="preserve"> </w:t>
      </w:r>
      <w:r>
        <w:t>caso</w:t>
      </w:r>
      <w:r>
        <w:rPr>
          <w:spacing w:val="-2"/>
        </w:rPr>
        <w:t xml:space="preserve"> </w:t>
      </w:r>
      <w:r>
        <w:t>se</w:t>
      </w:r>
      <w:r>
        <w:rPr>
          <w:spacing w:val="-2"/>
        </w:rPr>
        <w:t xml:space="preserve"> </w:t>
      </w:r>
      <w:r>
        <w:t>ha</w:t>
      </w:r>
      <w:r>
        <w:rPr>
          <w:spacing w:val="-2"/>
        </w:rPr>
        <w:t xml:space="preserve"> </w:t>
      </w:r>
      <w:r>
        <w:t>retrasado</w:t>
      </w:r>
      <w:r>
        <w:rPr>
          <w:spacing w:val="-2"/>
        </w:rPr>
        <w:t xml:space="preserve"> </w:t>
      </w:r>
      <w:r>
        <w:t>o</w:t>
      </w:r>
      <w:r>
        <w:rPr>
          <w:spacing w:val="-2"/>
        </w:rPr>
        <w:t xml:space="preserve"> </w:t>
      </w:r>
      <w:r>
        <w:t>ya</w:t>
      </w:r>
      <w:r>
        <w:rPr>
          <w:spacing w:val="-2"/>
        </w:rPr>
        <w:t xml:space="preserve"> </w:t>
      </w:r>
      <w:r>
        <w:t>se</w:t>
      </w:r>
      <w:r>
        <w:rPr>
          <w:spacing w:val="-2"/>
        </w:rPr>
        <w:t xml:space="preserve"> </w:t>
      </w:r>
      <w:r>
        <w:t>ha</w:t>
      </w:r>
      <w:r>
        <w:rPr>
          <w:spacing w:val="-2"/>
        </w:rPr>
        <w:t xml:space="preserve"> </w:t>
      </w:r>
      <w:r>
        <w:t>impedido</w:t>
      </w:r>
      <w:r>
        <w:rPr>
          <w:spacing w:val="-2"/>
        </w:rPr>
        <w:t xml:space="preserve"> </w:t>
      </w:r>
      <w:r>
        <w:t>la</w:t>
      </w:r>
      <w:r>
        <w:rPr>
          <w:spacing w:val="-2"/>
        </w:rPr>
        <w:t xml:space="preserve"> </w:t>
      </w:r>
      <w:r>
        <w:t>aplicación</w:t>
      </w:r>
      <w:r>
        <w:rPr>
          <w:spacing w:val="-2"/>
        </w:rPr>
        <w:t xml:space="preserve"> </w:t>
      </w:r>
      <w:r>
        <w:t>de justicia</w:t>
      </w:r>
      <w:r w:rsidR="00ED6C2F">
        <w:rPr>
          <w:rStyle w:val="Refdenotaalpie"/>
        </w:rPr>
        <w:footnoteReference w:id="836"/>
      </w:r>
      <w:r>
        <w:t>. Adicionalmente, los abogados que han litigado casos de responsabilidad de las Fuerzas Armadas y exigido condiciones de independencia, imparcialidad y debido proceso sobre violaciones de derechos humanos o infracciones al DIH han sido señalados de hacer parte de una estrategia de «guerra jurídica» contra las Fuerzas Armadas. Este señalamiento ha estigmatizado la labor legítima de defensa de derechos humanos como si fuera ilegal o sirviera a fines ilegales, ha puesto en duda la seriedad y veracidad de las denuncias que adelantan y ha favorecido de esta manera la impunidad y el negacionismo de los hechos</w:t>
      </w:r>
      <w:r w:rsidR="00ED6C2F">
        <w:rPr>
          <w:rStyle w:val="Refdenotaalpie"/>
        </w:rPr>
        <w:footnoteReference w:id="837"/>
      </w:r>
      <w:r>
        <w:t>.</w:t>
      </w:r>
    </w:p>
    <w:p w:rsidR="003804AC" w:rsidRDefault="00AF18A5" w:rsidP="00ED6C2F">
      <w:r>
        <w:t>Toda</w:t>
      </w:r>
      <w:r>
        <w:rPr>
          <w:spacing w:val="-1"/>
        </w:rPr>
        <w:t xml:space="preserve"> </w:t>
      </w:r>
      <w:r>
        <w:t>esta</w:t>
      </w:r>
      <w:r>
        <w:rPr>
          <w:spacing w:val="-2"/>
        </w:rPr>
        <w:t xml:space="preserve"> </w:t>
      </w:r>
      <w:r>
        <w:t>evolución</w:t>
      </w:r>
      <w:r>
        <w:rPr>
          <w:spacing w:val="-2"/>
        </w:rPr>
        <w:t xml:space="preserve"> </w:t>
      </w:r>
      <w:r>
        <w:t>muestra</w:t>
      </w:r>
      <w:r>
        <w:rPr>
          <w:spacing w:val="-2"/>
        </w:rPr>
        <w:t xml:space="preserve"> </w:t>
      </w:r>
      <w:r>
        <w:t>la</w:t>
      </w:r>
      <w:r>
        <w:rPr>
          <w:spacing w:val="-2"/>
        </w:rPr>
        <w:t xml:space="preserve"> </w:t>
      </w:r>
      <w:r>
        <w:t>tendencia</w:t>
      </w:r>
      <w:r>
        <w:rPr>
          <w:spacing w:val="-1"/>
        </w:rPr>
        <w:t xml:space="preserve"> </w:t>
      </w:r>
      <w:r>
        <w:t>a</w:t>
      </w:r>
      <w:r>
        <w:rPr>
          <w:spacing w:val="-2"/>
        </w:rPr>
        <w:t xml:space="preserve"> </w:t>
      </w:r>
      <w:r>
        <w:t>militarizar</w:t>
      </w:r>
      <w:r>
        <w:rPr>
          <w:spacing w:val="-1"/>
        </w:rPr>
        <w:t xml:space="preserve"> </w:t>
      </w:r>
      <w:r>
        <w:t>la</w:t>
      </w:r>
      <w:r>
        <w:rPr>
          <w:spacing w:val="-1"/>
        </w:rPr>
        <w:t xml:space="preserve"> </w:t>
      </w:r>
      <w:r>
        <w:t>justicia</w:t>
      </w:r>
      <w:r>
        <w:rPr>
          <w:spacing w:val="-1"/>
        </w:rPr>
        <w:t xml:space="preserve"> </w:t>
      </w:r>
      <w:r>
        <w:t>en</w:t>
      </w:r>
      <w:r>
        <w:rPr>
          <w:spacing w:val="-2"/>
        </w:rPr>
        <w:t xml:space="preserve"> </w:t>
      </w:r>
      <w:r>
        <w:t>diferentes</w:t>
      </w:r>
      <w:r>
        <w:rPr>
          <w:spacing w:val="-2"/>
        </w:rPr>
        <w:t xml:space="preserve"> </w:t>
      </w:r>
      <w:r>
        <w:t>momentos históricos y cómo, todavía hoy y a pesar de la jurisprudencia expedida por la Corte Constitucional,</w:t>
      </w:r>
      <w:r>
        <w:rPr>
          <w:spacing w:val="4"/>
        </w:rPr>
        <w:t xml:space="preserve"> </w:t>
      </w:r>
      <w:r>
        <w:t>se</w:t>
      </w:r>
      <w:r>
        <w:rPr>
          <w:spacing w:val="4"/>
        </w:rPr>
        <w:t xml:space="preserve"> </w:t>
      </w:r>
      <w:r>
        <w:t>siguen</w:t>
      </w:r>
      <w:r>
        <w:rPr>
          <w:spacing w:val="2"/>
        </w:rPr>
        <w:t xml:space="preserve"> </w:t>
      </w:r>
      <w:r>
        <w:t>produciendo</w:t>
      </w:r>
      <w:r>
        <w:rPr>
          <w:spacing w:val="5"/>
        </w:rPr>
        <w:t xml:space="preserve"> </w:t>
      </w:r>
      <w:r>
        <w:t>intentos</w:t>
      </w:r>
      <w:r>
        <w:rPr>
          <w:spacing w:val="4"/>
        </w:rPr>
        <w:t xml:space="preserve"> </w:t>
      </w:r>
      <w:r>
        <w:t>de</w:t>
      </w:r>
      <w:r>
        <w:rPr>
          <w:spacing w:val="4"/>
        </w:rPr>
        <w:t xml:space="preserve"> </w:t>
      </w:r>
      <w:r>
        <w:t>generar</w:t>
      </w:r>
      <w:r>
        <w:rPr>
          <w:spacing w:val="4"/>
        </w:rPr>
        <w:t xml:space="preserve"> </w:t>
      </w:r>
      <w:r>
        <w:t>controversia</w:t>
      </w:r>
      <w:r>
        <w:rPr>
          <w:spacing w:val="5"/>
        </w:rPr>
        <w:t xml:space="preserve"> </w:t>
      </w:r>
      <w:r>
        <w:t>en</w:t>
      </w:r>
      <w:r>
        <w:rPr>
          <w:spacing w:val="4"/>
        </w:rPr>
        <w:t xml:space="preserve"> </w:t>
      </w:r>
      <w:r>
        <w:t>la</w:t>
      </w:r>
      <w:r>
        <w:rPr>
          <w:spacing w:val="4"/>
        </w:rPr>
        <w:t xml:space="preserve"> </w:t>
      </w:r>
      <w:r>
        <w:t>competencia</w:t>
      </w:r>
      <w:r>
        <w:rPr>
          <w:spacing w:val="5"/>
        </w:rPr>
        <w:t xml:space="preserve"> </w:t>
      </w:r>
      <w:r>
        <w:rPr>
          <w:spacing w:val="-10"/>
        </w:rPr>
        <w:t>y</w:t>
      </w:r>
      <w:bookmarkStart w:id="1030" w:name="_bookmark908"/>
      <w:bookmarkStart w:id="1031" w:name="_bookmark909"/>
      <w:bookmarkStart w:id="1032" w:name="_bookmark910"/>
      <w:bookmarkStart w:id="1033" w:name="_bookmark911"/>
      <w:bookmarkStart w:id="1034" w:name="_bookmark912"/>
      <w:bookmarkEnd w:id="1030"/>
      <w:bookmarkEnd w:id="1031"/>
      <w:bookmarkEnd w:id="1032"/>
      <w:bookmarkEnd w:id="1033"/>
      <w:bookmarkEnd w:id="1034"/>
      <w:r w:rsidR="00ED6C2F">
        <w:t xml:space="preserve"> </w:t>
      </w:r>
      <w:r>
        <w:t>pasar casos de graves violaciones de derechos humanos a la Justicia Penal Militar, hecho grave que la Comisión considera que no se puede seguir produciendo. El respeto por la independencia del poder judicial es una garantía básica de un sistema democrático.</w:t>
      </w:r>
    </w:p>
    <w:p w:rsidR="0011361F" w:rsidRDefault="00AF18A5" w:rsidP="004A6EF4">
      <w:pPr>
        <w:pStyle w:val="Ttulo3"/>
        <w:numPr>
          <w:ilvl w:val="1"/>
          <w:numId w:val="16"/>
        </w:numPr>
      </w:pPr>
      <w:bookmarkStart w:id="1035" w:name="7.6._Modelo_de_seguridad_y_relaciones_co"/>
      <w:bookmarkStart w:id="1036" w:name="_Toc112399622"/>
      <w:bookmarkEnd w:id="1035"/>
      <w:r>
        <w:t>Modelo</w:t>
      </w:r>
      <w:r>
        <w:rPr>
          <w:spacing w:val="-4"/>
        </w:rPr>
        <w:t xml:space="preserve"> </w:t>
      </w:r>
      <w:r>
        <w:t>de</w:t>
      </w:r>
      <w:r>
        <w:rPr>
          <w:spacing w:val="-2"/>
        </w:rPr>
        <w:t xml:space="preserve"> </w:t>
      </w:r>
      <w:r>
        <w:t>seguridad</w:t>
      </w:r>
      <w:r>
        <w:rPr>
          <w:spacing w:val="-2"/>
        </w:rPr>
        <w:t xml:space="preserve"> </w:t>
      </w:r>
      <w:r>
        <w:t>y</w:t>
      </w:r>
      <w:r>
        <w:rPr>
          <w:spacing w:val="-2"/>
        </w:rPr>
        <w:t xml:space="preserve"> </w:t>
      </w:r>
      <w:r>
        <w:t>relaciones</w:t>
      </w:r>
      <w:r>
        <w:rPr>
          <w:spacing w:val="-1"/>
        </w:rPr>
        <w:t xml:space="preserve"> </w:t>
      </w:r>
      <w:r>
        <w:t>con</w:t>
      </w:r>
      <w:r>
        <w:rPr>
          <w:spacing w:val="-3"/>
        </w:rPr>
        <w:t xml:space="preserve"> </w:t>
      </w:r>
      <w:r>
        <w:t>Estados</w:t>
      </w:r>
      <w:r>
        <w:rPr>
          <w:spacing w:val="-1"/>
        </w:rPr>
        <w:t xml:space="preserve"> </w:t>
      </w:r>
      <w:r>
        <w:rPr>
          <w:spacing w:val="-2"/>
        </w:rPr>
        <w:t>Unidos</w:t>
      </w:r>
      <w:bookmarkEnd w:id="1036"/>
    </w:p>
    <w:p w:rsidR="003804AC" w:rsidRDefault="00AF18A5" w:rsidP="00ED6C2F">
      <w:r>
        <w:t>Las</w:t>
      </w:r>
      <w:r>
        <w:rPr>
          <w:spacing w:val="-15"/>
        </w:rPr>
        <w:t xml:space="preserve"> </w:t>
      </w:r>
      <w:r>
        <w:t>relaciones</w:t>
      </w:r>
      <w:r>
        <w:rPr>
          <w:spacing w:val="-15"/>
        </w:rPr>
        <w:t xml:space="preserve"> </w:t>
      </w:r>
      <w:r>
        <w:t>internacionales</w:t>
      </w:r>
      <w:r>
        <w:rPr>
          <w:spacing w:val="-15"/>
        </w:rPr>
        <w:t xml:space="preserve"> </w:t>
      </w:r>
      <w:r>
        <w:t>con</w:t>
      </w:r>
      <w:r>
        <w:rPr>
          <w:spacing w:val="-15"/>
        </w:rPr>
        <w:t xml:space="preserve"> </w:t>
      </w:r>
      <w:r>
        <w:t>Estados</w:t>
      </w:r>
      <w:r>
        <w:rPr>
          <w:spacing w:val="-15"/>
        </w:rPr>
        <w:t xml:space="preserve"> </w:t>
      </w:r>
      <w:r>
        <w:t>Unidos</w:t>
      </w:r>
      <w:r>
        <w:rPr>
          <w:spacing w:val="-15"/>
        </w:rPr>
        <w:t xml:space="preserve"> </w:t>
      </w:r>
      <w:r>
        <w:t>han</w:t>
      </w:r>
      <w:r>
        <w:rPr>
          <w:spacing w:val="-15"/>
        </w:rPr>
        <w:t xml:space="preserve"> </w:t>
      </w:r>
      <w:r>
        <w:t>sido</w:t>
      </w:r>
      <w:r>
        <w:rPr>
          <w:spacing w:val="-15"/>
        </w:rPr>
        <w:t xml:space="preserve"> </w:t>
      </w:r>
      <w:r>
        <w:t>fundamentales</w:t>
      </w:r>
      <w:r>
        <w:rPr>
          <w:spacing w:val="-15"/>
        </w:rPr>
        <w:t xml:space="preserve"> </w:t>
      </w:r>
      <w:r>
        <w:t>en</w:t>
      </w:r>
      <w:r>
        <w:rPr>
          <w:spacing w:val="-15"/>
        </w:rPr>
        <w:t xml:space="preserve"> </w:t>
      </w:r>
      <w:r>
        <w:t>la</w:t>
      </w:r>
      <w:r>
        <w:rPr>
          <w:spacing w:val="-15"/>
        </w:rPr>
        <w:t xml:space="preserve"> </w:t>
      </w:r>
      <w:r>
        <w:t>construcción del modelo</w:t>
      </w:r>
      <w:r>
        <w:rPr>
          <w:spacing w:val="-1"/>
        </w:rPr>
        <w:t xml:space="preserve"> </w:t>
      </w:r>
      <w:r>
        <w:t>de seguridad imperante en Colombia hasta hoy. Colombia ha</w:t>
      </w:r>
      <w:r>
        <w:rPr>
          <w:spacing w:val="-1"/>
        </w:rPr>
        <w:t xml:space="preserve"> </w:t>
      </w:r>
      <w:r>
        <w:t>aceptado el</w:t>
      </w:r>
      <w:r>
        <w:rPr>
          <w:spacing w:val="-1"/>
        </w:rPr>
        <w:t xml:space="preserve"> </w:t>
      </w:r>
      <w:r>
        <w:t>marco discursivo</w:t>
      </w:r>
      <w:r>
        <w:rPr>
          <w:spacing w:val="-15"/>
        </w:rPr>
        <w:t xml:space="preserve"> </w:t>
      </w:r>
      <w:r>
        <w:t>que</w:t>
      </w:r>
      <w:r>
        <w:rPr>
          <w:spacing w:val="-15"/>
        </w:rPr>
        <w:t xml:space="preserve"> </w:t>
      </w:r>
      <w:r>
        <w:t>ha</w:t>
      </w:r>
      <w:r>
        <w:rPr>
          <w:spacing w:val="-15"/>
        </w:rPr>
        <w:t xml:space="preserve"> </w:t>
      </w:r>
      <w:r>
        <w:lastRenderedPageBreak/>
        <w:t>planteado</w:t>
      </w:r>
      <w:r>
        <w:rPr>
          <w:spacing w:val="-15"/>
        </w:rPr>
        <w:t xml:space="preserve"> </w:t>
      </w:r>
      <w:r>
        <w:t>el</w:t>
      </w:r>
      <w:r>
        <w:rPr>
          <w:spacing w:val="-15"/>
        </w:rPr>
        <w:t xml:space="preserve"> </w:t>
      </w:r>
      <w:r>
        <w:t>gobierno</w:t>
      </w:r>
      <w:r>
        <w:rPr>
          <w:spacing w:val="-14"/>
        </w:rPr>
        <w:t xml:space="preserve"> </w:t>
      </w:r>
      <w:r>
        <w:t>de</w:t>
      </w:r>
      <w:r>
        <w:rPr>
          <w:spacing w:val="-15"/>
        </w:rPr>
        <w:t xml:space="preserve"> </w:t>
      </w:r>
      <w:r>
        <w:t>Estados</w:t>
      </w:r>
      <w:r>
        <w:rPr>
          <w:spacing w:val="-15"/>
        </w:rPr>
        <w:t xml:space="preserve"> </w:t>
      </w:r>
      <w:r>
        <w:t>Unidos</w:t>
      </w:r>
      <w:r>
        <w:rPr>
          <w:spacing w:val="-15"/>
        </w:rPr>
        <w:t xml:space="preserve"> </w:t>
      </w:r>
      <w:r>
        <w:t>desde</w:t>
      </w:r>
      <w:r>
        <w:rPr>
          <w:spacing w:val="-15"/>
        </w:rPr>
        <w:t xml:space="preserve"> </w:t>
      </w:r>
      <w:r>
        <w:t>la</w:t>
      </w:r>
      <w:r>
        <w:rPr>
          <w:spacing w:val="-15"/>
        </w:rPr>
        <w:t xml:space="preserve"> </w:t>
      </w:r>
      <w:r>
        <w:t>década</w:t>
      </w:r>
      <w:r>
        <w:rPr>
          <w:spacing w:val="-14"/>
        </w:rPr>
        <w:t xml:space="preserve"> </w:t>
      </w:r>
      <w:r>
        <w:t>de</w:t>
      </w:r>
      <w:r>
        <w:rPr>
          <w:spacing w:val="-15"/>
        </w:rPr>
        <w:t xml:space="preserve"> </w:t>
      </w:r>
      <w:r>
        <w:t>1950:</w:t>
      </w:r>
      <w:r>
        <w:rPr>
          <w:spacing w:val="-15"/>
        </w:rPr>
        <w:t xml:space="preserve"> </w:t>
      </w:r>
      <w:r>
        <w:t>primero, la guerra contra el comunismo; segundo, la guerra contra las drogas, y tercero, la guerra contra el terrorismo. La alineación negociada con el discurso de Estados Unidos se ha traducido en cooperación para Colombia, incluso militar.</w:t>
      </w:r>
    </w:p>
    <w:p w:rsidR="003804AC" w:rsidRDefault="00AF18A5" w:rsidP="00ED6C2F">
      <w:r>
        <w:t>Colombia no ha adoptado una visión propia de sus problemas de seguridad, de paz y de control</w:t>
      </w:r>
      <w:r>
        <w:rPr>
          <w:spacing w:val="-10"/>
        </w:rPr>
        <w:t xml:space="preserve"> </w:t>
      </w:r>
      <w:r>
        <w:t>del</w:t>
      </w:r>
      <w:r>
        <w:rPr>
          <w:spacing w:val="-10"/>
        </w:rPr>
        <w:t xml:space="preserve"> </w:t>
      </w:r>
      <w:r>
        <w:t>orden</w:t>
      </w:r>
      <w:r>
        <w:rPr>
          <w:spacing w:val="-11"/>
        </w:rPr>
        <w:t xml:space="preserve"> </w:t>
      </w:r>
      <w:r>
        <w:t>público,</w:t>
      </w:r>
      <w:r>
        <w:rPr>
          <w:spacing w:val="-11"/>
        </w:rPr>
        <w:t xml:space="preserve"> </w:t>
      </w:r>
      <w:r>
        <w:t>pero</w:t>
      </w:r>
      <w:r>
        <w:rPr>
          <w:spacing w:val="-11"/>
        </w:rPr>
        <w:t xml:space="preserve"> </w:t>
      </w:r>
      <w:r>
        <w:t>tampoco</w:t>
      </w:r>
      <w:r>
        <w:rPr>
          <w:spacing w:val="-11"/>
        </w:rPr>
        <w:t xml:space="preserve"> </w:t>
      </w:r>
      <w:r>
        <w:t>ha</w:t>
      </w:r>
      <w:r>
        <w:rPr>
          <w:spacing w:val="-10"/>
        </w:rPr>
        <w:t xml:space="preserve"> </w:t>
      </w:r>
      <w:r>
        <w:t>sido</w:t>
      </w:r>
      <w:r>
        <w:rPr>
          <w:spacing w:val="-11"/>
        </w:rPr>
        <w:t xml:space="preserve"> </w:t>
      </w:r>
      <w:r>
        <w:t>únicamente</w:t>
      </w:r>
      <w:r>
        <w:rPr>
          <w:spacing w:val="-10"/>
        </w:rPr>
        <w:t xml:space="preserve"> </w:t>
      </w:r>
      <w:r>
        <w:t>por</w:t>
      </w:r>
      <w:r>
        <w:rPr>
          <w:spacing w:val="-10"/>
        </w:rPr>
        <w:t xml:space="preserve"> </w:t>
      </w:r>
      <w:r>
        <w:t>subordinación.</w:t>
      </w:r>
      <w:r>
        <w:rPr>
          <w:spacing w:val="-11"/>
        </w:rPr>
        <w:t xml:space="preserve"> </w:t>
      </w:r>
      <w:r>
        <w:t>Los</w:t>
      </w:r>
      <w:r>
        <w:rPr>
          <w:spacing w:val="-10"/>
        </w:rPr>
        <w:t xml:space="preserve"> </w:t>
      </w:r>
      <w:r>
        <w:t>modelos contrainsurgente, antidrogas y antiterrorista han</w:t>
      </w:r>
      <w:r>
        <w:rPr>
          <w:spacing w:val="-1"/>
        </w:rPr>
        <w:t xml:space="preserve"> </w:t>
      </w:r>
      <w:r>
        <w:t>resultado funcionales a una mentalidad que se ha dirigido a la guerra, no a la apertura política y democrática ni a las reformas sociales. Así</w:t>
      </w:r>
      <w:r>
        <w:rPr>
          <w:spacing w:val="-7"/>
        </w:rPr>
        <w:t xml:space="preserve"> </w:t>
      </w:r>
      <w:r>
        <w:t>mismo,</w:t>
      </w:r>
      <w:r>
        <w:rPr>
          <w:spacing w:val="-9"/>
        </w:rPr>
        <w:t xml:space="preserve"> </w:t>
      </w:r>
      <w:r>
        <w:t>Estados</w:t>
      </w:r>
      <w:r>
        <w:rPr>
          <w:spacing w:val="-7"/>
        </w:rPr>
        <w:t xml:space="preserve"> </w:t>
      </w:r>
      <w:r>
        <w:t>Unidos</w:t>
      </w:r>
      <w:r>
        <w:rPr>
          <w:spacing w:val="-7"/>
        </w:rPr>
        <w:t xml:space="preserve"> </w:t>
      </w:r>
      <w:r>
        <w:t>ha</w:t>
      </w:r>
      <w:r>
        <w:rPr>
          <w:spacing w:val="-7"/>
        </w:rPr>
        <w:t xml:space="preserve"> </w:t>
      </w:r>
      <w:r>
        <w:t>acompañado</w:t>
      </w:r>
      <w:r>
        <w:rPr>
          <w:spacing w:val="-7"/>
        </w:rPr>
        <w:t xml:space="preserve"> </w:t>
      </w:r>
      <w:r>
        <w:t>y</w:t>
      </w:r>
      <w:r>
        <w:rPr>
          <w:spacing w:val="-7"/>
        </w:rPr>
        <w:t xml:space="preserve"> </w:t>
      </w:r>
      <w:r>
        <w:t>apoyado</w:t>
      </w:r>
      <w:r>
        <w:rPr>
          <w:spacing w:val="-7"/>
        </w:rPr>
        <w:t xml:space="preserve"> </w:t>
      </w:r>
      <w:r>
        <w:t>a</w:t>
      </w:r>
      <w:r>
        <w:rPr>
          <w:spacing w:val="-7"/>
        </w:rPr>
        <w:t xml:space="preserve"> </w:t>
      </w:r>
      <w:r>
        <w:t>Colombia</w:t>
      </w:r>
      <w:r>
        <w:rPr>
          <w:spacing w:val="-7"/>
        </w:rPr>
        <w:t xml:space="preserve"> </w:t>
      </w:r>
      <w:r>
        <w:t>en</w:t>
      </w:r>
      <w:r>
        <w:rPr>
          <w:spacing w:val="-8"/>
        </w:rPr>
        <w:t xml:space="preserve"> </w:t>
      </w:r>
      <w:r>
        <w:t>la</w:t>
      </w:r>
      <w:r>
        <w:rPr>
          <w:spacing w:val="-8"/>
        </w:rPr>
        <w:t xml:space="preserve"> </w:t>
      </w:r>
      <w:r>
        <w:t>búsqueda</w:t>
      </w:r>
      <w:r>
        <w:rPr>
          <w:spacing w:val="-7"/>
        </w:rPr>
        <w:t xml:space="preserve"> </w:t>
      </w:r>
      <w:r>
        <w:t>de</w:t>
      </w:r>
      <w:r>
        <w:rPr>
          <w:spacing w:val="-8"/>
        </w:rPr>
        <w:t xml:space="preserve"> </w:t>
      </w:r>
      <w:r>
        <w:t>la</w:t>
      </w:r>
      <w:r>
        <w:rPr>
          <w:spacing w:val="-7"/>
        </w:rPr>
        <w:t xml:space="preserve"> </w:t>
      </w:r>
      <w:r>
        <w:t>paz, especialmente</w:t>
      </w:r>
      <w:r>
        <w:rPr>
          <w:spacing w:val="-9"/>
        </w:rPr>
        <w:t xml:space="preserve"> </w:t>
      </w:r>
      <w:r>
        <w:t>en</w:t>
      </w:r>
      <w:r>
        <w:rPr>
          <w:spacing w:val="-9"/>
        </w:rPr>
        <w:t xml:space="preserve"> </w:t>
      </w:r>
      <w:r>
        <w:t>el</w:t>
      </w:r>
      <w:r>
        <w:rPr>
          <w:spacing w:val="-9"/>
        </w:rPr>
        <w:t xml:space="preserve"> </w:t>
      </w:r>
      <w:r>
        <w:t>proceso</w:t>
      </w:r>
      <w:r>
        <w:rPr>
          <w:spacing w:val="-9"/>
        </w:rPr>
        <w:t xml:space="preserve"> </w:t>
      </w:r>
      <w:r>
        <w:t>de</w:t>
      </w:r>
      <w:r>
        <w:rPr>
          <w:spacing w:val="-9"/>
        </w:rPr>
        <w:t xml:space="preserve"> </w:t>
      </w:r>
      <w:r>
        <w:t>negociación</w:t>
      </w:r>
      <w:r>
        <w:rPr>
          <w:spacing w:val="-9"/>
        </w:rPr>
        <w:t xml:space="preserve"> </w:t>
      </w:r>
      <w:r>
        <w:t>que</w:t>
      </w:r>
      <w:r>
        <w:rPr>
          <w:spacing w:val="-9"/>
        </w:rPr>
        <w:t xml:space="preserve"> </w:t>
      </w:r>
      <w:r>
        <w:t>condujo</w:t>
      </w:r>
      <w:r>
        <w:rPr>
          <w:spacing w:val="-9"/>
        </w:rPr>
        <w:t xml:space="preserve"> </w:t>
      </w:r>
      <w:r>
        <w:t>a</w:t>
      </w:r>
      <w:r>
        <w:rPr>
          <w:spacing w:val="-9"/>
        </w:rPr>
        <w:t xml:space="preserve"> </w:t>
      </w:r>
      <w:r>
        <w:t>la</w:t>
      </w:r>
      <w:r>
        <w:rPr>
          <w:spacing w:val="-9"/>
        </w:rPr>
        <w:t xml:space="preserve"> </w:t>
      </w:r>
      <w:r>
        <w:t>firma</w:t>
      </w:r>
      <w:r>
        <w:rPr>
          <w:spacing w:val="-9"/>
        </w:rPr>
        <w:t xml:space="preserve"> </w:t>
      </w:r>
      <w:r>
        <w:t>de</w:t>
      </w:r>
      <w:r>
        <w:rPr>
          <w:spacing w:val="-9"/>
        </w:rPr>
        <w:t xml:space="preserve"> </w:t>
      </w:r>
      <w:r>
        <w:t>paz</w:t>
      </w:r>
      <w:r>
        <w:rPr>
          <w:spacing w:val="-12"/>
        </w:rPr>
        <w:t xml:space="preserve"> </w:t>
      </w:r>
      <w:r>
        <w:t>con</w:t>
      </w:r>
      <w:r>
        <w:rPr>
          <w:spacing w:val="-9"/>
        </w:rPr>
        <w:t xml:space="preserve"> </w:t>
      </w:r>
      <w:r>
        <w:t>las</w:t>
      </w:r>
      <w:r>
        <w:rPr>
          <w:spacing w:val="-9"/>
        </w:rPr>
        <w:t xml:space="preserve"> </w:t>
      </w:r>
      <w:r>
        <w:t>FARC-EP. Son cinco los</w:t>
      </w:r>
      <w:r>
        <w:rPr>
          <w:spacing w:val="32"/>
        </w:rPr>
        <w:t xml:space="preserve"> </w:t>
      </w:r>
      <w:r>
        <w:t>aspectos centrales en los que esta</w:t>
      </w:r>
      <w:r>
        <w:rPr>
          <w:spacing w:val="32"/>
        </w:rPr>
        <w:t xml:space="preserve"> </w:t>
      </w:r>
      <w:r>
        <w:t>injerencia negociada se</w:t>
      </w:r>
      <w:r>
        <w:rPr>
          <w:spacing w:val="32"/>
        </w:rPr>
        <w:t xml:space="preserve"> </w:t>
      </w:r>
      <w:r>
        <w:t>ha</w:t>
      </w:r>
      <w:r>
        <w:rPr>
          <w:spacing w:val="32"/>
        </w:rPr>
        <w:t xml:space="preserve"> </w:t>
      </w:r>
      <w:r>
        <w:t>dado: 1)</w:t>
      </w:r>
      <w:r>
        <w:rPr>
          <w:spacing w:val="32"/>
        </w:rPr>
        <w:t xml:space="preserve"> </w:t>
      </w:r>
      <w:r>
        <w:t>la doctrina</w:t>
      </w:r>
      <w:r>
        <w:rPr>
          <w:spacing w:val="40"/>
        </w:rPr>
        <w:t xml:space="preserve"> </w:t>
      </w:r>
      <w:r>
        <w:t>contrainsurgente</w:t>
      </w:r>
      <w:r>
        <w:rPr>
          <w:spacing w:val="40"/>
        </w:rPr>
        <w:t xml:space="preserve"> </w:t>
      </w:r>
      <w:r>
        <w:t>y</w:t>
      </w:r>
      <w:r>
        <w:rPr>
          <w:spacing w:val="40"/>
        </w:rPr>
        <w:t xml:space="preserve"> </w:t>
      </w:r>
      <w:r>
        <w:t>sus</w:t>
      </w:r>
      <w:r>
        <w:rPr>
          <w:spacing w:val="40"/>
        </w:rPr>
        <w:t xml:space="preserve"> </w:t>
      </w:r>
      <w:r>
        <w:t>diferentes</w:t>
      </w:r>
      <w:r>
        <w:rPr>
          <w:spacing w:val="40"/>
        </w:rPr>
        <w:t xml:space="preserve"> </w:t>
      </w:r>
      <w:r>
        <w:t>evoluciones,</w:t>
      </w:r>
      <w:r>
        <w:rPr>
          <w:spacing w:val="40"/>
        </w:rPr>
        <w:t xml:space="preserve"> </w:t>
      </w:r>
      <w:r>
        <w:t>que</w:t>
      </w:r>
      <w:r>
        <w:rPr>
          <w:spacing w:val="40"/>
        </w:rPr>
        <w:t xml:space="preserve"> </w:t>
      </w:r>
      <w:r>
        <w:t>ha</w:t>
      </w:r>
      <w:r>
        <w:rPr>
          <w:spacing w:val="40"/>
        </w:rPr>
        <w:t xml:space="preserve"> </w:t>
      </w:r>
      <w:r>
        <w:t>tenido</w:t>
      </w:r>
      <w:r>
        <w:rPr>
          <w:spacing w:val="40"/>
        </w:rPr>
        <w:t xml:space="preserve"> </w:t>
      </w:r>
      <w:r>
        <w:t>como</w:t>
      </w:r>
      <w:r>
        <w:rPr>
          <w:spacing w:val="40"/>
        </w:rPr>
        <w:t xml:space="preserve"> </w:t>
      </w:r>
      <w:r>
        <w:t>centro</w:t>
      </w:r>
      <w:r>
        <w:rPr>
          <w:spacing w:val="40"/>
        </w:rPr>
        <w:t xml:space="preserve"> </w:t>
      </w:r>
      <w:r>
        <w:t>la</w:t>
      </w:r>
      <w:r>
        <w:rPr>
          <w:spacing w:val="80"/>
        </w:rPr>
        <w:t xml:space="preserve"> </w:t>
      </w:r>
      <w:r>
        <w:t>construcción</w:t>
      </w:r>
      <w:r>
        <w:rPr>
          <w:spacing w:val="25"/>
        </w:rPr>
        <w:t xml:space="preserve"> </w:t>
      </w:r>
      <w:r>
        <w:t>de</w:t>
      </w:r>
      <w:r>
        <w:rPr>
          <w:spacing w:val="27"/>
        </w:rPr>
        <w:t xml:space="preserve"> </w:t>
      </w:r>
      <w:r>
        <w:t>la</w:t>
      </w:r>
      <w:r>
        <w:rPr>
          <w:spacing w:val="26"/>
        </w:rPr>
        <w:t xml:space="preserve"> </w:t>
      </w:r>
      <w:r>
        <w:t>idea</w:t>
      </w:r>
      <w:r>
        <w:rPr>
          <w:spacing w:val="26"/>
        </w:rPr>
        <w:t xml:space="preserve"> </w:t>
      </w:r>
      <w:r>
        <w:t>del</w:t>
      </w:r>
      <w:r>
        <w:rPr>
          <w:spacing w:val="27"/>
        </w:rPr>
        <w:t xml:space="preserve"> </w:t>
      </w:r>
      <w:r>
        <w:t>enemigo</w:t>
      </w:r>
      <w:r>
        <w:rPr>
          <w:spacing w:val="25"/>
        </w:rPr>
        <w:t xml:space="preserve"> </w:t>
      </w:r>
      <w:r>
        <w:t>interno;</w:t>
      </w:r>
      <w:r>
        <w:rPr>
          <w:spacing w:val="27"/>
        </w:rPr>
        <w:t xml:space="preserve"> </w:t>
      </w:r>
      <w:r>
        <w:t>2)</w:t>
      </w:r>
      <w:r>
        <w:rPr>
          <w:spacing w:val="26"/>
        </w:rPr>
        <w:t xml:space="preserve"> </w:t>
      </w:r>
      <w:r>
        <w:t>la</w:t>
      </w:r>
      <w:r>
        <w:rPr>
          <w:spacing w:val="27"/>
        </w:rPr>
        <w:t xml:space="preserve"> </w:t>
      </w:r>
      <w:r>
        <w:t>privatización</w:t>
      </w:r>
      <w:r>
        <w:rPr>
          <w:spacing w:val="27"/>
        </w:rPr>
        <w:t xml:space="preserve"> </w:t>
      </w:r>
      <w:r>
        <w:t>de</w:t>
      </w:r>
      <w:r>
        <w:rPr>
          <w:spacing w:val="27"/>
        </w:rPr>
        <w:t xml:space="preserve"> </w:t>
      </w:r>
      <w:r>
        <w:t>la</w:t>
      </w:r>
      <w:r>
        <w:rPr>
          <w:spacing w:val="27"/>
        </w:rPr>
        <w:t xml:space="preserve"> </w:t>
      </w:r>
      <w:r>
        <w:t>seguridad,</w:t>
      </w:r>
      <w:r>
        <w:rPr>
          <w:spacing w:val="27"/>
        </w:rPr>
        <w:t xml:space="preserve"> </w:t>
      </w:r>
      <w:r>
        <w:t>primero recomendando</w:t>
      </w:r>
      <w:r>
        <w:rPr>
          <w:spacing w:val="-3"/>
        </w:rPr>
        <w:t xml:space="preserve"> </w:t>
      </w:r>
      <w:r>
        <w:t>la</w:t>
      </w:r>
      <w:r>
        <w:rPr>
          <w:spacing w:val="-3"/>
        </w:rPr>
        <w:t xml:space="preserve"> </w:t>
      </w:r>
      <w:r>
        <w:t>creación</w:t>
      </w:r>
      <w:r>
        <w:rPr>
          <w:spacing w:val="-3"/>
        </w:rPr>
        <w:t xml:space="preserve"> </w:t>
      </w:r>
      <w:r>
        <w:t>de</w:t>
      </w:r>
      <w:r>
        <w:rPr>
          <w:spacing w:val="-3"/>
        </w:rPr>
        <w:t xml:space="preserve"> </w:t>
      </w:r>
      <w:r>
        <w:t>grupos</w:t>
      </w:r>
      <w:r>
        <w:rPr>
          <w:spacing w:val="-2"/>
        </w:rPr>
        <w:t xml:space="preserve"> </w:t>
      </w:r>
      <w:r>
        <w:t>paramilitares</w:t>
      </w:r>
      <w:r>
        <w:rPr>
          <w:spacing w:val="-3"/>
        </w:rPr>
        <w:t xml:space="preserve"> </w:t>
      </w:r>
      <w:r>
        <w:t>y,</w:t>
      </w:r>
      <w:r>
        <w:rPr>
          <w:spacing w:val="-3"/>
        </w:rPr>
        <w:t xml:space="preserve"> </w:t>
      </w:r>
      <w:r>
        <w:t>luego,</w:t>
      </w:r>
      <w:r>
        <w:rPr>
          <w:spacing w:val="-3"/>
        </w:rPr>
        <w:t xml:space="preserve"> </w:t>
      </w:r>
      <w:r>
        <w:t>en</w:t>
      </w:r>
      <w:r>
        <w:rPr>
          <w:spacing w:val="-3"/>
        </w:rPr>
        <w:t xml:space="preserve"> </w:t>
      </w:r>
      <w:r>
        <w:t>menor</w:t>
      </w:r>
      <w:r>
        <w:rPr>
          <w:spacing w:val="-3"/>
        </w:rPr>
        <w:t xml:space="preserve"> </w:t>
      </w:r>
      <w:r>
        <w:t>medida,</w:t>
      </w:r>
      <w:r>
        <w:rPr>
          <w:spacing w:val="-3"/>
        </w:rPr>
        <w:t xml:space="preserve"> </w:t>
      </w:r>
      <w:r>
        <w:t>con</w:t>
      </w:r>
      <w:r>
        <w:rPr>
          <w:spacing w:val="-3"/>
        </w:rPr>
        <w:t xml:space="preserve"> </w:t>
      </w:r>
      <w:r>
        <w:t>el</w:t>
      </w:r>
      <w:r>
        <w:rPr>
          <w:spacing w:val="-3"/>
        </w:rPr>
        <w:t xml:space="preserve"> </w:t>
      </w:r>
      <w:r>
        <w:t>uso</w:t>
      </w:r>
      <w:r>
        <w:rPr>
          <w:spacing w:val="-3"/>
        </w:rPr>
        <w:t xml:space="preserve"> </w:t>
      </w:r>
      <w:r>
        <w:t>de compañías militares y de seguridad privada en el marco de la cooperación binacional; 3) la focalización</w:t>
      </w:r>
      <w:r>
        <w:rPr>
          <w:spacing w:val="80"/>
          <w:w w:val="150"/>
        </w:rPr>
        <w:t xml:space="preserve"> </w:t>
      </w:r>
      <w:r>
        <w:t>de</w:t>
      </w:r>
      <w:r>
        <w:rPr>
          <w:spacing w:val="80"/>
          <w:w w:val="150"/>
        </w:rPr>
        <w:t xml:space="preserve"> </w:t>
      </w:r>
      <w:r>
        <w:t>recursos</w:t>
      </w:r>
      <w:r>
        <w:rPr>
          <w:spacing w:val="80"/>
          <w:w w:val="150"/>
        </w:rPr>
        <w:t xml:space="preserve"> </w:t>
      </w:r>
      <w:r>
        <w:t>para</w:t>
      </w:r>
      <w:r>
        <w:rPr>
          <w:spacing w:val="80"/>
          <w:w w:val="150"/>
        </w:rPr>
        <w:t xml:space="preserve"> </w:t>
      </w:r>
      <w:r>
        <w:t>protección</w:t>
      </w:r>
      <w:r>
        <w:rPr>
          <w:spacing w:val="80"/>
          <w:w w:val="150"/>
        </w:rPr>
        <w:t xml:space="preserve"> </w:t>
      </w:r>
      <w:r>
        <w:t>de</w:t>
      </w:r>
      <w:r>
        <w:rPr>
          <w:spacing w:val="80"/>
          <w:w w:val="150"/>
        </w:rPr>
        <w:t xml:space="preserve"> </w:t>
      </w:r>
      <w:r>
        <w:t>intereses</w:t>
      </w:r>
      <w:r>
        <w:rPr>
          <w:spacing w:val="80"/>
          <w:w w:val="150"/>
        </w:rPr>
        <w:t xml:space="preserve"> </w:t>
      </w:r>
      <w:r>
        <w:t>económicos</w:t>
      </w:r>
      <w:r>
        <w:rPr>
          <w:spacing w:val="80"/>
          <w:w w:val="150"/>
        </w:rPr>
        <w:t xml:space="preserve"> </w:t>
      </w:r>
      <w:r>
        <w:t>de</w:t>
      </w:r>
      <w:r>
        <w:rPr>
          <w:spacing w:val="80"/>
          <w:w w:val="150"/>
        </w:rPr>
        <w:t xml:space="preserve"> </w:t>
      </w:r>
      <w:r>
        <w:t>compañías multinacionales;</w:t>
      </w:r>
      <w:r>
        <w:rPr>
          <w:spacing w:val="35"/>
        </w:rPr>
        <w:t xml:space="preserve"> </w:t>
      </w:r>
      <w:r>
        <w:t>4)</w:t>
      </w:r>
      <w:r>
        <w:rPr>
          <w:spacing w:val="35"/>
        </w:rPr>
        <w:t xml:space="preserve"> </w:t>
      </w:r>
      <w:r>
        <w:t>los</w:t>
      </w:r>
      <w:r>
        <w:rPr>
          <w:spacing w:val="34"/>
        </w:rPr>
        <w:t xml:space="preserve"> </w:t>
      </w:r>
      <w:r>
        <w:t>recursos</w:t>
      </w:r>
      <w:r>
        <w:rPr>
          <w:spacing w:val="35"/>
        </w:rPr>
        <w:t xml:space="preserve"> </w:t>
      </w:r>
      <w:r>
        <w:t>y</w:t>
      </w:r>
      <w:r>
        <w:rPr>
          <w:spacing w:val="34"/>
        </w:rPr>
        <w:t xml:space="preserve"> </w:t>
      </w:r>
      <w:r>
        <w:t>prioridades</w:t>
      </w:r>
      <w:r>
        <w:rPr>
          <w:spacing w:val="34"/>
        </w:rPr>
        <w:t xml:space="preserve"> </w:t>
      </w:r>
      <w:r>
        <w:t>claras</w:t>
      </w:r>
      <w:r>
        <w:rPr>
          <w:spacing w:val="35"/>
        </w:rPr>
        <w:t xml:space="preserve"> </w:t>
      </w:r>
      <w:r>
        <w:t>para</w:t>
      </w:r>
      <w:r>
        <w:rPr>
          <w:spacing w:val="34"/>
        </w:rPr>
        <w:t xml:space="preserve"> </w:t>
      </w:r>
      <w:r>
        <w:t>combatir</w:t>
      </w:r>
      <w:r>
        <w:rPr>
          <w:spacing w:val="35"/>
        </w:rPr>
        <w:t xml:space="preserve"> </w:t>
      </w:r>
      <w:r>
        <w:t>a</w:t>
      </w:r>
      <w:r>
        <w:rPr>
          <w:spacing w:val="34"/>
        </w:rPr>
        <w:t xml:space="preserve"> </w:t>
      </w:r>
      <w:r>
        <w:t>las</w:t>
      </w:r>
      <w:r>
        <w:rPr>
          <w:spacing w:val="35"/>
        </w:rPr>
        <w:t xml:space="preserve"> </w:t>
      </w:r>
      <w:r>
        <w:t>guerrillas,</w:t>
      </w:r>
      <w:r>
        <w:rPr>
          <w:spacing w:val="35"/>
        </w:rPr>
        <w:t xml:space="preserve"> </w:t>
      </w:r>
      <w:r>
        <w:t>pero escasos</w:t>
      </w:r>
      <w:r>
        <w:rPr>
          <w:spacing w:val="70"/>
        </w:rPr>
        <w:t xml:space="preserve"> </w:t>
      </w:r>
      <w:r>
        <w:t>contra</w:t>
      </w:r>
      <w:r>
        <w:rPr>
          <w:spacing w:val="70"/>
        </w:rPr>
        <w:t xml:space="preserve"> </w:t>
      </w:r>
      <w:r>
        <w:t>el</w:t>
      </w:r>
      <w:r>
        <w:rPr>
          <w:spacing w:val="70"/>
        </w:rPr>
        <w:t xml:space="preserve"> </w:t>
      </w:r>
      <w:r>
        <w:t>paramilitarismo</w:t>
      </w:r>
      <w:r w:rsidR="00ED6C2F">
        <w:rPr>
          <w:rStyle w:val="Refdenotaalpie"/>
        </w:rPr>
        <w:footnoteReference w:id="838"/>
      </w:r>
      <w:r>
        <w:t>;</w:t>
      </w:r>
      <w:r>
        <w:rPr>
          <w:spacing w:val="69"/>
        </w:rPr>
        <w:t xml:space="preserve"> </w:t>
      </w:r>
      <w:r>
        <w:t>5)</w:t>
      </w:r>
      <w:r>
        <w:rPr>
          <w:spacing w:val="70"/>
        </w:rPr>
        <w:t xml:space="preserve"> </w:t>
      </w:r>
      <w:r>
        <w:t>la</w:t>
      </w:r>
      <w:r>
        <w:rPr>
          <w:spacing w:val="70"/>
        </w:rPr>
        <w:t xml:space="preserve"> </w:t>
      </w:r>
      <w:r>
        <w:t>materialización</w:t>
      </w:r>
      <w:r>
        <w:rPr>
          <w:spacing w:val="68"/>
        </w:rPr>
        <w:t xml:space="preserve"> </w:t>
      </w:r>
      <w:r>
        <w:t>de</w:t>
      </w:r>
      <w:r>
        <w:rPr>
          <w:spacing w:val="70"/>
        </w:rPr>
        <w:t xml:space="preserve"> </w:t>
      </w:r>
      <w:r>
        <w:t>la</w:t>
      </w:r>
      <w:r>
        <w:rPr>
          <w:spacing w:val="70"/>
        </w:rPr>
        <w:t xml:space="preserve"> </w:t>
      </w:r>
      <w:r>
        <w:t>asistencia</w:t>
      </w:r>
      <w:r>
        <w:rPr>
          <w:spacing w:val="70"/>
        </w:rPr>
        <w:t xml:space="preserve"> </w:t>
      </w:r>
      <w:r>
        <w:t>militar</w:t>
      </w:r>
      <w:r>
        <w:rPr>
          <w:spacing w:val="70"/>
        </w:rPr>
        <w:t xml:space="preserve"> </w:t>
      </w:r>
      <w:r>
        <w:t>en formación,</w:t>
      </w:r>
      <w:r>
        <w:rPr>
          <w:spacing w:val="66"/>
        </w:rPr>
        <w:t xml:space="preserve"> </w:t>
      </w:r>
      <w:r>
        <w:t>armamento,</w:t>
      </w:r>
      <w:r>
        <w:rPr>
          <w:spacing w:val="71"/>
        </w:rPr>
        <w:t xml:space="preserve"> </w:t>
      </w:r>
      <w:r>
        <w:t>recursos</w:t>
      </w:r>
      <w:r>
        <w:rPr>
          <w:spacing w:val="70"/>
        </w:rPr>
        <w:t xml:space="preserve"> </w:t>
      </w:r>
      <w:r>
        <w:t>financieros</w:t>
      </w:r>
      <w:r>
        <w:rPr>
          <w:spacing w:val="72"/>
        </w:rPr>
        <w:t xml:space="preserve"> </w:t>
      </w:r>
      <w:r>
        <w:t>y</w:t>
      </w:r>
      <w:r>
        <w:rPr>
          <w:spacing w:val="70"/>
        </w:rPr>
        <w:t xml:space="preserve"> </w:t>
      </w:r>
      <w:r>
        <w:t>equipamiento,</w:t>
      </w:r>
      <w:r>
        <w:rPr>
          <w:spacing w:val="72"/>
        </w:rPr>
        <w:t xml:space="preserve"> </w:t>
      </w:r>
      <w:r>
        <w:t>acompañada</w:t>
      </w:r>
      <w:r>
        <w:rPr>
          <w:spacing w:val="71"/>
        </w:rPr>
        <w:t xml:space="preserve"> </w:t>
      </w:r>
      <w:r>
        <w:t>de</w:t>
      </w:r>
      <w:r>
        <w:rPr>
          <w:spacing w:val="70"/>
        </w:rPr>
        <w:t xml:space="preserve"> </w:t>
      </w:r>
      <w:r>
        <w:t>metas</w:t>
      </w:r>
      <w:r>
        <w:rPr>
          <w:spacing w:val="72"/>
        </w:rPr>
        <w:t xml:space="preserve"> </w:t>
      </w:r>
      <w:r>
        <w:rPr>
          <w:spacing w:val="-10"/>
        </w:rPr>
        <w:t>y</w:t>
      </w:r>
      <w:bookmarkStart w:id="1037" w:name="_bookmark914"/>
      <w:bookmarkEnd w:id="1037"/>
      <w:r w:rsidR="00ED6C2F">
        <w:t xml:space="preserve"> </w:t>
      </w:r>
      <w:r>
        <w:t xml:space="preserve">resultados esperados que, </w:t>
      </w:r>
      <w:r>
        <w:lastRenderedPageBreak/>
        <w:t>en la práctica, llevaron a cometer violaciones a los derechos humanos</w:t>
      </w:r>
      <w:r>
        <w:rPr>
          <w:spacing w:val="-15"/>
        </w:rPr>
        <w:t xml:space="preserve"> </w:t>
      </w:r>
      <w:r>
        <w:t>e</w:t>
      </w:r>
      <w:r>
        <w:rPr>
          <w:spacing w:val="-15"/>
        </w:rPr>
        <w:t xml:space="preserve"> </w:t>
      </w:r>
      <w:r>
        <w:t>infracciones</w:t>
      </w:r>
      <w:r>
        <w:rPr>
          <w:spacing w:val="-15"/>
        </w:rPr>
        <w:t xml:space="preserve"> </w:t>
      </w:r>
      <w:r>
        <w:t>al</w:t>
      </w:r>
      <w:r>
        <w:rPr>
          <w:spacing w:val="-15"/>
        </w:rPr>
        <w:t xml:space="preserve"> </w:t>
      </w:r>
      <w:r>
        <w:t>DIH.</w:t>
      </w:r>
      <w:r>
        <w:rPr>
          <w:spacing w:val="-15"/>
        </w:rPr>
        <w:t xml:space="preserve"> </w:t>
      </w:r>
      <w:r>
        <w:t>Esta</w:t>
      </w:r>
      <w:r>
        <w:rPr>
          <w:spacing w:val="-15"/>
        </w:rPr>
        <w:t xml:space="preserve"> </w:t>
      </w:r>
      <w:r>
        <w:t>asistencia</w:t>
      </w:r>
      <w:r>
        <w:rPr>
          <w:spacing w:val="-15"/>
        </w:rPr>
        <w:t xml:space="preserve"> </w:t>
      </w:r>
      <w:r>
        <w:t>tuvo</w:t>
      </w:r>
      <w:r>
        <w:rPr>
          <w:spacing w:val="-15"/>
        </w:rPr>
        <w:t xml:space="preserve"> </w:t>
      </w:r>
      <w:r>
        <w:t>una</w:t>
      </w:r>
      <w:r>
        <w:rPr>
          <w:spacing w:val="-15"/>
        </w:rPr>
        <w:t xml:space="preserve"> </w:t>
      </w:r>
      <w:r>
        <w:t>escasa</w:t>
      </w:r>
      <w:r>
        <w:rPr>
          <w:spacing w:val="-15"/>
        </w:rPr>
        <w:t xml:space="preserve"> </w:t>
      </w:r>
      <w:r>
        <w:t>fiscalización,</w:t>
      </w:r>
      <w:r>
        <w:rPr>
          <w:spacing w:val="-15"/>
        </w:rPr>
        <w:t xml:space="preserve"> </w:t>
      </w:r>
      <w:r>
        <w:t>tan</w:t>
      </w:r>
      <w:r>
        <w:rPr>
          <w:spacing w:val="-15"/>
        </w:rPr>
        <w:t xml:space="preserve"> </w:t>
      </w:r>
      <w:r>
        <w:t>solo</w:t>
      </w:r>
      <w:r>
        <w:rPr>
          <w:spacing w:val="-15"/>
        </w:rPr>
        <w:t xml:space="preserve"> </w:t>
      </w:r>
      <w:r>
        <w:t>algunas rendiciones de cuentas en el Congreso estadounidense.</w:t>
      </w:r>
    </w:p>
    <w:p w:rsidR="003804AC" w:rsidRDefault="00AF18A5" w:rsidP="00ED6C2F">
      <w:r>
        <w:t>En una primera etapa, entre los años sesenta y noventa, la política de seguridad de Colombia se enmarcó en la guerra contrainsurgente o contra el comunismo que, con una importante injerencia de la política exterior de Estados Unidos, fue aceptada por el Estado colombiano y se cristalizó en la denominada «doctrina de la seguridad nacional», que había sido usada en toda América Latina y que se implementó fielmente en Colombia.</w:t>
      </w:r>
    </w:p>
    <w:p w:rsidR="003804AC" w:rsidRDefault="00AF18A5" w:rsidP="00ED6C2F">
      <w:r>
        <w:t>A principios de los años cincuenta, influyentes miembros de las Fuerzas Militares de Colombia participaron en la guerra de Corea, primera guerra contrainsurgente en la que incidió</w:t>
      </w:r>
      <w:r>
        <w:rPr>
          <w:spacing w:val="-9"/>
        </w:rPr>
        <w:t xml:space="preserve"> </w:t>
      </w:r>
      <w:r>
        <w:t>Estados</w:t>
      </w:r>
      <w:r>
        <w:rPr>
          <w:spacing w:val="-8"/>
        </w:rPr>
        <w:t xml:space="preserve"> </w:t>
      </w:r>
      <w:r>
        <w:t>Unidos</w:t>
      </w:r>
      <w:r>
        <w:rPr>
          <w:spacing w:val="-10"/>
        </w:rPr>
        <w:t xml:space="preserve"> </w:t>
      </w:r>
      <w:r>
        <w:t>en</w:t>
      </w:r>
      <w:r>
        <w:rPr>
          <w:spacing w:val="-8"/>
        </w:rPr>
        <w:t xml:space="preserve"> </w:t>
      </w:r>
      <w:r>
        <w:t>el</w:t>
      </w:r>
      <w:r>
        <w:rPr>
          <w:spacing w:val="-9"/>
        </w:rPr>
        <w:t xml:space="preserve"> </w:t>
      </w:r>
      <w:r>
        <w:t>marco</w:t>
      </w:r>
      <w:r>
        <w:rPr>
          <w:spacing w:val="-10"/>
        </w:rPr>
        <w:t xml:space="preserve"> </w:t>
      </w:r>
      <w:r>
        <w:t>de</w:t>
      </w:r>
      <w:r>
        <w:rPr>
          <w:spacing w:val="-8"/>
        </w:rPr>
        <w:t xml:space="preserve"> </w:t>
      </w:r>
      <w:r>
        <w:t>la</w:t>
      </w:r>
      <w:r>
        <w:rPr>
          <w:spacing w:val="-8"/>
        </w:rPr>
        <w:t xml:space="preserve"> </w:t>
      </w:r>
      <w:r>
        <w:t>Guerra</w:t>
      </w:r>
      <w:r>
        <w:rPr>
          <w:spacing w:val="-9"/>
        </w:rPr>
        <w:t xml:space="preserve"> </w:t>
      </w:r>
      <w:r>
        <w:t>Fría.</w:t>
      </w:r>
      <w:r>
        <w:rPr>
          <w:spacing w:val="-8"/>
        </w:rPr>
        <w:t xml:space="preserve"> </w:t>
      </w:r>
      <w:r>
        <w:t>Después</w:t>
      </w:r>
      <w:r>
        <w:rPr>
          <w:spacing w:val="-8"/>
        </w:rPr>
        <w:t xml:space="preserve"> </w:t>
      </w:r>
      <w:r>
        <w:t>de</w:t>
      </w:r>
      <w:r>
        <w:rPr>
          <w:spacing w:val="-8"/>
        </w:rPr>
        <w:t xml:space="preserve"> </w:t>
      </w:r>
      <w:r>
        <w:t>dos</w:t>
      </w:r>
      <w:r>
        <w:rPr>
          <w:spacing w:val="-10"/>
        </w:rPr>
        <w:t xml:space="preserve"> </w:t>
      </w:r>
      <w:r>
        <w:t>misiones</w:t>
      </w:r>
      <w:r>
        <w:rPr>
          <w:spacing w:val="-8"/>
        </w:rPr>
        <w:t xml:space="preserve"> </w:t>
      </w:r>
      <w:r>
        <w:t>lideradas</w:t>
      </w:r>
      <w:r>
        <w:rPr>
          <w:spacing w:val="-8"/>
        </w:rPr>
        <w:t xml:space="preserve"> </w:t>
      </w:r>
      <w:r>
        <w:t>por altos</w:t>
      </w:r>
      <w:r>
        <w:rPr>
          <w:spacing w:val="-15"/>
        </w:rPr>
        <w:t xml:space="preserve"> </w:t>
      </w:r>
      <w:r>
        <w:t>funcionarios</w:t>
      </w:r>
      <w:r>
        <w:rPr>
          <w:spacing w:val="-14"/>
        </w:rPr>
        <w:t xml:space="preserve"> </w:t>
      </w:r>
      <w:r>
        <w:t>de</w:t>
      </w:r>
      <w:r>
        <w:rPr>
          <w:spacing w:val="-14"/>
        </w:rPr>
        <w:t xml:space="preserve"> </w:t>
      </w:r>
      <w:r>
        <w:t>seguridad</w:t>
      </w:r>
      <w:r>
        <w:rPr>
          <w:spacing w:val="-14"/>
        </w:rPr>
        <w:t xml:space="preserve"> </w:t>
      </w:r>
      <w:r>
        <w:t>de</w:t>
      </w:r>
      <w:r>
        <w:rPr>
          <w:spacing w:val="-14"/>
        </w:rPr>
        <w:t xml:space="preserve"> </w:t>
      </w:r>
      <w:r>
        <w:t>Estados</w:t>
      </w:r>
      <w:r>
        <w:rPr>
          <w:spacing w:val="-14"/>
        </w:rPr>
        <w:t xml:space="preserve"> </w:t>
      </w:r>
      <w:r>
        <w:t>Unidos</w:t>
      </w:r>
      <w:r>
        <w:rPr>
          <w:spacing w:val="-14"/>
        </w:rPr>
        <w:t xml:space="preserve"> </w:t>
      </w:r>
      <w:r>
        <w:t>a</w:t>
      </w:r>
      <w:r>
        <w:rPr>
          <w:spacing w:val="-14"/>
        </w:rPr>
        <w:t xml:space="preserve"> </w:t>
      </w:r>
      <w:r>
        <w:t>Colombia</w:t>
      </w:r>
      <w:r>
        <w:rPr>
          <w:spacing w:val="-14"/>
        </w:rPr>
        <w:t xml:space="preserve"> </w:t>
      </w:r>
      <w:r>
        <w:t>–la</w:t>
      </w:r>
      <w:r>
        <w:rPr>
          <w:spacing w:val="-14"/>
        </w:rPr>
        <w:t xml:space="preserve"> </w:t>
      </w:r>
      <w:r>
        <w:t>de</w:t>
      </w:r>
      <w:r>
        <w:rPr>
          <w:spacing w:val="-14"/>
        </w:rPr>
        <w:t xml:space="preserve"> </w:t>
      </w:r>
      <w:r>
        <w:t>Herbert</w:t>
      </w:r>
      <w:r>
        <w:rPr>
          <w:spacing w:val="-14"/>
        </w:rPr>
        <w:t xml:space="preserve"> </w:t>
      </w:r>
      <w:r>
        <w:t>Hardin</w:t>
      </w:r>
      <w:r>
        <w:rPr>
          <w:spacing w:val="-15"/>
        </w:rPr>
        <w:t xml:space="preserve"> </w:t>
      </w:r>
      <w:r>
        <w:t>en</w:t>
      </w:r>
      <w:r>
        <w:rPr>
          <w:spacing w:val="-14"/>
        </w:rPr>
        <w:t xml:space="preserve"> </w:t>
      </w:r>
      <w:r>
        <w:t>1958 y</w:t>
      </w:r>
      <w:r>
        <w:rPr>
          <w:spacing w:val="-7"/>
        </w:rPr>
        <w:t xml:space="preserve"> </w:t>
      </w:r>
      <w:r>
        <w:t>la</w:t>
      </w:r>
      <w:r>
        <w:rPr>
          <w:spacing w:val="-7"/>
        </w:rPr>
        <w:t xml:space="preserve"> </w:t>
      </w:r>
      <w:r>
        <w:t>del</w:t>
      </w:r>
      <w:r>
        <w:rPr>
          <w:spacing w:val="-7"/>
        </w:rPr>
        <w:t xml:space="preserve"> </w:t>
      </w:r>
      <w:r>
        <w:t>brigadier</w:t>
      </w:r>
      <w:r>
        <w:rPr>
          <w:spacing w:val="-7"/>
        </w:rPr>
        <w:t xml:space="preserve"> </w:t>
      </w:r>
      <w:r>
        <w:t>general</w:t>
      </w:r>
      <w:r>
        <w:rPr>
          <w:spacing w:val="-7"/>
        </w:rPr>
        <w:t xml:space="preserve"> </w:t>
      </w:r>
      <w:r>
        <w:t>Yarborough</w:t>
      </w:r>
      <w:r>
        <w:rPr>
          <w:spacing w:val="-7"/>
        </w:rPr>
        <w:t xml:space="preserve"> </w:t>
      </w:r>
      <w:r>
        <w:t>en</w:t>
      </w:r>
      <w:r>
        <w:rPr>
          <w:spacing w:val="-7"/>
        </w:rPr>
        <w:t xml:space="preserve"> </w:t>
      </w:r>
      <w:r>
        <w:t>1962–,</w:t>
      </w:r>
      <w:r>
        <w:rPr>
          <w:spacing w:val="-7"/>
        </w:rPr>
        <w:t xml:space="preserve"> </w:t>
      </w:r>
      <w:r>
        <w:t>se</w:t>
      </w:r>
      <w:r>
        <w:rPr>
          <w:spacing w:val="-7"/>
        </w:rPr>
        <w:t xml:space="preserve"> </w:t>
      </w:r>
      <w:r>
        <w:t>diseñó</w:t>
      </w:r>
      <w:r>
        <w:rPr>
          <w:spacing w:val="-8"/>
        </w:rPr>
        <w:t xml:space="preserve"> </w:t>
      </w:r>
      <w:r>
        <w:t>el</w:t>
      </w:r>
      <w:r>
        <w:rPr>
          <w:spacing w:val="-8"/>
        </w:rPr>
        <w:t xml:space="preserve"> </w:t>
      </w:r>
      <w:r>
        <w:t>Plan</w:t>
      </w:r>
      <w:r>
        <w:rPr>
          <w:spacing w:val="-7"/>
        </w:rPr>
        <w:t xml:space="preserve"> </w:t>
      </w:r>
      <w:r>
        <w:t>Lazo,</w:t>
      </w:r>
      <w:r>
        <w:rPr>
          <w:spacing w:val="-7"/>
        </w:rPr>
        <w:t xml:space="preserve"> </w:t>
      </w:r>
      <w:r>
        <w:t>bajo</w:t>
      </w:r>
      <w:r>
        <w:rPr>
          <w:spacing w:val="-7"/>
        </w:rPr>
        <w:t xml:space="preserve"> </w:t>
      </w:r>
      <w:r>
        <w:t>la</w:t>
      </w:r>
      <w:r>
        <w:rPr>
          <w:spacing w:val="-8"/>
        </w:rPr>
        <w:t xml:space="preserve"> </w:t>
      </w:r>
      <w:r>
        <w:t>coordinación del</w:t>
      </w:r>
      <w:r>
        <w:rPr>
          <w:spacing w:val="-2"/>
        </w:rPr>
        <w:t xml:space="preserve"> </w:t>
      </w:r>
      <w:r>
        <w:t>general</w:t>
      </w:r>
      <w:r>
        <w:rPr>
          <w:spacing w:val="-3"/>
        </w:rPr>
        <w:t xml:space="preserve"> </w:t>
      </w:r>
      <w:r>
        <w:t>Alberto</w:t>
      </w:r>
      <w:r>
        <w:rPr>
          <w:spacing w:val="-2"/>
        </w:rPr>
        <w:t xml:space="preserve"> </w:t>
      </w:r>
      <w:r>
        <w:t>Ruiz</w:t>
      </w:r>
      <w:r>
        <w:rPr>
          <w:spacing w:val="-2"/>
        </w:rPr>
        <w:t xml:space="preserve"> </w:t>
      </w:r>
      <w:r>
        <w:t>Novoa,</w:t>
      </w:r>
      <w:r>
        <w:rPr>
          <w:spacing w:val="-2"/>
        </w:rPr>
        <w:t xml:space="preserve"> </w:t>
      </w:r>
      <w:r>
        <w:t>quien</w:t>
      </w:r>
      <w:r>
        <w:rPr>
          <w:spacing w:val="-2"/>
        </w:rPr>
        <w:t xml:space="preserve"> </w:t>
      </w:r>
      <w:r>
        <w:t>había</w:t>
      </w:r>
      <w:r>
        <w:rPr>
          <w:spacing w:val="-2"/>
        </w:rPr>
        <w:t xml:space="preserve"> </w:t>
      </w:r>
      <w:r>
        <w:t>participado</w:t>
      </w:r>
      <w:r>
        <w:rPr>
          <w:spacing w:val="-2"/>
        </w:rPr>
        <w:t xml:space="preserve"> </w:t>
      </w:r>
      <w:r>
        <w:t>en</w:t>
      </w:r>
      <w:r>
        <w:rPr>
          <w:spacing w:val="-3"/>
        </w:rPr>
        <w:t xml:space="preserve"> </w:t>
      </w:r>
      <w:r>
        <w:t>la</w:t>
      </w:r>
      <w:r>
        <w:rPr>
          <w:spacing w:val="-2"/>
        </w:rPr>
        <w:t xml:space="preserve"> </w:t>
      </w:r>
      <w:r>
        <w:t>guerra</w:t>
      </w:r>
      <w:r>
        <w:rPr>
          <w:spacing w:val="-2"/>
        </w:rPr>
        <w:t xml:space="preserve"> </w:t>
      </w:r>
      <w:r>
        <w:t>de</w:t>
      </w:r>
      <w:r>
        <w:rPr>
          <w:spacing w:val="-2"/>
        </w:rPr>
        <w:t xml:space="preserve"> </w:t>
      </w:r>
      <w:r>
        <w:t>Corea.</w:t>
      </w:r>
      <w:r>
        <w:rPr>
          <w:spacing w:val="-2"/>
        </w:rPr>
        <w:t xml:space="preserve"> </w:t>
      </w:r>
      <w:r>
        <w:t>El</w:t>
      </w:r>
      <w:r>
        <w:rPr>
          <w:spacing w:val="-2"/>
        </w:rPr>
        <w:t xml:space="preserve"> </w:t>
      </w:r>
      <w:r>
        <w:t>plan,</w:t>
      </w:r>
      <w:r>
        <w:rPr>
          <w:spacing w:val="-2"/>
        </w:rPr>
        <w:t xml:space="preserve"> </w:t>
      </w:r>
      <w:r>
        <w:t>que fue</w:t>
      </w:r>
      <w:r>
        <w:rPr>
          <w:spacing w:val="-3"/>
        </w:rPr>
        <w:t xml:space="preserve"> </w:t>
      </w:r>
      <w:r>
        <w:t>implementado</w:t>
      </w:r>
      <w:r>
        <w:rPr>
          <w:spacing w:val="-3"/>
        </w:rPr>
        <w:t xml:space="preserve"> </w:t>
      </w:r>
      <w:r>
        <w:t>operativamente</w:t>
      </w:r>
      <w:r>
        <w:rPr>
          <w:spacing w:val="-4"/>
        </w:rPr>
        <w:t xml:space="preserve"> </w:t>
      </w:r>
      <w:r>
        <w:t>en</w:t>
      </w:r>
      <w:r>
        <w:rPr>
          <w:spacing w:val="-4"/>
        </w:rPr>
        <w:t xml:space="preserve"> </w:t>
      </w:r>
      <w:r>
        <w:t>el</w:t>
      </w:r>
      <w:r>
        <w:rPr>
          <w:spacing w:val="-3"/>
        </w:rPr>
        <w:t xml:space="preserve"> </w:t>
      </w:r>
      <w:r>
        <w:t>gobierno</w:t>
      </w:r>
      <w:r>
        <w:rPr>
          <w:spacing w:val="-4"/>
        </w:rPr>
        <w:t xml:space="preserve"> </w:t>
      </w:r>
      <w:r>
        <w:t>de</w:t>
      </w:r>
      <w:r>
        <w:rPr>
          <w:spacing w:val="-3"/>
        </w:rPr>
        <w:t xml:space="preserve"> </w:t>
      </w:r>
      <w:r>
        <w:t>Guillermo</w:t>
      </w:r>
      <w:r>
        <w:rPr>
          <w:spacing w:val="-3"/>
        </w:rPr>
        <w:t xml:space="preserve"> </w:t>
      </w:r>
      <w:r>
        <w:t>León</w:t>
      </w:r>
      <w:r>
        <w:rPr>
          <w:spacing w:val="-3"/>
        </w:rPr>
        <w:t xml:space="preserve"> </w:t>
      </w:r>
      <w:r>
        <w:t>Valencia</w:t>
      </w:r>
      <w:r>
        <w:rPr>
          <w:spacing w:val="-4"/>
        </w:rPr>
        <w:t xml:space="preserve"> </w:t>
      </w:r>
      <w:r>
        <w:t>(1962-1966), seguía la estrategia de pacificación y restauración del orden público y se dirigió particularmente</w:t>
      </w:r>
      <w:r>
        <w:rPr>
          <w:spacing w:val="-10"/>
        </w:rPr>
        <w:t xml:space="preserve"> </w:t>
      </w:r>
      <w:r>
        <w:t>a</w:t>
      </w:r>
      <w:r>
        <w:rPr>
          <w:spacing w:val="-10"/>
        </w:rPr>
        <w:t xml:space="preserve"> </w:t>
      </w:r>
      <w:r>
        <w:t>las</w:t>
      </w:r>
      <w:r>
        <w:rPr>
          <w:spacing w:val="-10"/>
        </w:rPr>
        <w:t xml:space="preserve"> </w:t>
      </w:r>
      <w:r>
        <w:t>incipientes</w:t>
      </w:r>
      <w:r>
        <w:rPr>
          <w:spacing w:val="-11"/>
        </w:rPr>
        <w:t xml:space="preserve"> </w:t>
      </w:r>
      <w:r>
        <w:t>guerrillas</w:t>
      </w:r>
      <w:r>
        <w:rPr>
          <w:spacing w:val="-10"/>
        </w:rPr>
        <w:t xml:space="preserve"> </w:t>
      </w:r>
      <w:r>
        <w:t>comunistas</w:t>
      </w:r>
      <w:r>
        <w:rPr>
          <w:spacing w:val="-10"/>
        </w:rPr>
        <w:t xml:space="preserve"> </w:t>
      </w:r>
      <w:r>
        <w:t>de</w:t>
      </w:r>
      <w:r>
        <w:rPr>
          <w:spacing w:val="-10"/>
        </w:rPr>
        <w:t xml:space="preserve"> </w:t>
      </w:r>
      <w:r>
        <w:t>Tolima,</w:t>
      </w:r>
      <w:r>
        <w:rPr>
          <w:spacing w:val="-11"/>
        </w:rPr>
        <w:t xml:space="preserve"> </w:t>
      </w:r>
      <w:r>
        <w:t>Huila</w:t>
      </w:r>
      <w:r>
        <w:rPr>
          <w:spacing w:val="-10"/>
        </w:rPr>
        <w:t xml:space="preserve"> </w:t>
      </w:r>
      <w:r>
        <w:t>y</w:t>
      </w:r>
      <w:r>
        <w:rPr>
          <w:spacing w:val="-11"/>
        </w:rPr>
        <w:t xml:space="preserve"> </w:t>
      </w:r>
      <w:r>
        <w:t>Cauca.</w:t>
      </w:r>
      <w:r>
        <w:rPr>
          <w:spacing w:val="-11"/>
        </w:rPr>
        <w:t xml:space="preserve"> </w:t>
      </w:r>
      <w:r>
        <w:t>El</w:t>
      </w:r>
      <w:r>
        <w:rPr>
          <w:spacing w:val="-10"/>
        </w:rPr>
        <w:t xml:space="preserve"> </w:t>
      </w:r>
      <w:r>
        <w:t>objetivo primordial</w:t>
      </w:r>
      <w:r>
        <w:rPr>
          <w:spacing w:val="-5"/>
        </w:rPr>
        <w:t xml:space="preserve"> </w:t>
      </w:r>
      <w:r>
        <w:t>del</w:t>
      </w:r>
      <w:r>
        <w:rPr>
          <w:spacing w:val="-5"/>
        </w:rPr>
        <w:t xml:space="preserve"> </w:t>
      </w:r>
      <w:r>
        <w:t>Plan</w:t>
      </w:r>
      <w:r>
        <w:rPr>
          <w:spacing w:val="-6"/>
        </w:rPr>
        <w:t xml:space="preserve"> </w:t>
      </w:r>
      <w:r>
        <w:t>Lazo</w:t>
      </w:r>
      <w:r>
        <w:rPr>
          <w:spacing w:val="-7"/>
        </w:rPr>
        <w:t xml:space="preserve"> </w:t>
      </w:r>
      <w:r>
        <w:t>era</w:t>
      </w:r>
      <w:r>
        <w:rPr>
          <w:spacing w:val="-7"/>
        </w:rPr>
        <w:t xml:space="preserve"> </w:t>
      </w:r>
      <w:r>
        <w:t>eliminar</w:t>
      </w:r>
      <w:r>
        <w:rPr>
          <w:spacing w:val="-7"/>
        </w:rPr>
        <w:t xml:space="preserve"> </w:t>
      </w:r>
      <w:r>
        <w:t>las</w:t>
      </w:r>
      <w:r>
        <w:rPr>
          <w:spacing w:val="-7"/>
        </w:rPr>
        <w:t xml:space="preserve"> </w:t>
      </w:r>
      <w:r>
        <w:t>llamadas</w:t>
      </w:r>
      <w:r>
        <w:rPr>
          <w:spacing w:val="-6"/>
        </w:rPr>
        <w:t xml:space="preserve"> </w:t>
      </w:r>
      <w:r>
        <w:t>«repúblicas</w:t>
      </w:r>
      <w:r>
        <w:rPr>
          <w:spacing w:val="-6"/>
        </w:rPr>
        <w:t xml:space="preserve"> </w:t>
      </w:r>
      <w:r>
        <w:t>independientes»</w:t>
      </w:r>
      <w:r w:rsidR="00ED6C2F">
        <w:rPr>
          <w:rStyle w:val="Refdenotaalpie"/>
        </w:rPr>
        <w:footnoteReference w:id="839"/>
      </w:r>
      <w:r>
        <w:t>,</w:t>
      </w:r>
      <w:r>
        <w:rPr>
          <w:spacing w:val="-6"/>
        </w:rPr>
        <w:t xml:space="preserve"> </w:t>
      </w:r>
      <w:r>
        <w:t>controlar la situación de orden público y ganar control territorial.</w:t>
      </w:r>
    </w:p>
    <w:p w:rsidR="003804AC" w:rsidRDefault="00AF18A5" w:rsidP="00ED6C2F">
      <w:r>
        <w:rPr>
          <w:spacing w:val="-2"/>
        </w:rPr>
        <w:t>En</w:t>
      </w:r>
      <w:r>
        <w:rPr>
          <w:spacing w:val="-3"/>
        </w:rPr>
        <w:t xml:space="preserve"> </w:t>
      </w:r>
      <w:r>
        <w:rPr>
          <w:spacing w:val="-2"/>
        </w:rPr>
        <w:t>este</w:t>
      </w:r>
      <w:r>
        <w:rPr>
          <w:spacing w:val="-4"/>
        </w:rPr>
        <w:t xml:space="preserve"> </w:t>
      </w:r>
      <w:r>
        <w:rPr>
          <w:spacing w:val="-2"/>
        </w:rPr>
        <w:t>contexto</w:t>
      </w:r>
      <w:r>
        <w:rPr>
          <w:spacing w:val="-3"/>
        </w:rPr>
        <w:t xml:space="preserve"> </w:t>
      </w:r>
      <w:r>
        <w:rPr>
          <w:spacing w:val="-2"/>
        </w:rPr>
        <w:t>se</w:t>
      </w:r>
      <w:r>
        <w:rPr>
          <w:spacing w:val="-4"/>
        </w:rPr>
        <w:t xml:space="preserve"> </w:t>
      </w:r>
      <w:r>
        <w:rPr>
          <w:spacing w:val="-2"/>
        </w:rPr>
        <w:t>reestructuró</w:t>
      </w:r>
      <w:r>
        <w:rPr>
          <w:spacing w:val="-4"/>
        </w:rPr>
        <w:t xml:space="preserve"> </w:t>
      </w:r>
      <w:r>
        <w:rPr>
          <w:spacing w:val="-2"/>
        </w:rPr>
        <w:t>la</w:t>
      </w:r>
      <w:r>
        <w:rPr>
          <w:spacing w:val="-4"/>
        </w:rPr>
        <w:t xml:space="preserve"> </w:t>
      </w:r>
      <w:r>
        <w:rPr>
          <w:spacing w:val="-2"/>
        </w:rPr>
        <w:t>fuerza</w:t>
      </w:r>
      <w:r>
        <w:rPr>
          <w:spacing w:val="-3"/>
        </w:rPr>
        <w:t xml:space="preserve"> </w:t>
      </w:r>
      <w:r>
        <w:rPr>
          <w:spacing w:val="-2"/>
        </w:rPr>
        <w:t>pública,</w:t>
      </w:r>
      <w:r>
        <w:rPr>
          <w:spacing w:val="-4"/>
        </w:rPr>
        <w:t xml:space="preserve"> </w:t>
      </w:r>
      <w:r>
        <w:rPr>
          <w:spacing w:val="-2"/>
        </w:rPr>
        <w:t>sus</w:t>
      </w:r>
      <w:r>
        <w:rPr>
          <w:spacing w:val="-3"/>
        </w:rPr>
        <w:t xml:space="preserve"> </w:t>
      </w:r>
      <w:r>
        <w:rPr>
          <w:spacing w:val="-2"/>
        </w:rPr>
        <w:t>integrantes</w:t>
      </w:r>
      <w:r>
        <w:rPr>
          <w:spacing w:val="-3"/>
        </w:rPr>
        <w:t xml:space="preserve"> </w:t>
      </w:r>
      <w:r>
        <w:rPr>
          <w:spacing w:val="-2"/>
        </w:rPr>
        <w:lastRenderedPageBreak/>
        <w:t>recibieron</w:t>
      </w:r>
      <w:r>
        <w:rPr>
          <w:spacing w:val="-3"/>
        </w:rPr>
        <w:t xml:space="preserve"> </w:t>
      </w:r>
      <w:r>
        <w:rPr>
          <w:spacing w:val="-2"/>
        </w:rPr>
        <w:t xml:space="preserve">entrenamiento </w:t>
      </w:r>
      <w:r>
        <w:t>militar en la Escuela de las Américas y en bases militares estadounidenses, se ajustaron los manuales</w:t>
      </w:r>
      <w:r>
        <w:rPr>
          <w:spacing w:val="-15"/>
        </w:rPr>
        <w:t xml:space="preserve"> </w:t>
      </w:r>
      <w:r>
        <w:t>y</w:t>
      </w:r>
      <w:r>
        <w:rPr>
          <w:spacing w:val="-15"/>
        </w:rPr>
        <w:t xml:space="preserve"> </w:t>
      </w:r>
      <w:r>
        <w:t>reglamentos</w:t>
      </w:r>
      <w:r>
        <w:rPr>
          <w:spacing w:val="-15"/>
        </w:rPr>
        <w:t xml:space="preserve"> </w:t>
      </w:r>
      <w:r>
        <w:t>militares</w:t>
      </w:r>
      <w:r>
        <w:rPr>
          <w:spacing w:val="-15"/>
        </w:rPr>
        <w:t xml:space="preserve"> </w:t>
      </w:r>
      <w:r>
        <w:t>y</w:t>
      </w:r>
      <w:r>
        <w:rPr>
          <w:spacing w:val="-15"/>
        </w:rPr>
        <w:t xml:space="preserve"> </w:t>
      </w:r>
      <w:r>
        <w:t>de</w:t>
      </w:r>
      <w:r>
        <w:rPr>
          <w:spacing w:val="-15"/>
        </w:rPr>
        <w:t xml:space="preserve"> </w:t>
      </w:r>
      <w:r>
        <w:t>policía</w:t>
      </w:r>
      <w:r>
        <w:rPr>
          <w:spacing w:val="-15"/>
        </w:rPr>
        <w:t xml:space="preserve"> </w:t>
      </w:r>
      <w:r>
        <w:t>y</w:t>
      </w:r>
      <w:r>
        <w:rPr>
          <w:spacing w:val="-15"/>
        </w:rPr>
        <w:t xml:space="preserve"> </w:t>
      </w:r>
      <w:r>
        <w:t>se</w:t>
      </w:r>
      <w:r>
        <w:rPr>
          <w:spacing w:val="-15"/>
        </w:rPr>
        <w:t xml:space="preserve"> </w:t>
      </w:r>
      <w:r>
        <w:t>desarrolló</w:t>
      </w:r>
      <w:r>
        <w:rPr>
          <w:spacing w:val="-15"/>
        </w:rPr>
        <w:t xml:space="preserve"> </w:t>
      </w:r>
      <w:r>
        <w:t>la</w:t>
      </w:r>
      <w:r>
        <w:rPr>
          <w:spacing w:val="-15"/>
        </w:rPr>
        <w:t xml:space="preserve"> </w:t>
      </w:r>
      <w:r>
        <w:t>inteligencia</w:t>
      </w:r>
      <w:r>
        <w:rPr>
          <w:spacing w:val="-15"/>
        </w:rPr>
        <w:t xml:space="preserve"> </w:t>
      </w:r>
      <w:r>
        <w:t>contrainsurgente. Así</w:t>
      </w:r>
      <w:r>
        <w:rPr>
          <w:spacing w:val="-2"/>
        </w:rPr>
        <w:t xml:space="preserve"> </w:t>
      </w:r>
      <w:r>
        <w:t>mismo,</w:t>
      </w:r>
      <w:r>
        <w:rPr>
          <w:spacing w:val="-3"/>
        </w:rPr>
        <w:t xml:space="preserve"> </w:t>
      </w:r>
      <w:r>
        <w:t>se</w:t>
      </w:r>
      <w:r>
        <w:rPr>
          <w:spacing w:val="-2"/>
        </w:rPr>
        <w:t xml:space="preserve"> </w:t>
      </w:r>
      <w:r>
        <w:t>profundizó</w:t>
      </w:r>
      <w:r>
        <w:rPr>
          <w:spacing w:val="-2"/>
        </w:rPr>
        <w:t xml:space="preserve"> </w:t>
      </w:r>
      <w:r>
        <w:t>la</w:t>
      </w:r>
      <w:r>
        <w:rPr>
          <w:spacing w:val="-2"/>
        </w:rPr>
        <w:t xml:space="preserve"> </w:t>
      </w:r>
      <w:r>
        <w:t>militarización</w:t>
      </w:r>
      <w:r>
        <w:rPr>
          <w:spacing w:val="-2"/>
        </w:rPr>
        <w:t xml:space="preserve"> </w:t>
      </w:r>
      <w:r>
        <w:t>de</w:t>
      </w:r>
      <w:r>
        <w:rPr>
          <w:spacing w:val="-3"/>
        </w:rPr>
        <w:t xml:space="preserve"> </w:t>
      </w:r>
      <w:r>
        <w:t>la</w:t>
      </w:r>
      <w:r>
        <w:rPr>
          <w:spacing w:val="-3"/>
        </w:rPr>
        <w:t xml:space="preserve"> </w:t>
      </w:r>
      <w:r>
        <w:t>Policía</w:t>
      </w:r>
      <w:r>
        <w:rPr>
          <w:spacing w:val="-2"/>
        </w:rPr>
        <w:t xml:space="preserve"> </w:t>
      </w:r>
      <w:r>
        <w:t>por</w:t>
      </w:r>
      <w:r>
        <w:rPr>
          <w:spacing w:val="-2"/>
        </w:rPr>
        <w:t xml:space="preserve"> </w:t>
      </w:r>
      <w:r>
        <w:t>recomendación</w:t>
      </w:r>
      <w:r>
        <w:rPr>
          <w:spacing w:val="-2"/>
        </w:rPr>
        <w:t xml:space="preserve"> </w:t>
      </w:r>
      <w:r>
        <w:t>de</w:t>
      </w:r>
      <w:r>
        <w:rPr>
          <w:spacing w:val="-2"/>
        </w:rPr>
        <w:t xml:space="preserve"> </w:t>
      </w:r>
      <w:r>
        <w:t>Yarborough, que identificó la necesidad de ampliar el pie de fuerza militar e involucrar a todos los organismos de seguridad en la guerra contrainsurgente. En el marco de esas recomendaciones, también se sugirió el envío de oficiales colombianos a los cursos de contrainsurgencia</w:t>
      </w:r>
      <w:r>
        <w:rPr>
          <w:spacing w:val="39"/>
        </w:rPr>
        <w:t xml:space="preserve"> </w:t>
      </w:r>
      <w:r>
        <w:t>de</w:t>
      </w:r>
      <w:r>
        <w:rPr>
          <w:spacing w:val="41"/>
        </w:rPr>
        <w:t xml:space="preserve"> </w:t>
      </w:r>
      <w:r>
        <w:t>la</w:t>
      </w:r>
      <w:r>
        <w:rPr>
          <w:spacing w:val="40"/>
        </w:rPr>
        <w:t xml:space="preserve"> </w:t>
      </w:r>
      <w:r>
        <w:t>Escuela</w:t>
      </w:r>
      <w:r>
        <w:rPr>
          <w:spacing w:val="41"/>
        </w:rPr>
        <w:t xml:space="preserve"> </w:t>
      </w:r>
      <w:r>
        <w:t>Especial</w:t>
      </w:r>
      <w:r>
        <w:rPr>
          <w:spacing w:val="41"/>
        </w:rPr>
        <w:t xml:space="preserve"> </w:t>
      </w:r>
      <w:r>
        <w:t>de</w:t>
      </w:r>
      <w:r>
        <w:rPr>
          <w:spacing w:val="41"/>
        </w:rPr>
        <w:t xml:space="preserve"> </w:t>
      </w:r>
      <w:r>
        <w:t>Combate</w:t>
      </w:r>
      <w:r>
        <w:rPr>
          <w:spacing w:val="40"/>
        </w:rPr>
        <w:t xml:space="preserve"> </w:t>
      </w:r>
      <w:r>
        <w:t>en</w:t>
      </w:r>
      <w:r>
        <w:rPr>
          <w:spacing w:val="41"/>
        </w:rPr>
        <w:t xml:space="preserve"> </w:t>
      </w:r>
      <w:r>
        <w:t>Fort</w:t>
      </w:r>
      <w:r>
        <w:rPr>
          <w:spacing w:val="41"/>
        </w:rPr>
        <w:t xml:space="preserve"> </w:t>
      </w:r>
      <w:r>
        <w:t>Bragg,</w:t>
      </w:r>
      <w:r>
        <w:rPr>
          <w:spacing w:val="40"/>
        </w:rPr>
        <w:t xml:space="preserve"> </w:t>
      </w:r>
      <w:r>
        <w:t>conocida</w:t>
      </w:r>
      <w:r>
        <w:rPr>
          <w:spacing w:val="41"/>
        </w:rPr>
        <w:t xml:space="preserve"> </w:t>
      </w:r>
      <w:r>
        <w:t>como</w:t>
      </w:r>
      <w:r>
        <w:rPr>
          <w:spacing w:val="42"/>
        </w:rPr>
        <w:t xml:space="preserve"> </w:t>
      </w:r>
      <w:r>
        <w:rPr>
          <w:spacing w:val="-5"/>
        </w:rPr>
        <w:t>la</w:t>
      </w:r>
      <w:bookmarkStart w:id="1038" w:name="_bookmark915"/>
      <w:bookmarkEnd w:id="1038"/>
      <w:r w:rsidR="00ED6C2F">
        <w:t xml:space="preserve"> </w:t>
      </w:r>
      <w:r>
        <w:t xml:space="preserve">Escuela de las Américas, y en otras instituciones, como Fort </w:t>
      </w:r>
      <w:proofErr w:type="spellStart"/>
      <w:r>
        <w:t>Holabird</w:t>
      </w:r>
      <w:proofErr w:type="spellEnd"/>
      <w:r>
        <w:t>, sede de los servicios de inteligencia militar del Ejército estadounidense, donde oficiales superiores del Ejército colombiano, entre ellos el teniente coronel Ricardo Charry Solano –reivindicado por el Ejército como «artífice de la inteligencia operativa del Ejército Nacional»</w:t>
      </w:r>
      <w:r w:rsidR="00ED6C2F">
        <w:rPr>
          <w:rStyle w:val="Refdenotaalpie"/>
        </w:rPr>
        <w:footnoteReference w:id="840"/>
      </w:r>
      <w:r>
        <w:t>–, realizaron cursos de inteligencia.</w:t>
      </w:r>
    </w:p>
    <w:p w:rsidR="003804AC" w:rsidRDefault="00AF18A5" w:rsidP="00ED6C2F">
      <w:r>
        <w:t>A</w:t>
      </w:r>
      <w:r>
        <w:rPr>
          <w:spacing w:val="-7"/>
        </w:rPr>
        <w:t xml:space="preserve"> </w:t>
      </w:r>
      <w:r>
        <w:t>través</w:t>
      </w:r>
      <w:r>
        <w:rPr>
          <w:spacing w:val="-7"/>
        </w:rPr>
        <w:t xml:space="preserve"> </w:t>
      </w:r>
      <w:r>
        <w:t>de</w:t>
      </w:r>
      <w:r>
        <w:rPr>
          <w:spacing w:val="-7"/>
        </w:rPr>
        <w:t xml:space="preserve"> </w:t>
      </w:r>
      <w:r>
        <w:t>las</w:t>
      </w:r>
      <w:r>
        <w:rPr>
          <w:spacing w:val="-6"/>
        </w:rPr>
        <w:t xml:space="preserve"> </w:t>
      </w:r>
      <w:r>
        <w:t>normas</w:t>
      </w:r>
      <w:r>
        <w:rPr>
          <w:spacing w:val="-7"/>
        </w:rPr>
        <w:t xml:space="preserve"> </w:t>
      </w:r>
      <w:r>
        <w:t>expedidas</w:t>
      </w:r>
      <w:r>
        <w:rPr>
          <w:spacing w:val="-7"/>
        </w:rPr>
        <w:t xml:space="preserve"> </w:t>
      </w:r>
      <w:r>
        <w:t>en</w:t>
      </w:r>
      <w:r>
        <w:rPr>
          <w:spacing w:val="-7"/>
        </w:rPr>
        <w:t xml:space="preserve"> </w:t>
      </w:r>
      <w:r>
        <w:t>el</w:t>
      </w:r>
      <w:r>
        <w:rPr>
          <w:spacing w:val="-7"/>
        </w:rPr>
        <w:t xml:space="preserve"> </w:t>
      </w:r>
      <w:r>
        <w:t>marco</w:t>
      </w:r>
      <w:r>
        <w:rPr>
          <w:spacing w:val="-7"/>
        </w:rPr>
        <w:t xml:space="preserve"> </w:t>
      </w:r>
      <w:r>
        <w:t>de</w:t>
      </w:r>
      <w:r>
        <w:rPr>
          <w:spacing w:val="-7"/>
        </w:rPr>
        <w:t xml:space="preserve"> </w:t>
      </w:r>
      <w:r>
        <w:t>los</w:t>
      </w:r>
      <w:r>
        <w:rPr>
          <w:spacing w:val="-6"/>
        </w:rPr>
        <w:t xml:space="preserve"> </w:t>
      </w:r>
      <w:r>
        <w:t>estados</w:t>
      </w:r>
      <w:r>
        <w:rPr>
          <w:spacing w:val="-7"/>
        </w:rPr>
        <w:t xml:space="preserve"> </w:t>
      </w:r>
      <w:r>
        <w:t>de</w:t>
      </w:r>
      <w:r>
        <w:rPr>
          <w:spacing w:val="-6"/>
        </w:rPr>
        <w:t xml:space="preserve"> </w:t>
      </w:r>
      <w:r>
        <w:t>sitio</w:t>
      </w:r>
      <w:r>
        <w:rPr>
          <w:spacing w:val="-7"/>
        </w:rPr>
        <w:t xml:space="preserve"> </w:t>
      </w:r>
      <w:r>
        <w:t>de</w:t>
      </w:r>
      <w:r>
        <w:rPr>
          <w:spacing w:val="-6"/>
        </w:rPr>
        <w:t xml:space="preserve"> </w:t>
      </w:r>
      <w:r>
        <w:t>1965</w:t>
      </w:r>
      <w:r w:rsidR="00ED6C2F">
        <w:rPr>
          <w:rStyle w:val="Refdenotaalpie"/>
        </w:rPr>
        <w:footnoteReference w:id="841"/>
      </w:r>
      <w:r>
        <w:rPr>
          <w:spacing w:val="-6"/>
        </w:rPr>
        <w:t xml:space="preserve"> </w:t>
      </w:r>
      <w:r>
        <w:t>y</w:t>
      </w:r>
      <w:r>
        <w:rPr>
          <w:spacing w:val="-6"/>
        </w:rPr>
        <w:t xml:space="preserve"> </w:t>
      </w:r>
      <w:r>
        <w:t>1968</w:t>
      </w:r>
      <w:r w:rsidR="00ED6C2F">
        <w:rPr>
          <w:rStyle w:val="Refdenotaalpie"/>
        </w:rPr>
        <w:footnoteReference w:id="842"/>
      </w:r>
      <w:r>
        <w:t>, se</w:t>
      </w:r>
      <w:r>
        <w:rPr>
          <w:spacing w:val="-10"/>
        </w:rPr>
        <w:t xml:space="preserve"> </w:t>
      </w:r>
      <w:r>
        <w:t>adoptaron</w:t>
      </w:r>
      <w:r>
        <w:rPr>
          <w:spacing w:val="-11"/>
        </w:rPr>
        <w:t xml:space="preserve"> </w:t>
      </w:r>
      <w:r>
        <w:t>las</w:t>
      </w:r>
      <w:r>
        <w:rPr>
          <w:spacing w:val="-10"/>
        </w:rPr>
        <w:t xml:space="preserve"> </w:t>
      </w:r>
      <w:r>
        <w:t>bases</w:t>
      </w:r>
      <w:r>
        <w:rPr>
          <w:spacing w:val="-11"/>
        </w:rPr>
        <w:t xml:space="preserve"> </w:t>
      </w:r>
      <w:r>
        <w:t>institucionales</w:t>
      </w:r>
      <w:r>
        <w:rPr>
          <w:spacing w:val="-11"/>
        </w:rPr>
        <w:t xml:space="preserve"> </w:t>
      </w:r>
      <w:r>
        <w:t>de</w:t>
      </w:r>
      <w:r>
        <w:rPr>
          <w:spacing w:val="-10"/>
        </w:rPr>
        <w:t xml:space="preserve"> </w:t>
      </w:r>
      <w:r>
        <w:t>la</w:t>
      </w:r>
      <w:r>
        <w:rPr>
          <w:spacing w:val="-10"/>
        </w:rPr>
        <w:t xml:space="preserve"> </w:t>
      </w:r>
      <w:r>
        <w:t>doctrina</w:t>
      </w:r>
      <w:r>
        <w:rPr>
          <w:spacing w:val="-10"/>
        </w:rPr>
        <w:t xml:space="preserve"> </w:t>
      </w:r>
      <w:r>
        <w:t>de</w:t>
      </w:r>
      <w:r>
        <w:rPr>
          <w:spacing w:val="-10"/>
        </w:rPr>
        <w:t xml:space="preserve"> </w:t>
      </w:r>
      <w:r>
        <w:t>seguridad</w:t>
      </w:r>
      <w:r>
        <w:rPr>
          <w:spacing w:val="-10"/>
        </w:rPr>
        <w:t xml:space="preserve"> </w:t>
      </w:r>
      <w:r>
        <w:t>nacional,</w:t>
      </w:r>
      <w:r>
        <w:rPr>
          <w:spacing w:val="-11"/>
        </w:rPr>
        <w:t xml:space="preserve"> </w:t>
      </w:r>
      <w:r>
        <w:t>que</w:t>
      </w:r>
      <w:r>
        <w:rPr>
          <w:spacing w:val="-10"/>
        </w:rPr>
        <w:t xml:space="preserve"> </w:t>
      </w:r>
      <w:r>
        <w:t>se</w:t>
      </w:r>
      <w:r>
        <w:rPr>
          <w:spacing w:val="-10"/>
        </w:rPr>
        <w:t xml:space="preserve"> </w:t>
      </w:r>
      <w:r>
        <w:t xml:space="preserve">caracterizó por definir unos </w:t>
      </w:r>
      <w:r>
        <w:rPr>
          <w:i/>
        </w:rPr>
        <w:t xml:space="preserve">objetivos nacionales </w:t>
      </w:r>
      <w:r>
        <w:t>específicos y priorizar los intereses de los sectores políticos, ideológicos, económicos y sociales privilegiados y asumirlos como intereses públicos,</w:t>
      </w:r>
      <w:r>
        <w:rPr>
          <w:spacing w:val="-7"/>
        </w:rPr>
        <w:t xml:space="preserve"> </w:t>
      </w:r>
      <w:r>
        <w:t>desconociendo</w:t>
      </w:r>
      <w:r>
        <w:rPr>
          <w:spacing w:val="-7"/>
        </w:rPr>
        <w:t xml:space="preserve"> </w:t>
      </w:r>
      <w:r>
        <w:t>con</w:t>
      </w:r>
      <w:r>
        <w:rPr>
          <w:spacing w:val="-6"/>
        </w:rPr>
        <w:t xml:space="preserve"> </w:t>
      </w:r>
      <w:r>
        <w:t>ello</w:t>
      </w:r>
      <w:r>
        <w:rPr>
          <w:spacing w:val="-7"/>
        </w:rPr>
        <w:t xml:space="preserve"> </w:t>
      </w:r>
      <w:r>
        <w:t>la</w:t>
      </w:r>
      <w:r>
        <w:rPr>
          <w:spacing w:val="-7"/>
        </w:rPr>
        <w:t xml:space="preserve"> </w:t>
      </w:r>
      <w:r>
        <w:t>diversidad</w:t>
      </w:r>
      <w:r>
        <w:rPr>
          <w:spacing w:val="-6"/>
        </w:rPr>
        <w:t xml:space="preserve"> </w:t>
      </w:r>
      <w:r>
        <w:t>de</w:t>
      </w:r>
      <w:r>
        <w:rPr>
          <w:spacing w:val="-6"/>
        </w:rPr>
        <w:t xml:space="preserve"> </w:t>
      </w:r>
      <w:r>
        <w:t>objetivos</w:t>
      </w:r>
      <w:r>
        <w:rPr>
          <w:spacing w:val="-7"/>
        </w:rPr>
        <w:t xml:space="preserve"> </w:t>
      </w:r>
      <w:r>
        <w:t>e</w:t>
      </w:r>
      <w:r>
        <w:rPr>
          <w:spacing w:val="-7"/>
        </w:rPr>
        <w:t xml:space="preserve"> </w:t>
      </w:r>
      <w:r>
        <w:t>intereses</w:t>
      </w:r>
      <w:r>
        <w:rPr>
          <w:spacing w:val="-6"/>
        </w:rPr>
        <w:t xml:space="preserve"> </w:t>
      </w:r>
      <w:r>
        <w:t>legítimos</w:t>
      </w:r>
      <w:r>
        <w:rPr>
          <w:spacing w:val="-6"/>
        </w:rPr>
        <w:t xml:space="preserve"> </w:t>
      </w:r>
      <w:r>
        <w:t>que</w:t>
      </w:r>
      <w:r>
        <w:rPr>
          <w:spacing w:val="-8"/>
        </w:rPr>
        <w:t xml:space="preserve"> </w:t>
      </w:r>
      <w:r>
        <w:t>existen en una sociedad pluralista ideológicamente, pluriétnica y multicultural.</w:t>
      </w:r>
    </w:p>
    <w:p w:rsidR="003804AC" w:rsidRDefault="00AF18A5" w:rsidP="00ED6C2F">
      <w:r>
        <w:lastRenderedPageBreak/>
        <w:t xml:space="preserve">A través de esta doctrina se pretendía unificar a la sociedad y al Estado en un concepto totalizante de </w:t>
      </w:r>
      <w:r>
        <w:rPr>
          <w:i/>
        </w:rPr>
        <w:t>poder nacional</w:t>
      </w:r>
      <w:r>
        <w:t>, cuyo objetivo era unir la capacidad del Estado y la sociedad, no</w:t>
      </w:r>
      <w:r>
        <w:rPr>
          <w:spacing w:val="-2"/>
        </w:rPr>
        <w:t xml:space="preserve"> </w:t>
      </w:r>
      <w:r>
        <w:t>solo</w:t>
      </w:r>
      <w:r>
        <w:rPr>
          <w:spacing w:val="-2"/>
        </w:rPr>
        <w:t xml:space="preserve"> </w:t>
      </w:r>
      <w:r>
        <w:t>en</w:t>
      </w:r>
      <w:r>
        <w:rPr>
          <w:spacing w:val="-2"/>
        </w:rPr>
        <w:t xml:space="preserve"> </w:t>
      </w:r>
      <w:r>
        <w:t>el</w:t>
      </w:r>
      <w:r>
        <w:rPr>
          <w:spacing w:val="-2"/>
        </w:rPr>
        <w:t xml:space="preserve"> </w:t>
      </w:r>
      <w:r>
        <w:t>ámbito</w:t>
      </w:r>
      <w:r>
        <w:rPr>
          <w:spacing w:val="-2"/>
        </w:rPr>
        <w:t xml:space="preserve"> </w:t>
      </w:r>
      <w:r>
        <w:t>militar,</w:t>
      </w:r>
      <w:r>
        <w:rPr>
          <w:spacing w:val="-2"/>
        </w:rPr>
        <w:t xml:space="preserve"> </w:t>
      </w:r>
      <w:r>
        <w:t>sino</w:t>
      </w:r>
      <w:r>
        <w:rPr>
          <w:spacing w:val="-2"/>
        </w:rPr>
        <w:t xml:space="preserve"> </w:t>
      </w:r>
      <w:r>
        <w:t>en</w:t>
      </w:r>
      <w:r>
        <w:rPr>
          <w:spacing w:val="-2"/>
        </w:rPr>
        <w:t xml:space="preserve"> </w:t>
      </w:r>
      <w:r>
        <w:t>el</w:t>
      </w:r>
      <w:r>
        <w:rPr>
          <w:spacing w:val="-2"/>
        </w:rPr>
        <w:t xml:space="preserve"> </w:t>
      </w:r>
      <w:r>
        <w:t>político,</w:t>
      </w:r>
      <w:r>
        <w:rPr>
          <w:spacing w:val="-2"/>
        </w:rPr>
        <w:t xml:space="preserve"> </w:t>
      </w:r>
      <w:r>
        <w:t>económico</w:t>
      </w:r>
      <w:r>
        <w:rPr>
          <w:spacing w:val="-2"/>
        </w:rPr>
        <w:t xml:space="preserve"> </w:t>
      </w:r>
      <w:r>
        <w:t>y</w:t>
      </w:r>
      <w:r>
        <w:rPr>
          <w:spacing w:val="-2"/>
        </w:rPr>
        <w:t xml:space="preserve"> </w:t>
      </w:r>
      <w:r>
        <w:t>social,</w:t>
      </w:r>
      <w:r>
        <w:rPr>
          <w:spacing w:val="-2"/>
        </w:rPr>
        <w:t xml:space="preserve"> </w:t>
      </w:r>
      <w:r>
        <w:t>para</w:t>
      </w:r>
      <w:r>
        <w:rPr>
          <w:spacing w:val="-2"/>
        </w:rPr>
        <w:t xml:space="preserve"> </w:t>
      </w:r>
      <w:r>
        <w:t>defender</w:t>
      </w:r>
      <w:r>
        <w:rPr>
          <w:spacing w:val="-2"/>
        </w:rPr>
        <w:t xml:space="preserve"> </w:t>
      </w:r>
      <w:r>
        <w:t>al</w:t>
      </w:r>
      <w:r>
        <w:rPr>
          <w:spacing w:val="-2"/>
        </w:rPr>
        <w:t xml:space="preserve"> </w:t>
      </w:r>
      <w:r>
        <w:t>Estado y</w:t>
      </w:r>
      <w:r>
        <w:rPr>
          <w:spacing w:val="-6"/>
        </w:rPr>
        <w:t xml:space="preserve"> </w:t>
      </w:r>
      <w:r>
        <w:t>los</w:t>
      </w:r>
      <w:r>
        <w:rPr>
          <w:spacing w:val="-2"/>
        </w:rPr>
        <w:t xml:space="preserve"> </w:t>
      </w:r>
      <w:r>
        <w:t>objetivos</w:t>
      </w:r>
      <w:r>
        <w:rPr>
          <w:spacing w:val="-3"/>
        </w:rPr>
        <w:t xml:space="preserve"> </w:t>
      </w:r>
      <w:r>
        <w:t>nacionales.</w:t>
      </w:r>
      <w:r>
        <w:rPr>
          <w:spacing w:val="-3"/>
        </w:rPr>
        <w:t xml:space="preserve"> </w:t>
      </w:r>
      <w:r>
        <w:t>La</w:t>
      </w:r>
      <w:r>
        <w:rPr>
          <w:spacing w:val="-2"/>
        </w:rPr>
        <w:t xml:space="preserve"> </w:t>
      </w:r>
      <w:r>
        <w:t>doctrina</w:t>
      </w:r>
      <w:r>
        <w:rPr>
          <w:spacing w:val="-3"/>
        </w:rPr>
        <w:t xml:space="preserve"> </w:t>
      </w:r>
      <w:r>
        <w:t>partió,</w:t>
      </w:r>
      <w:r>
        <w:rPr>
          <w:spacing w:val="-3"/>
        </w:rPr>
        <w:t xml:space="preserve"> </w:t>
      </w:r>
      <w:r>
        <w:t>además,</w:t>
      </w:r>
      <w:r>
        <w:rPr>
          <w:spacing w:val="-4"/>
        </w:rPr>
        <w:t xml:space="preserve"> </w:t>
      </w:r>
      <w:r>
        <w:t>de</w:t>
      </w:r>
      <w:r>
        <w:rPr>
          <w:spacing w:val="-2"/>
        </w:rPr>
        <w:t xml:space="preserve"> </w:t>
      </w:r>
      <w:r>
        <w:t>la</w:t>
      </w:r>
      <w:r>
        <w:rPr>
          <w:spacing w:val="-4"/>
        </w:rPr>
        <w:t xml:space="preserve"> </w:t>
      </w:r>
      <w:r>
        <w:t>identificación</w:t>
      </w:r>
      <w:r>
        <w:rPr>
          <w:spacing w:val="-5"/>
        </w:rPr>
        <w:t xml:space="preserve"> </w:t>
      </w:r>
      <w:r>
        <w:t>y</w:t>
      </w:r>
      <w:r>
        <w:rPr>
          <w:spacing w:val="-3"/>
        </w:rPr>
        <w:t xml:space="preserve"> </w:t>
      </w:r>
      <w:r>
        <w:t>persecución</w:t>
      </w:r>
      <w:r>
        <w:rPr>
          <w:spacing w:val="-3"/>
        </w:rPr>
        <w:t xml:space="preserve"> </w:t>
      </w:r>
      <w:r>
        <w:rPr>
          <w:spacing w:val="-5"/>
        </w:rPr>
        <w:t>del</w:t>
      </w:r>
      <w:r w:rsidR="00ED6C2F">
        <w:t xml:space="preserve"> </w:t>
      </w:r>
      <w:r>
        <w:t>«enemigo», que es «interno», pues no es una amenaza extranjera, sino nacional, y que está constituido por todo aquel que no se alinee a los objetivos nacionales y que no se sume al poder nacional. La estrategia de la doctrina de seguridad nacional se sirvió, entonces, de la militarización de territorios considerados como zonas especiales de orden público y del desarrollo</w:t>
      </w:r>
      <w:r>
        <w:rPr>
          <w:spacing w:val="-2"/>
        </w:rPr>
        <w:t xml:space="preserve"> </w:t>
      </w:r>
      <w:r>
        <w:t>de</w:t>
      </w:r>
      <w:r>
        <w:rPr>
          <w:spacing w:val="-2"/>
        </w:rPr>
        <w:t xml:space="preserve"> </w:t>
      </w:r>
      <w:r>
        <w:rPr>
          <w:i/>
        </w:rPr>
        <w:t>acciones</w:t>
      </w:r>
      <w:r>
        <w:rPr>
          <w:i/>
          <w:spacing w:val="-3"/>
        </w:rPr>
        <w:t xml:space="preserve"> </w:t>
      </w:r>
      <w:r>
        <w:rPr>
          <w:i/>
        </w:rPr>
        <w:t>cívico-militares</w:t>
      </w:r>
      <w:r>
        <w:rPr>
          <w:i/>
          <w:spacing w:val="-2"/>
        </w:rPr>
        <w:t xml:space="preserve"> </w:t>
      </w:r>
      <w:r>
        <w:t>para</w:t>
      </w:r>
      <w:r>
        <w:rPr>
          <w:spacing w:val="-2"/>
        </w:rPr>
        <w:t xml:space="preserve"> </w:t>
      </w:r>
      <w:r>
        <w:t>atender</w:t>
      </w:r>
      <w:r>
        <w:rPr>
          <w:spacing w:val="-2"/>
        </w:rPr>
        <w:t xml:space="preserve"> </w:t>
      </w:r>
      <w:r>
        <w:t>las</w:t>
      </w:r>
      <w:r>
        <w:rPr>
          <w:spacing w:val="-2"/>
        </w:rPr>
        <w:t xml:space="preserve"> </w:t>
      </w:r>
      <w:r>
        <w:t>necesidades</w:t>
      </w:r>
      <w:r>
        <w:rPr>
          <w:spacing w:val="-2"/>
        </w:rPr>
        <w:t xml:space="preserve"> </w:t>
      </w:r>
      <w:r>
        <w:t>básicas</w:t>
      </w:r>
      <w:r>
        <w:rPr>
          <w:spacing w:val="-2"/>
        </w:rPr>
        <w:t xml:space="preserve"> </w:t>
      </w:r>
      <w:r>
        <w:t>de</w:t>
      </w:r>
      <w:r>
        <w:rPr>
          <w:spacing w:val="-2"/>
        </w:rPr>
        <w:t xml:space="preserve"> </w:t>
      </w:r>
      <w:r>
        <w:t>la</w:t>
      </w:r>
      <w:r>
        <w:rPr>
          <w:spacing w:val="-2"/>
        </w:rPr>
        <w:t xml:space="preserve"> </w:t>
      </w:r>
      <w:r>
        <w:t>población, como medio para ganar su simpatía y, a la vez, realizar labores de inteligencia, obteniendo información a través de las actividades civiles que adelanta con la población. Así mismo, consideraba</w:t>
      </w:r>
      <w:r>
        <w:rPr>
          <w:spacing w:val="54"/>
        </w:rPr>
        <w:t xml:space="preserve"> </w:t>
      </w:r>
      <w:r>
        <w:t>legítima</w:t>
      </w:r>
      <w:r>
        <w:rPr>
          <w:spacing w:val="55"/>
        </w:rPr>
        <w:t xml:space="preserve"> </w:t>
      </w:r>
      <w:r>
        <w:t>la</w:t>
      </w:r>
      <w:r>
        <w:rPr>
          <w:spacing w:val="54"/>
        </w:rPr>
        <w:t xml:space="preserve"> </w:t>
      </w:r>
      <w:r>
        <w:t>conformación</w:t>
      </w:r>
      <w:r>
        <w:rPr>
          <w:spacing w:val="56"/>
        </w:rPr>
        <w:t xml:space="preserve"> </w:t>
      </w:r>
      <w:r>
        <w:t>de</w:t>
      </w:r>
      <w:r>
        <w:rPr>
          <w:spacing w:val="55"/>
        </w:rPr>
        <w:t xml:space="preserve"> </w:t>
      </w:r>
      <w:r>
        <w:t>grupos</w:t>
      </w:r>
      <w:r>
        <w:rPr>
          <w:spacing w:val="56"/>
        </w:rPr>
        <w:t xml:space="preserve"> </w:t>
      </w:r>
      <w:r>
        <w:t>civiles</w:t>
      </w:r>
      <w:r>
        <w:rPr>
          <w:spacing w:val="55"/>
        </w:rPr>
        <w:t xml:space="preserve"> </w:t>
      </w:r>
      <w:r>
        <w:t>armados</w:t>
      </w:r>
      <w:r>
        <w:rPr>
          <w:spacing w:val="56"/>
        </w:rPr>
        <w:t xml:space="preserve"> </w:t>
      </w:r>
      <w:r>
        <w:t>en</w:t>
      </w:r>
      <w:r>
        <w:rPr>
          <w:spacing w:val="54"/>
        </w:rPr>
        <w:t xml:space="preserve"> </w:t>
      </w:r>
      <w:r>
        <w:t>pro</w:t>
      </w:r>
      <w:r>
        <w:rPr>
          <w:spacing w:val="56"/>
        </w:rPr>
        <w:t xml:space="preserve"> </w:t>
      </w:r>
      <w:r>
        <w:t>de</w:t>
      </w:r>
      <w:r>
        <w:rPr>
          <w:spacing w:val="55"/>
        </w:rPr>
        <w:t xml:space="preserve"> </w:t>
      </w:r>
      <w:r>
        <w:t>la</w:t>
      </w:r>
      <w:r>
        <w:rPr>
          <w:spacing w:val="56"/>
        </w:rPr>
        <w:t xml:space="preserve"> </w:t>
      </w:r>
      <w:r>
        <w:rPr>
          <w:spacing w:val="-2"/>
        </w:rPr>
        <w:t>defensa</w:t>
      </w:r>
      <w:bookmarkStart w:id="1039" w:name="_bookmark916"/>
      <w:bookmarkStart w:id="1040" w:name="_bookmark917"/>
      <w:bookmarkStart w:id="1041" w:name="_bookmark918"/>
      <w:bookmarkEnd w:id="1039"/>
      <w:bookmarkEnd w:id="1040"/>
      <w:bookmarkEnd w:id="1041"/>
      <w:r w:rsidR="00ED6C2F">
        <w:rPr>
          <w:spacing w:val="-2"/>
        </w:rPr>
        <w:t xml:space="preserve"> </w:t>
      </w:r>
      <w:r>
        <w:t>nacional. Para tal fin, subordinó a la Policía a las necesidades militares y se sirvió de las actividades de inteligencia para la persecución del enemigo.</w:t>
      </w:r>
    </w:p>
    <w:p w:rsidR="003804AC" w:rsidRDefault="00AF18A5" w:rsidP="00ED6C2F">
      <w:r>
        <w:t>El</w:t>
      </w:r>
      <w:r>
        <w:rPr>
          <w:spacing w:val="-15"/>
        </w:rPr>
        <w:t xml:space="preserve"> </w:t>
      </w:r>
      <w:r>
        <w:t>inicio</w:t>
      </w:r>
      <w:r>
        <w:rPr>
          <w:spacing w:val="-15"/>
        </w:rPr>
        <w:t xml:space="preserve"> </w:t>
      </w:r>
      <w:r>
        <w:t>del</w:t>
      </w:r>
      <w:r>
        <w:rPr>
          <w:spacing w:val="-15"/>
        </w:rPr>
        <w:t xml:space="preserve"> </w:t>
      </w:r>
      <w:r>
        <w:t>discurso</w:t>
      </w:r>
      <w:r>
        <w:rPr>
          <w:spacing w:val="-15"/>
        </w:rPr>
        <w:t xml:space="preserve"> </w:t>
      </w:r>
      <w:r>
        <w:t>de</w:t>
      </w:r>
      <w:r>
        <w:rPr>
          <w:spacing w:val="-15"/>
        </w:rPr>
        <w:t xml:space="preserve"> </w:t>
      </w:r>
      <w:r>
        <w:t>la</w:t>
      </w:r>
      <w:r>
        <w:rPr>
          <w:spacing w:val="-15"/>
        </w:rPr>
        <w:t xml:space="preserve"> </w:t>
      </w:r>
      <w:r>
        <w:t>guerra</w:t>
      </w:r>
      <w:r>
        <w:rPr>
          <w:spacing w:val="-15"/>
        </w:rPr>
        <w:t xml:space="preserve"> </w:t>
      </w:r>
      <w:r>
        <w:t>contra</w:t>
      </w:r>
      <w:r>
        <w:rPr>
          <w:spacing w:val="-15"/>
        </w:rPr>
        <w:t xml:space="preserve"> </w:t>
      </w:r>
      <w:r>
        <w:t>el</w:t>
      </w:r>
      <w:r>
        <w:rPr>
          <w:spacing w:val="-15"/>
        </w:rPr>
        <w:t xml:space="preserve"> </w:t>
      </w:r>
      <w:r>
        <w:t>terrorismo</w:t>
      </w:r>
      <w:r>
        <w:rPr>
          <w:spacing w:val="-15"/>
        </w:rPr>
        <w:t xml:space="preserve"> </w:t>
      </w:r>
      <w:r>
        <w:t>se</w:t>
      </w:r>
      <w:r>
        <w:rPr>
          <w:spacing w:val="-15"/>
        </w:rPr>
        <w:t xml:space="preserve"> </w:t>
      </w:r>
      <w:r>
        <w:t>fue</w:t>
      </w:r>
      <w:r>
        <w:rPr>
          <w:spacing w:val="-15"/>
        </w:rPr>
        <w:t xml:space="preserve"> </w:t>
      </w:r>
      <w:r>
        <w:t>sustituyendo</w:t>
      </w:r>
      <w:r>
        <w:rPr>
          <w:spacing w:val="-15"/>
        </w:rPr>
        <w:t xml:space="preserve"> </w:t>
      </w:r>
      <w:r>
        <w:t>progresivamente por</w:t>
      </w:r>
      <w:r>
        <w:rPr>
          <w:spacing w:val="-6"/>
        </w:rPr>
        <w:t xml:space="preserve"> </w:t>
      </w:r>
      <w:r>
        <w:t>el</w:t>
      </w:r>
      <w:r>
        <w:rPr>
          <w:spacing w:val="-6"/>
        </w:rPr>
        <w:t xml:space="preserve"> </w:t>
      </w:r>
      <w:r>
        <w:t>discurso</w:t>
      </w:r>
      <w:r>
        <w:rPr>
          <w:spacing w:val="-6"/>
        </w:rPr>
        <w:t xml:space="preserve"> </w:t>
      </w:r>
      <w:r>
        <w:t>de</w:t>
      </w:r>
      <w:r>
        <w:rPr>
          <w:spacing w:val="-6"/>
        </w:rPr>
        <w:t xml:space="preserve"> </w:t>
      </w:r>
      <w:r>
        <w:t>la</w:t>
      </w:r>
      <w:r>
        <w:rPr>
          <w:spacing w:val="-7"/>
        </w:rPr>
        <w:t xml:space="preserve"> </w:t>
      </w:r>
      <w:r>
        <w:t>guerra</w:t>
      </w:r>
      <w:r>
        <w:rPr>
          <w:spacing w:val="-6"/>
        </w:rPr>
        <w:t xml:space="preserve"> </w:t>
      </w:r>
      <w:r>
        <w:t>contrainsurgente,</w:t>
      </w:r>
      <w:r>
        <w:rPr>
          <w:spacing w:val="-7"/>
        </w:rPr>
        <w:t xml:space="preserve"> </w:t>
      </w:r>
      <w:r>
        <w:t>en</w:t>
      </w:r>
      <w:r>
        <w:rPr>
          <w:spacing w:val="-6"/>
        </w:rPr>
        <w:t xml:space="preserve"> </w:t>
      </w:r>
      <w:r>
        <w:t>especial</w:t>
      </w:r>
      <w:r>
        <w:rPr>
          <w:spacing w:val="-6"/>
        </w:rPr>
        <w:t xml:space="preserve"> </w:t>
      </w:r>
      <w:r>
        <w:t>por</w:t>
      </w:r>
      <w:r>
        <w:rPr>
          <w:spacing w:val="-7"/>
        </w:rPr>
        <w:t xml:space="preserve"> </w:t>
      </w:r>
      <w:r>
        <w:t>el</w:t>
      </w:r>
      <w:r>
        <w:rPr>
          <w:spacing w:val="-6"/>
        </w:rPr>
        <w:t xml:space="preserve"> </w:t>
      </w:r>
      <w:r>
        <w:t>fin</w:t>
      </w:r>
      <w:r>
        <w:rPr>
          <w:spacing w:val="-7"/>
        </w:rPr>
        <w:t xml:space="preserve"> </w:t>
      </w:r>
      <w:r>
        <w:t>de</w:t>
      </w:r>
      <w:r>
        <w:rPr>
          <w:spacing w:val="-7"/>
        </w:rPr>
        <w:t xml:space="preserve"> </w:t>
      </w:r>
      <w:r>
        <w:t>la</w:t>
      </w:r>
      <w:r>
        <w:rPr>
          <w:spacing w:val="-6"/>
        </w:rPr>
        <w:t xml:space="preserve"> </w:t>
      </w:r>
      <w:r>
        <w:t>Guerra</w:t>
      </w:r>
      <w:r>
        <w:rPr>
          <w:spacing w:val="-6"/>
        </w:rPr>
        <w:t xml:space="preserve"> </w:t>
      </w:r>
      <w:r>
        <w:t>Fría</w:t>
      </w:r>
      <w:r>
        <w:rPr>
          <w:spacing w:val="-7"/>
        </w:rPr>
        <w:t xml:space="preserve"> </w:t>
      </w:r>
      <w:r>
        <w:t>en</w:t>
      </w:r>
      <w:r>
        <w:rPr>
          <w:spacing w:val="-7"/>
        </w:rPr>
        <w:t xml:space="preserve"> </w:t>
      </w:r>
      <w:r>
        <w:t>1989 y</w:t>
      </w:r>
      <w:r>
        <w:rPr>
          <w:spacing w:val="-15"/>
        </w:rPr>
        <w:t xml:space="preserve"> </w:t>
      </w:r>
      <w:r>
        <w:t>luego</w:t>
      </w:r>
      <w:r>
        <w:rPr>
          <w:spacing w:val="-15"/>
        </w:rPr>
        <w:t xml:space="preserve"> </w:t>
      </w:r>
      <w:r>
        <w:t>por</w:t>
      </w:r>
      <w:r>
        <w:rPr>
          <w:spacing w:val="-15"/>
        </w:rPr>
        <w:t xml:space="preserve"> </w:t>
      </w:r>
      <w:r>
        <w:t>el</w:t>
      </w:r>
      <w:r>
        <w:rPr>
          <w:spacing w:val="-15"/>
        </w:rPr>
        <w:t xml:space="preserve"> </w:t>
      </w:r>
      <w:r>
        <w:t>ataque</w:t>
      </w:r>
      <w:r>
        <w:rPr>
          <w:spacing w:val="-15"/>
        </w:rPr>
        <w:t xml:space="preserve"> </w:t>
      </w:r>
      <w:r>
        <w:t>a</w:t>
      </w:r>
      <w:r>
        <w:rPr>
          <w:spacing w:val="-15"/>
        </w:rPr>
        <w:t xml:space="preserve"> </w:t>
      </w:r>
      <w:r>
        <w:t>las</w:t>
      </w:r>
      <w:r>
        <w:rPr>
          <w:spacing w:val="-15"/>
        </w:rPr>
        <w:t xml:space="preserve"> </w:t>
      </w:r>
      <w:r>
        <w:t>Torres</w:t>
      </w:r>
      <w:r>
        <w:rPr>
          <w:spacing w:val="-15"/>
        </w:rPr>
        <w:t xml:space="preserve"> </w:t>
      </w:r>
      <w:r>
        <w:t>Gemelas</w:t>
      </w:r>
      <w:r>
        <w:rPr>
          <w:spacing w:val="-15"/>
        </w:rPr>
        <w:t xml:space="preserve"> </w:t>
      </w:r>
      <w:r>
        <w:t>de</w:t>
      </w:r>
      <w:r>
        <w:rPr>
          <w:spacing w:val="-15"/>
        </w:rPr>
        <w:t xml:space="preserve"> </w:t>
      </w:r>
      <w:r>
        <w:t>Nueva</w:t>
      </w:r>
      <w:r>
        <w:rPr>
          <w:spacing w:val="-15"/>
        </w:rPr>
        <w:t xml:space="preserve"> </w:t>
      </w:r>
      <w:r>
        <w:t>York</w:t>
      </w:r>
      <w:r>
        <w:rPr>
          <w:spacing w:val="-15"/>
        </w:rPr>
        <w:t xml:space="preserve"> </w:t>
      </w:r>
      <w:r>
        <w:t>el</w:t>
      </w:r>
      <w:r>
        <w:rPr>
          <w:spacing w:val="-15"/>
        </w:rPr>
        <w:t xml:space="preserve"> </w:t>
      </w:r>
      <w:r>
        <w:t>9</w:t>
      </w:r>
      <w:r>
        <w:rPr>
          <w:spacing w:val="-15"/>
        </w:rPr>
        <w:t xml:space="preserve"> </w:t>
      </w:r>
      <w:r>
        <w:t>de</w:t>
      </w:r>
      <w:r>
        <w:rPr>
          <w:spacing w:val="-15"/>
        </w:rPr>
        <w:t xml:space="preserve"> </w:t>
      </w:r>
      <w:r>
        <w:t>septiembre</w:t>
      </w:r>
      <w:r>
        <w:rPr>
          <w:spacing w:val="-15"/>
        </w:rPr>
        <w:t xml:space="preserve"> </w:t>
      </w:r>
      <w:r>
        <w:t>de</w:t>
      </w:r>
      <w:r>
        <w:rPr>
          <w:spacing w:val="-15"/>
        </w:rPr>
        <w:t xml:space="preserve"> </w:t>
      </w:r>
      <w:r>
        <w:t>2001,</w:t>
      </w:r>
      <w:r>
        <w:rPr>
          <w:spacing w:val="-15"/>
        </w:rPr>
        <w:t xml:space="preserve"> </w:t>
      </w:r>
      <w:r>
        <w:t>durante el gobierno de George W. Bush (2001-2009).</w:t>
      </w:r>
    </w:p>
    <w:p w:rsidR="003804AC" w:rsidRDefault="00AF18A5" w:rsidP="00ED6C2F">
      <w:r>
        <w:t>La</w:t>
      </w:r>
      <w:r>
        <w:rPr>
          <w:spacing w:val="-5"/>
        </w:rPr>
        <w:t xml:space="preserve"> </w:t>
      </w:r>
      <w:r>
        <w:t>unión</w:t>
      </w:r>
      <w:r>
        <w:rPr>
          <w:spacing w:val="-5"/>
        </w:rPr>
        <w:t xml:space="preserve"> </w:t>
      </w:r>
      <w:r>
        <w:t>de</w:t>
      </w:r>
      <w:r>
        <w:rPr>
          <w:spacing w:val="-7"/>
        </w:rPr>
        <w:t xml:space="preserve"> </w:t>
      </w:r>
      <w:r>
        <w:t>los</w:t>
      </w:r>
      <w:r>
        <w:rPr>
          <w:spacing w:val="-5"/>
        </w:rPr>
        <w:t xml:space="preserve"> </w:t>
      </w:r>
      <w:r>
        <w:t>intereses</w:t>
      </w:r>
      <w:r>
        <w:rPr>
          <w:spacing w:val="-6"/>
        </w:rPr>
        <w:t xml:space="preserve"> </w:t>
      </w:r>
      <w:r>
        <w:t>de</w:t>
      </w:r>
      <w:r>
        <w:rPr>
          <w:spacing w:val="-5"/>
        </w:rPr>
        <w:t xml:space="preserve"> </w:t>
      </w:r>
      <w:r>
        <w:t>Estados</w:t>
      </w:r>
      <w:r>
        <w:rPr>
          <w:spacing w:val="-6"/>
        </w:rPr>
        <w:t xml:space="preserve"> </w:t>
      </w:r>
      <w:r>
        <w:t>Unidos</w:t>
      </w:r>
      <w:r>
        <w:rPr>
          <w:spacing w:val="-5"/>
        </w:rPr>
        <w:t xml:space="preserve"> </w:t>
      </w:r>
      <w:r>
        <w:t>y</w:t>
      </w:r>
      <w:r>
        <w:rPr>
          <w:spacing w:val="-5"/>
        </w:rPr>
        <w:t xml:space="preserve"> </w:t>
      </w:r>
      <w:r>
        <w:t>los</w:t>
      </w:r>
      <w:r>
        <w:rPr>
          <w:spacing w:val="-6"/>
        </w:rPr>
        <w:t xml:space="preserve"> </w:t>
      </w:r>
      <w:r>
        <w:t>de</w:t>
      </w:r>
      <w:r>
        <w:rPr>
          <w:spacing w:val="-5"/>
        </w:rPr>
        <w:t xml:space="preserve"> </w:t>
      </w:r>
      <w:r>
        <w:t>Colombia</w:t>
      </w:r>
      <w:r>
        <w:rPr>
          <w:spacing w:val="-5"/>
        </w:rPr>
        <w:t xml:space="preserve"> </w:t>
      </w:r>
      <w:r>
        <w:t>llevó</w:t>
      </w:r>
      <w:r>
        <w:rPr>
          <w:spacing w:val="-5"/>
        </w:rPr>
        <w:t xml:space="preserve"> </w:t>
      </w:r>
      <w:r>
        <w:t>a</w:t>
      </w:r>
      <w:r>
        <w:rPr>
          <w:spacing w:val="-5"/>
        </w:rPr>
        <w:t xml:space="preserve"> </w:t>
      </w:r>
      <w:r>
        <w:t>que</w:t>
      </w:r>
      <w:r>
        <w:rPr>
          <w:spacing w:val="-6"/>
        </w:rPr>
        <w:t xml:space="preserve"> </w:t>
      </w:r>
      <w:r>
        <w:t>se</w:t>
      </w:r>
      <w:r>
        <w:rPr>
          <w:spacing w:val="-5"/>
        </w:rPr>
        <w:t xml:space="preserve"> </w:t>
      </w:r>
      <w:r>
        <w:t>construyera el Plan Colombia, en el que confluiría el discurso contrainsurgente, antiterrorista y antinarcóticos</w:t>
      </w:r>
      <w:r>
        <w:rPr>
          <w:spacing w:val="-15"/>
        </w:rPr>
        <w:t xml:space="preserve"> </w:t>
      </w:r>
      <w:r>
        <w:t>con</w:t>
      </w:r>
      <w:r>
        <w:rPr>
          <w:spacing w:val="-15"/>
        </w:rPr>
        <w:t xml:space="preserve"> </w:t>
      </w:r>
      <w:r>
        <w:t>la</w:t>
      </w:r>
      <w:r>
        <w:rPr>
          <w:spacing w:val="-15"/>
        </w:rPr>
        <w:t xml:space="preserve"> </w:t>
      </w:r>
      <w:r>
        <w:t>guerra</w:t>
      </w:r>
      <w:r>
        <w:rPr>
          <w:spacing w:val="-15"/>
        </w:rPr>
        <w:t xml:space="preserve"> </w:t>
      </w:r>
      <w:r>
        <w:t>contra</w:t>
      </w:r>
      <w:r>
        <w:rPr>
          <w:spacing w:val="-15"/>
        </w:rPr>
        <w:t xml:space="preserve"> </w:t>
      </w:r>
      <w:r>
        <w:t>el</w:t>
      </w:r>
      <w:r>
        <w:rPr>
          <w:spacing w:val="-15"/>
        </w:rPr>
        <w:t xml:space="preserve"> </w:t>
      </w:r>
      <w:r>
        <w:t>«narcoterrorismo».</w:t>
      </w:r>
      <w:r>
        <w:rPr>
          <w:spacing w:val="-15"/>
        </w:rPr>
        <w:t xml:space="preserve"> </w:t>
      </w:r>
      <w:r>
        <w:t>El</w:t>
      </w:r>
      <w:r>
        <w:rPr>
          <w:spacing w:val="-15"/>
        </w:rPr>
        <w:t xml:space="preserve"> </w:t>
      </w:r>
      <w:r>
        <w:t>paquete</w:t>
      </w:r>
      <w:r>
        <w:rPr>
          <w:spacing w:val="-15"/>
        </w:rPr>
        <w:t xml:space="preserve"> </w:t>
      </w:r>
      <w:r>
        <w:t>de</w:t>
      </w:r>
      <w:r>
        <w:rPr>
          <w:spacing w:val="-15"/>
        </w:rPr>
        <w:t xml:space="preserve"> </w:t>
      </w:r>
      <w:r>
        <w:t>cooperación</w:t>
      </w:r>
      <w:r>
        <w:rPr>
          <w:spacing w:val="-15"/>
        </w:rPr>
        <w:t xml:space="preserve"> </w:t>
      </w:r>
      <w:r>
        <w:t>se</w:t>
      </w:r>
      <w:r>
        <w:rPr>
          <w:spacing w:val="-15"/>
        </w:rPr>
        <w:t xml:space="preserve"> </w:t>
      </w:r>
      <w:r>
        <w:t xml:space="preserve">dirigió a las Fuerzas Militares, no solo a la Policía, como había sido hasta entonces la </w:t>
      </w:r>
      <w:r>
        <w:lastRenderedPageBreak/>
        <w:t>cooperación antinarcóticos. El Plan Colombia no se limitó al apoyo militar, también incluyó la financiación</w:t>
      </w:r>
      <w:r>
        <w:rPr>
          <w:spacing w:val="-15"/>
        </w:rPr>
        <w:t xml:space="preserve"> </w:t>
      </w:r>
      <w:r>
        <w:t>de</w:t>
      </w:r>
      <w:r>
        <w:rPr>
          <w:spacing w:val="-14"/>
        </w:rPr>
        <w:t xml:space="preserve"> </w:t>
      </w:r>
      <w:r>
        <w:t>medidas</w:t>
      </w:r>
      <w:r>
        <w:rPr>
          <w:spacing w:val="-14"/>
        </w:rPr>
        <w:t xml:space="preserve"> </w:t>
      </w:r>
      <w:r>
        <w:t>de</w:t>
      </w:r>
      <w:r>
        <w:rPr>
          <w:spacing w:val="-14"/>
        </w:rPr>
        <w:t xml:space="preserve"> </w:t>
      </w:r>
      <w:r>
        <w:t>desarrollo,</w:t>
      </w:r>
      <w:r>
        <w:rPr>
          <w:spacing w:val="-14"/>
        </w:rPr>
        <w:t xml:space="preserve"> </w:t>
      </w:r>
      <w:r>
        <w:t>el</w:t>
      </w:r>
      <w:r>
        <w:rPr>
          <w:spacing w:val="-14"/>
        </w:rPr>
        <w:t xml:space="preserve"> </w:t>
      </w:r>
      <w:r>
        <w:t>fortalecimiento</w:t>
      </w:r>
      <w:r>
        <w:rPr>
          <w:spacing w:val="-14"/>
        </w:rPr>
        <w:t xml:space="preserve"> </w:t>
      </w:r>
      <w:r>
        <w:t>a</w:t>
      </w:r>
      <w:r>
        <w:rPr>
          <w:spacing w:val="-14"/>
        </w:rPr>
        <w:t xml:space="preserve"> </w:t>
      </w:r>
      <w:r>
        <w:t>la</w:t>
      </w:r>
      <w:r>
        <w:rPr>
          <w:spacing w:val="-14"/>
        </w:rPr>
        <w:t xml:space="preserve"> </w:t>
      </w:r>
      <w:r>
        <w:t>justicia</w:t>
      </w:r>
      <w:r>
        <w:rPr>
          <w:spacing w:val="-14"/>
        </w:rPr>
        <w:t xml:space="preserve"> </w:t>
      </w:r>
      <w:r>
        <w:t>y</w:t>
      </w:r>
      <w:r>
        <w:rPr>
          <w:spacing w:val="-14"/>
        </w:rPr>
        <w:t xml:space="preserve"> </w:t>
      </w:r>
      <w:r>
        <w:t>en</w:t>
      </w:r>
      <w:r>
        <w:rPr>
          <w:spacing w:val="-15"/>
        </w:rPr>
        <w:t xml:space="preserve"> </w:t>
      </w:r>
      <w:r>
        <w:t>derechos</w:t>
      </w:r>
      <w:r>
        <w:rPr>
          <w:spacing w:val="-14"/>
        </w:rPr>
        <w:t xml:space="preserve"> </w:t>
      </w:r>
      <w:r>
        <w:t>humanos. Las Fuerzas Armadas recibieron entrenamiento militar y se involucraron en operaciones de erradicación de cultivos de uso ilícito. El apoyo para el modelo de seguridad también se dirigió a la protección de la infraestructura petrolera, como medio para dar confianza a los inversores</w:t>
      </w:r>
      <w:r>
        <w:rPr>
          <w:spacing w:val="-8"/>
        </w:rPr>
        <w:t xml:space="preserve"> </w:t>
      </w:r>
      <w:r>
        <w:t>extranjeros.</w:t>
      </w:r>
      <w:r>
        <w:rPr>
          <w:spacing w:val="-8"/>
        </w:rPr>
        <w:t xml:space="preserve"> </w:t>
      </w:r>
      <w:r>
        <w:t>Los</w:t>
      </w:r>
      <w:r>
        <w:rPr>
          <w:spacing w:val="-7"/>
        </w:rPr>
        <w:t xml:space="preserve"> </w:t>
      </w:r>
      <w:r>
        <w:t>ataques</w:t>
      </w:r>
      <w:r>
        <w:rPr>
          <w:spacing w:val="-8"/>
        </w:rPr>
        <w:t xml:space="preserve"> </w:t>
      </w:r>
      <w:r>
        <w:t>a</w:t>
      </w:r>
      <w:r>
        <w:rPr>
          <w:spacing w:val="-8"/>
        </w:rPr>
        <w:t xml:space="preserve"> </w:t>
      </w:r>
      <w:r>
        <w:t>la</w:t>
      </w:r>
      <w:r>
        <w:rPr>
          <w:spacing w:val="-8"/>
        </w:rPr>
        <w:t xml:space="preserve"> </w:t>
      </w:r>
      <w:r>
        <w:t>infraestructura</w:t>
      </w:r>
      <w:r>
        <w:rPr>
          <w:spacing w:val="-8"/>
        </w:rPr>
        <w:t xml:space="preserve"> </w:t>
      </w:r>
      <w:r>
        <w:t>de</w:t>
      </w:r>
      <w:r>
        <w:rPr>
          <w:spacing w:val="-8"/>
        </w:rPr>
        <w:t xml:space="preserve"> </w:t>
      </w:r>
      <w:r>
        <w:t>Caño</w:t>
      </w:r>
      <w:r>
        <w:rPr>
          <w:spacing w:val="-7"/>
        </w:rPr>
        <w:t xml:space="preserve"> </w:t>
      </w:r>
      <w:r>
        <w:t>Limón</w:t>
      </w:r>
      <w:r>
        <w:rPr>
          <w:spacing w:val="-8"/>
        </w:rPr>
        <w:t xml:space="preserve"> </w:t>
      </w:r>
      <w:r>
        <w:t>en</w:t>
      </w:r>
      <w:r>
        <w:rPr>
          <w:spacing w:val="-8"/>
        </w:rPr>
        <w:t xml:space="preserve"> </w:t>
      </w:r>
      <w:r>
        <w:t>Arauca</w:t>
      </w:r>
      <w:r>
        <w:rPr>
          <w:spacing w:val="-7"/>
        </w:rPr>
        <w:t xml:space="preserve"> </w:t>
      </w:r>
      <w:r>
        <w:t>se</w:t>
      </w:r>
      <w:r>
        <w:rPr>
          <w:spacing w:val="-7"/>
        </w:rPr>
        <w:t xml:space="preserve"> </w:t>
      </w:r>
      <w:r>
        <w:t>leían</w:t>
      </w:r>
      <w:r>
        <w:rPr>
          <w:spacing w:val="-7"/>
        </w:rPr>
        <w:t xml:space="preserve"> </w:t>
      </w:r>
      <w:r>
        <w:t>en Estados Unidos con gran preocupación, debido a los costos que esto generaba tanto para Colombia como para la misma multinacional Occidental:</w:t>
      </w:r>
    </w:p>
    <w:p w:rsidR="003804AC" w:rsidRDefault="00AF18A5" w:rsidP="00ED6C2F">
      <w:r>
        <w:t>[...] el sabotaje de los oleoductos por parte de la guerrilla le cuesta al GOC unos ingresos del orden</w:t>
      </w:r>
      <w:r>
        <w:rPr>
          <w:spacing w:val="-2"/>
        </w:rPr>
        <w:t xml:space="preserve"> </w:t>
      </w:r>
      <w:r>
        <w:t>de</w:t>
      </w:r>
      <w:r>
        <w:rPr>
          <w:spacing w:val="-4"/>
        </w:rPr>
        <w:t xml:space="preserve"> </w:t>
      </w:r>
      <w:r>
        <w:t>800-900</w:t>
      </w:r>
      <w:r>
        <w:rPr>
          <w:spacing w:val="-3"/>
        </w:rPr>
        <w:t xml:space="preserve"> </w:t>
      </w:r>
      <w:r>
        <w:t>millones</w:t>
      </w:r>
      <w:r>
        <w:rPr>
          <w:spacing w:val="-4"/>
        </w:rPr>
        <w:t xml:space="preserve"> </w:t>
      </w:r>
      <w:r>
        <w:t>de</w:t>
      </w:r>
      <w:r>
        <w:rPr>
          <w:spacing w:val="-3"/>
        </w:rPr>
        <w:t xml:space="preserve"> </w:t>
      </w:r>
      <w:r>
        <w:t>dólares</w:t>
      </w:r>
      <w:r>
        <w:rPr>
          <w:spacing w:val="-3"/>
        </w:rPr>
        <w:t xml:space="preserve"> </w:t>
      </w:r>
      <w:r>
        <w:t>por</w:t>
      </w:r>
      <w:r>
        <w:rPr>
          <w:spacing w:val="-2"/>
        </w:rPr>
        <w:t xml:space="preserve"> </w:t>
      </w:r>
      <w:r>
        <w:t>año.</w:t>
      </w:r>
      <w:r>
        <w:rPr>
          <w:spacing w:val="-3"/>
        </w:rPr>
        <w:t xml:space="preserve"> </w:t>
      </w:r>
      <w:r>
        <w:t>Sin</w:t>
      </w:r>
      <w:r>
        <w:rPr>
          <w:spacing w:val="-2"/>
        </w:rPr>
        <w:t xml:space="preserve"> </w:t>
      </w:r>
      <w:r>
        <w:t>embargo,</w:t>
      </w:r>
      <w:r>
        <w:rPr>
          <w:spacing w:val="-2"/>
        </w:rPr>
        <w:t xml:space="preserve"> </w:t>
      </w:r>
      <w:r>
        <w:t>la</w:t>
      </w:r>
      <w:r>
        <w:rPr>
          <w:spacing w:val="-4"/>
        </w:rPr>
        <w:t xml:space="preserve"> </w:t>
      </w:r>
      <w:r>
        <w:t>política</w:t>
      </w:r>
      <w:r>
        <w:rPr>
          <w:spacing w:val="-3"/>
        </w:rPr>
        <w:t xml:space="preserve"> </w:t>
      </w:r>
      <w:r>
        <w:t>y</w:t>
      </w:r>
      <w:r>
        <w:rPr>
          <w:spacing w:val="-2"/>
        </w:rPr>
        <w:t xml:space="preserve"> </w:t>
      </w:r>
      <w:r>
        <w:t>la</w:t>
      </w:r>
      <w:r>
        <w:rPr>
          <w:spacing w:val="-3"/>
        </w:rPr>
        <w:t xml:space="preserve"> </w:t>
      </w:r>
      <w:r>
        <w:t>ley</w:t>
      </w:r>
      <w:r>
        <w:rPr>
          <w:spacing w:val="-3"/>
        </w:rPr>
        <w:t xml:space="preserve"> </w:t>
      </w:r>
      <w:r>
        <w:t>no</w:t>
      </w:r>
      <w:r>
        <w:rPr>
          <w:spacing w:val="-2"/>
        </w:rPr>
        <w:t xml:space="preserve"> </w:t>
      </w:r>
      <w:r>
        <w:t>permiten</w:t>
      </w:r>
      <w:r>
        <w:rPr>
          <w:spacing w:val="-2"/>
        </w:rPr>
        <w:t xml:space="preserve"> </w:t>
      </w:r>
      <w:r>
        <w:t>la formación y el equipamiento de Estados Unidos para la protección de estas importantes infraestructuras económicas.</w:t>
      </w:r>
      <w:r w:rsidR="00ED6C2F">
        <w:rPr>
          <w:rStyle w:val="Refdenotaalpie"/>
        </w:rPr>
        <w:footnoteReference w:id="843"/>
      </w:r>
      <w:r w:rsidR="00ED6C2F">
        <w:t xml:space="preserve"> </w:t>
      </w:r>
    </w:p>
    <w:p w:rsidR="003804AC" w:rsidRDefault="00AF18A5" w:rsidP="00ED6C2F">
      <w:r>
        <w:t>En febrero del 2002, la embajadora de Estados Unidos en Colombia, Anne Patterson</w:t>
      </w:r>
      <w:r w:rsidR="00ED6C2F">
        <w:rPr>
          <w:rStyle w:val="Refdenotaalpie"/>
        </w:rPr>
        <w:footnoteReference w:id="844"/>
      </w:r>
      <w:r>
        <w:t>, anunció</w:t>
      </w:r>
      <w:r>
        <w:rPr>
          <w:spacing w:val="-6"/>
        </w:rPr>
        <w:t xml:space="preserve"> </w:t>
      </w:r>
      <w:r>
        <w:t>que</w:t>
      </w:r>
      <w:r>
        <w:rPr>
          <w:spacing w:val="-6"/>
        </w:rPr>
        <w:t xml:space="preserve"> </w:t>
      </w:r>
      <w:r>
        <w:t>el</w:t>
      </w:r>
      <w:r>
        <w:rPr>
          <w:spacing w:val="-5"/>
        </w:rPr>
        <w:t xml:space="preserve"> </w:t>
      </w:r>
      <w:r>
        <w:t>presidente</w:t>
      </w:r>
      <w:r>
        <w:rPr>
          <w:spacing w:val="-6"/>
        </w:rPr>
        <w:t xml:space="preserve"> </w:t>
      </w:r>
      <w:r>
        <w:t>Bush</w:t>
      </w:r>
      <w:r>
        <w:rPr>
          <w:spacing w:val="-6"/>
        </w:rPr>
        <w:t xml:space="preserve"> </w:t>
      </w:r>
      <w:r>
        <w:t>solicitaría</w:t>
      </w:r>
      <w:r>
        <w:rPr>
          <w:spacing w:val="-6"/>
        </w:rPr>
        <w:t xml:space="preserve"> </w:t>
      </w:r>
      <w:r>
        <w:t>98</w:t>
      </w:r>
      <w:r>
        <w:rPr>
          <w:spacing w:val="-6"/>
        </w:rPr>
        <w:t xml:space="preserve"> </w:t>
      </w:r>
      <w:r>
        <w:t>millones</w:t>
      </w:r>
      <w:r>
        <w:rPr>
          <w:spacing w:val="-6"/>
        </w:rPr>
        <w:t xml:space="preserve"> </w:t>
      </w:r>
      <w:r>
        <w:t>de</w:t>
      </w:r>
      <w:r>
        <w:rPr>
          <w:spacing w:val="-6"/>
        </w:rPr>
        <w:t xml:space="preserve"> </w:t>
      </w:r>
      <w:r>
        <w:t>dólares</w:t>
      </w:r>
      <w:r>
        <w:rPr>
          <w:spacing w:val="-6"/>
        </w:rPr>
        <w:t xml:space="preserve"> </w:t>
      </w:r>
      <w:r>
        <w:t>adicionales</w:t>
      </w:r>
      <w:r>
        <w:rPr>
          <w:spacing w:val="-6"/>
        </w:rPr>
        <w:t xml:space="preserve"> </w:t>
      </w:r>
      <w:r>
        <w:t>para</w:t>
      </w:r>
      <w:r>
        <w:rPr>
          <w:spacing w:val="-6"/>
        </w:rPr>
        <w:t xml:space="preserve"> </w:t>
      </w:r>
      <w:r>
        <w:t>entrenar</w:t>
      </w:r>
      <w:r>
        <w:rPr>
          <w:spacing w:val="-5"/>
        </w:rPr>
        <w:t xml:space="preserve"> </w:t>
      </w:r>
      <w:r>
        <w:t>y equipar a la Brigada XVIII del Ejército, con el fin de proteger el oleoducto: “Es cierto que esto</w:t>
      </w:r>
      <w:r>
        <w:rPr>
          <w:spacing w:val="6"/>
        </w:rPr>
        <w:t xml:space="preserve"> </w:t>
      </w:r>
      <w:r>
        <w:t>no</w:t>
      </w:r>
      <w:r>
        <w:rPr>
          <w:spacing w:val="8"/>
        </w:rPr>
        <w:t xml:space="preserve"> </w:t>
      </w:r>
      <w:r>
        <w:t>es</w:t>
      </w:r>
      <w:r>
        <w:rPr>
          <w:spacing w:val="8"/>
        </w:rPr>
        <w:t xml:space="preserve"> </w:t>
      </w:r>
      <w:r>
        <w:t>un</w:t>
      </w:r>
      <w:r>
        <w:rPr>
          <w:spacing w:val="9"/>
        </w:rPr>
        <w:t xml:space="preserve"> </w:t>
      </w:r>
      <w:r>
        <w:t>asunto</w:t>
      </w:r>
      <w:r>
        <w:rPr>
          <w:spacing w:val="8"/>
        </w:rPr>
        <w:t xml:space="preserve"> </w:t>
      </w:r>
      <w:r>
        <w:t>antinarcóticos,</w:t>
      </w:r>
      <w:r>
        <w:rPr>
          <w:spacing w:val="8"/>
        </w:rPr>
        <w:t xml:space="preserve"> </w:t>
      </w:r>
      <w:r>
        <w:t>pero</w:t>
      </w:r>
      <w:r>
        <w:rPr>
          <w:spacing w:val="9"/>
        </w:rPr>
        <w:t xml:space="preserve"> </w:t>
      </w:r>
      <w:r>
        <w:t>es</w:t>
      </w:r>
      <w:r>
        <w:rPr>
          <w:spacing w:val="7"/>
        </w:rPr>
        <w:t xml:space="preserve"> </w:t>
      </w:r>
      <w:r>
        <w:t>algo</w:t>
      </w:r>
      <w:r>
        <w:rPr>
          <w:spacing w:val="8"/>
        </w:rPr>
        <w:t xml:space="preserve"> </w:t>
      </w:r>
      <w:r>
        <w:t>que</w:t>
      </w:r>
      <w:r>
        <w:rPr>
          <w:spacing w:val="10"/>
        </w:rPr>
        <w:t xml:space="preserve"> </w:t>
      </w:r>
      <w:r>
        <w:t>debemos</w:t>
      </w:r>
      <w:r>
        <w:rPr>
          <w:spacing w:val="9"/>
        </w:rPr>
        <w:t xml:space="preserve"> </w:t>
      </w:r>
      <w:r>
        <w:t>hacer.</w:t>
      </w:r>
      <w:r>
        <w:rPr>
          <w:spacing w:val="9"/>
        </w:rPr>
        <w:t xml:space="preserve"> </w:t>
      </w:r>
      <w:r>
        <w:t>Es</w:t>
      </w:r>
      <w:r>
        <w:rPr>
          <w:spacing w:val="8"/>
        </w:rPr>
        <w:t xml:space="preserve"> </w:t>
      </w:r>
      <w:r>
        <w:t>importante</w:t>
      </w:r>
      <w:r>
        <w:rPr>
          <w:spacing w:val="7"/>
        </w:rPr>
        <w:t xml:space="preserve"> </w:t>
      </w:r>
      <w:r>
        <w:t>para</w:t>
      </w:r>
      <w:r>
        <w:rPr>
          <w:spacing w:val="8"/>
        </w:rPr>
        <w:t xml:space="preserve"> </w:t>
      </w:r>
      <w:r>
        <w:rPr>
          <w:spacing w:val="-5"/>
        </w:rPr>
        <w:t>el</w:t>
      </w:r>
      <w:bookmarkStart w:id="1042" w:name="_bookmark919"/>
      <w:bookmarkStart w:id="1043" w:name="_bookmark920"/>
      <w:bookmarkEnd w:id="1042"/>
      <w:bookmarkEnd w:id="1043"/>
      <w:r w:rsidR="00ED6C2F">
        <w:t xml:space="preserve"> </w:t>
      </w:r>
      <w:r>
        <w:t xml:space="preserve">futuro del país, para nuestras fuentes de petróleo y para la </w:t>
      </w:r>
      <w:r>
        <w:lastRenderedPageBreak/>
        <w:t xml:space="preserve">confianza de nuestros </w:t>
      </w:r>
      <w:r>
        <w:rPr>
          <w:spacing w:val="-2"/>
        </w:rPr>
        <w:t>inversionistas”.</w:t>
      </w:r>
      <w:r w:rsidR="00ED6C2F">
        <w:rPr>
          <w:rStyle w:val="Refdenotaalpie"/>
          <w:spacing w:val="-2"/>
        </w:rPr>
        <w:footnoteReference w:id="845"/>
      </w:r>
      <w:r w:rsidR="00ED6C2F">
        <w:t xml:space="preserve"> </w:t>
      </w:r>
    </w:p>
    <w:p w:rsidR="003804AC" w:rsidRDefault="00AF18A5" w:rsidP="00ED6C2F">
      <w:r>
        <w:t>Con</w:t>
      </w:r>
      <w:r>
        <w:rPr>
          <w:spacing w:val="-5"/>
        </w:rPr>
        <w:t xml:space="preserve"> </w:t>
      </w:r>
      <w:r>
        <w:t>el</w:t>
      </w:r>
      <w:r>
        <w:rPr>
          <w:spacing w:val="-4"/>
        </w:rPr>
        <w:t xml:space="preserve"> </w:t>
      </w:r>
      <w:r>
        <w:t>Plan</w:t>
      </w:r>
      <w:r>
        <w:rPr>
          <w:spacing w:val="-4"/>
        </w:rPr>
        <w:t xml:space="preserve"> </w:t>
      </w:r>
      <w:r>
        <w:t>Colombia</w:t>
      </w:r>
      <w:r>
        <w:rPr>
          <w:spacing w:val="-5"/>
        </w:rPr>
        <w:t xml:space="preserve"> </w:t>
      </w:r>
      <w:r>
        <w:t>se</w:t>
      </w:r>
      <w:r>
        <w:rPr>
          <w:spacing w:val="-6"/>
        </w:rPr>
        <w:t xml:space="preserve"> </w:t>
      </w:r>
      <w:r>
        <w:t>fortalecieron</w:t>
      </w:r>
      <w:r>
        <w:rPr>
          <w:spacing w:val="-5"/>
        </w:rPr>
        <w:t xml:space="preserve"> </w:t>
      </w:r>
      <w:r>
        <w:t>los</w:t>
      </w:r>
      <w:r>
        <w:rPr>
          <w:spacing w:val="-5"/>
        </w:rPr>
        <w:t xml:space="preserve"> </w:t>
      </w:r>
      <w:r>
        <w:t>equipamientos</w:t>
      </w:r>
      <w:r>
        <w:rPr>
          <w:spacing w:val="-5"/>
        </w:rPr>
        <w:t xml:space="preserve"> </w:t>
      </w:r>
      <w:r>
        <w:t>para</w:t>
      </w:r>
      <w:r>
        <w:rPr>
          <w:spacing w:val="-5"/>
        </w:rPr>
        <w:t xml:space="preserve"> </w:t>
      </w:r>
      <w:r>
        <w:t>la</w:t>
      </w:r>
      <w:r>
        <w:rPr>
          <w:spacing w:val="-5"/>
        </w:rPr>
        <w:t xml:space="preserve"> </w:t>
      </w:r>
      <w:r>
        <w:t>guerra,</w:t>
      </w:r>
      <w:r>
        <w:rPr>
          <w:spacing w:val="-6"/>
        </w:rPr>
        <w:t xml:space="preserve"> </w:t>
      </w:r>
      <w:r>
        <w:t>el</w:t>
      </w:r>
      <w:r>
        <w:rPr>
          <w:spacing w:val="-4"/>
        </w:rPr>
        <w:t xml:space="preserve"> </w:t>
      </w:r>
      <w:r>
        <w:t xml:space="preserve">entrenamiento </w:t>
      </w:r>
      <w:r>
        <w:rPr>
          <w:spacing w:val="-2"/>
        </w:rPr>
        <w:t>y</w:t>
      </w:r>
      <w:r>
        <w:rPr>
          <w:spacing w:val="-8"/>
        </w:rPr>
        <w:t xml:space="preserve"> </w:t>
      </w:r>
      <w:r>
        <w:rPr>
          <w:spacing w:val="-2"/>
        </w:rPr>
        <w:t>se</w:t>
      </w:r>
      <w:r>
        <w:rPr>
          <w:spacing w:val="-8"/>
        </w:rPr>
        <w:t xml:space="preserve"> </w:t>
      </w:r>
      <w:r>
        <w:rPr>
          <w:spacing w:val="-2"/>
        </w:rPr>
        <w:t>amplió</w:t>
      </w:r>
      <w:r>
        <w:rPr>
          <w:spacing w:val="-10"/>
        </w:rPr>
        <w:t xml:space="preserve"> </w:t>
      </w:r>
      <w:r>
        <w:rPr>
          <w:spacing w:val="-2"/>
        </w:rPr>
        <w:t>el</w:t>
      </w:r>
      <w:r>
        <w:rPr>
          <w:spacing w:val="-7"/>
        </w:rPr>
        <w:t xml:space="preserve"> </w:t>
      </w:r>
      <w:r>
        <w:rPr>
          <w:spacing w:val="-2"/>
        </w:rPr>
        <w:t>pie</w:t>
      </w:r>
      <w:r>
        <w:rPr>
          <w:spacing w:val="-8"/>
        </w:rPr>
        <w:t xml:space="preserve"> </w:t>
      </w:r>
      <w:r>
        <w:rPr>
          <w:spacing w:val="-2"/>
        </w:rPr>
        <w:t>de</w:t>
      </w:r>
      <w:r>
        <w:rPr>
          <w:spacing w:val="-10"/>
        </w:rPr>
        <w:t xml:space="preserve"> </w:t>
      </w:r>
      <w:r>
        <w:rPr>
          <w:spacing w:val="-2"/>
        </w:rPr>
        <w:t>fuerza</w:t>
      </w:r>
      <w:r>
        <w:rPr>
          <w:spacing w:val="-8"/>
        </w:rPr>
        <w:t xml:space="preserve"> </w:t>
      </w:r>
      <w:r>
        <w:rPr>
          <w:spacing w:val="-2"/>
        </w:rPr>
        <w:t>militar</w:t>
      </w:r>
      <w:r>
        <w:rPr>
          <w:spacing w:val="-7"/>
        </w:rPr>
        <w:t xml:space="preserve"> </w:t>
      </w:r>
      <w:r>
        <w:rPr>
          <w:spacing w:val="-2"/>
        </w:rPr>
        <w:t>y</w:t>
      </w:r>
      <w:r>
        <w:rPr>
          <w:spacing w:val="-10"/>
        </w:rPr>
        <w:t xml:space="preserve"> </w:t>
      </w:r>
      <w:r>
        <w:rPr>
          <w:spacing w:val="-2"/>
        </w:rPr>
        <w:t>de</w:t>
      </w:r>
      <w:r>
        <w:rPr>
          <w:spacing w:val="-8"/>
        </w:rPr>
        <w:t xml:space="preserve"> </w:t>
      </w:r>
      <w:r>
        <w:rPr>
          <w:spacing w:val="-2"/>
        </w:rPr>
        <w:t>la</w:t>
      </w:r>
      <w:r>
        <w:rPr>
          <w:spacing w:val="-10"/>
        </w:rPr>
        <w:t xml:space="preserve"> </w:t>
      </w:r>
      <w:r>
        <w:rPr>
          <w:spacing w:val="-2"/>
        </w:rPr>
        <w:t>Policía.</w:t>
      </w:r>
      <w:r>
        <w:rPr>
          <w:spacing w:val="-10"/>
        </w:rPr>
        <w:t xml:space="preserve"> </w:t>
      </w:r>
      <w:r>
        <w:rPr>
          <w:spacing w:val="-2"/>
        </w:rPr>
        <w:t>Así</w:t>
      </w:r>
      <w:r>
        <w:rPr>
          <w:spacing w:val="-7"/>
        </w:rPr>
        <w:t xml:space="preserve"> </w:t>
      </w:r>
      <w:r>
        <w:rPr>
          <w:spacing w:val="-2"/>
        </w:rPr>
        <w:t>mismo,</w:t>
      </w:r>
      <w:r>
        <w:rPr>
          <w:spacing w:val="-11"/>
        </w:rPr>
        <w:t xml:space="preserve"> </w:t>
      </w:r>
      <w:r>
        <w:rPr>
          <w:spacing w:val="-2"/>
        </w:rPr>
        <w:t>con</w:t>
      </w:r>
      <w:r>
        <w:rPr>
          <w:spacing w:val="-8"/>
        </w:rPr>
        <w:t xml:space="preserve"> </w:t>
      </w:r>
      <w:r>
        <w:rPr>
          <w:spacing w:val="-2"/>
        </w:rPr>
        <w:t>recursos</w:t>
      </w:r>
      <w:r>
        <w:rPr>
          <w:spacing w:val="-10"/>
        </w:rPr>
        <w:t xml:space="preserve"> </w:t>
      </w:r>
      <w:r>
        <w:rPr>
          <w:spacing w:val="-2"/>
        </w:rPr>
        <w:t>del</w:t>
      </w:r>
      <w:r>
        <w:rPr>
          <w:spacing w:val="-7"/>
        </w:rPr>
        <w:t xml:space="preserve"> </w:t>
      </w:r>
      <w:r>
        <w:rPr>
          <w:spacing w:val="-2"/>
        </w:rPr>
        <w:t>Plan</w:t>
      </w:r>
      <w:r>
        <w:rPr>
          <w:spacing w:val="-8"/>
        </w:rPr>
        <w:t xml:space="preserve"> </w:t>
      </w:r>
      <w:r>
        <w:rPr>
          <w:spacing w:val="-2"/>
        </w:rPr>
        <w:t xml:space="preserve">Colombia </w:t>
      </w:r>
      <w:r>
        <w:t>fueron contratadas compañías militares de seguridad privada que se involucraron en actividades militares y antinarcóticos</w:t>
      </w:r>
      <w:r w:rsidR="00ED6C2F">
        <w:rPr>
          <w:rStyle w:val="Refdenotaalpie"/>
        </w:rPr>
        <w:footnoteReference w:id="846"/>
      </w:r>
      <w:r>
        <w:t>. En el 2008 finalizó la implementación del Plan Colombia y comenzó la del Plan Patriota, diseñado conjuntamente entre delegados del gobierno</w:t>
      </w:r>
      <w:r>
        <w:rPr>
          <w:spacing w:val="-12"/>
        </w:rPr>
        <w:t xml:space="preserve"> </w:t>
      </w:r>
      <w:r>
        <w:t>de</w:t>
      </w:r>
      <w:r>
        <w:rPr>
          <w:spacing w:val="-12"/>
        </w:rPr>
        <w:t xml:space="preserve"> </w:t>
      </w:r>
      <w:r>
        <w:t>Estados</w:t>
      </w:r>
      <w:r>
        <w:rPr>
          <w:spacing w:val="-11"/>
        </w:rPr>
        <w:t xml:space="preserve"> </w:t>
      </w:r>
      <w:r>
        <w:t>Unidos</w:t>
      </w:r>
      <w:r>
        <w:rPr>
          <w:spacing w:val="-11"/>
        </w:rPr>
        <w:t xml:space="preserve"> </w:t>
      </w:r>
      <w:r>
        <w:t>y</w:t>
      </w:r>
      <w:r>
        <w:rPr>
          <w:spacing w:val="-11"/>
        </w:rPr>
        <w:t xml:space="preserve"> </w:t>
      </w:r>
      <w:r>
        <w:t>de</w:t>
      </w:r>
      <w:r>
        <w:rPr>
          <w:spacing w:val="-12"/>
        </w:rPr>
        <w:t xml:space="preserve"> </w:t>
      </w:r>
      <w:r>
        <w:t>Colombia.</w:t>
      </w:r>
      <w:r>
        <w:rPr>
          <w:spacing w:val="-12"/>
        </w:rPr>
        <w:t xml:space="preserve"> </w:t>
      </w:r>
      <w:r>
        <w:t>Aunque</w:t>
      </w:r>
      <w:r>
        <w:rPr>
          <w:spacing w:val="-11"/>
        </w:rPr>
        <w:t xml:space="preserve"> </w:t>
      </w:r>
      <w:r>
        <w:t>se</w:t>
      </w:r>
      <w:r>
        <w:rPr>
          <w:spacing w:val="-12"/>
        </w:rPr>
        <w:t xml:space="preserve"> </w:t>
      </w:r>
      <w:r>
        <w:t>dirigía,</w:t>
      </w:r>
      <w:r>
        <w:rPr>
          <w:spacing w:val="-11"/>
        </w:rPr>
        <w:t xml:space="preserve"> </w:t>
      </w:r>
      <w:r>
        <w:t>en</w:t>
      </w:r>
      <w:r>
        <w:rPr>
          <w:spacing w:val="-11"/>
        </w:rPr>
        <w:t xml:space="preserve"> </w:t>
      </w:r>
      <w:r>
        <w:t>general,</w:t>
      </w:r>
      <w:r>
        <w:rPr>
          <w:spacing w:val="-11"/>
        </w:rPr>
        <w:t xml:space="preserve"> </w:t>
      </w:r>
      <w:r>
        <w:t>a</w:t>
      </w:r>
      <w:r>
        <w:rPr>
          <w:spacing w:val="-12"/>
        </w:rPr>
        <w:t xml:space="preserve"> </w:t>
      </w:r>
      <w:r>
        <w:t>todos</w:t>
      </w:r>
      <w:r>
        <w:rPr>
          <w:spacing w:val="-12"/>
        </w:rPr>
        <w:t xml:space="preserve"> </w:t>
      </w:r>
      <w:r>
        <w:t>los</w:t>
      </w:r>
      <w:r>
        <w:rPr>
          <w:spacing w:val="-12"/>
        </w:rPr>
        <w:t xml:space="preserve"> </w:t>
      </w:r>
      <w:r>
        <w:t>grupos considerados «terroristas», incluyendo los grupos paramilitares, en la práctica, la asistencia se concentró en la persecución de las FARC-EP y en la intervención militar en las zonas de mayor</w:t>
      </w:r>
      <w:r>
        <w:rPr>
          <w:spacing w:val="-13"/>
        </w:rPr>
        <w:t xml:space="preserve"> </w:t>
      </w:r>
      <w:r>
        <w:t>influencia.</w:t>
      </w:r>
      <w:r>
        <w:rPr>
          <w:spacing w:val="-12"/>
        </w:rPr>
        <w:t xml:space="preserve"> </w:t>
      </w:r>
      <w:r>
        <w:t>El</w:t>
      </w:r>
      <w:r>
        <w:rPr>
          <w:spacing w:val="-11"/>
        </w:rPr>
        <w:t xml:space="preserve"> </w:t>
      </w:r>
      <w:r>
        <w:t>Plan</w:t>
      </w:r>
      <w:r>
        <w:rPr>
          <w:spacing w:val="-13"/>
        </w:rPr>
        <w:t xml:space="preserve"> </w:t>
      </w:r>
      <w:r>
        <w:t>Patriota</w:t>
      </w:r>
      <w:r>
        <w:rPr>
          <w:spacing w:val="-12"/>
        </w:rPr>
        <w:t xml:space="preserve"> </w:t>
      </w:r>
      <w:r>
        <w:t>(2003-2006)</w:t>
      </w:r>
      <w:r>
        <w:rPr>
          <w:spacing w:val="-11"/>
        </w:rPr>
        <w:t xml:space="preserve"> </w:t>
      </w:r>
      <w:r>
        <w:t>se</w:t>
      </w:r>
      <w:r>
        <w:rPr>
          <w:spacing w:val="-13"/>
        </w:rPr>
        <w:t xml:space="preserve"> </w:t>
      </w:r>
      <w:r>
        <w:t>diseñó</w:t>
      </w:r>
      <w:r>
        <w:rPr>
          <w:spacing w:val="-12"/>
        </w:rPr>
        <w:t xml:space="preserve"> </w:t>
      </w:r>
      <w:r>
        <w:t>como</w:t>
      </w:r>
      <w:r>
        <w:rPr>
          <w:spacing w:val="-13"/>
        </w:rPr>
        <w:t xml:space="preserve"> </w:t>
      </w:r>
      <w:r>
        <w:t>la</w:t>
      </w:r>
      <w:r>
        <w:rPr>
          <w:spacing w:val="-12"/>
        </w:rPr>
        <w:t xml:space="preserve"> </w:t>
      </w:r>
      <w:r>
        <w:t>estrategia</w:t>
      </w:r>
      <w:r>
        <w:rPr>
          <w:spacing w:val="-13"/>
        </w:rPr>
        <w:t xml:space="preserve"> </w:t>
      </w:r>
      <w:r>
        <w:t>contrainsurgente más grande</w:t>
      </w:r>
      <w:r>
        <w:rPr>
          <w:spacing w:val="-1"/>
        </w:rPr>
        <w:t xml:space="preserve"> </w:t>
      </w:r>
      <w:r>
        <w:t>y sostenida</w:t>
      </w:r>
      <w:r>
        <w:rPr>
          <w:spacing w:val="-1"/>
        </w:rPr>
        <w:t xml:space="preserve"> </w:t>
      </w:r>
      <w:r>
        <w:t>de la historia colombiana, solo comparada con</w:t>
      </w:r>
      <w:r>
        <w:rPr>
          <w:spacing w:val="-1"/>
        </w:rPr>
        <w:t xml:space="preserve"> </w:t>
      </w:r>
      <w:r>
        <w:t>el</w:t>
      </w:r>
      <w:r>
        <w:rPr>
          <w:spacing w:val="-1"/>
        </w:rPr>
        <w:t xml:space="preserve"> </w:t>
      </w:r>
      <w:r>
        <w:t>Plan Lazo, con las debidas</w:t>
      </w:r>
      <w:r>
        <w:rPr>
          <w:spacing w:val="-7"/>
        </w:rPr>
        <w:t xml:space="preserve"> </w:t>
      </w:r>
      <w:r>
        <w:t>diferencias</w:t>
      </w:r>
      <w:r>
        <w:rPr>
          <w:spacing w:val="-7"/>
        </w:rPr>
        <w:t xml:space="preserve"> </w:t>
      </w:r>
      <w:r>
        <w:t>presupuestales</w:t>
      </w:r>
      <w:r>
        <w:rPr>
          <w:spacing w:val="-7"/>
        </w:rPr>
        <w:t xml:space="preserve"> </w:t>
      </w:r>
      <w:r>
        <w:t>y</w:t>
      </w:r>
      <w:r>
        <w:rPr>
          <w:spacing w:val="-8"/>
        </w:rPr>
        <w:t xml:space="preserve"> </w:t>
      </w:r>
      <w:r>
        <w:t>logísticas</w:t>
      </w:r>
      <w:r>
        <w:rPr>
          <w:spacing w:val="-7"/>
        </w:rPr>
        <w:t xml:space="preserve"> </w:t>
      </w:r>
      <w:r>
        <w:t>(1962-1966)</w:t>
      </w:r>
      <w:r w:rsidR="00ED6C2F">
        <w:rPr>
          <w:rStyle w:val="Refdenotaalpie"/>
        </w:rPr>
        <w:footnoteReference w:id="847"/>
      </w:r>
      <w:r>
        <w:t>,</w:t>
      </w:r>
      <w:r>
        <w:rPr>
          <w:spacing w:val="-7"/>
        </w:rPr>
        <w:t xml:space="preserve"> </w:t>
      </w:r>
      <w:r>
        <w:t>y</w:t>
      </w:r>
      <w:r>
        <w:rPr>
          <w:spacing w:val="-7"/>
        </w:rPr>
        <w:t xml:space="preserve"> </w:t>
      </w:r>
      <w:r>
        <w:t>contó</w:t>
      </w:r>
      <w:r>
        <w:rPr>
          <w:spacing w:val="-7"/>
        </w:rPr>
        <w:t xml:space="preserve"> </w:t>
      </w:r>
      <w:r>
        <w:t>con</w:t>
      </w:r>
      <w:r>
        <w:rPr>
          <w:spacing w:val="-7"/>
        </w:rPr>
        <w:t xml:space="preserve"> </w:t>
      </w:r>
      <w:r>
        <w:t>la</w:t>
      </w:r>
      <w:r>
        <w:rPr>
          <w:spacing w:val="-7"/>
        </w:rPr>
        <w:t xml:space="preserve"> </w:t>
      </w:r>
      <w:r>
        <w:t>asesoría</w:t>
      </w:r>
      <w:r>
        <w:rPr>
          <w:spacing w:val="-7"/>
        </w:rPr>
        <w:t xml:space="preserve"> </w:t>
      </w:r>
      <w:r>
        <w:t>fuerte del Comando Sur de los Estados Unidos en misiones militares especiales.</w:t>
      </w:r>
    </w:p>
    <w:p w:rsidR="003804AC" w:rsidRDefault="00AF18A5" w:rsidP="00ED6C2F">
      <w:r>
        <w:t>La</w:t>
      </w:r>
      <w:r>
        <w:rPr>
          <w:spacing w:val="-9"/>
        </w:rPr>
        <w:t xml:space="preserve"> </w:t>
      </w:r>
      <w:r>
        <w:t>cooperación</w:t>
      </w:r>
      <w:r>
        <w:rPr>
          <w:spacing w:val="-9"/>
        </w:rPr>
        <w:t xml:space="preserve"> </w:t>
      </w:r>
      <w:r>
        <w:t>de</w:t>
      </w:r>
      <w:r>
        <w:rPr>
          <w:spacing w:val="-9"/>
        </w:rPr>
        <w:t xml:space="preserve"> </w:t>
      </w:r>
      <w:r>
        <w:t>Estados</w:t>
      </w:r>
      <w:r>
        <w:rPr>
          <w:spacing w:val="-9"/>
        </w:rPr>
        <w:t xml:space="preserve"> </w:t>
      </w:r>
      <w:r>
        <w:t>Unidos</w:t>
      </w:r>
      <w:r>
        <w:rPr>
          <w:spacing w:val="-9"/>
        </w:rPr>
        <w:t xml:space="preserve"> </w:t>
      </w:r>
      <w:r>
        <w:t>fue</w:t>
      </w:r>
      <w:r>
        <w:rPr>
          <w:spacing w:val="-9"/>
        </w:rPr>
        <w:t xml:space="preserve"> </w:t>
      </w:r>
      <w:r>
        <w:t>determinante</w:t>
      </w:r>
      <w:r>
        <w:rPr>
          <w:spacing w:val="-9"/>
        </w:rPr>
        <w:t xml:space="preserve"> </w:t>
      </w:r>
      <w:r>
        <w:t>para</w:t>
      </w:r>
      <w:r>
        <w:rPr>
          <w:spacing w:val="-9"/>
        </w:rPr>
        <w:t xml:space="preserve"> </w:t>
      </w:r>
      <w:r>
        <w:t>el</w:t>
      </w:r>
      <w:r>
        <w:rPr>
          <w:spacing w:val="-9"/>
        </w:rPr>
        <w:t xml:space="preserve"> </w:t>
      </w:r>
      <w:r>
        <w:t>asedio</w:t>
      </w:r>
      <w:r>
        <w:rPr>
          <w:spacing w:val="-9"/>
        </w:rPr>
        <w:t xml:space="preserve"> </w:t>
      </w:r>
      <w:r>
        <w:t>militar</w:t>
      </w:r>
      <w:r>
        <w:rPr>
          <w:spacing w:val="-10"/>
        </w:rPr>
        <w:t xml:space="preserve"> </w:t>
      </w:r>
      <w:r>
        <w:t>a</w:t>
      </w:r>
      <w:r>
        <w:rPr>
          <w:spacing w:val="-9"/>
        </w:rPr>
        <w:t xml:space="preserve"> </w:t>
      </w:r>
      <w:r>
        <w:t>las</w:t>
      </w:r>
      <w:r>
        <w:rPr>
          <w:spacing w:val="-9"/>
        </w:rPr>
        <w:t xml:space="preserve"> </w:t>
      </w:r>
      <w:r>
        <w:t>FARC-EP en</w:t>
      </w:r>
      <w:r>
        <w:rPr>
          <w:spacing w:val="-15"/>
        </w:rPr>
        <w:t xml:space="preserve"> </w:t>
      </w:r>
      <w:r>
        <w:t>el</w:t>
      </w:r>
      <w:r>
        <w:rPr>
          <w:spacing w:val="-15"/>
        </w:rPr>
        <w:t xml:space="preserve"> </w:t>
      </w:r>
      <w:r>
        <w:t>segundo</w:t>
      </w:r>
      <w:r>
        <w:rPr>
          <w:spacing w:val="-15"/>
        </w:rPr>
        <w:t xml:space="preserve"> </w:t>
      </w:r>
      <w:r>
        <w:t>periodo</w:t>
      </w:r>
      <w:r>
        <w:rPr>
          <w:spacing w:val="-15"/>
        </w:rPr>
        <w:t xml:space="preserve"> </w:t>
      </w:r>
      <w:r>
        <w:t>del</w:t>
      </w:r>
      <w:r>
        <w:rPr>
          <w:spacing w:val="-15"/>
        </w:rPr>
        <w:t xml:space="preserve"> </w:t>
      </w:r>
      <w:r>
        <w:t>gobierno</w:t>
      </w:r>
      <w:r>
        <w:rPr>
          <w:spacing w:val="-15"/>
        </w:rPr>
        <w:t xml:space="preserve"> </w:t>
      </w:r>
      <w:r>
        <w:t>de</w:t>
      </w:r>
      <w:r>
        <w:rPr>
          <w:spacing w:val="-15"/>
        </w:rPr>
        <w:t xml:space="preserve"> </w:t>
      </w:r>
      <w:r>
        <w:t>Uribe,</w:t>
      </w:r>
      <w:r>
        <w:rPr>
          <w:spacing w:val="-15"/>
        </w:rPr>
        <w:t xml:space="preserve"> </w:t>
      </w:r>
      <w:r>
        <w:t>en</w:t>
      </w:r>
      <w:r>
        <w:rPr>
          <w:spacing w:val="-15"/>
        </w:rPr>
        <w:t xml:space="preserve"> </w:t>
      </w:r>
      <w:r>
        <w:t>el</w:t>
      </w:r>
      <w:r>
        <w:rPr>
          <w:spacing w:val="-15"/>
        </w:rPr>
        <w:t xml:space="preserve"> </w:t>
      </w:r>
      <w:r>
        <w:t>que</w:t>
      </w:r>
      <w:r>
        <w:rPr>
          <w:spacing w:val="-15"/>
        </w:rPr>
        <w:t xml:space="preserve"> </w:t>
      </w:r>
      <w:r>
        <w:t>se</w:t>
      </w:r>
      <w:r>
        <w:rPr>
          <w:spacing w:val="-15"/>
        </w:rPr>
        <w:t xml:space="preserve"> </w:t>
      </w:r>
      <w:r>
        <w:t>infiltró</w:t>
      </w:r>
      <w:r>
        <w:rPr>
          <w:spacing w:val="-15"/>
        </w:rPr>
        <w:t xml:space="preserve"> </w:t>
      </w:r>
      <w:r>
        <w:t>al</w:t>
      </w:r>
      <w:r>
        <w:rPr>
          <w:spacing w:val="-15"/>
        </w:rPr>
        <w:t xml:space="preserve"> </w:t>
      </w:r>
      <w:r>
        <w:t>secretariado</w:t>
      </w:r>
      <w:r>
        <w:rPr>
          <w:spacing w:val="-15"/>
        </w:rPr>
        <w:t xml:space="preserve"> </w:t>
      </w:r>
      <w:r>
        <w:t>de</w:t>
      </w:r>
      <w:r>
        <w:rPr>
          <w:spacing w:val="-15"/>
        </w:rPr>
        <w:t xml:space="preserve"> </w:t>
      </w:r>
      <w:r>
        <w:t>las</w:t>
      </w:r>
      <w:r>
        <w:rPr>
          <w:spacing w:val="-15"/>
        </w:rPr>
        <w:t xml:space="preserve"> </w:t>
      </w:r>
      <w:r>
        <w:t>FARC- EP, que quedó prácticamente incomunicado por el temor a ser ubicados por sus comunicaciones. En el 2008 se causó la muerte de ‘Raúl Reyes’ con bombas inteligentes suministradas</w:t>
      </w:r>
      <w:r>
        <w:rPr>
          <w:spacing w:val="-13"/>
        </w:rPr>
        <w:t xml:space="preserve"> </w:t>
      </w:r>
      <w:r>
        <w:t>y</w:t>
      </w:r>
      <w:r>
        <w:rPr>
          <w:spacing w:val="-13"/>
        </w:rPr>
        <w:t xml:space="preserve"> </w:t>
      </w:r>
      <w:r>
        <w:t>controladas</w:t>
      </w:r>
      <w:r>
        <w:rPr>
          <w:spacing w:val="-13"/>
        </w:rPr>
        <w:t xml:space="preserve"> </w:t>
      </w:r>
      <w:r>
        <w:t>en</w:t>
      </w:r>
      <w:r>
        <w:rPr>
          <w:spacing w:val="-13"/>
        </w:rPr>
        <w:t xml:space="preserve"> </w:t>
      </w:r>
      <w:r>
        <w:t>su</w:t>
      </w:r>
      <w:r>
        <w:rPr>
          <w:spacing w:val="-14"/>
        </w:rPr>
        <w:t xml:space="preserve"> </w:t>
      </w:r>
      <w:r>
        <w:t>uso</w:t>
      </w:r>
      <w:r>
        <w:rPr>
          <w:spacing w:val="-14"/>
        </w:rPr>
        <w:t xml:space="preserve"> </w:t>
      </w:r>
      <w:r>
        <w:t>por</w:t>
      </w:r>
      <w:r>
        <w:rPr>
          <w:spacing w:val="-13"/>
        </w:rPr>
        <w:t xml:space="preserve"> </w:t>
      </w:r>
      <w:r>
        <w:t>funcionarios</w:t>
      </w:r>
      <w:r>
        <w:rPr>
          <w:spacing w:val="-13"/>
        </w:rPr>
        <w:t xml:space="preserve"> </w:t>
      </w:r>
      <w:r>
        <w:t>de</w:t>
      </w:r>
      <w:r>
        <w:rPr>
          <w:spacing w:val="-13"/>
        </w:rPr>
        <w:t xml:space="preserve"> </w:t>
      </w:r>
      <w:r>
        <w:t>Estados</w:t>
      </w:r>
      <w:r>
        <w:rPr>
          <w:spacing w:val="-13"/>
        </w:rPr>
        <w:t xml:space="preserve"> </w:t>
      </w:r>
      <w:r>
        <w:t>Unidos</w:t>
      </w:r>
      <w:r>
        <w:rPr>
          <w:spacing w:val="-13"/>
        </w:rPr>
        <w:t xml:space="preserve"> </w:t>
      </w:r>
      <w:r>
        <w:t>(fallecieron</w:t>
      </w:r>
      <w:r>
        <w:rPr>
          <w:spacing w:val="-13"/>
        </w:rPr>
        <w:t xml:space="preserve"> </w:t>
      </w:r>
      <w:r>
        <w:t xml:space="preserve">civiles mexicanos y un ecuatoriano, y sobrevivió una civil </w:t>
      </w:r>
      <w:r>
        <w:lastRenderedPageBreak/>
        <w:t>mexicana</w:t>
      </w:r>
      <w:r w:rsidR="00ED6C2F">
        <w:rPr>
          <w:rStyle w:val="Refdenotaalpie"/>
        </w:rPr>
        <w:footnoteReference w:id="848"/>
      </w:r>
      <w:r>
        <w:t>) y se obtuvo la liberación a la política Íngrid Betancourt a través de una operación militar, entre otros hechos.</w:t>
      </w:r>
    </w:p>
    <w:p w:rsidR="003804AC" w:rsidRDefault="00AF18A5" w:rsidP="00ED6C2F">
      <w:bookmarkStart w:id="1044" w:name="_bookmark921"/>
      <w:bookmarkStart w:id="1045" w:name="_bookmark922"/>
      <w:bookmarkStart w:id="1046" w:name="_bookmark923"/>
      <w:bookmarkStart w:id="1047" w:name="_bookmark924"/>
      <w:bookmarkEnd w:id="1044"/>
      <w:bookmarkEnd w:id="1045"/>
      <w:bookmarkEnd w:id="1046"/>
      <w:bookmarkEnd w:id="1047"/>
      <w:r>
        <w:t>Esta</w:t>
      </w:r>
      <w:r>
        <w:rPr>
          <w:spacing w:val="-1"/>
        </w:rPr>
        <w:t xml:space="preserve"> </w:t>
      </w:r>
      <w:r>
        <w:t>situación</w:t>
      </w:r>
      <w:r>
        <w:rPr>
          <w:spacing w:val="-1"/>
        </w:rPr>
        <w:t xml:space="preserve"> </w:t>
      </w:r>
      <w:r>
        <w:t>varió</w:t>
      </w:r>
      <w:r>
        <w:rPr>
          <w:spacing w:val="-1"/>
        </w:rPr>
        <w:t xml:space="preserve"> </w:t>
      </w:r>
      <w:r>
        <w:t>durante</w:t>
      </w:r>
      <w:r>
        <w:rPr>
          <w:spacing w:val="-1"/>
        </w:rPr>
        <w:t xml:space="preserve"> </w:t>
      </w:r>
      <w:r>
        <w:t>el</w:t>
      </w:r>
      <w:r>
        <w:rPr>
          <w:spacing w:val="-1"/>
        </w:rPr>
        <w:t xml:space="preserve"> </w:t>
      </w:r>
      <w:r>
        <w:t>gobierno</w:t>
      </w:r>
      <w:r>
        <w:rPr>
          <w:spacing w:val="-1"/>
        </w:rPr>
        <w:t xml:space="preserve"> </w:t>
      </w:r>
      <w:r>
        <w:t>de</w:t>
      </w:r>
      <w:r>
        <w:rPr>
          <w:spacing w:val="-1"/>
        </w:rPr>
        <w:t xml:space="preserve"> </w:t>
      </w:r>
      <w:r>
        <w:t>Santos</w:t>
      </w:r>
      <w:r>
        <w:rPr>
          <w:spacing w:val="-1"/>
        </w:rPr>
        <w:t xml:space="preserve"> </w:t>
      </w:r>
      <w:r>
        <w:t>(2014-2018),</w:t>
      </w:r>
      <w:r>
        <w:rPr>
          <w:spacing w:val="-1"/>
        </w:rPr>
        <w:t xml:space="preserve"> </w:t>
      </w:r>
      <w:r>
        <w:t>que</w:t>
      </w:r>
      <w:r>
        <w:rPr>
          <w:spacing w:val="-2"/>
        </w:rPr>
        <w:t xml:space="preserve"> </w:t>
      </w:r>
      <w:r>
        <w:t>inició</w:t>
      </w:r>
      <w:r>
        <w:rPr>
          <w:spacing w:val="-1"/>
        </w:rPr>
        <w:t xml:space="preserve"> </w:t>
      </w:r>
      <w:r>
        <w:t>un</w:t>
      </w:r>
      <w:r>
        <w:rPr>
          <w:spacing w:val="-1"/>
        </w:rPr>
        <w:t xml:space="preserve"> </w:t>
      </w:r>
      <w:r>
        <w:t>proceso</w:t>
      </w:r>
      <w:r>
        <w:rPr>
          <w:spacing w:val="-1"/>
        </w:rPr>
        <w:t xml:space="preserve"> </w:t>
      </w:r>
      <w:r>
        <w:t>de paz</w:t>
      </w:r>
      <w:r>
        <w:rPr>
          <w:spacing w:val="-7"/>
        </w:rPr>
        <w:t xml:space="preserve"> </w:t>
      </w:r>
      <w:r>
        <w:t>con</w:t>
      </w:r>
      <w:r>
        <w:rPr>
          <w:spacing w:val="-8"/>
        </w:rPr>
        <w:t xml:space="preserve"> </w:t>
      </w:r>
      <w:r>
        <w:t>las</w:t>
      </w:r>
      <w:r>
        <w:rPr>
          <w:spacing w:val="-9"/>
        </w:rPr>
        <w:t xml:space="preserve"> </w:t>
      </w:r>
      <w:r>
        <w:t>FARC-EP.</w:t>
      </w:r>
      <w:r>
        <w:rPr>
          <w:spacing w:val="-6"/>
        </w:rPr>
        <w:t xml:space="preserve"> </w:t>
      </w:r>
      <w:r>
        <w:t>El</w:t>
      </w:r>
      <w:r>
        <w:rPr>
          <w:spacing w:val="-7"/>
        </w:rPr>
        <w:t xml:space="preserve"> </w:t>
      </w:r>
      <w:r>
        <w:t>gobierno</w:t>
      </w:r>
      <w:r>
        <w:rPr>
          <w:spacing w:val="-8"/>
        </w:rPr>
        <w:t xml:space="preserve"> </w:t>
      </w:r>
      <w:r>
        <w:t>de</w:t>
      </w:r>
      <w:r>
        <w:rPr>
          <w:spacing w:val="-7"/>
        </w:rPr>
        <w:t xml:space="preserve"> </w:t>
      </w:r>
      <w:r>
        <w:t>Barack</w:t>
      </w:r>
      <w:r>
        <w:rPr>
          <w:spacing w:val="-8"/>
        </w:rPr>
        <w:t xml:space="preserve"> </w:t>
      </w:r>
      <w:r>
        <w:t>Obama</w:t>
      </w:r>
      <w:r>
        <w:rPr>
          <w:spacing w:val="-8"/>
        </w:rPr>
        <w:t xml:space="preserve"> </w:t>
      </w:r>
      <w:r>
        <w:t>en</w:t>
      </w:r>
      <w:r>
        <w:rPr>
          <w:spacing w:val="-7"/>
        </w:rPr>
        <w:t xml:space="preserve"> </w:t>
      </w:r>
      <w:r>
        <w:t>Estados</w:t>
      </w:r>
      <w:r>
        <w:rPr>
          <w:spacing w:val="-7"/>
        </w:rPr>
        <w:t xml:space="preserve"> </w:t>
      </w:r>
      <w:r>
        <w:t>Unidos</w:t>
      </w:r>
      <w:r>
        <w:rPr>
          <w:spacing w:val="-8"/>
        </w:rPr>
        <w:t xml:space="preserve"> </w:t>
      </w:r>
      <w:r>
        <w:t>(2009-2017)</w:t>
      </w:r>
      <w:r>
        <w:rPr>
          <w:spacing w:val="-7"/>
        </w:rPr>
        <w:t xml:space="preserve"> </w:t>
      </w:r>
      <w:r>
        <w:t>prestó apoyo al proceso de paz con las FARC-EP y designó un enviado especial que apoyó políticamente las</w:t>
      </w:r>
      <w:r>
        <w:rPr>
          <w:spacing w:val="-1"/>
        </w:rPr>
        <w:t xml:space="preserve"> </w:t>
      </w:r>
      <w:r>
        <w:t>negociaciones.</w:t>
      </w:r>
      <w:r>
        <w:rPr>
          <w:spacing w:val="-1"/>
        </w:rPr>
        <w:t xml:space="preserve"> </w:t>
      </w:r>
      <w:r>
        <w:t>La</w:t>
      </w:r>
      <w:r>
        <w:rPr>
          <w:spacing w:val="-1"/>
        </w:rPr>
        <w:t xml:space="preserve"> </w:t>
      </w:r>
      <w:r>
        <w:t>cooperación</w:t>
      </w:r>
      <w:r>
        <w:rPr>
          <w:spacing w:val="-1"/>
        </w:rPr>
        <w:t xml:space="preserve"> </w:t>
      </w:r>
      <w:r>
        <w:t>también</w:t>
      </w:r>
      <w:r>
        <w:rPr>
          <w:spacing w:val="-1"/>
        </w:rPr>
        <w:t xml:space="preserve"> </w:t>
      </w:r>
      <w:r>
        <w:t>continuó en otras áreas,</w:t>
      </w:r>
      <w:r>
        <w:rPr>
          <w:spacing w:val="-1"/>
        </w:rPr>
        <w:t xml:space="preserve"> </w:t>
      </w:r>
      <w:r>
        <w:t>incluso</w:t>
      </w:r>
      <w:r>
        <w:rPr>
          <w:spacing w:val="-1"/>
        </w:rPr>
        <w:t xml:space="preserve"> </w:t>
      </w:r>
      <w:r>
        <w:t>la militar,</w:t>
      </w:r>
      <w:r>
        <w:rPr>
          <w:spacing w:val="-6"/>
        </w:rPr>
        <w:t xml:space="preserve"> </w:t>
      </w:r>
      <w:r>
        <w:t>pero</w:t>
      </w:r>
      <w:r>
        <w:rPr>
          <w:spacing w:val="-7"/>
        </w:rPr>
        <w:t xml:space="preserve"> </w:t>
      </w:r>
      <w:r>
        <w:t>se</w:t>
      </w:r>
      <w:r>
        <w:rPr>
          <w:spacing w:val="-6"/>
        </w:rPr>
        <w:t xml:space="preserve"> </w:t>
      </w:r>
      <w:r>
        <w:t>fortaleció</w:t>
      </w:r>
      <w:r>
        <w:rPr>
          <w:spacing w:val="-6"/>
        </w:rPr>
        <w:t xml:space="preserve"> </w:t>
      </w:r>
      <w:r>
        <w:t>en</w:t>
      </w:r>
      <w:r>
        <w:rPr>
          <w:spacing w:val="-6"/>
        </w:rPr>
        <w:t xml:space="preserve"> </w:t>
      </w:r>
      <w:r>
        <w:t>temas</w:t>
      </w:r>
      <w:r>
        <w:rPr>
          <w:spacing w:val="-6"/>
        </w:rPr>
        <w:t xml:space="preserve"> </w:t>
      </w:r>
      <w:r>
        <w:t>de</w:t>
      </w:r>
      <w:r>
        <w:rPr>
          <w:spacing w:val="-6"/>
        </w:rPr>
        <w:t xml:space="preserve"> </w:t>
      </w:r>
      <w:r>
        <w:t>construcción</w:t>
      </w:r>
      <w:r>
        <w:rPr>
          <w:spacing w:val="-6"/>
        </w:rPr>
        <w:t xml:space="preserve"> </w:t>
      </w:r>
      <w:r>
        <w:t>de</w:t>
      </w:r>
      <w:r>
        <w:rPr>
          <w:spacing w:val="-6"/>
        </w:rPr>
        <w:t xml:space="preserve"> </w:t>
      </w:r>
      <w:r>
        <w:t>paz,</w:t>
      </w:r>
      <w:r>
        <w:rPr>
          <w:spacing w:val="-6"/>
        </w:rPr>
        <w:t xml:space="preserve"> </w:t>
      </w:r>
      <w:r>
        <w:t>como</w:t>
      </w:r>
      <w:r>
        <w:rPr>
          <w:spacing w:val="-6"/>
        </w:rPr>
        <w:t xml:space="preserve"> </w:t>
      </w:r>
      <w:r>
        <w:t>el</w:t>
      </w:r>
      <w:r>
        <w:rPr>
          <w:spacing w:val="-6"/>
        </w:rPr>
        <w:t xml:space="preserve"> </w:t>
      </w:r>
      <w:r>
        <w:t>de</w:t>
      </w:r>
      <w:r>
        <w:rPr>
          <w:spacing w:val="-6"/>
        </w:rPr>
        <w:t xml:space="preserve"> </w:t>
      </w:r>
      <w:r>
        <w:t>la</w:t>
      </w:r>
      <w:r>
        <w:rPr>
          <w:spacing w:val="-6"/>
        </w:rPr>
        <w:t xml:space="preserve"> </w:t>
      </w:r>
      <w:r>
        <w:t>implementación</w:t>
      </w:r>
      <w:r>
        <w:rPr>
          <w:spacing w:val="-6"/>
        </w:rPr>
        <w:t xml:space="preserve"> </w:t>
      </w:r>
      <w:r>
        <w:t>de los programas de atención y reparación a las víctimas.</w:t>
      </w:r>
    </w:p>
    <w:p w:rsidR="0011361F" w:rsidRDefault="00AF18A5" w:rsidP="004A6EF4">
      <w:pPr>
        <w:pStyle w:val="Ttulo3"/>
        <w:numPr>
          <w:ilvl w:val="1"/>
          <w:numId w:val="16"/>
        </w:numPr>
      </w:pPr>
      <w:bookmarkStart w:id="1048" w:name="7.7._De_los_grupos_civiles_armados_al_pa"/>
      <w:bookmarkStart w:id="1049" w:name="_Toc112399623"/>
      <w:bookmarkEnd w:id="1048"/>
      <w:r>
        <w:t>De</w:t>
      </w:r>
      <w:r>
        <w:rPr>
          <w:spacing w:val="-2"/>
        </w:rPr>
        <w:t xml:space="preserve"> </w:t>
      </w:r>
      <w:r>
        <w:t>los</w:t>
      </w:r>
      <w:r>
        <w:rPr>
          <w:spacing w:val="-1"/>
        </w:rPr>
        <w:t xml:space="preserve"> </w:t>
      </w:r>
      <w:r w:rsidRPr="008D180F">
        <w:t>grupos</w:t>
      </w:r>
      <w:r>
        <w:rPr>
          <w:spacing w:val="-1"/>
        </w:rPr>
        <w:t xml:space="preserve"> </w:t>
      </w:r>
      <w:r>
        <w:t>civiles</w:t>
      </w:r>
      <w:r>
        <w:rPr>
          <w:spacing w:val="-2"/>
        </w:rPr>
        <w:t xml:space="preserve"> </w:t>
      </w:r>
      <w:r>
        <w:t>armados</w:t>
      </w:r>
      <w:r>
        <w:rPr>
          <w:spacing w:val="-1"/>
        </w:rPr>
        <w:t xml:space="preserve"> </w:t>
      </w:r>
      <w:r>
        <w:t>al</w:t>
      </w:r>
      <w:r>
        <w:rPr>
          <w:spacing w:val="-1"/>
        </w:rPr>
        <w:t xml:space="preserve"> </w:t>
      </w:r>
      <w:r>
        <w:rPr>
          <w:spacing w:val="-2"/>
        </w:rPr>
        <w:t>paramilitarismo</w:t>
      </w:r>
      <w:bookmarkEnd w:id="1049"/>
    </w:p>
    <w:p w:rsidR="003804AC" w:rsidRDefault="00AF18A5" w:rsidP="0053038F">
      <w:r>
        <w:t>Otro elemento del modelo de seguridad ha sido el desconocimiento del monopolio de las armas y las funciones de seguridad en cabeza del Estado. Entre las décadas de 1960 y 1990 se</w:t>
      </w:r>
      <w:r>
        <w:rPr>
          <w:spacing w:val="-15"/>
        </w:rPr>
        <w:t xml:space="preserve"> </w:t>
      </w:r>
      <w:r>
        <w:t>promovió</w:t>
      </w:r>
      <w:r>
        <w:rPr>
          <w:spacing w:val="-15"/>
        </w:rPr>
        <w:t xml:space="preserve"> </w:t>
      </w:r>
      <w:r>
        <w:t>que</w:t>
      </w:r>
      <w:r>
        <w:rPr>
          <w:spacing w:val="-15"/>
        </w:rPr>
        <w:t xml:space="preserve"> </w:t>
      </w:r>
      <w:r>
        <w:t>los</w:t>
      </w:r>
      <w:r>
        <w:rPr>
          <w:spacing w:val="-15"/>
        </w:rPr>
        <w:t xml:space="preserve"> </w:t>
      </w:r>
      <w:r>
        <w:t>particulares</w:t>
      </w:r>
      <w:r>
        <w:rPr>
          <w:spacing w:val="-15"/>
        </w:rPr>
        <w:t xml:space="preserve"> </w:t>
      </w:r>
      <w:r>
        <w:t>se</w:t>
      </w:r>
      <w:r>
        <w:rPr>
          <w:spacing w:val="-15"/>
        </w:rPr>
        <w:t xml:space="preserve"> </w:t>
      </w:r>
      <w:r>
        <w:t>involucraran</w:t>
      </w:r>
      <w:r>
        <w:rPr>
          <w:spacing w:val="-15"/>
        </w:rPr>
        <w:t xml:space="preserve"> </w:t>
      </w:r>
      <w:r>
        <w:t>en</w:t>
      </w:r>
      <w:r>
        <w:rPr>
          <w:spacing w:val="-15"/>
        </w:rPr>
        <w:t xml:space="preserve"> </w:t>
      </w:r>
      <w:r>
        <w:t>funciones</w:t>
      </w:r>
      <w:r>
        <w:rPr>
          <w:spacing w:val="-15"/>
        </w:rPr>
        <w:t xml:space="preserve"> </w:t>
      </w:r>
      <w:r>
        <w:t>de</w:t>
      </w:r>
      <w:r>
        <w:rPr>
          <w:spacing w:val="-15"/>
        </w:rPr>
        <w:t xml:space="preserve"> </w:t>
      </w:r>
      <w:r>
        <w:t>seguridad</w:t>
      </w:r>
      <w:r>
        <w:rPr>
          <w:spacing w:val="-15"/>
        </w:rPr>
        <w:t xml:space="preserve"> </w:t>
      </w:r>
      <w:r>
        <w:t>a</w:t>
      </w:r>
      <w:r>
        <w:rPr>
          <w:spacing w:val="-15"/>
        </w:rPr>
        <w:t xml:space="preserve"> </w:t>
      </w:r>
      <w:r>
        <w:t>través</w:t>
      </w:r>
      <w:r>
        <w:rPr>
          <w:spacing w:val="-15"/>
        </w:rPr>
        <w:t xml:space="preserve"> </w:t>
      </w:r>
      <w:r>
        <w:t>de</w:t>
      </w:r>
      <w:r>
        <w:rPr>
          <w:spacing w:val="-14"/>
        </w:rPr>
        <w:t xml:space="preserve"> </w:t>
      </w:r>
      <w:r>
        <w:t>grupos civiles armados y del suministro de información. En los años ochenta, con el apoyo del narcotráfico, estos grupos se convirtieron en el paramilitarismo que, además de un ejército, es</w:t>
      </w:r>
      <w:r>
        <w:rPr>
          <w:spacing w:val="-14"/>
        </w:rPr>
        <w:t xml:space="preserve"> </w:t>
      </w:r>
      <w:r>
        <w:t>un</w:t>
      </w:r>
      <w:r>
        <w:rPr>
          <w:spacing w:val="-14"/>
        </w:rPr>
        <w:t xml:space="preserve"> </w:t>
      </w:r>
      <w:r>
        <w:t>entramado</w:t>
      </w:r>
      <w:r>
        <w:rPr>
          <w:spacing w:val="-14"/>
        </w:rPr>
        <w:t xml:space="preserve"> </w:t>
      </w:r>
      <w:r>
        <w:t>de</w:t>
      </w:r>
      <w:r>
        <w:rPr>
          <w:spacing w:val="-14"/>
        </w:rPr>
        <w:t xml:space="preserve"> </w:t>
      </w:r>
      <w:r>
        <w:lastRenderedPageBreak/>
        <w:t>alianzas</w:t>
      </w:r>
      <w:r>
        <w:rPr>
          <w:spacing w:val="-14"/>
        </w:rPr>
        <w:t xml:space="preserve"> </w:t>
      </w:r>
      <w:r>
        <w:t>de</w:t>
      </w:r>
      <w:r>
        <w:rPr>
          <w:spacing w:val="-14"/>
        </w:rPr>
        <w:t xml:space="preserve"> </w:t>
      </w:r>
      <w:r>
        <w:t>sectores</w:t>
      </w:r>
      <w:r>
        <w:rPr>
          <w:spacing w:val="-14"/>
        </w:rPr>
        <w:t xml:space="preserve"> </w:t>
      </w:r>
      <w:r>
        <w:t>económicos,</w:t>
      </w:r>
      <w:r>
        <w:rPr>
          <w:spacing w:val="-15"/>
        </w:rPr>
        <w:t xml:space="preserve"> </w:t>
      </w:r>
      <w:r>
        <w:t>sociales</w:t>
      </w:r>
      <w:r>
        <w:rPr>
          <w:spacing w:val="-14"/>
        </w:rPr>
        <w:t xml:space="preserve"> </w:t>
      </w:r>
      <w:r>
        <w:t>y</w:t>
      </w:r>
      <w:r>
        <w:rPr>
          <w:spacing w:val="-15"/>
        </w:rPr>
        <w:t xml:space="preserve"> </w:t>
      </w:r>
      <w:r>
        <w:t>políticos</w:t>
      </w:r>
      <w:r>
        <w:rPr>
          <w:spacing w:val="-14"/>
        </w:rPr>
        <w:t xml:space="preserve"> </w:t>
      </w:r>
      <w:r>
        <w:t>en</w:t>
      </w:r>
      <w:r>
        <w:rPr>
          <w:spacing w:val="-14"/>
        </w:rPr>
        <w:t xml:space="preserve"> </w:t>
      </w:r>
      <w:r>
        <w:t>torno</w:t>
      </w:r>
      <w:r>
        <w:rPr>
          <w:spacing w:val="-14"/>
        </w:rPr>
        <w:t xml:space="preserve"> </w:t>
      </w:r>
      <w:r>
        <w:t>a</w:t>
      </w:r>
      <w:r>
        <w:rPr>
          <w:spacing w:val="-14"/>
        </w:rPr>
        <w:t xml:space="preserve"> </w:t>
      </w:r>
      <w:r>
        <w:t>la</w:t>
      </w:r>
      <w:r>
        <w:rPr>
          <w:spacing w:val="-14"/>
        </w:rPr>
        <w:t xml:space="preserve"> </w:t>
      </w:r>
      <w:r>
        <w:t>defensa de intereses de la misma naturaleza</w:t>
      </w:r>
      <w:r w:rsidR="0053038F">
        <w:rPr>
          <w:rStyle w:val="Refdenotaalpie"/>
        </w:rPr>
        <w:footnoteReference w:id="849"/>
      </w:r>
      <w:r>
        <w:t>.</w:t>
      </w:r>
    </w:p>
    <w:p w:rsidR="0011361F" w:rsidRDefault="00AF18A5" w:rsidP="0053038F">
      <w:r>
        <w:t>En una primera etapa, las propias leyes previeron que la seguridad del Estado se desarrollara con la participación activa y armada de los particulares</w:t>
      </w:r>
      <w:r w:rsidR="0053038F">
        <w:rPr>
          <w:rStyle w:val="Refdenotaalpie"/>
        </w:rPr>
        <w:footnoteReference w:id="850"/>
      </w:r>
      <w:r>
        <w:t>. El armar civiles y darles</w:t>
      </w:r>
      <w:r>
        <w:rPr>
          <w:spacing w:val="-6"/>
        </w:rPr>
        <w:t xml:space="preserve"> </w:t>
      </w:r>
      <w:r>
        <w:t>funciones</w:t>
      </w:r>
      <w:r>
        <w:rPr>
          <w:spacing w:val="-4"/>
        </w:rPr>
        <w:t xml:space="preserve"> </w:t>
      </w:r>
      <w:r>
        <w:t>de</w:t>
      </w:r>
      <w:r>
        <w:rPr>
          <w:spacing w:val="-4"/>
        </w:rPr>
        <w:t xml:space="preserve"> </w:t>
      </w:r>
      <w:r>
        <w:t>información</w:t>
      </w:r>
      <w:r>
        <w:rPr>
          <w:spacing w:val="-5"/>
        </w:rPr>
        <w:t xml:space="preserve"> </w:t>
      </w:r>
      <w:r>
        <w:t>e</w:t>
      </w:r>
      <w:r>
        <w:rPr>
          <w:spacing w:val="-6"/>
        </w:rPr>
        <w:t xml:space="preserve"> </w:t>
      </w:r>
      <w:r>
        <w:t>inteligencia</w:t>
      </w:r>
      <w:r>
        <w:rPr>
          <w:spacing w:val="-4"/>
        </w:rPr>
        <w:t xml:space="preserve"> </w:t>
      </w:r>
      <w:r>
        <w:t>reflejaba</w:t>
      </w:r>
      <w:r>
        <w:rPr>
          <w:spacing w:val="-6"/>
        </w:rPr>
        <w:t xml:space="preserve"> </w:t>
      </w:r>
      <w:r>
        <w:t>la</w:t>
      </w:r>
      <w:r>
        <w:rPr>
          <w:spacing w:val="-4"/>
        </w:rPr>
        <w:t xml:space="preserve"> </w:t>
      </w:r>
      <w:r>
        <w:t>idea</w:t>
      </w:r>
      <w:r>
        <w:rPr>
          <w:spacing w:val="-4"/>
        </w:rPr>
        <w:t xml:space="preserve"> </w:t>
      </w:r>
      <w:r>
        <w:t>de</w:t>
      </w:r>
      <w:r>
        <w:rPr>
          <w:spacing w:val="-4"/>
        </w:rPr>
        <w:t xml:space="preserve"> </w:t>
      </w:r>
      <w:r>
        <w:t>tener</w:t>
      </w:r>
      <w:r>
        <w:rPr>
          <w:spacing w:val="-5"/>
        </w:rPr>
        <w:t xml:space="preserve"> </w:t>
      </w:r>
      <w:r>
        <w:t>control</w:t>
      </w:r>
      <w:r>
        <w:rPr>
          <w:spacing w:val="-4"/>
        </w:rPr>
        <w:t xml:space="preserve"> </w:t>
      </w:r>
      <w:r>
        <w:t>del</w:t>
      </w:r>
      <w:r>
        <w:rPr>
          <w:spacing w:val="-5"/>
        </w:rPr>
        <w:t xml:space="preserve"> </w:t>
      </w:r>
      <w:r>
        <w:t xml:space="preserve">territorio teniendo el control de la población. Estos grupos armados civiles apoyaban militarmente y con información a la fuerza pública y, a su vez, recibían entrenamiento, financiación y </w:t>
      </w:r>
      <w:r>
        <w:rPr>
          <w:spacing w:val="-2"/>
        </w:rPr>
        <w:t>apoyo</w:t>
      </w:r>
      <w:r w:rsidR="0053038F">
        <w:rPr>
          <w:rStyle w:val="Refdenotaalpie"/>
          <w:spacing w:val="-2"/>
        </w:rPr>
        <w:footnoteReference w:id="851"/>
      </w:r>
      <w:r>
        <w:rPr>
          <w:spacing w:val="-2"/>
        </w:rPr>
        <w:t>.</w:t>
      </w:r>
    </w:p>
    <w:p w:rsidR="003804AC" w:rsidRDefault="00AF18A5" w:rsidP="0053038F">
      <w:bookmarkStart w:id="1050" w:name="_bookmark926"/>
      <w:bookmarkStart w:id="1051" w:name="_bookmark927"/>
      <w:bookmarkStart w:id="1052" w:name="_bookmark928"/>
      <w:bookmarkEnd w:id="1050"/>
      <w:bookmarkEnd w:id="1051"/>
      <w:bookmarkEnd w:id="1052"/>
      <w:r>
        <w:t>Este</w:t>
      </w:r>
      <w:r>
        <w:rPr>
          <w:spacing w:val="-6"/>
        </w:rPr>
        <w:t xml:space="preserve"> </w:t>
      </w:r>
      <w:r>
        <w:t>contexto</w:t>
      </w:r>
      <w:r>
        <w:rPr>
          <w:spacing w:val="-6"/>
        </w:rPr>
        <w:t xml:space="preserve"> </w:t>
      </w:r>
      <w:r>
        <w:t>en</w:t>
      </w:r>
      <w:r>
        <w:rPr>
          <w:spacing w:val="-7"/>
        </w:rPr>
        <w:t xml:space="preserve"> </w:t>
      </w:r>
      <w:r>
        <w:t>los</w:t>
      </w:r>
      <w:r>
        <w:rPr>
          <w:spacing w:val="-7"/>
        </w:rPr>
        <w:t xml:space="preserve"> </w:t>
      </w:r>
      <w:r>
        <w:t>años</w:t>
      </w:r>
      <w:r>
        <w:rPr>
          <w:spacing w:val="-6"/>
        </w:rPr>
        <w:t xml:space="preserve"> </w:t>
      </w:r>
      <w:r>
        <w:t>ochenta</w:t>
      </w:r>
      <w:r>
        <w:rPr>
          <w:spacing w:val="-7"/>
        </w:rPr>
        <w:t xml:space="preserve"> </w:t>
      </w:r>
      <w:r>
        <w:t>abrió</w:t>
      </w:r>
      <w:r>
        <w:rPr>
          <w:spacing w:val="-6"/>
        </w:rPr>
        <w:t xml:space="preserve"> </w:t>
      </w:r>
      <w:r>
        <w:t>paso</w:t>
      </w:r>
      <w:r>
        <w:rPr>
          <w:spacing w:val="-6"/>
        </w:rPr>
        <w:t xml:space="preserve"> </w:t>
      </w:r>
      <w:r>
        <w:t>al</w:t>
      </w:r>
      <w:r>
        <w:rPr>
          <w:spacing w:val="-7"/>
        </w:rPr>
        <w:t xml:space="preserve"> </w:t>
      </w:r>
      <w:r>
        <w:t>crecimiento</w:t>
      </w:r>
      <w:r>
        <w:rPr>
          <w:spacing w:val="-6"/>
        </w:rPr>
        <w:t xml:space="preserve"> </w:t>
      </w:r>
      <w:r>
        <w:t>de</w:t>
      </w:r>
      <w:r>
        <w:rPr>
          <w:spacing w:val="-6"/>
        </w:rPr>
        <w:t xml:space="preserve"> </w:t>
      </w:r>
      <w:r>
        <w:t>las</w:t>
      </w:r>
      <w:r>
        <w:rPr>
          <w:spacing w:val="-6"/>
        </w:rPr>
        <w:t xml:space="preserve"> </w:t>
      </w:r>
      <w:r>
        <w:t>mafias</w:t>
      </w:r>
      <w:r>
        <w:rPr>
          <w:spacing w:val="-7"/>
        </w:rPr>
        <w:t xml:space="preserve"> </w:t>
      </w:r>
      <w:r>
        <w:t>del</w:t>
      </w:r>
      <w:r>
        <w:rPr>
          <w:spacing w:val="-5"/>
        </w:rPr>
        <w:t xml:space="preserve"> </w:t>
      </w:r>
      <w:r>
        <w:t>narcotráfico caracterizadas</w:t>
      </w:r>
      <w:r>
        <w:rPr>
          <w:spacing w:val="-6"/>
        </w:rPr>
        <w:t xml:space="preserve"> </w:t>
      </w:r>
      <w:r>
        <w:t>por</w:t>
      </w:r>
      <w:r>
        <w:rPr>
          <w:spacing w:val="-5"/>
        </w:rPr>
        <w:t xml:space="preserve"> </w:t>
      </w:r>
      <w:r>
        <w:t>su</w:t>
      </w:r>
      <w:r>
        <w:rPr>
          <w:spacing w:val="-7"/>
        </w:rPr>
        <w:t xml:space="preserve"> </w:t>
      </w:r>
      <w:r>
        <w:t>carácter</w:t>
      </w:r>
      <w:r>
        <w:rPr>
          <w:spacing w:val="-5"/>
        </w:rPr>
        <w:t xml:space="preserve"> </w:t>
      </w:r>
      <w:r>
        <w:t>ilegal,</w:t>
      </w:r>
      <w:r>
        <w:rPr>
          <w:spacing w:val="-8"/>
        </w:rPr>
        <w:t xml:space="preserve"> </w:t>
      </w:r>
      <w:r>
        <w:t>las</w:t>
      </w:r>
      <w:r>
        <w:rPr>
          <w:spacing w:val="-6"/>
        </w:rPr>
        <w:t xml:space="preserve"> </w:t>
      </w:r>
      <w:r>
        <w:t>descomunales</w:t>
      </w:r>
      <w:r>
        <w:rPr>
          <w:spacing w:val="-6"/>
        </w:rPr>
        <w:t xml:space="preserve"> </w:t>
      </w:r>
      <w:r>
        <w:t>ganancias</w:t>
      </w:r>
      <w:r>
        <w:rPr>
          <w:spacing w:val="-6"/>
        </w:rPr>
        <w:t xml:space="preserve"> </w:t>
      </w:r>
      <w:r>
        <w:t>que</w:t>
      </w:r>
      <w:r>
        <w:rPr>
          <w:spacing w:val="-7"/>
        </w:rPr>
        <w:t xml:space="preserve"> </w:t>
      </w:r>
      <w:r>
        <w:t>les</w:t>
      </w:r>
      <w:r>
        <w:rPr>
          <w:spacing w:val="-8"/>
        </w:rPr>
        <w:t xml:space="preserve"> </w:t>
      </w:r>
      <w:r>
        <w:t>permitía</w:t>
      </w:r>
      <w:r>
        <w:rPr>
          <w:spacing w:val="-6"/>
        </w:rPr>
        <w:t xml:space="preserve"> </w:t>
      </w:r>
      <w:r>
        <w:t>el</w:t>
      </w:r>
      <w:r>
        <w:rPr>
          <w:spacing w:val="-7"/>
        </w:rPr>
        <w:t xml:space="preserve"> </w:t>
      </w:r>
      <w:r>
        <w:t xml:space="preserve">negocio y, por consiguiente, su enorme poder corruptor. En un primer momento, las iniciativas regionales organizaron el entramado, como la </w:t>
      </w:r>
      <w:proofErr w:type="spellStart"/>
      <w:r>
        <w:t>Asociacioón</w:t>
      </w:r>
      <w:proofErr w:type="spellEnd"/>
      <w:r>
        <w:t xml:space="preserve"> de Campesinos del Magdalena Medio (</w:t>
      </w:r>
      <w:proofErr w:type="spellStart"/>
      <w:r>
        <w:t>Acdegam</w:t>
      </w:r>
      <w:proofErr w:type="spellEnd"/>
      <w:r>
        <w:t>) y las Autodefensas Campesinas de Córdoba y Urabá; luego, a través de su consolidación y expansión nacional como las Autodefensas Unidas de Colombia (AUC) en</w:t>
      </w:r>
      <w:r>
        <w:rPr>
          <w:spacing w:val="-8"/>
        </w:rPr>
        <w:t xml:space="preserve"> </w:t>
      </w:r>
      <w:r>
        <w:lastRenderedPageBreak/>
        <w:t>1997</w:t>
      </w:r>
      <w:r>
        <w:rPr>
          <w:spacing w:val="-8"/>
        </w:rPr>
        <w:t xml:space="preserve"> </w:t>
      </w:r>
      <w:r>
        <w:t>y,</w:t>
      </w:r>
      <w:r>
        <w:rPr>
          <w:spacing w:val="-8"/>
        </w:rPr>
        <w:t xml:space="preserve"> </w:t>
      </w:r>
      <w:r>
        <w:t>después</w:t>
      </w:r>
      <w:r>
        <w:rPr>
          <w:spacing w:val="-8"/>
        </w:rPr>
        <w:t xml:space="preserve"> </w:t>
      </w:r>
      <w:r>
        <w:t>de</w:t>
      </w:r>
      <w:r>
        <w:rPr>
          <w:spacing w:val="-9"/>
        </w:rPr>
        <w:t xml:space="preserve"> </w:t>
      </w:r>
      <w:r>
        <w:t>la</w:t>
      </w:r>
      <w:r>
        <w:rPr>
          <w:spacing w:val="-9"/>
        </w:rPr>
        <w:t xml:space="preserve"> </w:t>
      </w:r>
      <w:r>
        <w:t>desmovilización</w:t>
      </w:r>
      <w:r>
        <w:rPr>
          <w:spacing w:val="-8"/>
        </w:rPr>
        <w:t xml:space="preserve"> </w:t>
      </w:r>
      <w:r>
        <w:t>de</w:t>
      </w:r>
      <w:r>
        <w:rPr>
          <w:spacing w:val="-9"/>
        </w:rPr>
        <w:t xml:space="preserve"> </w:t>
      </w:r>
      <w:r>
        <w:t>las</w:t>
      </w:r>
      <w:r>
        <w:rPr>
          <w:spacing w:val="-9"/>
        </w:rPr>
        <w:t xml:space="preserve"> </w:t>
      </w:r>
      <w:r>
        <w:t>AUC,</w:t>
      </w:r>
      <w:r>
        <w:rPr>
          <w:spacing w:val="-8"/>
        </w:rPr>
        <w:t xml:space="preserve"> </w:t>
      </w:r>
      <w:r>
        <w:t>en</w:t>
      </w:r>
      <w:r>
        <w:rPr>
          <w:spacing w:val="-8"/>
        </w:rPr>
        <w:t xml:space="preserve"> </w:t>
      </w:r>
      <w:r>
        <w:t>los</w:t>
      </w:r>
      <w:r>
        <w:rPr>
          <w:spacing w:val="-8"/>
        </w:rPr>
        <w:t xml:space="preserve"> </w:t>
      </w:r>
      <w:r>
        <w:t>años</w:t>
      </w:r>
      <w:r>
        <w:rPr>
          <w:spacing w:val="-8"/>
        </w:rPr>
        <w:t xml:space="preserve"> </w:t>
      </w:r>
      <w:r>
        <w:t>2006</w:t>
      </w:r>
      <w:r>
        <w:rPr>
          <w:spacing w:val="-8"/>
        </w:rPr>
        <w:t xml:space="preserve"> </w:t>
      </w:r>
      <w:r>
        <w:t>y</w:t>
      </w:r>
      <w:r>
        <w:rPr>
          <w:spacing w:val="-10"/>
        </w:rPr>
        <w:t xml:space="preserve"> </w:t>
      </w:r>
      <w:r>
        <w:t>siguientes,</w:t>
      </w:r>
      <w:r>
        <w:rPr>
          <w:spacing w:val="-11"/>
        </w:rPr>
        <w:t xml:space="preserve"> </w:t>
      </w:r>
      <w:r>
        <w:t>a</w:t>
      </w:r>
      <w:r>
        <w:rPr>
          <w:spacing w:val="-8"/>
        </w:rPr>
        <w:t xml:space="preserve"> </w:t>
      </w:r>
      <w:r>
        <w:t xml:space="preserve">través de su mutación a diferentes expresiones armadas paramilitares, como Los Rastrojos, Los </w:t>
      </w:r>
      <w:proofErr w:type="spellStart"/>
      <w:r>
        <w:t>Pachenca</w:t>
      </w:r>
      <w:proofErr w:type="spellEnd"/>
      <w:r>
        <w:t xml:space="preserve">, Los </w:t>
      </w:r>
      <w:proofErr w:type="spellStart"/>
      <w:r>
        <w:t>Caparrapos</w:t>
      </w:r>
      <w:proofErr w:type="spellEnd"/>
      <w:r>
        <w:t xml:space="preserve"> o Caparros y el Clan del Golfo.</w:t>
      </w:r>
    </w:p>
    <w:p w:rsidR="003804AC" w:rsidRDefault="00AF18A5" w:rsidP="00BE599E">
      <w:r>
        <w:t>En</w:t>
      </w:r>
      <w:r>
        <w:rPr>
          <w:spacing w:val="-10"/>
        </w:rPr>
        <w:t xml:space="preserve"> </w:t>
      </w:r>
      <w:r>
        <w:t>numerosas</w:t>
      </w:r>
      <w:r>
        <w:rPr>
          <w:spacing w:val="-10"/>
        </w:rPr>
        <w:t xml:space="preserve"> </w:t>
      </w:r>
      <w:r>
        <w:t>ocasiones</w:t>
      </w:r>
      <w:r>
        <w:rPr>
          <w:spacing w:val="-10"/>
        </w:rPr>
        <w:t xml:space="preserve"> </w:t>
      </w:r>
      <w:r>
        <w:t>se</w:t>
      </w:r>
      <w:r>
        <w:rPr>
          <w:spacing w:val="-10"/>
        </w:rPr>
        <w:t xml:space="preserve"> </w:t>
      </w:r>
      <w:r>
        <w:t>hicieron</w:t>
      </w:r>
      <w:r>
        <w:rPr>
          <w:spacing w:val="-11"/>
        </w:rPr>
        <w:t xml:space="preserve"> </w:t>
      </w:r>
      <w:r>
        <w:t>denuncias</w:t>
      </w:r>
      <w:r>
        <w:rPr>
          <w:spacing w:val="-10"/>
        </w:rPr>
        <w:t xml:space="preserve"> </w:t>
      </w:r>
      <w:r>
        <w:t>sobre</w:t>
      </w:r>
      <w:r>
        <w:rPr>
          <w:spacing w:val="-10"/>
        </w:rPr>
        <w:t xml:space="preserve"> </w:t>
      </w:r>
      <w:r>
        <w:t>dicha</w:t>
      </w:r>
      <w:r>
        <w:rPr>
          <w:spacing w:val="-10"/>
        </w:rPr>
        <w:t xml:space="preserve"> </w:t>
      </w:r>
      <w:r>
        <w:t>colaboración,</w:t>
      </w:r>
      <w:r>
        <w:rPr>
          <w:spacing w:val="-10"/>
        </w:rPr>
        <w:t xml:space="preserve"> </w:t>
      </w:r>
      <w:r>
        <w:t>como</w:t>
      </w:r>
      <w:r>
        <w:rPr>
          <w:spacing w:val="-10"/>
        </w:rPr>
        <w:t xml:space="preserve"> </w:t>
      </w:r>
      <w:r>
        <w:t>una</w:t>
      </w:r>
      <w:r>
        <w:rPr>
          <w:spacing w:val="-10"/>
        </w:rPr>
        <w:t xml:space="preserve"> </w:t>
      </w:r>
      <w:r>
        <w:t>forma de</w:t>
      </w:r>
      <w:r>
        <w:rPr>
          <w:spacing w:val="-13"/>
        </w:rPr>
        <w:t xml:space="preserve"> </w:t>
      </w:r>
      <w:r>
        <w:t>delegar</w:t>
      </w:r>
      <w:r>
        <w:rPr>
          <w:spacing w:val="-13"/>
        </w:rPr>
        <w:t xml:space="preserve"> </w:t>
      </w:r>
      <w:r>
        <w:t>la</w:t>
      </w:r>
      <w:r>
        <w:rPr>
          <w:spacing w:val="-14"/>
        </w:rPr>
        <w:t xml:space="preserve"> </w:t>
      </w:r>
      <w:r>
        <w:t>seguridad</w:t>
      </w:r>
      <w:r>
        <w:rPr>
          <w:spacing w:val="-13"/>
        </w:rPr>
        <w:t xml:space="preserve"> </w:t>
      </w:r>
      <w:r>
        <w:t>y</w:t>
      </w:r>
      <w:r>
        <w:rPr>
          <w:spacing w:val="-13"/>
        </w:rPr>
        <w:t xml:space="preserve"> </w:t>
      </w:r>
      <w:r>
        <w:t>apoyarse</w:t>
      </w:r>
      <w:r>
        <w:rPr>
          <w:spacing w:val="-13"/>
        </w:rPr>
        <w:t xml:space="preserve"> </w:t>
      </w:r>
      <w:r>
        <w:t>en</w:t>
      </w:r>
      <w:r>
        <w:rPr>
          <w:spacing w:val="-14"/>
        </w:rPr>
        <w:t xml:space="preserve"> </w:t>
      </w:r>
      <w:r>
        <w:t>estructuras</w:t>
      </w:r>
      <w:r>
        <w:rPr>
          <w:spacing w:val="-13"/>
        </w:rPr>
        <w:t xml:space="preserve"> </w:t>
      </w:r>
      <w:r>
        <w:t>paramilitares</w:t>
      </w:r>
      <w:r>
        <w:rPr>
          <w:spacing w:val="-14"/>
        </w:rPr>
        <w:t xml:space="preserve"> </w:t>
      </w:r>
      <w:r>
        <w:t>para</w:t>
      </w:r>
      <w:r>
        <w:rPr>
          <w:spacing w:val="-13"/>
        </w:rPr>
        <w:t xml:space="preserve"> </w:t>
      </w:r>
      <w:r>
        <w:t>el</w:t>
      </w:r>
      <w:r>
        <w:rPr>
          <w:spacing w:val="-13"/>
        </w:rPr>
        <w:t xml:space="preserve"> </w:t>
      </w:r>
      <w:r>
        <w:t>control</w:t>
      </w:r>
      <w:r>
        <w:rPr>
          <w:spacing w:val="-13"/>
        </w:rPr>
        <w:t xml:space="preserve"> </w:t>
      </w:r>
      <w:r>
        <w:t>de</w:t>
      </w:r>
      <w:r>
        <w:rPr>
          <w:spacing w:val="-13"/>
        </w:rPr>
        <w:t xml:space="preserve"> </w:t>
      </w:r>
      <w:r>
        <w:t>la</w:t>
      </w:r>
      <w:r>
        <w:rPr>
          <w:spacing w:val="-13"/>
        </w:rPr>
        <w:t xml:space="preserve"> </w:t>
      </w:r>
      <w:r>
        <w:t>población y del territorio. Sin embargo, ninguna respuesta efectiva se dio a estas denuncias, y el crecimiento de estos grupos paramilitares fue parte de una concepción de atacar las bases guerrilleras,</w:t>
      </w:r>
      <w:r>
        <w:rPr>
          <w:spacing w:val="-15"/>
        </w:rPr>
        <w:t xml:space="preserve"> </w:t>
      </w:r>
      <w:r>
        <w:t>de</w:t>
      </w:r>
      <w:r>
        <w:rPr>
          <w:spacing w:val="-15"/>
        </w:rPr>
        <w:t xml:space="preserve"> </w:t>
      </w:r>
      <w:r>
        <w:t>que</w:t>
      </w:r>
      <w:r>
        <w:rPr>
          <w:spacing w:val="-15"/>
        </w:rPr>
        <w:t xml:space="preserve"> </w:t>
      </w:r>
      <w:r>
        <w:t>«el</w:t>
      </w:r>
      <w:r>
        <w:rPr>
          <w:spacing w:val="-15"/>
        </w:rPr>
        <w:t xml:space="preserve"> </w:t>
      </w:r>
      <w:r>
        <w:t>enemigo</w:t>
      </w:r>
      <w:r>
        <w:rPr>
          <w:spacing w:val="-15"/>
        </w:rPr>
        <w:t xml:space="preserve"> </w:t>
      </w:r>
      <w:r>
        <w:t>de</w:t>
      </w:r>
      <w:r>
        <w:rPr>
          <w:spacing w:val="-15"/>
        </w:rPr>
        <w:t xml:space="preserve"> </w:t>
      </w:r>
      <w:r>
        <w:t>mi</w:t>
      </w:r>
      <w:r>
        <w:rPr>
          <w:spacing w:val="-15"/>
        </w:rPr>
        <w:t xml:space="preserve"> </w:t>
      </w:r>
      <w:r>
        <w:t>enemigo</w:t>
      </w:r>
      <w:r>
        <w:rPr>
          <w:spacing w:val="-15"/>
        </w:rPr>
        <w:t xml:space="preserve"> </w:t>
      </w:r>
      <w:r>
        <w:t>es</w:t>
      </w:r>
      <w:r>
        <w:rPr>
          <w:spacing w:val="-15"/>
        </w:rPr>
        <w:t xml:space="preserve"> </w:t>
      </w:r>
      <w:r>
        <w:t>mi</w:t>
      </w:r>
      <w:r>
        <w:rPr>
          <w:spacing w:val="-15"/>
        </w:rPr>
        <w:t xml:space="preserve"> </w:t>
      </w:r>
      <w:r>
        <w:t>amigo»</w:t>
      </w:r>
      <w:r>
        <w:rPr>
          <w:spacing w:val="-15"/>
        </w:rPr>
        <w:t xml:space="preserve"> </w:t>
      </w:r>
      <w:r>
        <w:t>y</w:t>
      </w:r>
      <w:r>
        <w:rPr>
          <w:spacing w:val="-15"/>
        </w:rPr>
        <w:t xml:space="preserve"> </w:t>
      </w:r>
      <w:r>
        <w:t>de</w:t>
      </w:r>
      <w:r>
        <w:rPr>
          <w:spacing w:val="-15"/>
        </w:rPr>
        <w:t xml:space="preserve"> </w:t>
      </w:r>
      <w:r>
        <w:t>que</w:t>
      </w:r>
      <w:r>
        <w:rPr>
          <w:spacing w:val="-15"/>
        </w:rPr>
        <w:t xml:space="preserve"> </w:t>
      </w:r>
      <w:r>
        <w:t>era</w:t>
      </w:r>
      <w:r>
        <w:rPr>
          <w:spacing w:val="-15"/>
        </w:rPr>
        <w:t xml:space="preserve"> </w:t>
      </w:r>
      <w:r>
        <w:t>«un</w:t>
      </w:r>
      <w:r>
        <w:rPr>
          <w:spacing w:val="-15"/>
        </w:rPr>
        <w:t xml:space="preserve"> </w:t>
      </w:r>
      <w:r>
        <w:t>mal</w:t>
      </w:r>
      <w:r>
        <w:rPr>
          <w:spacing w:val="-15"/>
        </w:rPr>
        <w:t xml:space="preserve"> </w:t>
      </w:r>
      <w:r>
        <w:t xml:space="preserve">necesario» para enfrentar a las guerrillas. Ninguna disposición efectiva se tomó para controlar este </w:t>
      </w:r>
      <w:r>
        <w:rPr>
          <w:spacing w:val="-2"/>
        </w:rPr>
        <w:t>crecimiento.</w:t>
      </w:r>
    </w:p>
    <w:p w:rsidR="003804AC" w:rsidRDefault="00AF18A5" w:rsidP="00BE599E">
      <w:r>
        <w:t>Las relaciones con políticos y fuerza pública fueron evidentes, y aunque las investigaciones judiciales trataron de avanzar en la investigación, fueron directamente atacadas por el paramilitarismo con la colaboración de la propia Fiscalía en el periodo del fiscal general Luis Camilo Osorio. Diferentes organismos de control trataron de hacer investigaciones y poner alarmas, pero nada de eso se tomó en serio.</w:t>
      </w:r>
    </w:p>
    <w:p w:rsidR="003804AC" w:rsidRPr="00BE599E" w:rsidRDefault="00AF18A5" w:rsidP="00BE599E">
      <w:r>
        <w:t>En otras ocasiones los grupos paramilitares fueron defendidos por el Estado bajo el discurso</w:t>
      </w:r>
      <w:r>
        <w:rPr>
          <w:spacing w:val="-1"/>
        </w:rPr>
        <w:t xml:space="preserve"> </w:t>
      </w:r>
      <w:r>
        <w:t>del</w:t>
      </w:r>
      <w:r>
        <w:rPr>
          <w:spacing w:val="-2"/>
        </w:rPr>
        <w:t xml:space="preserve"> </w:t>
      </w:r>
      <w:r>
        <w:t>derecho de autodefensa frente</w:t>
      </w:r>
      <w:r>
        <w:rPr>
          <w:spacing w:val="-1"/>
        </w:rPr>
        <w:t xml:space="preserve"> </w:t>
      </w:r>
      <w:r>
        <w:t>a</w:t>
      </w:r>
      <w:r>
        <w:rPr>
          <w:spacing w:val="-1"/>
        </w:rPr>
        <w:t xml:space="preserve"> </w:t>
      </w:r>
      <w:r>
        <w:t>la</w:t>
      </w:r>
      <w:r>
        <w:rPr>
          <w:spacing w:val="-1"/>
        </w:rPr>
        <w:t xml:space="preserve"> </w:t>
      </w:r>
      <w:r>
        <w:t>insurgencia. En</w:t>
      </w:r>
      <w:r>
        <w:rPr>
          <w:spacing w:val="-1"/>
        </w:rPr>
        <w:t xml:space="preserve"> </w:t>
      </w:r>
      <w:r>
        <w:t>1987, el</w:t>
      </w:r>
      <w:r>
        <w:rPr>
          <w:spacing w:val="-1"/>
        </w:rPr>
        <w:t xml:space="preserve"> </w:t>
      </w:r>
      <w:r>
        <w:t>ministro</w:t>
      </w:r>
      <w:r>
        <w:rPr>
          <w:spacing w:val="-1"/>
        </w:rPr>
        <w:t xml:space="preserve"> </w:t>
      </w:r>
      <w:r>
        <w:t>de defensa de la época, Rafael Samudio Molina, en un debate sobre paramilitares en la Cámara de Representantes,</w:t>
      </w:r>
      <w:r>
        <w:rPr>
          <w:spacing w:val="33"/>
        </w:rPr>
        <w:t xml:space="preserve"> </w:t>
      </w:r>
      <w:r>
        <w:t>sostuvo</w:t>
      </w:r>
      <w:r>
        <w:rPr>
          <w:spacing w:val="32"/>
        </w:rPr>
        <w:t xml:space="preserve"> </w:t>
      </w:r>
      <w:r>
        <w:t>que</w:t>
      </w:r>
      <w:r>
        <w:rPr>
          <w:spacing w:val="34"/>
        </w:rPr>
        <w:t xml:space="preserve"> </w:t>
      </w:r>
      <w:r>
        <w:t>los</w:t>
      </w:r>
      <w:r>
        <w:rPr>
          <w:spacing w:val="34"/>
        </w:rPr>
        <w:t xml:space="preserve"> </w:t>
      </w:r>
      <w:r>
        <w:t>grupos</w:t>
      </w:r>
      <w:r>
        <w:rPr>
          <w:spacing w:val="34"/>
        </w:rPr>
        <w:t xml:space="preserve"> </w:t>
      </w:r>
      <w:r>
        <w:t>respondían</w:t>
      </w:r>
      <w:r>
        <w:rPr>
          <w:spacing w:val="33"/>
        </w:rPr>
        <w:t xml:space="preserve"> </w:t>
      </w:r>
      <w:r>
        <w:t>al</w:t>
      </w:r>
      <w:r>
        <w:rPr>
          <w:spacing w:val="34"/>
        </w:rPr>
        <w:t xml:space="preserve"> </w:t>
      </w:r>
      <w:r>
        <w:t>ejercicio</w:t>
      </w:r>
      <w:r>
        <w:rPr>
          <w:spacing w:val="33"/>
        </w:rPr>
        <w:t xml:space="preserve"> </w:t>
      </w:r>
      <w:r>
        <w:t>de</w:t>
      </w:r>
      <w:r>
        <w:rPr>
          <w:spacing w:val="34"/>
        </w:rPr>
        <w:t xml:space="preserve"> </w:t>
      </w:r>
      <w:r>
        <w:t>un</w:t>
      </w:r>
      <w:r>
        <w:rPr>
          <w:spacing w:val="32"/>
        </w:rPr>
        <w:t xml:space="preserve"> </w:t>
      </w:r>
      <w:r>
        <w:t>derecho</w:t>
      </w:r>
      <w:r>
        <w:rPr>
          <w:spacing w:val="33"/>
        </w:rPr>
        <w:t xml:space="preserve"> </w:t>
      </w:r>
      <w:r>
        <w:t>natural</w:t>
      </w:r>
      <w:r>
        <w:rPr>
          <w:spacing w:val="35"/>
        </w:rPr>
        <w:t xml:space="preserve"> </w:t>
      </w:r>
      <w:r>
        <w:rPr>
          <w:spacing w:val="-5"/>
        </w:rPr>
        <w:t>de</w:t>
      </w:r>
      <w:r w:rsidR="00BE599E">
        <w:rPr>
          <w:spacing w:val="-5"/>
        </w:rPr>
        <w:t xml:space="preserve"> </w:t>
      </w:r>
      <w:r>
        <w:t>autodefensa. Sin embargo, para ese entonces, los grupos se habían convertido en un serio factor de inseguridad y eran responsables de homicidios selectivos y masacres.</w:t>
      </w:r>
    </w:p>
    <w:p w:rsidR="003804AC" w:rsidRDefault="00AF18A5" w:rsidP="00BE599E">
      <w:r>
        <w:t>En</w:t>
      </w:r>
      <w:r>
        <w:rPr>
          <w:spacing w:val="-14"/>
        </w:rPr>
        <w:t xml:space="preserve"> </w:t>
      </w:r>
      <w:r>
        <w:t>1989,</w:t>
      </w:r>
      <w:r>
        <w:rPr>
          <w:spacing w:val="-14"/>
        </w:rPr>
        <w:t xml:space="preserve"> </w:t>
      </w:r>
      <w:r>
        <w:t>el</w:t>
      </w:r>
      <w:r>
        <w:rPr>
          <w:spacing w:val="-14"/>
        </w:rPr>
        <w:t xml:space="preserve"> </w:t>
      </w:r>
      <w:r>
        <w:t>presidente</w:t>
      </w:r>
      <w:r>
        <w:rPr>
          <w:spacing w:val="-14"/>
        </w:rPr>
        <w:t xml:space="preserve"> </w:t>
      </w:r>
      <w:r>
        <w:t>Virgilio</w:t>
      </w:r>
      <w:r>
        <w:rPr>
          <w:spacing w:val="-14"/>
        </w:rPr>
        <w:t xml:space="preserve"> </w:t>
      </w:r>
      <w:r>
        <w:t>Barco</w:t>
      </w:r>
      <w:r>
        <w:rPr>
          <w:spacing w:val="-15"/>
        </w:rPr>
        <w:t xml:space="preserve"> </w:t>
      </w:r>
      <w:r>
        <w:t>Vargas,</w:t>
      </w:r>
      <w:r>
        <w:rPr>
          <w:spacing w:val="-14"/>
        </w:rPr>
        <w:t xml:space="preserve"> </w:t>
      </w:r>
      <w:r>
        <w:t>mediante</w:t>
      </w:r>
      <w:r>
        <w:rPr>
          <w:spacing w:val="-15"/>
        </w:rPr>
        <w:t xml:space="preserve"> </w:t>
      </w:r>
      <w:r>
        <w:t>el</w:t>
      </w:r>
      <w:r>
        <w:rPr>
          <w:spacing w:val="-14"/>
        </w:rPr>
        <w:t xml:space="preserve"> </w:t>
      </w:r>
      <w:r>
        <w:t>Decreto</w:t>
      </w:r>
      <w:r>
        <w:rPr>
          <w:spacing w:val="-14"/>
        </w:rPr>
        <w:t xml:space="preserve"> </w:t>
      </w:r>
      <w:r>
        <w:t>815,</w:t>
      </w:r>
      <w:r>
        <w:rPr>
          <w:spacing w:val="-14"/>
        </w:rPr>
        <w:t xml:space="preserve"> </w:t>
      </w:r>
      <w:r>
        <w:lastRenderedPageBreak/>
        <w:t>derogó</w:t>
      </w:r>
      <w:r>
        <w:rPr>
          <w:spacing w:val="-14"/>
        </w:rPr>
        <w:t xml:space="preserve"> </w:t>
      </w:r>
      <w:r>
        <w:t>finalmente las disposiciones del Decreto 3398 de 1965 que permitía los «grupos de autodefensa» y los autorizaba para usar armas privativas de la fuerza pública. En mayo de 1989, la Corte Suprema de Justicia lo había declarado inexequible. El Decreto 814 del mismo año creó un grupo</w:t>
      </w:r>
      <w:r>
        <w:rPr>
          <w:spacing w:val="-11"/>
        </w:rPr>
        <w:t xml:space="preserve"> </w:t>
      </w:r>
      <w:r>
        <w:t>élite</w:t>
      </w:r>
      <w:r>
        <w:rPr>
          <w:spacing w:val="-11"/>
        </w:rPr>
        <w:t xml:space="preserve"> </w:t>
      </w:r>
      <w:r>
        <w:t>de</w:t>
      </w:r>
      <w:r>
        <w:rPr>
          <w:spacing w:val="-11"/>
        </w:rPr>
        <w:t xml:space="preserve"> </w:t>
      </w:r>
      <w:r>
        <w:t>persecución</w:t>
      </w:r>
      <w:r>
        <w:rPr>
          <w:spacing w:val="-11"/>
        </w:rPr>
        <w:t xml:space="preserve"> </w:t>
      </w:r>
      <w:r>
        <w:t>de</w:t>
      </w:r>
      <w:r>
        <w:rPr>
          <w:spacing w:val="-11"/>
        </w:rPr>
        <w:t xml:space="preserve"> </w:t>
      </w:r>
      <w:r>
        <w:t>lo</w:t>
      </w:r>
      <w:r>
        <w:rPr>
          <w:spacing w:val="-11"/>
        </w:rPr>
        <w:t xml:space="preserve"> </w:t>
      </w:r>
      <w:r>
        <w:t>que</w:t>
      </w:r>
      <w:r>
        <w:rPr>
          <w:spacing w:val="-11"/>
        </w:rPr>
        <w:t xml:space="preserve"> </w:t>
      </w:r>
      <w:r>
        <w:t>denominó</w:t>
      </w:r>
      <w:r>
        <w:rPr>
          <w:spacing w:val="-11"/>
        </w:rPr>
        <w:t xml:space="preserve"> </w:t>
      </w:r>
      <w:r>
        <w:t>«escuadrones</w:t>
      </w:r>
      <w:r>
        <w:rPr>
          <w:spacing w:val="-11"/>
        </w:rPr>
        <w:t xml:space="preserve"> </w:t>
      </w:r>
      <w:r>
        <w:t>de</w:t>
      </w:r>
      <w:r>
        <w:rPr>
          <w:spacing w:val="-11"/>
        </w:rPr>
        <w:t xml:space="preserve"> </w:t>
      </w:r>
      <w:r>
        <w:t>la</w:t>
      </w:r>
      <w:r>
        <w:rPr>
          <w:spacing w:val="-11"/>
        </w:rPr>
        <w:t xml:space="preserve"> </w:t>
      </w:r>
      <w:r>
        <w:t>muerte,</w:t>
      </w:r>
      <w:r>
        <w:rPr>
          <w:spacing w:val="-12"/>
        </w:rPr>
        <w:t xml:space="preserve"> </w:t>
      </w:r>
      <w:r>
        <w:t>bandas</w:t>
      </w:r>
      <w:r>
        <w:rPr>
          <w:spacing w:val="-11"/>
        </w:rPr>
        <w:t xml:space="preserve"> </w:t>
      </w:r>
      <w:r>
        <w:t>de</w:t>
      </w:r>
      <w:r>
        <w:rPr>
          <w:spacing w:val="-11"/>
        </w:rPr>
        <w:t xml:space="preserve"> </w:t>
      </w:r>
      <w:r>
        <w:t>sicarios o</w:t>
      </w:r>
      <w:r>
        <w:rPr>
          <w:spacing w:val="-10"/>
        </w:rPr>
        <w:t xml:space="preserve"> </w:t>
      </w:r>
      <w:r>
        <w:t>grupos</w:t>
      </w:r>
      <w:r>
        <w:rPr>
          <w:spacing w:val="-10"/>
        </w:rPr>
        <w:t xml:space="preserve"> </w:t>
      </w:r>
      <w:r>
        <w:t>de</w:t>
      </w:r>
      <w:r>
        <w:rPr>
          <w:spacing w:val="-11"/>
        </w:rPr>
        <w:t xml:space="preserve"> </w:t>
      </w:r>
      <w:r>
        <w:t>autodefensa</w:t>
      </w:r>
      <w:r>
        <w:rPr>
          <w:spacing w:val="-11"/>
        </w:rPr>
        <w:t xml:space="preserve"> </w:t>
      </w:r>
      <w:r>
        <w:t>o</w:t>
      </w:r>
      <w:r>
        <w:rPr>
          <w:spacing w:val="-10"/>
        </w:rPr>
        <w:t xml:space="preserve"> </w:t>
      </w:r>
      <w:r>
        <w:t>de</w:t>
      </w:r>
      <w:r>
        <w:rPr>
          <w:spacing w:val="-10"/>
        </w:rPr>
        <w:t xml:space="preserve"> </w:t>
      </w:r>
      <w:r>
        <w:t>justicia</w:t>
      </w:r>
      <w:r>
        <w:rPr>
          <w:spacing w:val="-11"/>
        </w:rPr>
        <w:t xml:space="preserve"> </w:t>
      </w:r>
      <w:r>
        <w:t>privada</w:t>
      </w:r>
      <w:r>
        <w:rPr>
          <w:spacing w:val="-10"/>
        </w:rPr>
        <w:t xml:space="preserve"> </w:t>
      </w:r>
      <w:r>
        <w:t>equivocadamente</w:t>
      </w:r>
      <w:r>
        <w:rPr>
          <w:spacing w:val="-10"/>
        </w:rPr>
        <w:t xml:space="preserve"> </w:t>
      </w:r>
      <w:r>
        <w:t>denominados</w:t>
      </w:r>
      <w:r>
        <w:rPr>
          <w:spacing w:val="-10"/>
        </w:rPr>
        <w:t xml:space="preserve"> </w:t>
      </w:r>
      <w:r>
        <w:t>paramilitares». Adicionalmente, tipificó como delitos el reclutamiento, promoción, financiación y organización de estos grupos</w:t>
      </w:r>
      <w:r w:rsidR="00BE599E">
        <w:rPr>
          <w:rStyle w:val="Refdenotaalpie"/>
        </w:rPr>
        <w:footnoteReference w:id="852"/>
      </w:r>
      <w:r>
        <w:t>. Es decir, el Gobierno se vio obligado a tomar medidas por la gravedad de la situación y por las masacres, pero adoptó una estrategia de negación de la responsabilidad del Estado en el apoyo y crecimiento de los grupos, así como del involucramiento de la fuerza pública y los organismos de seguridad en su funcionamiento. Esta negación ha sido una constante en la historia de la relación de la fuerza pública y la política con el paramilitarismo.</w:t>
      </w:r>
    </w:p>
    <w:p w:rsidR="003804AC" w:rsidRDefault="00AF18A5" w:rsidP="00707DD0">
      <w:r>
        <w:t>Además de</w:t>
      </w:r>
      <w:r>
        <w:rPr>
          <w:spacing w:val="-1"/>
        </w:rPr>
        <w:t xml:space="preserve"> </w:t>
      </w:r>
      <w:r>
        <w:t>esta negación, otra tendencia ha sido</w:t>
      </w:r>
      <w:r>
        <w:rPr>
          <w:spacing w:val="-1"/>
        </w:rPr>
        <w:t xml:space="preserve"> </w:t>
      </w:r>
      <w:r>
        <w:t>la de dar un marco legal a estos grupos. Después</w:t>
      </w:r>
      <w:r>
        <w:rPr>
          <w:spacing w:val="-3"/>
        </w:rPr>
        <w:t xml:space="preserve"> </w:t>
      </w:r>
      <w:r>
        <w:t>de</w:t>
      </w:r>
      <w:r>
        <w:rPr>
          <w:spacing w:val="-5"/>
        </w:rPr>
        <w:t xml:space="preserve"> </w:t>
      </w:r>
      <w:r>
        <w:t>la</w:t>
      </w:r>
      <w:r>
        <w:rPr>
          <w:spacing w:val="-3"/>
        </w:rPr>
        <w:t xml:space="preserve"> </w:t>
      </w:r>
      <w:r>
        <w:t>experiencia</w:t>
      </w:r>
      <w:r>
        <w:rPr>
          <w:spacing w:val="-3"/>
        </w:rPr>
        <w:t xml:space="preserve"> </w:t>
      </w:r>
      <w:r>
        <w:t>de</w:t>
      </w:r>
      <w:r>
        <w:rPr>
          <w:spacing w:val="-3"/>
        </w:rPr>
        <w:t xml:space="preserve"> </w:t>
      </w:r>
      <w:r>
        <w:t>las</w:t>
      </w:r>
      <w:r>
        <w:rPr>
          <w:spacing w:val="-3"/>
        </w:rPr>
        <w:t xml:space="preserve"> </w:t>
      </w:r>
      <w:r>
        <w:t>décadas</w:t>
      </w:r>
      <w:r>
        <w:rPr>
          <w:spacing w:val="-3"/>
        </w:rPr>
        <w:t xml:space="preserve"> </w:t>
      </w:r>
      <w:r>
        <w:t>de</w:t>
      </w:r>
      <w:r>
        <w:rPr>
          <w:spacing w:val="-3"/>
        </w:rPr>
        <w:t xml:space="preserve"> </w:t>
      </w:r>
      <w:r>
        <w:t>1960</w:t>
      </w:r>
      <w:r>
        <w:rPr>
          <w:spacing w:val="-5"/>
        </w:rPr>
        <w:t xml:space="preserve"> </w:t>
      </w:r>
      <w:r>
        <w:t>a</w:t>
      </w:r>
      <w:r>
        <w:rPr>
          <w:spacing w:val="-3"/>
        </w:rPr>
        <w:t xml:space="preserve"> </w:t>
      </w:r>
      <w:r>
        <w:t>1980,</w:t>
      </w:r>
      <w:r>
        <w:rPr>
          <w:spacing w:val="-4"/>
        </w:rPr>
        <w:t xml:space="preserve"> </w:t>
      </w:r>
      <w:r>
        <w:t>se</w:t>
      </w:r>
      <w:r>
        <w:rPr>
          <w:spacing w:val="-4"/>
        </w:rPr>
        <w:t xml:space="preserve"> </w:t>
      </w:r>
      <w:r>
        <w:t>planteó</w:t>
      </w:r>
      <w:r>
        <w:rPr>
          <w:spacing w:val="-5"/>
        </w:rPr>
        <w:t xml:space="preserve"> </w:t>
      </w:r>
      <w:r>
        <w:t>la</w:t>
      </w:r>
      <w:r>
        <w:rPr>
          <w:spacing w:val="-5"/>
        </w:rPr>
        <w:t xml:space="preserve"> </w:t>
      </w:r>
      <w:r>
        <w:t>misma</w:t>
      </w:r>
      <w:r>
        <w:rPr>
          <w:spacing w:val="-3"/>
        </w:rPr>
        <w:t xml:space="preserve"> </w:t>
      </w:r>
      <w:r>
        <w:t>cuestión</w:t>
      </w:r>
      <w:r>
        <w:rPr>
          <w:spacing w:val="-6"/>
        </w:rPr>
        <w:t xml:space="preserve"> </w:t>
      </w:r>
      <w:r>
        <w:t>en</w:t>
      </w:r>
      <w:r>
        <w:rPr>
          <w:spacing w:val="-4"/>
        </w:rPr>
        <w:t xml:space="preserve"> </w:t>
      </w:r>
      <w:r>
        <w:t>la de 1990, al promover las cooperativas de seguridad Convivir. Con base en normas jurídicas que les daban fundamento, permitieron que los grupos paramilitares obtuvieran recursos y ampliaran</w:t>
      </w:r>
      <w:r>
        <w:rPr>
          <w:spacing w:val="-15"/>
        </w:rPr>
        <w:t xml:space="preserve"> </w:t>
      </w:r>
      <w:r>
        <w:t>su</w:t>
      </w:r>
      <w:r>
        <w:rPr>
          <w:spacing w:val="-15"/>
        </w:rPr>
        <w:t xml:space="preserve"> </w:t>
      </w:r>
      <w:r>
        <w:t>despliegue</w:t>
      </w:r>
      <w:r>
        <w:rPr>
          <w:spacing w:val="-15"/>
        </w:rPr>
        <w:t xml:space="preserve"> </w:t>
      </w:r>
      <w:r>
        <w:t>territorial.</w:t>
      </w:r>
      <w:r>
        <w:rPr>
          <w:spacing w:val="-15"/>
        </w:rPr>
        <w:t xml:space="preserve"> </w:t>
      </w:r>
      <w:r>
        <w:t>Lo</w:t>
      </w:r>
      <w:r>
        <w:rPr>
          <w:spacing w:val="-15"/>
        </w:rPr>
        <w:t xml:space="preserve"> </w:t>
      </w:r>
      <w:r>
        <w:t>que</w:t>
      </w:r>
      <w:r>
        <w:rPr>
          <w:spacing w:val="-14"/>
        </w:rPr>
        <w:t xml:space="preserve"> </w:t>
      </w:r>
      <w:r>
        <w:t>en</w:t>
      </w:r>
      <w:r>
        <w:rPr>
          <w:spacing w:val="-15"/>
        </w:rPr>
        <w:t xml:space="preserve"> </w:t>
      </w:r>
      <w:r>
        <w:t>la</w:t>
      </w:r>
      <w:r>
        <w:rPr>
          <w:spacing w:val="-15"/>
        </w:rPr>
        <w:t xml:space="preserve"> </w:t>
      </w:r>
      <w:r>
        <w:t>práctica</w:t>
      </w:r>
      <w:r>
        <w:rPr>
          <w:spacing w:val="-14"/>
        </w:rPr>
        <w:t xml:space="preserve"> </w:t>
      </w:r>
      <w:r>
        <w:t>hicieron</w:t>
      </w:r>
      <w:r>
        <w:rPr>
          <w:spacing w:val="-14"/>
        </w:rPr>
        <w:t xml:space="preserve"> </w:t>
      </w:r>
      <w:r>
        <w:t>las</w:t>
      </w:r>
      <w:r>
        <w:rPr>
          <w:spacing w:val="-15"/>
        </w:rPr>
        <w:t xml:space="preserve"> </w:t>
      </w:r>
      <w:r>
        <w:t>Convivir</w:t>
      </w:r>
      <w:r>
        <w:rPr>
          <w:spacing w:val="-15"/>
        </w:rPr>
        <w:t xml:space="preserve"> </w:t>
      </w:r>
      <w:r>
        <w:t>era</w:t>
      </w:r>
      <w:r>
        <w:rPr>
          <w:spacing w:val="-15"/>
        </w:rPr>
        <w:t xml:space="preserve"> </w:t>
      </w:r>
      <w:r>
        <w:t>ilegal,</w:t>
      </w:r>
      <w:r>
        <w:rPr>
          <w:spacing w:val="-14"/>
        </w:rPr>
        <w:t xml:space="preserve"> </w:t>
      </w:r>
      <w:r>
        <w:t>pero la base legal de su funcionamiento les facilitó su actuar. Las estructuras fueron usadas por los grupos paramilitares, por ejemplo, del Magdalena Medio, los Llanos Orientales y Córdoba y</w:t>
      </w:r>
      <w:r>
        <w:rPr>
          <w:spacing w:val="-1"/>
        </w:rPr>
        <w:t xml:space="preserve"> </w:t>
      </w:r>
      <w:r>
        <w:t>Urabá. Las</w:t>
      </w:r>
      <w:r>
        <w:rPr>
          <w:spacing w:val="-1"/>
        </w:rPr>
        <w:t xml:space="preserve"> </w:t>
      </w:r>
      <w:r>
        <w:t>autoridades no ejercieron</w:t>
      </w:r>
      <w:r>
        <w:rPr>
          <w:spacing w:val="-1"/>
        </w:rPr>
        <w:t xml:space="preserve"> </w:t>
      </w:r>
      <w:r>
        <w:t>controles</w:t>
      </w:r>
      <w:r>
        <w:rPr>
          <w:spacing w:val="-1"/>
        </w:rPr>
        <w:t xml:space="preserve"> </w:t>
      </w:r>
      <w:r>
        <w:t xml:space="preserve">suficientes. Con conocimiento de la Superintendencia de Seguridad Privada, se aprobó a las Convivir el uso de armas largas ofensivas. </w:t>
      </w:r>
      <w:r>
        <w:lastRenderedPageBreak/>
        <w:t>Algunos representantes legales de las Convivir o sus fundadores fueron comandantes</w:t>
      </w:r>
      <w:r>
        <w:rPr>
          <w:spacing w:val="-1"/>
        </w:rPr>
        <w:t xml:space="preserve"> </w:t>
      </w:r>
      <w:r>
        <w:t>de</w:t>
      </w:r>
      <w:r>
        <w:rPr>
          <w:spacing w:val="-1"/>
        </w:rPr>
        <w:t xml:space="preserve"> </w:t>
      </w:r>
      <w:r>
        <w:t>las</w:t>
      </w:r>
      <w:r>
        <w:rPr>
          <w:spacing w:val="-1"/>
        </w:rPr>
        <w:t xml:space="preserve"> </w:t>
      </w:r>
      <w:r>
        <w:t>AUC.</w:t>
      </w:r>
      <w:r>
        <w:rPr>
          <w:spacing w:val="-1"/>
        </w:rPr>
        <w:t xml:space="preserve"> </w:t>
      </w:r>
      <w:r>
        <w:t>Excomandantes</w:t>
      </w:r>
      <w:r>
        <w:rPr>
          <w:spacing w:val="-1"/>
        </w:rPr>
        <w:t xml:space="preserve"> </w:t>
      </w:r>
      <w:r>
        <w:t>paramilitares</w:t>
      </w:r>
      <w:r>
        <w:rPr>
          <w:spacing w:val="-1"/>
        </w:rPr>
        <w:t xml:space="preserve"> </w:t>
      </w:r>
      <w:r>
        <w:t>dijeron</w:t>
      </w:r>
      <w:r>
        <w:rPr>
          <w:spacing w:val="-1"/>
        </w:rPr>
        <w:t xml:space="preserve"> </w:t>
      </w:r>
      <w:r>
        <w:t>a</w:t>
      </w:r>
      <w:r>
        <w:rPr>
          <w:spacing w:val="-1"/>
        </w:rPr>
        <w:t xml:space="preserve"> </w:t>
      </w:r>
      <w:r>
        <w:t>la</w:t>
      </w:r>
      <w:r>
        <w:rPr>
          <w:spacing w:val="-1"/>
        </w:rPr>
        <w:t xml:space="preserve"> </w:t>
      </w:r>
      <w:r>
        <w:t>Comisión</w:t>
      </w:r>
      <w:r>
        <w:rPr>
          <w:spacing w:val="-1"/>
        </w:rPr>
        <w:t xml:space="preserve"> </w:t>
      </w:r>
      <w:r>
        <w:t>de</w:t>
      </w:r>
      <w:r>
        <w:rPr>
          <w:spacing w:val="-1"/>
        </w:rPr>
        <w:t xml:space="preserve"> </w:t>
      </w:r>
      <w:r>
        <w:t>la</w:t>
      </w:r>
      <w:r>
        <w:rPr>
          <w:spacing w:val="-1"/>
        </w:rPr>
        <w:t xml:space="preserve"> </w:t>
      </w:r>
      <w:r>
        <w:t>Verdad que</w:t>
      </w:r>
      <w:r>
        <w:rPr>
          <w:spacing w:val="-15"/>
        </w:rPr>
        <w:t xml:space="preserve"> </w:t>
      </w:r>
      <w:r>
        <w:t>las</w:t>
      </w:r>
      <w:r>
        <w:rPr>
          <w:spacing w:val="-14"/>
        </w:rPr>
        <w:t xml:space="preserve"> </w:t>
      </w:r>
      <w:r>
        <w:t>Convivir</w:t>
      </w:r>
      <w:r>
        <w:rPr>
          <w:spacing w:val="-13"/>
        </w:rPr>
        <w:t xml:space="preserve"> </w:t>
      </w:r>
      <w:r>
        <w:t>les</w:t>
      </w:r>
      <w:r>
        <w:rPr>
          <w:spacing w:val="-14"/>
        </w:rPr>
        <w:t xml:space="preserve"> </w:t>
      </w:r>
      <w:r>
        <w:t>sirvieron</w:t>
      </w:r>
      <w:r>
        <w:rPr>
          <w:spacing w:val="-15"/>
        </w:rPr>
        <w:t xml:space="preserve"> </w:t>
      </w:r>
      <w:r>
        <w:t>para</w:t>
      </w:r>
      <w:r>
        <w:rPr>
          <w:spacing w:val="-14"/>
        </w:rPr>
        <w:t xml:space="preserve"> </w:t>
      </w:r>
      <w:r>
        <w:t>legalizar</w:t>
      </w:r>
      <w:r>
        <w:rPr>
          <w:spacing w:val="-13"/>
        </w:rPr>
        <w:t xml:space="preserve"> </w:t>
      </w:r>
      <w:r>
        <w:t>las</w:t>
      </w:r>
      <w:r>
        <w:rPr>
          <w:spacing w:val="-14"/>
        </w:rPr>
        <w:t xml:space="preserve"> </w:t>
      </w:r>
      <w:r>
        <w:t>relaciones</w:t>
      </w:r>
      <w:r>
        <w:rPr>
          <w:spacing w:val="-14"/>
        </w:rPr>
        <w:t xml:space="preserve"> </w:t>
      </w:r>
      <w:r>
        <w:t>con</w:t>
      </w:r>
      <w:r>
        <w:rPr>
          <w:spacing w:val="-15"/>
        </w:rPr>
        <w:t xml:space="preserve"> </w:t>
      </w:r>
      <w:r>
        <w:t>la</w:t>
      </w:r>
      <w:r>
        <w:rPr>
          <w:spacing w:val="-15"/>
        </w:rPr>
        <w:t xml:space="preserve"> </w:t>
      </w:r>
      <w:r>
        <w:t>fuerza</w:t>
      </w:r>
      <w:r>
        <w:rPr>
          <w:spacing w:val="-13"/>
        </w:rPr>
        <w:t xml:space="preserve"> </w:t>
      </w:r>
      <w:r>
        <w:t>pública</w:t>
      </w:r>
      <w:r>
        <w:rPr>
          <w:spacing w:val="-14"/>
        </w:rPr>
        <w:t xml:space="preserve"> </w:t>
      </w:r>
      <w:r>
        <w:t>y</w:t>
      </w:r>
      <w:r>
        <w:rPr>
          <w:spacing w:val="-15"/>
        </w:rPr>
        <w:t xml:space="preserve"> </w:t>
      </w:r>
      <w:r>
        <w:t>con</w:t>
      </w:r>
      <w:r>
        <w:rPr>
          <w:spacing w:val="-14"/>
        </w:rPr>
        <w:t xml:space="preserve"> </w:t>
      </w:r>
      <w:r>
        <w:rPr>
          <w:spacing w:val="-2"/>
        </w:rPr>
        <w:t>sectores</w:t>
      </w:r>
      <w:bookmarkStart w:id="1053" w:name="_bookmark929"/>
      <w:bookmarkEnd w:id="1053"/>
      <w:r w:rsidR="00707DD0">
        <w:t xml:space="preserve"> </w:t>
      </w:r>
      <w:r>
        <w:t>sociales</w:t>
      </w:r>
      <w:r>
        <w:rPr>
          <w:spacing w:val="-15"/>
        </w:rPr>
        <w:t xml:space="preserve"> </w:t>
      </w:r>
      <w:r>
        <w:t>que</w:t>
      </w:r>
      <w:r>
        <w:rPr>
          <w:spacing w:val="-14"/>
        </w:rPr>
        <w:t xml:space="preserve"> </w:t>
      </w:r>
      <w:r>
        <w:t>han</w:t>
      </w:r>
      <w:r>
        <w:rPr>
          <w:spacing w:val="-12"/>
        </w:rPr>
        <w:t xml:space="preserve"> </w:t>
      </w:r>
      <w:r>
        <w:t>hecho</w:t>
      </w:r>
      <w:r>
        <w:rPr>
          <w:spacing w:val="-13"/>
        </w:rPr>
        <w:t xml:space="preserve"> </w:t>
      </w:r>
      <w:r>
        <w:t>parte</w:t>
      </w:r>
      <w:r>
        <w:rPr>
          <w:spacing w:val="-13"/>
        </w:rPr>
        <w:t xml:space="preserve"> </w:t>
      </w:r>
      <w:r>
        <w:t>del</w:t>
      </w:r>
      <w:r>
        <w:rPr>
          <w:spacing w:val="-13"/>
        </w:rPr>
        <w:t xml:space="preserve"> </w:t>
      </w:r>
      <w:r>
        <w:t>paramilitarismo,</w:t>
      </w:r>
      <w:r>
        <w:rPr>
          <w:spacing w:val="-14"/>
        </w:rPr>
        <w:t xml:space="preserve"> </w:t>
      </w:r>
      <w:r>
        <w:t>así</w:t>
      </w:r>
      <w:r>
        <w:rPr>
          <w:spacing w:val="-12"/>
        </w:rPr>
        <w:t xml:space="preserve"> </w:t>
      </w:r>
      <w:r>
        <w:t>como</w:t>
      </w:r>
      <w:r>
        <w:rPr>
          <w:spacing w:val="-12"/>
        </w:rPr>
        <w:t xml:space="preserve"> </w:t>
      </w:r>
      <w:r>
        <w:t>para</w:t>
      </w:r>
      <w:r>
        <w:rPr>
          <w:spacing w:val="-13"/>
        </w:rPr>
        <w:t xml:space="preserve"> </w:t>
      </w:r>
      <w:r>
        <w:t>obtener</w:t>
      </w:r>
      <w:r>
        <w:rPr>
          <w:spacing w:val="-13"/>
        </w:rPr>
        <w:t xml:space="preserve"> </w:t>
      </w:r>
      <w:r>
        <w:t>financiación</w:t>
      </w:r>
      <w:r>
        <w:rPr>
          <w:spacing w:val="-12"/>
        </w:rPr>
        <w:t xml:space="preserve"> </w:t>
      </w:r>
      <w:r>
        <w:t>por</w:t>
      </w:r>
      <w:r>
        <w:rPr>
          <w:spacing w:val="-12"/>
        </w:rPr>
        <w:t xml:space="preserve"> </w:t>
      </w:r>
      <w:r>
        <w:rPr>
          <w:spacing w:val="-4"/>
        </w:rPr>
        <w:t>vías</w:t>
      </w:r>
      <w:r w:rsidR="00707DD0">
        <w:t xml:space="preserve"> </w:t>
      </w:r>
      <w:r>
        <w:t>«legales».</w:t>
      </w:r>
      <w:r>
        <w:rPr>
          <w:spacing w:val="-15"/>
        </w:rPr>
        <w:t xml:space="preserve"> </w:t>
      </w:r>
      <w:r>
        <w:t>Esto</w:t>
      </w:r>
      <w:r>
        <w:rPr>
          <w:spacing w:val="-15"/>
        </w:rPr>
        <w:t xml:space="preserve"> </w:t>
      </w:r>
      <w:r>
        <w:t>fue</w:t>
      </w:r>
      <w:r>
        <w:rPr>
          <w:spacing w:val="-15"/>
        </w:rPr>
        <w:t xml:space="preserve"> </w:t>
      </w:r>
      <w:r>
        <w:t>comprobado</w:t>
      </w:r>
      <w:r>
        <w:rPr>
          <w:spacing w:val="-15"/>
        </w:rPr>
        <w:t xml:space="preserve"> </w:t>
      </w:r>
      <w:r>
        <w:t>posteriormente</w:t>
      </w:r>
      <w:r>
        <w:rPr>
          <w:spacing w:val="-15"/>
        </w:rPr>
        <w:t xml:space="preserve"> </w:t>
      </w:r>
      <w:r>
        <w:t>por</w:t>
      </w:r>
      <w:r>
        <w:rPr>
          <w:spacing w:val="-15"/>
        </w:rPr>
        <w:t xml:space="preserve"> </w:t>
      </w:r>
      <w:r>
        <w:t>los</w:t>
      </w:r>
      <w:r>
        <w:rPr>
          <w:spacing w:val="-15"/>
        </w:rPr>
        <w:t xml:space="preserve"> </w:t>
      </w:r>
      <w:r>
        <w:t>jueces</w:t>
      </w:r>
      <w:r>
        <w:rPr>
          <w:spacing w:val="-15"/>
        </w:rPr>
        <w:t xml:space="preserve"> </w:t>
      </w:r>
      <w:r>
        <w:t>de</w:t>
      </w:r>
      <w:r>
        <w:rPr>
          <w:spacing w:val="-15"/>
        </w:rPr>
        <w:t xml:space="preserve"> </w:t>
      </w:r>
      <w:r>
        <w:t>Justicia</w:t>
      </w:r>
      <w:r>
        <w:rPr>
          <w:spacing w:val="-15"/>
        </w:rPr>
        <w:t xml:space="preserve"> </w:t>
      </w:r>
      <w:r>
        <w:t>y</w:t>
      </w:r>
      <w:r>
        <w:rPr>
          <w:spacing w:val="-15"/>
        </w:rPr>
        <w:t xml:space="preserve"> </w:t>
      </w:r>
      <w:r>
        <w:t>Paz</w:t>
      </w:r>
      <w:r>
        <w:rPr>
          <w:spacing w:val="-15"/>
        </w:rPr>
        <w:t xml:space="preserve"> </w:t>
      </w:r>
      <w:r>
        <w:t>y</w:t>
      </w:r>
      <w:r>
        <w:rPr>
          <w:spacing w:val="-15"/>
        </w:rPr>
        <w:t xml:space="preserve"> </w:t>
      </w:r>
      <w:r>
        <w:t>la</w:t>
      </w:r>
      <w:r>
        <w:rPr>
          <w:spacing w:val="-15"/>
        </w:rPr>
        <w:t xml:space="preserve"> </w:t>
      </w:r>
      <w:r>
        <w:t>Comisión Interamericana de Derechos Humanos</w:t>
      </w:r>
      <w:r w:rsidR="00707DD0">
        <w:rPr>
          <w:rStyle w:val="Refdenotaalpie"/>
        </w:rPr>
        <w:footnoteReference w:id="853"/>
      </w:r>
      <w:r>
        <w:t>.</w:t>
      </w:r>
    </w:p>
    <w:p w:rsidR="003804AC" w:rsidRDefault="00AF18A5" w:rsidP="00707DD0">
      <w:r>
        <w:t>Durante</w:t>
      </w:r>
      <w:r>
        <w:rPr>
          <w:spacing w:val="-4"/>
        </w:rPr>
        <w:t xml:space="preserve"> </w:t>
      </w:r>
      <w:r>
        <w:t>el</w:t>
      </w:r>
      <w:r>
        <w:rPr>
          <w:spacing w:val="-4"/>
        </w:rPr>
        <w:t xml:space="preserve"> </w:t>
      </w:r>
      <w:r>
        <w:t>gobierno</w:t>
      </w:r>
      <w:r>
        <w:rPr>
          <w:spacing w:val="-5"/>
        </w:rPr>
        <w:t xml:space="preserve"> </w:t>
      </w:r>
      <w:r>
        <w:t>de</w:t>
      </w:r>
      <w:r>
        <w:rPr>
          <w:spacing w:val="-6"/>
        </w:rPr>
        <w:t xml:space="preserve"> </w:t>
      </w:r>
      <w:r>
        <w:t>Álvaro</w:t>
      </w:r>
      <w:r>
        <w:rPr>
          <w:spacing w:val="-5"/>
        </w:rPr>
        <w:t xml:space="preserve"> </w:t>
      </w:r>
      <w:r>
        <w:t>Uribe</w:t>
      </w:r>
      <w:r>
        <w:rPr>
          <w:spacing w:val="-4"/>
        </w:rPr>
        <w:t xml:space="preserve"> </w:t>
      </w:r>
      <w:r>
        <w:t>Vélez</w:t>
      </w:r>
      <w:r>
        <w:rPr>
          <w:spacing w:val="-4"/>
        </w:rPr>
        <w:t xml:space="preserve"> </w:t>
      </w:r>
      <w:r>
        <w:t>se</w:t>
      </w:r>
      <w:r>
        <w:rPr>
          <w:spacing w:val="-4"/>
        </w:rPr>
        <w:t xml:space="preserve"> </w:t>
      </w:r>
      <w:r>
        <w:t>adelantó</w:t>
      </w:r>
      <w:r>
        <w:rPr>
          <w:spacing w:val="-5"/>
        </w:rPr>
        <w:t xml:space="preserve"> </w:t>
      </w:r>
      <w:r>
        <w:t>el</w:t>
      </w:r>
      <w:r>
        <w:rPr>
          <w:spacing w:val="-4"/>
        </w:rPr>
        <w:t xml:space="preserve"> </w:t>
      </w:r>
      <w:r>
        <w:t>proceso</w:t>
      </w:r>
      <w:r>
        <w:rPr>
          <w:spacing w:val="-5"/>
        </w:rPr>
        <w:t xml:space="preserve"> </w:t>
      </w:r>
      <w:r>
        <w:t>de</w:t>
      </w:r>
      <w:r>
        <w:rPr>
          <w:spacing w:val="-4"/>
        </w:rPr>
        <w:t xml:space="preserve"> </w:t>
      </w:r>
      <w:r>
        <w:t>negociación</w:t>
      </w:r>
      <w:r>
        <w:rPr>
          <w:spacing w:val="-5"/>
        </w:rPr>
        <w:t xml:space="preserve"> </w:t>
      </w:r>
      <w:r>
        <w:t>con</w:t>
      </w:r>
      <w:r>
        <w:rPr>
          <w:spacing w:val="-5"/>
        </w:rPr>
        <w:t xml:space="preserve"> </w:t>
      </w:r>
      <w:r>
        <w:t>las AUC,</w:t>
      </w:r>
      <w:r>
        <w:rPr>
          <w:spacing w:val="-6"/>
        </w:rPr>
        <w:t xml:space="preserve"> </w:t>
      </w:r>
      <w:r>
        <w:t>que</w:t>
      </w:r>
      <w:r>
        <w:rPr>
          <w:spacing w:val="-6"/>
        </w:rPr>
        <w:t xml:space="preserve"> </w:t>
      </w:r>
      <w:r>
        <w:t>se</w:t>
      </w:r>
      <w:r>
        <w:rPr>
          <w:spacing w:val="-5"/>
        </w:rPr>
        <w:t xml:space="preserve"> </w:t>
      </w:r>
      <w:r>
        <w:t>desmovilizaron</w:t>
      </w:r>
      <w:r>
        <w:rPr>
          <w:spacing w:val="-6"/>
        </w:rPr>
        <w:t xml:space="preserve"> </w:t>
      </w:r>
      <w:r>
        <w:t>en</w:t>
      </w:r>
      <w:r>
        <w:rPr>
          <w:spacing w:val="-6"/>
        </w:rPr>
        <w:t xml:space="preserve"> </w:t>
      </w:r>
      <w:r>
        <w:t>el</w:t>
      </w:r>
      <w:r>
        <w:rPr>
          <w:spacing w:val="-6"/>
        </w:rPr>
        <w:t xml:space="preserve"> </w:t>
      </w:r>
      <w:r>
        <w:t>2006</w:t>
      </w:r>
      <w:r>
        <w:rPr>
          <w:spacing w:val="-6"/>
        </w:rPr>
        <w:t xml:space="preserve"> </w:t>
      </w:r>
      <w:r>
        <w:t>y</w:t>
      </w:r>
      <w:r>
        <w:rPr>
          <w:spacing w:val="-6"/>
        </w:rPr>
        <w:t xml:space="preserve"> </w:t>
      </w:r>
      <w:r>
        <w:t>se</w:t>
      </w:r>
      <w:r>
        <w:rPr>
          <w:spacing w:val="-6"/>
        </w:rPr>
        <w:t xml:space="preserve"> </w:t>
      </w:r>
      <w:r>
        <w:t>sometieron</w:t>
      </w:r>
      <w:r>
        <w:rPr>
          <w:spacing w:val="-6"/>
        </w:rPr>
        <w:t xml:space="preserve"> </w:t>
      </w:r>
      <w:r>
        <w:t>a</w:t>
      </w:r>
      <w:r>
        <w:rPr>
          <w:spacing w:val="-6"/>
        </w:rPr>
        <w:t xml:space="preserve"> </w:t>
      </w:r>
      <w:r>
        <w:t>un</w:t>
      </w:r>
      <w:r>
        <w:rPr>
          <w:spacing w:val="-7"/>
        </w:rPr>
        <w:t xml:space="preserve"> </w:t>
      </w:r>
      <w:r>
        <w:t>proceso</w:t>
      </w:r>
      <w:r>
        <w:rPr>
          <w:spacing w:val="-6"/>
        </w:rPr>
        <w:t xml:space="preserve"> </w:t>
      </w:r>
      <w:r>
        <w:t>de</w:t>
      </w:r>
      <w:r>
        <w:rPr>
          <w:spacing w:val="-7"/>
        </w:rPr>
        <w:t xml:space="preserve"> </w:t>
      </w:r>
      <w:r>
        <w:t>justicia</w:t>
      </w:r>
      <w:r>
        <w:rPr>
          <w:spacing w:val="-6"/>
        </w:rPr>
        <w:t xml:space="preserve"> </w:t>
      </w:r>
      <w:r>
        <w:t>transicional enmarcado en la Ley de Justicia y Paz. En esa época, el paramilitarismo ya había llevado a cabo</w:t>
      </w:r>
      <w:r>
        <w:rPr>
          <w:spacing w:val="-4"/>
        </w:rPr>
        <w:t xml:space="preserve"> </w:t>
      </w:r>
      <w:r>
        <w:t>una</w:t>
      </w:r>
      <w:r>
        <w:rPr>
          <w:spacing w:val="-3"/>
        </w:rPr>
        <w:t xml:space="preserve"> </w:t>
      </w:r>
      <w:r>
        <w:t>extensa</w:t>
      </w:r>
      <w:r>
        <w:rPr>
          <w:spacing w:val="-3"/>
        </w:rPr>
        <w:t xml:space="preserve"> </w:t>
      </w:r>
      <w:r>
        <w:t>campaña</w:t>
      </w:r>
      <w:r>
        <w:rPr>
          <w:spacing w:val="-3"/>
        </w:rPr>
        <w:t xml:space="preserve"> </w:t>
      </w:r>
      <w:r>
        <w:t>de</w:t>
      </w:r>
      <w:r>
        <w:rPr>
          <w:spacing w:val="-3"/>
        </w:rPr>
        <w:t xml:space="preserve"> </w:t>
      </w:r>
      <w:r>
        <w:t>terror</w:t>
      </w:r>
      <w:r>
        <w:rPr>
          <w:spacing w:val="-3"/>
        </w:rPr>
        <w:t xml:space="preserve"> </w:t>
      </w:r>
      <w:r>
        <w:t>y</w:t>
      </w:r>
      <w:r>
        <w:rPr>
          <w:spacing w:val="-4"/>
        </w:rPr>
        <w:t xml:space="preserve"> </w:t>
      </w:r>
      <w:r>
        <w:t>se</w:t>
      </w:r>
      <w:r>
        <w:rPr>
          <w:spacing w:val="-3"/>
        </w:rPr>
        <w:t xml:space="preserve"> </w:t>
      </w:r>
      <w:r>
        <w:t>había</w:t>
      </w:r>
      <w:r>
        <w:rPr>
          <w:spacing w:val="-3"/>
        </w:rPr>
        <w:t xml:space="preserve"> </w:t>
      </w:r>
      <w:r>
        <w:t>constituido</w:t>
      </w:r>
      <w:r>
        <w:rPr>
          <w:spacing w:val="-4"/>
        </w:rPr>
        <w:t xml:space="preserve"> </w:t>
      </w:r>
      <w:r>
        <w:t>en</w:t>
      </w:r>
      <w:r>
        <w:rPr>
          <w:spacing w:val="-4"/>
        </w:rPr>
        <w:t xml:space="preserve"> </w:t>
      </w:r>
      <w:r>
        <w:t>un</w:t>
      </w:r>
      <w:r>
        <w:rPr>
          <w:spacing w:val="-4"/>
        </w:rPr>
        <w:t xml:space="preserve"> </w:t>
      </w:r>
      <w:r>
        <w:t>sólido</w:t>
      </w:r>
      <w:r>
        <w:rPr>
          <w:spacing w:val="-3"/>
        </w:rPr>
        <w:t xml:space="preserve"> </w:t>
      </w:r>
      <w:r>
        <w:t>poder</w:t>
      </w:r>
      <w:r>
        <w:rPr>
          <w:spacing w:val="-3"/>
        </w:rPr>
        <w:t xml:space="preserve"> </w:t>
      </w:r>
      <w:r>
        <w:t>territorial.</w:t>
      </w:r>
      <w:r>
        <w:rPr>
          <w:spacing w:val="-4"/>
        </w:rPr>
        <w:t xml:space="preserve"> </w:t>
      </w:r>
      <w:r>
        <w:t>Las Fuerzas Armadas, a inicios de los años dos mil, tomaron la iniciativa con la modernización, entrenamiento</w:t>
      </w:r>
      <w:r>
        <w:rPr>
          <w:spacing w:val="-15"/>
        </w:rPr>
        <w:t xml:space="preserve"> </w:t>
      </w:r>
      <w:r>
        <w:t>y</w:t>
      </w:r>
      <w:r>
        <w:rPr>
          <w:spacing w:val="-15"/>
        </w:rPr>
        <w:t xml:space="preserve"> </w:t>
      </w:r>
      <w:r>
        <w:t>apoyo</w:t>
      </w:r>
      <w:r>
        <w:rPr>
          <w:spacing w:val="-15"/>
        </w:rPr>
        <w:t xml:space="preserve"> </w:t>
      </w:r>
      <w:r>
        <w:t>militar,</w:t>
      </w:r>
      <w:r>
        <w:rPr>
          <w:spacing w:val="-15"/>
        </w:rPr>
        <w:t xml:space="preserve"> </w:t>
      </w:r>
      <w:r>
        <w:t>mientras</w:t>
      </w:r>
      <w:r>
        <w:rPr>
          <w:spacing w:val="-15"/>
        </w:rPr>
        <w:t xml:space="preserve"> </w:t>
      </w:r>
      <w:r>
        <w:t>se</w:t>
      </w:r>
      <w:r>
        <w:rPr>
          <w:spacing w:val="-15"/>
        </w:rPr>
        <w:t xml:space="preserve"> </w:t>
      </w:r>
      <w:r>
        <w:t>desmovilizaban</w:t>
      </w:r>
      <w:r>
        <w:rPr>
          <w:spacing w:val="-15"/>
        </w:rPr>
        <w:t xml:space="preserve"> </w:t>
      </w:r>
      <w:r>
        <w:t>las</w:t>
      </w:r>
      <w:r>
        <w:rPr>
          <w:spacing w:val="-15"/>
        </w:rPr>
        <w:t xml:space="preserve"> </w:t>
      </w:r>
      <w:r>
        <w:t>AUC.</w:t>
      </w:r>
      <w:r>
        <w:rPr>
          <w:spacing w:val="-15"/>
        </w:rPr>
        <w:t xml:space="preserve"> </w:t>
      </w:r>
      <w:r>
        <w:t>Sin</w:t>
      </w:r>
      <w:r>
        <w:rPr>
          <w:spacing w:val="-15"/>
        </w:rPr>
        <w:t xml:space="preserve"> </w:t>
      </w:r>
      <w:r>
        <w:t>embargo,</w:t>
      </w:r>
      <w:r>
        <w:rPr>
          <w:spacing w:val="-15"/>
        </w:rPr>
        <w:t xml:space="preserve"> </w:t>
      </w:r>
      <w:r>
        <w:t>diferentes factores determinaron que evolucionaran hacia nuevas estructuras sucesoras del paramilitarismo que tienen una fuerte influencia del narcotráfico, así como diferentes estructuras y rostros.</w:t>
      </w:r>
    </w:p>
    <w:p w:rsidR="003804AC" w:rsidRDefault="00AF18A5" w:rsidP="00707DD0">
      <w:r>
        <w:t>Durante el gobierno de Santos, y como medida de implementación del Acuerdo de Paz, se reformó</w:t>
      </w:r>
      <w:r>
        <w:rPr>
          <w:spacing w:val="-1"/>
        </w:rPr>
        <w:t xml:space="preserve"> </w:t>
      </w:r>
      <w:r>
        <w:t>la Constitución y se</w:t>
      </w:r>
      <w:r>
        <w:rPr>
          <w:spacing w:val="-1"/>
        </w:rPr>
        <w:t xml:space="preserve"> </w:t>
      </w:r>
      <w:r>
        <w:t>amplió el texto del artículo</w:t>
      </w:r>
      <w:r>
        <w:rPr>
          <w:spacing w:val="-1"/>
        </w:rPr>
        <w:t xml:space="preserve"> </w:t>
      </w:r>
      <w:r>
        <w:t>22, que se</w:t>
      </w:r>
      <w:r>
        <w:rPr>
          <w:spacing w:val="-1"/>
        </w:rPr>
        <w:t xml:space="preserve"> </w:t>
      </w:r>
      <w:r>
        <w:t>refiere</w:t>
      </w:r>
      <w:r>
        <w:rPr>
          <w:spacing w:val="-1"/>
        </w:rPr>
        <w:t xml:space="preserve"> </w:t>
      </w:r>
      <w:r>
        <w:t>al</w:t>
      </w:r>
      <w:r>
        <w:rPr>
          <w:spacing w:val="-1"/>
        </w:rPr>
        <w:t xml:space="preserve"> </w:t>
      </w:r>
      <w:r>
        <w:t>derecho a la paz.</w:t>
      </w:r>
      <w:r>
        <w:rPr>
          <w:spacing w:val="-2"/>
        </w:rPr>
        <w:t xml:space="preserve"> </w:t>
      </w:r>
      <w:r>
        <w:t>Con</w:t>
      </w:r>
      <w:r>
        <w:rPr>
          <w:spacing w:val="-2"/>
        </w:rPr>
        <w:t xml:space="preserve"> </w:t>
      </w:r>
      <w:r>
        <w:t>la</w:t>
      </w:r>
      <w:r>
        <w:rPr>
          <w:spacing w:val="-2"/>
        </w:rPr>
        <w:t xml:space="preserve"> </w:t>
      </w:r>
      <w:r>
        <w:t>reforma,</w:t>
      </w:r>
      <w:r>
        <w:rPr>
          <w:spacing w:val="-2"/>
        </w:rPr>
        <w:t xml:space="preserve"> </w:t>
      </w:r>
      <w:r>
        <w:t>«como</w:t>
      </w:r>
      <w:r>
        <w:rPr>
          <w:spacing w:val="-2"/>
        </w:rPr>
        <w:t xml:space="preserve"> </w:t>
      </w:r>
      <w:r>
        <w:t>garantía</w:t>
      </w:r>
      <w:r>
        <w:rPr>
          <w:spacing w:val="-3"/>
        </w:rPr>
        <w:t xml:space="preserve"> </w:t>
      </w:r>
      <w:r>
        <w:t>de</w:t>
      </w:r>
      <w:r>
        <w:rPr>
          <w:spacing w:val="-2"/>
        </w:rPr>
        <w:t xml:space="preserve"> </w:t>
      </w:r>
      <w:r>
        <w:t>no</w:t>
      </w:r>
      <w:r>
        <w:rPr>
          <w:spacing w:val="-2"/>
        </w:rPr>
        <w:t xml:space="preserve"> </w:t>
      </w:r>
      <w:r>
        <w:t>repetición</w:t>
      </w:r>
      <w:r>
        <w:rPr>
          <w:spacing w:val="-2"/>
        </w:rPr>
        <w:t xml:space="preserve"> </w:t>
      </w:r>
      <w:r>
        <w:t>y</w:t>
      </w:r>
      <w:r>
        <w:rPr>
          <w:spacing w:val="-2"/>
        </w:rPr>
        <w:t xml:space="preserve"> </w:t>
      </w:r>
      <w:r>
        <w:t>con</w:t>
      </w:r>
      <w:r>
        <w:rPr>
          <w:spacing w:val="-2"/>
        </w:rPr>
        <w:t xml:space="preserve"> </w:t>
      </w:r>
      <w:r>
        <w:t>el</w:t>
      </w:r>
      <w:r>
        <w:rPr>
          <w:spacing w:val="-2"/>
        </w:rPr>
        <w:t xml:space="preserve"> </w:t>
      </w:r>
      <w:r>
        <w:t>fin</w:t>
      </w:r>
      <w:r>
        <w:rPr>
          <w:spacing w:val="-2"/>
        </w:rPr>
        <w:t xml:space="preserve"> </w:t>
      </w:r>
      <w:r>
        <w:t>de</w:t>
      </w:r>
      <w:r>
        <w:rPr>
          <w:spacing w:val="-2"/>
        </w:rPr>
        <w:t xml:space="preserve"> </w:t>
      </w:r>
      <w:r>
        <w:t>contribuir</w:t>
      </w:r>
      <w:r>
        <w:rPr>
          <w:spacing w:val="-2"/>
        </w:rPr>
        <w:t xml:space="preserve"> </w:t>
      </w:r>
      <w:r>
        <w:t>a</w:t>
      </w:r>
      <w:r>
        <w:rPr>
          <w:spacing w:val="-2"/>
        </w:rPr>
        <w:t xml:space="preserve"> </w:t>
      </w:r>
      <w:r>
        <w:t>asegurar</w:t>
      </w:r>
      <w:r>
        <w:rPr>
          <w:spacing w:val="-2"/>
        </w:rPr>
        <w:t xml:space="preserve"> </w:t>
      </w:r>
      <w:r>
        <w:t xml:space="preserve">el monopolio legítimo de la fuerza y el uso de las armas por parte del Estado» se prohibió </w:t>
      </w:r>
      <w:r>
        <w:rPr>
          <w:spacing w:val="-2"/>
        </w:rPr>
        <w:t>constitucionalmente</w:t>
      </w:r>
    </w:p>
    <w:p w:rsidR="003804AC" w:rsidRDefault="00AF18A5" w:rsidP="00707DD0">
      <w:r>
        <w:t xml:space="preserve">[...] la creación, promoción, instigación, organización, instrucción, apoyo, tolerancia, encubrimiento o favorecimiento, financiación o </w:t>
      </w:r>
      <w:r>
        <w:lastRenderedPageBreak/>
        <w:t>empleo oficial y/o privado de grupos civiles armados organizados con fines ilegales de cualquier tipo, incluyendo los denominados autodefensas, paramilitares, así como sus redes de apoyo, estructuras o prácticas, grupos de seguridad con fines ilegales u otras denominaciones equivalentes.</w:t>
      </w:r>
      <w:r w:rsidR="00707DD0">
        <w:rPr>
          <w:rStyle w:val="Refdenotaalpie"/>
        </w:rPr>
        <w:footnoteReference w:id="854"/>
      </w:r>
      <w:r w:rsidR="00707DD0">
        <w:t xml:space="preserve"> </w:t>
      </w:r>
    </w:p>
    <w:p w:rsidR="003804AC" w:rsidRDefault="00AF18A5" w:rsidP="00707DD0">
      <w:r>
        <w:t>El paramilitarismo como un entramado, más allá de ser un actor armado, probado por la justicia en expedientes de Justicia y Paz o en los procesos por la parapolítica, también fue responsabilidad de políticos elegidos popularmente que hacían parte del paramilitarismo</w:t>
      </w:r>
      <w:r w:rsidR="00707DD0">
        <w:rPr>
          <w:rStyle w:val="Refdenotaalpie"/>
        </w:rPr>
        <w:footnoteReference w:id="855"/>
      </w:r>
      <w:r>
        <w:t>. Más allá de la violencia paramilitar organizada y estructurada, en la sociedad siguen existiendo</w:t>
      </w:r>
      <w:r>
        <w:rPr>
          <w:spacing w:val="48"/>
        </w:rPr>
        <w:t xml:space="preserve"> </w:t>
      </w:r>
      <w:r>
        <w:t>iniciativas</w:t>
      </w:r>
      <w:r>
        <w:rPr>
          <w:spacing w:val="50"/>
        </w:rPr>
        <w:t xml:space="preserve"> </w:t>
      </w:r>
      <w:r>
        <w:t>que</w:t>
      </w:r>
      <w:r>
        <w:rPr>
          <w:spacing w:val="51"/>
        </w:rPr>
        <w:t xml:space="preserve"> </w:t>
      </w:r>
      <w:r>
        <w:t>defienden</w:t>
      </w:r>
      <w:r>
        <w:rPr>
          <w:spacing w:val="50"/>
        </w:rPr>
        <w:t xml:space="preserve"> </w:t>
      </w:r>
      <w:r>
        <w:t>el</w:t>
      </w:r>
      <w:r>
        <w:rPr>
          <w:spacing w:val="51"/>
        </w:rPr>
        <w:t xml:space="preserve"> </w:t>
      </w:r>
      <w:r>
        <w:t>involucramiento</w:t>
      </w:r>
      <w:r>
        <w:rPr>
          <w:spacing w:val="51"/>
        </w:rPr>
        <w:t xml:space="preserve"> </w:t>
      </w:r>
      <w:r>
        <w:t>de</w:t>
      </w:r>
      <w:r>
        <w:rPr>
          <w:spacing w:val="51"/>
        </w:rPr>
        <w:t xml:space="preserve"> </w:t>
      </w:r>
      <w:r>
        <w:t>la</w:t>
      </w:r>
      <w:r>
        <w:rPr>
          <w:spacing w:val="51"/>
        </w:rPr>
        <w:t xml:space="preserve"> </w:t>
      </w:r>
      <w:r>
        <w:t>ciudadanía</w:t>
      </w:r>
      <w:r>
        <w:rPr>
          <w:spacing w:val="51"/>
        </w:rPr>
        <w:t xml:space="preserve"> </w:t>
      </w:r>
      <w:r>
        <w:t>en</w:t>
      </w:r>
      <w:r>
        <w:rPr>
          <w:spacing w:val="49"/>
        </w:rPr>
        <w:t xml:space="preserve"> </w:t>
      </w:r>
      <w:r>
        <w:t>labores</w:t>
      </w:r>
      <w:r>
        <w:rPr>
          <w:spacing w:val="52"/>
        </w:rPr>
        <w:t xml:space="preserve"> </w:t>
      </w:r>
      <w:r>
        <w:rPr>
          <w:spacing w:val="-5"/>
        </w:rPr>
        <w:t>de</w:t>
      </w:r>
      <w:bookmarkStart w:id="1054" w:name="_bookmark930"/>
      <w:bookmarkStart w:id="1055" w:name="_bookmark931"/>
      <w:bookmarkStart w:id="1056" w:name="_bookmark932"/>
      <w:bookmarkEnd w:id="1054"/>
      <w:bookmarkEnd w:id="1055"/>
      <w:bookmarkEnd w:id="1056"/>
      <w:r w:rsidR="00707DD0">
        <w:t xml:space="preserve"> </w:t>
      </w:r>
      <w:r>
        <w:t>seguridad</w:t>
      </w:r>
      <w:r>
        <w:rPr>
          <w:spacing w:val="-9"/>
        </w:rPr>
        <w:t xml:space="preserve"> </w:t>
      </w:r>
      <w:r>
        <w:t>exclusivas</w:t>
      </w:r>
      <w:r>
        <w:rPr>
          <w:spacing w:val="-8"/>
        </w:rPr>
        <w:t xml:space="preserve"> </w:t>
      </w:r>
      <w:r>
        <w:t>del</w:t>
      </w:r>
      <w:r>
        <w:rPr>
          <w:spacing w:val="-9"/>
        </w:rPr>
        <w:t xml:space="preserve"> </w:t>
      </w:r>
      <w:r>
        <w:t>Estado</w:t>
      </w:r>
      <w:r>
        <w:rPr>
          <w:spacing w:val="-8"/>
        </w:rPr>
        <w:t xml:space="preserve"> </w:t>
      </w:r>
      <w:r>
        <w:t>y</w:t>
      </w:r>
      <w:r>
        <w:rPr>
          <w:spacing w:val="-9"/>
        </w:rPr>
        <w:t xml:space="preserve"> </w:t>
      </w:r>
      <w:r>
        <w:t>excepcionan</w:t>
      </w:r>
      <w:r>
        <w:rPr>
          <w:spacing w:val="-9"/>
        </w:rPr>
        <w:t xml:space="preserve"> </w:t>
      </w:r>
      <w:r>
        <w:t>el</w:t>
      </w:r>
      <w:r>
        <w:rPr>
          <w:spacing w:val="-9"/>
        </w:rPr>
        <w:t xml:space="preserve"> </w:t>
      </w:r>
      <w:r>
        <w:t>monopolio</w:t>
      </w:r>
      <w:r>
        <w:rPr>
          <w:spacing w:val="-9"/>
        </w:rPr>
        <w:t xml:space="preserve"> </w:t>
      </w:r>
      <w:r>
        <w:t>en</w:t>
      </w:r>
      <w:r>
        <w:rPr>
          <w:spacing w:val="-8"/>
        </w:rPr>
        <w:t xml:space="preserve"> </w:t>
      </w:r>
      <w:r>
        <w:t>el</w:t>
      </w:r>
      <w:r>
        <w:rPr>
          <w:spacing w:val="-8"/>
        </w:rPr>
        <w:t xml:space="preserve"> </w:t>
      </w:r>
      <w:r>
        <w:t>uso</w:t>
      </w:r>
      <w:r>
        <w:rPr>
          <w:spacing w:val="-8"/>
        </w:rPr>
        <w:t xml:space="preserve"> </w:t>
      </w:r>
      <w:r>
        <w:t>de</w:t>
      </w:r>
      <w:r>
        <w:rPr>
          <w:spacing w:val="-9"/>
        </w:rPr>
        <w:t xml:space="preserve"> </w:t>
      </w:r>
      <w:r>
        <w:t>la</w:t>
      </w:r>
      <w:r>
        <w:rPr>
          <w:spacing w:val="-8"/>
        </w:rPr>
        <w:t xml:space="preserve"> </w:t>
      </w:r>
      <w:r>
        <w:t>fuerza.</w:t>
      </w:r>
      <w:r>
        <w:rPr>
          <w:spacing w:val="-9"/>
        </w:rPr>
        <w:t xml:space="preserve"> </w:t>
      </w:r>
      <w:r>
        <w:t>A</w:t>
      </w:r>
      <w:r>
        <w:rPr>
          <w:spacing w:val="-9"/>
        </w:rPr>
        <w:t xml:space="preserve"> </w:t>
      </w:r>
      <w:r>
        <w:t>inicios de 2022 se aprobó una Ley de Seguridad Ciudadana que prevé la «legítima defensa privilegiada» que exime de responsabilidad penal a ciudadanos que usen la «fuerza letal» para evitar que personas extrañas ingresen a propiedades privadas</w:t>
      </w:r>
      <w:r w:rsidR="00707DD0">
        <w:rPr>
          <w:rStyle w:val="Refdenotaalpie"/>
        </w:rPr>
        <w:footnoteReference w:id="856"/>
      </w:r>
      <w:r>
        <w:t>.</w:t>
      </w:r>
    </w:p>
    <w:p w:rsidR="003804AC" w:rsidRDefault="00AF18A5" w:rsidP="004A6EF4">
      <w:pPr>
        <w:pStyle w:val="Ttulo3"/>
        <w:numPr>
          <w:ilvl w:val="1"/>
          <w:numId w:val="16"/>
        </w:numPr>
      </w:pPr>
      <w:bookmarkStart w:id="1057" w:name="7.8._Modelo_de_seguridad,_crisis_de_dere"/>
      <w:bookmarkStart w:id="1058" w:name="_Toc112399624"/>
      <w:bookmarkEnd w:id="1057"/>
      <w:r w:rsidRPr="00707DD0">
        <w:t>Modelo</w:t>
      </w:r>
      <w:r>
        <w:t xml:space="preserve"> de seguridad, crisis de derechos humanos, negacionismo y democracia </w:t>
      </w:r>
      <w:r>
        <w:rPr>
          <w:spacing w:val="-2"/>
        </w:rPr>
        <w:t>restringida</w:t>
      </w:r>
      <w:bookmarkEnd w:id="1058"/>
    </w:p>
    <w:p w:rsidR="003804AC" w:rsidRDefault="00AF18A5" w:rsidP="00707DD0">
      <w:r>
        <w:t>El modelo de seguridad que ha prevalecido en Colombia se ha configurado en un factor de inseguridad</w:t>
      </w:r>
      <w:r>
        <w:rPr>
          <w:spacing w:val="-12"/>
        </w:rPr>
        <w:t xml:space="preserve"> </w:t>
      </w:r>
      <w:r>
        <w:t>y</w:t>
      </w:r>
      <w:r>
        <w:rPr>
          <w:spacing w:val="-11"/>
        </w:rPr>
        <w:t xml:space="preserve"> </w:t>
      </w:r>
      <w:r>
        <w:t>violación</w:t>
      </w:r>
      <w:r>
        <w:rPr>
          <w:spacing w:val="-12"/>
        </w:rPr>
        <w:t xml:space="preserve"> </w:t>
      </w:r>
      <w:r>
        <w:t>de</w:t>
      </w:r>
      <w:r>
        <w:rPr>
          <w:spacing w:val="-11"/>
        </w:rPr>
        <w:t xml:space="preserve"> </w:t>
      </w:r>
      <w:r>
        <w:t>derechos</w:t>
      </w:r>
      <w:r>
        <w:rPr>
          <w:spacing w:val="-12"/>
        </w:rPr>
        <w:t xml:space="preserve"> </w:t>
      </w:r>
      <w:r>
        <w:t>humanos</w:t>
      </w:r>
      <w:r>
        <w:rPr>
          <w:spacing w:val="-11"/>
        </w:rPr>
        <w:t xml:space="preserve"> </w:t>
      </w:r>
      <w:r>
        <w:t>de</w:t>
      </w:r>
      <w:r>
        <w:rPr>
          <w:spacing w:val="-13"/>
        </w:rPr>
        <w:t xml:space="preserve"> </w:t>
      </w:r>
      <w:r>
        <w:t>buena</w:t>
      </w:r>
      <w:r>
        <w:rPr>
          <w:spacing w:val="-11"/>
        </w:rPr>
        <w:t xml:space="preserve"> </w:t>
      </w:r>
      <w:r>
        <w:t>parte</w:t>
      </w:r>
      <w:r>
        <w:rPr>
          <w:spacing w:val="-12"/>
        </w:rPr>
        <w:t xml:space="preserve"> </w:t>
      </w:r>
      <w:r>
        <w:t>de</w:t>
      </w:r>
      <w:r>
        <w:rPr>
          <w:spacing w:val="-11"/>
        </w:rPr>
        <w:t xml:space="preserve"> </w:t>
      </w:r>
      <w:r>
        <w:t>la</w:t>
      </w:r>
      <w:r>
        <w:rPr>
          <w:spacing w:val="-11"/>
        </w:rPr>
        <w:t xml:space="preserve"> </w:t>
      </w:r>
      <w:r>
        <w:t>población</w:t>
      </w:r>
      <w:r>
        <w:rPr>
          <w:spacing w:val="-11"/>
        </w:rPr>
        <w:t xml:space="preserve"> </w:t>
      </w:r>
      <w:r>
        <w:t>colombiana</w:t>
      </w:r>
      <w:r>
        <w:rPr>
          <w:spacing w:val="-11"/>
        </w:rPr>
        <w:t xml:space="preserve"> </w:t>
      </w:r>
      <w:r>
        <w:t>que resultó</w:t>
      </w:r>
      <w:r>
        <w:rPr>
          <w:spacing w:val="-3"/>
        </w:rPr>
        <w:t xml:space="preserve"> </w:t>
      </w:r>
      <w:r>
        <w:t>estigmatizada,</w:t>
      </w:r>
      <w:r>
        <w:rPr>
          <w:spacing w:val="-5"/>
        </w:rPr>
        <w:t xml:space="preserve"> </w:t>
      </w:r>
      <w:r>
        <w:t>perseguida</w:t>
      </w:r>
      <w:r>
        <w:rPr>
          <w:spacing w:val="-4"/>
        </w:rPr>
        <w:t xml:space="preserve"> </w:t>
      </w:r>
      <w:r>
        <w:t>y</w:t>
      </w:r>
      <w:r>
        <w:rPr>
          <w:spacing w:val="-3"/>
        </w:rPr>
        <w:t xml:space="preserve"> </w:t>
      </w:r>
      <w:r>
        <w:t>violentada</w:t>
      </w:r>
      <w:r>
        <w:rPr>
          <w:spacing w:val="-3"/>
        </w:rPr>
        <w:t xml:space="preserve"> </w:t>
      </w:r>
      <w:r>
        <w:t>por</w:t>
      </w:r>
      <w:r>
        <w:rPr>
          <w:spacing w:val="-3"/>
        </w:rPr>
        <w:t xml:space="preserve"> </w:t>
      </w:r>
      <w:r>
        <w:t>las</w:t>
      </w:r>
      <w:r>
        <w:rPr>
          <w:spacing w:val="-3"/>
        </w:rPr>
        <w:t xml:space="preserve"> </w:t>
      </w:r>
      <w:r>
        <w:t>Fuerzas</w:t>
      </w:r>
      <w:r>
        <w:rPr>
          <w:spacing w:val="-5"/>
        </w:rPr>
        <w:t xml:space="preserve"> </w:t>
      </w:r>
      <w:r>
        <w:t>Armadas</w:t>
      </w:r>
      <w:r>
        <w:rPr>
          <w:spacing w:val="-4"/>
        </w:rPr>
        <w:t xml:space="preserve"> </w:t>
      </w:r>
      <w:r>
        <w:t>y</w:t>
      </w:r>
      <w:r>
        <w:rPr>
          <w:spacing w:val="-5"/>
        </w:rPr>
        <w:t xml:space="preserve"> </w:t>
      </w:r>
      <w:r>
        <w:t>los</w:t>
      </w:r>
      <w:r>
        <w:rPr>
          <w:spacing w:val="-3"/>
        </w:rPr>
        <w:t xml:space="preserve"> </w:t>
      </w:r>
      <w:r>
        <w:t>organismos</w:t>
      </w:r>
      <w:r>
        <w:rPr>
          <w:spacing w:val="-4"/>
        </w:rPr>
        <w:t xml:space="preserve"> </w:t>
      </w:r>
      <w:r>
        <w:t xml:space="preserve">de </w:t>
      </w:r>
      <w:r>
        <w:rPr>
          <w:spacing w:val="-2"/>
        </w:rPr>
        <w:t>seguridad.</w:t>
      </w:r>
    </w:p>
    <w:p w:rsidR="003804AC" w:rsidRDefault="00AF18A5" w:rsidP="00707DD0">
      <w:r>
        <w:lastRenderedPageBreak/>
        <w:t>Este modelo de seguridad corresponde a las dinámicas históricas de interacción entre los procesos de acumulación de capital, la desigualdad y el problema de la tierra, así como el funcionamiento del poder del Estado y la sociedad. En medio de la guerra –de la que hace parte el Estado–, tanto la política como lo militar identifican sectores de la ciudadanía y los asimilan</w:t>
      </w:r>
      <w:r>
        <w:rPr>
          <w:spacing w:val="-5"/>
        </w:rPr>
        <w:t xml:space="preserve"> </w:t>
      </w:r>
      <w:r>
        <w:t>a</w:t>
      </w:r>
      <w:r>
        <w:rPr>
          <w:spacing w:val="-4"/>
        </w:rPr>
        <w:t xml:space="preserve"> </w:t>
      </w:r>
      <w:r>
        <w:t>los</w:t>
      </w:r>
      <w:r>
        <w:rPr>
          <w:spacing w:val="-3"/>
        </w:rPr>
        <w:t xml:space="preserve"> </w:t>
      </w:r>
      <w:r>
        <w:t>bandos</w:t>
      </w:r>
      <w:r>
        <w:rPr>
          <w:spacing w:val="-3"/>
        </w:rPr>
        <w:t xml:space="preserve"> </w:t>
      </w:r>
      <w:r>
        <w:t>en</w:t>
      </w:r>
      <w:r>
        <w:rPr>
          <w:spacing w:val="-5"/>
        </w:rPr>
        <w:t xml:space="preserve"> </w:t>
      </w:r>
      <w:r>
        <w:t>conflicto</w:t>
      </w:r>
      <w:r>
        <w:rPr>
          <w:spacing w:val="-5"/>
        </w:rPr>
        <w:t xml:space="preserve"> </w:t>
      </w:r>
      <w:r>
        <w:t>armado.</w:t>
      </w:r>
      <w:r>
        <w:rPr>
          <w:spacing w:val="-3"/>
        </w:rPr>
        <w:t xml:space="preserve"> </w:t>
      </w:r>
      <w:r>
        <w:t>La</w:t>
      </w:r>
      <w:r>
        <w:rPr>
          <w:spacing w:val="-4"/>
        </w:rPr>
        <w:t xml:space="preserve"> </w:t>
      </w:r>
      <w:r>
        <w:t>seguridad</w:t>
      </w:r>
      <w:r>
        <w:rPr>
          <w:spacing w:val="-3"/>
        </w:rPr>
        <w:t xml:space="preserve"> </w:t>
      </w:r>
      <w:r>
        <w:t>ha</w:t>
      </w:r>
      <w:r>
        <w:rPr>
          <w:spacing w:val="-3"/>
        </w:rPr>
        <w:t xml:space="preserve"> </w:t>
      </w:r>
      <w:r>
        <w:t>funcionado</w:t>
      </w:r>
      <w:r>
        <w:rPr>
          <w:spacing w:val="-5"/>
        </w:rPr>
        <w:t xml:space="preserve"> </w:t>
      </w:r>
      <w:r>
        <w:t>más</w:t>
      </w:r>
      <w:r>
        <w:rPr>
          <w:spacing w:val="-3"/>
        </w:rPr>
        <w:t xml:space="preserve"> </w:t>
      </w:r>
      <w:r>
        <w:t>para</w:t>
      </w:r>
      <w:r>
        <w:rPr>
          <w:spacing w:val="-3"/>
        </w:rPr>
        <w:t xml:space="preserve"> </w:t>
      </w:r>
      <w:r>
        <w:t>proteger</w:t>
      </w:r>
      <w:r>
        <w:rPr>
          <w:spacing w:val="-4"/>
        </w:rPr>
        <w:t xml:space="preserve"> </w:t>
      </w:r>
      <w:r>
        <w:t>la riqueza y el poder de unos ciudadanos y empresas y sus intereses, que se</w:t>
      </w:r>
      <w:r>
        <w:rPr>
          <w:spacing w:val="-1"/>
        </w:rPr>
        <w:t xml:space="preserve"> </w:t>
      </w:r>
      <w:r>
        <w:t>entienden como el interés general y la defensa de ciertos sectores de</w:t>
      </w:r>
      <w:r>
        <w:rPr>
          <w:spacing w:val="-1"/>
        </w:rPr>
        <w:t xml:space="preserve"> </w:t>
      </w:r>
      <w:r>
        <w:t>la población, mientras</w:t>
      </w:r>
      <w:r>
        <w:rPr>
          <w:spacing w:val="-1"/>
        </w:rPr>
        <w:t xml:space="preserve"> </w:t>
      </w:r>
      <w:r>
        <w:t>otros sectores de la ciudadanía no solo son excluidos de la seguridad, sino que han sido víctimas de esta. Este funcionamiento</w:t>
      </w:r>
      <w:r>
        <w:rPr>
          <w:spacing w:val="-1"/>
        </w:rPr>
        <w:t xml:space="preserve"> </w:t>
      </w:r>
      <w:r>
        <w:t>de</w:t>
      </w:r>
      <w:r>
        <w:rPr>
          <w:spacing w:val="-1"/>
        </w:rPr>
        <w:t xml:space="preserve"> </w:t>
      </w:r>
      <w:r>
        <w:t>la</w:t>
      </w:r>
      <w:r>
        <w:rPr>
          <w:spacing w:val="-1"/>
        </w:rPr>
        <w:t xml:space="preserve"> </w:t>
      </w:r>
      <w:r>
        <w:t>seguridad</w:t>
      </w:r>
      <w:r>
        <w:rPr>
          <w:spacing w:val="-1"/>
        </w:rPr>
        <w:t xml:space="preserve"> </w:t>
      </w:r>
      <w:r>
        <w:t>contribuye</w:t>
      </w:r>
      <w:r>
        <w:rPr>
          <w:spacing w:val="-1"/>
        </w:rPr>
        <w:t xml:space="preserve"> </w:t>
      </w:r>
      <w:r>
        <w:t>a</w:t>
      </w:r>
      <w:r>
        <w:rPr>
          <w:spacing w:val="-1"/>
        </w:rPr>
        <w:t xml:space="preserve"> </w:t>
      </w:r>
      <w:r>
        <w:t>cerrar</w:t>
      </w:r>
      <w:r>
        <w:rPr>
          <w:spacing w:val="-1"/>
        </w:rPr>
        <w:t xml:space="preserve"> </w:t>
      </w:r>
      <w:r>
        <w:t>el</w:t>
      </w:r>
      <w:r>
        <w:rPr>
          <w:spacing w:val="-1"/>
        </w:rPr>
        <w:t xml:space="preserve"> </w:t>
      </w:r>
      <w:r>
        <w:t>espacio</w:t>
      </w:r>
      <w:r>
        <w:rPr>
          <w:spacing w:val="-2"/>
        </w:rPr>
        <w:t xml:space="preserve"> </w:t>
      </w:r>
      <w:r>
        <w:t>para</w:t>
      </w:r>
      <w:r>
        <w:rPr>
          <w:spacing w:val="-1"/>
        </w:rPr>
        <w:t xml:space="preserve"> </w:t>
      </w:r>
      <w:r>
        <w:t>el</w:t>
      </w:r>
      <w:r>
        <w:rPr>
          <w:spacing w:val="-1"/>
        </w:rPr>
        <w:t xml:space="preserve"> </w:t>
      </w:r>
      <w:r>
        <w:t>diálogo</w:t>
      </w:r>
      <w:r>
        <w:rPr>
          <w:spacing w:val="-1"/>
        </w:rPr>
        <w:t xml:space="preserve"> </w:t>
      </w:r>
      <w:r>
        <w:t>democrático</w:t>
      </w:r>
      <w:r>
        <w:rPr>
          <w:spacing w:val="-1"/>
        </w:rPr>
        <w:t xml:space="preserve"> </w:t>
      </w:r>
      <w:r>
        <w:t>y para estrategias institucionales y civiles que permitan tramitar conflictos y problemas sociales y políticos sin violencia.</w:t>
      </w:r>
    </w:p>
    <w:p w:rsidR="003804AC" w:rsidRDefault="00AF18A5" w:rsidP="00707DD0">
      <w:r>
        <w:t>A</w:t>
      </w:r>
      <w:r>
        <w:rPr>
          <w:spacing w:val="-15"/>
        </w:rPr>
        <w:t xml:space="preserve"> </w:t>
      </w:r>
      <w:r>
        <w:t>finales</w:t>
      </w:r>
      <w:r>
        <w:rPr>
          <w:spacing w:val="-15"/>
        </w:rPr>
        <w:t xml:space="preserve"> </w:t>
      </w:r>
      <w:r>
        <w:t>de</w:t>
      </w:r>
      <w:r>
        <w:rPr>
          <w:spacing w:val="-15"/>
        </w:rPr>
        <w:t xml:space="preserve"> </w:t>
      </w:r>
      <w:r>
        <w:t>los</w:t>
      </w:r>
      <w:r>
        <w:rPr>
          <w:spacing w:val="-15"/>
        </w:rPr>
        <w:t xml:space="preserve"> </w:t>
      </w:r>
      <w:r>
        <w:t>años</w:t>
      </w:r>
      <w:r>
        <w:rPr>
          <w:spacing w:val="-15"/>
        </w:rPr>
        <w:t xml:space="preserve"> </w:t>
      </w:r>
      <w:r>
        <w:t>setenta</w:t>
      </w:r>
      <w:r>
        <w:rPr>
          <w:spacing w:val="-15"/>
        </w:rPr>
        <w:t xml:space="preserve"> </w:t>
      </w:r>
      <w:r>
        <w:t>y</w:t>
      </w:r>
      <w:r>
        <w:rPr>
          <w:spacing w:val="-15"/>
        </w:rPr>
        <w:t xml:space="preserve"> </w:t>
      </w:r>
      <w:r>
        <w:t>durante</w:t>
      </w:r>
      <w:r>
        <w:rPr>
          <w:spacing w:val="-15"/>
        </w:rPr>
        <w:t xml:space="preserve"> </w:t>
      </w:r>
      <w:r>
        <w:t>los</w:t>
      </w:r>
      <w:r>
        <w:rPr>
          <w:spacing w:val="-15"/>
        </w:rPr>
        <w:t xml:space="preserve"> </w:t>
      </w:r>
      <w:r>
        <w:t>ochenta,</w:t>
      </w:r>
      <w:r>
        <w:rPr>
          <w:spacing w:val="-15"/>
        </w:rPr>
        <w:t xml:space="preserve"> </w:t>
      </w:r>
      <w:r>
        <w:t>la</w:t>
      </w:r>
      <w:r>
        <w:rPr>
          <w:spacing w:val="-15"/>
        </w:rPr>
        <w:t xml:space="preserve"> </w:t>
      </w:r>
      <w:r>
        <w:t>crisis</w:t>
      </w:r>
      <w:r>
        <w:rPr>
          <w:spacing w:val="-15"/>
        </w:rPr>
        <w:t xml:space="preserve"> </w:t>
      </w:r>
      <w:r>
        <w:t>de</w:t>
      </w:r>
      <w:r>
        <w:rPr>
          <w:spacing w:val="-15"/>
        </w:rPr>
        <w:t xml:space="preserve"> </w:t>
      </w:r>
      <w:r>
        <w:t>derechos</w:t>
      </w:r>
      <w:r>
        <w:rPr>
          <w:spacing w:val="-15"/>
        </w:rPr>
        <w:t xml:space="preserve"> </w:t>
      </w:r>
      <w:r>
        <w:t>humanos</w:t>
      </w:r>
      <w:r>
        <w:rPr>
          <w:spacing w:val="-15"/>
        </w:rPr>
        <w:t xml:space="preserve"> </w:t>
      </w:r>
      <w:r>
        <w:t>resultaba inocultable e insostenible: detenciones arbitrarias y torturas en el marco del Estatuto de Seguridad;</w:t>
      </w:r>
      <w:r>
        <w:rPr>
          <w:spacing w:val="-10"/>
        </w:rPr>
        <w:t xml:space="preserve"> </w:t>
      </w:r>
      <w:r>
        <w:t>guerra</w:t>
      </w:r>
      <w:r>
        <w:rPr>
          <w:spacing w:val="-12"/>
        </w:rPr>
        <w:t xml:space="preserve"> </w:t>
      </w:r>
      <w:r>
        <w:t>sucia</w:t>
      </w:r>
      <w:r>
        <w:rPr>
          <w:spacing w:val="-12"/>
        </w:rPr>
        <w:t xml:space="preserve"> </w:t>
      </w:r>
      <w:r>
        <w:t>traducida</w:t>
      </w:r>
      <w:r>
        <w:rPr>
          <w:spacing w:val="-10"/>
        </w:rPr>
        <w:t xml:space="preserve"> </w:t>
      </w:r>
      <w:r>
        <w:t>en</w:t>
      </w:r>
      <w:r>
        <w:rPr>
          <w:spacing w:val="-13"/>
        </w:rPr>
        <w:t xml:space="preserve"> </w:t>
      </w:r>
      <w:r>
        <w:t>violaciones</w:t>
      </w:r>
      <w:r>
        <w:rPr>
          <w:spacing w:val="-13"/>
        </w:rPr>
        <w:t xml:space="preserve"> </w:t>
      </w:r>
      <w:r>
        <w:t>de</w:t>
      </w:r>
      <w:r>
        <w:rPr>
          <w:spacing w:val="-10"/>
        </w:rPr>
        <w:t xml:space="preserve"> </w:t>
      </w:r>
      <w:r>
        <w:t>derechos</w:t>
      </w:r>
      <w:r>
        <w:rPr>
          <w:spacing w:val="-12"/>
        </w:rPr>
        <w:t xml:space="preserve"> </w:t>
      </w:r>
      <w:r>
        <w:t>humanos</w:t>
      </w:r>
      <w:r>
        <w:rPr>
          <w:spacing w:val="-10"/>
        </w:rPr>
        <w:t xml:space="preserve"> </w:t>
      </w:r>
      <w:r>
        <w:t>de</w:t>
      </w:r>
      <w:r>
        <w:rPr>
          <w:spacing w:val="-11"/>
        </w:rPr>
        <w:t xml:space="preserve"> </w:t>
      </w:r>
      <w:r>
        <w:t>responsabilidad</w:t>
      </w:r>
      <w:r>
        <w:rPr>
          <w:spacing w:val="-11"/>
        </w:rPr>
        <w:t xml:space="preserve"> </w:t>
      </w:r>
      <w:r>
        <w:t>de organismos</w:t>
      </w:r>
      <w:r>
        <w:rPr>
          <w:spacing w:val="-4"/>
        </w:rPr>
        <w:t xml:space="preserve"> </w:t>
      </w:r>
      <w:r>
        <w:t>de</w:t>
      </w:r>
      <w:r>
        <w:rPr>
          <w:spacing w:val="-3"/>
        </w:rPr>
        <w:t xml:space="preserve"> </w:t>
      </w:r>
      <w:r>
        <w:t>seguridad</w:t>
      </w:r>
      <w:r>
        <w:rPr>
          <w:spacing w:val="-5"/>
        </w:rPr>
        <w:t xml:space="preserve"> </w:t>
      </w:r>
      <w:r>
        <w:t>e</w:t>
      </w:r>
      <w:r>
        <w:rPr>
          <w:spacing w:val="-4"/>
        </w:rPr>
        <w:t xml:space="preserve"> </w:t>
      </w:r>
      <w:r>
        <w:t>inteligencia;</w:t>
      </w:r>
      <w:r>
        <w:rPr>
          <w:spacing w:val="-4"/>
        </w:rPr>
        <w:t xml:space="preserve"> </w:t>
      </w:r>
      <w:r>
        <w:t>y</w:t>
      </w:r>
      <w:r>
        <w:rPr>
          <w:spacing w:val="-5"/>
        </w:rPr>
        <w:t xml:space="preserve"> </w:t>
      </w:r>
      <w:r>
        <w:t>transformación</w:t>
      </w:r>
      <w:r>
        <w:rPr>
          <w:spacing w:val="-5"/>
        </w:rPr>
        <w:t xml:space="preserve"> </w:t>
      </w:r>
      <w:r>
        <w:t>de</w:t>
      </w:r>
      <w:r>
        <w:rPr>
          <w:spacing w:val="-4"/>
        </w:rPr>
        <w:t xml:space="preserve"> </w:t>
      </w:r>
      <w:r>
        <w:t>los</w:t>
      </w:r>
      <w:r>
        <w:rPr>
          <w:spacing w:val="-3"/>
        </w:rPr>
        <w:t xml:space="preserve"> </w:t>
      </w:r>
      <w:r>
        <w:t>organismos</w:t>
      </w:r>
      <w:r>
        <w:rPr>
          <w:spacing w:val="-3"/>
        </w:rPr>
        <w:t xml:space="preserve"> </w:t>
      </w:r>
      <w:r>
        <w:t>civiles</w:t>
      </w:r>
      <w:r>
        <w:rPr>
          <w:spacing w:val="-3"/>
        </w:rPr>
        <w:t xml:space="preserve"> </w:t>
      </w:r>
      <w:r>
        <w:t>armados en</w:t>
      </w:r>
      <w:r>
        <w:rPr>
          <w:spacing w:val="-1"/>
        </w:rPr>
        <w:t xml:space="preserve"> </w:t>
      </w:r>
      <w:r>
        <w:t>aterradores</w:t>
      </w:r>
      <w:r>
        <w:rPr>
          <w:spacing w:val="2"/>
        </w:rPr>
        <w:t xml:space="preserve"> </w:t>
      </w:r>
      <w:r>
        <w:t>paramilitares</w:t>
      </w:r>
      <w:r>
        <w:rPr>
          <w:spacing w:val="1"/>
        </w:rPr>
        <w:t xml:space="preserve"> </w:t>
      </w:r>
      <w:r>
        <w:t>que,</w:t>
      </w:r>
      <w:r>
        <w:rPr>
          <w:spacing w:val="1"/>
        </w:rPr>
        <w:t xml:space="preserve"> </w:t>
      </w:r>
      <w:r>
        <w:t>en alianza</w:t>
      </w:r>
      <w:r>
        <w:rPr>
          <w:spacing w:val="2"/>
        </w:rPr>
        <w:t xml:space="preserve"> </w:t>
      </w:r>
      <w:r>
        <w:t>con</w:t>
      </w:r>
      <w:r>
        <w:rPr>
          <w:spacing w:val="1"/>
        </w:rPr>
        <w:t xml:space="preserve"> </w:t>
      </w:r>
      <w:r>
        <w:t>el</w:t>
      </w:r>
      <w:r>
        <w:rPr>
          <w:spacing w:val="2"/>
        </w:rPr>
        <w:t xml:space="preserve"> </w:t>
      </w:r>
      <w:r>
        <w:t>narcotráfico,</w:t>
      </w:r>
      <w:r>
        <w:rPr>
          <w:spacing w:val="2"/>
        </w:rPr>
        <w:t xml:space="preserve"> </w:t>
      </w:r>
      <w:r>
        <w:t>sectores políticos</w:t>
      </w:r>
      <w:r>
        <w:rPr>
          <w:spacing w:val="2"/>
        </w:rPr>
        <w:t xml:space="preserve"> </w:t>
      </w:r>
      <w:r>
        <w:t>y</w:t>
      </w:r>
      <w:r>
        <w:rPr>
          <w:spacing w:val="2"/>
        </w:rPr>
        <w:t xml:space="preserve"> </w:t>
      </w:r>
      <w:r>
        <w:rPr>
          <w:spacing w:val="-2"/>
        </w:rPr>
        <w:t>sociales</w:t>
      </w:r>
      <w:bookmarkStart w:id="1059" w:name="_bookmark934"/>
      <w:bookmarkEnd w:id="1059"/>
      <w:r w:rsidR="00707DD0">
        <w:rPr>
          <w:spacing w:val="-2"/>
        </w:rPr>
        <w:t xml:space="preserve"> </w:t>
      </w:r>
      <w:r>
        <w:t>y</w:t>
      </w:r>
      <w:r>
        <w:rPr>
          <w:spacing w:val="-15"/>
        </w:rPr>
        <w:t xml:space="preserve"> </w:t>
      </w:r>
      <w:r>
        <w:t>la</w:t>
      </w:r>
      <w:r>
        <w:rPr>
          <w:spacing w:val="-15"/>
        </w:rPr>
        <w:t xml:space="preserve"> </w:t>
      </w:r>
      <w:r>
        <w:t>fuerza</w:t>
      </w:r>
      <w:r>
        <w:rPr>
          <w:spacing w:val="-15"/>
        </w:rPr>
        <w:t xml:space="preserve"> </w:t>
      </w:r>
      <w:r>
        <w:t>pública,</w:t>
      </w:r>
      <w:r>
        <w:rPr>
          <w:spacing w:val="-15"/>
        </w:rPr>
        <w:t xml:space="preserve"> </w:t>
      </w:r>
      <w:r>
        <w:t>eran</w:t>
      </w:r>
      <w:r>
        <w:rPr>
          <w:spacing w:val="-15"/>
        </w:rPr>
        <w:t xml:space="preserve"> </w:t>
      </w:r>
      <w:r>
        <w:t>responsables</w:t>
      </w:r>
      <w:r>
        <w:rPr>
          <w:spacing w:val="-15"/>
        </w:rPr>
        <w:t xml:space="preserve"> </w:t>
      </w:r>
      <w:r>
        <w:t>de</w:t>
      </w:r>
      <w:r>
        <w:rPr>
          <w:spacing w:val="-15"/>
        </w:rPr>
        <w:t xml:space="preserve"> </w:t>
      </w:r>
      <w:r>
        <w:t>masacres</w:t>
      </w:r>
      <w:r>
        <w:rPr>
          <w:spacing w:val="-15"/>
        </w:rPr>
        <w:t xml:space="preserve"> </w:t>
      </w:r>
      <w:r>
        <w:t>y</w:t>
      </w:r>
      <w:r>
        <w:rPr>
          <w:spacing w:val="-15"/>
        </w:rPr>
        <w:t xml:space="preserve"> </w:t>
      </w:r>
      <w:r>
        <w:t>escalofriantes</w:t>
      </w:r>
      <w:r>
        <w:rPr>
          <w:spacing w:val="-15"/>
        </w:rPr>
        <w:t xml:space="preserve"> </w:t>
      </w:r>
      <w:r>
        <w:t>crímenes</w:t>
      </w:r>
      <w:r>
        <w:rPr>
          <w:spacing w:val="-15"/>
        </w:rPr>
        <w:t xml:space="preserve"> </w:t>
      </w:r>
      <w:r>
        <w:t>en</w:t>
      </w:r>
      <w:r>
        <w:rPr>
          <w:spacing w:val="-15"/>
        </w:rPr>
        <w:t xml:space="preserve"> </w:t>
      </w:r>
      <w:r>
        <w:t>amplias</w:t>
      </w:r>
      <w:r>
        <w:rPr>
          <w:spacing w:val="-15"/>
        </w:rPr>
        <w:t xml:space="preserve"> </w:t>
      </w:r>
      <w:r>
        <w:t>zonas del país.</w:t>
      </w:r>
    </w:p>
    <w:p w:rsidR="003804AC" w:rsidRDefault="00AF18A5" w:rsidP="00707DD0">
      <w:r>
        <w:t>A pesar de la apertura democrática que significó la Asamblea Constituyente y de los cambios de fondo que previó la Constitución de 1991 –como la definición del Estado como social y de derecho, el reconocimiento al más alto nivel jurídico de los derechos humanos y del</w:t>
      </w:r>
      <w:r>
        <w:rPr>
          <w:spacing w:val="-9"/>
        </w:rPr>
        <w:t xml:space="preserve"> </w:t>
      </w:r>
      <w:r>
        <w:t>DIH,</w:t>
      </w:r>
      <w:r>
        <w:rPr>
          <w:spacing w:val="-10"/>
        </w:rPr>
        <w:t xml:space="preserve"> </w:t>
      </w:r>
      <w:r>
        <w:t>la</w:t>
      </w:r>
      <w:r>
        <w:rPr>
          <w:spacing w:val="-9"/>
        </w:rPr>
        <w:t xml:space="preserve"> </w:t>
      </w:r>
      <w:r>
        <w:t>reforma</w:t>
      </w:r>
      <w:r>
        <w:rPr>
          <w:spacing w:val="-9"/>
        </w:rPr>
        <w:t xml:space="preserve"> </w:t>
      </w:r>
      <w:r>
        <w:t>a</w:t>
      </w:r>
      <w:r>
        <w:rPr>
          <w:spacing w:val="-9"/>
        </w:rPr>
        <w:t xml:space="preserve"> </w:t>
      </w:r>
      <w:r>
        <w:t>los</w:t>
      </w:r>
      <w:r>
        <w:rPr>
          <w:spacing w:val="-9"/>
        </w:rPr>
        <w:t xml:space="preserve"> </w:t>
      </w:r>
      <w:r>
        <w:t>Estados</w:t>
      </w:r>
      <w:r>
        <w:rPr>
          <w:spacing w:val="-9"/>
        </w:rPr>
        <w:t xml:space="preserve"> </w:t>
      </w:r>
      <w:r>
        <w:t>de</w:t>
      </w:r>
      <w:r>
        <w:rPr>
          <w:spacing w:val="-9"/>
        </w:rPr>
        <w:t xml:space="preserve"> </w:t>
      </w:r>
      <w:r>
        <w:t>excepción,</w:t>
      </w:r>
      <w:r>
        <w:rPr>
          <w:spacing w:val="-10"/>
        </w:rPr>
        <w:t xml:space="preserve"> </w:t>
      </w:r>
      <w:r>
        <w:t>la</w:t>
      </w:r>
      <w:r>
        <w:rPr>
          <w:spacing w:val="-11"/>
        </w:rPr>
        <w:t xml:space="preserve"> </w:t>
      </w:r>
      <w:r>
        <w:t>prohibición</w:t>
      </w:r>
      <w:r>
        <w:rPr>
          <w:spacing w:val="-10"/>
        </w:rPr>
        <w:t xml:space="preserve"> </w:t>
      </w:r>
      <w:r>
        <w:t>del</w:t>
      </w:r>
      <w:r>
        <w:rPr>
          <w:spacing w:val="-9"/>
        </w:rPr>
        <w:t xml:space="preserve"> </w:t>
      </w:r>
      <w:r>
        <w:lastRenderedPageBreak/>
        <w:t>juzgamiento</w:t>
      </w:r>
      <w:r>
        <w:rPr>
          <w:spacing w:val="-10"/>
        </w:rPr>
        <w:t xml:space="preserve"> </w:t>
      </w:r>
      <w:r>
        <w:t>de</w:t>
      </w:r>
      <w:r>
        <w:rPr>
          <w:spacing w:val="-9"/>
        </w:rPr>
        <w:t xml:space="preserve"> </w:t>
      </w:r>
      <w:r>
        <w:t>civiles</w:t>
      </w:r>
      <w:r>
        <w:rPr>
          <w:spacing w:val="-9"/>
        </w:rPr>
        <w:t xml:space="preserve"> </w:t>
      </w:r>
      <w:r>
        <w:t>por tribunales militares y las restricciones al fuero penal militar–, el modelo de seguridad no se tocó.</w:t>
      </w:r>
      <w:r>
        <w:rPr>
          <w:spacing w:val="-8"/>
        </w:rPr>
        <w:t xml:space="preserve"> </w:t>
      </w:r>
      <w:r>
        <w:t>Tampoco</w:t>
      </w:r>
      <w:r>
        <w:rPr>
          <w:spacing w:val="-8"/>
        </w:rPr>
        <w:t xml:space="preserve"> </w:t>
      </w:r>
      <w:r>
        <w:t>respecto</w:t>
      </w:r>
      <w:r>
        <w:rPr>
          <w:spacing w:val="-10"/>
        </w:rPr>
        <w:t xml:space="preserve"> </w:t>
      </w:r>
      <w:r>
        <w:t>al</w:t>
      </w:r>
      <w:r>
        <w:rPr>
          <w:spacing w:val="-8"/>
        </w:rPr>
        <w:t xml:space="preserve"> </w:t>
      </w:r>
      <w:r>
        <w:t>funcionamiento</w:t>
      </w:r>
      <w:r>
        <w:rPr>
          <w:spacing w:val="-8"/>
        </w:rPr>
        <w:t xml:space="preserve"> </w:t>
      </w:r>
      <w:r>
        <w:t>de</w:t>
      </w:r>
      <w:r>
        <w:rPr>
          <w:spacing w:val="-8"/>
        </w:rPr>
        <w:t xml:space="preserve"> </w:t>
      </w:r>
      <w:r>
        <w:t>los</w:t>
      </w:r>
      <w:r>
        <w:rPr>
          <w:spacing w:val="-8"/>
        </w:rPr>
        <w:t xml:space="preserve"> </w:t>
      </w:r>
      <w:r>
        <w:t>organismos</w:t>
      </w:r>
      <w:r>
        <w:rPr>
          <w:spacing w:val="-8"/>
        </w:rPr>
        <w:t xml:space="preserve"> </w:t>
      </w:r>
      <w:r>
        <w:t>de</w:t>
      </w:r>
      <w:r>
        <w:rPr>
          <w:spacing w:val="-8"/>
        </w:rPr>
        <w:t xml:space="preserve"> </w:t>
      </w:r>
      <w:r>
        <w:t>inteligencia</w:t>
      </w:r>
      <w:r>
        <w:rPr>
          <w:spacing w:val="-8"/>
        </w:rPr>
        <w:t xml:space="preserve"> </w:t>
      </w:r>
      <w:r>
        <w:t>o</w:t>
      </w:r>
      <w:r>
        <w:rPr>
          <w:spacing w:val="-9"/>
        </w:rPr>
        <w:t xml:space="preserve"> </w:t>
      </w:r>
      <w:r>
        <w:t>las</w:t>
      </w:r>
      <w:r>
        <w:rPr>
          <w:spacing w:val="-8"/>
        </w:rPr>
        <w:t xml:space="preserve"> </w:t>
      </w:r>
      <w:r>
        <w:t>relaciones con el paramilitarismo y la fuerza pública. El conflicto armado se recrudeció tanto por la acción de las guerrillas como por el mantenimiento de los rasgos más problemáticos del modelo de seguridad, que se instalaron en los años sesenta, e incluso antes, y que se mantienen hasta la actualidad con variaciones, continuidades y discontinuidades. La implicación de las Fuerzas Armadas y los organismos de seguridad en serias y graves violaciones a los derechos humanos y en infracciones al DIH.</w:t>
      </w:r>
    </w:p>
    <w:p w:rsidR="003804AC" w:rsidRDefault="00AF18A5" w:rsidP="00707DD0">
      <w:r>
        <w:t>La</w:t>
      </w:r>
      <w:r>
        <w:rPr>
          <w:spacing w:val="-13"/>
        </w:rPr>
        <w:t xml:space="preserve"> </w:t>
      </w:r>
      <w:r>
        <w:t>Comisión</w:t>
      </w:r>
      <w:r>
        <w:rPr>
          <w:spacing w:val="-13"/>
        </w:rPr>
        <w:t xml:space="preserve"> </w:t>
      </w:r>
      <w:r>
        <w:t>de</w:t>
      </w:r>
      <w:r>
        <w:rPr>
          <w:spacing w:val="-13"/>
        </w:rPr>
        <w:t xml:space="preserve"> </w:t>
      </w:r>
      <w:r>
        <w:t>la</w:t>
      </w:r>
      <w:r>
        <w:rPr>
          <w:spacing w:val="-13"/>
        </w:rPr>
        <w:t xml:space="preserve"> </w:t>
      </w:r>
      <w:r>
        <w:t>Verdad</w:t>
      </w:r>
      <w:r>
        <w:rPr>
          <w:spacing w:val="-13"/>
        </w:rPr>
        <w:t xml:space="preserve"> </w:t>
      </w:r>
      <w:r>
        <w:t>también</w:t>
      </w:r>
      <w:r>
        <w:rPr>
          <w:spacing w:val="-13"/>
        </w:rPr>
        <w:t xml:space="preserve"> </w:t>
      </w:r>
      <w:r>
        <w:t>es</w:t>
      </w:r>
      <w:r>
        <w:rPr>
          <w:spacing w:val="-13"/>
        </w:rPr>
        <w:t xml:space="preserve"> </w:t>
      </w:r>
      <w:r>
        <w:t>muy</w:t>
      </w:r>
      <w:r>
        <w:rPr>
          <w:spacing w:val="-13"/>
        </w:rPr>
        <w:t xml:space="preserve"> </w:t>
      </w:r>
      <w:r>
        <w:t>consciente</w:t>
      </w:r>
      <w:r>
        <w:rPr>
          <w:spacing w:val="-13"/>
        </w:rPr>
        <w:t xml:space="preserve"> </w:t>
      </w:r>
      <w:r>
        <w:t>de</w:t>
      </w:r>
      <w:r>
        <w:rPr>
          <w:spacing w:val="-13"/>
        </w:rPr>
        <w:t xml:space="preserve"> </w:t>
      </w:r>
      <w:r>
        <w:t>que</w:t>
      </w:r>
      <w:r>
        <w:rPr>
          <w:spacing w:val="-14"/>
        </w:rPr>
        <w:t xml:space="preserve"> </w:t>
      </w:r>
      <w:r>
        <w:t>amplios</w:t>
      </w:r>
      <w:r>
        <w:rPr>
          <w:spacing w:val="-13"/>
        </w:rPr>
        <w:t xml:space="preserve"> </w:t>
      </w:r>
      <w:r>
        <w:t>sectores</w:t>
      </w:r>
      <w:r>
        <w:rPr>
          <w:spacing w:val="-13"/>
        </w:rPr>
        <w:t xml:space="preserve"> </w:t>
      </w:r>
      <w:r>
        <w:t>de</w:t>
      </w:r>
      <w:r>
        <w:rPr>
          <w:spacing w:val="-13"/>
        </w:rPr>
        <w:t xml:space="preserve"> </w:t>
      </w:r>
      <w:r>
        <w:t>la</w:t>
      </w:r>
      <w:r>
        <w:rPr>
          <w:spacing w:val="-13"/>
        </w:rPr>
        <w:t xml:space="preserve"> </w:t>
      </w:r>
      <w:r>
        <w:t>fuerza pública de Colombia han desempeñado su función convencidos de que es lo mejor para el país, han sido honestos y leales a su misión. Los propios miembros de la fuerza pública, especialmente los soldados, han sufrido el conflicto armado, han muerto en combate, han sufrido daños por explosivos y minas antipersona, han sido víctimas del secuestro y otros graves hechos. Muchos de los miembros de la fuerza pública han cumplido con la ley y la Constitución. En algunos territorios construyeron confianza con la población y fueron garantía frente a los intentos de control de las guerrillas. La Comisión de la Verdad recibió informes</w:t>
      </w:r>
      <w:r>
        <w:rPr>
          <w:spacing w:val="-2"/>
        </w:rPr>
        <w:t xml:space="preserve"> </w:t>
      </w:r>
      <w:r>
        <w:t>y</w:t>
      </w:r>
      <w:r>
        <w:rPr>
          <w:spacing w:val="-2"/>
        </w:rPr>
        <w:t xml:space="preserve"> </w:t>
      </w:r>
      <w:r>
        <w:t>escuchó</w:t>
      </w:r>
      <w:r>
        <w:rPr>
          <w:spacing w:val="-2"/>
        </w:rPr>
        <w:t xml:space="preserve"> </w:t>
      </w:r>
      <w:r>
        <w:t>a</w:t>
      </w:r>
      <w:r>
        <w:rPr>
          <w:spacing w:val="-2"/>
        </w:rPr>
        <w:t xml:space="preserve"> </w:t>
      </w:r>
      <w:r>
        <w:t>funcionarios</w:t>
      </w:r>
      <w:r>
        <w:rPr>
          <w:spacing w:val="-2"/>
        </w:rPr>
        <w:t xml:space="preserve"> </w:t>
      </w:r>
      <w:r>
        <w:t>que</w:t>
      </w:r>
      <w:r>
        <w:rPr>
          <w:spacing w:val="-2"/>
        </w:rPr>
        <w:t xml:space="preserve"> </w:t>
      </w:r>
      <w:r>
        <w:t>manifestaron</w:t>
      </w:r>
      <w:r>
        <w:rPr>
          <w:spacing w:val="-2"/>
        </w:rPr>
        <w:t xml:space="preserve"> </w:t>
      </w:r>
      <w:r>
        <w:t>su</w:t>
      </w:r>
      <w:r>
        <w:rPr>
          <w:spacing w:val="-2"/>
        </w:rPr>
        <w:t xml:space="preserve"> </w:t>
      </w:r>
      <w:r>
        <w:t>pleno</w:t>
      </w:r>
      <w:r>
        <w:rPr>
          <w:spacing w:val="-2"/>
        </w:rPr>
        <w:t xml:space="preserve"> </w:t>
      </w:r>
      <w:r>
        <w:t>compromiso</w:t>
      </w:r>
      <w:r>
        <w:rPr>
          <w:spacing w:val="-3"/>
        </w:rPr>
        <w:t xml:space="preserve"> </w:t>
      </w:r>
      <w:r>
        <w:t>con</w:t>
      </w:r>
      <w:r>
        <w:rPr>
          <w:spacing w:val="-2"/>
        </w:rPr>
        <w:t xml:space="preserve"> </w:t>
      </w:r>
      <w:r>
        <w:t>el</w:t>
      </w:r>
      <w:r>
        <w:rPr>
          <w:spacing w:val="-2"/>
        </w:rPr>
        <w:t xml:space="preserve"> </w:t>
      </w:r>
      <w:r>
        <w:t>respeto</w:t>
      </w:r>
      <w:r>
        <w:rPr>
          <w:spacing w:val="-2"/>
        </w:rPr>
        <w:t xml:space="preserve"> </w:t>
      </w:r>
      <w:r>
        <w:t>de los derechos humanos y el DIH. También conoció iniciativas que después de años de denuncias de estos hechos se tomaron para terminar con los llamados «falsos positivos» y garantizar que fueran juzgados con imparcialidad.</w:t>
      </w:r>
    </w:p>
    <w:p w:rsidR="003804AC" w:rsidRDefault="00AF18A5" w:rsidP="00707DD0">
      <w:r>
        <w:t>A</w:t>
      </w:r>
      <w:r>
        <w:rPr>
          <w:spacing w:val="-15"/>
        </w:rPr>
        <w:t xml:space="preserve"> </w:t>
      </w:r>
      <w:r>
        <w:t>pesar</w:t>
      </w:r>
      <w:r>
        <w:rPr>
          <w:spacing w:val="-15"/>
        </w:rPr>
        <w:t xml:space="preserve"> </w:t>
      </w:r>
      <w:r>
        <w:t>de</w:t>
      </w:r>
      <w:r>
        <w:rPr>
          <w:spacing w:val="-15"/>
        </w:rPr>
        <w:t xml:space="preserve"> </w:t>
      </w:r>
      <w:r>
        <w:t>los</w:t>
      </w:r>
      <w:r>
        <w:rPr>
          <w:spacing w:val="-14"/>
        </w:rPr>
        <w:t xml:space="preserve"> </w:t>
      </w:r>
      <w:r>
        <w:t>avances</w:t>
      </w:r>
      <w:r>
        <w:rPr>
          <w:spacing w:val="-15"/>
        </w:rPr>
        <w:t xml:space="preserve"> </w:t>
      </w:r>
      <w:r>
        <w:t>en</w:t>
      </w:r>
      <w:r>
        <w:rPr>
          <w:spacing w:val="-14"/>
        </w:rPr>
        <w:t xml:space="preserve"> </w:t>
      </w:r>
      <w:r>
        <w:t>formación</w:t>
      </w:r>
      <w:r>
        <w:rPr>
          <w:spacing w:val="-15"/>
        </w:rPr>
        <w:t xml:space="preserve"> </w:t>
      </w:r>
      <w:r>
        <w:t>en</w:t>
      </w:r>
      <w:r>
        <w:rPr>
          <w:spacing w:val="-15"/>
        </w:rPr>
        <w:t xml:space="preserve"> </w:t>
      </w:r>
      <w:r>
        <w:t>derechos</w:t>
      </w:r>
      <w:r>
        <w:rPr>
          <w:spacing w:val="-15"/>
        </w:rPr>
        <w:t xml:space="preserve"> </w:t>
      </w:r>
      <w:r>
        <w:t>humanos</w:t>
      </w:r>
      <w:r>
        <w:rPr>
          <w:spacing w:val="-15"/>
        </w:rPr>
        <w:t xml:space="preserve"> </w:t>
      </w:r>
      <w:r>
        <w:t>dentro</w:t>
      </w:r>
      <w:r>
        <w:rPr>
          <w:spacing w:val="-14"/>
        </w:rPr>
        <w:t xml:space="preserve"> </w:t>
      </w:r>
      <w:r>
        <w:t>de</w:t>
      </w:r>
      <w:r>
        <w:rPr>
          <w:spacing w:val="-15"/>
        </w:rPr>
        <w:t xml:space="preserve"> </w:t>
      </w:r>
      <w:r>
        <w:t>las</w:t>
      </w:r>
      <w:r>
        <w:rPr>
          <w:spacing w:val="-14"/>
        </w:rPr>
        <w:t xml:space="preserve"> </w:t>
      </w:r>
      <w:r>
        <w:t>Fuerzas</w:t>
      </w:r>
      <w:r>
        <w:rPr>
          <w:spacing w:val="-14"/>
        </w:rPr>
        <w:t xml:space="preserve"> </w:t>
      </w:r>
      <w:r>
        <w:t>Armadas, que</w:t>
      </w:r>
      <w:r>
        <w:rPr>
          <w:spacing w:val="-4"/>
        </w:rPr>
        <w:t xml:space="preserve"> </w:t>
      </w:r>
      <w:r>
        <w:t>tomó</w:t>
      </w:r>
      <w:r>
        <w:rPr>
          <w:spacing w:val="-6"/>
        </w:rPr>
        <w:t xml:space="preserve"> </w:t>
      </w:r>
      <w:r>
        <w:t>fuerza</w:t>
      </w:r>
      <w:r>
        <w:rPr>
          <w:spacing w:val="-4"/>
        </w:rPr>
        <w:t xml:space="preserve"> </w:t>
      </w:r>
      <w:r>
        <w:t>en</w:t>
      </w:r>
      <w:r>
        <w:rPr>
          <w:spacing w:val="-6"/>
        </w:rPr>
        <w:t xml:space="preserve"> </w:t>
      </w:r>
      <w:r>
        <w:t>las</w:t>
      </w:r>
      <w:r>
        <w:rPr>
          <w:spacing w:val="-6"/>
        </w:rPr>
        <w:t xml:space="preserve"> </w:t>
      </w:r>
      <w:r>
        <w:t>últimas</w:t>
      </w:r>
      <w:r>
        <w:rPr>
          <w:spacing w:val="-4"/>
        </w:rPr>
        <w:t xml:space="preserve"> </w:t>
      </w:r>
      <w:r>
        <w:t>décadas,</w:t>
      </w:r>
      <w:r>
        <w:rPr>
          <w:spacing w:val="-5"/>
        </w:rPr>
        <w:t xml:space="preserve"> </w:t>
      </w:r>
      <w:r>
        <w:t>y</w:t>
      </w:r>
      <w:r>
        <w:rPr>
          <w:spacing w:val="-5"/>
        </w:rPr>
        <w:t xml:space="preserve"> </w:t>
      </w:r>
      <w:r>
        <w:t>de</w:t>
      </w:r>
      <w:r>
        <w:rPr>
          <w:spacing w:val="-4"/>
        </w:rPr>
        <w:t xml:space="preserve"> </w:t>
      </w:r>
      <w:r>
        <w:t>algunas</w:t>
      </w:r>
      <w:r>
        <w:rPr>
          <w:spacing w:val="-4"/>
        </w:rPr>
        <w:t xml:space="preserve"> </w:t>
      </w:r>
      <w:r>
        <w:lastRenderedPageBreak/>
        <w:t>iniciativas</w:t>
      </w:r>
      <w:r>
        <w:rPr>
          <w:spacing w:val="-4"/>
        </w:rPr>
        <w:t xml:space="preserve"> </w:t>
      </w:r>
      <w:r>
        <w:t>o</w:t>
      </w:r>
      <w:r>
        <w:rPr>
          <w:spacing w:val="-5"/>
        </w:rPr>
        <w:t xml:space="preserve"> </w:t>
      </w:r>
      <w:r>
        <w:t>de</w:t>
      </w:r>
      <w:r>
        <w:rPr>
          <w:spacing w:val="-4"/>
        </w:rPr>
        <w:t xml:space="preserve"> </w:t>
      </w:r>
      <w:r>
        <w:t>afirmaciones</w:t>
      </w:r>
      <w:r>
        <w:rPr>
          <w:spacing w:val="-4"/>
        </w:rPr>
        <w:t xml:space="preserve"> </w:t>
      </w:r>
      <w:r>
        <w:t>generales de respeto a los derechos humanos y al DIH, en el Estado ha prevalecido una actitud negacionista</w:t>
      </w:r>
      <w:r>
        <w:rPr>
          <w:spacing w:val="14"/>
        </w:rPr>
        <w:t xml:space="preserve"> </w:t>
      </w:r>
      <w:r>
        <w:t>pues</w:t>
      </w:r>
      <w:r>
        <w:rPr>
          <w:spacing w:val="17"/>
        </w:rPr>
        <w:t xml:space="preserve"> </w:t>
      </w:r>
      <w:r>
        <w:t>no</w:t>
      </w:r>
      <w:r>
        <w:rPr>
          <w:spacing w:val="16"/>
        </w:rPr>
        <w:t xml:space="preserve"> </w:t>
      </w:r>
      <w:r>
        <w:t>se</w:t>
      </w:r>
      <w:r>
        <w:rPr>
          <w:spacing w:val="18"/>
        </w:rPr>
        <w:t xml:space="preserve"> </w:t>
      </w:r>
      <w:r>
        <w:t>ha</w:t>
      </w:r>
      <w:r>
        <w:rPr>
          <w:spacing w:val="18"/>
        </w:rPr>
        <w:t xml:space="preserve"> </w:t>
      </w:r>
      <w:r>
        <w:t>aceptado</w:t>
      </w:r>
      <w:r>
        <w:rPr>
          <w:spacing w:val="15"/>
        </w:rPr>
        <w:t xml:space="preserve"> </w:t>
      </w:r>
      <w:r>
        <w:t>la</w:t>
      </w:r>
      <w:r>
        <w:rPr>
          <w:spacing w:val="17"/>
        </w:rPr>
        <w:t xml:space="preserve"> </w:t>
      </w:r>
      <w:r>
        <w:t>responsabilidad</w:t>
      </w:r>
      <w:r>
        <w:rPr>
          <w:spacing w:val="17"/>
        </w:rPr>
        <w:t xml:space="preserve"> </w:t>
      </w:r>
      <w:r>
        <w:t>institucional</w:t>
      </w:r>
      <w:r>
        <w:rPr>
          <w:spacing w:val="18"/>
        </w:rPr>
        <w:t xml:space="preserve"> </w:t>
      </w:r>
      <w:r>
        <w:t>en</w:t>
      </w:r>
      <w:r>
        <w:rPr>
          <w:spacing w:val="17"/>
        </w:rPr>
        <w:t xml:space="preserve"> </w:t>
      </w:r>
      <w:r>
        <w:t>los</w:t>
      </w:r>
      <w:r>
        <w:rPr>
          <w:spacing w:val="17"/>
        </w:rPr>
        <w:t xml:space="preserve"> </w:t>
      </w:r>
      <w:r>
        <w:t>crímenes,</w:t>
      </w:r>
      <w:r>
        <w:rPr>
          <w:spacing w:val="15"/>
        </w:rPr>
        <w:t xml:space="preserve"> </w:t>
      </w:r>
      <w:r>
        <w:t>ni</w:t>
      </w:r>
      <w:r>
        <w:rPr>
          <w:spacing w:val="18"/>
        </w:rPr>
        <w:t xml:space="preserve"> </w:t>
      </w:r>
      <w:r>
        <w:rPr>
          <w:spacing w:val="-5"/>
        </w:rPr>
        <w:t>la</w:t>
      </w:r>
      <w:r w:rsidR="00707DD0">
        <w:t xml:space="preserve"> </w:t>
      </w:r>
      <w:r>
        <w:t xml:space="preserve">gravedad de los hechos, ni el papel que los instrumentos, medios, políticas y doctrina de seguridad han tenido en la evolución de la crisis y en la conformación y fortalecimiento del </w:t>
      </w:r>
      <w:r>
        <w:rPr>
          <w:spacing w:val="-2"/>
        </w:rPr>
        <w:t>paramilitarismo</w:t>
      </w:r>
      <w:r w:rsidR="00707DD0">
        <w:rPr>
          <w:rStyle w:val="Refdenotaalpie"/>
          <w:spacing w:val="-2"/>
        </w:rPr>
        <w:footnoteReference w:id="857"/>
      </w:r>
      <w:r>
        <w:rPr>
          <w:spacing w:val="-2"/>
        </w:rPr>
        <w:t>.</w:t>
      </w:r>
    </w:p>
    <w:p w:rsidR="003804AC" w:rsidRDefault="00AF18A5" w:rsidP="00707DD0">
      <w:r>
        <w:t>Hasta hoy, el Estado no ha aceptado su responsabilidad en los crímenes cometidos al amparo</w:t>
      </w:r>
      <w:r>
        <w:rPr>
          <w:spacing w:val="-11"/>
        </w:rPr>
        <w:t xml:space="preserve"> </w:t>
      </w:r>
      <w:r>
        <w:t>del</w:t>
      </w:r>
      <w:r>
        <w:rPr>
          <w:spacing w:val="-12"/>
        </w:rPr>
        <w:t xml:space="preserve"> </w:t>
      </w:r>
      <w:r>
        <w:t>Estatuto</w:t>
      </w:r>
      <w:r>
        <w:rPr>
          <w:spacing w:val="-11"/>
        </w:rPr>
        <w:t xml:space="preserve"> </w:t>
      </w:r>
      <w:r>
        <w:t>de</w:t>
      </w:r>
      <w:r>
        <w:rPr>
          <w:spacing w:val="-12"/>
        </w:rPr>
        <w:t xml:space="preserve"> </w:t>
      </w:r>
      <w:r>
        <w:t>Seguridad,</w:t>
      </w:r>
      <w:r>
        <w:rPr>
          <w:spacing w:val="-11"/>
        </w:rPr>
        <w:t xml:space="preserve"> </w:t>
      </w:r>
      <w:r>
        <w:t>ni</w:t>
      </w:r>
      <w:r>
        <w:rPr>
          <w:spacing w:val="-10"/>
        </w:rPr>
        <w:t xml:space="preserve"> </w:t>
      </w:r>
      <w:r>
        <w:t>por</w:t>
      </w:r>
      <w:r>
        <w:rPr>
          <w:spacing w:val="-10"/>
        </w:rPr>
        <w:t xml:space="preserve"> </w:t>
      </w:r>
      <w:r>
        <w:t>el</w:t>
      </w:r>
      <w:r>
        <w:rPr>
          <w:spacing w:val="-12"/>
        </w:rPr>
        <w:t xml:space="preserve"> </w:t>
      </w:r>
      <w:r>
        <w:t>juzgamiento</w:t>
      </w:r>
      <w:r>
        <w:rPr>
          <w:spacing w:val="-11"/>
        </w:rPr>
        <w:t xml:space="preserve"> </w:t>
      </w:r>
      <w:r>
        <w:t>de</w:t>
      </w:r>
      <w:r>
        <w:rPr>
          <w:spacing w:val="-11"/>
        </w:rPr>
        <w:t xml:space="preserve"> </w:t>
      </w:r>
      <w:r>
        <w:t>civiles</w:t>
      </w:r>
      <w:r>
        <w:rPr>
          <w:spacing w:val="-11"/>
        </w:rPr>
        <w:t xml:space="preserve"> </w:t>
      </w:r>
      <w:r>
        <w:t>en</w:t>
      </w:r>
      <w:r>
        <w:rPr>
          <w:spacing w:val="-11"/>
        </w:rPr>
        <w:t xml:space="preserve"> </w:t>
      </w:r>
      <w:r>
        <w:t>cortes</w:t>
      </w:r>
      <w:r>
        <w:rPr>
          <w:spacing w:val="-11"/>
        </w:rPr>
        <w:t xml:space="preserve"> </w:t>
      </w:r>
      <w:r>
        <w:t>marciales,</w:t>
      </w:r>
      <w:r>
        <w:rPr>
          <w:spacing w:val="-11"/>
        </w:rPr>
        <w:t xml:space="preserve"> </w:t>
      </w:r>
      <w:r>
        <w:t>ni</w:t>
      </w:r>
      <w:r>
        <w:rPr>
          <w:spacing w:val="-10"/>
        </w:rPr>
        <w:t xml:space="preserve"> </w:t>
      </w:r>
      <w:r>
        <w:t>por la</w:t>
      </w:r>
      <w:r>
        <w:rPr>
          <w:spacing w:val="-2"/>
        </w:rPr>
        <w:t xml:space="preserve"> </w:t>
      </w:r>
      <w:r>
        <w:t>militarización</w:t>
      </w:r>
      <w:r>
        <w:rPr>
          <w:spacing w:val="-2"/>
        </w:rPr>
        <w:t xml:space="preserve"> </w:t>
      </w:r>
      <w:r>
        <w:t>de</w:t>
      </w:r>
      <w:r>
        <w:rPr>
          <w:spacing w:val="-3"/>
        </w:rPr>
        <w:t xml:space="preserve"> </w:t>
      </w:r>
      <w:r>
        <w:t>los</w:t>
      </w:r>
      <w:r>
        <w:rPr>
          <w:spacing w:val="-2"/>
        </w:rPr>
        <w:t xml:space="preserve"> </w:t>
      </w:r>
      <w:r>
        <w:t>territorios</w:t>
      </w:r>
      <w:r>
        <w:rPr>
          <w:spacing w:val="-2"/>
        </w:rPr>
        <w:t xml:space="preserve"> </w:t>
      </w:r>
      <w:r>
        <w:t>y</w:t>
      </w:r>
      <w:r>
        <w:rPr>
          <w:spacing w:val="-3"/>
        </w:rPr>
        <w:t xml:space="preserve"> </w:t>
      </w:r>
      <w:r>
        <w:t>la</w:t>
      </w:r>
      <w:r>
        <w:rPr>
          <w:spacing w:val="-2"/>
        </w:rPr>
        <w:t xml:space="preserve"> </w:t>
      </w:r>
      <w:r>
        <w:t>inteligencia</w:t>
      </w:r>
      <w:r>
        <w:rPr>
          <w:spacing w:val="-2"/>
        </w:rPr>
        <w:t xml:space="preserve"> </w:t>
      </w:r>
      <w:r>
        <w:t>en</w:t>
      </w:r>
      <w:r>
        <w:rPr>
          <w:spacing w:val="-2"/>
        </w:rPr>
        <w:t xml:space="preserve"> </w:t>
      </w:r>
      <w:r>
        <w:t>contra</w:t>
      </w:r>
      <w:r>
        <w:rPr>
          <w:spacing w:val="-3"/>
        </w:rPr>
        <w:t xml:space="preserve"> </w:t>
      </w:r>
      <w:r>
        <w:t>de</w:t>
      </w:r>
      <w:r>
        <w:rPr>
          <w:spacing w:val="-2"/>
        </w:rPr>
        <w:t xml:space="preserve"> </w:t>
      </w:r>
      <w:r>
        <w:t>miembros</w:t>
      </w:r>
      <w:r>
        <w:rPr>
          <w:spacing w:val="-2"/>
        </w:rPr>
        <w:t xml:space="preserve"> </w:t>
      </w:r>
      <w:r>
        <w:t>de</w:t>
      </w:r>
      <w:r>
        <w:rPr>
          <w:spacing w:val="-2"/>
        </w:rPr>
        <w:t xml:space="preserve"> </w:t>
      </w:r>
      <w:r>
        <w:t>movimientos</w:t>
      </w:r>
      <w:r>
        <w:rPr>
          <w:spacing w:val="-2"/>
        </w:rPr>
        <w:t xml:space="preserve"> </w:t>
      </w:r>
      <w:r>
        <w:t>o instituciones</w:t>
      </w:r>
      <w:r>
        <w:rPr>
          <w:spacing w:val="-12"/>
        </w:rPr>
        <w:t xml:space="preserve"> </w:t>
      </w:r>
      <w:r>
        <w:t>que</w:t>
      </w:r>
      <w:r>
        <w:rPr>
          <w:spacing w:val="-11"/>
        </w:rPr>
        <w:t xml:space="preserve"> </w:t>
      </w:r>
      <w:r>
        <w:t>desarrollaban</w:t>
      </w:r>
      <w:r>
        <w:rPr>
          <w:spacing w:val="-11"/>
        </w:rPr>
        <w:t xml:space="preserve"> </w:t>
      </w:r>
      <w:r>
        <w:t>labores</w:t>
      </w:r>
      <w:r>
        <w:rPr>
          <w:spacing w:val="-11"/>
        </w:rPr>
        <w:t xml:space="preserve"> </w:t>
      </w:r>
      <w:r>
        <w:t>legales</w:t>
      </w:r>
      <w:r>
        <w:rPr>
          <w:spacing w:val="-11"/>
        </w:rPr>
        <w:t xml:space="preserve"> </w:t>
      </w:r>
      <w:r>
        <w:t>y</w:t>
      </w:r>
      <w:r>
        <w:rPr>
          <w:spacing w:val="-11"/>
        </w:rPr>
        <w:t xml:space="preserve"> </w:t>
      </w:r>
      <w:r>
        <w:t>legítimas.</w:t>
      </w:r>
      <w:r>
        <w:rPr>
          <w:spacing w:val="-11"/>
        </w:rPr>
        <w:t xml:space="preserve"> </w:t>
      </w:r>
      <w:r>
        <w:t>En</w:t>
      </w:r>
      <w:r>
        <w:rPr>
          <w:spacing w:val="-11"/>
        </w:rPr>
        <w:t xml:space="preserve"> </w:t>
      </w:r>
      <w:r>
        <w:t>los</w:t>
      </w:r>
      <w:r>
        <w:rPr>
          <w:spacing w:val="-11"/>
        </w:rPr>
        <w:t xml:space="preserve"> </w:t>
      </w:r>
      <w:r>
        <w:t>años</w:t>
      </w:r>
      <w:r>
        <w:rPr>
          <w:spacing w:val="-11"/>
        </w:rPr>
        <w:t xml:space="preserve"> </w:t>
      </w:r>
      <w:r>
        <w:t>ochenta</w:t>
      </w:r>
      <w:r>
        <w:rPr>
          <w:spacing w:val="-11"/>
        </w:rPr>
        <w:t xml:space="preserve"> </w:t>
      </w:r>
      <w:r>
        <w:t>y</w:t>
      </w:r>
      <w:r>
        <w:rPr>
          <w:spacing w:val="-11"/>
        </w:rPr>
        <w:t xml:space="preserve"> </w:t>
      </w:r>
      <w:r>
        <w:t>noventa</w:t>
      </w:r>
      <w:r>
        <w:rPr>
          <w:spacing w:val="-11"/>
        </w:rPr>
        <w:t xml:space="preserve"> </w:t>
      </w:r>
      <w:r>
        <w:t>los grupos paramilitares evolucionaron y se fortalecieron. La estructura armada (las AUC) se desmovilizó y se sometió a un proceso de justicia transicional, pero el paramilitarismo se recicló y hoy es un amplio entramado de sectores armados, políticos, sociales, del Estado y del narcotráfico, que ejerce un dominio que debe ser enfrentado de una manera audaz, sin negar</w:t>
      </w:r>
      <w:r>
        <w:rPr>
          <w:spacing w:val="-3"/>
        </w:rPr>
        <w:t xml:space="preserve"> </w:t>
      </w:r>
      <w:r>
        <w:t>su</w:t>
      </w:r>
      <w:r>
        <w:rPr>
          <w:spacing w:val="-3"/>
        </w:rPr>
        <w:t xml:space="preserve"> </w:t>
      </w:r>
      <w:r>
        <w:t>magnitud</w:t>
      </w:r>
      <w:r>
        <w:rPr>
          <w:spacing w:val="-3"/>
        </w:rPr>
        <w:t xml:space="preserve"> </w:t>
      </w:r>
      <w:r>
        <w:t>ni</w:t>
      </w:r>
      <w:r>
        <w:rPr>
          <w:spacing w:val="-4"/>
        </w:rPr>
        <w:t xml:space="preserve"> </w:t>
      </w:r>
      <w:r>
        <w:t>las</w:t>
      </w:r>
      <w:r>
        <w:rPr>
          <w:spacing w:val="-4"/>
        </w:rPr>
        <w:t xml:space="preserve"> </w:t>
      </w:r>
      <w:r>
        <w:t>responsabilidades</w:t>
      </w:r>
      <w:r>
        <w:rPr>
          <w:spacing w:val="-3"/>
        </w:rPr>
        <w:t xml:space="preserve"> </w:t>
      </w:r>
      <w:r>
        <w:t>que</w:t>
      </w:r>
      <w:r>
        <w:rPr>
          <w:spacing w:val="-3"/>
        </w:rPr>
        <w:t xml:space="preserve"> </w:t>
      </w:r>
      <w:r>
        <w:t>quepan,</w:t>
      </w:r>
      <w:r>
        <w:rPr>
          <w:spacing w:val="-3"/>
        </w:rPr>
        <w:t xml:space="preserve"> </w:t>
      </w:r>
      <w:r>
        <w:t>así</w:t>
      </w:r>
      <w:r>
        <w:rPr>
          <w:spacing w:val="-4"/>
        </w:rPr>
        <w:t xml:space="preserve"> </w:t>
      </w:r>
      <w:r>
        <w:t>como</w:t>
      </w:r>
      <w:r>
        <w:rPr>
          <w:spacing w:val="-3"/>
        </w:rPr>
        <w:t xml:space="preserve"> </w:t>
      </w:r>
      <w:r>
        <w:t>con</w:t>
      </w:r>
      <w:r>
        <w:rPr>
          <w:spacing w:val="-3"/>
        </w:rPr>
        <w:t xml:space="preserve"> </w:t>
      </w:r>
      <w:r>
        <w:t>medidas</w:t>
      </w:r>
      <w:r>
        <w:rPr>
          <w:spacing w:val="-3"/>
        </w:rPr>
        <w:t xml:space="preserve"> </w:t>
      </w:r>
      <w:r>
        <w:t>que</w:t>
      </w:r>
      <w:r>
        <w:rPr>
          <w:spacing w:val="-3"/>
        </w:rPr>
        <w:t xml:space="preserve"> </w:t>
      </w:r>
      <w:r>
        <w:t>permitan su desarticulación.</w:t>
      </w:r>
    </w:p>
    <w:p w:rsidR="003804AC" w:rsidRDefault="00AF18A5" w:rsidP="00707DD0">
      <w:r>
        <w:t>La jurisdicción penal ordinaria, en medio de muchas dificultades ha esclarecido algunos hechos,</w:t>
      </w:r>
      <w:r>
        <w:rPr>
          <w:spacing w:val="-11"/>
        </w:rPr>
        <w:t xml:space="preserve"> </w:t>
      </w:r>
      <w:r>
        <w:t>como</w:t>
      </w:r>
      <w:r>
        <w:rPr>
          <w:spacing w:val="-11"/>
        </w:rPr>
        <w:t xml:space="preserve"> </w:t>
      </w:r>
      <w:r>
        <w:t>los</w:t>
      </w:r>
      <w:r>
        <w:rPr>
          <w:spacing w:val="-11"/>
        </w:rPr>
        <w:t xml:space="preserve"> </w:t>
      </w:r>
      <w:r>
        <w:t>de</w:t>
      </w:r>
      <w:r>
        <w:rPr>
          <w:spacing w:val="-10"/>
        </w:rPr>
        <w:t xml:space="preserve"> </w:t>
      </w:r>
      <w:r>
        <w:t>la</w:t>
      </w:r>
      <w:r>
        <w:rPr>
          <w:spacing w:val="-10"/>
        </w:rPr>
        <w:t xml:space="preserve"> </w:t>
      </w:r>
      <w:r>
        <w:t>parapolítica</w:t>
      </w:r>
      <w:r>
        <w:rPr>
          <w:spacing w:val="-10"/>
        </w:rPr>
        <w:t xml:space="preserve"> </w:t>
      </w:r>
      <w:r>
        <w:t>y</w:t>
      </w:r>
      <w:r>
        <w:rPr>
          <w:spacing w:val="-12"/>
        </w:rPr>
        <w:t xml:space="preserve"> </w:t>
      </w:r>
      <w:r>
        <w:t>graves</w:t>
      </w:r>
      <w:r>
        <w:rPr>
          <w:spacing w:val="-11"/>
        </w:rPr>
        <w:t xml:space="preserve"> </w:t>
      </w:r>
      <w:r>
        <w:lastRenderedPageBreak/>
        <w:t>violaciones</w:t>
      </w:r>
      <w:r>
        <w:rPr>
          <w:spacing w:val="-10"/>
        </w:rPr>
        <w:t xml:space="preserve"> </w:t>
      </w:r>
      <w:r>
        <w:t>de</w:t>
      </w:r>
      <w:r>
        <w:rPr>
          <w:spacing w:val="-10"/>
        </w:rPr>
        <w:t xml:space="preserve"> </w:t>
      </w:r>
      <w:r>
        <w:t>derechos</w:t>
      </w:r>
      <w:r>
        <w:rPr>
          <w:spacing w:val="-10"/>
        </w:rPr>
        <w:t xml:space="preserve"> </w:t>
      </w:r>
      <w:r>
        <w:t>humanos</w:t>
      </w:r>
      <w:r>
        <w:rPr>
          <w:spacing w:val="-10"/>
        </w:rPr>
        <w:t xml:space="preserve"> </w:t>
      </w:r>
      <w:r>
        <w:t>cometidas</w:t>
      </w:r>
      <w:r>
        <w:rPr>
          <w:spacing w:val="-10"/>
        </w:rPr>
        <w:t xml:space="preserve"> </w:t>
      </w:r>
      <w:r>
        <w:t>por agentes del Estado. La Corte Interamericana de Derechos Humanos y el Consejo de Estado han determinado la responsabilidad del Estado y han ordenado reconocimientos de responsabilidad, tanto por los crímenes atribuibles directamente a agentes estatales, como por los cometidos en colaboración o por apoyo a los paramilitares. La Corte Interamericana ha determinado judicialmente que el Estado facilitó la creación del paramilitarismo a través de las normas de Seguridad Nacional de 1965.</w:t>
      </w:r>
    </w:p>
    <w:p w:rsidR="003804AC" w:rsidRDefault="00AF18A5" w:rsidP="00707DD0">
      <w:r>
        <w:t>Adicionalmente, la actuación de las Fuerzas Armadas se orientó al control militar del territorio</w:t>
      </w:r>
      <w:r>
        <w:rPr>
          <w:spacing w:val="-6"/>
        </w:rPr>
        <w:t xml:space="preserve"> </w:t>
      </w:r>
      <w:r>
        <w:t>mediante</w:t>
      </w:r>
      <w:r>
        <w:rPr>
          <w:spacing w:val="-5"/>
        </w:rPr>
        <w:t xml:space="preserve"> </w:t>
      </w:r>
      <w:r>
        <w:t>el</w:t>
      </w:r>
      <w:r>
        <w:rPr>
          <w:spacing w:val="-5"/>
        </w:rPr>
        <w:t xml:space="preserve"> </w:t>
      </w:r>
      <w:r>
        <w:t>control</w:t>
      </w:r>
      <w:r>
        <w:rPr>
          <w:spacing w:val="-5"/>
        </w:rPr>
        <w:t xml:space="preserve"> </w:t>
      </w:r>
      <w:r>
        <w:t>de</w:t>
      </w:r>
      <w:r>
        <w:rPr>
          <w:spacing w:val="-6"/>
        </w:rPr>
        <w:t xml:space="preserve"> </w:t>
      </w:r>
      <w:r>
        <w:t>la</w:t>
      </w:r>
      <w:r>
        <w:rPr>
          <w:spacing w:val="-5"/>
        </w:rPr>
        <w:t xml:space="preserve"> </w:t>
      </w:r>
      <w:r>
        <w:t>ciudadanía.</w:t>
      </w:r>
      <w:r>
        <w:rPr>
          <w:spacing w:val="-5"/>
        </w:rPr>
        <w:t xml:space="preserve"> </w:t>
      </w:r>
      <w:r>
        <w:t>El</w:t>
      </w:r>
      <w:r>
        <w:rPr>
          <w:spacing w:val="-6"/>
        </w:rPr>
        <w:t xml:space="preserve"> </w:t>
      </w:r>
      <w:r>
        <w:t>Estado</w:t>
      </w:r>
      <w:r>
        <w:rPr>
          <w:spacing w:val="-5"/>
        </w:rPr>
        <w:t xml:space="preserve"> </w:t>
      </w:r>
      <w:r>
        <w:t>no</w:t>
      </w:r>
      <w:r>
        <w:rPr>
          <w:spacing w:val="-6"/>
        </w:rPr>
        <w:t xml:space="preserve"> </w:t>
      </w:r>
      <w:r>
        <w:t>tuvo</w:t>
      </w:r>
      <w:r>
        <w:rPr>
          <w:spacing w:val="-5"/>
        </w:rPr>
        <w:t xml:space="preserve"> </w:t>
      </w:r>
      <w:r>
        <w:t>una</w:t>
      </w:r>
      <w:r>
        <w:rPr>
          <w:spacing w:val="-5"/>
        </w:rPr>
        <w:t xml:space="preserve"> </w:t>
      </w:r>
      <w:r>
        <w:t>estrategia</w:t>
      </w:r>
      <w:r>
        <w:rPr>
          <w:spacing w:val="-5"/>
        </w:rPr>
        <w:t xml:space="preserve"> </w:t>
      </w:r>
      <w:r>
        <w:t>de</w:t>
      </w:r>
      <w:r>
        <w:rPr>
          <w:spacing w:val="-5"/>
        </w:rPr>
        <w:t xml:space="preserve"> </w:t>
      </w:r>
      <w:r>
        <w:rPr>
          <w:spacing w:val="-2"/>
        </w:rPr>
        <w:t>seguridad</w:t>
      </w:r>
      <w:bookmarkStart w:id="1060" w:name="_bookmark935"/>
      <w:bookmarkEnd w:id="1060"/>
      <w:r w:rsidR="00707DD0">
        <w:rPr>
          <w:spacing w:val="-2"/>
        </w:rPr>
        <w:t xml:space="preserve"> </w:t>
      </w:r>
      <w:r>
        <w:t>basada en la presencia soberana de un Estado civil y protector donde las Fuerzas Armadas pudieran cumplir su objetivo constitucional.</w:t>
      </w:r>
    </w:p>
    <w:p w:rsidR="003804AC" w:rsidRDefault="00AF18A5" w:rsidP="00707DD0">
      <w:r>
        <w:t>En muchos lugares del país, las Fuerzas Militares, la Policía y los organismos de inteligencia, militarizados, en la estrecha mirada de seguridad adoptada, se enfocaron exclusivamente en obtener y mantener el control territorial y de la población. Con el fortalecimiento</w:t>
      </w:r>
      <w:r>
        <w:rPr>
          <w:spacing w:val="-1"/>
        </w:rPr>
        <w:t xml:space="preserve"> </w:t>
      </w:r>
      <w:r>
        <w:t>armado</w:t>
      </w:r>
      <w:r>
        <w:rPr>
          <w:spacing w:val="-2"/>
        </w:rPr>
        <w:t xml:space="preserve"> </w:t>
      </w:r>
      <w:r>
        <w:t>de</w:t>
      </w:r>
      <w:r>
        <w:rPr>
          <w:spacing w:val="-1"/>
        </w:rPr>
        <w:t xml:space="preserve"> </w:t>
      </w:r>
      <w:r>
        <w:t>las</w:t>
      </w:r>
      <w:r>
        <w:rPr>
          <w:spacing w:val="-2"/>
        </w:rPr>
        <w:t xml:space="preserve"> </w:t>
      </w:r>
      <w:r>
        <w:t>guerrillas</w:t>
      </w:r>
      <w:r>
        <w:rPr>
          <w:spacing w:val="-2"/>
        </w:rPr>
        <w:t xml:space="preserve"> </w:t>
      </w:r>
      <w:r>
        <w:t>y,</w:t>
      </w:r>
      <w:r>
        <w:rPr>
          <w:spacing w:val="-1"/>
        </w:rPr>
        <w:t xml:space="preserve"> </w:t>
      </w:r>
      <w:r>
        <w:t>con</w:t>
      </w:r>
      <w:r>
        <w:rPr>
          <w:spacing w:val="-2"/>
        </w:rPr>
        <w:t xml:space="preserve"> </w:t>
      </w:r>
      <w:r>
        <w:t>ello,</w:t>
      </w:r>
      <w:r>
        <w:rPr>
          <w:spacing w:val="-1"/>
        </w:rPr>
        <w:t xml:space="preserve"> </w:t>
      </w:r>
      <w:r>
        <w:t>el</w:t>
      </w:r>
      <w:r>
        <w:rPr>
          <w:spacing w:val="-2"/>
        </w:rPr>
        <w:t xml:space="preserve"> </w:t>
      </w:r>
      <w:r>
        <w:t>aumento</w:t>
      </w:r>
      <w:r>
        <w:rPr>
          <w:spacing w:val="-1"/>
        </w:rPr>
        <w:t xml:space="preserve"> </w:t>
      </w:r>
      <w:r>
        <w:t>desmedido</w:t>
      </w:r>
      <w:r>
        <w:rPr>
          <w:spacing w:val="-1"/>
        </w:rPr>
        <w:t xml:space="preserve"> </w:t>
      </w:r>
      <w:r>
        <w:t>de</w:t>
      </w:r>
      <w:r>
        <w:rPr>
          <w:spacing w:val="-1"/>
        </w:rPr>
        <w:t xml:space="preserve"> </w:t>
      </w:r>
      <w:r>
        <w:t>la</w:t>
      </w:r>
      <w:r>
        <w:rPr>
          <w:spacing w:val="-1"/>
        </w:rPr>
        <w:t xml:space="preserve"> </w:t>
      </w:r>
      <w:r>
        <w:t>violencia</w:t>
      </w:r>
      <w:r>
        <w:rPr>
          <w:spacing w:val="-2"/>
        </w:rPr>
        <w:t xml:space="preserve"> </w:t>
      </w:r>
      <w:r>
        <w:t>y el recrudecimiento de la guerra, se profundizó este problema, pues la acción de esos grupos disputaba el control territorial del Estado frente a la población. La población quedó en la mitad de esa disputa, mientras sus propias aspiraciones legítimas y luchas sociales eran frecuentemente criminalizadas o vistas con sospecha.</w:t>
      </w:r>
    </w:p>
    <w:p w:rsidR="003804AC" w:rsidRDefault="00AF18A5" w:rsidP="00707DD0">
      <w:r>
        <w:t>A</w:t>
      </w:r>
      <w:r>
        <w:rPr>
          <w:spacing w:val="-7"/>
        </w:rPr>
        <w:t xml:space="preserve"> </w:t>
      </w:r>
      <w:r>
        <w:t>través</w:t>
      </w:r>
      <w:r>
        <w:rPr>
          <w:spacing w:val="-7"/>
        </w:rPr>
        <w:t xml:space="preserve"> </w:t>
      </w:r>
      <w:r>
        <w:t>de</w:t>
      </w:r>
      <w:r>
        <w:rPr>
          <w:spacing w:val="-6"/>
        </w:rPr>
        <w:t xml:space="preserve"> </w:t>
      </w:r>
      <w:r>
        <w:t>la</w:t>
      </w:r>
      <w:r>
        <w:rPr>
          <w:spacing w:val="-6"/>
        </w:rPr>
        <w:t xml:space="preserve"> </w:t>
      </w:r>
      <w:r>
        <w:t>estrategia</w:t>
      </w:r>
      <w:r>
        <w:rPr>
          <w:spacing w:val="-8"/>
        </w:rPr>
        <w:t xml:space="preserve"> </w:t>
      </w:r>
      <w:r>
        <w:t>de</w:t>
      </w:r>
      <w:r>
        <w:rPr>
          <w:spacing w:val="-6"/>
        </w:rPr>
        <w:t xml:space="preserve"> </w:t>
      </w:r>
      <w:r>
        <w:t>militarización</w:t>
      </w:r>
      <w:r>
        <w:rPr>
          <w:spacing w:val="-6"/>
        </w:rPr>
        <w:t xml:space="preserve"> </w:t>
      </w:r>
      <w:r>
        <w:t>de</w:t>
      </w:r>
      <w:r>
        <w:rPr>
          <w:spacing w:val="-7"/>
        </w:rPr>
        <w:t xml:space="preserve"> </w:t>
      </w:r>
      <w:r>
        <w:t>territorios</w:t>
      </w:r>
      <w:r>
        <w:rPr>
          <w:spacing w:val="-6"/>
        </w:rPr>
        <w:t xml:space="preserve"> </w:t>
      </w:r>
      <w:r>
        <w:t>y</w:t>
      </w:r>
      <w:r>
        <w:rPr>
          <w:spacing w:val="-7"/>
        </w:rPr>
        <w:t xml:space="preserve"> </w:t>
      </w:r>
      <w:r>
        <w:t>el</w:t>
      </w:r>
      <w:r>
        <w:rPr>
          <w:spacing w:val="-6"/>
        </w:rPr>
        <w:t xml:space="preserve"> </w:t>
      </w:r>
      <w:r>
        <w:t>desarrollo</w:t>
      </w:r>
      <w:r>
        <w:rPr>
          <w:spacing w:val="-6"/>
        </w:rPr>
        <w:t xml:space="preserve"> </w:t>
      </w:r>
      <w:r>
        <w:t>de</w:t>
      </w:r>
      <w:r>
        <w:rPr>
          <w:spacing w:val="-6"/>
        </w:rPr>
        <w:t xml:space="preserve"> </w:t>
      </w:r>
      <w:r>
        <w:t>acciones</w:t>
      </w:r>
      <w:r>
        <w:rPr>
          <w:spacing w:val="-7"/>
        </w:rPr>
        <w:t xml:space="preserve"> </w:t>
      </w:r>
      <w:r>
        <w:t xml:space="preserve">cívico- militares, se subordinó el objetivo de garantizar desarrollo y derechos a las comunidades, especialmente las campesinas y étnicas, a los objetivos del control territorial. Este enfoque militarizó la </w:t>
      </w:r>
      <w:r>
        <w:lastRenderedPageBreak/>
        <w:t>relación de la ciudadanía con el Estado, pues transformó la precariedad del despliegue civil del Estado en presencia militar y para la guerra. Las Fuerzas Armadas se involucraron en la ejecución de obras y actividades sociales y de desarrollo, las cuales han usado como medio para ganar la simpatía de la población, desarrollar actividades de inteligencia</w:t>
      </w:r>
      <w:r>
        <w:rPr>
          <w:spacing w:val="-6"/>
        </w:rPr>
        <w:t xml:space="preserve"> </w:t>
      </w:r>
      <w:r>
        <w:t>y</w:t>
      </w:r>
      <w:r>
        <w:rPr>
          <w:spacing w:val="-5"/>
        </w:rPr>
        <w:t xml:space="preserve"> </w:t>
      </w:r>
      <w:r>
        <w:t>perseguir</w:t>
      </w:r>
      <w:r>
        <w:rPr>
          <w:spacing w:val="-6"/>
        </w:rPr>
        <w:t xml:space="preserve"> </w:t>
      </w:r>
      <w:r>
        <w:t>y</w:t>
      </w:r>
      <w:r>
        <w:rPr>
          <w:spacing w:val="-5"/>
        </w:rPr>
        <w:t xml:space="preserve"> </w:t>
      </w:r>
      <w:r>
        <w:t>expulsar</w:t>
      </w:r>
      <w:r>
        <w:rPr>
          <w:spacing w:val="-4"/>
        </w:rPr>
        <w:t xml:space="preserve"> </w:t>
      </w:r>
      <w:r>
        <w:t>a</w:t>
      </w:r>
      <w:r>
        <w:rPr>
          <w:spacing w:val="-6"/>
        </w:rPr>
        <w:t xml:space="preserve"> </w:t>
      </w:r>
      <w:r>
        <w:t>la</w:t>
      </w:r>
      <w:r>
        <w:rPr>
          <w:spacing w:val="-5"/>
        </w:rPr>
        <w:t xml:space="preserve"> </w:t>
      </w:r>
      <w:r>
        <w:t>guerrilla,</w:t>
      </w:r>
      <w:r>
        <w:rPr>
          <w:spacing w:val="-7"/>
        </w:rPr>
        <w:t xml:space="preserve"> </w:t>
      </w:r>
      <w:r>
        <w:t>y</w:t>
      </w:r>
      <w:r>
        <w:rPr>
          <w:spacing w:val="-5"/>
        </w:rPr>
        <w:t xml:space="preserve"> </w:t>
      </w:r>
      <w:r>
        <w:t>no</w:t>
      </w:r>
      <w:r>
        <w:rPr>
          <w:spacing w:val="-5"/>
        </w:rPr>
        <w:t xml:space="preserve"> </w:t>
      </w:r>
      <w:r>
        <w:t>con</w:t>
      </w:r>
      <w:r>
        <w:rPr>
          <w:spacing w:val="-5"/>
        </w:rPr>
        <w:t xml:space="preserve"> </w:t>
      </w:r>
      <w:r>
        <w:t>la</w:t>
      </w:r>
      <w:r>
        <w:rPr>
          <w:spacing w:val="-7"/>
        </w:rPr>
        <w:t xml:space="preserve"> </w:t>
      </w:r>
      <w:r>
        <w:t>perspectiva</w:t>
      </w:r>
      <w:r>
        <w:rPr>
          <w:spacing w:val="-7"/>
        </w:rPr>
        <w:t xml:space="preserve"> </w:t>
      </w:r>
      <w:r>
        <w:t>de</w:t>
      </w:r>
      <w:r>
        <w:rPr>
          <w:spacing w:val="-5"/>
        </w:rPr>
        <w:t xml:space="preserve"> </w:t>
      </w:r>
      <w:r>
        <w:t>desarrollo</w:t>
      </w:r>
      <w:r>
        <w:rPr>
          <w:spacing w:val="-5"/>
        </w:rPr>
        <w:t xml:space="preserve"> </w:t>
      </w:r>
      <w:r>
        <w:t xml:space="preserve">inicial de los años sesenta, cuando una corriente militar «desarrollista» tenía claridad de que había que promover el desarrollo de las comunidades y territorios para evitar la influencia de la </w:t>
      </w:r>
      <w:r>
        <w:rPr>
          <w:spacing w:val="-2"/>
        </w:rPr>
        <w:t>guerrilla.</w:t>
      </w:r>
    </w:p>
    <w:p w:rsidR="003804AC" w:rsidRDefault="00AF18A5" w:rsidP="00916C90">
      <w:r>
        <w:t>Eso</w:t>
      </w:r>
      <w:r>
        <w:rPr>
          <w:spacing w:val="-4"/>
        </w:rPr>
        <w:t xml:space="preserve"> </w:t>
      </w:r>
      <w:r>
        <w:t>llevó,</w:t>
      </w:r>
      <w:r>
        <w:rPr>
          <w:spacing w:val="-4"/>
        </w:rPr>
        <w:t xml:space="preserve"> </w:t>
      </w:r>
      <w:r>
        <w:t>aún</w:t>
      </w:r>
      <w:r>
        <w:rPr>
          <w:spacing w:val="-4"/>
        </w:rPr>
        <w:t xml:space="preserve"> </w:t>
      </w:r>
      <w:r>
        <w:t>más</w:t>
      </w:r>
      <w:r>
        <w:rPr>
          <w:spacing w:val="-3"/>
        </w:rPr>
        <w:t xml:space="preserve"> </w:t>
      </w:r>
      <w:r>
        <w:t>con</w:t>
      </w:r>
      <w:r>
        <w:rPr>
          <w:spacing w:val="-4"/>
        </w:rPr>
        <w:t xml:space="preserve"> </w:t>
      </w:r>
      <w:r>
        <w:t>la</w:t>
      </w:r>
      <w:r>
        <w:rPr>
          <w:spacing w:val="-3"/>
        </w:rPr>
        <w:t xml:space="preserve"> </w:t>
      </w:r>
      <w:r>
        <w:t>declaración</w:t>
      </w:r>
      <w:r>
        <w:rPr>
          <w:spacing w:val="-4"/>
        </w:rPr>
        <w:t xml:space="preserve"> </w:t>
      </w:r>
      <w:r>
        <w:t>de</w:t>
      </w:r>
      <w:r>
        <w:rPr>
          <w:spacing w:val="-3"/>
        </w:rPr>
        <w:t xml:space="preserve"> </w:t>
      </w:r>
      <w:r>
        <w:t>la</w:t>
      </w:r>
      <w:r>
        <w:rPr>
          <w:spacing w:val="-3"/>
        </w:rPr>
        <w:t xml:space="preserve"> </w:t>
      </w:r>
      <w:r>
        <w:t>guerra</w:t>
      </w:r>
      <w:r>
        <w:rPr>
          <w:spacing w:val="-3"/>
        </w:rPr>
        <w:t xml:space="preserve"> </w:t>
      </w:r>
      <w:r>
        <w:t>contra</w:t>
      </w:r>
      <w:r>
        <w:rPr>
          <w:spacing w:val="-5"/>
        </w:rPr>
        <w:t xml:space="preserve"> </w:t>
      </w:r>
      <w:r>
        <w:t>las</w:t>
      </w:r>
      <w:r>
        <w:rPr>
          <w:spacing w:val="-5"/>
        </w:rPr>
        <w:t xml:space="preserve"> </w:t>
      </w:r>
      <w:r>
        <w:t>drogas,</w:t>
      </w:r>
      <w:r>
        <w:rPr>
          <w:spacing w:val="-4"/>
        </w:rPr>
        <w:t xml:space="preserve"> </w:t>
      </w:r>
      <w:r>
        <w:t>a</w:t>
      </w:r>
      <w:r>
        <w:rPr>
          <w:spacing w:val="-3"/>
        </w:rPr>
        <w:t xml:space="preserve"> </w:t>
      </w:r>
      <w:r>
        <w:t>una</w:t>
      </w:r>
      <w:r>
        <w:rPr>
          <w:spacing w:val="-3"/>
        </w:rPr>
        <w:t xml:space="preserve"> </w:t>
      </w:r>
      <w:r>
        <w:t>perspectiva</w:t>
      </w:r>
      <w:r>
        <w:rPr>
          <w:spacing w:val="-3"/>
        </w:rPr>
        <w:t xml:space="preserve"> </w:t>
      </w:r>
      <w:r>
        <w:t>de control</w:t>
      </w:r>
      <w:r>
        <w:rPr>
          <w:spacing w:val="-3"/>
        </w:rPr>
        <w:t xml:space="preserve"> </w:t>
      </w:r>
      <w:r>
        <w:t>de</w:t>
      </w:r>
      <w:r>
        <w:rPr>
          <w:spacing w:val="-3"/>
        </w:rPr>
        <w:t xml:space="preserve"> </w:t>
      </w:r>
      <w:r>
        <w:t>la</w:t>
      </w:r>
      <w:r>
        <w:rPr>
          <w:spacing w:val="-4"/>
        </w:rPr>
        <w:t xml:space="preserve"> </w:t>
      </w:r>
      <w:r>
        <w:t>población</w:t>
      </w:r>
      <w:r>
        <w:rPr>
          <w:spacing w:val="-3"/>
        </w:rPr>
        <w:t xml:space="preserve"> </w:t>
      </w:r>
      <w:r>
        <w:t>campesina</w:t>
      </w:r>
      <w:r>
        <w:rPr>
          <w:spacing w:val="-3"/>
        </w:rPr>
        <w:t xml:space="preserve"> </w:t>
      </w:r>
      <w:r>
        <w:t>cocalera.</w:t>
      </w:r>
      <w:r>
        <w:rPr>
          <w:spacing w:val="-3"/>
        </w:rPr>
        <w:t xml:space="preserve"> </w:t>
      </w:r>
      <w:r>
        <w:t>En</w:t>
      </w:r>
      <w:r>
        <w:rPr>
          <w:spacing w:val="-3"/>
        </w:rPr>
        <w:t xml:space="preserve"> </w:t>
      </w:r>
      <w:r>
        <w:t>las</w:t>
      </w:r>
      <w:r>
        <w:rPr>
          <w:spacing w:val="-3"/>
        </w:rPr>
        <w:t xml:space="preserve"> </w:t>
      </w:r>
      <w:r>
        <w:t>zonas</w:t>
      </w:r>
      <w:r>
        <w:rPr>
          <w:spacing w:val="-3"/>
        </w:rPr>
        <w:t xml:space="preserve"> </w:t>
      </w:r>
      <w:r>
        <w:t>más</w:t>
      </w:r>
      <w:r>
        <w:rPr>
          <w:spacing w:val="-4"/>
        </w:rPr>
        <w:t xml:space="preserve"> </w:t>
      </w:r>
      <w:r>
        <w:t>militarizadas</w:t>
      </w:r>
      <w:r>
        <w:rPr>
          <w:spacing w:val="-3"/>
        </w:rPr>
        <w:t xml:space="preserve"> </w:t>
      </w:r>
      <w:r>
        <w:t>por</w:t>
      </w:r>
      <w:r>
        <w:rPr>
          <w:spacing w:val="-3"/>
        </w:rPr>
        <w:t xml:space="preserve"> </w:t>
      </w:r>
      <w:r>
        <w:t>presencia</w:t>
      </w:r>
      <w:r>
        <w:rPr>
          <w:spacing w:val="-3"/>
        </w:rPr>
        <w:t xml:space="preserve"> </w:t>
      </w:r>
      <w:r>
        <w:t>de los</w:t>
      </w:r>
      <w:r>
        <w:rPr>
          <w:spacing w:val="-9"/>
        </w:rPr>
        <w:t xml:space="preserve"> </w:t>
      </w:r>
      <w:r>
        <w:t>grupos</w:t>
      </w:r>
      <w:r>
        <w:rPr>
          <w:spacing w:val="-9"/>
        </w:rPr>
        <w:t xml:space="preserve"> </w:t>
      </w:r>
      <w:r>
        <w:t>y</w:t>
      </w:r>
      <w:r>
        <w:rPr>
          <w:spacing w:val="-11"/>
        </w:rPr>
        <w:t xml:space="preserve"> </w:t>
      </w:r>
      <w:r>
        <w:t>de</w:t>
      </w:r>
      <w:r>
        <w:rPr>
          <w:spacing w:val="-9"/>
        </w:rPr>
        <w:t xml:space="preserve"> </w:t>
      </w:r>
      <w:r>
        <w:t>cultivos</w:t>
      </w:r>
      <w:r>
        <w:rPr>
          <w:spacing w:val="-10"/>
        </w:rPr>
        <w:t xml:space="preserve"> </w:t>
      </w:r>
      <w:r>
        <w:t>declarados</w:t>
      </w:r>
      <w:r>
        <w:rPr>
          <w:spacing w:val="-10"/>
        </w:rPr>
        <w:t xml:space="preserve"> </w:t>
      </w:r>
      <w:r>
        <w:t>ilícitos,</w:t>
      </w:r>
      <w:r>
        <w:rPr>
          <w:spacing w:val="-11"/>
        </w:rPr>
        <w:t xml:space="preserve"> </w:t>
      </w:r>
      <w:r>
        <w:t>la</w:t>
      </w:r>
      <w:r>
        <w:rPr>
          <w:spacing w:val="-9"/>
        </w:rPr>
        <w:t xml:space="preserve"> </w:t>
      </w:r>
      <w:r>
        <w:t>presencia</w:t>
      </w:r>
      <w:r>
        <w:rPr>
          <w:spacing w:val="-9"/>
        </w:rPr>
        <w:t xml:space="preserve"> </w:t>
      </w:r>
      <w:r>
        <w:t>y</w:t>
      </w:r>
      <w:r>
        <w:rPr>
          <w:spacing w:val="-10"/>
        </w:rPr>
        <w:t xml:space="preserve"> </w:t>
      </w:r>
      <w:r>
        <w:t>liderazgo</w:t>
      </w:r>
      <w:r>
        <w:rPr>
          <w:spacing w:val="-10"/>
        </w:rPr>
        <w:t xml:space="preserve"> </w:t>
      </w:r>
      <w:r>
        <w:t>de</w:t>
      </w:r>
      <w:r>
        <w:rPr>
          <w:spacing w:val="-9"/>
        </w:rPr>
        <w:t xml:space="preserve"> </w:t>
      </w:r>
      <w:r>
        <w:t>las</w:t>
      </w:r>
      <w:r>
        <w:rPr>
          <w:spacing w:val="-11"/>
        </w:rPr>
        <w:t xml:space="preserve"> </w:t>
      </w:r>
      <w:r>
        <w:t>autoridades</w:t>
      </w:r>
      <w:r>
        <w:rPr>
          <w:spacing w:val="-9"/>
        </w:rPr>
        <w:t xml:space="preserve"> </w:t>
      </w:r>
      <w:r>
        <w:t>civiles ha sido mínima y de bajo perfil; el rol preponderante de las Fuerzas Armadas en el manejo del</w:t>
      </w:r>
      <w:r>
        <w:rPr>
          <w:spacing w:val="-4"/>
        </w:rPr>
        <w:t xml:space="preserve"> </w:t>
      </w:r>
      <w:r>
        <w:t>orden</w:t>
      </w:r>
      <w:r>
        <w:rPr>
          <w:spacing w:val="-4"/>
        </w:rPr>
        <w:t xml:space="preserve"> </w:t>
      </w:r>
      <w:r>
        <w:t>público</w:t>
      </w:r>
      <w:r>
        <w:rPr>
          <w:spacing w:val="-4"/>
        </w:rPr>
        <w:t xml:space="preserve"> </w:t>
      </w:r>
      <w:r>
        <w:t>terminó</w:t>
      </w:r>
      <w:r>
        <w:rPr>
          <w:spacing w:val="-4"/>
        </w:rPr>
        <w:t xml:space="preserve"> </w:t>
      </w:r>
      <w:r>
        <w:t>siendo</w:t>
      </w:r>
      <w:r>
        <w:rPr>
          <w:spacing w:val="-4"/>
        </w:rPr>
        <w:t xml:space="preserve"> </w:t>
      </w:r>
      <w:r>
        <w:t>la</w:t>
      </w:r>
      <w:r>
        <w:rPr>
          <w:spacing w:val="-4"/>
        </w:rPr>
        <w:t xml:space="preserve"> </w:t>
      </w:r>
      <w:r>
        <w:t>principal</w:t>
      </w:r>
      <w:r>
        <w:rPr>
          <w:spacing w:val="-4"/>
        </w:rPr>
        <w:t xml:space="preserve"> </w:t>
      </w:r>
      <w:r>
        <w:t>presencia</w:t>
      </w:r>
      <w:r>
        <w:rPr>
          <w:spacing w:val="-4"/>
        </w:rPr>
        <w:t xml:space="preserve"> </w:t>
      </w:r>
      <w:r>
        <w:t>del</w:t>
      </w:r>
      <w:r>
        <w:rPr>
          <w:spacing w:val="-4"/>
        </w:rPr>
        <w:t xml:space="preserve"> </w:t>
      </w:r>
      <w:r>
        <w:t>Estado</w:t>
      </w:r>
      <w:r>
        <w:rPr>
          <w:spacing w:val="-4"/>
        </w:rPr>
        <w:t xml:space="preserve"> </w:t>
      </w:r>
      <w:r>
        <w:t>en</w:t>
      </w:r>
      <w:r>
        <w:rPr>
          <w:spacing w:val="-4"/>
        </w:rPr>
        <w:t xml:space="preserve"> </w:t>
      </w:r>
      <w:r>
        <w:t>varias</w:t>
      </w:r>
      <w:r>
        <w:rPr>
          <w:spacing w:val="-4"/>
        </w:rPr>
        <w:t xml:space="preserve"> </w:t>
      </w:r>
      <w:r>
        <w:t>regiones.</w:t>
      </w:r>
      <w:r>
        <w:rPr>
          <w:spacing w:val="-5"/>
        </w:rPr>
        <w:t xml:space="preserve"> </w:t>
      </w:r>
      <w:r>
        <w:t>Como se</w:t>
      </w:r>
      <w:r>
        <w:rPr>
          <w:spacing w:val="-6"/>
        </w:rPr>
        <w:t xml:space="preserve"> </w:t>
      </w:r>
      <w:r>
        <w:t>expuso,</w:t>
      </w:r>
      <w:r>
        <w:rPr>
          <w:spacing w:val="-6"/>
        </w:rPr>
        <w:t xml:space="preserve"> </w:t>
      </w:r>
      <w:r>
        <w:t>en</w:t>
      </w:r>
      <w:r>
        <w:rPr>
          <w:spacing w:val="-6"/>
        </w:rPr>
        <w:t xml:space="preserve"> </w:t>
      </w:r>
      <w:r>
        <w:t>las</w:t>
      </w:r>
      <w:r>
        <w:rPr>
          <w:spacing w:val="-6"/>
        </w:rPr>
        <w:t xml:space="preserve"> </w:t>
      </w:r>
      <w:r>
        <w:t>zonas</w:t>
      </w:r>
      <w:r>
        <w:rPr>
          <w:spacing w:val="-6"/>
        </w:rPr>
        <w:t xml:space="preserve"> </w:t>
      </w:r>
      <w:r>
        <w:t>de</w:t>
      </w:r>
      <w:r>
        <w:rPr>
          <w:spacing w:val="-6"/>
        </w:rPr>
        <w:t xml:space="preserve"> </w:t>
      </w:r>
      <w:r>
        <w:t>orden</w:t>
      </w:r>
      <w:r>
        <w:rPr>
          <w:spacing w:val="-6"/>
        </w:rPr>
        <w:t xml:space="preserve"> </w:t>
      </w:r>
      <w:r>
        <w:t>público</w:t>
      </w:r>
      <w:r>
        <w:rPr>
          <w:spacing w:val="-6"/>
        </w:rPr>
        <w:t xml:space="preserve"> </w:t>
      </w:r>
      <w:r>
        <w:t>o</w:t>
      </w:r>
      <w:r>
        <w:rPr>
          <w:spacing w:val="-6"/>
        </w:rPr>
        <w:t xml:space="preserve"> </w:t>
      </w:r>
      <w:r>
        <w:t>de</w:t>
      </w:r>
      <w:r>
        <w:rPr>
          <w:spacing w:val="-6"/>
        </w:rPr>
        <w:t xml:space="preserve"> </w:t>
      </w:r>
      <w:r>
        <w:t>guerra</w:t>
      </w:r>
      <w:r>
        <w:rPr>
          <w:spacing w:val="-6"/>
        </w:rPr>
        <w:t xml:space="preserve"> </w:t>
      </w:r>
      <w:r>
        <w:t>se</w:t>
      </w:r>
      <w:r>
        <w:rPr>
          <w:spacing w:val="-6"/>
        </w:rPr>
        <w:t xml:space="preserve"> </w:t>
      </w:r>
      <w:r>
        <w:t>ha</w:t>
      </w:r>
      <w:r>
        <w:rPr>
          <w:spacing w:val="-6"/>
        </w:rPr>
        <w:t xml:space="preserve"> </w:t>
      </w:r>
      <w:r>
        <w:t>tratado</w:t>
      </w:r>
      <w:r>
        <w:rPr>
          <w:spacing w:val="-6"/>
        </w:rPr>
        <w:t xml:space="preserve"> </w:t>
      </w:r>
      <w:r>
        <w:t>de</w:t>
      </w:r>
      <w:r>
        <w:rPr>
          <w:spacing w:val="-6"/>
        </w:rPr>
        <w:t xml:space="preserve"> </w:t>
      </w:r>
      <w:r>
        <w:t>instaurar</w:t>
      </w:r>
      <w:r>
        <w:rPr>
          <w:spacing w:val="-6"/>
        </w:rPr>
        <w:t xml:space="preserve"> </w:t>
      </w:r>
      <w:r>
        <w:t>la</w:t>
      </w:r>
      <w:r>
        <w:rPr>
          <w:spacing w:val="-6"/>
        </w:rPr>
        <w:t xml:space="preserve"> </w:t>
      </w:r>
      <w:r>
        <w:t>prevalencia de la autoridad militar sobre la civil y, a través de las acciones cívico-militares, se ha encomendado</w:t>
      </w:r>
      <w:r>
        <w:rPr>
          <w:spacing w:val="-6"/>
        </w:rPr>
        <w:t xml:space="preserve"> </w:t>
      </w:r>
      <w:r>
        <w:t>el</w:t>
      </w:r>
      <w:r>
        <w:rPr>
          <w:spacing w:val="-5"/>
        </w:rPr>
        <w:t xml:space="preserve"> </w:t>
      </w:r>
      <w:r>
        <w:t>desarrollo</w:t>
      </w:r>
      <w:r>
        <w:rPr>
          <w:spacing w:val="-6"/>
        </w:rPr>
        <w:t xml:space="preserve"> </w:t>
      </w:r>
      <w:r>
        <w:t>a</w:t>
      </w:r>
      <w:r>
        <w:rPr>
          <w:spacing w:val="-7"/>
        </w:rPr>
        <w:t xml:space="preserve"> </w:t>
      </w:r>
      <w:r>
        <w:t>las</w:t>
      </w:r>
      <w:r>
        <w:rPr>
          <w:spacing w:val="-6"/>
        </w:rPr>
        <w:t xml:space="preserve"> </w:t>
      </w:r>
      <w:r>
        <w:t>Fuerzas</w:t>
      </w:r>
      <w:r>
        <w:rPr>
          <w:spacing w:val="-6"/>
        </w:rPr>
        <w:t xml:space="preserve"> </w:t>
      </w:r>
      <w:r>
        <w:t>Militares,</w:t>
      </w:r>
      <w:r>
        <w:rPr>
          <w:spacing w:val="-6"/>
        </w:rPr>
        <w:t xml:space="preserve"> </w:t>
      </w:r>
      <w:r>
        <w:t>que</w:t>
      </w:r>
      <w:r>
        <w:rPr>
          <w:spacing w:val="-6"/>
        </w:rPr>
        <w:t xml:space="preserve"> </w:t>
      </w:r>
      <w:r>
        <w:t>quedó</w:t>
      </w:r>
      <w:r>
        <w:rPr>
          <w:spacing w:val="-7"/>
        </w:rPr>
        <w:t xml:space="preserve"> </w:t>
      </w:r>
      <w:r>
        <w:t>subordinado</w:t>
      </w:r>
      <w:r>
        <w:rPr>
          <w:spacing w:val="-6"/>
        </w:rPr>
        <w:t xml:space="preserve"> </w:t>
      </w:r>
      <w:r>
        <w:t>a</w:t>
      </w:r>
      <w:r>
        <w:rPr>
          <w:spacing w:val="-6"/>
        </w:rPr>
        <w:t xml:space="preserve"> </w:t>
      </w:r>
      <w:r>
        <w:t>las</w:t>
      </w:r>
      <w:r>
        <w:rPr>
          <w:spacing w:val="-6"/>
        </w:rPr>
        <w:t xml:space="preserve"> </w:t>
      </w:r>
      <w:r>
        <w:t>necesidades de control territorial y no a las de la garantía de derechos de la población.</w:t>
      </w:r>
    </w:p>
    <w:p w:rsidR="003804AC" w:rsidRDefault="00AF18A5" w:rsidP="00916C90">
      <w:r>
        <w:t>La excesiva preponderancia de la visión militar y guerrerista debilitó a las autoridades civiles, que</w:t>
      </w:r>
      <w:r>
        <w:rPr>
          <w:spacing w:val="-1"/>
        </w:rPr>
        <w:t xml:space="preserve"> </w:t>
      </w:r>
      <w:r>
        <w:t>aceptaron que los militares tuvieran preponderancia en el control territorial, por encima</w:t>
      </w:r>
      <w:r>
        <w:rPr>
          <w:spacing w:val="-9"/>
        </w:rPr>
        <w:t xml:space="preserve"> </w:t>
      </w:r>
      <w:r>
        <w:t>de</w:t>
      </w:r>
      <w:r>
        <w:rPr>
          <w:spacing w:val="-11"/>
        </w:rPr>
        <w:t xml:space="preserve"> </w:t>
      </w:r>
      <w:r>
        <w:t>la</w:t>
      </w:r>
      <w:r>
        <w:rPr>
          <w:spacing w:val="-11"/>
        </w:rPr>
        <w:t xml:space="preserve"> </w:t>
      </w:r>
      <w:r>
        <w:t>presencia</w:t>
      </w:r>
      <w:r>
        <w:rPr>
          <w:spacing w:val="-11"/>
        </w:rPr>
        <w:t xml:space="preserve"> </w:t>
      </w:r>
      <w:r>
        <w:t>civil</w:t>
      </w:r>
      <w:r>
        <w:rPr>
          <w:spacing w:val="-9"/>
        </w:rPr>
        <w:t xml:space="preserve"> </w:t>
      </w:r>
      <w:r>
        <w:t>y</w:t>
      </w:r>
      <w:r>
        <w:rPr>
          <w:spacing w:val="-10"/>
        </w:rPr>
        <w:t xml:space="preserve"> </w:t>
      </w:r>
      <w:r>
        <w:t>social</w:t>
      </w:r>
      <w:r>
        <w:rPr>
          <w:spacing w:val="-9"/>
        </w:rPr>
        <w:t xml:space="preserve"> </w:t>
      </w:r>
      <w:r>
        <w:t>del</w:t>
      </w:r>
      <w:r>
        <w:rPr>
          <w:spacing w:val="-9"/>
        </w:rPr>
        <w:t xml:space="preserve"> </w:t>
      </w:r>
      <w:r>
        <w:t>Estado</w:t>
      </w:r>
      <w:r>
        <w:rPr>
          <w:spacing w:val="-10"/>
        </w:rPr>
        <w:t xml:space="preserve"> </w:t>
      </w:r>
      <w:r>
        <w:t>y</w:t>
      </w:r>
      <w:r>
        <w:rPr>
          <w:spacing w:val="-10"/>
        </w:rPr>
        <w:t xml:space="preserve"> </w:t>
      </w:r>
      <w:r>
        <w:t>sus</w:t>
      </w:r>
      <w:r>
        <w:rPr>
          <w:spacing w:val="-10"/>
        </w:rPr>
        <w:t xml:space="preserve"> </w:t>
      </w:r>
      <w:r>
        <w:t>autoridades.</w:t>
      </w:r>
      <w:r>
        <w:rPr>
          <w:spacing w:val="-10"/>
        </w:rPr>
        <w:t xml:space="preserve"> </w:t>
      </w:r>
      <w:r>
        <w:t>Por</w:t>
      </w:r>
      <w:r>
        <w:rPr>
          <w:spacing w:val="-9"/>
        </w:rPr>
        <w:t xml:space="preserve"> </w:t>
      </w:r>
      <w:r>
        <w:t>otra</w:t>
      </w:r>
      <w:r>
        <w:rPr>
          <w:spacing w:val="-11"/>
        </w:rPr>
        <w:t xml:space="preserve"> </w:t>
      </w:r>
      <w:r>
        <w:t>parte,</w:t>
      </w:r>
      <w:r>
        <w:rPr>
          <w:spacing w:val="-11"/>
        </w:rPr>
        <w:t xml:space="preserve"> </w:t>
      </w:r>
      <w:r>
        <w:t>los</w:t>
      </w:r>
      <w:r>
        <w:rPr>
          <w:spacing w:val="-10"/>
        </w:rPr>
        <w:t xml:space="preserve"> </w:t>
      </w:r>
      <w:r>
        <w:t>políticos y el propio Congreso han tenido una responsabilidad en la ausencia de control y la relación con el paramilitarismo.</w:t>
      </w:r>
    </w:p>
    <w:p w:rsidR="003804AC" w:rsidRDefault="00AF18A5" w:rsidP="00916C90">
      <w:r>
        <w:lastRenderedPageBreak/>
        <w:t>Por</w:t>
      </w:r>
      <w:r>
        <w:rPr>
          <w:spacing w:val="-7"/>
        </w:rPr>
        <w:t xml:space="preserve"> </w:t>
      </w:r>
      <w:r>
        <w:t>otra</w:t>
      </w:r>
      <w:r>
        <w:rPr>
          <w:spacing w:val="-7"/>
        </w:rPr>
        <w:t xml:space="preserve"> </w:t>
      </w:r>
      <w:r>
        <w:t>parte,</w:t>
      </w:r>
      <w:r>
        <w:rPr>
          <w:spacing w:val="-7"/>
        </w:rPr>
        <w:t xml:space="preserve"> </w:t>
      </w:r>
      <w:r>
        <w:t>los</w:t>
      </w:r>
      <w:r>
        <w:rPr>
          <w:spacing w:val="-7"/>
        </w:rPr>
        <w:t xml:space="preserve"> </w:t>
      </w:r>
      <w:r>
        <w:t>modelos</w:t>
      </w:r>
      <w:r>
        <w:rPr>
          <w:spacing w:val="-7"/>
        </w:rPr>
        <w:t xml:space="preserve"> </w:t>
      </w:r>
      <w:r>
        <w:t>de</w:t>
      </w:r>
      <w:r>
        <w:rPr>
          <w:spacing w:val="-7"/>
        </w:rPr>
        <w:t xml:space="preserve"> </w:t>
      </w:r>
      <w:r>
        <w:t>seguridad</w:t>
      </w:r>
      <w:r>
        <w:rPr>
          <w:spacing w:val="-7"/>
        </w:rPr>
        <w:t xml:space="preserve"> </w:t>
      </w:r>
      <w:r>
        <w:t>adoptados</w:t>
      </w:r>
      <w:r>
        <w:rPr>
          <w:spacing w:val="-7"/>
        </w:rPr>
        <w:t xml:space="preserve"> </w:t>
      </w:r>
      <w:r>
        <w:t>no</w:t>
      </w:r>
      <w:r>
        <w:rPr>
          <w:spacing w:val="-7"/>
        </w:rPr>
        <w:t xml:space="preserve"> </w:t>
      </w:r>
      <w:r>
        <w:t>han</w:t>
      </w:r>
      <w:r>
        <w:rPr>
          <w:spacing w:val="-7"/>
        </w:rPr>
        <w:t xml:space="preserve"> </w:t>
      </w:r>
      <w:r>
        <w:t>permitido</w:t>
      </w:r>
      <w:r>
        <w:rPr>
          <w:spacing w:val="-7"/>
        </w:rPr>
        <w:t xml:space="preserve"> </w:t>
      </w:r>
      <w:r>
        <w:t>el</w:t>
      </w:r>
      <w:r>
        <w:rPr>
          <w:spacing w:val="-7"/>
        </w:rPr>
        <w:t xml:space="preserve"> </w:t>
      </w:r>
      <w:r>
        <w:t>pluralismo</w:t>
      </w:r>
      <w:r>
        <w:rPr>
          <w:spacing w:val="-7"/>
        </w:rPr>
        <w:t xml:space="preserve"> </w:t>
      </w:r>
      <w:r>
        <w:t>propio de</w:t>
      </w:r>
      <w:r>
        <w:rPr>
          <w:spacing w:val="-12"/>
        </w:rPr>
        <w:t xml:space="preserve"> </w:t>
      </w:r>
      <w:r>
        <w:t>una</w:t>
      </w:r>
      <w:r>
        <w:rPr>
          <w:spacing w:val="-13"/>
        </w:rPr>
        <w:t xml:space="preserve"> </w:t>
      </w:r>
      <w:r>
        <w:t>sociedad</w:t>
      </w:r>
      <w:r>
        <w:rPr>
          <w:spacing w:val="-12"/>
        </w:rPr>
        <w:t xml:space="preserve"> </w:t>
      </w:r>
      <w:r>
        <w:t>diversa</w:t>
      </w:r>
      <w:r>
        <w:rPr>
          <w:spacing w:val="-14"/>
        </w:rPr>
        <w:t xml:space="preserve"> </w:t>
      </w:r>
      <w:r>
        <w:t>políticamente,</w:t>
      </w:r>
      <w:r>
        <w:rPr>
          <w:spacing w:val="-12"/>
        </w:rPr>
        <w:t xml:space="preserve"> </w:t>
      </w:r>
      <w:r>
        <w:t>multiétnica</w:t>
      </w:r>
      <w:r>
        <w:rPr>
          <w:spacing w:val="-12"/>
        </w:rPr>
        <w:t xml:space="preserve"> </w:t>
      </w:r>
      <w:r>
        <w:t>y</w:t>
      </w:r>
      <w:r>
        <w:rPr>
          <w:spacing w:val="-12"/>
        </w:rPr>
        <w:t xml:space="preserve"> </w:t>
      </w:r>
      <w:r>
        <w:t>pluricultural.</w:t>
      </w:r>
      <w:r>
        <w:rPr>
          <w:spacing w:val="-13"/>
        </w:rPr>
        <w:t xml:space="preserve"> </w:t>
      </w:r>
      <w:r>
        <w:t>Se</w:t>
      </w:r>
      <w:r>
        <w:rPr>
          <w:spacing w:val="-12"/>
        </w:rPr>
        <w:t xml:space="preserve"> </w:t>
      </w:r>
      <w:r>
        <w:t>clasificó</w:t>
      </w:r>
      <w:r>
        <w:rPr>
          <w:spacing w:val="-13"/>
        </w:rPr>
        <w:t xml:space="preserve"> </w:t>
      </w:r>
      <w:r>
        <w:t>toda</w:t>
      </w:r>
      <w:r>
        <w:rPr>
          <w:spacing w:val="-13"/>
        </w:rPr>
        <w:t xml:space="preserve"> </w:t>
      </w:r>
      <w:r>
        <w:t xml:space="preserve">iniciativa civil o ciudadana en comunismo o anticomunismo, insurgente o </w:t>
      </w:r>
      <w:proofErr w:type="spellStart"/>
      <w:r>
        <w:t>antiinsurgente</w:t>
      </w:r>
      <w:proofErr w:type="spellEnd"/>
      <w:r>
        <w:t xml:space="preserve">, </w:t>
      </w:r>
      <w:r>
        <w:rPr>
          <w:spacing w:val="-2"/>
        </w:rPr>
        <w:t>narcoterrorista</w:t>
      </w:r>
      <w:r>
        <w:rPr>
          <w:spacing w:val="-3"/>
        </w:rPr>
        <w:t xml:space="preserve"> </w:t>
      </w:r>
      <w:r>
        <w:rPr>
          <w:spacing w:val="-2"/>
        </w:rPr>
        <w:t>o</w:t>
      </w:r>
      <w:r>
        <w:rPr>
          <w:spacing w:val="-4"/>
        </w:rPr>
        <w:t xml:space="preserve"> </w:t>
      </w:r>
      <w:proofErr w:type="spellStart"/>
      <w:r>
        <w:rPr>
          <w:spacing w:val="-2"/>
        </w:rPr>
        <w:t>antinarcoterrorista</w:t>
      </w:r>
      <w:proofErr w:type="spellEnd"/>
      <w:r>
        <w:rPr>
          <w:spacing w:val="-2"/>
        </w:rPr>
        <w:t>,</w:t>
      </w:r>
      <w:r>
        <w:rPr>
          <w:spacing w:val="-4"/>
        </w:rPr>
        <w:t xml:space="preserve"> </w:t>
      </w:r>
      <w:r>
        <w:rPr>
          <w:spacing w:val="-2"/>
        </w:rPr>
        <w:t>y</w:t>
      </w:r>
      <w:r>
        <w:rPr>
          <w:spacing w:val="-4"/>
        </w:rPr>
        <w:t xml:space="preserve"> </w:t>
      </w:r>
      <w:r>
        <w:rPr>
          <w:spacing w:val="-2"/>
        </w:rPr>
        <w:t>se</w:t>
      </w:r>
      <w:r>
        <w:rPr>
          <w:spacing w:val="-3"/>
        </w:rPr>
        <w:t xml:space="preserve"> </w:t>
      </w:r>
      <w:r>
        <w:rPr>
          <w:spacing w:val="-2"/>
        </w:rPr>
        <w:t>autorizó</w:t>
      </w:r>
      <w:r>
        <w:rPr>
          <w:spacing w:val="-4"/>
        </w:rPr>
        <w:t xml:space="preserve"> </w:t>
      </w:r>
      <w:r>
        <w:rPr>
          <w:spacing w:val="-2"/>
        </w:rPr>
        <w:t>la</w:t>
      </w:r>
      <w:r>
        <w:rPr>
          <w:spacing w:val="-3"/>
        </w:rPr>
        <w:t xml:space="preserve"> </w:t>
      </w:r>
      <w:r>
        <w:rPr>
          <w:spacing w:val="-2"/>
        </w:rPr>
        <w:t>persecución</w:t>
      </w:r>
      <w:r>
        <w:rPr>
          <w:spacing w:val="-3"/>
        </w:rPr>
        <w:t xml:space="preserve"> </w:t>
      </w:r>
      <w:r>
        <w:rPr>
          <w:spacing w:val="-2"/>
        </w:rPr>
        <w:t>del</w:t>
      </w:r>
      <w:r>
        <w:rPr>
          <w:spacing w:val="-4"/>
        </w:rPr>
        <w:t xml:space="preserve"> </w:t>
      </w:r>
      <w:r>
        <w:rPr>
          <w:spacing w:val="-2"/>
        </w:rPr>
        <w:t>adversario,</w:t>
      </w:r>
      <w:r>
        <w:rPr>
          <w:spacing w:val="-4"/>
        </w:rPr>
        <w:t xml:space="preserve"> </w:t>
      </w:r>
      <w:r>
        <w:rPr>
          <w:spacing w:val="-2"/>
        </w:rPr>
        <w:t>legal o</w:t>
      </w:r>
      <w:r>
        <w:rPr>
          <w:spacing w:val="-4"/>
        </w:rPr>
        <w:t xml:space="preserve"> </w:t>
      </w:r>
      <w:r>
        <w:rPr>
          <w:spacing w:val="-2"/>
        </w:rPr>
        <w:t xml:space="preserve">ilegal, </w:t>
      </w:r>
      <w:r>
        <w:t>a través del uso desproporcionado de las facultades del Estado, lo cual impidió el debate de las propuestas sociales y políticas reformistas sobre las condiciones políticas y económicas excluyentes,</w:t>
      </w:r>
      <w:r>
        <w:rPr>
          <w:spacing w:val="-2"/>
        </w:rPr>
        <w:t xml:space="preserve"> </w:t>
      </w:r>
      <w:r>
        <w:t>que</w:t>
      </w:r>
      <w:r>
        <w:rPr>
          <w:spacing w:val="-1"/>
        </w:rPr>
        <w:t xml:space="preserve"> </w:t>
      </w:r>
      <w:r>
        <w:t>fueron</w:t>
      </w:r>
      <w:r>
        <w:rPr>
          <w:spacing w:val="-1"/>
        </w:rPr>
        <w:t xml:space="preserve"> </w:t>
      </w:r>
      <w:r>
        <w:t>estigmatizadas</w:t>
      </w:r>
      <w:r>
        <w:rPr>
          <w:spacing w:val="-1"/>
        </w:rPr>
        <w:t xml:space="preserve"> </w:t>
      </w:r>
      <w:r>
        <w:t>y</w:t>
      </w:r>
      <w:r>
        <w:rPr>
          <w:spacing w:val="-1"/>
        </w:rPr>
        <w:t xml:space="preserve"> </w:t>
      </w:r>
      <w:r>
        <w:t>perseguidas</w:t>
      </w:r>
      <w:r>
        <w:rPr>
          <w:spacing w:val="-1"/>
        </w:rPr>
        <w:t xml:space="preserve"> </w:t>
      </w:r>
      <w:r>
        <w:t>usando</w:t>
      </w:r>
      <w:r>
        <w:rPr>
          <w:spacing w:val="-1"/>
        </w:rPr>
        <w:t xml:space="preserve"> </w:t>
      </w:r>
      <w:r>
        <w:t>como</w:t>
      </w:r>
      <w:r>
        <w:rPr>
          <w:spacing w:val="-1"/>
        </w:rPr>
        <w:t xml:space="preserve"> </w:t>
      </w:r>
      <w:r>
        <w:t>medio</w:t>
      </w:r>
      <w:r>
        <w:rPr>
          <w:spacing w:val="-2"/>
        </w:rPr>
        <w:t xml:space="preserve"> </w:t>
      </w:r>
      <w:r>
        <w:t>la</w:t>
      </w:r>
      <w:r>
        <w:rPr>
          <w:spacing w:val="-1"/>
        </w:rPr>
        <w:t xml:space="preserve"> </w:t>
      </w:r>
      <w:r>
        <w:t>violación</w:t>
      </w:r>
      <w:r>
        <w:rPr>
          <w:spacing w:val="-2"/>
        </w:rPr>
        <w:t xml:space="preserve"> </w:t>
      </w:r>
      <w:r>
        <w:t>a</w:t>
      </w:r>
      <w:r>
        <w:rPr>
          <w:spacing w:val="-1"/>
        </w:rPr>
        <w:t xml:space="preserve"> </w:t>
      </w:r>
      <w:r>
        <w:t>los derechos humanos.</w:t>
      </w:r>
    </w:p>
    <w:p w:rsidR="003804AC" w:rsidRDefault="00AF18A5" w:rsidP="00916C90">
      <w:r>
        <w:t>El modelo de seguridad restringió la separación de poderes, pues militarizó la justicia en distintos momentos, a través del juzgamiento de civiles disidentes en cortes marciales y convirtió el fuero penal militar en herramienta de impunidad frente a las violaciones a derechos humanos cometidas por las Fuerzas Armadas. En esos casos se sacrificaron la independencia e imparcialidad judicial, el debido proceso y las garantías de juicio justo, encubriendo la responsabilidad de las Fuerzas Armadas.</w:t>
      </w:r>
    </w:p>
    <w:p w:rsidR="003804AC" w:rsidRDefault="00AF18A5" w:rsidP="00916C90">
      <w:r>
        <w:t>Colombia necesita asegurar la independencia de la justicia como factor de equilibrio del poder que permita a la población recobrar la confianza en las instituciones. En casos de violaciones de derechos humanos, el poder judicial debe tener la necesaria independencia para contribuir a que no haya impunidad.</w:t>
      </w:r>
    </w:p>
    <w:p w:rsidR="003804AC" w:rsidRDefault="00AF18A5" w:rsidP="00916C90">
      <w:r>
        <w:t>Como</w:t>
      </w:r>
      <w:r>
        <w:rPr>
          <w:spacing w:val="-8"/>
        </w:rPr>
        <w:t xml:space="preserve"> </w:t>
      </w:r>
      <w:r>
        <w:t>se</w:t>
      </w:r>
      <w:r>
        <w:rPr>
          <w:spacing w:val="-8"/>
        </w:rPr>
        <w:t xml:space="preserve"> </w:t>
      </w:r>
      <w:r>
        <w:t>expuso,</w:t>
      </w:r>
      <w:r>
        <w:rPr>
          <w:spacing w:val="-8"/>
        </w:rPr>
        <w:t xml:space="preserve"> </w:t>
      </w:r>
      <w:r>
        <w:t>muchos</w:t>
      </w:r>
      <w:r>
        <w:rPr>
          <w:spacing w:val="-8"/>
        </w:rPr>
        <w:t xml:space="preserve"> </w:t>
      </w:r>
      <w:r>
        <w:t>de</w:t>
      </w:r>
      <w:r>
        <w:rPr>
          <w:spacing w:val="-8"/>
        </w:rPr>
        <w:t xml:space="preserve"> </w:t>
      </w:r>
      <w:r>
        <w:t>los</w:t>
      </w:r>
      <w:r>
        <w:rPr>
          <w:spacing w:val="-8"/>
        </w:rPr>
        <w:t xml:space="preserve"> </w:t>
      </w:r>
      <w:r>
        <w:t>rasgos</w:t>
      </w:r>
      <w:r>
        <w:rPr>
          <w:spacing w:val="-8"/>
        </w:rPr>
        <w:t xml:space="preserve"> </w:t>
      </w:r>
      <w:r>
        <w:t>más</w:t>
      </w:r>
      <w:r>
        <w:rPr>
          <w:spacing w:val="-8"/>
        </w:rPr>
        <w:t xml:space="preserve"> </w:t>
      </w:r>
      <w:r>
        <w:t>negativos</w:t>
      </w:r>
      <w:r>
        <w:rPr>
          <w:spacing w:val="-8"/>
        </w:rPr>
        <w:t xml:space="preserve"> </w:t>
      </w:r>
      <w:r>
        <w:t>del</w:t>
      </w:r>
      <w:r>
        <w:rPr>
          <w:spacing w:val="-8"/>
        </w:rPr>
        <w:t xml:space="preserve"> </w:t>
      </w:r>
      <w:r>
        <w:t>modelo</w:t>
      </w:r>
      <w:r>
        <w:rPr>
          <w:spacing w:val="-8"/>
        </w:rPr>
        <w:t xml:space="preserve"> </w:t>
      </w:r>
      <w:r>
        <w:t>de</w:t>
      </w:r>
      <w:r>
        <w:rPr>
          <w:spacing w:val="-8"/>
        </w:rPr>
        <w:t xml:space="preserve"> </w:t>
      </w:r>
      <w:r>
        <w:t>seguridad</w:t>
      </w:r>
      <w:r>
        <w:rPr>
          <w:spacing w:val="-8"/>
        </w:rPr>
        <w:t xml:space="preserve"> </w:t>
      </w:r>
      <w:r>
        <w:t xml:space="preserve">imperante hasta los años noventa han tenido un contrapeso importante por el modelo de Estado social de derecho de la Constitución de 1991. Sin embargo, muchas de estas características del modelo de seguridad transmutaron, se modificaron y adaptaron, pero no </w:t>
      </w:r>
      <w:r>
        <w:lastRenderedPageBreak/>
        <w:t>desaparecieron. Estos</w:t>
      </w:r>
      <w:r>
        <w:rPr>
          <w:spacing w:val="-10"/>
        </w:rPr>
        <w:t xml:space="preserve"> </w:t>
      </w:r>
      <w:r>
        <w:t>rasgos</w:t>
      </w:r>
      <w:r>
        <w:rPr>
          <w:spacing w:val="-11"/>
        </w:rPr>
        <w:t xml:space="preserve"> </w:t>
      </w:r>
      <w:r>
        <w:t>se</w:t>
      </w:r>
      <w:r>
        <w:rPr>
          <w:spacing w:val="-8"/>
        </w:rPr>
        <w:t xml:space="preserve"> </w:t>
      </w:r>
      <w:r>
        <w:t>mantuvieron</w:t>
      </w:r>
      <w:r>
        <w:rPr>
          <w:spacing w:val="-10"/>
        </w:rPr>
        <w:t xml:space="preserve"> </w:t>
      </w:r>
      <w:r>
        <w:t>a</w:t>
      </w:r>
      <w:r>
        <w:rPr>
          <w:spacing w:val="-8"/>
        </w:rPr>
        <w:t xml:space="preserve"> </w:t>
      </w:r>
      <w:r>
        <w:t>través</w:t>
      </w:r>
      <w:r>
        <w:rPr>
          <w:spacing w:val="-11"/>
        </w:rPr>
        <w:t xml:space="preserve"> </w:t>
      </w:r>
      <w:r>
        <w:t>de</w:t>
      </w:r>
      <w:r>
        <w:rPr>
          <w:spacing w:val="-9"/>
        </w:rPr>
        <w:t xml:space="preserve"> </w:t>
      </w:r>
      <w:r>
        <w:t>intentos</w:t>
      </w:r>
      <w:r>
        <w:rPr>
          <w:spacing w:val="-9"/>
        </w:rPr>
        <w:t xml:space="preserve"> </w:t>
      </w:r>
      <w:r>
        <w:t>formales</w:t>
      </w:r>
      <w:r>
        <w:rPr>
          <w:spacing w:val="-9"/>
        </w:rPr>
        <w:t xml:space="preserve"> </w:t>
      </w:r>
      <w:r>
        <w:t>e</w:t>
      </w:r>
      <w:r>
        <w:rPr>
          <w:spacing w:val="-9"/>
        </w:rPr>
        <w:t xml:space="preserve"> </w:t>
      </w:r>
      <w:r>
        <w:t>informales</w:t>
      </w:r>
      <w:r>
        <w:rPr>
          <w:spacing w:val="-9"/>
        </w:rPr>
        <w:t xml:space="preserve"> </w:t>
      </w:r>
      <w:r>
        <w:t>de</w:t>
      </w:r>
      <w:r>
        <w:rPr>
          <w:spacing w:val="-11"/>
        </w:rPr>
        <w:t xml:space="preserve"> </w:t>
      </w:r>
      <w:r>
        <w:t>preservar</w:t>
      </w:r>
      <w:r>
        <w:rPr>
          <w:spacing w:val="-10"/>
        </w:rPr>
        <w:t xml:space="preserve"> </w:t>
      </w:r>
      <w:r>
        <w:t>el</w:t>
      </w:r>
      <w:r>
        <w:rPr>
          <w:spacing w:val="-10"/>
        </w:rPr>
        <w:t xml:space="preserve"> </w:t>
      </w:r>
      <w:r>
        <w:t>estado de</w:t>
      </w:r>
      <w:r>
        <w:rPr>
          <w:spacing w:val="-14"/>
        </w:rPr>
        <w:t xml:space="preserve"> </w:t>
      </w:r>
      <w:r>
        <w:t>sitio,</w:t>
      </w:r>
      <w:r>
        <w:rPr>
          <w:spacing w:val="-15"/>
        </w:rPr>
        <w:t xml:space="preserve"> </w:t>
      </w:r>
      <w:r>
        <w:t>la</w:t>
      </w:r>
      <w:r>
        <w:rPr>
          <w:spacing w:val="-14"/>
        </w:rPr>
        <w:t xml:space="preserve"> </w:t>
      </w:r>
      <w:r>
        <w:t>militarización</w:t>
      </w:r>
      <w:r>
        <w:rPr>
          <w:spacing w:val="-15"/>
        </w:rPr>
        <w:t xml:space="preserve"> </w:t>
      </w:r>
      <w:r>
        <w:t>de</w:t>
      </w:r>
      <w:r>
        <w:rPr>
          <w:spacing w:val="-14"/>
        </w:rPr>
        <w:t xml:space="preserve"> </w:t>
      </w:r>
      <w:r>
        <w:t>la</w:t>
      </w:r>
      <w:r>
        <w:rPr>
          <w:spacing w:val="-15"/>
        </w:rPr>
        <w:t xml:space="preserve"> </w:t>
      </w:r>
      <w:r>
        <w:t>justicia,</w:t>
      </w:r>
      <w:r>
        <w:rPr>
          <w:spacing w:val="-14"/>
        </w:rPr>
        <w:t xml:space="preserve"> </w:t>
      </w:r>
      <w:r>
        <w:t>la</w:t>
      </w:r>
      <w:r>
        <w:rPr>
          <w:spacing w:val="-14"/>
        </w:rPr>
        <w:t xml:space="preserve"> </w:t>
      </w:r>
      <w:r>
        <w:t>competencia</w:t>
      </w:r>
      <w:r>
        <w:rPr>
          <w:spacing w:val="-14"/>
        </w:rPr>
        <w:t xml:space="preserve"> </w:t>
      </w:r>
      <w:r>
        <w:t>de</w:t>
      </w:r>
      <w:r>
        <w:rPr>
          <w:spacing w:val="-15"/>
        </w:rPr>
        <w:t xml:space="preserve"> </w:t>
      </w:r>
      <w:r>
        <w:t>la</w:t>
      </w:r>
      <w:r>
        <w:rPr>
          <w:spacing w:val="-15"/>
        </w:rPr>
        <w:t xml:space="preserve"> </w:t>
      </w:r>
      <w:r>
        <w:t>Justicia</w:t>
      </w:r>
      <w:r>
        <w:rPr>
          <w:spacing w:val="-14"/>
        </w:rPr>
        <w:t xml:space="preserve"> </w:t>
      </w:r>
      <w:r>
        <w:t>Penal</w:t>
      </w:r>
      <w:r>
        <w:rPr>
          <w:spacing w:val="-15"/>
        </w:rPr>
        <w:t xml:space="preserve"> </w:t>
      </w:r>
      <w:r>
        <w:t>Militar</w:t>
      </w:r>
      <w:r>
        <w:rPr>
          <w:spacing w:val="-14"/>
        </w:rPr>
        <w:t xml:space="preserve"> </w:t>
      </w:r>
      <w:r>
        <w:t>sobre</w:t>
      </w:r>
      <w:r>
        <w:rPr>
          <w:spacing w:val="-14"/>
        </w:rPr>
        <w:t xml:space="preserve"> </w:t>
      </w:r>
      <w:r>
        <w:t>casos de</w:t>
      </w:r>
      <w:r>
        <w:rPr>
          <w:spacing w:val="44"/>
        </w:rPr>
        <w:t xml:space="preserve"> </w:t>
      </w:r>
      <w:r>
        <w:t>violaciones</w:t>
      </w:r>
      <w:r>
        <w:rPr>
          <w:spacing w:val="47"/>
        </w:rPr>
        <w:t xml:space="preserve"> </w:t>
      </w:r>
      <w:r>
        <w:t>de</w:t>
      </w:r>
      <w:r>
        <w:rPr>
          <w:spacing w:val="47"/>
        </w:rPr>
        <w:t xml:space="preserve"> </w:t>
      </w:r>
      <w:r>
        <w:t>derechos</w:t>
      </w:r>
      <w:r>
        <w:rPr>
          <w:spacing w:val="46"/>
        </w:rPr>
        <w:t xml:space="preserve"> </w:t>
      </w:r>
      <w:r>
        <w:t>humanos</w:t>
      </w:r>
      <w:r>
        <w:rPr>
          <w:spacing w:val="47"/>
        </w:rPr>
        <w:t xml:space="preserve"> </w:t>
      </w:r>
      <w:r>
        <w:t>y,</w:t>
      </w:r>
      <w:r>
        <w:rPr>
          <w:spacing w:val="46"/>
        </w:rPr>
        <w:t xml:space="preserve"> </w:t>
      </w:r>
      <w:r>
        <w:t>sobre</w:t>
      </w:r>
      <w:r>
        <w:rPr>
          <w:spacing w:val="46"/>
        </w:rPr>
        <w:t xml:space="preserve"> </w:t>
      </w:r>
      <w:r>
        <w:t>todo,</w:t>
      </w:r>
      <w:r>
        <w:rPr>
          <w:spacing w:val="47"/>
        </w:rPr>
        <w:t xml:space="preserve"> </w:t>
      </w:r>
      <w:r>
        <w:t>la</w:t>
      </w:r>
      <w:r>
        <w:rPr>
          <w:spacing w:val="46"/>
        </w:rPr>
        <w:t xml:space="preserve"> </w:t>
      </w:r>
      <w:r>
        <w:t>estigmatización</w:t>
      </w:r>
      <w:r>
        <w:rPr>
          <w:spacing w:val="45"/>
        </w:rPr>
        <w:t xml:space="preserve"> </w:t>
      </w:r>
      <w:r>
        <w:t>de</w:t>
      </w:r>
      <w:r>
        <w:rPr>
          <w:spacing w:val="47"/>
        </w:rPr>
        <w:t xml:space="preserve"> </w:t>
      </w:r>
      <w:r>
        <w:t>miembros</w:t>
      </w:r>
      <w:r>
        <w:rPr>
          <w:spacing w:val="47"/>
        </w:rPr>
        <w:t xml:space="preserve"> </w:t>
      </w:r>
      <w:r>
        <w:rPr>
          <w:spacing w:val="-5"/>
        </w:rPr>
        <w:t>de</w:t>
      </w:r>
      <w:r w:rsidR="00916C90">
        <w:t xml:space="preserve"> </w:t>
      </w:r>
      <w:r>
        <w:t>organizaciones sociales o de izquierda y el uso de los servicios de inteligencia como mecanismo</w:t>
      </w:r>
      <w:r>
        <w:rPr>
          <w:spacing w:val="-3"/>
        </w:rPr>
        <w:t xml:space="preserve"> </w:t>
      </w:r>
      <w:r>
        <w:t>de</w:t>
      </w:r>
      <w:r>
        <w:rPr>
          <w:spacing w:val="-2"/>
        </w:rPr>
        <w:t xml:space="preserve"> </w:t>
      </w:r>
      <w:r>
        <w:t>control</w:t>
      </w:r>
      <w:r>
        <w:rPr>
          <w:spacing w:val="-2"/>
        </w:rPr>
        <w:t xml:space="preserve"> </w:t>
      </w:r>
      <w:r>
        <w:t>de</w:t>
      </w:r>
      <w:r>
        <w:rPr>
          <w:spacing w:val="-2"/>
        </w:rPr>
        <w:t xml:space="preserve"> </w:t>
      </w:r>
      <w:r>
        <w:t>sectores</w:t>
      </w:r>
      <w:r>
        <w:rPr>
          <w:spacing w:val="-2"/>
        </w:rPr>
        <w:t xml:space="preserve"> </w:t>
      </w:r>
      <w:r>
        <w:t>que</w:t>
      </w:r>
      <w:r>
        <w:rPr>
          <w:spacing w:val="-2"/>
        </w:rPr>
        <w:t xml:space="preserve"> </w:t>
      </w:r>
      <w:r>
        <w:t>reivindicaban</w:t>
      </w:r>
      <w:r>
        <w:rPr>
          <w:spacing w:val="-2"/>
        </w:rPr>
        <w:t xml:space="preserve"> </w:t>
      </w:r>
      <w:r>
        <w:t>sus</w:t>
      </w:r>
      <w:r>
        <w:rPr>
          <w:spacing w:val="-2"/>
        </w:rPr>
        <w:t xml:space="preserve"> </w:t>
      </w:r>
      <w:r>
        <w:t>derechos.</w:t>
      </w:r>
      <w:r>
        <w:rPr>
          <w:spacing w:val="-2"/>
        </w:rPr>
        <w:t xml:space="preserve"> </w:t>
      </w:r>
      <w:r>
        <w:t>Sectores</w:t>
      </w:r>
      <w:r>
        <w:rPr>
          <w:spacing w:val="-2"/>
        </w:rPr>
        <w:t xml:space="preserve"> </w:t>
      </w:r>
      <w:r>
        <w:t>de</w:t>
      </w:r>
      <w:r>
        <w:rPr>
          <w:spacing w:val="-3"/>
        </w:rPr>
        <w:t xml:space="preserve"> </w:t>
      </w:r>
      <w:r>
        <w:t>la</w:t>
      </w:r>
      <w:r>
        <w:rPr>
          <w:spacing w:val="-2"/>
        </w:rPr>
        <w:t xml:space="preserve"> </w:t>
      </w:r>
      <w:r>
        <w:t>sociedad</w:t>
      </w:r>
      <w:r>
        <w:rPr>
          <w:spacing w:val="-2"/>
        </w:rPr>
        <w:t xml:space="preserve"> </w:t>
      </w:r>
      <w:r>
        <w:t>y del propio Estado fueron calificados de terroristas, insurgentes o narcoterroristas, o vistos como obstáculos para las estrategias de impunidad de los crímenes.</w:t>
      </w:r>
    </w:p>
    <w:p w:rsidR="003804AC" w:rsidRDefault="00AF18A5" w:rsidP="00916C90">
      <w:r>
        <w:t>La</w:t>
      </w:r>
      <w:r>
        <w:rPr>
          <w:spacing w:val="-15"/>
        </w:rPr>
        <w:t xml:space="preserve"> </w:t>
      </w:r>
      <w:r>
        <w:t>opacidad</w:t>
      </w:r>
      <w:r>
        <w:rPr>
          <w:spacing w:val="-15"/>
        </w:rPr>
        <w:t xml:space="preserve"> </w:t>
      </w:r>
      <w:r>
        <w:t>de</w:t>
      </w:r>
      <w:r>
        <w:rPr>
          <w:spacing w:val="-15"/>
        </w:rPr>
        <w:t xml:space="preserve"> </w:t>
      </w:r>
      <w:r>
        <w:t>los</w:t>
      </w:r>
      <w:r>
        <w:rPr>
          <w:spacing w:val="-15"/>
        </w:rPr>
        <w:t xml:space="preserve"> </w:t>
      </w:r>
      <w:r>
        <w:t>procedimientos</w:t>
      </w:r>
      <w:r>
        <w:rPr>
          <w:spacing w:val="-15"/>
        </w:rPr>
        <w:t xml:space="preserve"> </w:t>
      </w:r>
      <w:r>
        <w:t>y</w:t>
      </w:r>
      <w:r>
        <w:rPr>
          <w:spacing w:val="-15"/>
        </w:rPr>
        <w:t xml:space="preserve"> </w:t>
      </w:r>
      <w:r>
        <w:t>los</w:t>
      </w:r>
      <w:r>
        <w:rPr>
          <w:spacing w:val="-15"/>
        </w:rPr>
        <w:t xml:space="preserve"> </w:t>
      </w:r>
      <w:r>
        <w:t>recursos</w:t>
      </w:r>
      <w:r>
        <w:rPr>
          <w:spacing w:val="-15"/>
        </w:rPr>
        <w:t xml:space="preserve"> </w:t>
      </w:r>
      <w:r>
        <w:t>de</w:t>
      </w:r>
      <w:r>
        <w:rPr>
          <w:spacing w:val="-15"/>
        </w:rPr>
        <w:t xml:space="preserve"> </w:t>
      </w:r>
      <w:r>
        <w:t>las</w:t>
      </w:r>
      <w:r>
        <w:rPr>
          <w:spacing w:val="-15"/>
        </w:rPr>
        <w:t xml:space="preserve"> </w:t>
      </w:r>
      <w:r>
        <w:t>Fuerzas</w:t>
      </w:r>
      <w:r>
        <w:rPr>
          <w:spacing w:val="-15"/>
        </w:rPr>
        <w:t xml:space="preserve"> </w:t>
      </w:r>
      <w:r>
        <w:t>Armadas</w:t>
      </w:r>
      <w:r>
        <w:rPr>
          <w:spacing w:val="-15"/>
        </w:rPr>
        <w:t xml:space="preserve"> </w:t>
      </w:r>
      <w:r>
        <w:t>y</w:t>
      </w:r>
      <w:r>
        <w:rPr>
          <w:spacing w:val="-15"/>
        </w:rPr>
        <w:t xml:space="preserve"> </w:t>
      </w:r>
      <w:r>
        <w:t>los</w:t>
      </w:r>
      <w:r>
        <w:rPr>
          <w:spacing w:val="-15"/>
        </w:rPr>
        <w:t xml:space="preserve"> </w:t>
      </w:r>
      <w:r>
        <w:t>organismos de inteligencia facilitaron las violaciones de los derechos humanos, el negacionismo y la impunidad. La reserva de la información de inteligencia y de seguridad nacional, el uso de gastos reservados y la informalidad del uso de los recursos públicos de todo orden para las labores</w:t>
      </w:r>
      <w:r>
        <w:rPr>
          <w:spacing w:val="-11"/>
        </w:rPr>
        <w:t xml:space="preserve"> </w:t>
      </w:r>
      <w:r>
        <w:t>de</w:t>
      </w:r>
      <w:r>
        <w:rPr>
          <w:spacing w:val="-11"/>
        </w:rPr>
        <w:t xml:space="preserve"> </w:t>
      </w:r>
      <w:r>
        <w:t>seguridad</w:t>
      </w:r>
      <w:r>
        <w:rPr>
          <w:spacing w:val="-10"/>
        </w:rPr>
        <w:t xml:space="preserve"> </w:t>
      </w:r>
      <w:r>
        <w:t>no</w:t>
      </w:r>
      <w:r>
        <w:rPr>
          <w:spacing w:val="-11"/>
        </w:rPr>
        <w:t xml:space="preserve"> </w:t>
      </w:r>
      <w:r>
        <w:t>solo</w:t>
      </w:r>
      <w:r>
        <w:rPr>
          <w:spacing w:val="-10"/>
        </w:rPr>
        <w:t xml:space="preserve"> </w:t>
      </w:r>
      <w:r>
        <w:t>facilitaron</w:t>
      </w:r>
      <w:r>
        <w:rPr>
          <w:spacing w:val="-10"/>
        </w:rPr>
        <w:t xml:space="preserve"> </w:t>
      </w:r>
      <w:r>
        <w:t>la</w:t>
      </w:r>
      <w:r>
        <w:rPr>
          <w:spacing w:val="-11"/>
        </w:rPr>
        <w:t xml:space="preserve"> </w:t>
      </w:r>
      <w:r>
        <w:t>comisión</w:t>
      </w:r>
      <w:r>
        <w:rPr>
          <w:spacing w:val="-10"/>
        </w:rPr>
        <w:t xml:space="preserve"> </w:t>
      </w:r>
      <w:r>
        <w:t>de</w:t>
      </w:r>
      <w:r>
        <w:rPr>
          <w:spacing w:val="-9"/>
        </w:rPr>
        <w:t xml:space="preserve"> </w:t>
      </w:r>
      <w:r>
        <w:t>crímenes,</w:t>
      </w:r>
      <w:r>
        <w:rPr>
          <w:spacing w:val="-10"/>
        </w:rPr>
        <w:t xml:space="preserve"> </w:t>
      </w:r>
      <w:r>
        <w:t>sino</w:t>
      </w:r>
      <w:r>
        <w:rPr>
          <w:spacing w:val="-10"/>
        </w:rPr>
        <w:t xml:space="preserve"> </w:t>
      </w:r>
      <w:r>
        <w:t>que,</w:t>
      </w:r>
      <w:r>
        <w:rPr>
          <w:spacing w:val="-10"/>
        </w:rPr>
        <w:t xml:space="preserve"> </w:t>
      </w:r>
      <w:r>
        <w:t>como</w:t>
      </w:r>
      <w:r>
        <w:rPr>
          <w:spacing w:val="-10"/>
        </w:rPr>
        <w:t xml:space="preserve"> </w:t>
      </w:r>
      <w:r>
        <w:t>lo</w:t>
      </w:r>
      <w:r>
        <w:rPr>
          <w:spacing w:val="-11"/>
        </w:rPr>
        <w:t xml:space="preserve"> </w:t>
      </w:r>
      <w:r>
        <w:t>demostró la</w:t>
      </w:r>
      <w:r>
        <w:rPr>
          <w:spacing w:val="-1"/>
        </w:rPr>
        <w:t xml:space="preserve"> </w:t>
      </w:r>
      <w:r>
        <w:t>justicia</w:t>
      </w:r>
      <w:r>
        <w:rPr>
          <w:spacing w:val="-1"/>
        </w:rPr>
        <w:t xml:space="preserve"> </w:t>
      </w:r>
      <w:r>
        <w:t>ordinaria,</w:t>
      </w:r>
      <w:r>
        <w:rPr>
          <w:spacing w:val="-1"/>
        </w:rPr>
        <w:t xml:space="preserve"> </w:t>
      </w:r>
      <w:r>
        <w:t>permitió</w:t>
      </w:r>
      <w:r>
        <w:rPr>
          <w:spacing w:val="-1"/>
        </w:rPr>
        <w:t xml:space="preserve"> </w:t>
      </w:r>
      <w:r>
        <w:t>que</w:t>
      </w:r>
      <w:r>
        <w:rPr>
          <w:spacing w:val="-1"/>
        </w:rPr>
        <w:t xml:space="preserve"> </w:t>
      </w:r>
      <w:r>
        <w:t>las</w:t>
      </w:r>
      <w:r>
        <w:rPr>
          <w:spacing w:val="-1"/>
        </w:rPr>
        <w:t xml:space="preserve"> </w:t>
      </w:r>
      <w:r>
        <w:t>Fuerzas</w:t>
      </w:r>
      <w:r>
        <w:rPr>
          <w:spacing w:val="-1"/>
        </w:rPr>
        <w:t xml:space="preserve"> </w:t>
      </w:r>
      <w:r>
        <w:t>Armadas</w:t>
      </w:r>
      <w:r>
        <w:rPr>
          <w:spacing w:val="-1"/>
        </w:rPr>
        <w:t xml:space="preserve"> </w:t>
      </w:r>
      <w:r>
        <w:t>y</w:t>
      </w:r>
      <w:r>
        <w:rPr>
          <w:spacing w:val="-1"/>
        </w:rPr>
        <w:t xml:space="preserve"> </w:t>
      </w:r>
      <w:r>
        <w:t>los</w:t>
      </w:r>
      <w:r>
        <w:rPr>
          <w:spacing w:val="-2"/>
        </w:rPr>
        <w:t xml:space="preserve"> </w:t>
      </w:r>
      <w:r>
        <w:t>organismos</w:t>
      </w:r>
      <w:r>
        <w:rPr>
          <w:spacing w:val="-1"/>
        </w:rPr>
        <w:t xml:space="preserve"> </w:t>
      </w:r>
      <w:r>
        <w:t>de</w:t>
      </w:r>
      <w:r>
        <w:rPr>
          <w:spacing w:val="-1"/>
        </w:rPr>
        <w:t xml:space="preserve"> </w:t>
      </w:r>
      <w:r>
        <w:t>seguridad</w:t>
      </w:r>
      <w:r>
        <w:rPr>
          <w:spacing w:val="-1"/>
        </w:rPr>
        <w:t xml:space="preserve"> </w:t>
      </w:r>
      <w:r>
        <w:t>como la</w:t>
      </w:r>
      <w:r>
        <w:rPr>
          <w:spacing w:val="-5"/>
        </w:rPr>
        <w:t xml:space="preserve"> </w:t>
      </w:r>
      <w:r>
        <w:t>BIM,</w:t>
      </w:r>
      <w:r>
        <w:rPr>
          <w:spacing w:val="-5"/>
        </w:rPr>
        <w:t xml:space="preserve"> </w:t>
      </w:r>
      <w:r>
        <w:t>el</w:t>
      </w:r>
      <w:r>
        <w:rPr>
          <w:spacing w:val="-4"/>
        </w:rPr>
        <w:t xml:space="preserve"> </w:t>
      </w:r>
      <w:r>
        <w:t>BINCI,</w:t>
      </w:r>
      <w:r>
        <w:rPr>
          <w:spacing w:val="-5"/>
        </w:rPr>
        <w:t xml:space="preserve"> </w:t>
      </w:r>
      <w:r>
        <w:t>el</w:t>
      </w:r>
      <w:r>
        <w:rPr>
          <w:spacing w:val="-4"/>
        </w:rPr>
        <w:t xml:space="preserve"> </w:t>
      </w:r>
      <w:r>
        <w:t>DAS</w:t>
      </w:r>
      <w:r>
        <w:rPr>
          <w:spacing w:val="-5"/>
        </w:rPr>
        <w:t xml:space="preserve"> </w:t>
      </w:r>
      <w:r>
        <w:t>o</w:t>
      </w:r>
      <w:r>
        <w:rPr>
          <w:spacing w:val="-5"/>
        </w:rPr>
        <w:t xml:space="preserve"> </w:t>
      </w:r>
      <w:r>
        <w:t>la</w:t>
      </w:r>
      <w:r>
        <w:rPr>
          <w:spacing w:val="-5"/>
        </w:rPr>
        <w:t xml:space="preserve"> </w:t>
      </w:r>
      <w:r>
        <w:t>Brigada</w:t>
      </w:r>
      <w:r>
        <w:rPr>
          <w:spacing w:val="-5"/>
        </w:rPr>
        <w:t xml:space="preserve"> </w:t>
      </w:r>
      <w:r>
        <w:t>XX</w:t>
      </w:r>
      <w:r>
        <w:rPr>
          <w:spacing w:val="-5"/>
        </w:rPr>
        <w:t xml:space="preserve"> </w:t>
      </w:r>
      <w:r>
        <w:t>negaran</w:t>
      </w:r>
      <w:r>
        <w:rPr>
          <w:spacing w:val="-5"/>
        </w:rPr>
        <w:t xml:space="preserve"> </w:t>
      </w:r>
      <w:r>
        <w:t>su</w:t>
      </w:r>
      <w:r>
        <w:rPr>
          <w:spacing w:val="-5"/>
        </w:rPr>
        <w:t xml:space="preserve"> </w:t>
      </w:r>
      <w:r>
        <w:t>participación</w:t>
      </w:r>
      <w:r>
        <w:rPr>
          <w:spacing w:val="-5"/>
        </w:rPr>
        <w:t xml:space="preserve"> </w:t>
      </w:r>
      <w:r>
        <w:t>en</w:t>
      </w:r>
      <w:r>
        <w:rPr>
          <w:spacing w:val="-5"/>
        </w:rPr>
        <w:t xml:space="preserve"> </w:t>
      </w:r>
      <w:r>
        <w:t>los</w:t>
      </w:r>
      <w:r>
        <w:rPr>
          <w:spacing w:val="-5"/>
        </w:rPr>
        <w:t xml:space="preserve"> </w:t>
      </w:r>
      <w:r>
        <w:t>hechos</w:t>
      </w:r>
      <w:r>
        <w:rPr>
          <w:spacing w:val="-5"/>
        </w:rPr>
        <w:t xml:space="preserve"> </w:t>
      </w:r>
      <w:r>
        <w:t>o</w:t>
      </w:r>
      <w:r>
        <w:rPr>
          <w:spacing w:val="-5"/>
        </w:rPr>
        <w:t xml:space="preserve"> </w:t>
      </w:r>
      <w:r>
        <w:t>que</w:t>
      </w:r>
      <w:r>
        <w:rPr>
          <w:spacing w:val="-5"/>
        </w:rPr>
        <w:t xml:space="preserve"> </w:t>
      </w:r>
      <w:r>
        <w:t>sus recursos</w:t>
      </w:r>
      <w:r>
        <w:rPr>
          <w:spacing w:val="-15"/>
        </w:rPr>
        <w:t xml:space="preserve"> </w:t>
      </w:r>
      <w:r>
        <w:t>habían</w:t>
      </w:r>
      <w:r>
        <w:rPr>
          <w:spacing w:val="-15"/>
        </w:rPr>
        <w:t xml:space="preserve"> </w:t>
      </w:r>
      <w:r>
        <w:t>financiado</w:t>
      </w:r>
      <w:r>
        <w:rPr>
          <w:spacing w:val="-15"/>
        </w:rPr>
        <w:t xml:space="preserve"> </w:t>
      </w:r>
      <w:r>
        <w:t>violaciones</w:t>
      </w:r>
      <w:r>
        <w:rPr>
          <w:spacing w:val="-15"/>
        </w:rPr>
        <w:t xml:space="preserve"> </w:t>
      </w:r>
      <w:r>
        <w:t>a</w:t>
      </w:r>
      <w:r>
        <w:rPr>
          <w:spacing w:val="-15"/>
        </w:rPr>
        <w:t xml:space="preserve"> </w:t>
      </w:r>
      <w:r>
        <w:t>los</w:t>
      </w:r>
      <w:r>
        <w:rPr>
          <w:spacing w:val="-14"/>
        </w:rPr>
        <w:t xml:space="preserve"> </w:t>
      </w:r>
      <w:r>
        <w:t>derechos</w:t>
      </w:r>
      <w:r>
        <w:rPr>
          <w:spacing w:val="-15"/>
        </w:rPr>
        <w:t xml:space="preserve"> </w:t>
      </w:r>
      <w:r>
        <w:t>humanos</w:t>
      </w:r>
      <w:r>
        <w:rPr>
          <w:spacing w:val="-15"/>
        </w:rPr>
        <w:t xml:space="preserve"> </w:t>
      </w:r>
      <w:r>
        <w:t>como</w:t>
      </w:r>
      <w:r>
        <w:rPr>
          <w:spacing w:val="-15"/>
        </w:rPr>
        <w:t xml:space="preserve"> </w:t>
      </w:r>
      <w:r>
        <w:t>detenciones</w:t>
      </w:r>
      <w:r>
        <w:rPr>
          <w:spacing w:val="-15"/>
        </w:rPr>
        <w:t xml:space="preserve"> </w:t>
      </w:r>
      <w:r>
        <w:t>arbitrarias, torturas, desapariciones forzadas, ejecuciones extrajudiciales o la actuación criminal de los grupos paramilitares. La reserva general de la información de inteligencia y contrainteligencia,</w:t>
      </w:r>
      <w:r>
        <w:rPr>
          <w:spacing w:val="-12"/>
        </w:rPr>
        <w:t xml:space="preserve"> </w:t>
      </w:r>
      <w:r>
        <w:t>así</w:t>
      </w:r>
      <w:r>
        <w:rPr>
          <w:spacing w:val="-12"/>
        </w:rPr>
        <w:t xml:space="preserve"> </w:t>
      </w:r>
      <w:r>
        <w:t>como</w:t>
      </w:r>
      <w:r>
        <w:rPr>
          <w:spacing w:val="-12"/>
        </w:rPr>
        <w:t xml:space="preserve"> </w:t>
      </w:r>
      <w:r>
        <w:t>la</w:t>
      </w:r>
      <w:r>
        <w:rPr>
          <w:spacing w:val="-12"/>
        </w:rPr>
        <w:t xml:space="preserve"> </w:t>
      </w:r>
      <w:r>
        <w:t>de</w:t>
      </w:r>
      <w:r>
        <w:rPr>
          <w:spacing w:val="-12"/>
        </w:rPr>
        <w:t xml:space="preserve"> </w:t>
      </w:r>
      <w:r>
        <w:t>seguridad</w:t>
      </w:r>
      <w:r>
        <w:rPr>
          <w:spacing w:val="-12"/>
        </w:rPr>
        <w:t xml:space="preserve"> </w:t>
      </w:r>
      <w:r>
        <w:t>nacional</w:t>
      </w:r>
      <w:r>
        <w:rPr>
          <w:spacing w:val="-12"/>
        </w:rPr>
        <w:t xml:space="preserve"> </w:t>
      </w:r>
      <w:r>
        <w:t>y</w:t>
      </w:r>
      <w:r>
        <w:rPr>
          <w:spacing w:val="-12"/>
        </w:rPr>
        <w:t xml:space="preserve"> </w:t>
      </w:r>
      <w:r>
        <w:t>el</w:t>
      </w:r>
      <w:r>
        <w:rPr>
          <w:spacing w:val="-12"/>
        </w:rPr>
        <w:t xml:space="preserve"> </w:t>
      </w:r>
      <w:r>
        <w:t>uso</w:t>
      </w:r>
      <w:r>
        <w:rPr>
          <w:spacing w:val="-13"/>
        </w:rPr>
        <w:t xml:space="preserve"> </w:t>
      </w:r>
      <w:r>
        <w:t>abusivo</w:t>
      </w:r>
      <w:r>
        <w:rPr>
          <w:spacing w:val="-12"/>
        </w:rPr>
        <w:t xml:space="preserve"> </w:t>
      </w:r>
      <w:r>
        <w:t>de</w:t>
      </w:r>
      <w:r>
        <w:rPr>
          <w:spacing w:val="-12"/>
        </w:rPr>
        <w:t xml:space="preserve"> </w:t>
      </w:r>
      <w:r>
        <w:t>esta,</w:t>
      </w:r>
      <w:r>
        <w:rPr>
          <w:spacing w:val="-12"/>
        </w:rPr>
        <w:t xml:space="preserve"> </w:t>
      </w:r>
      <w:r>
        <w:t>se</w:t>
      </w:r>
      <w:r>
        <w:rPr>
          <w:spacing w:val="-12"/>
        </w:rPr>
        <w:t xml:space="preserve"> </w:t>
      </w:r>
      <w:r>
        <w:t xml:space="preserve">convirtieron también en un mecanismo de impunidad, pues las actividades son secretas, los recursos se ejecutan sin suficiente control, hay oscuridad en el ejercicio de la función pública y un uso irresponsable por quienes han tenido el deber de custodiar la información y recursos del Estado. Un cambio profundo y transparencia en los organismos de </w:t>
      </w:r>
      <w:r>
        <w:lastRenderedPageBreak/>
        <w:t>inteligencia son pilares del cambio en el modelo de seguridad, para que se centre en las personas y comunidades.</w:t>
      </w:r>
    </w:p>
    <w:p w:rsidR="003804AC" w:rsidRDefault="00AF18A5" w:rsidP="00916C90">
      <w:r>
        <w:t>Los intentos de reformas progresistas y procesos de paz emprendidos por algunos gobiernos</w:t>
      </w:r>
      <w:r>
        <w:rPr>
          <w:spacing w:val="-7"/>
        </w:rPr>
        <w:t xml:space="preserve"> </w:t>
      </w:r>
      <w:r>
        <w:t>encontraron</w:t>
      </w:r>
      <w:r>
        <w:rPr>
          <w:spacing w:val="-6"/>
        </w:rPr>
        <w:t xml:space="preserve"> </w:t>
      </w:r>
      <w:r>
        <w:t>resistencia</w:t>
      </w:r>
      <w:r>
        <w:rPr>
          <w:spacing w:val="-6"/>
        </w:rPr>
        <w:t xml:space="preserve"> </w:t>
      </w:r>
      <w:r>
        <w:t>en</w:t>
      </w:r>
      <w:r>
        <w:rPr>
          <w:spacing w:val="-7"/>
        </w:rPr>
        <w:t xml:space="preserve"> </w:t>
      </w:r>
      <w:r>
        <w:t>las</w:t>
      </w:r>
      <w:r>
        <w:rPr>
          <w:spacing w:val="-6"/>
        </w:rPr>
        <w:t xml:space="preserve"> </w:t>
      </w:r>
      <w:r>
        <w:t>Fuerzas</w:t>
      </w:r>
      <w:r>
        <w:rPr>
          <w:spacing w:val="-7"/>
        </w:rPr>
        <w:t xml:space="preserve"> </w:t>
      </w:r>
      <w:r>
        <w:t>Armadas</w:t>
      </w:r>
      <w:r>
        <w:rPr>
          <w:spacing w:val="-6"/>
        </w:rPr>
        <w:t xml:space="preserve"> </w:t>
      </w:r>
      <w:r>
        <w:t>que</w:t>
      </w:r>
      <w:r>
        <w:rPr>
          <w:spacing w:val="-6"/>
        </w:rPr>
        <w:t xml:space="preserve"> </w:t>
      </w:r>
      <w:r>
        <w:t>identificaban</w:t>
      </w:r>
      <w:r>
        <w:rPr>
          <w:spacing w:val="-6"/>
        </w:rPr>
        <w:t xml:space="preserve"> </w:t>
      </w:r>
      <w:r>
        <w:t>estas</w:t>
      </w:r>
      <w:r>
        <w:rPr>
          <w:spacing w:val="-6"/>
        </w:rPr>
        <w:t xml:space="preserve"> </w:t>
      </w:r>
      <w:r>
        <w:t>iniciativas como</w:t>
      </w:r>
      <w:r>
        <w:rPr>
          <w:spacing w:val="-14"/>
        </w:rPr>
        <w:t xml:space="preserve"> </w:t>
      </w:r>
      <w:r>
        <w:t>concesiones</w:t>
      </w:r>
      <w:r>
        <w:rPr>
          <w:spacing w:val="-14"/>
        </w:rPr>
        <w:t xml:space="preserve"> </w:t>
      </w:r>
      <w:r>
        <w:t>a</w:t>
      </w:r>
      <w:r>
        <w:rPr>
          <w:spacing w:val="-14"/>
        </w:rPr>
        <w:t xml:space="preserve"> </w:t>
      </w:r>
      <w:r>
        <w:t>los</w:t>
      </w:r>
      <w:r>
        <w:rPr>
          <w:spacing w:val="-15"/>
        </w:rPr>
        <w:t xml:space="preserve"> </w:t>
      </w:r>
      <w:r>
        <w:t>sectores</w:t>
      </w:r>
      <w:r>
        <w:rPr>
          <w:spacing w:val="-14"/>
        </w:rPr>
        <w:t xml:space="preserve"> </w:t>
      </w:r>
      <w:r>
        <w:t>de</w:t>
      </w:r>
      <w:r>
        <w:rPr>
          <w:spacing w:val="-14"/>
        </w:rPr>
        <w:t xml:space="preserve"> </w:t>
      </w:r>
      <w:r>
        <w:t>izquierda</w:t>
      </w:r>
      <w:r>
        <w:rPr>
          <w:spacing w:val="-14"/>
        </w:rPr>
        <w:t xml:space="preserve"> </w:t>
      </w:r>
      <w:r>
        <w:t>que</w:t>
      </w:r>
      <w:r>
        <w:rPr>
          <w:spacing w:val="-15"/>
        </w:rPr>
        <w:t xml:space="preserve"> </w:t>
      </w:r>
      <w:r>
        <w:t>deberían</w:t>
      </w:r>
      <w:r>
        <w:rPr>
          <w:spacing w:val="-14"/>
        </w:rPr>
        <w:t xml:space="preserve"> </w:t>
      </w:r>
      <w:r>
        <w:t>ser</w:t>
      </w:r>
      <w:r>
        <w:rPr>
          <w:spacing w:val="-15"/>
        </w:rPr>
        <w:t xml:space="preserve"> </w:t>
      </w:r>
      <w:r>
        <w:t>perseguidos</w:t>
      </w:r>
      <w:r>
        <w:rPr>
          <w:spacing w:val="-15"/>
        </w:rPr>
        <w:t xml:space="preserve"> </w:t>
      </w:r>
      <w:r>
        <w:t>militarmente,</w:t>
      </w:r>
      <w:r>
        <w:rPr>
          <w:spacing w:val="-14"/>
        </w:rPr>
        <w:t xml:space="preserve"> </w:t>
      </w:r>
      <w:r>
        <w:t>mas no integrados social y políticamente.</w:t>
      </w:r>
    </w:p>
    <w:p w:rsidR="003804AC" w:rsidRDefault="00AF18A5" w:rsidP="00916C90">
      <w:r>
        <w:t>Cuando los gobiernos civiles quisieron avanzar en reformas progresistas y hacia la paz, las</w:t>
      </w:r>
      <w:r>
        <w:rPr>
          <w:spacing w:val="-8"/>
        </w:rPr>
        <w:t xml:space="preserve"> </w:t>
      </w:r>
      <w:r>
        <w:t>Fuerzas</w:t>
      </w:r>
      <w:r>
        <w:rPr>
          <w:spacing w:val="-9"/>
        </w:rPr>
        <w:t xml:space="preserve"> </w:t>
      </w:r>
      <w:r>
        <w:t>Armadas</w:t>
      </w:r>
      <w:r>
        <w:rPr>
          <w:spacing w:val="-8"/>
        </w:rPr>
        <w:t xml:space="preserve"> </w:t>
      </w:r>
      <w:r>
        <w:t>se</w:t>
      </w:r>
      <w:r>
        <w:rPr>
          <w:spacing w:val="-9"/>
        </w:rPr>
        <w:t xml:space="preserve"> </w:t>
      </w:r>
      <w:r>
        <w:t>resistieron.</w:t>
      </w:r>
      <w:r>
        <w:rPr>
          <w:spacing w:val="-9"/>
        </w:rPr>
        <w:t xml:space="preserve"> </w:t>
      </w:r>
      <w:r>
        <w:t>La</w:t>
      </w:r>
      <w:r>
        <w:rPr>
          <w:spacing w:val="-8"/>
        </w:rPr>
        <w:t xml:space="preserve"> </w:t>
      </w:r>
      <w:r>
        <w:t>exacerbada</w:t>
      </w:r>
      <w:r>
        <w:rPr>
          <w:spacing w:val="-8"/>
        </w:rPr>
        <w:t xml:space="preserve"> </w:t>
      </w:r>
      <w:r>
        <w:t>influencia</w:t>
      </w:r>
      <w:r>
        <w:rPr>
          <w:spacing w:val="-8"/>
        </w:rPr>
        <w:t xml:space="preserve"> </w:t>
      </w:r>
      <w:r>
        <w:t>que</w:t>
      </w:r>
      <w:r>
        <w:rPr>
          <w:spacing w:val="-8"/>
        </w:rPr>
        <w:t xml:space="preserve"> </w:t>
      </w:r>
      <w:r>
        <w:t>había</w:t>
      </w:r>
      <w:r>
        <w:rPr>
          <w:spacing w:val="-8"/>
        </w:rPr>
        <w:t xml:space="preserve"> </w:t>
      </w:r>
      <w:r>
        <w:t>tenido</w:t>
      </w:r>
      <w:r>
        <w:rPr>
          <w:spacing w:val="-8"/>
        </w:rPr>
        <w:t xml:space="preserve"> </w:t>
      </w:r>
      <w:r>
        <w:t>el</w:t>
      </w:r>
      <w:r>
        <w:rPr>
          <w:spacing w:val="-9"/>
        </w:rPr>
        <w:t xml:space="preserve"> </w:t>
      </w:r>
      <w:r>
        <w:t>militarismo y el objetivo de adelantar y ganar la guerra en las políticas del Estado terminaron limitando el liderazgo político del gobierno civil cuando las reformas que emprendía variaban la estrategia de guerra y persecución y se encaminaban a la inclusión social o democrática y hacia</w:t>
      </w:r>
      <w:r>
        <w:rPr>
          <w:spacing w:val="14"/>
        </w:rPr>
        <w:t xml:space="preserve"> </w:t>
      </w:r>
      <w:r>
        <w:t>la</w:t>
      </w:r>
      <w:r>
        <w:rPr>
          <w:spacing w:val="17"/>
        </w:rPr>
        <w:t xml:space="preserve"> </w:t>
      </w:r>
      <w:r>
        <w:t>paz.</w:t>
      </w:r>
      <w:r>
        <w:rPr>
          <w:spacing w:val="18"/>
        </w:rPr>
        <w:t xml:space="preserve"> </w:t>
      </w:r>
      <w:r>
        <w:t>La</w:t>
      </w:r>
      <w:r>
        <w:rPr>
          <w:spacing w:val="18"/>
        </w:rPr>
        <w:t xml:space="preserve"> </w:t>
      </w:r>
      <w:r>
        <w:t>continuidad</w:t>
      </w:r>
      <w:r>
        <w:rPr>
          <w:spacing w:val="17"/>
        </w:rPr>
        <w:t xml:space="preserve"> </w:t>
      </w:r>
      <w:r>
        <w:t>de</w:t>
      </w:r>
      <w:r>
        <w:rPr>
          <w:spacing w:val="17"/>
        </w:rPr>
        <w:t xml:space="preserve"> </w:t>
      </w:r>
      <w:r>
        <w:t>la</w:t>
      </w:r>
      <w:r>
        <w:rPr>
          <w:spacing w:val="17"/>
        </w:rPr>
        <w:t xml:space="preserve"> </w:t>
      </w:r>
      <w:r>
        <w:t>guerra</w:t>
      </w:r>
      <w:r>
        <w:rPr>
          <w:spacing w:val="17"/>
        </w:rPr>
        <w:t xml:space="preserve"> </w:t>
      </w:r>
      <w:r>
        <w:t>y</w:t>
      </w:r>
      <w:r>
        <w:rPr>
          <w:spacing w:val="18"/>
        </w:rPr>
        <w:t xml:space="preserve"> </w:t>
      </w:r>
      <w:r>
        <w:t>la</w:t>
      </w:r>
      <w:r>
        <w:rPr>
          <w:spacing w:val="18"/>
        </w:rPr>
        <w:t xml:space="preserve"> </w:t>
      </w:r>
      <w:r>
        <w:t>persecución</w:t>
      </w:r>
      <w:r>
        <w:rPr>
          <w:spacing w:val="17"/>
        </w:rPr>
        <w:t xml:space="preserve"> </w:t>
      </w:r>
      <w:r>
        <w:t>y</w:t>
      </w:r>
      <w:r>
        <w:rPr>
          <w:spacing w:val="17"/>
        </w:rPr>
        <w:t xml:space="preserve"> </w:t>
      </w:r>
      <w:r>
        <w:t>eliminación</w:t>
      </w:r>
      <w:r>
        <w:rPr>
          <w:spacing w:val="17"/>
        </w:rPr>
        <w:t xml:space="preserve"> </w:t>
      </w:r>
      <w:r>
        <w:t>del</w:t>
      </w:r>
      <w:r>
        <w:rPr>
          <w:spacing w:val="17"/>
        </w:rPr>
        <w:t xml:space="preserve"> </w:t>
      </w:r>
      <w:r>
        <w:t>adversario</w:t>
      </w:r>
      <w:r>
        <w:rPr>
          <w:spacing w:val="18"/>
        </w:rPr>
        <w:t xml:space="preserve"> </w:t>
      </w:r>
      <w:r>
        <w:rPr>
          <w:spacing w:val="-5"/>
        </w:rPr>
        <w:t>se</w:t>
      </w:r>
      <w:r w:rsidR="00916C90">
        <w:t xml:space="preserve"> </w:t>
      </w:r>
      <w:r>
        <w:t>habían convertido en un fin en sí mismo y la posibilidad de hacer variaciones en esta estrategia creaba una fuerte resistencia institucional en las Fuerzas Armadas.</w:t>
      </w:r>
    </w:p>
    <w:p w:rsidR="003804AC" w:rsidRDefault="00AF18A5" w:rsidP="00916C90">
      <w:r>
        <w:rPr>
          <w:spacing w:val="-2"/>
        </w:rPr>
        <w:t>Por</w:t>
      </w:r>
      <w:r>
        <w:rPr>
          <w:spacing w:val="-4"/>
        </w:rPr>
        <w:t xml:space="preserve"> </w:t>
      </w:r>
      <w:r>
        <w:rPr>
          <w:spacing w:val="-2"/>
        </w:rPr>
        <w:t>otra</w:t>
      </w:r>
      <w:r>
        <w:rPr>
          <w:spacing w:val="-5"/>
        </w:rPr>
        <w:t xml:space="preserve"> </w:t>
      </w:r>
      <w:r>
        <w:rPr>
          <w:spacing w:val="-2"/>
        </w:rPr>
        <w:t>parte,</w:t>
      </w:r>
      <w:r>
        <w:rPr>
          <w:spacing w:val="-5"/>
        </w:rPr>
        <w:t xml:space="preserve"> </w:t>
      </w:r>
      <w:r>
        <w:rPr>
          <w:spacing w:val="-2"/>
        </w:rPr>
        <w:t>la</w:t>
      </w:r>
      <w:r>
        <w:rPr>
          <w:spacing w:val="-5"/>
        </w:rPr>
        <w:t xml:space="preserve"> </w:t>
      </w:r>
      <w:r>
        <w:rPr>
          <w:spacing w:val="-2"/>
        </w:rPr>
        <w:t>política</w:t>
      </w:r>
      <w:r>
        <w:rPr>
          <w:spacing w:val="-7"/>
        </w:rPr>
        <w:t xml:space="preserve"> </w:t>
      </w:r>
      <w:r>
        <w:rPr>
          <w:spacing w:val="-2"/>
        </w:rPr>
        <w:t>en</w:t>
      </w:r>
      <w:r>
        <w:rPr>
          <w:spacing w:val="-5"/>
        </w:rPr>
        <w:t xml:space="preserve"> </w:t>
      </w:r>
      <w:r>
        <w:rPr>
          <w:spacing w:val="-2"/>
        </w:rPr>
        <w:t>Colombia</w:t>
      </w:r>
      <w:r>
        <w:rPr>
          <w:spacing w:val="-7"/>
        </w:rPr>
        <w:t xml:space="preserve"> </w:t>
      </w:r>
      <w:r>
        <w:rPr>
          <w:spacing w:val="-2"/>
        </w:rPr>
        <w:t>tiene</w:t>
      </w:r>
      <w:r>
        <w:rPr>
          <w:spacing w:val="-7"/>
        </w:rPr>
        <w:t xml:space="preserve"> </w:t>
      </w:r>
      <w:r>
        <w:rPr>
          <w:spacing w:val="-2"/>
        </w:rPr>
        <w:t>responsabilidades</w:t>
      </w:r>
      <w:r>
        <w:rPr>
          <w:spacing w:val="-7"/>
        </w:rPr>
        <w:t xml:space="preserve"> </w:t>
      </w:r>
      <w:r>
        <w:rPr>
          <w:spacing w:val="-2"/>
        </w:rPr>
        <w:t>en</w:t>
      </w:r>
      <w:r>
        <w:rPr>
          <w:spacing w:val="-5"/>
        </w:rPr>
        <w:t xml:space="preserve"> </w:t>
      </w:r>
      <w:r>
        <w:rPr>
          <w:spacing w:val="-2"/>
        </w:rPr>
        <w:t>este</w:t>
      </w:r>
      <w:r>
        <w:rPr>
          <w:spacing w:val="-7"/>
        </w:rPr>
        <w:t xml:space="preserve"> </w:t>
      </w:r>
      <w:r>
        <w:rPr>
          <w:spacing w:val="-2"/>
        </w:rPr>
        <w:t>modelo</w:t>
      </w:r>
      <w:r>
        <w:rPr>
          <w:spacing w:val="-5"/>
        </w:rPr>
        <w:t xml:space="preserve"> </w:t>
      </w:r>
      <w:r>
        <w:rPr>
          <w:spacing w:val="-2"/>
        </w:rPr>
        <w:t>de</w:t>
      </w:r>
      <w:r>
        <w:rPr>
          <w:spacing w:val="-5"/>
        </w:rPr>
        <w:t xml:space="preserve"> </w:t>
      </w:r>
      <w:r>
        <w:rPr>
          <w:spacing w:val="-2"/>
        </w:rPr>
        <w:t xml:space="preserve">seguridad </w:t>
      </w:r>
      <w:r>
        <w:t>y las violaciones cometidas por el Estado no son solo responsabilidad de la fuerza pública.</w:t>
      </w:r>
    </w:p>
    <w:p w:rsidR="003804AC" w:rsidRDefault="00AF18A5" w:rsidP="00916C90">
      <w:r>
        <w:t xml:space="preserve">Estos problemas sobre la concepción y estructura actual del sector seguridad dificultan o impiden directamente la posible solución de otros problemas abordados por la Comisión en ámbitos como la desprotección de quienes no tienen poder económico, social y político, de los territorios y comunidades marginadas, rurales y étnicas; el narcotráfico; el régimen político y la respuesta a la protesta social y la impunidad. En </w:t>
      </w:r>
      <w:r>
        <w:lastRenderedPageBreak/>
        <w:t>general, dificultan la construcción de paz y democracia en Colombia. Por consiguiente, abordar de frente y con audacia estas reformas contribuirá a desbloquear avances en los otros ámbitos.</w:t>
      </w:r>
    </w:p>
    <w:p w:rsidR="00944BB6" w:rsidRDefault="00AF18A5" w:rsidP="00916C90">
      <w:r>
        <w:t>Las</w:t>
      </w:r>
      <w:r>
        <w:rPr>
          <w:spacing w:val="-2"/>
        </w:rPr>
        <w:t xml:space="preserve"> </w:t>
      </w:r>
      <w:r>
        <w:t>Fuerzas</w:t>
      </w:r>
      <w:r>
        <w:rPr>
          <w:spacing w:val="-3"/>
        </w:rPr>
        <w:t xml:space="preserve"> </w:t>
      </w:r>
      <w:r>
        <w:t>Militares</w:t>
      </w:r>
      <w:r>
        <w:rPr>
          <w:spacing w:val="-2"/>
        </w:rPr>
        <w:t xml:space="preserve"> </w:t>
      </w:r>
      <w:r>
        <w:t>deben</w:t>
      </w:r>
      <w:r>
        <w:rPr>
          <w:spacing w:val="-2"/>
        </w:rPr>
        <w:t xml:space="preserve"> </w:t>
      </w:r>
      <w:r>
        <w:t>seguir</w:t>
      </w:r>
      <w:r>
        <w:rPr>
          <w:spacing w:val="-2"/>
        </w:rPr>
        <w:t xml:space="preserve"> </w:t>
      </w:r>
      <w:r>
        <w:t>cumpliendo</w:t>
      </w:r>
      <w:r>
        <w:rPr>
          <w:spacing w:val="-2"/>
        </w:rPr>
        <w:t xml:space="preserve"> </w:t>
      </w:r>
      <w:r>
        <w:t>su</w:t>
      </w:r>
      <w:r>
        <w:rPr>
          <w:spacing w:val="-2"/>
        </w:rPr>
        <w:t xml:space="preserve"> </w:t>
      </w:r>
      <w:r>
        <w:t>mandato</w:t>
      </w:r>
      <w:r>
        <w:rPr>
          <w:spacing w:val="-2"/>
        </w:rPr>
        <w:t xml:space="preserve"> </w:t>
      </w:r>
      <w:r>
        <w:t>en</w:t>
      </w:r>
      <w:r>
        <w:rPr>
          <w:spacing w:val="-2"/>
        </w:rPr>
        <w:t xml:space="preserve"> </w:t>
      </w:r>
      <w:r>
        <w:t>el</w:t>
      </w:r>
      <w:r>
        <w:rPr>
          <w:spacing w:val="-2"/>
        </w:rPr>
        <w:t xml:space="preserve"> </w:t>
      </w:r>
      <w:r>
        <w:t>marco</w:t>
      </w:r>
      <w:r>
        <w:rPr>
          <w:spacing w:val="-2"/>
        </w:rPr>
        <w:t xml:space="preserve"> </w:t>
      </w:r>
      <w:r>
        <w:t>de</w:t>
      </w:r>
      <w:r>
        <w:rPr>
          <w:spacing w:val="-2"/>
        </w:rPr>
        <w:t xml:space="preserve"> </w:t>
      </w:r>
      <w:r>
        <w:t>sus</w:t>
      </w:r>
      <w:r>
        <w:rPr>
          <w:spacing w:val="-2"/>
        </w:rPr>
        <w:t xml:space="preserve"> </w:t>
      </w:r>
      <w:r>
        <w:t>funciones constitucionales</w:t>
      </w:r>
      <w:r>
        <w:rPr>
          <w:spacing w:val="-14"/>
        </w:rPr>
        <w:t xml:space="preserve"> </w:t>
      </w:r>
      <w:r>
        <w:t>y</w:t>
      </w:r>
      <w:r>
        <w:rPr>
          <w:spacing w:val="-14"/>
        </w:rPr>
        <w:t xml:space="preserve"> </w:t>
      </w:r>
      <w:r>
        <w:t>del</w:t>
      </w:r>
      <w:r>
        <w:rPr>
          <w:spacing w:val="-14"/>
        </w:rPr>
        <w:t xml:space="preserve"> </w:t>
      </w:r>
      <w:r>
        <w:t>DIH,</w:t>
      </w:r>
      <w:r>
        <w:rPr>
          <w:spacing w:val="-14"/>
        </w:rPr>
        <w:t xml:space="preserve"> </w:t>
      </w:r>
      <w:r>
        <w:t>para</w:t>
      </w:r>
      <w:r>
        <w:rPr>
          <w:spacing w:val="-14"/>
        </w:rPr>
        <w:t xml:space="preserve"> </w:t>
      </w:r>
      <w:r>
        <w:t>defender</w:t>
      </w:r>
      <w:r>
        <w:rPr>
          <w:spacing w:val="-14"/>
        </w:rPr>
        <w:t xml:space="preserve"> </w:t>
      </w:r>
      <w:r>
        <w:t>el</w:t>
      </w:r>
      <w:r>
        <w:rPr>
          <w:spacing w:val="-15"/>
        </w:rPr>
        <w:t xml:space="preserve"> </w:t>
      </w:r>
      <w:r>
        <w:t>territorio</w:t>
      </w:r>
      <w:r>
        <w:rPr>
          <w:spacing w:val="-14"/>
        </w:rPr>
        <w:t xml:space="preserve"> </w:t>
      </w:r>
      <w:r>
        <w:t>y</w:t>
      </w:r>
      <w:r>
        <w:rPr>
          <w:spacing w:val="-14"/>
        </w:rPr>
        <w:t xml:space="preserve"> </w:t>
      </w:r>
      <w:r>
        <w:t>proteger</w:t>
      </w:r>
      <w:r>
        <w:rPr>
          <w:spacing w:val="-14"/>
        </w:rPr>
        <w:t xml:space="preserve"> </w:t>
      </w:r>
      <w:r>
        <w:t>a</w:t>
      </w:r>
      <w:r>
        <w:rPr>
          <w:spacing w:val="-14"/>
        </w:rPr>
        <w:t xml:space="preserve"> </w:t>
      </w:r>
      <w:r>
        <w:t>la</w:t>
      </w:r>
      <w:r>
        <w:rPr>
          <w:spacing w:val="-14"/>
        </w:rPr>
        <w:t xml:space="preserve"> </w:t>
      </w:r>
      <w:r>
        <w:t>población.</w:t>
      </w:r>
      <w:r>
        <w:rPr>
          <w:spacing w:val="-14"/>
        </w:rPr>
        <w:t xml:space="preserve"> </w:t>
      </w:r>
      <w:r>
        <w:t>Sin</w:t>
      </w:r>
      <w:r>
        <w:rPr>
          <w:spacing w:val="-14"/>
        </w:rPr>
        <w:t xml:space="preserve"> </w:t>
      </w:r>
      <w:r>
        <w:t>embargo, se necesita un cambio de la doctrina que considera al opositor como enemigo, una acción distinta que involucre a las comunidades como aliados en las políticas de seguridad para la paz y una transformación de la cultura institucional, de cargos que no estén comprometidos en violaciones de derechos humanos y prioridades de acuerdo con un rol de las Fuerzas Armadas en un país democrático y para la construcción de la paz.</w:t>
      </w:r>
    </w:p>
    <w:p w:rsidR="00944BB6" w:rsidRDefault="00944BB6">
      <w:pPr>
        <w:spacing w:before="0" w:after="0" w:line="240" w:lineRule="auto"/>
      </w:pPr>
      <w:r>
        <w:br w:type="page"/>
      </w:r>
    </w:p>
    <w:p w:rsidR="003804AC" w:rsidRDefault="00AF18A5" w:rsidP="004A6EF4">
      <w:pPr>
        <w:pStyle w:val="Ttulo2"/>
        <w:numPr>
          <w:ilvl w:val="0"/>
          <w:numId w:val="16"/>
        </w:numPr>
      </w:pPr>
      <w:bookmarkStart w:id="1061" w:name="8._LA_IMPUNIDAD_COMO_FACTOR_DE_PERSISTEN"/>
      <w:bookmarkStart w:id="1062" w:name="_Toc112399625"/>
      <w:bookmarkEnd w:id="1061"/>
      <w:r>
        <w:rPr>
          <w:spacing w:val="-6"/>
        </w:rPr>
        <w:lastRenderedPageBreak/>
        <w:t>LA</w:t>
      </w:r>
      <w:r w:rsidR="00916C90">
        <w:t xml:space="preserve"> </w:t>
      </w:r>
      <w:r>
        <w:t>IMPUNIDAD</w:t>
      </w:r>
      <w:r w:rsidR="00916C90">
        <w:t xml:space="preserve"> </w:t>
      </w:r>
      <w:r>
        <w:rPr>
          <w:spacing w:val="-4"/>
        </w:rPr>
        <w:t>COMO</w:t>
      </w:r>
      <w:r w:rsidR="00916C90">
        <w:t xml:space="preserve"> </w:t>
      </w:r>
      <w:r>
        <w:t>FACTOR</w:t>
      </w:r>
      <w:r w:rsidR="00916C90">
        <w:t xml:space="preserve"> </w:t>
      </w:r>
      <w:r>
        <w:rPr>
          <w:spacing w:val="-6"/>
        </w:rPr>
        <w:t>DE</w:t>
      </w:r>
      <w:r w:rsidR="00916C90">
        <w:rPr>
          <w:spacing w:val="-6"/>
        </w:rPr>
        <w:t xml:space="preserve"> </w:t>
      </w:r>
      <w:r>
        <w:t>PERSISTENCIA</w:t>
      </w:r>
      <w:r w:rsidR="00916C90">
        <w:t xml:space="preserve"> </w:t>
      </w:r>
      <w:r>
        <w:rPr>
          <w:spacing w:val="-4"/>
        </w:rPr>
        <w:t xml:space="preserve">DEL </w:t>
      </w:r>
      <w:r>
        <w:t>CONFLICTO</w:t>
      </w:r>
      <w:r>
        <w:rPr>
          <w:spacing w:val="-1"/>
        </w:rPr>
        <w:t xml:space="preserve"> </w:t>
      </w:r>
      <w:r>
        <w:t>ARMADO</w:t>
      </w:r>
      <w:bookmarkEnd w:id="1062"/>
    </w:p>
    <w:p w:rsidR="0011361F" w:rsidRDefault="009E4289" w:rsidP="009E4289">
      <w:r>
        <w:t>“</w:t>
      </w:r>
      <w:r w:rsidR="00AF18A5">
        <w:t>¿Y</w:t>
      </w:r>
      <w:r w:rsidR="00AF18A5">
        <w:rPr>
          <w:spacing w:val="-3"/>
        </w:rPr>
        <w:t xml:space="preserve"> </w:t>
      </w:r>
      <w:r w:rsidR="00AF18A5">
        <w:t>por</w:t>
      </w:r>
      <w:r w:rsidR="00AF18A5">
        <w:rPr>
          <w:spacing w:val="-3"/>
        </w:rPr>
        <w:t xml:space="preserve"> </w:t>
      </w:r>
      <w:r w:rsidR="00AF18A5">
        <w:t>qué</w:t>
      </w:r>
      <w:r w:rsidR="00AF18A5">
        <w:rPr>
          <w:spacing w:val="-2"/>
        </w:rPr>
        <w:t xml:space="preserve"> </w:t>
      </w:r>
      <w:r w:rsidR="00AF18A5">
        <w:t>razón</w:t>
      </w:r>
      <w:r w:rsidR="00AF18A5">
        <w:rPr>
          <w:spacing w:val="-3"/>
        </w:rPr>
        <w:t xml:space="preserve"> </w:t>
      </w:r>
      <w:r w:rsidR="00AF18A5">
        <w:t>en</w:t>
      </w:r>
      <w:r w:rsidR="00AF18A5">
        <w:rPr>
          <w:spacing w:val="-3"/>
        </w:rPr>
        <w:t xml:space="preserve"> </w:t>
      </w:r>
      <w:r w:rsidR="00AF18A5">
        <w:t>Colombia,</w:t>
      </w:r>
      <w:r w:rsidR="00AF18A5">
        <w:rPr>
          <w:spacing w:val="-3"/>
        </w:rPr>
        <w:t xml:space="preserve"> </w:t>
      </w:r>
      <w:r w:rsidR="00AF18A5">
        <w:t>a</w:t>
      </w:r>
      <w:r w:rsidR="00AF18A5">
        <w:rPr>
          <w:spacing w:val="-3"/>
        </w:rPr>
        <w:t xml:space="preserve"> </w:t>
      </w:r>
      <w:r w:rsidR="00AF18A5">
        <w:t>pesar</w:t>
      </w:r>
      <w:r w:rsidR="00AF18A5">
        <w:rPr>
          <w:spacing w:val="-3"/>
        </w:rPr>
        <w:t xml:space="preserve"> </w:t>
      </w:r>
      <w:r w:rsidR="00AF18A5">
        <w:t>de</w:t>
      </w:r>
      <w:r w:rsidR="00AF18A5">
        <w:rPr>
          <w:spacing w:val="-2"/>
        </w:rPr>
        <w:t xml:space="preserve"> </w:t>
      </w:r>
      <w:r w:rsidR="00AF18A5">
        <w:t>todo</w:t>
      </w:r>
      <w:r w:rsidR="00AF18A5">
        <w:rPr>
          <w:spacing w:val="-1"/>
        </w:rPr>
        <w:t xml:space="preserve"> </w:t>
      </w:r>
      <w:r w:rsidR="00AF18A5">
        <w:t>este</w:t>
      </w:r>
      <w:r w:rsidR="00AF18A5">
        <w:rPr>
          <w:spacing w:val="-2"/>
        </w:rPr>
        <w:t xml:space="preserve"> </w:t>
      </w:r>
      <w:r w:rsidR="00AF18A5">
        <w:t>proceso</w:t>
      </w:r>
      <w:r w:rsidR="00AF18A5">
        <w:rPr>
          <w:spacing w:val="-1"/>
        </w:rPr>
        <w:t xml:space="preserve"> </w:t>
      </w:r>
      <w:r w:rsidR="00AF18A5">
        <w:t>[…]</w:t>
      </w:r>
      <w:r w:rsidR="00AF18A5">
        <w:rPr>
          <w:spacing w:val="-3"/>
        </w:rPr>
        <w:t xml:space="preserve"> </w:t>
      </w:r>
      <w:r w:rsidR="00AF18A5">
        <w:t>este</w:t>
      </w:r>
      <w:r w:rsidR="00AF18A5">
        <w:rPr>
          <w:spacing w:val="-2"/>
        </w:rPr>
        <w:t xml:space="preserve"> </w:t>
      </w:r>
      <w:r w:rsidR="00AF18A5">
        <w:t>proyecto</w:t>
      </w:r>
      <w:r w:rsidR="00AF18A5">
        <w:rPr>
          <w:spacing w:val="-1"/>
        </w:rPr>
        <w:t xml:space="preserve"> </w:t>
      </w:r>
      <w:r w:rsidR="00AF18A5">
        <w:t>tan</w:t>
      </w:r>
      <w:r w:rsidR="00AF18A5">
        <w:rPr>
          <w:spacing w:val="-3"/>
        </w:rPr>
        <w:t xml:space="preserve"> </w:t>
      </w:r>
      <w:r w:rsidR="00AF18A5">
        <w:t>brutal,</w:t>
      </w:r>
      <w:r w:rsidR="00AF18A5">
        <w:rPr>
          <w:spacing w:val="-2"/>
        </w:rPr>
        <w:t xml:space="preserve"> </w:t>
      </w:r>
      <w:r w:rsidR="00AF18A5">
        <w:t>se</w:t>
      </w:r>
      <w:r w:rsidR="00AF18A5">
        <w:rPr>
          <w:spacing w:val="-3"/>
        </w:rPr>
        <w:t xml:space="preserve"> </w:t>
      </w:r>
      <w:r w:rsidR="00AF18A5">
        <w:t>siguen</w:t>
      </w:r>
      <w:r w:rsidR="00AF18A5">
        <w:rPr>
          <w:spacing w:val="-3"/>
        </w:rPr>
        <w:t xml:space="preserve"> </w:t>
      </w:r>
      <w:r w:rsidR="00AF18A5">
        <w:t>dando ciertos avances en materia de impunidad? Y yo creo que es por la gente, por el valor de la gente, porque Colombia está llena de gente muy honesta, muy honrada, gente con una gran confianza en la democracia […],</w:t>
      </w:r>
      <w:r w:rsidR="00AF18A5">
        <w:rPr>
          <w:spacing w:val="-2"/>
        </w:rPr>
        <w:t xml:space="preserve"> </w:t>
      </w:r>
      <w:r w:rsidR="00AF18A5">
        <w:t>profesionales</w:t>
      </w:r>
      <w:r w:rsidR="00AF18A5">
        <w:rPr>
          <w:spacing w:val="-2"/>
        </w:rPr>
        <w:t xml:space="preserve"> </w:t>
      </w:r>
      <w:r w:rsidR="00AF18A5">
        <w:t>sólidos</w:t>
      </w:r>
      <w:r w:rsidR="00AF18A5">
        <w:rPr>
          <w:spacing w:val="-3"/>
        </w:rPr>
        <w:t xml:space="preserve"> </w:t>
      </w:r>
      <w:r w:rsidR="00AF18A5">
        <w:t>del</w:t>
      </w:r>
      <w:r w:rsidR="00AF18A5">
        <w:rPr>
          <w:spacing w:val="-3"/>
        </w:rPr>
        <w:t xml:space="preserve"> </w:t>
      </w:r>
      <w:r w:rsidR="00AF18A5">
        <w:t>poder</w:t>
      </w:r>
      <w:r w:rsidR="00AF18A5">
        <w:rPr>
          <w:spacing w:val="-3"/>
        </w:rPr>
        <w:t xml:space="preserve"> </w:t>
      </w:r>
      <w:r w:rsidR="00AF18A5">
        <w:t>judicial</w:t>
      </w:r>
      <w:r w:rsidR="00AF18A5">
        <w:rPr>
          <w:spacing w:val="-3"/>
        </w:rPr>
        <w:t xml:space="preserve"> </w:t>
      </w:r>
      <w:r w:rsidR="00AF18A5">
        <w:t>que</w:t>
      </w:r>
      <w:r w:rsidR="00AF18A5">
        <w:rPr>
          <w:spacing w:val="-3"/>
        </w:rPr>
        <w:t xml:space="preserve"> </w:t>
      </w:r>
      <w:r w:rsidR="00AF18A5">
        <w:t>creen</w:t>
      </w:r>
      <w:r w:rsidR="00AF18A5">
        <w:rPr>
          <w:spacing w:val="-1"/>
        </w:rPr>
        <w:t xml:space="preserve"> </w:t>
      </w:r>
      <w:r w:rsidR="00AF18A5">
        <w:t>en</w:t>
      </w:r>
      <w:r w:rsidR="00AF18A5">
        <w:rPr>
          <w:spacing w:val="-3"/>
        </w:rPr>
        <w:t xml:space="preserve"> </w:t>
      </w:r>
      <w:r w:rsidR="00AF18A5">
        <w:t>la</w:t>
      </w:r>
      <w:r w:rsidR="00AF18A5">
        <w:rPr>
          <w:spacing w:val="-1"/>
        </w:rPr>
        <w:t xml:space="preserve"> </w:t>
      </w:r>
      <w:r w:rsidR="00AF18A5">
        <w:t>democracia</w:t>
      </w:r>
      <w:r w:rsidR="00AF18A5">
        <w:rPr>
          <w:spacing w:val="-3"/>
        </w:rPr>
        <w:t xml:space="preserve"> </w:t>
      </w:r>
      <w:r w:rsidR="00AF18A5">
        <w:t>y,</w:t>
      </w:r>
      <w:r w:rsidR="00AF18A5">
        <w:rPr>
          <w:spacing w:val="-2"/>
        </w:rPr>
        <w:t xml:space="preserve"> </w:t>
      </w:r>
      <w:r w:rsidR="00AF18A5">
        <w:t>claro,</w:t>
      </w:r>
      <w:r w:rsidR="00AF18A5">
        <w:rPr>
          <w:spacing w:val="-3"/>
        </w:rPr>
        <w:t xml:space="preserve"> </w:t>
      </w:r>
      <w:r w:rsidR="00AF18A5">
        <w:t>eso</w:t>
      </w:r>
      <w:r w:rsidR="00AF18A5">
        <w:rPr>
          <w:spacing w:val="-3"/>
        </w:rPr>
        <w:t xml:space="preserve"> </w:t>
      </w:r>
      <w:r w:rsidR="00AF18A5">
        <w:t>es</w:t>
      </w:r>
      <w:r w:rsidR="00AF18A5">
        <w:rPr>
          <w:spacing w:val="-3"/>
        </w:rPr>
        <w:t xml:space="preserve"> </w:t>
      </w:r>
      <w:r w:rsidR="00AF18A5">
        <w:t>lo</w:t>
      </w:r>
      <w:r w:rsidR="00AF18A5">
        <w:rPr>
          <w:spacing w:val="-3"/>
        </w:rPr>
        <w:t xml:space="preserve"> </w:t>
      </w:r>
      <w:r w:rsidR="00AF18A5">
        <w:t>que</w:t>
      </w:r>
      <w:r w:rsidR="00AF18A5">
        <w:rPr>
          <w:spacing w:val="-3"/>
        </w:rPr>
        <w:t xml:space="preserve"> </w:t>
      </w:r>
      <w:r w:rsidR="00AF18A5">
        <w:t>ha</w:t>
      </w:r>
      <w:r w:rsidR="00AF18A5">
        <w:rPr>
          <w:spacing w:val="-3"/>
        </w:rPr>
        <w:t xml:space="preserve"> </w:t>
      </w:r>
      <w:r w:rsidR="00AF18A5">
        <w:t>mantenido este país a flote. Afortunadamente, son gente muy comprometida en el poder judicial, en la Fiscalía. Gente honesta que son capaces de jugársela y, en ese sentido, […] hay ejemplos importantes</w:t>
      </w:r>
      <w:r>
        <w:rPr>
          <w:rStyle w:val="Refdenotaalpie"/>
        </w:rPr>
        <w:footnoteReference w:id="858"/>
      </w:r>
      <w:r w:rsidR="00AF18A5">
        <w:t>.</w:t>
      </w:r>
      <w:r>
        <w:t>”</w:t>
      </w:r>
    </w:p>
    <w:p w:rsidR="003804AC" w:rsidRDefault="00AF18A5" w:rsidP="009E4289">
      <w:bookmarkStart w:id="1063" w:name="_bookmark937"/>
      <w:bookmarkEnd w:id="1063"/>
      <w:r>
        <w:t>La investigación de la Comisión de la Verdad muestra un déficit de justicia histórico, generalizado</w:t>
      </w:r>
      <w:r>
        <w:rPr>
          <w:spacing w:val="-11"/>
        </w:rPr>
        <w:t xml:space="preserve"> </w:t>
      </w:r>
      <w:r>
        <w:t>y</w:t>
      </w:r>
      <w:r>
        <w:rPr>
          <w:spacing w:val="-10"/>
        </w:rPr>
        <w:t xml:space="preserve"> </w:t>
      </w:r>
      <w:r>
        <w:t>permanente</w:t>
      </w:r>
      <w:r>
        <w:rPr>
          <w:spacing w:val="-10"/>
        </w:rPr>
        <w:t xml:space="preserve"> </w:t>
      </w:r>
      <w:r>
        <w:t>respecto</w:t>
      </w:r>
      <w:r>
        <w:rPr>
          <w:spacing w:val="-11"/>
        </w:rPr>
        <w:t xml:space="preserve"> </w:t>
      </w:r>
      <w:r>
        <w:t>a</w:t>
      </w:r>
      <w:r>
        <w:rPr>
          <w:spacing w:val="-10"/>
        </w:rPr>
        <w:t xml:space="preserve"> </w:t>
      </w:r>
      <w:r>
        <w:t>las</w:t>
      </w:r>
      <w:r>
        <w:rPr>
          <w:spacing w:val="-10"/>
        </w:rPr>
        <w:t xml:space="preserve"> </w:t>
      </w:r>
      <w:r>
        <w:t>violaciones</w:t>
      </w:r>
      <w:r>
        <w:rPr>
          <w:spacing w:val="-10"/>
        </w:rPr>
        <w:t xml:space="preserve"> </w:t>
      </w:r>
      <w:r>
        <w:t>producidas</w:t>
      </w:r>
      <w:r>
        <w:rPr>
          <w:spacing w:val="-10"/>
        </w:rPr>
        <w:t xml:space="preserve"> </w:t>
      </w:r>
      <w:r>
        <w:t>contra</w:t>
      </w:r>
      <w:r>
        <w:rPr>
          <w:spacing w:val="-10"/>
        </w:rPr>
        <w:t xml:space="preserve"> </w:t>
      </w:r>
      <w:r>
        <w:t>millones</w:t>
      </w:r>
      <w:r>
        <w:rPr>
          <w:spacing w:val="-10"/>
        </w:rPr>
        <w:t xml:space="preserve"> </w:t>
      </w:r>
      <w:r>
        <w:t>de</w:t>
      </w:r>
      <w:r>
        <w:rPr>
          <w:spacing w:val="-10"/>
        </w:rPr>
        <w:t xml:space="preserve"> </w:t>
      </w:r>
      <w:r>
        <w:t>víctimas en el conflicto armado colombiano. La ausencia de respuestas institucionales para hacer justicia</w:t>
      </w:r>
      <w:r>
        <w:rPr>
          <w:spacing w:val="-15"/>
        </w:rPr>
        <w:t xml:space="preserve"> </w:t>
      </w:r>
      <w:r>
        <w:t>frente</w:t>
      </w:r>
      <w:r>
        <w:rPr>
          <w:spacing w:val="-15"/>
        </w:rPr>
        <w:t xml:space="preserve"> </w:t>
      </w:r>
      <w:r>
        <w:t>a</w:t>
      </w:r>
      <w:r>
        <w:rPr>
          <w:spacing w:val="-15"/>
        </w:rPr>
        <w:t xml:space="preserve"> </w:t>
      </w:r>
      <w:r>
        <w:t>las</w:t>
      </w:r>
      <w:r>
        <w:rPr>
          <w:spacing w:val="-15"/>
        </w:rPr>
        <w:t xml:space="preserve"> </w:t>
      </w:r>
      <w:r>
        <w:t>atrocidades</w:t>
      </w:r>
      <w:r>
        <w:rPr>
          <w:spacing w:val="-15"/>
        </w:rPr>
        <w:t xml:space="preserve"> </w:t>
      </w:r>
      <w:r>
        <w:t>del</w:t>
      </w:r>
      <w:r>
        <w:rPr>
          <w:spacing w:val="-15"/>
        </w:rPr>
        <w:t xml:space="preserve"> </w:t>
      </w:r>
      <w:r>
        <w:t>conflicto</w:t>
      </w:r>
      <w:r>
        <w:rPr>
          <w:spacing w:val="-15"/>
        </w:rPr>
        <w:t xml:space="preserve"> </w:t>
      </w:r>
      <w:r>
        <w:t>se</w:t>
      </w:r>
      <w:r>
        <w:rPr>
          <w:spacing w:val="-15"/>
        </w:rPr>
        <w:t xml:space="preserve"> </w:t>
      </w:r>
      <w:r>
        <w:t>convirtió</w:t>
      </w:r>
      <w:r>
        <w:rPr>
          <w:spacing w:val="-15"/>
        </w:rPr>
        <w:t xml:space="preserve"> </w:t>
      </w:r>
      <w:r>
        <w:t>en</w:t>
      </w:r>
      <w:r>
        <w:rPr>
          <w:spacing w:val="-15"/>
        </w:rPr>
        <w:t xml:space="preserve"> </w:t>
      </w:r>
      <w:r>
        <w:t>uno</w:t>
      </w:r>
      <w:r>
        <w:rPr>
          <w:spacing w:val="-15"/>
        </w:rPr>
        <w:t xml:space="preserve"> </w:t>
      </w:r>
      <w:r>
        <w:t>de</w:t>
      </w:r>
      <w:r>
        <w:rPr>
          <w:spacing w:val="-15"/>
        </w:rPr>
        <w:t xml:space="preserve"> </w:t>
      </w:r>
      <w:r>
        <w:t>los</w:t>
      </w:r>
      <w:r>
        <w:rPr>
          <w:spacing w:val="-15"/>
        </w:rPr>
        <w:t xml:space="preserve"> </w:t>
      </w:r>
      <w:r>
        <w:t>factores</w:t>
      </w:r>
      <w:r>
        <w:rPr>
          <w:spacing w:val="-15"/>
        </w:rPr>
        <w:t xml:space="preserve"> </w:t>
      </w:r>
      <w:r>
        <w:t>de</w:t>
      </w:r>
      <w:r>
        <w:rPr>
          <w:spacing w:val="-15"/>
        </w:rPr>
        <w:t xml:space="preserve"> </w:t>
      </w:r>
      <w:r>
        <w:t>persistencia decisivos de la violencia que experimenta el país. La impunidad que se despliega como un círculo vicioso es causa y a la vez consecuencia de las violaciones derivadas del conflicto. Lo es también el desconocimiento de la justicia como un derecho. Este no solo tiene una dimensión</w:t>
      </w:r>
      <w:r>
        <w:rPr>
          <w:spacing w:val="-6"/>
        </w:rPr>
        <w:t xml:space="preserve"> </w:t>
      </w:r>
      <w:r>
        <w:t>legal</w:t>
      </w:r>
      <w:r>
        <w:rPr>
          <w:spacing w:val="-6"/>
        </w:rPr>
        <w:t xml:space="preserve"> </w:t>
      </w:r>
      <w:r>
        <w:t>o</w:t>
      </w:r>
      <w:r>
        <w:rPr>
          <w:spacing w:val="-6"/>
        </w:rPr>
        <w:t xml:space="preserve"> </w:t>
      </w:r>
      <w:r>
        <w:t>judicial,</w:t>
      </w:r>
      <w:r>
        <w:rPr>
          <w:spacing w:val="-6"/>
        </w:rPr>
        <w:t xml:space="preserve"> </w:t>
      </w:r>
      <w:r>
        <w:t>sino</w:t>
      </w:r>
      <w:r>
        <w:rPr>
          <w:spacing w:val="-7"/>
        </w:rPr>
        <w:t xml:space="preserve"> </w:t>
      </w:r>
      <w:r>
        <w:t>también</w:t>
      </w:r>
      <w:r>
        <w:rPr>
          <w:spacing w:val="-6"/>
        </w:rPr>
        <w:t xml:space="preserve"> </w:t>
      </w:r>
      <w:r>
        <w:t>una</w:t>
      </w:r>
      <w:r>
        <w:rPr>
          <w:spacing w:val="-6"/>
        </w:rPr>
        <w:t xml:space="preserve"> </w:t>
      </w:r>
      <w:r>
        <w:t>política</w:t>
      </w:r>
      <w:r>
        <w:rPr>
          <w:spacing w:val="-6"/>
        </w:rPr>
        <w:t xml:space="preserve"> </w:t>
      </w:r>
      <w:r>
        <w:t>cuando</w:t>
      </w:r>
      <w:r>
        <w:rPr>
          <w:spacing w:val="-6"/>
        </w:rPr>
        <w:t xml:space="preserve"> </w:t>
      </w:r>
      <w:r>
        <w:t>se</w:t>
      </w:r>
      <w:r>
        <w:rPr>
          <w:spacing w:val="-6"/>
        </w:rPr>
        <w:t xml:space="preserve"> </w:t>
      </w:r>
      <w:r>
        <w:t>trata</w:t>
      </w:r>
      <w:r>
        <w:rPr>
          <w:spacing w:val="-6"/>
        </w:rPr>
        <w:t xml:space="preserve"> </w:t>
      </w:r>
      <w:r>
        <w:t>de</w:t>
      </w:r>
      <w:r>
        <w:rPr>
          <w:spacing w:val="-6"/>
        </w:rPr>
        <w:t xml:space="preserve"> </w:t>
      </w:r>
      <w:r>
        <w:t>controlar</w:t>
      </w:r>
      <w:r>
        <w:rPr>
          <w:spacing w:val="-6"/>
        </w:rPr>
        <w:t xml:space="preserve"> </w:t>
      </w:r>
      <w:r>
        <w:t>a</w:t>
      </w:r>
      <w:r>
        <w:rPr>
          <w:spacing w:val="-6"/>
        </w:rPr>
        <w:t xml:space="preserve"> </w:t>
      </w:r>
      <w:r>
        <w:t>la</w:t>
      </w:r>
      <w:r>
        <w:rPr>
          <w:spacing w:val="-6"/>
        </w:rPr>
        <w:t xml:space="preserve"> </w:t>
      </w:r>
      <w:r>
        <w:t xml:space="preserve">justicia o de usarla al servicio de intereses oficiales o privados, sin asumir las responsabilidades surgidas de las graves violaciones cometidas en el país. En 1994, la primera Misión Internacional de Sabios al gobierno nacional, con la pluma de Gabriel </w:t>
      </w:r>
      <w:r>
        <w:lastRenderedPageBreak/>
        <w:t xml:space="preserve">García Márquez, </w:t>
      </w:r>
      <w:r>
        <w:rPr>
          <w:spacing w:val="-2"/>
        </w:rPr>
        <w:t>escribió:</w:t>
      </w:r>
    </w:p>
    <w:p w:rsidR="003804AC" w:rsidRDefault="00AF18A5" w:rsidP="00E7096D">
      <w:r>
        <w:t>en</w:t>
      </w:r>
      <w:r>
        <w:rPr>
          <w:spacing w:val="-9"/>
        </w:rPr>
        <w:t xml:space="preserve"> </w:t>
      </w:r>
      <w:r>
        <w:t>cada</w:t>
      </w:r>
      <w:r>
        <w:rPr>
          <w:spacing w:val="-9"/>
        </w:rPr>
        <w:t xml:space="preserve"> </w:t>
      </w:r>
      <w:r>
        <w:t>uno</w:t>
      </w:r>
      <w:r>
        <w:rPr>
          <w:spacing w:val="-10"/>
        </w:rPr>
        <w:t xml:space="preserve"> </w:t>
      </w:r>
      <w:r>
        <w:t>de</w:t>
      </w:r>
      <w:r>
        <w:rPr>
          <w:spacing w:val="-9"/>
        </w:rPr>
        <w:t xml:space="preserve"> </w:t>
      </w:r>
      <w:r>
        <w:t>nosotros</w:t>
      </w:r>
      <w:r>
        <w:rPr>
          <w:spacing w:val="-10"/>
        </w:rPr>
        <w:t xml:space="preserve"> </w:t>
      </w:r>
      <w:r>
        <w:t>cohabitan,</w:t>
      </w:r>
      <w:r>
        <w:rPr>
          <w:spacing w:val="-9"/>
        </w:rPr>
        <w:t xml:space="preserve"> </w:t>
      </w:r>
      <w:r>
        <w:t>de</w:t>
      </w:r>
      <w:r>
        <w:rPr>
          <w:spacing w:val="-9"/>
        </w:rPr>
        <w:t xml:space="preserve"> </w:t>
      </w:r>
      <w:r>
        <w:t>la</w:t>
      </w:r>
      <w:r>
        <w:rPr>
          <w:spacing w:val="-9"/>
        </w:rPr>
        <w:t xml:space="preserve"> </w:t>
      </w:r>
      <w:r>
        <w:t>manera</w:t>
      </w:r>
      <w:r>
        <w:rPr>
          <w:spacing w:val="-10"/>
        </w:rPr>
        <w:t xml:space="preserve"> </w:t>
      </w:r>
      <w:r>
        <w:t>más</w:t>
      </w:r>
      <w:r>
        <w:rPr>
          <w:spacing w:val="-9"/>
        </w:rPr>
        <w:t xml:space="preserve"> </w:t>
      </w:r>
      <w:r>
        <w:t>arbitraria,</w:t>
      </w:r>
      <w:r>
        <w:rPr>
          <w:spacing w:val="-9"/>
        </w:rPr>
        <w:t xml:space="preserve"> </w:t>
      </w:r>
      <w:r>
        <w:t>la</w:t>
      </w:r>
      <w:r>
        <w:rPr>
          <w:spacing w:val="-9"/>
        </w:rPr>
        <w:t xml:space="preserve"> </w:t>
      </w:r>
      <w:r>
        <w:t>justicia</w:t>
      </w:r>
      <w:r>
        <w:rPr>
          <w:spacing w:val="-10"/>
        </w:rPr>
        <w:t xml:space="preserve"> </w:t>
      </w:r>
      <w:r>
        <w:t>y</w:t>
      </w:r>
      <w:r>
        <w:rPr>
          <w:spacing w:val="-9"/>
        </w:rPr>
        <w:t xml:space="preserve"> </w:t>
      </w:r>
      <w:r>
        <w:t>la</w:t>
      </w:r>
      <w:r>
        <w:rPr>
          <w:spacing w:val="-9"/>
        </w:rPr>
        <w:t xml:space="preserve"> </w:t>
      </w:r>
      <w:r>
        <w:t>impunidad; somos fanáticos del legalismo, pero llevamos bien despierto en el alma un leguleyo de mano maestra para burlar las leyes sin violarlas, o para violarlas sin castigo</w:t>
      </w:r>
      <w:r w:rsidR="00E7096D">
        <w:rPr>
          <w:rStyle w:val="Refdenotaalpie"/>
        </w:rPr>
        <w:footnoteReference w:id="859"/>
      </w:r>
      <w:r>
        <w:t>.</w:t>
      </w:r>
    </w:p>
    <w:p w:rsidR="003804AC" w:rsidRDefault="00AF18A5" w:rsidP="00E7096D">
      <w:r>
        <w:t>La impunidad aumenta las probabilidades de repetición y debilita la legitimidad de las instituciones democráticas. Al mismo tiempo, transmite un mensaje de desesperanza social y de permisividad ante la violencia. La negación de justicia y la desatención a las víctimas deriva</w:t>
      </w:r>
      <w:r>
        <w:rPr>
          <w:spacing w:val="-3"/>
        </w:rPr>
        <w:t xml:space="preserve"> </w:t>
      </w:r>
      <w:r>
        <w:t>en</w:t>
      </w:r>
      <w:r>
        <w:rPr>
          <w:spacing w:val="-2"/>
        </w:rPr>
        <w:t xml:space="preserve"> </w:t>
      </w:r>
      <w:r>
        <w:t>visiones</w:t>
      </w:r>
      <w:r>
        <w:rPr>
          <w:spacing w:val="-2"/>
        </w:rPr>
        <w:t xml:space="preserve"> </w:t>
      </w:r>
      <w:r>
        <w:t>de</w:t>
      </w:r>
      <w:r>
        <w:rPr>
          <w:spacing w:val="-3"/>
        </w:rPr>
        <w:t xml:space="preserve"> </w:t>
      </w:r>
      <w:r>
        <w:t>desconfianza</w:t>
      </w:r>
      <w:r>
        <w:rPr>
          <w:spacing w:val="-2"/>
        </w:rPr>
        <w:t xml:space="preserve"> </w:t>
      </w:r>
      <w:r>
        <w:t>hacia</w:t>
      </w:r>
      <w:r>
        <w:rPr>
          <w:spacing w:val="-3"/>
        </w:rPr>
        <w:t xml:space="preserve"> </w:t>
      </w:r>
      <w:r>
        <w:t>el</w:t>
      </w:r>
      <w:r>
        <w:rPr>
          <w:spacing w:val="-2"/>
        </w:rPr>
        <w:t xml:space="preserve"> </w:t>
      </w:r>
      <w:r>
        <w:t>Estado</w:t>
      </w:r>
      <w:r>
        <w:rPr>
          <w:spacing w:val="-2"/>
        </w:rPr>
        <w:t xml:space="preserve"> </w:t>
      </w:r>
      <w:r>
        <w:t>y</w:t>
      </w:r>
      <w:r>
        <w:rPr>
          <w:spacing w:val="-2"/>
        </w:rPr>
        <w:t xml:space="preserve"> </w:t>
      </w:r>
      <w:r>
        <w:t>también,</w:t>
      </w:r>
      <w:r>
        <w:rPr>
          <w:spacing w:val="-3"/>
        </w:rPr>
        <w:t xml:space="preserve"> </w:t>
      </w:r>
      <w:r>
        <w:t>de</w:t>
      </w:r>
      <w:r>
        <w:rPr>
          <w:spacing w:val="-2"/>
        </w:rPr>
        <w:t xml:space="preserve"> </w:t>
      </w:r>
      <w:r>
        <w:t>algún</w:t>
      </w:r>
      <w:r>
        <w:rPr>
          <w:spacing w:val="-4"/>
        </w:rPr>
        <w:t xml:space="preserve"> </w:t>
      </w:r>
      <w:r>
        <w:t>modo,</w:t>
      </w:r>
      <w:r>
        <w:rPr>
          <w:spacing w:val="-2"/>
        </w:rPr>
        <w:t xml:space="preserve"> </w:t>
      </w:r>
      <w:r>
        <w:t>en</w:t>
      </w:r>
      <w:r>
        <w:rPr>
          <w:spacing w:val="-2"/>
        </w:rPr>
        <w:t xml:space="preserve"> </w:t>
      </w:r>
      <w:r>
        <w:t>obstáculos a</w:t>
      </w:r>
      <w:r>
        <w:rPr>
          <w:spacing w:val="-15"/>
        </w:rPr>
        <w:t xml:space="preserve"> </w:t>
      </w:r>
      <w:r>
        <w:t>las</w:t>
      </w:r>
      <w:r>
        <w:rPr>
          <w:spacing w:val="-15"/>
        </w:rPr>
        <w:t xml:space="preserve"> </w:t>
      </w:r>
      <w:r>
        <w:t>posibilidades</w:t>
      </w:r>
      <w:r>
        <w:rPr>
          <w:spacing w:val="-15"/>
        </w:rPr>
        <w:t xml:space="preserve"> </w:t>
      </w:r>
      <w:r>
        <w:t>de</w:t>
      </w:r>
      <w:r>
        <w:rPr>
          <w:spacing w:val="-15"/>
        </w:rPr>
        <w:t xml:space="preserve"> </w:t>
      </w:r>
      <w:r>
        <w:t>los</w:t>
      </w:r>
      <w:r>
        <w:rPr>
          <w:spacing w:val="-15"/>
        </w:rPr>
        <w:t xml:space="preserve"> </w:t>
      </w:r>
      <w:r>
        <w:t>habitantes</w:t>
      </w:r>
      <w:r>
        <w:rPr>
          <w:spacing w:val="-15"/>
        </w:rPr>
        <w:t xml:space="preserve"> </w:t>
      </w:r>
      <w:r>
        <w:t>de</w:t>
      </w:r>
      <w:r>
        <w:rPr>
          <w:spacing w:val="-15"/>
        </w:rPr>
        <w:t xml:space="preserve"> </w:t>
      </w:r>
      <w:r>
        <w:t>ser</w:t>
      </w:r>
      <w:r>
        <w:rPr>
          <w:spacing w:val="-15"/>
        </w:rPr>
        <w:t xml:space="preserve"> </w:t>
      </w:r>
      <w:r>
        <w:t>respetados</w:t>
      </w:r>
      <w:r>
        <w:rPr>
          <w:spacing w:val="-15"/>
        </w:rPr>
        <w:t xml:space="preserve"> </w:t>
      </w:r>
      <w:r>
        <w:t>como</w:t>
      </w:r>
      <w:r>
        <w:rPr>
          <w:spacing w:val="-15"/>
        </w:rPr>
        <w:t xml:space="preserve"> </w:t>
      </w:r>
      <w:r>
        <w:t>ciudadanos.</w:t>
      </w:r>
      <w:r>
        <w:rPr>
          <w:spacing w:val="-15"/>
        </w:rPr>
        <w:t xml:space="preserve"> </w:t>
      </w:r>
      <w:r>
        <w:t>En</w:t>
      </w:r>
      <w:r>
        <w:rPr>
          <w:spacing w:val="-15"/>
        </w:rPr>
        <w:t xml:space="preserve"> </w:t>
      </w:r>
      <w:r>
        <w:t>el</w:t>
      </w:r>
      <w:r>
        <w:rPr>
          <w:spacing w:val="-15"/>
        </w:rPr>
        <w:t xml:space="preserve"> </w:t>
      </w:r>
      <w:r>
        <w:t>Primer</w:t>
      </w:r>
      <w:r>
        <w:rPr>
          <w:spacing w:val="-15"/>
        </w:rPr>
        <w:t xml:space="preserve"> </w:t>
      </w:r>
      <w:r>
        <w:t>Diálogo para</w:t>
      </w:r>
      <w:r>
        <w:rPr>
          <w:spacing w:val="-6"/>
        </w:rPr>
        <w:t xml:space="preserve"> </w:t>
      </w:r>
      <w:r>
        <w:t>la</w:t>
      </w:r>
      <w:r>
        <w:rPr>
          <w:spacing w:val="-6"/>
        </w:rPr>
        <w:t xml:space="preserve"> </w:t>
      </w:r>
      <w:r>
        <w:t>No</w:t>
      </w:r>
      <w:r>
        <w:rPr>
          <w:spacing w:val="-6"/>
        </w:rPr>
        <w:t xml:space="preserve"> </w:t>
      </w:r>
      <w:r>
        <w:t>Repetición</w:t>
      </w:r>
      <w:r w:rsidR="00E7096D">
        <w:rPr>
          <w:rStyle w:val="Refdenotaalpie"/>
        </w:rPr>
        <w:footnoteReference w:id="860"/>
      </w:r>
      <w:r>
        <w:rPr>
          <w:spacing w:val="-6"/>
        </w:rPr>
        <w:t xml:space="preserve"> </w:t>
      </w:r>
      <w:r>
        <w:t>un</w:t>
      </w:r>
      <w:r>
        <w:rPr>
          <w:spacing w:val="-5"/>
        </w:rPr>
        <w:t xml:space="preserve"> </w:t>
      </w:r>
      <w:r>
        <w:t>líder</w:t>
      </w:r>
      <w:r>
        <w:rPr>
          <w:spacing w:val="-6"/>
        </w:rPr>
        <w:t xml:space="preserve"> </w:t>
      </w:r>
      <w:r>
        <w:t>social</w:t>
      </w:r>
      <w:r>
        <w:rPr>
          <w:spacing w:val="-7"/>
        </w:rPr>
        <w:t xml:space="preserve"> </w:t>
      </w:r>
      <w:r>
        <w:t>lo</w:t>
      </w:r>
      <w:r>
        <w:rPr>
          <w:spacing w:val="-6"/>
        </w:rPr>
        <w:t xml:space="preserve"> </w:t>
      </w:r>
      <w:r>
        <w:t>resumió</w:t>
      </w:r>
      <w:r>
        <w:rPr>
          <w:spacing w:val="-6"/>
        </w:rPr>
        <w:t xml:space="preserve"> </w:t>
      </w:r>
      <w:r>
        <w:t>en</w:t>
      </w:r>
      <w:r>
        <w:rPr>
          <w:spacing w:val="-6"/>
        </w:rPr>
        <w:t xml:space="preserve"> </w:t>
      </w:r>
      <w:r>
        <w:t>un</w:t>
      </w:r>
      <w:r>
        <w:rPr>
          <w:spacing w:val="-6"/>
        </w:rPr>
        <w:t xml:space="preserve"> </w:t>
      </w:r>
      <w:r>
        <w:t>par</w:t>
      </w:r>
      <w:r>
        <w:rPr>
          <w:spacing w:val="-6"/>
        </w:rPr>
        <w:t xml:space="preserve"> </w:t>
      </w:r>
      <w:r>
        <w:t>de</w:t>
      </w:r>
      <w:r>
        <w:rPr>
          <w:spacing w:val="-6"/>
        </w:rPr>
        <w:t xml:space="preserve"> </w:t>
      </w:r>
      <w:r>
        <w:t>frases:</w:t>
      </w:r>
      <w:r>
        <w:rPr>
          <w:spacing w:val="-6"/>
        </w:rPr>
        <w:t xml:space="preserve"> </w:t>
      </w:r>
      <w:r>
        <w:t>«La</w:t>
      </w:r>
      <w:r>
        <w:rPr>
          <w:spacing w:val="-6"/>
        </w:rPr>
        <w:t xml:space="preserve"> </w:t>
      </w:r>
      <w:r>
        <w:t>justicia</w:t>
      </w:r>
      <w:r>
        <w:rPr>
          <w:spacing w:val="-6"/>
        </w:rPr>
        <w:t xml:space="preserve"> </w:t>
      </w:r>
      <w:r>
        <w:t>no</w:t>
      </w:r>
      <w:r>
        <w:rPr>
          <w:spacing w:val="-6"/>
        </w:rPr>
        <w:t xml:space="preserve"> </w:t>
      </w:r>
      <w:r>
        <w:t>opera. La mayoría de los casos no se esclarecen de fondo. Como no tiene consecuencias lo que se hace,</w:t>
      </w:r>
      <w:r>
        <w:rPr>
          <w:spacing w:val="-15"/>
        </w:rPr>
        <w:t xml:space="preserve"> </w:t>
      </w:r>
      <w:r>
        <w:t>sigue</w:t>
      </w:r>
      <w:r>
        <w:rPr>
          <w:spacing w:val="-15"/>
        </w:rPr>
        <w:t xml:space="preserve"> </w:t>
      </w:r>
      <w:r>
        <w:t>pasando».</w:t>
      </w:r>
      <w:r>
        <w:rPr>
          <w:spacing w:val="-15"/>
        </w:rPr>
        <w:t xml:space="preserve"> </w:t>
      </w:r>
      <w:r>
        <w:t>Muchos</w:t>
      </w:r>
      <w:r>
        <w:rPr>
          <w:spacing w:val="-15"/>
        </w:rPr>
        <w:t xml:space="preserve"> </w:t>
      </w:r>
      <w:r>
        <w:t>delitos</w:t>
      </w:r>
      <w:r>
        <w:rPr>
          <w:spacing w:val="-15"/>
        </w:rPr>
        <w:t xml:space="preserve"> </w:t>
      </w:r>
      <w:r>
        <w:t>graves</w:t>
      </w:r>
      <w:r>
        <w:rPr>
          <w:spacing w:val="-15"/>
        </w:rPr>
        <w:t xml:space="preserve"> </w:t>
      </w:r>
      <w:r>
        <w:t>se</w:t>
      </w:r>
      <w:r>
        <w:rPr>
          <w:spacing w:val="-15"/>
        </w:rPr>
        <w:t xml:space="preserve"> </w:t>
      </w:r>
      <w:r>
        <w:t>cometen</w:t>
      </w:r>
      <w:r>
        <w:rPr>
          <w:spacing w:val="-15"/>
        </w:rPr>
        <w:t xml:space="preserve"> </w:t>
      </w:r>
      <w:r>
        <w:t>a</w:t>
      </w:r>
      <w:r>
        <w:rPr>
          <w:spacing w:val="-15"/>
        </w:rPr>
        <w:t xml:space="preserve"> </w:t>
      </w:r>
      <w:r>
        <w:t>pesar</w:t>
      </w:r>
      <w:r>
        <w:rPr>
          <w:spacing w:val="-15"/>
        </w:rPr>
        <w:t xml:space="preserve"> </w:t>
      </w:r>
      <w:r>
        <w:t>de</w:t>
      </w:r>
      <w:r>
        <w:rPr>
          <w:spacing w:val="-15"/>
        </w:rPr>
        <w:t xml:space="preserve"> </w:t>
      </w:r>
      <w:r>
        <w:t>la</w:t>
      </w:r>
      <w:r>
        <w:rPr>
          <w:spacing w:val="-15"/>
        </w:rPr>
        <w:t xml:space="preserve"> </w:t>
      </w:r>
      <w:r>
        <w:t>existencia</w:t>
      </w:r>
      <w:r>
        <w:rPr>
          <w:spacing w:val="-15"/>
        </w:rPr>
        <w:t xml:space="preserve"> </w:t>
      </w:r>
      <w:r>
        <w:t>de</w:t>
      </w:r>
      <w:r>
        <w:rPr>
          <w:spacing w:val="-15"/>
        </w:rPr>
        <w:t xml:space="preserve"> </w:t>
      </w:r>
      <w:r>
        <w:t>denuncias previas o de las alertas tempranas planteadas desde los entes de control, organizaciones internacionales o la sociedad civil. El problema es histórico y ha reforzado una cultura de impunidad</w:t>
      </w:r>
      <w:r>
        <w:rPr>
          <w:spacing w:val="9"/>
        </w:rPr>
        <w:t xml:space="preserve"> </w:t>
      </w:r>
      <w:r>
        <w:t>alentada</w:t>
      </w:r>
      <w:r>
        <w:rPr>
          <w:spacing w:val="11"/>
        </w:rPr>
        <w:t xml:space="preserve"> </w:t>
      </w:r>
      <w:r>
        <w:t>por</w:t>
      </w:r>
      <w:r>
        <w:rPr>
          <w:spacing w:val="11"/>
        </w:rPr>
        <w:t xml:space="preserve"> </w:t>
      </w:r>
      <w:r>
        <w:t>el</w:t>
      </w:r>
      <w:r>
        <w:rPr>
          <w:spacing w:val="11"/>
        </w:rPr>
        <w:t xml:space="preserve"> </w:t>
      </w:r>
      <w:r>
        <w:t>temor</w:t>
      </w:r>
      <w:r>
        <w:rPr>
          <w:spacing w:val="12"/>
        </w:rPr>
        <w:t xml:space="preserve"> </w:t>
      </w:r>
      <w:r>
        <w:t>a</w:t>
      </w:r>
      <w:r>
        <w:rPr>
          <w:spacing w:val="11"/>
        </w:rPr>
        <w:t xml:space="preserve"> </w:t>
      </w:r>
      <w:r>
        <w:t>denunciar</w:t>
      </w:r>
      <w:r>
        <w:rPr>
          <w:spacing w:val="11"/>
        </w:rPr>
        <w:t xml:space="preserve"> </w:t>
      </w:r>
      <w:r>
        <w:t>y</w:t>
      </w:r>
      <w:r>
        <w:rPr>
          <w:spacing w:val="11"/>
        </w:rPr>
        <w:t xml:space="preserve"> </w:t>
      </w:r>
      <w:r>
        <w:t>que</w:t>
      </w:r>
      <w:r>
        <w:rPr>
          <w:spacing w:val="11"/>
        </w:rPr>
        <w:t xml:space="preserve"> </w:t>
      </w:r>
      <w:r>
        <w:t>constituye</w:t>
      </w:r>
      <w:r>
        <w:rPr>
          <w:spacing w:val="12"/>
        </w:rPr>
        <w:t xml:space="preserve"> </w:t>
      </w:r>
      <w:r>
        <w:t>un</w:t>
      </w:r>
      <w:r>
        <w:rPr>
          <w:spacing w:val="11"/>
        </w:rPr>
        <w:t xml:space="preserve"> </w:t>
      </w:r>
      <w:r>
        <w:t>asunto</w:t>
      </w:r>
      <w:r>
        <w:rPr>
          <w:spacing w:val="11"/>
        </w:rPr>
        <w:t xml:space="preserve"> </w:t>
      </w:r>
      <w:r>
        <w:t>vigente.</w:t>
      </w:r>
      <w:r>
        <w:rPr>
          <w:spacing w:val="11"/>
        </w:rPr>
        <w:t xml:space="preserve"> </w:t>
      </w:r>
      <w:r>
        <w:t>En</w:t>
      </w:r>
      <w:r>
        <w:rPr>
          <w:spacing w:val="10"/>
        </w:rPr>
        <w:t xml:space="preserve"> </w:t>
      </w:r>
      <w:r>
        <w:rPr>
          <w:spacing w:val="-2"/>
        </w:rPr>
        <w:t>2020,</w:t>
      </w:r>
      <w:bookmarkStart w:id="1064" w:name="_bookmark938"/>
      <w:bookmarkStart w:id="1065" w:name="_bookmark939"/>
      <w:bookmarkEnd w:id="1064"/>
      <w:bookmarkEnd w:id="1065"/>
      <w:r w:rsidR="00E7096D">
        <w:t xml:space="preserve"> </w:t>
      </w:r>
      <w:r>
        <w:t>por</w:t>
      </w:r>
      <w:r>
        <w:rPr>
          <w:spacing w:val="-6"/>
        </w:rPr>
        <w:t xml:space="preserve"> </w:t>
      </w:r>
      <w:r>
        <w:t>ejemplo,</w:t>
      </w:r>
      <w:r>
        <w:rPr>
          <w:spacing w:val="-7"/>
        </w:rPr>
        <w:t xml:space="preserve"> </w:t>
      </w:r>
      <w:r>
        <w:t>hubo</w:t>
      </w:r>
      <w:r>
        <w:rPr>
          <w:spacing w:val="-6"/>
        </w:rPr>
        <w:t xml:space="preserve"> </w:t>
      </w:r>
      <w:r>
        <w:t>91</w:t>
      </w:r>
      <w:r>
        <w:rPr>
          <w:spacing w:val="-6"/>
        </w:rPr>
        <w:t xml:space="preserve"> </w:t>
      </w:r>
      <w:r>
        <w:t>masacres</w:t>
      </w:r>
      <w:r>
        <w:rPr>
          <w:spacing w:val="-7"/>
        </w:rPr>
        <w:t xml:space="preserve"> </w:t>
      </w:r>
      <w:r>
        <w:t>en</w:t>
      </w:r>
      <w:r>
        <w:rPr>
          <w:spacing w:val="-6"/>
        </w:rPr>
        <w:t xml:space="preserve"> </w:t>
      </w:r>
      <w:r>
        <w:t>las</w:t>
      </w:r>
      <w:r>
        <w:rPr>
          <w:spacing w:val="-7"/>
        </w:rPr>
        <w:t xml:space="preserve"> </w:t>
      </w:r>
      <w:r>
        <w:t>que</w:t>
      </w:r>
      <w:r>
        <w:rPr>
          <w:spacing w:val="-6"/>
        </w:rPr>
        <w:t xml:space="preserve"> </w:t>
      </w:r>
      <w:r>
        <w:t>381</w:t>
      </w:r>
      <w:r>
        <w:rPr>
          <w:spacing w:val="-6"/>
        </w:rPr>
        <w:t xml:space="preserve"> </w:t>
      </w:r>
      <w:r>
        <w:t>personas</w:t>
      </w:r>
      <w:r>
        <w:rPr>
          <w:spacing w:val="-6"/>
        </w:rPr>
        <w:t xml:space="preserve"> </w:t>
      </w:r>
      <w:r>
        <w:t>fueron</w:t>
      </w:r>
      <w:r>
        <w:rPr>
          <w:spacing w:val="-7"/>
        </w:rPr>
        <w:t xml:space="preserve"> </w:t>
      </w:r>
      <w:r>
        <w:t>asesinadas.</w:t>
      </w:r>
      <w:r>
        <w:rPr>
          <w:spacing w:val="-7"/>
        </w:rPr>
        <w:t xml:space="preserve"> </w:t>
      </w:r>
      <w:r>
        <w:t>En</w:t>
      </w:r>
      <w:r>
        <w:rPr>
          <w:spacing w:val="-6"/>
        </w:rPr>
        <w:t xml:space="preserve"> </w:t>
      </w:r>
      <w:r>
        <w:t>el</w:t>
      </w:r>
      <w:r>
        <w:rPr>
          <w:spacing w:val="-6"/>
        </w:rPr>
        <w:t xml:space="preserve"> </w:t>
      </w:r>
      <w:r>
        <w:t>89</w:t>
      </w:r>
      <w:r>
        <w:rPr>
          <w:spacing w:val="-3"/>
        </w:rPr>
        <w:t xml:space="preserve"> </w:t>
      </w:r>
      <w:r>
        <w:t>%</w:t>
      </w:r>
      <w:r>
        <w:rPr>
          <w:spacing w:val="-7"/>
        </w:rPr>
        <w:t xml:space="preserve"> </w:t>
      </w:r>
      <w:r>
        <w:t>de</w:t>
      </w:r>
      <w:r>
        <w:rPr>
          <w:spacing w:val="-6"/>
        </w:rPr>
        <w:t xml:space="preserve"> </w:t>
      </w:r>
      <w:r>
        <w:t>los municipios en los que estas ocurrieron, la Defensoría había alertado al Gobierno sobre el riesgo en el que se encontraban las comunidades</w:t>
      </w:r>
      <w:r w:rsidR="00E7096D">
        <w:rPr>
          <w:rStyle w:val="Refdenotaalpie"/>
        </w:rPr>
        <w:footnoteReference w:id="861"/>
      </w:r>
      <w:r>
        <w:t>.</w:t>
      </w:r>
    </w:p>
    <w:p w:rsidR="003804AC" w:rsidRDefault="00AF18A5" w:rsidP="00E7096D">
      <w:r>
        <w:t>La</w:t>
      </w:r>
      <w:r>
        <w:rPr>
          <w:spacing w:val="-10"/>
        </w:rPr>
        <w:t xml:space="preserve"> </w:t>
      </w:r>
      <w:r>
        <w:t>impunidad</w:t>
      </w:r>
      <w:r>
        <w:rPr>
          <w:spacing w:val="-10"/>
        </w:rPr>
        <w:t xml:space="preserve"> </w:t>
      </w:r>
      <w:r>
        <w:t>se</w:t>
      </w:r>
      <w:r>
        <w:rPr>
          <w:spacing w:val="-10"/>
        </w:rPr>
        <w:t xml:space="preserve"> </w:t>
      </w:r>
      <w:r>
        <w:t>ha</w:t>
      </w:r>
      <w:r>
        <w:rPr>
          <w:spacing w:val="-10"/>
        </w:rPr>
        <w:t xml:space="preserve"> </w:t>
      </w:r>
      <w:r>
        <w:t>tejido</w:t>
      </w:r>
      <w:r>
        <w:rPr>
          <w:spacing w:val="-10"/>
        </w:rPr>
        <w:t xml:space="preserve"> </w:t>
      </w:r>
      <w:r>
        <w:t>a</w:t>
      </w:r>
      <w:r>
        <w:rPr>
          <w:spacing w:val="-10"/>
        </w:rPr>
        <w:t xml:space="preserve"> </w:t>
      </w:r>
      <w:r>
        <w:t>lo</w:t>
      </w:r>
      <w:r>
        <w:rPr>
          <w:spacing w:val="-10"/>
        </w:rPr>
        <w:t xml:space="preserve"> </w:t>
      </w:r>
      <w:r>
        <w:t>largo</w:t>
      </w:r>
      <w:r>
        <w:rPr>
          <w:spacing w:val="-11"/>
        </w:rPr>
        <w:t xml:space="preserve"> </w:t>
      </w:r>
      <w:r>
        <w:t>de</w:t>
      </w:r>
      <w:r>
        <w:rPr>
          <w:spacing w:val="-10"/>
        </w:rPr>
        <w:t xml:space="preserve"> </w:t>
      </w:r>
      <w:r>
        <w:t>los</w:t>
      </w:r>
      <w:r>
        <w:rPr>
          <w:spacing w:val="-10"/>
        </w:rPr>
        <w:t xml:space="preserve"> </w:t>
      </w:r>
      <w:r>
        <w:t>años</w:t>
      </w:r>
      <w:r>
        <w:rPr>
          <w:spacing w:val="-10"/>
        </w:rPr>
        <w:t xml:space="preserve"> </w:t>
      </w:r>
      <w:r>
        <w:t>por</w:t>
      </w:r>
      <w:r>
        <w:rPr>
          <w:spacing w:val="-10"/>
        </w:rPr>
        <w:t xml:space="preserve"> </w:t>
      </w:r>
      <w:r>
        <w:t>diferentes</w:t>
      </w:r>
      <w:r>
        <w:rPr>
          <w:spacing w:val="-11"/>
        </w:rPr>
        <w:t xml:space="preserve"> </w:t>
      </w:r>
      <w:r>
        <w:t>factores.</w:t>
      </w:r>
      <w:r>
        <w:rPr>
          <w:spacing w:val="-10"/>
        </w:rPr>
        <w:t xml:space="preserve"> </w:t>
      </w:r>
      <w:r>
        <w:lastRenderedPageBreak/>
        <w:t>El</w:t>
      </w:r>
      <w:r>
        <w:rPr>
          <w:spacing w:val="-11"/>
        </w:rPr>
        <w:t xml:space="preserve"> </w:t>
      </w:r>
      <w:r>
        <w:t>primero</w:t>
      </w:r>
      <w:r>
        <w:rPr>
          <w:spacing w:val="-10"/>
        </w:rPr>
        <w:t xml:space="preserve"> </w:t>
      </w:r>
      <w:r>
        <w:t>ha</w:t>
      </w:r>
      <w:r>
        <w:rPr>
          <w:spacing w:val="-10"/>
        </w:rPr>
        <w:t xml:space="preserve"> </w:t>
      </w:r>
      <w:r>
        <w:t>sido la baja respuesta institucional a las víctimas, especialmente en casos de derechos humanos. Esto</w:t>
      </w:r>
      <w:r>
        <w:rPr>
          <w:spacing w:val="-10"/>
        </w:rPr>
        <w:t xml:space="preserve"> </w:t>
      </w:r>
      <w:r>
        <w:t>ha</w:t>
      </w:r>
      <w:r>
        <w:rPr>
          <w:spacing w:val="-9"/>
        </w:rPr>
        <w:t xml:space="preserve"> </w:t>
      </w:r>
      <w:r>
        <w:t>sucedido</w:t>
      </w:r>
      <w:r>
        <w:rPr>
          <w:spacing w:val="-10"/>
        </w:rPr>
        <w:t xml:space="preserve"> </w:t>
      </w:r>
      <w:r>
        <w:t>por</w:t>
      </w:r>
      <w:r>
        <w:rPr>
          <w:spacing w:val="-9"/>
        </w:rPr>
        <w:t xml:space="preserve"> </w:t>
      </w:r>
      <w:r>
        <w:t>desidia</w:t>
      </w:r>
      <w:r>
        <w:rPr>
          <w:spacing w:val="-9"/>
        </w:rPr>
        <w:t xml:space="preserve"> </w:t>
      </w:r>
      <w:r>
        <w:t>investigativa,</w:t>
      </w:r>
      <w:r>
        <w:rPr>
          <w:spacing w:val="-11"/>
        </w:rPr>
        <w:t xml:space="preserve"> </w:t>
      </w:r>
      <w:r>
        <w:t>falta</w:t>
      </w:r>
      <w:r>
        <w:rPr>
          <w:spacing w:val="-9"/>
        </w:rPr>
        <w:t xml:space="preserve"> </w:t>
      </w:r>
      <w:r>
        <w:t>de</w:t>
      </w:r>
      <w:r>
        <w:rPr>
          <w:spacing w:val="-9"/>
        </w:rPr>
        <w:t xml:space="preserve"> </w:t>
      </w:r>
      <w:r>
        <w:t>acceso</w:t>
      </w:r>
      <w:r>
        <w:rPr>
          <w:spacing w:val="-10"/>
        </w:rPr>
        <w:t xml:space="preserve"> </w:t>
      </w:r>
      <w:r>
        <w:t>en</w:t>
      </w:r>
      <w:r>
        <w:rPr>
          <w:spacing w:val="-11"/>
        </w:rPr>
        <w:t xml:space="preserve"> </w:t>
      </w:r>
      <w:r>
        <w:t>los</w:t>
      </w:r>
      <w:r>
        <w:rPr>
          <w:spacing w:val="-10"/>
        </w:rPr>
        <w:t xml:space="preserve"> </w:t>
      </w:r>
      <w:r>
        <w:t>territorios</w:t>
      </w:r>
      <w:r>
        <w:rPr>
          <w:spacing w:val="-11"/>
        </w:rPr>
        <w:t xml:space="preserve"> </w:t>
      </w:r>
      <w:r>
        <w:t>o</w:t>
      </w:r>
      <w:r>
        <w:rPr>
          <w:spacing w:val="-10"/>
        </w:rPr>
        <w:t xml:space="preserve"> </w:t>
      </w:r>
      <w:r>
        <w:t>burocratización de</w:t>
      </w:r>
      <w:r>
        <w:rPr>
          <w:spacing w:val="-2"/>
        </w:rPr>
        <w:t xml:space="preserve"> </w:t>
      </w:r>
      <w:r>
        <w:t>la</w:t>
      </w:r>
      <w:r>
        <w:rPr>
          <w:spacing w:val="-3"/>
        </w:rPr>
        <w:t xml:space="preserve"> </w:t>
      </w:r>
      <w:r>
        <w:t>justicia,</w:t>
      </w:r>
      <w:r>
        <w:rPr>
          <w:spacing w:val="-2"/>
        </w:rPr>
        <w:t xml:space="preserve"> </w:t>
      </w:r>
      <w:r>
        <w:t>que</w:t>
      </w:r>
      <w:r>
        <w:rPr>
          <w:spacing w:val="-2"/>
        </w:rPr>
        <w:t xml:space="preserve"> </w:t>
      </w:r>
      <w:r>
        <w:t>nunca</w:t>
      </w:r>
      <w:r>
        <w:rPr>
          <w:spacing w:val="-3"/>
        </w:rPr>
        <w:t xml:space="preserve"> </w:t>
      </w:r>
      <w:r>
        <w:t>ha</w:t>
      </w:r>
      <w:r>
        <w:rPr>
          <w:spacing w:val="-2"/>
        </w:rPr>
        <w:t xml:space="preserve"> </w:t>
      </w:r>
      <w:r>
        <w:t>sido</w:t>
      </w:r>
      <w:r>
        <w:rPr>
          <w:spacing w:val="-2"/>
        </w:rPr>
        <w:t xml:space="preserve"> </w:t>
      </w:r>
      <w:r>
        <w:t>vista</w:t>
      </w:r>
      <w:r>
        <w:rPr>
          <w:spacing w:val="-3"/>
        </w:rPr>
        <w:t xml:space="preserve"> </w:t>
      </w:r>
      <w:r>
        <w:t>como</w:t>
      </w:r>
      <w:r>
        <w:rPr>
          <w:spacing w:val="-2"/>
        </w:rPr>
        <w:t xml:space="preserve"> </w:t>
      </w:r>
      <w:r>
        <w:t>un</w:t>
      </w:r>
      <w:r>
        <w:rPr>
          <w:spacing w:val="-3"/>
        </w:rPr>
        <w:t xml:space="preserve"> </w:t>
      </w:r>
      <w:r>
        <w:t>componente</w:t>
      </w:r>
      <w:r>
        <w:rPr>
          <w:spacing w:val="-3"/>
        </w:rPr>
        <w:t xml:space="preserve"> </w:t>
      </w:r>
      <w:r>
        <w:t>prioritario</w:t>
      </w:r>
      <w:r>
        <w:rPr>
          <w:spacing w:val="-2"/>
        </w:rPr>
        <w:t xml:space="preserve"> </w:t>
      </w:r>
      <w:r>
        <w:t>del</w:t>
      </w:r>
      <w:r>
        <w:rPr>
          <w:spacing w:val="-3"/>
        </w:rPr>
        <w:t xml:space="preserve"> </w:t>
      </w:r>
      <w:r>
        <w:t>Estado,</w:t>
      </w:r>
      <w:r>
        <w:rPr>
          <w:spacing w:val="-2"/>
        </w:rPr>
        <w:t xml:space="preserve"> </w:t>
      </w:r>
      <w:r>
        <w:t>sino,</w:t>
      </w:r>
      <w:r>
        <w:rPr>
          <w:spacing w:val="-2"/>
        </w:rPr>
        <w:t xml:space="preserve"> </w:t>
      </w:r>
      <w:r>
        <w:t>más bien, como un poder que no muestra plazos razonables en sus decisiones y que, por el contrario, se</w:t>
      </w:r>
      <w:r>
        <w:rPr>
          <w:spacing w:val="-1"/>
        </w:rPr>
        <w:t xml:space="preserve"> </w:t>
      </w:r>
      <w:r>
        <w:t>caracteriza</w:t>
      </w:r>
      <w:r>
        <w:rPr>
          <w:spacing w:val="-2"/>
        </w:rPr>
        <w:t xml:space="preserve"> </w:t>
      </w:r>
      <w:r>
        <w:t>por los vencimientos de</w:t>
      </w:r>
      <w:r>
        <w:rPr>
          <w:spacing w:val="-1"/>
        </w:rPr>
        <w:t xml:space="preserve"> </w:t>
      </w:r>
      <w:r>
        <w:t>términos,</w:t>
      </w:r>
      <w:r>
        <w:rPr>
          <w:spacing w:val="-1"/>
        </w:rPr>
        <w:t xml:space="preserve"> </w:t>
      </w:r>
      <w:r>
        <w:t>las prescripciones o la</w:t>
      </w:r>
      <w:r>
        <w:rPr>
          <w:spacing w:val="-1"/>
        </w:rPr>
        <w:t xml:space="preserve"> </w:t>
      </w:r>
      <w:r>
        <w:t>concesión de libertades a través de atajos jurídicos.</w:t>
      </w:r>
    </w:p>
    <w:p w:rsidR="003804AC" w:rsidRDefault="00AF18A5" w:rsidP="00E7096D">
      <w:r>
        <w:t>En</w:t>
      </w:r>
      <w:r>
        <w:rPr>
          <w:spacing w:val="-11"/>
        </w:rPr>
        <w:t xml:space="preserve"> </w:t>
      </w:r>
      <w:r>
        <w:t>Colombia,</w:t>
      </w:r>
      <w:r>
        <w:rPr>
          <w:spacing w:val="-11"/>
        </w:rPr>
        <w:t xml:space="preserve"> </w:t>
      </w:r>
      <w:r>
        <w:t>la</w:t>
      </w:r>
      <w:r>
        <w:rPr>
          <w:spacing w:val="-10"/>
        </w:rPr>
        <w:t xml:space="preserve"> </w:t>
      </w:r>
      <w:r>
        <w:t>justicia</w:t>
      </w:r>
      <w:r>
        <w:rPr>
          <w:spacing w:val="-11"/>
        </w:rPr>
        <w:t xml:space="preserve"> </w:t>
      </w:r>
      <w:r>
        <w:t>ha</w:t>
      </w:r>
      <w:r>
        <w:rPr>
          <w:spacing w:val="-10"/>
        </w:rPr>
        <w:t xml:space="preserve"> </w:t>
      </w:r>
      <w:r>
        <w:t>sido</w:t>
      </w:r>
      <w:r>
        <w:rPr>
          <w:spacing w:val="-11"/>
        </w:rPr>
        <w:t xml:space="preserve"> </w:t>
      </w:r>
      <w:r>
        <w:t>encasillada</w:t>
      </w:r>
      <w:r>
        <w:rPr>
          <w:spacing w:val="-10"/>
        </w:rPr>
        <w:t xml:space="preserve"> </w:t>
      </w:r>
      <w:r>
        <w:t>en</w:t>
      </w:r>
      <w:r>
        <w:rPr>
          <w:spacing w:val="-11"/>
        </w:rPr>
        <w:t xml:space="preserve"> </w:t>
      </w:r>
      <w:r>
        <w:t>los</w:t>
      </w:r>
      <w:r>
        <w:rPr>
          <w:spacing w:val="-10"/>
        </w:rPr>
        <w:t xml:space="preserve"> </w:t>
      </w:r>
      <w:r>
        <w:t>propósitos</w:t>
      </w:r>
      <w:r>
        <w:rPr>
          <w:spacing w:val="-10"/>
        </w:rPr>
        <w:t xml:space="preserve"> </w:t>
      </w:r>
      <w:r>
        <w:t>de</w:t>
      </w:r>
      <w:r>
        <w:rPr>
          <w:spacing w:val="-10"/>
        </w:rPr>
        <w:t xml:space="preserve"> </w:t>
      </w:r>
      <w:r>
        <w:t>los</w:t>
      </w:r>
      <w:r>
        <w:rPr>
          <w:spacing w:val="-10"/>
        </w:rPr>
        <w:t xml:space="preserve"> </w:t>
      </w:r>
      <w:r>
        <w:t>estados</w:t>
      </w:r>
      <w:r>
        <w:rPr>
          <w:spacing w:val="-10"/>
        </w:rPr>
        <w:t xml:space="preserve"> </w:t>
      </w:r>
      <w:r>
        <w:t>de</w:t>
      </w:r>
      <w:r>
        <w:rPr>
          <w:spacing w:val="-10"/>
        </w:rPr>
        <w:t xml:space="preserve"> </w:t>
      </w:r>
      <w:r>
        <w:t>excepción, con</w:t>
      </w:r>
      <w:r>
        <w:rPr>
          <w:spacing w:val="-5"/>
        </w:rPr>
        <w:t xml:space="preserve"> </w:t>
      </w:r>
      <w:r>
        <w:t>omisiones</w:t>
      </w:r>
      <w:r>
        <w:rPr>
          <w:spacing w:val="-4"/>
        </w:rPr>
        <w:t xml:space="preserve"> </w:t>
      </w:r>
      <w:r>
        <w:t>o</w:t>
      </w:r>
      <w:r>
        <w:rPr>
          <w:spacing w:val="-5"/>
        </w:rPr>
        <w:t xml:space="preserve"> </w:t>
      </w:r>
      <w:r>
        <w:t>tendencias</w:t>
      </w:r>
      <w:r>
        <w:rPr>
          <w:spacing w:val="-4"/>
        </w:rPr>
        <w:t xml:space="preserve"> </w:t>
      </w:r>
      <w:r>
        <w:t>contrainsurgentes</w:t>
      </w:r>
      <w:r>
        <w:rPr>
          <w:spacing w:val="-6"/>
        </w:rPr>
        <w:t xml:space="preserve"> </w:t>
      </w:r>
      <w:r>
        <w:t>que</w:t>
      </w:r>
      <w:r>
        <w:rPr>
          <w:spacing w:val="-6"/>
        </w:rPr>
        <w:t xml:space="preserve"> </w:t>
      </w:r>
      <w:r>
        <w:t>dejaron</w:t>
      </w:r>
      <w:r>
        <w:rPr>
          <w:spacing w:val="-6"/>
        </w:rPr>
        <w:t xml:space="preserve"> </w:t>
      </w:r>
      <w:r>
        <w:t>sin</w:t>
      </w:r>
      <w:r>
        <w:rPr>
          <w:spacing w:val="-6"/>
        </w:rPr>
        <w:t xml:space="preserve"> </w:t>
      </w:r>
      <w:r>
        <w:t>sanciones</w:t>
      </w:r>
      <w:r>
        <w:rPr>
          <w:spacing w:val="-6"/>
        </w:rPr>
        <w:t xml:space="preserve"> </w:t>
      </w:r>
      <w:r>
        <w:t>muchas</w:t>
      </w:r>
      <w:r>
        <w:rPr>
          <w:spacing w:val="-4"/>
        </w:rPr>
        <w:t xml:space="preserve"> </w:t>
      </w:r>
      <w:r>
        <w:t>violaciones de derechos humanos. Adicionalmente, en diferentes momentos del conflicto armado, el sector judicial fue atacado, con agravantes de impunidad, a pesar del compromiso y de los avances de muchos de sus funcionarios. La corrupción y la cooptación de las instituciones para</w:t>
      </w:r>
      <w:r>
        <w:rPr>
          <w:spacing w:val="-4"/>
        </w:rPr>
        <w:t xml:space="preserve"> </w:t>
      </w:r>
      <w:r>
        <w:t>neutralizar</w:t>
      </w:r>
      <w:r>
        <w:rPr>
          <w:spacing w:val="-5"/>
        </w:rPr>
        <w:t xml:space="preserve"> </w:t>
      </w:r>
      <w:r>
        <w:t>investigaciones</w:t>
      </w:r>
      <w:r>
        <w:rPr>
          <w:spacing w:val="-4"/>
        </w:rPr>
        <w:t xml:space="preserve"> </w:t>
      </w:r>
      <w:r>
        <w:t>del</w:t>
      </w:r>
      <w:r>
        <w:rPr>
          <w:spacing w:val="-5"/>
        </w:rPr>
        <w:t xml:space="preserve"> </w:t>
      </w:r>
      <w:r>
        <w:t>conflicto</w:t>
      </w:r>
      <w:r>
        <w:rPr>
          <w:spacing w:val="-6"/>
        </w:rPr>
        <w:t xml:space="preserve"> </w:t>
      </w:r>
      <w:r>
        <w:t>también</w:t>
      </w:r>
      <w:r>
        <w:rPr>
          <w:spacing w:val="-5"/>
        </w:rPr>
        <w:t xml:space="preserve"> </w:t>
      </w:r>
      <w:r>
        <w:t>se</w:t>
      </w:r>
      <w:r>
        <w:rPr>
          <w:spacing w:val="-6"/>
        </w:rPr>
        <w:t xml:space="preserve"> </w:t>
      </w:r>
      <w:r>
        <w:t>han</w:t>
      </w:r>
      <w:r>
        <w:rPr>
          <w:spacing w:val="-6"/>
        </w:rPr>
        <w:t xml:space="preserve"> </w:t>
      </w:r>
      <w:r>
        <w:t>sumado</w:t>
      </w:r>
      <w:r>
        <w:rPr>
          <w:spacing w:val="-5"/>
        </w:rPr>
        <w:t xml:space="preserve"> </w:t>
      </w:r>
      <w:r>
        <w:t>a</w:t>
      </w:r>
      <w:r>
        <w:rPr>
          <w:spacing w:val="-6"/>
        </w:rPr>
        <w:t xml:space="preserve"> </w:t>
      </w:r>
      <w:r>
        <w:t>esta</w:t>
      </w:r>
      <w:r>
        <w:rPr>
          <w:spacing w:val="-4"/>
        </w:rPr>
        <w:t xml:space="preserve"> </w:t>
      </w:r>
      <w:r>
        <w:t>crítica</w:t>
      </w:r>
      <w:r>
        <w:rPr>
          <w:spacing w:val="-6"/>
        </w:rPr>
        <w:t xml:space="preserve"> </w:t>
      </w:r>
      <w:r>
        <w:t>situación. La</w:t>
      </w:r>
      <w:r>
        <w:rPr>
          <w:spacing w:val="-13"/>
        </w:rPr>
        <w:t xml:space="preserve"> </w:t>
      </w:r>
      <w:r>
        <w:t>incidencia</w:t>
      </w:r>
      <w:r>
        <w:rPr>
          <w:spacing w:val="-13"/>
        </w:rPr>
        <w:t xml:space="preserve"> </w:t>
      </w:r>
      <w:r>
        <w:t>negativa</w:t>
      </w:r>
      <w:r>
        <w:rPr>
          <w:spacing w:val="-13"/>
        </w:rPr>
        <w:t xml:space="preserve"> </w:t>
      </w:r>
      <w:r>
        <w:t>de</w:t>
      </w:r>
      <w:r>
        <w:rPr>
          <w:spacing w:val="-13"/>
        </w:rPr>
        <w:t xml:space="preserve"> </w:t>
      </w:r>
      <w:r>
        <w:t>la</w:t>
      </w:r>
      <w:r>
        <w:rPr>
          <w:spacing w:val="-13"/>
        </w:rPr>
        <w:t xml:space="preserve"> </w:t>
      </w:r>
      <w:r>
        <w:t>extradición</w:t>
      </w:r>
      <w:r>
        <w:rPr>
          <w:spacing w:val="-13"/>
        </w:rPr>
        <w:t xml:space="preserve"> </w:t>
      </w:r>
      <w:r>
        <w:t>en</w:t>
      </w:r>
      <w:r>
        <w:rPr>
          <w:spacing w:val="-13"/>
        </w:rPr>
        <w:t xml:space="preserve"> </w:t>
      </w:r>
      <w:r>
        <w:t>los</w:t>
      </w:r>
      <w:r>
        <w:rPr>
          <w:spacing w:val="-13"/>
        </w:rPr>
        <w:t xml:space="preserve"> </w:t>
      </w:r>
      <w:r>
        <w:t>derechos</w:t>
      </w:r>
      <w:r>
        <w:rPr>
          <w:spacing w:val="-13"/>
        </w:rPr>
        <w:t xml:space="preserve"> </w:t>
      </w:r>
      <w:r>
        <w:t>a</w:t>
      </w:r>
      <w:r>
        <w:rPr>
          <w:spacing w:val="-13"/>
        </w:rPr>
        <w:t xml:space="preserve"> </w:t>
      </w:r>
      <w:r>
        <w:t>la</w:t>
      </w:r>
      <w:r>
        <w:rPr>
          <w:spacing w:val="-13"/>
        </w:rPr>
        <w:t xml:space="preserve"> </w:t>
      </w:r>
      <w:r>
        <w:t>verdad</w:t>
      </w:r>
      <w:r>
        <w:rPr>
          <w:spacing w:val="-13"/>
        </w:rPr>
        <w:t xml:space="preserve"> </w:t>
      </w:r>
      <w:r>
        <w:t>y</w:t>
      </w:r>
      <w:r>
        <w:rPr>
          <w:spacing w:val="-13"/>
        </w:rPr>
        <w:t xml:space="preserve"> </w:t>
      </w:r>
      <w:r>
        <w:t>la</w:t>
      </w:r>
      <w:r>
        <w:rPr>
          <w:spacing w:val="-13"/>
        </w:rPr>
        <w:t xml:space="preserve"> </w:t>
      </w:r>
      <w:r>
        <w:t>justicia</w:t>
      </w:r>
      <w:r>
        <w:rPr>
          <w:spacing w:val="-13"/>
        </w:rPr>
        <w:t xml:space="preserve"> </w:t>
      </w:r>
      <w:r>
        <w:t>en</w:t>
      </w:r>
      <w:r>
        <w:rPr>
          <w:spacing w:val="-13"/>
        </w:rPr>
        <w:t xml:space="preserve"> </w:t>
      </w:r>
      <w:r>
        <w:t xml:space="preserve">Colombia, en relación con las víctimas del conflicto armado, completó el panorama de los últimos </w:t>
      </w:r>
      <w:r>
        <w:rPr>
          <w:spacing w:val="-2"/>
        </w:rPr>
        <w:t>tiempos.</w:t>
      </w:r>
    </w:p>
    <w:p w:rsidR="003804AC" w:rsidRDefault="00AF18A5" w:rsidP="00E7096D">
      <w:r>
        <w:t>A</w:t>
      </w:r>
      <w:r>
        <w:rPr>
          <w:spacing w:val="-15"/>
        </w:rPr>
        <w:t xml:space="preserve"> </w:t>
      </w:r>
      <w:r>
        <w:t>lo</w:t>
      </w:r>
      <w:r>
        <w:rPr>
          <w:spacing w:val="-15"/>
        </w:rPr>
        <w:t xml:space="preserve"> </w:t>
      </w:r>
      <w:r>
        <w:t>largo</w:t>
      </w:r>
      <w:r>
        <w:rPr>
          <w:spacing w:val="-15"/>
        </w:rPr>
        <w:t xml:space="preserve"> </w:t>
      </w:r>
      <w:r>
        <w:t>de</w:t>
      </w:r>
      <w:r>
        <w:rPr>
          <w:spacing w:val="-15"/>
        </w:rPr>
        <w:t xml:space="preserve"> </w:t>
      </w:r>
      <w:r>
        <w:t>sucesivos</w:t>
      </w:r>
      <w:r>
        <w:rPr>
          <w:spacing w:val="-15"/>
        </w:rPr>
        <w:t xml:space="preserve"> </w:t>
      </w:r>
      <w:r>
        <w:t>gobiernos,</w:t>
      </w:r>
      <w:r>
        <w:rPr>
          <w:spacing w:val="-15"/>
        </w:rPr>
        <w:t xml:space="preserve"> </w:t>
      </w:r>
      <w:r>
        <w:t>las</w:t>
      </w:r>
      <w:r>
        <w:rPr>
          <w:spacing w:val="-15"/>
        </w:rPr>
        <w:t xml:space="preserve"> </w:t>
      </w:r>
      <w:r>
        <w:t>autoridades</w:t>
      </w:r>
      <w:r>
        <w:rPr>
          <w:spacing w:val="-15"/>
        </w:rPr>
        <w:t xml:space="preserve"> </w:t>
      </w:r>
      <w:r>
        <w:t>de</w:t>
      </w:r>
      <w:r>
        <w:rPr>
          <w:spacing w:val="-15"/>
        </w:rPr>
        <w:t xml:space="preserve"> </w:t>
      </w:r>
      <w:r>
        <w:t>Colombia</w:t>
      </w:r>
      <w:r>
        <w:rPr>
          <w:spacing w:val="-15"/>
        </w:rPr>
        <w:t xml:space="preserve"> </w:t>
      </w:r>
      <w:r>
        <w:t>han</w:t>
      </w:r>
      <w:r>
        <w:rPr>
          <w:spacing w:val="-15"/>
        </w:rPr>
        <w:t xml:space="preserve"> </w:t>
      </w:r>
      <w:r>
        <w:t>promovido</w:t>
      </w:r>
      <w:r>
        <w:rPr>
          <w:spacing w:val="-15"/>
        </w:rPr>
        <w:t xml:space="preserve"> </w:t>
      </w:r>
      <w:r>
        <w:t>numerosas reformas a la justicia que podrían haber dado respuestas. Sin embargo, estas fueron innovaciones más formales que reales: nuevas leyes, ajustes de nombramientos en magistraturas, juzgados o tribunales, pero pocos avances auténticos para desmontar los entramados de la criminalidad y las organizaciones armadas.</w:t>
      </w:r>
    </w:p>
    <w:p w:rsidR="003804AC" w:rsidRDefault="00AF18A5" w:rsidP="00E7096D">
      <w:r>
        <w:t>También se han acumulado múltiples sentencias internacionales de la Corte Interamericana</w:t>
      </w:r>
      <w:r>
        <w:rPr>
          <w:spacing w:val="-4"/>
        </w:rPr>
        <w:t xml:space="preserve"> </w:t>
      </w:r>
      <w:r>
        <w:t>de</w:t>
      </w:r>
      <w:r>
        <w:rPr>
          <w:spacing w:val="-2"/>
        </w:rPr>
        <w:t xml:space="preserve"> </w:t>
      </w:r>
      <w:r>
        <w:t>Derechos</w:t>
      </w:r>
      <w:r>
        <w:rPr>
          <w:spacing w:val="-2"/>
        </w:rPr>
        <w:t xml:space="preserve"> </w:t>
      </w:r>
      <w:r>
        <w:t>Humanos</w:t>
      </w:r>
      <w:r>
        <w:rPr>
          <w:spacing w:val="-2"/>
        </w:rPr>
        <w:t xml:space="preserve"> </w:t>
      </w:r>
      <w:r>
        <w:t>o</w:t>
      </w:r>
      <w:r>
        <w:rPr>
          <w:spacing w:val="-3"/>
        </w:rPr>
        <w:t xml:space="preserve"> </w:t>
      </w:r>
      <w:r>
        <w:t>del</w:t>
      </w:r>
      <w:r>
        <w:rPr>
          <w:spacing w:val="-2"/>
        </w:rPr>
        <w:t xml:space="preserve"> </w:t>
      </w:r>
      <w:r>
        <w:t>Consejo</w:t>
      </w:r>
      <w:r>
        <w:rPr>
          <w:spacing w:val="-3"/>
        </w:rPr>
        <w:t xml:space="preserve"> </w:t>
      </w:r>
      <w:r>
        <w:t>de</w:t>
      </w:r>
      <w:r>
        <w:rPr>
          <w:spacing w:val="-2"/>
        </w:rPr>
        <w:t xml:space="preserve"> </w:t>
      </w:r>
      <w:r>
        <w:t>Derechos</w:t>
      </w:r>
      <w:r>
        <w:rPr>
          <w:spacing w:val="-2"/>
        </w:rPr>
        <w:t xml:space="preserve"> </w:t>
      </w:r>
      <w:r>
        <w:lastRenderedPageBreak/>
        <w:t>Humanos</w:t>
      </w:r>
      <w:r>
        <w:rPr>
          <w:spacing w:val="-2"/>
        </w:rPr>
        <w:t xml:space="preserve"> </w:t>
      </w:r>
      <w:r>
        <w:t>de</w:t>
      </w:r>
      <w:r>
        <w:rPr>
          <w:spacing w:val="-2"/>
        </w:rPr>
        <w:t xml:space="preserve"> </w:t>
      </w:r>
      <w:r>
        <w:t>las</w:t>
      </w:r>
      <w:r>
        <w:rPr>
          <w:spacing w:val="-1"/>
        </w:rPr>
        <w:t xml:space="preserve"> </w:t>
      </w:r>
      <w:r>
        <w:rPr>
          <w:spacing w:val="-2"/>
        </w:rPr>
        <w:t>Naciones</w:t>
      </w:r>
      <w:bookmarkStart w:id="1066" w:name="_bookmark940"/>
      <w:bookmarkEnd w:id="1066"/>
      <w:r w:rsidR="00E7096D">
        <w:t xml:space="preserve"> </w:t>
      </w:r>
      <w:r>
        <w:t>Unidas, informes de la Comisión Interamericana de Derechos Humanos (CIDH) y medidas cautelares</w:t>
      </w:r>
      <w:r>
        <w:rPr>
          <w:spacing w:val="-15"/>
        </w:rPr>
        <w:t xml:space="preserve"> </w:t>
      </w:r>
      <w:r>
        <w:t>expedidas</w:t>
      </w:r>
      <w:r>
        <w:rPr>
          <w:spacing w:val="-15"/>
        </w:rPr>
        <w:t xml:space="preserve"> </w:t>
      </w:r>
      <w:r>
        <w:t>para</w:t>
      </w:r>
      <w:r>
        <w:rPr>
          <w:spacing w:val="-15"/>
        </w:rPr>
        <w:t xml:space="preserve"> </w:t>
      </w:r>
      <w:r>
        <w:t>la</w:t>
      </w:r>
      <w:r>
        <w:rPr>
          <w:spacing w:val="-15"/>
        </w:rPr>
        <w:t xml:space="preserve"> </w:t>
      </w:r>
      <w:r>
        <w:t>protección</w:t>
      </w:r>
      <w:r>
        <w:rPr>
          <w:spacing w:val="-15"/>
        </w:rPr>
        <w:t xml:space="preserve"> </w:t>
      </w:r>
      <w:r>
        <w:t>de</w:t>
      </w:r>
      <w:r>
        <w:rPr>
          <w:spacing w:val="-15"/>
        </w:rPr>
        <w:t xml:space="preserve"> </w:t>
      </w:r>
      <w:r>
        <w:t>derechos</w:t>
      </w:r>
      <w:r>
        <w:rPr>
          <w:spacing w:val="-15"/>
        </w:rPr>
        <w:t xml:space="preserve"> </w:t>
      </w:r>
      <w:r>
        <w:t>fundamentales.</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estos mecanismos de justicia internacional –con cientos de recomendaciones para el Estado y sus instituciones–</w:t>
      </w:r>
      <w:r>
        <w:rPr>
          <w:spacing w:val="-7"/>
        </w:rPr>
        <w:t xml:space="preserve"> </w:t>
      </w:r>
      <w:r>
        <w:t>habrían</w:t>
      </w:r>
      <w:r>
        <w:rPr>
          <w:spacing w:val="-7"/>
        </w:rPr>
        <w:t xml:space="preserve"> </w:t>
      </w:r>
      <w:r>
        <w:t>podido</w:t>
      </w:r>
      <w:r>
        <w:rPr>
          <w:spacing w:val="-7"/>
        </w:rPr>
        <w:t xml:space="preserve"> </w:t>
      </w:r>
      <w:r>
        <w:t>evitar</w:t>
      </w:r>
      <w:r>
        <w:rPr>
          <w:spacing w:val="-7"/>
        </w:rPr>
        <w:t xml:space="preserve"> </w:t>
      </w:r>
      <w:r>
        <w:t>los</w:t>
      </w:r>
      <w:r>
        <w:rPr>
          <w:spacing w:val="-7"/>
        </w:rPr>
        <w:t xml:space="preserve"> </w:t>
      </w:r>
      <w:r>
        <w:t>niveles</w:t>
      </w:r>
      <w:r>
        <w:rPr>
          <w:spacing w:val="-8"/>
        </w:rPr>
        <w:t xml:space="preserve"> </w:t>
      </w:r>
      <w:r>
        <w:t>de</w:t>
      </w:r>
      <w:r>
        <w:rPr>
          <w:spacing w:val="-7"/>
        </w:rPr>
        <w:t xml:space="preserve"> </w:t>
      </w:r>
      <w:r>
        <w:t>impunidad</w:t>
      </w:r>
      <w:r>
        <w:rPr>
          <w:spacing w:val="-8"/>
        </w:rPr>
        <w:t xml:space="preserve"> </w:t>
      </w:r>
      <w:r>
        <w:t>existentes.</w:t>
      </w:r>
      <w:r>
        <w:rPr>
          <w:spacing w:val="-8"/>
        </w:rPr>
        <w:t xml:space="preserve"> </w:t>
      </w:r>
      <w:r>
        <w:t>Pero</w:t>
      </w:r>
      <w:r>
        <w:rPr>
          <w:spacing w:val="-7"/>
        </w:rPr>
        <w:t xml:space="preserve"> </w:t>
      </w:r>
      <w:r>
        <w:t>en</w:t>
      </w:r>
      <w:r>
        <w:rPr>
          <w:spacing w:val="-8"/>
        </w:rPr>
        <w:t xml:space="preserve"> </w:t>
      </w:r>
      <w:r>
        <w:t>más</w:t>
      </w:r>
      <w:r>
        <w:rPr>
          <w:spacing w:val="-9"/>
        </w:rPr>
        <w:t xml:space="preserve"> </w:t>
      </w:r>
      <w:r>
        <w:t>de</w:t>
      </w:r>
      <w:r>
        <w:rPr>
          <w:spacing w:val="-7"/>
        </w:rPr>
        <w:t xml:space="preserve"> </w:t>
      </w:r>
      <w:r>
        <w:t>una ocasión el Estado ha respondido con rechazo a esas sentencias.</w:t>
      </w:r>
    </w:p>
    <w:p w:rsidR="003804AC" w:rsidRDefault="00AF18A5" w:rsidP="00E7096D">
      <w:r>
        <w:t>Todo lo anterior muestra que, en el país, la justicia ha sido un poder que siempre se ha buscado neutralizar. Es importante notar, sin embargo, que también se han dado en</w:t>
      </w:r>
      <w:r>
        <w:rPr>
          <w:spacing w:val="-1"/>
        </w:rPr>
        <w:t xml:space="preserve"> </w:t>
      </w:r>
      <w:r>
        <w:t>paralelo experiencias relevantes de resistencia y de coraje</w:t>
      </w:r>
      <w:r w:rsidR="00E7096D">
        <w:rPr>
          <w:rStyle w:val="Refdenotaalpie"/>
        </w:rPr>
        <w:footnoteReference w:id="862"/>
      </w:r>
      <w:r>
        <w:t>.</w:t>
      </w:r>
    </w:p>
    <w:p w:rsidR="0011361F" w:rsidRDefault="00AF18A5" w:rsidP="004A6EF4">
      <w:pPr>
        <w:pStyle w:val="Ttulo3"/>
        <w:numPr>
          <w:ilvl w:val="1"/>
          <w:numId w:val="16"/>
        </w:numPr>
      </w:pPr>
      <w:bookmarkStart w:id="1067" w:name="8.1._Escasez,_falta_de_prioridad_y_fragm"/>
      <w:bookmarkStart w:id="1068" w:name="_Toc112399626"/>
      <w:bookmarkEnd w:id="1067"/>
      <w:r>
        <w:t>Escasez,</w:t>
      </w:r>
      <w:r>
        <w:rPr>
          <w:spacing w:val="-2"/>
        </w:rPr>
        <w:t xml:space="preserve"> </w:t>
      </w:r>
      <w:r>
        <w:t>falta</w:t>
      </w:r>
      <w:r>
        <w:rPr>
          <w:spacing w:val="-1"/>
        </w:rPr>
        <w:t xml:space="preserve"> </w:t>
      </w:r>
      <w:r>
        <w:t>de</w:t>
      </w:r>
      <w:r>
        <w:rPr>
          <w:spacing w:val="-1"/>
        </w:rPr>
        <w:t xml:space="preserve"> </w:t>
      </w:r>
      <w:r>
        <w:t>prioridad</w:t>
      </w:r>
      <w:r>
        <w:rPr>
          <w:spacing w:val="-2"/>
        </w:rPr>
        <w:t xml:space="preserve"> </w:t>
      </w:r>
      <w:r>
        <w:t>y</w:t>
      </w:r>
      <w:r>
        <w:rPr>
          <w:spacing w:val="-1"/>
        </w:rPr>
        <w:t xml:space="preserve"> </w:t>
      </w:r>
      <w:r>
        <w:rPr>
          <w:spacing w:val="-2"/>
        </w:rPr>
        <w:t>fragmentación</w:t>
      </w:r>
      <w:bookmarkEnd w:id="1068"/>
    </w:p>
    <w:p w:rsidR="0011361F" w:rsidRDefault="00AF18A5" w:rsidP="00CF31F8">
      <w:r>
        <w:t>Los</w:t>
      </w:r>
      <w:r>
        <w:rPr>
          <w:spacing w:val="-2"/>
        </w:rPr>
        <w:t xml:space="preserve"> </w:t>
      </w:r>
      <w:r>
        <w:t>datos</w:t>
      </w:r>
      <w:r>
        <w:rPr>
          <w:spacing w:val="-2"/>
        </w:rPr>
        <w:t xml:space="preserve"> </w:t>
      </w:r>
      <w:r>
        <w:t>que</w:t>
      </w:r>
      <w:r>
        <w:rPr>
          <w:spacing w:val="-2"/>
        </w:rPr>
        <w:t xml:space="preserve"> </w:t>
      </w:r>
      <w:r>
        <w:t>la</w:t>
      </w:r>
      <w:r>
        <w:rPr>
          <w:spacing w:val="-2"/>
        </w:rPr>
        <w:t xml:space="preserve"> </w:t>
      </w:r>
      <w:r>
        <w:t>Fiscalía</w:t>
      </w:r>
      <w:r>
        <w:rPr>
          <w:spacing w:val="-3"/>
        </w:rPr>
        <w:t xml:space="preserve"> </w:t>
      </w:r>
      <w:r>
        <w:t>General</w:t>
      </w:r>
      <w:r>
        <w:rPr>
          <w:spacing w:val="-2"/>
        </w:rPr>
        <w:t xml:space="preserve"> </w:t>
      </w:r>
      <w:r>
        <w:t>de</w:t>
      </w:r>
      <w:r>
        <w:rPr>
          <w:spacing w:val="-2"/>
        </w:rPr>
        <w:t xml:space="preserve"> </w:t>
      </w:r>
      <w:r>
        <w:t>la</w:t>
      </w:r>
      <w:r>
        <w:rPr>
          <w:spacing w:val="-2"/>
        </w:rPr>
        <w:t xml:space="preserve"> </w:t>
      </w:r>
      <w:r>
        <w:t>Nación</w:t>
      </w:r>
      <w:r>
        <w:rPr>
          <w:spacing w:val="-2"/>
        </w:rPr>
        <w:t xml:space="preserve"> </w:t>
      </w:r>
      <w:r>
        <w:t>presentó</w:t>
      </w:r>
      <w:r>
        <w:rPr>
          <w:spacing w:val="-2"/>
        </w:rPr>
        <w:t xml:space="preserve"> </w:t>
      </w:r>
      <w:r>
        <w:t>ante</w:t>
      </w:r>
      <w:r>
        <w:rPr>
          <w:spacing w:val="-2"/>
        </w:rPr>
        <w:t xml:space="preserve"> </w:t>
      </w:r>
      <w:r>
        <w:t>la</w:t>
      </w:r>
      <w:r>
        <w:rPr>
          <w:spacing w:val="-3"/>
        </w:rPr>
        <w:t xml:space="preserve"> </w:t>
      </w:r>
      <w:r>
        <w:t>Jurisdicción</w:t>
      </w:r>
      <w:r>
        <w:rPr>
          <w:spacing w:val="-4"/>
        </w:rPr>
        <w:t xml:space="preserve"> </w:t>
      </w:r>
      <w:r>
        <w:t>Especial</w:t>
      </w:r>
      <w:r>
        <w:rPr>
          <w:spacing w:val="-2"/>
        </w:rPr>
        <w:t xml:space="preserve"> </w:t>
      </w:r>
      <w:r>
        <w:t>para</w:t>
      </w:r>
      <w:r>
        <w:rPr>
          <w:spacing w:val="-2"/>
        </w:rPr>
        <w:t xml:space="preserve"> </w:t>
      </w:r>
      <w:r>
        <w:t>la Paz</w:t>
      </w:r>
      <w:r>
        <w:rPr>
          <w:spacing w:val="-12"/>
        </w:rPr>
        <w:t xml:space="preserve"> </w:t>
      </w:r>
      <w:r>
        <w:t>(JEP)</w:t>
      </w:r>
      <w:r w:rsidR="00CF31F8">
        <w:rPr>
          <w:rStyle w:val="Refdenotaalpie"/>
        </w:rPr>
        <w:footnoteReference w:id="863"/>
      </w:r>
      <w:r>
        <w:rPr>
          <w:spacing w:val="-12"/>
        </w:rPr>
        <w:t xml:space="preserve"> </w:t>
      </w:r>
      <w:r>
        <w:t>sobre</w:t>
      </w:r>
      <w:r>
        <w:rPr>
          <w:spacing w:val="-12"/>
        </w:rPr>
        <w:t xml:space="preserve"> </w:t>
      </w:r>
      <w:r>
        <w:t>el</w:t>
      </w:r>
      <w:r>
        <w:rPr>
          <w:spacing w:val="-13"/>
        </w:rPr>
        <w:t xml:space="preserve"> </w:t>
      </w:r>
      <w:r>
        <w:t>impacto</w:t>
      </w:r>
      <w:r>
        <w:rPr>
          <w:spacing w:val="-12"/>
        </w:rPr>
        <w:t xml:space="preserve"> </w:t>
      </w:r>
      <w:r>
        <w:t>del</w:t>
      </w:r>
      <w:r>
        <w:rPr>
          <w:spacing w:val="-12"/>
        </w:rPr>
        <w:t xml:space="preserve"> </w:t>
      </w:r>
      <w:r>
        <w:t>conflicto</w:t>
      </w:r>
      <w:r>
        <w:rPr>
          <w:spacing w:val="-12"/>
        </w:rPr>
        <w:t xml:space="preserve"> </w:t>
      </w:r>
      <w:r>
        <w:t>armado</w:t>
      </w:r>
      <w:r>
        <w:rPr>
          <w:spacing w:val="-13"/>
        </w:rPr>
        <w:t xml:space="preserve"> </w:t>
      </w:r>
      <w:r>
        <w:t>en</w:t>
      </w:r>
      <w:r>
        <w:rPr>
          <w:spacing w:val="-12"/>
        </w:rPr>
        <w:t xml:space="preserve"> </w:t>
      </w:r>
      <w:r>
        <w:t>materia</w:t>
      </w:r>
      <w:r>
        <w:rPr>
          <w:spacing w:val="-12"/>
        </w:rPr>
        <w:t xml:space="preserve"> </w:t>
      </w:r>
      <w:r>
        <w:t>penal</w:t>
      </w:r>
      <w:r>
        <w:rPr>
          <w:spacing w:val="-13"/>
        </w:rPr>
        <w:t xml:space="preserve"> </w:t>
      </w:r>
      <w:r>
        <w:t>muestran</w:t>
      </w:r>
      <w:r>
        <w:rPr>
          <w:spacing w:val="-13"/>
        </w:rPr>
        <w:t xml:space="preserve"> </w:t>
      </w:r>
      <w:r>
        <w:t>un</w:t>
      </w:r>
      <w:r>
        <w:rPr>
          <w:spacing w:val="-12"/>
        </w:rPr>
        <w:t xml:space="preserve"> </w:t>
      </w:r>
      <w:r>
        <w:t>claro</w:t>
      </w:r>
      <w:r>
        <w:rPr>
          <w:spacing w:val="-13"/>
        </w:rPr>
        <w:t xml:space="preserve"> </w:t>
      </w:r>
      <w:r>
        <w:t>déficit en investigación judicial. Hasta abril de 2018, la Fiscalía reportó 223.282 casos en la jurisdicción ordinaria relacionados con el conflicto armado por hechos cometidos antes del 1 de diciembre de 2016, que corresponden a 184.951 víctimas. Hasta 2022, por su parte, el Registro Único de Víctimas (RUV) contó 9.363.124 víctimas</w:t>
      </w:r>
      <w:r w:rsidR="00CF31F8">
        <w:rPr>
          <w:rStyle w:val="Refdenotaalpie"/>
        </w:rPr>
        <w:footnoteReference w:id="864"/>
      </w:r>
      <w:r>
        <w:t>. En su mayoría (más del</w:t>
      </w:r>
      <w:r>
        <w:rPr>
          <w:spacing w:val="80"/>
        </w:rPr>
        <w:t xml:space="preserve"> </w:t>
      </w:r>
      <w:r>
        <w:t>90</w:t>
      </w:r>
      <w:r>
        <w:rPr>
          <w:spacing w:val="-2"/>
        </w:rPr>
        <w:t xml:space="preserve"> </w:t>
      </w:r>
      <w:r>
        <w:t xml:space="preserve">%), sufrieron los hechos </w:t>
      </w:r>
      <w:proofErr w:type="spellStart"/>
      <w:r>
        <w:t>victimizantes</w:t>
      </w:r>
      <w:proofErr w:type="spellEnd"/>
      <w:r>
        <w:t xml:space="preserve"> antes de 2016. Aunque en la </w:t>
      </w:r>
      <w:r>
        <w:lastRenderedPageBreak/>
        <w:t>Fiscalía hay varias víctimas por cada caso, la diferencia es tan amplia que sin duda apunta a un déficit en el acceso a la justicia de las víctimas</w:t>
      </w:r>
      <w:r w:rsidR="00CF31F8">
        <w:rPr>
          <w:rStyle w:val="Refdenotaalpie"/>
        </w:rPr>
        <w:footnoteReference w:id="865"/>
      </w:r>
      <w:r>
        <w:t>. Hay, en breve, una gran brecha entre lo que ocurre y lo que se investiga.</w:t>
      </w:r>
    </w:p>
    <w:p w:rsidR="003804AC" w:rsidRDefault="00AF18A5" w:rsidP="00CF31F8">
      <w:bookmarkStart w:id="1069" w:name="_bookmark942"/>
      <w:bookmarkStart w:id="1070" w:name="_bookmark943"/>
      <w:bookmarkStart w:id="1071" w:name="_bookmark944"/>
      <w:bookmarkStart w:id="1072" w:name="_bookmark945"/>
      <w:bookmarkEnd w:id="1069"/>
      <w:bookmarkEnd w:id="1070"/>
      <w:bookmarkEnd w:id="1071"/>
      <w:bookmarkEnd w:id="1072"/>
      <w:r>
        <w:t>La escasez en la acción de la justicia en comparación con la magnitud de los crímenes comienza con la falta de información. Sobre muchos delitos graves como la desaparición forzada</w:t>
      </w:r>
      <w:r>
        <w:rPr>
          <w:spacing w:val="-4"/>
        </w:rPr>
        <w:t xml:space="preserve"> </w:t>
      </w:r>
      <w:r>
        <w:t>no</w:t>
      </w:r>
      <w:r>
        <w:rPr>
          <w:spacing w:val="-5"/>
        </w:rPr>
        <w:t xml:space="preserve"> </w:t>
      </w:r>
      <w:r>
        <w:t>existe</w:t>
      </w:r>
      <w:r>
        <w:rPr>
          <w:spacing w:val="-4"/>
        </w:rPr>
        <w:t xml:space="preserve"> </w:t>
      </w:r>
      <w:r>
        <w:t>un</w:t>
      </w:r>
      <w:r>
        <w:rPr>
          <w:spacing w:val="-5"/>
        </w:rPr>
        <w:t xml:space="preserve"> </w:t>
      </w:r>
      <w:r>
        <w:t>registro</w:t>
      </w:r>
      <w:r>
        <w:rPr>
          <w:spacing w:val="-5"/>
        </w:rPr>
        <w:t xml:space="preserve"> </w:t>
      </w:r>
      <w:r>
        <w:t>consolidado,</w:t>
      </w:r>
      <w:r>
        <w:rPr>
          <w:spacing w:val="-5"/>
        </w:rPr>
        <w:t xml:space="preserve"> </w:t>
      </w:r>
      <w:r>
        <w:t>pero</w:t>
      </w:r>
      <w:r>
        <w:rPr>
          <w:spacing w:val="-5"/>
        </w:rPr>
        <w:t xml:space="preserve"> </w:t>
      </w:r>
      <w:r>
        <w:t>que</w:t>
      </w:r>
      <w:r>
        <w:rPr>
          <w:spacing w:val="-4"/>
        </w:rPr>
        <w:t xml:space="preserve"> </w:t>
      </w:r>
      <w:r>
        <w:t>los</w:t>
      </w:r>
      <w:r>
        <w:rPr>
          <w:spacing w:val="-4"/>
        </w:rPr>
        <w:t xml:space="preserve"> </w:t>
      </w:r>
      <w:r>
        <w:t>estudios</w:t>
      </w:r>
      <w:r>
        <w:rPr>
          <w:spacing w:val="-4"/>
        </w:rPr>
        <w:t xml:space="preserve"> </w:t>
      </w:r>
      <w:r>
        <w:t>de</w:t>
      </w:r>
      <w:r>
        <w:rPr>
          <w:spacing w:val="-4"/>
        </w:rPr>
        <w:t xml:space="preserve"> </w:t>
      </w:r>
      <w:r>
        <w:t>la</w:t>
      </w:r>
      <w:r>
        <w:rPr>
          <w:spacing w:val="-4"/>
        </w:rPr>
        <w:t xml:space="preserve"> </w:t>
      </w:r>
      <w:r>
        <w:t>Comisión</w:t>
      </w:r>
      <w:r>
        <w:rPr>
          <w:spacing w:val="-5"/>
        </w:rPr>
        <w:t xml:space="preserve"> </w:t>
      </w:r>
      <w:r>
        <w:t>señalan,</w:t>
      </w:r>
      <w:r>
        <w:rPr>
          <w:spacing w:val="-5"/>
        </w:rPr>
        <w:t xml:space="preserve"> </w:t>
      </w:r>
      <w:r>
        <w:t>con base en fuentes oficiales, que han sido más de 120.000 personas.</w:t>
      </w:r>
    </w:p>
    <w:p w:rsidR="003804AC" w:rsidRDefault="00AF18A5" w:rsidP="00CF31F8">
      <w:r>
        <w:t>El</w:t>
      </w:r>
      <w:r>
        <w:rPr>
          <w:spacing w:val="-3"/>
        </w:rPr>
        <w:t xml:space="preserve"> </w:t>
      </w:r>
      <w:r>
        <w:t>problema</w:t>
      </w:r>
      <w:r>
        <w:rPr>
          <w:spacing w:val="-4"/>
        </w:rPr>
        <w:t xml:space="preserve"> </w:t>
      </w:r>
      <w:r>
        <w:t>es</w:t>
      </w:r>
      <w:r>
        <w:rPr>
          <w:spacing w:val="-3"/>
        </w:rPr>
        <w:t xml:space="preserve"> </w:t>
      </w:r>
      <w:r>
        <w:t>aún</w:t>
      </w:r>
      <w:r>
        <w:rPr>
          <w:spacing w:val="-5"/>
        </w:rPr>
        <w:t xml:space="preserve"> </w:t>
      </w:r>
      <w:r>
        <w:t>mayor</w:t>
      </w:r>
      <w:r>
        <w:rPr>
          <w:spacing w:val="-3"/>
        </w:rPr>
        <w:t xml:space="preserve"> </w:t>
      </w:r>
      <w:r>
        <w:t>al</w:t>
      </w:r>
      <w:r>
        <w:rPr>
          <w:spacing w:val="-4"/>
        </w:rPr>
        <w:t xml:space="preserve"> </w:t>
      </w:r>
      <w:r>
        <w:t>momento</w:t>
      </w:r>
      <w:r>
        <w:rPr>
          <w:spacing w:val="-3"/>
        </w:rPr>
        <w:t xml:space="preserve"> </w:t>
      </w:r>
      <w:r>
        <w:t>de</w:t>
      </w:r>
      <w:r>
        <w:rPr>
          <w:spacing w:val="-3"/>
        </w:rPr>
        <w:t xml:space="preserve"> </w:t>
      </w:r>
      <w:r>
        <w:t>determinar</w:t>
      </w:r>
      <w:r>
        <w:rPr>
          <w:spacing w:val="-4"/>
        </w:rPr>
        <w:t xml:space="preserve"> </w:t>
      </w:r>
      <w:r>
        <w:t>responsabilidades.</w:t>
      </w:r>
      <w:r>
        <w:rPr>
          <w:spacing w:val="-5"/>
        </w:rPr>
        <w:t xml:space="preserve"> </w:t>
      </w:r>
      <w:r>
        <w:t>Las</w:t>
      </w:r>
      <w:r>
        <w:rPr>
          <w:spacing w:val="-3"/>
        </w:rPr>
        <w:t xml:space="preserve"> </w:t>
      </w:r>
      <w:r>
        <w:t>cifras</w:t>
      </w:r>
      <w:r>
        <w:rPr>
          <w:spacing w:val="-4"/>
        </w:rPr>
        <w:t xml:space="preserve"> </w:t>
      </w:r>
      <w:r>
        <w:t>de</w:t>
      </w:r>
      <w:r>
        <w:rPr>
          <w:spacing w:val="-4"/>
        </w:rPr>
        <w:t xml:space="preserve"> </w:t>
      </w:r>
      <w:r>
        <w:t>los informes</w:t>
      </w:r>
      <w:r>
        <w:rPr>
          <w:spacing w:val="-2"/>
        </w:rPr>
        <w:t xml:space="preserve"> </w:t>
      </w:r>
      <w:r>
        <w:t>de</w:t>
      </w:r>
      <w:r>
        <w:rPr>
          <w:spacing w:val="-2"/>
        </w:rPr>
        <w:t xml:space="preserve"> </w:t>
      </w:r>
      <w:r>
        <w:t>la</w:t>
      </w:r>
      <w:r>
        <w:rPr>
          <w:spacing w:val="-2"/>
        </w:rPr>
        <w:t xml:space="preserve"> </w:t>
      </w:r>
      <w:r>
        <w:t>Fiscalía</w:t>
      </w:r>
      <w:r>
        <w:rPr>
          <w:spacing w:val="-2"/>
        </w:rPr>
        <w:t xml:space="preserve"> </w:t>
      </w:r>
      <w:r>
        <w:t>muestran</w:t>
      </w:r>
      <w:r>
        <w:rPr>
          <w:spacing w:val="-2"/>
        </w:rPr>
        <w:t xml:space="preserve"> </w:t>
      </w:r>
      <w:r>
        <w:t>que,</w:t>
      </w:r>
      <w:r>
        <w:rPr>
          <w:spacing w:val="-4"/>
        </w:rPr>
        <w:t xml:space="preserve"> </w:t>
      </w:r>
      <w:r>
        <w:t>en</w:t>
      </w:r>
      <w:r>
        <w:rPr>
          <w:spacing w:val="-2"/>
        </w:rPr>
        <w:t xml:space="preserve"> </w:t>
      </w:r>
      <w:r>
        <w:t>la</w:t>
      </w:r>
      <w:r>
        <w:rPr>
          <w:spacing w:val="-2"/>
        </w:rPr>
        <w:t xml:space="preserve"> </w:t>
      </w:r>
      <w:r>
        <w:t>globalidad</w:t>
      </w:r>
      <w:r>
        <w:rPr>
          <w:spacing w:val="-2"/>
        </w:rPr>
        <w:t xml:space="preserve"> </w:t>
      </w:r>
      <w:r>
        <w:t>de</w:t>
      </w:r>
      <w:r>
        <w:rPr>
          <w:spacing w:val="-2"/>
        </w:rPr>
        <w:t xml:space="preserve"> </w:t>
      </w:r>
      <w:r>
        <w:t>conductas</w:t>
      </w:r>
      <w:r>
        <w:rPr>
          <w:spacing w:val="-2"/>
        </w:rPr>
        <w:t xml:space="preserve"> </w:t>
      </w:r>
      <w:r>
        <w:t>que</w:t>
      </w:r>
      <w:r>
        <w:rPr>
          <w:spacing w:val="-2"/>
        </w:rPr>
        <w:t xml:space="preserve"> </w:t>
      </w:r>
      <w:r>
        <w:t>la</w:t>
      </w:r>
      <w:r>
        <w:rPr>
          <w:spacing w:val="-3"/>
        </w:rPr>
        <w:t xml:space="preserve"> </w:t>
      </w:r>
      <w:r>
        <w:t>entidad</w:t>
      </w:r>
      <w:r>
        <w:rPr>
          <w:spacing w:val="-2"/>
        </w:rPr>
        <w:t xml:space="preserve"> </w:t>
      </w:r>
      <w:r>
        <w:t>relaciona con</w:t>
      </w:r>
      <w:r>
        <w:rPr>
          <w:spacing w:val="-11"/>
        </w:rPr>
        <w:t xml:space="preserve"> </w:t>
      </w:r>
      <w:r>
        <w:t>el</w:t>
      </w:r>
      <w:r>
        <w:rPr>
          <w:spacing w:val="-10"/>
        </w:rPr>
        <w:t xml:space="preserve"> </w:t>
      </w:r>
      <w:r>
        <w:t>conflicto</w:t>
      </w:r>
      <w:r>
        <w:rPr>
          <w:spacing w:val="-11"/>
        </w:rPr>
        <w:t xml:space="preserve"> </w:t>
      </w:r>
      <w:r>
        <w:t>armado,</w:t>
      </w:r>
      <w:r>
        <w:rPr>
          <w:spacing w:val="-11"/>
        </w:rPr>
        <w:t xml:space="preserve"> </w:t>
      </w:r>
      <w:r>
        <w:t>cuatro</w:t>
      </w:r>
      <w:r>
        <w:rPr>
          <w:spacing w:val="-11"/>
        </w:rPr>
        <w:t xml:space="preserve"> </w:t>
      </w:r>
      <w:r>
        <w:t>de</w:t>
      </w:r>
      <w:r>
        <w:rPr>
          <w:spacing w:val="-11"/>
        </w:rPr>
        <w:t xml:space="preserve"> </w:t>
      </w:r>
      <w:r>
        <w:t>cada</w:t>
      </w:r>
      <w:r>
        <w:rPr>
          <w:spacing w:val="-11"/>
        </w:rPr>
        <w:t xml:space="preserve"> </w:t>
      </w:r>
      <w:r>
        <w:t>diez</w:t>
      </w:r>
      <w:r>
        <w:rPr>
          <w:spacing w:val="-11"/>
        </w:rPr>
        <w:t xml:space="preserve"> </w:t>
      </w:r>
      <w:r>
        <w:t>casos</w:t>
      </w:r>
      <w:r>
        <w:rPr>
          <w:spacing w:val="-11"/>
        </w:rPr>
        <w:t xml:space="preserve"> </w:t>
      </w:r>
      <w:r>
        <w:t>reportados</w:t>
      </w:r>
      <w:r>
        <w:rPr>
          <w:spacing w:val="-11"/>
        </w:rPr>
        <w:t xml:space="preserve"> </w:t>
      </w:r>
      <w:r>
        <w:t>no</w:t>
      </w:r>
      <w:r>
        <w:rPr>
          <w:spacing w:val="-11"/>
        </w:rPr>
        <w:t xml:space="preserve"> </w:t>
      </w:r>
      <w:r>
        <w:t>identifican</w:t>
      </w:r>
      <w:r>
        <w:rPr>
          <w:spacing w:val="-11"/>
        </w:rPr>
        <w:t xml:space="preserve"> </w:t>
      </w:r>
      <w:r>
        <w:t>siquiera</w:t>
      </w:r>
      <w:r>
        <w:rPr>
          <w:spacing w:val="-11"/>
        </w:rPr>
        <w:t xml:space="preserve"> </w:t>
      </w:r>
      <w:r>
        <w:t>el</w:t>
      </w:r>
      <w:r>
        <w:rPr>
          <w:spacing w:val="-12"/>
        </w:rPr>
        <w:t xml:space="preserve"> </w:t>
      </w:r>
      <w:r>
        <w:t>grupo que cometió los delitos. El mismo informe de la Fiscalía</w:t>
      </w:r>
      <w:r w:rsidR="00CF31F8">
        <w:rPr>
          <w:rStyle w:val="Refdenotaalpie"/>
        </w:rPr>
        <w:footnoteReference w:id="866"/>
      </w:r>
      <w:r>
        <w:t xml:space="preserve"> explica que hay 280.471 casos indiciados. En un 39,4</w:t>
      </w:r>
      <w:r>
        <w:rPr>
          <w:spacing w:val="-4"/>
        </w:rPr>
        <w:t xml:space="preserve"> </w:t>
      </w:r>
      <w:r>
        <w:t>% de estos, el responsable es un grupo no identificado. En un 25</w:t>
      </w:r>
      <w:r>
        <w:rPr>
          <w:spacing w:val="-2"/>
        </w:rPr>
        <w:t xml:space="preserve"> </w:t>
      </w:r>
      <w:r>
        <w:t>%, se</w:t>
      </w:r>
      <w:r>
        <w:rPr>
          <w:spacing w:val="-5"/>
        </w:rPr>
        <w:t xml:space="preserve"> </w:t>
      </w:r>
      <w:r>
        <w:t>identifica</w:t>
      </w:r>
      <w:r>
        <w:rPr>
          <w:spacing w:val="-6"/>
        </w:rPr>
        <w:t xml:space="preserve"> </w:t>
      </w:r>
      <w:r>
        <w:t>como</w:t>
      </w:r>
      <w:r>
        <w:rPr>
          <w:spacing w:val="-5"/>
        </w:rPr>
        <w:t xml:space="preserve"> </w:t>
      </w:r>
      <w:r>
        <w:t>responsables</w:t>
      </w:r>
      <w:r>
        <w:rPr>
          <w:spacing w:val="-5"/>
        </w:rPr>
        <w:t xml:space="preserve"> </w:t>
      </w:r>
      <w:r>
        <w:t>a</w:t>
      </w:r>
      <w:r>
        <w:rPr>
          <w:spacing w:val="-5"/>
        </w:rPr>
        <w:t xml:space="preserve"> </w:t>
      </w:r>
      <w:r>
        <w:t>grupos</w:t>
      </w:r>
      <w:r>
        <w:rPr>
          <w:spacing w:val="-5"/>
        </w:rPr>
        <w:t xml:space="preserve"> </w:t>
      </w:r>
      <w:r>
        <w:t>paramilitares,</w:t>
      </w:r>
      <w:r>
        <w:rPr>
          <w:spacing w:val="-6"/>
        </w:rPr>
        <w:t xml:space="preserve"> </w:t>
      </w:r>
      <w:r>
        <w:t>en</w:t>
      </w:r>
      <w:r>
        <w:rPr>
          <w:spacing w:val="-5"/>
        </w:rPr>
        <w:t xml:space="preserve"> </w:t>
      </w:r>
      <w:r>
        <w:t>un</w:t>
      </w:r>
      <w:r>
        <w:rPr>
          <w:spacing w:val="-6"/>
        </w:rPr>
        <w:t xml:space="preserve"> </w:t>
      </w:r>
      <w:r>
        <w:t>23,4</w:t>
      </w:r>
      <w:r>
        <w:rPr>
          <w:spacing w:val="-3"/>
        </w:rPr>
        <w:t xml:space="preserve"> </w:t>
      </w:r>
      <w:r>
        <w:t>%,</w:t>
      </w:r>
      <w:r>
        <w:rPr>
          <w:spacing w:val="-5"/>
        </w:rPr>
        <w:t xml:space="preserve"> </w:t>
      </w:r>
      <w:r>
        <w:t>a</w:t>
      </w:r>
      <w:r>
        <w:rPr>
          <w:spacing w:val="-5"/>
        </w:rPr>
        <w:t xml:space="preserve"> </w:t>
      </w:r>
      <w:r>
        <w:t>las</w:t>
      </w:r>
      <w:r>
        <w:rPr>
          <w:spacing w:val="-5"/>
        </w:rPr>
        <w:t xml:space="preserve"> </w:t>
      </w:r>
      <w:r>
        <w:t>FARC-EP,</w:t>
      </w:r>
      <w:r>
        <w:rPr>
          <w:spacing w:val="-4"/>
        </w:rPr>
        <w:t xml:space="preserve"> </w:t>
      </w:r>
      <w:r>
        <w:t>en</w:t>
      </w:r>
      <w:r>
        <w:rPr>
          <w:spacing w:val="-5"/>
        </w:rPr>
        <w:t xml:space="preserve"> </w:t>
      </w:r>
      <w:r>
        <w:t>un 6,2</w:t>
      </w:r>
      <w:r>
        <w:rPr>
          <w:spacing w:val="-2"/>
        </w:rPr>
        <w:t xml:space="preserve"> </w:t>
      </w:r>
      <w:r>
        <w:t>% a miembros de la fuerza pública, en un 4,6</w:t>
      </w:r>
      <w:r>
        <w:rPr>
          <w:spacing w:val="-2"/>
        </w:rPr>
        <w:t xml:space="preserve"> </w:t>
      </w:r>
      <w:r>
        <w:t>% a miembros del ELN, y en un 1,5</w:t>
      </w:r>
      <w:r>
        <w:rPr>
          <w:spacing w:val="-2"/>
        </w:rPr>
        <w:t xml:space="preserve"> </w:t>
      </w:r>
      <w:r>
        <w:t>% a miembros de otras guerrillas.</w:t>
      </w:r>
    </w:p>
    <w:p w:rsidR="003804AC" w:rsidRDefault="00AF18A5" w:rsidP="00CF31F8">
      <w:r>
        <w:t>El déficit de justicia adquiere, también, acentos particularmente frente a violaciones del DIH</w:t>
      </w:r>
      <w:r>
        <w:rPr>
          <w:spacing w:val="-7"/>
        </w:rPr>
        <w:t xml:space="preserve"> </w:t>
      </w:r>
      <w:r>
        <w:t>y</w:t>
      </w:r>
      <w:r>
        <w:rPr>
          <w:spacing w:val="-6"/>
        </w:rPr>
        <w:t xml:space="preserve"> </w:t>
      </w:r>
      <w:r>
        <w:t>delitos</w:t>
      </w:r>
      <w:r>
        <w:rPr>
          <w:spacing w:val="-6"/>
        </w:rPr>
        <w:t xml:space="preserve"> </w:t>
      </w:r>
      <w:r>
        <w:t>como</w:t>
      </w:r>
      <w:r>
        <w:rPr>
          <w:spacing w:val="-6"/>
        </w:rPr>
        <w:t xml:space="preserve"> </w:t>
      </w:r>
      <w:r>
        <w:t>el</w:t>
      </w:r>
      <w:r>
        <w:rPr>
          <w:spacing w:val="-6"/>
        </w:rPr>
        <w:t xml:space="preserve"> </w:t>
      </w:r>
      <w:r>
        <w:t>reclutamiento</w:t>
      </w:r>
      <w:r>
        <w:rPr>
          <w:spacing w:val="-7"/>
        </w:rPr>
        <w:t xml:space="preserve"> </w:t>
      </w:r>
      <w:r>
        <w:t>y</w:t>
      </w:r>
      <w:r>
        <w:rPr>
          <w:spacing w:val="-6"/>
        </w:rPr>
        <w:t xml:space="preserve"> </w:t>
      </w:r>
      <w:r>
        <w:t>utilización</w:t>
      </w:r>
      <w:r>
        <w:rPr>
          <w:spacing w:val="-7"/>
        </w:rPr>
        <w:t xml:space="preserve"> </w:t>
      </w:r>
      <w:r>
        <w:t>de</w:t>
      </w:r>
      <w:r>
        <w:rPr>
          <w:spacing w:val="-6"/>
        </w:rPr>
        <w:t xml:space="preserve"> </w:t>
      </w:r>
      <w:r>
        <w:t>niños</w:t>
      </w:r>
      <w:r>
        <w:rPr>
          <w:spacing w:val="-6"/>
        </w:rPr>
        <w:t xml:space="preserve"> </w:t>
      </w:r>
      <w:r>
        <w:t>y</w:t>
      </w:r>
      <w:r>
        <w:rPr>
          <w:spacing w:val="-6"/>
        </w:rPr>
        <w:t xml:space="preserve"> </w:t>
      </w:r>
      <w:r>
        <w:t>niñas</w:t>
      </w:r>
      <w:r>
        <w:rPr>
          <w:spacing w:val="-6"/>
        </w:rPr>
        <w:t xml:space="preserve"> </w:t>
      </w:r>
      <w:r>
        <w:t>–que</w:t>
      </w:r>
      <w:r>
        <w:rPr>
          <w:spacing w:val="-6"/>
        </w:rPr>
        <w:t xml:space="preserve"> </w:t>
      </w:r>
      <w:r>
        <w:t>fue</w:t>
      </w:r>
      <w:r>
        <w:rPr>
          <w:spacing w:val="-6"/>
        </w:rPr>
        <w:t xml:space="preserve"> </w:t>
      </w:r>
      <w:r>
        <w:t>numeroso</w:t>
      </w:r>
      <w:r>
        <w:rPr>
          <w:spacing w:val="-7"/>
        </w:rPr>
        <w:t xml:space="preserve"> </w:t>
      </w:r>
      <w:r>
        <w:t>en</w:t>
      </w:r>
      <w:r>
        <w:rPr>
          <w:spacing w:val="-6"/>
        </w:rPr>
        <w:t xml:space="preserve"> </w:t>
      </w:r>
      <w:r>
        <w:t xml:space="preserve">las FARC-EP y los paramilitares de las </w:t>
      </w:r>
      <w:r>
        <w:lastRenderedPageBreak/>
        <w:t>AUC– y del que fue víctima un sector de la población particularmente vulnerables en el contexto del conflicto armado. En efecto, los sistemas de información de la Fiscalía General de la Nación cuentan con 4.219 investigaciones de las cuales</w:t>
      </w:r>
      <w:r>
        <w:rPr>
          <w:spacing w:val="5"/>
        </w:rPr>
        <w:t xml:space="preserve"> </w:t>
      </w:r>
      <w:r>
        <w:t>se</w:t>
      </w:r>
      <w:r>
        <w:rPr>
          <w:spacing w:val="7"/>
        </w:rPr>
        <w:t xml:space="preserve"> </w:t>
      </w:r>
      <w:r>
        <w:t>han</w:t>
      </w:r>
      <w:r>
        <w:rPr>
          <w:spacing w:val="8"/>
        </w:rPr>
        <w:t xml:space="preserve"> </w:t>
      </w:r>
      <w:r>
        <w:t>dictado</w:t>
      </w:r>
      <w:r>
        <w:rPr>
          <w:spacing w:val="7"/>
        </w:rPr>
        <w:t xml:space="preserve"> </w:t>
      </w:r>
      <w:r>
        <w:t>diez</w:t>
      </w:r>
      <w:r>
        <w:rPr>
          <w:spacing w:val="7"/>
        </w:rPr>
        <w:t xml:space="preserve"> </w:t>
      </w:r>
      <w:r>
        <w:t>condenas,</w:t>
      </w:r>
      <w:r>
        <w:rPr>
          <w:spacing w:val="8"/>
        </w:rPr>
        <w:t xml:space="preserve"> </w:t>
      </w:r>
      <w:r>
        <w:t>la</w:t>
      </w:r>
      <w:r>
        <w:rPr>
          <w:spacing w:val="7"/>
        </w:rPr>
        <w:t xml:space="preserve"> </w:t>
      </w:r>
      <w:r>
        <w:t>mayoría</w:t>
      </w:r>
      <w:r>
        <w:rPr>
          <w:spacing w:val="7"/>
        </w:rPr>
        <w:t xml:space="preserve"> </w:t>
      </w:r>
      <w:r>
        <w:t>derivadas</w:t>
      </w:r>
      <w:r>
        <w:rPr>
          <w:spacing w:val="8"/>
        </w:rPr>
        <w:t xml:space="preserve"> </w:t>
      </w:r>
      <w:r>
        <w:t>de</w:t>
      </w:r>
      <w:r>
        <w:rPr>
          <w:spacing w:val="6"/>
        </w:rPr>
        <w:t xml:space="preserve"> </w:t>
      </w:r>
      <w:r>
        <w:t>procesos</w:t>
      </w:r>
      <w:r>
        <w:rPr>
          <w:spacing w:val="7"/>
        </w:rPr>
        <w:t xml:space="preserve"> </w:t>
      </w:r>
      <w:r>
        <w:t>de</w:t>
      </w:r>
      <w:r>
        <w:rPr>
          <w:spacing w:val="7"/>
        </w:rPr>
        <w:t xml:space="preserve"> </w:t>
      </w:r>
      <w:r>
        <w:t>Justicia</w:t>
      </w:r>
      <w:r>
        <w:rPr>
          <w:spacing w:val="7"/>
        </w:rPr>
        <w:t xml:space="preserve"> </w:t>
      </w:r>
      <w:r>
        <w:t>y</w:t>
      </w:r>
      <w:r>
        <w:rPr>
          <w:spacing w:val="8"/>
        </w:rPr>
        <w:t xml:space="preserve"> </w:t>
      </w:r>
      <w:r>
        <w:rPr>
          <w:spacing w:val="-2"/>
        </w:rPr>
        <w:t>Paz</w:t>
      </w:r>
      <w:r w:rsidR="005E6E17">
        <w:rPr>
          <w:rStyle w:val="Refdenotaalpie"/>
          <w:spacing w:val="-2"/>
        </w:rPr>
        <w:footnoteReference w:id="867"/>
      </w:r>
      <w:r>
        <w:rPr>
          <w:spacing w:val="-2"/>
        </w:rPr>
        <w:t>.</w:t>
      </w:r>
    </w:p>
    <w:p w:rsidR="0011361F" w:rsidRDefault="00AF18A5" w:rsidP="005E6E17">
      <w:r>
        <w:t>«En</w:t>
      </w:r>
      <w:r>
        <w:rPr>
          <w:spacing w:val="-13"/>
        </w:rPr>
        <w:t xml:space="preserve"> </w:t>
      </w:r>
      <w:r>
        <w:t>el</w:t>
      </w:r>
      <w:r>
        <w:rPr>
          <w:spacing w:val="-13"/>
        </w:rPr>
        <w:t xml:space="preserve"> </w:t>
      </w:r>
      <w:r>
        <w:t>Informe</w:t>
      </w:r>
      <w:r>
        <w:rPr>
          <w:spacing w:val="-13"/>
        </w:rPr>
        <w:t xml:space="preserve"> </w:t>
      </w:r>
      <w:r>
        <w:t>No.</w:t>
      </w:r>
      <w:r>
        <w:rPr>
          <w:spacing w:val="-13"/>
        </w:rPr>
        <w:t xml:space="preserve"> </w:t>
      </w:r>
      <w:r>
        <w:t>4</w:t>
      </w:r>
      <w:r>
        <w:rPr>
          <w:spacing w:val="-13"/>
        </w:rPr>
        <w:t xml:space="preserve"> </w:t>
      </w:r>
      <w:r>
        <w:t>de</w:t>
      </w:r>
      <w:r>
        <w:rPr>
          <w:spacing w:val="-14"/>
        </w:rPr>
        <w:t xml:space="preserve"> </w:t>
      </w:r>
      <w:r>
        <w:t>la</w:t>
      </w:r>
      <w:r>
        <w:rPr>
          <w:spacing w:val="-13"/>
        </w:rPr>
        <w:t xml:space="preserve"> </w:t>
      </w:r>
      <w:r>
        <w:t>Fiscalía</w:t>
      </w:r>
      <w:r>
        <w:rPr>
          <w:spacing w:val="-13"/>
        </w:rPr>
        <w:t xml:space="preserve"> </w:t>
      </w:r>
      <w:r>
        <w:t>General</w:t>
      </w:r>
      <w:r>
        <w:rPr>
          <w:spacing w:val="-13"/>
        </w:rPr>
        <w:t xml:space="preserve"> </w:t>
      </w:r>
      <w:r>
        <w:t>de</w:t>
      </w:r>
      <w:r>
        <w:rPr>
          <w:spacing w:val="-13"/>
        </w:rPr>
        <w:t xml:space="preserve"> </w:t>
      </w:r>
      <w:r>
        <w:t>la</w:t>
      </w:r>
      <w:r>
        <w:rPr>
          <w:spacing w:val="-14"/>
        </w:rPr>
        <w:t xml:space="preserve"> </w:t>
      </w:r>
      <w:r>
        <w:t>Nación</w:t>
      </w:r>
      <w:r>
        <w:rPr>
          <w:spacing w:val="-13"/>
        </w:rPr>
        <w:t xml:space="preserve"> </w:t>
      </w:r>
      <w:r>
        <w:t>y</w:t>
      </w:r>
      <w:r>
        <w:rPr>
          <w:spacing w:val="-13"/>
        </w:rPr>
        <w:t xml:space="preserve"> </w:t>
      </w:r>
      <w:r>
        <w:t>su</w:t>
      </w:r>
      <w:r>
        <w:rPr>
          <w:spacing w:val="-15"/>
        </w:rPr>
        <w:t xml:space="preserve"> </w:t>
      </w:r>
      <w:r>
        <w:t>base</w:t>
      </w:r>
      <w:r>
        <w:rPr>
          <w:spacing w:val="-13"/>
        </w:rPr>
        <w:t xml:space="preserve"> </w:t>
      </w:r>
      <w:r>
        <w:t>de</w:t>
      </w:r>
      <w:r>
        <w:rPr>
          <w:spacing w:val="-13"/>
        </w:rPr>
        <w:t xml:space="preserve"> </w:t>
      </w:r>
      <w:r>
        <w:t>datos</w:t>
      </w:r>
      <w:r>
        <w:rPr>
          <w:spacing w:val="-13"/>
        </w:rPr>
        <w:t xml:space="preserve"> </w:t>
      </w:r>
      <w:r>
        <w:t>anexa,</w:t>
      </w:r>
      <w:r>
        <w:rPr>
          <w:spacing w:val="-13"/>
        </w:rPr>
        <w:t xml:space="preserve"> </w:t>
      </w:r>
      <w:r>
        <w:t>se</w:t>
      </w:r>
      <w:r>
        <w:rPr>
          <w:spacing w:val="-14"/>
        </w:rPr>
        <w:t xml:space="preserve"> </w:t>
      </w:r>
      <w:r>
        <w:t>constata que</w:t>
      </w:r>
      <w:r>
        <w:rPr>
          <w:spacing w:val="10"/>
        </w:rPr>
        <w:t xml:space="preserve"> </w:t>
      </w:r>
      <w:r>
        <w:t>de</w:t>
      </w:r>
      <w:r>
        <w:rPr>
          <w:spacing w:val="11"/>
        </w:rPr>
        <w:t xml:space="preserve"> </w:t>
      </w:r>
      <w:r>
        <w:t>las</w:t>
      </w:r>
      <w:r>
        <w:rPr>
          <w:spacing w:val="12"/>
        </w:rPr>
        <w:t xml:space="preserve"> </w:t>
      </w:r>
      <w:r>
        <w:t>4.219</w:t>
      </w:r>
      <w:r>
        <w:rPr>
          <w:spacing w:val="12"/>
        </w:rPr>
        <w:t xml:space="preserve"> </w:t>
      </w:r>
      <w:r>
        <w:t>investigaciones</w:t>
      </w:r>
      <w:r>
        <w:rPr>
          <w:spacing w:val="11"/>
        </w:rPr>
        <w:t xml:space="preserve"> </w:t>
      </w:r>
      <w:r>
        <w:t>[…]</w:t>
      </w:r>
      <w:r>
        <w:rPr>
          <w:spacing w:val="12"/>
        </w:rPr>
        <w:t xml:space="preserve"> </w:t>
      </w:r>
      <w:r>
        <w:t>1.291</w:t>
      </w:r>
      <w:r>
        <w:rPr>
          <w:spacing w:val="13"/>
        </w:rPr>
        <w:t xml:space="preserve"> </w:t>
      </w:r>
      <w:r>
        <w:t>se</w:t>
      </w:r>
      <w:r>
        <w:rPr>
          <w:spacing w:val="11"/>
        </w:rPr>
        <w:t xml:space="preserve"> </w:t>
      </w:r>
      <w:r>
        <w:t>encuentran</w:t>
      </w:r>
      <w:r>
        <w:rPr>
          <w:spacing w:val="11"/>
        </w:rPr>
        <w:t xml:space="preserve"> </w:t>
      </w:r>
      <w:r>
        <w:t>activas,</w:t>
      </w:r>
      <w:r>
        <w:rPr>
          <w:spacing w:val="12"/>
        </w:rPr>
        <w:t xml:space="preserve"> </w:t>
      </w:r>
      <w:r>
        <w:t>1.001</w:t>
      </w:r>
      <w:r>
        <w:rPr>
          <w:spacing w:val="12"/>
        </w:rPr>
        <w:t xml:space="preserve"> </w:t>
      </w:r>
      <w:r>
        <w:t>inactivas,</w:t>
      </w:r>
      <w:r>
        <w:rPr>
          <w:spacing w:val="9"/>
        </w:rPr>
        <w:t xml:space="preserve"> </w:t>
      </w:r>
      <w:r>
        <w:t>y</w:t>
      </w:r>
      <w:r>
        <w:rPr>
          <w:spacing w:val="13"/>
        </w:rPr>
        <w:t xml:space="preserve"> </w:t>
      </w:r>
      <w:r>
        <w:rPr>
          <w:spacing w:val="-2"/>
        </w:rPr>
        <w:t>1.927</w:t>
      </w:r>
      <w:bookmarkStart w:id="1073" w:name="_bookmark946"/>
      <w:bookmarkStart w:id="1074" w:name="_bookmark947"/>
      <w:bookmarkEnd w:id="1073"/>
      <w:bookmarkEnd w:id="1074"/>
      <w:r w:rsidR="005E6E17">
        <w:t xml:space="preserve"> </w:t>
      </w:r>
      <w:r>
        <w:t>no</w:t>
      </w:r>
      <w:r>
        <w:rPr>
          <w:spacing w:val="79"/>
        </w:rPr>
        <w:t xml:space="preserve"> </w:t>
      </w:r>
      <w:r>
        <w:t>registran</w:t>
      </w:r>
      <w:r>
        <w:rPr>
          <w:spacing w:val="78"/>
        </w:rPr>
        <w:t xml:space="preserve"> </w:t>
      </w:r>
      <w:r>
        <w:t>estado.</w:t>
      </w:r>
      <w:r>
        <w:rPr>
          <w:spacing w:val="79"/>
        </w:rPr>
        <w:t xml:space="preserve"> </w:t>
      </w:r>
      <w:r>
        <w:t>Todas</w:t>
      </w:r>
      <w:r>
        <w:rPr>
          <w:spacing w:val="80"/>
        </w:rPr>
        <w:t xml:space="preserve"> </w:t>
      </w:r>
      <w:r>
        <w:t>estas</w:t>
      </w:r>
      <w:r>
        <w:rPr>
          <w:spacing w:val="80"/>
        </w:rPr>
        <w:t xml:space="preserve"> </w:t>
      </w:r>
      <w:r>
        <w:t>investigaciones,</w:t>
      </w:r>
      <w:r>
        <w:rPr>
          <w:spacing w:val="79"/>
        </w:rPr>
        <w:t xml:space="preserve"> </w:t>
      </w:r>
      <w:r>
        <w:t>reporta</w:t>
      </w:r>
      <w:r>
        <w:rPr>
          <w:spacing w:val="80"/>
        </w:rPr>
        <w:t xml:space="preserve"> </w:t>
      </w:r>
      <w:r>
        <w:t>la</w:t>
      </w:r>
      <w:r>
        <w:rPr>
          <w:spacing w:val="80"/>
        </w:rPr>
        <w:t xml:space="preserve"> </w:t>
      </w:r>
      <w:r>
        <w:t>Fiscalía,</w:t>
      </w:r>
      <w:r>
        <w:rPr>
          <w:spacing w:val="78"/>
        </w:rPr>
        <w:t xml:space="preserve"> </w:t>
      </w:r>
      <w:r>
        <w:t>corresponden</w:t>
      </w:r>
      <w:r>
        <w:rPr>
          <w:spacing w:val="79"/>
        </w:rPr>
        <w:t xml:space="preserve"> </w:t>
      </w:r>
      <w:r>
        <w:t>a conductas</w:t>
      </w:r>
      <w:r>
        <w:rPr>
          <w:spacing w:val="23"/>
        </w:rPr>
        <w:t xml:space="preserve"> </w:t>
      </w:r>
      <w:r>
        <w:t>cometidas</w:t>
      </w:r>
      <w:r>
        <w:rPr>
          <w:spacing w:val="26"/>
        </w:rPr>
        <w:t xml:space="preserve"> </w:t>
      </w:r>
      <w:r>
        <w:t>presuntamente</w:t>
      </w:r>
      <w:r>
        <w:rPr>
          <w:spacing w:val="25"/>
        </w:rPr>
        <w:t xml:space="preserve"> </w:t>
      </w:r>
      <w:r>
        <w:t>por</w:t>
      </w:r>
      <w:r>
        <w:rPr>
          <w:spacing w:val="27"/>
        </w:rPr>
        <w:t xml:space="preserve"> </w:t>
      </w:r>
      <w:r>
        <w:t>miembros</w:t>
      </w:r>
      <w:r>
        <w:rPr>
          <w:spacing w:val="25"/>
        </w:rPr>
        <w:t xml:space="preserve"> </w:t>
      </w:r>
      <w:r>
        <w:t>de</w:t>
      </w:r>
      <w:r>
        <w:rPr>
          <w:spacing w:val="26"/>
        </w:rPr>
        <w:t xml:space="preserve"> </w:t>
      </w:r>
      <w:r>
        <w:t>las</w:t>
      </w:r>
      <w:r>
        <w:rPr>
          <w:spacing w:val="26"/>
        </w:rPr>
        <w:t xml:space="preserve"> </w:t>
      </w:r>
      <w:r>
        <w:t>FARC-EP</w:t>
      </w:r>
      <w:r>
        <w:rPr>
          <w:spacing w:val="26"/>
        </w:rPr>
        <w:t xml:space="preserve"> </w:t>
      </w:r>
      <w:r>
        <w:t>y</w:t>
      </w:r>
      <w:r>
        <w:rPr>
          <w:spacing w:val="26"/>
        </w:rPr>
        <w:t xml:space="preserve"> </w:t>
      </w:r>
      <w:r>
        <w:t>arrojan</w:t>
      </w:r>
      <w:r>
        <w:rPr>
          <w:spacing w:val="26"/>
        </w:rPr>
        <w:t xml:space="preserve"> </w:t>
      </w:r>
      <w:r>
        <w:t>un</w:t>
      </w:r>
      <w:r>
        <w:rPr>
          <w:spacing w:val="26"/>
        </w:rPr>
        <w:t xml:space="preserve"> </w:t>
      </w:r>
      <w:r>
        <w:t>total</w:t>
      </w:r>
      <w:r>
        <w:rPr>
          <w:spacing w:val="27"/>
        </w:rPr>
        <w:t xml:space="preserve"> </w:t>
      </w:r>
      <w:r>
        <w:rPr>
          <w:spacing w:val="-5"/>
        </w:rPr>
        <w:t>de</w:t>
      </w:r>
      <w:r w:rsidR="005E6E17">
        <w:t xml:space="preserve"> </w:t>
      </w:r>
      <w:r>
        <w:t>5.252</w:t>
      </w:r>
      <w:r>
        <w:rPr>
          <w:spacing w:val="-1"/>
        </w:rPr>
        <w:t xml:space="preserve"> </w:t>
      </w:r>
      <w:r>
        <w:t>víctimas y</w:t>
      </w:r>
      <w:r>
        <w:rPr>
          <w:spacing w:val="-1"/>
        </w:rPr>
        <w:t xml:space="preserve"> </w:t>
      </w:r>
      <w:r>
        <w:t xml:space="preserve">5.043 </w:t>
      </w:r>
      <w:r>
        <w:rPr>
          <w:spacing w:val="-2"/>
        </w:rPr>
        <w:t>procesados»</w:t>
      </w:r>
      <w:r w:rsidR="005E6E17">
        <w:rPr>
          <w:rStyle w:val="Refdenotaalpie"/>
          <w:spacing w:val="-2"/>
        </w:rPr>
        <w:footnoteReference w:id="868"/>
      </w:r>
      <w:r>
        <w:rPr>
          <w:spacing w:val="-2"/>
        </w:rPr>
        <w:t>.</w:t>
      </w:r>
    </w:p>
    <w:p w:rsidR="003804AC" w:rsidRDefault="00AF18A5" w:rsidP="005E6E17">
      <w:r>
        <w:t>Frente</w:t>
      </w:r>
      <w:r>
        <w:rPr>
          <w:spacing w:val="-4"/>
        </w:rPr>
        <w:t xml:space="preserve"> </w:t>
      </w:r>
      <w:r>
        <w:t>a</w:t>
      </w:r>
      <w:r>
        <w:rPr>
          <w:spacing w:val="-4"/>
        </w:rPr>
        <w:t xml:space="preserve"> </w:t>
      </w:r>
      <w:r>
        <w:t>otro</w:t>
      </w:r>
      <w:r>
        <w:rPr>
          <w:spacing w:val="-5"/>
        </w:rPr>
        <w:t xml:space="preserve"> </w:t>
      </w:r>
      <w:r>
        <w:t>tipo</w:t>
      </w:r>
      <w:r>
        <w:rPr>
          <w:spacing w:val="-5"/>
        </w:rPr>
        <w:t xml:space="preserve"> </w:t>
      </w:r>
      <w:r>
        <w:t>de</w:t>
      </w:r>
      <w:r>
        <w:rPr>
          <w:spacing w:val="-4"/>
        </w:rPr>
        <w:t xml:space="preserve"> </w:t>
      </w:r>
      <w:r>
        <w:t>violaciones</w:t>
      </w:r>
      <w:r>
        <w:rPr>
          <w:spacing w:val="-4"/>
        </w:rPr>
        <w:t xml:space="preserve"> </w:t>
      </w:r>
      <w:r>
        <w:t>parece</w:t>
      </w:r>
      <w:r>
        <w:rPr>
          <w:spacing w:val="-4"/>
        </w:rPr>
        <w:t xml:space="preserve"> </w:t>
      </w:r>
      <w:r>
        <w:t>haber</w:t>
      </w:r>
      <w:r>
        <w:rPr>
          <w:spacing w:val="-4"/>
        </w:rPr>
        <w:t xml:space="preserve"> </w:t>
      </w:r>
      <w:r>
        <w:t>un</w:t>
      </w:r>
      <w:r>
        <w:rPr>
          <w:spacing w:val="-6"/>
        </w:rPr>
        <w:t xml:space="preserve"> </w:t>
      </w:r>
      <w:r>
        <w:t>mayor</w:t>
      </w:r>
      <w:r>
        <w:rPr>
          <w:spacing w:val="-4"/>
        </w:rPr>
        <w:t xml:space="preserve"> </w:t>
      </w:r>
      <w:r>
        <w:t>número</w:t>
      </w:r>
      <w:r>
        <w:rPr>
          <w:spacing w:val="-5"/>
        </w:rPr>
        <w:t xml:space="preserve"> </w:t>
      </w:r>
      <w:r>
        <w:t>de</w:t>
      </w:r>
      <w:r>
        <w:rPr>
          <w:spacing w:val="-4"/>
        </w:rPr>
        <w:t xml:space="preserve"> </w:t>
      </w:r>
      <w:r>
        <w:t>sentencias,</w:t>
      </w:r>
      <w:r>
        <w:rPr>
          <w:spacing w:val="-5"/>
        </w:rPr>
        <w:t xml:space="preserve"> </w:t>
      </w:r>
      <w:r>
        <w:t>como</w:t>
      </w:r>
      <w:r>
        <w:rPr>
          <w:spacing w:val="-6"/>
        </w:rPr>
        <w:t xml:space="preserve"> </w:t>
      </w:r>
      <w:r>
        <w:t>por ejemplo</w:t>
      </w:r>
      <w:r>
        <w:rPr>
          <w:spacing w:val="-7"/>
        </w:rPr>
        <w:t xml:space="preserve"> </w:t>
      </w:r>
      <w:r>
        <w:t>frente</w:t>
      </w:r>
      <w:r>
        <w:rPr>
          <w:spacing w:val="-8"/>
        </w:rPr>
        <w:t xml:space="preserve"> </w:t>
      </w:r>
      <w:r>
        <w:t>al</w:t>
      </w:r>
      <w:r>
        <w:rPr>
          <w:spacing w:val="-7"/>
        </w:rPr>
        <w:t xml:space="preserve"> </w:t>
      </w:r>
      <w:r>
        <w:t>secuestro</w:t>
      </w:r>
      <w:r>
        <w:rPr>
          <w:spacing w:val="-8"/>
        </w:rPr>
        <w:t xml:space="preserve"> </w:t>
      </w:r>
      <w:r>
        <w:t>con</w:t>
      </w:r>
      <w:r>
        <w:rPr>
          <w:spacing w:val="-7"/>
        </w:rPr>
        <w:t xml:space="preserve"> </w:t>
      </w:r>
      <w:r>
        <w:t>respecto</w:t>
      </w:r>
      <w:r>
        <w:rPr>
          <w:spacing w:val="-8"/>
        </w:rPr>
        <w:t xml:space="preserve"> </w:t>
      </w:r>
      <w:r>
        <w:t>a</w:t>
      </w:r>
      <w:r>
        <w:rPr>
          <w:spacing w:val="-8"/>
        </w:rPr>
        <w:t xml:space="preserve"> </w:t>
      </w:r>
      <w:r>
        <w:t>lo</w:t>
      </w:r>
      <w:r>
        <w:rPr>
          <w:spacing w:val="-7"/>
        </w:rPr>
        <w:t xml:space="preserve"> </w:t>
      </w:r>
      <w:r>
        <w:t>que</w:t>
      </w:r>
      <w:r>
        <w:rPr>
          <w:spacing w:val="-8"/>
        </w:rPr>
        <w:t xml:space="preserve"> </w:t>
      </w:r>
      <w:r>
        <w:t>el</w:t>
      </w:r>
      <w:r>
        <w:rPr>
          <w:spacing w:val="-7"/>
        </w:rPr>
        <w:t xml:space="preserve"> </w:t>
      </w:r>
      <w:r>
        <w:rPr>
          <w:i/>
        </w:rPr>
        <w:t>Informe</w:t>
      </w:r>
      <w:r>
        <w:rPr>
          <w:i/>
          <w:spacing w:val="-8"/>
        </w:rPr>
        <w:t xml:space="preserve"> </w:t>
      </w:r>
      <w:r>
        <w:rPr>
          <w:i/>
        </w:rPr>
        <w:t>No.</w:t>
      </w:r>
      <w:r>
        <w:rPr>
          <w:i/>
          <w:spacing w:val="-7"/>
        </w:rPr>
        <w:t xml:space="preserve"> </w:t>
      </w:r>
      <w:r>
        <w:rPr>
          <w:i/>
        </w:rPr>
        <w:t>2.</w:t>
      </w:r>
      <w:r>
        <w:rPr>
          <w:i/>
          <w:spacing w:val="-8"/>
        </w:rPr>
        <w:t xml:space="preserve"> </w:t>
      </w:r>
      <w:r>
        <w:rPr>
          <w:i/>
        </w:rPr>
        <w:t>De</w:t>
      </w:r>
      <w:r>
        <w:rPr>
          <w:i/>
          <w:spacing w:val="-7"/>
        </w:rPr>
        <w:t xml:space="preserve"> </w:t>
      </w:r>
      <w:r>
        <w:rPr>
          <w:i/>
        </w:rPr>
        <w:t>la</w:t>
      </w:r>
      <w:r>
        <w:rPr>
          <w:i/>
          <w:spacing w:val="-8"/>
        </w:rPr>
        <w:t xml:space="preserve"> </w:t>
      </w:r>
      <w:r>
        <w:rPr>
          <w:i/>
        </w:rPr>
        <w:t>Fiscalía</w:t>
      </w:r>
      <w:r>
        <w:rPr>
          <w:i/>
          <w:spacing w:val="-7"/>
        </w:rPr>
        <w:t xml:space="preserve"> </w:t>
      </w:r>
      <w:r>
        <w:rPr>
          <w:i/>
        </w:rPr>
        <w:t>General</w:t>
      </w:r>
      <w:r>
        <w:rPr>
          <w:i/>
          <w:spacing w:val="-8"/>
        </w:rPr>
        <w:t xml:space="preserve"> </w:t>
      </w:r>
      <w:r>
        <w:rPr>
          <w:i/>
        </w:rPr>
        <w:t>de la Nación «Retención ilegal de personas por parte de las FARC-EP»</w:t>
      </w:r>
      <w:r>
        <w:t xml:space="preserve">, presentado a la JEP, indica la existencia de 6.162 investigaciones sobre secuestro atribuibles a las FARC-EP, en las que se investiga la victimización de 8.163 personas y se </w:t>
      </w:r>
      <w:r>
        <w:lastRenderedPageBreak/>
        <w:t>reportan 275 sentencias condenatorias proferidas contra 614 personas, incluyendo miembros del Estado Mayor Central</w:t>
      </w:r>
      <w:r>
        <w:rPr>
          <w:spacing w:val="-8"/>
        </w:rPr>
        <w:t xml:space="preserve"> </w:t>
      </w:r>
      <w:r>
        <w:t>(EMC)</w:t>
      </w:r>
      <w:r>
        <w:rPr>
          <w:spacing w:val="-7"/>
        </w:rPr>
        <w:t xml:space="preserve"> </w:t>
      </w:r>
      <w:r>
        <w:t>y</w:t>
      </w:r>
      <w:r>
        <w:rPr>
          <w:spacing w:val="-7"/>
        </w:rPr>
        <w:t xml:space="preserve"> </w:t>
      </w:r>
      <w:r>
        <w:t>del</w:t>
      </w:r>
      <w:r>
        <w:rPr>
          <w:spacing w:val="-7"/>
        </w:rPr>
        <w:t xml:space="preserve"> </w:t>
      </w:r>
      <w:r>
        <w:t>Secretariado</w:t>
      </w:r>
      <w:r w:rsidR="005E6E17">
        <w:rPr>
          <w:rStyle w:val="Refdenotaalpie"/>
        </w:rPr>
        <w:footnoteReference w:id="869"/>
      </w:r>
      <w:r>
        <w:t>.</w:t>
      </w:r>
      <w:r>
        <w:rPr>
          <w:spacing w:val="-7"/>
        </w:rPr>
        <w:t xml:space="preserve"> </w:t>
      </w:r>
      <w:r>
        <w:t>No</w:t>
      </w:r>
      <w:r>
        <w:rPr>
          <w:spacing w:val="-7"/>
        </w:rPr>
        <w:t xml:space="preserve"> </w:t>
      </w:r>
      <w:r>
        <w:t>obstante,</w:t>
      </w:r>
      <w:r>
        <w:rPr>
          <w:spacing w:val="-7"/>
        </w:rPr>
        <w:t xml:space="preserve"> </w:t>
      </w:r>
      <w:r>
        <w:t>frente</w:t>
      </w:r>
      <w:r>
        <w:rPr>
          <w:spacing w:val="-8"/>
        </w:rPr>
        <w:t xml:space="preserve"> </w:t>
      </w:r>
      <w:r>
        <w:t>a</w:t>
      </w:r>
      <w:r>
        <w:rPr>
          <w:spacing w:val="-7"/>
        </w:rPr>
        <w:t xml:space="preserve"> </w:t>
      </w:r>
      <w:r>
        <w:t>este</w:t>
      </w:r>
      <w:r>
        <w:rPr>
          <w:spacing w:val="-8"/>
        </w:rPr>
        <w:t xml:space="preserve"> </w:t>
      </w:r>
      <w:r>
        <w:t>mayor</w:t>
      </w:r>
      <w:r>
        <w:rPr>
          <w:spacing w:val="-7"/>
        </w:rPr>
        <w:t xml:space="preserve"> </w:t>
      </w:r>
      <w:r>
        <w:t>número</w:t>
      </w:r>
      <w:r>
        <w:rPr>
          <w:spacing w:val="-7"/>
        </w:rPr>
        <w:t xml:space="preserve"> </w:t>
      </w:r>
      <w:r>
        <w:t>de</w:t>
      </w:r>
      <w:r>
        <w:rPr>
          <w:spacing w:val="-7"/>
        </w:rPr>
        <w:t xml:space="preserve"> </w:t>
      </w:r>
      <w:r>
        <w:t>sentencias, habría</w:t>
      </w:r>
      <w:r>
        <w:rPr>
          <w:spacing w:val="-15"/>
        </w:rPr>
        <w:t xml:space="preserve"> </w:t>
      </w:r>
      <w:r>
        <w:t>que</w:t>
      </w:r>
      <w:r>
        <w:rPr>
          <w:spacing w:val="-15"/>
        </w:rPr>
        <w:t xml:space="preserve"> </w:t>
      </w:r>
      <w:r>
        <w:t>anotar</w:t>
      </w:r>
      <w:r>
        <w:rPr>
          <w:spacing w:val="-15"/>
        </w:rPr>
        <w:t xml:space="preserve"> </w:t>
      </w:r>
      <w:r>
        <w:t>la</w:t>
      </w:r>
      <w:r>
        <w:rPr>
          <w:spacing w:val="-15"/>
        </w:rPr>
        <w:t xml:space="preserve"> </w:t>
      </w:r>
      <w:r>
        <w:t>baja</w:t>
      </w:r>
      <w:r>
        <w:rPr>
          <w:spacing w:val="-15"/>
        </w:rPr>
        <w:t xml:space="preserve"> </w:t>
      </w:r>
      <w:r>
        <w:t>efectividad</w:t>
      </w:r>
      <w:r>
        <w:rPr>
          <w:spacing w:val="-15"/>
        </w:rPr>
        <w:t xml:space="preserve"> </w:t>
      </w:r>
      <w:r>
        <w:t>de</w:t>
      </w:r>
      <w:r>
        <w:rPr>
          <w:spacing w:val="-15"/>
        </w:rPr>
        <w:t xml:space="preserve"> </w:t>
      </w:r>
      <w:r>
        <w:t>las</w:t>
      </w:r>
      <w:r>
        <w:rPr>
          <w:spacing w:val="-15"/>
        </w:rPr>
        <w:t xml:space="preserve"> </w:t>
      </w:r>
      <w:r>
        <w:t>mismas</w:t>
      </w:r>
      <w:r>
        <w:rPr>
          <w:spacing w:val="-15"/>
        </w:rPr>
        <w:t xml:space="preserve"> </w:t>
      </w:r>
      <w:r>
        <w:t>puesto</w:t>
      </w:r>
      <w:r>
        <w:rPr>
          <w:spacing w:val="-15"/>
        </w:rPr>
        <w:t xml:space="preserve"> </w:t>
      </w:r>
      <w:r>
        <w:t>que,</w:t>
      </w:r>
      <w:r>
        <w:rPr>
          <w:spacing w:val="-15"/>
        </w:rPr>
        <w:t xml:space="preserve"> </w:t>
      </w:r>
      <w:r>
        <w:t>por</w:t>
      </w:r>
      <w:r>
        <w:rPr>
          <w:spacing w:val="-15"/>
        </w:rPr>
        <w:t xml:space="preserve"> </w:t>
      </w:r>
      <w:r>
        <w:t>largo</w:t>
      </w:r>
      <w:r>
        <w:rPr>
          <w:spacing w:val="-15"/>
        </w:rPr>
        <w:t xml:space="preserve"> </w:t>
      </w:r>
      <w:r>
        <w:t>tiempo,</w:t>
      </w:r>
      <w:r>
        <w:rPr>
          <w:spacing w:val="-15"/>
        </w:rPr>
        <w:t xml:space="preserve"> </w:t>
      </w:r>
      <w:r>
        <w:t>no</w:t>
      </w:r>
      <w:r>
        <w:rPr>
          <w:spacing w:val="-15"/>
        </w:rPr>
        <w:t xml:space="preserve"> </w:t>
      </w:r>
      <w:r>
        <w:t>se</w:t>
      </w:r>
      <w:r>
        <w:rPr>
          <w:spacing w:val="-15"/>
        </w:rPr>
        <w:t xml:space="preserve"> </w:t>
      </w:r>
      <w:r>
        <w:t>tradujo a una consecuencia jurídica efectiva</w:t>
      </w:r>
      <w:r>
        <w:rPr>
          <w:spacing w:val="-1"/>
        </w:rPr>
        <w:t xml:space="preserve"> </w:t>
      </w:r>
      <w:r>
        <w:t>o siquiera a</w:t>
      </w:r>
      <w:r>
        <w:rPr>
          <w:spacing w:val="-1"/>
        </w:rPr>
        <w:t xml:space="preserve"> </w:t>
      </w:r>
      <w:r>
        <w:t>una participación de los condenados en los procesos.</w:t>
      </w:r>
      <w:r>
        <w:rPr>
          <w:spacing w:val="-2"/>
        </w:rPr>
        <w:t xml:space="preserve"> </w:t>
      </w:r>
      <w:r>
        <w:t>Adicionalmente,</w:t>
      </w:r>
      <w:r>
        <w:rPr>
          <w:spacing w:val="-2"/>
        </w:rPr>
        <w:t xml:space="preserve"> </w:t>
      </w:r>
      <w:r>
        <w:t>ello</w:t>
      </w:r>
      <w:r>
        <w:rPr>
          <w:spacing w:val="-2"/>
        </w:rPr>
        <w:t xml:space="preserve"> </w:t>
      </w:r>
      <w:r>
        <w:t>debido</w:t>
      </w:r>
      <w:r>
        <w:rPr>
          <w:spacing w:val="-2"/>
        </w:rPr>
        <w:t xml:space="preserve"> </w:t>
      </w:r>
      <w:r>
        <w:t>a</w:t>
      </w:r>
      <w:r>
        <w:rPr>
          <w:spacing w:val="-2"/>
        </w:rPr>
        <w:t xml:space="preserve"> </w:t>
      </w:r>
      <w:r>
        <w:t>que,</w:t>
      </w:r>
      <w:r>
        <w:rPr>
          <w:spacing w:val="-2"/>
        </w:rPr>
        <w:t xml:space="preserve"> </w:t>
      </w:r>
      <w:r>
        <w:t>como</w:t>
      </w:r>
      <w:r>
        <w:rPr>
          <w:spacing w:val="-2"/>
        </w:rPr>
        <w:t xml:space="preserve"> </w:t>
      </w:r>
      <w:r>
        <w:t>lo</w:t>
      </w:r>
      <w:r>
        <w:rPr>
          <w:spacing w:val="-2"/>
        </w:rPr>
        <w:t xml:space="preserve"> </w:t>
      </w:r>
      <w:r>
        <w:t>analizó</w:t>
      </w:r>
      <w:r>
        <w:rPr>
          <w:spacing w:val="-2"/>
        </w:rPr>
        <w:t xml:space="preserve"> </w:t>
      </w:r>
      <w:r>
        <w:t>la</w:t>
      </w:r>
      <w:r>
        <w:rPr>
          <w:spacing w:val="-2"/>
        </w:rPr>
        <w:t xml:space="preserve"> </w:t>
      </w:r>
      <w:r>
        <w:t>Procuraduría</w:t>
      </w:r>
      <w:r>
        <w:rPr>
          <w:spacing w:val="-2"/>
        </w:rPr>
        <w:t xml:space="preserve"> </w:t>
      </w:r>
      <w:r>
        <w:t>Delegada</w:t>
      </w:r>
      <w:r>
        <w:rPr>
          <w:spacing w:val="-2"/>
        </w:rPr>
        <w:t xml:space="preserve"> </w:t>
      </w:r>
      <w:r>
        <w:t>con Funciones de Coordinación de Intervención para la Paz, muchas de estas sentencias no tuvieron</w:t>
      </w:r>
      <w:r>
        <w:rPr>
          <w:spacing w:val="-1"/>
        </w:rPr>
        <w:t xml:space="preserve"> </w:t>
      </w:r>
      <w:r>
        <w:t>una</w:t>
      </w:r>
      <w:r>
        <w:rPr>
          <w:spacing w:val="-2"/>
        </w:rPr>
        <w:t xml:space="preserve"> </w:t>
      </w:r>
      <w:r>
        <w:t>participación</w:t>
      </w:r>
      <w:r>
        <w:rPr>
          <w:spacing w:val="-1"/>
        </w:rPr>
        <w:t xml:space="preserve"> </w:t>
      </w:r>
      <w:r>
        <w:t>de</w:t>
      </w:r>
      <w:r>
        <w:rPr>
          <w:spacing w:val="-1"/>
        </w:rPr>
        <w:t xml:space="preserve"> </w:t>
      </w:r>
      <w:r>
        <w:t>real</w:t>
      </w:r>
      <w:r>
        <w:rPr>
          <w:spacing w:val="-2"/>
        </w:rPr>
        <w:t xml:space="preserve"> </w:t>
      </w:r>
      <w:r>
        <w:t>de</w:t>
      </w:r>
      <w:r>
        <w:rPr>
          <w:spacing w:val="-2"/>
        </w:rPr>
        <w:t xml:space="preserve"> </w:t>
      </w:r>
      <w:r>
        <w:t>las</w:t>
      </w:r>
      <w:r>
        <w:rPr>
          <w:spacing w:val="-1"/>
        </w:rPr>
        <w:t xml:space="preserve"> </w:t>
      </w:r>
      <w:r>
        <w:t>víctimas</w:t>
      </w:r>
      <w:r>
        <w:rPr>
          <w:spacing w:val="-2"/>
        </w:rPr>
        <w:t xml:space="preserve"> </w:t>
      </w:r>
      <w:r>
        <w:t>en</w:t>
      </w:r>
      <w:r>
        <w:rPr>
          <w:spacing w:val="-1"/>
        </w:rPr>
        <w:t xml:space="preserve"> </w:t>
      </w:r>
      <w:r>
        <w:t>los</w:t>
      </w:r>
      <w:r>
        <w:rPr>
          <w:spacing w:val="-2"/>
        </w:rPr>
        <w:t xml:space="preserve"> </w:t>
      </w:r>
      <w:r>
        <w:t>procesos</w:t>
      </w:r>
      <w:r>
        <w:rPr>
          <w:spacing w:val="-1"/>
        </w:rPr>
        <w:t xml:space="preserve"> </w:t>
      </w:r>
      <w:r>
        <w:t>o</w:t>
      </w:r>
      <w:r>
        <w:rPr>
          <w:spacing w:val="-2"/>
        </w:rPr>
        <w:t xml:space="preserve"> </w:t>
      </w:r>
      <w:r>
        <w:t>tuvieron</w:t>
      </w:r>
      <w:r>
        <w:rPr>
          <w:spacing w:val="-1"/>
        </w:rPr>
        <w:t xml:space="preserve"> </w:t>
      </w:r>
      <w:r>
        <w:t>vacíos</w:t>
      </w:r>
      <w:r>
        <w:rPr>
          <w:spacing w:val="-2"/>
        </w:rPr>
        <w:t xml:space="preserve"> </w:t>
      </w:r>
      <w:r>
        <w:t>notables de información básica sobre los hechos</w:t>
      </w:r>
      <w:r w:rsidR="005E6E17">
        <w:rPr>
          <w:rStyle w:val="Refdenotaalpie"/>
        </w:rPr>
        <w:footnoteReference w:id="870"/>
      </w:r>
      <w:r>
        <w:t>. Todo ello forma parte ahora, con el Acuerdo de paz</w:t>
      </w:r>
      <w:r>
        <w:rPr>
          <w:spacing w:val="-15"/>
        </w:rPr>
        <w:t xml:space="preserve"> </w:t>
      </w:r>
      <w:r>
        <w:t>con</w:t>
      </w:r>
      <w:r>
        <w:rPr>
          <w:spacing w:val="-15"/>
        </w:rPr>
        <w:t xml:space="preserve"> </w:t>
      </w:r>
      <w:r>
        <w:t>las</w:t>
      </w:r>
      <w:r>
        <w:rPr>
          <w:spacing w:val="-15"/>
        </w:rPr>
        <w:t xml:space="preserve"> </w:t>
      </w:r>
      <w:r>
        <w:t>FARC-EP</w:t>
      </w:r>
      <w:r>
        <w:rPr>
          <w:spacing w:val="-15"/>
        </w:rPr>
        <w:t xml:space="preserve"> </w:t>
      </w:r>
      <w:r>
        <w:t>de</w:t>
      </w:r>
      <w:r>
        <w:rPr>
          <w:spacing w:val="-15"/>
        </w:rPr>
        <w:t xml:space="preserve"> </w:t>
      </w:r>
      <w:r>
        <w:t>la</w:t>
      </w:r>
      <w:r>
        <w:rPr>
          <w:spacing w:val="-15"/>
        </w:rPr>
        <w:t xml:space="preserve"> </w:t>
      </w:r>
      <w:r>
        <w:t>competencia</w:t>
      </w:r>
      <w:r>
        <w:rPr>
          <w:spacing w:val="-15"/>
        </w:rPr>
        <w:t xml:space="preserve"> </w:t>
      </w:r>
      <w:r>
        <w:t>de</w:t>
      </w:r>
      <w:r>
        <w:rPr>
          <w:spacing w:val="-15"/>
        </w:rPr>
        <w:t xml:space="preserve"> </w:t>
      </w:r>
      <w:r>
        <w:t>la</w:t>
      </w:r>
      <w:r>
        <w:rPr>
          <w:spacing w:val="-15"/>
        </w:rPr>
        <w:t xml:space="preserve"> </w:t>
      </w:r>
      <w:r>
        <w:t>Jurisdicción</w:t>
      </w:r>
      <w:r>
        <w:rPr>
          <w:spacing w:val="-15"/>
        </w:rPr>
        <w:t xml:space="preserve"> </w:t>
      </w:r>
      <w:r>
        <w:t>especial</w:t>
      </w:r>
      <w:r>
        <w:rPr>
          <w:spacing w:val="-15"/>
        </w:rPr>
        <w:t xml:space="preserve"> </w:t>
      </w:r>
      <w:r>
        <w:t>para</w:t>
      </w:r>
      <w:r>
        <w:rPr>
          <w:spacing w:val="-15"/>
        </w:rPr>
        <w:t xml:space="preserve"> </w:t>
      </w:r>
      <w:r>
        <w:t>la</w:t>
      </w:r>
      <w:r>
        <w:rPr>
          <w:spacing w:val="-15"/>
        </w:rPr>
        <w:t xml:space="preserve"> </w:t>
      </w:r>
      <w:r>
        <w:t>Paz</w:t>
      </w:r>
      <w:r>
        <w:rPr>
          <w:spacing w:val="-15"/>
        </w:rPr>
        <w:t xml:space="preserve"> </w:t>
      </w:r>
      <w:r>
        <w:t>(JEP).</w:t>
      </w:r>
      <w:r>
        <w:rPr>
          <w:spacing w:val="-15"/>
        </w:rPr>
        <w:t xml:space="preserve"> </w:t>
      </w:r>
      <w:r>
        <w:t>Cuando se firmó el acuerdo de paz con las FARC-EP, la cifra de detenidos de esa organización finalmente reconocidos fue de 3015 detenidos, por lo que la persecución de esos hechos en los casos de la guerrilla sí mostraba resultados, a pesar de las limitaciones.</w:t>
      </w:r>
    </w:p>
    <w:p w:rsidR="003804AC" w:rsidRDefault="00AF18A5" w:rsidP="005E6E17">
      <w:r>
        <w:t>Más allá de las cifras, las evidencias prueban que, en casos de graves violaciones de derechos humanos, la justicia avanza cuando instituciones o funcionarios independientes adelantan</w:t>
      </w:r>
      <w:r>
        <w:rPr>
          <w:spacing w:val="38"/>
        </w:rPr>
        <w:t xml:space="preserve"> </w:t>
      </w:r>
      <w:r>
        <w:t>las</w:t>
      </w:r>
      <w:r>
        <w:rPr>
          <w:spacing w:val="41"/>
        </w:rPr>
        <w:t xml:space="preserve"> </w:t>
      </w:r>
      <w:r>
        <w:t>investigaciones.</w:t>
      </w:r>
      <w:r>
        <w:rPr>
          <w:spacing w:val="41"/>
        </w:rPr>
        <w:t xml:space="preserve"> </w:t>
      </w:r>
      <w:r>
        <w:t>En</w:t>
      </w:r>
      <w:r>
        <w:rPr>
          <w:spacing w:val="41"/>
        </w:rPr>
        <w:t xml:space="preserve"> </w:t>
      </w:r>
      <w:r>
        <w:t>esos</w:t>
      </w:r>
      <w:r>
        <w:rPr>
          <w:spacing w:val="40"/>
        </w:rPr>
        <w:t xml:space="preserve"> </w:t>
      </w:r>
      <w:r>
        <w:t>casos,</w:t>
      </w:r>
      <w:r>
        <w:rPr>
          <w:spacing w:val="40"/>
        </w:rPr>
        <w:t xml:space="preserve"> </w:t>
      </w:r>
      <w:r>
        <w:t>se</w:t>
      </w:r>
      <w:r>
        <w:rPr>
          <w:spacing w:val="41"/>
        </w:rPr>
        <w:t xml:space="preserve"> </w:t>
      </w:r>
      <w:r>
        <w:t>han</w:t>
      </w:r>
      <w:r>
        <w:rPr>
          <w:spacing w:val="41"/>
        </w:rPr>
        <w:t xml:space="preserve"> </w:t>
      </w:r>
      <w:r>
        <w:t>puesto</w:t>
      </w:r>
      <w:r>
        <w:rPr>
          <w:spacing w:val="40"/>
        </w:rPr>
        <w:t xml:space="preserve"> </w:t>
      </w:r>
      <w:r>
        <w:t>en</w:t>
      </w:r>
      <w:r>
        <w:rPr>
          <w:spacing w:val="41"/>
        </w:rPr>
        <w:t xml:space="preserve"> </w:t>
      </w:r>
      <w:r>
        <w:t>marcha</w:t>
      </w:r>
      <w:r>
        <w:rPr>
          <w:spacing w:val="41"/>
        </w:rPr>
        <w:t xml:space="preserve"> </w:t>
      </w:r>
      <w:r>
        <w:t>metodologías</w:t>
      </w:r>
      <w:r>
        <w:rPr>
          <w:spacing w:val="41"/>
        </w:rPr>
        <w:t xml:space="preserve"> </w:t>
      </w:r>
      <w:r>
        <w:rPr>
          <w:spacing w:val="-5"/>
        </w:rPr>
        <w:t>de</w:t>
      </w:r>
      <w:bookmarkStart w:id="1075" w:name="_bookmark948"/>
      <w:bookmarkStart w:id="1076" w:name="_bookmark949"/>
      <w:bookmarkStart w:id="1077" w:name="_bookmark950"/>
      <w:bookmarkEnd w:id="1075"/>
      <w:bookmarkEnd w:id="1076"/>
      <w:bookmarkEnd w:id="1077"/>
      <w:r w:rsidR="005E6E17">
        <w:rPr>
          <w:spacing w:val="-5"/>
        </w:rPr>
        <w:t xml:space="preserve"> </w:t>
      </w:r>
      <w:r>
        <w:t>trabajo</w:t>
      </w:r>
      <w:r>
        <w:rPr>
          <w:spacing w:val="-15"/>
        </w:rPr>
        <w:t xml:space="preserve"> </w:t>
      </w:r>
      <w:r>
        <w:t>judicial</w:t>
      </w:r>
      <w:r>
        <w:rPr>
          <w:spacing w:val="-15"/>
        </w:rPr>
        <w:t xml:space="preserve"> </w:t>
      </w:r>
      <w:r>
        <w:t>que</w:t>
      </w:r>
      <w:r>
        <w:rPr>
          <w:spacing w:val="-15"/>
        </w:rPr>
        <w:t xml:space="preserve"> </w:t>
      </w:r>
      <w:r>
        <w:t>no</w:t>
      </w:r>
      <w:r>
        <w:rPr>
          <w:spacing w:val="-15"/>
        </w:rPr>
        <w:t xml:space="preserve"> </w:t>
      </w:r>
      <w:r>
        <w:t>están</w:t>
      </w:r>
      <w:r>
        <w:rPr>
          <w:spacing w:val="-15"/>
        </w:rPr>
        <w:t xml:space="preserve"> </w:t>
      </w:r>
      <w:r>
        <w:t>únicamente</w:t>
      </w:r>
      <w:r>
        <w:rPr>
          <w:spacing w:val="-15"/>
        </w:rPr>
        <w:t xml:space="preserve"> </w:t>
      </w:r>
      <w:r>
        <w:t>centradas</w:t>
      </w:r>
      <w:r>
        <w:rPr>
          <w:spacing w:val="-15"/>
        </w:rPr>
        <w:t xml:space="preserve"> </w:t>
      </w:r>
      <w:r>
        <w:t>en</w:t>
      </w:r>
      <w:r>
        <w:rPr>
          <w:spacing w:val="-15"/>
        </w:rPr>
        <w:t xml:space="preserve"> </w:t>
      </w:r>
      <w:r>
        <w:t>el</w:t>
      </w:r>
      <w:r>
        <w:rPr>
          <w:spacing w:val="-15"/>
        </w:rPr>
        <w:t xml:space="preserve"> </w:t>
      </w:r>
      <w:r>
        <w:t>establecimiento</w:t>
      </w:r>
      <w:r>
        <w:rPr>
          <w:spacing w:val="-15"/>
        </w:rPr>
        <w:t xml:space="preserve"> </w:t>
      </w:r>
      <w:r>
        <w:t>de</w:t>
      </w:r>
      <w:r>
        <w:rPr>
          <w:spacing w:val="-15"/>
        </w:rPr>
        <w:t xml:space="preserve"> </w:t>
      </w:r>
      <w:r>
        <w:t>responsabilidades individuales, sino también en la identificación de las redes, los entramados o los contextos. Esto</w:t>
      </w:r>
      <w:r>
        <w:rPr>
          <w:spacing w:val="-11"/>
        </w:rPr>
        <w:t xml:space="preserve"> </w:t>
      </w:r>
      <w:r>
        <w:t>ha</w:t>
      </w:r>
      <w:r>
        <w:rPr>
          <w:spacing w:val="-10"/>
        </w:rPr>
        <w:t xml:space="preserve"> </w:t>
      </w:r>
      <w:r>
        <w:t>permitido</w:t>
      </w:r>
      <w:r>
        <w:rPr>
          <w:spacing w:val="-11"/>
        </w:rPr>
        <w:t xml:space="preserve"> </w:t>
      </w:r>
      <w:r>
        <w:t>aportar</w:t>
      </w:r>
      <w:r>
        <w:rPr>
          <w:spacing w:val="-10"/>
        </w:rPr>
        <w:t xml:space="preserve"> </w:t>
      </w:r>
      <w:r>
        <w:t>luces</w:t>
      </w:r>
      <w:r>
        <w:rPr>
          <w:spacing w:val="-10"/>
        </w:rPr>
        <w:t xml:space="preserve"> </w:t>
      </w:r>
      <w:r>
        <w:t>de</w:t>
      </w:r>
      <w:r>
        <w:rPr>
          <w:spacing w:val="-10"/>
        </w:rPr>
        <w:t xml:space="preserve"> </w:t>
      </w:r>
      <w:r>
        <w:t>comprensión</w:t>
      </w:r>
      <w:r>
        <w:rPr>
          <w:spacing w:val="-12"/>
        </w:rPr>
        <w:t xml:space="preserve"> </w:t>
      </w:r>
      <w:r>
        <w:t>a</w:t>
      </w:r>
      <w:r>
        <w:rPr>
          <w:spacing w:val="-10"/>
        </w:rPr>
        <w:t xml:space="preserve"> </w:t>
      </w:r>
      <w:r>
        <w:t>las</w:t>
      </w:r>
      <w:r>
        <w:rPr>
          <w:spacing w:val="-12"/>
        </w:rPr>
        <w:t xml:space="preserve"> </w:t>
      </w:r>
      <w:r>
        <w:t>problemáticas</w:t>
      </w:r>
      <w:r>
        <w:rPr>
          <w:spacing w:val="-12"/>
        </w:rPr>
        <w:t xml:space="preserve"> </w:t>
      </w:r>
      <w:r>
        <w:t>y</w:t>
      </w:r>
      <w:r>
        <w:rPr>
          <w:spacing w:val="-11"/>
        </w:rPr>
        <w:t xml:space="preserve"> </w:t>
      </w:r>
      <w:r>
        <w:t>mecanismos</w:t>
      </w:r>
      <w:r>
        <w:rPr>
          <w:spacing w:val="-11"/>
        </w:rPr>
        <w:t xml:space="preserve"> </w:t>
      </w:r>
      <w:r>
        <w:t>que</w:t>
      </w:r>
      <w:r>
        <w:rPr>
          <w:spacing w:val="-10"/>
        </w:rPr>
        <w:t xml:space="preserve"> </w:t>
      </w:r>
      <w:r>
        <w:t>hacen posible la violencia a gran escala.</w:t>
      </w:r>
    </w:p>
    <w:p w:rsidR="003804AC" w:rsidRDefault="00AF18A5" w:rsidP="005E6E17">
      <w:r>
        <w:lastRenderedPageBreak/>
        <w:t>La justicia también ha avanzado cuando la investigación ha podido realizarse en los territorios, con acceso a las víctimas y en condiciones de seguridad. Cuando ha existido un impulso central desde las altas esferas de las instituciones estatales para dar seguimiento a los expedientes, aportar medios para su robustecimiento, apoyar a los investigadores y dar prioridad a las averiguaciones con análisis de macro criminalidad, que aportan información determinante</w:t>
      </w:r>
      <w:r>
        <w:rPr>
          <w:spacing w:val="-5"/>
        </w:rPr>
        <w:t xml:space="preserve"> </w:t>
      </w:r>
      <w:r>
        <w:t>para</w:t>
      </w:r>
      <w:r>
        <w:rPr>
          <w:spacing w:val="-6"/>
        </w:rPr>
        <w:t xml:space="preserve"> </w:t>
      </w:r>
      <w:r>
        <w:t>entender</w:t>
      </w:r>
      <w:r>
        <w:rPr>
          <w:spacing w:val="-5"/>
        </w:rPr>
        <w:t xml:space="preserve"> </w:t>
      </w:r>
      <w:r>
        <w:t>las</w:t>
      </w:r>
      <w:r>
        <w:rPr>
          <w:spacing w:val="-5"/>
        </w:rPr>
        <w:t xml:space="preserve"> </w:t>
      </w:r>
      <w:r>
        <w:t>conexiones</w:t>
      </w:r>
      <w:r>
        <w:rPr>
          <w:spacing w:val="-5"/>
        </w:rPr>
        <w:t xml:space="preserve"> </w:t>
      </w:r>
      <w:r>
        <w:t>de</w:t>
      </w:r>
      <w:r>
        <w:rPr>
          <w:spacing w:val="-6"/>
        </w:rPr>
        <w:t xml:space="preserve"> </w:t>
      </w:r>
      <w:r>
        <w:t>la</w:t>
      </w:r>
      <w:r>
        <w:rPr>
          <w:spacing w:val="-6"/>
        </w:rPr>
        <w:t xml:space="preserve"> </w:t>
      </w:r>
      <w:r>
        <w:t>impunidad</w:t>
      </w:r>
      <w:r>
        <w:rPr>
          <w:spacing w:val="-5"/>
        </w:rPr>
        <w:t xml:space="preserve"> </w:t>
      </w:r>
      <w:r>
        <w:t>en</w:t>
      </w:r>
      <w:r>
        <w:rPr>
          <w:spacing w:val="-5"/>
        </w:rPr>
        <w:t xml:space="preserve"> </w:t>
      </w:r>
      <w:r>
        <w:t>los</w:t>
      </w:r>
      <w:r>
        <w:rPr>
          <w:spacing w:val="-5"/>
        </w:rPr>
        <w:t xml:space="preserve"> </w:t>
      </w:r>
      <w:r>
        <w:t>territorios</w:t>
      </w:r>
      <w:r>
        <w:rPr>
          <w:spacing w:val="-5"/>
        </w:rPr>
        <w:t xml:space="preserve"> </w:t>
      </w:r>
      <w:r>
        <w:t>y</w:t>
      </w:r>
      <w:r>
        <w:rPr>
          <w:spacing w:val="-5"/>
        </w:rPr>
        <w:t xml:space="preserve"> </w:t>
      </w:r>
      <w:r>
        <w:t>los</w:t>
      </w:r>
      <w:r>
        <w:rPr>
          <w:spacing w:val="-6"/>
        </w:rPr>
        <w:t xml:space="preserve"> </w:t>
      </w:r>
      <w:r>
        <w:t>tentáculos que convirtieron a la justicia en un campo más de disputa del conflicto armado.</w:t>
      </w:r>
    </w:p>
    <w:p w:rsidR="003804AC" w:rsidRDefault="00AF18A5" w:rsidP="005E6E17">
      <w:r>
        <w:t>A pesar de la implementación de estas innovadoras herramientas de investigación en algunos</w:t>
      </w:r>
      <w:r>
        <w:rPr>
          <w:spacing w:val="-8"/>
        </w:rPr>
        <w:t xml:space="preserve"> </w:t>
      </w:r>
      <w:r>
        <w:t>momentos,</w:t>
      </w:r>
      <w:r>
        <w:rPr>
          <w:spacing w:val="-9"/>
        </w:rPr>
        <w:t xml:space="preserve"> </w:t>
      </w:r>
      <w:r>
        <w:t>el</w:t>
      </w:r>
      <w:r>
        <w:rPr>
          <w:spacing w:val="-8"/>
        </w:rPr>
        <w:t xml:space="preserve"> </w:t>
      </w:r>
      <w:r>
        <w:t>común</w:t>
      </w:r>
      <w:r>
        <w:rPr>
          <w:spacing w:val="-8"/>
        </w:rPr>
        <w:t xml:space="preserve"> </w:t>
      </w:r>
      <w:r>
        <w:t>denominador</w:t>
      </w:r>
      <w:r>
        <w:rPr>
          <w:spacing w:val="-8"/>
        </w:rPr>
        <w:t xml:space="preserve"> </w:t>
      </w:r>
      <w:r>
        <w:t>sobre</w:t>
      </w:r>
      <w:r>
        <w:rPr>
          <w:spacing w:val="-8"/>
        </w:rPr>
        <w:t xml:space="preserve"> </w:t>
      </w:r>
      <w:r>
        <w:t>los</w:t>
      </w:r>
      <w:r>
        <w:rPr>
          <w:spacing w:val="-9"/>
        </w:rPr>
        <w:t xml:space="preserve"> </w:t>
      </w:r>
      <w:r>
        <w:t>expedientes</w:t>
      </w:r>
      <w:r>
        <w:rPr>
          <w:spacing w:val="-8"/>
        </w:rPr>
        <w:t xml:space="preserve"> </w:t>
      </w:r>
      <w:r>
        <w:t>abiertos</w:t>
      </w:r>
      <w:r>
        <w:rPr>
          <w:spacing w:val="-8"/>
        </w:rPr>
        <w:t xml:space="preserve"> </w:t>
      </w:r>
      <w:r>
        <w:t>por</w:t>
      </w:r>
      <w:r>
        <w:rPr>
          <w:spacing w:val="-8"/>
        </w:rPr>
        <w:t xml:space="preserve"> </w:t>
      </w:r>
      <w:r>
        <w:t>violaciones</w:t>
      </w:r>
      <w:r>
        <w:rPr>
          <w:spacing w:val="-8"/>
        </w:rPr>
        <w:t xml:space="preserve"> </w:t>
      </w:r>
      <w:r>
        <w:t>de derechos humanos producto del conflicto armado es el fraccionamiento de los procesos judiciales.</w:t>
      </w:r>
      <w:r>
        <w:rPr>
          <w:spacing w:val="-11"/>
        </w:rPr>
        <w:t xml:space="preserve"> </w:t>
      </w:r>
      <w:r>
        <w:t>El</w:t>
      </w:r>
      <w:r>
        <w:rPr>
          <w:spacing w:val="-10"/>
        </w:rPr>
        <w:t xml:space="preserve"> </w:t>
      </w:r>
      <w:r>
        <w:t>balance</w:t>
      </w:r>
      <w:r>
        <w:rPr>
          <w:spacing w:val="-12"/>
        </w:rPr>
        <w:t xml:space="preserve"> </w:t>
      </w:r>
      <w:r>
        <w:t>muestra</w:t>
      </w:r>
      <w:r>
        <w:rPr>
          <w:spacing w:val="-11"/>
        </w:rPr>
        <w:t xml:space="preserve"> </w:t>
      </w:r>
      <w:r>
        <w:t>que</w:t>
      </w:r>
      <w:r>
        <w:rPr>
          <w:spacing w:val="-11"/>
        </w:rPr>
        <w:t xml:space="preserve"> </w:t>
      </w:r>
      <w:r>
        <w:t>ha</w:t>
      </w:r>
      <w:r>
        <w:rPr>
          <w:spacing w:val="-12"/>
        </w:rPr>
        <w:t xml:space="preserve"> </w:t>
      </w:r>
      <w:r>
        <w:t>habido</w:t>
      </w:r>
      <w:r>
        <w:rPr>
          <w:spacing w:val="-11"/>
        </w:rPr>
        <w:t xml:space="preserve"> </w:t>
      </w:r>
      <w:r>
        <w:t>un</w:t>
      </w:r>
      <w:r>
        <w:rPr>
          <w:spacing w:val="-11"/>
        </w:rPr>
        <w:t xml:space="preserve"> </w:t>
      </w:r>
      <w:r>
        <w:t>énfasis</w:t>
      </w:r>
      <w:r>
        <w:rPr>
          <w:spacing w:val="-11"/>
        </w:rPr>
        <w:t xml:space="preserve"> </w:t>
      </w:r>
      <w:r>
        <w:t>en</w:t>
      </w:r>
      <w:r>
        <w:rPr>
          <w:spacing w:val="-11"/>
        </w:rPr>
        <w:t xml:space="preserve"> </w:t>
      </w:r>
      <w:r>
        <w:t>el</w:t>
      </w:r>
      <w:r>
        <w:rPr>
          <w:spacing w:val="-10"/>
        </w:rPr>
        <w:t xml:space="preserve"> </w:t>
      </w:r>
      <w:r>
        <w:t>estudio</w:t>
      </w:r>
      <w:r>
        <w:rPr>
          <w:spacing w:val="-11"/>
        </w:rPr>
        <w:t xml:space="preserve"> </w:t>
      </w:r>
      <w:r>
        <w:t>de</w:t>
      </w:r>
      <w:r>
        <w:rPr>
          <w:spacing w:val="-11"/>
        </w:rPr>
        <w:t xml:space="preserve"> </w:t>
      </w:r>
      <w:r>
        <w:t>los</w:t>
      </w:r>
      <w:r>
        <w:rPr>
          <w:spacing w:val="-12"/>
        </w:rPr>
        <w:t xml:space="preserve"> </w:t>
      </w:r>
      <w:r>
        <w:t>crímenes</w:t>
      </w:r>
      <w:r>
        <w:rPr>
          <w:spacing w:val="-11"/>
        </w:rPr>
        <w:t xml:space="preserve"> </w:t>
      </w:r>
      <w:r>
        <w:t>aislados y no tanto en investigaciones sistemáticas y de largo aliento para desarticular estructuras armadas. En esta última materia, no se advierten resultados convincentes, lo que añade un factor</w:t>
      </w:r>
      <w:r>
        <w:rPr>
          <w:spacing w:val="-10"/>
        </w:rPr>
        <w:t xml:space="preserve"> </w:t>
      </w:r>
      <w:r>
        <w:t>más</w:t>
      </w:r>
      <w:r>
        <w:rPr>
          <w:spacing w:val="-8"/>
        </w:rPr>
        <w:t xml:space="preserve"> </w:t>
      </w:r>
      <w:r>
        <w:t>a</w:t>
      </w:r>
      <w:r>
        <w:rPr>
          <w:spacing w:val="-9"/>
        </w:rPr>
        <w:t xml:space="preserve"> </w:t>
      </w:r>
      <w:r>
        <w:t>la</w:t>
      </w:r>
      <w:r>
        <w:rPr>
          <w:spacing w:val="-8"/>
        </w:rPr>
        <w:t xml:space="preserve"> </w:t>
      </w:r>
      <w:r>
        <w:t>hora</w:t>
      </w:r>
      <w:r>
        <w:rPr>
          <w:spacing w:val="-7"/>
        </w:rPr>
        <w:t xml:space="preserve"> </w:t>
      </w:r>
      <w:r>
        <w:t>de</w:t>
      </w:r>
      <w:r>
        <w:rPr>
          <w:spacing w:val="-8"/>
        </w:rPr>
        <w:t xml:space="preserve"> </w:t>
      </w:r>
      <w:r>
        <w:t>determinar</w:t>
      </w:r>
      <w:r>
        <w:rPr>
          <w:spacing w:val="-7"/>
        </w:rPr>
        <w:t xml:space="preserve"> </w:t>
      </w:r>
      <w:r>
        <w:t>por</w:t>
      </w:r>
      <w:r>
        <w:rPr>
          <w:spacing w:val="-9"/>
        </w:rPr>
        <w:t xml:space="preserve"> </w:t>
      </w:r>
      <w:r>
        <w:t>qué</w:t>
      </w:r>
      <w:r>
        <w:rPr>
          <w:spacing w:val="-8"/>
        </w:rPr>
        <w:t xml:space="preserve"> </w:t>
      </w:r>
      <w:r>
        <w:t>el</w:t>
      </w:r>
      <w:r>
        <w:rPr>
          <w:spacing w:val="-7"/>
        </w:rPr>
        <w:t xml:space="preserve"> </w:t>
      </w:r>
      <w:r>
        <w:t>conflicto</w:t>
      </w:r>
      <w:r>
        <w:rPr>
          <w:spacing w:val="-9"/>
        </w:rPr>
        <w:t xml:space="preserve"> </w:t>
      </w:r>
      <w:r>
        <w:t>armado</w:t>
      </w:r>
      <w:r>
        <w:rPr>
          <w:spacing w:val="-9"/>
        </w:rPr>
        <w:t xml:space="preserve"> </w:t>
      </w:r>
      <w:r>
        <w:t>se</w:t>
      </w:r>
      <w:r>
        <w:rPr>
          <w:spacing w:val="-8"/>
        </w:rPr>
        <w:t xml:space="preserve"> </w:t>
      </w:r>
      <w:r>
        <w:t>ha</w:t>
      </w:r>
      <w:r>
        <w:rPr>
          <w:spacing w:val="-7"/>
        </w:rPr>
        <w:t xml:space="preserve"> </w:t>
      </w:r>
      <w:r>
        <w:t>prolongado</w:t>
      </w:r>
      <w:r>
        <w:rPr>
          <w:spacing w:val="-9"/>
        </w:rPr>
        <w:t xml:space="preserve"> </w:t>
      </w:r>
      <w:r>
        <w:t>por</w:t>
      </w:r>
      <w:r>
        <w:rPr>
          <w:spacing w:val="-7"/>
        </w:rPr>
        <w:t xml:space="preserve"> </w:t>
      </w:r>
      <w:r>
        <w:rPr>
          <w:spacing w:val="-2"/>
        </w:rPr>
        <w:t>décadas.</w:t>
      </w:r>
    </w:p>
    <w:p w:rsidR="003804AC" w:rsidRDefault="00AF18A5" w:rsidP="005E6E17">
      <w:r>
        <w:t xml:space="preserve">Cuando se han dado, los avances de la justicia han llegado más a los ejecutores de bajo orden de las violaciones de derechos humanos que a los responsables de ordenar, planear y financiar la violencia. Adicionalmente, no existe una instancia que sistematice el esclarecimiento que ha brindado la actuación de la justicia y que haga accesible para la sociedad sus hallazgos sobre lo ocurrido con perspectiva de no repetición. Tampoco existe una memoria detallada de las víctimas que el poder judicial ha aportado en su lucha por la </w:t>
      </w:r>
      <w:r>
        <w:rPr>
          <w:spacing w:val="-2"/>
        </w:rPr>
        <w:t>verdad.</w:t>
      </w:r>
    </w:p>
    <w:p w:rsidR="003804AC" w:rsidRDefault="00AF18A5" w:rsidP="005E6E17">
      <w:r>
        <w:lastRenderedPageBreak/>
        <w:t>La</w:t>
      </w:r>
      <w:r>
        <w:rPr>
          <w:spacing w:val="-2"/>
        </w:rPr>
        <w:t xml:space="preserve"> </w:t>
      </w:r>
      <w:r>
        <w:t>ausencia</w:t>
      </w:r>
      <w:r>
        <w:rPr>
          <w:spacing w:val="-3"/>
        </w:rPr>
        <w:t xml:space="preserve"> </w:t>
      </w:r>
      <w:r>
        <w:t>de</w:t>
      </w:r>
      <w:r>
        <w:rPr>
          <w:spacing w:val="-2"/>
        </w:rPr>
        <w:t xml:space="preserve"> </w:t>
      </w:r>
      <w:r>
        <w:t>personal</w:t>
      </w:r>
      <w:r>
        <w:rPr>
          <w:spacing w:val="-3"/>
        </w:rPr>
        <w:t xml:space="preserve"> </w:t>
      </w:r>
      <w:r>
        <w:t>y</w:t>
      </w:r>
      <w:r>
        <w:rPr>
          <w:spacing w:val="-2"/>
        </w:rPr>
        <w:t xml:space="preserve"> </w:t>
      </w:r>
      <w:r>
        <w:t>recursos</w:t>
      </w:r>
      <w:r>
        <w:rPr>
          <w:spacing w:val="-3"/>
        </w:rPr>
        <w:t xml:space="preserve"> </w:t>
      </w:r>
      <w:r>
        <w:t>técnicos</w:t>
      </w:r>
      <w:r>
        <w:rPr>
          <w:spacing w:val="-2"/>
        </w:rPr>
        <w:t xml:space="preserve"> </w:t>
      </w:r>
      <w:r>
        <w:t>para</w:t>
      </w:r>
      <w:r>
        <w:rPr>
          <w:spacing w:val="-4"/>
        </w:rPr>
        <w:t xml:space="preserve"> </w:t>
      </w:r>
      <w:r>
        <w:t>cubrir</w:t>
      </w:r>
      <w:r>
        <w:rPr>
          <w:spacing w:val="-3"/>
        </w:rPr>
        <w:t xml:space="preserve"> </w:t>
      </w:r>
      <w:r>
        <w:t>las</w:t>
      </w:r>
      <w:r>
        <w:rPr>
          <w:spacing w:val="-2"/>
        </w:rPr>
        <w:t xml:space="preserve"> </w:t>
      </w:r>
      <w:r>
        <w:t>demandas</w:t>
      </w:r>
      <w:r>
        <w:rPr>
          <w:spacing w:val="-2"/>
        </w:rPr>
        <w:t xml:space="preserve"> </w:t>
      </w:r>
      <w:r>
        <w:t>de</w:t>
      </w:r>
      <w:r>
        <w:rPr>
          <w:spacing w:val="-2"/>
        </w:rPr>
        <w:t xml:space="preserve"> </w:t>
      </w:r>
      <w:r>
        <w:t>justicia</w:t>
      </w:r>
      <w:r>
        <w:rPr>
          <w:spacing w:val="-2"/>
        </w:rPr>
        <w:t xml:space="preserve"> </w:t>
      </w:r>
      <w:r>
        <w:t>de</w:t>
      </w:r>
      <w:r>
        <w:rPr>
          <w:spacing w:val="-2"/>
        </w:rPr>
        <w:t xml:space="preserve"> </w:t>
      </w:r>
      <w:r>
        <w:t>casos especialmente complejos en todo el país es notable. El Estado colombiano ha avanzado significativamente</w:t>
      </w:r>
      <w:r>
        <w:rPr>
          <w:spacing w:val="8"/>
        </w:rPr>
        <w:t xml:space="preserve"> </w:t>
      </w:r>
      <w:r>
        <w:t>en</w:t>
      </w:r>
      <w:r>
        <w:rPr>
          <w:spacing w:val="11"/>
        </w:rPr>
        <w:t xml:space="preserve"> </w:t>
      </w:r>
      <w:r>
        <w:t>las</w:t>
      </w:r>
      <w:r>
        <w:rPr>
          <w:spacing w:val="10"/>
        </w:rPr>
        <w:t xml:space="preserve"> </w:t>
      </w:r>
      <w:r>
        <w:t>condiciones</w:t>
      </w:r>
      <w:r>
        <w:rPr>
          <w:spacing w:val="10"/>
        </w:rPr>
        <w:t xml:space="preserve"> </w:t>
      </w:r>
      <w:r>
        <w:t>laborales</w:t>
      </w:r>
      <w:r>
        <w:rPr>
          <w:spacing w:val="10"/>
        </w:rPr>
        <w:t xml:space="preserve"> </w:t>
      </w:r>
      <w:r>
        <w:t>de</w:t>
      </w:r>
      <w:r>
        <w:rPr>
          <w:spacing w:val="11"/>
        </w:rPr>
        <w:t xml:space="preserve"> </w:t>
      </w:r>
      <w:r>
        <w:t>la</w:t>
      </w:r>
      <w:r>
        <w:rPr>
          <w:spacing w:val="11"/>
        </w:rPr>
        <w:t xml:space="preserve"> </w:t>
      </w:r>
      <w:r>
        <w:t>rama</w:t>
      </w:r>
      <w:r>
        <w:rPr>
          <w:spacing w:val="11"/>
        </w:rPr>
        <w:t xml:space="preserve"> </w:t>
      </w:r>
      <w:r>
        <w:t>judicial</w:t>
      </w:r>
      <w:r>
        <w:rPr>
          <w:spacing w:val="10"/>
        </w:rPr>
        <w:t xml:space="preserve"> </w:t>
      </w:r>
      <w:r>
        <w:t>en</w:t>
      </w:r>
      <w:r>
        <w:rPr>
          <w:spacing w:val="11"/>
        </w:rPr>
        <w:t xml:space="preserve"> </w:t>
      </w:r>
      <w:r>
        <w:t>comparación</w:t>
      </w:r>
      <w:r>
        <w:rPr>
          <w:spacing w:val="11"/>
        </w:rPr>
        <w:t xml:space="preserve"> </w:t>
      </w:r>
      <w:r>
        <w:t>con</w:t>
      </w:r>
      <w:r>
        <w:rPr>
          <w:spacing w:val="11"/>
        </w:rPr>
        <w:t xml:space="preserve"> </w:t>
      </w:r>
      <w:r>
        <w:rPr>
          <w:spacing w:val="-5"/>
        </w:rPr>
        <w:t>los</w:t>
      </w:r>
      <w:r w:rsidR="005E6E17">
        <w:t xml:space="preserve"> </w:t>
      </w:r>
      <w:r>
        <w:t>tiempos en los que había una gran precariedad en la justicia, debido a su dependencia total del ejecutivo y a la injerencia de los partidos políticos. En 2018, según cifras oficiales, se alcanzó una cobertura del 100</w:t>
      </w:r>
      <w:r>
        <w:rPr>
          <w:spacing w:val="-2"/>
        </w:rPr>
        <w:t xml:space="preserve"> </w:t>
      </w:r>
      <w:r>
        <w:t xml:space="preserve">% del territorio nacional haciendo presencia en 1.103 municipios, en contraste con el año de 1993, cuando solo había presencia de jueces en 970 </w:t>
      </w:r>
      <w:r>
        <w:rPr>
          <w:spacing w:val="-2"/>
        </w:rPr>
        <w:t>municipios</w:t>
      </w:r>
      <w:r w:rsidR="005E6E17">
        <w:rPr>
          <w:rStyle w:val="Refdenotaalpie"/>
          <w:spacing w:val="-2"/>
        </w:rPr>
        <w:footnoteReference w:id="871"/>
      </w:r>
      <w:r>
        <w:rPr>
          <w:spacing w:val="-2"/>
        </w:rPr>
        <w:t>.</w:t>
      </w:r>
    </w:p>
    <w:p w:rsidR="003804AC" w:rsidRDefault="00AF18A5" w:rsidP="005E6E17">
      <w:r>
        <w:t>En este periodo, a pesar del aumento en la cobertura, mientras la cantidad de procesos aumentó 264</w:t>
      </w:r>
      <w:r>
        <w:rPr>
          <w:spacing w:val="-2"/>
        </w:rPr>
        <w:t xml:space="preserve"> </w:t>
      </w:r>
      <w:r>
        <w:t>% el número de despachos judiciales permanentes solo creció un 38</w:t>
      </w:r>
      <w:r>
        <w:rPr>
          <w:spacing w:val="-2"/>
        </w:rPr>
        <w:t xml:space="preserve"> </w:t>
      </w:r>
      <w:r>
        <w:t>%</w:t>
      </w:r>
      <w:r w:rsidR="005E6E17">
        <w:rPr>
          <w:rStyle w:val="Refdenotaalpie"/>
        </w:rPr>
        <w:footnoteReference w:id="872"/>
      </w:r>
      <w:r>
        <w:t>. En países de la Organización para la Cooperación y el Desarrollo Económicos (OCDE), de la que Colombia forma parte, y que no tienen un conflicto armado con violaciones masivas como</w:t>
      </w:r>
      <w:r>
        <w:rPr>
          <w:spacing w:val="-1"/>
        </w:rPr>
        <w:t xml:space="preserve"> </w:t>
      </w:r>
      <w:r>
        <w:t>las</w:t>
      </w:r>
      <w:r>
        <w:rPr>
          <w:spacing w:val="-1"/>
        </w:rPr>
        <w:t xml:space="preserve"> </w:t>
      </w:r>
      <w:r>
        <w:t>ocurridas</w:t>
      </w:r>
      <w:r>
        <w:rPr>
          <w:spacing w:val="-1"/>
        </w:rPr>
        <w:t xml:space="preserve"> </w:t>
      </w:r>
      <w:r>
        <w:t>en</w:t>
      </w:r>
      <w:r>
        <w:rPr>
          <w:spacing w:val="-2"/>
        </w:rPr>
        <w:t xml:space="preserve"> </w:t>
      </w:r>
      <w:r>
        <w:t>Colombia,</w:t>
      </w:r>
      <w:r>
        <w:rPr>
          <w:spacing w:val="-1"/>
        </w:rPr>
        <w:t xml:space="preserve"> </w:t>
      </w:r>
      <w:r>
        <w:t>el</w:t>
      </w:r>
      <w:r>
        <w:rPr>
          <w:spacing w:val="-2"/>
        </w:rPr>
        <w:t xml:space="preserve"> </w:t>
      </w:r>
      <w:r>
        <w:t>estándar</w:t>
      </w:r>
      <w:r>
        <w:rPr>
          <w:spacing w:val="-1"/>
        </w:rPr>
        <w:t xml:space="preserve"> </w:t>
      </w:r>
      <w:r>
        <w:t>es</w:t>
      </w:r>
      <w:r>
        <w:rPr>
          <w:spacing w:val="-2"/>
        </w:rPr>
        <w:t xml:space="preserve"> </w:t>
      </w:r>
      <w:r>
        <w:t>de</w:t>
      </w:r>
      <w:r>
        <w:rPr>
          <w:spacing w:val="-1"/>
        </w:rPr>
        <w:t xml:space="preserve"> </w:t>
      </w:r>
      <w:r>
        <w:t>64</w:t>
      </w:r>
      <w:r>
        <w:rPr>
          <w:spacing w:val="-1"/>
        </w:rPr>
        <w:t xml:space="preserve"> </w:t>
      </w:r>
      <w:r>
        <w:t>jueces</w:t>
      </w:r>
      <w:r>
        <w:rPr>
          <w:spacing w:val="-2"/>
        </w:rPr>
        <w:t xml:space="preserve"> </w:t>
      </w:r>
      <w:r>
        <w:t>por</w:t>
      </w:r>
      <w:r>
        <w:rPr>
          <w:spacing w:val="-1"/>
        </w:rPr>
        <w:t xml:space="preserve"> </w:t>
      </w:r>
      <w:r>
        <w:t>cada</w:t>
      </w:r>
      <w:r>
        <w:rPr>
          <w:spacing w:val="-1"/>
        </w:rPr>
        <w:t xml:space="preserve"> </w:t>
      </w:r>
      <w:r>
        <w:t>100.000</w:t>
      </w:r>
      <w:r>
        <w:rPr>
          <w:spacing w:val="-1"/>
        </w:rPr>
        <w:t xml:space="preserve"> </w:t>
      </w:r>
      <w:r>
        <w:t>habitantes</w:t>
      </w:r>
      <w:r w:rsidR="005E6E17">
        <w:rPr>
          <w:rStyle w:val="Refdenotaalpie"/>
        </w:rPr>
        <w:footnoteReference w:id="873"/>
      </w:r>
      <w:r>
        <w:t>. En Colombia, en cambio, el punto más alto se presentó entre 2016 y 2020 cuando la cifra osciló</w:t>
      </w:r>
      <w:r>
        <w:rPr>
          <w:spacing w:val="-15"/>
        </w:rPr>
        <w:t xml:space="preserve"> </w:t>
      </w:r>
      <w:r>
        <w:t>entre</w:t>
      </w:r>
      <w:r>
        <w:rPr>
          <w:spacing w:val="-15"/>
        </w:rPr>
        <w:t xml:space="preserve"> </w:t>
      </w:r>
      <w:r>
        <w:t>11</w:t>
      </w:r>
      <w:r>
        <w:rPr>
          <w:spacing w:val="-15"/>
        </w:rPr>
        <w:t xml:space="preserve"> </w:t>
      </w:r>
      <w:r>
        <w:t>y</w:t>
      </w:r>
      <w:r>
        <w:rPr>
          <w:spacing w:val="-15"/>
        </w:rPr>
        <w:t xml:space="preserve"> </w:t>
      </w:r>
      <w:r>
        <w:t>11,3</w:t>
      </w:r>
      <w:r>
        <w:rPr>
          <w:spacing w:val="-15"/>
        </w:rPr>
        <w:t xml:space="preserve"> </w:t>
      </w:r>
      <w:r>
        <w:t>despachos</w:t>
      </w:r>
      <w:r>
        <w:rPr>
          <w:spacing w:val="-15"/>
        </w:rPr>
        <w:t xml:space="preserve"> </w:t>
      </w:r>
      <w:r>
        <w:t>por</w:t>
      </w:r>
      <w:r>
        <w:rPr>
          <w:spacing w:val="-15"/>
        </w:rPr>
        <w:t xml:space="preserve"> </w:t>
      </w:r>
      <w:r>
        <w:t>cada</w:t>
      </w:r>
      <w:r>
        <w:rPr>
          <w:spacing w:val="-14"/>
        </w:rPr>
        <w:t xml:space="preserve"> </w:t>
      </w:r>
      <w:r>
        <w:t>100.000</w:t>
      </w:r>
      <w:r>
        <w:rPr>
          <w:spacing w:val="-15"/>
        </w:rPr>
        <w:t xml:space="preserve"> </w:t>
      </w:r>
      <w:r>
        <w:t>mil</w:t>
      </w:r>
      <w:r>
        <w:rPr>
          <w:spacing w:val="-15"/>
        </w:rPr>
        <w:t xml:space="preserve"> </w:t>
      </w:r>
      <w:r>
        <w:t>habitantes,</w:t>
      </w:r>
      <w:r>
        <w:rPr>
          <w:spacing w:val="-15"/>
        </w:rPr>
        <w:t xml:space="preserve"> </w:t>
      </w:r>
      <w:r>
        <w:t>según</w:t>
      </w:r>
      <w:r>
        <w:rPr>
          <w:spacing w:val="-15"/>
        </w:rPr>
        <w:t xml:space="preserve"> </w:t>
      </w:r>
      <w:r>
        <w:t>cifras</w:t>
      </w:r>
      <w:r>
        <w:rPr>
          <w:spacing w:val="-15"/>
        </w:rPr>
        <w:t xml:space="preserve"> </w:t>
      </w:r>
      <w:r>
        <w:t>que</w:t>
      </w:r>
      <w:r>
        <w:rPr>
          <w:spacing w:val="-15"/>
        </w:rPr>
        <w:t xml:space="preserve"> </w:t>
      </w:r>
      <w:r>
        <w:t>suministró el Consejo Superior de la Judicatura a la Comisión</w:t>
      </w:r>
      <w:r w:rsidR="005E6E17">
        <w:rPr>
          <w:rStyle w:val="Refdenotaalpie"/>
        </w:rPr>
        <w:footnoteReference w:id="874"/>
      </w:r>
      <w:r>
        <w:t>.</w:t>
      </w:r>
    </w:p>
    <w:p w:rsidR="003804AC" w:rsidRDefault="00AF18A5" w:rsidP="005E6E17">
      <w:r>
        <w:t>La</w:t>
      </w:r>
      <w:r>
        <w:rPr>
          <w:spacing w:val="-1"/>
        </w:rPr>
        <w:t xml:space="preserve"> </w:t>
      </w:r>
      <w:r>
        <w:t>conjunción</w:t>
      </w:r>
      <w:r>
        <w:rPr>
          <w:spacing w:val="-1"/>
        </w:rPr>
        <w:t xml:space="preserve"> </w:t>
      </w:r>
      <w:r>
        <w:t>de</w:t>
      </w:r>
      <w:r>
        <w:rPr>
          <w:spacing w:val="-1"/>
        </w:rPr>
        <w:t xml:space="preserve"> </w:t>
      </w:r>
      <w:r>
        <w:t>precariedad,</w:t>
      </w:r>
      <w:r>
        <w:rPr>
          <w:spacing w:val="-1"/>
        </w:rPr>
        <w:t xml:space="preserve"> </w:t>
      </w:r>
      <w:r>
        <w:t>falta</w:t>
      </w:r>
      <w:r>
        <w:rPr>
          <w:spacing w:val="-1"/>
        </w:rPr>
        <w:t xml:space="preserve"> </w:t>
      </w:r>
      <w:r>
        <w:t>de</w:t>
      </w:r>
      <w:r>
        <w:rPr>
          <w:spacing w:val="-1"/>
        </w:rPr>
        <w:t xml:space="preserve"> </w:t>
      </w:r>
      <w:r>
        <w:t>acceso</w:t>
      </w:r>
      <w:r>
        <w:rPr>
          <w:spacing w:val="-1"/>
        </w:rPr>
        <w:t xml:space="preserve"> </w:t>
      </w:r>
      <w:r>
        <w:t>a</w:t>
      </w:r>
      <w:r>
        <w:rPr>
          <w:spacing w:val="-1"/>
        </w:rPr>
        <w:t xml:space="preserve"> </w:t>
      </w:r>
      <w:r>
        <w:t>los</w:t>
      </w:r>
      <w:r>
        <w:rPr>
          <w:spacing w:val="-1"/>
        </w:rPr>
        <w:t xml:space="preserve"> </w:t>
      </w:r>
      <w:r>
        <w:t>territorios</w:t>
      </w:r>
      <w:r>
        <w:rPr>
          <w:spacing w:val="-1"/>
        </w:rPr>
        <w:t xml:space="preserve"> </w:t>
      </w:r>
      <w:r>
        <w:t>y</w:t>
      </w:r>
      <w:r>
        <w:rPr>
          <w:spacing w:val="-1"/>
        </w:rPr>
        <w:t xml:space="preserve"> </w:t>
      </w:r>
      <w:r>
        <w:t>ausencia</w:t>
      </w:r>
      <w:r>
        <w:rPr>
          <w:spacing w:val="-1"/>
        </w:rPr>
        <w:t xml:space="preserve"> </w:t>
      </w:r>
      <w:r>
        <w:t>de</w:t>
      </w:r>
      <w:r>
        <w:rPr>
          <w:spacing w:val="-1"/>
        </w:rPr>
        <w:t xml:space="preserve"> </w:t>
      </w:r>
      <w:r>
        <w:t>seguridad</w:t>
      </w:r>
      <w:r>
        <w:rPr>
          <w:spacing w:val="-1"/>
        </w:rPr>
        <w:t xml:space="preserve"> </w:t>
      </w:r>
      <w:r>
        <w:t xml:space="preserve">ha condicionado la acción de la justicia, especialmente en los territorios con mayor afectación del conflicto armado. A manera de </w:t>
      </w:r>
      <w:r>
        <w:lastRenderedPageBreak/>
        <w:t>ejemplo, una exfuncionaria narró a la Comisión que, en la época en</w:t>
      </w:r>
      <w:r>
        <w:rPr>
          <w:spacing w:val="-1"/>
        </w:rPr>
        <w:t xml:space="preserve"> </w:t>
      </w:r>
      <w:r>
        <w:t>que ocurrió</w:t>
      </w:r>
      <w:r>
        <w:rPr>
          <w:spacing w:val="-1"/>
        </w:rPr>
        <w:t xml:space="preserve"> </w:t>
      </w:r>
      <w:r>
        <w:t>la masacre de La Rochela, se encontraba en una</w:t>
      </w:r>
      <w:r>
        <w:rPr>
          <w:spacing w:val="-1"/>
        </w:rPr>
        <w:t xml:space="preserve"> </w:t>
      </w:r>
      <w:r>
        <w:t>misión</w:t>
      </w:r>
      <w:r>
        <w:rPr>
          <w:spacing w:val="-1"/>
        </w:rPr>
        <w:t xml:space="preserve"> </w:t>
      </w:r>
      <w:r>
        <w:t>buscando al director de la cárcel de un pueblo del departamento de Sucre a quien habían desaparecido:</w:t>
      </w:r>
    </w:p>
    <w:p w:rsidR="003804AC" w:rsidRDefault="00AF18A5" w:rsidP="005E6E17">
      <w:r>
        <w:t>«Y</w:t>
      </w:r>
      <w:r>
        <w:rPr>
          <w:spacing w:val="-1"/>
        </w:rPr>
        <w:t xml:space="preserve"> </w:t>
      </w:r>
      <w:r>
        <w:t>me mandan a mí con un señor que en ese momento tendría 70 años:</w:t>
      </w:r>
      <w:r>
        <w:rPr>
          <w:spacing w:val="-1"/>
        </w:rPr>
        <w:t xml:space="preserve"> </w:t>
      </w:r>
      <w:r>
        <w:t xml:space="preserve">el investigador y yo a buscar al desaparecido, o sea, esa era la precariedad. Justamente estando en esa investigación es que nos llaman de la </w:t>
      </w:r>
      <w:proofErr w:type="spellStart"/>
      <w:r>
        <w:t>Viceprocuraduría</w:t>
      </w:r>
      <w:proofErr w:type="spellEnd"/>
      <w:r>
        <w:t xml:space="preserve"> a indicarnos que no podemos salir del</w:t>
      </w:r>
      <w:r>
        <w:rPr>
          <w:spacing w:val="-4"/>
        </w:rPr>
        <w:t xml:space="preserve"> </w:t>
      </w:r>
      <w:r>
        <w:t>hotel</w:t>
      </w:r>
      <w:r>
        <w:rPr>
          <w:spacing w:val="-3"/>
        </w:rPr>
        <w:t xml:space="preserve"> </w:t>
      </w:r>
      <w:r>
        <w:t>porque</w:t>
      </w:r>
      <w:r>
        <w:rPr>
          <w:spacing w:val="-2"/>
        </w:rPr>
        <w:t xml:space="preserve"> </w:t>
      </w:r>
      <w:r>
        <w:t>se</w:t>
      </w:r>
      <w:r>
        <w:rPr>
          <w:spacing w:val="-4"/>
        </w:rPr>
        <w:t xml:space="preserve"> </w:t>
      </w:r>
      <w:r>
        <w:t>está</w:t>
      </w:r>
      <w:r>
        <w:rPr>
          <w:spacing w:val="-2"/>
        </w:rPr>
        <w:t xml:space="preserve"> </w:t>
      </w:r>
      <w:r>
        <w:t>dando</w:t>
      </w:r>
      <w:r>
        <w:rPr>
          <w:spacing w:val="-3"/>
        </w:rPr>
        <w:t xml:space="preserve"> </w:t>
      </w:r>
      <w:r>
        <w:t>la</w:t>
      </w:r>
      <w:r>
        <w:rPr>
          <w:spacing w:val="-4"/>
        </w:rPr>
        <w:t xml:space="preserve"> </w:t>
      </w:r>
      <w:r>
        <w:t>situación</w:t>
      </w:r>
      <w:r>
        <w:rPr>
          <w:spacing w:val="-3"/>
        </w:rPr>
        <w:t xml:space="preserve"> </w:t>
      </w:r>
      <w:r>
        <w:t>en</w:t>
      </w:r>
      <w:r>
        <w:rPr>
          <w:spacing w:val="-4"/>
        </w:rPr>
        <w:t xml:space="preserve"> </w:t>
      </w:r>
      <w:r>
        <w:t>La</w:t>
      </w:r>
      <w:r>
        <w:rPr>
          <w:spacing w:val="-2"/>
        </w:rPr>
        <w:t xml:space="preserve"> </w:t>
      </w:r>
      <w:r>
        <w:t>Rochela,</w:t>
      </w:r>
      <w:r>
        <w:rPr>
          <w:spacing w:val="-4"/>
        </w:rPr>
        <w:t xml:space="preserve"> </w:t>
      </w:r>
      <w:r>
        <w:t>y</w:t>
      </w:r>
      <w:r>
        <w:rPr>
          <w:spacing w:val="-3"/>
        </w:rPr>
        <w:t xml:space="preserve"> </w:t>
      </w:r>
      <w:r>
        <w:t>que</w:t>
      </w:r>
      <w:r>
        <w:rPr>
          <w:spacing w:val="-2"/>
        </w:rPr>
        <w:t xml:space="preserve"> </w:t>
      </w:r>
      <w:r>
        <w:t>pidieron</w:t>
      </w:r>
      <w:r>
        <w:rPr>
          <w:spacing w:val="-4"/>
        </w:rPr>
        <w:t xml:space="preserve"> </w:t>
      </w:r>
      <w:r>
        <w:t>a</w:t>
      </w:r>
      <w:r>
        <w:rPr>
          <w:spacing w:val="-4"/>
        </w:rPr>
        <w:t xml:space="preserve"> </w:t>
      </w:r>
      <w:r>
        <w:t>toda</w:t>
      </w:r>
      <w:r>
        <w:rPr>
          <w:spacing w:val="-4"/>
        </w:rPr>
        <w:t xml:space="preserve"> </w:t>
      </w:r>
      <w:r>
        <w:t>la</w:t>
      </w:r>
      <w:r>
        <w:rPr>
          <w:spacing w:val="-2"/>
        </w:rPr>
        <w:t xml:space="preserve"> </w:t>
      </w:r>
      <w:r>
        <w:t>gente</w:t>
      </w:r>
      <w:r>
        <w:rPr>
          <w:spacing w:val="-3"/>
        </w:rPr>
        <w:t xml:space="preserve"> </w:t>
      </w:r>
      <w:r>
        <w:rPr>
          <w:spacing w:val="-5"/>
        </w:rPr>
        <w:t>que</w:t>
      </w:r>
      <w:bookmarkStart w:id="1078" w:name="_bookmark951"/>
      <w:bookmarkStart w:id="1079" w:name="_bookmark952"/>
      <w:bookmarkStart w:id="1080" w:name="_bookmark953"/>
      <w:bookmarkStart w:id="1081" w:name="_bookmark954"/>
      <w:bookmarkEnd w:id="1078"/>
      <w:bookmarkEnd w:id="1079"/>
      <w:bookmarkEnd w:id="1080"/>
      <w:bookmarkEnd w:id="1081"/>
      <w:r w:rsidR="005E6E17">
        <w:t xml:space="preserve"> </w:t>
      </w:r>
      <w:r>
        <w:t>estaba en misión que se acuartelara por la situación que se estaba viviendo. Esas eran las medidas de seguridad: quédate en tu hotel»</w:t>
      </w:r>
      <w:r w:rsidR="005E6E17">
        <w:rPr>
          <w:rStyle w:val="Refdenotaalpie"/>
        </w:rPr>
        <w:footnoteReference w:id="875"/>
      </w:r>
      <w:r>
        <w:t>.</w:t>
      </w:r>
    </w:p>
    <w:p w:rsidR="003804AC" w:rsidRDefault="00AF18A5" w:rsidP="005E6E17">
      <w:r>
        <w:t>El</w:t>
      </w:r>
      <w:r>
        <w:rPr>
          <w:spacing w:val="-2"/>
        </w:rPr>
        <w:t xml:space="preserve"> </w:t>
      </w:r>
      <w:r>
        <w:t>doctor</w:t>
      </w:r>
      <w:r>
        <w:rPr>
          <w:spacing w:val="-2"/>
        </w:rPr>
        <w:t xml:space="preserve"> </w:t>
      </w:r>
      <w:r>
        <w:t>Eduardo</w:t>
      </w:r>
      <w:r>
        <w:rPr>
          <w:spacing w:val="-2"/>
        </w:rPr>
        <w:t xml:space="preserve"> </w:t>
      </w:r>
      <w:r>
        <w:t>Valdés,</w:t>
      </w:r>
      <w:r>
        <w:rPr>
          <w:spacing w:val="-2"/>
        </w:rPr>
        <w:t xml:space="preserve"> </w:t>
      </w:r>
      <w:r>
        <w:t>exdirector</w:t>
      </w:r>
      <w:r>
        <w:rPr>
          <w:spacing w:val="-3"/>
        </w:rPr>
        <w:t xml:space="preserve"> </w:t>
      </w:r>
      <w:r>
        <w:t>de</w:t>
      </w:r>
      <w:r>
        <w:rPr>
          <w:spacing w:val="-2"/>
        </w:rPr>
        <w:t xml:space="preserve"> </w:t>
      </w:r>
      <w:r>
        <w:t>Medicina</w:t>
      </w:r>
      <w:r>
        <w:rPr>
          <w:spacing w:val="-2"/>
        </w:rPr>
        <w:t xml:space="preserve"> </w:t>
      </w:r>
      <w:r>
        <w:t>Legal,</w:t>
      </w:r>
      <w:r>
        <w:rPr>
          <w:spacing w:val="-2"/>
        </w:rPr>
        <w:t xml:space="preserve"> </w:t>
      </w:r>
      <w:r>
        <w:t>agregó</w:t>
      </w:r>
      <w:r>
        <w:rPr>
          <w:spacing w:val="-2"/>
        </w:rPr>
        <w:t xml:space="preserve"> </w:t>
      </w:r>
      <w:r>
        <w:t>en</w:t>
      </w:r>
      <w:r>
        <w:rPr>
          <w:spacing w:val="-2"/>
        </w:rPr>
        <w:t xml:space="preserve"> </w:t>
      </w:r>
      <w:r>
        <w:t>una</w:t>
      </w:r>
      <w:r>
        <w:rPr>
          <w:spacing w:val="-2"/>
        </w:rPr>
        <w:t xml:space="preserve"> </w:t>
      </w:r>
      <w:r>
        <w:t>entrevista</w:t>
      </w:r>
      <w:r>
        <w:rPr>
          <w:spacing w:val="-2"/>
        </w:rPr>
        <w:t xml:space="preserve"> </w:t>
      </w:r>
      <w:r>
        <w:t>con</w:t>
      </w:r>
      <w:r>
        <w:rPr>
          <w:spacing w:val="-2"/>
        </w:rPr>
        <w:t xml:space="preserve"> </w:t>
      </w:r>
      <w:r>
        <w:t>la Comisión</w:t>
      </w:r>
      <w:r>
        <w:rPr>
          <w:spacing w:val="-8"/>
        </w:rPr>
        <w:t xml:space="preserve"> </w:t>
      </w:r>
      <w:r>
        <w:t>que,</w:t>
      </w:r>
      <w:r>
        <w:rPr>
          <w:spacing w:val="-8"/>
        </w:rPr>
        <w:t xml:space="preserve"> </w:t>
      </w:r>
      <w:r>
        <w:t>especialmente</w:t>
      </w:r>
      <w:r>
        <w:rPr>
          <w:spacing w:val="-8"/>
        </w:rPr>
        <w:t xml:space="preserve"> </w:t>
      </w:r>
      <w:r>
        <w:t>en</w:t>
      </w:r>
      <w:r>
        <w:rPr>
          <w:spacing w:val="-8"/>
        </w:rPr>
        <w:t xml:space="preserve"> </w:t>
      </w:r>
      <w:r>
        <w:t>los</w:t>
      </w:r>
      <w:r>
        <w:rPr>
          <w:spacing w:val="-8"/>
        </w:rPr>
        <w:t xml:space="preserve"> </w:t>
      </w:r>
      <w:r>
        <w:t>años</w:t>
      </w:r>
      <w:r>
        <w:rPr>
          <w:spacing w:val="-8"/>
        </w:rPr>
        <w:t xml:space="preserve"> </w:t>
      </w:r>
      <w:r>
        <w:t>ochenta,</w:t>
      </w:r>
      <w:r>
        <w:rPr>
          <w:spacing w:val="-10"/>
        </w:rPr>
        <w:t xml:space="preserve"> </w:t>
      </w:r>
      <w:r>
        <w:t>la</w:t>
      </w:r>
      <w:r>
        <w:rPr>
          <w:spacing w:val="-8"/>
        </w:rPr>
        <w:t xml:space="preserve"> </w:t>
      </w:r>
      <w:r>
        <w:t>policía</w:t>
      </w:r>
      <w:r>
        <w:rPr>
          <w:spacing w:val="-8"/>
        </w:rPr>
        <w:t xml:space="preserve"> </w:t>
      </w:r>
      <w:r>
        <w:t>de</w:t>
      </w:r>
      <w:r>
        <w:rPr>
          <w:spacing w:val="-9"/>
        </w:rPr>
        <w:t xml:space="preserve"> </w:t>
      </w:r>
      <w:r>
        <w:t>las</w:t>
      </w:r>
      <w:r>
        <w:rPr>
          <w:spacing w:val="-8"/>
        </w:rPr>
        <w:t xml:space="preserve"> </w:t>
      </w:r>
      <w:r>
        <w:t>zonas</w:t>
      </w:r>
      <w:r>
        <w:rPr>
          <w:spacing w:val="-8"/>
        </w:rPr>
        <w:t xml:space="preserve"> </w:t>
      </w:r>
      <w:r>
        <w:t>rurales</w:t>
      </w:r>
      <w:r>
        <w:rPr>
          <w:spacing w:val="-8"/>
        </w:rPr>
        <w:t xml:space="preserve"> </w:t>
      </w:r>
      <w:r>
        <w:t>se</w:t>
      </w:r>
      <w:r>
        <w:rPr>
          <w:spacing w:val="-8"/>
        </w:rPr>
        <w:t xml:space="preserve"> </w:t>
      </w:r>
      <w:r>
        <w:t>restringía a los pueblos y se abstenía de ir a diligencias judiciales o de apoyar visitas a las veredas</w:t>
      </w:r>
      <w:r w:rsidR="005E6E17">
        <w:rPr>
          <w:rStyle w:val="Refdenotaalpie"/>
        </w:rPr>
        <w:footnoteReference w:id="876"/>
      </w:r>
      <w:r>
        <w:t>.</w:t>
      </w:r>
    </w:p>
    <w:p w:rsidR="003804AC" w:rsidRDefault="00AF18A5" w:rsidP="005E6E17">
      <w:r>
        <w:t>El sistema carcelario ha tenido otra dimensión crítica en el panorama de la justicia. Más allá de los problemas de hacinamiento, este ha sido una radiografía de la crisis social colombiana</w:t>
      </w:r>
      <w:r>
        <w:rPr>
          <w:spacing w:val="-3"/>
        </w:rPr>
        <w:t xml:space="preserve"> </w:t>
      </w:r>
      <w:r>
        <w:t>que</w:t>
      </w:r>
      <w:r>
        <w:rPr>
          <w:spacing w:val="-2"/>
        </w:rPr>
        <w:t xml:space="preserve"> </w:t>
      </w:r>
      <w:r>
        <w:t>ha</w:t>
      </w:r>
      <w:r>
        <w:rPr>
          <w:spacing w:val="-3"/>
        </w:rPr>
        <w:t xml:space="preserve"> </w:t>
      </w:r>
      <w:r>
        <w:t>mostrado</w:t>
      </w:r>
      <w:r>
        <w:rPr>
          <w:spacing w:val="-2"/>
        </w:rPr>
        <w:t xml:space="preserve"> </w:t>
      </w:r>
      <w:r>
        <w:t>que</w:t>
      </w:r>
      <w:r>
        <w:rPr>
          <w:spacing w:val="-3"/>
        </w:rPr>
        <w:t xml:space="preserve"> </w:t>
      </w:r>
      <w:r>
        <w:t>la</w:t>
      </w:r>
      <w:r>
        <w:rPr>
          <w:spacing w:val="-3"/>
        </w:rPr>
        <w:t xml:space="preserve"> </w:t>
      </w:r>
      <w:r>
        <w:t>justicia</w:t>
      </w:r>
      <w:r>
        <w:rPr>
          <w:spacing w:val="-2"/>
        </w:rPr>
        <w:t xml:space="preserve"> </w:t>
      </w:r>
      <w:r>
        <w:t>«no</w:t>
      </w:r>
      <w:r>
        <w:rPr>
          <w:spacing w:val="-5"/>
        </w:rPr>
        <w:t xml:space="preserve"> </w:t>
      </w:r>
      <w:r>
        <w:t>muerde</w:t>
      </w:r>
      <w:r>
        <w:rPr>
          <w:spacing w:val="-3"/>
        </w:rPr>
        <w:t xml:space="preserve"> </w:t>
      </w:r>
      <w:r>
        <w:t>sino</w:t>
      </w:r>
      <w:r>
        <w:rPr>
          <w:spacing w:val="-4"/>
        </w:rPr>
        <w:t xml:space="preserve"> </w:t>
      </w:r>
      <w:r>
        <w:t>a</w:t>
      </w:r>
      <w:r>
        <w:rPr>
          <w:spacing w:val="-2"/>
        </w:rPr>
        <w:t xml:space="preserve"> </w:t>
      </w:r>
      <w:r>
        <w:t>los</w:t>
      </w:r>
      <w:r>
        <w:rPr>
          <w:spacing w:val="-3"/>
        </w:rPr>
        <w:t xml:space="preserve"> </w:t>
      </w:r>
      <w:r>
        <w:t>de</w:t>
      </w:r>
      <w:r>
        <w:rPr>
          <w:spacing w:val="-3"/>
        </w:rPr>
        <w:t xml:space="preserve"> </w:t>
      </w:r>
      <w:r>
        <w:t>ruana»,</w:t>
      </w:r>
      <w:r>
        <w:rPr>
          <w:spacing w:val="-2"/>
        </w:rPr>
        <w:t xml:space="preserve"> </w:t>
      </w:r>
      <w:r>
        <w:t>como</w:t>
      </w:r>
      <w:r>
        <w:rPr>
          <w:spacing w:val="-4"/>
        </w:rPr>
        <w:t xml:space="preserve"> </w:t>
      </w:r>
      <w:r>
        <w:t>acuñó</w:t>
      </w:r>
      <w:r>
        <w:rPr>
          <w:spacing w:val="-2"/>
        </w:rPr>
        <w:t xml:space="preserve"> </w:t>
      </w:r>
      <w:r>
        <w:t>el fenómeno el congresista liberal Antonio José Retrepo en 1925 para oponerse al restablecimiento de la pena de muerte en Colombia.</w:t>
      </w:r>
    </w:p>
    <w:p w:rsidR="0011361F" w:rsidRDefault="00AF18A5" w:rsidP="005E6E17">
      <w:r>
        <w:t xml:space="preserve">El sistema carcelario ha combinado escenarios de extrema precariedad con burbujas de lujo para los presos de renombre, secretos guardados o develados sobre los tiempos de los consejos verbales de guerra, de la </w:t>
      </w:r>
      <w:r>
        <w:lastRenderedPageBreak/>
        <w:t>justicia sin rostro, del proceso 8.000, de la parapolítica o de los incontables escándalos de corrupción que se divulgan a diario, incluido el del «cartel de</w:t>
      </w:r>
      <w:r>
        <w:rPr>
          <w:spacing w:val="-15"/>
        </w:rPr>
        <w:t xml:space="preserve"> </w:t>
      </w:r>
      <w:r>
        <w:t>la</w:t>
      </w:r>
      <w:r>
        <w:rPr>
          <w:spacing w:val="-15"/>
        </w:rPr>
        <w:t xml:space="preserve"> </w:t>
      </w:r>
      <w:r>
        <w:t>toga»,</w:t>
      </w:r>
      <w:r>
        <w:rPr>
          <w:spacing w:val="-15"/>
        </w:rPr>
        <w:t xml:space="preserve"> </w:t>
      </w:r>
      <w:r>
        <w:t>un</w:t>
      </w:r>
      <w:r>
        <w:rPr>
          <w:spacing w:val="-15"/>
        </w:rPr>
        <w:t xml:space="preserve"> </w:t>
      </w:r>
      <w:r>
        <w:t>escándalo</w:t>
      </w:r>
      <w:r>
        <w:rPr>
          <w:spacing w:val="-15"/>
        </w:rPr>
        <w:t xml:space="preserve"> </w:t>
      </w:r>
      <w:r>
        <w:t>judicial</w:t>
      </w:r>
      <w:r>
        <w:rPr>
          <w:spacing w:val="-15"/>
        </w:rPr>
        <w:t xml:space="preserve"> </w:t>
      </w:r>
      <w:r>
        <w:t>que</w:t>
      </w:r>
      <w:r>
        <w:rPr>
          <w:spacing w:val="-15"/>
        </w:rPr>
        <w:t xml:space="preserve"> </w:t>
      </w:r>
      <w:r>
        <w:t>terminó</w:t>
      </w:r>
      <w:r>
        <w:rPr>
          <w:spacing w:val="-15"/>
        </w:rPr>
        <w:t xml:space="preserve"> </w:t>
      </w:r>
      <w:r>
        <w:t>en</w:t>
      </w:r>
      <w:r>
        <w:rPr>
          <w:spacing w:val="-15"/>
        </w:rPr>
        <w:t xml:space="preserve"> </w:t>
      </w:r>
      <w:r>
        <w:t>procesos</w:t>
      </w:r>
      <w:r>
        <w:rPr>
          <w:spacing w:val="-15"/>
        </w:rPr>
        <w:t xml:space="preserve"> </w:t>
      </w:r>
      <w:r>
        <w:t>judiciales</w:t>
      </w:r>
      <w:r>
        <w:rPr>
          <w:spacing w:val="-15"/>
        </w:rPr>
        <w:t xml:space="preserve"> </w:t>
      </w:r>
      <w:r>
        <w:t>por</w:t>
      </w:r>
      <w:r>
        <w:rPr>
          <w:spacing w:val="-15"/>
        </w:rPr>
        <w:t xml:space="preserve"> </w:t>
      </w:r>
      <w:r>
        <w:t>cohecho</w:t>
      </w:r>
      <w:r>
        <w:rPr>
          <w:spacing w:val="-15"/>
        </w:rPr>
        <w:t xml:space="preserve"> </w:t>
      </w:r>
      <w:r>
        <w:t>y</w:t>
      </w:r>
      <w:r>
        <w:rPr>
          <w:spacing w:val="-15"/>
        </w:rPr>
        <w:t xml:space="preserve"> </w:t>
      </w:r>
      <w:r>
        <w:t>concusión contra varios ex magistrados de la Corte Suprema de Justicia, un fiscal anticorrupción, congresistas, exgobernadores y varios abogados, por lucrarse de la desviación penal de expedientes de la parapolítica, la corrupción y, por supuesto, de la guerra. La violencia que se diseminó en los territorios se tomó las ciudades y encontró también un campo de batalla en las cárceles. La evidencia más conocida ocurrió en la cárcel La Modelo de Bogotá, a finales del siglo XX y comienzos del XXI. Desde allí, el Bloque Interno Capital hizo parte de los entramados del paramilitarismo en la ciudad, en un tiempo de magnicidios, mientras, en otros patios, las guerrillas se preparaban para</w:t>
      </w:r>
      <w:r>
        <w:rPr>
          <w:spacing w:val="-1"/>
        </w:rPr>
        <w:t xml:space="preserve"> </w:t>
      </w:r>
      <w:r>
        <w:t xml:space="preserve">regresar a la guerra o insistir en el canje de sus milicianos presos por centenares de militares y policías cautivos en las cárceles de la </w:t>
      </w:r>
      <w:r>
        <w:rPr>
          <w:spacing w:val="-2"/>
        </w:rPr>
        <w:t>selva.</w:t>
      </w:r>
    </w:p>
    <w:p w:rsidR="003804AC" w:rsidRDefault="00AF18A5" w:rsidP="005E6E17">
      <w:bookmarkStart w:id="1082" w:name="_bookmark955"/>
      <w:bookmarkStart w:id="1083" w:name="_bookmark956"/>
      <w:bookmarkEnd w:id="1082"/>
      <w:bookmarkEnd w:id="1083"/>
      <w:r>
        <w:t xml:space="preserve">Las cárceles han sido un lugar donde se tasa la justicia y se negocia la guerra, donde se cruzan los intereses de la política y del conflicto armado. Los escenarios creados para el castigo del delito, han sido también espacios para negociar impunidades. Al tiempo que se transaban los subrogados penales o las sentencias laxas, en las cárceles se han desenredado </w:t>
      </w:r>
      <w:r>
        <w:rPr>
          <w:spacing w:val="-2"/>
        </w:rPr>
        <w:t>los</w:t>
      </w:r>
      <w:r>
        <w:rPr>
          <w:spacing w:val="-6"/>
        </w:rPr>
        <w:t xml:space="preserve"> </w:t>
      </w:r>
      <w:r>
        <w:rPr>
          <w:spacing w:val="-2"/>
        </w:rPr>
        <w:t>ovillos</w:t>
      </w:r>
      <w:r>
        <w:rPr>
          <w:spacing w:val="-7"/>
        </w:rPr>
        <w:t xml:space="preserve"> </w:t>
      </w:r>
      <w:r>
        <w:rPr>
          <w:spacing w:val="-2"/>
        </w:rPr>
        <w:t>de</w:t>
      </w:r>
      <w:r>
        <w:rPr>
          <w:spacing w:val="-6"/>
        </w:rPr>
        <w:t xml:space="preserve"> </w:t>
      </w:r>
      <w:r>
        <w:rPr>
          <w:spacing w:val="-2"/>
        </w:rPr>
        <w:t>las</w:t>
      </w:r>
      <w:r>
        <w:rPr>
          <w:spacing w:val="-7"/>
        </w:rPr>
        <w:t xml:space="preserve"> </w:t>
      </w:r>
      <w:r>
        <w:rPr>
          <w:spacing w:val="-2"/>
        </w:rPr>
        <w:t>políticas</w:t>
      </w:r>
      <w:r>
        <w:rPr>
          <w:spacing w:val="-6"/>
        </w:rPr>
        <w:t xml:space="preserve"> </w:t>
      </w:r>
      <w:r>
        <w:rPr>
          <w:spacing w:val="-2"/>
        </w:rPr>
        <w:t>de</w:t>
      </w:r>
      <w:r>
        <w:rPr>
          <w:spacing w:val="-6"/>
        </w:rPr>
        <w:t xml:space="preserve"> </w:t>
      </w:r>
      <w:r>
        <w:rPr>
          <w:spacing w:val="-2"/>
        </w:rPr>
        <w:t>sometimiento</w:t>
      </w:r>
      <w:r>
        <w:rPr>
          <w:spacing w:val="-6"/>
        </w:rPr>
        <w:t xml:space="preserve"> </w:t>
      </w:r>
      <w:r>
        <w:rPr>
          <w:spacing w:val="-2"/>
        </w:rPr>
        <w:t>a</w:t>
      </w:r>
      <w:r>
        <w:rPr>
          <w:spacing w:val="-7"/>
        </w:rPr>
        <w:t xml:space="preserve"> </w:t>
      </w:r>
      <w:r>
        <w:rPr>
          <w:spacing w:val="-2"/>
        </w:rPr>
        <w:t>la</w:t>
      </w:r>
      <w:r>
        <w:rPr>
          <w:spacing w:val="-7"/>
        </w:rPr>
        <w:t xml:space="preserve"> </w:t>
      </w:r>
      <w:r>
        <w:rPr>
          <w:spacing w:val="-2"/>
        </w:rPr>
        <w:t>justicia.</w:t>
      </w:r>
      <w:r>
        <w:rPr>
          <w:spacing w:val="-6"/>
        </w:rPr>
        <w:t xml:space="preserve"> </w:t>
      </w:r>
      <w:r>
        <w:rPr>
          <w:spacing w:val="-2"/>
        </w:rPr>
        <w:t>Ha</w:t>
      </w:r>
      <w:r>
        <w:rPr>
          <w:spacing w:val="-6"/>
        </w:rPr>
        <w:t xml:space="preserve"> </w:t>
      </w:r>
      <w:r>
        <w:rPr>
          <w:spacing w:val="-2"/>
        </w:rPr>
        <w:t>habido</w:t>
      </w:r>
      <w:r>
        <w:rPr>
          <w:spacing w:val="-6"/>
        </w:rPr>
        <w:t xml:space="preserve"> </w:t>
      </w:r>
      <w:r>
        <w:rPr>
          <w:spacing w:val="-2"/>
        </w:rPr>
        <w:t>capos</w:t>
      </w:r>
      <w:r>
        <w:rPr>
          <w:spacing w:val="-7"/>
        </w:rPr>
        <w:t xml:space="preserve"> </w:t>
      </w:r>
      <w:r>
        <w:rPr>
          <w:spacing w:val="-2"/>
        </w:rPr>
        <w:t>impunes</w:t>
      </w:r>
      <w:r>
        <w:rPr>
          <w:spacing w:val="-7"/>
        </w:rPr>
        <w:t xml:space="preserve"> </w:t>
      </w:r>
      <w:r>
        <w:rPr>
          <w:spacing w:val="-2"/>
        </w:rPr>
        <w:t xml:space="preserve">negociando </w:t>
      </w:r>
      <w:r>
        <w:t>cláusulas de predominio y pabellones de políticos y personalidades caídos en las redadas contra la guerrilla, el paramilitarismo o el narcotráfico que representan un rostro visible de la</w:t>
      </w:r>
      <w:r>
        <w:rPr>
          <w:spacing w:val="-2"/>
        </w:rPr>
        <w:t xml:space="preserve"> </w:t>
      </w:r>
      <w:r>
        <w:t>crisis</w:t>
      </w:r>
      <w:r>
        <w:rPr>
          <w:spacing w:val="-2"/>
        </w:rPr>
        <w:t xml:space="preserve"> </w:t>
      </w:r>
      <w:r>
        <w:t>causada</w:t>
      </w:r>
      <w:r>
        <w:rPr>
          <w:spacing w:val="-2"/>
        </w:rPr>
        <w:t xml:space="preserve"> </w:t>
      </w:r>
      <w:r>
        <w:t>por</w:t>
      </w:r>
      <w:r>
        <w:rPr>
          <w:spacing w:val="-2"/>
        </w:rPr>
        <w:t xml:space="preserve"> </w:t>
      </w:r>
      <w:r>
        <w:t>el</w:t>
      </w:r>
      <w:r>
        <w:rPr>
          <w:spacing w:val="-2"/>
        </w:rPr>
        <w:t xml:space="preserve"> </w:t>
      </w:r>
      <w:r>
        <w:t>conflicto</w:t>
      </w:r>
      <w:r>
        <w:rPr>
          <w:spacing w:val="-2"/>
        </w:rPr>
        <w:t xml:space="preserve"> </w:t>
      </w:r>
      <w:r>
        <w:t>armado.</w:t>
      </w:r>
      <w:r>
        <w:rPr>
          <w:spacing w:val="-2"/>
        </w:rPr>
        <w:t xml:space="preserve"> </w:t>
      </w:r>
      <w:r>
        <w:t>Entre</w:t>
      </w:r>
      <w:r>
        <w:rPr>
          <w:spacing w:val="-2"/>
        </w:rPr>
        <w:t xml:space="preserve"> </w:t>
      </w:r>
      <w:r>
        <w:t>los</w:t>
      </w:r>
      <w:r>
        <w:rPr>
          <w:spacing w:val="-2"/>
        </w:rPr>
        <w:t xml:space="preserve"> </w:t>
      </w:r>
      <w:r>
        <w:t>cientos</w:t>
      </w:r>
      <w:r>
        <w:rPr>
          <w:spacing w:val="-2"/>
        </w:rPr>
        <w:t xml:space="preserve"> </w:t>
      </w:r>
      <w:r>
        <w:t>de</w:t>
      </w:r>
      <w:r>
        <w:rPr>
          <w:spacing w:val="-2"/>
        </w:rPr>
        <w:t xml:space="preserve"> </w:t>
      </w:r>
      <w:r>
        <w:t>detenidos</w:t>
      </w:r>
      <w:r>
        <w:rPr>
          <w:spacing w:val="-4"/>
        </w:rPr>
        <w:t xml:space="preserve"> </w:t>
      </w:r>
      <w:r>
        <w:t>por</w:t>
      </w:r>
      <w:r>
        <w:rPr>
          <w:spacing w:val="-2"/>
        </w:rPr>
        <w:t xml:space="preserve"> </w:t>
      </w:r>
      <w:r>
        <w:t>causas</w:t>
      </w:r>
      <w:r>
        <w:rPr>
          <w:spacing w:val="-2"/>
        </w:rPr>
        <w:t xml:space="preserve"> </w:t>
      </w:r>
      <w:r>
        <w:t>comunes o</w:t>
      </w:r>
      <w:r>
        <w:rPr>
          <w:spacing w:val="-10"/>
        </w:rPr>
        <w:t xml:space="preserve"> </w:t>
      </w:r>
      <w:r>
        <w:t>por</w:t>
      </w:r>
      <w:r>
        <w:rPr>
          <w:spacing w:val="-9"/>
        </w:rPr>
        <w:t xml:space="preserve"> </w:t>
      </w:r>
      <w:r>
        <w:t>diversos</w:t>
      </w:r>
      <w:r>
        <w:rPr>
          <w:spacing w:val="-10"/>
        </w:rPr>
        <w:t xml:space="preserve"> </w:t>
      </w:r>
      <w:r>
        <w:t>delitos</w:t>
      </w:r>
      <w:r>
        <w:rPr>
          <w:spacing w:val="-10"/>
        </w:rPr>
        <w:t xml:space="preserve"> </w:t>
      </w:r>
      <w:r>
        <w:t>contra</w:t>
      </w:r>
      <w:r>
        <w:rPr>
          <w:spacing w:val="-9"/>
        </w:rPr>
        <w:t xml:space="preserve"> </w:t>
      </w:r>
      <w:r>
        <w:t>la</w:t>
      </w:r>
      <w:r>
        <w:rPr>
          <w:spacing w:val="-9"/>
        </w:rPr>
        <w:t xml:space="preserve"> </w:t>
      </w:r>
      <w:r>
        <w:t>administración</w:t>
      </w:r>
      <w:r>
        <w:rPr>
          <w:spacing w:val="-10"/>
        </w:rPr>
        <w:t xml:space="preserve"> </w:t>
      </w:r>
      <w:r>
        <w:t>pública,</w:t>
      </w:r>
      <w:r>
        <w:rPr>
          <w:spacing w:val="-10"/>
        </w:rPr>
        <w:t xml:space="preserve"> </w:t>
      </w:r>
      <w:r>
        <w:t>se</w:t>
      </w:r>
      <w:r>
        <w:rPr>
          <w:spacing w:val="-9"/>
        </w:rPr>
        <w:t xml:space="preserve"> </w:t>
      </w:r>
      <w:r>
        <w:t>entreveran</w:t>
      </w:r>
      <w:r>
        <w:rPr>
          <w:spacing w:val="-10"/>
        </w:rPr>
        <w:t xml:space="preserve"> </w:t>
      </w:r>
      <w:r>
        <w:t>los</w:t>
      </w:r>
      <w:r>
        <w:rPr>
          <w:spacing w:val="-11"/>
        </w:rPr>
        <w:t xml:space="preserve"> </w:t>
      </w:r>
      <w:r>
        <w:t>destinos</w:t>
      </w:r>
      <w:r>
        <w:rPr>
          <w:spacing w:val="-10"/>
        </w:rPr>
        <w:t xml:space="preserve"> </w:t>
      </w:r>
      <w:r>
        <w:t>de</w:t>
      </w:r>
      <w:r>
        <w:rPr>
          <w:spacing w:val="-11"/>
        </w:rPr>
        <w:t xml:space="preserve"> </w:t>
      </w:r>
      <w:r>
        <w:t>miles</w:t>
      </w:r>
      <w:r>
        <w:rPr>
          <w:spacing w:val="-9"/>
        </w:rPr>
        <w:t xml:space="preserve"> </w:t>
      </w:r>
      <w:r>
        <w:t xml:space="preserve">de detenidos </w:t>
      </w:r>
      <w:r>
        <w:lastRenderedPageBreak/>
        <w:t>y procesados por las acciones de la guerra, aunque casi nunca los máximos responsables</w:t>
      </w:r>
      <w:r>
        <w:rPr>
          <w:spacing w:val="-4"/>
        </w:rPr>
        <w:t xml:space="preserve"> </w:t>
      </w:r>
      <w:r>
        <w:t>de</w:t>
      </w:r>
      <w:r>
        <w:rPr>
          <w:spacing w:val="-3"/>
        </w:rPr>
        <w:t xml:space="preserve"> </w:t>
      </w:r>
      <w:r>
        <w:t>las</w:t>
      </w:r>
      <w:r>
        <w:rPr>
          <w:spacing w:val="-3"/>
        </w:rPr>
        <w:t xml:space="preserve"> </w:t>
      </w:r>
      <w:r>
        <w:t>violaciones</w:t>
      </w:r>
      <w:r>
        <w:rPr>
          <w:spacing w:val="-3"/>
        </w:rPr>
        <w:t xml:space="preserve"> </w:t>
      </w:r>
      <w:r>
        <w:t>a</w:t>
      </w:r>
      <w:r>
        <w:rPr>
          <w:spacing w:val="-3"/>
        </w:rPr>
        <w:t xml:space="preserve"> </w:t>
      </w:r>
      <w:r>
        <w:t>derechos</w:t>
      </w:r>
      <w:r>
        <w:rPr>
          <w:spacing w:val="-3"/>
        </w:rPr>
        <w:t xml:space="preserve"> </w:t>
      </w:r>
      <w:r>
        <w:t>humanos.</w:t>
      </w:r>
      <w:r>
        <w:rPr>
          <w:spacing w:val="-3"/>
        </w:rPr>
        <w:t xml:space="preserve"> </w:t>
      </w:r>
      <w:r>
        <w:t>En</w:t>
      </w:r>
      <w:r>
        <w:rPr>
          <w:spacing w:val="-3"/>
        </w:rPr>
        <w:t xml:space="preserve"> </w:t>
      </w:r>
      <w:r>
        <w:t>los</w:t>
      </w:r>
      <w:r>
        <w:rPr>
          <w:spacing w:val="-4"/>
        </w:rPr>
        <w:t xml:space="preserve"> </w:t>
      </w:r>
      <w:r>
        <w:t>últimos</w:t>
      </w:r>
      <w:r>
        <w:rPr>
          <w:spacing w:val="-3"/>
        </w:rPr>
        <w:t xml:space="preserve"> </w:t>
      </w:r>
      <w:r>
        <w:t>tiempos,</w:t>
      </w:r>
      <w:r>
        <w:rPr>
          <w:spacing w:val="-3"/>
        </w:rPr>
        <w:t xml:space="preserve"> </w:t>
      </w:r>
      <w:r>
        <w:t>el</w:t>
      </w:r>
      <w:r>
        <w:rPr>
          <w:spacing w:val="-3"/>
        </w:rPr>
        <w:t xml:space="preserve"> </w:t>
      </w:r>
      <w:r>
        <w:t>grueso</w:t>
      </w:r>
      <w:r>
        <w:rPr>
          <w:spacing w:val="-3"/>
        </w:rPr>
        <w:t xml:space="preserve"> </w:t>
      </w:r>
      <w:r>
        <w:t>de</w:t>
      </w:r>
      <w:r>
        <w:rPr>
          <w:spacing w:val="-3"/>
        </w:rPr>
        <w:t xml:space="preserve"> </w:t>
      </w:r>
      <w:r>
        <w:t>la población</w:t>
      </w:r>
      <w:r>
        <w:rPr>
          <w:spacing w:val="-13"/>
        </w:rPr>
        <w:t xml:space="preserve"> </w:t>
      </w:r>
      <w:r>
        <w:t>carcelaria</w:t>
      </w:r>
      <w:r>
        <w:rPr>
          <w:spacing w:val="-12"/>
        </w:rPr>
        <w:t xml:space="preserve"> </w:t>
      </w:r>
      <w:r>
        <w:t>condenada</w:t>
      </w:r>
      <w:r>
        <w:rPr>
          <w:spacing w:val="-12"/>
        </w:rPr>
        <w:t xml:space="preserve"> </w:t>
      </w:r>
      <w:r>
        <w:t>por</w:t>
      </w:r>
      <w:r>
        <w:rPr>
          <w:spacing w:val="-11"/>
        </w:rPr>
        <w:t xml:space="preserve"> </w:t>
      </w:r>
      <w:r>
        <w:t>narcotráfico</w:t>
      </w:r>
      <w:r>
        <w:rPr>
          <w:spacing w:val="-12"/>
        </w:rPr>
        <w:t xml:space="preserve"> </w:t>
      </w:r>
      <w:r>
        <w:t>ha</w:t>
      </w:r>
      <w:r>
        <w:rPr>
          <w:spacing w:val="-12"/>
        </w:rPr>
        <w:t xml:space="preserve"> </w:t>
      </w:r>
      <w:r>
        <w:t>estado</w:t>
      </w:r>
      <w:r>
        <w:rPr>
          <w:spacing w:val="-12"/>
        </w:rPr>
        <w:t xml:space="preserve"> </w:t>
      </w:r>
      <w:r>
        <w:t>compuesta,</w:t>
      </w:r>
      <w:r>
        <w:rPr>
          <w:spacing w:val="-12"/>
        </w:rPr>
        <w:t xml:space="preserve"> </w:t>
      </w:r>
      <w:r>
        <w:t>sobre</w:t>
      </w:r>
      <w:r>
        <w:rPr>
          <w:spacing w:val="-12"/>
        </w:rPr>
        <w:t xml:space="preserve"> </w:t>
      </w:r>
      <w:r>
        <w:t>todo,</w:t>
      </w:r>
      <w:r>
        <w:rPr>
          <w:spacing w:val="-12"/>
        </w:rPr>
        <w:t xml:space="preserve"> </w:t>
      </w:r>
      <w:r>
        <w:t>por</w:t>
      </w:r>
      <w:r>
        <w:rPr>
          <w:spacing w:val="-13"/>
        </w:rPr>
        <w:t xml:space="preserve"> </w:t>
      </w:r>
      <w:r>
        <w:t>mulas, gestores</w:t>
      </w:r>
      <w:r>
        <w:rPr>
          <w:spacing w:val="-3"/>
        </w:rPr>
        <w:t xml:space="preserve"> </w:t>
      </w:r>
      <w:r>
        <w:t>del</w:t>
      </w:r>
      <w:r>
        <w:rPr>
          <w:spacing w:val="-4"/>
        </w:rPr>
        <w:t xml:space="preserve"> </w:t>
      </w:r>
      <w:r>
        <w:t>microtráfico</w:t>
      </w:r>
      <w:r>
        <w:rPr>
          <w:spacing w:val="-5"/>
        </w:rPr>
        <w:t xml:space="preserve"> </w:t>
      </w:r>
      <w:r>
        <w:t>y</w:t>
      </w:r>
      <w:r>
        <w:rPr>
          <w:spacing w:val="-3"/>
        </w:rPr>
        <w:t xml:space="preserve"> </w:t>
      </w:r>
      <w:r>
        <w:t>campesinos</w:t>
      </w:r>
      <w:r>
        <w:rPr>
          <w:spacing w:val="-3"/>
        </w:rPr>
        <w:t xml:space="preserve"> </w:t>
      </w:r>
      <w:r>
        <w:t>cocaleros.</w:t>
      </w:r>
      <w:r>
        <w:rPr>
          <w:spacing w:val="-3"/>
        </w:rPr>
        <w:t xml:space="preserve"> </w:t>
      </w:r>
      <w:r>
        <w:t>Pocas</w:t>
      </w:r>
      <w:r>
        <w:rPr>
          <w:spacing w:val="-3"/>
        </w:rPr>
        <w:t xml:space="preserve"> </w:t>
      </w:r>
      <w:r>
        <w:t>veces</w:t>
      </w:r>
      <w:r>
        <w:rPr>
          <w:spacing w:val="-3"/>
        </w:rPr>
        <w:t xml:space="preserve"> </w:t>
      </w:r>
      <w:r>
        <w:t>los</w:t>
      </w:r>
      <w:r>
        <w:rPr>
          <w:spacing w:val="-3"/>
        </w:rPr>
        <w:t xml:space="preserve"> </w:t>
      </w:r>
      <w:r>
        <w:t>lavadores</w:t>
      </w:r>
      <w:r>
        <w:rPr>
          <w:spacing w:val="-3"/>
        </w:rPr>
        <w:t xml:space="preserve"> </w:t>
      </w:r>
      <w:r>
        <w:t>o</w:t>
      </w:r>
      <w:r>
        <w:rPr>
          <w:spacing w:val="-3"/>
        </w:rPr>
        <w:t xml:space="preserve"> </w:t>
      </w:r>
      <w:r>
        <w:t>los</w:t>
      </w:r>
      <w:r>
        <w:rPr>
          <w:spacing w:val="-3"/>
        </w:rPr>
        <w:t xml:space="preserve"> </w:t>
      </w:r>
      <w:r>
        <w:t>capos</w:t>
      </w:r>
      <w:r>
        <w:rPr>
          <w:spacing w:val="-3"/>
        </w:rPr>
        <w:t xml:space="preserve"> </w:t>
      </w:r>
      <w:r>
        <w:t>han terminado en las cárceles. En ese sentido, el dilema de las cárceles ha contribuido a la impunidad y agravado</w:t>
      </w:r>
    </w:p>
    <w:p w:rsidR="003804AC" w:rsidRDefault="00AF18A5" w:rsidP="005E6E17">
      <w:pPr>
        <w:rPr>
          <w:spacing w:val="-2"/>
        </w:rPr>
      </w:pPr>
      <w:r>
        <w:t>La</w:t>
      </w:r>
      <w:r>
        <w:rPr>
          <w:spacing w:val="-8"/>
        </w:rPr>
        <w:t xml:space="preserve"> </w:t>
      </w:r>
      <w:r>
        <w:t>crisis</w:t>
      </w:r>
      <w:r>
        <w:rPr>
          <w:spacing w:val="-8"/>
        </w:rPr>
        <w:t xml:space="preserve"> </w:t>
      </w:r>
      <w:r>
        <w:t>judicial</w:t>
      </w:r>
      <w:r>
        <w:rPr>
          <w:spacing w:val="-8"/>
        </w:rPr>
        <w:t xml:space="preserve"> </w:t>
      </w:r>
      <w:r>
        <w:t>que</w:t>
      </w:r>
      <w:r>
        <w:rPr>
          <w:spacing w:val="-8"/>
        </w:rPr>
        <w:t xml:space="preserve"> </w:t>
      </w:r>
      <w:r>
        <w:t>predomina</w:t>
      </w:r>
      <w:r>
        <w:rPr>
          <w:spacing w:val="-8"/>
        </w:rPr>
        <w:t xml:space="preserve"> </w:t>
      </w:r>
      <w:r>
        <w:t>en</w:t>
      </w:r>
      <w:r>
        <w:rPr>
          <w:spacing w:val="-10"/>
        </w:rPr>
        <w:t xml:space="preserve"> </w:t>
      </w:r>
      <w:r>
        <w:t>la</w:t>
      </w:r>
      <w:r>
        <w:rPr>
          <w:spacing w:val="-8"/>
        </w:rPr>
        <w:t xml:space="preserve"> </w:t>
      </w:r>
      <w:r>
        <w:t>visión</w:t>
      </w:r>
      <w:r>
        <w:rPr>
          <w:spacing w:val="-8"/>
        </w:rPr>
        <w:t xml:space="preserve"> </w:t>
      </w:r>
      <w:r>
        <w:t>social.</w:t>
      </w:r>
      <w:r>
        <w:rPr>
          <w:spacing w:val="-8"/>
        </w:rPr>
        <w:t xml:space="preserve"> </w:t>
      </w:r>
      <w:r>
        <w:t>Por</w:t>
      </w:r>
      <w:r>
        <w:rPr>
          <w:spacing w:val="-8"/>
        </w:rPr>
        <w:t xml:space="preserve"> </w:t>
      </w:r>
      <w:r>
        <w:t>una</w:t>
      </w:r>
      <w:r>
        <w:rPr>
          <w:spacing w:val="-8"/>
        </w:rPr>
        <w:t xml:space="preserve"> </w:t>
      </w:r>
      <w:r>
        <w:t>parte,</w:t>
      </w:r>
      <w:r>
        <w:rPr>
          <w:spacing w:val="-8"/>
        </w:rPr>
        <w:t xml:space="preserve"> </w:t>
      </w:r>
      <w:r>
        <w:t>supone</w:t>
      </w:r>
      <w:r>
        <w:rPr>
          <w:spacing w:val="-8"/>
        </w:rPr>
        <w:t xml:space="preserve"> </w:t>
      </w:r>
      <w:r>
        <w:t>condiciones</w:t>
      </w:r>
      <w:r>
        <w:rPr>
          <w:spacing w:val="-8"/>
        </w:rPr>
        <w:t xml:space="preserve"> </w:t>
      </w:r>
      <w:r>
        <w:t>de hacinamiento</w:t>
      </w:r>
      <w:r>
        <w:rPr>
          <w:spacing w:val="-5"/>
        </w:rPr>
        <w:t xml:space="preserve"> </w:t>
      </w:r>
      <w:r>
        <w:t>que</w:t>
      </w:r>
      <w:r>
        <w:rPr>
          <w:spacing w:val="-5"/>
        </w:rPr>
        <w:t xml:space="preserve"> </w:t>
      </w:r>
      <w:r>
        <w:t>conllevan</w:t>
      </w:r>
      <w:r>
        <w:rPr>
          <w:spacing w:val="-5"/>
        </w:rPr>
        <w:t xml:space="preserve"> </w:t>
      </w:r>
      <w:r>
        <w:t>un</w:t>
      </w:r>
      <w:r>
        <w:rPr>
          <w:spacing w:val="-5"/>
        </w:rPr>
        <w:t xml:space="preserve"> </w:t>
      </w:r>
      <w:r>
        <w:t>trato</w:t>
      </w:r>
      <w:r>
        <w:rPr>
          <w:spacing w:val="-6"/>
        </w:rPr>
        <w:t xml:space="preserve"> </w:t>
      </w:r>
      <w:r>
        <w:t>inhumano</w:t>
      </w:r>
      <w:r>
        <w:rPr>
          <w:spacing w:val="-5"/>
        </w:rPr>
        <w:t xml:space="preserve"> </w:t>
      </w:r>
      <w:r>
        <w:t>y</w:t>
      </w:r>
      <w:r>
        <w:rPr>
          <w:spacing w:val="-6"/>
        </w:rPr>
        <w:t xml:space="preserve"> </w:t>
      </w:r>
      <w:r>
        <w:t>degradante</w:t>
      </w:r>
      <w:r>
        <w:rPr>
          <w:spacing w:val="-6"/>
        </w:rPr>
        <w:t xml:space="preserve"> </w:t>
      </w:r>
      <w:r>
        <w:t>y</w:t>
      </w:r>
      <w:r>
        <w:rPr>
          <w:spacing w:val="-5"/>
        </w:rPr>
        <w:t xml:space="preserve"> </w:t>
      </w:r>
      <w:r>
        <w:t>más</w:t>
      </w:r>
      <w:r>
        <w:rPr>
          <w:spacing w:val="-5"/>
        </w:rPr>
        <w:t xml:space="preserve"> </w:t>
      </w:r>
      <w:r>
        <w:t>que</w:t>
      </w:r>
      <w:r>
        <w:rPr>
          <w:spacing w:val="-6"/>
        </w:rPr>
        <w:t xml:space="preserve"> </w:t>
      </w:r>
      <w:r>
        <w:t>resolver</w:t>
      </w:r>
      <w:r>
        <w:rPr>
          <w:spacing w:val="-6"/>
        </w:rPr>
        <w:t xml:space="preserve"> </w:t>
      </w:r>
      <w:r>
        <w:t>el</w:t>
      </w:r>
      <w:r>
        <w:rPr>
          <w:spacing w:val="-4"/>
        </w:rPr>
        <w:t xml:space="preserve"> </w:t>
      </w:r>
      <w:r>
        <w:t>problema en la situación de las cárceles se reafirman redes criminales. En los mecanismos de sometimiento</w:t>
      </w:r>
      <w:r>
        <w:rPr>
          <w:spacing w:val="-3"/>
        </w:rPr>
        <w:t xml:space="preserve"> </w:t>
      </w:r>
      <w:r>
        <w:t>a</w:t>
      </w:r>
      <w:r>
        <w:rPr>
          <w:spacing w:val="-3"/>
        </w:rPr>
        <w:t xml:space="preserve"> </w:t>
      </w:r>
      <w:r>
        <w:t>la</w:t>
      </w:r>
      <w:r>
        <w:rPr>
          <w:spacing w:val="-3"/>
        </w:rPr>
        <w:t xml:space="preserve"> </w:t>
      </w:r>
      <w:r>
        <w:t>justicia</w:t>
      </w:r>
      <w:r>
        <w:rPr>
          <w:spacing w:val="-3"/>
        </w:rPr>
        <w:t xml:space="preserve"> </w:t>
      </w:r>
      <w:r>
        <w:t>referidos</w:t>
      </w:r>
      <w:r>
        <w:rPr>
          <w:spacing w:val="-3"/>
        </w:rPr>
        <w:t xml:space="preserve"> </w:t>
      </w:r>
      <w:r>
        <w:t>por</w:t>
      </w:r>
      <w:r>
        <w:rPr>
          <w:spacing w:val="-3"/>
        </w:rPr>
        <w:t xml:space="preserve"> </w:t>
      </w:r>
      <w:r>
        <w:t>la</w:t>
      </w:r>
      <w:r>
        <w:rPr>
          <w:spacing w:val="-3"/>
        </w:rPr>
        <w:t xml:space="preserve"> </w:t>
      </w:r>
      <w:r>
        <w:t>Comisión</w:t>
      </w:r>
      <w:r>
        <w:rPr>
          <w:spacing w:val="-3"/>
        </w:rPr>
        <w:t xml:space="preserve"> </w:t>
      </w:r>
      <w:r>
        <w:t>también</w:t>
      </w:r>
      <w:r>
        <w:rPr>
          <w:spacing w:val="-5"/>
        </w:rPr>
        <w:t xml:space="preserve"> </w:t>
      </w:r>
      <w:r>
        <w:t>deben</w:t>
      </w:r>
      <w:r>
        <w:rPr>
          <w:spacing w:val="-3"/>
        </w:rPr>
        <w:t xml:space="preserve"> </w:t>
      </w:r>
      <w:r>
        <w:t>ser</w:t>
      </w:r>
      <w:r>
        <w:rPr>
          <w:spacing w:val="-4"/>
        </w:rPr>
        <w:t xml:space="preserve"> </w:t>
      </w:r>
      <w:r>
        <w:t>tenidos</w:t>
      </w:r>
      <w:r>
        <w:rPr>
          <w:spacing w:val="-3"/>
        </w:rPr>
        <w:t xml:space="preserve"> </w:t>
      </w:r>
      <w:r>
        <w:t>en</w:t>
      </w:r>
      <w:r>
        <w:rPr>
          <w:spacing w:val="-3"/>
        </w:rPr>
        <w:t xml:space="preserve"> </w:t>
      </w:r>
      <w:r>
        <w:t>cuenta</w:t>
      </w:r>
      <w:r>
        <w:rPr>
          <w:spacing w:val="-3"/>
        </w:rPr>
        <w:t xml:space="preserve"> </w:t>
      </w:r>
      <w:r>
        <w:t xml:space="preserve">las </w:t>
      </w:r>
      <w:r>
        <w:rPr>
          <w:spacing w:val="-2"/>
        </w:rPr>
        <w:t>cárceles.</w:t>
      </w:r>
    </w:p>
    <w:p w:rsidR="005E6E17" w:rsidRDefault="005E6E17" w:rsidP="005E6E17">
      <w:pPr>
        <w:pStyle w:val="Ttulo4"/>
      </w:pPr>
      <w:r>
        <w:t>“Muchas reformas, pero menos impactos</w:t>
      </w:r>
    </w:p>
    <w:p w:rsidR="005E6E17" w:rsidRDefault="005E6E17" w:rsidP="005E6E17">
      <w:r>
        <w:t>Desde mediados del siglo pasado, la justicia, con apoyo de los poderes ejecutivo y legislativo, ha impulsado múltiples cambios institucionales para procesar las conductas del conflicto armado. Es notable la acumulación de normatividad y jurisprudencia para atender a las víctimas y para sancionar violaciones de derechos humanos e infracciones al DIH, pero también lo es la ausencia de responsabilidades auténticas e integrales por lo ocurrido.</w:t>
      </w:r>
    </w:p>
    <w:p w:rsidR="003804AC" w:rsidRDefault="005E6E17" w:rsidP="005E6E17">
      <w:r>
        <w:t xml:space="preserve">La justicia internacional ha conocido cientos de casos en los que ha habido denegación de los derechos básicos. Esto ha implicado decenas de sentencias de la Corte Interamericana por </w:t>
      </w:r>
      <w:r w:rsidR="00AF18A5">
        <w:t>violaciones</w:t>
      </w:r>
      <w:r w:rsidR="00AF18A5">
        <w:rPr>
          <w:spacing w:val="-12"/>
        </w:rPr>
        <w:t xml:space="preserve"> </w:t>
      </w:r>
      <w:r w:rsidR="00AF18A5">
        <w:t>de</w:t>
      </w:r>
      <w:r w:rsidR="00AF18A5">
        <w:rPr>
          <w:spacing w:val="-9"/>
        </w:rPr>
        <w:t xml:space="preserve"> </w:t>
      </w:r>
      <w:r w:rsidR="00AF18A5">
        <w:t>derechos</w:t>
      </w:r>
      <w:r w:rsidR="00AF18A5">
        <w:rPr>
          <w:spacing w:val="-12"/>
        </w:rPr>
        <w:t xml:space="preserve"> </w:t>
      </w:r>
      <w:r w:rsidR="00AF18A5">
        <w:t>humanos</w:t>
      </w:r>
      <w:r w:rsidR="00AF18A5">
        <w:rPr>
          <w:spacing w:val="-9"/>
        </w:rPr>
        <w:t xml:space="preserve"> </w:t>
      </w:r>
      <w:r w:rsidR="00AF18A5">
        <w:t>y</w:t>
      </w:r>
      <w:r w:rsidR="00AF18A5">
        <w:rPr>
          <w:spacing w:val="-11"/>
        </w:rPr>
        <w:t xml:space="preserve"> </w:t>
      </w:r>
      <w:r w:rsidR="00AF18A5">
        <w:t>centenas</w:t>
      </w:r>
      <w:r w:rsidR="00AF18A5">
        <w:rPr>
          <w:spacing w:val="-10"/>
        </w:rPr>
        <w:t xml:space="preserve"> </w:t>
      </w:r>
      <w:r w:rsidR="00AF18A5">
        <w:t>de</w:t>
      </w:r>
      <w:r w:rsidR="00AF18A5">
        <w:rPr>
          <w:spacing w:val="-10"/>
        </w:rPr>
        <w:t xml:space="preserve"> </w:t>
      </w:r>
      <w:r w:rsidR="00AF18A5">
        <w:t>resoluciones</w:t>
      </w:r>
      <w:r w:rsidR="00AF18A5">
        <w:rPr>
          <w:spacing w:val="-11"/>
        </w:rPr>
        <w:t xml:space="preserve"> </w:t>
      </w:r>
      <w:r w:rsidR="00AF18A5">
        <w:t>de</w:t>
      </w:r>
      <w:r w:rsidR="00AF18A5">
        <w:rPr>
          <w:spacing w:val="-9"/>
        </w:rPr>
        <w:t xml:space="preserve"> </w:t>
      </w:r>
      <w:r w:rsidR="00AF18A5">
        <w:t>órganos</w:t>
      </w:r>
      <w:r w:rsidR="00AF18A5">
        <w:rPr>
          <w:spacing w:val="-9"/>
        </w:rPr>
        <w:t xml:space="preserve"> </w:t>
      </w:r>
      <w:r w:rsidR="00AF18A5">
        <w:t>de</w:t>
      </w:r>
      <w:r w:rsidR="00AF18A5">
        <w:rPr>
          <w:spacing w:val="-9"/>
        </w:rPr>
        <w:t xml:space="preserve"> </w:t>
      </w:r>
      <w:r w:rsidR="00AF18A5">
        <w:t>Naciones</w:t>
      </w:r>
      <w:r w:rsidR="00AF18A5">
        <w:rPr>
          <w:spacing w:val="-10"/>
        </w:rPr>
        <w:t xml:space="preserve"> </w:t>
      </w:r>
      <w:r w:rsidR="00AF18A5">
        <w:t>Unidas y</w:t>
      </w:r>
      <w:r w:rsidR="00AF18A5">
        <w:rPr>
          <w:spacing w:val="-2"/>
        </w:rPr>
        <w:t xml:space="preserve"> </w:t>
      </w:r>
      <w:r w:rsidR="00AF18A5">
        <w:t>de</w:t>
      </w:r>
      <w:r w:rsidR="00AF18A5">
        <w:rPr>
          <w:spacing w:val="-2"/>
        </w:rPr>
        <w:t xml:space="preserve"> </w:t>
      </w:r>
      <w:r w:rsidR="00AF18A5">
        <w:t>la</w:t>
      </w:r>
      <w:r w:rsidR="00AF18A5">
        <w:rPr>
          <w:spacing w:val="-2"/>
        </w:rPr>
        <w:t xml:space="preserve"> </w:t>
      </w:r>
      <w:r w:rsidR="00AF18A5">
        <w:t>Comisión</w:t>
      </w:r>
      <w:r w:rsidR="00AF18A5">
        <w:rPr>
          <w:spacing w:val="-2"/>
        </w:rPr>
        <w:t xml:space="preserve"> </w:t>
      </w:r>
      <w:r w:rsidR="00AF18A5">
        <w:t>Interamericana.</w:t>
      </w:r>
      <w:r w:rsidR="00AF18A5">
        <w:rPr>
          <w:spacing w:val="-2"/>
        </w:rPr>
        <w:t xml:space="preserve"> </w:t>
      </w:r>
      <w:r w:rsidR="00AF18A5">
        <w:t>Gran</w:t>
      </w:r>
      <w:r w:rsidR="00AF18A5">
        <w:rPr>
          <w:spacing w:val="-2"/>
        </w:rPr>
        <w:t xml:space="preserve"> </w:t>
      </w:r>
      <w:r w:rsidR="00AF18A5">
        <w:t>parte</w:t>
      </w:r>
      <w:r w:rsidR="00AF18A5">
        <w:rPr>
          <w:spacing w:val="-2"/>
        </w:rPr>
        <w:t xml:space="preserve"> </w:t>
      </w:r>
      <w:r w:rsidR="00AF18A5">
        <w:t>de</w:t>
      </w:r>
      <w:r w:rsidR="00AF18A5">
        <w:rPr>
          <w:spacing w:val="-2"/>
        </w:rPr>
        <w:t xml:space="preserve"> </w:t>
      </w:r>
      <w:r w:rsidR="00AF18A5">
        <w:t>esas</w:t>
      </w:r>
      <w:r w:rsidR="00AF18A5">
        <w:rPr>
          <w:spacing w:val="-2"/>
        </w:rPr>
        <w:t xml:space="preserve"> </w:t>
      </w:r>
      <w:r w:rsidR="00AF18A5">
        <w:t>decisiones</w:t>
      </w:r>
      <w:r w:rsidR="00AF18A5">
        <w:rPr>
          <w:spacing w:val="-2"/>
        </w:rPr>
        <w:t xml:space="preserve"> </w:t>
      </w:r>
      <w:r w:rsidR="00AF18A5">
        <w:t>se</w:t>
      </w:r>
      <w:r w:rsidR="00AF18A5">
        <w:rPr>
          <w:spacing w:val="-2"/>
        </w:rPr>
        <w:t xml:space="preserve"> </w:t>
      </w:r>
      <w:r w:rsidR="00AF18A5">
        <w:t>dieron</w:t>
      </w:r>
      <w:r w:rsidR="00AF18A5">
        <w:rPr>
          <w:spacing w:val="-2"/>
        </w:rPr>
        <w:t xml:space="preserve"> </w:t>
      </w:r>
      <w:r w:rsidR="00AF18A5">
        <w:t>gracias</w:t>
      </w:r>
      <w:r w:rsidR="00AF18A5">
        <w:rPr>
          <w:spacing w:val="-2"/>
        </w:rPr>
        <w:t xml:space="preserve"> </w:t>
      </w:r>
      <w:r w:rsidR="00AF18A5">
        <w:t>al</w:t>
      </w:r>
      <w:r w:rsidR="00AF18A5">
        <w:rPr>
          <w:spacing w:val="-2"/>
        </w:rPr>
        <w:t xml:space="preserve"> </w:t>
      </w:r>
      <w:r w:rsidR="00AF18A5">
        <w:t xml:space="preserve">impulso de víctimas que no tuvieron respuestas en el país. En </w:t>
      </w:r>
      <w:r w:rsidR="00AF18A5">
        <w:lastRenderedPageBreak/>
        <w:t>términos de justicia, sin embargo, el nivel de cumplimiento de esas sentencias y recomendaciones es muy escaso.</w:t>
      </w:r>
    </w:p>
    <w:p w:rsidR="0011361F" w:rsidRDefault="00AF18A5" w:rsidP="005E6E17">
      <w:r>
        <w:t>La Constitución Política de 1991 nació en un escenario de negociación con algunas guerrillas y bajo un impulso ciudadano que buscaba sacudirse décadas de estrechez democrática</w:t>
      </w:r>
      <w:r>
        <w:rPr>
          <w:spacing w:val="-7"/>
        </w:rPr>
        <w:t xml:space="preserve"> </w:t>
      </w:r>
      <w:r>
        <w:t>y</w:t>
      </w:r>
      <w:r>
        <w:rPr>
          <w:spacing w:val="-7"/>
        </w:rPr>
        <w:t xml:space="preserve"> </w:t>
      </w:r>
      <w:r>
        <w:t>uso</w:t>
      </w:r>
      <w:r>
        <w:rPr>
          <w:spacing w:val="-7"/>
        </w:rPr>
        <w:t xml:space="preserve"> </w:t>
      </w:r>
      <w:r>
        <w:t>del</w:t>
      </w:r>
      <w:r>
        <w:rPr>
          <w:spacing w:val="-7"/>
        </w:rPr>
        <w:t xml:space="preserve"> </w:t>
      </w:r>
      <w:r>
        <w:t>estado</w:t>
      </w:r>
      <w:r>
        <w:rPr>
          <w:spacing w:val="-7"/>
        </w:rPr>
        <w:t xml:space="preserve"> </w:t>
      </w:r>
      <w:r>
        <w:t>de</w:t>
      </w:r>
      <w:r>
        <w:rPr>
          <w:spacing w:val="-7"/>
        </w:rPr>
        <w:t xml:space="preserve"> </w:t>
      </w:r>
      <w:r>
        <w:t>sitio.</w:t>
      </w:r>
      <w:r>
        <w:rPr>
          <w:spacing w:val="-7"/>
        </w:rPr>
        <w:t xml:space="preserve"> </w:t>
      </w:r>
      <w:r>
        <w:t>Desde</w:t>
      </w:r>
      <w:r>
        <w:rPr>
          <w:spacing w:val="-7"/>
        </w:rPr>
        <w:t xml:space="preserve"> </w:t>
      </w:r>
      <w:r>
        <w:t>entonces,</w:t>
      </w:r>
      <w:r>
        <w:rPr>
          <w:spacing w:val="-7"/>
        </w:rPr>
        <w:t xml:space="preserve"> </w:t>
      </w:r>
      <w:r>
        <w:t>el</w:t>
      </w:r>
      <w:r>
        <w:rPr>
          <w:spacing w:val="-7"/>
        </w:rPr>
        <w:t xml:space="preserve"> </w:t>
      </w:r>
      <w:r>
        <w:t>texto</w:t>
      </w:r>
      <w:r>
        <w:rPr>
          <w:spacing w:val="-7"/>
        </w:rPr>
        <w:t xml:space="preserve"> </w:t>
      </w:r>
      <w:r>
        <w:t>constitucional</w:t>
      </w:r>
      <w:r>
        <w:rPr>
          <w:spacing w:val="-7"/>
        </w:rPr>
        <w:t xml:space="preserve"> </w:t>
      </w:r>
      <w:r>
        <w:t>y</w:t>
      </w:r>
      <w:r>
        <w:rPr>
          <w:spacing w:val="-7"/>
        </w:rPr>
        <w:t xml:space="preserve"> </w:t>
      </w:r>
      <w:r>
        <w:t>sus</w:t>
      </w:r>
      <w:r>
        <w:rPr>
          <w:spacing w:val="-7"/>
        </w:rPr>
        <w:t xml:space="preserve"> </w:t>
      </w:r>
      <w:r>
        <w:t>múltiples adaptaciones</w:t>
      </w:r>
      <w:r>
        <w:rPr>
          <w:spacing w:val="-15"/>
        </w:rPr>
        <w:t xml:space="preserve"> </w:t>
      </w:r>
      <w:r>
        <w:t>han</w:t>
      </w:r>
      <w:r>
        <w:rPr>
          <w:spacing w:val="-15"/>
        </w:rPr>
        <w:t xml:space="preserve"> </w:t>
      </w:r>
      <w:r>
        <w:t>estado</w:t>
      </w:r>
      <w:r>
        <w:rPr>
          <w:spacing w:val="-15"/>
        </w:rPr>
        <w:t xml:space="preserve"> </w:t>
      </w:r>
      <w:r>
        <w:t>inspirados</w:t>
      </w:r>
      <w:r>
        <w:rPr>
          <w:spacing w:val="-15"/>
        </w:rPr>
        <w:t xml:space="preserve"> </w:t>
      </w:r>
      <w:r>
        <w:t>en</w:t>
      </w:r>
      <w:r>
        <w:rPr>
          <w:spacing w:val="-15"/>
        </w:rPr>
        <w:t xml:space="preserve"> </w:t>
      </w:r>
      <w:r>
        <w:t>dar</w:t>
      </w:r>
      <w:r>
        <w:rPr>
          <w:spacing w:val="-15"/>
        </w:rPr>
        <w:t xml:space="preserve"> </w:t>
      </w:r>
      <w:r>
        <w:t>respuesta</w:t>
      </w:r>
      <w:r>
        <w:rPr>
          <w:spacing w:val="-15"/>
        </w:rPr>
        <w:t xml:space="preserve"> </w:t>
      </w:r>
      <w:r>
        <w:t>al</w:t>
      </w:r>
      <w:r>
        <w:rPr>
          <w:spacing w:val="-15"/>
        </w:rPr>
        <w:t xml:space="preserve"> </w:t>
      </w:r>
      <w:r>
        <w:t>conflicto</w:t>
      </w:r>
      <w:r>
        <w:rPr>
          <w:spacing w:val="-15"/>
        </w:rPr>
        <w:t xml:space="preserve"> </w:t>
      </w:r>
      <w:r>
        <w:t>armado.</w:t>
      </w:r>
      <w:r>
        <w:rPr>
          <w:spacing w:val="-15"/>
        </w:rPr>
        <w:t xml:space="preserve"> </w:t>
      </w:r>
      <w:r>
        <w:t>Aun</w:t>
      </w:r>
      <w:r>
        <w:rPr>
          <w:spacing w:val="-15"/>
        </w:rPr>
        <w:t xml:space="preserve"> </w:t>
      </w:r>
      <w:r>
        <w:t>cuando</w:t>
      </w:r>
      <w:r>
        <w:rPr>
          <w:spacing w:val="-15"/>
        </w:rPr>
        <w:t xml:space="preserve"> </w:t>
      </w:r>
      <w:r>
        <w:t>muchos de los estándares jurídicos adoptados en el país han sido valiosos, otros han sido deliberadamente tardíos en comparación con el ritmo de los fenómenos criminales relacionados con el conflicto armado. El delito de desaparición forzada, por ejemplo, solo fue tipificado en el</w:t>
      </w:r>
      <w:r>
        <w:rPr>
          <w:spacing w:val="-1"/>
        </w:rPr>
        <w:t xml:space="preserve"> </w:t>
      </w:r>
      <w:r>
        <w:t>año</w:t>
      </w:r>
      <w:r>
        <w:rPr>
          <w:spacing w:val="-1"/>
        </w:rPr>
        <w:t xml:space="preserve"> </w:t>
      </w:r>
      <w:r>
        <w:t>2001 –esto</w:t>
      </w:r>
      <w:r>
        <w:rPr>
          <w:spacing w:val="-1"/>
        </w:rPr>
        <w:t xml:space="preserve"> </w:t>
      </w:r>
      <w:r>
        <w:t>en un país</w:t>
      </w:r>
      <w:r>
        <w:rPr>
          <w:spacing w:val="-1"/>
        </w:rPr>
        <w:t xml:space="preserve"> </w:t>
      </w:r>
      <w:r>
        <w:t>que tiene más</w:t>
      </w:r>
      <w:r>
        <w:rPr>
          <w:spacing w:val="-1"/>
        </w:rPr>
        <w:t xml:space="preserve"> </w:t>
      </w:r>
      <w:r>
        <w:t>de 120.000</w:t>
      </w:r>
      <w:r>
        <w:rPr>
          <w:spacing w:val="-1"/>
        </w:rPr>
        <w:t xml:space="preserve"> </w:t>
      </w:r>
      <w:r>
        <w:t>desaparecidos entre 1985</w:t>
      </w:r>
      <w:r>
        <w:rPr>
          <w:spacing w:val="-15"/>
        </w:rPr>
        <w:t xml:space="preserve"> </w:t>
      </w:r>
      <w:r>
        <w:t>y</w:t>
      </w:r>
      <w:r>
        <w:rPr>
          <w:spacing w:val="-15"/>
        </w:rPr>
        <w:t xml:space="preserve"> </w:t>
      </w:r>
      <w:r>
        <w:t>2016–.</w:t>
      </w:r>
      <w:r>
        <w:rPr>
          <w:spacing w:val="-15"/>
        </w:rPr>
        <w:t xml:space="preserve"> </w:t>
      </w:r>
      <w:r>
        <w:t>Para</w:t>
      </w:r>
      <w:r>
        <w:rPr>
          <w:spacing w:val="-15"/>
        </w:rPr>
        <w:t xml:space="preserve"> </w:t>
      </w:r>
      <w:r>
        <w:t>poner</w:t>
      </w:r>
      <w:r>
        <w:rPr>
          <w:spacing w:val="-15"/>
        </w:rPr>
        <w:t xml:space="preserve"> </w:t>
      </w:r>
      <w:r>
        <w:t>otro</w:t>
      </w:r>
      <w:r>
        <w:rPr>
          <w:spacing w:val="-15"/>
        </w:rPr>
        <w:t xml:space="preserve"> </w:t>
      </w:r>
      <w:r>
        <w:t>ejemplo,</w:t>
      </w:r>
      <w:r>
        <w:rPr>
          <w:spacing w:val="-15"/>
        </w:rPr>
        <w:t xml:space="preserve"> </w:t>
      </w:r>
      <w:r>
        <w:t>solo</w:t>
      </w:r>
      <w:r>
        <w:rPr>
          <w:spacing w:val="-15"/>
        </w:rPr>
        <w:t xml:space="preserve"> </w:t>
      </w:r>
      <w:r>
        <w:t>en</w:t>
      </w:r>
      <w:r>
        <w:rPr>
          <w:spacing w:val="-15"/>
        </w:rPr>
        <w:t xml:space="preserve"> </w:t>
      </w:r>
      <w:r>
        <w:t>1994</w:t>
      </w:r>
      <w:r>
        <w:rPr>
          <w:spacing w:val="-15"/>
        </w:rPr>
        <w:t xml:space="preserve"> </w:t>
      </w:r>
      <w:r>
        <w:t>la</w:t>
      </w:r>
      <w:r>
        <w:rPr>
          <w:spacing w:val="-15"/>
        </w:rPr>
        <w:t xml:space="preserve"> </w:t>
      </w:r>
      <w:r>
        <w:t>ley</w:t>
      </w:r>
      <w:r>
        <w:rPr>
          <w:spacing w:val="-15"/>
        </w:rPr>
        <w:t xml:space="preserve"> </w:t>
      </w:r>
      <w:r>
        <w:t>171</w:t>
      </w:r>
      <w:r>
        <w:rPr>
          <w:spacing w:val="-15"/>
        </w:rPr>
        <w:t xml:space="preserve"> </w:t>
      </w:r>
      <w:r>
        <w:t>aprobó</w:t>
      </w:r>
      <w:r>
        <w:rPr>
          <w:spacing w:val="-15"/>
        </w:rPr>
        <w:t xml:space="preserve"> </w:t>
      </w:r>
      <w:r>
        <w:t>el</w:t>
      </w:r>
      <w:r>
        <w:rPr>
          <w:spacing w:val="-15"/>
        </w:rPr>
        <w:t xml:space="preserve"> </w:t>
      </w:r>
      <w:r>
        <w:t>Protocolo</w:t>
      </w:r>
      <w:r>
        <w:rPr>
          <w:spacing w:val="-15"/>
        </w:rPr>
        <w:t xml:space="preserve"> </w:t>
      </w:r>
      <w:r>
        <w:t>Adicional a</w:t>
      </w:r>
      <w:r>
        <w:rPr>
          <w:spacing w:val="-7"/>
        </w:rPr>
        <w:t xml:space="preserve"> </w:t>
      </w:r>
      <w:r>
        <w:t>los</w:t>
      </w:r>
      <w:r>
        <w:rPr>
          <w:spacing w:val="-7"/>
        </w:rPr>
        <w:t xml:space="preserve"> </w:t>
      </w:r>
      <w:r>
        <w:t>Convenios</w:t>
      </w:r>
      <w:r>
        <w:rPr>
          <w:spacing w:val="-7"/>
        </w:rPr>
        <w:t xml:space="preserve"> </w:t>
      </w:r>
      <w:r>
        <w:t>de</w:t>
      </w:r>
      <w:r>
        <w:rPr>
          <w:spacing w:val="-8"/>
        </w:rPr>
        <w:t xml:space="preserve"> </w:t>
      </w:r>
      <w:r>
        <w:t>Ginebra</w:t>
      </w:r>
      <w:r>
        <w:rPr>
          <w:spacing w:val="-7"/>
        </w:rPr>
        <w:t xml:space="preserve"> </w:t>
      </w:r>
      <w:r>
        <w:t>relativo</w:t>
      </w:r>
      <w:r>
        <w:rPr>
          <w:spacing w:val="-9"/>
        </w:rPr>
        <w:t xml:space="preserve"> </w:t>
      </w:r>
      <w:r>
        <w:t>a</w:t>
      </w:r>
      <w:r>
        <w:rPr>
          <w:spacing w:val="-7"/>
        </w:rPr>
        <w:t xml:space="preserve"> </w:t>
      </w:r>
      <w:r>
        <w:t>la</w:t>
      </w:r>
      <w:r>
        <w:rPr>
          <w:spacing w:val="-7"/>
        </w:rPr>
        <w:t xml:space="preserve"> </w:t>
      </w:r>
      <w:r>
        <w:t>protección</w:t>
      </w:r>
      <w:r>
        <w:rPr>
          <w:spacing w:val="-7"/>
        </w:rPr>
        <w:t xml:space="preserve"> </w:t>
      </w:r>
      <w:r>
        <w:t>de</w:t>
      </w:r>
      <w:r>
        <w:rPr>
          <w:spacing w:val="-8"/>
        </w:rPr>
        <w:t xml:space="preserve"> </w:t>
      </w:r>
      <w:r>
        <w:t>las</w:t>
      </w:r>
      <w:r>
        <w:rPr>
          <w:spacing w:val="-7"/>
        </w:rPr>
        <w:t xml:space="preserve"> </w:t>
      </w:r>
      <w:r>
        <w:t>víctimas</w:t>
      </w:r>
      <w:r>
        <w:rPr>
          <w:spacing w:val="-7"/>
        </w:rPr>
        <w:t xml:space="preserve"> </w:t>
      </w:r>
      <w:r>
        <w:t>de</w:t>
      </w:r>
      <w:r>
        <w:rPr>
          <w:spacing w:val="-7"/>
        </w:rPr>
        <w:t xml:space="preserve"> </w:t>
      </w:r>
      <w:r>
        <w:t>los</w:t>
      </w:r>
      <w:r>
        <w:rPr>
          <w:spacing w:val="-8"/>
        </w:rPr>
        <w:t xml:space="preserve"> </w:t>
      </w:r>
      <w:r>
        <w:t>conflictos</w:t>
      </w:r>
      <w:r>
        <w:rPr>
          <w:spacing w:val="-8"/>
        </w:rPr>
        <w:t xml:space="preserve"> </w:t>
      </w:r>
      <w:r>
        <w:t>armados sin</w:t>
      </w:r>
      <w:r>
        <w:rPr>
          <w:spacing w:val="-9"/>
        </w:rPr>
        <w:t xml:space="preserve"> </w:t>
      </w:r>
      <w:r>
        <w:t>carácter</w:t>
      </w:r>
      <w:r>
        <w:rPr>
          <w:spacing w:val="-10"/>
        </w:rPr>
        <w:t xml:space="preserve"> </w:t>
      </w:r>
      <w:r>
        <w:t>internacional</w:t>
      </w:r>
      <w:r>
        <w:rPr>
          <w:spacing w:val="-10"/>
        </w:rPr>
        <w:t xml:space="preserve"> </w:t>
      </w:r>
      <w:r>
        <w:t>(disponible</w:t>
      </w:r>
      <w:r>
        <w:rPr>
          <w:spacing w:val="-10"/>
        </w:rPr>
        <w:t xml:space="preserve"> </w:t>
      </w:r>
      <w:r>
        <w:t>para</w:t>
      </w:r>
      <w:r>
        <w:rPr>
          <w:spacing w:val="-9"/>
        </w:rPr>
        <w:t xml:space="preserve"> </w:t>
      </w:r>
      <w:r>
        <w:t>la</w:t>
      </w:r>
      <w:r>
        <w:rPr>
          <w:spacing w:val="-9"/>
        </w:rPr>
        <w:t xml:space="preserve"> </w:t>
      </w:r>
      <w:r>
        <w:t>ratificación</w:t>
      </w:r>
      <w:r>
        <w:rPr>
          <w:spacing w:val="-9"/>
        </w:rPr>
        <w:t xml:space="preserve"> </w:t>
      </w:r>
      <w:r>
        <w:t>desde</w:t>
      </w:r>
      <w:r>
        <w:rPr>
          <w:spacing w:val="-10"/>
        </w:rPr>
        <w:t xml:space="preserve"> </w:t>
      </w:r>
      <w:r>
        <w:t>1977),</w:t>
      </w:r>
      <w:r>
        <w:rPr>
          <w:spacing w:val="-9"/>
        </w:rPr>
        <w:t xml:space="preserve"> </w:t>
      </w:r>
      <w:r>
        <w:t>en</w:t>
      </w:r>
      <w:r>
        <w:rPr>
          <w:spacing w:val="-9"/>
        </w:rPr>
        <w:t xml:space="preserve"> </w:t>
      </w:r>
      <w:r>
        <w:t>un</w:t>
      </w:r>
      <w:r>
        <w:rPr>
          <w:spacing w:val="-9"/>
        </w:rPr>
        <w:t xml:space="preserve"> </w:t>
      </w:r>
      <w:r>
        <w:t>país</w:t>
      </w:r>
      <w:r>
        <w:rPr>
          <w:spacing w:val="-9"/>
        </w:rPr>
        <w:t xml:space="preserve"> </w:t>
      </w:r>
      <w:r>
        <w:t>que</w:t>
      </w:r>
      <w:r>
        <w:rPr>
          <w:spacing w:val="-10"/>
        </w:rPr>
        <w:t xml:space="preserve"> </w:t>
      </w:r>
      <w:r>
        <w:t>tuvo</w:t>
      </w:r>
      <w:r>
        <w:rPr>
          <w:spacing w:val="-9"/>
        </w:rPr>
        <w:t xml:space="preserve"> </w:t>
      </w:r>
      <w:r>
        <w:t>un conflicto armado desde los años sesenta</w:t>
      </w:r>
    </w:p>
    <w:p w:rsidR="0011361F" w:rsidRDefault="00AF18A5" w:rsidP="005E6E17">
      <w:r>
        <w:t>La Jurisdicción Ordinaria, en cabeza de la Corte Suprema, ha procesado diferentes actos criminales</w:t>
      </w:r>
      <w:r>
        <w:rPr>
          <w:spacing w:val="-15"/>
        </w:rPr>
        <w:t xml:space="preserve"> </w:t>
      </w:r>
      <w:r>
        <w:t>del</w:t>
      </w:r>
      <w:r>
        <w:rPr>
          <w:spacing w:val="-15"/>
        </w:rPr>
        <w:t xml:space="preserve"> </w:t>
      </w:r>
      <w:r>
        <w:t>conflicto</w:t>
      </w:r>
      <w:r>
        <w:rPr>
          <w:spacing w:val="-15"/>
        </w:rPr>
        <w:t xml:space="preserve"> </w:t>
      </w:r>
      <w:r>
        <w:t>armado</w:t>
      </w:r>
      <w:r>
        <w:rPr>
          <w:spacing w:val="-15"/>
        </w:rPr>
        <w:t xml:space="preserve"> </w:t>
      </w:r>
      <w:r>
        <w:t>y</w:t>
      </w:r>
      <w:r>
        <w:rPr>
          <w:spacing w:val="-15"/>
        </w:rPr>
        <w:t xml:space="preserve"> </w:t>
      </w:r>
      <w:r>
        <w:t>ha</w:t>
      </w:r>
      <w:r>
        <w:rPr>
          <w:spacing w:val="-15"/>
        </w:rPr>
        <w:t xml:space="preserve"> </w:t>
      </w:r>
      <w:r>
        <w:t>sentado</w:t>
      </w:r>
      <w:r>
        <w:rPr>
          <w:spacing w:val="-15"/>
        </w:rPr>
        <w:t xml:space="preserve"> </w:t>
      </w:r>
      <w:r>
        <w:t>jurisprudencia</w:t>
      </w:r>
      <w:r>
        <w:rPr>
          <w:spacing w:val="-15"/>
        </w:rPr>
        <w:t xml:space="preserve"> </w:t>
      </w:r>
      <w:r>
        <w:t>frente</w:t>
      </w:r>
      <w:r>
        <w:rPr>
          <w:spacing w:val="-15"/>
        </w:rPr>
        <w:t xml:space="preserve"> </w:t>
      </w:r>
      <w:r>
        <w:t>a</w:t>
      </w:r>
      <w:r>
        <w:rPr>
          <w:spacing w:val="-15"/>
        </w:rPr>
        <w:t xml:space="preserve"> </w:t>
      </w:r>
      <w:r>
        <w:t>casos</w:t>
      </w:r>
      <w:r>
        <w:rPr>
          <w:spacing w:val="-15"/>
        </w:rPr>
        <w:t xml:space="preserve"> </w:t>
      </w:r>
      <w:r>
        <w:t>tan</w:t>
      </w:r>
      <w:r>
        <w:rPr>
          <w:spacing w:val="-15"/>
        </w:rPr>
        <w:t xml:space="preserve"> </w:t>
      </w:r>
      <w:r>
        <w:t>decisivos</w:t>
      </w:r>
      <w:r>
        <w:rPr>
          <w:spacing w:val="-15"/>
        </w:rPr>
        <w:t xml:space="preserve"> </w:t>
      </w:r>
      <w:r>
        <w:t>como la</w:t>
      </w:r>
      <w:r>
        <w:rPr>
          <w:spacing w:val="-5"/>
        </w:rPr>
        <w:t xml:space="preserve"> </w:t>
      </w:r>
      <w:r>
        <w:t>parapolítica,</w:t>
      </w:r>
      <w:r>
        <w:rPr>
          <w:spacing w:val="-5"/>
        </w:rPr>
        <w:t xml:space="preserve"> </w:t>
      </w:r>
      <w:r>
        <w:t>el</w:t>
      </w:r>
      <w:r>
        <w:rPr>
          <w:spacing w:val="-4"/>
        </w:rPr>
        <w:t xml:space="preserve"> </w:t>
      </w:r>
      <w:r>
        <w:t>espionaje</w:t>
      </w:r>
      <w:r>
        <w:rPr>
          <w:spacing w:val="-5"/>
        </w:rPr>
        <w:t xml:space="preserve"> </w:t>
      </w:r>
      <w:r>
        <w:t>y</w:t>
      </w:r>
      <w:r>
        <w:rPr>
          <w:spacing w:val="-5"/>
        </w:rPr>
        <w:t xml:space="preserve"> </w:t>
      </w:r>
      <w:r>
        <w:t>hostigamiento</w:t>
      </w:r>
      <w:r>
        <w:rPr>
          <w:spacing w:val="-5"/>
        </w:rPr>
        <w:t xml:space="preserve"> </w:t>
      </w:r>
      <w:r>
        <w:t>de</w:t>
      </w:r>
      <w:r>
        <w:rPr>
          <w:spacing w:val="-5"/>
        </w:rPr>
        <w:t xml:space="preserve"> </w:t>
      </w:r>
      <w:r>
        <w:t>sectores</w:t>
      </w:r>
      <w:r>
        <w:rPr>
          <w:spacing w:val="-5"/>
        </w:rPr>
        <w:t xml:space="preserve"> </w:t>
      </w:r>
      <w:r>
        <w:t>civiles</w:t>
      </w:r>
      <w:r>
        <w:rPr>
          <w:spacing w:val="-5"/>
        </w:rPr>
        <w:t xml:space="preserve"> </w:t>
      </w:r>
      <w:r>
        <w:t>por</w:t>
      </w:r>
      <w:r>
        <w:rPr>
          <w:spacing w:val="-4"/>
        </w:rPr>
        <w:t xml:space="preserve"> </w:t>
      </w:r>
      <w:r>
        <w:t>órganos</w:t>
      </w:r>
      <w:r>
        <w:rPr>
          <w:spacing w:val="-5"/>
        </w:rPr>
        <w:t xml:space="preserve"> </w:t>
      </w:r>
      <w:r>
        <w:t>de</w:t>
      </w:r>
      <w:r>
        <w:rPr>
          <w:spacing w:val="-5"/>
        </w:rPr>
        <w:t xml:space="preserve"> </w:t>
      </w:r>
      <w:r>
        <w:t>seguridad</w:t>
      </w:r>
      <w:r>
        <w:rPr>
          <w:spacing w:val="-5"/>
        </w:rPr>
        <w:t xml:space="preserve"> </w:t>
      </w:r>
      <w:r>
        <w:t>del Estado y los desarrollos sobre el proceso de Justicia y Paz. La Jurisdicción Contencioso Administrativa</w:t>
      </w:r>
      <w:r>
        <w:rPr>
          <w:spacing w:val="-13"/>
        </w:rPr>
        <w:t xml:space="preserve"> </w:t>
      </w:r>
      <w:r>
        <w:t>ha</w:t>
      </w:r>
      <w:r>
        <w:rPr>
          <w:spacing w:val="-13"/>
        </w:rPr>
        <w:t xml:space="preserve"> </w:t>
      </w:r>
      <w:r>
        <w:t>estudiado</w:t>
      </w:r>
      <w:r>
        <w:rPr>
          <w:spacing w:val="-13"/>
        </w:rPr>
        <w:t xml:space="preserve"> </w:t>
      </w:r>
      <w:r>
        <w:t>diferentes</w:t>
      </w:r>
      <w:r>
        <w:rPr>
          <w:spacing w:val="-13"/>
        </w:rPr>
        <w:t xml:space="preserve"> </w:t>
      </w:r>
      <w:r>
        <w:t>violaciones</w:t>
      </w:r>
      <w:r>
        <w:rPr>
          <w:spacing w:val="-13"/>
        </w:rPr>
        <w:t xml:space="preserve"> </w:t>
      </w:r>
      <w:r>
        <w:t>en</w:t>
      </w:r>
      <w:r>
        <w:rPr>
          <w:spacing w:val="-14"/>
        </w:rPr>
        <w:t xml:space="preserve"> </w:t>
      </w:r>
      <w:r>
        <w:t>las</w:t>
      </w:r>
      <w:r>
        <w:rPr>
          <w:spacing w:val="-13"/>
        </w:rPr>
        <w:t xml:space="preserve"> </w:t>
      </w:r>
      <w:r>
        <w:t>que</w:t>
      </w:r>
      <w:r>
        <w:rPr>
          <w:spacing w:val="-14"/>
        </w:rPr>
        <w:t xml:space="preserve"> </w:t>
      </w:r>
      <w:r>
        <w:t>las</w:t>
      </w:r>
      <w:r>
        <w:rPr>
          <w:spacing w:val="-14"/>
        </w:rPr>
        <w:t xml:space="preserve"> </w:t>
      </w:r>
      <w:r>
        <w:t>instituciones</w:t>
      </w:r>
      <w:r>
        <w:rPr>
          <w:spacing w:val="-13"/>
        </w:rPr>
        <w:t xml:space="preserve"> </w:t>
      </w:r>
      <w:r>
        <w:t>del</w:t>
      </w:r>
      <w:r>
        <w:rPr>
          <w:spacing w:val="-14"/>
        </w:rPr>
        <w:t xml:space="preserve"> </w:t>
      </w:r>
      <w:r>
        <w:t>Estado</w:t>
      </w:r>
      <w:r>
        <w:rPr>
          <w:spacing w:val="-13"/>
        </w:rPr>
        <w:t xml:space="preserve"> </w:t>
      </w:r>
      <w:r>
        <w:t>han visto</w:t>
      </w:r>
      <w:r>
        <w:rPr>
          <w:spacing w:val="-1"/>
        </w:rPr>
        <w:t xml:space="preserve"> </w:t>
      </w:r>
      <w:r>
        <w:t>comprometida</w:t>
      </w:r>
      <w:r>
        <w:rPr>
          <w:spacing w:val="-1"/>
        </w:rPr>
        <w:t xml:space="preserve"> </w:t>
      </w:r>
      <w:r>
        <w:t>su</w:t>
      </w:r>
      <w:r>
        <w:rPr>
          <w:spacing w:val="-1"/>
        </w:rPr>
        <w:t xml:space="preserve"> </w:t>
      </w:r>
      <w:r>
        <w:t>responsabilidad</w:t>
      </w:r>
      <w:r>
        <w:rPr>
          <w:spacing w:val="-1"/>
        </w:rPr>
        <w:t xml:space="preserve"> </w:t>
      </w:r>
      <w:r>
        <w:t>por</w:t>
      </w:r>
      <w:r>
        <w:rPr>
          <w:spacing w:val="-1"/>
        </w:rPr>
        <w:t xml:space="preserve"> </w:t>
      </w:r>
      <w:r>
        <w:t>la</w:t>
      </w:r>
      <w:r>
        <w:rPr>
          <w:spacing w:val="-1"/>
        </w:rPr>
        <w:t xml:space="preserve"> </w:t>
      </w:r>
      <w:r>
        <w:t>participación</w:t>
      </w:r>
      <w:r>
        <w:rPr>
          <w:spacing w:val="-1"/>
        </w:rPr>
        <w:t xml:space="preserve"> </w:t>
      </w:r>
      <w:r>
        <w:t>activa</w:t>
      </w:r>
      <w:r>
        <w:rPr>
          <w:spacing w:val="-1"/>
        </w:rPr>
        <w:t xml:space="preserve"> </w:t>
      </w:r>
      <w:r>
        <w:t>u</w:t>
      </w:r>
      <w:r>
        <w:rPr>
          <w:spacing w:val="-1"/>
        </w:rPr>
        <w:t xml:space="preserve"> </w:t>
      </w:r>
      <w:r>
        <w:t>omisiva</w:t>
      </w:r>
      <w:r>
        <w:rPr>
          <w:spacing w:val="-1"/>
        </w:rPr>
        <w:t xml:space="preserve"> </w:t>
      </w:r>
      <w:r>
        <w:t>de</w:t>
      </w:r>
      <w:r>
        <w:rPr>
          <w:spacing w:val="-1"/>
        </w:rPr>
        <w:t xml:space="preserve"> </w:t>
      </w:r>
      <w:r>
        <w:t>sus</w:t>
      </w:r>
      <w:r>
        <w:rPr>
          <w:spacing w:val="-1"/>
        </w:rPr>
        <w:t xml:space="preserve"> </w:t>
      </w:r>
      <w:r>
        <w:t xml:space="preserve">agentes. Esta ha sido pionera en el estudio de la tortura y ha incorporado una visión de reparación amplia para enfrentar los daños </w:t>
      </w:r>
      <w:r>
        <w:lastRenderedPageBreak/>
        <w:t>contra las víctimas</w:t>
      </w:r>
      <w:r w:rsidR="005E6E17">
        <w:rPr>
          <w:rStyle w:val="Refdenotaalpie"/>
        </w:rPr>
        <w:footnoteReference w:id="877"/>
      </w:r>
      <w:r>
        <w:t>.</w:t>
      </w:r>
    </w:p>
    <w:p w:rsidR="0011361F" w:rsidRDefault="005E6E17" w:rsidP="005E6E17">
      <w:r w:rsidRPr="005E6E17">
        <w:t>Es importante resaltar, también, la acción de la jurisdicción constitucional, que ha emitido pronunciamientos para atender circunstancias estructurales con sentencias que determinaron el «estado de cosas inconstitucional» frente a problemas relacionados con el conflicto como el desplazamiento forzado, el ataque contra defensores de derechos humanos o la situación de pueblos étnicos. Esto se ha logrado a partir de tutelas interpuestas por víctimas del conflicto para hacer exigibles sus derechos. Se han dado, así mismo, pronunciamientos de constitucionalidad para adecuar un sinnúmero de normas a los derechos a la verdad, la justicia, la reparación y la no repetición, estudiando entre otras, normas transicionales como las que han dado pie a la jurisdicción de Justicia y Paz, el Sistema Integral, la Ley de Víctimas y Restitución de Tierras.</w:t>
      </w:r>
    </w:p>
    <w:p w:rsidR="0011361F" w:rsidRDefault="00AF18A5" w:rsidP="004A6EF4">
      <w:pPr>
        <w:pStyle w:val="Ttulo3"/>
        <w:numPr>
          <w:ilvl w:val="1"/>
          <w:numId w:val="16"/>
        </w:numPr>
      </w:pPr>
      <w:bookmarkStart w:id="1084" w:name="_bookmark957"/>
      <w:bookmarkStart w:id="1085" w:name="8.2._El_bloqueo_de_mecanismos_relevantes"/>
      <w:bookmarkStart w:id="1086" w:name="_Toc112399627"/>
      <w:bookmarkEnd w:id="1084"/>
      <w:bookmarkEnd w:id="1085"/>
      <w:r>
        <w:t>El</w:t>
      </w:r>
      <w:r>
        <w:rPr>
          <w:spacing w:val="-2"/>
        </w:rPr>
        <w:t xml:space="preserve"> </w:t>
      </w:r>
      <w:r>
        <w:t>bloqueo</w:t>
      </w:r>
      <w:r>
        <w:rPr>
          <w:spacing w:val="-2"/>
        </w:rPr>
        <w:t xml:space="preserve"> </w:t>
      </w:r>
      <w:r>
        <w:t>de</w:t>
      </w:r>
      <w:r>
        <w:rPr>
          <w:spacing w:val="-2"/>
        </w:rPr>
        <w:t xml:space="preserve"> </w:t>
      </w:r>
      <w:r>
        <w:t>mecanismos</w:t>
      </w:r>
      <w:r>
        <w:rPr>
          <w:spacing w:val="-2"/>
        </w:rPr>
        <w:t xml:space="preserve"> </w:t>
      </w:r>
      <w:r w:rsidRPr="005E6E17">
        <w:t>relevantes</w:t>
      </w:r>
      <w:r>
        <w:rPr>
          <w:spacing w:val="-2"/>
        </w:rPr>
        <w:t xml:space="preserve"> </w:t>
      </w:r>
      <w:r>
        <w:t>de</w:t>
      </w:r>
      <w:r>
        <w:rPr>
          <w:spacing w:val="-1"/>
        </w:rPr>
        <w:t xml:space="preserve"> </w:t>
      </w:r>
      <w:r>
        <w:rPr>
          <w:spacing w:val="-2"/>
        </w:rPr>
        <w:t>investigación</w:t>
      </w:r>
      <w:bookmarkEnd w:id="1086"/>
    </w:p>
    <w:p w:rsidR="003804AC" w:rsidRDefault="00AF18A5" w:rsidP="005E6E17">
      <w:r>
        <w:t>Tuvimos</w:t>
      </w:r>
      <w:r>
        <w:rPr>
          <w:spacing w:val="-3"/>
        </w:rPr>
        <w:t xml:space="preserve"> </w:t>
      </w:r>
      <w:r>
        <w:t>una</w:t>
      </w:r>
      <w:r>
        <w:rPr>
          <w:spacing w:val="-1"/>
        </w:rPr>
        <w:t xml:space="preserve"> </w:t>
      </w:r>
      <w:r>
        <w:t>reacción</w:t>
      </w:r>
      <w:r>
        <w:rPr>
          <w:spacing w:val="-3"/>
        </w:rPr>
        <w:t xml:space="preserve"> </w:t>
      </w:r>
      <w:r>
        <w:t>brutal</w:t>
      </w:r>
      <w:r>
        <w:rPr>
          <w:spacing w:val="-4"/>
        </w:rPr>
        <w:t xml:space="preserve"> </w:t>
      </w:r>
      <w:r>
        <w:t>del</w:t>
      </w:r>
      <w:r>
        <w:rPr>
          <w:spacing w:val="-3"/>
        </w:rPr>
        <w:t xml:space="preserve"> </w:t>
      </w:r>
      <w:r>
        <w:t>comandante</w:t>
      </w:r>
      <w:r>
        <w:rPr>
          <w:spacing w:val="-2"/>
        </w:rPr>
        <w:t xml:space="preserve"> </w:t>
      </w:r>
      <w:r>
        <w:t>general</w:t>
      </w:r>
      <w:r>
        <w:rPr>
          <w:spacing w:val="-3"/>
        </w:rPr>
        <w:t xml:space="preserve"> </w:t>
      </w:r>
      <w:r>
        <w:t>del</w:t>
      </w:r>
      <w:r>
        <w:rPr>
          <w:spacing w:val="-4"/>
        </w:rPr>
        <w:t xml:space="preserve"> </w:t>
      </w:r>
      <w:r>
        <w:t>Ejército.</w:t>
      </w:r>
      <w:r>
        <w:rPr>
          <w:spacing w:val="-2"/>
        </w:rPr>
        <w:t xml:space="preserve"> </w:t>
      </w:r>
      <w:r>
        <w:t>Llamó</w:t>
      </w:r>
      <w:r>
        <w:rPr>
          <w:spacing w:val="-3"/>
        </w:rPr>
        <w:t xml:space="preserve"> </w:t>
      </w:r>
      <w:r>
        <w:t>al</w:t>
      </w:r>
      <w:r>
        <w:rPr>
          <w:spacing w:val="-3"/>
        </w:rPr>
        <w:t xml:space="preserve"> </w:t>
      </w:r>
      <w:r>
        <w:t>fiscal</w:t>
      </w:r>
      <w:r>
        <w:rPr>
          <w:spacing w:val="-4"/>
        </w:rPr>
        <w:t xml:space="preserve"> </w:t>
      </w:r>
      <w:r>
        <w:t>general,</w:t>
      </w:r>
      <w:r>
        <w:rPr>
          <w:spacing w:val="-3"/>
        </w:rPr>
        <w:t xml:space="preserve"> </w:t>
      </w:r>
      <w:r>
        <w:t>al</w:t>
      </w:r>
      <w:r>
        <w:rPr>
          <w:spacing w:val="-3"/>
        </w:rPr>
        <w:t xml:space="preserve"> </w:t>
      </w:r>
      <w:r>
        <w:t>director nacional de fiscalías y a mí a una reunión en el comando del Ejército para explicar por qué se había dado esa</w:t>
      </w:r>
      <w:r>
        <w:rPr>
          <w:spacing w:val="-3"/>
        </w:rPr>
        <w:t xml:space="preserve"> </w:t>
      </w:r>
      <w:r>
        <w:t>diligencia,</w:t>
      </w:r>
      <w:r>
        <w:rPr>
          <w:spacing w:val="-3"/>
        </w:rPr>
        <w:t xml:space="preserve"> </w:t>
      </w:r>
      <w:r>
        <w:t>por</w:t>
      </w:r>
      <w:r>
        <w:rPr>
          <w:spacing w:val="-3"/>
        </w:rPr>
        <w:t xml:space="preserve"> </w:t>
      </w:r>
      <w:r>
        <w:t>qué</w:t>
      </w:r>
      <w:r>
        <w:rPr>
          <w:spacing w:val="-3"/>
        </w:rPr>
        <w:t xml:space="preserve"> </w:t>
      </w:r>
      <w:r>
        <w:t>no</w:t>
      </w:r>
      <w:r>
        <w:rPr>
          <w:spacing w:val="-1"/>
        </w:rPr>
        <w:t xml:space="preserve"> </w:t>
      </w:r>
      <w:r>
        <w:t>se</w:t>
      </w:r>
      <w:r>
        <w:rPr>
          <w:spacing w:val="-3"/>
        </w:rPr>
        <w:t xml:space="preserve"> </w:t>
      </w:r>
      <w:r>
        <w:t>les</w:t>
      </w:r>
      <w:r>
        <w:rPr>
          <w:spacing w:val="-2"/>
        </w:rPr>
        <w:t xml:space="preserve"> </w:t>
      </w:r>
      <w:r>
        <w:t>había</w:t>
      </w:r>
      <w:r>
        <w:rPr>
          <w:spacing w:val="-3"/>
        </w:rPr>
        <w:t xml:space="preserve"> </w:t>
      </w:r>
      <w:r>
        <w:t>avisado.</w:t>
      </w:r>
      <w:r>
        <w:rPr>
          <w:spacing w:val="-2"/>
        </w:rPr>
        <w:t xml:space="preserve"> </w:t>
      </w:r>
      <w:r>
        <w:t>Me</w:t>
      </w:r>
      <w:r>
        <w:rPr>
          <w:spacing w:val="-3"/>
        </w:rPr>
        <w:t xml:space="preserve"> </w:t>
      </w:r>
      <w:r>
        <w:t>pareció</w:t>
      </w:r>
      <w:r>
        <w:rPr>
          <w:spacing w:val="-3"/>
        </w:rPr>
        <w:t xml:space="preserve"> </w:t>
      </w:r>
      <w:r>
        <w:t>muy</w:t>
      </w:r>
      <w:r>
        <w:rPr>
          <w:spacing w:val="-3"/>
        </w:rPr>
        <w:t xml:space="preserve"> </w:t>
      </w:r>
      <w:r>
        <w:t>particular</w:t>
      </w:r>
      <w:r>
        <w:rPr>
          <w:spacing w:val="-2"/>
        </w:rPr>
        <w:t xml:space="preserve"> </w:t>
      </w:r>
      <w:r>
        <w:t>que</w:t>
      </w:r>
      <w:r>
        <w:rPr>
          <w:spacing w:val="-2"/>
        </w:rPr>
        <w:t xml:space="preserve"> </w:t>
      </w:r>
      <w:r>
        <w:t>[…]</w:t>
      </w:r>
      <w:r>
        <w:rPr>
          <w:spacing w:val="-3"/>
        </w:rPr>
        <w:t xml:space="preserve"> </w:t>
      </w:r>
      <w:r>
        <w:t>tuviésemos</w:t>
      </w:r>
      <w:r>
        <w:rPr>
          <w:spacing w:val="-3"/>
        </w:rPr>
        <w:t xml:space="preserve"> </w:t>
      </w:r>
      <w:r>
        <w:t>que</w:t>
      </w:r>
      <w:r>
        <w:rPr>
          <w:spacing w:val="-3"/>
        </w:rPr>
        <w:t xml:space="preserve"> </w:t>
      </w:r>
      <w:r>
        <w:t>estar</w:t>
      </w:r>
      <w:r>
        <w:rPr>
          <w:spacing w:val="-3"/>
        </w:rPr>
        <w:t xml:space="preserve"> </w:t>
      </w:r>
      <w:r>
        <w:t>allí dando explicaciones de una operación que era judicial, de un ente independiente como la Fiscalía</w:t>
      </w:r>
      <w:r w:rsidR="00B62F25">
        <w:rPr>
          <w:rStyle w:val="Refdenotaalpie"/>
        </w:rPr>
        <w:footnoteReference w:id="878"/>
      </w:r>
      <w:r>
        <w:t>.</w:t>
      </w:r>
    </w:p>
    <w:p w:rsidR="003804AC" w:rsidRDefault="00AF18A5" w:rsidP="00B62F25">
      <w:r>
        <w:t xml:space="preserve">En la Constitución de 1991, se reforzó la justicia a través de la Fiscalía, la Corte Constitucional y la Defensoría del Pueblo. Para la investigación penal, la creación de la Fiscalía significó un hito relevante pues fortaleció </w:t>
      </w:r>
      <w:r>
        <w:lastRenderedPageBreak/>
        <w:t>la capacidad investigativa de los delitos. A instancias del ente investigador, en diciembre de 1994</w:t>
      </w:r>
      <w:r w:rsidR="00B62F25">
        <w:rPr>
          <w:rStyle w:val="Refdenotaalpie"/>
        </w:rPr>
        <w:footnoteReference w:id="879"/>
      </w:r>
      <w:r>
        <w:t>, se creó la Unidad de Derechos Humanos</w:t>
      </w:r>
      <w:r>
        <w:rPr>
          <w:spacing w:val="-10"/>
        </w:rPr>
        <w:t xml:space="preserve"> </w:t>
      </w:r>
      <w:r>
        <w:t>para</w:t>
      </w:r>
      <w:r>
        <w:rPr>
          <w:spacing w:val="-9"/>
        </w:rPr>
        <w:t xml:space="preserve"> </w:t>
      </w:r>
      <w:r>
        <w:t>esclarecer</w:t>
      </w:r>
      <w:r>
        <w:rPr>
          <w:spacing w:val="-10"/>
        </w:rPr>
        <w:t xml:space="preserve"> </w:t>
      </w:r>
      <w:r>
        <w:t>violaciones</w:t>
      </w:r>
      <w:r>
        <w:rPr>
          <w:spacing w:val="-11"/>
        </w:rPr>
        <w:t xml:space="preserve"> </w:t>
      </w:r>
      <w:r>
        <w:t>graves</w:t>
      </w:r>
      <w:r>
        <w:rPr>
          <w:spacing w:val="-9"/>
        </w:rPr>
        <w:t xml:space="preserve"> </w:t>
      </w:r>
      <w:r>
        <w:t>a</w:t>
      </w:r>
      <w:r>
        <w:rPr>
          <w:spacing w:val="-9"/>
        </w:rPr>
        <w:t xml:space="preserve"> </w:t>
      </w:r>
      <w:r>
        <w:t>los</w:t>
      </w:r>
      <w:r>
        <w:rPr>
          <w:spacing w:val="-11"/>
        </w:rPr>
        <w:t xml:space="preserve"> </w:t>
      </w:r>
      <w:r>
        <w:t>derechos</w:t>
      </w:r>
      <w:r>
        <w:rPr>
          <w:spacing w:val="-10"/>
        </w:rPr>
        <w:t xml:space="preserve"> </w:t>
      </w:r>
      <w:r>
        <w:t>humanos.</w:t>
      </w:r>
      <w:r>
        <w:rPr>
          <w:spacing w:val="-10"/>
        </w:rPr>
        <w:t xml:space="preserve"> </w:t>
      </w:r>
      <w:r>
        <w:t>«El</w:t>
      </w:r>
      <w:r>
        <w:rPr>
          <w:spacing w:val="-10"/>
        </w:rPr>
        <w:t xml:space="preserve"> </w:t>
      </w:r>
      <w:r>
        <w:t>país</w:t>
      </w:r>
      <w:r>
        <w:rPr>
          <w:spacing w:val="-10"/>
        </w:rPr>
        <w:t xml:space="preserve"> </w:t>
      </w:r>
      <w:r>
        <w:t>carecía</w:t>
      </w:r>
      <w:r>
        <w:rPr>
          <w:spacing w:val="-11"/>
        </w:rPr>
        <w:t xml:space="preserve"> </w:t>
      </w:r>
      <w:r>
        <w:t>de</w:t>
      </w:r>
      <w:r>
        <w:rPr>
          <w:spacing w:val="-9"/>
        </w:rPr>
        <w:t xml:space="preserve"> </w:t>
      </w:r>
      <w:r>
        <w:t>una instancia [de investigación] que fuera integral», afirmó sobre el tema el exfiscal general de la nación Alfonso Valdivieso en un espacio de Contribución a la Verdad celebrado por la Comisión</w:t>
      </w:r>
      <w:r w:rsidR="00B62F25">
        <w:rPr>
          <w:rStyle w:val="Refdenotaalpie"/>
        </w:rPr>
        <w:footnoteReference w:id="880"/>
      </w:r>
      <w:r>
        <w:t>.</w:t>
      </w:r>
      <w:r>
        <w:rPr>
          <w:spacing w:val="17"/>
        </w:rPr>
        <w:t xml:space="preserve"> </w:t>
      </w:r>
      <w:r>
        <w:t>Antes</w:t>
      </w:r>
      <w:r>
        <w:rPr>
          <w:spacing w:val="16"/>
        </w:rPr>
        <w:t xml:space="preserve"> </w:t>
      </w:r>
      <w:r>
        <w:t>de</w:t>
      </w:r>
      <w:r>
        <w:rPr>
          <w:spacing w:val="17"/>
        </w:rPr>
        <w:t xml:space="preserve"> </w:t>
      </w:r>
      <w:r>
        <w:t>dicha</w:t>
      </w:r>
      <w:r>
        <w:rPr>
          <w:spacing w:val="16"/>
        </w:rPr>
        <w:t xml:space="preserve"> </w:t>
      </w:r>
      <w:r>
        <w:t>unidad</w:t>
      </w:r>
      <w:r>
        <w:rPr>
          <w:spacing w:val="16"/>
        </w:rPr>
        <w:t xml:space="preserve"> </w:t>
      </w:r>
      <w:r>
        <w:t>la</w:t>
      </w:r>
      <w:r>
        <w:rPr>
          <w:spacing w:val="16"/>
        </w:rPr>
        <w:t xml:space="preserve"> </w:t>
      </w:r>
      <w:r>
        <w:t>Procuraduría</w:t>
      </w:r>
      <w:r>
        <w:rPr>
          <w:spacing w:val="17"/>
        </w:rPr>
        <w:t xml:space="preserve"> </w:t>
      </w:r>
      <w:r>
        <w:t>era</w:t>
      </w:r>
      <w:r>
        <w:rPr>
          <w:spacing w:val="16"/>
        </w:rPr>
        <w:t xml:space="preserve"> </w:t>
      </w:r>
      <w:r>
        <w:t>la</w:t>
      </w:r>
      <w:r>
        <w:rPr>
          <w:spacing w:val="17"/>
        </w:rPr>
        <w:t xml:space="preserve"> </w:t>
      </w:r>
      <w:r>
        <w:t>que</w:t>
      </w:r>
      <w:r>
        <w:rPr>
          <w:spacing w:val="16"/>
        </w:rPr>
        <w:t xml:space="preserve"> </w:t>
      </w:r>
      <w:r>
        <w:t>hacía</w:t>
      </w:r>
      <w:r>
        <w:rPr>
          <w:spacing w:val="15"/>
        </w:rPr>
        <w:t xml:space="preserve"> </w:t>
      </w:r>
      <w:r>
        <w:t>la</w:t>
      </w:r>
      <w:r>
        <w:rPr>
          <w:spacing w:val="16"/>
        </w:rPr>
        <w:t xml:space="preserve"> </w:t>
      </w:r>
      <w:r>
        <w:t>mayor</w:t>
      </w:r>
      <w:r>
        <w:rPr>
          <w:spacing w:val="17"/>
        </w:rPr>
        <w:t xml:space="preserve"> </w:t>
      </w:r>
      <w:r>
        <w:t>cantidad</w:t>
      </w:r>
      <w:r>
        <w:rPr>
          <w:spacing w:val="15"/>
        </w:rPr>
        <w:t xml:space="preserve"> </w:t>
      </w:r>
      <w:r>
        <w:rPr>
          <w:spacing w:val="-5"/>
        </w:rPr>
        <w:t>de</w:t>
      </w:r>
      <w:bookmarkStart w:id="1087" w:name="_bookmark959"/>
      <w:bookmarkStart w:id="1088" w:name="_bookmark960"/>
      <w:bookmarkStart w:id="1089" w:name="_bookmark961"/>
      <w:bookmarkEnd w:id="1087"/>
      <w:bookmarkEnd w:id="1088"/>
      <w:bookmarkEnd w:id="1089"/>
      <w:r w:rsidR="00B62F25">
        <w:rPr>
          <w:spacing w:val="-5"/>
        </w:rPr>
        <w:t xml:space="preserve"> </w:t>
      </w:r>
      <w:r>
        <w:t>investigaciones, pero solo se ocupaba de funcionarios públicos y con consecuencias que no eran penales:</w:t>
      </w:r>
    </w:p>
    <w:p w:rsidR="003804AC" w:rsidRDefault="00AF18A5" w:rsidP="00B62F25">
      <w:r>
        <w:t>«Fueron</w:t>
      </w:r>
      <w:r>
        <w:rPr>
          <w:spacing w:val="-15"/>
        </w:rPr>
        <w:t xml:space="preserve"> </w:t>
      </w:r>
      <w:r>
        <w:t>los</w:t>
      </w:r>
      <w:r>
        <w:rPr>
          <w:spacing w:val="-15"/>
        </w:rPr>
        <w:t xml:space="preserve"> </w:t>
      </w:r>
      <w:r>
        <w:t>primeros</w:t>
      </w:r>
      <w:r>
        <w:rPr>
          <w:spacing w:val="-15"/>
        </w:rPr>
        <w:t xml:space="preserve"> </w:t>
      </w:r>
      <w:r>
        <w:t>antecedentes</w:t>
      </w:r>
      <w:r>
        <w:rPr>
          <w:spacing w:val="-15"/>
        </w:rPr>
        <w:t xml:space="preserve"> </w:t>
      </w:r>
      <w:r>
        <w:t>que</w:t>
      </w:r>
      <w:r>
        <w:rPr>
          <w:spacing w:val="-15"/>
        </w:rPr>
        <w:t xml:space="preserve"> </w:t>
      </w:r>
      <w:r>
        <w:t>tuvo</w:t>
      </w:r>
      <w:r>
        <w:rPr>
          <w:spacing w:val="-15"/>
        </w:rPr>
        <w:t xml:space="preserve"> </w:t>
      </w:r>
      <w:r>
        <w:t>el</w:t>
      </w:r>
      <w:r>
        <w:rPr>
          <w:spacing w:val="-15"/>
        </w:rPr>
        <w:t xml:space="preserve"> </w:t>
      </w:r>
      <w:r>
        <w:t>país,</w:t>
      </w:r>
      <w:r>
        <w:rPr>
          <w:spacing w:val="-15"/>
        </w:rPr>
        <w:t xml:space="preserve"> </w:t>
      </w:r>
      <w:r>
        <w:t>muy</w:t>
      </w:r>
      <w:r>
        <w:rPr>
          <w:spacing w:val="-15"/>
        </w:rPr>
        <w:t xml:space="preserve"> </w:t>
      </w:r>
      <w:r>
        <w:t>importante</w:t>
      </w:r>
      <w:r>
        <w:rPr>
          <w:spacing w:val="-15"/>
        </w:rPr>
        <w:t xml:space="preserve"> </w:t>
      </w:r>
      <w:r>
        <w:t>porque</w:t>
      </w:r>
      <w:r>
        <w:rPr>
          <w:spacing w:val="-15"/>
        </w:rPr>
        <w:t xml:space="preserve"> </w:t>
      </w:r>
      <w:r>
        <w:t>tuvimos</w:t>
      </w:r>
      <w:r>
        <w:rPr>
          <w:spacing w:val="-15"/>
        </w:rPr>
        <w:t xml:space="preserve"> </w:t>
      </w:r>
      <w:r>
        <w:t>casos de torturas en el Urabá, tuvimos casos de personas desaparecidas en medio del conflicto, selectivas, tuvimos</w:t>
      </w:r>
      <w:r>
        <w:rPr>
          <w:spacing w:val="-1"/>
        </w:rPr>
        <w:t xml:space="preserve"> </w:t>
      </w:r>
      <w:r>
        <w:t>casos de ejecuciones extrajudiciales</w:t>
      </w:r>
      <w:r>
        <w:rPr>
          <w:spacing w:val="-1"/>
        </w:rPr>
        <w:t xml:space="preserve"> </w:t>
      </w:r>
      <w:r>
        <w:t>[…]. Empezamos a entender</w:t>
      </w:r>
      <w:r>
        <w:rPr>
          <w:spacing w:val="-1"/>
        </w:rPr>
        <w:t xml:space="preserve"> </w:t>
      </w:r>
      <w:r>
        <w:t>que se necesitaba un espacio que se ocupara de la investigación de los delitos, que fuera especializado, así como la delegada para derechos humanos»</w:t>
      </w:r>
      <w:r w:rsidR="0074703B">
        <w:rPr>
          <w:rStyle w:val="Refdenotaalpie"/>
        </w:rPr>
        <w:footnoteReference w:id="881"/>
      </w:r>
      <w:r>
        <w:t>, le explicó a la Comisión. una alta exfuncionaria de la Procuraduría.</w:t>
      </w:r>
    </w:p>
    <w:p w:rsidR="003804AC" w:rsidRDefault="00AF18A5" w:rsidP="001E1170">
      <w:r>
        <w:t>La</w:t>
      </w:r>
      <w:r>
        <w:rPr>
          <w:spacing w:val="-2"/>
        </w:rPr>
        <w:t xml:space="preserve"> </w:t>
      </w:r>
      <w:r>
        <w:t>Unidad</w:t>
      </w:r>
      <w:r>
        <w:rPr>
          <w:spacing w:val="-2"/>
        </w:rPr>
        <w:t xml:space="preserve"> </w:t>
      </w:r>
      <w:r>
        <w:t>de</w:t>
      </w:r>
      <w:r>
        <w:rPr>
          <w:spacing w:val="-2"/>
        </w:rPr>
        <w:t xml:space="preserve"> </w:t>
      </w:r>
      <w:r>
        <w:t>Derechos</w:t>
      </w:r>
      <w:r>
        <w:rPr>
          <w:spacing w:val="-3"/>
        </w:rPr>
        <w:t xml:space="preserve"> </w:t>
      </w:r>
      <w:r>
        <w:t>Humanos</w:t>
      </w:r>
      <w:r>
        <w:rPr>
          <w:spacing w:val="-2"/>
        </w:rPr>
        <w:t xml:space="preserve"> </w:t>
      </w:r>
      <w:r>
        <w:t>entró</w:t>
      </w:r>
      <w:r>
        <w:rPr>
          <w:spacing w:val="-3"/>
        </w:rPr>
        <w:t xml:space="preserve"> </w:t>
      </w:r>
      <w:r>
        <w:t>a</w:t>
      </w:r>
      <w:r>
        <w:rPr>
          <w:spacing w:val="-2"/>
        </w:rPr>
        <w:t xml:space="preserve"> </w:t>
      </w:r>
      <w:r>
        <w:t>funcionar</w:t>
      </w:r>
      <w:r>
        <w:rPr>
          <w:spacing w:val="-2"/>
        </w:rPr>
        <w:t xml:space="preserve"> </w:t>
      </w:r>
      <w:r>
        <w:t>en</w:t>
      </w:r>
      <w:r>
        <w:rPr>
          <w:spacing w:val="-3"/>
        </w:rPr>
        <w:t xml:space="preserve"> </w:t>
      </w:r>
      <w:r>
        <w:t>septiembre</w:t>
      </w:r>
      <w:r>
        <w:rPr>
          <w:spacing w:val="-3"/>
        </w:rPr>
        <w:t xml:space="preserve"> </w:t>
      </w:r>
      <w:r>
        <w:t>de</w:t>
      </w:r>
      <w:r>
        <w:rPr>
          <w:spacing w:val="-2"/>
        </w:rPr>
        <w:t xml:space="preserve"> </w:t>
      </w:r>
      <w:r>
        <w:t>1995.</w:t>
      </w:r>
      <w:r>
        <w:rPr>
          <w:spacing w:val="-2"/>
        </w:rPr>
        <w:t xml:space="preserve"> </w:t>
      </w:r>
      <w:r>
        <w:t>Se</w:t>
      </w:r>
      <w:r>
        <w:rPr>
          <w:spacing w:val="-2"/>
        </w:rPr>
        <w:t xml:space="preserve"> </w:t>
      </w:r>
      <w:r>
        <w:t>la</w:t>
      </w:r>
      <w:r>
        <w:rPr>
          <w:spacing w:val="-2"/>
        </w:rPr>
        <w:t xml:space="preserve"> </w:t>
      </w:r>
      <w:r>
        <w:t>dotó</w:t>
      </w:r>
      <w:r>
        <w:rPr>
          <w:spacing w:val="-3"/>
        </w:rPr>
        <w:t xml:space="preserve"> </w:t>
      </w:r>
      <w:r>
        <w:t>de 25</w:t>
      </w:r>
      <w:r>
        <w:rPr>
          <w:spacing w:val="-1"/>
        </w:rPr>
        <w:t xml:space="preserve"> </w:t>
      </w:r>
      <w:r>
        <w:t>fiscales</w:t>
      </w:r>
      <w:r>
        <w:rPr>
          <w:spacing w:val="-1"/>
        </w:rPr>
        <w:t xml:space="preserve"> </w:t>
      </w:r>
      <w:r>
        <w:t>delegados,</w:t>
      </w:r>
      <w:r>
        <w:rPr>
          <w:spacing w:val="-1"/>
        </w:rPr>
        <w:t xml:space="preserve"> </w:t>
      </w:r>
      <w:r>
        <w:t>un</w:t>
      </w:r>
      <w:r>
        <w:rPr>
          <w:spacing w:val="-2"/>
        </w:rPr>
        <w:t xml:space="preserve"> </w:t>
      </w:r>
      <w:r>
        <w:t>equipo</w:t>
      </w:r>
      <w:r>
        <w:rPr>
          <w:spacing w:val="-1"/>
        </w:rPr>
        <w:t xml:space="preserve"> </w:t>
      </w:r>
      <w:r>
        <w:t>técnico</w:t>
      </w:r>
      <w:r>
        <w:rPr>
          <w:spacing w:val="-1"/>
        </w:rPr>
        <w:t xml:space="preserve"> </w:t>
      </w:r>
      <w:r>
        <w:t>y</w:t>
      </w:r>
      <w:r>
        <w:rPr>
          <w:spacing w:val="-1"/>
        </w:rPr>
        <w:t xml:space="preserve"> </w:t>
      </w:r>
      <w:r>
        <w:t>de</w:t>
      </w:r>
      <w:r>
        <w:rPr>
          <w:spacing w:val="-1"/>
        </w:rPr>
        <w:t xml:space="preserve"> </w:t>
      </w:r>
      <w:r>
        <w:t>investigaciones</w:t>
      </w:r>
      <w:r>
        <w:rPr>
          <w:spacing w:val="-2"/>
        </w:rPr>
        <w:t xml:space="preserve"> </w:t>
      </w:r>
      <w:r>
        <w:t>de</w:t>
      </w:r>
      <w:r>
        <w:rPr>
          <w:spacing w:val="-1"/>
        </w:rPr>
        <w:t xml:space="preserve"> </w:t>
      </w:r>
      <w:r>
        <w:t>70</w:t>
      </w:r>
      <w:r>
        <w:rPr>
          <w:spacing w:val="-1"/>
        </w:rPr>
        <w:t xml:space="preserve"> </w:t>
      </w:r>
      <w:r>
        <w:t>funcionarios</w:t>
      </w:r>
      <w:r>
        <w:rPr>
          <w:spacing w:val="-1"/>
        </w:rPr>
        <w:t xml:space="preserve"> </w:t>
      </w:r>
      <w:r>
        <w:t>y</w:t>
      </w:r>
      <w:r>
        <w:rPr>
          <w:spacing w:val="-1"/>
        </w:rPr>
        <w:t xml:space="preserve"> </w:t>
      </w:r>
      <w:r>
        <w:t>un</w:t>
      </w:r>
      <w:r>
        <w:rPr>
          <w:spacing w:val="-2"/>
        </w:rPr>
        <w:t xml:space="preserve"> </w:t>
      </w:r>
      <w:r>
        <w:t xml:space="preserve">grupo de secretarios. Desde el comienzo tuvo que enfrentar hostigamientos, como lo detallaron fiscales entrevistados por la Comisión: «Desde el principio, dentro de la Unidad había amenazas hacia los funcionarios de la Unidad de Derechos </w:t>
      </w:r>
      <w:r>
        <w:lastRenderedPageBreak/>
        <w:t>Humanos»</w:t>
      </w:r>
      <w:r w:rsidR="0074703B">
        <w:rPr>
          <w:rStyle w:val="Refdenotaalpie"/>
        </w:rPr>
        <w:footnoteReference w:id="882"/>
      </w:r>
      <w:r>
        <w:t>, le dijo a la Comisión uno de ellos.</w:t>
      </w:r>
    </w:p>
    <w:p w:rsidR="0011361F" w:rsidRDefault="00AF18A5" w:rsidP="0074703B">
      <w:r>
        <w:t>«Nosotros</w:t>
      </w:r>
      <w:r>
        <w:rPr>
          <w:spacing w:val="-15"/>
        </w:rPr>
        <w:t xml:space="preserve"> </w:t>
      </w:r>
      <w:r>
        <w:t>encontramos</w:t>
      </w:r>
      <w:r>
        <w:rPr>
          <w:spacing w:val="-15"/>
        </w:rPr>
        <w:t xml:space="preserve"> </w:t>
      </w:r>
      <w:r>
        <w:t>dificultades,</w:t>
      </w:r>
      <w:r>
        <w:rPr>
          <w:spacing w:val="-15"/>
        </w:rPr>
        <w:t xml:space="preserve"> </w:t>
      </w:r>
      <w:r>
        <w:t>problemas»,</w:t>
      </w:r>
      <w:r>
        <w:rPr>
          <w:spacing w:val="-15"/>
        </w:rPr>
        <w:t xml:space="preserve"> </w:t>
      </w:r>
      <w:r>
        <w:t>dijo</w:t>
      </w:r>
      <w:r>
        <w:rPr>
          <w:spacing w:val="-15"/>
        </w:rPr>
        <w:t xml:space="preserve"> </w:t>
      </w:r>
      <w:r>
        <w:t>el</w:t>
      </w:r>
      <w:r>
        <w:rPr>
          <w:spacing w:val="-15"/>
        </w:rPr>
        <w:t xml:space="preserve"> </w:t>
      </w:r>
      <w:r>
        <w:t>exfiscal</w:t>
      </w:r>
      <w:r>
        <w:rPr>
          <w:spacing w:val="-15"/>
        </w:rPr>
        <w:t xml:space="preserve"> </w:t>
      </w:r>
      <w:r>
        <w:t>general</w:t>
      </w:r>
      <w:r>
        <w:rPr>
          <w:spacing w:val="-15"/>
        </w:rPr>
        <w:t xml:space="preserve"> </w:t>
      </w:r>
      <w:r>
        <w:t>Valdivieso.</w:t>
      </w:r>
      <w:r>
        <w:rPr>
          <w:spacing w:val="-15"/>
        </w:rPr>
        <w:t xml:space="preserve"> </w:t>
      </w:r>
      <w:r>
        <w:t>«Por ejemplo, la forma como a estos investigadores se les intimidaba, con la forma como se les hacía saber que corrían peligro […] Se llegaba el momento en el que era imposible, […] llegar</w:t>
      </w:r>
      <w:r>
        <w:rPr>
          <w:spacing w:val="-12"/>
        </w:rPr>
        <w:t xml:space="preserve"> </w:t>
      </w:r>
      <w:r>
        <w:t>a</w:t>
      </w:r>
      <w:r>
        <w:rPr>
          <w:spacing w:val="-13"/>
        </w:rPr>
        <w:t xml:space="preserve"> </w:t>
      </w:r>
      <w:r>
        <w:t>exponer</w:t>
      </w:r>
      <w:r>
        <w:rPr>
          <w:spacing w:val="-12"/>
        </w:rPr>
        <w:t xml:space="preserve"> </w:t>
      </w:r>
      <w:r>
        <w:t>a</w:t>
      </w:r>
      <w:r>
        <w:rPr>
          <w:spacing w:val="-13"/>
        </w:rPr>
        <w:t xml:space="preserve"> </w:t>
      </w:r>
      <w:r>
        <w:t>sus</w:t>
      </w:r>
      <w:r>
        <w:rPr>
          <w:spacing w:val="-13"/>
        </w:rPr>
        <w:t xml:space="preserve"> </w:t>
      </w:r>
      <w:r>
        <w:t>propias</w:t>
      </w:r>
      <w:r>
        <w:rPr>
          <w:spacing w:val="-13"/>
        </w:rPr>
        <w:t xml:space="preserve"> </w:t>
      </w:r>
      <w:r>
        <w:t>familias»</w:t>
      </w:r>
      <w:r w:rsidR="0074703B">
        <w:rPr>
          <w:rStyle w:val="Refdenotaalpie"/>
        </w:rPr>
        <w:footnoteReference w:id="883"/>
      </w:r>
      <w:r>
        <w:t>.</w:t>
      </w:r>
      <w:r>
        <w:rPr>
          <w:spacing w:val="-12"/>
        </w:rPr>
        <w:t xml:space="preserve"> </w:t>
      </w:r>
      <w:r>
        <w:t>Uno</w:t>
      </w:r>
      <w:r>
        <w:rPr>
          <w:spacing w:val="-12"/>
        </w:rPr>
        <w:t xml:space="preserve"> </w:t>
      </w:r>
      <w:r>
        <w:t>de</w:t>
      </w:r>
      <w:r>
        <w:rPr>
          <w:spacing w:val="-13"/>
        </w:rPr>
        <w:t xml:space="preserve"> </w:t>
      </w:r>
      <w:r>
        <w:t>los</w:t>
      </w:r>
      <w:r>
        <w:rPr>
          <w:spacing w:val="-12"/>
        </w:rPr>
        <w:t xml:space="preserve"> </w:t>
      </w:r>
      <w:r>
        <w:t>fiscales</w:t>
      </w:r>
      <w:r>
        <w:rPr>
          <w:spacing w:val="-12"/>
        </w:rPr>
        <w:t xml:space="preserve"> </w:t>
      </w:r>
      <w:r>
        <w:t>del</w:t>
      </w:r>
      <w:r>
        <w:rPr>
          <w:spacing w:val="-13"/>
        </w:rPr>
        <w:t xml:space="preserve"> </w:t>
      </w:r>
      <w:r>
        <w:t>equipo</w:t>
      </w:r>
      <w:r>
        <w:rPr>
          <w:spacing w:val="-13"/>
        </w:rPr>
        <w:t xml:space="preserve"> </w:t>
      </w:r>
      <w:r>
        <w:t>inicial</w:t>
      </w:r>
      <w:r>
        <w:rPr>
          <w:spacing w:val="-12"/>
        </w:rPr>
        <w:t xml:space="preserve"> </w:t>
      </w:r>
      <w:r>
        <w:t>de</w:t>
      </w:r>
      <w:r>
        <w:rPr>
          <w:spacing w:val="-13"/>
        </w:rPr>
        <w:t xml:space="preserve"> </w:t>
      </w:r>
      <w:r>
        <w:t>la</w:t>
      </w:r>
      <w:r>
        <w:rPr>
          <w:spacing w:val="-12"/>
        </w:rPr>
        <w:t xml:space="preserve"> </w:t>
      </w:r>
      <w:r>
        <w:t>Unidad señaló que «en la conformación de la Unidad hubo problemas, porque de esos 25, el paramilitarismo</w:t>
      </w:r>
      <w:r>
        <w:rPr>
          <w:spacing w:val="-5"/>
        </w:rPr>
        <w:t xml:space="preserve"> </w:t>
      </w:r>
      <w:r>
        <w:t>infiltró</w:t>
      </w:r>
      <w:r>
        <w:rPr>
          <w:spacing w:val="-6"/>
        </w:rPr>
        <w:t xml:space="preserve"> </w:t>
      </w:r>
      <w:r>
        <w:t>y</w:t>
      </w:r>
      <w:r>
        <w:rPr>
          <w:spacing w:val="-6"/>
        </w:rPr>
        <w:t xml:space="preserve"> </w:t>
      </w:r>
      <w:r>
        <w:t>había</w:t>
      </w:r>
      <w:r>
        <w:rPr>
          <w:spacing w:val="-6"/>
        </w:rPr>
        <w:t xml:space="preserve"> </w:t>
      </w:r>
      <w:r>
        <w:t>dos</w:t>
      </w:r>
      <w:r>
        <w:rPr>
          <w:spacing w:val="-6"/>
        </w:rPr>
        <w:t xml:space="preserve"> </w:t>
      </w:r>
      <w:r>
        <w:t>fiscales,</w:t>
      </w:r>
      <w:r>
        <w:rPr>
          <w:spacing w:val="-6"/>
        </w:rPr>
        <w:t xml:space="preserve"> </w:t>
      </w:r>
      <w:r>
        <w:t>uno</w:t>
      </w:r>
      <w:r>
        <w:rPr>
          <w:spacing w:val="-5"/>
        </w:rPr>
        <w:t xml:space="preserve"> </w:t>
      </w:r>
      <w:r>
        <w:t>era</w:t>
      </w:r>
      <w:r>
        <w:rPr>
          <w:spacing w:val="-5"/>
        </w:rPr>
        <w:t xml:space="preserve"> </w:t>
      </w:r>
      <w:r>
        <w:t>un</w:t>
      </w:r>
      <w:r>
        <w:rPr>
          <w:spacing w:val="-6"/>
        </w:rPr>
        <w:t xml:space="preserve"> </w:t>
      </w:r>
      <w:r>
        <w:t>colega</w:t>
      </w:r>
      <w:r>
        <w:rPr>
          <w:spacing w:val="-7"/>
        </w:rPr>
        <w:t xml:space="preserve"> </w:t>
      </w:r>
      <w:r>
        <w:t>mío,</w:t>
      </w:r>
      <w:r>
        <w:rPr>
          <w:spacing w:val="-5"/>
        </w:rPr>
        <w:t xml:space="preserve"> </w:t>
      </w:r>
      <w:r>
        <w:t>con</w:t>
      </w:r>
      <w:r>
        <w:rPr>
          <w:spacing w:val="-6"/>
        </w:rPr>
        <w:t xml:space="preserve"> </w:t>
      </w:r>
      <w:r>
        <w:t>quien</w:t>
      </w:r>
      <w:r>
        <w:rPr>
          <w:spacing w:val="-5"/>
        </w:rPr>
        <w:t xml:space="preserve"> </w:t>
      </w:r>
      <w:r>
        <w:t>yo</w:t>
      </w:r>
      <w:r>
        <w:rPr>
          <w:spacing w:val="-5"/>
        </w:rPr>
        <w:t xml:space="preserve"> </w:t>
      </w:r>
      <w:r>
        <w:t>consultaba todo, que fue el que le filtró las órdenes de aprehensión que yo dicté en Sincelejo»</w:t>
      </w:r>
      <w:r w:rsidR="0074703B">
        <w:rPr>
          <w:rStyle w:val="Refdenotaalpie"/>
        </w:rPr>
        <w:footnoteReference w:id="884"/>
      </w:r>
      <w:r>
        <w:t>. Otro colega</w:t>
      </w:r>
      <w:r w:rsidR="003A30E5">
        <w:t xml:space="preserve"> </w:t>
      </w:r>
      <w:r>
        <w:t>«a los años terminó siendo el abogado principal de Carlos Castaño», añadió. Varios fiscales fueron amenazados y tuvieron que salir al exilio.</w:t>
      </w:r>
    </w:p>
    <w:p w:rsidR="003804AC" w:rsidRDefault="00AF18A5" w:rsidP="00D76216">
      <w:bookmarkStart w:id="1090" w:name="_bookmark962"/>
      <w:bookmarkStart w:id="1091" w:name="_bookmark963"/>
      <w:bookmarkStart w:id="1092" w:name="_bookmark964"/>
      <w:bookmarkStart w:id="1093" w:name="_bookmark965"/>
      <w:bookmarkEnd w:id="1090"/>
      <w:bookmarkEnd w:id="1091"/>
      <w:bookmarkEnd w:id="1092"/>
      <w:bookmarkEnd w:id="1093"/>
      <w:r>
        <w:t>Si bien la Fiscalía de DDHH llevó a cabo investigaciones con resultados positivos, su trabajo</w:t>
      </w:r>
      <w:r>
        <w:rPr>
          <w:spacing w:val="-1"/>
        </w:rPr>
        <w:t xml:space="preserve"> </w:t>
      </w:r>
      <w:r>
        <w:t>fue obstaculizado</w:t>
      </w:r>
      <w:r>
        <w:rPr>
          <w:spacing w:val="-1"/>
        </w:rPr>
        <w:t xml:space="preserve"> </w:t>
      </w:r>
      <w:r>
        <w:t>mediante</w:t>
      </w:r>
      <w:r>
        <w:rPr>
          <w:spacing w:val="-1"/>
        </w:rPr>
        <w:t xml:space="preserve"> </w:t>
      </w:r>
      <w:r>
        <w:t>amenazas y</w:t>
      </w:r>
      <w:r>
        <w:rPr>
          <w:spacing w:val="-1"/>
        </w:rPr>
        <w:t xml:space="preserve"> </w:t>
      </w:r>
      <w:r>
        <w:t>complicidades en</w:t>
      </w:r>
      <w:r>
        <w:rPr>
          <w:spacing w:val="-1"/>
        </w:rPr>
        <w:t xml:space="preserve"> </w:t>
      </w:r>
      <w:r>
        <w:t>las que</w:t>
      </w:r>
      <w:r>
        <w:rPr>
          <w:spacing w:val="-1"/>
        </w:rPr>
        <w:t xml:space="preserve"> </w:t>
      </w:r>
      <w:r>
        <w:t>intervinieron altos mandos militares y la propia Fiscalía durante la administración de Luis Camilo Osorio. Un ejemplo</w:t>
      </w:r>
      <w:r>
        <w:rPr>
          <w:spacing w:val="-6"/>
        </w:rPr>
        <w:t xml:space="preserve"> </w:t>
      </w:r>
      <w:r>
        <w:t>resume</w:t>
      </w:r>
      <w:r>
        <w:rPr>
          <w:spacing w:val="-6"/>
        </w:rPr>
        <w:t xml:space="preserve"> </w:t>
      </w:r>
      <w:r>
        <w:t>lo</w:t>
      </w:r>
      <w:r>
        <w:rPr>
          <w:spacing w:val="-6"/>
        </w:rPr>
        <w:t xml:space="preserve"> </w:t>
      </w:r>
      <w:r>
        <w:t>sucedido.</w:t>
      </w:r>
      <w:r>
        <w:rPr>
          <w:spacing w:val="-6"/>
        </w:rPr>
        <w:t xml:space="preserve"> </w:t>
      </w:r>
      <w:r>
        <w:t>El</w:t>
      </w:r>
      <w:r>
        <w:rPr>
          <w:spacing w:val="-6"/>
        </w:rPr>
        <w:t xml:space="preserve"> </w:t>
      </w:r>
      <w:r>
        <w:t>21</w:t>
      </w:r>
      <w:r>
        <w:rPr>
          <w:spacing w:val="-6"/>
        </w:rPr>
        <w:t xml:space="preserve"> </w:t>
      </w:r>
      <w:r>
        <w:t>de</w:t>
      </w:r>
      <w:r>
        <w:rPr>
          <w:spacing w:val="-6"/>
        </w:rPr>
        <w:t xml:space="preserve"> </w:t>
      </w:r>
      <w:r>
        <w:t>julio</w:t>
      </w:r>
      <w:r>
        <w:rPr>
          <w:spacing w:val="-6"/>
        </w:rPr>
        <w:t xml:space="preserve"> </w:t>
      </w:r>
      <w:r>
        <w:t>de</w:t>
      </w:r>
      <w:r>
        <w:rPr>
          <w:spacing w:val="-6"/>
        </w:rPr>
        <w:t xml:space="preserve"> </w:t>
      </w:r>
      <w:r>
        <w:t>2001,</w:t>
      </w:r>
      <w:r>
        <w:rPr>
          <w:spacing w:val="-6"/>
        </w:rPr>
        <w:t xml:space="preserve"> </w:t>
      </w:r>
      <w:r>
        <w:t>una</w:t>
      </w:r>
      <w:r>
        <w:rPr>
          <w:spacing w:val="-6"/>
        </w:rPr>
        <w:t xml:space="preserve"> </w:t>
      </w:r>
      <w:r>
        <w:t>fiscal</w:t>
      </w:r>
      <w:r>
        <w:rPr>
          <w:spacing w:val="-6"/>
        </w:rPr>
        <w:t xml:space="preserve"> </w:t>
      </w:r>
      <w:r>
        <w:t>especializada</w:t>
      </w:r>
      <w:r>
        <w:rPr>
          <w:spacing w:val="-6"/>
        </w:rPr>
        <w:t xml:space="preserve"> </w:t>
      </w:r>
      <w:r>
        <w:t>de</w:t>
      </w:r>
      <w:r>
        <w:rPr>
          <w:spacing w:val="-6"/>
        </w:rPr>
        <w:t xml:space="preserve"> </w:t>
      </w:r>
      <w:r>
        <w:t>la</w:t>
      </w:r>
      <w:r>
        <w:rPr>
          <w:spacing w:val="-6"/>
        </w:rPr>
        <w:t xml:space="preserve"> </w:t>
      </w:r>
      <w:r>
        <w:t>Unidad</w:t>
      </w:r>
      <w:r>
        <w:rPr>
          <w:spacing w:val="-6"/>
        </w:rPr>
        <w:t xml:space="preserve"> </w:t>
      </w:r>
      <w:r>
        <w:t>de DDHH le abrió investigación, ordenó allanar la residencia y dispuso la detención preventiva</w:t>
      </w:r>
      <w:r w:rsidR="000818DA">
        <w:rPr>
          <w:rStyle w:val="Refdenotaalpie"/>
        </w:rPr>
        <w:footnoteReference w:id="885"/>
      </w:r>
      <w:r>
        <w:rPr>
          <w:spacing w:val="-6"/>
        </w:rPr>
        <w:t xml:space="preserve"> </w:t>
      </w:r>
      <w:r>
        <w:t xml:space="preserve">del general Rito Alejo del Río por complicidad con grupos paramilitares en Urabá, cuando fue comandante de la Brigada XVII, entre 1996 y 1997. Según la Corte </w:t>
      </w:r>
      <w:r>
        <w:rPr>
          <w:spacing w:val="-2"/>
        </w:rPr>
        <w:t>Interamericana,</w:t>
      </w:r>
    </w:p>
    <w:p w:rsidR="003804AC" w:rsidRDefault="00AF18A5" w:rsidP="000818DA">
      <w:r>
        <w:t>La</w:t>
      </w:r>
      <w:r>
        <w:rPr>
          <w:spacing w:val="-5"/>
        </w:rPr>
        <w:t xml:space="preserve"> </w:t>
      </w:r>
      <w:r>
        <w:t>decisión</w:t>
      </w:r>
      <w:r>
        <w:rPr>
          <w:spacing w:val="-6"/>
        </w:rPr>
        <w:t xml:space="preserve"> </w:t>
      </w:r>
      <w:r>
        <w:t>que</w:t>
      </w:r>
      <w:r>
        <w:rPr>
          <w:spacing w:val="-5"/>
        </w:rPr>
        <w:t xml:space="preserve"> </w:t>
      </w:r>
      <w:r>
        <w:t>fue</w:t>
      </w:r>
      <w:r>
        <w:rPr>
          <w:spacing w:val="-5"/>
        </w:rPr>
        <w:t xml:space="preserve"> </w:t>
      </w:r>
      <w:r>
        <w:t>puesta</w:t>
      </w:r>
      <w:r>
        <w:rPr>
          <w:spacing w:val="-5"/>
        </w:rPr>
        <w:t xml:space="preserve"> </w:t>
      </w:r>
      <w:r>
        <w:t>en</w:t>
      </w:r>
      <w:r>
        <w:rPr>
          <w:spacing w:val="-5"/>
        </w:rPr>
        <w:t xml:space="preserve"> </w:t>
      </w:r>
      <w:r>
        <w:t>conocimiento</w:t>
      </w:r>
      <w:r>
        <w:rPr>
          <w:spacing w:val="-5"/>
        </w:rPr>
        <w:t xml:space="preserve"> </w:t>
      </w:r>
      <w:r>
        <w:t>del</w:t>
      </w:r>
      <w:r>
        <w:rPr>
          <w:spacing w:val="-4"/>
        </w:rPr>
        <w:t xml:space="preserve"> </w:t>
      </w:r>
      <w:r>
        <w:t>entrante</w:t>
      </w:r>
      <w:r>
        <w:rPr>
          <w:spacing w:val="-5"/>
        </w:rPr>
        <w:t xml:space="preserve"> </w:t>
      </w:r>
      <w:r>
        <w:t>FGN,</w:t>
      </w:r>
      <w:r>
        <w:rPr>
          <w:spacing w:val="-5"/>
        </w:rPr>
        <w:t xml:space="preserve"> </w:t>
      </w:r>
      <w:r>
        <w:t>Luis</w:t>
      </w:r>
      <w:r>
        <w:rPr>
          <w:spacing w:val="-5"/>
        </w:rPr>
        <w:t xml:space="preserve"> </w:t>
      </w:r>
      <w:r>
        <w:t>Camilo</w:t>
      </w:r>
      <w:r>
        <w:rPr>
          <w:spacing w:val="-5"/>
        </w:rPr>
        <w:t xml:space="preserve"> </w:t>
      </w:r>
      <w:r>
        <w:t>Osorio</w:t>
      </w:r>
      <w:r>
        <w:rPr>
          <w:spacing w:val="-5"/>
        </w:rPr>
        <w:t xml:space="preserve"> </w:t>
      </w:r>
      <w:r>
        <w:t>Isaza, fue considerada por él como una “deslealtad” y</w:t>
      </w:r>
      <w:r>
        <w:rPr>
          <w:spacing w:val="-1"/>
        </w:rPr>
        <w:t xml:space="preserve"> </w:t>
      </w:r>
      <w:r>
        <w:t xml:space="preserve">le </w:t>
      </w:r>
      <w:r>
        <w:lastRenderedPageBreak/>
        <w:t>solicitó la</w:t>
      </w:r>
      <w:r>
        <w:rPr>
          <w:spacing w:val="-1"/>
        </w:rPr>
        <w:t xml:space="preserve"> </w:t>
      </w:r>
      <w:r>
        <w:t>renuncia al</w:t>
      </w:r>
      <w:r>
        <w:rPr>
          <w:spacing w:val="-1"/>
        </w:rPr>
        <w:t xml:space="preserve"> </w:t>
      </w:r>
      <w:r>
        <w:t>Jefe de</w:t>
      </w:r>
      <w:r>
        <w:rPr>
          <w:spacing w:val="-1"/>
        </w:rPr>
        <w:t xml:space="preserve"> </w:t>
      </w:r>
      <w:r>
        <w:t>la UDH- FGN, quien fue apoyado con la renuncia del Fiscal General Encargado.</w:t>
      </w:r>
    </w:p>
    <w:p w:rsidR="003804AC" w:rsidRDefault="00AF18A5" w:rsidP="000818DA">
      <w:r>
        <w:t>Tiempo</w:t>
      </w:r>
      <w:r>
        <w:rPr>
          <w:spacing w:val="-1"/>
        </w:rPr>
        <w:t xml:space="preserve"> </w:t>
      </w:r>
      <w:r>
        <w:t>después,</w:t>
      </w:r>
      <w:r>
        <w:rPr>
          <w:spacing w:val="-1"/>
        </w:rPr>
        <w:t xml:space="preserve"> </w:t>
      </w:r>
      <w:r>
        <w:t>la</w:t>
      </w:r>
      <w:r>
        <w:rPr>
          <w:spacing w:val="-2"/>
        </w:rPr>
        <w:t xml:space="preserve"> </w:t>
      </w:r>
      <w:r>
        <w:t>CIDH</w:t>
      </w:r>
      <w:r>
        <w:rPr>
          <w:spacing w:val="-1"/>
        </w:rPr>
        <w:t xml:space="preserve"> </w:t>
      </w:r>
      <w:r>
        <w:t>señaló</w:t>
      </w:r>
      <w:r>
        <w:rPr>
          <w:spacing w:val="-1"/>
        </w:rPr>
        <w:t xml:space="preserve"> </w:t>
      </w:r>
      <w:r>
        <w:rPr>
          <w:spacing w:val="-5"/>
        </w:rPr>
        <w:t>que</w:t>
      </w:r>
      <w:r w:rsidR="000818DA">
        <w:rPr>
          <w:spacing w:val="-5"/>
        </w:rPr>
        <w:t xml:space="preserve"> </w:t>
      </w:r>
      <w:r>
        <w:t>la</w:t>
      </w:r>
      <w:r>
        <w:rPr>
          <w:spacing w:val="-7"/>
        </w:rPr>
        <w:t xml:space="preserve"> </w:t>
      </w:r>
      <w:r>
        <w:t>falta</w:t>
      </w:r>
      <w:r>
        <w:rPr>
          <w:spacing w:val="-7"/>
        </w:rPr>
        <w:t xml:space="preserve"> </w:t>
      </w:r>
      <w:r>
        <w:t>de</w:t>
      </w:r>
      <w:r>
        <w:rPr>
          <w:spacing w:val="-7"/>
        </w:rPr>
        <w:t xml:space="preserve"> </w:t>
      </w:r>
      <w:r>
        <w:t>apoyo</w:t>
      </w:r>
      <w:r>
        <w:rPr>
          <w:spacing w:val="-7"/>
        </w:rPr>
        <w:t xml:space="preserve"> </w:t>
      </w:r>
      <w:r>
        <w:t>a</w:t>
      </w:r>
      <w:r>
        <w:rPr>
          <w:spacing w:val="-7"/>
        </w:rPr>
        <w:t xml:space="preserve"> </w:t>
      </w:r>
      <w:r>
        <w:t>la</w:t>
      </w:r>
      <w:r>
        <w:rPr>
          <w:spacing w:val="-7"/>
        </w:rPr>
        <w:t xml:space="preserve"> </w:t>
      </w:r>
      <w:r>
        <w:t>decisión</w:t>
      </w:r>
      <w:r>
        <w:rPr>
          <w:spacing w:val="-7"/>
        </w:rPr>
        <w:t xml:space="preserve"> </w:t>
      </w:r>
      <w:r>
        <w:t>de</w:t>
      </w:r>
      <w:r>
        <w:rPr>
          <w:spacing w:val="-7"/>
        </w:rPr>
        <w:t xml:space="preserve"> </w:t>
      </w:r>
      <w:r>
        <w:t>la</w:t>
      </w:r>
      <w:r>
        <w:rPr>
          <w:spacing w:val="-7"/>
        </w:rPr>
        <w:t xml:space="preserve"> </w:t>
      </w:r>
      <w:r>
        <w:t>Unidad</w:t>
      </w:r>
      <w:r>
        <w:rPr>
          <w:spacing w:val="-7"/>
        </w:rPr>
        <w:t xml:space="preserve"> </w:t>
      </w:r>
      <w:r>
        <w:t>Nacional</w:t>
      </w:r>
      <w:r>
        <w:rPr>
          <w:spacing w:val="-7"/>
        </w:rPr>
        <w:t xml:space="preserve"> </w:t>
      </w:r>
      <w:r>
        <w:t>de</w:t>
      </w:r>
      <w:r>
        <w:rPr>
          <w:spacing w:val="-7"/>
        </w:rPr>
        <w:t xml:space="preserve"> </w:t>
      </w:r>
      <w:r>
        <w:t>Derechos</w:t>
      </w:r>
      <w:r>
        <w:rPr>
          <w:spacing w:val="-7"/>
        </w:rPr>
        <w:t xml:space="preserve"> </w:t>
      </w:r>
      <w:r>
        <w:t>Humanos</w:t>
      </w:r>
      <w:r>
        <w:rPr>
          <w:spacing w:val="-7"/>
        </w:rPr>
        <w:t xml:space="preserve"> </w:t>
      </w:r>
      <w:r>
        <w:t>de</w:t>
      </w:r>
      <w:r>
        <w:rPr>
          <w:spacing w:val="-7"/>
        </w:rPr>
        <w:t xml:space="preserve"> </w:t>
      </w:r>
      <w:r>
        <w:t>la</w:t>
      </w:r>
      <w:r>
        <w:rPr>
          <w:spacing w:val="-7"/>
        </w:rPr>
        <w:t xml:space="preserve"> </w:t>
      </w:r>
      <w:r>
        <w:t>Fiscalía de hacer efectivo el arresto del general del Río Rojas, suscitó la renuncia de su director, Pedro Díaz Romero y la liberación del general. La Comisión tomó conocimiento de que se</w:t>
      </w:r>
      <w:r>
        <w:rPr>
          <w:spacing w:val="-8"/>
        </w:rPr>
        <w:t xml:space="preserve"> </w:t>
      </w:r>
      <w:r>
        <w:t>habrían</w:t>
      </w:r>
      <w:r>
        <w:rPr>
          <w:spacing w:val="-8"/>
        </w:rPr>
        <w:t xml:space="preserve"> </w:t>
      </w:r>
      <w:r>
        <w:t>ordenado</w:t>
      </w:r>
      <w:r>
        <w:rPr>
          <w:spacing w:val="-8"/>
        </w:rPr>
        <w:t xml:space="preserve"> </w:t>
      </w:r>
      <w:r>
        <w:t>acciones</w:t>
      </w:r>
      <w:r>
        <w:rPr>
          <w:spacing w:val="-8"/>
        </w:rPr>
        <w:t xml:space="preserve"> </w:t>
      </w:r>
      <w:r>
        <w:t>judiciales</w:t>
      </w:r>
      <w:r>
        <w:rPr>
          <w:spacing w:val="-8"/>
        </w:rPr>
        <w:t xml:space="preserve"> </w:t>
      </w:r>
      <w:r>
        <w:t>y</w:t>
      </w:r>
      <w:r>
        <w:rPr>
          <w:spacing w:val="-8"/>
        </w:rPr>
        <w:t xml:space="preserve"> </w:t>
      </w:r>
      <w:r>
        <w:t>disciplinarias</w:t>
      </w:r>
      <w:r>
        <w:rPr>
          <w:spacing w:val="-9"/>
        </w:rPr>
        <w:t xml:space="preserve"> </w:t>
      </w:r>
      <w:r>
        <w:t>en</w:t>
      </w:r>
      <w:r>
        <w:rPr>
          <w:spacing w:val="-8"/>
        </w:rPr>
        <w:t xml:space="preserve"> </w:t>
      </w:r>
      <w:r>
        <w:t>contra</w:t>
      </w:r>
      <w:r>
        <w:rPr>
          <w:spacing w:val="-8"/>
        </w:rPr>
        <w:t xml:space="preserve"> </w:t>
      </w:r>
      <w:r>
        <w:t>de</w:t>
      </w:r>
      <w:r>
        <w:rPr>
          <w:spacing w:val="-9"/>
        </w:rPr>
        <w:t xml:space="preserve"> </w:t>
      </w:r>
      <w:r>
        <w:t>fiscales</w:t>
      </w:r>
      <w:r>
        <w:rPr>
          <w:spacing w:val="-8"/>
        </w:rPr>
        <w:t xml:space="preserve"> </w:t>
      </w:r>
      <w:r>
        <w:t>de</w:t>
      </w:r>
      <w:r>
        <w:rPr>
          <w:spacing w:val="-9"/>
        </w:rPr>
        <w:t xml:space="preserve"> </w:t>
      </w:r>
      <w:r>
        <w:t>la</w:t>
      </w:r>
      <w:r>
        <w:rPr>
          <w:spacing w:val="-8"/>
        </w:rPr>
        <w:t xml:space="preserve"> </w:t>
      </w:r>
      <w:r>
        <w:t>Unidad y miembros del Cuerpo Técnico de Investigaciones (CTI) que participaron de la investigación y el correspondiente arresto</w:t>
      </w:r>
      <w:r w:rsidR="000818DA">
        <w:rPr>
          <w:rStyle w:val="Refdenotaalpie"/>
        </w:rPr>
        <w:footnoteReference w:id="886"/>
      </w:r>
      <w:r>
        <w:t>.</w:t>
      </w:r>
    </w:p>
    <w:p w:rsidR="003804AC" w:rsidRDefault="00AF18A5" w:rsidP="000818DA">
      <w:r>
        <w:t>Otro ejemplo de justicia contra la justicia que muestra el esfuerzo y el compromiso de los investigadores</w:t>
      </w:r>
      <w:r>
        <w:rPr>
          <w:spacing w:val="-15"/>
        </w:rPr>
        <w:t xml:space="preserve"> </w:t>
      </w:r>
      <w:r>
        <w:t>judiciales,</w:t>
      </w:r>
      <w:r>
        <w:rPr>
          <w:spacing w:val="-15"/>
        </w:rPr>
        <w:t xml:space="preserve"> </w:t>
      </w:r>
      <w:r>
        <w:t>pero</w:t>
      </w:r>
      <w:r>
        <w:rPr>
          <w:spacing w:val="-15"/>
        </w:rPr>
        <w:t xml:space="preserve"> </w:t>
      </w:r>
      <w:r>
        <w:t>que</w:t>
      </w:r>
      <w:r>
        <w:rPr>
          <w:spacing w:val="-15"/>
        </w:rPr>
        <w:t xml:space="preserve"> </w:t>
      </w:r>
      <w:r>
        <w:t>también</w:t>
      </w:r>
      <w:r>
        <w:rPr>
          <w:spacing w:val="-15"/>
        </w:rPr>
        <w:t xml:space="preserve"> </w:t>
      </w:r>
      <w:r>
        <w:t>terminó</w:t>
      </w:r>
      <w:r>
        <w:rPr>
          <w:spacing w:val="-15"/>
        </w:rPr>
        <w:t xml:space="preserve"> </w:t>
      </w:r>
      <w:r>
        <w:t>en</w:t>
      </w:r>
      <w:r>
        <w:rPr>
          <w:spacing w:val="-15"/>
        </w:rPr>
        <w:t xml:space="preserve"> </w:t>
      </w:r>
      <w:r>
        <w:t>un</w:t>
      </w:r>
      <w:r>
        <w:rPr>
          <w:spacing w:val="-15"/>
        </w:rPr>
        <w:t xml:space="preserve"> </w:t>
      </w:r>
      <w:r>
        <w:t>caso</w:t>
      </w:r>
      <w:r>
        <w:rPr>
          <w:spacing w:val="-15"/>
        </w:rPr>
        <w:t xml:space="preserve"> </w:t>
      </w:r>
      <w:r>
        <w:t>de</w:t>
      </w:r>
      <w:r>
        <w:rPr>
          <w:spacing w:val="-15"/>
        </w:rPr>
        <w:t xml:space="preserve"> </w:t>
      </w:r>
      <w:r>
        <w:t>impunidad</w:t>
      </w:r>
      <w:r>
        <w:rPr>
          <w:spacing w:val="-15"/>
        </w:rPr>
        <w:t xml:space="preserve"> </w:t>
      </w:r>
      <w:r>
        <w:t>por</w:t>
      </w:r>
      <w:r>
        <w:rPr>
          <w:spacing w:val="-15"/>
        </w:rPr>
        <w:t xml:space="preserve"> </w:t>
      </w:r>
      <w:r>
        <w:t>los</w:t>
      </w:r>
      <w:r>
        <w:rPr>
          <w:spacing w:val="-15"/>
        </w:rPr>
        <w:t xml:space="preserve"> </w:t>
      </w:r>
      <w:r>
        <w:t>entornos de</w:t>
      </w:r>
      <w:r>
        <w:rPr>
          <w:spacing w:val="-5"/>
        </w:rPr>
        <w:t xml:space="preserve"> </w:t>
      </w:r>
      <w:r>
        <w:t>filtración</w:t>
      </w:r>
      <w:r>
        <w:rPr>
          <w:spacing w:val="-7"/>
        </w:rPr>
        <w:t xml:space="preserve"> </w:t>
      </w:r>
      <w:r>
        <w:t>y</w:t>
      </w:r>
      <w:r>
        <w:rPr>
          <w:spacing w:val="-5"/>
        </w:rPr>
        <w:t xml:space="preserve"> </w:t>
      </w:r>
      <w:r>
        <w:t>ataques</w:t>
      </w:r>
      <w:r>
        <w:rPr>
          <w:spacing w:val="-6"/>
        </w:rPr>
        <w:t xml:space="preserve"> </w:t>
      </w:r>
      <w:r>
        <w:t>directos</w:t>
      </w:r>
      <w:r>
        <w:rPr>
          <w:spacing w:val="-5"/>
        </w:rPr>
        <w:t xml:space="preserve"> </w:t>
      </w:r>
      <w:r>
        <w:t>a</w:t>
      </w:r>
      <w:r>
        <w:rPr>
          <w:spacing w:val="-6"/>
        </w:rPr>
        <w:t xml:space="preserve"> </w:t>
      </w:r>
      <w:r>
        <w:t>la</w:t>
      </w:r>
      <w:r>
        <w:rPr>
          <w:spacing w:val="-6"/>
        </w:rPr>
        <w:t xml:space="preserve"> </w:t>
      </w:r>
      <w:r>
        <w:t>justicia,</w:t>
      </w:r>
      <w:r>
        <w:rPr>
          <w:spacing w:val="-5"/>
        </w:rPr>
        <w:t xml:space="preserve"> </w:t>
      </w:r>
      <w:r>
        <w:t>se</w:t>
      </w:r>
      <w:r>
        <w:rPr>
          <w:spacing w:val="-5"/>
        </w:rPr>
        <w:t xml:space="preserve"> </w:t>
      </w:r>
      <w:r>
        <w:t>produjo</w:t>
      </w:r>
      <w:r>
        <w:rPr>
          <w:spacing w:val="-5"/>
        </w:rPr>
        <w:t xml:space="preserve"> </w:t>
      </w:r>
      <w:r>
        <w:t>en</w:t>
      </w:r>
      <w:r>
        <w:rPr>
          <w:spacing w:val="-5"/>
        </w:rPr>
        <w:t xml:space="preserve"> </w:t>
      </w:r>
      <w:r>
        <w:t>1998.</w:t>
      </w:r>
      <w:r>
        <w:rPr>
          <w:spacing w:val="-6"/>
        </w:rPr>
        <w:t xml:space="preserve"> </w:t>
      </w:r>
      <w:r>
        <w:t>Ese</w:t>
      </w:r>
      <w:r>
        <w:rPr>
          <w:spacing w:val="-5"/>
        </w:rPr>
        <w:t xml:space="preserve"> </w:t>
      </w:r>
      <w:r>
        <w:t>año,</w:t>
      </w:r>
      <w:r>
        <w:rPr>
          <w:spacing w:val="-5"/>
        </w:rPr>
        <w:t xml:space="preserve"> </w:t>
      </w:r>
      <w:r>
        <w:t>un</w:t>
      </w:r>
      <w:r>
        <w:rPr>
          <w:spacing w:val="-6"/>
        </w:rPr>
        <w:t xml:space="preserve"> </w:t>
      </w:r>
      <w:r>
        <w:t>grupo</w:t>
      </w:r>
      <w:r>
        <w:rPr>
          <w:spacing w:val="-5"/>
        </w:rPr>
        <w:t xml:space="preserve"> </w:t>
      </w:r>
      <w:r>
        <w:t>del</w:t>
      </w:r>
      <w:r>
        <w:rPr>
          <w:spacing w:val="-4"/>
        </w:rPr>
        <w:t xml:space="preserve"> </w:t>
      </w:r>
      <w:r>
        <w:t>CTI</w:t>
      </w:r>
      <w:r>
        <w:rPr>
          <w:spacing w:val="-4"/>
        </w:rPr>
        <w:t xml:space="preserve"> </w:t>
      </w:r>
      <w:r>
        <w:t>y de</w:t>
      </w:r>
      <w:r>
        <w:rPr>
          <w:spacing w:val="-3"/>
        </w:rPr>
        <w:t xml:space="preserve"> </w:t>
      </w:r>
      <w:r>
        <w:t>la</w:t>
      </w:r>
      <w:r>
        <w:rPr>
          <w:spacing w:val="-3"/>
        </w:rPr>
        <w:t xml:space="preserve"> </w:t>
      </w:r>
      <w:r>
        <w:t>Fiscalía</w:t>
      </w:r>
      <w:r>
        <w:rPr>
          <w:spacing w:val="-3"/>
        </w:rPr>
        <w:t xml:space="preserve"> </w:t>
      </w:r>
      <w:r>
        <w:t>encontró</w:t>
      </w:r>
      <w:r>
        <w:rPr>
          <w:spacing w:val="-5"/>
        </w:rPr>
        <w:t xml:space="preserve"> </w:t>
      </w:r>
      <w:r>
        <w:t>en</w:t>
      </w:r>
      <w:r>
        <w:rPr>
          <w:spacing w:val="-3"/>
        </w:rPr>
        <w:t xml:space="preserve"> </w:t>
      </w:r>
      <w:r>
        <w:t>el</w:t>
      </w:r>
      <w:r>
        <w:rPr>
          <w:spacing w:val="-3"/>
        </w:rPr>
        <w:t xml:space="preserve"> </w:t>
      </w:r>
      <w:r>
        <w:t>llamado</w:t>
      </w:r>
      <w:r>
        <w:rPr>
          <w:spacing w:val="-5"/>
        </w:rPr>
        <w:t xml:space="preserve"> </w:t>
      </w:r>
      <w:r>
        <w:t>Parqueadero</w:t>
      </w:r>
      <w:r>
        <w:rPr>
          <w:spacing w:val="-3"/>
        </w:rPr>
        <w:t xml:space="preserve"> </w:t>
      </w:r>
      <w:r>
        <w:t>Padilla,</w:t>
      </w:r>
      <w:r>
        <w:rPr>
          <w:spacing w:val="-3"/>
        </w:rPr>
        <w:t xml:space="preserve"> </w:t>
      </w:r>
      <w:r>
        <w:t>ubicado</w:t>
      </w:r>
      <w:r>
        <w:rPr>
          <w:spacing w:val="-3"/>
        </w:rPr>
        <w:t xml:space="preserve"> </w:t>
      </w:r>
      <w:r>
        <w:t>en</w:t>
      </w:r>
      <w:r>
        <w:rPr>
          <w:spacing w:val="-3"/>
        </w:rPr>
        <w:t xml:space="preserve"> </w:t>
      </w:r>
      <w:r>
        <w:t>el</w:t>
      </w:r>
      <w:r>
        <w:rPr>
          <w:spacing w:val="-3"/>
        </w:rPr>
        <w:t xml:space="preserve"> </w:t>
      </w:r>
      <w:r>
        <w:t>centro</w:t>
      </w:r>
      <w:r>
        <w:rPr>
          <w:spacing w:val="-3"/>
        </w:rPr>
        <w:t xml:space="preserve"> </w:t>
      </w:r>
      <w:r>
        <w:t>de</w:t>
      </w:r>
      <w:r>
        <w:rPr>
          <w:spacing w:val="-3"/>
        </w:rPr>
        <w:t xml:space="preserve"> </w:t>
      </w:r>
      <w:r>
        <w:t>Medellín, un foco de operación del paramilitarismo. Este hallazgo puso al descubierto el entramado financiero de las Autodefensas Unidas de Córdoba y Urabá (ACCU). Este es un lugar altamente simbólico porque se encuentra frente al complejo administrativo de La Alpujarra en Medellín, sede de la justicia en la capital antioqueña. Durante ese operativo judicial, se recuperaron</w:t>
      </w:r>
      <w:r>
        <w:rPr>
          <w:spacing w:val="78"/>
        </w:rPr>
        <w:t xml:space="preserve"> </w:t>
      </w:r>
      <w:r>
        <w:t>organigramas,</w:t>
      </w:r>
      <w:r>
        <w:rPr>
          <w:spacing w:val="79"/>
        </w:rPr>
        <w:t xml:space="preserve"> </w:t>
      </w:r>
      <w:r>
        <w:t>contabilidad</w:t>
      </w:r>
      <w:r>
        <w:rPr>
          <w:spacing w:val="79"/>
        </w:rPr>
        <w:t xml:space="preserve"> </w:t>
      </w:r>
      <w:r>
        <w:t>y</w:t>
      </w:r>
      <w:r>
        <w:rPr>
          <w:spacing w:val="79"/>
        </w:rPr>
        <w:t xml:space="preserve"> </w:t>
      </w:r>
      <w:r>
        <w:t>equipos</w:t>
      </w:r>
      <w:r>
        <w:rPr>
          <w:spacing w:val="50"/>
          <w:w w:val="150"/>
        </w:rPr>
        <w:t xml:space="preserve"> </w:t>
      </w:r>
      <w:r>
        <w:t>de</w:t>
      </w:r>
      <w:r>
        <w:rPr>
          <w:spacing w:val="79"/>
        </w:rPr>
        <w:t xml:space="preserve"> </w:t>
      </w:r>
      <w:r>
        <w:t>comunicación</w:t>
      </w:r>
      <w:r>
        <w:rPr>
          <w:spacing w:val="79"/>
        </w:rPr>
        <w:t xml:space="preserve"> </w:t>
      </w:r>
      <w:r>
        <w:t>que</w:t>
      </w:r>
      <w:r>
        <w:rPr>
          <w:spacing w:val="79"/>
        </w:rPr>
        <w:t xml:space="preserve"> </w:t>
      </w:r>
      <w:r>
        <w:t>revelaron</w:t>
      </w:r>
      <w:r>
        <w:rPr>
          <w:spacing w:val="50"/>
          <w:w w:val="150"/>
        </w:rPr>
        <w:t xml:space="preserve"> </w:t>
      </w:r>
      <w:r>
        <w:rPr>
          <w:spacing w:val="-5"/>
        </w:rPr>
        <w:t>la</w:t>
      </w:r>
      <w:bookmarkStart w:id="1094" w:name="_bookmark966"/>
      <w:bookmarkStart w:id="1095" w:name="_bookmark967"/>
      <w:bookmarkEnd w:id="1094"/>
      <w:bookmarkEnd w:id="1095"/>
      <w:r w:rsidR="000818DA">
        <w:rPr>
          <w:spacing w:val="-5"/>
        </w:rPr>
        <w:t xml:space="preserve"> </w:t>
      </w:r>
      <w:r>
        <w:t>sofisticada</w:t>
      </w:r>
      <w:r>
        <w:rPr>
          <w:spacing w:val="-3"/>
        </w:rPr>
        <w:t xml:space="preserve"> </w:t>
      </w:r>
      <w:r>
        <w:t>estructura</w:t>
      </w:r>
      <w:r>
        <w:rPr>
          <w:spacing w:val="-4"/>
        </w:rPr>
        <w:t xml:space="preserve"> </w:t>
      </w:r>
      <w:r>
        <w:t>paramilitar,</w:t>
      </w:r>
      <w:r>
        <w:rPr>
          <w:spacing w:val="-5"/>
        </w:rPr>
        <w:t xml:space="preserve"> </w:t>
      </w:r>
      <w:r>
        <w:t>los</w:t>
      </w:r>
      <w:r>
        <w:rPr>
          <w:spacing w:val="-4"/>
        </w:rPr>
        <w:t xml:space="preserve"> </w:t>
      </w:r>
      <w:r>
        <w:t>aportes</w:t>
      </w:r>
      <w:r>
        <w:rPr>
          <w:spacing w:val="-4"/>
        </w:rPr>
        <w:t xml:space="preserve"> </w:t>
      </w:r>
      <w:r>
        <w:t>de</w:t>
      </w:r>
      <w:r>
        <w:rPr>
          <w:spacing w:val="-4"/>
        </w:rPr>
        <w:t xml:space="preserve"> </w:t>
      </w:r>
      <w:r>
        <w:t>empresarios</w:t>
      </w:r>
      <w:r>
        <w:rPr>
          <w:spacing w:val="-6"/>
        </w:rPr>
        <w:t xml:space="preserve"> </w:t>
      </w:r>
      <w:r>
        <w:t>y</w:t>
      </w:r>
      <w:r>
        <w:rPr>
          <w:spacing w:val="-3"/>
        </w:rPr>
        <w:t xml:space="preserve"> </w:t>
      </w:r>
      <w:r>
        <w:t>ganaderos,</w:t>
      </w:r>
      <w:r>
        <w:rPr>
          <w:spacing w:val="-5"/>
        </w:rPr>
        <w:t xml:space="preserve"> </w:t>
      </w:r>
      <w:r>
        <w:t>las</w:t>
      </w:r>
      <w:r>
        <w:rPr>
          <w:spacing w:val="-4"/>
        </w:rPr>
        <w:t xml:space="preserve"> </w:t>
      </w:r>
      <w:r>
        <w:t>relaciones</w:t>
      </w:r>
      <w:r>
        <w:rPr>
          <w:spacing w:val="-3"/>
        </w:rPr>
        <w:t xml:space="preserve"> </w:t>
      </w:r>
      <w:r>
        <w:t>con miembros de la fuerza pública y el alcance territorial de la organización.</w:t>
      </w:r>
    </w:p>
    <w:p w:rsidR="003804AC" w:rsidRDefault="00AF18A5" w:rsidP="000818DA">
      <w:r>
        <w:t xml:space="preserve">Inicialmente, esta investigación abrió la posibilidad de acceder al núcleo </w:t>
      </w:r>
      <w:r>
        <w:lastRenderedPageBreak/>
        <w:t xml:space="preserve">fundamental de las finanzas del </w:t>
      </w:r>
      <w:proofErr w:type="spellStart"/>
      <w:r>
        <w:t>narcoparamilitarismo</w:t>
      </w:r>
      <w:proofErr w:type="spellEnd"/>
      <w:r>
        <w:t xml:space="preserve">. En la documentación incautada, aparecieron numerosos nombres de empresas, organizaciones y testaferros. Sin embargo, las personas </w:t>
      </w:r>
      <w:r>
        <w:rPr>
          <w:spacing w:val="-2"/>
        </w:rPr>
        <w:t>capturadas,</w:t>
      </w:r>
      <w:r>
        <w:rPr>
          <w:spacing w:val="-3"/>
        </w:rPr>
        <w:t xml:space="preserve"> </w:t>
      </w:r>
      <w:r>
        <w:rPr>
          <w:spacing w:val="-2"/>
        </w:rPr>
        <w:t>procesadas por concierto</w:t>
      </w:r>
      <w:r>
        <w:rPr>
          <w:spacing w:val="-4"/>
        </w:rPr>
        <w:t xml:space="preserve"> </w:t>
      </w:r>
      <w:r>
        <w:rPr>
          <w:spacing w:val="-2"/>
        </w:rPr>
        <w:t xml:space="preserve">para delinquir, solicitaron sentencia anticipada y Jacinto </w:t>
      </w:r>
      <w:r>
        <w:t xml:space="preserve">Soto Toro, capturado el día del operativo e individualizado como jefe de las finanzas de las AUC, se fugó de la cárcel Bellavista, por la puerta, gracias a una boleta de libertad firmada por un fiscal que obró fraudulentamente. Solo años después, las investigaciones contra una cuñada de Carlos Castaño, que en su momento manejó las finanzas de la fundación </w:t>
      </w:r>
      <w:proofErr w:type="spellStart"/>
      <w:r>
        <w:t>Funpazcor</w:t>
      </w:r>
      <w:proofErr w:type="spellEnd"/>
      <w:r>
        <w:t>, demostraron el alcance de la información para probar el despojo de tierras. Sin embargo,</w:t>
      </w:r>
      <w:r>
        <w:rPr>
          <w:spacing w:val="-15"/>
        </w:rPr>
        <w:t xml:space="preserve"> </w:t>
      </w:r>
      <w:r>
        <w:t>en</w:t>
      </w:r>
      <w:r>
        <w:rPr>
          <w:spacing w:val="-14"/>
        </w:rPr>
        <w:t xml:space="preserve"> </w:t>
      </w:r>
      <w:r>
        <w:t>su</w:t>
      </w:r>
      <w:r>
        <w:rPr>
          <w:spacing w:val="-14"/>
        </w:rPr>
        <w:t xml:space="preserve"> </w:t>
      </w:r>
      <w:r>
        <w:t>momento,</w:t>
      </w:r>
      <w:r>
        <w:rPr>
          <w:spacing w:val="-14"/>
        </w:rPr>
        <w:t xml:space="preserve"> </w:t>
      </w:r>
      <w:r>
        <w:t>la</w:t>
      </w:r>
      <w:r>
        <w:rPr>
          <w:spacing w:val="-14"/>
        </w:rPr>
        <w:t xml:space="preserve"> </w:t>
      </w:r>
      <w:r>
        <w:t>Dirección</w:t>
      </w:r>
      <w:r>
        <w:rPr>
          <w:spacing w:val="-14"/>
        </w:rPr>
        <w:t xml:space="preserve"> </w:t>
      </w:r>
      <w:r>
        <w:t>Nacional</w:t>
      </w:r>
      <w:r>
        <w:rPr>
          <w:spacing w:val="-14"/>
        </w:rPr>
        <w:t xml:space="preserve"> </w:t>
      </w:r>
      <w:r>
        <w:t>de</w:t>
      </w:r>
      <w:r>
        <w:rPr>
          <w:spacing w:val="-14"/>
        </w:rPr>
        <w:t xml:space="preserve"> </w:t>
      </w:r>
      <w:r>
        <w:t>Fiscalías</w:t>
      </w:r>
      <w:r>
        <w:rPr>
          <w:spacing w:val="-14"/>
        </w:rPr>
        <w:t xml:space="preserve"> </w:t>
      </w:r>
      <w:r>
        <w:t>optó</w:t>
      </w:r>
      <w:r>
        <w:rPr>
          <w:spacing w:val="-14"/>
        </w:rPr>
        <w:t xml:space="preserve"> </w:t>
      </w:r>
      <w:r>
        <w:t>por</w:t>
      </w:r>
      <w:r>
        <w:rPr>
          <w:spacing w:val="-14"/>
        </w:rPr>
        <w:t xml:space="preserve"> </w:t>
      </w:r>
      <w:r>
        <w:t>dar</w:t>
      </w:r>
      <w:r>
        <w:rPr>
          <w:spacing w:val="-15"/>
        </w:rPr>
        <w:t xml:space="preserve"> </w:t>
      </w:r>
      <w:r>
        <w:t>continuos</w:t>
      </w:r>
      <w:r>
        <w:rPr>
          <w:spacing w:val="-14"/>
        </w:rPr>
        <w:t xml:space="preserve"> </w:t>
      </w:r>
      <w:r>
        <w:t>traslados a la investigación, lo que terminó por obstaculizarla. Dos investigadores del caso señalaron que la información más importante del caso terminó desapareciendo de la Fiscalía</w:t>
      </w:r>
      <w:r w:rsidR="000818DA">
        <w:rPr>
          <w:rStyle w:val="Refdenotaalpie"/>
        </w:rPr>
        <w:footnoteReference w:id="887"/>
      </w:r>
      <w:r>
        <w:t xml:space="preserve"> y, cuando trataron de revisar el expediente, «esa investigación del Parqueadero Padilla, de las finanzas de las Autodefensas, eso fue un monstruo ¡y desapareció!»</w:t>
      </w:r>
      <w:r w:rsidR="000818DA">
        <w:rPr>
          <w:rStyle w:val="Refdenotaalpie"/>
        </w:rPr>
        <w:footnoteReference w:id="888"/>
      </w:r>
      <w:r>
        <w:t>.</w:t>
      </w:r>
    </w:p>
    <w:p w:rsidR="0011361F" w:rsidRDefault="00AF18A5" w:rsidP="004A6EF4">
      <w:pPr>
        <w:pStyle w:val="Ttulo3"/>
        <w:numPr>
          <w:ilvl w:val="1"/>
          <w:numId w:val="16"/>
        </w:numPr>
      </w:pPr>
      <w:bookmarkStart w:id="1096" w:name="8.3._Cooptación_de_la_justicia"/>
      <w:bookmarkStart w:id="1097" w:name="_Toc112399628"/>
      <w:bookmarkEnd w:id="1096"/>
      <w:r>
        <w:t>Cooptación</w:t>
      </w:r>
      <w:r>
        <w:rPr>
          <w:spacing w:val="-2"/>
        </w:rPr>
        <w:t xml:space="preserve"> </w:t>
      </w:r>
      <w:r>
        <w:t>de</w:t>
      </w:r>
      <w:r>
        <w:rPr>
          <w:spacing w:val="-1"/>
        </w:rPr>
        <w:t xml:space="preserve"> </w:t>
      </w:r>
      <w:r>
        <w:t>la</w:t>
      </w:r>
      <w:r>
        <w:rPr>
          <w:spacing w:val="-1"/>
        </w:rPr>
        <w:t xml:space="preserve"> </w:t>
      </w:r>
      <w:r>
        <w:rPr>
          <w:spacing w:val="-2"/>
        </w:rPr>
        <w:t>justicia</w:t>
      </w:r>
      <w:bookmarkEnd w:id="1097"/>
    </w:p>
    <w:p w:rsidR="003804AC" w:rsidRDefault="00AF18A5" w:rsidP="00E66F52">
      <w:r>
        <w:t>Yo</w:t>
      </w:r>
      <w:r>
        <w:rPr>
          <w:spacing w:val="-1"/>
        </w:rPr>
        <w:t xml:space="preserve"> </w:t>
      </w:r>
      <w:r>
        <w:t>la</w:t>
      </w:r>
      <w:r>
        <w:rPr>
          <w:spacing w:val="-1"/>
        </w:rPr>
        <w:t xml:space="preserve"> </w:t>
      </w:r>
      <w:r>
        <w:t>conozco</w:t>
      </w:r>
      <w:r>
        <w:rPr>
          <w:spacing w:val="-3"/>
        </w:rPr>
        <w:t xml:space="preserve"> </w:t>
      </w:r>
      <w:r>
        <w:t>a</w:t>
      </w:r>
      <w:r>
        <w:rPr>
          <w:spacing w:val="-3"/>
        </w:rPr>
        <w:t xml:space="preserve"> </w:t>
      </w:r>
      <w:r>
        <w:t>usted.</w:t>
      </w:r>
      <w:r>
        <w:rPr>
          <w:spacing w:val="-2"/>
        </w:rPr>
        <w:t xml:space="preserve"> </w:t>
      </w:r>
      <w:r>
        <w:t>Yo</w:t>
      </w:r>
      <w:r>
        <w:rPr>
          <w:spacing w:val="-1"/>
        </w:rPr>
        <w:t xml:space="preserve"> </w:t>
      </w:r>
      <w:r>
        <w:t>sé</w:t>
      </w:r>
      <w:r>
        <w:rPr>
          <w:spacing w:val="-5"/>
        </w:rPr>
        <w:t xml:space="preserve"> </w:t>
      </w:r>
      <w:r>
        <w:t>que</w:t>
      </w:r>
      <w:r>
        <w:rPr>
          <w:spacing w:val="-3"/>
        </w:rPr>
        <w:t xml:space="preserve"> </w:t>
      </w:r>
      <w:r>
        <w:t>usted</w:t>
      </w:r>
      <w:r>
        <w:rPr>
          <w:spacing w:val="-1"/>
        </w:rPr>
        <w:t xml:space="preserve"> </w:t>
      </w:r>
      <w:r>
        <w:t>tiene</w:t>
      </w:r>
      <w:r>
        <w:rPr>
          <w:spacing w:val="-3"/>
        </w:rPr>
        <w:t xml:space="preserve"> </w:t>
      </w:r>
      <w:r>
        <w:t>dos</w:t>
      </w:r>
      <w:r>
        <w:rPr>
          <w:spacing w:val="-3"/>
        </w:rPr>
        <w:t xml:space="preserve"> </w:t>
      </w:r>
      <w:r>
        <w:t>hijos,</w:t>
      </w:r>
      <w:r>
        <w:rPr>
          <w:spacing w:val="-3"/>
        </w:rPr>
        <w:t xml:space="preserve"> </w:t>
      </w:r>
      <w:r>
        <w:t>un</w:t>
      </w:r>
      <w:r>
        <w:rPr>
          <w:spacing w:val="-3"/>
        </w:rPr>
        <w:t xml:space="preserve"> </w:t>
      </w:r>
      <w:r>
        <w:t>niño</w:t>
      </w:r>
      <w:r>
        <w:rPr>
          <w:spacing w:val="-1"/>
        </w:rPr>
        <w:t xml:space="preserve"> </w:t>
      </w:r>
      <w:r>
        <w:t>y</w:t>
      </w:r>
      <w:r>
        <w:rPr>
          <w:spacing w:val="-3"/>
        </w:rPr>
        <w:t xml:space="preserve"> </w:t>
      </w:r>
      <w:r>
        <w:t>una</w:t>
      </w:r>
      <w:r>
        <w:rPr>
          <w:spacing w:val="-3"/>
        </w:rPr>
        <w:t xml:space="preserve"> </w:t>
      </w:r>
      <w:r>
        <w:t>niña.</w:t>
      </w:r>
      <w:r>
        <w:rPr>
          <w:spacing w:val="-3"/>
        </w:rPr>
        <w:t xml:space="preserve"> </w:t>
      </w:r>
      <w:r>
        <w:t>Sé</w:t>
      </w:r>
      <w:r>
        <w:rPr>
          <w:spacing w:val="-3"/>
        </w:rPr>
        <w:t xml:space="preserve"> </w:t>
      </w:r>
      <w:r>
        <w:t>dónde</w:t>
      </w:r>
      <w:r>
        <w:rPr>
          <w:spacing w:val="-2"/>
        </w:rPr>
        <w:t xml:space="preserve"> </w:t>
      </w:r>
      <w:r>
        <w:t>estudian</w:t>
      </w:r>
      <w:r>
        <w:rPr>
          <w:spacing w:val="-1"/>
        </w:rPr>
        <w:t xml:space="preserve"> </w:t>
      </w:r>
      <w:r>
        <w:t>sus</w:t>
      </w:r>
      <w:r>
        <w:rPr>
          <w:spacing w:val="-3"/>
        </w:rPr>
        <w:t xml:space="preserve"> </w:t>
      </w:r>
      <w:r>
        <w:t>hijos,</w:t>
      </w:r>
      <w:r>
        <w:rPr>
          <w:spacing w:val="-3"/>
        </w:rPr>
        <w:t xml:space="preserve"> </w:t>
      </w:r>
      <w:r>
        <w:t>sé</w:t>
      </w:r>
      <w:r>
        <w:rPr>
          <w:spacing w:val="-2"/>
        </w:rPr>
        <w:t xml:space="preserve"> </w:t>
      </w:r>
      <w:r>
        <w:t>que su mamá es la que cuida a sus hijos [...]. Lo que pasa es que usted se convirtió en un problema para la organización</w:t>
      </w:r>
      <w:r>
        <w:rPr>
          <w:spacing w:val="-3"/>
        </w:rPr>
        <w:t xml:space="preserve"> </w:t>
      </w:r>
      <w:r>
        <w:t>[...].</w:t>
      </w:r>
      <w:r>
        <w:rPr>
          <w:spacing w:val="-3"/>
        </w:rPr>
        <w:t xml:space="preserve"> </w:t>
      </w:r>
      <w:r>
        <w:t>Cuídese</w:t>
      </w:r>
      <w:r>
        <w:rPr>
          <w:spacing w:val="-3"/>
        </w:rPr>
        <w:t xml:space="preserve"> </w:t>
      </w:r>
      <w:r>
        <w:t>porque</w:t>
      </w:r>
      <w:r>
        <w:rPr>
          <w:spacing w:val="-2"/>
        </w:rPr>
        <w:t xml:space="preserve"> </w:t>
      </w:r>
      <w:r>
        <w:t>la</w:t>
      </w:r>
      <w:r>
        <w:rPr>
          <w:spacing w:val="-3"/>
        </w:rPr>
        <w:t xml:space="preserve"> </w:t>
      </w:r>
      <w:r>
        <w:t>van</w:t>
      </w:r>
      <w:r>
        <w:rPr>
          <w:spacing w:val="-3"/>
        </w:rPr>
        <w:t xml:space="preserve"> </w:t>
      </w:r>
      <w:r>
        <w:t>a</w:t>
      </w:r>
      <w:r>
        <w:rPr>
          <w:spacing w:val="-3"/>
        </w:rPr>
        <w:t xml:space="preserve"> </w:t>
      </w:r>
      <w:r>
        <w:t>matar</w:t>
      </w:r>
      <w:r>
        <w:rPr>
          <w:spacing w:val="-3"/>
        </w:rPr>
        <w:t xml:space="preserve"> </w:t>
      </w:r>
      <w:r>
        <w:t>a</w:t>
      </w:r>
      <w:r>
        <w:rPr>
          <w:spacing w:val="-3"/>
        </w:rPr>
        <w:t xml:space="preserve"> </w:t>
      </w:r>
      <w:r>
        <w:t>usted</w:t>
      </w:r>
      <w:r>
        <w:rPr>
          <w:spacing w:val="-4"/>
        </w:rPr>
        <w:t xml:space="preserve"> </w:t>
      </w:r>
      <w:r>
        <w:t>y</w:t>
      </w:r>
      <w:r>
        <w:rPr>
          <w:spacing w:val="-2"/>
        </w:rPr>
        <w:t xml:space="preserve"> </w:t>
      </w:r>
      <w:r>
        <w:t>a</w:t>
      </w:r>
      <w:r>
        <w:rPr>
          <w:spacing w:val="-3"/>
        </w:rPr>
        <w:t xml:space="preserve"> </w:t>
      </w:r>
      <w:r>
        <w:t>otra</w:t>
      </w:r>
      <w:r>
        <w:rPr>
          <w:spacing w:val="-1"/>
        </w:rPr>
        <w:t xml:space="preserve"> </w:t>
      </w:r>
      <w:r>
        <w:t>fiscal,</w:t>
      </w:r>
      <w:r>
        <w:rPr>
          <w:spacing w:val="-3"/>
        </w:rPr>
        <w:t xml:space="preserve"> </w:t>
      </w:r>
      <w:r>
        <w:t>y</w:t>
      </w:r>
      <w:r>
        <w:rPr>
          <w:spacing w:val="-2"/>
        </w:rPr>
        <w:t xml:space="preserve"> </w:t>
      </w:r>
      <w:r>
        <w:t>quien</w:t>
      </w:r>
      <w:r>
        <w:rPr>
          <w:spacing w:val="-1"/>
        </w:rPr>
        <w:t xml:space="preserve"> </w:t>
      </w:r>
      <w:r>
        <w:t>está</w:t>
      </w:r>
      <w:r>
        <w:rPr>
          <w:spacing w:val="-3"/>
        </w:rPr>
        <w:t xml:space="preserve"> </w:t>
      </w:r>
      <w:r>
        <w:t>dando</w:t>
      </w:r>
      <w:r>
        <w:rPr>
          <w:spacing w:val="-1"/>
        </w:rPr>
        <w:t xml:space="preserve"> </w:t>
      </w:r>
      <w:r>
        <w:t>la</w:t>
      </w:r>
      <w:r>
        <w:rPr>
          <w:spacing w:val="-1"/>
        </w:rPr>
        <w:t xml:space="preserve"> </w:t>
      </w:r>
      <w:r>
        <w:t xml:space="preserve">información de todo lo que usted hace es alguien </w:t>
      </w:r>
      <w:r>
        <w:lastRenderedPageBreak/>
        <w:t>de acá de la Fiscalía, un jefe de ustedes</w:t>
      </w:r>
      <w:r w:rsidR="00E66F52">
        <w:rPr>
          <w:rStyle w:val="Refdenotaalpie"/>
        </w:rPr>
        <w:footnoteReference w:id="889"/>
      </w:r>
      <w:r>
        <w:t>.</w:t>
      </w:r>
    </w:p>
    <w:p w:rsidR="003804AC" w:rsidRDefault="00AF18A5" w:rsidP="00871AAC">
      <w:r>
        <w:t>En términos de verdad, debe quedar claro que durante la administración del fiscal Luis Camilo</w:t>
      </w:r>
      <w:r>
        <w:rPr>
          <w:spacing w:val="-13"/>
        </w:rPr>
        <w:t xml:space="preserve"> </w:t>
      </w:r>
      <w:r>
        <w:t>Osorio</w:t>
      </w:r>
      <w:r>
        <w:rPr>
          <w:spacing w:val="-12"/>
        </w:rPr>
        <w:t xml:space="preserve"> </w:t>
      </w:r>
      <w:r>
        <w:t>(2001-2005)</w:t>
      </w:r>
      <w:r>
        <w:rPr>
          <w:spacing w:val="-12"/>
        </w:rPr>
        <w:t xml:space="preserve"> </w:t>
      </w:r>
      <w:r>
        <w:t>se</w:t>
      </w:r>
      <w:r>
        <w:rPr>
          <w:spacing w:val="-13"/>
        </w:rPr>
        <w:t xml:space="preserve"> </w:t>
      </w:r>
      <w:r>
        <w:t>dio</w:t>
      </w:r>
      <w:r>
        <w:rPr>
          <w:spacing w:val="-13"/>
        </w:rPr>
        <w:t xml:space="preserve"> </w:t>
      </w:r>
      <w:r>
        <w:t>la</w:t>
      </w:r>
      <w:r>
        <w:rPr>
          <w:spacing w:val="-14"/>
        </w:rPr>
        <w:t xml:space="preserve"> </w:t>
      </w:r>
      <w:r>
        <w:t>cooptación</w:t>
      </w:r>
      <w:r>
        <w:rPr>
          <w:spacing w:val="-12"/>
        </w:rPr>
        <w:t xml:space="preserve"> </w:t>
      </w:r>
      <w:r>
        <w:t>de</w:t>
      </w:r>
      <w:r>
        <w:rPr>
          <w:spacing w:val="-12"/>
        </w:rPr>
        <w:t xml:space="preserve"> </w:t>
      </w:r>
      <w:r>
        <w:t>la</w:t>
      </w:r>
      <w:r>
        <w:rPr>
          <w:spacing w:val="-13"/>
        </w:rPr>
        <w:t xml:space="preserve"> </w:t>
      </w:r>
      <w:r>
        <w:t>Fiscalía</w:t>
      </w:r>
      <w:r>
        <w:rPr>
          <w:spacing w:val="-13"/>
        </w:rPr>
        <w:t xml:space="preserve"> </w:t>
      </w:r>
      <w:r>
        <w:t>General</w:t>
      </w:r>
      <w:r>
        <w:rPr>
          <w:spacing w:val="-13"/>
        </w:rPr>
        <w:t xml:space="preserve"> </w:t>
      </w:r>
      <w:r>
        <w:t>de</w:t>
      </w:r>
      <w:r>
        <w:rPr>
          <w:spacing w:val="-13"/>
        </w:rPr>
        <w:t xml:space="preserve"> </w:t>
      </w:r>
      <w:r>
        <w:t>la</w:t>
      </w:r>
      <w:r>
        <w:rPr>
          <w:spacing w:val="-12"/>
        </w:rPr>
        <w:t xml:space="preserve"> </w:t>
      </w:r>
      <w:r>
        <w:t>Nación</w:t>
      </w:r>
      <w:r>
        <w:rPr>
          <w:spacing w:val="-13"/>
        </w:rPr>
        <w:t xml:space="preserve"> </w:t>
      </w:r>
      <w:r>
        <w:t>por</w:t>
      </w:r>
      <w:r>
        <w:rPr>
          <w:spacing w:val="-13"/>
        </w:rPr>
        <w:t xml:space="preserve"> </w:t>
      </w:r>
      <w:r>
        <w:t xml:space="preserve">parte del paramilitarismo, como han reconocido numerosos investigadores e investigaciones, incluida una de Human </w:t>
      </w:r>
      <w:proofErr w:type="spellStart"/>
      <w:r>
        <w:t>Rights</w:t>
      </w:r>
      <w:proofErr w:type="spellEnd"/>
      <w:r>
        <w:t xml:space="preserve"> </w:t>
      </w:r>
      <w:proofErr w:type="spellStart"/>
      <w:r>
        <w:t>Watch</w:t>
      </w:r>
      <w:proofErr w:type="spellEnd"/>
      <w:r>
        <w:t>. La política de esta administración sobre los casos de investigaciones</w:t>
      </w:r>
      <w:r>
        <w:rPr>
          <w:spacing w:val="-15"/>
        </w:rPr>
        <w:t xml:space="preserve"> </w:t>
      </w:r>
      <w:r>
        <w:t>relevantes</w:t>
      </w:r>
      <w:r>
        <w:rPr>
          <w:spacing w:val="-13"/>
        </w:rPr>
        <w:t xml:space="preserve"> </w:t>
      </w:r>
      <w:r>
        <w:t>en</w:t>
      </w:r>
      <w:r>
        <w:rPr>
          <w:spacing w:val="-13"/>
        </w:rPr>
        <w:t xml:space="preserve"> </w:t>
      </w:r>
      <w:r>
        <w:t>materia</w:t>
      </w:r>
      <w:r>
        <w:rPr>
          <w:spacing w:val="-13"/>
        </w:rPr>
        <w:t xml:space="preserve"> </w:t>
      </w:r>
      <w:r>
        <w:t>de</w:t>
      </w:r>
      <w:r>
        <w:rPr>
          <w:spacing w:val="-13"/>
        </w:rPr>
        <w:t xml:space="preserve"> </w:t>
      </w:r>
      <w:r>
        <w:t>derechos</w:t>
      </w:r>
      <w:r>
        <w:rPr>
          <w:spacing w:val="-12"/>
        </w:rPr>
        <w:t xml:space="preserve"> </w:t>
      </w:r>
      <w:r>
        <w:t>humanos</w:t>
      </w:r>
      <w:r>
        <w:rPr>
          <w:spacing w:val="-13"/>
        </w:rPr>
        <w:t xml:space="preserve"> </w:t>
      </w:r>
      <w:r>
        <w:t>con</w:t>
      </w:r>
      <w:r>
        <w:rPr>
          <w:spacing w:val="-13"/>
        </w:rPr>
        <w:t xml:space="preserve"> </w:t>
      </w:r>
      <w:r>
        <w:t>implicaciones</w:t>
      </w:r>
      <w:r>
        <w:rPr>
          <w:spacing w:val="-13"/>
        </w:rPr>
        <w:t xml:space="preserve"> </w:t>
      </w:r>
      <w:r>
        <w:t>contra</w:t>
      </w:r>
      <w:r>
        <w:rPr>
          <w:spacing w:val="-13"/>
        </w:rPr>
        <w:t xml:space="preserve"> </w:t>
      </w:r>
      <w:r>
        <w:rPr>
          <w:spacing w:val="-2"/>
        </w:rPr>
        <w:t>agentes</w:t>
      </w:r>
      <w:bookmarkStart w:id="1098" w:name="_bookmark969"/>
      <w:bookmarkStart w:id="1099" w:name="_bookmark970"/>
      <w:bookmarkStart w:id="1100" w:name="_bookmark971"/>
      <w:bookmarkEnd w:id="1098"/>
      <w:bookmarkEnd w:id="1099"/>
      <w:bookmarkEnd w:id="1100"/>
      <w:r w:rsidR="00871AAC">
        <w:rPr>
          <w:spacing w:val="-2"/>
        </w:rPr>
        <w:t xml:space="preserve"> </w:t>
      </w:r>
      <w:r>
        <w:t>del estado o del entramado paramilitar fue «bajar el perfil», postergar o dejar de investigar los</w:t>
      </w:r>
      <w:r>
        <w:rPr>
          <w:spacing w:val="-11"/>
        </w:rPr>
        <w:t xml:space="preserve"> </w:t>
      </w:r>
      <w:r>
        <w:t>casos</w:t>
      </w:r>
      <w:r>
        <w:rPr>
          <w:spacing w:val="-11"/>
        </w:rPr>
        <w:t xml:space="preserve"> </w:t>
      </w:r>
      <w:r>
        <w:t>relacionados</w:t>
      </w:r>
      <w:r>
        <w:rPr>
          <w:spacing w:val="-11"/>
        </w:rPr>
        <w:t xml:space="preserve"> </w:t>
      </w:r>
      <w:r>
        <w:t>con</w:t>
      </w:r>
      <w:r>
        <w:rPr>
          <w:spacing w:val="-11"/>
        </w:rPr>
        <w:t xml:space="preserve"> </w:t>
      </w:r>
      <w:r>
        <w:t>dichos</w:t>
      </w:r>
      <w:r>
        <w:rPr>
          <w:spacing w:val="-11"/>
        </w:rPr>
        <w:t xml:space="preserve"> </w:t>
      </w:r>
      <w:r>
        <w:t>expedientes,</w:t>
      </w:r>
      <w:r>
        <w:rPr>
          <w:spacing w:val="-11"/>
        </w:rPr>
        <w:t xml:space="preserve"> </w:t>
      </w:r>
      <w:r>
        <w:t>ya</w:t>
      </w:r>
      <w:r>
        <w:rPr>
          <w:spacing w:val="-11"/>
        </w:rPr>
        <w:t xml:space="preserve"> </w:t>
      </w:r>
      <w:r>
        <w:t>que</w:t>
      </w:r>
      <w:r>
        <w:rPr>
          <w:spacing w:val="-11"/>
        </w:rPr>
        <w:t xml:space="preserve"> </w:t>
      </w:r>
      <w:r>
        <w:t>«no</w:t>
      </w:r>
      <w:r>
        <w:rPr>
          <w:spacing w:val="-11"/>
        </w:rPr>
        <w:t xml:space="preserve"> </w:t>
      </w:r>
      <w:r>
        <w:t>serían</w:t>
      </w:r>
      <w:r>
        <w:rPr>
          <w:spacing w:val="-11"/>
        </w:rPr>
        <w:t xml:space="preserve"> </w:t>
      </w:r>
      <w:r>
        <w:t>bien</w:t>
      </w:r>
      <w:r>
        <w:rPr>
          <w:spacing w:val="-11"/>
        </w:rPr>
        <w:t xml:space="preserve"> </w:t>
      </w:r>
      <w:r>
        <w:t>recibidos</w:t>
      </w:r>
      <w:r>
        <w:rPr>
          <w:spacing w:val="-11"/>
        </w:rPr>
        <w:t xml:space="preserve"> </w:t>
      </w:r>
      <w:r>
        <w:t>los</w:t>
      </w:r>
      <w:r>
        <w:rPr>
          <w:spacing w:val="-11"/>
        </w:rPr>
        <w:t xml:space="preserve"> </w:t>
      </w:r>
      <w:r>
        <w:t>esfuerzos por pedir cuentas a</w:t>
      </w:r>
      <w:r>
        <w:rPr>
          <w:spacing w:val="-1"/>
        </w:rPr>
        <w:t xml:space="preserve"> </w:t>
      </w:r>
      <w:r>
        <w:t>altos</w:t>
      </w:r>
      <w:r>
        <w:rPr>
          <w:spacing w:val="-1"/>
        </w:rPr>
        <w:t xml:space="preserve"> </w:t>
      </w:r>
      <w:r>
        <w:t>oficiales militares</w:t>
      </w:r>
      <w:r>
        <w:rPr>
          <w:spacing w:val="-1"/>
        </w:rPr>
        <w:t xml:space="preserve"> </w:t>
      </w:r>
      <w:r>
        <w:t>acusados de abusos a los derechos humanos»</w:t>
      </w:r>
      <w:r w:rsidR="00605CB9">
        <w:rPr>
          <w:rStyle w:val="Refdenotaalpie"/>
        </w:rPr>
        <w:footnoteReference w:id="890"/>
      </w:r>
      <w:r>
        <w:t>. La Comisión entrevistó a varios funcionarios que laboraron en esa época en el ente investigador y que dieron cuenta del ambiente adverso que tuvieron los fiscales con investigaciones en temas de derechos humanos. De acuerdo con estos testimonios, hubo súbitos traslados a otras ciudades, destituciones, supresión de comisiones para investigar, cierre de sus investigaciones y otro tipo de medidas para obstaculizar su labor.</w:t>
      </w:r>
    </w:p>
    <w:p w:rsidR="003804AC" w:rsidRDefault="00AF18A5" w:rsidP="00871AAC">
      <w:r>
        <w:t>Una serie de funcionarios inescrupulosos que estuvieron en la Fiscalía de la administración</w:t>
      </w:r>
      <w:r>
        <w:rPr>
          <w:spacing w:val="-5"/>
        </w:rPr>
        <w:t xml:space="preserve"> </w:t>
      </w:r>
      <w:r>
        <w:t>de</w:t>
      </w:r>
      <w:r>
        <w:rPr>
          <w:spacing w:val="-5"/>
        </w:rPr>
        <w:t xml:space="preserve"> </w:t>
      </w:r>
      <w:r>
        <w:t>Luis</w:t>
      </w:r>
      <w:r>
        <w:rPr>
          <w:spacing w:val="-5"/>
        </w:rPr>
        <w:t xml:space="preserve"> </w:t>
      </w:r>
      <w:r>
        <w:t>Camilo</w:t>
      </w:r>
      <w:r>
        <w:rPr>
          <w:spacing w:val="-5"/>
        </w:rPr>
        <w:t xml:space="preserve"> </w:t>
      </w:r>
      <w:r>
        <w:t>Osorio</w:t>
      </w:r>
      <w:r>
        <w:rPr>
          <w:spacing w:val="-5"/>
        </w:rPr>
        <w:t xml:space="preserve"> </w:t>
      </w:r>
      <w:r>
        <w:t>desviaron</w:t>
      </w:r>
      <w:r>
        <w:rPr>
          <w:spacing w:val="-6"/>
        </w:rPr>
        <w:t xml:space="preserve"> </w:t>
      </w:r>
      <w:r>
        <w:t>la</w:t>
      </w:r>
      <w:r>
        <w:rPr>
          <w:spacing w:val="-5"/>
        </w:rPr>
        <w:t xml:space="preserve"> </w:t>
      </w:r>
      <w:r>
        <w:t>garantía</w:t>
      </w:r>
      <w:r>
        <w:rPr>
          <w:spacing w:val="-5"/>
        </w:rPr>
        <w:t xml:space="preserve"> </w:t>
      </w:r>
      <w:r>
        <w:t>y</w:t>
      </w:r>
      <w:r>
        <w:rPr>
          <w:spacing w:val="-6"/>
        </w:rPr>
        <w:t xml:space="preserve"> </w:t>
      </w:r>
      <w:r>
        <w:t>la</w:t>
      </w:r>
      <w:r>
        <w:rPr>
          <w:spacing w:val="-5"/>
        </w:rPr>
        <w:t xml:space="preserve"> </w:t>
      </w:r>
      <w:r>
        <w:t>independencia</w:t>
      </w:r>
      <w:r>
        <w:rPr>
          <w:spacing w:val="-5"/>
        </w:rPr>
        <w:t xml:space="preserve"> </w:t>
      </w:r>
      <w:r>
        <w:t>de</w:t>
      </w:r>
      <w:r>
        <w:rPr>
          <w:spacing w:val="-6"/>
        </w:rPr>
        <w:t xml:space="preserve"> </w:t>
      </w:r>
      <w:r>
        <w:t>la</w:t>
      </w:r>
      <w:r>
        <w:rPr>
          <w:spacing w:val="-6"/>
        </w:rPr>
        <w:t xml:space="preserve"> </w:t>
      </w:r>
      <w:r>
        <w:t xml:space="preserve">justicia en beneficio propio y de la guerra. Un ejemplo claro de estos ataques fue lo ocurrido a Yolanda Paternina Negrete, directora de la oficina regional de la Fiscalía en Sincelejo. Paternina investigó la masacre de </w:t>
      </w:r>
      <w:proofErr w:type="spellStart"/>
      <w:r>
        <w:t>Chengue</w:t>
      </w:r>
      <w:proofErr w:type="spellEnd"/>
      <w:r>
        <w:t>, ocurrida el 17 de enero de 2001, y halló evidencias</w:t>
      </w:r>
      <w:r>
        <w:rPr>
          <w:spacing w:val="-3"/>
        </w:rPr>
        <w:t xml:space="preserve"> </w:t>
      </w:r>
      <w:r>
        <w:t>de</w:t>
      </w:r>
      <w:r>
        <w:rPr>
          <w:spacing w:val="-3"/>
        </w:rPr>
        <w:t xml:space="preserve"> </w:t>
      </w:r>
      <w:r>
        <w:t>la</w:t>
      </w:r>
      <w:r>
        <w:rPr>
          <w:spacing w:val="-3"/>
        </w:rPr>
        <w:t xml:space="preserve"> </w:t>
      </w:r>
      <w:r>
        <w:t>responsabilidad</w:t>
      </w:r>
      <w:r>
        <w:rPr>
          <w:spacing w:val="-3"/>
        </w:rPr>
        <w:t xml:space="preserve"> </w:t>
      </w:r>
      <w:r>
        <w:t>del</w:t>
      </w:r>
      <w:r>
        <w:rPr>
          <w:spacing w:val="-4"/>
        </w:rPr>
        <w:t xml:space="preserve"> </w:t>
      </w:r>
      <w:r>
        <w:t>jefe</w:t>
      </w:r>
      <w:r>
        <w:rPr>
          <w:spacing w:val="-3"/>
        </w:rPr>
        <w:t xml:space="preserve"> </w:t>
      </w:r>
      <w:r>
        <w:t>paramilitar</w:t>
      </w:r>
      <w:r>
        <w:rPr>
          <w:spacing w:val="-3"/>
        </w:rPr>
        <w:t xml:space="preserve"> </w:t>
      </w:r>
      <w:r>
        <w:t>Rodrigo</w:t>
      </w:r>
      <w:r>
        <w:rPr>
          <w:spacing w:val="-5"/>
        </w:rPr>
        <w:t xml:space="preserve"> </w:t>
      </w:r>
      <w:r>
        <w:t>Antonio</w:t>
      </w:r>
      <w:r>
        <w:rPr>
          <w:spacing w:val="-3"/>
        </w:rPr>
        <w:t xml:space="preserve"> </w:t>
      </w:r>
      <w:r>
        <w:t>Mercado</w:t>
      </w:r>
      <w:r>
        <w:rPr>
          <w:spacing w:val="-3"/>
        </w:rPr>
        <w:t xml:space="preserve"> </w:t>
      </w:r>
      <w:proofErr w:type="spellStart"/>
      <w:r>
        <w:t>Pelufo</w:t>
      </w:r>
      <w:proofErr w:type="spellEnd"/>
      <w:r>
        <w:t>,</w:t>
      </w:r>
      <w:r>
        <w:rPr>
          <w:spacing w:val="-3"/>
        </w:rPr>
        <w:t xml:space="preserve"> </w:t>
      </w:r>
      <w:r>
        <w:t xml:space="preserve">alias Cadena y de miembros de la </w:t>
      </w:r>
      <w:r>
        <w:lastRenderedPageBreak/>
        <w:t>Primera Brigada de Infantería de la Armada de Colombia. La fiscal</w:t>
      </w:r>
      <w:r>
        <w:rPr>
          <w:spacing w:val="-12"/>
        </w:rPr>
        <w:t xml:space="preserve"> </w:t>
      </w:r>
      <w:r>
        <w:t>llegó</w:t>
      </w:r>
      <w:r>
        <w:rPr>
          <w:spacing w:val="-12"/>
        </w:rPr>
        <w:t xml:space="preserve"> </w:t>
      </w:r>
      <w:r>
        <w:t>a</w:t>
      </w:r>
      <w:r>
        <w:rPr>
          <w:spacing w:val="-13"/>
        </w:rPr>
        <w:t xml:space="preserve"> </w:t>
      </w:r>
      <w:r>
        <w:t>recibir</w:t>
      </w:r>
      <w:r>
        <w:rPr>
          <w:spacing w:val="-12"/>
        </w:rPr>
        <w:t xml:space="preserve"> </w:t>
      </w:r>
      <w:r>
        <w:t>el</w:t>
      </w:r>
      <w:r>
        <w:rPr>
          <w:spacing w:val="-12"/>
        </w:rPr>
        <w:t xml:space="preserve"> </w:t>
      </w:r>
      <w:r>
        <w:t>testimonio</w:t>
      </w:r>
      <w:r>
        <w:rPr>
          <w:spacing w:val="-12"/>
        </w:rPr>
        <w:t xml:space="preserve"> </w:t>
      </w:r>
      <w:r>
        <w:t>clave</w:t>
      </w:r>
      <w:r>
        <w:rPr>
          <w:spacing w:val="-12"/>
        </w:rPr>
        <w:t xml:space="preserve"> </w:t>
      </w:r>
      <w:r>
        <w:t>de</w:t>
      </w:r>
      <w:r>
        <w:rPr>
          <w:spacing w:val="-12"/>
        </w:rPr>
        <w:t xml:space="preserve"> </w:t>
      </w:r>
      <w:r>
        <w:t>un</w:t>
      </w:r>
      <w:r>
        <w:rPr>
          <w:spacing w:val="-12"/>
        </w:rPr>
        <w:t xml:space="preserve"> </w:t>
      </w:r>
      <w:r>
        <w:t>desertor</w:t>
      </w:r>
      <w:r>
        <w:rPr>
          <w:spacing w:val="-12"/>
        </w:rPr>
        <w:t xml:space="preserve"> </w:t>
      </w:r>
      <w:r>
        <w:t>sobre</w:t>
      </w:r>
      <w:r>
        <w:rPr>
          <w:spacing w:val="-12"/>
        </w:rPr>
        <w:t xml:space="preserve"> </w:t>
      </w:r>
      <w:r>
        <w:t>vínculos</w:t>
      </w:r>
      <w:r>
        <w:rPr>
          <w:spacing w:val="-12"/>
        </w:rPr>
        <w:t xml:space="preserve"> </w:t>
      </w:r>
      <w:r>
        <w:t>entre</w:t>
      </w:r>
      <w:r>
        <w:rPr>
          <w:spacing w:val="-13"/>
        </w:rPr>
        <w:t xml:space="preserve"> </w:t>
      </w:r>
      <w:r>
        <w:t>políticos</w:t>
      </w:r>
      <w:r>
        <w:rPr>
          <w:spacing w:val="-12"/>
        </w:rPr>
        <w:t xml:space="preserve"> </w:t>
      </w:r>
      <w:r>
        <w:t>y</w:t>
      </w:r>
      <w:r>
        <w:rPr>
          <w:spacing w:val="-12"/>
        </w:rPr>
        <w:t xml:space="preserve"> </w:t>
      </w:r>
      <w:r>
        <w:t>grupos paramilitares. El 29 de agosto de 2001, fue asesinada por dos sicarios frente a su casa en el barrio La Ford en Sincelejo, Sucre. Su escolta no llegó ese día y se excusó por enfermedad. No fue un caso aislado. Ese mismo año, la Oficina del Alto Comisionado de las Naciones Unidas para</w:t>
      </w:r>
      <w:r>
        <w:rPr>
          <w:spacing w:val="-1"/>
        </w:rPr>
        <w:t xml:space="preserve"> </w:t>
      </w:r>
      <w:r>
        <w:t>los Derechos Humanos registró la muerte violenta de tres fiscales, dos jueces y cinco miembros del CTI, la desaparición forzada de dos servidores de la judicatura, el secuestro de cuatro de ellos y más de cincuenta casos de amenazas contra la vida de otros servidores</w:t>
      </w:r>
      <w:r>
        <w:rPr>
          <w:spacing w:val="-7"/>
        </w:rPr>
        <w:t xml:space="preserve"> </w:t>
      </w:r>
      <w:r>
        <w:t>de</w:t>
      </w:r>
      <w:r>
        <w:rPr>
          <w:spacing w:val="-5"/>
        </w:rPr>
        <w:t xml:space="preserve"> </w:t>
      </w:r>
      <w:r>
        <w:t>la</w:t>
      </w:r>
      <w:r>
        <w:rPr>
          <w:spacing w:val="-4"/>
        </w:rPr>
        <w:t xml:space="preserve"> </w:t>
      </w:r>
      <w:r>
        <w:t>justicia.</w:t>
      </w:r>
      <w:r>
        <w:rPr>
          <w:spacing w:val="-6"/>
        </w:rPr>
        <w:t xml:space="preserve"> </w:t>
      </w:r>
      <w:r>
        <w:t>Ninguna</w:t>
      </w:r>
      <w:r>
        <w:rPr>
          <w:spacing w:val="-5"/>
        </w:rPr>
        <w:t xml:space="preserve"> </w:t>
      </w:r>
      <w:r>
        <w:t>respuesta</w:t>
      </w:r>
      <w:r>
        <w:rPr>
          <w:spacing w:val="-4"/>
        </w:rPr>
        <w:t xml:space="preserve"> </w:t>
      </w:r>
      <w:r>
        <w:t>relevante</w:t>
      </w:r>
      <w:r>
        <w:rPr>
          <w:spacing w:val="-5"/>
        </w:rPr>
        <w:t xml:space="preserve"> </w:t>
      </w:r>
      <w:r>
        <w:t>se</w:t>
      </w:r>
      <w:r>
        <w:rPr>
          <w:spacing w:val="-5"/>
        </w:rPr>
        <w:t xml:space="preserve"> </w:t>
      </w:r>
      <w:r>
        <w:t>llevó</w:t>
      </w:r>
      <w:r>
        <w:rPr>
          <w:spacing w:val="-5"/>
        </w:rPr>
        <w:t xml:space="preserve"> </w:t>
      </w:r>
      <w:r>
        <w:t>a</w:t>
      </w:r>
      <w:r>
        <w:rPr>
          <w:spacing w:val="-5"/>
        </w:rPr>
        <w:t xml:space="preserve"> </w:t>
      </w:r>
      <w:r>
        <w:t>cabo</w:t>
      </w:r>
      <w:r>
        <w:rPr>
          <w:spacing w:val="-5"/>
        </w:rPr>
        <w:t xml:space="preserve"> </w:t>
      </w:r>
      <w:r>
        <w:t>por</w:t>
      </w:r>
      <w:r>
        <w:rPr>
          <w:spacing w:val="-4"/>
        </w:rPr>
        <w:t xml:space="preserve"> </w:t>
      </w:r>
      <w:r>
        <w:t>parte</w:t>
      </w:r>
      <w:r>
        <w:rPr>
          <w:spacing w:val="-5"/>
        </w:rPr>
        <w:t xml:space="preserve"> </w:t>
      </w:r>
      <w:r>
        <w:t>de</w:t>
      </w:r>
      <w:r>
        <w:rPr>
          <w:spacing w:val="-5"/>
        </w:rPr>
        <w:t xml:space="preserve"> </w:t>
      </w:r>
      <w:r>
        <w:t>la</w:t>
      </w:r>
      <w:r>
        <w:rPr>
          <w:spacing w:val="-4"/>
        </w:rPr>
        <w:t xml:space="preserve"> </w:t>
      </w:r>
      <w:r>
        <w:rPr>
          <w:spacing w:val="-2"/>
        </w:rPr>
        <w:t>Fiscalía.</w:t>
      </w:r>
    </w:p>
    <w:p w:rsidR="003804AC" w:rsidRDefault="00AF18A5" w:rsidP="00605CB9">
      <w:r>
        <w:t>La descomposición institucional que sufrió el ente investigador en ese tiempo es elocuente.</w:t>
      </w:r>
      <w:r>
        <w:rPr>
          <w:spacing w:val="-1"/>
        </w:rPr>
        <w:t xml:space="preserve"> </w:t>
      </w:r>
      <w:r>
        <w:t>Un</w:t>
      </w:r>
      <w:r>
        <w:rPr>
          <w:spacing w:val="-1"/>
        </w:rPr>
        <w:t xml:space="preserve"> </w:t>
      </w:r>
      <w:r>
        <w:t>grave</w:t>
      </w:r>
      <w:r>
        <w:rPr>
          <w:spacing w:val="-1"/>
        </w:rPr>
        <w:t xml:space="preserve"> </w:t>
      </w:r>
      <w:r>
        <w:t>ejemplo</w:t>
      </w:r>
      <w:r>
        <w:rPr>
          <w:spacing w:val="-1"/>
        </w:rPr>
        <w:t xml:space="preserve"> </w:t>
      </w:r>
      <w:r>
        <w:t>de</w:t>
      </w:r>
      <w:r>
        <w:rPr>
          <w:spacing w:val="-2"/>
        </w:rPr>
        <w:t xml:space="preserve"> </w:t>
      </w:r>
      <w:r>
        <w:t>esto</w:t>
      </w:r>
      <w:r>
        <w:rPr>
          <w:spacing w:val="-1"/>
        </w:rPr>
        <w:t xml:space="preserve"> </w:t>
      </w:r>
      <w:r>
        <w:t>lo</w:t>
      </w:r>
      <w:r>
        <w:rPr>
          <w:spacing w:val="-1"/>
        </w:rPr>
        <w:t xml:space="preserve"> </w:t>
      </w:r>
      <w:r>
        <w:t>protagonizó</w:t>
      </w:r>
      <w:r>
        <w:rPr>
          <w:spacing w:val="-1"/>
        </w:rPr>
        <w:t xml:space="preserve"> </w:t>
      </w:r>
      <w:r>
        <w:t>Guillermo</w:t>
      </w:r>
      <w:r>
        <w:rPr>
          <w:spacing w:val="-1"/>
        </w:rPr>
        <w:t xml:space="preserve"> </w:t>
      </w:r>
      <w:r>
        <w:t>León</w:t>
      </w:r>
      <w:r>
        <w:rPr>
          <w:spacing w:val="-1"/>
        </w:rPr>
        <w:t xml:space="preserve"> </w:t>
      </w:r>
      <w:r>
        <w:t>Valencia</w:t>
      </w:r>
      <w:r>
        <w:rPr>
          <w:spacing w:val="-1"/>
        </w:rPr>
        <w:t xml:space="preserve"> </w:t>
      </w:r>
      <w:proofErr w:type="spellStart"/>
      <w:r>
        <w:t>Cossio</w:t>
      </w:r>
      <w:proofErr w:type="spellEnd"/>
      <w:r>
        <w:t>,</w:t>
      </w:r>
      <w:r>
        <w:rPr>
          <w:spacing w:val="-1"/>
        </w:rPr>
        <w:t xml:space="preserve"> </w:t>
      </w:r>
      <w:r>
        <w:t>fiscal delegado ante el Tribunal Superior de Antioquia, designado por Luis Camilo Osorio, y Director</w:t>
      </w:r>
      <w:r>
        <w:rPr>
          <w:spacing w:val="58"/>
        </w:rPr>
        <w:t xml:space="preserve"> </w:t>
      </w:r>
      <w:r>
        <w:t>Seccional</w:t>
      </w:r>
      <w:r>
        <w:rPr>
          <w:spacing w:val="61"/>
        </w:rPr>
        <w:t xml:space="preserve"> </w:t>
      </w:r>
      <w:r>
        <w:t>de</w:t>
      </w:r>
      <w:r>
        <w:rPr>
          <w:spacing w:val="61"/>
        </w:rPr>
        <w:t xml:space="preserve"> </w:t>
      </w:r>
      <w:r>
        <w:t>Fiscalías</w:t>
      </w:r>
      <w:r>
        <w:rPr>
          <w:spacing w:val="61"/>
        </w:rPr>
        <w:t xml:space="preserve"> </w:t>
      </w:r>
      <w:r>
        <w:t>de</w:t>
      </w:r>
      <w:r>
        <w:rPr>
          <w:spacing w:val="60"/>
        </w:rPr>
        <w:t xml:space="preserve"> </w:t>
      </w:r>
      <w:r>
        <w:t>Medellín</w:t>
      </w:r>
      <w:r>
        <w:rPr>
          <w:spacing w:val="61"/>
        </w:rPr>
        <w:t xml:space="preserve"> </w:t>
      </w:r>
      <w:r>
        <w:t>hasta</w:t>
      </w:r>
      <w:r>
        <w:rPr>
          <w:spacing w:val="60"/>
        </w:rPr>
        <w:t xml:space="preserve"> </w:t>
      </w:r>
      <w:r>
        <w:t>2008.</w:t>
      </w:r>
      <w:r>
        <w:rPr>
          <w:spacing w:val="60"/>
        </w:rPr>
        <w:t xml:space="preserve"> </w:t>
      </w:r>
      <w:r>
        <w:t>Como</w:t>
      </w:r>
      <w:r>
        <w:rPr>
          <w:spacing w:val="61"/>
        </w:rPr>
        <w:t xml:space="preserve"> </w:t>
      </w:r>
      <w:r>
        <w:t>lo</w:t>
      </w:r>
      <w:r>
        <w:rPr>
          <w:spacing w:val="61"/>
        </w:rPr>
        <w:t xml:space="preserve"> </w:t>
      </w:r>
      <w:r>
        <w:t>estableció</w:t>
      </w:r>
      <w:r>
        <w:rPr>
          <w:spacing w:val="60"/>
        </w:rPr>
        <w:t xml:space="preserve"> </w:t>
      </w:r>
      <w:r>
        <w:t>la</w:t>
      </w:r>
      <w:r>
        <w:rPr>
          <w:spacing w:val="61"/>
        </w:rPr>
        <w:t xml:space="preserve"> </w:t>
      </w:r>
      <w:r>
        <w:rPr>
          <w:spacing w:val="-4"/>
        </w:rPr>
        <w:t>Corte</w:t>
      </w:r>
      <w:bookmarkStart w:id="1101" w:name="_bookmark972"/>
      <w:bookmarkEnd w:id="1101"/>
      <w:r w:rsidR="00605CB9">
        <w:rPr>
          <w:spacing w:val="-4"/>
        </w:rPr>
        <w:t xml:space="preserve"> </w:t>
      </w:r>
      <w:r>
        <w:t xml:space="preserve">Suprema, Valencia </w:t>
      </w:r>
      <w:proofErr w:type="spellStart"/>
      <w:r>
        <w:t>Cossio</w:t>
      </w:r>
      <w:proofErr w:type="spellEnd"/>
      <w:r>
        <w:t xml:space="preserve"> fue un «emisario de una organización criminal». Algo similar ocurrió en Cúcuta, donde la directora seccional de fiscalías, Ana María Flórez, trabajó para el paramilitarismo sirviendo de campanera para el crimen. Llegó al cargo también por nombramiento de Luis Camilo Osorio y en reemplazo de Carlos Pinto, asesinado el 1 de noviembre de 2001. El fiscal Pinto, a su vez, había reemplazado a María del Rosario Silva, asesinada en Cúcuta por orden de Jorge Iván Laverde Zapata, alias El </w:t>
      </w:r>
      <w:proofErr w:type="spellStart"/>
      <w:r>
        <w:t>Iguano</w:t>
      </w:r>
      <w:proofErr w:type="spellEnd"/>
      <w:r>
        <w:t>. El arma utilizada en el homicidio del fiscal Pinto fue la misma usada en el asesinato de Jesús David Corzo Mendoza, Jefe de la Unidad de Policía Judicial CTI de Cúcuta</w:t>
      </w:r>
      <w:r w:rsidR="00605CB9">
        <w:rPr>
          <w:rStyle w:val="Refdenotaalpie"/>
        </w:rPr>
        <w:footnoteReference w:id="891"/>
      </w:r>
      <w:r>
        <w:t>, quien, junto con Milton</w:t>
      </w:r>
      <w:r>
        <w:rPr>
          <w:spacing w:val="-5"/>
        </w:rPr>
        <w:t xml:space="preserve"> </w:t>
      </w:r>
      <w:r>
        <w:lastRenderedPageBreak/>
        <w:t>Eduardo</w:t>
      </w:r>
      <w:r>
        <w:rPr>
          <w:spacing w:val="-5"/>
        </w:rPr>
        <w:t xml:space="preserve"> </w:t>
      </w:r>
      <w:r>
        <w:t>Márquez,</w:t>
      </w:r>
      <w:r>
        <w:rPr>
          <w:spacing w:val="-5"/>
        </w:rPr>
        <w:t xml:space="preserve"> </w:t>
      </w:r>
      <w:r>
        <w:t>fue</w:t>
      </w:r>
      <w:r>
        <w:rPr>
          <w:spacing w:val="-5"/>
        </w:rPr>
        <w:t xml:space="preserve"> </w:t>
      </w:r>
      <w:r>
        <w:t>uno</w:t>
      </w:r>
      <w:r>
        <w:rPr>
          <w:spacing w:val="-5"/>
        </w:rPr>
        <w:t xml:space="preserve"> </w:t>
      </w:r>
      <w:r>
        <w:t>de</w:t>
      </w:r>
      <w:r>
        <w:rPr>
          <w:spacing w:val="-5"/>
        </w:rPr>
        <w:t xml:space="preserve"> </w:t>
      </w:r>
      <w:r>
        <w:t>los</w:t>
      </w:r>
      <w:r>
        <w:rPr>
          <w:spacing w:val="-5"/>
        </w:rPr>
        <w:t xml:space="preserve"> </w:t>
      </w:r>
      <w:r>
        <w:t>investigadores</w:t>
      </w:r>
      <w:r>
        <w:rPr>
          <w:spacing w:val="-5"/>
        </w:rPr>
        <w:t xml:space="preserve"> </w:t>
      </w:r>
      <w:r>
        <w:t>que</w:t>
      </w:r>
      <w:r>
        <w:rPr>
          <w:spacing w:val="-5"/>
        </w:rPr>
        <w:t xml:space="preserve"> </w:t>
      </w:r>
      <w:r>
        <w:t>capturaron</w:t>
      </w:r>
      <w:r>
        <w:rPr>
          <w:spacing w:val="-5"/>
        </w:rPr>
        <w:t xml:space="preserve"> </w:t>
      </w:r>
      <w:r>
        <w:t>a</w:t>
      </w:r>
      <w:r>
        <w:rPr>
          <w:spacing w:val="-6"/>
        </w:rPr>
        <w:t xml:space="preserve"> </w:t>
      </w:r>
      <w:r>
        <w:t>alias</w:t>
      </w:r>
      <w:r>
        <w:rPr>
          <w:spacing w:val="-5"/>
        </w:rPr>
        <w:t xml:space="preserve"> </w:t>
      </w:r>
      <w:r>
        <w:t>El</w:t>
      </w:r>
      <w:r>
        <w:rPr>
          <w:spacing w:val="-4"/>
        </w:rPr>
        <w:t xml:space="preserve"> </w:t>
      </w:r>
      <w:proofErr w:type="spellStart"/>
      <w:r>
        <w:t>Iguano</w:t>
      </w:r>
      <w:proofErr w:type="spellEnd"/>
      <w:r>
        <w:t>,</w:t>
      </w:r>
      <w:r>
        <w:rPr>
          <w:spacing w:val="-5"/>
        </w:rPr>
        <w:t xml:space="preserve"> </w:t>
      </w:r>
      <w:r>
        <w:t>en el año 2000.</w:t>
      </w:r>
    </w:p>
    <w:p w:rsidR="0011361F" w:rsidRDefault="00AF18A5" w:rsidP="00605CB9">
      <w:r>
        <w:t xml:space="preserve">Tiempo después, El </w:t>
      </w:r>
      <w:proofErr w:type="spellStart"/>
      <w:r>
        <w:t>Iguano</w:t>
      </w:r>
      <w:proofErr w:type="spellEnd"/>
      <w:r>
        <w:t xml:space="preserve"> reveló a las autoridades diferentes formas de complicidad existentes</w:t>
      </w:r>
      <w:r>
        <w:rPr>
          <w:spacing w:val="-15"/>
        </w:rPr>
        <w:t xml:space="preserve"> </w:t>
      </w:r>
      <w:r>
        <w:t>entre</w:t>
      </w:r>
      <w:r>
        <w:rPr>
          <w:spacing w:val="-15"/>
        </w:rPr>
        <w:t xml:space="preserve"> </w:t>
      </w:r>
      <w:r>
        <w:t>los</w:t>
      </w:r>
      <w:r>
        <w:rPr>
          <w:spacing w:val="-15"/>
        </w:rPr>
        <w:t xml:space="preserve"> </w:t>
      </w:r>
      <w:r>
        <w:t>paramilitares</w:t>
      </w:r>
      <w:r>
        <w:rPr>
          <w:spacing w:val="-15"/>
        </w:rPr>
        <w:t xml:space="preserve"> </w:t>
      </w:r>
      <w:r>
        <w:t>y</w:t>
      </w:r>
      <w:r>
        <w:rPr>
          <w:spacing w:val="-15"/>
        </w:rPr>
        <w:t xml:space="preserve"> </w:t>
      </w:r>
      <w:r>
        <w:t>varios</w:t>
      </w:r>
      <w:r>
        <w:rPr>
          <w:spacing w:val="-15"/>
        </w:rPr>
        <w:t xml:space="preserve"> </w:t>
      </w:r>
      <w:r>
        <w:t>agentes</w:t>
      </w:r>
      <w:r>
        <w:rPr>
          <w:spacing w:val="-15"/>
        </w:rPr>
        <w:t xml:space="preserve"> </w:t>
      </w:r>
      <w:r>
        <w:t>de</w:t>
      </w:r>
      <w:r>
        <w:rPr>
          <w:spacing w:val="-15"/>
        </w:rPr>
        <w:t xml:space="preserve"> </w:t>
      </w:r>
      <w:r>
        <w:t>la</w:t>
      </w:r>
      <w:r>
        <w:rPr>
          <w:spacing w:val="-15"/>
        </w:rPr>
        <w:t xml:space="preserve"> </w:t>
      </w:r>
      <w:r>
        <w:t>Fiscalía</w:t>
      </w:r>
      <w:r>
        <w:rPr>
          <w:spacing w:val="-15"/>
        </w:rPr>
        <w:t xml:space="preserve"> </w:t>
      </w:r>
      <w:r>
        <w:t>y</w:t>
      </w:r>
      <w:r>
        <w:rPr>
          <w:spacing w:val="-15"/>
        </w:rPr>
        <w:t xml:space="preserve"> </w:t>
      </w:r>
      <w:r>
        <w:t>del</w:t>
      </w:r>
      <w:r>
        <w:rPr>
          <w:spacing w:val="-15"/>
        </w:rPr>
        <w:t xml:space="preserve"> </w:t>
      </w:r>
      <w:r>
        <w:t>CTI.</w:t>
      </w:r>
      <w:r>
        <w:rPr>
          <w:spacing w:val="-15"/>
        </w:rPr>
        <w:t xml:space="preserve"> </w:t>
      </w:r>
      <w:r>
        <w:t>Un</w:t>
      </w:r>
      <w:r>
        <w:rPr>
          <w:spacing w:val="-15"/>
        </w:rPr>
        <w:t xml:space="preserve"> </w:t>
      </w:r>
      <w:r>
        <w:t>efecto</w:t>
      </w:r>
      <w:r>
        <w:rPr>
          <w:spacing w:val="-15"/>
        </w:rPr>
        <w:t xml:space="preserve"> </w:t>
      </w:r>
      <w:r>
        <w:t>adicional de</w:t>
      </w:r>
      <w:r>
        <w:rPr>
          <w:spacing w:val="-9"/>
        </w:rPr>
        <w:t xml:space="preserve"> </w:t>
      </w:r>
      <w:r>
        <w:t>dicha</w:t>
      </w:r>
      <w:r>
        <w:rPr>
          <w:spacing w:val="-9"/>
        </w:rPr>
        <w:t xml:space="preserve"> </w:t>
      </w:r>
      <w:r>
        <w:t>colaboración</w:t>
      </w:r>
      <w:r>
        <w:rPr>
          <w:spacing w:val="-9"/>
        </w:rPr>
        <w:t xml:space="preserve"> </w:t>
      </w:r>
      <w:r>
        <w:t>criminal</w:t>
      </w:r>
      <w:r>
        <w:rPr>
          <w:spacing w:val="-10"/>
        </w:rPr>
        <w:t xml:space="preserve"> </w:t>
      </w:r>
      <w:r>
        <w:t>fue</w:t>
      </w:r>
      <w:r>
        <w:rPr>
          <w:spacing w:val="-10"/>
        </w:rPr>
        <w:t xml:space="preserve"> </w:t>
      </w:r>
      <w:r>
        <w:t>la</w:t>
      </w:r>
      <w:r>
        <w:rPr>
          <w:spacing w:val="-10"/>
        </w:rPr>
        <w:t xml:space="preserve"> </w:t>
      </w:r>
      <w:r>
        <w:t>práctica</w:t>
      </w:r>
      <w:r>
        <w:rPr>
          <w:spacing w:val="-9"/>
        </w:rPr>
        <w:t xml:space="preserve"> </w:t>
      </w:r>
      <w:r>
        <w:t>de</w:t>
      </w:r>
      <w:r>
        <w:rPr>
          <w:spacing w:val="-10"/>
        </w:rPr>
        <w:t xml:space="preserve"> </w:t>
      </w:r>
      <w:r>
        <w:t>los</w:t>
      </w:r>
      <w:r>
        <w:rPr>
          <w:spacing w:val="-9"/>
        </w:rPr>
        <w:t xml:space="preserve"> </w:t>
      </w:r>
      <w:r>
        <w:t>hornos</w:t>
      </w:r>
      <w:r>
        <w:rPr>
          <w:spacing w:val="-10"/>
        </w:rPr>
        <w:t xml:space="preserve"> </w:t>
      </w:r>
      <w:r>
        <w:t>crematorios</w:t>
      </w:r>
      <w:r>
        <w:rPr>
          <w:spacing w:val="-10"/>
        </w:rPr>
        <w:t xml:space="preserve"> </w:t>
      </w:r>
      <w:r>
        <w:t>para</w:t>
      </w:r>
      <w:r>
        <w:rPr>
          <w:spacing w:val="-9"/>
        </w:rPr>
        <w:t xml:space="preserve"> </w:t>
      </w:r>
      <w:r>
        <w:t>desaparecer</w:t>
      </w:r>
      <w:r>
        <w:rPr>
          <w:spacing w:val="-9"/>
        </w:rPr>
        <w:t xml:space="preserve"> </w:t>
      </w:r>
      <w:r>
        <w:t xml:space="preserve">los cuerpos de las víctimas. Según narró alias El </w:t>
      </w:r>
      <w:proofErr w:type="spellStart"/>
      <w:r>
        <w:t>Iguano</w:t>
      </w:r>
      <w:proofErr w:type="spellEnd"/>
      <w:r>
        <w:t>, la idea provino de una alerta que les enviaron desde la Fiscalía respecto a que se iban a adelantar algunas investigaciones en la región</w:t>
      </w:r>
      <w:r>
        <w:rPr>
          <w:spacing w:val="-9"/>
        </w:rPr>
        <w:t xml:space="preserve"> </w:t>
      </w:r>
      <w:r>
        <w:t>y</w:t>
      </w:r>
      <w:r>
        <w:rPr>
          <w:spacing w:val="-9"/>
        </w:rPr>
        <w:t xml:space="preserve"> </w:t>
      </w:r>
      <w:r>
        <w:t>que,</w:t>
      </w:r>
      <w:r>
        <w:rPr>
          <w:spacing w:val="-9"/>
        </w:rPr>
        <w:t xml:space="preserve"> </w:t>
      </w:r>
      <w:r>
        <w:t>si</w:t>
      </w:r>
      <w:r>
        <w:rPr>
          <w:spacing w:val="-9"/>
        </w:rPr>
        <w:t xml:space="preserve"> </w:t>
      </w:r>
      <w:r>
        <w:t>encontraban</w:t>
      </w:r>
      <w:r>
        <w:rPr>
          <w:spacing w:val="-9"/>
        </w:rPr>
        <w:t xml:space="preserve"> </w:t>
      </w:r>
      <w:r>
        <w:t>todos</w:t>
      </w:r>
      <w:r>
        <w:rPr>
          <w:spacing w:val="-9"/>
        </w:rPr>
        <w:t xml:space="preserve"> </w:t>
      </w:r>
      <w:r>
        <w:t>los</w:t>
      </w:r>
      <w:r>
        <w:rPr>
          <w:spacing w:val="-9"/>
        </w:rPr>
        <w:t xml:space="preserve"> </w:t>
      </w:r>
      <w:r>
        <w:t>cuerpos</w:t>
      </w:r>
      <w:r>
        <w:rPr>
          <w:spacing w:val="-9"/>
        </w:rPr>
        <w:t xml:space="preserve"> </w:t>
      </w:r>
      <w:r>
        <w:t>que</w:t>
      </w:r>
      <w:r>
        <w:rPr>
          <w:spacing w:val="-9"/>
        </w:rPr>
        <w:t xml:space="preserve"> </w:t>
      </w:r>
      <w:r>
        <w:t>ellos</w:t>
      </w:r>
      <w:r>
        <w:rPr>
          <w:spacing w:val="-9"/>
        </w:rPr>
        <w:t xml:space="preserve"> </w:t>
      </w:r>
      <w:r>
        <w:t>habían</w:t>
      </w:r>
      <w:r>
        <w:rPr>
          <w:spacing w:val="-9"/>
        </w:rPr>
        <w:t xml:space="preserve"> </w:t>
      </w:r>
      <w:r>
        <w:t>desaparecido,</w:t>
      </w:r>
      <w:r>
        <w:rPr>
          <w:spacing w:val="-9"/>
        </w:rPr>
        <w:t xml:space="preserve"> </w:t>
      </w:r>
      <w:r>
        <w:t>se</w:t>
      </w:r>
      <w:r>
        <w:rPr>
          <w:spacing w:val="-9"/>
        </w:rPr>
        <w:t xml:space="preserve"> </w:t>
      </w:r>
      <w:r>
        <w:t>iba</w:t>
      </w:r>
      <w:r>
        <w:rPr>
          <w:spacing w:val="-9"/>
        </w:rPr>
        <w:t xml:space="preserve"> </w:t>
      </w:r>
      <w:r>
        <w:t>a</w:t>
      </w:r>
      <w:r>
        <w:rPr>
          <w:spacing w:val="-9"/>
        </w:rPr>
        <w:t xml:space="preserve"> </w:t>
      </w:r>
      <w:r>
        <w:t>formar un</w:t>
      </w:r>
      <w:r>
        <w:rPr>
          <w:spacing w:val="-11"/>
        </w:rPr>
        <w:t xml:space="preserve"> </w:t>
      </w:r>
      <w:r>
        <w:t>escándalo.</w:t>
      </w:r>
      <w:r>
        <w:rPr>
          <w:spacing w:val="-11"/>
        </w:rPr>
        <w:t xml:space="preserve"> </w:t>
      </w:r>
      <w:r>
        <w:t>Por</w:t>
      </w:r>
      <w:r>
        <w:rPr>
          <w:spacing w:val="-10"/>
        </w:rPr>
        <w:t xml:space="preserve"> </w:t>
      </w:r>
      <w:r>
        <w:t>esto,</w:t>
      </w:r>
      <w:r>
        <w:rPr>
          <w:spacing w:val="-11"/>
        </w:rPr>
        <w:t xml:space="preserve"> </w:t>
      </w:r>
      <w:r>
        <w:t>comenzaron</w:t>
      </w:r>
      <w:r>
        <w:rPr>
          <w:spacing w:val="-11"/>
        </w:rPr>
        <w:t xml:space="preserve"> </w:t>
      </w:r>
      <w:r>
        <w:t>a</w:t>
      </w:r>
      <w:r>
        <w:rPr>
          <w:spacing w:val="-12"/>
        </w:rPr>
        <w:t xml:space="preserve"> </w:t>
      </w:r>
      <w:r>
        <w:t>emplear</w:t>
      </w:r>
      <w:r>
        <w:rPr>
          <w:spacing w:val="-10"/>
        </w:rPr>
        <w:t xml:space="preserve"> </w:t>
      </w:r>
      <w:r>
        <w:t>los</w:t>
      </w:r>
      <w:r>
        <w:rPr>
          <w:spacing w:val="-12"/>
        </w:rPr>
        <w:t xml:space="preserve"> </w:t>
      </w:r>
      <w:r>
        <w:t>hornos</w:t>
      </w:r>
      <w:r>
        <w:rPr>
          <w:spacing w:val="-11"/>
        </w:rPr>
        <w:t xml:space="preserve"> </w:t>
      </w:r>
      <w:r>
        <w:t>para</w:t>
      </w:r>
      <w:r>
        <w:rPr>
          <w:spacing w:val="-12"/>
        </w:rPr>
        <w:t xml:space="preserve"> </w:t>
      </w:r>
      <w:r>
        <w:t>hacer</w:t>
      </w:r>
      <w:r>
        <w:rPr>
          <w:spacing w:val="-12"/>
        </w:rPr>
        <w:t xml:space="preserve"> </w:t>
      </w:r>
      <w:r>
        <w:t>ladrillos</w:t>
      </w:r>
      <w:r w:rsidR="00605CB9">
        <w:rPr>
          <w:rStyle w:val="Refdenotaalpie"/>
        </w:rPr>
        <w:footnoteReference w:id="892"/>
      </w:r>
      <w:r>
        <w:rPr>
          <w:spacing w:val="-10"/>
        </w:rPr>
        <w:t xml:space="preserve"> </w:t>
      </w:r>
      <w:r>
        <w:t>como</w:t>
      </w:r>
      <w:r>
        <w:rPr>
          <w:spacing w:val="-11"/>
        </w:rPr>
        <w:t xml:space="preserve"> </w:t>
      </w:r>
      <w:r>
        <w:t>hornos crematorios para «desaparecer las evidencias de los homicidios y así no aumentar las cifras de las estadísticas»</w:t>
      </w:r>
      <w:r w:rsidR="00605CB9">
        <w:rPr>
          <w:rStyle w:val="Refdenotaalpie"/>
        </w:rPr>
        <w:footnoteReference w:id="893"/>
      </w:r>
      <w:r>
        <w:t>.</w:t>
      </w:r>
    </w:p>
    <w:p w:rsidR="003804AC" w:rsidRDefault="00AF18A5" w:rsidP="00605CB9">
      <w:bookmarkStart w:id="1102" w:name="_bookmark973"/>
      <w:bookmarkStart w:id="1103" w:name="_bookmark974"/>
      <w:bookmarkStart w:id="1104" w:name="_bookmark975"/>
      <w:bookmarkEnd w:id="1102"/>
      <w:bookmarkEnd w:id="1103"/>
      <w:bookmarkEnd w:id="1104"/>
      <w:r>
        <w:t>Esta práctica se extendió a diferentes regiones del país, de acuerdo con varias sentencias contra diferentes frentes paramilitares: el Frente José Pablo Díaz</w:t>
      </w:r>
      <w:r w:rsidR="000D6D1C">
        <w:rPr>
          <w:rStyle w:val="Refdenotaalpie"/>
        </w:rPr>
        <w:footnoteReference w:id="894"/>
      </w:r>
      <w:r>
        <w:t>, el Bloque Cacique Nutibara</w:t>
      </w:r>
      <w:r w:rsidR="000D6D1C">
        <w:rPr>
          <w:rStyle w:val="Refdenotaalpie"/>
        </w:rPr>
        <w:footnoteReference w:id="895"/>
      </w:r>
      <w:r>
        <w:t>, entre otros</w:t>
      </w:r>
      <w:r w:rsidR="000D6D1C">
        <w:rPr>
          <w:rStyle w:val="Refdenotaalpie"/>
        </w:rPr>
        <w:footnoteReference w:id="896"/>
      </w:r>
      <w:r>
        <w:t>.</w:t>
      </w:r>
    </w:p>
    <w:p w:rsidR="003804AC" w:rsidRDefault="00AF18A5" w:rsidP="000D6D1C">
      <w:r>
        <w:t>A</w:t>
      </w:r>
      <w:r>
        <w:rPr>
          <w:spacing w:val="-15"/>
        </w:rPr>
        <w:t xml:space="preserve"> </w:t>
      </w:r>
      <w:r>
        <w:t>pesar</w:t>
      </w:r>
      <w:r>
        <w:rPr>
          <w:spacing w:val="-15"/>
        </w:rPr>
        <w:t xml:space="preserve"> </w:t>
      </w:r>
      <w:r>
        <w:t>de</w:t>
      </w:r>
      <w:r>
        <w:rPr>
          <w:spacing w:val="-15"/>
        </w:rPr>
        <w:t xml:space="preserve"> </w:t>
      </w:r>
      <w:r>
        <w:t>lo</w:t>
      </w:r>
      <w:r>
        <w:rPr>
          <w:spacing w:val="-15"/>
        </w:rPr>
        <w:t xml:space="preserve"> </w:t>
      </w:r>
      <w:r>
        <w:t>anterior,</w:t>
      </w:r>
      <w:r>
        <w:rPr>
          <w:spacing w:val="-15"/>
        </w:rPr>
        <w:t xml:space="preserve"> </w:t>
      </w:r>
      <w:r>
        <w:t>nada</w:t>
      </w:r>
      <w:r>
        <w:rPr>
          <w:spacing w:val="-15"/>
        </w:rPr>
        <w:t xml:space="preserve"> </w:t>
      </w:r>
      <w:r>
        <w:t>de</w:t>
      </w:r>
      <w:r>
        <w:rPr>
          <w:spacing w:val="-15"/>
        </w:rPr>
        <w:t xml:space="preserve"> </w:t>
      </w:r>
      <w:r>
        <w:t>esto</w:t>
      </w:r>
      <w:r>
        <w:rPr>
          <w:spacing w:val="-15"/>
        </w:rPr>
        <w:t xml:space="preserve"> </w:t>
      </w:r>
      <w:r>
        <w:t>se</w:t>
      </w:r>
      <w:r>
        <w:rPr>
          <w:spacing w:val="-15"/>
        </w:rPr>
        <w:t xml:space="preserve"> </w:t>
      </w:r>
      <w:r>
        <w:t>investigó</w:t>
      </w:r>
      <w:r>
        <w:rPr>
          <w:spacing w:val="-15"/>
        </w:rPr>
        <w:t xml:space="preserve"> </w:t>
      </w:r>
      <w:r>
        <w:t>en</w:t>
      </w:r>
      <w:r>
        <w:rPr>
          <w:spacing w:val="-15"/>
        </w:rPr>
        <w:t xml:space="preserve"> </w:t>
      </w:r>
      <w:r>
        <w:t>la</w:t>
      </w:r>
      <w:r>
        <w:rPr>
          <w:spacing w:val="-15"/>
        </w:rPr>
        <w:t xml:space="preserve"> </w:t>
      </w:r>
      <w:r>
        <w:t>Comisión</w:t>
      </w:r>
      <w:r>
        <w:rPr>
          <w:spacing w:val="-15"/>
        </w:rPr>
        <w:t xml:space="preserve"> </w:t>
      </w:r>
      <w:r>
        <w:t>de</w:t>
      </w:r>
      <w:r>
        <w:rPr>
          <w:spacing w:val="-15"/>
        </w:rPr>
        <w:t xml:space="preserve"> </w:t>
      </w:r>
      <w:r>
        <w:t>Acusación</w:t>
      </w:r>
      <w:r>
        <w:rPr>
          <w:spacing w:val="-15"/>
        </w:rPr>
        <w:t xml:space="preserve"> </w:t>
      </w:r>
      <w:r>
        <w:t>de</w:t>
      </w:r>
      <w:r>
        <w:rPr>
          <w:spacing w:val="-15"/>
        </w:rPr>
        <w:t xml:space="preserve"> </w:t>
      </w:r>
      <w:r>
        <w:t>la</w:t>
      </w:r>
      <w:r>
        <w:rPr>
          <w:spacing w:val="-15"/>
        </w:rPr>
        <w:t xml:space="preserve"> </w:t>
      </w:r>
      <w:r>
        <w:t xml:space="preserve">Cámara de Representantes, el organismo facultado para evaluar la conducta del fiscal. Nunca hubo, en la práctica, la más </w:t>
      </w:r>
      <w:r>
        <w:lastRenderedPageBreak/>
        <w:t>mínima averiguación sobre hechos que se mostraban a la luz del país como constitutivos de delito. La historia de este organismo, el encargado de investigar la conducta</w:t>
      </w:r>
      <w:r>
        <w:rPr>
          <w:spacing w:val="-7"/>
        </w:rPr>
        <w:t xml:space="preserve"> </w:t>
      </w:r>
      <w:r>
        <w:t>del</w:t>
      </w:r>
      <w:r>
        <w:rPr>
          <w:spacing w:val="-7"/>
        </w:rPr>
        <w:t xml:space="preserve"> </w:t>
      </w:r>
      <w:r>
        <w:t>presidente,</w:t>
      </w:r>
      <w:r>
        <w:rPr>
          <w:spacing w:val="-7"/>
        </w:rPr>
        <w:t xml:space="preserve"> </w:t>
      </w:r>
      <w:r>
        <w:t>el</w:t>
      </w:r>
      <w:r>
        <w:rPr>
          <w:spacing w:val="-6"/>
        </w:rPr>
        <w:t xml:space="preserve"> </w:t>
      </w:r>
      <w:r>
        <w:t>fiscal</w:t>
      </w:r>
      <w:r>
        <w:rPr>
          <w:spacing w:val="-6"/>
        </w:rPr>
        <w:t xml:space="preserve"> </w:t>
      </w:r>
      <w:r>
        <w:t>y</w:t>
      </w:r>
      <w:r>
        <w:rPr>
          <w:spacing w:val="-7"/>
        </w:rPr>
        <w:t xml:space="preserve"> </w:t>
      </w:r>
      <w:r>
        <w:t>los</w:t>
      </w:r>
      <w:r>
        <w:rPr>
          <w:spacing w:val="-6"/>
        </w:rPr>
        <w:t xml:space="preserve"> </w:t>
      </w:r>
      <w:r>
        <w:t>magistrados</w:t>
      </w:r>
      <w:r>
        <w:rPr>
          <w:spacing w:val="-6"/>
        </w:rPr>
        <w:t xml:space="preserve"> </w:t>
      </w:r>
      <w:r>
        <w:t>de</w:t>
      </w:r>
      <w:r>
        <w:rPr>
          <w:spacing w:val="-7"/>
        </w:rPr>
        <w:t xml:space="preserve"> </w:t>
      </w:r>
      <w:r>
        <w:t>las</w:t>
      </w:r>
      <w:r>
        <w:rPr>
          <w:spacing w:val="-7"/>
        </w:rPr>
        <w:t xml:space="preserve"> </w:t>
      </w:r>
      <w:r>
        <w:t>altas</w:t>
      </w:r>
      <w:r>
        <w:rPr>
          <w:spacing w:val="-7"/>
        </w:rPr>
        <w:t xml:space="preserve"> </w:t>
      </w:r>
      <w:r>
        <w:t>cortes,</w:t>
      </w:r>
      <w:r>
        <w:rPr>
          <w:spacing w:val="-7"/>
        </w:rPr>
        <w:t xml:space="preserve"> </w:t>
      </w:r>
      <w:r>
        <w:t>es</w:t>
      </w:r>
      <w:r>
        <w:rPr>
          <w:spacing w:val="-6"/>
        </w:rPr>
        <w:t xml:space="preserve"> </w:t>
      </w:r>
      <w:r>
        <w:t>un</w:t>
      </w:r>
      <w:r>
        <w:rPr>
          <w:spacing w:val="-6"/>
        </w:rPr>
        <w:t xml:space="preserve"> </w:t>
      </w:r>
      <w:r>
        <w:t>ejemplo</w:t>
      </w:r>
      <w:r>
        <w:rPr>
          <w:spacing w:val="-7"/>
        </w:rPr>
        <w:t xml:space="preserve"> </w:t>
      </w:r>
      <w:r>
        <w:t>claro</w:t>
      </w:r>
      <w:r>
        <w:rPr>
          <w:spacing w:val="-6"/>
        </w:rPr>
        <w:t xml:space="preserve"> </w:t>
      </w:r>
      <w:r>
        <w:t>de impunidad que debe examinarse en busca de reformas.</w:t>
      </w:r>
    </w:p>
    <w:p w:rsidR="003804AC" w:rsidRDefault="00AF18A5" w:rsidP="000D6D1C">
      <w:r>
        <w:t>La</w:t>
      </w:r>
      <w:r>
        <w:rPr>
          <w:spacing w:val="-2"/>
        </w:rPr>
        <w:t xml:space="preserve"> </w:t>
      </w:r>
      <w:r>
        <w:t>gravedad</w:t>
      </w:r>
      <w:r>
        <w:rPr>
          <w:spacing w:val="-4"/>
        </w:rPr>
        <w:t xml:space="preserve"> </w:t>
      </w:r>
      <w:r>
        <w:t>de</w:t>
      </w:r>
      <w:r>
        <w:rPr>
          <w:spacing w:val="-2"/>
        </w:rPr>
        <w:t xml:space="preserve"> </w:t>
      </w:r>
      <w:r>
        <w:t>la</w:t>
      </w:r>
      <w:r>
        <w:rPr>
          <w:spacing w:val="-2"/>
        </w:rPr>
        <w:t xml:space="preserve"> </w:t>
      </w:r>
      <w:r>
        <w:t>complicidad</w:t>
      </w:r>
      <w:r>
        <w:rPr>
          <w:spacing w:val="-2"/>
        </w:rPr>
        <w:t xml:space="preserve"> </w:t>
      </w:r>
      <w:r>
        <w:t>de</w:t>
      </w:r>
      <w:r>
        <w:rPr>
          <w:spacing w:val="-2"/>
        </w:rPr>
        <w:t xml:space="preserve"> </w:t>
      </w:r>
      <w:r>
        <w:t>agentes</w:t>
      </w:r>
      <w:r>
        <w:rPr>
          <w:spacing w:val="-2"/>
        </w:rPr>
        <w:t xml:space="preserve"> </w:t>
      </w:r>
      <w:r>
        <w:t>de</w:t>
      </w:r>
      <w:r>
        <w:rPr>
          <w:spacing w:val="-2"/>
        </w:rPr>
        <w:t xml:space="preserve"> </w:t>
      </w:r>
      <w:r>
        <w:t>la</w:t>
      </w:r>
      <w:r>
        <w:rPr>
          <w:spacing w:val="-3"/>
        </w:rPr>
        <w:t xml:space="preserve"> </w:t>
      </w:r>
      <w:r>
        <w:t>justicia</w:t>
      </w:r>
      <w:r>
        <w:rPr>
          <w:spacing w:val="-2"/>
        </w:rPr>
        <w:t xml:space="preserve"> </w:t>
      </w:r>
      <w:r>
        <w:t>o</w:t>
      </w:r>
      <w:r>
        <w:rPr>
          <w:spacing w:val="-2"/>
        </w:rPr>
        <w:t xml:space="preserve"> </w:t>
      </w:r>
      <w:r>
        <w:t>encargados</w:t>
      </w:r>
      <w:r>
        <w:rPr>
          <w:spacing w:val="-2"/>
        </w:rPr>
        <w:t xml:space="preserve"> </w:t>
      </w:r>
      <w:r>
        <w:t>de</w:t>
      </w:r>
      <w:r>
        <w:rPr>
          <w:spacing w:val="-2"/>
        </w:rPr>
        <w:t xml:space="preserve"> </w:t>
      </w:r>
      <w:r>
        <w:t>ejercerla</w:t>
      </w:r>
      <w:r>
        <w:rPr>
          <w:spacing w:val="-2"/>
        </w:rPr>
        <w:t xml:space="preserve"> </w:t>
      </w:r>
      <w:r>
        <w:t>no</w:t>
      </w:r>
      <w:r>
        <w:rPr>
          <w:spacing w:val="-2"/>
        </w:rPr>
        <w:t xml:space="preserve"> </w:t>
      </w:r>
      <w:r>
        <w:t>solo se presentó frente a los grupos paramilitares. También hay evidencia de que, en el caso de los «falsos positivos», hubo participación de integrantes de la Fiscalía y el CTI. Estos contribuyeron a la dinámica de «legalización» de cadáveres, certificando pruebas falsas, implantando evidencia fraudulenta y generando un esquema de impunidad para que la maquinaria</w:t>
      </w:r>
      <w:r>
        <w:rPr>
          <w:spacing w:val="-12"/>
        </w:rPr>
        <w:t xml:space="preserve"> </w:t>
      </w:r>
      <w:r>
        <w:t>de</w:t>
      </w:r>
      <w:r>
        <w:rPr>
          <w:spacing w:val="-11"/>
        </w:rPr>
        <w:t xml:space="preserve"> </w:t>
      </w:r>
      <w:r>
        <w:t>muerte</w:t>
      </w:r>
      <w:r>
        <w:rPr>
          <w:spacing w:val="-11"/>
        </w:rPr>
        <w:t xml:space="preserve"> </w:t>
      </w:r>
      <w:r>
        <w:t>se</w:t>
      </w:r>
      <w:r>
        <w:rPr>
          <w:spacing w:val="-12"/>
        </w:rPr>
        <w:t xml:space="preserve"> </w:t>
      </w:r>
      <w:r>
        <w:t>siguiera</w:t>
      </w:r>
      <w:r>
        <w:rPr>
          <w:spacing w:val="-11"/>
        </w:rPr>
        <w:t xml:space="preserve"> </w:t>
      </w:r>
      <w:r>
        <w:t>cometiendo</w:t>
      </w:r>
      <w:r>
        <w:rPr>
          <w:spacing w:val="-11"/>
        </w:rPr>
        <w:t xml:space="preserve"> </w:t>
      </w:r>
      <w:r>
        <w:t>hasta</w:t>
      </w:r>
      <w:r>
        <w:rPr>
          <w:spacing w:val="-11"/>
        </w:rPr>
        <w:t xml:space="preserve"> </w:t>
      </w:r>
      <w:r>
        <w:t>llegar</w:t>
      </w:r>
      <w:r>
        <w:rPr>
          <w:spacing w:val="-10"/>
        </w:rPr>
        <w:t xml:space="preserve"> </w:t>
      </w:r>
      <w:r>
        <w:t>al</w:t>
      </w:r>
      <w:r>
        <w:rPr>
          <w:spacing w:val="-10"/>
        </w:rPr>
        <w:t xml:space="preserve"> </w:t>
      </w:r>
      <w:r>
        <w:t>menos</w:t>
      </w:r>
      <w:r>
        <w:rPr>
          <w:spacing w:val="-11"/>
        </w:rPr>
        <w:t xml:space="preserve"> </w:t>
      </w:r>
      <w:r>
        <w:t>a</w:t>
      </w:r>
      <w:r>
        <w:rPr>
          <w:spacing w:val="-11"/>
        </w:rPr>
        <w:t xml:space="preserve"> </w:t>
      </w:r>
      <w:r>
        <w:t>6.402</w:t>
      </w:r>
      <w:r>
        <w:rPr>
          <w:spacing w:val="-11"/>
        </w:rPr>
        <w:t xml:space="preserve"> </w:t>
      </w:r>
      <w:r>
        <w:t>víctimas</w:t>
      </w:r>
      <w:r>
        <w:rPr>
          <w:spacing w:val="-12"/>
        </w:rPr>
        <w:t xml:space="preserve"> </w:t>
      </w:r>
      <w:r>
        <w:t>entre</w:t>
      </w:r>
      <w:r>
        <w:rPr>
          <w:spacing w:val="-11"/>
        </w:rPr>
        <w:t xml:space="preserve"> </w:t>
      </w:r>
      <w:r>
        <w:t>los años 2002 y 2008.</w:t>
      </w:r>
    </w:p>
    <w:p w:rsidR="0011361F" w:rsidRDefault="00AF18A5" w:rsidP="004A6EF4">
      <w:pPr>
        <w:pStyle w:val="Ttulo3"/>
        <w:numPr>
          <w:ilvl w:val="1"/>
          <w:numId w:val="16"/>
        </w:numPr>
      </w:pPr>
      <w:bookmarkStart w:id="1105" w:name="8.4._Los_tribunales_de_Justicia_y_Paz:_v"/>
      <w:bookmarkStart w:id="1106" w:name="_Toc112399629"/>
      <w:bookmarkEnd w:id="1105"/>
      <w:r>
        <w:t>Los</w:t>
      </w:r>
      <w:r>
        <w:rPr>
          <w:spacing w:val="-4"/>
        </w:rPr>
        <w:t xml:space="preserve"> </w:t>
      </w:r>
      <w:r>
        <w:t>tribunales</w:t>
      </w:r>
      <w:r>
        <w:rPr>
          <w:spacing w:val="-1"/>
        </w:rPr>
        <w:t xml:space="preserve"> </w:t>
      </w:r>
      <w:r>
        <w:t>de</w:t>
      </w:r>
      <w:r>
        <w:rPr>
          <w:spacing w:val="-1"/>
        </w:rPr>
        <w:t xml:space="preserve"> </w:t>
      </w:r>
      <w:r>
        <w:t>Justicia</w:t>
      </w:r>
      <w:r>
        <w:rPr>
          <w:spacing w:val="-2"/>
        </w:rPr>
        <w:t xml:space="preserve"> </w:t>
      </w:r>
      <w:r>
        <w:t>y</w:t>
      </w:r>
      <w:r>
        <w:rPr>
          <w:spacing w:val="-1"/>
        </w:rPr>
        <w:t xml:space="preserve"> </w:t>
      </w:r>
      <w:r>
        <w:t>Paz:</w:t>
      </w:r>
      <w:r>
        <w:rPr>
          <w:spacing w:val="-1"/>
        </w:rPr>
        <w:t xml:space="preserve"> </w:t>
      </w:r>
      <w:r w:rsidRPr="000D6D1C">
        <w:t>verdades</w:t>
      </w:r>
      <w:r>
        <w:rPr>
          <w:spacing w:val="-2"/>
        </w:rPr>
        <w:t xml:space="preserve"> </w:t>
      </w:r>
      <w:r>
        <w:t>reveladas</w:t>
      </w:r>
      <w:r>
        <w:rPr>
          <w:spacing w:val="-3"/>
        </w:rPr>
        <w:t xml:space="preserve"> </w:t>
      </w:r>
      <w:r>
        <w:t>y</w:t>
      </w:r>
      <w:r>
        <w:rPr>
          <w:spacing w:val="-1"/>
        </w:rPr>
        <w:t xml:space="preserve"> </w:t>
      </w:r>
      <w:r>
        <w:t>tareas</w:t>
      </w:r>
      <w:r>
        <w:rPr>
          <w:spacing w:val="-1"/>
        </w:rPr>
        <w:t xml:space="preserve"> </w:t>
      </w:r>
      <w:r>
        <w:rPr>
          <w:spacing w:val="-2"/>
        </w:rPr>
        <w:t>pendientes</w:t>
      </w:r>
      <w:bookmarkEnd w:id="1106"/>
    </w:p>
    <w:p w:rsidR="003804AC" w:rsidRDefault="00AF18A5" w:rsidP="00F2101B">
      <w:r>
        <w:t>En</w:t>
      </w:r>
      <w:r>
        <w:rPr>
          <w:spacing w:val="-10"/>
        </w:rPr>
        <w:t xml:space="preserve"> </w:t>
      </w:r>
      <w:r>
        <w:t>2005,</w:t>
      </w:r>
      <w:r>
        <w:rPr>
          <w:spacing w:val="-10"/>
        </w:rPr>
        <w:t xml:space="preserve"> </w:t>
      </w:r>
      <w:r>
        <w:t>como</w:t>
      </w:r>
      <w:r>
        <w:rPr>
          <w:spacing w:val="-10"/>
        </w:rPr>
        <w:t xml:space="preserve"> </w:t>
      </w:r>
      <w:r>
        <w:t>parte</w:t>
      </w:r>
      <w:r>
        <w:rPr>
          <w:spacing w:val="-9"/>
        </w:rPr>
        <w:t xml:space="preserve"> </w:t>
      </w:r>
      <w:r>
        <w:t>del</w:t>
      </w:r>
      <w:r>
        <w:rPr>
          <w:spacing w:val="-10"/>
        </w:rPr>
        <w:t xml:space="preserve"> </w:t>
      </w:r>
      <w:r>
        <w:t>proceso</w:t>
      </w:r>
      <w:r>
        <w:rPr>
          <w:spacing w:val="-11"/>
        </w:rPr>
        <w:t xml:space="preserve"> </w:t>
      </w:r>
      <w:r>
        <w:t>de</w:t>
      </w:r>
      <w:r>
        <w:rPr>
          <w:spacing w:val="-11"/>
        </w:rPr>
        <w:t xml:space="preserve"> </w:t>
      </w:r>
      <w:r>
        <w:t>desmovilización</w:t>
      </w:r>
      <w:r>
        <w:rPr>
          <w:spacing w:val="-10"/>
        </w:rPr>
        <w:t xml:space="preserve"> </w:t>
      </w:r>
      <w:r>
        <w:t>de</w:t>
      </w:r>
      <w:r>
        <w:rPr>
          <w:spacing w:val="-11"/>
        </w:rPr>
        <w:t xml:space="preserve"> </w:t>
      </w:r>
      <w:r>
        <w:t>las</w:t>
      </w:r>
      <w:r>
        <w:rPr>
          <w:spacing w:val="-11"/>
        </w:rPr>
        <w:t xml:space="preserve"> </w:t>
      </w:r>
      <w:r>
        <w:t>AUC,</w:t>
      </w:r>
      <w:r>
        <w:rPr>
          <w:spacing w:val="-10"/>
        </w:rPr>
        <w:t xml:space="preserve"> </w:t>
      </w:r>
      <w:r>
        <w:t>se</w:t>
      </w:r>
      <w:r>
        <w:rPr>
          <w:spacing w:val="-9"/>
        </w:rPr>
        <w:t xml:space="preserve"> </w:t>
      </w:r>
      <w:r>
        <w:t>aprobó</w:t>
      </w:r>
      <w:r>
        <w:rPr>
          <w:spacing w:val="-10"/>
        </w:rPr>
        <w:t xml:space="preserve"> </w:t>
      </w:r>
      <w:r>
        <w:t>la</w:t>
      </w:r>
      <w:r>
        <w:rPr>
          <w:spacing w:val="-11"/>
        </w:rPr>
        <w:t xml:space="preserve"> </w:t>
      </w:r>
      <w:r>
        <w:t>ley</w:t>
      </w:r>
      <w:r>
        <w:rPr>
          <w:spacing w:val="-10"/>
        </w:rPr>
        <w:t xml:space="preserve"> </w:t>
      </w:r>
      <w:r>
        <w:t>de</w:t>
      </w:r>
      <w:r>
        <w:rPr>
          <w:spacing w:val="-11"/>
        </w:rPr>
        <w:t xml:space="preserve"> </w:t>
      </w:r>
      <w:r>
        <w:t>Justicia y</w:t>
      </w:r>
      <w:r>
        <w:rPr>
          <w:spacing w:val="-3"/>
        </w:rPr>
        <w:t xml:space="preserve"> </w:t>
      </w:r>
      <w:r>
        <w:t>Paz,</w:t>
      </w:r>
      <w:r>
        <w:rPr>
          <w:spacing w:val="-3"/>
        </w:rPr>
        <w:t xml:space="preserve"> </w:t>
      </w:r>
      <w:r>
        <w:t>que</w:t>
      </w:r>
      <w:r>
        <w:rPr>
          <w:spacing w:val="-3"/>
        </w:rPr>
        <w:t xml:space="preserve"> </w:t>
      </w:r>
      <w:r>
        <w:t>estableció</w:t>
      </w:r>
      <w:r>
        <w:rPr>
          <w:spacing w:val="-3"/>
        </w:rPr>
        <w:t xml:space="preserve"> </w:t>
      </w:r>
      <w:r>
        <w:t>una</w:t>
      </w:r>
      <w:r>
        <w:rPr>
          <w:spacing w:val="-3"/>
        </w:rPr>
        <w:t xml:space="preserve"> </w:t>
      </w:r>
      <w:r>
        <w:t>pena</w:t>
      </w:r>
      <w:r>
        <w:rPr>
          <w:spacing w:val="-3"/>
        </w:rPr>
        <w:t xml:space="preserve"> </w:t>
      </w:r>
      <w:r>
        <w:t>privativa</w:t>
      </w:r>
      <w:r>
        <w:rPr>
          <w:spacing w:val="-3"/>
        </w:rPr>
        <w:t xml:space="preserve"> </w:t>
      </w:r>
      <w:r>
        <w:t>de</w:t>
      </w:r>
      <w:r>
        <w:rPr>
          <w:spacing w:val="-4"/>
        </w:rPr>
        <w:t xml:space="preserve"> </w:t>
      </w:r>
      <w:r>
        <w:t>la</w:t>
      </w:r>
      <w:r>
        <w:rPr>
          <w:spacing w:val="-3"/>
        </w:rPr>
        <w:t xml:space="preserve"> </w:t>
      </w:r>
      <w:r>
        <w:t>libertad</w:t>
      </w:r>
      <w:r>
        <w:rPr>
          <w:spacing w:val="-4"/>
        </w:rPr>
        <w:t xml:space="preserve"> </w:t>
      </w:r>
      <w:r>
        <w:t>más</w:t>
      </w:r>
      <w:r>
        <w:rPr>
          <w:spacing w:val="-3"/>
        </w:rPr>
        <w:t xml:space="preserve"> </w:t>
      </w:r>
      <w:r>
        <w:t>blanda</w:t>
      </w:r>
      <w:r>
        <w:rPr>
          <w:spacing w:val="-3"/>
        </w:rPr>
        <w:t xml:space="preserve"> </w:t>
      </w:r>
      <w:r>
        <w:t>para</w:t>
      </w:r>
      <w:r>
        <w:rPr>
          <w:spacing w:val="-3"/>
        </w:rPr>
        <w:t xml:space="preserve"> </w:t>
      </w:r>
      <w:r>
        <w:t>quienes</w:t>
      </w:r>
      <w:r>
        <w:rPr>
          <w:spacing w:val="-3"/>
        </w:rPr>
        <w:t xml:space="preserve"> </w:t>
      </w:r>
      <w:r>
        <w:t>no</w:t>
      </w:r>
      <w:r>
        <w:rPr>
          <w:spacing w:val="-3"/>
        </w:rPr>
        <w:t xml:space="preserve"> </w:t>
      </w:r>
      <w:r>
        <w:t>volvieran a</w:t>
      </w:r>
      <w:r>
        <w:rPr>
          <w:spacing w:val="-2"/>
        </w:rPr>
        <w:t xml:space="preserve"> </w:t>
      </w:r>
      <w:r>
        <w:t>delinquir.</w:t>
      </w:r>
      <w:r>
        <w:rPr>
          <w:spacing w:val="-3"/>
        </w:rPr>
        <w:t xml:space="preserve"> </w:t>
      </w:r>
      <w:r>
        <w:t>Para</w:t>
      </w:r>
      <w:r>
        <w:rPr>
          <w:spacing w:val="-2"/>
        </w:rPr>
        <w:t xml:space="preserve"> </w:t>
      </w:r>
      <w:r>
        <w:t>2010,</w:t>
      </w:r>
      <w:r>
        <w:rPr>
          <w:spacing w:val="-2"/>
        </w:rPr>
        <w:t xml:space="preserve"> </w:t>
      </w:r>
      <w:r>
        <w:t>el</w:t>
      </w:r>
      <w:r>
        <w:rPr>
          <w:spacing w:val="-2"/>
        </w:rPr>
        <w:t xml:space="preserve"> </w:t>
      </w:r>
      <w:r>
        <w:t>Gobierno</w:t>
      </w:r>
      <w:r>
        <w:rPr>
          <w:spacing w:val="-2"/>
        </w:rPr>
        <w:t xml:space="preserve"> </w:t>
      </w:r>
      <w:r>
        <w:t>había</w:t>
      </w:r>
      <w:r>
        <w:rPr>
          <w:spacing w:val="-2"/>
        </w:rPr>
        <w:t xml:space="preserve"> </w:t>
      </w:r>
      <w:r>
        <w:t>reportado</w:t>
      </w:r>
      <w:r>
        <w:rPr>
          <w:spacing w:val="-2"/>
        </w:rPr>
        <w:t xml:space="preserve"> </w:t>
      </w:r>
      <w:r>
        <w:t>31.671</w:t>
      </w:r>
      <w:r>
        <w:rPr>
          <w:spacing w:val="-2"/>
        </w:rPr>
        <w:t xml:space="preserve"> </w:t>
      </w:r>
      <w:r>
        <w:t>paramilitares</w:t>
      </w:r>
      <w:r>
        <w:rPr>
          <w:spacing w:val="-3"/>
        </w:rPr>
        <w:t xml:space="preserve"> </w:t>
      </w:r>
      <w:r>
        <w:t>«desmovilizados», pero tan solo 3.635 estaban postulados a la ley</w:t>
      </w:r>
      <w:r w:rsidR="00F2101B">
        <w:rPr>
          <w:rStyle w:val="Refdenotaalpie"/>
        </w:rPr>
        <w:footnoteReference w:id="897"/>
      </w:r>
      <w:r>
        <w:t>. En otras palabras, 28.036 paramilitares que</w:t>
      </w:r>
      <w:r>
        <w:rPr>
          <w:spacing w:val="-10"/>
        </w:rPr>
        <w:t xml:space="preserve"> </w:t>
      </w:r>
      <w:r>
        <w:t>no</w:t>
      </w:r>
      <w:r>
        <w:rPr>
          <w:spacing w:val="-9"/>
        </w:rPr>
        <w:t xml:space="preserve"> </w:t>
      </w:r>
      <w:r>
        <w:t>tenían</w:t>
      </w:r>
      <w:r>
        <w:rPr>
          <w:spacing w:val="-9"/>
        </w:rPr>
        <w:t xml:space="preserve"> </w:t>
      </w:r>
      <w:r>
        <w:t>procesos</w:t>
      </w:r>
      <w:r>
        <w:rPr>
          <w:spacing w:val="-7"/>
        </w:rPr>
        <w:t xml:space="preserve"> </w:t>
      </w:r>
      <w:r>
        <w:t>abiertos</w:t>
      </w:r>
      <w:r>
        <w:rPr>
          <w:spacing w:val="-8"/>
        </w:rPr>
        <w:t xml:space="preserve"> </w:t>
      </w:r>
      <w:r>
        <w:t>o</w:t>
      </w:r>
      <w:r>
        <w:rPr>
          <w:spacing w:val="-9"/>
        </w:rPr>
        <w:t xml:space="preserve"> </w:t>
      </w:r>
      <w:r>
        <w:t>condenas</w:t>
      </w:r>
      <w:r>
        <w:rPr>
          <w:spacing w:val="-7"/>
        </w:rPr>
        <w:t xml:space="preserve"> </w:t>
      </w:r>
      <w:r>
        <w:t>salieron</w:t>
      </w:r>
      <w:r>
        <w:rPr>
          <w:spacing w:val="-9"/>
        </w:rPr>
        <w:t xml:space="preserve"> </w:t>
      </w:r>
      <w:r>
        <w:t>libres</w:t>
      </w:r>
      <w:r>
        <w:rPr>
          <w:spacing w:val="-8"/>
        </w:rPr>
        <w:t xml:space="preserve"> </w:t>
      </w:r>
      <w:r>
        <w:t>de</w:t>
      </w:r>
      <w:r>
        <w:rPr>
          <w:spacing w:val="-7"/>
        </w:rPr>
        <w:t xml:space="preserve"> </w:t>
      </w:r>
      <w:r>
        <w:t>todo</w:t>
      </w:r>
      <w:r>
        <w:rPr>
          <w:spacing w:val="-9"/>
        </w:rPr>
        <w:t xml:space="preserve"> </w:t>
      </w:r>
      <w:r>
        <w:t>cargo,</w:t>
      </w:r>
      <w:r>
        <w:rPr>
          <w:spacing w:val="-9"/>
        </w:rPr>
        <w:t xml:space="preserve"> </w:t>
      </w:r>
      <w:r>
        <w:t>pues</w:t>
      </w:r>
      <w:r>
        <w:rPr>
          <w:spacing w:val="-7"/>
        </w:rPr>
        <w:t xml:space="preserve"> </w:t>
      </w:r>
      <w:r>
        <w:t>no</w:t>
      </w:r>
      <w:r>
        <w:rPr>
          <w:spacing w:val="-9"/>
        </w:rPr>
        <w:t xml:space="preserve"> </w:t>
      </w:r>
      <w:r>
        <w:t>se</w:t>
      </w:r>
      <w:r>
        <w:rPr>
          <w:spacing w:val="-8"/>
        </w:rPr>
        <w:t xml:space="preserve"> </w:t>
      </w:r>
      <w:r>
        <w:t>les</w:t>
      </w:r>
      <w:r>
        <w:rPr>
          <w:spacing w:val="-9"/>
        </w:rPr>
        <w:t xml:space="preserve"> </w:t>
      </w:r>
      <w:r>
        <w:rPr>
          <w:spacing w:val="-2"/>
        </w:rPr>
        <w:t>había</w:t>
      </w:r>
      <w:bookmarkStart w:id="1107" w:name="_bookmark977"/>
      <w:bookmarkStart w:id="1108" w:name="_bookmark978"/>
      <w:bookmarkStart w:id="1109" w:name="_bookmark979"/>
      <w:bookmarkStart w:id="1110" w:name="_bookmark980"/>
      <w:bookmarkEnd w:id="1107"/>
      <w:bookmarkEnd w:id="1108"/>
      <w:bookmarkEnd w:id="1109"/>
      <w:bookmarkEnd w:id="1110"/>
      <w:r w:rsidR="00F2101B">
        <w:t xml:space="preserve"> </w:t>
      </w:r>
      <w:r>
        <w:t>podido individualizar</w:t>
      </w:r>
      <w:r w:rsidR="00F2101B">
        <w:rPr>
          <w:rStyle w:val="Refdenotaalpie"/>
        </w:rPr>
        <w:footnoteReference w:id="898"/>
      </w:r>
      <w:r>
        <w:t>. La Contraloría presentó una cifra aún más alarmante para los años entre 2002 y octubre de 2016:</w:t>
      </w:r>
    </w:p>
    <w:p w:rsidR="003804AC" w:rsidRDefault="00AF18A5" w:rsidP="00F2101B">
      <w:r>
        <w:lastRenderedPageBreak/>
        <w:t>Los desmovilizados que se postularon a Justicia y Paz, representan únicamente 6,7</w:t>
      </w:r>
      <w:r>
        <w:rPr>
          <w:spacing w:val="-3"/>
        </w:rPr>
        <w:t xml:space="preserve"> </w:t>
      </w:r>
      <w:r>
        <w:t xml:space="preserve">% de los 58.161 desmovilizados registrados; una participación poco significativa, teniendo en </w:t>
      </w:r>
      <w:r>
        <w:rPr>
          <w:spacing w:val="-2"/>
        </w:rPr>
        <w:t>cuenta</w:t>
      </w:r>
      <w:r>
        <w:rPr>
          <w:spacing w:val="-5"/>
        </w:rPr>
        <w:t xml:space="preserve"> </w:t>
      </w:r>
      <w:r>
        <w:rPr>
          <w:spacing w:val="-2"/>
        </w:rPr>
        <w:t>que</w:t>
      </w:r>
      <w:r>
        <w:rPr>
          <w:spacing w:val="-5"/>
        </w:rPr>
        <w:t xml:space="preserve"> </w:t>
      </w:r>
      <w:r>
        <w:rPr>
          <w:spacing w:val="-2"/>
        </w:rPr>
        <w:t>se</w:t>
      </w:r>
      <w:r>
        <w:rPr>
          <w:spacing w:val="-5"/>
        </w:rPr>
        <w:t xml:space="preserve"> </w:t>
      </w:r>
      <w:r>
        <w:rPr>
          <w:spacing w:val="-2"/>
        </w:rPr>
        <w:t>trata</w:t>
      </w:r>
      <w:r>
        <w:rPr>
          <w:spacing w:val="-5"/>
        </w:rPr>
        <w:t xml:space="preserve"> </w:t>
      </w:r>
      <w:r>
        <w:rPr>
          <w:spacing w:val="-2"/>
        </w:rPr>
        <w:t>de</w:t>
      </w:r>
      <w:r>
        <w:rPr>
          <w:spacing w:val="-5"/>
        </w:rPr>
        <w:t xml:space="preserve"> </w:t>
      </w:r>
      <w:r>
        <w:rPr>
          <w:spacing w:val="-2"/>
        </w:rPr>
        <w:t>personas</w:t>
      </w:r>
      <w:r>
        <w:rPr>
          <w:spacing w:val="-5"/>
        </w:rPr>
        <w:t xml:space="preserve"> </w:t>
      </w:r>
      <w:r>
        <w:rPr>
          <w:spacing w:val="-2"/>
        </w:rPr>
        <w:t>con</w:t>
      </w:r>
      <w:r>
        <w:rPr>
          <w:spacing w:val="-6"/>
        </w:rPr>
        <w:t xml:space="preserve"> </w:t>
      </w:r>
      <w:r>
        <w:rPr>
          <w:spacing w:val="-2"/>
        </w:rPr>
        <w:t>investigaciones</w:t>
      </w:r>
      <w:r>
        <w:rPr>
          <w:spacing w:val="-5"/>
        </w:rPr>
        <w:t xml:space="preserve"> </w:t>
      </w:r>
      <w:r>
        <w:rPr>
          <w:spacing w:val="-2"/>
        </w:rPr>
        <w:t>y</w:t>
      </w:r>
      <w:r>
        <w:rPr>
          <w:spacing w:val="-5"/>
        </w:rPr>
        <w:t xml:space="preserve"> </w:t>
      </w:r>
      <w:r>
        <w:rPr>
          <w:spacing w:val="-2"/>
        </w:rPr>
        <w:t>sentencias</w:t>
      </w:r>
      <w:r>
        <w:rPr>
          <w:spacing w:val="-5"/>
        </w:rPr>
        <w:t xml:space="preserve"> </w:t>
      </w:r>
      <w:r>
        <w:rPr>
          <w:spacing w:val="-2"/>
        </w:rPr>
        <w:t>relacionadas</w:t>
      </w:r>
      <w:r>
        <w:rPr>
          <w:spacing w:val="-5"/>
        </w:rPr>
        <w:t xml:space="preserve"> </w:t>
      </w:r>
      <w:r>
        <w:rPr>
          <w:spacing w:val="-2"/>
        </w:rPr>
        <w:t>con</w:t>
      </w:r>
      <w:r>
        <w:rPr>
          <w:spacing w:val="-5"/>
        </w:rPr>
        <w:t xml:space="preserve"> </w:t>
      </w:r>
      <w:r>
        <w:rPr>
          <w:spacing w:val="-2"/>
        </w:rPr>
        <w:t xml:space="preserve">crímenes </w:t>
      </w:r>
      <w:r>
        <w:t>graves, como: homicidio, desplazamiento forzado, reclutamiento ilícito de menores, desaparición forzada, secuestro, entre otros</w:t>
      </w:r>
      <w:r w:rsidR="001B0E9A">
        <w:rPr>
          <w:rStyle w:val="Refdenotaalpie"/>
        </w:rPr>
        <w:footnoteReference w:id="899"/>
      </w:r>
      <w:r>
        <w:t>.</w:t>
      </w:r>
    </w:p>
    <w:p w:rsidR="003804AC" w:rsidRDefault="00AF18A5" w:rsidP="001B0E9A">
      <w:r>
        <w:t>El proceso de Justicia y Paz reveló las verdades sobre el actuar de los grupos paramilitares, estableció los nexos con la fuerza pública, dio detalles de relaciones con empresarios y políticos en diferentes regiones y señaló cómo se habían llevado a cabo masacres y ejecuciones</w:t>
      </w:r>
      <w:r>
        <w:rPr>
          <w:spacing w:val="-14"/>
        </w:rPr>
        <w:t xml:space="preserve"> </w:t>
      </w:r>
      <w:r>
        <w:t>extrajudiciales.</w:t>
      </w:r>
      <w:r>
        <w:rPr>
          <w:spacing w:val="-13"/>
        </w:rPr>
        <w:t xml:space="preserve"> </w:t>
      </w:r>
      <w:r>
        <w:t>También</w:t>
      </w:r>
      <w:r>
        <w:rPr>
          <w:spacing w:val="-14"/>
        </w:rPr>
        <w:t xml:space="preserve"> </w:t>
      </w:r>
      <w:r>
        <w:t>mostró</w:t>
      </w:r>
      <w:r>
        <w:rPr>
          <w:spacing w:val="-14"/>
        </w:rPr>
        <w:t xml:space="preserve"> </w:t>
      </w:r>
      <w:r>
        <w:t>que</w:t>
      </w:r>
      <w:r>
        <w:rPr>
          <w:spacing w:val="-14"/>
        </w:rPr>
        <w:t xml:space="preserve"> </w:t>
      </w:r>
      <w:r>
        <w:t>las</w:t>
      </w:r>
      <w:r>
        <w:rPr>
          <w:spacing w:val="-13"/>
        </w:rPr>
        <w:t xml:space="preserve"> </w:t>
      </w:r>
      <w:r>
        <w:t>desapariciones</w:t>
      </w:r>
      <w:r>
        <w:rPr>
          <w:spacing w:val="-13"/>
        </w:rPr>
        <w:t xml:space="preserve"> </w:t>
      </w:r>
      <w:r>
        <w:t>forzadas</w:t>
      </w:r>
      <w:r>
        <w:rPr>
          <w:spacing w:val="-13"/>
        </w:rPr>
        <w:t xml:space="preserve"> </w:t>
      </w:r>
      <w:r>
        <w:t>se</w:t>
      </w:r>
      <w:r>
        <w:rPr>
          <w:spacing w:val="-13"/>
        </w:rPr>
        <w:t xml:space="preserve"> </w:t>
      </w:r>
      <w:r>
        <w:t>hicieron</w:t>
      </w:r>
      <w:r>
        <w:rPr>
          <w:spacing w:val="-14"/>
        </w:rPr>
        <w:t xml:space="preserve"> </w:t>
      </w:r>
      <w:r>
        <w:t>para no</w:t>
      </w:r>
      <w:r>
        <w:rPr>
          <w:spacing w:val="-13"/>
        </w:rPr>
        <w:t xml:space="preserve"> </w:t>
      </w:r>
      <w:r>
        <w:t>dejar</w:t>
      </w:r>
      <w:r>
        <w:rPr>
          <w:spacing w:val="-13"/>
        </w:rPr>
        <w:t xml:space="preserve"> </w:t>
      </w:r>
      <w:r>
        <w:t>pruebas,</w:t>
      </w:r>
      <w:r>
        <w:rPr>
          <w:spacing w:val="-13"/>
        </w:rPr>
        <w:t xml:space="preserve"> </w:t>
      </w:r>
      <w:r>
        <w:t>por</w:t>
      </w:r>
      <w:r>
        <w:rPr>
          <w:spacing w:val="-13"/>
        </w:rPr>
        <w:t xml:space="preserve"> </w:t>
      </w:r>
      <w:r>
        <w:t>indicaciones</w:t>
      </w:r>
      <w:r>
        <w:rPr>
          <w:spacing w:val="-13"/>
        </w:rPr>
        <w:t xml:space="preserve"> </w:t>
      </w:r>
      <w:r>
        <w:t>tanto</w:t>
      </w:r>
      <w:r>
        <w:rPr>
          <w:spacing w:val="-13"/>
        </w:rPr>
        <w:t xml:space="preserve"> </w:t>
      </w:r>
      <w:r>
        <w:t>de</w:t>
      </w:r>
      <w:r>
        <w:rPr>
          <w:spacing w:val="-13"/>
        </w:rPr>
        <w:t xml:space="preserve"> </w:t>
      </w:r>
      <w:r>
        <w:t>miembros</w:t>
      </w:r>
      <w:r>
        <w:rPr>
          <w:spacing w:val="-13"/>
        </w:rPr>
        <w:t xml:space="preserve"> </w:t>
      </w:r>
      <w:r>
        <w:t>de</w:t>
      </w:r>
      <w:r>
        <w:rPr>
          <w:spacing w:val="-13"/>
        </w:rPr>
        <w:t xml:space="preserve"> </w:t>
      </w:r>
      <w:r>
        <w:t>la</w:t>
      </w:r>
      <w:r>
        <w:rPr>
          <w:spacing w:val="-13"/>
        </w:rPr>
        <w:t xml:space="preserve"> </w:t>
      </w:r>
      <w:r>
        <w:t>fuerza</w:t>
      </w:r>
      <w:r>
        <w:rPr>
          <w:spacing w:val="-13"/>
        </w:rPr>
        <w:t xml:space="preserve"> </w:t>
      </w:r>
      <w:r>
        <w:t>pública</w:t>
      </w:r>
      <w:r>
        <w:rPr>
          <w:spacing w:val="-14"/>
        </w:rPr>
        <w:t xml:space="preserve"> </w:t>
      </w:r>
      <w:r>
        <w:t>como</w:t>
      </w:r>
      <w:r>
        <w:rPr>
          <w:spacing w:val="-13"/>
        </w:rPr>
        <w:t xml:space="preserve"> </w:t>
      </w:r>
      <w:r>
        <w:t>de</w:t>
      </w:r>
      <w:r>
        <w:rPr>
          <w:spacing w:val="-13"/>
        </w:rPr>
        <w:t xml:space="preserve"> </w:t>
      </w:r>
      <w:r>
        <w:t>la</w:t>
      </w:r>
      <w:r>
        <w:rPr>
          <w:spacing w:val="-13"/>
        </w:rPr>
        <w:t xml:space="preserve"> </w:t>
      </w:r>
      <w:r>
        <w:t>Fiscalía para evitar las investigaciones, y dejó ver el nivel de coordinación y complicidad con los militares</w:t>
      </w:r>
      <w:r>
        <w:rPr>
          <w:spacing w:val="-10"/>
        </w:rPr>
        <w:t xml:space="preserve"> </w:t>
      </w:r>
      <w:r>
        <w:t>con</w:t>
      </w:r>
      <w:r>
        <w:rPr>
          <w:spacing w:val="-10"/>
        </w:rPr>
        <w:t xml:space="preserve"> </w:t>
      </w:r>
      <w:r>
        <w:t>que</w:t>
      </w:r>
      <w:r>
        <w:rPr>
          <w:spacing w:val="-10"/>
        </w:rPr>
        <w:t xml:space="preserve"> </w:t>
      </w:r>
      <w:r>
        <w:t>se</w:t>
      </w:r>
      <w:r>
        <w:rPr>
          <w:spacing w:val="-10"/>
        </w:rPr>
        <w:t xml:space="preserve"> </w:t>
      </w:r>
      <w:r>
        <w:t>llevaron</w:t>
      </w:r>
      <w:r>
        <w:rPr>
          <w:spacing w:val="-10"/>
        </w:rPr>
        <w:t xml:space="preserve"> </w:t>
      </w:r>
      <w:r>
        <w:t>a</w:t>
      </w:r>
      <w:r>
        <w:rPr>
          <w:spacing w:val="-10"/>
        </w:rPr>
        <w:t xml:space="preserve"> </w:t>
      </w:r>
      <w:r>
        <w:t>cabo</w:t>
      </w:r>
      <w:r>
        <w:rPr>
          <w:spacing w:val="-10"/>
        </w:rPr>
        <w:t xml:space="preserve"> </w:t>
      </w:r>
      <w:r>
        <w:t>las</w:t>
      </w:r>
      <w:r>
        <w:rPr>
          <w:spacing w:val="-10"/>
        </w:rPr>
        <w:t xml:space="preserve"> </w:t>
      </w:r>
      <w:r>
        <w:t>acciones</w:t>
      </w:r>
      <w:r>
        <w:rPr>
          <w:spacing w:val="-11"/>
        </w:rPr>
        <w:t xml:space="preserve"> </w:t>
      </w:r>
      <w:r>
        <w:t>y</w:t>
      </w:r>
      <w:r>
        <w:rPr>
          <w:spacing w:val="-10"/>
        </w:rPr>
        <w:t xml:space="preserve"> </w:t>
      </w:r>
      <w:r>
        <w:t>su</w:t>
      </w:r>
      <w:r>
        <w:rPr>
          <w:spacing w:val="-10"/>
        </w:rPr>
        <w:t xml:space="preserve"> </w:t>
      </w:r>
      <w:r>
        <w:t>extensión</w:t>
      </w:r>
      <w:r>
        <w:rPr>
          <w:spacing w:val="-10"/>
        </w:rPr>
        <w:t xml:space="preserve"> </w:t>
      </w:r>
      <w:r>
        <w:t>por</w:t>
      </w:r>
      <w:r>
        <w:rPr>
          <w:spacing w:val="-10"/>
        </w:rPr>
        <w:t xml:space="preserve"> </w:t>
      </w:r>
      <w:r>
        <w:t>todo</w:t>
      </w:r>
      <w:r>
        <w:rPr>
          <w:spacing w:val="-10"/>
        </w:rPr>
        <w:t xml:space="preserve"> </w:t>
      </w:r>
      <w:r>
        <w:t>el</w:t>
      </w:r>
      <w:r>
        <w:rPr>
          <w:spacing w:val="-10"/>
        </w:rPr>
        <w:t xml:space="preserve"> </w:t>
      </w:r>
      <w:r>
        <w:t>país.</w:t>
      </w:r>
      <w:r>
        <w:rPr>
          <w:spacing w:val="-10"/>
        </w:rPr>
        <w:t xml:space="preserve"> </w:t>
      </w:r>
      <w:r>
        <w:t>Las</w:t>
      </w:r>
      <w:r>
        <w:rPr>
          <w:spacing w:val="-10"/>
        </w:rPr>
        <w:t xml:space="preserve"> </w:t>
      </w:r>
      <w:r>
        <w:t>víctimas primero</w:t>
      </w:r>
      <w:r>
        <w:rPr>
          <w:spacing w:val="-3"/>
        </w:rPr>
        <w:t xml:space="preserve"> </w:t>
      </w:r>
      <w:r>
        <w:t>se</w:t>
      </w:r>
      <w:r>
        <w:rPr>
          <w:spacing w:val="-2"/>
        </w:rPr>
        <w:t xml:space="preserve"> </w:t>
      </w:r>
      <w:r>
        <w:t>hicieron</w:t>
      </w:r>
      <w:r>
        <w:rPr>
          <w:spacing w:val="-2"/>
        </w:rPr>
        <w:t xml:space="preserve"> </w:t>
      </w:r>
      <w:r>
        <w:t>presentes</w:t>
      </w:r>
      <w:r>
        <w:rPr>
          <w:spacing w:val="-2"/>
        </w:rPr>
        <w:t xml:space="preserve"> </w:t>
      </w:r>
      <w:r>
        <w:t>en</w:t>
      </w:r>
      <w:r>
        <w:rPr>
          <w:spacing w:val="-2"/>
        </w:rPr>
        <w:t xml:space="preserve"> </w:t>
      </w:r>
      <w:r>
        <w:t>las</w:t>
      </w:r>
      <w:r>
        <w:rPr>
          <w:spacing w:val="-3"/>
        </w:rPr>
        <w:t xml:space="preserve"> </w:t>
      </w:r>
      <w:r>
        <w:t>audiencias</w:t>
      </w:r>
      <w:r>
        <w:rPr>
          <w:spacing w:val="-2"/>
        </w:rPr>
        <w:t xml:space="preserve"> </w:t>
      </w:r>
      <w:r>
        <w:t>de</w:t>
      </w:r>
      <w:r>
        <w:rPr>
          <w:spacing w:val="-2"/>
        </w:rPr>
        <w:t xml:space="preserve"> </w:t>
      </w:r>
      <w:r>
        <w:t>las</w:t>
      </w:r>
      <w:r>
        <w:rPr>
          <w:spacing w:val="-2"/>
        </w:rPr>
        <w:t xml:space="preserve"> </w:t>
      </w:r>
      <w:r>
        <w:t>llamadas</w:t>
      </w:r>
      <w:r>
        <w:rPr>
          <w:spacing w:val="-2"/>
        </w:rPr>
        <w:t xml:space="preserve"> </w:t>
      </w:r>
      <w:r>
        <w:t>«versiones</w:t>
      </w:r>
      <w:r>
        <w:rPr>
          <w:spacing w:val="-2"/>
        </w:rPr>
        <w:t xml:space="preserve"> </w:t>
      </w:r>
      <w:r>
        <w:t>libres»</w:t>
      </w:r>
      <w:r>
        <w:rPr>
          <w:spacing w:val="-2"/>
        </w:rPr>
        <w:t xml:space="preserve"> </w:t>
      </w:r>
      <w:r>
        <w:t>y</w:t>
      </w:r>
      <w:r>
        <w:rPr>
          <w:spacing w:val="-3"/>
        </w:rPr>
        <w:t xml:space="preserve"> </w:t>
      </w:r>
      <w:r>
        <w:t>después a</w:t>
      </w:r>
      <w:r>
        <w:rPr>
          <w:spacing w:val="-15"/>
        </w:rPr>
        <w:t xml:space="preserve"> </w:t>
      </w:r>
      <w:r>
        <w:t>través</w:t>
      </w:r>
      <w:r>
        <w:rPr>
          <w:spacing w:val="-15"/>
        </w:rPr>
        <w:t xml:space="preserve"> </w:t>
      </w:r>
      <w:r>
        <w:t>de</w:t>
      </w:r>
      <w:r>
        <w:rPr>
          <w:spacing w:val="-15"/>
        </w:rPr>
        <w:t xml:space="preserve"> </w:t>
      </w:r>
      <w:r>
        <w:t>lo</w:t>
      </w:r>
      <w:r>
        <w:rPr>
          <w:spacing w:val="-15"/>
        </w:rPr>
        <w:t xml:space="preserve"> </w:t>
      </w:r>
      <w:r>
        <w:t>que</w:t>
      </w:r>
      <w:r>
        <w:rPr>
          <w:spacing w:val="-15"/>
        </w:rPr>
        <w:t xml:space="preserve"> </w:t>
      </w:r>
      <w:r>
        <w:t>los</w:t>
      </w:r>
      <w:r>
        <w:rPr>
          <w:spacing w:val="-15"/>
        </w:rPr>
        <w:t xml:space="preserve"> </w:t>
      </w:r>
      <w:r>
        <w:t>tribunales</w:t>
      </w:r>
      <w:r>
        <w:rPr>
          <w:spacing w:val="-15"/>
        </w:rPr>
        <w:t xml:space="preserve"> </w:t>
      </w:r>
      <w:r>
        <w:t>incorporaron</w:t>
      </w:r>
      <w:r>
        <w:rPr>
          <w:spacing w:val="-15"/>
        </w:rPr>
        <w:t xml:space="preserve"> </w:t>
      </w:r>
      <w:r>
        <w:t>como</w:t>
      </w:r>
      <w:r>
        <w:rPr>
          <w:spacing w:val="-15"/>
        </w:rPr>
        <w:t xml:space="preserve"> </w:t>
      </w:r>
      <w:r>
        <w:t>«incidentes</w:t>
      </w:r>
      <w:r>
        <w:rPr>
          <w:spacing w:val="-15"/>
        </w:rPr>
        <w:t xml:space="preserve"> </w:t>
      </w:r>
      <w:r>
        <w:t>de</w:t>
      </w:r>
      <w:r>
        <w:rPr>
          <w:spacing w:val="-15"/>
        </w:rPr>
        <w:t xml:space="preserve"> </w:t>
      </w:r>
      <w:r>
        <w:t>reparación».</w:t>
      </w:r>
      <w:r>
        <w:rPr>
          <w:spacing w:val="-15"/>
        </w:rPr>
        <w:t xml:space="preserve"> </w:t>
      </w:r>
      <w:r>
        <w:t>Si</w:t>
      </w:r>
      <w:r>
        <w:rPr>
          <w:spacing w:val="-15"/>
        </w:rPr>
        <w:t xml:space="preserve"> </w:t>
      </w:r>
      <w:r>
        <w:t>bien</w:t>
      </w:r>
      <w:r>
        <w:rPr>
          <w:spacing w:val="-15"/>
        </w:rPr>
        <w:t xml:space="preserve"> </w:t>
      </w:r>
      <w:r>
        <w:t>dichos tribunales y la ley tenían muchos problemas que alertaban sobre el grave riesgo de impunidad,</w:t>
      </w:r>
      <w:r>
        <w:rPr>
          <w:spacing w:val="-6"/>
        </w:rPr>
        <w:t xml:space="preserve"> </w:t>
      </w:r>
      <w:r>
        <w:t>las</w:t>
      </w:r>
      <w:r>
        <w:rPr>
          <w:spacing w:val="-6"/>
        </w:rPr>
        <w:t xml:space="preserve"> </w:t>
      </w:r>
      <w:r>
        <w:t>víctimas</w:t>
      </w:r>
      <w:r>
        <w:rPr>
          <w:spacing w:val="-6"/>
        </w:rPr>
        <w:t xml:space="preserve"> </w:t>
      </w:r>
      <w:r>
        <w:t>se</w:t>
      </w:r>
      <w:r>
        <w:rPr>
          <w:spacing w:val="-6"/>
        </w:rPr>
        <w:t xml:space="preserve"> </w:t>
      </w:r>
      <w:r>
        <w:t>presentaron</w:t>
      </w:r>
      <w:r>
        <w:rPr>
          <w:spacing w:val="-6"/>
        </w:rPr>
        <w:t xml:space="preserve"> </w:t>
      </w:r>
      <w:r>
        <w:t>a</w:t>
      </w:r>
      <w:r>
        <w:rPr>
          <w:spacing w:val="-6"/>
        </w:rPr>
        <w:t xml:space="preserve"> </w:t>
      </w:r>
      <w:r>
        <w:t>dichos</w:t>
      </w:r>
      <w:r>
        <w:rPr>
          <w:spacing w:val="-6"/>
        </w:rPr>
        <w:t xml:space="preserve"> </w:t>
      </w:r>
      <w:r>
        <w:t>mecanismos</w:t>
      </w:r>
      <w:r>
        <w:rPr>
          <w:spacing w:val="-6"/>
        </w:rPr>
        <w:t xml:space="preserve"> </w:t>
      </w:r>
      <w:r>
        <w:t>de</w:t>
      </w:r>
      <w:r>
        <w:rPr>
          <w:spacing w:val="-6"/>
        </w:rPr>
        <w:t xml:space="preserve"> </w:t>
      </w:r>
      <w:r>
        <w:t>forma</w:t>
      </w:r>
      <w:r>
        <w:rPr>
          <w:spacing w:val="-6"/>
        </w:rPr>
        <w:t xml:space="preserve"> </w:t>
      </w:r>
      <w:r>
        <w:t>amplia,</w:t>
      </w:r>
      <w:r>
        <w:rPr>
          <w:spacing w:val="-6"/>
        </w:rPr>
        <w:t xml:space="preserve"> </w:t>
      </w:r>
      <w:r>
        <w:t>aún</w:t>
      </w:r>
      <w:r>
        <w:rPr>
          <w:spacing w:val="-6"/>
        </w:rPr>
        <w:t xml:space="preserve"> </w:t>
      </w:r>
      <w:r>
        <w:t>en</w:t>
      </w:r>
      <w:r>
        <w:rPr>
          <w:spacing w:val="-6"/>
        </w:rPr>
        <w:t xml:space="preserve"> </w:t>
      </w:r>
      <w:r>
        <w:t>medio del miedo, a preguntar por sus familiares, a tratar de encontrar respuestas para explicar la barbarie que sufrieron y a confrontar a los responsables.</w:t>
      </w:r>
    </w:p>
    <w:p w:rsidR="003804AC" w:rsidRDefault="00AF18A5" w:rsidP="001B0E9A">
      <w:r>
        <w:t>Según</w:t>
      </w:r>
      <w:r>
        <w:rPr>
          <w:spacing w:val="-2"/>
        </w:rPr>
        <w:t xml:space="preserve"> </w:t>
      </w:r>
      <w:r>
        <w:t>la</w:t>
      </w:r>
      <w:r>
        <w:rPr>
          <w:spacing w:val="-1"/>
        </w:rPr>
        <w:t xml:space="preserve"> </w:t>
      </w:r>
      <w:r>
        <w:t>CIDH,</w:t>
      </w:r>
      <w:r>
        <w:rPr>
          <w:spacing w:val="-1"/>
        </w:rPr>
        <w:t xml:space="preserve"> </w:t>
      </w:r>
      <w:r>
        <w:t>sin</w:t>
      </w:r>
      <w:r>
        <w:rPr>
          <w:spacing w:val="-1"/>
        </w:rPr>
        <w:t xml:space="preserve"> </w:t>
      </w:r>
      <w:r>
        <w:rPr>
          <w:spacing w:val="-2"/>
        </w:rPr>
        <w:t>embargo,</w:t>
      </w:r>
      <w:r w:rsidR="001B0E9A">
        <w:t xml:space="preserve"> </w:t>
      </w:r>
      <w:r>
        <w:t xml:space="preserve">La aplicación de la Ley de Justicia y Paz implicó la coordinación institucional entre el Ejecutivo y organismos del aparato judicial, coordinación que presentó fallas y que terminó por </w:t>
      </w:r>
      <w:r>
        <w:lastRenderedPageBreak/>
        <w:t>afectar la credibilidad en el proceso y reveló la improvisación en su aplicación. El alto Comisionado para la Paz anunció la entrega del listado de los paramilitares que iban a ser judicializados por la Fiscalía, no obstante, la fractura en la coordinación</w:t>
      </w:r>
      <w:r>
        <w:rPr>
          <w:spacing w:val="-15"/>
        </w:rPr>
        <w:t xml:space="preserve"> </w:t>
      </w:r>
      <w:r>
        <w:t>entre</w:t>
      </w:r>
      <w:r>
        <w:rPr>
          <w:spacing w:val="-15"/>
        </w:rPr>
        <w:t xml:space="preserve"> </w:t>
      </w:r>
      <w:r>
        <w:t>el</w:t>
      </w:r>
      <w:r>
        <w:rPr>
          <w:spacing w:val="-15"/>
        </w:rPr>
        <w:t xml:space="preserve"> </w:t>
      </w:r>
      <w:r>
        <w:t>Ejecutivo</w:t>
      </w:r>
      <w:r>
        <w:rPr>
          <w:spacing w:val="-15"/>
        </w:rPr>
        <w:t xml:space="preserve"> </w:t>
      </w:r>
      <w:r>
        <w:t>y</w:t>
      </w:r>
      <w:r>
        <w:rPr>
          <w:spacing w:val="-15"/>
        </w:rPr>
        <w:t xml:space="preserve"> </w:t>
      </w:r>
      <w:r>
        <w:t>la</w:t>
      </w:r>
      <w:r>
        <w:rPr>
          <w:spacing w:val="-15"/>
        </w:rPr>
        <w:t xml:space="preserve"> </w:t>
      </w:r>
      <w:r>
        <w:t>Fiscalía</w:t>
      </w:r>
      <w:r>
        <w:rPr>
          <w:spacing w:val="-15"/>
        </w:rPr>
        <w:t xml:space="preserve"> </w:t>
      </w:r>
      <w:r>
        <w:t>se</w:t>
      </w:r>
      <w:r>
        <w:rPr>
          <w:spacing w:val="-15"/>
        </w:rPr>
        <w:t xml:space="preserve"> </w:t>
      </w:r>
      <w:r>
        <w:t>hizo</w:t>
      </w:r>
      <w:r>
        <w:rPr>
          <w:spacing w:val="-15"/>
        </w:rPr>
        <w:t xml:space="preserve"> </w:t>
      </w:r>
      <w:r>
        <w:t>evidente</w:t>
      </w:r>
      <w:r>
        <w:rPr>
          <w:spacing w:val="-15"/>
        </w:rPr>
        <w:t xml:space="preserve"> </w:t>
      </w:r>
      <w:r>
        <w:t>al</w:t>
      </w:r>
      <w:r>
        <w:rPr>
          <w:spacing w:val="-15"/>
        </w:rPr>
        <w:t xml:space="preserve"> </w:t>
      </w:r>
      <w:r>
        <w:t>responder</w:t>
      </w:r>
      <w:r>
        <w:rPr>
          <w:spacing w:val="-15"/>
        </w:rPr>
        <w:t xml:space="preserve"> </w:t>
      </w:r>
      <w:r>
        <w:t>el</w:t>
      </w:r>
      <w:r>
        <w:rPr>
          <w:spacing w:val="-15"/>
        </w:rPr>
        <w:t xml:space="preserve"> </w:t>
      </w:r>
      <w:r>
        <w:t>Fiscal</w:t>
      </w:r>
      <w:r>
        <w:rPr>
          <w:spacing w:val="-15"/>
        </w:rPr>
        <w:t xml:space="preserve"> </w:t>
      </w:r>
      <w:r>
        <w:t>General a</w:t>
      </w:r>
      <w:r>
        <w:rPr>
          <w:spacing w:val="24"/>
        </w:rPr>
        <w:t xml:space="preserve"> </w:t>
      </w:r>
      <w:r>
        <w:t>este</w:t>
      </w:r>
      <w:r>
        <w:rPr>
          <w:spacing w:val="24"/>
        </w:rPr>
        <w:t xml:space="preserve"> </w:t>
      </w:r>
      <w:r>
        <w:t>anuncio</w:t>
      </w:r>
      <w:r>
        <w:rPr>
          <w:spacing w:val="25"/>
        </w:rPr>
        <w:t xml:space="preserve"> </w:t>
      </w:r>
      <w:r>
        <w:t>público</w:t>
      </w:r>
      <w:r>
        <w:rPr>
          <w:spacing w:val="24"/>
        </w:rPr>
        <w:t xml:space="preserve"> </w:t>
      </w:r>
      <w:r>
        <w:t>del</w:t>
      </w:r>
      <w:r>
        <w:rPr>
          <w:spacing w:val="24"/>
        </w:rPr>
        <w:t xml:space="preserve"> </w:t>
      </w:r>
      <w:r>
        <w:t>comisionado</w:t>
      </w:r>
      <w:r>
        <w:rPr>
          <w:spacing w:val="25"/>
        </w:rPr>
        <w:t xml:space="preserve"> </w:t>
      </w:r>
      <w:r>
        <w:t>que</w:t>
      </w:r>
      <w:r>
        <w:rPr>
          <w:spacing w:val="24"/>
        </w:rPr>
        <w:t xml:space="preserve"> </w:t>
      </w:r>
      <w:r>
        <w:t>no</w:t>
      </w:r>
      <w:r>
        <w:rPr>
          <w:spacing w:val="24"/>
        </w:rPr>
        <w:t xml:space="preserve"> </w:t>
      </w:r>
      <w:r>
        <w:t>había</w:t>
      </w:r>
      <w:r>
        <w:rPr>
          <w:spacing w:val="25"/>
        </w:rPr>
        <w:t xml:space="preserve"> </w:t>
      </w:r>
      <w:r>
        <w:t>recibido</w:t>
      </w:r>
      <w:r>
        <w:rPr>
          <w:spacing w:val="24"/>
        </w:rPr>
        <w:t xml:space="preserve"> </w:t>
      </w:r>
      <w:r>
        <w:t>dicha</w:t>
      </w:r>
      <w:r>
        <w:rPr>
          <w:spacing w:val="24"/>
        </w:rPr>
        <w:t xml:space="preserve"> </w:t>
      </w:r>
      <w:r>
        <w:t>lista</w:t>
      </w:r>
      <w:r>
        <w:rPr>
          <w:spacing w:val="25"/>
        </w:rPr>
        <w:t xml:space="preserve"> </w:t>
      </w:r>
      <w:r>
        <w:t>y</w:t>
      </w:r>
      <w:r>
        <w:rPr>
          <w:spacing w:val="24"/>
        </w:rPr>
        <w:t xml:space="preserve"> </w:t>
      </w:r>
      <w:r>
        <w:t>que,</w:t>
      </w:r>
      <w:r>
        <w:rPr>
          <w:spacing w:val="24"/>
        </w:rPr>
        <w:t xml:space="preserve"> </w:t>
      </w:r>
      <w:r>
        <w:t>«si</w:t>
      </w:r>
      <w:r>
        <w:rPr>
          <w:spacing w:val="25"/>
        </w:rPr>
        <w:t xml:space="preserve"> </w:t>
      </w:r>
      <w:r>
        <w:rPr>
          <w:spacing w:val="-5"/>
        </w:rPr>
        <w:t>la</w:t>
      </w:r>
      <w:bookmarkStart w:id="1111" w:name="_bookmark981"/>
      <w:bookmarkStart w:id="1112" w:name="_bookmark982"/>
      <w:bookmarkEnd w:id="1111"/>
      <w:bookmarkEnd w:id="1112"/>
      <w:r w:rsidR="001B0E9A">
        <w:t xml:space="preserve"> </w:t>
      </w:r>
      <w:r>
        <w:t>tuviera, no era posible empezar el proceso porque los jueces que actuarían con los Tribunales aún no se habían designado»</w:t>
      </w:r>
      <w:r w:rsidR="001B0E9A">
        <w:rPr>
          <w:rStyle w:val="Refdenotaalpie"/>
        </w:rPr>
        <w:footnoteReference w:id="900"/>
      </w:r>
      <w:r>
        <w:t>.</w:t>
      </w:r>
    </w:p>
    <w:p w:rsidR="003804AC" w:rsidRDefault="00AF18A5" w:rsidP="001B0E9A">
      <w:r>
        <w:t>De</w:t>
      </w:r>
      <w:r>
        <w:rPr>
          <w:spacing w:val="-1"/>
        </w:rPr>
        <w:t xml:space="preserve"> </w:t>
      </w:r>
      <w:r>
        <w:t>acuerdo</w:t>
      </w:r>
      <w:r>
        <w:rPr>
          <w:spacing w:val="-2"/>
        </w:rPr>
        <w:t xml:space="preserve"> </w:t>
      </w:r>
      <w:r>
        <w:t>con</w:t>
      </w:r>
      <w:r>
        <w:rPr>
          <w:spacing w:val="-1"/>
        </w:rPr>
        <w:t xml:space="preserve"> </w:t>
      </w:r>
      <w:r>
        <w:t>el</w:t>
      </w:r>
      <w:r>
        <w:rPr>
          <w:spacing w:val="-2"/>
        </w:rPr>
        <w:t xml:space="preserve"> </w:t>
      </w:r>
      <w:r>
        <w:t>mismo</w:t>
      </w:r>
      <w:r>
        <w:rPr>
          <w:spacing w:val="-1"/>
        </w:rPr>
        <w:t xml:space="preserve"> </w:t>
      </w:r>
      <w:r>
        <w:t>organismo,</w:t>
      </w:r>
      <w:r>
        <w:rPr>
          <w:spacing w:val="-1"/>
        </w:rPr>
        <w:t xml:space="preserve"> </w:t>
      </w:r>
      <w:r>
        <w:t>la</w:t>
      </w:r>
      <w:r>
        <w:rPr>
          <w:spacing w:val="-2"/>
        </w:rPr>
        <w:t xml:space="preserve"> </w:t>
      </w:r>
      <w:r>
        <w:t>implementación</w:t>
      </w:r>
      <w:r>
        <w:rPr>
          <w:spacing w:val="-2"/>
        </w:rPr>
        <w:t xml:space="preserve"> </w:t>
      </w:r>
      <w:r>
        <w:t>de</w:t>
      </w:r>
      <w:r>
        <w:rPr>
          <w:spacing w:val="-2"/>
        </w:rPr>
        <w:t xml:space="preserve"> </w:t>
      </w:r>
      <w:r>
        <w:t>la</w:t>
      </w:r>
      <w:r>
        <w:rPr>
          <w:spacing w:val="-2"/>
        </w:rPr>
        <w:t xml:space="preserve"> </w:t>
      </w:r>
      <w:r>
        <w:t>Ley</w:t>
      </w:r>
      <w:r>
        <w:rPr>
          <w:spacing w:val="-1"/>
        </w:rPr>
        <w:t xml:space="preserve"> </w:t>
      </w:r>
      <w:r>
        <w:t>de</w:t>
      </w:r>
      <w:r>
        <w:rPr>
          <w:spacing w:val="-1"/>
        </w:rPr>
        <w:t xml:space="preserve"> </w:t>
      </w:r>
      <w:r>
        <w:t>Justicia</w:t>
      </w:r>
      <w:r>
        <w:rPr>
          <w:spacing w:val="-1"/>
        </w:rPr>
        <w:t xml:space="preserve"> </w:t>
      </w:r>
      <w:r>
        <w:t>y</w:t>
      </w:r>
      <w:r>
        <w:rPr>
          <w:spacing w:val="-1"/>
        </w:rPr>
        <w:t xml:space="preserve"> </w:t>
      </w:r>
      <w:r>
        <w:t>Paz,</w:t>
      </w:r>
      <w:r>
        <w:rPr>
          <w:spacing w:val="-1"/>
        </w:rPr>
        <w:t xml:space="preserve"> </w:t>
      </w:r>
      <w:r>
        <w:t>a</w:t>
      </w:r>
      <w:r>
        <w:rPr>
          <w:spacing w:val="-2"/>
        </w:rPr>
        <w:t xml:space="preserve"> </w:t>
      </w:r>
      <w:r>
        <w:t>pesar de</w:t>
      </w:r>
      <w:r>
        <w:rPr>
          <w:spacing w:val="-10"/>
        </w:rPr>
        <w:t xml:space="preserve"> </w:t>
      </w:r>
      <w:r>
        <w:t>sus</w:t>
      </w:r>
      <w:r>
        <w:rPr>
          <w:spacing w:val="-10"/>
        </w:rPr>
        <w:t xml:space="preserve"> </w:t>
      </w:r>
      <w:r>
        <w:t>resultados</w:t>
      </w:r>
      <w:r>
        <w:rPr>
          <w:spacing w:val="-10"/>
        </w:rPr>
        <w:t xml:space="preserve"> </w:t>
      </w:r>
      <w:r>
        <w:t>«insuficientes</w:t>
      </w:r>
      <w:r>
        <w:rPr>
          <w:spacing w:val="-10"/>
        </w:rPr>
        <w:t xml:space="preserve"> </w:t>
      </w:r>
      <w:r>
        <w:t>y</w:t>
      </w:r>
      <w:r>
        <w:rPr>
          <w:spacing w:val="-10"/>
        </w:rPr>
        <w:t xml:space="preserve"> </w:t>
      </w:r>
      <w:r>
        <w:t>precarios»,</w:t>
      </w:r>
      <w:r>
        <w:rPr>
          <w:spacing w:val="-10"/>
        </w:rPr>
        <w:t xml:space="preserve"> </w:t>
      </w:r>
      <w:r>
        <w:t>permitió</w:t>
      </w:r>
      <w:r>
        <w:rPr>
          <w:spacing w:val="-10"/>
        </w:rPr>
        <w:t xml:space="preserve"> </w:t>
      </w:r>
      <w:r>
        <w:t>«develar</w:t>
      </w:r>
      <w:r>
        <w:rPr>
          <w:spacing w:val="-10"/>
        </w:rPr>
        <w:t xml:space="preserve"> </w:t>
      </w:r>
      <w:r>
        <w:t>parcialmente</w:t>
      </w:r>
      <w:r>
        <w:rPr>
          <w:spacing w:val="-10"/>
        </w:rPr>
        <w:t xml:space="preserve"> </w:t>
      </w:r>
      <w:r>
        <w:t>una</w:t>
      </w:r>
      <w:r>
        <w:rPr>
          <w:spacing w:val="-10"/>
        </w:rPr>
        <w:t xml:space="preserve"> </w:t>
      </w:r>
      <w:r>
        <w:t>verdad</w:t>
      </w:r>
      <w:r>
        <w:rPr>
          <w:spacing w:val="-10"/>
        </w:rPr>
        <w:t xml:space="preserve"> </w:t>
      </w:r>
      <w:r>
        <w:t>que hubiera sido imposible de obtener por otros medios, así como ciertas vinculaciones con elementos de la esfera política, lo que constituye un importante punto de partida»</w:t>
      </w:r>
      <w:r w:rsidR="001B0E9A">
        <w:rPr>
          <w:rStyle w:val="Refdenotaalpie"/>
        </w:rPr>
        <w:footnoteReference w:id="901"/>
      </w:r>
      <w:r>
        <w:t>.</w:t>
      </w:r>
    </w:p>
    <w:p w:rsidR="003804AC" w:rsidRDefault="00AF18A5" w:rsidP="001B0E9A">
      <w:r>
        <w:t>«Es cierto que el proceso no fue diseñado en principio para las víctimas, pero tenían cabida»</w:t>
      </w:r>
      <w:r w:rsidR="001B0E9A">
        <w:rPr>
          <w:rStyle w:val="Refdenotaalpie"/>
        </w:rPr>
        <w:footnoteReference w:id="902"/>
      </w:r>
      <w:r>
        <w:t>,</w:t>
      </w:r>
      <w:r>
        <w:rPr>
          <w:spacing w:val="-6"/>
        </w:rPr>
        <w:t xml:space="preserve"> </w:t>
      </w:r>
      <w:r>
        <w:t>le</w:t>
      </w:r>
      <w:r>
        <w:rPr>
          <w:spacing w:val="-6"/>
        </w:rPr>
        <w:t xml:space="preserve"> </w:t>
      </w:r>
      <w:r>
        <w:t>dijo</w:t>
      </w:r>
      <w:r>
        <w:rPr>
          <w:spacing w:val="-6"/>
        </w:rPr>
        <w:t xml:space="preserve"> </w:t>
      </w:r>
      <w:r>
        <w:t>a</w:t>
      </w:r>
      <w:r>
        <w:rPr>
          <w:spacing w:val="-7"/>
        </w:rPr>
        <w:t xml:space="preserve"> </w:t>
      </w:r>
      <w:r>
        <w:t>la</w:t>
      </w:r>
      <w:r>
        <w:rPr>
          <w:spacing w:val="-6"/>
        </w:rPr>
        <w:t xml:space="preserve"> </w:t>
      </w:r>
      <w:r>
        <w:t>Comisión</w:t>
      </w:r>
      <w:r>
        <w:rPr>
          <w:spacing w:val="-6"/>
        </w:rPr>
        <w:t xml:space="preserve"> </w:t>
      </w:r>
      <w:r>
        <w:t>un</w:t>
      </w:r>
      <w:r>
        <w:rPr>
          <w:spacing w:val="-7"/>
        </w:rPr>
        <w:t xml:space="preserve"> </w:t>
      </w:r>
      <w:r>
        <w:t>exmagistrado</w:t>
      </w:r>
      <w:r>
        <w:rPr>
          <w:spacing w:val="-7"/>
        </w:rPr>
        <w:t xml:space="preserve"> </w:t>
      </w:r>
      <w:r>
        <w:t>de</w:t>
      </w:r>
      <w:r>
        <w:rPr>
          <w:spacing w:val="-6"/>
        </w:rPr>
        <w:t xml:space="preserve"> </w:t>
      </w:r>
      <w:r>
        <w:t>Justicia</w:t>
      </w:r>
      <w:r>
        <w:rPr>
          <w:spacing w:val="-7"/>
        </w:rPr>
        <w:t xml:space="preserve"> </w:t>
      </w:r>
      <w:r>
        <w:t>y</w:t>
      </w:r>
      <w:r>
        <w:rPr>
          <w:spacing w:val="-7"/>
        </w:rPr>
        <w:t xml:space="preserve"> </w:t>
      </w:r>
      <w:r>
        <w:t>Paz.</w:t>
      </w:r>
      <w:r>
        <w:rPr>
          <w:spacing w:val="-6"/>
        </w:rPr>
        <w:t xml:space="preserve"> </w:t>
      </w:r>
      <w:r>
        <w:t>La</w:t>
      </w:r>
      <w:r>
        <w:rPr>
          <w:spacing w:val="-6"/>
        </w:rPr>
        <w:t xml:space="preserve"> </w:t>
      </w:r>
      <w:r>
        <w:t>afluencia</w:t>
      </w:r>
      <w:r>
        <w:rPr>
          <w:spacing w:val="-6"/>
        </w:rPr>
        <w:t xml:space="preserve"> </w:t>
      </w:r>
      <w:r>
        <w:t>de</w:t>
      </w:r>
      <w:r>
        <w:rPr>
          <w:spacing w:val="-6"/>
        </w:rPr>
        <w:t xml:space="preserve"> </w:t>
      </w:r>
      <w:r>
        <w:t>víctimas fue grande por la naturaleza de la delincuencia que se juzgaba –se trataba, después de todo, de</w:t>
      </w:r>
      <w:r>
        <w:rPr>
          <w:spacing w:val="-8"/>
        </w:rPr>
        <w:t xml:space="preserve"> </w:t>
      </w:r>
      <w:r>
        <w:t>crímenes</w:t>
      </w:r>
      <w:r>
        <w:rPr>
          <w:spacing w:val="-9"/>
        </w:rPr>
        <w:t xml:space="preserve"> </w:t>
      </w:r>
      <w:r>
        <w:t>masivos–.</w:t>
      </w:r>
      <w:r>
        <w:rPr>
          <w:spacing w:val="-9"/>
        </w:rPr>
        <w:t xml:space="preserve"> </w:t>
      </w:r>
      <w:r>
        <w:t>La</w:t>
      </w:r>
      <w:r>
        <w:rPr>
          <w:spacing w:val="-8"/>
        </w:rPr>
        <w:t xml:space="preserve"> </w:t>
      </w:r>
      <w:r>
        <w:t>asistencia</w:t>
      </w:r>
      <w:r>
        <w:rPr>
          <w:spacing w:val="-9"/>
        </w:rPr>
        <w:t xml:space="preserve"> </w:t>
      </w:r>
      <w:r>
        <w:t>de</w:t>
      </w:r>
      <w:r>
        <w:rPr>
          <w:spacing w:val="-8"/>
        </w:rPr>
        <w:t xml:space="preserve"> </w:t>
      </w:r>
      <w:r>
        <w:t>las</w:t>
      </w:r>
      <w:r>
        <w:rPr>
          <w:spacing w:val="-9"/>
        </w:rPr>
        <w:t xml:space="preserve"> </w:t>
      </w:r>
      <w:r>
        <w:t>víctimas</w:t>
      </w:r>
      <w:r>
        <w:rPr>
          <w:spacing w:val="-8"/>
        </w:rPr>
        <w:t xml:space="preserve"> </w:t>
      </w:r>
      <w:r>
        <w:t>a</w:t>
      </w:r>
      <w:r>
        <w:rPr>
          <w:spacing w:val="-9"/>
        </w:rPr>
        <w:t xml:space="preserve"> </w:t>
      </w:r>
      <w:r>
        <w:t>las</w:t>
      </w:r>
      <w:r>
        <w:rPr>
          <w:spacing w:val="-8"/>
        </w:rPr>
        <w:t xml:space="preserve"> </w:t>
      </w:r>
      <w:r>
        <w:t>versiones</w:t>
      </w:r>
      <w:r>
        <w:rPr>
          <w:spacing w:val="-8"/>
        </w:rPr>
        <w:t xml:space="preserve"> </w:t>
      </w:r>
      <w:r>
        <w:t>libres</w:t>
      </w:r>
      <w:r>
        <w:rPr>
          <w:spacing w:val="-9"/>
        </w:rPr>
        <w:t xml:space="preserve"> </w:t>
      </w:r>
      <w:r>
        <w:t>parecía</w:t>
      </w:r>
      <w:r>
        <w:rPr>
          <w:spacing w:val="-9"/>
        </w:rPr>
        <w:t xml:space="preserve"> </w:t>
      </w:r>
      <w:r>
        <w:t>indicar</w:t>
      </w:r>
      <w:r>
        <w:rPr>
          <w:spacing w:val="-8"/>
        </w:rPr>
        <w:t xml:space="preserve"> </w:t>
      </w:r>
      <w:r>
        <w:t>que se</w:t>
      </w:r>
      <w:r>
        <w:rPr>
          <w:spacing w:val="-1"/>
        </w:rPr>
        <w:t xml:space="preserve"> </w:t>
      </w:r>
      <w:r>
        <w:t>iba</w:t>
      </w:r>
      <w:r>
        <w:rPr>
          <w:spacing w:val="-1"/>
        </w:rPr>
        <w:t xml:space="preserve"> </w:t>
      </w:r>
      <w:r>
        <w:t>a</w:t>
      </w:r>
      <w:r>
        <w:rPr>
          <w:spacing w:val="-1"/>
        </w:rPr>
        <w:t xml:space="preserve"> </w:t>
      </w:r>
      <w:r>
        <w:t>dar</w:t>
      </w:r>
      <w:r>
        <w:rPr>
          <w:spacing w:val="-2"/>
        </w:rPr>
        <w:t xml:space="preserve"> </w:t>
      </w:r>
      <w:r>
        <w:t>un</w:t>
      </w:r>
      <w:r>
        <w:rPr>
          <w:spacing w:val="-1"/>
        </w:rPr>
        <w:t xml:space="preserve"> </w:t>
      </w:r>
      <w:r>
        <w:t>impulso</w:t>
      </w:r>
      <w:r>
        <w:rPr>
          <w:spacing w:val="-2"/>
        </w:rPr>
        <w:t xml:space="preserve"> </w:t>
      </w:r>
      <w:r>
        <w:t>a</w:t>
      </w:r>
      <w:r>
        <w:rPr>
          <w:spacing w:val="-1"/>
        </w:rPr>
        <w:t xml:space="preserve"> </w:t>
      </w:r>
      <w:r>
        <w:t>la</w:t>
      </w:r>
      <w:r>
        <w:rPr>
          <w:spacing w:val="-1"/>
        </w:rPr>
        <w:t xml:space="preserve"> </w:t>
      </w:r>
      <w:r>
        <w:t>búsqueda</w:t>
      </w:r>
      <w:r>
        <w:rPr>
          <w:spacing w:val="-1"/>
        </w:rPr>
        <w:t xml:space="preserve"> </w:t>
      </w:r>
      <w:r>
        <w:t>de</w:t>
      </w:r>
      <w:r>
        <w:rPr>
          <w:spacing w:val="-1"/>
        </w:rPr>
        <w:t xml:space="preserve"> </w:t>
      </w:r>
      <w:r>
        <w:t>verdad</w:t>
      </w:r>
      <w:r>
        <w:rPr>
          <w:spacing w:val="-1"/>
        </w:rPr>
        <w:t xml:space="preserve"> </w:t>
      </w:r>
      <w:r>
        <w:t>con</w:t>
      </w:r>
      <w:r>
        <w:rPr>
          <w:spacing w:val="-1"/>
        </w:rPr>
        <w:t xml:space="preserve"> </w:t>
      </w:r>
      <w:r>
        <w:t>su</w:t>
      </w:r>
      <w:r>
        <w:rPr>
          <w:spacing w:val="-1"/>
        </w:rPr>
        <w:t xml:space="preserve"> </w:t>
      </w:r>
      <w:r>
        <w:t>participación.</w:t>
      </w:r>
      <w:r>
        <w:rPr>
          <w:spacing w:val="-1"/>
        </w:rPr>
        <w:t xml:space="preserve"> </w:t>
      </w:r>
      <w:r>
        <w:t>El</w:t>
      </w:r>
      <w:r>
        <w:rPr>
          <w:spacing w:val="-1"/>
        </w:rPr>
        <w:t xml:space="preserve"> </w:t>
      </w:r>
      <w:r>
        <w:t>Grupo</w:t>
      </w:r>
      <w:r>
        <w:rPr>
          <w:spacing w:val="-1"/>
        </w:rPr>
        <w:t xml:space="preserve"> </w:t>
      </w:r>
      <w:r>
        <w:t>de</w:t>
      </w:r>
      <w:r>
        <w:rPr>
          <w:spacing w:val="-1"/>
        </w:rPr>
        <w:t xml:space="preserve"> </w:t>
      </w:r>
      <w:r>
        <w:t xml:space="preserve">Memoria Histórica documentó los esfuerzos de este sector para participar y los maltratos que encontraron en «las licencias que muchos fiscales concedieron a los perpetradores para que </w:t>
      </w:r>
      <w:r>
        <w:lastRenderedPageBreak/>
        <w:t>justificaran sus atrocidades»</w:t>
      </w:r>
      <w:r w:rsidR="001B0E9A">
        <w:rPr>
          <w:rStyle w:val="Refdenotaalpie"/>
        </w:rPr>
        <w:footnoteReference w:id="903"/>
      </w:r>
      <w:r>
        <w:t>.</w:t>
      </w:r>
    </w:p>
    <w:p w:rsidR="0011361F" w:rsidRDefault="00AF18A5" w:rsidP="001B0E9A">
      <w:r>
        <w:t>Los Tribunales de Justicia y Paz</w:t>
      </w:r>
      <w:r w:rsidR="001B0E9A">
        <w:rPr>
          <w:rStyle w:val="Refdenotaalpie"/>
        </w:rPr>
        <w:footnoteReference w:id="904"/>
      </w:r>
      <w:r>
        <w:t>, desde su entrada en funciones hasta junio de 2020, emitieron por cuenta de</w:t>
      </w:r>
      <w:r>
        <w:rPr>
          <w:spacing w:val="-1"/>
        </w:rPr>
        <w:t xml:space="preserve"> </w:t>
      </w:r>
      <w:r>
        <w:t>la Sala de Justicia y</w:t>
      </w:r>
      <w:r>
        <w:rPr>
          <w:spacing w:val="-1"/>
        </w:rPr>
        <w:t xml:space="preserve"> </w:t>
      </w:r>
      <w:r>
        <w:t>Paz de Bogotá 40 sentencias</w:t>
      </w:r>
      <w:r>
        <w:rPr>
          <w:spacing w:val="-1"/>
        </w:rPr>
        <w:t xml:space="preserve"> </w:t>
      </w:r>
      <w:r>
        <w:t xml:space="preserve">condenatorias </w:t>
      </w:r>
      <w:r>
        <w:rPr>
          <w:spacing w:val="-5"/>
        </w:rPr>
        <w:t>con</w:t>
      </w:r>
      <w:r w:rsidR="001B0E9A">
        <w:t xml:space="preserve"> </w:t>
      </w:r>
      <w:r>
        <w:t>447 postulados condenados –incluyendo los máximos comandantes de las AUC– y reconocieron</w:t>
      </w:r>
      <w:r>
        <w:rPr>
          <w:spacing w:val="-5"/>
        </w:rPr>
        <w:t xml:space="preserve"> </w:t>
      </w:r>
      <w:r>
        <w:t>judicialmente</w:t>
      </w:r>
      <w:r>
        <w:rPr>
          <w:spacing w:val="-4"/>
        </w:rPr>
        <w:t xml:space="preserve"> </w:t>
      </w:r>
      <w:r>
        <w:t>a</w:t>
      </w:r>
      <w:r>
        <w:rPr>
          <w:spacing w:val="-4"/>
        </w:rPr>
        <w:t xml:space="preserve"> </w:t>
      </w:r>
      <w:r>
        <w:t>más</w:t>
      </w:r>
      <w:r>
        <w:rPr>
          <w:spacing w:val="-4"/>
        </w:rPr>
        <w:t xml:space="preserve"> </w:t>
      </w:r>
      <w:r>
        <w:t>de</w:t>
      </w:r>
      <w:r>
        <w:rPr>
          <w:spacing w:val="-6"/>
        </w:rPr>
        <w:t xml:space="preserve"> </w:t>
      </w:r>
      <w:r>
        <w:t>40.000</w:t>
      </w:r>
      <w:r>
        <w:rPr>
          <w:spacing w:val="-5"/>
        </w:rPr>
        <w:t xml:space="preserve"> </w:t>
      </w:r>
      <w:r>
        <w:t>víctimas</w:t>
      </w:r>
      <w:r>
        <w:rPr>
          <w:spacing w:val="-4"/>
        </w:rPr>
        <w:t xml:space="preserve"> </w:t>
      </w:r>
      <w:r>
        <w:t>para</w:t>
      </w:r>
      <w:r>
        <w:rPr>
          <w:spacing w:val="-4"/>
        </w:rPr>
        <w:t xml:space="preserve"> </w:t>
      </w:r>
      <w:r>
        <w:t>efectos</w:t>
      </w:r>
      <w:r>
        <w:rPr>
          <w:spacing w:val="-5"/>
        </w:rPr>
        <w:t xml:space="preserve"> </w:t>
      </w:r>
      <w:r>
        <w:t>de</w:t>
      </w:r>
      <w:r>
        <w:rPr>
          <w:spacing w:val="-4"/>
        </w:rPr>
        <w:t xml:space="preserve"> </w:t>
      </w:r>
      <w:r>
        <w:t>reparación</w:t>
      </w:r>
      <w:r>
        <w:rPr>
          <w:spacing w:val="-5"/>
        </w:rPr>
        <w:t xml:space="preserve"> </w:t>
      </w:r>
      <w:r>
        <w:t>integral.</w:t>
      </w:r>
      <w:r>
        <w:rPr>
          <w:spacing w:val="-5"/>
        </w:rPr>
        <w:t xml:space="preserve"> </w:t>
      </w:r>
      <w:r>
        <w:t>La Sala de Medellín, por su parte, ha proferido 15 sentencias condenatorias y 15 decisiones complementarias.</w:t>
      </w:r>
      <w:r>
        <w:rPr>
          <w:spacing w:val="-14"/>
        </w:rPr>
        <w:t xml:space="preserve"> </w:t>
      </w:r>
      <w:r>
        <w:t>La</w:t>
      </w:r>
      <w:r>
        <w:rPr>
          <w:spacing w:val="-14"/>
        </w:rPr>
        <w:t xml:space="preserve"> </w:t>
      </w:r>
      <w:r>
        <w:t>Sala</w:t>
      </w:r>
      <w:r>
        <w:rPr>
          <w:spacing w:val="-14"/>
        </w:rPr>
        <w:t xml:space="preserve"> </w:t>
      </w:r>
      <w:r>
        <w:t>de</w:t>
      </w:r>
      <w:r>
        <w:rPr>
          <w:spacing w:val="-14"/>
        </w:rPr>
        <w:t xml:space="preserve"> </w:t>
      </w:r>
      <w:r>
        <w:t>Barranquilla</w:t>
      </w:r>
      <w:r>
        <w:rPr>
          <w:spacing w:val="-14"/>
        </w:rPr>
        <w:t xml:space="preserve"> </w:t>
      </w:r>
      <w:r>
        <w:t>ha</w:t>
      </w:r>
      <w:r>
        <w:rPr>
          <w:spacing w:val="-14"/>
        </w:rPr>
        <w:t xml:space="preserve"> </w:t>
      </w:r>
      <w:r>
        <w:t>emitido</w:t>
      </w:r>
      <w:r>
        <w:rPr>
          <w:spacing w:val="-14"/>
        </w:rPr>
        <w:t xml:space="preserve"> </w:t>
      </w:r>
      <w:r>
        <w:t>15</w:t>
      </w:r>
      <w:r>
        <w:rPr>
          <w:spacing w:val="-14"/>
        </w:rPr>
        <w:t xml:space="preserve"> </w:t>
      </w:r>
      <w:r>
        <w:t>decisiones</w:t>
      </w:r>
      <w:r>
        <w:rPr>
          <w:spacing w:val="-14"/>
        </w:rPr>
        <w:t xml:space="preserve"> </w:t>
      </w:r>
      <w:r>
        <w:t>de</w:t>
      </w:r>
      <w:r>
        <w:rPr>
          <w:spacing w:val="-14"/>
        </w:rPr>
        <w:t xml:space="preserve"> </w:t>
      </w:r>
      <w:r>
        <w:t>fondo</w:t>
      </w:r>
      <w:r>
        <w:rPr>
          <w:spacing w:val="-14"/>
        </w:rPr>
        <w:t xml:space="preserve"> </w:t>
      </w:r>
      <w:r>
        <w:t>y</w:t>
      </w:r>
      <w:r>
        <w:rPr>
          <w:spacing w:val="-14"/>
        </w:rPr>
        <w:t xml:space="preserve"> </w:t>
      </w:r>
      <w:r>
        <w:t>dos</w:t>
      </w:r>
      <w:r>
        <w:rPr>
          <w:spacing w:val="-14"/>
        </w:rPr>
        <w:t xml:space="preserve"> </w:t>
      </w:r>
      <w:r>
        <w:t>adiciones. Para ese mismo año 2020, la Dirección de Justicia Transicional de la Fiscalía reportó 1.625 registros</w:t>
      </w:r>
      <w:r>
        <w:rPr>
          <w:spacing w:val="-1"/>
        </w:rPr>
        <w:t xml:space="preserve"> </w:t>
      </w:r>
      <w:r>
        <w:t>de</w:t>
      </w:r>
      <w:r>
        <w:rPr>
          <w:spacing w:val="-2"/>
        </w:rPr>
        <w:t xml:space="preserve"> </w:t>
      </w:r>
      <w:r>
        <w:t>investigaciones</w:t>
      </w:r>
      <w:r>
        <w:rPr>
          <w:spacing w:val="-1"/>
        </w:rPr>
        <w:t xml:space="preserve"> </w:t>
      </w:r>
      <w:r>
        <w:t>activas,</w:t>
      </w:r>
      <w:r>
        <w:rPr>
          <w:spacing w:val="-2"/>
        </w:rPr>
        <w:t xml:space="preserve"> </w:t>
      </w:r>
      <w:r>
        <w:t>588</w:t>
      </w:r>
      <w:r>
        <w:rPr>
          <w:spacing w:val="-1"/>
        </w:rPr>
        <w:t xml:space="preserve"> </w:t>
      </w:r>
      <w:r>
        <w:t>postulados</w:t>
      </w:r>
      <w:r>
        <w:rPr>
          <w:spacing w:val="-1"/>
        </w:rPr>
        <w:t xml:space="preserve"> </w:t>
      </w:r>
      <w:r>
        <w:t>condenados</w:t>
      </w:r>
      <w:r>
        <w:rPr>
          <w:spacing w:val="-1"/>
        </w:rPr>
        <w:t xml:space="preserve"> </w:t>
      </w:r>
      <w:r>
        <w:t>por</w:t>
      </w:r>
      <w:r>
        <w:rPr>
          <w:spacing w:val="-1"/>
        </w:rPr>
        <w:t xml:space="preserve"> </w:t>
      </w:r>
      <w:r>
        <w:t>el</w:t>
      </w:r>
      <w:r>
        <w:rPr>
          <w:spacing w:val="-1"/>
        </w:rPr>
        <w:t xml:space="preserve"> </w:t>
      </w:r>
      <w:r>
        <w:t>tribunal</w:t>
      </w:r>
      <w:r>
        <w:rPr>
          <w:spacing w:val="-1"/>
        </w:rPr>
        <w:t xml:space="preserve"> </w:t>
      </w:r>
      <w:r>
        <w:t>de</w:t>
      </w:r>
      <w:r>
        <w:rPr>
          <w:spacing w:val="-1"/>
        </w:rPr>
        <w:t xml:space="preserve"> </w:t>
      </w:r>
      <w:r>
        <w:t xml:space="preserve">Justicia y </w:t>
      </w:r>
      <w:r>
        <w:rPr>
          <w:spacing w:val="-4"/>
        </w:rPr>
        <w:t>Paz.</w:t>
      </w:r>
    </w:p>
    <w:p w:rsidR="003804AC" w:rsidRDefault="00AF18A5" w:rsidP="001B0E9A">
      <w:bookmarkStart w:id="1113" w:name="_bookmark983"/>
      <w:bookmarkStart w:id="1114" w:name="_bookmark984"/>
      <w:bookmarkStart w:id="1115" w:name="_bookmark985"/>
      <w:bookmarkStart w:id="1116" w:name="_bookmark986"/>
      <w:bookmarkStart w:id="1117" w:name="_bookmark987"/>
      <w:bookmarkEnd w:id="1113"/>
      <w:bookmarkEnd w:id="1114"/>
      <w:bookmarkEnd w:id="1115"/>
      <w:bookmarkEnd w:id="1116"/>
      <w:bookmarkEnd w:id="1117"/>
      <w:r>
        <w:t xml:space="preserve">No obstante, algunos de estos procesos de desmovilización fueron fraudulentos. Se reclutaron miembros de grupos paramilitares a última hora y se produjeron desmovilizaciones ficticias de bloques enteros, como ocurrió con 62 supuestos integrantes del frente Cacica La Gaitana de las FARC-EP el 7 de marzo de 2006, en Alvarado, Tolima. Según la Fiscalía, hubo un detrimento al patrimonio cercano a los 1.119 millones de pesos por el que fue imputado el </w:t>
      </w:r>
      <w:proofErr w:type="spellStart"/>
      <w:r>
        <w:t>excomisionado</w:t>
      </w:r>
      <w:proofErr w:type="spellEnd"/>
      <w:r>
        <w:t xml:space="preserve"> de Paz, Luis Carlos Restrepo Ramírez, quien abandonó el país el 8 de febrero de 2012, sin contar la verdad ni someterse a la justicia.</w:t>
      </w:r>
    </w:p>
    <w:p w:rsidR="003804AC" w:rsidRDefault="00AF18A5" w:rsidP="001B0E9A">
      <w:r>
        <w:t xml:space="preserve">Otra medida gubernamental que bloqueó el derecho a la verdad de las víctimas fue la extradición a Estados Unidos, en mayo de 2008, de los altos mandos de las AUC que se acogieron a Justicia y Paz. El presidente </w:t>
      </w:r>
      <w:r>
        <w:lastRenderedPageBreak/>
        <w:t>Uribe argumentó que era la forma de garantizar la justicia</w:t>
      </w:r>
      <w:r>
        <w:rPr>
          <w:spacing w:val="-3"/>
        </w:rPr>
        <w:t xml:space="preserve"> </w:t>
      </w:r>
      <w:r>
        <w:t>contra</w:t>
      </w:r>
      <w:r>
        <w:rPr>
          <w:spacing w:val="-2"/>
        </w:rPr>
        <w:t xml:space="preserve"> </w:t>
      </w:r>
      <w:r>
        <w:t>estos</w:t>
      </w:r>
      <w:r>
        <w:rPr>
          <w:spacing w:val="-2"/>
        </w:rPr>
        <w:t xml:space="preserve"> </w:t>
      </w:r>
      <w:r>
        <w:t>comandantes,</w:t>
      </w:r>
      <w:r>
        <w:rPr>
          <w:spacing w:val="-2"/>
        </w:rPr>
        <w:t xml:space="preserve"> </w:t>
      </w:r>
      <w:r>
        <w:t>ya</w:t>
      </w:r>
      <w:r>
        <w:rPr>
          <w:spacing w:val="-3"/>
        </w:rPr>
        <w:t xml:space="preserve"> </w:t>
      </w:r>
      <w:r>
        <w:t>que</w:t>
      </w:r>
      <w:r>
        <w:rPr>
          <w:spacing w:val="-2"/>
        </w:rPr>
        <w:t xml:space="preserve"> </w:t>
      </w:r>
      <w:r>
        <w:t>se</w:t>
      </w:r>
      <w:r>
        <w:rPr>
          <w:spacing w:val="-2"/>
        </w:rPr>
        <w:t xml:space="preserve"> </w:t>
      </w:r>
      <w:r>
        <w:t>alegó</w:t>
      </w:r>
      <w:r>
        <w:rPr>
          <w:spacing w:val="-2"/>
        </w:rPr>
        <w:t xml:space="preserve"> </w:t>
      </w:r>
      <w:r>
        <w:t>que</w:t>
      </w:r>
      <w:r>
        <w:rPr>
          <w:spacing w:val="-2"/>
        </w:rPr>
        <w:t xml:space="preserve"> </w:t>
      </w:r>
      <w:r>
        <w:t>estos</w:t>
      </w:r>
      <w:r>
        <w:rPr>
          <w:spacing w:val="-2"/>
        </w:rPr>
        <w:t xml:space="preserve"> </w:t>
      </w:r>
      <w:r>
        <w:t>seguían</w:t>
      </w:r>
      <w:r>
        <w:rPr>
          <w:spacing w:val="-2"/>
        </w:rPr>
        <w:t xml:space="preserve"> </w:t>
      </w:r>
      <w:r>
        <w:t>delinquiendo</w:t>
      </w:r>
      <w:r>
        <w:rPr>
          <w:spacing w:val="-2"/>
        </w:rPr>
        <w:t xml:space="preserve"> </w:t>
      </w:r>
      <w:r>
        <w:t>desde</w:t>
      </w:r>
      <w:r>
        <w:rPr>
          <w:spacing w:val="-2"/>
        </w:rPr>
        <w:t xml:space="preserve"> </w:t>
      </w:r>
      <w:r>
        <w:t>sus lugares de reclusión</w:t>
      </w:r>
      <w:r w:rsidR="001B0E9A">
        <w:rPr>
          <w:rStyle w:val="Refdenotaalpie"/>
        </w:rPr>
        <w:footnoteReference w:id="905"/>
      </w:r>
      <w:r>
        <w:t>. Ese mismo año, la Oficina de la Alta Comisionada de las Naciones Unidas para los Derechos Humanos en Colombia afirmó que las extradiciones de paramilitares crearon un grave riesgo que debilitó «las posibilidades de avanzar, eficaz y oportunamente, en la lucha contra la impunidad de las violaciones de derechos humanos e infracciones del derecho internacional humanitario»</w:t>
      </w:r>
      <w:r w:rsidR="001B0E9A">
        <w:rPr>
          <w:rStyle w:val="Refdenotaalpie"/>
        </w:rPr>
        <w:footnoteReference w:id="906"/>
      </w:r>
      <w:r>
        <w:t>.</w:t>
      </w:r>
    </w:p>
    <w:p w:rsidR="0011361F" w:rsidRDefault="00AF18A5" w:rsidP="001B0E9A">
      <w:r>
        <w:t>En la misma línea, la Fiscalía de la Corte Penal Internacional manifestó sus inquietudes sobre</w:t>
      </w:r>
      <w:r>
        <w:rPr>
          <w:spacing w:val="-1"/>
        </w:rPr>
        <w:t xml:space="preserve"> </w:t>
      </w:r>
      <w:r>
        <w:t>cómo</w:t>
      </w:r>
      <w:r>
        <w:rPr>
          <w:spacing w:val="-2"/>
        </w:rPr>
        <w:t xml:space="preserve"> </w:t>
      </w:r>
      <w:r>
        <w:t>el</w:t>
      </w:r>
      <w:r>
        <w:rPr>
          <w:spacing w:val="-1"/>
        </w:rPr>
        <w:t xml:space="preserve"> </w:t>
      </w:r>
      <w:r>
        <w:t>Gobierno</w:t>
      </w:r>
      <w:r>
        <w:rPr>
          <w:spacing w:val="-2"/>
        </w:rPr>
        <w:t xml:space="preserve"> </w:t>
      </w:r>
      <w:r>
        <w:t>iba</w:t>
      </w:r>
      <w:r>
        <w:rPr>
          <w:spacing w:val="-1"/>
        </w:rPr>
        <w:t xml:space="preserve"> </w:t>
      </w:r>
      <w:r>
        <w:t>a</w:t>
      </w:r>
      <w:r>
        <w:rPr>
          <w:spacing w:val="-2"/>
        </w:rPr>
        <w:t xml:space="preserve"> </w:t>
      </w:r>
      <w:r>
        <w:t>garantizar</w:t>
      </w:r>
      <w:r>
        <w:rPr>
          <w:spacing w:val="-1"/>
        </w:rPr>
        <w:t xml:space="preserve"> </w:t>
      </w:r>
      <w:r>
        <w:t>el</w:t>
      </w:r>
      <w:r>
        <w:rPr>
          <w:spacing w:val="-2"/>
        </w:rPr>
        <w:t xml:space="preserve"> </w:t>
      </w:r>
      <w:r>
        <w:t>juzgamiento</w:t>
      </w:r>
      <w:r>
        <w:rPr>
          <w:spacing w:val="-1"/>
        </w:rPr>
        <w:t xml:space="preserve"> </w:t>
      </w:r>
      <w:r>
        <w:t>de</w:t>
      </w:r>
      <w:r>
        <w:rPr>
          <w:spacing w:val="-2"/>
        </w:rPr>
        <w:t xml:space="preserve"> </w:t>
      </w:r>
      <w:r>
        <w:t>los</w:t>
      </w:r>
      <w:r>
        <w:rPr>
          <w:spacing w:val="-1"/>
        </w:rPr>
        <w:t xml:space="preserve"> </w:t>
      </w:r>
      <w:r>
        <w:t>máximos</w:t>
      </w:r>
      <w:r>
        <w:rPr>
          <w:spacing w:val="-2"/>
        </w:rPr>
        <w:t xml:space="preserve"> </w:t>
      </w:r>
      <w:r>
        <w:t>responsables</w:t>
      </w:r>
      <w:r>
        <w:rPr>
          <w:spacing w:val="-2"/>
        </w:rPr>
        <w:t xml:space="preserve"> </w:t>
      </w:r>
      <w:r>
        <w:t>de</w:t>
      </w:r>
      <w:r>
        <w:rPr>
          <w:spacing w:val="-1"/>
        </w:rPr>
        <w:t xml:space="preserve"> </w:t>
      </w:r>
      <w:r>
        <w:t>los crímenes ante la extradición</w:t>
      </w:r>
      <w:r w:rsidR="001B0E9A">
        <w:rPr>
          <w:rStyle w:val="Refdenotaalpie"/>
        </w:rPr>
        <w:footnoteReference w:id="907"/>
      </w:r>
      <w:r>
        <w:t>. La Comisión Interamericana de Derechos Humanos resaltó que la utilización de este tipo de mecanismos en un contexto de conflicto armado «limita seriamente el esclarecimiento de graves crímenes» y «afecta la obligación del Estado colombiano de garantizar los derechos de las víctimas»</w:t>
      </w:r>
      <w:r w:rsidR="001B0E9A">
        <w:rPr>
          <w:rStyle w:val="Refdenotaalpie"/>
        </w:rPr>
        <w:footnoteReference w:id="908"/>
      </w:r>
      <w:r>
        <w:t>.</w:t>
      </w:r>
    </w:p>
    <w:p w:rsidR="003804AC" w:rsidRDefault="00AF18A5" w:rsidP="001B0E9A">
      <w:bookmarkStart w:id="1118" w:name="_bookmark988"/>
      <w:bookmarkStart w:id="1119" w:name="_bookmark989"/>
      <w:bookmarkStart w:id="1120" w:name="_bookmark990"/>
      <w:bookmarkStart w:id="1121" w:name="_bookmark991"/>
      <w:bookmarkEnd w:id="1118"/>
      <w:bookmarkEnd w:id="1119"/>
      <w:bookmarkEnd w:id="1120"/>
      <w:bookmarkEnd w:id="1121"/>
      <w:r>
        <w:t>A</w:t>
      </w:r>
      <w:r>
        <w:rPr>
          <w:spacing w:val="-3"/>
        </w:rPr>
        <w:t xml:space="preserve"> </w:t>
      </w:r>
      <w:r>
        <w:t>la</w:t>
      </w:r>
      <w:r>
        <w:rPr>
          <w:spacing w:val="-2"/>
        </w:rPr>
        <w:t xml:space="preserve"> </w:t>
      </w:r>
      <w:r>
        <w:t>par,</w:t>
      </w:r>
      <w:r>
        <w:rPr>
          <w:spacing w:val="-2"/>
        </w:rPr>
        <w:t xml:space="preserve"> </w:t>
      </w:r>
      <w:r>
        <w:t>la</w:t>
      </w:r>
      <w:r>
        <w:rPr>
          <w:spacing w:val="-2"/>
        </w:rPr>
        <w:t xml:space="preserve"> </w:t>
      </w:r>
      <w:r>
        <w:t>Corte</w:t>
      </w:r>
      <w:r>
        <w:rPr>
          <w:spacing w:val="-2"/>
        </w:rPr>
        <w:t xml:space="preserve"> </w:t>
      </w:r>
      <w:r>
        <w:t>Interamericana,</w:t>
      </w:r>
      <w:r>
        <w:rPr>
          <w:spacing w:val="-4"/>
        </w:rPr>
        <w:t xml:space="preserve"> </w:t>
      </w:r>
      <w:r>
        <w:t>reiteró</w:t>
      </w:r>
      <w:r w:rsidR="00DE64D3">
        <w:rPr>
          <w:rStyle w:val="Refdenotaalpie"/>
        </w:rPr>
        <w:footnoteReference w:id="909"/>
      </w:r>
      <w:r>
        <w:rPr>
          <w:spacing w:val="-2"/>
        </w:rPr>
        <w:t xml:space="preserve"> </w:t>
      </w:r>
      <w:r>
        <w:t>en</w:t>
      </w:r>
      <w:r>
        <w:rPr>
          <w:spacing w:val="-2"/>
        </w:rPr>
        <w:t xml:space="preserve"> </w:t>
      </w:r>
      <w:r>
        <w:t>diversos</w:t>
      </w:r>
      <w:r>
        <w:rPr>
          <w:spacing w:val="-2"/>
        </w:rPr>
        <w:t xml:space="preserve"> </w:t>
      </w:r>
      <w:r>
        <w:t>pronunciamientos</w:t>
      </w:r>
      <w:r>
        <w:rPr>
          <w:spacing w:val="-2"/>
        </w:rPr>
        <w:t xml:space="preserve"> </w:t>
      </w:r>
      <w:r>
        <w:t>que</w:t>
      </w:r>
      <w:r>
        <w:rPr>
          <w:spacing w:val="-2"/>
        </w:rPr>
        <w:t xml:space="preserve"> </w:t>
      </w:r>
      <w:r>
        <w:t>«el</w:t>
      </w:r>
      <w:r>
        <w:rPr>
          <w:spacing w:val="-2"/>
        </w:rPr>
        <w:t xml:space="preserve"> </w:t>
      </w:r>
      <w:r>
        <w:t>Estado debe</w:t>
      </w:r>
      <w:r>
        <w:rPr>
          <w:spacing w:val="-15"/>
        </w:rPr>
        <w:t xml:space="preserve"> </w:t>
      </w:r>
      <w:r>
        <w:t>asegurar</w:t>
      </w:r>
      <w:r>
        <w:rPr>
          <w:spacing w:val="-15"/>
        </w:rPr>
        <w:t xml:space="preserve"> </w:t>
      </w:r>
      <w:r>
        <w:t>que</w:t>
      </w:r>
      <w:r>
        <w:rPr>
          <w:spacing w:val="-15"/>
        </w:rPr>
        <w:t xml:space="preserve"> </w:t>
      </w:r>
      <w:r>
        <w:t>los</w:t>
      </w:r>
      <w:r>
        <w:rPr>
          <w:spacing w:val="-15"/>
        </w:rPr>
        <w:t xml:space="preserve"> </w:t>
      </w:r>
      <w:r>
        <w:t>paramilitares</w:t>
      </w:r>
      <w:r>
        <w:rPr>
          <w:spacing w:val="-15"/>
        </w:rPr>
        <w:t xml:space="preserve"> </w:t>
      </w:r>
      <w:r>
        <w:t>extraditados</w:t>
      </w:r>
      <w:r>
        <w:rPr>
          <w:spacing w:val="-15"/>
        </w:rPr>
        <w:t xml:space="preserve"> </w:t>
      </w:r>
      <w:r>
        <w:t>puedan</w:t>
      </w:r>
      <w:r>
        <w:rPr>
          <w:spacing w:val="-15"/>
        </w:rPr>
        <w:t xml:space="preserve"> </w:t>
      </w:r>
      <w:r>
        <w:t>estar</w:t>
      </w:r>
      <w:r>
        <w:rPr>
          <w:spacing w:val="-15"/>
        </w:rPr>
        <w:t xml:space="preserve"> </w:t>
      </w:r>
      <w:r>
        <w:t>a</w:t>
      </w:r>
      <w:r>
        <w:rPr>
          <w:spacing w:val="-15"/>
        </w:rPr>
        <w:t xml:space="preserve"> </w:t>
      </w:r>
      <w:r>
        <w:t>disposición</w:t>
      </w:r>
      <w:r>
        <w:rPr>
          <w:spacing w:val="-15"/>
        </w:rPr>
        <w:t xml:space="preserve"> </w:t>
      </w:r>
      <w:r>
        <w:t>de</w:t>
      </w:r>
      <w:r>
        <w:rPr>
          <w:spacing w:val="-15"/>
        </w:rPr>
        <w:t xml:space="preserve"> </w:t>
      </w:r>
      <w:r>
        <w:t>las</w:t>
      </w:r>
      <w:r>
        <w:rPr>
          <w:spacing w:val="-15"/>
        </w:rPr>
        <w:t xml:space="preserve"> </w:t>
      </w:r>
      <w:r>
        <w:t xml:space="preserve">autoridades competentes </w:t>
      </w:r>
      <w:r>
        <w:lastRenderedPageBreak/>
        <w:t xml:space="preserve">y que continúen cooperando con los procedimientos que se desarrollan en </w:t>
      </w:r>
      <w:r>
        <w:rPr>
          <w:spacing w:val="-2"/>
        </w:rPr>
        <w:t>Colombia»</w:t>
      </w:r>
      <w:r w:rsidR="00DE64D3">
        <w:rPr>
          <w:rStyle w:val="Refdenotaalpie"/>
          <w:spacing w:val="-2"/>
        </w:rPr>
        <w:footnoteReference w:id="910"/>
      </w:r>
      <w:r>
        <w:rPr>
          <w:spacing w:val="-2"/>
        </w:rPr>
        <w:t>.</w:t>
      </w:r>
    </w:p>
    <w:p w:rsidR="003804AC" w:rsidRDefault="00AF18A5" w:rsidP="00DE64D3">
      <w:r>
        <w:t>Según los testimonios recibidos por la Comisión de la Verdad, las extradiciones fueron llevadas</w:t>
      </w:r>
      <w:r>
        <w:rPr>
          <w:spacing w:val="-2"/>
        </w:rPr>
        <w:t xml:space="preserve"> </w:t>
      </w:r>
      <w:r>
        <w:t>a</w:t>
      </w:r>
      <w:r>
        <w:rPr>
          <w:spacing w:val="-3"/>
        </w:rPr>
        <w:t xml:space="preserve"> </w:t>
      </w:r>
      <w:r>
        <w:t>cabo</w:t>
      </w:r>
      <w:r>
        <w:rPr>
          <w:spacing w:val="-2"/>
        </w:rPr>
        <w:t xml:space="preserve"> </w:t>
      </w:r>
      <w:r>
        <w:t>por</w:t>
      </w:r>
      <w:r>
        <w:rPr>
          <w:spacing w:val="-3"/>
        </w:rPr>
        <w:t xml:space="preserve"> </w:t>
      </w:r>
      <w:r>
        <w:t>motivos</w:t>
      </w:r>
      <w:r>
        <w:rPr>
          <w:spacing w:val="-2"/>
        </w:rPr>
        <w:t xml:space="preserve"> </w:t>
      </w:r>
      <w:r>
        <w:t>políticos,</w:t>
      </w:r>
      <w:r>
        <w:rPr>
          <w:spacing w:val="-2"/>
        </w:rPr>
        <w:t xml:space="preserve"> </w:t>
      </w:r>
      <w:r>
        <w:t>sin</w:t>
      </w:r>
      <w:r>
        <w:rPr>
          <w:spacing w:val="-4"/>
        </w:rPr>
        <w:t xml:space="preserve"> </w:t>
      </w:r>
      <w:r>
        <w:t>tener</w:t>
      </w:r>
      <w:r>
        <w:rPr>
          <w:spacing w:val="-2"/>
        </w:rPr>
        <w:t xml:space="preserve"> </w:t>
      </w:r>
      <w:r>
        <w:t>en</w:t>
      </w:r>
      <w:r>
        <w:rPr>
          <w:spacing w:val="-4"/>
        </w:rPr>
        <w:t xml:space="preserve"> </w:t>
      </w:r>
      <w:r>
        <w:t>cuenta</w:t>
      </w:r>
      <w:r>
        <w:rPr>
          <w:spacing w:val="-3"/>
        </w:rPr>
        <w:t xml:space="preserve"> </w:t>
      </w:r>
      <w:r>
        <w:t>los</w:t>
      </w:r>
      <w:r>
        <w:rPr>
          <w:spacing w:val="-3"/>
        </w:rPr>
        <w:t xml:space="preserve"> </w:t>
      </w:r>
      <w:r>
        <w:t>derechos</w:t>
      </w:r>
      <w:r>
        <w:rPr>
          <w:spacing w:val="-3"/>
        </w:rPr>
        <w:t xml:space="preserve"> </w:t>
      </w:r>
      <w:r>
        <w:t>de</w:t>
      </w:r>
      <w:r>
        <w:rPr>
          <w:spacing w:val="-3"/>
        </w:rPr>
        <w:t xml:space="preserve"> </w:t>
      </w:r>
      <w:r>
        <w:t>las</w:t>
      </w:r>
      <w:r>
        <w:rPr>
          <w:spacing w:val="-2"/>
        </w:rPr>
        <w:t xml:space="preserve"> </w:t>
      </w:r>
      <w:r>
        <w:t>víctimas.</w:t>
      </w:r>
      <w:r>
        <w:rPr>
          <w:spacing w:val="-4"/>
        </w:rPr>
        <w:t xml:space="preserve"> </w:t>
      </w:r>
      <w:r>
        <w:t>Estas limitaron</w:t>
      </w:r>
      <w:r>
        <w:rPr>
          <w:spacing w:val="-7"/>
        </w:rPr>
        <w:t xml:space="preserve"> </w:t>
      </w:r>
      <w:r>
        <w:t>el</w:t>
      </w:r>
      <w:r>
        <w:rPr>
          <w:spacing w:val="-8"/>
        </w:rPr>
        <w:t xml:space="preserve"> </w:t>
      </w:r>
      <w:r>
        <w:t>acceso</w:t>
      </w:r>
      <w:r>
        <w:rPr>
          <w:spacing w:val="-7"/>
        </w:rPr>
        <w:t xml:space="preserve"> </w:t>
      </w:r>
      <w:r>
        <w:t>a</w:t>
      </w:r>
      <w:r>
        <w:rPr>
          <w:spacing w:val="-8"/>
        </w:rPr>
        <w:t xml:space="preserve"> </w:t>
      </w:r>
      <w:r>
        <w:t>la</w:t>
      </w:r>
      <w:r>
        <w:rPr>
          <w:spacing w:val="-7"/>
        </w:rPr>
        <w:t xml:space="preserve"> </w:t>
      </w:r>
      <w:r>
        <w:t>verdad</w:t>
      </w:r>
      <w:r>
        <w:rPr>
          <w:spacing w:val="-7"/>
        </w:rPr>
        <w:t xml:space="preserve"> </w:t>
      </w:r>
      <w:r>
        <w:t>y</w:t>
      </w:r>
      <w:r>
        <w:rPr>
          <w:spacing w:val="-7"/>
        </w:rPr>
        <w:t xml:space="preserve"> </w:t>
      </w:r>
      <w:r>
        <w:t>la</w:t>
      </w:r>
      <w:r>
        <w:rPr>
          <w:spacing w:val="-7"/>
        </w:rPr>
        <w:t xml:space="preserve"> </w:t>
      </w:r>
      <w:r>
        <w:t>justicia</w:t>
      </w:r>
      <w:r>
        <w:rPr>
          <w:spacing w:val="-7"/>
        </w:rPr>
        <w:t xml:space="preserve"> </w:t>
      </w:r>
      <w:r>
        <w:t>en</w:t>
      </w:r>
      <w:r>
        <w:rPr>
          <w:spacing w:val="-7"/>
        </w:rPr>
        <w:t xml:space="preserve"> </w:t>
      </w:r>
      <w:r>
        <w:t>el</w:t>
      </w:r>
      <w:r>
        <w:rPr>
          <w:spacing w:val="-7"/>
        </w:rPr>
        <w:t xml:space="preserve"> </w:t>
      </w:r>
      <w:r>
        <w:t>país.</w:t>
      </w:r>
      <w:r>
        <w:rPr>
          <w:spacing w:val="-7"/>
        </w:rPr>
        <w:t xml:space="preserve"> </w:t>
      </w:r>
      <w:r>
        <w:t>Ninguna</w:t>
      </w:r>
      <w:r>
        <w:rPr>
          <w:spacing w:val="-8"/>
        </w:rPr>
        <w:t xml:space="preserve"> </w:t>
      </w:r>
      <w:r>
        <w:t>de</w:t>
      </w:r>
      <w:r>
        <w:rPr>
          <w:spacing w:val="-7"/>
        </w:rPr>
        <w:t xml:space="preserve"> </w:t>
      </w:r>
      <w:r>
        <w:t>las</w:t>
      </w:r>
      <w:r>
        <w:rPr>
          <w:spacing w:val="-7"/>
        </w:rPr>
        <w:t xml:space="preserve"> </w:t>
      </w:r>
      <w:r>
        <w:t>alertas</w:t>
      </w:r>
      <w:r>
        <w:rPr>
          <w:spacing w:val="-7"/>
        </w:rPr>
        <w:t xml:space="preserve"> </w:t>
      </w:r>
      <w:r>
        <w:t>que</w:t>
      </w:r>
      <w:r>
        <w:rPr>
          <w:spacing w:val="-7"/>
        </w:rPr>
        <w:t xml:space="preserve"> </w:t>
      </w:r>
      <w:r>
        <w:t>se</w:t>
      </w:r>
      <w:r>
        <w:rPr>
          <w:spacing w:val="-7"/>
        </w:rPr>
        <w:t xml:space="preserve"> </w:t>
      </w:r>
      <w:r>
        <w:t>dieron</w:t>
      </w:r>
      <w:r>
        <w:rPr>
          <w:spacing w:val="-7"/>
        </w:rPr>
        <w:t xml:space="preserve"> </w:t>
      </w:r>
      <w:r>
        <w:t>en su momento sirvió para proteger el derecho a la verdad de las víctimas. La Dirección de Justicia</w:t>
      </w:r>
      <w:r>
        <w:rPr>
          <w:spacing w:val="-6"/>
        </w:rPr>
        <w:t xml:space="preserve"> </w:t>
      </w:r>
      <w:r>
        <w:t>Transicional</w:t>
      </w:r>
      <w:r>
        <w:rPr>
          <w:spacing w:val="-6"/>
        </w:rPr>
        <w:t xml:space="preserve"> </w:t>
      </w:r>
      <w:r>
        <w:t>de</w:t>
      </w:r>
      <w:r>
        <w:rPr>
          <w:spacing w:val="-7"/>
        </w:rPr>
        <w:t xml:space="preserve"> </w:t>
      </w:r>
      <w:r>
        <w:t>la</w:t>
      </w:r>
      <w:r>
        <w:rPr>
          <w:spacing w:val="-6"/>
        </w:rPr>
        <w:t xml:space="preserve"> </w:t>
      </w:r>
      <w:r>
        <w:t>Fiscalía</w:t>
      </w:r>
      <w:r>
        <w:rPr>
          <w:spacing w:val="-7"/>
        </w:rPr>
        <w:t xml:space="preserve"> </w:t>
      </w:r>
      <w:r>
        <w:t>reportó</w:t>
      </w:r>
      <w:r>
        <w:rPr>
          <w:spacing w:val="-6"/>
        </w:rPr>
        <w:t xml:space="preserve"> </w:t>
      </w:r>
      <w:r>
        <w:t>a</w:t>
      </w:r>
      <w:r>
        <w:rPr>
          <w:spacing w:val="-6"/>
        </w:rPr>
        <w:t xml:space="preserve"> </w:t>
      </w:r>
      <w:r>
        <w:t>la</w:t>
      </w:r>
      <w:r>
        <w:rPr>
          <w:spacing w:val="-6"/>
        </w:rPr>
        <w:t xml:space="preserve"> </w:t>
      </w:r>
      <w:r>
        <w:t>Comisión</w:t>
      </w:r>
      <w:r>
        <w:rPr>
          <w:spacing w:val="-6"/>
        </w:rPr>
        <w:t xml:space="preserve"> </w:t>
      </w:r>
      <w:r>
        <w:t>que,</w:t>
      </w:r>
      <w:r>
        <w:rPr>
          <w:spacing w:val="-6"/>
        </w:rPr>
        <w:t xml:space="preserve"> </w:t>
      </w:r>
      <w:r>
        <w:t>a</w:t>
      </w:r>
      <w:r>
        <w:rPr>
          <w:spacing w:val="-6"/>
        </w:rPr>
        <w:t xml:space="preserve"> </w:t>
      </w:r>
      <w:r>
        <w:t>2020,</w:t>
      </w:r>
      <w:r>
        <w:rPr>
          <w:spacing w:val="-6"/>
        </w:rPr>
        <w:t xml:space="preserve"> </w:t>
      </w:r>
      <w:r>
        <w:t>se</w:t>
      </w:r>
      <w:r>
        <w:rPr>
          <w:spacing w:val="-6"/>
        </w:rPr>
        <w:t xml:space="preserve"> </w:t>
      </w:r>
      <w:r>
        <w:t>registraron</w:t>
      </w:r>
      <w:r>
        <w:rPr>
          <w:spacing w:val="-6"/>
        </w:rPr>
        <w:t xml:space="preserve"> </w:t>
      </w:r>
      <w:r>
        <w:t>447.471 formatos</w:t>
      </w:r>
      <w:r>
        <w:rPr>
          <w:spacing w:val="-6"/>
        </w:rPr>
        <w:t xml:space="preserve"> </w:t>
      </w:r>
      <w:r>
        <w:t>de</w:t>
      </w:r>
      <w:r>
        <w:rPr>
          <w:spacing w:val="-6"/>
        </w:rPr>
        <w:t xml:space="preserve"> </w:t>
      </w:r>
      <w:r>
        <w:t>víctimas</w:t>
      </w:r>
      <w:r>
        <w:rPr>
          <w:spacing w:val="-6"/>
        </w:rPr>
        <w:t xml:space="preserve"> </w:t>
      </w:r>
      <w:r>
        <w:t>que</w:t>
      </w:r>
      <w:r>
        <w:rPr>
          <w:spacing w:val="-7"/>
        </w:rPr>
        <w:t xml:space="preserve"> </w:t>
      </w:r>
      <w:r>
        <w:t>buscaron</w:t>
      </w:r>
      <w:r>
        <w:rPr>
          <w:spacing w:val="-6"/>
        </w:rPr>
        <w:t xml:space="preserve"> </w:t>
      </w:r>
      <w:r>
        <w:t>participar</w:t>
      </w:r>
      <w:r>
        <w:rPr>
          <w:spacing w:val="-6"/>
        </w:rPr>
        <w:t xml:space="preserve"> </w:t>
      </w:r>
      <w:r>
        <w:t>en</w:t>
      </w:r>
      <w:r>
        <w:rPr>
          <w:spacing w:val="-6"/>
        </w:rPr>
        <w:t xml:space="preserve"> </w:t>
      </w:r>
      <w:r>
        <w:t>los</w:t>
      </w:r>
      <w:r>
        <w:rPr>
          <w:spacing w:val="-6"/>
        </w:rPr>
        <w:t xml:space="preserve"> </w:t>
      </w:r>
      <w:r>
        <w:t>procesos.</w:t>
      </w:r>
      <w:r>
        <w:rPr>
          <w:spacing w:val="-6"/>
        </w:rPr>
        <w:t xml:space="preserve"> </w:t>
      </w:r>
      <w:r>
        <w:t>Muchas</w:t>
      </w:r>
      <w:r>
        <w:rPr>
          <w:spacing w:val="-6"/>
        </w:rPr>
        <w:t xml:space="preserve"> </w:t>
      </w:r>
      <w:r>
        <w:t>de</w:t>
      </w:r>
      <w:r>
        <w:rPr>
          <w:spacing w:val="-6"/>
        </w:rPr>
        <w:t xml:space="preserve"> </w:t>
      </w:r>
      <w:r>
        <w:t>ellas,</w:t>
      </w:r>
      <w:r>
        <w:rPr>
          <w:spacing w:val="-6"/>
        </w:rPr>
        <w:t xml:space="preserve"> </w:t>
      </w:r>
      <w:r>
        <w:t>sin</w:t>
      </w:r>
      <w:r>
        <w:rPr>
          <w:spacing w:val="-6"/>
        </w:rPr>
        <w:t xml:space="preserve"> </w:t>
      </w:r>
      <w:r>
        <w:t>embargo, decidieron</w:t>
      </w:r>
      <w:r>
        <w:rPr>
          <w:spacing w:val="-4"/>
        </w:rPr>
        <w:t xml:space="preserve"> </w:t>
      </w:r>
      <w:r>
        <w:t>no</w:t>
      </w:r>
      <w:r>
        <w:rPr>
          <w:spacing w:val="-4"/>
        </w:rPr>
        <w:t xml:space="preserve"> </w:t>
      </w:r>
      <w:r>
        <w:t>hacerlo</w:t>
      </w:r>
      <w:r>
        <w:rPr>
          <w:spacing w:val="-4"/>
        </w:rPr>
        <w:t xml:space="preserve"> </w:t>
      </w:r>
      <w:r>
        <w:t>en</w:t>
      </w:r>
      <w:r>
        <w:rPr>
          <w:spacing w:val="-5"/>
        </w:rPr>
        <w:t xml:space="preserve"> </w:t>
      </w:r>
      <w:r>
        <w:t>audiencias</w:t>
      </w:r>
      <w:r>
        <w:rPr>
          <w:spacing w:val="-5"/>
        </w:rPr>
        <w:t xml:space="preserve"> </w:t>
      </w:r>
      <w:r>
        <w:t>o</w:t>
      </w:r>
      <w:r>
        <w:rPr>
          <w:spacing w:val="-4"/>
        </w:rPr>
        <w:t xml:space="preserve"> </w:t>
      </w:r>
      <w:r>
        <w:t>siquiera</w:t>
      </w:r>
      <w:r>
        <w:rPr>
          <w:spacing w:val="-3"/>
        </w:rPr>
        <w:t xml:space="preserve"> </w:t>
      </w:r>
      <w:r>
        <w:t>inscribirse.</w:t>
      </w:r>
      <w:r>
        <w:rPr>
          <w:spacing w:val="-4"/>
        </w:rPr>
        <w:t xml:space="preserve"> </w:t>
      </w:r>
      <w:r>
        <w:t>Unos</w:t>
      </w:r>
      <w:r>
        <w:rPr>
          <w:spacing w:val="-4"/>
        </w:rPr>
        <w:t xml:space="preserve"> </w:t>
      </w:r>
      <w:r>
        <w:t>de</w:t>
      </w:r>
      <w:r>
        <w:rPr>
          <w:spacing w:val="-3"/>
        </w:rPr>
        <w:t xml:space="preserve"> </w:t>
      </w:r>
      <w:r>
        <w:t>los</w:t>
      </w:r>
      <w:r>
        <w:rPr>
          <w:spacing w:val="-4"/>
        </w:rPr>
        <w:t xml:space="preserve"> </w:t>
      </w:r>
      <w:r>
        <w:t>factores</w:t>
      </w:r>
      <w:r>
        <w:rPr>
          <w:spacing w:val="-3"/>
        </w:rPr>
        <w:t xml:space="preserve"> </w:t>
      </w:r>
      <w:r>
        <w:t>que</w:t>
      </w:r>
      <w:r>
        <w:rPr>
          <w:spacing w:val="-3"/>
        </w:rPr>
        <w:t xml:space="preserve"> </w:t>
      </w:r>
      <w:r>
        <w:t>disuadió a las víctimas fueron los hostigamientos, las amenazas y los asesinatos.</w:t>
      </w:r>
    </w:p>
    <w:p w:rsidR="003804AC" w:rsidRPr="00DE64D3" w:rsidRDefault="00AF18A5" w:rsidP="00DE64D3">
      <w:r>
        <w:t>Hubo ejemplos paradigmáticos de lo anterior, como el crimen de la señora Yolanda Izquierdo</w:t>
      </w:r>
      <w:r>
        <w:rPr>
          <w:spacing w:val="-9"/>
        </w:rPr>
        <w:t xml:space="preserve"> </w:t>
      </w:r>
      <w:r>
        <w:t>Berrío,</w:t>
      </w:r>
      <w:r>
        <w:rPr>
          <w:spacing w:val="-11"/>
        </w:rPr>
        <w:t xml:space="preserve"> </w:t>
      </w:r>
      <w:r>
        <w:t>dirigente</w:t>
      </w:r>
      <w:r>
        <w:rPr>
          <w:spacing w:val="-9"/>
        </w:rPr>
        <w:t xml:space="preserve"> </w:t>
      </w:r>
      <w:r>
        <w:t>de</w:t>
      </w:r>
      <w:r>
        <w:rPr>
          <w:spacing w:val="-10"/>
        </w:rPr>
        <w:t xml:space="preserve"> </w:t>
      </w:r>
      <w:r>
        <w:t>la</w:t>
      </w:r>
      <w:r>
        <w:rPr>
          <w:spacing w:val="-9"/>
        </w:rPr>
        <w:t xml:space="preserve"> </w:t>
      </w:r>
      <w:r>
        <w:t>Organización</w:t>
      </w:r>
      <w:r>
        <w:rPr>
          <w:spacing w:val="-9"/>
        </w:rPr>
        <w:t xml:space="preserve"> </w:t>
      </w:r>
      <w:r>
        <w:t>Popular</w:t>
      </w:r>
      <w:r>
        <w:rPr>
          <w:spacing w:val="-10"/>
        </w:rPr>
        <w:t xml:space="preserve"> </w:t>
      </w:r>
      <w:r>
        <w:t>de</w:t>
      </w:r>
      <w:r>
        <w:rPr>
          <w:spacing w:val="-9"/>
        </w:rPr>
        <w:t xml:space="preserve"> </w:t>
      </w:r>
      <w:r>
        <w:t>Vivienda,</w:t>
      </w:r>
      <w:r>
        <w:rPr>
          <w:spacing w:val="-11"/>
        </w:rPr>
        <w:t xml:space="preserve"> </w:t>
      </w:r>
      <w:r>
        <w:t>asesinada</w:t>
      </w:r>
      <w:r>
        <w:rPr>
          <w:spacing w:val="-9"/>
        </w:rPr>
        <w:t xml:space="preserve"> </w:t>
      </w:r>
      <w:r>
        <w:t>el</w:t>
      </w:r>
      <w:r>
        <w:rPr>
          <w:spacing w:val="-9"/>
        </w:rPr>
        <w:t xml:space="preserve"> </w:t>
      </w:r>
      <w:r>
        <w:t>31</w:t>
      </w:r>
      <w:r>
        <w:rPr>
          <w:spacing w:val="-11"/>
        </w:rPr>
        <w:t xml:space="preserve"> </w:t>
      </w:r>
      <w:r>
        <w:t>de</w:t>
      </w:r>
      <w:r>
        <w:rPr>
          <w:spacing w:val="-10"/>
        </w:rPr>
        <w:t xml:space="preserve"> </w:t>
      </w:r>
      <w:r>
        <w:t>enero de</w:t>
      </w:r>
      <w:r>
        <w:rPr>
          <w:spacing w:val="-6"/>
        </w:rPr>
        <w:t xml:space="preserve"> </w:t>
      </w:r>
      <w:r>
        <w:t>2007</w:t>
      </w:r>
      <w:r>
        <w:rPr>
          <w:spacing w:val="-6"/>
        </w:rPr>
        <w:t xml:space="preserve"> </w:t>
      </w:r>
      <w:r>
        <w:t>en</w:t>
      </w:r>
      <w:r>
        <w:rPr>
          <w:spacing w:val="-5"/>
        </w:rPr>
        <w:t xml:space="preserve"> </w:t>
      </w:r>
      <w:r>
        <w:t>Montería</w:t>
      </w:r>
      <w:r>
        <w:rPr>
          <w:spacing w:val="-6"/>
        </w:rPr>
        <w:t xml:space="preserve"> </w:t>
      </w:r>
      <w:r>
        <w:t>cuando</w:t>
      </w:r>
      <w:r>
        <w:rPr>
          <w:spacing w:val="-6"/>
        </w:rPr>
        <w:t xml:space="preserve"> </w:t>
      </w:r>
      <w:r>
        <w:t>lideraba</w:t>
      </w:r>
      <w:r>
        <w:rPr>
          <w:spacing w:val="-6"/>
        </w:rPr>
        <w:t xml:space="preserve"> </w:t>
      </w:r>
      <w:r>
        <w:t>la</w:t>
      </w:r>
      <w:r>
        <w:rPr>
          <w:spacing w:val="-6"/>
        </w:rPr>
        <w:t xml:space="preserve"> </w:t>
      </w:r>
      <w:r>
        <w:t>reclamación</w:t>
      </w:r>
      <w:r>
        <w:rPr>
          <w:spacing w:val="-6"/>
        </w:rPr>
        <w:t xml:space="preserve"> </w:t>
      </w:r>
      <w:r>
        <w:t>de</w:t>
      </w:r>
      <w:r>
        <w:rPr>
          <w:spacing w:val="-6"/>
        </w:rPr>
        <w:t xml:space="preserve"> </w:t>
      </w:r>
      <w:r>
        <w:t>títulos</w:t>
      </w:r>
      <w:r>
        <w:rPr>
          <w:spacing w:val="-6"/>
        </w:rPr>
        <w:t xml:space="preserve"> </w:t>
      </w:r>
      <w:r>
        <w:t>de</w:t>
      </w:r>
      <w:r>
        <w:rPr>
          <w:spacing w:val="-6"/>
        </w:rPr>
        <w:t xml:space="preserve"> </w:t>
      </w:r>
      <w:r>
        <w:t>tierras</w:t>
      </w:r>
      <w:r>
        <w:rPr>
          <w:spacing w:val="-6"/>
        </w:rPr>
        <w:t xml:space="preserve"> </w:t>
      </w:r>
      <w:r>
        <w:t>de</w:t>
      </w:r>
      <w:r>
        <w:rPr>
          <w:spacing w:val="-6"/>
        </w:rPr>
        <w:t xml:space="preserve"> </w:t>
      </w:r>
      <w:r>
        <w:t>700</w:t>
      </w:r>
      <w:r>
        <w:rPr>
          <w:spacing w:val="-6"/>
        </w:rPr>
        <w:t xml:space="preserve"> </w:t>
      </w:r>
      <w:r>
        <w:t>familias</w:t>
      </w:r>
      <w:r>
        <w:rPr>
          <w:spacing w:val="-6"/>
        </w:rPr>
        <w:t xml:space="preserve"> </w:t>
      </w:r>
      <w:r>
        <w:t>que fueron</w:t>
      </w:r>
      <w:r>
        <w:rPr>
          <w:spacing w:val="-6"/>
        </w:rPr>
        <w:t xml:space="preserve"> </w:t>
      </w:r>
      <w:r>
        <w:t>despojadas</w:t>
      </w:r>
      <w:r>
        <w:rPr>
          <w:spacing w:val="-6"/>
        </w:rPr>
        <w:t xml:space="preserve"> </w:t>
      </w:r>
      <w:r>
        <w:t>por</w:t>
      </w:r>
      <w:r>
        <w:rPr>
          <w:spacing w:val="-5"/>
        </w:rPr>
        <w:t xml:space="preserve"> </w:t>
      </w:r>
      <w:r>
        <w:t>los</w:t>
      </w:r>
      <w:r>
        <w:rPr>
          <w:spacing w:val="-6"/>
        </w:rPr>
        <w:t xml:space="preserve"> </w:t>
      </w:r>
      <w:r>
        <w:t>paramilitares;</w:t>
      </w:r>
      <w:r>
        <w:rPr>
          <w:spacing w:val="-7"/>
        </w:rPr>
        <w:t xml:space="preserve"> </w:t>
      </w:r>
      <w:r>
        <w:t>o</w:t>
      </w:r>
      <w:r>
        <w:rPr>
          <w:spacing w:val="-6"/>
        </w:rPr>
        <w:t xml:space="preserve"> </w:t>
      </w:r>
      <w:r>
        <w:t>el</w:t>
      </w:r>
      <w:r>
        <w:rPr>
          <w:spacing w:val="-5"/>
        </w:rPr>
        <w:t xml:space="preserve"> </w:t>
      </w:r>
      <w:r>
        <w:t>asesinato</w:t>
      </w:r>
      <w:r>
        <w:rPr>
          <w:spacing w:val="-7"/>
        </w:rPr>
        <w:t xml:space="preserve"> </w:t>
      </w:r>
      <w:r>
        <w:t>de</w:t>
      </w:r>
      <w:r>
        <w:rPr>
          <w:spacing w:val="-6"/>
        </w:rPr>
        <w:t xml:space="preserve"> </w:t>
      </w:r>
      <w:r>
        <w:t>Freddy</w:t>
      </w:r>
      <w:r>
        <w:rPr>
          <w:spacing w:val="-6"/>
        </w:rPr>
        <w:t xml:space="preserve"> </w:t>
      </w:r>
      <w:r>
        <w:t>Abel</w:t>
      </w:r>
      <w:r>
        <w:rPr>
          <w:spacing w:val="-5"/>
        </w:rPr>
        <w:t xml:space="preserve"> </w:t>
      </w:r>
      <w:r>
        <w:t>Espitia,</w:t>
      </w:r>
      <w:r>
        <w:rPr>
          <w:spacing w:val="-6"/>
        </w:rPr>
        <w:t xml:space="preserve"> </w:t>
      </w:r>
      <w:r>
        <w:t>representante de</w:t>
      </w:r>
      <w:r>
        <w:rPr>
          <w:spacing w:val="-2"/>
        </w:rPr>
        <w:t xml:space="preserve"> </w:t>
      </w:r>
      <w:r>
        <w:t>los</w:t>
      </w:r>
      <w:r>
        <w:rPr>
          <w:spacing w:val="-2"/>
        </w:rPr>
        <w:t xml:space="preserve"> </w:t>
      </w:r>
      <w:r>
        <w:t>desplazados</w:t>
      </w:r>
      <w:r>
        <w:rPr>
          <w:spacing w:val="-2"/>
        </w:rPr>
        <w:t xml:space="preserve"> </w:t>
      </w:r>
      <w:r>
        <w:t>de</w:t>
      </w:r>
      <w:r>
        <w:rPr>
          <w:spacing w:val="-2"/>
        </w:rPr>
        <w:t xml:space="preserve"> </w:t>
      </w:r>
      <w:r>
        <w:t>Cotorra</w:t>
      </w:r>
      <w:r w:rsidR="00DE64D3">
        <w:rPr>
          <w:rStyle w:val="Refdenotaalpie"/>
        </w:rPr>
        <w:footnoteReference w:id="911"/>
      </w:r>
      <w:r>
        <w:rPr>
          <w:spacing w:val="-2"/>
        </w:rPr>
        <w:t xml:space="preserve"> </w:t>
      </w:r>
      <w:r>
        <w:t>en</w:t>
      </w:r>
      <w:r>
        <w:rPr>
          <w:spacing w:val="-2"/>
        </w:rPr>
        <w:t xml:space="preserve"> </w:t>
      </w:r>
      <w:r>
        <w:t>los</w:t>
      </w:r>
      <w:r>
        <w:rPr>
          <w:spacing w:val="-2"/>
        </w:rPr>
        <w:t xml:space="preserve"> </w:t>
      </w:r>
      <w:r>
        <w:t>procesos</w:t>
      </w:r>
      <w:r>
        <w:rPr>
          <w:spacing w:val="-2"/>
        </w:rPr>
        <w:t xml:space="preserve"> </w:t>
      </w:r>
      <w:r>
        <w:t>contra</w:t>
      </w:r>
      <w:r>
        <w:rPr>
          <w:spacing w:val="-2"/>
        </w:rPr>
        <w:t xml:space="preserve"> </w:t>
      </w:r>
      <w:r>
        <w:t>grupos</w:t>
      </w:r>
      <w:r>
        <w:rPr>
          <w:spacing w:val="-3"/>
        </w:rPr>
        <w:t xml:space="preserve"> </w:t>
      </w:r>
      <w:r>
        <w:t>paramilitares,</w:t>
      </w:r>
      <w:r>
        <w:rPr>
          <w:spacing w:val="-2"/>
        </w:rPr>
        <w:t xml:space="preserve"> </w:t>
      </w:r>
      <w:r>
        <w:t>que</w:t>
      </w:r>
      <w:r>
        <w:rPr>
          <w:spacing w:val="-2"/>
        </w:rPr>
        <w:t xml:space="preserve"> </w:t>
      </w:r>
      <w:r>
        <w:t>tuvo</w:t>
      </w:r>
      <w:r>
        <w:rPr>
          <w:spacing w:val="-2"/>
        </w:rPr>
        <w:t xml:space="preserve"> </w:t>
      </w:r>
      <w:r>
        <w:t>lugar dos</w:t>
      </w:r>
      <w:r>
        <w:rPr>
          <w:spacing w:val="-6"/>
        </w:rPr>
        <w:t xml:space="preserve"> </w:t>
      </w:r>
      <w:r>
        <w:t>semanas</w:t>
      </w:r>
      <w:r>
        <w:rPr>
          <w:spacing w:val="-7"/>
        </w:rPr>
        <w:t xml:space="preserve"> </w:t>
      </w:r>
      <w:r>
        <w:t>después</w:t>
      </w:r>
      <w:r>
        <w:rPr>
          <w:spacing w:val="-6"/>
        </w:rPr>
        <w:t xml:space="preserve"> </w:t>
      </w:r>
      <w:r>
        <w:t>de</w:t>
      </w:r>
      <w:r>
        <w:rPr>
          <w:spacing w:val="-6"/>
        </w:rPr>
        <w:t xml:space="preserve"> </w:t>
      </w:r>
      <w:r>
        <w:t>haber</w:t>
      </w:r>
      <w:r>
        <w:rPr>
          <w:spacing w:val="-6"/>
        </w:rPr>
        <w:t xml:space="preserve"> </w:t>
      </w:r>
      <w:r>
        <w:t>sido</w:t>
      </w:r>
      <w:r>
        <w:rPr>
          <w:spacing w:val="-6"/>
        </w:rPr>
        <w:t xml:space="preserve"> </w:t>
      </w:r>
      <w:r>
        <w:t>incendiada</w:t>
      </w:r>
      <w:r>
        <w:rPr>
          <w:spacing w:val="-6"/>
        </w:rPr>
        <w:t xml:space="preserve"> </w:t>
      </w:r>
      <w:r>
        <w:t>la</w:t>
      </w:r>
      <w:r>
        <w:rPr>
          <w:spacing w:val="-7"/>
        </w:rPr>
        <w:t xml:space="preserve"> </w:t>
      </w:r>
      <w:r>
        <w:t>sede</w:t>
      </w:r>
      <w:r>
        <w:rPr>
          <w:spacing w:val="-6"/>
        </w:rPr>
        <w:t xml:space="preserve"> </w:t>
      </w:r>
      <w:r>
        <w:t>de</w:t>
      </w:r>
      <w:r>
        <w:rPr>
          <w:spacing w:val="-6"/>
        </w:rPr>
        <w:t xml:space="preserve"> </w:t>
      </w:r>
      <w:r>
        <w:t>la</w:t>
      </w:r>
      <w:r>
        <w:rPr>
          <w:spacing w:val="-6"/>
        </w:rPr>
        <w:t xml:space="preserve"> </w:t>
      </w:r>
      <w:r>
        <w:t>Liga</w:t>
      </w:r>
      <w:r>
        <w:rPr>
          <w:spacing w:val="-6"/>
        </w:rPr>
        <w:t xml:space="preserve"> </w:t>
      </w:r>
      <w:r>
        <w:t>de</w:t>
      </w:r>
      <w:r>
        <w:rPr>
          <w:spacing w:val="-6"/>
        </w:rPr>
        <w:t xml:space="preserve"> </w:t>
      </w:r>
      <w:r>
        <w:t>Mujeres</w:t>
      </w:r>
      <w:r>
        <w:rPr>
          <w:spacing w:val="-6"/>
        </w:rPr>
        <w:t xml:space="preserve"> </w:t>
      </w:r>
      <w:r>
        <w:t>Desplazadas</w:t>
      </w:r>
      <w:r>
        <w:rPr>
          <w:spacing w:val="-6"/>
        </w:rPr>
        <w:t xml:space="preserve"> </w:t>
      </w:r>
      <w:r>
        <w:t>de Turbaco, Bolívar</w:t>
      </w:r>
      <w:r w:rsidR="00DE64D3">
        <w:rPr>
          <w:rStyle w:val="Refdenotaalpie"/>
        </w:rPr>
        <w:footnoteReference w:id="912"/>
      </w:r>
      <w:r>
        <w:t>. En el mismo contexto, hubo amenazas contra los integrantes del Movimiento</w:t>
      </w:r>
      <w:r>
        <w:rPr>
          <w:spacing w:val="-3"/>
        </w:rPr>
        <w:t xml:space="preserve"> </w:t>
      </w:r>
      <w:r>
        <w:t>de</w:t>
      </w:r>
      <w:r>
        <w:rPr>
          <w:spacing w:val="-2"/>
        </w:rPr>
        <w:t xml:space="preserve"> </w:t>
      </w:r>
      <w:r>
        <w:t>Víctimas</w:t>
      </w:r>
      <w:r>
        <w:rPr>
          <w:spacing w:val="-3"/>
        </w:rPr>
        <w:t xml:space="preserve"> </w:t>
      </w:r>
      <w:r>
        <w:t>de</w:t>
      </w:r>
      <w:r>
        <w:rPr>
          <w:spacing w:val="-2"/>
        </w:rPr>
        <w:t xml:space="preserve"> </w:t>
      </w:r>
      <w:r>
        <w:t>Crímenes</w:t>
      </w:r>
      <w:r>
        <w:rPr>
          <w:spacing w:val="-2"/>
        </w:rPr>
        <w:t xml:space="preserve"> </w:t>
      </w:r>
      <w:r>
        <w:t>de</w:t>
      </w:r>
      <w:r>
        <w:rPr>
          <w:spacing w:val="-2"/>
        </w:rPr>
        <w:t xml:space="preserve"> </w:t>
      </w:r>
      <w:r>
        <w:t>Estado</w:t>
      </w:r>
      <w:r>
        <w:rPr>
          <w:spacing w:val="-3"/>
        </w:rPr>
        <w:t xml:space="preserve"> </w:t>
      </w:r>
      <w:r>
        <w:t>de</w:t>
      </w:r>
      <w:r>
        <w:rPr>
          <w:spacing w:val="-2"/>
        </w:rPr>
        <w:t xml:space="preserve"> </w:t>
      </w:r>
      <w:r>
        <w:t>los</w:t>
      </w:r>
      <w:r>
        <w:rPr>
          <w:spacing w:val="-3"/>
        </w:rPr>
        <w:t xml:space="preserve"> </w:t>
      </w:r>
      <w:r>
        <w:t>municipios</w:t>
      </w:r>
      <w:r>
        <w:rPr>
          <w:spacing w:val="-3"/>
        </w:rPr>
        <w:t xml:space="preserve"> </w:t>
      </w:r>
      <w:r>
        <w:t>de</w:t>
      </w:r>
      <w:r>
        <w:rPr>
          <w:spacing w:val="-2"/>
        </w:rPr>
        <w:t xml:space="preserve"> </w:t>
      </w:r>
      <w:r>
        <w:lastRenderedPageBreak/>
        <w:t>San</w:t>
      </w:r>
      <w:r>
        <w:rPr>
          <w:spacing w:val="-2"/>
        </w:rPr>
        <w:t xml:space="preserve"> </w:t>
      </w:r>
      <w:r>
        <w:t>Onofre</w:t>
      </w:r>
      <w:r>
        <w:rPr>
          <w:spacing w:val="-2"/>
        </w:rPr>
        <w:t xml:space="preserve"> </w:t>
      </w:r>
      <w:r>
        <w:t>y</w:t>
      </w:r>
      <w:r>
        <w:rPr>
          <w:spacing w:val="-3"/>
        </w:rPr>
        <w:t xml:space="preserve"> </w:t>
      </w:r>
      <w:r>
        <w:t>Montes de</w:t>
      </w:r>
      <w:r>
        <w:rPr>
          <w:spacing w:val="5"/>
        </w:rPr>
        <w:t xml:space="preserve"> </w:t>
      </w:r>
      <w:r>
        <w:t>María;</w:t>
      </w:r>
      <w:r>
        <w:rPr>
          <w:spacing w:val="9"/>
        </w:rPr>
        <w:t xml:space="preserve"> </w:t>
      </w:r>
      <w:r>
        <w:t>un</w:t>
      </w:r>
      <w:r>
        <w:rPr>
          <w:spacing w:val="8"/>
        </w:rPr>
        <w:t xml:space="preserve"> </w:t>
      </w:r>
      <w:r>
        <w:t>ataque</w:t>
      </w:r>
      <w:r>
        <w:rPr>
          <w:spacing w:val="8"/>
        </w:rPr>
        <w:t xml:space="preserve"> </w:t>
      </w:r>
      <w:r>
        <w:t>contra</w:t>
      </w:r>
      <w:r>
        <w:rPr>
          <w:spacing w:val="8"/>
        </w:rPr>
        <w:t xml:space="preserve"> </w:t>
      </w:r>
      <w:r>
        <w:t>la</w:t>
      </w:r>
      <w:r>
        <w:rPr>
          <w:spacing w:val="8"/>
        </w:rPr>
        <w:t xml:space="preserve"> </w:t>
      </w:r>
      <w:r>
        <w:t>Asamblea</w:t>
      </w:r>
      <w:r>
        <w:rPr>
          <w:spacing w:val="8"/>
        </w:rPr>
        <w:t xml:space="preserve"> </w:t>
      </w:r>
      <w:r>
        <w:t>Permanente</w:t>
      </w:r>
      <w:r>
        <w:rPr>
          <w:spacing w:val="8"/>
        </w:rPr>
        <w:t xml:space="preserve"> </w:t>
      </w:r>
      <w:r>
        <w:t>de</w:t>
      </w:r>
      <w:r>
        <w:rPr>
          <w:spacing w:val="6"/>
        </w:rPr>
        <w:t xml:space="preserve"> </w:t>
      </w:r>
      <w:r>
        <w:t>la</w:t>
      </w:r>
      <w:r>
        <w:rPr>
          <w:spacing w:val="7"/>
        </w:rPr>
        <w:t xml:space="preserve"> </w:t>
      </w:r>
      <w:r>
        <w:t>Sociedad</w:t>
      </w:r>
      <w:r>
        <w:rPr>
          <w:spacing w:val="8"/>
        </w:rPr>
        <w:t xml:space="preserve"> </w:t>
      </w:r>
      <w:r>
        <w:t>Civil</w:t>
      </w:r>
      <w:r>
        <w:rPr>
          <w:spacing w:val="9"/>
        </w:rPr>
        <w:t xml:space="preserve"> </w:t>
      </w:r>
      <w:r>
        <w:t>por</w:t>
      </w:r>
      <w:r>
        <w:rPr>
          <w:spacing w:val="9"/>
        </w:rPr>
        <w:t xml:space="preserve"> </w:t>
      </w:r>
      <w:r>
        <w:t>la</w:t>
      </w:r>
      <w:r>
        <w:rPr>
          <w:spacing w:val="8"/>
        </w:rPr>
        <w:t xml:space="preserve"> </w:t>
      </w:r>
      <w:r>
        <w:t>Paz,</w:t>
      </w:r>
      <w:r>
        <w:rPr>
          <w:spacing w:val="8"/>
        </w:rPr>
        <w:t xml:space="preserve"> </w:t>
      </w:r>
      <w:r>
        <w:t>23</w:t>
      </w:r>
      <w:r>
        <w:rPr>
          <w:spacing w:val="8"/>
        </w:rPr>
        <w:t xml:space="preserve"> </w:t>
      </w:r>
      <w:r>
        <w:rPr>
          <w:spacing w:val="-5"/>
        </w:rPr>
        <w:t>de</w:t>
      </w:r>
      <w:bookmarkStart w:id="1122" w:name="_bookmark992"/>
      <w:bookmarkStart w:id="1123" w:name="_bookmark993"/>
      <w:bookmarkStart w:id="1124" w:name="_bookmark994"/>
      <w:bookmarkStart w:id="1125" w:name="_bookmark995"/>
      <w:bookmarkEnd w:id="1122"/>
      <w:bookmarkEnd w:id="1123"/>
      <w:bookmarkEnd w:id="1124"/>
      <w:bookmarkEnd w:id="1125"/>
      <w:r w:rsidR="00DE64D3">
        <w:rPr>
          <w:spacing w:val="-5"/>
        </w:rPr>
        <w:t xml:space="preserve"> </w:t>
      </w:r>
      <w:r>
        <w:t>enero de 2007</w:t>
      </w:r>
      <w:r w:rsidR="00403DF0">
        <w:rPr>
          <w:rStyle w:val="Refdenotaalpie"/>
        </w:rPr>
        <w:footnoteReference w:id="913"/>
      </w:r>
      <w:r>
        <w:rPr>
          <w:i/>
          <w:vertAlign w:val="superscript"/>
        </w:rPr>
        <w:t>.</w:t>
      </w:r>
      <w:r>
        <w:t xml:space="preserve">; y el asesinato de Osiris Jacqueline Amaya Beltrán, de la comunidad </w:t>
      </w:r>
      <w:proofErr w:type="spellStart"/>
      <w:r>
        <w:t>Wayuú</w:t>
      </w:r>
      <w:proofErr w:type="spellEnd"/>
      <w:r>
        <w:t>, quien fue violada, secuestrada y degollada por los paramilitares el 14 de marzo de 2007. Las víctimas de 315 casos radicados en la Fiscalía General de la Nación contra las AUC identificaron que más de 20 personas habían recibido amenazas contra sus vidas o exigencias para retirarse del proceso.</w:t>
      </w:r>
    </w:p>
    <w:p w:rsidR="003804AC" w:rsidRDefault="00AF18A5" w:rsidP="00403DF0">
      <w:r>
        <w:t>Todos estos hechos, con altos índices de impunidad, son una demostración palpable de cómo en momentos críticos del conflicto armado no se tomaron suficientes medidas para atender y proteger a las víctimas. Por el contrario, parte de los grupos armados y los entramados de criminalidad complementarios siguieron con poder, a pesar del proceso de desmovilización</w:t>
      </w:r>
      <w:r>
        <w:rPr>
          <w:spacing w:val="-5"/>
        </w:rPr>
        <w:t xml:space="preserve"> </w:t>
      </w:r>
      <w:r>
        <w:t>de</w:t>
      </w:r>
      <w:r>
        <w:rPr>
          <w:spacing w:val="-4"/>
        </w:rPr>
        <w:t xml:space="preserve"> </w:t>
      </w:r>
      <w:r>
        <w:t>los</w:t>
      </w:r>
      <w:r>
        <w:rPr>
          <w:spacing w:val="-5"/>
        </w:rPr>
        <w:t xml:space="preserve"> </w:t>
      </w:r>
      <w:r>
        <w:t>principales</w:t>
      </w:r>
      <w:r>
        <w:rPr>
          <w:spacing w:val="-5"/>
        </w:rPr>
        <w:t xml:space="preserve"> </w:t>
      </w:r>
      <w:r>
        <w:t>líderes</w:t>
      </w:r>
      <w:r>
        <w:rPr>
          <w:spacing w:val="-4"/>
        </w:rPr>
        <w:t xml:space="preserve"> </w:t>
      </w:r>
      <w:r>
        <w:t>de</w:t>
      </w:r>
      <w:r>
        <w:rPr>
          <w:spacing w:val="-6"/>
        </w:rPr>
        <w:t xml:space="preserve"> </w:t>
      </w:r>
      <w:r>
        <w:t>las</w:t>
      </w:r>
      <w:r>
        <w:rPr>
          <w:spacing w:val="-6"/>
        </w:rPr>
        <w:t xml:space="preserve"> </w:t>
      </w:r>
      <w:r>
        <w:t>Autodefensas</w:t>
      </w:r>
      <w:r>
        <w:rPr>
          <w:spacing w:val="-4"/>
        </w:rPr>
        <w:t xml:space="preserve"> </w:t>
      </w:r>
      <w:r>
        <w:t>Unidas</w:t>
      </w:r>
      <w:r>
        <w:rPr>
          <w:spacing w:val="-4"/>
        </w:rPr>
        <w:t xml:space="preserve"> </w:t>
      </w:r>
      <w:r>
        <w:t>de</w:t>
      </w:r>
      <w:r>
        <w:rPr>
          <w:spacing w:val="-6"/>
        </w:rPr>
        <w:t xml:space="preserve"> </w:t>
      </w:r>
      <w:r>
        <w:t>Colombia.</w:t>
      </w:r>
      <w:r>
        <w:rPr>
          <w:spacing w:val="-6"/>
        </w:rPr>
        <w:t xml:space="preserve"> </w:t>
      </w:r>
      <w:r>
        <w:t>Incluso mantuvieron</w:t>
      </w:r>
      <w:r>
        <w:rPr>
          <w:spacing w:val="-3"/>
        </w:rPr>
        <w:t xml:space="preserve"> </w:t>
      </w:r>
      <w:r>
        <w:t>su</w:t>
      </w:r>
      <w:r>
        <w:rPr>
          <w:spacing w:val="-2"/>
        </w:rPr>
        <w:t xml:space="preserve"> </w:t>
      </w:r>
      <w:r>
        <w:t>control</w:t>
      </w:r>
      <w:r>
        <w:rPr>
          <w:spacing w:val="-2"/>
        </w:rPr>
        <w:t xml:space="preserve"> </w:t>
      </w:r>
      <w:r>
        <w:t>y</w:t>
      </w:r>
      <w:r>
        <w:rPr>
          <w:spacing w:val="-3"/>
        </w:rPr>
        <w:t xml:space="preserve"> </w:t>
      </w:r>
      <w:r>
        <w:t>capacidad</w:t>
      </w:r>
      <w:r>
        <w:rPr>
          <w:spacing w:val="-2"/>
        </w:rPr>
        <w:t xml:space="preserve"> </w:t>
      </w:r>
      <w:r>
        <w:t>para</w:t>
      </w:r>
      <w:r>
        <w:rPr>
          <w:spacing w:val="-2"/>
        </w:rPr>
        <w:t xml:space="preserve"> </w:t>
      </w:r>
      <w:r>
        <w:t>reincidir</w:t>
      </w:r>
      <w:r>
        <w:rPr>
          <w:spacing w:val="-4"/>
        </w:rPr>
        <w:t xml:space="preserve"> </w:t>
      </w:r>
      <w:r>
        <w:t>en</w:t>
      </w:r>
      <w:r>
        <w:rPr>
          <w:spacing w:val="-2"/>
        </w:rPr>
        <w:t xml:space="preserve"> </w:t>
      </w:r>
      <w:r>
        <w:t>acciones</w:t>
      </w:r>
      <w:r>
        <w:rPr>
          <w:spacing w:val="-3"/>
        </w:rPr>
        <w:t xml:space="preserve"> </w:t>
      </w:r>
      <w:r>
        <w:t>de</w:t>
      </w:r>
      <w:r>
        <w:rPr>
          <w:spacing w:val="-2"/>
        </w:rPr>
        <w:t xml:space="preserve"> </w:t>
      </w:r>
      <w:r>
        <w:t>terror</w:t>
      </w:r>
      <w:r>
        <w:rPr>
          <w:spacing w:val="-2"/>
        </w:rPr>
        <w:t xml:space="preserve"> </w:t>
      </w:r>
      <w:r>
        <w:t>en</w:t>
      </w:r>
      <w:r>
        <w:rPr>
          <w:spacing w:val="-3"/>
        </w:rPr>
        <w:t xml:space="preserve"> </w:t>
      </w:r>
      <w:r>
        <w:t>varios</w:t>
      </w:r>
      <w:r>
        <w:rPr>
          <w:spacing w:val="-3"/>
        </w:rPr>
        <w:t xml:space="preserve"> </w:t>
      </w:r>
      <w:r>
        <w:t>territorios. En la práctica, varios de los jefes intermedios del paramilitarismo que quedaron libres después de su desmovilización, y otros que ni siquiera alcanzaron a ser registrados en los listados de Justicia y Paz, protagonizaron el reciclaje de la violencia en zonas en las que ya habían</w:t>
      </w:r>
      <w:r>
        <w:rPr>
          <w:spacing w:val="-3"/>
        </w:rPr>
        <w:t xml:space="preserve"> </w:t>
      </w:r>
      <w:r>
        <w:t>causado</w:t>
      </w:r>
      <w:r>
        <w:rPr>
          <w:spacing w:val="-2"/>
        </w:rPr>
        <w:t xml:space="preserve"> </w:t>
      </w:r>
      <w:r>
        <w:t>estragos.</w:t>
      </w:r>
      <w:r>
        <w:rPr>
          <w:spacing w:val="-2"/>
        </w:rPr>
        <w:t xml:space="preserve"> </w:t>
      </w:r>
      <w:r>
        <w:t>En</w:t>
      </w:r>
      <w:r>
        <w:rPr>
          <w:spacing w:val="-2"/>
        </w:rPr>
        <w:t xml:space="preserve"> </w:t>
      </w:r>
      <w:r>
        <w:t>pocas</w:t>
      </w:r>
      <w:r>
        <w:rPr>
          <w:spacing w:val="-3"/>
        </w:rPr>
        <w:t xml:space="preserve"> </w:t>
      </w:r>
      <w:r>
        <w:t>palabras,</w:t>
      </w:r>
      <w:r>
        <w:rPr>
          <w:spacing w:val="-3"/>
        </w:rPr>
        <w:t xml:space="preserve"> </w:t>
      </w:r>
      <w:r>
        <w:t>la</w:t>
      </w:r>
      <w:r>
        <w:rPr>
          <w:spacing w:val="-3"/>
        </w:rPr>
        <w:t xml:space="preserve"> </w:t>
      </w:r>
      <w:r>
        <w:t>experiencia</w:t>
      </w:r>
      <w:r>
        <w:rPr>
          <w:spacing w:val="-3"/>
        </w:rPr>
        <w:t xml:space="preserve"> </w:t>
      </w:r>
      <w:r>
        <w:t>transicional</w:t>
      </w:r>
      <w:r>
        <w:rPr>
          <w:spacing w:val="-3"/>
        </w:rPr>
        <w:t xml:space="preserve"> </w:t>
      </w:r>
      <w:r>
        <w:t>de</w:t>
      </w:r>
      <w:r>
        <w:rPr>
          <w:spacing w:val="-2"/>
        </w:rPr>
        <w:t xml:space="preserve"> </w:t>
      </w:r>
      <w:r>
        <w:t>la</w:t>
      </w:r>
      <w:r>
        <w:rPr>
          <w:spacing w:val="-3"/>
        </w:rPr>
        <w:t xml:space="preserve"> </w:t>
      </w:r>
      <w:r>
        <w:t>Ley</w:t>
      </w:r>
      <w:r>
        <w:rPr>
          <w:spacing w:val="-2"/>
        </w:rPr>
        <w:t xml:space="preserve"> </w:t>
      </w:r>
      <w:r>
        <w:t>de</w:t>
      </w:r>
      <w:r>
        <w:rPr>
          <w:spacing w:val="-2"/>
        </w:rPr>
        <w:t xml:space="preserve"> </w:t>
      </w:r>
      <w:r>
        <w:t>Justicia y</w:t>
      </w:r>
      <w:r>
        <w:rPr>
          <w:spacing w:val="-9"/>
        </w:rPr>
        <w:t xml:space="preserve"> </w:t>
      </w:r>
      <w:r>
        <w:t>Paz,</w:t>
      </w:r>
      <w:r>
        <w:rPr>
          <w:spacing w:val="-9"/>
        </w:rPr>
        <w:t xml:space="preserve"> </w:t>
      </w:r>
      <w:r>
        <w:t>en</w:t>
      </w:r>
      <w:r>
        <w:rPr>
          <w:spacing w:val="-9"/>
        </w:rPr>
        <w:t xml:space="preserve"> </w:t>
      </w:r>
      <w:r>
        <w:t>el</w:t>
      </w:r>
      <w:r>
        <w:rPr>
          <w:spacing w:val="-10"/>
        </w:rPr>
        <w:t xml:space="preserve"> </w:t>
      </w:r>
      <w:r>
        <w:t>marco</w:t>
      </w:r>
      <w:r>
        <w:rPr>
          <w:spacing w:val="-9"/>
        </w:rPr>
        <w:t xml:space="preserve"> </w:t>
      </w:r>
      <w:r>
        <w:t>de</w:t>
      </w:r>
      <w:r>
        <w:rPr>
          <w:spacing w:val="-9"/>
        </w:rPr>
        <w:t xml:space="preserve"> </w:t>
      </w:r>
      <w:r>
        <w:t>una</w:t>
      </w:r>
      <w:r>
        <w:rPr>
          <w:spacing w:val="-9"/>
        </w:rPr>
        <w:t xml:space="preserve"> </w:t>
      </w:r>
      <w:r>
        <w:t>rendición</w:t>
      </w:r>
      <w:r>
        <w:rPr>
          <w:spacing w:val="-11"/>
        </w:rPr>
        <w:t xml:space="preserve"> </w:t>
      </w:r>
      <w:r>
        <w:t>de</w:t>
      </w:r>
      <w:r>
        <w:rPr>
          <w:spacing w:val="-9"/>
        </w:rPr>
        <w:t xml:space="preserve"> </w:t>
      </w:r>
      <w:r>
        <w:t>cuentas</w:t>
      </w:r>
      <w:r>
        <w:rPr>
          <w:spacing w:val="-9"/>
        </w:rPr>
        <w:t xml:space="preserve"> </w:t>
      </w:r>
      <w:r>
        <w:t>y</w:t>
      </w:r>
      <w:r>
        <w:rPr>
          <w:spacing w:val="-11"/>
        </w:rPr>
        <w:t xml:space="preserve"> </w:t>
      </w:r>
      <w:r>
        <w:t>como</w:t>
      </w:r>
      <w:r>
        <w:rPr>
          <w:spacing w:val="-9"/>
        </w:rPr>
        <w:t xml:space="preserve"> </w:t>
      </w:r>
      <w:r>
        <w:t>estrategia</w:t>
      </w:r>
      <w:r>
        <w:rPr>
          <w:spacing w:val="-9"/>
        </w:rPr>
        <w:t xml:space="preserve"> </w:t>
      </w:r>
      <w:r>
        <w:t>de</w:t>
      </w:r>
      <w:r>
        <w:rPr>
          <w:spacing w:val="-9"/>
        </w:rPr>
        <w:t xml:space="preserve"> </w:t>
      </w:r>
      <w:r>
        <w:t>negociación</w:t>
      </w:r>
      <w:r>
        <w:rPr>
          <w:spacing w:val="-9"/>
        </w:rPr>
        <w:t xml:space="preserve"> </w:t>
      </w:r>
      <w:r>
        <w:t>política</w:t>
      </w:r>
      <w:r>
        <w:rPr>
          <w:spacing w:val="-9"/>
        </w:rPr>
        <w:t xml:space="preserve"> </w:t>
      </w:r>
      <w:r>
        <w:t>con el</w:t>
      </w:r>
      <w:r>
        <w:rPr>
          <w:spacing w:val="-14"/>
        </w:rPr>
        <w:t xml:space="preserve"> </w:t>
      </w:r>
      <w:r>
        <w:t>paramilitarismo,</w:t>
      </w:r>
      <w:r>
        <w:rPr>
          <w:spacing w:val="-15"/>
        </w:rPr>
        <w:t xml:space="preserve"> </w:t>
      </w:r>
      <w:r>
        <w:t>hizo</w:t>
      </w:r>
      <w:r>
        <w:rPr>
          <w:spacing w:val="-15"/>
        </w:rPr>
        <w:t xml:space="preserve"> </w:t>
      </w:r>
      <w:r>
        <w:t>que</w:t>
      </w:r>
      <w:r>
        <w:rPr>
          <w:spacing w:val="-14"/>
        </w:rPr>
        <w:t xml:space="preserve"> </w:t>
      </w:r>
      <w:r>
        <w:t>surgieran</w:t>
      </w:r>
      <w:r>
        <w:rPr>
          <w:spacing w:val="-14"/>
        </w:rPr>
        <w:t xml:space="preserve"> </w:t>
      </w:r>
      <w:r>
        <w:t>verdades</w:t>
      </w:r>
      <w:r>
        <w:rPr>
          <w:spacing w:val="-14"/>
        </w:rPr>
        <w:t xml:space="preserve"> </w:t>
      </w:r>
      <w:r>
        <w:t>importantes</w:t>
      </w:r>
      <w:r>
        <w:rPr>
          <w:spacing w:val="-15"/>
        </w:rPr>
        <w:t xml:space="preserve"> </w:t>
      </w:r>
      <w:r>
        <w:t>que</w:t>
      </w:r>
      <w:r>
        <w:rPr>
          <w:spacing w:val="-14"/>
        </w:rPr>
        <w:t xml:space="preserve"> </w:t>
      </w:r>
      <w:r>
        <w:t>posteriormente,</w:t>
      </w:r>
      <w:r>
        <w:rPr>
          <w:spacing w:val="-14"/>
        </w:rPr>
        <w:t xml:space="preserve"> </w:t>
      </w:r>
      <w:r>
        <w:t>no</w:t>
      </w:r>
      <w:r>
        <w:rPr>
          <w:spacing w:val="-14"/>
        </w:rPr>
        <w:t xml:space="preserve"> </w:t>
      </w:r>
      <w:r>
        <w:t>obstante, fueron limitadas en su impacto y no fueron continuadas, lo que limitó su impacto ante las expectativas contra la impunidad.</w:t>
      </w:r>
    </w:p>
    <w:p w:rsidR="003804AC" w:rsidRDefault="00AF18A5" w:rsidP="00321C34">
      <w:r>
        <w:lastRenderedPageBreak/>
        <w:t>En</w:t>
      </w:r>
      <w:r>
        <w:rPr>
          <w:spacing w:val="-12"/>
        </w:rPr>
        <w:t xml:space="preserve"> </w:t>
      </w:r>
      <w:r>
        <w:t>medio</w:t>
      </w:r>
      <w:r>
        <w:rPr>
          <w:spacing w:val="-12"/>
        </w:rPr>
        <w:t xml:space="preserve"> </w:t>
      </w:r>
      <w:r>
        <w:t>de</w:t>
      </w:r>
      <w:r>
        <w:rPr>
          <w:spacing w:val="-13"/>
        </w:rPr>
        <w:t xml:space="preserve"> </w:t>
      </w:r>
      <w:r>
        <w:t>las</w:t>
      </w:r>
      <w:r>
        <w:rPr>
          <w:spacing w:val="-12"/>
        </w:rPr>
        <w:t xml:space="preserve"> </w:t>
      </w:r>
      <w:r>
        <w:t>declaraciones</w:t>
      </w:r>
      <w:r>
        <w:rPr>
          <w:spacing w:val="-12"/>
        </w:rPr>
        <w:t xml:space="preserve"> </w:t>
      </w:r>
      <w:r>
        <w:t>y</w:t>
      </w:r>
      <w:r>
        <w:rPr>
          <w:spacing w:val="-12"/>
        </w:rPr>
        <w:t xml:space="preserve"> </w:t>
      </w:r>
      <w:r>
        <w:t>testimonios</w:t>
      </w:r>
      <w:r>
        <w:rPr>
          <w:spacing w:val="-12"/>
        </w:rPr>
        <w:t xml:space="preserve"> </w:t>
      </w:r>
      <w:r>
        <w:t>en</w:t>
      </w:r>
      <w:r>
        <w:rPr>
          <w:spacing w:val="-12"/>
        </w:rPr>
        <w:t xml:space="preserve"> </w:t>
      </w:r>
      <w:r>
        <w:t>Justicia</w:t>
      </w:r>
      <w:r>
        <w:rPr>
          <w:spacing w:val="-12"/>
        </w:rPr>
        <w:t xml:space="preserve"> </w:t>
      </w:r>
      <w:r>
        <w:t>y</w:t>
      </w:r>
      <w:r>
        <w:rPr>
          <w:spacing w:val="-12"/>
        </w:rPr>
        <w:t xml:space="preserve"> </w:t>
      </w:r>
      <w:r>
        <w:t>Paz,</w:t>
      </w:r>
      <w:r>
        <w:rPr>
          <w:spacing w:val="-12"/>
        </w:rPr>
        <w:t xml:space="preserve"> </w:t>
      </w:r>
      <w:r>
        <w:t>se</w:t>
      </w:r>
      <w:r>
        <w:rPr>
          <w:spacing w:val="-12"/>
        </w:rPr>
        <w:t xml:space="preserve"> </w:t>
      </w:r>
      <w:r>
        <w:t>ordenó</w:t>
      </w:r>
      <w:r>
        <w:rPr>
          <w:spacing w:val="-12"/>
        </w:rPr>
        <w:t xml:space="preserve"> </w:t>
      </w:r>
      <w:r>
        <w:t>compulsar</w:t>
      </w:r>
      <w:r>
        <w:rPr>
          <w:spacing w:val="-12"/>
        </w:rPr>
        <w:t xml:space="preserve"> </w:t>
      </w:r>
      <w:r>
        <w:t>copias para abrir investigaciones contra terceros civiles, agentes del Estado no combatientes y presuntos financiadores del paramilitarismo. En 2020, en un corte de cuentas de la propia Fiscalía,</w:t>
      </w:r>
      <w:r>
        <w:rPr>
          <w:spacing w:val="-5"/>
        </w:rPr>
        <w:t xml:space="preserve"> </w:t>
      </w:r>
      <w:r>
        <w:t>este</w:t>
      </w:r>
      <w:r>
        <w:rPr>
          <w:spacing w:val="-4"/>
        </w:rPr>
        <w:t xml:space="preserve"> </w:t>
      </w:r>
      <w:r>
        <w:t>organismo</w:t>
      </w:r>
      <w:r>
        <w:rPr>
          <w:spacing w:val="-6"/>
        </w:rPr>
        <w:t xml:space="preserve"> </w:t>
      </w:r>
      <w:r>
        <w:t>mencionó</w:t>
      </w:r>
      <w:r>
        <w:rPr>
          <w:spacing w:val="-5"/>
        </w:rPr>
        <w:t xml:space="preserve"> </w:t>
      </w:r>
      <w:r>
        <w:t>la</w:t>
      </w:r>
      <w:r>
        <w:rPr>
          <w:spacing w:val="-4"/>
        </w:rPr>
        <w:t xml:space="preserve"> </w:t>
      </w:r>
      <w:r>
        <w:t>existencia</w:t>
      </w:r>
      <w:r>
        <w:rPr>
          <w:spacing w:val="-6"/>
        </w:rPr>
        <w:t xml:space="preserve"> </w:t>
      </w:r>
      <w:r>
        <w:t>de</w:t>
      </w:r>
      <w:r>
        <w:rPr>
          <w:spacing w:val="-4"/>
        </w:rPr>
        <w:t xml:space="preserve"> </w:t>
      </w:r>
      <w:r>
        <w:t>16.772</w:t>
      </w:r>
      <w:r>
        <w:rPr>
          <w:spacing w:val="-5"/>
        </w:rPr>
        <w:t xml:space="preserve"> </w:t>
      </w:r>
      <w:r>
        <w:t>casos</w:t>
      </w:r>
      <w:r>
        <w:rPr>
          <w:spacing w:val="-4"/>
        </w:rPr>
        <w:t xml:space="preserve"> </w:t>
      </w:r>
      <w:r>
        <w:t>de</w:t>
      </w:r>
      <w:r>
        <w:rPr>
          <w:spacing w:val="-4"/>
        </w:rPr>
        <w:t xml:space="preserve"> </w:t>
      </w:r>
      <w:r>
        <w:t>compulsa</w:t>
      </w:r>
      <w:r>
        <w:rPr>
          <w:spacing w:val="-4"/>
        </w:rPr>
        <w:t xml:space="preserve"> </w:t>
      </w:r>
      <w:r>
        <w:t>de</w:t>
      </w:r>
      <w:r>
        <w:rPr>
          <w:spacing w:val="-6"/>
        </w:rPr>
        <w:t xml:space="preserve"> </w:t>
      </w:r>
      <w:r>
        <w:t>copias,</w:t>
      </w:r>
      <w:r>
        <w:rPr>
          <w:spacing w:val="-5"/>
        </w:rPr>
        <w:t xml:space="preserve"> </w:t>
      </w:r>
      <w:r>
        <w:t>o</w:t>
      </w:r>
      <w:r>
        <w:rPr>
          <w:spacing w:val="-5"/>
        </w:rPr>
        <w:t xml:space="preserve"> </w:t>
      </w:r>
      <w:r>
        <w:t>la orden de la justicia para abrir investigaciones. En esa lista, como terceros civiles, quedaron muchos nombres de empresarios, comerciantes, profesionales, ganaderos o propietarios de tierras que presuntamente auspiciaron el conflicto armado. Así mismo, se mencionaron los agentes</w:t>
      </w:r>
      <w:r>
        <w:rPr>
          <w:spacing w:val="16"/>
        </w:rPr>
        <w:t xml:space="preserve"> </w:t>
      </w:r>
      <w:r>
        <w:t>del</w:t>
      </w:r>
      <w:r>
        <w:rPr>
          <w:spacing w:val="18"/>
        </w:rPr>
        <w:t xml:space="preserve"> </w:t>
      </w:r>
      <w:r>
        <w:t>Estado</w:t>
      </w:r>
      <w:r>
        <w:rPr>
          <w:spacing w:val="19"/>
        </w:rPr>
        <w:t xml:space="preserve"> </w:t>
      </w:r>
      <w:r>
        <w:t>no</w:t>
      </w:r>
      <w:r>
        <w:rPr>
          <w:spacing w:val="18"/>
        </w:rPr>
        <w:t xml:space="preserve"> </w:t>
      </w:r>
      <w:r>
        <w:t>combatientes,</w:t>
      </w:r>
      <w:r>
        <w:rPr>
          <w:spacing w:val="19"/>
        </w:rPr>
        <w:t xml:space="preserve"> </w:t>
      </w:r>
      <w:r>
        <w:t>es</w:t>
      </w:r>
      <w:r>
        <w:rPr>
          <w:spacing w:val="18"/>
        </w:rPr>
        <w:t xml:space="preserve"> </w:t>
      </w:r>
      <w:r>
        <w:t>decir,</w:t>
      </w:r>
      <w:r>
        <w:rPr>
          <w:spacing w:val="18"/>
        </w:rPr>
        <w:t xml:space="preserve"> </w:t>
      </w:r>
      <w:r>
        <w:t>alcaldes,</w:t>
      </w:r>
      <w:r>
        <w:rPr>
          <w:spacing w:val="19"/>
        </w:rPr>
        <w:t xml:space="preserve"> </w:t>
      </w:r>
      <w:r>
        <w:t>gobernadores,</w:t>
      </w:r>
      <w:r>
        <w:rPr>
          <w:spacing w:val="18"/>
        </w:rPr>
        <w:t xml:space="preserve"> </w:t>
      </w:r>
      <w:r>
        <w:t>jueces,</w:t>
      </w:r>
      <w:r>
        <w:rPr>
          <w:spacing w:val="18"/>
        </w:rPr>
        <w:t xml:space="preserve"> </w:t>
      </w:r>
      <w:r>
        <w:rPr>
          <w:spacing w:val="-2"/>
        </w:rPr>
        <w:t>magistrados,</w:t>
      </w:r>
      <w:bookmarkStart w:id="1126" w:name="_bookmark996"/>
      <w:bookmarkStart w:id="1127" w:name="_bookmark998"/>
      <w:bookmarkEnd w:id="1126"/>
      <w:bookmarkEnd w:id="1127"/>
      <w:r w:rsidR="00321C34">
        <w:rPr>
          <w:spacing w:val="-2"/>
        </w:rPr>
        <w:t xml:space="preserve"> </w:t>
      </w:r>
      <w:r>
        <w:t>fiscales o congresistas sobre quienes quedaron dudas acerca de su relación con los grupos armados ilegales. En la línea de los financiadores, la compulsa de copias dispuesta por magistrados y fiscales de Justicia y Paz es otro capítulo pendiente. Es necesario buscar verdades</w:t>
      </w:r>
      <w:r>
        <w:rPr>
          <w:spacing w:val="-11"/>
        </w:rPr>
        <w:t xml:space="preserve"> </w:t>
      </w:r>
      <w:r>
        <w:t>que</w:t>
      </w:r>
      <w:r>
        <w:rPr>
          <w:spacing w:val="-10"/>
        </w:rPr>
        <w:t xml:space="preserve"> </w:t>
      </w:r>
      <w:r>
        <w:t>permitan</w:t>
      </w:r>
      <w:r>
        <w:rPr>
          <w:spacing w:val="-10"/>
        </w:rPr>
        <w:t xml:space="preserve"> </w:t>
      </w:r>
      <w:r>
        <w:t>establecer</w:t>
      </w:r>
      <w:r>
        <w:rPr>
          <w:spacing w:val="-11"/>
        </w:rPr>
        <w:t xml:space="preserve"> </w:t>
      </w:r>
      <w:r>
        <w:t>responsabilidades</w:t>
      </w:r>
      <w:r>
        <w:rPr>
          <w:spacing w:val="-10"/>
        </w:rPr>
        <w:t xml:space="preserve"> </w:t>
      </w:r>
      <w:r>
        <w:t>no</w:t>
      </w:r>
      <w:r>
        <w:rPr>
          <w:spacing w:val="-10"/>
        </w:rPr>
        <w:t xml:space="preserve"> </w:t>
      </w:r>
      <w:r>
        <w:t>directamente</w:t>
      </w:r>
      <w:r>
        <w:rPr>
          <w:spacing w:val="-11"/>
        </w:rPr>
        <w:t xml:space="preserve"> </w:t>
      </w:r>
      <w:r>
        <w:t>militares</w:t>
      </w:r>
      <w:r>
        <w:rPr>
          <w:spacing w:val="-10"/>
        </w:rPr>
        <w:t xml:space="preserve"> </w:t>
      </w:r>
      <w:r>
        <w:t>que</w:t>
      </w:r>
      <w:r>
        <w:rPr>
          <w:spacing w:val="-11"/>
        </w:rPr>
        <w:t xml:space="preserve"> </w:t>
      </w:r>
      <w:r>
        <w:t>incidieron en el agravamiento de los derechos humanos en Colombia.</w:t>
      </w:r>
    </w:p>
    <w:p w:rsidR="0011361F" w:rsidRDefault="00AF18A5" w:rsidP="004A6EF4">
      <w:pPr>
        <w:pStyle w:val="Ttulo3"/>
        <w:numPr>
          <w:ilvl w:val="1"/>
          <w:numId w:val="16"/>
        </w:numPr>
      </w:pPr>
      <w:bookmarkStart w:id="1128" w:name="8.5._La_investigación_de_la_parapolítica"/>
      <w:bookmarkStart w:id="1129" w:name="_Toc112399630"/>
      <w:bookmarkEnd w:id="1128"/>
      <w:r>
        <w:t>La</w:t>
      </w:r>
      <w:r>
        <w:rPr>
          <w:spacing w:val="-4"/>
        </w:rPr>
        <w:t xml:space="preserve"> </w:t>
      </w:r>
      <w:r>
        <w:t>investigación</w:t>
      </w:r>
      <w:r>
        <w:rPr>
          <w:spacing w:val="-2"/>
        </w:rPr>
        <w:t xml:space="preserve"> </w:t>
      </w:r>
      <w:r>
        <w:t>de</w:t>
      </w:r>
      <w:r>
        <w:rPr>
          <w:spacing w:val="-2"/>
        </w:rPr>
        <w:t xml:space="preserve"> </w:t>
      </w:r>
      <w:r>
        <w:t>la</w:t>
      </w:r>
      <w:r>
        <w:rPr>
          <w:spacing w:val="-1"/>
        </w:rPr>
        <w:t xml:space="preserve"> </w:t>
      </w:r>
      <w:r>
        <w:t>parapolítica:</w:t>
      </w:r>
      <w:r>
        <w:rPr>
          <w:spacing w:val="-1"/>
        </w:rPr>
        <w:t xml:space="preserve"> </w:t>
      </w:r>
      <w:r>
        <w:t>avances</w:t>
      </w:r>
      <w:r>
        <w:rPr>
          <w:spacing w:val="-2"/>
        </w:rPr>
        <w:t xml:space="preserve"> </w:t>
      </w:r>
      <w:r>
        <w:t>y</w:t>
      </w:r>
      <w:r>
        <w:rPr>
          <w:spacing w:val="-1"/>
        </w:rPr>
        <w:t xml:space="preserve"> </w:t>
      </w:r>
      <w:r w:rsidRPr="00321C34">
        <w:t>bloqueos</w:t>
      </w:r>
      <w:r>
        <w:rPr>
          <w:spacing w:val="-1"/>
        </w:rPr>
        <w:t xml:space="preserve"> </w:t>
      </w:r>
      <w:r>
        <w:t>sin</w:t>
      </w:r>
      <w:r>
        <w:rPr>
          <w:spacing w:val="-3"/>
        </w:rPr>
        <w:t xml:space="preserve"> </w:t>
      </w:r>
      <w:r>
        <w:t>crisis</w:t>
      </w:r>
      <w:r>
        <w:rPr>
          <w:spacing w:val="-3"/>
        </w:rPr>
        <w:t xml:space="preserve"> </w:t>
      </w:r>
      <w:r>
        <w:t>del</w:t>
      </w:r>
      <w:r>
        <w:rPr>
          <w:spacing w:val="-1"/>
        </w:rPr>
        <w:t xml:space="preserve"> </w:t>
      </w:r>
      <w:r>
        <w:rPr>
          <w:spacing w:val="-2"/>
        </w:rPr>
        <w:t>sistema</w:t>
      </w:r>
      <w:bookmarkEnd w:id="1129"/>
    </w:p>
    <w:p w:rsidR="003804AC" w:rsidRDefault="00AF18A5" w:rsidP="00904DC6">
      <w:r>
        <w:t xml:space="preserve">Sucre fue uno de los puntos de entrada de la investigación de la parapolítica que reveló vínculos estrechos entre paramilitares y políticos. El expediente por la masacre de </w:t>
      </w:r>
      <w:proofErr w:type="spellStart"/>
      <w:r>
        <w:t>Chengue</w:t>
      </w:r>
      <w:proofErr w:type="spellEnd"/>
      <w:r>
        <w:t xml:space="preserve"> y la situación en Sucre encendió las alertas de la justicia en 2005, cuando Vicente Castaño, comandante paramilitar, declaró lo siguiente en la revista </w:t>
      </w:r>
      <w:r>
        <w:rPr>
          <w:i/>
        </w:rPr>
        <w:t>Semana</w:t>
      </w:r>
      <w:r>
        <w:t xml:space="preserve">: «Creo que podemos afirmar que tenemos más del 35 por ciento de amigos en el Congreso. Y para las próximas elecciones vamos a </w:t>
      </w:r>
      <w:r>
        <w:lastRenderedPageBreak/>
        <w:t>aumentar ese porcentaje de amigos»</w:t>
      </w:r>
      <w:r w:rsidR="00904DC6">
        <w:rPr>
          <w:rStyle w:val="Refdenotaalpie"/>
        </w:rPr>
        <w:footnoteReference w:id="914"/>
      </w:r>
      <w:r>
        <w:t>.</w:t>
      </w:r>
    </w:p>
    <w:p w:rsidR="003804AC" w:rsidRDefault="00AF18A5" w:rsidP="00904DC6">
      <w:r>
        <w:t>La</w:t>
      </w:r>
      <w:r>
        <w:rPr>
          <w:spacing w:val="-10"/>
        </w:rPr>
        <w:t xml:space="preserve"> </w:t>
      </w:r>
      <w:r>
        <w:t>afirmación</w:t>
      </w:r>
      <w:r>
        <w:rPr>
          <w:spacing w:val="-11"/>
        </w:rPr>
        <w:t xml:space="preserve"> </w:t>
      </w:r>
      <w:r>
        <w:t>de</w:t>
      </w:r>
      <w:r>
        <w:rPr>
          <w:spacing w:val="-10"/>
        </w:rPr>
        <w:t xml:space="preserve"> </w:t>
      </w:r>
      <w:r>
        <w:t>Castaño,</w:t>
      </w:r>
      <w:r>
        <w:rPr>
          <w:spacing w:val="-11"/>
        </w:rPr>
        <w:t xml:space="preserve"> </w:t>
      </w:r>
      <w:r>
        <w:t>reforzada</w:t>
      </w:r>
      <w:r>
        <w:rPr>
          <w:spacing w:val="-10"/>
        </w:rPr>
        <w:t xml:space="preserve"> </w:t>
      </w:r>
      <w:r>
        <w:t>públicamente</w:t>
      </w:r>
      <w:r>
        <w:rPr>
          <w:spacing w:val="-10"/>
        </w:rPr>
        <w:t xml:space="preserve"> </w:t>
      </w:r>
      <w:r>
        <w:t>por</w:t>
      </w:r>
      <w:r>
        <w:rPr>
          <w:spacing w:val="-10"/>
        </w:rPr>
        <w:t xml:space="preserve"> </w:t>
      </w:r>
      <w:r>
        <w:t>Salvatore</w:t>
      </w:r>
      <w:r>
        <w:rPr>
          <w:spacing w:val="-10"/>
        </w:rPr>
        <w:t xml:space="preserve"> </w:t>
      </w:r>
      <w:r>
        <w:t>Mancuso,</w:t>
      </w:r>
      <w:r>
        <w:rPr>
          <w:spacing w:val="-12"/>
        </w:rPr>
        <w:t xml:space="preserve"> </w:t>
      </w:r>
      <w:r>
        <w:t>dio</w:t>
      </w:r>
      <w:r>
        <w:rPr>
          <w:spacing w:val="-11"/>
        </w:rPr>
        <w:t xml:space="preserve"> </w:t>
      </w:r>
      <w:r>
        <w:t>paso</w:t>
      </w:r>
      <w:r>
        <w:rPr>
          <w:spacing w:val="-11"/>
        </w:rPr>
        <w:t xml:space="preserve"> </w:t>
      </w:r>
      <w:r>
        <w:t>a</w:t>
      </w:r>
      <w:r>
        <w:rPr>
          <w:spacing w:val="-10"/>
        </w:rPr>
        <w:t xml:space="preserve"> </w:t>
      </w:r>
      <w:r>
        <w:t>una denuncia que llevó a que la Corte Suprema iniciara la investigación que creó la Comisión Especial</w:t>
      </w:r>
      <w:r>
        <w:rPr>
          <w:spacing w:val="-5"/>
        </w:rPr>
        <w:t xml:space="preserve"> </w:t>
      </w:r>
      <w:r>
        <w:t>de</w:t>
      </w:r>
      <w:r>
        <w:rPr>
          <w:spacing w:val="-6"/>
        </w:rPr>
        <w:t xml:space="preserve"> </w:t>
      </w:r>
      <w:r>
        <w:t>Apoyo</w:t>
      </w:r>
      <w:r>
        <w:rPr>
          <w:spacing w:val="-6"/>
        </w:rPr>
        <w:t xml:space="preserve"> </w:t>
      </w:r>
      <w:r>
        <w:t>Investigativo</w:t>
      </w:r>
      <w:r>
        <w:rPr>
          <w:spacing w:val="-6"/>
        </w:rPr>
        <w:t xml:space="preserve"> </w:t>
      </w:r>
      <w:r>
        <w:t>de</w:t>
      </w:r>
      <w:r>
        <w:rPr>
          <w:spacing w:val="-7"/>
        </w:rPr>
        <w:t xml:space="preserve"> </w:t>
      </w:r>
      <w:r>
        <w:t>nueve</w:t>
      </w:r>
      <w:r>
        <w:rPr>
          <w:spacing w:val="-6"/>
        </w:rPr>
        <w:t xml:space="preserve"> </w:t>
      </w:r>
      <w:r>
        <w:t>magistrados</w:t>
      </w:r>
      <w:r>
        <w:rPr>
          <w:spacing w:val="-6"/>
        </w:rPr>
        <w:t xml:space="preserve"> </w:t>
      </w:r>
      <w:r>
        <w:t>auxiliares.</w:t>
      </w:r>
      <w:r>
        <w:rPr>
          <w:spacing w:val="-6"/>
        </w:rPr>
        <w:t xml:space="preserve"> </w:t>
      </w:r>
      <w:r>
        <w:t>Esta</w:t>
      </w:r>
      <w:r>
        <w:rPr>
          <w:spacing w:val="-6"/>
        </w:rPr>
        <w:t xml:space="preserve"> </w:t>
      </w:r>
      <w:r>
        <w:t>investigación</w:t>
      </w:r>
      <w:r>
        <w:rPr>
          <w:spacing w:val="-7"/>
        </w:rPr>
        <w:t xml:space="preserve"> </w:t>
      </w:r>
      <w:r>
        <w:t>amplió la visión de estudiar de forma aislada los casos y se concentró en comparar los resultados electorales y la presencia de grupos armados irregulares, lo que hizo emerger las alianzas entre grupos armados paramilitares y los políticos, no solo a nivel local o regional, sino nacional. Sin embargo, la revelación de que más de una tercera parte del Congreso tenía relación</w:t>
      </w:r>
      <w:r>
        <w:rPr>
          <w:spacing w:val="-3"/>
        </w:rPr>
        <w:t xml:space="preserve"> </w:t>
      </w:r>
      <w:r>
        <w:t>con</w:t>
      </w:r>
      <w:r>
        <w:rPr>
          <w:spacing w:val="-5"/>
        </w:rPr>
        <w:t xml:space="preserve"> </w:t>
      </w:r>
      <w:r>
        <w:t>el</w:t>
      </w:r>
      <w:r>
        <w:rPr>
          <w:spacing w:val="-3"/>
        </w:rPr>
        <w:t xml:space="preserve"> </w:t>
      </w:r>
      <w:r>
        <w:t>paramilitarismo</w:t>
      </w:r>
      <w:r>
        <w:rPr>
          <w:spacing w:val="-3"/>
        </w:rPr>
        <w:t xml:space="preserve"> </w:t>
      </w:r>
      <w:r>
        <w:t>no</w:t>
      </w:r>
      <w:r>
        <w:rPr>
          <w:spacing w:val="-3"/>
        </w:rPr>
        <w:t xml:space="preserve"> </w:t>
      </w:r>
      <w:r>
        <w:t>generó</w:t>
      </w:r>
      <w:r>
        <w:rPr>
          <w:spacing w:val="-3"/>
        </w:rPr>
        <w:t xml:space="preserve"> </w:t>
      </w:r>
      <w:r>
        <w:t>una</w:t>
      </w:r>
      <w:r>
        <w:rPr>
          <w:spacing w:val="-3"/>
        </w:rPr>
        <w:t xml:space="preserve"> </w:t>
      </w:r>
      <w:r>
        <w:t>crisis</w:t>
      </w:r>
      <w:r>
        <w:rPr>
          <w:spacing w:val="-3"/>
        </w:rPr>
        <w:t xml:space="preserve"> </w:t>
      </w:r>
      <w:r>
        <w:t>política</w:t>
      </w:r>
      <w:r>
        <w:rPr>
          <w:spacing w:val="-4"/>
        </w:rPr>
        <w:t xml:space="preserve"> </w:t>
      </w:r>
      <w:r>
        <w:t>de</w:t>
      </w:r>
      <w:r>
        <w:rPr>
          <w:spacing w:val="-3"/>
        </w:rPr>
        <w:t xml:space="preserve"> </w:t>
      </w:r>
      <w:r>
        <w:t>la</w:t>
      </w:r>
      <w:r>
        <w:rPr>
          <w:spacing w:val="-3"/>
        </w:rPr>
        <w:t xml:space="preserve"> </w:t>
      </w:r>
      <w:r>
        <w:t>magnitud</w:t>
      </w:r>
      <w:r>
        <w:rPr>
          <w:spacing w:val="-3"/>
        </w:rPr>
        <w:t xml:space="preserve"> </w:t>
      </w:r>
      <w:r>
        <w:t>de</w:t>
      </w:r>
      <w:r>
        <w:rPr>
          <w:spacing w:val="-3"/>
        </w:rPr>
        <w:t xml:space="preserve"> </w:t>
      </w:r>
      <w:r>
        <w:t>los</w:t>
      </w:r>
      <w:r>
        <w:rPr>
          <w:spacing w:val="-3"/>
        </w:rPr>
        <w:t xml:space="preserve"> </w:t>
      </w:r>
      <w:r>
        <w:t xml:space="preserve">hallazgos judiciales, ni suficiente cuestionamiento de la democracia o los partidos que tenían alianzas con el poder ejecutivo. Todo quedó en la voluntad de investigar de la Corte Suprema de </w:t>
      </w:r>
      <w:r>
        <w:rPr>
          <w:spacing w:val="-2"/>
        </w:rPr>
        <w:t>Justicia.</w:t>
      </w:r>
    </w:p>
    <w:p w:rsidR="003804AC" w:rsidRDefault="00AF18A5" w:rsidP="00904DC6">
      <w:r>
        <w:t>Así, se dieron avances por parte de investigadores independientes con capacidad y poder de</w:t>
      </w:r>
      <w:r>
        <w:rPr>
          <w:spacing w:val="-9"/>
        </w:rPr>
        <w:t xml:space="preserve"> </w:t>
      </w:r>
      <w:r>
        <w:t>decisión,</w:t>
      </w:r>
      <w:r>
        <w:rPr>
          <w:spacing w:val="-9"/>
        </w:rPr>
        <w:t xml:space="preserve"> </w:t>
      </w:r>
      <w:r>
        <w:t>trabajo</w:t>
      </w:r>
      <w:r>
        <w:rPr>
          <w:spacing w:val="-9"/>
        </w:rPr>
        <w:t xml:space="preserve"> </w:t>
      </w:r>
      <w:r>
        <w:t>de</w:t>
      </w:r>
      <w:r>
        <w:rPr>
          <w:spacing w:val="-9"/>
        </w:rPr>
        <w:t xml:space="preserve"> </w:t>
      </w:r>
      <w:r>
        <w:t>campo,</w:t>
      </w:r>
      <w:r>
        <w:rPr>
          <w:spacing w:val="-9"/>
        </w:rPr>
        <w:t xml:space="preserve"> </w:t>
      </w:r>
      <w:r>
        <w:t>metodologías</w:t>
      </w:r>
      <w:r>
        <w:rPr>
          <w:spacing w:val="-9"/>
        </w:rPr>
        <w:t xml:space="preserve"> </w:t>
      </w:r>
      <w:r>
        <w:t>de</w:t>
      </w:r>
      <w:r>
        <w:rPr>
          <w:spacing w:val="-9"/>
        </w:rPr>
        <w:t xml:space="preserve"> </w:t>
      </w:r>
      <w:r>
        <w:t>contexto</w:t>
      </w:r>
      <w:r>
        <w:rPr>
          <w:spacing w:val="-9"/>
        </w:rPr>
        <w:t xml:space="preserve"> </w:t>
      </w:r>
      <w:r>
        <w:t>y</w:t>
      </w:r>
      <w:r>
        <w:rPr>
          <w:spacing w:val="-9"/>
        </w:rPr>
        <w:t xml:space="preserve"> </w:t>
      </w:r>
      <w:r>
        <w:t>apoyo</w:t>
      </w:r>
      <w:r>
        <w:rPr>
          <w:spacing w:val="-9"/>
        </w:rPr>
        <w:t xml:space="preserve"> </w:t>
      </w:r>
      <w:r>
        <w:t>de</w:t>
      </w:r>
      <w:r>
        <w:rPr>
          <w:spacing w:val="-9"/>
        </w:rPr>
        <w:t xml:space="preserve"> </w:t>
      </w:r>
      <w:r>
        <w:t>alto</w:t>
      </w:r>
      <w:r>
        <w:rPr>
          <w:spacing w:val="-10"/>
        </w:rPr>
        <w:t xml:space="preserve"> </w:t>
      </w:r>
      <w:r>
        <w:t>nivel.</w:t>
      </w:r>
      <w:r>
        <w:rPr>
          <w:spacing w:val="-9"/>
        </w:rPr>
        <w:t xml:space="preserve"> </w:t>
      </w:r>
      <w:r>
        <w:t>Sin</w:t>
      </w:r>
      <w:r>
        <w:rPr>
          <w:spacing w:val="-9"/>
        </w:rPr>
        <w:t xml:space="preserve"> </w:t>
      </w:r>
      <w:r>
        <w:t>embargo, al</w:t>
      </w:r>
      <w:r>
        <w:rPr>
          <w:spacing w:val="-12"/>
        </w:rPr>
        <w:t xml:space="preserve"> </w:t>
      </w:r>
      <w:r>
        <w:t>menos</w:t>
      </w:r>
      <w:r>
        <w:rPr>
          <w:spacing w:val="-12"/>
        </w:rPr>
        <w:t xml:space="preserve"> </w:t>
      </w:r>
      <w:r>
        <w:t>desde</w:t>
      </w:r>
      <w:r>
        <w:rPr>
          <w:spacing w:val="-12"/>
        </w:rPr>
        <w:t xml:space="preserve"> </w:t>
      </w:r>
      <w:r>
        <w:t>2007,</w:t>
      </w:r>
      <w:r>
        <w:rPr>
          <w:spacing w:val="-12"/>
        </w:rPr>
        <w:t xml:space="preserve"> </w:t>
      </w:r>
      <w:r>
        <w:t>el</w:t>
      </w:r>
      <w:r>
        <w:rPr>
          <w:spacing w:val="-12"/>
        </w:rPr>
        <w:t xml:space="preserve"> </w:t>
      </w:r>
      <w:r>
        <w:t>Departamento</w:t>
      </w:r>
      <w:r>
        <w:rPr>
          <w:spacing w:val="-12"/>
        </w:rPr>
        <w:t xml:space="preserve"> </w:t>
      </w:r>
      <w:r>
        <w:t>Administrativo</w:t>
      </w:r>
      <w:r>
        <w:rPr>
          <w:spacing w:val="-13"/>
        </w:rPr>
        <w:t xml:space="preserve"> </w:t>
      </w:r>
      <w:r>
        <w:t>de</w:t>
      </w:r>
      <w:r>
        <w:rPr>
          <w:spacing w:val="-12"/>
        </w:rPr>
        <w:t xml:space="preserve"> </w:t>
      </w:r>
      <w:r>
        <w:t>Seguridad</w:t>
      </w:r>
      <w:r>
        <w:rPr>
          <w:spacing w:val="-12"/>
        </w:rPr>
        <w:t xml:space="preserve"> </w:t>
      </w:r>
      <w:r>
        <w:t>(DAS)</w:t>
      </w:r>
      <w:r>
        <w:rPr>
          <w:spacing w:val="-12"/>
        </w:rPr>
        <w:t xml:space="preserve"> </w:t>
      </w:r>
      <w:r>
        <w:t>infiltró</w:t>
      </w:r>
      <w:r>
        <w:rPr>
          <w:spacing w:val="-12"/>
        </w:rPr>
        <w:t xml:space="preserve"> </w:t>
      </w:r>
      <w:r>
        <w:t>a</w:t>
      </w:r>
      <w:r>
        <w:rPr>
          <w:spacing w:val="-12"/>
        </w:rPr>
        <w:t xml:space="preserve"> </w:t>
      </w:r>
      <w:r>
        <w:t>la</w:t>
      </w:r>
      <w:r>
        <w:rPr>
          <w:spacing w:val="-12"/>
        </w:rPr>
        <w:t xml:space="preserve"> </w:t>
      </w:r>
      <w:r>
        <w:rPr>
          <w:spacing w:val="-2"/>
        </w:rPr>
        <w:t>Corte</w:t>
      </w:r>
      <w:bookmarkStart w:id="1130" w:name="_bookmark1001"/>
      <w:bookmarkEnd w:id="1130"/>
      <w:r w:rsidR="00904DC6">
        <w:t xml:space="preserve"> </w:t>
      </w:r>
      <w:r>
        <w:t>Suprema</w:t>
      </w:r>
      <w:r>
        <w:rPr>
          <w:spacing w:val="-7"/>
        </w:rPr>
        <w:t xml:space="preserve"> </w:t>
      </w:r>
      <w:r>
        <w:t>de</w:t>
      </w:r>
      <w:r>
        <w:rPr>
          <w:spacing w:val="-8"/>
        </w:rPr>
        <w:t xml:space="preserve"> </w:t>
      </w:r>
      <w:r>
        <w:t>Justicia,</w:t>
      </w:r>
      <w:r>
        <w:rPr>
          <w:spacing w:val="-7"/>
        </w:rPr>
        <w:t xml:space="preserve"> </w:t>
      </w:r>
      <w:r>
        <w:t>en</w:t>
      </w:r>
      <w:r>
        <w:rPr>
          <w:spacing w:val="-8"/>
        </w:rPr>
        <w:t xml:space="preserve"> </w:t>
      </w:r>
      <w:r>
        <w:t>un</w:t>
      </w:r>
      <w:r>
        <w:rPr>
          <w:spacing w:val="-7"/>
        </w:rPr>
        <w:t xml:space="preserve"> </w:t>
      </w:r>
      <w:r>
        <w:t>contexto</w:t>
      </w:r>
      <w:r>
        <w:rPr>
          <w:spacing w:val="-8"/>
        </w:rPr>
        <w:t xml:space="preserve"> </w:t>
      </w:r>
      <w:r>
        <w:t>en</w:t>
      </w:r>
      <w:r>
        <w:rPr>
          <w:spacing w:val="-7"/>
        </w:rPr>
        <w:t xml:space="preserve"> </w:t>
      </w:r>
      <w:r>
        <w:t>el</w:t>
      </w:r>
      <w:r>
        <w:rPr>
          <w:spacing w:val="-7"/>
        </w:rPr>
        <w:t xml:space="preserve"> </w:t>
      </w:r>
      <w:r>
        <w:t>que,</w:t>
      </w:r>
      <w:r>
        <w:rPr>
          <w:spacing w:val="-7"/>
        </w:rPr>
        <w:t xml:space="preserve"> </w:t>
      </w:r>
      <w:r>
        <w:t>además,</w:t>
      </w:r>
      <w:r>
        <w:rPr>
          <w:spacing w:val="-7"/>
        </w:rPr>
        <w:t xml:space="preserve"> </w:t>
      </w:r>
      <w:r>
        <w:t>desde</w:t>
      </w:r>
      <w:r>
        <w:rPr>
          <w:spacing w:val="-8"/>
        </w:rPr>
        <w:t xml:space="preserve"> </w:t>
      </w:r>
      <w:r>
        <w:t>el</w:t>
      </w:r>
      <w:r>
        <w:rPr>
          <w:spacing w:val="-7"/>
        </w:rPr>
        <w:t xml:space="preserve"> </w:t>
      </w:r>
      <w:r>
        <w:t>poder</w:t>
      </w:r>
      <w:r>
        <w:rPr>
          <w:spacing w:val="-7"/>
        </w:rPr>
        <w:t xml:space="preserve"> </w:t>
      </w:r>
      <w:r>
        <w:t>ejecutivo</w:t>
      </w:r>
      <w:r>
        <w:rPr>
          <w:spacing w:val="-7"/>
        </w:rPr>
        <w:t xml:space="preserve"> </w:t>
      </w:r>
      <w:r>
        <w:t>se</w:t>
      </w:r>
      <w:r>
        <w:rPr>
          <w:spacing w:val="-7"/>
        </w:rPr>
        <w:t xml:space="preserve"> </w:t>
      </w:r>
      <w:r>
        <w:t>cuestionó su labor. Los magistrados de la Corte Suprema, así como los líderes relevantes del movimiento de los derechos humanos, políticos y algunos empresarios, fueron sometidos a vigilancia y control ilegal de sus comunicaciones por parte del DAS. «¿Por qué la persecución de la Corte? ¿Por qué ese interés?», se preguntó recientemente el exmagistrado Velásquez «En marzo</w:t>
      </w:r>
      <w:r>
        <w:rPr>
          <w:spacing w:val="-1"/>
        </w:rPr>
        <w:t xml:space="preserve"> </w:t>
      </w:r>
      <w:r>
        <w:t xml:space="preserve">del 2007, según </w:t>
      </w:r>
      <w:r>
        <w:lastRenderedPageBreak/>
        <w:t>revela</w:t>
      </w:r>
      <w:r>
        <w:rPr>
          <w:spacing w:val="-1"/>
        </w:rPr>
        <w:t xml:space="preserve"> </w:t>
      </w:r>
      <w:r>
        <w:t>la</w:t>
      </w:r>
      <w:r>
        <w:rPr>
          <w:spacing w:val="-1"/>
        </w:rPr>
        <w:t xml:space="preserve"> </w:t>
      </w:r>
      <w:r>
        <w:t>Mata Hari,</w:t>
      </w:r>
      <w:r>
        <w:rPr>
          <w:spacing w:val="-1"/>
        </w:rPr>
        <w:t xml:space="preserve"> </w:t>
      </w:r>
      <w:r>
        <w:t>es que a</w:t>
      </w:r>
      <w:r>
        <w:rPr>
          <w:spacing w:val="-1"/>
        </w:rPr>
        <w:t xml:space="preserve"> </w:t>
      </w:r>
      <w:r>
        <w:t>ella</w:t>
      </w:r>
      <w:r>
        <w:rPr>
          <w:spacing w:val="-1"/>
        </w:rPr>
        <w:t xml:space="preserve"> </w:t>
      </w:r>
      <w:r>
        <w:t>la pasan de sección dentro</w:t>
      </w:r>
      <w:r>
        <w:rPr>
          <w:spacing w:val="-8"/>
        </w:rPr>
        <w:t xml:space="preserve"> </w:t>
      </w:r>
      <w:r>
        <w:t>del</w:t>
      </w:r>
      <w:r>
        <w:rPr>
          <w:spacing w:val="-8"/>
        </w:rPr>
        <w:t xml:space="preserve"> </w:t>
      </w:r>
      <w:r>
        <w:t>DAS,</w:t>
      </w:r>
      <w:r>
        <w:rPr>
          <w:spacing w:val="-8"/>
        </w:rPr>
        <w:t xml:space="preserve"> </w:t>
      </w:r>
      <w:r>
        <w:t>la</w:t>
      </w:r>
      <w:r>
        <w:rPr>
          <w:spacing w:val="-8"/>
        </w:rPr>
        <w:t xml:space="preserve"> </w:t>
      </w:r>
      <w:r>
        <w:t>vinculan</w:t>
      </w:r>
      <w:r>
        <w:rPr>
          <w:spacing w:val="-8"/>
        </w:rPr>
        <w:t xml:space="preserve"> </w:t>
      </w:r>
      <w:r>
        <w:t>con</w:t>
      </w:r>
      <w:r>
        <w:rPr>
          <w:spacing w:val="-10"/>
        </w:rPr>
        <w:t xml:space="preserve"> </w:t>
      </w:r>
      <w:r>
        <w:t>fuentes</w:t>
      </w:r>
      <w:r>
        <w:rPr>
          <w:spacing w:val="-8"/>
        </w:rPr>
        <w:t xml:space="preserve"> </w:t>
      </w:r>
      <w:r>
        <w:t>humanas</w:t>
      </w:r>
      <w:r>
        <w:rPr>
          <w:spacing w:val="-10"/>
        </w:rPr>
        <w:t xml:space="preserve"> </w:t>
      </w:r>
      <w:r>
        <w:t>y</w:t>
      </w:r>
      <w:r>
        <w:rPr>
          <w:spacing w:val="-8"/>
        </w:rPr>
        <w:t xml:space="preserve"> </w:t>
      </w:r>
      <w:r>
        <w:t>le</w:t>
      </w:r>
      <w:r>
        <w:rPr>
          <w:spacing w:val="-8"/>
        </w:rPr>
        <w:t xml:space="preserve"> </w:t>
      </w:r>
      <w:r>
        <w:t>asignan</w:t>
      </w:r>
      <w:r>
        <w:rPr>
          <w:spacing w:val="-10"/>
        </w:rPr>
        <w:t xml:space="preserve"> </w:t>
      </w:r>
      <w:r>
        <w:t>la</w:t>
      </w:r>
      <w:r>
        <w:rPr>
          <w:spacing w:val="-8"/>
        </w:rPr>
        <w:t xml:space="preserve"> </w:t>
      </w:r>
      <w:r>
        <w:t>misión</w:t>
      </w:r>
      <w:r>
        <w:rPr>
          <w:spacing w:val="-10"/>
        </w:rPr>
        <w:t xml:space="preserve"> </w:t>
      </w:r>
      <w:r>
        <w:t>de</w:t>
      </w:r>
      <w:r>
        <w:rPr>
          <w:spacing w:val="-9"/>
        </w:rPr>
        <w:t xml:space="preserve"> </w:t>
      </w:r>
      <w:r>
        <w:t>la</w:t>
      </w:r>
      <w:r>
        <w:rPr>
          <w:spacing w:val="-8"/>
        </w:rPr>
        <w:t xml:space="preserve"> </w:t>
      </w:r>
      <w:r>
        <w:t>Corte</w:t>
      </w:r>
      <w:r>
        <w:rPr>
          <w:spacing w:val="-8"/>
        </w:rPr>
        <w:t xml:space="preserve"> </w:t>
      </w:r>
      <w:r>
        <w:t xml:space="preserve">Suprema de Justicia. Y, desde entonces, empieza a trabajar, a acercarse a personas, a infiltrar a la </w:t>
      </w:r>
      <w:r>
        <w:rPr>
          <w:spacing w:val="-2"/>
        </w:rPr>
        <w:t>Corte»</w:t>
      </w:r>
      <w:r w:rsidR="00904DC6">
        <w:rPr>
          <w:rStyle w:val="Refdenotaalpie"/>
          <w:spacing w:val="-2"/>
        </w:rPr>
        <w:footnoteReference w:id="915"/>
      </w:r>
      <w:r>
        <w:rPr>
          <w:spacing w:val="-2"/>
        </w:rPr>
        <w:t>.</w:t>
      </w:r>
    </w:p>
    <w:p w:rsidR="003804AC" w:rsidRDefault="00AF18A5" w:rsidP="00904DC6">
      <w:r>
        <w:t>Tanto</w:t>
      </w:r>
      <w:r>
        <w:rPr>
          <w:spacing w:val="-13"/>
        </w:rPr>
        <w:t xml:space="preserve"> </w:t>
      </w:r>
      <w:r>
        <w:t>la</w:t>
      </w:r>
      <w:r>
        <w:rPr>
          <w:spacing w:val="-13"/>
        </w:rPr>
        <w:t xml:space="preserve"> </w:t>
      </w:r>
      <w:r>
        <w:t>Corte</w:t>
      </w:r>
      <w:r>
        <w:rPr>
          <w:spacing w:val="-13"/>
        </w:rPr>
        <w:t xml:space="preserve"> </w:t>
      </w:r>
      <w:r>
        <w:t>Suprema</w:t>
      </w:r>
      <w:r>
        <w:rPr>
          <w:spacing w:val="-14"/>
        </w:rPr>
        <w:t xml:space="preserve"> </w:t>
      </w:r>
      <w:r>
        <w:t>de</w:t>
      </w:r>
      <w:r>
        <w:rPr>
          <w:spacing w:val="-13"/>
        </w:rPr>
        <w:t xml:space="preserve"> </w:t>
      </w:r>
      <w:r>
        <w:t>Justicia</w:t>
      </w:r>
      <w:r>
        <w:rPr>
          <w:spacing w:val="-13"/>
        </w:rPr>
        <w:t xml:space="preserve"> </w:t>
      </w:r>
      <w:r>
        <w:t>como</w:t>
      </w:r>
      <w:r>
        <w:rPr>
          <w:spacing w:val="-13"/>
        </w:rPr>
        <w:t xml:space="preserve"> </w:t>
      </w:r>
      <w:r>
        <w:t>el</w:t>
      </w:r>
      <w:r>
        <w:rPr>
          <w:spacing w:val="-13"/>
        </w:rPr>
        <w:t xml:space="preserve"> </w:t>
      </w:r>
      <w:r>
        <w:t>Consejo</w:t>
      </w:r>
      <w:r>
        <w:rPr>
          <w:spacing w:val="-13"/>
        </w:rPr>
        <w:t xml:space="preserve"> </w:t>
      </w:r>
      <w:r>
        <w:t>de</w:t>
      </w:r>
      <w:r>
        <w:rPr>
          <w:spacing w:val="-13"/>
        </w:rPr>
        <w:t xml:space="preserve"> </w:t>
      </w:r>
      <w:r>
        <w:t>Estado</w:t>
      </w:r>
      <w:r>
        <w:rPr>
          <w:spacing w:val="-13"/>
        </w:rPr>
        <w:t xml:space="preserve"> </w:t>
      </w:r>
      <w:r>
        <w:t>se</w:t>
      </w:r>
      <w:r>
        <w:rPr>
          <w:spacing w:val="-13"/>
        </w:rPr>
        <w:t xml:space="preserve"> </w:t>
      </w:r>
      <w:r>
        <w:t>han</w:t>
      </w:r>
      <w:r>
        <w:rPr>
          <w:spacing w:val="-13"/>
        </w:rPr>
        <w:t xml:space="preserve"> </w:t>
      </w:r>
      <w:r>
        <w:t>pronunciado</w:t>
      </w:r>
      <w:r>
        <w:rPr>
          <w:spacing w:val="-13"/>
        </w:rPr>
        <w:t xml:space="preserve"> </w:t>
      </w:r>
      <w:r>
        <w:t>en</w:t>
      </w:r>
      <w:r>
        <w:rPr>
          <w:spacing w:val="-14"/>
        </w:rPr>
        <w:t xml:space="preserve"> </w:t>
      </w:r>
      <w:r>
        <w:t>diez sentencias</w:t>
      </w:r>
      <w:r>
        <w:rPr>
          <w:spacing w:val="-1"/>
        </w:rPr>
        <w:t xml:space="preserve"> </w:t>
      </w:r>
      <w:r>
        <w:t>sobre</w:t>
      </w:r>
      <w:r>
        <w:rPr>
          <w:spacing w:val="-1"/>
        </w:rPr>
        <w:t xml:space="preserve"> </w:t>
      </w:r>
      <w:r>
        <w:t>este</w:t>
      </w:r>
      <w:r>
        <w:rPr>
          <w:spacing w:val="-1"/>
        </w:rPr>
        <w:t xml:space="preserve"> </w:t>
      </w:r>
      <w:r>
        <w:t>particular.</w:t>
      </w:r>
      <w:r>
        <w:rPr>
          <w:spacing w:val="-1"/>
        </w:rPr>
        <w:t xml:space="preserve"> </w:t>
      </w:r>
      <w:r>
        <w:t>Si</w:t>
      </w:r>
      <w:r>
        <w:rPr>
          <w:spacing w:val="-1"/>
        </w:rPr>
        <w:t xml:space="preserve"> </w:t>
      </w:r>
      <w:r>
        <w:t>bien</w:t>
      </w:r>
      <w:r>
        <w:rPr>
          <w:spacing w:val="-1"/>
        </w:rPr>
        <w:t xml:space="preserve"> </w:t>
      </w:r>
      <w:r>
        <w:t>en</w:t>
      </w:r>
      <w:r>
        <w:rPr>
          <w:spacing w:val="-1"/>
        </w:rPr>
        <w:t xml:space="preserve"> </w:t>
      </w:r>
      <w:r>
        <w:t>varias</w:t>
      </w:r>
      <w:r>
        <w:rPr>
          <w:spacing w:val="-2"/>
        </w:rPr>
        <w:t xml:space="preserve"> </w:t>
      </w:r>
      <w:r>
        <w:t>de</w:t>
      </w:r>
      <w:r>
        <w:rPr>
          <w:spacing w:val="-1"/>
        </w:rPr>
        <w:t xml:space="preserve"> </w:t>
      </w:r>
      <w:r>
        <w:t>ellas</w:t>
      </w:r>
      <w:r>
        <w:rPr>
          <w:spacing w:val="-1"/>
        </w:rPr>
        <w:t xml:space="preserve"> </w:t>
      </w:r>
      <w:r>
        <w:t>se</w:t>
      </w:r>
      <w:r>
        <w:rPr>
          <w:spacing w:val="-1"/>
        </w:rPr>
        <w:t xml:space="preserve"> </w:t>
      </w:r>
      <w:r>
        <w:t>refieren</w:t>
      </w:r>
      <w:r>
        <w:rPr>
          <w:spacing w:val="-1"/>
        </w:rPr>
        <w:t xml:space="preserve"> </w:t>
      </w:r>
      <w:r>
        <w:t>a</w:t>
      </w:r>
      <w:r>
        <w:rPr>
          <w:spacing w:val="-1"/>
        </w:rPr>
        <w:t xml:space="preserve"> </w:t>
      </w:r>
      <w:r>
        <w:t>la</w:t>
      </w:r>
      <w:r>
        <w:rPr>
          <w:spacing w:val="-1"/>
        </w:rPr>
        <w:t xml:space="preserve"> </w:t>
      </w:r>
      <w:r>
        <w:t>actuación</w:t>
      </w:r>
      <w:r>
        <w:rPr>
          <w:spacing w:val="-1"/>
        </w:rPr>
        <w:t xml:space="preserve"> </w:t>
      </w:r>
      <w:r>
        <w:t>del</w:t>
      </w:r>
      <w:r>
        <w:rPr>
          <w:spacing w:val="-1"/>
        </w:rPr>
        <w:t xml:space="preserve"> </w:t>
      </w:r>
      <w:r>
        <w:t>DAS desde 1987, entre 2002 y 2009 se dio una concentración significativa de hechos delictivos. Teniendo en cuenta que el DAS hacía parte del Ejecutivo, la mayor cantidad de casos (25 casos con condena de un total de 40) se presentó durante los dos periodos presidenciales de Álvaro Uribe Vélez. Su punto más alto se dio en el año 2004, con cinco sentencias que se pronunciaron sobre hechos ocurridos en dicho año. Los sucesos estudiados durante dicho gobierno se refieren a delitos como concierto para delinquir agravado, violación ilícita de comunicaciones,</w:t>
      </w:r>
      <w:r>
        <w:rPr>
          <w:spacing w:val="-1"/>
        </w:rPr>
        <w:t xml:space="preserve"> </w:t>
      </w:r>
      <w:r>
        <w:t>utilización</w:t>
      </w:r>
      <w:r>
        <w:rPr>
          <w:spacing w:val="-1"/>
        </w:rPr>
        <w:t xml:space="preserve"> </w:t>
      </w:r>
      <w:r>
        <w:t>ilícita</w:t>
      </w:r>
      <w:r>
        <w:rPr>
          <w:spacing w:val="-1"/>
        </w:rPr>
        <w:t xml:space="preserve"> </w:t>
      </w:r>
      <w:r>
        <w:t>de</w:t>
      </w:r>
      <w:r>
        <w:rPr>
          <w:spacing w:val="-2"/>
        </w:rPr>
        <w:t xml:space="preserve"> </w:t>
      </w:r>
      <w:r>
        <w:t>equipos</w:t>
      </w:r>
      <w:r>
        <w:rPr>
          <w:spacing w:val="-1"/>
        </w:rPr>
        <w:t xml:space="preserve"> </w:t>
      </w:r>
      <w:r>
        <w:t>transmisores</w:t>
      </w:r>
      <w:r>
        <w:rPr>
          <w:spacing w:val="-1"/>
        </w:rPr>
        <w:t xml:space="preserve"> </w:t>
      </w:r>
      <w:r>
        <w:t>o</w:t>
      </w:r>
      <w:r>
        <w:rPr>
          <w:spacing w:val="-1"/>
        </w:rPr>
        <w:t xml:space="preserve"> </w:t>
      </w:r>
      <w:r>
        <w:t>receptores,</w:t>
      </w:r>
      <w:r>
        <w:rPr>
          <w:spacing w:val="-1"/>
        </w:rPr>
        <w:t xml:space="preserve"> </w:t>
      </w:r>
      <w:r>
        <w:t>abuso</w:t>
      </w:r>
      <w:r>
        <w:rPr>
          <w:spacing w:val="-1"/>
        </w:rPr>
        <w:t xml:space="preserve"> </w:t>
      </w:r>
      <w:r>
        <w:t>de</w:t>
      </w:r>
      <w:r>
        <w:rPr>
          <w:spacing w:val="-1"/>
        </w:rPr>
        <w:t xml:space="preserve"> </w:t>
      </w:r>
      <w:r>
        <w:t xml:space="preserve">autoridad por acto arbitrario e injusto y homicidio. Varias sentencias se refieren a acciones llevadas a cabo contra los magistrados de la Corte Suprema que justamente investigaban los casos de </w:t>
      </w:r>
      <w:r>
        <w:rPr>
          <w:spacing w:val="-2"/>
        </w:rPr>
        <w:t>parapolítica.</w:t>
      </w:r>
    </w:p>
    <w:p w:rsidR="0011361F" w:rsidRDefault="00AF18A5" w:rsidP="004A6EF4">
      <w:pPr>
        <w:pStyle w:val="Ttulo3"/>
        <w:numPr>
          <w:ilvl w:val="1"/>
          <w:numId w:val="16"/>
        </w:numPr>
      </w:pPr>
      <w:bookmarkStart w:id="1131" w:name="8.6._Ataques_al_poder_judicial:_jueces,_"/>
      <w:bookmarkStart w:id="1132" w:name="_Toc112399631"/>
      <w:bookmarkEnd w:id="1131"/>
      <w:r>
        <w:t>Ataques</w:t>
      </w:r>
      <w:r>
        <w:rPr>
          <w:spacing w:val="-5"/>
        </w:rPr>
        <w:t xml:space="preserve"> </w:t>
      </w:r>
      <w:r>
        <w:t>al</w:t>
      </w:r>
      <w:r>
        <w:rPr>
          <w:spacing w:val="-3"/>
        </w:rPr>
        <w:t xml:space="preserve"> </w:t>
      </w:r>
      <w:r>
        <w:t>poder</w:t>
      </w:r>
      <w:r>
        <w:rPr>
          <w:spacing w:val="-3"/>
        </w:rPr>
        <w:t xml:space="preserve"> </w:t>
      </w:r>
      <w:r w:rsidRPr="00A40E89">
        <w:t>judicial</w:t>
      </w:r>
      <w:r>
        <w:t>:</w:t>
      </w:r>
      <w:r>
        <w:rPr>
          <w:spacing w:val="-4"/>
        </w:rPr>
        <w:t xml:space="preserve"> </w:t>
      </w:r>
      <w:r>
        <w:t>jueces,</w:t>
      </w:r>
      <w:r>
        <w:rPr>
          <w:spacing w:val="-3"/>
        </w:rPr>
        <w:t xml:space="preserve"> </w:t>
      </w:r>
      <w:r>
        <w:t>Fiscalía,</w:t>
      </w:r>
      <w:r>
        <w:rPr>
          <w:spacing w:val="-2"/>
        </w:rPr>
        <w:t xml:space="preserve"> </w:t>
      </w:r>
      <w:r>
        <w:rPr>
          <w:spacing w:val="-5"/>
        </w:rPr>
        <w:t>CTI</w:t>
      </w:r>
      <w:bookmarkEnd w:id="1132"/>
    </w:p>
    <w:p w:rsidR="0011361F" w:rsidRDefault="00AF18A5" w:rsidP="00A40E89">
      <w:r>
        <w:t>Un</w:t>
      </w:r>
      <w:r>
        <w:rPr>
          <w:spacing w:val="-2"/>
        </w:rPr>
        <w:t xml:space="preserve"> </w:t>
      </w:r>
      <w:r>
        <w:t>día</w:t>
      </w:r>
      <w:r>
        <w:rPr>
          <w:spacing w:val="-2"/>
        </w:rPr>
        <w:t xml:space="preserve"> </w:t>
      </w:r>
      <w:r>
        <w:t>salí</w:t>
      </w:r>
      <w:r>
        <w:rPr>
          <w:spacing w:val="-3"/>
        </w:rPr>
        <w:t xml:space="preserve"> </w:t>
      </w:r>
      <w:r>
        <w:t>del</w:t>
      </w:r>
      <w:r>
        <w:rPr>
          <w:spacing w:val="-2"/>
        </w:rPr>
        <w:t xml:space="preserve"> </w:t>
      </w:r>
      <w:r>
        <w:t>Palacio</w:t>
      </w:r>
      <w:r>
        <w:rPr>
          <w:spacing w:val="-2"/>
        </w:rPr>
        <w:t xml:space="preserve"> </w:t>
      </w:r>
      <w:r>
        <w:t>de</w:t>
      </w:r>
      <w:r>
        <w:rPr>
          <w:spacing w:val="-4"/>
        </w:rPr>
        <w:t xml:space="preserve"> </w:t>
      </w:r>
      <w:r>
        <w:t>Justicia</w:t>
      </w:r>
      <w:r>
        <w:rPr>
          <w:spacing w:val="-2"/>
        </w:rPr>
        <w:t xml:space="preserve"> </w:t>
      </w:r>
      <w:r>
        <w:t>a</w:t>
      </w:r>
      <w:r>
        <w:rPr>
          <w:spacing w:val="-2"/>
        </w:rPr>
        <w:t xml:space="preserve"> </w:t>
      </w:r>
      <w:r>
        <w:t>las</w:t>
      </w:r>
      <w:r>
        <w:rPr>
          <w:spacing w:val="-4"/>
        </w:rPr>
        <w:t xml:space="preserve"> </w:t>
      </w:r>
      <w:r>
        <w:t>seis</w:t>
      </w:r>
      <w:r>
        <w:rPr>
          <w:spacing w:val="-3"/>
        </w:rPr>
        <w:t xml:space="preserve"> </w:t>
      </w:r>
      <w:r>
        <w:t>de</w:t>
      </w:r>
      <w:r>
        <w:rPr>
          <w:spacing w:val="-3"/>
        </w:rPr>
        <w:t xml:space="preserve"> </w:t>
      </w:r>
      <w:r>
        <w:t>la</w:t>
      </w:r>
      <w:r>
        <w:rPr>
          <w:spacing w:val="-2"/>
        </w:rPr>
        <w:t xml:space="preserve"> </w:t>
      </w:r>
      <w:r>
        <w:t>tarde</w:t>
      </w:r>
      <w:r>
        <w:rPr>
          <w:spacing w:val="-3"/>
        </w:rPr>
        <w:t xml:space="preserve"> </w:t>
      </w:r>
      <w:r>
        <w:t>[…]a</w:t>
      </w:r>
      <w:r>
        <w:rPr>
          <w:spacing w:val="-2"/>
        </w:rPr>
        <w:t xml:space="preserve"> </w:t>
      </w:r>
      <w:r>
        <w:t>la</w:t>
      </w:r>
      <w:r>
        <w:rPr>
          <w:spacing w:val="-2"/>
        </w:rPr>
        <w:t xml:space="preserve"> </w:t>
      </w:r>
      <w:r>
        <w:t>avenida</w:t>
      </w:r>
      <w:r>
        <w:rPr>
          <w:spacing w:val="-2"/>
        </w:rPr>
        <w:t xml:space="preserve"> </w:t>
      </w:r>
      <w:r>
        <w:t>San</w:t>
      </w:r>
      <w:r>
        <w:rPr>
          <w:spacing w:val="-2"/>
        </w:rPr>
        <w:t xml:space="preserve"> </w:t>
      </w:r>
      <w:r>
        <w:t>Juan</w:t>
      </w:r>
      <w:r>
        <w:rPr>
          <w:spacing w:val="-3"/>
        </w:rPr>
        <w:t xml:space="preserve"> </w:t>
      </w:r>
      <w:r>
        <w:t>para</w:t>
      </w:r>
      <w:r>
        <w:rPr>
          <w:spacing w:val="-2"/>
        </w:rPr>
        <w:t xml:space="preserve"> </w:t>
      </w:r>
      <w:r>
        <w:t>coger</w:t>
      </w:r>
      <w:r>
        <w:rPr>
          <w:spacing w:val="-3"/>
        </w:rPr>
        <w:t xml:space="preserve"> </w:t>
      </w:r>
      <w:r>
        <w:t>un bus</w:t>
      </w:r>
      <w:r>
        <w:rPr>
          <w:spacing w:val="-3"/>
        </w:rPr>
        <w:t xml:space="preserve"> </w:t>
      </w:r>
      <w:r>
        <w:t>para</w:t>
      </w:r>
      <w:r>
        <w:rPr>
          <w:spacing w:val="-2"/>
        </w:rPr>
        <w:t xml:space="preserve"> </w:t>
      </w:r>
      <w:r>
        <w:t>irme</w:t>
      </w:r>
      <w:r>
        <w:rPr>
          <w:spacing w:val="-3"/>
        </w:rPr>
        <w:t xml:space="preserve"> </w:t>
      </w:r>
      <w:r>
        <w:t>para</w:t>
      </w:r>
      <w:r>
        <w:rPr>
          <w:spacing w:val="-2"/>
        </w:rPr>
        <w:t xml:space="preserve"> </w:t>
      </w:r>
      <w:r>
        <w:t>mi</w:t>
      </w:r>
      <w:r>
        <w:rPr>
          <w:spacing w:val="-2"/>
        </w:rPr>
        <w:t xml:space="preserve"> </w:t>
      </w:r>
      <w:r>
        <w:t>casa,</w:t>
      </w:r>
      <w:r>
        <w:rPr>
          <w:spacing w:val="-2"/>
        </w:rPr>
        <w:t xml:space="preserve"> </w:t>
      </w:r>
      <w:r>
        <w:t>[…]cuando</w:t>
      </w:r>
      <w:r>
        <w:rPr>
          <w:spacing w:val="-2"/>
        </w:rPr>
        <w:t xml:space="preserve"> </w:t>
      </w:r>
      <w:r>
        <w:t>[…]</w:t>
      </w:r>
      <w:r>
        <w:rPr>
          <w:spacing w:val="-3"/>
        </w:rPr>
        <w:t xml:space="preserve"> </w:t>
      </w:r>
      <w:r>
        <w:t>paró</w:t>
      </w:r>
      <w:r>
        <w:rPr>
          <w:spacing w:val="-2"/>
        </w:rPr>
        <w:t xml:space="preserve"> </w:t>
      </w:r>
      <w:r>
        <w:t>un</w:t>
      </w:r>
      <w:r>
        <w:rPr>
          <w:spacing w:val="-2"/>
        </w:rPr>
        <w:t xml:space="preserve"> </w:t>
      </w:r>
      <w:r>
        <w:t>carro</w:t>
      </w:r>
      <w:r>
        <w:rPr>
          <w:spacing w:val="-2"/>
        </w:rPr>
        <w:t xml:space="preserve"> </w:t>
      </w:r>
      <w:r>
        <w:t>particular,</w:t>
      </w:r>
      <w:r>
        <w:rPr>
          <w:spacing w:val="-2"/>
        </w:rPr>
        <w:t xml:space="preserve"> </w:t>
      </w:r>
      <w:r>
        <w:t>se</w:t>
      </w:r>
      <w:r>
        <w:rPr>
          <w:spacing w:val="-3"/>
        </w:rPr>
        <w:t xml:space="preserve"> </w:t>
      </w:r>
      <w:r>
        <w:t>bajaron</w:t>
      </w:r>
      <w:r>
        <w:rPr>
          <w:spacing w:val="-2"/>
        </w:rPr>
        <w:t xml:space="preserve"> </w:t>
      </w:r>
      <w:r>
        <w:t>dos</w:t>
      </w:r>
      <w:r>
        <w:rPr>
          <w:spacing w:val="-3"/>
        </w:rPr>
        <w:t xml:space="preserve"> </w:t>
      </w:r>
      <w:r>
        <w:t>tipos</w:t>
      </w:r>
      <w:r>
        <w:rPr>
          <w:spacing w:val="-4"/>
        </w:rPr>
        <w:t xml:space="preserve"> </w:t>
      </w:r>
      <w:r>
        <w:t>y</w:t>
      </w:r>
      <w:r>
        <w:rPr>
          <w:spacing w:val="-3"/>
        </w:rPr>
        <w:t xml:space="preserve"> </w:t>
      </w:r>
      <w:r>
        <w:t xml:space="preserve">me encañonaron. Me subieron a un carro y me dijeron: «Venga que el patrón necesita hablar con usted, nosotros sabemos quién es usted, ya le hemos hecho </w:t>
      </w:r>
      <w:r>
        <w:lastRenderedPageBreak/>
        <w:t>seguimiento, sabemos dónde vive,</w:t>
      </w:r>
      <w:r w:rsidR="00A40E89">
        <w:t xml:space="preserve"> </w:t>
      </w:r>
      <w:r>
        <w:t>cuántos</w:t>
      </w:r>
      <w:r>
        <w:rPr>
          <w:spacing w:val="-7"/>
        </w:rPr>
        <w:t xml:space="preserve"> </w:t>
      </w:r>
      <w:r>
        <w:t>hijos</w:t>
      </w:r>
      <w:r>
        <w:rPr>
          <w:spacing w:val="-8"/>
        </w:rPr>
        <w:t xml:space="preserve"> </w:t>
      </w:r>
      <w:r>
        <w:t>tiene,</w:t>
      </w:r>
      <w:r>
        <w:rPr>
          <w:spacing w:val="-5"/>
        </w:rPr>
        <w:t xml:space="preserve"> </w:t>
      </w:r>
      <w:r>
        <w:t>dónde</w:t>
      </w:r>
      <w:r>
        <w:rPr>
          <w:spacing w:val="-7"/>
        </w:rPr>
        <w:t xml:space="preserve"> </w:t>
      </w:r>
      <w:r>
        <w:t>estudia,</w:t>
      </w:r>
      <w:r>
        <w:rPr>
          <w:spacing w:val="-6"/>
        </w:rPr>
        <w:t xml:space="preserve"> </w:t>
      </w:r>
      <w:r>
        <w:t>a</w:t>
      </w:r>
      <w:r>
        <w:rPr>
          <w:spacing w:val="-6"/>
        </w:rPr>
        <w:t xml:space="preserve"> </w:t>
      </w:r>
      <w:r>
        <w:t>qué</w:t>
      </w:r>
      <w:r>
        <w:rPr>
          <w:spacing w:val="-8"/>
        </w:rPr>
        <w:t xml:space="preserve"> </w:t>
      </w:r>
      <w:r>
        <w:t>hora</w:t>
      </w:r>
      <w:r>
        <w:rPr>
          <w:spacing w:val="-6"/>
        </w:rPr>
        <w:t xml:space="preserve"> </w:t>
      </w:r>
      <w:r>
        <w:t>sale,</w:t>
      </w:r>
      <w:r>
        <w:rPr>
          <w:spacing w:val="-5"/>
        </w:rPr>
        <w:t xml:space="preserve"> </w:t>
      </w:r>
      <w:r>
        <w:rPr>
          <w:spacing w:val="-2"/>
        </w:rPr>
        <w:t>todo»</w:t>
      </w:r>
      <w:r w:rsidR="00A40E89">
        <w:rPr>
          <w:rStyle w:val="Refdenotaalpie"/>
          <w:spacing w:val="-2"/>
        </w:rPr>
        <w:footnoteReference w:id="916"/>
      </w:r>
      <w:r>
        <w:rPr>
          <w:spacing w:val="-2"/>
        </w:rPr>
        <w:t>.</w:t>
      </w:r>
    </w:p>
    <w:p w:rsidR="003804AC" w:rsidRDefault="00AF18A5" w:rsidP="00A40E89">
      <w:bookmarkStart w:id="1133" w:name="_bookmark1000"/>
      <w:bookmarkEnd w:id="1133"/>
      <w:r>
        <w:t>Muchos</w:t>
      </w:r>
      <w:r>
        <w:rPr>
          <w:spacing w:val="-10"/>
        </w:rPr>
        <w:t xml:space="preserve"> </w:t>
      </w:r>
      <w:r>
        <w:t>funcionarios</w:t>
      </w:r>
      <w:r>
        <w:rPr>
          <w:spacing w:val="-10"/>
        </w:rPr>
        <w:t xml:space="preserve"> </w:t>
      </w:r>
      <w:r>
        <w:t>han</w:t>
      </w:r>
      <w:r>
        <w:rPr>
          <w:spacing w:val="-10"/>
        </w:rPr>
        <w:t xml:space="preserve"> </w:t>
      </w:r>
      <w:r>
        <w:t>ofrendado</w:t>
      </w:r>
      <w:r>
        <w:rPr>
          <w:spacing w:val="-11"/>
        </w:rPr>
        <w:t xml:space="preserve"> </w:t>
      </w:r>
      <w:r>
        <w:t>sus</w:t>
      </w:r>
      <w:r>
        <w:rPr>
          <w:spacing w:val="-10"/>
        </w:rPr>
        <w:t xml:space="preserve"> </w:t>
      </w:r>
      <w:r>
        <w:t>vidas</w:t>
      </w:r>
      <w:r>
        <w:rPr>
          <w:spacing w:val="-10"/>
        </w:rPr>
        <w:t xml:space="preserve"> </w:t>
      </w:r>
      <w:r>
        <w:t>y</w:t>
      </w:r>
      <w:r>
        <w:rPr>
          <w:spacing w:val="-10"/>
        </w:rPr>
        <w:t xml:space="preserve"> </w:t>
      </w:r>
      <w:r>
        <w:t>dedicado</w:t>
      </w:r>
      <w:r>
        <w:rPr>
          <w:spacing w:val="-11"/>
        </w:rPr>
        <w:t xml:space="preserve"> </w:t>
      </w:r>
      <w:r>
        <w:t>sus</w:t>
      </w:r>
      <w:r>
        <w:rPr>
          <w:spacing w:val="-11"/>
        </w:rPr>
        <w:t xml:space="preserve"> </w:t>
      </w:r>
      <w:r>
        <w:t>carreras</w:t>
      </w:r>
      <w:r>
        <w:rPr>
          <w:spacing w:val="-11"/>
        </w:rPr>
        <w:t xml:space="preserve"> </w:t>
      </w:r>
      <w:r>
        <w:t>a</w:t>
      </w:r>
      <w:r>
        <w:rPr>
          <w:spacing w:val="-11"/>
        </w:rPr>
        <w:t xml:space="preserve"> </w:t>
      </w:r>
      <w:r>
        <w:t>investigar</w:t>
      </w:r>
      <w:r>
        <w:rPr>
          <w:spacing w:val="-10"/>
        </w:rPr>
        <w:t xml:space="preserve"> </w:t>
      </w:r>
      <w:r>
        <w:t>los</w:t>
      </w:r>
      <w:r>
        <w:rPr>
          <w:spacing w:val="-11"/>
        </w:rPr>
        <w:t xml:space="preserve"> </w:t>
      </w:r>
      <w:r>
        <w:t>hechos para tratar de dar una respuesta a las víctimas y hacer rendir cuentas a los responsables. Sin embargo, en diversos momentos históricos, los avances en la justicia fueron frenados mediante</w:t>
      </w:r>
      <w:r>
        <w:rPr>
          <w:spacing w:val="-9"/>
        </w:rPr>
        <w:t xml:space="preserve"> </w:t>
      </w:r>
      <w:r>
        <w:t>ataques,</w:t>
      </w:r>
      <w:r>
        <w:rPr>
          <w:spacing w:val="-9"/>
        </w:rPr>
        <w:t xml:space="preserve"> </w:t>
      </w:r>
      <w:r>
        <w:t>asesinatos,</w:t>
      </w:r>
      <w:r>
        <w:rPr>
          <w:spacing w:val="-10"/>
        </w:rPr>
        <w:t xml:space="preserve"> </w:t>
      </w:r>
      <w:r>
        <w:t>presiones,</w:t>
      </w:r>
      <w:r>
        <w:rPr>
          <w:spacing w:val="-9"/>
        </w:rPr>
        <w:t xml:space="preserve"> </w:t>
      </w:r>
      <w:r>
        <w:t>cooptación</w:t>
      </w:r>
      <w:r>
        <w:rPr>
          <w:spacing w:val="-10"/>
        </w:rPr>
        <w:t xml:space="preserve"> </w:t>
      </w:r>
      <w:r>
        <w:t>y</w:t>
      </w:r>
      <w:r>
        <w:rPr>
          <w:spacing w:val="-9"/>
        </w:rPr>
        <w:t xml:space="preserve"> </w:t>
      </w:r>
      <w:r>
        <w:t>asedio</w:t>
      </w:r>
      <w:r>
        <w:rPr>
          <w:spacing w:val="-11"/>
        </w:rPr>
        <w:t xml:space="preserve"> </w:t>
      </w:r>
      <w:r>
        <w:t>contra</w:t>
      </w:r>
      <w:r>
        <w:rPr>
          <w:spacing w:val="-10"/>
        </w:rPr>
        <w:t xml:space="preserve"> </w:t>
      </w:r>
      <w:r>
        <w:t>testigos</w:t>
      </w:r>
      <w:r>
        <w:rPr>
          <w:spacing w:val="-9"/>
        </w:rPr>
        <w:t xml:space="preserve"> </w:t>
      </w:r>
      <w:r>
        <w:t>y</w:t>
      </w:r>
      <w:r>
        <w:rPr>
          <w:spacing w:val="-9"/>
        </w:rPr>
        <w:t xml:space="preserve"> </w:t>
      </w:r>
      <w:r>
        <w:t>operadores</w:t>
      </w:r>
      <w:r>
        <w:rPr>
          <w:spacing w:val="-9"/>
        </w:rPr>
        <w:t xml:space="preserve"> </w:t>
      </w:r>
      <w:r>
        <w:t>del sistema de justicia (jueces, abogados, funcionarios judiciales, policía judicial y víctimas).</w:t>
      </w:r>
    </w:p>
    <w:p w:rsidR="003804AC" w:rsidRDefault="00AF18A5" w:rsidP="00A40E89">
      <w:r>
        <w:t>En los años ochenta, el actor más violento fue el narcotráfico. En un contexto en el que los</w:t>
      </w:r>
      <w:r>
        <w:rPr>
          <w:spacing w:val="-6"/>
        </w:rPr>
        <w:t xml:space="preserve"> </w:t>
      </w:r>
      <w:r>
        <w:t>cárteles</w:t>
      </w:r>
      <w:r>
        <w:rPr>
          <w:spacing w:val="-7"/>
        </w:rPr>
        <w:t xml:space="preserve"> </w:t>
      </w:r>
      <w:r>
        <w:t>luchaban</w:t>
      </w:r>
      <w:r>
        <w:rPr>
          <w:spacing w:val="-6"/>
        </w:rPr>
        <w:t xml:space="preserve"> </w:t>
      </w:r>
      <w:r>
        <w:t>entre</w:t>
      </w:r>
      <w:r>
        <w:rPr>
          <w:spacing w:val="-7"/>
        </w:rPr>
        <w:t xml:space="preserve"> </w:t>
      </w:r>
      <w:r>
        <w:t>sí</w:t>
      </w:r>
      <w:r>
        <w:rPr>
          <w:spacing w:val="-6"/>
        </w:rPr>
        <w:t xml:space="preserve"> </w:t>
      </w:r>
      <w:r>
        <w:t>por</w:t>
      </w:r>
      <w:r>
        <w:rPr>
          <w:spacing w:val="-7"/>
        </w:rPr>
        <w:t xml:space="preserve"> </w:t>
      </w:r>
      <w:r>
        <w:t>el</w:t>
      </w:r>
      <w:r>
        <w:rPr>
          <w:spacing w:val="-7"/>
        </w:rPr>
        <w:t xml:space="preserve"> </w:t>
      </w:r>
      <w:r>
        <w:t>mercado</w:t>
      </w:r>
      <w:r>
        <w:rPr>
          <w:spacing w:val="-6"/>
        </w:rPr>
        <w:t xml:space="preserve"> </w:t>
      </w:r>
      <w:r>
        <w:t>y</w:t>
      </w:r>
      <w:r>
        <w:rPr>
          <w:spacing w:val="-7"/>
        </w:rPr>
        <w:t xml:space="preserve"> </w:t>
      </w:r>
      <w:r>
        <w:t>Pablo</w:t>
      </w:r>
      <w:r>
        <w:rPr>
          <w:spacing w:val="-6"/>
        </w:rPr>
        <w:t xml:space="preserve"> </w:t>
      </w:r>
      <w:r>
        <w:t>Escobar</w:t>
      </w:r>
      <w:r>
        <w:rPr>
          <w:spacing w:val="-7"/>
        </w:rPr>
        <w:t xml:space="preserve"> </w:t>
      </w:r>
      <w:r>
        <w:t>y</w:t>
      </w:r>
      <w:r>
        <w:rPr>
          <w:spacing w:val="-6"/>
        </w:rPr>
        <w:t xml:space="preserve"> </w:t>
      </w:r>
      <w:r>
        <w:t>los</w:t>
      </w:r>
      <w:r>
        <w:rPr>
          <w:spacing w:val="-7"/>
        </w:rPr>
        <w:t xml:space="preserve"> </w:t>
      </w:r>
      <w:r>
        <w:t>extraditables</w:t>
      </w:r>
      <w:r>
        <w:rPr>
          <w:spacing w:val="-6"/>
        </w:rPr>
        <w:t xml:space="preserve"> </w:t>
      </w:r>
      <w:r>
        <w:t>desataron</w:t>
      </w:r>
      <w:r>
        <w:rPr>
          <w:spacing w:val="-7"/>
        </w:rPr>
        <w:t xml:space="preserve"> </w:t>
      </w:r>
      <w:r>
        <w:t>la guerra, funcionarios o policías que se atrevieron a investigar al narcotráfico fueron asesinados. También hubo lazos de los grupos criminales con sectores de las Fuerzas Armadas, políticos y empresarios a través de sobornos o so pena de muerte. Convertir a la justicia en objetivo de sus escuadrones de la muerte fue su prioridad para neutralizar las investigaciones</w:t>
      </w:r>
      <w:r>
        <w:rPr>
          <w:spacing w:val="-12"/>
        </w:rPr>
        <w:t xml:space="preserve"> </w:t>
      </w:r>
      <w:r>
        <w:t>contra</w:t>
      </w:r>
      <w:r>
        <w:rPr>
          <w:spacing w:val="-12"/>
        </w:rPr>
        <w:t xml:space="preserve"> </w:t>
      </w:r>
      <w:r>
        <w:t>los</w:t>
      </w:r>
      <w:r>
        <w:rPr>
          <w:spacing w:val="-12"/>
        </w:rPr>
        <w:t xml:space="preserve"> </w:t>
      </w:r>
      <w:r>
        <w:t>capos</w:t>
      </w:r>
      <w:r>
        <w:rPr>
          <w:spacing w:val="-12"/>
        </w:rPr>
        <w:t xml:space="preserve"> </w:t>
      </w:r>
      <w:r>
        <w:t>del</w:t>
      </w:r>
      <w:r>
        <w:rPr>
          <w:spacing w:val="-12"/>
        </w:rPr>
        <w:t xml:space="preserve"> </w:t>
      </w:r>
      <w:r>
        <w:t>narcotráfico</w:t>
      </w:r>
      <w:r>
        <w:rPr>
          <w:spacing w:val="-12"/>
        </w:rPr>
        <w:t xml:space="preserve"> </w:t>
      </w:r>
      <w:r>
        <w:t>y</w:t>
      </w:r>
      <w:r>
        <w:rPr>
          <w:spacing w:val="-13"/>
        </w:rPr>
        <w:t xml:space="preserve"> </w:t>
      </w:r>
      <w:r>
        <w:t>sus</w:t>
      </w:r>
      <w:r>
        <w:rPr>
          <w:spacing w:val="-12"/>
        </w:rPr>
        <w:t xml:space="preserve"> </w:t>
      </w:r>
      <w:r>
        <w:t>aliados</w:t>
      </w:r>
      <w:r>
        <w:rPr>
          <w:spacing w:val="-12"/>
        </w:rPr>
        <w:t xml:space="preserve"> </w:t>
      </w:r>
      <w:r>
        <w:t>como</w:t>
      </w:r>
      <w:r>
        <w:rPr>
          <w:spacing w:val="-12"/>
        </w:rPr>
        <w:t xml:space="preserve"> </w:t>
      </w:r>
      <w:r>
        <w:t>parte</w:t>
      </w:r>
      <w:r>
        <w:rPr>
          <w:spacing w:val="-13"/>
        </w:rPr>
        <w:t xml:space="preserve"> </w:t>
      </w:r>
      <w:r>
        <w:t>de</w:t>
      </w:r>
      <w:r>
        <w:rPr>
          <w:spacing w:val="-12"/>
        </w:rPr>
        <w:t xml:space="preserve"> </w:t>
      </w:r>
      <w:r>
        <w:t>su</w:t>
      </w:r>
      <w:r>
        <w:rPr>
          <w:spacing w:val="-12"/>
        </w:rPr>
        <w:t xml:space="preserve"> </w:t>
      </w:r>
      <w:r>
        <w:t>guerra</w:t>
      </w:r>
      <w:r>
        <w:rPr>
          <w:spacing w:val="-13"/>
        </w:rPr>
        <w:t xml:space="preserve"> </w:t>
      </w:r>
      <w:r>
        <w:t>contra la extradición a Estados Unidos.</w:t>
      </w:r>
    </w:p>
    <w:p w:rsidR="003804AC" w:rsidRDefault="00AF18A5" w:rsidP="00A40E89">
      <w:r>
        <w:t>El 30 de abril de 1984, la mafia narcotraficante asesinó al ministro de justicia, Rodrigo Lara Bonilla. El ministro había insistido en la responsabilidad del cartel de Medellín en la debacle nacional y acusado a Pablo Escobar Gaviria de ser protagonista en el entramado criminal de la droga. Cuando se dio el llamamiento a juicio a Escobar por ese crimen, la fórmula</w:t>
      </w:r>
      <w:r>
        <w:rPr>
          <w:spacing w:val="-5"/>
        </w:rPr>
        <w:t xml:space="preserve"> </w:t>
      </w:r>
      <w:r>
        <w:t>del</w:t>
      </w:r>
      <w:r>
        <w:rPr>
          <w:spacing w:val="-6"/>
        </w:rPr>
        <w:t xml:space="preserve"> </w:t>
      </w:r>
      <w:r>
        <w:t>capo</w:t>
      </w:r>
      <w:r>
        <w:rPr>
          <w:spacing w:val="-5"/>
        </w:rPr>
        <w:t xml:space="preserve"> </w:t>
      </w:r>
      <w:r>
        <w:t>para</w:t>
      </w:r>
      <w:r>
        <w:rPr>
          <w:spacing w:val="-6"/>
        </w:rPr>
        <w:t xml:space="preserve"> </w:t>
      </w:r>
      <w:r>
        <w:t>garantizar</w:t>
      </w:r>
      <w:r>
        <w:rPr>
          <w:spacing w:val="-6"/>
        </w:rPr>
        <w:t xml:space="preserve"> </w:t>
      </w:r>
      <w:r>
        <w:t>la</w:t>
      </w:r>
      <w:r>
        <w:rPr>
          <w:spacing w:val="-6"/>
        </w:rPr>
        <w:t xml:space="preserve"> </w:t>
      </w:r>
      <w:r>
        <w:t>impunidad</w:t>
      </w:r>
      <w:r>
        <w:rPr>
          <w:spacing w:val="-6"/>
        </w:rPr>
        <w:t xml:space="preserve"> </w:t>
      </w:r>
      <w:r>
        <w:t>fue</w:t>
      </w:r>
      <w:r>
        <w:rPr>
          <w:spacing w:val="-5"/>
        </w:rPr>
        <w:t xml:space="preserve"> </w:t>
      </w:r>
      <w:r>
        <w:t>asesinar</w:t>
      </w:r>
      <w:r>
        <w:rPr>
          <w:spacing w:val="-6"/>
        </w:rPr>
        <w:t xml:space="preserve"> </w:t>
      </w:r>
      <w:r>
        <w:t>al</w:t>
      </w:r>
      <w:r>
        <w:rPr>
          <w:spacing w:val="-6"/>
        </w:rPr>
        <w:t xml:space="preserve"> </w:t>
      </w:r>
      <w:r>
        <w:t>juez</w:t>
      </w:r>
      <w:r>
        <w:rPr>
          <w:spacing w:val="-5"/>
        </w:rPr>
        <w:t xml:space="preserve"> </w:t>
      </w:r>
      <w:r>
        <w:t>de</w:t>
      </w:r>
      <w:r>
        <w:rPr>
          <w:spacing w:val="-6"/>
        </w:rPr>
        <w:t xml:space="preserve"> </w:t>
      </w:r>
      <w:r>
        <w:t>la</w:t>
      </w:r>
      <w:r>
        <w:rPr>
          <w:spacing w:val="-5"/>
        </w:rPr>
        <w:t xml:space="preserve"> </w:t>
      </w:r>
      <w:r>
        <w:t>causa,</w:t>
      </w:r>
      <w:r>
        <w:rPr>
          <w:spacing w:val="-5"/>
        </w:rPr>
        <w:t xml:space="preserve"> </w:t>
      </w:r>
      <w:r>
        <w:t>Tulio</w:t>
      </w:r>
      <w:r>
        <w:rPr>
          <w:spacing w:val="-6"/>
        </w:rPr>
        <w:t xml:space="preserve"> </w:t>
      </w:r>
      <w:r>
        <w:t xml:space="preserve">Manuel Castro Gil en 1985. «Es muy complejo como una </w:t>
      </w:r>
      <w:r>
        <w:lastRenderedPageBreak/>
        <w:t>persona que da su vida por cumplir su función,</w:t>
      </w:r>
      <w:r>
        <w:rPr>
          <w:spacing w:val="-14"/>
        </w:rPr>
        <w:t xml:space="preserve"> </w:t>
      </w:r>
      <w:r>
        <w:t>por</w:t>
      </w:r>
      <w:r>
        <w:rPr>
          <w:spacing w:val="-15"/>
        </w:rPr>
        <w:t xml:space="preserve"> </w:t>
      </w:r>
      <w:r>
        <w:t>hacer</w:t>
      </w:r>
      <w:r>
        <w:rPr>
          <w:spacing w:val="-14"/>
        </w:rPr>
        <w:t xml:space="preserve"> </w:t>
      </w:r>
      <w:r>
        <w:t>las</w:t>
      </w:r>
      <w:r>
        <w:rPr>
          <w:spacing w:val="-14"/>
        </w:rPr>
        <w:t xml:space="preserve"> </w:t>
      </w:r>
      <w:r>
        <w:t>cosas</w:t>
      </w:r>
      <w:r>
        <w:rPr>
          <w:spacing w:val="-14"/>
        </w:rPr>
        <w:t xml:space="preserve"> </w:t>
      </w:r>
      <w:r>
        <w:t>bien,</w:t>
      </w:r>
      <w:r>
        <w:rPr>
          <w:spacing w:val="-14"/>
        </w:rPr>
        <w:t xml:space="preserve"> </w:t>
      </w:r>
      <w:r>
        <w:t>por</w:t>
      </w:r>
      <w:r>
        <w:rPr>
          <w:spacing w:val="-15"/>
        </w:rPr>
        <w:t xml:space="preserve"> </w:t>
      </w:r>
      <w:r>
        <w:t>no</w:t>
      </w:r>
      <w:r>
        <w:rPr>
          <w:spacing w:val="-14"/>
        </w:rPr>
        <w:t xml:space="preserve"> </w:t>
      </w:r>
      <w:r>
        <w:t>dejarse</w:t>
      </w:r>
      <w:r>
        <w:rPr>
          <w:spacing w:val="-14"/>
        </w:rPr>
        <w:t xml:space="preserve"> </w:t>
      </w:r>
      <w:r>
        <w:t>corromper</w:t>
      </w:r>
      <w:r>
        <w:rPr>
          <w:spacing w:val="-14"/>
        </w:rPr>
        <w:t xml:space="preserve"> </w:t>
      </w:r>
      <w:r>
        <w:t>y</w:t>
      </w:r>
      <w:r>
        <w:rPr>
          <w:spacing w:val="-15"/>
        </w:rPr>
        <w:t xml:space="preserve"> </w:t>
      </w:r>
      <w:r>
        <w:t>hacer</w:t>
      </w:r>
      <w:r>
        <w:rPr>
          <w:spacing w:val="-14"/>
        </w:rPr>
        <w:t xml:space="preserve"> </w:t>
      </w:r>
      <w:r>
        <w:t>lo</w:t>
      </w:r>
      <w:r>
        <w:rPr>
          <w:spacing w:val="-14"/>
        </w:rPr>
        <w:t xml:space="preserve"> </w:t>
      </w:r>
      <w:r>
        <w:t>que</w:t>
      </w:r>
      <w:r>
        <w:rPr>
          <w:spacing w:val="-15"/>
        </w:rPr>
        <w:t xml:space="preserve"> </w:t>
      </w:r>
      <w:r>
        <w:t>tenía</w:t>
      </w:r>
      <w:r>
        <w:rPr>
          <w:spacing w:val="-14"/>
        </w:rPr>
        <w:t xml:space="preserve"> </w:t>
      </w:r>
      <w:r>
        <w:t>que</w:t>
      </w:r>
      <w:r>
        <w:rPr>
          <w:spacing w:val="-14"/>
        </w:rPr>
        <w:t xml:space="preserve"> </w:t>
      </w:r>
      <w:r>
        <w:t>hacer»</w:t>
      </w:r>
      <w:r w:rsidR="00294FB7">
        <w:rPr>
          <w:rStyle w:val="Refdenotaalpie"/>
        </w:rPr>
        <w:footnoteReference w:id="917"/>
      </w:r>
      <w:r>
        <w:t>, le dijo a la Comisión una de las hijas del juez Castro Gil.</w:t>
      </w:r>
    </w:p>
    <w:p w:rsidR="003804AC" w:rsidRDefault="00AF18A5" w:rsidP="00294FB7">
      <w:r>
        <w:t xml:space="preserve">Varios magistrados más fueron asesinados. La ofensiva contra el Tribunal Superior de Medellín y la justicia de Antioquia inició con el asesinato del magistrado Álvaro Medina Ochoa en 1985. Al año siguiente, el 30 de octubre de 1986, fue asesinado el magistrado de la Sala Penal del mismo tribunal, Gustavo Zuluaga Serna. Por la misma época, mataron al </w:t>
      </w:r>
      <w:r>
        <w:rPr>
          <w:spacing w:val="-2"/>
        </w:rPr>
        <w:t>magistrado</w:t>
      </w:r>
      <w:r>
        <w:rPr>
          <w:spacing w:val="-9"/>
        </w:rPr>
        <w:t xml:space="preserve"> </w:t>
      </w:r>
      <w:r>
        <w:rPr>
          <w:spacing w:val="-2"/>
        </w:rPr>
        <w:t>Héctor</w:t>
      </w:r>
      <w:r>
        <w:rPr>
          <w:spacing w:val="-5"/>
        </w:rPr>
        <w:t xml:space="preserve"> </w:t>
      </w:r>
      <w:r>
        <w:rPr>
          <w:spacing w:val="-2"/>
        </w:rPr>
        <w:t>Jiménez</w:t>
      </w:r>
      <w:r>
        <w:rPr>
          <w:spacing w:val="-5"/>
        </w:rPr>
        <w:t xml:space="preserve"> </w:t>
      </w:r>
      <w:r>
        <w:rPr>
          <w:spacing w:val="-2"/>
        </w:rPr>
        <w:t>y</w:t>
      </w:r>
      <w:r>
        <w:rPr>
          <w:spacing w:val="-6"/>
        </w:rPr>
        <w:t xml:space="preserve"> </w:t>
      </w:r>
      <w:r>
        <w:rPr>
          <w:spacing w:val="-2"/>
        </w:rPr>
        <w:t>a</w:t>
      </w:r>
      <w:r>
        <w:rPr>
          <w:spacing w:val="-5"/>
        </w:rPr>
        <w:t xml:space="preserve"> </w:t>
      </w:r>
      <w:r>
        <w:rPr>
          <w:spacing w:val="-2"/>
        </w:rPr>
        <w:t>la</w:t>
      </w:r>
      <w:r>
        <w:rPr>
          <w:spacing w:val="-6"/>
        </w:rPr>
        <w:t xml:space="preserve"> </w:t>
      </w:r>
      <w:r>
        <w:rPr>
          <w:spacing w:val="-2"/>
        </w:rPr>
        <w:t>jueza</w:t>
      </w:r>
      <w:r>
        <w:rPr>
          <w:spacing w:val="-5"/>
        </w:rPr>
        <w:t xml:space="preserve"> </w:t>
      </w:r>
      <w:r>
        <w:rPr>
          <w:spacing w:val="-2"/>
        </w:rPr>
        <w:t>Mariela</w:t>
      </w:r>
      <w:r>
        <w:rPr>
          <w:spacing w:val="-6"/>
        </w:rPr>
        <w:t xml:space="preserve"> </w:t>
      </w:r>
      <w:r>
        <w:rPr>
          <w:spacing w:val="-2"/>
        </w:rPr>
        <w:t>Espinosa.</w:t>
      </w:r>
      <w:r>
        <w:rPr>
          <w:spacing w:val="-5"/>
        </w:rPr>
        <w:t xml:space="preserve"> </w:t>
      </w:r>
      <w:r>
        <w:rPr>
          <w:spacing w:val="-2"/>
        </w:rPr>
        <w:t>El</w:t>
      </w:r>
      <w:r>
        <w:rPr>
          <w:spacing w:val="-5"/>
        </w:rPr>
        <w:t xml:space="preserve"> </w:t>
      </w:r>
      <w:r>
        <w:rPr>
          <w:spacing w:val="-2"/>
        </w:rPr>
        <w:t>procurador</w:t>
      </w:r>
      <w:r>
        <w:rPr>
          <w:spacing w:val="-4"/>
        </w:rPr>
        <w:t xml:space="preserve"> </w:t>
      </w:r>
      <w:r>
        <w:rPr>
          <w:spacing w:val="-2"/>
        </w:rPr>
        <w:t>Carlos</w:t>
      </w:r>
      <w:r>
        <w:rPr>
          <w:spacing w:val="-6"/>
        </w:rPr>
        <w:t xml:space="preserve"> </w:t>
      </w:r>
      <w:r>
        <w:rPr>
          <w:spacing w:val="-2"/>
        </w:rPr>
        <w:t>Mauro</w:t>
      </w:r>
      <w:r>
        <w:rPr>
          <w:spacing w:val="-6"/>
        </w:rPr>
        <w:t xml:space="preserve"> </w:t>
      </w:r>
      <w:r>
        <w:rPr>
          <w:spacing w:val="-2"/>
        </w:rPr>
        <w:t>Hoyos</w:t>
      </w:r>
      <w:bookmarkStart w:id="1134" w:name="_bookmark1002"/>
      <w:bookmarkEnd w:id="1134"/>
      <w:r w:rsidR="00294FB7">
        <w:rPr>
          <w:spacing w:val="-2"/>
        </w:rPr>
        <w:t xml:space="preserve"> </w:t>
      </w:r>
      <w:r>
        <w:t>Jiménez fue secuestrado y asesinado el 25 de enero de 1988. El magistrado Carlos Ernesto Valencia</w:t>
      </w:r>
      <w:r>
        <w:rPr>
          <w:spacing w:val="-3"/>
        </w:rPr>
        <w:t xml:space="preserve"> </w:t>
      </w:r>
      <w:r>
        <w:t>García,</w:t>
      </w:r>
      <w:r>
        <w:rPr>
          <w:spacing w:val="-3"/>
        </w:rPr>
        <w:t xml:space="preserve"> </w:t>
      </w:r>
      <w:r>
        <w:t>magistrado</w:t>
      </w:r>
      <w:r>
        <w:rPr>
          <w:spacing w:val="-3"/>
        </w:rPr>
        <w:t xml:space="preserve"> </w:t>
      </w:r>
      <w:r>
        <w:t>del</w:t>
      </w:r>
      <w:r>
        <w:rPr>
          <w:spacing w:val="-3"/>
        </w:rPr>
        <w:t xml:space="preserve"> </w:t>
      </w:r>
      <w:r>
        <w:t>Tribunal</w:t>
      </w:r>
      <w:r>
        <w:rPr>
          <w:spacing w:val="-3"/>
        </w:rPr>
        <w:t xml:space="preserve"> </w:t>
      </w:r>
      <w:r>
        <w:t>Superior</w:t>
      </w:r>
      <w:r>
        <w:rPr>
          <w:spacing w:val="-3"/>
        </w:rPr>
        <w:t xml:space="preserve"> </w:t>
      </w:r>
      <w:r>
        <w:t>de</w:t>
      </w:r>
      <w:r>
        <w:rPr>
          <w:spacing w:val="-3"/>
        </w:rPr>
        <w:t xml:space="preserve"> </w:t>
      </w:r>
      <w:r>
        <w:t>Bogotá,</w:t>
      </w:r>
      <w:r>
        <w:rPr>
          <w:spacing w:val="-3"/>
        </w:rPr>
        <w:t xml:space="preserve"> </w:t>
      </w:r>
      <w:r>
        <w:t>fue</w:t>
      </w:r>
      <w:r>
        <w:rPr>
          <w:spacing w:val="-3"/>
        </w:rPr>
        <w:t xml:space="preserve"> </w:t>
      </w:r>
      <w:r>
        <w:t>asesinado</w:t>
      </w:r>
      <w:r>
        <w:rPr>
          <w:spacing w:val="-3"/>
        </w:rPr>
        <w:t xml:space="preserve"> </w:t>
      </w:r>
      <w:r>
        <w:t>el</w:t>
      </w:r>
      <w:r>
        <w:rPr>
          <w:spacing w:val="-3"/>
        </w:rPr>
        <w:t xml:space="preserve"> </w:t>
      </w:r>
      <w:r>
        <w:t>16</w:t>
      </w:r>
      <w:r>
        <w:rPr>
          <w:spacing w:val="-3"/>
        </w:rPr>
        <w:t xml:space="preserve"> </w:t>
      </w:r>
      <w:r>
        <w:t>de</w:t>
      </w:r>
      <w:r>
        <w:rPr>
          <w:spacing w:val="-2"/>
        </w:rPr>
        <w:t xml:space="preserve"> </w:t>
      </w:r>
      <w:r>
        <w:t>agosto de 1989. El gobierno luego acusó a Gonzalo Rodríguez Gacha, alias El Mexicano, por el asesinato</w:t>
      </w:r>
      <w:r>
        <w:rPr>
          <w:spacing w:val="-8"/>
        </w:rPr>
        <w:t xml:space="preserve"> </w:t>
      </w:r>
      <w:r>
        <w:t>del</w:t>
      </w:r>
      <w:r>
        <w:rPr>
          <w:spacing w:val="-9"/>
        </w:rPr>
        <w:t xml:space="preserve"> </w:t>
      </w:r>
      <w:r>
        <w:t>candidato</w:t>
      </w:r>
      <w:r>
        <w:rPr>
          <w:spacing w:val="-8"/>
        </w:rPr>
        <w:t xml:space="preserve"> </w:t>
      </w:r>
      <w:r>
        <w:t>presidencial</w:t>
      </w:r>
      <w:r>
        <w:rPr>
          <w:spacing w:val="-8"/>
        </w:rPr>
        <w:t xml:space="preserve"> </w:t>
      </w:r>
      <w:r>
        <w:t>de</w:t>
      </w:r>
      <w:r>
        <w:rPr>
          <w:spacing w:val="-8"/>
        </w:rPr>
        <w:t xml:space="preserve"> </w:t>
      </w:r>
      <w:r>
        <w:t>la</w:t>
      </w:r>
      <w:r>
        <w:rPr>
          <w:spacing w:val="-9"/>
        </w:rPr>
        <w:t xml:space="preserve"> </w:t>
      </w:r>
      <w:r>
        <w:t>Unión</w:t>
      </w:r>
      <w:r>
        <w:rPr>
          <w:spacing w:val="-8"/>
        </w:rPr>
        <w:t xml:space="preserve"> </w:t>
      </w:r>
      <w:r>
        <w:t>Patriótica,</w:t>
      </w:r>
      <w:r>
        <w:rPr>
          <w:spacing w:val="-8"/>
        </w:rPr>
        <w:t xml:space="preserve"> </w:t>
      </w:r>
      <w:r>
        <w:t>Jaime</w:t>
      </w:r>
      <w:r>
        <w:rPr>
          <w:spacing w:val="-8"/>
        </w:rPr>
        <w:t xml:space="preserve"> </w:t>
      </w:r>
      <w:r>
        <w:t>Pardo</w:t>
      </w:r>
      <w:r>
        <w:rPr>
          <w:spacing w:val="-10"/>
        </w:rPr>
        <w:t xml:space="preserve"> </w:t>
      </w:r>
      <w:r>
        <w:t>Leal</w:t>
      </w:r>
      <w:r w:rsidR="00294FB7">
        <w:rPr>
          <w:rStyle w:val="Refdenotaalpie"/>
        </w:rPr>
        <w:footnoteReference w:id="918"/>
      </w:r>
      <w:r>
        <w:t>.</w:t>
      </w:r>
      <w:r>
        <w:rPr>
          <w:spacing w:val="-8"/>
        </w:rPr>
        <w:t xml:space="preserve"> </w:t>
      </w:r>
      <w:r>
        <w:t>Esto</w:t>
      </w:r>
      <w:r>
        <w:rPr>
          <w:spacing w:val="-10"/>
        </w:rPr>
        <w:t xml:space="preserve"> </w:t>
      </w:r>
      <w:r>
        <w:t>mostró cómo el narcotráfico se metió en la lucha contrainsurgente y de ataque a la apertura democrática y al proceso de diálogos para la paz que suponía la UP. Pardo Leal había sido, además, uno de los fundadores de la Asociación Nacional de Funcionarios y Empleados de la Rama Jurisdiccional (</w:t>
      </w:r>
      <w:proofErr w:type="spellStart"/>
      <w:r>
        <w:t>Asonal</w:t>
      </w:r>
      <w:proofErr w:type="spellEnd"/>
      <w:r>
        <w:t>).</w:t>
      </w:r>
    </w:p>
    <w:p w:rsidR="003804AC" w:rsidRDefault="00AF18A5" w:rsidP="00294FB7">
      <w:r>
        <w:t xml:space="preserve">Para 1989, el gobierno de Virgilio Barco reveló una lista de 1.600 jueces amenazados de los cerca de 4.000 en oficio. Estas amenazas, así como los demás crímenes, tenían orígenes similares: haber plantado cara a la cúpula narcotraficante y paramilitar. La Comisión de la Verdad escuchó a varios exjueces y funcionarios judiciales que vivieron esos momentos, </w:t>
      </w:r>
      <w:r>
        <w:lastRenderedPageBreak/>
        <w:t>y el común denominador es que sus verdugos tuvieron control sobre sus vidas y la de sus familias en total impunidad. En muchos casos, se ofrecieron prebendas bajo amenaza de muerte en caso de no colaborar con sus propósitos criminales. Y las amenazas fueron extensivas incluso hasta los entornos sociales. Muchas familias de jueces y magistrados se debieron</w:t>
      </w:r>
      <w:r>
        <w:rPr>
          <w:spacing w:val="-2"/>
        </w:rPr>
        <w:t xml:space="preserve"> </w:t>
      </w:r>
      <w:r>
        <w:t>desplazar</w:t>
      </w:r>
      <w:r>
        <w:rPr>
          <w:spacing w:val="-2"/>
        </w:rPr>
        <w:t xml:space="preserve"> </w:t>
      </w:r>
      <w:r>
        <w:t>forzosamente</w:t>
      </w:r>
      <w:r>
        <w:rPr>
          <w:spacing w:val="-2"/>
        </w:rPr>
        <w:t xml:space="preserve"> </w:t>
      </w:r>
      <w:r>
        <w:t>o</w:t>
      </w:r>
      <w:r>
        <w:rPr>
          <w:spacing w:val="-2"/>
        </w:rPr>
        <w:t xml:space="preserve"> </w:t>
      </w:r>
      <w:r>
        <w:t>exiliarse.</w:t>
      </w:r>
      <w:r>
        <w:rPr>
          <w:spacing w:val="-2"/>
        </w:rPr>
        <w:t xml:space="preserve"> </w:t>
      </w:r>
      <w:r>
        <w:t>Todo</w:t>
      </w:r>
      <w:r>
        <w:rPr>
          <w:spacing w:val="-2"/>
        </w:rPr>
        <w:t xml:space="preserve"> </w:t>
      </w:r>
      <w:r>
        <w:t>ocurrió</w:t>
      </w:r>
      <w:r>
        <w:rPr>
          <w:spacing w:val="-2"/>
        </w:rPr>
        <w:t xml:space="preserve"> </w:t>
      </w:r>
      <w:r>
        <w:t>con</w:t>
      </w:r>
      <w:r>
        <w:rPr>
          <w:spacing w:val="-2"/>
        </w:rPr>
        <w:t xml:space="preserve"> </w:t>
      </w:r>
      <w:r>
        <w:t>tal</w:t>
      </w:r>
      <w:r>
        <w:rPr>
          <w:spacing w:val="-2"/>
        </w:rPr>
        <w:t xml:space="preserve"> </w:t>
      </w:r>
      <w:r>
        <w:t>nivel</w:t>
      </w:r>
      <w:r>
        <w:rPr>
          <w:spacing w:val="-2"/>
        </w:rPr>
        <w:t xml:space="preserve"> </w:t>
      </w:r>
      <w:r>
        <w:t>de</w:t>
      </w:r>
      <w:r>
        <w:rPr>
          <w:spacing w:val="-2"/>
        </w:rPr>
        <w:t xml:space="preserve"> </w:t>
      </w:r>
      <w:r>
        <w:t>penetración</w:t>
      </w:r>
      <w:r>
        <w:rPr>
          <w:spacing w:val="-2"/>
        </w:rPr>
        <w:t xml:space="preserve"> </w:t>
      </w:r>
      <w:r>
        <w:t>en</w:t>
      </w:r>
      <w:r>
        <w:rPr>
          <w:spacing w:val="-2"/>
        </w:rPr>
        <w:t xml:space="preserve"> </w:t>
      </w:r>
      <w:r>
        <w:t>el poder judicial que, alrededor de cada magnicidio de los años 80, como el caso Guillermo Cano,</w:t>
      </w:r>
      <w:r>
        <w:rPr>
          <w:spacing w:val="-13"/>
        </w:rPr>
        <w:t xml:space="preserve"> </w:t>
      </w:r>
      <w:r>
        <w:t>director</w:t>
      </w:r>
      <w:r>
        <w:rPr>
          <w:spacing w:val="-13"/>
        </w:rPr>
        <w:t xml:space="preserve"> </w:t>
      </w:r>
      <w:r>
        <w:t>del</w:t>
      </w:r>
      <w:r>
        <w:rPr>
          <w:spacing w:val="-13"/>
        </w:rPr>
        <w:t xml:space="preserve"> </w:t>
      </w:r>
      <w:r>
        <w:t>diario</w:t>
      </w:r>
      <w:r>
        <w:rPr>
          <w:spacing w:val="-14"/>
        </w:rPr>
        <w:t xml:space="preserve"> </w:t>
      </w:r>
      <w:r>
        <w:rPr>
          <w:i/>
        </w:rPr>
        <w:t>El</w:t>
      </w:r>
      <w:r>
        <w:rPr>
          <w:i/>
          <w:spacing w:val="-13"/>
        </w:rPr>
        <w:t xml:space="preserve"> </w:t>
      </w:r>
      <w:r>
        <w:rPr>
          <w:i/>
        </w:rPr>
        <w:t>Espectador</w:t>
      </w:r>
      <w:r>
        <w:t>,</w:t>
      </w:r>
      <w:r>
        <w:rPr>
          <w:spacing w:val="-13"/>
        </w:rPr>
        <w:t xml:space="preserve"> </w:t>
      </w:r>
      <w:r>
        <w:t>se</w:t>
      </w:r>
      <w:r>
        <w:rPr>
          <w:spacing w:val="-13"/>
        </w:rPr>
        <w:t xml:space="preserve"> </w:t>
      </w:r>
      <w:r>
        <w:t>tejió</w:t>
      </w:r>
      <w:r>
        <w:rPr>
          <w:spacing w:val="-13"/>
        </w:rPr>
        <w:t xml:space="preserve"> </w:t>
      </w:r>
      <w:r>
        <w:t>una</w:t>
      </w:r>
      <w:r>
        <w:rPr>
          <w:spacing w:val="-13"/>
        </w:rPr>
        <w:t xml:space="preserve"> </w:t>
      </w:r>
      <w:r>
        <w:t>red</w:t>
      </w:r>
      <w:r>
        <w:rPr>
          <w:spacing w:val="-13"/>
        </w:rPr>
        <w:t xml:space="preserve"> </w:t>
      </w:r>
      <w:r>
        <w:t>de</w:t>
      </w:r>
      <w:r>
        <w:rPr>
          <w:spacing w:val="-14"/>
        </w:rPr>
        <w:t xml:space="preserve"> </w:t>
      </w:r>
      <w:r>
        <w:t>impunidad</w:t>
      </w:r>
      <w:r>
        <w:rPr>
          <w:spacing w:val="-13"/>
        </w:rPr>
        <w:t xml:space="preserve"> </w:t>
      </w:r>
      <w:r>
        <w:t>que</w:t>
      </w:r>
      <w:r>
        <w:rPr>
          <w:spacing w:val="-14"/>
        </w:rPr>
        <w:t xml:space="preserve"> </w:t>
      </w:r>
      <w:r>
        <w:t>incluyó</w:t>
      </w:r>
      <w:r>
        <w:rPr>
          <w:spacing w:val="-13"/>
        </w:rPr>
        <w:t xml:space="preserve"> </w:t>
      </w:r>
      <w:r>
        <w:t>a</w:t>
      </w:r>
      <w:r>
        <w:rPr>
          <w:spacing w:val="-14"/>
        </w:rPr>
        <w:t xml:space="preserve"> </w:t>
      </w:r>
      <w:r>
        <w:t>la</w:t>
      </w:r>
      <w:r>
        <w:rPr>
          <w:spacing w:val="-14"/>
        </w:rPr>
        <w:t xml:space="preserve"> </w:t>
      </w:r>
      <w:r>
        <w:t>misma justicia como víctima, a los abogados que intentaron hacer algo por las víctimas y a cualquiera que ayudara al poder judicial.</w:t>
      </w:r>
    </w:p>
    <w:p w:rsidR="003804AC" w:rsidRDefault="00AF18A5" w:rsidP="00294FB7">
      <w:r>
        <w:t xml:space="preserve">La violencia contra los funcionarios del sector justicia, los jueces, fiscales, agentes del CTI, etc. no se dio únicamente en los años 80 o por el narcotráfico. La evolución de los grupos </w:t>
      </w:r>
      <w:proofErr w:type="spellStart"/>
      <w:r>
        <w:t>narcoparamilitares</w:t>
      </w:r>
      <w:proofErr w:type="spellEnd"/>
      <w:r>
        <w:t xml:space="preserve"> y las guerrillas sostuvo la violencia contra el sector judicial a través</w:t>
      </w:r>
      <w:r>
        <w:rPr>
          <w:spacing w:val="19"/>
        </w:rPr>
        <w:t xml:space="preserve"> </w:t>
      </w:r>
      <w:r>
        <w:t>del</w:t>
      </w:r>
      <w:r>
        <w:rPr>
          <w:spacing w:val="21"/>
        </w:rPr>
        <w:t xml:space="preserve"> </w:t>
      </w:r>
      <w:r>
        <w:t>tiempo.</w:t>
      </w:r>
      <w:r>
        <w:rPr>
          <w:spacing w:val="21"/>
        </w:rPr>
        <w:t xml:space="preserve"> </w:t>
      </w:r>
      <w:r>
        <w:t>El</w:t>
      </w:r>
      <w:r>
        <w:rPr>
          <w:spacing w:val="21"/>
        </w:rPr>
        <w:t xml:space="preserve"> </w:t>
      </w:r>
      <w:r>
        <w:t>Grupo</w:t>
      </w:r>
      <w:r>
        <w:rPr>
          <w:spacing w:val="21"/>
        </w:rPr>
        <w:t xml:space="preserve"> </w:t>
      </w:r>
      <w:r>
        <w:t>de</w:t>
      </w:r>
      <w:r>
        <w:rPr>
          <w:spacing w:val="21"/>
        </w:rPr>
        <w:t xml:space="preserve"> </w:t>
      </w:r>
      <w:r>
        <w:t>Memoria</w:t>
      </w:r>
      <w:r>
        <w:rPr>
          <w:spacing w:val="22"/>
        </w:rPr>
        <w:t xml:space="preserve"> </w:t>
      </w:r>
      <w:r>
        <w:t>Histórica</w:t>
      </w:r>
      <w:r>
        <w:rPr>
          <w:spacing w:val="22"/>
        </w:rPr>
        <w:t xml:space="preserve"> </w:t>
      </w:r>
      <w:r>
        <w:t>documentó</w:t>
      </w:r>
      <w:r>
        <w:rPr>
          <w:spacing w:val="20"/>
        </w:rPr>
        <w:t xml:space="preserve"> </w:t>
      </w:r>
      <w:r>
        <w:t>hechos</w:t>
      </w:r>
      <w:r>
        <w:rPr>
          <w:spacing w:val="20"/>
        </w:rPr>
        <w:t xml:space="preserve"> </w:t>
      </w:r>
      <w:r>
        <w:t>de</w:t>
      </w:r>
      <w:r>
        <w:rPr>
          <w:spacing w:val="22"/>
        </w:rPr>
        <w:t xml:space="preserve"> </w:t>
      </w:r>
      <w:r>
        <w:t>violencia</w:t>
      </w:r>
      <w:r>
        <w:rPr>
          <w:spacing w:val="20"/>
        </w:rPr>
        <w:t xml:space="preserve"> </w:t>
      </w:r>
      <w:r>
        <w:rPr>
          <w:spacing w:val="-2"/>
        </w:rPr>
        <w:t>contra</w:t>
      </w:r>
      <w:r w:rsidR="00294FB7">
        <w:t xml:space="preserve"> </w:t>
      </w:r>
      <w:r>
        <w:t>1.487</w:t>
      </w:r>
      <w:r>
        <w:rPr>
          <w:spacing w:val="-1"/>
        </w:rPr>
        <w:t xml:space="preserve"> </w:t>
      </w:r>
      <w:r>
        <w:t>funcionarios</w:t>
      </w:r>
      <w:r>
        <w:rPr>
          <w:spacing w:val="-2"/>
        </w:rPr>
        <w:t xml:space="preserve"> </w:t>
      </w:r>
      <w:r>
        <w:t>judiciales</w:t>
      </w:r>
      <w:r>
        <w:rPr>
          <w:spacing w:val="-1"/>
        </w:rPr>
        <w:t xml:space="preserve"> </w:t>
      </w:r>
      <w:r>
        <w:t>entre</w:t>
      </w:r>
      <w:r>
        <w:rPr>
          <w:spacing w:val="-2"/>
        </w:rPr>
        <w:t xml:space="preserve"> </w:t>
      </w:r>
      <w:r>
        <w:t>enero</w:t>
      </w:r>
      <w:r>
        <w:rPr>
          <w:spacing w:val="-1"/>
        </w:rPr>
        <w:t xml:space="preserve"> </w:t>
      </w:r>
      <w:r>
        <w:t>de</w:t>
      </w:r>
      <w:r>
        <w:rPr>
          <w:spacing w:val="-1"/>
        </w:rPr>
        <w:t xml:space="preserve"> </w:t>
      </w:r>
      <w:r>
        <w:t>1979</w:t>
      </w:r>
      <w:r>
        <w:rPr>
          <w:spacing w:val="-3"/>
        </w:rPr>
        <w:t xml:space="preserve"> </w:t>
      </w:r>
      <w:r>
        <w:t>y</w:t>
      </w:r>
      <w:r>
        <w:rPr>
          <w:spacing w:val="-1"/>
        </w:rPr>
        <w:t xml:space="preserve"> </w:t>
      </w:r>
      <w:r>
        <w:t>diciembre</w:t>
      </w:r>
      <w:r>
        <w:rPr>
          <w:spacing w:val="-2"/>
        </w:rPr>
        <w:t xml:space="preserve"> </w:t>
      </w:r>
      <w:r>
        <w:t xml:space="preserve">de </w:t>
      </w:r>
      <w:r>
        <w:rPr>
          <w:spacing w:val="-2"/>
        </w:rPr>
        <w:t>2009,</w:t>
      </w:r>
      <w:bookmarkStart w:id="1135" w:name="_bookmark1003"/>
      <w:bookmarkEnd w:id="1135"/>
      <w:r w:rsidR="00294FB7">
        <w:t xml:space="preserve"> </w:t>
      </w:r>
      <w:r>
        <w:t>lo que equivale a decir que aproximadamente cada semana fue atacado por parte de los actores</w:t>
      </w:r>
      <w:r>
        <w:rPr>
          <w:spacing w:val="-16"/>
        </w:rPr>
        <w:t xml:space="preserve"> </w:t>
      </w:r>
      <w:r>
        <w:t>vinculados</w:t>
      </w:r>
      <w:r>
        <w:rPr>
          <w:spacing w:val="-14"/>
        </w:rPr>
        <w:t xml:space="preserve"> </w:t>
      </w:r>
      <w:r>
        <w:t>al</w:t>
      </w:r>
      <w:r>
        <w:rPr>
          <w:spacing w:val="-14"/>
        </w:rPr>
        <w:t xml:space="preserve"> </w:t>
      </w:r>
      <w:r>
        <w:t>conflicto</w:t>
      </w:r>
      <w:r>
        <w:rPr>
          <w:spacing w:val="-13"/>
        </w:rPr>
        <w:t xml:space="preserve"> </w:t>
      </w:r>
      <w:r>
        <w:t>armado</w:t>
      </w:r>
      <w:r>
        <w:rPr>
          <w:spacing w:val="-14"/>
        </w:rPr>
        <w:t xml:space="preserve"> </w:t>
      </w:r>
      <w:r>
        <w:t>un</w:t>
      </w:r>
      <w:r>
        <w:rPr>
          <w:spacing w:val="-14"/>
        </w:rPr>
        <w:t xml:space="preserve"> </w:t>
      </w:r>
      <w:r>
        <w:t>funcionario</w:t>
      </w:r>
      <w:r>
        <w:rPr>
          <w:spacing w:val="-14"/>
        </w:rPr>
        <w:t xml:space="preserve"> </w:t>
      </w:r>
      <w:r>
        <w:t>encargado</w:t>
      </w:r>
      <w:r>
        <w:rPr>
          <w:spacing w:val="-13"/>
        </w:rPr>
        <w:t xml:space="preserve"> </w:t>
      </w:r>
      <w:r>
        <w:t>de</w:t>
      </w:r>
      <w:r>
        <w:rPr>
          <w:spacing w:val="-14"/>
        </w:rPr>
        <w:t xml:space="preserve"> </w:t>
      </w:r>
      <w:r>
        <w:t>impartir</w:t>
      </w:r>
      <w:r>
        <w:rPr>
          <w:spacing w:val="-14"/>
        </w:rPr>
        <w:t xml:space="preserve"> </w:t>
      </w:r>
      <w:r>
        <w:t>Justicia</w:t>
      </w:r>
      <w:r>
        <w:rPr>
          <w:spacing w:val="-14"/>
        </w:rPr>
        <w:t xml:space="preserve"> </w:t>
      </w:r>
      <w:r>
        <w:t>y</w:t>
      </w:r>
      <w:r>
        <w:rPr>
          <w:spacing w:val="-13"/>
        </w:rPr>
        <w:t xml:space="preserve"> </w:t>
      </w:r>
      <w:r>
        <w:t>aplicar la ley</w:t>
      </w:r>
      <w:r w:rsidR="00294FB7">
        <w:rPr>
          <w:rStyle w:val="Refdenotaalpie"/>
        </w:rPr>
        <w:footnoteReference w:id="919"/>
      </w:r>
      <w:r>
        <w:t>.</w:t>
      </w:r>
    </w:p>
    <w:p w:rsidR="003804AC" w:rsidRDefault="00AF18A5" w:rsidP="00294FB7">
      <w:r>
        <w:t>Por su lado, el Fondo de Solidaridad con los Jueces Colombianos (</w:t>
      </w:r>
      <w:proofErr w:type="spellStart"/>
      <w:r>
        <w:t>Fasol</w:t>
      </w:r>
      <w:proofErr w:type="spellEnd"/>
      <w:r>
        <w:t>) registra 1.463 eventos contra 1.072 personas. Entre las formas de violencia, las más comunes fueron las amenazas (536), los homicidios (389), los atentados (205), el secuestro (80), el exilio y desplazamiento (51 cada uno) y la desaparición forzada (45) .</w:t>
      </w:r>
    </w:p>
    <w:p w:rsidR="003804AC" w:rsidRDefault="00AF18A5" w:rsidP="00294FB7">
      <w:r>
        <w:lastRenderedPageBreak/>
        <w:t>El</w:t>
      </w:r>
      <w:r>
        <w:rPr>
          <w:spacing w:val="-3"/>
        </w:rPr>
        <w:t xml:space="preserve"> </w:t>
      </w:r>
      <w:r>
        <w:t>empleo</w:t>
      </w:r>
      <w:r>
        <w:rPr>
          <w:spacing w:val="-3"/>
        </w:rPr>
        <w:t xml:space="preserve"> </w:t>
      </w:r>
      <w:r>
        <w:t>de</w:t>
      </w:r>
      <w:r>
        <w:rPr>
          <w:spacing w:val="-3"/>
        </w:rPr>
        <w:t xml:space="preserve"> </w:t>
      </w:r>
      <w:r>
        <w:t>la</w:t>
      </w:r>
      <w:r>
        <w:rPr>
          <w:spacing w:val="-3"/>
        </w:rPr>
        <w:t xml:space="preserve"> </w:t>
      </w:r>
      <w:r>
        <w:t>violencia</w:t>
      </w:r>
      <w:r>
        <w:rPr>
          <w:spacing w:val="-3"/>
        </w:rPr>
        <w:t xml:space="preserve"> </w:t>
      </w:r>
      <w:r>
        <w:t>contra</w:t>
      </w:r>
      <w:r>
        <w:rPr>
          <w:spacing w:val="-3"/>
        </w:rPr>
        <w:t xml:space="preserve"> </w:t>
      </w:r>
      <w:r>
        <w:t>los</w:t>
      </w:r>
      <w:r>
        <w:rPr>
          <w:spacing w:val="-4"/>
        </w:rPr>
        <w:t xml:space="preserve"> </w:t>
      </w:r>
      <w:r>
        <w:t>funcionarios</w:t>
      </w:r>
      <w:r>
        <w:rPr>
          <w:spacing w:val="-4"/>
        </w:rPr>
        <w:t xml:space="preserve"> </w:t>
      </w:r>
      <w:r>
        <w:t>de</w:t>
      </w:r>
      <w:r>
        <w:rPr>
          <w:spacing w:val="-3"/>
        </w:rPr>
        <w:t xml:space="preserve"> </w:t>
      </w:r>
      <w:r>
        <w:t>la</w:t>
      </w:r>
      <w:r>
        <w:rPr>
          <w:spacing w:val="-4"/>
        </w:rPr>
        <w:t xml:space="preserve"> </w:t>
      </w:r>
      <w:r>
        <w:t>justicia</w:t>
      </w:r>
      <w:r>
        <w:rPr>
          <w:spacing w:val="-3"/>
        </w:rPr>
        <w:t xml:space="preserve"> </w:t>
      </w:r>
      <w:r>
        <w:t>incluyó</w:t>
      </w:r>
      <w:r>
        <w:rPr>
          <w:spacing w:val="-3"/>
        </w:rPr>
        <w:t xml:space="preserve"> </w:t>
      </w:r>
      <w:r>
        <w:t>ataques</w:t>
      </w:r>
      <w:r>
        <w:rPr>
          <w:spacing w:val="-3"/>
        </w:rPr>
        <w:t xml:space="preserve"> </w:t>
      </w:r>
      <w:r>
        <w:t>contra</w:t>
      </w:r>
      <w:r>
        <w:rPr>
          <w:spacing w:val="-4"/>
        </w:rPr>
        <w:t xml:space="preserve"> </w:t>
      </w:r>
      <w:r>
        <w:t>sus carreras, su estabilidad laboral y su buen nombre y trayectoria a través de hostigamientos o tácticas de acoso laboral. Una de las estrategias más utilizadas ha sido el traslado de funcionarios</w:t>
      </w:r>
      <w:r>
        <w:rPr>
          <w:spacing w:val="-4"/>
        </w:rPr>
        <w:t xml:space="preserve"> </w:t>
      </w:r>
      <w:r>
        <w:t>que</w:t>
      </w:r>
      <w:r>
        <w:rPr>
          <w:spacing w:val="-3"/>
        </w:rPr>
        <w:t xml:space="preserve"> </w:t>
      </w:r>
      <w:r>
        <w:t>adelantan</w:t>
      </w:r>
      <w:r>
        <w:rPr>
          <w:spacing w:val="-3"/>
        </w:rPr>
        <w:t xml:space="preserve"> </w:t>
      </w:r>
      <w:r>
        <w:t>investigaciones</w:t>
      </w:r>
      <w:r>
        <w:rPr>
          <w:spacing w:val="-3"/>
        </w:rPr>
        <w:t xml:space="preserve"> </w:t>
      </w:r>
      <w:r>
        <w:t>sensibles</w:t>
      </w:r>
      <w:r>
        <w:rPr>
          <w:spacing w:val="-3"/>
        </w:rPr>
        <w:t xml:space="preserve"> </w:t>
      </w:r>
      <w:r>
        <w:t>a</w:t>
      </w:r>
      <w:r>
        <w:rPr>
          <w:spacing w:val="-3"/>
        </w:rPr>
        <w:t xml:space="preserve"> </w:t>
      </w:r>
      <w:r>
        <w:t>zonas</w:t>
      </w:r>
      <w:r>
        <w:rPr>
          <w:spacing w:val="-5"/>
        </w:rPr>
        <w:t xml:space="preserve"> </w:t>
      </w:r>
      <w:r>
        <w:t>«rojas».</w:t>
      </w:r>
      <w:r>
        <w:rPr>
          <w:spacing w:val="-3"/>
        </w:rPr>
        <w:t xml:space="preserve"> </w:t>
      </w:r>
      <w:r>
        <w:t>Esto</w:t>
      </w:r>
      <w:r>
        <w:rPr>
          <w:spacing w:val="-3"/>
        </w:rPr>
        <w:t xml:space="preserve"> </w:t>
      </w:r>
      <w:r>
        <w:t>sigue</w:t>
      </w:r>
      <w:r>
        <w:rPr>
          <w:spacing w:val="-3"/>
        </w:rPr>
        <w:t xml:space="preserve"> </w:t>
      </w:r>
      <w:r>
        <w:t>pasando</w:t>
      </w:r>
      <w:r>
        <w:rPr>
          <w:spacing w:val="-3"/>
        </w:rPr>
        <w:t xml:space="preserve"> </w:t>
      </w:r>
      <w:r>
        <w:t>en la Fiscalía. «El traslado es el castigo más grave que tiene la Fiscalía», le dijo a la Comisión una exfuncionaria que trabajó casos de derechos humanos. También se ha expulsado a investigadores de sus cargos o se han abierto procesos disciplinarios y penales en contra de estos cuando se han acercado a grandes responsables de la criminalidad. Varios exfuncionarios entrevistados por la Comisión en su momento fueron declarados insubsistentes y salieron exiliados. En muchos de estos casos, las amenazas no vinieron solamente</w:t>
      </w:r>
      <w:r>
        <w:rPr>
          <w:spacing w:val="-3"/>
        </w:rPr>
        <w:t xml:space="preserve"> </w:t>
      </w:r>
      <w:r>
        <w:t>de</w:t>
      </w:r>
      <w:r>
        <w:rPr>
          <w:spacing w:val="-3"/>
        </w:rPr>
        <w:t xml:space="preserve"> </w:t>
      </w:r>
      <w:r>
        <w:t>quienes</w:t>
      </w:r>
      <w:r>
        <w:rPr>
          <w:spacing w:val="-3"/>
        </w:rPr>
        <w:t xml:space="preserve"> </w:t>
      </w:r>
      <w:r>
        <w:t>eran</w:t>
      </w:r>
      <w:r>
        <w:rPr>
          <w:spacing w:val="-3"/>
        </w:rPr>
        <w:t xml:space="preserve"> </w:t>
      </w:r>
      <w:r>
        <w:t>objeto</w:t>
      </w:r>
      <w:r>
        <w:rPr>
          <w:spacing w:val="-3"/>
        </w:rPr>
        <w:t xml:space="preserve"> </w:t>
      </w:r>
      <w:r>
        <w:t>de</w:t>
      </w:r>
      <w:r>
        <w:rPr>
          <w:spacing w:val="-4"/>
        </w:rPr>
        <w:t xml:space="preserve"> </w:t>
      </w:r>
      <w:r>
        <w:t>las</w:t>
      </w:r>
      <w:r>
        <w:rPr>
          <w:spacing w:val="-3"/>
        </w:rPr>
        <w:t xml:space="preserve"> </w:t>
      </w:r>
      <w:r>
        <w:t>investigaciones</w:t>
      </w:r>
      <w:r>
        <w:rPr>
          <w:spacing w:val="-4"/>
        </w:rPr>
        <w:t xml:space="preserve"> </w:t>
      </w:r>
      <w:r>
        <w:t>judiciales,</w:t>
      </w:r>
      <w:r>
        <w:rPr>
          <w:spacing w:val="-3"/>
        </w:rPr>
        <w:t xml:space="preserve"> </w:t>
      </w:r>
      <w:r>
        <w:t>sino</w:t>
      </w:r>
      <w:r>
        <w:rPr>
          <w:spacing w:val="-5"/>
        </w:rPr>
        <w:t xml:space="preserve"> </w:t>
      </w:r>
      <w:r>
        <w:t>de</w:t>
      </w:r>
      <w:r>
        <w:rPr>
          <w:spacing w:val="-3"/>
        </w:rPr>
        <w:t xml:space="preserve"> </w:t>
      </w:r>
      <w:r>
        <w:t>la</w:t>
      </w:r>
      <w:r>
        <w:rPr>
          <w:spacing w:val="-3"/>
        </w:rPr>
        <w:t xml:space="preserve"> </w:t>
      </w:r>
      <w:r>
        <w:t>propia</w:t>
      </w:r>
      <w:r>
        <w:rPr>
          <w:spacing w:val="-4"/>
        </w:rPr>
        <w:t xml:space="preserve"> </w:t>
      </w:r>
      <w:r>
        <w:t>Fiscalía General de la Nación.</w:t>
      </w:r>
    </w:p>
    <w:p w:rsidR="003804AC" w:rsidRDefault="00AF18A5" w:rsidP="00294FB7">
      <w:r>
        <w:t>Como parte del reconocimiento de su lucha contra la impunidad, la justicia continúa en mora de recobrar la memoria de las víctimas del poder judicial. Si bien la mayoría de las agresiones contra magistrados, jueces o fiscales quedaron en la impunidad, eso no quiere decir</w:t>
      </w:r>
      <w:r>
        <w:rPr>
          <w:spacing w:val="-2"/>
        </w:rPr>
        <w:t xml:space="preserve"> </w:t>
      </w:r>
      <w:r>
        <w:t>que</w:t>
      </w:r>
      <w:r>
        <w:rPr>
          <w:spacing w:val="-2"/>
        </w:rPr>
        <w:t xml:space="preserve"> </w:t>
      </w:r>
      <w:r>
        <w:t>no</w:t>
      </w:r>
      <w:r>
        <w:rPr>
          <w:spacing w:val="-4"/>
        </w:rPr>
        <w:t xml:space="preserve"> </w:t>
      </w:r>
      <w:r>
        <w:t>exista</w:t>
      </w:r>
      <w:r>
        <w:rPr>
          <w:spacing w:val="-2"/>
        </w:rPr>
        <w:t xml:space="preserve"> </w:t>
      </w:r>
      <w:r>
        <w:t>una</w:t>
      </w:r>
      <w:r>
        <w:rPr>
          <w:spacing w:val="-2"/>
        </w:rPr>
        <w:t xml:space="preserve"> </w:t>
      </w:r>
      <w:r>
        <w:t>responsabilidad</w:t>
      </w:r>
      <w:r>
        <w:rPr>
          <w:spacing w:val="-2"/>
        </w:rPr>
        <w:t xml:space="preserve"> </w:t>
      </w:r>
      <w:r>
        <w:t>institucional</w:t>
      </w:r>
      <w:r>
        <w:rPr>
          <w:spacing w:val="-2"/>
        </w:rPr>
        <w:t xml:space="preserve"> </w:t>
      </w:r>
      <w:r>
        <w:t>para</w:t>
      </w:r>
      <w:r>
        <w:rPr>
          <w:spacing w:val="-2"/>
        </w:rPr>
        <w:t xml:space="preserve"> </w:t>
      </w:r>
      <w:r>
        <w:t>rescatar</w:t>
      </w:r>
      <w:r>
        <w:rPr>
          <w:spacing w:val="-2"/>
        </w:rPr>
        <w:t xml:space="preserve"> </w:t>
      </w:r>
      <w:r>
        <w:t>el</w:t>
      </w:r>
      <w:r>
        <w:rPr>
          <w:spacing w:val="-2"/>
        </w:rPr>
        <w:t xml:space="preserve"> </w:t>
      </w:r>
      <w:r>
        <w:t>buen</w:t>
      </w:r>
      <w:r>
        <w:rPr>
          <w:spacing w:val="-4"/>
        </w:rPr>
        <w:t xml:space="preserve"> </w:t>
      </w:r>
      <w:r>
        <w:t>nombre</w:t>
      </w:r>
      <w:r>
        <w:rPr>
          <w:spacing w:val="-2"/>
        </w:rPr>
        <w:t xml:space="preserve"> </w:t>
      </w:r>
      <w:r>
        <w:t>de</w:t>
      </w:r>
      <w:r>
        <w:rPr>
          <w:spacing w:val="-2"/>
        </w:rPr>
        <w:t xml:space="preserve"> </w:t>
      </w:r>
      <w:r>
        <w:t>dichos funcionarios. Cada uno de ellos representa el deber ser de la justicia, y por eso es necesario exaltar su valentía y compromiso para enfrentar a la ilegalidad. No se conocen en detalle la mayoría</w:t>
      </w:r>
      <w:r>
        <w:rPr>
          <w:spacing w:val="-15"/>
        </w:rPr>
        <w:t xml:space="preserve"> </w:t>
      </w:r>
      <w:r>
        <w:t>de</w:t>
      </w:r>
      <w:r>
        <w:rPr>
          <w:spacing w:val="-14"/>
        </w:rPr>
        <w:t xml:space="preserve"> </w:t>
      </w:r>
      <w:r>
        <w:t>las</w:t>
      </w:r>
      <w:r>
        <w:rPr>
          <w:spacing w:val="-14"/>
        </w:rPr>
        <w:t xml:space="preserve"> </w:t>
      </w:r>
      <w:r>
        <w:t>historias</w:t>
      </w:r>
      <w:r>
        <w:rPr>
          <w:spacing w:val="-15"/>
        </w:rPr>
        <w:t xml:space="preserve"> </w:t>
      </w:r>
      <w:r>
        <w:t>de</w:t>
      </w:r>
      <w:r>
        <w:rPr>
          <w:spacing w:val="-14"/>
        </w:rPr>
        <w:t xml:space="preserve"> </w:t>
      </w:r>
      <w:r>
        <w:t>esos</w:t>
      </w:r>
      <w:r>
        <w:rPr>
          <w:spacing w:val="-15"/>
        </w:rPr>
        <w:t xml:space="preserve"> </w:t>
      </w:r>
      <w:r>
        <w:t>funcionarios</w:t>
      </w:r>
      <w:r>
        <w:rPr>
          <w:spacing w:val="-15"/>
        </w:rPr>
        <w:t xml:space="preserve"> </w:t>
      </w:r>
      <w:r>
        <w:t>judiciales</w:t>
      </w:r>
      <w:r>
        <w:rPr>
          <w:spacing w:val="-14"/>
        </w:rPr>
        <w:t xml:space="preserve"> </w:t>
      </w:r>
      <w:r>
        <w:t>que</w:t>
      </w:r>
      <w:r>
        <w:rPr>
          <w:spacing w:val="-15"/>
        </w:rPr>
        <w:t xml:space="preserve"> </w:t>
      </w:r>
      <w:r>
        <w:t>entregaron</w:t>
      </w:r>
      <w:r>
        <w:rPr>
          <w:spacing w:val="-14"/>
        </w:rPr>
        <w:t xml:space="preserve"> </w:t>
      </w:r>
      <w:r>
        <w:t>su</w:t>
      </w:r>
      <w:r>
        <w:rPr>
          <w:spacing w:val="-15"/>
        </w:rPr>
        <w:t xml:space="preserve"> </w:t>
      </w:r>
      <w:r>
        <w:t>vida</w:t>
      </w:r>
      <w:r>
        <w:rPr>
          <w:spacing w:val="-14"/>
        </w:rPr>
        <w:t xml:space="preserve"> </w:t>
      </w:r>
      <w:r>
        <w:t>y</w:t>
      </w:r>
      <w:r>
        <w:rPr>
          <w:spacing w:val="-15"/>
        </w:rPr>
        <w:t xml:space="preserve"> </w:t>
      </w:r>
      <w:r>
        <w:t>su</w:t>
      </w:r>
      <w:r>
        <w:rPr>
          <w:spacing w:val="-15"/>
        </w:rPr>
        <w:t xml:space="preserve"> </w:t>
      </w:r>
      <w:r>
        <w:t>integridad física</w:t>
      </w:r>
      <w:r>
        <w:rPr>
          <w:spacing w:val="41"/>
        </w:rPr>
        <w:t xml:space="preserve"> </w:t>
      </w:r>
      <w:r>
        <w:t>en</w:t>
      </w:r>
      <w:r>
        <w:rPr>
          <w:spacing w:val="42"/>
        </w:rPr>
        <w:t xml:space="preserve"> </w:t>
      </w:r>
      <w:r>
        <w:t>favor</w:t>
      </w:r>
      <w:r>
        <w:rPr>
          <w:spacing w:val="43"/>
        </w:rPr>
        <w:t xml:space="preserve"> </w:t>
      </w:r>
      <w:r>
        <w:t>de</w:t>
      </w:r>
      <w:r>
        <w:rPr>
          <w:spacing w:val="42"/>
        </w:rPr>
        <w:t xml:space="preserve"> </w:t>
      </w:r>
      <w:r>
        <w:t>la</w:t>
      </w:r>
      <w:r>
        <w:rPr>
          <w:spacing w:val="43"/>
        </w:rPr>
        <w:t xml:space="preserve"> </w:t>
      </w:r>
      <w:r>
        <w:t>justicia.</w:t>
      </w:r>
      <w:r>
        <w:rPr>
          <w:spacing w:val="43"/>
        </w:rPr>
        <w:t xml:space="preserve"> </w:t>
      </w:r>
      <w:r>
        <w:t>Solo</w:t>
      </w:r>
      <w:r>
        <w:rPr>
          <w:spacing w:val="42"/>
        </w:rPr>
        <w:t xml:space="preserve"> </w:t>
      </w:r>
      <w:r>
        <w:t>han</w:t>
      </w:r>
      <w:r>
        <w:rPr>
          <w:spacing w:val="43"/>
        </w:rPr>
        <w:t xml:space="preserve"> </w:t>
      </w:r>
      <w:r>
        <w:t>tenido</w:t>
      </w:r>
      <w:r>
        <w:rPr>
          <w:spacing w:val="42"/>
        </w:rPr>
        <w:t xml:space="preserve"> </w:t>
      </w:r>
      <w:r>
        <w:t>despliegue</w:t>
      </w:r>
      <w:r>
        <w:rPr>
          <w:spacing w:val="42"/>
        </w:rPr>
        <w:t xml:space="preserve"> </w:t>
      </w:r>
      <w:r>
        <w:t>algunos</w:t>
      </w:r>
      <w:r>
        <w:rPr>
          <w:spacing w:val="43"/>
        </w:rPr>
        <w:t xml:space="preserve"> </w:t>
      </w:r>
      <w:r>
        <w:t>casos</w:t>
      </w:r>
      <w:r>
        <w:rPr>
          <w:spacing w:val="43"/>
        </w:rPr>
        <w:t xml:space="preserve"> </w:t>
      </w:r>
      <w:r>
        <w:t>de</w:t>
      </w:r>
      <w:r>
        <w:rPr>
          <w:spacing w:val="44"/>
        </w:rPr>
        <w:t xml:space="preserve"> </w:t>
      </w:r>
      <w:r>
        <w:rPr>
          <w:spacing w:val="-2"/>
        </w:rPr>
        <w:t>connotación</w:t>
      </w:r>
      <w:bookmarkStart w:id="1136" w:name="_bookmark1004"/>
      <w:bookmarkEnd w:id="1136"/>
      <w:r w:rsidR="00294FB7">
        <w:rPr>
          <w:spacing w:val="-2"/>
        </w:rPr>
        <w:t xml:space="preserve"> </w:t>
      </w:r>
      <w:r>
        <w:t>política.</w:t>
      </w:r>
      <w:r>
        <w:rPr>
          <w:spacing w:val="-5"/>
        </w:rPr>
        <w:t xml:space="preserve"> </w:t>
      </w:r>
      <w:r>
        <w:t>Es</w:t>
      </w:r>
      <w:r>
        <w:rPr>
          <w:spacing w:val="-7"/>
        </w:rPr>
        <w:t xml:space="preserve"> </w:t>
      </w:r>
      <w:r>
        <w:t>una</w:t>
      </w:r>
      <w:r>
        <w:rPr>
          <w:spacing w:val="-5"/>
        </w:rPr>
        <w:t xml:space="preserve"> </w:t>
      </w:r>
      <w:r>
        <w:t>obligación</w:t>
      </w:r>
      <w:r>
        <w:rPr>
          <w:spacing w:val="-5"/>
        </w:rPr>
        <w:t xml:space="preserve"> </w:t>
      </w:r>
      <w:r>
        <w:t>del</w:t>
      </w:r>
      <w:r>
        <w:rPr>
          <w:spacing w:val="-4"/>
        </w:rPr>
        <w:t xml:space="preserve"> </w:t>
      </w:r>
      <w:r>
        <w:t>Estado</w:t>
      </w:r>
      <w:r>
        <w:rPr>
          <w:spacing w:val="-5"/>
        </w:rPr>
        <w:t xml:space="preserve"> </w:t>
      </w:r>
      <w:r>
        <w:t>y,</w:t>
      </w:r>
      <w:r>
        <w:rPr>
          <w:spacing w:val="-5"/>
        </w:rPr>
        <w:t xml:space="preserve"> </w:t>
      </w:r>
      <w:r>
        <w:t>sobre</w:t>
      </w:r>
      <w:r>
        <w:rPr>
          <w:spacing w:val="-6"/>
        </w:rPr>
        <w:t xml:space="preserve"> </w:t>
      </w:r>
      <w:r>
        <w:t>todo</w:t>
      </w:r>
      <w:r>
        <w:rPr>
          <w:spacing w:val="-5"/>
        </w:rPr>
        <w:t xml:space="preserve"> </w:t>
      </w:r>
      <w:r>
        <w:t>del</w:t>
      </w:r>
      <w:r>
        <w:rPr>
          <w:spacing w:val="-4"/>
        </w:rPr>
        <w:t xml:space="preserve"> </w:t>
      </w:r>
      <w:r>
        <w:t>poder</w:t>
      </w:r>
      <w:r>
        <w:rPr>
          <w:spacing w:val="-6"/>
        </w:rPr>
        <w:t xml:space="preserve"> </w:t>
      </w:r>
      <w:r>
        <w:t>judicial,</w:t>
      </w:r>
      <w:r>
        <w:rPr>
          <w:spacing w:val="-6"/>
        </w:rPr>
        <w:t xml:space="preserve"> </w:t>
      </w:r>
      <w:r>
        <w:t>contarles</w:t>
      </w:r>
      <w:r>
        <w:rPr>
          <w:spacing w:val="-5"/>
        </w:rPr>
        <w:t xml:space="preserve"> </w:t>
      </w:r>
      <w:r>
        <w:t>a</w:t>
      </w:r>
      <w:r>
        <w:rPr>
          <w:spacing w:val="-6"/>
        </w:rPr>
        <w:t xml:space="preserve"> </w:t>
      </w:r>
      <w:r>
        <w:t>las</w:t>
      </w:r>
      <w:r>
        <w:rPr>
          <w:spacing w:val="-7"/>
        </w:rPr>
        <w:t xml:space="preserve"> </w:t>
      </w:r>
      <w:r>
        <w:t xml:space="preserve">nuevas generaciones de colombianos cómo le hicieron frente a la impunidad, en momentos en </w:t>
      </w:r>
      <w:r>
        <w:lastRenderedPageBreak/>
        <w:t>los que las propias autoridades fueron insuficientes ante el delito.</w:t>
      </w:r>
    </w:p>
    <w:p w:rsidR="003804AC" w:rsidRDefault="00AF18A5" w:rsidP="00294FB7">
      <w:r>
        <w:t>En síntesis, en diversos momentos del conflicto armado, la justicia se vio atacada por distintos grupos armados, paramilitares y guerrillas, y también directamente por las propias Fuerzas</w:t>
      </w:r>
      <w:r>
        <w:rPr>
          <w:spacing w:val="-6"/>
        </w:rPr>
        <w:t xml:space="preserve"> </w:t>
      </w:r>
      <w:r>
        <w:t>Militares.</w:t>
      </w:r>
      <w:r>
        <w:rPr>
          <w:spacing w:val="-6"/>
        </w:rPr>
        <w:t xml:space="preserve"> </w:t>
      </w:r>
      <w:r>
        <w:t>Un</w:t>
      </w:r>
      <w:r>
        <w:rPr>
          <w:spacing w:val="-6"/>
        </w:rPr>
        <w:t xml:space="preserve"> </w:t>
      </w:r>
      <w:r>
        <w:t>ejemplo</w:t>
      </w:r>
      <w:r>
        <w:rPr>
          <w:spacing w:val="-6"/>
        </w:rPr>
        <w:t xml:space="preserve"> </w:t>
      </w:r>
      <w:r>
        <w:t>notorio</w:t>
      </w:r>
      <w:r>
        <w:rPr>
          <w:spacing w:val="-6"/>
        </w:rPr>
        <w:t xml:space="preserve"> </w:t>
      </w:r>
      <w:r>
        <w:t>de</w:t>
      </w:r>
      <w:r>
        <w:rPr>
          <w:spacing w:val="-6"/>
        </w:rPr>
        <w:t xml:space="preserve"> </w:t>
      </w:r>
      <w:r>
        <w:t>ello</w:t>
      </w:r>
      <w:r>
        <w:rPr>
          <w:spacing w:val="-7"/>
        </w:rPr>
        <w:t xml:space="preserve"> </w:t>
      </w:r>
      <w:r>
        <w:t>fue</w:t>
      </w:r>
      <w:r>
        <w:rPr>
          <w:spacing w:val="-7"/>
        </w:rPr>
        <w:t xml:space="preserve"> </w:t>
      </w:r>
      <w:r>
        <w:t>lo</w:t>
      </w:r>
      <w:r>
        <w:rPr>
          <w:spacing w:val="-6"/>
        </w:rPr>
        <w:t xml:space="preserve"> </w:t>
      </w:r>
      <w:r>
        <w:t>ocurrido</w:t>
      </w:r>
      <w:r>
        <w:rPr>
          <w:spacing w:val="-7"/>
        </w:rPr>
        <w:t xml:space="preserve"> </w:t>
      </w:r>
      <w:r>
        <w:t>en</w:t>
      </w:r>
      <w:r>
        <w:rPr>
          <w:spacing w:val="-6"/>
        </w:rPr>
        <w:t xml:space="preserve"> </w:t>
      </w:r>
      <w:r>
        <w:t>el</w:t>
      </w:r>
      <w:r>
        <w:rPr>
          <w:spacing w:val="-6"/>
        </w:rPr>
        <w:t xml:space="preserve"> </w:t>
      </w:r>
      <w:r>
        <w:t>holocausto</w:t>
      </w:r>
      <w:r>
        <w:rPr>
          <w:spacing w:val="-6"/>
        </w:rPr>
        <w:t xml:space="preserve"> </w:t>
      </w:r>
      <w:r>
        <w:t>del</w:t>
      </w:r>
      <w:r>
        <w:rPr>
          <w:spacing w:val="-6"/>
        </w:rPr>
        <w:t xml:space="preserve"> </w:t>
      </w:r>
      <w:r>
        <w:t>Palacio</w:t>
      </w:r>
      <w:r>
        <w:rPr>
          <w:spacing w:val="-6"/>
        </w:rPr>
        <w:t xml:space="preserve"> </w:t>
      </w:r>
      <w:r>
        <w:t>de Justicia el 6 y 7 de noviembre de 1985. En respuesta al asalto del M-19, el contraataque militar</w:t>
      </w:r>
      <w:r>
        <w:rPr>
          <w:spacing w:val="-9"/>
        </w:rPr>
        <w:t xml:space="preserve"> </w:t>
      </w:r>
      <w:r>
        <w:t>terminó</w:t>
      </w:r>
      <w:r>
        <w:rPr>
          <w:spacing w:val="-10"/>
        </w:rPr>
        <w:t xml:space="preserve"> </w:t>
      </w:r>
      <w:r>
        <w:t>en</w:t>
      </w:r>
      <w:r>
        <w:rPr>
          <w:spacing w:val="-10"/>
        </w:rPr>
        <w:t xml:space="preserve"> </w:t>
      </w:r>
      <w:r>
        <w:t>casi</w:t>
      </w:r>
      <w:r>
        <w:rPr>
          <w:spacing w:val="-9"/>
        </w:rPr>
        <w:t xml:space="preserve"> </w:t>
      </w:r>
      <w:r>
        <w:t>cien</w:t>
      </w:r>
      <w:r>
        <w:rPr>
          <w:spacing w:val="-10"/>
        </w:rPr>
        <w:t xml:space="preserve"> </w:t>
      </w:r>
      <w:r>
        <w:t>víctimas</w:t>
      </w:r>
      <w:r>
        <w:rPr>
          <w:spacing w:val="-9"/>
        </w:rPr>
        <w:t xml:space="preserve"> </w:t>
      </w:r>
      <w:r>
        <w:t>mortales.</w:t>
      </w:r>
      <w:r>
        <w:rPr>
          <w:spacing w:val="-10"/>
        </w:rPr>
        <w:t xml:space="preserve"> </w:t>
      </w:r>
      <w:r>
        <w:t>Fue</w:t>
      </w:r>
      <w:r>
        <w:rPr>
          <w:spacing w:val="-9"/>
        </w:rPr>
        <w:t xml:space="preserve"> </w:t>
      </w:r>
      <w:r>
        <w:t>una</w:t>
      </w:r>
      <w:r>
        <w:rPr>
          <w:spacing w:val="-9"/>
        </w:rPr>
        <w:t xml:space="preserve"> </w:t>
      </w:r>
      <w:r>
        <w:t>acción</w:t>
      </w:r>
      <w:r>
        <w:rPr>
          <w:spacing w:val="-11"/>
        </w:rPr>
        <w:t xml:space="preserve"> </w:t>
      </w:r>
      <w:r>
        <w:t>de</w:t>
      </w:r>
      <w:r>
        <w:rPr>
          <w:spacing w:val="-9"/>
        </w:rPr>
        <w:t xml:space="preserve"> </w:t>
      </w:r>
      <w:r>
        <w:t>violencia</w:t>
      </w:r>
      <w:r>
        <w:rPr>
          <w:spacing w:val="-11"/>
        </w:rPr>
        <w:t xml:space="preserve"> </w:t>
      </w:r>
      <w:r>
        <w:t>replicada</w:t>
      </w:r>
      <w:r>
        <w:rPr>
          <w:spacing w:val="-9"/>
        </w:rPr>
        <w:t xml:space="preserve"> </w:t>
      </w:r>
      <w:r>
        <w:t>con</w:t>
      </w:r>
      <w:r>
        <w:rPr>
          <w:spacing w:val="-10"/>
        </w:rPr>
        <w:t xml:space="preserve"> </w:t>
      </w:r>
      <w:r>
        <w:t xml:space="preserve">una </w:t>
      </w:r>
      <w:r>
        <w:rPr>
          <w:spacing w:val="-2"/>
        </w:rPr>
        <w:t>reacción</w:t>
      </w:r>
      <w:r>
        <w:rPr>
          <w:spacing w:val="-6"/>
        </w:rPr>
        <w:t xml:space="preserve"> </w:t>
      </w:r>
      <w:r>
        <w:rPr>
          <w:spacing w:val="-2"/>
        </w:rPr>
        <w:t>de</w:t>
      </w:r>
      <w:r>
        <w:rPr>
          <w:spacing w:val="-9"/>
        </w:rPr>
        <w:t xml:space="preserve"> </w:t>
      </w:r>
      <w:r>
        <w:rPr>
          <w:spacing w:val="-2"/>
        </w:rPr>
        <w:t>guerra,</w:t>
      </w:r>
      <w:r>
        <w:rPr>
          <w:spacing w:val="-7"/>
        </w:rPr>
        <w:t xml:space="preserve"> </w:t>
      </w:r>
      <w:r>
        <w:rPr>
          <w:spacing w:val="-2"/>
        </w:rPr>
        <w:t>que</w:t>
      </w:r>
      <w:r>
        <w:rPr>
          <w:spacing w:val="-7"/>
        </w:rPr>
        <w:t xml:space="preserve"> </w:t>
      </w:r>
      <w:r>
        <w:rPr>
          <w:spacing w:val="-2"/>
        </w:rPr>
        <w:t>mostró</w:t>
      </w:r>
      <w:r>
        <w:rPr>
          <w:spacing w:val="-7"/>
        </w:rPr>
        <w:t xml:space="preserve"> </w:t>
      </w:r>
      <w:r>
        <w:rPr>
          <w:spacing w:val="-2"/>
        </w:rPr>
        <w:t>las</w:t>
      </w:r>
      <w:r>
        <w:rPr>
          <w:spacing w:val="-7"/>
        </w:rPr>
        <w:t xml:space="preserve"> </w:t>
      </w:r>
      <w:r>
        <w:rPr>
          <w:spacing w:val="-2"/>
        </w:rPr>
        <w:t>indecisiones</w:t>
      </w:r>
      <w:r>
        <w:rPr>
          <w:spacing w:val="-7"/>
        </w:rPr>
        <w:t xml:space="preserve"> </w:t>
      </w:r>
      <w:r>
        <w:rPr>
          <w:spacing w:val="-2"/>
        </w:rPr>
        <w:t>entre</w:t>
      </w:r>
      <w:r>
        <w:rPr>
          <w:spacing w:val="-7"/>
        </w:rPr>
        <w:t xml:space="preserve"> </w:t>
      </w:r>
      <w:r>
        <w:rPr>
          <w:spacing w:val="-2"/>
        </w:rPr>
        <w:t>la</w:t>
      </w:r>
      <w:r>
        <w:rPr>
          <w:spacing w:val="-7"/>
        </w:rPr>
        <w:t xml:space="preserve"> </w:t>
      </w:r>
      <w:r>
        <w:rPr>
          <w:spacing w:val="-2"/>
        </w:rPr>
        <w:t>guerra</w:t>
      </w:r>
      <w:r>
        <w:rPr>
          <w:spacing w:val="-6"/>
        </w:rPr>
        <w:t xml:space="preserve"> </w:t>
      </w:r>
      <w:r>
        <w:rPr>
          <w:spacing w:val="-2"/>
        </w:rPr>
        <w:t>y</w:t>
      </w:r>
      <w:r>
        <w:rPr>
          <w:spacing w:val="-7"/>
        </w:rPr>
        <w:t xml:space="preserve"> </w:t>
      </w:r>
      <w:r>
        <w:rPr>
          <w:spacing w:val="-2"/>
        </w:rPr>
        <w:t>la</w:t>
      </w:r>
      <w:r>
        <w:rPr>
          <w:spacing w:val="-6"/>
        </w:rPr>
        <w:t xml:space="preserve"> </w:t>
      </w:r>
      <w:r>
        <w:rPr>
          <w:spacing w:val="-2"/>
        </w:rPr>
        <w:t>paz</w:t>
      </w:r>
      <w:r>
        <w:rPr>
          <w:spacing w:val="-6"/>
        </w:rPr>
        <w:t xml:space="preserve"> </w:t>
      </w:r>
      <w:r>
        <w:rPr>
          <w:spacing w:val="-2"/>
        </w:rPr>
        <w:t>que</w:t>
      </w:r>
      <w:r>
        <w:rPr>
          <w:spacing w:val="-6"/>
        </w:rPr>
        <w:t xml:space="preserve"> </w:t>
      </w:r>
      <w:r>
        <w:rPr>
          <w:spacing w:val="-2"/>
        </w:rPr>
        <w:t>entonces</w:t>
      </w:r>
      <w:r>
        <w:rPr>
          <w:spacing w:val="-7"/>
        </w:rPr>
        <w:t xml:space="preserve"> </w:t>
      </w:r>
      <w:r>
        <w:rPr>
          <w:spacing w:val="-2"/>
        </w:rPr>
        <w:t xml:space="preserve">afrontaba </w:t>
      </w:r>
      <w:r>
        <w:t>el país. La toma del Palacio fue, además, el preámbulo de una época crítica y un golpe demoledor</w:t>
      </w:r>
      <w:r>
        <w:rPr>
          <w:spacing w:val="-9"/>
        </w:rPr>
        <w:t xml:space="preserve"> </w:t>
      </w:r>
      <w:r>
        <w:t>para</w:t>
      </w:r>
      <w:r>
        <w:rPr>
          <w:spacing w:val="-9"/>
        </w:rPr>
        <w:t xml:space="preserve"> </w:t>
      </w:r>
      <w:r>
        <w:t>todos</w:t>
      </w:r>
      <w:r>
        <w:rPr>
          <w:spacing w:val="-9"/>
        </w:rPr>
        <w:t xml:space="preserve"> </w:t>
      </w:r>
      <w:r>
        <w:t>los</w:t>
      </w:r>
      <w:r>
        <w:rPr>
          <w:spacing w:val="-11"/>
        </w:rPr>
        <w:t xml:space="preserve"> </w:t>
      </w:r>
      <w:r>
        <w:t>involucrados</w:t>
      </w:r>
      <w:r>
        <w:rPr>
          <w:spacing w:val="-9"/>
        </w:rPr>
        <w:t xml:space="preserve"> </w:t>
      </w:r>
      <w:r>
        <w:t>en</w:t>
      </w:r>
      <w:r>
        <w:rPr>
          <w:spacing w:val="-9"/>
        </w:rPr>
        <w:t xml:space="preserve"> </w:t>
      </w:r>
      <w:r>
        <w:t>los</w:t>
      </w:r>
      <w:r>
        <w:rPr>
          <w:spacing w:val="-9"/>
        </w:rPr>
        <w:t xml:space="preserve"> </w:t>
      </w:r>
      <w:r>
        <w:t>hechos,</w:t>
      </w:r>
      <w:r>
        <w:rPr>
          <w:spacing w:val="-10"/>
        </w:rPr>
        <w:t xml:space="preserve"> </w:t>
      </w:r>
      <w:r>
        <w:t>especialmente</w:t>
      </w:r>
      <w:r>
        <w:rPr>
          <w:spacing w:val="-9"/>
        </w:rPr>
        <w:t xml:space="preserve"> </w:t>
      </w:r>
      <w:r>
        <w:t>para</w:t>
      </w:r>
      <w:r>
        <w:rPr>
          <w:spacing w:val="-10"/>
        </w:rPr>
        <w:t xml:space="preserve"> </w:t>
      </w:r>
      <w:r>
        <w:t>las</w:t>
      </w:r>
      <w:r>
        <w:rPr>
          <w:spacing w:val="-9"/>
        </w:rPr>
        <w:t xml:space="preserve"> </w:t>
      </w:r>
      <w:r>
        <w:t>víctimas</w:t>
      </w:r>
      <w:r>
        <w:rPr>
          <w:spacing w:val="-9"/>
        </w:rPr>
        <w:t xml:space="preserve"> </w:t>
      </w:r>
      <w:r>
        <w:t>civiles y, por supuesto, para la justicia.</w:t>
      </w:r>
    </w:p>
    <w:p w:rsidR="00294FB7" w:rsidRDefault="00294FB7" w:rsidP="00294FB7">
      <w:pPr>
        <w:pStyle w:val="Ttulo4"/>
      </w:pPr>
      <w:r>
        <w:t>El caso del Palacio de Justicia</w:t>
      </w:r>
    </w:p>
    <w:p w:rsidR="00294FB7" w:rsidRDefault="00294FB7" w:rsidP="00294FB7">
      <w:r>
        <w:t>La toma guerrillera del M-19 y la posterior retoma de las Fuerzas Armadas tras un operativo de 28 horas, no solo dejó un centenar de víctimas mortales, entre ellos 11 magistrados de la Corte Suprema de Justicia. sino que también dejó derruido, desmoralizado y arrinconado el poder judicial</w:t>
      </w:r>
    </w:p>
    <w:p w:rsidR="003804AC" w:rsidRDefault="00294FB7" w:rsidP="00294FB7">
      <w:r>
        <w:t xml:space="preserve">El símbolo de esa época es el Palacio de Justicia –el lugar de las altas cortes del país– consumido por las llamas de la conflagración armada en pleno centro de Bogotá. «Por lo menos tres de los magistrados Alfonso Reyes Echandía, Ricardo Medina Moyano y José Eduardo Gnecco Correa mostraron en sus restos mortales proyectiles de armas que no usó la guerrilla», concluyó la Comisión de la Verdad sobre los hechos del Palacio de Justicia. Adicionalmente magistrados auxiliares como Lisandro Romero, Luz Estella Bernal, Emiro Sandoval Huertas, Jorge Alberto Echeverry Correa, Julio César Andrade </w:t>
      </w:r>
      <w:proofErr w:type="spellStart"/>
      <w:r>
        <w:t>Andrade</w:t>
      </w:r>
      <w:proofErr w:type="spellEnd"/>
      <w:r>
        <w:t xml:space="preserve"> y Carlos Horacio Urán </w:t>
      </w:r>
      <w:r>
        <w:lastRenderedPageBreak/>
        <w:t xml:space="preserve">también murieron en los hechos. Está comprobado que este último salió con vida del Palacio de Justicia, custodiado por miembros de la fuerza pública y luego apareció </w:t>
      </w:r>
      <w:r w:rsidR="00AF18A5">
        <w:t>asesinado</w:t>
      </w:r>
      <w:r>
        <w:rPr>
          <w:rStyle w:val="Refdenotaalpie"/>
        </w:rPr>
        <w:footnoteReference w:id="920"/>
      </w:r>
      <w:r w:rsidR="00AF18A5">
        <w:t>. Dos miembros del M-19 también salieron con vida: uno reapareció muerto en el Palacio y la otra fue desaparecida. Otras personas fueron torturadas en instalaciones militares del Cantón Norte y otros lugares, y varias fueron desaparecidas posteriormente</w:t>
      </w:r>
      <w:r>
        <w:rPr>
          <w:rStyle w:val="Refdenotaalpie"/>
        </w:rPr>
        <w:footnoteReference w:id="921"/>
      </w:r>
      <w:r w:rsidR="00AF18A5">
        <w:t>.</w:t>
      </w:r>
    </w:p>
    <w:p w:rsidR="003804AC" w:rsidRDefault="00AF18A5" w:rsidP="00294FB7">
      <w:r>
        <w:t>La Comisión encontró que la información con que contaban las fuerzas de seguridad del Estado –el repentino retiro de la seguridad del edificio y la instantánea organización del operativo militar– indican que se planeó un operativo prediseñado con este propósito. Después de los hechos, los medios de comunicación se silenciaron, el poder judicial fue usurpado y los abusos en el manejo de las pruebas y los cadáveres probaron la prevalencia de las órdenes marciales sobre las judiciales. En adelante, cualquier decisión judicial sobre el</w:t>
      </w:r>
      <w:r>
        <w:rPr>
          <w:spacing w:val="-4"/>
        </w:rPr>
        <w:t xml:space="preserve"> </w:t>
      </w:r>
      <w:r>
        <w:t>caso</w:t>
      </w:r>
      <w:r>
        <w:rPr>
          <w:spacing w:val="-5"/>
        </w:rPr>
        <w:t xml:space="preserve"> </w:t>
      </w:r>
      <w:r>
        <w:t>del</w:t>
      </w:r>
      <w:r>
        <w:rPr>
          <w:spacing w:val="-4"/>
        </w:rPr>
        <w:t xml:space="preserve"> </w:t>
      </w:r>
      <w:r>
        <w:t>holocausto</w:t>
      </w:r>
      <w:r>
        <w:rPr>
          <w:spacing w:val="-5"/>
        </w:rPr>
        <w:t xml:space="preserve"> </w:t>
      </w:r>
      <w:r>
        <w:t>del</w:t>
      </w:r>
      <w:r>
        <w:rPr>
          <w:spacing w:val="-4"/>
        </w:rPr>
        <w:t xml:space="preserve"> </w:t>
      </w:r>
      <w:r>
        <w:t>Palacio</w:t>
      </w:r>
      <w:r>
        <w:rPr>
          <w:spacing w:val="-5"/>
        </w:rPr>
        <w:t xml:space="preserve"> </w:t>
      </w:r>
      <w:r>
        <w:t>de</w:t>
      </w:r>
      <w:r>
        <w:rPr>
          <w:spacing w:val="-6"/>
        </w:rPr>
        <w:t xml:space="preserve"> </w:t>
      </w:r>
      <w:r>
        <w:t>Justica</w:t>
      </w:r>
      <w:r>
        <w:rPr>
          <w:spacing w:val="-5"/>
        </w:rPr>
        <w:t xml:space="preserve"> </w:t>
      </w:r>
      <w:r>
        <w:t>se</w:t>
      </w:r>
      <w:r>
        <w:rPr>
          <w:spacing w:val="-5"/>
        </w:rPr>
        <w:t xml:space="preserve"> </w:t>
      </w:r>
      <w:r>
        <w:t>convirtió</w:t>
      </w:r>
      <w:r>
        <w:rPr>
          <w:spacing w:val="-5"/>
        </w:rPr>
        <w:t xml:space="preserve"> </w:t>
      </w:r>
      <w:r>
        <w:t>en</w:t>
      </w:r>
      <w:r>
        <w:rPr>
          <w:spacing w:val="-5"/>
        </w:rPr>
        <w:t xml:space="preserve"> </w:t>
      </w:r>
      <w:r>
        <w:t>un</w:t>
      </w:r>
      <w:r>
        <w:rPr>
          <w:spacing w:val="-6"/>
        </w:rPr>
        <w:t xml:space="preserve"> </w:t>
      </w:r>
      <w:r>
        <w:t>dilema</w:t>
      </w:r>
      <w:r>
        <w:rPr>
          <w:spacing w:val="-5"/>
        </w:rPr>
        <w:t xml:space="preserve"> </w:t>
      </w:r>
      <w:r>
        <w:t>político.</w:t>
      </w:r>
      <w:r>
        <w:rPr>
          <w:spacing w:val="-5"/>
        </w:rPr>
        <w:t xml:space="preserve"> </w:t>
      </w:r>
      <w:r>
        <w:t>El</w:t>
      </w:r>
      <w:r>
        <w:rPr>
          <w:spacing w:val="-4"/>
        </w:rPr>
        <w:t xml:space="preserve"> </w:t>
      </w:r>
      <w:r>
        <w:t>caso</w:t>
      </w:r>
      <w:r>
        <w:rPr>
          <w:spacing w:val="-6"/>
        </w:rPr>
        <w:t xml:space="preserve"> </w:t>
      </w:r>
      <w:r>
        <w:t>se</w:t>
      </w:r>
      <w:r>
        <w:rPr>
          <w:spacing w:val="-5"/>
        </w:rPr>
        <w:t xml:space="preserve"> </w:t>
      </w:r>
      <w:r>
        <w:t>ha movido en varios escenarios judiciales: la justicia ordinaria, la justicia penal militar, el contencioso</w:t>
      </w:r>
      <w:r>
        <w:rPr>
          <w:spacing w:val="-15"/>
        </w:rPr>
        <w:t xml:space="preserve"> </w:t>
      </w:r>
      <w:r>
        <w:t>administrativo,</w:t>
      </w:r>
      <w:r>
        <w:rPr>
          <w:spacing w:val="-15"/>
        </w:rPr>
        <w:t xml:space="preserve"> </w:t>
      </w:r>
      <w:r>
        <w:t>la</w:t>
      </w:r>
      <w:r>
        <w:rPr>
          <w:spacing w:val="-15"/>
        </w:rPr>
        <w:t xml:space="preserve"> </w:t>
      </w:r>
      <w:r>
        <w:t>Procuraduría,</w:t>
      </w:r>
      <w:r>
        <w:rPr>
          <w:spacing w:val="-15"/>
        </w:rPr>
        <w:t xml:space="preserve"> </w:t>
      </w:r>
      <w:r>
        <w:t>el</w:t>
      </w:r>
      <w:r>
        <w:rPr>
          <w:spacing w:val="-15"/>
        </w:rPr>
        <w:t xml:space="preserve"> </w:t>
      </w:r>
      <w:r>
        <w:t>Sistema</w:t>
      </w:r>
      <w:r>
        <w:rPr>
          <w:spacing w:val="-15"/>
        </w:rPr>
        <w:t xml:space="preserve"> </w:t>
      </w:r>
      <w:r>
        <w:t>Interamericano</w:t>
      </w:r>
      <w:r>
        <w:rPr>
          <w:spacing w:val="-15"/>
        </w:rPr>
        <w:t xml:space="preserve"> </w:t>
      </w:r>
      <w:r>
        <w:t>y,</w:t>
      </w:r>
      <w:r>
        <w:rPr>
          <w:spacing w:val="-15"/>
        </w:rPr>
        <w:t xml:space="preserve"> </w:t>
      </w:r>
      <w:r>
        <w:t>más</w:t>
      </w:r>
      <w:r>
        <w:rPr>
          <w:spacing w:val="-15"/>
        </w:rPr>
        <w:t xml:space="preserve"> </w:t>
      </w:r>
      <w:r>
        <w:t>recientemente, la Jurisdicción Especial para la Paz. Este ha sido el único caso registrado que ha tenido una comisión de la verdad creada directamente por la Corte Suprema de Justicia.</w:t>
      </w:r>
    </w:p>
    <w:p w:rsidR="00294FB7" w:rsidRPr="00294FB7" w:rsidRDefault="00AF18A5" w:rsidP="00294FB7">
      <w:pPr>
        <w:rPr>
          <w:spacing w:val="-2"/>
        </w:rPr>
      </w:pPr>
      <w:r>
        <w:t>En</w:t>
      </w:r>
      <w:r>
        <w:rPr>
          <w:spacing w:val="-5"/>
        </w:rPr>
        <w:t xml:space="preserve"> </w:t>
      </w:r>
      <w:r>
        <w:t>medio</w:t>
      </w:r>
      <w:r>
        <w:rPr>
          <w:spacing w:val="-5"/>
        </w:rPr>
        <w:t xml:space="preserve"> </w:t>
      </w:r>
      <w:r>
        <w:t>de</w:t>
      </w:r>
      <w:r>
        <w:rPr>
          <w:spacing w:val="-6"/>
        </w:rPr>
        <w:t xml:space="preserve"> </w:t>
      </w:r>
      <w:r>
        <w:t>la</w:t>
      </w:r>
      <w:r>
        <w:rPr>
          <w:spacing w:val="-5"/>
        </w:rPr>
        <w:t xml:space="preserve"> </w:t>
      </w:r>
      <w:r>
        <w:t>insistencia</w:t>
      </w:r>
      <w:r>
        <w:rPr>
          <w:spacing w:val="-5"/>
        </w:rPr>
        <w:t xml:space="preserve"> </w:t>
      </w:r>
      <w:r>
        <w:t>del</w:t>
      </w:r>
      <w:r>
        <w:rPr>
          <w:spacing w:val="-4"/>
        </w:rPr>
        <w:t xml:space="preserve"> </w:t>
      </w:r>
      <w:r>
        <w:t>grupo</w:t>
      </w:r>
      <w:r>
        <w:rPr>
          <w:spacing w:val="-6"/>
        </w:rPr>
        <w:t xml:space="preserve"> </w:t>
      </w:r>
      <w:r>
        <w:t>de</w:t>
      </w:r>
      <w:r>
        <w:rPr>
          <w:spacing w:val="-5"/>
        </w:rPr>
        <w:t xml:space="preserve"> </w:t>
      </w:r>
      <w:r>
        <w:t>familiares</w:t>
      </w:r>
      <w:r>
        <w:rPr>
          <w:spacing w:val="-5"/>
        </w:rPr>
        <w:t xml:space="preserve"> </w:t>
      </w:r>
      <w:r>
        <w:t>de</w:t>
      </w:r>
      <w:r>
        <w:rPr>
          <w:spacing w:val="-5"/>
        </w:rPr>
        <w:t xml:space="preserve"> </w:t>
      </w:r>
      <w:r>
        <w:t>los</w:t>
      </w:r>
      <w:r>
        <w:rPr>
          <w:spacing w:val="-5"/>
        </w:rPr>
        <w:t xml:space="preserve"> </w:t>
      </w:r>
      <w:r>
        <w:t>desaparecidos</w:t>
      </w:r>
      <w:r>
        <w:rPr>
          <w:spacing w:val="-5"/>
        </w:rPr>
        <w:t xml:space="preserve"> </w:t>
      </w:r>
      <w:r>
        <w:t>de</w:t>
      </w:r>
      <w:r>
        <w:rPr>
          <w:spacing w:val="-6"/>
        </w:rPr>
        <w:t xml:space="preserve"> </w:t>
      </w:r>
      <w:r>
        <w:t>la</w:t>
      </w:r>
      <w:r>
        <w:rPr>
          <w:spacing w:val="-5"/>
        </w:rPr>
        <w:t xml:space="preserve"> </w:t>
      </w:r>
      <w:r>
        <w:t>cafetería</w:t>
      </w:r>
      <w:r>
        <w:rPr>
          <w:spacing w:val="-5"/>
        </w:rPr>
        <w:t xml:space="preserve"> </w:t>
      </w:r>
      <w:r>
        <w:t>del Palacio de Justicia, su abogado Eduardo Umaña Mendoza quien además llevaba otros muchos</w:t>
      </w:r>
      <w:r>
        <w:rPr>
          <w:spacing w:val="-15"/>
        </w:rPr>
        <w:t xml:space="preserve"> </w:t>
      </w:r>
      <w:r>
        <w:t>casos</w:t>
      </w:r>
      <w:r>
        <w:rPr>
          <w:spacing w:val="-15"/>
        </w:rPr>
        <w:t xml:space="preserve"> </w:t>
      </w:r>
      <w:r>
        <w:t>de</w:t>
      </w:r>
      <w:r>
        <w:rPr>
          <w:spacing w:val="-15"/>
        </w:rPr>
        <w:t xml:space="preserve"> </w:t>
      </w:r>
      <w:r>
        <w:t>violaciones</w:t>
      </w:r>
      <w:r>
        <w:rPr>
          <w:spacing w:val="-15"/>
        </w:rPr>
        <w:t xml:space="preserve"> </w:t>
      </w:r>
      <w:r>
        <w:t>de</w:t>
      </w:r>
      <w:r>
        <w:rPr>
          <w:spacing w:val="-15"/>
        </w:rPr>
        <w:t xml:space="preserve"> </w:t>
      </w:r>
      <w:r>
        <w:lastRenderedPageBreak/>
        <w:t>derechos</w:t>
      </w:r>
      <w:r>
        <w:rPr>
          <w:spacing w:val="-15"/>
        </w:rPr>
        <w:t xml:space="preserve"> </w:t>
      </w:r>
      <w:r>
        <w:t>humanos</w:t>
      </w:r>
      <w:r>
        <w:rPr>
          <w:spacing w:val="-15"/>
        </w:rPr>
        <w:t xml:space="preserve"> </w:t>
      </w:r>
      <w:r>
        <w:t>resultó</w:t>
      </w:r>
      <w:r>
        <w:rPr>
          <w:spacing w:val="-15"/>
        </w:rPr>
        <w:t xml:space="preserve"> </w:t>
      </w:r>
      <w:r>
        <w:t>asesinado.</w:t>
      </w:r>
      <w:r>
        <w:rPr>
          <w:spacing w:val="-14"/>
        </w:rPr>
        <w:t xml:space="preserve"> </w:t>
      </w:r>
      <w:r>
        <w:t>Funcionarios</w:t>
      </w:r>
      <w:r>
        <w:rPr>
          <w:spacing w:val="-15"/>
        </w:rPr>
        <w:t xml:space="preserve"> </w:t>
      </w:r>
      <w:r>
        <w:t>judiciales y víctimas del caso han sufrido hostigamientos y persecución. Varios testigos, incluyendo personal militar, fueron amenazados. En desarrollo del expediente por el caso de los desaparecidos en el Palacio de Justicia, entre 2006 y 2007, la fiscal cuarta ante la Corte Suprema, Ángela Buitrago, ordenó detener a varios suboficiales y oficiales de las Fuerzas Militares. Luego, en agosto de 2010 compulsó copias para investigar a tres generales por el asesinato del magistrado auxiliar Carlos Horacio Urán. Al poco tiempo, se le pidió que presentara su renuncia y un mes después la separaron de su cargo. El 2 de junio de 2010, la CIDH</w:t>
      </w:r>
      <w:r>
        <w:rPr>
          <w:spacing w:val="3"/>
        </w:rPr>
        <w:t xml:space="preserve"> </w:t>
      </w:r>
      <w:r>
        <w:t>otorgó</w:t>
      </w:r>
      <w:r>
        <w:rPr>
          <w:spacing w:val="7"/>
        </w:rPr>
        <w:t xml:space="preserve"> </w:t>
      </w:r>
      <w:r>
        <w:t>medidas</w:t>
      </w:r>
      <w:r>
        <w:rPr>
          <w:spacing w:val="7"/>
        </w:rPr>
        <w:t xml:space="preserve"> </w:t>
      </w:r>
      <w:r>
        <w:t>cautelares</w:t>
      </w:r>
      <w:r>
        <w:rPr>
          <w:spacing w:val="6"/>
        </w:rPr>
        <w:t xml:space="preserve"> </w:t>
      </w:r>
      <w:r>
        <w:t>a</w:t>
      </w:r>
      <w:r>
        <w:rPr>
          <w:spacing w:val="7"/>
        </w:rPr>
        <w:t xml:space="preserve"> </w:t>
      </w:r>
      <w:r>
        <w:t>favor</w:t>
      </w:r>
      <w:r>
        <w:rPr>
          <w:spacing w:val="7"/>
        </w:rPr>
        <w:t xml:space="preserve"> </w:t>
      </w:r>
      <w:r>
        <w:t>de</w:t>
      </w:r>
      <w:r>
        <w:rPr>
          <w:spacing w:val="7"/>
        </w:rPr>
        <w:t xml:space="preserve"> </w:t>
      </w:r>
      <w:r>
        <w:t>María</w:t>
      </w:r>
      <w:r>
        <w:rPr>
          <w:spacing w:val="7"/>
        </w:rPr>
        <w:t xml:space="preserve"> </w:t>
      </w:r>
      <w:r>
        <w:t>Stella</w:t>
      </w:r>
      <w:r>
        <w:rPr>
          <w:spacing w:val="6"/>
        </w:rPr>
        <w:t xml:space="preserve"> </w:t>
      </w:r>
      <w:r>
        <w:t>Jara</w:t>
      </w:r>
      <w:r>
        <w:rPr>
          <w:spacing w:val="7"/>
        </w:rPr>
        <w:t xml:space="preserve"> </w:t>
      </w:r>
      <w:r>
        <w:t>Gutiérrez,</w:t>
      </w:r>
      <w:r>
        <w:rPr>
          <w:spacing w:val="5"/>
        </w:rPr>
        <w:t xml:space="preserve"> </w:t>
      </w:r>
      <w:r>
        <w:t>quien</w:t>
      </w:r>
      <w:r>
        <w:rPr>
          <w:spacing w:val="7"/>
        </w:rPr>
        <w:t xml:space="preserve"> </w:t>
      </w:r>
      <w:r>
        <w:t>tuvo</w:t>
      </w:r>
      <w:r>
        <w:rPr>
          <w:spacing w:val="6"/>
        </w:rPr>
        <w:t xml:space="preserve"> </w:t>
      </w:r>
      <w:r>
        <w:t>a</w:t>
      </w:r>
      <w:r>
        <w:rPr>
          <w:spacing w:val="6"/>
        </w:rPr>
        <w:t xml:space="preserve"> </w:t>
      </w:r>
      <w:r>
        <w:rPr>
          <w:spacing w:val="-2"/>
        </w:rPr>
        <w:t>cargo</w:t>
      </w:r>
      <w:r w:rsidR="00294FB7">
        <w:rPr>
          <w:spacing w:val="-2"/>
        </w:rPr>
        <w:t xml:space="preserve"> </w:t>
      </w:r>
      <w:r w:rsidR="00294FB7" w:rsidRPr="00294FB7">
        <w:rPr>
          <w:spacing w:val="-2"/>
        </w:rPr>
        <w:t>el caso del Palacio de Justicia y sufrió múltiples amenazas. Posteriormente, la jueza Jara se exilió temporalmente. Magistrados del Tribunal que conocieron el caso también sufrieron persecuciones en forma de hostigamiento en sus desplazamientos, descrédito público y denuncias por su gestión.</w:t>
      </w:r>
    </w:p>
    <w:p w:rsidR="0011361F" w:rsidRDefault="00294FB7" w:rsidP="00294FB7">
      <w:r w:rsidRPr="00294FB7">
        <w:rPr>
          <w:spacing w:val="-2"/>
        </w:rPr>
        <w:t>En 2014, la justicia internacional declaró la responsabilidad del Estado colombiano por las desapariciones, torturas, ejecuciones y denegación de justicia en el caso del Palacio, en consonancia con lo que había declarado en diferentes oportunidades el Consejo de Estado, pero eso no se tradujo en avances concretos contra la impunidad en el país. Los hechos del Palacio tuvieron un efecto devastador sobre la justicia y contribuyeron a la impunidad posterior en muchos casos debido al miedo, la falta de garantías y la desaparición de una buena parte de la cúpula de las altas cortes de Colombia, que contaban con un enorme reconocimiento nacional e internacional.</w:t>
      </w:r>
    </w:p>
    <w:p w:rsidR="0011361F" w:rsidRDefault="00AF18A5" w:rsidP="004A6EF4">
      <w:pPr>
        <w:pStyle w:val="Ttulo3"/>
        <w:numPr>
          <w:ilvl w:val="1"/>
          <w:numId w:val="16"/>
        </w:numPr>
      </w:pPr>
      <w:bookmarkStart w:id="1137" w:name="_bookmark1005"/>
      <w:bookmarkStart w:id="1138" w:name="_bookmark1006"/>
      <w:bookmarkStart w:id="1139" w:name="8.7._Bloqueo_de_las_investigaciones_sobr"/>
      <w:bookmarkStart w:id="1140" w:name="_Toc112399632"/>
      <w:bookmarkEnd w:id="1137"/>
      <w:bookmarkEnd w:id="1138"/>
      <w:bookmarkEnd w:id="1139"/>
      <w:r>
        <w:t>Bloqueo</w:t>
      </w:r>
      <w:r>
        <w:rPr>
          <w:spacing w:val="-5"/>
        </w:rPr>
        <w:t xml:space="preserve"> </w:t>
      </w:r>
      <w:r>
        <w:t>de</w:t>
      </w:r>
      <w:r>
        <w:rPr>
          <w:spacing w:val="-2"/>
        </w:rPr>
        <w:t xml:space="preserve"> </w:t>
      </w:r>
      <w:r>
        <w:t>las</w:t>
      </w:r>
      <w:r>
        <w:rPr>
          <w:spacing w:val="-2"/>
        </w:rPr>
        <w:t xml:space="preserve"> </w:t>
      </w:r>
      <w:r>
        <w:t>investigaciones</w:t>
      </w:r>
      <w:r>
        <w:rPr>
          <w:spacing w:val="-3"/>
        </w:rPr>
        <w:t xml:space="preserve"> </w:t>
      </w:r>
      <w:r>
        <w:t>sobre</w:t>
      </w:r>
      <w:r>
        <w:rPr>
          <w:spacing w:val="-2"/>
        </w:rPr>
        <w:t xml:space="preserve"> </w:t>
      </w:r>
      <w:proofErr w:type="spellStart"/>
      <w:r w:rsidRPr="00294FB7">
        <w:t>narcoparamilitarismo</w:t>
      </w:r>
      <w:proofErr w:type="spellEnd"/>
      <w:r>
        <w:rPr>
          <w:spacing w:val="-3"/>
        </w:rPr>
        <w:t xml:space="preserve"> </w:t>
      </w:r>
      <w:r>
        <w:t>y</w:t>
      </w:r>
      <w:r>
        <w:rPr>
          <w:spacing w:val="-2"/>
        </w:rPr>
        <w:t xml:space="preserve"> </w:t>
      </w:r>
      <w:r>
        <w:t>ataques</w:t>
      </w:r>
      <w:r>
        <w:rPr>
          <w:spacing w:val="-2"/>
        </w:rPr>
        <w:t xml:space="preserve"> </w:t>
      </w:r>
      <w:r>
        <w:t>a</w:t>
      </w:r>
      <w:r>
        <w:rPr>
          <w:spacing w:val="-2"/>
        </w:rPr>
        <w:t xml:space="preserve"> </w:t>
      </w:r>
      <w:r>
        <w:t>la</w:t>
      </w:r>
      <w:r>
        <w:rPr>
          <w:spacing w:val="-2"/>
        </w:rPr>
        <w:t xml:space="preserve"> justicia</w:t>
      </w:r>
      <w:bookmarkEnd w:id="1140"/>
    </w:p>
    <w:p w:rsidR="003804AC" w:rsidRDefault="00AF18A5" w:rsidP="009F0CCA">
      <w:r>
        <w:lastRenderedPageBreak/>
        <w:t>Algunas</w:t>
      </w:r>
      <w:r>
        <w:rPr>
          <w:spacing w:val="-2"/>
        </w:rPr>
        <w:t xml:space="preserve"> </w:t>
      </w:r>
      <w:r>
        <w:t>investigaciones</w:t>
      </w:r>
      <w:r>
        <w:rPr>
          <w:spacing w:val="-3"/>
        </w:rPr>
        <w:t xml:space="preserve"> </w:t>
      </w:r>
      <w:r>
        <w:t>judiciales</w:t>
      </w:r>
      <w:r>
        <w:rPr>
          <w:spacing w:val="-2"/>
        </w:rPr>
        <w:t xml:space="preserve"> </w:t>
      </w:r>
      <w:r>
        <w:t>permitieron</w:t>
      </w:r>
      <w:r>
        <w:rPr>
          <w:spacing w:val="-2"/>
        </w:rPr>
        <w:t xml:space="preserve"> </w:t>
      </w:r>
      <w:r>
        <w:t>entender</w:t>
      </w:r>
      <w:r>
        <w:rPr>
          <w:spacing w:val="-2"/>
        </w:rPr>
        <w:t xml:space="preserve"> </w:t>
      </w:r>
      <w:r>
        <w:t>el</w:t>
      </w:r>
      <w:r>
        <w:rPr>
          <w:spacing w:val="-2"/>
        </w:rPr>
        <w:t xml:space="preserve"> </w:t>
      </w:r>
      <w:r>
        <w:t>papel</w:t>
      </w:r>
      <w:r>
        <w:rPr>
          <w:spacing w:val="-2"/>
        </w:rPr>
        <w:t xml:space="preserve"> </w:t>
      </w:r>
      <w:r>
        <w:t>del</w:t>
      </w:r>
      <w:r>
        <w:rPr>
          <w:spacing w:val="-2"/>
        </w:rPr>
        <w:t xml:space="preserve"> </w:t>
      </w:r>
      <w:r>
        <w:t>paramilitarismo</w:t>
      </w:r>
      <w:r>
        <w:rPr>
          <w:spacing w:val="-3"/>
        </w:rPr>
        <w:t xml:space="preserve"> </w:t>
      </w:r>
      <w:r>
        <w:t>en</w:t>
      </w:r>
      <w:r>
        <w:rPr>
          <w:spacing w:val="-2"/>
        </w:rPr>
        <w:t xml:space="preserve"> </w:t>
      </w:r>
      <w:r>
        <w:t>una época</w:t>
      </w:r>
      <w:r>
        <w:rPr>
          <w:spacing w:val="-6"/>
        </w:rPr>
        <w:t xml:space="preserve"> </w:t>
      </w:r>
      <w:r>
        <w:t>en</w:t>
      </w:r>
      <w:r>
        <w:rPr>
          <w:spacing w:val="-6"/>
        </w:rPr>
        <w:t xml:space="preserve"> </w:t>
      </w:r>
      <w:r>
        <w:t>que</w:t>
      </w:r>
      <w:r>
        <w:rPr>
          <w:spacing w:val="-6"/>
        </w:rPr>
        <w:t xml:space="preserve"> </w:t>
      </w:r>
      <w:r>
        <w:t>el</w:t>
      </w:r>
      <w:r>
        <w:rPr>
          <w:spacing w:val="-5"/>
        </w:rPr>
        <w:t xml:space="preserve"> </w:t>
      </w:r>
      <w:r>
        <w:t>narcotráfico</w:t>
      </w:r>
      <w:r>
        <w:rPr>
          <w:spacing w:val="-6"/>
        </w:rPr>
        <w:t xml:space="preserve"> </w:t>
      </w:r>
      <w:r>
        <w:t>empezó</w:t>
      </w:r>
      <w:r>
        <w:rPr>
          <w:spacing w:val="-6"/>
        </w:rPr>
        <w:t xml:space="preserve"> </w:t>
      </w:r>
      <w:r>
        <w:t>su</w:t>
      </w:r>
      <w:r>
        <w:rPr>
          <w:spacing w:val="-6"/>
        </w:rPr>
        <w:t xml:space="preserve"> </w:t>
      </w:r>
      <w:r>
        <w:t>orientación</w:t>
      </w:r>
      <w:r>
        <w:rPr>
          <w:spacing w:val="-6"/>
        </w:rPr>
        <w:t xml:space="preserve"> </w:t>
      </w:r>
      <w:r>
        <w:t>contrainsurgente.</w:t>
      </w:r>
      <w:r>
        <w:rPr>
          <w:spacing w:val="-6"/>
        </w:rPr>
        <w:t xml:space="preserve"> </w:t>
      </w:r>
      <w:r>
        <w:t>Una</w:t>
      </w:r>
      <w:r>
        <w:rPr>
          <w:spacing w:val="-6"/>
        </w:rPr>
        <w:t xml:space="preserve"> </w:t>
      </w:r>
      <w:r>
        <w:t>jueza</w:t>
      </w:r>
      <w:r>
        <w:rPr>
          <w:spacing w:val="-6"/>
        </w:rPr>
        <w:t xml:space="preserve"> </w:t>
      </w:r>
      <w:r>
        <w:t>de</w:t>
      </w:r>
      <w:r>
        <w:rPr>
          <w:spacing w:val="-6"/>
        </w:rPr>
        <w:t xml:space="preserve"> </w:t>
      </w:r>
      <w:r>
        <w:t>la</w:t>
      </w:r>
      <w:r>
        <w:rPr>
          <w:spacing w:val="-6"/>
        </w:rPr>
        <w:t xml:space="preserve"> </w:t>
      </w:r>
      <w:r>
        <w:t>época, en el exilio desde hace más de 30 años, habló con la Comisión de la Verdad sobre su investigación</w:t>
      </w:r>
      <w:r>
        <w:rPr>
          <w:spacing w:val="-15"/>
        </w:rPr>
        <w:t xml:space="preserve"> </w:t>
      </w:r>
      <w:r>
        <w:t>de</w:t>
      </w:r>
      <w:r>
        <w:rPr>
          <w:spacing w:val="-15"/>
        </w:rPr>
        <w:t xml:space="preserve"> </w:t>
      </w:r>
      <w:r>
        <w:t>las</w:t>
      </w:r>
      <w:r>
        <w:rPr>
          <w:spacing w:val="-15"/>
        </w:rPr>
        <w:t xml:space="preserve"> </w:t>
      </w:r>
      <w:r>
        <w:t>matanzas</w:t>
      </w:r>
      <w:r>
        <w:rPr>
          <w:spacing w:val="-15"/>
        </w:rPr>
        <w:t xml:space="preserve"> </w:t>
      </w:r>
      <w:r>
        <w:t>producidas</w:t>
      </w:r>
      <w:r>
        <w:rPr>
          <w:spacing w:val="-15"/>
        </w:rPr>
        <w:t xml:space="preserve"> </w:t>
      </w:r>
      <w:r>
        <w:t>en</w:t>
      </w:r>
      <w:r>
        <w:rPr>
          <w:spacing w:val="-15"/>
        </w:rPr>
        <w:t xml:space="preserve"> </w:t>
      </w:r>
      <w:r>
        <w:t>Honduras,</w:t>
      </w:r>
      <w:r>
        <w:rPr>
          <w:spacing w:val="-15"/>
        </w:rPr>
        <w:t xml:space="preserve"> </w:t>
      </w:r>
      <w:r>
        <w:t>La</w:t>
      </w:r>
      <w:r>
        <w:rPr>
          <w:spacing w:val="-15"/>
        </w:rPr>
        <w:t xml:space="preserve"> </w:t>
      </w:r>
      <w:r>
        <w:t>Negra</w:t>
      </w:r>
      <w:r>
        <w:rPr>
          <w:spacing w:val="-15"/>
        </w:rPr>
        <w:t xml:space="preserve"> </w:t>
      </w:r>
      <w:r>
        <w:t>y</w:t>
      </w:r>
      <w:r>
        <w:rPr>
          <w:spacing w:val="-15"/>
        </w:rPr>
        <w:t xml:space="preserve"> </w:t>
      </w:r>
      <w:r>
        <w:t>Punta</w:t>
      </w:r>
      <w:r>
        <w:rPr>
          <w:spacing w:val="-15"/>
        </w:rPr>
        <w:t xml:space="preserve"> </w:t>
      </w:r>
      <w:r>
        <w:t>Coquitos,</w:t>
      </w:r>
      <w:r>
        <w:rPr>
          <w:spacing w:val="-15"/>
        </w:rPr>
        <w:t xml:space="preserve"> </w:t>
      </w:r>
      <w:r>
        <w:t>en</w:t>
      </w:r>
      <w:r>
        <w:rPr>
          <w:spacing w:val="-15"/>
        </w:rPr>
        <w:t xml:space="preserve"> </w:t>
      </w:r>
      <w:r>
        <w:t>Urabá, a comienzos de 1988. Esta puso al desnudo la triangulación entre grupos paramilitares, el narcotráfico,</w:t>
      </w:r>
      <w:r>
        <w:rPr>
          <w:spacing w:val="-12"/>
        </w:rPr>
        <w:t xml:space="preserve"> </w:t>
      </w:r>
      <w:r>
        <w:t>agentes</w:t>
      </w:r>
      <w:r>
        <w:rPr>
          <w:spacing w:val="-10"/>
        </w:rPr>
        <w:t xml:space="preserve"> </w:t>
      </w:r>
      <w:r>
        <w:t>del</w:t>
      </w:r>
      <w:r>
        <w:rPr>
          <w:spacing w:val="-11"/>
        </w:rPr>
        <w:t xml:space="preserve"> </w:t>
      </w:r>
      <w:r>
        <w:t>Estado</w:t>
      </w:r>
      <w:r>
        <w:rPr>
          <w:spacing w:val="-11"/>
        </w:rPr>
        <w:t xml:space="preserve"> </w:t>
      </w:r>
      <w:r>
        <w:t>y</w:t>
      </w:r>
      <w:r>
        <w:rPr>
          <w:spacing w:val="-12"/>
        </w:rPr>
        <w:t xml:space="preserve"> </w:t>
      </w:r>
      <w:r>
        <w:t>algunos</w:t>
      </w:r>
      <w:r>
        <w:rPr>
          <w:spacing w:val="-10"/>
        </w:rPr>
        <w:t xml:space="preserve"> </w:t>
      </w:r>
      <w:r>
        <w:t>ganaderos</w:t>
      </w:r>
      <w:r>
        <w:rPr>
          <w:spacing w:val="-10"/>
        </w:rPr>
        <w:t xml:space="preserve"> </w:t>
      </w:r>
      <w:r>
        <w:t>de</w:t>
      </w:r>
      <w:r>
        <w:rPr>
          <w:spacing w:val="-12"/>
        </w:rPr>
        <w:t xml:space="preserve"> </w:t>
      </w:r>
      <w:r>
        <w:t>la</w:t>
      </w:r>
      <w:r>
        <w:rPr>
          <w:spacing w:val="-12"/>
        </w:rPr>
        <w:t xml:space="preserve"> </w:t>
      </w:r>
      <w:r>
        <w:t>región,</w:t>
      </w:r>
      <w:r>
        <w:rPr>
          <w:spacing w:val="-11"/>
        </w:rPr>
        <w:t xml:space="preserve"> </w:t>
      </w:r>
      <w:r>
        <w:t>que</w:t>
      </w:r>
      <w:r>
        <w:rPr>
          <w:spacing w:val="-10"/>
        </w:rPr>
        <w:t xml:space="preserve"> </w:t>
      </w:r>
      <w:r>
        <w:t>habían</w:t>
      </w:r>
      <w:r>
        <w:rPr>
          <w:spacing w:val="-11"/>
        </w:rPr>
        <w:t xml:space="preserve"> </w:t>
      </w:r>
      <w:r>
        <w:t>sido</w:t>
      </w:r>
      <w:r>
        <w:rPr>
          <w:spacing w:val="-12"/>
        </w:rPr>
        <w:t xml:space="preserve"> </w:t>
      </w:r>
      <w:r>
        <w:t xml:space="preserve">sometidos por largo tiempo al control de la guerrilla. La justicia de orden público determinó la responsabilidad de miembros del Ejército en servicio activo adscritos al B2 del Batallón </w:t>
      </w:r>
      <w:proofErr w:type="spellStart"/>
      <w:r>
        <w:t>Voltígeros</w:t>
      </w:r>
      <w:proofErr w:type="spellEnd"/>
      <w:r>
        <w:t>;</w:t>
      </w:r>
      <w:r>
        <w:rPr>
          <w:spacing w:val="-11"/>
        </w:rPr>
        <w:t xml:space="preserve"> </w:t>
      </w:r>
      <w:r>
        <w:t>la</w:t>
      </w:r>
      <w:r>
        <w:rPr>
          <w:spacing w:val="-12"/>
        </w:rPr>
        <w:t xml:space="preserve"> </w:t>
      </w:r>
      <w:r>
        <w:t>vinculación</w:t>
      </w:r>
      <w:r>
        <w:rPr>
          <w:spacing w:val="-12"/>
        </w:rPr>
        <w:t xml:space="preserve"> </w:t>
      </w:r>
      <w:r>
        <w:t>de</w:t>
      </w:r>
      <w:r>
        <w:rPr>
          <w:spacing w:val="-12"/>
        </w:rPr>
        <w:t xml:space="preserve"> </w:t>
      </w:r>
      <w:r>
        <w:t>la</w:t>
      </w:r>
      <w:r>
        <w:rPr>
          <w:spacing w:val="-12"/>
        </w:rPr>
        <w:t xml:space="preserve"> </w:t>
      </w:r>
      <w:r>
        <w:t>Asociación</w:t>
      </w:r>
      <w:r>
        <w:rPr>
          <w:spacing w:val="-12"/>
        </w:rPr>
        <w:t xml:space="preserve"> </w:t>
      </w:r>
      <w:r>
        <w:t>Campesina</w:t>
      </w:r>
      <w:r>
        <w:rPr>
          <w:spacing w:val="-12"/>
        </w:rPr>
        <w:t xml:space="preserve"> </w:t>
      </w:r>
      <w:r>
        <w:t>De</w:t>
      </w:r>
      <w:r>
        <w:rPr>
          <w:spacing w:val="-12"/>
        </w:rPr>
        <w:t xml:space="preserve"> </w:t>
      </w:r>
      <w:r>
        <w:t>Ganaderos</w:t>
      </w:r>
      <w:r>
        <w:rPr>
          <w:spacing w:val="-12"/>
        </w:rPr>
        <w:t xml:space="preserve"> </w:t>
      </w:r>
      <w:r>
        <w:t>Del</w:t>
      </w:r>
      <w:r>
        <w:rPr>
          <w:spacing w:val="-11"/>
        </w:rPr>
        <w:t xml:space="preserve"> </w:t>
      </w:r>
      <w:r>
        <w:t>Magdalena</w:t>
      </w:r>
      <w:r>
        <w:rPr>
          <w:spacing w:val="-12"/>
        </w:rPr>
        <w:t xml:space="preserve"> </w:t>
      </w:r>
      <w:r>
        <w:t>Medio (</w:t>
      </w:r>
      <w:proofErr w:type="spellStart"/>
      <w:r>
        <w:t>Acdegam</w:t>
      </w:r>
      <w:proofErr w:type="spellEnd"/>
      <w:r>
        <w:t>),</w:t>
      </w:r>
      <w:r>
        <w:rPr>
          <w:spacing w:val="-8"/>
        </w:rPr>
        <w:t xml:space="preserve"> </w:t>
      </w:r>
      <w:r>
        <w:t>con</w:t>
      </w:r>
      <w:r>
        <w:rPr>
          <w:spacing w:val="-8"/>
        </w:rPr>
        <w:t xml:space="preserve"> </w:t>
      </w:r>
      <w:r>
        <w:t>sede</w:t>
      </w:r>
      <w:r>
        <w:rPr>
          <w:spacing w:val="-8"/>
        </w:rPr>
        <w:t xml:space="preserve"> </w:t>
      </w:r>
      <w:r>
        <w:t>en</w:t>
      </w:r>
      <w:r>
        <w:rPr>
          <w:spacing w:val="-10"/>
        </w:rPr>
        <w:t xml:space="preserve"> </w:t>
      </w:r>
      <w:r>
        <w:t>Puerto</w:t>
      </w:r>
      <w:r>
        <w:rPr>
          <w:spacing w:val="-8"/>
        </w:rPr>
        <w:t xml:space="preserve"> </w:t>
      </w:r>
      <w:r>
        <w:t>Boyacá</w:t>
      </w:r>
      <w:r>
        <w:rPr>
          <w:spacing w:val="-8"/>
        </w:rPr>
        <w:t xml:space="preserve"> </w:t>
      </w:r>
      <w:r>
        <w:t>y</w:t>
      </w:r>
      <w:r>
        <w:rPr>
          <w:spacing w:val="-8"/>
        </w:rPr>
        <w:t xml:space="preserve"> </w:t>
      </w:r>
      <w:r>
        <w:t>base</w:t>
      </w:r>
      <w:r>
        <w:rPr>
          <w:spacing w:val="-8"/>
        </w:rPr>
        <w:t xml:space="preserve"> </w:t>
      </w:r>
      <w:r>
        <w:t>en</w:t>
      </w:r>
      <w:r>
        <w:rPr>
          <w:spacing w:val="-10"/>
        </w:rPr>
        <w:t xml:space="preserve"> </w:t>
      </w:r>
      <w:r>
        <w:t>las</w:t>
      </w:r>
      <w:r>
        <w:rPr>
          <w:spacing w:val="-8"/>
        </w:rPr>
        <w:t xml:space="preserve"> </w:t>
      </w:r>
      <w:r>
        <w:t>fincas</w:t>
      </w:r>
      <w:r>
        <w:rPr>
          <w:spacing w:val="-8"/>
        </w:rPr>
        <w:t xml:space="preserve"> </w:t>
      </w:r>
      <w:r>
        <w:t>El</w:t>
      </w:r>
      <w:r>
        <w:rPr>
          <w:spacing w:val="-9"/>
        </w:rPr>
        <w:t xml:space="preserve"> </w:t>
      </w:r>
      <w:r>
        <w:t>Diamante</w:t>
      </w:r>
      <w:r>
        <w:rPr>
          <w:spacing w:val="-8"/>
        </w:rPr>
        <w:t xml:space="preserve"> </w:t>
      </w:r>
      <w:r>
        <w:t>y</w:t>
      </w:r>
      <w:r>
        <w:rPr>
          <w:spacing w:val="-8"/>
        </w:rPr>
        <w:t xml:space="preserve"> </w:t>
      </w:r>
      <w:r>
        <w:t>Diamante</w:t>
      </w:r>
      <w:r>
        <w:rPr>
          <w:spacing w:val="-8"/>
        </w:rPr>
        <w:t xml:space="preserve"> </w:t>
      </w:r>
      <w:r>
        <w:t>Dos,</w:t>
      </w:r>
      <w:r>
        <w:rPr>
          <w:spacing w:val="-9"/>
        </w:rPr>
        <w:t xml:space="preserve"> </w:t>
      </w:r>
      <w:r>
        <w:t>de Fidel Castaño, su lugar de entrenamiento; y el involucramiento de Luis Alfredo Rubio, alcalde de Puerto Boyacá, cómplice de estas actividades, y narcotraficantes que estaban detrás de los hechos.</w:t>
      </w:r>
    </w:p>
    <w:p w:rsidR="003804AC" w:rsidRDefault="00AF18A5" w:rsidP="009F0CCA">
      <w:r>
        <w:t>La</w:t>
      </w:r>
      <w:r>
        <w:rPr>
          <w:spacing w:val="-12"/>
        </w:rPr>
        <w:t xml:space="preserve"> </w:t>
      </w:r>
      <w:r>
        <w:t>investigación</w:t>
      </w:r>
      <w:r>
        <w:rPr>
          <w:spacing w:val="-12"/>
        </w:rPr>
        <w:t xml:space="preserve"> </w:t>
      </w:r>
      <w:r>
        <w:t>sobre</w:t>
      </w:r>
      <w:r>
        <w:rPr>
          <w:spacing w:val="-12"/>
        </w:rPr>
        <w:t xml:space="preserve"> </w:t>
      </w:r>
      <w:r>
        <w:t>las</w:t>
      </w:r>
      <w:r>
        <w:rPr>
          <w:spacing w:val="-12"/>
        </w:rPr>
        <w:t xml:space="preserve"> </w:t>
      </w:r>
      <w:r>
        <w:t>masacres</w:t>
      </w:r>
      <w:r>
        <w:rPr>
          <w:spacing w:val="-12"/>
        </w:rPr>
        <w:t xml:space="preserve"> </w:t>
      </w:r>
      <w:r>
        <w:t>derivó</w:t>
      </w:r>
      <w:r>
        <w:rPr>
          <w:spacing w:val="-12"/>
        </w:rPr>
        <w:t xml:space="preserve"> </w:t>
      </w:r>
      <w:r>
        <w:t>en</w:t>
      </w:r>
      <w:r>
        <w:rPr>
          <w:spacing w:val="-13"/>
        </w:rPr>
        <w:t xml:space="preserve"> </w:t>
      </w:r>
      <w:r>
        <w:t>amenazas</w:t>
      </w:r>
      <w:r>
        <w:rPr>
          <w:spacing w:val="-12"/>
        </w:rPr>
        <w:t xml:space="preserve"> </w:t>
      </w:r>
      <w:r>
        <w:t>contra</w:t>
      </w:r>
      <w:r>
        <w:rPr>
          <w:spacing w:val="-13"/>
        </w:rPr>
        <w:t xml:space="preserve"> </w:t>
      </w:r>
      <w:r>
        <w:t>la</w:t>
      </w:r>
      <w:r>
        <w:rPr>
          <w:spacing w:val="-12"/>
        </w:rPr>
        <w:t xml:space="preserve"> </w:t>
      </w:r>
      <w:r>
        <w:t>jueza</w:t>
      </w:r>
      <w:r>
        <w:rPr>
          <w:spacing w:val="-12"/>
        </w:rPr>
        <w:t xml:space="preserve"> </w:t>
      </w:r>
      <w:r>
        <w:t>y</w:t>
      </w:r>
      <w:r>
        <w:rPr>
          <w:spacing w:val="-12"/>
        </w:rPr>
        <w:t xml:space="preserve"> </w:t>
      </w:r>
      <w:r>
        <w:t>en</w:t>
      </w:r>
      <w:r>
        <w:rPr>
          <w:spacing w:val="-13"/>
        </w:rPr>
        <w:t xml:space="preserve"> </w:t>
      </w:r>
      <w:r>
        <w:t>tres</w:t>
      </w:r>
      <w:r>
        <w:rPr>
          <w:spacing w:val="-13"/>
        </w:rPr>
        <w:t xml:space="preserve"> </w:t>
      </w:r>
      <w:r>
        <w:t>atentados mientras trataba</w:t>
      </w:r>
      <w:r>
        <w:rPr>
          <w:spacing w:val="1"/>
        </w:rPr>
        <w:t xml:space="preserve"> </w:t>
      </w:r>
      <w:r>
        <w:t>de buscar</w:t>
      </w:r>
      <w:r>
        <w:rPr>
          <w:spacing w:val="1"/>
        </w:rPr>
        <w:t xml:space="preserve"> </w:t>
      </w:r>
      <w:r>
        <w:t>apoyo en</w:t>
      </w:r>
      <w:r>
        <w:rPr>
          <w:spacing w:val="-1"/>
        </w:rPr>
        <w:t xml:space="preserve"> </w:t>
      </w:r>
      <w:r>
        <w:t>el</w:t>
      </w:r>
      <w:r>
        <w:rPr>
          <w:spacing w:val="1"/>
        </w:rPr>
        <w:t xml:space="preserve"> </w:t>
      </w:r>
      <w:r>
        <w:t>propio</w:t>
      </w:r>
      <w:r>
        <w:rPr>
          <w:spacing w:val="1"/>
        </w:rPr>
        <w:t xml:space="preserve"> </w:t>
      </w:r>
      <w:r>
        <w:t>Estado</w:t>
      </w:r>
      <w:r>
        <w:rPr>
          <w:spacing w:val="1"/>
        </w:rPr>
        <w:t xml:space="preserve"> </w:t>
      </w:r>
      <w:r>
        <w:t>para su seguridad. En</w:t>
      </w:r>
      <w:r>
        <w:rPr>
          <w:spacing w:val="1"/>
        </w:rPr>
        <w:t xml:space="preserve"> </w:t>
      </w:r>
      <w:r>
        <w:t>una reunión</w:t>
      </w:r>
      <w:r>
        <w:rPr>
          <w:spacing w:val="2"/>
        </w:rPr>
        <w:t xml:space="preserve"> </w:t>
      </w:r>
      <w:r>
        <w:rPr>
          <w:spacing w:val="-5"/>
        </w:rPr>
        <w:t>con</w:t>
      </w:r>
      <w:r w:rsidR="009F0CCA">
        <w:t xml:space="preserve"> </w:t>
      </w:r>
      <w:r>
        <w:t>el ministro de Defensa de la época para evaluar su caso, en lugar de apoyo, la jueza recibió amenazas para que no siguiera su investigación:</w:t>
      </w:r>
    </w:p>
    <w:p w:rsidR="003804AC" w:rsidRDefault="00AF18A5" w:rsidP="009F0CCA">
      <w:r>
        <w:t>«Primero me dijo que las investigaciones se caían no solamente por las pruebas, sino también por la persona del juez, que la persona de la juez podía ser o corrupta o inepta. Entonces, cuando yo le dije que no entendía, me dijo que todo el mundo tenía un talón de Aquiles.</w:t>
      </w:r>
      <w:r>
        <w:rPr>
          <w:spacing w:val="-15"/>
        </w:rPr>
        <w:t xml:space="preserve"> </w:t>
      </w:r>
      <w:r>
        <w:t>Le</w:t>
      </w:r>
      <w:r>
        <w:rPr>
          <w:spacing w:val="-15"/>
        </w:rPr>
        <w:t xml:space="preserve"> </w:t>
      </w:r>
      <w:r>
        <w:t>dije</w:t>
      </w:r>
      <w:r>
        <w:rPr>
          <w:spacing w:val="-15"/>
        </w:rPr>
        <w:t xml:space="preserve"> </w:t>
      </w:r>
      <w:r>
        <w:t>que</w:t>
      </w:r>
      <w:r>
        <w:rPr>
          <w:spacing w:val="-14"/>
        </w:rPr>
        <w:t xml:space="preserve"> </w:t>
      </w:r>
      <w:r>
        <w:t>yo</w:t>
      </w:r>
      <w:r>
        <w:rPr>
          <w:spacing w:val="-15"/>
        </w:rPr>
        <w:t xml:space="preserve"> </w:t>
      </w:r>
      <w:r>
        <w:t>no</w:t>
      </w:r>
      <w:r>
        <w:rPr>
          <w:spacing w:val="-15"/>
        </w:rPr>
        <w:t xml:space="preserve"> </w:t>
      </w:r>
      <w:r>
        <w:t>tenía</w:t>
      </w:r>
      <w:r>
        <w:rPr>
          <w:spacing w:val="-14"/>
        </w:rPr>
        <w:t xml:space="preserve"> </w:t>
      </w:r>
      <w:r>
        <w:t>talón</w:t>
      </w:r>
      <w:r>
        <w:rPr>
          <w:spacing w:val="-15"/>
        </w:rPr>
        <w:t xml:space="preserve"> </w:t>
      </w:r>
      <w:r>
        <w:t>de</w:t>
      </w:r>
      <w:r>
        <w:rPr>
          <w:spacing w:val="-14"/>
        </w:rPr>
        <w:t xml:space="preserve"> </w:t>
      </w:r>
      <w:r>
        <w:t>Aquiles</w:t>
      </w:r>
      <w:r>
        <w:rPr>
          <w:spacing w:val="-14"/>
        </w:rPr>
        <w:t xml:space="preserve"> </w:t>
      </w:r>
      <w:r>
        <w:t>y</w:t>
      </w:r>
      <w:r>
        <w:rPr>
          <w:spacing w:val="-15"/>
        </w:rPr>
        <w:t xml:space="preserve"> </w:t>
      </w:r>
      <w:r>
        <w:t>me</w:t>
      </w:r>
      <w:r>
        <w:rPr>
          <w:spacing w:val="-14"/>
        </w:rPr>
        <w:t xml:space="preserve"> </w:t>
      </w:r>
      <w:r>
        <w:t>dijo</w:t>
      </w:r>
      <w:r>
        <w:rPr>
          <w:spacing w:val="-15"/>
        </w:rPr>
        <w:t xml:space="preserve"> </w:t>
      </w:r>
      <w:r>
        <w:t>que</w:t>
      </w:r>
      <w:r>
        <w:rPr>
          <w:spacing w:val="-14"/>
        </w:rPr>
        <w:t xml:space="preserve"> </w:t>
      </w:r>
      <w:r>
        <w:t>si</w:t>
      </w:r>
      <w:r>
        <w:rPr>
          <w:spacing w:val="-14"/>
        </w:rPr>
        <w:t xml:space="preserve"> </w:t>
      </w:r>
      <w:r>
        <w:t>no</w:t>
      </w:r>
      <w:r>
        <w:rPr>
          <w:spacing w:val="-15"/>
        </w:rPr>
        <w:t xml:space="preserve"> </w:t>
      </w:r>
      <w:r>
        <w:t>tenía,</w:t>
      </w:r>
      <w:r>
        <w:rPr>
          <w:spacing w:val="-15"/>
        </w:rPr>
        <w:t xml:space="preserve"> </w:t>
      </w:r>
      <w:r>
        <w:t>me</w:t>
      </w:r>
      <w:r>
        <w:rPr>
          <w:spacing w:val="-14"/>
        </w:rPr>
        <w:t xml:space="preserve"> </w:t>
      </w:r>
      <w:r>
        <w:t>lo</w:t>
      </w:r>
      <w:r>
        <w:rPr>
          <w:spacing w:val="-15"/>
        </w:rPr>
        <w:t xml:space="preserve"> </w:t>
      </w:r>
      <w:r>
        <w:t>encontraban, que se podía</w:t>
      </w:r>
      <w:r>
        <w:rPr>
          <w:spacing w:val="-1"/>
        </w:rPr>
        <w:t xml:space="preserve"> </w:t>
      </w:r>
      <w:r>
        <w:t xml:space="preserve">encontrar droga en mi carro o demostrar que yo era una inepta para ejercer ese cargo. Esto entre muchas otras </w:t>
      </w:r>
      <w:r>
        <w:lastRenderedPageBreak/>
        <w:t>cosas, pero resumiendo, que, en últimas, él, ellos, los militares, estaban en capacidad de desconocer mi autoridad como juez de la República, la autoridad de todos los jueces de la República juntos, y que fuera y le contara lo que él me estaba diciendo a quien tuviera que contarle, a quien yo quisiera contarle».</w:t>
      </w:r>
    </w:p>
    <w:p w:rsidR="003804AC" w:rsidRDefault="00AF18A5" w:rsidP="009F0CCA">
      <w:r>
        <w:t>La</w:t>
      </w:r>
      <w:r>
        <w:rPr>
          <w:spacing w:val="-7"/>
        </w:rPr>
        <w:t xml:space="preserve"> </w:t>
      </w:r>
      <w:r>
        <w:t>mayoría</w:t>
      </w:r>
      <w:r>
        <w:rPr>
          <w:spacing w:val="-9"/>
        </w:rPr>
        <w:t xml:space="preserve"> </w:t>
      </w:r>
      <w:r>
        <w:t>de</w:t>
      </w:r>
      <w:r>
        <w:rPr>
          <w:spacing w:val="-7"/>
        </w:rPr>
        <w:t xml:space="preserve"> </w:t>
      </w:r>
      <w:r>
        <w:t>estas</w:t>
      </w:r>
      <w:r>
        <w:rPr>
          <w:spacing w:val="-8"/>
        </w:rPr>
        <w:t xml:space="preserve"> </w:t>
      </w:r>
      <w:r>
        <w:t>masacres</w:t>
      </w:r>
      <w:r>
        <w:rPr>
          <w:spacing w:val="-8"/>
        </w:rPr>
        <w:t xml:space="preserve"> </w:t>
      </w:r>
      <w:r>
        <w:t>de</w:t>
      </w:r>
      <w:r>
        <w:rPr>
          <w:spacing w:val="-7"/>
        </w:rPr>
        <w:t xml:space="preserve"> </w:t>
      </w:r>
      <w:r>
        <w:t>1988,</w:t>
      </w:r>
      <w:r>
        <w:rPr>
          <w:spacing w:val="-7"/>
        </w:rPr>
        <w:t xml:space="preserve"> </w:t>
      </w:r>
      <w:r>
        <w:t>y</w:t>
      </w:r>
      <w:r>
        <w:rPr>
          <w:spacing w:val="-7"/>
        </w:rPr>
        <w:t xml:space="preserve"> </w:t>
      </w:r>
      <w:r>
        <w:t>las</w:t>
      </w:r>
      <w:r>
        <w:rPr>
          <w:spacing w:val="-7"/>
        </w:rPr>
        <w:t xml:space="preserve"> </w:t>
      </w:r>
      <w:r>
        <w:t>consumadas</w:t>
      </w:r>
      <w:r>
        <w:rPr>
          <w:spacing w:val="-8"/>
        </w:rPr>
        <w:t xml:space="preserve"> </w:t>
      </w:r>
      <w:r>
        <w:t>en</w:t>
      </w:r>
      <w:r>
        <w:rPr>
          <w:spacing w:val="-7"/>
        </w:rPr>
        <w:t xml:space="preserve"> </w:t>
      </w:r>
      <w:r>
        <w:t>años</w:t>
      </w:r>
      <w:r>
        <w:rPr>
          <w:spacing w:val="-7"/>
        </w:rPr>
        <w:t xml:space="preserve"> </w:t>
      </w:r>
      <w:r>
        <w:t>siguientes,</w:t>
      </w:r>
      <w:r>
        <w:rPr>
          <w:spacing w:val="-7"/>
        </w:rPr>
        <w:t xml:space="preserve"> </w:t>
      </w:r>
      <w:r>
        <w:t>mostraron</w:t>
      </w:r>
      <w:r>
        <w:rPr>
          <w:spacing w:val="-7"/>
        </w:rPr>
        <w:t xml:space="preserve"> </w:t>
      </w:r>
      <w:r>
        <w:t xml:space="preserve">la relación del narcotráfico con un paramilitarismo contrainsurgente. La mayoría de ellas, sin embargo, se disfrazaron como enfrentamientos entre el EPL y las FARC-EP. En ellas estuvieron implicados sicarios de las escuelas de entrenamiento del mercenario israelí Yair Klein y militares del batallón </w:t>
      </w:r>
      <w:proofErr w:type="spellStart"/>
      <w:r>
        <w:t>Voltígeros</w:t>
      </w:r>
      <w:proofErr w:type="spellEnd"/>
      <w:r>
        <w:t>. La estructuración de estos mecanismos contrainsurgentes apareció en el escenario judicial a partir de ese momento. El padre de la jueza a cargo de la investigación fue asesinado cuando ella estaba en el exilio. En julio de 1989, la jueza María Elena Díaz, quien asumió el caso dos meses después de que su compañera saliera del país, fue asesinada en Medellín En este caso, la violencia contra los jueces</w:t>
      </w:r>
      <w:r>
        <w:rPr>
          <w:spacing w:val="-1"/>
        </w:rPr>
        <w:t xml:space="preserve"> </w:t>
      </w:r>
      <w:r>
        <w:t>generó</w:t>
      </w:r>
      <w:r>
        <w:rPr>
          <w:spacing w:val="-1"/>
        </w:rPr>
        <w:t xml:space="preserve"> </w:t>
      </w:r>
      <w:r>
        <w:t>un</w:t>
      </w:r>
      <w:r>
        <w:rPr>
          <w:spacing w:val="-1"/>
        </w:rPr>
        <w:t xml:space="preserve"> </w:t>
      </w:r>
      <w:r>
        <w:t>efecto</w:t>
      </w:r>
      <w:r>
        <w:rPr>
          <w:spacing w:val="-2"/>
        </w:rPr>
        <w:t xml:space="preserve"> </w:t>
      </w:r>
      <w:r>
        <w:t>disuasivo</w:t>
      </w:r>
      <w:r>
        <w:rPr>
          <w:spacing w:val="-2"/>
        </w:rPr>
        <w:t xml:space="preserve"> </w:t>
      </w:r>
      <w:r>
        <w:t>entre</w:t>
      </w:r>
      <w:r>
        <w:rPr>
          <w:spacing w:val="-1"/>
        </w:rPr>
        <w:t xml:space="preserve"> </w:t>
      </w:r>
      <w:r>
        <w:t>los</w:t>
      </w:r>
      <w:r>
        <w:rPr>
          <w:spacing w:val="-1"/>
        </w:rPr>
        <w:t xml:space="preserve"> </w:t>
      </w:r>
      <w:r>
        <w:t>jueces</w:t>
      </w:r>
      <w:r>
        <w:rPr>
          <w:spacing w:val="-1"/>
        </w:rPr>
        <w:t xml:space="preserve"> </w:t>
      </w:r>
      <w:r>
        <w:t>subsiguientes.</w:t>
      </w:r>
      <w:r>
        <w:rPr>
          <w:spacing w:val="-1"/>
        </w:rPr>
        <w:t xml:space="preserve"> </w:t>
      </w:r>
      <w:r>
        <w:t>Muchas</w:t>
      </w:r>
      <w:r>
        <w:rPr>
          <w:spacing w:val="-2"/>
        </w:rPr>
        <w:t xml:space="preserve"> </w:t>
      </w:r>
      <w:r>
        <w:t>decisiones</w:t>
      </w:r>
      <w:r>
        <w:rPr>
          <w:spacing w:val="-1"/>
        </w:rPr>
        <w:t xml:space="preserve"> </w:t>
      </w:r>
      <w:r>
        <w:t>previas se revirtieron precisamente por esta razón.</w:t>
      </w:r>
    </w:p>
    <w:p w:rsidR="003804AC" w:rsidRDefault="00AF18A5" w:rsidP="009F0CCA">
      <w:r>
        <w:t>En</w:t>
      </w:r>
      <w:r>
        <w:rPr>
          <w:spacing w:val="-13"/>
        </w:rPr>
        <w:t xml:space="preserve"> </w:t>
      </w:r>
      <w:r>
        <w:t>enero</w:t>
      </w:r>
      <w:r>
        <w:rPr>
          <w:spacing w:val="-13"/>
        </w:rPr>
        <w:t xml:space="preserve"> </w:t>
      </w:r>
      <w:r>
        <w:t>de</w:t>
      </w:r>
      <w:r>
        <w:rPr>
          <w:spacing w:val="-13"/>
        </w:rPr>
        <w:t xml:space="preserve"> </w:t>
      </w:r>
      <w:r>
        <w:t>1989,</w:t>
      </w:r>
      <w:r>
        <w:rPr>
          <w:spacing w:val="-13"/>
        </w:rPr>
        <w:t xml:space="preserve"> </w:t>
      </w:r>
      <w:r>
        <w:t>una</w:t>
      </w:r>
      <w:r>
        <w:rPr>
          <w:spacing w:val="-13"/>
        </w:rPr>
        <w:t xml:space="preserve"> </w:t>
      </w:r>
      <w:r>
        <w:t>comisión</w:t>
      </w:r>
      <w:r>
        <w:rPr>
          <w:spacing w:val="-13"/>
        </w:rPr>
        <w:t xml:space="preserve"> </w:t>
      </w:r>
      <w:r>
        <w:t>de</w:t>
      </w:r>
      <w:r>
        <w:rPr>
          <w:spacing w:val="-13"/>
        </w:rPr>
        <w:t xml:space="preserve"> </w:t>
      </w:r>
      <w:r>
        <w:t>dos</w:t>
      </w:r>
      <w:r>
        <w:rPr>
          <w:spacing w:val="-13"/>
        </w:rPr>
        <w:t xml:space="preserve"> </w:t>
      </w:r>
      <w:r>
        <w:t>jueces</w:t>
      </w:r>
      <w:r>
        <w:rPr>
          <w:spacing w:val="-13"/>
        </w:rPr>
        <w:t xml:space="preserve"> </w:t>
      </w:r>
      <w:r>
        <w:t>de</w:t>
      </w:r>
      <w:r>
        <w:rPr>
          <w:spacing w:val="-13"/>
        </w:rPr>
        <w:t xml:space="preserve"> </w:t>
      </w:r>
      <w:r>
        <w:t>instrucción</w:t>
      </w:r>
      <w:r>
        <w:rPr>
          <w:spacing w:val="-13"/>
        </w:rPr>
        <w:t xml:space="preserve"> </w:t>
      </w:r>
      <w:r>
        <w:t>criminal,</w:t>
      </w:r>
      <w:r>
        <w:rPr>
          <w:spacing w:val="-13"/>
        </w:rPr>
        <w:t xml:space="preserve"> </w:t>
      </w:r>
      <w:r>
        <w:t>sus</w:t>
      </w:r>
      <w:r>
        <w:rPr>
          <w:spacing w:val="-14"/>
        </w:rPr>
        <w:t xml:space="preserve"> </w:t>
      </w:r>
      <w:r>
        <w:t>secretarios,</w:t>
      </w:r>
      <w:r>
        <w:rPr>
          <w:spacing w:val="-14"/>
        </w:rPr>
        <w:t xml:space="preserve"> </w:t>
      </w:r>
      <w:r>
        <w:t>seis agentes de la Policía Técnica Judicial y dos conductores fue masacrada en el caserío de La Rochela,</w:t>
      </w:r>
      <w:r>
        <w:rPr>
          <w:spacing w:val="-1"/>
        </w:rPr>
        <w:t xml:space="preserve"> </w:t>
      </w:r>
      <w:r>
        <w:t>en</w:t>
      </w:r>
      <w:r>
        <w:rPr>
          <w:spacing w:val="-2"/>
        </w:rPr>
        <w:t xml:space="preserve"> </w:t>
      </w:r>
      <w:r>
        <w:t>el</w:t>
      </w:r>
      <w:r>
        <w:rPr>
          <w:spacing w:val="-1"/>
        </w:rPr>
        <w:t xml:space="preserve"> </w:t>
      </w:r>
      <w:r>
        <w:t>municipio</w:t>
      </w:r>
      <w:r>
        <w:rPr>
          <w:spacing w:val="-2"/>
        </w:rPr>
        <w:t xml:space="preserve"> </w:t>
      </w:r>
      <w:r>
        <w:t>de</w:t>
      </w:r>
      <w:r>
        <w:rPr>
          <w:spacing w:val="-1"/>
        </w:rPr>
        <w:t xml:space="preserve"> </w:t>
      </w:r>
      <w:r>
        <w:t>San</w:t>
      </w:r>
      <w:r>
        <w:rPr>
          <w:spacing w:val="-1"/>
        </w:rPr>
        <w:t xml:space="preserve"> </w:t>
      </w:r>
      <w:r>
        <w:t>Vicente</w:t>
      </w:r>
      <w:r>
        <w:rPr>
          <w:spacing w:val="-1"/>
        </w:rPr>
        <w:t xml:space="preserve"> </w:t>
      </w:r>
      <w:r>
        <w:t>de</w:t>
      </w:r>
      <w:r>
        <w:rPr>
          <w:spacing w:val="-1"/>
        </w:rPr>
        <w:t xml:space="preserve"> </w:t>
      </w:r>
      <w:r>
        <w:t>Chucurí,</w:t>
      </w:r>
      <w:r>
        <w:rPr>
          <w:spacing w:val="-1"/>
        </w:rPr>
        <w:t xml:space="preserve"> </w:t>
      </w:r>
      <w:r>
        <w:t>en</w:t>
      </w:r>
      <w:r>
        <w:rPr>
          <w:spacing w:val="-2"/>
        </w:rPr>
        <w:t xml:space="preserve"> </w:t>
      </w:r>
      <w:r>
        <w:t>Santander.</w:t>
      </w:r>
      <w:r>
        <w:rPr>
          <w:spacing w:val="-1"/>
        </w:rPr>
        <w:t xml:space="preserve"> </w:t>
      </w:r>
      <w:r>
        <w:t>La</w:t>
      </w:r>
      <w:r>
        <w:rPr>
          <w:spacing w:val="-1"/>
        </w:rPr>
        <w:t xml:space="preserve"> </w:t>
      </w:r>
      <w:r>
        <w:t>comisión</w:t>
      </w:r>
      <w:r>
        <w:rPr>
          <w:spacing w:val="-2"/>
        </w:rPr>
        <w:t xml:space="preserve"> </w:t>
      </w:r>
      <w:r>
        <w:t>había</w:t>
      </w:r>
      <w:r>
        <w:rPr>
          <w:spacing w:val="-1"/>
        </w:rPr>
        <w:t xml:space="preserve"> </w:t>
      </w:r>
      <w:r>
        <w:t>ido</w:t>
      </w:r>
      <w:r>
        <w:rPr>
          <w:spacing w:val="-4"/>
        </w:rPr>
        <w:t xml:space="preserve"> </w:t>
      </w:r>
      <w:r>
        <w:t>a la</w:t>
      </w:r>
      <w:r>
        <w:rPr>
          <w:spacing w:val="-12"/>
        </w:rPr>
        <w:t xml:space="preserve"> </w:t>
      </w:r>
      <w:r>
        <w:t>zona</w:t>
      </w:r>
      <w:r>
        <w:rPr>
          <w:spacing w:val="-12"/>
        </w:rPr>
        <w:t xml:space="preserve"> </w:t>
      </w:r>
      <w:r>
        <w:t>a</w:t>
      </w:r>
      <w:r>
        <w:rPr>
          <w:spacing w:val="-13"/>
        </w:rPr>
        <w:t xml:space="preserve"> </w:t>
      </w:r>
      <w:r>
        <w:t>investigar</w:t>
      </w:r>
      <w:r>
        <w:rPr>
          <w:spacing w:val="-13"/>
        </w:rPr>
        <w:t xml:space="preserve"> </w:t>
      </w:r>
      <w:r>
        <w:t>la</w:t>
      </w:r>
      <w:r>
        <w:rPr>
          <w:spacing w:val="-13"/>
        </w:rPr>
        <w:t xml:space="preserve"> </w:t>
      </w:r>
      <w:r>
        <w:t>desaparición</w:t>
      </w:r>
      <w:r>
        <w:rPr>
          <w:spacing w:val="-13"/>
        </w:rPr>
        <w:t xml:space="preserve"> </w:t>
      </w:r>
      <w:r>
        <w:t>de</w:t>
      </w:r>
      <w:r>
        <w:rPr>
          <w:spacing w:val="-12"/>
        </w:rPr>
        <w:t xml:space="preserve"> </w:t>
      </w:r>
      <w:r>
        <w:t>19</w:t>
      </w:r>
      <w:r>
        <w:rPr>
          <w:spacing w:val="-12"/>
        </w:rPr>
        <w:t xml:space="preserve"> </w:t>
      </w:r>
      <w:r>
        <w:t>comerciantes</w:t>
      </w:r>
      <w:r>
        <w:rPr>
          <w:spacing w:val="-13"/>
        </w:rPr>
        <w:t xml:space="preserve"> </w:t>
      </w:r>
      <w:r>
        <w:t>en</w:t>
      </w:r>
      <w:r>
        <w:rPr>
          <w:spacing w:val="-12"/>
        </w:rPr>
        <w:t xml:space="preserve"> </w:t>
      </w:r>
      <w:r>
        <w:t>1987.</w:t>
      </w:r>
      <w:r>
        <w:rPr>
          <w:spacing w:val="-12"/>
        </w:rPr>
        <w:t xml:space="preserve"> </w:t>
      </w:r>
      <w:r>
        <w:t>En</w:t>
      </w:r>
      <w:r>
        <w:rPr>
          <w:spacing w:val="-12"/>
        </w:rPr>
        <w:t xml:space="preserve"> </w:t>
      </w:r>
      <w:r>
        <w:t>dichos</w:t>
      </w:r>
      <w:r>
        <w:rPr>
          <w:spacing w:val="-13"/>
        </w:rPr>
        <w:t xml:space="preserve"> </w:t>
      </w:r>
      <w:r>
        <w:t>hechos</w:t>
      </w:r>
      <w:r>
        <w:rPr>
          <w:spacing w:val="-12"/>
        </w:rPr>
        <w:t xml:space="preserve"> </w:t>
      </w:r>
      <w:r>
        <w:t>estuvieron involucrados grupos paramilitares del Magdalena Medio en connivencia con miembros de las Fuerzas Armadas. La masacre fue un hecho traumático no solo para sus familiares, sino para todo el sector justicia.</w:t>
      </w:r>
    </w:p>
    <w:p w:rsidR="003804AC" w:rsidRDefault="00AF18A5" w:rsidP="009F0CCA">
      <w:r>
        <w:lastRenderedPageBreak/>
        <w:t>En</w:t>
      </w:r>
      <w:r>
        <w:rPr>
          <w:spacing w:val="-7"/>
        </w:rPr>
        <w:t xml:space="preserve"> </w:t>
      </w:r>
      <w:r>
        <w:t>el</w:t>
      </w:r>
      <w:r>
        <w:rPr>
          <w:spacing w:val="-8"/>
        </w:rPr>
        <w:t xml:space="preserve"> </w:t>
      </w:r>
      <w:r>
        <w:t>proceso</w:t>
      </w:r>
      <w:r>
        <w:rPr>
          <w:spacing w:val="-7"/>
        </w:rPr>
        <w:t xml:space="preserve"> </w:t>
      </w:r>
      <w:r>
        <w:t>ante</w:t>
      </w:r>
      <w:r>
        <w:rPr>
          <w:spacing w:val="-8"/>
        </w:rPr>
        <w:t xml:space="preserve"> </w:t>
      </w:r>
      <w:r>
        <w:t>la</w:t>
      </w:r>
      <w:r>
        <w:rPr>
          <w:spacing w:val="-7"/>
        </w:rPr>
        <w:t xml:space="preserve"> </w:t>
      </w:r>
      <w:r>
        <w:t>Corte</w:t>
      </w:r>
      <w:r>
        <w:rPr>
          <w:spacing w:val="-8"/>
        </w:rPr>
        <w:t xml:space="preserve"> </w:t>
      </w:r>
      <w:r>
        <w:t>Interamericana</w:t>
      </w:r>
      <w:r>
        <w:rPr>
          <w:spacing w:val="-7"/>
        </w:rPr>
        <w:t xml:space="preserve"> </w:t>
      </w:r>
      <w:r>
        <w:t>de</w:t>
      </w:r>
      <w:r>
        <w:rPr>
          <w:spacing w:val="-8"/>
        </w:rPr>
        <w:t xml:space="preserve"> </w:t>
      </w:r>
      <w:r>
        <w:t>Derechos</w:t>
      </w:r>
      <w:r>
        <w:rPr>
          <w:spacing w:val="-7"/>
        </w:rPr>
        <w:t xml:space="preserve"> </w:t>
      </w:r>
      <w:r>
        <w:t>Humanos,</w:t>
      </w:r>
      <w:r>
        <w:rPr>
          <w:spacing w:val="-8"/>
        </w:rPr>
        <w:t xml:space="preserve"> </w:t>
      </w:r>
      <w:r>
        <w:t>que</w:t>
      </w:r>
      <w:r>
        <w:rPr>
          <w:spacing w:val="-7"/>
        </w:rPr>
        <w:t xml:space="preserve"> </w:t>
      </w:r>
      <w:r>
        <w:t>condenó</w:t>
      </w:r>
      <w:r>
        <w:rPr>
          <w:spacing w:val="-8"/>
        </w:rPr>
        <w:t xml:space="preserve"> </w:t>
      </w:r>
      <w:r>
        <w:t>al</w:t>
      </w:r>
      <w:r>
        <w:rPr>
          <w:spacing w:val="-7"/>
        </w:rPr>
        <w:t xml:space="preserve"> </w:t>
      </w:r>
      <w:r>
        <w:t>Estado por estos hechos, se señaló que ningún miembro</w:t>
      </w:r>
      <w:r>
        <w:rPr>
          <w:spacing w:val="-1"/>
        </w:rPr>
        <w:t xml:space="preserve"> </w:t>
      </w:r>
      <w:r>
        <w:t>del Ejército</w:t>
      </w:r>
      <w:r>
        <w:rPr>
          <w:spacing w:val="-1"/>
        </w:rPr>
        <w:t xml:space="preserve"> </w:t>
      </w:r>
      <w:r>
        <w:t>ni de</w:t>
      </w:r>
      <w:r>
        <w:rPr>
          <w:spacing w:val="-1"/>
        </w:rPr>
        <w:t xml:space="preserve"> </w:t>
      </w:r>
      <w:r>
        <w:t>la Policía</w:t>
      </w:r>
      <w:r>
        <w:rPr>
          <w:spacing w:val="-1"/>
        </w:rPr>
        <w:t xml:space="preserve"> </w:t>
      </w:r>
      <w:r>
        <w:t>llegó</w:t>
      </w:r>
      <w:r>
        <w:rPr>
          <w:spacing w:val="-1"/>
        </w:rPr>
        <w:t xml:space="preserve"> </w:t>
      </w:r>
      <w:r>
        <w:t>a auxiliar al único sobreviviente después de la masacre, a pesar de que los batallones militares se encontraban</w:t>
      </w:r>
      <w:r>
        <w:rPr>
          <w:spacing w:val="-11"/>
        </w:rPr>
        <w:t xml:space="preserve"> </w:t>
      </w:r>
      <w:r>
        <w:t>a</w:t>
      </w:r>
      <w:r>
        <w:rPr>
          <w:spacing w:val="-11"/>
        </w:rPr>
        <w:t xml:space="preserve"> </w:t>
      </w:r>
      <w:r>
        <w:t>veinte</w:t>
      </w:r>
      <w:r>
        <w:rPr>
          <w:spacing w:val="-11"/>
        </w:rPr>
        <w:t xml:space="preserve"> </w:t>
      </w:r>
      <w:r>
        <w:t>y</w:t>
      </w:r>
      <w:r>
        <w:rPr>
          <w:spacing w:val="-11"/>
        </w:rPr>
        <w:t xml:space="preserve"> </w:t>
      </w:r>
      <w:r>
        <w:t>cuarenta</w:t>
      </w:r>
      <w:r>
        <w:rPr>
          <w:spacing w:val="-11"/>
        </w:rPr>
        <w:t xml:space="preserve"> </w:t>
      </w:r>
      <w:r>
        <w:t>minutos</w:t>
      </w:r>
      <w:r>
        <w:rPr>
          <w:spacing w:val="-11"/>
        </w:rPr>
        <w:t xml:space="preserve"> </w:t>
      </w:r>
      <w:r>
        <w:t>del</w:t>
      </w:r>
      <w:r>
        <w:rPr>
          <w:spacing w:val="-11"/>
        </w:rPr>
        <w:t xml:space="preserve"> </w:t>
      </w:r>
      <w:r>
        <w:t>lugar</w:t>
      </w:r>
      <w:r>
        <w:rPr>
          <w:spacing w:val="-12"/>
        </w:rPr>
        <w:t xml:space="preserve"> </w:t>
      </w:r>
      <w:r>
        <w:t>de</w:t>
      </w:r>
      <w:r>
        <w:rPr>
          <w:spacing w:val="-11"/>
        </w:rPr>
        <w:t xml:space="preserve"> </w:t>
      </w:r>
      <w:r>
        <w:t>la</w:t>
      </w:r>
      <w:r>
        <w:rPr>
          <w:spacing w:val="-11"/>
        </w:rPr>
        <w:t xml:space="preserve"> </w:t>
      </w:r>
      <w:r>
        <w:t>misma</w:t>
      </w:r>
      <w:r w:rsidR="009F0CCA">
        <w:rPr>
          <w:rStyle w:val="Refdenotaalpie"/>
        </w:rPr>
        <w:footnoteReference w:id="922"/>
      </w:r>
      <w:r>
        <w:t>.</w:t>
      </w:r>
      <w:r>
        <w:rPr>
          <w:spacing w:val="-11"/>
        </w:rPr>
        <w:t xml:space="preserve"> </w:t>
      </w:r>
      <w:r>
        <w:t>Durante</w:t>
      </w:r>
      <w:r>
        <w:rPr>
          <w:spacing w:val="-11"/>
        </w:rPr>
        <w:t xml:space="preserve"> </w:t>
      </w:r>
      <w:r>
        <w:t>el</w:t>
      </w:r>
      <w:r>
        <w:rPr>
          <w:spacing w:val="-10"/>
        </w:rPr>
        <w:t xml:space="preserve"> </w:t>
      </w:r>
      <w:r>
        <w:t>proceso</w:t>
      </w:r>
      <w:r>
        <w:rPr>
          <w:spacing w:val="-11"/>
        </w:rPr>
        <w:t xml:space="preserve"> </w:t>
      </w:r>
      <w:r>
        <w:t>judicial fueron</w:t>
      </w:r>
      <w:r>
        <w:rPr>
          <w:spacing w:val="-5"/>
        </w:rPr>
        <w:t xml:space="preserve"> </w:t>
      </w:r>
      <w:r>
        <w:t>asesinados</w:t>
      </w:r>
      <w:r>
        <w:rPr>
          <w:spacing w:val="-4"/>
        </w:rPr>
        <w:t xml:space="preserve"> </w:t>
      </w:r>
      <w:r>
        <w:t>tres</w:t>
      </w:r>
      <w:r>
        <w:rPr>
          <w:spacing w:val="-5"/>
        </w:rPr>
        <w:t xml:space="preserve"> </w:t>
      </w:r>
      <w:r>
        <w:t>testigos</w:t>
      </w:r>
      <w:r>
        <w:rPr>
          <w:spacing w:val="-5"/>
        </w:rPr>
        <w:t xml:space="preserve"> </w:t>
      </w:r>
      <w:r>
        <w:t>y</w:t>
      </w:r>
      <w:r>
        <w:rPr>
          <w:spacing w:val="-4"/>
        </w:rPr>
        <w:t xml:space="preserve"> </w:t>
      </w:r>
      <w:r>
        <w:t>un</w:t>
      </w:r>
      <w:r>
        <w:rPr>
          <w:spacing w:val="-5"/>
        </w:rPr>
        <w:t xml:space="preserve"> </w:t>
      </w:r>
      <w:r>
        <w:t>investigador.</w:t>
      </w:r>
      <w:r>
        <w:rPr>
          <w:spacing w:val="-5"/>
        </w:rPr>
        <w:t xml:space="preserve"> </w:t>
      </w:r>
      <w:r>
        <w:t>Además,</w:t>
      </w:r>
      <w:r>
        <w:rPr>
          <w:spacing w:val="-5"/>
        </w:rPr>
        <w:t xml:space="preserve"> </w:t>
      </w:r>
      <w:r>
        <w:t>los</w:t>
      </w:r>
      <w:r>
        <w:rPr>
          <w:spacing w:val="-4"/>
        </w:rPr>
        <w:t xml:space="preserve"> </w:t>
      </w:r>
      <w:r>
        <w:t>familiares</w:t>
      </w:r>
      <w:r>
        <w:rPr>
          <w:spacing w:val="-5"/>
        </w:rPr>
        <w:t xml:space="preserve"> </w:t>
      </w:r>
      <w:r>
        <w:t>de</w:t>
      </w:r>
      <w:r>
        <w:rPr>
          <w:spacing w:val="-4"/>
        </w:rPr>
        <w:t xml:space="preserve"> </w:t>
      </w:r>
      <w:r>
        <w:t>las</w:t>
      </w:r>
      <w:r>
        <w:rPr>
          <w:spacing w:val="-5"/>
        </w:rPr>
        <w:t xml:space="preserve"> </w:t>
      </w:r>
      <w:r>
        <w:t>víctimas</w:t>
      </w:r>
      <w:r>
        <w:rPr>
          <w:spacing w:val="-3"/>
        </w:rPr>
        <w:t xml:space="preserve"> </w:t>
      </w:r>
      <w:r>
        <w:t>que rindieron testimonio ante la CIDH fueron amenazados. El efecto de impunidad de este caso se expandió a los procesos judiciales</w:t>
      </w:r>
      <w:r>
        <w:rPr>
          <w:spacing w:val="-1"/>
        </w:rPr>
        <w:t xml:space="preserve"> </w:t>
      </w:r>
      <w:r>
        <w:t>adelantados</w:t>
      </w:r>
      <w:r>
        <w:rPr>
          <w:spacing w:val="-1"/>
        </w:rPr>
        <w:t xml:space="preserve"> </w:t>
      </w:r>
      <w:r>
        <w:t>en la zona por masacres</w:t>
      </w:r>
      <w:r>
        <w:rPr>
          <w:spacing w:val="-1"/>
        </w:rPr>
        <w:t xml:space="preserve"> </w:t>
      </w:r>
      <w:r>
        <w:t>anteriores al</w:t>
      </w:r>
      <w:r>
        <w:rPr>
          <w:spacing w:val="-1"/>
        </w:rPr>
        <w:t xml:space="preserve"> </w:t>
      </w:r>
      <w:r>
        <w:t>caso de los 19 comerciantes, cuyos expedientes desaparecieron supuestamente porque se habían perdido en los hechos de la masacre contra la comisión judicial. En realidad, los jueces no tenían todos los expedientes consigo.</w:t>
      </w:r>
    </w:p>
    <w:p w:rsidR="003804AC" w:rsidRDefault="00AF18A5" w:rsidP="009F0CCA">
      <w:r>
        <w:rPr>
          <w:spacing w:val="-2"/>
        </w:rPr>
        <w:t>Otro</w:t>
      </w:r>
      <w:r>
        <w:rPr>
          <w:spacing w:val="-5"/>
        </w:rPr>
        <w:t xml:space="preserve"> </w:t>
      </w:r>
      <w:r>
        <w:rPr>
          <w:spacing w:val="-2"/>
        </w:rPr>
        <w:t>caso</w:t>
      </w:r>
      <w:r>
        <w:rPr>
          <w:spacing w:val="-5"/>
        </w:rPr>
        <w:t xml:space="preserve"> </w:t>
      </w:r>
      <w:r>
        <w:rPr>
          <w:spacing w:val="-2"/>
        </w:rPr>
        <w:t>que</w:t>
      </w:r>
      <w:r>
        <w:rPr>
          <w:spacing w:val="-5"/>
        </w:rPr>
        <w:t xml:space="preserve"> </w:t>
      </w:r>
      <w:r>
        <w:rPr>
          <w:spacing w:val="-2"/>
        </w:rPr>
        <w:t>puso</w:t>
      </w:r>
      <w:r>
        <w:rPr>
          <w:spacing w:val="-5"/>
        </w:rPr>
        <w:t xml:space="preserve"> </w:t>
      </w:r>
      <w:r>
        <w:rPr>
          <w:spacing w:val="-2"/>
        </w:rPr>
        <w:t>en</w:t>
      </w:r>
      <w:r>
        <w:rPr>
          <w:spacing w:val="-5"/>
        </w:rPr>
        <w:t xml:space="preserve"> </w:t>
      </w:r>
      <w:r>
        <w:rPr>
          <w:spacing w:val="-2"/>
        </w:rPr>
        <w:t>evidencia</w:t>
      </w:r>
      <w:r>
        <w:rPr>
          <w:spacing w:val="-6"/>
        </w:rPr>
        <w:t xml:space="preserve"> </w:t>
      </w:r>
      <w:r>
        <w:rPr>
          <w:spacing w:val="-2"/>
        </w:rPr>
        <w:t>la</w:t>
      </w:r>
      <w:r>
        <w:rPr>
          <w:spacing w:val="-5"/>
        </w:rPr>
        <w:t xml:space="preserve"> </w:t>
      </w:r>
      <w:r>
        <w:rPr>
          <w:spacing w:val="-2"/>
        </w:rPr>
        <w:t>estrecha</w:t>
      </w:r>
      <w:r>
        <w:rPr>
          <w:spacing w:val="-6"/>
        </w:rPr>
        <w:t xml:space="preserve"> </w:t>
      </w:r>
      <w:r>
        <w:rPr>
          <w:spacing w:val="-2"/>
        </w:rPr>
        <w:t>relación</w:t>
      </w:r>
      <w:r>
        <w:rPr>
          <w:spacing w:val="-5"/>
        </w:rPr>
        <w:t xml:space="preserve"> </w:t>
      </w:r>
      <w:r>
        <w:rPr>
          <w:spacing w:val="-2"/>
        </w:rPr>
        <w:t>del</w:t>
      </w:r>
      <w:r>
        <w:rPr>
          <w:spacing w:val="-4"/>
        </w:rPr>
        <w:t xml:space="preserve"> </w:t>
      </w:r>
      <w:proofErr w:type="spellStart"/>
      <w:r>
        <w:rPr>
          <w:spacing w:val="-2"/>
        </w:rPr>
        <w:t>narcoparamilitarismo</w:t>
      </w:r>
      <w:proofErr w:type="spellEnd"/>
      <w:r>
        <w:rPr>
          <w:spacing w:val="-5"/>
        </w:rPr>
        <w:t xml:space="preserve"> </w:t>
      </w:r>
      <w:r>
        <w:rPr>
          <w:spacing w:val="-2"/>
        </w:rPr>
        <w:t>con</w:t>
      </w:r>
      <w:r>
        <w:rPr>
          <w:spacing w:val="-5"/>
        </w:rPr>
        <w:t xml:space="preserve"> </w:t>
      </w:r>
      <w:r>
        <w:rPr>
          <w:spacing w:val="-2"/>
        </w:rPr>
        <w:t xml:space="preserve">sectores </w:t>
      </w:r>
      <w:r>
        <w:t>de</w:t>
      </w:r>
      <w:r>
        <w:rPr>
          <w:spacing w:val="-6"/>
        </w:rPr>
        <w:t xml:space="preserve"> </w:t>
      </w:r>
      <w:r>
        <w:t>las</w:t>
      </w:r>
      <w:r>
        <w:rPr>
          <w:spacing w:val="-6"/>
        </w:rPr>
        <w:t xml:space="preserve"> </w:t>
      </w:r>
      <w:r>
        <w:t>Fuerzas</w:t>
      </w:r>
      <w:r>
        <w:rPr>
          <w:spacing w:val="-6"/>
        </w:rPr>
        <w:t xml:space="preserve"> </w:t>
      </w:r>
      <w:r>
        <w:t>Armadas</w:t>
      </w:r>
      <w:r>
        <w:rPr>
          <w:spacing w:val="-7"/>
        </w:rPr>
        <w:t xml:space="preserve"> </w:t>
      </w:r>
      <w:r>
        <w:t>fue</w:t>
      </w:r>
      <w:r>
        <w:rPr>
          <w:spacing w:val="-6"/>
        </w:rPr>
        <w:t xml:space="preserve"> </w:t>
      </w:r>
      <w:r>
        <w:t>la</w:t>
      </w:r>
      <w:r>
        <w:rPr>
          <w:spacing w:val="-6"/>
        </w:rPr>
        <w:t xml:space="preserve"> </w:t>
      </w:r>
      <w:r>
        <w:t>masacre</w:t>
      </w:r>
      <w:r>
        <w:rPr>
          <w:spacing w:val="-6"/>
        </w:rPr>
        <w:t xml:space="preserve"> </w:t>
      </w:r>
      <w:r>
        <w:t>de</w:t>
      </w:r>
      <w:r>
        <w:rPr>
          <w:spacing w:val="-6"/>
        </w:rPr>
        <w:t xml:space="preserve"> </w:t>
      </w:r>
      <w:r>
        <w:t>Trujillo,</w:t>
      </w:r>
      <w:r>
        <w:rPr>
          <w:spacing w:val="-6"/>
        </w:rPr>
        <w:t xml:space="preserve"> </w:t>
      </w:r>
      <w:r>
        <w:t>en</w:t>
      </w:r>
      <w:r>
        <w:rPr>
          <w:spacing w:val="-6"/>
        </w:rPr>
        <w:t xml:space="preserve"> </w:t>
      </w:r>
      <w:r>
        <w:t>el</w:t>
      </w:r>
      <w:r>
        <w:rPr>
          <w:spacing w:val="-6"/>
        </w:rPr>
        <w:t xml:space="preserve"> </w:t>
      </w:r>
      <w:r>
        <w:t>Valle.</w:t>
      </w:r>
      <w:r>
        <w:rPr>
          <w:spacing w:val="-6"/>
        </w:rPr>
        <w:t xml:space="preserve"> </w:t>
      </w:r>
      <w:r>
        <w:t>Esta</w:t>
      </w:r>
      <w:r>
        <w:rPr>
          <w:spacing w:val="-6"/>
        </w:rPr>
        <w:t xml:space="preserve"> </w:t>
      </w:r>
      <w:r>
        <w:t>incluyó</w:t>
      </w:r>
      <w:r>
        <w:rPr>
          <w:spacing w:val="-6"/>
        </w:rPr>
        <w:t xml:space="preserve"> </w:t>
      </w:r>
      <w:r>
        <w:t>una</w:t>
      </w:r>
      <w:r>
        <w:rPr>
          <w:spacing w:val="-6"/>
        </w:rPr>
        <w:t xml:space="preserve"> </w:t>
      </w:r>
      <w:r>
        <w:t>continuidad de hechos de violencia contra la población civil entre 1986 y 1994. Fue una agresión caracterizada por episodios de torturas, asesinatos y desapariciones forzadas. Se usaron métodos de sevicia extrema, que incluyó el uso de motosierras para desmembrar a las víctimas, antes de arrojarlas a las aguas del río Cauca.</w:t>
      </w:r>
    </w:p>
    <w:p w:rsidR="003804AC" w:rsidRDefault="00AF18A5" w:rsidP="009F0CCA">
      <w:r>
        <w:t>Lo sucedido en Trujillo terminó en una comisión que determinó de manera contundente la responsabilidad del Estado, que fue reconocida por el presidente Ernesto Samper tras el informe. No obstante,</w:t>
      </w:r>
      <w:r>
        <w:rPr>
          <w:spacing w:val="-1"/>
        </w:rPr>
        <w:t xml:space="preserve"> </w:t>
      </w:r>
      <w:r>
        <w:t>la</w:t>
      </w:r>
      <w:r>
        <w:rPr>
          <w:spacing w:val="-1"/>
        </w:rPr>
        <w:t xml:space="preserve"> </w:t>
      </w:r>
      <w:r>
        <w:t>investigación judicial que derivó en</w:t>
      </w:r>
      <w:r>
        <w:rPr>
          <w:spacing w:val="-1"/>
        </w:rPr>
        <w:t xml:space="preserve"> </w:t>
      </w:r>
      <w:r>
        <w:t>ese informe</w:t>
      </w:r>
      <w:r>
        <w:rPr>
          <w:spacing w:val="-1"/>
        </w:rPr>
        <w:t xml:space="preserve"> </w:t>
      </w:r>
      <w:r>
        <w:t xml:space="preserve">se vio entorpecida por incontables obstáculos. Se dieron asesinatos de testigos, exilios y </w:t>
      </w:r>
      <w:r>
        <w:lastRenderedPageBreak/>
        <w:t>nuevos ciclos de amenazas</w:t>
      </w:r>
      <w:r>
        <w:rPr>
          <w:spacing w:val="-9"/>
        </w:rPr>
        <w:t xml:space="preserve"> </w:t>
      </w:r>
      <w:r>
        <w:t>que</w:t>
      </w:r>
      <w:r>
        <w:rPr>
          <w:spacing w:val="-9"/>
        </w:rPr>
        <w:t xml:space="preserve"> </w:t>
      </w:r>
      <w:r>
        <w:t>se</w:t>
      </w:r>
      <w:r>
        <w:rPr>
          <w:spacing w:val="-9"/>
        </w:rPr>
        <w:t xml:space="preserve"> </w:t>
      </w:r>
      <w:r>
        <w:t>extendieron</w:t>
      </w:r>
      <w:r>
        <w:rPr>
          <w:spacing w:val="-9"/>
        </w:rPr>
        <w:t xml:space="preserve"> </w:t>
      </w:r>
      <w:r>
        <w:t>hasta</w:t>
      </w:r>
      <w:r>
        <w:rPr>
          <w:spacing w:val="-9"/>
        </w:rPr>
        <w:t xml:space="preserve"> </w:t>
      </w:r>
      <w:r>
        <w:t>familiares</w:t>
      </w:r>
      <w:r>
        <w:rPr>
          <w:spacing w:val="-9"/>
        </w:rPr>
        <w:t xml:space="preserve"> </w:t>
      </w:r>
      <w:r>
        <w:t>y</w:t>
      </w:r>
      <w:r>
        <w:rPr>
          <w:spacing w:val="-9"/>
        </w:rPr>
        <w:t xml:space="preserve"> </w:t>
      </w:r>
      <w:r>
        <w:t>acompañantes</w:t>
      </w:r>
      <w:r>
        <w:rPr>
          <w:spacing w:val="-9"/>
        </w:rPr>
        <w:t xml:space="preserve"> </w:t>
      </w:r>
      <w:r>
        <w:t>de</w:t>
      </w:r>
      <w:r>
        <w:rPr>
          <w:spacing w:val="-9"/>
        </w:rPr>
        <w:t xml:space="preserve"> </w:t>
      </w:r>
      <w:r>
        <w:t>las</w:t>
      </w:r>
      <w:r>
        <w:rPr>
          <w:spacing w:val="-9"/>
        </w:rPr>
        <w:t xml:space="preserve"> </w:t>
      </w:r>
      <w:r>
        <w:t>víctimas.</w:t>
      </w:r>
      <w:r>
        <w:rPr>
          <w:spacing w:val="-9"/>
        </w:rPr>
        <w:t xml:space="preserve"> </w:t>
      </w:r>
      <w:r>
        <w:t>Al</w:t>
      </w:r>
      <w:r>
        <w:rPr>
          <w:spacing w:val="-9"/>
        </w:rPr>
        <w:t xml:space="preserve"> </w:t>
      </w:r>
      <w:r>
        <w:t>final,</w:t>
      </w:r>
      <w:r>
        <w:rPr>
          <w:spacing w:val="-11"/>
        </w:rPr>
        <w:t xml:space="preserve"> </w:t>
      </w:r>
      <w:r>
        <w:t xml:space="preserve">hubo </w:t>
      </w:r>
      <w:r>
        <w:rPr>
          <w:spacing w:val="-2"/>
        </w:rPr>
        <w:t>algunas</w:t>
      </w:r>
      <w:r>
        <w:rPr>
          <w:spacing w:val="-5"/>
        </w:rPr>
        <w:t xml:space="preserve"> </w:t>
      </w:r>
      <w:r>
        <w:rPr>
          <w:spacing w:val="-2"/>
        </w:rPr>
        <w:t>condenas</w:t>
      </w:r>
      <w:r>
        <w:rPr>
          <w:spacing w:val="-4"/>
        </w:rPr>
        <w:t xml:space="preserve"> </w:t>
      </w:r>
      <w:r>
        <w:rPr>
          <w:spacing w:val="-2"/>
        </w:rPr>
        <w:t>contra</w:t>
      </w:r>
      <w:r>
        <w:rPr>
          <w:spacing w:val="-5"/>
        </w:rPr>
        <w:t xml:space="preserve"> </w:t>
      </w:r>
      <w:r>
        <w:rPr>
          <w:spacing w:val="-2"/>
        </w:rPr>
        <w:t>militares</w:t>
      </w:r>
      <w:r>
        <w:rPr>
          <w:spacing w:val="-4"/>
        </w:rPr>
        <w:t xml:space="preserve"> </w:t>
      </w:r>
      <w:r>
        <w:rPr>
          <w:spacing w:val="-2"/>
        </w:rPr>
        <w:t>y</w:t>
      </w:r>
      <w:r>
        <w:rPr>
          <w:spacing w:val="-4"/>
        </w:rPr>
        <w:t xml:space="preserve"> </w:t>
      </w:r>
      <w:r>
        <w:rPr>
          <w:spacing w:val="-2"/>
        </w:rPr>
        <w:t>narcotraficantes,</w:t>
      </w:r>
      <w:r>
        <w:rPr>
          <w:spacing w:val="-4"/>
        </w:rPr>
        <w:t xml:space="preserve"> </w:t>
      </w:r>
      <w:r>
        <w:rPr>
          <w:spacing w:val="-2"/>
        </w:rPr>
        <w:t>pero</w:t>
      </w:r>
      <w:r>
        <w:rPr>
          <w:spacing w:val="-5"/>
        </w:rPr>
        <w:t xml:space="preserve"> </w:t>
      </w:r>
      <w:r>
        <w:rPr>
          <w:spacing w:val="-2"/>
        </w:rPr>
        <w:t>la</w:t>
      </w:r>
      <w:r>
        <w:rPr>
          <w:spacing w:val="-5"/>
        </w:rPr>
        <w:t xml:space="preserve"> </w:t>
      </w:r>
      <w:r>
        <w:rPr>
          <w:spacing w:val="-2"/>
        </w:rPr>
        <w:t>pesquisa</w:t>
      </w:r>
      <w:r>
        <w:rPr>
          <w:spacing w:val="-4"/>
        </w:rPr>
        <w:t xml:space="preserve"> </w:t>
      </w:r>
      <w:r>
        <w:rPr>
          <w:spacing w:val="-2"/>
        </w:rPr>
        <w:t>no</w:t>
      </w:r>
      <w:r>
        <w:rPr>
          <w:spacing w:val="-5"/>
        </w:rPr>
        <w:t xml:space="preserve"> </w:t>
      </w:r>
      <w:r>
        <w:rPr>
          <w:spacing w:val="-2"/>
        </w:rPr>
        <w:t>alcanzó</w:t>
      </w:r>
      <w:r>
        <w:rPr>
          <w:spacing w:val="-4"/>
        </w:rPr>
        <w:t xml:space="preserve"> </w:t>
      </w:r>
      <w:r>
        <w:rPr>
          <w:spacing w:val="-2"/>
        </w:rPr>
        <w:t>para</w:t>
      </w:r>
      <w:r>
        <w:rPr>
          <w:spacing w:val="-4"/>
        </w:rPr>
        <w:t xml:space="preserve"> </w:t>
      </w:r>
      <w:r>
        <w:rPr>
          <w:spacing w:val="-2"/>
        </w:rPr>
        <w:t xml:space="preserve">develar </w:t>
      </w:r>
      <w:r>
        <w:t>todo el entramado criminal que se formó para preservar intereses ilícitos comunes del narcotráfico y miembros corruptos de la fuerza pública.</w:t>
      </w:r>
    </w:p>
    <w:p w:rsidR="003804AC" w:rsidRDefault="00AF18A5" w:rsidP="009F0CCA">
      <w:r>
        <w:t>Estos episodios de intimidación y violencia muestran que, en buena medida, las pocas investigaciones</w:t>
      </w:r>
      <w:r>
        <w:rPr>
          <w:spacing w:val="-1"/>
        </w:rPr>
        <w:t xml:space="preserve"> </w:t>
      </w:r>
      <w:r>
        <w:t>judiciales</w:t>
      </w:r>
      <w:r>
        <w:rPr>
          <w:spacing w:val="-1"/>
        </w:rPr>
        <w:t xml:space="preserve"> </w:t>
      </w:r>
      <w:r>
        <w:t>en Colombia</w:t>
      </w:r>
      <w:r>
        <w:rPr>
          <w:spacing w:val="-1"/>
        </w:rPr>
        <w:t xml:space="preserve"> </w:t>
      </w:r>
      <w:r>
        <w:t>por violaciones</w:t>
      </w:r>
      <w:r>
        <w:rPr>
          <w:spacing w:val="-1"/>
        </w:rPr>
        <w:t xml:space="preserve"> </w:t>
      </w:r>
      <w:r>
        <w:t>a</w:t>
      </w:r>
      <w:r>
        <w:rPr>
          <w:spacing w:val="-2"/>
        </w:rPr>
        <w:t xml:space="preserve"> </w:t>
      </w:r>
      <w:r>
        <w:t>los derechos</w:t>
      </w:r>
      <w:r>
        <w:rPr>
          <w:spacing w:val="-1"/>
        </w:rPr>
        <w:t xml:space="preserve"> </w:t>
      </w:r>
      <w:r>
        <w:t>humanos se</w:t>
      </w:r>
      <w:r>
        <w:rPr>
          <w:spacing w:val="-1"/>
        </w:rPr>
        <w:t xml:space="preserve"> </w:t>
      </w:r>
      <w:r>
        <w:t>han</w:t>
      </w:r>
      <w:r>
        <w:rPr>
          <w:spacing w:val="-2"/>
        </w:rPr>
        <w:t xml:space="preserve"> </w:t>
      </w:r>
      <w:r>
        <w:rPr>
          <w:spacing w:val="-4"/>
        </w:rPr>
        <w:t>dado</w:t>
      </w:r>
      <w:bookmarkStart w:id="1141" w:name="_bookmark1008"/>
      <w:bookmarkEnd w:id="1141"/>
      <w:r w:rsidR="009F0CCA">
        <w:rPr>
          <w:spacing w:val="-4"/>
        </w:rPr>
        <w:t xml:space="preserve"> </w:t>
      </w:r>
      <w:r>
        <w:t>en</w:t>
      </w:r>
      <w:r>
        <w:rPr>
          <w:spacing w:val="-6"/>
        </w:rPr>
        <w:t xml:space="preserve"> </w:t>
      </w:r>
      <w:r>
        <w:t>medio</w:t>
      </w:r>
      <w:r>
        <w:rPr>
          <w:spacing w:val="-6"/>
        </w:rPr>
        <w:t xml:space="preserve"> </w:t>
      </w:r>
      <w:r>
        <w:t>de</w:t>
      </w:r>
      <w:r>
        <w:rPr>
          <w:spacing w:val="-6"/>
        </w:rPr>
        <w:t xml:space="preserve"> </w:t>
      </w:r>
      <w:r>
        <w:t>un</w:t>
      </w:r>
      <w:r>
        <w:rPr>
          <w:spacing w:val="-6"/>
        </w:rPr>
        <w:t xml:space="preserve"> </w:t>
      </w:r>
      <w:r>
        <w:t>recurrente</w:t>
      </w:r>
      <w:r>
        <w:rPr>
          <w:spacing w:val="-6"/>
        </w:rPr>
        <w:t xml:space="preserve"> </w:t>
      </w:r>
      <w:r>
        <w:t>negacionismo</w:t>
      </w:r>
      <w:r>
        <w:rPr>
          <w:spacing w:val="-6"/>
        </w:rPr>
        <w:t xml:space="preserve"> </w:t>
      </w:r>
      <w:r>
        <w:t>del</w:t>
      </w:r>
      <w:r>
        <w:rPr>
          <w:spacing w:val="-6"/>
        </w:rPr>
        <w:t xml:space="preserve"> </w:t>
      </w:r>
      <w:r>
        <w:t>Estado</w:t>
      </w:r>
      <w:r>
        <w:rPr>
          <w:spacing w:val="-6"/>
        </w:rPr>
        <w:t xml:space="preserve"> </w:t>
      </w:r>
      <w:r>
        <w:t>y</w:t>
      </w:r>
      <w:r>
        <w:rPr>
          <w:spacing w:val="-6"/>
        </w:rPr>
        <w:t xml:space="preserve"> </w:t>
      </w:r>
      <w:r>
        <w:t>de</w:t>
      </w:r>
      <w:r>
        <w:rPr>
          <w:spacing w:val="-6"/>
        </w:rPr>
        <w:t xml:space="preserve"> </w:t>
      </w:r>
      <w:r>
        <w:t>las</w:t>
      </w:r>
      <w:r>
        <w:rPr>
          <w:spacing w:val="-6"/>
        </w:rPr>
        <w:t xml:space="preserve"> </w:t>
      </w:r>
      <w:r>
        <w:t>Fuerzas</w:t>
      </w:r>
      <w:r>
        <w:rPr>
          <w:spacing w:val="-6"/>
        </w:rPr>
        <w:t xml:space="preserve"> </w:t>
      </w:r>
      <w:r>
        <w:t>Armadas</w:t>
      </w:r>
      <w:r>
        <w:rPr>
          <w:spacing w:val="-6"/>
        </w:rPr>
        <w:t xml:space="preserve"> </w:t>
      </w:r>
      <w:r>
        <w:t>respecto</w:t>
      </w:r>
      <w:r>
        <w:rPr>
          <w:spacing w:val="-7"/>
        </w:rPr>
        <w:t xml:space="preserve"> </w:t>
      </w:r>
      <w:r>
        <w:t>a</w:t>
      </w:r>
      <w:r>
        <w:rPr>
          <w:spacing w:val="-6"/>
        </w:rPr>
        <w:t xml:space="preserve"> </w:t>
      </w:r>
      <w:r>
        <w:t>sus responsabilidades.</w:t>
      </w:r>
      <w:r>
        <w:rPr>
          <w:spacing w:val="-8"/>
        </w:rPr>
        <w:t xml:space="preserve"> </w:t>
      </w:r>
      <w:r>
        <w:t>La</w:t>
      </w:r>
      <w:r>
        <w:rPr>
          <w:spacing w:val="-8"/>
        </w:rPr>
        <w:t xml:space="preserve"> </w:t>
      </w:r>
      <w:r>
        <w:t>versión</w:t>
      </w:r>
      <w:r>
        <w:rPr>
          <w:spacing w:val="-8"/>
        </w:rPr>
        <w:t xml:space="preserve"> </w:t>
      </w:r>
      <w:r>
        <w:t>prevalente</w:t>
      </w:r>
      <w:r>
        <w:rPr>
          <w:spacing w:val="-9"/>
        </w:rPr>
        <w:t xml:space="preserve"> </w:t>
      </w:r>
      <w:r>
        <w:t>en</w:t>
      </w:r>
      <w:r>
        <w:rPr>
          <w:spacing w:val="-8"/>
        </w:rPr>
        <w:t xml:space="preserve"> </w:t>
      </w:r>
      <w:r>
        <w:t>la</w:t>
      </w:r>
      <w:r>
        <w:rPr>
          <w:spacing w:val="-8"/>
        </w:rPr>
        <w:t xml:space="preserve"> </w:t>
      </w:r>
      <w:r>
        <w:t>mayoría</w:t>
      </w:r>
      <w:r>
        <w:rPr>
          <w:spacing w:val="-9"/>
        </w:rPr>
        <w:t xml:space="preserve"> </w:t>
      </w:r>
      <w:r>
        <w:t>de</w:t>
      </w:r>
      <w:r>
        <w:rPr>
          <w:spacing w:val="-9"/>
        </w:rPr>
        <w:t xml:space="preserve"> </w:t>
      </w:r>
      <w:r>
        <w:t>los</w:t>
      </w:r>
      <w:r>
        <w:rPr>
          <w:spacing w:val="-9"/>
        </w:rPr>
        <w:t xml:space="preserve"> </w:t>
      </w:r>
      <w:r>
        <w:t>casos</w:t>
      </w:r>
      <w:r>
        <w:rPr>
          <w:spacing w:val="-9"/>
        </w:rPr>
        <w:t xml:space="preserve"> </w:t>
      </w:r>
      <w:r>
        <w:t>es</w:t>
      </w:r>
      <w:r>
        <w:rPr>
          <w:spacing w:val="-8"/>
        </w:rPr>
        <w:t xml:space="preserve"> </w:t>
      </w:r>
      <w:r>
        <w:t>que</w:t>
      </w:r>
      <w:r>
        <w:rPr>
          <w:spacing w:val="-8"/>
        </w:rPr>
        <w:t xml:space="preserve"> </w:t>
      </w:r>
      <w:r>
        <w:t>se</w:t>
      </w:r>
      <w:r>
        <w:rPr>
          <w:spacing w:val="-9"/>
        </w:rPr>
        <w:t xml:space="preserve"> </w:t>
      </w:r>
      <w:r>
        <w:t>trató</w:t>
      </w:r>
      <w:r>
        <w:rPr>
          <w:spacing w:val="-8"/>
        </w:rPr>
        <w:t xml:space="preserve"> </w:t>
      </w:r>
      <w:r>
        <w:t>de</w:t>
      </w:r>
      <w:r>
        <w:rPr>
          <w:spacing w:val="-9"/>
        </w:rPr>
        <w:t xml:space="preserve"> </w:t>
      </w:r>
      <w:r>
        <w:t>hechos originados a partir de circunstancias locales y que, en consecuencia, las responsabilidades fueron solamente individuales. No obstante, también se ha probado que no fueron piezas sueltas de corrupción, sino que, en múltiples ocasiones, hubo alianzas cuestionadas con graves efectos para las víctimas y sus territorios. La persecución posterior a los acontecimientos,</w:t>
      </w:r>
      <w:r>
        <w:rPr>
          <w:spacing w:val="-8"/>
        </w:rPr>
        <w:t xml:space="preserve"> </w:t>
      </w:r>
      <w:r>
        <w:t>sumada</w:t>
      </w:r>
      <w:r>
        <w:rPr>
          <w:spacing w:val="-8"/>
        </w:rPr>
        <w:t xml:space="preserve"> </w:t>
      </w:r>
      <w:r>
        <w:t>a</w:t>
      </w:r>
      <w:r>
        <w:rPr>
          <w:spacing w:val="-9"/>
        </w:rPr>
        <w:t xml:space="preserve"> </w:t>
      </w:r>
      <w:r>
        <w:t>la</w:t>
      </w:r>
      <w:r>
        <w:rPr>
          <w:spacing w:val="-9"/>
        </w:rPr>
        <w:t xml:space="preserve"> </w:t>
      </w:r>
      <w:r>
        <w:t>ausencia</w:t>
      </w:r>
      <w:r>
        <w:rPr>
          <w:spacing w:val="-8"/>
        </w:rPr>
        <w:t xml:space="preserve"> </w:t>
      </w:r>
      <w:r>
        <w:t>de</w:t>
      </w:r>
      <w:r>
        <w:rPr>
          <w:spacing w:val="-9"/>
        </w:rPr>
        <w:t xml:space="preserve"> </w:t>
      </w:r>
      <w:r>
        <w:t>investigaciones,</w:t>
      </w:r>
      <w:r>
        <w:rPr>
          <w:spacing w:val="-9"/>
        </w:rPr>
        <w:t xml:space="preserve"> </w:t>
      </w:r>
      <w:r>
        <w:t>evidencian</w:t>
      </w:r>
      <w:r>
        <w:rPr>
          <w:spacing w:val="-8"/>
        </w:rPr>
        <w:t xml:space="preserve"> </w:t>
      </w:r>
      <w:r>
        <w:t>una</w:t>
      </w:r>
      <w:r>
        <w:rPr>
          <w:spacing w:val="-9"/>
        </w:rPr>
        <w:t xml:space="preserve"> </w:t>
      </w:r>
      <w:r>
        <w:t>recurrente</w:t>
      </w:r>
      <w:r>
        <w:rPr>
          <w:spacing w:val="-9"/>
        </w:rPr>
        <w:t xml:space="preserve"> </w:t>
      </w:r>
      <w:r>
        <w:t>falta</w:t>
      </w:r>
      <w:r>
        <w:rPr>
          <w:spacing w:val="-9"/>
        </w:rPr>
        <w:t xml:space="preserve"> </w:t>
      </w:r>
      <w:r>
        <w:t>de justicia. Por eso fueron tan importantes las acciones de los magistrados, jueces, fiscales o funcionarios</w:t>
      </w:r>
      <w:r>
        <w:rPr>
          <w:spacing w:val="-5"/>
        </w:rPr>
        <w:t xml:space="preserve"> </w:t>
      </w:r>
      <w:r>
        <w:t>que</w:t>
      </w:r>
      <w:r>
        <w:rPr>
          <w:spacing w:val="-3"/>
        </w:rPr>
        <w:t xml:space="preserve"> </w:t>
      </w:r>
      <w:r>
        <w:t>pagaron</w:t>
      </w:r>
      <w:r>
        <w:rPr>
          <w:spacing w:val="-4"/>
        </w:rPr>
        <w:t xml:space="preserve"> </w:t>
      </w:r>
      <w:r>
        <w:t>con</w:t>
      </w:r>
      <w:r>
        <w:rPr>
          <w:spacing w:val="-4"/>
        </w:rPr>
        <w:t xml:space="preserve"> </w:t>
      </w:r>
      <w:r>
        <w:t>su</w:t>
      </w:r>
      <w:r>
        <w:rPr>
          <w:spacing w:val="-4"/>
        </w:rPr>
        <w:t xml:space="preserve"> </w:t>
      </w:r>
      <w:r>
        <w:t>vida</w:t>
      </w:r>
      <w:r>
        <w:rPr>
          <w:spacing w:val="-3"/>
        </w:rPr>
        <w:t xml:space="preserve"> </w:t>
      </w:r>
      <w:r>
        <w:t>o</w:t>
      </w:r>
      <w:r>
        <w:rPr>
          <w:spacing w:val="-4"/>
        </w:rPr>
        <w:t xml:space="preserve"> </w:t>
      </w:r>
      <w:r>
        <w:t>su</w:t>
      </w:r>
      <w:r>
        <w:rPr>
          <w:spacing w:val="-4"/>
        </w:rPr>
        <w:t xml:space="preserve"> </w:t>
      </w:r>
      <w:r>
        <w:t>seguridad</w:t>
      </w:r>
      <w:r>
        <w:rPr>
          <w:spacing w:val="-4"/>
        </w:rPr>
        <w:t xml:space="preserve"> </w:t>
      </w:r>
      <w:r>
        <w:t>personal</w:t>
      </w:r>
      <w:r>
        <w:rPr>
          <w:spacing w:val="-4"/>
        </w:rPr>
        <w:t xml:space="preserve"> </w:t>
      </w:r>
      <w:r>
        <w:t>su</w:t>
      </w:r>
      <w:r>
        <w:rPr>
          <w:spacing w:val="-4"/>
        </w:rPr>
        <w:t xml:space="preserve"> </w:t>
      </w:r>
      <w:r>
        <w:t>compromiso</w:t>
      </w:r>
      <w:r>
        <w:rPr>
          <w:spacing w:val="-4"/>
        </w:rPr>
        <w:t xml:space="preserve"> </w:t>
      </w:r>
      <w:r>
        <w:t>con</w:t>
      </w:r>
      <w:r>
        <w:rPr>
          <w:spacing w:val="-5"/>
        </w:rPr>
        <w:t xml:space="preserve"> </w:t>
      </w:r>
      <w:r>
        <w:t>la</w:t>
      </w:r>
      <w:r>
        <w:rPr>
          <w:spacing w:val="-5"/>
        </w:rPr>
        <w:t xml:space="preserve"> </w:t>
      </w:r>
      <w:r>
        <w:t>verdad, la</w:t>
      </w:r>
      <w:r>
        <w:rPr>
          <w:spacing w:val="-9"/>
        </w:rPr>
        <w:t xml:space="preserve"> </w:t>
      </w:r>
      <w:r>
        <w:t>justicia</w:t>
      </w:r>
      <w:r>
        <w:rPr>
          <w:spacing w:val="-9"/>
        </w:rPr>
        <w:t xml:space="preserve"> </w:t>
      </w:r>
      <w:r>
        <w:t>y</w:t>
      </w:r>
      <w:r>
        <w:rPr>
          <w:spacing w:val="-11"/>
        </w:rPr>
        <w:t xml:space="preserve"> </w:t>
      </w:r>
      <w:r>
        <w:t>la</w:t>
      </w:r>
      <w:r>
        <w:rPr>
          <w:spacing w:val="-9"/>
        </w:rPr>
        <w:t xml:space="preserve"> </w:t>
      </w:r>
      <w:r>
        <w:t>democracia.</w:t>
      </w:r>
      <w:r>
        <w:rPr>
          <w:spacing w:val="-9"/>
        </w:rPr>
        <w:t xml:space="preserve"> </w:t>
      </w:r>
      <w:r>
        <w:t>No</w:t>
      </w:r>
      <w:r>
        <w:rPr>
          <w:spacing w:val="-9"/>
        </w:rPr>
        <w:t xml:space="preserve"> </w:t>
      </w:r>
      <w:r>
        <w:t>pudieron</w:t>
      </w:r>
      <w:r>
        <w:rPr>
          <w:spacing w:val="-9"/>
        </w:rPr>
        <w:t xml:space="preserve"> </w:t>
      </w:r>
      <w:r>
        <w:t>concluir</w:t>
      </w:r>
      <w:r>
        <w:rPr>
          <w:spacing w:val="-9"/>
        </w:rPr>
        <w:t xml:space="preserve"> </w:t>
      </w:r>
      <w:r>
        <w:t>su</w:t>
      </w:r>
      <w:r>
        <w:rPr>
          <w:spacing w:val="-9"/>
        </w:rPr>
        <w:t xml:space="preserve"> </w:t>
      </w:r>
      <w:r>
        <w:t>tarea</w:t>
      </w:r>
      <w:r>
        <w:rPr>
          <w:spacing w:val="-9"/>
        </w:rPr>
        <w:t xml:space="preserve"> </w:t>
      </w:r>
      <w:r>
        <w:t>de</w:t>
      </w:r>
      <w:r>
        <w:rPr>
          <w:spacing w:val="-9"/>
        </w:rPr>
        <w:t xml:space="preserve"> </w:t>
      </w:r>
      <w:r>
        <w:t>desmantelar</w:t>
      </w:r>
      <w:r>
        <w:rPr>
          <w:spacing w:val="-9"/>
        </w:rPr>
        <w:t xml:space="preserve"> </w:t>
      </w:r>
      <w:r>
        <w:t>los</w:t>
      </w:r>
      <w:r>
        <w:rPr>
          <w:spacing w:val="-9"/>
        </w:rPr>
        <w:t xml:space="preserve"> </w:t>
      </w:r>
      <w:r>
        <w:t>mecanismos</w:t>
      </w:r>
      <w:r>
        <w:rPr>
          <w:spacing w:val="-9"/>
        </w:rPr>
        <w:t xml:space="preserve"> </w:t>
      </w:r>
      <w:r>
        <w:t>del terror, pero se adelantaron en una tarea que nunca es tarde para un Estado que tiene la obligación de reconciliarse con las víctimas a través de la verdad.</w:t>
      </w:r>
    </w:p>
    <w:p w:rsidR="0011361F" w:rsidRDefault="00AF18A5" w:rsidP="004A6EF4">
      <w:pPr>
        <w:pStyle w:val="Ttulo3"/>
        <w:numPr>
          <w:ilvl w:val="1"/>
          <w:numId w:val="16"/>
        </w:numPr>
      </w:pPr>
      <w:bookmarkStart w:id="1142" w:name="8.8._Ataques_de_la_guerrilla"/>
      <w:bookmarkStart w:id="1143" w:name="_Toc112399633"/>
      <w:bookmarkEnd w:id="1142"/>
      <w:r>
        <w:t>Ataques</w:t>
      </w:r>
      <w:r>
        <w:rPr>
          <w:spacing w:val="-2"/>
        </w:rPr>
        <w:t xml:space="preserve"> </w:t>
      </w:r>
      <w:r>
        <w:t>de</w:t>
      </w:r>
      <w:r>
        <w:rPr>
          <w:spacing w:val="-1"/>
        </w:rPr>
        <w:t xml:space="preserve"> </w:t>
      </w:r>
      <w:r>
        <w:t>la</w:t>
      </w:r>
      <w:r>
        <w:rPr>
          <w:spacing w:val="-1"/>
        </w:rPr>
        <w:t xml:space="preserve"> </w:t>
      </w:r>
      <w:r w:rsidRPr="009F0CCA">
        <w:t>guerrilla</w:t>
      </w:r>
      <w:bookmarkEnd w:id="1143"/>
    </w:p>
    <w:p w:rsidR="003804AC" w:rsidRDefault="00AF18A5" w:rsidP="009F0CCA">
      <w:r>
        <w:t xml:space="preserve">La justicia también ha sufrido embates de las guerrillas. En 26 las 1.755 tomas y ataques guerrilleros a poblaciones se afectaron oficinas de </w:t>
      </w:r>
      <w:r>
        <w:lastRenderedPageBreak/>
        <w:t>juzgados y en 46 instituciones penitenciarias</w:t>
      </w:r>
      <w:r w:rsidR="009F0CCA">
        <w:rPr>
          <w:rStyle w:val="Refdenotaalpie"/>
        </w:rPr>
        <w:footnoteReference w:id="923"/>
      </w:r>
      <w:r>
        <w:t>. En estos casos, las guerrillas afectaron a las instituciones de la justicia en medio de ataques indiscriminados, especialmente en el caso de los juzgados, pero también como violencia selectiva, sobre todo contra las cárceles. Las consecuencias de dichas acciones no solo incluyeron las instalaciones, sino la extensión de la amenaza contra los funcionarios encargados de la justicia en dichas regiones.</w:t>
      </w:r>
    </w:p>
    <w:p w:rsidR="003804AC" w:rsidRDefault="00AF18A5" w:rsidP="009F0CCA">
      <w:r>
        <w:t>Además de los ataques indiscriminados en las tomas, las guerrillas también atacaron directamente a funcionarios judiciales. Un ejemplo fue lo ocurrido en noviembre de 1991, cuando las FARC-EP masacraron a una comisión encabezada por el Juez 75 de Instrucción Criminal</w:t>
      </w:r>
      <w:r>
        <w:rPr>
          <w:spacing w:val="-4"/>
        </w:rPr>
        <w:t xml:space="preserve"> </w:t>
      </w:r>
      <w:r>
        <w:t>Permanente</w:t>
      </w:r>
      <w:r>
        <w:rPr>
          <w:spacing w:val="-4"/>
        </w:rPr>
        <w:t xml:space="preserve"> </w:t>
      </w:r>
      <w:r>
        <w:t>de</w:t>
      </w:r>
      <w:r>
        <w:rPr>
          <w:spacing w:val="-6"/>
        </w:rPr>
        <w:t xml:space="preserve"> </w:t>
      </w:r>
      <w:r>
        <w:t>Bogotá,</w:t>
      </w:r>
      <w:r>
        <w:rPr>
          <w:spacing w:val="-5"/>
        </w:rPr>
        <w:t xml:space="preserve"> </w:t>
      </w:r>
      <w:r>
        <w:t>Luis</w:t>
      </w:r>
      <w:r>
        <w:rPr>
          <w:spacing w:val="-5"/>
        </w:rPr>
        <w:t xml:space="preserve"> </w:t>
      </w:r>
      <w:r>
        <w:t>Miguel</w:t>
      </w:r>
      <w:r>
        <w:rPr>
          <w:spacing w:val="-4"/>
        </w:rPr>
        <w:t xml:space="preserve"> </w:t>
      </w:r>
      <w:r>
        <w:t>Garavito,</w:t>
      </w:r>
      <w:r>
        <w:rPr>
          <w:spacing w:val="-5"/>
        </w:rPr>
        <w:t xml:space="preserve"> </w:t>
      </w:r>
      <w:r>
        <w:t>y</w:t>
      </w:r>
      <w:r>
        <w:rPr>
          <w:spacing w:val="-5"/>
        </w:rPr>
        <w:t xml:space="preserve"> </w:t>
      </w:r>
      <w:r>
        <w:t>varios</w:t>
      </w:r>
      <w:r>
        <w:rPr>
          <w:spacing w:val="-5"/>
        </w:rPr>
        <w:t xml:space="preserve"> </w:t>
      </w:r>
      <w:r>
        <w:t>fiscales</w:t>
      </w:r>
      <w:r>
        <w:rPr>
          <w:spacing w:val="-4"/>
        </w:rPr>
        <w:t xml:space="preserve"> </w:t>
      </w:r>
      <w:r>
        <w:t>e</w:t>
      </w:r>
      <w:r>
        <w:rPr>
          <w:spacing w:val="-6"/>
        </w:rPr>
        <w:t xml:space="preserve"> </w:t>
      </w:r>
      <w:r>
        <w:t>investigadores</w:t>
      </w:r>
      <w:r>
        <w:rPr>
          <w:spacing w:val="-4"/>
        </w:rPr>
        <w:t xml:space="preserve"> </w:t>
      </w:r>
      <w:r>
        <w:t>de la localidad de Usme. Este hecho creó la impresión de que la justicia tenía vedado, incluso circular</w:t>
      </w:r>
      <w:r>
        <w:rPr>
          <w:spacing w:val="-5"/>
        </w:rPr>
        <w:t xml:space="preserve"> </w:t>
      </w:r>
      <w:r>
        <w:t>por</w:t>
      </w:r>
      <w:r>
        <w:rPr>
          <w:spacing w:val="-6"/>
        </w:rPr>
        <w:t xml:space="preserve"> </w:t>
      </w:r>
      <w:r>
        <w:t>las</w:t>
      </w:r>
      <w:r>
        <w:rPr>
          <w:spacing w:val="-4"/>
        </w:rPr>
        <w:t xml:space="preserve"> </w:t>
      </w:r>
      <w:r>
        <w:t>zonas</w:t>
      </w:r>
      <w:r>
        <w:rPr>
          <w:spacing w:val="-5"/>
        </w:rPr>
        <w:t xml:space="preserve"> </w:t>
      </w:r>
      <w:r>
        <w:t>cercanas</w:t>
      </w:r>
      <w:r>
        <w:rPr>
          <w:spacing w:val="-5"/>
        </w:rPr>
        <w:t xml:space="preserve"> </w:t>
      </w:r>
      <w:r>
        <w:t>a</w:t>
      </w:r>
      <w:r>
        <w:rPr>
          <w:spacing w:val="-4"/>
        </w:rPr>
        <w:t xml:space="preserve"> </w:t>
      </w:r>
      <w:r>
        <w:t>la</w:t>
      </w:r>
      <w:r>
        <w:rPr>
          <w:spacing w:val="-5"/>
        </w:rPr>
        <w:t xml:space="preserve"> </w:t>
      </w:r>
      <w:r>
        <w:t>capital</w:t>
      </w:r>
      <w:r>
        <w:rPr>
          <w:spacing w:val="-4"/>
        </w:rPr>
        <w:t xml:space="preserve"> </w:t>
      </w:r>
      <w:r>
        <w:t>de</w:t>
      </w:r>
      <w:r>
        <w:rPr>
          <w:spacing w:val="-5"/>
        </w:rPr>
        <w:t xml:space="preserve"> </w:t>
      </w:r>
      <w:r>
        <w:t>la</w:t>
      </w:r>
      <w:r>
        <w:rPr>
          <w:spacing w:val="-5"/>
        </w:rPr>
        <w:t xml:space="preserve"> </w:t>
      </w:r>
      <w:r>
        <w:t>República</w:t>
      </w:r>
      <w:r>
        <w:rPr>
          <w:spacing w:val="-4"/>
        </w:rPr>
        <w:t xml:space="preserve"> </w:t>
      </w:r>
      <w:r>
        <w:t>por</w:t>
      </w:r>
      <w:r>
        <w:rPr>
          <w:spacing w:val="-6"/>
        </w:rPr>
        <w:t xml:space="preserve"> </w:t>
      </w:r>
      <w:r>
        <w:t>la</w:t>
      </w:r>
      <w:r>
        <w:rPr>
          <w:spacing w:val="-4"/>
        </w:rPr>
        <w:t xml:space="preserve"> </w:t>
      </w:r>
      <w:r>
        <w:t>acción</w:t>
      </w:r>
      <w:r>
        <w:rPr>
          <w:spacing w:val="-5"/>
        </w:rPr>
        <w:t xml:space="preserve"> </w:t>
      </w:r>
      <w:r>
        <w:t>de</w:t>
      </w:r>
      <w:r>
        <w:rPr>
          <w:spacing w:val="-6"/>
        </w:rPr>
        <w:t xml:space="preserve"> </w:t>
      </w:r>
      <w:r>
        <w:t>la</w:t>
      </w:r>
      <w:r>
        <w:rPr>
          <w:spacing w:val="-4"/>
        </w:rPr>
        <w:t xml:space="preserve"> </w:t>
      </w:r>
      <w:r>
        <w:t>guerrilla.</w:t>
      </w:r>
      <w:r>
        <w:rPr>
          <w:spacing w:val="-5"/>
        </w:rPr>
        <w:t xml:space="preserve"> </w:t>
      </w:r>
      <w:r>
        <w:t>En</w:t>
      </w:r>
      <w:r>
        <w:rPr>
          <w:spacing w:val="-4"/>
        </w:rPr>
        <w:t xml:space="preserve"> </w:t>
      </w:r>
      <w:r>
        <w:rPr>
          <w:spacing w:val="-5"/>
        </w:rPr>
        <w:t>el</w:t>
      </w:r>
      <w:bookmarkStart w:id="1144" w:name="_bookmark1010"/>
      <w:bookmarkEnd w:id="1144"/>
      <w:r w:rsidR="009F0CCA">
        <w:t xml:space="preserve"> </w:t>
      </w:r>
      <w:r>
        <w:t xml:space="preserve">paro judicial iniciado por la masacre, </w:t>
      </w:r>
      <w:proofErr w:type="spellStart"/>
      <w:r>
        <w:t>Asonal</w:t>
      </w:r>
      <w:proofErr w:type="spellEnd"/>
      <w:r>
        <w:t xml:space="preserve"> Judicial emitió un comunicado dirigido a los jueces,</w:t>
      </w:r>
      <w:r>
        <w:rPr>
          <w:spacing w:val="-5"/>
        </w:rPr>
        <w:t xml:space="preserve"> </w:t>
      </w:r>
      <w:r>
        <w:t>en</w:t>
      </w:r>
      <w:r>
        <w:rPr>
          <w:spacing w:val="-3"/>
        </w:rPr>
        <w:t xml:space="preserve"> </w:t>
      </w:r>
      <w:r>
        <w:t>el</w:t>
      </w:r>
      <w:r>
        <w:rPr>
          <w:spacing w:val="-3"/>
        </w:rPr>
        <w:t xml:space="preserve"> </w:t>
      </w:r>
      <w:r>
        <w:t>que</w:t>
      </w:r>
      <w:r>
        <w:rPr>
          <w:spacing w:val="-2"/>
        </w:rPr>
        <w:t xml:space="preserve"> </w:t>
      </w:r>
      <w:r>
        <w:t>les</w:t>
      </w:r>
      <w:r>
        <w:rPr>
          <w:spacing w:val="-2"/>
        </w:rPr>
        <w:t xml:space="preserve"> </w:t>
      </w:r>
      <w:r>
        <w:t>recomendó</w:t>
      </w:r>
      <w:r>
        <w:rPr>
          <w:spacing w:val="-3"/>
        </w:rPr>
        <w:t xml:space="preserve"> </w:t>
      </w:r>
      <w:r>
        <w:t>no</w:t>
      </w:r>
      <w:r>
        <w:rPr>
          <w:spacing w:val="-2"/>
        </w:rPr>
        <w:t xml:space="preserve"> </w:t>
      </w:r>
      <w:r>
        <w:t>realizar</w:t>
      </w:r>
      <w:r>
        <w:rPr>
          <w:spacing w:val="-2"/>
        </w:rPr>
        <w:t xml:space="preserve"> </w:t>
      </w:r>
      <w:r>
        <w:t>diligencias</w:t>
      </w:r>
      <w:r>
        <w:rPr>
          <w:spacing w:val="-2"/>
        </w:rPr>
        <w:t xml:space="preserve"> </w:t>
      </w:r>
      <w:r>
        <w:t>judiciales</w:t>
      </w:r>
      <w:r>
        <w:rPr>
          <w:spacing w:val="-2"/>
        </w:rPr>
        <w:t xml:space="preserve"> </w:t>
      </w:r>
      <w:r>
        <w:t>en</w:t>
      </w:r>
      <w:r>
        <w:rPr>
          <w:spacing w:val="-3"/>
        </w:rPr>
        <w:t xml:space="preserve"> </w:t>
      </w:r>
      <w:r>
        <w:t>zonas</w:t>
      </w:r>
      <w:r>
        <w:rPr>
          <w:spacing w:val="-4"/>
        </w:rPr>
        <w:t xml:space="preserve"> </w:t>
      </w:r>
      <w:r>
        <w:t>de</w:t>
      </w:r>
      <w:r>
        <w:rPr>
          <w:spacing w:val="-2"/>
        </w:rPr>
        <w:t xml:space="preserve"> </w:t>
      </w:r>
      <w:r>
        <w:t>conflicto.</w:t>
      </w:r>
      <w:r>
        <w:rPr>
          <w:spacing w:val="-3"/>
        </w:rPr>
        <w:t xml:space="preserve"> </w:t>
      </w:r>
      <w:r>
        <w:rPr>
          <w:spacing w:val="-4"/>
        </w:rPr>
        <w:t>Esas</w:t>
      </w:r>
      <w:r w:rsidR="009F0CCA">
        <w:t xml:space="preserve"> </w:t>
      </w:r>
      <w:r>
        <w:t>«zonas rojas» estigmatizaron poblaciones y produjeron miedo entre los funcionarios, que evitaban ser nombrados o trasladados a estos territorios.</w:t>
      </w:r>
    </w:p>
    <w:p w:rsidR="003804AC" w:rsidRDefault="00AF18A5" w:rsidP="009F0CCA">
      <w:r>
        <w:t>Las</w:t>
      </w:r>
      <w:r>
        <w:rPr>
          <w:spacing w:val="-6"/>
        </w:rPr>
        <w:t xml:space="preserve"> </w:t>
      </w:r>
      <w:r>
        <w:t>amenazas,</w:t>
      </w:r>
      <w:r>
        <w:rPr>
          <w:spacing w:val="-6"/>
        </w:rPr>
        <w:t xml:space="preserve"> </w:t>
      </w:r>
      <w:r>
        <w:t>presiones</w:t>
      </w:r>
      <w:r>
        <w:rPr>
          <w:spacing w:val="-7"/>
        </w:rPr>
        <w:t xml:space="preserve"> </w:t>
      </w:r>
      <w:r>
        <w:t>y</w:t>
      </w:r>
      <w:r>
        <w:rPr>
          <w:spacing w:val="-6"/>
        </w:rPr>
        <w:t xml:space="preserve"> </w:t>
      </w:r>
      <w:r>
        <w:t>desplazamiento</w:t>
      </w:r>
      <w:r>
        <w:rPr>
          <w:spacing w:val="-6"/>
        </w:rPr>
        <w:t xml:space="preserve"> </w:t>
      </w:r>
      <w:r>
        <w:t>de</w:t>
      </w:r>
      <w:r>
        <w:rPr>
          <w:spacing w:val="-6"/>
        </w:rPr>
        <w:t xml:space="preserve"> </w:t>
      </w:r>
      <w:r>
        <w:t>funcionarios</w:t>
      </w:r>
      <w:r>
        <w:rPr>
          <w:spacing w:val="-6"/>
        </w:rPr>
        <w:t xml:space="preserve"> </w:t>
      </w:r>
      <w:r>
        <w:t>del</w:t>
      </w:r>
      <w:r>
        <w:rPr>
          <w:spacing w:val="-6"/>
        </w:rPr>
        <w:t xml:space="preserve"> </w:t>
      </w:r>
      <w:r>
        <w:t>sector</w:t>
      </w:r>
      <w:r>
        <w:rPr>
          <w:spacing w:val="-6"/>
        </w:rPr>
        <w:t xml:space="preserve"> </w:t>
      </w:r>
      <w:r>
        <w:t>judicial</w:t>
      </w:r>
      <w:r>
        <w:rPr>
          <w:spacing w:val="-6"/>
        </w:rPr>
        <w:t xml:space="preserve"> </w:t>
      </w:r>
      <w:r>
        <w:t>en</w:t>
      </w:r>
      <w:r>
        <w:rPr>
          <w:spacing w:val="-6"/>
        </w:rPr>
        <w:t xml:space="preserve"> </w:t>
      </w:r>
      <w:r>
        <w:t>zonas</w:t>
      </w:r>
      <w:r>
        <w:rPr>
          <w:spacing w:val="-6"/>
        </w:rPr>
        <w:t xml:space="preserve"> </w:t>
      </w:r>
      <w:r>
        <w:t>de control</w:t>
      </w:r>
      <w:r>
        <w:rPr>
          <w:spacing w:val="-2"/>
        </w:rPr>
        <w:t xml:space="preserve"> </w:t>
      </w:r>
      <w:r>
        <w:t>de</w:t>
      </w:r>
      <w:r>
        <w:rPr>
          <w:spacing w:val="-2"/>
        </w:rPr>
        <w:t xml:space="preserve"> </w:t>
      </w:r>
      <w:r>
        <w:t>grupos</w:t>
      </w:r>
      <w:r>
        <w:rPr>
          <w:spacing w:val="-2"/>
        </w:rPr>
        <w:t xml:space="preserve"> </w:t>
      </w:r>
      <w:r>
        <w:t>guerrilleros,</w:t>
      </w:r>
      <w:r>
        <w:rPr>
          <w:spacing w:val="-2"/>
        </w:rPr>
        <w:t xml:space="preserve"> </w:t>
      </w:r>
      <w:r>
        <w:t>como</w:t>
      </w:r>
      <w:r>
        <w:rPr>
          <w:spacing w:val="-2"/>
        </w:rPr>
        <w:t xml:space="preserve"> </w:t>
      </w:r>
      <w:r>
        <w:t>las</w:t>
      </w:r>
      <w:r>
        <w:rPr>
          <w:spacing w:val="-2"/>
        </w:rPr>
        <w:t xml:space="preserve"> </w:t>
      </w:r>
      <w:r>
        <w:t>FARC-EP</w:t>
      </w:r>
      <w:r>
        <w:rPr>
          <w:spacing w:val="-3"/>
        </w:rPr>
        <w:t xml:space="preserve"> </w:t>
      </w:r>
      <w:r>
        <w:t>o</w:t>
      </w:r>
      <w:r>
        <w:rPr>
          <w:spacing w:val="-2"/>
        </w:rPr>
        <w:t xml:space="preserve"> </w:t>
      </w:r>
      <w:r>
        <w:t>el</w:t>
      </w:r>
      <w:r>
        <w:rPr>
          <w:spacing w:val="-2"/>
        </w:rPr>
        <w:t xml:space="preserve"> </w:t>
      </w:r>
      <w:r>
        <w:t>ELN,</w:t>
      </w:r>
      <w:r>
        <w:rPr>
          <w:spacing w:val="-3"/>
        </w:rPr>
        <w:t xml:space="preserve"> </w:t>
      </w:r>
      <w:r>
        <w:t>fueron</w:t>
      </w:r>
      <w:r>
        <w:rPr>
          <w:spacing w:val="-3"/>
        </w:rPr>
        <w:t xml:space="preserve"> </w:t>
      </w:r>
      <w:r>
        <w:t>frecuentes.</w:t>
      </w:r>
      <w:r>
        <w:rPr>
          <w:spacing w:val="-2"/>
        </w:rPr>
        <w:t xml:space="preserve"> </w:t>
      </w:r>
      <w:r>
        <w:t>En</w:t>
      </w:r>
      <w:r>
        <w:rPr>
          <w:spacing w:val="-2"/>
        </w:rPr>
        <w:t xml:space="preserve"> </w:t>
      </w:r>
      <w:r>
        <w:t>1990,</w:t>
      </w:r>
      <w:r>
        <w:rPr>
          <w:spacing w:val="-2"/>
        </w:rPr>
        <w:t xml:space="preserve"> </w:t>
      </w:r>
      <w:r>
        <w:t>el ELN asesinó a la pareja formada por el Juez de Orden Público Samuel Alonso Rodríguez Jácome</w:t>
      </w:r>
      <w:r>
        <w:rPr>
          <w:spacing w:val="-8"/>
        </w:rPr>
        <w:t xml:space="preserve"> </w:t>
      </w:r>
      <w:r>
        <w:t>y</w:t>
      </w:r>
      <w:r>
        <w:rPr>
          <w:spacing w:val="-10"/>
        </w:rPr>
        <w:t xml:space="preserve"> </w:t>
      </w:r>
      <w:r>
        <w:t>la</w:t>
      </w:r>
      <w:r>
        <w:rPr>
          <w:spacing w:val="-9"/>
        </w:rPr>
        <w:t xml:space="preserve"> </w:t>
      </w:r>
      <w:r>
        <w:t>abogada</w:t>
      </w:r>
      <w:r>
        <w:rPr>
          <w:spacing w:val="-8"/>
        </w:rPr>
        <w:t xml:space="preserve"> </w:t>
      </w:r>
      <w:proofErr w:type="spellStart"/>
      <w:r>
        <w:t>Margoth</w:t>
      </w:r>
      <w:proofErr w:type="spellEnd"/>
      <w:r>
        <w:rPr>
          <w:spacing w:val="-8"/>
        </w:rPr>
        <w:t xml:space="preserve"> </w:t>
      </w:r>
      <w:r>
        <w:t>Stella</w:t>
      </w:r>
      <w:r>
        <w:rPr>
          <w:spacing w:val="-11"/>
        </w:rPr>
        <w:t xml:space="preserve"> </w:t>
      </w:r>
      <w:r>
        <w:t>Puentes</w:t>
      </w:r>
      <w:r>
        <w:rPr>
          <w:spacing w:val="-8"/>
        </w:rPr>
        <w:t xml:space="preserve"> </w:t>
      </w:r>
      <w:r>
        <w:t>Torrado.</w:t>
      </w:r>
      <w:r>
        <w:rPr>
          <w:spacing w:val="-8"/>
        </w:rPr>
        <w:t xml:space="preserve"> </w:t>
      </w:r>
      <w:r>
        <w:t>Fueron</w:t>
      </w:r>
      <w:r>
        <w:rPr>
          <w:spacing w:val="-10"/>
        </w:rPr>
        <w:t xml:space="preserve"> </w:t>
      </w:r>
      <w:r>
        <w:t>acribillados</w:t>
      </w:r>
      <w:r>
        <w:rPr>
          <w:spacing w:val="-10"/>
        </w:rPr>
        <w:t xml:space="preserve"> </w:t>
      </w:r>
      <w:r>
        <w:t>frente</w:t>
      </w:r>
      <w:r>
        <w:rPr>
          <w:spacing w:val="-8"/>
        </w:rPr>
        <w:t xml:space="preserve"> </w:t>
      </w:r>
      <w:r>
        <w:t>a</w:t>
      </w:r>
      <w:r>
        <w:rPr>
          <w:spacing w:val="-8"/>
        </w:rPr>
        <w:t xml:space="preserve"> </w:t>
      </w:r>
      <w:r>
        <w:t>su</w:t>
      </w:r>
      <w:r>
        <w:rPr>
          <w:spacing w:val="-10"/>
        </w:rPr>
        <w:t xml:space="preserve"> </w:t>
      </w:r>
      <w:r>
        <w:t>casa</w:t>
      </w:r>
      <w:r>
        <w:rPr>
          <w:spacing w:val="-8"/>
        </w:rPr>
        <w:t xml:space="preserve"> </w:t>
      </w:r>
      <w:r>
        <w:t xml:space="preserve">en Bucaramanga el 2 de junio de 1990. Su hija fue criada por sus </w:t>
      </w:r>
      <w:r>
        <w:lastRenderedPageBreak/>
        <w:t>abuelos en el exilio.</w:t>
      </w:r>
    </w:p>
    <w:p w:rsidR="003804AC" w:rsidRDefault="00AF18A5" w:rsidP="008F7772">
      <w:r>
        <w:t>Las investigaciones contra miembros de las guerrillas llevaron a amenazas o asesinatos. En marzo de 1996, en Tibú, Norte de Santander, funcionarios de la Fiscalía cumplieron la orden de un juez sin rostro de dar con el paradero de José Nelson Pérez Ortega, alias Pulga Arrecha,</w:t>
      </w:r>
      <w:r>
        <w:rPr>
          <w:spacing w:val="-6"/>
        </w:rPr>
        <w:t xml:space="preserve"> </w:t>
      </w:r>
      <w:r>
        <w:t>un</w:t>
      </w:r>
      <w:r>
        <w:rPr>
          <w:spacing w:val="-8"/>
        </w:rPr>
        <w:t xml:space="preserve"> </w:t>
      </w:r>
      <w:r>
        <w:t>miembro</w:t>
      </w:r>
      <w:r>
        <w:rPr>
          <w:spacing w:val="-6"/>
        </w:rPr>
        <w:t xml:space="preserve"> </w:t>
      </w:r>
      <w:r>
        <w:t>del</w:t>
      </w:r>
      <w:r>
        <w:rPr>
          <w:spacing w:val="-7"/>
        </w:rPr>
        <w:t xml:space="preserve"> </w:t>
      </w:r>
      <w:r>
        <w:t>ELN</w:t>
      </w:r>
      <w:r>
        <w:rPr>
          <w:spacing w:val="-7"/>
        </w:rPr>
        <w:t xml:space="preserve"> </w:t>
      </w:r>
      <w:r>
        <w:t>acusado</w:t>
      </w:r>
      <w:r>
        <w:rPr>
          <w:spacing w:val="-6"/>
        </w:rPr>
        <w:t xml:space="preserve"> </w:t>
      </w:r>
      <w:r>
        <w:t>del</w:t>
      </w:r>
      <w:r>
        <w:rPr>
          <w:spacing w:val="-6"/>
        </w:rPr>
        <w:t xml:space="preserve"> </w:t>
      </w:r>
      <w:r>
        <w:t>asesinato</w:t>
      </w:r>
      <w:r>
        <w:rPr>
          <w:spacing w:val="-6"/>
        </w:rPr>
        <w:t xml:space="preserve"> </w:t>
      </w:r>
      <w:r>
        <w:t>de</w:t>
      </w:r>
      <w:r>
        <w:rPr>
          <w:spacing w:val="-6"/>
        </w:rPr>
        <w:t xml:space="preserve"> </w:t>
      </w:r>
      <w:r>
        <w:t>un</w:t>
      </w:r>
      <w:r>
        <w:rPr>
          <w:spacing w:val="-7"/>
        </w:rPr>
        <w:t xml:space="preserve"> </w:t>
      </w:r>
      <w:r>
        <w:t>policía</w:t>
      </w:r>
      <w:r>
        <w:rPr>
          <w:spacing w:val="-6"/>
        </w:rPr>
        <w:t xml:space="preserve"> </w:t>
      </w:r>
      <w:r>
        <w:t>en</w:t>
      </w:r>
      <w:r>
        <w:rPr>
          <w:spacing w:val="-7"/>
        </w:rPr>
        <w:t xml:space="preserve"> </w:t>
      </w:r>
      <w:r>
        <w:t>Norte</w:t>
      </w:r>
      <w:r>
        <w:rPr>
          <w:spacing w:val="-6"/>
        </w:rPr>
        <w:t xml:space="preserve"> </w:t>
      </w:r>
      <w:r>
        <w:t>de</w:t>
      </w:r>
      <w:r>
        <w:rPr>
          <w:spacing w:val="-6"/>
        </w:rPr>
        <w:t xml:space="preserve"> </w:t>
      </w:r>
      <w:r>
        <w:t>Santander.</w:t>
      </w:r>
      <w:r>
        <w:rPr>
          <w:spacing w:val="-6"/>
        </w:rPr>
        <w:t xml:space="preserve"> </w:t>
      </w:r>
      <w:r>
        <w:t>El 13</w:t>
      </w:r>
      <w:r>
        <w:rPr>
          <w:spacing w:val="-4"/>
        </w:rPr>
        <w:t xml:space="preserve"> </w:t>
      </w:r>
      <w:r>
        <w:t>de</w:t>
      </w:r>
      <w:r>
        <w:rPr>
          <w:spacing w:val="-3"/>
        </w:rPr>
        <w:t xml:space="preserve"> </w:t>
      </w:r>
      <w:r>
        <w:t>marzo,</w:t>
      </w:r>
      <w:r>
        <w:rPr>
          <w:spacing w:val="-4"/>
        </w:rPr>
        <w:t xml:space="preserve"> </w:t>
      </w:r>
      <w:r>
        <w:t>los</w:t>
      </w:r>
      <w:r>
        <w:rPr>
          <w:spacing w:val="-3"/>
        </w:rPr>
        <w:t xml:space="preserve"> </w:t>
      </w:r>
      <w:r>
        <w:t>seis</w:t>
      </w:r>
      <w:r>
        <w:rPr>
          <w:spacing w:val="-3"/>
        </w:rPr>
        <w:t xml:space="preserve"> </w:t>
      </w:r>
      <w:r>
        <w:t>funcionarios</w:t>
      </w:r>
      <w:r>
        <w:rPr>
          <w:spacing w:val="-3"/>
        </w:rPr>
        <w:t xml:space="preserve"> </w:t>
      </w:r>
      <w:r>
        <w:t>del</w:t>
      </w:r>
      <w:r>
        <w:rPr>
          <w:spacing w:val="-3"/>
        </w:rPr>
        <w:t xml:space="preserve"> </w:t>
      </w:r>
      <w:r>
        <w:t>CTI</w:t>
      </w:r>
      <w:r>
        <w:rPr>
          <w:spacing w:val="-3"/>
        </w:rPr>
        <w:t xml:space="preserve"> </w:t>
      </w:r>
      <w:r>
        <w:t>de</w:t>
      </w:r>
      <w:r>
        <w:rPr>
          <w:spacing w:val="-3"/>
        </w:rPr>
        <w:t xml:space="preserve"> </w:t>
      </w:r>
      <w:r>
        <w:t>Tibú</w:t>
      </w:r>
      <w:r>
        <w:rPr>
          <w:spacing w:val="-4"/>
        </w:rPr>
        <w:t xml:space="preserve"> </w:t>
      </w:r>
      <w:r>
        <w:t>cenaban</w:t>
      </w:r>
      <w:r>
        <w:rPr>
          <w:spacing w:val="-4"/>
        </w:rPr>
        <w:t xml:space="preserve"> </w:t>
      </w:r>
      <w:r>
        <w:t>en</w:t>
      </w:r>
      <w:r>
        <w:rPr>
          <w:spacing w:val="-4"/>
        </w:rPr>
        <w:t xml:space="preserve"> </w:t>
      </w:r>
      <w:r>
        <w:t>un</w:t>
      </w:r>
      <w:r>
        <w:rPr>
          <w:spacing w:val="-4"/>
        </w:rPr>
        <w:t xml:space="preserve"> </w:t>
      </w:r>
      <w:r>
        <w:t>restaurante</w:t>
      </w:r>
      <w:r>
        <w:rPr>
          <w:spacing w:val="-3"/>
        </w:rPr>
        <w:t xml:space="preserve"> </w:t>
      </w:r>
      <w:r>
        <w:t>cuando</w:t>
      </w:r>
      <w:r>
        <w:rPr>
          <w:spacing w:val="-5"/>
        </w:rPr>
        <w:t xml:space="preserve"> </w:t>
      </w:r>
      <w:r>
        <w:t>fueron atacados</w:t>
      </w:r>
      <w:r>
        <w:rPr>
          <w:spacing w:val="-6"/>
        </w:rPr>
        <w:t xml:space="preserve"> </w:t>
      </w:r>
      <w:r>
        <w:t>con</w:t>
      </w:r>
      <w:r>
        <w:rPr>
          <w:spacing w:val="-6"/>
        </w:rPr>
        <w:t xml:space="preserve"> </w:t>
      </w:r>
      <w:r>
        <w:t>armas</w:t>
      </w:r>
      <w:r>
        <w:rPr>
          <w:spacing w:val="-6"/>
        </w:rPr>
        <w:t xml:space="preserve"> </w:t>
      </w:r>
      <w:r>
        <w:t>semiautomáticas.</w:t>
      </w:r>
      <w:r>
        <w:rPr>
          <w:spacing w:val="-6"/>
        </w:rPr>
        <w:t xml:space="preserve"> </w:t>
      </w:r>
      <w:r>
        <w:t>La</w:t>
      </w:r>
      <w:r>
        <w:rPr>
          <w:spacing w:val="-6"/>
        </w:rPr>
        <w:t xml:space="preserve"> </w:t>
      </w:r>
      <w:r>
        <w:t>Policía</w:t>
      </w:r>
      <w:r>
        <w:rPr>
          <w:spacing w:val="-6"/>
        </w:rPr>
        <w:t xml:space="preserve"> </w:t>
      </w:r>
      <w:r>
        <w:t>tenía</w:t>
      </w:r>
      <w:r>
        <w:rPr>
          <w:spacing w:val="-6"/>
        </w:rPr>
        <w:t xml:space="preserve"> </w:t>
      </w:r>
      <w:r>
        <w:t>su</w:t>
      </w:r>
      <w:r>
        <w:rPr>
          <w:spacing w:val="-6"/>
        </w:rPr>
        <w:t xml:space="preserve"> </w:t>
      </w:r>
      <w:r>
        <w:t>puesto</w:t>
      </w:r>
      <w:r>
        <w:rPr>
          <w:spacing w:val="-6"/>
        </w:rPr>
        <w:t xml:space="preserve"> </w:t>
      </w:r>
      <w:r>
        <w:t>a</w:t>
      </w:r>
      <w:r>
        <w:rPr>
          <w:spacing w:val="-6"/>
        </w:rPr>
        <w:t xml:space="preserve"> </w:t>
      </w:r>
      <w:r>
        <w:t>dos</w:t>
      </w:r>
      <w:r>
        <w:rPr>
          <w:spacing w:val="-6"/>
        </w:rPr>
        <w:t xml:space="preserve"> </w:t>
      </w:r>
      <w:r>
        <w:t>cuadras</w:t>
      </w:r>
      <w:r>
        <w:rPr>
          <w:spacing w:val="-6"/>
        </w:rPr>
        <w:t xml:space="preserve"> </w:t>
      </w:r>
      <w:r>
        <w:t>de</w:t>
      </w:r>
      <w:r>
        <w:rPr>
          <w:spacing w:val="-6"/>
        </w:rPr>
        <w:t xml:space="preserve"> </w:t>
      </w:r>
      <w:r>
        <w:t>los</w:t>
      </w:r>
      <w:r>
        <w:rPr>
          <w:spacing w:val="-6"/>
        </w:rPr>
        <w:t xml:space="preserve"> </w:t>
      </w:r>
      <w:r>
        <w:t xml:space="preserve">hechos, pero tardó 45 minutos en llegar. En el atentado fallecieron los funcionarios Javier Alfonso Martínez Vila y Quintín Diaz Rondón, y Gustavo Rico Muñoz, Jaime Ávila. Juan Carlos Romero, Yesid Enrique Duarte Cristancho, sufrieron secuelas, discapacidad o impactos </w:t>
      </w:r>
      <w:r>
        <w:rPr>
          <w:spacing w:val="-2"/>
        </w:rPr>
        <w:t>severos.</w:t>
      </w:r>
    </w:p>
    <w:p w:rsidR="003804AC" w:rsidRDefault="00AF18A5" w:rsidP="008F7772">
      <w:r>
        <w:t>Veintidós</w:t>
      </w:r>
      <w:r>
        <w:rPr>
          <w:spacing w:val="-14"/>
        </w:rPr>
        <w:t xml:space="preserve"> </w:t>
      </w:r>
      <w:r>
        <w:t>años</w:t>
      </w:r>
      <w:r>
        <w:rPr>
          <w:spacing w:val="-13"/>
        </w:rPr>
        <w:t xml:space="preserve"> </w:t>
      </w:r>
      <w:r>
        <w:t>después,</w:t>
      </w:r>
      <w:r>
        <w:rPr>
          <w:spacing w:val="-14"/>
        </w:rPr>
        <w:t xml:space="preserve"> </w:t>
      </w:r>
      <w:r>
        <w:t>en</w:t>
      </w:r>
      <w:r>
        <w:rPr>
          <w:spacing w:val="-13"/>
        </w:rPr>
        <w:t xml:space="preserve"> </w:t>
      </w:r>
      <w:r>
        <w:t>octubre</w:t>
      </w:r>
      <w:r>
        <w:rPr>
          <w:spacing w:val="-13"/>
        </w:rPr>
        <w:t xml:space="preserve"> </w:t>
      </w:r>
      <w:r>
        <w:t>de</w:t>
      </w:r>
      <w:r>
        <w:rPr>
          <w:spacing w:val="-13"/>
        </w:rPr>
        <w:t xml:space="preserve"> </w:t>
      </w:r>
      <w:r>
        <w:t>2018,</w:t>
      </w:r>
      <w:r>
        <w:rPr>
          <w:spacing w:val="-13"/>
        </w:rPr>
        <w:t xml:space="preserve"> </w:t>
      </w:r>
      <w:r>
        <w:t>en</w:t>
      </w:r>
      <w:r>
        <w:rPr>
          <w:spacing w:val="-13"/>
        </w:rPr>
        <w:t xml:space="preserve"> </w:t>
      </w:r>
      <w:r>
        <w:t>la</w:t>
      </w:r>
      <w:r>
        <w:rPr>
          <w:spacing w:val="-14"/>
        </w:rPr>
        <w:t xml:space="preserve"> </w:t>
      </w:r>
      <w:r>
        <w:t>jurisdicción</w:t>
      </w:r>
      <w:r>
        <w:rPr>
          <w:spacing w:val="-14"/>
        </w:rPr>
        <w:t xml:space="preserve"> </w:t>
      </w:r>
      <w:r>
        <w:t>de</w:t>
      </w:r>
      <w:r>
        <w:rPr>
          <w:spacing w:val="-13"/>
        </w:rPr>
        <w:t xml:space="preserve"> </w:t>
      </w:r>
      <w:r>
        <w:t>Justicia</w:t>
      </w:r>
      <w:r>
        <w:rPr>
          <w:spacing w:val="-13"/>
        </w:rPr>
        <w:t xml:space="preserve"> </w:t>
      </w:r>
      <w:r>
        <w:t>y</w:t>
      </w:r>
      <w:r>
        <w:rPr>
          <w:spacing w:val="-14"/>
        </w:rPr>
        <w:t xml:space="preserve"> </w:t>
      </w:r>
      <w:r>
        <w:t>Paz,</w:t>
      </w:r>
      <w:r>
        <w:rPr>
          <w:spacing w:val="-13"/>
        </w:rPr>
        <w:t xml:space="preserve"> </w:t>
      </w:r>
      <w:r>
        <w:t>se</w:t>
      </w:r>
      <w:r>
        <w:rPr>
          <w:spacing w:val="-13"/>
        </w:rPr>
        <w:t xml:space="preserve"> </w:t>
      </w:r>
      <w:r>
        <w:t>celebró una audiencia de versión libre del excomandante del frente Libardo Mora Toro del EPL. El procesado confesó que efectivamente el ELN planeó el hecho y subcontrató al EPL para llevarlo a cabo. Según dijeron, se atacó a los funcionarios judiciales por ser objetivos militares,</w:t>
      </w:r>
      <w:r>
        <w:rPr>
          <w:spacing w:val="-5"/>
        </w:rPr>
        <w:t xml:space="preserve"> </w:t>
      </w:r>
      <w:r>
        <w:t>ya</w:t>
      </w:r>
      <w:r>
        <w:rPr>
          <w:spacing w:val="-6"/>
        </w:rPr>
        <w:t xml:space="preserve"> </w:t>
      </w:r>
      <w:r>
        <w:t>que</w:t>
      </w:r>
      <w:r>
        <w:rPr>
          <w:spacing w:val="-4"/>
        </w:rPr>
        <w:t xml:space="preserve"> </w:t>
      </w:r>
      <w:r>
        <w:t>eran</w:t>
      </w:r>
      <w:r>
        <w:rPr>
          <w:spacing w:val="-5"/>
        </w:rPr>
        <w:t xml:space="preserve"> </w:t>
      </w:r>
      <w:r>
        <w:t>integrantes</w:t>
      </w:r>
      <w:r>
        <w:rPr>
          <w:spacing w:val="-4"/>
        </w:rPr>
        <w:t xml:space="preserve"> </w:t>
      </w:r>
      <w:r>
        <w:t>de</w:t>
      </w:r>
      <w:r>
        <w:rPr>
          <w:spacing w:val="-4"/>
        </w:rPr>
        <w:t xml:space="preserve"> </w:t>
      </w:r>
      <w:r>
        <w:t>la</w:t>
      </w:r>
      <w:r>
        <w:rPr>
          <w:spacing w:val="-4"/>
        </w:rPr>
        <w:t xml:space="preserve"> </w:t>
      </w:r>
      <w:r>
        <w:t>Fiscalía</w:t>
      </w:r>
      <w:r>
        <w:rPr>
          <w:spacing w:val="-4"/>
        </w:rPr>
        <w:t xml:space="preserve"> </w:t>
      </w:r>
      <w:r>
        <w:t>que</w:t>
      </w:r>
      <w:r>
        <w:rPr>
          <w:spacing w:val="-4"/>
        </w:rPr>
        <w:t xml:space="preserve"> </w:t>
      </w:r>
      <w:r>
        <w:t>llevaban</w:t>
      </w:r>
      <w:r>
        <w:rPr>
          <w:spacing w:val="-5"/>
        </w:rPr>
        <w:t xml:space="preserve"> </w:t>
      </w:r>
      <w:r>
        <w:t>procesos</w:t>
      </w:r>
      <w:r>
        <w:rPr>
          <w:spacing w:val="-5"/>
        </w:rPr>
        <w:t xml:space="preserve"> </w:t>
      </w:r>
      <w:r>
        <w:t>contra</w:t>
      </w:r>
      <w:r>
        <w:rPr>
          <w:spacing w:val="-4"/>
        </w:rPr>
        <w:t xml:space="preserve"> </w:t>
      </w:r>
      <w:r>
        <w:t>los</w:t>
      </w:r>
      <w:r>
        <w:rPr>
          <w:spacing w:val="-5"/>
        </w:rPr>
        <w:t xml:space="preserve"> </w:t>
      </w:r>
      <w:r>
        <w:t>guerrilleros y habían capturado a uno de los suyos recientemente. Para la esposa de uno de los funcionarios</w:t>
      </w:r>
      <w:r>
        <w:rPr>
          <w:spacing w:val="-6"/>
        </w:rPr>
        <w:t xml:space="preserve"> </w:t>
      </w:r>
      <w:r>
        <w:t>atacados,</w:t>
      </w:r>
      <w:r>
        <w:rPr>
          <w:spacing w:val="-5"/>
        </w:rPr>
        <w:t xml:space="preserve"> </w:t>
      </w:r>
      <w:r>
        <w:t>esa</w:t>
      </w:r>
      <w:r>
        <w:rPr>
          <w:spacing w:val="-5"/>
        </w:rPr>
        <w:t xml:space="preserve"> </w:t>
      </w:r>
      <w:r>
        <w:t>fue</w:t>
      </w:r>
      <w:r>
        <w:rPr>
          <w:spacing w:val="-5"/>
        </w:rPr>
        <w:t xml:space="preserve"> </w:t>
      </w:r>
      <w:r>
        <w:t>«una</w:t>
      </w:r>
      <w:r>
        <w:rPr>
          <w:spacing w:val="-5"/>
        </w:rPr>
        <w:t xml:space="preserve"> </w:t>
      </w:r>
      <w:r>
        <w:t>verdad</w:t>
      </w:r>
      <w:r>
        <w:rPr>
          <w:spacing w:val="-5"/>
        </w:rPr>
        <w:t xml:space="preserve"> </w:t>
      </w:r>
      <w:r>
        <w:t>a</w:t>
      </w:r>
      <w:r>
        <w:rPr>
          <w:spacing w:val="-6"/>
        </w:rPr>
        <w:t xml:space="preserve"> </w:t>
      </w:r>
      <w:r>
        <w:t>medias»,</w:t>
      </w:r>
      <w:r>
        <w:rPr>
          <w:spacing w:val="-5"/>
        </w:rPr>
        <w:t xml:space="preserve"> </w:t>
      </w:r>
      <w:r>
        <w:t>porque</w:t>
      </w:r>
      <w:r>
        <w:rPr>
          <w:spacing w:val="-6"/>
        </w:rPr>
        <w:t xml:space="preserve"> </w:t>
      </w:r>
      <w:r>
        <w:t>la</w:t>
      </w:r>
      <w:r>
        <w:rPr>
          <w:spacing w:val="-5"/>
        </w:rPr>
        <w:t xml:space="preserve"> </w:t>
      </w:r>
      <w:r>
        <w:t>Fiscalía</w:t>
      </w:r>
      <w:r>
        <w:rPr>
          <w:spacing w:val="-5"/>
        </w:rPr>
        <w:t xml:space="preserve"> </w:t>
      </w:r>
      <w:r>
        <w:t>podría</w:t>
      </w:r>
      <w:r>
        <w:rPr>
          <w:spacing w:val="-5"/>
        </w:rPr>
        <w:t xml:space="preserve"> </w:t>
      </w:r>
      <w:r>
        <w:t>haber</w:t>
      </w:r>
      <w:r>
        <w:rPr>
          <w:spacing w:val="-6"/>
        </w:rPr>
        <w:t xml:space="preserve"> </w:t>
      </w:r>
      <w:r>
        <w:t>hecho mucho para protegerlos, pero realmente no hizo nada. A la impotencia de las víctimas se sumó el drama de los sobrevivientes, que ni siquiera han sido recordados:</w:t>
      </w:r>
    </w:p>
    <w:p w:rsidR="003804AC" w:rsidRDefault="00AF18A5" w:rsidP="008F7772">
      <w:r>
        <w:t xml:space="preserve">«El sobreviviente también le ha apostado al país. Tienen que ser nombrados. No pueden ser solo víctimas los muertos. A veces cuando </w:t>
      </w:r>
      <w:r>
        <w:lastRenderedPageBreak/>
        <w:t xml:space="preserve">veo lo que sufrió, no sé qué hubiera sido </w:t>
      </w:r>
      <w:r>
        <w:rPr>
          <w:spacing w:val="-2"/>
        </w:rPr>
        <w:t>mejor»</w:t>
      </w:r>
      <w:r w:rsidR="008F7772">
        <w:rPr>
          <w:rStyle w:val="Refdenotaalpie"/>
          <w:spacing w:val="-2"/>
        </w:rPr>
        <w:footnoteReference w:id="924"/>
      </w:r>
      <w:r>
        <w:rPr>
          <w:spacing w:val="-2"/>
        </w:rPr>
        <w:t>.</w:t>
      </w:r>
    </w:p>
    <w:p w:rsidR="0011361F" w:rsidRDefault="00AF18A5" w:rsidP="004A6EF4">
      <w:pPr>
        <w:pStyle w:val="Ttulo3"/>
        <w:numPr>
          <w:ilvl w:val="1"/>
          <w:numId w:val="16"/>
        </w:numPr>
      </w:pPr>
      <w:bookmarkStart w:id="1145" w:name="8.9._Justicias_de_excepción_que_prolonga"/>
      <w:bookmarkStart w:id="1146" w:name="_Toc112399634"/>
      <w:bookmarkEnd w:id="1145"/>
      <w:r>
        <w:t>Justicias</w:t>
      </w:r>
      <w:r>
        <w:rPr>
          <w:spacing w:val="-3"/>
        </w:rPr>
        <w:t xml:space="preserve"> </w:t>
      </w:r>
      <w:r>
        <w:t>de</w:t>
      </w:r>
      <w:r>
        <w:rPr>
          <w:spacing w:val="-2"/>
        </w:rPr>
        <w:t xml:space="preserve"> </w:t>
      </w:r>
      <w:r>
        <w:t>excepción</w:t>
      </w:r>
      <w:r>
        <w:rPr>
          <w:spacing w:val="-3"/>
        </w:rPr>
        <w:t xml:space="preserve"> </w:t>
      </w:r>
      <w:r>
        <w:t>que</w:t>
      </w:r>
      <w:r>
        <w:rPr>
          <w:spacing w:val="-2"/>
        </w:rPr>
        <w:t xml:space="preserve"> </w:t>
      </w:r>
      <w:r w:rsidRPr="008F7772">
        <w:t>prolongaron</w:t>
      </w:r>
      <w:r>
        <w:rPr>
          <w:spacing w:val="-3"/>
        </w:rPr>
        <w:t xml:space="preserve"> </w:t>
      </w:r>
      <w:r>
        <w:rPr>
          <w:spacing w:val="-2"/>
        </w:rPr>
        <w:t>impunidad</w:t>
      </w:r>
      <w:bookmarkEnd w:id="1146"/>
    </w:p>
    <w:p w:rsidR="008F7772" w:rsidRPr="008F7772" w:rsidRDefault="00AF18A5" w:rsidP="008F7772">
      <w:r>
        <w:t>La</w:t>
      </w:r>
      <w:r>
        <w:rPr>
          <w:spacing w:val="-2"/>
        </w:rPr>
        <w:t xml:space="preserve"> </w:t>
      </w:r>
      <w:r>
        <w:t>justicia</w:t>
      </w:r>
      <w:r>
        <w:rPr>
          <w:spacing w:val="-2"/>
        </w:rPr>
        <w:t xml:space="preserve"> </w:t>
      </w:r>
      <w:r>
        <w:t>penal</w:t>
      </w:r>
      <w:r>
        <w:rPr>
          <w:spacing w:val="-2"/>
        </w:rPr>
        <w:t xml:space="preserve"> </w:t>
      </w:r>
      <w:r>
        <w:t>militar</w:t>
      </w:r>
      <w:r>
        <w:rPr>
          <w:spacing w:val="-3"/>
        </w:rPr>
        <w:t xml:space="preserve"> </w:t>
      </w:r>
      <w:r>
        <w:t>siguió</w:t>
      </w:r>
      <w:r>
        <w:rPr>
          <w:spacing w:val="-3"/>
        </w:rPr>
        <w:t xml:space="preserve"> </w:t>
      </w:r>
      <w:r>
        <w:t>perseverando</w:t>
      </w:r>
      <w:r>
        <w:rPr>
          <w:spacing w:val="-2"/>
        </w:rPr>
        <w:t xml:space="preserve"> </w:t>
      </w:r>
      <w:r>
        <w:t>en</w:t>
      </w:r>
      <w:r>
        <w:rPr>
          <w:spacing w:val="-2"/>
        </w:rPr>
        <w:t xml:space="preserve"> </w:t>
      </w:r>
      <w:r>
        <w:t>su</w:t>
      </w:r>
      <w:r>
        <w:rPr>
          <w:spacing w:val="-3"/>
        </w:rPr>
        <w:t xml:space="preserve"> </w:t>
      </w:r>
      <w:r>
        <w:t>decisión</w:t>
      </w:r>
      <w:r>
        <w:rPr>
          <w:spacing w:val="-2"/>
        </w:rPr>
        <w:t xml:space="preserve"> </w:t>
      </w:r>
      <w:r>
        <w:t>de</w:t>
      </w:r>
      <w:r>
        <w:rPr>
          <w:spacing w:val="-3"/>
        </w:rPr>
        <w:t xml:space="preserve"> </w:t>
      </w:r>
      <w:r>
        <w:t>abarcar</w:t>
      </w:r>
      <w:r>
        <w:rPr>
          <w:spacing w:val="-3"/>
        </w:rPr>
        <w:t xml:space="preserve"> </w:t>
      </w:r>
      <w:r>
        <w:t>todos</w:t>
      </w:r>
      <w:r>
        <w:rPr>
          <w:spacing w:val="-3"/>
        </w:rPr>
        <w:t xml:space="preserve"> </w:t>
      </w:r>
      <w:r>
        <w:t>los</w:t>
      </w:r>
      <w:r>
        <w:rPr>
          <w:spacing w:val="-3"/>
        </w:rPr>
        <w:t xml:space="preserve"> </w:t>
      </w:r>
      <w:r>
        <w:t>procesos</w:t>
      </w:r>
      <w:r>
        <w:rPr>
          <w:spacing w:val="-3"/>
        </w:rPr>
        <w:t xml:space="preserve"> </w:t>
      </w:r>
      <w:r>
        <w:t>contra los que consideraba enemigos internos del Estado colombiano y para eso utilizaba todos los expedientes, desde la presión a la Corte Suprema de Justicia hasta la presión a los gobiernos de turno […]. López Michelsen se negó a dictar el Estatuto de Seguridad porque eso para él era un tema de popularidad. Luego cuando llega Turbay Ayala en 1978 al poder, ya estaba listo todo el andamiaje</w:t>
      </w:r>
      <w:r>
        <w:rPr>
          <w:spacing w:val="-5"/>
        </w:rPr>
        <w:t xml:space="preserve"> </w:t>
      </w:r>
      <w:r>
        <w:t>del</w:t>
      </w:r>
      <w:r>
        <w:rPr>
          <w:spacing w:val="-3"/>
        </w:rPr>
        <w:t xml:space="preserve"> </w:t>
      </w:r>
      <w:r>
        <w:t>Estatuto</w:t>
      </w:r>
      <w:r>
        <w:rPr>
          <w:spacing w:val="-4"/>
        </w:rPr>
        <w:t xml:space="preserve"> </w:t>
      </w:r>
      <w:r>
        <w:t>de</w:t>
      </w:r>
      <w:r>
        <w:rPr>
          <w:spacing w:val="-4"/>
        </w:rPr>
        <w:t xml:space="preserve"> </w:t>
      </w:r>
      <w:r>
        <w:t>Seguridad,</w:t>
      </w:r>
      <w:r>
        <w:rPr>
          <w:spacing w:val="-3"/>
        </w:rPr>
        <w:t xml:space="preserve"> </w:t>
      </w:r>
      <w:r>
        <w:t>o</w:t>
      </w:r>
      <w:r>
        <w:rPr>
          <w:spacing w:val="-4"/>
        </w:rPr>
        <w:t xml:space="preserve"> </w:t>
      </w:r>
      <w:r>
        <w:t>sea,</w:t>
      </w:r>
      <w:r>
        <w:rPr>
          <w:spacing w:val="-3"/>
        </w:rPr>
        <w:t xml:space="preserve"> </w:t>
      </w:r>
      <w:r>
        <w:t>siempre</w:t>
      </w:r>
      <w:r>
        <w:rPr>
          <w:spacing w:val="-2"/>
        </w:rPr>
        <w:t xml:space="preserve"> </w:t>
      </w:r>
      <w:r>
        <w:t>perseveraron,</w:t>
      </w:r>
      <w:r>
        <w:rPr>
          <w:spacing w:val="-3"/>
        </w:rPr>
        <w:t xml:space="preserve"> </w:t>
      </w:r>
      <w:r>
        <w:t>siempre</w:t>
      </w:r>
      <w:r>
        <w:rPr>
          <w:spacing w:val="-4"/>
        </w:rPr>
        <w:t xml:space="preserve"> </w:t>
      </w:r>
      <w:r>
        <w:t>presionaron</w:t>
      </w:r>
      <w:r>
        <w:rPr>
          <w:spacing w:val="-4"/>
        </w:rPr>
        <w:t xml:space="preserve"> </w:t>
      </w:r>
      <w:r>
        <w:t>para</w:t>
      </w:r>
      <w:r>
        <w:rPr>
          <w:spacing w:val="-4"/>
        </w:rPr>
        <w:t xml:space="preserve"> </w:t>
      </w:r>
      <w:r>
        <w:t xml:space="preserve">que los civiles pudieran ser juzgados en consejos </w:t>
      </w:r>
      <w:r w:rsidRPr="008F7772">
        <w:t>verbales de guerra, para que las libertades se</w:t>
      </w:r>
      <w:r w:rsidR="008F7772" w:rsidRPr="008F7772">
        <w:t xml:space="preserve"> </w:t>
      </w:r>
      <w:r w:rsidRPr="008F7772">
        <w:t>restringieran</w:t>
      </w:r>
      <w:r w:rsidR="008F7772">
        <w:rPr>
          <w:rStyle w:val="Refdenotaalpie"/>
        </w:rPr>
        <w:footnoteReference w:id="925"/>
      </w:r>
      <w:r w:rsidRPr="008F7772">
        <w:t>.</w:t>
      </w:r>
    </w:p>
    <w:p w:rsidR="003804AC" w:rsidRDefault="00AF18A5" w:rsidP="008F7772">
      <w:r>
        <w:t>Las justicias de excepción en el marco del Estado de Sitio fueron creadas o utilizadas para atacar a la criminalidad, pero inclinaron la balanza del lado militar y sacrificaron el debido proceso.</w:t>
      </w:r>
      <w:r>
        <w:rPr>
          <w:spacing w:val="-5"/>
        </w:rPr>
        <w:t xml:space="preserve"> </w:t>
      </w:r>
      <w:r>
        <w:t>La</w:t>
      </w:r>
      <w:r>
        <w:rPr>
          <w:spacing w:val="-5"/>
        </w:rPr>
        <w:t xml:space="preserve"> </w:t>
      </w:r>
      <w:r>
        <w:t>justicia</w:t>
      </w:r>
      <w:r>
        <w:rPr>
          <w:spacing w:val="-5"/>
        </w:rPr>
        <w:t xml:space="preserve"> </w:t>
      </w:r>
      <w:r>
        <w:t>penal</w:t>
      </w:r>
      <w:r>
        <w:rPr>
          <w:spacing w:val="-4"/>
        </w:rPr>
        <w:t xml:space="preserve"> </w:t>
      </w:r>
      <w:r>
        <w:t>militar</w:t>
      </w:r>
      <w:r>
        <w:rPr>
          <w:spacing w:val="-4"/>
        </w:rPr>
        <w:t xml:space="preserve"> </w:t>
      </w:r>
      <w:r>
        <w:t>se</w:t>
      </w:r>
      <w:r>
        <w:rPr>
          <w:spacing w:val="-5"/>
        </w:rPr>
        <w:t xml:space="preserve"> </w:t>
      </w:r>
      <w:r>
        <w:t>utilizó</w:t>
      </w:r>
      <w:r>
        <w:rPr>
          <w:spacing w:val="-5"/>
        </w:rPr>
        <w:t xml:space="preserve"> </w:t>
      </w:r>
      <w:r>
        <w:t>durante</w:t>
      </w:r>
      <w:r>
        <w:rPr>
          <w:spacing w:val="-5"/>
        </w:rPr>
        <w:t xml:space="preserve"> </w:t>
      </w:r>
      <w:r>
        <w:t>décadas</w:t>
      </w:r>
      <w:r>
        <w:rPr>
          <w:spacing w:val="-5"/>
        </w:rPr>
        <w:t xml:space="preserve"> </w:t>
      </w:r>
      <w:r>
        <w:t>como</w:t>
      </w:r>
      <w:r>
        <w:rPr>
          <w:spacing w:val="-5"/>
        </w:rPr>
        <w:t xml:space="preserve"> </w:t>
      </w:r>
      <w:r>
        <w:t>un</w:t>
      </w:r>
      <w:r>
        <w:rPr>
          <w:spacing w:val="-5"/>
        </w:rPr>
        <w:t xml:space="preserve"> </w:t>
      </w:r>
      <w:r>
        <w:t>mecanismo</w:t>
      </w:r>
      <w:r>
        <w:rPr>
          <w:spacing w:val="-5"/>
        </w:rPr>
        <w:t xml:space="preserve"> </w:t>
      </w:r>
      <w:r>
        <w:t>para</w:t>
      </w:r>
      <w:r>
        <w:rPr>
          <w:spacing w:val="-5"/>
        </w:rPr>
        <w:t xml:space="preserve"> </w:t>
      </w:r>
      <w:r>
        <w:t>juzgar a civiles o miembros de la fuerza pública acusados de violaciones de derechos humanos. Desde</w:t>
      </w:r>
      <w:r>
        <w:rPr>
          <w:spacing w:val="-1"/>
        </w:rPr>
        <w:t xml:space="preserve"> </w:t>
      </w:r>
      <w:r>
        <w:t>la</w:t>
      </w:r>
      <w:r>
        <w:rPr>
          <w:spacing w:val="-1"/>
        </w:rPr>
        <w:t xml:space="preserve"> </w:t>
      </w:r>
      <w:r>
        <w:t>época</w:t>
      </w:r>
      <w:r>
        <w:rPr>
          <w:spacing w:val="-1"/>
        </w:rPr>
        <w:t xml:space="preserve"> </w:t>
      </w:r>
      <w:r>
        <w:t>del</w:t>
      </w:r>
      <w:r>
        <w:rPr>
          <w:spacing w:val="-1"/>
        </w:rPr>
        <w:t xml:space="preserve"> </w:t>
      </w:r>
      <w:r>
        <w:t>Frente</w:t>
      </w:r>
      <w:r>
        <w:rPr>
          <w:spacing w:val="-1"/>
        </w:rPr>
        <w:t xml:space="preserve"> </w:t>
      </w:r>
      <w:r>
        <w:t>Nacional,</w:t>
      </w:r>
      <w:r>
        <w:rPr>
          <w:spacing w:val="-2"/>
        </w:rPr>
        <w:t xml:space="preserve"> </w:t>
      </w:r>
      <w:r>
        <w:t>el</w:t>
      </w:r>
      <w:r>
        <w:rPr>
          <w:spacing w:val="-1"/>
        </w:rPr>
        <w:t xml:space="preserve"> </w:t>
      </w:r>
      <w:r>
        <w:t>uso</w:t>
      </w:r>
      <w:r>
        <w:rPr>
          <w:spacing w:val="-1"/>
        </w:rPr>
        <w:t xml:space="preserve"> </w:t>
      </w:r>
      <w:r>
        <w:t>de</w:t>
      </w:r>
      <w:r>
        <w:rPr>
          <w:spacing w:val="-1"/>
        </w:rPr>
        <w:t xml:space="preserve"> </w:t>
      </w:r>
      <w:r>
        <w:t>la</w:t>
      </w:r>
      <w:r>
        <w:rPr>
          <w:spacing w:val="-2"/>
        </w:rPr>
        <w:t xml:space="preserve"> </w:t>
      </w:r>
      <w:r>
        <w:t>justicia</w:t>
      </w:r>
      <w:r>
        <w:rPr>
          <w:spacing w:val="-1"/>
        </w:rPr>
        <w:t xml:space="preserve"> </w:t>
      </w:r>
      <w:r>
        <w:t>penal</w:t>
      </w:r>
      <w:r>
        <w:rPr>
          <w:spacing w:val="-2"/>
        </w:rPr>
        <w:t xml:space="preserve"> </w:t>
      </w:r>
      <w:r>
        <w:t>militar</w:t>
      </w:r>
      <w:r>
        <w:rPr>
          <w:spacing w:val="-1"/>
        </w:rPr>
        <w:t xml:space="preserve"> </w:t>
      </w:r>
      <w:r>
        <w:t>fue</w:t>
      </w:r>
      <w:r>
        <w:rPr>
          <w:spacing w:val="-2"/>
        </w:rPr>
        <w:t xml:space="preserve"> </w:t>
      </w:r>
      <w:r>
        <w:t>extendido</w:t>
      </w:r>
      <w:r>
        <w:rPr>
          <w:spacing w:val="-1"/>
        </w:rPr>
        <w:t xml:space="preserve"> </w:t>
      </w:r>
      <w:r>
        <w:t>a</w:t>
      </w:r>
      <w:r>
        <w:rPr>
          <w:spacing w:val="-2"/>
        </w:rPr>
        <w:t xml:space="preserve"> </w:t>
      </w:r>
      <w:r>
        <w:t>través de</w:t>
      </w:r>
      <w:r>
        <w:rPr>
          <w:spacing w:val="-3"/>
        </w:rPr>
        <w:t xml:space="preserve"> </w:t>
      </w:r>
      <w:r>
        <w:t>los</w:t>
      </w:r>
      <w:r>
        <w:rPr>
          <w:spacing w:val="-3"/>
        </w:rPr>
        <w:t xml:space="preserve"> </w:t>
      </w:r>
      <w:r>
        <w:t>Consejos</w:t>
      </w:r>
      <w:r>
        <w:rPr>
          <w:spacing w:val="-3"/>
        </w:rPr>
        <w:t xml:space="preserve"> </w:t>
      </w:r>
      <w:r>
        <w:t>Verbales</w:t>
      </w:r>
      <w:r>
        <w:rPr>
          <w:spacing w:val="-5"/>
        </w:rPr>
        <w:t xml:space="preserve"> </w:t>
      </w:r>
      <w:r>
        <w:t>de</w:t>
      </w:r>
      <w:r>
        <w:rPr>
          <w:spacing w:val="-3"/>
        </w:rPr>
        <w:t xml:space="preserve"> </w:t>
      </w:r>
      <w:r>
        <w:t>Guerra.</w:t>
      </w:r>
      <w:r>
        <w:rPr>
          <w:spacing w:val="-6"/>
        </w:rPr>
        <w:t xml:space="preserve"> </w:t>
      </w:r>
      <w:r>
        <w:t>En</w:t>
      </w:r>
      <w:r>
        <w:rPr>
          <w:spacing w:val="-4"/>
        </w:rPr>
        <w:t xml:space="preserve"> </w:t>
      </w:r>
      <w:r>
        <w:t>1974,</w:t>
      </w:r>
      <w:r>
        <w:rPr>
          <w:spacing w:val="-4"/>
        </w:rPr>
        <w:t xml:space="preserve"> </w:t>
      </w:r>
      <w:r>
        <w:t>cuando</w:t>
      </w:r>
      <w:r>
        <w:rPr>
          <w:spacing w:val="-4"/>
        </w:rPr>
        <w:t xml:space="preserve"> </w:t>
      </w:r>
      <w:r>
        <w:t>terminó</w:t>
      </w:r>
      <w:r>
        <w:rPr>
          <w:spacing w:val="-4"/>
        </w:rPr>
        <w:t xml:space="preserve"> </w:t>
      </w:r>
      <w:r>
        <w:t>el</w:t>
      </w:r>
      <w:r>
        <w:rPr>
          <w:spacing w:val="-3"/>
        </w:rPr>
        <w:t xml:space="preserve"> </w:t>
      </w:r>
      <w:r>
        <w:t>Frente</w:t>
      </w:r>
      <w:r>
        <w:rPr>
          <w:spacing w:val="-5"/>
        </w:rPr>
        <w:t xml:space="preserve"> </w:t>
      </w:r>
      <w:r>
        <w:t>Nacional,</w:t>
      </w:r>
      <w:r>
        <w:rPr>
          <w:spacing w:val="-5"/>
        </w:rPr>
        <w:t xml:space="preserve"> </w:t>
      </w:r>
      <w:r>
        <w:t>la</w:t>
      </w:r>
      <w:r>
        <w:rPr>
          <w:spacing w:val="-5"/>
        </w:rPr>
        <w:t xml:space="preserve"> </w:t>
      </w:r>
      <w:r>
        <w:t>justicia penal militar siguió investigando los delitos cometidos contra la seguridad del Estado, el régimen</w:t>
      </w:r>
      <w:r>
        <w:rPr>
          <w:spacing w:val="-13"/>
        </w:rPr>
        <w:t xml:space="preserve"> </w:t>
      </w:r>
      <w:r>
        <w:t>constitucional,</w:t>
      </w:r>
      <w:r>
        <w:rPr>
          <w:spacing w:val="-13"/>
        </w:rPr>
        <w:t xml:space="preserve"> </w:t>
      </w:r>
      <w:r>
        <w:t>la</w:t>
      </w:r>
      <w:r>
        <w:rPr>
          <w:spacing w:val="-13"/>
        </w:rPr>
        <w:t xml:space="preserve"> </w:t>
      </w:r>
      <w:r>
        <w:t>seguridad</w:t>
      </w:r>
      <w:r>
        <w:rPr>
          <w:spacing w:val="-13"/>
        </w:rPr>
        <w:t xml:space="preserve"> </w:t>
      </w:r>
      <w:r>
        <w:t>interior,</w:t>
      </w:r>
      <w:r>
        <w:rPr>
          <w:spacing w:val="-13"/>
        </w:rPr>
        <w:t xml:space="preserve"> </w:t>
      </w:r>
      <w:r>
        <w:t>el</w:t>
      </w:r>
      <w:r>
        <w:rPr>
          <w:spacing w:val="-13"/>
        </w:rPr>
        <w:t xml:space="preserve"> </w:t>
      </w:r>
      <w:r>
        <w:t>secuestro</w:t>
      </w:r>
      <w:r>
        <w:rPr>
          <w:spacing w:val="-14"/>
        </w:rPr>
        <w:t xml:space="preserve"> </w:t>
      </w:r>
      <w:r>
        <w:t>y</w:t>
      </w:r>
      <w:r>
        <w:rPr>
          <w:spacing w:val="-13"/>
        </w:rPr>
        <w:t xml:space="preserve"> </w:t>
      </w:r>
      <w:r>
        <w:t>la</w:t>
      </w:r>
      <w:r>
        <w:rPr>
          <w:spacing w:val="-14"/>
        </w:rPr>
        <w:t xml:space="preserve"> </w:t>
      </w:r>
      <w:r>
        <w:t>extorsión.</w:t>
      </w:r>
      <w:r>
        <w:rPr>
          <w:spacing w:val="-13"/>
        </w:rPr>
        <w:t xml:space="preserve"> </w:t>
      </w:r>
      <w:r>
        <w:t>En</w:t>
      </w:r>
      <w:r>
        <w:rPr>
          <w:spacing w:val="-13"/>
        </w:rPr>
        <w:t xml:space="preserve"> </w:t>
      </w:r>
      <w:r>
        <w:t>ese</w:t>
      </w:r>
      <w:r>
        <w:rPr>
          <w:spacing w:val="-13"/>
        </w:rPr>
        <w:t xml:space="preserve"> </w:t>
      </w:r>
      <w:r>
        <w:t>contexto,</w:t>
      </w:r>
      <w:r>
        <w:rPr>
          <w:spacing w:val="-13"/>
        </w:rPr>
        <w:t xml:space="preserve"> </w:t>
      </w:r>
      <w:r>
        <w:t xml:space="preserve">con la justicia al servicio de la militarización, los refuerzos y recursos en el dilema de la guerra quedaron situados en los planos de los fueros penales y las colisiones de competencia, </w:t>
      </w:r>
      <w:r>
        <w:lastRenderedPageBreak/>
        <w:t>sembrando dudas respecto a si en el examen judicial a los crímenes de guerra o delitos de lesa humanidad se pudiese admitir el fuero militar.</w:t>
      </w:r>
    </w:p>
    <w:p w:rsidR="003804AC" w:rsidRDefault="00AF18A5" w:rsidP="008F7772">
      <w:r>
        <w:t>Durante</w:t>
      </w:r>
      <w:r>
        <w:rPr>
          <w:spacing w:val="-10"/>
        </w:rPr>
        <w:t xml:space="preserve"> </w:t>
      </w:r>
      <w:r>
        <w:t>los</w:t>
      </w:r>
      <w:r>
        <w:rPr>
          <w:spacing w:val="-10"/>
        </w:rPr>
        <w:t xml:space="preserve"> </w:t>
      </w:r>
      <w:r>
        <w:t>años</w:t>
      </w:r>
      <w:r>
        <w:rPr>
          <w:spacing w:val="-9"/>
        </w:rPr>
        <w:t xml:space="preserve"> </w:t>
      </w:r>
      <w:r>
        <w:t>ochenta,</w:t>
      </w:r>
      <w:r>
        <w:rPr>
          <w:spacing w:val="-9"/>
        </w:rPr>
        <w:t xml:space="preserve"> </w:t>
      </w:r>
      <w:r>
        <w:t>persistieron</w:t>
      </w:r>
      <w:r>
        <w:rPr>
          <w:spacing w:val="-9"/>
        </w:rPr>
        <w:t xml:space="preserve"> </w:t>
      </w:r>
      <w:r>
        <w:t>los</w:t>
      </w:r>
      <w:r>
        <w:rPr>
          <w:spacing w:val="-11"/>
        </w:rPr>
        <w:t xml:space="preserve"> </w:t>
      </w:r>
      <w:r>
        <w:t>consejos</w:t>
      </w:r>
      <w:r>
        <w:rPr>
          <w:spacing w:val="-9"/>
        </w:rPr>
        <w:t xml:space="preserve"> </w:t>
      </w:r>
      <w:r>
        <w:t>verbales</w:t>
      </w:r>
      <w:r>
        <w:rPr>
          <w:spacing w:val="-12"/>
        </w:rPr>
        <w:t xml:space="preserve"> </w:t>
      </w:r>
      <w:r>
        <w:t>de</w:t>
      </w:r>
      <w:r>
        <w:rPr>
          <w:spacing w:val="-9"/>
        </w:rPr>
        <w:t xml:space="preserve"> </w:t>
      </w:r>
      <w:r>
        <w:t>guerra</w:t>
      </w:r>
      <w:r>
        <w:rPr>
          <w:spacing w:val="-9"/>
        </w:rPr>
        <w:t xml:space="preserve"> </w:t>
      </w:r>
      <w:r>
        <w:t>en</w:t>
      </w:r>
      <w:r>
        <w:rPr>
          <w:spacing w:val="-12"/>
        </w:rPr>
        <w:t xml:space="preserve"> </w:t>
      </w:r>
      <w:r>
        <w:t>los</w:t>
      </w:r>
      <w:r>
        <w:rPr>
          <w:spacing w:val="-9"/>
        </w:rPr>
        <w:t xml:space="preserve"> </w:t>
      </w:r>
      <w:r>
        <w:t>que</w:t>
      </w:r>
      <w:r>
        <w:rPr>
          <w:spacing w:val="-10"/>
        </w:rPr>
        <w:t xml:space="preserve"> </w:t>
      </w:r>
      <w:r>
        <w:t>militares juzgaron a civiles con poca imparcialidad a la hora de administrar justicia. También proliferaron serias denuncias de torturas, anulación del derecho a la defensa y falta de independencia</w:t>
      </w:r>
      <w:r>
        <w:rPr>
          <w:spacing w:val="62"/>
        </w:rPr>
        <w:t xml:space="preserve"> </w:t>
      </w:r>
      <w:r>
        <w:t>e</w:t>
      </w:r>
      <w:r>
        <w:rPr>
          <w:spacing w:val="62"/>
        </w:rPr>
        <w:t xml:space="preserve"> </w:t>
      </w:r>
      <w:r>
        <w:t>imparcialidad</w:t>
      </w:r>
      <w:r w:rsidR="008F7772">
        <w:rPr>
          <w:rStyle w:val="Refdenotaalpie"/>
        </w:rPr>
        <w:footnoteReference w:id="926"/>
      </w:r>
      <w:r>
        <w:t>,</w:t>
      </w:r>
      <w:r>
        <w:rPr>
          <w:spacing w:val="63"/>
        </w:rPr>
        <w:t xml:space="preserve"> </w:t>
      </w:r>
      <w:r>
        <w:t>pues</w:t>
      </w:r>
      <w:r>
        <w:rPr>
          <w:spacing w:val="62"/>
        </w:rPr>
        <w:t xml:space="preserve"> </w:t>
      </w:r>
      <w:r>
        <w:t>las</w:t>
      </w:r>
      <w:r>
        <w:rPr>
          <w:spacing w:val="63"/>
        </w:rPr>
        <w:t xml:space="preserve"> </w:t>
      </w:r>
      <w:r>
        <w:t>actuaciones</w:t>
      </w:r>
      <w:r>
        <w:rPr>
          <w:spacing w:val="62"/>
        </w:rPr>
        <w:t xml:space="preserve"> </w:t>
      </w:r>
      <w:r>
        <w:t>estuvieron</w:t>
      </w:r>
      <w:r>
        <w:rPr>
          <w:spacing w:val="62"/>
        </w:rPr>
        <w:t xml:space="preserve"> </w:t>
      </w:r>
      <w:r>
        <w:t>determinadas</w:t>
      </w:r>
      <w:r>
        <w:rPr>
          <w:spacing w:val="63"/>
        </w:rPr>
        <w:t xml:space="preserve"> </w:t>
      </w:r>
      <w:r>
        <w:t>por</w:t>
      </w:r>
      <w:r>
        <w:rPr>
          <w:spacing w:val="61"/>
        </w:rPr>
        <w:t xml:space="preserve"> </w:t>
      </w:r>
      <w:r>
        <w:rPr>
          <w:spacing w:val="-5"/>
        </w:rPr>
        <w:t>la</w:t>
      </w:r>
      <w:bookmarkStart w:id="1147" w:name="_bookmark1012"/>
      <w:bookmarkStart w:id="1148" w:name="_bookmark1013"/>
      <w:bookmarkStart w:id="1149" w:name="_bookmark1014"/>
      <w:bookmarkEnd w:id="1147"/>
      <w:bookmarkEnd w:id="1148"/>
      <w:bookmarkEnd w:id="1149"/>
      <w:r w:rsidR="008F7772">
        <w:t xml:space="preserve"> </w:t>
      </w:r>
      <w:r>
        <w:t>actuación de los militares como juez y parte en el conflicto</w:t>
      </w:r>
      <w:r w:rsidR="008F7772">
        <w:rPr>
          <w:rStyle w:val="Refdenotaalpie"/>
        </w:rPr>
        <w:footnoteReference w:id="927"/>
      </w:r>
      <w:r>
        <w:t>. Esta atribución de juzgar civiles</w:t>
      </w:r>
      <w:r>
        <w:rPr>
          <w:spacing w:val="-2"/>
        </w:rPr>
        <w:t xml:space="preserve"> </w:t>
      </w:r>
      <w:r>
        <w:t>significó</w:t>
      </w:r>
      <w:r>
        <w:rPr>
          <w:spacing w:val="-2"/>
        </w:rPr>
        <w:t xml:space="preserve"> </w:t>
      </w:r>
      <w:r>
        <w:t>un</w:t>
      </w:r>
      <w:r>
        <w:rPr>
          <w:spacing w:val="-2"/>
        </w:rPr>
        <w:t xml:space="preserve"> </w:t>
      </w:r>
      <w:r>
        <w:t>crecimiento</w:t>
      </w:r>
      <w:r>
        <w:rPr>
          <w:spacing w:val="-2"/>
        </w:rPr>
        <w:t xml:space="preserve"> </w:t>
      </w:r>
      <w:r>
        <w:t>exponencial</w:t>
      </w:r>
      <w:r>
        <w:rPr>
          <w:spacing w:val="-2"/>
        </w:rPr>
        <w:t xml:space="preserve"> </w:t>
      </w:r>
      <w:r>
        <w:t>de</w:t>
      </w:r>
      <w:r>
        <w:rPr>
          <w:spacing w:val="-2"/>
        </w:rPr>
        <w:t xml:space="preserve"> </w:t>
      </w:r>
      <w:r>
        <w:t>la</w:t>
      </w:r>
      <w:r>
        <w:rPr>
          <w:spacing w:val="-3"/>
        </w:rPr>
        <w:t xml:space="preserve"> </w:t>
      </w:r>
      <w:r>
        <w:t>competencia</w:t>
      </w:r>
      <w:r>
        <w:rPr>
          <w:spacing w:val="-2"/>
        </w:rPr>
        <w:t xml:space="preserve"> </w:t>
      </w:r>
      <w:r>
        <w:t>de</w:t>
      </w:r>
      <w:r>
        <w:rPr>
          <w:spacing w:val="-2"/>
        </w:rPr>
        <w:t xml:space="preserve"> </w:t>
      </w:r>
      <w:r>
        <w:t>la</w:t>
      </w:r>
      <w:r>
        <w:rPr>
          <w:spacing w:val="-3"/>
        </w:rPr>
        <w:t xml:space="preserve"> </w:t>
      </w:r>
      <w:r>
        <w:t>justicia</w:t>
      </w:r>
      <w:r>
        <w:rPr>
          <w:spacing w:val="-2"/>
        </w:rPr>
        <w:t xml:space="preserve"> </w:t>
      </w:r>
      <w:r>
        <w:t>penal</w:t>
      </w:r>
      <w:r>
        <w:rPr>
          <w:spacing w:val="-2"/>
        </w:rPr>
        <w:t xml:space="preserve"> </w:t>
      </w:r>
      <w:r>
        <w:t>militar,</w:t>
      </w:r>
      <w:r>
        <w:rPr>
          <w:spacing w:val="-2"/>
        </w:rPr>
        <w:t xml:space="preserve"> </w:t>
      </w:r>
      <w:r>
        <w:t>y se</w:t>
      </w:r>
      <w:r>
        <w:rPr>
          <w:spacing w:val="-11"/>
        </w:rPr>
        <w:t xml:space="preserve"> </w:t>
      </w:r>
      <w:r>
        <w:t>incrementó</w:t>
      </w:r>
      <w:r>
        <w:rPr>
          <w:spacing w:val="-11"/>
        </w:rPr>
        <w:t xml:space="preserve"> </w:t>
      </w:r>
      <w:r>
        <w:t>a</w:t>
      </w:r>
      <w:r>
        <w:rPr>
          <w:spacing w:val="-10"/>
        </w:rPr>
        <w:t xml:space="preserve"> </w:t>
      </w:r>
      <w:r>
        <w:t>través</w:t>
      </w:r>
      <w:r>
        <w:rPr>
          <w:spacing w:val="-12"/>
        </w:rPr>
        <w:t xml:space="preserve"> </w:t>
      </w:r>
      <w:r>
        <w:t>de</w:t>
      </w:r>
      <w:r>
        <w:rPr>
          <w:spacing w:val="-12"/>
        </w:rPr>
        <w:t xml:space="preserve"> </w:t>
      </w:r>
      <w:r>
        <w:t>sucesivos</w:t>
      </w:r>
      <w:r>
        <w:rPr>
          <w:spacing w:val="-10"/>
        </w:rPr>
        <w:t xml:space="preserve"> </w:t>
      </w:r>
      <w:r>
        <w:t>gobiernos,</w:t>
      </w:r>
      <w:r>
        <w:rPr>
          <w:spacing w:val="-12"/>
        </w:rPr>
        <w:t xml:space="preserve"> </w:t>
      </w:r>
      <w:r>
        <w:t>bajo</w:t>
      </w:r>
      <w:r>
        <w:rPr>
          <w:spacing w:val="-11"/>
        </w:rPr>
        <w:t xml:space="preserve"> </w:t>
      </w:r>
      <w:r>
        <w:t>los</w:t>
      </w:r>
      <w:r>
        <w:rPr>
          <w:spacing w:val="-12"/>
        </w:rPr>
        <w:t xml:space="preserve"> </w:t>
      </w:r>
      <w:r>
        <w:t>poderes</w:t>
      </w:r>
      <w:r>
        <w:rPr>
          <w:spacing w:val="-10"/>
        </w:rPr>
        <w:t xml:space="preserve"> </w:t>
      </w:r>
      <w:r>
        <w:t>de</w:t>
      </w:r>
      <w:r>
        <w:rPr>
          <w:spacing w:val="-10"/>
        </w:rPr>
        <w:t xml:space="preserve"> </w:t>
      </w:r>
      <w:r>
        <w:t>los</w:t>
      </w:r>
      <w:r>
        <w:rPr>
          <w:spacing w:val="-10"/>
        </w:rPr>
        <w:t xml:space="preserve"> </w:t>
      </w:r>
      <w:r>
        <w:t>Estados</w:t>
      </w:r>
      <w:r>
        <w:rPr>
          <w:spacing w:val="-10"/>
        </w:rPr>
        <w:t xml:space="preserve"> </w:t>
      </w:r>
      <w:r>
        <w:t>de</w:t>
      </w:r>
      <w:r>
        <w:rPr>
          <w:spacing w:val="-10"/>
        </w:rPr>
        <w:t xml:space="preserve"> </w:t>
      </w:r>
      <w:r>
        <w:t>Excepción. El gobierno del conservador Misael Pastrana (1970-1974) fue el que más veces amplió las competencias</w:t>
      </w:r>
      <w:r>
        <w:rPr>
          <w:spacing w:val="-14"/>
        </w:rPr>
        <w:t xml:space="preserve"> </w:t>
      </w:r>
      <w:r>
        <w:t>–en</w:t>
      </w:r>
      <w:r>
        <w:rPr>
          <w:spacing w:val="-14"/>
        </w:rPr>
        <w:t xml:space="preserve"> </w:t>
      </w:r>
      <w:r>
        <w:t>al</w:t>
      </w:r>
      <w:r>
        <w:rPr>
          <w:spacing w:val="-14"/>
        </w:rPr>
        <w:t xml:space="preserve"> </w:t>
      </w:r>
      <w:r>
        <w:t>menos</w:t>
      </w:r>
      <w:r>
        <w:rPr>
          <w:spacing w:val="-14"/>
        </w:rPr>
        <w:t xml:space="preserve"> </w:t>
      </w:r>
      <w:r>
        <w:t>cinco</w:t>
      </w:r>
      <w:r>
        <w:rPr>
          <w:spacing w:val="-15"/>
        </w:rPr>
        <w:t xml:space="preserve"> </w:t>
      </w:r>
      <w:r>
        <w:t>oportunidades–</w:t>
      </w:r>
      <w:r>
        <w:rPr>
          <w:spacing w:val="-15"/>
        </w:rPr>
        <w:t xml:space="preserve"> </w:t>
      </w:r>
      <w:r>
        <w:t>y</w:t>
      </w:r>
      <w:r>
        <w:rPr>
          <w:spacing w:val="-14"/>
        </w:rPr>
        <w:t xml:space="preserve"> </w:t>
      </w:r>
      <w:r>
        <w:t>la</w:t>
      </w:r>
      <w:r>
        <w:rPr>
          <w:spacing w:val="-14"/>
        </w:rPr>
        <w:t xml:space="preserve"> </w:t>
      </w:r>
      <w:r>
        <w:t>Junta</w:t>
      </w:r>
      <w:r>
        <w:rPr>
          <w:spacing w:val="-14"/>
        </w:rPr>
        <w:t xml:space="preserve"> </w:t>
      </w:r>
      <w:r>
        <w:t>Militar</w:t>
      </w:r>
      <w:r>
        <w:rPr>
          <w:spacing w:val="-14"/>
        </w:rPr>
        <w:t xml:space="preserve"> </w:t>
      </w:r>
      <w:r>
        <w:t>de</w:t>
      </w:r>
      <w:r>
        <w:rPr>
          <w:spacing w:val="-15"/>
        </w:rPr>
        <w:t xml:space="preserve"> </w:t>
      </w:r>
      <w:r>
        <w:t>Gobierno</w:t>
      </w:r>
      <w:r>
        <w:rPr>
          <w:spacing w:val="-14"/>
        </w:rPr>
        <w:t xml:space="preserve"> </w:t>
      </w:r>
      <w:r>
        <w:t>(1957-1958) la que hizo la ampliación más extensa.</w:t>
      </w:r>
    </w:p>
    <w:p w:rsidR="003804AC" w:rsidRDefault="00AF18A5" w:rsidP="00A05B2E">
      <w:r>
        <w:t>La</w:t>
      </w:r>
      <w:r>
        <w:rPr>
          <w:spacing w:val="-13"/>
        </w:rPr>
        <w:t xml:space="preserve"> </w:t>
      </w:r>
      <w:r>
        <w:t>expedición</w:t>
      </w:r>
      <w:r>
        <w:rPr>
          <w:spacing w:val="-13"/>
        </w:rPr>
        <w:t xml:space="preserve"> </w:t>
      </w:r>
      <w:r>
        <w:t>del</w:t>
      </w:r>
      <w:r>
        <w:rPr>
          <w:spacing w:val="-13"/>
        </w:rPr>
        <w:t xml:space="preserve"> </w:t>
      </w:r>
      <w:r>
        <w:t>decreto</w:t>
      </w:r>
      <w:r>
        <w:rPr>
          <w:spacing w:val="-13"/>
        </w:rPr>
        <w:t xml:space="preserve"> </w:t>
      </w:r>
      <w:r>
        <w:t>1923</w:t>
      </w:r>
      <w:r>
        <w:rPr>
          <w:spacing w:val="-13"/>
        </w:rPr>
        <w:t xml:space="preserve"> </w:t>
      </w:r>
      <w:r>
        <w:t>de</w:t>
      </w:r>
      <w:r>
        <w:rPr>
          <w:spacing w:val="-13"/>
        </w:rPr>
        <w:t xml:space="preserve"> </w:t>
      </w:r>
      <w:r>
        <w:t>1978,</w:t>
      </w:r>
      <w:r>
        <w:rPr>
          <w:spacing w:val="-13"/>
        </w:rPr>
        <w:t xml:space="preserve"> </w:t>
      </w:r>
      <w:r>
        <w:t>conocido</w:t>
      </w:r>
      <w:r>
        <w:rPr>
          <w:spacing w:val="-13"/>
        </w:rPr>
        <w:t xml:space="preserve"> </w:t>
      </w:r>
      <w:r>
        <w:t>como</w:t>
      </w:r>
      <w:r>
        <w:rPr>
          <w:spacing w:val="-14"/>
        </w:rPr>
        <w:t xml:space="preserve"> </w:t>
      </w:r>
      <w:r>
        <w:t>el</w:t>
      </w:r>
      <w:r>
        <w:rPr>
          <w:spacing w:val="-13"/>
        </w:rPr>
        <w:t xml:space="preserve"> </w:t>
      </w:r>
      <w:r>
        <w:t>Estatuto</w:t>
      </w:r>
      <w:r>
        <w:rPr>
          <w:spacing w:val="-13"/>
        </w:rPr>
        <w:t xml:space="preserve"> </w:t>
      </w:r>
      <w:r>
        <w:t>de</w:t>
      </w:r>
      <w:r>
        <w:rPr>
          <w:spacing w:val="-13"/>
        </w:rPr>
        <w:t xml:space="preserve"> </w:t>
      </w:r>
      <w:r>
        <w:t>Seguridad,</w:t>
      </w:r>
      <w:r>
        <w:rPr>
          <w:spacing w:val="-13"/>
        </w:rPr>
        <w:t xml:space="preserve"> </w:t>
      </w:r>
      <w:r>
        <w:t>durante el gobierno de Julio César Turbay, fue el punto cumbre del esquema de la justicia penal militar</w:t>
      </w:r>
      <w:r>
        <w:rPr>
          <w:spacing w:val="-9"/>
        </w:rPr>
        <w:t xml:space="preserve"> </w:t>
      </w:r>
      <w:r>
        <w:t>para</w:t>
      </w:r>
      <w:r>
        <w:rPr>
          <w:spacing w:val="-10"/>
        </w:rPr>
        <w:t xml:space="preserve"> </w:t>
      </w:r>
      <w:r>
        <w:t>enfrentar</w:t>
      </w:r>
      <w:r>
        <w:rPr>
          <w:spacing w:val="-10"/>
        </w:rPr>
        <w:t xml:space="preserve"> </w:t>
      </w:r>
      <w:r>
        <w:t>los</w:t>
      </w:r>
      <w:r>
        <w:rPr>
          <w:spacing w:val="-10"/>
        </w:rPr>
        <w:t xml:space="preserve"> </w:t>
      </w:r>
      <w:r>
        <w:t>problemas</w:t>
      </w:r>
      <w:r>
        <w:rPr>
          <w:spacing w:val="-9"/>
        </w:rPr>
        <w:t xml:space="preserve"> </w:t>
      </w:r>
      <w:r>
        <w:t>de</w:t>
      </w:r>
      <w:r>
        <w:rPr>
          <w:spacing w:val="-9"/>
        </w:rPr>
        <w:t xml:space="preserve"> </w:t>
      </w:r>
      <w:r>
        <w:t>orden</w:t>
      </w:r>
      <w:r>
        <w:rPr>
          <w:spacing w:val="-9"/>
        </w:rPr>
        <w:t xml:space="preserve"> </w:t>
      </w:r>
      <w:r>
        <w:t>público</w:t>
      </w:r>
      <w:r>
        <w:rPr>
          <w:spacing w:val="-9"/>
        </w:rPr>
        <w:t xml:space="preserve"> </w:t>
      </w:r>
      <w:r>
        <w:t>y</w:t>
      </w:r>
      <w:r>
        <w:rPr>
          <w:spacing w:val="-9"/>
        </w:rPr>
        <w:t xml:space="preserve"> </w:t>
      </w:r>
      <w:r>
        <w:t>los</w:t>
      </w:r>
      <w:r>
        <w:rPr>
          <w:spacing w:val="-9"/>
        </w:rPr>
        <w:t xml:space="preserve"> </w:t>
      </w:r>
      <w:r>
        <w:t>reclamos</w:t>
      </w:r>
      <w:r>
        <w:rPr>
          <w:spacing w:val="-9"/>
        </w:rPr>
        <w:t xml:space="preserve"> </w:t>
      </w:r>
      <w:r>
        <w:t>de</w:t>
      </w:r>
      <w:r>
        <w:rPr>
          <w:spacing w:val="-9"/>
        </w:rPr>
        <w:t xml:space="preserve"> </w:t>
      </w:r>
      <w:r>
        <w:t>impunidad.</w:t>
      </w:r>
      <w:r>
        <w:rPr>
          <w:spacing w:val="-9"/>
        </w:rPr>
        <w:t xml:space="preserve"> </w:t>
      </w:r>
      <w:r>
        <w:t>En</w:t>
      </w:r>
      <w:r>
        <w:rPr>
          <w:spacing w:val="-9"/>
        </w:rPr>
        <w:t xml:space="preserve"> </w:t>
      </w:r>
      <w:r>
        <w:t xml:space="preserve">1980, la justicia penal militar llevaba 334 Consejos de Guerra Verbales por diferentes delitos que figuraban en el Estatuto. La aplicación de este Estatuto de Seguridad provocó una crisis de derechos humanos que atrajo atención internacional. El uso de las torturas durante los interrogatorios, los allanamientos sin previa orden judicial y el incremento de las desapariciones ratificaron la notoria influencia militar </w:t>
      </w:r>
      <w:r>
        <w:lastRenderedPageBreak/>
        <w:t>en los derroteros de la justicia. En síntesis, se insertó una forma de derecho que operó bajo una doctrina de guerra, con una profunda afectación al propio sentido de la justicia.</w:t>
      </w:r>
    </w:p>
    <w:p w:rsidR="003804AC" w:rsidRDefault="00AF18A5" w:rsidP="00A05B2E">
      <w:r>
        <w:t>La Constitución de 1991, las reformas legales y la jurisprudencia de la Corte Constitucional, cuyas sentencias limitaron lo Penal Militar a los actos relacionados con el servicio</w:t>
      </w:r>
      <w:r>
        <w:rPr>
          <w:spacing w:val="-6"/>
        </w:rPr>
        <w:t xml:space="preserve"> </w:t>
      </w:r>
      <w:r>
        <w:t>–excluyendo</w:t>
      </w:r>
      <w:r>
        <w:rPr>
          <w:spacing w:val="-7"/>
        </w:rPr>
        <w:t xml:space="preserve"> </w:t>
      </w:r>
      <w:r>
        <w:t>las</w:t>
      </w:r>
      <w:r>
        <w:rPr>
          <w:spacing w:val="-7"/>
        </w:rPr>
        <w:t xml:space="preserve"> </w:t>
      </w:r>
      <w:r>
        <w:t>violaciones</w:t>
      </w:r>
      <w:r>
        <w:rPr>
          <w:spacing w:val="-7"/>
        </w:rPr>
        <w:t xml:space="preserve"> </w:t>
      </w:r>
      <w:r>
        <w:t>de</w:t>
      </w:r>
      <w:r>
        <w:rPr>
          <w:spacing w:val="-6"/>
        </w:rPr>
        <w:t xml:space="preserve"> </w:t>
      </w:r>
      <w:r>
        <w:t>derechos</w:t>
      </w:r>
      <w:r>
        <w:rPr>
          <w:spacing w:val="-7"/>
        </w:rPr>
        <w:t xml:space="preserve"> </w:t>
      </w:r>
      <w:r>
        <w:t>humanos</w:t>
      </w:r>
      <w:r w:rsidR="00A05B2E">
        <w:rPr>
          <w:rStyle w:val="Refdenotaalpie"/>
        </w:rPr>
        <w:footnoteReference w:id="928"/>
      </w:r>
      <w:r>
        <w:t>–,</w:t>
      </w:r>
      <w:r>
        <w:rPr>
          <w:spacing w:val="-6"/>
        </w:rPr>
        <w:t xml:space="preserve"> </w:t>
      </w:r>
      <w:r>
        <w:t>terminaron</w:t>
      </w:r>
      <w:r>
        <w:rPr>
          <w:spacing w:val="-7"/>
        </w:rPr>
        <w:t xml:space="preserve"> </w:t>
      </w:r>
      <w:r>
        <w:t>por</w:t>
      </w:r>
      <w:r>
        <w:rPr>
          <w:spacing w:val="-5"/>
        </w:rPr>
        <w:t xml:space="preserve"> </w:t>
      </w:r>
      <w:r>
        <w:t>consolidar</w:t>
      </w:r>
      <w:r>
        <w:rPr>
          <w:spacing w:val="-5"/>
        </w:rPr>
        <w:t xml:space="preserve"> </w:t>
      </w:r>
      <w:r>
        <w:t>la reducción de la competencia de la justicia penal militar.</w:t>
      </w:r>
    </w:p>
    <w:p w:rsidR="003804AC" w:rsidRDefault="00AF18A5" w:rsidP="00A05B2E">
      <w:r>
        <w:t>A pesar de lo anterior, la jurisdicción penal militar siguió recibiendo diversos casos de violaciones</w:t>
      </w:r>
      <w:r>
        <w:rPr>
          <w:spacing w:val="-6"/>
        </w:rPr>
        <w:t xml:space="preserve"> </w:t>
      </w:r>
      <w:r>
        <w:t>que</w:t>
      </w:r>
      <w:r>
        <w:rPr>
          <w:spacing w:val="-3"/>
        </w:rPr>
        <w:t xml:space="preserve"> </w:t>
      </w:r>
      <w:r>
        <w:t>escapaban</w:t>
      </w:r>
      <w:r>
        <w:rPr>
          <w:spacing w:val="-3"/>
        </w:rPr>
        <w:t xml:space="preserve"> </w:t>
      </w:r>
      <w:r>
        <w:t>a</w:t>
      </w:r>
      <w:r>
        <w:rPr>
          <w:spacing w:val="-3"/>
        </w:rPr>
        <w:t xml:space="preserve"> </w:t>
      </w:r>
      <w:r>
        <w:t>su</w:t>
      </w:r>
      <w:r>
        <w:rPr>
          <w:spacing w:val="-5"/>
        </w:rPr>
        <w:t xml:space="preserve"> </w:t>
      </w:r>
      <w:r>
        <w:t>limitación</w:t>
      </w:r>
      <w:r>
        <w:rPr>
          <w:spacing w:val="-5"/>
        </w:rPr>
        <w:t xml:space="preserve"> </w:t>
      </w:r>
      <w:r>
        <w:t>funcional.</w:t>
      </w:r>
      <w:r>
        <w:rPr>
          <w:spacing w:val="-3"/>
        </w:rPr>
        <w:t xml:space="preserve"> </w:t>
      </w:r>
      <w:r>
        <w:t>Entre</w:t>
      </w:r>
      <w:r>
        <w:rPr>
          <w:spacing w:val="-3"/>
        </w:rPr>
        <w:t xml:space="preserve"> </w:t>
      </w:r>
      <w:r>
        <w:t>1996</w:t>
      </w:r>
      <w:r>
        <w:rPr>
          <w:spacing w:val="-3"/>
        </w:rPr>
        <w:t xml:space="preserve"> </w:t>
      </w:r>
      <w:r>
        <w:t>y</w:t>
      </w:r>
      <w:r>
        <w:rPr>
          <w:spacing w:val="-3"/>
        </w:rPr>
        <w:t xml:space="preserve"> </w:t>
      </w:r>
      <w:r>
        <w:t>2016,</w:t>
      </w:r>
      <w:r>
        <w:rPr>
          <w:spacing w:val="-5"/>
        </w:rPr>
        <w:t xml:space="preserve"> </w:t>
      </w:r>
      <w:r>
        <w:t>se</w:t>
      </w:r>
      <w:r>
        <w:rPr>
          <w:spacing w:val="-3"/>
        </w:rPr>
        <w:t xml:space="preserve"> </w:t>
      </w:r>
      <w:r>
        <w:t>presentaron</w:t>
      </w:r>
      <w:r>
        <w:rPr>
          <w:spacing w:val="-3"/>
        </w:rPr>
        <w:t xml:space="preserve"> </w:t>
      </w:r>
      <w:r>
        <w:t>ante el</w:t>
      </w:r>
      <w:r>
        <w:rPr>
          <w:spacing w:val="-14"/>
        </w:rPr>
        <w:t xml:space="preserve"> </w:t>
      </w:r>
      <w:r>
        <w:t>Consejo</w:t>
      </w:r>
      <w:r>
        <w:rPr>
          <w:spacing w:val="-15"/>
        </w:rPr>
        <w:t xml:space="preserve"> </w:t>
      </w:r>
      <w:r>
        <w:t>Superior</w:t>
      </w:r>
      <w:r>
        <w:rPr>
          <w:spacing w:val="-15"/>
        </w:rPr>
        <w:t xml:space="preserve"> </w:t>
      </w:r>
      <w:r>
        <w:t>de</w:t>
      </w:r>
      <w:r>
        <w:rPr>
          <w:spacing w:val="-15"/>
        </w:rPr>
        <w:t xml:space="preserve"> </w:t>
      </w:r>
      <w:r>
        <w:t>la</w:t>
      </w:r>
      <w:r>
        <w:rPr>
          <w:spacing w:val="-15"/>
        </w:rPr>
        <w:t xml:space="preserve"> </w:t>
      </w:r>
      <w:r>
        <w:t>Judicatura</w:t>
      </w:r>
      <w:r>
        <w:rPr>
          <w:spacing w:val="-14"/>
        </w:rPr>
        <w:t xml:space="preserve"> </w:t>
      </w:r>
      <w:r>
        <w:t>1.938</w:t>
      </w:r>
      <w:r>
        <w:rPr>
          <w:spacing w:val="-14"/>
        </w:rPr>
        <w:t xml:space="preserve"> </w:t>
      </w:r>
      <w:r>
        <w:t>decisiones</w:t>
      </w:r>
      <w:r>
        <w:rPr>
          <w:spacing w:val="-14"/>
        </w:rPr>
        <w:t xml:space="preserve"> </w:t>
      </w:r>
      <w:r>
        <w:t>relativas</w:t>
      </w:r>
      <w:r>
        <w:rPr>
          <w:spacing w:val="-15"/>
        </w:rPr>
        <w:t xml:space="preserve"> </w:t>
      </w:r>
      <w:r>
        <w:t>a</w:t>
      </w:r>
      <w:r>
        <w:rPr>
          <w:spacing w:val="-14"/>
        </w:rPr>
        <w:t xml:space="preserve"> </w:t>
      </w:r>
      <w:r>
        <w:t>disputas</w:t>
      </w:r>
      <w:r>
        <w:rPr>
          <w:spacing w:val="-15"/>
        </w:rPr>
        <w:t xml:space="preserve"> </w:t>
      </w:r>
      <w:r>
        <w:t>entre</w:t>
      </w:r>
      <w:r>
        <w:rPr>
          <w:spacing w:val="-15"/>
        </w:rPr>
        <w:t xml:space="preserve"> </w:t>
      </w:r>
      <w:r>
        <w:t>la</w:t>
      </w:r>
      <w:r>
        <w:rPr>
          <w:spacing w:val="-15"/>
        </w:rPr>
        <w:t xml:space="preserve"> </w:t>
      </w:r>
      <w:r>
        <w:t>jurisdicción penal</w:t>
      </w:r>
      <w:r>
        <w:rPr>
          <w:spacing w:val="16"/>
        </w:rPr>
        <w:t xml:space="preserve"> </w:t>
      </w:r>
      <w:r>
        <w:t>militar</w:t>
      </w:r>
      <w:r>
        <w:rPr>
          <w:spacing w:val="18"/>
        </w:rPr>
        <w:t xml:space="preserve"> </w:t>
      </w:r>
      <w:r>
        <w:t>y</w:t>
      </w:r>
      <w:r>
        <w:rPr>
          <w:spacing w:val="18"/>
        </w:rPr>
        <w:t xml:space="preserve"> </w:t>
      </w:r>
      <w:r>
        <w:t>la</w:t>
      </w:r>
      <w:r>
        <w:rPr>
          <w:spacing w:val="18"/>
        </w:rPr>
        <w:t xml:space="preserve"> </w:t>
      </w:r>
      <w:r>
        <w:t>justicia</w:t>
      </w:r>
      <w:r>
        <w:rPr>
          <w:spacing w:val="18"/>
        </w:rPr>
        <w:t xml:space="preserve"> </w:t>
      </w:r>
      <w:r>
        <w:t>ordinaria</w:t>
      </w:r>
      <w:r>
        <w:rPr>
          <w:spacing w:val="17"/>
        </w:rPr>
        <w:t xml:space="preserve"> </w:t>
      </w:r>
      <w:r>
        <w:t>por</w:t>
      </w:r>
      <w:r>
        <w:rPr>
          <w:spacing w:val="18"/>
        </w:rPr>
        <w:t xml:space="preserve"> </w:t>
      </w:r>
      <w:r>
        <w:t>los</w:t>
      </w:r>
      <w:r>
        <w:rPr>
          <w:spacing w:val="18"/>
        </w:rPr>
        <w:t xml:space="preserve"> </w:t>
      </w:r>
      <w:r>
        <w:t>casos.</w:t>
      </w:r>
      <w:r>
        <w:rPr>
          <w:spacing w:val="18"/>
        </w:rPr>
        <w:t xml:space="preserve"> </w:t>
      </w:r>
      <w:r>
        <w:t>Estas</w:t>
      </w:r>
      <w:r>
        <w:rPr>
          <w:spacing w:val="18"/>
        </w:rPr>
        <w:t xml:space="preserve"> </w:t>
      </w:r>
      <w:r>
        <w:t>evidencias</w:t>
      </w:r>
      <w:r>
        <w:rPr>
          <w:spacing w:val="18"/>
        </w:rPr>
        <w:t xml:space="preserve"> </w:t>
      </w:r>
      <w:r>
        <w:t>marcan</w:t>
      </w:r>
      <w:r>
        <w:rPr>
          <w:spacing w:val="18"/>
        </w:rPr>
        <w:t xml:space="preserve"> </w:t>
      </w:r>
      <w:r>
        <w:t>también</w:t>
      </w:r>
      <w:r>
        <w:rPr>
          <w:spacing w:val="17"/>
        </w:rPr>
        <w:t xml:space="preserve"> </w:t>
      </w:r>
      <w:r>
        <w:t>lo</w:t>
      </w:r>
      <w:r>
        <w:rPr>
          <w:spacing w:val="18"/>
        </w:rPr>
        <w:t xml:space="preserve"> </w:t>
      </w:r>
      <w:r>
        <w:rPr>
          <w:spacing w:val="-5"/>
        </w:rPr>
        <w:t>que</w:t>
      </w:r>
      <w:bookmarkStart w:id="1150" w:name="_bookmark1015"/>
      <w:bookmarkStart w:id="1151" w:name="_bookmark1016"/>
      <w:bookmarkEnd w:id="1150"/>
      <w:bookmarkEnd w:id="1151"/>
      <w:r w:rsidR="00A05B2E">
        <w:rPr>
          <w:spacing w:val="-5"/>
        </w:rPr>
        <w:t xml:space="preserve"> </w:t>
      </w:r>
      <w:r>
        <w:t>significó la sentencia de la Corte Suprema de Justicia de 1987, que puso fin al juzgamiento de civiles por parte de los militares.</w:t>
      </w:r>
    </w:p>
    <w:p w:rsidR="003804AC" w:rsidRDefault="00AF18A5" w:rsidP="00A05B2E">
      <w:r>
        <w:t>Los organismos de inteligencia han usado en varios momentos la versión de que las denuncias de violaciones de derechos humanos son parte de una supuesta «guerra jurídica» como</w:t>
      </w:r>
      <w:r>
        <w:rPr>
          <w:spacing w:val="-1"/>
        </w:rPr>
        <w:t xml:space="preserve"> </w:t>
      </w:r>
      <w:r>
        <w:t>pretexto</w:t>
      </w:r>
      <w:r>
        <w:rPr>
          <w:spacing w:val="-1"/>
        </w:rPr>
        <w:t xml:space="preserve"> </w:t>
      </w:r>
      <w:r>
        <w:t>para</w:t>
      </w:r>
      <w:r>
        <w:rPr>
          <w:spacing w:val="-2"/>
        </w:rPr>
        <w:t xml:space="preserve"> </w:t>
      </w:r>
      <w:r>
        <w:t>deslegitimar</w:t>
      </w:r>
      <w:r>
        <w:rPr>
          <w:spacing w:val="-2"/>
        </w:rPr>
        <w:t xml:space="preserve"> </w:t>
      </w:r>
      <w:r>
        <w:t>estas</w:t>
      </w:r>
      <w:r>
        <w:rPr>
          <w:spacing w:val="-2"/>
        </w:rPr>
        <w:t xml:space="preserve"> </w:t>
      </w:r>
      <w:r>
        <w:t>denuncias</w:t>
      </w:r>
      <w:r>
        <w:rPr>
          <w:spacing w:val="-2"/>
        </w:rPr>
        <w:t xml:space="preserve"> </w:t>
      </w:r>
      <w:r>
        <w:t>y</w:t>
      </w:r>
      <w:r>
        <w:rPr>
          <w:spacing w:val="-2"/>
        </w:rPr>
        <w:t xml:space="preserve"> </w:t>
      </w:r>
      <w:r>
        <w:t>cuestionar</w:t>
      </w:r>
      <w:r>
        <w:rPr>
          <w:spacing w:val="-2"/>
        </w:rPr>
        <w:t xml:space="preserve"> </w:t>
      </w:r>
      <w:r>
        <w:t>las</w:t>
      </w:r>
      <w:r>
        <w:rPr>
          <w:spacing w:val="-1"/>
        </w:rPr>
        <w:t xml:space="preserve"> </w:t>
      </w:r>
      <w:r>
        <w:t>investigaciones</w:t>
      </w:r>
      <w:r>
        <w:rPr>
          <w:spacing w:val="-1"/>
        </w:rPr>
        <w:t xml:space="preserve"> </w:t>
      </w:r>
      <w:r>
        <w:t>como</w:t>
      </w:r>
      <w:r>
        <w:rPr>
          <w:spacing w:val="-2"/>
        </w:rPr>
        <w:t xml:space="preserve"> </w:t>
      </w:r>
      <w:r>
        <w:t>si</w:t>
      </w:r>
      <w:r>
        <w:rPr>
          <w:spacing w:val="-1"/>
        </w:rPr>
        <w:t xml:space="preserve"> </w:t>
      </w:r>
      <w:r>
        <w:t xml:space="preserve">se tratara de una cruzada de sus opositores de la guerra en el campo penal. Como parte de esa narrativa de la guerra jurídica, se empezó a hablar de un «síndrome de la Procuraduría General de la Nación», como si las instituciones de control del Estado fuesen un obstáculo para la guerra, y se cuestionó el ejercicio del Ministerio Público en </w:t>
      </w:r>
      <w:r>
        <w:lastRenderedPageBreak/>
        <w:t xml:space="preserve">investigaciones disciplinarias contra integrantes del Ejército y la Policía. El entorno político de la confrontación armada, en paralelo, convirtió el derecho a la defensa en una garantía </w:t>
      </w:r>
      <w:r>
        <w:rPr>
          <w:spacing w:val="-2"/>
        </w:rPr>
        <w:t>vulnerada.</w:t>
      </w:r>
    </w:p>
    <w:p w:rsidR="003804AC" w:rsidRDefault="00AF18A5" w:rsidP="00A05B2E">
      <w:r>
        <w:t>Relacionado con esto, es importante notar que tampoco se ha escrito la historia de los defensores de derechos humanos, abogados de presos políticos</w:t>
      </w:r>
      <w:r>
        <w:rPr>
          <w:spacing w:val="-1"/>
        </w:rPr>
        <w:t xml:space="preserve"> </w:t>
      </w:r>
      <w:r>
        <w:t>o miembros</w:t>
      </w:r>
      <w:r>
        <w:rPr>
          <w:spacing w:val="-1"/>
        </w:rPr>
        <w:t xml:space="preserve"> </w:t>
      </w:r>
      <w:r>
        <w:t>de las guerrillas o litigantes contra las Fuerzas Armadas asesinados, amenazados o bloqueados para el cumplimiento</w:t>
      </w:r>
      <w:r>
        <w:rPr>
          <w:spacing w:val="-15"/>
        </w:rPr>
        <w:t xml:space="preserve"> </w:t>
      </w:r>
      <w:r>
        <w:t>de</w:t>
      </w:r>
      <w:r>
        <w:rPr>
          <w:spacing w:val="-15"/>
        </w:rPr>
        <w:t xml:space="preserve"> </w:t>
      </w:r>
      <w:r>
        <w:t>su</w:t>
      </w:r>
      <w:r>
        <w:rPr>
          <w:spacing w:val="-15"/>
        </w:rPr>
        <w:t xml:space="preserve"> </w:t>
      </w:r>
      <w:r>
        <w:t>deber.</w:t>
      </w:r>
      <w:r>
        <w:rPr>
          <w:spacing w:val="-12"/>
        </w:rPr>
        <w:t xml:space="preserve"> </w:t>
      </w:r>
      <w:r>
        <w:t>Esto</w:t>
      </w:r>
      <w:r>
        <w:rPr>
          <w:spacing w:val="-15"/>
        </w:rPr>
        <w:t xml:space="preserve"> </w:t>
      </w:r>
      <w:r>
        <w:t>es,</w:t>
      </w:r>
      <w:r>
        <w:rPr>
          <w:spacing w:val="-15"/>
        </w:rPr>
        <w:t xml:space="preserve"> </w:t>
      </w:r>
      <w:r>
        <w:t>de</w:t>
      </w:r>
      <w:r>
        <w:rPr>
          <w:spacing w:val="-15"/>
        </w:rPr>
        <w:t xml:space="preserve"> </w:t>
      </w:r>
      <w:r>
        <w:t>la</w:t>
      </w:r>
      <w:r>
        <w:rPr>
          <w:spacing w:val="-15"/>
        </w:rPr>
        <w:t xml:space="preserve"> </w:t>
      </w:r>
      <w:r>
        <w:t>defensa</w:t>
      </w:r>
      <w:r>
        <w:rPr>
          <w:spacing w:val="-15"/>
        </w:rPr>
        <w:t xml:space="preserve"> </w:t>
      </w:r>
      <w:r>
        <w:t>de</w:t>
      </w:r>
      <w:r>
        <w:rPr>
          <w:spacing w:val="-15"/>
        </w:rPr>
        <w:t xml:space="preserve"> </w:t>
      </w:r>
      <w:r>
        <w:t>los</w:t>
      </w:r>
      <w:r>
        <w:rPr>
          <w:spacing w:val="-15"/>
        </w:rPr>
        <w:t xml:space="preserve"> </w:t>
      </w:r>
      <w:r>
        <w:t>presos</w:t>
      </w:r>
      <w:r>
        <w:rPr>
          <w:spacing w:val="-15"/>
        </w:rPr>
        <w:t xml:space="preserve"> </w:t>
      </w:r>
      <w:r>
        <w:t>políticos</w:t>
      </w:r>
      <w:r>
        <w:rPr>
          <w:spacing w:val="-15"/>
        </w:rPr>
        <w:t xml:space="preserve"> </w:t>
      </w:r>
      <w:r>
        <w:t>que</w:t>
      </w:r>
      <w:r>
        <w:rPr>
          <w:spacing w:val="-15"/>
        </w:rPr>
        <w:t xml:space="preserve"> </w:t>
      </w:r>
      <w:r>
        <w:t>se</w:t>
      </w:r>
      <w:r>
        <w:rPr>
          <w:spacing w:val="-15"/>
        </w:rPr>
        <w:t xml:space="preserve"> </w:t>
      </w:r>
      <w:r>
        <w:t>volvió</w:t>
      </w:r>
      <w:r>
        <w:rPr>
          <w:spacing w:val="-15"/>
        </w:rPr>
        <w:t xml:space="preserve"> </w:t>
      </w:r>
      <w:r>
        <w:t>objetivo militar del movimiento Muerte a Secuestradores (MAS), en los ochenta, o de la que, en los noventa, fue testigo de las luchas de defensores ejemplares como Eduardo Umaña y Jesús María Valle, asesinados por su obsesión por defender la vida y el respeto a los derechos humanos.</w:t>
      </w:r>
      <w:r>
        <w:rPr>
          <w:spacing w:val="-1"/>
        </w:rPr>
        <w:t xml:space="preserve"> </w:t>
      </w:r>
      <w:r>
        <w:t>Todas</w:t>
      </w:r>
      <w:r>
        <w:rPr>
          <w:spacing w:val="-1"/>
        </w:rPr>
        <w:t xml:space="preserve"> </w:t>
      </w:r>
      <w:r>
        <w:t>estas</w:t>
      </w:r>
      <w:r>
        <w:rPr>
          <w:spacing w:val="-1"/>
        </w:rPr>
        <w:t xml:space="preserve"> </w:t>
      </w:r>
      <w:r>
        <w:t>personas</w:t>
      </w:r>
      <w:r>
        <w:rPr>
          <w:spacing w:val="-1"/>
        </w:rPr>
        <w:t xml:space="preserve"> </w:t>
      </w:r>
      <w:r>
        <w:t>fueron</w:t>
      </w:r>
      <w:r>
        <w:rPr>
          <w:spacing w:val="-1"/>
        </w:rPr>
        <w:t xml:space="preserve"> </w:t>
      </w:r>
      <w:r>
        <w:t>asesinadas</w:t>
      </w:r>
      <w:r>
        <w:rPr>
          <w:spacing w:val="-1"/>
        </w:rPr>
        <w:t xml:space="preserve"> </w:t>
      </w:r>
      <w:r>
        <w:t>por</w:t>
      </w:r>
      <w:r>
        <w:rPr>
          <w:spacing w:val="-1"/>
        </w:rPr>
        <w:t xml:space="preserve"> </w:t>
      </w:r>
      <w:r>
        <w:t>insistir</w:t>
      </w:r>
      <w:r>
        <w:rPr>
          <w:spacing w:val="-2"/>
        </w:rPr>
        <w:t xml:space="preserve"> </w:t>
      </w:r>
      <w:r>
        <w:t>en</w:t>
      </w:r>
      <w:r>
        <w:rPr>
          <w:spacing w:val="-1"/>
        </w:rPr>
        <w:t xml:space="preserve"> </w:t>
      </w:r>
      <w:r>
        <w:t>el</w:t>
      </w:r>
      <w:r>
        <w:rPr>
          <w:spacing w:val="-1"/>
        </w:rPr>
        <w:t xml:space="preserve"> </w:t>
      </w:r>
      <w:r>
        <w:t>acceso</w:t>
      </w:r>
      <w:r>
        <w:rPr>
          <w:spacing w:val="-2"/>
        </w:rPr>
        <w:t xml:space="preserve"> </w:t>
      </w:r>
      <w:r>
        <w:t>a</w:t>
      </w:r>
      <w:r>
        <w:rPr>
          <w:spacing w:val="-1"/>
        </w:rPr>
        <w:t xml:space="preserve"> </w:t>
      </w:r>
      <w:r>
        <w:t>la</w:t>
      </w:r>
      <w:r>
        <w:rPr>
          <w:spacing w:val="-1"/>
        </w:rPr>
        <w:t xml:space="preserve"> </w:t>
      </w:r>
      <w:r>
        <w:t>justicia</w:t>
      </w:r>
      <w:r>
        <w:rPr>
          <w:spacing w:val="-1"/>
        </w:rPr>
        <w:t xml:space="preserve"> </w:t>
      </w:r>
      <w:r>
        <w:t>como un derecho fundamental, sobre todo ante las violaciones a los derechos humanos.</w:t>
      </w:r>
    </w:p>
    <w:p w:rsidR="003804AC" w:rsidRDefault="00AF18A5" w:rsidP="00A05B2E">
      <w:r>
        <w:t>La remisión de tantos casos de la justicia penal militar a la justicia ordinaria implicó que esas mismas violaciones de Derechos Humanos no fueran apropiadamente investigadas y que, por lo tanto, facilitaran la impunidad. La justicia penal militar tiene responsabilidad porque dio validez a muchas versiones para fortalecer coartadas –de la misma forma como, en tiempos recientes, tuvo incidencia en el encubrimiento de falsos positivos porque jueces penales militares legalizaron hechos y falsearon actas–. Algunos jueces penales militares se negaron</w:t>
      </w:r>
      <w:r>
        <w:rPr>
          <w:spacing w:val="-8"/>
        </w:rPr>
        <w:t xml:space="preserve"> </w:t>
      </w:r>
      <w:r>
        <w:t>a</w:t>
      </w:r>
      <w:r>
        <w:rPr>
          <w:spacing w:val="-8"/>
        </w:rPr>
        <w:t xml:space="preserve"> </w:t>
      </w:r>
      <w:r>
        <w:t>participar</w:t>
      </w:r>
      <w:r>
        <w:rPr>
          <w:spacing w:val="-8"/>
        </w:rPr>
        <w:t xml:space="preserve"> </w:t>
      </w:r>
      <w:r>
        <w:t>en</w:t>
      </w:r>
      <w:r>
        <w:rPr>
          <w:spacing w:val="-8"/>
        </w:rPr>
        <w:t xml:space="preserve"> </w:t>
      </w:r>
      <w:r>
        <w:t>los</w:t>
      </w:r>
      <w:r>
        <w:rPr>
          <w:spacing w:val="-8"/>
        </w:rPr>
        <w:t xml:space="preserve"> </w:t>
      </w:r>
      <w:r>
        <w:t>encubrimientos</w:t>
      </w:r>
      <w:r>
        <w:rPr>
          <w:spacing w:val="-8"/>
        </w:rPr>
        <w:t xml:space="preserve"> </w:t>
      </w:r>
      <w:r>
        <w:t>y</w:t>
      </w:r>
      <w:r>
        <w:rPr>
          <w:spacing w:val="-8"/>
        </w:rPr>
        <w:t xml:space="preserve"> </w:t>
      </w:r>
      <w:r>
        <w:t>no</w:t>
      </w:r>
      <w:r>
        <w:rPr>
          <w:spacing w:val="-8"/>
        </w:rPr>
        <w:t xml:space="preserve"> </w:t>
      </w:r>
      <w:r>
        <w:t>faltó</w:t>
      </w:r>
      <w:r>
        <w:rPr>
          <w:spacing w:val="-8"/>
        </w:rPr>
        <w:t xml:space="preserve"> </w:t>
      </w:r>
      <w:r>
        <w:t>el</w:t>
      </w:r>
      <w:r>
        <w:rPr>
          <w:spacing w:val="-8"/>
        </w:rPr>
        <w:t xml:space="preserve"> </w:t>
      </w:r>
      <w:r>
        <w:t>funcionario</w:t>
      </w:r>
      <w:r>
        <w:rPr>
          <w:spacing w:val="-8"/>
        </w:rPr>
        <w:t xml:space="preserve"> </w:t>
      </w:r>
      <w:r>
        <w:t>que</w:t>
      </w:r>
      <w:r>
        <w:rPr>
          <w:spacing w:val="-8"/>
        </w:rPr>
        <w:t xml:space="preserve"> </w:t>
      </w:r>
      <w:r>
        <w:t>se</w:t>
      </w:r>
      <w:r>
        <w:rPr>
          <w:spacing w:val="-8"/>
        </w:rPr>
        <w:t xml:space="preserve"> </w:t>
      </w:r>
      <w:r>
        <w:t>vio</w:t>
      </w:r>
      <w:r>
        <w:rPr>
          <w:spacing w:val="-8"/>
        </w:rPr>
        <w:t xml:space="preserve"> </w:t>
      </w:r>
      <w:r>
        <w:t>forzado</w:t>
      </w:r>
      <w:r>
        <w:rPr>
          <w:spacing w:val="-8"/>
        </w:rPr>
        <w:t xml:space="preserve"> </w:t>
      </w:r>
      <w:r>
        <w:t>a</w:t>
      </w:r>
      <w:r>
        <w:rPr>
          <w:spacing w:val="-8"/>
        </w:rPr>
        <w:t xml:space="preserve"> </w:t>
      </w:r>
      <w:r>
        <w:t>salir al exilio.</w:t>
      </w:r>
    </w:p>
    <w:p w:rsidR="003804AC" w:rsidRDefault="00AF18A5" w:rsidP="00A05B2E">
      <w:r>
        <w:t>Para la Comisión, la justicia penal militar no tiene competencia para juzgar a civiles ni para</w:t>
      </w:r>
      <w:r>
        <w:rPr>
          <w:spacing w:val="-13"/>
        </w:rPr>
        <w:t xml:space="preserve"> </w:t>
      </w:r>
      <w:r>
        <w:t>investigar</w:t>
      </w:r>
      <w:r>
        <w:rPr>
          <w:spacing w:val="-13"/>
        </w:rPr>
        <w:t xml:space="preserve"> </w:t>
      </w:r>
      <w:r>
        <w:t>violaciones</w:t>
      </w:r>
      <w:r>
        <w:rPr>
          <w:spacing w:val="-13"/>
        </w:rPr>
        <w:t xml:space="preserve"> </w:t>
      </w:r>
      <w:r>
        <w:t>de</w:t>
      </w:r>
      <w:r>
        <w:rPr>
          <w:spacing w:val="-13"/>
        </w:rPr>
        <w:t xml:space="preserve"> </w:t>
      </w:r>
      <w:r>
        <w:t>derechos</w:t>
      </w:r>
      <w:r>
        <w:rPr>
          <w:spacing w:val="-13"/>
        </w:rPr>
        <w:t xml:space="preserve"> </w:t>
      </w:r>
      <w:r>
        <w:t>humanos.</w:t>
      </w:r>
      <w:r>
        <w:rPr>
          <w:spacing w:val="-15"/>
        </w:rPr>
        <w:t xml:space="preserve"> </w:t>
      </w:r>
      <w:r>
        <w:t>Si</w:t>
      </w:r>
      <w:r>
        <w:rPr>
          <w:spacing w:val="-13"/>
        </w:rPr>
        <w:t xml:space="preserve"> </w:t>
      </w:r>
      <w:r>
        <w:lastRenderedPageBreak/>
        <w:t>bien</w:t>
      </w:r>
      <w:r>
        <w:rPr>
          <w:spacing w:val="-13"/>
        </w:rPr>
        <w:t xml:space="preserve"> </w:t>
      </w:r>
      <w:r>
        <w:t>el</w:t>
      </w:r>
      <w:r>
        <w:rPr>
          <w:spacing w:val="-13"/>
        </w:rPr>
        <w:t xml:space="preserve"> </w:t>
      </w:r>
      <w:r>
        <w:t>marco</w:t>
      </w:r>
      <w:r>
        <w:rPr>
          <w:spacing w:val="-13"/>
        </w:rPr>
        <w:t xml:space="preserve"> </w:t>
      </w:r>
      <w:r>
        <w:t>legal</w:t>
      </w:r>
      <w:r>
        <w:rPr>
          <w:spacing w:val="-13"/>
        </w:rPr>
        <w:t xml:space="preserve"> </w:t>
      </w:r>
      <w:r>
        <w:t>es</w:t>
      </w:r>
      <w:r>
        <w:rPr>
          <w:spacing w:val="-14"/>
        </w:rPr>
        <w:t xml:space="preserve"> </w:t>
      </w:r>
      <w:r>
        <w:t>claro,</w:t>
      </w:r>
      <w:r>
        <w:rPr>
          <w:spacing w:val="-13"/>
        </w:rPr>
        <w:t xml:space="preserve"> </w:t>
      </w:r>
      <w:r>
        <w:t>la</w:t>
      </w:r>
      <w:r>
        <w:rPr>
          <w:spacing w:val="-13"/>
        </w:rPr>
        <w:t xml:space="preserve"> </w:t>
      </w:r>
      <w:r>
        <w:t>tendencia a discutir la competencia con la de la jurisdicción ordinaria conlleva numerosas presiones indebidas</w:t>
      </w:r>
      <w:r>
        <w:rPr>
          <w:spacing w:val="-15"/>
        </w:rPr>
        <w:t xml:space="preserve"> </w:t>
      </w:r>
      <w:r>
        <w:t>y</w:t>
      </w:r>
      <w:r>
        <w:rPr>
          <w:spacing w:val="-15"/>
        </w:rPr>
        <w:t xml:space="preserve"> </w:t>
      </w:r>
      <w:r>
        <w:t>un</w:t>
      </w:r>
      <w:r>
        <w:rPr>
          <w:spacing w:val="-15"/>
        </w:rPr>
        <w:t xml:space="preserve"> </w:t>
      </w:r>
      <w:r>
        <w:t>desgaste</w:t>
      </w:r>
      <w:r>
        <w:rPr>
          <w:spacing w:val="-15"/>
        </w:rPr>
        <w:t xml:space="preserve"> </w:t>
      </w:r>
      <w:r>
        <w:t>de</w:t>
      </w:r>
      <w:r>
        <w:rPr>
          <w:spacing w:val="-15"/>
        </w:rPr>
        <w:t xml:space="preserve"> </w:t>
      </w:r>
      <w:r>
        <w:t>las</w:t>
      </w:r>
      <w:r>
        <w:rPr>
          <w:spacing w:val="-15"/>
        </w:rPr>
        <w:t xml:space="preserve"> </w:t>
      </w:r>
      <w:r>
        <w:t>víctimas</w:t>
      </w:r>
      <w:r>
        <w:rPr>
          <w:spacing w:val="-15"/>
        </w:rPr>
        <w:t xml:space="preserve"> </w:t>
      </w:r>
      <w:r>
        <w:t>y</w:t>
      </w:r>
      <w:r>
        <w:rPr>
          <w:spacing w:val="-15"/>
        </w:rPr>
        <w:t xml:space="preserve"> </w:t>
      </w:r>
      <w:r>
        <w:t>funcionarios</w:t>
      </w:r>
      <w:r>
        <w:rPr>
          <w:spacing w:val="-15"/>
        </w:rPr>
        <w:t xml:space="preserve"> </w:t>
      </w:r>
      <w:r>
        <w:t>implicados,</w:t>
      </w:r>
      <w:r>
        <w:rPr>
          <w:spacing w:val="-15"/>
        </w:rPr>
        <w:t xml:space="preserve"> </w:t>
      </w:r>
      <w:r>
        <w:t>la</w:t>
      </w:r>
      <w:r>
        <w:rPr>
          <w:spacing w:val="-15"/>
        </w:rPr>
        <w:t xml:space="preserve"> </w:t>
      </w:r>
      <w:r>
        <w:t>dilación</w:t>
      </w:r>
      <w:r>
        <w:rPr>
          <w:spacing w:val="-15"/>
        </w:rPr>
        <w:t xml:space="preserve"> </w:t>
      </w:r>
      <w:r>
        <w:t>de</w:t>
      </w:r>
      <w:r>
        <w:rPr>
          <w:spacing w:val="-15"/>
        </w:rPr>
        <w:t xml:space="preserve"> </w:t>
      </w:r>
      <w:r>
        <w:t>los</w:t>
      </w:r>
      <w:r>
        <w:rPr>
          <w:spacing w:val="-15"/>
        </w:rPr>
        <w:t xml:space="preserve"> </w:t>
      </w:r>
      <w:r>
        <w:t>procesos, la pérdida de pruebas y, en últimas, la disolución de las responsabilidades, por lo que se ha constituido en un mecanismo de impunidad y el estado debe tomar medidas para evitarlo.</w:t>
      </w:r>
    </w:p>
    <w:p w:rsidR="003804AC" w:rsidRDefault="00AF18A5" w:rsidP="00A05B2E">
      <w:r>
        <w:t>En</w:t>
      </w:r>
      <w:r>
        <w:rPr>
          <w:spacing w:val="-6"/>
        </w:rPr>
        <w:t xml:space="preserve"> </w:t>
      </w:r>
      <w:r>
        <w:t>1987,</w:t>
      </w:r>
      <w:r>
        <w:rPr>
          <w:spacing w:val="-6"/>
        </w:rPr>
        <w:t xml:space="preserve"> </w:t>
      </w:r>
      <w:r>
        <w:t>los</w:t>
      </w:r>
      <w:r>
        <w:rPr>
          <w:spacing w:val="-6"/>
        </w:rPr>
        <w:t xml:space="preserve"> </w:t>
      </w:r>
      <w:r>
        <w:t>Juzgados</w:t>
      </w:r>
      <w:r>
        <w:rPr>
          <w:spacing w:val="-6"/>
        </w:rPr>
        <w:t xml:space="preserve"> </w:t>
      </w:r>
      <w:r>
        <w:t>de</w:t>
      </w:r>
      <w:r>
        <w:rPr>
          <w:spacing w:val="-7"/>
        </w:rPr>
        <w:t xml:space="preserve"> </w:t>
      </w:r>
      <w:r>
        <w:t>Orden</w:t>
      </w:r>
      <w:r>
        <w:rPr>
          <w:spacing w:val="-6"/>
        </w:rPr>
        <w:t xml:space="preserve"> </w:t>
      </w:r>
      <w:r>
        <w:t>Público</w:t>
      </w:r>
      <w:r>
        <w:rPr>
          <w:spacing w:val="-6"/>
        </w:rPr>
        <w:t xml:space="preserve"> </w:t>
      </w:r>
      <w:r>
        <w:t>se</w:t>
      </w:r>
      <w:r>
        <w:rPr>
          <w:spacing w:val="-6"/>
        </w:rPr>
        <w:t xml:space="preserve"> </w:t>
      </w:r>
      <w:r>
        <w:t>crearon</w:t>
      </w:r>
      <w:r>
        <w:rPr>
          <w:spacing w:val="-6"/>
        </w:rPr>
        <w:t xml:space="preserve"> </w:t>
      </w:r>
      <w:r>
        <w:t>bajo</w:t>
      </w:r>
      <w:r>
        <w:rPr>
          <w:spacing w:val="-6"/>
        </w:rPr>
        <w:t xml:space="preserve"> </w:t>
      </w:r>
      <w:r>
        <w:t>la</w:t>
      </w:r>
      <w:r>
        <w:rPr>
          <w:spacing w:val="-7"/>
        </w:rPr>
        <w:t xml:space="preserve"> </w:t>
      </w:r>
      <w:r>
        <w:t>justificación</w:t>
      </w:r>
      <w:r>
        <w:rPr>
          <w:spacing w:val="-6"/>
        </w:rPr>
        <w:t xml:space="preserve"> </w:t>
      </w:r>
      <w:r>
        <w:t>de</w:t>
      </w:r>
      <w:r>
        <w:rPr>
          <w:spacing w:val="-7"/>
        </w:rPr>
        <w:t xml:space="preserve"> </w:t>
      </w:r>
      <w:r>
        <w:t>«fortalecer</w:t>
      </w:r>
      <w:r>
        <w:rPr>
          <w:spacing w:val="-6"/>
        </w:rPr>
        <w:t xml:space="preserve"> </w:t>
      </w:r>
      <w:r>
        <w:t>los mecanismos jurisdiccionales del Estado instituidos para la investigación y sanción de los delitos»</w:t>
      </w:r>
      <w:r w:rsidR="00A05B2E">
        <w:rPr>
          <w:rStyle w:val="Refdenotaalpie"/>
        </w:rPr>
        <w:footnoteReference w:id="929"/>
      </w:r>
      <w:r>
        <w:t xml:space="preserve"> con una estructura administrativa y normativa procesal propia, proyectada para ser especial y transitoria. Fue otra medida adoptada ante la declaratoria de </w:t>
      </w:r>
      <w:r>
        <w:rPr>
          <w:spacing w:val="-2"/>
        </w:rPr>
        <w:t>inconstitucionalidad</w:t>
      </w:r>
      <w:r>
        <w:rPr>
          <w:spacing w:val="-6"/>
        </w:rPr>
        <w:t xml:space="preserve"> </w:t>
      </w:r>
      <w:r>
        <w:rPr>
          <w:spacing w:val="-2"/>
        </w:rPr>
        <w:t>de</w:t>
      </w:r>
      <w:r>
        <w:rPr>
          <w:spacing w:val="-6"/>
        </w:rPr>
        <w:t xml:space="preserve"> </w:t>
      </w:r>
      <w:r>
        <w:rPr>
          <w:spacing w:val="-2"/>
        </w:rPr>
        <w:t>la</w:t>
      </w:r>
      <w:r>
        <w:rPr>
          <w:spacing w:val="-4"/>
        </w:rPr>
        <w:t xml:space="preserve"> </w:t>
      </w:r>
      <w:r>
        <w:rPr>
          <w:spacing w:val="-2"/>
        </w:rPr>
        <w:t>Corte</w:t>
      </w:r>
      <w:r>
        <w:rPr>
          <w:spacing w:val="-6"/>
        </w:rPr>
        <w:t xml:space="preserve"> </w:t>
      </w:r>
      <w:r>
        <w:rPr>
          <w:spacing w:val="-2"/>
        </w:rPr>
        <w:t>Suprema</w:t>
      </w:r>
      <w:r>
        <w:rPr>
          <w:spacing w:val="-4"/>
        </w:rPr>
        <w:t xml:space="preserve"> </w:t>
      </w:r>
      <w:r>
        <w:rPr>
          <w:spacing w:val="-2"/>
        </w:rPr>
        <w:t>de</w:t>
      </w:r>
      <w:r>
        <w:rPr>
          <w:spacing w:val="-4"/>
        </w:rPr>
        <w:t xml:space="preserve"> </w:t>
      </w:r>
      <w:r>
        <w:rPr>
          <w:spacing w:val="-2"/>
        </w:rPr>
        <w:t>Justicia</w:t>
      </w:r>
      <w:r>
        <w:rPr>
          <w:spacing w:val="-4"/>
        </w:rPr>
        <w:t xml:space="preserve"> </w:t>
      </w:r>
      <w:r>
        <w:rPr>
          <w:spacing w:val="-2"/>
        </w:rPr>
        <w:t>sobre</w:t>
      </w:r>
      <w:r>
        <w:rPr>
          <w:spacing w:val="-6"/>
        </w:rPr>
        <w:t xml:space="preserve"> </w:t>
      </w:r>
      <w:r>
        <w:rPr>
          <w:spacing w:val="-2"/>
        </w:rPr>
        <w:t>las</w:t>
      </w:r>
      <w:r>
        <w:rPr>
          <w:spacing w:val="-7"/>
        </w:rPr>
        <w:t xml:space="preserve"> </w:t>
      </w:r>
      <w:r>
        <w:rPr>
          <w:spacing w:val="-2"/>
        </w:rPr>
        <w:t>atribuciones</w:t>
      </w:r>
      <w:r>
        <w:rPr>
          <w:spacing w:val="-6"/>
        </w:rPr>
        <w:t xml:space="preserve"> </w:t>
      </w:r>
      <w:r>
        <w:rPr>
          <w:spacing w:val="-2"/>
        </w:rPr>
        <w:t>de</w:t>
      </w:r>
      <w:r>
        <w:rPr>
          <w:spacing w:val="-4"/>
        </w:rPr>
        <w:t xml:space="preserve"> </w:t>
      </w:r>
      <w:r>
        <w:rPr>
          <w:spacing w:val="-2"/>
        </w:rPr>
        <w:t>la</w:t>
      </w:r>
      <w:r>
        <w:rPr>
          <w:spacing w:val="-6"/>
        </w:rPr>
        <w:t xml:space="preserve"> </w:t>
      </w:r>
      <w:r>
        <w:rPr>
          <w:spacing w:val="-2"/>
        </w:rPr>
        <w:t>justicia</w:t>
      </w:r>
      <w:r>
        <w:rPr>
          <w:spacing w:val="-6"/>
        </w:rPr>
        <w:t xml:space="preserve"> </w:t>
      </w:r>
      <w:r>
        <w:rPr>
          <w:spacing w:val="-2"/>
        </w:rPr>
        <w:t xml:space="preserve">penal </w:t>
      </w:r>
      <w:r>
        <w:t>militar de enjuiciamiento de civiles. «La justicia de orden público surge por el fracaso de la justicia penal militar y tribunales castrenses», le dijo uno de los funcionarios entrevistados por la Comisión.</w:t>
      </w:r>
    </w:p>
    <w:p w:rsidR="003804AC" w:rsidRDefault="00AF18A5" w:rsidP="00A05B2E">
      <w:r>
        <w:t>Las nuevas reglas de juego frente al examen judicial de las violaciones a los derechos humanos condicionaron al Estado a buscar soluciones en la inequívoca ruta del Estado de Sitio. Esto ocurrió en 1988, para acuñar el primer estatuto antiterrorista presentado como el Estatuto para la Defensa de la Democracia; y en 1990, con el Estatuto para la Defensa de la Justicia, conocido como la Justicia sin Rostro. Se trató del mismo modelo contrainsurgente en</w:t>
      </w:r>
      <w:r>
        <w:rPr>
          <w:spacing w:val="-7"/>
        </w:rPr>
        <w:t xml:space="preserve"> </w:t>
      </w:r>
      <w:r>
        <w:t>un</w:t>
      </w:r>
      <w:r>
        <w:rPr>
          <w:spacing w:val="-7"/>
        </w:rPr>
        <w:t xml:space="preserve"> </w:t>
      </w:r>
      <w:r>
        <w:t>entorno</w:t>
      </w:r>
      <w:r>
        <w:rPr>
          <w:spacing w:val="-7"/>
        </w:rPr>
        <w:t xml:space="preserve"> </w:t>
      </w:r>
      <w:r>
        <w:t>de</w:t>
      </w:r>
      <w:r>
        <w:rPr>
          <w:spacing w:val="-7"/>
        </w:rPr>
        <w:t xml:space="preserve"> </w:t>
      </w:r>
      <w:r>
        <w:t>territorios</w:t>
      </w:r>
      <w:r>
        <w:rPr>
          <w:spacing w:val="-7"/>
        </w:rPr>
        <w:t xml:space="preserve"> </w:t>
      </w:r>
      <w:r>
        <w:t>de</w:t>
      </w:r>
      <w:r>
        <w:rPr>
          <w:spacing w:val="-7"/>
        </w:rPr>
        <w:t xml:space="preserve"> </w:t>
      </w:r>
      <w:r>
        <w:t>jueces</w:t>
      </w:r>
      <w:r>
        <w:rPr>
          <w:spacing w:val="-8"/>
        </w:rPr>
        <w:t xml:space="preserve"> </w:t>
      </w:r>
      <w:r>
        <w:t>sin</w:t>
      </w:r>
      <w:r>
        <w:rPr>
          <w:spacing w:val="-7"/>
        </w:rPr>
        <w:t xml:space="preserve"> </w:t>
      </w:r>
      <w:r>
        <w:t>Estado,</w:t>
      </w:r>
      <w:r>
        <w:rPr>
          <w:spacing w:val="-8"/>
        </w:rPr>
        <w:t xml:space="preserve"> </w:t>
      </w:r>
      <w:r>
        <w:t>con</w:t>
      </w:r>
      <w:r>
        <w:rPr>
          <w:spacing w:val="-7"/>
        </w:rPr>
        <w:t xml:space="preserve"> </w:t>
      </w:r>
      <w:r>
        <w:t>el</w:t>
      </w:r>
      <w:r>
        <w:rPr>
          <w:spacing w:val="-7"/>
        </w:rPr>
        <w:t xml:space="preserve"> </w:t>
      </w:r>
      <w:r>
        <w:t>día</w:t>
      </w:r>
      <w:r>
        <w:rPr>
          <w:spacing w:val="-7"/>
        </w:rPr>
        <w:t xml:space="preserve"> </w:t>
      </w:r>
      <w:r>
        <w:t>a</w:t>
      </w:r>
      <w:r>
        <w:rPr>
          <w:spacing w:val="-7"/>
        </w:rPr>
        <w:t xml:space="preserve"> </w:t>
      </w:r>
      <w:r>
        <w:t>día</w:t>
      </w:r>
      <w:r>
        <w:rPr>
          <w:spacing w:val="-7"/>
        </w:rPr>
        <w:t xml:space="preserve"> </w:t>
      </w:r>
      <w:r>
        <w:t>de</w:t>
      </w:r>
      <w:r>
        <w:rPr>
          <w:spacing w:val="-7"/>
        </w:rPr>
        <w:t xml:space="preserve"> </w:t>
      </w:r>
      <w:r>
        <w:t>la</w:t>
      </w:r>
      <w:r>
        <w:rPr>
          <w:spacing w:val="-8"/>
        </w:rPr>
        <w:t xml:space="preserve"> </w:t>
      </w:r>
      <w:r>
        <w:t>violencia</w:t>
      </w:r>
      <w:r>
        <w:rPr>
          <w:spacing w:val="-7"/>
        </w:rPr>
        <w:t xml:space="preserve"> </w:t>
      </w:r>
      <w:r>
        <w:t>a</w:t>
      </w:r>
      <w:r>
        <w:rPr>
          <w:spacing w:val="-7"/>
        </w:rPr>
        <w:t xml:space="preserve"> </w:t>
      </w:r>
      <w:r>
        <w:t>bordo</w:t>
      </w:r>
      <w:r>
        <w:rPr>
          <w:spacing w:val="-8"/>
        </w:rPr>
        <w:t xml:space="preserve"> </w:t>
      </w:r>
      <w:r>
        <w:t>y</w:t>
      </w:r>
      <w:r>
        <w:rPr>
          <w:spacing w:val="-7"/>
        </w:rPr>
        <w:t xml:space="preserve"> </w:t>
      </w:r>
      <w:r>
        <w:t>las presiones de los actores de la guerra.</w:t>
      </w:r>
    </w:p>
    <w:p w:rsidR="003804AC" w:rsidRDefault="00AF18A5" w:rsidP="00A05B2E">
      <w:r>
        <w:lastRenderedPageBreak/>
        <w:t>El modelo fue diseñado bajo el argumento de proteger a los funcionarios judiciales de la violencia</w:t>
      </w:r>
      <w:r>
        <w:rPr>
          <w:spacing w:val="-6"/>
        </w:rPr>
        <w:t xml:space="preserve"> </w:t>
      </w:r>
      <w:r>
        <w:t>masiva</w:t>
      </w:r>
      <w:r>
        <w:rPr>
          <w:spacing w:val="-4"/>
        </w:rPr>
        <w:t xml:space="preserve"> </w:t>
      </w:r>
      <w:r>
        <w:t>de</w:t>
      </w:r>
      <w:r>
        <w:rPr>
          <w:spacing w:val="-6"/>
        </w:rPr>
        <w:t xml:space="preserve"> </w:t>
      </w:r>
      <w:r>
        <w:t>los</w:t>
      </w:r>
      <w:r>
        <w:rPr>
          <w:spacing w:val="-6"/>
        </w:rPr>
        <w:t xml:space="preserve"> </w:t>
      </w:r>
      <w:r>
        <w:t>grupos</w:t>
      </w:r>
      <w:r>
        <w:rPr>
          <w:spacing w:val="-5"/>
        </w:rPr>
        <w:t xml:space="preserve"> </w:t>
      </w:r>
      <w:r>
        <w:t>delincuenciales</w:t>
      </w:r>
      <w:r>
        <w:rPr>
          <w:spacing w:val="-6"/>
        </w:rPr>
        <w:t xml:space="preserve"> </w:t>
      </w:r>
      <w:r>
        <w:t>organizados,</w:t>
      </w:r>
      <w:r>
        <w:rPr>
          <w:spacing w:val="-6"/>
        </w:rPr>
        <w:t xml:space="preserve"> </w:t>
      </w:r>
      <w:r>
        <w:t>en</w:t>
      </w:r>
      <w:r>
        <w:rPr>
          <w:spacing w:val="-5"/>
        </w:rPr>
        <w:t xml:space="preserve"> </w:t>
      </w:r>
      <w:r>
        <w:t>especial</w:t>
      </w:r>
      <w:r>
        <w:rPr>
          <w:spacing w:val="-5"/>
        </w:rPr>
        <w:t xml:space="preserve"> </w:t>
      </w:r>
      <w:r>
        <w:t>del</w:t>
      </w:r>
      <w:r>
        <w:rPr>
          <w:spacing w:val="-4"/>
        </w:rPr>
        <w:t xml:space="preserve"> </w:t>
      </w:r>
      <w:r>
        <w:t>narcotráfico,</w:t>
      </w:r>
      <w:r>
        <w:rPr>
          <w:spacing w:val="-5"/>
        </w:rPr>
        <w:t xml:space="preserve"> </w:t>
      </w:r>
      <w:r>
        <w:t>así como garantizar la eficacia de las investigaciones y evitar la corrupción. Pese a las medidas de seguridad implementadas, que incluyeron la conversión de los despachos en verdaderos búnkeres</w:t>
      </w:r>
      <w:r>
        <w:rPr>
          <w:spacing w:val="30"/>
        </w:rPr>
        <w:t xml:space="preserve"> </w:t>
      </w:r>
      <w:r>
        <w:t>o</w:t>
      </w:r>
      <w:r>
        <w:rPr>
          <w:spacing w:val="31"/>
        </w:rPr>
        <w:t xml:space="preserve"> </w:t>
      </w:r>
      <w:r>
        <w:t>el</w:t>
      </w:r>
      <w:r>
        <w:rPr>
          <w:spacing w:val="33"/>
        </w:rPr>
        <w:t xml:space="preserve"> </w:t>
      </w:r>
      <w:r>
        <w:t>hecho</w:t>
      </w:r>
      <w:r>
        <w:rPr>
          <w:spacing w:val="31"/>
        </w:rPr>
        <w:t xml:space="preserve"> </w:t>
      </w:r>
      <w:r>
        <w:t>de</w:t>
      </w:r>
      <w:r>
        <w:rPr>
          <w:spacing w:val="32"/>
        </w:rPr>
        <w:t xml:space="preserve"> </w:t>
      </w:r>
      <w:r>
        <w:t>que</w:t>
      </w:r>
      <w:r>
        <w:rPr>
          <w:spacing w:val="32"/>
        </w:rPr>
        <w:t xml:space="preserve"> </w:t>
      </w:r>
      <w:r>
        <w:t>«fueron</w:t>
      </w:r>
      <w:r>
        <w:rPr>
          <w:spacing w:val="32"/>
        </w:rPr>
        <w:t xml:space="preserve"> </w:t>
      </w:r>
      <w:r>
        <w:t>los</w:t>
      </w:r>
      <w:r>
        <w:rPr>
          <w:spacing w:val="32"/>
        </w:rPr>
        <w:t xml:space="preserve"> </w:t>
      </w:r>
      <w:r>
        <w:t>primeros</w:t>
      </w:r>
      <w:r>
        <w:rPr>
          <w:spacing w:val="32"/>
        </w:rPr>
        <w:t xml:space="preserve"> </w:t>
      </w:r>
      <w:r>
        <w:t>funcionarios</w:t>
      </w:r>
      <w:r>
        <w:rPr>
          <w:spacing w:val="33"/>
        </w:rPr>
        <w:t xml:space="preserve"> </w:t>
      </w:r>
      <w:r>
        <w:t>de</w:t>
      </w:r>
      <w:r>
        <w:rPr>
          <w:spacing w:val="31"/>
        </w:rPr>
        <w:t xml:space="preserve"> </w:t>
      </w:r>
      <w:r>
        <w:t>la</w:t>
      </w:r>
      <w:r>
        <w:rPr>
          <w:spacing w:val="32"/>
        </w:rPr>
        <w:t xml:space="preserve"> </w:t>
      </w:r>
      <w:r>
        <w:t>rama</w:t>
      </w:r>
      <w:r>
        <w:rPr>
          <w:spacing w:val="32"/>
        </w:rPr>
        <w:t xml:space="preserve"> </w:t>
      </w:r>
      <w:r>
        <w:t>con</w:t>
      </w:r>
      <w:r>
        <w:rPr>
          <w:spacing w:val="33"/>
        </w:rPr>
        <w:t xml:space="preserve"> </w:t>
      </w:r>
      <w:r>
        <w:rPr>
          <w:spacing w:val="-2"/>
        </w:rPr>
        <w:t>vehículos</w:t>
      </w:r>
      <w:bookmarkStart w:id="1152" w:name="_bookmark1017"/>
      <w:bookmarkEnd w:id="1152"/>
      <w:r w:rsidR="00A05B2E">
        <w:rPr>
          <w:spacing w:val="-2"/>
        </w:rPr>
        <w:t xml:space="preserve"> </w:t>
      </w:r>
      <w:r>
        <w:t>blindados otorgados por el gobierno de Estados Unidos», como recuerda uno de los jueces que</w:t>
      </w:r>
      <w:r>
        <w:rPr>
          <w:spacing w:val="-6"/>
        </w:rPr>
        <w:t xml:space="preserve"> </w:t>
      </w:r>
      <w:r>
        <w:t>participaron</w:t>
      </w:r>
      <w:r>
        <w:rPr>
          <w:spacing w:val="-6"/>
        </w:rPr>
        <w:t xml:space="preserve"> </w:t>
      </w:r>
      <w:r>
        <w:t>en</w:t>
      </w:r>
      <w:r>
        <w:rPr>
          <w:spacing w:val="-7"/>
        </w:rPr>
        <w:t xml:space="preserve"> </w:t>
      </w:r>
      <w:r>
        <w:t>los</w:t>
      </w:r>
      <w:r>
        <w:rPr>
          <w:spacing w:val="-6"/>
        </w:rPr>
        <w:t xml:space="preserve"> </w:t>
      </w:r>
      <w:r>
        <w:t>grupos</w:t>
      </w:r>
      <w:r>
        <w:rPr>
          <w:spacing w:val="-6"/>
        </w:rPr>
        <w:t xml:space="preserve"> </w:t>
      </w:r>
      <w:r>
        <w:t>focales</w:t>
      </w:r>
      <w:r>
        <w:rPr>
          <w:spacing w:val="-6"/>
        </w:rPr>
        <w:t xml:space="preserve"> </w:t>
      </w:r>
      <w:r>
        <w:t>de</w:t>
      </w:r>
      <w:r>
        <w:rPr>
          <w:spacing w:val="-6"/>
        </w:rPr>
        <w:t xml:space="preserve"> </w:t>
      </w:r>
      <w:r>
        <w:t>la</w:t>
      </w:r>
      <w:r>
        <w:rPr>
          <w:spacing w:val="-6"/>
        </w:rPr>
        <w:t xml:space="preserve"> </w:t>
      </w:r>
      <w:r>
        <w:t>Comisión,</w:t>
      </w:r>
      <w:r>
        <w:rPr>
          <w:spacing w:val="-6"/>
        </w:rPr>
        <w:t xml:space="preserve"> </w:t>
      </w:r>
      <w:r>
        <w:t>poco</w:t>
      </w:r>
      <w:r>
        <w:rPr>
          <w:spacing w:val="-6"/>
        </w:rPr>
        <w:t xml:space="preserve"> </w:t>
      </w:r>
      <w:r>
        <w:t>se</w:t>
      </w:r>
      <w:r>
        <w:rPr>
          <w:spacing w:val="-6"/>
        </w:rPr>
        <w:t xml:space="preserve"> </w:t>
      </w:r>
      <w:r>
        <w:t>logró:</w:t>
      </w:r>
      <w:r>
        <w:rPr>
          <w:spacing w:val="-5"/>
        </w:rPr>
        <w:t xml:space="preserve"> </w:t>
      </w:r>
      <w:r>
        <w:t>era</w:t>
      </w:r>
      <w:r>
        <w:rPr>
          <w:spacing w:val="-7"/>
        </w:rPr>
        <w:t xml:space="preserve"> </w:t>
      </w:r>
      <w:r>
        <w:t>vox</w:t>
      </w:r>
      <w:r>
        <w:rPr>
          <w:spacing w:val="-6"/>
        </w:rPr>
        <w:t xml:space="preserve"> </w:t>
      </w:r>
      <w:r>
        <w:t>populi</w:t>
      </w:r>
      <w:r>
        <w:rPr>
          <w:spacing w:val="-5"/>
        </w:rPr>
        <w:t xml:space="preserve"> </w:t>
      </w:r>
      <w:r>
        <w:t>quiénes llevaban</w:t>
      </w:r>
      <w:r>
        <w:rPr>
          <w:spacing w:val="-5"/>
        </w:rPr>
        <w:t xml:space="preserve"> </w:t>
      </w:r>
      <w:r>
        <w:t>cada</w:t>
      </w:r>
      <w:r>
        <w:rPr>
          <w:spacing w:val="-5"/>
        </w:rPr>
        <w:t xml:space="preserve"> </w:t>
      </w:r>
      <w:r>
        <w:t>caso.</w:t>
      </w:r>
      <w:r>
        <w:rPr>
          <w:spacing w:val="-5"/>
        </w:rPr>
        <w:t xml:space="preserve"> </w:t>
      </w:r>
      <w:r>
        <w:t>Desde</w:t>
      </w:r>
      <w:r>
        <w:rPr>
          <w:spacing w:val="-5"/>
        </w:rPr>
        <w:t xml:space="preserve"> </w:t>
      </w:r>
      <w:r>
        <w:t>la</w:t>
      </w:r>
      <w:r>
        <w:rPr>
          <w:spacing w:val="-5"/>
        </w:rPr>
        <w:t xml:space="preserve"> </w:t>
      </w:r>
      <w:r>
        <w:t>perspectiva</w:t>
      </w:r>
      <w:r>
        <w:rPr>
          <w:spacing w:val="-5"/>
        </w:rPr>
        <w:t xml:space="preserve"> </w:t>
      </w:r>
      <w:r>
        <w:t>de</w:t>
      </w:r>
      <w:r>
        <w:rPr>
          <w:spacing w:val="-5"/>
        </w:rPr>
        <w:t xml:space="preserve"> </w:t>
      </w:r>
      <w:r>
        <w:t>los</w:t>
      </w:r>
      <w:r>
        <w:rPr>
          <w:spacing w:val="-5"/>
        </w:rPr>
        <w:t xml:space="preserve"> </w:t>
      </w:r>
      <w:r>
        <w:t>usuarios</w:t>
      </w:r>
      <w:r>
        <w:rPr>
          <w:spacing w:val="-5"/>
        </w:rPr>
        <w:t xml:space="preserve"> </w:t>
      </w:r>
      <w:r>
        <w:t>de</w:t>
      </w:r>
      <w:r>
        <w:rPr>
          <w:spacing w:val="-5"/>
        </w:rPr>
        <w:t xml:space="preserve"> </w:t>
      </w:r>
      <w:r>
        <w:t>esta</w:t>
      </w:r>
      <w:r>
        <w:rPr>
          <w:spacing w:val="-5"/>
        </w:rPr>
        <w:t xml:space="preserve"> </w:t>
      </w:r>
      <w:r>
        <w:t>jurisdicción,</w:t>
      </w:r>
      <w:r>
        <w:rPr>
          <w:spacing w:val="-5"/>
        </w:rPr>
        <w:t xml:space="preserve"> </w:t>
      </w:r>
      <w:r>
        <w:t>este</w:t>
      </w:r>
      <w:r>
        <w:rPr>
          <w:spacing w:val="-5"/>
        </w:rPr>
        <w:t xml:space="preserve"> </w:t>
      </w:r>
      <w:r>
        <w:t>modelo</w:t>
      </w:r>
      <w:r>
        <w:rPr>
          <w:spacing w:val="-5"/>
        </w:rPr>
        <w:t xml:space="preserve"> </w:t>
      </w:r>
      <w:r>
        <w:t>de justicia operaría con atribuciones procesales exorbitantes, como la posibilidad de mantener en reserva la identidad de jueces y testigos, de forma que sus declaraciones eran recibidas y los abogados defensores no podían saber quién hizo la declaración, ni siquiera escuchar la voz</w:t>
      </w:r>
      <w:r>
        <w:rPr>
          <w:spacing w:val="-6"/>
        </w:rPr>
        <w:t xml:space="preserve"> </w:t>
      </w:r>
      <w:r>
        <w:t>de</w:t>
      </w:r>
      <w:r>
        <w:rPr>
          <w:spacing w:val="-7"/>
        </w:rPr>
        <w:t xml:space="preserve"> </w:t>
      </w:r>
      <w:r>
        <w:t>las</w:t>
      </w:r>
      <w:r>
        <w:rPr>
          <w:spacing w:val="-7"/>
        </w:rPr>
        <w:t xml:space="preserve"> </w:t>
      </w:r>
      <w:r>
        <w:t>personas</w:t>
      </w:r>
      <w:r>
        <w:rPr>
          <w:spacing w:val="-7"/>
        </w:rPr>
        <w:t xml:space="preserve"> </w:t>
      </w:r>
      <w:r>
        <w:t>declarantes,</w:t>
      </w:r>
      <w:r>
        <w:rPr>
          <w:spacing w:val="-6"/>
        </w:rPr>
        <w:t xml:space="preserve"> </w:t>
      </w:r>
      <w:r>
        <w:t>contando</w:t>
      </w:r>
      <w:r>
        <w:rPr>
          <w:spacing w:val="-6"/>
        </w:rPr>
        <w:t xml:space="preserve"> </w:t>
      </w:r>
      <w:r>
        <w:t>como</w:t>
      </w:r>
      <w:r>
        <w:rPr>
          <w:spacing w:val="-8"/>
        </w:rPr>
        <w:t xml:space="preserve"> </w:t>
      </w:r>
      <w:r>
        <w:t>único</w:t>
      </w:r>
      <w:r>
        <w:rPr>
          <w:spacing w:val="-6"/>
        </w:rPr>
        <w:t xml:space="preserve"> </w:t>
      </w:r>
      <w:r>
        <w:t>dato</w:t>
      </w:r>
      <w:r>
        <w:rPr>
          <w:spacing w:val="-6"/>
        </w:rPr>
        <w:t xml:space="preserve"> </w:t>
      </w:r>
      <w:r>
        <w:t>de</w:t>
      </w:r>
      <w:r>
        <w:rPr>
          <w:spacing w:val="-6"/>
        </w:rPr>
        <w:t xml:space="preserve"> </w:t>
      </w:r>
      <w:r>
        <w:t>identificación</w:t>
      </w:r>
      <w:r>
        <w:rPr>
          <w:spacing w:val="-6"/>
        </w:rPr>
        <w:t xml:space="preserve"> </w:t>
      </w:r>
      <w:r>
        <w:t>la</w:t>
      </w:r>
      <w:r>
        <w:rPr>
          <w:spacing w:val="-6"/>
        </w:rPr>
        <w:t xml:space="preserve"> </w:t>
      </w:r>
      <w:r>
        <w:t>huella</w:t>
      </w:r>
      <w:r>
        <w:rPr>
          <w:spacing w:val="-7"/>
        </w:rPr>
        <w:t xml:space="preserve"> </w:t>
      </w:r>
      <w:r>
        <w:t>digital de las personas.</w:t>
      </w:r>
    </w:p>
    <w:p w:rsidR="003804AC" w:rsidRDefault="00AF18A5" w:rsidP="00A05B2E">
      <w:r>
        <w:t>En el año 2000, la Corte Constitucional, que en general defendió las medidas excepcionales en la justicia en atención al contexto de persecución y alteración del orden público, encontró que estas medidas afectaron la garantía constitucional del debido proceso público, pues desconocieron el principio de publicidad y contradicción de la prueba</w:t>
      </w:r>
      <w:r w:rsidR="00A05B2E">
        <w:rPr>
          <w:rStyle w:val="Refdenotaalpie"/>
        </w:rPr>
        <w:footnoteReference w:id="930"/>
      </w:r>
      <w:r>
        <w:t>. La justicia</w:t>
      </w:r>
      <w:r>
        <w:rPr>
          <w:spacing w:val="-5"/>
        </w:rPr>
        <w:t xml:space="preserve"> </w:t>
      </w:r>
      <w:r>
        <w:t>regional</w:t>
      </w:r>
      <w:r>
        <w:rPr>
          <w:spacing w:val="-3"/>
        </w:rPr>
        <w:t xml:space="preserve"> </w:t>
      </w:r>
      <w:r>
        <w:t>o</w:t>
      </w:r>
      <w:r>
        <w:rPr>
          <w:spacing w:val="-4"/>
        </w:rPr>
        <w:t xml:space="preserve"> </w:t>
      </w:r>
      <w:r>
        <w:t>justicia</w:t>
      </w:r>
      <w:r>
        <w:rPr>
          <w:spacing w:val="-3"/>
        </w:rPr>
        <w:t xml:space="preserve"> </w:t>
      </w:r>
      <w:r>
        <w:t>sin</w:t>
      </w:r>
      <w:r>
        <w:rPr>
          <w:spacing w:val="-5"/>
        </w:rPr>
        <w:t xml:space="preserve"> </w:t>
      </w:r>
      <w:r>
        <w:t>rostro</w:t>
      </w:r>
      <w:r>
        <w:rPr>
          <w:spacing w:val="-5"/>
        </w:rPr>
        <w:t xml:space="preserve"> </w:t>
      </w:r>
      <w:r>
        <w:t>demostró</w:t>
      </w:r>
      <w:r>
        <w:rPr>
          <w:spacing w:val="-4"/>
        </w:rPr>
        <w:t xml:space="preserve"> </w:t>
      </w:r>
      <w:r>
        <w:t>la</w:t>
      </w:r>
      <w:r>
        <w:rPr>
          <w:spacing w:val="-5"/>
        </w:rPr>
        <w:t xml:space="preserve"> </w:t>
      </w:r>
      <w:r>
        <w:t>debilidad</w:t>
      </w:r>
      <w:r>
        <w:rPr>
          <w:spacing w:val="-4"/>
        </w:rPr>
        <w:t xml:space="preserve"> </w:t>
      </w:r>
      <w:r>
        <w:t>de</w:t>
      </w:r>
      <w:r>
        <w:rPr>
          <w:spacing w:val="-5"/>
        </w:rPr>
        <w:t xml:space="preserve"> </w:t>
      </w:r>
      <w:r>
        <w:t>la</w:t>
      </w:r>
      <w:r>
        <w:rPr>
          <w:spacing w:val="-3"/>
        </w:rPr>
        <w:t xml:space="preserve"> </w:t>
      </w:r>
      <w:r>
        <w:t>justicia,</w:t>
      </w:r>
      <w:r>
        <w:rPr>
          <w:spacing w:val="-4"/>
        </w:rPr>
        <w:t xml:space="preserve"> </w:t>
      </w:r>
      <w:r>
        <w:t>que</w:t>
      </w:r>
      <w:r>
        <w:rPr>
          <w:spacing w:val="-3"/>
        </w:rPr>
        <w:t xml:space="preserve"> </w:t>
      </w:r>
      <w:r>
        <w:t>se</w:t>
      </w:r>
      <w:r>
        <w:rPr>
          <w:spacing w:val="-3"/>
        </w:rPr>
        <w:t xml:space="preserve"> </w:t>
      </w:r>
      <w:r>
        <w:t>vio</w:t>
      </w:r>
      <w:r>
        <w:rPr>
          <w:spacing w:val="-5"/>
        </w:rPr>
        <w:t xml:space="preserve"> </w:t>
      </w:r>
      <w:r>
        <w:t>tentada</w:t>
      </w:r>
      <w:r>
        <w:rPr>
          <w:spacing w:val="-5"/>
        </w:rPr>
        <w:t xml:space="preserve"> </w:t>
      </w:r>
      <w:r>
        <w:t>a sacrificar los principios básicos de un proceso justo para salvaguardar la vida de sus funcionarios. Lo más preocupante</w:t>
      </w:r>
      <w:r>
        <w:rPr>
          <w:spacing w:val="-1"/>
        </w:rPr>
        <w:t xml:space="preserve"> </w:t>
      </w:r>
      <w:r>
        <w:t>es</w:t>
      </w:r>
      <w:r>
        <w:rPr>
          <w:spacing w:val="-1"/>
        </w:rPr>
        <w:t xml:space="preserve"> </w:t>
      </w:r>
      <w:r>
        <w:t>que, aun con</w:t>
      </w:r>
      <w:r>
        <w:rPr>
          <w:spacing w:val="-1"/>
        </w:rPr>
        <w:t xml:space="preserve"> </w:t>
      </w:r>
      <w:r>
        <w:t>medidas extraordinarias</w:t>
      </w:r>
      <w:r>
        <w:rPr>
          <w:spacing w:val="-1"/>
        </w:rPr>
        <w:t xml:space="preserve"> </w:t>
      </w:r>
      <w:r>
        <w:t>que mutilaron el derecho</w:t>
      </w:r>
      <w:r>
        <w:rPr>
          <w:spacing w:val="-4"/>
        </w:rPr>
        <w:t xml:space="preserve"> </w:t>
      </w:r>
      <w:r>
        <w:t>a</w:t>
      </w:r>
      <w:r>
        <w:rPr>
          <w:spacing w:val="-4"/>
        </w:rPr>
        <w:t xml:space="preserve"> </w:t>
      </w:r>
      <w:r>
        <w:t>la</w:t>
      </w:r>
      <w:r>
        <w:rPr>
          <w:spacing w:val="-4"/>
        </w:rPr>
        <w:t xml:space="preserve"> </w:t>
      </w:r>
      <w:r>
        <w:t>defensa</w:t>
      </w:r>
      <w:r>
        <w:rPr>
          <w:spacing w:val="-3"/>
        </w:rPr>
        <w:t xml:space="preserve"> </w:t>
      </w:r>
      <w:r>
        <w:t>de</w:t>
      </w:r>
      <w:r>
        <w:rPr>
          <w:spacing w:val="-4"/>
        </w:rPr>
        <w:t xml:space="preserve"> </w:t>
      </w:r>
      <w:r>
        <w:t>los</w:t>
      </w:r>
      <w:r>
        <w:rPr>
          <w:spacing w:val="-3"/>
        </w:rPr>
        <w:t xml:space="preserve"> </w:t>
      </w:r>
      <w:r>
        <w:t>procesados,</w:t>
      </w:r>
      <w:r>
        <w:rPr>
          <w:spacing w:val="-4"/>
        </w:rPr>
        <w:t xml:space="preserve"> </w:t>
      </w:r>
      <w:r>
        <w:t>esta</w:t>
      </w:r>
      <w:r>
        <w:rPr>
          <w:spacing w:val="-3"/>
        </w:rPr>
        <w:t xml:space="preserve"> </w:t>
      </w:r>
      <w:r>
        <w:t>forma</w:t>
      </w:r>
      <w:r>
        <w:rPr>
          <w:spacing w:val="-3"/>
        </w:rPr>
        <w:t xml:space="preserve"> </w:t>
      </w:r>
      <w:r>
        <w:t>de</w:t>
      </w:r>
      <w:r>
        <w:rPr>
          <w:spacing w:val="-3"/>
        </w:rPr>
        <w:t xml:space="preserve"> </w:t>
      </w:r>
      <w:r>
        <w:t>funcionamiento</w:t>
      </w:r>
      <w:r>
        <w:rPr>
          <w:spacing w:val="-3"/>
        </w:rPr>
        <w:t xml:space="preserve"> </w:t>
      </w:r>
      <w:r>
        <w:lastRenderedPageBreak/>
        <w:t>no</w:t>
      </w:r>
      <w:r>
        <w:rPr>
          <w:spacing w:val="-3"/>
        </w:rPr>
        <w:t xml:space="preserve"> </w:t>
      </w:r>
      <w:r>
        <w:t>logró</w:t>
      </w:r>
      <w:r>
        <w:rPr>
          <w:spacing w:val="-3"/>
        </w:rPr>
        <w:t xml:space="preserve"> </w:t>
      </w:r>
      <w:r>
        <w:t xml:space="preserve">salvaguardar la vida de sus funcionarios, pues, de cualquier manera, hubo numerosos hostigamientos y </w:t>
      </w:r>
      <w:r>
        <w:rPr>
          <w:spacing w:val="-2"/>
        </w:rPr>
        <w:t>asesinatos.</w:t>
      </w:r>
    </w:p>
    <w:p w:rsidR="003804AC" w:rsidRPr="00A05B2E" w:rsidRDefault="00AF18A5" w:rsidP="00A05B2E">
      <w:r>
        <w:t>La</w:t>
      </w:r>
      <w:r>
        <w:rPr>
          <w:spacing w:val="-7"/>
        </w:rPr>
        <w:t xml:space="preserve"> </w:t>
      </w:r>
      <w:r>
        <w:t>Comisión</w:t>
      </w:r>
      <w:r>
        <w:rPr>
          <w:spacing w:val="-7"/>
        </w:rPr>
        <w:t xml:space="preserve"> </w:t>
      </w:r>
      <w:r>
        <w:t>de</w:t>
      </w:r>
      <w:r>
        <w:rPr>
          <w:spacing w:val="-7"/>
        </w:rPr>
        <w:t xml:space="preserve"> </w:t>
      </w:r>
      <w:r>
        <w:t>la</w:t>
      </w:r>
      <w:r>
        <w:rPr>
          <w:spacing w:val="-7"/>
        </w:rPr>
        <w:t xml:space="preserve"> </w:t>
      </w:r>
      <w:r>
        <w:t>Verdad</w:t>
      </w:r>
      <w:r>
        <w:rPr>
          <w:spacing w:val="-7"/>
        </w:rPr>
        <w:t xml:space="preserve"> </w:t>
      </w:r>
      <w:r>
        <w:t>recaudó</w:t>
      </w:r>
      <w:r>
        <w:rPr>
          <w:spacing w:val="-7"/>
        </w:rPr>
        <w:t xml:space="preserve"> </w:t>
      </w:r>
      <w:r>
        <w:t>varios</w:t>
      </w:r>
      <w:r>
        <w:rPr>
          <w:spacing w:val="-8"/>
        </w:rPr>
        <w:t xml:space="preserve"> </w:t>
      </w:r>
      <w:r>
        <w:t>testimonios</w:t>
      </w:r>
      <w:r>
        <w:rPr>
          <w:spacing w:val="-7"/>
        </w:rPr>
        <w:t xml:space="preserve"> </w:t>
      </w:r>
      <w:r>
        <w:t>que</w:t>
      </w:r>
      <w:r>
        <w:rPr>
          <w:spacing w:val="-7"/>
        </w:rPr>
        <w:t xml:space="preserve"> </w:t>
      </w:r>
      <w:r>
        <w:t>demuestran</w:t>
      </w:r>
      <w:r>
        <w:rPr>
          <w:spacing w:val="-7"/>
        </w:rPr>
        <w:t xml:space="preserve"> </w:t>
      </w:r>
      <w:r>
        <w:t>que,</w:t>
      </w:r>
      <w:r>
        <w:rPr>
          <w:spacing w:val="-7"/>
        </w:rPr>
        <w:t xml:space="preserve"> </w:t>
      </w:r>
      <w:r>
        <w:t>en</w:t>
      </w:r>
      <w:r>
        <w:rPr>
          <w:spacing w:val="-7"/>
        </w:rPr>
        <w:t xml:space="preserve"> </w:t>
      </w:r>
      <w:r>
        <w:t>la</w:t>
      </w:r>
      <w:r>
        <w:rPr>
          <w:spacing w:val="-7"/>
        </w:rPr>
        <w:t xml:space="preserve"> </w:t>
      </w:r>
      <w:r>
        <w:t>práctica, en los expedientes por graves violaciones de derechos humanos, a pesar de la confidencialidad</w:t>
      </w:r>
      <w:r>
        <w:rPr>
          <w:spacing w:val="-10"/>
        </w:rPr>
        <w:t xml:space="preserve"> </w:t>
      </w:r>
      <w:r>
        <w:t>de</w:t>
      </w:r>
      <w:r>
        <w:rPr>
          <w:spacing w:val="-10"/>
        </w:rPr>
        <w:t xml:space="preserve"> </w:t>
      </w:r>
      <w:r>
        <w:t>los</w:t>
      </w:r>
      <w:r>
        <w:rPr>
          <w:spacing w:val="-10"/>
        </w:rPr>
        <w:t xml:space="preserve"> </w:t>
      </w:r>
      <w:r>
        <w:t>funcionarios</w:t>
      </w:r>
      <w:r>
        <w:rPr>
          <w:spacing w:val="-11"/>
        </w:rPr>
        <w:t xml:space="preserve"> </w:t>
      </w:r>
      <w:r>
        <w:t>o</w:t>
      </w:r>
      <w:r>
        <w:rPr>
          <w:spacing w:val="-10"/>
        </w:rPr>
        <w:t xml:space="preserve"> </w:t>
      </w:r>
      <w:r>
        <w:t>testigos,</w:t>
      </w:r>
      <w:r>
        <w:rPr>
          <w:spacing w:val="-10"/>
        </w:rPr>
        <w:t xml:space="preserve"> </w:t>
      </w:r>
      <w:r>
        <w:t>los</w:t>
      </w:r>
      <w:r>
        <w:rPr>
          <w:spacing w:val="-10"/>
        </w:rPr>
        <w:t xml:space="preserve"> </w:t>
      </w:r>
      <w:r>
        <w:t>grupos</w:t>
      </w:r>
      <w:r>
        <w:rPr>
          <w:spacing w:val="-10"/>
        </w:rPr>
        <w:t xml:space="preserve"> </w:t>
      </w:r>
      <w:r>
        <w:t>armados</w:t>
      </w:r>
      <w:r>
        <w:rPr>
          <w:spacing w:val="-10"/>
        </w:rPr>
        <w:t xml:space="preserve"> </w:t>
      </w:r>
      <w:r>
        <w:t>tuvieron</w:t>
      </w:r>
      <w:r>
        <w:rPr>
          <w:spacing w:val="-10"/>
        </w:rPr>
        <w:t xml:space="preserve"> </w:t>
      </w:r>
      <w:r>
        <w:t>plena</w:t>
      </w:r>
      <w:r>
        <w:rPr>
          <w:spacing w:val="-10"/>
        </w:rPr>
        <w:t xml:space="preserve"> </w:t>
      </w:r>
      <w:r>
        <w:t>capacidad para amedrentar a los jueces secretos. El testimonio de una exjueza que ejerció durante más de 20 años en Antioquia es elocuente. A pesar de que sus acciones correspondían a obligaciones de la justicia sin rostro, los investigados tuvieron plena disposición para amenazarla.</w:t>
      </w:r>
      <w:r>
        <w:rPr>
          <w:spacing w:val="-8"/>
        </w:rPr>
        <w:t xml:space="preserve"> </w:t>
      </w:r>
      <w:r>
        <w:t>Su</w:t>
      </w:r>
      <w:r>
        <w:rPr>
          <w:spacing w:val="-7"/>
        </w:rPr>
        <w:t xml:space="preserve"> </w:t>
      </w:r>
      <w:r>
        <w:t>caso</w:t>
      </w:r>
      <w:r>
        <w:rPr>
          <w:spacing w:val="-8"/>
        </w:rPr>
        <w:t xml:space="preserve"> </w:t>
      </w:r>
      <w:r>
        <w:t>fue</w:t>
      </w:r>
      <w:r>
        <w:rPr>
          <w:spacing w:val="-8"/>
        </w:rPr>
        <w:t xml:space="preserve"> </w:t>
      </w:r>
      <w:r>
        <w:t>tan</w:t>
      </w:r>
      <w:r>
        <w:rPr>
          <w:spacing w:val="-7"/>
        </w:rPr>
        <w:t xml:space="preserve"> </w:t>
      </w:r>
      <w:r>
        <w:t>escandaloso</w:t>
      </w:r>
      <w:r>
        <w:rPr>
          <w:spacing w:val="-7"/>
        </w:rPr>
        <w:t xml:space="preserve"> </w:t>
      </w:r>
      <w:r>
        <w:t>que</w:t>
      </w:r>
      <w:r>
        <w:rPr>
          <w:spacing w:val="-8"/>
        </w:rPr>
        <w:t xml:space="preserve"> </w:t>
      </w:r>
      <w:r>
        <w:t>alcanzó</w:t>
      </w:r>
      <w:r>
        <w:rPr>
          <w:spacing w:val="-7"/>
        </w:rPr>
        <w:t xml:space="preserve"> </w:t>
      </w:r>
      <w:r>
        <w:t>a</w:t>
      </w:r>
      <w:r>
        <w:rPr>
          <w:spacing w:val="-7"/>
        </w:rPr>
        <w:t xml:space="preserve"> </w:t>
      </w:r>
      <w:r>
        <w:t>discutirse</w:t>
      </w:r>
      <w:r>
        <w:rPr>
          <w:spacing w:val="-8"/>
        </w:rPr>
        <w:t xml:space="preserve"> </w:t>
      </w:r>
      <w:r>
        <w:t>en</w:t>
      </w:r>
      <w:r>
        <w:rPr>
          <w:spacing w:val="-7"/>
        </w:rPr>
        <w:t xml:space="preserve"> </w:t>
      </w:r>
      <w:r>
        <w:t>un</w:t>
      </w:r>
      <w:r>
        <w:rPr>
          <w:spacing w:val="-8"/>
        </w:rPr>
        <w:t xml:space="preserve"> </w:t>
      </w:r>
      <w:r>
        <w:t>consejo</w:t>
      </w:r>
      <w:r>
        <w:rPr>
          <w:spacing w:val="-7"/>
        </w:rPr>
        <w:t xml:space="preserve"> </w:t>
      </w:r>
      <w:r>
        <w:t>de</w:t>
      </w:r>
      <w:r>
        <w:rPr>
          <w:spacing w:val="-7"/>
        </w:rPr>
        <w:t xml:space="preserve"> </w:t>
      </w:r>
      <w:r>
        <w:t>seguridad de Medellín, en 2006. Meses después, un desconocido ingresó a su despacho. Ella estaba sola,</w:t>
      </w:r>
      <w:r>
        <w:rPr>
          <w:spacing w:val="37"/>
        </w:rPr>
        <w:t xml:space="preserve"> </w:t>
      </w:r>
      <w:r>
        <w:t>pues</w:t>
      </w:r>
      <w:r>
        <w:rPr>
          <w:spacing w:val="40"/>
        </w:rPr>
        <w:t xml:space="preserve"> </w:t>
      </w:r>
      <w:r>
        <w:t>ese</w:t>
      </w:r>
      <w:r>
        <w:rPr>
          <w:spacing w:val="40"/>
        </w:rPr>
        <w:t xml:space="preserve"> </w:t>
      </w:r>
      <w:r>
        <w:t>día</w:t>
      </w:r>
      <w:r>
        <w:rPr>
          <w:spacing w:val="39"/>
        </w:rPr>
        <w:t xml:space="preserve"> </w:t>
      </w:r>
      <w:r>
        <w:t>había</w:t>
      </w:r>
      <w:r>
        <w:rPr>
          <w:spacing w:val="39"/>
        </w:rPr>
        <w:t xml:space="preserve"> </w:t>
      </w:r>
      <w:r>
        <w:t>paro</w:t>
      </w:r>
      <w:r>
        <w:rPr>
          <w:spacing w:val="39"/>
        </w:rPr>
        <w:t xml:space="preserve"> </w:t>
      </w:r>
      <w:r>
        <w:t>judicial.</w:t>
      </w:r>
      <w:r>
        <w:rPr>
          <w:spacing w:val="39"/>
        </w:rPr>
        <w:t xml:space="preserve"> </w:t>
      </w:r>
      <w:r>
        <w:t>Sin</w:t>
      </w:r>
      <w:r>
        <w:rPr>
          <w:spacing w:val="39"/>
        </w:rPr>
        <w:t xml:space="preserve"> </w:t>
      </w:r>
      <w:r>
        <w:t>preámbulos</w:t>
      </w:r>
      <w:r>
        <w:rPr>
          <w:spacing w:val="40"/>
        </w:rPr>
        <w:t xml:space="preserve"> </w:t>
      </w:r>
      <w:r>
        <w:t>el</w:t>
      </w:r>
      <w:r>
        <w:rPr>
          <w:spacing w:val="40"/>
        </w:rPr>
        <w:t xml:space="preserve"> </w:t>
      </w:r>
      <w:r>
        <w:t>sujeto</w:t>
      </w:r>
      <w:r>
        <w:rPr>
          <w:spacing w:val="39"/>
        </w:rPr>
        <w:t xml:space="preserve"> </w:t>
      </w:r>
      <w:r>
        <w:t>le</w:t>
      </w:r>
      <w:r>
        <w:rPr>
          <w:spacing w:val="40"/>
        </w:rPr>
        <w:t xml:space="preserve"> </w:t>
      </w:r>
      <w:r>
        <w:t>dijo:</w:t>
      </w:r>
      <w:r>
        <w:rPr>
          <w:spacing w:val="40"/>
        </w:rPr>
        <w:t xml:space="preserve"> </w:t>
      </w:r>
      <w:r>
        <w:t>«Vea,</w:t>
      </w:r>
      <w:r>
        <w:rPr>
          <w:spacing w:val="39"/>
        </w:rPr>
        <w:t xml:space="preserve"> </w:t>
      </w:r>
      <w:r>
        <w:t>yo</w:t>
      </w:r>
      <w:r>
        <w:rPr>
          <w:spacing w:val="39"/>
        </w:rPr>
        <w:t xml:space="preserve"> </w:t>
      </w:r>
      <w:r>
        <w:rPr>
          <w:spacing w:val="-2"/>
        </w:rPr>
        <w:t>estoy</w:t>
      </w:r>
      <w:bookmarkStart w:id="1153" w:name="_bookmark1018"/>
      <w:bookmarkEnd w:id="1153"/>
      <w:r w:rsidR="00A05B2E">
        <w:rPr>
          <w:spacing w:val="-2"/>
        </w:rPr>
        <w:t xml:space="preserve"> </w:t>
      </w:r>
      <w:r>
        <w:t>armado», y sacó de la parte trasera de la pretina del pantalón un arma. Luego agregó: «Esta arma tiene silenciador. Yo puedo matarla en este momento, pero yo quiero hablar con los jefes suyos». En efecto, tres magistrados hablaron con él, aunque la jueza no fue capaz de decirles que estaba armado. «Él conversó con ellos y les dijo que era inminente que yo me moría. Y</w:t>
      </w:r>
      <w:r>
        <w:rPr>
          <w:spacing w:val="-1"/>
        </w:rPr>
        <w:t xml:space="preserve"> </w:t>
      </w:r>
      <w:r>
        <w:t>pidió una</w:t>
      </w:r>
      <w:r>
        <w:rPr>
          <w:spacing w:val="-1"/>
        </w:rPr>
        <w:t xml:space="preserve"> </w:t>
      </w:r>
      <w:r>
        <w:t>ayuda económica</w:t>
      </w:r>
      <w:r>
        <w:rPr>
          <w:spacing w:val="-1"/>
        </w:rPr>
        <w:t xml:space="preserve"> </w:t>
      </w:r>
      <w:r>
        <w:t>por</w:t>
      </w:r>
      <w:r>
        <w:rPr>
          <w:spacing w:val="-1"/>
        </w:rPr>
        <w:t xml:space="preserve"> </w:t>
      </w:r>
      <w:r>
        <w:t>la</w:t>
      </w:r>
      <w:r>
        <w:rPr>
          <w:spacing w:val="-1"/>
        </w:rPr>
        <w:t xml:space="preserve"> </w:t>
      </w:r>
      <w:r>
        <w:t>información</w:t>
      </w:r>
      <w:r>
        <w:rPr>
          <w:spacing w:val="-1"/>
        </w:rPr>
        <w:t xml:space="preserve"> </w:t>
      </w:r>
      <w:r>
        <w:t>que</w:t>
      </w:r>
      <w:r>
        <w:rPr>
          <w:spacing w:val="-1"/>
        </w:rPr>
        <w:t xml:space="preserve"> </w:t>
      </w:r>
      <w:r>
        <w:t>estaba</w:t>
      </w:r>
      <w:r>
        <w:rPr>
          <w:spacing w:val="-1"/>
        </w:rPr>
        <w:t xml:space="preserve"> </w:t>
      </w:r>
      <w:r>
        <w:t>dando […].</w:t>
      </w:r>
      <w:r>
        <w:rPr>
          <w:spacing w:val="-1"/>
        </w:rPr>
        <w:t xml:space="preserve"> </w:t>
      </w:r>
      <w:r>
        <w:t xml:space="preserve">La solución </w:t>
      </w:r>
      <w:r>
        <w:rPr>
          <w:spacing w:val="-2"/>
        </w:rPr>
        <w:t>que</w:t>
      </w:r>
      <w:r>
        <w:rPr>
          <w:spacing w:val="-7"/>
        </w:rPr>
        <w:t xml:space="preserve"> </w:t>
      </w:r>
      <w:r>
        <w:rPr>
          <w:spacing w:val="-2"/>
        </w:rPr>
        <w:t>se</w:t>
      </w:r>
      <w:r>
        <w:rPr>
          <w:spacing w:val="-7"/>
        </w:rPr>
        <w:t xml:space="preserve"> </w:t>
      </w:r>
      <w:r>
        <w:rPr>
          <w:spacing w:val="-2"/>
        </w:rPr>
        <w:t>encontró</w:t>
      </w:r>
      <w:r>
        <w:rPr>
          <w:spacing w:val="-7"/>
        </w:rPr>
        <w:t xml:space="preserve"> </w:t>
      </w:r>
      <w:r>
        <w:rPr>
          <w:spacing w:val="-2"/>
        </w:rPr>
        <w:t>fue</w:t>
      </w:r>
      <w:r>
        <w:rPr>
          <w:spacing w:val="-7"/>
        </w:rPr>
        <w:t xml:space="preserve"> </w:t>
      </w:r>
      <w:r>
        <w:rPr>
          <w:spacing w:val="-2"/>
        </w:rPr>
        <w:t>que</w:t>
      </w:r>
      <w:r>
        <w:rPr>
          <w:spacing w:val="-7"/>
        </w:rPr>
        <w:t xml:space="preserve"> </w:t>
      </w:r>
      <w:r>
        <w:rPr>
          <w:spacing w:val="-2"/>
        </w:rPr>
        <w:t>yo</w:t>
      </w:r>
      <w:r>
        <w:rPr>
          <w:spacing w:val="-7"/>
        </w:rPr>
        <w:t xml:space="preserve"> </w:t>
      </w:r>
      <w:r>
        <w:rPr>
          <w:spacing w:val="-2"/>
        </w:rPr>
        <w:t>saliera</w:t>
      </w:r>
      <w:r>
        <w:rPr>
          <w:spacing w:val="-8"/>
        </w:rPr>
        <w:t xml:space="preserve"> </w:t>
      </w:r>
      <w:r>
        <w:rPr>
          <w:spacing w:val="-2"/>
        </w:rPr>
        <w:t>a</w:t>
      </w:r>
      <w:r>
        <w:rPr>
          <w:spacing w:val="-7"/>
        </w:rPr>
        <w:t xml:space="preserve"> </w:t>
      </w:r>
      <w:r>
        <w:rPr>
          <w:spacing w:val="-2"/>
        </w:rPr>
        <w:t>vacaciones</w:t>
      </w:r>
      <w:r>
        <w:rPr>
          <w:spacing w:val="-7"/>
        </w:rPr>
        <w:t xml:space="preserve"> </w:t>
      </w:r>
      <w:r>
        <w:rPr>
          <w:spacing w:val="-2"/>
        </w:rPr>
        <w:t>mientras</w:t>
      </w:r>
      <w:r>
        <w:rPr>
          <w:spacing w:val="-8"/>
        </w:rPr>
        <w:t xml:space="preserve"> </w:t>
      </w:r>
      <w:r>
        <w:rPr>
          <w:spacing w:val="-2"/>
        </w:rPr>
        <w:t>buscaban</w:t>
      </w:r>
      <w:r>
        <w:rPr>
          <w:spacing w:val="-7"/>
        </w:rPr>
        <w:t xml:space="preserve"> </w:t>
      </w:r>
      <w:r>
        <w:rPr>
          <w:spacing w:val="-2"/>
        </w:rPr>
        <w:t>una</w:t>
      </w:r>
      <w:r>
        <w:rPr>
          <w:spacing w:val="-7"/>
        </w:rPr>
        <w:t xml:space="preserve"> </w:t>
      </w:r>
      <w:r>
        <w:rPr>
          <w:spacing w:val="-2"/>
        </w:rPr>
        <w:t>forma</w:t>
      </w:r>
      <w:r>
        <w:rPr>
          <w:spacing w:val="-7"/>
        </w:rPr>
        <w:t xml:space="preserve"> </w:t>
      </w:r>
      <w:r>
        <w:rPr>
          <w:spacing w:val="-2"/>
        </w:rPr>
        <w:t>de</w:t>
      </w:r>
      <w:r>
        <w:rPr>
          <w:spacing w:val="-7"/>
        </w:rPr>
        <w:t xml:space="preserve"> </w:t>
      </w:r>
      <w:r>
        <w:rPr>
          <w:spacing w:val="-2"/>
        </w:rPr>
        <w:t xml:space="preserve">protegerme». </w:t>
      </w:r>
      <w:r>
        <w:t>Finalmente,</w:t>
      </w:r>
      <w:r>
        <w:rPr>
          <w:spacing w:val="-5"/>
        </w:rPr>
        <w:t xml:space="preserve"> </w:t>
      </w:r>
      <w:r>
        <w:t>salió</w:t>
      </w:r>
      <w:r>
        <w:rPr>
          <w:spacing w:val="-4"/>
        </w:rPr>
        <w:t xml:space="preserve"> </w:t>
      </w:r>
      <w:r>
        <w:t>al</w:t>
      </w:r>
      <w:r>
        <w:rPr>
          <w:spacing w:val="-3"/>
        </w:rPr>
        <w:t xml:space="preserve"> </w:t>
      </w:r>
      <w:r>
        <w:t>exterior.</w:t>
      </w:r>
      <w:r>
        <w:rPr>
          <w:spacing w:val="-4"/>
        </w:rPr>
        <w:t xml:space="preserve"> </w:t>
      </w:r>
      <w:r>
        <w:t>El</w:t>
      </w:r>
      <w:r>
        <w:rPr>
          <w:spacing w:val="-3"/>
        </w:rPr>
        <w:t xml:space="preserve"> </w:t>
      </w:r>
      <w:r>
        <w:t>resumen</w:t>
      </w:r>
      <w:r>
        <w:rPr>
          <w:spacing w:val="-4"/>
        </w:rPr>
        <w:t xml:space="preserve"> </w:t>
      </w:r>
      <w:r>
        <w:t>de</w:t>
      </w:r>
      <w:r>
        <w:rPr>
          <w:spacing w:val="-3"/>
        </w:rPr>
        <w:t xml:space="preserve"> </w:t>
      </w:r>
      <w:r>
        <w:t>este</w:t>
      </w:r>
      <w:r>
        <w:rPr>
          <w:spacing w:val="-3"/>
        </w:rPr>
        <w:t xml:space="preserve"> </w:t>
      </w:r>
      <w:r>
        <w:t>testimonio</w:t>
      </w:r>
      <w:r>
        <w:rPr>
          <w:spacing w:val="-4"/>
        </w:rPr>
        <w:t xml:space="preserve"> </w:t>
      </w:r>
      <w:r>
        <w:t>lo</w:t>
      </w:r>
      <w:r>
        <w:rPr>
          <w:spacing w:val="-4"/>
        </w:rPr>
        <w:t xml:space="preserve"> </w:t>
      </w:r>
      <w:r>
        <w:t>constituye</w:t>
      </w:r>
      <w:r>
        <w:rPr>
          <w:spacing w:val="-3"/>
        </w:rPr>
        <w:t xml:space="preserve"> </w:t>
      </w:r>
      <w:r>
        <w:t>la</w:t>
      </w:r>
      <w:r>
        <w:rPr>
          <w:spacing w:val="-3"/>
        </w:rPr>
        <w:t xml:space="preserve"> </w:t>
      </w:r>
      <w:r>
        <w:t>respuesta</w:t>
      </w:r>
      <w:r>
        <w:rPr>
          <w:spacing w:val="-5"/>
        </w:rPr>
        <w:t xml:space="preserve"> </w:t>
      </w:r>
      <w:r>
        <w:t>dada</w:t>
      </w:r>
      <w:r>
        <w:rPr>
          <w:spacing w:val="-3"/>
        </w:rPr>
        <w:t xml:space="preserve"> </w:t>
      </w:r>
      <w:r>
        <w:t>a la exjueza sin rostro por el individuo que entró con un arma a su sede del Tribunal de Medellín: «Nosotros entramos aquí cuando queramos»</w:t>
      </w:r>
      <w:r w:rsidR="00A05B2E">
        <w:rPr>
          <w:rStyle w:val="Refdenotaalpie"/>
        </w:rPr>
        <w:footnoteReference w:id="931"/>
      </w:r>
      <w:r>
        <w:t>.</w:t>
      </w:r>
    </w:p>
    <w:p w:rsidR="0011361F" w:rsidRDefault="00AF18A5" w:rsidP="004A6EF4">
      <w:pPr>
        <w:pStyle w:val="Ttulo3"/>
        <w:numPr>
          <w:ilvl w:val="1"/>
          <w:numId w:val="16"/>
        </w:numPr>
      </w:pPr>
      <w:bookmarkStart w:id="1154" w:name="8.10._Excepciones_normalizadas"/>
      <w:bookmarkStart w:id="1155" w:name="_Toc112399635"/>
      <w:bookmarkEnd w:id="1154"/>
      <w:r>
        <w:t>Excepciones</w:t>
      </w:r>
      <w:r>
        <w:rPr>
          <w:spacing w:val="-3"/>
        </w:rPr>
        <w:t xml:space="preserve"> </w:t>
      </w:r>
      <w:r w:rsidRPr="00A05B2E">
        <w:t>normalizadas</w:t>
      </w:r>
      <w:bookmarkEnd w:id="1155"/>
    </w:p>
    <w:p w:rsidR="003804AC" w:rsidRDefault="00AF18A5" w:rsidP="00A05B2E">
      <w:r>
        <w:lastRenderedPageBreak/>
        <w:t>El</w:t>
      </w:r>
      <w:r>
        <w:rPr>
          <w:spacing w:val="-15"/>
        </w:rPr>
        <w:t xml:space="preserve"> </w:t>
      </w:r>
      <w:r>
        <w:t>informe</w:t>
      </w:r>
      <w:r>
        <w:rPr>
          <w:spacing w:val="-15"/>
        </w:rPr>
        <w:t xml:space="preserve"> </w:t>
      </w:r>
      <w:r>
        <w:t>de</w:t>
      </w:r>
      <w:r>
        <w:rPr>
          <w:spacing w:val="-15"/>
        </w:rPr>
        <w:t xml:space="preserve"> </w:t>
      </w:r>
      <w:r>
        <w:t>la</w:t>
      </w:r>
      <w:r>
        <w:rPr>
          <w:spacing w:val="-15"/>
        </w:rPr>
        <w:t xml:space="preserve"> </w:t>
      </w:r>
      <w:r>
        <w:rPr>
          <w:i/>
        </w:rPr>
        <w:t>Comisión</w:t>
      </w:r>
      <w:r>
        <w:rPr>
          <w:i/>
          <w:spacing w:val="-15"/>
        </w:rPr>
        <w:t xml:space="preserve"> </w:t>
      </w:r>
      <w:r>
        <w:rPr>
          <w:i/>
        </w:rPr>
        <w:t>Histórica</w:t>
      </w:r>
      <w:r>
        <w:rPr>
          <w:i/>
          <w:spacing w:val="-15"/>
        </w:rPr>
        <w:t xml:space="preserve"> </w:t>
      </w:r>
      <w:r>
        <w:rPr>
          <w:i/>
        </w:rPr>
        <w:t>del</w:t>
      </w:r>
      <w:r>
        <w:rPr>
          <w:i/>
          <w:spacing w:val="-15"/>
        </w:rPr>
        <w:t xml:space="preserve"> </w:t>
      </w:r>
      <w:r>
        <w:rPr>
          <w:i/>
        </w:rPr>
        <w:t>Conflicto</w:t>
      </w:r>
      <w:r>
        <w:rPr>
          <w:i/>
          <w:spacing w:val="-15"/>
        </w:rPr>
        <w:t xml:space="preserve"> </w:t>
      </w:r>
      <w:r>
        <w:rPr>
          <w:i/>
        </w:rPr>
        <w:t>y</w:t>
      </w:r>
      <w:r>
        <w:rPr>
          <w:i/>
          <w:spacing w:val="-15"/>
        </w:rPr>
        <w:t xml:space="preserve"> </w:t>
      </w:r>
      <w:r>
        <w:rPr>
          <w:i/>
        </w:rPr>
        <w:t>sus</w:t>
      </w:r>
      <w:r>
        <w:rPr>
          <w:i/>
          <w:spacing w:val="-15"/>
        </w:rPr>
        <w:t xml:space="preserve"> </w:t>
      </w:r>
      <w:r>
        <w:rPr>
          <w:i/>
        </w:rPr>
        <w:t>Víctimas</w:t>
      </w:r>
      <w:r>
        <w:rPr>
          <w:i/>
          <w:spacing w:val="-15"/>
        </w:rPr>
        <w:t xml:space="preserve"> </w:t>
      </w:r>
      <w:r>
        <w:t>enmarca</w:t>
      </w:r>
      <w:r>
        <w:rPr>
          <w:spacing w:val="-15"/>
        </w:rPr>
        <w:t xml:space="preserve"> </w:t>
      </w:r>
      <w:r>
        <w:t>la</w:t>
      </w:r>
      <w:r>
        <w:rPr>
          <w:spacing w:val="-15"/>
        </w:rPr>
        <w:t xml:space="preserve"> </w:t>
      </w:r>
      <w:r>
        <w:t>impunidad</w:t>
      </w:r>
      <w:r>
        <w:rPr>
          <w:spacing w:val="-15"/>
        </w:rPr>
        <w:t xml:space="preserve"> </w:t>
      </w:r>
      <w:r>
        <w:t>como una</w:t>
      </w:r>
      <w:r>
        <w:rPr>
          <w:spacing w:val="-13"/>
        </w:rPr>
        <w:t xml:space="preserve"> </w:t>
      </w:r>
      <w:r>
        <w:t>herramienta</w:t>
      </w:r>
      <w:r>
        <w:rPr>
          <w:spacing w:val="-14"/>
        </w:rPr>
        <w:t xml:space="preserve"> </w:t>
      </w:r>
      <w:r>
        <w:t>institucionalizada</w:t>
      </w:r>
      <w:r>
        <w:rPr>
          <w:spacing w:val="-13"/>
        </w:rPr>
        <w:t xml:space="preserve"> </w:t>
      </w:r>
      <w:r>
        <w:t>de</w:t>
      </w:r>
      <w:r>
        <w:rPr>
          <w:spacing w:val="-14"/>
        </w:rPr>
        <w:t xml:space="preserve"> </w:t>
      </w:r>
      <w:r>
        <w:t>la</w:t>
      </w:r>
      <w:r>
        <w:rPr>
          <w:spacing w:val="-14"/>
        </w:rPr>
        <w:t xml:space="preserve"> </w:t>
      </w:r>
      <w:r>
        <w:t>guerra</w:t>
      </w:r>
      <w:r>
        <w:rPr>
          <w:spacing w:val="-14"/>
        </w:rPr>
        <w:t xml:space="preserve"> </w:t>
      </w:r>
      <w:r>
        <w:t>contrainsurgente</w:t>
      </w:r>
      <w:r>
        <w:rPr>
          <w:spacing w:val="-13"/>
        </w:rPr>
        <w:t xml:space="preserve"> </w:t>
      </w:r>
      <w:r>
        <w:t>que</w:t>
      </w:r>
      <w:r>
        <w:rPr>
          <w:spacing w:val="-14"/>
        </w:rPr>
        <w:t xml:space="preserve"> </w:t>
      </w:r>
      <w:r>
        <w:t>actúa</w:t>
      </w:r>
      <w:r>
        <w:rPr>
          <w:spacing w:val="-14"/>
        </w:rPr>
        <w:t xml:space="preserve"> </w:t>
      </w:r>
      <w:r>
        <w:t>en</w:t>
      </w:r>
      <w:r>
        <w:rPr>
          <w:spacing w:val="-13"/>
        </w:rPr>
        <w:t xml:space="preserve"> </w:t>
      </w:r>
      <w:r>
        <w:t>conjunción</w:t>
      </w:r>
      <w:r>
        <w:rPr>
          <w:spacing w:val="-13"/>
        </w:rPr>
        <w:t xml:space="preserve"> </w:t>
      </w:r>
      <w:r>
        <w:t>con la política criminal y la legislación de guerra</w:t>
      </w:r>
      <w:r w:rsidR="00A05B2E">
        <w:rPr>
          <w:rStyle w:val="Refdenotaalpie"/>
        </w:rPr>
        <w:footnoteReference w:id="932"/>
      </w:r>
      <w:r>
        <w:t>. Las medidas políticas llamadas «de mano dura» han sido en otros momentos mecanismos de excepción. Con estas, el respeto por los derechos humanos se ha visto vulnerado. Uno de esos mecanismos ha sido las detenciones arbitrarias, a veces masivas, sin pruebas ni acusaciones específicas, contra personas consideradas sospechosas por su pertenencia grupal o geográfica. Entre 1993 y 1996, por ejemplo,</w:t>
      </w:r>
      <w:r>
        <w:rPr>
          <w:spacing w:val="-8"/>
        </w:rPr>
        <w:t xml:space="preserve"> </w:t>
      </w:r>
      <w:r>
        <w:t>«las</w:t>
      </w:r>
      <w:r>
        <w:rPr>
          <w:spacing w:val="-8"/>
        </w:rPr>
        <w:t xml:space="preserve"> </w:t>
      </w:r>
      <w:r>
        <w:t>Fuerzas</w:t>
      </w:r>
      <w:r>
        <w:rPr>
          <w:spacing w:val="-8"/>
        </w:rPr>
        <w:t xml:space="preserve"> </w:t>
      </w:r>
      <w:r>
        <w:t>Armadas</w:t>
      </w:r>
      <w:r>
        <w:rPr>
          <w:spacing w:val="-8"/>
        </w:rPr>
        <w:t xml:space="preserve"> </w:t>
      </w:r>
      <w:r>
        <w:t>detuvieron</w:t>
      </w:r>
      <w:r>
        <w:rPr>
          <w:spacing w:val="-8"/>
        </w:rPr>
        <w:t xml:space="preserve"> </w:t>
      </w:r>
      <w:r>
        <w:t>a</w:t>
      </w:r>
      <w:r>
        <w:rPr>
          <w:spacing w:val="-8"/>
        </w:rPr>
        <w:t xml:space="preserve"> </w:t>
      </w:r>
      <w:r>
        <w:t>6.019</w:t>
      </w:r>
      <w:r>
        <w:rPr>
          <w:spacing w:val="-8"/>
        </w:rPr>
        <w:t xml:space="preserve"> </w:t>
      </w:r>
      <w:r>
        <w:t>personas</w:t>
      </w:r>
      <w:r>
        <w:rPr>
          <w:spacing w:val="-8"/>
        </w:rPr>
        <w:t xml:space="preserve"> </w:t>
      </w:r>
      <w:r>
        <w:t>por</w:t>
      </w:r>
      <w:r>
        <w:rPr>
          <w:spacing w:val="-8"/>
        </w:rPr>
        <w:t xml:space="preserve"> </w:t>
      </w:r>
      <w:r>
        <w:t>sospechar</w:t>
      </w:r>
      <w:r>
        <w:rPr>
          <w:spacing w:val="-9"/>
        </w:rPr>
        <w:t xml:space="preserve"> </w:t>
      </w:r>
      <w:r>
        <w:t>que</w:t>
      </w:r>
      <w:r>
        <w:rPr>
          <w:spacing w:val="-8"/>
        </w:rPr>
        <w:t xml:space="preserve"> </w:t>
      </w:r>
      <w:r>
        <w:t>pertenecían</w:t>
      </w:r>
      <w:r>
        <w:rPr>
          <w:spacing w:val="-9"/>
        </w:rPr>
        <w:t xml:space="preserve"> </w:t>
      </w:r>
      <w:r>
        <w:t>a organizaciones guerrilleras; en 5.500 de los casos, el 92</w:t>
      </w:r>
      <w:r>
        <w:rPr>
          <w:spacing w:val="-2"/>
        </w:rPr>
        <w:t xml:space="preserve"> </w:t>
      </w:r>
      <w:r>
        <w:t>%, la Fiscalía General de la Nación determinó que las pruebas eran insuficientes para instruir cargos»</w:t>
      </w:r>
      <w:r w:rsidR="00A05B2E">
        <w:rPr>
          <w:rStyle w:val="Refdenotaalpie"/>
        </w:rPr>
        <w:footnoteReference w:id="933"/>
      </w:r>
      <w:r>
        <w:t>.</w:t>
      </w:r>
    </w:p>
    <w:p w:rsidR="003804AC" w:rsidRDefault="00AF18A5" w:rsidP="00A05B2E">
      <w:r>
        <w:t>Este ámbito de sospecha y abuso se sumó a la responsabilidad de los organismos de inteligencia</w:t>
      </w:r>
      <w:r>
        <w:rPr>
          <w:spacing w:val="-10"/>
        </w:rPr>
        <w:t xml:space="preserve"> </w:t>
      </w:r>
      <w:r>
        <w:t>que,</w:t>
      </w:r>
      <w:r>
        <w:rPr>
          <w:spacing w:val="-9"/>
        </w:rPr>
        <w:t xml:space="preserve"> </w:t>
      </w:r>
      <w:r>
        <w:t>en</w:t>
      </w:r>
      <w:r>
        <w:rPr>
          <w:spacing w:val="-9"/>
        </w:rPr>
        <w:t xml:space="preserve"> </w:t>
      </w:r>
      <w:r>
        <w:t>distintos</w:t>
      </w:r>
      <w:r>
        <w:rPr>
          <w:spacing w:val="-9"/>
        </w:rPr>
        <w:t xml:space="preserve"> </w:t>
      </w:r>
      <w:r>
        <w:t>momentos</w:t>
      </w:r>
      <w:r>
        <w:rPr>
          <w:spacing w:val="-9"/>
        </w:rPr>
        <w:t xml:space="preserve"> </w:t>
      </w:r>
      <w:r>
        <w:t>del</w:t>
      </w:r>
      <w:r>
        <w:rPr>
          <w:spacing w:val="-9"/>
        </w:rPr>
        <w:t xml:space="preserve"> </w:t>
      </w:r>
      <w:r>
        <w:t>conflicto</w:t>
      </w:r>
      <w:r>
        <w:rPr>
          <w:spacing w:val="-9"/>
        </w:rPr>
        <w:t xml:space="preserve"> </w:t>
      </w:r>
      <w:r>
        <w:t>armado,</w:t>
      </w:r>
      <w:r>
        <w:rPr>
          <w:spacing w:val="-11"/>
        </w:rPr>
        <w:t xml:space="preserve"> </w:t>
      </w:r>
      <w:r>
        <w:t>jugaron</w:t>
      </w:r>
      <w:r>
        <w:rPr>
          <w:spacing w:val="-9"/>
        </w:rPr>
        <w:t xml:space="preserve"> </w:t>
      </w:r>
      <w:r>
        <w:t>un</w:t>
      </w:r>
      <w:r>
        <w:rPr>
          <w:spacing w:val="-9"/>
        </w:rPr>
        <w:t xml:space="preserve"> </w:t>
      </w:r>
      <w:r>
        <w:t>papel</w:t>
      </w:r>
      <w:r>
        <w:rPr>
          <w:spacing w:val="-9"/>
        </w:rPr>
        <w:t xml:space="preserve"> </w:t>
      </w:r>
      <w:r>
        <w:t>determinante en</w:t>
      </w:r>
      <w:r>
        <w:rPr>
          <w:spacing w:val="-8"/>
        </w:rPr>
        <w:t xml:space="preserve"> </w:t>
      </w:r>
      <w:r>
        <w:t>la</w:t>
      </w:r>
      <w:r>
        <w:rPr>
          <w:spacing w:val="-9"/>
        </w:rPr>
        <w:t xml:space="preserve"> </w:t>
      </w:r>
      <w:r>
        <w:t>prevención</w:t>
      </w:r>
      <w:r>
        <w:rPr>
          <w:spacing w:val="-8"/>
        </w:rPr>
        <w:t xml:space="preserve"> </w:t>
      </w:r>
      <w:r>
        <w:t>y</w:t>
      </w:r>
      <w:r>
        <w:rPr>
          <w:spacing w:val="-8"/>
        </w:rPr>
        <w:t xml:space="preserve"> </w:t>
      </w:r>
      <w:r>
        <w:t>persecución</w:t>
      </w:r>
      <w:r>
        <w:rPr>
          <w:spacing w:val="-8"/>
        </w:rPr>
        <w:t xml:space="preserve"> </w:t>
      </w:r>
      <w:r>
        <w:t>del</w:t>
      </w:r>
      <w:r>
        <w:rPr>
          <w:spacing w:val="-8"/>
        </w:rPr>
        <w:t xml:space="preserve"> </w:t>
      </w:r>
      <w:r>
        <w:t>delito,</w:t>
      </w:r>
      <w:r>
        <w:rPr>
          <w:spacing w:val="-8"/>
        </w:rPr>
        <w:t xml:space="preserve"> </w:t>
      </w:r>
      <w:r>
        <w:t>pero</w:t>
      </w:r>
      <w:r>
        <w:rPr>
          <w:spacing w:val="-8"/>
        </w:rPr>
        <w:t xml:space="preserve"> </w:t>
      </w:r>
      <w:r>
        <w:t>también</w:t>
      </w:r>
      <w:r>
        <w:rPr>
          <w:spacing w:val="-9"/>
        </w:rPr>
        <w:t xml:space="preserve"> </w:t>
      </w:r>
      <w:r>
        <w:t>en</w:t>
      </w:r>
      <w:r>
        <w:rPr>
          <w:spacing w:val="-8"/>
        </w:rPr>
        <w:t xml:space="preserve"> </w:t>
      </w:r>
      <w:r>
        <w:t>la</w:t>
      </w:r>
      <w:r>
        <w:rPr>
          <w:spacing w:val="-9"/>
        </w:rPr>
        <w:t xml:space="preserve"> </w:t>
      </w:r>
      <w:r>
        <w:t>composición</w:t>
      </w:r>
      <w:r>
        <w:rPr>
          <w:spacing w:val="-10"/>
        </w:rPr>
        <w:t xml:space="preserve"> </w:t>
      </w:r>
      <w:r>
        <w:t>de</w:t>
      </w:r>
      <w:r>
        <w:rPr>
          <w:spacing w:val="-8"/>
        </w:rPr>
        <w:t xml:space="preserve"> </w:t>
      </w:r>
      <w:r>
        <w:t>los</w:t>
      </w:r>
      <w:r>
        <w:rPr>
          <w:spacing w:val="-9"/>
        </w:rPr>
        <w:t xml:space="preserve"> </w:t>
      </w:r>
      <w:r>
        <w:t>entramados criminales. Hubo una misma razón detrás del paso del Servicio de Inteligencia Colombiano (SIC)</w:t>
      </w:r>
      <w:r>
        <w:rPr>
          <w:spacing w:val="-3"/>
        </w:rPr>
        <w:t xml:space="preserve"> </w:t>
      </w:r>
      <w:r>
        <w:t>al</w:t>
      </w:r>
      <w:r>
        <w:rPr>
          <w:spacing w:val="-2"/>
        </w:rPr>
        <w:t xml:space="preserve"> </w:t>
      </w:r>
      <w:r>
        <w:t>Departamento</w:t>
      </w:r>
      <w:r>
        <w:rPr>
          <w:spacing w:val="-5"/>
        </w:rPr>
        <w:t xml:space="preserve"> </w:t>
      </w:r>
      <w:r>
        <w:t>Administrativo</w:t>
      </w:r>
      <w:r>
        <w:rPr>
          <w:spacing w:val="-2"/>
        </w:rPr>
        <w:t xml:space="preserve"> </w:t>
      </w:r>
      <w:r>
        <w:t>de</w:t>
      </w:r>
      <w:r>
        <w:rPr>
          <w:spacing w:val="-3"/>
        </w:rPr>
        <w:t xml:space="preserve"> </w:t>
      </w:r>
      <w:r>
        <w:t>Seguridad</w:t>
      </w:r>
      <w:r>
        <w:rPr>
          <w:spacing w:val="-2"/>
        </w:rPr>
        <w:t xml:space="preserve"> </w:t>
      </w:r>
      <w:r>
        <w:t>(DAS),</w:t>
      </w:r>
      <w:r>
        <w:rPr>
          <w:spacing w:val="-2"/>
        </w:rPr>
        <w:t xml:space="preserve"> </w:t>
      </w:r>
      <w:r>
        <w:t>en</w:t>
      </w:r>
      <w:r>
        <w:rPr>
          <w:spacing w:val="-3"/>
        </w:rPr>
        <w:t xml:space="preserve"> </w:t>
      </w:r>
      <w:r>
        <w:t>1960;</w:t>
      </w:r>
      <w:r>
        <w:rPr>
          <w:spacing w:val="-2"/>
        </w:rPr>
        <w:t xml:space="preserve"> </w:t>
      </w:r>
      <w:r>
        <w:t>de</w:t>
      </w:r>
      <w:r>
        <w:rPr>
          <w:spacing w:val="-3"/>
        </w:rPr>
        <w:t xml:space="preserve"> </w:t>
      </w:r>
      <w:r>
        <w:t>la</w:t>
      </w:r>
      <w:r>
        <w:rPr>
          <w:spacing w:val="-2"/>
        </w:rPr>
        <w:t xml:space="preserve"> </w:t>
      </w:r>
      <w:r>
        <w:t>desactivación</w:t>
      </w:r>
      <w:r>
        <w:rPr>
          <w:spacing w:val="-2"/>
        </w:rPr>
        <w:t xml:space="preserve"> </w:t>
      </w:r>
      <w:r>
        <w:rPr>
          <w:spacing w:val="-5"/>
        </w:rPr>
        <w:t>de</w:t>
      </w:r>
      <w:bookmarkStart w:id="1156" w:name="_bookmark1020"/>
      <w:bookmarkStart w:id="1157" w:name="_bookmark1021"/>
      <w:bookmarkStart w:id="1158" w:name="_bookmark1022"/>
      <w:bookmarkEnd w:id="1156"/>
      <w:bookmarkEnd w:id="1157"/>
      <w:bookmarkEnd w:id="1158"/>
      <w:r w:rsidR="00A05B2E">
        <w:rPr>
          <w:spacing w:val="-5"/>
        </w:rPr>
        <w:t xml:space="preserve"> </w:t>
      </w:r>
      <w:r>
        <w:t>la Brigada XX de Inteligencia Militar, en 1998; y de la extinción del DAS, en 2015: la violación de derechos humanos y el barrido de las evidencias de la violencia oficial.</w:t>
      </w:r>
    </w:p>
    <w:p w:rsidR="003804AC" w:rsidRDefault="00AF18A5" w:rsidP="00A05B2E">
      <w:r>
        <w:t>La</w:t>
      </w:r>
      <w:r>
        <w:rPr>
          <w:spacing w:val="-15"/>
        </w:rPr>
        <w:t xml:space="preserve"> </w:t>
      </w:r>
      <w:r>
        <w:t>práctica</w:t>
      </w:r>
      <w:r>
        <w:rPr>
          <w:spacing w:val="-15"/>
        </w:rPr>
        <w:t xml:space="preserve"> </w:t>
      </w:r>
      <w:r>
        <w:t>del</w:t>
      </w:r>
      <w:r>
        <w:rPr>
          <w:spacing w:val="-14"/>
        </w:rPr>
        <w:t xml:space="preserve"> </w:t>
      </w:r>
      <w:r>
        <w:t>espionaje</w:t>
      </w:r>
      <w:r>
        <w:rPr>
          <w:spacing w:val="-15"/>
        </w:rPr>
        <w:t xml:space="preserve"> </w:t>
      </w:r>
      <w:r>
        <w:t>local</w:t>
      </w:r>
      <w:r>
        <w:rPr>
          <w:spacing w:val="-15"/>
        </w:rPr>
        <w:t xml:space="preserve"> </w:t>
      </w:r>
      <w:r>
        <w:t>con</w:t>
      </w:r>
      <w:r>
        <w:rPr>
          <w:spacing w:val="-15"/>
        </w:rPr>
        <w:t xml:space="preserve"> </w:t>
      </w:r>
      <w:r>
        <w:t>fines</w:t>
      </w:r>
      <w:r>
        <w:rPr>
          <w:spacing w:val="-14"/>
        </w:rPr>
        <w:t xml:space="preserve"> </w:t>
      </w:r>
      <w:r>
        <w:t>judiciales</w:t>
      </w:r>
      <w:r>
        <w:rPr>
          <w:spacing w:val="-15"/>
        </w:rPr>
        <w:t xml:space="preserve"> </w:t>
      </w:r>
      <w:r>
        <w:t>y</w:t>
      </w:r>
      <w:r>
        <w:rPr>
          <w:spacing w:val="-15"/>
        </w:rPr>
        <w:t xml:space="preserve"> </w:t>
      </w:r>
      <w:r>
        <w:t>políticos</w:t>
      </w:r>
      <w:r>
        <w:rPr>
          <w:spacing w:val="-14"/>
        </w:rPr>
        <w:t xml:space="preserve"> </w:t>
      </w:r>
      <w:r>
        <w:t>ha</w:t>
      </w:r>
      <w:r>
        <w:rPr>
          <w:spacing w:val="-15"/>
        </w:rPr>
        <w:t xml:space="preserve"> </w:t>
      </w:r>
      <w:r>
        <w:t>sido</w:t>
      </w:r>
      <w:r>
        <w:rPr>
          <w:spacing w:val="-14"/>
        </w:rPr>
        <w:t xml:space="preserve"> </w:t>
      </w:r>
      <w:r>
        <w:t>otra</w:t>
      </w:r>
      <w:r>
        <w:rPr>
          <w:spacing w:val="-15"/>
        </w:rPr>
        <w:t xml:space="preserve"> </w:t>
      </w:r>
      <w:r>
        <w:t>forma</w:t>
      </w:r>
      <w:r>
        <w:rPr>
          <w:spacing w:val="-15"/>
        </w:rPr>
        <w:t xml:space="preserve"> </w:t>
      </w:r>
      <w:r>
        <w:t>de</w:t>
      </w:r>
      <w:r>
        <w:rPr>
          <w:spacing w:val="-15"/>
        </w:rPr>
        <w:t xml:space="preserve"> </w:t>
      </w:r>
      <w:r>
        <w:t>utilizar organismos</w:t>
      </w:r>
      <w:r>
        <w:rPr>
          <w:spacing w:val="-15"/>
        </w:rPr>
        <w:t xml:space="preserve"> </w:t>
      </w:r>
      <w:r>
        <w:t>de</w:t>
      </w:r>
      <w:r>
        <w:rPr>
          <w:spacing w:val="-15"/>
        </w:rPr>
        <w:t xml:space="preserve"> </w:t>
      </w:r>
      <w:r>
        <w:t>inteligencia</w:t>
      </w:r>
      <w:r>
        <w:rPr>
          <w:spacing w:val="-15"/>
        </w:rPr>
        <w:t xml:space="preserve"> </w:t>
      </w:r>
      <w:r>
        <w:t>contra</w:t>
      </w:r>
      <w:r>
        <w:rPr>
          <w:spacing w:val="-15"/>
        </w:rPr>
        <w:t xml:space="preserve"> </w:t>
      </w:r>
      <w:r>
        <w:t>la</w:t>
      </w:r>
      <w:r>
        <w:rPr>
          <w:spacing w:val="-15"/>
        </w:rPr>
        <w:t xml:space="preserve"> </w:t>
      </w:r>
      <w:r>
        <w:t>propia</w:t>
      </w:r>
      <w:r>
        <w:rPr>
          <w:spacing w:val="-15"/>
        </w:rPr>
        <w:t xml:space="preserve"> </w:t>
      </w:r>
      <w:r>
        <w:t>justicia</w:t>
      </w:r>
      <w:r>
        <w:rPr>
          <w:spacing w:val="-15"/>
        </w:rPr>
        <w:t xml:space="preserve"> </w:t>
      </w:r>
      <w:r>
        <w:t>y</w:t>
      </w:r>
      <w:r>
        <w:rPr>
          <w:spacing w:val="-15"/>
        </w:rPr>
        <w:t xml:space="preserve"> </w:t>
      </w:r>
      <w:r>
        <w:t>la</w:t>
      </w:r>
      <w:r>
        <w:rPr>
          <w:spacing w:val="-15"/>
        </w:rPr>
        <w:t xml:space="preserve"> </w:t>
      </w:r>
      <w:r>
        <w:t>democracia.</w:t>
      </w:r>
      <w:r>
        <w:rPr>
          <w:spacing w:val="-15"/>
        </w:rPr>
        <w:t xml:space="preserve"> </w:t>
      </w:r>
      <w:r>
        <w:t>Esta</w:t>
      </w:r>
      <w:r>
        <w:rPr>
          <w:spacing w:val="-15"/>
        </w:rPr>
        <w:t xml:space="preserve"> </w:t>
      </w:r>
      <w:r>
        <w:t>no</w:t>
      </w:r>
      <w:r>
        <w:rPr>
          <w:spacing w:val="-15"/>
        </w:rPr>
        <w:t xml:space="preserve"> </w:t>
      </w:r>
      <w:r>
        <w:t>ha</w:t>
      </w:r>
      <w:r>
        <w:rPr>
          <w:spacing w:val="-15"/>
        </w:rPr>
        <w:t xml:space="preserve"> </w:t>
      </w:r>
      <w:r>
        <w:t>sido</w:t>
      </w:r>
      <w:r>
        <w:rPr>
          <w:spacing w:val="-15"/>
        </w:rPr>
        <w:t xml:space="preserve"> </w:t>
      </w:r>
      <w:r>
        <w:t>analizada en</w:t>
      </w:r>
      <w:r>
        <w:rPr>
          <w:spacing w:val="-7"/>
        </w:rPr>
        <w:t xml:space="preserve"> </w:t>
      </w:r>
      <w:r>
        <w:t>profundidad.</w:t>
      </w:r>
      <w:r>
        <w:rPr>
          <w:spacing w:val="-7"/>
        </w:rPr>
        <w:t xml:space="preserve"> </w:t>
      </w:r>
      <w:r>
        <w:t>Ha</w:t>
      </w:r>
      <w:r>
        <w:rPr>
          <w:spacing w:val="-7"/>
        </w:rPr>
        <w:t xml:space="preserve"> </w:t>
      </w:r>
      <w:r>
        <w:t>habido</w:t>
      </w:r>
      <w:r>
        <w:rPr>
          <w:spacing w:val="-7"/>
        </w:rPr>
        <w:t xml:space="preserve"> </w:t>
      </w:r>
      <w:r>
        <w:t>hechos</w:t>
      </w:r>
      <w:r>
        <w:rPr>
          <w:spacing w:val="-7"/>
        </w:rPr>
        <w:t xml:space="preserve"> </w:t>
      </w:r>
      <w:r>
        <w:lastRenderedPageBreak/>
        <w:t>sin</w:t>
      </w:r>
      <w:r>
        <w:rPr>
          <w:spacing w:val="-7"/>
        </w:rPr>
        <w:t xml:space="preserve"> </w:t>
      </w:r>
      <w:r>
        <w:t>investigación</w:t>
      </w:r>
      <w:r>
        <w:rPr>
          <w:spacing w:val="-7"/>
        </w:rPr>
        <w:t xml:space="preserve"> </w:t>
      </w:r>
      <w:r>
        <w:t>suficiente,</w:t>
      </w:r>
      <w:r>
        <w:rPr>
          <w:spacing w:val="-7"/>
        </w:rPr>
        <w:t xml:space="preserve"> </w:t>
      </w:r>
      <w:r>
        <w:t>como</w:t>
      </w:r>
      <w:r>
        <w:rPr>
          <w:spacing w:val="-7"/>
        </w:rPr>
        <w:t xml:space="preserve"> </w:t>
      </w:r>
      <w:r>
        <w:t>los</w:t>
      </w:r>
      <w:r>
        <w:rPr>
          <w:spacing w:val="-7"/>
        </w:rPr>
        <w:t xml:space="preserve"> </w:t>
      </w:r>
      <w:r>
        <w:t>protagonizados</w:t>
      </w:r>
      <w:r>
        <w:rPr>
          <w:spacing w:val="-7"/>
        </w:rPr>
        <w:t xml:space="preserve"> </w:t>
      </w:r>
      <w:r>
        <w:t>por el DAS en los 80, bajo el mando del general de la Policía Miguel Maza Márquez, hoy condenado por la justicia por su relación en el desmantelamiento de la seguridad del candidato presidencial Luis Carlos Galán, asesinado en agosto de 1989. A la expectativa de la Justicia Especial de Paz se espera que Maza se resuelva a comparecer al recuento de verdades que permitan esclarecer la participación del organismo en la oleada de crímenes contra la Unión Patriótica. El otro caso crítico del DAS se dio en la era Uribe con dos capítulos de escándalo bajo las administraciones de Jorge Noguera y José Miguel Narváez, y la de María del Pilar Hurtado. Los dos primeros dejaron abierta la puerta para que el paramilitarismo actuara, en alianza con el propio DAS, en contra de líderes sociales y sectores de oposición. Y la última desplegó una sistemática acción de interceptación ilegal de comunicaciones, incluyendo la instalación de un micrófono en la Sala Plena de la Corte Suprema de Justicia mientras crecía el escándalo judicial de la parapolítica.</w:t>
      </w:r>
    </w:p>
    <w:p w:rsidR="003804AC" w:rsidRDefault="00AF18A5" w:rsidP="001B50F5">
      <w:r>
        <w:t>Eso explica la práctica que se hizo ostensible bajo la política de Seguridad Democrática en el primer año del gobierno Uribe, con el aumento de los detenidos como supuestos guerrilleros</w:t>
      </w:r>
      <w:r>
        <w:rPr>
          <w:spacing w:val="-12"/>
        </w:rPr>
        <w:t xml:space="preserve"> </w:t>
      </w:r>
      <w:r>
        <w:t>que</w:t>
      </w:r>
      <w:r>
        <w:rPr>
          <w:spacing w:val="-11"/>
        </w:rPr>
        <w:t xml:space="preserve"> </w:t>
      </w:r>
      <w:r>
        <w:t>aumentó</w:t>
      </w:r>
      <w:r>
        <w:rPr>
          <w:spacing w:val="-12"/>
        </w:rPr>
        <w:t xml:space="preserve"> </w:t>
      </w:r>
      <w:r>
        <w:t>en</w:t>
      </w:r>
      <w:r>
        <w:rPr>
          <w:spacing w:val="-11"/>
        </w:rPr>
        <w:t xml:space="preserve"> </w:t>
      </w:r>
      <w:r>
        <w:t>un</w:t>
      </w:r>
      <w:r>
        <w:rPr>
          <w:spacing w:val="-11"/>
        </w:rPr>
        <w:t xml:space="preserve"> </w:t>
      </w:r>
      <w:r>
        <w:t>167</w:t>
      </w:r>
      <w:r>
        <w:rPr>
          <w:spacing w:val="-1"/>
        </w:rPr>
        <w:t xml:space="preserve"> </w:t>
      </w:r>
      <w:r>
        <w:t>%.</w:t>
      </w:r>
      <w:r>
        <w:rPr>
          <w:spacing w:val="-11"/>
        </w:rPr>
        <w:t xml:space="preserve"> </w:t>
      </w:r>
      <w:r>
        <w:t>En</w:t>
      </w:r>
      <w:r>
        <w:rPr>
          <w:spacing w:val="-11"/>
        </w:rPr>
        <w:t xml:space="preserve"> </w:t>
      </w:r>
      <w:r>
        <w:t>ese</w:t>
      </w:r>
      <w:r>
        <w:rPr>
          <w:spacing w:val="-11"/>
        </w:rPr>
        <w:t xml:space="preserve"> </w:t>
      </w:r>
      <w:r>
        <w:t>momento,</w:t>
      </w:r>
      <w:r>
        <w:rPr>
          <w:spacing w:val="-11"/>
        </w:rPr>
        <w:t xml:space="preserve"> </w:t>
      </w:r>
      <w:r>
        <w:t>se</w:t>
      </w:r>
      <w:r>
        <w:rPr>
          <w:spacing w:val="-11"/>
        </w:rPr>
        <w:t xml:space="preserve"> </w:t>
      </w:r>
      <w:r>
        <w:t>adoptó</w:t>
      </w:r>
      <w:r>
        <w:rPr>
          <w:spacing w:val="-11"/>
        </w:rPr>
        <w:t xml:space="preserve"> </w:t>
      </w:r>
      <w:r>
        <w:t>una</w:t>
      </w:r>
      <w:r>
        <w:rPr>
          <w:spacing w:val="-11"/>
        </w:rPr>
        <w:t xml:space="preserve"> </w:t>
      </w:r>
      <w:r>
        <w:t>estrategia</w:t>
      </w:r>
      <w:r>
        <w:rPr>
          <w:spacing w:val="-11"/>
        </w:rPr>
        <w:t xml:space="preserve"> </w:t>
      </w:r>
      <w:r>
        <w:t>de</w:t>
      </w:r>
      <w:r>
        <w:rPr>
          <w:spacing w:val="-11"/>
        </w:rPr>
        <w:t xml:space="preserve"> </w:t>
      </w:r>
      <w:r>
        <w:t xml:space="preserve">capturas </w:t>
      </w:r>
      <w:r>
        <w:rPr>
          <w:spacing w:val="-2"/>
        </w:rPr>
        <w:t>masivas</w:t>
      </w:r>
      <w:r>
        <w:rPr>
          <w:spacing w:val="-6"/>
        </w:rPr>
        <w:t xml:space="preserve"> </w:t>
      </w:r>
      <w:r>
        <w:rPr>
          <w:spacing w:val="-2"/>
        </w:rPr>
        <w:t>que</w:t>
      </w:r>
      <w:r>
        <w:rPr>
          <w:spacing w:val="-8"/>
        </w:rPr>
        <w:t xml:space="preserve"> </w:t>
      </w:r>
      <w:r>
        <w:rPr>
          <w:spacing w:val="-2"/>
        </w:rPr>
        <w:t>llevó</w:t>
      </w:r>
      <w:r>
        <w:rPr>
          <w:spacing w:val="-7"/>
        </w:rPr>
        <w:t xml:space="preserve"> </w:t>
      </w:r>
      <w:r>
        <w:rPr>
          <w:spacing w:val="-2"/>
        </w:rPr>
        <w:t>a</w:t>
      </w:r>
      <w:r>
        <w:rPr>
          <w:spacing w:val="-6"/>
        </w:rPr>
        <w:t xml:space="preserve"> </w:t>
      </w:r>
      <w:r>
        <w:rPr>
          <w:spacing w:val="-2"/>
        </w:rPr>
        <w:t>detener</w:t>
      </w:r>
      <w:r>
        <w:rPr>
          <w:spacing w:val="-4"/>
        </w:rPr>
        <w:t xml:space="preserve"> </w:t>
      </w:r>
      <w:r>
        <w:rPr>
          <w:spacing w:val="-2"/>
        </w:rPr>
        <w:t>a</w:t>
      </w:r>
      <w:r>
        <w:rPr>
          <w:spacing w:val="-7"/>
        </w:rPr>
        <w:t xml:space="preserve"> </w:t>
      </w:r>
      <w:r>
        <w:rPr>
          <w:spacing w:val="-2"/>
        </w:rPr>
        <w:t>cerca</w:t>
      </w:r>
      <w:r>
        <w:rPr>
          <w:spacing w:val="-6"/>
        </w:rPr>
        <w:t xml:space="preserve"> </w:t>
      </w:r>
      <w:r>
        <w:rPr>
          <w:spacing w:val="-2"/>
        </w:rPr>
        <w:t>de</w:t>
      </w:r>
      <w:r>
        <w:rPr>
          <w:spacing w:val="-8"/>
        </w:rPr>
        <w:t xml:space="preserve"> </w:t>
      </w:r>
      <w:r>
        <w:rPr>
          <w:spacing w:val="-2"/>
        </w:rPr>
        <w:t>6.000</w:t>
      </w:r>
      <w:r>
        <w:rPr>
          <w:spacing w:val="-6"/>
        </w:rPr>
        <w:t xml:space="preserve"> </w:t>
      </w:r>
      <w:r>
        <w:rPr>
          <w:spacing w:val="-2"/>
        </w:rPr>
        <w:t>personas</w:t>
      </w:r>
      <w:r>
        <w:rPr>
          <w:spacing w:val="-6"/>
        </w:rPr>
        <w:t xml:space="preserve"> </w:t>
      </w:r>
      <w:r>
        <w:rPr>
          <w:spacing w:val="-2"/>
        </w:rPr>
        <w:t>indiscriminadamente.</w:t>
      </w:r>
      <w:r>
        <w:rPr>
          <w:spacing w:val="-7"/>
        </w:rPr>
        <w:t xml:space="preserve"> </w:t>
      </w:r>
      <w:r>
        <w:rPr>
          <w:spacing w:val="-2"/>
        </w:rPr>
        <w:t>En</w:t>
      </w:r>
      <w:r>
        <w:rPr>
          <w:spacing w:val="-6"/>
        </w:rPr>
        <w:t xml:space="preserve"> </w:t>
      </w:r>
      <w:r>
        <w:rPr>
          <w:spacing w:val="-2"/>
        </w:rPr>
        <w:t>pueblos</w:t>
      </w:r>
      <w:r>
        <w:rPr>
          <w:spacing w:val="-7"/>
        </w:rPr>
        <w:t xml:space="preserve"> </w:t>
      </w:r>
      <w:r>
        <w:rPr>
          <w:spacing w:val="-2"/>
        </w:rPr>
        <w:t xml:space="preserve">como </w:t>
      </w:r>
      <w:r>
        <w:t>Quinchía,</w:t>
      </w:r>
      <w:r>
        <w:rPr>
          <w:spacing w:val="-6"/>
        </w:rPr>
        <w:t xml:space="preserve"> </w:t>
      </w:r>
      <w:r>
        <w:t>Risaralda,</w:t>
      </w:r>
      <w:r>
        <w:rPr>
          <w:spacing w:val="-6"/>
        </w:rPr>
        <w:t xml:space="preserve"> </w:t>
      </w:r>
      <w:r>
        <w:t>por</w:t>
      </w:r>
      <w:r>
        <w:rPr>
          <w:spacing w:val="-8"/>
        </w:rPr>
        <w:t xml:space="preserve"> </w:t>
      </w:r>
      <w:r>
        <w:t>ejemplo,</w:t>
      </w:r>
      <w:r>
        <w:rPr>
          <w:spacing w:val="-6"/>
        </w:rPr>
        <w:t xml:space="preserve"> </w:t>
      </w:r>
      <w:r>
        <w:t>117</w:t>
      </w:r>
      <w:r>
        <w:rPr>
          <w:spacing w:val="-6"/>
        </w:rPr>
        <w:t xml:space="preserve"> </w:t>
      </w:r>
      <w:r>
        <w:t>personas</w:t>
      </w:r>
      <w:r>
        <w:rPr>
          <w:spacing w:val="-7"/>
        </w:rPr>
        <w:t xml:space="preserve"> </w:t>
      </w:r>
      <w:r>
        <w:t>fueron</w:t>
      </w:r>
      <w:r>
        <w:rPr>
          <w:spacing w:val="-6"/>
        </w:rPr>
        <w:t xml:space="preserve"> </w:t>
      </w:r>
      <w:r>
        <w:t>privadas</w:t>
      </w:r>
      <w:r>
        <w:rPr>
          <w:spacing w:val="-6"/>
        </w:rPr>
        <w:t xml:space="preserve"> </w:t>
      </w:r>
      <w:r>
        <w:t>de</w:t>
      </w:r>
      <w:r>
        <w:rPr>
          <w:spacing w:val="-6"/>
        </w:rPr>
        <w:t xml:space="preserve"> </w:t>
      </w:r>
      <w:r>
        <w:t>su</w:t>
      </w:r>
      <w:r>
        <w:rPr>
          <w:spacing w:val="-7"/>
        </w:rPr>
        <w:t xml:space="preserve"> </w:t>
      </w:r>
      <w:r>
        <w:t>libertad</w:t>
      </w:r>
      <w:r>
        <w:rPr>
          <w:spacing w:val="-7"/>
        </w:rPr>
        <w:t xml:space="preserve"> </w:t>
      </w:r>
      <w:r>
        <w:t>en</w:t>
      </w:r>
      <w:r>
        <w:rPr>
          <w:spacing w:val="-6"/>
        </w:rPr>
        <w:t xml:space="preserve"> </w:t>
      </w:r>
      <w:r>
        <w:t>septiembre del 2003. Años después, el Consejo de Estado condenó a la Nación a pagar 7.300 millones de pesos por la actuación «desproporcionada» de la Fiscalía. En 2003, en lugares como Chalán, Ovejas, Corozal, Sincelejo y Colosó se produjo la detención de 156 personas y presentadas como integrantes de las FARC-EP. El entonces fiscal especializado Orlando Pacheco</w:t>
      </w:r>
      <w:r>
        <w:rPr>
          <w:spacing w:val="-5"/>
        </w:rPr>
        <w:t xml:space="preserve"> </w:t>
      </w:r>
      <w:r>
        <w:lastRenderedPageBreak/>
        <w:t>Carrascal</w:t>
      </w:r>
      <w:r>
        <w:rPr>
          <w:spacing w:val="-4"/>
        </w:rPr>
        <w:t xml:space="preserve"> </w:t>
      </w:r>
      <w:r>
        <w:t>ordenó</w:t>
      </w:r>
      <w:r>
        <w:rPr>
          <w:spacing w:val="-5"/>
        </w:rPr>
        <w:t xml:space="preserve"> </w:t>
      </w:r>
      <w:r>
        <w:t>la</w:t>
      </w:r>
      <w:r>
        <w:rPr>
          <w:spacing w:val="-4"/>
        </w:rPr>
        <w:t xml:space="preserve"> </w:t>
      </w:r>
      <w:r>
        <w:t>libertad</w:t>
      </w:r>
      <w:r>
        <w:rPr>
          <w:spacing w:val="-5"/>
        </w:rPr>
        <w:t xml:space="preserve"> </w:t>
      </w:r>
      <w:r>
        <w:t>de</w:t>
      </w:r>
      <w:r>
        <w:rPr>
          <w:spacing w:val="-4"/>
        </w:rPr>
        <w:t xml:space="preserve"> </w:t>
      </w:r>
      <w:r>
        <w:t>las</w:t>
      </w:r>
      <w:r>
        <w:rPr>
          <w:spacing w:val="-4"/>
        </w:rPr>
        <w:t xml:space="preserve"> </w:t>
      </w:r>
      <w:r>
        <w:t>personas</w:t>
      </w:r>
      <w:r>
        <w:rPr>
          <w:spacing w:val="-4"/>
        </w:rPr>
        <w:t xml:space="preserve"> </w:t>
      </w:r>
      <w:r>
        <w:t>detenidas</w:t>
      </w:r>
      <w:r>
        <w:rPr>
          <w:spacing w:val="-4"/>
        </w:rPr>
        <w:t xml:space="preserve"> </w:t>
      </w:r>
      <w:r>
        <w:t>por</w:t>
      </w:r>
      <w:r>
        <w:rPr>
          <w:spacing w:val="-4"/>
        </w:rPr>
        <w:t xml:space="preserve"> </w:t>
      </w:r>
      <w:r>
        <w:t>no</w:t>
      </w:r>
      <w:r>
        <w:rPr>
          <w:spacing w:val="-5"/>
        </w:rPr>
        <w:t xml:space="preserve"> </w:t>
      </w:r>
      <w:r>
        <w:t>encontrar</w:t>
      </w:r>
      <w:r>
        <w:rPr>
          <w:spacing w:val="-5"/>
        </w:rPr>
        <w:t xml:space="preserve"> </w:t>
      </w:r>
      <w:r>
        <w:t>fundamento en</w:t>
      </w:r>
      <w:r>
        <w:rPr>
          <w:spacing w:val="-6"/>
        </w:rPr>
        <w:t xml:space="preserve"> </w:t>
      </w:r>
      <w:r>
        <w:t>la</w:t>
      </w:r>
      <w:r>
        <w:rPr>
          <w:spacing w:val="-6"/>
        </w:rPr>
        <w:t xml:space="preserve"> </w:t>
      </w:r>
      <w:r>
        <w:t>medida</w:t>
      </w:r>
      <w:r>
        <w:rPr>
          <w:spacing w:val="-7"/>
        </w:rPr>
        <w:t xml:space="preserve"> </w:t>
      </w:r>
      <w:r>
        <w:t>restrictiva.</w:t>
      </w:r>
      <w:r>
        <w:rPr>
          <w:spacing w:val="-7"/>
        </w:rPr>
        <w:t xml:space="preserve"> </w:t>
      </w:r>
      <w:r>
        <w:t>Tras</w:t>
      </w:r>
      <w:r>
        <w:rPr>
          <w:spacing w:val="-6"/>
        </w:rPr>
        <w:t xml:space="preserve"> </w:t>
      </w:r>
      <w:r>
        <w:t>esto,</w:t>
      </w:r>
      <w:r>
        <w:rPr>
          <w:spacing w:val="-6"/>
        </w:rPr>
        <w:t xml:space="preserve"> </w:t>
      </w:r>
      <w:r>
        <w:t>fue</w:t>
      </w:r>
      <w:r>
        <w:rPr>
          <w:spacing w:val="-6"/>
        </w:rPr>
        <w:t xml:space="preserve"> </w:t>
      </w:r>
      <w:r>
        <w:t>destituido</w:t>
      </w:r>
      <w:r>
        <w:rPr>
          <w:spacing w:val="-7"/>
        </w:rPr>
        <w:t xml:space="preserve"> </w:t>
      </w:r>
      <w:r>
        <w:t>por</w:t>
      </w:r>
      <w:r>
        <w:rPr>
          <w:spacing w:val="-6"/>
        </w:rPr>
        <w:t xml:space="preserve"> </w:t>
      </w:r>
      <w:r>
        <w:t>el</w:t>
      </w:r>
      <w:r>
        <w:rPr>
          <w:spacing w:val="-6"/>
        </w:rPr>
        <w:t xml:space="preserve"> </w:t>
      </w:r>
      <w:r>
        <w:t>Fiscal</w:t>
      </w:r>
      <w:r>
        <w:rPr>
          <w:spacing w:val="-7"/>
        </w:rPr>
        <w:t xml:space="preserve"> </w:t>
      </w:r>
      <w:r>
        <w:t>General</w:t>
      </w:r>
      <w:r>
        <w:rPr>
          <w:spacing w:val="-6"/>
        </w:rPr>
        <w:t xml:space="preserve"> </w:t>
      </w:r>
      <w:r>
        <w:t>Luis</w:t>
      </w:r>
      <w:r>
        <w:rPr>
          <w:spacing w:val="-6"/>
        </w:rPr>
        <w:t xml:space="preserve"> </w:t>
      </w:r>
      <w:r>
        <w:t>Camilo</w:t>
      </w:r>
      <w:r>
        <w:rPr>
          <w:spacing w:val="-6"/>
        </w:rPr>
        <w:t xml:space="preserve"> </w:t>
      </w:r>
      <w:r>
        <w:t>Osorio</w:t>
      </w:r>
      <w:r>
        <w:rPr>
          <w:spacing w:val="-6"/>
        </w:rPr>
        <w:t xml:space="preserve"> </w:t>
      </w:r>
      <w:r>
        <w:t>y recibió amenazas de grupos paramilitares que lo obligaron a salir desplazado.</w:t>
      </w:r>
    </w:p>
    <w:p w:rsidR="003804AC" w:rsidRDefault="00AF18A5" w:rsidP="001B50F5">
      <w:r>
        <w:t>Históricamente,</w:t>
      </w:r>
      <w:r>
        <w:rPr>
          <w:spacing w:val="-6"/>
        </w:rPr>
        <w:t xml:space="preserve"> </w:t>
      </w:r>
      <w:r>
        <w:t>diferentes</w:t>
      </w:r>
      <w:r>
        <w:rPr>
          <w:spacing w:val="-6"/>
        </w:rPr>
        <w:t xml:space="preserve"> </w:t>
      </w:r>
      <w:r>
        <w:t>obstáculos</w:t>
      </w:r>
      <w:r>
        <w:rPr>
          <w:spacing w:val="-6"/>
        </w:rPr>
        <w:t xml:space="preserve"> </w:t>
      </w:r>
      <w:r>
        <w:t>han</w:t>
      </w:r>
      <w:r>
        <w:rPr>
          <w:spacing w:val="-6"/>
        </w:rPr>
        <w:t xml:space="preserve"> </w:t>
      </w:r>
      <w:r>
        <w:t>impedido</w:t>
      </w:r>
      <w:r>
        <w:rPr>
          <w:spacing w:val="-6"/>
        </w:rPr>
        <w:t xml:space="preserve"> </w:t>
      </w:r>
      <w:r>
        <w:t>el</w:t>
      </w:r>
      <w:r>
        <w:rPr>
          <w:spacing w:val="-6"/>
        </w:rPr>
        <w:t xml:space="preserve"> </w:t>
      </w:r>
      <w:r>
        <w:t>acceso</w:t>
      </w:r>
      <w:r>
        <w:rPr>
          <w:spacing w:val="-6"/>
        </w:rPr>
        <w:t xml:space="preserve"> </w:t>
      </w:r>
      <w:r>
        <w:t>a</w:t>
      </w:r>
      <w:r>
        <w:rPr>
          <w:spacing w:val="-6"/>
        </w:rPr>
        <w:t xml:space="preserve"> </w:t>
      </w:r>
      <w:r>
        <w:t>la</w:t>
      </w:r>
      <w:r>
        <w:rPr>
          <w:spacing w:val="-6"/>
        </w:rPr>
        <w:t xml:space="preserve"> </w:t>
      </w:r>
      <w:r>
        <w:t>justicia</w:t>
      </w:r>
      <w:r>
        <w:rPr>
          <w:spacing w:val="-7"/>
        </w:rPr>
        <w:t xml:space="preserve"> </w:t>
      </w:r>
      <w:r>
        <w:t>de</w:t>
      </w:r>
      <w:r>
        <w:rPr>
          <w:spacing w:val="-6"/>
        </w:rPr>
        <w:t xml:space="preserve"> </w:t>
      </w:r>
      <w:r>
        <w:t>la</w:t>
      </w:r>
      <w:r>
        <w:rPr>
          <w:spacing w:val="-6"/>
        </w:rPr>
        <w:t xml:space="preserve"> </w:t>
      </w:r>
      <w:r>
        <w:t>población colombiana.</w:t>
      </w:r>
      <w:r>
        <w:rPr>
          <w:spacing w:val="-4"/>
        </w:rPr>
        <w:t xml:space="preserve"> </w:t>
      </w:r>
      <w:r>
        <w:t>Un</w:t>
      </w:r>
      <w:r>
        <w:rPr>
          <w:spacing w:val="-2"/>
        </w:rPr>
        <w:t xml:space="preserve"> </w:t>
      </w:r>
      <w:r>
        <w:t>estudio</w:t>
      </w:r>
      <w:r>
        <w:rPr>
          <w:spacing w:val="-2"/>
        </w:rPr>
        <w:t xml:space="preserve"> </w:t>
      </w:r>
      <w:r>
        <w:t>del</w:t>
      </w:r>
      <w:r>
        <w:rPr>
          <w:spacing w:val="-2"/>
        </w:rPr>
        <w:t xml:space="preserve"> </w:t>
      </w:r>
      <w:r>
        <w:t>DANE</w:t>
      </w:r>
      <w:r>
        <w:rPr>
          <w:spacing w:val="-3"/>
        </w:rPr>
        <w:t xml:space="preserve"> </w:t>
      </w:r>
      <w:r>
        <w:t>de</w:t>
      </w:r>
      <w:r>
        <w:rPr>
          <w:spacing w:val="-2"/>
        </w:rPr>
        <w:t xml:space="preserve"> </w:t>
      </w:r>
      <w:r>
        <w:t>1985</w:t>
      </w:r>
      <w:r w:rsidR="00D907C6">
        <w:rPr>
          <w:rStyle w:val="Refdenotaalpie"/>
        </w:rPr>
        <w:footnoteReference w:id="934"/>
      </w:r>
      <w:r>
        <w:rPr>
          <w:spacing w:val="-2"/>
        </w:rPr>
        <w:t xml:space="preserve"> </w:t>
      </w:r>
      <w:r>
        <w:t>mostró</w:t>
      </w:r>
      <w:r>
        <w:rPr>
          <w:spacing w:val="-2"/>
        </w:rPr>
        <w:t xml:space="preserve"> </w:t>
      </w:r>
      <w:r>
        <w:t>que</w:t>
      </w:r>
      <w:r>
        <w:rPr>
          <w:spacing w:val="-2"/>
        </w:rPr>
        <w:t xml:space="preserve"> </w:t>
      </w:r>
      <w:r>
        <w:t>solo</w:t>
      </w:r>
      <w:r>
        <w:rPr>
          <w:spacing w:val="-2"/>
        </w:rPr>
        <w:t xml:space="preserve"> </w:t>
      </w:r>
      <w:r>
        <w:t>se</w:t>
      </w:r>
      <w:r>
        <w:rPr>
          <w:spacing w:val="-2"/>
        </w:rPr>
        <w:t xml:space="preserve"> </w:t>
      </w:r>
      <w:r>
        <w:t>denunció</w:t>
      </w:r>
      <w:r>
        <w:rPr>
          <w:spacing w:val="-2"/>
        </w:rPr>
        <w:t xml:space="preserve"> </w:t>
      </w:r>
      <w:r>
        <w:t>el</w:t>
      </w:r>
      <w:r>
        <w:rPr>
          <w:spacing w:val="-2"/>
        </w:rPr>
        <w:t xml:space="preserve"> </w:t>
      </w:r>
      <w:r>
        <w:t>20,9</w:t>
      </w:r>
      <w:r>
        <w:rPr>
          <w:spacing w:val="-2"/>
        </w:rPr>
        <w:t xml:space="preserve"> </w:t>
      </w:r>
      <w:r>
        <w:t>%</w:t>
      </w:r>
      <w:r>
        <w:rPr>
          <w:spacing w:val="-2"/>
        </w:rPr>
        <w:t xml:space="preserve"> </w:t>
      </w:r>
      <w:r>
        <w:t>de</w:t>
      </w:r>
      <w:r>
        <w:rPr>
          <w:spacing w:val="-2"/>
        </w:rPr>
        <w:t xml:space="preserve"> </w:t>
      </w:r>
      <w:r>
        <w:t>los delitos</w:t>
      </w:r>
      <w:r>
        <w:rPr>
          <w:spacing w:val="-7"/>
        </w:rPr>
        <w:t xml:space="preserve"> </w:t>
      </w:r>
      <w:r>
        <w:t>registrados.</w:t>
      </w:r>
      <w:r>
        <w:rPr>
          <w:spacing w:val="-7"/>
        </w:rPr>
        <w:t xml:space="preserve"> </w:t>
      </w:r>
      <w:r>
        <w:t>En</w:t>
      </w:r>
      <w:r>
        <w:rPr>
          <w:spacing w:val="-7"/>
        </w:rPr>
        <w:t xml:space="preserve"> </w:t>
      </w:r>
      <w:r>
        <w:t>otras</w:t>
      </w:r>
      <w:r>
        <w:rPr>
          <w:spacing w:val="-7"/>
        </w:rPr>
        <w:t xml:space="preserve"> </w:t>
      </w:r>
      <w:r>
        <w:t>palabras,</w:t>
      </w:r>
      <w:r>
        <w:rPr>
          <w:spacing w:val="-8"/>
        </w:rPr>
        <w:t xml:space="preserve"> </w:t>
      </w:r>
      <w:r>
        <w:t>el</w:t>
      </w:r>
      <w:r>
        <w:rPr>
          <w:spacing w:val="-7"/>
        </w:rPr>
        <w:t xml:space="preserve"> </w:t>
      </w:r>
      <w:r>
        <w:t>79,1</w:t>
      </w:r>
      <w:r>
        <w:rPr>
          <w:spacing w:val="-2"/>
        </w:rPr>
        <w:t xml:space="preserve"> </w:t>
      </w:r>
      <w:r>
        <w:t>%</w:t>
      </w:r>
      <w:r>
        <w:rPr>
          <w:spacing w:val="-7"/>
        </w:rPr>
        <w:t xml:space="preserve"> </w:t>
      </w:r>
      <w:r>
        <w:t>de</w:t>
      </w:r>
      <w:r>
        <w:rPr>
          <w:spacing w:val="-7"/>
        </w:rPr>
        <w:t xml:space="preserve"> </w:t>
      </w:r>
      <w:r>
        <w:t>la</w:t>
      </w:r>
      <w:r>
        <w:rPr>
          <w:spacing w:val="-7"/>
        </w:rPr>
        <w:t xml:space="preserve"> </w:t>
      </w:r>
      <w:r>
        <w:t>criminalidad</w:t>
      </w:r>
      <w:r>
        <w:rPr>
          <w:spacing w:val="-7"/>
        </w:rPr>
        <w:t xml:space="preserve"> </w:t>
      </w:r>
      <w:r>
        <w:t>no</w:t>
      </w:r>
      <w:r>
        <w:rPr>
          <w:spacing w:val="-7"/>
        </w:rPr>
        <w:t xml:space="preserve"> </w:t>
      </w:r>
      <w:r>
        <w:t>se</w:t>
      </w:r>
      <w:r>
        <w:rPr>
          <w:spacing w:val="-7"/>
        </w:rPr>
        <w:t xml:space="preserve"> </w:t>
      </w:r>
      <w:r>
        <w:t>denunciaba.</w:t>
      </w:r>
      <w:r>
        <w:rPr>
          <w:spacing w:val="-8"/>
        </w:rPr>
        <w:t xml:space="preserve"> </w:t>
      </w:r>
      <w:r>
        <w:t>La</w:t>
      </w:r>
      <w:r>
        <w:rPr>
          <w:spacing w:val="-7"/>
        </w:rPr>
        <w:t xml:space="preserve"> </w:t>
      </w:r>
      <w:r>
        <w:t>baja tasa de denuncia en 1985 se debía a la ausencia de pruebas (37,5</w:t>
      </w:r>
      <w:r>
        <w:rPr>
          <w:spacing w:val="-2"/>
        </w:rPr>
        <w:t xml:space="preserve"> </w:t>
      </w:r>
      <w:r>
        <w:t>%), la inoperancia de la justicia</w:t>
      </w:r>
      <w:r>
        <w:rPr>
          <w:spacing w:val="-7"/>
        </w:rPr>
        <w:t xml:space="preserve"> </w:t>
      </w:r>
      <w:r>
        <w:t>(23,2</w:t>
      </w:r>
      <w:r>
        <w:rPr>
          <w:spacing w:val="-3"/>
        </w:rPr>
        <w:t xml:space="preserve"> </w:t>
      </w:r>
      <w:r>
        <w:t>%),</w:t>
      </w:r>
      <w:r>
        <w:rPr>
          <w:spacing w:val="-6"/>
        </w:rPr>
        <w:t xml:space="preserve"> </w:t>
      </w:r>
      <w:r>
        <w:t>lo</w:t>
      </w:r>
      <w:r>
        <w:rPr>
          <w:spacing w:val="-6"/>
        </w:rPr>
        <w:t xml:space="preserve"> </w:t>
      </w:r>
      <w:r>
        <w:t>complicado</w:t>
      </w:r>
      <w:r>
        <w:rPr>
          <w:spacing w:val="-6"/>
        </w:rPr>
        <w:t xml:space="preserve"> </w:t>
      </w:r>
      <w:r>
        <w:t>de</w:t>
      </w:r>
      <w:r>
        <w:rPr>
          <w:spacing w:val="-7"/>
        </w:rPr>
        <w:t xml:space="preserve"> </w:t>
      </w:r>
      <w:r>
        <w:t>los</w:t>
      </w:r>
      <w:r>
        <w:rPr>
          <w:spacing w:val="-6"/>
        </w:rPr>
        <w:t xml:space="preserve"> </w:t>
      </w:r>
      <w:r>
        <w:t>trámites</w:t>
      </w:r>
      <w:r>
        <w:rPr>
          <w:spacing w:val="-7"/>
        </w:rPr>
        <w:t xml:space="preserve"> </w:t>
      </w:r>
      <w:r>
        <w:t>(13,3</w:t>
      </w:r>
      <w:r>
        <w:rPr>
          <w:spacing w:val="-2"/>
        </w:rPr>
        <w:t xml:space="preserve"> </w:t>
      </w:r>
      <w:r>
        <w:t>%),</w:t>
      </w:r>
      <w:r>
        <w:rPr>
          <w:spacing w:val="-6"/>
        </w:rPr>
        <w:t xml:space="preserve"> </w:t>
      </w:r>
      <w:r>
        <w:t>el</w:t>
      </w:r>
      <w:r>
        <w:rPr>
          <w:spacing w:val="-6"/>
        </w:rPr>
        <w:t xml:space="preserve"> </w:t>
      </w:r>
      <w:r>
        <w:t>desconocimiento</w:t>
      </w:r>
      <w:r>
        <w:rPr>
          <w:spacing w:val="-6"/>
        </w:rPr>
        <w:t xml:space="preserve"> </w:t>
      </w:r>
      <w:r>
        <w:t>de</w:t>
      </w:r>
      <w:r>
        <w:rPr>
          <w:spacing w:val="-6"/>
        </w:rPr>
        <w:t xml:space="preserve"> </w:t>
      </w:r>
      <w:r>
        <w:t>los</w:t>
      </w:r>
      <w:r>
        <w:rPr>
          <w:spacing w:val="-6"/>
        </w:rPr>
        <w:t xml:space="preserve"> </w:t>
      </w:r>
      <w:r>
        <w:t>trámites (6,3</w:t>
      </w:r>
      <w:r>
        <w:rPr>
          <w:spacing w:val="-2"/>
        </w:rPr>
        <w:t xml:space="preserve"> </w:t>
      </w:r>
      <w:r>
        <w:t>%), el temor a represalias (6,3</w:t>
      </w:r>
      <w:r>
        <w:rPr>
          <w:spacing w:val="-4"/>
        </w:rPr>
        <w:t xml:space="preserve"> </w:t>
      </w:r>
      <w:r>
        <w:t>%), la ausencia de autoridades (6,3</w:t>
      </w:r>
      <w:r>
        <w:rPr>
          <w:spacing w:val="-2"/>
        </w:rPr>
        <w:t xml:space="preserve"> </w:t>
      </w:r>
      <w:r>
        <w:t>%), la vergüenza</w:t>
      </w:r>
      <w:r>
        <w:rPr>
          <w:spacing w:val="40"/>
        </w:rPr>
        <w:t xml:space="preserve"> </w:t>
      </w:r>
      <w:r>
        <w:t>(1,6</w:t>
      </w:r>
      <w:r>
        <w:rPr>
          <w:spacing w:val="-2"/>
        </w:rPr>
        <w:t xml:space="preserve"> </w:t>
      </w:r>
      <w:r>
        <w:t>%), la ignorancia o inacción (5,8</w:t>
      </w:r>
      <w:r>
        <w:rPr>
          <w:spacing w:val="-2"/>
        </w:rPr>
        <w:t xml:space="preserve"> </w:t>
      </w:r>
      <w:r>
        <w:t>%). Estos datos son similares a los que encontró el Departamento Nacional de Planeación (DNP) en la Encuesta de Necesidades Jurídicas en Colombia –-la más grande de este tipo que se ha hecho hasta</w:t>
      </w:r>
      <w:r>
        <w:rPr>
          <w:spacing w:val="-1"/>
        </w:rPr>
        <w:t xml:space="preserve"> </w:t>
      </w:r>
      <w:r>
        <w:t>el momento</w:t>
      </w:r>
      <w:r>
        <w:rPr>
          <w:spacing w:val="-1"/>
        </w:rPr>
        <w:t xml:space="preserve"> </w:t>
      </w:r>
      <w:r>
        <w:t>en Colombia–, en 2016</w:t>
      </w:r>
      <w:r w:rsidR="001B50F5">
        <w:rPr>
          <w:rStyle w:val="Refdenotaalpie"/>
        </w:rPr>
        <w:footnoteReference w:id="935"/>
      </w:r>
      <w:r>
        <w:t>. Según esta encuesta, el 32,36</w:t>
      </w:r>
      <w:r>
        <w:rPr>
          <w:spacing w:val="-4"/>
        </w:rPr>
        <w:t xml:space="preserve"> </w:t>
      </w:r>
      <w:r>
        <w:t>% de quienes tuvieron un problema relacionado con el conflicto armado no denunció ni hizo nada para solucionarlo, el 66,36</w:t>
      </w:r>
      <w:r>
        <w:rPr>
          <w:spacing w:val="-2"/>
        </w:rPr>
        <w:t xml:space="preserve"> </w:t>
      </w:r>
      <w:r>
        <w:t>% lo gestionó a través de una entidad o persona cuya gestión era reconocida y permitida por el Estado para solucionar el problema y el 1,28 % a través de acuerdo entre las partes.</w:t>
      </w:r>
    </w:p>
    <w:p w:rsidR="003804AC" w:rsidRDefault="00AF18A5" w:rsidP="001B50F5">
      <w:r>
        <w:t>Más</w:t>
      </w:r>
      <w:r>
        <w:rPr>
          <w:spacing w:val="-10"/>
        </w:rPr>
        <w:t xml:space="preserve"> </w:t>
      </w:r>
      <w:r>
        <w:t>allá</w:t>
      </w:r>
      <w:r>
        <w:rPr>
          <w:spacing w:val="-9"/>
        </w:rPr>
        <w:t xml:space="preserve"> </w:t>
      </w:r>
      <w:r>
        <w:t>de</w:t>
      </w:r>
      <w:r>
        <w:rPr>
          <w:spacing w:val="-9"/>
        </w:rPr>
        <w:t xml:space="preserve"> </w:t>
      </w:r>
      <w:r>
        <w:t>los</w:t>
      </w:r>
      <w:r>
        <w:rPr>
          <w:spacing w:val="-10"/>
        </w:rPr>
        <w:t xml:space="preserve"> </w:t>
      </w:r>
      <w:r>
        <w:t>porcentajes,</w:t>
      </w:r>
      <w:r>
        <w:rPr>
          <w:spacing w:val="-10"/>
        </w:rPr>
        <w:t xml:space="preserve"> </w:t>
      </w:r>
      <w:r>
        <w:t>al</w:t>
      </w:r>
      <w:r>
        <w:rPr>
          <w:spacing w:val="-9"/>
        </w:rPr>
        <w:t xml:space="preserve"> </w:t>
      </w:r>
      <w:r>
        <w:t>comparar</w:t>
      </w:r>
      <w:r>
        <w:rPr>
          <w:spacing w:val="-9"/>
        </w:rPr>
        <w:t xml:space="preserve"> </w:t>
      </w:r>
      <w:r>
        <w:t>los</w:t>
      </w:r>
      <w:r>
        <w:rPr>
          <w:spacing w:val="-11"/>
        </w:rPr>
        <w:t xml:space="preserve"> </w:t>
      </w:r>
      <w:r>
        <w:t>resultados</w:t>
      </w:r>
      <w:r>
        <w:rPr>
          <w:spacing w:val="-10"/>
        </w:rPr>
        <w:t xml:space="preserve"> </w:t>
      </w:r>
      <w:r>
        <w:t>de</w:t>
      </w:r>
      <w:r>
        <w:rPr>
          <w:spacing w:val="-9"/>
        </w:rPr>
        <w:t xml:space="preserve"> </w:t>
      </w:r>
      <w:r>
        <w:t>los</w:t>
      </w:r>
      <w:r>
        <w:rPr>
          <w:spacing w:val="-9"/>
        </w:rPr>
        <w:t xml:space="preserve"> </w:t>
      </w:r>
      <w:r>
        <w:t>estudios</w:t>
      </w:r>
      <w:r>
        <w:rPr>
          <w:spacing w:val="-9"/>
        </w:rPr>
        <w:t xml:space="preserve"> </w:t>
      </w:r>
      <w:r>
        <w:t>de</w:t>
      </w:r>
      <w:r>
        <w:rPr>
          <w:spacing w:val="-9"/>
        </w:rPr>
        <w:t xml:space="preserve"> </w:t>
      </w:r>
      <w:r>
        <w:t>1985</w:t>
      </w:r>
      <w:r>
        <w:rPr>
          <w:spacing w:val="-10"/>
        </w:rPr>
        <w:t xml:space="preserve"> </w:t>
      </w:r>
      <w:r>
        <w:t>y</w:t>
      </w:r>
      <w:r>
        <w:rPr>
          <w:spacing w:val="-10"/>
        </w:rPr>
        <w:t xml:space="preserve"> </w:t>
      </w:r>
      <w:r>
        <w:t>del</w:t>
      </w:r>
      <w:r>
        <w:rPr>
          <w:spacing w:val="-9"/>
        </w:rPr>
        <w:t xml:space="preserve"> </w:t>
      </w:r>
      <w:r>
        <w:t xml:space="preserve">2016, es notable la persistencia de barreras para el acceso a la justicia, así como la inoperancia de esta, expresada en la cantidad de </w:t>
      </w:r>
      <w:r>
        <w:lastRenderedPageBreak/>
        <w:t>tiempo que se toma en llegar a una decisión y el desconocimiento de cómo exigir derechos. La complejidad del sistema jurídico colombiano hace que muchos de sus intríngulis sean de difícil comprensión para las víctimas.</w:t>
      </w:r>
    </w:p>
    <w:p w:rsidR="003804AC" w:rsidRPr="00D907C6" w:rsidRDefault="00AF18A5" w:rsidP="00D907C6">
      <w:r>
        <w:t>Muchas de las que hablaron con la Comisión, sin embargo, demostraron un dominio, labrado</w:t>
      </w:r>
      <w:r>
        <w:rPr>
          <w:spacing w:val="-9"/>
        </w:rPr>
        <w:t xml:space="preserve"> </w:t>
      </w:r>
      <w:r>
        <w:t>a</w:t>
      </w:r>
      <w:r>
        <w:rPr>
          <w:spacing w:val="-9"/>
        </w:rPr>
        <w:t xml:space="preserve"> </w:t>
      </w:r>
      <w:r>
        <w:t>fuerza,</w:t>
      </w:r>
      <w:r>
        <w:rPr>
          <w:spacing w:val="-8"/>
        </w:rPr>
        <w:t xml:space="preserve"> </w:t>
      </w:r>
      <w:r>
        <w:t>no</w:t>
      </w:r>
      <w:r>
        <w:rPr>
          <w:spacing w:val="-8"/>
        </w:rPr>
        <w:t xml:space="preserve"> </w:t>
      </w:r>
      <w:r>
        <w:t>solo</w:t>
      </w:r>
      <w:r>
        <w:rPr>
          <w:spacing w:val="-10"/>
        </w:rPr>
        <w:t xml:space="preserve"> </w:t>
      </w:r>
      <w:r>
        <w:t>de</w:t>
      </w:r>
      <w:r>
        <w:rPr>
          <w:spacing w:val="-8"/>
        </w:rPr>
        <w:t xml:space="preserve"> </w:t>
      </w:r>
      <w:r>
        <w:t>sus</w:t>
      </w:r>
      <w:r>
        <w:rPr>
          <w:spacing w:val="-8"/>
        </w:rPr>
        <w:t xml:space="preserve"> </w:t>
      </w:r>
      <w:r>
        <w:t>casos</w:t>
      </w:r>
      <w:r>
        <w:rPr>
          <w:spacing w:val="-9"/>
        </w:rPr>
        <w:t xml:space="preserve"> </w:t>
      </w:r>
      <w:r>
        <w:t>sino</w:t>
      </w:r>
      <w:r>
        <w:rPr>
          <w:spacing w:val="-8"/>
        </w:rPr>
        <w:t xml:space="preserve"> </w:t>
      </w:r>
      <w:r>
        <w:t>de</w:t>
      </w:r>
      <w:r>
        <w:rPr>
          <w:spacing w:val="-8"/>
        </w:rPr>
        <w:t xml:space="preserve"> </w:t>
      </w:r>
      <w:r>
        <w:t>cómo</w:t>
      </w:r>
      <w:r>
        <w:rPr>
          <w:spacing w:val="-8"/>
        </w:rPr>
        <w:t xml:space="preserve"> </w:t>
      </w:r>
      <w:r>
        <w:t>opera</w:t>
      </w:r>
      <w:r>
        <w:rPr>
          <w:spacing w:val="-8"/>
        </w:rPr>
        <w:t xml:space="preserve"> </w:t>
      </w:r>
      <w:r>
        <w:t>el</w:t>
      </w:r>
      <w:r>
        <w:rPr>
          <w:spacing w:val="-8"/>
        </w:rPr>
        <w:t xml:space="preserve"> </w:t>
      </w:r>
      <w:r>
        <w:t>sistema</w:t>
      </w:r>
      <w:r>
        <w:rPr>
          <w:spacing w:val="-8"/>
        </w:rPr>
        <w:t xml:space="preserve"> </w:t>
      </w:r>
      <w:r>
        <w:t>jurídico.</w:t>
      </w:r>
      <w:r>
        <w:rPr>
          <w:spacing w:val="-8"/>
        </w:rPr>
        <w:t xml:space="preserve"> </w:t>
      </w:r>
      <w:r>
        <w:t>Estas</w:t>
      </w:r>
      <w:r>
        <w:rPr>
          <w:spacing w:val="-8"/>
        </w:rPr>
        <w:t xml:space="preserve"> </w:t>
      </w:r>
      <w:r>
        <w:t>lecciones provienen de un esfuerzo de décadas de insistencia para hacer prevalecer la justicia y reivindicar</w:t>
      </w:r>
      <w:r>
        <w:rPr>
          <w:spacing w:val="-14"/>
        </w:rPr>
        <w:t xml:space="preserve"> </w:t>
      </w:r>
      <w:r>
        <w:t>el</w:t>
      </w:r>
      <w:r>
        <w:rPr>
          <w:spacing w:val="-14"/>
        </w:rPr>
        <w:t xml:space="preserve"> </w:t>
      </w:r>
      <w:r>
        <w:t>nombre</w:t>
      </w:r>
      <w:r>
        <w:rPr>
          <w:spacing w:val="-14"/>
        </w:rPr>
        <w:t xml:space="preserve"> </w:t>
      </w:r>
      <w:r>
        <w:t>de</w:t>
      </w:r>
      <w:r>
        <w:rPr>
          <w:spacing w:val="-15"/>
        </w:rPr>
        <w:t xml:space="preserve"> </w:t>
      </w:r>
      <w:r>
        <w:t>sus</w:t>
      </w:r>
      <w:r>
        <w:rPr>
          <w:spacing w:val="-14"/>
        </w:rPr>
        <w:t xml:space="preserve"> </w:t>
      </w:r>
      <w:r>
        <w:t>familiares.</w:t>
      </w:r>
      <w:r>
        <w:rPr>
          <w:spacing w:val="-14"/>
        </w:rPr>
        <w:t xml:space="preserve"> </w:t>
      </w:r>
      <w:r>
        <w:t>Un</w:t>
      </w:r>
      <w:r>
        <w:rPr>
          <w:spacing w:val="-14"/>
        </w:rPr>
        <w:t xml:space="preserve"> </w:t>
      </w:r>
      <w:r>
        <w:t>caso</w:t>
      </w:r>
      <w:r>
        <w:rPr>
          <w:spacing w:val="-14"/>
        </w:rPr>
        <w:t xml:space="preserve"> </w:t>
      </w:r>
      <w:r>
        <w:t>que</w:t>
      </w:r>
      <w:r>
        <w:rPr>
          <w:spacing w:val="-14"/>
        </w:rPr>
        <w:t xml:space="preserve"> </w:t>
      </w:r>
      <w:r>
        <w:t>ilustra</w:t>
      </w:r>
      <w:r>
        <w:rPr>
          <w:spacing w:val="-15"/>
        </w:rPr>
        <w:t xml:space="preserve"> </w:t>
      </w:r>
      <w:r>
        <w:t>esta</w:t>
      </w:r>
      <w:r>
        <w:rPr>
          <w:spacing w:val="-14"/>
        </w:rPr>
        <w:t xml:space="preserve"> </w:t>
      </w:r>
      <w:r>
        <w:t>resistencia</w:t>
      </w:r>
      <w:r>
        <w:rPr>
          <w:spacing w:val="-15"/>
        </w:rPr>
        <w:t xml:space="preserve"> </w:t>
      </w:r>
      <w:r>
        <w:t>ante</w:t>
      </w:r>
      <w:r>
        <w:rPr>
          <w:spacing w:val="-14"/>
        </w:rPr>
        <w:t xml:space="preserve"> </w:t>
      </w:r>
      <w:r>
        <w:t>la</w:t>
      </w:r>
      <w:r>
        <w:rPr>
          <w:spacing w:val="-14"/>
        </w:rPr>
        <w:t xml:space="preserve"> </w:t>
      </w:r>
      <w:r>
        <w:t xml:space="preserve">impunidad es el de Fabiola </w:t>
      </w:r>
      <w:proofErr w:type="spellStart"/>
      <w:r>
        <w:t>Lalinde</w:t>
      </w:r>
      <w:proofErr w:type="spellEnd"/>
      <w:r>
        <w:t>, una mujer que, tras la desaparición de su hijo Luis Fernando en 1984</w:t>
      </w:r>
      <w:r>
        <w:rPr>
          <w:spacing w:val="-10"/>
        </w:rPr>
        <w:t xml:space="preserve"> </w:t>
      </w:r>
      <w:r>
        <w:t>por</w:t>
      </w:r>
      <w:r>
        <w:rPr>
          <w:spacing w:val="-9"/>
        </w:rPr>
        <w:t xml:space="preserve"> </w:t>
      </w:r>
      <w:r>
        <w:t>una</w:t>
      </w:r>
      <w:r>
        <w:rPr>
          <w:spacing w:val="-9"/>
        </w:rPr>
        <w:t xml:space="preserve"> </w:t>
      </w:r>
      <w:r>
        <w:t>patrulla</w:t>
      </w:r>
      <w:r>
        <w:rPr>
          <w:spacing w:val="-9"/>
        </w:rPr>
        <w:t xml:space="preserve"> </w:t>
      </w:r>
      <w:r>
        <w:t>del</w:t>
      </w:r>
      <w:r>
        <w:rPr>
          <w:spacing w:val="-9"/>
        </w:rPr>
        <w:t xml:space="preserve"> </w:t>
      </w:r>
      <w:r>
        <w:t>Ejército,</w:t>
      </w:r>
      <w:r>
        <w:rPr>
          <w:spacing w:val="-10"/>
        </w:rPr>
        <w:t xml:space="preserve"> </w:t>
      </w:r>
      <w:r>
        <w:t>no</w:t>
      </w:r>
      <w:r>
        <w:rPr>
          <w:spacing w:val="-10"/>
        </w:rPr>
        <w:t xml:space="preserve"> </w:t>
      </w:r>
      <w:r>
        <w:t>dejó</w:t>
      </w:r>
      <w:r>
        <w:rPr>
          <w:spacing w:val="-10"/>
        </w:rPr>
        <w:t xml:space="preserve"> </w:t>
      </w:r>
      <w:r>
        <w:t>de</w:t>
      </w:r>
      <w:r>
        <w:rPr>
          <w:spacing w:val="-9"/>
        </w:rPr>
        <w:t xml:space="preserve"> </w:t>
      </w:r>
      <w:r>
        <w:t>reclamar</w:t>
      </w:r>
      <w:r>
        <w:rPr>
          <w:spacing w:val="-9"/>
        </w:rPr>
        <w:t xml:space="preserve"> </w:t>
      </w:r>
      <w:r>
        <w:t>hasta</w:t>
      </w:r>
      <w:r>
        <w:rPr>
          <w:spacing w:val="-11"/>
        </w:rPr>
        <w:t xml:space="preserve"> </w:t>
      </w:r>
      <w:r>
        <w:t>que</w:t>
      </w:r>
      <w:r>
        <w:rPr>
          <w:spacing w:val="-9"/>
        </w:rPr>
        <w:t xml:space="preserve"> </w:t>
      </w:r>
      <w:r>
        <w:t>encontró</w:t>
      </w:r>
      <w:r>
        <w:rPr>
          <w:spacing w:val="-10"/>
        </w:rPr>
        <w:t xml:space="preserve"> </w:t>
      </w:r>
      <w:r>
        <w:t>sus</w:t>
      </w:r>
      <w:r>
        <w:rPr>
          <w:spacing w:val="-9"/>
        </w:rPr>
        <w:t xml:space="preserve"> </w:t>
      </w:r>
      <w:r>
        <w:t>restos.</w:t>
      </w:r>
      <w:r>
        <w:rPr>
          <w:spacing w:val="-10"/>
        </w:rPr>
        <w:t xml:space="preserve"> </w:t>
      </w:r>
      <w:r>
        <w:t xml:space="preserve">Fabiola </w:t>
      </w:r>
      <w:proofErr w:type="spellStart"/>
      <w:r>
        <w:t>Lalinde</w:t>
      </w:r>
      <w:proofErr w:type="spellEnd"/>
      <w:r>
        <w:rPr>
          <w:spacing w:val="-6"/>
        </w:rPr>
        <w:t xml:space="preserve"> </w:t>
      </w:r>
      <w:r>
        <w:t>se</w:t>
      </w:r>
      <w:r>
        <w:rPr>
          <w:spacing w:val="-5"/>
        </w:rPr>
        <w:t xml:space="preserve"> </w:t>
      </w:r>
      <w:r>
        <w:t>convirtió</w:t>
      </w:r>
      <w:r>
        <w:rPr>
          <w:spacing w:val="-6"/>
        </w:rPr>
        <w:t xml:space="preserve"> </w:t>
      </w:r>
      <w:r>
        <w:t>en</w:t>
      </w:r>
      <w:r>
        <w:rPr>
          <w:spacing w:val="-5"/>
        </w:rPr>
        <w:t xml:space="preserve"> </w:t>
      </w:r>
      <w:r>
        <w:t>símbolo</w:t>
      </w:r>
      <w:r>
        <w:rPr>
          <w:spacing w:val="-5"/>
        </w:rPr>
        <w:t xml:space="preserve"> </w:t>
      </w:r>
      <w:r>
        <w:t>de</w:t>
      </w:r>
      <w:r>
        <w:rPr>
          <w:spacing w:val="-6"/>
        </w:rPr>
        <w:t xml:space="preserve"> </w:t>
      </w:r>
      <w:r>
        <w:t>la</w:t>
      </w:r>
      <w:r>
        <w:rPr>
          <w:spacing w:val="-6"/>
        </w:rPr>
        <w:t xml:space="preserve"> </w:t>
      </w:r>
      <w:r>
        <w:t>lucha</w:t>
      </w:r>
      <w:r>
        <w:rPr>
          <w:spacing w:val="-5"/>
        </w:rPr>
        <w:t xml:space="preserve"> </w:t>
      </w:r>
      <w:r>
        <w:t>contra</w:t>
      </w:r>
      <w:r>
        <w:rPr>
          <w:spacing w:val="-6"/>
        </w:rPr>
        <w:t xml:space="preserve"> </w:t>
      </w:r>
      <w:r>
        <w:t>la</w:t>
      </w:r>
      <w:r>
        <w:rPr>
          <w:spacing w:val="-6"/>
        </w:rPr>
        <w:t xml:space="preserve"> </w:t>
      </w:r>
      <w:r>
        <w:t>impunidad.</w:t>
      </w:r>
      <w:r>
        <w:rPr>
          <w:spacing w:val="-5"/>
        </w:rPr>
        <w:t xml:space="preserve"> </w:t>
      </w:r>
      <w:r>
        <w:t>Para</w:t>
      </w:r>
      <w:r>
        <w:rPr>
          <w:spacing w:val="-6"/>
        </w:rPr>
        <w:t xml:space="preserve"> </w:t>
      </w:r>
      <w:r>
        <w:t>describirla,</w:t>
      </w:r>
      <w:r>
        <w:rPr>
          <w:spacing w:val="-5"/>
        </w:rPr>
        <w:t xml:space="preserve"> </w:t>
      </w:r>
      <w:r>
        <w:t>hablaba</w:t>
      </w:r>
      <w:r>
        <w:rPr>
          <w:spacing w:val="-5"/>
        </w:rPr>
        <w:t xml:space="preserve"> de</w:t>
      </w:r>
      <w:bookmarkStart w:id="1159" w:name="_bookmark1023"/>
      <w:bookmarkStart w:id="1160" w:name="_bookmark1024"/>
      <w:bookmarkEnd w:id="1159"/>
      <w:bookmarkEnd w:id="1160"/>
      <w:r w:rsidR="00D907C6">
        <w:rPr>
          <w:spacing w:val="-5"/>
        </w:rPr>
        <w:t xml:space="preserve"> </w:t>
      </w:r>
      <w:r>
        <w:t>la operación Cirirí</w:t>
      </w:r>
      <w:r w:rsidR="00D907C6">
        <w:rPr>
          <w:rStyle w:val="Refdenotaalpie"/>
        </w:rPr>
        <w:footnoteReference w:id="936"/>
      </w:r>
      <w:r>
        <w:t>, que se convirtió en un ejemplo y una expresión de la lucha de los familiares de desaparecidos y el papel crucial de las víctimas en las investigaciones. En su caso,</w:t>
      </w:r>
      <w:r>
        <w:rPr>
          <w:spacing w:val="-10"/>
        </w:rPr>
        <w:t xml:space="preserve"> </w:t>
      </w:r>
      <w:r>
        <w:t>esa</w:t>
      </w:r>
      <w:r>
        <w:rPr>
          <w:spacing w:val="-9"/>
        </w:rPr>
        <w:t xml:space="preserve"> </w:t>
      </w:r>
      <w:r>
        <w:t>postura</w:t>
      </w:r>
      <w:r>
        <w:rPr>
          <w:spacing w:val="-9"/>
        </w:rPr>
        <w:t xml:space="preserve"> </w:t>
      </w:r>
      <w:r>
        <w:t>de</w:t>
      </w:r>
      <w:r>
        <w:rPr>
          <w:spacing w:val="-9"/>
        </w:rPr>
        <w:t xml:space="preserve"> </w:t>
      </w:r>
      <w:r>
        <w:t>exigencia</w:t>
      </w:r>
      <w:r>
        <w:rPr>
          <w:spacing w:val="-9"/>
        </w:rPr>
        <w:t xml:space="preserve"> </w:t>
      </w:r>
      <w:r>
        <w:t>le</w:t>
      </w:r>
      <w:r>
        <w:rPr>
          <w:spacing w:val="-9"/>
        </w:rPr>
        <w:t xml:space="preserve"> </w:t>
      </w:r>
      <w:r>
        <w:t>costó</w:t>
      </w:r>
      <w:r>
        <w:rPr>
          <w:spacing w:val="-10"/>
        </w:rPr>
        <w:t xml:space="preserve"> </w:t>
      </w:r>
      <w:r>
        <w:t>que,</w:t>
      </w:r>
      <w:r>
        <w:rPr>
          <w:spacing w:val="-10"/>
        </w:rPr>
        <w:t xml:space="preserve"> </w:t>
      </w:r>
      <w:r>
        <w:t>a</w:t>
      </w:r>
      <w:r>
        <w:rPr>
          <w:spacing w:val="-9"/>
        </w:rPr>
        <w:t xml:space="preserve"> </w:t>
      </w:r>
      <w:r>
        <w:t>través</w:t>
      </w:r>
      <w:r>
        <w:rPr>
          <w:spacing w:val="-9"/>
        </w:rPr>
        <w:t xml:space="preserve"> </w:t>
      </w:r>
      <w:r>
        <w:t>de</w:t>
      </w:r>
      <w:r>
        <w:rPr>
          <w:spacing w:val="-9"/>
        </w:rPr>
        <w:t xml:space="preserve"> </w:t>
      </w:r>
      <w:r>
        <w:t>pruebas</w:t>
      </w:r>
      <w:r>
        <w:rPr>
          <w:spacing w:val="-10"/>
        </w:rPr>
        <w:t xml:space="preserve"> </w:t>
      </w:r>
      <w:r>
        <w:t>falsas,</w:t>
      </w:r>
      <w:r>
        <w:rPr>
          <w:spacing w:val="-10"/>
        </w:rPr>
        <w:t xml:space="preserve"> </w:t>
      </w:r>
      <w:r>
        <w:t>la</w:t>
      </w:r>
      <w:r>
        <w:rPr>
          <w:spacing w:val="-9"/>
        </w:rPr>
        <w:t xml:space="preserve"> </w:t>
      </w:r>
      <w:r>
        <w:t>acusaran</w:t>
      </w:r>
      <w:r>
        <w:rPr>
          <w:spacing w:val="-11"/>
        </w:rPr>
        <w:t xml:space="preserve"> </w:t>
      </w:r>
      <w:r>
        <w:t>falsamente de narcotráfico. La búsqueda de su hijo desaparecido por las Fuerzas Militares la llevó a enfrentar</w:t>
      </w:r>
      <w:r>
        <w:rPr>
          <w:spacing w:val="-6"/>
        </w:rPr>
        <w:t xml:space="preserve"> </w:t>
      </w:r>
      <w:r>
        <w:t>el</w:t>
      </w:r>
      <w:r>
        <w:rPr>
          <w:spacing w:val="-6"/>
        </w:rPr>
        <w:t xml:space="preserve"> </w:t>
      </w:r>
      <w:r>
        <w:t>negacionismo</w:t>
      </w:r>
      <w:r>
        <w:rPr>
          <w:spacing w:val="-5"/>
        </w:rPr>
        <w:t xml:space="preserve"> </w:t>
      </w:r>
      <w:r>
        <w:t>de</w:t>
      </w:r>
      <w:r>
        <w:rPr>
          <w:spacing w:val="-5"/>
        </w:rPr>
        <w:t xml:space="preserve"> </w:t>
      </w:r>
      <w:r>
        <w:t>la</w:t>
      </w:r>
      <w:r>
        <w:rPr>
          <w:spacing w:val="-5"/>
        </w:rPr>
        <w:t xml:space="preserve"> </w:t>
      </w:r>
      <w:r>
        <w:t>institución</w:t>
      </w:r>
      <w:r>
        <w:rPr>
          <w:spacing w:val="-5"/>
        </w:rPr>
        <w:t xml:space="preserve"> </w:t>
      </w:r>
      <w:r>
        <w:t>militar</w:t>
      </w:r>
      <w:r>
        <w:rPr>
          <w:spacing w:val="-4"/>
        </w:rPr>
        <w:t xml:space="preserve"> </w:t>
      </w:r>
      <w:r>
        <w:t>y</w:t>
      </w:r>
      <w:r>
        <w:rPr>
          <w:spacing w:val="-5"/>
        </w:rPr>
        <w:t xml:space="preserve"> </w:t>
      </w:r>
      <w:r>
        <w:t>a</w:t>
      </w:r>
      <w:r>
        <w:rPr>
          <w:spacing w:val="-5"/>
        </w:rPr>
        <w:t xml:space="preserve"> </w:t>
      </w:r>
      <w:r>
        <w:t>sufrir</w:t>
      </w:r>
      <w:r>
        <w:rPr>
          <w:spacing w:val="-4"/>
        </w:rPr>
        <w:t xml:space="preserve"> </w:t>
      </w:r>
      <w:r>
        <w:t>consecuencias</w:t>
      </w:r>
      <w:r>
        <w:rPr>
          <w:spacing w:val="-5"/>
        </w:rPr>
        <w:t xml:space="preserve"> </w:t>
      </w:r>
      <w:r>
        <w:t>en</w:t>
      </w:r>
      <w:r>
        <w:rPr>
          <w:spacing w:val="-5"/>
        </w:rPr>
        <w:t xml:space="preserve"> </w:t>
      </w:r>
      <w:r>
        <w:t>su</w:t>
      </w:r>
      <w:r>
        <w:rPr>
          <w:spacing w:val="-5"/>
        </w:rPr>
        <w:t xml:space="preserve"> </w:t>
      </w:r>
      <w:r>
        <w:t>vida</w:t>
      </w:r>
      <w:r>
        <w:rPr>
          <w:spacing w:val="-6"/>
        </w:rPr>
        <w:t xml:space="preserve"> </w:t>
      </w:r>
      <w:r>
        <w:t>y</w:t>
      </w:r>
      <w:r>
        <w:rPr>
          <w:spacing w:val="-5"/>
        </w:rPr>
        <w:t xml:space="preserve"> </w:t>
      </w:r>
      <w:r>
        <w:t>la</w:t>
      </w:r>
      <w:r>
        <w:rPr>
          <w:spacing w:val="-5"/>
        </w:rPr>
        <w:t xml:space="preserve"> </w:t>
      </w:r>
      <w:r>
        <w:t>de su familia. Uno de sus hijos tuvo que salir al exilio, por ejemplo.</w:t>
      </w:r>
    </w:p>
    <w:p w:rsidR="0011361F" w:rsidRDefault="00AF18A5" w:rsidP="00D907C6">
      <w:r>
        <w:t>Este testimonio, sumado al de otras víctimas que han decidido enfrentar la impunidad, demuestra</w:t>
      </w:r>
      <w:r>
        <w:rPr>
          <w:spacing w:val="-13"/>
        </w:rPr>
        <w:t xml:space="preserve"> </w:t>
      </w:r>
      <w:r>
        <w:t>otra</w:t>
      </w:r>
      <w:r>
        <w:rPr>
          <w:spacing w:val="-13"/>
        </w:rPr>
        <w:t xml:space="preserve"> </w:t>
      </w:r>
      <w:r>
        <w:t>realidad</w:t>
      </w:r>
      <w:r>
        <w:rPr>
          <w:spacing w:val="-13"/>
        </w:rPr>
        <w:t xml:space="preserve"> </w:t>
      </w:r>
      <w:r>
        <w:t>a</w:t>
      </w:r>
      <w:r>
        <w:rPr>
          <w:spacing w:val="-14"/>
        </w:rPr>
        <w:t xml:space="preserve"> </w:t>
      </w:r>
      <w:r>
        <w:t>lo</w:t>
      </w:r>
      <w:r>
        <w:rPr>
          <w:spacing w:val="-13"/>
        </w:rPr>
        <w:t xml:space="preserve"> </w:t>
      </w:r>
      <w:r>
        <w:t>largo</w:t>
      </w:r>
      <w:r>
        <w:rPr>
          <w:spacing w:val="-13"/>
        </w:rPr>
        <w:t xml:space="preserve"> </w:t>
      </w:r>
      <w:r>
        <w:t>del</w:t>
      </w:r>
      <w:r>
        <w:rPr>
          <w:spacing w:val="-13"/>
        </w:rPr>
        <w:t xml:space="preserve"> </w:t>
      </w:r>
      <w:r>
        <w:t>conflicto</w:t>
      </w:r>
      <w:r>
        <w:rPr>
          <w:spacing w:val="-13"/>
        </w:rPr>
        <w:t xml:space="preserve"> </w:t>
      </w:r>
      <w:r>
        <w:t>armado.</w:t>
      </w:r>
      <w:r>
        <w:rPr>
          <w:spacing w:val="-13"/>
        </w:rPr>
        <w:t xml:space="preserve"> </w:t>
      </w:r>
      <w:r>
        <w:t>Pese</w:t>
      </w:r>
      <w:r>
        <w:rPr>
          <w:spacing w:val="-13"/>
        </w:rPr>
        <w:t xml:space="preserve"> </w:t>
      </w:r>
      <w:r>
        <w:t>a</w:t>
      </w:r>
      <w:r>
        <w:rPr>
          <w:spacing w:val="-13"/>
        </w:rPr>
        <w:t xml:space="preserve"> </w:t>
      </w:r>
      <w:r>
        <w:t>que</w:t>
      </w:r>
      <w:r>
        <w:rPr>
          <w:spacing w:val="-13"/>
        </w:rPr>
        <w:t xml:space="preserve"> </w:t>
      </w:r>
      <w:r>
        <w:t>la</w:t>
      </w:r>
      <w:r>
        <w:rPr>
          <w:spacing w:val="-13"/>
        </w:rPr>
        <w:t xml:space="preserve"> </w:t>
      </w:r>
      <w:r>
        <w:t>obligación</w:t>
      </w:r>
      <w:r>
        <w:rPr>
          <w:spacing w:val="-13"/>
        </w:rPr>
        <w:t xml:space="preserve"> </w:t>
      </w:r>
      <w:r>
        <w:t>de</w:t>
      </w:r>
      <w:r>
        <w:rPr>
          <w:spacing w:val="-13"/>
        </w:rPr>
        <w:t xml:space="preserve"> </w:t>
      </w:r>
      <w:r>
        <w:t xml:space="preserve">investigar recae en las autoridades judiciales </w:t>
      </w:r>
      <w:r>
        <w:lastRenderedPageBreak/>
        <w:t>«de oficio», en múltiples ocasiones, el avance de los procesos terminó dependiendo de las víctimas. Hubo muchos esfuerzos institucionales y personales de muchos funcionarios, pero, a menudo quedó a la vista una notable desidia y falta</w:t>
      </w:r>
      <w:r>
        <w:rPr>
          <w:spacing w:val="-3"/>
        </w:rPr>
        <w:t xml:space="preserve"> </w:t>
      </w:r>
      <w:r>
        <w:t>de</w:t>
      </w:r>
      <w:r>
        <w:rPr>
          <w:spacing w:val="-3"/>
        </w:rPr>
        <w:t xml:space="preserve"> </w:t>
      </w:r>
      <w:r>
        <w:t>diligencia</w:t>
      </w:r>
      <w:r>
        <w:rPr>
          <w:spacing w:val="-3"/>
        </w:rPr>
        <w:t xml:space="preserve"> </w:t>
      </w:r>
      <w:r>
        <w:t>frente</w:t>
      </w:r>
      <w:r>
        <w:rPr>
          <w:spacing w:val="-4"/>
        </w:rPr>
        <w:t xml:space="preserve"> </w:t>
      </w:r>
      <w:r>
        <w:t>a</w:t>
      </w:r>
      <w:r>
        <w:rPr>
          <w:spacing w:val="-3"/>
        </w:rPr>
        <w:t xml:space="preserve"> </w:t>
      </w:r>
      <w:r>
        <w:t>las</w:t>
      </w:r>
      <w:r>
        <w:rPr>
          <w:spacing w:val="-3"/>
        </w:rPr>
        <w:t xml:space="preserve"> </w:t>
      </w:r>
      <w:r>
        <w:t>violaciones.</w:t>
      </w:r>
      <w:r>
        <w:rPr>
          <w:spacing w:val="-3"/>
        </w:rPr>
        <w:t xml:space="preserve"> </w:t>
      </w:r>
      <w:r>
        <w:t>En</w:t>
      </w:r>
      <w:r>
        <w:rPr>
          <w:spacing w:val="-3"/>
        </w:rPr>
        <w:t xml:space="preserve"> </w:t>
      </w:r>
      <w:r>
        <w:t>otros</w:t>
      </w:r>
      <w:r>
        <w:rPr>
          <w:spacing w:val="-3"/>
        </w:rPr>
        <w:t xml:space="preserve"> </w:t>
      </w:r>
      <w:r>
        <w:t>casos,</w:t>
      </w:r>
      <w:r>
        <w:rPr>
          <w:spacing w:val="-3"/>
        </w:rPr>
        <w:t xml:space="preserve"> </w:t>
      </w:r>
      <w:r>
        <w:t>las</w:t>
      </w:r>
      <w:r>
        <w:rPr>
          <w:spacing w:val="-4"/>
        </w:rPr>
        <w:t xml:space="preserve"> </w:t>
      </w:r>
      <w:r>
        <w:t>condiciones</w:t>
      </w:r>
      <w:r>
        <w:rPr>
          <w:spacing w:val="-4"/>
        </w:rPr>
        <w:t xml:space="preserve"> </w:t>
      </w:r>
      <w:r>
        <w:t>de</w:t>
      </w:r>
      <w:r>
        <w:rPr>
          <w:spacing w:val="-3"/>
        </w:rPr>
        <w:t xml:space="preserve"> </w:t>
      </w:r>
      <w:r>
        <w:t>seguridad</w:t>
      </w:r>
      <w:r>
        <w:rPr>
          <w:spacing w:val="-3"/>
        </w:rPr>
        <w:t xml:space="preserve"> </w:t>
      </w:r>
      <w:r>
        <w:t>para los funcionarios judiciales fueron muy precarias y, en algunos momentos, inexistentes. Un ejemplo</w:t>
      </w:r>
      <w:r>
        <w:rPr>
          <w:spacing w:val="-2"/>
        </w:rPr>
        <w:t xml:space="preserve"> </w:t>
      </w:r>
      <w:r>
        <w:t>paradigmático</w:t>
      </w:r>
      <w:r>
        <w:rPr>
          <w:spacing w:val="-5"/>
        </w:rPr>
        <w:t xml:space="preserve"> </w:t>
      </w:r>
      <w:r>
        <w:t>de</w:t>
      </w:r>
      <w:r>
        <w:rPr>
          <w:spacing w:val="-2"/>
        </w:rPr>
        <w:t xml:space="preserve"> </w:t>
      </w:r>
      <w:r>
        <w:t>esta</w:t>
      </w:r>
      <w:r>
        <w:rPr>
          <w:spacing w:val="-2"/>
        </w:rPr>
        <w:t xml:space="preserve"> </w:t>
      </w:r>
      <w:r>
        <w:t>situación</w:t>
      </w:r>
      <w:r>
        <w:rPr>
          <w:spacing w:val="-3"/>
        </w:rPr>
        <w:t xml:space="preserve"> </w:t>
      </w:r>
      <w:r>
        <w:t>lo</w:t>
      </w:r>
      <w:r>
        <w:rPr>
          <w:spacing w:val="-2"/>
        </w:rPr>
        <w:t xml:space="preserve"> </w:t>
      </w:r>
      <w:r>
        <w:t>ofreció</w:t>
      </w:r>
      <w:r>
        <w:rPr>
          <w:spacing w:val="-2"/>
        </w:rPr>
        <w:t xml:space="preserve"> </w:t>
      </w:r>
      <w:r>
        <w:t>en</w:t>
      </w:r>
      <w:r>
        <w:rPr>
          <w:spacing w:val="-3"/>
        </w:rPr>
        <w:t xml:space="preserve"> </w:t>
      </w:r>
      <w:r>
        <w:t>2004</w:t>
      </w:r>
      <w:r>
        <w:rPr>
          <w:spacing w:val="-2"/>
        </w:rPr>
        <w:t xml:space="preserve"> </w:t>
      </w:r>
      <w:r>
        <w:t>el</w:t>
      </w:r>
      <w:r>
        <w:rPr>
          <w:spacing w:val="-2"/>
        </w:rPr>
        <w:t xml:space="preserve"> </w:t>
      </w:r>
      <w:r>
        <w:t>entonces</w:t>
      </w:r>
      <w:r>
        <w:rPr>
          <w:spacing w:val="-3"/>
        </w:rPr>
        <w:t xml:space="preserve"> </w:t>
      </w:r>
      <w:r>
        <w:t>vicefiscal</w:t>
      </w:r>
      <w:r>
        <w:rPr>
          <w:spacing w:val="-3"/>
        </w:rPr>
        <w:t xml:space="preserve"> </w:t>
      </w:r>
      <w:r>
        <w:t>general</w:t>
      </w:r>
      <w:r>
        <w:rPr>
          <w:spacing w:val="-3"/>
        </w:rPr>
        <w:t xml:space="preserve"> </w:t>
      </w:r>
      <w:r>
        <w:t>de la nación a los medios de comunicación. En marzo de ese año, explicó que había muchas dificultades para administrar justicia en el país. En Arauca, dijo, los «fiscales tienen que administrar justicia acantonados en brigadas militares. Todo esto por temor a que los maten»</w:t>
      </w:r>
      <w:r w:rsidR="00D907C6">
        <w:rPr>
          <w:rStyle w:val="Refdenotaalpie"/>
        </w:rPr>
        <w:footnoteReference w:id="937"/>
      </w:r>
      <w:r>
        <w:t>.</w:t>
      </w:r>
      <w:r>
        <w:rPr>
          <w:spacing w:val="-1"/>
        </w:rPr>
        <w:t xml:space="preserve"> </w:t>
      </w:r>
      <w:r>
        <w:t>También</w:t>
      </w:r>
      <w:r>
        <w:rPr>
          <w:spacing w:val="-1"/>
        </w:rPr>
        <w:t xml:space="preserve"> </w:t>
      </w:r>
      <w:r>
        <w:t>han</w:t>
      </w:r>
      <w:r>
        <w:rPr>
          <w:spacing w:val="-1"/>
        </w:rPr>
        <w:t xml:space="preserve"> </w:t>
      </w:r>
      <w:r>
        <w:t>sido</w:t>
      </w:r>
      <w:r>
        <w:rPr>
          <w:spacing w:val="-1"/>
        </w:rPr>
        <w:t xml:space="preserve"> </w:t>
      </w:r>
      <w:r>
        <w:t>notorias</w:t>
      </w:r>
      <w:r>
        <w:rPr>
          <w:spacing w:val="-2"/>
        </w:rPr>
        <w:t xml:space="preserve"> </w:t>
      </w:r>
      <w:r>
        <w:t>las</w:t>
      </w:r>
      <w:r>
        <w:rPr>
          <w:spacing w:val="-1"/>
        </w:rPr>
        <w:t xml:space="preserve"> </w:t>
      </w:r>
      <w:r>
        <w:t>barreras</w:t>
      </w:r>
      <w:r>
        <w:rPr>
          <w:spacing w:val="-1"/>
        </w:rPr>
        <w:t xml:space="preserve"> </w:t>
      </w:r>
      <w:r>
        <w:t>de</w:t>
      </w:r>
      <w:r>
        <w:rPr>
          <w:spacing w:val="-1"/>
        </w:rPr>
        <w:t xml:space="preserve"> </w:t>
      </w:r>
      <w:r>
        <w:t>acceso</w:t>
      </w:r>
      <w:r>
        <w:rPr>
          <w:spacing w:val="-1"/>
        </w:rPr>
        <w:t xml:space="preserve"> </w:t>
      </w:r>
      <w:r>
        <w:t>respecto</w:t>
      </w:r>
      <w:r>
        <w:rPr>
          <w:spacing w:val="-2"/>
        </w:rPr>
        <w:t xml:space="preserve"> </w:t>
      </w:r>
      <w:r>
        <w:t>a</w:t>
      </w:r>
      <w:r>
        <w:rPr>
          <w:spacing w:val="-1"/>
        </w:rPr>
        <w:t xml:space="preserve"> </w:t>
      </w:r>
      <w:r>
        <w:t>los</w:t>
      </w:r>
      <w:r>
        <w:rPr>
          <w:spacing w:val="-2"/>
        </w:rPr>
        <w:t xml:space="preserve"> </w:t>
      </w:r>
      <w:r>
        <w:t>delitos</w:t>
      </w:r>
      <w:r>
        <w:rPr>
          <w:spacing w:val="-1"/>
        </w:rPr>
        <w:t xml:space="preserve"> </w:t>
      </w:r>
      <w:r>
        <w:t>contra</w:t>
      </w:r>
      <w:r>
        <w:rPr>
          <w:spacing w:val="-2"/>
        </w:rPr>
        <w:t xml:space="preserve"> </w:t>
      </w:r>
      <w:r>
        <w:t>las mujeres. Sus defensores han advertido problemas como la falta de conocimiento, la frecuencia</w:t>
      </w:r>
      <w:r>
        <w:rPr>
          <w:spacing w:val="-8"/>
        </w:rPr>
        <w:t xml:space="preserve"> </w:t>
      </w:r>
      <w:r>
        <w:t>con</w:t>
      </w:r>
      <w:r>
        <w:rPr>
          <w:spacing w:val="-7"/>
        </w:rPr>
        <w:t xml:space="preserve"> </w:t>
      </w:r>
      <w:r>
        <w:t>que</w:t>
      </w:r>
      <w:r>
        <w:rPr>
          <w:spacing w:val="-7"/>
        </w:rPr>
        <w:t xml:space="preserve"> </w:t>
      </w:r>
      <w:r>
        <w:t>se</w:t>
      </w:r>
      <w:r>
        <w:rPr>
          <w:spacing w:val="-7"/>
        </w:rPr>
        <w:t xml:space="preserve"> </w:t>
      </w:r>
      <w:r>
        <w:t>minimizan</w:t>
      </w:r>
      <w:r>
        <w:rPr>
          <w:spacing w:val="-7"/>
        </w:rPr>
        <w:t xml:space="preserve"> </w:t>
      </w:r>
      <w:r>
        <w:t>sus</w:t>
      </w:r>
      <w:r>
        <w:rPr>
          <w:spacing w:val="-8"/>
        </w:rPr>
        <w:t xml:space="preserve"> </w:t>
      </w:r>
      <w:r>
        <w:t>denuncias</w:t>
      </w:r>
      <w:r>
        <w:rPr>
          <w:spacing w:val="-7"/>
        </w:rPr>
        <w:t xml:space="preserve"> </w:t>
      </w:r>
      <w:r>
        <w:t>o</w:t>
      </w:r>
      <w:r>
        <w:rPr>
          <w:spacing w:val="-10"/>
        </w:rPr>
        <w:t xml:space="preserve"> </w:t>
      </w:r>
      <w:r>
        <w:t>no</w:t>
      </w:r>
      <w:r>
        <w:rPr>
          <w:spacing w:val="-7"/>
        </w:rPr>
        <w:t xml:space="preserve"> </w:t>
      </w:r>
      <w:r>
        <w:t>se</w:t>
      </w:r>
      <w:r>
        <w:rPr>
          <w:spacing w:val="-7"/>
        </w:rPr>
        <w:t xml:space="preserve"> </w:t>
      </w:r>
      <w:r>
        <w:t>tiene</w:t>
      </w:r>
      <w:r>
        <w:rPr>
          <w:spacing w:val="-7"/>
        </w:rPr>
        <w:t xml:space="preserve"> </w:t>
      </w:r>
      <w:r>
        <w:t>en</w:t>
      </w:r>
      <w:r>
        <w:rPr>
          <w:spacing w:val="-7"/>
        </w:rPr>
        <w:t xml:space="preserve"> </w:t>
      </w:r>
      <w:r>
        <w:t>cuenta</w:t>
      </w:r>
      <w:r>
        <w:rPr>
          <w:spacing w:val="-7"/>
        </w:rPr>
        <w:t xml:space="preserve"> </w:t>
      </w:r>
      <w:r>
        <w:t>un</w:t>
      </w:r>
      <w:r>
        <w:rPr>
          <w:spacing w:val="-8"/>
        </w:rPr>
        <w:t xml:space="preserve"> </w:t>
      </w:r>
      <w:r>
        <w:t>enfoque</w:t>
      </w:r>
      <w:r>
        <w:rPr>
          <w:spacing w:val="-7"/>
        </w:rPr>
        <w:t xml:space="preserve"> </w:t>
      </w:r>
      <w:r>
        <w:t>de</w:t>
      </w:r>
      <w:r>
        <w:rPr>
          <w:spacing w:val="-8"/>
        </w:rPr>
        <w:t xml:space="preserve"> </w:t>
      </w:r>
      <w:r>
        <w:t>género en las investigaciones, o la falta evaluación de las implicaciones para las mujeres de las denuncias, especialmente en los casos de violencia sexual, lo</w:t>
      </w:r>
      <w:r>
        <w:rPr>
          <w:spacing w:val="-1"/>
        </w:rPr>
        <w:t xml:space="preserve"> </w:t>
      </w:r>
      <w:r>
        <w:t>que conlleva</w:t>
      </w:r>
      <w:r>
        <w:rPr>
          <w:spacing w:val="-1"/>
        </w:rPr>
        <w:t xml:space="preserve"> </w:t>
      </w:r>
      <w:r>
        <w:t>en muchos</w:t>
      </w:r>
      <w:r>
        <w:rPr>
          <w:spacing w:val="-1"/>
        </w:rPr>
        <w:t xml:space="preserve"> </w:t>
      </w:r>
      <w:r>
        <w:t>casos denegación de justicia.</w:t>
      </w:r>
    </w:p>
    <w:p w:rsidR="003804AC" w:rsidRDefault="00AF18A5" w:rsidP="00D907C6">
      <w:bookmarkStart w:id="1161" w:name="_bookmark1025"/>
      <w:bookmarkStart w:id="1162" w:name="_bookmark1026"/>
      <w:bookmarkEnd w:id="1161"/>
      <w:bookmarkEnd w:id="1162"/>
      <w:r>
        <w:t>El</w:t>
      </w:r>
      <w:r>
        <w:rPr>
          <w:spacing w:val="-3"/>
        </w:rPr>
        <w:t xml:space="preserve"> </w:t>
      </w:r>
      <w:r>
        <w:t>hecho</w:t>
      </w:r>
      <w:r>
        <w:rPr>
          <w:spacing w:val="-4"/>
        </w:rPr>
        <w:t xml:space="preserve"> </w:t>
      </w:r>
      <w:r>
        <w:t>de</w:t>
      </w:r>
      <w:r>
        <w:rPr>
          <w:spacing w:val="-5"/>
        </w:rPr>
        <w:t xml:space="preserve"> </w:t>
      </w:r>
      <w:r>
        <w:t>que</w:t>
      </w:r>
      <w:r>
        <w:rPr>
          <w:spacing w:val="-3"/>
        </w:rPr>
        <w:t xml:space="preserve"> </w:t>
      </w:r>
      <w:r>
        <w:t>la</w:t>
      </w:r>
      <w:r>
        <w:rPr>
          <w:spacing w:val="-5"/>
        </w:rPr>
        <w:t xml:space="preserve"> </w:t>
      </w:r>
      <w:r>
        <w:t>mayoría</w:t>
      </w:r>
      <w:r>
        <w:rPr>
          <w:spacing w:val="-3"/>
        </w:rPr>
        <w:t xml:space="preserve"> </w:t>
      </w:r>
      <w:r>
        <w:t>de</w:t>
      </w:r>
      <w:r>
        <w:rPr>
          <w:spacing w:val="-3"/>
        </w:rPr>
        <w:t xml:space="preserve"> </w:t>
      </w:r>
      <w:r>
        <w:t>los</w:t>
      </w:r>
      <w:r>
        <w:rPr>
          <w:spacing w:val="-5"/>
        </w:rPr>
        <w:t xml:space="preserve"> </w:t>
      </w:r>
      <w:r>
        <w:t>crímenes</w:t>
      </w:r>
      <w:r>
        <w:rPr>
          <w:spacing w:val="-3"/>
        </w:rPr>
        <w:t xml:space="preserve"> </w:t>
      </w:r>
      <w:r>
        <w:t>del</w:t>
      </w:r>
      <w:r>
        <w:rPr>
          <w:spacing w:val="-4"/>
        </w:rPr>
        <w:t xml:space="preserve"> </w:t>
      </w:r>
      <w:r>
        <w:t>conflicto</w:t>
      </w:r>
      <w:r>
        <w:rPr>
          <w:spacing w:val="-4"/>
        </w:rPr>
        <w:t xml:space="preserve"> </w:t>
      </w:r>
      <w:r>
        <w:t>sean</w:t>
      </w:r>
      <w:r>
        <w:rPr>
          <w:spacing w:val="-4"/>
        </w:rPr>
        <w:t xml:space="preserve"> </w:t>
      </w:r>
      <w:r>
        <w:t>cometidos</w:t>
      </w:r>
      <w:r>
        <w:rPr>
          <w:spacing w:val="-6"/>
        </w:rPr>
        <w:t xml:space="preserve"> </w:t>
      </w:r>
      <w:r>
        <w:t>en</w:t>
      </w:r>
      <w:r>
        <w:rPr>
          <w:spacing w:val="-4"/>
        </w:rPr>
        <w:t xml:space="preserve"> </w:t>
      </w:r>
      <w:r>
        <w:t>zonas</w:t>
      </w:r>
      <w:r>
        <w:rPr>
          <w:spacing w:val="-5"/>
        </w:rPr>
        <w:t xml:space="preserve"> </w:t>
      </w:r>
      <w:r>
        <w:t>rurales o bajo el control e influencia de múltiples actores armados ha hecho que la justicia sea impracticable</w:t>
      </w:r>
      <w:r>
        <w:rPr>
          <w:spacing w:val="-14"/>
        </w:rPr>
        <w:t xml:space="preserve"> </w:t>
      </w:r>
      <w:r>
        <w:t>o</w:t>
      </w:r>
      <w:r>
        <w:rPr>
          <w:spacing w:val="-14"/>
        </w:rPr>
        <w:t xml:space="preserve"> </w:t>
      </w:r>
      <w:r>
        <w:t>que</w:t>
      </w:r>
      <w:r>
        <w:rPr>
          <w:spacing w:val="-14"/>
        </w:rPr>
        <w:t xml:space="preserve"> </w:t>
      </w:r>
      <w:r>
        <w:t>sirva</w:t>
      </w:r>
      <w:r>
        <w:rPr>
          <w:spacing w:val="-15"/>
        </w:rPr>
        <w:t xml:space="preserve"> </w:t>
      </w:r>
      <w:r>
        <w:t>como</w:t>
      </w:r>
      <w:r>
        <w:rPr>
          <w:spacing w:val="-14"/>
        </w:rPr>
        <w:t xml:space="preserve"> </w:t>
      </w:r>
      <w:r>
        <w:t>pretexto</w:t>
      </w:r>
      <w:r>
        <w:rPr>
          <w:spacing w:val="-14"/>
        </w:rPr>
        <w:t xml:space="preserve"> </w:t>
      </w:r>
      <w:r>
        <w:t>para</w:t>
      </w:r>
      <w:r>
        <w:rPr>
          <w:spacing w:val="-14"/>
        </w:rPr>
        <w:t xml:space="preserve"> </w:t>
      </w:r>
      <w:r>
        <w:t>denegar</w:t>
      </w:r>
      <w:r>
        <w:rPr>
          <w:spacing w:val="-14"/>
        </w:rPr>
        <w:t xml:space="preserve"> </w:t>
      </w:r>
      <w:r>
        <w:t>la</w:t>
      </w:r>
      <w:r>
        <w:rPr>
          <w:spacing w:val="-14"/>
        </w:rPr>
        <w:t xml:space="preserve"> </w:t>
      </w:r>
      <w:r>
        <w:t>verdad</w:t>
      </w:r>
      <w:r>
        <w:rPr>
          <w:spacing w:val="-14"/>
        </w:rPr>
        <w:t xml:space="preserve"> </w:t>
      </w:r>
      <w:r>
        <w:t>a</w:t>
      </w:r>
      <w:r>
        <w:rPr>
          <w:spacing w:val="-14"/>
        </w:rPr>
        <w:t xml:space="preserve"> </w:t>
      </w:r>
      <w:r>
        <w:t>las</w:t>
      </w:r>
      <w:r>
        <w:rPr>
          <w:spacing w:val="-14"/>
        </w:rPr>
        <w:t xml:space="preserve"> </w:t>
      </w:r>
      <w:r>
        <w:t>víctimas.</w:t>
      </w:r>
      <w:r>
        <w:rPr>
          <w:spacing w:val="-14"/>
        </w:rPr>
        <w:t xml:space="preserve"> </w:t>
      </w:r>
      <w:r>
        <w:t>Como</w:t>
      </w:r>
      <w:r>
        <w:rPr>
          <w:spacing w:val="-15"/>
        </w:rPr>
        <w:t xml:space="preserve"> </w:t>
      </w:r>
      <w:r>
        <w:t>observó la Defensoría del Pueblo, «en estas regiones, la presencia de las autoridades que puedan brindar protección es más baja y su capacidad de reacción también es reducida»</w:t>
      </w:r>
      <w:r w:rsidR="00D907C6">
        <w:rPr>
          <w:rStyle w:val="Refdenotaalpie"/>
        </w:rPr>
        <w:footnoteReference w:id="938"/>
      </w:r>
      <w:r>
        <w:t>.</w:t>
      </w:r>
    </w:p>
    <w:p w:rsidR="003804AC" w:rsidRDefault="00AF18A5" w:rsidP="00D907C6">
      <w:r>
        <w:lastRenderedPageBreak/>
        <w:t>En muchos lugares del país, la justicia se limita a conocer de infracciones menores o meramente simbólicas ante la regencia de los grupos armados que terminaron por regular problemas</w:t>
      </w:r>
      <w:r>
        <w:rPr>
          <w:spacing w:val="-6"/>
        </w:rPr>
        <w:t xml:space="preserve"> </w:t>
      </w:r>
      <w:r>
        <w:t>sustanciales.</w:t>
      </w:r>
      <w:r>
        <w:rPr>
          <w:spacing w:val="-6"/>
        </w:rPr>
        <w:t xml:space="preserve"> </w:t>
      </w:r>
      <w:r>
        <w:t>Un</w:t>
      </w:r>
      <w:r>
        <w:rPr>
          <w:spacing w:val="-6"/>
        </w:rPr>
        <w:t xml:space="preserve"> </w:t>
      </w:r>
      <w:r>
        <w:t>ejemplo</w:t>
      </w:r>
      <w:r>
        <w:rPr>
          <w:spacing w:val="-7"/>
        </w:rPr>
        <w:t xml:space="preserve"> </w:t>
      </w:r>
      <w:r>
        <w:t>visible</w:t>
      </w:r>
      <w:r>
        <w:rPr>
          <w:spacing w:val="-6"/>
        </w:rPr>
        <w:t xml:space="preserve"> </w:t>
      </w:r>
      <w:r>
        <w:t>se</w:t>
      </w:r>
      <w:r>
        <w:rPr>
          <w:spacing w:val="-6"/>
        </w:rPr>
        <w:t xml:space="preserve"> </w:t>
      </w:r>
      <w:r>
        <w:t>vivió</w:t>
      </w:r>
      <w:r>
        <w:rPr>
          <w:spacing w:val="-6"/>
        </w:rPr>
        <w:t xml:space="preserve"> </w:t>
      </w:r>
      <w:r>
        <w:t>durante</w:t>
      </w:r>
      <w:r>
        <w:rPr>
          <w:spacing w:val="-6"/>
        </w:rPr>
        <w:t xml:space="preserve"> </w:t>
      </w:r>
      <w:r>
        <w:t>la</w:t>
      </w:r>
      <w:r>
        <w:rPr>
          <w:spacing w:val="-6"/>
        </w:rPr>
        <w:t xml:space="preserve"> </w:t>
      </w:r>
      <w:r>
        <w:t>«zona</w:t>
      </w:r>
      <w:r>
        <w:rPr>
          <w:spacing w:val="-6"/>
        </w:rPr>
        <w:t xml:space="preserve"> </w:t>
      </w:r>
      <w:r>
        <w:t>de</w:t>
      </w:r>
      <w:r>
        <w:rPr>
          <w:spacing w:val="-6"/>
        </w:rPr>
        <w:t xml:space="preserve"> </w:t>
      </w:r>
      <w:r>
        <w:t>distensión»,</w:t>
      </w:r>
      <w:r>
        <w:rPr>
          <w:spacing w:val="-6"/>
        </w:rPr>
        <w:t xml:space="preserve"> </w:t>
      </w:r>
      <w:r>
        <w:t>cuando la Oficina del Alto Comisionado de Derechos Humanos de Colombia encontró que «las autoridades</w:t>
      </w:r>
      <w:r>
        <w:rPr>
          <w:spacing w:val="-9"/>
        </w:rPr>
        <w:t xml:space="preserve"> </w:t>
      </w:r>
      <w:r>
        <w:t>judiciales</w:t>
      </w:r>
      <w:r>
        <w:rPr>
          <w:spacing w:val="-9"/>
        </w:rPr>
        <w:t xml:space="preserve"> </w:t>
      </w:r>
      <w:r>
        <w:t>han</w:t>
      </w:r>
      <w:r>
        <w:rPr>
          <w:spacing w:val="-8"/>
        </w:rPr>
        <w:t xml:space="preserve"> </w:t>
      </w:r>
      <w:r>
        <w:t>debido</w:t>
      </w:r>
      <w:r>
        <w:rPr>
          <w:spacing w:val="-10"/>
        </w:rPr>
        <w:t xml:space="preserve"> </w:t>
      </w:r>
      <w:r>
        <w:t>abandonar</w:t>
      </w:r>
      <w:r>
        <w:rPr>
          <w:spacing w:val="-8"/>
        </w:rPr>
        <w:t xml:space="preserve"> </w:t>
      </w:r>
      <w:r>
        <w:t>el</w:t>
      </w:r>
      <w:r>
        <w:rPr>
          <w:spacing w:val="-9"/>
        </w:rPr>
        <w:t xml:space="preserve"> </w:t>
      </w:r>
      <w:r>
        <w:t>lugar</w:t>
      </w:r>
      <w:r>
        <w:rPr>
          <w:spacing w:val="-8"/>
        </w:rPr>
        <w:t xml:space="preserve"> </w:t>
      </w:r>
      <w:r>
        <w:t>y,</w:t>
      </w:r>
      <w:r>
        <w:rPr>
          <w:spacing w:val="-10"/>
        </w:rPr>
        <w:t xml:space="preserve"> </w:t>
      </w:r>
      <w:r>
        <w:t>por</w:t>
      </w:r>
      <w:r>
        <w:rPr>
          <w:spacing w:val="-9"/>
        </w:rPr>
        <w:t xml:space="preserve"> </w:t>
      </w:r>
      <w:r>
        <w:t>lo</w:t>
      </w:r>
      <w:r>
        <w:rPr>
          <w:spacing w:val="-10"/>
        </w:rPr>
        <w:t xml:space="preserve"> </w:t>
      </w:r>
      <w:r>
        <w:t>tanto,</w:t>
      </w:r>
      <w:r>
        <w:rPr>
          <w:spacing w:val="-10"/>
        </w:rPr>
        <w:t xml:space="preserve"> </w:t>
      </w:r>
      <w:r>
        <w:t>la</w:t>
      </w:r>
      <w:r>
        <w:rPr>
          <w:spacing w:val="-9"/>
        </w:rPr>
        <w:t xml:space="preserve"> </w:t>
      </w:r>
      <w:r>
        <w:t>población</w:t>
      </w:r>
      <w:r>
        <w:rPr>
          <w:spacing w:val="-10"/>
        </w:rPr>
        <w:t xml:space="preserve"> </w:t>
      </w:r>
      <w:r>
        <w:t>debe</w:t>
      </w:r>
      <w:r>
        <w:rPr>
          <w:spacing w:val="-11"/>
        </w:rPr>
        <w:t xml:space="preserve"> </w:t>
      </w:r>
      <w:r>
        <w:t>acudir a autoridades de las zonas aledañas o, en la práctica, someterse a la autoridad impuesta por las FARC»</w:t>
      </w:r>
      <w:r w:rsidR="00D907C6">
        <w:rPr>
          <w:rStyle w:val="Refdenotaalpie"/>
        </w:rPr>
        <w:footnoteReference w:id="939"/>
      </w:r>
      <w:r>
        <w:t>.</w:t>
      </w:r>
    </w:p>
    <w:p w:rsidR="003804AC" w:rsidRDefault="00AF18A5" w:rsidP="00D907C6">
      <w:r>
        <w:t>Estas</w:t>
      </w:r>
      <w:r>
        <w:rPr>
          <w:spacing w:val="-9"/>
        </w:rPr>
        <w:t xml:space="preserve"> </w:t>
      </w:r>
      <w:r>
        <w:t>situaciones</w:t>
      </w:r>
      <w:r>
        <w:rPr>
          <w:spacing w:val="-9"/>
        </w:rPr>
        <w:t xml:space="preserve"> </w:t>
      </w:r>
      <w:r>
        <w:t>se</w:t>
      </w:r>
      <w:r>
        <w:rPr>
          <w:spacing w:val="-10"/>
        </w:rPr>
        <w:t xml:space="preserve"> </w:t>
      </w:r>
      <w:r>
        <w:t>han</w:t>
      </w:r>
      <w:r>
        <w:rPr>
          <w:spacing w:val="-10"/>
        </w:rPr>
        <w:t xml:space="preserve"> </w:t>
      </w:r>
      <w:r>
        <w:t>dado</w:t>
      </w:r>
      <w:r>
        <w:rPr>
          <w:spacing w:val="-10"/>
        </w:rPr>
        <w:t xml:space="preserve"> </w:t>
      </w:r>
      <w:r>
        <w:t>en</w:t>
      </w:r>
      <w:r>
        <w:rPr>
          <w:spacing w:val="-10"/>
        </w:rPr>
        <w:t xml:space="preserve"> </w:t>
      </w:r>
      <w:r>
        <w:t>lugares</w:t>
      </w:r>
      <w:r>
        <w:rPr>
          <w:spacing w:val="-9"/>
        </w:rPr>
        <w:t xml:space="preserve"> </w:t>
      </w:r>
      <w:r>
        <w:t>donde</w:t>
      </w:r>
      <w:r>
        <w:rPr>
          <w:spacing w:val="-9"/>
        </w:rPr>
        <w:t xml:space="preserve"> </w:t>
      </w:r>
      <w:r>
        <w:t>el</w:t>
      </w:r>
      <w:r>
        <w:rPr>
          <w:spacing w:val="-10"/>
        </w:rPr>
        <w:t xml:space="preserve"> </w:t>
      </w:r>
      <w:r>
        <w:t>control</w:t>
      </w:r>
      <w:r>
        <w:rPr>
          <w:spacing w:val="-9"/>
        </w:rPr>
        <w:t xml:space="preserve"> </w:t>
      </w:r>
      <w:r>
        <w:t>de</w:t>
      </w:r>
      <w:r>
        <w:rPr>
          <w:spacing w:val="-9"/>
        </w:rPr>
        <w:t xml:space="preserve"> </w:t>
      </w:r>
      <w:r>
        <w:t>grupos</w:t>
      </w:r>
      <w:r>
        <w:rPr>
          <w:spacing w:val="-10"/>
        </w:rPr>
        <w:t xml:space="preserve"> </w:t>
      </w:r>
      <w:r>
        <w:t>armados</w:t>
      </w:r>
      <w:r>
        <w:rPr>
          <w:spacing w:val="-10"/>
        </w:rPr>
        <w:t xml:space="preserve"> </w:t>
      </w:r>
      <w:r>
        <w:t>ilegales</w:t>
      </w:r>
      <w:r>
        <w:rPr>
          <w:spacing w:val="-9"/>
        </w:rPr>
        <w:t xml:space="preserve"> </w:t>
      </w:r>
      <w:r>
        <w:t xml:space="preserve">hace que la respuesta a la conflictividad se diera mediante el poder de las armas. Allí, la gente recurrió a quien fuera que tuviese poder para resolver sus problemas, dada la ausencia de </w:t>
      </w:r>
      <w:r>
        <w:rPr>
          <w:spacing w:val="-2"/>
        </w:rPr>
        <w:t>justicia.</w:t>
      </w:r>
    </w:p>
    <w:p w:rsidR="0011361F" w:rsidRDefault="00AF18A5" w:rsidP="004A6EF4">
      <w:pPr>
        <w:pStyle w:val="Ttulo3"/>
        <w:numPr>
          <w:ilvl w:val="1"/>
          <w:numId w:val="16"/>
        </w:numPr>
      </w:pPr>
      <w:bookmarkStart w:id="1163" w:name="8.11._El_impacto_en_las_víctimas_de_la_i"/>
      <w:bookmarkStart w:id="1164" w:name="_Toc112399636"/>
      <w:bookmarkEnd w:id="1163"/>
      <w:r>
        <w:t>El</w:t>
      </w:r>
      <w:r>
        <w:rPr>
          <w:spacing w:val="-1"/>
        </w:rPr>
        <w:t xml:space="preserve"> </w:t>
      </w:r>
      <w:r>
        <w:t>impacto</w:t>
      </w:r>
      <w:r>
        <w:rPr>
          <w:spacing w:val="-1"/>
        </w:rPr>
        <w:t xml:space="preserve"> </w:t>
      </w:r>
      <w:r>
        <w:t>en</w:t>
      </w:r>
      <w:r>
        <w:rPr>
          <w:spacing w:val="-2"/>
        </w:rPr>
        <w:t xml:space="preserve"> </w:t>
      </w:r>
      <w:r>
        <w:t>las</w:t>
      </w:r>
      <w:r>
        <w:rPr>
          <w:spacing w:val="-1"/>
        </w:rPr>
        <w:t xml:space="preserve"> </w:t>
      </w:r>
      <w:r w:rsidRPr="00D907C6">
        <w:t>víctimas</w:t>
      </w:r>
      <w:r>
        <w:rPr>
          <w:spacing w:val="-1"/>
        </w:rPr>
        <w:t xml:space="preserve"> </w:t>
      </w:r>
      <w:r>
        <w:t>de</w:t>
      </w:r>
      <w:r>
        <w:rPr>
          <w:spacing w:val="-2"/>
        </w:rPr>
        <w:t xml:space="preserve"> </w:t>
      </w:r>
      <w:r>
        <w:t xml:space="preserve">la </w:t>
      </w:r>
      <w:r>
        <w:rPr>
          <w:spacing w:val="-2"/>
        </w:rPr>
        <w:t>impunidad</w:t>
      </w:r>
      <w:bookmarkEnd w:id="1164"/>
    </w:p>
    <w:p w:rsidR="003804AC" w:rsidRDefault="00AF18A5" w:rsidP="00D907C6">
      <w:r>
        <w:t>Ese</w:t>
      </w:r>
      <w:r>
        <w:rPr>
          <w:spacing w:val="-3"/>
        </w:rPr>
        <w:t xml:space="preserve"> </w:t>
      </w:r>
      <w:r>
        <w:t>día</w:t>
      </w:r>
      <w:r>
        <w:rPr>
          <w:spacing w:val="-2"/>
        </w:rPr>
        <w:t xml:space="preserve"> </w:t>
      </w:r>
      <w:r>
        <w:t>fui</w:t>
      </w:r>
      <w:r>
        <w:rPr>
          <w:spacing w:val="-2"/>
        </w:rPr>
        <w:t xml:space="preserve"> </w:t>
      </w:r>
      <w:r>
        <w:t>a</w:t>
      </w:r>
      <w:r>
        <w:rPr>
          <w:spacing w:val="-4"/>
        </w:rPr>
        <w:t xml:space="preserve"> </w:t>
      </w:r>
      <w:r>
        <w:t>colocar</w:t>
      </w:r>
      <w:r>
        <w:rPr>
          <w:spacing w:val="-3"/>
        </w:rPr>
        <w:t xml:space="preserve"> </w:t>
      </w:r>
      <w:r>
        <w:t>la</w:t>
      </w:r>
      <w:r>
        <w:rPr>
          <w:spacing w:val="-2"/>
        </w:rPr>
        <w:t xml:space="preserve"> </w:t>
      </w:r>
      <w:r>
        <w:t>denuncia</w:t>
      </w:r>
      <w:r>
        <w:rPr>
          <w:spacing w:val="-3"/>
        </w:rPr>
        <w:t xml:space="preserve"> </w:t>
      </w:r>
      <w:r>
        <w:t>ante</w:t>
      </w:r>
      <w:r>
        <w:rPr>
          <w:spacing w:val="-3"/>
        </w:rPr>
        <w:t xml:space="preserve"> </w:t>
      </w:r>
      <w:r>
        <w:t>la</w:t>
      </w:r>
      <w:r>
        <w:rPr>
          <w:spacing w:val="-2"/>
        </w:rPr>
        <w:t xml:space="preserve"> </w:t>
      </w:r>
      <w:r>
        <w:t>Fiscalía.</w:t>
      </w:r>
      <w:r>
        <w:rPr>
          <w:spacing w:val="-2"/>
        </w:rPr>
        <w:t xml:space="preserve"> </w:t>
      </w:r>
      <w:r>
        <w:t>Que</w:t>
      </w:r>
      <w:r>
        <w:rPr>
          <w:spacing w:val="-3"/>
        </w:rPr>
        <w:t xml:space="preserve"> </w:t>
      </w:r>
      <w:r>
        <w:t>ellos</w:t>
      </w:r>
      <w:r>
        <w:rPr>
          <w:spacing w:val="-3"/>
        </w:rPr>
        <w:t xml:space="preserve"> </w:t>
      </w:r>
      <w:r>
        <w:t>no</w:t>
      </w:r>
      <w:r>
        <w:rPr>
          <w:spacing w:val="-2"/>
        </w:rPr>
        <w:t xml:space="preserve"> </w:t>
      </w:r>
      <w:r>
        <w:t>sabían</w:t>
      </w:r>
      <w:r>
        <w:rPr>
          <w:spacing w:val="-3"/>
        </w:rPr>
        <w:t xml:space="preserve"> </w:t>
      </w:r>
      <w:r>
        <w:t>dónde</w:t>
      </w:r>
      <w:r>
        <w:rPr>
          <w:spacing w:val="-3"/>
        </w:rPr>
        <w:t xml:space="preserve"> </w:t>
      </w:r>
      <w:r>
        <w:t>quedaba</w:t>
      </w:r>
      <w:r>
        <w:rPr>
          <w:spacing w:val="-3"/>
        </w:rPr>
        <w:t xml:space="preserve"> </w:t>
      </w:r>
      <w:r>
        <w:t>Puerto Alvira,</w:t>
      </w:r>
      <w:r>
        <w:rPr>
          <w:spacing w:val="-2"/>
        </w:rPr>
        <w:t xml:space="preserve"> </w:t>
      </w:r>
      <w:r>
        <w:t>que</w:t>
      </w:r>
      <w:r>
        <w:rPr>
          <w:spacing w:val="-3"/>
        </w:rPr>
        <w:t xml:space="preserve"> </w:t>
      </w:r>
      <w:r>
        <w:t>ellos</w:t>
      </w:r>
      <w:r>
        <w:rPr>
          <w:spacing w:val="-3"/>
        </w:rPr>
        <w:t xml:space="preserve"> </w:t>
      </w:r>
      <w:r>
        <w:t>no</w:t>
      </w:r>
      <w:r>
        <w:rPr>
          <w:spacing w:val="-2"/>
        </w:rPr>
        <w:t xml:space="preserve"> </w:t>
      </w:r>
      <w:r>
        <w:t>sabían</w:t>
      </w:r>
      <w:r>
        <w:rPr>
          <w:spacing w:val="-3"/>
        </w:rPr>
        <w:t xml:space="preserve"> </w:t>
      </w:r>
      <w:r>
        <w:t>dónde</w:t>
      </w:r>
      <w:r>
        <w:rPr>
          <w:spacing w:val="-3"/>
        </w:rPr>
        <w:t xml:space="preserve"> </w:t>
      </w:r>
      <w:r>
        <w:t>quedaba</w:t>
      </w:r>
      <w:r>
        <w:rPr>
          <w:spacing w:val="-2"/>
        </w:rPr>
        <w:t xml:space="preserve"> </w:t>
      </w:r>
      <w:r>
        <w:t>Puerto</w:t>
      </w:r>
      <w:r>
        <w:rPr>
          <w:spacing w:val="-2"/>
        </w:rPr>
        <w:t xml:space="preserve"> </w:t>
      </w:r>
      <w:r>
        <w:t>Jabón,</w:t>
      </w:r>
      <w:r>
        <w:rPr>
          <w:spacing w:val="-3"/>
        </w:rPr>
        <w:t xml:space="preserve"> </w:t>
      </w:r>
      <w:r>
        <w:t>que</w:t>
      </w:r>
      <w:r>
        <w:rPr>
          <w:spacing w:val="-3"/>
        </w:rPr>
        <w:t xml:space="preserve"> </w:t>
      </w:r>
      <w:r>
        <w:t>eso</w:t>
      </w:r>
      <w:r>
        <w:rPr>
          <w:spacing w:val="-3"/>
        </w:rPr>
        <w:t xml:space="preserve"> </w:t>
      </w:r>
      <w:r>
        <w:t>no</w:t>
      </w:r>
      <w:r>
        <w:rPr>
          <w:spacing w:val="-2"/>
        </w:rPr>
        <w:t xml:space="preserve"> </w:t>
      </w:r>
      <w:r>
        <w:t>registra</w:t>
      </w:r>
      <w:r>
        <w:rPr>
          <w:spacing w:val="-2"/>
        </w:rPr>
        <w:t xml:space="preserve"> </w:t>
      </w:r>
      <w:r>
        <w:t>ante</w:t>
      </w:r>
      <w:r>
        <w:rPr>
          <w:spacing w:val="-3"/>
        </w:rPr>
        <w:t xml:space="preserve"> </w:t>
      </w:r>
      <w:r>
        <w:t>el</w:t>
      </w:r>
      <w:r>
        <w:rPr>
          <w:spacing w:val="-2"/>
        </w:rPr>
        <w:t xml:space="preserve"> </w:t>
      </w:r>
      <w:r>
        <w:t>mapa,</w:t>
      </w:r>
      <w:r>
        <w:rPr>
          <w:spacing w:val="-3"/>
        </w:rPr>
        <w:t xml:space="preserve"> </w:t>
      </w:r>
      <w:r>
        <w:t>ante</w:t>
      </w:r>
      <w:r>
        <w:rPr>
          <w:spacing w:val="-3"/>
        </w:rPr>
        <w:t xml:space="preserve"> </w:t>
      </w:r>
      <w:r>
        <w:t xml:space="preserve">un mapa que ellos manejan... Que ese pueblo no existe. Eso está como que pasó y no pasó, como que no sucedieron aquellos hechos en aquel lugar ¿sí? Entonces, yo le dije al muchacho: «Pues me parece mal hecho porque son hechos que uno vivió y que usted me dice no aparecen, que no existen». Y es que no aparecen. Ahí les tocaba colocar que eran de Mapiripán. Entonces, en el momento que mi mamá denunció, le colocaron que ella estaba denunciando que el desplazamiento era de Mapiripán, cuando ella nunca salió de Mapiripán. Ella salió de Puerto Alvira, Meta, conocido como Caño Jabón[…]. A ella le vulneraron todos </w:t>
      </w:r>
      <w:r>
        <w:lastRenderedPageBreak/>
        <w:t>esos derechos</w:t>
      </w:r>
      <w:r w:rsidR="00D907C6">
        <w:rPr>
          <w:rStyle w:val="Refdenotaalpie"/>
        </w:rPr>
        <w:footnoteReference w:id="940"/>
      </w:r>
      <w:r>
        <w:t>.</w:t>
      </w:r>
    </w:p>
    <w:p w:rsidR="003804AC" w:rsidRDefault="00AF18A5" w:rsidP="00D907C6">
      <w:r>
        <w:t>A las trabas del nudo burocrático de los procesos, se han sumado los costos financieros y</w:t>
      </w:r>
      <w:r>
        <w:rPr>
          <w:spacing w:val="80"/>
        </w:rPr>
        <w:t xml:space="preserve"> </w:t>
      </w:r>
      <w:r>
        <w:t>emocionales,</w:t>
      </w:r>
      <w:r>
        <w:rPr>
          <w:spacing w:val="4"/>
        </w:rPr>
        <w:t xml:space="preserve"> </w:t>
      </w:r>
      <w:r>
        <w:t>los</w:t>
      </w:r>
      <w:r>
        <w:rPr>
          <w:spacing w:val="6"/>
        </w:rPr>
        <w:t xml:space="preserve"> </w:t>
      </w:r>
      <w:r>
        <w:t>riesgos</w:t>
      </w:r>
      <w:r>
        <w:rPr>
          <w:spacing w:val="5"/>
        </w:rPr>
        <w:t xml:space="preserve"> </w:t>
      </w:r>
      <w:r>
        <w:t>de</w:t>
      </w:r>
      <w:r>
        <w:rPr>
          <w:spacing w:val="6"/>
        </w:rPr>
        <w:t xml:space="preserve"> </w:t>
      </w:r>
      <w:r>
        <w:t>seguridad</w:t>
      </w:r>
      <w:r>
        <w:rPr>
          <w:spacing w:val="5"/>
        </w:rPr>
        <w:t xml:space="preserve"> </w:t>
      </w:r>
      <w:r>
        <w:t>y</w:t>
      </w:r>
      <w:r>
        <w:rPr>
          <w:spacing w:val="6"/>
        </w:rPr>
        <w:t xml:space="preserve"> </w:t>
      </w:r>
      <w:r>
        <w:t>las</w:t>
      </w:r>
      <w:r>
        <w:rPr>
          <w:spacing w:val="6"/>
        </w:rPr>
        <w:t xml:space="preserve"> </w:t>
      </w:r>
      <w:r>
        <w:t>cargas</w:t>
      </w:r>
      <w:r>
        <w:rPr>
          <w:spacing w:val="5"/>
        </w:rPr>
        <w:t xml:space="preserve"> </w:t>
      </w:r>
      <w:r>
        <w:t>manifiestas</w:t>
      </w:r>
      <w:r>
        <w:rPr>
          <w:spacing w:val="5"/>
        </w:rPr>
        <w:t xml:space="preserve"> </w:t>
      </w:r>
      <w:r>
        <w:t>e</w:t>
      </w:r>
      <w:r>
        <w:rPr>
          <w:spacing w:val="6"/>
        </w:rPr>
        <w:t xml:space="preserve"> </w:t>
      </w:r>
      <w:r>
        <w:t>invisibles</w:t>
      </w:r>
      <w:r>
        <w:rPr>
          <w:spacing w:val="5"/>
        </w:rPr>
        <w:t xml:space="preserve"> </w:t>
      </w:r>
      <w:r>
        <w:t>de</w:t>
      </w:r>
      <w:r>
        <w:rPr>
          <w:spacing w:val="6"/>
        </w:rPr>
        <w:t xml:space="preserve"> </w:t>
      </w:r>
      <w:r>
        <w:t>persistir</w:t>
      </w:r>
      <w:r>
        <w:rPr>
          <w:spacing w:val="5"/>
        </w:rPr>
        <w:t xml:space="preserve"> </w:t>
      </w:r>
      <w:r>
        <w:t>en</w:t>
      </w:r>
      <w:r>
        <w:rPr>
          <w:spacing w:val="7"/>
        </w:rPr>
        <w:t xml:space="preserve"> </w:t>
      </w:r>
      <w:r>
        <w:rPr>
          <w:spacing w:val="-5"/>
        </w:rPr>
        <w:t>la</w:t>
      </w:r>
      <w:bookmarkStart w:id="1165" w:name="_bookmark1028"/>
      <w:bookmarkStart w:id="1166" w:name="_bookmark1029"/>
      <w:bookmarkStart w:id="1167" w:name="_bookmark1030"/>
      <w:bookmarkEnd w:id="1165"/>
      <w:bookmarkEnd w:id="1166"/>
      <w:bookmarkEnd w:id="1167"/>
      <w:r w:rsidR="00D907C6">
        <w:t xml:space="preserve"> </w:t>
      </w:r>
      <w:r>
        <w:t>justicia.</w:t>
      </w:r>
      <w:r>
        <w:rPr>
          <w:spacing w:val="-11"/>
        </w:rPr>
        <w:t xml:space="preserve"> </w:t>
      </w:r>
      <w:r>
        <w:t>En</w:t>
      </w:r>
      <w:r>
        <w:rPr>
          <w:spacing w:val="-11"/>
        </w:rPr>
        <w:t xml:space="preserve"> </w:t>
      </w:r>
      <w:r>
        <w:t>gran</w:t>
      </w:r>
      <w:r>
        <w:rPr>
          <w:spacing w:val="-10"/>
        </w:rPr>
        <w:t xml:space="preserve"> </w:t>
      </w:r>
      <w:r>
        <w:t>parte</w:t>
      </w:r>
      <w:r>
        <w:rPr>
          <w:spacing w:val="-11"/>
        </w:rPr>
        <w:t xml:space="preserve"> </w:t>
      </w:r>
      <w:r>
        <w:t>de</w:t>
      </w:r>
      <w:r>
        <w:rPr>
          <w:spacing w:val="-9"/>
        </w:rPr>
        <w:t xml:space="preserve"> </w:t>
      </w:r>
      <w:r>
        <w:t>los</w:t>
      </w:r>
      <w:r>
        <w:rPr>
          <w:spacing w:val="-11"/>
        </w:rPr>
        <w:t xml:space="preserve"> </w:t>
      </w:r>
      <w:r>
        <w:t>casos</w:t>
      </w:r>
      <w:r>
        <w:rPr>
          <w:spacing w:val="-11"/>
        </w:rPr>
        <w:t xml:space="preserve"> </w:t>
      </w:r>
      <w:r>
        <w:t>de</w:t>
      </w:r>
      <w:r>
        <w:rPr>
          <w:spacing w:val="-9"/>
        </w:rPr>
        <w:t xml:space="preserve"> </w:t>
      </w:r>
      <w:r>
        <w:t>violaciones</w:t>
      </w:r>
      <w:r>
        <w:rPr>
          <w:spacing w:val="-10"/>
        </w:rPr>
        <w:t xml:space="preserve"> </w:t>
      </w:r>
      <w:r>
        <w:t>de</w:t>
      </w:r>
      <w:r>
        <w:rPr>
          <w:spacing w:val="-9"/>
        </w:rPr>
        <w:t xml:space="preserve"> </w:t>
      </w:r>
      <w:r>
        <w:t>derechos</w:t>
      </w:r>
      <w:r>
        <w:rPr>
          <w:spacing w:val="-10"/>
        </w:rPr>
        <w:t xml:space="preserve"> </w:t>
      </w:r>
      <w:r>
        <w:t>humanos,</w:t>
      </w:r>
      <w:r>
        <w:rPr>
          <w:spacing w:val="-11"/>
        </w:rPr>
        <w:t xml:space="preserve"> </w:t>
      </w:r>
      <w:r>
        <w:t>la</w:t>
      </w:r>
      <w:r>
        <w:rPr>
          <w:spacing w:val="-9"/>
        </w:rPr>
        <w:t xml:space="preserve"> </w:t>
      </w:r>
      <w:r>
        <w:t>investigación</w:t>
      </w:r>
      <w:r>
        <w:rPr>
          <w:spacing w:val="-10"/>
        </w:rPr>
        <w:t xml:space="preserve"> </w:t>
      </w:r>
      <w:r>
        <w:t>casi ha dependido por completo de las víctimas. En ese contexto, las búsquedas de justicia están mediadas por la precariedad en las condiciones de vida de las personas, a quienes en la práctica se les imposibilita acudir a diligencias judiciales sin arriesgar sus vidas o usar recursos importantes. En síntesis, no hay una presencia robusta de la justicia. El hecho de que</w:t>
      </w:r>
      <w:r>
        <w:rPr>
          <w:spacing w:val="-1"/>
        </w:rPr>
        <w:t xml:space="preserve"> </w:t>
      </w:r>
      <w:r>
        <w:t>esta</w:t>
      </w:r>
      <w:r>
        <w:rPr>
          <w:spacing w:val="-2"/>
        </w:rPr>
        <w:t xml:space="preserve"> </w:t>
      </w:r>
      <w:r>
        <w:t>escasee</w:t>
      </w:r>
      <w:r>
        <w:rPr>
          <w:spacing w:val="-1"/>
        </w:rPr>
        <w:t xml:space="preserve"> </w:t>
      </w:r>
      <w:r>
        <w:t>en</w:t>
      </w:r>
      <w:r>
        <w:rPr>
          <w:spacing w:val="-2"/>
        </w:rPr>
        <w:t xml:space="preserve"> </w:t>
      </w:r>
      <w:r>
        <w:t>los</w:t>
      </w:r>
      <w:r>
        <w:rPr>
          <w:spacing w:val="-2"/>
        </w:rPr>
        <w:t xml:space="preserve"> </w:t>
      </w:r>
      <w:r>
        <w:t>territorios</w:t>
      </w:r>
      <w:r>
        <w:rPr>
          <w:spacing w:val="-1"/>
        </w:rPr>
        <w:t xml:space="preserve"> </w:t>
      </w:r>
      <w:r>
        <w:t>representa</w:t>
      </w:r>
      <w:r>
        <w:rPr>
          <w:spacing w:val="-1"/>
        </w:rPr>
        <w:t xml:space="preserve"> </w:t>
      </w:r>
      <w:r>
        <w:t>una</w:t>
      </w:r>
      <w:r>
        <w:rPr>
          <w:spacing w:val="-2"/>
        </w:rPr>
        <w:t xml:space="preserve"> </w:t>
      </w:r>
      <w:r>
        <w:t>enorme</w:t>
      </w:r>
      <w:r>
        <w:rPr>
          <w:spacing w:val="-2"/>
        </w:rPr>
        <w:t xml:space="preserve"> </w:t>
      </w:r>
      <w:r>
        <w:t>deuda</w:t>
      </w:r>
      <w:r>
        <w:rPr>
          <w:spacing w:val="-1"/>
        </w:rPr>
        <w:t xml:space="preserve"> </w:t>
      </w:r>
      <w:r>
        <w:t>del</w:t>
      </w:r>
      <w:r>
        <w:rPr>
          <w:spacing w:val="-1"/>
        </w:rPr>
        <w:t xml:space="preserve"> </w:t>
      </w:r>
      <w:r>
        <w:t>Estado,</w:t>
      </w:r>
      <w:r>
        <w:rPr>
          <w:spacing w:val="-1"/>
        </w:rPr>
        <w:t xml:space="preserve"> </w:t>
      </w:r>
      <w:r>
        <w:t>que</w:t>
      </w:r>
      <w:r>
        <w:rPr>
          <w:spacing w:val="-1"/>
        </w:rPr>
        <w:t xml:space="preserve"> </w:t>
      </w:r>
      <w:r>
        <w:t>se</w:t>
      </w:r>
      <w:r>
        <w:rPr>
          <w:spacing w:val="-2"/>
        </w:rPr>
        <w:t xml:space="preserve"> </w:t>
      </w:r>
      <w:r>
        <w:t>traslada</w:t>
      </w:r>
      <w:r>
        <w:rPr>
          <w:spacing w:val="-1"/>
        </w:rPr>
        <w:t xml:space="preserve"> </w:t>
      </w:r>
      <w:r>
        <w:t>a las</w:t>
      </w:r>
      <w:r>
        <w:rPr>
          <w:spacing w:val="-2"/>
        </w:rPr>
        <w:t xml:space="preserve"> </w:t>
      </w:r>
      <w:r>
        <w:t>zonas</w:t>
      </w:r>
      <w:r>
        <w:rPr>
          <w:spacing w:val="-2"/>
        </w:rPr>
        <w:t xml:space="preserve"> </w:t>
      </w:r>
      <w:r>
        <w:t>indígenas,</w:t>
      </w:r>
      <w:r>
        <w:rPr>
          <w:spacing w:val="-2"/>
        </w:rPr>
        <w:t xml:space="preserve"> </w:t>
      </w:r>
      <w:r>
        <w:t>a</w:t>
      </w:r>
      <w:r>
        <w:rPr>
          <w:spacing w:val="-2"/>
        </w:rPr>
        <w:t xml:space="preserve"> </w:t>
      </w:r>
      <w:r>
        <w:t>las</w:t>
      </w:r>
      <w:r>
        <w:rPr>
          <w:spacing w:val="-2"/>
        </w:rPr>
        <w:t xml:space="preserve"> </w:t>
      </w:r>
      <w:r>
        <w:t>comunidades</w:t>
      </w:r>
      <w:r>
        <w:rPr>
          <w:spacing w:val="-2"/>
        </w:rPr>
        <w:t xml:space="preserve"> </w:t>
      </w:r>
      <w:r>
        <w:t>afrodescendientes</w:t>
      </w:r>
      <w:r>
        <w:rPr>
          <w:spacing w:val="-2"/>
        </w:rPr>
        <w:t xml:space="preserve"> </w:t>
      </w:r>
      <w:r>
        <w:t>y</w:t>
      </w:r>
      <w:r>
        <w:rPr>
          <w:spacing w:val="-2"/>
        </w:rPr>
        <w:t xml:space="preserve"> </w:t>
      </w:r>
      <w:r>
        <w:t>a</w:t>
      </w:r>
      <w:r>
        <w:rPr>
          <w:spacing w:val="-2"/>
        </w:rPr>
        <w:t xml:space="preserve"> </w:t>
      </w:r>
      <w:r>
        <w:t>la</w:t>
      </w:r>
      <w:r>
        <w:rPr>
          <w:spacing w:val="-2"/>
        </w:rPr>
        <w:t xml:space="preserve"> </w:t>
      </w:r>
      <w:r>
        <w:t>jurisdicción</w:t>
      </w:r>
      <w:r>
        <w:rPr>
          <w:spacing w:val="-2"/>
        </w:rPr>
        <w:t xml:space="preserve"> </w:t>
      </w:r>
      <w:r>
        <w:t>de</w:t>
      </w:r>
      <w:r>
        <w:rPr>
          <w:spacing w:val="-2"/>
        </w:rPr>
        <w:t xml:space="preserve"> </w:t>
      </w:r>
      <w:r>
        <w:t>menores.</w:t>
      </w:r>
      <w:r>
        <w:rPr>
          <w:spacing w:val="-2"/>
        </w:rPr>
        <w:t xml:space="preserve"> </w:t>
      </w:r>
      <w:r>
        <w:t>La imagen es la de un laberinto de normas y recursos que, en el apartado de juzgar las responsabilidades de la guerra y las violaciones a los derechos humanos, evidencia una falencia</w:t>
      </w:r>
      <w:r>
        <w:rPr>
          <w:spacing w:val="-3"/>
        </w:rPr>
        <w:t xml:space="preserve"> </w:t>
      </w:r>
      <w:r>
        <w:t>histórica</w:t>
      </w:r>
      <w:r>
        <w:rPr>
          <w:spacing w:val="-3"/>
        </w:rPr>
        <w:t xml:space="preserve"> </w:t>
      </w:r>
      <w:r>
        <w:t>y</w:t>
      </w:r>
      <w:r>
        <w:rPr>
          <w:spacing w:val="-3"/>
        </w:rPr>
        <w:t xml:space="preserve"> </w:t>
      </w:r>
      <w:r>
        <w:t>un</w:t>
      </w:r>
      <w:r>
        <w:rPr>
          <w:spacing w:val="-3"/>
        </w:rPr>
        <w:t xml:space="preserve"> </w:t>
      </w:r>
      <w:r>
        <w:t>factor</w:t>
      </w:r>
      <w:r>
        <w:rPr>
          <w:spacing w:val="-3"/>
        </w:rPr>
        <w:t xml:space="preserve"> </w:t>
      </w:r>
      <w:r>
        <w:t>de</w:t>
      </w:r>
      <w:r>
        <w:rPr>
          <w:spacing w:val="-3"/>
        </w:rPr>
        <w:t xml:space="preserve"> </w:t>
      </w:r>
      <w:r>
        <w:t>persistencia</w:t>
      </w:r>
      <w:r>
        <w:rPr>
          <w:spacing w:val="-3"/>
        </w:rPr>
        <w:t xml:space="preserve"> </w:t>
      </w:r>
      <w:r>
        <w:t>frente</w:t>
      </w:r>
      <w:r>
        <w:rPr>
          <w:spacing w:val="-3"/>
        </w:rPr>
        <w:t xml:space="preserve"> </w:t>
      </w:r>
      <w:r>
        <w:t>al</w:t>
      </w:r>
      <w:r>
        <w:rPr>
          <w:spacing w:val="-3"/>
        </w:rPr>
        <w:t xml:space="preserve"> </w:t>
      </w:r>
      <w:r>
        <w:t>conflicto</w:t>
      </w:r>
      <w:r>
        <w:rPr>
          <w:spacing w:val="-3"/>
        </w:rPr>
        <w:t xml:space="preserve"> </w:t>
      </w:r>
      <w:r>
        <w:t>armado.</w:t>
      </w:r>
      <w:r>
        <w:rPr>
          <w:spacing w:val="-3"/>
        </w:rPr>
        <w:t xml:space="preserve"> </w:t>
      </w:r>
      <w:r>
        <w:t>La</w:t>
      </w:r>
      <w:r>
        <w:rPr>
          <w:spacing w:val="-3"/>
        </w:rPr>
        <w:t xml:space="preserve"> </w:t>
      </w:r>
      <w:r>
        <w:t>mejor</w:t>
      </w:r>
      <w:r>
        <w:rPr>
          <w:spacing w:val="-3"/>
        </w:rPr>
        <w:t xml:space="preserve"> </w:t>
      </w:r>
      <w:r>
        <w:t>alternativa contra</w:t>
      </w:r>
      <w:r>
        <w:rPr>
          <w:spacing w:val="-1"/>
        </w:rPr>
        <w:t xml:space="preserve"> </w:t>
      </w:r>
      <w:r>
        <w:t>la</w:t>
      </w:r>
      <w:r>
        <w:rPr>
          <w:spacing w:val="-1"/>
        </w:rPr>
        <w:t xml:space="preserve"> </w:t>
      </w:r>
      <w:r>
        <w:t>guerra</w:t>
      </w:r>
      <w:r>
        <w:rPr>
          <w:spacing w:val="-1"/>
        </w:rPr>
        <w:t xml:space="preserve"> </w:t>
      </w:r>
      <w:r>
        <w:t>es</w:t>
      </w:r>
      <w:r>
        <w:rPr>
          <w:spacing w:val="-1"/>
        </w:rPr>
        <w:t xml:space="preserve"> </w:t>
      </w:r>
      <w:r>
        <w:t>la</w:t>
      </w:r>
      <w:r>
        <w:rPr>
          <w:spacing w:val="-1"/>
        </w:rPr>
        <w:t xml:space="preserve"> </w:t>
      </w:r>
      <w:r>
        <w:t>justicia. Su</w:t>
      </w:r>
      <w:r>
        <w:rPr>
          <w:spacing w:val="-1"/>
        </w:rPr>
        <w:t xml:space="preserve"> </w:t>
      </w:r>
      <w:r>
        <w:t>ausencia</w:t>
      </w:r>
      <w:r>
        <w:rPr>
          <w:spacing w:val="-1"/>
        </w:rPr>
        <w:t xml:space="preserve"> </w:t>
      </w:r>
      <w:r>
        <w:t>ha sido determinante para que</w:t>
      </w:r>
      <w:r>
        <w:rPr>
          <w:spacing w:val="-1"/>
        </w:rPr>
        <w:t xml:space="preserve"> </w:t>
      </w:r>
      <w:r>
        <w:t>persistan las dudas respecto a la defensa del Estado y los compromisos de la sociedad para respaldarlo a sabiendas de sus omisiones en el deber de hacerla cumplir.</w:t>
      </w:r>
    </w:p>
    <w:p w:rsidR="003804AC" w:rsidRDefault="00AF18A5" w:rsidP="00D907C6">
      <w:r>
        <w:t>El</w:t>
      </w:r>
      <w:r>
        <w:rPr>
          <w:spacing w:val="9"/>
        </w:rPr>
        <w:t xml:space="preserve"> </w:t>
      </w:r>
      <w:r>
        <w:t>control</w:t>
      </w:r>
      <w:r>
        <w:rPr>
          <w:spacing w:val="10"/>
        </w:rPr>
        <w:t xml:space="preserve"> </w:t>
      </w:r>
      <w:r>
        <w:t>de</w:t>
      </w:r>
      <w:r>
        <w:rPr>
          <w:spacing w:val="10"/>
        </w:rPr>
        <w:t xml:space="preserve"> </w:t>
      </w:r>
      <w:r>
        <w:t>las</w:t>
      </w:r>
      <w:r>
        <w:rPr>
          <w:spacing w:val="9"/>
        </w:rPr>
        <w:t xml:space="preserve"> </w:t>
      </w:r>
      <w:r>
        <w:t>poblaciones</w:t>
      </w:r>
      <w:r>
        <w:rPr>
          <w:spacing w:val="10"/>
        </w:rPr>
        <w:t xml:space="preserve"> </w:t>
      </w:r>
      <w:r>
        <w:t>a</w:t>
      </w:r>
      <w:r>
        <w:rPr>
          <w:spacing w:val="10"/>
        </w:rPr>
        <w:t xml:space="preserve"> </w:t>
      </w:r>
      <w:r>
        <w:t>través</w:t>
      </w:r>
      <w:r>
        <w:rPr>
          <w:spacing w:val="9"/>
        </w:rPr>
        <w:t xml:space="preserve"> </w:t>
      </w:r>
      <w:r>
        <w:t>de</w:t>
      </w:r>
      <w:r>
        <w:rPr>
          <w:spacing w:val="9"/>
        </w:rPr>
        <w:t xml:space="preserve"> </w:t>
      </w:r>
      <w:r>
        <w:t>la</w:t>
      </w:r>
      <w:r>
        <w:rPr>
          <w:spacing w:val="10"/>
        </w:rPr>
        <w:t xml:space="preserve"> </w:t>
      </w:r>
      <w:r>
        <w:t>violencia</w:t>
      </w:r>
      <w:r>
        <w:rPr>
          <w:spacing w:val="10"/>
        </w:rPr>
        <w:t xml:space="preserve"> </w:t>
      </w:r>
      <w:r>
        <w:t>se</w:t>
      </w:r>
      <w:r>
        <w:rPr>
          <w:spacing w:val="9"/>
        </w:rPr>
        <w:t xml:space="preserve"> </w:t>
      </w:r>
      <w:r>
        <w:t>sintetiza</w:t>
      </w:r>
      <w:r>
        <w:rPr>
          <w:spacing w:val="9"/>
        </w:rPr>
        <w:t xml:space="preserve"> </w:t>
      </w:r>
      <w:r>
        <w:t>en</w:t>
      </w:r>
      <w:r>
        <w:rPr>
          <w:spacing w:val="8"/>
        </w:rPr>
        <w:t xml:space="preserve"> </w:t>
      </w:r>
      <w:r>
        <w:t>la</w:t>
      </w:r>
      <w:r>
        <w:rPr>
          <w:spacing w:val="10"/>
        </w:rPr>
        <w:t xml:space="preserve"> </w:t>
      </w:r>
      <w:r>
        <w:t>determinación</w:t>
      </w:r>
      <w:r>
        <w:rPr>
          <w:spacing w:val="8"/>
        </w:rPr>
        <w:t xml:space="preserve"> </w:t>
      </w:r>
      <w:r>
        <w:rPr>
          <w:spacing w:val="-5"/>
        </w:rPr>
        <w:t>de</w:t>
      </w:r>
      <w:r w:rsidR="00D907C6">
        <w:t xml:space="preserve"> </w:t>
      </w:r>
      <w:r>
        <w:t>«dejar</w:t>
      </w:r>
      <w:r>
        <w:rPr>
          <w:spacing w:val="53"/>
        </w:rPr>
        <w:t xml:space="preserve"> </w:t>
      </w:r>
      <w:r>
        <w:t>las</w:t>
      </w:r>
      <w:r>
        <w:rPr>
          <w:spacing w:val="54"/>
        </w:rPr>
        <w:t xml:space="preserve"> </w:t>
      </w:r>
      <w:r>
        <w:t>cosas</w:t>
      </w:r>
      <w:r>
        <w:rPr>
          <w:spacing w:val="55"/>
        </w:rPr>
        <w:t xml:space="preserve"> </w:t>
      </w:r>
      <w:r>
        <w:t>así».</w:t>
      </w:r>
      <w:r>
        <w:rPr>
          <w:spacing w:val="54"/>
        </w:rPr>
        <w:t xml:space="preserve"> </w:t>
      </w:r>
      <w:r>
        <w:t>El</w:t>
      </w:r>
      <w:r>
        <w:rPr>
          <w:spacing w:val="55"/>
        </w:rPr>
        <w:t xml:space="preserve"> </w:t>
      </w:r>
      <w:r>
        <w:t>impacto</w:t>
      </w:r>
      <w:r>
        <w:rPr>
          <w:spacing w:val="54"/>
        </w:rPr>
        <w:t xml:space="preserve"> </w:t>
      </w:r>
      <w:r>
        <w:t>de</w:t>
      </w:r>
      <w:r>
        <w:rPr>
          <w:spacing w:val="55"/>
        </w:rPr>
        <w:t xml:space="preserve"> </w:t>
      </w:r>
      <w:r>
        <w:t>la</w:t>
      </w:r>
      <w:r>
        <w:rPr>
          <w:spacing w:val="54"/>
        </w:rPr>
        <w:t xml:space="preserve"> </w:t>
      </w:r>
      <w:r>
        <w:t>ausencia</w:t>
      </w:r>
      <w:r>
        <w:rPr>
          <w:spacing w:val="55"/>
        </w:rPr>
        <w:t xml:space="preserve"> </w:t>
      </w:r>
      <w:r>
        <w:t>de</w:t>
      </w:r>
      <w:r>
        <w:rPr>
          <w:spacing w:val="54"/>
        </w:rPr>
        <w:t xml:space="preserve"> </w:t>
      </w:r>
      <w:r>
        <w:t>justicia,</w:t>
      </w:r>
      <w:r>
        <w:rPr>
          <w:spacing w:val="55"/>
        </w:rPr>
        <w:t xml:space="preserve"> </w:t>
      </w:r>
      <w:r>
        <w:t>visto</w:t>
      </w:r>
      <w:r>
        <w:rPr>
          <w:spacing w:val="55"/>
        </w:rPr>
        <w:t xml:space="preserve"> </w:t>
      </w:r>
      <w:r>
        <w:t>como</w:t>
      </w:r>
      <w:r>
        <w:rPr>
          <w:spacing w:val="55"/>
        </w:rPr>
        <w:t xml:space="preserve"> </w:t>
      </w:r>
      <w:r>
        <w:t>fenómeno</w:t>
      </w:r>
      <w:r>
        <w:rPr>
          <w:spacing w:val="55"/>
        </w:rPr>
        <w:t xml:space="preserve"> </w:t>
      </w:r>
      <w:r>
        <w:rPr>
          <w:spacing w:val="-5"/>
        </w:rPr>
        <w:t>de</w:t>
      </w:r>
      <w:r w:rsidR="00D907C6">
        <w:t xml:space="preserve"> </w:t>
      </w:r>
      <w:r>
        <w:t xml:space="preserve">«impotencia aprendida», se traduce en una cultura de la impunidad en la que las víctimas aprenden que no pueden hacer nada porque se enfrentan a personas o grupos de poder y </w:t>
      </w:r>
      <w:r>
        <w:lastRenderedPageBreak/>
        <w:t>las consecuencias</w:t>
      </w:r>
      <w:r>
        <w:rPr>
          <w:spacing w:val="-9"/>
        </w:rPr>
        <w:t xml:space="preserve"> </w:t>
      </w:r>
      <w:r>
        <w:t>de</w:t>
      </w:r>
      <w:r>
        <w:rPr>
          <w:spacing w:val="-9"/>
        </w:rPr>
        <w:t xml:space="preserve"> </w:t>
      </w:r>
      <w:r>
        <w:t>las</w:t>
      </w:r>
      <w:r>
        <w:rPr>
          <w:spacing w:val="-10"/>
        </w:rPr>
        <w:t xml:space="preserve"> </w:t>
      </w:r>
      <w:r>
        <w:t>investigaciones</w:t>
      </w:r>
      <w:r>
        <w:rPr>
          <w:spacing w:val="-11"/>
        </w:rPr>
        <w:t xml:space="preserve"> </w:t>
      </w:r>
      <w:r>
        <w:t>pueden</w:t>
      </w:r>
      <w:r>
        <w:rPr>
          <w:spacing w:val="-9"/>
        </w:rPr>
        <w:t xml:space="preserve"> </w:t>
      </w:r>
      <w:r>
        <w:t>traer</w:t>
      </w:r>
      <w:r>
        <w:rPr>
          <w:spacing w:val="-10"/>
        </w:rPr>
        <w:t xml:space="preserve"> </w:t>
      </w:r>
      <w:r>
        <w:t>más</w:t>
      </w:r>
      <w:r>
        <w:rPr>
          <w:spacing w:val="-9"/>
        </w:rPr>
        <w:t xml:space="preserve"> </w:t>
      </w:r>
      <w:r>
        <w:t>presiones</w:t>
      </w:r>
      <w:r>
        <w:rPr>
          <w:spacing w:val="-9"/>
        </w:rPr>
        <w:t xml:space="preserve"> </w:t>
      </w:r>
      <w:r>
        <w:t>y</w:t>
      </w:r>
      <w:r>
        <w:rPr>
          <w:spacing w:val="-9"/>
        </w:rPr>
        <w:t xml:space="preserve"> </w:t>
      </w:r>
      <w:r>
        <w:t>amenazas</w:t>
      </w:r>
      <w:r>
        <w:rPr>
          <w:spacing w:val="-9"/>
        </w:rPr>
        <w:t xml:space="preserve"> </w:t>
      </w:r>
      <w:r>
        <w:t>que</w:t>
      </w:r>
      <w:r>
        <w:rPr>
          <w:spacing w:val="-9"/>
        </w:rPr>
        <w:t xml:space="preserve"> </w:t>
      </w:r>
      <w:r>
        <w:t>soluciones. En otras palabras, en situaciones en las que la propia impunidad y ausencia de resultados confirman la imposibilidad de cambio y la necesidad de adaptarse. En un caso ocurrido en las inmediaciones de Florencia, Caquetá, una víctima le contó a la Comisión que su madre, su hermano y el trabajador de la finca en la que vivían fueron calcinados dentro de la casa por un grupo armado sin que la justicia reaccionara de ninguna forma:</w:t>
      </w:r>
    </w:p>
    <w:p w:rsidR="003804AC" w:rsidRDefault="00AF18A5" w:rsidP="00D907C6">
      <w:r>
        <w:t>«Yo no quiero que por retaliación vayan a asesinar a un familiar o una esposa de alguno de</w:t>
      </w:r>
      <w:r>
        <w:rPr>
          <w:spacing w:val="39"/>
        </w:rPr>
        <w:t xml:space="preserve"> </w:t>
      </w:r>
      <w:r>
        <w:t>nosotros</w:t>
      </w:r>
      <w:r>
        <w:rPr>
          <w:spacing w:val="41"/>
        </w:rPr>
        <w:t xml:space="preserve"> </w:t>
      </w:r>
      <w:r>
        <w:t>o</w:t>
      </w:r>
      <w:r>
        <w:rPr>
          <w:spacing w:val="41"/>
        </w:rPr>
        <w:t xml:space="preserve"> </w:t>
      </w:r>
      <w:r>
        <w:t>un</w:t>
      </w:r>
      <w:r>
        <w:rPr>
          <w:spacing w:val="42"/>
        </w:rPr>
        <w:t xml:space="preserve"> </w:t>
      </w:r>
      <w:r>
        <w:t>familiar</w:t>
      </w:r>
      <w:r>
        <w:rPr>
          <w:spacing w:val="42"/>
        </w:rPr>
        <w:t xml:space="preserve"> </w:t>
      </w:r>
      <w:r>
        <w:t>o</w:t>
      </w:r>
      <w:r>
        <w:rPr>
          <w:spacing w:val="41"/>
        </w:rPr>
        <w:t xml:space="preserve"> </w:t>
      </w:r>
      <w:r>
        <w:t>un</w:t>
      </w:r>
      <w:r>
        <w:rPr>
          <w:spacing w:val="42"/>
        </w:rPr>
        <w:t xml:space="preserve"> </w:t>
      </w:r>
      <w:r>
        <w:t>hermano.</w:t>
      </w:r>
      <w:r>
        <w:rPr>
          <w:spacing w:val="42"/>
        </w:rPr>
        <w:t xml:space="preserve"> </w:t>
      </w:r>
      <w:r>
        <w:t>Con</w:t>
      </w:r>
      <w:r>
        <w:rPr>
          <w:spacing w:val="41"/>
        </w:rPr>
        <w:t xml:space="preserve"> </w:t>
      </w:r>
      <w:r>
        <w:t>eso</w:t>
      </w:r>
      <w:r>
        <w:rPr>
          <w:spacing w:val="42"/>
        </w:rPr>
        <w:t xml:space="preserve"> </w:t>
      </w:r>
      <w:r>
        <w:t>no</w:t>
      </w:r>
      <w:r>
        <w:rPr>
          <w:spacing w:val="42"/>
        </w:rPr>
        <w:t xml:space="preserve"> </w:t>
      </w:r>
      <w:r>
        <w:t>vamos</w:t>
      </w:r>
      <w:r>
        <w:rPr>
          <w:spacing w:val="41"/>
        </w:rPr>
        <w:t xml:space="preserve"> </w:t>
      </w:r>
      <w:r>
        <w:t>a</w:t>
      </w:r>
      <w:r>
        <w:rPr>
          <w:spacing w:val="42"/>
        </w:rPr>
        <w:t xml:space="preserve"> </w:t>
      </w:r>
      <w:r>
        <w:t>revivir</w:t>
      </w:r>
      <w:r>
        <w:rPr>
          <w:spacing w:val="41"/>
        </w:rPr>
        <w:t xml:space="preserve"> </w:t>
      </w:r>
      <w:r>
        <w:t>a</w:t>
      </w:r>
      <w:r>
        <w:rPr>
          <w:spacing w:val="41"/>
        </w:rPr>
        <w:t xml:space="preserve"> </w:t>
      </w:r>
      <w:r>
        <w:t>mi</w:t>
      </w:r>
      <w:r>
        <w:rPr>
          <w:spacing w:val="42"/>
        </w:rPr>
        <w:t xml:space="preserve"> </w:t>
      </w:r>
      <w:r>
        <w:t>mamá</w:t>
      </w:r>
      <w:r>
        <w:rPr>
          <w:spacing w:val="42"/>
        </w:rPr>
        <w:t xml:space="preserve"> </w:t>
      </w:r>
      <w:r>
        <w:rPr>
          <w:spacing w:val="-5"/>
        </w:rPr>
        <w:t>[…]</w:t>
      </w:r>
    </w:p>
    <w:p w:rsidR="003804AC" w:rsidRDefault="00AF18A5" w:rsidP="00D907C6">
      <w:r>
        <w:t>entonces[…] decidimos dejar así las cosas […]. ¿</w:t>
      </w:r>
      <w:proofErr w:type="spellStart"/>
      <w:r>
        <w:t>Que</w:t>
      </w:r>
      <w:proofErr w:type="spellEnd"/>
      <w:r>
        <w:t xml:space="preserve"> va a quedar impune? Va a quedar </w:t>
      </w:r>
      <w:r>
        <w:rPr>
          <w:spacing w:val="-2"/>
        </w:rPr>
        <w:t>impune»</w:t>
      </w:r>
      <w:r w:rsidR="00D907C6">
        <w:rPr>
          <w:rStyle w:val="Refdenotaalpie"/>
          <w:spacing w:val="-2"/>
        </w:rPr>
        <w:footnoteReference w:id="941"/>
      </w:r>
      <w:r>
        <w:rPr>
          <w:spacing w:val="-2"/>
        </w:rPr>
        <w:t>.</w:t>
      </w:r>
    </w:p>
    <w:p w:rsidR="003804AC" w:rsidRDefault="00AF18A5" w:rsidP="00D907C6">
      <w:r>
        <w:t>Muchas víctimas han expresado a la Comisión que en las violaciones hay un doble impacto:</w:t>
      </w:r>
      <w:r>
        <w:rPr>
          <w:spacing w:val="-2"/>
        </w:rPr>
        <w:t xml:space="preserve"> </w:t>
      </w:r>
      <w:r>
        <w:t>el</w:t>
      </w:r>
      <w:r>
        <w:rPr>
          <w:spacing w:val="-3"/>
        </w:rPr>
        <w:t xml:space="preserve"> </w:t>
      </w:r>
      <w:r>
        <w:t>daño</w:t>
      </w:r>
      <w:r>
        <w:rPr>
          <w:spacing w:val="-2"/>
        </w:rPr>
        <w:t xml:space="preserve"> </w:t>
      </w:r>
      <w:r>
        <w:t>derivado</w:t>
      </w:r>
      <w:r>
        <w:rPr>
          <w:spacing w:val="-3"/>
        </w:rPr>
        <w:t xml:space="preserve"> </w:t>
      </w:r>
      <w:r>
        <w:t>de</w:t>
      </w:r>
      <w:r>
        <w:rPr>
          <w:spacing w:val="-2"/>
        </w:rPr>
        <w:t xml:space="preserve"> </w:t>
      </w:r>
      <w:r>
        <w:t>los</w:t>
      </w:r>
      <w:r>
        <w:rPr>
          <w:spacing w:val="-2"/>
        </w:rPr>
        <w:t xml:space="preserve"> </w:t>
      </w:r>
      <w:r>
        <w:t>hechos</w:t>
      </w:r>
      <w:r>
        <w:rPr>
          <w:spacing w:val="-2"/>
        </w:rPr>
        <w:t xml:space="preserve"> </w:t>
      </w:r>
      <w:r>
        <w:t>y</w:t>
      </w:r>
      <w:r>
        <w:rPr>
          <w:spacing w:val="-2"/>
        </w:rPr>
        <w:t xml:space="preserve"> </w:t>
      </w:r>
      <w:r>
        <w:t>la</w:t>
      </w:r>
      <w:r>
        <w:rPr>
          <w:spacing w:val="-2"/>
        </w:rPr>
        <w:t xml:space="preserve"> </w:t>
      </w:r>
      <w:r>
        <w:t>ausencia</w:t>
      </w:r>
      <w:r>
        <w:rPr>
          <w:spacing w:val="-2"/>
        </w:rPr>
        <w:t xml:space="preserve"> </w:t>
      </w:r>
      <w:r>
        <w:t>de</w:t>
      </w:r>
      <w:r>
        <w:rPr>
          <w:spacing w:val="-2"/>
        </w:rPr>
        <w:t xml:space="preserve"> </w:t>
      </w:r>
      <w:r>
        <w:t>una</w:t>
      </w:r>
      <w:r>
        <w:rPr>
          <w:spacing w:val="-2"/>
        </w:rPr>
        <w:t xml:space="preserve"> </w:t>
      </w:r>
      <w:r>
        <w:t>respuesta</w:t>
      </w:r>
      <w:r>
        <w:rPr>
          <w:spacing w:val="-2"/>
        </w:rPr>
        <w:t xml:space="preserve"> </w:t>
      </w:r>
      <w:r>
        <w:t>social</w:t>
      </w:r>
      <w:r>
        <w:rPr>
          <w:spacing w:val="-2"/>
        </w:rPr>
        <w:t xml:space="preserve"> </w:t>
      </w:r>
      <w:r>
        <w:t>de</w:t>
      </w:r>
      <w:r>
        <w:rPr>
          <w:spacing w:val="-2"/>
        </w:rPr>
        <w:t xml:space="preserve"> </w:t>
      </w:r>
      <w:r>
        <w:t>justicia.</w:t>
      </w:r>
      <w:r>
        <w:rPr>
          <w:spacing w:val="-2"/>
        </w:rPr>
        <w:t xml:space="preserve"> </w:t>
      </w:r>
      <w:r>
        <w:t xml:space="preserve">La impunidad es un factor de victimización, pues transmite menosprecio por las vidas de las víctimas que sienten que lo que les pasó a nadie importa. La acumulación histórica de esta sensación ha causado desafección y falta de credibilidad en las instituciones. Como señaló una mujer víctima de desplazamiento forzado en el Guaviare : «Coloqué la denuncia y a lo último no me sirvió </w:t>
      </w:r>
      <w:proofErr w:type="spellStart"/>
      <w:r>
        <w:t>pa</w:t>
      </w:r>
      <w:proofErr w:type="spellEnd"/>
      <w:r>
        <w:t xml:space="preserve"> nada, pues ese señor no hizo nada con esos papeles»</w:t>
      </w:r>
      <w:r w:rsidR="00D907C6">
        <w:rPr>
          <w:rStyle w:val="Refdenotaalpie"/>
        </w:rPr>
        <w:footnoteReference w:id="942"/>
      </w:r>
      <w:r>
        <w:t>. Muchas de las</w:t>
      </w:r>
      <w:r>
        <w:rPr>
          <w:spacing w:val="-7"/>
        </w:rPr>
        <w:t xml:space="preserve"> </w:t>
      </w:r>
      <w:r>
        <w:t>víctimas</w:t>
      </w:r>
      <w:r>
        <w:rPr>
          <w:spacing w:val="-7"/>
        </w:rPr>
        <w:t xml:space="preserve"> </w:t>
      </w:r>
      <w:r>
        <w:t>que</w:t>
      </w:r>
      <w:r>
        <w:rPr>
          <w:spacing w:val="-7"/>
        </w:rPr>
        <w:t xml:space="preserve"> </w:t>
      </w:r>
      <w:r>
        <w:t>buscan</w:t>
      </w:r>
      <w:r>
        <w:rPr>
          <w:spacing w:val="-7"/>
        </w:rPr>
        <w:t xml:space="preserve"> </w:t>
      </w:r>
      <w:r>
        <w:t>esclarecer</w:t>
      </w:r>
      <w:r>
        <w:rPr>
          <w:spacing w:val="-7"/>
        </w:rPr>
        <w:t xml:space="preserve"> </w:t>
      </w:r>
      <w:r>
        <w:t>sus</w:t>
      </w:r>
      <w:r>
        <w:rPr>
          <w:spacing w:val="-7"/>
        </w:rPr>
        <w:t xml:space="preserve"> </w:t>
      </w:r>
      <w:r>
        <w:t>casos,</w:t>
      </w:r>
      <w:r>
        <w:rPr>
          <w:spacing w:val="-7"/>
        </w:rPr>
        <w:t xml:space="preserve"> </w:t>
      </w:r>
      <w:r>
        <w:t>han</w:t>
      </w:r>
      <w:r>
        <w:rPr>
          <w:spacing w:val="-7"/>
        </w:rPr>
        <w:t xml:space="preserve"> </w:t>
      </w:r>
      <w:r>
        <w:t>tenido</w:t>
      </w:r>
      <w:r>
        <w:rPr>
          <w:spacing w:val="-7"/>
        </w:rPr>
        <w:t xml:space="preserve"> </w:t>
      </w:r>
      <w:r>
        <w:t>que</w:t>
      </w:r>
      <w:r>
        <w:rPr>
          <w:spacing w:val="-7"/>
        </w:rPr>
        <w:t xml:space="preserve"> </w:t>
      </w:r>
      <w:r>
        <w:t>sufrir</w:t>
      </w:r>
      <w:r>
        <w:rPr>
          <w:spacing w:val="-7"/>
        </w:rPr>
        <w:t xml:space="preserve"> </w:t>
      </w:r>
      <w:r>
        <w:t>ataques,</w:t>
      </w:r>
      <w:r>
        <w:rPr>
          <w:spacing w:val="-7"/>
        </w:rPr>
        <w:t xml:space="preserve"> </w:t>
      </w:r>
      <w:r>
        <w:t>hostigamientos</w:t>
      </w:r>
      <w:r>
        <w:rPr>
          <w:spacing w:val="-7"/>
        </w:rPr>
        <w:t xml:space="preserve"> </w:t>
      </w:r>
      <w:r>
        <w:t>y amenazas, que han producido desplazamientos forzados, o incluso, el exilio por buscar la justicia</w:t>
      </w:r>
      <w:r>
        <w:rPr>
          <w:spacing w:val="-3"/>
        </w:rPr>
        <w:t xml:space="preserve"> </w:t>
      </w:r>
      <w:r>
        <w:t>o</w:t>
      </w:r>
      <w:r>
        <w:rPr>
          <w:spacing w:val="-5"/>
        </w:rPr>
        <w:t xml:space="preserve"> </w:t>
      </w:r>
      <w:r>
        <w:lastRenderedPageBreak/>
        <w:t>intentar</w:t>
      </w:r>
      <w:r>
        <w:rPr>
          <w:spacing w:val="-3"/>
        </w:rPr>
        <w:t xml:space="preserve"> </w:t>
      </w:r>
      <w:r>
        <w:t>hacerla.</w:t>
      </w:r>
      <w:r>
        <w:rPr>
          <w:spacing w:val="-3"/>
        </w:rPr>
        <w:t xml:space="preserve"> </w:t>
      </w:r>
      <w:r>
        <w:t>Parte</w:t>
      </w:r>
      <w:r>
        <w:rPr>
          <w:spacing w:val="-3"/>
        </w:rPr>
        <w:t xml:space="preserve"> </w:t>
      </w:r>
      <w:r>
        <w:t>de</w:t>
      </w:r>
      <w:r>
        <w:rPr>
          <w:spacing w:val="-3"/>
        </w:rPr>
        <w:t xml:space="preserve"> </w:t>
      </w:r>
      <w:r>
        <w:t>quienes</w:t>
      </w:r>
      <w:r>
        <w:rPr>
          <w:spacing w:val="-3"/>
        </w:rPr>
        <w:t xml:space="preserve"> </w:t>
      </w:r>
      <w:r>
        <w:t>reclamaron</w:t>
      </w:r>
      <w:r>
        <w:rPr>
          <w:spacing w:val="-3"/>
        </w:rPr>
        <w:t xml:space="preserve"> </w:t>
      </w:r>
      <w:r>
        <w:t>fueron</w:t>
      </w:r>
      <w:r>
        <w:rPr>
          <w:spacing w:val="-3"/>
        </w:rPr>
        <w:t xml:space="preserve"> </w:t>
      </w:r>
      <w:r>
        <w:t>asesinados,</w:t>
      </w:r>
      <w:r>
        <w:rPr>
          <w:spacing w:val="-3"/>
        </w:rPr>
        <w:t xml:space="preserve"> </w:t>
      </w:r>
      <w:r>
        <w:t>como</w:t>
      </w:r>
      <w:r>
        <w:rPr>
          <w:spacing w:val="-3"/>
        </w:rPr>
        <w:t xml:space="preserve"> </w:t>
      </w:r>
      <w:r>
        <w:t>ha</w:t>
      </w:r>
      <w:r>
        <w:rPr>
          <w:spacing w:val="-3"/>
        </w:rPr>
        <w:t xml:space="preserve"> </w:t>
      </w:r>
      <w:r>
        <w:t>ocurrido con reclamantes de restitución de tierras. En momentos de supuesta pacificación, la justicia ha sido una promesa pendiente, como muestra lo que le ocurrió a víctimas que los paramilitares atacaron en pleno proceso de Justicia y Paz.</w:t>
      </w:r>
    </w:p>
    <w:p w:rsidR="003804AC" w:rsidRDefault="00AF18A5" w:rsidP="00D907C6">
      <w:r>
        <w:t>El acoso</w:t>
      </w:r>
      <w:r>
        <w:rPr>
          <w:spacing w:val="-1"/>
        </w:rPr>
        <w:t xml:space="preserve"> </w:t>
      </w:r>
      <w:r>
        <w:t>que han sufrido las</w:t>
      </w:r>
      <w:r>
        <w:rPr>
          <w:spacing w:val="-1"/>
        </w:rPr>
        <w:t xml:space="preserve"> </w:t>
      </w:r>
      <w:r>
        <w:t>víctimas es visible</w:t>
      </w:r>
      <w:r>
        <w:rPr>
          <w:spacing w:val="-2"/>
        </w:rPr>
        <w:t xml:space="preserve"> </w:t>
      </w:r>
      <w:r>
        <w:t>en la</w:t>
      </w:r>
      <w:r>
        <w:rPr>
          <w:spacing w:val="-1"/>
        </w:rPr>
        <w:t xml:space="preserve"> </w:t>
      </w:r>
      <w:r>
        <w:t>persecución contra</w:t>
      </w:r>
      <w:r>
        <w:rPr>
          <w:spacing w:val="-1"/>
        </w:rPr>
        <w:t xml:space="preserve"> </w:t>
      </w:r>
      <w:r>
        <w:t>los defensores y defensoras de derechos humanos. Esta fue una lógica de muerte que se trasladó a quienes defienden los derechos de las comunidades. Solo</w:t>
      </w:r>
      <w:r>
        <w:rPr>
          <w:spacing w:val="-1"/>
        </w:rPr>
        <w:t xml:space="preserve"> </w:t>
      </w:r>
      <w:r>
        <w:t>en los años 90, el defensor Alirio de Jesús Pedraza</w:t>
      </w:r>
      <w:r>
        <w:rPr>
          <w:spacing w:val="-8"/>
        </w:rPr>
        <w:t xml:space="preserve"> </w:t>
      </w:r>
      <w:r>
        <w:t>Becerra,</w:t>
      </w:r>
      <w:r>
        <w:rPr>
          <w:spacing w:val="-8"/>
        </w:rPr>
        <w:t xml:space="preserve"> </w:t>
      </w:r>
      <w:r>
        <w:t>abogado</w:t>
      </w:r>
      <w:r>
        <w:rPr>
          <w:spacing w:val="-8"/>
        </w:rPr>
        <w:t xml:space="preserve"> </w:t>
      </w:r>
      <w:r>
        <w:t>del</w:t>
      </w:r>
      <w:r>
        <w:rPr>
          <w:spacing w:val="-8"/>
        </w:rPr>
        <w:t xml:space="preserve"> </w:t>
      </w:r>
      <w:r>
        <w:t>Comité</w:t>
      </w:r>
      <w:r>
        <w:rPr>
          <w:spacing w:val="-8"/>
        </w:rPr>
        <w:t xml:space="preserve"> </w:t>
      </w:r>
      <w:r>
        <w:t>de</w:t>
      </w:r>
      <w:r>
        <w:rPr>
          <w:spacing w:val="-8"/>
        </w:rPr>
        <w:t xml:space="preserve"> </w:t>
      </w:r>
      <w:r>
        <w:t>Solidaridad</w:t>
      </w:r>
      <w:r>
        <w:rPr>
          <w:spacing w:val="-8"/>
        </w:rPr>
        <w:t xml:space="preserve"> </w:t>
      </w:r>
      <w:r>
        <w:t>con</w:t>
      </w:r>
      <w:r>
        <w:rPr>
          <w:spacing w:val="-8"/>
        </w:rPr>
        <w:t xml:space="preserve"> </w:t>
      </w:r>
      <w:r>
        <w:t>los</w:t>
      </w:r>
      <w:r>
        <w:rPr>
          <w:spacing w:val="-9"/>
        </w:rPr>
        <w:t xml:space="preserve"> </w:t>
      </w:r>
      <w:r>
        <w:t>Presos</w:t>
      </w:r>
      <w:r>
        <w:rPr>
          <w:spacing w:val="-8"/>
        </w:rPr>
        <w:t xml:space="preserve"> </w:t>
      </w:r>
      <w:r>
        <w:t>Políticos,</w:t>
      </w:r>
      <w:r>
        <w:rPr>
          <w:spacing w:val="-8"/>
        </w:rPr>
        <w:t xml:space="preserve"> </w:t>
      </w:r>
      <w:r>
        <w:t>fue</w:t>
      </w:r>
      <w:r>
        <w:rPr>
          <w:spacing w:val="-8"/>
        </w:rPr>
        <w:t xml:space="preserve"> </w:t>
      </w:r>
      <w:r>
        <w:t>víctima</w:t>
      </w:r>
      <w:r>
        <w:rPr>
          <w:spacing w:val="-8"/>
        </w:rPr>
        <w:t xml:space="preserve"> </w:t>
      </w:r>
      <w:r>
        <w:t>de desaparición forzada el 4 de julio de 1990, y su compañero de litigio, el abogado Eduardo Umaña Mendoza, fue asesinado en abril de 1998 cuando llevaba casos sobre la responsabilidad de agentes del Estado en graves violaciones a los derechos humanos. Otros casos incluyen el crimen de Mario Calderón y Elsa Alvarado, investigadores de la organización</w:t>
      </w:r>
      <w:r>
        <w:rPr>
          <w:spacing w:val="-2"/>
        </w:rPr>
        <w:t xml:space="preserve"> </w:t>
      </w:r>
      <w:proofErr w:type="spellStart"/>
      <w:r>
        <w:t>Cinep</w:t>
      </w:r>
      <w:proofErr w:type="spellEnd"/>
      <w:r>
        <w:t>,</w:t>
      </w:r>
      <w:r>
        <w:rPr>
          <w:spacing w:val="-2"/>
        </w:rPr>
        <w:t xml:space="preserve"> </w:t>
      </w:r>
      <w:r>
        <w:t>ocurridos</w:t>
      </w:r>
      <w:r>
        <w:rPr>
          <w:spacing w:val="-2"/>
        </w:rPr>
        <w:t xml:space="preserve"> </w:t>
      </w:r>
      <w:r>
        <w:t>en</w:t>
      </w:r>
      <w:r>
        <w:rPr>
          <w:spacing w:val="-2"/>
        </w:rPr>
        <w:t xml:space="preserve"> </w:t>
      </w:r>
      <w:r>
        <w:t>Bogotá</w:t>
      </w:r>
      <w:r>
        <w:rPr>
          <w:spacing w:val="-2"/>
        </w:rPr>
        <w:t xml:space="preserve"> </w:t>
      </w:r>
      <w:r>
        <w:t>el</w:t>
      </w:r>
      <w:r>
        <w:rPr>
          <w:spacing w:val="-2"/>
        </w:rPr>
        <w:t xml:space="preserve"> </w:t>
      </w:r>
      <w:r>
        <w:t>19</w:t>
      </w:r>
      <w:r>
        <w:rPr>
          <w:spacing w:val="-2"/>
        </w:rPr>
        <w:t xml:space="preserve"> </w:t>
      </w:r>
      <w:r>
        <w:t>de</w:t>
      </w:r>
      <w:r>
        <w:rPr>
          <w:spacing w:val="-2"/>
        </w:rPr>
        <w:t xml:space="preserve"> </w:t>
      </w:r>
      <w:r>
        <w:t>mayo</w:t>
      </w:r>
      <w:r>
        <w:rPr>
          <w:spacing w:val="-2"/>
        </w:rPr>
        <w:t xml:space="preserve"> </w:t>
      </w:r>
      <w:r>
        <w:t>de</w:t>
      </w:r>
      <w:r>
        <w:rPr>
          <w:spacing w:val="-2"/>
        </w:rPr>
        <w:t xml:space="preserve"> </w:t>
      </w:r>
      <w:r>
        <w:t>1997;el</w:t>
      </w:r>
      <w:r>
        <w:rPr>
          <w:spacing w:val="-2"/>
        </w:rPr>
        <w:t xml:space="preserve"> </w:t>
      </w:r>
      <w:r>
        <w:t>asesinato</w:t>
      </w:r>
      <w:r>
        <w:rPr>
          <w:spacing w:val="-2"/>
        </w:rPr>
        <w:t xml:space="preserve"> </w:t>
      </w:r>
      <w:r>
        <w:t>de</w:t>
      </w:r>
      <w:r>
        <w:rPr>
          <w:spacing w:val="-2"/>
        </w:rPr>
        <w:t xml:space="preserve"> </w:t>
      </w:r>
      <w:r>
        <w:t>Jaime</w:t>
      </w:r>
      <w:r>
        <w:rPr>
          <w:spacing w:val="-2"/>
        </w:rPr>
        <w:t xml:space="preserve"> </w:t>
      </w:r>
      <w:r>
        <w:t>Ortiz Londoño y Nazareno De Jesús Rivero, miembros del Comité de Derechos Humanos del Nordeste</w:t>
      </w:r>
      <w:r>
        <w:rPr>
          <w:spacing w:val="1"/>
        </w:rPr>
        <w:t xml:space="preserve"> </w:t>
      </w:r>
      <w:r>
        <w:t>Antioqueño,</w:t>
      </w:r>
      <w:r>
        <w:rPr>
          <w:spacing w:val="1"/>
        </w:rPr>
        <w:t xml:space="preserve"> </w:t>
      </w:r>
      <w:r>
        <w:t>ocurridos el</w:t>
      </w:r>
      <w:r>
        <w:rPr>
          <w:spacing w:val="1"/>
        </w:rPr>
        <w:t xml:space="preserve"> </w:t>
      </w:r>
      <w:r>
        <w:t>9 de</w:t>
      </w:r>
      <w:r>
        <w:rPr>
          <w:spacing w:val="1"/>
        </w:rPr>
        <w:t xml:space="preserve"> </w:t>
      </w:r>
      <w:r>
        <w:t>marzo</w:t>
      </w:r>
      <w:r>
        <w:rPr>
          <w:spacing w:val="2"/>
        </w:rPr>
        <w:t xml:space="preserve"> </w:t>
      </w:r>
      <w:r>
        <w:t>de 1997;</w:t>
      </w:r>
      <w:r>
        <w:rPr>
          <w:spacing w:val="1"/>
        </w:rPr>
        <w:t xml:space="preserve"> </w:t>
      </w:r>
      <w:r>
        <w:t>la muerte</w:t>
      </w:r>
      <w:r>
        <w:rPr>
          <w:spacing w:val="1"/>
        </w:rPr>
        <w:t xml:space="preserve"> </w:t>
      </w:r>
      <w:r>
        <w:t>violenta de</w:t>
      </w:r>
      <w:r>
        <w:rPr>
          <w:spacing w:val="1"/>
        </w:rPr>
        <w:t xml:space="preserve"> </w:t>
      </w:r>
      <w:r>
        <w:t>Josué</w:t>
      </w:r>
      <w:r>
        <w:rPr>
          <w:spacing w:val="2"/>
        </w:rPr>
        <w:t xml:space="preserve"> </w:t>
      </w:r>
      <w:r>
        <w:rPr>
          <w:spacing w:val="-2"/>
        </w:rPr>
        <w:t>Giraldo</w:t>
      </w:r>
      <w:bookmarkStart w:id="1168" w:name="_bookmark1031"/>
      <w:bookmarkStart w:id="1169" w:name="_bookmark1032"/>
      <w:bookmarkEnd w:id="1168"/>
      <w:bookmarkEnd w:id="1169"/>
      <w:r w:rsidR="00D907C6">
        <w:t xml:space="preserve"> </w:t>
      </w:r>
      <w:r>
        <w:t>Cardona, presidente del Comité de Derechos Humanos del Meta, ocurrido el 13 de octubre de 1996, y el de Jesús María Valle Jaramillo en 1998, quien venía de ser presidente del Comité</w:t>
      </w:r>
      <w:r>
        <w:rPr>
          <w:spacing w:val="-15"/>
        </w:rPr>
        <w:t xml:space="preserve"> </w:t>
      </w:r>
      <w:r>
        <w:t>Permanente</w:t>
      </w:r>
      <w:r>
        <w:rPr>
          <w:spacing w:val="-15"/>
        </w:rPr>
        <w:t xml:space="preserve"> </w:t>
      </w:r>
      <w:r>
        <w:t>por</w:t>
      </w:r>
      <w:r>
        <w:rPr>
          <w:spacing w:val="-15"/>
        </w:rPr>
        <w:t xml:space="preserve"> </w:t>
      </w:r>
      <w:r>
        <w:t>la</w:t>
      </w:r>
      <w:r>
        <w:rPr>
          <w:spacing w:val="-15"/>
        </w:rPr>
        <w:t xml:space="preserve"> </w:t>
      </w:r>
      <w:r>
        <w:t>Defensa</w:t>
      </w:r>
      <w:r>
        <w:rPr>
          <w:spacing w:val="-15"/>
        </w:rPr>
        <w:t xml:space="preserve"> </w:t>
      </w:r>
      <w:r>
        <w:t>de</w:t>
      </w:r>
      <w:r>
        <w:rPr>
          <w:spacing w:val="-15"/>
        </w:rPr>
        <w:t xml:space="preserve"> </w:t>
      </w:r>
      <w:r>
        <w:t>los</w:t>
      </w:r>
      <w:r>
        <w:rPr>
          <w:spacing w:val="-15"/>
        </w:rPr>
        <w:t xml:space="preserve"> </w:t>
      </w:r>
      <w:r>
        <w:t>Derechos</w:t>
      </w:r>
      <w:r>
        <w:rPr>
          <w:spacing w:val="-15"/>
        </w:rPr>
        <w:t xml:space="preserve"> </w:t>
      </w:r>
      <w:r>
        <w:t>Humanos,</w:t>
      </w:r>
      <w:r>
        <w:rPr>
          <w:spacing w:val="-15"/>
        </w:rPr>
        <w:t xml:space="preserve"> </w:t>
      </w:r>
      <w:r>
        <w:t>Héctor</w:t>
      </w:r>
      <w:r>
        <w:rPr>
          <w:spacing w:val="-15"/>
        </w:rPr>
        <w:t xml:space="preserve"> </w:t>
      </w:r>
      <w:r>
        <w:t>Abad</w:t>
      </w:r>
      <w:r>
        <w:rPr>
          <w:spacing w:val="-15"/>
        </w:rPr>
        <w:t xml:space="preserve"> </w:t>
      </w:r>
      <w:r>
        <w:t>Gómez,</w:t>
      </w:r>
      <w:r>
        <w:rPr>
          <w:spacing w:val="-15"/>
        </w:rPr>
        <w:t xml:space="preserve"> </w:t>
      </w:r>
      <w:r>
        <w:t>defensor asesinado en 1987.</w:t>
      </w:r>
    </w:p>
    <w:p w:rsidR="003804AC" w:rsidRDefault="00AF18A5" w:rsidP="00D907C6">
      <w:r>
        <w:t>En 1998, esta situación llevó a la Corte Constitucional a declarar el estado de cosas inconstitucional</w:t>
      </w:r>
      <w:r>
        <w:rPr>
          <w:spacing w:val="-15"/>
        </w:rPr>
        <w:t xml:space="preserve"> </w:t>
      </w:r>
      <w:r>
        <w:t>respecto</w:t>
      </w:r>
      <w:r>
        <w:rPr>
          <w:spacing w:val="-15"/>
        </w:rPr>
        <w:t xml:space="preserve"> </w:t>
      </w:r>
      <w:r>
        <w:t>de</w:t>
      </w:r>
      <w:r>
        <w:rPr>
          <w:spacing w:val="-15"/>
        </w:rPr>
        <w:t xml:space="preserve"> </w:t>
      </w:r>
      <w:r>
        <w:t>la</w:t>
      </w:r>
      <w:r>
        <w:rPr>
          <w:spacing w:val="-15"/>
        </w:rPr>
        <w:t xml:space="preserve"> </w:t>
      </w:r>
      <w:r>
        <w:t>protección</w:t>
      </w:r>
      <w:r>
        <w:rPr>
          <w:spacing w:val="-15"/>
        </w:rPr>
        <w:t xml:space="preserve"> </w:t>
      </w:r>
      <w:r>
        <w:t>a</w:t>
      </w:r>
      <w:r>
        <w:rPr>
          <w:spacing w:val="-15"/>
        </w:rPr>
        <w:t xml:space="preserve"> </w:t>
      </w:r>
      <w:r>
        <w:t>defensores</w:t>
      </w:r>
      <w:r>
        <w:rPr>
          <w:spacing w:val="-15"/>
        </w:rPr>
        <w:t xml:space="preserve"> </w:t>
      </w:r>
      <w:r>
        <w:t>de</w:t>
      </w:r>
      <w:r>
        <w:rPr>
          <w:spacing w:val="-15"/>
        </w:rPr>
        <w:t xml:space="preserve"> </w:t>
      </w:r>
      <w:r>
        <w:t>derechos</w:t>
      </w:r>
      <w:r>
        <w:rPr>
          <w:spacing w:val="-15"/>
        </w:rPr>
        <w:t xml:space="preserve"> </w:t>
      </w:r>
      <w:r>
        <w:t>humanos.</w:t>
      </w:r>
      <w:r>
        <w:rPr>
          <w:spacing w:val="-15"/>
        </w:rPr>
        <w:t xml:space="preserve"> </w:t>
      </w:r>
      <w:r>
        <w:t>En</w:t>
      </w:r>
      <w:r>
        <w:rPr>
          <w:spacing w:val="-15"/>
        </w:rPr>
        <w:t xml:space="preserve"> </w:t>
      </w:r>
      <w:r>
        <w:t>la</w:t>
      </w:r>
      <w:r>
        <w:rPr>
          <w:spacing w:val="-15"/>
        </w:rPr>
        <w:t xml:space="preserve"> </w:t>
      </w:r>
      <w:r>
        <w:t>Sentencia T-590, la Corte declaró</w:t>
      </w:r>
    </w:p>
    <w:p w:rsidR="003804AC" w:rsidRDefault="00AF18A5" w:rsidP="00D907C6">
      <w:r>
        <w:lastRenderedPageBreak/>
        <w:t>que</w:t>
      </w:r>
      <w:r>
        <w:rPr>
          <w:spacing w:val="-4"/>
        </w:rPr>
        <w:t xml:space="preserve"> </w:t>
      </w:r>
      <w:r>
        <w:t>hay</w:t>
      </w:r>
      <w:r>
        <w:rPr>
          <w:spacing w:val="-3"/>
        </w:rPr>
        <w:t xml:space="preserve"> </w:t>
      </w:r>
      <w:r>
        <w:t>un</w:t>
      </w:r>
      <w:r>
        <w:rPr>
          <w:spacing w:val="-3"/>
        </w:rPr>
        <w:t xml:space="preserve"> </w:t>
      </w:r>
      <w:r>
        <w:t>estado</w:t>
      </w:r>
      <w:r>
        <w:rPr>
          <w:spacing w:val="-3"/>
        </w:rPr>
        <w:t xml:space="preserve"> </w:t>
      </w:r>
      <w:r>
        <w:t>de</w:t>
      </w:r>
      <w:r>
        <w:rPr>
          <w:spacing w:val="-4"/>
        </w:rPr>
        <w:t xml:space="preserve"> </w:t>
      </w:r>
      <w:r>
        <w:t>cosas</w:t>
      </w:r>
      <w:r>
        <w:rPr>
          <w:spacing w:val="-1"/>
        </w:rPr>
        <w:t xml:space="preserve"> </w:t>
      </w:r>
      <w:r>
        <w:t>inconstitucional</w:t>
      </w:r>
      <w:r>
        <w:rPr>
          <w:spacing w:val="-3"/>
        </w:rPr>
        <w:t xml:space="preserve"> </w:t>
      </w:r>
      <w:r>
        <w:t>en</w:t>
      </w:r>
      <w:r>
        <w:rPr>
          <w:spacing w:val="-3"/>
        </w:rPr>
        <w:t xml:space="preserve"> </w:t>
      </w:r>
      <w:r>
        <w:t>la</w:t>
      </w:r>
      <w:r>
        <w:rPr>
          <w:spacing w:val="-4"/>
        </w:rPr>
        <w:t xml:space="preserve"> </w:t>
      </w:r>
      <w:r>
        <w:t>falta</w:t>
      </w:r>
      <w:r>
        <w:rPr>
          <w:spacing w:val="-3"/>
        </w:rPr>
        <w:t xml:space="preserve"> </w:t>
      </w:r>
      <w:r>
        <w:t>de</w:t>
      </w:r>
      <w:r>
        <w:rPr>
          <w:spacing w:val="-4"/>
        </w:rPr>
        <w:t xml:space="preserve"> </w:t>
      </w:r>
      <w:r>
        <w:t>protección</w:t>
      </w:r>
      <w:r>
        <w:rPr>
          <w:spacing w:val="-3"/>
        </w:rPr>
        <w:t xml:space="preserve"> </w:t>
      </w:r>
      <w:r>
        <w:t>a</w:t>
      </w:r>
      <w:r>
        <w:rPr>
          <w:spacing w:val="-4"/>
        </w:rPr>
        <w:t xml:space="preserve"> </w:t>
      </w:r>
      <w:r>
        <w:t>los</w:t>
      </w:r>
      <w:r>
        <w:rPr>
          <w:spacing w:val="-4"/>
        </w:rPr>
        <w:t xml:space="preserve"> </w:t>
      </w:r>
      <w:r>
        <w:t>defensores</w:t>
      </w:r>
      <w:r>
        <w:rPr>
          <w:spacing w:val="-4"/>
        </w:rPr>
        <w:t xml:space="preserve"> </w:t>
      </w:r>
      <w:r>
        <w:t>de</w:t>
      </w:r>
      <w:r>
        <w:rPr>
          <w:spacing w:val="-4"/>
        </w:rPr>
        <w:t xml:space="preserve"> </w:t>
      </w:r>
      <w:r>
        <w:t>derechos humanos y, en consecuencia, hacer un llamado a prevención a todas las autoridades de la República para que cese tal situación [ya que…] el ataque a los defensores de derechos humanos ha</w:t>
      </w:r>
      <w:r>
        <w:rPr>
          <w:spacing w:val="-6"/>
        </w:rPr>
        <w:t xml:space="preserve"> </w:t>
      </w:r>
      <w:r>
        <w:t>continuado</w:t>
      </w:r>
      <w:r>
        <w:rPr>
          <w:spacing w:val="-5"/>
        </w:rPr>
        <w:t xml:space="preserve"> </w:t>
      </w:r>
      <w:r>
        <w:t>(el</w:t>
      </w:r>
      <w:r>
        <w:rPr>
          <w:spacing w:val="-6"/>
        </w:rPr>
        <w:t xml:space="preserve"> </w:t>
      </w:r>
      <w:r>
        <w:t>asesinato</w:t>
      </w:r>
      <w:r>
        <w:rPr>
          <w:spacing w:val="-5"/>
        </w:rPr>
        <w:t xml:space="preserve"> </w:t>
      </w:r>
      <w:r>
        <w:t>de</w:t>
      </w:r>
      <w:r>
        <w:rPr>
          <w:spacing w:val="-6"/>
        </w:rPr>
        <w:t xml:space="preserve"> </w:t>
      </w:r>
      <w:r>
        <w:t>Eduardo</w:t>
      </w:r>
      <w:r>
        <w:rPr>
          <w:spacing w:val="-6"/>
        </w:rPr>
        <w:t xml:space="preserve"> </w:t>
      </w:r>
      <w:r>
        <w:t>Umaña</w:t>
      </w:r>
      <w:r>
        <w:rPr>
          <w:spacing w:val="-6"/>
        </w:rPr>
        <w:t xml:space="preserve"> </w:t>
      </w:r>
      <w:r>
        <w:t>Mendoza</w:t>
      </w:r>
      <w:r>
        <w:rPr>
          <w:spacing w:val="-6"/>
        </w:rPr>
        <w:t xml:space="preserve"> </w:t>
      </w:r>
      <w:r>
        <w:t>lo</w:t>
      </w:r>
      <w:r>
        <w:rPr>
          <w:spacing w:val="-5"/>
        </w:rPr>
        <w:t xml:space="preserve"> </w:t>
      </w:r>
      <w:r>
        <w:t>demuestra)</w:t>
      </w:r>
      <w:r>
        <w:rPr>
          <w:spacing w:val="-6"/>
        </w:rPr>
        <w:t xml:space="preserve"> </w:t>
      </w:r>
      <w:r>
        <w:t>y</w:t>
      </w:r>
      <w:r>
        <w:rPr>
          <w:spacing w:val="-5"/>
        </w:rPr>
        <w:t xml:space="preserve"> </w:t>
      </w:r>
      <w:r>
        <w:t>hay</w:t>
      </w:r>
      <w:r>
        <w:rPr>
          <w:spacing w:val="-5"/>
        </w:rPr>
        <w:t xml:space="preserve"> </w:t>
      </w:r>
      <w:r>
        <w:t>conductas</w:t>
      </w:r>
      <w:r>
        <w:rPr>
          <w:spacing w:val="-6"/>
        </w:rPr>
        <w:t xml:space="preserve"> </w:t>
      </w:r>
      <w:r>
        <w:t>omisivas del Estado en cuanto a su protección, máxime cuando se ha puesto en conocimiento de éste el clima</w:t>
      </w:r>
      <w:r>
        <w:rPr>
          <w:spacing w:val="-6"/>
        </w:rPr>
        <w:t xml:space="preserve"> </w:t>
      </w:r>
      <w:r>
        <w:t>de</w:t>
      </w:r>
      <w:r>
        <w:rPr>
          <w:spacing w:val="-5"/>
        </w:rPr>
        <w:t xml:space="preserve"> </w:t>
      </w:r>
      <w:r>
        <w:t>amenazas</w:t>
      </w:r>
      <w:r>
        <w:rPr>
          <w:spacing w:val="-5"/>
        </w:rPr>
        <w:t xml:space="preserve"> </w:t>
      </w:r>
      <w:r>
        <w:t>contra</w:t>
      </w:r>
      <w:r>
        <w:rPr>
          <w:spacing w:val="-5"/>
        </w:rPr>
        <w:t xml:space="preserve"> </w:t>
      </w:r>
      <w:r>
        <w:t>dichos</w:t>
      </w:r>
      <w:r>
        <w:rPr>
          <w:spacing w:val="-6"/>
        </w:rPr>
        <w:t xml:space="preserve"> </w:t>
      </w:r>
      <w:r>
        <w:t>activistas.</w:t>
      </w:r>
      <w:r>
        <w:rPr>
          <w:spacing w:val="-5"/>
        </w:rPr>
        <w:t xml:space="preserve"> </w:t>
      </w:r>
      <w:r>
        <w:t>Esta</w:t>
      </w:r>
      <w:r>
        <w:rPr>
          <w:spacing w:val="-5"/>
        </w:rPr>
        <w:t xml:space="preserve"> </w:t>
      </w:r>
      <w:r>
        <w:t>es</w:t>
      </w:r>
      <w:r>
        <w:rPr>
          <w:spacing w:val="-5"/>
        </w:rPr>
        <w:t xml:space="preserve"> </w:t>
      </w:r>
      <w:r>
        <w:t>una</w:t>
      </w:r>
      <w:r>
        <w:rPr>
          <w:spacing w:val="-6"/>
        </w:rPr>
        <w:t xml:space="preserve"> </w:t>
      </w:r>
      <w:r>
        <w:t>situación</w:t>
      </w:r>
      <w:r>
        <w:rPr>
          <w:spacing w:val="-5"/>
        </w:rPr>
        <w:t xml:space="preserve"> </w:t>
      </w:r>
      <w:r>
        <w:t>abiertamente</w:t>
      </w:r>
      <w:r>
        <w:rPr>
          <w:spacing w:val="-6"/>
        </w:rPr>
        <w:t xml:space="preserve"> </w:t>
      </w:r>
      <w:r>
        <w:t>inconstitucional,</w:t>
      </w:r>
      <w:r>
        <w:rPr>
          <w:spacing w:val="-5"/>
        </w:rPr>
        <w:t xml:space="preserve"> </w:t>
      </w:r>
      <w:r>
        <w:t>a la cual el juez constitucional no puede ser indiferente.</w:t>
      </w:r>
    </w:p>
    <w:p w:rsidR="003804AC" w:rsidRDefault="00AF18A5" w:rsidP="00D907C6">
      <w:r>
        <w:t>Esta</w:t>
      </w:r>
      <w:r>
        <w:rPr>
          <w:spacing w:val="-2"/>
        </w:rPr>
        <w:t xml:space="preserve"> </w:t>
      </w:r>
      <w:r>
        <w:t>situación</w:t>
      </w:r>
      <w:r>
        <w:rPr>
          <w:spacing w:val="-2"/>
        </w:rPr>
        <w:t xml:space="preserve"> </w:t>
      </w:r>
      <w:r>
        <w:t>ha</w:t>
      </w:r>
      <w:r>
        <w:rPr>
          <w:spacing w:val="-2"/>
        </w:rPr>
        <w:t xml:space="preserve"> </w:t>
      </w:r>
      <w:r>
        <w:t>continuado.</w:t>
      </w:r>
      <w:r>
        <w:rPr>
          <w:spacing w:val="-2"/>
        </w:rPr>
        <w:t xml:space="preserve"> </w:t>
      </w:r>
      <w:r>
        <w:t>Según</w:t>
      </w:r>
      <w:r>
        <w:rPr>
          <w:spacing w:val="-3"/>
        </w:rPr>
        <w:t xml:space="preserve"> </w:t>
      </w:r>
      <w:r>
        <w:t>información</w:t>
      </w:r>
      <w:r>
        <w:rPr>
          <w:spacing w:val="-4"/>
        </w:rPr>
        <w:t xml:space="preserve"> </w:t>
      </w:r>
      <w:r>
        <w:t>de</w:t>
      </w:r>
      <w:r>
        <w:rPr>
          <w:spacing w:val="-2"/>
        </w:rPr>
        <w:t xml:space="preserve"> </w:t>
      </w:r>
      <w:r>
        <w:t>Fiscalía,</w:t>
      </w:r>
      <w:r>
        <w:rPr>
          <w:spacing w:val="-3"/>
        </w:rPr>
        <w:t xml:space="preserve"> </w:t>
      </w:r>
      <w:r>
        <w:t>OACNUDH</w:t>
      </w:r>
      <w:r>
        <w:rPr>
          <w:spacing w:val="-1"/>
        </w:rPr>
        <w:t xml:space="preserve"> </w:t>
      </w:r>
      <w:r>
        <w:t>y</w:t>
      </w:r>
      <w:r>
        <w:rPr>
          <w:spacing w:val="-2"/>
        </w:rPr>
        <w:t xml:space="preserve"> </w:t>
      </w:r>
      <w:r>
        <w:t>las</w:t>
      </w:r>
      <w:r>
        <w:rPr>
          <w:spacing w:val="-2"/>
        </w:rPr>
        <w:t xml:space="preserve"> </w:t>
      </w:r>
      <w:r>
        <w:t>plataformas de</w:t>
      </w:r>
      <w:r>
        <w:rPr>
          <w:spacing w:val="-3"/>
        </w:rPr>
        <w:t xml:space="preserve"> </w:t>
      </w:r>
      <w:r>
        <w:t>DD.</w:t>
      </w:r>
      <w:r>
        <w:rPr>
          <w:spacing w:val="-4"/>
        </w:rPr>
        <w:t xml:space="preserve"> </w:t>
      </w:r>
      <w:r>
        <w:t>HH.</w:t>
      </w:r>
      <w:r>
        <w:rPr>
          <w:spacing w:val="-2"/>
        </w:rPr>
        <w:t xml:space="preserve"> </w:t>
      </w:r>
      <w:r>
        <w:t>entre</w:t>
      </w:r>
      <w:r>
        <w:rPr>
          <w:spacing w:val="-3"/>
        </w:rPr>
        <w:t xml:space="preserve"> </w:t>
      </w:r>
      <w:r>
        <w:t>1995</w:t>
      </w:r>
      <w:r>
        <w:rPr>
          <w:spacing w:val="-4"/>
        </w:rPr>
        <w:t xml:space="preserve"> </w:t>
      </w:r>
      <w:r>
        <w:t>y</w:t>
      </w:r>
      <w:r>
        <w:rPr>
          <w:spacing w:val="-5"/>
        </w:rPr>
        <w:t xml:space="preserve"> </w:t>
      </w:r>
      <w:r>
        <w:t>2015</w:t>
      </w:r>
      <w:r>
        <w:rPr>
          <w:spacing w:val="-4"/>
        </w:rPr>
        <w:t xml:space="preserve"> </w:t>
      </w:r>
      <w:r>
        <w:t>se</w:t>
      </w:r>
      <w:r>
        <w:rPr>
          <w:spacing w:val="-3"/>
        </w:rPr>
        <w:t xml:space="preserve"> </w:t>
      </w:r>
      <w:r>
        <w:t>asesinaron</w:t>
      </w:r>
      <w:r>
        <w:rPr>
          <w:spacing w:val="-4"/>
        </w:rPr>
        <w:t xml:space="preserve"> </w:t>
      </w:r>
      <w:r>
        <w:t>729</w:t>
      </w:r>
      <w:r>
        <w:rPr>
          <w:spacing w:val="-5"/>
        </w:rPr>
        <w:t xml:space="preserve"> </w:t>
      </w:r>
      <w:r>
        <w:t>defensores</w:t>
      </w:r>
      <w:r>
        <w:rPr>
          <w:spacing w:val="-3"/>
        </w:rPr>
        <w:t xml:space="preserve"> </w:t>
      </w:r>
      <w:r>
        <w:t>y</w:t>
      </w:r>
      <w:r>
        <w:rPr>
          <w:spacing w:val="-5"/>
        </w:rPr>
        <w:t xml:space="preserve"> </w:t>
      </w:r>
      <w:r>
        <w:t>defensoras</w:t>
      </w:r>
      <w:r>
        <w:rPr>
          <w:spacing w:val="-5"/>
        </w:rPr>
        <w:t xml:space="preserve"> </w:t>
      </w:r>
      <w:r>
        <w:t>en</w:t>
      </w:r>
      <w:r>
        <w:rPr>
          <w:spacing w:val="-4"/>
        </w:rPr>
        <w:t xml:space="preserve"> </w:t>
      </w:r>
      <w:r>
        <w:t>Colombia,</w:t>
      </w:r>
      <w:r>
        <w:rPr>
          <w:spacing w:val="-4"/>
        </w:rPr>
        <w:t xml:space="preserve"> </w:t>
      </w:r>
      <w:r>
        <w:t>a</w:t>
      </w:r>
      <w:r>
        <w:rPr>
          <w:spacing w:val="-3"/>
        </w:rPr>
        <w:t xml:space="preserve"> </w:t>
      </w:r>
      <w:r>
        <w:t>su vez, el Sistema de Información sobre Agresiones contra Personas Defensoras de Derechos Humanos</w:t>
      </w:r>
      <w:r>
        <w:rPr>
          <w:spacing w:val="-14"/>
        </w:rPr>
        <w:t xml:space="preserve"> </w:t>
      </w:r>
      <w:r>
        <w:t>en</w:t>
      </w:r>
      <w:r>
        <w:rPr>
          <w:spacing w:val="-14"/>
        </w:rPr>
        <w:t xml:space="preserve"> </w:t>
      </w:r>
      <w:r>
        <w:t>Colombia</w:t>
      </w:r>
      <w:r>
        <w:rPr>
          <w:spacing w:val="-14"/>
        </w:rPr>
        <w:t xml:space="preserve"> </w:t>
      </w:r>
      <w:r>
        <w:t>(SIADDHH)</w:t>
      </w:r>
      <w:r>
        <w:rPr>
          <w:spacing w:val="-13"/>
        </w:rPr>
        <w:t xml:space="preserve"> </w:t>
      </w:r>
      <w:r>
        <w:t>del</w:t>
      </w:r>
      <w:r>
        <w:rPr>
          <w:spacing w:val="-14"/>
        </w:rPr>
        <w:t xml:space="preserve"> </w:t>
      </w:r>
      <w:r>
        <w:t>Programa</w:t>
      </w:r>
      <w:r>
        <w:rPr>
          <w:spacing w:val="-14"/>
        </w:rPr>
        <w:t xml:space="preserve"> </w:t>
      </w:r>
      <w:r>
        <w:t>Somos</w:t>
      </w:r>
      <w:r>
        <w:rPr>
          <w:spacing w:val="-14"/>
        </w:rPr>
        <w:t xml:space="preserve"> </w:t>
      </w:r>
      <w:r>
        <w:t>Defensores</w:t>
      </w:r>
      <w:r>
        <w:rPr>
          <w:spacing w:val="-14"/>
        </w:rPr>
        <w:t xml:space="preserve"> </w:t>
      </w:r>
      <w:r>
        <w:t>reportó</w:t>
      </w:r>
      <w:r>
        <w:rPr>
          <w:spacing w:val="-14"/>
        </w:rPr>
        <w:t xml:space="preserve"> </w:t>
      </w:r>
      <w:r>
        <w:t>que</w:t>
      </w:r>
      <w:r>
        <w:rPr>
          <w:spacing w:val="-14"/>
        </w:rPr>
        <w:t xml:space="preserve"> </w:t>
      </w:r>
      <w:r>
        <w:t>entre</w:t>
      </w:r>
      <w:r>
        <w:rPr>
          <w:spacing w:val="-15"/>
        </w:rPr>
        <w:t xml:space="preserve"> </w:t>
      </w:r>
      <w:r>
        <w:t>2016 y 2020 se presentaron 3,659 agresiones contra defensores y defensoras agresiones</w:t>
      </w:r>
      <w:r w:rsidR="00D907C6">
        <w:rPr>
          <w:rStyle w:val="Refdenotaalpie"/>
        </w:rPr>
        <w:footnoteReference w:id="943"/>
      </w:r>
      <w:r>
        <w:t>.</w:t>
      </w:r>
    </w:p>
    <w:p w:rsidR="0011361F" w:rsidRDefault="00AF18A5" w:rsidP="004A6EF4">
      <w:pPr>
        <w:pStyle w:val="Ttulo3"/>
        <w:numPr>
          <w:ilvl w:val="1"/>
          <w:numId w:val="16"/>
        </w:numPr>
      </w:pPr>
      <w:bookmarkStart w:id="1170" w:name="8.12._La_impunidad_afecta_la_verdad_y_la"/>
      <w:bookmarkStart w:id="1171" w:name="_Toc112399637"/>
      <w:bookmarkEnd w:id="1170"/>
      <w:r>
        <w:t>La</w:t>
      </w:r>
      <w:r>
        <w:rPr>
          <w:spacing w:val="-1"/>
        </w:rPr>
        <w:t xml:space="preserve"> </w:t>
      </w:r>
      <w:r>
        <w:t>impunidad</w:t>
      </w:r>
      <w:r>
        <w:rPr>
          <w:spacing w:val="-2"/>
        </w:rPr>
        <w:t xml:space="preserve"> </w:t>
      </w:r>
      <w:r>
        <w:t>afecta</w:t>
      </w:r>
      <w:r>
        <w:rPr>
          <w:spacing w:val="-1"/>
        </w:rPr>
        <w:t xml:space="preserve"> </w:t>
      </w:r>
      <w:r>
        <w:t>la</w:t>
      </w:r>
      <w:r>
        <w:rPr>
          <w:spacing w:val="-1"/>
        </w:rPr>
        <w:t xml:space="preserve"> </w:t>
      </w:r>
      <w:r>
        <w:t>verdad</w:t>
      </w:r>
      <w:r>
        <w:rPr>
          <w:spacing w:val="-2"/>
        </w:rPr>
        <w:t xml:space="preserve"> </w:t>
      </w:r>
      <w:r>
        <w:t>y</w:t>
      </w:r>
      <w:r>
        <w:rPr>
          <w:spacing w:val="-1"/>
        </w:rPr>
        <w:t xml:space="preserve"> </w:t>
      </w:r>
      <w:r>
        <w:t>la</w:t>
      </w:r>
      <w:r>
        <w:rPr>
          <w:spacing w:val="-1"/>
        </w:rPr>
        <w:t xml:space="preserve"> </w:t>
      </w:r>
      <w:r>
        <w:rPr>
          <w:spacing w:val="-2"/>
        </w:rPr>
        <w:t>reparación</w:t>
      </w:r>
      <w:bookmarkEnd w:id="1171"/>
    </w:p>
    <w:p w:rsidR="00D907C6" w:rsidRDefault="00AF18A5" w:rsidP="00D907C6">
      <w:r>
        <w:t xml:space="preserve">Parte del sentido de justicia es el conocimiento de la verdad. La motivación de muchas víctimas que buscan justicia no es solo el castigo a los responsables, sino saber qué pasó, cómo y por qué. La falta de respuestas supone también la exclusión, la convicción de que hay una ciudadanía sin derechos que no lo es. Por otra parte, para muchas víctimas que escuchó la Comisión, lo que los familiares querían era que un tribunal determinara que lo que denunciaron, a veces durante </w:t>
      </w:r>
      <w:r>
        <w:lastRenderedPageBreak/>
        <w:t>décadas, era cierto. La justicia es también una forma de sanción social y validación social del sufrimiento y de su lucha. La ausencia de investigaciones</w:t>
      </w:r>
      <w:r>
        <w:rPr>
          <w:spacing w:val="14"/>
        </w:rPr>
        <w:t xml:space="preserve"> </w:t>
      </w:r>
      <w:r>
        <w:t>permite</w:t>
      </w:r>
      <w:r>
        <w:rPr>
          <w:spacing w:val="16"/>
        </w:rPr>
        <w:t xml:space="preserve"> </w:t>
      </w:r>
      <w:r>
        <w:t>que</w:t>
      </w:r>
      <w:r>
        <w:rPr>
          <w:spacing w:val="16"/>
        </w:rPr>
        <w:t xml:space="preserve"> </w:t>
      </w:r>
      <w:r>
        <w:t>se</w:t>
      </w:r>
      <w:r>
        <w:rPr>
          <w:spacing w:val="17"/>
        </w:rPr>
        <w:t xml:space="preserve"> </w:t>
      </w:r>
      <w:r>
        <w:t>sedimenten</w:t>
      </w:r>
      <w:r>
        <w:rPr>
          <w:spacing w:val="16"/>
        </w:rPr>
        <w:t xml:space="preserve"> </w:t>
      </w:r>
      <w:r>
        <w:t>diferentes</w:t>
      </w:r>
      <w:r>
        <w:rPr>
          <w:spacing w:val="15"/>
        </w:rPr>
        <w:t xml:space="preserve"> </w:t>
      </w:r>
      <w:r>
        <w:t>justificaciones</w:t>
      </w:r>
      <w:r>
        <w:rPr>
          <w:spacing w:val="17"/>
        </w:rPr>
        <w:t xml:space="preserve"> </w:t>
      </w:r>
      <w:r>
        <w:t>frente</w:t>
      </w:r>
      <w:r>
        <w:rPr>
          <w:spacing w:val="16"/>
        </w:rPr>
        <w:t xml:space="preserve"> </w:t>
      </w:r>
      <w:r>
        <w:t>a</w:t>
      </w:r>
      <w:r>
        <w:rPr>
          <w:spacing w:val="16"/>
        </w:rPr>
        <w:t xml:space="preserve"> </w:t>
      </w:r>
      <w:r>
        <w:t>los</w:t>
      </w:r>
      <w:r>
        <w:rPr>
          <w:spacing w:val="17"/>
        </w:rPr>
        <w:t xml:space="preserve"> </w:t>
      </w:r>
      <w:r>
        <w:rPr>
          <w:spacing w:val="-2"/>
        </w:rPr>
        <w:t>crímenes.</w:t>
      </w:r>
      <w:bookmarkStart w:id="1172" w:name="_bookmark1034"/>
      <w:bookmarkEnd w:id="1172"/>
    </w:p>
    <w:p w:rsidR="003804AC" w:rsidRDefault="00AF18A5" w:rsidP="00D907C6">
      <w:r>
        <w:t>Cuando estas no son confrontadas por el sistema de justicia, poblaciones enteras, por ejemplo, terminan siendo etiquetadas como colaboradoras de grupos armados que hacen presencia</w:t>
      </w:r>
      <w:r>
        <w:rPr>
          <w:spacing w:val="-8"/>
        </w:rPr>
        <w:t xml:space="preserve"> </w:t>
      </w:r>
      <w:r>
        <w:t>en</w:t>
      </w:r>
      <w:r>
        <w:rPr>
          <w:spacing w:val="-9"/>
        </w:rPr>
        <w:t xml:space="preserve"> </w:t>
      </w:r>
      <w:r>
        <w:t>sus</w:t>
      </w:r>
      <w:r>
        <w:rPr>
          <w:spacing w:val="-8"/>
        </w:rPr>
        <w:t xml:space="preserve"> </w:t>
      </w:r>
      <w:r>
        <w:t>territorios.</w:t>
      </w:r>
      <w:r>
        <w:rPr>
          <w:spacing w:val="-8"/>
        </w:rPr>
        <w:t xml:space="preserve"> </w:t>
      </w:r>
      <w:r>
        <w:t>La</w:t>
      </w:r>
      <w:r>
        <w:rPr>
          <w:spacing w:val="-8"/>
        </w:rPr>
        <w:t xml:space="preserve"> </w:t>
      </w:r>
      <w:r>
        <w:t>impunidad</w:t>
      </w:r>
      <w:r>
        <w:rPr>
          <w:spacing w:val="-8"/>
        </w:rPr>
        <w:t xml:space="preserve"> </w:t>
      </w:r>
      <w:r>
        <w:t>permite,</w:t>
      </w:r>
      <w:r>
        <w:rPr>
          <w:spacing w:val="-8"/>
        </w:rPr>
        <w:t xml:space="preserve"> </w:t>
      </w:r>
      <w:r>
        <w:t>facilita</w:t>
      </w:r>
      <w:r>
        <w:rPr>
          <w:spacing w:val="-8"/>
        </w:rPr>
        <w:t xml:space="preserve"> </w:t>
      </w:r>
      <w:r>
        <w:t>y</w:t>
      </w:r>
      <w:r>
        <w:rPr>
          <w:spacing w:val="-8"/>
        </w:rPr>
        <w:t xml:space="preserve"> </w:t>
      </w:r>
      <w:r>
        <w:t>promueve</w:t>
      </w:r>
      <w:r>
        <w:rPr>
          <w:spacing w:val="-8"/>
        </w:rPr>
        <w:t xml:space="preserve"> </w:t>
      </w:r>
      <w:r>
        <w:t>la</w:t>
      </w:r>
      <w:r>
        <w:rPr>
          <w:spacing w:val="-9"/>
        </w:rPr>
        <w:t xml:space="preserve"> </w:t>
      </w:r>
      <w:r>
        <w:t>estigmatización</w:t>
      </w:r>
      <w:r>
        <w:rPr>
          <w:spacing w:val="-8"/>
        </w:rPr>
        <w:t xml:space="preserve"> </w:t>
      </w:r>
      <w:r>
        <w:t>de las víctimas, culpándolas de lo sucedido. Así ha ocurrido en diferentes casos de violencias sexuales</w:t>
      </w:r>
      <w:r>
        <w:rPr>
          <w:spacing w:val="-9"/>
        </w:rPr>
        <w:t xml:space="preserve"> </w:t>
      </w:r>
      <w:r>
        <w:t>frente</w:t>
      </w:r>
      <w:r>
        <w:rPr>
          <w:spacing w:val="-9"/>
        </w:rPr>
        <w:t xml:space="preserve"> </w:t>
      </w:r>
      <w:r>
        <w:t>a</w:t>
      </w:r>
      <w:r>
        <w:rPr>
          <w:spacing w:val="-9"/>
        </w:rPr>
        <w:t xml:space="preserve"> </w:t>
      </w:r>
      <w:r>
        <w:t>los</w:t>
      </w:r>
      <w:r>
        <w:rPr>
          <w:spacing w:val="-10"/>
        </w:rPr>
        <w:t xml:space="preserve"> </w:t>
      </w:r>
      <w:r>
        <w:t>que</w:t>
      </w:r>
      <w:r>
        <w:rPr>
          <w:spacing w:val="-9"/>
        </w:rPr>
        <w:t xml:space="preserve"> </w:t>
      </w:r>
      <w:r>
        <w:t>el</w:t>
      </w:r>
      <w:r>
        <w:rPr>
          <w:spacing w:val="-9"/>
        </w:rPr>
        <w:t xml:space="preserve"> </w:t>
      </w:r>
      <w:r>
        <w:t>sistema</w:t>
      </w:r>
      <w:r>
        <w:rPr>
          <w:spacing w:val="-9"/>
        </w:rPr>
        <w:t xml:space="preserve"> </w:t>
      </w:r>
      <w:r>
        <w:t>de</w:t>
      </w:r>
      <w:r>
        <w:rPr>
          <w:spacing w:val="-9"/>
        </w:rPr>
        <w:t xml:space="preserve"> </w:t>
      </w:r>
      <w:r>
        <w:t>justicia</w:t>
      </w:r>
      <w:r>
        <w:rPr>
          <w:spacing w:val="-9"/>
        </w:rPr>
        <w:t xml:space="preserve"> </w:t>
      </w:r>
      <w:r>
        <w:t>y</w:t>
      </w:r>
      <w:r>
        <w:rPr>
          <w:spacing w:val="-10"/>
        </w:rPr>
        <w:t xml:space="preserve"> </w:t>
      </w:r>
      <w:r>
        <w:t>algunos</w:t>
      </w:r>
      <w:r>
        <w:rPr>
          <w:spacing w:val="-10"/>
        </w:rPr>
        <w:t xml:space="preserve"> </w:t>
      </w:r>
      <w:r>
        <w:t>operadores</w:t>
      </w:r>
      <w:r>
        <w:rPr>
          <w:spacing w:val="-9"/>
        </w:rPr>
        <w:t xml:space="preserve"> </w:t>
      </w:r>
      <w:r>
        <w:t>culpan</w:t>
      </w:r>
      <w:r>
        <w:rPr>
          <w:spacing w:val="-11"/>
        </w:rPr>
        <w:t xml:space="preserve"> </w:t>
      </w:r>
      <w:r>
        <w:t>a</w:t>
      </w:r>
      <w:r>
        <w:rPr>
          <w:spacing w:val="-9"/>
        </w:rPr>
        <w:t xml:space="preserve"> </w:t>
      </w:r>
      <w:r>
        <w:t>las</w:t>
      </w:r>
      <w:r>
        <w:rPr>
          <w:spacing w:val="-9"/>
        </w:rPr>
        <w:t xml:space="preserve"> </w:t>
      </w:r>
      <w:r>
        <w:t>víctimas</w:t>
      </w:r>
      <w:r>
        <w:rPr>
          <w:spacing w:val="-9"/>
        </w:rPr>
        <w:t xml:space="preserve"> </w:t>
      </w:r>
      <w:r>
        <w:t>por su vestimenta, su forma de ser o lugar en que se encontraban, basándose en estereotipos de género.</w:t>
      </w:r>
      <w:r>
        <w:rPr>
          <w:spacing w:val="-15"/>
        </w:rPr>
        <w:t xml:space="preserve"> </w:t>
      </w:r>
      <w:r>
        <w:t>Las</w:t>
      </w:r>
      <w:r>
        <w:rPr>
          <w:spacing w:val="-15"/>
        </w:rPr>
        <w:t xml:space="preserve"> </w:t>
      </w:r>
      <w:r>
        <w:t>mujeres</w:t>
      </w:r>
      <w:r>
        <w:rPr>
          <w:spacing w:val="-15"/>
        </w:rPr>
        <w:t xml:space="preserve"> </w:t>
      </w:r>
      <w:r>
        <w:t>y</w:t>
      </w:r>
      <w:r>
        <w:rPr>
          <w:spacing w:val="-15"/>
        </w:rPr>
        <w:t xml:space="preserve"> </w:t>
      </w:r>
      <w:r>
        <w:t>personas</w:t>
      </w:r>
      <w:r>
        <w:rPr>
          <w:spacing w:val="-15"/>
        </w:rPr>
        <w:t xml:space="preserve"> </w:t>
      </w:r>
      <w:r>
        <w:t>del</w:t>
      </w:r>
      <w:r>
        <w:rPr>
          <w:spacing w:val="-15"/>
        </w:rPr>
        <w:t xml:space="preserve"> </w:t>
      </w:r>
      <w:r>
        <w:t>colectivo</w:t>
      </w:r>
      <w:r>
        <w:rPr>
          <w:spacing w:val="-15"/>
        </w:rPr>
        <w:t xml:space="preserve"> </w:t>
      </w:r>
      <w:r>
        <w:t>LGTBIQ+</w:t>
      </w:r>
      <w:r>
        <w:rPr>
          <w:spacing w:val="-15"/>
        </w:rPr>
        <w:t xml:space="preserve"> </w:t>
      </w:r>
      <w:r>
        <w:t>han</w:t>
      </w:r>
      <w:r>
        <w:rPr>
          <w:spacing w:val="-15"/>
        </w:rPr>
        <w:t xml:space="preserve"> </w:t>
      </w:r>
      <w:r>
        <w:t>sufrido</w:t>
      </w:r>
      <w:r>
        <w:rPr>
          <w:spacing w:val="-15"/>
        </w:rPr>
        <w:t xml:space="preserve"> </w:t>
      </w:r>
      <w:r>
        <w:t>obstáculos</w:t>
      </w:r>
      <w:r>
        <w:rPr>
          <w:spacing w:val="-15"/>
        </w:rPr>
        <w:t xml:space="preserve"> </w:t>
      </w:r>
      <w:r>
        <w:t>para</w:t>
      </w:r>
      <w:r>
        <w:rPr>
          <w:spacing w:val="-15"/>
        </w:rPr>
        <w:t xml:space="preserve"> </w:t>
      </w:r>
      <w:r>
        <w:t>el</w:t>
      </w:r>
      <w:r>
        <w:rPr>
          <w:spacing w:val="-15"/>
        </w:rPr>
        <w:t xml:space="preserve"> </w:t>
      </w:r>
      <w:r>
        <w:t>acceso a la justicia en casos como estos.</w:t>
      </w:r>
    </w:p>
    <w:p w:rsidR="003804AC" w:rsidRDefault="00AF18A5" w:rsidP="00D907C6">
      <w:r>
        <w:t>En algunas víctimas, las violaciones y, sobre todo, la ausencia de mecanismos para determinar</w:t>
      </w:r>
      <w:r>
        <w:rPr>
          <w:spacing w:val="-6"/>
        </w:rPr>
        <w:t xml:space="preserve"> </w:t>
      </w:r>
      <w:r>
        <w:t>la</w:t>
      </w:r>
      <w:r>
        <w:rPr>
          <w:spacing w:val="-6"/>
        </w:rPr>
        <w:t xml:space="preserve"> </w:t>
      </w:r>
      <w:r>
        <w:t>responsabilidad</w:t>
      </w:r>
      <w:r>
        <w:rPr>
          <w:spacing w:val="-6"/>
        </w:rPr>
        <w:t xml:space="preserve"> </w:t>
      </w:r>
      <w:r>
        <w:t>de</w:t>
      </w:r>
      <w:r>
        <w:rPr>
          <w:spacing w:val="-6"/>
        </w:rPr>
        <w:t xml:space="preserve"> </w:t>
      </w:r>
      <w:r>
        <w:t>los</w:t>
      </w:r>
      <w:r>
        <w:rPr>
          <w:spacing w:val="-7"/>
        </w:rPr>
        <w:t xml:space="preserve"> </w:t>
      </w:r>
      <w:r>
        <w:t>armados</w:t>
      </w:r>
      <w:r>
        <w:rPr>
          <w:spacing w:val="-6"/>
        </w:rPr>
        <w:t xml:space="preserve"> </w:t>
      </w:r>
      <w:r>
        <w:t>y</w:t>
      </w:r>
      <w:r>
        <w:rPr>
          <w:spacing w:val="-6"/>
        </w:rPr>
        <w:t xml:space="preserve"> </w:t>
      </w:r>
      <w:r>
        <w:t>las</w:t>
      </w:r>
      <w:r>
        <w:rPr>
          <w:spacing w:val="-6"/>
        </w:rPr>
        <w:t xml:space="preserve"> </w:t>
      </w:r>
      <w:r>
        <w:t>omisiones</w:t>
      </w:r>
      <w:r>
        <w:rPr>
          <w:spacing w:val="-6"/>
        </w:rPr>
        <w:t xml:space="preserve"> </w:t>
      </w:r>
      <w:r>
        <w:t>del</w:t>
      </w:r>
      <w:r>
        <w:rPr>
          <w:spacing w:val="-6"/>
        </w:rPr>
        <w:t xml:space="preserve"> </w:t>
      </w:r>
      <w:r>
        <w:t>Estado</w:t>
      </w:r>
      <w:r>
        <w:rPr>
          <w:spacing w:val="-6"/>
        </w:rPr>
        <w:t xml:space="preserve"> </w:t>
      </w:r>
      <w:r>
        <w:t>frente</w:t>
      </w:r>
      <w:r>
        <w:rPr>
          <w:spacing w:val="-6"/>
        </w:rPr>
        <w:t xml:space="preserve"> </w:t>
      </w:r>
      <w:r>
        <w:t>a</w:t>
      </w:r>
      <w:r>
        <w:rPr>
          <w:spacing w:val="-6"/>
        </w:rPr>
        <w:t xml:space="preserve"> </w:t>
      </w:r>
      <w:r>
        <w:t>su</w:t>
      </w:r>
      <w:r>
        <w:rPr>
          <w:spacing w:val="-6"/>
        </w:rPr>
        <w:t xml:space="preserve"> </w:t>
      </w:r>
      <w:r>
        <w:t>deber</w:t>
      </w:r>
      <w:r>
        <w:rPr>
          <w:spacing w:val="-6"/>
        </w:rPr>
        <w:t xml:space="preserve"> </w:t>
      </w:r>
      <w:r>
        <w:t>de administración</w:t>
      </w:r>
      <w:r>
        <w:rPr>
          <w:spacing w:val="-1"/>
        </w:rPr>
        <w:t xml:space="preserve"> </w:t>
      </w:r>
      <w:r>
        <w:t>de</w:t>
      </w:r>
      <w:r>
        <w:rPr>
          <w:spacing w:val="-1"/>
        </w:rPr>
        <w:t xml:space="preserve"> </w:t>
      </w:r>
      <w:r>
        <w:t>justicia</w:t>
      </w:r>
      <w:r>
        <w:rPr>
          <w:spacing w:val="-1"/>
        </w:rPr>
        <w:t xml:space="preserve"> </w:t>
      </w:r>
      <w:r>
        <w:t>fueron</w:t>
      </w:r>
      <w:r>
        <w:rPr>
          <w:spacing w:val="-1"/>
        </w:rPr>
        <w:t xml:space="preserve"> </w:t>
      </w:r>
      <w:r>
        <w:t>determinantes</w:t>
      </w:r>
      <w:r>
        <w:rPr>
          <w:spacing w:val="-1"/>
        </w:rPr>
        <w:t xml:space="preserve"> </w:t>
      </w:r>
      <w:r>
        <w:t>para</w:t>
      </w:r>
      <w:r>
        <w:rPr>
          <w:spacing w:val="-1"/>
        </w:rPr>
        <w:t xml:space="preserve"> </w:t>
      </w:r>
      <w:r>
        <w:t>ingresar</w:t>
      </w:r>
      <w:r>
        <w:rPr>
          <w:spacing w:val="-1"/>
        </w:rPr>
        <w:t xml:space="preserve"> </w:t>
      </w:r>
      <w:r>
        <w:t>a</w:t>
      </w:r>
      <w:r>
        <w:rPr>
          <w:spacing w:val="-1"/>
        </w:rPr>
        <w:t xml:space="preserve"> </w:t>
      </w:r>
      <w:r>
        <w:t>grupos</w:t>
      </w:r>
      <w:r>
        <w:rPr>
          <w:spacing w:val="-1"/>
        </w:rPr>
        <w:t xml:space="preserve"> </w:t>
      </w:r>
      <w:r>
        <w:t>armados,</w:t>
      </w:r>
      <w:r>
        <w:rPr>
          <w:spacing w:val="-1"/>
        </w:rPr>
        <w:t xml:space="preserve"> </w:t>
      </w:r>
      <w:r>
        <w:t>o</w:t>
      </w:r>
      <w:r>
        <w:rPr>
          <w:spacing w:val="-1"/>
        </w:rPr>
        <w:t xml:space="preserve"> </w:t>
      </w:r>
      <w:r>
        <w:t>recurrir</w:t>
      </w:r>
      <w:r>
        <w:rPr>
          <w:spacing w:val="-1"/>
        </w:rPr>
        <w:t xml:space="preserve"> </w:t>
      </w:r>
      <w:r>
        <w:t>a alguna forma de venganza. La Comisión escuchó un relato diciente sobre este. Un exintegrante de las FARC-EP narró que ingresó a mediados de los 90 a la guerrilla cuando los paramilitares incursionaron en Sucre tras la desmovilización de la Corriente de Renovación</w:t>
      </w:r>
      <w:r>
        <w:rPr>
          <w:spacing w:val="-8"/>
        </w:rPr>
        <w:t xml:space="preserve"> </w:t>
      </w:r>
      <w:r>
        <w:t>Socialista.</w:t>
      </w:r>
      <w:r>
        <w:rPr>
          <w:spacing w:val="-8"/>
        </w:rPr>
        <w:t xml:space="preserve"> </w:t>
      </w:r>
      <w:r>
        <w:t>Los</w:t>
      </w:r>
      <w:r>
        <w:rPr>
          <w:spacing w:val="-7"/>
        </w:rPr>
        <w:t xml:space="preserve"> </w:t>
      </w:r>
      <w:r>
        <w:t>paramilitares</w:t>
      </w:r>
      <w:r>
        <w:rPr>
          <w:spacing w:val="-8"/>
        </w:rPr>
        <w:t xml:space="preserve"> </w:t>
      </w:r>
      <w:r>
        <w:t>asesinaron</w:t>
      </w:r>
      <w:r>
        <w:rPr>
          <w:spacing w:val="-7"/>
        </w:rPr>
        <w:t xml:space="preserve"> </w:t>
      </w:r>
      <w:r>
        <w:t>a</w:t>
      </w:r>
      <w:r>
        <w:rPr>
          <w:spacing w:val="-7"/>
        </w:rPr>
        <w:t xml:space="preserve"> </w:t>
      </w:r>
      <w:r>
        <w:t>varias</w:t>
      </w:r>
      <w:r>
        <w:rPr>
          <w:spacing w:val="-7"/>
        </w:rPr>
        <w:t xml:space="preserve"> </w:t>
      </w:r>
      <w:r>
        <w:t>personas</w:t>
      </w:r>
      <w:r>
        <w:rPr>
          <w:spacing w:val="-8"/>
        </w:rPr>
        <w:t xml:space="preserve"> </w:t>
      </w:r>
      <w:r>
        <w:t>y</w:t>
      </w:r>
      <w:r>
        <w:rPr>
          <w:spacing w:val="-7"/>
        </w:rPr>
        <w:t xml:space="preserve"> </w:t>
      </w:r>
      <w:r>
        <w:t>un</w:t>
      </w:r>
      <w:r>
        <w:rPr>
          <w:spacing w:val="-8"/>
        </w:rPr>
        <w:t xml:space="preserve"> </w:t>
      </w:r>
      <w:r>
        <w:t>policía</w:t>
      </w:r>
      <w:r>
        <w:rPr>
          <w:spacing w:val="-8"/>
        </w:rPr>
        <w:t xml:space="preserve"> </w:t>
      </w:r>
      <w:r>
        <w:t>violó</w:t>
      </w:r>
      <w:r>
        <w:rPr>
          <w:spacing w:val="-7"/>
        </w:rPr>
        <w:t xml:space="preserve"> </w:t>
      </w:r>
      <w:r>
        <w:t>a</w:t>
      </w:r>
      <w:r>
        <w:rPr>
          <w:spacing w:val="-7"/>
        </w:rPr>
        <w:t xml:space="preserve"> </w:t>
      </w:r>
      <w:r>
        <w:t>su hermana. No hubo investigación por parte de las autoridades:</w:t>
      </w:r>
    </w:p>
    <w:p w:rsidR="003804AC" w:rsidRDefault="00AF18A5" w:rsidP="00D907C6">
      <w:r>
        <w:t>«Esa</w:t>
      </w:r>
      <w:r>
        <w:rPr>
          <w:spacing w:val="32"/>
        </w:rPr>
        <w:t xml:space="preserve"> </w:t>
      </w:r>
      <w:r>
        <w:t>vaina</w:t>
      </w:r>
      <w:r>
        <w:rPr>
          <w:spacing w:val="31"/>
        </w:rPr>
        <w:t xml:space="preserve"> </w:t>
      </w:r>
      <w:r>
        <w:t>a</w:t>
      </w:r>
      <w:r>
        <w:rPr>
          <w:spacing w:val="34"/>
        </w:rPr>
        <w:t xml:space="preserve"> </w:t>
      </w:r>
      <w:r>
        <w:t>mí</w:t>
      </w:r>
      <w:r>
        <w:rPr>
          <w:spacing w:val="33"/>
        </w:rPr>
        <w:t xml:space="preserve"> </w:t>
      </w:r>
      <w:r>
        <w:t>me</w:t>
      </w:r>
      <w:r>
        <w:rPr>
          <w:spacing w:val="33"/>
        </w:rPr>
        <w:t xml:space="preserve"> </w:t>
      </w:r>
      <w:r>
        <w:t>llenó</w:t>
      </w:r>
      <w:r>
        <w:rPr>
          <w:spacing w:val="33"/>
        </w:rPr>
        <w:t xml:space="preserve"> </w:t>
      </w:r>
      <w:r>
        <w:t>como</w:t>
      </w:r>
      <w:r>
        <w:rPr>
          <w:spacing w:val="33"/>
        </w:rPr>
        <w:t xml:space="preserve"> </w:t>
      </w:r>
      <w:r>
        <w:t>de</w:t>
      </w:r>
      <w:r>
        <w:rPr>
          <w:spacing w:val="32"/>
        </w:rPr>
        <w:t xml:space="preserve"> </w:t>
      </w:r>
      <w:r>
        <w:t>indignación,</w:t>
      </w:r>
      <w:r>
        <w:rPr>
          <w:spacing w:val="33"/>
        </w:rPr>
        <w:t xml:space="preserve"> </w:t>
      </w:r>
      <w:r>
        <w:t>una</w:t>
      </w:r>
      <w:r>
        <w:rPr>
          <w:spacing w:val="35"/>
        </w:rPr>
        <w:t xml:space="preserve"> </w:t>
      </w:r>
      <w:r>
        <w:t>vaina</w:t>
      </w:r>
      <w:r>
        <w:rPr>
          <w:spacing w:val="32"/>
        </w:rPr>
        <w:t xml:space="preserve"> </w:t>
      </w:r>
      <w:r>
        <w:t>así»,</w:t>
      </w:r>
      <w:r>
        <w:rPr>
          <w:spacing w:val="33"/>
        </w:rPr>
        <w:t xml:space="preserve"> </w:t>
      </w:r>
      <w:r>
        <w:t>dijo</w:t>
      </w:r>
      <w:r>
        <w:rPr>
          <w:spacing w:val="33"/>
        </w:rPr>
        <w:t xml:space="preserve"> </w:t>
      </w:r>
      <w:r>
        <w:t>el</w:t>
      </w:r>
      <w:r>
        <w:rPr>
          <w:spacing w:val="34"/>
        </w:rPr>
        <w:t xml:space="preserve"> </w:t>
      </w:r>
      <w:r>
        <w:rPr>
          <w:spacing w:val="-2"/>
        </w:rPr>
        <w:t>exguerrillero.</w:t>
      </w:r>
    </w:p>
    <w:p w:rsidR="003804AC" w:rsidRDefault="00AF18A5" w:rsidP="00D907C6">
      <w:r>
        <w:t xml:space="preserve">«prácticamente esa fue una de las causas que […] me originó como las </w:t>
      </w:r>
      <w:r>
        <w:lastRenderedPageBreak/>
        <w:t>ganas de irse uno [a la guerrilla]. O sea, mirar esa injusticia de que hacen las cosas y nunca hay una respuesta, nunca hay una justicia que defienda al afectado en ese sentido. Y no tanto eso, sino por ser quién</w:t>
      </w:r>
      <w:r>
        <w:rPr>
          <w:spacing w:val="-12"/>
        </w:rPr>
        <w:t xml:space="preserve"> </w:t>
      </w:r>
      <w:r>
        <w:t>era.</w:t>
      </w:r>
      <w:r>
        <w:rPr>
          <w:spacing w:val="-12"/>
        </w:rPr>
        <w:t xml:space="preserve"> </w:t>
      </w:r>
      <w:r>
        <w:t>O</w:t>
      </w:r>
      <w:r>
        <w:rPr>
          <w:spacing w:val="-13"/>
        </w:rPr>
        <w:t xml:space="preserve"> </w:t>
      </w:r>
      <w:r>
        <w:t>sea,</w:t>
      </w:r>
      <w:r>
        <w:rPr>
          <w:spacing w:val="-12"/>
        </w:rPr>
        <w:t xml:space="preserve"> </w:t>
      </w:r>
      <w:r>
        <w:t>un</w:t>
      </w:r>
      <w:r>
        <w:rPr>
          <w:spacing w:val="-12"/>
        </w:rPr>
        <w:t xml:space="preserve"> </w:t>
      </w:r>
      <w:r>
        <w:t>funcionario</w:t>
      </w:r>
      <w:r>
        <w:rPr>
          <w:spacing w:val="-12"/>
        </w:rPr>
        <w:t xml:space="preserve"> </w:t>
      </w:r>
      <w:r>
        <w:t>del</w:t>
      </w:r>
      <w:r>
        <w:rPr>
          <w:spacing w:val="-12"/>
        </w:rPr>
        <w:t xml:space="preserve"> </w:t>
      </w:r>
      <w:r>
        <w:t>Estado,</w:t>
      </w:r>
      <w:r>
        <w:rPr>
          <w:spacing w:val="-12"/>
        </w:rPr>
        <w:t xml:space="preserve"> </w:t>
      </w:r>
      <w:r>
        <w:t>un</w:t>
      </w:r>
      <w:r>
        <w:rPr>
          <w:spacing w:val="-12"/>
        </w:rPr>
        <w:t xml:space="preserve"> </w:t>
      </w:r>
      <w:r>
        <w:t>policía,</w:t>
      </w:r>
      <w:r>
        <w:rPr>
          <w:spacing w:val="-12"/>
        </w:rPr>
        <w:t xml:space="preserve"> </w:t>
      </w:r>
      <w:r>
        <w:t>[…]</w:t>
      </w:r>
      <w:r>
        <w:rPr>
          <w:spacing w:val="-12"/>
        </w:rPr>
        <w:t xml:space="preserve"> </w:t>
      </w:r>
      <w:r>
        <w:t>que</w:t>
      </w:r>
      <w:r>
        <w:rPr>
          <w:spacing w:val="-12"/>
        </w:rPr>
        <w:t xml:space="preserve"> </w:t>
      </w:r>
      <w:r>
        <w:t>decían</w:t>
      </w:r>
      <w:r>
        <w:rPr>
          <w:spacing w:val="-12"/>
        </w:rPr>
        <w:t xml:space="preserve"> </w:t>
      </w:r>
      <w:r>
        <w:t>defender</w:t>
      </w:r>
      <w:r>
        <w:rPr>
          <w:spacing w:val="-12"/>
        </w:rPr>
        <w:t xml:space="preserve"> </w:t>
      </w:r>
      <w:r>
        <w:t>los</w:t>
      </w:r>
      <w:r>
        <w:rPr>
          <w:spacing w:val="-12"/>
        </w:rPr>
        <w:t xml:space="preserve"> </w:t>
      </w:r>
      <w:r>
        <w:t>derechos de la población o cuidar los ciudadanos […]. Lo que hacían era todo lo contrario»</w:t>
      </w:r>
      <w:r w:rsidR="00D907C6">
        <w:rPr>
          <w:rStyle w:val="Refdenotaalpie"/>
        </w:rPr>
        <w:footnoteReference w:id="944"/>
      </w:r>
      <w:r>
        <w:t>.</w:t>
      </w:r>
    </w:p>
    <w:p w:rsidR="0011361F" w:rsidRDefault="00AF18A5" w:rsidP="00D907C6">
      <w:r>
        <w:t xml:space="preserve">Muchos miembros de grupos armados entrevistados por la Comisión, de grupos paramilitares o guerrillas, habían sufrido hechos violentos cuya impunidad estimuló su </w:t>
      </w:r>
      <w:r>
        <w:rPr>
          <w:spacing w:val="-2"/>
        </w:rPr>
        <w:t>incorporación.</w:t>
      </w:r>
    </w:p>
    <w:p w:rsidR="003804AC" w:rsidRDefault="00AF18A5" w:rsidP="00D907C6">
      <w:bookmarkStart w:id="1173" w:name="_bookmark1035"/>
      <w:bookmarkEnd w:id="1173"/>
      <w:r>
        <w:t>Ante la falta de justicia, la mayor parte de las víctimas descartaron toda forma de venganza. Algunas personas para no caer en una espiral de odio, otras por buscar la justicia a través de las instituciones o por no querer seguir sus vidas psicológicamente atadas a los responsables y tratar de rehacerse mediante acciones positivas por sus comunidades. Una mujer, cuyo esposo fue asesinado por pertenecer a la Unión Patriótica y cuyos hijos fueron desaparecidos o asesinados, lo resumió de la siguiente manera para la Comisión: «Hubo alguien que nos rescató, que nos dijo: ustedes son importantes, ustedes vivieron cosas horribles</w:t>
      </w:r>
      <w:r>
        <w:rPr>
          <w:spacing w:val="-2"/>
        </w:rPr>
        <w:t xml:space="preserve"> </w:t>
      </w:r>
      <w:r>
        <w:t>y</w:t>
      </w:r>
      <w:r>
        <w:rPr>
          <w:spacing w:val="-2"/>
        </w:rPr>
        <w:t xml:space="preserve"> </w:t>
      </w:r>
      <w:r>
        <w:t>esto</w:t>
      </w:r>
      <w:r>
        <w:rPr>
          <w:spacing w:val="-2"/>
        </w:rPr>
        <w:t xml:space="preserve"> </w:t>
      </w:r>
      <w:r>
        <w:t>no</w:t>
      </w:r>
      <w:r>
        <w:rPr>
          <w:spacing w:val="-2"/>
        </w:rPr>
        <w:t xml:space="preserve"> </w:t>
      </w:r>
      <w:r>
        <w:t>se</w:t>
      </w:r>
      <w:r>
        <w:rPr>
          <w:spacing w:val="-2"/>
        </w:rPr>
        <w:t xml:space="preserve"> </w:t>
      </w:r>
      <w:r>
        <w:t>puede</w:t>
      </w:r>
      <w:r>
        <w:rPr>
          <w:spacing w:val="-2"/>
        </w:rPr>
        <w:t xml:space="preserve"> </w:t>
      </w:r>
      <w:r>
        <w:t>quedar</w:t>
      </w:r>
      <w:r>
        <w:rPr>
          <w:spacing w:val="-2"/>
        </w:rPr>
        <w:t xml:space="preserve"> </w:t>
      </w:r>
      <w:r>
        <w:t>en</w:t>
      </w:r>
      <w:r>
        <w:rPr>
          <w:spacing w:val="-2"/>
        </w:rPr>
        <w:t xml:space="preserve"> </w:t>
      </w:r>
      <w:r>
        <w:t>la</w:t>
      </w:r>
      <w:r>
        <w:rPr>
          <w:spacing w:val="-2"/>
        </w:rPr>
        <w:t xml:space="preserve"> </w:t>
      </w:r>
      <w:r>
        <w:t>impunidad».</w:t>
      </w:r>
      <w:r>
        <w:rPr>
          <w:spacing w:val="-2"/>
        </w:rPr>
        <w:t xml:space="preserve"> </w:t>
      </w:r>
      <w:r>
        <w:t>Ella</w:t>
      </w:r>
      <w:r>
        <w:rPr>
          <w:spacing w:val="-2"/>
        </w:rPr>
        <w:t xml:space="preserve"> </w:t>
      </w:r>
      <w:r>
        <w:t>se</w:t>
      </w:r>
      <w:r>
        <w:rPr>
          <w:spacing w:val="-2"/>
        </w:rPr>
        <w:t xml:space="preserve"> </w:t>
      </w:r>
      <w:r>
        <w:t>hizo</w:t>
      </w:r>
      <w:r>
        <w:rPr>
          <w:spacing w:val="-2"/>
        </w:rPr>
        <w:t xml:space="preserve"> </w:t>
      </w:r>
      <w:r>
        <w:t>maestra</w:t>
      </w:r>
      <w:r>
        <w:rPr>
          <w:spacing w:val="-3"/>
        </w:rPr>
        <w:t xml:space="preserve"> </w:t>
      </w:r>
      <w:r>
        <w:t>para</w:t>
      </w:r>
      <w:r>
        <w:rPr>
          <w:spacing w:val="-2"/>
        </w:rPr>
        <w:t xml:space="preserve"> </w:t>
      </w:r>
      <w:r>
        <w:t>trabajar</w:t>
      </w:r>
      <w:r>
        <w:rPr>
          <w:spacing w:val="-2"/>
        </w:rPr>
        <w:t xml:space="preserve"> </w:t>
      </w:r>
      <w:r>
        <w:t>con los niños y volver a vivir.</w:t>
      </w:r>
    </w:p>
    <w:p w:rsidR="003804AC" w:rsidRDefault="00AF18A5" w:rsidP="00D907C6">
      <w:r>
        <w:t>Más allá de las actitudes concretas de las víctimas frente al daño que sufrieron, la impunidad ha sido un factor del que se han servido diferentes grupos armados que se han presentado como con respuestas frente a los problemas que viven las comunidades. Por ejemplo, es diciente que grupos paramilitares y bandas en ciudades como Medellín terminaran</w:t>
      </w:r>
      <w:r>
        <w:rPr>
          <w:spacing w:val="-13"/>
        </w:rPr>
        <w:t xml:space="preserve"> </w:t>
      </w:r>
      <w:r>
        <w:t>actuando</w:t>
      </w:r>
      <w:r>
        <w:rPr>
          <w:spacing w:val="-13"/>
        </w:rPr>
        <w:t xml:space="preserve"> </w:t>
      </w:r>
      <w:r>
        <w:t>bajo</w:t>
      </w:r>
      <w:r>
        <w:rPr>
          <w:spacing w:val="-14"/>
        </w:rPr>
        <w:t xml:space="preserve"> </w:t>
      </w:r>
      <w:r>
        <w:t>denominaciones</w:t>
      </w:r>
      <w:r>
        <w:rPr>
          <w:spacing w:val="-13"/>
        </w:rPr>
        <w:t xml:space="preserve"> </w:t>
      </w:r>
      <w:r>
        <w:t>como</w:t>
      </w:r>
      <w:r>
        <w:rPr>
          <w:spacing w:val="-13"/>
        </w:rPr>
        <w:t xml:space="preserve"> </w:t>
      </w:r>
      <w:r>
        <w:t>Amor</w:t>
      </w:r>
      <w:r>
        <w:rPr>
          <w:spacing w:val="-13"/>
        </w:rPr>
        <w:t xml:space="preserve"> </w:t>
      </w:r>
      <w:r>
        <w:t>por</w:t>
      </w:r>
      <w:r>
        <w:rPr>
          <w:spacing w:val="-13"/>
        </w:rPr>
        <w:t xml:space="preserve"> </w:t>
      </w:r>
      <w:r>
        <w:t>Medellín,</w:t>
      </w:r>
      <w:r>
        <w:rPr>
          <w:spacing w:val="-13"/>
        </w:rPr>
        <w:t xml:space="preserve"> </w:t>
      </w:r>
      <w:r>
        <w:lastRenderedPageBreak/>
        <w:t>Mano</w:t>
      </w:r>
      <w:r>
        <w:rPr>
          <w:spacing w:val="-13"/>
        </w:rPr>
        <w:t xml:space="preserve"> </w:t>
      </w:r>
      <w:r>
        <w:t>Negra,</w:t>
      </w:r>
      <w:r>
        <w:rPr>
          <w:spacing w:val="-13"/>
        </w:rPr>
        <w:t xml:space="preserve"> </w:t>
      </w:r>
      <w:r>
        <w:t>Limpieza Total,</w:t>
      </w:r>
      <w:r>
        <w:rPr>
          <w:spacing w:val="-10"/>
        </w:rPr>
        <w:t xml:space="preserve"> </w:t>
      </w:r>
      <w:r>
        <w:t>Aburrá</w:t>
      </w:r>
      <w:r>
        <w:rPr>
          <w:spacing w:val="-10"/>
        </w:rPr>
        <w:t xml:space="preserve"> </w:t>
      </w:r>
      <w:r>
        <w:t>Tranquilo,</w:t>
      </w:r>
      <w:r>
        <w:rPr>
          <w:spacing w:val="-10"/>
        </w:rPr>
        <w:t xml:space="preserve"> </w:t>
      </w:r>
      <w:r>
        <w:t>Muerte</w:t>
      </w:r>
      <w:r>
        <w:rPr>
          <w:spacing w:val="-11"/>
        </w:rPr>
        <w:t xml:space="preserve"> </w:t>
      </w:r>
      <w:r>
        <w:t>a</w:t>
      </w:r>
      <w:r>
        <w:rPr>
          <w:spacing w:val="-10"/>
        </w:rPr>
        <w:t xml:space="preserve"> </w:t>
      </w:r>
      <w:r>
        <w:t>Jaladores</w:t>
      </w:r>
      <w:r>
        <w:rPr>
          <w:spacing w:val="-10"/>
        </w:rPr>
        <w:t xml:space="preserve"> </w:t>
      </w:r>
      <w:r>
        <w:t>de</w:t>
      </w:r>
      <w:r>
        <w:rPr>
          <w:spacing w:val="-10"/>
        </w:rPr>
        <w:t xml:space="preserve"> </w:t>
      </w:r>
      <w:r>
        <w:t>Carros</w:t>
      </w:r>
      <w:r>
        <w:rPr>
          <w:spacing w:val="-10"/>
        </w:rPr>
        <w:t xml:space="preserve"> </w:t>
      </w:r>
      <w:r>
        <w:t>(</w:t>
      </w:r>
      <w:proofErr w:type="spellStart"/>
      <w:r>
        <w:t>Majaca</w:t>
      </w:r>
      <w:proofErr w:type="spellEnd"/>
      <w:r>
        <w:t>),</w:t>
      </w:r>
      <w:r>
        <w:rPr>
          <w:spacing w:val="-10"/>
        </w:rPr>
        <w:t xml:space="preserve"> </w:t>
      </w:r>
      <w:r>
        <w:t>Asociación</w:t>
      </w:r>
      <w:r>
        <w:rPr>
          <w:spacing w:val="-10"/>
        </w:rPr>
        <w:t xml:space="preserve"> </w:t>
      </w:r>
      <w:r>
        <w:t>Pro-Defensa</w:t>
      </w:r>
      <w:r>
        <w:rPr>
          <w:spacing w:val="-10"/>
        </w:rPr>
        <w:t xml:space="preserve"> </w:t>
      </w:r>
      <w:r>
        <w:t>de Medellín y Departamento de Orden Ciudadano. En palabras del CNMH,</w:t>
      </w:r>
    </w:p>
    <w:p w:rsidR="003804AC" w:rsidRDefault="00AF18A5" w:rsidP="00D907C6">
      <w:r>
        <w:t>Los grupos de milicias buscaban generar una sensación de protección para responder a las demandas de seguridad de algunos pobladores […]. Todo esto a través de la configuración de ciertos elementos de orden marcados por la organización, demarcación y vigilancia de los territorios y de aquellos que los habitaban</w:t>
      </w:r>
      <w:r w:rsidR="00D907C6">
        <w:rPr>
          <w:rStyle w:val="Refdenotaalpie"/>
        </w:rPr>
        <w:footnoteReference w:id="945"/>
      </w:r>
      <w:r>
        <w:t>.</w:t>
      </w:r>
    </w:p>
    <w:p w:rsidR="003804AC" w:rsidRDefault="00AF18A5" w:rsidP="00D907C6">
      <w:r>
        <w:t>En la jurisdicción de Justicia y Paz, también se señaló que la violencia sexual llegó a justificarse como una forma de castigo por supuestas infracciones a normas de los grupos paramilitares. El Bloque Héroes de los Montes de María de las AUC, por ejemplo, cometió muchas</w:t>
      </w:r>
      <w:r>
        <w:rPr>
          <w:spacing w:val="-2"/>
        </w:rPr>
        <w:t xml:space="preserve"> </w:t>
      </w:r>
      <w:r>
        <w:t>violaciones</w:t>
      </w:r>
      <w:r>
        <w:rPr>
          <w:spacing w:val="-2"/>
        </w:rPr>
        <w:t xml:space="preserve"> </w:t>
      </w:r>
      <w:r>
        <w:t>sexuales</w:t>
      </w:r>
      <w:r>
        <w:rPr>
          <w:spacing w:val="-2"/>
        </w:rPr>
        <w:t xml:space="preserve"> </w:t>
      </w:r>
      <w:r>
        <w:t>contra</w:t>
      </w:r>
      <w:r>
        <w:rPr>
          <w:spacing w:val="-3"/>
        </w:rPr>
        <w:t xml:space="preserve"> </w:t>
      </w:r>
      <w:r>
        <w:t>mujeres,</w:t>
      </w:r>
      <w:r>
        <w:rPr>
          <w:spacing w:val="-2"/>
        </w:rPr>
        <w:t xml:space="preserve"> </w:t>
      </w:r>
      <w:r>
        <w:t>en</w:t>
      </w:r>
      <w:r>
        <w:rPr>
          <w:spacing w:val="-3"/>
        </w:rPr>
        <w:t xml:space="preserve"> </w:t>
      </w:r>
      <w:r>
        <w:t>especial</w:t>
      </w:r>
      <w:r>
        <w:rPr>
          <w:spacing w:val="-2"/>
        </w:rPr>
        <w:t xml:space="preserve"> </w:t>
      </w:r>
      <w:r>
        <w:t>afrodescendientes.</w:t>
      </w:r>
      <w:r>
        <w:rPr>
          <w:spacing w:val="-2"/>
        </w:rPr>
        <w:t xml:space="preserve"> </w:t>
      </w:r>
      <w:r>
        <w:t>De</w:t>
      </w:r>
      <w:r>
        <w:rPr>
          <w:spacing w:val="-2"/>
        </w:rPr>
        <w:t xml:space="preserve"> </w:t>
      </w:r>
      <w:r>
        <w:t>acuerdo</w:t>
      </w:r>
      <w:r>
        <w:rPr>
          <w:spacing w:val="-2"/>
        </w:rPr>
        <w:t xml:space="preserve"> </w:t>
      </w:r>
      <w:r>
        <w:t>con la Fiscalía,</w:t>
      </w:r>
      <w:r w:rsidR="00D907C6">
        <w:t xml:space="preserve"> </w:t>
      </w:r>
      <w:r>
        <w:t>el grupo llegó a tener un control tal de la población que le permitió imponer reglas y patrones de comportamiento a los pobladores y sanciones para quienes incumplían dichos parámetros de conducta.</w:t>
      </w:r>
      <w:r>
        <w:rPr>
          <w:spacing w:val="-2"/>
        </w:rPr>
        <w:t xml:space="preserve"> </w:t>
      </w:r>
      <w:r>
        <w:t>Castigos</w:t>
      </w:r>
      <w:r>
        <w:rPr>
          <w:spacing w:val="-3"/>
        </w:rPr>
        <w:t xml:space="preserve"> </w:t>
      </w:r>
      <w:r>
        <w:t>que</w:t>
      </w:r>
      <w:r>
        <w:rPr>
          <w:spacing w:val="-3"/>
        </w:rPr>
        <w:t xml:space="preserve"> </w:t>
      </w:r>
      <w:r>
        <w:t>en</w:t>
      </w:r>
      <w:r>
        <w:rPr>
          <w:spacing w:val="-3"/>
        </w:rPr>
        <w:t xml:space="preserve"> </w:t>
      </w:r>
      <w:r>
        <w:t>el</w:t>
      </w:r>
      <w:r>
        <w:rPr>
          <w:spacing w:val="-2"/>
        </w:rPr>
        <w:t xml:space="preserve"> </w:t>
      </w:r>
      <w:r>
        <w:t>mayor</w:t>
      </w:r>
      <w:r>
        <w:rPr>
          <w:spacing w:val="-2"/>
        </w:rPr>
        <w:t xml:space="preserve"> </w:t>
      </w:r>
      <w:r>
        <w:t>de</w:t>
      </w:r>
      <w:r>
        <w:rPr>
          <w:spacing w:val="-3"/>
        </w:rPr>
        <w:t xml:space="preserve"> </w:t>
      </w:r>
      <w:r>
        <w:t>los</w:t>
      </w:r>
      <w:r>
        <w:rPr>
          <w:spacing w:val="-3"/>
        </w:rPr>
        <w:t xml:space="preserve"> </w:t>
      </w:r>
      <w:r>
        <w:t>casos</w:t>
      </w:r>
      <w:r>
        <w:rPr>
          <w:spacing w:val="-3"/>
        </w:rPr>
        <w:t xml:space="preserve"> </w:t>
      </w:r>
      <w:r>
        <w:t>fueron</w:t>
      </w:r>
      <w:r>
        <w:rPr>
          <w:spacing w:val="-2"/>
        </w:rPr>
        <w:t xml:space="preserve"> </w:t>
      </w:r>
      <w:r>
        <w:t>aplicados</w:t>
      </w:r>
      <w:r>
        <w:rPr>
          <w:spacing w:val="-4"/>
        </w:rPr>
        <w:t xml:space="preserve"> </w:t>
      </w:r>
      <w:r>
        <w:t>a</w:t>
      </w:r>
      <w:r>
        <w:rPr>
          <w:spacing w:val="-3"/>
        </w:rPr>
        <w:t xml:space="preserve"> </w:t>
      </w:r>
      <w:r>
        <w:t>las</w:t>
      </w:r>
      <w:r>
        <w:rPr>
          <w:spacing w:val="-3"/>
        </w:rPr>
        <w:t xml:space="preserve"> </w:t>
      </w:r>
      <w:r>
        <w:t>mujeres,</w:t>
      </w:r>
      <w:r>
        <w:rPr>
          <w:spacing w:val="-1"/>
        </w:rPr>
        <w:t xml:space="preserve"> </w:t>
      </w:r>
      <w:r>
        <w:t>y</w:t>
      </w:r>
      <w:r>
        <w:rPr>
          <w:spacing w:val="-2"/>
        </w:rPr>
        <w:t xml:space="preserve"> </w:t>
      </w:r>
      <w:r>
        <w:t>consistieron</w:t>
      </w:r>
      <w:r>
        <w:rPr>
          <w:spacing w:val="-2"/>
        </w:rPr>
        <w:t xml:space="preserve"> </w:t>
      </w:r>
      <w:r>
        <w:t>en</w:t>
      </w:r>
      <w:bookmarkStart w:id="1174" w:name="_bookmark1036"/>
      <w:bookmarkEnd w:id="1174"/>
      <w:r w:rsidR="00D907C6">
        <w:t xml:space="preserve"> </w:t>
      </w:r>
      <w:r>
        <w:t>someterlas a vejámenes y agresiones de connotación sexual, lo que permite entrever que la violencia sexual era una conducta generalizada al interior de la organización armada ilegal</w:t>
      </w:r>
      <w:r w:rsidR="00D907C6">
        <w:rPr>
          <w:rStyle w:val="Refdenotaalpie"/>
        </w:rPr>
        <w:footnoteReference w:id="946"/>
      </w:r>
      <w:r>
        <w:t>.</w:t>
      </w:r>
    </w:p>
    <w:p w:rsidR="003804AC" w:rsidRDefault="00AF18A5" w:rsidP="00D907C6">
      <w:r>
        <w:t>Grupos armados como las FARC-EP, por su parte, basaron su presencia, como lo dijo a la Comisión</w:t>
      </w:r>
      <w:r>
        <w:rPr>
          <w:spacing w:val="-15"/>
        </w:rPr>
        <w:t xml:space="preserve"> </w:t>
      </w:r>
      <w:r>
        <w:t>uno</w:t>
      </w:r>
      <w:r>
        <w:rPr>
          <w:spacing w:val="-15"/>
        </w:rPr>
        <w:t xml:space="preserve"> </w:t>
      </w:r>
      <w:r>
        <w:t>de</w:t>
      </w:r>
      <w:r>
        <w:rPr>
          <w:spacing w:val="-15"/>
        </w:rPr>
        <w:t xml:space="preserve"> </w:t>
      </w:r>
      <w:r>
        <w:t>sus</w:t>
      </w:r>
      <w:r>
        <w:rPr>
          <w:spacing w:val="-15"/>
        </w:rPr>
        <w:t xml:space="preserve"> </w:t>
      </w:r>
      <w:r>
        <w:t>excombatientes</w:t>
      </w:r>
      <w:r>
        <w:rPr>
          <w:spacing w:val="-15"/>
        </w:rPr>
        <w:t xml:space="preserve"> </w:t>
      </w:r>
      <w:r>
        <w:t>en</w:t>
      </w:r>
      <w:r>
        <w:rPr>
          <w:spacing w:val="-15"/>
        </w:rPr>
        <w:t xml:space="preserve"> </w:t>
      </w:r>
      <w:r>
        <w:t>la</w:t>
      </w:r>
      <w:r>
        <w:rPr>
          <w:spacing w:val="-15"/>
        </w:rPr>
        <w:t xml:space="preserve"> </w:t>
      </w:r>
      <w:r>
        <w:t>función</w:t>
      </w:r>
      <w:r>
        <w:rPr>
          <w:spacing w:val="-15"/>
        </w:rPr>
        <w:t xml:space="preserve"> </w:t>
      </w:r>
      <w:r>
        <w:t>de</w:t>
      </w:r>
      <w:r>
        <w:rPr>
          <w:spacing w:val="-15"/>
        </w:rPr>
        <w:t xml:space="preserve"> </w:t>
      </w:r>
      <w:r>
        <w:t>«hacer</w:t>
      </w:r>
      <w:r>
        <w:rPr>
          <w:spacing w:val="-15"/>
        </w:rPr>
        <w:t xml:space="preserve"> </w:t>
      </w:r>
      <w:r>
        <w:t>cumplir</w:t>
      </w:r>
      <w:r>
        <w:rPr>
          <w:spacing w:val="-15"/>
        </w:rPr>
        <w:t xml:space="preserve"> </w:t>
      </w:r>
      <w:r>
        <w:t>muchas</w:t>
      </w:r>
      <w:r>
        <w:rPr>
          <w:spacing w:val="-15"/>
        </w:rPr>
        <w:t xml:space="preserve"> </w:t>
      </w:r>
      <w:r>
        <w:t>cosas,</w:t>
      </w:r>
      <w:r>
        <w:rPr>
          <w:spacing w:val="-15"/>
        </w:rPr>
        <w:t xml:space="preserve"> </w:t>
      </w:r>
      <w:r>
        <w:t xml:space="preserve">controlar una comunidad y ejercer la ley </w:t>
      </w:r>
      <w:r>
        <w:lastRenderedPageBreak/>
        <w:t>en una comunidad»</w:t>
      </w:r>
      <w:r w:rsidR="00BC5EC9">
        <w:rPr>
          <w:rStyle w:val="Refdenotaalpie"/>
        </w:rPr>
        <w:footnoteReference w:id="947"/>
      </w:r>
      <w:r>
        <w:t>. El lenguaje del ajusticiamiento está profundamente</w:t>
      </w:r>
      <w:r>
        <w:rPr>
          <w:spacing w:val="-6"/>
        </w:rPr>
        <w:t xml:space="preserve"> </w:t>
      </w:r>
      <w:r>
        <w:t>arraigado</w:t>
      </w:r>
      <w:r>
        <w:rPr>
          <w:spacing w:val="-6"/>
        </w:rPr>
        <w:t xml:space="preserve"> </w:t>
      </w:r>
      <w:r>
        <w:t>en</w:t>
      </w:r>
      <w:r>
        <w:rPr>
          <w:spacing w:val="-6"/>
        </w:rPr>
        <w:t xml:space="preserve"> </w:t>
      </w:r>
      <w:r>
        <w:t>los</w:t>
      </w:r>
      <w:r>
        <w:rPr>
          <w:spacing w:val="-7"/>
        </w:rPr>
        <w:t xml:space="preserve"> </w:t>
      </w:r>
      <w:r>
        <w:t>testimonios</w:t>
      </w:r>
      <w:r>
        <w:rPr>
          <w:spacing w:val="-6"/>
        </w:rPr>
        <w:t xml:space="preserve"> </w:t>
      </w:r>
      <w:r>
        <w:t>de</w:t>
      </w:r>
      <w:r>
        <w:rPr>
          <w:spacing w:val="-6"/>
        </w:rPr>
        <w:t xml:space="preserve"> </w:t>
      </w:r>
      <w:r>
        <w:t>los</w:t>
      </w:r>
      <w:r>
        <w:rPr>
          <w:spacing w:val="-6"/>
        </w:rPr>
        <w:t xml:space="preserve"> </w:t>
      </w:r>
      <w:r>
        <w:t>exintegrantes</w:t>
      </w:r>
      <w:r>
        <w:rPr>
          <w:spacing w:val="-6"/>
        </w:rPr>
        <w:t xml:space="preserve"> </w:t>
      </w:r>
      <w:r>
        <w:t>de</w:t>
      </w:r>
      <w:r>
        <w:rPr>
          <w:spacing w:val="-7"/>
        </w:rPr>
        <w:t xml:space="preserve"> </w:t>
      </w:r>
      <w:r>
        <w:t>la</w:t>
      </w:r>
      <w:r>
        <w:rPr>
          <w:spacing w:val="-6"/>
        </w:rPr>
        <w:t xml:space="preserve"> </w:t>
      </w:r>
      <w:r>
        <w:t>guerrilla.</w:t>
      </w:r>
      <w:r>
        <w:rPr>
          <w:spacing w:val="-6"/>
        </w:rPr>
        <w:t xml:space="preserve"> </w:t>
      </w:r>
      <w:r>
        <w:t>Esta</w:t>
      </w:r>
      <w:r>
        <w:rPr>
          <w:spacing w:val="-7"/>
        </w:rPr>
        <w:t xml:space="preserve"> </w:t>
      </w:r>
      <w:r>
        <w:t>palabra muestra la muerte como una práctica bajo una forma de sanción por algo que se hace o por algo que se es. Un ejemplo elocuente del desbordamiento y de la violencia empleada en el contexto del ejercicio de los ajusticiamientos fue el caso de la masacre cometida por las FARC-EP</w:t>
      </w:r>
      <w:r>
        <w:rPr>
          <w:spacing w:val="-9"/>
        </w:rPr>
        <w:t xml:space="preserve"> </w:t>
      </w:r>
      <w:r>
        <w:t>contra</w:t>
      </w:r>
      <w:r>
        <w:rPr>
          <w:spacing w:val="-9"/>
        </w:rPr>
        <w:t xml:space="preserve"> </w:t>
      </w:r>
      <w:r>
        <w:t>los</w:t>
      </w:r>
      <w:r>
        <w:rPr>
          <w:spacing w:val="-8"/>
        </w:rPr>
        <w:t xml:space="preserve"> </w:t>
      </w:r>
      <w:r>
        <w:t>líderes</w:t>
      </w:r>
      <w:r>
        <w:rPr>
          <w:spacing w:val="-8"/>
        </w:rPr>
        <w:t xml:space="preserve"> </w:t>
      </w:r>
      <w:r>
        <w:t>y</w:t>
      </w:r>
      <w:r>
        <w:rPr>
          <w:spacing w:val="-9"/>
        </w:rPr>
        <w:t xml:space="preserve"> </w:t>
      </w:r>
      <w:r>
        <w:t>autoridades</w:t>
      </w:r>
      <w:r>
        <w:rPr>
          <w:spacing w:val="-8"/>
        </w:rPr>
        <w:t xml:space="preserve"> </w:t>
      </w:r>
      <w:r>
        <w:t>indígenas</w:t>
      </w:r>
      <w:r>
        <w:rPr>
          <w:spacing w:val="-8"/>
        </w:rPr>
        <w:t xml:space="preserve"> </w:t>
      </w:r>
      <w:r>
        <w:t>del</w:t>
      </w:r>
      <w:r>
        <w:rPr>
          <w:spacing w:val="-8"/>
        </w:rPr>
        <w:t xml:space="preserve"> </w:t>
      </w:r>
      <w:r>
        <w:t>pueblo</w:t>
      </w:r>
      <w:r>
        <w:rPr>
          <w:spacing w:val="-8"/>
        </w:rPr>
        <w:t xml:space="preserve"> </w:t>
      </w:r>
      <w:proofErr w:type="spellStart"/>
      <w:r>
        <w:t>embera</w:t>
      </w:r>
      <w:proofErr w:type="spellEnd"/>
      <w:r>
        <w:rPr>
          <w:spacing w:val="-9"/>
        </w:rPr>
        <w:t xml:space="preserve"> </w:t>
      </w:r>
      <w:proofErr w:type="spellStart"/>
      <w:r>
        <w:t>eyabida</w:t>
      </w:r>
      <w:proofErr w:type="spellEnd"/>
      <w:r>
        <w:rPr>
          <w:spacing w:val="-8"/>
        </w:rPr>
        <w:t xml:space="preserve"> </w:t>
      </w:r>
      <w:r>
        <w:t>de</w:t>
      </w:r>
      <w:r>
        <w:rPr>
          <w:spacing w:val="-9"/>
        </w:rPr>
        <w:t xml:space="preserve"> </w:t>
      </w:r>
      <w:r>
        <w:t>Murindó, en</w:t>
      </w:r>
      <w:r>
        <w:rPr>
          <w:spacing w:val="-7"/>
        </w:rPr>
        <w:t xml:space="preserve"> </w:t>
      </w:r>
      <w:r>
        <w:t>1982.</w:t>
      </w:r>
      <w:r>
        <w:rPr>
          <w:spacing w:val="-7"/>
        </w:rPr>
        <w:t xml:space="preserve"> </w:t>
      </w:r>
      <w:r>
        <w:t>Por</w:t>
      </w:r>
      <w:r>
        <w:rPr>
          <w:spacing w:val="-6"/>
        </w:rPr>
        <w:t xml:space="preserve"> </w:t>
      </w:r>
      <w:r>
        <w:t>este</w:t>
      </w:r>
      <w:r>
        <w:rPr>
          <w:spacing w:val="-7"/>
        </w:rPr>
        <w:t xml:space="preserve"> </w:t>
      </w:r>
      <w:r>
        <w:t>hecho,</w:t>
      </w:r>
      <w:r>
        <w:rPr>
          <w:spacing w:val="-7"/>
        </w:rPr>
        <w:t xml:space="preserve"> </w:t>
      </w:r>
      <w:r>
        <w:t>durante</w:t>
      </w:r>
      <w:r>
        <w:rPr>
          <w:spacing w:val="-7"/>
        </w:rPr>
        <w:t xml:space="preserve"> </w:t>
      </w:r>
      <w:r>
        <w:t>un</w:t>
      </w:r>
      <w:r>
        <w:rPr>
          <w:spacing w:val="-7"/>
        </w:rPr>
        <w:t xml:space="preserve"> </w:t>
      </w:r>
      <w:r>
        <w:t>acto</w:t>
      </w:r>
      <w:r>
        <w:rPr>
          <w:spacing w:val="-7"/>
        </w:rPr>
        <w:t xml:space="preserve"> </w:t>
      </w:r>
      <w:r>
        <w:t>de</w:t>
      </w:r>
      <w:r>
        <w:rPr>
          <w:spacing w:val="-7"/>
        </w:rPr>
        <w:t xml:space="preserve"> </w:t>
      </w:r>
      <w:r>
        <w:t>reconocimiento</w:t>
      </w:r>
      <w:r>
        <w:rPr>
          <w:spacing w:val="-7"/>
        </w:rPr>
        <w:t xml:space="preserve"> </w:t>
      </w:r>
      <w:r>
        <w:t>ante</w:t>
      </w:r>
      <w:r>
        <w:rPr>
          <w:spacing w:val="-7"/>
        </w:rPr>
        <w:t xml:space="preserve"> </w:t>
      </w:r>
      <w:r>
        <w:t>la</w:t>
      </w:r>
      <w:r>
        <w:rPr>
          <w:spacing w:val="-7"/>
        </w:rPr>
        <w:t xml:space="preserve"> </w:t>
      </w:r>
      <w:r>
        <w:t>Comisión,</w:t>
      </w:r>
      <w:r>
        <w:rPr>
          <w:spacing w:val="-7"/>
        </w:rPr>
        <w:t xml:space="preserve"> </w:t>
      </w:r>
      <w:r>
        <w:t>una</w:t>
      </w:r>
      <w:r>
        <w:rPr>
          <w:spacing w:val="-7"/>
        </w:rPr>
        <w:t xml:space="preserve"> </w:t>
      </w:r>
      <w:r>
        <w:t>integrante del partido Comunes señaló que la masacre «se debió a una irresponsabilidad de los encargados de “impartir” justicia en el territorio, cuando una familia acusaba a otra y los guerrilleros asumían el papel de justicieros»</w:t>
      </w:r>
      <w:r w:rsidR="00BC5EC9">
        <w:rPr>
          <w:rStyle w:val="Refdenotaalpie"/>
        </w:rPr>
        <w:footnoteReference w:id="948"/>
      </w:r>
      <w:r>
        <w:t>.</w:t>
      </w:r>
    </w:p>
    <w:p w:rsidR="0011361F" w:rsidRDefault="00AF18A5" w:rsidP="004A6EF4">
      <w:pPr>
        <w:pStyle w:val="Ttulo3"/>
        <w:numPr>
          <w:ilvl w:val="1"/>
          <w:numId w:val="16"/>
        </w:numPr>
      </w:pPr>
      <w:bookmarkStart w:id="1175" w:name="8.13._La_relación_entre_verdad_y_justici"/>
      <w:bookmarkStart w:id="1176" w:name="_Toc112399638"/>
      <w:bookmarkEnd w:id="1175"/>
      <w:r>
        <w:t>La</w:t>
      </w:r>
      <w:r>
        <w:rPr>
          <w:spacing w:val="-1"/>
        </w:rPr>
        <w:t xml:space="preserve"> </w:t>
      </w:r>
      <w:r>
        <w:t>relación</w:t>
      </w:r>
      <w:r>
        <w:rPr>
          <w:spacing w:val="-2"/>
        </w:rPr>
        <w:t xml:space="preserve"> </w:t>
      </w:r>
      <w:r>
        <w:t>entre</w:t>
      </w:r>
      <w:r>
        <w:rPr>
          <w:spacing w:val="-2"/>
        </w:rPr>
        <w:t xml:space="preserve"> </w:t>
      </w:r>
      <w:r>
        <w:t>verdad</w:t>
      </w:r>
      <w:r>
        <w:rPr>
          <w:spacing w:val="-2"/>
        </w:rPr>
        <w:t xml:space="preserve"> </w:t>
      </w:r>
      <w:r>
        <w:t xml:space="preserve">y </w:t>
      </w:r>
      <w:r w:rsidRPr="00BC5EC9">
        <w:t>justicia</w:t>
      </w:r>
      <w:bookmarkEnd w:id="1176"/>
    </w:p>
    <w:p w:rsidR="003804AC" w:rsidRDefault="00AF18A5" w:rsidP="00B23B59">
      <w:r>
        <w:t>En</w:t>
      </w:r>
      <w:r>
        <w:rPr>
          <w:spacing w:val="-8"/>
        </w:rPr>
        <w:t xml:space="preserve"> </w:t>
      </w:r>
      <w:r>
        <w:t>medio</w:t>
      </w:r>
      <w:r>
        <w:rPr>
          <w:spacing w:val="-9"/>
        </w:rPr>
        <w:t xml:space="preserve"> </w:t>
      </w:r>
      <w:r>
        <w:t>de</w:t>
      </w:r>
      <w:r>
        <w:rPr>
          <w:spacing w:val="-9"/>
        </w:rPr>
        <w:t xml:space="preserve"> </w:t>
      </w:r>
      <w:r>
        <w:t>estas</w:t>
      </w:r>
      <w:r>
        <w:rPr>
          <w:spacing w:val="-9"/>
        </w:rPr>
        <w:t xml:space="preserve"> </w:t>
      </w:r>
      <w:r>
        <w:t>reflexiones</w:t>
      </w:r>
      <w:r>
        <w:rPr>
          <w:spacing w:val="-8"/>
        </w:rPr>
        <w:t xml:space="preserve"> </w:t>
      </w:r>
      <w:r>
        <w:t>sobre</w:t>
      </w:r>
      <w:r>
        <w:rPr>
          <w:spacing w:val="-9"/>
        </w:rPr>
        <w:t xml:space="preserve"> </w:t>
      </w:r>
      <w:r>
        <w:t>los</w:t>
      </w:r>
      <w:r>
        <w:rPr>
          <w:spacing w:val="-8"/>
        </w:rPr>
        <w:t xml:space="preserve"> </w:t>
      </w:r>
      <w:r>
        <w:t>avances</w:t>
      </w:r>
      <w:r>
        <w:rPr>
          <w:spacing w:val="-9"/>
        </w:rPr>
        <w:t xml:space="preserve"> </w:t>
      </w:r>
      <w:r>
        <w:t>y</w:t>
      </w:r>
      <w:r>
        <w:rPr>
          <w:spacing w:val="-10"/>
        </w:rPr>
        <w:t xml:space="preserve"> </w:t>
      </w:r>
      <w:r>
        <w:t>retrocesos</w:t>
      </w:r>
      <w:r>
        <w:rPr>
          <w:spacing w:val="-9"/>
        </w:rPr>
        <w:t xml:space="preserve"> </w:t>
      </w:r>
      <w:r>
        <w:t>de</w:t>
      </w:r>
      <w:r>
        <w:rPr>
          <w:spacing w:val="-8"/>
        </w:rPr>
        <w:t xml:space="preserve"> </w:t>
      </w:r>
      <w:r>
        <w:t>la</w:t>
      </w:r>
      <w:r>
        <w:rPr>
          <w:spacing w:val="-9"/>
        </w:rPr>
        <w:t xml:space="preserve"> </w:t>
      </w:r>
      <w:r>
        <w:t>justicia,</w:t>
      </w:r>
      <w:r>
        <w:rPr>
          <w:spacing w:val="-10"/>
        </w:rPr>
        <w:t xml:space="preserve"> </w:t>
      </w:r>
      <w:r>
        <w:t>no</w:t>
      </w:r>
      <w:r>
        <w:rPr>
          <w:spacing w:val="-8"/>
        </w:rPr>
        <w:t xml:space="preserve"> </w:t>
      </w:r>
      <w:r>
        <w:t>puede</w:t>
      </w:r>
      <w:r>
        <w:rPr>
          <w:spacing w:val="-8"/>
        </w:rPr>
        <w:t xml:space="preserve"> </w:t>
      </w:r>
      <w:r>
        <w:t>omitirse un problema. La guerra ha sido un distorsionador del delito político. De hecho, la Constitución</w:t>
      </w:r>
      <w:r>
        <w:rPr>
          <w:spacing w:val="-15"/>
        </w:rPr>
        <w:t xml:space="preserve"> </w:t>
      </w:r>
      <w:r>
        <w:t>de</w:t>
      </w:r>
      <w:r>
        <w:rPr>
          <w:spacing w:val="-14"/>
        </w:rPr>
        <w:t xml:space="preserve"> </w:t>
      </w:r>
      <w:r>
        <w:t>1991</w:t>
      </w:r>
      <w:r>
        <w:rPr>
          <w:spacing w:val="-15"/>
        </w:rPr>
        <w:t xml:space="preserve"> </w:t>
      </w:r>
      <w:r>
        <w:t>dejó</w:t>
      </w:r>
      <w:r>
        <w:rPr>
          <w:spacing w:val="-14"/>
        </w:rPr>
        <w:t xml:space="preserve"> </w:t>
      </w:r>
      <w:r>
        <w:t>claro</w:t>
      </w:r>
      <w:r>
        <w:rPr>
          <w:spacing w:val="-14"/>
        </w:rPr>
        <w:t xml:space="preserve"> </w:t>
      </w:r>
      <w:r>
        <w:t>el</w:t>
      </w:r>
      <w:r>
        <w:rPr>
          <w:spacing w:val="-15"/>
        </w:rPr>
        <w:t xml:space="preserve"> </w:t>
      </w:r>
      <w:r>
        <w:t>alcance</w:t>
      </w:r>
      <w:r>
        <w:rPr>
          <w:spacing w:val="-14"/>
        </w:rPr>
        <w:t xml:space="preserve"> </w:t>
      </w:r>
      <w:r>
        <w:t>de</w:t>
      </w:r>
      <w:r>
        <w:rPr>
          <w:spacing w:val="-15"/>
        </w:rPr>
        <w:t xml:space="preserve"> </w:t>
      </w:r>
      <w:r>
        <w:t>los</w:t>
      </w:r>
      <w:r>
        <w:rPr>
          <w:spacing w:val="-14"/>
        </w:rPr>
        <w:t xml:space="preserve"> </w:t>
      </w:r>
      <w:r>
        <w:t>delitos</w:t>
      </w:r>
      <w:r>
        <w:rPr>
          <w:spacing w:val="-14"/>
        </w:rPr>
        <w:t xml:space="preserve"> </w:t>
      </w:r>
      <w:r>
        <w:t>políticos</w:t>
      </w:r>
      <w:r>
        <w:rPr>
          <w:spacing w:val="-14"/>
        </w:rPr>
        <w:t xml:space="preserve"> </w:t>
      </w:r>
      <w:r>
        <w:t>como</w:t>
      </w:r>
      <w:r>
        <w:rPr>
          <w:spacing w:val="-15"/>
        </w:rPr>
        <w:t xml:space="preserve"> </w:t>
      </w:r>
      <w:r>
        <w:t>excepción</w:t>
      </w:r>
      <w:r>
        <w:rPr>
          <w:spacing w:val="-14"/>
        </w:rPr>
        <w:t xml:space="preserve"> </w:t>
      </w:r>
      <w:r>
        <w:t>para</w:t>
      </w:r>
      <w:r>
        <w:rPr>
          <w:spacing w:val="-15"/>
        </w:rPr>
        <w:t xml:space="preserve"> </w:t>
      </w:r>
      <w:r>
        <w:t>poder ejercer</w:t>
      </w:r>
      <w:r>
        <w:rPr>
          <w:spacing w:val="-6"/>
        </w:rPr>
        <w:t xml:space="preserve"> </w:t>
      </w:r>
      <w:r>
        <w:t>la</w:t>
      </w:r>
      <w:r>
        <w:rPr>
          <w:spacing w:val="-6"/>
        </w:rPr>
        <w:t xml:space="preserve"> </w:t>
      </w:r>
      <w:r>
        <w:t>labor</w:t>
      </w:r>
      <w:r>
        <w:rPr>
          <w:spacing w:val="-4"/>
        </w:rPr>
        <w:t xml:space="preserve"> </w:t>
      </w:r>
      <w:r>
        <w:t>de</w:t>
      </w:r>
      <w:r>
        <w:rPr>
          <w:spacing w:val="-6"/>
        </w:rPr>
        <w:t xml:space="preserve"> </w:t>
      </w:r>
      <w:r>
        <w:t>congresista,</w:t>
      </w:r>
      <w:r>
        <w:rPr>
          <w:spacing w:val="-5"/>
        </w:rPr>
        <w:t xml:space="preserve"> </w:t>
      </w:r>
      <w:r>
        <w:t>en</w:t>
      </w:r>
      <w:r>
        <w:rPr>
          <w:spacing w:val="-6"/>
        </w:rPr>
        <w:t xml:space="preserve"> </w:t>
      </w:r>
      <w:r>
        <w:t>consonancia</w:t>
      </w:r>
      <w:r>
        <w:rPr>
          <w:spacing w:val="-6"/>
        </w:rPr>
        <w:t xml:space="preserve"> </w:t>
      </w:r>
      <w:r>
        <w:t>con</w:t>
      </w:r>
      <w:r>
        <w:rPr>
          <w:spacing w:val="-5"/>
        </w:rPr>
        <w:t xml:space="preserve"> </w:t>
      </w:r>
      <w:r>
        <w:t>la</w:t>
      </w:r>
      <w:r>
        <w:rPr>
          <w:spacing w:val="-6"/>
        </w:rPr>
        <w:t xml:space="preserve"> </w:t>
      </w:r>
      <w:r>
        <w:t>tesis</w:t>
      </w:r>
      <w:r>
        <w:rPr>
          <w:spacing w:val="-5"/>
        </w:rPr>
        <w:t xml:space="preserve"> </w:t>
      </w:r>
      <w:r>
        <w:t>acogida</w:t>
      </w:r>
      <w:r>
        <w:rPr>
          <w:spacing w:val="-5"/>
        </w:rPr>
        <w:t xml:space="preserve"> </w:t>
      </w:r>
      <w:r>
        <w:t>en</w:t>
      </w:r>
      <w:r>
        <w:rPr>
          <w:spacing w:val="-6"/>
        </w:rPr>
        <w:t xml:space="preserve"> </w:t>
      </w:r>
      <w:r>
        <w:t>los</w:t>
      </w:r>
      <w:r>
        <w:rPr>
          <w:spacing w:val="-7"/>
        </w:rPr>
        <w:t xml:space="preserve"> </w:t>
      </w:r>
      <w:r>
        <w:t>procesos</w:t>
      </w:r>
      <w:r>
        <w:rPr>
          <w:spacing w:val="-6"/>
        </w:rPr>
        <w:t xml:space="preserve"> </w:t>
      </w:r>
      <w:r>
        <w:t>de</w:t>
      </w:r>
      <w:r>
        <w:rPr>
          <w:spacing w:val="-6"/>
        </w:rPr>
        <w:t xml:space="preserve"> </w:t>
      </w:r>
      <w:r>
        <w:t>paz</w:t>
      </w:r>
      <w:r>
        <w:rPr>
          <w:spacing w:val="-5"/>
        </w:rPr>
        <w:t xml:space="preserve"> </w:t>
      </w:r>
      <w:r>
        <w:t>de los años 80 y 90, bajo el esquema del indulto y la amnistía en contraprestación a la entrega de las armas. No obstante, en busca de intersticios de reconocimiento político, el tránsito al modelo de justicia transicional que se estrenó con la ley de Justicia y Paz trajo consigo la posibilidad</w:t>
      </w:r>
      <w:r>
        <w:rPr>
          <w:spacing w:val="-15"/>
        </w:rPr>
        <w:t xml:space="preserve"> </w:t>
      </w:r>
      <w:r>
        <w:t>de</w:t>
      </w:r>
      <w:r>
        <w:rPr>
          <w:spacing w:val="-15"/>
        </w:rPr>
        <w:t xml:space="preserve"> </w:t>
      </w:r>
      <w:r>
        <w:t>disminuir</w:t>
      </w:r>
      <w:r>
        <w:rPr>
          <w:spacing w:val="-15"/>
        </w:rPr>
        <w:t xml:space="preserve"> </w:t>
      </w:r>
      <w:r>
        <w:t>las</w:t>
      </w:r>
      <w:r>
        <w:rPr>
          <w:spacing w:val="-15"/>
        </w:rPr>
        <w:t xml:space="preserve"> </w:t>
      </w:r>
      <w:r>
        <w:t>penas</w:t>
      </w:r>
      <w:r>
        <w:rPr>
          <w:spacing w:val="-15"/>
        </w:rPr>
        <w:t xml:space="preserve"> </w:t>
      </w:r>
      <w:r>
        <w:t>por</w:t>
      </w:r>
      <w:r>
        <w:rPr>
          <w:spacing w:val="-15"/>
        </w:rPr>
        <w:t xml:space="preserve"> </w:t>
      </w:r>
      <w:r>
        <w:t>hechos</w:t>
      </w:r>
      <w:r>
        <w:rPr>
          <w:spacing w:val="-15"/>
        </w:rPr>
        <w:t xml:space="preserve"> </w:t>
      </w:r>
      <w:r>
        <w:t>considerados</w:t>
      </w:r>
      <w:r>
        <w:rPr>
          <w:spacing w:val="-15"/>
        </w:rPr>
        <w:t xml:space="preserve"> </w:t>
      </w:r>
      <w:r>
        <w:t>violaciones</w:t>
      </w:r>
      <w:r>
        <w:rPr>
          <w:spacing w:val="-14"/>
        </w:rPr>
        <w:t xml:space="preserve"> </w:t>
      </w:r>
      <w:r>
        <w:t>de</w:t>
      </w:r>
      <w:r>
        <w:rPr>
          <w:spacing w:val="-15"/>
        </w:rPr>
        <w:t xml:space="preserve"> </w:t>
      </w:r>
      <w:r>
        <w:t>derechos</w:t>
      </w:r>
      <w:r>
        <w:rPr>
          <w:spacing w:val="-15"/>
        </w:rPr>
        <w:t xml:space="preserve"> </w:t>
      </w:r>
      <w:r>
        <w:t>humanos o crímenes de</w:t>
      </w:r>
      <w:r>
        <w:rPr>
          <w:spacing w:val="3"/>
        </w:rPr>
        <w:t xml:space="preserve"> </w:t>
      </w:r>
      <w:r>
        <w:t>guerra</w:t>
      </w:r>
      <w:r>
        <w:rPr>
          <w:spacing w:val="2"/>
        </w:rPr>
        <w:t xml:space="preserve"> </w:t>
      </w:r>
      <w:r>
        <w:t>a</w:t>
      </w:r>
      <w:r>
        <w:rPr>
          <w:spacing w:val="1"/>
        </w:rPr>
        <w:t xml:space="preserve"> </w:t>
      </w:r>
      <w:r>
        <w:t>través</w:t>
      </w:r>
      <w:r>
        <w:rPr>
          <w:spacing w:val="2"/>
        </w:rPr>
        <w:t xml:space="preserve"> </w:t>
      </w:r>
      <w:r>
        <w:t>de</w:t>
      </w:r>
      <w:r>
        <w:rPr>
          <w:spacing w:val="3"/>
        </w:rPr>
        <w:t xml:space="preserve"> </w:t>
      </w:r>
      <w:r>
        <w:t>una</w:t>
      </w:r>
      <w:r>
        <w:rPr>
          <w:spacing w:val="1"/>
        </w:rPr>
        <w:t xml:space="preserve"> </w:t>
      </w:r>
      <w:r>
        <w:t>contribución</w:t>
      </w:r>
      <w:r>
        <w:rPr>
          <w:spacing w:val="2"/>
        </w:rPr>
        <w:t xml:space="preserve"> </w:t>
      </w:r>
      <w:r>
        <w:t>completa</w:t>
      </w:r>
      <w:r>
        <w:rPr>
          <w:spacing w:val="1"/>
        </w:rPr>
        <w:t xml:space="preserve"> </w:t>
      </w:r>
      <w:r>
        <w:t>a</w:t>
      </w:r>
      <w:r>
        <w:rPr>
          <w:spacing w:val="2"/>
        </w:rPr>
        <w:t xml:space="preserve"> </w:t>
      </w:r>
      <w:r>
        <w:t>la</w:t>
      </w:r>
      <w:r>
        <w:rPr>
          <w:spacing w:val="1"/>
        </w:rPr>
        <w:t xml:space="preserve"> </w:t>
      </w:r>
      <w:r>
        <w:t>verdad</w:t>
      </w:r>
      <w:r>
        <w:rPr>
          <w:spacing w:val="1"/>
        </w:rPr>
        <w:t xml:space="preserve"> </w:t>
      </w:r>
      <w:r>
        <w:t>y</w:t>
      </w:r>
      <w:r>
        <w:rPr>
          <w:spacing w:val="2"/>
        </w:rPr>
        <w:t xml:space="preserve"> </w:t>
      </w:r>
      <w:r>
        <w:t>el</w:t>
      </w:r>
      <w:r>
        <w:rPr>
          <w:spacing w:val="2"/>
        </w:rPr>
        <w:t xml:space="preserve"> </w:t>
      </w:r>
      <w:r>
        <w:rPr>
          <w:spacing w:val="-2"/>
        </w:rPr>
        <w:t>reconocimiento</w:t>
      </w:r>
      <w:bookmarkStart w:id="1177" w:name="_bookmark1038"/>
      <w:bookmarkStart w:id="1178" w:name="_bookmark1039"/>
      <w:bookmarkStart w:id="1179" w:name="_bookmark1040"/>
      <w:bookmarkEnd w:id="1177"/>
      <w:bookmarkEnd w:id="1178"/>
      <w:bookmarkEnd w:id="1179"/>
      <w:r w:rsidR="00B23B59">
        <w:t xml:space="preserve"> </w:t>
      </w:r>
      <w:r>
        <w:t>de</w:t>
      </w:r>
      <w:r>
        <w:rPr>
          <w:spacing w:val="-5"/>
        </w:rPr>
        <w:t xml:space="preserve"> </w:t>
      </w:r>
      <w:r>
        <w:lastRenderedPageBreak/>
        <w:t>responsabilidad</w:t>
      </w:r>
      <w:r>
        <w:rPr>
          <w:spacing w:val="-5"/>
        </w:rPr>
        <w:t xml:space="preserve"> </w:t>
      </w:r>
      <w:r>
        <w:t>y</w:t>
      </w:r>
      <w:r>
        <w:rPr>
          <w:spacing w:val="-5"/>
        </w:rPr>
        <w:t xml:space="preserve"> </w:t>
      </w:r>
      <w:r>
        <w:t>compromiso</w:t>
      </w:r>
      <w:r>
        <w:rPr>
          <w:spacing w:val="-5"/>
        </w:rPr>
        <w:t xml:space="preserve"> </w:t>
      </w:r>
      <w:r>
        <w:t>en</w:t>
      </w:r>
      <w:r>
        <w:rPr>
          <w:spacing w:val="-5"/>
        </w:rPr>
        <w:t xml:space="preserve"> </w:t>
      </w:r>
      <w:r>
        <w:t>la</w:t>
      </w:r>
      <w:r>
        <w:rPr>
          <w:spacing w:val="-5"/>
        </w:rPr>
        <w:t xml:space="preserve"> </w:t>
      </w:r>
      <w:r>
        <w:t>reparación</w:t>
      </w:r>
      <w:r>
        <w:rPr>
          <w:spacing w:val="-5"/>
        </w:rPr>
        <w:t xml:space="preserve"> </w:t>
      </w:r>
      <w:r>
        <w:t>a</w:t>
      </w:r>
      <w:r>
        <w:rPr>
          <w:spacing w:val="-5"/>
        </w:rPr>
        <w:t xml:space="preserve"> </w:t>
      </w:r>
      <w:r>
        <w:t>las</w:t>
      </w:r>
      <w:r>
        <w:rPr>
          <w:spacing w:val="-5"/>
        </w:rPr>
        <w:t xml:space="preserve"> </w:t>
      </w:r>
      <w:r>
        <w:t>víctimas.</w:t>
      </w:r>
      <w:r>
        <w:rPr>
          <w:spacing w:val="-5"/>
        </w:rPr>
        <w:t xml:space="preserve"> </w:t>
      </w:r>
      <w:r>
        <w:t>Sin</w:t>
      </w:r>
      <w:r>
        <w:rPr>
          <w:spacing w:val="-5"/>
        </w:rPr>
        <w:t xml:space="preserve"> </w:t>
      </w:r>
      <w:r>
        <w:t>embargo,</w:t>
      </w:r>
      <w:r>
        <w:rPr>
          <w:spacing w:val="-5"/>
        </w:rPr>
        <w:t xml:space="preserve"> </w:t>
      </w:r>
      <w:r>
        <w:t>como</w:t>
      </w:r>
      <w:r>
        <w:rPr>
          <w:spacing w:val="-6"/>
        </w:rPr>
        <w:t xml:space="preserve"> </w:t>
      </w:r>
      <w:r>
        <w:t>se</w:t>
      </w:r>
      <w:r>
        <w:rPr>
          <w:spacing w:val="-5"/>
        </w:rPr>
        <w:t xml:space="preserve"> </w:t>
      </w:r>
      <w:r>
        <w:t>vio, ese proceso está aún inconcluso para los responsables y las víctimas. Tras este, además, se dio</w:t>
      </w:r>
      <w:r>
        <w:rPr>
          <w:spacing w:val="-2"/>
        </w:rPr>
        <w:t xml:space="preserve"> </w:t>
      </w:r>
      <w:r>
        <w:t>la</w:t>
      </w:r>
      <w:r>
        <w:rPr>
          <w:spacing w:val="-2"/>
        </w:rPr>
        <w:t xml:space="preserve"> </w:t>
      </w:r>
      <w:r>
        <w:t>desmovilización</w:t>
      </w:r>
      <w:r>
        <w:rPr>
          <w:spacing w:val="-4"/>
        </w:rPr>
        <w:t xml:space="preserve"> </w:t>
      </w:r>
      <w:r>
        <w:t>de</w:t>
      </w:r>
      <w:r>
        <w:rPr>
          <w:spacing w:val="-2"/>
        </w:rPr>
        <w:t xml:space="preserve"> </w:t>
      </w:r>
      <w:r>
        <w:t>las</w:t>
      </w:r>
      <w:r>
        <w:rPr>
          <w:spacing w:val="-2"/>
        </w:rPr>
        <w:t xml:space="preserve"> </w:t>
      </w:r>
      <w:r>
        <w:t>AUC,</w:t>
      </w:r>
      <w:r>
        <w:rPr>
          <w:spacing w:val="-1"/>
        </w:rPr>
        <w:t xml:space="preserve"> </w:t>
      </w:r>
      <w:r>
        <w:t>pero</w:t>
      </w:r>
      <w:r>
        <w:rPr>
          <w:spacing w:val="-2"/>
        </w:rPr>
        <w:t xml:space="preserve"> </w:t>
      </w:r>
      <w:r>
        <w:t>una</w:t>
      </w:r>
      <w:r>
        <w:rPr>
          <w:spacing w:val="-2"/>
        </w:rPr>
        <w:t xml:space="preserve"> </w:t>
      </w:r>
      <w:r>
        <w:t>reorganización</w:t>
      </w:r>
      <w:r>
        <w:rPr>
          <w:spacing w:val="-2"/>
        </w:rPr>
        <w:t xml:space="preserve"> </w:t>
      </w:r>
      <w:r>
        <w:t>de</w:t>
      </w:r>
      <w:r>
        <w:rPr>
          <w:spacing w:val="-2"/>
        </w:rPr>
        <w:t xml:space="preserve"> </w:t>
      </w:r>
      <w:r>
        <w:t>las</w:t>
      </w:r>
      <w:r>
        <w:rPr>
          <w:spacing w:val="-2"/>
        </w:rPr>
        <w:t xml:space="preserve"> </w:t>
      </w:r>
      <w:r>
        <w:t>estructuras</w:t>
      </w:r>
      <w:r>
        <w:rPr>
          <w:spacing w:val="-2"/>
        </w:rPr>
        <w:t xml:space="preserve"> </w:t>
      </w:r>
      <w:r>
        <w:t>paramilitares más ligadas al narcotráfico. Mientras la extradición de los jefes paramilitares a Estados Unidos ha limitado el derecho a la verdad de las víctimas y generado una situación de falta de claridad jurídica en estos casos.</w:t>
      </w:r>
    </w:p>
    <w:p w:rsidR="003804AC" w:rsidRDefault="00AF18A5" w:rsidP="00B23B59">
      <w:r>
        <w:t>En otro escenario de negociación, el de la Justicia Especial de Paz y los acuerdos de La Habana, a pesar de una fuerte oposición por parte del gobierno y otras instituciones del estado,</w:t>
      </w:r>
      <w:r>
        <w:rPr>
          <w:spacing w:val="-1"/>
        </w:rPr>
        <w:t xml:space="preserve"> </w:t>
      </w:r>
      <w:r>
        <w:t>las</w:t>
      </w:r>
      <w:r>
        <w:rPr>
          <w:spacing w:val="-1"/>
        </w:rPr>
        <w:t xml:space="preserve"> </w:t>
      </w:r>
      <w:r>
        <w:t>fórmulas de</w:t>
      </w:r>
      <w:r>
        <w:rPr>
          <w:spacing w:val="-1"/>
        </w:rPr>
        <w:t xml:space="preserve"> </w:t>
      </w:r>
      <w:r>
        <w:t>la relación entre</w:t>
      </w:r>
      <w:r>
        <w:rPr>
          <w:spacing w:val="-1"/>
        </w:rPr>
        <w:t xml:space="preserve"> </w:t>
      </w:r>
      <w:r>
        <w:t>verdad</w:t>
      </w:r>
      <w:r>
        <w:rPr>
          <w:spacing w:val="-2"/>
        </w:rPr>
        <w:t xml:space="preserve"> </w:t>
      </w:r>
      <w:r>
        <w:t>y justicia han avanzado</w:t>
      </w:r>
      <w:r>
        <w:rPr>
          <w:spacing w:val="-2"/>
        </w:rPr>
        <w:t xml:space="preserve"> </w:t>
      </w:r>
      <w:r>
        <w:t>en los</w:t>
      </w:r>
      <w:r>
        <w:rPr>
          <w:spacing w:val="-1"/>
        </w:rPr>
        <w:t xml:space="preserve"> </w:t>
      </w:r>
      <w:r>
        <w:t>casos</w:t>
      </w:r>
      <w:r>
        <w:rPr>
          <w:spacing w:val="-1"/>
        </w:rPr>
        <w:t xml:space="preserve"> </w:t>
      </w:r>
      <w:r>
        <w:t>puestos en</w:t>
      </w:r>
      <w:r>
        <w:rPr>
          <w:spacing w:val="-6"/>
        </w:rPr>
        <w:t xml:space="preserve"> </w:t>
      </w:r>
      <w:r>
        <w:t>marcha</w:t>
      </w:r>
      <w:r>
        <w:rPr>
          <w:spacing w:val="-6"/>
        </w:rPr>
        <w:t xml:space="preserve"> </w:t>
      </w:r>
      <w:r>
        <w:t>en</w:t>
      </w:r>
      <w:r>
        <w:rPr>
          <w:spacing w:val="-6"/>
        </w:rPr>
        <w:t xml:space="preserve"> </w:t>
      </w:r>
      <w:r>
        <w:t>la</w:t>
      </w:r>
      <w:r>
        <w:rPr>
          <w:spacing w:val="-6"/>
        </w:rPr>
        <w:t xml:space="preserve"> </w:t>
      </w:r>
      <w:r>
        <w:t>Justicia</w:t>
      </w:r>
      <w:r>
        <w:rPr>
          <w:spacing w:val="-7"/>
        </w:rPr>
        <w:t xml:space="preserve"> </w:t>
      </w:r>
      <w:r>
        <w:t>Especial</w:t>
      </w:r>
      <w:r>
        <w:rPr>
          <w:spacing w:val="-6"/>
        </w:rPr>
        <w:t xml:space="preserve"> </w:t>
      </w:r>
      <w:r>
        <w:t>de</w:t>
      </w:r>
      <w:r>
        <w:rPr>
          <w:spacing w:val="-7"/>
        </w:rPr>
        <w:t xml:space="preserve"> </w:t>
      </w:r>
      <w:r>
        <w:t>Paz</w:t>
      </w:r>
      <w:r>
        <w:rPr>
          <w:spacing w:val="-6"/>
        </w:rPr>
        <w:t xml:space="preserve"> </w:t>
      </w:r>
      <w:r>
        <w:t>(JEP)</w:t>
      </w:r>
      <w:r>
        <w:rPr>
          <w:spacing w:val="-6"/>
        </w:rPr>
        <w:t xml:space="preserve"> </w:t>
      </w:r>
      <w:r>
        <w:t>para</w:t>
      </w:r>
      <w:r>
        <w:rPr>
          <w:spacing w:val="-6"/>
        </w:rPr>
        <w:t xml:space="preserve"> </w:t>
      </w:r>
      <w:r>
        <w:t>crímenes</w:t>
      </w:r>
      <w:r>
        <w:rPr>
          <w:spacing w:val="-7"/>
        </w:rPr>
        <w:t xml:space="preserve"> </w:t>
      </w:r>
      <w:r>
        <w:t>de</w:t>
      </w:r>
      <w:r>
        <w:rPr>
          <w:spacing w:val="-6"/>
        </w:rPr>
        <w:t xml:space="preserve"> </w:t>
      </w:r>
      <w:r>
        <w:t>guerra</w:t>
      </w:r>
      <w:r>
        <w:rPr>
          <w:spacing w:val="-6"/>
        </w:rPr>
        <w:t xml:space="preserve"> </w:t>
      </w:r>
      <w:r>
        <w:t>y</w:t>
      </w:r>
      <w:r>
        <w:rPr>
          <w:spacing w:val="-7"/>
        </w:rPr>
        <w:t xml:space="preserve"> </w:t>
      </w:r>
      <w:r>
        <w:t>de</w:t>
      </w:r>
      <w:r>
        <w:rPr>
          <w:spacing w:val="-6"/>
        </w:rPr>
        <w:t xml:space="preserve"> </w:t>
      </w:r>
      <w:r>
        <w:t>lesa</w:t>
      </w:r>
      <w:r>
        <w:rPr>
          <w:spacing w:val="-6"/>
        </w:rPr>
        <w:t xml:space="preserve"> </w:t>
      </w:r>
      <w:r>
        <w:t>humanidad. Estos</w:t>
      </w:r>
      <w:r>
        <w:rPr>
          <w:spacing w:val="-15"/>
        </w:rPr>
        <w:t xml:space="preserve"> </w:t>
      </w:r>
      <w:r>
        <w:t>han</w:t>
      </w:r>
      <w:r>
        <w:rPr>
          <w:spacing w:val="-15"/>
        </w:rPr>
        <w:t xml:space="preserve"> </w:t>
      </w:r>
      <w:r>
        <w:t>permitido</w:t>
      </w:r>
      <w:r>
        <w:rPr>
          <w:spacing w:val="-15"/>
        </w:rPr>
        <w:t xml:space="preserve"> </w:t>
      </w:r>
      <w:r>
        <w:t>el</w:t>
      </w:r>
      <w:r>
        <w:rPr>
          <w:spacing w:val="-15"/>
        </w:rPr>
        <w:t xml:space="preserve"> </w:t>
      </w:r>
      <w:r>
        <w:t>reconocimiento</w:t>
      </w:r>
      <w:r>
        <w:rPr>
          <w:spacing w:val="-15"/>
        </w:rPr>
        <w:t xml:space="preserve"> </w:t>
      </w:r>
      <w:r>
        <w:t>de</w:t>
      </w:r>
      <w:r>
        <w:rPr>
          <w:spacing w:val="-14"/>
        </w:rPr>
        <w:t xml:space="preserve"> </w:t>
      </w:r>
      <w:r>
        <w:t>violaciones</w:t>
      </w:r>
      <w:r>
        <w:rPr>
          <w:spacing w:val="-15"/>
        </w:rPr>
        <w:t xml:space="preserve"> </w:t>
      </w:r>
      <w:r>
        <w:t>del</w:t>
      </w:r>
      <w:r>
        <w:rPr>
          <w:spacing w:val="-15"/>
        </w:rPr>
        <w:t xml:space="preserve"> </w:t>
      </w:r>
      <w:r>
        <w:t>DIH,</w:t>
      </w:r>
      <w:r>
        <w:rPr>
          <w:spacing w:val="-15"/>
        </w:rPr>
        <w:t xml:space="preserve"> </w:t>
      </w:r>
      <w:r>
        <w:t>crímenes</w:t>
      </w:r>
      <w:r>
        <w:rPr>
          <w:spacing w:val="-14"/>
        </w:rPr>
        <w:t xml:space="preserve"> </w:t>
      </w:r>
      <w:r>
        <w:t>de</w:t>
      </w:r>
      <w:r>
        <w:rPr>
          <w:spacing w:val="-15"/>
        </w:rPr>
        <w:t xml:space="preserve"> </w:t>
      </w:r>
      <w:r>
        <w:t>guerra</w:t>
      </w:r>
      <w:r>
        <w:rPr>
          <w:spacing w:val="-15"/>
        </w:rPr>
        <w:t xml:space="preserve"> </w:t>
      </w:r>
      <w:r>
        <w:t>cometidos por las FARC-EP y violaciones de derechos humanos llevadas a cabo por miembros del Ejército en los casos de las ejecuciones extrajudiciales.</w:t>
      </w:r>
    </w:p>
    <w:p w:rsidR="003804AC" w:rsidRDefault="00AF18A5" w:rsidP="00B23B59">
      <w:r>
        <w:t>Cuánta</w:t>
      </w:r>
      <w:r>
        <w:rPr>
          <w:spacing w:val="-9"/>
        </w:rPr>
        <w:t xml:space="preserve"> </w:t>
      </w:r>
      <w:r>
        <w:t>justicia</w:t>
      </w:r>
      <w:r>
        <w:rPr>
          <w:spacing w:val="-9"/>
        </w:rPr>
        <w:t xml:space="preserve"> </w:t>
      </w:r>
      <w:r>
        <w:t>y</w:t>
      </w:r>
      <w:r>
        <w:rPr>
          <w:spacing w:val="-10"/>
        </w:rPr>
        <w:t xml:space="preserve"> </w:t>
      </w:r>
      <w:r>
        <w:t>cuánta</w:t>
      </w:r>
      <w:r>
        <w:rPr>
          <w:spacing w:val="-11"/>
        </w:rPr>
        <w:t xml:space="preserve"> </w:t>
      </w:r>
      <w:r>
        <w:t>amnistía</w:t>
      </w:r>
      <w:r>
        <w:rPr>
          <w:spacing w:val="-9"/>
        </w:rPr>
        <w:t xml:space="preserve"> </w:t>
      </w:r>
      <w:r>
        <w:t>es</w:t>
      </w:r>
      <w:r>
        <w:rPr>
          <w:spacing w:val="-10"/>
        </w:rPr>
        <w:t xml:space="preserve"> </w:t>
      </w:r>
      <w:r>
        <w:t>posible</w:t>
      </w:r>
      <w:r>
        <w:rPr>
          <w:spacing w:val="-9"/>
        </w:rPr>
        <w:t xml:space="preserve"> </w:t>
      </w:r>
      <w:r>
        <w:t>es</w:t>
      </w:r>
      <w:r>
        <w:rPr>
          <w:spacing w:val="-11"/>
        </w:rPr>
        <w:t xml:space="preserve"> </w:t>
      </w:r>
      <w:r>
        <w:t>la</w:t>
      </w:r>
      <w:r>
        <w:rPr>
          <w:spacing w:val="-11"/>
        </w:rPr>
        <w:t xml:space="preserve"> </w:t>
      </w:r>
      <w:r>
        <w:t>medida</w:t>
      </w:r>
      <w:r>
        <w:rPr>
          <w:spacing w:val="-9"/>
        </w:rPr>
        <w:t xml:space="preserve"> </w:t>
      </w:r>
      <w:r>
        <w:t>que</w:t>
      </w:r>
      <w:r>
        <w:rPr>
          <w:spacing w:val="-9"/>
        </w:rPr>
        <w:t xml:space="preserve"> </w:t>
      </w:r>
      <w:r>
        <w:t>la</w:t>
      </w:r>
      <w:r>
        <w:rPr>
          <w:spacing w:val="-9"/>
        </w:rPr>
        <w:t xml:space="preserve"> </w:t>
      </w:r>
      <w:r>
        <w:t>sociedad</w:t>
      </w:r>
      <w:r>
        <w:rPr>
          <w:spacing w:val="-10"/>
        </w:rPr>
        <w:t xml:space="preserve"> </w:t>
      </w:r>
      <w:r>
        <w:t>necesita</w:t>
      </w:r>
      <w:r>
        <w:rPr>
          <w:spacing w:val="-9"/>
        </w:rPr>
        <w:t xml:space="preserve"> </w:t>
      </w:r>
      <w:r>
        <w:t>y</w:t>
      </w:r>
      <w:r>
        <w:rPr>
          <w:spacing w:val="-10"/>
        </w:rPr>
        <w:t xml:space="preserve"> </w:t>
      </w:r>
      <w:r>
        <w:t>quiere conocer para pasar la página de las atrocidades de la guerra. Ese planteamiento fue el de la JEP, reconociendo que las medidas de justicia restaurativa deben estar referidas a la contribución efectiva a la verdad y la reparación a las víctimas. Y en los márgenes amplios de la interpretación del delito político y sus conexidades, con las exigencias internacionales contra los crímenes de lesa humanidad, las violaciones a los derechos humanos, las infracciones</w:t>
      </w:r>
      <w:r>
        <w:rPr>
          <w:spacing w:val="-15"/>
        </w:rPr>
        <w:t xml:space="preserve"> </w:t>
      </w:r>
      <w:r>
        <w:t>al</w:t>
      </w:r>
      <w:r>
        <w:rPr>
          <w:spacing w:val="-15"/>
        </w:rPr>
        <w:t xml:space="preserve"> </w:t>
      </w:r>
      <w:r>
        <w:t>Derecho</w:t>
      </w:r>
      <w:r>
        <w:rPr>
          <w:spacing w:val="-15"/>
        </w:rPr>
        <w:t xml:space="preserve"> </w:t>
      </w:r>
      <w:r>
        <w:t>Internacional</w:t>
      </w:r>
      <w:r>
        <w:rPr>
          <w:spacing w:val="-15"/>
        </w:rPr>
        <w:t xml:space="preserve"> </w:t>
      </w:r>
      <w:r>
        <w:t>Humanitario</w:t>
      </w:r>
      <w:r>
        <w:rPr>
          <w:spacing w:val="-15"/>
        </w:rPr>
        <w:t xml:space="preserve"> </w:t>
      </w:r>
      <w:r>
        <w:t>o</w:t>
      </w:r>
      <w:r>
        <w:rPr>
          <w:spacing w:val="-15"/>
        </w:rPr>
        <w:t xml:space="preserve"> </w:t>
      </w:r>
      <w:r>
        <w:t>el</w:t>
      </w:r>
      <w:r>
        <w:rPr>
          <w:spacing w:val="-15"/>
        </w:rPr>
        <w:t xml:space="preserve"> </w:t>
      </w:r>
      <w:r>
        <w:t>mismo</w:t>
      </w:r>
      <w:r>
        <w:rPr>
          <w:spacing w:val="-15"/>
        </w:rPr>
        <w:t xml:space="preserve"> </w:t>
      </w:r>
      <w:r>
        <w:t>narcotráfico,</w:t>
      </w:r>
      <w:r>
        <w:rPr>
          <w:spacing w:val="-15"/>
        </w:rPr>
        <w:t xml:space="preserve"> </w:t>
      </w:r>
      <w:r>
        <w:t>se</w:t>
      </w:r>
      <w:r>
        <w:rPr>
          <w:spacing w:val="-15"/>
        </w:rPr>
        <w:t xml:space="preserve"> </w:t>
      </w:r>
      <w:r>
        <w:t>erige</w:t>
      </w:r>
      <w:r>
        <w:rPr>
          <w:spacing w:val="-15"/>
        </w:rPr>
        <w:t xml:space="preserve"> </w:t>
      </w:r>
      <w:r>
        <w:t>un</w:t>
      </w:r>
      <w:r>
        <w:rPr>
          <w:spacing w:val="-15"/>
        </w:rPr>
        <w:t xml:space="preserve"> </w:t>
      </w:r>
      <w:r>
        <w:t xml:space="preserve">poder judicial con la misión de encontrar las justas proporciones para pensar en un país en paz. A pesar de las dudas y las expectativas por cumplir, </w:t>
      </w:r>
      <w:r>
        <w:lastRenderedPageBreak/>
        <w:t>la convicción compartida por organizaciones</w:t>
      </w:r>
      <w:r>
        <w:rPr>
          <w:spacing w:val="-9"/>
        </w:rPr>
        <w:t xml:space="preserve"> </w:t>
      </w:r>
      <w:r>
        <w:t>de</w:t>
      </w:r>
      <w:r>
        <w:rPr>
          <w:spacing w:val="-9"/>
        </w:rPr>
        <w:t xml:space="preserve"> </w:t>
      </w:r>
      <w:r>
        <w:t>derechos</w:t>
      </w:r>
      <w:r>
        <w:rPr>
          <w:spacing w:val="-9"/>
        </w:rPr>
        <w:t xml:space="preserve"> </w:t>
      </w:r>
      <w:r>
        <w:t>humanos</w:t>
      </w:r>
      <w:r>
        <w:rPr>
          <w:spacing w:val="-9"/>
        </w:rPr>
        <w:t xml:space="preserve"> </w:t>
      </w:r>
      <w:r>
        <w:t>y</w:t>
      </w:r>
      <w:r>
        <w:rPr>
          <w:spacing w:val="-9"/>
        </w:rPr>
        <w:t xml:space="preserve"> </w:t>
      </w:r>
      <w:r>
        <w:t>por</w:t>
      </w:r>
      <w:r>
        <w:rPr>
          <w:spacing w:val="-9"/>
        </w:rPr>
        <w:t xml:space="preserve"> </w:t>
      </w:r>
      <w:r>
        <w:t>las</w:t>
      </w:r>
      <w:r>
        <w:rPr>
          <w:spacing w:val="-9"/>
        </w:rPr>
        <w:t xml:space="preserve"> </w:t>
      </w:r>
      <w:r>
        <w:t>víctimas</w:t>
      </w:r>
      <w:r>
        <w:rPr>
          <w:spacing w:val="-9"/>
        </w:rPr>
        <w:t xml:space="preserve"> </w:t>
      </w:r>
      <w:r>
        <w:t>de</w:t>
      </w:r>
      <w:r>
        <w:rPr>
          <w:spacing w:val="-9"/>
        </w:rPr>
        <w:t xml:space="preserve"> </w:t>
      </w:r>
      <w:r>
        <w:t>los</w:t>
      </w:r>
      <w:r>
        <w:rPr>
          <w:spacing w:val="-9"/>
        </w:rPr>
        <w:t xml:space="preserve"> </w:t>
      </w:r>
      <w:r>
        <w:t>diferentes</w:t>
      </w:r>
      <w:r>
        <w:rPr>
          <w:spacing w:val="-10"/>
        </w:rPr>
        <w:t xml:space="preserve"> </w:t>
      </w:r>
      <w:r>
        <w:t>responsables</w:t>
      </w:r>
      <w:r>
        <w:rPr>
          <w:spacing w:val="-10"/>
        </w:rPr>
        <w:t xml:space="preserve"> </w:t>
      </w:r>
      <w:r>
        <w:t>es</w:t>
      </w:r>
      <w:r>
        <w:rPr>
          <w:spacing w:val="-9"/>
        </w:rPr>
        <w:t xml:space="preserve"> </w:t>
      </w:r>
      <w:r>
        <w:t>que sin justicia nunca llegará la paz verdadera. Puesto de otra forma, mientras haya impunidad persistirá</w:t>
      </w:r>
      <w:r>
        <w:rPr>
          <w:spacing w:val="-7"/>
        </w:rPr>
        <w:t xml:space="preserve"> </w:t>
      </w:r>
      <w:r>
        <w:t>la</w:t>
      </w:r>
      <w:r>
        <w:rPr>
          <w:spacing w:val="-8"/>
        </w:rPr>
        <w:t xml:space="preserve"> </w:t>
      </w:r>
      <w:r>
        <w:t>desesperanza,</w:t>
      </w:r>
      <w:r>
        <w:rPr>
          <w:spacing w:val="-7"/>
        </w:rPr>
        <w:t xml:space="preserve"> </w:t>
      </w:r>
      <w:r>
        <w:t>la</w:t>
      </w:r>
      <w:r>
        <w:rPr>
          <w:spacing w:val="-7"/>
        </w:rPr>
        <w:t xml:space="preserve"> </w:t>
      </w:r>
      <w:r>
        <w:t>violencia</w:t>
      </w:r>
      <w:r>
        <w:rPr>
          <w:spacing w:val="-7"/>
        </w:rPr>
        <w:t xml:space="preserve"> </w:t>
      </w:r>
      <w:r>
        <w:t>y</w:t>
      </w:r>
      <w:r>
        <w:rPr>
          <w:spacing w:val="-7"/>
        </w:rPr>
        <w:t xml:space="preserve"> </w:t>
      </w:r>
      <w:r>
        <w:t>la</w:t>
      </w:r>
      <w:r>
        <w:rPr>
          <w:spacing w:val="-7"/>
        </w:rPr>
        <w:t xml:space="preserve"> </w:t>
      </w:r>
      <w:r>
        <w:t>desigualdad</w:t>
      </w:r>
      <w:r>
        <w:rPr>
          <w:spacing w:val="-7"/>
        </w:rPr>
        <w:t xml:space="preserve"> </w:t>
      </w:r>
      <w:r>
        <w:t>ante</w:t>
      </w:r>
      <w:r>
        <w:rPr>
          <w:spacing w:val="-7"/>
        </w:rPr>
        <w:t xml:space="preserve"> </w:t>
      </w:r>
      <w:r>
        <w:t>la</w:t>
      </w:r>
      <w:r>
        <w:rPr>
          <w:spacing w:val="-8"/>
        </w:rPr>
        <w:t xml:space="preserve"> </w:t>
      </w:r>
      <w:r>
        <w:t>ley.</w:t>
      </w:r>
      <w:r>
        <w:rPr>
          <w:spacing w:val="-7"/>
        </w:rPr>
        <w:t xml:space="preserve"> </w:t>
      </w:r>
      <w:r>
        <w:t>Como</w:t>
      </w:r>
      <w:r>
        <w:rPr>
          <w:spacing w:val="-7"/>
        </w:rPr>
        <w:t xml:space="preserve"> </w:t>
      </w:r>
      <w:r>
        <w:t>quedó</w:t>
      </w:r>
      <w:r>
        <w:rPr>
          <w:spacing w:val="-7"/>
        </w:rPr>
        <w:t xml:space="preserve"> </w:t>
      </w:r>
      <w:r>
        <w:t>escrito</w:t>
      </w:r>
      <w:r>
        <w:rPr>
          <w:spacing w:val="-8"/>
        </w:rPr>
        <w:t xml:space="preserve"> </w:t>
      </w:r>
      <w:r>
        <w:t>en</w:t>
      </w:r>
      <w:r>
        <w:rPr>
          <w:spacing w:val="-7"/>
        </w:rPr>
        <w:t xml:space="preserve"> </w:t>
      </w:r>
      <w:r>
        <w:t>el informe de la Comisión Nacional Investigadora de las causas y situaciones presentes de la violencia en el territorio nacional, preparado en 1962 por Eduardo Umaña, Orlando Fals y Germán</w:t>
      </w:r>
      <w:r>
        <w:rPr>
          <w:spacing w:val="-12"/>
        </w:rPr>
        <w:t xml:space="preserve"> </w:t>
      </w:r>
      <w:r>
        <w:t>Guzmán,</w:t>
      </w:r>
      <w:r>
        <w:rPr>
          <w:spacing w:val="-9"/>
        </w:rPr>
        <w:t xml:space="preserve"> </w:t>
      </w:r>
      <w:r>
        <w:t>la</w:t>
      </w:r>
      <w:r>
        <w:rPr>
          <w:spacing w:val="-10"/>
        </w:rPr>
        <w:t xml:space="preserve"> </w:t>
      </w:r>
      <w:r>
        <w:t>impunidad</w:t>
      </w:r>
      <w:r>
        <w:rPr>
          <w:spacing w:val="-9"/>
        </w:rPr>
        <w:t xml:space="preserve"> </w:t>
      </w:r>
      <w:r>
        <w:t>es</w:t>
      </w:r>
      <w:r>
        <w:rPr>
          <w:spacing w:val="-11"/>
        </w:rPr>
        <w:t xml:space="preserve"> </w:t>
      </w:r>
      <w:r>
        <w:t>un</w:t>
      </w:r>
      <w:r>
        <w:rPr>
          <w:spacing w:val="-10"/>
        </w:rPr>
        <w:t xml:space="preserve"> </w:t>
      </w:r>
      <w:r>
        <w:t>problema</w:t>
      </w:r>
      <w:r>
        <w:rPr>
          <w:spacing w:val="-8"/>
        </w:rPr>
        <w:t xml:space="preserve"> </w:t>
      </w:r>
      <w:r>
        <w:t>de</w:t>
      </w:r>
      <w:r>
        <w:rPr>
          <w:spacing w:val="-8"/>
        </w:rPr>
        <w:t xml:space="preserve"> </w:t>
      </w:r>
      <w:r>
        <w:t>«raíz</w:t>
      </w:r>
      <w:r>
        <w:rPr>
          <w:spacing w:val="-9"/>
        </w:rPr>
        <w:t xml:space="preserve"> </w:t>
      </w:r>
      <w:r>
        <w:t>del</w:t>
      </w:r>
      <w:r>
        <w:rPr>
          <w:spacing w:val="-9"/>
        </w:rPr>
        <w:t xml:space="preserve"> </w:t>
      </w:r>
      <w:r>
        <w:t>conflicto».</w:t>
      </w:r>
      <w:r>
        <w:rPr>
          <w:spacing w:val="-9"/>
        </w:rPr>
        <w:t xml:space="preserve"> </w:t>
      </w:r>
      <w:r>
        <w:t>Sesenta</w:t>
      </w:r>
      <w:r>
        <w:rPr>
          <w:spacing w:val="-10"/>
        </w:rPr>
        <w:t xml:space="preserve"> </w:t>
      </w:r>
      <w:r>
        <w:t>años</w:t>
      </w:r>
      <w:r>
        <w:rPr>
          <w:spacing w:val="-8"/>
        </w:rPr>
        <w:t xml:space="preserve"> </w:t>
      </w:r>
      <w:r>
        <w:rPr>
          <w:spacing w:val="-2"/>
        </w:rPr>
        <w:t>después</w:t>
      </w:r>
      <w:r w:rsidR="00B23B59">
        <w:t xml:space="preserve"> </w:t>
      </w:r>
      <w:r>
        <w:t>de ese informe, que cerró un ciclo de violencia política y sugirió una terapéutica social, la urgencia es la misma: fortalecer la justicia para sentar las raíces de la paz.</w:t>
      </w:r>
    </w:p>
    <w:p w:rsidR="0011361F" w:rsidRDefault="00AF18A5" w:rsidP="004A6EF4">
      <w:pPr>
        <w:pStyle w:val="Ttulo3"/>
        <w:numPr>
          <w:ilvl w:val="1"/>
          <w:numId w:val="16"/>
        </w:numPr>
      </w:pPr>
      <w:bookmarkStart w:id="1180" w:name="8.14._El_papel_de_la_extradición_en_el_c"/>
      <w:bookmarkStart w:id="1181" w:name="_Toc112399639"/>
      <w:bookmarkEnd w:id="1180"/>
      <w:r>
        <w:t>El</w:t>
      </w:r>
      <w:r>
        <w:rPr>
          <w:spacing w:val="-4"/>
        </w:rPr>
        <w:t xml:space="preserve"> </w:t>
      </w:r>
      <w:r>
        <w:t>papel</w:t>
      </w:r>
      <w:r>
        <w:rPr>
          <w:spacing w:val="-2"/>
        </w:rPr>
        <w:t xml:space="preserve"> </w:t>
      </w:r>
      <w:r>
        <w:t>de</w:t>
      </w:r>
      <w:r>
        <w:rPr>
          <w:spacing w:val="-1"/>
        </w:rPr>
        <w:t xml:space="preserve"> </w:t>
      </w:r>
      <w:r>
        <w:t>la</w:t>
      </w:r>
      <w:r>
        <w:rPr>
          <w:spacing w:val="-2"/>
        </w:rPr>
        <w:t xml:space="preserve"> </w:t>
      </w:r>
      <w:r w:rsidRPr="00B23B59">
        <w:t>extradición</w:t>
      </w:r>
      <w:r>
        <w:rPr>
          <w:spacing w:val="-2"/>
        </w:rPr>
        <w:t xml:space="preserve"> </w:t>
      </w:r>
      <w:r>
        <w:t>en</w:t>
      </w:r>
      <w:r>
        <w:rPr>
          <w:spacing w:val="-3"/>
        </w:rPr>
        <w:t xml:space="preserve"> </w:t>
      </w:r>
      <w:r>
        <w:t>el</w:t>
      </w:r>
      <w:r>
        <w:rPr>
          <w:spacing w:val="-1"/>
        </w:rPr>
        <w:t xml:space="preserve"> </w:t>
      </w:r>
      <w:r>
        <w:t>conflicto</w:t>
      </w:r>
      <w:r>
        <w:rPr>
          <w:spacing w:val="-2"/>
        </w:rPr>
        <w:t xml:space="preserve"> </w:t>
      </w:r>
      <w:r>
        <w:t>armado</w:t>
      </w:r>
      <w:r>
        <w:rPr>
          <w:spacing w:val="-1"/>
        </w:rPr>
        <w:t xml:space="preserve"> </w:t>
      </w:r>
      <w:r>
        <w:rPr>
          <w:spacing w:val="-2"/>
        </w:rPr>
        <w:t>interno</w:t>
      </w:r>
      <w:bookmarkEnd w:id="1181"/>
    </w:p>
    <w:p w:rsidR="003804AC" w:rsidRDefault="00AF18A5" w:rsidP="00B23B59">
      <w:r>
        <w:t>En los años ochenta, la extradición de colombianos a Estados Unidos se convirtió en el detonante</w:t>
      </w:r>
      <w:r>
        <w:rPr>
          <w:spacing w:val="-15"/>
        </w:rPr>
        <w:t xml:space="preserve"> </w:t>
      </w:r>
      <w:r>
        <w:t>de</w:t>
      </w:r>
      <w:r>
        <w:rPr>
          <w:spacing w:val="-15"/>
        </w:rPr>
        <w:t xml:space="preserve"> </w:t>
      </w:r>
      <w:r>
        <w:t>una</w:t>
      </w:r>
      <w:r>
        <w:rPr>
          <w:spacing w:val="-15"/>
        </w:rPr>
        <w:t xml:space="preserve"> </w:t>
      </w:r>
      <w:r>
        <w:t>guerra</w:t>
      </w:r>
      <w:r>
        <w:rPr>
          <w:spacing w:val="-14"/>
        </w:rPr>
        <w:t xml:space="preserve"> </w:t>
      </w:r>
      <w:r>
        <w:t>y</w:t>
      </w:r>
      <w:r>
        <w:rPr>
          <w:spacing w:val="-15"/>
        </w:rPr>
        <w:t xml:space="preserve"> </w:t>
      </w:r>
      <w:r>
        <w:t>luego</w:t>
      </w:r>
      <w:r>
        <w:rPr>
          <w:spacing w:val="-14"/>
        </w:rPr>
        <w:t xml:space="preserve"> </w:t>
      </w:r>
      <w:r>
        <w:t>en</w:t>
      </w:r>
      <w:r>
        <w:rPr>
          <w:spacing w:val="-14"/>
        </w:rPr>
        <w:t xml:space="preserve"> </w:t>
      </w:r>
      <w:r>
        <w:t>una</w:t>
      </w:r>
      <w:r>
        <w:rPr>
          <w:spacing w:val="-14"/>
        </w:rPr>
        <w:t xml:space="preserve"> </w:t>
      </w:r>
      <w:r>
        <w:t>herramienta</w:t>
      </w:r>
      <w:r>
        <w:rPr>
          <w:spacing w:val="-14"/>
        </w:rPr>
        <w:t xml:space="preserve"> </w:t>
      </w:r>
      <w:r>
        <w:t>judicial</w:t>
      </w:r>
      <w:r>
        <w:rPr>
          <w:spacing w:val="-14"/>
        </w:rPr>
        <w:t xml:space="preserve"> </w:t>
      </w:r>
      <w:r>
        <w:t>de</w:t>
      </w:r>
      <w:r>
        <w:rPr>
          <w:spacing w:val="-14"/>
        </w:rPr>
        <w:t xml:space="preserve"> </w:t>
      </w:r>
      <w:r>
        <w:t>injerencia.</w:t>
      </w:r>
      <w:r>
        <w:rPr>
          <w:spacing w:val="-14"/>
        </w:rPr>
        <w:t xml:space="preserve"> </w:t>
      </w:r>
      <w:r>
        <w:t>Se</w:t>
      </w:r>
      <w:r>
        <w:rPr>
          <w:spacing w:val="-14"/>
        </w:rPr>
        <w:t xml:space="preserve"> </w:t>
      </w:r>
      <w:r>
        <w:t>aprobó</w:t>
      </w:r>
      <w:r>
        <w:rPr>
          <w:spacing w:val="-14"/>
        </w:rPr>
        <w:t xml:space="preserve"> </w:t>
      </w:r>
      <w:r>
        <w:t>en</w:t>
      </w:r>
      <w:r>
        <w:rPr>
          <w:spacing w:val="-15"/>
        </w:rPr>
        <w:t xml:space="preserve"> </w:t>
      </w:r>
      <w:r>
        <w:t>1979, en el gobierno de Julio César Turbay y la ley aprobatoria se dio al año siguiente. De inmediato, los carteles del narcotráfico entraron a la ofensiva. Varias veces fue demandada la ley, pero la Corte Suprema de Justicia respaldó su constitucionalidad. Por eso, los magistrados de la Corte fueron amenazados. Once de ellos murieron en el holocausto del Palacio de Justicia. El asesinato del ministro de justicia Rodrigo Lara Bonilla, en abril de 1984,</w:t>
      </w:r>
      <w:r>
        <w:rPr>
          <w:spacing w:val="-15"/>
        </w:rPr>
        <w:t xml:space="preserve"> </w:t>
      </w:r>
      <w:r>
        <w:t>precipitó</w:t>
      </w:r>
      <w:r>
        <w:rPr>
          <w:spacing w:val="-15"/>
        </w:rPr>
        <w:t xml:space="preserve"> </w:t>
      </w:r>
      <w:r>
        <w:t>la</w:t>
      </w:r>
      <w:r>
        <w:rPr>
          <w:spacing w:val="-15"/>
        </w:rPr>
        <w:t xml:space="preserve"> </w:t>
      </w:r>
      <w:r>
        <w:t>guerra</w:t>
      </w:r>
      <w:r>
        <w:rPr>
          <w:spacing w:val="-15"/>
        </w:rPr>
        <w:t xml:space="preserve"> </w:t>
      </w:r>
      <w:r>
        <w:t>contra</w:t>
      </w:r>
      <w:r>
        <w:rPr>
          <w:spacing w:val="-15"/>
        </w:rPr>
        <w:t xml:space="preserve"> </w:t>
      </w:r>
      <w:r>
        <w:t>el</w:t>
      </w:r>
      <w:r>
        <w:rPr>
          <w:spacing w:val="-15"/>
        </w:rPr>
        <w:t xml:space="preserve"> </w:t>
      </w:r>
      <w:r>
        <w:t>narcotráfico.</w:t>
      </w:r>
      <w:r>
        <w:rPr>
          <w:spacing w:val="-15"/>
        </w:rPr>
        <w:t xml:space="preserve"> </w:t>
      </w:r>
      <w:r>
        <w:t>La</w:t>
      </w:r>
      <w:r>
        <w:rPr>
          <w:spacing w:val="-15"/>
        </w:rPr>
        <w:t xml:space="preserve"> </w:t>
      </w:r>
      <w:r>
        <w:t>forma</w:t>
      </w:r>
      <w:r>
        <w:rPr>
          <w:spacing w:val="-15"/>
        </w:rPr>
        <w:t xml:space="preserve"> </w:t>
      </w:r>
      <w:r>
        <w:t>de</w:t>
      </w:r>
      <w:r>
        <w:rPr>
          <w:spacing w:val="-15"/>
        </w:rPr>
        <w:t xml:space="preserve"> </w:t>
      </w:r>
      <w:r>
        <w:t>contestar</w:t>
      </w:r>
      <w:r>
        <w:rPr>
          <w:spacing w:val="-15"/>
        </w:rPr>
        <w:t xml:space="preserve"> </w:t>
      </w:r>
      <w:r>
        <w:t>del</w:t>
      </w:r>
      <w:r>
        <w:rPr>
          <w:spacing w:val="-15"/>
        </w:rPr>
        <w:t xml:space="preserve"> </w:t>
      </w:r>
      <w:r>
        <w:t>presidente</w:t>
      </w:r>
      <w:r>
        <w:rPr>
          <w:spacing w:val="-15"/>
        </w:rPr>
        <w:t xml:space="preserve"> </w:t>
      </w:r>
      <w:r>
        <w:t>Belisario Betancur fue anunciar la aplicación del Tratado de Extradición con Estados Unidos. «Basta ya,</w:t>
      </w:r>
      <w:r>
        <w:rPr>
          <w:spacing w:val="-5"/>
        </w:rPr>
        <w:t xml:space="preserve"> </w:t>
      </w:r>
      <w:r>
        <w:t>enemigos</w:t>
      </w:r>
      <w:r>
        <w:rPr>
          <w:spacing w:val="-5"/>
        </w:rPr>
        <w:t xml:space="preserve"> </w:t>
      </w:r>
      <w:r>
        <w:t>de</w:t>
      </w:r>
      <w:r>
        <w:rPr>
          <w:spacing w:val="-5"/>
        </w:rPr>
        <w:t xml:space="preserve"> </w:t>
      </w:r>
      <w:r>
        <w:t>la</w:t>
      </w:r>
      <w:r>
        <w:rPr>
          <w:spacing w:val="-6"/>
        </w:rPr>
        <w:t xml:space="preserve"> </w:t>
      </w:r>
      <w:r>
        <w:t>humanidad»,</w:t>
      </w:r>
      <w:r>
        <w:rPr>
          <w:spacing w:val="-5"/>
        </w:rPr>
        <w:t xml:space="preserve"> </w:t>
      </w:r>
      <w:r>
        <w:t>fueron</w:t>
      </w:r>
      <w:r>
        <w:rPr>
          <w:spacing w:val="-5"/>
        </w:rPr>
        <w:t xml:space="preserve"> </w:t>
      </w:r>
      <w:r>
        <w:t>las</w:t>
      </w:r>
      <w:r>
        <w:rPr>
          <w:spacing w:val="-5"/>
        </w:rPr>
        <w:t xml:space="preserve"> </w:t>
      </w:r>
      <w:r>
        <w:t>palabras</w:t>
      </w:r>
      <w:r>
        <w:rPr>
          <w:spacing w:val="-5"/>
        </w:rPr>
        <w:t xml:space="preserve"> </w:t>
      </w:r>
      <w:r>
        <w:t>que</w:t>
      </w:r>
      <w:r>
        <w:rPr>
          <w:spacing w:val="-5"/>
        </w:rPr>
        <w:t xml:space="preserve"> </w:t>
      </w:r>
      <w:r>
        <w:t>usó</w:t>
      </w:r>
      <w:r>
        <w:rPr>
          <w:spacing w:val="-5"/>
        </w:rPr>
        <w:t xml:space="preserve"> </w:t>
      </w:r>
      <w:r>
        <w:t>para</w:t>
      </w:r>
      <w:r>
        <w:rPr>
          <w:spacing w:val="-5"/>
        </w:rPr>
        <w:t xml:space="preserve"> </w:t>
      </w:r>
      <w:r>
        <w:t>esgrimirla.</w:t>
      </w:r>
      <w:r>
        <w:rPr>
          <w:spacing w:val="-5"/>
        </w:rPr>
        <w:t xml:space="preserve"> </w:t>
      </w:r>
      <w:r>
        <w:t>La</w:t>
      </w:r>
      <w:r>
        <w:rPr>
          <w:spacing w:val="-5"/>
        </w:rPr>
        <w:t xml:space="preserve"> </w:t>
      </w:r>
      <w:r>
        <w:t>réplica</w:t>
      </w:r>
      <w:r>
        <w:rPr>
          <w:spacing w:val="-6"/>
        </w:rPr>
        <w:t xml:space="preserve"> </w:t>
      </w:r>
      <w:r>
        <w:t>de</w:t>
      </w:r>
      <w:r>
        <w:rPr>
          <w:spacing w:val="-5"/>
        </w:rPr>
        <w:t xml:space="preserve"> </w:t>
      </w:r>
      <w:r>
        <w:t>la mafia fue la organización de Los Extraditables, que, en medio de su violencia terrorista, empezó a firmar sus boletines con una consigna: «Preferimos una tumba en Colombia que una cárcel en Estados Unidos».</w:t>
      </w:r>
    </w:p>
    <w:p w:rsidR="003804AC" w:rsidRDefault="00AF18A5" w:rsidP="00B23B59">
      <w:r>
        <w:lastRenderedPageBreak/>
        <w:t>El</w:t>
      </w:r>
      <w:r>
        <w:rPr>
          <w:spacing w:val="-2"/>
        </w:rPr>
        <w:t xml:space="preserve"> </w:t>
      </w:r>
      <w:r>
        <w:t>gobierno</w:t>
      </w:r>
      <w:r>
        <w:rPr>
          <w:spacing w:val="-3"/>
        </w:rPr>
        <w:t xml:space="preserve"> </w:t>
      </w:r>
      <w:r>
        <w:t>de</w:t>
      </w:r>
      <w:r>
        <w:rPr>
          <w:spacing w:val="-2"/>
        </w:rPr>
        <w:t xml:space="preserve"> </w:t>
      </w:r>
      <w:r>
        <w:t>Ronald</w:t>
      </w:r>
      <w:r>
        <w:rPr>
          <w:spacing w:val="-2"/>
        </w:rPr>
        <w:t xml:space="preserve"> </w:t>
      </w:r>
      <w:r>
        <w:t>Reagan</w:t>
      </w:r>
      <w:r>
        <w:rPr>
          <w:spacing w:val="-2"/>
        </w:rPr>
        <w:t xml:space="preserve"> </w:t>
      </w:r>
      <w:r>
        <w:t>en</w:t>
      </w:r>
      <w:r>
        <w:rPr>
          <w:spacing w:val="-3"/>
        </w:rPr>
        <w:t xml:space="preserve"> </w:t>
      </w:r>
      <w:r>
        <w:t>Estados</w:t>
      </w:r>
      <w:r>
        <w:rPr>
          <w:spacing w:val="-2"/>
        </w:rPr>
        <w:t xml:space="preserve"> </w:t>
      </w:r>
      <w:r>
        <w:t>Unidos</w:t>
      </w:r>
      <w:r>
        <w:rPr>
          <w:spacing w:val="-3"/>
        </w:rPr>
        <w:t xml:space="preserve"> </w:t>
      </w:r>
      <w:r>
        <w:t>había</w:t>
      </w:r>
      <w:r>
        <w:rPr>
          <w:spacing w:val="-3"/>
        </w:rPr>
        <w:t xml:space="preserve"> </w:t>
      </w:r>
      <w:r>
        <w:t>reeditado</w:t>
      </w:r>
      <w:r>
        <w:rPr>
          <w:spacing w:val="-2"/>
        </w:rPr>
        <w:t xml:space="preserve"> </w:t>
      </w:r>
      <w:r>
        <w:t>la</w:t>
      </w:r>
      <w:r>
        <w:rPr>
          <w:spacing w:val="-3"/>
        </w:rPr>
        <w:t xml:space="preserve"> </w:t>
      </w:r>
      <w:r>
        <w:t>guerra</w:t>
      </w:r>
      <w:r>
        <w:rPr>
          <w:spacing w:val="-2"/>
        </w:rPr>
        <w:t xml:space="preserve"> </w:t>
      </w:r>
      <w:r>
        <w:t>internacional contra las drogas, y Colombia empezó a vivir condicionada por la aplicación de la extradición. Inicialmente, se transformó en el recurso primordial de las autoridades colombianas para librar la guerra contra la mafia. Desde la orilla norteamericana, fue una fórmula para presionar resultados en el país y condicionar la relación binacional. Al vaivén del conflicto, la figura se fue ajustando a las directrices de Washington.</w:t>
      </w:r>
    </w:p>
    <w:p w:rsidR="003804AC" w:rsidRDefault="00AF18A5" w:rsidP="00B23B59">
      <w:r>
        <w:t>En resumen, durante una década, Colombia circuló en torno a la disyuntiva de la extradición. Esta pasó de ser una herramienta jurídica tradicional entre gobiernos para perseguir</w:t>
      </w:r>
      <w:r>
        <w:rPr>
          <w:spacing w:val="-8"/>
        </w:rPr>
        <w:t xml:space="preserve"> </w:t>
      </w:r>
      <w:r>
        <w:t>el</w:t>
      </w:r>
      <w:r>
        <w:rPr>
          <w:spacing w:val="-9"/>
        </w:rPr>
        <w:t xml:space="preserve"> </w:t>
      </w:r>
      <w:r>
        <w:t>delito</w:t>
      </w:r>
      <w:r>
        <w:rPr>
          <w:spacing w:val="-8"/>
        </w:rPr>
        <w:t xml:space="preserve"> </w:t>
      </w:r>
      <w:r>
        <w:t>a</w:t>
      </w:r>
      <w:r>
        <w:rPr>
          <w:spacing w:val="-8"/>
        </w:rPr>
        <w:t xml:space="preserve"> </w:t>
      </w:r>
      <w:r>
        <w:t>convertirse</w:t>
      </w:r>
      <w:r>
        <w:rPr>
          <w:spacing w:val="-9"/>
        </w:rPr>
        <w:t xml:space="preserve"> </w:t>
      </w:r>
      <w:r>
        <w:t>en</w:t>
      </w:r>
      <w:r>
        <w:rPr>
          <w:spacing w:val="-8"/>
        </w:rPr>
        <w:t xml:space="preserve"> </w:t>
      </w:r>
      <w:r>
        <w:t>el</w:t>
      </w:r>
      <w:r>
        <w:rPr>
          <w:spacing w:val="-8"/>
        </w:rPr>
        <w:t xml:space="preserve"> </w:t>
      </w:r>
      <w:r>
        <w:t>arma</w:t>
      </w:r>
      <w:r>
        <w:rPr>
          <w:spacing w:val="-8"/>
        </w:rPr>
        <w:t xml:space="preserve"> </w:t>
      </w:r>
      <w:r>
        <w:t>fundamental</w:t>
      </w:r>
      <w:r>
        <w:rPr>
          <w:spacing w:val="-8"/>
        </w:rPr>
        <w:t xml:space="preserve"> </w:t>
      </w:r>
      <w:r>
        <w:t>para</w:t>
      </w:r>
      <w:r>
        <w:rPr>
          <w:spacing w:val="-9"/>
        </w:rPr>
        <w:t xml:space="preserve"> </w:t>
      </w:r>
      <w:r>
        <w:t>enfrentar</w:t>
      </w:r>
      <w:r>
        <w:rPr>
          <w:spacing w:val="-9"/>
        </w:rPr>
        <w:t xml:space="preserve"> </w:t>
      </w:r>
      <w:r>
        <w:t>a</w:t>
      </w:r>
      <w:r>
        <w:rPr>
          <w:spacing w:val="-8"/>
        </w:rPr>
        <w:t xml:space="preserve"> </w:t>
      </w:r>
      <w:r>
        <w:t>los</w:t>
      </w:r>
      <w:r>
        <w:rPr>
          <w:spacing w:val="-8"/>
        </w:rPr>
        <w:t xml:space="preserve"> </w:t>
      </w:r>
      <w:r>
        <w:t>narcotraficantes. Su aplicación puso al país en la órbita de las decisiones de Washington. Entre 1991 y 1997, no hubo extradición de colombianos a Estados Unidos, pero desde Washington no cesó la presión</w:t>
      </w:r>
      <w:r>
        <w:rPr>
          <w:spacing w:val="9"/>
        </w:rPr>
        <w:t xml:space="preserve"> </w:t>
      </w:r>
      <w:r>
        <w:t>por</w:t>
      </w:r>
      <w:r>
        <w:rPr>
          <w:spacing w:val="9"/>
        </w:rPr>
        <w:t xml:space="preserve"> </w:t>
      </w:r>
      <w:r>
        <w:t>recuperarla.</w:t>
      </w:r>
      <w:r>
        <w:rPr>
          <w:spacing w:val="10"/>
        </w:rPr>
        <w:t xml:space="preserve"> </w:t>
      </w:r>
      <w:r>
        <w:t>La</w:t>
      </w:r>
      <w:r>
        <w:rPr>
          <w:spacing w:val="10"/>
        </w:rPr>
        <w:t xml:space="preserve"> </w:t>
      </w:r>
      <w:r>
        <w:t>agenda</w:t>
      </w:r>
      <w:r>
        <w:rPr>
          <w:spacing w:val="10"/>
        </w:rPr>
        <w:t xml:space="preserve"> </w:t>
      </w:r>
      <w:r>
        <w:t>exterior</w:t>
      </w:r>
      <w:r>
        <w:rPr>
          <w:spacing w:val="11"/>
        </w:rPr>
        <w:t xml:space="preserve"> </w:t>
      </w:r>
      <w:r>
        <w:t>quedó</w:t>
      </w:r>
      <w:r>
        <w:rPr>
          <w:spacing w:val="9"/>
        </w:rPr>
        <w:t xml:space="preserve"> </w:t>
      </w:r>
      <w:r>
        <w:t>atravesada</w:t>
      </w:r>
      <w:r>
        <w:rPr>
          <w:spacing w:val="8"/>
        </w:rPr>
        <w:t xml:space="preserve"> </w:t>
      </w:r>
      <w:r>
        <w:t>por</w:t>
      </w:r>
      <w:r>
        <w:rPr>
          <w:spacing w:val="11"/>
        </w:rPr>
        <w:t xml:space="preserve"> </w:t>
      </w:r>
      <w:r>
        <w:t>esa</w:t>
      </w:r>
      <w:r>
        <w:rPr>
          <w:spacing w:val="10"/>
        </w:rPr>
        <w:t xml:space="preserve"> </w:t>
      </w:r>
      <w:r>
        <w:t>deuda</w:t>
      </w:r>
      <w:r>
        <w:rPr>
          <w:spacing w:val="10"/>
        </w:rPr>
        <w:t xml:space="preserve"> </w:t>
      </w:r>
      <w:r>
        <w:t>pendiente,</w:t>
      </w:r>
      <w:r>
        <w:rPr>
          <w:spacing w:val="10"/>
        </w:rPr>
        <w:t xml:space="preserve"> </w:t>
      </w:r>
      <w:r>
        <w:rPr>
          <w:spacing w:val="-5"/>
        </w:rPr>
        <w:t>que</w:t>
      </w:r>
      <w:r w:rsidR="00B23B59">
        <w:t xml:space="preserve"> </w:t>
      </w:r>
      <w:r>
        <w:t xml:space="preserve">se volvió inatajable a partir del escándalo de la financiación de la campaña presidencial de Ernesto Samper por parte del cartel de Cali. El restablecimiento de la extradición fue el último componente de varias acciones del Estado para preservar sus relaciones con Estados </w:t>
      </w:r>
      <w:r>
        <w:rPr>
          <w:spacing w:val="-2"/>
        </w:rPr>
        <w:t>Unidos.</w:t>
      </w:r>
    </w:p>
    <w:p w:rsidR="003804AC" w:rsidRDefault="00AF18A5" w:rsidP="00B23B59">
      <w:r>
        <w:t>Al tiempo que Estados Unidos tuvo en sus listas negras a Colombia y descertificó su comportamiento antinarcóticos –con advertencia de represalias económicas incluida–, en la era</w:t>
      </w:r>
      <w:r>
        <w:rPr>
          <w:spacing w:val="-6"/>
        </w:rPr>
        <w:t xml:space="preserve"> </w:t>
      </w:r>
      <w:r>
        <w:t>Samper</w:t>
      </w:r>
      <w:r>
        <w:rPr>
          <w:spacing w:val="-6"/>
        </w:rPr>
        <w:t xml:space="preserve"> </w:t>
      </w:r>
      <w:r>
        <w:t>se</w:t>
      </w:r>
      <w:r>
        <w:rPr>
          <w:spacing w:val="-6"/>
        </w:rPr>
        <w:t xml:space="preserve"> </w:t>
      </w:r>
      <w:r>
        <w:t>aprobó</w:t>
      </w:r>
      <w:r>
        <w:rPr>
          <w:spacing w:val="-6"/>
        </w:rPr>
        <w:t xml:space="preserve"> </w:t>
      </w:r>
      <w:r>
        <w:t>una</w:t>
      </w:r>
      <w:r>
        <w:rPr>
          <w:spacing w:val="-6"/>
        </w:rPr>
        <w:t xml:space="preserve"> </w:t>
      </w:r>
      <w:r>
        <w:t>ley</w:t>
      </w:r>
      <w:r>
        <w:rPr>
          <w:spacing w:val="-6"/>
        </w:rPr>
        <w:t xml:space="preserve"> </w:t>
      </w:r>
      <w:r>
        <w:t>de</w:t>
      </w:r>
      <w:r>
        <w:rPr>
          <w:spacing w:val="-6"/>
        </w:rPr>
        <w:t xml:space="preserve"> </w:t>
      </w:r>
      <w:r>
        <w:t>extinción</w:t>
      </w:r>
      <w:r>
        <w:rPr>
          <w:spacing w:val="-6"/>
        </w:rPr>
        <w:t xml:space="preserve"> </w:t>
      </w:r>
      <w:r>
        <w:t>de</w:t>
      </w:r>
      <w:r>
        <w:rPr>
          <w:spacing w:val="-6"/>
        </w:rPr>
        <w:t xml:space="preserve"> </w:t>
      </w:r>
      <w:r>
        <w:t>dominio</w:t>
      </w:r>
      <w:r>
        <w:rPr>
          <w:spacing w:val="-6"/>
        </w:rPr>
        <w:t xml:space="preserve"> </w:t>
      </w:r>
      <w:r>
        <w:t>de</w:t>
      </w:r>
      <w:r>
        <w:rPr>
          <w:spacing w:val="-6"/>
        </w:rPr>
        <w:t xml:space="preserve"> </w:t>
      </w:r>
      <w:r>
        <w:t>capitales</w:t>
      </w:r>
      <w:r>
        <w:rPr>
          <w:spacing w:val="-6"/>
        </w:rPr>
        <w:t xml:space="preserve"> </w:t>
      </w:r>
      <w:r>
        <w:t>ilícitos,</w:t>
      </w:r>
      <w:r>
        <w:rPr>
          <w:spacing w:val="-6"/>
        </w:rPr>
        <w:t xml:space="preserve"> </w:t>
      </w:r>
      <w:r>
        <w:t>se</w:t>
      </w:r>
      <w:r>
        <w:rPr>
          <w:spacing w:val="-6"/>
        </w:rPr>
        <w:t xml:space="preserve"> </w:t>
      </w:r>
      <w:r>
        <w:t>incrementaron las penas por narcotráfico, se</w:t>
      </w:r>
      <w:r>
        <w:rPr>
          <w:spacing w:val="-1"/>
        </w:rPr>
        <w:t xml:space="preserve"> </w:t>
      </w:r>
      <w:r>
        <w:t>revisaron las</w:t>
      </w:r>
      <w:r>
        <w:rPr>
          <w:spacing w:val="-1"/>
        </w:rPr>
        <w:t xml:space="preserve"> </w:t>
      </w:r>
      <w:r>
        <w:t>normas de persecución marítima y</w:t>
      </w:r>
      <w:r>
        <w:rPr>
          <w:spacing w:val="-1"/>
        </w:rPr>
        <w:t xml:space="preserve"> </w:t>
      </w:r>
      <w:r>
        <w:t>se</w:t>
      </w:r>
      <w:r>
        <w:rPr>
          <w:spacing w:val="-1"/>
        </w:rPr>
        <w:t xml:space="preserve"> </w:t>
      </w:r>
      <w:r>
        <w:t xml:space="preserve">restableció la extradición de colombianos. Samper terminó sin visa, lo mismo que el primer Fiscal General de la Nación, Gustavo de Greiff. En adelante, la extradición fue usada como un mecanismo de presión. </w:t>
      </w:r>
      <w:r>
        <w:lastRenderedPageBreak/>
        <w:t>Durante el gobierno de Andrés Pastrana, en sus vaivenes entre la guerra</w:t>
      </w:r>
      <w:r>
        <w:rPr>
          <w:spacing w:val="-9"/>
        </w:rPr>
        <w:t xml:space="preserve"> </w:t>
      </w:r>
      <w:r>
        <w:t>y</w:t>
      </w:r>
      <w:r>
        <w:rPr>
          <w:spacing w:val="-11"/>
        </w:rPr>
        <w:t xml:space="preserve"> </w:t>
      </w:r>
      <w:r>
        <w:t>la</w:t>
      </w:r>
      <w:r>
        <w:rPr>
          <w:spacing w:val="-9"/>
        </w:rPr>
        <w:t xml:space="preserve"> </w:t>
      </w:r>
      <w:r>
        <w:t>paz,</w:t>
      </w:r>
      <w:r>
        <w:rPr>
          <w:spacing w:val="-10"/>
        </w:rPr>
        <w:t xml:space="preserve"> </w:t>
      </w:r>
      <w:r>
        <w:t>esta</w:t>
      </w:r>
      <w:r>
        <w:rPr>
          <w:spacing w:val="-9"/>
        </w:rPr>
        <w:t xml:space="preserve"> </w:t>
      </w:r>
      <w:r>
        <w:t>permitió</w:t>
      </w:r>
      <w:r>
        <w:rPr>
          <w:spacing w:val="-10"/>
        </w:rPr>
        <w:t xml:space="preserve"> </w:t>
      </w:r>
      <w:r>
        <w:t>develar</w:t>
      </w:r>
      <w:r>
        <w:rPr>
          <w:spacing w:val="-9"/>
        </w:rPr>
        <w:t xml:space="preserve"> </w:t>
      </w:r>
      <w:r>
        <w:t>que</w:t>
      </w:r>
      <w:r>
        <w:rPr>
          <w:spacing w:val="-9"/>
        </w:rPr>
        <w:t xml:space="preserve"> </w:t>
      </w:r>
      <w:r>
        <w:t>el</w:t>
      </w:r>
      <w:r>
        <w:rPr>
          <w:spacing w:val="-9"/>
        </w:rPr>
        <w:t xml:space="preserve"> </w:t>
      </w:r>
      <w:r>
        <w:t>narcotráfico</w:t>
      </w:r>
      <w:r>
        <w:rPr>
          <w:spacing w:val="-10"/>
        </w:rPr>
        <w:t xml:space="preserve"> </w:t>
      </w:r>
      <w:r>
        <w:t>no</w:t>
      </w:r>
      <w:r>
        <w:rPr>
          <w:spacing w:val="-11"/>
        </w:rPr>
        <w:t xml:space="preserve"> </w:t>
      </w:r>
      <w:r>
        <w:t>era</w:t>
      </w:r>
      <w:r>
        <w:rPr>
          <w:spacing w:val="-9"/>
        </w:rPr>
        <w:t xml:space="preserve"> </w:t>
      </w:r>
      <w:r>
        <w:t>un</w:t>
      </w:r>
      <w:r>
        <w:rPr>
          <w:spacing w:val="-10"/>
        </w:rPr>
        <w:t xml:space="preserve"> </w:t>
      </w:r>
      <w:r>
        <w:t>asunto</w:t>
      </w:r>
      <w:r>
        <w:rPr>
          <w:spacing w:val="-11"/>
        </w:rPr>
        <w:t xml:space="preserve"> </w:t>
      </w:r>
      <w:r>
        <w:t>de</w:t>
      </w:r>
      <w:r>
        <w:rPr>
          <w:spacing w:val="-9"/>
        </w:rPr>
        <w:t xml:space="preserve"> </w:t>
      </w:r>
      <w:r>
        <w:t>mafias,</w:t>
      </w:r>
      <w:r>
        <w:rPr>
          <w:spacing w:val="-11"/>
        </w:rPr>
        <w:t xml:space="preserve"> </w:t>
      </w:r>
      <w:r>
        <w:t>sino</w:t>
      </w:r>
      <w:r>
        <w:rPr>
          <w:spacing w:val="-10"/>
        </w:rPr>
        <w:t xml:space="preserve"> </w:t>
      </w:r>
      <w:r>
        <w:t xml:space="preserve">que cruzaba a lo largo y lo ancho del conflicto armado y desde tiempo atrás había entrado en la vía contrainsurgente de la mano de la relación con las Fuerzas Armadas, sectores empresariales y políticos. Durante el proceso de paz con las FARC-EP, en la región del Caguán, Estados Unidos pidió en extradición a los principales jefes del paramilitarismo, Carlos Castaño, Salvatore Mancuso, Diego Murillo Bejarano y Carlos Mario Jiménez, alias </w:t>
      </w:r>
      <w:r>
        <w:rPr>
          <w:spacing w:val="-2"/>
        </w:rPr>
        <w:t>Macaco.</w:t>
      </w:r>
    </w:p>
    <w:p w:rsidR="003804AC" w:rsidRDefault="00AF18A5" w:rsidP="00B23B59">
      <w:r>
        <w:t>En paralelo, ante el fracaso de las conversaciones de paz con las FARC-EP, el gobierno Pastrana y Estados Unidos pusieron en marcha el plan B que unió la lucha contrainsurgente con</w:t>
      </w:r>
      <w:r>
        <w:rPr>
          <w:spacing w:val="-11"/>
        </w:rPr>
        <w:t xml:space="preserve"> </w:t>
      </w:r>
      <w:r>
        <w:t>la</w:t>
      </w:r>
      <w:r>
        <w:rPr>
          <w:spacing w:val="-11"/>
        </w:rPr>
        <w:t xml:space="preserve"> </w:t>
      </w:r>
      <w:r>
        <w:t>guerra</w:t>
      </w:r>
      <w:r>
        <w:rPr>
          <w:spacing w:val="-11"/>
        </w:rPr>
        <w:t xml:space="preserve"> </w:t>
      </w:r>
      <w:r>
        <w:t>antidrogas:</w:t>
      </w:r>
      <w:r>
        <w:rPr>
          <w:spacing w:val="-12"/>
        </w:rPr>
        <w:t xml:space="preserve"> </w:t>
      </w:r>
      <w:r>
        <w:t>el</w:t>
      </w:r>
      <w:r>
        <w:rPr>
          <w:spacing w:val="-10"/>
        </w:rPr>
        <w:t xml:space="preserve"> </w:t>
      </w:r>
      <w:r>
        <w:t>Plan</w:t>
      </w:r>
      <w:r>
        <w:rPr>
          <w:spacing w:val="-11"/>
        </w:rPr>
        <w:t xml:space="preserve"> </w:t>
      </w:r>
      <w:r>
        <w:t>Colombia.</w:t>
      </w:r>
      <w:r>
        <w:rPr>
          <w:spacing w:val="-11"/>
        </w:rPr>
        <w:t xml:space="preserve"> </w:t>
      </w:r>
      <w:r>
        <w:t>Hasta</w:t>
      </w:r>
      <w:r>
        <w:rPr>
          <w:spacing w:val="-12"/>
        </w:rPr>
        <w:t xml:space="preserve"> </w:t>
      </w:r>
      <w:r>
        <w:t>ese</w:t>
      </w:r>
      <w:r>
        <w:rPr>
          <w:spacing w:val="-11"/>
        </w:rPr>
        <w:t xml:space="preserve"> </w:t>
      </w:r>
      <w:r>
        <w:t>momento,</w:t>
      </w:r>
      <w:r>
        <w:rPr>
          <w:spacing w:val="-11"/>
        </w:rPr>
        <w:t xml:space="preserve"> </w:t>
      </w:r>
      <w:r>
        <w:t>el</w:t>
      </w:r>
      <w:r>
        <w:rPr>
          <w:spacing w:val="-10"/>
        </w:rPr>
        <w:t xml:space="preserve"> </w:t>
      </w:r>
      <w:r>
        <w:t>narcotráfico</w:t>
      </w:r>
      <w:r>
        <w:rPr>
          <w:spacing w:val="-12"/>
        </w:rPr>
        <w:t xml:space="preserve"> </w:t>
      </w:r>
      <w:r>
        <w:t>era</w:t>
      </w:r>
      <w:r>
        <w:rPr>
          <w:spacing w:val="-11"/>
        </w:rPr>
        <w:t xml:space="preserve"> </w:t>
      </w:r>
      <w:r>
        <w:t>un</w:t>
      </w:r>
      <w:r>
        <w:rPr>
          <w:spacing w:val="-12"/>
        </w:rPr>
        <w:t xml:space="preserve"> </w:t>
      </w:r>
      <w:r>
        <w:t>asunto del</w:t>
      </w:r>
      <w:r>
        <w:rPr>
          <w:spacing w:val="-2"/>
        </w:rPr>
        <w:t xml:space="preserve"> </w:t>
      </w:r>
      <w:r>
        <w:t>resorte</w:t>
      </w:r>
      <w:r>
        <w:rPr>
          <w:spacing w:val="-2"/>
        </w:rPr>
        <w:t xml:space="preserve"> </w:t>
      </w:r>
      <w:r>
        <w:t>de</w:t>
      </w:r>
      <w:r>
        <w:rPr>
          <w:spacing w:val="-2"/>
        </w:rPr>
        <w:t xml:space="preserve"> </w:t>
      </w:r>
      <w:r>
        <w:t>la</w:t>
      </w:r>
      <w:r>
        <w:rPr>
          <w:spacing w:val="-2"/>
        </w:rPr>
        <w:t xml:space="preserve"> </w:t>
      </w:r>
      <w:r>
        <w:t>Policía,</w:t>
      </w:r>
      <w:r>
        <w:rPr>
          <w:spacing w:val="-4"/>
        </w:rPr>
        <w:t xml:space="preserve"> </w:t>
      </w:r>
      <w:r>
        <w:t>pero</w:t>
      </w:r>
      <w:r>
        <w:rPr>
          <w:spacing w:val="-2"/>
        </w:rPr>
        <w:t xml:space="preserve"> </w:t>
      </w:r>
      <w:r>
        <w:t>a</w:t>
      </w:r>
      <w:r>
        <w:rPr>
          <w:spacing w:val="-2"/>
        </w:rPr>
        <w:t xml:space="preserve"> </w:t>
      </w:r>
      <w:r>
        <w:t>partir</w:t>
      </w:r>
      <w:r>
        <w:rPr>
          <w:spacing w:val="-3"/>
        </w:rPr>
        <w:t xml:space="preserve"> </w:t>
      </w:r>
      <w:r>
        <w:t>de</w:t>
      </w:r>
      <w:r>
        <w:rPr>
          <w:spacing w:val="-2"/>
        </w:rPr>
        <w:t xml:space="preserve"> </w:t>
      </w:r>
      <w:r>
        <w:t>ahí</w:t>
      </w:r>
      <w:r>
        <w:rPr>
          <w:spacing w:val="-3"/>
        </w:rPr>
        <w:t xml:space="preserve"> </w:t>
      </w:r>
      <w:r>
        <w:t>pasó</w:t>
      </w:r>
      <w:r>
        <w:rPr>
          <w:spacing w:val="-4"/>
        </w:rPr>
        <w:t xml:space="preserve"> </w:t>
      </w:r>
      <w:r>
        <w:t>a</w:t>
      </w:r>
      <w:r>
        <w:rPr>
          <w:spacing w:val="-2"/>
        </w:rPr>
        <w:t xml:space="preserve"> </w:t>
      </w:r>
      <w:r>
        <w:t>ser</w:t>
      </w:r>
      <w:r>
        <w:rPr>
          <w:spacing w:val="-3"/>
        </w:rPr>
        <w:t xml:space="preserve"> </w:t>
      </w:r>
      <w:r>
        <w:t>de</w:t>
      </w:r>
      <w:r>
        <w:rPr>
          <w:spacing w:val="-2"/>
        </w:rPr>
        <w:t xml:space="preserve"> </w:t>
      </w:r>
      <w:r>
        <w:t>las</w:t>
      </w:r>
      <w:r>
        <w:rPr>
          <w:spacing w:val="-3"/>
        </w:rPr>
        <w:t xml:space="preserve"> </w:t>
      </w:r>
      <w:r>
        <w:t>Fuerzas</w:t>
      </w:r>
      <w:r>
        <w:rPr>
          <w:spacing w:val="-2"/>
        </w:rPr>
        <w:t xml:space="preserve"> </w:t>
      </w:r>
      <w:r>
        <w:t>Armadas,</w:t>
      </w:r>
      <w:r>
        <w:rPr>
          <w:spacing w:val="-4"/>
        </w:rPr>
        <w:t xml:space="preserve"> </w:t>
      </w:r>
      <w:r>
        <w:t>lo</w:t>
      </w:r>
      <w:r>
        <w:rPr>
          <w:spacing w:val="-3"/>
        </w:rPr>
        <w:t xml:space="preserve"> </w:t>
      </w:r>
      <w:r>
        <w:t>que</w:t>
      </w:r>
      <w:r>
        <w:rPr>
          <w:spacing w:val="-2"/>
        </w:rPr>
        <w:t xml:space="preserve"> </w:t>
      </w:r>
      <w:r>
        <w:t>cruzó la</w:t>
      </w:r>
      <w:r>
        <w:rPr>
          <w:spacing w:val="-2"/>
        </w:rPr>
        <w:t xml:space="preserve"> </w:t>
      </w:r>
      <w:r>
        <w:t>guerra</w:t>
      </w:r>
      <w:r>
        <w:rPr>
          <w:spacing w:val="-2"/>
        </w:rPr>
        <w:t xml:space="preserve"> </w:t>
      </w:r>
      <w:r>
        <w:t>con</w:t>
      </w:r>
      <w:r>
        <w:rPr>
          <w:spacing w:val="-2"/>
        </w:rPr>
        <w:t xml:space="preserve"> </w:t>
      </w:r>
      <w:r>
        <w:t>el</w:t>
      </w:r>
      <w:r>
        <w:rPr>
          <w:spacing w:val="-2"/>
        </w:rPr>
        <w:t xml:space="preserve"> </w:t>
      </w:r>
      <w:r>
        <w:t>narcotráfico.</w:t>
      </w:r>
      <w:r>
        <w:rPr>
          <w:spacing w:val="-2"/>
        </w:rPr>
        <w:t xml:space="preserve"> </w:t>
      </w:r>
      <w:r>
        <w:t>En</w:t>
      </w:r>
      <w:r>
        <w:rPr>
          <w:spacing w:val="-2"/>
        </w:rPr>
        <w:t xml:space="preserve"> </w:t>
      </w:r>
      <w:r>
        <w:t>el</w:t>
      </w:r>
      <w:r>
        <w:rPr>
          <w:spacing w:val="-2"/>
        </w:rPr>
        <w:t xml:space="preserve"> </w:t>
      </w:r>
      <w:r>
        <w:t>tiempo</w:t>
      </w:r>
      <w:r>
        <w:rPr>
          <w:spacing w:val="-2"/>
        </w:rPr>
        <w:t xml:space="preserve"> </w:t>
      </w:r>
      <w:r>
        <w:t>de</w:t>
      </w:r>
      <w:r>
        <w:rPr>
          <w:spacing w:val="-2"/>
        </w:rPr>
        <w:t xml:space="preserve"> </w:t>
      </w:r>
      <w:r>
        <w:t>Álvaro</w:t>
      </w:r>
      <w:r>
        <w:rPr>
          <w:spacing w:val="-2"/>
        </w:rPr>
        <w:t xml:space="preserve"> </w:t>
      </w:r>
      <w:r>
        <w:t>Uribe,</w:t>
      </w:r>
      <w:r>
        <w:rPr>
          <w:spacing w:val="-2"/>
        </w:rPr>
        <w:t xml:space="preserve"> </w:t>
      </w:r>
      <w:r>
        <w:t>la</w:t>
      </w:r>
      <w:r>
        <w:rPr>
          <w:spacing w:val="-2"/>
        </w:rPr>
        <w:t xml:space="preserve"> </w:t>
      </w:r>
      <w:r>
        <w:t>extradición</w:t>
      </w:r>
      <w:r>
        <w:rPr>
          <w:spacing w:val="-2"/>
        </w:rPr>
        <w:t xml:space="preserve"> </w:t>
      </w:r>
      <w:r>
        <w:t>a</w:t>
      </w:r>
      <w:r>
        <w:rPr>
          <w:spacing w:val="-2"/>
        </w:rPr>
        <w:t xml:space="preserve"> </w:t>
      </w:r>
      <w:r>
        <w:t>Estados</w:t>
      </w:r>
      <w:r>
        <w:rPr>
          <w:spacing w:val="-2"/>
        </w:rPr>
        <w:t xml:space="preserve"> </w:t>
      </w:r>
      <w:r>
        <w:t>Unidos alcanzó</w:t>
      </w:r>
      <w:r>
        <w:rPr>
          <w:spacing w:val="-2"/>
        </w:rPr>
        <w:t xml:space="preserve"> </w:t>
      </w:r>
      <w:r>
        <w:t>niveles</w:t>
      </w:r>
      <w:r>
        <w:rPr>
          <w:spacing w:val="-1"/>
        </w:rPr>
        <w:t xml:space="preserve"> </w:t>
      </w:r>
      <w:r>
        <w:t>desbordados</w:t>
      </w:r>
      <w:r>
        <w:rPr>
          <w:spacing w:val="-1"/>
        </w:rPr>
        <w:t xml:space="preserve"> </w:t>
      </w:r>
      <w:r>
        <w:t>y</w:t>
      </w:r>
      <w:r>
        <w:rPr>
          <w:spacing w:val="-1"/>
        </w:rPr>
        <w:t xml:space="preserve"> </w:t>
      </w:r>
      <w:r>
        <w:t>multiplicó</w:t>
      </w:r>
      <w:r>
        <w:rPr>
          <w:spacing w:val="-1"/>
        </w:rPr>
        <w:t xml:space="preserve"> </w:t>
      </w:r>
      <w:r>
        <w:t>su</w:t>
      </w:r>
      <w:r>
        <w:rPr>
          <w:spacing w:val="-2"/>
        </w:rPr>
        <w:t xml:space="preserve"> </w:t>
      </w:r>
      <w:r>
        <w:t>incidencia</w:t>
      </w:r>
      <w:r>
        <w:rPr>
          <w:spacing w:val="-1"/>
        </w:rPr>
        <w:t xml:space="preserve"> </w:t>
      </w:r>
      <w:r>
        <w:t>como</w:t>
      </w:r>
      <w:r>
        <w:rPr>
          <w:spacing w:val="-2"/>
        </w:rPr>
        <w:t xml:space="preserve"> </w:t>
      </w:r>
      <w:r>
        <w:t>elemento</w:t>
      </w:r>
      <w:r>
        <w:rPr>
          <w:spacing w:val="-1"/>
        </w:rPr>
        <w:t xml:space="preserve"> </w:t>
      </w:r>
      <w:r>
        <w:t>de</w:t>
      </w:r>
      <w:r>
        <w:rPr>
          <w:spacing w:val="-2"/>
        </w:rPr>
        <w:t xml:space="preserve"> </w:t>
      </w:r>
      <w:r>
        <w:t>disputa</w:t>
      </w:r>
      <w:r>
        <w:rPr>
          <w:spacing w:val="-2"/>
        </w:rPr>
        <w:t xml:space="preserve"> </w:t>
      </w:r>
      <w:r>
        <w:t>política</w:t>
      </w:r>
      <w:r>
        <w:rPr>
          <w:spacing w:val="-2"/>
        </w:rPr>
        <w:t xml:space="preserve"> </w:t>
      </w:r>
      <w:r>
        <w:t>y judicial.</w:t>
      </w:r>
      <w:r>
        <w:rPr>
          <w:spacing w:val="-3"/>
        </w:rPr>
        <w:t xml:space="preserve"> </w:t>
      </w:r>
      <w:r>
        <w:t>En</w:t>
      </w:r>
      <w:r>
        <w:rPr>
          <w:spacing w:val="-5"/>
        </w:rPr>
        <w:t xml:space="preserve"> </w:t>
      </w:r>
      <w:r>
        <w:t>seguimiento</w:t>
      </w:r>
      <w:r>
        <w:rPr>
          <w:spacing w:val="-5"/>
        </w:rPr>
        <w:t xml:space="preserve"> </w:t>
      </w:r>
      <w:r>
        <w:t>del</w:t>
      </w:r>
      <w:r>
        <w:rPr>
          <w:spacing w:val="-3"/>
        </w:rPr>
        <w:t xml:space="preserve"> </w:t>
      </w:r>
      <w:r>
        <w:t>Plan</w:t>
      </w:r>
      <w:r>
        <w:rPr>
          <w:spacing w:val="-3"/>
        </w:rPr>
        <w:t xml:space="preserve"> </w:t>
      </w:r>
      <w:r>
        <w:t>Colombia,</w:t>
      </w:r>
      <w:r>
        <w:rPr>
          <w:spacing w:val="-3"/>
        </w:rPr>
        <w:t xml:space="preserve"> </w:t>
      </w:r>
      <w:r>
        <w:t>bajo</w:t>
      </w:r>
      <w:r>
        <w:rPr>
          <w:spacing w:val="-5"/>
        </w:rPr>
        <w:t xml:space="preserve"> </w:t>
      </w:r>
      <w:r>
        <w:t>la</w:t>
      </w:r>
      <w:r>
        <w:rPr>
          <w:spacing w:val="-3"/>
        </w:rPr>
        <w:t xml:space="preserve"> </w:t>
      </w:r>
      <w:r>
        <w:t>denominación</w:t>
      </w:r>
      <w:r>
        <w:rPr>
          <w:spacing w:val="-3"/>
        </w:rPr>
        <w:t xml:space="preserve"> </w:t>
      </w:r>
      <w:r>
        <w:t>del</w:t>
      </w:r>
      <w:r>
        <w:rPr>
          <w:spacing w:val="-3"/>
        </w:rPr>
        <w:t xml:space="preserve"> </w:t>
      </w:r>
      <w:r>
        <w:t>gobierno</w:t>
      </w:r>
      <w:r>
        <w:rPr>
          <w:spacing w:val="-3"/>
        </w:rPr>
        <w:t xml:space="preserve"> </w:t>
      </w:r>
      <w:r>
        <w:t>Uribe</w:t>
      </w:r>
      <w:r>
        <w:rPr>
          <w:spacing w:val="-4"/>
        </w:rPr>
        <w:t xml:space="preserve"> </w:t>
      </w:r>
      <w:r>
        <w:t>como Plan Patriota o Plan Consolidación, la extradición fue el elemento central en la relación con Estados</w:t>
      </w:r>
      <w:r>
        <w:rPr>
          <w:spacing w:val="-1"/>
        </w:rPr>
        <w:t xml:space="preserve"> </w:t>
      </w:r>
      <w:r>
        <w:t>Unidos.</w:t>
      </w:r>
      <w:r>
        <w:rPr>
          <w:spacing w:val="-1"/>
        </w:rPr>
        <w:t xml:space="preserve"> </w:t>
      </w:r>
      <w:r>
        <w:t>Toda</w:t>
      </w:r>
      <w:r>
        <w:rPr>
          <w:spacing w:val="-1"/>
        </w:rPr>
        <w:t xml:space="preserve"> </w:t>
      </w:r>
      <w:r>
        <w:t>la</w:t>
      </w:r>
      <w:r>
        <w:rPr>
          <w:spacing w:val="-2"/>
        </w:rPr>
        <w:t xml:space="preserve"> </w:t>
      </w:r>
      <w:r>
        <w:t>cúpula</w:t>
      </w:r>
      <w:r>
        <w:rPr>
          <w:spacing w:val="-1"/>
        </w:rPr>
        <w:t xml:space="preserve"> </w:t>
      </w:r>
      <w:r>
        <w:t>de</w:t>
      </w:r>
      <w:r>
        <w:rPr>
          <w:spacing w:val="-1"/>
        </w:rPr>
        <w:t xml:space="preserve"> </w:t>
      </w:r>
      <w:r>
        <w:t>las</w:t>
      </w:r>
      <w:r>
        <w:rPr>
          <w:spacing w:val="-1"/>
        </w:rPr>
        <w:t xml:space="preserve"> </w:t>
      </w:r>
      <w:r>
        <w:t>FARC-EP, su</w:t>
      </w:r>
      <w:r>
        <w:rPr>
          <w:spacing w:val="-1"/>
        </w:rPr>
        <w:t xml:space="preserve"> </w:t>
      </w:r>
      <w:r>
        <w:t>secretariado</w:t>
      </w:r>
      <w:r>
        <w:rPr>
          <w:spacing w:val="-1"/>
        </w:rPr>
        <w:t xml:space="preserve"> </w:t>
      </w:r>
      <w:r>
        <w:t>y</w:t>
      </w:r>
      <w:r>
        <w:rPr>
          <w:spacing w:val="-1"/>
        </w:rPr>
        <w:t xml:space="preserve"> </w:t>
      </w:r>
      <w:r>
        <w:t>sus</w:t>
      </w:r>
      <w:r>
        <w:rPr>
          <w:spacing w:val="-1"/>
        </w:rPr>
        <w:t xml:space="preserve"> </w:t>
      </w:r>
      <w:r>
        <w:t>comandantes</w:t>
      </w:r>
      <w:r>
        <w:rPr>
          <w:spacing w:val="-1"/>
        </w:rPr>
        <w:t xml:space="preserve"> </w:t>
      </w:r>
      <w:r>
        <w:t>fueron requeridos por la justicia norteamericana.</w:t>
      </w:r>
    </w:p>
    <w:p w:rsidR="003804AC" w:rsidRDefault="00AF18A5" w:rsidP="00B23B59">
      <w:r>
        <w:t>En el momento en que las FARC-EP presionaban por un acuerdo humanitario para</w:t>
      </w:r>
      <w:r>
        <w:rPr>
          <w:spacing w:val="-1"/>
        </w:rPr>
        <w:t xml:space="preserve"> </w:t>
      </w:r>
      <w:r>
        <w:t xml:space="preserve">sacar guerrilleros de las cárceles a cambio de sus prisioneros de guerra, el gobierno Uribe ofreció no extraditar a Ricardo Palmera, alias Simón Trinidad, a cambio de los cautivos militares, policías y políticos. Al final fue extraditado, lo mismo que otros guerrilleros, como fórmula de presión desde Washington. Algo similar </w:t>
      </w:r>
      <w:r>
        <w:lastRenderedPageBreak/>
        <w:t>aconteció en otro frente paralelo del conflicto: tras</w:t>
      </w:r>
      <w:r>
        <w:rPr>
          <w:spacing w:val="-2"/>
        </w:rPr>
        <w:t xml:space="preserve"> </w:t>
      </w:r>
      <w:r>
        <w:t>la</w:t>
      </w:r>
      <w:r>
        <w:rPr>
          <w:spacing w:val="-1"/>
        </w:rPr>
        <w:t xml:space="preserve"> </w:t>
      </w:r>
      <w:r>
        <w:t>desmovilización</w:t>
      </w:r>
      <w:r>
        <w:rPr>
          <w:spacing w:val="-3"/>
        </w:rPr>
        <w:t xml:space="preserve"> </w:t>
      </w:r>
      <w:r>
        <w:t>y</w:t>
      </w:r>
      <w:r>
        <w:rPr>
          <w:spacing w:val="-1"/>
        </w:rPr>
        <w:t xml:space="preserve"> </w:t>
      </w:r>
      <w:r>
        <w:t>dejación</w:t>
      </w:r>
      <w:r>
        <w:rPr>
          <w:spacing w:val="-1"/>
        </w:rPr>
        <w:t xml:space="preserve"> </w:t>
      </w:r>
      <w:r>
        <w:t>de</w:t>
      </w:r>
      <w:r>
        <w:rPr>
          <w:spacing w:val="-1"/>
        </w:rPr>
        <w:t xml:space="preserve"> </w:t>
      </w:r>
      <w:r>
        <w:t>armas</w:t>
      </w:r>
      <w:r>
        <w:rPr>
          <w:spacing w:val="-1"/>
        </w:rPr>
        <w:t xml:space="preserve"> </w:t>
      </w:r>
      <w:r>
        <w:t>del</w:t>
      </w:r>
      <w:r>
        <w:rPr>
          <w:spacing w:val="-2"/>
        </w:rPr>
        <w:t xml:space="preserve"> </w:t>
      </w:r>
      <w:r>
        <w:t>paramilitarismo,</w:t>
      </w:r>
      <w:r>
        <w:rPr>
          <w:spacing w:val="-1"/>
        </w:rPr>
        <w:t xml:space="preserve"> </w:t>
      </w:r>
      <w:r>
        <w:t>cuando</w:t>
      </w:r>
      <w:r>
        <w:rPr>
          <w:spacing w:val="-2"/>
        </w:rPr>
        <w:t xml:space="preserve"> </w:t>
      </w:r>
      <w:r>
        <w:t>el</w:t>
      </w:r>
      <w:r>
        <w:rPr>
          <w:spacing w:val="-1"/>
        </w:rPr>
        <w:t xml:space="preserve"> </w:t>
      </w:r>
      <w:r>
        <w:t>proceso</w:t>
      </w:r>
      <w:r>
        <w:rPr>
          <w:spacing w:val="-1"/>
        </w:rPr>
        <w:t xml:space="preserve"> </w:t>
      </w:r>
      <w:r>
        <w:t>entró</w:t>
      </w:r>
      <w:r>
        <w:rPr>
          <w:spacing w:val="-1"/>
        </w:rPr>
        <w:t xml:space="preserve"> </w:t>
      </w:r>
      <w:r>
        <w:t>en crisis y por el escándalo de la parapolítica, se extraditaron los principales jefes de las AUC. En mayo de 2008, cuando las verdades reveladas hacían crujir las estructuras políticas del país</w:t>
      </w:r>
      <w:r>
        <w:rPr>
          <w:spacing w:val="-2"/>
        </w:rPr>
        <w:t xml:space="preserve"> </w:t>
      </w:r>
      <w:r>
        <w:t>en</w:t>
      </w:r>
      <w:r>
        <w:rPr>
          <w:spacing w:val="-2"/>
        </w:rPr>
        <w:t xml:space="preserve"> </w:t>
      </w:r>
      <w:r>
        <w:t>el</w:t>
      </w:r>
      <w:r>
        <w:rPr>
          <w:spacing w:val="-2"/>
        </w:rPr>
        <w:t xml:space="preserve"> </w:t>
      </w:r>
      <w:r>
        <w:t>escándalo</w:t>
      </w:r>
      <w:r>
        <w:rPr>
          <w:spacing w:val="-2"/>
        </w:rPr>
        <w:t xml:space="preserve"> </w:t>
      </w:r>
      <w:r>
        <w:t>de</w:t>
      </w:r>
      <w:r>
        <w:rPr>
          <w:spacing w:val="-2"/>
        </w:rPr>
        <w:t xml:space="preserve"> </w:t>
      </w:r>
      <w:r>
        <w:t>la</w:t>
      </w:r>
      <w:r>
        <w:rPr>
          <w:spacing w:val="-2"/>
        </w:rPr>
        <w:t xml:space="preserve"> </w:t>
      </w:r>
      <w:r>
        <w:t>parapolítica,</w:t>
      </w:r>
      <w:r>
        <w:rPr>
          <w:spacing w:val="-2"/>
        </w:rPr>
        <w:t xml:space="preserve"> </w:t>
      </w:r>
      <w:r>
        <w:t>el</w:t>
      </w:r>
      <w:r>
        <w:rPr>
          <w:spacing w:val="-2"/>
        </w:rPr>
        <w:t xml:space="preserve"> </w:t>
      </w:r>
      <w:r>
        <w:t>gobierno</w:t>
      </w:r>
      <w:r>
        <w:rPr>
          <w:spacing w:val="-2"/>
        </w:rPr>
        <w:t xml:space="preserve"> </w:t>
      </w:r>
      <w:r>
        <w:t>colombiano</w:t>
      </w:r>
      <w:r>
        <w:rPr>
          <w:spacing w:val="-2"/>
        </w:rPr>
        <w:t xml:space="preserve"> </w:t>
      </w:r>
      <w:r>
        <w:t>extraditó</w:t>
      </w:r>
      <w:r>
        <w:rPr>
          <w:spacing w:val="-2"/>
        </w:rPr>
        <w:t xml:space="preserve"> </w:t>
      </w:r>
      <w:r>
        <w:t>a</w:t>
      </w:r>
      <w:r>
        <w:rPr>
          <w:spacing w:val="-3"/>
        </w:rPr>
        <w:t xml:space="preserve"> </w:t>
      </w:r>
      <w:r>
        <w:t>Estados</w:t>
      </w:r>
      <w:r>
        <w:rPr>
          <w:spacing w:val="-2"/>
        </w:rPr>
        <w:t xml:space="preserve"> </w:t>
      </w:r>
      <w:r>
        <w:t>Unidos</w:t>
      </w:r>
      <w:r>
        <w:rPr>
          <w:spacing w:val="-2"/>
        </w:rPr>
        <w:t xml:space="preserve"> </w:t>
      </w:r>
      <w:r>
        <w:t>a los catorce principales jefes del paramilitarismo. Las víctimas de estos comandantes de las AUC reclamaron sus verdades, pero la extradición ya había entrado en otra lógica. De la noche a la mañana, los señalados de narcotráfico cambiaron su consigna. Los narcos puros, después</w:t>
      </w:r>
      <w:r>
        <w:rPr>
          <w:spacing w:val="-13"/>
        </w:rPr>
        <w:t xml:space="preserve"> </w:t>
      </w:r>
      <w:r>
        <w:t>de</w:t>
      </w:r>
      <w:r>
        <w:rPr>
          <w:spacing w:val="-13"/>
        </w:rPr>
        <w:t xml:space="preserve"> </w:t>
      </w:r>
      <w:r>
        <w:t>delinquir</w:t>
      </w:r>
      <w:r>
        <w:rPr>
          <w:spacing w:val="-13"/>
        </w:rPr>
        <w:t xml:space="preserve"> </w:t>
      </w:r>
      <w:r>
        <w:t>por</w:t>
      </w:r>
      <w:r>
        <w:rPr>
          <w:spacing w:val="-14"/>
        </w:rPr>
        <w:t xml:space="preserve"> </w:t>
      </w:r>
      <w:r>
        <w:t>años</w:t>
      </w:r>
      <w:r>
        <w:rPr>
          <w:spacing w:val="-13"/>
        </w:rPr>
        <w:t xml:space="preserve"> </w:t>
      </w:r>
      <w:r>
        <w:t>en</w:t>
      </w:r>
      <w:r>
        <w:rPr>
          <w:spacing w:val="-13"/>
        </w:rPr>
        <w:t xml:space="preserve"> </w:t>
      </w:r>
      <w:r>
        <w:t>Colombia,</w:t>
      </w:r>
      <w:r>
        <w:rPr>
          <w:spacing w:val="-13"/>
        </w:rPr>
        <w:t xml:space="preserve"> </w:t>
      </w:r>
      <w:r>
        <w:t>prefieren</w:t>
      </w:r>
      <w:r>
        <w:rPr>
          <w:spacing w:val="-13"/>
        </w:rPr>
        <w:t xml:space="preserve"> </w:t>
      </w:r>
      <w:r>
        <w:t>ir</w:t>
      </w:r>
      <w:r>
        <w:rPr>
          <w:spacing w:val="-13"/>
        </w:rPr>
        <w:t xml:space="preserve"> </w:t>
      </w:r>
      <w:r>
        <w:t>a</w:t>
      </w:r>
      <w:r>
        <w:rPr>
          <w:spacing w:val="-13"/>
        </w:rPr>
        <w:t xml:space="preserve"> </w:t>
      </w:r>
      <w:r>
        <w:t>Estados</w:t>
      </w:r>
      <w:r>
        <w:rPr>
          <w:spacing w:val="-13"/>
        </w:rPr>
        <w:t xml:space="preserve"> </w:t>
      </w:r>
      <w:r>
        <w:t>Unidos,</w:t>
      </w:r>
      <w:r>
        <w:rPr>
          <w:spacing w:val="-13"/>
        </w:rPr>
        <w:t xml:space="preserve"> </w:t>
      </w:r>
      <w:r>
        <w:t>negociar</w:t>
      </w:r>
      <w:r>
        <w:rPr>
          <w:spacing w:val="-13"/>
        </w:rPr>
        <w:t xml:space="preserve"> </w:t>
      </w:r>
      <w:r>
        <w:t>sus</w:t>
      </w:r>
      <w:r>
        <w:rPr>
          <w:spacing w:val="-14"/>
        </w:rPr>
        <w:t xml:space="preserve"> </w:t>
      </w:r>
      <w:r>
        <w:t>penas con la justicia norteamericana y saldar sus cuentas sin hacerse responsables de sus deudas pendientes con Colombia.</w:t>
      </w:r>
    </w:p>
    <w:p w:rsidR="003804AC" w:rsidRDefault="00AF18A5" w:rsidP="00B23B59">
      <w:r>
        <w:t>Para resumir, la extradición es una figura jurídica que ha permitido a Estados Unidos incidir en todos los gobiernos desde 1979 hasta la fecha. Por lo mismo, esta genera dudas razonables en términos de soberanía judicial, así como en lo que se refiere a la posible ausencia de garantías para el ejercicio del derecho a la verdad por parte de las víctimas. El proceso</w:t>
      </w:r>
      <w:r>
        <w:rPr>
          <w:spacing w:val="-6"/>
        </w:rPr>
        <w:t xml:space="preserve"> </w:t>
      </w:r>
      <w:r>
        <w:t>de</w:t>
      </w:r>
      <w:r>
        <w:rPr>
          <w:spacing w:val="-6"/>
        </w:rPr>
        <w:t xml:space="preserve"> </w:t>
      </w:r>
      <w:r>
        <w:t>extradición,</w:t>
      </w:r>
      <w:r>
        <w:rPr>
          <w:spacing w:val="-6"/>
        </w:rPr>
        <w:t xml:space="preserve"> </w:t>
      </w:r>
      <w:r>
        <w:t>en</w:t>
      </w:r>
      <w:r>
        <w:rPr>
          <w:spacing w:val="-6"/>
        </w:rPr>
        <w:t xml:space="preserve"> </w:t>
      </w:r>
      <w:r>
        <w:t>sí</w:t>
      </w:r>
      <w:r>
        <w:rPr>
          <w:spacing w:val="-6"/>
        </w:rPr>
        <w:t xml:space="preserve"> </w:t>
      </w:r>
      <w:r>
        <w:t>mismo,</w:t>
      </w:r>
      <w:r>
        <w:rPr>
          <w:spacing w:val="-6"/>
        </w:rPr>
        <w:t xml:space="preserve"> </w:t>
      </w:r>
      <w:r>
        <w:t>es</w:t>
      </w:r>
      <w:r>
        <w:rPr>
          <w:spacing w:val="-6"/>
        </w:rPr>
        <w:t xml:space="preserve"> </w:t>
      </w:r>
      <w:r>
        <w:t>poco</w:t>
      </w:r>
      <w:r>
        <w:rPr>
          <w:spacing w:val="-6"/>
        </w:rPr>
        <w:t xml:space="preserve"> </w:t>
      </w:r>
      <w:r>
        <w:t>garantista</w:t>
      </w:r>
      <w:r>
        <w:rPr>
          <w:spacing w:val="-6"/>
        </w:rPr>
        <w:t xml:space="preserve"> </w:t>
      </w:r>
      <w:r>
        <w:t>en</w:t>
      </w:r>
      <w:r>
        <w:rPr>
          <w:spacing w:val="-6"/>
        </w:rPr>
        <w:t xml:space="preserve"> </w:t>
      </w:r>
      <w:r>
        <w:t>Colombia.</w:t>
      </w:r>
      <w:r>
        <w:rPr>
          <w:spacing w:val="-6"/>
        </w:rPr>
        <w:t xml:space="preserve"> </w:t>
      </w:r>
      <w:r>
        <w:t>La</w:t>
      </w:r>
      <w:r>
        <w:rPr>
          <w:spacing w:val="-6"/>
        </w:rPr>
        <w:t xml:space="preserve"> </w:t>
      </w:r>
      <w:r>
        <w:t>justicia</w:t>
      </w:r>
      <w:r>
        <w:rPr>
          <w:spacing w:val="-6"/>
        </w:rPr>
        <w:t xml:space="preserve"> </w:t>
      </w:r>
      <w:r>
        <w:t>nacional</w:t>
      </w:r>
      <w:r>
        <w:rPr>
          <w:spacing w:val="-6"/>
        </w:rPr>
        <w:t xml:space="preserve"> </w:t>
      </w:r>
      <w:r>
        <w:t>no examina pruebas judiciales, solo constata identidades y paralelismo de tipos penales. Con requisitos de forma, equivocados o no, desde principios de siglo han terminado presos en Estados Unidos comandantes guerrilleros o paramilitares, narcotraficantes, lavadores de dinero e intermediarios.</w:t>
      </w:r>
    </w:p>
    <w:p w:rsidR="003804AC" w:rsidRDefault="00AF18A5" w:rsidP="00B23B59">
      <w:r>
        <w:t>La extradición ha sido enmarcada como un eficaz mecanismo de cooperación judicial entre</w:t>
      </w:r>
      <w:r>
        <w:rPr>
          <w:spacing w:val="-15"/>
        </w:rPr>
        <w:t xml:space="preserve"> </w:t>
      </w:r>
      <w:r>
        <w:t>las</w:t>
      </w:r>
      <w:r>
        <w:rPr>
          <w:spacing w:val="-15"/>
        </w:rPr>
        <w:t xml:space="preserve"> </w:t>
      </w:r>
      <w:r>
        <w:t>dos</w:t>
      </w:r>
      <w:r>
        <w:rPr>
          <w:spacing w:val="-15"/>
        </w:rPr>
        <w:t xml:space="preserve"> </w:t>
      </w:r>
      <w:r>
        <w:t>naciones</w:t>
      </w:r>
      <w:r>
        <w:rPr>
          <w:spacing w:val="-15"/>
        </w:rPr>
        <w:t xml:space="preserve"> </w:t>
      </w:r>
      <w:r>
        <w:t>en</w:t>
      </w:r>
      <w:r>
        <w:rPr>
          <w:spacing w:val="-15"/>
        </w:rPr>
        <w:t xml:space="preserve"> </w:t>
      </w:r>
      <w:r>
        <w:t>la</w:t>
      </w:r>
      <w:r>
        <w:rPr>
          <w:spacing w:val="-15"/>
        </w:rPr>
        <w:t xml:space="preserve"> </w:t>
      </w:r>
      <w:r>
        <w:t>lucha</w:t>
      </w:r>
      <w:r>
        <w:rPr>
          <w:spacing w:val="-15"/>
        </w:rPr>
        <w:t xml:space="preserve"> </w:t>
      </w:r>
      <w:r>
        <w:t>contra</w:t>
      </w:r>
      <w:r>
        <w:rPr>
          <w:spacing w:val="-15"/>
        </w:rPr>
        <w:t xml:space="preserve"> </w:t>
      </w:r>
      <w:r>
        <w:t>el</w:t>
      </w:r>
      <w:r>
        <w:rPr>
          <w:spacing w:val="-15"/>
        </w:rPr>
        <w:t xml:space="preserve"> </w:t>
      </w:r>
      <w:r>
        <w:t>narcotráfico,</w:t>
      </w:r>
      <w:r>
        <w:rPr>
          <w:spacing w:val="-15"/>
        </w:rPr>
        <w:t xml:space="preserve"> </w:t>
      </w:r>
      <w:r>
        <w:t>pero</w:t>
      </w:r>
      <w:r>
        <w:rPr>
          <w:spacing w:val="-15"/>
        </w:rPr>
        <w:t xml:space="preserve"> </w:t>
      </w:r>
      <w:r>
        <w:t>también</w:t>
      </w:r>
      <w:r>
        <w:rPr>
          <w:spacing w:val="-15"/>
        </w:rPr>
        <w:t xml:space="preserve"> </w:t>
      </w:r>
      <w:r>
        <w:t>ha</w:t>
      </w:r>
      <w:r>
        <w:rPr>
          <w:spacing w:val="-15"/>
        </w:rPr>
        <w:t xml:space="preserve"> </w:t>
      </w:r>
      <w:r>
        <w:t>sido</w:t>
      </w:r>
      <w:r>
        <w:rPr>
          <w:spacing w:val="-15"/>
        </w:rPr>
        <w:t xml:space="preserve"> </w:t>
      </w:r>
      <w:r>
        <w:t>la</w:t>
      </w:r>
      <w:r>
        <w:rPr>
          <w:spacing w:val="-15"/>
        </w:rPr>
        <w:t xml:space="preserve"> </w:t>
      </w:r>
      <w:r>
        <w:t>vía</w:t>
      </w:r>
      <w:r>
        <w:rPr>
          <w:spacing w:val="-15"/>
        </w:rPr>
        <w:t xml:space="preserve"> </w:t>
      </w:r>
      <w:r>
        <w:t>de</w:t>
      </w:r>
      <w:r>
        <w:rPr>
          <w:spacing w:val="-15"/>
        </w:rPr>
        <w:t xml:space="preserve"> </w:t>
      </w:r>
      <w:r>
        <w:t xml:space="preserve">entrada de las agencias de inteligencia norteamericanas en el universo judicial de Colombia. La </w:t>
      </w:r>
      <w:r>
        <w:lastRenderedPageBreak/>
        <w:t>Fiscalía</w:t>
      </w:r>
      <w:r>
        <w:rPr>
          <w:spacing w:val="-15"/>
        </w:rPr>
        <w:t xml:space="preserve"> </w:t>
      </w:r>
      <w:r>
        <w:t>y</w:t>
      </w:r>
      <w:r>
        <w:rPr>
          <w:spacing w:val="-15"/>
        </w:rPr>
        <w:t xml:space="preserve"> </w:t>
      </w:r>
      <w:r>
        <w:t>las</w:t>
      </w:r>
      <w:r>
        <w:rPr>
          <w:spacing w:val="-15"/>
        </w:rPr>
        <w:t xml:space="preserve"> </w:t>
      </w:r>
      <w:r>
        <w:t>Fuerzas</w:t>
      </w:r>
      <w:r>
        <w:rPr>
          <w:spacing w:val="-15"/>
        </w:rPr>
        <w:t xml:space="preserve"> </w:t>
      </w:r>
      <w:r>
        <w:t>Armadas</w:t>
      </w:r>
      <w:r>
        <w:rPr>
          <w:spacing w:val="-15"/>
        </w:rPr>
        <w:t xml:space="preserve"> </w:t>
      </w:r>
      <w:r>
        <w:t>trabajan</w:t>
      </w:r>
      <w:r>
        <w:rPr>
          <w:spacing w:val="-15"/>
        </w:rPr>
        <w:t xml:space="preserve"> </w:t>
      </w:r>
      <w:r>
        <w:t>en</w:t>
      </w:r>
      <w:r>
        <w:rPr>
          <w:spacing w:val="-15"/>
        </w:rPr>
        <w:t xml:space="preserve"> </w:t>
      </w:r>
      <w:r>
        <w:t>estrecha</w:t>
      </w:r>
      <w:r>
        <w:rPr>
          <w:spacing w:val="-15"/>
        </w:rPr>
        <w:t xml:space="preserve"> </w:t>
      </w:r>
      <w:r>
        <w:t>alianza</w:t>
      </w:r>
      <w:r>
        <w:rPr>
          <w:spacing w:val="-15"/>
        </w:rPr>
        <w:t xml:space="preserve"> </w:t>
      </w:r>
      <w:r>
        <w:t>con</w:t>
      </w:r>
      <w:r>
        <w:rPr>
          <w:spacing w:val="-15"/>
        </w:rPr>
        <w:t xml:space="preserve"> </w:t>
      </w:r>
      <w:r>
        <w:t>Estados</w:t>
      </w:r>
      <w:r>
        <w:rPr>
          <w:spacing w:val="-15"/>
        </w:rPr>
        <w:t xml:space="preserve"> </w:t>
      </w:r>
      <w:r>
        <w:t>Unidos,</w:t>
      </w:r>
      <w:r>
        <w:rPr>
          <w:spacing w:val="-15"/>
        </w:rPr>
        <w:t xml:space="preserve"> </w:t>
      </w:r>
      <w:r>
        <w:t>y</w:t>
      </w:r>
      <w:r>
        <w:rPr>
          <w:spacing w:val="-15"/>
        </w:rPr>
        <w:t xml:space="preserve"> </w:t>
      </w:r>
      <w:r>
        <w:t>el</w:t>
      </w:r>
      <w:r>
        <w:rPr>
          <w:spacing w:val="-15"/>
        </w:rPr>
        <w:t xml:space="preserve"> </w:t>
      </w:r>
      <w:r>
        <w:t>comodín para</w:t>
      </w:r>
      <w:r>
        <w:rPr>
          <w:spacing w:val="19"/>
        </w:rPr>
        <w:t xml:space="preserve"> </w:t>
      </w:r>
      <w:r>
        <w:t>saldar</w:t>
      </w:r>
      <w:r>
        <w:rPr>
          <w:spacing w:val="21"/>
        </w:rPr>
        <w:t xml:space="preserve"> </w:t>
      </w:r>
      <w:r>
        <w:t>los</w:t>
      </w:r>
      <w:r>
        <w:rPr>
          <w:spacing w:val="20"/>
        </w:rPr>
        <w:t xml:space="preserve"> </w:t>
      </w:r>
      <w:r>
        <w:t>compromisos</w:t>
      </w:r>
      <w:r>
        <w:rPr>
          <w:spacing w:val="20"/>
        </w:rPr>
        <w:t xml:space="preserve"> </w:t>
      </w:r>
      <w:r>
        <w:t>es</w:t>
      </w:r>
      <w:r>
        <w:rPr>
          <w:spacing w:val="20"/>
        </w:rPr>
        <w:t xml:space="preserve"> </w:t>
      </w:r>
      <w:r>
        <w:t>la</w:t>
      </w:r>
      <w:r>
        <w:rPr>
          <w:spacing w:val="20"/>
        </w:rPr>
        <w:t xml:space="preserve"> </w:t>
      </w:r>
      <w:r>
        <w:t>extradición.</w:t>
      </w:r>
      <w:r>
        <w:rPr>
          <w:spacing w:val="20"/>
        </w:rPr>
        <w:t xml:space="preserve"> </w:t>
      </w:r>
      <w:r>
        <w:t>En</w:t>
      </w:r>
      <w:r>
        <w:rPr>
          <w:spacing w:val="19"/>
        </w:rPr>
        <w:t xml:space="preserve"> </w:t>
      </w:r>
      <w:r>
        <w:t>los</w:t>
      </w:r>
      <w:r>
        <w:rPr>
          <w:spacing w:val="20"/>
        </w:rPr>
        <w:t xml:space="preserve"> </w:t>
      </w:r>
      <w:r>
        <w:t>acuerdos</w:t>
      </w:r>
      <w:r>
        <w:rPr>
          <w:spacing w:val="20"/>
        </w:rPr>
        <w:t xml:space="preserve"> </w:t>
      </w:r>
      <w:r>
        <w:t>de</w:t>
      </w:r>
      <w:r>
        <w:rPr>
          <w:spacing w:val="20"/>
        </w:rPr>
        <w:t xml:space="preserve"> </w:t>
      </w:r>
      <w:r>
        <w:t>La</w:t>
      </w:r>
      <w:r>
        <w:rPr>
          <w:spacing w:val="20"/>
        </w:rPr>
        <w:t xml:space="preserve"> </w:t>
      </w:r>
      <w:r>
        <w:t>Habana,</w:t>
      </w:r>
      <w:r>
        <w:rPr>
          <w:spacing w:val="20"/>
        </w:rPr>
        <w:t xml:space="preserve"> </w:t>
      </w:r>
      <w:r>
        <w:t>uno</w:t>
      </w:r>
      <w:r>
        <w:rPr>
          <w:spacing w:val="20"/>
        </w:rPr>
        <w:t xml:space="preserve"> </w:t>
      </w:r>
      <w:r>
        <w:t>de</w:t>
      </w:r>
      <w:r>
        <w:rPr>
          <w:spacing w:val="20"/>
        </w:rPr>
        <w:t xml:space="preserve"> </w:t>
      </w:r>
      <w:r>
        <w:rPr>
          <w:spacing w:val="-5"/>
        </w:rPr>
        <w:t>los</w:t>
      </w:r>
    </w:p>
    <w:p w:rsidR="003804AC" w:rsidRDefault="00AF18A5" w:rsidP="00B23B59">
      <w:r>
        <w:t>componentes indispensables de la negociación fue la no extradición, garantía ante la incertidumbre que representa su aplicación desde Colombia. Tras la firma de los Acuerdos de</w:t>
      </w:r>
      <w:r>
        <w:rPr>
          <w:spacing w:val="-8"/>
        </w:rPr>
        <w:t xml:space="preserve"> </w:t>
      </w:r>
      <w:r>
        <w:t>Paz,</w:t>
      </w:r>
      <w:r>
        <w:rPr>
          <w:spacing w:val="-8"/>
        </w:rPr>
        <w:t xml:space="preserve"> </w:t>
      </w:r>
      <w:r>
        <w:t>el</w:t>
      </w:r>
      <w:r>
        <w:rPr>
          <w:spacing w:val="-8"/>
        </w:rPr>
        <w:t xml:space="preserve"> </w:t>
      </w:r>
      <w:r>
        <w:t>proceso</w:t>
      </w:r>
      <w:r>
        <w:rPr>
          <w:spacing w:val="-8"/>
        </w:rPr>
        <w:t xml:space="preserve"> </w:t>
      </w:r>
      <w:r>
        <w:t>contra</w:t>
      </w:r>
      <w:r>
        <w:rPr>
          <w:spacing w:val="-9"/>
        </w:rPr>
        <w:t xml:space="preserve"> </w:t>
      </w:r>
      <w:r>
        <w:t>Jesús</w:t>
      </w:r>
      <w:r>
        <w:rPr>
          <w:spacing w:val="-8"/>
        </w:rPr>
        <w:t xml:space="preserve"> </w:t>
      </w:r>
      <w:proofErr w:type="spellStart"/>
      <w:r>
        <w:t>Santrich</w:t>
      </w:r>
      <w:proofErr w:type="spellEnd"/>
      <w:r>
        <w:rPr>
          <w:spacing w:val="-8"/>
        </w:rPr>
        <w:t xml:space="preserve"> </w:t>
      </w:r>
      <w:r>
        <w:t>e</w:t>
      </w:r>
      <w:r>
        <w:rPr>
          <w:spacing w:val="-8"/>
        </w:rPr>
        <w:t xml:space="preserve"> </w:t>
      </w:r>
      <w:r>
        <w:t>Iván</w:t>
      </w:r>
      <w:r>
        <w:rPr>
          <w:spacing w:val="-8"/>
        </w:rPr>
        <w:t xml:space="preserve"> </w:t>
      </w:r>
      <w:r>
        <w:t>Márquez,</w:t>
      </w:r>
      <w:r>
        <w:rPr>
          <w:spacing w:val="-8"/>
        </w:rPr>
        <w:t xml:space="preserve"> </w:t>
      </w:r>
      <w:r>
        <w:t>que</w:t>
      </w:r>
      <w:r>
        <w:rPr>
          <w:spacing w:val="-8"/>
        </w:rPr>
        <w:t xml:space="preserve"> </w:t>
      </w:r>
      <w:r>
        <w:t>dio</w:t>
      </w:r>
      <w:r>
        <w:rPr>
          <w:spacing w:val="-8"/>
        </w:rPr>
        <w:t xml:space="preserve"> </w:t>
      </w:r>
      <w:r>
        <w:t>paso</w:t>
      </w:r>
      <w:r>
        <w:rPr>
          <w:spacing w:val="-8"/>
        </w:rPr>
        <w:t xml:space="preserve"> </w:t>
      </w:r>
      <w:r>
        <w:t>a</w:t>
      </w:r>
      <w:r>
        <w:rPr>
          <w:spacing w:val="-8"/>
        </w:rPr>
        <w:t xml:space="preserve"> </w:t>
      </w:r>
      <w:r>
        <w:t>su</w:t>
      </w:r>
      <w:r>
        <w:rPr>
          <w:spacing w:val="-9"/>
        </w:rPr>
        <w:t xml:space="preserve"> </w:t>
      </w:r>
      <w:r>
        <w:t>vuelta</w:t>
      </w:r>
      <w:r>
        <w:rPr>
          <w:spacing w:val="-8"/>
        </w:rPr>
        <w:t xml:space="preserve"> </w:t>
      </w:r>
      <w:r>
        <w:t>a</w:t>
      </w:r>
      <w:r>
        <w:rPr>
          <w:spacing w:val="-8"/>
        </w:rPr>
        <w:t xml:space="preserve"> </w:t>
      </w:r>
      <w:r>
        <w:t>la</w:t>
      </w:r>
      <w:r>
        <w:rPr>
          <w:spacing w:val="-9"/>
        </w:rPr>
        <w:t xml:space="preserve"> </w:t>
      </w:r>
      <w:r>
        <w:t xml:space="preserve">guerra, estuvo mediatizado por acusaciones de Estados Unidos que afirmaban que estos seguían </w:t>
      </w:r>
      <w:r>
        <w:rPr>
          <w:spacing w:val="-2"/>
        </w:rPr>
        <w:t>delinquiendo</w:t>
      </w:r>
      <w:r>
        <w:rPr>
          <w:spacing w:val="-5"/>
        </w:rPr>
        <w:t xml:space="preserve"> </w:t>
      </w:r>
      <w:r>
        <w:rPr>
          <w:spacing w:val="-2"/>
        </w:rPr>
        <w:t>y</w:t>
      </w:r>
      <w:r>
        <w:rPr>
          <w:spacing w:val="-5"/>
        </w:rPr>
        <w:t xml:space="preserve"> </w:t>
      </w:r>
      <w:r>
        <w:rPr>
          <w:spacing w:val="-2"/>
        </w:rPr>
        <w:t>participando</w:t>
      </w:r>
      <w:r>
        <w:rPr>
          <w:spacing w:val="-5"/>
        </w:rPr>
        <w:t xml:space="preserve"> </w:t>
      </w:r>
      <w:r>
        <w:rPr>
          <w:spacing w:val="-2"/>
        </w:rPr>
        <w:t>en</w:t>
      </w:r>
      <w:r>
        <w:rPr>
          <w:spacing w:val="-5"/>
        </w:rPr>
        <w:t xml:space="preserve"> </w:t>
      </w:r>
      <w:r>
        <w:rPr>
          <w:spacing w:val="-2"/>
        </w:rPr>
        <w:t>el</w:t>
      </w:r>
      <w:r>
        <w:rPr>
          <w:spacing w:val="-3"/>
        </w:rPr>
        <w:t xml:space="preserve"> </w:t>
      </w:r>
      <w:r>
        <w:rPr>
          <w:spacing w:val="-2"/>
        </w:rPr>
        <w:t>narcotráfico</w:t>
      </w:r>
      <w:r>
        <w:rPr>
          <w:spacing w:val="-6"/>
        </w:rPr>
        <w:t xml:space="preserve"> </w:t>
      </w:r>
      <w:r>
        <w:rPr>
          <w:spacing w:val="-2"/>
        </w:rPr>
        <w:t>después</w:t>
      </w:r>
      <w:r>
        <w:rPr>
          <w:spacing w:val="-5"/>
        </w:rPr>
        <w:t xml:space="preserve"> </w:t>
      </w:r>
      <w:r>
        <w:rPr>
          <w:spacing w:val="-2"/>
        </w:rPr>
        <w:t>de</w:t>
      </w:r>
      <w:r>
        <w:rPr>
          <w:spacing w:val="-6"/>
        </w:rPr>
        <w:t xml:space="preserve"> </w:t>
      </w:r>
      <w:r>
        <w:rPr>
          <w:spacing w:val="-2"/>
        </w:rPr>
        <w:t>la</w:t>
      </w:r>
      <w:r>
        <w:rPr>
          <w:spacing w:val="-6"/>
        </w:rPr>
        <w:t xml:space="preserve"> </w:t>
      </w:r>
      <w:r>
        <w:rPr>
          <w:spacing w:val="-2"/>
        </w:rPr>
        <w:t>desmovilización,</w:t>
      </w:r>
      <w:r>
        <w:rPr>
          <w:spacing w:val="-5"/>
        </w:rPr>
        <w:t xml:space="preserve"> </w:t>
      </w:r>
      <w:r>
        <w:rPr>
          <w:spacing w:val="-2"/>
        </w:rPr>
        <w:t>en</w:t>
      </w:r>
      <w:r>
        <w:rPr>
          <w:spacing w:val="-5"/>
        </w:rPr>
        <w:t xml:space="preserve"> </w:t>
      </w:r>
      <w:r>
        <w:rPr>
          <w:spacing w:val="-2"/>
        </w:rPr>
        <w:t>un</w:t>
      </w:r>
      <w:r>
        <w:rPr>
          <w:spacing w:val="-6"/>
        </w:rPr>
        <w:t xml:space="preserve"> </w:t>
      </w:r>
      <w:r>
        <w:rPr>
          <w:spacing w:val="-2"/>
        </w:rPr>
        <w:t xml:space="preserve">operativo </w:t>
      </w:r>
      <w:r>
        <w:t>que trató de implicar a funcionarios de la JEP, políticos que habían apoyado el proceso de paz y facilitado la negociación con las FARC-EP, y la agencia norteamericana de la DEA.</w:t>
      </w:r>
    </w:p>
    <w:p w:rsidR="003804AC" w:rsidRDefault="00AF18A5" w:rsidP="00B23B59">
      <w:r>
        <w:t>En el conflicto armado, que ahora no se despega del mundo de la droga y su secuencia ilícita, la extradición sigue cumpliendo su papel</w:t>
      </w:r>
      <w:r>
        <w:rPr>
          <w:spacing w:val="-1"/>
        </w:rPr>
        <w:t xml:space="preserve"> </w:t>
      </w:r>
      <w:r>
        <w:t>de ajuste. El</w:t>
      </w:r>
      <w:r>
        <w:rPr>
          <w:spacing w:val="-1"/>
        </w:rPr>
        <w:t xml:space="preserve"> </w:t>
      </w:r>
      <w:r>
        <w:t>último capítulo lo protagonizó Dairo</w:t>
      </w:r>
      <w:r>
        <w:rPr>
          <w:spacing w:val="-9"/>
        </w:rPr>
        <w:t xml:space="preserve"> </w:t>
      </w:r>
      <w:r>
        <w:t>Antonio</w:t>
      </w:r>
      <w:r>
        <w:rPr>
          <w:spacing w:val="-9"/>
        </w:rPr>
        <w:t xml:space="preserve"> </w:t>
      </w:r>
      <w:r>
        <w:t>Úsuga,</w:t>
      </w:r>
      <w:r>
        <w:rPr>
          <w:spacing w:val="-11"/>
        </w:rPr>
        <w:t xml:space="preserve"> </w:t>
      </w:r>
      <w:r>
        <w:t>alias</w:t>
      </w:r>
      <w:r>
        <w:rPr>
          <w:spacing w:val="-9"/>
        </w:rPr>
        <w:t xml:space="preserve"> </w:t>
      </w:r>
      <w:r>
        <w:t>Otoniel,</w:t>
      </w:r>
      <w:r>
        <w:rPr>
          <w:spacing w:val="-11"/>
        </w:rPr>
        <w:t xml:space="preserve"> </w:t>
      </w:r>
      <w:r>
        <w:t>máximo</w:t>
      </w:r>
      <w:r>
        <w:rPr>
          <w:spacing w:val="-9"/>
        </w:rPr>
        <w:t xml:space="preserve"> </w:t>
      </w:r>
      <w:r>
        <w:t>jefe</w:t>
      </w:r>
      <w:r>
        <w:rPr>
          <w:spacing w:val="-10"/>
        </w:rPr>
        <w:t xml:space="preserve"> </w:t>
      </w:r>
      <w:r>
        <w:t>de</w:t>
      </w:r>
      <w:r>
        <w:rPr>
          <w:spacing w:val="-10"/>
        </w:rPr>
        <w:t xml:space="preserve"> </w:t>
      </w:r>
      <w:r>
        <w:t>la</w:t>
      </w:r>
      <w:r>
        <w:rPr>
          <w:spacing w:val="-9"/>
        </w:rPr>
        <w:t xml:space="preserve"> </w:t>
      </w:r>
      <w:r>
        <w:t>organización</w:t>
      </w:r>
      <w:r>
        <w:rPr>
          <w:spacing w:val="-11"/>
        </w:rPr>
        <w:t xml:space="preserve"> </w:t>
      </w:r>
      <w:r>
        <w:t>narcotraficante</w:t>
      </w:r>
      <w:r>
        <w:rPr>
          <w:spacing w:val="-10"/>
        </w:rPr>
        <w:t xml:space="preserve"> </w:t>
      </w:r>
      <w:r>
        <w:t>del</w:t>
      </w:r>
      <w:r>
        <w:rPr>
          <w:spacing w:val="-9"/>
        </w:rPr>
        <w:t xml:space="preserve"> </w:t>
      </w:r>
      <w:r>
        <w:t xml:space="preserve">Clan del Golfo y hombre recorrido en el mundo de la guerrilla, el paramilitarismo y la mafia. Cuando empezaba a compartir secretos con la Justicia Especial de Paz y la Comisión de la Verdad, fue extraditado a Estados Unidos, donde únicamente se le requiere por causa del </w:t>
      </w:r>
      <w:r>
        <w:rPr>
          <w:spacing w:val="-2"/>
        </w:rPr>
        <w:t>narcotráfico.</w:t>
      </w:r>
    </w:p>
    <w:p w:rsidR="003804AC" w:rsidRDefault="00AF18A5" w:rsidP="00B23B59">
      <w:r>
        <w:t>Se argumenta que la cooperación judicial entre las dos naciones demuestra que la extradición</w:t>
      </w:r>
      <w:r>
        <w:rPr>
          <w:spacing w:val="-12"/>
        </w:rPr>
        <w:t xml:space="preserve"> </w:t>
      </w:r>
      <w:r>
        <w:t>es</w:t>
      </w:r>
      <w:r>
        <w:rPr>
          <w:spacing w:val="-11"/>
        </w:rPr>
        <w:t xml:space="preserve"> </w:t>
      </w:r>
      <w:r>
        <w:t>un</w:t>
      </w:r>
      <w:r>
        <w:rPr>
          <w:spacing w:val="-11"/>
        </w:rPr>
        <w:t xml:space="preserve"> </w:t>
      </w:r>
      <w:r>
        <w:t>mecanismo</w:t>
      </w:r>
      <w:r>
        <w:rPr>
          <w:spacing w:val="-11"/>
        </w:rPr>
        <w:t xml:space="preserve"> </w:t>
      </w:r>
      <w:r>
        <w:t>efectivo</w:t>
      </w:r>
      <w:r>
        <w:rPr>
          <w:spacing w:val="-11"/>
        </w:rPr>
        <w:t xml:space="preserve"> </w:t>
      </w:r>
      <w:r>
        <w:t>para</w:t>
      </w:r>
      <w:r>
        <w:rPr>
          <w:spacing w:val="-11"/>
        </w:rPr>
        <w:t xml:space="preserve"> </w:t>
      </w:r>
      <w:r>
        <w:t>ambas,</w:t>
      </w:r>
      <w:r>
        <w:rPr>
          <w:spacing w:val="-11"/>
        </w:rPr>
        <w:t xml:space="preserve"> </w:t>
      </w:r>
      <w:r>
        <w:t>pero</w:t>
      </w:r>
      <w:r>
        <w:rPr>
          <w:spacing w:val="-11"/>
        </w:rPr>
        <w:t xml:space="preserve"> </w:t>
      </w:r>
      <w:r>
        <w:t>la</w:t>
      </w:r>
      <w:r>
        <w:rPr>
          <w:spacing w:val="-11"/>
        </w:rPr>
        <w:t xml:space="preserve"> </w:t>
      </w:r>
      <w:r>
        <w:t>experiencia</w:t>
      </w:r>
      <w:r>
        <w:rPr>
          <w:spacing w:val="-11"/>
        </w:rPr>
        <w:t xml:space="preserve"> </w:t>
      </w:r>
      <w:r>
        <w:t>de</w:t>
      </w:r>
      <w:r>
        <w:rPr>
          <w:spacing w:val="-12"/>
        </w:rPr>
        <w:t xml:space="preserve"> </w:t>
      </w:r>
      <w:r>
        <w:t>los</w:t>
      </w:r>
      <w:r>
        <w:rPr>
          <w:spacing w:val="-11"/>
        </w:rPr>
        <w:t xml:space="preserve"> </w:t>
      </w:r>
      <w:r>
        <w:t>últimos</w:t>
      </w:r>
      <w:r>
        <w:rPr>
          <w:spacing w:val="-12"/>
        </w:rPr>
        <w:t xml:space="preserve"> </w:t>
      </w:r>
      <w:r>
        <w:t>tiempos demuestra la desigualdad procesal. A la justicia norteamericana le interesa resolver los dilemas de narcotráfico de los extraditados, pero no las cuentas pendientes de esos mismos procesados</w:t>
      </w:r>
      <w:r>
        <w:rPr>
          <w:spacing w:val="-2"/>
        </w:rPr>
        <w:t xml:space="preserve"> </w:t>
      </w:r>
      <w:r>
        <w:t>respecto</w:t>
      </w:r>
      <w:r>
        <w:rPr>
          <w:spacing w:val="-2"/>
        </w:rPr>
        <w:t xml:space="preserve"> </w:t>
      </w:r>
      <w:r>
        <w:t>a</w:t>
      </w:r>
      <w:r>
        <w:rPr>
          <w:spacing w:val="-2"/>
        </w:rPr>
        <w:t xml:space="preserve"> </w:t>
      </w:r>
      <w:r>
        <w:t>la</w:t>
      </w:r>
      <w:r>
        <w:rPr>
          <w:spacing w:val="-3"/>
        </w:rPr>
        <w:t xml:space="preserve"> </w:t>
      </w:r>
      <w:r>
        <w:t>violencia</w:t>
      </w:r>
      <w:r>
        <w:rPr>
          <w:spacing w:val="-2"/>
        </w:rPr>
        <w:t xml:space="preserve"> </w:t>
      </w:r>
      <w:r>
        <w:t>en</w:t>
      </w:r>
      <w:r>
        <w:rPr>
          <w:spacing w:val="-2"/>
        </w:rPr>
        <w:t xml:space="preserve"> </w:t>
      </w:r>
      <w:r>
        <w:t>Colombia.</w:t>
      </w:r>
      <w:r>
        <w:rPr>
          <w:spacing w:val="-2"/>
        </w:rPr>
        <w:t xml:space="preserve"> </w:t>
      </w:r>
      <w:r>
        <w:t>En</w:t>
      </w:r>
      <w:r>
        <w:rPr>
          <w:spacing w:val="-2"/>
        </w:rPr>
        <w:t xml:space="preserve"> </w:t>
      </w:r>
      <w:r>
        <w:t>el</w:t>
      </w:r>
      <w:r>
        <w:rPr>
          <w:spacing w:val="-2"/>
        </w:rPr>
        <w:t xml:space="preserve"> </w:t>
      </w:r>
      <w:r>
        <w:t>panorama</w:t>
      </w:r>
      <w:r>
        <w:rPr>
          <w:spacing w:val="-2"/>
        </w:rPr>
        <w:t xml:space="preserve"> </w:t>
      </w:r>
      <w:r>
        <w:t>de</w:t>
      </w:r>
      <w:r>
        <w:rPr>
          <w:spacing w:val="-2"/>
        </w:rPr>
        <w:t xml:space="preserve"> </w:t>
      </w:r>
      <w:r>
        <w:t>los</w:t>
      </w:r>
      <w:r>
        <w:rPr>
          <w:spacing w:val="-2"/>
        </w:rPr>
        <w:t xml:space="preserve"> </w:t>
      </w:r>
      <w:r>
        <w:t>derechos</w:t>
      </w:r>
      <w:r>
        <w:rPr>
          <w:spacing w:val="-2"/>
        </w:rPr>
        <w:t xml:space="preserve"> </w:t>
      </w:r>
      <w:r>
        <w:t>humanos</w:t>
      </w:r>
      <w:r>
        <w:rPr>
          <w:spacing w:val="-2"/>
        </w:rPr>
        <w:t xml:space="preserve"> </w:t>
      </w:r>
      <w:r>
        <w:t xml:space="preserve">y en una perspectiva de soberanía e </w:t>
      </w:r>
      <w:r>
        <w:lastRenderedPageBreak/>
        <w:t>independencia judicial, el dilema de la extradición debe ser revisado en un aspecto específico: la importancia de investigar y proporcionar la verdad a</w:t>
      </w:r>
      <w:r>
        <w:rPr>
          <w:spacing w:val="-3"/>
        </w:rPr>
        <w:t xml:space="preserve"> </w:t>
      </w:r>
      <w:r>
        <w:t>las</w:t>
      </w:r>
      <w:r>
        <w:rPr>
          <w:spacing w:val="-3"/>
        </w:rPr>
        <w:t xml:space="preserve"> </w:t>
      </w:r>
      <w:r>
        <w:t>víctimas</w:t>
      </w:r>
      <w:r>
        <w:rPr>
          <w:spacing w:val="-4"/>
        </w:rPr>
        <w:t xml:space="preserve"> </w:t>
      </w:r>
      <w:r>
        <w:t>antes</w:t>
      </w:r>
      <w:r>
        <w:rPr>
          <w:spacing w:val="-3"/>
        </w:rPr>
        <w:t xml:space="preserve"> </w:t>
      </w:r>
      <w:r>
        <w:t>de</w:t>
      </w:r>
      <w:r>
        <w:rPr>
          <w:spacing w:val="-3"/>
        </w:rPr>
        <w:t xml:space="preserve"> </w:t>
      </w:r>
      <w:r>
        <w:t>otras</w:t>
      </w:r>
      <w:r>
        <w:rPr>
          <w:spacing w:val="-3"/>
        </w:rPr>
        <w:t xml:space="preserve"> </w:t>
      </w:r>
      <w:r>
        <w:t>consideraciones</w:t>
      </w:r>
      <w:r>
        <w:rPr>
          <w:spacing w:val="-3"/>
        </w:rPr>
        <w:t xml:space="preserve"> </w:t>
      </w:r>
      <w:r>
        <w:t>y</w:t>
      </w:r>
      <w:r>
        <w:rPr>
          <w:spacing w:val="-4"/>
        </w:rPr>
        <w:t xml:space="preserve"> </w:t>
      </w:r>
      <w:r>
        <w:t>evitar</w:t>
      </w:r>
      <w:r>
        <w:rPr>
          <w:spacing w:val="-3"/>
        </w:rPr>
        <w:t xml:space="preserve"> </w:t>
      </w:r>
      <w:r>
        <w:t>que,</w:t>
      </w:r>
      <w:r>
        <w:rPr>
          <w:spacing w:val="-4"/>
        </w:rPr>
        <w:t xml:space="preserve"> </w:t>
      </w:r>
      <w:r>
        <w:t>como</w:t>
      </w:r>
      <w:r>
        <w:rPr>
          <w:spacing w:val="-4"/>
        </w:rPr>
        <w:t xml:space="preserve"> </w:t>
      </w:r>
      <w:r>
        <w:t>ha</w:t>
      </w:r>
      <w:r>
        <w:rPr>
          <w:spacing w:val="-3"/>
        </w:rPr>
        <w:t xml:space="preserve"> </w:t>
      </w:r>
      <w:r>
        <w:t>sucedido</w:t>
      </w:r>
      <w:r>
        <w:rPr>
          <w:spacing w:val="-4"/>
        </w:rPr>
        <w:t xml:space="preserve"> </w:t>
      </w:r>
      <w:r>
        <w:t>en</w:t>
      </w:r>
      <w:r>
        <w:rPr>
          <w:spacing w:val="-4"/>
        </w:rPr>
        <w:t xml:space="preserve"> </w:t>
      </w:r>
      <w:r>
        <w:t>el</w:t>
      </w:r>
      <w:r>
        <w:rPr>
          <w:spacing w:val="-3"/>
        </w:rPr>
        <w:t xml:space="preserve"> </w:t>
      </w:r>
      <w:r>
        <w:t>pasado,</w:t>
      </w:r>
      <w:r>
        <w:rPr>
          <w:spacing w:val="-4"/>
        </w:rPr>
        <w:t xml:space="preserve"> </w:t>
      </w:r>
      <w:r>
        <w:t>la extradición</w:t>
      </w:r>
      <w:r>
        <w:rPr>
          <w:spacing w:val="-8"/>
        </w:rPr>
        <w:t xml:space="preserve"> </w:t>
      </w:r>
      <w:r>
        <w:t>sea</w:t>
      </w:r>
      <w:r>
        <w:rPr>
          <w:spacing w:val="-7"/>
        </w:rPr>
        <w:t xml:space="preserve"> </w:t>
      </w:r>
      <w:r>
        <w:t>una</w:t>
      </w:r>
      <w:r>
        <w:rPr>
          <w:spacing w:val="-7"/>
        </w:rPr>
        <w:t xml:space="preserve"> </w:t>
      </w:r>
      <w:r>
        <w:t>forma</w:t>
      </w:r>
      <w:r>
        <w:rPr>
          <w:spacing w:val="-7"/>
        </w:rPr>
        <w:t xml:space="preserve"> </w:t>
      </w:r>
      <w:r>
        <w:t>de</w:t>
      </w:r>
      <w:r>
        <w:rPr>
          <w:spacing w:val="-7"/>
        </w:rPr>
        <w:t xml:space="preserve"> </w:t>
      </w:r>
      <w:r>
        <w:t>evitar</w:t>
      </w:r>
      <w:r>
        <w:rPr>
          <w:spacing w:val="-8"/>
        </w:rPr>
        <w:t xml:space="preserve"> </w:t>
      </w:r>
      <w:r>
        <w:t>tener</w:t>
      </w:r>
      <w:r>
        <w:rPr>
          <w:spacing w:val="-7"/>
        </w:rPr>
        <w:t xml:space="preserve"> </w:t>
      </w:r>
      <w:r>
        <w:t>en</w:t>
      </w:r>
      <w:r>
        <w:rPr>
          <w:spacing w:val="-7"/>
        </w:rPr>
        <w:t xml:space="preserve"> </w:t>
      </w:r>
      <w:r>
        <w:t>Colombia</w:t>
      </w:r>
      <w:r>
        <w:rPr>
          <w:spacing w:val="-7"/>
        </w:rPr>
        <w:t xml:space="preserve"> </w:t>
      </w:r>
      <w:r>
        <w:t>la</w:t>
      </w:r>
      <w:r>
        <w:rPr>
          <w:spacing w:val="-7"/>
        </w:rPr>
        <w:t xml:space="preserve"> </w:t>
      </w:r>
      <w:r>
        <w:t>verdad</w:t>
      </w:r>
      <w:r>
        <w:rPr>
          <w:spacing w:val="-7"/>
        </w:rPr>
        <w:t xml:space="preserve"> </w:t>
      </w:r>
      <w:r>
        <w:t>sobre</w:t>
      </w:r>
      <w:r>
        <w:rPr>
          <w:spacing w:val="-7"/>
        </w:rPr>
        <w:t xml:space="preserve"> </w:t>
      </w:r>
      <w:r>
        <w:t>los</w:t>
      </w:r>
      <w:r>
        <w:rPr>
          <w:spacing w:val="-7"/>
        </w:rPr>
        <w:t xml:space="preserve"> </w:t>
      </w:r>
      <w:r>
        <w:t>determinadores</w:t>
      </w:r>
      <w:r>
        <w:rPr>
          <w:spacing w:val="-8"/>
        </w:rPr>
        <w:t xml:space="preserve"> </w:t>
      </w:r>
      <w:r>
        <w:t>de muchos</w:t>
      </w:r>
      <w:r>
        <w:rPr>
          <w:spacing w:val="-10"/>
        </w:rPr>
        <w:t xml:space="preserve"> </w:t>
      </w:r>
      <w:r>
        <w:t>entramados</w:t>
      </w:r>
      <w:r>
        <w:rPr>
          <w:spacing w:val="-10"/>
        </w:rPr>
        <w:t xml:space="preserve"> </w:t>
      </w:r>
      <w:r>
        <w:t>de</w:t>
      </w:r>
      <w:r>
        <w:rPr>
          <w:spacing w:val="-11"/>
        </w:rPr>
        <w:t xml:space="preserve"> </w:t>
      </w:r>
      <w:r>
        <w:t>la</w:t>
      </w:r>
      <w:r>
        <w:rPr>
          <w:spacing w:val="-9"/>
        </w:rPr>
        <w:t xml:space="preserve"> </w:t>
      </w:r>
      <w:r>
        <w:t>violencia.</w:t>
      </w:r>
      <w:r>
        <w:rPr>
          <w:spacing w:val="-11"/>
        </w:rPr>
        <w:t xml:space="preserve"> </w:t>
      </w:r>
      <w:r>
        <w:t>Su</w:t>
      </w:r>
      <w:r>
        <w:rPr>
          <w:spacing w:val="-10"/>
        </w:rPr>
        <w:t xml:space="preserve"> </w:t>
      </w:r>
      <w:r>
        <w:t>utilidad</w:t>
      </w:r>
      <w:r>
        <w:rPr>
          <w:spacing w:val="-10"/>
        </w:rPr>
        <w:t xml:space="preserve"> </w:t>
      </w:r>
      <w:r>
        <w:t>judicial</w:t>
      </w:r>
      <w:r>
        <w:rPr>
          <w:spacing w:val="-9"/>
        </w:rPr>
        <w:t xml:space="preserve"> </w:t>
      </w:r>
      <w:r>
        <w:t>debe</w:t>
      </w:r>
      <w:r>
        <w:rPr>
          <w:spacing w:val="-11"/>
        </w:rPr>
        <w:t xml:space="preserve"> </w:t>
      </w:r>
      <w:r>
        <w:t>ser</w:t>
      </w:r>
      <w:r>
        <w:rPr>
          <w:spacing w:val="-9"/>
        </w:rPr>
        <w:t xml:space="preserve"> </w:t>
      </w:r>
      <w:r>
        <w:t>evaluada</w:t>
      </w:r>
      <w:r>
        <w:rPr>
          <w:spacing w:val="-11"/>
        </w:rPr>
        <w:t xml:space="preserve"> </w:t>
      </w:r>
      <w:r>
        <w:t>para</w:t>
      </w:r>
      <w:r>
        <w:rPr>
          <w:spacing w:val="-9"/>
        </w:rPr>
        <w:t xml:space="preserve"> </w:t>
      </w:r>
      <w:r>
        <w:t>evitar</w:t>
      </w:r>
      <w:r>
        <w:rPr>
          <w:spacing w:val="-10"/>
        </w:rPr>
        <w:t xml:space="preserve"> </w:t>
      </w:r>
      <w:r>
        <w:t>que</w:t>
      </w:r>
      <w:r>
        <w:rPr>
          <w:spacing w:val="-9"/>
        </w:rPr>
        <w:t xml:space="preserve"> </w:t>
      </w:r>
      <w:r>
        <w:t>sea un obstáculo para enfrentar el desafío de la impunidad.</w:t>
      </w:r>
    </w:p>
    <w:p w:rsidR="0011361F" w:rsidRDefault="00AF18A5" w:rsidP="004A6EF4">
      <w:pPr>
        <w:pStyle w:val="Ttulo3"/>
        <w:numPr>
          <w:ilvl w:val="1"/>
          <w:numId w:val="16"/>
        </w:numPr>
      </w:pPr>
      <w:bookmarkStart w:id="1182" w:name="8.15._Conclusiones"/>
      <w:bookmarkStart w:id="1183" w:name="_Toc112399640"/>
      <w:bookmarkEnd w:id="1182"/>
      <w:r w:rsidRPr="00B23B59">
        <w:t>Conclusiones</w:t>
      </w:r>
      <w:bookmarkEnd w:id="1183"/>
    </w:p>
    <w:p w:rsidR="003804AC" w:rsidRDefault="00AF18A5" w:rsidP="003024C1">
      <w:r>
        <w:t>La impunidad ha sido un mecanismo de persistencia desde el inicio del conflicto armado. Entre</w:t>
      </w:r>
      <w:r>
        <w:rPr>
          <w:spacing w:val="8"/>
        </w:rPr>
        <w:t xml:space="preserve"> </w:t>
      </w:r>
      <w:r>
        <w:t>1958</w:t>
      </w:r>
      <w:r>
        <w:rPr>
          <w:spacing w:val="7"/>
        </w:rPr>
        <w:t xml:space="preserve"> </w:t>
      </w:r>
      <w:r>
        <w:t>y</w:t>
      </w:r>
      <w:r>
        <w:rPr>
          <w:spacing w:val="9"/>
        </w:rPr>
        <w:t xml:space="preserve"> </w:t>
      </w:r>
      <w:r>
        <w:t>1987,</w:t>
      </w:r>
      <w:r>
        <w:rPr>
          <w:spacing w:val="9"/>
        </w:rPr>
        <w:t xml:space="preserve"> </w:t>
      </w:r>
      <w:r>
        <w:t>Colombia</w:t>
      </w:r>
      <w:r>
        <w:rPr>
          <w:spacing w:val="8"/>
        </w:rPr>
        <w:t xml:space="preserve"> </w:t>
      </w:r>
      <w:r>
        <w:t>vivió</w:t>
      </w:r>
      <w:r>
        <w:rPr>
          <w:spacing w:val="8"/>
        </w:rPr>
        <w:t xml:space="preserve"> </w:t>
      </w:r>
      <w:r>
        <w:t>una</w:t>
      </w:r>
      <w:r>
        <w:rPr>
          <w:spacing w:val="10"/>
        </w:rPr>
        <w:t xml:space="preserve"> </w:t>
      </w:r>
      <w:r>
        <w:t>constante</w:t>
      </w:r>
      <w:r>
        <w:rPr>
          <w:spacing w:val="11"/>
        </w:rPr>
        <w:t xml:space="preserve"> </w:t>
      </w:r>
      <w:r>
        <w:t>en</w:t>
      </w:r>
      <w:r>
        <w:rPr>
          <w:spacing w:val="8"/>
        </w:rPr>
        <w:t xml:space="preserve"> </w:t>
      </w:r>
      <w:r>
        <w:t>materia</w:t>
      </w:r>
      <w:r>
        <w:rPr>
          <w:spacing w:val="10"/>
        </w:rPr>
        <w:t xml:space="preserve"> </w:t>
      </w:r>
      <w:r>
        <w:t>de</w:t>
      </w:r>
      <w:r>
        <w:rPr>
          <w:spacing w:val="8"/>
        </w:rPr>
        <w:t xml:space="preserve"> </w:t>
      </w:r>
      <w:r>
        <w:t>justicia,</w:t>
      </w:r>
      <w:r>
        <w:rPr>
          <w:spacing w:val="8"/>
        </w:rPr>
        <w:t xml:space="preserve"> </w:t>
      </w:r>
      <w:r>
        <w:t>de</w:t>
      </w:r>
      <w:r>
        <w:rPr>
          <w:spacing w:val="10"/>
        </w:rPr>
        <w:t xml:space="preserve"> </w:t>
      </w:r>
      <w:r>
        <w:t>cara</w:t>
      </w:r>
      <w:r>
        <w:rPr>
          <w:spacing w:val="8"/>
        </w:rPr>
        <w:t xml:space="preserve"> </w:t>
      </w:r>
      <w:r>
        <w:t>a</w:t>
      </w:r>
      <w:r>
        <w:rPr>
          <w:spacing w:val="9"/>
        </w:rPr>
        <w:t xml:space="preserve"> </w:t>
      </w:r>
      <w:r>
        <w:rPr>
          <w:spacing w:val="-2"/>
        </w:rPr>
        <w:t>resolver</w:t>
      </w:r>
      <w:r w:rsidR="003024C1">
        <w:t xml:space="preserve"> </w:t>
      </w:r>
      <w:r>
        <w:t>los</w:t>
      </w:r>
      <w:r>
        <w:rPr>
          <w:spacing w:val="-7"/>
        </w:rPr>
        <w:t xml:space="preserve"> </w:t>
      </w:r>
      <w:r>
        <w:t>dilemas</w:t>
      </w:r>
      <w:r>
        <w:rPr>
          <w:spacing w:val="-8"/>
        </w:rPr>
        <w:t xml:space="preserve"> </w:t>
      </w:r>
      <w:r>
        <w:t>crecientes</w:t>
      </w:r>
      <w:r>
        <w:rPr>
          <w:spacing w:val="-7"/>
        </w:rPr>
        <w:t xml:space="preserve"> </w:t>
      </w:r>
      <w:r>
        <w:t>del</w:t>
      </w:r>
      <w:r>
        <w:rPr>
          <w:spacing w:val="-7"/>
        </w:rPr>
        <w:t xml:space="preserve"> </w:t>
      </w:r>
      <w:r>
        <w:t>orden</w:t>
      </w:r>
      <w:r>
        <w:rPr>
          <w:spacing w:val="-7"/>
        </w:rPr>
        <w:t xml:space="preserve"> </w:t>
      </w:r>
      <w:r>
        <w:t>público:</w:t>
      </w:r>
      <w:r>
        <w:rPr>
          <w:spacing w:val="-7"/>
        </w:rPr>
        <w:t xml:space="preserve"> </w:t>
      </w:r>
      <w:r>
        <w:t>la</w:t>
      </w:r>
      <w:r>
        <w:rPr>
          <w:spacing w:val="-7"/>
        </w:rPr>
        <w:t xml:space="preserve"> </w:t>
      </w:r>
      <w:r>
        <w:t>utilización</w:t>
      </w:r>
      <w:r>
        <w:rPr>
          <w:spacing w:val="-7"/>
        </w:rPr>
        <w:t xml:space="preserve"> </w:t>
      </w:r>
      <w:r>
        <w:t>de</w:t>
      </w:r>
      <w:r>
        <w:rPr>
          <w:spacing w:val="-7"/>
        </w:rPr>
        <w:t xml:space="preserve"> </w:t>
      </w:r>
      <w:r>
        <w:t>la</w:t>
      </w:r>
      <w:r>
        <w:rPr>
          <w:spacing w:val="-7"/>
        </w:rPr>
        <w:t xml:space="preserve"> </w:t>
      </w:r>
      <w:r>
        <w:t>justicia</w:t>
      </w:r>
      <w:r>
        <w:rPr>
          <w:spacing w:val="-7"/>
        </w:rPr>
        <w:t xml:space="preserve"> </w:t>
      </w:r>
      <w:r>
        <w:t>penal</w:t>
      </w:r>
      <w:r>
        <w:rPr>
          <w:spacing w:val="-8"/>
        </w:rPr>
        <w:t xml:space="preserve"> </w:t>
      </w:r>
      <w:r>
        <w:t>militar</w:t>
      </w:r>
      <w:r>
        <w:rPr>
          <w:spacing w:val="-7"/>
        </w:rPr>
        <w:t xml:space="preserve"> </w:t>
      </w:r>
      <w:r>
        <w:t>para</w:t>
      </w:r>
      <w:r>
        <w:rPr>
          <w:spacing w:val="-8"/>
        </w:rPr>
        <w:t xml:space="preserve"> </w:t>
      </w:r>
      <w:r>
        <w:t>juzgar civiles. Los Consejos Verbales de Guerra se volvieron el común denominador para dirimir las responsabilidades de la confrontación armada. Esta fue una forma de cooptación de la justicia</w:t>
      </w:r>
      <w:r>
        <w:rPr>
          <w:spacing w:val="-9"/>
        </w:rPr>
        <w:t xml:space="preserve"> </w:t>
      </w:r>
      <w:r>
        <w:t>en</w:t>
      </w:r>
      <w:r>
        <w:rPr>
          <w:spacing w:val="-8"/>
        </w:rPr>
        <w:t xml:space="preserve"> </w:t>
      </w:r>
      <w:r>
        <w:t>la</w:t>
      </w:r>
      <w:r>
        <w:rPr>
          <w:spacing w:val="-9"/>
        </w:rPr>
        <w:t xml:space="preserve"> </w:t>
      </w:r>
      <w:r>
        <w:t>línea</w:t>
      </w:r>
      <w:r>
        <w:rPr>
          <w:spacing w:val="-8"/>
        </w:rPr>
        <w:t xml:space="preserve"> </w:t>
      </w:r>
      <w:r>
        <w:t>de</w:t>
      </w:r>
      <w:r>
        <w:rPr>
          <w:spacing w:val="-9"/>
        </w:rPr>
        <w:t xml:space="preserve"> </w:t>
      </w:r>
      <w:r>
        <w:t>los</w:t>
      </w:r>
      <w:r>
        <w:rPr>
          <w:spacing w:val="-10"/>
        </w:rPr>
        <w:t xml:space="preserve"> </w:t>
      </w:r>
      <w:r>
        <w:t>intereses</w:t>
      </w:r>
      <w:r>
        <w:rPr>
          <w:spacing w:val="-9"/>
        </w:rPr>
        <w:t xml:space="preserve"> </w:t>
      </w:r>
      <w:r>
        <w:t>del</w:t>
      </w:r>
      <w:r>
        <w:rPr>
          <w:spacing w:val="-9"/>
        </w:rPr>
        <w:t xml:space="preserve"> </w:t>
      </w:r>
      <w:r>
        <w:t>Estado</w:t>
      </w:r>
      <w:r>
        <w:rPr>
          <w:spacing w:val="-8"/>
        </w:rPr>
        <w:t xml:space="preserve"> </w:t>
      </w:r>
      <w:r>
        <w:t>bipartidista</w:t>
      </w:r>
      <w:r>
        <w:rPr>
          <w:spacing w:val="-8"/>
        </w:rPr>
        <w:t xml:space="preserve"> </w:t>
      </w:r>
      <w:r>
        <w:t>y</w:t>
      </w:r>
      <w:r>
        <w:rPr>
          <w:spacing w:val="-8"/>
        </w:rPr>
        <w:t xml:space="preserve"> </w:t>
      </w:r>
      <w:r>
        <w:t>de</w:t>
      </w:r>
      <w:r>
        <w:rPr>
          <w:spacing w:val="-9"/>
        </w:rPr>
        <w:t xml:space="preserve"> </w:t>
      </w:r>
      <w:r>
        <w:t>las</w:t>
      </w:r>
      <w:r>
        <w:rPr>
          <w:spacing w:val="-8"/>
        </w:rPr>
        <w:t xml:space="preserve"> </w:t>
      </w:r>
      <w:r>
        <w:t>Fuerzas</w:t>
      </w:r>
      <w:r>
        <w:rPr>
          <w:spacing w:val="-9"/>
        </w:rPr>
        <w:t xml:space="preserve"> </w:t>
      </w:r>
      <w:r>
        <w:t>Armadas.</w:t>
      </w:r>
      <w:r>
        <w:rPr>
          <w:spacing w:val="-8"/>
        </w:rPr>
        <w:t xml:space="preserve"> </w:t>
      </w:r>
      <w:r>
        <w:t>El</w:t>
      </w:r>
      <w:r>
        <w:rPr>
          <w:spacing w:val="-9"/>
        </w:rPr>
        <w:t xml:space="preserve"> </w:t>
      </w:r>
      <w:r>
        <w:t>punto más alto de esta influencia castrense en el universo judicial se dio durante la aplicación del Estatuto de Seguridad expedido en el gobierno de Julio César Turbay. En ese momento, la tortura estuvo el centro del debate por los derechos humanos, y se dieron algunas de las primeras denuncias por desapariciones. En 1987, cuando la Corte Suprema de Justicia eliminó</w:t>
      </w:r>
      <w:r>
        <w:rPr>
          <w:spacing w:val="-15"/>
        </w:rPr>
        <w:t xml:space="preserve"> </w:t>
      </w:r>
      <w:r>
        <w:t>los</w:t>
      </w:r>
      <w:r>
        <w:rPr>
          <w:spacing w:val="-15"/>
        </w:rPr>
        <w:t xml:space="preserve"> </w:t>
      </w:r>
      <w:r>
        <w:t>juzgamientos</w:t>
      </w:r>
      <w:r>
        <w:rPr>
          <w:spacing w:val="-15"/>
        </w:rPr>
        <w:t xml:space="preserve"> </w:t>
      </w:r>
      <w:r>
        <w:t>de</w:t>
      </w:r>
      <w:r>
        <w:rPr>
          <w:spacing w:val="-15"/>
        </w:rPr>
        <w:t xml:space="preserve"> </w:t>
      </w:r>
      <w:r>
        <w:t>civiles</w:t>
      </w:r>
      <w:r>
        <w:rPr>
          <w:spacing w:val="-15"/>
        </w:rPr>
        <w:t xml:space="preserve"> </w:t>
      </w:r>
      <w:r>
        <w:t>a</w:t>
      </w:r>
      <w:r>
        <w:rPr>
          <w:spacing w:val="-15"/>
        </w:rPr>
        <w:t xml:space="preserve"> </w:t>
      </w:r>
      <w:r>
        <w:t>cargo</w:t>
      </w:r>
      <w:r>
        <w:rPr>
          <w:spacing w:val="-15"/>
        </w:rPr>
        <w:t xml:space="preserve"> </w:t>
      </w:r>
      <w:r>
        <w:t>de</w:t>
      </w:r>
      <w:r>
        <w:rPr>
          <w:spacing w:val="-15"/>
        </w:rPr>
        <w:t xml:space="preserve"> </w:t>
      </w:r>
      <w:r>
        <w:t>militares,</w:t>
      </w:r>
      <w:r>
        <w:rPr>
          <w:spacing w:val="-15"/>
        </w:rPr>
        <w:t xml:space="preserve"> </w:t>
      </w:r>
      <w:r>
        <w:t>el</w:t>
      </w:r>
      <w:r>
        <w:rPr>
          <w:spacing w:val="-14"/>
        </w:rPr>
        <w:t xml:space="preserve"> </w:t>
      </w:r>
      <w:r>
        <w:t>Gobierno</w:t>
      </w:r>
      <w:r>
        <w:rPr>
          <w:spacing w:val="-15"/>
        </w:rPr>
        <w:t xml:space="preserve"> </w:t>
      </w:r>
      <w:r>
        <w:t>volvió</w:t>
      </w:r>
      <w:r>
        <w:rPr>
          <w:spacing w:val="-14"/>
        </w:rPr>
        <w:t xml:space="preserve"> </w:t>
      </w:r>
      <w:r>
        <w:t>a</w:t>
      </w:r>
      <w:r>
        <w:rPr>
          <w:spacing w:val="-14"/>
        </w:rPr>
        <w:t xml:space="preserve"> </w:t>
      </w:r>
      <w:r>
        <w:t>apelar</w:t>
      </w:r>
      <w:r>
        <w:rPr>
          <w:spacing w:val="-15"/>
        </w:rPr>
        <w:t xml:space="preserve"> </w:t>
      </w:r>
      <w:r>
        <w:t>al</w:t>
      </w:r>
      <w:r>
        <w:rPr>
          <w:spacing w:val="-15"/>
        </w:rPr>
        <w:t xml:space="preserve"> </w:t>
      </w:r>
      <w:r>
        <w:t>Estado de</w:t>
      </w:r>
      <w:r>
        <w:rPr>
          <w:spacing w:val="-15"/>
        </w:rPr>
        <w:t xml:space="preserve"> </w:t>
      </w:r>
      <w:r>
        <w:t>Sitio</w:t>
      </w:r>
      <w:r>
        <w:rPr>
          <w:spacing w:val="-12"/>
        </w:rPr>
        <w:t xml:space="preserve"> </w:t>
      </w:r>
      <w:r>
        <w:t>para</w:t>
      </w:r>
      <w:r>
        <w:rPr>
          <w:spacing w:val="-13"/>
        </w:rPr>
        <w:t xml:space="preserve"> </w:t>
      </w:r>
      <w:r>
        <w:t>recomponer</w:t>
      </w:r>
      <w:r>
        <w:rPr>
          <w:spacing w:val="-13"/>
        </w:rPr>
        <w:t xml:space="preserve"> </w:t>
      </w:r>
      <w:r>
        <w:t>la</w:t>
      </w:r>
      <w:r>
        <w:rPr>
          <w:spacing w:val="-12"/>
        </w:rPr>
        <w:t xml:space="preserve"> </w:t>
      </w:r>
      <w:r>
        <w:t>fórmula</w:t>
      </w:r>
      <w:r>
        <w:rPr>
          <w:spacing w:val="-13"/>
        </w:rPr>
        <w:t xml:space="preserve"> </w:t>
      </w:r>
      <w:r>
        <w:t>y</w:t>
      </w:r>
      <w:r>
        <w:rPr>
          <w:spacing w:val="-13"/>
        </w:rPr>
        <w:t xml:space="preserve"> </w:t>
      </w:r>
      <w:r>
        <w:t>conservar</w:t>
      </w:r>
      <w:r>
        <w:rPr>
          <w:spacing w:val="-13"/>
        </w:rPr>
        <w:t xml:space="preserve"> </w:t>
      </w:r>
      <w:r>
        <w:t>la</w:t>
      </w:r>
      <w:r>
        <w:rPr>
          <w:spacing w:val="-13"/>
        </w:rPr>
        <w:t xml:space="preserve"> </w:t>
      </w:r>
      <w:r>
        <w:t>visión</w:t>
      </w:r>
      <w:r>
        <w:rPr>
          <w:spacing w:val="-13"/>
        </w:rPr>
        <w:t xml:space="preserve"> </w:t>
      </w:r>
      <w:r>
        <w:t>contrainsurgente</w:t>
      </w:r>
      <w:r>
        <w:rPr>
          <w:spacing w:val="-13"/>
        </w:rPr>
        <w:t xml:space="preserve"> </w:t>
      </w:r>
      <w:r>
        <w:t>del</w:t>
      </w:r>
      <w:r>
        <w:rPr>
          <w:spacing w:val="-12"/>
        </w:rPr>
        <w:t xml:space="preserve"> </w:t>
      </w:r>
      <w:r>
        <w:t>poder</w:t>
      </w:r>
      <w:r>
        <w:rPr>
          <w:spacing w:val="-12"/>
        </w:rPr>
        <w:t xml:space="preserve"> </w:t>
      </w:r>
      <w:r>
        <w:rPr>
          <w:spacing w:val="-2"/>
        </w:rPr>
        <w:t>judicial.</w:t>
      </w:r>
    </w:p>
    <w:p w:rsidR="003804AC" w:rsidRDefault="00AF18A5" w:rsidP="003024C1">
      <w:r>
        <w:t>La</w:t>
      </w:r>
      <w:r>
        <w:rPr>
          <w:spacing w:val="-9"/>
        </w:rPr>
        <w:t xml:space="preserve"> </w:t>
      </w:r>
      <w:r>
        <w:t>militarización</w:t>
      </w:r>
      <w:r>
        <w:rPr>
          <w:spacing w:val="-9"/>
        </w:rPr>
        <w:t xml:space="preserve"> </w:t>
      </w:r>
      <w:r>
        <w:t>de</w:t>
      </w:r>
      <w:r>
        <w:rPr>
          <w:spacing w:val="-9"/>
        </w:rPr>
        <w:t xml:space="preserve"> </w:t>
      </w:r>
      <w:r>
        <w:t>la</w:t>
      </w:r>
      <w:r>
        <w:rPr>
          <w:spacing w:val="-9"/>
        </w:rPr>
        <w:t xml:space="preserve"> </w:t>
      </w:r>
      <w:r>
        <w:t>justicia,</w:t>
      </w:r>
      <w:r>
        <w:rPr>
          <w:spacing w:val="-9"/>
        </w:rPr>
        <w:t xml:space="preserve"> </w:t>
      </w:r>
      <w:r>
        <w:t>en</w:t>
      </w:r>
      <w:r>
        <w:rPr>
          <w:spacing w:val="-9"/>
        </w:rPr>
        <w:t xml:space="preserve"> </w:t>
      </w:r>
      <w:r>
        <w:t>vez</w:t>
      </w:r>
      <w:r>
        <w:rPr>
          <w:spacing w:val="-9"/>
        </w:rPr>
        <w:t xml:space="preserve"> </w:t>
      </w:r>
      <w:r>
        <w:t>de</w:t>
      </w:r>
      <w:r>
        <w:rPr>
          <w:spacing w:val="-9"/>
        </w:rPr>
        <w:t xml:space="preserve"> </w:t>
      </w:r>
      <w:r>
        <w:t>contribuir</w:t>
      </w:r>
      <w:r>
        <w:rPr>
          <w:spacing w:val="-9"/>
        </w:rPr>
        <w:t xml:space="preserve"> </w:t>
      </w:r>
      <w:r>
        <w:t>a</w:t>
      </w:r>
      <w:r>
        <w:rPr>
          <w:spacing w:val="-9"/>
        </w:rPr>
        <w:t xml:space="preserve"> </w:t>
      </w:r>
      <w:r>
        <w:t>la</w:t>
      </w:r>
      <w:r>
        <w:rPr>
          <w:spacing w:val="-9"/>
        </w:rPr>
        <w:t xml:space="preserve"> </w:t>
      </w:r>
      <w:r>
        <w:t>lucha</w:t>
      </w:r>
      <w:r>
        <w:rPr>
          <w:spacing w:val="-10"/>
        </w:rPr>
        <w:t xml:space="preserve"> </w:t>
      </w:r>
      <w:r>
        <w:t>contra</w:t>
      </w:r>
      <w:r>
        <w:rPr>
          <w:spacing w:val="-10"/>
        </w:rPr>
        <w:t xml:space="preserve"> </w:t>
      </w:r>
      <w:r>
        <w:t>la</w:t>
      </w:r>
      <w:r>
        <w:rPr>
          <w:spacing w:val="-9"/>
        </w:rPr>
        <w:t xml:space="preserve"> </w:t>
      </w:r>
      <w:r>
        <w:t>impunidad,</w:t>
      </w:r>
      <w:r>
        <w:rPr>
          <w:spacing w:val="-9"/>
        </w:rPr>
        <w:t xml:space="preserve"> </w:t>
      </w:r>
      <w:r>
        <w:t xml:space="preserve">derivó en el desconocimiento del debido proceso. Un exjuez entrevistado por la Comisión de la Verdad lo ratificó: «La justicia penal </w:t>
      </w:r>
      <w:r>
        <w:lastRenderedPageBreak/>
        <w:t>militar siguió perseverando en su decisión de abarcar todos los procesos contra los que consideraba enemigos internos del Estado colombiano y, fuera</w:t>
      </w:r>
      <w:r>
        <w:rPr>
          <w:spacing w:val="-4"/>
        </w:rPr>
        <w:t xml:space="preserve"> </w:t>
      </w:r>
      <w:r>
        <w:t>de</w:t>
      </w:r>
      <w:r>
        <w:rPr>
          <w:spacing w:val="-4"/>
        </w:rPr>
        <w:t xml:space="preserve"> </w:t>
      </w:r>
      <w:r>
        <w:t>eso,</w:t>
      </w:r>
      <w:r>
        <w:rPr>
          <w:spacing w:val="-6"/>
        </w:rPr>
        <w:t xml:space="preserve"> </w:t>
      </w:r>
      <w:r>
        <w:t>utilizaba</w:t>
      </w:r>
      <w:r>
        <w:rPr>
          <w:spacing w:val="-4"/>
        </w:rPr>
        <w:t xml:space="preserve"> </w:t>
      </w:r>
      <w:r>
        <w:t>todos</w:t>
      </w:r>
      <w:r>
        <w:rPr>
          <w:spacing w:val="-5"/>
        </w:rPr>
        <w:t xml:space="preserve"> </w:t>
      </w:r>
      <w:r>
        <w:t>los</w:t>
      </w:r>
      <w:r>
        <w:rPr>
          <w:spacing w:val="-5"/>
        </w:rPr>
        <w:t xml:space="preserve"> </w:t>
      </w:r>
      <w:r>
        <w:t>expedientes,</w:t>
      </w:r>
      <w:r>
        <w:rPr>
          <w:spacing w:val="-5"/>
        </w:rPr>
        <w:t xml:space="preserve"> </w:t>
      </w:r>
      <w:r>
        <w:t>desde</w:t>
      </w:r>
      <w:r>
        <w:rPr>
          <w:spacing w:val="-4"/>
        </w:rPr>
        <w:t xml:space="preserve"> </w:t>
      </w:r>
      <w:r>
        <w:t>la</w:t>
      </w:r>
      <w:r>
        <w:rPr>
          <w:spacing w:val="-4"/>
        </w:rPr>
        <w:t xml:space="preserve"> </w:t>
      </w:r>
      <w:r>
        <w:t>presión</w:t>
      </w:r>
      <w:r>
        <w:rPr>
          <w:spacing w:val="-6"/>
        </w:rPr>
        <w:t xml:space="preserve"> </w:t>
      </w:r>
      <w:r>
        <w:t>a</w:t>
      </w:r>
      <w:r>
        <w:rPr>
          <w:spacing w:val="-4"/>
        </w:rPr>
        <w:t xml:space="preserve"> </w:t>
      </w:r>
      <w:r>
        <w:t>la</w:t>
      </w:r>
      <w:r>
        <w:rPr>
          <w:spacing w:val="-4"/>
        </w:rPr>
        <w:t xml:space="preserve"> </w:t>
      </w:r>
      <w:r>
        <w:t>Corte</w:t>
      </w:r>
      <w:r>
        <w:rPr>
          <w:spacing w:val="-4"/>
        </w:rPr>
        <w:t xml:space="preserve"> </w:t>
      </w:r>
      <w:r>
        <w:t>Suprema</w:t>
      </w:r>
      <w:r>
        <w:rPr>
          <w:spacing w:val="-4"/>
        </w:rPr>
        <w:t xml:space="preserve"> </w:t>
      </w:r>
      <w:r>
        <w:t>de</w:t>
      </w:r>
      <w:r>
        <w:rPr>
          <w:spacing w:val="-4"/>
        </w:rPr>
        <w:t xml:space="preserve"> </w:t>
      </w:r>
      <w:r>
        <w:t>Justicia hasta la presión a los gobiernos de turno»</w:t>
      </w:r>
      <w:r w:rsidR="003024C1">
        <w:rPr>
          <w:rStyle w:val="Refdenotaalpie"/>
        </w:rPr>
        <w:footnoteReference w:id="949"/>
      </w:r>
      <w:r>
        <w:t>.</w:t>
      </w:r>
    </w:p>
    <w:p w:rsidR="0011361F" w:rsidRDefault="00AF18A5" w:rsidP="003024C1">
      <w:r>
        <w:t>A pesar de que la Corte Suprema de Justicia dispuso en 1987 la prohibición del juzgamiento de civiles a cargo de militares, de todos modos, las medidas excepcionales se prolongaron para resolver los dilemas de la justicia. En 1988, nuevos pasos se dieron en lo que se llamó Estatuto para la Defensa de la Democracia de perfil antiterrorista. En 1990, tomó el nombre de Justicia sin Rostro. Ambos se expidieron para enfrentar focos de violencia,</w:t>
      </w:r>
      <w:r>
        <w:rPr>
          <w:spacing w:val="-11"/>
        </w:rPr>
        <w:t xml:space="preserve"> </w:t>
      </w:r>
      <w:r>
        <w:t>pero</w:t>
      </w:r>
      <w:r>
        <w:rPr>
          <w:spacing w:val="-11"/>
        </w:rPr>
        <w:t xml:space="preserve"> </w:t>
      </w:r>
      <w:r>
        <w:t>su</w:t>
      </w:r>
      <w:r>
        <w:rPr>
          <w:spacing w:val="-11"/>
        </w:rPr>
        <w:t xml:space="preserve"> </w:t>
      </w:r>
      <w:r>
        <w:t>aplicación</w:t>
      </w:r>
      <w:r>
        <w:rPr>
          <w:spacing w:val="-11"/>
        </w:rPr>
        <w:t xml:space="preserve"> </w:t>
      </w:r>
      <w:r>
        <w:t>tuvo</w:t>
      </w:r>
      <w:r>
        <w:rPr>
          <w:spacing w:val="-11"/>
        </w:rPr>
        <w:t xml:space="preserve"> </w:t>
      </w:r>
      <w:r>
        <w:t>una</w:t>
      </w:r>
      <w:r>
        <w:rPr>
          <w:spacing w:val="-11"/>
        </w:rPr>
        <w:t xml:space="preserve"> </w:t>
      </w:r>
      <w:r>
        <w:t>clara</w:t>
      </w:r>
      <w:r>
        <w:rPr>
          <w:spacing w:val="-11"/>
        </w:rPr>
        <w:t xml:space="preserve"> </w:t>
      </w:r>
      <w:r>
        <w:t>esencia</w:t>
      </w:r>
      <w:r>
        <w:rPr>
          <w:spacing w:val="-11"/>
        </w:rPr>
        <w:t xml:space="preserve"> </w:t>
      </w:r>
      <w:r>
        <w:t>contrainsurgente.</w:t>
      </w:r>
      <w:r>
        <w:rPr>
          <w:spacing w:val="-11"/>
        </w:rPr>
        <w:t xml:space="preserve"> </w:t>
      </w:r>
      <w:r>
        <w:t>A</w:t>
      </w:r>
      <w:r>
        <w:rPr>
          <w:spacing w:val="-11"/>
        </w:rPr>
        <w:t xml:space="preserve"> </w:t>
      </w:r>
      <w:r>
        <w:t>pesar</w:t>
      </w:r>
      <w:r>
        <w:rPr>
          <w:spacing w:val="-10"/>
        </w:rPr>
        <w:t xml:space="preserve"> </w:t>
      </w:r>
      <w:r>
        <w:t>de</w:t>
      </w:r>
      <w:r>
        <w:rPr>
          <w:spacing w:val="-11"/>
        </w:rPr>
        <w:t xml:space="preserve"> </w:t>
      </w:r>
      <w:r>
        <w:t>que,</w:t>
      </w:r>
      <w:r>
        <w:rPr>
          <w:spacing w:val="-11"/>
        </w:rPr>
        <w:t xml:space="preserve"> </w:t>
      </w:r>
      <w:r>
        <w:t>a</w:t>
      </w:r>
      <w:r>
        <w:rPr>
          <w:spacing w:val="-11"/>
        </w:rPr>
        <w:t xml:space="preserve"> </w:t>
      </w:r>
      <w:r>
        <w:t>partir de</w:t>
      </w:r>
      <w:r>
        <w:rPr>
          <w:spacing w:val="-10"/>
        </w:rPr>
        <w:t xml:space="preserve"> </w:t>
      </w:r>
      <w:r>
        <w:t>1991,</w:t>
      </w:r>
      <w:r>
        <w:rPr>
          <w:spacing w:val="-11"/>
        </w:rPr>
        <w:t xml:space="preserve"> </w:t>
      </w:r>
      <w:r>
        <w:t>la</w:t>
      </w:r>
      <w:r>
        <w:rPr>
          <w:spacing w:val="-10"/>
        </w:rPr>
        <w:t xml:space="preserve"> </w:t>
      </w:r>
      <w:r>
        <w:t>nueva</w:t>
      </w:r>
      <w:r>
        <w:rPr>
          <w:spacing w:val="-10"/>
        </w:rPr>
        <w:t xml:space="preserve"> </w:t>
      </w:r>
      <w:r>
        <w:t>constitución</w:t>
      </w:r>
      <w:r>
        <w:rPr>
          <w:spacing w:val="-11"/>
        </w:rPr>
        <w:t xml:space="preserve"> </w:t>
      </w:r>
      <w:r>
        <w:t>promovió</w:t>
      </w:r>
      <w:r>
        <w:rPr>
          <w:spacing w:val="-11"/>
        </w:rPr>
        <w:t xml:space="preserve"> </w:t>
      </w:r>
      <w:r>
        <w:t>el</w:t>
      </w:r>
      <w:r>
        <w:rPr>
          <w:spacing w:val="-10"/>
        </w:rPr>
        <w:t xml:space="preserve"> </w:t>
      </w:r>
      <w:r>
        <w:t>carácter</w:t>
      </w:r>
      <w:r>
        <w:rPr>
          <w:spacing w:val="-10"/>
        </w:rPr>
        <w:t xml:space="preserve"> </w:t>
      </w:r>
      <w:r>
        <w:t>garantista</w:t>
      </w:r>
      <w:r>
        <w:rPr>
          <w:spacing w:val="-10"/>
        </w:rPr>
        <w:t xml:space="preserve"> </w:t>
      </w:r>
      <w:r>
        <w:t>de</w:t>
      </w:r>
      <w:r>
        <w:rPr>
          <w:spacing w:val="-10"/>
        </w:rPr>
        <w:t xml:space="preserve"> </w:t>
      </w:r>
      <w:r>
        <w:t>las</w:t>
      </w:r>
      <w:r>
        <w:rPr>
          <w:spacing w:val="-10"/>
        </w:rPr>
        <w:t xml:space="preserve"> </w:t>
      </w:r>
      <w:r>
        <w:t>instituciones,</w:t>
      </w:r>
      <w:r>
        <w:rPr>
          <w:spacing w:val="-11"/>
        </w:rPr>
        <w:t xml:space="preserve"> </w:t>
      </w:r>
      <w:r>
        <w:t>la</w:t>
      </w:r>
      <w:r>
        <w:rPr>
          <w:spacing w:val="-10"/>
        </w:rPr>
        <w:t xml:space="preserve"> </w:t>
      </w:r>
      <w:r>
        <w:t>Justicia sin</w:t>
      </w:r>
      <w:r>
        <w:rPr>
          <w:spacing w:val="-9"/>
        </w:rPr>
        <w:t xml:space="preserve"> </w:t>
      </w:r>
      <w:r>
        <w:t>Rostro</w:t>
      </w:r>
      <w:r>
        <w:rPr>
          <w:spacing w:val="-9"/>
        </w:rPr>
        <w:t xml:space="preserve"> </w:t>
      </w:r>
      <w:r>
        <w:t>se</w:t>
      </w:r>
      <w:r>
        <w:rPr>
          <w:spacing w:val="-9"/>
        </w:rPr>
        <w:t xml:space="preserve"> </w:t>
      </w:r>
      <w:r>
        <w:t>mantuvo</w:t>
      </w:r>
      <w:r>
        <w:rPr>
          <w:spacing w:val="-9"/>
        </w:rPr>
        <w:t xml:space="preserve"> </w:t>
      </w:r>
      <w:r>
        <w:t>hasta</w:t>
      </w:r>
      <w:r>
        <w:rPr>
          <w:spacing w:val="-9"/>
        </w:rPr>
        <w:t xml:space="preserve"> </w:t>
      </w:r>
      <w:r>
        <w:t>el</w:t>
      </w:r>
      <w:r>
        <w:rPr>
          <w:spacing w:val="-9"/>
        </w:rPr>
        <w:t xml:space="preserve"> </w:t>
      </w:r>
      <w:r>
        <w:t>final</w:t>
      </w:r>
      <w:r>
        <w:rPr>
          <w:spacing w:val="-10"/>
        </w:rPr>
        <w:t xml:space="preserve"> </w:t>
      </w:r>
      <w:r>
        <w:t>de</w:t>
      </w:r>
      <w:r>
        <w:rPr>
          <w:spacing w:val="-9"/>
        </w:rPr>
        <w:t xml:space="preserve"> </w:t>
      </w:r>
      <w:r>
        <w:t>siglo</w:t>
      </w:r>
      <w:r>
        <w:rPr>
          <w:spacing w:val="-9"/>
        </w:rPr>
        <w:t xml:space="preserve"> </w:t>
      </w:r>
      <w:r>
        <w:t>y</w:t>
      </w:r>
      <w:r>
        <w:rPr>
          <w:spacing w:val="-9"/>
        </w:rPr>
        <w:t xml:space="preserve"> </w:t>
      </w:r>
      <w:r>
        <w:t>continuó</w:t>
      </w:r>
      <w:r>
        <w:rPr>
          <w:spacing w:val="-9"/>
        </w:rPr>
        <w:t xml:space="preserve"> </w:t>
      </w:r>
      <w:r>
        <w:t>en</w:t>
      </w:r>
      <w:r>
        <w:rPr>
          <w:spacing w:val="-9"/>
        </w:rPr>
        <w:t xml:space="preserve"> </w:t>
      </w:r>
      <w:r>
        <w:t>vigencia</w:t>
      </w:r>
      <w:r>
        <w:rPr>
          <w:spacing w:val="-9"/>
        </w:rPr>
        <w:t xml:space="preserve"> </w:t>
      </w:r>
      <w:r>
        <w:t>la</w:t>
      </w:r>
      <w:r>
        <w:rPr>
          <w:spacing w:val="-9"/>
        </w:rPr>
        <w:t xml:space="preserve"> </w:t>
      </w:r>
      <w:r>
        <w:t>excepcionalidad</w:t>
      </w:r>
      <w:r>
        <w:rPr>
          <w:spacing w:val="-9"/>
        </w:rPr>
        <w:t xml:space="preserve"> </w:t>
      </w:r>
      <w:r>
        <w:t>como el camino predilecto, ahora a través de la conmoción interior, sin que ello se tradujera en la ruptura definitiva del candado de las impunidades.</w:t>
      </w:r>
    </w:p>
    <w:p w:rsidR="003804AC" w:rsidRDefault="00AF18A5" w:rsidP="003024C1">
      <w:bookmarkStart w:id="1184" w:name="_bookmark1043"/>
      <w:bookmarkEnd w:id="1184"/>
      <w:r>
        <w:t>Estas formas excepcionales para el ejercicio de la justicia, especialmente en casos de violaciones a los derechos humanos, provocaron una dicotomía entre las garantías constitucionales y las leyes y prácticas para darle continuidad a la impunidad. Lo que se concluye es que el Estado en diferentes ocasiones ha dado blindaje judicial al sistema imperante</w:t>
      </w:r>
      <w:r>
        <w:rPr>
          <w:spacing w:val="-2"/>
        </w:rPr>
        <w:t xml:space="preserve"> </w:t>
      </w:r>
      <w:r>
        <w:t>y</w:t>
      </w:r>
      <w:r>
        <w:rPr>
          <w:spacing w:val="-2"/>
        </w:rPr>
        <w:t xml:space="preserve"> </w:t>
      </w:r>
      <w:r>
        <w:t>poderes</w:t>
      </w:r>
      <w:r>
        <w:rPr>
          <w:spacing w:val="-2"/>
        </w:rPr>
        <w:t xml:space="preserve"> </w:t>
      </w:r>
      <w:r>
        <w:t>militares,</w:t>
      </w:r>
      <w:r>
        <w:rPr>
          <w:spacing w:val="-2"/>
        </w:rPr>
        <w:t xml:space="preserve"> </w:t>
      </w:r>
      <w:r>
        <w:t>económicos</w:t>
      </w:r>
      <w:r>
        <w:rPr>
          <w:spacing w:val="-2"/>
        </w:rPr>
        <w:t xml:space="preserve"> </w:t>
      </w:r>
      <w:r>
        <w:t>y</w:t>
      </w:r>
      <w:r>
        <w:rPr>
          <w:spacing w:val="-1"/>
        </w:rPr>
        <w:t xml:space="preserve"> </w:t>
      </w:r>
      <w:r>
        <w:t>políticos.</w:t>
      </w:r>
      <w:r>
        <w:rPr>
          <w:spacing w:val="-2"/>
        </w:rPr>
        <w:t xml:space="preserve"> </w:t>
      </w:r>
      <w:r>
        <w:t>La</w:t>
      </w:r>
      <w:r>
        <w:rPr>
          <w:spacing w:val="-2"/>
        </w:rPr>
        <w:t xml:space="preserve"> </w:t>
      </w:r>
      <w:r>
        <w:t>continuidad</w:t>
      </w:r>
      <w:r>
        <w:rPr>
          <w:spacing w:val="-1"/>
        </w:rPr>
        <w:t xml:space="preserve"> </w:t>
      </w:r>
      <w:r>
        <w:t>de</w:t>
      </w:r>
      <w:r>
        <w:rPr>
          <w:spacing w:val="-2"/>
        </w:rPr>
        <w:t xml:space="preserve"> </w:t>
      </w:r>
      <w:r>
        <w:t>estos</w:t>
      </w:r>
      <w:r>
        <w:rPr>
          <w:spacing w:val="-2"/>
        </w:rPr>
        <w:t xml:space="preserve"> </w:t>
      </w:r>
      <w:r>
        <w:t>mecanismos excepcionales para el poder judicial constituye claramente un retroceso para el estado de derecho. Son interferencias al ejercicio del poder judicial, que no contribuyen a que en los territorios</w:t>
      </w:r>
      <w:r>
        <w:rPr>
          <w:spacing w:val="-7"/>
        </w:rPr>
        <w:t xml:space="preserve"> </w:t>
      </w:r>
      <w:r>
        <w:lastRenderedPageBreak/>
        <w:t>mejore</w:t>
      </w:r>
      <w:r>
        <w:rPr>
          <w:spacing w:val="-7"/>
        </w:rPr>
        <w:t xml:space="preserve"> </w:t>
      </w:r>
      <w:r>
        <w:t>el</w:t>
      </w:r>
      <w:r>
        <w:rPr>
          <w:spacing w:val="-7"/>
        </w:rPr>
        <w:t xml:space="preserve"> </w:t>
      </w:r>
      <w:r>
        <w:t>acceso</w:t>
      </w:r>
      <w:r>
        <w:rPr>
          <w:spacing w:val="-6"/>
        </w:rPr>
        <w:t xml:space="preserve"> </w:t>
      </w:r>
      <w:r>
        <w:t>de</w:t>
      </w:r>
      <w:r>
        <w:rPr>
          <w:spacing w:val="-6"/>
        </w:rPr>
        <w:t xml:space="preserve"> </w:t>
      </w:r>
      <w:r>
        <w:t>las</w:t>
      </w:r>
      <w:r>
        <w:rPr>
          <w:spacing w:val="-6"/>
        </w:rPr>
        <w:t xml:space="preserve"> </w:t>
      </w:r>
      <w:r>
        <w:t>comunidades</w:t>
      </w:r>
      <w:r>
        <w:rPr>
          <w:spacing w:val="-6"/>
        </w:rPr>
        <w:t xml:space="preserve"> </w:t>
      </w:r>
      <w:r>
        <w:t>a</w:t>
      </w:r>
      <w:r>
        <w:rPr>
          <w:spacing w:val="-7"/>
        </w:rPr>
        <w:t xml:space="preserve"> </w:t>
      </w:r>
      <w:r>
        <w:t>la</w:t>
      </w:r>
      <w:r>
        <w:rPr>
          <w:spacing w:val="-7"/>
        </w:rPr>
        <w:t xml:space="preserve"> </w:t>
      </w:r>
      <w:r>
        <w:t>justicia</w:t>
      </w:r>
      <w:r>
        <w:rPr>
          <w:spacing w:val="-6"/>
        </w:rPr>
        <w:t xml:space="preserve"> </w:t>
      </w:r>
      <w:r>
        <w:t>o</w:t>
      </w:r>
      <w:r>
        <w:rPr>
          <w:spacing w:val="-7"/>
        </w:rPr>
        <w:t xml:space="preserve"> </w:t>
      </w:r>
      <w:r>
        <w:t>las</w:t>
      </w:r>
      <w:r>
        <w:rPr>
          <w:spacing w:val="-6"/>
        </w:rPr>
        <w:t xml:space="preserve"> </w:t>
      </w:r>
      <w:r>
        <w:t>garantías</w:t>
      </w:r>
      <w:r>
        <w:rPr>
          <w:spacing w:val="-7"/>
        </w:rPr>
        <w:t xml:space="preserve"> </w:t>
      </w:r>
      <w:r>
        <w:t>a</w:t>
      </w:r>
      <w:r>
        <w:rPr>
          <w:spacing w:val="-6"/>
        </w:rPr>
        <w:t xml:space="preserve"> </w:t>
      </w:r>
      <w:r>
        <w:t>los</w:t>
      </w:r>
      <w:r>
        <w:rPr>
          <w:spacing w:val="-7"/>
        </w:rPr>
        <w:t xml:space="preserve"> </w:t>
      </w:r>
      <w:r>
        <w:t>funcionarios para avanzar en las investigaciones. Colombia vivió casi cuatro décadas en Estado de Sitio, con breves momentos de normalidad jurídica, lo que llevó a mayores grados de impunidad.</w:t>
      </w:r>
    </w:p>
    <w:p w:rsidR="003804AC" w:rsidRDefault="00AF18A5" w:rsidP="003024C1">
      <w:r>
        <w:t>En Colombia, la impunidad se ha mantenido a través de mecanismos de cooptación que, con el tiempo y a su manera, asumieron los grupos ilegales con objetivos no muy distintos. Desde la amenaza o el soborno y la corrupción, la justicia quedó inmersa en medio de las presiones</w:t>
      </w:r>
      <w:r>
        <w:rPr>
          <w:spacing w:val="-5"/>
        </w:rPr>
        <w:t xml:space="preserve"> </w:t>
      </w:r>
      <w:r>
        <w:t>del</w:t>
      </w:r>
      <w:r>
        <w:rPr>
          <w:spacing w:val="-4"/>
        </w:rPr>
        <w:t xml:space="preserve"> </w:t>
      </w:r>
      <w:r>
        <w:t>conflicto,</w:t>
      </w:r>
      <w:r>
        <w:rPr>
          <w:spacing w:val="-5"/>
        </w:rPr>
        <w:t xml:space="preserve"> </w:t>
      </w:r>
      <w:r>
        <w:t>con</w:t>
      </w:r>
      <w:r>
        <w:rPr>
          <w:spacing w:val="-5"/>
        </w:rPr>
        <w:t xml:space="preserve"> </w:t>
      </w:r>
      <w:r>
        <w:t>actores</w:t>
      </w:r>
      <w:r>
        <w:rPr>
          <w:spacing w:val="-5"/>
        </w:rPr>
        <w:t xml:space="preserve"> </w:t>
      </w:r>
      <w:r>
        <w:t>de</w:t>
      </w:r>
      <w:r>
        <w:rPr>
          <w:spacing w:val="-5"/>
        </w:rPr>
        <w:t xml:space="preserve"> </w:t>
      </w:r>
      <w:r>
        <w:t>la</w:t>
      </w:r>
      <w:r>
        <w:rPr>
          <w:spacing w:val="-5"/>
        </w:rPr>
        <w:t xml:space="preserve"> </w:t>
      </w:r>
      <w:r>
        <w:t>guerra</w:t>
      </w:r>
      <w:r>
        <w:rPr>
          <w:spacing w:val="-5"/>
        </w:rPr>
        <w:t xml:space="preserve"> </w:t>
      </w:r>
      <w:r>
        <w:t>borrando</w:t>
      </w:r>
      <w:r>
        <w:rPr>
          <w:spacing w:val="-6"/>
        </w:rPr>
        <w:t xml:space="preserve"> </w:t>
      </w:r>
      <w:r>
        <w:t>las</w:t>
      </w:r>
      <w:r>
        <w:rPr>
          <w:spacing w:val="-6"/>
        </w:rPr>
        <w:t xml:space="preserve"> </w:t>
      </w:r>
      <w:r>
        <w:t>huellas</w:t>
      </w:r>
      <w:r>
        <w:rPr>
          <w:spacing w:val="-5"/>
        </w:rPr>
        <w:t xml:space="preserve"> </w:t>
      </w:r>
      <w:r>
        <w:t>de</w:t>
      </w:r>
      <w:r>
        <w:rPr>
          <w:spacing w:val="-5"/>
        </w:rPr>
        <w:t xml:space="preserve"> </w:t>
      </w:r>
      <w:r>
        <w:t>sus</w:t>
      </w:r>
      <w:r>
        <w:rPr>
          <w:spacing w:val="-5"/>
        </w:rPr>
        <w:t xml:space="preserve"> </w:t>
      </w:r>
      <w:r>
        <w:t>violaciones</w:t>
      </w:r>
      <w:r>
        <w:rPr>
          <w:spacing w:val="-5"/>
        </w:rPr>
        <w:t xml:space="preserve"> </w:t>
      </w:r>
      <w:r>
        <w:t>a</w:t>
      </w:r>
      <w:r>
        <w:rPr>
          <w:spacing w:val="-5"/>
        </w:rPr>
        <w:t xml:space="preserve"> </w:t>
      </w:r>
      <w:r>
        <w:t>los derechos humanos. Estos mecanismos de cooptación fueron agravados por conductas irregulares desplegadas por los servicios de inteligencia. No es una coincidencia que, a lo largo del conflicto armado, haya sido necesario para el Estado desmantelar unidades de inteligencia envueltas en graves violaciones a los derechos humanos. En 1960, cuando aumentaban los señalamientos en contra del Servicio de Inteligencia Colombiano (SIC) por hechos</w:t>
      </w:r>
      <w:r>
        <w:rPr>
          <w:spacing w:val="-7"/>
        </w:rPr>
        <w:t xml:space="preserve"> </w:t>
      </w:r>
      <w:r>
        <w:t>delictivos</w:t>
      </w:r>
      <w:r>
        <w:rPr>
          <w:spacing w:val="-7"/>
        </w:rPr>
        <w:t xml:space="preserve"> </w:t>
      </w:r>
      <w:r>
        <w:t>perpetrados</w:t>
      </w:r>
      <w:r>
        <w:rPr>
          <w:spacing w:val="-7"/>
        </w:rPr>
        <w:t xml:space="preserve"> </w:t>
      </w:r>
      <w:r>
        <w:t>por</w:t>
      </w:r>
      <w:r>
        <w:rPr>
          <w:spacing w:val="-7"/>
        </w:rPr>
        <w:t xml:space="preserve"> </w:t>
      </w:r>
      <w:r>
        <w:t>sus</w:t>
      </w:r>
      <w:r>
        <w:rPr>
          <w:spacing w:val="-8"/>
        </w:rPr>
        <w:t xml:space="preserve"> </w:t>
      </w:r>
      <w:r>
        <w:t>agentes,</w:t>
      </w:r>
      <w:r>
        <w:rPr>
          <w:spacing w:val="-7"/>
        </w:rPr>
        <w:t xml:space="preserve"> </w:t>
      </w:r>
      <w:r>
        <w:t>el</w:t>
      </w:r>
      <w:r>
        <w:rPr>
          <w:spacing w:val="-9"/>
        </w:rPr>
        <w:t xml:space="preserve"> </w:t>
      </w:r>
      <w:r>
        <w:t>gobierno</w:t>
      </w:r>
      <w:r>
        <w:rPr>
          <w:spacing w:val="-7"/>
        </w:rPr>
        <w:t xml:space="preserve"> </w:t>
      </w:r>
      <w:r>
        <w:t>ordenó</w:t>
      </w:r>
      <w:r>
        <w:rPr>
          <w:spacing w:val="-7"/>
        </w:rPr>
        <w:t xml:space="preserve"> </w:t>
      </w:r>
      <w:r>
        <w:t>su</w:t>
      </w:r>
      <w:r>
        <w:rPr>
          <w:spacing w:val="-7"/>
        </w:rPr>
        <w:t xml:space="preserve"> </w:t>
      </w:r>
      <w:r>
        <w:t>desmantelamiento</w:t>
      </w:r>
      <w:r>
        <w:rPr>
          <w:spacing w:val="-7"/>
        </w:rPr>
        <w:t xml:space="preserve"> </w:t>
      </w:r>
      <w:r>
        <w:t>y</w:t>
      </w:r>
      <w:r>
        <w:rPr>
          <w:spacing w:val="-7"/>
        </w:rPr>
        <w:t xml:space="preserve"> </w:t>
      </w:r>
      <w:r>
        <w:t>así nació</w:t>
      </w:r>
      <w:r>
        <w:rPr>
          <w:spacing w:val="-15"/>
        </w:rPr>
        <w:t xml:space="preserve"> </w:t>
      </w:r>
      <w:r>
        <w:t>el</w:t>
      </w:r>
      <w:r>
        <w:rPr>
          <w:spacing w:val="-15"/>
        </w:rPr>
        <w:t xml:space="preserve"> </w:t>
      </w:r>
      <w:r>
        <w:t>DAS.</w:t>
      </w:r>
      <w:r>
        <w:rPr>
          <w:spacing w:val="-15"/>
        </w:rPr>
        <w:t xml:space="preserve"> </w:t>
      </w:r>
      <w:r>
        <w:t>Las</w:t>
      </w:r>
      <w:r>
        <w:rPr>
          <w:spacing w:val="-15"/>
        </w:rPr>
        <w:t xml:space="preserve"> </w:t>
      </w:r>
      <w:r>
        <w:t>conductas</w:t>
      </w:r>
      <w:r>
        <w:rPr>
          <w:spacing w:val="-15"/>
        </w:rPr>
        <w:t xml:space="preserve"> </w:t>
      </w:r>
      <w:r>
        <w:t>arbitrarias</w:t>
      </w:r>
      <w:r>
        <w:rPr>
          <w:spacing w:val="-15"/>
        </w:rPr>
        <w:t xml:space="preserve"> </w:t>
      </w:r>
      <w:r>
        <w:t>del</w:t>
      </w:r>
      <w:r>
        <w:rPr>
          <w:spacing w:val="-15"/>
        </w:rPr>
        <w:t xml:space="preserve"> </w:t>
      </w:r>
      <w:r>
        <w:t>SIC</w:t>
      </w:r>
      <w:r>
        <w:rPr>
          <w:spacing w:val="-15"/>
        </w:rPr>
        <w:t xml:space="preserve"> </w:t>
      </w:r>
      <w:r>
        <w:t>durante</w:t>
      </w:r>
      <w:r>
        <w:rPr>
          <w:spacing w:val="-15"/>
        </w:rPr>
        <w:t xml:space="preserve"> </w:t>
      </w:r>
      <w:r>
        <w:t>la</w:t>
      </w:r>
      <w:r>
        <w:rPr>
          <w:spacing w:val="-15"/>
        </w:rPr>
        <w:t xml:space="preserve"> </w:t>
      </w:r>
      <w:r>
        <w:t>dictadura</w:t>
      </w:r>
      <w:r>
        <w:rPr>
          <w:spacing w:val="-15"/>
        </w:rPr>
        <w:t xml:space="preserve"> </w:t>
      </w:r>
      <w:r>
        <w:t>militar</w:t>
      </w:r>
      <w:r>
        <w:rPr>
          <w:spacing w:val="-15"/>
        </w:rPr>
        <w:t xml:space="preserve"> </w:t>
      </w:r>
      <w:r>
        <w:t>de</w:t>
      </w:r>
      <w:r>
        <w:rPr>
          <w:spacing w:val="-15"/>
        </w:rPr>
        <w:t xml:space="preserve"> </w:t>
      </w:r>
      <w:r>
        <w:t>Gustavo</w:t>
      </w:r>
      <w:r>
        <w:rPr>
          <w:spacing w:val="-15"/>
        </w:rPr>
        <w:t xml:space="preserve"> </w:t>
      </w:r>
      <w:r>
        <w:t>Rojas Pinilla, entre 1953 y 1957, quedaron en la impunidad. No fue muy distinto a lo que sucedió después con el propio DAS, desmantelado en 2011, después de protagonizar graves hechos de espionaje, interceptación ilegal de comunicaciones y asedio al poder judicial durante el gobierno de Álvaro Uribe.</w:t>
      </w:r>
    </w:p>
    <w:p w:rsidR="003804AC" w:rsidRDefault="00AF18A5" w:rsidP="003024C1">
      <w:r>
        <w:t>En</w:t>
      </w:r>
      <w:r>
        <w:rPr>
          <w:spacing w:val="-2"/>
        </w:rPr>
        <w:t xml:space="preserve"> </w:t>
      </w:r>
      <w:r>
        <w:t>1998,</w:t>
      </w:r>
      <w:r>
        <w:rPr>
          <w:spacing w:val="-2"/>
        </w:rPr>
        <w:t xml:space="preserve"> </w:t>
      </w:r>
      <w:r>
        <w:t>a</w:t>
      </w:r>
      <w:r>
        <w:rPr>
          <w:spacing w:val="-3"/>
        </w:rPr>
        <w:t xml:space="preserve"> </w:t>
      </w:r>
      <w:r>
        <w:t>finales</w:t>
      </w:r>
      <w:r>
        <w:rPr>
          <w:spacing w:val="-2"/>
        </w:rPr>
        <w:t xml:space="preserve"> </w:t>
      </w:r>
      <w:r>
        <w:t>del</w:t>
      </w:r>
      <w:r>
        <w:rPr>
          <w:spacing w:val="-2"/>
        </w:rPr>
        <w:t xml:space="preserve"> </w:t>
      </w:r>
      <w:r>
        <w:t>gobierno</w:t>
      </w:r>
      <w:r>
        <w:rPr>
          <w:spacing w:val="-3"/>
        </w:rPr>
        <w:t xml:space="preserve"> </w:t>
      </w:r>
      <w:r>
        <w:t>de</w:t>
      </w:r>
      <w:r>
        <w:rPr>
          <w:spacing w:val="-2"/>
        </w:rPr>
        <w:t xml:space="preserve"> </w:t>
      </w:r>
      <w:r>
        <w:t>Ernesto</w:t>
      </w:r>
      <w:r>
        <w:rPr>
          <w:spacing w:val="-2"/>
        </w:rPr>
        <w:t xml:space="preserve"> </w:t>
      </w:r>
      <w:r>
        <w:t>Samper,</w:t>
      </w:r>
      <w:r>
        <w:rPr>
          <w:spacing w:val="-2"/>
        </w:rPr>
        <w:t xml:space="preserve"> </w:t>
      </w:r>
      <w:r>
        <w:t>hubo</w:t>
      </w:r>
      <w:r>
        <w:rPr>
          <w:spacing w:val="-2"/>
        </w:rPr>
        <w:t xml:space="preserve"> </w:t>
      </w:r>
      <w:r>
        <w:t>otra</w:t>
      </w:r>
      <w:r>
        <w:rPr>
          <w:spacing w:val="-4"/>
        </w:rPr>
        <w:t xml:space="preserve"> </w:t>
      </w:r>
      <w:r>
        <w:t>situación</w:t>
      </w:r>
      <w:r>
        <w:rPr>
          <w:spacing w:val="-4"/>
        </w:rPr>
        <w:t xml:space="preserve"> </w:t>
      </w:r>
      <w:r>
        <w:t>similar</w:t>
      </w:r>
      <w:r>
        <w:rPr>
          <w:spacing w:val="-3"/>
        </w:rPr>
        <w:t xml:space="preserve"> </w:t>
      </w:r>
      <w:r>
        <w:t>cuando</w:t>
      </w:r>
      <w:r>
        <w:rPr>
          <w:spacing w:val="-2"/>
        </w:rPr>
        <w:t xml:space="preserve"> </w:t>
      </w:r>
      <w:r>
        <w:t>el ejecutivo ordenó desmantelar la Brigada XX de Inteligencia Militar. Aunque las organizaciones</w:t>
      </w:r>
      <w:r>
        <w:rPr>
          <w:spacing w:val="-15"/>
        </w:rPr>
        <w:t xml:space="preserve"> </w:t>
      </w:r>
      <w:r>
        <w:t>de</w:t>
      </w:r>
      <w:r>
        <w:rPr>
          <w:spacing w:val="-15"/>
        </w:rPr>
        <w:t xml:space="preserve"> </w:t>
      </w:r>
      <w:r>
        <w:t>derechos</w:t>
      </w:r>
      <w:r>
        <w:rPr>
          <w:spacing w:val="-15"/>
        </w:rPr>
        <w:t xml:space="preserve"> </w:t>
      </w:r>
      <w:r>
        <w:t>humanos</w:t>
      </w:r>
      <w:r>
        <w:rPr>
          <w:spacing w:val="-15"/>
        </w:rPr>
        <w:t xml:space="preserve"> </w:t>
      </w:r>
      <w:r>
        <w:t>habían</w:t>
      </w:r>
      <w:r>
        <w:rPr>
          <w:spacing w:val="-15"/>
        </w:rPr>
        <w:t xml:space="preserve"> </w:t>
      </w:r>
      <w:r>
        <w:t>advertido</w:t>
      </w:r>
      <w:r>
        <w:rPr>
          <w:spacing w:val="-15"/>
        </w:rPr>
        <w:t xml:space="preserve"> </w:t>
      </w:r>
      <w:r>
        <w:t>que</w:t>
      </w:r>
      <w:r>
        <w:rPr>
          <w:spacing w:val="-15"/>
        </w:rPr>
        <w:t xml:space="preserve"> </w:t>
      </w:r>
      <w:r>
        <w:t>esta</w:t>
      </w:r>
      <w:r>
        <w:rPr>
          <w:spacing w:val="-15"/>
        </w:rPr>
        <w:t xml:space="preserve"> </w:t>
      </w:r>
      <w:r>
        <w:t>unidad</w:t>
      </w:r>
      <w:r>
        <w:rPr>
          <w:spacing w:val="-15"/>
        </w:rPr>
        <w:t xml:space="preserve"> </w:t>
      </w:r>
      <w:r>
        <w:t>militar</w:t>
      </w:r>
      <w:r>
        <w:rPr>
          <w:spacing w:val="-15"/>
        </w:rPr>
        <w:t xml:space="preserve"> </w:t>
      </w:r>
      <w:r>
        <w:t>estaba</w:t>
      </w:r>
      <w:r>
        <w:rPr>
          <w:spacing w:val="-15"/>
        </w:rPr>
        <w:t xml:space="preserve"> </w:t>
      </w:r>
      <w:r>
        <w:t>inmersa en</w:t>
      </w:r>
      <w:r>
        <w:rPr>
          <w:spacing w:val="19"/>
        </w:rPr>
        <w:t xml:space="preserve"> </w:t>
      </w:r>
      <w:r>
        <w:t>graves</w:t>
      </w:r>
      <w:r>
        <w:rPr>
          <w:spacing w:val="23"/>
        </w:rPr>
        <w:t xml:space="preserve"> </w:t>
      </w:r>
      <w:r>
        <w:t>hechos,</w:t>
      </w:r>
      <w:r>
        <w:rPr>
          <w:spacing w:val="21"/>
        </w:rPr>
        <w:t xml:space="preserve"> </w:t>
      </w:r>
      <w:r>
        <w:t>fue</w:t>
      </w:r>
      <w:r>
        <w:rPr>
          <w:spacing w:val="23"/>
        </w:rPr>
        <w:t xml:space="preserve"> </w:t>
      </w:r>
      <w:r>
        <w:t>necesario</w:t>
      </w:r>
      <w:r>
        <w:rPr>
          <w:spacing w:val="22"/>
        </w:rPr>
        <w:t xml:space="preserve"> </w:t>
      </w:r>
      <w:r>
        <w:t>que</w:t>
      </w:r>
      <w:r>
        <w:rPr>
          <w:spacing w:val="20"/>
        </w:rPr>
        <w:t xml:space="preserve"> </w:t>
      </w:r>
      <w:r>
        <w:t>el</w:t>
      </w:r>
      <w:r>
        <w:rPr>
          <w:spacing w:val="23"/>
        </w:rPr>
        <w:t xml:space="preserve"> </w:t>
      </w:r>
      <w:r>
        <w:t>Departamento</w:t>
      </w:r>
      <w:r>
        <w:rPr>
          <w:spacing w:val="22"/>
        </w:rPr>
        <w:t xml:space="preserve"> </w:t>
      </w:r>
      <w:r>
        <w:t>de</w:t>
      </w:r>
      <w:r>
        <w:rPr>
          <w:spacing w:val="22"/>
        </w:rPr>
        <w:t xml:space="preserve"> </w:t>
      </w:r>
      <w:r>
        <w:t>Estado</w:t>
      </w:r>
      <w:r>
        <w:rPr>
          <w:spacing w:val="22"/>
        </w:rPr>
        <w:t xml:space="preserve"> </w:t>
      </w:r>
      <w:r>
        <w:t>de</w:t>
      </w:r>
      <w:r>
        <w:rPr>
          <w:spacing w:val="23"/>
        </w:rPr>
        <w:t xml:space="preserve"> </w:t>
      </w:r>
      <w:r>
        <w:t>los</w:t>
      </w:r>
      <w:r>
        <w:rPr>
          <w:spacing w:val="20"/>
        </w:rPr>
        <w:t xml:space="preserve"> </w:t>
      </w:r>
      <w:r>
        <w:t>Estados</w:t>
      </w:r>
      <w:r>
        <w:rPr>
          <w:spacing w:val="23"/>
        </w:rPr>
        <w:t xml:space="preserve"> </w:t>
      </w:r>
      <w:r>
        <w:lastRenderedPageBreak/>
        <w:t>Unidos</w:t>
      </w:r>
      <w:r>
        <w:rPr>
          <w:spacing w:val="23"/>
        </w:rPr>
        <w:t xml:space="preserve"> </w:t>
      </w:r>
      <w:r>
        <w:rPr>
          <w:spacing w:val="-5"/>
        </w:rPr>
        <w:t>la</w:t>
      </w:r>
    </w:p>
    <w:p w:rsidR="003804AC" w:rsidRDefault="00AF18A5" w:rsidP="003024C1">
      <w:r>
        <w:t>pusiera en tela de juicio para que el ejecutivo la suprimiera. Sin embargo, lo que no quedó claro</w:t>
      </w:r>
      <w:r>
        <w:rPr>
          <w:spacing w:val="-11"/>
        </w:rPr>
        <w:t xml:space="preserve"> </w:t>
      </w:r>
      <w:r>
        <w:t>en</w:t>
      </w:r>
      <w:r>
        <w:rPr>
          <w:spacing w:val="-12"/>
        </w:rPr>
        <w:t xml:space="preserve"> </w:t>
      </w:r>
      <w:r>
        <w:t>la</w:t>
      </w:r>
      <w:r>
        <w:rPr>
          <w:spacing w:val="-11"/>
        </w:rPr>
        <w:t xml:space="preserve"> </w:t>
      </w:r>
      <w:r>
        <w:t>depuración</w:t>
      </w:r>
      <w:r>
        <w:rPr>
          <w:spacing w:val="-11"/>
        </w:rPr>
        <w:t xml:space="preserve"> </w:t>
      </w:r>
      <w:r>
        <w:t>de</w:t>
      </w:r>
      <w:r>
        <w:rPr>
          <w:spacing w:val="-12"/>
        </w:rPr>
        <w:t xml:space="preserve"> </w:t>
      </w:r>
      <w:r>
        <w:t>los</w:t>
      </w:r>
      <w:r>
        <w:rPr>
          <w:spacing w:val="-11"/>
        </w:rPr>
        <w:t xml:space="preserve"> </w:t>
      </w:r>
      <w:r>
        <w:t>servicios</w:t>
      </w:r>
      <w:r>
        <w:rPr>
          <w:spacing w:val="-11"/>
        </w:rPr>
        <w:t xml:space="preserve"> </w:t>
      </w:r>
      <w:r>
        <w:t>de</w:t>
      </w:r>
      <w:r>
        <w:rPr>
          <w:spacing w:val="-11"/>
        </w:rPr>
        <w:t xml:space="preserve"> </w:t>
      </w:r>
      <w:r>
        <w:t>inteligencia</w:t>
      </w:r>
      <w:r>
        <w:rPr>
          <w:spacing w:val="-11"/>
        </w:rPr>
        <w:t xml:space="preserve"> </w:t>
      </w:r>
      <w:r>
        <w:t>fue</w:t>
      </w:r>
      <w:r>
        <w:rPr>
          <w:spacing w:val="-12"/>
        </w:rPr>
        <w:t xml:space="preserve"> </w:t>
      </w:r>
      <w:r>
        <w:t>la</w:t>
      </w:r>
      <w:r>
        <w:rPr>
          <w:spacing w:val="-11"/>
        </w:rPr>
        <w:t xml:space="preserve"> </w:t>
      </w:r>
      <w:r>
        <w:t>rendición</w:t>
      </w:r>
      <w:r>
        <w:rPr>
          <w:spacing w:val="-11"/>
        </w:rPr>
        <w:t xml:space="preserve"> </w:t>
      </w:r>
      <w:r>
        <w:t>de</w:t>
      </w:r>
      <w:r>
        <w:rPr>
          <w:spacing w:val="-11"/>
        </w:rPr>
        <w:t xml:space="preserve"> </w:t>
      </w:r>
      <w:r>
        <w:t>cuentas</w:t>
      </w:r>
      <w:r>
        <w:rPr>
          <w:spacing w:val="-11"/>
        </w:rPr>
        <w:t xml:space="preserve"> </w:t>
      </w:r>
      <w:r>
        <w:t>y</w:t>
      </w:r>
      <w:r>
        <w:rPr>
          <w:spacing w:val="-11"/>
        </w:rPr>
        <w:t xml:space="preserve"> </w:t>
      </w:r>
      <w:r>
        <w:t>la</w:t>
      </w:r>
      <w:r>
        <w:rPr>
          <w:spacing w:val="-12"/>
        </w:rPr>
        <w:t xml:space="preserve"> </w:t>
      </w:r>
      <w:r>
        <w:t>sanción a los</w:t>
      </w:r>
      <w:r>
        <w:rPr>
          <w:spacing w:val="-1"/>
        </w:rPr>
        <w:t xml:space="preserve"> </w:t>
      </w:r>
      <w:r>
        <w:t>máximos responsables de</w:t>
      </w:r>
      <w:r>
        <w:rPr>
          <w:spacing w:val="-1"/>
        </w:rPr>
        <w:t xml:space="preserve"> </w:t>
      </w:r>
      <w:r>
        <w:t>los</w:t>
      </w:r>
      <w:r>
        <w:rPr>
          <w:spacing w:val="-1"/>
        </w:rPr>
        <w:t xml:space="preserve"> </w:t>
      </w:r>
      <w:r>
        <w:t>comportamientos que</w:t>
      </w:r>
      <w:r>
        <w:rPr>
          <w:spacing w:val="-1"/>
        </w:rPr>
        <w:t xml:space="preserve"> </w:t>
      </w:r>
      <w:r>
        <w:t>llevaron a violaciones</w:t>
      </w:r>
      <w:r>
        <w:rPr>
          <w:spacing w:val="-1"/>
        </w:rPr>
        <w:t xml:space="preserve"> </w:t>
      </w:r>
      <w:r>
        <w:t>de derechos humanos. En esta materia, en los últimos tiempos, se han vuelto común los escándalos relacionados con estas conductas de servicios de inteligencia, casi siempre con blancos en opositores, pero al margen de la separación de cargos de algunos responsables de los señalamientos, no se advierten cambios institucionales significativos que conduzcan a la eliminación</w:t>
      </w:r>
      <w:r>
        <w:rPr>
          <w:spacing w:val="-6"/>
        </w:rPr>
        <w:t xml:space="preserve"> </w:t>
      </w:r>
      <w:r>
        <w:t>de</w:t>
      </w:r>
      <w:r>
        <w:rPr>
          <w:spacing w:val="-5"/>
        </w:rPr>
        <w:t xml:space="preserve"> </w:t>
      </w:r>
      <w:r>
        <w:t>prácticas</w:t>
      </w:r>
      <w:r>
        <w:rPr>
          <w:spacing w:val="-6"/>
        </w:rPr>
        <w:t xml:space="preserve"> </w:t>
      </w:r>
      <w:r>
        <w:t>incompatibles</w:t>
      </w:r>
      <w:r>
        <w:rPr>
          <w:spacing w:val="-5"/>
        </w:rPr>
        <w:t xml:space="preserve"> </w:t>
      </w:r>
      <w:r>
        <w:t>con</w:t>
      </w:r>
      <w:r>
        <w:rPr>
          <w:spacing w:val="-5"/>
        </w:rPr>
        <w:t xml:space="preserve"> </w:t>
      </w:r>
      <w:r>
        <w:t>un</w:t>
      </w:r>
      <w:r>
        <w:rPr>
          <w:spacing w:val="-5"/>
        </w:rPr>
        <w:t xml:space="preserve"> </w:t>
      </w:r>
      <w:r>
        <w:t>estado</w:t>
      </w:r>
      <w:r>
        <w:rPr>
          <w:spacing w:val="-5"/>
        </w:rPr>
        <w:t xml:space="preserve"> </w:t>
      </w:r>
      <w:r>
        <w:t>de</w:t>
      </w:r>
      <w:r>
        <w:rPr>
          <w:spacing w:val="-5"/>
        </w:rPr>
        <w:t xml:space="preserve"> </w:t>
      </w:r>
      <w:r>
        <w:t>derecho.</w:t>
      </w:r>
      <w:r>
        <w:rPr>
          <w:spacing w:val="-5"/>
        </w:rPr>
        <w:t xml:space="preserve"> </w:t>
      </w:r>
      <w:r>
        <w:t>En</w:t>
      </w:r>
      <w:r>
        <w:rPr>
          <w:spacing w:val="-5"/>
        </w:rPr>
        <w:t xml:space="preserve"> </w:t>
      </w:r>
      <w:r>
        <w:t>esa</w:t>
      </w:r>
      <w:r>
        <w:rPr>
          <w:spacing w:val="-6"/>
        </w:rPr>
        <w:t xml:space="preserve"> </w:t>
      </w:r>
      <w:r>
        <w:t>medida,</w:t>
      </w:r>
      <w:r>
        <w:rPr>
          <w:spacing w:val="-6"/>
        </w:rPr>
        <w:t xml:space="preserve"> </w:t>
      </w:r>
      <w:r>
        <w:t>el</w:t>
      </w:r>
      <w:r>
        <w:rPr>
          <w:spacing w:val="-4"/>
        </w:rPr>
        <w:t xml:space="preserve"> </w:t>
      </w:r>
      <w:r>
        <w:t>capítulo de los servicios de inteligencia militar, policial o civil representa un escenario inédito que exige verdades que contribuyan a fortalecer la justicia.</w:t>
      </w:r>
    </w:p>
    <w:p w:rsidR="003804AC" w:rsidRDefault="00AF18A5" w:rsidP="003024C1">
      <w:r>
        <w:t>A estos agravantes del panorama de la impunidad, se sumaron las acciones de violencia contra los jueces y magistrados, que ya se habían desatado desde los años 80, inicialmente por</w:t>
      </w:r>
      <w:r>
        <w:rPr>
          <w:spacing w:val="-4"/>
        </w:rPr>
        <w:t xml:space="preserve"> </w:t>
      </w:r>
      <w:r>
        <w:t>ataques</w:t>
      </w:r>
      <w:r>
        <w:rPr>
          <w:spacing w:val="-6"/>
        </w:rPr>
        <w:t xml:space="preserve"> </w:t>
      </w:r>
      <w:r>
        <w:t>de</w:t>
      </w:r>
      <w:r>
        <w:rPr>
          <w:spacing w:val="-5"/>
        </w:rPr>
        <w:t xml:space="preserve"> </w:t>
      </w:r>
      <w:r>
        <w:t>la</w:t>
      </w:r>
      <w:r>
        <w:rPr>
          <w:spacing w:val="-5"/>
        </w:rPr>
        <w:t xml:space="preserve"> </w:t>
      </w:r>
      <w:r>
        <w:t>guerrilla</w:t>
      </w:r>
      <w:r>
        <w:rPr>
          <w:spacing w:val="-5"/>
        </w:rPr>
        <w:t xml:space="preserve"> </w:t>
      </w:r>
      <w:r>
        <w:t>y</w:t>
      </w:r>
      <w:r>
        <w:rPr>
          <w:spacing w:val="-5"/>
        </w:rPr>
        <w:t xml:space="preserve"> </w:t>
      </w:r>
      <w:r>
        <w:t>del</w:t>
      </w:r>
      <w:r>
        <w:rPr>
          <w:spacing w:val="-4"/>
        </w:rPr>
        <w:t xml:space="preserve"> </w:t>
      </w:r>
      <w:r>
        <w:t>narcotráfico.</w:t>
      </w:r>
      <w:r>
        <w:rPr>
          <w:spacing w:val="-5"/>
        </w:rPr>
        <w:t xml:space="preserve"> </w:t>
      </w:r>
      <w:r>
        <w:t>En</w:t>
      </w:r>
      <w:r>
        <w:rPr>
          <w:spacing w:val="-6"/>
        </w:rPr>
        <w:t xml:space="preserve"> </w:t>
      </w:r>
      <w:r>
        <w:t>el</w:t>
      </w:r>
      <w:r>
        <w:rPr>
          <w:spacing w:val="-4"/>
        </w:rPr>
        <w:t xml:space="preserve"> </w:t>
      </w:r>
      <w:r>
        <w:t>caso</w:t>
      </w:r>
      <w:r>
        <w:rPr>
          <w:spacing w:val="-5"/>
        </w:rPr>
        <w:t xml:space="preserve"> </w:t>
      </w:r>
      <w:r>
        <w:t>de</w:t>
      </w:r>
      <w:r>
        <w:rPr>
          <w:spacing w:val="-5"/>
        </w:rPr>
        <w:t xml:space="preserve"> </w:t>
      </w:r>
      <w:r>
        <w:t>los</w:t>
      </w:r>
      <w:r>
        <w:rPr>
          <w:spacing w:val="-6"/>
        </w:rPr>
        <w:t xml:space="preserve"> </w:t>
      </w:r>
      <w:r>
        <w:t>carteles</w:t>
      </w:r>
      <w:r>
        <w:rPr>
          <w:spacing w:val="-5"/>
        </w:rPr>
        <w:t xml:space="preserve"> </w:t>
      </w:r>
      <w:r>
        <w:t>de</w:t>
      </w:r>
      <w:r>
        <w:rPr>
          <w:spacing w:val="-6"/>
        </w:rPr>
        <w:t xml:space="preserve"> </w:t>
      </w:r>
      <w:r>
        <w:t>la</w:t>
      </w:r>
      <w:r>
        <w:rPr>
          <w:spacing w:val="-5"/>
        </w:rPr>
        <w:t xml:space="preserve"> </w:t>
      </w:r>
      <w:r>
        <w:t>droga,</w:t>
      </w:r>
      <w:r>
        <w:rPr>
          <w:spacing w:val="-6"/>
        </w:rPr>
        <w:t xml:space="preserve"> </w:t>
      </w:r>
      <w:r>
        <w:t>convertir a la justicia en objetivo militar fue una prioridad. Esa arremetida marcó un momento de la historia de Colombia con el trasfondo de la disputa por la aplicación del tratado de extradición. Con el correr del tiempo y la entrada del narcotráfico a la contrainsurgencia, la arremetida contra el poder judicial dejó ver nuevas expresiones de violencia y vasos comunicantes de la criminalidad en la que se vieron implicados los poderes políticos, las Fuerzas</w:t>
      </w:r>
      <w:r>
        <w:rPr>
          <w:spacing w:val="-6"/>
        </w:rPr>
        <w:t xml:space="preserve"> </w:t>
      </w:r>
      <w:r>
        <w:t>Armadas</w:t>
      </w:r>
      <w:r>
        <w:rPr>
          <w:spacing w:val="-6"/>
        </w:rPr>
        <w:t xml:space="preserve"> </w:t>
      </w:r>
      <w:r>
        <w:t>y</w:t>
      </w:r>
      <w:r>
        <w:rPr>
          <w:spacing w:val="-6"/>
        </w:rPr>
        <w:t xml:space="preserve"> </w:t>
      </w:r>
      <w:r>
        <w:t>hasta</w:t>
      </w:r>
      <w:r>
        <w:rPr>
          <w:spacing w:val="-6"/>
        </w:rPr>
        <w:t xml:space="preserve"> </w:t>
      </w:r>
      <w:r>
        <w:t>el</w:t>
      </w:r>
      <w:r>
        <w:rPr>
          <w:spacing w:val="-6"/>
        </w:rPr>
        <w:t xml:space="preserve"> </w:t>
      </w:r>
      <w:r>
        <w:t>poder</w:t>
      </w:r>
      <w:r>
        <w:rPr>
          <w:spacing w:val="-6"/>
        </w:rPr>
        <w:t xml:space="preserve"> </w:t>
      </w:r>
      <w:r>
        <w:t>ejecutivo.</w:t>
      </w:r>
      <w:r>
        <w:rPr>
          <w:spacing w:val="-6"/>
        </w:rPr>
        <w:t xml:space="preserve"> </w:t>
      </w:r>
      <w:r>
        <w:t>La</w:t>
      </w:r>
      <w:r>
        <w:rPr>
          <w:spacing w:val="-6"/>
        </w:rPr>
        <w:t xml:space="preserve"> </w:t>
      </w:r>
      <w:r>
        <w:t>historia</w:t>
      </w:r>
      <w:r>
        <w:rPr>
          <w:spacing w:val="-6"/>
        </w:rPr>
        <w:t xml:space="preserve"> </w:t>
      </w:r>
      <w:r>
        <w:t>del</w:t>
      </w:r>
      <w:r>
        <w:rPr>
          <w:spacing w:val="-7"/>
        </w:rPr>
        <w:t xml:space="preserve"> </w:t>
      </w:r>
      <w:r>
        <w:t>MAS</w:t>
      </w:r>
      <w:r>
        <w:rPr>
          <w:spacing w:val="-6"/>
        </w:rPr>
        <w:t xml:space="preserve"> </w:t>
      </w:r>
      <w:r>
        <w:t>desde</w:t>
      </w:r>
      <w:r>
        <w:rPr>
          <w:spacing w:val="-5"/>
        </w:rPr>
        <w:t xml:space="preserve"> </w:t>
      </w:r>
      <w:r>
        <w:t>1981,</w:t>
      </w:r>
      <w:r>
        <w:rPr>
          <w:spacing w:val="-6"/>
        </w:rPr>
        <w:t xml:space="preserve"> </w:t>
      </w:r>
      <w:r>
        <w:t>con</w:t>
      </w:r>
      <w:r>
        <w:rPr>
          <w:spacing w:val="-6"/>
        </w:rPr>
        <w:t xml:space="preserve"> </w:t>
      </w:r>
      <w:r>
        <w:t>la</w:t>
      </w:r>
      <w:r>
        <w:rPr>
          <w:spacing w:val="-6"/>
        </w:rPr>
        <w:t xml:space="preserve"> </w:t>
      </w:r>
      <w:r>
        <w:t>entrada de la mafia como punta de lanza de la acción paramilitar, representa un ejemplo claro del deterioro</w:t>
      </w:r>
      <w:r>
        <w:rPr>
          <w:spacing w:val="-2"/>
        </w:rPr>
        <w:t xml:space="preserve"> </w:t>
      </w:r>
      <w:r>
        <w:t>del</w:t>
      </w:r>
      <w:r>
        <w:rPr>
          <w:spacing w:val="-3"/>
        </w:rPr>
        <w:t xml:space="preserve"> </w:t>
      </w:r>
      <w:r>
        <w:t>poder</w:t>
      </w:r>
      <w:r>
        <w:rPr>
          <w:spacing w:val="-2"/>
        </w:rPr>
        <w:t xml:space="preserve"> </w:t>
      </w:r>
      <w:r>
        <w:t>judicial</w:t>
      </w:r>
      <w:r>
        <w:rPr>
          <w:spacing w:val="-2"/>
        </w:rPr>
        <w:t xml:space="preserve"> </w:t>
      </w:r>
      <w:r>
        <w:t>y</w:t>
      </w:r>
      <w:r>
        <w:rPr>
          <w:spacing w:val="-2"/>
        </w:rPr>
        <w:t xml:space="preserve"> </w:t>
      </w:r>
      <w:r>
        <w:t>del</w:t>
      </w:r>
      <w:r>
        <w:rPr>
          <w:spacing w:val="-3"/>
        </w:rPr>
        <w:t xml:space="preserve"> </w:t>
      </w:r>
      <w:r>
        <w:t>ritmo</w:t>
      </w:r>
      <w:r>
        <w:rPr>
          <w:spacing w:val="-2"/>
        </w:rPr>
        <w:t xml:space="preserve"> </w:t>
      </w:r>
      <w:r>
        <w:t>del</w:t>
      </w:r>
      <w:r>
        <w:rPr>
          <w:spacing w:val="-2"/>
        </w:rPr>
        <w:t xml:space="preserve"> </w:t>
      </w:r>
      <w:r>
        <w:t>crecimiento</w:t>
      </w:r>
      <w:r>
        <w:rPr>
          <w:spacing w:val="-2"/>
        </w:rPr>
        <w:t xml:space="preserve"> </w:t>
      </w:r>
      <w:r>
        <w:t>de</w:t>
      </w:r>
      <w:r>
        <w:rPr>
          <w:spacing w:val="-3"/>
        </w:rPr>
        <w:t xml:space="preserve"> </w:t>
      </w:r>
      <w:r>
        <w:t>las</w:t>
      </w:r>
      <w:r>
        <w:rPr>
          <w:spacing w:val="-3"/>
        </w:rPr>
        <w:t xml:space="preserve"> </w:t>
      </w:r>
      <w:r>
        <w:t>organizaciones</w:t>
      </w:r>
      <w:r>
        <w:rPr>
          <w:spacing w:val="-2"/>
        </w:rPr>
        <w:t xml:space="preserve"> </w:t>
      </w:r>
      <w:r>
        <w:lastRenderedPageBreak/>
        <w:t>criminales.</w:t>
      </w:r>
      <w:r>
        <w:rPr>
          <w:spacing w:val="-2"/>
        </w:rPr>
        <w:t xml:space="preserve"> </w:t>
      </w:r>
      <w:r>
        <w:t>En medio de un conflicto armado en ascenso y con enormes precariedades en atención a las víctimas,</w:t>
      </w:r>
      <w:r>
        <w:rPr>
          <w:spacing w:val="-15"/>
        </w:rPr>
        <w:t xml:space="preserve"> </w:t>
      </w:r>
      <w:r>
        <w:t>los</w:t>
      </w:r>
      <w:r>
        <w:rPr>
          <w:spacing w:val="-15"/>
        </w:rPr>
        <w:t xml:space="preserve"> </w:t>
      </w:r>
      <w:r>
        <w:t>funcionarios</w:t>
      </w:r>
      <w:r>
        <w:rPr>
          <w:spacing w:val="-15"/>
        </w:rPr>
        <w:t xml:space="preserve"> </w:t>
      </w:r>
      <w:r>
        <w:t>judiciales</w:t>
      </w:r>
      <w:r>
        <w:rPr>
          <w:spacing w:val="-15"/>
        </w:rPr>
        <w:t xml:space="preserve"> </w:t>
      </w:r>
      <w:r>
        <w:t>continuaron</w:t>
      </w:r>
      <w:r>
        <w:rPr>
          <w:spacing w:val="-15"/>
        </w:rPr>
        <w:t xml:space="preserve"> </w:t>
      </w:r>
      <w:r>
        <w:t>en</w:t>
      </w:r>
      <w:r>
        <w:rPr>
          <w:spacing w:val="-15"/>
        </w:rPr>
        <w:t xml:space="preserve"> </w:t>
      </w:r>
      <w:r>
        <w:t>el</w:t>
      </w:r>
      <w:r>
        <w:rPr>
          <w:spacing w:val="-15"/>
        </w:rPr>
        <w:t xml:space="preserve"> </w:t>
      </w:r>
      <w:r>
        <w:t>listado</w:t>
      </w:r>
      <w:r>
        <w:rPr>
          <w:spacing w:val="-15"/>
        </w:rPr>
        <w:t xml:space="preserve"> </w:t>
      </w:r>
      <w:r>
        <w:t>de</w:t>
      </w:r>
      <w:r>
        <w:rPr>
          <w:spacing w:val="-15"/>
        </w:rPr>
        <w:t xml:space="preserve"> </w:t>
      </w:r>
      <w:r>
        <w:t>los</w:t>
      </w:r>
      <w:r>
        <w:rPr>
          <w:spacing w:val="-15"/>
        </w:rPr>
        <w:t xml:space="preserve"> </w:t>
      </w:r>
      <w:r>
        <w:t>perseguidos.</w:t>
      </w:r>
      <w:r>
        <w:rPr>
          <w:spacing w:val="-15"/>
        </w:rPr>
        <w:t xml:space="preserve"> </w:t>
      </w:r>
      <w:r>
        <w:t>En</w:t>
      </w:r>
      <w:r>
        <w:rPr>
          <w:spacing w:val="-15"/>
        </w:rPr>
        <w:t xml:space="preserve"> </w:t>
      </w:r>
      <w:r>
        <w:t xml:space="preserve">paralelo, sectores de la justicia se convirtieron, en varios momentos, en parte de los entramados </w:t>
      </w:r>
      <w:r>
        <w:rPr>
          <w:spacing w:val="-2"/>
        </w:rPr>
        <w:t>paramilitares.</w:t>
      </w:r>
    </w:p>
    <w:p w:rsidR="003804AC" w:rsidRDefault="00AF18A5" w:rsidP="003024C1">
      <w:r>
        <w:t>Una</w:t>
      </w:r>
      <w:r>
        <w:rPr>
          <w:spacing w:val="-13"/>
        </w:rPr>
        <w:t xml:space="preserve"> </w:t>
      </w:r>
      <w:r>
        <w:t>telaraña</w:t>
      </w:r>
      <w:r>
        <w:rPr>
          <w:spacing w:val="-14"/>
        </w:rPr>
        <w:t xml:space="preserve"> </w:t>
      </w:r>
      <w:r>
        <w:t>de</w:t>
      </w:r>
      <w:r>
        <w:rPr>
          <w:spacing w:val="-13"/>
        </w:rPr>
        <w:t xml:space="preserve"> </w:t>
      </w:r>
      <w:r>
        <w:t>intereses</w:t>
      </w:r>
      <w:r>
        <w:rPr>
          <w:spacing w:val="-14"/>
        </w:rPr>
        <w:t xml:space="preserve"> </w:t>
      </w:r>
      <w:r>
        <w:t>ilícitos</w:t>
      </w:r>
      <w:r>
        <w:rPr>
          <w:spacing w:val="-13"/>
        </w:rPr>
        <w:t xml:space="preserve"> </w:t>
      </w:r>
      <w:r>
        <w:t>que</w:t>
      </w:r>
      <w:r>
        <w:rPr>
          <w:spacing w:val="-13"/>
        </w:rPr>
        <w:t xml:space="preserve"> </w:t>
      </w:r>
      <w:r>
        <w:t>se</w:t>
      </w:r>
      <w:r>
        <w:rPr>
          <w:spacing w:val="-13"/>
        </w:rPr>
        <w:t xml:space="preserve"> </w:t>
      </w:r>
      <w:r>
        <w:t>desplegó</w:t>
      </w:r>
      <w:r>
        <w:rPr>
          <w:spacing w:val="-13"/>
        </w:rPr>
        <w:t xml:space="preserve"> </w:t>
      </w:r>
      <w:r>
        <w:t>de</w:t>
      </w:r>
      <w:r>
        <w:rPr>
          <w:spacing w:val="-13"/>
        </w:rPr>
        <w:t xml:space="preserve"> </w:t>
      </w:r>
      <w:r>
        <w:t>manera</w:t>
      </w:r>
      <w:r>
        <w:rPr>
          <w:spacing w:val="-13"/>
        </w:rPr>
        <w:t xml:space="preserve"> </w:t>
      </w:r>
      <w:r>
        <w:t>paralela</w:t>
      </w:r>
      <w:r>
        <w:rPr>
          <w:spacing w:val="-13"/>
        </w:rPr>
        <w:t xml:space="preserve"> </w:t>
      </w:r>
      <w:r>
        <w:t>a</w:t>
      </w:r>
      <w:r>
        <w:rPr>
          <w:spacing w:val="-13"/>
        </w:rPr>
        <w:t xml:space="preserve"> </w:t>
      </w:r>
      <w:r>
        <w:t>la</w:t>
      </w:r>
      <w:r>
        <w:rPr>
          <w:spacing w:val="-13"/>
        </w:rPr>
        <w:t xml:space="preserve"> </w:t>
      </w:r>
      <w:r>
        <w:t>cooptación</w:t>
      </w:r>
      <w:r>
        <w:rPr>
          <w:spacing w:val="-13"/>
        </w:rPr>
        <w:t xml:space="preserve"> </w:t>
      </w:r>
      <w:r>
        <w:t>desde altos niveles, especialmente de la Fiscalía en algunos momentos del conflicto armado y de parte del sistema de justicia, llevó a limitar las investigaciones, hacer renunciar o rotar a fiscales</w:t>
      </w:r>
      <w:r>
        <w:rPr>
          <w:spacing w:val="13"/>
        </w:rPr>
        <w:t xml:space="preserve"> </w:t>
      </w:r>
      <w:r>
        <w:t>para</w:t>
      </w:r>
      <w:r>
        <w:rPr>
          <w:spacing w:val="14"/>
        </w:rPr>
        <w:t xml:space="preserve"> </w:t>
      </w:r>
      <w:r>
        <w:t>no</w:t>
      </w:r>
      <w:r>
        <w:rPr>
          <w:spacing w:val="15"/>
        </w:rPr>
        <w:t xml:space="preserve"> </w:t>
      </w:r>
      <w:r>
        <w:t>dejar</w:t>
      </w:r>
      <w:r>
        <w:rPr>
          <w:spacing w:val="16"/>
        </w:rPr>
        <w:t xml:space="preserve"> </w:t>
      </w:r>
      <w:r>
        <w:t>avanzar</w:t>
      </w:r>
      <w:r>
        <w:rPr>
          <w:spacing w:val="15"/>
        </w:rPr>
        <w:t xml:space="preserve"> </w:t>
      </w:r>
      <w:r>
        <w:t>las</w:t>
      </w:r>
      <w:r>
        <w:rPr>
          <w:spacing w:val="14"/>
        </w:rPr>
        <w:t xml:space="preserve"> </w:t>
      </w:r>
      <w:r>
        <w:t>investigaciones.</w:t>
      </w:r>
      <w:r>
        <w:rPr>
          <w:spacing w:val="14"/>
        </w:rPr>
        <w:t xml:space="preserve"> </w:t>
      </w:r>
      <w:r>
        <w:t>Pasos</w:t>
      </w:r>
      <w:r>
        <w:rPr>
          <w:spacing w:val="15"/>
        </w:rPr>
        <w:t xml:space="preserve"> </w:t>
      </w:r>
      <w:r>
        <w:t>relevantes</w:t>
      </w:r>
      <w:r>
        <w:rPr>
          <w:spacing w:val="14"/>
        </w:rPr>
        <w:t xml:space="preserve"> </w:t>
      </w:r>
      <w:r>
        <w:t>como</w:t>
      </w:r>
      <w:r>
        <w:rPr>
          <w:spacing w:val="14"/>
        </w:rPr>
        <w:t xml:space="preserve"> </w:t>
      </w:r>
      <w:r>
        <w:t>la</w:t>
      </w:r>
      <w:r>
        <w:rPr>
          <w:spacing w:val="16"/>
        </w:rPr>
        <w:t xml:space="preserve"> </w:t>
      </w:r>
      <w:r>
        <w:t>creación</w:t>
      </w:r>
      <w:r>
        <w:rPr>
          <w:spacing w:val="14"/>
        </w:rPr>
        <w:t xml:space="preserve"> </w:t>
      </w:r>
      <w:r>
        <w:t>de</w:t>
      </w:r>
      <w:r>
        <w:rPr>
          <w:spacing w:val="16"/>
        </w:rPr>
        <w:t xml:space="preserve"> </w:t>
      </w:r>
      <w:r>
        <w:rPr>
          <w:spacing w:val="-5"/>
        </w:rPr>
        <w:t>la</w:t>
      </w:r>
      <w:r w:rsidR="003024C1">
        <w:t xml:space="preserve"> </w:t>
      </w:r>
      <w:r>
        <w:t>Fiscalía de DDHH terminaron no solo con amenazas a los funcionarios, sino con la declaración de insubsistencias, atentados y exilios. En resumen, en Colombia ha habido sectores</w:t>
      </w:r>
      <w:r>
        <w:rPr>
          <w:spacing w:val="-3"/>
        </w:rPr>
        <w:t xml:space="preserve"> </w:t>
      </w:r>
      <w:r>
        <w:t>clave</w:t>
      </w:r>
      <w:r>
        <w:rPr>
          <w:spacing w:val="-3"/>
        </w:rPr>
        <w:t xml:space="preserve"> </w:t>
      </w:r>
      <w:r>
        <w:t>del</w:t>
      </w:r>
      <w:r>
        <w:rPr>
          <w:spacing w:val="-3"/>
        </w:rPr>
        <w:t xml:space="preserve"> </w:t>
      </w:r>
      <w:r>
        <w:t>poder</w:t>
      </w:r>
      <w:r>
        <w:rPr>
          <w:spacing w:val="-4"/>
        </w:rPr>
        <w:t xml:space="preserve"> </w:t>
      </w:r>
      <w:r>
        <w:t>judicial</w:t>
      </w:r>
      <w:r>
        <w:rPr>
          <w:spacing w:val="-3"/>
        </w:rPr>
        <w:t xml:space="preserve"> </w:t>
      </w:r>
      <w:r>
        <w:t>que</w:t>
      </w:r>
      <w:r>
        <w:rPr>
          <w:spacing w:val="-4"/>
        </w:rPr>
        <w:t xml:space="preserve"> </w:t>
      </w:r>
      <w:r>
        <w:t>no</w:t>
      </w:r>
      <w:r>
        <w:rPr>
          <w:spacing w:val="-3"/>
        </w:rPr>
        <w:t xml:space="preserve"> </w:t>
      </w:r>
      <w:r>
        <w:t>han</w:t>
      </w:r>
      <w:r>
        <w:rPr>
          <w:spacing w:val="-3"/>
        </w:rPr>
        <w:t xml:space="preserve"> </w:t>
      </w:r>
      <w:r>
        <w:t>gozado</w:t>
      </w:r>
      <w:r>
        <w:rPr>
          <w:spacing w:val="-3"/>
        </w:rPr>
        <w:t xml:space="preserve"> </w:t>
      </w:r>
      <w:r>
        <w:t>de</w:t>
      </w:r>
      <w:r>
        <w:rPr>
          <w:spacing w:val="-3"/>
        </w:rPr>
        <w:t xml:space="preserve"> </w:t>
      </w:r>
      <w:r>
        <w:t>la</w:t>
      </w:r>
      <w:r>
        <w:rPr>
          <w:spacing w:val="-3"/>
        </w:rPr>
        <w:t xml:space="preserve"> </w:t>
      </w:r>
      <w:r>
        <w:t>independencia</w:t>
      </w:r>
      <w:r>
        <w:rPr>
          <w:spacing w:val="-4"/>
        </w:rPr>
        <w:t xml:space="preserve"> </w:t>
      </w:r>
      <w:r>
        <w:t>plena</w:t>
      </w:r>
      <w:r>
        <w:rPr>
          <w:spacing w:val="-3"/>
        </w:rPr>
        <w:t xml:space="preserve"> </w:t>
      </w:r>
      <w:r>
        <w:t>pregonada</w:t>
      </w:r>
      <w:r>
        <w:rPr>
          <w:spacing w:val="-3"/>
        </w:rPr>
        <w:t xml:space="preserve"> </w:t>
      </w:r>
      <w:r>
        <w:t>en los pilares de un estado democrático. Este poder ha estado condicionado a directrices de Estado y al uso de la extradición en casos de graves violaciones de derechos humanos de acusados de narcotráfico en EEUU.</w:t>
      </w:r>
    </w:p>
    <w:p w:rsidR="003804AC" w:rsidRDefault="00AF18A5" w:rsidP="003024C1">
      <w:r>
        <w:t>En el país,</w:t>
      </w:r>
      <w:r>
        <w:rPr>
          <w:spacing w:val="-1"/>
        </w:rPr>
        <w:t xml:space="preserve"> </w:t>
      </w:r>
      <w:r>
        <w:t>la justicia ha</w:t>
      </w:r>
      <w:r>
        <w:rPr>
          <w:spacing w:val="-1"/>
        </w:rPr>
        <w:t xml:space="preserve"> </w:t>
      </w:r>
      <w:r>
        <w:t>sido cooptada por poderes legales</w:t>
      </w:r>
      <w:r>
        <w:rPr>
          <w:spacing w:val="-1"/>
        </w:rPr>
        <w:t xml:space="preserve"> </w:t>
      </w:r>
      <w:r>
        <w:t>o</w:t>
      </w:r>
      <w:r>
        <w:rPr>
          <w:spacing w:val="-1"/>
        </w:rPr>
        <w:t xml:space="preserve"> </w:t>
      </w:r>
      <w:r>
        <w:t>ilegales</w:t>
      </w:r>
      <w:r>
        <w:rPr>
          <w:spacing w:val="-1"/>
        </w:rPr>
        <w:t xml:space="preserve"> </w:t>
      </w:r>
      <w:r>
        <w:t>y</w:t>
      </w:r>
      <w:r>
        <w:rPr>
          <w:spacing w:val="-1"/>
        </w:rPr>
        <w:t xml:space="preserve"> </w:t>
      </w:r>
      <w:r>
        <w:t>también atacada</w:t>
      </w:r>
      <w:r>
        <w:rPr>
          <w:spacing w:val="-1"/>
        </w:rPr>
        <w:t xml:space="preserve"> </w:t>
      </w:r>
      <w:r>
        <w:t>o controlada desde distintos frentes para limitar sus alcances o condicionar sus resultados, especialmente</w:t>
      </w:r>
      <w:r>
        <w:rPr>
          <w:spacing w:val="-8"/>
        </w:rPr>
        <w:t xml:space="preserve"> </w:t>
      </w:r>
      <w:r>
        <w:t>en</w:t>
      </w:r>
      <w:r>
        <w:rPr>
          <w:spacing w:val="-8"/>
        </w:rPr>
        <w:t xml:space="preserve"> </w:t>
      </w:r>
      <w:r>
        <w:t>investigaciones</w:t>
      </w:r>
      <w:r>
        <w:rPr>
          <w:spacing w:val="-8"/>
        </w:rPr>
        <w:t xml:space="preserve"> </w:t>
      </w:r>
      <w:r>
        <w:t>que</w:t>
      </w:r>
      <w:r>
        <w:rPr>
          <w:spacing w:val="-8"/>
        </w:rPr>
        <w:t xml:space="preserve"> </w:t>
      </w:r>
      <w:r>
        <w:t>hacen</w:t>
      </w:r>
      <w:r>
        <w:rPr>
          <w:spacing w:val="-8"/>
        </w:rPr>
        <w:t xml:space="preserve"> </w:t>
      </w:r>
      <w:r>
        <w:t>referencia</w:t>
      </w:r>
      <w:r>
        <w:rPr>
          <w:spacing w:val="-8"/>
        </w:rPr>
        <w:t xml:space="preserve"> </w:t>
      </w:r>
      <w:r>
        <w:t>al</w:t>
      </w:r>
      <w:r>
        <w:rPr>
          <w:spacing w:val="-8"/>
        </w:rPr>
        <w:t xml:space="preserve"> </w:t>
      </w:r>
      <w:r>
        <w:t>núcleo</w:t>
      </w:r>
      <w:r>
        <w:rPr>
          <w:spacing w:val="-8"/>
        </w:rPr>
        <w:t xml:space="preserve"> </w:t>
      </w:r>
      <w:r>
        <w:t>duro</w:t>
      </w:r>
      <w:r>
        <w:rPr>
          <w:spacing w:val="-8"/>
        </w:rPr>
        <w:t xml:space="preserve"> </w:t>
      </w:r>
      <w:r>
        <w:t>del</w:t>
      </w:r>
      <w:r>
        <w:rPr>
          <w:spacing w:val="-8"/>
        </w:rPr>
        <w:t xml:space="preserve"> </w:t>
      </w:r>
      <w:r>
        <w:t>conflicto</w:t>
      </w:r>
      <w:r>
        <w:rPr>
          <w:spacing w:val="-8"/>
        </w:rPr>
        <w:t xml:space="preserve"> </w:t>
      </w:r>
      <w:r>
        <w:t>armado</w:t>
      </w:r>
      <w:r>
        <w:rPr>
          <w:spacing w:val="-8"/>
        </w:rPr>
        <w:t xml:space="preserve"> </w:t>
      </w:r>
      <w:r>
        <w:t>y sus responsabilidades.</w:t>
      </w:r>
    </w:p>
    <w:p w:rsidR="003804AC" w:rsidRDefault="00AF18A5" w:rsidP="003024C1">
      <w:r>
        <w:t>En</w:t>
      </w:r>
      <w:r>
        <w:rPr>
          <w:spacing w:val="-5"/>
        </w:rPr>
        <w:t xml:space="preserve"> </w:t>
      </w:r>
      <w:r>
        <w:t>medio</w:t>
      </w:r>
      <w:r>
        <w:rPr>
          <w:spacing w:val="-5"/>
        </w:rPr>
        <w:t xml:space="preserve"> </w:t>
      </w:r>
      <w:r>
        <w:t>de</w:t>
      </w:r>
      <w:r>
        <w:rPr>
          <w:spacing w:val="-6"/>
        </w:rPr>
        <w:t xml:space="preserve"> </w:t>
      </w:r>
      <w:r>
        <w:t>tantos</w:t>
      </w:r>
      <w:r>
        <w:rPr>
          <w:spacing w:val="-6"/>
        </w:rPr>
        <w:t xml:space="preserve"> </w:t>
      </w:r>
      <w:r>
        <w:t>apremios,</w:t>
      </w:r>
      <w:r>
        <w:rPr>
          <w:spacing w:val="-5"/>
        </w:rPr>
        <w:t xml:space="preserve"> </w:t>
      </w:r>
      <w:r>
        <w:t>sin</w:t>
      </w:r>
      <w:r>
        <w:rPr>
          <w:spacing w:val="-5"/>
        </w:rPr>
        <w:t xml:space="preserve"> </w:t>
      </w:r>
      <w:r>
        <w:t>embargo,</w:t>
      </w:r>
      <w:r>
        <w:rPr>
          <w:spacing w:val="-5"/>
        </w:rPr>
        <w:t xml:space="preserve"> </w:t>
      </w:r>
      <w:r>
        <w:t>existen</w:t>
      </w:r>
      <w:r>
        <w:rPr>
          <w:spacing w:val="-5"/>
        </w:rPr>
        <w:t xml:space="preserve"> </w:t>
      </w:r>
      <w:r>
        <w:t>muchísimos</w:t>
      </w:r>
      <w:r>
        <w:rPr>
          <w:spacing w:val="-4"/>
        </w:rPr>
        <w:t xml:space="preserve"> </w:t>
      </w:r>
      <w:r>
        <w:t>ejemplos</w:t>
      </w:r>
      <w:r>
        <w:rPr>
          <w:spacing w:val="-7"/>
        </w:rPr>
        <w:t xml:space="preserve"> </w:t>
      </w:r>
      <w:r>
        <w:t>de</w:t>
      </w:r>
      <w:r>
        <w:rPr>
          <w:spacing w:val="-4"/>
        </w:rPr>
        <w:t xml:space="preserve"> </w:t>
      </w:r>
      <w:r>
        <w:t>resistencia</w:t>
      </w:r>
      <w:r>
        <w:rPr>
          <w:spacing w:val="-4"/>
        </w:rPr>
        <w:t xml:space="preserve"> </w:t>
      </w:r>
      <w:r>
        <w:t>y arrojo para hacerle frente a la impunidad. Por eso, la historia de la justicia en Colombia es también</w:t>
      </w:r>
      <w:r>
        <w:rPr>
          <w:spacing w:val="-12"/>
        </w:rPr>
        <w:t xml:space="preserve"> </w:t>
      </w:r>
      <w:r>
        <w:t>la</w:t>
      </w:r>
      <w:r>
        <w:rPr>
          <w:spacing w:val="-12"/>
        </w:rPr>
        <w:t xml:space="preserve"> </w:t>
      </w:r>
      <w:r>
        <w:t>historia</w:t>
      </w:r>
      <w:r>
        <w:rPr>
          <w:spacing w:val="-12"/>
        </w:rPr>
        <w:t xml:space="preserve"> </w:t>
      </w:r>
      <w:r>
        <w:t>de</w:t>
      </w:r>
      <w:r>
        <w:rPr>
          <w:spacing w:val="-12"/>
        </w:rPr>
        <w:t xml:space="preserve"> </w:t>
      </w:r>
      <w:r>
        <w:t>muchos</w:t>
      </w:r>
      <w:r>
        <w:rPr>
          <w:spacing w:val="-12"/>
        </w:rPr>
        <w:t xml:space="preserve"> </w:t>
      </w:r>
      <w:r>
        <w:t>hombres</w:t>
      </w:r>
      <w:r>
        <w:rPr>
          <w:spacing w:val="-12"/>
        </w:rPr>
        <w:t xml:space="preserve"> </w:t>
      </w:r>
      <w:r>
        <w:t>y</w:t>
      </w:r>
      <w:r>
        <w:rPr>
          <w:spacing w:val="-12"/>
        </w:rPr>
        <w:t xml:space="preserve"> </w:t>
      </w:r>
      <w:r>
        <w:t>mujeres</w:t>
      </w:r>
      <w:r>
        <w:rPr>
          <w:spacing w:val="-12"/>
        </w:rPr>
        <w:t xml:space="preserve"> </w:t>
      </w:r>
      <w:r>
        <w:t>que</w:t>
      </w:r>
      <w:r>
        <w:rPr>
          <w:spacing w:val="-12"/>
        </w:rPr>
        <w:t xml:space="preserve"> </w:t>
      </w:r>
      <w:r>
        <w:t>han</w:t>
      </w:r>
      <w:r>
        <w:rPr>
          <w:spacing w:val="-12"/>
        </w:rPr>
        <w:t xml:space="preserve"> </w:t>
      </w:r>
      <w:r>
        <w:t>pagado</w:t>
      </w:r>
      <w:r>
        <w:rPr>
          <w:spacing w:val="-12"/>
        </w:rPr>
        <w:t xml:space="preserve"> </w:t>
      </w:r>
      <w:r>
        <w:t>con</w:t>
      </w:r>
      <w:r>
        <w:rPr>
          <w:spacing w:val="-12"/>
        </w:rPr>
        <w:t xml:space="preserve"> </w:t>
      </w:r>
      <w:r>
        <w:t>sus</w:t>
      </w:r>
      <w:r>
        <w:rPr>
          <w:spacing w:val="-12"/>
        </w:rPr>
        <w:t xml:space="preserve"> </w:t>
      </w:r>
      <w:r>
        <w:t>vidas</w:t>
      </w:r>
      <w:r>
        <w:rPr>
          <w:spacing w:val="-12"/>
        </w:rPr>
        <w:t xml:space="preserve"> </w:t>
      </w:r>
      <w:r>
        <w:t>o</w:t>
      </w:r>
      <w:r>
        <w:rPr>
          <w:spacing w:val="-12"/>
        </w:rPr>
        <w:t xml:space="preserve"> </w:t>
      </w:r>
      <w:r>
        <w:t>el</w:t>
      </w:r>
      <w:r>
        <w:rPr>
          <w:spacing w:val="-12"/>
        </w:rPr>
        <w:t xml:space="preserve"> </w:t>
      </w:r>
      <w:r>
        <w:t>destierro el costo de</w:t>
      </w:r>
      <w:r>
        <w:rPr>
          <w:spacing w:val="-1"/>
        </w:rPr>
        <w:t xml:space="preserve"> </w:t>
      </w:r>
      <w:r>
        <w:t>enfrentar</w:t>
      </w:r>
      <w:r>
        <w:rPr>
          <w:spacing w:val="-1"/>
        </w:rPr>
        <w:t xml:space="preserve"> </w:t>
      </w:r>
      <w:r>
        <w:t>a los colosos de</w:t>
      </w:r>
      <w:r>
        <w:rPr>
          <w:spacing w:val="-1"/>
        </w:rPr>
        <w:t xml:space="preserve"> </w:t>
      </w:r>
      <w:r>
        <w:t>la violencia</w:t>
      </w:r>
      <w:r>
        <w:rPr>
          <w:spacing w:val="-1"/>
        </w:rPr>
        <w:t xml:space="preserve"> </w:t>
      </w:r>
      <w:r>
        <w:t xml:space="preserve">y sus tentáculos. </w:t>
      </w:r>
      <w:r>
        <w:lastRenderedPageBreak/>
        <w:t>Gracias a ellos,</w:t>
      </w:r>
      <w:r>
        <w:rPr>
          <w:spacing w:val="-1"/>
        </w:rPr>
        <w:t xml:space="preserve"> </w:t>
      </w:r>
      <w:r>
        <w:t>queda un remanente de confianza: el de una justicia reparadora y restaurativa que vuelva al estado de cosas a la razón de ser de la justicia</w:t>
      </w:r>
      <w:r>
        <w:rPr>
          <w:spacing w:val="-1"/>
        </w:rPr>
        <w:t xml:space="preserve"> </w:t>
      </w:r>
      <w:r>
        <w:t>en una sociedad, que no es otra que la protección</w:t>
      </w:r>
      <w:r>
        <w:rPr>
          <w:spacing w:val="-1"/>
        </w:rPr>
        <w:t xml:space="preserve"> </w:t>
      </w:r>
      <w:r>
        <w:t>de las víctimas. La paz empieza en la justicia, así como la guerra comienza en la impunidad.</w:t>
      </w:r>
    </w:p>
    <w:p w:rsidR="003804AC" w:rsidRDefault="00AF18A5" w:rsidP="003024C1">
      <w:r>
        <w:t>La guerra necesita de la impunidad para crecer. Por eso ha sido un factor de persistencia en el conflicto. Su continuidad ha sido alimentada por ataques a la justicia, la persecución a las víctimas, desidia institucional, desconfianza y desestructuración del Estado. Se ocultan, se silencian, se estigmatizan y se callan las voces que claman justicia. La impunidad es un problema de vieja data, con raíces entrelazadas con las violencias estructurales. Por eso, enfrentarla</w:t>
      </w:r>
      <w:r>
        <w:rPr>
          <w:spacing w:val="-2"/>
        </w:rPr>
        <w:t xml:space="preserve"> </w:t>
      </w:r>
      <w:r>
        <w:t>requiere</w:t>
      </w:r>
      <w:r>
        <w:rPr>
          <w:spacing w:val="-1"/>
        </w:rPr>
        <w:t xml:space="preserve"> </w:t>
      </w:r>
      <w:r>
        <w:t>convicción</w:t>
      </w:r>
      <w:r>
        <w:rPr>
          <w:spacing w:val="-2"/>
        </w:rPr>
        <w:t xml:space="preserve"> </w:t>
      </w:r>
      <w:r>
        <w:t>y</w:t>
      </w:r>
      <w:r>
        <w:rPr>
          <w:spacing w:val="-2"/>
        </w:rPr>
        <w:t xml:space="preserve"> </w:t>
      </w:r>
      <w:r>
        <w:t>acatamiento</w:t>
      </w:r>
      <w:r>
        <w:rPr>
          <w:spacing w:val="-2"/>
        </w:rPr>
        <w:t xml:space="preserve"> </w:t>
      </w:r>
      <w:r>
        <w:t>social</w:t>
      </w:r>
      <w:r>
        <w:rPr>
          <w:spacing w:val="-2"/>
        </w:rPr>
        <w:t xml:space="preserve"> </w:t>
      </w:r>
      <w:r>
        <w:t>a</w:t>
      </w:r>
      <w:r>
        <w:rPr>
          <w:spacing w:val="-2"/>
        </w:rPr>
        <w:t xml:space="preserve"> </w:t>
      </w:r>
      <w:r>
        <w:t>una</w:t>
      </w:r>
      <w:r>
        <w:rPr>
          <w:spacing w:val="-2"/>
        </w:rPr>
        <w:t xml:space="preserve"> </w:t>
      </w:r>
      <w:r>
        <w:t>justicia</w:t>
      </w:r>
      <w:r>
        <w:rPr>
          <w:spacing w:val="-2"/>
        </w:rPr>
        <w:t xml:space="preserve"> </w:t>
      </w:r>
      <w:r>
        <w:t>autónoma</w:t>
      </w:r>
      <w:r>
        <w:rPr>
          <w:spacing w:val="-1"/>
        </w:rPr>
        <w:t xml:space="preserve"> </w:t>
      </w:r>
      <w:r>
        <w:t>y</w:t>
      </w:r>
      <w:r>
        <w:rPr>
          <w:spacing w:val="-2"/>
        </w:rPr>
        <w:t xml:space="preserve"> </w:t>
      </w:r>
      <w:r>
        <w:t>valiente,</w:t>
      </w:r>
      <w:r>
        <w:rPr>
          <w:spacing w:val="-1"/>
        </w:rPr>
        <w:t xml:space="preserve"> </w:t>
      </w:r>
      <w:r>
        <w:t>con un</w:t>
      </w:r>
      <w:r>
        <w:rPr>
          <w:spacing w:val="-1"/>
        </w:rPr>
        <w:t xml:space="preserve"> </w:t>
      </w:r>
      <w:r>
        <w:t>Estado</w:t>
      </w:r>
      <w:r>
        <w:rPr>
          <w:spacing w:val="-1"/>
        </w:rPr>
        <w:t xml:space="preserve"> </w:t>
      </w:r>
      <w:r>
        <w:t>que</w:t>
      </w:r>
      <w:r>
        <w:rPr>
          <w:spacing w:val="-1"/>
        </w:rPr>
        <w:t xml:space="preserve"> </w:t>
      </w:r>
      <w:r>
        <w:t>la</w:t>
      </w:r>
      <w:r>
        <w:rPr>
          <w:spacing w:val="-2"/>
        </w:rPr>
        <w:t xml:space="preserve"> </w:t>
      </w:r>
      <w:r>
        <w:t>respalde</w:t>
      </w:r>
      <w:r>
        <w:rPr>
          <w:spacing w:val="-1"/>
        </w:rPr>
        <w:t xml:space="preserve"> </w:t>
      </w:r>
      <w:r>
        <w:t>y</w:t>
      </w:r>
      <w:r>
        <w:rPr>
          <w:spacing w:val="-1"/>
        </w:rPr>
        <w:t xml:space="preserve"> </w:t>
      </w:r>
      <w:r>
        <w:t>una</w:t>
      </w:r>
      <w:r>
        <w:rPr>
          <w:spacing w:val="-2"/>
        </w:rPr>
        <w:t xml:space="preserve"> </w:t>
      </w:r>
      <w:r>
        <w:t>clase</w:t>
      </w:r>
      <w:r>
        <w:rPr>
          <w:spacing w:val="-1"/>
        </w:rPr>
        <w:t xml:space="preserve"> </w:t>
      </w:r>
      <w:r>
        <w:t>política</w:t>
      </w:r>
      <w:r>
        <w:rPr>
          <w:spacing w:val="-1"/>
        </w:rPr>
        <w:t xml:space="preserve"> </w:t>
      </w:r>
      <w:r>
        <w:t>que</w:t>
      </w:r>
      <w:r>
        <w:rPr>
          <w:spacing w:val="-1"/>
        </w:rPr>
        <w:t xml:space="preserve"> </w:t>
      </w:r>
      <w:r>
        <w:t>la</w:t>
      </w:r>
      <w:r>
        <w:rPr>
          <w:spacing w:val="-2"/>
        </w:rPr>
        <w:t xml:space="preserve"> </w:t>
      </w:r>
      <w:r>
        <w:t>respete.</w:t>
      </w:r>
      <w:r>
        <w:rPr>
          <w:spacing w:val="-2"/>
        </w:rPr>
        <w:t xml:space="preserve"> </w:t>
      </w:r>
      <w:r>
        <w:t>Se</w:t>
      </w:r>
      <w:r>
        <w:rPr>
          <w:spacing w:val="-1"/>
        </w:rPr>
        <w:t xml:space="preserve"> </w:t>
      </w:r>
      <w:r>
        <w:t>necesita</w:t>
      </w:r>
      <w:r>
        <w:rPr>
          <w:spacing w:val="-3"/>
        </w:rPr>
        <w:t xml:space="preserve"> </w:t>
      </w:r>
      <w:r>
        <w:t>una</w:t>
      </w:r>
      <w:r>
        <w:rPr>
          <w:spacing w:val="-1"/>
        </w:rPr>
        <w:t xml:space="preserve"> </w:t>
      </w:r>
      <w:r>
        <w:t>cultura</w:t>
      </w:r>
      <w:r>
        <w:rPr>
          <w:spacing w:val="-3"/>
        </w:rPr>
        <w:t xml:space="preserve"> </w:t>
      </w:r>
      <w:r>
        <w:t>de</w:t>
      </w:r>
      <w:r>
        <w:rPr>
          <w:spacing w:val="-1"/>
        </w:rPr>
        <w:t xml:space="preserve"> </w:t>
      </w:r>
      <w:r>
        <w:t>cero interferencia en sus decisiones, pero permanente comunicación con la sociedad para compartir sus hallazgos con celeridad, pertinencia y decisión, para así que renazca la confianza en una vida social de leyes que se cumplen.</w:t>
      </w:r>
    </w:p>
    <w:p w:rsidR="003804AC" w:rsidRDefault="00AF18A5" w:rsidP="003024C1">
      <w:r>
        <w:t>Hoy, los procesos judiciales muestran un déficit en la revelación de verdad y el esclarecimiento de responsabilidades. Las diferentes jurisdicciones deben hacer esfuerzos para que sus avances den cuenta de las condiciones que habilitaron la producción de las violaciones de derechos humanos, las motivaciones y estigmas que subyacen a las violaciones,</w:t>
      </w:r>
      <w:r>
        <w:rPr>
          <w:spacing w:val="-2"/>
        </w:rPr>
        <w:t xml:space="preserve"> </w:t>
      </w:r>
      <w:r>
        <w:t>la similitud</w:t>
      </w:r>
      <w:r>
        <w:rPr>
          <w:spacing w:val="-1"/>
        </w:rPr>
        <w:t xml:space="preserve"> </w:t>
      </w:r>
      <w:r>
        <w:t>con diferentes casos que</w:t>
      </w:r>
      <w:r>
        <w:rPr>
          <w:spacing w:val="-1"/>
        </w:rPr>
        <w:t xml:space="preserve"> </w:t>
      </w:r>
      <w:r>
        <w:t>tienen elementos</w:t>
      </w:r>
      <w:r>
        <w:rPr>
          <w:spacing w:val="-1"/>
        </w:rPr>
        <w:t xml:space="preserve"> </w:t>
      </w:r>
      <w:r>
        <w:t>explicativos</w:t>
      </w:r>
      <w:r>
        <w:rPr>
          <w:spacing w:val="-1"/>
        </w:rPr>
        <w:t xml:space="preserve"> </w:t>
      </w:r>
      <w:r>
        <w:t xml:space="preserve">comunes. A los tribunales y altas cortes les corresponde el reto de hacer accesibles sus hallazgos a la sociedad para aportar una construcción histórica concebida a través de medidas de no repetición. La JEP constituye un mecanismo novedoso que tiene un papel clave no </w:t>
      </w:r>
      <w:r>
        <w:lastRenderedPageBreak/>
        <w:t>solo en investigar y sancionar, sino desde una perspectiva de justicia restaurativa.</w:t>
      </w:r>
    </w:p>
    <w:p w:rsidR="003804AC" w:rsidRDefault="00AF18A5" w:rsidP="003024C1">
      <w:r>
        <w:t>A nivel investigativo, urgen medidas para garantizar que las personas sospechosas de haber cometido graves violaciones de derechos humanos no puedan obstaculizar las investigaciones, en especial si son agentes del Estado. Estos deben ser suspendidos de su cargo mientras duren las investigaciones y sus superiores, subordinados o quienes trabajen en sus mismas instituciones, impedidos de participar en los procesos, especialmente en diligencias de recuperación de información, preservación de las evidencias o en decisiones que</w:t>
      </w:r>
      <w:r>
        <w:rPr>
          <w:spacing w:val="-2"/>
        </w:rPr>
        <w:t xml:space="preserve"> </w:t>
      </w:r>
      <w:r>
        <w:t>se</w:t>
      </w:r>
      <w:r>
        <w:rPr>
          <w:spacing w:val="-2"/>
        </w:rPr>
        <w:t xml:space="preserve"> </w:t>
      </w:r>
      <w:r>
        <w:t>adopten</w:t>
      </w:r>
      <w:r>
        <w:rPr>
          <w:spacing w:val="-2"/>
        </w:rPr>
        <w:t xml:space="preserve"> </w:t>
      </w:r>
      <w:r>
        <w:t>en</w:t>
      </w:r>
      <w:r>
        <w:rPr>
          <w:spacing w:val="-2"/>
        </w:rPr>
        <w:t xml:space="preserve"> </w:t>
      </w:r>
      <w:r>
        <w:t>procesos</w:t>
      </w:r>
      <w:r>
        <w:rPr>
          <w:spacing w:val="-2"/>
        </w:rPr>
        <w:t xml:space="preserve"> </w:t>
      </w:r>
      <w:r>
        <w:t>judiciales.</w:t>
      </w:r>
      <w:r>
        <w:rPr>
          <w:spacing w:val="-2"/>
        </w:rPr>
        <w:t xml:space="preserve"> </w:t>
      </w:r>
      <w:r>
        <w:t>La</w:t>
      </w:r>
      <w:r>
        <w:rPr>
          <w:spacing w:val="-2"/>
        </w:rPr>
        <w:t xml:space="preserve"> </w:t>
      </w:r>
      <w:r>
        <w:t>independencia</w:t>
      </w:r>
      <w:r>
        <w:rPr>
          <w:spacing w:val="-2"/>
        </w:rPr>
        <w:t xml:space="preserve"> </w:t>
      </w:r>
      <w:r>
        <w:t>del</w:t>
      </w:r>
      <w:r>
        <w:rPr>
          <w:spacing w:val="-2"/>
        </w:rPr>
        <w:t xml:space="preserve"> </w:t>
      </w:r>
      <w:r>
        <w:t>sistema</w:t>
      </w:r>
      <w:r>
        <w:rPr>
          <w:spacing w:val="-2"/>
        </w:rPr>
        <w:t xml:space="preserve"> </w:t>
      </w:r>
      <w:r>
        <w:t>judicial</w:t>
      </w:r>
      <w:r>
        <w:rPr>
          <w:spacing w:val="-2"/>
        </w:rPr>
        <w:t xml:space="preserve"> </w:t>
      </w:r>
      <w:r>
        <w:t>y</w:t>
      </w:r>
      <w:r>
        <w:rPr>
          <w:spacing w:val="-2"/>
        </w:rPr>
        <w:t xml:space="preserve"> </w:t>
      </w:r>
      <w:r>
        <w:t>de</w:t>
      </w:r>
      <w:r>
        <w:rPr>
          <w:spacing w:val="-2"/>
        </w:rPr>
        <w:t xml:space="preserve"> </w:t>
      </w:r>
      <w:r>
        <w:t>la</w:t>
      </w:r>
      <w:r>
        <w:rPr>
          <w:spacing w:val="-2"/>
        </w:rPr>
        <w:t xml:space="preserve"> </w:t>
      </w:r>
      <w:r>
        <w:t xml:space="preserve">Fiscalía debe ser asegurada, rendir cuentas y contar con un control institucional y ciudadano que permita monitorear sus avances y fortalecer a los funcionarios y políticas de lucha contra la </w:t>
      </w:r>
      <w:r>
        <w:rPr>
          <w:spacing w:val="-2"/>
        </w:rPr>
        <w:t>impunidad.</w:t>
      </w:r>
    </w:p>
    <w:p w:rsidR="003804AC" w:rsidRDefault="00AF18A5" w:rsidP="003024C1">
      <w:pPr>
        <w:rPr>
          <w:spacing w:val="-2"/>
        </w:rPr>
      </w:pPr>
      <w:r>
        <w:t>En un contexto como el colombiano, en el que la violencia y la impunidad se han perpetuado</w:t>
      </w:r>
      <w:r>
        <w:rPr>
          <w:spacing w:val="-1"/>
        </w:rPr>
        <w:t xml:space="preserve"> </w:t>
      </w:r>
      <w:r>
        <w:t>en el</w:t>
      </w:r>
      <w:r>
        <w:rPr>
          <w:spacing w:val="-1"/>
        </w:rPr>
        <w:t xml:space="preserve"> </w:t>
      </w:r>
      <w:r>
        <w:t>tiempo, y a pesar</w:t>
      </w:r>
      <w:r>
        <w:rPr>
          <w:spacing w:val="-1"/>
        </w:rPr>
        <w:t xml:space="preserve"> </w:t>
      </w:r>
      <w:r>
        <w:t>de los</w:t>
      </w:r>
      <w:r>
        <w:rPr>
          <w:spacing w:val="-1"/>
        </w:rPr>
        <w:t xml:space="preserve"> </w:t>
      </w:r>
      <w:r>
        <w:t>avances que se</w:t>
      </w:r>
      <w:r>
        <w:rPr>
          <w:spacing w:val="-1"/>
        </w:rPr>
        <w:t xml:space="preserve"> </w:t>
      </w:r>
      <w:r>
        <w:t>han</w:t>
      </w:r>
      <w:r>
        <w:rPr>
          <w:spacing w:val="-1"/>
        </w:rPr>
        <w:t xml:space="preserve"> </w:t>
      </w:r>
      <w:r>
        <w:t>dado en</w:t>
      </w:r>
      <w:r>
        <w:rPr>
          <w:spacing w:val="-1"/>
        </w:rPr>
        <w:t xml:space="preserve"> </w:t>
      </w:r>
      <w:r>
        <w:t>muchas ocasiones, los poderes</w:t>
      </w:r>
      <w:r>
        <w:rPr>
          <w:spacing w:val="-11"/>
        </w:rPr>
        <w:t xml:space="preserve"> </w:t>
      </w:r>
      <w:r>
        <w:t>públicos</w:t>
      </w:r>
      <w:r>
        <w:rPr>
          <w:spacing w:val="-11"/>
        </w:rPr>
        <w:t xml:space="preserve"> </w:t>
      </w:r>
      <w:r>
        <w:t>no</w:t>
      </w:r>
      <w:r>
        <w:rPr>
          <w:spacing w:val="-12"/>
        </w:rPr>
        <w:t xml:space="preserve"> </w:t>
      </w:r>
      <w:r>
        <w:t>le</w:t>
      </w:r>
      <w:r>
        <w:rPr>
          <w:spacing w:val="-11"/>
        </w:rPr>
        <w:t xml:space="preserve"> </w:t>
      </w:r>
      <w:r>
        <w:t>han</w:t>
      </w:r>
      <w:r>
        <w:rPr>
          <w:spacing w:val="-11"/>
        </w:rPr>
        <w:t xml:space="preserve"> </w:t>
      </w:r>
      <w:r>
        <w:t>otorgado</w:t>
      </w:r>
      <w:r>
        <w:rPr>
          <w:spacing w:val="-12"/>
        </w:rPr>
        <w:t xml:space="preserve"> </w:t>
      </w:r>
      <w:r>
        <w:t>prioridad</w:t>
      </w:r>
      <w:r>
        <w:rPr>
          <w:spacing w:val="-11"/>
        </w:rPr>
        <w:t xml:space="preserve"> </w:t>
      </w:r>
      <w:r>
        <w:t>a</w:t>
      </w:r>
      <w:r>
        <w:rPr>
          <w:spacing w:val="-12"/>
        </w:rPr>
        <w:t xml:space="preserve"> </w:t>
      </w:r>
      <w:r>
        <w:t>la</w:t>
      </w:r>
      <w:r>
        <w:rPr>
          <w:spacing w:val="-12"/>
        </w:rPr>
        <w:t xml:space="preserve"> </w:t>
      </w:r>
      <w:r>
        <w:t>lucha</w:t>
      </w:r>
      <w:r>
        <w:rPr>
          <w:spacing w:val="-11"/>
        </w:rPr>
        <w:t xml:space="preserve"> </w:t>
      </w:r>
      <w:r>
        <w:t>para</w:t>
      </w:r>
      <w:r>
        <w:rPr>
          <w:spacing w:val="-12"/>
        </w:rPr>
        <w:t xml:space="preserve"> </w:t>
      </w:r>
      <w:r>
        <w:t>fortalecer</w:t>
      </w:r>
      <w:r>
        <w:rPr>
          <w:spacing w:val="-10"/>
        </w:rPr>
        <w:t xml:space="preserve"> </w:t>
      </w:r>
      <w:r>
        <w:t>a</w:t>
      </w:r>
      <w:r>
        <w:rPr>
          <w:spacing w:val="-12"/>
        </w:rPr>
        <w:t xml:space="preserve"> </w:t>
      </w:r>
      <w:r>
        <w:t>la</w:t>
      </w:r>
      <w:r>
        <w:rPr>
          <w:spacing w:val="-12"/>
        </w:rPr>
        <w:t xml:space="preserve"> </w:t>
      </w:r>
      <w:r>
        <w:t>justicia.</w:t>
      </w:r>
      <w:r>
        <w:rPr>
          <w:spacing w:val="-11"/>
        </w:rPr>
        <w:t xml:space="preserve"> </w:t>
      </w:r>
      <w:r>
        <w:t>Han</w:t>
      </w:r>
      <w:r>
        <w:rPr>
          <w:spacing w:val="-11"/>
        </w:rPr>
        <w:t xml:space="preserve"> </w:t>
      </w:r>
      <w:r>
        <w:t>sido las víctimas y las organizaciones de derechos humanos quienes preferencialmente han librado esta lucha. Los ejemplos positivos de la Fiscalía de DD. HH., las investigaciones de casos importantes por funcionarios comprometidos o la investigación de la parapolítica son ejemplos</w:t>
      </w:r>
      <w:r>
        <w:rPr>
          <w:spacing w:val="-12"/>
        </w:rPr>
        <w:t xml:space="preserve"> </w:t>
      </w:r>
      <w:r>
        <w:t>relevantes</w:t>
      </w:r>
      <w:r>
        <w:rPr>
          <w:spacing w:val="-12"/>
        </w:rPr>
        <w:t xml:space="preserve"> </w:t>
      </w:r>
      <w:r>
        <w:t>de</w:t>
      </w:r>
      <w:r>
        <w:rPr>
          <w:spacing w:val="-11"/>
        </w:rPr>
        <w:t xml:space="preserve"> </w:t>
      </w:r>
      <w:r>
        <w:t>empoderamiento</w:t>
      </w:r>
      <w:r>
        <w:rPr>
          <w:spacing w:val="-11"/>
        </w:rPr>
        <w:t xml:space="preserve"> </w:t>
      </w:r>
      <w:r>
        <w:t>de</w:t>
      </w:r>
      <w:r>
        <w:rPr>
          <w:spacing w:val="-12"/>
        </w:rPr>
        <w:t xml:space="preserve"> </w:t>
      </w:r>
      <w:r>
        <w:t>la</w:t>
      </w:r>
      <w:r>
        <w:rPr>
          <w:spacing w:val="-11"/>
        </w:rPr>
        <w:t xml:space="preserve"> </w:t>
      </w:r>
      <w:r>
        <w:t>justicia,</w:t>
      </w:r>
      <w:r>
        <w:rPr>
          <w:spacing w:val="-12"/>
        </w:rPr>
        <w:t xml:space="preserve"> </w:t>
      </w:r>
      <w:r>
        <w:t>pero</w:t>
      </w:r>
      <w:r>
        <w:rPr>
          <w:spacing w:val="-12"/>
        </w:rPr>
        <w:t xml:space="preserve"> </w:t>
      </w:r>
      <w:r>
        <w:t>también</w:t>
      </w:r>
      <w:r>
        <w:rPr>
          <w:spacing w:val="-11"/>
        </w:rPr>
        <w:t xml:space="preserve"> </w:t>
      </w:r>
      <w:r>
        <w:t>de</w:t>
      </w:r>
      <w:r>
        <w:rPr>
          <w:spacing w:val="-11"/>
        </w:rPr>
        <w:t xml:space="preserve"> </w:t>
      </w:r>
      <w:r>
        <w:t>momentos</w:t>
      </w:r>
      <w:r>
        <w:rPr>
          <w:spacing w:val="-12"/>
        </w:rPr>
        <w:t xml:space="preserve"> </w:t>
      </w:r>
      <w:r>
        <w:t>en</w:t>
      </w:r>
      <w:r>
        <w:rPr>
          <w:spacing w:val="-11"/>
        </w:rPr>
        <w:t xml:space="preserve"> </w:t>
      </w:r>
      <w:r>
        <w:t>los</w:t>
      </w:r>
      <w:r>
        <w:rPr>
          <w:spacing w:val="-11"/>
        </w:rPr>
        <w:t xml:space="preserve"> </w:t>
      </w:r>
      <w:r>
        <w:t>que, por intereses políticos o privados, no se permitió seguir avanzando. Para la Comisión de la Verdad,</w:t>
      </w:r>
      <w:r>
        <w:rPr>
          <w:spacing w:val="-6"/>
        </w:rPr>
        <w:t xml:space="preserve"> </w:t>
      </w:r>
      <w:r>
        <w:t>esta</w:t>
      </w:r>
      <w:r>
        <w:rPr>
          <w:spacing w:val="-5"/>
        </w:rPr>
        <w:t xml:space="preserve"> </w:t>
      </w:r>
      <w:r>
        <w:t>sigue</w:t>
      </w:r>
      <w:r>
        <w:rPr>
          <w:spacing w:val="-4"/>
        </w:rPr>
        <w:t xml:space="preserve"> </w:t>
      </w:r>
      <w:r>
        <w:t>siendo</w:t>
      </w:r>
      <w:r>
        <w:rPr>
          <w:spacing w:val="-4"/>
        </w:rPr>
        <w:t xml:space="preserve"> </w:t>
      </w:r>
      <w:r>
        <w:t>una</w:t>
      </w:r>
      <w:r>
        <w:rPr>
          <w:spacing w:val="-3"/>
        </w:rPr>
        <w:t xml:space="preserve"> </w:t>
      </w:r>
      <w:r>
        <w:t>tarea</w:t>
      </w:r>
      <w:r>
        <w:rPr>
          <w:spacing w:val="-4"/>
        </w:rPr>
        <w:t xml:space="preserve"> </w:t>
      </w:r>
      <w:r>
        <w:t>pendiente</w:t>
      </w:r>
      <w:r>
        <w:rPr>
          <w:spacing w:val="-4"/>
        </w:rPr>
        <w:t xml:space="preserve"> </w:t>
      </w:r>
      <w:r>
        <w:t>de</w:t>
      </w:r>
      <w:r>
        <w:rPr>
          <w:spacing w:val="-4"/>
        </w:rPr>
        <w:t xml:space="preserve"> </w:t>
      </w:r>
      <w:r>
        <w:t>la</w:t>
      </w:r>
      <w:r>
        <w:rPr>
          <w:spacing w:val="-4"/>
        </w:rPr>
        <w:t xml:space="preserve"> </w:t>
      </w:r>
      <w:r>
        <w:t>justicia</w:t>
      </w:r>
      <w:r>
        <w:rPr>
          <w:spacing w:val="-3"/>
        </w:rPr>
        <w:t xml:space="preserve"> </w:t>
      </w:r>
      <w:r>
        <w:t>y</w:t>
      </w:r>
      <w:r>
        <w:rPr>
          <w:spacing w:val="-4"/>
        </w:rPr>
        <w:t xml:space="preserve"> </w:t>
      </w:r>
      <w:r>
        <w:t>de</w:t>
      </w:r>
      <w:r>
        <w:rPr>
          <w:spacing w:val="-4"/>
        </w:rPr>
        <w:t xml:space="preserve"> </w:t>
      </w:r>
      <w:r>
        <w:t>la</w:t>
      </w:r>
      <w:r>
        <w:rPr>
          <w:spacing w:val="-4"/>
        </w:rPr>
        <w:t xml:space="preserve"> </w:t>
      </w:r>
      <w:r>
        <w:t>democracia</w:t>
      </w:r>
      <w:r>
        <w:rPr>
          <w:spacing w:val="-4"/>
        </w:rPr>
        <w:t xml:space="preserve"> </w:t>
      </w:r>
      <w:r>
        <w:t>en</w:t>
      </w:r>
      <w:r>
        <w:rPr>
          <w:spacing w:val="-3"/>
        </w:rPr>
        <w:t xml:space="preserve"> </w:t>
      </w:r>
      <w:r>
        <w:rPr>
          <w:spacing w:val="-2"/>
        </w:rPr>
        <w:t>Colombia.</w:t>
      </w:r>
    </w:p>
    <w:p w:rsidR="00B72257" w:rsidRDefault="00B72257">
      <w:pPr>
        <w:spacing w:before="0" w:after="0" w:line="240" w:lineRule="auto"/>
        <w:rPr>
          <w:b/>
          <w:bCs/>
          <w:szCs w:val="24"/>
        </w:rPr>
      </w:pPr>
      <w:r>
        <w:br w:type="page"/>
      </w:r>
    </w:p>
    <w:p w:rsidR="0011361F" w:rsidRDefault="00AF18A5" w:rsidP="003024C1">
      <w:pPr>
        <w:pStyle w:val="Ttulo3"/>
      </w:pPr>
      <w:bookmarkStart w:id="1185" w:name="_Toc112399641"/>
      <w:r w:rsidRPr="003024C1">
        <w:lastRenderedPageBreak/>
        <w:t>Bibliografía</w:t>
      </w:r>
      <w:bookmarkEnd w:id="1185"/>
    </w:p>
    <w:p w:rsidR="003804AC" w:rsidRDefault="00AF18A5" w:rsidP="00B72257">
      <w:r>
        <w:t>Entrevista</w:t>
      </w:r>
      <w:r>
        <w:rPr>
          <w:spacing w:val="38"/>
        </w:rPr>
        <w:t xml:space="preserve"> </w:t>
      </w:r>
      <w:r>
        <w:t>001-VI-00049.</w:t>
      </w:r>
      <w:r>
        <w:rPr>
          <w:spacing w:val="37"/>
        </w:rPr>
        <w:t xml:space="preserve"> </w:t>
      </w:r>
      <w:r>
        <w:t>Abogado,</w:t>
      </w:r>
      <w:r>
        <w:rPr>
          <w:spacing w:val="39"/>
        </w:rPr>
        <w:t xml:space="preserve"> </w:t>
      </w:r>
      <w:r>
        <w:t>exfiscal</w:t>
      </w:r>
      <w:r>
        <w:rPr>
          <w:spacing w:val="38"/>
        </w:rPr>
        <w:t xml:space="preserve"> </w:t>
      </w:r>
      <w:r>
        <w:t>en</w:t>
      </w:r>
      <w:r>
        <w:rPr>
          <w:spacing w:val="36"/>
        </w:rPr>
        <w:t xml:space="preserve"> </w:t>
      </w:r>
      <w:r>
        <w:t>el</w:t>
      </w:r>
      <w:r>
        <w:rPr>
          <w:spacing w:val="38"/>
        </w:rPr>
        <w:t xml:space="preserve"> </w:t>
      </w:r>
      <w:r>
        <w:t>exilio.</w:t>
      </w:r>
      <w:r>
        <w:rPr>
          <w:spacing w:val="37"/>
        </w:rPr>
        <w:t xml:space="preserve"> </w:t>
      </w:r>
      <w:r>
        <w:t>Tomada</w:t>
      </w:r>
      <w:r>
        <w:rPr>
          <w:spacing w:val="38"/>
        </w:rPr>
        <w:t xml:space="preserve"> </w:t>
      </w:r>
      <w:r>
        <w:t>por</w:t>
      </w:r>
      <w:r>
        <w:rPr>
          <w:spacing w:val="37"/>
        </w:rPr>
        <w:t xml:space="preserve"> </w:t>
      </w:r>
      <w:r>
        <w:t>Comisión</w:t>
      </w:r>
      <w:r>
        <w:rPr>
          <w:spacing w:val="37"/>
        </w:rPr>
        <w:t xml:space="preserve"> </w:t>
      </w:r>
      <w:r>
        <w:t>para</w:t>
      </w:r>
      <w:r>
        <w:rPr>
          <w:spacing w:val="38"/>
        </w:rPr>
        <w:t xml:space="preserve"> </w:t>
      </w:r>
      <w:r>
        <w:t>el Esclarecimiento de la Verdad, la Convivencia y la No Repetición - CEV. 2020.</w:t>
      </w:r>
    </w:p>
    <w:p w:rsidR="003804AC" w:rsidRPr="00B72257" w:rsidRDefault="00AF18A5" w:rsidP="00B72257">
      <w:pPr>
        <w:rPr>
          <w:lang w:val="es-CO"/>
        </w:rPr>
      </w:pPr>
      <w:r>
        <w:t>ACNUDH.</w:t>
      </w:r>
      <w:r>
        <w:rPr>
          <w:spacing w:val="40"/>
        </w:rPr>
        <w:t xml:space="preserve"> </w:t>
      </w:r>
      <w:r>
        <w:t>«Relator</w:t>
      </w:r>
      <w:r>
        <w:rPr>
          <w:spacing w:val="40"/>
        </w:rPr>
        <w:t xml:space="preserve"> </w:t>
      </w:r>
      <w:r>
        <w:t>Especial</w:t>
      </w:r>
      <w:r>
        <w:rPr>
          <w:spacing w:val="40"/>
        </w:rPr>
        <w:t xml:space="preserve"> </w:t>
      </w:r>
      <w:r>
        <w:t>sobre</w:t>
      </w:r>
      <w:r>
        <w:rPr>
          <w:spacing w:val="40"/>
        </w:rPr>
        <w:t xml:space="preserve"> </w:t>
      </w:r>
      <w:r>
        <w:t>la</w:t>
      </w:r>
      <w:r>
        <w:rPr>
          <w:spacing w:val="40"/>
        </w:rPr>
        <w:t xml:space="preserve"> </w:t>
      </w:r>
      <w:r>
        <w:t>independencia</w:t>
      </w:r>
      <w:r>
        <w:rPr>
          <w:spacing w:val="40"/>
        </w:rPr>
        <w:t xml:space="preserve"> </w:t>
      </w:r>
      <w:r>
        <w:t>de</w:t>
      </w:r>
      <w:r>
        <w:rPr>
          <w:spacing w:val="40"/>
        </w:rPr>
        <w:t xml:space="preserve"> </w:t>
      </w:r>
      <w:r>
        <w:t>los</w:t>
      </w:r>
      <w:r>
        <w:rPr>
          <w:spacing w:val="40"/>
        </w:rPr>
        <w:t xml:space="preserve"> </w:t>
      </w:r>
      <w:r>
        <w:t>magistrados</w:t>
      </w:r>
      <w:r>
        <w:rPr>
          <w:spacing w:val="40"/>
        </w:rPr>
        <w:t xml:space="preserve"> </w:t>
      </w:r>
      <w:r>
        <w:t>y</w:t>
      </w:r>
      <w:r>
        <w:rPr>
          <w:spacing w:val="40"/>
        </w:rPr>
        <w:t xml:space="preserve"> </w:t>
      </w:r>
      <w:r>
        <w:t>abogados». Accedido</w:t>
      </w:r>
      <w:r>
        <w:tab/>
      </w:r>
      <w:r>
        <w:rPr>
          <w:spacing w:val="-6"/>
        </w:rPr>
        <w:t>22</w:t>
      </w:r>
      <w:r>
        <w:tab/>
      </w:r>
      <w:r>
        <w:rPr>
          <w:spacing w:val="-6"/>
        </w:rPr>
        <w:t>de</w:t>
      </w:r>
      <w:r>
        <w:tab/>
        <w:t>junio</w:t>
      </w:r>
      <w:r>
        <w:tab/>
      </w:r>
      <w:r>
        <w:rPr>
          <w:spacing w:val="-6"/>
        </w:rPr>
        <w:t>de</w:t>
      </w:r>
      <w:r>
        <w:tab/>
        <w:t>2022.</w:t>
      </w:r>
      <w:r>
        <w:tab/>
        <w:t>Acceso</w:t>
      </w:r>
      <w:r>
        <w:tab/>
      </w:r>
      <w:r>
        <w:rPr>
          <w:spacing w:val="-6"/>
        </w:rPr>
        <w:t>el</w:t>
      </w:r>
      <w:r>
        <w:tab/>
      </w:r>
      <w:r>
        <w:rPr>
          <w:spacing w:val="-6"/>
        </w:rPr>
        <w:t>22</w:t>
      </w:r>
      <w:r>
        <w:tab/>
      </w:r>
      <w:r>
        <w:rPr>
          <w:spacing w:val="-6"/>
        </w:rPr>
        <w:t>de</w:t>
      </w:r>
      <w:r>
        <w:tab/>
        <w:t>junio</w:t>
      </w:r>
      <w:r>
        <w:tab/>
      </w:r>
      <w:r>
        <w:rPr>
          <w:spacing w:val="-6"/>
        </w:rPr>
        <w:t>de</w:t>
      </w:r>
      <w:r>
        <w:tab/>
        <w:t xml:space="preserve">2022. </w:t>
      </w:r>
      <w:r w:rsidR="003024C1" w:rsidRPr="00B72257">
        <w:rPr>
          <w:spacing w:val="-2"/>
          <w:lang w:val="es-CO"/>
        </w:rPr>
        <w:t>https://www.ohchr.org/es/special-procedures/sr-independence-of-judges-and-</w:t>
      </w:r>
      <w:r w:rsidRPr="00B72257">
        <w:rPr>
          <w:lang w:val="es-CO"/>
        </w:rPr>
        <w:t xml:space="preserve"> </w:t>
      </w:r>
      <w:hyperlink r:id="rId150">
        <w:proofErr w:type="spellStart"/>
        <w:r w:rsidRPr="00B72257">
          <w:rPr>
            <w:lang w:val="es-CO"/>
          </w:rPr>
          <w:t>lawyers</w:t>
        </w:r>
        <w:proofErr w:type="spellEnd"/>
      </w:hyperlink>
      <w:r w:rsidRPr="00B72257">
        <w:rPr>
          <w:lang w:val="es-CO"/>
        </w:rPr>
        <w:t>.</w:t>
      </w:r>
    </w:p>
    <w:p w:rsidR="0011361F" w:rsidRDefault="00AF18A5" w:rsidP="00B72257">
      <w:r>
        <w:t>Entrevista</w:t>
      </w:r>
      <w:r>
        <w:rPr>
          <w:spacing w:val="40"/>
        </w:rPr>
        <w:t xml:space="preserve"> </w:t>
      </w:r>
      <w:r>
        <w:t>068-AA-00001.</w:t>
      </w:r>
      <w:r>
        <w:rPr>
          <w:spacing w:val="40"/>
        </w:rPr>
        <w:t xml:space="preserve"> </w:t>
      </w:r>
      <w:r>
        <w:t>Actor</w:t>
      </w:r>
      <w:r>
        <w:rPr>
          <w:spacing w:val="40"/>
        </w:rPr>
        <w:t xml:space="preserve"> </w:t>
      </w:r>
      <w:r>
        <w:t>armado,</w:t>
      </w:r>
      <w:r>
        <w:rPr>
          <w:spacing w:val="40"/>
        </w:rPr>
        <w:t xml:space="preserve"> </w:t>
      </w:r>
      <w:r>
        <w:t>hombre,</w:t>
      </w:r>
      <w:r>
        <w:rPr>
          <w:spacing w:val="40"/>
        </w:rPr>
        <w:t xml:space="preserve"> </w:t>
      </w:r>
      <w:r>
        <w:t>excombatiente</w:t>
      </w:r>
      <w:r>
        <w:rPr>
          <w:spacing w:val="40"/>
        </w:rPr>
        <w:t xml:space="preserve"> </w:t>
      </w:r>
      <w:r>
        <w:t>FARC.</w:t>
      </w:r>
      <w:r>
        <w:rPr>
          <w:spacing w:val="40"/>
        </w:rPr>
        <w:t xml:space="preserve"> </w:t>
      </w:r>
      <w:r>
        <w:t>Tomada</w:t>
      </w:r>
      <w:r>
        <w:rPr>
          <w:spacing w:val="40"/>
        </w:rPr>
        <w:t xml:space="preserve"> </w:t>
      </w:r>
      <w:r>
        <w:t>por Comisión</w:t>
      </w:r>
      <w:r>
        <w:rPr>
          <w:spacing w:val="-1"/>
        </w:rPr>
        <w:t xml:space="preserve"> </w:t>
      </w:r>
      <w:r>
        <w:t>para</w:t>
      </w:r>
      <w:r>
        <w:rPr>
          <w:spacing w:val="1"/>
        </w:rPr>
        <w:t xml:space="preserve"> </w:t>
      </w:r>
      <w:r>
        <w:t>el</w:t>
      </w:r>
      <w:r>
        <w:rPr>
          <w:spacing w:val="1"/>
        </w:rPr>
        <w:t xml:space="preserve"> </w:t>
      </w:r>
      <w:r>
        <w:t>Esclarecimiento de</w:t>
      </w:r>
      <w:r>
        <w:rPr>
          <w:spacing w:val="-1"/>
        </w:rPr>
        <w:t xml:space="preserve"> </w:t>
      </w:r>
      <w:r>
        <w:t>la</w:t>
      </w:r>
      <w:r>
        <w:rPr>
          <w:spacing w:val="1"/>
        </w:rPr>
        <w:t xml:space="preserve"> </w:t>
      </w:r>
      <w:r>
        <w:t>Verdad,</w:t>
      </w:r>
      <w:r>
        <w:rPr>
          <w:spacing w:val="1"/>
        </w:rPr>
        <w:t xml:space="preserve"> </w:t>
      </w:r>
      <w:r>
        <w:t>la</w:t>
      </w:r>
      <w:r>
        <w:rPr>
          <w:spacing w:val="1"/>
        </w:rPr>
        <w:t xml:space="preserve"> </w:t>
      </w:r>
      <w:r>
        <w:t>Convivencia y la No</w:t>
      </w:r>
      <w:r>
        <w:rPr>
          <w:spacing w:val="1"/>
        </w:rPr>
        <w:t xml:space="preserve"> </w:t>
      </w:r>
      <w:r>
        <w:rPr>
          <w:spacing w:val="-2"/>
        </w:rPr>
        <w:t>Repetición</w:t>
      </w:r>
      <w:r w:rsidR="00B72257">
        <w:t xml:space="preserve"> </w:t>
      </w:r>
      <w:r>
        <w:t>-</w:t>
      </w:r>
      <w:r>
        <w:rPr>
          <w:spacing w:val="-2"/>
        </w:rPr>
        <w:t xml:space="preserve"> </w:t>
      </w:r>
      <w:r>
        <w:t>CEV.</w:t>
      </w:r>
      <w:r>
        <w:rPr>
          <w:spacing w:val="-1"/>
        </w:rPr>
        <w:t xml:space="preserve"> </w:t>
      </w:r>
      <w:r>
        <w:rPr>
          <w:spacing w:val="-2"/>
        </w:rPr>
        <w:t>2020.</w:t>
      </w:r>
    </w:p>
    <w:p w:rsidR="003804AC" w:rsidRDefault="00AF18A5" w:rsidP="00B72257">
      <w:r>
        <w:t>Carretero Pérez, Antonio. Informe de una Misión de Amnistía Internacional a la República de Colombia. Londres: Amnistía Internacional, 1980.</w:t>
      </w:r>
    </w:p>
    <w:p w:rsidR="003804AC" w:rsidRDefault="00AF18A5" w:rsidP="00B72257">
      <w:r>
        <w:t>Casa Editorial El Tiempo. «Asesinado presidente del Comité de Desplazados del</w:t>
      </w:r>
      <w:r>
        <w:rPr>
          <w:spacing w:val="-1"/>
        </w:rPr>
        <w:t xml:space="preserve"> </w:t>
      </w:r>
      <w:r>
        <w:t xml:space="preserve">municipio de Cotorra (Córdoba)». 30 de enero de 2007. </w:t>
      </w:r>
      <w:r>
        <w:rPr>
          <w:i/>
        </w:rPr>
        <w:t>El Tiempo</w:t>
      </w:r>
      <w:r>
        <w:t xml:space="preserve">. </w:t>
      </w:r>
      <w:hyperlink r:id="rId151">
        <w:r>
          <w:rPr>
            <w:spacing w:val="-2"/>
          </w:rPr>
          <w:t>https://www.eltiempo.com/archivo/documento/CMS-3420081</w:t>
        </w:r>
      </w:hyperlink>
      <w:r>
        <w:rPr>
          <w:spacing w:val="-2"/>
        </w:rPr>
        <w:t>.</w:t>
      </w:r>
    </w:p>
    <w:p w:rsidR="003804AC" w:rsidRDefault="00AF18A5" w:rsidP="00B72257">
      <w:r>
        <w:t>———. «Negro balance</w:t>
      </w:r>
      <w:r>
        <w:rPr>
          <w:spacing w:val="-1"/>
        </w:rPr>
        <w:t xml:space="preserve"> </w:t>
      </w:r>
      <w:r>
        <w:t>del poder judicial: siete</w:t>
      </w:r>
      <w:r>
        <w:rPr>
          <w:spacing w:val="-1"/>
        </w:rPr>
        <w:t xml:space="preserve"> </w:t>
      </w:r>
      <w:r>
        <w:t xml:space="preserve">exiliados y 240 víctimas». 16 de agosto de 1991. </w:t>
      </w:r>
      <w:r>
        <w:rPr>
          <w:i/>
        </w:rPr>
        <w:t>El Tiempo</w:t>
      </w:r>
      <w:r>
        <w:t xml:space="preserve">. </w:t>
      </w:r>
      <w:hyperlink r:id="rId152">
        <w:r>
          <w:t>https://www.eltiempo.com/archivo/documento/MAM-138869.</w:t>
        </w:r>
      </w:hyperlink>
    </w:p>
    <w:p w:rsidR="003804AC" w:rsidRDefault="00AF18A5" w:rsidP="00B72257">
      <w:r>
        <w:t xml:space="preserve">———. ««Paras» extraditados seguían delinquiendo e incumplían compromisos de ley de Justicia y Paz: Uribe». 13 de mayo de 2008. </w:t>
      </w:r>
      <w:r>
        <w:rPr>
          <w:i/>
        </w:rPr>
        <w:t>El Tiempo</w:t>
      </w:r>
      <w:r>
        <w:t xml:space="preserve">. </w:t>
      </w:r>
      <w:hyperlink r:id="rId153">
        <w:r>
          <w:rPr>
            <w:spacing w:val="-2"/>
          </w:rPr>
          <w:t>https://www.eltiempo.com/archivo/documento/CMS-4162180</w:t>
        </w:r>
      </w:hyperlink>
      <w:r>
        <w:rPr>
          <w:spacing w:val="-2"/>
        </w:rPr>
        <w:t>.</w:t>
      </w:r>
    </w:p>
    <w:p w:rsidR="003804AC" w:rsidRDefault="00AF18A5" w:rsidP="00B72257">
      <w:r>
        <w:lastRenderedPageBreak/>
        <w:t>Centro de Memoria Histórica (CNMH). «Justicia y Paz: Los silencios y los olvidos de la verdad». Módulo de Captura, Comisión para el Esclarecimiento de la Verdad, la Convivencia y la No Repetición. 2012.</w:t>
      </w:r>
    </w:p>
    <w:p w:rsidR="003804AC" w:rsidRDefault="00AF18A5" w:rsidP="00B72257">
      <w:r>
        <w:t>Centro</w:t>
      </w:r>
      <w:r>
        <w:rPr>
          <w:spacing w:val="-6"/>
        </w:rPr>
        <w:t xml:space="preserve"> </w:t>
      </w:r>
      <w:r>
        <w:t>Nacional</w:t>
      </w:r>
      <w:r>
        <w:rPr>
          <w:spacing w:val="-5"/>
        </w:rPr>
        <w:t xml:space="preserve"> </w:t>
      </w:r>
      <w:r>
        <w:t>de</w:t>
      </w:r>
      <w:r>
        <w:rPr>
          <w:spacing w:val="-6"/>
        </w:rPr>
        <w:t xml:space="preserve"> </w:t>
      </w:r>
      <w:r>
        <w:t>Memoria</w:t>
      </w:r>
      <w:r>
        <w:rPr>
          <w:spacing w:val="-6"/>
        </w:rPr>
        <w:t xml:space="preserve"> </w:t>
      </w:r>
      <w:r>
        <w:t>Histórica.</w:t>
      </w:r>
      <w:r>
        <w:rPr>
          <w:spacing w:val="-6"/>
        </w:rPr>
        <w:t xml:space="preserve"> </w:t>
      </w:r>
      <w:r>
        <w:rPr>
          <w:i/>
        </w:rPr>
        <w:t>Medellín:</w:t>
      </w:r>
      <w:r>
        <w:rPr>
          <w:i/>
          <w:spacing w:val="-5"/>
        </w:rPr>
        <w:t xml:space="preserve"> </w:t>
      </w:r>
      <w:r>
        <w:rPr>
          <w:i/>
        </w:rPr>
        <w:t>memorias</w:t>
      </w:r>
      <w:r>
        <w:rPr>
          <w:i/>
          <w:spacing w:val="-6"/>
        </w:rPr>
        <w:t xml:space="preserve"> </w:t>
      </w:r>
      <w:r>
        <w:rPr>
          <w:i/>
        </w:rPr>
        <w:t>de</w:t>
      </w:r>
      <w:r>
        <w:rPr>
          <w:i/>
          <w:spacing w:val="-6"/>
        </w:rPr>
        <w:t xml:space="preserve"> </w:t>
      </w:r>
      <w:r>
        <w:rPr>
          <w:i/>
        </w:rPr>
        <w:t>una</w:t>
      </w:r>
      <w:r>
        <w:rPr>
          <w:i/>
          <w:spacing w:val="-6"/>
        </w:rPr>
        <w:t xml:space="preserve"> </w:t>
      </w:r>
      <w:r>
        <w:rPr>
          <w:i/>
        </w:rPr>
        <w:t>guerra</w:t>
      </w:r>
      <w:r>
        <w:rPr>
          <w:i/>
          <w:spacing w:val="-6"/>
        </w:rPr>
        <w:t xml:space="preserve"> </w:t>
      </w:r>
      <w:r>
        <w:rPr>
          <w:i/>
        </w:rPr>
        <w:t>urbana</w:t>
      </w:r>
      <w:r>
        <w:t>.</w:t>
      </w:r>
      <w:r>
        <w:rPr>
          <w:spacing w:val="-5"/>
        </w:rPr>
        <w:t xml:space="preserve"> </w:t>
      </w:r>
      <w:r>
        <w:t>Bogotá: CNMH- Corporación Región - Ministerio del Interior - Alcaldía de Medellín - Universidad EAFIT - Universidad de Antioquia, 2017.</w:t>
      </w:r>
    </w:p>
    <w:p w:rsidR="003804AC" w:rsidRDefault="00AF18A5" w:rsidP="00B72257">
      <w:r>
        <w:t>Centro</w:t>
      </w:r>
      <w:r>
        <w:rPr>
          <w:spacing w:val="-13"/>
        </w:rPr>
        <w:t xml:space="preserve"> </w:t>
      </w:r>
      <w:r>
        <w:t>Nacional</w:t>
      </w:r>
      <w:r>
        <w:rPr>
          <w:spacing w:val="-13"/>
        </w:rPr>
        <w:t xml:space="preserve"> </w:t>
      </w:r>
      <w:r>
        <w:t>De</w:t>
      </w:r>
      <w:r>
        <w:rPr>
          <w:spacing w:val="-13"/>
        </w:rPr>
        <w:t xml:space="preserve"> </w:t>
      </w:r>
      <w:r>
        <w:t>Memoria</w:t>
      </w:r>
      <w:r>
        <w:rPr>
          <w:spacing w:val="-13"/>
        </w:rPr>
        <w:t xml:space="preserve"> </w:t>
      </w:r>
      <w:r>
        <w:t>Histórica</w:t>
      </w:r>
      <w:r>
        <w:rPr>
          <w:spacing w:val="-13"/>
        </w:rPr>
        <w:t xml:space="preserve"> </w:t>
      </w:r>
      <w:r>
        <w:t>(CNMH).</w:t>
      </w:r>
      <w:r>
        <w:rPr>
          <w:spacing w:val="-13"/>
        </w:rPr>
        <w:t xml:space="preserve"> </w:t>
      </w:r>
      <w:r>
        <w:t>¡Basta</w:t>
      </w:r>
      <w:r>
        <w:rPr>
          <w:spacing w:val="-13"/>
        </w:rPr>
        <w:t xml:space="preserve"> </w:t>
      </w:r>
      <w:r>
        <w:t>ya!</w:t>
      </w:r>
      <w:r>
        <w:rPr>
          <w:spacing w:val="-13"/>
        </w:rPr>
        <w:t xml:space="preserve"> </w:t>
      </w:r>
      <w:r>
        <w:t>Colombia,</w:t>
      </w:r>
      <w:r>
        <w:rPr>
          <w:spacing w:val="-13"/>
        </w:rPr>
        <w:t xml:space="preserve"> </w:t>
      </w:r>
      <w:r>
        <w:t>memorias</w:t>
      </w:r>
      <w:r>
        <w:rPr>
          <w:spacing w:val="-13"/>
        </w:rPr>
        <w:t xml:space="preserve"> </w:t>
      </w:r>
      <w:r>
        <w:t>de</w:t>
      </w:r>
      <w:r>
        <w:rPr>
          <w:spacing w:val="-13"/>
        </w:rPr>
        <w:t xml:space="preserve"> </w:t>
      </w:r>
      <w:r>
        <w:t>guerra y dignidad: informe general. Bogotá: CNMH, 2013.</w:t>
      </w:r>
    </w:p>
    <w:p w:rsidR="003804AC" w:rsidRDefault="00AF18A5" w:rsidP="00B72257">
      <w:r>
        <w:t xml:space="preserve">———. </w:t>
      </w:r>
      <w:r>
        <w:rPr>
          <w:i/>
        </w:rPr>
        <w:t>Tomas y ataques guerrilleros (1965 - 2013)</w:t>
      </w:r>
      <w:r>
        <w:t>. Bogotá: Centro Nacional de</w:t>
      </w:r>
      <w:r>
        <w:rPr>
          <w:spacing w:val="-1"/>
        </w:rPr>
        <w:t xml:space="preserve"> </w:t>
      </w:r>
      <w:r>
        <w:t>Memoria Histórica (CNMH), 2016.</w:t>
      </w:r>
    </w:p>
    <w:p w:rsidR="003804AC" w:rsidRDefault="00AF18A5" w:rsidP="00B72257">
      <w:r>
        <w:t>Colectivo de Abogados José Alvear Restrepo, Centro por la Justicia y el Derecho Internacional,</w:t>
      </w:r>
      <w:r>
        <w:rPr>
          <w:spacing w:val="-6"/>
        </w:rPr>
        <w:t xml:space="preserve"> </w:t>
      </w:r>
      <w:r>
        <w:t>y</w:t>
      </w:r>
      <w:r>
        <w:rPr>
          <w:spacing w:val="-6"/>
        </w:rPr>
        <w:t xml:space="preserve"> </w:t>
      </w:r>
      <w:r>
        <w:t>Comisión</w:t>
      </w:r>
      <w:r>
        <w:rPr>
          <w:spacing w:val="-6"/>
        </w:rPr>
        <w:t xml:space="preserve"> </w:t>
      </w:r>
      <w:proofErr w:type="spellStart"/>
      <w:r>
        <w:t>Intereclesial</w:t>
      </w:r>
      <w:proofErr w:type="spellEnd"/>
      <w:r>
        <w:rPr>
          <w:spacing w:val="-6"/>
        </w:rPr>
        <w:t xml:space="preserve"> </w:t>
      </w:r>
      <w:r>
        <w:t>de</w:t>
      </w:r>
      <w:r>
        <w:rPr>
          <w:spacing w:val="-7"/>
        </w:rPr>
        <w:t xml:space="preserve"> </w:t>
      </w:r>
      <w:r>
        <w:t>Justicia</w:t>
      </w:r>
      <w:r>
        <w:rPr>
          <w:spacing w:val="-6"/>
        </w:rPr>
        <w:t xml:space="preserve"> </w:t>
      </w:r>
      <w:r>
        <w:t>y</w:t>
      </w:r>
      <w:r>
        <w:rPr>
          <w:spacing w:val="-6"/>
        </w:rPr>
        <w:t xml:space="preserve"> </w:t>
      </w:r>
      <w:r>
        <w:t>Paz.</w:t>
      </w:r>
      <w:r>
        <w:rPr>
          <w:spacing w:val="-6"/>
        </w:rPr>
        <w:t xml:space="preserve"> </w:t>
      </w:r>
      <w:r>
        <w:t>««Caso</w:t>
      </w:r>
      <w:r>
        <w:rPr>
          <w:spacing w:val="-6"/>
        </w:rPr>
        <w:t xml:space="preserve"> </w:t>
      </w:r>
      <w:r>
        <w:t>presentado</w:t>
      </w:r>
      <w:r>
        <w:rPr>
          <w:spacing w:val="-6"/>
        </w:rPr>
        <w:t xml:space="preserve"> </w:t>
      </w:r>
      <w:r>
        <w:t>ante</w:t>
      </w:r>
      <w:r>
        <w:rPr>
          <w:spacing w:val="-7"/>
        </w:rPr>
        <w:t xml:space="preserve"> </w:t>
      </w:r>
      <w:r>
        <w:t>la CIDH.</w:t>
      </w:r>
      <w:r>
        <w:rPr>
          <w:spacing w:val="-5"/>
        </w:rPr>
        <w:t xml:space="preserve"> </w:t>
      </w:r>
      <w:r>
        <w:t>Carlos</w:t>
      </w:r>
      <w:r>
        <w:rPr>
          <w:spacing w:val="-4"/>
        </w:rPr>
        <w:t xml:space="preserve"> </w:t>
      </w:r>
      <w:r>
        <w:t>Augusto</w:t>
      </w:r>
      <w:r>
        <w:rPr>
          <w:spacing w:val="-5"/>
        </w:rPr>
        <w:t xml:space="preserve"> </w:t>
      </w:r>
      <w:proofErr w:type="spellStart"/>
      <w:r>
        <w:t>Rodriguez</w:t>
      </w:r>
      <w:proofErr w:type="spellEnd"/>
      <w:r>
        <w:rPr>
          <w:spacing w:val="-6"/>
        </w:rPr>
        <w:t xml:space="preserve"> </w:t>
      </w:r>
      <w:r>
        <w:t>Vera</w:t>
      </w:r>
      <w:r>
        <w:rPr>
          <w:spacing w:val="-4"/>
        </w:rPr>
        <w:t xml:space="preserve"> </w:t>
      </w:r>
      <w:r>
        <w:t>y</w:t>
      </w:r>
      <w:r>
        <w:rPr>
          <w:spacing w:val="-5"/>
        </w:rPr>
        <w:t xml:space="preserve"> </w:t>
      </w:r>
      <w:r>
        <w:t>otros</w:t>
      </w:r>
      <w:r>
        <w:rPr>
          <w:spacing w:val="-6"/>
        </w:rPr>
        <w:t xml:space="preserve"> </w:t>
      </w:r>
      <w:r>
        <w:t>(Palacio</w:t>
      </w:r>
      <w:r>
        <w:rPr>
          <w:spacing w:val="-5"/>
        </w:rPr>
        <w:t xml:space="preserve"> </w:t>
      </w:r>
      <w:r>
        <w:t>de</w:t>
      </w:r>
      <w:r>
        <w:rPr>
          <w:spacing w:val="-6"/>
        </w:rPr>
        <w:t xml:space="preserve"> </w:t>
      </w:r>
      <w:r>
        <w:t>Justicia)</w:t>
      </w:r>
      <w:r>
        <w:rPr>
          <w:spacing w:val="-4"/>
        </w:rPr>
        <w:t xml:space="preserve"> </w:t>
      </w:r>
      <w:r>
        <w:t>VS.</w:t>
      </w:r>
      <w:r>
        <w:rPr>
          <w:spacing w:val="-5"/>
        </w:rPr>
        <w:t xml:space="preserve"> </w:t>
      </w:r>
      <w:r>
        <w:t xml:space="preserve">Colombia. Escrito de solicitudes, argumentos y pruebas».». 2012. </w:t>
      </w:r>
      <w:proofErr w:type="spellStart"/>
      <w:r>
        <w:t>chrome</w:t>
      </w:r>
      <w:proofErr w:type="spellEnd"/>
      <w:r>
        <w:t xml:space="preserve">- </w:t>
      </w:r>
      <w:r>
        <w:rPr>
          <w:spacing w:val="-2"/>
        </w:rPr>
        <w:t>extension://efaidnbmnnnibpcajpcglclefindmkaj/https</w:t>
      </w:r>
      <w:hyperlink r:id="rId154">
        <w:r>
          <w:rPr>
            <w:spacing w:val="-2"/>
          </w:rPr>
          <w:t>://w</w:t>
        </w:r>
      </w:hyperlink>
      <w:r>
        <w:rPr>
          <w:spacing w:val="-2"/>
        </w:rPr>
        <w:t>ww.</w:t>
      </w:r>
      <w:hyperlink r:id="rId155">
        <w:r>
          <w:rPr>
            <w:spacing w:val="-2"/>
          </w:rPr>
          <w:t>corteidh.or.cr/docs/ca</w:t>
        </w:r>
      </w:hyperlink>
      <w:r>
        <w:rPr>
          <w:spacing w:val="-2"/>
        </w:rPr>
        <w:t xml:space="preserve"> </w:t>
      </w:r>
      <w:proofErr w:type="spellStart"/>
      <w:r>
        <w:rPr>
          <w:spacing w:val="-2"/>
        </w:rPr>
        <w:t>sos</w:t>
      </w:r>
      <w:proofErr w:type="spellEnd"/>
      <w:r>
        <w:rPr>
          <w:spacing w:val="-2"/>
        </w:rPr>
        <w:t>/</w:t>
      </w:r>
      <w:proofErr w:type="spellStart"/>
      <w:r>
        <w:rPr>
          <w:spacing w:val="-2"/>
        </w:rPr>
        <w:t>rodriguez_vera</w:t>
      </w:r>
      <w:proofErr w:type="spellEnd"/>
      <w:r>
        <w:rPr>
          <w:spacing w:val="-2"/>
        </w:rPr>
        <w:t>/esap.pdf.</w:t>
      </w:r>
    </w:p>
    <w:p w:rsidR="003804AC" w:rsidRDefault="00AF18A5" w:rsidP="00B72257">
      <w:r>
        <w:t>Comisión Colombiana de Juristas. Colombia: la metáfora del desmantelamiento de los grupos</w:t>
      </w:r>
      <w:r>
        <w:rPr>
          <w:spacing w:val="-12"/>
        </w:rPr>
        <w:t xml:space="preserve"> </w:t>
      </w:r>
      <w:r>
        <w:t>paramilitares:</w:t>
      </w:r>
      <w:r>
        <w:rPr>
          <w:spacing w:val="-13"/>
        </w:rPr>
        <w:t xml:space="preserve"> </w:t>
      </w:r>
      <w:r>
        <w:t>segundo</w:t>
      </w:r>
      <w:r>
        <w:rPr>
          <w:spacing w:val="-12"/>
        </w:rPr>
        <w:t xml:space="preserve"> </w:t>
      </w:r>
      <w:r>
        <w:t>informe</w:t>
      </w:r>
      <w:r>
        <w:rPr>
          <w:spacing w:val="-12"/>
        </w:rPr>
        <w:t xml:space="preserve"> </w:t>
      </w:r>
      <w:r>
        <w:t>de</w:t>
      </w:r>
      <w:r>
        <w:rPr>
          <w:spacing w:val="-12"/>
        </w:rPr>
        <w:t xml:space="preserve"> </w:t>
      </w:r>
      <w:r>
        <w:t>balance</w:t>
      </w:r>
      <w:r>
        <w:rPr>
          <w:spacing w:val="-12"/>
        </w:rPr>
        <w:t xml:space="preserve"> </w:t>
      </w:r>
      <w:r>
        <w:t>sobre</w:t>
      </w:r>
      <w:r>
        <w:rPr>
          <w:spacing w:val="-13"/>
        </w:rPr>
        <w:t xml:space="preserve"> </w:t>
      </w:r>
      <w:r>
        <w:t>la</w:t>
      </w:r>
      <w:r>
        <w:rPr>
          <w:spacing w:val="-12"/>
        </w:rPr>
        <w:t xml:space="preserve"> </w:t>
      </w:r>
      <w:r>
        <w:t>aplicación</w:t>
      </w:r>
      <w:r>
        <w:rPr>
          <w:spacing w:val="-12"/>
        </w:rPr>
        <w:t xml:space="preserve"> </w:t>
      </w:r>
      <w:r>
        <w:t>de</w:t>
      </w:r>
      <w:r>
        <w:rPr>
          <w:spacing w:val="-14"/>
        </w:rPr>
        <w:t xml:space="preserve"> </w:t>
      </w:r>
      <w:r>
        <w:t>la</w:t>
      </w:r>
      <w:r>
        <w:rPr>
          <w:spacing w:val="-12"/>
        </w:rPr>
        <w:t xml:space="preserve"> </w:t>
      </w:r>
      <w:r>
        <w:t>ley</w:t>
      </w:r>
      <w:r>
        <w:rPr>
          <w:spacing w:val="-12"/>
        </w:rPr>
        <w:t xml:space="preserve"> </w:t>
      </w:r>
      <w:r>
        <w:t>975 de 2005. Bogotá: Opciones Gráficas Editores, 2010.</w:t>
      </w:r>
    </w:p>
    <w:p w:rsidR="003804AC" w:rsidRDefault="00AF18A5" w:rsidP="00B72257">
      <w:r>
        <w:t xml:space="preserve">Comisión </w:t>
      </w:r>
      <w:proofErr w:type="spellStart"/>
      <w:r>
        <w:t>Interamercana</w:t>
      </w:r>
      <w:proofErr w:type="spellEnd"/>
      <w:r>
        <w:t xml:space="preserve"> de Derechos Humanos (CIDH). «Informe </w:t>
      </w:r>
      <w:proofErr w:type="spellStart"/>
      <w:r>
        <w:t>N°</w:t>
      </w:r>
      <w:proofErr w:type="spellEnd"/>
      <w:r>
        <w:t xml:space="preserve"> 64/11, Caso 12.573, Informe sobre fondo, Marino López</w:t>
      </w:r>
      <w:r>
        <w:rPr>
          <w:spacing w:val="-1"/>
        </w:rPr>
        <w:t xml:space="preserve"> </w:t>
      </w:r>
      <w:r>
        <w:t>y otros (Operación Génesis) Colombia». 2011</w:t>
      </w:r>
    </w:p>
    <w:p w:rsidR="003804AC" w:rsidRDefault="00AF18A5" w:rsidP="00B72257">
      <w:r>
        <w:lastRenderedPageBreak/>
        <w:t>Comisión Interamericana de Derechos Humanos. «Comunicado de Prensa 21/01 Preocupación</w:t>
      </w:r>
      <w:r>
        <w:rPr>
          <w:spacing w:val="-15"/>
        </w:rPr>
        <w:t xml:space="preserve"> </w:t>
      </w:r>
      <w:r>
        <w:t>de</w:t>
      </w:r>
      <w:r>
        <w:rPr>
          <w:spacing w:val="-15"/>
        </w:rPr>
        <w:t xml:space="preserve"> </w:t>
      </w:r>
      <w:r>
        <w:t>la</w:t>
      </w:r>
      <w:r>
        <w:rPr>
          <w:spacing w:val="-15"/>
        </w:rPr>
        <w:t xml:space="preserve"> </w:t>
      </w:r>
      <w:r>
        <w:t>CIDH</w:t>
      </w:r>
      <w:r>
        <w:rPr>
          <w:spacing w:val="-15"/>
        </w:rPr>
        <w:t xml:space="preserve"> </w:t>
      </w:r>
      <w:r>
        <w:t>por</w:t>
      </w:r>
      <w:r>
        <w:rPr>
          <w:spacing w:val="-15"/>
        </w:rPr>
        <w:t xml:space="preserve"> </w:t>
      </w:r>
      <w:r>
        <w:t>cambios</w:t>
      </w:r>
      <w:r>
        <w:rPr>
          <w:spacing w:val="-15"/>
        </w:rPr>
        <w:t xml:space="preserve"> </w:t>
      </w:r>
      <w:r>
        <w:t>en</w:t>
      </w:r>
      <w:r>
        <w:rPr>
          <w:spacing w:val="-15"/>
        </w:rPr>
        <w:t xml:space="preserve"> </w:t>
      </w:r>
      <w:r>
        <w:t>la</w:t>
      </w:r>
      <w:r>
        <w:rPr>
          <w:spacing w:val="-15"/>
        </w:rPr>
        <w:t xml:space="preserve"> </w:t>
      </w:r>
      <w:r>
        <w:t>Unidad</w:t>
      </w:r>
      <w:r>
        <w:rPr>
          <w:spacing w:val="-15"/>
        </w:rPr>
        <w:t xml:space="preserve"> </w:t>
      </w:r>
      <w:r>
        <w:t>Nacional</w:t>
      </w:r>
      <w:r>
        <w:rPr>
          <w:spacing w:val="-15"/>
        </w:rPr>
        <w:t xml:space="preserve"> </w:t>
      </w:r>
      <w:r>
        <w:t>de</w:t>
      </w:r>
      <w:r>
        <w:rPr>
          <w:spacing w:val="-15"/>
        </w:rPr>
        <w:t xml:space="preserve"> </w:t>
      </w:r>
      <w:r>
        <w:t>Derechos</w:t>
      </w:r>
      <w:r>
        <w:rPr>
          <w:spacing w:val="-15"/>
        </w:rPr>
        <w:t xml:space="preserve"> </w:t>
      </w:r>
      <w:r>
        <w:t xml:space="preserve">Humanos en Colombia». Accedido 27 de junio de 2022. Acceso el 27 de junio de 2022. </w:t>
      </w:r>
      <w:hyperlink r:id="rId156">
        <w:r>
          <w:rPr>
            <w:spacing w:val="-2"/>
          </w:rPr>
          <w:t>http://www.cidh.org/Comunicados/Spanish/2001/21-01.htm.</w:t>
        </w:r>
      </w:hyperlink>
    </w:p>
    <w:p w:rsidR="0011361F" w:rsidRDefault="00AF18A5" w:rsidP="00B72257">
      <w:r>
        <w:t>Comisión</w:t>
      </w:r>
      <w:r>
        <w:rPr>
          <w:spacing w:val="-4"/>
        </w:rPr>
        <w:t xml:space="preserve"> </w:t>
      </w:r>
      <w:r>
        <w:t>Interamericana</w:t>
      </w:r>
      <w:r>
        <w:rPr>
          <w:spacing w:val="-3"/>
        </w:rPr>
        <w:t xml:space="preserve"> </w:t>
      </w:r>
      <w:r>
        <w:t>de</w:t>
      </w:r>
      <w:r>
        <w:rPr>
          <w:spacing w:val="-3"/>
        </w:rPr>
        <w:t xml:space="preserve"> </w:t>
      </w:r>
      <w:r>
        <w:t>Derechos</w:t>
      </w:r>
      <w:r>
        <w:rPr>
          <w:spacing w:val="-3"/>
        </w:rPr>
        <w:t xml:space="preserve"> </w:t>
      </w:r>
      <w:r>
        <w:t>Humanos</w:t>
      </w:r>
      <w:r>
        <w:rPr>
          <w:spacing w:val="-4"/>
        </w:rPr>
        <w:t xml:space="preserve"> </w:t>
      </w:r>
      <w:r>
        <w:t>(CIDH).</w:t>
      </w:r>
      <w:r>
        <w:rPr>
          <w:spacing w:val="-3"/>
        </w:rPr>
        <w:t xml:space="preserve"> </w:t>
      </w:r>
      <w:r>
        <w:t>«Comunicado</w:t>
      </w:r>
      <w:r>
        <w:rPr>
          <w:spacing w:val="-6"/>
        </w:rPr>
        <w:t xml:space="preserve"> </w:t>
      </w:r>
      <w:r>
        <w:t>de</w:t>
      </w:r>
      <w:r>
        <w:rPr>
          <w:spacing w:val="-3"/>
        </w:rPr>
        <w:t xml:space="preserve"> </w:t>
      </w:r>
      <w:r>
        <w:t>prensa</w:t>
      </w:r>
      <w:r>
        <w:rPr>
          <w:spacing w:val="-3"/>
        </w:rPr>
        <w:t xml:space="preserve"> </w:t>
      </w:r>
      <w:r>
        <w:t>N</w:t>
      </w:r>
      <w:r>
        <w:rPr>
          <w:vertAlign w:val="superscript"/>
        </w:rPr>
        <w:t>o</w:t>
      </w:r>
      <w:r>
        <w:rPr>
          <w:spacing w:val="-4"/>
        </w:rPr>
        <w:t xml:space="preserve"> </w:t>
      </w:r>
      <w:r>
        <w:t>21/08 CIDH</w:t>
      </w:r>
      <w:r>
        <w:rPr>
          <w:spacing w:val="-15"/>
        </w:rPr>
        <w:t xml:space="preserve"> </w:t>
      </w:r>
      <w:r>
        <w:t>expresa</w:t>
      </w:r>
      <w:r>
        <w:rPr>
          <w:spacing w:val="-15"/>
        </w:rPr>
        <w:t xml:space="preserve"> </w:t>
      </w:r>
      <w:r>
        <w:t>preocupación</w:t>
      </w:r>
      <w:r>
        <w:rPr>
          <w:spacing w:val="-15"/>
        </w:rPr>
        <w:t xml:space="preserve"> </w:t>
      </w:r>
      <w:r>
        <w:t>por</w:t>
      </w:r>
      <w:r>
        <w:rPr>
          <w:spacing w:val="-15"/>
        </w:rPr>
        <w:t xml:space="preserve"> </w:t>
      </w:r>
      <w:r>
        <w:t>extradición</w:t>
      </w:r>
      <w:r>
        <w:rPr>
          <w:spacing w:val="-15"/>
        </w:rPr>
        <w:t xml:space="preserve"> </w:t>
      </w:r>
      <w:r>
        <w:t>de</w:t>
      </w:r>
      <w:r>
        <w:rPr>
          <w:spacing w:val="-15"/>
        </w:rPr>
        <w:t xml:space="preserve"> </w:t>
      </w:r>
      <w:r>
        <w:t>paramilitares</w:t>
      </w:r>
      <w:r>
        <w:rPr>
          <w:spacing w:val="-15"/>
        </w:rPr>
        <w:t xml:space="preserve"> </w:t>
      </w:r>
      <w:r>
        <w:t>colombianos».</w:t>
      </w:r>
      <w:r>
        <w:rPr>
          <w:spacing w:val="-15"/>
        </w:rPr>
        <w:t xml:space="preserve"> </w:t>
      </w:r>
      <w:r>
        <w:t xml:space="preserve">Acceso </w:t>
      </w:r>
      <w:r>
        <w:rPr>
          <w:spacing w:val="-5"/>
        </w:rPr>
        <w:t>el</w:t>
      </w:r>
      <w:r>
        <w:tab/>
      </w:r>
      <w:r>
        <w:rPr>
          <w:spacing w:val="-5"/>
        </w:rPr>
        <w:t>22</w:t>
      </w:r>
      <w:r>
        <w:tab/>
      </w:r>
      <w:r>
        <w:rPr>
          <w:spacing w:val="-5"/>
        </w:rPr>
        <w:t>de</w:t>
      </w:r>
      <w:r>
        <w:tab/>
      </w:r>
      <w:r>
        <w:rPr>
          <w:spacing w:val="-2"/>
        </w:rPr>
        <w:t>junio</w:t>
      </w:r>
      <w:r>
        <w:tab/>
      </w:r>
      <w:r>
        <w:rPr>
          <w:spacing w:val="-5"/>
        </w:rPr>
        <w:t>de</w:t>
      </w:r>
      <w:r>
        <w:tab/>
      </w:r>
      <w:r>
        <w:rPr>
          <w:spacing w:val="-2"/>
        </w:rPr>
        <w:t>2022.</w:t>
      </w:r>
      <w:r w:rsidR="00B72257">
        <w:t xml:space="preserve"> </w:t>
      </w:r>
      <w:r w:rsidR="00B72257" w:rsidRPr="00B72257">
        <w:rPr>
          <w:spacing w:val="-2"/>
        </w:rPr>
        <w:t>http://www.cidh.org/Comunicados/Spanish/2008/21.08sp.htm</w:t>
      </w:r>
      <w:r>
        <w:rPr>
          <w:spacing w:val="-2"/>
        </w:rPr>
        <w:t>.</w:t>
      </w:r>
    </w:p>
    <w:p w:rsidR="003804AC" w:rsidRDefault="00AF18A5" w:rsidP="00B72257">
      <w:r>
        <w:t>Comisión Interamericana de Derechos Humanos y OEA. Verdad, justicia y reparación: cuarto</w:t>
      </w:r>
      <w:r>
        <w:rPr>
          <w:spacing w:val="-4"/>
        </w:rPr>
        <w:t xml:space="preserve"> </w:t>
      </w:r>
      <w:r>
        <w:t>informe</w:t>
      </w:r>
      <w:r>
        <w:rPr>
          <w:spacing w:val="-4"/>
        </w:rPr>
        <w:t xml:space="preserve"> </w:t>
      </w:r>
      <w:r>
        <w:t>sobre</w:t>
      </w:r>
      <w:r>
        <w:rPr>
          <w:spacing w:val="-4"/>
        </w:rPr>
        <w:t xml:space="preserve"> </w:t>
      </w:r>
      <w:r>
        <w:t>la</w:t>
      </w:r>
      <w:r>
        <w:rPr>
          <w:spacing w:val="-6"/>
        </w:rPr>
        <w:t xml:space="preserve"> </w:t>
      </w:r>
      <w:r>
        <w:t>situación</w:t>
      </w:r>
      <w:r>
        <w:rPr>
          <w:spacing w:val="-4"/>
        </w:rPr>
        <w:t xml:space="preserve"> </w:t>
      </w:r>
      <w:r>
        <w:t>de</w:t>
      </w:r>
      <w:r>
        <w:rPr>
          <w:spacing w:val="-5"/>
        </w:rPr>
        <w:t xml:space="preserve"> </w:t>
      </w:r>
      <w:r>
        <w:t>derechos</w:t>
      </w:r>
      <w:r>
        <w:rPr>
          <w:spacing w:val="-4"/>
        </w:rPr>
        <w:t xml:space="preserve"> </w:t>
      </w:r>
      <w:r>
        <w:t>humanos</w:t>
      </w:r>
      <w:r>
        <w:rPr>
          <w:spacing w:val="-4"/>
        </w:rPr>
        <w:t xml:space="preserve"> </w:t>
      </w:r>
      <w:r>
        <w:t>en</w:t>
      </w:r>
      <w:r>
        <w:rPr>
          <w:spacing w:val="-4"/>
        </w:rPr>
        <w:t xml:space="preserve"> </w:t>
      </w:r>
      <w:r>
        <w:t>Colombia.</w:t>
      </w:r>
      <w:r>
        <w:rPr>
          <w:spacing w:val="-4"/>
        </w:rPr>
        <w:t xml:space="preserve"> </w:t>
      </w:r>
      <w:r>
        <w:t>Washington, D.C.: OEA, 2013.</w:t>
      </w:r>
    </w:p>
    <w:p w:rsidR="003804AC" w:rsidRDefault="00AF18A5" w:rsidP="00B72257">
      <w:r>
        <w:t>Comisión</w:t>
      </w:r>
      <w:r>
        <w:rPr>
          <w:spacing w:val="4"/>
        </w:rPr>
        <w:t xml:space="preserve"> </w:t>
      </w:r>
      <w:r>
        <w:t>para</w:t>
      </w:r>
      <w:r>
        <w:rPr>
          <w:spacing w:val="7"/>
        </w:rPr>
        <w:t xml:space="preserve"> </w:t>
      </w:r>
      <w:r>
        <w:t>el</w:t>
      </w:r>
      <w:r>
        <w:rPr>
          <w:spacing w:val="7"/>
        </w:rPr>
        <w:t xml:space="preserve"> </w:t>
      </w:r>
      <w:r>
        <w:t>Esclarecimiento</w:t>
      </w:r>
      <w:r>
        <w:rPr>
          <w:spacing w:val="7"/>
        </w:rPr>
        <w:t xml:space="preserve"> </w:t>
      </w:r>
      <w:r>
        <w:t>de</w:t>
      </w:r>
      <w:r>
        <w:rPr>
          <w:spacing w:val="7"/>
        </w:rPr>
        <w:t xml:space="preserve"> </w:t>
      </w:r>
      <w:r>
        <w:t>la</w:t>
      </w:r>
      <w:r>
        <w:rPr>
          <w:spacing w:val="7"/>
        </w:rPr>
        <w:t xml:space="preserve"> </w:t>
      </w:r>
      <w:r>
        <w:t>Verdad,</w:t>
      </w:r>
      <w:r>
        <w:rPr>
          <w:spacing w:val="6"/>
        </w:rPr>
        <w:t xml:space="preserve"> </w:t>
      </w:r>
      <w:r>
        <w:t>la</w:t>
      </w:r>
      <w:r>
        <w:rPr>
          <w:spacing w:val="7"/>
        </w:rPr>
        <w:t xml:space="preserve"> </w:t>
      </w:r>
      <w:r>
        <w:t>Convivencia</w:t>
      </w:r>
      <w:r>
        <w:rPr>
          <w:spacing w:val="7"/>
        </w:rPr>
        <w:t xml:space="preserve"> </w:t>
      </w:r>
      <w:r>
        <w:t>y</w:t>
      </w:r>
      <w:r>
        <w:rPr>
          <w:spacing w:val="7"/>
        </w:rPr>
        <w:t xml:space="preserve"> </w:t>
      </w:r>
      <w:r>
        <w:t>la</w:t>
      </w:r>
      <w:r>
        <w:rPr>
          <w:spacing w:val="7"/>
        </w:rPr>
        <w:t xml:space="preserve"> </w:t>
      </w:r>
      <w:r>
        <w:t>No</w:t>
      </w:r>
      <w:r>
        <w:rPr>
          <w:spacing w:val="7"/>
        </w:rPr>
        <w:t xml:space="preserve"> </w:t>
      </w:r>
      <w:r>
        <w:t>Repetición</w:t>
      </w:r>
      <w:r>
        <w:rPr>
          <w:spacing w:val="6"/>
        </w:rPr>
        <w:t xml:space="preserve"> </w:t>
      </w:r>
      <w:r>
        <w:rPr>
          <w:spacing w:val="-2"/>
        </w:rPr>
        <w:t>(CEV).</w:t>
      </w:r>
    </w:p>
    <w:p w:rsidR="003804AC" w:rsidRDefault="00AF18A5" w:rsidP="00B72257">
      <w:r>
        <w:t>«En acto de reconocimiento, Partido FARC habló de las masacres y violaciones</w:t>
      </w:r>
      <w:r>
        <w:rPr>
          <w:spacing w:val="80"/>
          <w:w w:val="150"/>
        </w:rPr>
        <w:t xml:space="preserve"> </w:t>
      </w:r>
      <w:r>
        <w:t>cometidas</w:t>
      </w:r>
      <w:r>
        <w:rPr>
          <w:spacing w:val="-6"/>
        </w:rPr>
        <w:t xml:space="preserve"> </w:t>
      </w:r>
      <w:r>
        <w:t>contra</w:t>
      </w:r>
      <w:r>
        <w:rPr>
          <w:spacing w:val="-5"/>
        </w:rPr>
        <w:t xml:space="preserve"> </w:t>
      </w:r>
      <w:r>
        <w:t>pueblos</w:t>
      </w:r>
      <w:r>
        <w:rPr>
          <w:spacing w:val="-5"/>
        </w:rPr>
        <w:t xml:space="preserve"> </w:t>
      </w:r>
      <w:r>
        <w:t>indígenas</w:t>
      </w:r>
      <w:r>
        <w:rPr>
          <w:spacing w:val="-5"/>
        </w:rPr>
        <w:t xml:space="preserve"> </w:t>
      </w:r>
      <w:r>
        <w:t>-</w:t>
      </w:r>
      <w:r>
        <w:rPr>
          <w:spacing w:val="-6"/>
        </w:rPr>
        <w:t xml:space="preserve"> </w:t>
      </w:r>
      <w:r>
        <w:t>Comisión</w:t>
      </w:r>
      <w:r>
        <w:rPr>
          <w:spacing w:val="-6"/>
        </w:rPr>
        <w:t xml:space="preserve"> </w:t>
      </w:r>
      <w:r>
        <w:t>de</w:t>
      </w:r>
      <w:r>
        <w:rPr>
          <w:spacing w:val="-5"/>
        </w:rPr>
        <w:t xml:space="preserve"> </w:t>
      </w:r>
      <w:r>
        <w:t>la</w:t>
      </w:r>
      <w:r>
        <w:rPr>
          <w:spacing w:val="-5"/>
        </w:rPr>
        <w:t xml:space="preserve"> </w:t>
      </w:r>
      <w:r>
        <w:t>Verdad</w:t>
      </w:r>
      <w:r>
        <w:rPr>
          <w:spacing w:val="-6"/>
        </w:rPr>
        <w:t xml:space="preserve"> </w:t>
      </w:r>
      <w:r>
        <w:t>Colombia».</w:t>
      </w:r>
      <w:r>
        <w:rPr>
          <w:spacing w:val="-6"/>
        </w:rPr>
        <w:t xml:space="preserve"> </w:t>
      </w:r>
      <w:r>
        <w:t>Acceso</w:t>
      </w:r>
      <w:r>
        <w:rPr>
          <w:spacing w:val="-5"/>
        </w:rPr>
        <w:t xml:space="preserve"> el</w:t>
      </w:r>
      <w:r w:rsidR="00B72257">
        <w:rPr>
          <w:spacing w:val="-5"/>
        </w:rPr>
        <w:t xml:space="preserve"> </w:t>
      </w:r>
      <w:r>
        <w:rPr>
          <w:spacing w:val="-5"/>
        </w:rPr>
        <w:t>22</w:t>
      </w:r>
      <w:r w:rsidR="00B72257">
        <w:t xml:space="preserve"> </w:t>
      </w:r>
      <w:r>
        <w:rPr>
          <w:spacing w:val="-5"/>
        </w:rPr>
        <w:t>de</w:t>
      </w:r>
      <w:r w:rsidR="00B72257">
        <w:rPr>
          <w:spacing w:val="-5"/>
        </w:rPr>
        <w:t xml:space="preserve"> </w:t>
      </w:r>
      <w:r>
        <w:t>junio</w:t>
      </w:r>
      <w:r w:rsidR="00B72257">
        <w:t xml:space="preserve"> </w:t>
      </w:r>
      <w:r>
        <w:rPr>
          <w:spacing w:val="-5"/>
        </w:rPr>
        <w:t>de</w:t>
      </w:r>
      <w:r w:rsidR="00B72257">
        <w:rPr>
          <w:spacing w:val="-5"/>
        </w:rPr>
        <w:t xml:space="preserve"> </w:t>
      </w:r>
      <w:r>
        <w:t>2022.</w:t>
      </w:r>
    </w:p>
    <w:p w:rsidR="003804AC" w:rsidRDefault="00B93F6A" w:rsidP="00B72257">
      <w:hyperlink r:id="rId157">
        <w:r w:rsidR="00AF18A5">
          <w:rPr>
            <w:spacing w:val="-2"/>
          </w:rPr>
          <w:t>https://comisiondelaverdad.co/actualidad/noticias/reconocimiento-farc-hablo-</w:t>
        </w:r>
      </w:hyperlink>
      <w:r w:rsidR="00AF18A5">
        <w:rPr>
          <w:spacing w:val="-2"/>
        </w:rPr>
        <w:t xml:space="preserve"> </w:t>
      </w:r>
      <w:hyperlink r:id="rId158">
        <w:r w:rsidR="00AF18A5">
          <w:rPr>
            <w:spacing w:val="-2"/>
          </w:rPr>
          <w:t>masacres-violaciones-cometidas-contra-pueblos-</w:t>
        </w:r>
        <w:proofErr w:type="spellStart"/>
        <w:r w:rsidR="00AF18A5">
          <w:rPr>
            <w:spacing w:val="-2"/>
          </w:rPr>
          <w:t>indigenas</w:t>
        </w:r>
        <w:proofErr w:type="spellEnd"/>
      </w:hyperlink>
      <w:r w:rsidR="00AF18A5">
        <w:rPr>
          <w:spacing w:val="-2"/>
        </w:rPr>
        <w:t>.</w:t>
      </w:r>
    </w:p>
    <w:p w:rsidR="003804AC" w:rsidRDefault="00AF18A5" w:rsidP="00B72257">
      <w:r>
        <w:t>———.</w:t>
      </w:r>
      <w:r>
        <w:rPr>
          <w:spacing w:val="34"/>
        </w:rPr>
        <w:t xml:space="preserve"> </w:t>
      </w:r>
      <w:r>
        <w:t>«“Estaba</w:t>
      </w:r>
      <w:r>
        <w:rPr>
          <w:spacing w:val="34"/>
        </w:rPr>
        <w:t xml:space="preserve"> </w:t>
      </w:r>
      <w:r>
        <w:t>más</w:t>
      </w:r>
      <w:r>
        <w:rPr>
          <w:spacing w:val="33"/>
        </w:rPr>
        <w:t xml:space="preserve"> </w:t>
      </w:r>
      <w:r>
        <w:t>preparada</w:t>
      </w:r>
      <w:r>
        <w:rPr>
          <w:spacing w:val="34"/>
        </w:rPr>
        <w:t xml:space="preserve"> </w:t>
      </w:r>
      <w:r>
        <w:t>la</w:t>
      </w:r>
      <w:r>
        <w:rPr>
          <w:spacing w:val="33"/>
        </w:rPr>
        <w:t xml:space="preserve"> </w:t>
      </w:r>
      <w:r>
        <w:t>sociedad</w:t>
      </w:r>
      <w:r>
        <w:rPr>
          <w:spacing w:val="34"/>
        </w:rPr>
        <w:t xml:space="preserve"> </w:t>
      </w:r>
      <w:r>
        <w:t>que</w:t>
      </w:r>
      <w:r>
        <w:rPr>
          <w:spacing w:val="34"/>
        </w:rPr>
        <w:t xml:space="preserve"> </w:t>
      </w:r>
      <w:r>
        <w:t>las</w:t>
      </w:r>
      <w:r>
        <w:rPr>
          <w:spacing w:val="34"/>
        </w:rPr>
        <w:t xml:space="preserve"> </w:t>
      </w:r>
      <w:r>
        <w:t>instituciones</w:t>
      </w:r>
      <w:r>
        <w:rPr>
          <w:spacing w:val="34"/>
        </w:rPr>
        <w:t xml:space="preserve"> </w:t>
      </w:r>
      <w:r>
        <w:t>para</w:t>
      </w:r>
      <w:r>
        <w:rPr>
          <w:spacing w:val="34"/>
        </w:rPr>
        <w:t xml:space="preserve"> </w:t>
      </w:r>
      <w:r>
        <w:t>el</w:t>
      </w:r>
      <w:r>
        <w:rPr>
          <w:spacing w:val="34"/>
        </w:rPr>
        <w:t xml:space="preserve"> </w:t>
      </w:r>
      <w:r>
        <w:t>posconflicto”: Alfonso</w:t>
      </w:r>
      <w:r>
        <w:rPr>
          <w:spacing w:val="-10"/>
        </w:rPr>
        <w:t xml:space="preserve"> </w:t>
      </w:r>
      <w:r>
        <w:t>Valdivieso».</w:t>
      </w:r>
      <w:r>
        <w:rPr>
          <w:spacing w:val="-10"/>
        </w:rPr>
        <w:t xml:space="preserve"> </w:t>
      </w:r>
      <w:r>
        <w:t>Accedido</w:t>
      </w:r>
      <w:r>
        <w:rPr>
          <w:spacing w:val="-10"/>
        </w:rPr>
        <w:t xml:space="preserve"> </w:t>
      </w:r>
      <w:r>
        <w:t>22</w:t>
      </w:r>
      <w:r>
        <w:rPr>
          <w:spacing w:val="-10"/>
        </w:rPr>
        <w:t xml:space="preserve"> </w:t>
      </w:r>
      <w:r>
        <w:t>de</w:t>
      </w:r>
      <w:r>
        <w:rPr>
          <w:spacing w:val="-11"/>
        </w:rPr>
        <w:t xml:space="preserve"> </w:t>
      </w:r>
      <w:r>
        <w:t>junio</w:t>
      </w:r>
      <w:r>
        <w:rPr>
          <w:spacing w:val="-10"/>
        </w:rPr>
        <w:t xml:space="preserve"> </w:t>
      </w:r>
      <w:r>
        <w:t>de</w:t>
      </w:r>
      <w:r>
        <w:rPr>
          <w:spacing w:val="-9"/>
        </w:rPr>
        <w:t xml:space="preserve"> </w:t>
      </w:r>
      <w:r>
        <w:t>2022.</w:t>
      </w:r>
      <w:r>
        <w:rPr>
          <w:spacing w:val="-10"/>
        </w:rPr>
        <w:t xml:space="preserve"> </w:t>
      </w:r>
      <w:r>
        <w:t>Acceso</w:t>
      </w:r>
      <w:r>
        <w:rPr>
          <w:spacing w:val="-10"/>
        </w:rPr>
        <w:t xml:space="preserve"> </w:t>
      </w:r>
      <w:r>
        <w:t>el</w:t>
      </w:r>
      <w:r>
        <w:rPr>
          <w:spacing w:val="-9"/>
        </w:rPr>
        <w:t xml:space="preserve"> </w:t>
      </w:r>
      <w:r>
        <w:t>22</w:t>
      </w:r>
      <w:r>
        <w:rPr>
          <w:spacing w:val="-10"/>
        </w:rPr>
        <w:t xml:space="preserve"> </w:t>
      </w:r>
      <w:r>
        <w:t>de</w:t>
      </w:r>
      <w:r>
        <w:rPr>
          <w:spacing w:val="-9"/>
        </w:rPr>
        <w:t xml:space="preserve"> </w:t>
      </w:r>
      <w:r>
        <w:t>junio</w:t>
      </w:r>
      <w:r>
        <w:rPr>
          <w:spacing w:val="-11"/>
        </w:rPr>
        <w:t xml:space="preserve"> </w:t>
      </w:r>
      <w:r>
        <w:t>de</w:t>
      </w:r>
      <w:r>
        <w:rPr>
          <w:spacing w:val="-9"/>
        </w:rPr>
        <w:t xml:space="preserve"> </w:t>
      </w:r>
      <w:r>
        <w:t xml:space="preserve">2022. </w:t>
      </w:r>
      <w:hyperlink r:id="rId159">
        <w:r>
          <w:rPr>
            <w:spacing w:val="-2"/>
          </w:rPr>
          <w:t>https://comisiondelaverdad.co/actualidad/noticias/alfonso-valdivieso-sociedad-</w:t>
        </w:r>
      </w:hyperlink>
      <w:r>
        <w:rPr>
          <w:spacing w:val="40"/>
        </w:rPr>
        <w:t xml:space="preserve">  </w:t>
      </w:r>
      <w:hyperlink r:id="rId160">
        <w:r>
          <w:rPr>
            <w:spacing w:val="-2"/>
          </w:rPr>
          <w:t>que-las-instituciones-para-el-posconflicto</w:t>
        </w:r>
      </w:hyperlink>
      <w:r>
        <w:rPr>
          <w:spacing w:val="-2"/>
        </w:rPr>
        <w:t>.</w:t>
      </w:r>
    </w:p>
    <w:p w:rsidR="003804AC" w:rsidRDefault="00AF18A5" w:rsidP="00B72257">
      <w:proofErr w:type="spellStart"/>
      <w:r>
        <w:t>Modulo</w:t>
      </w:r>
      <w:proofErr w:type="spellEnd"/>
      <w:r w:rsidR="00B72257">
        <w:t xml:space="preserve"> </w:t>
      </w:r>
      <w:r>
        <w:rPr>
          <w:spacing w:val="-5"/>
        </w:rPr>
        <w:t>de</w:t>
      </w:r>
      <w:r w:rsidR="00B72257">
        <w:rPr>
          <w:spacing w:val="-5"/>
        </w:rPr>
        <w:t xml:space="preserve"> </w:t>
      </w:r>
      <w:r>
        <w:t>Catalogación</w:t>
      </w:r>
      <w:r w:rsidR="00B72257">
        <w:t xml:space="preserve"> </w:t>
      </w:r>
      <w:r>
        <w:t>Colaborativa</w:t>
      </w:r>
      <w:r w:rsidR="00B72257">
        <w:t xml:space="preserve"> </w:t>
      </w:r>
      <w:r>
        <w:t>1000131-OIMB-</w:t>
      </w:r>
      <w:r>
        <w:lastRenderedPageBreak/>
        <w:t>624684edcab0a129ef2ff78b.</w:t>
      </w:r>
    </w:p>
    <w:p w:rsidR="003804AC" w:rsidRDefault="00AF18A5" w:rsidP="00B72257">
      <w:r>
        <w:t>«Impunidad y la responsabilidad jurídica con ocasión del conflicto armado colombiano:</w:t>
      </w:r>
      <w:r>
        <w:rPr>
          <w:spacing w:val="-5"/>
        </w:rPr>
        <w:t xml:space="preserve"> </w:t>
      </w:r>
      <w:r>
        <w:t>¿Cómo</w:t>
      </w:r>
      <w:r>
        <w:rPr>
          <w:spacing w:val="-4"/>
        </w:rPr>
        <w:t xml:space="preserve"> </w:t>
      </w:r>
      <w:r>
        <w:t>ha</w:t>
      </w:r>
      <w:r>
        <w:rPr>
          <w:spacing w:val="-4"/>
        </w:rPr>
        <w:t xml:space="preserve"> </w:t>
      </w:r>
      <w:r>
        <w:t>operado</w:t>
      </w:r>
      <w:r>
        <w:rPr>
          <w:spacing w:val="-6"/>
        </w:rPr>
        <w:t xml:space="preserve"> </w:t>
      </w:r>
      <w:r>
        <w:t>la</w:t>
      </w:r>
      <w:r>
        <w:rPr>
          <w:spacing w:val="-5"/>
        </w:rPr>
        <w:t xml:space="preserve"> </w:t>
      </w:r>
      <w:r>
        <w:t>impunidad</w:t>
      </w:r>
      <w:r>
        <w:rPr>
          <w:spacing w:val="-4"/>
        </w:rPr>
        <w:t xml:space="preserve"> </w:t>
      </w:r>
      <w:r>
        <w:t>frente</w:t>
      </w:r>
      <w:r>
        <w:rPr>
          <w:spacing w:val="-4"/>
        </w:rPr>
        <w:t xml:space="preserve"> </w:t>
      </w:r>
      <w:r>
        <w:t>a</w:t>
      </w:r>
      <w:r>
        <w:rPr>
          <w:spacing w:val="-5"/>
        </w:rPr>
        <w:t xml:space="preserve"> </w:t>
      </w:r>
      <w:r>
        <w:t>las</w:t>
      </w:r>
      <w:r>
        <w:rPr>
          <w:spacing w:val="-5"/>
        </w:rPr>
        <w:t xml:space="preserve"> </w:t>
      </w:r>
      <w:r>
        <w:t>violaciones</w:t>
      </w:r>
      <w:r>
        <w:rPr>
          <w:spacing w:val="-4"/>
        </w:rPr>
        <w:t xml:space="preserve"> </w:t>
      </w:r>
      <w:r>
        <w:t>derivadas</w:t>
      </w:r>
      <w:r>
        <w:rPr>
          <w:spacing w:val="-4"/>
        </w:rPr>
        <w:t xml:space="preserve"> </w:t>
      </w:r>
      <w:r>
        <w:t>del conflicto</w:t>
      </w:r>
      <w:r>
        <w:rPr>
          <w:spacing w:val="-5"/>
        </w:rPr>
        <w:t xml:space="preserve"> </w:t>
      </w:r>
      <w:r>
        <w:t>armado</w:t>
      </w:r>
      <w:r>
        <w:rPr>
          <w:spacing w:val="-5"/>
        </w:rPr>
        <w:t xml:space="preserve"> </w:t>
      </w:r>
      <w:r>
        <w:t>colombiano?»,</w:t>
      </w:r>
      <w:r>
        <w:rPr>
          <w:spacing w:val="-5"/>
        </w:rPr>
        <w:t xml:space="preserve"> </w:t>
      </w:r>
      <w:proofErr w:type="spellStart"/>
      <w:r>
        <w:t>Comision</w:t>
      </w:r>
      <w:proofErr w:type="spellEnd"/>
      <w:r>
        <w:rPr>
          <w:spacing w:val="-5"/>
        </w:rPr>
        <w:t xml:space="preserve"> </w:t>
      </w:r>
      <w:r>
        <w:t>para</w:t>
      </w:r>
      <w:r>
        <w:rPr>
          <w:spacing w:val="-6"/>
        </w:rPr>
        <w:t xml:space="preserve"> </w:t>
      </w:r>
      <w:r>
        <w:t>el</w:t>
      </w:r>
      <w:r>
        <w:rPr>
          <w:spacing w:val="-4"/>
        </w:rPr>
        <w:t xml:space="preserve"> </w:t>
      </w:r>
      <w:r>
        <w:t>Esclarecimiento</w:t>
      </w:r>
      <w:r>
        <w:rPr>
          <w:spacing w:val="-5"/>
        </w:rPr>
        <w:t xml:space="preserve"> </w:t>
      </w:r>
      <w:r>
        <w:t>de</w:t>
      </w:r>
      <w:r>
        <w:rPr>
          <w:spacing w:val="-4"/>
        </w:rPr>
        <w:t xml:space="preserve"> </w:t>
      </w:r>
      <w:r>
        <w:t>la</w:t>
      </w:r>
      <w:r>
        <w:rPr>
          <w:spacing w:val="-6"/>
        </w:rPr>
        <w:t xml:space="preserve"> </w:t>
      </w:r>
      <w:r>
        <w:t>Verdad,</w:t>
      </w:r>
      <w:r>
        <w:rPr>
          <w:spacing w:val="-5"/>
        </w:rPr>
        <w:t xml:space="preserve"> </w:t>
      </w:r>
      <w:r>
        <w:t>la Convivencia y la No Repetición (CEV). 2020.</w:t>
      </w:r>
    </w:p>
    <w:p w:rsidR="003804AC" w:rsidRDefault="00AF18A5" w:rsidP="00B72257">
      <w:r>
        <w:t>Módulo de Catalogación Colaborativa 35-OI-5fd387a41d82cf780d94cccd. «Conjunto de mensajes en clave de construcción de verdades del grupo No. 3: Régimen político, democracia</w:t>
      </w:r>
      <w:r>
        <w:rPr>
          <w:spacing w:val="-8"/>
        </w:rPr>
        <w:t xml:space="preserve"> </w:t>
      </w:r>
      <w:r>
        <w:t>y</w:t>
      </w:r>
      <w:r>
        <w:rPr>
          <w:spacing w:val="-6"/>
        </w:rPr>
        <w:t xml:space="preserve"> </w:t>
      </w:r>
      <w:r>
        <w:t>paz»,</w:t>
      </w:r>
      <w:r>
        <w:rPr>
          <w:spacing w:val="-6"/>
        </w:rPr>
        <w:t xml:space="preserve"> </w:t>
      </w:r>
      <w:r>
        <w:t>Comisión</w:t>
      </w:r>
      <w:r>
        <w:rPr>
          <w:spacing w:val="-6"/>
        </w:rPr>
        <w:t xml:space="preserve"> </w:t>
      </w:r>
      <w:r>
        <w:t>para</w:t>
      </w:r>
      <w:r>
        <w:rPr>
          <w:spacing w:val="-7"/>
        </w:rPr>
        <w:t xml:space="preserve"> </w:t>
      </w:r>
      <w:r>
        <w:t>el</w:t>
      </w:r>
      <w:r>
        <w:rPr>
          <w:spacing w:val="-7"/>
        </w:rPr>
        <w:t xml:space="preserve"> </w:t>
      </w:r>
      <w:r>
        <w:t>Esclarecimiento</w:t>
      </w:r>
      <w:r>
        <w:rPr>
          <w:spacing w:val="-6"/>
        </w:rPr>
        <w:t xml:space="preserve"> </w:t>
      </w:r>
      <w:r>
        <w:t>de</w:t>
      </w:r>
      <w:r>
        <w:rPr>
          <w:spacing w:val="-7"/>
        </w:rPr>
        <w:t xml:space="preserve"> </w:t>
      </w:r>
      <w:r>
        <w:t>la</w:t>
      </w:r>
      <w:r>
        <w:rPr>
          <w:spacing w:val="-6"/>
        </w:rPr>
        <w:t xml:space="preserve"> </w:t>
      </w:r>
      <w:r>
        <w:t>Verdad,</w:t>
      </w:r>
      <w:r>
        <w:rPr>
          <w:spacing w:val="-7"/>
        </w:rPr>
        <w:t xml:space="preserve"> </w:t>
      </w:r>
      <w:r>
        <w:t>la</w:t>
      </w:r>
      <w:r>
        <w:rPr>
          <w:spacing w:val="-6"/>
        </w:rPr>
        <w:t xml:space="preserve"> </w:t>
      </w:r>
      <w:r>
        <w:t>Convivencia y la No Repetición-CEV. 2020.</w:t>
      </w:r>
    </w:p>
    <w:p w:rsidR="003804AC" w:rsidRDefault="00AF18A5" w:rsidP="00B72257">
      <w:r>
        <w:t>Consejo de Estado. «Verdades en Convergencia. Análisis de la jurisprudencia del Consejo de</w:t>
      </w:r>
      <w:r>
        <w:rPr>
          <w:spacing w:val="-10"/>
        </w:rPr>
        <w:t xml:space="preserve"> </w:t>
      </w:r>
      <w:r>
        <w:t>Estado</w:t>
      </w:r>
      <w:r>
        <w:rPr>
          <w:spacing w:val="-12"/>
        </w:rPr>
        <w:t xml:space="preserve"> </w:t>
      </w:r>
      <w:r>
        <w:t>en</w:t>
      </w:r>
      <w:r>
        <w:rPr>
          <w:spacing w:val="-12"/>
        </w:rPr>
        <w:t xml:space="preserve"> </w:t>
      </w:r>
      <w:r>
        <w:t>diálogo</w:t>
      </w:r>
      <w:r>
        <w:rPr>
          <w:spacing w:val="-12"/>
        </w:rPr>
        <w:t xml:space="preserve"> </w:t>
      </w:r>
      <w:r>
        <w:t>con</w:t>
      </w:r>
      <w:r>
        <w:rPr>
          <w:spacing w:val="-12"/>
        </w:rPr>
        <w:t xml:space="preserve"> </w:t>
      </w:r>
      <w:r>
        <w:t>la</w:t>
      </w:r>
      <w:r>
        <w:rPr>
          <w:spacing w:val="-10"/>
        </w:rPr>
        <w:t xml:space="preserve"> </w:t>
      </w:r>
      <w:r>
        <w:t>Comisión</w:t>
      </w:r>
      <w:r>
        <w:rPr>
          <w:spacing w:val="-12"/>
        </w:rPr>
        <w:t xml:space="preserve"> </w:t>
      </w:r>
      <w:r>
        <w:t>de</w:t>
      </w:r>
      <w:r>
        <w:rPr>
          <w:spacing w:val="-10"/>
        </w:rPr>
        <w:t xml:space="preserve"> </w:t>
      </w:r>
      <w:r>
        <w:t>la</w:t>
      </w:r>
      <w:r>
        <w:rPr>
          <w:spacing w:val="-12"/>
        </w:rPr>
        <w:t xml:space="preserve"> </w:t>
      </w:r>
      <w:r>
        <w:t>Verdad».</w:t>
      </w:r>
      <w:r>
        <w:rPr>
          <w:spacing w:val="-11"/>
        </w:rPr>
        <w:t xml:space="preserve"> </w:t>
      </w:r>
      <w:r>
        <w:t>Módulo</w:t>
      </w:r>
      <w:r>
        <w:rPr>
          <w:spacing w:val="-11"/>
        </w:rPr>
        <w:t xml:space="preserve"> </w:t>
      </w:r>
      <w:r>
        <w:t>de</w:t>
      </w:r>
      <w:r>
        <w:rPr>
          <w:spacing w:val="-10"/>
        </w:rPr>
        <w:t xml:space="preserve"> </w:t>
      </w:r>
      <w:r>
        <w:t>Captura,</w:t>
      </w:r>
      <w:r>
        <w:rPr>
          <w:spacing w:val="-12"/>
        </w:rPr>
        <w:t xml:space="preserve"> </w:t>
      </w:r>
      <w:r>
        <w:t>Comisión para el Esclarecimiento de la Verdad, la Convivencia y la No Repetición. 2021.</w:t>
      </w:r>
    </w:p>
    <w:p w:rsidR="003804AC" w:rsidRDefault="00AF18A5" w:rsidP="00B72257">
      <w:r>
        <w:t>Consejo Superior de la Judicatura. «Informe al Congreso 2018». Módulo de Captura, Comisión</w:t>
      </w:r>
      <w:r>
        <w:rPr>
          <w:spacing w:val="-7"/>
        </w:rPr>
        <w:t xml:space="preserve"> </w:t>
      </w:r>
      <w:r>
        <w:t>para</w:t>
      </w:r>
      <w:r>
        <w:rPr>
          <w:spacing w:val="-7"/>
        </w:rPr>
        <w:t xml:space="preserve"> </w:t>
      </w:r>
      <w:r>
        <w:t>el</w:t>
      </w:r>
      <w:r>
        <w:rPr>
          <w:spacing w:val="-7"/>
        </w:rPr>
        <w:t xml:space="preserve"> </w:t>
      </w:r>
      <w:r>
        <w:t>Esclarecimiento</w:t>
      </w:r>
      <w:r>
        <w:rPr>
          <w:spacing w:val="-7"/>
        </w:rPr>
        <w:t xml:space="preserve"> </w:t>
      </w:r>
      <w:r>
        <w:t>de</w:t>
      </w:r>
      <w:r>
        <w:rPr>
          <w:spacing w:val="-7"/>
        </w:rPr>
        <w:t xml:space="preserve"> </w:t>
      </w:r>
      <w:r>
        <w:t>la</w:t>
      </w:r>
      <w:r>
        <w:rPr>
          <w:spacing w:val="-7"/>
        </w:rPr>
        <w:t xml:space="preserve"> </w:t>
      </w:r>
      <w:r>
        <w:t>Verdad,</w:t>
      </w:r>
      <w:r>
        <w:rPr>
          <w:spacing w:val="-7"/>
        </w:rPr>
        <w:t xml:space="preserve"> </w:t>
      </w:r>
      <w:r>
        <w:t>la</w:t>
      </w:r>
      <w:r>
        <w:rPr>
          <w:spacing w:val="-7"/>
        </w:rPr>
        <w:t xml:space="preserve"> </w:t>
      </w:r>
      <w:r>
        <w:t>Convivencia</w:t>
      </w:r>
      <w:r>
        <w:rPr>
          <w:spacing w:val="-7"/>
        </w:rPr>
        <w:t xml:space="preserve"> </w:t>
      </w:r>
      <w:r>
        <w:t>y</w:t>
      </w:r>
      <w:r>
        <w:rPr>
          <w:spacing w:val="-7"/>
        </w:rPr>
        <w:t xml:space="preserve"> </w:t>
      </w:r>
      <w:r>
        <w:t>la</w:t>
      </w:r>
      <w:r>
        <w:rPr>
          <w:spacing w:val="-7"/>
        </w:rPr>
        <w:t xml:space="preserve"> </w:t>
      </w:r>
      <w:r>
        <w:t>No</w:t>
      </w:r>
      <w:r>
        <w:rPr>
          <w:spacing w:val="-6"/>
        </w:rPr>
        <w:t xml:space="preserve"> </w:t>
      </w:r>
      <w:r>
        <w:t xml:space="preserve">Repetición. </w:t>
      </w:r>
      <w:r>
        <w:rPr>
          <w:spacing w:val="-2"/>
        </w:rPr>
        <w:t>2019.</w:t>
      </w:r>
    </w:p>
    <w:p w:rsidR="003804AC" w:rsidRDefault="00AF18A5" w:rsidP="00B72257">
      <w:r>
        <w:t>———.</w:t>
      </w:r>
      <w:r>
        <w:rPr>
          <w:spacing w:val="80"/>
          <w:w w:val="150"/>
        </w:rPr>
        <w:t xml:space="preserve"> </w:t>
      </w:r>
      <w:r>
        <w:t>«Respuesta</w:t>
      </w:r>
      <w:r>
        <w:rPr>
          <w:spacing w:val="80"/>
          <w:w w:val="150"/>
        </w:rPr>
        <w:t xml:space="preserve"> </w:t>
      </w:r>
      <w:r>
        <w:t>de</w:t>
      </w:r>
      <w:r>
        <w:rPr>
          <w:spacing w:val="80"/>
          <w:w w:val="150"/>
        </w:rPr>
        <w:t xml:space="preserve"> </w:t>
      </w:r>
      <w:r>
        <w:t>la</w:t>
      </w:r>
      <w:r>
        <w:rPr>
          <w:spacing w:val="80"/>
          <w:w w:val="150"/>
        </w:rPr>
        <w:t xml:space="preserve"> </w:t>
      </w:r>
      <w:r>
        <w:t>Unidad</w:t>
      </w:r>
      <w:r>
        <w:rPr>
          <w:spacing w:val="80"/>
          <w:w w:val="150"/>
        </w:rPr>
        <w:t xml:space="preserve"> </w:t>
      </w:r>
      <w:r>
        <w:t>de</w:t>
      </w:r>
      <w:r>
        <w:rPr>
          <w:spacing w:val="80"/>
          <w:w w:val="150"/>
        </w:rPr>
        <w:t xml:space="preserve"> </w:t>
      </w:r>
      <w:r>
        <w:t>Desarrollo</w:t>
      </w:r>
      <w:r>
        <w:rPr>
          <w:spacing w:val="80"/>
          <w:w w:val="150"/>
        </w:rPr>
        <w:t xml:space="preserve"> </w:t>
      </w:r>
      <w:r>
        <w:t>y</w:t>
      </w:r>
      <w:r>
        <w:rPr>
          <w:spacing w:val="80"/>
          <w:w w:val="150"/>
        </w:rPr>
        <w:t xml:space="preserve"> </w:t>
      </w:r>
      <w:r>
        <w:t>Análisis</w:t>
      </w:r>
      <w:r>
        <w:rPr>
          <w:spacing w:val="80"/>
          <w:w w:val="150"/>
        </w:rPr>
        <w:t xml:space="preserve"> </w:t>
      </w:r>
      <w:r>
        <w:t>Estadístico».</w:t>
      </w:r>
      <w:r>
        <w:rPr>
          <w:spacing w:val="80"/>
          <w:w w:val="150"/>
        </w:rPr>
        <w:t xml:space="preserve"> </w:t>
      </w:r>
      <w:r>
        <w:t>2021.</w:t>
      </w:r>
      <w:r>
        <w:rPr>
          <w:spacing w:val="40"/>
        </w:rPr>
        <w:t xml:space="preserve"> </w:t>
      </w:r>
      <w:hyperlink r:id="rId161">
        <w:r>
          <w:rPr>
            <w:spacing w:val="-2"/>
          </w:rPr>
          <w:t>https://buscador.comisiondelaverdad.co/detail/1000126-FSMB-</w:t>
        </w:r>
      </w:hyperlink>
      <w:r>
        <w:rPr>
          <w:spacing w:val="-2"/>
        </w:rPr>
        <w:t xml:space="preserve"> </w:t>
      </w:r>
      <w:hyperlink r:id="rId162">
        <w:r>
          <w:rPr>
            <w:spacing w:val="-2"/>
          </w:rPr>
          <w:t>62b750b8a4736d1736524bac</w:t>
        </w:r>
      </w:hyperlink>
      <w:r>
        <w:rPr>
          <w:spacing w:val="-2"/>
        </w:rPr>
        <w:t>.</w:t>
      </w:r>
    </w:p>
    <w:p w:rsidR="0011361F" w:rsidRPr="00B72257" w:rsidRDefault="00AF18A5" w:rsidP="00B72257">
      <w:r>
        <w:t>Contraloría</w:t>
      </w:r>
      <w:r>
        <w:rPr>
          <w:spacing w:val="-12"/>
        </w:rPr>
        <w:t xml:space="preserve"> </w:t>
      </w:r>
      <w:r>
        <w:t>General</w:t>
      </w:r>
      <w:r>
        <w:rPr>
          <w:spacing w:val="-10"/>
        </w:rPr>
        <w:t xml:space="preserve"> </w:t>
      </w:r>
      <w:r>
        <w:t>de</w:t>
      </w:r>
      <w:r>
        <w:rPr>
          <w:spacing w:val="-11"/>
        </w:rPr>
        <w:t xml:space="preserve"> </w:t>
      </w:r>
      <w:r>
        <w:t>la</w:t>
      </w:r>
      <w:r>
        <w:rPr>
          <w:spacing w:val="-11"/>
        </w:rPr>
        <w:t xml:space="preserve"> </w:t>
      </w:r>
      <w:r>
        <w:t>República</w:t>
      </w:r>
      <w:r>
        <w:rPr>
          <w:spacing w:val="-12"/>
        </w:rPr>
        <w:t xml:space="preserve"> </w:t>
      </w:r>
      <w:r>
        <w:t>(CGR).</w:t>
      </w:r>
      <w:r>
        <w:rPr>
          <w:spacing w:val="-11"/>
        </w:rPr>
        <w:t xml:space="preserve"> </w:t>
      </w:r>
      <w:r>
        <w:t>«Análisis</w:t>
      </w:r>
      <w:r>
        <w:rPr>
          <w:spacing w:val="-11"/>
        </w:rPr>
        <w:t xml:space="preserve"> </w:t>
      </w:r>
      <w:r>
        <w:t>sobre</w:t>
      </w:r>
      <w:r>
        <w:rPr>
          <w:spacing w:val="-12"/>
        </w:rPr>
        <w:t xml:space="preserve"> </w:t>
      </w:r>
      <w:r>
        <w:t>los</w:t>
      </w:r>
      <w:r>
        <w:rPr>
          <w:spacing w:val="-11"/>
        </w:rPr>
        <w:t xml:space="preserve"> </w:t>
      </w:r>
      <w:r>
        <w:t>resultados</w:t>
      </w:r>
      <w:r>
        <w:rPr>
          <w:spacing w:val="-11"/>
        </w:rPr>
        <w:t xml:space="preserve"> </w:t>
      </w:r>
      <w:r>
        <w:t>y</w:t>
      </w:r>
      <w:r>
        <w:rPr>
          <w:spacing w:val="-11"/>
        </w:rPr>
        <w:t xml:space="preserve"> </w:t>
      </w:r>
      <w:r>
        <w:t>costos</w:t>
      </w:r>
      <w:r>
        <w:rPr>
          <w:spacing w:val="-11"/>
        </w:rPr>
        <w:t xml:space="preserve"> </w:t>
      </w:r>
      <w:r>
        <w:t>de</w:t>
      </w:r>
      <w:r>
        <w:rPr>
          <w:spacing w:val="-12"/>
        </w:rPr>
        <w:t xml:space="preserve"> </w:t>
      </w:r>
      <w:r>
        <w:t>la</w:t>
      </w:r>
      <w:r>
        <w:rPr>
          <w:spacing w:val="-11"/>
        </w:rPr>
        <w:t xml:space="preserve"> </w:t>
      </w:r>
      <w:r>
        <w:t xml:space="preserve">Ley de Justicia y Paz». Accedido 22 de junio de 2022. Acceso el 22 de junio de 2022. </w:t>
      </w:r>
      <w:hyperlink r:id="rId163">
        <w:r>
          <w:rPr>
            <w:spacing w:val="-2"/>
          </w:rPr>
          <w:t>https://www.contraloria.gov.co/resultados/informes/analisis-sectoriales-y-</w:t>
        </w:r>
      </w:hyperlink>
      <w:r w:rsidR="00B72257">
        <w:t xml:space="preserve"> </w:t>
      </w:r>
      <w:hyperlink r:id="rId164">
        <w:proofErr w:type="spellStart"/>
        <w:r>
          <w:rPr>
            <w:spacing w:val="-2"/>
          </w:rPr>
          <w:t>politicas</w:t>
        </w:r>
        <w:proofErr w:type="spellEnd"/>
        <w:r>
          <w:rPr>
            <w:spacing w:val="-2"/>
          </w:rPr>
          <w:t>-publicas/defensa-y-seguridad-nacional/-</w:t>
        </w:r>
      </w:hyperlink>
      <w:hyperlink r:id="rId165">
        <w:r w:rsidRPr="00B72257">
          <w:rPr>
            <w:spacing w:val="-2"/>
            <w:lang w:val="es-CO"/>
          </w:rPr>
          <w:t>/</w:t>
        </w:r>
        <w:proofErr w:type="spellStart"/>
        <w:r w:rsidRPr="00B72257">
          <w:rPr>
            <w:spacing w:val="-2"/>
            <w:lang w:val="es-CO"/>
          </w:rPr>
          <w:t>asset_publisher</w:t>
        </w:r>
        <w:proofErr w:type="spellEnd"/>
        <w:r w:rsidRPr="00B72257">
          <w:rPr>
            <w:spacing w:val="-2"/>
            <w:lang w:val="es-CO"/>
          </w:rPr>
          <w:t>/</w:t>
        </w:r>
        <w:proofErr w:type="spellStart"/>
        <w:r w:rsidRPr="00B72257">
          <w:rPr>
            <w:spacing w:val="-2"/>
            <w:lang w:val="es-CO"/>
          </w:rPr>
          <w:t>yoew</w:t>
        </w:r>
        <w:proofErr w:type="spellEnd"/>
        <w:r w:rsidRPr="00B72257">
          <w:rPr>
            <w:spacing w:val="-2"/>
            <w:lang w:val="es-CO"/>
          </w:rPr>
          <w:t>/</w:t>
        </w:r>
        <w:proofErr w:type="spellStart"/>
        <w:r w:rsidRPr="00B72257">
          <w:rPr>
            <w:spacing w:val="-2"/>
            <w:lang w:val="es-CO"/>
          </w:rPr>
          <w:t>document</w:t>
        </w:r>
        <w:proofErr w:type="spellEnd"/>
        <w:r w:rsidRPr="00B72257">
          <w:rPr>
            <w:spacing w:val="-2"/>
            <w:lang w:val="es-CO"/>
          </w:rPr>
          <w:t>/id/964341.</w:t>
        </w:r>
      </w:hyperlink>
    </w:p>
    <w:p w:rsidR="003804AC" w:rsidRPr="0008619F" w:rsidRDefault="00AF18A5" w:rsidP="00B72257">
      <w:r w:rsidRPr="0008619F">
        <w:t xml:space="preserve">Corte Constitucional de Colombia. C-358-97, Recuperado de: </w:t>
      </w:r>
      <w:hyperlink r:id="rId166">
        <w:r w:rsidRPr="0008619F">
          <w:rPr>
            <w:spacing w:val="-2"/>
          </w:rPr>
          <w:t>https://www.corteconstitucional.gov.co/relatoria/1997/c-358-97.htm</w:t>
        </w:r>
      </w:hyperlink>
      <w:r w:rsidRPr="0008619F">
        <w:rPr>
          <w:spacing w:val="-2"/>
        </w:rPr>
        <w:t>.</w:t>
      </w:r>
    </w:p>
    <w:p w:rsidR="003804AC" w:rsidRPr="0008619F" w:rsidRDefault="00AF18A5" w:rsidP="00B72257">
      <w:r w:rsidRPr="0008619F">
        <w:t>———.</w:t>
      </w:r>
      <w:r w:rsidRPr="0008619F">
        <w:rPr>
          <w:spacing w:val="-15"/>
        </w:rPr>
        <w:t xml:space="preserve"> </w:t>
      </w:r>
      <w:r w:rsidRPr="0008619F">
        <w:t>C-878-00,</w:t>
      </w:r>
      <w:r w:rsidRPr="0008619F">
        <w:rPr>
          <w:spacing w:val="-15"/>
        </w:rPr>
        <w:t xml:space="preserve"> </w:t>
      </w:r>
      <w:r w:rsidRPr="0008619F">
        <w:t>Recuperado</w:t>
      </w:r>
      <w:r w:rsidRPr="0008619F">
        <w:rPr>
          <w:spacing w:val="-15"/>
        </w:rPr>
        <w:t xml:space="preserve"> </w:t>
      </w:r>
      <w:r w:rsidRPr="0008619F">
        <w:t>de:</w:t>
      </w:r>
      <w:r w:rsidRPr="0008619F">
        <w:rPr>
          <w:spacing w:val="-15"/>
        </w:rPr>
        <w:t xml:space="preserve"> </w:t>
      </w:r>
      <w:hyperlink r:id="rId167">
        <w:r w:rsidRPr="0008619F">
          <w:t>https://www.corteconstitucional.gov.co/relatoria/2000/c-</w:t>
        </w:r>
      </w:hyperlink>
      <w:r w:rsidRPr="0008619F">
        <w:t xml:space="preserve"> </w:t>
      </w:r>
      <w:hyperlink r:id="rId168">
        <w:r w:rsidRPr="0008619F">
          <w:rPr>
            <w:spacing w:val="-2"/>
          </w:rPr>
          <w:t>878-00.htm</w:t>
        </w:r>
      </w:hyperlink>
      <w:r w:rsidRPr="0008619F">
        <w:rPr>
          <w:spacing w:val="-2"/>
        </w:rPr>
        <w:t>.</w:t>
      </w:r>
    </w:p>
    <w:p w:rsidR="003804AC" w:rsidRDefault="00AF18A5" w:rsidP="00B72257">
      <w:r>
        <w:rPr>
          <w:spacing w:val="-4"/>
        </w:rPr>
        <w:t>———.</w:t>
      </w:r>
      <w:r>
        <w:tab/>
      </w:r>
      <w:r>
        <w:tab/>
      </w:r>
      <w:r>
        <w:rPr>
          <w:spacing w:val="-2"/>
        </w:rPr>
        <w:t>C-1184-08,</w:t>
      </w:r>
      <w:r>
        <w:tab/>
      </w:r>
      <w:r>
        <w:rPr>
          <w:spacing w:val="-2"/>
        </w:rPr>
        <w:t>Recuperado</w:t>
      </w:r>
      <w:r>
        <w:tab/>
      </w:r>
      <w:r>
        <w:rPr>
          <w:spacing w:val="-4"/>
        </w:rPr>
        <w:t xml:space="preserve">de: </w:t>
      </w:r>
      <w:hyperlink r:id="rId169">
        <w:r>
          <w:rPr>
            <w:spacing w:val="-2"/>
          </w:rPr>
          <w:t>https://www.corteconstitucional.gov.co/relatoria/2008/C-1184-08.htm</w:t>
        </w:r>
      </w:hyperlink>
      <w:r>
        <w:rPr>
          <w:spacing w:val="-2"/>
        </w:rPr>
        <w:t>.</w:t>
      </w:r>
    </w:p>
    <w:p w:rsidR="003804AC" w:rsidRDefault="00AF18A5" w:rsidP="00B72257">
      <w:r>
        <w:t xml:space="preserve">Corte Interamericana de Derechos Humanos. Caso de la Masacre de La Rochela Vs. Colombia. Corte Interamericana de Derechos Humanos. 11 de mayo de 2007. </w:t>
      </w:r>
      <w:r>
        <w:rPr>
          <w:spacing w:val="-2"/>
        </w:rPr>
        <w:t>Recuperado</w:t>
      </w:r>
      <w:r>
        <w:tab/>
      </w:r>
      <w:r>
        <w:rPr>
          <w:spacing w:val="-5"/>
        </w:rPr>
        <w:t>de:</w:t>
      </w:r>
    </w:p>
    <w:p w:rsidR="0011361F" w:rsidRDefault="00B93F6A" w:rsidP="00B72257">
      <w:hyperlink r:id="rId170">
        <w:r w:rsidR="00AF18A5">
          <w:rPr>
            <w:spacing w:val="-2"/>
          </w:rPr>
          <w:t>https://www.corteidh.or.cr/docs/casos/articulos/seriec_163_esp.pdf.</w:t>
        </w:r>
      </w:hyperlink>
    </w:p>
    <w:p w:rsidR="003804AC" w:rsidRDefault="00AF18A5" w:rsidP="00B72257">
      <w:r>
        <w:t>Corte Interamericana. Caso de la Masacre de Mapiripán Vs. Colombia. Supervisión de Cumplimiento</w:t>
      </w:r>
      <w:r>
        <w:rPr>
          <w:spacing w:val="-13"/>
        </w:rPr>
        <w:t xml:space="preserve"> </w:t>
      </w:r>
      <w:r>
        <w:t>de</w:t>
      </w:r>
      <w:r>
        <w:rPr>
          <w:spacing w:val="-13"/>
        </w:rPr>
        <w:t xml:space="preserve"> </w:t>
      </w:r>
      <w:r>
        <w:t>Sentencia.</w:t>
      </w:r>
      <w:r>
        <w:rPr>
          <w:spacing w:val="-13"/>
        </w:rPr>
        <w:t xml:space="preserve"> </w:t>
      </w:r>
      <w:r>
        <w:t>Corte</w:t>
      </w:r>
      <w:r>
        <w:rPr>
          <w:spacing w:val="-13"/>
        </w:rPr>
        <w:t xml:space="preserve"> </w:t>
      </w:r>
      <w:r>
        <w:t>Interamericana</w:t>
      </w:r>
      <w:r>
        <w:rPr>
          <w:spacing w:val="-13"/>
        </w:rPr>
        <w:t xml:space="preserve"> </w:t>
      </w:r>
      <w:r>
        <w:t>de</w:t>
      </w:r>
      <w:r>
        <w:rPr>
          <w:spacing w:val="-13"/>
        </w:rPr>
        <w:t xml:space="preserve"> </w:t>
      </w:r>
      <w:r>
        <w:t>Derechos</w:t>
      </w:r>
      <w:r>
        <w:rPr>
          <w:spacing w:val="-13"/>
        </w:rPr>
        <w:t xml:space="preserve"> </w:t>
      </w:r>
      <w:r>
        <w:t>Humanos.</w:t>
      </w:r>
      <w:r>
        <w:rPr>
          <w:spacing w:val="-13"/>
        </w:rPr>
        <w:t xml:space="preserve"> </w:t>
      </w:r>
      <w:r>
        <w:t>8</w:t>
      </w:r>
      <w:r>
        <w:rPr>
          <w:spacing w:val="-13"/>
        </w:rPr>
        <w:t xml:space="preserve"> </w:t>
      </w:r>
      <w:r>
        <w:t>de</w:t>
      </w:r>
      <w:r>
        <w:rPr>
          <w:spacing w:val="-13"/>
        </w:rPr>
        <w:t xml:space="preserve"> </w:t>
      </w:r>
      <w:r>
        <w:t xml:space="preserve">julio </w:t>
      </w:r>
      <w:r>
        <w:rPr>
          <w:spacing w:val="-6"/>
        </w:rPr>
        <w:t>de</w:t>
      </w:r>
      <w:r>
        <w:tab/>
      </w:r>
      <w:r>
        <w:rPr>
          <w:spacing w:val="-2"/>
        </w:rPr>
        <w:t>2009.</w:t>
      </w:r>
      <w:r>
        <w:tab/>
      </w:r>
      <w:r>
        <w:rPr>
          <w:spacing w:val="-2"/>
        </w:rPr>
        <w:t>Recuperado</w:t>
      </w:r>
      <w:r>
        <w:tab/>
      </w:r>
      <w:r>
        <w:rPr>
          <w:spacing w:val="-4"/>
        </w:rPr>
        <w:t xml:space="preserve">de: </w:t>
      </w:r>
      <w:hyperlink r:id="rId171">
        <w:r>
          <w:rPr>
            <w:spacing w:val="-2"/>
          </w:rPr>
          <w:t>https://www.corteidh.or.cr/docs/supervisiones/mapiripan_08_07_09.pdf</w:t>
        </w:r>
      </w:hyperlink>
      <w:r>
        <w:rPr>
          <w:spacing w:val="-2"/>
        </w:rPr>
        <w:t>.</w:t>
      </w:r>
    </w:p>
    <w:p w:rsidR="003804AC" w:rsidRDefault="00AF18A5" w:rsidP="00B72257">
      <w:r>
        <w:t>Corte Interamericana de Derechos Humanos. Caso Cepeda Vargas Vs. Colombia. Excepciones</w:t>
      </w:r>
      <w:r>
        <w:rPr>
          <w:spacing w:val="-2"/>
        </w:rPr>
        <w:t xml:space="preserve"> </w:t>
      </w:r>
      <w:r>
        <w:t>Preliminares,</w:t>
      </w:r>
      <w:r>
        <w:rPr>
          <w:spacing w:val="-1"/>
        </w:rPr>
        <w:t xml:space="preserve"> </w:t>
      </w:r>
      <w:r>
        <w:t>Fondo,</w:t>
      </w:r>
      <w:r>
        <w:rPr>
          <w:spacing w:val="-1"/>
        </w:rPr>
        <w:t xml:space="preserve"> </w:t>
      </w:r>
      <w:r>
        <w:t>Reparaciones y</w:t>
      </w:r>
      <w:r>
        <w:rPr>
          <w:spacing w:val="-2"/>
        </w:rPr>
        <w:t xml:space="preserve"> </w:t>
      </w:r>
      <w:r>
        <w:t>Costas.</w:t>
      </w:r>
      <w:r>
        <w:rPr>
          <w:spacing w:val="-1"/>
        </w:rPr>
        <w:t xml:space="preserve"> </w:t>
      </w:r>
      <w:r>
        <w:t xml:space="preserve">Corte Interamericana de Derechos Humanos. 26 de mayo de 2010. Recuperado de: </w:t>
      </w:r>
      <w:hyperlink r:id="rId172">
        <w:r>
          <w:rPr>
            <w:spacing w:val="-2"/>
          </w:rPr>
          <w:t>https://www.corteidh.or.cr/docs/casos/articulos/seriec_213_esp.pdf.</w:t>
        </w:r>
      </w:hyperlink>
    </w:p>
    <w:p w:rsidR="003804AC" w:rsidRDefault="00AF18A5" w:rsidP="00B72257">
      <w:r>
        <w:t>Corte</w:t>
      </w:r>
      <w:r>
        <w:rPr>
          <w:spacing w:val="-15"/>
        </w:rPr>
        <w:t xml:space="preserve"> </w:t>
      </w:r>
      <w:r>
        <w:t>Interamericana</w:t>
      </w:r>
      <w:r>
        <w:rPr>
          <w:spacing w:val="-15"/>
        </w:rPr>
        <w:t xml:space="preserve"> </w:t>
      </w:r>
      <w:r>
        <w:t>de</w:t>
      </w:r>
      <w:r>
        <w:rPr>
          <w:spacing w:val="-15"/>
        </w:rPr>
        <w:t xml:space="preserve"> </w:t>
      </w:r>
      <w:r>
        <w:t>Derechos</w:t>
      </w:r>
      <w:r>
        <w:rPr>
          <w:spacing w:val="-14"/>
        </w:rPr>
        <w:t xml:space="preserve"> </w:t>
      </w:r>
      <w:r>
        <w:t>Humanos.</w:t>
      </w:r>
      <w:r>
        <w:rPr>
          <w:spacing w:val="-15"/>
        </w:rPr>
        <w:t xml:space="preserve"> </w:t>
      </w:r>
      <w:r>
        <w:t>Caso</w:t>
      </w:r>
      <w:r>
        <w:rPr>
          <w:spacing w:val="-15"/>
        </w:rPr>
        <w:t xml:space="preserve"> </w:t>
      </w:r>
      <w:r>
        <w:t>de</w:t>
      </w:r>
      <w:r>
        <w:rPr>
          <w:spacing w:val="-15"/>
        </w:rPr>
        <w:t xml:space="preserve"> </w:t>
      </w:r>
      <w:r>
        <w:t>las</w:t>
      </w:r>
      <w:r>
        <w:rPr>
          <w:spacing w:val="-14"/>
        </w:rPr>
        <w:t xml:space="preserve"> </w:t>
      </w:r>
      <w:r>
        <w:t>Masacres</w:t>
      </w:r>
      <w:r>
        <w:rPr>
          <w:spacing w:val="-15"/>
        </w:rPr>
        <w:t xml:space="preserve"> </w:t>
      </w:r>
      <w:r>
        <w:t>de</w:t>
      </w:r>
      <w:r>
        <w:rPr>
          <w:spacing w:val="-14"/>
        </w:rPr>
        <w:t xml:space="preserve"> </w:t>
      </w:r>
      <w:r>
        <w:t>Ituango</w:t>
      </w:r>
      <w:r>
        <w:rPr>
          <w:spacing w:val="-15"/>
        </w:rPr>
        <w:t xml:space="preserve"> </w:t>
      </w:r>
      <w:r>
        <w:t>Vs.</w:t>
      </w:r>
      <w:r>
        <w:rPr>
          <w:spacing w:val="-15"/>
        </w:rPr>
        <w:t xml:space="preserve"> </w:t>
      </w:r>
      <w:r>
        <w:t xml:space="preserve">Colombia. Supervisión de Cumplimiento de Sentencia. Corte </w:t>
      </w:r>
      <w:r>
        <w:lastRenderedPageBreak/>
        <w:t xml:space="preserve">Interamericana de Derechos Humanos. 21 de mayo de 2013. Recuperado de: </w:t>
      </w:r>
      <w:hyperlink r:id="rId173">
        <w:r>
          <w:rPr>
            <w:spacing w:val="-2"/>
          </w:rPr>
          <w:t>https://www.corteidh.or.cr/docs/supervisiones/masacres_21_05_13.pdf</w:t>
        </w:r>
      </w:hyperlink>
      <w:r>
        <w:rPr>
          <w:spacing w:val="-2"/>
        </w:rPr>
        <w:t>.</w:t>
      </w:r>
    </w:p>
    <w:p w:rsidR="0011361F" w:rsidRDefault="00AF18A5" w:rsidP="00B72257">
      <w:r>
        <w:t>«RESOLUCIÓN DE LA CORTE INTERAMERICANA DE DERECHOS HUMANOS -</w:t>
      </w:r>
      <w:r>
        <w:rPr>
          <w:spacing w:val="40"/>
        </w:rPr>
        <w:t xml:space="preserve"> </w:t>
      </w:r>
      <w:r>
        <w:t>CASO</w:t>
      </w:r>
      <w:r>
        <w:rPr>
          <w:spacing w:val="33"/>
        </w:rPr>
        <w:t xml:space="preserve"> </w:t>
      </w:r>
      <w:r>
        <w:t>DE</w:t>
      </w:r>
      <w:r>
        <w:rPr>
          <w:spacing w:val="33"/>
        </w:rPr>
        <w:t xml:space="preserve"> </w:t>
      </w:r>
      <w:r>
        <w:t>LAS</w:t>
      </w:r>
      <w:r>
        <w:rPr>
          <w:spacing w:val="32"/>
        </w:rPr>
        <w:t xml:space="preserve"> </w:t>
      </w:r>
      <w:r>
        <w:t>MASACRES</w:t>
      </w:r>
      <w:r>
        <w:rPr>
          <w:spacing w:val="34"/>
        </w:rPr>
        <w:t xml:space="preserve"> </w:t>
      </w:r>
      <w:r>
        <w:t>DE</w:t>
      </w:r>
      <w:r>
        <w:rPr>
          <w:spacing w:val="32"/>
        </w:rPr>
        <w:t xml:space="preserve"> </w:t>
      </w:r>
      <w:r>
        <w:t>ITUANGO</w:t>
      </w:r>
      <w:r>
        <w:rPr>
          <w:spacing w:val="33"/>
        </w:rPr>
        <w:t xml:space="preserve"> </w:t>
      </w:r>
      <w:r>
        <w:t>VS.</w:t>
      </w:r>
      <w:r>
        <w:rPr>
          <w:spacing w:val="33"/>
        </w:rPr>
        <w:t xml:space="preserve"> </w:t>
      </w:r>
      <w:r>
        <w:t>COLOMBIA».</w:t>
      </w:r>
      <w:r>
        <w:rPr>
          <w:spacing w:val="33"/>
        </w:rPr>
        <w:t xml:space="preserve"> </w:t>
      </w:r>
      <w:proofErr w:type="spellStart"/>
      <w:r>
        <w:rPr>
          <w:spacing w:val="-2"/>
        </w:rPr>
        <w:t>Corte</w:t>
      </w:r>
      <w:r>
        <w:t>Interamericana</w:t>
      </w:r>
      <w:proofErr w:type="spellEnd"/>
      <w:r>
        <w:rPr>
          <w:spacing w:val="-2"/>
        </w:rPr>
        <w:t xml:space="preserve"> </w:t>
      </w:r>
      <w:r>
        <w:t>de</w:t>
      </w:r>
      <w:r>
        <w:rPr>
          <w:spacing w:val="-2"/>
        </w:rPr>
        <w:t xml:space="preserve"> </w:t>
      </w:r>
      <w:r>
        <w:t>Derechos</w:t>
      </w:r>
      <w:r>
        <w:rPr>
          <w:spacing w:val="-2"/>
        </w:rPr>
        <w:t xml:space="preserve"> </w:t>
      </w:r>
      <w:r>
        <w:t>Humanos.</w:t>
      </w:r>
      <w:r>
        <w:rPr>
          <w:spacing w:val="-1"/>
        </w:rPr>
        <w:t xml:space="preserve"> </w:t>
      </w:r>
      <w:r>
        <w:rPr>
          <w:spacing w:val="-2"/>
        </w:rPr>
        <w:t>2013.</w:t>
      </w:r>
    </w:p>
    <w:p w:rsidR="003804AC" w:rsidRDefault="00AF18A5" w:rsidP="00B72257">
      <w:r>
        <w:t>CASO</w:t>
      </w:r>
      <w:r>
        <w:rPr>
          <w:spacing w:val="73"/>
          <w:w w:val="150"/>
        </w:rPr>
        <w:t xml:space="preserve"> </w:t>
      </w:r>
      <w:r>
        <w:t>RODRÍGUEZ</w:t>
      </w:r>
      <w:r>
        <w:rPr>
          <w:spacing w:val="72"/>
          <w:w w:val="150"/>
        </w:rPr>
        <w:t xml:space="preserve"> </w:t>
      </w:r>
      <w:r>
        <w:t>VERA</w:t>
      </w:r>
      <w:r>
        <w:rPr>
          <w:spacing w:val="72"/>
          <w:w w:val="150"/>
        </w:rPr>
        <w:t xml:space="preserve"> </w:t>
      </w:r>
      <w:r>
        <w:t>Y</w:t>
      </w:r>
      <w:r>
        <w:rPr>
          <w:spacing w:val="74"/>
          <w:w w:val="150"/>
        </w:rPr>
        <w:t xml:space="preserve"> </w:t>
      </w:r>
      <w:r>
        <w:t>OTROS</w:t>
      </w:r>
      <w:r>
        <w:rPr>
          <w:spacing w:val="72"/>
          <w:w w:val="150"/>
        </w:rPr>
        <w:t xml:space="preserve"> </w:t>
      </w:r>
      <w:r>
        <w:t>(DESAPARECIDOS</w:t>
      </w:r>
      <w:r>
        <w:rPr>
          <w:spacing w:val="72"/>
          <w:w w:val="150"/>
        </w:rPr>
        <w:t xml:space="preserve"> </w:t>
      </w:r>
      <w:r>
        <w:t>DEL</w:t>
      </w:r>
      <w:r>
        <w:rPr>
          <w:spacing w:val="73"/>
          <w:w w:val="150"/>
        </w:rPr>
        <w:t xml:space="preserve"> </w:t>
      </w:r>
      <w:r>
        <w:t>PALACIO</w:t>
      </w:r>
      <w:r>
        <w:rPr>
          <w:spacing w:val="74"/>
          <w:w w:val="150"/>
        </w:rPr>
        <w:t xml:space="preserve"> </w:t>
      </w:r>
      <w:r>
        <w:rPr>
          <w:spacing w:val="-5"/>
        </w:rPr>
        <w:t>DE</w:t>
      </w:r>
      <w:r w:rsidR="00B72257">
        <w:t xml:space="preserve"> </w:t>
      </w:r>
      <w:r>
        <w:t xml:space="preserve">JUSTICIA) VS. COLOMBIA. Corte Interamericana de Derechos Humanos. 14 de </w:t>
      </w:r>
      <w:r>
        <w:rPr>
          <w:spacing w:val="-2"/>
        </w:rPr>
        <w:t>noviembre</w:t>
      </w:r>
      <w:r>
        <w:tab/>
      </w:r>
      <w:r>
        <w:rPr>
          <w:spacing w:val="-6"/>
        </w:rPr>
        <w:t>de</w:t>
      </w:r>
      <w:r>
        <w:tab/>
      </w:r>
      <w:r>
        <w:rPr>
          <w:spacing w:val="-2"/>
        </w:rPr>
        <w:t>2014.</w:t>
      </w:r>
      <w:r>
        <w:tab/>
      </w:r>
      <w:r>
        <w:rPr>
          <w:spacing w:val="-2"/>
        </w:rPr>
        <w:t>Recuperado</w:t>
      </w:r>
      <w:r>
        <w:tab/>
      </w:r>
      <w:r>
        <w:rPr>
          <w:spacing w:val="-4"/>
        </w:rPr>
        <w:t xml:space="preserve">de: </w:t>
      </w:r>
      <w:hyperlink r:id="rId174">
        <w:r>
          <w:rPr>
            <w:spacing w:val="-2"/>
          </w:rPr>
          <w:t>https://www.corteidh.or.cr/docs/casos/articulos/seriec_287_esp.pdf.</w:t>
        </w:r>
      </w:hyperlink>
    </w:p>
    <w:p w:rsidR="003804AC" w:rsidRPr="001271BE" w:rsidRDefault="00AF18A5" w:rsidP="00B72257">
      <w:pPr>
        <w:rPr>
          <w:lang w:val="en-US"/>
        </w:rPr>
      </w:pPr>
      <w:r w:rsidRPr="001271BE">
        <w:rPr>
          <w:lang w:val="en-US"/>
        </w:rPr>
        <w:t xml:space="preserve">Corte Penal </w:t>
      </w:r>
      <w:proofErr w:type="spellStart"/>
      <w:r w:rsidRPr="001271BE">
        <w:rPr>
          <w:lang w:val="en-US"/>
        </w:rPr>
        <w:t>Internacional</w:t>
      </w:r>
      <w:proofErr w:type="spellEnd"/>
      <w:r w:rsidRPr="001271BE">
        <w:rPr>
          <w:lang w:val="en-US"/>
        </w:rPr>
        <w:t>. «Fourteenth Diplomatic Briefing of the International Criminal</w:t>
      </w:r>
      <w:r w:rsidRPr="001271BE">
        <w:rPr>
          <w:spacing w:val="80"/>
          <w:lang w:val="en-US"/>
        </w:rPr>
        <w:t xml:space="preserve"> </w:t>
      </w:r>
      <w:r w:rsidRPr="001271BE">
        <w:rPr>
          <w:lang w:val="en-US"/>
        </w:rPr>
        <w:t>Court.</w:t>
      </w:r>
      <w:r w:rsidRPr="001271BE">
        <w:rPr>
          <w:spacing w:val="80"/>
          <w:w w:val="150"/>
          <w:lang w:val="en-US"/>
        </w:rPr>
        <w:t xml:space="preserve"> </w:t>
      </w:r>
      <w:r w:rsidRPr="001271BE">
        <w:rPr>
          <w:lang w:val="en-US"/>
        </w:rPr>
        <w:t>[</w:t>
      </w:r>
      <w:proofErr w:type="spellStart"/>
      <w:r w:rsidRPr="001271BE">
        <w:rPr>
          <w:lang w:val="en-US"/>
        </w:rPr>
        <w:t>Decimocuarta</w:t>
      </w:r>
      <w:proofErr w:type="spellEnd"/>
      <w:r w:rsidRPr="001271BE">
        <w:rPr>
          <w:spacing w:val="80"/>
          <w:w w:val="150"/>
          <w:lang w:val="en-US"/>
        </w:rPr>
        <w:t xml:space="preserve"> </w:t>
      </w:r>
      <w:proofErr w:type="spellStart"/>
      <w:r w:rsidRPr="001271BE">
        <w:rPr>
          <w:lang w:val="en-US"/>
        </w:rPr>
        <w:t>reunión</w:t>
      </w:r>
      <w:proofErr w:type="spellEnd"/>
      <w:r w:rsidRPr="001271BE">
        <w:rPr>
          <w:spacing w:val="80"/>
          <w:w w:val="150"/>
          <w:lang w:val="en-US"/>
        </w:rPr>
        <w:t xml:space="preserve"> </w:t>
      </w:r>
      <w:proofErr w:type="spellStart"/>
      <w:r w:rsidRPr="001271BE">
        <w:rPr>
          <w:lang w:val="en-US"/>
        </w:rPr>
        <w:t>diplomática</w:t>
      </w:r>
      <w:proofErr w:type="spellEnd"/>
      <w:r w:rsidRPr="001271BE">
        <w:rPr>
          <w:spacing w:val="80"/>
          <w:w w:val="150"/>
          <w:lang w:val="en-US"/>
        </w:rPr>
        <w:t xml:space="preserve"> </w:t>
      </w:r>
      <w:proofErr w:type="spellStart"/>
      <w:r w:rsidRPr="001271BE">
        <w:rPr>
          <w:lang w:val="en-US"/>
        </w:rPr>
        <w:t>informativa</w:t>
      </w:r>
      <w:proofErr w:type="spellEnd"/>
      <w:r w:rsidRPr="001271BE">
        <w:rPr>
          <w:spacing w:val="80"/>
          <w:w w:val="150"/>
          <w:lang w:val="en-US"/>
        </w:rPr>
        <w:t xml:space="preserve"> </w:t>
      </w:r>
      <w:r w:rsidRPr="001271BE">
        <w:rPr>
          <w:lang w:val="en-US"/>
        </w:rPr>
        <w:t>de</w:t>
      </w:r>
      <w:r w:rsidRPr="001271BE">
        <w:rPr>
          <w:spacing w:val="80"/>
          <w:w w:val="150"/>
          <w:lang w:val="en-US"/>
        </w:rPr>
        <w:t xml:space="preserve"> </w:t>
      </w:r>
      <w:r w:rsidRPr="001271BE">
        <w:rPr>
          <w:lang w:val="en-US"/>
        </w:rPr>
        <w:t>la</w:t>
      </w:r>
      <w:r w:rsidRPr="001271BE">
        <w:rPr>
          <w:spacing w:val="80"/>
          <w:w w:val="150"/>
          <w:lang w:val="en-US"/>
        </w:rPr>
        <w:t xml:space="preserve"> </w:t>
      </w:r>
      <w:r w:rsidRPr="001271BE">
        <w:rPr>
          <w:lang w:val="en-US"/>
        </w:rPr>
        <w:t>Corte</w:t>
      </w:r>
      <w:r w:rsidRPr="001271BE">
        <w:rPr>
          <w:spacing w:val="80"/>
          <w:w w:val="150"/>
          <w:lang w:val="en-US"/>
        </w:rPr>
        <w:t xml:space="preserve"> </w:t>
      </w:r>
      <w:r w:rsidRPr="001271BE">
        <w:rPr>
          <w:lang w:val="en-US"/>
        </w:rPr>
        <w:t xml:space="preserve">Penal </w:t>
      </w:r>
      <w:proofErr w:type="spellStart"/>
      <w:proofErr w:type="gramStart"/>
      <w:r w:rsidRPr="001271BE">
        <w:rPr>
          <w:spacing w:val="-2"/>
          <w:lang w:val="en-US"/>
        </w:rPr>
        <w:t>Internacional</w:t>
      </w:r>
      <w:proofErr w:type="spellEnd"/>
      <w:r w:rsidRPr="001271BE">
        <w:rPr>
          <w:spacing w:val="-2"/>
          <w:lang w:val="en-US"/>
        </w:rPr>
        <w:t>]»</w:t>
      </w:r>
      <w:proofErr w:type="gramEnd"/>
      <w:r w:rsidRPr="001271BE">
        <w:rPr>
          <w:spacing w:val="-2"/>
          <w:lang w:val="en-US"/>
        </w:rPr>
        <w:t>.</w:t>
      </w:r>
      <w:r w:rsidRPr="001271BE">
        <w:rPr>
          <w:lang w:val="en-US"/>
        </w:rPr>
        <w:tab/>
      </w:r>
      <w:r w:rsidRPr="001271BE">
        <w:rPr>
          <w:spacing w:val="-2"/>
          <w:lang w:val="en-US"/>
        </w:rPr>
        <w:t>2008.</w:t>
      </w:r>
      <w:r w:rsidRPr="001271BE">
        <w:rPr>
          <w:lang w:val="en-US"/>
        </w:rPr>
        <w:tab/>
      </w:r>
      <w:hyperlink r:id="rId175">
        <w:r w:rsidRPr="001271BE">
          <w:rPr>
            <w:spacing w:val="-2"/>
            <w:lang w:val="en-US"/>
          </w:rPr>
          <w:t>https://www.icc-</w:t>
        </w:r>
      </w:hyperlink>
      <w:r w:rsidRPr="001271BE">
        <w:rPr>
          <w:spacing w:val="-2"/>
          <w:lang w:val="en-US"/>
        </w:rPr>
        <w:t xml:space="preserve"> </w:t>
      </w:r>
      <w:hyperlink r:id="rId176">
        <w:r w:rsidRPr="001271BE">
          <w:rPr>
            <w:spacing w:val="-2"/>
            <w:lang w:val="en-US"/>
          </w:rPr>
          <w:t>cpi.int/sites/default/files/NR/rdonlyres/90ED4A0B-029E-49BA-8AA2-</w:t>
        </w:r>
      </w:hyperlink>
      <w:r w:rsidRPr="001271BE">
        <w:rPr>
          <w:spacing w:val="-2"/>
          <w:lang w:val="en-US"/>
        </w:rPr>
        <w:t xml:space="preserve"> </w:t>
      </w:r>
      <w:hyperlink r:id="rId177">
        <w:r w:rsidRPr="001271BE">
          <w:rPr>
            <w:spacing w:val="-2"/>
            <w:lang w:val="en-US"/>
          </w:rPr>
          <w:t>9DA59BE3EB09/278643/ICCDB14IPENG.pdf.</w:t>
        </w:r>
      </w:hyperlink>
    </w:p>
    <w:p w:rsidR="003804AC" w:rsidRDefault="00AF18A5" w:rsidP="00B72257">
      <w:pPr>
        <w:pStyle w:val="Textoindependiente"/>
        <w:tabs>
          <w:tab w:val="left" w:pos="1608"/>
          <w:tab w:val="left" w:pos="2237"/>
          <w:tab w:val="left" w:pos="3299"/>
          <w:tab w:val="left" w:pos="4528"/>
          <w:tab w:val="left" w:pos="5088"/>
          <w:tab w:val="left" w:pos="6010"/>
          <w:tab w:val="left" w:pos="6613"/>
          <w:tab w:val="left" w:pos="7630"/>
          <w:tab w:val="left" w:pos="8518"/>
        </w:tabs>
        <w:spacing w:before="120"/>
        <w:ind w:left="221" w:right="1339"/>
      </w:pPr>
      <w:r>
        <w:rPr>
          <w:spacing w:val="-2"/>
        </w:rPr>
        <w:t>Defensoría</w:t>
      </w:r>
      <w:r>
        <w:tab/>
      </w:r>
      <w:r>
        <w:rPr>
          <w:spacing w:val="-4"/>
        </w:rPr>
        <w:t>del</w:t>
      </w:r>
      <w:r w:rsidR="00B72257">
        <w:rPr>
          <w:spacing w:val="-4"/>
        </w:rPr>
        <w:t xml:space="preserve"> </w:t>
      </w:r>
      <w:r>
        <w:rPr>
          <w:spacing w:val="-2"/>
        </w:rPr>
        <w:t>Pueblo.</w:t>
      </w:r>
      <w:r w:rsidR="00B72257">
        <w:t xml:space="preserve"> </w:t>
      </w:r>
      <w:r>
        <w:rPr>
          <w:spacing w:val="-2"/>
        </w:rPr>
        <w:t>«Informe</w:t>
      </w:r>
      <w:r w:rsidR="00B72257">
        <w:rPr>
          <w:spacing w:val="-2"/>
        </w:rPr>
        <w:t xml:space="preserve"> </w:t>
      </w:r>
      <w:r>
        <w:rPr>
          <w:spacing w:val="-6"/>
        </w:rPr>
        <w:t>de</w:t>
      </w:r>
      <w:r w:rsidR="00B72257">
        <w:rPr>
          <w:spacing w:val="-6"/>
        </w:rPr>
        <w:t xml:space="preserve"> </w:t>
      </w:r>
      <w:r>
        <w:rPr>
          <w:spacing w:val="-2"/>
        </w:rPr>
        <w:t>riesgo</w:t>
      </w:r>
      <w:r w:rsidR="00B72257">
        <w:rPr>
          <w:spacing w:val="-2"/>
        </w:rPr>
        <w:t xml:space="preserve"> </w:t>
      </w:r>
      <w:proofErr w:type="spellStart"/>
      <w:r>
        <w:rPr>
          <w:spacing w:val="-6"/>
        </w:rPr>
        <w:t>N°</w:t>
      </w:r>
      <w:proofErr w:type="spellEnd"/>
      <w:r w:rsidR="00B72257">
        <w:rPr>
          <w:spacing w:val="-6"/>
        </w:rPr>
        <w:t xml:space="preserve"> </w:t>
      </w:r>
      <w:r>
        <w:rPr>
          <w:spacing w:val="-2"/>
        </w:rPr>
        <w:t>010-17</w:t>
      </w:r>
      <w:r>
        <w:tab/>
      </w:r>
      <w:r>
        <w:rPr>
          <w:spacing w:val="-2"/>
        </w:rPr>
        <w:t>A.I.».</w:t>
      </w:r>
      <w:r w:rsidR="00B72257">
        <w:t xml:space="preserve"> </w:t>
      </w:r>
      <w:r w:rsidRPr="00B72257">
        <w:t xml:space="preserve">2017. </w:t>
      </w:r>
      <w:hyperlink r:id="rId178">
        <w:r w:rsidRPr="00B72257">
          <w:t>http://www.indepaz.org.co/wp-content/uploads/2020/02/IR-N %C2 %B0-010-17-</w:t>
        </w:r>
      </w:hyperlink>
      <w:r w:rsidRPr="00B72257">
        <w:t xml:space="preserve"> </w:t>
      </w:r>
      <w:hyperlink r:id="rId179">
        <w:r w:rsidRPr="00B72257">
          <w:t>L %C3 %ADderes-y-Defensores-de-DDHH.pdf.</w:t>
        </w:r>
      </w:hyperlink>
    </w:p>
    <w:p w:rsidR="003804AC" w:rsidRDefault="00AF18A5" w:rsidP="00B72257">
      <w:r>
        <w:t xml:space="preserve">Departamento Administrativo Nacional de </w:t>
      </w:r>
      <w:proofErr w:type="spellStart"/>
      <w:r>
        <w:t>Estadistica</w:t>
      </w:r>
      <w:proofErr w:type="spellEnd"/>
      <w:r>
        <w:t xml:space="preserve"> (DANE). «Población afectada por la delincuencia: una aproximación a la criminalidad real». 1986</w:t>
      </w:r>
    </w:p>
    <w:p w:rsidR="003804AC" w:rsidRDefault="00AF18A5" w:rsidP="00B72257">
      <w:r>
        <w:t xml:space="preserve">El Espectador. «2020: Un año marcado por las masacres». 3 de enero de 2021. </w:t>
      </w:r>
      <w:r>
        <w:rPr>
          <w:i/>
        </w:rPr>
        <w:t>elespectador.com</w:t>
      </w:r>
      <w:r>
        <w:t xml:space="preserve">. </w:t>
      </w:r>
      <w:hyperlink r:id="rId180">
        <w:r>
          <w:t>https://www.elespectador.com/colombia-20/conflicto/2020-un-</w:t>
        </w:r>
      </w:hyperlink>
      <w:r>
        <w:t xml:space="preserve"> </w:t>
      </w:r>
      <w:hyperlink r:id="rId181">
        <w:r>
          <w:rPr>
            <w:spacing w:val="-2"/>
          </w:rPr>
          <w:t>ano-marcado-por-las-masacres-</w:t>
        </w:r>
        <w:proofErr w:type="spellStart"/>
        <w:r>
          <w:rPr>
            <w:spacing w:val="-2"/>
          </w:rPr>
          <w:t>article</w:t>
        </w:r>
        <w:proofErr w:type="spellEnd"/>
        <w:r>
          <w:rPr>
            <w:spacing w:val="-2"/>
          </w:rPr>
          <w:t>/</w:t>
        </w:r>
      </w:hyperlink>
      <w:r>
        <w:rPr>
          <w:spacing w:val="-2"/>
        </w:rPr>
        <w:t>.</w:t>
      </w:r>
    </w:p>
    <w:p w:rsidR="0011361F" w:rsidRDefault="00AF18A5" w:rsidP="00B72257">
      <w:r>
        <w:lastRenderedPageBreak/>
        <w:t xml:space="preserve">———. «Los hornos del horror en el Catatumbo». 9 de mayo de 2009. </w:t>
      </w:r>
      <w:r>
        <w:rPr>
          <w:i/>
        </w:rPr>
        <w:t>elespectador.com</w:t>
      </w:r>
      <w:r>
        <w:t xml:space="preserve">. </w:t>
      </w:r>
      <w:hyperlink r:id="rId182">
        <w:r>
          <w:rPr>
            <w:spacing w:val="-2"/>
          </w:rPr>
          <w:t>https://www.elespectador.com/colombia/mas-regiones/los-hornos-del-horror-en-</w:t>
        </w:r>
      </w:hyperlink>
      <w:hyperlink r:id="rId183">
        <w:r>
          <w:rPr>
            <w:spacing w:val="-2"/>
          </w:rPr>
          <w:t>el-catatumbo-article-140079/</w:t>
        </w:r>
      </w:hyperlink>
      <w:r>
        <w:rPr>
          <w:spacing w:val="-2"/>
        </w:rPr>
        <w:t>.</w:t>
      </w:r>
    </w:p>
    <w:p w:rsidR="003804AC" w:rsidRPr="00B72257" w:rsidRDefault="00AF18A5" w:rsidP="00B72257">
      <w:pPr>
        <w:rPr>
          <w:i/>
        </w:rPr>
      </w:pPr>
      <w:r>
        <w:t>———.</w:t>
      </w:r>
      <w:r>
        <w:rPr>
          <w:spacing w:val="-1"/>
        </w:rPr>
        <w:t xml:space="preserve"> </w:t>
      </w:r>
      <w:r>
        <w:t>«Página 6A».</w:t>
      </w:r>
      <w:r>
        <w:rPr>
          <w:spacing w:val="-1"/>
        </w:rPr>
        <w:t xml:space="preserve"> </w:t>
      </w:r>
      <w:r>
        <w:t>7 de</w:t>
      </w:r>
      <w:r>
        <w:rPr>
          <w:spacing w:val="-1"/>
        </w:rPr>
        <w:t xml:space="preserve"> </w:t>
      </w:r>
      <w:r>
        <w:t>marzo de</w:t>
      </w:r>
      <w:r>
        <w:rPr>
          <w:spacing w:val="-2"/>
        </w:rPr>
        <w:t xml:space="preserve"> </w:t>
      </w:r>
      <w:r>
        <w:t xml:space="preserve">2004. </w:t>
      </w:r>
      <w:r>
        <w:rPr>
          <w:i/>
        </w:rPr>
        <w:t xml:space="preserve">El </w:t>
      </w:r>
      <w:r>
        <w:rPr>
          <w:i/>
          <w:spacing w:val="-2"/>
        </w:rPr>
        <w:t>Espectador</w:t>
      </w:r>
      <w:r w:rsidR="00B72257">
        <w:rPr>
          <w:i/>
        </w:rPr>
        <w:t xml:space="preserve"> </w:t>
      </w:r>
      <w:r>
        <w:t>Entrevista 001-VI-00043. Ex jueza</w:t>
      </w:r>
      <w:r>
        <w:rPr>
          <w:spacing w:val="-1"/>
        </w:rPr>
        <w:t xml:space="preserve"> </w:t>
      </w:r>
      <w:r>
        <w:t>de la República en el exilio. Tomada</w:t>
      </w:r>
      <w:r>
        <w:rPr>
          <w:spacing w:val="-1"/>
        </w:rPr>
        <w:t xml:space="preserve"> </w:t>
      </w:r>
      <w:r>
        <w:t>por Comisión para el Esclarecimiento de la Verdad, la Convivencia y la No Repetición - CEV. 2020.</w:t>
      </w:r>
    </w:p>
    <w:p w:rsidR="003804AC" w:rsidRDefault="00AF18A5" w:rsidP="00B72257">
      <w:r>
        <w:t>Entrevista 402-AA-00001. Excombatiente, FARC-EP. Tomada por Comisión para el Esclarecimiento de la Verdad, la Convivencia y la No Repetición - CEV. 2019.</w:t>
      </w:r>
    </w:p>
    <w:p w:rsidR="003804AC" w:rsidRDefault="00AF18A5" w:rsidP="00B72257">
      <w:r>
        <w:t>Entrevista 001-VI-00026. Exfiscal de DD. HH. en el exilio. Tomada por Comisión para el Esclarecimiento de la Verdad, la Convivencia y la No Repetición - CEV.</w:t>
      </w:r>
    </w:p>
    <w:p w:rsidR="003804AC" w:rsidRDefault="00AF18A5" w:rsidP="00B72257">
      <w:r>
        <w:t>Entrevista 312-VI-00004. Exmagistrado. Tomada por Comisión para el Esclarecimiento de la Verdad, la Convivencia y la No Repetición - CEV. 2020.</w:t>
      </w:r>
    </w:p>
    <w:p w:rsidR="003804AC" w:rsidRDefault="00AF18A5" w:rsidP="00B72257">
      <w:r>
        <w:t>Fiscalía General de la Nación. Resolución 0-2725 - mediante la cual se creó la Unidad Nacional de Derechos Humanos, adscrita a la Dirección Nacional de Fiscalías.</w:t>
      </w:r>
    </w:p>
    <w:p w:rsidR="003804AC" w:rsidRDefault="00AF18A5" w:rsidP="00B72257">
      <w:r>
        <w:t xml:space="preserve">Guzmán Campos, Germán, Orlando Fals Borda, y Eduardo Umaña Luna. </w:t>
      </w:r>
      <w:r>
        <w:rPr>
          <w:i/>
        </w:rPr>
        <w:t>La violencia en Colombia. Tomo 2</w:t>
      </w:r>
      <w:r>
        <w:t>. Bogotá: Taurus, 2016.</w:t>
      </w:r>
    </w:p>
    <w:p w:rsidR="003804AC" w:rsidRDefault="00AF18A5" w:rsidP="00B72257">
      <w:r>
        <w:t>Entrevista</w:t>
      </w:r>
      <w:r>
        <w:rPr>
          <w:spacing w:val="-7"/>
        </w:rPr>
        <w:t xml:space="preserve"> </w:t>
      </w:r>
      <w:r>
        <w:t>001-VI-00044.</w:t>
      </w:r>
      <w:r>
        <w:rPr>
          <w:spacing w:val="-6"/>
        </w:rPr>
        <w:t xml:space="preserve"> </w:t>
      </w:r>
      <w:r>
        <w:t>Hombre,</w:t>
      </w:r>
      <w:r>
        <w:rPr>
          <w:spacing w:val="-8"/>
        </w:rPr>
        <w:t xml:space="preserve"> </w:t>
      </w:r>
      <w:r>
        <w:t>abogado,</w:t>
      </w:r>
      <w:r>
        <w:rPr>
          <w:spacing w:val="-6"/>
        </w:rPr>
        <w:t xml:space="preserve"> </w:t>
      </w:r>
      <w:r>
        <w:t>ex</w:t>
      </w:r>
      <w:r>
        <w:rPr>
          <w:spacing w:val="-8"/>
        </w:rPr>
        <w:t xml:space="preserve"> </w:t>
      </w:r>
      <w:r>
        <w:t>magistrado</w:t>
      </w:r>
      <w:r>
        <w:rPr>
          <w:spacing w:val="-8"/>
        </w:rPr>
        <w:t xml:space="preserve"> </w:t>
      </w:r>
      <w:r>
        <w:t>de</w:t>
      </w:r>
      <w:r>
        <w:rPr>
          <w:spacing w:val="-6"/>
        </w:rPr>
        <w:t xml:space="preserve"> </w:t>
      </w:r>
      <w:r>
        <w:t>la</w:t>
      </w:r>
      <w:r>
        <w:rPr>
          <w:spacing w:val="-7"/>
        </w:rPr>
        <w:t xml:space="preserve"> </w:t>
      </w:r>
      <w:r>
        <w:t>Corte</w:t>
      </w:r>
      <w:r>
        <w:rPr>
          <w:spacing w:val="-7"/>
        </w:rPr>
        <w:t xml:space="preserve"> </w:t>
      </w:r>
      <w:r>
        <w:t>Suprema</w:t>
      </w:r>
      <w:r>
        <w:rPr>
          <w:spacing w:val="-7"/>
        </w:rPr>
        <w:t xml:space="preserve"> </w:t>
      </w:r>
      <w:r>
        <w:t>de</w:t>
      </w:r>
      <w:r>
        <w:rPr>
          <w:spacing w:val="-7"/>
        </w:rPr>
        <w:t xml:space="preserve"> </w:t>
      </w:r>
      <w:r>
        <w:t>Justicia. Tomada</w:t>
      </w:r>
      <w:r>
        <w:rPr>
          <w:spacing w:val="-11"/>
        </w:rPr>
        <w:t xml:space="preserve"> </w:t>
      </w:r>
      <w:r>
        <w:t>por</w:t>
      </w:r>
      <w:r>
        <w:rPr>
          <w:spacing w:val="-10"/>
        </w:rPr>
        <w:t xml:space="preserve"> </w:t>
      </w:r>
      <w:r>
        <w:t>Comisión</w:t>
      </w:r>
      <w:r>
        <w:rPr>
          <w:spacing w:val="-11"/>
        </w:rPr>
        <w:t xml:space="preserve"> </w:t>
      </w:r>
      <w:r>
        <w:t>para</w:t>
      </w:r>
      <w:r>
        <w:rPr>
          <w:spacing w:val="-11"/>
        </w:rPr>
        <w:t xml:space="preserve"> </w:t>
      </w:r>
      <w:r>
        <w:t>el</w:t>
      </w:r>
      <w:r>
        <w:rPr>
          <w:spacing w:val="-10"/>
        </w:rPr>
        <w:t xml:space="preserve"> </w:t>
      </w:r>
      <w:r>
        <w:t>Esclarecimiento</w:t>
      </w:r>
      <w:r>
        <w:rPr>
          <w:spacing w:val="-11"/>
        </w:rPr>
        <w:t xml:space="preserve"> </w:t>
      </w:r>
      <w:r>
        <w:t>de</w:t>
      </w:r>
      <w:r>
        <w:rPr>
          <w:spacing w:val="-12"/>
        </w:rPr>
        <w:t xml:space="preserve"> </w:t>
      </w:r>
      <w:r>
        <w:t>la</w:t>
      </w:r>
      <w:r>
        <w:rPr>
          <w:spacing w:val="-11"/>
        </w:rPr>
        <w:t xml:space="preserve"> </w:t>
      </w:r>
      <w:r>
        <w:t>Verdad,</w:t>
      </w:r>
      <w:r>
        <w:rPr>
          <w:spacing w:val="-11"/>
        </w:rPr>
        <w:t xml:space="preserve"> </w:t>
      </w:r>
      <w:r>
        <w:t>la</w:t>
      </w:r>
      <w:r>
        <w:rPr>
          <w:spacing w:val="-12"/>
        </w:rPr>
        <w:t xml:space="preserve"> </w:t>
      </w:r>
      <w:r>
        <w:t>Convivencia</w:t>
      </w:r>
      <w:r>
        <w:rPr>
          <w:spacing w:val="-11"/>
        </w:rPr>
        <w:t xml:space="preserve"> </w:t>
      </w:r>
      <w:r>
        <w:t>y</w:t>
      </w:r>
      <w:r>
        <w:rPr>
          <w:spacing w:val="-11"/>
        </w:rPr>
        <w:t xml:space="preserve"> </w:t>
      </w:r>
      <w:r>
        <w:t>la</w:t>
      </w:r>
      <w:r>
        <w:rPr>
          <w:spacing w:val="-11"/>
        </w:rPr>
        <w:t xml:space="preserve"> </w:t>
      </w:r>
      <w:r>
        <w:t>No Repetición - CEV. 2020.</w:t>
      </w:r>
    </w:p>
    <w:p w:rsidR="0011361F" w:rsidRDefault="00AF18A5" w:rsidP="00B72257">
      <w:r>
        <w:lastRenderedPageBreak/>
        <w:t>Entrevista 001-VI-00069. Hombre, exfuncionario CTI, víctima de exilio. Tomada por Comisión</w:t>
      </w:r>
      <w:r>
        <w:rPr>
          <w:spacing w:val="-1"/>
        </w:rPr>
        <w:t xml:space="preserve"> </w:t>
      </w:r>
      <w:r>
        <w:t>para</w:t>
      </w:r>
      <w:r>
        <w:rPr>
          <w:spacing w:val="1"/>
        </w:rPr>
        <w:t xml:space="preserve"> </w:t>
      </w:r>
      <w:r>
        <w:t>el</w:t>
      </w:r>
      <w:r>
        <w:rPr>
          <w:spacing w:val="1"/>
        </w:rPr>
        <w:t xml:space="preserve"> </w:t>
      </w:r>
      <w:r>
        <w:t>Esclarecimiento de</w:t>
      </w:r>
      <w:r>
        <w:rPr>
          <w:spacing w:val="-1"/>
        </w:rPr>
        <w:t xml:space="preserve"> </w:t>
      </w:r>
      <w:r>
        <w:t>la</w:t>
      </w:r>
      <w:r>
        <w:rPr>
          <w:spacing w:val="1"/>
        </w:rPr>
        <w:t xml:space="preserve"> </w:t>
      </w:r>
      <w:r>
        <w:t>Verdad,</w:t>
      </w:r>
      <w:r>
        <w:rPr>
          <w:spacing w:val="1"/>
        </w:rPr>
        <w:t xml:space="preserve"> </w:t>
      </w:r>
      <w:r>
        <w:t>la</w:t>
      </w:r>
      <w:r>
        <w:rPr>
          <w:spacing w:val="1"/>
        </w:rPr>
        <w:t xml:space="preserve"> </w:t>
      </w:r>
      <w:r>
        <w:t>Convivencia y la No</w:t>
      </w:r>
      <w:r>
        <w:rPr>
          <w:spacing w:val="1"/>
        </w:rPr>
        <w:t xml:space="preserve"> </w:t>
      </w:r>
      <w:r>
        <w:rPr>
          <w:spacing w:val="-2"/>
        </w:rPr>
        <w:t>Repetición</w:t>
      </w:r>
      <w:r w:rsidR="00B72257">
        <w:rPr>
          <w:spacing w:val="-2"/>
        </w:rPr>
        <w:t xml:space="preserve"> </w:t>
      </w:r>
      <w:r>
        <w:t>-</w:t>
      </w:r>
      <w:r>
        <w:rPr>
          <w:spacing w:val="-2"/>
        </w:rPr>
        <w:t xml:space="preserve"> </w:t>
      </w:r>
      <w:r>
        <w:t>CEV.</w:t>
      </w:r>
      <w:r>
        <w:rPr>
          <w:spacing w:val="-1"/>
        </w:rPr>
        <w:t xml:space="preserve"> </w:t>
      </w:r>
      <w:r>
        <w:rPr>
          <w:spacing w:val="-2"/>
        </w:rPr>
        <w:t>2021.</w:t>
      </w:r>
    </w:p>
    <w:p w:rsidR="003804AC" w:rsidRDefault="00AF18A5" w:rsidP="00B72257">
      <w:r>
        <w:t>Human</w:t>
      </w:r>
      <w:r>
        <w:rPr>
          <w:spacing w:val="-1"/>
        </w:rPr>
        <w:t xml:space="preserve"> </w:t>
      </w:r>
      <w:proofErr w:type="spellStart"/>
      <w:r>
        <w:t>Rights</w:t>
      </w:r>
      <w:proofErr w:type="spellEnd"/>
      <w:r>
        <w:rPr>
          <w:spacing w:val="-1"/>
        </w:rPr>
        <w:t xml:space="preserve"> </w:t>
      </w:r>
      <w:proofErr w:type="spellStart"/>
      <w:r>
        <w:t>Watch</w:t>
      </w:r>
      <w:proofErr w:type="spellEnd"/>
      <w:r>
        <w:t>.</w:t>
      </w:r>
      <w:r>
        <w:rPr>
          <w:spacing w:val="-1"/>
        </w:rPr>
        <w:t xml:space="preserve"> </w:t>
      </w:r>
      <w:r>
        <w:t>«Un</w:t>
      </w:r>
      <w:r>
        <w:rPr>
          <w:spacing w:val="-1"/>
        </w:rPr>
        <w:t xml:space="preserve"> </w:t>
      </w:r>
      <w:r>
        <w:t>giro</w:t>
      </w:r>
      <w:r>
        <w:rPr>
          <w:spacing w:val="-1"/>
        </w:rPr>
        <w:t xml:space="preserve"> </w:t>
      </w:r>
      <w:r>
        <w:t>erróneo</w:t>
      </w:r>
      <w:r>
        <w:rPr>
          <w:spacing w:val="-1"/>
        </w:rPr>
        <w:t xml:space="preserve"> </w:t>
      </w:r>
      <w:r>
        <w:t>La</w:t>
      </w:r>
      <w:r>
        <w:rPr>
          <w:spacing w:val="-1"/>
        </w:rPr>
        <w:t xml:space="preserve"> </w:t>
      </w:r>
      <w:r>
        <w:t>actuación</w:t>
      </w:r>
      <w:r>
        <w:rPr>
          <w:spacing w:val="-1"/>
        </w:rPr>
        <w:t xml:space="preserve"> </w:t>
      </w:r>
      <w:r>
        <w:t>de</w:t>
      </w:r>
      <w:r>
        <w:rPr>
          <w:spacing w:val="-1"/>
        </w:rPr>
        <w:t xml:space="preserve"> </w:t>
      </w:r>
      <w:r>
        <w:t>la</w:t>
      </w:r>
      <w:r>
        <w:rPr>
          <w:spacing w:val="-2"/>
        </w:rPr>
        <w:t xml:space="preserve"> </w:t>
      </w:r>
      <w:r>
        <w:t>Fiscalía</w:t>
      </w:r>
      <w:r>
        <w:rPr>
          <w:spacing w:val="-1"/>
        </w:rPr>
        <w:t xml:space="preserve"> </w:t>
      </w:r>
      <w:r>
        <w:t>General</w:t>
      </w:r>
      <w:r>
        <w:rPr>
          <w:spacing w:val="-1"/>
        </w:rPr>
        <w:t xml:space="preserve"> </w:t>
      </w:r>
      <w:r>
        <w:t>de</w:t>
      </w:r>
      <w:r>
        <w:rPr>
          <w:spacing w:val="-2"/>
        </w:rPr>
        <w:t xml:space="preserve"> </w:t>
      </w:r>
      <w:r>
        <w:t>la</w:t>
      </w:r>
      <w:r>
        <w:rPr>
          <w:spacing w:val="-1"/>
        </w:rPr>
        <w:t xml:space="preserve"> </w:t>
      </w:r>
      <w:r>
        <w:t>Nación.». Módulo</w:t>
      </w:r>
      <w:r>
        <w:rPr>
          <w:spacing w:val="-12"/>
        </w:rPr>
        <w:t xml:space="preserve"> </w:t>
      </w:r>
      <w:r>
        <w:t>de</w:t>
      </w:r>
      <w:r>
        <w:rPr>
          <w:spacing w:val="-14"/>
        </w:rPr>
        <w:t xml:space="preserve"> </w:t>
      </w:r>
      <w:r>
        <w:t>Captura,</w:t>
      </w:r>
      <w:r>
        <w:rPr>
          <w:spacing w:val="-12"/>
        </w:rPr>
        <w:t xml:space="preserve"> </w:t>
      </w:r>
      <w:r>
        <w:t>Comisión</w:t>
      </w:r>
      <w:r>
        <w:rPr>
          <w:spacing w:val="-13"/>
        </w:rPr>
        <w:t xml:space="preserve"> </w:t>
      </w:r>
      <w:r>
        <w:t>para</w:t>
      </w:r>
      <w:r>
        <w:rPr>
          <w:spacing w:val="-13"/>
        </w:rPr>
        <w:t xml:space="preserve"> </w:t>
      </w:r>
      <w:r>
        <w:t>el</w:t>
      </w:r>
      <w:r>
        <w:rPr>
          <w:spacing w:val="-11"/>
        </w:rPr>
        <w:t xml:space="preserve"> </w:t>
      </w:r>
      <w:r>
        <w:t>Esclarecimiento</w:t>
      </w:r>
      <w:r>
        <w:rPr>
          <w:spacing w:val="-12"/>
        </w:rPr>
        <w:t xml:space="preserve"> </w:t>
      </w:r>
      <w:r>
        <w:t>de</w:t>
      </w:r>
      <w:r>
        <w:rPr>
          <w:spacing w:val="-13"/>
        </w:rPr>
        <w:t xml:space="preserve"> </w:t>
      </w:r>
      <w:r>
        <w:t>la</w:t>
      </w:r>
      <w:r>
        <w:rPr>
          <w:spacing w:val="-14"/>
        </w:rPr>
        <w:t xml:space="preserve"> </w:t>
      </w:r>
      <w:r>
        <w:t>Verdad,</w:t>
      </w:r>
      <w:r>
        <w:rPr>
          <w:spacing w:val="-12"/>
        </w:rPr>
        <w:t xml:space="preserve"> </w:t>
      </w:r>
      <w:r>
        <w:t>la</w:t>
      </w:r>
      <w:r>
        <w:rPr>
          <w:spacing w:val="-13"/>
        </w:rPr>
        <w:t xml:space="preserve"> </w:t>
      </w:r>
      <w:r>
        <w:t>Convivencia y la No Repetición. 2002.</w:t>
      </w:r>
    </w:p>
    <w:p w:rsidR="003804AC" w:rsidRDefault="00AF18A5" w:rsidP="00E547C8">
      <w:r>
        <w:t xml:space="preserve">Human </w:t>
      </w:r>
      <w:proofErr w:type="spellStart"/>
      <w:r>
        <w:t>Rights</w:t>
      </w:r>
      <w:proofErr w:type="spellEnd"/>
      <w:r>
        <w:t xml:space="preserve"> </w:t>
      </w:r>
      <w:proofErr w:type="spellStart"/>
      <w:r>
        <w:t>Watch</w:t>
      </w:r>
      <w:proofErr w:type="spellEnd"/>
      <w:r>
        <w:t xml:space="preserve"> (HRW). «Colombia: Asesinatos de Representantes de Víctimas Le Restan Credibilidad a Desmovilización Paramilitar (Human </w:t>
      </w:r>
      <w:proofErr w:type="spellStart"/>
      <w:r>
        <w:t>Rights</w:t>
      </w:r>
      <w:proofErr w:type="spellEnd"/>
      <w:r>
        <w:t xml:space="preserve"> </w:t>
      </w:r>
      <w:proofErr w:type="spellStart"/>
      <w:r>
        <w:t>Watch</w:t>
      </w:r>
      <w:proofErr w:type="spellEnd"/>
      <w:r>
        <w:t xml:space="preserve">, 1-2- </w:t>
      </w:r>
      <w:r>
        <w:rPr>
          <w:spacing w:val="-2"/>
        </w:rPr>
        <w:t>2007)».</w:t>
      </w:r>
      <w:r>
        <w:tab/>
      </w:r>
      <w:r>
        <w:rPr>
          <w:spacing w:val="-2"/>
        </w:rPr>
        <w:t>Acceso</w:t>
      </w:r>
      <w:r>
        <w:tab/>
      </w:r>
      <w:r>
        <w:rPr>
          <w:spacing w:val="-5"/>
        </w:rPr>
        <w:t>el</w:t>
      </w:r>
      <w:r>
        <w:tab/>
      </w:r>
      <w:r>
        <w:rPr>
          <w:spacing w:val="-5"/>
        </w:rPr>
        <w:t>22</w:t>
      </w:r>
      <w:r>
        <w:tab/>
      </w:r>
      <w:r>
        <w:rPr>
          <w:spacing w:val="-5"/>
        </w:rPr>
        <w:t>de</w:t>
      </w:r>
      <w:r>
        <w:tab/>
      </w:r>
      <w:r>
        <w:rPr>
          <w:spacing w:val="-2"/>
        </w:rPr>
        <w:t>junio</w:t>
      </w:r>
      <w:r>
        <w:tab/>
        <w:t>de</w:t>
      </w:r>
      <w:r w:rsidR="004C771B">
        <w:t xml:space="preserve"> </w:t>
      </w:r>
      <w:r>
        <w:rPr>
          <w:spacing w:val="-2"/>
        </w:rPr>
        <w:t>2022.</w:t>
      </w:r>
    </w:p>
    <w:p w:rsidR="0011361F" w:rsidRDefault="00B93F6A" w:rsidP="00E547C8">
      <w:hyperlink r:id="rId184">
        <w:r w:rsidR="00AF18A5">
          <w:rPr>
            <w:spacing w:val="-2"/>
          </w:rPr>
          <w:t>https://www.hrw.org/legacy/spanish/docs/2007/02/01/colomb15247_txt.htm</w:t>
        </w:r>
      </w:hyperlink>
      <w:r w:rsidR="00AF18A5">
        <w:rPr>
          <w:spacing w:val="-2"/>
        </w:rPr>
        <w:t>.</w:t>
      </w:r>
    </w:p>
    <w:p w:rsidR="003804AC" w:rsidRDefault="00AF18A5" w:rsidP="00E547C8">
      <w:r>
        <w:t>Indepaz.</w:t>
      </w:r>
      <w:r>
        <w:rPr>
          <w:spacing w:val="40"/>
        </w:rPr>
        <w:t xml:space="preserve"> </w:t>
      </w:r>
      <w:r>
        <w:t>«Informe</w:t>
      </w:r>
      <w:r>
        <w:rPr>
          <w:spacing w:val="40"/>
        </w:rPr>
        <w:t xml:space="preserve"> </w:t>
      </w:r>
      <w:r>
        <w:t>de</w:t>
      </w:r>
      <w:r>
        <w:rPr>
          <w:spacing w:val="40"/>
        </w:rPr>
        <w:t xml:space="preserve"> </w:t>
      </w:r>
      <w:r>
        <w:t>la</w:t>
      </w:r>
      <w:r>
        <w:rPr>
          <w:spacing w:val="40"/>
        </w:rPr>
        <w:t xml:space="preserve"> </w:t>
      </w:r>
      <w:r>
        <w:t>Comisión</w:t>
      </w:r>
      <w:r>
        <w:rPr>
          <w:spacing w:val="40"/>
        </w:rPr>
        <w:t xml:space="preserve"> </w:t>
      </w:r>
      <w:r>
        <w:t>Histórica</w:t>
      </w:r>
      <w:r>
        <w:rPr>
          <w:spacing w:val="40"/>
        </w:rPr>
        <w:t xml:space="preserve"> </w:t>
      </w:r>
      <w:r>
        <w:t>del</w:t>
      </w:r>
      <w:r>
        <w:rPr>
          <w:spacing w:val="40"/>
        </w:rPr>
        <w:t xml:space="preserve"> </w:t>
      </w:r>
      <w:r>
        <w:t>Conflicto</w:t>
      </w:r>
      <w:r>
        <w:rPr>
          <w:spacing w:val="40"/>
        </w:rPr>
        <w:t xml:space="preserve"> </w:t>
      </w:r>
      <w:r>
        <w:t>y</w:t>
      </w:r>
      <w:r>
        <w:rPr>
          <w:spacing w:val="40"/>
        </w:rPr>
        <w:t xml:space="preserve"> </w:t>
      </w:r>
      <w:r>
        <w:t>sus</w:t>
      </w:r>
      <w:r>
        <w:rPr>
          <w:spacing w:val="40"/>
        </w:rPr>
        <w:t xml:space="preserve"> </w:t>
      </w:r>
      <w:r>
        <w:t>Víctimas</w:t>
      </w:r>
      <w:r>
        <w:rPr>
          <w:spacing w:val="40"/>
        </w:rPr>
        <w:t xml:space="preserve"> </w:t>
      </w:r>
      <w:r>
        <w:t>–</w:t>
      </w:r>
      <w:r>
        <w:rPr>
          <w:spacing w:val="40"/>
        </w:rPr>
        <w:t xml:space="preserve"> </w:t>
      </w:r>
      <w:r>
        <w:t xml:space="preserve">Indepaz». </w:t>
      </w:r>
      <w:r>
        <w:rPr>
          <w:spacing w:val="-2"/>
        </w:rPr>
        <w:t>Accedido</w:t>
      </w:r>
      <w:r>
        <w:tab/>
      </w:r>
      <w:r>
        <w:rPr>
          <w:spacing w:val="-5"/>
        </w:rPr>
        <w:t>25</w:t>
      </w:r>
      <w:r>
        <w:tab/>
      </w:r>
      <w:r>
        <w:rPr>
          <w:spacing w:val="-5"/>
        </w:rPr>
        <w:t>de</w:t>
      </w:r>
      <w:r>
        <w:tab/>
      </w:r>
      <w:r>
        <w:rPr>
          <w:spacing w:val="-2"/>
        </w:rPr>
        <w:t>abril</w:t>
      </w:r>
      <w:r>
        <w:tab/>
      </w:r>
      <w:r>
        <w:rPr>
          <w:spacing w:val="-5"/>
        </w:rPr>
        <w:t>de</w:t>
      </w:r>
      <w:r>
        <w:tab/>
      </w:r>
      <w:r>
        <w:rPr>
          <w:spacing w:val="-2"/>
        </w:rPr>
        <w:t>2022.</w:t>
      </w:r>
      <w:r>
        <w:tab/>
      </w:r>
      <w:r>
        <w:rPr>
          <w:spacing w:val="-2"/>
        </w:rPr>
        <w:t>Acceso</w:t>
      </w:r>
      <w:r>
        <w:tab/>
      </w:r>
      <w:r>
        <w:rPr>
          <w:spacing w:val="-5"/>
        </w:rPr>
        <w:t>el</w:t>
      </w:r>
      <w:r>
        <w:tab/>
      </w:r>
      <w:r>
        <w:rPr>
          <w:spacing w:val="-5"/>
        </w:rPr>
        <w:t>25</w:t>
      </w:r>
      <w:r>
        <w:tab/>
      </w:r>
      <w:r>
        <w:rPr>
          <w:spacing w:val="-5"/>
        </w:rPr>
        <w:t>de</w:t>
      </w:r>
      <w:r>
        <w:tab/>
      </w:r>
      <w:r>
        <w:rPr>
          <w:spacing w:val="-2"/>
        </w:rPr>
        <w:t>abril</w:t>
      </w:r>
      <w:r>
        <w:tab/>
      </w:r>
      <w:r>
        <w:rPr>
          <w:spacing w:val="-5"/>
        </w:rPr>
        <w:t>de</w:t>
      </w:r>
      <w:r>
        <w:tab/>
      </w:r>
      <w:r>
        <w:rPr>
          <w:spacing w:val="-2"/>
        </w:rPr>
        <w:t>2022.</w:t>
      </w:r>
    </w:p>
    <w:p w:rsidR="003804AC" w:rsidRDefault="00B93F6A" w:rsidP="00E547C8">
      <w:hyperlink r:id="rId185">
        <w:r w:rsidR="00AF18A5">
          <w:rPr>
            <w:spacing w:val="-2"/>
          </w:rPr>
          <w:t>https://indepaz.org.co/informe-de-la-comision-historica-del-conflicto-y-sus-</w:t>
        </w:r>
      </w:hyperlink>
      <w:r w:rsidR="00AF18A5">
        <w:rPr>
          <w:spacing w:val="-2"/>
        </w:rPr>
        <w:t xml:space="preserve"> </w:t>
      </w:r>
      <w:hyperlink r:id="rId186">
        <w:r w:rsidR="00AF18A5">
          <w:rPr>
            <w:spacing w:val="-2"/>
          </w:rPr>
          <w:t>victimas/</w:t>
        </w:r>
      </w:hyperlink>
      <w:r w:rsidR="00AF18A5">
        <w:rPr>
          <w:spacing w:val="-2"/>
        </w:rPr>
        <w:t>.</w:t>
      </w:r>
    </w:p>
    <w:p w:rsidR="003804AC" w:rsidRDefault="00AF18A5" w:rsidP="00E547C8">
      <w:r>
        <w:t>Jurisdicción</w:t>
      </w:r>
      <w:r>
        <w:rPr>
          <w:spacing w:val="-15"/>
        </w:rPr>
        <w:t xml:space="preserve"> </w:t>
      </w:r>
      <w:r>
        <w:t>Especial</w:t>
      </w:r>
      <w:r>
        <w:rPr>
          <w:spacing w:val="-15"/>
        </w:rPr>
        <w:t xml:space="preserve"> </w:t>
      </w:r>
      <w:r>
        <w:t>para</w:t>
      </w:r>
      <w:r>
        <w:rPr>
          <w:spacing w:val="-15"/>
        </w:rPr>
        <w:t xml:space="preserve"> </w:t>
      </w:r>
      <w:r>
        <w:t>la</w:t>
      </w:r>
      <w:r>
        <w:rPr>
          <w:spacing w:val="-15"/>
        </w:rPr>
        <w:t xml:space="preserve"> </w:t>
      </w:r>
      <w:r>
        <w:t>Paz</w:t>
      </w:r>
      <w:r>
        <w:rPr>
          <w:spacing w:val="-15"/>
        </w:rPr>
        <w:t xml:space="preserve"> </w:t>
      </w:r>
      <w:r>
        <w:t>(JEP).</w:t>
      </w:r>
      <w:r>
        <w:rPr>
          <w:spacing w:val="-15"/>
        </w:rPr>
        <w:t xml:space="preserve"> </w:t>
      </w:r>
      <w:r>
        <w:t>SALA</w:t>
      </w:r>
      <w:r>
        <w:rPr>
          <w:spacing w:val="-15"/>
        </w:rPr>
        <w:t xml:space="preserve"> </w:t>
      </w:r>
      <w:r>
        <w:t>DE</w:t>
      </w:r>
      <w:r>
        <w:rPr>
          <w:spacing w:val="-15"/>
        </w:rPr>
        <w:t xml:space="preserve"> </w:t>
      </w:r>
      <w:r>
        <w:t>RECONOCIMIENTO</w:t>
      </w:r>
      <w:r>
        <w:rPr>
          <w:spacing w:val="-15"/>
        </w:rPr>
        <w:t xml:space="preserve"> </w:t>
      </w:r>
      <w:r>
        <w:t>DE</w:t>
      </w:r>
      <w:r>
        <w:rPr>
          <w:spacing w:val="-15"/>
        </w:rPr>
        <w:t xml:space="preserve"> </w:t>
      </w:r>
      <w:r>
        <w:t>VERDAD,</w:t>
      </w:r>
      <w:r>
        <w:rPr>
          <w:spacing w:val="-15"/>
        </w:rPr>
        <w:t xml:space="preserve"> </w:t>
      </w:r>
      <w:r>
        <w:t xml:space="preserve">DE </w:t>
      </w:r>
      <w:proofErr w:type="gramStart"/>
      <w:r>
        <w:t>RESPONSABILIDAD</w:t>
      </w:r>
      <w:r>
        <w:rPr>
          <w:spacing w:val="36"/>
        </w:rPr>
        <w:t xml:space="preserve">  </w:t>
      </w:r>
      <w:r>
        <w:t>Y</w:t>
      </w:r>
      <w:proofErr w:type="gramEnd"/>
      <w:r>
        <w:rPr>
          <w:spacing w:val="36"/>
        </w:rPr>
        <w:t xml:space="preserve">  </w:t>
      </w:r>
      <w:r>
        <w:t>DE</w:t>
      </w:r>
      <w:r>
        <w:rPr>
          <w:spacing w:val="37"/>
        </w:rPr>
        <w:t xml:space="preserve">  </w:t>
      </w:r>
      <w:r>
        <w:t>DETERMINACIÓN</w:t>
      </w:r>
      <w:r>
        <w:rPr>
          <w:spacing w:val="36"/>
        </w:rPr>
        <w:t xml:space="preserve">  </w:t>
      </w:r>
      <w:r>
        <w:t>DE</w:t>
      </w:r>
      <w:r>
        <w:rPr>
          <w:spacing w:val="37"/>
        </w:rPr>
        <w:t xml:space="preserve">  </w:t>
      </w:r>
      <w:r>
        <w:t>LOS</w:t>
      </w:r>
      <w:r>
        <w:rPr>
          <w:spacing w:val="36"/>
        </w:rPr>
        <w:t xml:space="preserve">  </w:t>
      </w:r>
      <w:r>
        <w:t>HECHOS</w:t>
      </w:r>
      <w:r>
        <w:rPr>
          <w:spacing w:val="36"/>
        </w:rPr>
        <w:t xml:space="preserve">  </w:t>
      </w:r>
      <w:r>
        <w:rPr>
          <w:spacing w:val="-10"/>
        </w:rPr>
        <w:t>Y</w:t>
      </w:r>
      <w:r w:rsidR="00E547C8">
        <w:t xml:space="preserve"> </w:t>
      </w:r>
      <w:r>
        <w:t xml:space="preserve">CONDUCTAS. Caso No. 01. Toma de rehenes y graves privaciones de la libertad cometidas por las FARC-EP (renombrado por medio de este Auto). Jurisdicción Especial para la Paz (JEP). 26 de enero de 2021. Recuperado de: </w:t>
      </w:r>
      <w:hyperlink r:id="rId187">
        <w:r>
          <w:rPr>
            <w:spacing w:val="-2"/>
          </w:rPr>
          <w:t>https://www.jep.gov.co/Sala-de-</w:t>
        </w:r>
      </w:hyperlink>
      <w:hyperlink r:id="rId188">
        <w:r>
          <w:t>Prensa/Documents/CASO</w:t>
        </w:r>
        <w:r>
          <w:rPr>
            <w:spacing w:val="-8"/>
          </w:rPr>
          <w:t xml:space="preserve"> </w:t>
        </w:r>
        <w:r>
          <w:t>%2001</w:t>
        </w:r>
        <w:r>
          <w:rPr>
            <w:spacing w:val="-7"/>
          </w:rPr>
          <w:t xml:space="preserve"> </w:t>
        </w:r>
        <w:r>
          <w:t>%20TOMA</w:t>
        </w:r>
        <w:r>
          <w:rPr>
            <w:spacing w:val="-8"/>
          </w:rPr>
          <w:t xml:space="preserve"> </w:t>
        </w:r>
        <w:r>
          <w:t>%20DE</w:t>
        </w:r>
        <w:r>
          <w:rPr>
            <w:spacing w:val="-8"/>
          </w:rPr>
          <w:t xml:space="preserve"> </w:t>
        </w:r>
        <w:r>
          <w:t>%20REHENES/Auto</w:t>
        </w:r>
        <w:r>
          <w:rPr>
            <w:spacing w:val="-8"/>
          </w:rPr>
          <w:t xml:space="preserve"> </w:t>
        </w:r>
        <w:r>
          <w:t>%20</w:t>
        </w:r>
      </w:hyperlink>
      <w:r>
        <w:t xml:space="preserve"> </w:t>
      </w:r>
      <w:hyperlink r:id="rId189">
        <w:r>
          <w:t>No. %2019 %20de %202021.pdf?csf=1&amp;e=16bYs0.</w:t>
        </w:r>
      </w:hyperlink>
    </w:p>
    <w:p w:rsidR="003804AC" w:rsidRDefault="00AF18A5" w:rsidP="00E547C8">
      <w:r>
        <w:lastRenderedPageBreak/>
        <w:t>Jurisdicción</w:t>
      </w:r>
      <w:r>
        <w:rPr>
          <w:spacing w:val="-15"/>
        </w:rPr>
        <w:t xml:space="preserve"> </w:t>
      </w:r>
      <w:r>
        <w:t>Especial</w:t>
      </w:r>
      <w:r>
        <w:rPr>
          <w:spacing w:val="-15"/>
        </w:rPr>
        <w:t xml:space="preserve"> </w:t>
      </w:r>
      <w:r>
        <w:t>para</w:t>
      </w:r>
      <w:r>
        <w:rPr>
          <w:spacing w:val="-15"/>
        </w:rPr>
        <w:t xml:space="preserve"> </w:t>
      </w:r>
      <w:r>
        <w:t>la</w:t>
      </w:r>
      <w:r>
        <w:rPr>
          <w:spacing w:val="-15"/>
        </w:rPr>
        <w:t xml:space="preserve"> </w:t>
      </w:r>
      <w:r>
        <w:t>Paz</w:t>
      </w:r>
      <w:r>
        <w:rPr>
          <w:spacing w:val="-15"/>
        </w:rPr>
        <w:t xml:space="preserve"> </w:t>
      </w:r>
      <w:r>
        <w:t>(JEP).</w:t>
      </w:r>
      <w:r>
        <w:rPr>
          <w:spacing w:val="-15"/>
        </w:rPr>
        <w:t xml:space="preserve"> </w:t>
      </w:r>
      <w:r>
        <w:t>SALA</w:t>
      </w:r>
      <w:r>
        <w:rPr>
          <w:spacing w:val="-15"/>
        </w:rPr>
        <w:t xml:space="preserve"> </w:t>
      </w:r>
      <w:r>
        <w:t>DE</w:t>
      </w:r>
      <w:r>
        <w:rPr>
          <w:spacing w:val="-15"/>
        </w:rPr>
        <w:t xml:space="preserve"> </w:t>
      </w:r>
      <w:r>
        <w:t>RECONOCIMIENTO</w:t>
      </w:r>
      <w:r>
        <w:rPr>
          <w:spacing w:val="-15"/>
        </w:rPr>
        <w:t xml:space="preserve"> </w:t>
      </w:r>
      <w:r>
        <w:t>DE</w:t>
      </w:r>
      <w:r>
        <w:rPr>
          <w:spacing w:val="-15"/>
        </w:rPr>
        <w:t xml:space="preserve"> </w:t>
      </w:r>
      <w:r>
        <w:t>VERDAD,</w:t>
      </w:r>
      <w:r>
        <w:rPr>
          <w:spacing w:val="-15"/>
        </w:rPr>
        <w:t xml:space="preserve"> </w:t>
      </w:r>
      <w:r>
        <w:t xml:space="preserve">DE </w:t>
      </w:r>
      <w:proofErr w:type="gramStart"/>
      <w:r>
        <w:t>RESPONSABILIDAD</w:t>
      </w:r>
      <w:r>
        <w:rPr>
          <w:spacing w:val="36"/>
        </w:rPr>
        <w:t xml:space="preserve">  </w:t>
      </w:r>
      <w:r>
        <w:t>Y</w:t>
      </w:r>
      <w:proofErr w:type="gramEnd"/>
      <w:r>
        <w:rPr>
          <w:spacing w:val="36"/>
        </w:rPr>
        <w:t xml:space="preserve">  </w:t>
      </w:r>
      <w:r>
        <w:t>DE</w:t>
      </w:r>
      <w:r>
        <w:rPr>
          <w:spacing w:val="37"/>
        </w:rPr>
        <w:t xml:space="preserve">  </w:t>
      </w:r>
      <w:r>
        <w:t>DETERMINACIÓN</w:t>
      </w:r>
      <w:r>
        <w:rPr>
          <w:spacing w:val="36"/>
        </w:rPr>
        <w:t xml:space="preserve">  </w:t>
      </w:r>
      <w:r>
        <w:t>DE</w:t>
      </w:r>
      <w:r>
        <w:rPr>
          <w:spacing w:val="37"/>
        </w:rPr>
        <w:t xml:space="preserve">  </w:t>
      </w:r>
      <w:r>
        <w:t>LOS</w:t>
      </w:r>
      <w:r>
        <w:rPr>
          <w:spacing w:val="36"/>
        </w:rPr>
        <w:t xml:space="preserve">  </w:t>
      </w:r>
      <w:r>
        <w:t>HECHOS</w:t>
      </w:r>
      <w:r>
        <w:rPr>
          <w:spacing w:val="36"/>
        </w:rPr>
        <w:t xml:space="preserve">  </w:t>
      </w:r>
      <w:r>
        <w:rPr>
          <w:spacing w:val="-10"/>
        </w:rPr>
        <w:t>Y</w:t>
      </w:r>
      <w:r w:rsidR="00E547C8">
        <w:t xml:space="preserve"> </w:t>
      </w:r>
      <w:r>
        <w:t>CONDUCTAS.</w:t>
      </w:r>
      <w:r>
        <w:rPr>
          <w:spacing w:val="-7"/>
        </w:rPr>
        <w:t xml:space="preserve"> </w:t>
      </w:r>
      <w:r>
        <w:t>AUTO</w:t>
      </w:r>
      <w:r>
        <w:rPr>
          <w:spacing w:val="-6"/>
        </w:rPr>
        <w:t xml:space="preserve"> </w:t>
      </w:r>
      <w:r>
        <w:t>No.</w:t>
      </w:r>
      <w:r>
        <w:rPr>
          <w:spacing w:val="-7"/>
        </w:rPr>
        <w:t xml:space="preserve"> </w:t>
      </w:r>
      <w:r>
        <w:t>029</w:t>
      </w:r>
      <w:r>
        <w:rPr>
          <w:spacing w:val="-7"/>
        </w:rPr>
        <w:t xml:space="preserve"> </w:t>
      </w:r>
      <w:r>
        <w:t>de</w:t>
      </w:r>
      <w:r>
        <w:rPr>
          <w:spacing w:val="-7"/>
        </w:rPr>
        <w:t xml:space="preserve"> </w:t>
      </w:r>
      <w:r>
        <w:t>2019</w:t>
      </w:r>
      <w:r>
        <w:rPr>
          <w:spacing w:val="-7"/>
        </w:rPr>
        <w:t xml:space="preserve"> </w:t>
      </w:r>
      <w:r>
        <w:t>Se</w:t>
      </w:r>
      <w:r>
        <w:rPr>
          <w:spacing w:val="-7"/>
        </w:rPr>
        <w:t xml:space="preserve"> </w:t>
      </w:r>
      <w:r>
        <w:t>avoca</w:t>
      </w:r>
      <w:r>
        <w:rPr>
          <w:spacing w:val="-7"/>
        </w:rPr>
        <w:t xml:space="preserve"> </w:t>
      </w:r>
      <w:r>
        <w:t>conocimiento</w:t>
      </w:r>
      <w:r>
        <w:rPr>
          <w:spacing w:val="-7"/>
        </w:rPr>
        <w:t xml:space="preserve"> </w:t>
      </w:r>
      <w:r>
        <w:t>del</w:t>
      </w:r>
      <w:r>
        <w:rPr>
          <w:spacing w:val="-8"/>
        </w:rPr>
        <w:t xml:space="preserve"> </w:t>
      </w:r>
      <w:r>
        <w:t>Reclutamiento y</w:t>
      </w:r>
      <w:r>
        <w:rPr>
          <w:spacing w:val="-7"/>
        </w:rPr>
        <w:t xml:space="preserve"> </w:t>
      </w:r>
      <w:r>
        <w:t>utilización</w:t>
      </w:r>
      <w:r>
        <w:rPr>
          <w:spacing w:val="-8"/>
        </w:rPr>
        <w:t xml:space="preserve"> </w:t>
      </w:r>
      <w:r>
        <w:t>de</w:t>
      </w:r>
      <w:r>
        <w:rPr>
          <w:spacing w:val="-7"/>
        </w:rPr>
        <w:t xml:space="preserve"> </w:t>
      </w:r>
      <w:r>
        <w:t>niñas</w:t>
      </w:r>
      <w:r>
        <w:rPr>
          <w:spacing w:val="-7"/>
        </w:rPr>
        <w:t xml:space="preserve"> </w:t>
      </w:r>
      <w:r>
        <w:t>y</w:t>
      </w:r>
      <w:r>
        <w:rPr>
          <w:spacing w:val="-7"/>
        </w:rPr>
        <w:t xml:space="preserve"> </w:t>
      </w:r>
      <w:r>
        <w:t>niños</w:t>
      </w:r>
      <w:r>
        <w:rPr>
          <w:spacing w:val="-7"/>
        </w:rPr>
        <w:t xml:space="preserve"> </w:t>
      </w:r>
      <w:r>
        <w:t>en</w:t>
      </w:r>
      <w:r>
        <w:rPr>
          <w:spacing w:val="-7"/>
        </w:rPr>
        <w:t xml:space="preserve"> </w:t>
      </w:r>
      <w:r>
        <w:t>el</w:t>
      </w:r>
      <w:r>
        <w:rPr>
          <w:spacing w:val="-8"/>
        </w:rPr>
        <w:t xml:space="preserve"> </w:t>
      </w:r>
      <w:r>
        <w:t>conflicto</w:t>
      </w:r>
      <w:r>
        <w:rPr>
          <w:spacing w:val="-7"/>
        </w:rPr>
        <w:t xml:space="preserve"> </w:t>
      </w:r>
      <w:r>
        <w:t>armado</w:t>
      </w:r>
      <w:r>
        <w:rPr>
          <w:spacing w:val="-7"/>
        </w:rPr>
        <w:t xml:space="preserve"> </w:t>
      </w:r>
      <w:r>
        <w:t>como</w:t>
      </w:r>
      <w:r>
        <w:rPr>
          <w:spacing w:val="-7"/>
        </w:rPr>
        <w:t xml:space="preserve"> </w:t>
      </w:r>
      <w:r>
        <w:t>un</w:t>
      </w:r>
      <w:r>
        <w:rPr>
          <w:spacing w:val="-7"/>
        </w:rPr>
        <w:t xml:space="preserve"> </w:t>
      </w:r>
      <w:r>
        <w:t>caso</w:t>
      </w:r>
      <w:r>
        <w:rPr>
          <w:spacing w:val="-7"/>
        </w:rPr>
        <w:t xml:space="preserve"> </w:t>
      </w:r>
      <w:r>
        <w:t>priorizado</w:t>
      </w:r>
      <w:r>
        <w:rPr>
          <w:spacing w:val="-7"/>
        </w:rPr>
        <w:t xml:space="preserve"> </w:t>
      </w:r>
      <w:r>
        <w:t>por</w:t>
      </w:r>
      <w:r>
        <w:rPr>
          <w:spacing w:val="-7"/>
        </w:rPr>
        <w:t xml:space="preserve"> </w:t>
      </w:r>
      <w:r>
        <w:t xml:space="preserve">la Sala, Caso No. 007. Jurisdicción Especial para la Paz (JEP). 1 de marzo de 2019. </w:t>
      </w:r>
      <w:r>
        <w:rPr>
          <w:spacing w:val="-2"/>
        </w:rPr>
        <w:t>Recuperado</w:t>
      </w:r>
      <w:r w:rsidR="00E547C8">
        <w:t xml:space="preserve"> </w:t>
      </w:r>
      <w:r>
        <w:rPr>
          <w:spacing w:val="-5"/>
        </w:rPr>
        <w:t>de:</w:t>
      </w:r>
      <w:r w:rsidR="00E547C8">
        <w:t xml:space="preserve"> </w:t>
      </w:r>
      <w:hyperlink r:id="rId190">
        <w:r>
          <w:rPr>
            <w:spacing w:val="-2"/>
          </w:rPr>
          <w:t>https://jurinfo.jep.gov.co/normograma/compilacion/docs/pdf/Auto_SRVR-</w:t>
        </w:r>
      </w:hyperlink>
      <w:r>
        <w:rPr>
          <w:spacing w:val="-2"/>
        </w:rPr>
        <w:t xml:space="preserve"> </w:t>
      </w:r>
      <w:hyperlink r:id="rId191">
        <w:r>
          <w:rPr>
            <w:spacing w:val="-2"/>
          </w:rPr>
          <w:t>029_01-marzo-2019.pdf</w:t>
        </w:r>
      </w:hyperlink>
      <w:r>
        <w:rPr>
          <w:spacing w:val="-2"/>
        </w:rPr>
        <w:t>.</w:t>
      </w:r>
    </w:p>
    <w:p w:rsidR="003804AC" w:rsidRDefault="00AF18A5" w:rsidP="00E547C8">
      <w:r>
        <w:t xml:space="preserve">Tribunal Superior del Distrito Judicial de Bogotá. Sala de Justicia y Paz. Radicado: 110016000253201400103 Postulados: </w:t>
      </w:r>
      <w:proofErr w:type="spellStart"/>
      <w:r>
        <w:t>Atanael</w:t>
      </w:r>
      <w:proofErr w:type="spellEnd"/>
      <w:r>
        <w:t xml:space="preserve"> Matajudíos Buitrago y otros. Magistrada Ponente: </w:t>
      </w:r>
      <w:proofErr w:type="spellStart"/>
      <w:r>
        <w:t>Uldi</w:t>
      </w:r>
      <w:proofErr w:type="spellEnd"/>
      <w:r>
        <w:t xml:space="preserve"> Teresa Jiménez López. 7 de diciembre de 2016. </w:t>
      </w:r>
      <w:r>
        <w:rPr>
          <w:spacing w:val="-2"/>
        </w:rPr>
        <w:t>Recuperado</w:t>
      </w:r>
      <w:r>
        <w:tab/>
      </w:r>
      <w:r>
        <w:rPr>
          <w:spacing w:val="-4"/>
        </w:rPr>
        <w:t>de:</w:t>
      </w:r>
      <w:r>
        <w:tab/>
      </w:r>
      <w:hyperlink r:id="rId192">
        <w:r>
          <w:rPr>
            <w:spacing w:val="-2"/>
          </w:rPr>
          <w:t>https://www.fiscalia.gov.co/colombia/wp-</w:t>
        </w:r>
      </w:hyperlink>
      <w:r>
        <w:rPr>
          <w:spacing w:val="-2"/>
        </w:rPr>
        <w:t xml:space="preserve"> </w:t>
      </w:r>
      <w:hyperlink r:id="rId193">
        <w:r>
          <w:rPr>
            <w:spacing w:val="-2"/>
          </w:rPr>
          <w:t>content/uploads/2017/02/2016-12-07-Atanael-Matajudios-Buitrago.pdf</w:t>
        </w:r>
      </w:hyperlink>
      <w:r>
        <w:rPr>
          <w:spacing w:val="-2"/>
        </w:rPr>
        <w:t>.</w:t>
      </w:r>
    </w:p>
    <w:p w:rsidR="003804AC" w:rsidRDefault="00AF18A5" w:rsidP="00E547C8">
      <w:r>
        <w:t xml:space="preserve">Tribunal Superior del Distrito Judicial de Bogotá. Sala de Justicia y Paz. Radicado110016000253200680450 Guillermo Pérez </w:t>
      </w:r>
      <w:proofErr w:type="spellStart"/>
      <w:r>
        <w:t>Alzate</w:t>
      </w:r>
      <w:proofErr w:type="spellEnd"/>
      <w:r>
        <w:t xml:space="preserve"> y otros. Magistrada Ponente </w:t>
      </w:r>
      <w:proofErr w:type="spellStart"/>
      <w:r>
        <w:t>Uldi</w:t>
      </w:r>
      <w:proofErr w:type="spellEnd"/>
      <w:r>
        <w:t xml:space="preserve"> Teresa Jiménez López. Recuperado de: </w:t>
      </w:r>
      <w:hyperlink r:id="rId194">
        <w:r>
          <w:rPr>
            <w:spacing w:val="-2"/>
          </w:rPr>
          <w:t>https://www.ramajudicial.gov.co/documents/6342228/16133726/2006-</w:t>
        </w:r>
      </w:hyperlink>
      <w:hyperlink r:id="rId195">
        <w:r>
          <w:t>80450-</w:t>
        </w:r>
        <w:r>
          <w:rPr>
            <w:spacing w:val="-10"/>
          </w:rPr>
          <w:t xml:space="preserve"> </w:t>
        </w:r>
        <w:r>
          <w:t>%2802-02-2018</w:t>
        </w:r>
        <w:r>
          <w:rPr>
            <w:spacing w:val="-11"/>
          </w:rPr>
          <w:t xml:space="preserve"> </w:t>
        </w:r>
        <w:r>
          <w:t>%29-Correcci</w:t>
        </w:r>
        <w:r>
          <w:rPr>
            <w:spacing w:val="-10"/>
          </w:rPr>
          <w:t xml:space="preserve"> </w:t>
        </w:r>
        <w:r>
          <w:t>%C3</w:t>
        </w:r>
        <w:r>
          <w:rPr>
            <w:spacing w:val="-10"/>
          </w:rPr>
          <w:t xml:space="preserve"> </w:t>
        </w:r>
        <w:r>
          <w:t>%B3n+sentencia.pdf/aed64766-516d-</w:t>
        </w:r>
      </w:hyperlink>
      <w:r>
        <w:t xml:space="preserve"> </w:t>
      </w:r>
      <w:hyperlink r:id="rId196">
        <w:r>
          <w:rPr>
            <w:spacing w:val="-2"/>
          </w:rPr>
          <w:t>4653-8009-179dbb011d95</w:t>
        </w:r>
      </w:hyperlink>
      <w:r>
        <w:rPr>
          <w:spacing w:val="-2"/>
        </w:rPr>
        <w:t>.</w:t>
      </w:r>
    </w:p>
    <w:p w:rsidR="00E547C8" w:rsidRDefault="00AF18A5" w:rsidP="00E547C8">
      <w:pPr>
        <w:rPr>
          <w:spacing w:val="-2"/>
        </w:rPr>
      </w:pPr>
      <w:r>
        <w:t xml:space="preserve">Corte Constitucional de Colombia. Sentencia C-878/97. Magistrado Ponente: Alfredo Beltrán Sierra. 12 de julio de 2000. Recuperado de: </w:t>
      </w:r>
      <w:hyperlink r:id="rId197" w:anchor="%3A%7E%3Atext%3DNo%20toda%20conducta%20delictiva%20que%2Casignadas%20a%20la%20fuerza%20p%C3%BAblica">
        <w:r>
          <w:rPr>
            <w:spacing w:val="-2"/>
          </w:rPr>
          <w:t>https://www.corteconstitucional.gov.co/relatoria/2000/c-878-</w:t>
        </w:r>
      </w:hyperlink>
      <w:hyperlink r:id="rId198" w:anchor="%3A%7E%3Atext%3DNo%20toda%20conducta%20delictiva%20que%2Casignadas%20a%20la%20fuerza%20p%C3%BAblica">
        <w:r>
          <w:t>00.htm#:~:text=No</w:t>
        </w:r>
        <w:r>
          <w:rPr>
            <w:spacing w:val="-3"/>
          </w:rPr>
          <w:t xml:space="preserve"> </w:t>
        </w:r>
        <w:r>
          <w:t>%20toda</w:t>
        </w:r>
        <w:r>
          <w:rPr>
            <w:spacing w:val="-3"/>
          </w:rPr>
          <w:t xml:space="preserve"> </w:t>
        </w:r>
        <w:r>
          <w:t>%20conducta</w:t>
        </w:r>
        <w:r>
          <w:rPr>
            <w:spacing w:val="-3"/>
          </w:rPr>
          <w:t xml:space="preserve"> </w:t>
        </w:r>
        <w:r>
          <w:t>%20delictiva</w:t>
        </w:r>
        <w:r>
          <w:rPr>
            <w:spacing w:val="-4"/>
          </w:rPr>
          <w:t xml:space="preserve"> </w:t>
        </w:r>
        <w:r>
          <w:t>%20que,asignadas</w:t>
        </w:r>
        <w:r>
          <w:rPr>
            <w:spacing w:val="-2"/>
          </w:rPr>
          <w:t xml:space="preserve"> </w:t>
        </w:r>
        <w:r>
          <w:rPr>
            <w:spacing w:val="-4"/>
          </w:rPr>
          <w:t>%20a</w:t>
        </w:r>
      </w:hyperlink>
      <w:hyperlink r:id="rId199" w:anchor="%3A%7E%3Atext%3DNo%20toda%20conducta%20delictiva%20que%2Casignadas%20a%20la%20fuerza%20p%C3%BAblica">
        <w:r>
          <w:t>%20la</w:t>
        </w:r>
        <w:r>
          <w:rPr>
            <w:spacing w:val="-2"/>
          </w:rPr>
          <w:t xml:space="preserve"> </w:t>
        </w:r>
        <w:r>
          <w:t>%20fuerza</w:t>
        </w:r>
        <w:r>
          <w:rPr>
            <w:spacing w:val="-1"/>
          </w:rPr>
          <w:t xml:space="preserve"> </w:t>
        </w:r>
        <w:r>
          <w:t>%20p</w:t>
        </w:r>
        <w:r>
          <w:rPr>
            <w:spacing w:val="-3"/>
          </w:rPr>
          <w:t xml:space="preserve"> </w:t>
        </w:r>
        <w:r>
          <w:t>%C3</w:t>
        </w:r>
        <w:r>
          <w:rPr>
            <w:spacing w:val="-1"/>
          </w:rPr>
          <w:t xml:space="preserve"> </w:t>
        </w:r>
        <w:r>
          <w:rPr>
            <w:spacing w:val="-2"/>
          </w:rPr>
          <w:t>%</w:t>
        </w:r>
        <w:proofErr w:type="spellStart"/>
        <w:r>
          <w:rPr>
            <w:spacing w:val="-2"/>
          </w:rPr>
          <w:t>BAblica</w:t>
        </w:r>
        <w:proofErr w:type="spellEnd"/>
        <w:r>
          <w:rPr>
            <w:spacing w:val="-2"/>
          </w:rPr>
          <w:t>.</w:t>
        </w:r>
      </w:hyperlink>
    </w:p>
    <w:p w:rsidR="00E547C8" w:rsidRDefault="00E547C8">
      <w:pPr>
        <w:spacing w:before="0" w:after="0" w:line="240" w:lineRule="auto"/>
        <w:rPr>
          <w:spacing w:val="-2"/>
        </w:rPr>
      </w:pPr>
      <w:r>
        <w:rPr>
          <w:spacing w:val="-2"/>
        </w:rPr>
        <w:br w:type="page"/>
      </w:r>
    </w:p>
    <w:p w:rsidR="0011361F" w:rsidRDefault="00AF18A5" w:rsidP="004A6EF4">
      <w:pPr>
        <w:pStyle w:val="Ttulo2"/>
        <w:numPr>
          <w:ilvl w:val="0"/>
          <w:numId w:val="16"/>
        </w:numPr>
      </w:pPr>
      <w:bookmarkStart w:id="1186" w:name="9._HACIA_LA_PAZ_TERRITORIAL"/>
      <w:bookmarkStart w:id="1187" w:name="_Toc112399642"/>
      <w:bookmarkEnd w:id="1186"/>
      <w:r>
        <w:rPr>
          <w:w w:val="95"/>
        </w:rPr>
        <w:lastRenderedPageBreak/>
        <w:t>HACIA</w:t>
      </w:r>
      <w:r>
        <w:rPr>
          <w:spacing w:val="8"/>
        </w:rPr>
        <w:t xml:space="preserve"> </w:t>
      </w:r>
      <w:r>
        <w:rPr>
          <w:w w:val="95"/>
        </w:rPr>
        <w:t>LA</w:t>
      </w:r>
      <w:r>
        <w:rPr>
          <w:spacing w:val="8"/>
        </w:rPr>
        <w:t xml:space="preserve"> </w:t>
      </w:r>
      <w:r>
        <w:rPr>
          <w:w w:val="95"/>
        </w:rPr>
        <w:t>PAZ</w:t>
      </w:r>
      <w:r>
        <w:rPr>
          <w:spacing w:val="9"/>
        </w:rPr>
        <w:t xml:space="preserve"> </w:t>
      </w:r>
      <w:r w:rsidRPr="00BB0E27">
        <w:t>TERRITORIAL</w:t>
      </w:r>
      <w:bookmarkEnd w:id="1187"/>
    </w:p>
    <w:p w:rsidR="003804AC" w:rsidRDefault="00AF18A5" w:rsidP="009A4923">
      <w:r>
        <w:t>En Colombia, el conflicto armado interno produjo la transformación violenta de territorios, a través del desplazamiento forzado y el despojo, entre otras múltiples formas de violencia. Esas transformaciones profundizaron el modelo de ordenamiento territorial elitista –que tiene origen en la Colonia– y el proceso de formación del Estado nacional, y que ha tenido como</w:t>
      </w:r>
      <w:r>
        <w:rPr>
          <w:spacing w:val="-9"/>
        </w:rPr>
        <w:t xml:space="preserve"> </w:t>
      </w:r>
      <w:r>
        <w:t>base</w:t>
      </w:r>
      <w:r>
        <w:rPr>
          <w:spacing w:val="-10"/>
        </w:rPr>
        <w:t xml:space="preserve"> </w:t>
      </w:r>
      <w:r>
        <w:t>la</w:t>
      </w:r>
      <w:r>
        <w:rPr>
          <w:spacing w:val="-9"/>
        </w:rPr>
        <w:t xml:space="preserve"> </w:t>
      </w:r>
      <w:r>
        <w:t>concentración</w:t>
      </w:r>
      <w:r>
        <w:rPr>
          <w:spacing w:val="-9"/>
        </w:rPr>
        <w:t xml:space="preserve"> </w:t>
      </w:r>
      <w:r>
        <w:t>de</w:t>
      </w:r>
      <w:r>
        <w:rPr>
          <w:spacing w:val="-9"/>
        </w:rPr>
        <w:t xml:space="preserve"> </w:t>
      </w:r>
      <w:r>
        <w:t>la</w:t>
      </w:r>
      <w:r>
        <w:rPr>
          <w:spacing w:val="-9"/>
        </w:rPr>
        <w:t xml:space="preserve"> </w:t>
      </w:r>
      <w:r>
        <w:t>tierra</w:t>
      </w:r>
      <w:r>
        <w:rPr>
          <w:spacing w:val="-9"/>
        </w:rPr>
        <w:t xml:space="preserve"> </w:t>
      </w:r>
      <w:r>
        <w:t>como</w:t>
      </w:r>
      <w:r>
        <w:rPr>
          <w:spacing w:val="-11"/>
        </w:rPr>
        <w:t xml:space="preserve"> </w:t>
      </w:r>
      <w:r>
        <w:t>fuente</w:t>
      </w:r>
      <w:r>
        <w:rPr>
          <w:spacing w:val="-9"/>
        </w:rPr>
        <w:t xml:space="preserve"> </w:t>
      </w:r>
      <w:r>
        <w:t>de</w:t>
      </w:r>
      <w:r>
        <w:rPr>
          <w:spacing w:val="-10"/>
        </w:rPr>
        <w:t xml:space="preserve"> </w:t>
      </w:r>
      <w:r>
        <w:t>riqueza</w:t>
      </w:r>
      <w:r>
        <w:rPr>
          <w:spacing w:val="-9"/>
        </w:rPr>
        <w:t xml:space="preserve"> </w:t>
      </w:r>
      <w:r>
        <w:t>y</w:t>
      </w:r>
      <w:r>
        <w:rPr>
          <w:spacing w:val="-9"/>
        </w:rPr>
        <w:t xml:space="preserve"> </w:t>
      </w:r>
      <w:r>
        <w:t>poder</w:t>
      </w:r>
      <w:r>
        <w:rPr>
          <w:spacing w:val="-9"/>
        </w:rPr>
        <w:t xml:space="preserve"> </w:t>
      </w:r>
      <w:r>
        <w:t>político.</w:t>
      </w:r>
      <w:r>
        <w:rPr>
          <w:spacing w:val="-9"/>
        </w:rPr>
        <w:t xml:space="preserve"> </w:t>
      </w:r>
      <w:r>
        <w:t>Hay</w:t>
      </w:r>
      <w:r>
        <w:rPr>
          <w:spacing w:val="-9"/>
        </w:rPr>
        <w:t xml:space="preserve"> </w:t>
      </w:r>
      <w:r>
        <w:t>un</w:t>
      </w:r>
      <w:r>
        <w:rPr>
          <w:spacing w:val="-9"/>
        </w:rPr>
        <w:t xml:space="preserve"> </w:t>
      </w:r>
      <w:r>
        <w:t>país que no ha contado en la construcción de una Colombia incluyente.</w:t>
      </w:r>
    </w:p>
    <w:p w:rsidR="003804AC" w:rsidRDefault="00AF18A5" w:rsidP="009A4923">
      <w:r>
        <w:t xml:space="preserve">El conflicto armado facilitó que grupos de poder regional y nacional, tradicionales y </w:t>
      </w:r>
      <w:r>
        <w:rPr>
          <w:spacing w:val="-2"/>
        </w:rPr>
        <w:t>emergentes</w:t>
      </w:r>
      <w:r>
        <w:rPr>
          <w:spacing w:val="-6"/>
        </w:rPr>
        <w:t xml:space="preserve"> </w:t>
      </w:r>
      <w:r>
        <w:rPr>
          <w:spacing w:val="-2"/>
        </w:rPr>
        <w:t>siguieran</w:t>
      </w:r>
      <w:r>
        <w:rPr>
          <w:spacing w:val="-5"/>
        </w:rPr>
        <w:t xml:space="preserve"> </w:t>
      </w:r>
      <w:r>
        <w:rPr>
          <w:spacing w:val="-2"/>
        </w:rPr>
        <w:t>tomando</w:t>
      </w:r>
      <w:r>
        <w:rPr>
          <w:spacing w:val="-5"/>
        </w:rPr>
        <w:t xml:space="preserve"> </w:t>
      </w:r>
      <w:r>
        <w:rPr>
          <w:spacing w:val="-2"/>
        </w:rPr>
        <w:t>las</w:t>
      </w:r>
      <w:r>
        <w:rPr>
          <w:spacing w:val="-4"/>
        </w:rPr>
        <w:t xml:space="preserve"> </w:t>
      </w:r>
      <w:r>
        <w:rPr>
          <w:spacing w:val="-2"/>
        </w:rPr>
        <w:t>decisiones</w:t>
      </w:r>
      <w:r>
        <w:rPr>
          <w:spacing w:val="-5"/>
        </w:rPr>
        <w:t xml:space="preserve"> </w:t>
      </w:r>
      <w:r>
        <w:rPr>
          <w:spacing w:val="-2"/>
        </w:rPr>
        <w:t>sobre</w:t>
      </w:r>
      <w:r>
        <w:rPr>
          <w:spacing w:val="-4"/>
        </w:rPr>
        <w:t xml:space="preserve"> </w:t>
      </w:r>
      <w:r>
        <w:rPr>
          <w:spacing w:val="-2"/>
        </w:rPr>
        <w:t>el</w:t>
      </w:r>
      <w:r>
        <w:rPr>
          <w:spacing w:val="-3"/>
        </w:rPr>
        <w:t xml:space="preserve"> </w:t>
      </w:r>
      <w:r>
        <w:rPr>
          <w:spacing w:val="-2"/>
        </w:rPr>
        <w:t>gobierno</w:t>
      </w:r>
      <w:r>
        <w:rPr>
          <w:spacing w:val="-4"/>
        </w:rPr>
        <w:t xml:space="preserve"> </w:t>
      </w:r>
      <w:r>
        <w:rPr>
          <w:spacing w:val="-2"/>
        </w:rPr>
        <w:t>de</w:t>
      </w:r>
      <w:r>
        <w:rPr>
          <w:spacing w:val="-5"/>
        </w:rPr>
        <w:t xml:space="preserve"> </w:t>
      </w:r>
      <w:r>
        <w:rPr>
          <w:spacing w:val="-2"/>
        </w:rPr>
        <w:t>los</w:t>
      </w:r>
      <w:r>
        <w:rPr>
          <w:spacing w:val="-5"/>
        </w:rPr>
        <w:t xml:space="preserve"> </w:t>
      </w:r>
      <w:r>
        <w:rPr>
          <w:spacing w:val="-2"/>
        </w:rPr>
        <w:t>territorios,</w:t>
      </w:r>
      <w:r>
        <w:rPr>
          <w:spacing w:val="-5"/>
        </w:rPr>
        <w:t xml:space="preserve"> </w:t>
      </w:r>
      <w:r>
        <w:rPr>
          <w:spacing w:val="-2"/>
        </w:rPr>
        <w:t>en</w:t>
      </w:r>
      <w:r>
        <w:rPr>
          <w:spacing w:val="-4"/>
        </w:rPr>
        <w:t xml:space="preserve"> </w:t>
      </w:r>
      <w:r>
        <w:rPr>
          <w:spacing w:val="-2"/>
        </w:rPr>
        <w:t xml:space="preserve">beneficio </w:t>
      </w:r>
      <w:r>
        <w:t>de sus intereses particulares, y poniendo permanentemente frenos a la democratización regional y local. La articulación de grupos de poder regional con los actores armados del conflicto</w:t>
      </w:r>
      <w:r>
        <w:rPr>
          <w:spacing w:val="-3"/>
        </w:rPr>
        <w:t xml:space="preserve"> </w:t>
      </w:r>
      <w:r>
        <w:t>promovió</w:t>
      </w:r>
      <w:r>
        <w:rPr>
          <w:spacing w:val="-3"/>
        </w:rPr>
        <w:t xml:space="preserve"> </w:t>
      </w:r>
      <w:r>
        <w:t>la</w:t>
      </w:r>
      <w:r>
        <w:rPr>
          <w:spacing w:val="-2"/>
        </w:rPr>
        <w:t xml:space="preserve"> </w:t>
      </w:r>
      <w:r>
        <w:t>violencia</w:t>
      </w:r>
      <w:r>
        <w:rPr>
          <w:spacing w:val="-3"/>
        </w:rPr>
        <w:t xml:space="preserve"> </w:t>
      </w:r>
      <w:r>
        <w:t>contra</w:t>
      </w:r>
      <w:r>
        <w:rPr>
          <w:spacing w:val="-2"/>
        </w:rPr>
        <w:t xml:space="preserve"> </w:t>
      </w:r>
      <w:r>
        <w:t>opositores</w:t>
      </w:r>
      <w:r>
        <w:rPr>
          <w:spacing w:val="-3"/>
        </w:rPr>
        <w:t xml:space="preserve"> </w:t>
      </w:r>
      <w:r>
        <w:t>políticos</w:t>
      </w:r>
      <w:r>
        <w:rPr>
          <w:spacing w:val="-2"/>
        </w:rPr>
        <w:t xml:space="preserve"> </w:t>
      </w:r>
      <w:r>
        <w:t>y</w:t>
      </w:r>
      <w:r>
        <w:rPr>
          <w:spacing w:val="-5"/>
        </w:rPr>
        <w:t xml:space="preserve"> </w:t>
      </w:r>
      <w:r>
        <w:t>fuerzas</w:t>
      </w:r>
      <w:r>
        <w:rPr>
          <w:spacing w:val="-2"/>
        </w:rPr>
        <w:t xml:space="preserve"> </w:t>
      </w:r>
      <w:r>
        <w:t>democratizantes</w:t>
      </w:r>
      <w:r>
        <w:rPr>
          <w:spacing w:val="-3"/>
        </w:rPr>
        <w:t xml:space="preserve"> </w:t>
      </w:r>
      <w:r>
        <w:t>de</w:t>
      </w:r>
      <w:r>
        <w:rPr>
          <w:spacing w:val="-2"/>
        </w:rPr>
        <w:t xml:space="preserve"> </w:t>
      </w:r>
      <w:r>
        <w:t>los territorios, especialmente aquellos que cuestionan el modelo de desarrollo, y las lógicas de acumulación y reproducción de capital que excluyen y despojan las tierras y derechos a campesinos y pueblos étnicos.</w:t>
      </w:r>
    </w:p>
    <w:p w:rsidR="003804AC" w:rsidRDefault="00AF18A5" w:rsidP="009A4923">
      <w:r>
        <w:t>Esa</w:t>
      </w:r>
      <w:r>
        <w:rPr>
          <w:spacing w:val="-2"/>
        </w:rPr>
        <w:t xml:space="preserve"> </w:t>
      </w:r>
      <w:r>
        <w:t>reconfiguración</w:t>
      </w:r>
      <w:r>
        <w:rPr>
          <w:spacing w:val="-2"/>
        </w:rPr>
        <w:t xml:space="preserve"> </w:t>
      </w:r>
      <w:r>
        <w:t>violenta</w:t>
      </w:r>
      <w:r>
        <w:rPr>
          <w:spacing w:val="-2"/>
        </w:rPr>
        <w:t xml:space="preserve"> </w:t>
      </w:r>
      <w:r>
        <w:t>de</w:t>
      </w:r>
      <w:r>
        <w:rPr>
          <w:spacing w:val="-2"/>
        </w:rPr>
        <w:t xml:space="preserve"> </w:t>
      </w:r>
      <w:r>
        <w:t>los</w:t>
      </w:r>
      <w:r>
        <w:rPr>
          <w:spacing w:val="-2"/>
        </w:rPr>
        <w:t xml:space="preserve"> </w:t>
      </w:r>
      <w:r>
        <w:t>territorios</w:t>
      </w:r>
      <w:r>
        <w:rPr>
          <w:spacing w:val="-2"/>
        </w:rPr>
        <w:t xml:space="preserve"> </w:t>
      </w:r>
      <w:r>
        <w:t>llevada</w:t>
      </w:r>
      <w:r>
        <w:rPr>
          <w:spacing w:val="-2"/>
        </w:rPr>
        <w:t xml:space="preserve"> </w:t>
      </w:r>
      <w:r>
        <w:t>a</w:t>
      </w:r>
      <w:r>
        <w:rPr>
          <w:spacing w:val="-2"/>
        </w:rPr>
        <w:t xml:space="preserve"> </w:t>
      </w:r>
      <w:r>
        <w:t>cabo</w:t>
      </w:r>
      <w:r>
        <w:rPr>
          <w:spacing w:val="-3"/>
        </w:rPr>
        <w:t xml:space="preserve"> </w:t>
      </w:r>
      <w:r>
        <w:t>en</w:t>
      </w:r>
      <w:r>
        <w:rPr>
          <w:spacing w:val="-2"/>
        </w:rPr>
        <w:t xml:space="preserve"> </w:t>
      </w:r>
      <w:r>
        <w:t>el</w:t>
      </w:r>
      <w:r>
        <w:rPr>
          <w:spacing w:val="-2"/>
        </w:rPr>
        <w:t xml:space="preserve"> </w:t>
      </w:r>
      <w:r>
        <w:t>contexto</w:t>
      </w:r>
      <w:r>
        <w:rPr>
          <w:spacing w:val="-2"/>
        </w:rPr>
        <w:t xml:space="preserve"> </w:t>
      </w:r>
      <w:r>
        <w:t>del</w:t>
      </w:r>
      <w:r>
        <w:rPr>
          <w:spacing w:val="-2"/>
        </w:rPr>
        <w:t xml:space="preserve"> </w:t>
      </w:r>
      <w:r>
        <w:t>conflicto armado se concreta en transformaciones en la estructura de propiedad y uso de la tierra, en cambios en las relaciones políticas, económicas y sociales de los territorios y en modificaciones en las representaciones culturales de los pobladores sobre el espacio, que a la vez implican transformaciones en su identidad.</w:t>
      </w:r>
    </w:p>
    <w:p w:rsidR="003804AC" w:rsidRDefault="00AF18A5" w:rsidP="002E6DDA">
      <w:r>
        <w:t xml:space="preserve">Si bien el conflicto armado interno colombiano tiene múltiples </w:t>
      </w:r>
      <w:r>
        <w:lastRenderedPageBreak/>
        <w:t>explicaciones históricas, que no se reducen al problema de la tierra, la disputa armada por el poder político emergió y se ha desarrollado asociada también a intereses económicos por controlar territorios estratégicos. El desplazamiento de más de nueve millones de personas y la pérdida de más de ocho millones de hectáreas usurpadas o abandonadas</w:t>
      </w:r>
      <w:r w:rsidR="009A4923">
        <w:rPr>
          <w:rStyle w:val="Refdenotaalpie"/>
        </w:rPr>
        <w:footnoteReference w:id="950"/>
      </w:r>
      <w:r>
        <w:t xml:space="preserve"> como resultado de la violencia del conflicto armado no solo han significado una contrarreforma agraria, sino que sumadas a</w:t>
      </w:r>
      <w:r>
        <w:rPr>
          <w:spacing w:val="-15"/>
        </w:rPr>
        <w:t xml:space="preserve"> </w:t>
      </w:r>
      <w:r>
        <w:t>la</w:t>
      </w:r>
      <w:r>
        <w:rPr>
          <w:spacing w:val="-15"/>
        </w:rPr>
        <w:t xml:space="preserve"> </w:t>
      </w:r>
      <w:r>
        <w:t>incapacidad</w:t>
      </w:r>
      <w:r>
        <w:rPr>
          <w:spacing w:val="-15"/>
        </w:rPr>
        <w:t xml:space="preserve"> </w:t>
      </w:r>
      <w:r>
        <w:t>del</w:t>
      </w:r>
      <w:r>
        <w:rPr>
          <w:spacing w:val="-15"/>
        </w:rPr>
        <w:t xml:space="preserve"> </w:t>
      </w:r>
      <w:r>
        <w:t>Estado</w:t>
      </w:r>
      <w:r>
        <w:rPr>
          <w:spacing w:val="-14"/>
        </w:rPr>
        <w:t xml:space="preserve"> </w:t>
      </w:r>
      <w:r>
        <w:t>para</w:t>
      </w:r>
      <w:r>
        <w:rPr>
          <w:spacing w:val="-15"/>
        </w:rPr>
        <w:t xml:space="preserve"> </w:t>
      </w:r>
      <w:r>
        <w:t>regular</w:t>
      </w:r>
      <w:r>
        <w:rPr>
          <w:spacing w:val="-15"/>
        </w:rPr>
        <w:t xml:space="preserve"> </w:t>
      </w:r>
      <w:r>
        <w:t>los</w:t>
      </w:r>
      <w:r>
        <w:rPr>
          <w:spacing w:val="-15"/>
        </w:rPr>
        <w:t xml:space="preserve"> </w:t>
      </w:r>
      <w:r>
        <w:t>derechos</w:t>
      </w:r>
      <w:r>
        <w:rPr>
          <w:spacing w:val="-14"/>
        </w:rPr>
        <w:t xml:space="preserve"> </w:t>
      </w:r>
      <w:r>
        <w:t>de</w:t>
      </w:r>
      <w:r>
        <w:rPr>
          <w:spacing w:val="-15"/>
        </w:rPr>
        <w:t xml:space="preserve"> </w:t>
      </w:r>
      <w:r>
        <w:t>propiedad</w:t>
      </w:r>
      <w:r>
        <w:rPr>
          <w:spacing w:val="-14"/>
        </w:rPr>
        <w:t xml:space="preserve"> </w:t>
      </w:r>
      <w:r>
        <w:t>de</w:t>
      </w:r>
      <w:r>
        <w:rPr>
          <w:spacing w:val="-15"/>
        </w:rPr>
        <w:t xml:space="preserve"> </w:t>
      </w:r>
      <w:r>
        <w:t>la</w:t>
      </w:r>
      <w:r>
        <w:rPr>
          <w:spacing w:val="-15"/>
        </w:rPr>
        <w:t xml:space="preserve"> </w:t>
      </w:r>
      <w:r>
        <w:t>tierra</w:t>
      </w:r>
      <w:r>
        <w:rPr>
          <w:spacing w:val="-15"/>
        </w:rPr>
        <w:t xml:space="preserve"> </w:t>
      </w:r>
      <w:r>
        <w:t>y</w:t>
      </w:r>
      <w:r>
        <w:rPr>
          <w:spacing w:val="-15"/>
        </w:rPr>
        <w:t xml:space="preserve"> </w:t>
      </w:r>
      <w:r>
        <w:t>los</w:t>
      </w:r>
      <w:r>
        <w:rPr>
          <w:spacing w:val="-14"/>
        </w:rPr>
        <w:t xml:space="preserve"> </w:t>
      </w:r>
      <w:r>
        <w:t>conflictos por su uso, la baja calidad de la democracia que existe en el país</w:t>
      </w:r>
      <w:r w:rsidR="009A4923">
        <w:rPr>
          <w:rStyle w:val="Refdenotaalpie"/>
        </w:rPr>
        <w:footnoteReference w:id="951"/>
      </w:r>
      <w:r>
        <w:t xml:space="preserve"> y la dualidad territorial del</w:t>
      </w:r>
      <w:r>
        <w:rPr>
          <w:spacing w:val="14"/>
        </w:rPr>
        <w:t xml:space="preserve"> </w:t>
      </w:r>
      <w:r>
        <w:t>débil</w:t>
      </w:r>
      <w:r>
        <w:rPr>
          <w:spacing w:val="17"/>
        </w:rPr>
        <w:t xml:space="preserve"> </w:t>
      </w:r>
      <w:r>
        <w:t>e</w:t>
      </w:r>
      <w:r>
        <w:rPr>
          <w:spacing w:val="16"/>
        </w:rPr>
        <w:t xml:space="preserve"> </w:t>
      </w:r>
      <w:r>
        <w:t>inefectivo</w:t>
      </w:r>
      <w:r>
        <w:rPr>
          <w:spacing w:val="17"/>
        </w:rPr>
        <w:t xml:space="preserve"> </w:t>
      </w:r>
      <w:r>
        <w:t>Estado</w:t>
      </w:r>
      <w:r>
        <w:rPr>
          <w:spacing w:val="17"/>
        </w:rPr>
        <w:t xml:space="preserve"> </w:t>
      </w:r>
      <w:r>
        <w:t>Colombiano,</w:t>
      </w:r>
      <w:r>
        <w:rPr>
          <w:spacing w:val="16"/>
        </w:rPr>
        <w:t xml:space="preserve"> </w:t>
      </w:r>
      <w:r>
        <w:t>facilitaron</w:t>
      </w:r>
      <w:r>
        <w:rPr>
          <w:spacing w:val="17"/>
        </w:rPr>
        <w:t xml:space="preserve"> </w:t>
      </w:r>
      <w:r>
        <w:t>la</w:t>
      </w:r>
      <w:r>
        <w:rPr>
          <w:spacing w:val="16"/>
        </w:rPr>
        <w:t xml:space="preserve"> </w:t>
      </w:r>
      <w:r>
        <w:t>implementación</w:t>
      </w:r>
      <w:r>
        <w:rPr>
          <w:spacing w:val="15"/>
        </w:rPr>
        <w:t xml:space="preserve"> </w:t>
      </w:r>
      <w:r>
        <w:t>de</w:t>
      </w:r>
      <w:r>
        <w:rPr>
          <w:spacing w:val="17"/>
        </w:rPr>
        <w:t xml:space="preserve"> </w:t>
      </w:r>
      <w:r>
        <w:t>un</w:t>
      </w:r>
      <w:r>
        <w:rPr>
          <w:spacing w:val="17"/>
        </w:rPr>
        <w:t xml:space="preserve"> </w:t>
      </w:r>
      <w:r>
        <w:t>modelo</w:t>
      </w:r>
      <w:r>
        <w:rPr>
          <w:spacing w:val="17"/>
        </w:rPr>
        <w:t xml:space="preserve"> </w:t>
      </w:r>
      <w:r>
        <w:rPr>
          <w:spacing w:val="-5"/>
        </w:rPr>
        <w:t>de</w:t>
      </w:r>
      <w:bookmarkStart w:id="1188" w:name="_bookmark1046"/>
      <w:bookmarkStart w:id="1189" w:name="_bookmark1047"/>
      <w:bookmarkEnd w:id="1188"/>
      <w:bookmarkEnd w:id="1189"/>
      <w:r w:rsidR="002E6DDA">
        <w:rPr>
          <w:spacing w:val="-5"/>
        </w:rPr>
        <w:t xml:space="preserve"> </w:t>
      </w:r>
      <w:r>
        <w:t>acumulación</w:t>
      </w:r>
      <w:r>
        <w:rPr>
          <w:spacing w:val="-8"/>
        </w:rPr>
        <w:t xml:space="preserve"> </w:t>
      </w:r>
      <w:r>
        <w:t>por</w:t>
      </w:r>
      <w:r>
        <w:rPr>
          <w:spacing w:val="-7"/>
        </w:rPr>
        <w:t xml:space="preserve"> </w:t>
      </w:r>
      <w:r>
        <w:t>desposesión</w:t>
      </w:r>
      <w:r w:rsidR="002E6DDA">
        <w:rPr>
          <w:rStyle w:val="Refdenotaalpie"/>
        </w:rPr>
        <w:footnoteReference w:id="952"/>
      </w:r>
      <w:r>
        <w:t>,</w:t>
      </w:r>
      <w:r>
        <w:rPr>
          <w:spacing w:val="-7"/>
        </w:rPr>
        <w:t xml:space="preserve"> </w:t>
      </w:r>
      <w:r>
        <w:t>que</w:t>
      </w:r>
      <w:r>
        <w:rPr>
          <w:spacing w:val="-7"/>
        </w:rPr>
        <w:t xml:space="preserve"> </w:t>
      </w:r>
      <w:r>
        <w:t>ha</w:t>
      </w:r>
      <w:r>
        <w:rPr>
          <w:spacing w:val="-7"/>
        </w:rPr>
        <w:t xml:space="preserve"> </w:t>
      </w:r>
      <w:r>
        <w:t>mantenido</w:t>
      </w:r>
      <w:r>
        <w:rPr>
          <w:spacing w:val="-7"/>
        </w:rPr>
        <w:t xml:space="preserve"> </w:t>
      </w:r>
      <w:r>
        <w:t>niveles</w:t>
      </w:r>
      <w:r>
        <w:rPr>
          <w:spacing w:val="-7"/>
        </w:rPr>
        <w:t xml:space="preserve"> </w:t>
      </w:r>
      <w:r>
        <w:t>muy</w:t>
      </w:r>
      <w:r>
        <w:rPr>
          <w:spacing w:val="-7"/>
        </w:rPr>
        <w:t xml:space="preserve"> </w:t>
      </w:r>
      <w:r>
        <w:t>altos</w:t>
      </w:r>
      <w:r>
        <w:rPr>
          <w:spacing w:val="-7"/>
        </w:rPr>
        <w:t xml:space="preserve"> </w:t>
      </w:r>
      <w:r>
        <w:t>de</w:t>
      </w:r>
      <w:r>
        <w:rPr>
          <w:spacing w:val="-7"/>
        </w:rPr>
        <w:t xml:space="preserve"> </w:t>
      </w:r>
      <w:r>
        <w:t>concentración</w:t>
      </w:r>
      <w:r>
        <w:rPr>
          <w:spacing w:val="-7"/>
        </w:rPr>
        <w:t xml:space="preserve"> </w:t>
      </w:r>
      <w:r>
        <w:t>de</w:t>
      </w:r>
      <w:r>
        <w:rPr>
          <w:spacing w:val="-8"/>
        </w:rPr>
        <w:t xml:space="preserve"> </w:t>
      </w:r>
      <w:r>
        <w:t>la tierra</w:t>
      </w:r>
      <w:r>
        <w:rPr>
          <w:spacing w:val="-9"/>
        </w:rPr>
        <w:t xml:space="preserve"> </w:t>
      </w:r>
      <w:r>
        <w:t>(Gini</w:t>
      </w:r>
      <w:r>
        <w:rPr>
          <w:spacing w:val="-8"/>
        </w:rPr>
        <w:t xml:space="preserve"> </w:t>
      </w:r>
      <w:r>
        <w:t>de</w:t>
      </w:r>
      <w:r>
        <w:rPr>
          <w:spacing w:val="-8"/>
        </w:rPr>
        <w:t xml:space="preserve"> </w:t>
      </w:r>
      <w:r>
        <w:t>tierras</w:t>
      </w:r>
      <w:r>
        <w:rPr>
          <w:spacing w:val="-8"/>
        </w:rPr>
        <w:t xml:space="preserve"> </w:t>
      </w:r>
      <w:r>
        <w:t>de</w:t>
      </w:r>
      <w:r>
        <w:rPr>
          <w:spacing w:val="-8"/>
        </w:rPr>
        <w:t xml:space="preserve"> </w:t>
      </w:r>
      <w:r>
        <w:t>0,92),</w:t>
      </w:r>
      <w:r>
        <w:rPr>
          <w:spacing w:val="-8"/>
        </w:rPr>
        <w:t xml:space="preserve"> </w:t>
      </w:r>
      <w:r>
        <w:t>y</w:t>
      </w:r>
      <w:r>
        <w:rPr>
          <w:spacing w:val="-8"/>
        </w:rPr>
        <w:t xml:space="preserve"> </w:t>
      </w:r>
      <w:r>
        <w:t>niveles</w:t>
      </w:r>
      <w:r>
        <w:rPr>
          <w:spacing w:val="-8"/>
        </w:rPr>
        <w:t xml:space="preserve"> </w:t>
      </w:r>
      <w:r>
        <w:t>importantes</w:t>
      </w:r>
      <w:r>
        <w:rPr>
          <w:spacing w:val="-8"/>
        </w:rPr>
        <w:t xml:space="preserve"> </w:t>
      </w:r>
      <w:r>
        <w:t>de</w:t>
      </w:r>
      <w:r>
        <w:rPr>
          <w:spacing w:val="-8"/>
        </w:rPr>
        <w:t xml:space="preserve"> </w:t>
      </w:r>
      <w:r>
        <w:t>pobreza</w:t>
      </w:r>
      <w:r w:rsidR="002E6DDA">
        <w:rPr>
          <w:rStyle w:val="Refdenotaalpie"/>
        </w:rPr>
        <w:footnoteReference w:id="953"/>
      </w:r>
      <w:r>
        <w:rPr>
          <w:spacing w:val="-8"/>
        </w:rPr>
        <w:t xml:space="preserve"> </w:t>
      </w:r>
      <w:r>
        <w:t>y</w:t>
      </w:r>
      <w:r>
        <w:rPr>
          <w:spacing w:val="-8"/>
        </w:rPr>
        <w:t xml:space="preserve"> </w:t>
      </w:r>
      <w:r>
        <w:t>desigualdad</w:t>
      </w:r>
      <w:r>
        <w:rPr>
          <w:spacing w:val="-8"/>
        </w:rPr>
        <w:t xml:space="preserve"> </w:t>
      </w:r>
      <w:r>
        <w:t>que</w:t>
      </w:r>
      <w:r>
        <w:rPr>
          <w:spacing w:val="-8"/>
        </w:rPr>
        <w:t xml:space="preserve"> </w:t>
      </w:r>
      <w:r>
        <w:t>siguen siendo factores de persistencia de la violencia tras la firma del acuerdo final de paz entre el Gobierno y las FARC-EP</w:t>
      </w:r>
      <w:r w:rsidR="002E6DDA">
        <w:rPr>
          <w:rStyle w:val="Refdenotaalpie"/>
        </w:rPr>
        <w:footnoteReference w:id="954"/>
      </w:r>
      <w:r>
        <w:t xml:space="preserve">. La expulsión de miles de familias campesinas de la </w:t>
      </w:r>
      <w:r>
        <w:lastRenderedPageBreak/>
        <w:t xml:space="preserve">frontera </w:t>
      </w:r>
      <w:r>
        <w:rPr>
          <w:spacing w:val="-2"/>
        </w:rPr>
        <w:t>agrícola,</w:t>
      </w:r>
      <w:r>
        <w:rPr>
          <w:spacing w:val="-6"/>
        </w:rPr>
        <w:t xml:space="preserve"> </w:t>
      </w:r>
      <w:r>
        <w:rPr>
          <w:spacing w:val="-2"/>
        </w:rPr>
        <w:t>la</w:t>
      </w:r>
      <w:r>
        <w:rPr>
          <w:spacing w:val="-6"/>
        </w:rPr>
        <w:t xml:space="preserve"> </w:t>
      </w:r>
      <w:r>
        <w:rPr>
          <w:spacing w:val="-2"/>
        </w:rPr>
        <w:t>colonización</w:t>
      </w:r>
      <w:r>
        <w:rPr>
          <w:spacing w:val="-6"/>
        </w:rPr>
        <w:t xml:space="preserve"> </w:t>
      </w:r>
      <w:r>
        <w:rPr>
          <w:spacing w:val="-2"/>
        </w:rPr>
        <w:t>forzosa</w:t>
      </w:r>
      <w:r>
        <w:rPr>
          <w:spacing w:val="-6"/>
        </w:rPr>
        <w:t xml:space="preserve"> </w:t>
      </w:r>
      <w:r>
        <w:rPr>
          <w:spacing w:val="-2"/>
        </w:rPr>
        <w:t>de</w:t>
      </w:r>
      <w:r>
        <w:rPr>
          <w:spacing w:val="-6"/>
        </w:rPr>
        <w:t xml:space="preserve"> </w:t>
      </w:r>
      <w:r>
        <w:rPr>
          <w:spacing w:val="-2"/>
        </w:rPr>
        <w:t>zonas</w:t>
      </w:r>
      <w:r>
        <w:rPr>
          <w:spacing w:val="-5"/>
        </w:rPr>
        <w:t xml:space="preserve"> </w:t>
      </w:r>
      <w:r>
        <w:rPr>
          <w:spacing w:val="-2"/>
        </w:rPr>
        <w:t>marginales</w:t>
      </w:r>
      <w:r>
        <w:rPr>
          <w:spacing w:val="-5"/>
        </w:rPr>
        <w:t xml:space="preserve"> </w:t>
      </w:r>
      <w:r>
        <w:rPr>
          <w:spacing w:val="-2"/>
        </w:rPr>
        <w:t>de</w:t>
      </w:r>
      <w:r>
        <w:rPr>
          <w:spacing w:val="-5"/>
        </w:rPr>
        <w:t xml:space="preserve"> </w:t>
      </w:r>
      <w:r>
        <w:rPr>
          <w:spacing w:val="-2"/>
        </w:rPr>
        <w:t>humedales,</w:t>
      </w:r>
      <w:r>
        <w:rPr>
          <w:spacing w:val="-5"/>
        </w:rPr>
        <w:t xml:space="preserve"> </w:t>
      </w:r>
      <w:r>
        <w:rPr>
          <w:spacing w:val="-2"/>
        </w:rPr>
        <w:t>bosque,</w:t>
      </w:r>
      <w:r>
        <w:rPr>
          <w:spacing w:val="-5"/>
        </w:rPr>
        <w:t xml:space="preserve"> </w:t>
      </w:r>
      <w:r>
        <w:rPr>
          <w:spacing w:val="-2"/>
        </w:rPr>
        <w:t>selva</w:t>
      </w:r>
      <w:r>
        <w:rPr>
          <w:spacing w:val="-5"/>
        </w:rPr>
        <w:t xml:space="preserve"> </w:t>
      </w:r>
      <w:r>
        <w:rPr>
          <w:spacing w:val="-2"/>
        </w:rPr>
        <w:t>y</w:t>
      </w:r>
      <w:r>
        <w:rPr>
          <w:spacing w:val="-6"/>
        </w:rPr>
        <w:t xml:space="preserve"> </w:t>
      </w:r>
      <w:r>
        <w:rPr>
          <w:spacing w:val="-2"/>
        </w:rPr>
        <w:t xml:space="preserve">montaña </w:t>
      </w:r>
      <w:r>
        <w:t>sin infraestructura pública, servicios estatales ni garantías de derechos y la inseguridad jurídica sobre la propiedad rural campesina han generado además incentivos para la expansión del narcotráfico, factor de persistencia de la violencia en Colombia.</w:t>
      </w:r>
    </w:p>
    <w:p w:rsidR="003804AC" w:rsidRDefault="00AF18A5" w:rsidP="002E6DDA">
      <w:r>
        <w:t>El</w:t>
      </w:r>
      <w:r>
        <w:rPr>
          <w:spacing w:val="-9"/>
        </w:rPr>
        <w:t xml:space="preserve"> </w:t>
      </w:r>
      <w:r>
        <w:t>resultado</w:t>
      </w:r>
      <w:r>
        <w:rPr>
          <w:spacing w:val="-11"/>
        </w:rPr>
        <w:t xml:space="preserve"> </w:t>
      </w:r>
      <w:r>
        <w:t>es</w:t>
      </w:r>
      <w:r>
        <w:rPr>
          <w:spacing w:val="-9"/>
        </w:rPr>
        <w:t xml:space="preserve"> </w:t>
      </w:r>
      <w:r>
        <w:t>un</w:t>
      </w:r>
      <w:r>
        <w:rPr>
          <w:spacing w:val="-9"/>
        </w:rPr>
        <w:t xml:space="preserve"> </w:t>
      </w:r>
      <w:r>
        <w:t>patrón</w:t>
      </w:r>
      <w:r>
        <w:rPr>
          <w:spacing w:val="-12"/>
        </w:rPr>
        <w:t xml:space="preserve"> </w:t>
      </w:r>
      <w:r>
        <w:t>inadecuado</w:t>
      </w:r>
      <w:r>
        <w:rPr>
          <w:spacing w:val="-12"/>
        </w:rPr>
        <w:t xml:space="preserve"> </w:t>
      </w:r>
      <w:r>
        <w:t>de</w:t>
      </w:r>
      <w:r>
        <w:rPr>
          <w:spacing w:val="-9"/>
        </w:rPr>
        <w:t xml:space="preserve"> </w:t>
      </w:r>
      <w:r>
        <w:t>ocupación,</w:t>
      </w:r>
      <w:r>
        <w:rPr>
          <w:spacing w:val="-9"/>
        </w:rPr>
        <w:t xml:space="preserve"> </w:t>
      </w:r>
      <w:r>
        <w:t>distribución</w:t>
      </w:r>
      <w:r>
        <w:rPr>
          <w:spacing w:val="-9"/>
        </w:rPr>
        <w:t xml:space="preserve"> </w:t>
      </w:r>
      <w:r>
        <w:t>y</w:t>
      </w:r>
      <w:r>
        <w:rPr>
          <w:spacing w:val="-9"/>
        </w:rPr>
        <w:t xml:space="preserve"> </w:t>
      </w:r>
      <w:r>
        <w:t>uso</w:t>
      </w:r>
      <w:r>
        <w:rPr>
          <w:spacing w:val="-9"/>
        </w:rPr>
        <w:t xml:space="preserve"> </w:t>
      </w:r>
      <w:r>
        <w:t>del</w:t>
      </w:r>
      <w:r>
        <w:rPr>
          <w:spacing w:val="-10"/>
        </w:rPr>
        <w:t xml:space="preserve"> </w:t>
      </w:r>
      <w:r>
        <w:t>territorio</w:t>
      </w:r>
      <w:r>
        <w:rPr>
          <w:spacing w:val="-11"/>
        </w:rPr>
        <w:t xml:space="preserve"> </w:t>
      </w:r>
      <w:r>
        <w:t>cuyos rasgos principales son el acaparamiento de los mejores valles planos para ganadería extensiva, que ocupa el doble del área con vocación para ese uso; el aprovechamiento insuficiente del potencial agrícola, cuya área podría triplicar la usada actualmente en agricultura; la imposición violenta de proyectos agroindustriales y minero-energéticos y el desplazamiento del campesinado a tierras pendientes de laderas de montañas y bosques tropicales</w:t>
      </w:r>
      <w:r>
        <w:rPr>
          <w:spacing w:val="-6"/>
        </w:rPr>
        <w:t xml:space="preserve"> </w:t>
      </w:r>
      <w:r>
        <w:t>cálidos</w:t>
      </w:r>
      <w:r>
        <w:rPr>
          <w:spacing w:val="-6"/>
        </w:rPr>
        <w:t xml:space="preserve"> </w:t>
      </w:r>
      <w:r>
        <w:t>de</w:t>
      </w:r>
      <w:r>
        <w:rPr>
          <w:spacing w:val="-6"/>
        </w:rPr>
        <w:t xml:space="preserve"> </w:t>
      </w:r>
      <w:r>
        <w:t>colonización</w:t>
      </w:r>
      <w:r>
        <w:rPr>
          <w:spacing w:val="-6"/>
        </w:rPr>
        <w:t xml:space="preserve"> </w:t>
      </w:r>
      <w:r>
        <w:t>de</w:t>
      </w:r>
      <w:r>
        <w:rPr>
          <w:spacing w:val="-7"/>
        </w:rPr>
        <w:t xml:space="preserve"> </w:t>
      </w:r>
      <w:r>
        <w:t>frontera,</w:t>
      </w:r>
      <w:r>
        <w:rPr>
          <w:spacing w:val="-6"/>
        </w:rPr>
        <w:t xml:space="preserve"> </w:t>
      </w:r>
      <w:r>
        <w:t>cuyos</w:t>
      </w:r>
      <w:r>
        <w:rPr>
          <w:spacing w:val="-6"/>
        </w:rPr>
        <w:t xml:space="preserve"> </w:t>
      </w:r>
      <w:r>
        <w:t>costos</w:t>
      </w:r>
      <w:r>
        <w:rPr>
          <w:spacing w:val="-6"/>
        </w:rPr>
        <w:t xml:space="preserve"> </w:t>
      </w:r>
      <w:r>
        <w:t>ambientales</w:t>
      </w:r>
      <w:r>
        <w:rPr>
          <w:spacing w:val="-6"/>
        </w:rPr>
        <w:t xml:space="preserve"> </w:t>
      </w:r>
      <w:r>
        <w:t>superan</w:t>
      </w:r>
      <w:r>
        <w:rPr>
          <w:spacing w:val="-6"/>
        </w:rPr>
        <w:t xml:space="preserve"> </w:t>
      </w:r>
      <w:r>
        <w:t>con</w:t>
      </w:r>
      <w:r>
        <w:rPr>
          <w:spacing w:val="-6"/>
        </w:rPr>
        <w:t xml:space="preserve"> </w:t>
      </w:r>
      <w:r>
        <w:t>mucho los escasos beneficios de subsistencia que se obtienen en la producción en estos suelos frágiles y pobres. El acaparamiento</w:t>
      </w:r>
      <w:r>
        <w:rPr>
          <w:spacing w:val="-1"/>
        </w:rPr>
        <w:t xml:space="preserve"> </w:t>
      </w:r>
      <w:r>
        <w:t>improductivo</w:t>
      </w:r>
      <w:r>
        <w:rPr>
          <w:spacing w:val="-1"/>
        </w:rPr>
        <w:t xml:space="preserve"> </w:t>
      </w:r>
      <w:r>
        <w:t>de las mejores tierras ha sido la</w:t>
      </w:r>
      <w:r>
        <w:rPr>
          <w:spacing w:val="-1"/>
        </w:rPr>
        <w:t xml:space="preserve"> </w:t>
      </w:r>
      <w:r>
        <w:t>fuente de rentas</w:t>
      </w:r>
      <w:r>
        <w:rPr>
          <w:spacing w:val="-5"/>
        </w:rPr>
        <w:t xml:space="preserve"> </w:t>
      </w:r>
      <w:r>
        <w:t>de</w:t>
      </w:r>
      <w:r>
        <w:rPr>
          <w:spacing w:val="-3"/>
        </w:rPr>
        <w:t xml:space="preserve"> </w:t>
      </w:r>
      <w:r>
        <w:t>las</w:t>
      </w:r>
      <w:r>
        <w:rPr>
          <w:spacing w:val="-5"/>
        </w:rPr>
        <w:t xml:space="preserve"> </w:t>
      </w:r>
      <w:r>
        <w:t>familias</w:t>
      </w:r>
      <w:r>
        <w:rPr>
          <w:spacing w:val="-3"/>
        </w:rPr>
        <w:t xml:space="preserve"> </w:t>
      </w:r>
      <w:r>
        <w:t>dominantes</w:t>
      </w:r>
      <w:r>
        <w:rPr>
          <w:spacing w:val="-3"/>
        </w:rPr>
        <w:t xml:space="preserve"> </w:t>
      </w:r>
      <w:r>
        <w:t>de</w:t>
      </w:r>
      <w:r>
        <w:rPr>
          <w:spacing w:val="-6"/>
        </w:rPr>
        <w:t xml:space="preserve"> </w:t>
      </w:r>
      <w:r>
        <w:t>las</w:t>
      </w:r>
      <w:r>
        <w:rPr>
          <w:spacing w:val="-3"/>
        </w:rPr>
        <w:t xml:space="preserve"> </w:t>
      </w:r>
      <w:r>
        <w:t>regiones</w:t>
      </w:r>
      <w:r>
        <w:rPr>
          <w:spacing w:val="-5"/>
        </w:rPr>
        <w:t xml:space="preserve"> </w:t>
      </w:r>
      <w:r>
        <w:t>fértiles,</w:t>
      </w:r>
      <w:r>
        <w:rPr>
          <w:spacing w:val="-4"/>
        </w:rPr>
        <w:t xml:space="preserve"> </w:t>
      </w:r>
      <w:r>
        <w:t>sin</w:t>
      </w:r>
      <w:r>
        <w:rPr>
          <w:spacing w:val="-5"/>
        </w:rPr>
        <w:t xml:space="preserve"> </w:t>
      </w:r>
      <w:r>
        <w:t>devolver</w:t>
      </w:r>
      <w:r>
        <w:rPr>
          <w:spacing w:val="-4"/>
        </w:rPr>
        <w:t xml:space="preserve"> </w:t>
      </w:r>
      <w:r>
        <w:t>en</w:t>
      </w:r>
      <w:r>
        <w:rPr>
          <w:spacing w:val="-5"/>
        </w:rPr>
        <w:t xml:space="preserve"> </w:t>
      </w:r>
      <w:r>
        <w:t>impuestos</w:t>
      </w:r>
      <w:r>
        <w:rPr>
          <w:spacing w:val="-4"/>
        </w:rPr>
        <w:t xml:space="preserve"> </w:t>
      </w:r>
      <w:r>
        <w:t>el</w:t>
      </w:r>
      <w:r>
        <w:rPr>
          <w:spacing w:val="-4"/>
        </w:rPr>
        <w:t xml:space="preserve"> </w:t>
      </w:r>
      <w:r>
        <w:t>costo de</w:t>
      </w:r>
      <w:r>
        <w:rPr>
          <w:spacing w:val="-5"/>
        </w:rPr>
        <w:t xml:space="preserve"> </w:t>
      </w:r>
      <w:r>
        <w:t>oportunidad</w:t>
      </w:r>
      <w:r>
        <w:rPr>
          <w:spacing w:val="-5"/>
        </w:rPr>
        <w:t xml:space="preserve"> </w:t>
      </w:r>
      <w:r>
        <w:t>que</w:t>
      </w:r>
      <w:r>
        <w:rPr>
          <w:spacing w:val="-5"/>
        </w:rPr>
        <w:t xml:space="preserve"> </w:t>
      </w:r>
      <w:r>
        <w:t>paga</w:t>
      </w:r>
      <w:r>
        <w:rPr>
          <w:spacing w:val="-7"/>
        </w:rPr>
        <w:t xml:space="preserve"> </w:t>
      </w:r>
      <w:r>
        <w:t>el</w:t>
      </w:r>
      <w:r>
        <w:rPr>
          <w:spacing w:val="-4"/>
        </w:rPr>
        <w:t xml:space="preserve"> </w:t>
      </w:r>
      <w:r>
        <w:t>resto</w:t>
      </w:r>
      <w:r>
        <w:rPr>
          <w:spacing w:val="-5"/>
        </w:rPr>
        <w:t xml:space="preserve"> </w:t>
      </w:r>
      <w:r>
        <w:t>de</w:t>
      </w:r>
      <w:r>
        <w:rPr>
          <w:spacing w:val="-5"/>
        </w:rPr>
        <w:t xml:space="preserve"> </w:t>
      </w:r>
      <w:r>
        <w:t>la</w:t>
      </w:r>
      <w:r>
        <w:rPr>
          <w:spacing w:val="-6"/>
        </w:rPr>
        <w:t xml:space="preserve"> </w:t>
      </w:r>
      <w:r>
        <w:t>sociedad,</w:t>
      </w:r>
      <w:r>
        <w:rPr>
          <w:spacing w:val="-5"/>
        </w:rPr>
        <w:t xml:space="preserve"> </w:t>
      </w:r>
      <w:r>
        <w:t>que</w:t>
      </w:r>
      <w:r>
        <w:rPr>
          <w:spacing w:val="-5"/>
        </w:rPr>
        <w:t xml:space="preserve"> </w:t>
      </w:r>
      <w:r>
        <w:t>les</w:t>
      </w:r>
      <w:r>
        <w:rPr>
          <w:spacing w:val="-5"/>
        </w:rPr>
        <w:t xml:space="preserve"> </w:t>
      </w:r>
      <w:r>
        <w:t>ha</w:t>
      </w:r>
      <w:r>
        <w:rPr>
          <w:spacing w:val="-5"/>
        </w:rPr>
        <w:t xml:space="preserve"> </w:t>
      </w:r>
      <w:r>
        <w:t>permitido</w:t>
      </w:r>
      <w:r>
        <w:rPr>
          <w:spacing w:val="-5"/>
        </w:rPr>
        <w:t xml:space="preserve"> </w:t>
      </w:r>
      <w:r>
        <w:t>subsistir</w:t>
      </w:r>
      <w:r>
        <w:rPr>
          <w:spacing w:val="-6"/>
        </w:rPr>
        <w:t xml:space="preserve"> </w:t>
      </w:r>
      <w:r>
        <w:t>en</w:t>
      </w:r>
      <w:r>
        <w:rPr>
          <w:spacing w:val="-5"/>
        </w:rPr>
        <w:t xml:space="preserve"> </w:t>
      </w:r>
      <w:r>
        <w:t>posiciones de</w:t>
      </w:r>
      <w:r>
        <w:rPr>
          <w:spacing w:val="2"/>
        </w:rPr>
        <w:t xml:space="preserve"> </w:t>
      </w:r>
      <w:r>
        <w:t>privilegio</w:t>
      </w:r>
      <w:r>
        <w:rPr>
          <w:spacing w:val="2"/>
        </w:rPr>
        <w:t xml:space="preserve"> </w:t>
      </w:r>
      <w:r>
        <w:t>sin</w:t>
      </w:r>
      <w:r>
        <w:rPr>
          <w:spacing w:val="3"/>
        </w:rPr>
        <w:t xml:space="preserve"> </w:t>
      </w:r>
      <w:r>
        <w:t>invertir</w:t>
      </w:r>
      <w:r>
        <w:rPr>
          <w:spacing w:val="3"/>
        </w:rPr>
        <w:t xml:space="preserve"> </w:t>
      </w:r>
      <w:r>
        <w:t>sus</w:t>
      </w:r>
      <w:r>
        <w:rPr>
          <w:spacing w:val="5"/>
        </w:rPr>
        <w:t xml:space="preserve"> </w:t>
      </w:r>
      <w:r>
        <w:t>capitales</w:t>
      </w:r>
      <w:r>
        <w:rPr>
          <w:spacing w:val="2"/>
        </w:rPr>
        <w:t xml:space="preserve"> </w:t>
      </w:r>
      <w:r>
        <w:t>en</w:t>
      </w:r>
      <w:r>
        <w:rPr>
          <w:spacing w:val="3"/>
        </w:rPr>
        <w:t xml:space="preserve"> </w:t>
      </w:r>
      <w:r>
        <w:t>la</w:t>
      </w:r>
      <w:r>
        <w:rPr>
          <w:spacing w:val="4"/>
        </w:rPr>
        <w:t xml:space="preserve"> </w:t>
      </w:r>
      <w:r>
        <w:t>producción</w:t>
      </w:r>
      <w:r>
        <w:rPr>
          <w:spacing w:val="4"/>
        </w:rPr>
        <w:t xml:space="preserve"> </w:t>
      </w:r>
      <w:r>
        <w:t>empresarial,</w:t>
      </w:r>
      <w:r>
        <w:rPr>
          <w:spacing w:val="3"/>
        </w:rPr>
        <w:t xml:space="preserve"> </w:t>
      </w:r>
      <w:r>
        <w:t>que</w:t>
      </w:r>
      <w:r>
        <w:rPr>
          <w:spacing w:val="4"/>
        </w:rPr>
        <w:t xml:space="preserve"> </w:t>
      </w:r>
      <w:r>
        <w:t>exige</w:t>
      </w:r>
      <w:r>
        <w:rPr>
          <w:spacing w:val="4"/>
        </w:rPr>
        <w:t xml:space="preserve"> </w:t>
      </w:r>
      <w:r>
        <w:t>esfuerzos</w:t>
      </w:r>
      <w:r>
        <w:rPr>
          <w:spacing w:val="5"/>
        </w:rPr>
        <w:t xml:space="preserve"> </w:t>
      </w:r>
      <w:r>
        <w:rPr>
          <w:spacing w:val="-5"/>
        </w:rPr>
        <w:t>de</w:t>
      </w:r>
      <w:bookmarkStart w:id="1190" w:name="_bookmark1048"/>
      <w:bookmarkStart w:id="1191" w:name="_bookmark1049"/>
      <w:bookmarkStart w:id="1192" w:name="_bookmark1050"/>
      <w:bookmarkEnd w:id="1190"/>
      <w:bookmarkEnd w:id="1191"/>
      <w:bookmarkEnd w:id="1192"/>
      <w:r w:rsidR="002E6DDA">
        <w:rPr>
          <w:spacing w:val="-5"/>
        </w:rPr>
        <w:t xml:space="preserve"> </w:t>
      </w:r>
      <w:r>
        <w:t>gestión y asunción de riesgos. Esta acumulación de tierra y el carácter rentista</w:t>
      </w:r>
      <w:r w:rsidR="002E6DDA">
        <w:rPr>
          <w:rStyle w:val="Refdenotaalpie"/>
        </w:rPr>
        <w:footnoteReference w:id="955"/>
      </w:r>
      <w:r>
        <w:t xml:space="preserve"> inherente al cuasi monopolio de la tierra </w:t>
      </w:r>
      <w:r>
        <w:lastRenderedPageBreak/>
        <w:t>frena el desarrollo productivo</w:t>
      </w:r>
      <w:r w:rsidR="002E6DDA">
        <w:rPr>
          <w:rStyle w:val="Refdenotaalpie"/>
        </w:rPr>
        <w:footnoteReference w:id="956"/>
      </w:r>
      <w:r>
        <w:t>, no genera empleo formal suficiente y desplaza al campesinado de los suelos productivos, excluyéndolos de los circuitos de producción de riqueza y bienestar.</w:t>
      </w:r>
    </w:p>
    <w:p w:rsidR="003804AC" w:rsidRDefault="00AF18A5" w:rsidP="002E6DDA">
      <w:r>
        <w:t>La Constitución de 1991 reconoció los territorios colectivos étnicos de comunidades negras</w:t>
      </w:r>
      <w:r>
        <w:rPr>
          <w:spacing w:val="-1"/>
        </w:rPr>
        <w:t xml:space="preserve"> </w:t>
      </w:r>
      <w:r>
        <w:t>y</w:t>
      </w:r>
      <w:r>
        <w:rPr>
          <w:spacing w:val="-1"/>
        </w:rPr>
        <w:t xml:space="preserve"> </w:t>
      </w:r>
      <w:r>
        <w:t>resguardos</w:t>
      </w:r>
      <w:r>
        <w:rPr>
          <w:spacing w:val="-1"/>
        </w:rPr>
        <w:t xml:space="preserve"> </w:t>
      </w:r>
      <w:r>
        <w:t>indígenas.</w:t>
      </w:r>
      <w:r>
        <w:rPr>
          <w:spacing w:val="-1"/>
        </w:rPr>
        <w:t xml:space="preserve"> </w:t>
      </w:r>
      <w:r>
        <w:t>En</w:t>
      </w:r>
      <w:r>
        <w:rPr>
          <w:spacing w:val="-1"/>
        </w:rPr>
        <w:t xml:space="preserve"> </w:t>
      </w:r>
      <w:r>
        <w:t>la</w:t>
      </w:r>
      <w:r>
        <w:rPr>
          <w:spacing w:val="-1"/>
        </w:rPr>
        <w:t xml:space="preserve"> </w:t>
      </w:r>
      <w:r>
        <w:t>misma</w:t>
      </w:r>
      <w:r>
        <w:rPr>
          <w:spacing w:val="-1"/>
        </w:rPr>
        <w:t xml:space="preserve"> </w:t>
      </w:r>
      <w:r>
        <w:t>dirección</w:t>
      </w:r>
      <w:r>
        <w:rPr>
          <w:spacing w:val="-1"/>
        </w:rPr>
        <w:t xml:space="preserve"> </w:t>
      </w:r>
      <w:r>
        <w:t>–producto</w:t>
      </w:r>
      <w:r>
        <w:rPr>
          <w:spacing w:val="-1"/>
        </w:rPr>
        <w:t xml:space="preserve"> </w:t>
      </w:r>
      <w:r>
        <w:t>de</w:t>
      </w:r>
      <w:r>
        <w:rPr>
          <w:spacing w:val="-1"/>
        </w:rPr>
        <w:t xml:space="preserve"> </w:t>
      </w:r>
      <w:r>
        <w:t>las</w:t>
      </w:r>
      <w:r>
        <w:rPr>
          <w:spacing w:val="-1"/>
        </w:rPr>
        <w:t xml:space="preserve"> </w:t>
      </w:r>
      <w:r>
        <w:t>luchas</w:t>
      </w:r>
      <w:r>
        <w:rPr>
          <w:spacing w:val="-1"/>
        </w:rPr>
        <w:t xml:space="preserve"> </w:t>
      </w:r>
      <w:r>
        <w:t>campesinas– se</w:t>
      </w:r>
      <w:r>
        <w:rPr>
          <w:spacing w:val="-2"/>
        </w:rPr>
        <w:t xml:space="preserve"> </w:t>
      </w:r>
      <w:r>
        <w:t>dieron</w:t>
      </w:r>
      <w:r>
        <w:rPr>
          <w:spacing w:val="-2"/>
        </w:rPr>
        <w:t xml:space="preserve"> </w:t>
      </w:r>
      <w:r>
        <w:t>logros</w:t>
      </w:r>
      <w:r>
        <w:rPr>
          <w:spacing w:val="-2"/>
        </w:rPr>
        <w:t xml:space="preserve"> </w:t>
      </w:r>
      <w:r>
        <w:t>en</w:t>
      </w:r>
      <w:r>
        <w:rPr>
          <w:spacing w:val="-2"/>
        </w:rPr>
        <w:t xml:space="preserve"> </w:t>
      </w:r>
      <w:r>
        <w:t>el</w:t>
      </w:r>
      <w:r>
        <w:rPr>
          <w:spacing w:val="-2"/>
        </w:rPr>
        <w:t xml:space="preserve"> </w:t>
      </w:r>
      <w:r>
        <w:t>reconocimiento</w:t>
      </w:r>
      <w:r>
        <w:rPr>
          <w:spacing w:val="-2"/>
        </w:rPr>
        <w:t xml:space="preserve"> </w:t>
      </w:r>
      <w:r>
        <w:t>de</w:t>
      </w:r>
      <w:r>
        <w:rPr>
          <w:spacing w:val="-2"/>
        </w:rPr>
        <w:t xml:space="preserve"> </w:t>
      </w:r>
      <w:r>
        <w:t>las</w:t>
      </w:r>
      <w:r>
        <w:rPr>
          <w:spacing w:val="-3"/>
        </w:rPr>
        <w:t xml:space="preserve"> </w:t>
      </w:r>
      <w:r>
        <w:t>zonas</w:t>
      </w:r>
      <w:r>
        <w:rPr>
          <w:spacing w:val="-2"/>
        </w:rPr>
        <w:t xml:space="preserve"> </w:t>
      </w:r>
      <w:r>
        <w:t>de</w:t>
      </w:r>
      <w:r>
        <w:rPr>
          <w:spacing w:val="-2"/>
        </w:rPr>
        <w:t xml:space="preserve"> </w:t>
      </w:r>
      <w:r>
        <w:t>reserva</w:t>
      </w:r>
      <w:r>
        <w:rPr>
          <w:spacing w:val="-2"/>
        </w:rPr>
        <w:t xml:space="preserve"> </w:t>
      </w:r>
      <w:r>
        <w:t>campesina,</w:t>
      </w:r>
      <w:r>
        <w:rPr>
          <w:spacing w:val="-2"/>
        </w:rPr>
        <w:t xml:space="preserve"> </w:t>
      </w:r>
      <w:r>
        <w:t>que,</w:t>
      </w:r>
      <w:r>
        <w:rPr>
          <w:spacing w:val="-2"/>
        </w:rPr>
        <w:t xml:space="preserve"> </w:t>
      </w:r>
      <w:r>
        <w:t>como</w:t>
      </w:r>
      <w:r>
        <w:rPr>
          <w:spacing w:val="-3"/>
        </w:rPr>
        <w:t xml:space="preserve"> </w:t>
      </w:r>
      <w:r>
        <w:t>figuras de</w:t>
      </w:r>
      <w:r>
        <w:rPr>
          <w:spacing w:val="-3"/>
        </w:rPr>
        <w:t xml:space="preserve"> </w:t>
      </w:r>
      <w:r>
        <w:t>ordenamiento</w:t>
      </w:r>
      <w:r>
        <w:rPr>
          <w:spacing w:val="-3"/>
        </w:rPr>
        <w:t xml:space="preserve"> </w:t>
      </w:r>
      <w:r>
        <w:t>territorial</w:t>
      </w:r>
      <w:r>
        <w:rPr>
          <w:spacing w:val="-3"/>
        </w:rPr>
        <w:t xml:space="preserve"> </w:t>
      </w:r>
      <w:r>
        <w:t>creadas</w:t>
      </w:r>
      <w:r>
        <w:rPr>
          <w:spacing w:val="-3"/>
        </w:rPr>
        <w:t xml:space="preserve"> </w:t>
      </w:r>
      <w:r>
        <w:t>por</w:t>
      </w:r>
      <w:r>
        <w:rPr>
          <w:spacing w:val="-3"/>
        </w:rPr>
        <w:t xml:space="preserve"> </w:t>
      </w:r>
      <w:r>
        <w:t>la</w:t>
      </w:r>
      <w:r>
        <w:rPr>
          <w:spacing w:val="-3"/>
        </w:rPr>
        <w:t xml:space="preserve"> </w:t>
      </w:r>
      <w:r>
        <w:t>Ley</w:t>
      </w:r>
      <w:r>
        <w:rPr>
          <w:spacing w:val="-3"/>
        </w:rPr>
        <w:t xml:space="preserve"> </w:t>
      </w:r>
      <w:r>
        <w:t>160</w:t>
      </w:r>
      <w:r>
        <w:rPr>
          <w:spacing w:val="-3"/>
        </w:rPr>
        <w:t xml:space="preserve"> </w:t>
      </w:r>
      <w:r>
        <w:t>de</w:t>
      </w:r>
      <w:r>
        <w:rPr>
          <w:spacing w:val="-3"/>
        </w:rPr>
        <w:t xml:space="preserve"> </w:t>
      </w:r>
      <w:r>
        <w:t>1994,</w:t>
      </w:r>
      <w:r>
        <w:rPr>
          <w:spacing w:val="-3"/>
        </w:rPr>
        <w:t xml:space="preserve"> </w:t>
      </w:r>
      <w:r>
        <w:t>permiten</w:t>
      </w:r>
      <w:r>
        <w:rPr>
          <w:spacing w:val="-3"/>
        </w:rPr>
        <w:t xml:space="preserve"> </w:t>
      </w:r>
      <w:r>
        <w:t>al</w:t>
      </w:r>
      <w:r>
        <w:rPr>
          <w:spacing w:val="-3"/>
        </w:rPr>
        <w:t xml:space="preserve"> </w:t>
      </w:r>
      <w:r>
        <w:t>campesinado</w:t>
      </w:r>
      <w:r>
        <w:rPr>
          <w:spacing w:val="-5"/>
        </w:rPr>
        <w:t xml:space="preserve"> </w:t>
      </w:r>
      <w:r>
        <w:t>lograr el reconocimiento oficial de sus proyectos comunitarios de desarrollo sostenible. A esto se sumaron</w:t>
      </w:r>
      <w:r>
        <w:rPr>
          <w:spacing w:val="-2"/>
        </w:rPr>
        <w:t xml:space="preserve"> </w:t>
      </w:r>
      <w:r>
        <w:t>las</w:t>
      </w:r>
      <w:r>
        <w:rPr>
          <w:spacing w:val="-2"/>
        </w:rPr>
        <w:t xml:space="preserve"> </w:t>
      </w:r>
      <w:r>
        <w:t>luchas</w:t>
      </w:r>
      <w:r>
        <w:rPr>
          <w:spacing w:val="-1"/>
        </w:rPr>
        <w:t xml:space="preserve"> </w:t>
      </w:r>
      <w:r>
        <w:t>del</w:t>
      </w:r>
      <w:r>
        <w:rPr>
          <w:spacing w:val="-1"/>
        </w:rPr>
        <w:t xml:space="preserve"> </w:t>
      </w:r>
      <w:r>
        <w:t>movimiento</w:t>
      </w:r>
      <w:r>
        <w:rPr>
          <w:spacing w:val="-1"/>
        </w:rPr>
        <w:t xml:space="preserve"> </w:t>
      </w:r>
      <w:r>
        <w:t>campesino</w:t>
      </w:r>
      <w:r>
        <w:rPr>
          <w:spacing w:val="-1"/>
        </w:rPr>
        <w:t xml:space="preserve"> </w:t>
      </w:r>
      <w:r>
        <w:t>por</w:t>
      </w:r>
      <w:r>
        <w:rPr>
          <w:spacing w:val="-1"/>
        </w:rPr>
        <w:t xml:space="preserve"> </w:t>
      </w:r>
      <w:r>
        <w:t>su</w:t>
      </w:r>
      <w:r>
        <w:rPr>
          <w:spacing w:val="-1"/>
        </w:rPr>
        <w:t xml:space="preserve"> </w:t>
      </w:r>
      <w:r>
        <w:t>reconocimiento</w:t>
      </w:r>
      <w:r>
        <w:rPr>
          <w:spacing w:val="-1"/>
        </w:rPr>
        <w:t xml:space="preserve"> </w:t>
      </w:r>
      <w:r>
        <w:t>como</w:t>
      </w:r>
      <w:r>
        <w:rPr>
          <w:spacing w:val="-1"/>
        </w:rPr>
        <w:t xml:space="preserve"> </w:t>
      </w:r>
      <w:r>
        <w:t>sujeto</w:t>
      </w:r>
      <w:r>
        <w:rPr>
          <w:spacing w:val="-1"/>
        </w:rPr>
        <w:t xml:space="preserve"> </w:t>
      </w:r>
      <w:r>
        <w:t>político, la construcción de iniciativas de paz y sus resistencias y denuncias ante la acción de los actores armados.</w:t>
      </w:r>
    </w:p>
    <w:p w:rsidR="003804AC" w:rsidRDefault="00AF18A5" w:rsidP="002E6DDA">
      <w:r>
        <w:t>Sin embargo, la guerra ha hecho inalcanzable el goce y disfrute total y efectivo de los derechos</w:t>
      </w:r>
      <w:r>
        <w:rPr>
          <w:spacing w:val="-14"/>
        </w:rPr>
        <w:t xml:space="preserve"> </w:t>
      </w:r>
      <w:r>
        <w:t>reconocidos</w:t>
      </w:r>
      <w:r>
        <w:rPr>
          <w:spacing w:val="-14"/>
        </w:rPr>
        <w:t xml:space="preserve"> </w:t>
      </w:r>
      <w:r>
        <w:t>para</w:t>
      </w:r>
      <w:r>
        <w:rPr>
          <w:spacing w:val="-14"/>
        </w:rPr>
        <w:t xml:space="preserve"> </w:t>
      </w:r>
      <w:r>
        <w:t>las</w:t>
      </w:r>
      <w:r>
        <w:rPr>
          <w:spacing w:val="-14"/>
        </w:rPr>
        <w:t xml:space="preserve"> </w:t>
      </w:r>
      <w:r>
        <w:t>comunidades</w:t>
      </w:r>
      <w:r>
        <w:rPr>
          <w:spacing w:val="-14"/>
        </w:rPr>
        <w:t xml:space="preserve"> </w:t>
      </w:r>
      <w:r>
        <w:t>étnicas,</w:t>
      </w:r>
      <w:r>
        <w:rPr>
          <w:spacing w:val="-14"/>
        </w:rPr>
        <w:t xml:space="preserve"> </w:t>
      </w:r>
      <w:r>
        <w:t>y</w:t>
      </w:r>
      <w:r>
        <w:rPr>
          <w:spacing w:val="-14"/>
        </w:rPr>
        <w:t xml:space="preserve"> </w:t>
      </w:r>
      <w:r>
        <w:t>ha</w:t>
      </w:r>
      <w:r>
        <w:rPr>
          <w:spacing w:val="-14"/>
        </w:rPr>
        <w:t xml:space="preserve"> </w:t>
      </w:r>
      <w:r>
        <w:t>impedido</w:t>
      </w:r>
      <w:r>
        <w:rPr>
          <w:spacing w:val="-14"/>
        </w:rPr>
        <w:t xml:space="preserve"> </w:t>
      </w:r>
      <w:r>
        <w:t>la</w:t>
      </w:r>
      <w:r>
        <w:rPr>
          <w:spacing w:val="-14"/>
        </w:rPr>
        <w:t xml:space="preserve"> </w:t>
      </w:r>
      <w:r>
        <w:t>protección</w:t>
      </w:r>
      <w:r>
        <w:rPr>
          <w:spacing w:val="-14"/>
        </w:rPr>
        <w:t xml:space="preserve"> </w:t>
      </w:r>
      <w:r>
        <w:t>y</w:t>
      </w:r>
      <w:r>
        <w:rPr>
          <w:spacing w:val="-14"/>
        </w:rPr>
        <w:t xml:space="preserve"> </w:t>
      </w:r>
      <w:r>
        <w:t>desarrollo de</w:t>
      </w:r>
      <w:r>
        <w:rPr>
          <w:spacing w:val="-11"/>
        </w:rPr>
        <w:t xml:space="preserve"> </w:t>
      </w:r>
      <w:r>
        <w:t>la</w:t>
      </w:r>
      <w:r>
        <w:rPr>
          <w:spacing w:val="-11"/>
        </w:rPr>
        <w:t xml:space="preserve"> </w:t>
      </w:r>
      <w:r>
        <w:t>economía</w:t>
      </w:r>
      <w:r>
        <w:rPr>
          <w:spacing w:val="-11"/>
        </w:rPr>
        <w:t xml:space="preserve"> </w:t>
      </w:r>
      <w:r>
        <w:t>y</w:t>
      </w:r>
      <w:r>
        <w:rPr>
          <w:spacing w:val="-11"/>
        </w:rPr>
        <w:t xml:space="preserve"> </w:t>
      </w:r>
      <w:r>
        <w:t>proyecto</w:t>
      </w:r>
      <w:r>
        <w:rPr>
          <w:spacing w:val="-11"/>
        </w:rPr>
        <w:t xml:space="preserve"> </w:t>
      </w:r>
      <w:r>
        <w:t>político</w:t>
      </w:r>
      <w:r>
        <w:rPr>
          <w:spacing w:val="-12"/>
        </w:rPr>
        <w:t xml:space="preserve"> </w:t>
      </w:r>
      <w:r>
        <w:t>del</w:t>
      </w:r>
      <w:r>
        <w:rPr>
          <w:spacing w:val="-10"/>
        </w:rPr>
        <w:t xml:space="preserve"> </w:t>
      </w:r>
      <w:r>
        <w:t>campesinado.</w:t>
      </w:r>
      <w:r>
        <w:rPr>
          <w:spacing w:val="-11"/>
        </w:rPr>
        <w:t xml:space="preserve"> </w:t>
      </w:r>
      <w:r>
        <w:t>La</w:t>
      </w:r>
      <w:r>
        <w:rPr>
          <w:spacing w:val="-11"/>
        </w:rPr>
        <w:t xml:space="preserve"> </w:t>
      </w:r>
      <w:r>
        <w:t>fuerza</w:t>
      </w:r>
      <w:r>
        <w:rPr>
          <w:spacing w:val="-11"/>
        </w:rPr>
        <w:t xml:space="preserve"> </w:t>
      </w:r>
      <w:r>
        <w:t>transformadora</w:t>
      </w:r>
      <w:r>
        <w:rPr>
          <w:spacing w:val="-11"/>
        </w:rPr>
        <w:t xml:space="preserve"> </w:t>
      </w:r>
      <w:r>
        <w:t>de</w:t>
      </w:r>
      <w:r>
        <w:rPr>
          <w:spacing w:val="-12"/>
        </w:rPr>
        <w:t xml:space="preserve"> </w:t>
      </w:r>
      <w:r>
        <w:t>los</w:t>
      </w:r>
      <w:r>
        <w:rPr>
          <w:spacing w:val="-11"/>
        </w:rPr>
        <w:t xml:space="preserve"> </w:t>
      </w:r>
      <w:r>
        <w:t>sujetos étnicos y</w:t>
      </w:r>
      <w:r>
        <w:rPr>
          <w:spacing w:val="-1"/>
        </w:rPr>
        <w:t xml:space="preserve"> </w:t>
      </w:r>
      <w:r>
        <w:t>campesinos</w:t>
      </w:r>
      <w:r>
        <w:rPr>
          <w:spacing w:val="-1"/>
        </w:rPr>
        <w:t xml:space="preserve"> </w:t>
      </w:r>
      <w:r>
        <w:t>se</w:t>
      </w:r>
      <w:r>
        <w:rPr>
          <w:spacing w:val="-1"/>
        </w:rPr>
        <w:t xml:space="preserve"> </w:t>
      </w:r>
      <w:r>
        <w:t>enfrentó</w:t>
      </w:r>
      <w:r>
        <w:rPr>
          <w:spacing w:val="-1"/>
        </w:rPr>
        <w:t xml:space="preserve"> </w:t>
      </w:r>
      <w:r>
        <w:t>a</w:t>
      </w:r>
      <w:r>
        <w:rPr>
          <w:spacing w:val="-1"/>
        </w:rPr>
        <w:t xml:space="preserve"> </w:t>
      </w:r>
      <w:r>
        <w:t>los intereses</w:t>
      </w:r>
      <w:r>
        <w:rPr>
          <w:spacing w:val="-1"/>
        </w:rPr>
        <w:t xml:space="preserve"> </w:t>
      </w:r>
      <w:r>
        <w:t>políticos</w:t>
      </w:r>
      <w:r>
        <w:rPr>
          <w:spacing w:val="-1"/>
        </w:rPr>
        <w:t xml:space="preserve"> </w:t>
      </w:r>
      <w:r>
        <w:t>y de los</w:t>
      </w:r>
      <w:r>
        <w:rPr>
          <w:spacing w:val="-1"/>
        </w:rPr>
        <w:t xml:space="preserve"> </w:t>
      </w:r>
      <w:r>
        <w:t>capitales privados</w:t>
      </w:r>
      <w:r>
        <w:rPr>
          <w:spacing w:val="-1"/>
        </w:rPr>
        <w:t xml:space="preserve"> </w:t>
      </w:r>
      <w:r>
        <w:t>legales e ilegales que, haciendo uso de la violencia, desconocieron los derechos adquiridos por las comunidades y poblaciones y los empujaron a la exclusión y la pobreza.</w:t>
      </w:r>
    </w:p>
    <w:p w:rsidR="003804AC" w:rsidRDefault="00AF18A5" w:rsidP="002E6DDA">
      <w:r>
        <w:lastRenderedPageBreak/>
        <w:t>Así,</w:t>
      </w:r>
      <w:r>
        <w:rPr>
          <w:spacing w:val="-8"/>
        </w:rPr>
        <w:t xml:space="preserve"> </w:t>
      </w:r>
      <w:r>
        <w:t>el</w:t>
      </w:r>
      <w:r>
        <w:rPr>
          <w:spacing w:val="-9"/>
        </w:rPr>
        <w:t xml:space="preserve"> </w:t>
      </w:r>
      <w:r>
        <w:t>modelo</w:t>
      </w:r>
      <w:r>
        <w:rPr>
          <w:spacing w:val="-8"/>
        </w:rPr>
        <w:t xml:space="preserve"> </w:t>
      </w:r>
      <w:r>
        <w:t>de</w:t>
      </w:r>
      <w:r>
        <w:rPr>
          <w:spacing w:val="-8"/>
        </w:rPr>
        <w:t xml:space="preserve"> </w:t>
      </w:r>
      <w:r>
        <w:t>ordenamiento</w:t>
      </w:r>
      <w:r>
        <w:rPr>
          <w:spacing w:val="-8"/>
        </w:rPr>
        <w:t xml:space="preserve"> </w:t>
      </w:r>
      <w:r>
        <w:t>territorial</w:t>
      </w:r>
      <w:r>
        <w:rPr>
          <w:spacing w:val="-8"/>
        </w:rPr>
        <w:t xml:space="preserve"> </w:t>
      </w:r>
      <w:r>
        <w:t>y</w:t>
      </w:r>
      <w:r>
        <w:rPr>
          <w:spacing w:val="-8"/>
        </w:rPr>
        <w:t xml:space="preserve"> </w:t>
      </w:r>
      <w:r>
        <w:t>de</w:t>
      </w:r>
      <w:r>
        <w:rPr>
          <w:spacing w:val="-8"/>
        </w:rPr>
        <w:t xml:space="preserve"> </w:t>
      </w:r>
      <w:r>
        <w:t>acumulación</w:t>
      </w:r>
      <w:r>
        <w:rPr>
          <w:spacing w:val="-8"/>
        </w:rPr>
        <w:t xml:space="preserve"> </w:t>
      </w:r>
      <w:r>
        <w:t>violenta</w:t>
      </w:r>
      <w:r>
        <w:rPr>
          <w:spacing w:val="-9"/>
        </w:rPr>
        <w:t xml:space="preserve"> </w:t>
      </w:r>
      <w:r>
        <w:t>implementado</w:t>
      </w:r>
      <w:r>
        <w:rPr>
          <w:spacing w:val="-8"/>
        </w:rPr>
        <w:t xml:space="preserve"> </w:t>
      </w:r>
      <w:r>
        <w:t>en</w:t>
      </w:r>
      <w:r>
        <w:rPr>
          <w:spacing w:val="-11"/>
        </w:rPr>
        <w:t xml:space="preserve"> </w:t>
      </w:r>
      <w:r>
        <w:t>el país</w:t>
      </w:r>
      <w:r>
        <w:rPr>
          <w:spacing w:val="29"/>
        </w:rPr>
        <w:t xml:space="preserve"> </w:t>
      </w:r>
      <w:r>
        <w:t>–asociado</w:t>
      </w:r>
      <w:r>
        <w:rPr>
          <w:spacing w:val="31"/>
        </w:rPr>
        <w:t xml:space="preserve"> </w:t>
      </w:r>
      <w:r>
        <w:t>al</w:t>
      </w:r>
      <w:r>
        <w:rPr>
          <w:spacing w:val="33"/>
        </w:rPr>
        <w:t xml:space="preserve"> </w:t>
      </w:r>
      <w:r>
        <w:t>conflicto</w:t>
      </w:r>
      <w:r>
        <w:rPr>
          <w:spacing w:val="31"/>
        </w:rPr>
        <w:t xml:space="preserve"> </w:t>
      </w:r>
      <w:r>
        <w:t>armado–</w:t>
      </w:r>
      <w:r>
        <w:rPr>
          <w:spacing w:val="31"/>
        </w:rPr>
        <w:t xml:space="preserve"> </w:t>
      </w:r>
      <w:r>
        <w:t>favoreció</w:t>
      </w:r>
      <w:r>
        <w:rPr>
          <w:spacing w:val="30"/>
        </w:rPr>
        <w:t xml:space="preserve"> </w:t>
      </w:r>
      <w:r>
        <w:t>en</w:t>
      </w:r>
      <w:r>
        <w:rPr>
          <w:spacing w:val="31"/>
        </w:rPr>
        <w:t xml:space="preserve"> </w:t>
      </w:r>
      <w:r>
        <w:t>muchos</w:t>
      </w:r>
      <w:r>
        <w:rPr>
          <w:spacing w:val="31"/>
        </w:rPr>
        <w:t xml:space="preserve"> </w:t>
      </w:r>
      <w:r>
        <w:t>territorios</w:t>
      </w:r>
      <w:r>
        <w:rPr>
          <w:spacing w:val="31"/>
        </w:rPr>
        <w:t xml:space="preserve"> </w:t>
      </w:r>
      <w:r>
        <w:t>la</w:t>
      </w:r>
      <w:r>
        <w:rPr>
          <w:spacing w:val="32"/>
        </w:rPr>
        <w:t xml:space="preserve"> </w:t>
      </w:r>
      <w:r>
        <w:t>imposición</w:t>
      </w:r>
      <w:r>
        <w:rPr>
          <w:spacing w:val="31"/>
        </w:rPr>
        <w:t xml:space="preserve"> </w:t>
      </w:r>
      <w:r>
        <w:t>de</w:t>
      </w:r>
      <w:r>
        <w:rPr>
          <w:spacing w:val="32"/>
        </w:rPr>
        <w:t xml:space="preserve"> </w:t>
      </w:r>
      <w:r>
        <w:rPr>
          <w:spacing w:val="-5"/>
        </w:rPr>
        <w:t>la</w:t>
      </w:r>
      <w:bookmarkStart w:id="1193" w:name="_bookmark1051"/>
      <w:bookmarkStart w:id="1194" w:name="_bookmark1052"/>
      <w:bookmarkEnd w:id="1193"/>
      <w:bookmarkEnd w:id="1194"/>
      <w:r w:rsidR="002E6DDA">
        <w:t xml:space="preserve"> </w:t>
      </w:r>
      <w:r>
        <w:t>ganadería extensiva, la agroindustria y la minería sobre las tierras planas y más fértiles, en detrimento</w:t>
      </w:r>
      <w:r>
        <w:rPr>
          <w:spacing w:val="-12"/>
        </w:rPr>
        <w:t xml:space="preserve"> </w:t>
      </w:r>
      <w:r>
        <w:t>de</w:t>
      </w:r>
      <w:r>
        <w:rPr>
          <w:spacing w:val="-12"/>
        </w:rPr>
        <w:t xml:space="preserve"> </w:t>
      </w:r>
      <w:r>
        <w:t>la</w:t>
      </w:r>
      <w:r>
        <w:rPr>
          <w:spacing w:val="-12"/>
        </w:rPr>
        <w:t xml:space="preserve"> </w:t>
      </w:r>
      <w:r>
        <w:t>economía</w:t>
      </w:r>
      <w:r>
        <w:rPr>
          <w:spacing w:val="-12"/>
        </w:rPr>
        <w:t xml:space="preserve"> </w:t>
      </w:r>
      <w:r>
        <w:t>étnica</w:t>
      </w:r>
      <w:r>
        <w:rPr>
          <w:spacing w:val="-12"/>
        </w:rPr>
        <w:t xml:space="preserve"> </w:t>
      </w:r>
      <w:r>
        <w:t>y</w:t>
      </w:r>
      <w:r>
        <w:rPr>
          <w:spacing w:val="-12"/>
        </w:rPr>
        <w:t xml:space="preserve"> </w:t>
      </w:r>
      <w:r>
        <w:t>campesina.</w:t>
      </w:r>
      <w:r w:rsidR="002E6DDA">
        <w:rPr>
          <w:rStyle w:val="Refdenotaalpie"/>
        </w:rPr>
        <w:footnoteReference w:id="957"/>
      </w:r>
      <w:r>
        <w:rPr>
          <w:spacing w:val="-12"/>
        </w:rPr>
        <w:t xml:space="preserve"> </w:t>
      </w:r>
      <w:r>
        <w:t>Este</w:t>
      </w:r>
      <w:r>
        <w:rPr>
          <w:spacing w:val="-12"/>
        </w:rPr>
        <w:t xml:space="preserve"> </w:t>
      </w:r>
      <w:r>
        <w:t>modelo</w:t>
      </w:r>
      <w:r>
        <w:rPr>
          <w:spacing w:val="-13"/>
        </w:rPr>
        <w:t xml:space="preserve"> </w:t>
      </w:r>
      <w:r>
        <w:t>dejó</w:t>
      </w:r>
      <w:r>
        <w:rPr>
          <w:spacing w:val="-12"/>
        </w:rPr>
        <w:t xml:space="preserve"> </w:t>
      </w:r>
      <w:r>
        <w:t>por</w:t>
      </w:r>
      <w:r>
        <w:rPr>
          <w:spacing w:val="-12"/>
        </w:rPr>
        <w:t xml:space="preserve"> </w:t>
      </w:r>
      <w:r>
        <w:t>fuera</w:t>
      </w:r>
      <w:r>
        <w:rPr>
          <w:spacing w:val="-12"/>
        </w:rPr>
        <w:t xml:space="preserve"> </w:t>
      </w:r>
      <w:r>
        <w:t>de</w:t>
      </w:r>
      <w:r>
        <w:rPr>
          <w:spacing w:val="-12"/>
        </w:rPr>
        <w:t xml:space="preserve"> </w:t>
      </w:r>
      <w:r>
        <w:t>los</w:t>
      </w:r>
      <w:r>
        <w:rPr>
          <w:spacing w:val="-12"/>
        </w:rPr>
        <w:t xml:space="preserve"> </w:t>
      </w:r>
      <w:r>
        <w:t>procesos de</w:t>
      </w:r>
      <w:r>
        <w:rPr>
          <w:spacing w:val="-2"/>
        </w:rPr>
        <w:t xml:space="preserve"> </w:t>
      </w:r>
      <w:r>
        <w:t>producción</w:t>
      </w:r>
      <w:r>
        <w:rPr>
          <w:spacing w:val="-2"/>
        </w:rPr>
        <w:t xml:space="preserve"> </w:t>
      </w:r>
      <w:r>
        <w:t>y</w:t>
      </w:r>
      <w:r>
        <w:rPr>
          <w:spacing w:val="-2"/>
        </w:rPr>
        <w:t xml:space="preserve"> </w:t>
      </w:r>
      <w:r>
        <w:t>acumulación</w:t>
      </w:r>
      <w:r>
        <w:rPr>
          <w:spacing w:val="-2"/>
        </w:rPr>
        <w:t xml:space="preserve"> </w:t>
      </w:r>
      <w:r>
        <w:t>de</w:t>
      </w:r>
      <w:r>
        <w:rPr>
          <w:spacing w:val="-2"/>
        </w:rPr>
        <w:t xml:space="preserve"> </w:t>
      </w:r>
      <w:r>
        <w:t>riqueza</w:t>
      </w:r>
      <w:r>
        <w:rPr>
          <w:spacing w:val="-2"/>
        </w:rPr>
        <w:t xml:space="preserve"> </w:t>
      </w:r>
      <w:r>
        <w:t>a</w:t>
      </w:r>
      <w:r>
        <w:rPr>
          <w:spacing w:val="-2"/>
        </w:rPr>
        <w:t xml:space="preserve"> </w:t>
      </w:r>
      <w:r>
        <w:t>gran</w:t>
      </w:r>
      <w:r>
        <w:rPr>
          <w:spacing w:val="-2"/>
        </w:rPr>
        <w:t xml:space="preserve"> </w:t>
      </w:r>
      <w:r>
        <w:t>parte</w:t>
      </w:r>
      <w:r>
        <w:rPr>
          <w:spacing w:val="-2"/>
        </w:rPr>
        <w:t xml:space="preserve"> </w:t>
      </w:r>
      <w:r>
        <w:t>de</w:t>
      </w:r>
      <w:r>
        <w:rPr>
          <w:spacing w:val="-2"/>
        </w:rPr>
        <w:t xml:space="preserve"> </w:t>
      </w:r>
      <w:r>
        <w:t>las</w:t>
      </w:r>
      <w:r>
        <w:rPr>
          <w:spacing w:val="-3"/>
        </w:rPr>
        <w:t xml:space="preserve"> </w:t>
      </w:r>
      <w:r>
        <w:t>poblaciones</w:t>
      </w:r>
      <w:r>
        <w:rPr>
          <w:spacing w:val="-2"/>
        </w:rPr>
        <w:t xml:space="preserve"> </w:t>
      </w:r>
      <w:r>
        <w:t>de</w:t>
      </w:r>
      <w:r>
        <w:rPr>
          <w:spacing w:val="-2"/>
        </w:rPr>
        <w:t xml:space="preserve"> </w:t>
      </w:r>
      <w:r>
        <w:t>estos</w:t>
      </w:r>
      <w:r>
        <w:rPr>
          <w:spacing w:val="-2"/>
        </w:rPr>
        <w:t xml:space="preserve"> </w:t>
      </w:r>
      <w:r>
        <w:t>territorios, y las arrojó –tanto en las zonas rurales como urbanas– a la informalidad y/o a integrarse a las</w:t>
      </w:r>
      <w:r>
        <w:rPr>
          <w:spacing w:val="-13"/>
        </w:rPr>
        <w:t xml:space="preserve"> </w:t>
      </w:r>
      <w:r>
        <w:t>economías</w:t>
      </w:r>
      <w:r>
        <w:rPr>
          <w:spacing w:val="-13"/>
        </w:rPr>
        <w:t xml:space="preserve"> </w:t>
      </w:r>
      <w:r>
        <w:t>ilegalizadas,</w:t>
      </w:r>
      <w:r>
        <w:rPr>
          <w:spacing w:val="-13"/>
        </w:rPr>
        <w:t xml:space="preserve"> </w:t>
      </w:r>
      <w:r>
        <w:t>como</w:t>
      </w:r>
      <w:r>
        <w:rPr>
          <w:spacing w:val="-13"/>
        </w:rPr>
        <w:t xml:space="preserve"> </w:t>
      </w:r>
      <w:r>
        <w:t>mecanismo</w:t>
      </w:r>
      <w:r>
        <w:rPr>
          <w:spacing w:val="-13"/>
        </w:rPr>
        <w:t xml:space="preserve"> </w:t>
      </w:r>
      <w:r>
        <w:t>de</w:t>
      </w:r>
      <w:r>
        <w:rPr>
          <w:spacing w:val="-13"/>
        </w:rPr>
        <w:t xml:space="preserve"> </w:t>
      </w:r>
      <w:r>
        <w:t>sobrevivencia</w:t>
      </w:r>
      <w:r>
        <w:rPr>
          <w:spacing w:val="-13"/>
        </w:rPr>
        <w:t xml:space="preserve"> </w:t>
      </w:r>
      <w:r>
        <w:t>y</w:t>
      </w:r>
      <w:r>
        <w:rPr>
          <w:spacing w:val="-13"/>
        </w:rPr>
        <w:t xml:space="preserve"> </w:t>
      </w:r>
      <w:r>
        <w:t>ascenso</w:t>
      </w:r>
      <w:r>
        <w:rPr>
          <w:spacing w:val="-13"/>
        </w:rPr>
        <w:t xml:space="preserve"> </w:t>
      </w:r>
      <w:r>
        <w:t>social.</w:t>
      </w:r>
      <w:r>
        <w:rPr>
          <w:spacing w:val="-13"/>
        </w:rPr>
        <w:t xml:space="preserve"> </w:t>
      </w:r>
      <w:r>
        <w:t>En</w:t>
      </w:r>
      <w:r>
        <w:rPr>
          <w:spacing w:val="-13"/>
        </w:rPr>
        <w:t xml:space="preserve"> </w:t>
      </w:r>
      <w:r>
        <w:t>distintos puntos del país, la producción de</w:t>
      </w:r>
      <w:r>
        <w:rPr>
          <w:spacing w:val="-1"/>
        </w:rPr>
        <w:t xml:space="preserve"> </w:t>
      </w:r>
      <w:r>
        <w:t>hoja de coca se</w:t>
      </w:r>
      <w:r>
        <w:rPr>
          <w:spacing w:val="-1"/>
        </w:rPr>
        <w:t xml:space="preserve"> </w:t>
      </w:r>
      <w:r>
        <w:t>convirtió en</w:t>
      </w:r>
      <w:r>
        <w:rPr>
          <w:spacing w:val="-2"/>
        </w:rPr>
        <w:t xml:space="preserve"> </w:t>
      </w:r>
      <w:r>
        <w:t>la manera</w:t>
      </w:r>
      <w:r>
        <w:rPr>
          <w:spacing w:val="-1"/>
        </w:rPr>
        <w:t xml:space="preserve"> </w:t>
      </w:r>
      <w:r>
        <w:t>en que campesinos y</w:t>
      </w:r>
      <w:r>
        <w:rPr>
          <w:spacing w:val="-5"/>
        </w:rPr>
        <w:t xml:space="preserve"> </w:t>
      </w:r>
      <w:r>
        <w:t>colonos</w:t>
      </w:r>
      <w:r>
        <w:rPr>
          <w:spacing w:val="-4"/>
        </w:rPr>
        <w:t xml:space="preserve"> </w:t>
      </w:r>
      <w:r>
        <w:t>–en</w:t>
      </w:r>
      <w:r>
        <w:rPr>
          <w:spacing w:val="-5"/>
        </w:rPr>
        <w:t xml:space="preserve"> </w:t>
      </w:r>
      <w:r>
        <w:t>condiciones</w:t>
      </w:r>
      <w:r>
        <w:rPr>
          <w:spacing w:val="-4"/>
        </w:rPr>
        <w:t xml:space="preserve"> </w:t>
      </w:r>
      <w:r>
        <w:t>de</w:t>
      </w:r>
      <w:r>
        <w:rPr>
          <w:spacing w:val="-4"/>
        </w:rPr>
        <w:t xml:space="preserve"> </w:t>
      </w:r>
      <w:r>
        <w:t>aislamiento,</w:t>
      </w:r>
      <w:r>
        <w:rPr>
          <w:spacing w:val="-6"/>
        </w:rPr>
        <w:t xml:space="preserve"> </w:t>
      </w:r>
      <w:r>
        <w:t>falta</w:t>
      </w:r>
      <w:r>
        <w:rPr>
          <w:spacing w:val="-4"/>
        </w:rPr>
        <w:t xml:space="preserve"> </w:t>
      </w:r>
      <w:r>
        <w:t>de</w:t>
      </w:r>
      <w:r>
        <w:rPr>
          <w:spacing w:val="-4"/>
        </w:rPr>
        <w:t xml:space="preserve"> </w:t>
      </w:r>
      <w:r>
        <w:t>infraestructura</w:t>
      </w:r>
      <w:r>
        <w:rPr>
          <w:spacing w:val="-4"/>
        </w:rPr>
        <w:t xml:space="preserve"> </w:t>
      </w:r>
      <w:r>
        <w:t>y</w:t>
      </w:r>
      <w:r>
        <w:rPr>
          <w:spacing w:val="-6"/>
        </w:rPr>
        <w:t xml:space="preserve"> </w:t>
      </w:r>
      <w:r>
        <w:t>tierras–</w:t>
      </w:r>
      <w:r>
        <w:rPr>
          <w:spacing w:val="-5"/>
        </w:rPr>
        <w:t xml:space="preserve"> </w:t>
      </w:r>
      <w:r>
        <w:t>pudieron</w:t>
      </w:r>
      <w:r>
        <w:rPr>
          <w:spacing w:val="-6"/>
        </w:rPr>
        <w:t xml:space="preserve"> </w:t>
      </w:r>
      <w:r>
        <w:t>contar con ingresos.</w:t>
      </w:r>
    </w:p>
    <w:p w:rsidR="003804AC" w:rsidRDefault="00AF18A5" w:rsidP="002E6DDA">
      <w:r>
        <w:t>El</w:t>
      </w:r>
      <w:r>
        <w:rPr>
          <w:spacing w:val="-2"/>
        </w:rPr>
        <w:t xml:space="preserve"> </w:t>
      </w:r>
      <w:r>
        <w:t>desplazamiento</w:t>
      </w:r>
      <w:r>
        <w:rPr>
          <w:spacing w:val="-2"/>
        </w:rPr>
        <w:t xml:space="preserve"> </w:t>
      </w:r>
      <w:r>
        <w:t>forzado</w:t>
      </w:r>
      <w:r>
        <w:rPr>
          <w:spacing w:val="-2"/>
        </w:rPr>
        <w:t xml:space="preserve"> </w:t>
      </w:r>
      <w:r>
        <w:t>de</w:t>
      </w:r>
      <w:r>
        <w:rPr>
          <w:spacing w:val="-2"/>
        </w:rPr>
        <w:t xml:space="preserve"> </w:t>
      </w:r>
      <w:r>
        <w:t>una</w:t>
      </w:r>
      <w:r>
        <w:rPr>
          <w:spacing w:val="-3"/>
        </w:rPr>
        <w:t xml:space="preserve"> </w:t>
      </w:r>
      <w:r>
        <w:t>buena</w:t>
      </w:r>
      <w:r>
        <w:rPr>
          <w:spacing w:val="-2"/>
        </w:rPr>
        <w:t xml:space="preserve"> </w:t>
      </w:r>
      <w:r>
        <w:t>parte</w:t>
      </w:r>
      <w:r>
        <w:rPr>
          <w:spacing w:val="-2"/>
        </w:rPr>
        <w:t xml:space="preserve"> </w:t>
      </w:r>
      <w:r>
        <w:t>del</w:t>
      </w:r>
      <w:r>
        <w:rPr>
          <w:spacing w:val="-2"/>
        </w:rPr>
        <w:t xml:space="preserve"> </w:t>
      </w:r>
      <w:r>
        <w:t>campesinado</w:t>
      </w:r>
      <w:r>
        <w:rPr>
          <w:spacing w:val="-2"/>
        </w:rPr>
        <w:t xml:space="preserve"> </w:t>
      </w:r>
      <w:r>
        <w:t>y</w:t>
      </w:r>
      <w:r>
        <w:rPr>
          <w:spacing w:val="-2"/>
        </w:rPr>
        <w:t xml:space="preserve"> </w:t>
      </w:r>
      <w:r>
        <w:t>de</w:t>
      </w:r>
      <w:r>
        <w:rPr>
          <w:spacing w:val="-3"/>
        </w:rPr>
        <w:t xml:space="preserve"> </w:t>
      </w:r>
      <w:r>
        <w:t>los</w:t>
      </w:r>
      <w:r>
        <w:rPr>
          <w:spacing w:val="-3"/>
        </w:rPr>
        <w:t xml:space="preserve"> </w:t>
      </w:r>
      <w:r>
        <w:t>pueblos</w:t>
      </w:r>
      <w:r>
        <w:rPr>
          <w:spacing w:val="-2"/>
        </w:rPr>
        <w:t xml:space="preserve"> </w:t>
      </w:r>
      <w:r>
        <w:t>étnicos, expulsados</w:t>
      </w:r>
      <w:r>
        <w:rPr>
          <w:spacing w:val="-3"/>
        </w:rPr>
        <w:t xml:space="preserve"> </w:t>
      </w:r>
      <w:r>
        <w:t>por</w:t>
      </w:r>
      <w:r>
        <w:rPr>
          <w:spacing w:val="-2"/>
        </w:rPr>
        <w:t xml:space="preserve"> </w:t>
      </w:r>
      <w:r>
        <w:t>terror</w:t>
      </w:r>
      <w:r>
        <w:rPr>
          <w:spacing w:val="-2"/>
        </w:rPr>
        <w:t xml:space="preserve"> </w:t>
      </w:r>
      <w:r>
        <w:t>durante</w:t>
      </w:r>
      <w:r>
        <w:rPr>
          <w:spacing w:val="-2"/>
        </w:rPr>
        <w:t xml:space="preserve"> </w:t>
      </w:r>
      <w:r>
        <w:t>décadas</w:t>
      </w:r>
      <w:r>
        <w:rPr>
          <w:spacing w:val="-2"/>
        </w:rPr>
        <w:t xml:space="preserve"> </w:t>
      </w:r>
      <w:r>
        <w:t>de</w:t>
      </w:r>
      <w:r>
        <w:rPr>
          <w:spacing w:val="-2"/>
        </w:rPr>
        <w:t xml:space="preserve"> </w:t>
      </w:r>
      <w:r>
        <w:t>conflicto,</w:t>
      </w:r>
      <w:r>
        <w:rPr>
          <w:spacing w:val="-2"/>
        </w:rPr>
        <w:t xml:space="preserve"> </w:t>
      </w:r>
      <w:r>
        <w:t>pasó</w:t>
      </w:r>
      <w:r>
        <w:rPr>
          <w:spacing w:val="-2"/>
        </w:rPr>
        <w:t xml:space="preserve"> </w:t>
      </w:r>
      <w:r>
        <w:t>de</w:t>
      </w:r>
      <w:r>
        <w:rPr>
          <w:spacing w:val="-2"/>
        </w:rPr>
        <w:t xml:space="preserve"> </w:t>
      </w:r>
      <w:r>
        <w:t>la</w:t>
      </w:r>
      <w:r>
        <w:rPr>
          <w:spacing w:val="-3"/>
        </w:rPr>
        <w:t xml:space="preserve"> </w:t>
      </w:r>
      <w:r>
        <w:t>colonización</w:t>
      </w:r>
      <w:r>
        <w:rPr>
          <w:spacing w:val="-2"/>
        </w:rPr>
        <w:t xml:space="preserve"> </w:t>
      </w:r>
      <w:r>
        <w:t>rural</w:t>
      </w:r>
      <w:r>
        <w:rPr>
          <w:spacing w:val="-2"/>
        </w:rPr>
        <w:t xml:space="preserve"> </w:t>
      </w:r>
      <w:r>
        <w:t>a</w:t>
      </w:r>
      <w:r>
        <w:rPr>
          <w:spacing w:val="-2"/>
        </w:rPr>
        <w:t xml:space="preserve"> </w:t>
      </w:r>
      <w:r>
        <w:t>procesos de colonización de ciudades populares, ciudades receptoras, ciudades refugio</w:t>
      </w:r>
      <w:r w:rsidR="002E6DDA">
        <w:rPr>
          <w:rStyle w:val="Refdenotaalpie"/>
        </w:rPr>
        <w:footnoteReference w:id="958"/>
      </w:r>
      <w:r>
        <w:t>; lugares donde</w:t>
      </w:r>
      <w:r>
        <w:rPr>
          <w:spacing w:val="-9"/>
        </w:rPr>
        <w:t xml:space="preserve"> </w:t>
      </w:r>
      <w:r>
        <w:t>la</w:t>
      </w:r>
      <w:r>
        <w:rPr>
          <w:spacing w:val="-9"/>
        </w:rPr>
        <w:t xml:space="preserve"> </w:t>
      </w:r>
      <w:r>
        <w:t>pobreza</w:t>
      </w:r>
      <w:r>
        <w:rPr>
          <w:spacing w:val="-9"/>
        </w:rPr>
        <w:t xml:space="preserve"> </w:t>
      </w:r>
      <w:r>
        <w:t>y</w:t>
      </w:r>
      <w:r>
        <w:rPr>
          <w:spacing w:val="-11"/>
        </w:rPr>
        <w:t xml:space="preserve"> </w:t>
      </w:r>
      <w:r>
        <w:t>las</w:t>
      </w:r>
      <w:r>
        <w:rPr>
          <w:spacing w:val="-10"/>
        </w:rPr>
        <w:t xml:space="preserve"> </w:t>
      </w:r>
      <w:r>
        <w:t>constantes</w:t>
      </w:r>
      <w:r>
        <w:rPr>
          <w:spacing w:val="-9"/>
        </w:rPr>
        <w:t xml:space="preserve"> </w:t>
      </w:r>
      <w:r>
        <w:t>tensiones</w:t>
      </w:r>
      <w:r>
        <w:rPr>
          <w:spacing w:val="-9"/>
        </w:rPr>
        <w:t xml:space="preserve"> </w:t>
      </w:r>
      <w:r>
        <w:t>y</w:t>
      </w:r>
      <w:r>
        <w:rPr>
          <w:spacing w:val="-9"/>
        </w:rPr>
        <w:t xml:space="preserve"> </w:t>
      </w:r>
      <w:r>
        <w:t>disputas</w:t>
      </w:r>
      <w:r>
        <w:rPr>
          <w:spacing w:val="-9"/>
        </w:rPr>
        <w:t xml:space="preserve"> </w:t>
      </w:r>
      <w:r>
        <w:t>por</w:t>
      </w:r>
      <w:r>
        <w:rPr>
          <w:spacing w:val="-10"/>
        </w:rPr>
        <w:t xml:space="preserve"> </w:t>
      </w:r>
      <w:r>
        <w:t>servicios,</w:t>
      </w:r>
      <w:r>
        <w:rPr>
          <w:spacing w:val="-11"/>
        </w:rPr>
        <w:t xml:space="preserve"> </w:t>
      </w:r>
      <w:r>
        <w:t>equipamientos</w:t>
      </w:r>
      <w:r>
        <w:rPr>
          <w:spacing w:val="-9"/>
        </w:rPr>
        <w:t xml:space="preserve"> </w:t>
      </w:r>
      <w:r>
        <w:t>y</w:t>
      </w:r>
      <w:r>
        <w:rPr>
          <w:spacing w:val="-9"/>
        </w:rPr>
        <w:t xml:space="preserve"> </w:t>
      </w:r>
      <w:r>
        <w:t>acceso a derechos ciudadanos siguen limitando la transformación y mejoría de las condiciones de vida tanto de las víctimas desplazadas como de las poblaciones receptoras.</w:t>
      </w:r>
    </w:p>
    <w:p w:rsidR="003804AC" w:rsidRDefault="00AF18A5" w:rsidP="002E6DDA">
      <w:r>
        <w:t xml:space="preserve">El conflicto armado también transformó la distribución del poder en las </w:t>
      </w:r>
      <w:r>
        <w:lastRenderedPageBreak/>
        <w:t>regiones. Los órdenes sociales violentos que impusieron las guerrillas y especialmente los paramilitares, no solo facilitaban el ataque, la expropiación y humillación de quienes consideraban adversarios, sino que también lograron cooptar las instituciones del Estado, los recursos y bienes públicos, impusieron regímenes normativos paralelos, reglamentos de conductas individuales y colectivas, consolidaron o impusieron liderazgos políticos y económicos de sectores y militarizaron y controlaron la vida cotidiana. Dichas imposiciones de órdenes territoriales violentos permearon la institucionalidad territorial con tres objetivos: 1) sumar las</w:t>
      </w:r>
      <w:r>
        <w:rPr>
          <w:spacing w:val="5"/>
        </w:rPr>
        <w:t xml:space="preserve"> </w:t>
      </w:r>
      <w:r>
        <w:t>élites</w:t>
      </w:r>
      <w:r>
        <w:rPr>
          <w:spacing w:val="8"/>
        </w:rPr>
        <w:t xml:space="preserve"> </w:t>
      </w:r>
      <w:r>
        <w:t>locales</w:t>
      </w:r>
      <w:r>
        <w:rPr>
          <w:spacing w:val="8"/>
        </w:rPr>
        <w:t xml:space="preserve"> </w:t>
      </w:r>
      <w:r>
        <w:t>como</w:t>
      </w:r>
      <w:r>
        <w:rPr>
          <w:spacing w:val="7"/>
        </w:rPr>
        <w:t xml:space="preserve"> </w:t>
      </w:r>
      <w:r>
        <w:t>aliadas</w:t>
      </w:r>
      <w:r>
        <w:rPr>
          <w:spacing w:val="8"/>
        </w:rPr>
        <w:t xml:space="preserve"> </w:t>
      </w:r>
      <w:r>
        <w:t>estratégicas;</w:t>
      </w:r>
      <w:r>
        <w:rPr>
          <w:spacing w:val="9"/>
        </w:rPr>
        <w:t xml:space="preserve"> </w:t>
      </w:r>
      <w:r>
        <w:t>2)</w:t>
      </w:r>
      <w:r>
        <w:rPr>
          <w:spacing w:val="9"/>
        </w:rPr>
        <w:t xml:space="preserve"> </w:t>
      </w:r>
      <w:r>
        <w:t>ampliar</w:t>
      </w:r>
      <w:r>
        <w:rPr>
          <w:spacing w:val="8"/>
        </w:rPr>
        <w:t xml:space="preserve"> </w:t>
      </w:r>
      <w:r>
        <w:t>la</w:t>
      </w:r>
      <w:r>
        <w:rPr>
          <w:spacing w:val="8"/>
        </w:rPr>
        <w:t xml:space="preserve"> </w:t>
      </w:r>
      <w:r>
        <w:t>captura</w:t>
      </w:r>
      <w:r>
        <w:rPr>
          <w:spacing w:val="8"/>
        </w:rPr>
        <w:t xml:space="preserve"> </w:t>
      </w:r>
      <w:r>
        <w:t>de</w:t>
      </w:r>
      <w:r>
        <w:rPr>
          <w:spacing w:val="7"/>
        </w:rPr>
        <w:t xml:space="preserve"> </w:t>
      </w:r>
      <w:r>
        <w:t>rentas;</w:t>
      </w:r>
      <w:r>
        <w:rPr>
          <w:spacing w:val="9"/>
        </w:rPr>
        <w:t xml:space="preserve"> </w:t>
      </w:r>
      <w:r>
        <w:t>y</w:t>
      </w:r>
      <w:r>
        <w:rPr>
          <w:spacing w:val="8"/>
        </w:rPr>
        <w:t xml:space="preserve"> </w:t>
      </w:r>
      <w:r>
        <w:t>3)</w:t>
      </w:r>
      <w:r>
        <w:rPr>
          <w:spacing w:val="9"/>
        </w:rPr>
        <w:t xml:space="preserve"> </w:t>
      </w:r>
      <w:r>
        <w:rPr>
          <w:spacing w:val="-2"/>
        </w:rPr>
        <w:t>formalizar</w:t>
      </w:r>
      <w:bookmarkStart w:id="1195" w:name="_bookmark1053"/>
      <w:bookmarkEnd w:id="1195"/>
      <w:r w:rsidR="002E6DDA">
        <w:t xml:space="preserve"> </w:t>
      </w:r>
      <w:r>
        <w:t>un orden social derivado del control territorial. Por supuesto, las élites locales que participaron de estos órdenes (tradicionales o emergentes) no entraron a las alianzas como simples subordinadas, sino que pretendieron desarrollar sus propios objetivos estratégicos de mantenimiento y consolidación de su poder político y económico.</w:t>
      </w:r>
    </w:p>
    <w:p w:rsidR="003804AC" w:rsidRDefault="00AF18A5" w:rsidP="002E6DDA">
      <w:r>
        <w:t>Producto de estas transformaciones, en muchos territorios organizaciones sociales y políticas de oposición, los pueblos étnicos, y especialmente los campesinos, han sido víctimas también de la subrepresentación política. Durante el conflicto armado, los campesinos</w:t>
      </w:r>
      <w:r>
        <w:rPr>
          <w:spacing w:val="-7"/>
        </w:rPr>
        <w:t xml:space="preserve"> </w:t>
      </w:r>
      <w:r>
        <w:t>y</w:t>
      </w:r>
      <w:r>
        <w:rPr>
          <w:spacing w:val="-6"/>
        </w:rPr>
        <w:t xml:space="preserve"> </w:t>
      </w:r>
      <w:r>
        <w:t>campesinas</w:t>
      </w:r>
      <w:r>
        <w:rPr>
          <w:spacing w:val="-6"/>
        </w:rPr>
        <w:t xml:space="preserve"> </w:t>
      </w:r>
      <w:r>
        <w:t>cayeron</w:t>
      </w:r>
      <w:r>
        <w:rPr>
          <w:spacing w:val="-6"/>
        </w:rPr>
        <w:t xml:space="preserve"> </w:t>
      </w:r>
      <w:r>
        <w:t>víctimas</w:t>
      </w:r>
      <w:r>
        <w:rPr>
          <w:spacing w:val="-6"/>
        </w:rPr>
        <w:t xml:space="preserve"> </w:t>
      </w:r>
      <w:r>
        <w:t>de</w:t>
      </w:r>
      <w:r>
        <w:rPr>
          <w:spacing w:val="-7"/>
        </w:rPr>
        <w:t xml:space="preserve"> </w:t>
      </w:r>
      <w:r>
        <w:t>las</w:t>
      </w:r>
      <w:r>
        <w:rPr>
          <w:spacing w:val="-6"/>
        </w:rPr>
        <w:t xml:space="preserve"> </w:t>
      </w:r>
      <w:r>
        <w:t>balas</w:t>
      </w:r>
      <w:r>
        <w:rPr>
          <w:spacing w:val="-6"/>
        </w:rPr>
        <w:t xml:space="preserve"> </w:t>
      </w:r>
      <w:r>
        <w:t>y</w:t>
      </w:r>
      <w:r>
        <w:rPr>
          <w:spacing w:val="-7"/>
        </w:rPr>
        <w:t xml:space="preserve"> </w:t>
      </w:r>
      <w:r>
        <w:t>las</w:t>
      </w:r>
      <w:r>
        <w:rPr>
          <w:spacing w:val="-8"/>
        </w:rPr>
        <w:t xml:space="preserve"> </w:t>
      </w:r>
      <w:r>
        <w:t>bombas</w:t>
      </w:r>
      <w:r>
        <w:rPr>
          <w:spacing w:val="-6"/>
        </w:rPr>
        <w:t xml:space="preserve"> </w:t>
      </w:r>
      <w:r>
        <w:t>arrojadas</w:t>
      </w:r>
      <w:r>
        <w:rPr>
          <w:spacing w:val="-6"/>
        </w:rPr>
        <w:t xml:space="preserve"> </w:t>
      </w:r>
      <w:r>
        <w:t>por</w:t>
      </w:r>
      <w:r>
        <w:rPr>
          <w:spacing w:val="-6"/>
        </w:rPr>
        <w:t xml:space="preserve"> </w:t>
      </w:r>
      <w:r>
        <w:t>la</w:t>
      </w:r>
      <w:r>
        <w:rPr>
          <w:spacing w:val="-7"/>
        </w:rPr>
        <w:t xml:space="preserve"> </w:t>
      </w:r>
      <w:r>
        <w:t>fuerza pública en operaciones militares contra el narcotráfico y contra las insurgencias y también murieron por los cilindros-bomba, las balas y los tatucos de la guerrilla en sus ataques a infraestructuras</w:t>
      </w:r>
      <w:r>
        <w:rPr>
          <w:spacing w:val="-13"/>
        </w:rPr>
        <w:t xml:space="preserve"> </w:t>
      </w:r>
      <w:r>
        <w:t>y</w:t>
      </w:r>
      <w:r>
        <w:rPr>
          <w:spacing w:val="-13"/>
        </w:rPr>
        <w:t xml:space="preserve"> </w:t>
      </w:r>
      <w:r>
        <w:t>cuarteles,</w:t>
      </w:r>
      <w:r>
        <w:rPr>
          <w:spacing w:val="-13"/>
        </w:rPr>
        <w:t xml:space="preserve"> </w:t>
      </w:r>
      <w:r>
        <w:t>en</w:t>
      </w:r>
      <w:r>
        <w:rPr>
          <w:spacing w:val="-13"/>
        </w:rPr>
        <w:t xml:space="preserve"> </w:t>
      </w:r>
      <w:r>
        <w:t>procesos</w:t>
      </w:r>
      <w:r>
        <w:rPr>
          <w:spacing w:val="-13"/>
        </w:rPr>
        <w:t xml:space="preserve"> </w:t>
      </w:r>
      <w:r>
        <w:t>de</w:t>
      </w:r>
      <w:r>
        <w:rPr>
          <w:spacing w:val="-13"/>
        </w:rPr>
        <w:t xml:space="preserve"> </w:t>
      </w:r>
      <w:r>
        <w:t>expansión</w:t>
      </w:r>
      <w:r>
        <w:rPr>
          <w:spacing w:val="-13"/>
        </w:rPr>
        <w:t xml:space="preserve"> </w:t>
      </w:r>
      <w:r>
        <w:t>y</w:t>
      </w:r>
      <w:r>
        <w:rPr>
          <w:spacing w:val="-13"/>
        </w:rPr>
        <w:t xml:space="preserve"> </w:t>
      </w:r>
      <w:r>
        <w:t>control</w:t>
      </w:r>
      <w:r>
        <w:rPr>
          <w:spacing w:val="-13"/>
        </w:rPr>
        <w:t xml:space="preserve"> </w:t>
      </w:r>
      <w:r>
        <w:t>territorial.</w:t>
      </w:r>
      <w:r>
        <w:rPr>
          <w:spacing w:val="-13"/>
        </w:rPr>
        <w:t xml:space="preserve"> </w:t>
      </w:r>
      <w:r>
        <w:t>Y</w:t>
      </w:r>
      <w:r>
        <w:rPr>
          <w:spacing w:val="-13"/>
        </w:rPr>
        <w:t xml:space="preserve"> </w:t>
      </w:r>
      <w:r>
        <w:t>fueron</w:t>
      </w:r>
      <w:r>
        <w:rPr>
          <w:spacing w:val="-13"/>
        </w:rPr>
        <w:t xml:space="preserve"> </w:t>
      </w:r>
      <w:r>
        <w:t>también, por supuesto, víctimas de atrocidades y masacres paramilitares. Los avances de la lucha campesina por la reforma agraria en el siglo XX fueron revertidos en una contrarreforma agraria</w:t>
      </w:r>
      <w:r>
        <w:rPr>
          <w:spacing w:val="-8"/>
        </w:rPr>
        <w:t xml:space="preserve"> </w:t>
      </w:r>
      <w:r>
        <w:t>violenta</w:t>
      </w:r>
      <w:r>
        <w:rPr>
          <w:spacing w:val="-8"/>
        </w:rPr>
        <w:t xml:space="preserve"> </w:t>
      </w:r>
      <w:r>
        <w:t>a</w:t>
      </w:r>
      <w:r>
        <w:rPr>
          <w:spacing w:val="-8"/>
        </w:rPr>
        <w:t xml:space="preserve"> </w:t>
      </w:r>
      <w:r>
        <w:t>principios</w:t>
      </w:r>
      <w:r>
        <w:rPr>
          <w:spacing w:val="-8"/>
        </w:rPr>
        <w:t xml:space="preserve"> </w:t>
      </w:r>
      <w:r>
        <w:t>del</w:t>
      </w:r>
      <w:r>
        <w:rPr>
          <w:spacing w:val="-8"/>
        </w:rPr>
        <w:t xml:space="preserve"> </w:t>
      </w:r>
      <w:r>
        <w:lastRenderedPageBreak/>
        <w:t>siglo</w:t>
      </w:r>
      <w:r>
        <w:rPr>
          <w:spacing w:val="-8"/>
        </w:rPr>
        <w:t xml:space="preserve"> </w:t>
      </w:r>
      <w:r>
        <w:t>XXI.</w:t>
      </w:r>
      <w:r>
        <w:rPr>
          <w:spacing w:val="-8"/>
        </w:rPr>
        <w:t xml:space="preserve"> </w:t>
      </w:r>
      <w:r>
        <w:t>El</w:t>
      </w:r>
      <w:r>
        <w:rPr>
          <w:spacing w:val="-8"/>
        </w:rPr>
        <w:t xml:space="preserve"> </w:t>
      </w:r>
      <w:r>
        <w:t>campesinado</w:t>
      </w:r>
      <w:r>
        <w:rPr>
          <w:spacing w:val="-8"/>
        </w:rPr>
        <w:t xml:space="preserve"> </w:t>
      </w:r>
      <w:r>
        <w:t>fue</w:t>
      </w:r>
      <w:r>
        <w:rPr>
          <w:spacing w:val="-9"/>
        </w:rPr>
        <w:t xml:space="preserve"> </w:t>
      </w:r>
      <w:r>
        <w:t>perseguido,</w:t>
      </w:r>
      <w:r>
        <w:rPr>
          <w:spacing w:val="-9"/>
        </w:rPr>
        <w:t xml:space="preserve"> </w:t>
      </w:r>
      <w:r>
        <w:t>marginalizado</w:t>
      </w:r>
      <w:r>
        <w:rPr>
          <w:spacing w:val="-8"/>
        </w:rPr>
        <w:t xml:space="preserve"> </w:t>
      </w:r>
      <w:r>
        <w:t xml:space="preserve">y </w:t>
      </w:r>
      <w:r>
        <w:rPr>
          <w:spacing w:val="-2"/>
        </w:rPr>
        <w:t>estigmatizado.</w:t>
      </w:r>
    </w:p>
    <w:p w:rsidR="003804AC" w:rsidRDefault="00AF18A5" w:rsidP="002E6DDA">
      <w:r>
        <w:t>En los territorios coexisten objetos materiales, acciones sociales y representaciones simbólicas de diferentes épocas desde las que se construyen narrativas sobre el pasado y el presente.</w:t>
      </w:r>
      <w:r>
        <w:rPr>
          <w:spacing w:val="-3"/>
        </w:rPr>
        <w:t xml:space="preserve"> </w:t>
      </w:r>
      <w:r>
        <w:t>A</w:t>
      </w:r>
      <w:r>
        <w:rPr>
          <w:spacing w:val="-4"/>
        </w:rPr>
        <w:t xml:space="preserve"> </w:t>
      </w:r>
      <w:r>
        <w:t>través</w:t>
      </w:r>
      <w:r>
        <w:rPr>
          <w:spacing w:val="-3"/>
        </w:rPr>
        <w:t xml:space="preserve"> </w:t>
      </w:r>
      <w:r>
        <w:t>de</w:t>
      </w:r>
      <w:r>
        <w:rPr>
          <w:spacing w:val="-3"/>
        </w:rPr>
        <w:t xml:space="preserve"> </w:t>
      </w:r>
      <w:r>
        <w:t>estas</w:t>
      </w:r>
      <w:r>
        <w:rPr>
          <w:spacing w:val="-3"/>
        </w:rPr>
        <w:t xml:space="preserve"> </w:t>
      </w:r>
      <w:r>
        <w:t>narrativas,</w:t>
      </w:r>
      <w:r>
        <w:rPr>
          <w:spacing w:val="-5"/>
        </w:rPr>
        <w:t xml:space="preserve"> </w:t>
      </w:r>
      <w:r>
        <w:t>–producto</w:t>
      </w:r>
      <w:r>
        <w:rPr>
          <w:spacing w:val="-3"/>
        </w:rPr>
        <w:t xml:space="preserve"> </w:t>
      </w:r>
      <w:r>
        <w:t>de</w:t>
      </w:r>
      <w:r>
        <w:rPr>
          <w:spacing w:val="-3"/>
        </w:rPr>
        <w:t xml:space="preserve"> </w:t>
      </w:r>
      <w:r>
        <w:t>la</w:t>
      </w:r>
      <w:r>
        <w:rPr>
          <w:spacing w:val="-4"/>
        </w:rPr>
        <w:t xml:space="preserve"> </w:t>
      </w:r>
      <w:r>
        <w:t>experiencia</w:t>
      </w:r>
      <w:r>
        <w:rPr>
          <w:spacing w:val="-3"/>
        </w:rPr>
        <w:t xml:space="preserve"> </w:t>
      </w:r>
      <w:r>
        <w:t>del</w:t>
      </w:r>
      <w:r>
        <w:rPr>
          <w:spacing w:val="-3"/>
        </w:rPr>
        <w:t xml:space="preserve"> </w:t>
      </w:r>
      <w:r>
        <w:t>espacio–</w:t>
      </w:r>
      <w:r>
        <w:rPr>
          <w:spacing w:val="-3"/>
        </w:rPr>
        <w:t xml:space="preserve"> </w:t>
      </w:r>
      <w:r>
        <w:t>las</w:t>
      </w:r>
      <w:r>
        <w:rPr>
          <w:spacing w:val="-3"/>
        </w:rPr>
        <w:t xml:space="preserve"> </w:t>
      </w:r>
      <w:r>
        <w:t>personas y comunidades interiorizan el territorio como referencia simbólica en su propio sistema cultural, incluso lo recrean en lugares de migración, apelando a la memoria histórica y geográfica,</w:t>
      </w:r>
      <w:r>
        <w:rPr>
          <w:spacing w:val="-1"/>
        </w:rPr>
        <w:t xml:space="preserve"> </w:t>
      </w:r>
      <w:r>
        <w:t>los</w:t>
      </w:r>
      <w:r>
        <w:rPr>
          <w:spacing w:val="-1"/>
        </w:rPr>
        <w:t xml:space="preserve"> </w:t>
      </w:r>
      <w:r>
        <w:t>recuerdos</w:t>
      </w:r>
      <w:r>
        <w:rPr>
          <w:spacing w:val="-2"/>
        </w:rPr>
        <w:t xml:space="preserve"> </w:t>
      </w:r>
      <w:r>
        <w:t>e</w:t>
      </w:r>
      <w:r>
        <w:rPr>
          <w:spacing w:val="-1"/>
        </w:rPr>
        <w:t xml:space="preserve"> </w:t>
      </w:r>
      <w:r>
        <w:t>incluso</w:t>
      </w:r>
      <w:r>
        <w:rPr>
          <w:spacing w:val="-1"/>
        </w:rPr>
        <w:t xml:space="preserve"> </w:t>
      </w:r>
      <w:r>
        <w:t>la</w:t>
      </w:r>
      <w:r>
        <w:rPr>
          <w:spacing w:val="-2"/>
        </w:rPr>
        <w:t xml:space="preserve"> </w:t>
      </w:r>
      <w:r>
        <w:t>nostalgia.</w:t>
      </w:r>
      <w:r>
        <w:rPr>
          <w:spacing w:val="-1"/>
        </w:rPr>
        <w:t xml:space="preserve"> </w:t>
      </w:r>
      <w:r>
        <w:t>Todo</w:t>
      </w:r>
      <w:r>
        <w:rPr>
          <w:spacing w:val="-1"/>
        </w:rPr>
        <w:t xml:space="preserve"> </w:t>
      </w:r>
      <w:r>
        <w:t>lugar</w:t>
      </w:r>
      <w:r>
        <w:rPr>
          <w:spacing w:val="-1"/>
        </w:rPr>
        <w:t xml:space="preserve"> </w:t>
      </w:r>
      <w:r>
        <w:t>crea</w:t>
      </w:r>
      <w:r>
        <w:rPr>
          <w:spacing w:val="-1"/>
        </w:rPr>
        <w:t xml:space="preserve"> </w:t>
      </w:r>
      <w:r>
        <w:t>imágenes</w:t>
      </w:r>
      <w:r>
        <w:rPr>
          <w:spacing w:val="-2"/>
        </w:rPr>
        <w:t xml:space="preserve"> </w:t>
      </w:r>
      <w:r>
        <w:t>o</w:t>
      </w:r>
      <w:r>
        <w:rPr>
          <w:spacing w:val="-1"/>
        </w:rPr>
        <w:t xml:space="preserve"> </w:t>
      </w:r>
      <w:r>
        <w:t>significados</w:t>
      </w:r>
      <w:r>
        <w:rPr>
          <w:spacing w:val="-1"/>
        </w:rPr>
        <w:t xml:space="preserve"> </w:t>
      </w:r>
      <w:r>
        <w:t>en quienes lo habitan, y dichas representaciones pasan a formar parte de la memoria colectiva y</w:t>
      </w:r>
      <w:r>
        <w:rPr>
          <w:spacing w:val="-12"/>
        </w:rPr>
        <w:t xml:space="preserve"> </w:t>
      </w:r>
      <w:r>
        <w:t>de</w:t>
      </w:r>
      <w:r>
        <w:rPr>
          <w:spacing w:val="-12"/>
        </w:rPr>
        <w:t xml:space="preserve"> </w:t>
      </w:r>
      <w:r>
        <w:t>las</w:t>
      </w:r>
      <w:r>
        <w:rPr>
          <w:spacing w:val="-12"/>
        </w:rPr>
        <w:t xml:space="preserve"> </w:t>
      </w:r>
      <w:r>
        <w:t>identidades.</w:t>
      </w:r>
      <w:r>
        <w:rPr>
          <w:spacing w:val="-12"/>
        </w:rPr>
        <w:t xml:space="preserve"> </w:t>
      </w:r>
      <w:r>
        <w:t>Por</w:t>
      </w:r>
      <w:r>
        <w:rPr>
          <w:spacing w:val="-12"/>
        </w:rPr>
        <w:t xml:space="preserve"> </w:t>
      </w:r>
      <w:r>
        <w:t>eso</w:t>
      </w:r>
      <w:r>
        <w:rPr>
          <w:spacing w:val="-12"/>
        </w:rPr>
        <w:t xml:space="preserve"> </w:t>
      </w:r>
      <w:r>
        <w:t>los</w:t>
      </w:r>
      <w:r>
        <w:rPr>
          <w:spacing w:val="-12"/>
        </w:rPr>
        <w:t xml:space="preserve"> </w:t>
      </w:r>
      <w:r>
        <w:t>territorios,</w:t>
      </w:r>
      <w:r>
        <w:rPr>
          <w:spacing w:val="-12"/>
        </w:rPr>
        <w:t xml:space="preserve"> </w:t>
      </w:r>
      <w:r>
        <w:t>compendios</w:t>
      </w:r>
      <w:r>
        <w:rPr>
          <w:spacing w:val="-12"/>
        </w:rPr>
        <w:t xml:space="preserve"> </w:t>
      </w:r>
      <w:r>
        <w:t>de</w:t>
      </w:r>
      <w:r>
        <w:rPr>
          <w:spacing w:val="-12"/>
        </w:rPr>
        <w:t xml:space="preserve"> </w:t>
      </w:r>
      <w:r>
        <w:t>diversos</w:t>
      </w:r>
      <w:r>
        <w:rPr>
          <w:spacing w:val="-12"/>
        </w:rPr>
        <w:t xml:space="preserve"> </w:t>
      </w:r>
      <w:r>
        <w:t>lugares,</w:t>
      </w:r>
      <w:r>
        <w:rPr>
          <w:spacing w:val="-12"/>
        </w:rPr>
        <w:t xml:space="preserve"> </w:t>
      </w:r>
      <w:r>
        <w:t>son</w:t>
      </w:r>
      <w:r>
        <w:rPr>
          <w:spacing w:val="-12"/>
        </w:rPr>
        <w:t xml:space="preserve"> </w:t>
      </w:r>
      <w:r>
        <w:t>depositarios de memorias que confieren sentimientos de arraigo y pertenencia a sus pobladores.</w:t>
      </w:r>
      <w:r>
        <w:rPr>
          <w:spacing w:val="-3"/>
        </w:rPr>
        <w:t xml:space="preserve"> </w:t>
      </w:r>
      <w:r>
        <w:t>La identidad campesina no se refiere únicamente a una relación</w:t>
      </w:r>
      <w:r>
        <w:rPr>
          <w:spacing w:val="-1"/>
        </w:rPr>
        <w:t xml:space="preserve"> </w:t>
      </w:r>
      <w:r>
        <w:t>productiva con la tierra,</w:t>
      </w:r>
      <w:r>
        <w:rPr>
          <w:spacing w:val="-1"/>
        </w:rPr>
        <w:t xml:space="preserve"> </w:t>
      </w:r>
      <w:r>
        <w:t>sino a una cosmovisión y forma de vida, a un “ser” y no solo a un “tener”. Esas dimensiones subjetivas</w:t>
      </w:r>
      <w:r>
        <w:rPr>
          <w:spacing w:val="-4"/>
        </w:rPr>
        <w:t xml:space="preserve"> </w:t>
      </w:r>
      <w:r>
        <w:t>de</w:t>
      </w:r>
      <w:r>
        <w:rPr>
          <w:spacing w:val="-4"/>
        </w:rPr>
        <w:t xml:space="preserve"> </w:t>
      </w:r>
      <w:r>
        <w:t>los</w:t>
      </w:r>
      <w:r>
        <w:rPr>
          <w:spacing w:val="-6"/>
        </w:rPr>
        <w:t xml:space="preserve"> </w:t>
      </w:r>
      <w:r>
        <w:t>territorios</w:t>
      </w:r>
      <w:r>
        <w:rPr>
          <w:spacing w:val="-4"/>
        </w:rPr>
        <w:t xml:space="preserve"> </w:t>
      </w:r>
      <w:r>
        <w:t>también</w:t>
      </w:r>
      <w:r>
        <w:rPr>
          <w:spacing w:val="-6"/>
        </w:rPr>
        <w:t xml:space="preserve"> </w:t>
      </w:r>
      <w:r>
        <w:t>son</w:t>
      </w:r>
      <w:r>
        <w:rPr>
          <w:spacing w:val="-5"/>
        </w:rPr>
        <w:t xml:space="preserve"> </w:t>
      </w:r>
      <w:r>
        <w:t>transformadas</w:t>
      </w:r>
      <w:r>
        <w:rPr>
          <w:spacing w:val="-4"/>
        </w:rPr>
        <w:t xml:space="preserve"> </w:t>
      </w:r>
      <w:r>
        <w:t>por</w:t>
      </w:r>
      <w:r>
        <w:rPr>
          <w:spacing w:val="-5"/>
        </w:rPr>
        <w:t xml:space="preserve"> </w:t>
      </w:r>
      <w:r>
        <w:t>la</w:t>
      </w:r>
      <w:r>
        <w:rPr>
          <w:spacing w:val="-6"/>
        </w:rPr>
        <w:t xml:space="preserve"> </w:t>
      </w:r>
      <w:r>
        <w:t>guerra.</w:t>
      </w:r>
      <w:r>
        <w:rPr>
          <w:spacing w:val="-5"/>
        </w:rPr>
        <w:t xml:space="preserve"> </w:t>
      </w:r>
      <w:r>
        <w:t>La</w:t>
      </w:r>
      <w:r>
        <w:rPr>
          <w:spacing w:val="-6"/>
        </w:rPr>
        <w:t xml:space="preserve"> </w:t>
      </w:r>
      <w:r>
        <w:t>identidad</w:t>
      </w:r>
      <w:r>
        <w:rPr>
          <w:spacing w:val="-6"/>
        </w:rPr>
        <w:t xml:space="preserve"> </w:t>
      </w:r>
      <w:r>
        <w:t>territorial se desplaza al mismo tiempo que se desplazan las personas y comunidades, y el despojo de tierra</w:t>
      </w:r>
      <w:r>
        <w:rPr>
          <w:spacing w:val="4"/>
        </w:rPr>
        <w:t xml:space="preserve"> </w:t>
      </w:r>
      <w:r>
        <w:t>conlleva</w:t>
      </w:r>
      <w:r>
        <w:rPr>
          <w:spacing w:val="7"/>
        </w:rPr>
        <w:t xml:space="preserve"> </w:t>
      </w:r>
      <w:r>
        <w:t>en</w:t>
      </w:r>
      <w:r>
        <w:rPr>
          <w:spacing w:val="7"/>
        </w:rPr>
        <w:t xml:space="preserve"> </w:t>
      </w:r>
      <w:r>
        <w:t>realidad</w:t>
      </w:r>
      <w:r>
        <w:rPr>
          <w:spacing w:val="7"/>
        </w:rPr>
        <w:t xml:space="preserve"> </w:t>
      </w:r>
      <w:r>
        <w:t>múltiples</w:t>
      </w:r>
      <w:r>
        <w:rPr>
          <w:spacing w:val="6"/>
        </w:rPr>
        <w:t xml:space="preserve"> </w:t>
      </w:r>
      <w:r>
        <w:t>despojos</w:t>
      </w:r>
      <w:r>
        <w:rPr>
          <w:spacing w:val="7"/>
        </w:rPr>
        <w:t xml:space="preserve"> </w:t>
      </w:r>
      <w:r>
        <w:t>y</w:t>
      </w:r>
      <w:r>
        <w:rPr>
          <w:spacing w:val="5"/>
        </w:rPr>
        <w:t xml:space="preserve"> </w:t>
      </w:r>
      <w:r>
        <w:t>rupturas</w:t>
      </w:r>
      <w:r>
        <w:rPr>
          <w:spacing w:val="7"/>
        </w:rPr>
        <w:t xml:space="preserve"> </w:t>
      </w:r>
      <w:r>
        <w:t>en</w:t>
      </w:r>
      <w:r>
        <w:rPr>
          <w:spacing w:val="6"/>
        </w:rPr>
        <w:t xml:space="preserve"> </w:t>
      </w:r>
      <w:r>
        <w:t>las</w:t>
      </w:r>
      <w:r>
        <w:rPr>
          <w:spacing w:val="7"/>
        </w:rPr>
        <w:t xml:space="preserve"> </w:t>
      </w:r>
      <w:r>
        <w:t>vidas</w:t>
      </w:r>
      <w:r>
        <w:rPr>
          <w:spacing w:val="6"/>
        </w:rPr>
        <w:t xml:space="preserve"> </w:t>
      </w:r>
      <w:r>
        <w:t>campesinas</w:t>
      </w:r>
      <w:r>
        <w:rPr>
          <w:spacing w:val="7"/>
        </w:rPr>
        <w:t xml:space="preserve"> </w:t>
      </w:r>
      <w:r>
        <w:t>y</w:t>
      </w:r>
      <w:r>
        <w:rPr>
          <w:spacing w:val="6"/>
        </w:rPr>
        <w:t xml:space="preserve"> </w:t>
      </w:r>
      <w:r>
        <w:rPr>
          <w:spacing w:val="-2"/>
        </w:rPr>
        <w:t>étnicas.</w:t>
      </w:r>
    </w:p>
    <w:p w:rsidR="003804AC" w:rsidRDefault="00AF18A5" w:rsidP="002E6DDA">
      <w:r>
        <w:t>La</w:t>
      </w:r>
      <w:r>
        <w:rPr>
          <w:spacing w:val="-5"/>
        </w:rPr>
        <w:t xml:space="preserve"> </w:t>
      </w:r>
      <w:r>
        <w:t>esfera</w:t>
      </w:r>
      <w:r>
        <w:rPr>
          <w:spacing w:val="-5"/>
        </w:rPr>
        <w:t xml:space="preserve"> </w:t>
      </w:r>
      <w:r>
        <w:t>individual,</w:t>
      </w:r>
      <w:r>
        <w:rPr>
          <w:spacing w:val="-5"/>
        </w:rPr>
        <w:t xml:space="preserve"> </w:t>
      </w:r>
      <w:r>
        <w:t>emocional,</w:t>
      </w:r>
      <w:r>
        <w:rPr>
          <w:spacing w:val="-6"/>
        </w:rPr>
        <w:t xml:space="preserve"> </w:t>
      </w:r>
      <w:r>
        <w:t>la</w:t>
      </w:r>
      <w:r>
        <w:rPr>
          <w:spacing w:val="-5"/>
        </w:rPr>
        <w:t xml:space="preserve"> </w:t>
      </w:r>
      <w:r>
        <w:t>subjetividad,</w:t>
      </w:r>
      <w:r>
        <w:rPr>
          <w:spacing w:val="-6"/>
        </w:rPr>
        <w:t xml:space="preserve"> </w:t>
      </w:r>
      <w:r>
        <w:t>los</w:t>
      </w:r>
      <w:r>
        <w:rPr>
          <w:spacing w:val="-5"/>
        </w:rPr>
        <w:t xml:space="preserve"> </w:t>
      </w:r>
      <w:r>
        <w:t>sueños,</w:t>
      </w:r>
      <w:r>
        <w:rPr>
          <w:spacing w:val="-5"/>
        </w:rPr>
        <w:t xml:space="preserve"> </w:t>
      </w:r>
      <w:r>
        <w:t>el</w:t>
      </w:r>
      <w:r>
        <w:rPr>
          <w:spacing w:val="-4"/>
        </w:rPr>
        <w:t xml:space="preserve"> </w:t>
      </w:r>
      <w:r>
        <w:t>cuerpo,</w:t>
      </w:r>
      <w:r>
        <w:rPr>
          <w:spacing w:val="-5"/>
        </w:rPr>
        <w:t xml:space="preserve"> </w:t>
      </w:r>
      <w:r>
        <w:t>los</w:t>
      </w:r>
      <w:r>
        <w:rPr>
          <w:spacing w:val="-6"/>
        </w:rPr>
        <w:t xml:space="preserve"> </w:t>
      </w:r>
      <w:r>
        <w:t>proyectos</w:t>
      </w:r>
      <w:r>
        <w:rPr>
          <w:spacing w:val="-5"/>
        </w:rPr>
        <w:t xml:space="preserve"> </w:t>
      </w:r>
      <w:r>
        <w:t>vitales, la</w:t>
      </w:r>
      <w:r>
        <w:rPr>
          <w:spacing w:val="-15"/>
        </w:rPr>
        <w:t xml:space="preserve"> </w:t>
      </w:r>
      <w:r>
        <w:t>familia,</w:t>
      </w:r>
      <w:r>
        <w:rPr>
          <w:spacing w:val="-15"/>
        </w:rPr>
        <w:t xml:space="preserve"> </w:t>
      </w:r>
      <w:r>
        <w:t>los</w:t>
      </w:r>
      <w:r>
        <w:rPr>
          <w:spacing w:val="-15"/>
        </w:rPr>
        <w:t xml:space="preserve"> </w:t>
      </w:r>
      <w:r>
        <w:t>vínculos,</w:t>
      </w:r>
      <w:r>
        <w:rPr>
          <w:spacing w:val="-15"/>
        </w:rPr>
        <w:t xml:space="preserve"> </w:t>
      </w:r>
      <w:r>
        <w:t>las</w:t>
      </w:r>
      <w:r>
        <w:rPr>
          <w:spacing w:val="-14"/>
        </w:rPr>
        <w:t xml:space="preserve"> </w:t>
      </w:r>
      <w:r>
        <w:t>relaciones,</w:t>
      </w:r>
      <w:r>
        <w:rPr>
          <w:spacing w:val="-15"/>
        </w:rPr>
        <w:t xml:space="preserve"> </w:t>
      </w:r>
      <w:r>
        <w:t>el</w:t>
      </w:r>
      <w:r>
        <w:rPr>
          <w:spacing w:val="-15"/>
        </w:rPr>
        <w:t xml:space="preserve"> </w:t>
      </w:r>
      <w:r>
        <w:t>paisanaje,</w:t>
      </w:r>
      <w:r>
        <w:rPr>
          <w:spacing w:val="-15"/>
        </w:rPr>
        <w:t xml:space="preserve"> </w:t>
      </w:r>
      <w:r>
        <w:t>los</w:t>
      </w:r>
      <w:r>
        <w:rPr>
          <w:spacing w:val="-14"/>
        </w:rPr>
        <w:t xml:space="preserve"> </w:t>
      </w:r>
      <w:r>
        <w:t>compadrazgos,</w:t>
      </w:r>
      <w:r>
        <w:rPr>
          <w:spacing w:val="-15"/>
        </w:rPr>
        <w:t xml:space="preserve"> </w:t>
      </w:r>
      <w:r>
        <w:t>las</w:t>
      </w:r>
      <w:r>
        <w:rPr>
          <w:spacing w:val="-15"/>
        </w:rPr>
        <w:t xml:space="preserve"> </w:t>
      </w:r>
      <w:r>
        <w:t>redes,</w:t>
      </w:r>
      <w:r>
        <w:rPr>
          <w:spacing w:val="-15"/>
        </w:rPr>
        <w:t xml:space="preserve"> </w:t>
      </w:r>
      <w:r>
        <w:t>los</w:t>
      </w:r>
      <w:r>
        <w:rPr>
          <w:spacing w:val="-15"/>
        </w:rPr>
        <w:t xml:space="preserve"> </w:t>
      </w:r>
      <w:r>
        <w:t>procesos organizativos, lo comunitario, los arraigos, el sentido de pertenencia, los saberes y las prácticas son afectados, y con ello fracturan el entramado vital y la dignidad.</w:t>
      </w:r>
      <w:r w:rsidR="002A2D38">
        <w:rPr>
          <w:rStyle w:val="Refdenotaalpie"/>
        </w:rPr>
        <w:footnoteReference w:id="959"/>
      </w:r>
      <w:r w:rsidR="002A2D38">
        <w:t xml:space="preserve"> </w:t>
      </w:r>
    </w:p>
    <w:p w:rsidR="003804AC" w:rsidRDefault="00AF18A5" w:rsidP="002E6DDA">
      <w:r>
        <w:lastRenderedPageBreak/>
        <w:t>Frente a todas estas realidades, la Comisión hace un llamado a democratizar y hacer realmente participativa la toma</w:t>
      </w:r>
      <w:r>
        <w:rPr>
          <w:spacing w:val="-1"/>
        </w:rPr>
        <w:t xml:space="preserve"> </w:t>
      </w:r>
      <w:r>
        <w:t>de decisiones sobre los</w:t>
      </w:r>
      <w:r>
        <w:rPr>
          <w:spacing w:val="-1"/>
        </w:rPr>
        <w:t xml:space="preserve"> </w:t>
      </w:r>
      <w:r>
        <w:t>territorios históricamente excluidos. Necesitamos un país de regiones, en el que los ciudadanos y ciudadanas se pongan de acuerdo sobre el uso de los suelos y las iniciativas de desarrollo territorial, en el que se garantice no solo la inclusión política y productiva de campesinos y pueblos étnicos y una mayor</w:t>
      </w:r>
      <w:r>
        <w:rPr>
          <w:spacing w:val="-15"/>
        </w:rPr>
        <w:t xml:space="preserve"> </w:t>
      </w:r>
      <w:r>
        <w:t>equidad</w:t>
      </w:r>
      <w:r>
        <w:rPr>
          <w:spacing w:val="-15"/>
        </w:rPr>
        <w:t xml:space="preserve"> </w:t>
      </w:r>
      <w:r>
        <w:t>en</w:t>
      </w:r>
      <w:r>
        <w:rPr>
          <w:spacing w:val="-15"/>
        </w:rPr>
        <w:t xml:space="preserve"> </w:t>
      </w:r>
      <w:r>
        <w:t>la</w:t>
      </w:r>
      <w:r>
        <w:rPr>
          <w:spacing w:val="-15"/>
        </w:rPr>
        <w:t xml:space="preserve"> </w:t>
      </w:r>
      <w:r>
        <w:t>distribución</w:t>
      </w:r>
      <w:r>
        <w:rPr>
          <w:spacing w:val="-15"/>
        </w:rPr>
        <w:t xml:space="preserve"> </w:t>
      </w:r>
      <w:r>
        <w:t>de</w:t>
      </w:r>
      <w:r>
        <w:rPr>
          <w:spacing w:val="-15"/>
        </w:rPr>
        <w:t xml:space="preserve"> </w:t>
      </w:r>
      <w:r>
        <w:t>la</w:t>
      </w:r>
      <w:r>
        <w:rPr>
          <w:spacing w:val="-15"/>
        </w:rPr>
        <w:t xml:space="preserve"> </w:t>
      </w:r>
      <w:r>
        <w:t>tierra,</w:t>
      </w:r>
      <w:r>
        <w:rPr>
          <w:spacing w:val="-15"/>
        </w:rPr>
        <w:t xml:space="preserve"> </w:t>
      </w:r>
      <w:r>
        <w:t>sino</w:t>
      </w:r>
      <w:r>
        <w:rPr>
          <w:spacing w:val="-15"/>
        </w:rPr>
        <w:t xml:space="preserve"> </w:t>
      </w:r>
      <w:r>
        <w:t>también</w:t>
      </w:r>
      <w:r>
        <w:rPr>
          <w:spacing w:val="-15"/>
        </w:rPr>
        <w:t xml:space="preserve"> </w:t>
      </w:r>
      <w:r>
        <w:t>la</w:t>
      </w:r>
      <w:r>
        <w:rPr>
          <w:spacing w:val="-15"/>
        </w:rPr>
        <w:t xml:space="preserve"> </w:t>
      </w:r>
      <w:r>
        <w:t>articulación</w:t>
      </w:r>
      <w:r>
        <w:rPr>
          <w:spacing w:val="-15"/>
        </w:rPr>
        <w:t xml:space="preserve"> </w:t>
      </w:r>
      <w:r>
        <w:t>de</w:t>
      </w:r>
      <w:r>
        <w:rPr>
          <w:spacing w:val="-15"/>
        </w:rPr>
        <w:t xml:space="preserve"> </w:t>
      </w:r>
      <w:r>
        <w:t>ciudades</w:t>
      </w:r>
      <w:r>
        <w:rPr>
          <w:spacing w:val="-15"/>
        </w:rPr>
        <w:t xml:space="preserve"> </w:t>
      </w:r>
      <w:r>
        <w:t>y</w:t>
      </w:r>
      <w:r>
        <w:rPr>
          <w:spacing w:val="-15"/>
        </w:rPr>
        <w:t xml:space="preserve"> </w:t>
      </w:r>
      <w:r>
        <w:t>zonas rurales</w:t>
      </w:r>
      <w:r>
        <w:rPr>
          <w:spacing w:val="-12"/>
        </w:rPr>
        <w:t xml:space="preserve"> </w:t>
      </w:r>
      <w:r>
        <w:t>y</w:t>
      </w:r>
      <w:r>
        <w:rPr>
          <w:spacing w:val="-13"/>
        </w:rPr>
        <w:t xml:space="preserve"> </w:t>
      </w:r>
      <w:r>
        <w:t>la</w:t>
      </w:r>
      <w:r>
        <w:rPr>
          <w:spacing w:val="-12"/>
        </w:rPr>
        <w:t xml:space="preserve"> </w:t>
      </w:r>
      <w:r>
        <w:t>presencia</w:t>
      </w:r>
      <w:r>
        <w:rPr>
          <w:spacing w:val="-13"/>
        </w:rPr>
        <w:t xml:space="preserve"> </w:t>
      </w:r>
      <w:r>
        <w:t>integral</w:t>
      </w:r>
      <w:r>
        <w:rPr>
          <w:spacing w:val="-12"/>
        </w:rPr>
        <w:t xml:space="preserve"> </w:t>
      </w:r>
      <w:r>
        <w:t>del</w:t>
      </w:r>
      <w:r>
        <w:rPr>
          <w:spacing w:val="-12"/>
        </w:rPr>
        <w:t xml:space="preserve"> </w:t>
      </w:r>
      <w:r>
        <w:t>Estado</w:t>
      </w:r>
      <w:r>
        <w:rPr>
          <w:spacing w:val="-12"/>
        </w:rPr>
        <w:t xml:space="preserve"> </w:t>
      </w:r>
      <w:r>
        <w:t>y</w:t>
      </w:r>
      <w:r>
        <w:rPr>
          <w:spacing w:val="-12"/>
        </w:rPr>
        <w:t xml:space="preserve"> </w:t>
      </w:r>
      <w:r>
        <w:t>el</w:t>
      </w:r>
      <w:r>
        <w:rPr>
          <w:spacing w:val="-12"/>
        </w:rPr>
        <w:t xml:space="preserve"> </w:t>
      </w:r>
      <w:r>
        <w:t>buen</w:t>
      </w:r>
      <w:r>
        <w:rPr>
          <w:spacing w:val="-13"/>
        </w:rPr>
        <w:t xml:space="preserve"> </w:t>
      </w:r>
      <w:r>
        <w:t>vivir,</w:t>
      </w:r>
      <w:r>
        <w:rPr>
          <w:spacing w:val="-13"/>
        </w:rPr>
        <w:t xml:space="preserve"> </w:t>
      </w:r>
      <w:r>
        <w:t>en</w:t>
      </w:r>
      <w:r>
        <w:rPr>
          <w:spacing w:val="-12"/>
        </w:rPr>
        <w:t xml:space="preserve"> </w:t>
      </w:r>
      <w:r>
        <w:t>mayor</w:t>
      </w:r>
      <w:r>
        <w:rPr>
          <w:spacing w:val="-12"/>
        </w:rPr>
        <w:t xml:space="preserve"> </w:t>
      </w:r>
      <w:r>
        <w:t>armonía</w:t>
      </w:r>
      <w:r>
        <w:rPr>
          <w:spacing w:val="-14"/>
        </w:rPr>
        <w:t xml:space="preserve"> </w:t>
      </w:r>
      <w:r>
        <w:t>con</w:t>
      </w:r>
      <w:r>
        <w:rPr>
          <w:spacing w:val="-12"/>
        </w:rPr>
        <w:t xml:space="preserve"> </w:t>
      </w:r>
      <w:r>
        <w:t>la</w:t>
      </w:r>
      <w:r>
        <w:rPr>
          <w:spacing w:val="-12"/>
        </w:rPr>
        <w:t xml:space="preserve"> </w:t>
      </w:r>
      <w:r>
        <w:t>naturaleza. Es hora de asumir la decisión política de resolver los problemas territoriales y agrarios del país en función del desarrollo, la equidad a largo plazo y la paz. Sanar las heridas del territorio es parte también de sanar la herida que el conflicto armado le ha causado al país.</w:t>
      </w:r>
    </w:p>
    <w:p w:rsidR="0011361F" w:rsidRDefault="00AF18A5" w:rsidP="004A6EF4">
      <w:pPr>
        <w:pStyle w:val="Ttulo3"/>
        <w:numPr>
          <w:ilvl w:val="1"/>
          <w:numId w:val="16"/>
        </w:numPr>
      </w:pPr>
      <w:bookmarkStart w:id="1196" w:name="9.1._Contexto_histórico:_desigualdad,_di"/>
      <w:bookmarkStart w:id="1197" w:name="_Toc112399643"/>
      <w:bookmarkEnd w:id="1196"/>
      <w:r>
        <w:t>Contexto</w:t>
      </w:r>
      <w:r>
        <w:rPr>
          <w:spacing w:val="-6"/>
        </w:rPr>
        <w:t xml:space="preserve"> </w:t>
      </w:r>
      <w:r>
        <w:t>histórico:</w:t>
      </w:r>
      <w:r>
        <w:rPr>
          <w:spacing w:val="-3"/>
        </w:rPr>
        <w:t xml:space="preserve"> </w:t>
      </w:r>
      <w:r>
        <w:t>desigualdad,</w:t>
      </w:r>
      <w:r>
        <w:rPr>
          <w:spacing w:val="-3"/>
        </w:rPr>
        <w:t xml:space="preserve"> </w:t>
      </w:r>
      <w:r>
        <w:t>diseños</w:t>
      </w:r>
      <w:r>
        <w:rPr>
          <w:spacing w:val="-3"/>
        </w:rPr>
        <w:t xml:space="preserve"> </w:t>
      </w:r>
      <w:r>
        <w:t>institucionales</w:t>
      </w:r>
      <w:r>
        <w:rPr>
          <w:spacing w:val="-3"/>
        </w:rPr>
        <w:t xml:space="preserve"> </w:t>
      </w:r>
      <w:r>
        <w:t>y</w:t>
      </w:r>
      <w:r>
        <w:rPr>
          <w:spacing w:val="-3"/>
        </w:rPr>
        <w:t xml:space="preserve"> </w:t>
      </w:r>
      <w:r>
        <w:rPr>
          <w:spacing w:val="-2"/>
        </w:rPr>
        <w:t>violencia</w:t>
      </w:r>
      <w:bookmarkEnd w:id="1197"/>
    </w:p>
    <w:p w:rsidR="003804AC" w:rsidRDefault="00AF18A5" w:rsidP="0065055B">
      <w:r>
        <w:t>La reconfiguración territorial causada por el conflicto armado ahondó las condiciones de desigualdad y exclusión de larga duración preexistentes, relacionadas con el modelo de integración territorial del Estado que se fue consolidando desde la Colonia, y que luego, a pesar</w:t>
      </w:r>
      <w:r>
        <w:rPr>
          <w:spacing w:val="-10"/>
        </w:rPr>
        <w:t xml:space="preserve"> </w:t>
      </w:r>
      <w:r>
        <w:t>de</w:t>
      </w:r>
      <w:r>
        <w:rPr>
          <w:spacing w:val="-11"/>
        </w:rPr>
        <w:t xml:space="preserve"> </w:t>
      </w:r>
      <w:r>
        <w:t>las</w:t>
      </w:r>
      <w:r>
        <w:rPr>
          <w:spacing w:val="-12"/>
        </w:rPr>
        <w:t xml:space="preserve"> </w:t>
      </w:r>
      <w:r>
        <w:t>disputas</w:t>
      </w:r>
      <w:r>
        <w:rPr>
          <w:spacing w:val="-12"/>
        </w:rPr>
        <w:t xml:space="preserve"> </w:t>
      </w:r>
      <w:r>
        <w:t>internas</w:t>
      </w:r>
      <w:r>
        <w:rPr>
          <w:spacing w:val="-11"/>
        </w:rPr>
        <w:t xml:space="preserve"> </w:t>
      </w:r>
      <w:r>
        <w:t>entre</w:t>
      </w:r>
      <w:r>
        <w:rPr>
          <w:spacing w:val="-12"/>
        </w:rPr>
        <w:t xml:space="preserve"> </w:t>
      </w:r>
      <w:r>
        <w:t>las</w:t>
      </w:r>
      <w:r>
        <w:rPr>
          <w:spacing w:val="-11"/>
        </w:rPr>
        <w:t xml:space="preserve"> </w:t>
      </w:r>
      <w:r>
        <w:t>élites</w:t>
      </w:r>
      <w:r>
        <w:rPr>
          <w:spacing w:val="-12"/>
        </w:rPr>
        <w:t xml:space="preserve"> </w:t>
      </w:r>
      <w:r>
        <w:t>políticas,</w:t>
      </w:r>
      <w:r>
        <w:rPr>
          <w:spacing w:val="-11"/>
        </w:rPr>
        <w:t xml:space="preserve"> </w:t>
      </w:r>
      <w:r>
        <w:t>se</w:t>
      </w:r>
      <w:r>
        <w:rPr>
          <w:spacing w:val="-12"/>
        </w:rPr>
        <w:t xml:space="preserve"> </w:t>
      </w:r>
      <w:r>
        <w:t>mantuvo</w:t>
      </w:r>
      <w:r>
        <w:rPr>
          <w:spacing w:val="-11"/>
        </w:rPr>
        <w:t xml:space="preserve"> </w:t>
      </w:r>
      <w:r>
        <w:t>una</w:t>
      </w:r>
      <w:r>
        <w:rPr>
          <w:spacing w:val="-11"/>
        </w:rPr>
        <w:t xml:space="preserve"> </w:t>
      </w:r>
      <w:r>
        <w:t>vez</w:t>
      </w:r>
      <w:r>
        <w:rPr>
          <w:spacing w:val="-13"/>
        </w:rPr>
        <w:t xml:space="preserve"> </w:t>
      </w:r>
      <w:r>
        <w:t>formado</w:t>
      </w:r>
      <w:r>
        <w:rPr>
          <w:spacing w:val="-12"/>
        </w:rPr>
        <w:t xml:space="preserve"> </w:t>
      </w:r>
      <w:r>
        <w:t>el</w:t>
      </w:r>
      <w:r>
        <w:rPr>
          <w:spacing w:val="-12"/>
        </w:rPr>
        <w:t xml:space="preserve"> </w:t>
      </w:r>
      <w:r>
        <w:t xml:space="preserve">Estado nacional. Ni siquiera los procesos de democratización y descentralización lograron transformar estas estructuras relacionadas con la distribución de la tierra y el poder en los </w:t>
      </w:r>
      <w:r>
        <w:rPr>
          <w:spacing w:val="-2"/>
        </w:rPr>
        <w:t>territorios.</w:t>
      </w:r>
    </w:p>
    <w:p w:rsidR="003804AC" w:rsidRDefault="00AF18A5" w:rsidP="0065055B">
      <w:r>
        <w:t>La</w:t>
      </w:r>
      <w:r>
        <w:rPr>
          <w:spacing w:val="-3"/>
        </w:rPr>
        <w:t xml:space="preserve"> </w:t>
      </w:r>
      <w:r>
        <w:t>Conquista</w:t>
      </w:r>
      <w:r>
        <w:rPr>
          <w:spacing w:val="-3"/>
        </w:rPr>
        <w:t xml:space="preserve"> </w:t>
      </w:r>
      <w:r>
        <w:t>y</w:t>
      </w:r>
      <w:r>
        <w:rPr>
          <w:spacing w:val="-3"/>
        </w:rPr>
        <w:t xml:space="preserve"> </w:t>
      </w:r>
      <w:r>
        <w:t>colonización</w:t>
      </w:r>
      <w:r>
        <w:rPr>
          <w:spacing w:val="-3"/>
        </w:rPr>
        <w:t xml:space="preserve"> </w:t>
      </w:r>
      <w:r>
        <w:t>españolas</w:t>
      </w:r>
      <w:r>
        <w:rPr>
          <w:spacing w:val="-3"/>
        </w:rPr>
        <w:t xml:space="preserve"> </w:t>
      </w:r>
      <w:r>
        <w:t>significaron</w:t>
      </w:r>
      <w:r>
        <w:rPr>
          <w:spacing w:val="-3"/>
        </w:rPr>
        <w:t xml:space="preserve"> </w:t>
      </w:r>
      <w:r>
        <w:t>un</w:t>
      </w:r>
      <w:r>
        <w:rPr>
          <w:spacing w:val="-3"/>
        </w:rPr>
        <w:t xml:space="preserve"> </w:t>
      </w:r>
      <w:r>
        <w:t>sofisticado</w:t>
      </w:r>
      <w:r>
        <w:rPr>
          <w:spacing w:val="-3"/>
        </w:rPr>
        <w:t xml:space="preserve"> </w:t>
      </w:r>
      <w:r>
        <w:t>sistema</w:t>
      </w:r>
      <w:r>
        <w:rPr>
          <w:spacing w:val="-3"/>
        </w:rPr>
        <w:t xml:space="preserve"> </w:t>
      </w:r>
      <w:r>
        <w:t>de</w:t>
      </w:r>
      <w:r>
        <w:rPr>
          <w:spacing w:val="-3"/>
        </w:rPr>
        <w:t xml:space="preserve"> </w:t>
      </w:r>
      <w:r>
        <w:t>despojo</w:t>
      </w:r>
      <w:r>
        <w:rPr>
          <w:spacing w:val="-5"/>
        </w:rPr>
        <w:t xml:space="preserve"> </w:t>
      </w:r>
      <w:r>
        <w:t>de territorios</w:t>
      </w:r>
      <w:r>
        <w:rPr>
          <w:spacing w:val="53"/>
        </w:rPr>
        <w:t xml:space="preserve"> </w:t>
      </w:r>
      <w:r>
        <w:t>indígenas</w:t>
      </w:r>
      <w:r>
        <w:rPr>
          <w:spacing w:val="55"/>
        </w:rPr>
        <w:t xml:space="preserve"> </w:t>
      </w:r>
      <w:r>
        <w:t>y</w:t>
      </w:r>
      <w:r>
        <w:rPr>
          <w:spacing w:val="55"/>
        </w:rPr>
        <w:t xml:space="preserve"> </w:t>
      </w:r>
      <w:r>
        <w:t>de</w:t>
      </w:r>
      <w:r>
        <w:rPr>
          <w:spacing w:val="55"/>
        </w:rPr>
        <w:t xml:space="preserve"> </w:t>
      </w:r>
      <w:r>
        <w:t>expoliación</w:t>
      </w:r>
      <w:r>
        <w:rPr>
          <w:spacing w:val="56"/>
        </w:rPr>
        <w:t xml:space="preserve"> </w:t>
      </w:r>
      <w:r>
        <w:t>de</w:t>
      </w:r>
      <w:r>
        <w:rPr>
          <w:spacing w:val="55"/>
        </w:rPr>
        <w:t xml:space="preserve"> </w:t>
      </w:r>
      <w:r>
        <w:t>recursos,</w:t>
      </w:r>
      <w:r>
        <w:rPr>
          <w:spacing w:val="55"/>
        </w:rPr>
        <w:t xml:space="preserve"> </w:t>
      </w:r>
      <w:r>
        <w:lastRenderedPageBreak/>
        <w:t>principalmente</w:t>
      </w:r>
      <w:r>
        <w:rPr>
          <w:spacing w:val="55"/>
        </w:rPr>
        <w:t xml:space="preserve"> </w:t>
      </w:r>
      <w:r>
        <w:t>metales</w:t>
      </w:r>
      <w:r>
        <w:rPr>
          <w:spacing w:val="55"/>
        </w:rPr>
        <w:t xml:space="preserve"> </w:t>
      </w:r>
      <w:r>
        <w:t>preciosos</w:t>
      </w:r>
      <w:r>
        <w:rPr>
          <w:spacing w:val="56"/>
        </w:rPr>
        <w:t xml:space="preserve"> </w:t>
      </w:r>
      <w:r>
        <w:rPr>
          <w:spacing w:val="-10"/>
        </w:rPr>
        <w:t>y</w:t>
      </w:r>
      <w:bookmarkStart w:id="1198" w:name="_bookmark1056"/>
      <w:bookmarkEnd w:id="1198"/>
      <w:r w:rsidR="0065055B">
        <w:t xml:space="preserve"> </w:t>
      </w:r>
      <w:r>
        <w:t>productos</w:t>
      </w:r>
      <w:r>
        <w:rPr>
          <w:spacing w:val="-6"/>
        </w:rPr>
        <w:t xml:space="preserve"> </w:t>
      </w:r>
      <w:r>
        <w:t>agrícolas</w:t>
      </w:r>
      <w:r w:rsidR="0065055B">
        <w:rPr>
          <w:rStyle w:val="Refdenotaalpie"/>
        </w:rPr>
        <w:footnoteReference w:id="960"/>
      </w:r>
      <w:r>
        <w:t>.</w:t>
      </w:r>
      <w:r>
        <w:rPr>
          <w:spacing w:val="-6"/>
        </w:rPr>
        <w:t xml:space="preserve"> </w:t>
      </w:r>
      <w:r>
        <w:t>Instituciones</w:t>
      </w:r>
      <w:r>
        <w:rPr>
          <w:spacing w:val="-6"/>
        </w:rPr>
        <w:t xml:space="preserve"> </w:t>
      </w:r>
      <w:r>
        <w:t>y</w:t>
      </w:r>
      <w:r>
        <w:rPr>
          <w:spacing w:val="-6"/>
        </w:rPr>
        <w:t xml:space="preserve"> </w:t>
      </w:r>
      <w:r>
        <w:t>prácticas</w:t>
      </w:r>
      <w:r>
        <w:rPr>
          <w:spacing w:val="-6"/>
        </w:rPr>
        <w:t xml:space="preserve"> </w:t>
      </w:r>
      <w:r>
        <w:t>como</w:t>
      </w:r>
      <w:r>
        <w:rPr>
          <w:spacing w:val="-6"/>
        </w:rPr>
        <w:t xml:space="preserve"> </w:t>
      </w:r>
      <w:r>
        <w:t>la</w:t>
      </w:r>
      <w:r>
        <w:rPr>
          <w:spacing w:val="-6"/>
        </w:rPr>
        <w:t xml:space="preserve"> </w:t>
      </w:r>
      <w:r>
        <w:t>encomienda,</w:t>
      </w:r>
      <w:r>
        <w:rPr>
          <w:spacing w:val="-6"/>
        </w:rPr>
        <w:t xml:space="preserve"> </w:t>
      </w:r>
      <w:r>
        <w:t>la</w:t>
      </w:r>
      <w:r>
        <w:rPr>
          <w:spacing w:val="-6"/>
        </w:rPr>
        <w:t xml:space="preserve"> </w:t>
      </w:r>
      <w:r>
        <w:t>mita</w:t>
      </w:r>
      <w:r>
        <w:rPr>
          <w:spacing w:val="-6"/>
        </w:rPr>
        <w:t xml:space="preserve"> </w:t>
      </w:r>
      <w:r>
        <w:t>y</w:t>
      </w:r>
      <w:r>
        <w:rPr>
          <w:spacing w:val="-6"/>
        </w:rPr>
        <w:t xml:space="preserve"> </w:t>
      </w:r>
      <w:r>
        <w:t>la</w:t>
      </w:r>
      <w:r>
        <w:rPr>
          <w:spacing w:val="-6"/>
        </w:rPr>
        <w:t xml:space="preserve"> </w:t>
      </w:r>
      <w:r>
        <w:t>esclavitud permitieron</w:t>
      </w:r>
      <w:r>
        <w:rPr>
          <w:spacing w:val="-7"/>
        </w:rPr>
        <w:t xml:space="preserve"> </w:t>
      </w:r>
      <w:r>
        <w:t>la</w:t>
      </w:r>
      <w:r>
        <w:rPr>
          <w:spacing w:val="-6"/>
        </w:rPr>
        <w:t xml:space="preserve"> </w:t>
      </w:r>
      <w:r>
        <w:t>cruel</w:t>
      </w:r>
      <w:r>
        <w:rPr>
          <w:spacing w:val="-7"/>
        </w:rPr>
        <w:t xml:space="preserve"> </w:t>
      </w:r>
      <w:r>
        <w:t>explotación</w:t>
      </w:r>
      <w:r>
        <w:rPr>
          <w:spacing w:val="-7"/>
        </w:rPr>
        <w:t xml:space="preserve"> </w:t>
      </w:r>
      <w:r>
        <w:t>de</w:t>
      </w:r>
      <w:r>
        <w:rPr>
          <w:spacing w:val="-7"/>
        </w:rPr>
        <w:t xml:space="preserve"> </w:t>
      </w:r>
      <w:r>
        <w:t>millones</w:t>
      </w:r>
      <w:r>
        <w:rPr>
          <w:spacing w:val="-6"/>
        </w:rPr>
        <w:t xml:space="preserve"> </w:t>
      </w:r>
      <w:r>
        <w:t>de</w:t>
      </w:r>
      <w:r>
        <w:rPr>
          <w:spacing w:val="-7"/>
        </w:rPr>
        <w:t xml:space="preserve"> </w:t>
      </w:r>
      <w:r>
        <w:t>personas</w:t>
      </w:r>
      <w:r>
        <w:rPr>
          <w:spacing w:val="-7"/>
        </w:rPr>
        <w:t xml:space="preserve"> </w:t>
      </w:r>
      <w:r>
        <w:t>indígenas</w:t>
      </w:r>
      <w:r>
        <w:rPr>
          <w:spacing w:val="-6"/>
        </w:rPr>
        <w:t xml:space="preserve"> </w:t>
      </w:r>
      <w:r>
        <w:t>y</w:t>
      </w:r>
      <w:r>
        <w:rPr>
          <w:spacing w:val="-7"/>
        </w:rPr>
        <w:t xml:space="preserve"> </w:t>
      </w:r>
      <w:r>
        <w:t>africanas.</w:t>
      </w:r>
      <w:r>
        <w:rPr>
          <w:spacing w:val="-6"/>
        </w:rPr>
        <w:t xml:space="preserve"> </w:t>
      </w:r>
      <w:r>
        <w:t>Este</w:t>
      </w:r>
      <w:r>
        <w:rPr>
          <w:spacing w:val="-6"/>
        </w:rPr>
        <w:t xml:space="preserve"> </w:t>
      </w:r>
      <w:r>
        <w:t>sistema rigió</w:t>
      </w:r>
      <w:r>
        <w:rPr>
          <w:spacing w:val="-5"/>
        </w:rPr>
        <w:t xml:space="preserve"> </w:t>
      </w:r>
      <w:r>
        <w:t>durante</w:t>
      </w:r>
      <w:r>
        <w:rPr>
          <w:spacing w:val="-3"/>
        </w:rPr>
        <w:t xml:space="preserve"> </w:t>
      </w:r>
      <w:r>
        <w:t>tres</w:t>
      </w:r>
      <w:r>
        <w:rPr>
          <w:spacing w:val="-3"/>
        </w:rPr>
        <w:t xml:space="preserve"> </w:t>
      </w:r>
      <w:r>
        <w:t>siglos</w:t>
      </w:r>
      <w:r>
        <w:rPr>
          <w:spacing w:val="-6"/>
        </w:rPr>
        <w:t xml:space="preserve"> </w:t>
      </w:r>
      <w:r>
        <w:t>en</w:t>
      </w:r>
      <w:r>
        <w:rPr>
          <w:spacing w:val="-3"/>
        </w:rPr>
        <w:t xml:space="preserve"> </w:t>
      </w:r>
      <w:r>
        <w:t>la</w:t>
      </w:r>
      <w:r>
        <w:rPr>
          <w:spacing w:val="-4"/>
        </w:rPr>
        <w:t xml:space="preserve"> </w:t>
      </w:r>
      <w:r>
        <w:t>América</w:t>
      </w:r>
      <w:r>
        <w:rPr>
          <w:spacing w:val="-3"/>
        </w:rPr>
        <w:t xml:space="preserve"> </w:t>
      </w:r>
      <w:r>
        <w:t>hispánica</w:t>
      </w:r>
      <w:r>
        <w:rPr>
          <w:spacing w:val="-4"/>
        </w:rPr>
        <w:t xml:space="preserve"> </w:t>
      </w:r>
      <w:r>
        <w:t>con</w:t>
      </w:r>
      <w:r>
        <w:rPr>
          <w:spacing w:val="-3"/>
        </w:rPr>
        <w:t xml:space="preserve"> </w:t>
      </w:r>
      <w:r>
        <w:t>secuelas</w:t>
      </w:r>
      <w:r>
        <w:rPr>
          <w:spacing w:val="-3"/>
        </w:rPr>
        <w:t xml:space="preserve"> </w:t>
      </w:r>
      <w:r>
        <w:t>de</w:t>
      </w:r>
      <w:r>
        <w:rPr>
          <w:spacing w:val="-3"/>
        </w:rPr>
        <w:t xml:space="preserve"> </w:t>
      </w:r>
      <w:r>
        <w:t>desigualdad</w:t>
      </w:r>
      <w:r>
        <w:rPr>
          <w:spacing w:val="-3"/>
        </w:rPr>
        <w:t xml:space="preserve"> </w:t>
      </w:r>
      <w:r>
        <w:t>hasta</w:t>
      </w:r>
      <w:r>
        <w:rPr>
          <w:spacing w:val="-4"/>
        </w:rPr>
        <w:t xml:space="preserve"> </w:t>
      </w:r>
      <w:r>
        <w:t>nuestros días. De esta matriz institucional procede la Hacienda</w:t>
      </w:r>
      <w:r w:rsidR="0065055B">
        <w:rPr>
          <w:rStyle w:val="Refdenotaalpie"/>
        </w:rPr>
        <w:footnoteReference w:id="961"/>
      </w:r>
      <w:r>
        <w:t xml:space="preserve">. El régimen </w:t>
      </w:r>
      <w:proofErr w:type="spellStart"/>
      <w:r>
        <w:t>hacendil</w:t>
      </w:r>
      <w:proofErr w:type="spellEnd"/>
      <w:r>
        <w:t xml:space="preserve"> delineó un modelo de organización social estratificado que ordenó el territorio según sus intereses y excluyó del acceso a la tierra, del territorio y del mundo político a la gran mayoría de la </w:t>
      </w:r>
      <w:r>
        <w:rPr>
          <w:spacing w:val="-2"/>
        </w:rPr>
        <w:t>población.</w:t>
      </w:r>
    </w:p>
    <w:p w:rsidR="003804AC" w:rsidRDefault="00AF18A5" w:rsidP="0065055B">
      <w:r>
        <w:t>De la hacienda emerge un modelo de gobierno local y regional que se sustenta en la conformación y funcionamiento de las instituciones estatales que afianzan intereses económicos de redes regionales de poder con influencia nacional. En este modelo, funcionarios claves encargados de la asignación de los derechos de propiedad estaban ligados de manera directa a la política partidista competitiva.</w:t>
      </w:r>
      <w:r w:rsidR="0065055B">
        <w:rPr>
          <w:rStyle w:val="Refdenotaalpie"/>
        </w:rPr>
        <w:footnoteReference w:id="962"/>
      </w:r>
      <w:r>
        <w:t xml:space="preserve"> Así, durante el siglo</w:t>
      </w:r>
      <w:r>
        <w:rPr>
          <w:spacing w:val="-1"/>
        </w:rPr>
        <w:t xml:space="preserve"> </w:t>
      </w:r>
      <w:r>
        <w:t xml:space="preserve">XIX – y al menos la primera mitad del siglo XX– los gamonales políticos regionales no solo definían notarios y alcaldes, también tenían un papel crucial en la designación de jueces y policías </w:t>
      </w:r>
      <w:r>
        <w:lastRenderedPageBreak/>
        <w:t>subnacionales. Las asambleas departamentales y los concejos municipales nombraban a los jueces. Los notarios eran particulares que hacían parte de activas y competitivas</w:t>
      </w:r>
      <w:r>
        <w:rPr>
          <w:spacing w:val="-12"/>
        </w:rPr>
        <w:t xml:space="preserve"> </w:t>
      </w:r>
      <w:r>
        <w:t>redes</w:t>
      </w:r>
      <w:r>
        <w:rPr>
          <w:spacing w:val="-11"/>
        </w:rPr>
        <w:t xml:space="preserve"> </w:t>
      </w:r>
      <w:r>
        <w:t>locales,</w:t>
      </w:r>
      <w:r>
        <w:rPr>
          <w:spacing w:val="-11"/>
        </w:rPr>
        <w:t xml:space="preserve"> </w:t>
      </w:r>
      <w:r>
        <w:t>y</w:t>
      </w:r>
      <w:r>
        <w:rPr>
          <w:spacing w:val="-11"/>
        </w:rPr>
        <w:t xml:space="preserve"> </w:t>
      </w:r>
      <w:r>
        <w:t>habitualmente</w:t>
      </w:r>
      <w:r>
        <w:rPr>
          <w:spacing w:val="-11"/>
        </w:rPr>
        <w:t xml:space="preserve"> </w:t>
      </w:r>
      <w:r>
        <w:t>eran</w:t>
      </w:r>
      <w:r>
        <w:rPr>
          <w:spacing w:val="-11"/>
        </w:rPr>
        <w:t xml:space="preserve"> </w:t>
      </w:r>
      <w:r>
        <w:t>líderes</w:t>
      </w:r>
      <w:r>
        <w:rPr>
          <w:spacing w:val="-11"/>
        </w:rPr>
        <w:t xml:space="preserve"> </w:t>
      </w:r>
      <w:r>
        <w:t>políticos</w:t>
      </w:r>
      <w:r>
        <w:rPr>
          <w:spacing w:val="-11"/>
        </w:rPr>
        <w:t xml:space="preserve"> </w:t>
      </w:r>
      <w:r>
        <w:t>que</w:t>
      </w:r>
      <w:r>
        <w:rPr>
          <w:spacing w:val="-11"/>
        </w:rPr>
        <w:t xml:space="preserve"> </w:t>
      </w:r>
      <w:r>
        <w:t>recibían</w:t>
      </w:r>
      <w:r>
        <w:rPr>
          <w:spacing w:val="-11"/>
        </w:rPr>
        <w:t xml:space="preserve"> </w:t>
      </w:r>
      <w:r>
        <w:t>el</w:t>
      </w:r>
      <w:r>
        <w:rPr>
          <w:spacing w:val="-11"/>
        </w:rPr>
        <w:t xml:space="preserve"> </w:t>
      </w:r>
      <w:r>
        <w:t>cargo</w:t>
      </w:r>
      <w:r>
        <w:rPr>
          <w:spacing w:val="-12"/>
        </w:rPr>
        <w:t xml:space="preserve"> </w:t>
      </w:r>
      <w:r>
        <w:t>como premio a sus servicios políticos y como una plataforma para promover su carrera política. De</w:t>
      </w:r>
      <w:r>
        <w:rPr>
          <w:spacing w:val="2"/>
        </w:rPr>
        <w:t xml:space="preserve"> </w:t>
      </w:r>
      <w:r>
        <w:t>esta</w:t>
      </w:r>
      <w:r>
        <w:rPr>
          <w:spacing w:val="4"/>
        </w:rPr>
        <w:t xml:space="preserve"> </w:t>
      </w:r>
      <w:r>
        <w:t>manera,</w:t>
      </w:r>
      <w:r>
        <w:rPr>
          <w:spacing w:val="3"/>
        </w:rPr>
        <w:t xml:space="preserve"> </w:t>
      </w:r>
      <w:r>
        <w:t>las</w:t>
      </w:r>
      <w:r>
        <w:rPr>
          <w:spacing w:val="4"/>
        </w:rPr>
        <w:t xml:space="preserve"> </w:t>
      </w:r>
      <w:r>
        <w:t>redes</w:t>
      </w:r>
      <w:r>
        <w:rPr>
          <w:spacing w:val="3"/>
        </w:rPr>
        <w:t xml:space="preserve"> </w:t>
      </w:r>
      <w:r>
        <w:t>regionales</w:t>
      </w:r>
      <w:r>
        <w:rPr>
          <w:spacing w:val="4"/>
        </w:rPr>
        <w:t xml:space="preserve"> </w:t>
      </w:r>
      <w:r>
        <w:t>y</w:t>
      </w:r>
      <w:r>
        <w:rPr>
          <w:spacing w:val="3"/>
        </w:rPr>
        <w:t xml:space="preserve"> </w:t>
      </w:r>
      <w:r>
        <w:t>locales</w:t>
      </w:r>
      <w:r>
        <w:rPr>
          <w:spacing w:val="5"/>
        </w:rPr>
        <w:t xml:space="preserve"> </w:t>
      </w:r>
      <w:r>
        <w:t>de</w:t>
      </w:r>
      <w:r>
        <w:rPr>
          <w:spacing w:val="2"/>
        </w:rPr>
        <w:t xml:space="preserve"> </w:t>
      </w:r>
      <w:r>
        <w:t>poder</w:t>
      </w:r>
      <w:r>
        <w:rPr>
          <w:spacing w:val="4"/>
        </w:rPr>
        <w:t xml:space="preserve"> </w:t>
      </w:r>
      <w:r>
        <w:t>político</w:t>
      </w:r>
      <w:r>
        <w:rPr>
          <w:spacing w:val="3"/>
        </w:rPr>
        <w:t xml:space="preserve"> </w:t>
      </w:r>
      <w:r>
        <w:t>y</w:t>
      </w:r>
      <w:r>
        <w:rPr>
          <w:spacing w:val="3"/>
        </w:rPr>
        <w:t xml:space="preserve"> </w:t>
      </w:r>
      <w:r>
        <w:t>económico</w:t>
      </w:r>
      <w:r>
        <w:rPr>
          <w:spacing w:val="3"/>
        </w:rPr>
        <w:t xml:space="preserve"> </w:t>
      </w:r>
      <w:r>
        <w:t>dominaban</w:t>
      </w:r>
      <w:r>
        <w:rPr>
          <w:spacing w:val="4"/>
        </w:rPr>
        <w:t xml:space="preserve"> </w:t>
      </w:r>
      <w:r>
        <w:rPr>
          <w:spacing w:val="-5"/>
        </w:rPr>
        <w:t>el</w:t>
      </w:r>
      <w:bookmarkStart w:id="1199" w:name="_bookmark1057"/>
      <w:bookmarkStart w:id="1200" w:name="_bookmark1058"/>
      <w:bookmarkStart w:id="1201" w:name="_bookmark1059"/>
      <w:bookmarkEnd w:id="1199"/>
      <w:bookmarkEnd w:id="1200"/>
      <w:bookmarkEnd w:id="1201"/>
      <w:r w:rsidR="0065055B">
        <w:rPr>
          <w:spacing w:val="-5"/>
        </w:rPr>
        <w:t xml:space="preserve"> </w:t>
      </w:r>
      <w:r>
        <w:t>conjunto de la vida local y garantizaban sus privilegios sobre la propiedad de la tierra y su acumulación, protegidos por la coerción y la impunidad.</w:t>
      </w:r>
      <w:r w:rsidR="0065055B">
        <w:rPr>
          <w:rStyle w:val="Refdenotaalpie"/>
        </w:rPr>
        <w:footnoteReference w:id="963"/>
      </w:r>
      <w:r w:rsidR="0065055B">
        <w:t xml:space="preserve"> </w:t>
      </w:r>
    </w:p>
    <w:p w:rsidR="003804AC" w:rsidRDefault="00AF18A5" w:rsidP="0065055B">
      <w:r>
        <w:t>Durante la segunda mitad del siglo XIX, y gracias al poder de coerción y definición de los</w:t>
      </w:r>
      <w:r>
        <w:rPr>
          <w:spacing w:val="-2"/>
        </w:rPr>
        <w:t xml:space="preserve"> </w:t>
      </w:r>
      <w:r>
        <w:t>derechos</w:t>
      </w:r>
      <w:r>
        <w:rPr>
          <w:spacing w:val="-3"/>
        </w:rPr>
        <w:t xml:space="preserve"> </w:t>
      </w:r>
      <w:r>
        <w:t>de</w:t>
      </w:r>
      <w:r>
        <w:rPr>
          <w:spacing w:val="-2"/>
        </w:rPr>
        <w:t xml:space="preserve"> </w:t>
      </w:r>
      <w:r>
        <w:t>propiedad</w:t>
      </w:r>
      <w:r>
        <w:rPr>
          <w:spacing w:val="-2"/>
        </w:rPr>
        <w:t xml:space="preserve"> </w:t>
      </w:r>
      <w:r>
        <w:t>que</w:t>
      </w:r>
      <w:r>
        <w:rPr>
          <w:spacing w:val="-2"/>
        </w:rPr>
        <w:t xml:space="preserve"> </w:t>
      </w:r>
      <w:r>
        <w:t>tenían</w:t>
      </w:r>
      <w:r>
        <w:rPr>
          <w:spacing w:val="-4"/>
        </w:rPr>
        <w:t xml:space="preserve"> </w:t>
      </w:r>
      <w:r>
        <w:t>los</w:t>
      </w:r>
      <w:r>
        <w:rPr>
          <w:spacing w:val="-2"/>
        </w:rPr>
        <w:t xml:space="preserve"> </w:t>
      </w:r>
      <w:r>
        <w:t>partidos</w:t>
      </w:r>
      <w:r>
        <w:rPr>
          <w:spacing w:val="-3"/>
        </w:rPr>
        <w:t xml:space="preserve"> </w:t>
      </w:r>
      <w:r>
        <w:t>políticos,</w:t>
      </w:r>
      <w:r>
        <w:rPr>
          <w:spacing w:val="-2"/>
        </w:rPr>
        <w:t xml:space="preserve"> </w:t>
      </w:r>
      <w:r>
        <w:t>estos</w:t>
      </w:r>
      <w:r>
        <w:rPr>
          <w:spacing w:val="-2"/>
        </w:rPr>
        <w:t xml:space="preserve"> </w:t>
      </w:r>
      <w:r>
        <w:t>se</w:t>
      </w:r>
      <w:r>
        <w:rPr>
          <w:spacing w:val="-2"/>
        </w:rPr>
        <w:t xml:space="preserve"> </w:t>
      </w:r>
      <w:r>
        <w:t>convirtieron</w:t>
      </w:r>
      <w:r>
        <w:rPr>
          <w:spacing w:val="-2"/>
        </w:rPr>
        <w:t xml:space="preserve"> </w:t>
      </w:r>
      <w:r>
        <w:t>en</w:t>
      </w:r>
      <w:r>
        <w:rPr>
          <w:spacing w:val="-2"/>
        </w:rPr>
        <w:t xml:space="preserve"> </w:t>
      </w:r>
      <w:r>
        <w:t>la</w:t>
      </w:r>
      <w:r>
        <w:rPr>
          <w:spacing w:val="-2"/>
        </w:rPr>
        <w:t xml:space="preserve"> </w:t>
      </w:r>
      <w:r>
        <w:t>clave para</w:t>
      </w:r>
      <w:r>
        <w:rPr>
          <w:spacing w:val="-12"/>
        </w:rPr>
        <w:t xml:space="preserve"> </w:t>
      </w:r>
      <w:r>
        <w:t>conseguir</w:t>
      </w:r>
      <w:r>
        <w:rPr>
          <w:spacing w:val="-12"/>
        </w:rPr>
        <w:t xml:space="preserve"> </w:t>
      </w:r>
      <w:r>
        <w:t>y</w:t>
      </w:r>
      <w:r>
        <w:rPr>
          <w:spacing w:val="-12"/>
        </w:rPr>
        <w:t xml:space="preserve"> </w:t>
      </w:r>
      <w:r>
        <w:t>mantener</w:t>
      </w:r>
      <w:r>
        <w:rPr>
          <w:spacing w:val="-12"/>
        </w:rPr>
        <w:t xml:space="preserve"> </w:t>
      </w:r>
      <w:r>
        <w:t>el</w:t>
      </w:r>
      <w:r>
        <w:rPr>
          <w:spacing w:val="-12"/>
        </w:rPr>
        <w:t xml:space="preserve"> </w:t>
      </w:r>
      <w:r>
        <w:t>estatus</w:t>
      </w:r>
      <w:r>
        <w:rPr>
          <w:spacing w:val="-13"/>
        </w:rPr>
        <w:t xml:space="preserve"> </w:t>
      </w:r>
      <w:r>
        <w:t>de</w:t>
      </w:r>
      <w:r>
        <w:rPr>
          <w:spacing w:val="-12"/>
        </w:rPr>
        <w:t xml:space="preserve"> </w:t>
      </w:r>
      <w:r>
        <w:t>terrateniente.</w:t>
      </w:r>
      <w:r w:rsidR="0065055B">
        <w:rPr>
          <w:rStyle w:val="Refdenotaalpie"/>
        </w:rPr>
        <w:footnoteReference w:id="964"/>
      </w:r>
      <w:r>
        <w:rPr>
          <w:spacing w:val="-12"/>
        </w:rPr>
        <w:t xml:space="preserve"> </w:t>
      </w:r>
      <w:r>
        <w:t>La</w:t>
      </w:r>
      <w:r>
        <w:rPr>
          <w:spacing w:val="-12"/>
        </w:rPr>
        <w:t xml:space="preserve"> </w:t>
      </w:r>
      <w:r>
        <w:t>expropiación</w:t>
      </w:r>
      <w:r>
        <w:rPr>
          <w:spacing w:val="-12"/>
        </w:rPr>
        <w:t xml:space="preserve"> </w:t>
      </w:r>
      <w:r>
        <w:t>se</w:t>
      </w:r>
      <w:r>
        <w:rPr>
          <w:spacing w:val="-12"/>
        </w:rPr>
        <w:t xml:space="preserve"> </w:t>
      </w:r>
      <w:r>
        <w:t>facilitaba</w:t>
      </w:r>
      <w:r>
        <w:rPr>
          <w:spacing w:val="-12"/>
        </w:rPr>
        <w:t xml:space="preserve"> </w:t>
      </w:r>
      <w:r>
        <w:t>porque los</w:t>
      </w:r>
      <w:r>
        <w:rPr>
          <w:spacing w:val="-3"/>
        </w:rPr>
        <w:t xml:space="preserve"> </w:t>
      </w:r>
      <w:r>
        <w:t>terratenientes</w:t>
      </w:r>
      <w:r>
        <w:rPr>
          <w:spacing w:val="-3"/>
        </w:rPr>
        <w:t xml:space="preserve"> </w:t>
      </w:r>
      <w:r>
        <w:t>estaban</w:t>
      </w:r>
      <w:r>
        <w:rPr>
          <w:spacing w:val="-3"/>
        </w:rPr>
        <w:t xml:space="preserve"> </w:t>
      </w:r>
      <w:r>
        <w:t>habilitados</w:t>
      </w:r>
      <w:r>
        <w:rPr>
          <w:spacing w:val="-3"/>
        </w:rPr>
        <w:t xml:space="preserve"> </w:t>
      </w:r>
      <w:r>
        <w:t>por</w:t>
      </w:r>
      <w:r>
        <w:rPr>
          <w:spacing w:val="-3"/>
        </w:rPr>
        <w:t xml:space="preserve"> </w:t>
      </w:r>
      <w:r>
        <w:t>el</w:t>
      </w:r>
      <w:r>
        <w:rPr>
          <w:spacing w:val="-3"/>
        </w:rPr>
        <w:t xml:space="preserve"> </w:t>
      </w:r>
      <w:r>
        <w:t>sistema</w:t>
      </w:r>
      <w:r>
        <w:rPr>
          <w:spacing w:val="-3"/>
        </w:rPr>
        <w:t xml:space="preserve"> </w:t>
      </w:r>
      <w:r>
        <w:t>político</w:t>
      </w:r>
      <w:r>
        <w:rPr>
          <w:spacing w:val="-5"/>
        </w:rPr>
        <w:t xml:space="preserve"> </w:t>
      </w:r>
      <w:r>
        <w:t>y</w:t>
      </w:r>
      <w:r>
        <w:rPr>
          <w:spacing w:val="-3"/>
        </w:rPr>
        <w:t xml:space="preserve"> </w:t>
      </w:r>
      <w:r>
        <w:t>judicial,</w:t>
      </w:r>
      <w:r>
        <w:rPr>
          <w:spacing w:val="-5"/>
        </w:rPr>
        <w:t xml:space="preserve"> </w:t>
      </w:r>
      <w:r>
        <w:t>mientras</w:t>
      </w:r>
      <w:r>
        <w:rPr>
          <w:spacing w:val="-3"/>
        </w:rPr>
        <w:t xml:space="preserve"> </w:t>
      </w:r>
      <w:r>
        <w:t>campesinos y</w:t>
      </w:r>
      <w:r>
        <w:rPr>
          <w:spacing w:val="-8"/>
        </w:rPr>
        <w:t xml:space="preserve"> </w:t>
      </w:r>
      <w:r>
        <w:t>pueblos</w:t>
      </w:r>
      <w:r>
        <w:rPr>
          <w:spacing w:val="-8"/>
        </w:rPr>
        <w:t xml:space="preserve"> </w:t>
      </w:r>
      <w:r>
        <w:t>étnicos</w:t>
      </w:r>
      <w:r>
        <w:rPr>
          <w:spacing w:val="-8"/>
        </w:rPr>
        <w:t xml:space="preserve"> </w:t>
      </w:r>
      <w:r>
        <w:t>eran</w:t>
      </w:r>
      <w:r>
        <w:rPr>
          <w:spacing w:val="-8"/>
        </w:rPr>
        <w:t xml:space="preserve"> </w:t>
      </w:r>
      <w:r>
        <w:t>articulados</w:t>
      </w:r>
      <w:r>
        <w:rPr>
          <w:spacing w:val="-8"/>
        </w:rPr>
        <w:t xml:space="preserve"> </w:t>
      </w:r>
      <w:r>
        <w:t>a</w:t>
      </w:r>
      <w:r>
        <w:rPr>
          <w:spacing w:val="-8"/>
        </w:rPr>
        <w:t xml:space="preserve"> </w:t>
      </w:r>
      <w:r>
        <w:t>estos</w:t>
      </w:r>
      <w:r>
        <w:rPr>
          <w:spacing w:val="-8"/>
        </w:rPr>
        <w:t xml:space="preserve"> </w:t>
      </w:r>
      <w:r>
        <w:t>a</w:t>
      </w:r>
      <w:r>
        <w:rPr>
          <w:spacing w:val="-8"/>
        </w:rPr>
        <w:t xml:space="preserve"> </w:t>
      </w:r>
      <w:r>
        <w:t>través</w:t>
      </w:r>
      <w:r>
        <w:rPr>
          <w:spacing w:val="-9"/>
        </w:rPr>
        <w:t xml:space="preserve"> </w:t>
      </w:r>
      <w:r>
        <w:t>de</w:t>
      </w:r>
      <w:r>
        <w:rPr>
          <w:spacing w:val="-8"/>
        </w:rPr>
        <w:t xml:space="preserve"> </w:t>
      </w:r>
      <w:r>
        <w:t>mecanismos</w:t>
      </w:r>
      <w:r>
        <w:rPr>
          <w:spacing w:val="-8"/>
        </w:rPr>
        <w:t xml:space="preserve"> </w:t>
      </w:r>
      <w:r>
        <w:t>clientelistas</w:t>
      </w:r>
      <w:r>
        <w:rPr>
          <w:spacing w:val="-8"/>
        </w:rPr>
        <w:t xml:space="preserve"> </w:t>
      </w:r>
      <w:r>
        <w:t>que</w:t>
      </w:r>
      <w:r>
        <w:rPr>
          <w:spacing w:val="-9"/>
        </w:rPr>
        <w:t xml:space="preserve"> </w:t>
      </w:r>
      <w:r>
        <w:t>limitaban su</w:t>
      </w:r>
      <w:r>
        <w:rPr>
          <w:spacing w:val="-11"/>
        </w:rPr>
        <w:t xml:space="preserve"> </w:t>
      </w:r>
      <w:r>
        <w:t>movilización</w:t>
      </w:r>
      <w:r>
        <w:rPr>
          <w:spacing w:val="-11"/>
        </w:rPr>
        <w:t xml:space="preserve"> </w:t>
      </w:r>
      <w:r>
        <w:t>social</w:t>
      </w:r>
      <w:r>
        <w:rPr>
          <w:spacing w:val="-11"/>
        </w:rPr>
        <w:t xml:space="preserve"> </w:t>
      </w:r>
      <w:r>
        <w:t>autónoma</w:t>
      </w:r>
      <w:r w:rsidR="0065055B">
        <w:rPr>
          <w:rStyle w:val="Refdenotaalpie"/>
        </w:rPr>
        <w:footnoteReference w:id="965"/>
      </w:r>
      <w:r>
        <w:rPr>
          <w:spacing w:val="-10"/>
        </w:rPr>
        <w:t xml:space="preserve"> </w:t>
      </w:r>
      <w:r>
        <w:t>y</w:t>
      </w:r>
      <w:r>
        <w:rPr>
          <w:spacing w:val="-11"/>
        </w:rPr>
        <w:t xml:space="preserve"> </w:t>
      </w:r>
      <w:r>
        <w:t>estaban</w:t>
      </w:r>
      <w:r>
        <w:rPr>
          <w:spacing w:val="-11"/>
        </w:rPr>
        <w:t xml:space="preserve"> </w:t>
      </w:r>
      <w:r>
        <w:t>permanente</w:t>
      </w:r>
      <w:r>
        <w:rPr>
          <w:spacing w:val="-10"/>
        </w:rPr>
        <w:t xml:space="preserve"> </w:t>
      </w:r>
      <w:r>
        <w:t>sometidos</w:t>
      </w:r>
      <w:r>
        <w:rPr>
          <w:spacing w:val="-11"/>
        </w:rPr>
        <w:t xml:space="preserve"> </w:t>
      </w:r>
      <w:r>
        <w:t>a</w:t>
      </w:r>
      <w:r>
        <w:rPr>
          <w:spacing w:val="-12"/>
        </w:rPr>
        <w:t xml:space="preserve"> </w:t>
      </w:r>
      <w:r>
        <w:t>condiciones</w:t>
      </w:r>
      <w:r>
        <w:rPr>
          <w:spacing w:val="-10"/>
        </w:rPr>
        <w:t xml:space="preserve"> </w:t>
      </w:r>
      <w:r>
        <w:t>laborales y</w:t>
      </w:r>
      <w:r>
        <w:rPr>
          <w:spacing w:val="-15"/>
        </w:rPr>
        <w:t xml:space="preserve"> </w:t>
      </w:r>
      <w:r>
        <w:t>de</w:t>
      </w:r>
      <w:r>
        <w:rPr>
          <w:spacing w:val="-15"/>
        </w:rPr>
        <w:t xml:space="preserve"> </w:t>
      </w:r>
      <w:r>
        <w:t>vida</w:t>
      </w:r>
      <w:r>
        <w:rPr>
          <w:spacing w:val="-15"/>
        </w:rPr>
        <w:t xml:space="preserve"> </w:t>
      </w:r>
      <w:r>
        <w:t>contrarias</w:t>
      </w:r>
      <w:r>
        <w:rPr>
          <w:spacing w:val="-15"/>
        </w:rPr>
        <w:t xml:space="preserve"> </w:t>
      </w:r>
      <w:r>
        <w:t>a</w:t>
      </w:r>
      <w:r>
        <w:rPr>
          <w:spacing w:val="-15"/>
        </w:rPr>
        <w:t xml:space="preserve"> </w:t>
      </w:r>
      <w:r>
        <w:t>los</w:t>
      </w:r>
      <w:r>
        <w:rPr>
          <w:spacing w:val="-15"/>
        </w:rPr>
        <w:t xml:space="preserve"> </w:t>
      </w:r>
      <w:r>
        <w:t>mínimos</w:t>
      </w:r>
      <w:r>
        <w:rPr>
          <w:spacing w:val="-15"/>
        </w:rPr>
        <w:t xml:space="preserve"> </w:t>
      </w:r>
      <w:r>
        <w:t>derechos</w:t>
      </w:r>
      <w:r>
        <w:rPr>
          <w:spacing w:val="-15"/>
        </w:rPr>
        <w:t xml:space="preserve"> </w:t>
      </w:r>
      <w:r>
        <w:t>humanos</w:t>
      </w:r>
      <w:r>
        <w:rPr>
          <w:spacing w:val="-15"/>
        </w:rPr>
        <w:t xml:space="preserve"> </w:t>
      </w:r>
      <w:r>
        <w:t>y</w:t>
      </w:r>
      <w:r>
        <w:rPr>
          <w:spacing w:val="-15"/>
        </w:rPr>
        <w:t xml:space="preserve"> </w:t>
      </w:r>
      <w:r>
        <w:t>ciudadanos.</w:t>
      </w:r>
      <w:r w:rsidR="0065055B">
        <w:rPr>
          <w:rStyle w:val="Refdenotaalpie"/>
        </w:rPr>
        <w:footnoteReference w:id="966"/>
      </w:r>
      <w:r>
        <w:rPr>
          <w:spacing w:val="-15"/>
        </w:rPr>
        <w:t xml:space="preserve"> </w:t>
      </w:r>
      <w:r>
        <w:t>Esta</w:t>
      </w:r>
      <w:r>
        <w:rPr>
          <w:spacing w:val="-15"/>
        </w:rPr>
        <w:t xml:space="preserve"> </w:t>
      </w:r>
      <w:r>
        <w:t>articulación</w:t>
      </w:r>
      <w:r>
        <w:rPr>
          <w:spacing w:val="-15"/>
        </w:rPr>
        <w:t xml:space="preserve"> </w:t>
      </w:r>
      <w:r>
        <w:t>entre el poder político y la gran propiedad agraria produjo y sigue produciendo frenos a la democratización regional y local y profundas desigualdades agrarias.</w:t>
      </w:r>
    </w:p>
    <w:p w:rsidR="003804AC" w:rsidRDefault="00AF18A5" w:rsidP="0065055B">
      <w:r>
        <w:lastRenderedPageBreak/>
        <w:t>Como resultado de este panorama emergieron conflictos por la monopolización de la propiedad y el desorden de las formas de apropiación de las tierras baldías, así como por la persistencia de formas de poder asociadas a la gran propiedad. Tales conflictos se fueron profundizando como resultado de presiones sobre la tierra, derivadas primero de los incrementos</w:t>
      </w:r>
      <w:r>
        <w:rPr>
          <w:spacing w:val="-2"/>
        </w:rPr>
        <w:t xml:space="preserve"> </w:t>
      </w:r>
      <w:r>
        <w:t>de</w:t>
      </w:r>
      <w:r>
        <w:rPr>
          <w:spacing w:val="-1"/>
        </w:rPr>
        <w:t xml:space="preserve"> </w:t>
      </w:r>
      <w:r>
        <w:t>los</w:t>
      </w:r>
      <w:r>
        <w:rPr>
          <w:spacing w:val="-1"/>
        </w:rPr>
        <w:t xml:space="preserve"> </w:t>
      </w:r>
      <w:r>
        <w:t>precios</w:t>
      </w:r>
      <w:r>
        <w:rPr>
          <w:spacing w:val="-1"/>
        </w:rPr>
        <w:t xml:space="preserve"> </w:t>
      </w:r>
      <w:r>
        <w:t>del</w:t>
      </w:r>
      <w:r>
        <w:rPr>
          <w:spacing w:val="-1"/>
        </w:rPr>
        <w:t xml:space="preserve"> </w:t>
      </w:r>
      <w:r>
        <w:t>café</w:t>
      </w:r>
      <w:r>
        <w:rPr>
          <w:spacing w:val="-1"/>
        </w:rPr>
        <w:t xml:space="preserve"> </w:t>
      </w:r>
      <w:r>
        <w:t>y</w:t>
      </w:r>
      <w:r>
        <w:rPr>
          <w:spacing w:val="-3"/>
        </w:rPr>
        <w:t xml:space="preserve"> </w:t>
      </w:r>
      <w:r>
        <w:t>posteriormente,</w:t>
      </w:r>
      <w:r>
        <w:rPr>
          <w:spacing w:val="-1"/>
        </w:rPr>
        <w:t xml:space="preserve"> </w:t>
      </w:r>
      <w:r>
        <w:t>de</w:t>
      </w:r>
      <w:r>
        <w:rPr>
          <w:spacing w:val="-1"/>
        </w:rPr>
        <w:t xml:space="preserve"> </w:t>
      </w:r>
      <w:r>
        <w:t>las</w:t>
      </w:r>
      <w:r>
        <w:rPr>
          <w:spacing w:val="-1"/>
        </w:rPr>
        <w:t xml:space="preserve"> </w:t>
      </w:r>
      <w:r>
        <w:t>apuestas</w:t>
      </w:r>
      <w:r>
        <w:rPr>
          <w:spacing w:val="-1"/>
        </w:rPr>
        <w:t xml:space="preserve"> </w:t>
      </w:r>
      <w:r>
        <w:t>industriales</w:t>
      </w:r>
      <w:r>
        <w:rPr>
          <w:spacing w:val="-1"/>
        </w:rPr>
        <w:t xml:space="preserve"> </w:t>
      </w:r>
      <w:r>
        <w:t>del</w:t>
      </w:r>
      <w:r>
        <w:rPr>
          <w:spacing w:val="-1"/>
        </w:rPr>
        <w:t xml:space="preserve"> </w:t>
      </w:r>
      <w:r>
        <w:t>agro</w:t>
      </w:r>
      <w:r>
        <w:rPr>
          <w:spacing w:val="-1"/>
        </w:rPr>
        <w:t xml:space="preserve"> </w:t>
      </w:r>
      <w:r>
        <w:t>y la minería a gran escala.</w:t>
      </w:r>
    </w:p>
    <w:p w:rsidR="003804AC" w:rsidRDefault="00AF18A5" w:rsidP="00B34E6C">
      <w:r>
        <w:t>Durante los años veinte y treinta del siglo XX, cuando el precio internacional del café aumentó de un promedio de 30 a 90 centavos de dólar por libra en los Estados Unidos, la presión</w:t>
      </w:r>
      <w:r>
        <w:rPr>
          <w:spacing w:val="-15"/>
        </w:rPr>
        <w:t xml:space="preserve"> </w:t>
      </w:r>
      <w:r>
        <w:t>de</w:t>
      </w:r>
      <w:r>
        <w:rPr>
          <w:spacing w:val="-15"/>
        </w:rPr>
        <w:t xml:space="preserve"> </w:t>
      </w:r>
      <w:r>
        <w:t>campesinos</w:t>
      </w:r>
      <w:r>
        <w:rPr>
          <w:spacing w:val="-14"/>
        </w:rPr>
        <w:t xml:space="preserve"> </w:t>
      </w:r>
      <w:r>
        <w:t>y</w:t>
      </w:r>
      <w:r>
        <w:rPr>
          <w:spacing w:val="-15"/>
        </w:rPr>
        <w:t xml:space="preserve"> </w:t>
      </w:r>
      <w:r>
        <w:t>colonos</w:t>
      </w:r>
      <w:r>
        <w:rPr>
          <w:spacing w:val="-15"/>
        </w:rPr>
        <w:t xml:space="preserve"> </w:t>
      </w:r>
      <w:r>
        <w:t>por</w:t>
      </w:r>
      <w:r>
        <w:rPr>
          <w:spacing w:val="-15"/>
        </w:rPr>
        <w:t xml:space="preserve"> </w:t>
      </w:r>
      <w:r>
        <w:t>cultivar</w:t>
      </w:r>
      <w:r>
        <w:rPr>
          <w:spacing w:val="-15"/>
        </w:rPr>
        <w:t xml:space="preserve"> </w:t>
      </w:r>
      <w:r>
        <w:t>café</w:t>
      </w:r>
      <w:r>
        <w:rPr>
          <w:spacing w:val="-15"/>
        </w:rPr>
        <w:t xml:space="preserve"> </w:t>
      </w:r>
      <w:r>
        <w:t>en</w:t>
      </w:r>
      <w:r>
        <w:rPr>
          <w:spacing w:val="-15"/>
        </w:rPr>
        <w:t xml:space="preserve"> </w:t>
      </w:r>
      <w:r>
        <w:t>las</w:t>
      </w:r>
      <w:r>
        <w:rPr>
          <w:spacing w:val="-15"/>
        </w:rPr>
        <w:t xml:space="preserve"> </w:t>
      </w:r>
      <w:r>
        <w:t>tierras</w:t>
      </w:r>
      <w:r>
        <w:rPr>
          <w:spacing w:val="-14"/>
        </w:rPr>
        <w:t xml:space="preserve"> </w:t>
      </w:r>
      <w:r>
        <w:t>asignadas</w:t>
      </w:r>
      <w:r>
        <w:rPr>
          <w:spacing w:val="-15"/>
        </w:rPr>
        <w:t xml:space="preserve"> </w:t>
      </w:r>
      <w:r>
        <w:t>por</w:t>
      </w:r>
      <w:r>
        <w:rPr>
          <w:spacing w:val="-14"/>
        </w:rPr>
        <w:t xml:space="preserve"> </w:t>
      </w:r>
      <w:r>
        <w:t>los</w:t>
      </w:r>
      <w:r>
        <w:rPr>
          <w:spacing w:val="-15"/>
        </w:rPr>
        <w:t xml:space="preserve"> </w:t>
      </w:r>
      <w:r>
        <w:t xml:space="preserve">hacendados para </w:t>
      </w:r>
      <w:proofErr w:type="spellStart"/>
      <w:r>
        <w:t>pancoger</w:t>
      </w:r>
      <w:proofErr w:type="spellEnd"/>
      <w:r>
        <w:t xml:space="preserve"> o en tierras baldías llevó a fuertes enfrentamientos entre los campesinos y grandes</w:t>
      </w:r>
      <w:r>
        <w:rPr>
          <w:spacing w:val="26"/>
        </w:rPr>
        <w:t xml:space="preserve"> </w:t>
      </w:r>
      <w:r>
        <w:t>terratenientes.</w:t>
      </w:r>
      <w:r>
        <w:rPr>
          <w:spacing w:val="28"/>
        </w:rPr>
        <w:t xml:space="preserve"> </w:t>
      </w:r>
      <w:r>
        <w:t>Los</w:t>
      </w:r>
      <w:r>
        <w:rPr>
          <w:spacing w:val="30"/>
        </w:rPr>
        <w:t xml:space="preserve"> </w:t>
      </w:r>
      <w:r>
        <w:t>latifundistas</w:t>
      </w:r>
      <w:r>
        <w:rPr>
          <w:spacing w:val="29"/>
        </w:rPr>
        <w:t xml:space="preserve"> </w:t>
      </w:r>
      <w:r>
        <w:t>ampliaban</w:t>
      </w:r>
      <w:r>
        <w:rPr>
          <w:spacing w:val="29"/>
        </w:rPr>
        <w:t xml:space="preserve"> </w:t>
      </w:r>
      <w:r>
        <w:t>sus</w:t>
      </w:r>
      <w:r>
        <w:rPr>
          <w:spacing w:val="30"/>
        </w:rPr>
        <w:t xml:space="preserve"> </w:t>
      </w:r>
      <w:r>
        <w:t>haciendas</w:t>
      </w:r>
      <w:r>
        <w:rPr>
          <w:spacing w:val="30"/>
        </w:rPr>
        <w:t xml:space="preserve"> </w:t>
      </w:r>
      <w:r>
        <w:t>valiéndose</w:t>
      </w:r>
      <w:r>
        <w:rPr>
          <w:spacing w:val="30"/>
        </w:rPr>
        <w:t xml:space="preserve"> </w:t>
      </w:r>
      <w:r>
        <w:t>de</w:t>
      </w:r>
      <w:r>
        <w:rPr>
          <w:spacing w:val="29"/>
        </w:rPr>
        <w:t xml:space="preserve"> </w:t>
      </w:r>
      <w:r>
        <w:rPr>
          <w:spacing w:val="-2"/>
        </w:rPr>
        <w:t>alcaldes,</w:t>
      </w:r>
      <w:bookmarkStart w:id="1202" w:name="_bookmark1060"/>
      <w:bookmarkStart w:id="1203" w:name="_bookmark1061"/>
      <w:bookmarkStart w:id="1204" w:name="_bookmark1062"/>
      <w:bookmarkStart w:id="1205" w:name="_bookmark1063"/>
      <w:bookmarkEnd w:id="1202"/>
      <w:bookmarkEnd w:id="1203"/>
      <w:bookmarkEnd w:id="1204"/>
      <w:bookmarkEnd w:id="1205"/>
      <w:r w:rsidR="00B34E6C">
        <w:rPr>
          <w:spacing w:val="-2"/>
        </w:rPr>
        <w:t xml:space="preserve"> </w:t>
      </w:r>
      <w:r>
        <w:t>notarios</w:t>
      </w:r>
      <w:r>
        <w:rPr>
          <w:spacing w:val="-15"/>
        </w:rPr>
        <w:t xml:space="preserve"> </w:t>
      </w:r>
      <w:r>
        <w:t>y</w:t>
      </w:r>
      <w:r>
        <w:rPr>
          <w:spacing w:val="-15"/>
        </w:rPr>
        <w:t xml:space="preserve"> </w:t>
      </w:r>
      <w:r>
        <w:t>funcionarios</w:t>
      </w:r>
      <w:r>
        <w:rPr>
          <w:spacing w:val="-15"/>
        </w:rPr>
        <w:t xml:space="preserve"> </w:t>
      </w:r>
      <w:r>
        <w:t>del</w:t>
      </w:r>
      <w:r>
        <w:rPr>
          <w:spacing w:val="-15"/>
        </w:rPr>
        <w:t xml:space="preserve"> </w:t>
      </w:r>
      <w:r>
        <w:t>nivel</w:t>
      </w:r>
      <w:r>
        <w:rPr>
          <w:spacing w:val="-15"/>
        </w:rPr>
        <w:t xml:space="preserve"> </w:t>
      </w:r>
      <w:r>
        <w:t>nacional</w:t>
      </w:r>
      <w:r w:rsidR="00B34E6C">
        <w:rPr>
          <w:rStyle w:val="Refdenotaalpie"/>
        </w:rPr>
        <w:footnoteReference w:id="967"/>
      </w:r>
      <w:r>
        <w:t>.</w:t>
      </w:r>
      <w:r>
        <w:rPr>
          <w:spacing w:val="-15"/>
        </w:rPr>
        <w:t xml:space="preserve"> </w:t>
      </w:r>
      <w:r>
        <w:t>La</w:t>
      </w:r>
      <w:r>
        <w:rPr>
          <w:spacing w:val="-15"/>
        </w:rPr>
        <w:t xml:space="preserve"> </w:t>
      </w:r>
      <w:r>
        <w:t>ampliación</w:t>
      </w:r>
      <w:r>
        <w:rPr>
          <w:spacing w:val="-15"/>
        </w:rPr>
        <w:t xml:space="preserve"> </w:t>
      </w:r>
      <w:r>
        <w:t>de</w:t>
      </w:r>
      <w:r>
        <w:rPr>
          <w:spacing w:val="-15"/>
        </w:rPr>
        <w:t xml:space="preserve"> </w:t>
      </w:r>
      <w:r>
        <w:t>las</w:t>
      </w:r>
      <w:r>
        <w:rPr>
          <w:spacing w:val="-15"/>
        </w:rPr>
        <w:t xml:space="preserve"> </w:t>
      </w:r>
      <w:r>
        <w:t>haciendas</w:t>
      </w:r>
      <w:r>
        <w:rPr>
          <w:spacing w:val="-15"/>
        </w:rPr>
        <w:t xml:space="preserve"> </w:t>
      </w:r>
      <w:r>
        <w:t>solía</w:t>
      </w:r>
      <w:r>
        <w:rPr>
          <w:spacing w:val="-15"/>
        </w:rPr>
        <w:t xml:space="preserve"> </w:t>
      </w:r>
      <w:r>
        <w:t>sustentarse en el trabajo hecho por los colonos, quienes «civilizaban» la tierra con su trabajo, desmontaban,</w:t>
      </w:r>
      <w:r>
        <w:rPr>
          <w:spacing w:val="-15"/>
        </w:rPr>
        <w:t xml:space="preserve"> </w:t>
      </w:r>
      <w:r>
        <w:t>sembraban</w:t>
      </w:r>
      <w:r>
        <w:rPr>
          <w:spacing w:val="-15"/>
        </w:rPr>
        <w:t xml:space="preserve"> </w:t>
      </w:r>
      <w:r>
        <w:t>café</w:t>
      </w:r>
      <w:r>
        <w:rPr>
          <w:spacing w:val="-15"/>
        </w:rPr>
        <w:t xml:space="preserve"> </w:t>
      </w:r>
      <w:r>
        <w:t>y</w:t>
      </w:r>
      <w:r>
        <w:rPr>
          <w:spacing w:val="-15"/>
        </w:rPr>
        <w:t xml:space="preserve"> </w:t>
      </w:r>
      <w:r>
        <w:t>luego</w:t>
      </w:r>
      <w:r>
        <w:rPr>
          <w:spacing w:val="-15"/>
        </w:rPr>
        <w:t xml:space="preserve"> </w:t>
      </w:r>
      <w:r>
        <w:t>buscaban</w:t>
      </w:r>
      <w:r>
        <w:rPr>
          <w:spacing w:val="-15"/>
        </w:rPr>
        <w:t xml:space="preserve"> </w:t>
      </w:r>
      <w:r>
        <w:t>que</w:t>
      </w:r>
      <w:r>
        <w:rPr>
          <w:spacing w:val="-15"/>
        </w:rPr>
        <w:t xml:space="preserve"> </w:t>
      </w:r>
      <w:r>
        <w:t>se</w:t>
      </w:r>
      <w:r>
        <w:rPr>
          <w:spacing w:val="-15"/>
        </w:rPr>
        <w:t xml:space="preserve"> </w:t>
      </w:r>
      <w:r>
        <w:t>les</w:t>
      </w:r>
      <w:r>
        <w:rPr>
          <w:spacing w:val="-15"/>
        </w:rPr>
        <w:t xml:space="preserve"> </w:t>
      </w:r>
      <w:r>
        <w:t>adjudicara</w:t>
      </w:r>
      <w:r>
        <w:rPr>
          <w:spacing w:val="-15"/>
        </w:rPr>
        <w:t xml:space="preserve"> </w:t>
      </w:r>
      <w:r>
        <w:t>el</w:t>
      </w:r>
      <w:r>
        <w:rPr>
          <w:spacing w:val="-15"/>
        </w:rPr>
        <w:t xml:space="preserve"> </w:t>
      </w:r>
      <w:r>
        <w:t>baldío.</w:t>
      </w:r>
      <w:r>
        <w:rPr>
          <w:spacing w:val="-15"/>
        </w:rPr>
        <w:t xml:space="preserve"> </w:t>
      </w:r>
      <w:r>
        <w:t>Sin</w:t>
      </w:r>
      <w:r>
        <w:rPr>
          <w:spacing w:val="-15"/>
        </w:rPr>
        <w:t xml:space="preserve"> </w:t>
      </w:r>
      <w:r>
        <w:t>embargo, en</w:t>
      </w:r>
      <w:r>
        <w:rPr>
          <w:spacing w:val="-12"/>
        </w:rPr>
        <w:t xml:space="preserve"> </w:t>
      </w:r>
      <w:r>
        <w:t>muchos</w:t>
      </w:r>
      <w:r>
        <w:rPr>
          <w:spacing w:val="-12"/>
        </w:rPr>
        <w:t xml:space="preserve"> </w:t>
      </w:r>
      <w:r>
        <w:t>casos</w:t>
      </w:r>
      <w:r>
        <w:rPr>
          <w:spacing w:val="-12"/>
        </w:rPr>
        <w:t xml:space="preserve"> </w:t>
      </w:r>
      <w:r>
        <w:t>esos</w:t>
      </w:r>
      <w:r>
        <w:rPr>
          <w:spacing w:val="-12"/>
        </w:rPr>
        <w:t xml:space="preserve"> </w:t>
      </w:r>
      <w:r>
        <w:t>baldíos</w:t>
      </w:r>
      <w:r>
        <w:rPr>
          <w:spacing w:val="-12"/>
        </w:rPr>
        <w:t xml:space="preserve"> </w:t>
      </w:r>
      <w:r>
        <w:t>también</w:t>
      </w:r>
      <w:r>
        <w:rPr>
          <w:spacing w:val="-13"/>
        </w:rPr>
        <w:t xml:space="preserve"> </w:t>
      </w:r>
      <w:r>
        <w:t>eran</w:t>
      </w:r>
      <w:r>
        <w:rPr>
          <w:spacing w:val="-12"/>
        </w:rPr>
        <w:t xml:space="preserve"> </w:t>
      </w:r>
      <w:r>
        <w:t>reclamados</w:t>
      </w:r>
      <w:r>
        <w:rPr>
          <w:spacing w:val="-12"/>
        </w:rPr>
        <w:t xml:space="preserve"> </w:t>
      </w:r>
      <w:r>
        <w:t>por</w:t>
      </w:r>
      <w:r>
        <w:rPr>
          <w:spacing w:val="-12"/>
        </w:rPr>
        <w:t xml:space="preserve"> </w:t>
      </w:r>
      <w:r>
        <w:t>los</w:t>
      </w:r>
      <w:r>
        <w:rPr>
          <w:spacing w:val="-12"/>
        </w:rPr>
        <w:t xml:space="preserve"> </w:t>
      </w:r>
      <w:r>
        <w:t>hacendados,</w:t>
      </w:r>
      <w:r>
        <w:rPr>
          <w:spacing w:val="-13"/>
        </w:rPr>
        <w:t xml:space="preserve"> </w:t>
      </w:r>
      <w:r>
        <w:t>que</w:t>
      </w:r>
      <w:r>
        <w:rPr>
          <w:spacing w:val="-12"/>
        </w:rPr>
        <w:t xml:space="preserve"> </w:t>
      </w:r>
      <w:r>
        <w:t>casi</w:t>
      </w:r>
      <w:r>
        <w:rPr>
          <w:spacing w:val="-12"/>
        </w:rPr>
        <w:t xml:space="preserve"> </w:t>
      </w:r>
      <w:r>
        <w:t>siempre ganaban</w:t>
      </w:r>
      <w:r>
        <w:rPr>
          <w:spacing w:val="-5"/>
        </w:rPr>
        <w:t xml:space="preserve"> </w:t>
      </w:r>
      <w:r>
        <w:t>la</w:t>
      </w:r>
      <w:r>
        <w:rPr>
          <w:spacing w:val="-5"/>
        </w:rPr>
        <w:t xml:space="preserve"> </w:t>
      </w:r>
      <w:r>
        <w:t>disputa</w:t>
      </w:r>
      <w:r>
        <w:rPr>
          <w:spacing w:val="-6"/>
        </w:rPr>
        <w:t xml:space="preserve"> </w:t>
      </w:r>
      <w:r>
        <w:t>legal</w:t>
      </w:r>
      <w:r>
        <w:rPr>
          <w:spacing w:val="-6"/>
        </w:rPr>
        <w:t xml:space="preserve"> </w:t>
      </w:r>
      <w:r>
        <w:t>combinando</w:t>
      </w:r>
      <w:r>
        <w:rPr>
          <w:spacing w:val="-6"/>
        </w:rPr>
        <w:t xml:space="preserve"> </w:t>
      </w:r>
      <w:r>
        <w:t>el</w:t>
      </w:r>
      <w:r>
        <w:rPr>
          <w:spacing w:val="-4"/>
        </w:rPr>
        <w:t xml:space="preserve"> </w:t>
      </w:r>
      <w:r>
        <w:t>poder</w:t>
      </w:r>
      <w:r>
        <w:rPr>
          <w:spacing w:val="-4"/>
        </w:rPr>
        <w:t xml:space="preserve"> </w:t>
      </w:r>
      <w:r>
        <w:t>notarial</w:t>
      </w:r>
      <w:r>
        <w:rPr>
          <w:spacing w:val="-4"/>
        </w:rPr>
        <w:t xml:space="preserve"> </w:t>
      </w:r>
      <w:r>
        <w:t>con</w:t>
      </w:r>
      <w:r>
        <w:rPr>
          <w:spacing w:val="-6"/>
        </w:rPr>
        <w:t xml:space="preserve"> </w:t>
      </w:r>
      <w:r>
        <w:t>el</w:t>
      </w:r>
      <w:r>
        <w:rPr>
          <w:spacing w:val="-6"/>
        </w:rPr>
        <w:t xml:space="preserve"> </w:t>
      </w:r>
      <w:r>
        <w:t>de</w:t>
      </w:r>
      <w:r>
        <w:rPr>
          <w:spacing w:val="-5"/>
        </w:rPr>
        <w:t xml:space="preserve"> </w:t>
      </w:r>
      <w:r>
        <w:t>la</w:t>
      </w:r>
      <w:r>
        <w:rPr>
          <w:spacing w:val="-6"/>
        </w:rPr>
        <w:t xml:space="preserve"> </w:t>
      </w:r>
      <w:r>
        <w:t>fuerza</w:t>
      </w:r>
      <w:r>
        <w:rPr>
          <w:spacing w:val="-6"/>
        </w:rPr>
        <w:t xml:space="preserve"> </w:t>
      </w:r>
      <w:r>
        <w:t>pública</w:t>
      </w:r>
      <w:r>
        <w:rPr>
          <w:spacing w:val="-6"/>
        </w:rPr>
        <w:t xml:space="preserve"> </w:t>
      </w:r>
      <w:r>
        <w:t>y</w:t>
      </w:r>
      <w:r>
        <w:rPr>
          <w:spacing w:val="-5"/>
        </w:rPr>
        <w:t xml:space="preserve"> </w:t>
      </w:r>
      <w:r>
        <w:t>el</w:t>
      </w:r>
      <w:r>
        <w:rPr>
          <w:spacing w:val="-7"/>
        </w:rPr>
        <w:t xml:space="preserve"> </w:t>
      </w:r>
      <w:r>
        <w:t>de</w:t>
      </w:r>
      <w:r>
        <w:rPr>
          <w:spacing w:val="-5"/>
        </w:rPr>
        <w:t xml:space="preserve"> </w:t>
      </w:r>
      <w:r>
        <w:t>sus grupos</w:t>
      </w:r>
      <w:r>
        <w:rPr>
          <w:spacing w:val="-6"/>
        </w:rPr>
        <w:t xml:space="preserve"> </w:t>
      </w:r>
      <w:r>
        <w:t>de</w:t>
      </w:r>
      <w:r>
        <w:rPr>
          <w:spacing w:val="-6"/>
        </w:rPr>
        <w:t xml:space="preserve"> </w:t>
      </w:r>
      <w:r>
        <w:t>seguridad</w:t>
      </w:r>
      <w:r>
        <w:rPr>
          <w:spacing w:val="-6"/>
        </w:rPr>
        <w:t xml:space="preserve"> </w:t>
      </w:r>
      <w:r>
        <w:t>privada.</w:t>
      </w:r>
      <w:r>
        <w:rPr>
          <w:spacing w:val="-6"/>
        </w:rPr>
        <w:t xml:space="preserve"> </w:t>
      </w:r>
      <w:r>
        <w:t>Así,</w:t>
      </w:r>
      <w:r>
        <w:rPr>
          <w:spacing w:val="-6"/>
        </w:rPr>
        <w:t xml:space="preserve"> </w:t>
      </w:r>
      <w:r>
        <w:t>se</w:t>
      </w:r>
      <w:r>
        <w:rPr>
          <w:spacing w:val="-8"/>
        </w:rPr>
        <w:t xml:space="preserve"> </w:t>
      </w:r>
      <w:r>
        <w:t>promovió</w:t>
      </w:r>
      <w:r>
        <w:rPr>
          <w:spacing w:val="-6"/>
        </w:rPr>
        <w:t xml:space="preserve"> </w:t>
      </w:r>
      <w:r>
        <w:t>–con</w:t>
      </w:r>
      <w:r>
        <w:rPr>
          <w:spacing w:val="-6"/>
        </w:rPr>
        <w:t xml:space="preserve"> </w:t>
      </w:r>
      <w:r>
        <w:t>desalojos</w:t>
      </w:r>
      <w:r>
        <w:rPr>
          <w:spacing w:val="-7"/>
        </w:rPr>
        <w:t xml:space="preserve"> </w:t>
      </w:r>
      <w:r>
        <w:t>de</w:t>
      </w:r>
      <w:r>
        <w:rPr>
          <w:spacing w:val="-6"/>
        </w:rPr>
        <w:t xml:space="preserve"> </w:t>
      </w:r>
      <w:r>
        <w:t>las</w:t>
      </w:r>
      <w:r>
        <w:rPr>
          <w:spacing w:val="-7"/>
        </w:rPr>
        <w:t xml:space="preserve"> </w:t>
      </w:r>
      <w:r>
        <w:t>familias</w:t>
      </w:r>
      <w:r>
        <w:rPr>
          <w:spacing w:val="-6"/>
        </w:rPr>
        <w:t xml:space="preserve"> </w:t>
      </w:r>
      <w:r>
        <w:t>de</w:t>
      </w:r>
      <w:r>
        <w:rPr>
          <w:spacing w:val="-7"/>
        </w:rPr>
        <w:t xml:space="preserve"> </w:t>
      </w:r>
      <w:r>
        <w:t>colonos–</w:t>
      </w:r>
      <w:r>
        <w:rPr>
          <w:spacing w:val="-6"/>
        </w:rPr>
        <w:t xml:space="preserve"> </w:t>
      </w:r>
      <w:r>
        <w:t>la apropiación ilegal de los baldíos en el país</w:t>
      </w:r>
      <w:r w:rsidR="00B34E6C">
        <w:rPr>
          <w:rStyle w:val="Refdenotaalpie"/>
        </w:rPr>
        <w:footnoteReference w:id="968"/>
      </w:r>
      <w:r>
        <w:t>.</w:t>
      </w:r>
    </w:p>
    <w:p w:rsidR="003804AC" w:rsidRPr="00B34E6C" w:rsidRDefault="00AF18A5" w:rsidP="00B34E6C">
      <w:r>
        <w:t>En</w:t>
      </w:r>
      <w:r>
        <w:rPr>
          <w:spacing w:val="-6"/>
        </w:rPr>
        <w:t xml:space="preserve"> </w:t>
      </w:r>
      <w:r>
        <w:t>ese</w:t>
      </w:r>
      <w:r>
        <w:rPr>
          <w:spacing w:val="-6"/>
        </w:rPr>
        <w:t xml:space="preserve"> </w:t>
      </w:r>
      <w:r>
        <w:t>escenario</w:t>
      </w:r>
      <w:r>
        <w:rPr>
          <w:spacing w:val="-6"/>
        </w:rPr>
        <w:t xml:space="preserve"> </w:t>
      </w:r>
      <w:r>
        <w:t>de</w:t>
      </w:r>
      <w:r>
        <w:rPr>
          <w:spacing w:val="-6"/>
        </w:rPr>
        <w:t xml:space="preserve"> </w:t>
      </w:r>
      <w:r>
        <w:t>conflictos,</w:t>
      </w:r>
      <w:r>
        <w:rPr>
          <w:spacing w:val="-7"/>
        </w:rPr>
        <w:t xml:space="preserve"> </w:t>
      </w:r>
      <w:r>
        <w:t>el</w:t>
      </w:r>
      <w:r>
        <w:rPr>
          <w:spacing w:val="-7"/>
        </w:rPr>
        <w:t xml:space="preserve"> </w:t>
      </w:r>
      <w:r>
        <w:t>15</w:t>
      </w:r>
      <w:r>
        <w:rPr>
          <w:spacing w:val="-6"/>
        </w:rPr>
        <w:t xml:space="preserve"> </w:t>
      </w:r>
      <w:r>
        <w:t>de</w:t>
      </w:r>
      <w:r>
        <w:rPr>
          <w:spacing w:val="-6"/>
        </w:rPr>
        <w:t xml:space="preserve"> </w:t>
      </w:r>
      <w:r>
        <w:t>abril</w:t>
      </w:r>
      <w:r>
        <w:rPr>
          <w:spacing w:val="-6"/>
        </w:rPr>
        <w:t xml:space="preserve"> </w:t>
      </w:r>
      <w:r>
        <w:t>de</w:t>
      </w:r>
      <w:r>
        <w:rPr>
          <w:spacing w:val="-6"/>
        </w:rPr>
        <w:t xml:space="preserve"> </w:t>
      </w:r>
      <w:r>
        <w:t>1926</w:t>
      </w:r>
      <w:r>
        <w:rPr>
          <w:spacing w:val="-6"/>
        </w:rPr>
        <w:t xml:space="preserve"> </w:t>
      </w:r>
      <w:r>
        <w:t>la</w:t>
      </w:r>
      <w:r>
        <w:rPr>
          <w:spacing w:val="-6"/>
        </w:rPr>
        <w:t xml:space="preserve"> </w:t>
      </w:r>
      <w:r>
        <w:t>Corte</w:t>
      </w:r>
      <w:r>
        <w:rPr>
          <w:spacing w:val="-7"/>
        </w:rPr>
        <w:t xml:space="preserve"> </w:t>
      </w:r>
      <w:r>
        <w:t>Suprema</w:t>
      </w:r>
      <w:r>
        <w:rPr>
          <w:spacing w:val="-6"/>
        </w:rPr>
        <w:t xml:space="preserve"> </w:t>
      </w:r>
      <w:r>
        <w:t>de</w:t>
      </w:r>
      <w:r>
        <w:rPr>
          <w:spacing w:val="-7"/>
        </w:rPr>
        <w:t xml:space="preserve"> </w:t>
      </w:r>
      <w:r>
        <w:t>Justicia</w:t>
      </w:r>
      <w:r>
        <w:rPr>
          <w:spacing w:val="-7"/>
        </w:rPr>
        <w:t xml:space="preserve"> </w:t>
      </w:r>
      <w:r>
        <w:t>emitió una sentencia que encendió aún más la polémica</w:t>
      </w:r>
      <w:r w:rsidR="00B34E6C">
        <w:rPr>
          <w:rStyle w:val="Refdenotaalpie"/>
        </w:rPr>
        <w:footnoteReference w:id="969"/>
      </w:r>
      <w:r>
        <w:t xml:space="preserve">. </w:t>
      </w:r>
      <w:r>
        <w:lastRenderedPageBreak/>
        <w:t>En aquella providencia judicial, el alto tribunal hizo valer la presunción legal instituida por el Código Fiscal de 1912</w:t>
      </w:r>
      <w:r w:rsidR="00B34E6C">
        <w:rPr>
          <w:rStyle w:val="Refdenotaalpie"/>
        </w:rPr>
        <w:footnoteReference w:id="970"/>
      </w:r>
      <w:r>
        <w:t>, según la cual</w:t>
      </w:r>
      <w:r>
        <w:rPr>
          <w:spacing w:val="15"/>
        </w:rPr>
        <w:t xml:space="preserve"> </w:t>
      </w:r>
      <w:r>
        <w:t>eran</w:t>
      </w:r>
      <w:r>
        <w:rPr>
          <w:spacing w:val="17"/>
        </w:rPr>
        <w:t xml:space="preserve"> </w:t>
      </w:r>
      <w:r>
        <w:t>baldíos</w:t>
      </w:r>
      <w:r>
        <w:rPr>
          <w:spacing w:val="18"/>
        </w:rPr>
        <w:t xml:space="preserve"> </w:t>
      </w:r>
      <w:r>
        <w:t>todos</w:t>
      </w:r>
      <w:r>
        <w:rPr>
          <w:spacing w:val="16"/>
        </w:rPr>
        <w:t xml:space="preserve"> </w:t>
      </w:r>
      <w:r>
        <w:t>los</w:t>
      </w:r>
      <w:r>
        <w:rPr>
          <w:spacing w:val="17"/>
        </w:rPr>
        <w:t xml:space="preserve"> </w:t>
      </w:r>
      <w:r>
        <w:t>predios</w:t>
      </w:r>
      <w:r>
        <w:rPr>
          <w:spacing w:val="18"/>
        </w:rPr>
        <w:t xml:space="preserve"> </w:t>
      </w:r>
      <w:r>
        <w:t>que</w:t>
      </w:r>
      <w:r>
        <w:rPr>
          <w:spacing w:val="17"/>
        </w:rPr>
        <w:t xml:space="preserve"> </w:t>
      </w:r>
      <w:r>
        <w:t>no</w:t>
      </w:r>
      <w:r>
        <w:rPr>
          <w:spacing w:val="17"/>
        </w:rPr>
        <w:t xml:space="preserve"> </w:t>
      </w:r>
      <w:r>
        <w:t>tuvieran</w:t>
      </w:r>
      <w:r>
        <w:rPr>
          <w:spacing w:val="18"/>
        </w:rPr>
        <w:t xml:space="preserve"> </w:t>
      </w:r>
      <w:r>
        <w:t>otro</w:t>
      </w:r>
      <w:r>
        <w:rPr>
          <w:spacing w:val="17"/>
        </w:rPr>
        <w:t xml:space="preserve"> </w:t>
      </w:r>
      <w:r>
        <w:t>dueño.</w:t>
      </w:r>
      <w:r>
        <w:rPr>
          <w:spacing w:val="17"/>
        </w:rPr>
        <w:t xml:space="preserve"> </w:t>
      </w:r>
      <w:r>
        <w:t>En</w:t>
      </w:r>
      <w:r>
        <w:rPr>
          <w:spacing w:val="18"/>
        </w:rPr>
        <w:t xml:space="preserve"> </w:t>
      </w:r>
      <w:r>
        <w:t>ese</w:t>
      </w:r>
      <w:r>
        <w:rPr>
          <w:spacing w:val="17"/>
        </w:rPr>
        <w:t xml:space="preserve"> </w:t>
      </w:r>
      <w:r>
        <w:t>caso</w:t>
      </w:r>
      <w:r>
        <w:rPr>
          <w:spacing w:val="17"/>
        </w:rPr>
        <w:t xml:space="preserve"> </w:t>
      </w:r>
      <w:r>
        <w:t>específico,</w:t>
      </w:r>
      <w:r>
        <w:rPr>
          <w:spacing w:val="18"/>
        </w:rPr>
        <w:t xml:space="preserve"> </w:t>
      </w:r>
      <w:r>
        <w:rPr>
          <w:spacing w:val="-5"/>
        </w:rPr>
        <w:t>la</w:t>
      </w:r>
      <w:bookmarkStart w:id="1206" w:name="_bookmark1064"/>
      <w:bookmarkStart w:id="1207" w:name="_bookmark1065"/>
      <w:bookmarkStart w:id="1208" w:name="_bookmark1066"/>
      <w:bookmarkStart w:id="1209" w:name="_bookmark1067"/>
      <w:bookmarkEnd w:id="1206"/>
      <w:bookmarkEnd w:id="1207"/>
      <w:bookmarkEnd w:id="1208"/>
      <w:bookmarkEnd w:id="1209"/>
      <w:r w:rsidR="00B34E6C">
        <w:rPr>
          <w:spacing w:val="-5"/>
        </w:rPr>
        <w:t xml:space="preserve"> </w:t>
      </w:r>
      <w:r>
        <w:t>Corte</w:t>
      </w:r>
      <w:r>
        <w:rPr>
          <w:spacing w:val="-15"/>
        </w:rPr>
        <w:t xml:space="preserve"> </w:t>
      </w:r>
      <w:r>
        <w:t>determinó</w:t>
      </w:r>
      <w:r>
        <w:rPr>
          <w:spacing w:val="-15"/>
        </w:rPr>
        <w:t xml:space="preserve"> </w:t>
      </w:r>
      <w:r>
        <w:t>que</w:t>
      </w:r>
      <w:r>
        <w:rPr>
          <w:spacing w:val="-15"/>
        </w:rPr>
        <w:t xml:space="preserve"> </w:t>
      </w:r>
      <w:r>
        <w:t>demostrar</w:t>
      </w:r>
      <w:r>
        <w:rPr>
          <w:spacing w:val="-15"/>
        </w:rPr>
        <w:t xml:space="preserve"> </w:t>
      </w:r>
      <w:r>
        <w:t>una</w:t>
      </w:r>
      <w:r>
        <w:rPr>
          <w:spacing w:val="-15"/>
        </w:rPr>
        <w:t xml:space="preserve"> </w:t>
      </w:r>
      <w:r>
        <w:t>cadena</w:t>
      </w:r>
      <w:r>
        <w:rPr>
          <w:spacing w:val="-15"/>
        </w:rPr>
        <w:t xml:space="preserve"> </w:t>
      </w:r>
      <w:r>
        <w:t>de</w:t>
      </w:r>
      <w:r>
        <w:rPr>
          <w:spacing w:val="-15"/>
        </w:rPr>
        <w:t xml:space="preserve"> </w:t>
      </w:r>
      <w:r>
        <w:t>negocios</w:t>
      </w:r>
      <w:r>
        <w:rPr>
          <w:spacing w:val="-15"/>
        </w:rPr>
        <w:t xml:space="preserve"> </w:t>
      </w:r>
      <w:r>
        <w:t>jurídicos</w:t>
      </w:r>
      <w:r>
        <w:rPr>
          <w:spacing w:val="-15"/>
        </w:rPr>
        <w:t xml:space="preserve"> </w:t>
      </w:r>
      <w:r>
        <w:t>entre</w:t>
      </w:r>
      <w:r>
        <w:rPr>
          <w:spacing w:val="-15"/>
        </w:rPr>
        <w:t xml:space="preserve"> </w:t>
      </w:r>
      <w:r>
        <w:t>presuntos</w:t>
      </w:r>
      <w:r>
        <w:rPr>
          <w:spacing w:val="-15"/>
        </w:rPr>
        <w:t xml:space="preserve"> </w:t>
      </w:r>
      <w:r>
        <w:t>propietarios no era suficiente para afirmar la propiedad de un inmueble</w:t>
      </w:r>
      <w:r w:rsidR="00121DB9">
        <w:rPr>
          <w:rStyle w:val="Refdenotaalpie"/>
        </w:rPr>
        <w:footnoteReference w:id="971"/>
      </w:r>
      <w:r>
        <w:t xml:space="preserve">. Esta sentencia prendió las alarmas entre los presuntos propietarios de grandes extensiones de tierra que no </w:t>
      </w:r>
      <w:r>
        <w:lastRenderedPageBreak/>
        <w:t>ostentaban la trazabilidad de su derecho de forma tal que les permitiera probar cuándo y mediante qué acto</w:t>
      </w:r>
      <w:r>
        <w:rPr>
          <w:spacing w:val="-8"/>
        </w:rPr>
        <w:t xml:space="preserve"> </w:t>
      </w:r>
      <w:r>
        <w:t>el</w:t>
      </w:r>
      <w:r>
        <w:rPr>
          <w:spacing w:val="-9"/>
        </w:rPr>
        <w:t xml:space="preserve"> </w:t>
      </w:r>
      <w:r>
        <w:t>terreno</w:t>
      </w:r>
      <w:r>
        <w:rPr>
          <w:spacing w:val="-8"/>
        </w:rPr>
        <w:t xml:space="preserve"> </w:t>
      </w:r>
      <w:r>
        <w:t>fue</w:t>
      </w:r>
      <w:r>
        <w:rPr>
          <w:spacing w:val="-8"/>
        </w:rPr>
        <w:t xml:space="preserve"> </w:t>
      </w:r>
      <w:r>
        <w:t>adjudicado</w:t>
      </w:r>
      <w:r>
        <w:rPr>
          <w:spacing w:val="-8"/>
        </w:rPr>
        <w:t xml:space="preserve"> </w:t>
      </w:r>
      <w:r>
        <w:t>por</w:t>
      </w:r>
      <w:r>
        <w:rPr>
          <w:spacing w:val="-8"/>
        </w:rPr>
        <w:t xml:space="preserve"> </w:t>
      </w:r>
      <w:r>
        <w:t>el</w:t>
      </w:r>
      <w:r>
        <w:rPr>
          <w:spacing w:val="-9"/>
        </w:rPr>
        <w:t xml:space="preserve"> </w:t>
      </w:r>
      <w:r>
        <w:t>Estado.</w:t>
      </w:r>
      <w:r>
        <w:rPr>
          <w:spacing w:val="-8"/>
        </w:rPr>
        <w:t xml:space="preserve"> </w:t>
      </w:r>
      <w:r>
        <w:t>Esta</w:t>
      </w:r>
      <w:r>
        <w:rPr>
          <w:spacing w:val="-9"/>
        </w:rPr>
        <w:t xml:space="preserve"> </w:t>
      </w:r>
      <w:r>
        <w:t>situación,</w:t>
      </w:r>
      <w:r>
        <w:rPr>
          <w:spacing w:val="-8"/>
        </w:rPr>
        <w:t xml:space="preserve"> </w:t>
      </w:r>
      <w:r>
        <w:t>aunada</w:t>
      </w:r>
      <w:r>
        <w:rPr>
          <w:spacing w:val="-8"/>
        </w:rPr>
        <w:t xml:space="preserve"> </w:t>
      </w:r>
      <w:r>
        <w:t>al</w:t>
      </w:r>
      <w:r>
        <w:rPr>
          <w:spacing w:val="-8"/>
        </w:rPr>
        <w:t xml:space="preserve"> </w:t>
      </w:r>
      <w:r>
        <w:t>aumento</w:t>
      </w:r>
      <w:r>
        <w:rPr>
          <w:spacing w:val="-8"/>
        </w:rPr>
        <w:t xml:space="preserve"> </w:t>
      </w:r>
      <w:r>
        <w:t>paulatino</w:t>
      </w:r>
      <w:r>
        <w:rPr>
          <w:spacing w:val="-8"/>
        </w:rPr>
        <w:t xml:space="preserve"> </w:t>
      </w:r>
      <w:r>
        <w:t>del precio del café, incentivó a aparceros, arrendatarios, y campesinos en general a colonizar tierras</w:t>
      </w:r>
      <w:r>
        <w:rPr>
          <w:spacing w:val="-2"/>
        </w:rPr>
        <w:t xml:space="preserve"> </w:t>
      </w:r>
      <w:r>
        <w:t>baldías,</w:t>
      </w:r>
      <w:r>
        <w:rPr>
          <w:spacing w:val="-2"/>
        </w:rPr>
        <w:t xml:space="preserve"> </w:t>
      </w:r>
      <w:r>
        <w:t>incluso</w:t>
      </w:r>
      <w:r>
        <w:rPr>
          <w:spacing w:val="-2"/>
        </w:rPr>
        <w:t xml:space="preserve"> </w:t>
      </w:r>
      <w:r>
        <w:t>dentro</w:t>
      </w:r>
      <w:r>
        <w:rPr>
          <w:spacing w:val="-2"/>
        </w:rPr>
        <w:t xml:space="preserve"> </w:t>
      </w:r>
      <w:r>
        <w:t>de</w:t>
      </w:r>
      <w:r>
        <w:rPr>
          <w:spacing w:val="-2"/>
        </w:rPr>
        <w:t xml:space="preserve"> </w:t>
      </w:r>
      <w:r>
        <w:t>los</w:t>
      </w:r>
      <w:r>
        <w:rPr>
          <w:spacing w:val="-2"/>
        </w:rPr>
        <w:t xml:space="preserve"> </w:t>
      </w:r>
      <w:r>
        <w:t>límites</w:t>
      </w:r>
      <w:r>
        <w:rPr>
          <w:spacing w:val="-2"/>
        </w:rPr>
        <w:t xml:space="preserve"> </w:t>
      </w:r>
      <w:r>
        <w:t>de</w:t>
      </w:r>
      <w:r>
        <w:rPr>
          <w:spacing w:val="-2"/>
        </w:rPr>
        <w:t xml:space="preserve"> </w:t>
      </w:r>
      <w:r>
        <w:t>las</w:t>
      </w:r>
      <w:r>
        <w:rPr>
          <w:spacing w:val="-2"/>
        </w:rPr>
        <w:t xml:space="preserve"> </w:t>
      </w:r>
      <w:r>
        <w:t>grandes</w:t>
      </w:r>
      <w:r>
        <w:rPr>
          <w:spacing w:val="-2"/>
        </w:rPr>
        <w:t xml:space="preserve"> </w:t>
      </w:r>
      <w:r>
        <w:t>haciendas,</w:t>
      </w:r>
      <w:r>
        <w:rPr>
          <w:spacing w:val="-2"/>
        </w:rPr>
        <w:t xml:space="preserve"> </w:t>
      </w:r>
      <w:r>
        <w:t>cuya</w:t>
      </w:r>
      <w:r>
        <w:rPr>
          <w:spacing w:val="-2"/>
        </w:rPr>
        <w:t xml:space="preserve"> </w:t>
      </w:r>
      <w:r>
        <w:t>propiedad</w:t>
      </w:r>
      <w:r>
        <w:rPr>
          <w:spacing w:val="-2"/>
        </w:rPr>
        <w:t xml:space="preserve"> </w:t>
      </w:r>
      <w:r>
        <w:t>ahora no se consideraba legítima.</w:t>
      </w:r>
    </w:p>
    <w:p w:rsidR="003804AC" w:rsidRDefault="00AF18A5" w:rsidP="00121DB9">
      <w:r>
        <w:t>La respuesta de los hacendados fue violenta en casi todo el país, principalmente en las zonas</w:t>
      </w:r>
      <w:r>
        <w:rPr>
          <w:spacing w:val="-9"/>
        </w:rPr>
        <w:t xml:space="preserve"> </w:t>
      </w:r>
      <w:r>
        <w:t>dedicadas</w:t>
      </w:r>
      <w:r>
        <w:rPr>
          <w:spacing w:val="-9"/>
        </w:rPr>
        <w:t xml:space="preserve"> </w:t>
      </w:r>
      <w:r>
        <w:t>al</w:t>
      </w:r>
      <w:r>
        <w:rPr>
          <w:spacing w:val="-9"/>
        </w:rPr>
        <w:t xml:space="preserve"> </w:t>
      </w:r>
      <w:r>
        <w:t>cultivo</w:t>
      </w:r>
      <w:r>
        <w:rPr>
          <w:spacing w:val="-9"/>
        </w:rPr>
        <w:t xml:space="preserve"> </w:t>
      </w:r>
      <w:r>
        <w:t>del</w:t>
      </w:r>
      <w:r>
        <w:rPr>
          <w:spacing w:val="-9"/>
        </w:rPr>
        <w:t xml:space="preserve"> </w:t>
      </w:r>
      <w:r>
        <w:t>café.</w:t>
      </w:r>
      <w:r>
        <w:rPr>
          <w:spacing w:val="-9"/>
        </w:rPr>
        <w:t xml:space="preserve"> </w:t>
      </w:r>
      <w:r>
        <w:t>Se</w:t>
      </w:r>
      <w:r>
        <w:rPr>
          <w:spacing w:val="-9"/>
        </w:rPr>
        <w:t xml:space="preserve"> </w:t>
      </w:r>
      <w:r>
        <w:t>valieron</w:t>
      </w:r>
      <w:r>
        <w:rPr>
          <w:spacing w:val="-9"/>
        </w:rPr>
        <w:t xml:space="preserve"> </w:t>
      </w:r>
      <w:r>
        <w:t>de</w:t>
      </w:r>
      <w:r>
        <w:rPr>
          <w:spacing w:val="-9"/>
        </w:rPr>
        <w:t xml:space="preserve"> </w:t>
      </w:r>
      <w:r>
        <w:t>sus</w:t>
      </w:r>
      <w:r>
        <w:rPr>
          <w:spacing w:val="-9"/>
        </w:rPr>
        <w:t xml:space="preserve"> </w:t>
      </w:r>
      <w:r>
        <w:t>alianzas</w:t>
      </w:r>
      <w:r>
        <w:rPr>
          <w:spacing w:val="-9"/>
        </w:rPr>
        <w:t xml:space="preserve"> </w:t>
      </w:r>
      <w:r>
        <w:t>con</w:t>
      </w:r>
      <w:r>
        <w:rPr>
          <w:spacing w:val="-9"/>
        </w:rPr>
        <w:t xml:space="preserve"> </w:t>
      </w:r>
      <w:r>
        <w:t>autoridades</w:t>
      </w:r>
      <w:r>
        <w:rPr>
          <w:spacing w:val="-9"/>
        </w:rPr>
        <w:t xml:space="preserve"> </w:t>
      </w:r>
      <w:r>
        <w:t>municipales, y propiciaron desahucios y desalojos violentos de las familias colonas en las tierras en disputa. En este proceso, los poderes locales se valieron de mecanismos como el uso de la fuerza policial al servicio de hacendados. Esto fue facilitado por el carácter local que esta fuerza mantuvo hasta su nacionalización en 1960</w:t>
      </w:r>
      <w:r w:rsidR="00121DB9">
        <w:rPr>
          <w:rStyle w:val="Refdenotaalpie"/>
        </w:rPr>
        <w:footnoteReference w:id="972"/>
      </w:r>
      <w:r>
        <w:t>.</w:t>
      </w:r>
    </w:p>
    <w:p w:rsidR="003804AC" w:rsidRDefault="00AF18A5" w:rsidP="00121DB9">
      <w:r>
        <w:t>Durante</w:t>
      </w:r>
      <w:r>
        <w:rPr>
          <w:spacing w:val="-5"/>
        </w:rPr>
        <w:t xml:space="preserve"> </w:t>
      </w:r>
      <w:r>
        <w:t>toda</w:t>
      </w:r>
      <w:r>
        <w:rPr>
          <w:spacing w:val="-5"/>
        </w:rPr>
        <w:t xml:space="preserve"> </w:t>
      </w:r>
      <w:r>
        <w:t>la</w:t>
      </w:r>
      <w:r>
        <w:rPr>
          <w:spacing w:val="-5"/>
        </w:rPr>
        <w:t xml:space="preserve"> </w:t>
      </w:r>
      <w:r>
        <w:t>década</w:t>
      </w:r>
      <w:r>
        <w:rPr>
          <w:spacing w:val="-6"/>
        </w:rPr>
        <w:t xml:space="preserve"> </w:t>
      </w:r>
      <w:r>
        <w:t>de</w:t>
      </w:r>
      <w:r>
        <w:rPr>
          <w:spacing w:val="-5"/>
        </w:rPr>
        <w:t xml:space="preserve"> </w:t>
      </w:r>
      <w:r>
        <w:t>los</w:t>
      </w:r>
      <w:r>
        <w:rPr>
          <w:spacing w:val="-5"/>
        </w:rPr>
        <w:t xml:space="preserve"> </w:t>
      </w:r>
      <w:r>
        <w:t>años</w:t>
      </w:r>
      <w:r>
        <w:rPr>
          <w:spacing w:val="-5"/>
        </w:rPr>
        <w:t xml:space="preserve"> </w:t>
      </w:r>
      <w:r>
        <w:t>veinte,</w:t>
      </w:r>
      <w:r>
        <w:rPr>
          <w:spacing w:val="-5"/>
        </w:rPr>
        <w:t xml:space="preserve"> </w:t>
      </w:r>
      <w:r>
        <w:t>las</w:t>
      </w:r>
      <w:r>
        <w:rPr>
          <w:spacing w:val="-5"/>
        </w:rPr>
        <w:t xml:space="preserve"> </w:t>
      </w:r>
      <w:r>
        <w:t>tensiones</w:t>
      </w:r>
      <w:r>
        <w:rPr>
          <w:spacing w:val="-5"/>
        </w:rPr>
        <w:t xml:space="preserve"> </w:t>
      </w:r>
      <w:r>
        <w:t>fueron</w:t>
      </w:r>
      <w:r>
        <w:rPr>
          <w:spacing w:val="-5"/>
        </w:rPr>
        <w:t xml:space="preserve"> </w:t>
      </w:r>
      <w:r>
        <w:t>en</w:t>
      </w:r>
      <w:r>
        <w:rPr>
          <w:spacing w:val="-5"/>
        </w:rPr>
        <w:t xml:space="preserve"> </w:t>
      </w:r>
      <w:r>
        <w:t>aumento</w:t>
      </w:r>
      <w:r>
        <w:rPr>
          <w:spacing w:val="-5"/>
        </w:rPr>
        <w:t xml:space="preserve"> </w:t>
      </w:r>
      <w:r>
        <w:t>al</w:t>
      </w:r>
      <w:r>
        <w:rPr>
          <w:spacing w:val="-4"/>
        </w:rPr>
        <w:t xml:space="preserve"> </w:t>
      </w:r>
      <w:r>
        <w:t>tiempo</w:t>
      </w:r>
      <w:r>
        <w:rPr>
          <w:spacing w:val="-6"/>
        </w:rPr>
        <w:t xml:space="preserve"> </w:t>
      </w:r>
      <w:r>
        <w:t>que los sindicatos agrarios crecían; muchos, con cercanía al Partido Socialista Revolucionario (PSR), lideraban huelgas en Ciénaga, Barrancabermeja, El Líbano y Girardot, de tal suerte que colonos, arrendatarios y campesinos en general luchaban por su derecho a la tierra y a participar</w:t>
      </w:r>
      <w:r>
        <w:rPr>
          <w:spacing w:val="-8"/>
        </w:rPr>
        <w:t xml:space="preserve"> </w:t>
      </w:r>
      <w:r>
        <w:t>de</w:t>
      </w:r>
      <w:r>
        <w:rPr>
          <w:spacing w:val="-9"/>
        </w:rPr>
        <w:t xml:space="preserve"> </w:t>
      </w:r>
      <w:r>
        <w:t>la</w:t>
      </w:r>
      <w:r>
        <w:rPr>
          <w:spacing w:val="-8"/>
        </w:rPr>
        <w:t xml:space="preserve"> </w:t>
      </w:r>
      <w:r>
        <w:t>bonanza</w:t>
      </w:r>
      <w:r>
        <w:rPr>
          <w:spacing w:val="-8"/>
        </w:rPr>
        <w:t xml:space="preserve"> </w:t>
      </w:r>
      <w:r>
        <w:t>cafetera,</w:t>
      </w:r>
      <w:r>
        <w:rPr>
          <w:spacing w:val="-8"/>
        </w:rPr>
        <w:t xml:space="preserve"> </w:t>
      </w:r>
      <w:r>
        <w:t>mientras</w:t>
      </w:r>
      <w:r>
        <w:rPr>
          <w:spacing w:val="-8"/>
        </w:rPr>
        <w:t xml:space="preserve"> </w:t>
      </w:r>
      <w:r>
        <w:t>que</w:t>
      </w:r>
      <w:r>
        <w:rPr>
          <w:spacing w:val="-8"/>
        </w:rPr>
        <w:t xml:space="preserve"> </w:t>
      </w:r>
      <w:r>
        <w:t>los</w:t>
      </w:r>
      <w:r>
        <w:rPr>
          <w:spacing w:val="-8"/>
        </w:rPr>
        <w:t xml:space="preserve"> </w:t>
      </w:r>
      <w:r>
        <w:t>trabajadores</w:t>
      </w:r>
      <w:r>
        <w:rPr>
          <w:spacing w:val="-8"/>
        </w:rPr>
        <w:t xml:space="preserve"> </w:t>
      </w:r>
      <w:r>
        <w:t>de</w:t>
      </w:r>
      <w:r>
        <w:rPr>
          <w:spacing w:val="-8"/>
        </w:rPr>
        <w:t xml:space="preserve"> </w:t>
      </w:r>
      <w:r>
        <w:t>plantaciones,</w:t>
      </w:r>
      <w:r>
        <w:rPr>
          <w:spacing w:val="-8"/>
        </w:rPr>
        <w:t xml:space="preserve"> </w:t>
      </w:r>
      <w:r>
        <w:t>del</w:t>
      </w:r>
      <w:r>
        <w:rPr>
          <w:spacing w:val="-8"/>
        </w:rPr>
        <w:t xml:space="preserve"> </w:t>
      </w:r>
      <w:r>
        <w:t>petróleo y</w:t>
      </w:r>
      <w:r>
        <w:rPr>
          <w:spacing w:val="-7"/>
        </w:rPr>
        <w:t xml:space="preserve"> </w:t>
      </w:r>
      <w:r>
        <w:t>de</w:t>
      </w:r>
      <w:r>
        <w:rPr>
          <w:spacing w:val="-7"/>
        </w:rPr>
        <w:t xml:space="preserve"> </w:t>
      </w:r>
      <w:r>
        <w:t>ferrocarriles</w:t>
      </w:r>
      <w:r>
        <w:rPr>
          <w:spacing w:val="-7"/>
        </w:rPr>
        <w:t xml:space="preserve"> </w:t>
      </w:r>
      <w:r>
        <w:t>se</w:t>
      </w:r>
      <w:r>
        <w:rPr>
          <w:spacing w:val="-8"/>
        </w:rPr>
        <w:t xml:space="preserve"> </w:t>
      </w:r>
      <w:r>
        <w:t>movilizaban</w:t>
      </w:r>
      <w:r>
        <w:rPr>
          <w:spacing w:val="-7"/>
        </w:rPr>
        <w:t xml:space="preserve"> </w:t>
      </w:r>
      <w:r>
        <w:t>por</w:t>
      </w:r>
      <w:r>
        <w:rPr>
          <w:spacing w:val="-8"/>
        </w:rPr>
        <w:t xml:space="preserve"> </w:t>
      </w:r>
      <w:r>
        <w:t>mejores</w:t>
      </w:r>
      <w:r>
        <w:rPr>
          <w:spacing w:val="-7"/>
        </w:rPr>
        <w:t xml:space="preserve"> </w:t>
      </w:r>
      <w:r>
        <w:t>condiciones</w:t>
      </w:r>
      <w:r>
        <w:rPr>
          <w:spacing w:val="-7"/>
        </w:rPr>
        <w:t xml:space="preserve"> </w:t>
      </w:r>
      <w:r>
        <w:t>laborales.</w:t>
      </w:r>
      <w:r>
        <w:rPr>
          <w:spacing w:val="-9"/>
        </w:rPr>
        <w:t xml:space="preserve"> </w:t>
      </w:r>
      <w:r>
        <w:t>Para</w:t>
      </w:r>
      <w:r>
        <w:rPr>
          <w:spacing w:val="-8"/>
        </w:rPr>
        <w:t xml:space="preserve"> </w:t>
      </w:r>
      <w:r>
        <w:t>esa</w:t>
      </w:r>
      <w:r>
        <w:rPr>
          <w:spacing w:val="-7"/>
        </w:rPr>
        <w:t xml:space="preserve"> </w:t>
      </w:r>
      <w:r>
        <w:t>época</w:t>
      </w:r>
      <w:r>
        <w:rPr>
          <w:spacing w:val="-8"/>
        </w:rPr>
        <w:t xml:space="preserve"> </w:t>
      </w:r>
      <w:r>
        <w:t>también empezaron las luchas de Manuel Quintín Lame contra el terraje, el respeto a la cultura a la organización y a la aplicación de la Ley 89 de 1890, que reconocía el derecho de las comunidades a organizarse y declaraba imprescriptibles, inajenables e inembargables los resguardos</w:t>
      </w:r>
      <w:r>
        <w:rPr>
          <w:spacing w:val="3"/>
        </w:rPr>
        <w:t xml:space="preserve"> </w:t>
      </w:r>
      <w:r>
        <w:lastRenderedPageBreak/>
        <w:t>indígenas.</w:t>
      </w:r>
      <w:r>
        <w:rPr>
          <w:spacing w:val="6"/>
        </w:rPr>
        <w:t xml:space="preserve"> </w:t>
      </w:r>
      <w:r>
        <w:t>El</w:t>
      </w:r>
      <w:r>
        <w:rPr>
          <w:spacing w:val="5"/>
        </w:rPr>
        <w:t xml:space="preserve"> </w:t>
      </w:r>
      <w:r>
        <w:t>gobierno</w:t>
      </w:r>
      <w:r>
        <w:rPr>
          <w:spacing w:val="6"/>
        </w:rPr>
        <w:t xml:space="preserve"> </w:t>
      </w:r>
      <w:r>
        <w:t>de</w:t>
      </w:r>
      <w:r>
        <w:rPr>
          <w:spacing w:val="4"/>
        </w:rPr>
        <w:t xml:space="preserve"> </w:t>
      </w:r>
      <w:r>
        <w:t>Enrique</w:t>
      </w:r>
      <w:r>
        <w:rPr>
          <w:spacing w:val="6"/>
        </w:rPr>
        <w:t xml:space="preserve"> </w:t>
      </w:r>
      <w:r>
        <w:t>Olaya</w:t>
      </w:r>
      <w:r>
        <w:rPr>
          <w:spacing w:val="6"/>
        </w:rPr>
        <w:t xml:space="preserve"> </w:t>
      </w:r>
      <w:r>
        <w:t>Herrera</w:t>
      </w:r>
      <w:r>
        <w:rPr>
          <w:spacing w:val="5"/>
        </w:rPr>
        <w:t xml:space="preserve"> </w:t>
      </w:r>
      <w:r>
        <w:t>intentó</w:t>
      </w:r>
      <w:r>
        <w:rPr>
          <w:spacing w:val="5"/>
        </w:rPr>
        <w:t xml:space="preserve"> </w:t>
      </w:r>
      <w:r>
        <w:t>dirimir</w:t>
      </w:r>
      <w:r>
        <w:rPr>
          <w:spacing w:val="5"/>
        </w:rPr>
        <w:t xml:space="preserve"> </w:t>
      </w:r>
      <w:r>
        <w:t>las</w:t>
      </w:r>
      <w:r>
        <w:rPr>
          <w:spacing w:val="6"/>
        </w:rPr>
        <w:t xml:space="preserve"> </w:t>
      </w:r>
      <w:r>
        <w:t>tensiones</w:t>
      </w:r>
      <w:r>
        <w:rPr>
          <w:spacing w:val="6"/>
        </w:rPr>
        <w:t xml:space="preserve"> </w:t>
      </w:r>
      <w:r>
        <w:rPr>
          <w:spacing w:val="-10"/>
        </w:rPr>
        <w:t>y</w:t>
      </w:r>
      <w:bookmarkStart w:id="1210" w:name="_bookmark1068"/>
      <w:bookmarkStart w:id="1211" w:name="_bookmark1069"/>
      <w:bookmarkEnd w:id="1210"/>
      <w:bookmarkEnd w:id="1211"/>
      <w:r w:rsidR="00121DB9">
        <w:t xml:space="preserve"> </w:t>
      </w:r>
      <w:r>
        <w:t>sancionó la Ley 83 de 1931, que permitió la organización de sindicatos y ligas campesinas de colonos y arrendatarios, que ya venían gestándose desde la década anterior. Asimismo, en 1933 estableció una comisión que formuló una propuesta de legislación agraria para dirimir</w:t>
      </w:r>
      <w:r>
        <w:rPr>
          <w:spacing w:val="-6"/>
        </w:rPr>
        <w:t xml:space="preserve"> </w:t>
      </w:r>
      <w:r>
        <w:t>las</w:t>
      </w:r>
      <w:r>
        <w:rPr>
          <w:spacing w:val="-6"/>
        </w:rPr>
        <w:t xml:space="preserve"> </w:t>
      </w:r>
      <w:r>
        <w:t>tensiones</w:t>
      </w:r>
      <w:r>
        <w:rPr>
          <w:spacing w:val="-6"/>
        </w:rPr>
        <w:t xml:space="preserve"> </w:t>
      </w:r>
      <w:r>
        <w:t>por</w:t>
      </w:r>
      <w:r>
        <w:rPr>
          <w:spacing w:val="-6"/>
        </w:rPr>
        <w:t xml:space="preserve"> </w:t>
      </w:r>
      <w:r>
        <w:t>las</w:t>
      </w:r>
      <w:r>
        <w:rPr>
          <w:spacing w:val="-6"/>
        </w:rPr>
        <w:t xml:space="preserve"> </w:t>
      </w:r>
      <w:r>
        <w:t>tierras</w:t>
      </w:r>
      <w:r>
        <w:rPr>
          <w:spacing w:val="-6"/>
        </w:rPr>
        <w:t xml:space="preserve"> </w:t>
      </w:r>
      <w:r>
        <w:t>baldías.</w:t>
      </w:r>
      <w:r>
        <w:rPr>
          <w:spacing w:val="-6"/>
        </w:rPr>
        <w:t xml:space="preserve"> </w:t>
      </w:r>
      <w:r>
        <w:t>La</w:t>
      </w:r>
      <w:r>
        <w:rPr>
          <w:spacing w:val="-6"/>
        </w:rPr>
        <w:t xml:space="preserve"> </w:t>
      </w:r>
      <w:r>
        <w:t>comisión</w:t>
      </w:r>
      <w:r>
        <w:rPr>
          <w:spacing w:val="-6"/>
        </w:rPr>
        <w:t xml:space="preserve"> </w:t>
      </w:r>
      <w:r>
        <w:t>fue</w:t>
      </w:r>
      <w:r>
        <w:rPr>
          <w:spacing w:val="-7"/>
        </w:rPr>
        <w:t xml:space="preserve"> </w:t>
      </w:r>
      <w:r>
        <w:t>integrada,</w:t>
      </w:r>
      <w:r>
        <w:rPr>
          <w:spacing w:val="-6"/>
        </w:rPr>
        <w:t xml:space="preserve"> </w:t>
      </w:r>
      <w:r>
        <w:t>entre</w:t>
      </w:r>
      <w:r>
        <w:rPr>
          <w:spacing w:val="-6"/>
        </w:rPr>
        <w:t xml:space="preserve"> </w:t>
      </w:r>
      <w:r>
        <w:t>otros,</w:t>
      </w:r>
      <w:r>
        <w:rPr>
          <w:spacing w:val="-6"/>
        </w:rPr>
        <w:t xml:space="preserve"> </w:t>
      </w:r>
      <w:r>
        <w:t>por</w:t>
      </w:r>
      <w:r>
        <w:rPr>
          <w:spacing w:val="-7"/>
        </w:rPr>
        <w:t xml:space="preserve"> </w:t>
      </w:r>
      <w:r>
        <w:t>Jorge Eliécer</w:t>
      </w:r>
      <w:r>
        <w:rPr>
          <w:spacing w:val="-9"/>
        </w:rPr>
        <w:t xml:space="preserve"> </w:t>
      </w:r>
      <w:r>
        <w:t>Gaitán,</w:t>
      </w:r>
      <w:r>
        <w:rPr>
          <w:spacing w:val="-9"/>
        </w:rPr>
        <w:t xml:space="preserve"> </w:t>
      </w:r>
      <w:r>
        <w:t>entonces</w:t>
      </w:r>
      <w:r>
        <w:rPr>
          <w:spacing w:val="-10"/>
        </w:rPr>
        <w:t xml:space="preserve"> </w:t>
      </w:r>
      <w:r>
        <w:t>parlamentario</w:t>
      </w:r>
      <w:r>
        <w:rPr>
          <w:spacing w:val="-9"/>
        </w:rPr>
        <w:t xml:space="preserve"> </w:t>
      </w:r>
      <w:r>
        <w:t>liberal.</w:t>
      </w:r>
      <w:r>
        <w:rPr>
          <w:spacing w:val="-11"/>
        </w:rPr>
        <w:t xml:space="preserve"> </w:t>
      </w:r>
      <w:r>
        <w:t>El</w:t>
      </w:r>
      <w:r>
        <w:rPr>
          <w:spacing w:val="-10"/>
        </w:rPr>
        <w:t xml:space="preserve"> </w:t>
      </w:r>
      <w:r>
        <w:t>proyecto</w:t>
      </w:r>
      <w:r>
        <w:rPr>
          <w:spacing w:val="-9"/>
        </w:rPr>
        <w:t xml:space="preserve"> </w:t>
      </w:r>
      <w:r>
        <w:t>de</w:t>
      </w:r>
      <w:r>
        <w:rPr>
          <w:spacing w:val="-12"/>
        </w:rPr>
        <w:t xml:space="preserve"> </w:t>
      </w:r>
      <w:r>
        <w:t>ley</w:t>
      </w:r>
      <w:r>
        <w:rPr>
          <w:spacing w:val="-9"/>
        </w:rPr>
        <w:t xml:space="preserve"> </w:t>
      </w:r>
      <w:r>
        <w:t>de</w:t>
      </w:r>
      <w:r>
        <w:rPr>
          <w:spacing w:val="-10"/>
        </w:rPr>
        <w:t xml:space="preserve"> </w:t>
      </w:r>
      <w:r>
        <w:t>1933</w:t>
      </w:r>
      <w:r>
        <w:rPr>
          <w:spacing w:val="-11"/>
        </w:rPr>
        <w:t xml:space="preserve"> </w:t>
      </w:r>
      <w:r>
        <w:t>zanjaba</w:t>
      </w:r>
      <w:r>
        <w:rPr>
          <w:spacing w:val="-10"/>
        </w:rPr>
        <w:t xml:space="preserve"> </w:t>
      </w:r>
      <w:r>
        <w:t>la</w:t>
      </w:r>
      <w:r>
        <w:rPr>
          <w:spacing w:val="-10"/>
        </w:rPr>
        <w:t xml:space="preserve"> </w:t>
      </w:r>
      <w:r>
        <w:t>tensión a</w:t>
      </w:r>
      <w:r>
        <w:rPr>
          <w:spacing w:val="-12"/>
        </w:rPr>
        <w:t xml:space="preserve"> </w:t>
      </w:r>
      <w:r>
        <w:t>favor</w:t>
      </w:r>
      <w:r>
        <w:rPr>
          <w:spacing w:val="-11"/>
        </w:rPr>
        <w:t xml:space="preserve"> </w:t>
      </w:r>
      <w:r>
        <w:t>de</w:t>
      </w:r>
      <w:r>
        <w:rPr>
          <w:spacing w:val="-13"/>
        </w:rPr>
        <w:t xml:space="preserve"> </w:t>
      </w:r>
      <w:r>
        <w:t>los</w:t>
      </w:r>
      <w:r>
        <w:rPr>
          <w:spacing w:val="-12"/>
        </w:rPr>
        <w:t xml:space="preserve"> </w:t>
      </w:r>
      <w:r>
        <w:t>colonos,</w:t>
      </w:r>
      <w:r>
        <w:rPr>
          <w:spacing w:val="-13"/>
        </w:rPr>
        <w:t xml:space="preserve"> </w:t>
      </w:r>
      <w:r>
        <w:t>pues</w:t>
      </w:r>
      <w:r>
        <w:rPr>
          <w:spacing w:val="-12"/>
        </w:rPr>
        <w:t xml:space="preserve"> </w:t>
      </w:r>
      <w:r>
        <w:t>determinaba</w:t>
      </w:r>
      <w:r>
        <w:rPr>
          <w:spacing w:val="-12"/>
        </w:rPr>
        <w:t xml:space="preserve"> </w:t>
      </w:r>
      <w:r>
        <w:t>que</w:t>
      </w:r>
      <w:r>
        <w:rPr>
          <w:spacing w:val="-13"/>
        </w:rPr>
        <w:t xml:space="preserve"> </w:t>
      </w:r>
      <w:r>
        <w:t>el</w:t>
      </w:r>
      <w:r>
        <w:rPr>
          <w:spacing w:val="-13"/>
        </w:rPr>
        <w:t xml:space="preserve"> </w:t>
      </w:r>
      <w:r>
        <w:t>factor</w:t>
      </w:r>
      <w:r>
        <w:rPr>
          <w:spacing w:val="-13"/>
        </w:rPr>
        <w:t xml:space="preserve"> </w:t>
      </w:r>
      <w:r>
        <w:t>que</w:t>
      </w:r>
      <w:r>
        <w:rPr>
          <w:spacing w:val="-12"/>
        </w:rPr>
        <w:t xml:space="preserve"> </w:t>
      </w:r>
      <w:r>
        <w:t>determinaba</w:t>
      </w:r>
      <w:r>
        <w:rPr>
          <w:spacing w:val="-13"/>
        </w:rPr>
        <w:t xml:space="preserve"> </w:t>
      </w:r>
      <w:r>
        <w:t>la</w:t>
      </w:r>
      <w:r>
        <w:rPr>
          <w:spacing w:val="-12"/>
        </w:rPr>
        <w:t xml:space="preserve"> </w:t>
      </w:r>
      <w:r>
        <w:t>propiedad</w:t>
      </w:r>
      <w:r>
        <w:rPr>
          <w:spacing w:val="-13"/>
        </w:rPr>
        <w:t xml:space="preserve"> </w:t>
      </w:r>
      <w:r>
        <w:t>legítima de las tierras en disputa sería el trabajo, es decir, las tierras ociosas serían entendidas, en cualquier caso, como baldías. El proyecto fue derrotado en el congreso con votos conservadores y muchos liberales que se oponían a la redistribución de tierras.</w:t>
      </w:r>
    </w:p>
    <w:p w:rsidR="003804AC" w:rsidRDefault="00AF18A5" w:rsidP="00121DB9">
      <w:r>
        <w:t>El</w:t>
      </w:r>
      <w:r>
        <w:rPr>
          <w:spacing w:val="-4"/>
        </w:rPr>
        <w:t xml:space="preserve"> </w:t>
      </w:r>
      <w:r>
        <w:t>debate</w:t>
      </w:r>
      <w:r>
        <w:rPr>
          <w:spacing w:val="-5"/>
        </w:rPr>
        <w:t xml:space="preserve"> </w:t>
      </w:r>
      <w:r>
        <w:t>sobre</w:t>
      </w:r>
      <w:r>
        <w:rPr>
          <w:spacing w:val="-5"/>
        </w:rPr>
        <w:t xml:space="preserve"> </w:t>
      </w:r>
      <w:r>
        <w:t>la</w:t>
      </w:r>
      <w:r>
        <w:rPr>
          <w:spacing w:val="-6"/>
        </w:rPr>
        <w:t xml:space="preserve"> </w:t>
      </w:r>
      <w:r>
        <w:t>propiedad</w:t>
      </w:r>
      <w:r>
        <w:rPr>
          <w:spacing w:val="-5"/>
        </w:rPr>
        <w:t xml:space="preserve"> </w:t>
      </w:r>
      <w:r>
        <w:t>se</w:t>
      </w:r>
      <w:r>
        <w:rPr>
          <w:spacing w:val="-5"/>
        </w:rPr>
        <w:t xml:space="preserve"> </w:t>
      </w:r>
      <w:r>
        <w:t>dirimió</w:t>
      </w:r>
      <w:r>
        <w:rPr>
          <w:spacing w:val="-5"/>
        </w:rPr>
        <w:t xml:space="preserve"> </w:t>
      </w:r>
      <w:r>
        <w:t>finalmente</w:t>
      </w:r>
      <w:r>
        <w:rPr>
          <w:spacing w:val="-5"/>
        </w:rPr>
        <w:t xml:space="preserve"> </w:t>
      </w:r>
      <w:r>
        <w:t>en</w:t>
      </w:r>
      <w:r>
        <w:rPr>
          <w:spacing w:val="-5"/>
        </w:rPr>
        <w:t xml:space="preserve"> </w:t>
      </w:r>
      <w:r>
        <w:t>1936</w:t>
      </w:r>
      <w:r>
        <w:rPr>
          <w:spacing w:val="-5"/>
        </w:rPr>
        <w:t xml:space="preserve"> </w:t>
      </w:r>
      <w:r>
        <w:t>con</w:t>
      </w:r>
      <w:r>
        <w:rPr>
          <w:spacing w:val="-5"/>
        </w:rPr>
        <w:t xml:space="preserve"> </w:t>
      </w:r>
      <w:r>
        <w:t>la</w:t>
      </w:r>
      <w:r>
        <w:rPr>
          <w:spacing w:val="-5"/>
        </w:rPr>
        <w:t xml:space="preserve"> </w:t>
      </w:r>
      <w:r>
        <w:t>Ley</w:t>
      </w:r>
      <w:r>
        <w:rPr>
          <w:spacing w:val="-5"/>
        </w:rPr>
        <w:t xml:space="preserve"> </w:t>
      </w:r>
      <w:r>
        <w:t>200</w:t>
      </w:r>
      <w:r>
        <w:rPr>
          <w:spacing w:val="-6"/>
        </w:rPr>
        <w:t xml:space="preserve"> </w:t>
      </w:r>
      <w:r>
        <w:t>de</w:t>
      </w:r>
      <w:r>
        <w:rPr>
          <w:spacing w:val="-5"/>
        </w:rPr>
        <w:t xml:space="preserve"> </w:t>
      </w:r>
      <w:r>
        <w:t>ese</w:t>
      </w:r>
      <w:r>
        <w:rPr>
          <w:spacing w:val="-5"/>
        </w:rPr>
        <w:t xml:space="preserve"> </w:t>
      </w:r>
      <w:r>
        <w:t>año.</w:t>
      </w:r>
      <w:r>
        <w:rPr>
          <w:spacing w:val="-7"/>
        </w:rPr>
        <w:t xml:space="preserve"> </w:t>
      </w:r>
      <w:r>
        <w:t>El artículo</w:t>
      </w:r>
      <w:r>
        <w:rPr>
          <w:spacing w:val="-12"/>
        </w:rPr>
        <w:t xml:space="preserve"> </w:t>
      </w:r>
      <w:r>
        <w:t>1.º</w:t>
      </w:r>
      <w:r>
        <w:rPr>
          <w:spacing w:val="-13"/>
        </w:rPr>
        <w:t xml:space="preserve"> </w:t>
      </w:r>
      <w:r>
        <w:t>de</w:t>
      </w:r>
      <w:r>
        <w:rPr>
          <w:spacing w:val="-12"/>
        </w:rPr>
        <w:t xml:space="preserve"> </w:t>
      </w:r>
      <w:r>
        <w:t>la</w:t>
      </w:r>
      <w:r>
        <w:rPr>
          <w:spacing w:val="-12"/>
        </w:rPr>
        <w:t xml:space="preserve"> </w:t>
      </w:r>
      <w:r>
        <w:t>Ley</w:t>
      </w:r>
      <w:r>
        <w:rPr>
          <w:spacing w:val="-13"/>
        </w:rPr>
        <w:t xml:space="preserve"> </w:t>
      </w:r>
      <w:r>
        <w:t>200</w:t>
      </w:r>
      <w:r>
        <w:rPr>
          <w:spacing w:val="-13"/>
        </w:rPr>
        <w:t xml:space="preserve"> </w:t>
      </w:r>
      <w:r>
        <w:t>refrendó</w:t>
      </w:r>
      <w:r>
        <w:rPr>
          <w:spacing w:val="-12"/>
        </w:rPr>
        <w:t xml:space="preserve"> </w:t>
      </w:r>
      <w:r>
        <w:t>el</w:t>
      </w:r>
      <w:r>
        <w:rPr>
          <w:spacing w:val="-12"/>
        </w:rPr>
        <w:t xml:space="preserve"> </w:t>
      </w:r>
      <w:r>
        <w:rPr>
          <w:i/>
        </w:rPr>
        <w:t>statu</w:t>
      </w:r>
      <w:r>
        <w:rPr>
          <w:i/>
          <w:spacing w:val="-12"/>
        </w:rPr>
        <w:t xml:space="preserve"> </w:t>
      </w:r>
      <w:r>
        <w:rPr>
          <w:i/>
        </w:rPr>
        <w:t>quo</w:t>
      </w:r>
      <w:r>
        <w:rPr>
          <w:i/>
          <w:spacing w:val="-12"/>
        </w:rPr>
        <w:t xml:space="preserve"> </w:t>
      </w:r>
      <w:r>
        <w:t>de</w:t>
      </w:r>
      <w:r>
        <w:rPr>
          <w:spacing w:val="-13"/>
        </w:rPr>
        <w:t xml:space="preserve"> </w:t>
      </w:r>
      <w:r>
        <w:t>la</w:t>
      </w:r>
      <w:r>
        <w:rPr>
          <w:spacing w:val="-12"/>
        </w:rPr>
        <w:t xml:space="preserve"> </w:t>
      </w:r>
      <w:r>
        <w:t>cuestión</w:t>
      </w:r>
      <w:r>
        <w:rPr>
          <w:spacing w:val="-12"/>
        </w:rPr>
        <w:t xml:space="preserve"> </w:t>
      </w:r>
      <w:r>
        <w:t>agraria</w:t>
      </w:r>
      <w:r>
        <w:rPr>
          <w:spacing w:val="-12"/>
        </w:rPr>
        <w:t xml:space="preserve"> </w:t>
      </w:r>
      <w:r>
        <w:t>al</w:t>
      </w:r>
      <w:r>
        <w:rPr>
          <w:spacing w:val="-12"/>
        </w:rPr>
        <w:t xml:space="preserve"> </w:t>
      </w:r>
      <w:r>
        <w:t>instituir</w:t>
      </w:r>
      <w:r>
        <w:rPr>
          <w:spacing w:val="-12"/>
        </w:rPr>
        <w:t xml:space="preserve"> </w:t>
      </w:r>
      <w:r>
        <w:t>la</w:t>
      </w:r>
      <w:r>
        <w:rPr>
          <w:spacing w:val="-12"/>
        </w:rPr>
        <w:t xml:space="preserve"> </w:t>
      </w:r>
      <w:r>
        <w:t>presunción de que un predio es propiedad privada cuando es poseído por</w:t>
      </w:r>
      <w:r>
        <w:rPr>
          <w:spacing w:val="-1"/>
        </w:rPr>
        <w:t xml:space="preserve"> </w:t>
      </w:r>
      <w:r>
        <w:t>un particular, incluso si dicha posesión no implica la transformación productiva del terreno. Gracias a esta ley, el cercamiento o la ocupación de un terreno con ganado se convirtió en elemento suficiente para que el predio ocupado se reconociera como propiedad privada y no como baldío. De hecho,</w:t>
      </w:r>
      <w:r>
        <w:rPr>
          <w:spacing w:val="-1"/>
        </w:rPr>
        <w:t xml:space="preserve"> </w:t>
      </w:r>
      <w:r>
        <w:t>la</w:t>
      </w:r>
      <w:r>
        <w:rPr>
          <w:spacing w:val="-1"/>
        </w:rPr>
        <w:t xml:space="preserve"> </w:t>
      </w:r>
      <w:r>
        <w:t>norma</w:t>
      </w:r>
      <w:r>
        <w:rPr>
          <w:spacing w:val="-1"/>
        </w:rPr>
        <w:t xml:space="preserve"> </w:t>
      </w:r>
      <w:r>
        <w:t>reconoció</w:t>
      </w:r>
      <w:r>
        <w:rPr>
          <w:spacing w:val="-1"/>
        </w:rPr>
        <w:t xml:space="preserve"> </w:t>
      </w:r>
      <w:r>
        <w:t>que</w:t>
      </w:r>
      <w:r>
        <w:rPr>
          <w:spacing w:val="-1"/>
        </w:rPr>
        <w:t xml:space="preserve"> </w:t>
      </w:r>
      <w:r>
        <w:t>esta</w:t>
      </w:r>
      <w:r>
        <w:rPr>
          <w:spacing w:val="-1"/>
        </w:rPr>
        <w:t xml:space="preserve"> </w:t>
      </w:r>
      <w:r>
        <w:t>presunción</w:t>
      </w:r>
      <w:r>
        <w:rPr>
          <w:spacing w:val="-1"/>
        </w:rPr>
        <w:t xml:space="preserve"> </w:t>
      </w:r>
      <w:r>
        <w:t>podría</w:t>
      </w:r>
      <w:r>
        <w:rPr>
          <w:spacing w:val="-1"/>
        </w:rPr>
        <w:t xml:space="preserve"> </w:t>
      </w:r>
      <w:r>
        <w:t>ampliarse</w:t>
      </w:r>
      <w:r>
        <w:rPr>
          <w:spacing w:val="-1"/>
        </w:rPr>
        <w:t xml:space="preserve"> </w:t>
      </w:r>
      <w:r>
        <w:t>a</w:t>
      </w:r>
      <w:r>
        <w:rPr>
          <w:spacing w:val="-1"/>
        </w:rPr>
        <w:t xml:space="preserve"> </w:t>
      </w:r>
      <w:r>
        <w:t>«una</w:t>
      </w:r>
      <w:r>
        <w:rPr>
          <w:spacing w:val="-1"/>
        </w:rPr>
        <w:t xml:space="preserve"> </w:t>
      </w:r>
      <w:r>
        <w:t>extensión</w:t>
      </w:r>
      <w:r>
        <w:rPr>
          <w:spacing w:val="-1"/>
        </w:rPr>
        <w:t xml:space="preserve"> </w:t>
      </w:r>
      <w:r>
        <w:t>igual</w:t>
      </w:r>
      <w:r>
        <w:rPr>
          <w:spacing w:val="-1"/>
        </w:rPr>
        <w:t xml:space="preserve"> </w:t>
      </w:r>
      <w:r>
        <w:t>a</w:t>
      </w:r>
      <w:r>
        <w:rPr>
          <w:spacing w:val="-1"/>
        </w:rPr>
        <w:t xml:space="preserve"> </w:t>
      </w:r>
      <w:r>
        <w:t>la de la parte explotada», es decir, que le permitía a los poseedores que hubieran cercado e introducido</w:t>
      </w:r>
      <w:r>
        <w:rPr>
          <w:spacing w:val="-7"/>
        </w:rPr>
        <w:t xml:space="preserve"> </w:t>
      </w:r>
      <w:r>
        <w:t>ganados</w:t>
      </w:r>
      <w:r>
        <w:rPr>
          <w:spacing w:val="-6"/>
        </w:rPr>
        <w:t xml:space="preserve"> </w:t>
      </w:r>
      <w:r>
        <w:t>en</w:t>
      </w:r>
      <w:r>
        <w:rPr>
          <w:spacing w:val="-7"/>
        </w:rPr>
        <w:t xml:space="preserve"> </w:t>
      </w:r>
      <w:r>
        <w:t>un</w:t>
      </w:r>
      <w:r>
        <w:rPr>
          <w:spacing w:val="-6"/>
        </w:rPr>
        <w:t xml:space="preserve"> </w:t>
      </w:r>
      <w:r>
        <w:t>terreno</w:t>
      </w:r>
      <w:r>
        <w:rPr>
          <w:spacing w:val="-6"/>
        </w:rPr>
        <w:t xml:space="preserve"> </w:t>
      </w:r>
      <w:r>
        <w:t>inculto</w:t>
      </w:r>
      <w:r>
        <w:rPr>
          <w:spacing w:val="-6"/>
        </w:rPr>
        <w:t xml:space="preserve"> </w:t>
      </w:r>
      <w:r>
        <w:t>duplicar</w:t>
      </w:r>
      <w:r>
        <w:rPr>
          <w:spacing w:val="-6"/>
        </w:rPr>
        <w:t xml:space="preserve"> </w:t>
      </w:r>
      <w:r>
        <w:t>el</w:t>
      </w:r>
      <w:r>
        <w:rPr>
          <w:spacing w:val="-7"/>
        </w:rPr>
        <w:t xml:space="preserve"> </w:t>
      </w:r>
      <w:r>
        <w:t>área</w:t>
      </w:r>
      <w:r>
        <w:rPr>
          <w:spacing w:val="-6"/>
        </w:rPr>
        <w:t xml:space="preserve"> </w:t>
      </w:r>
      <w:r>
        <w:t>de</w:t>
      </w:r>
      <w:r>
        <w:rPr>
          <w:spacing w:val="-7"/>
        </w:rPr>
        <w:t xml:space="preserve"> </w:t>
      </w:r>
      <w:r>
        <w:t>su</w:t>
      </w:r>
      <w:r>
        <w:rPr>
          <w:spacing w:val="-6"/>
        </w:rPr>
        <w:t xml:space="preserve"> </w:t>
      </w:r>
      <w:r>
        <w:t>propiedad</w:t>
      </w:r>
      <w:r>
        <w:rPr>
          <w:spacing w:val="-6"/>
        </w:rPr>
        <w:t xml:space="preserve"> </w:t>
      </w:r>
      <w:r>
        <w:t>con</w:t>
      </w:r>
      <w:r>
        <w:rPr>
          <w:spacing w:val="-6"/>
        </w:rPr>
        <w:t xml:space="preserve"> </w:t>
      </w:r>
      <w:r>
        <w:t>el</w:t>
      </w:r>
      <w:r>
        <w:rPr>
          <w:spacing w:val="-6"/>
        </w:rPr>
        <w:t xml:space="preserve"> </w:t>
      </w:r>
      <w:r>
        <w:t>argumento de</w:t>
      </w:r>
      <w:r>
        <w:rPr>
          <w:spacing w:val="-15"/>
        </w:rPr>
        <w:t xml:space="preserve"> </w:t>
      </w:r>
      <w:r>
        <w:t>que</w:t>
      </w:r>
      <w:r>
        <w:rPr>
          <w:spacing w:val="-15"/>
        </w:rPr>
        <w:t xml:space="preserve"> </w:t>
      </w:r>
      <w:r>
        <w:t>estos</w:t>
      </w:r>
      <w:r>
        <w:rPr>
          <w:spacing w:val="-15"/>
        </w:rPr>
        <w:t xml:space="preserve"> </w:t>
      </w:r>
      <w:r>
        <w:t>serían</w:t>
      </w:r>
      <w:r>
        <w:rPr>
          <w:spacing w:val="-15"/>
        </w:rPr>
        <w:t xml:space="preserve"> </w:t>
      </w:r>
      <w:r>
        <w:t>terrenos</w:t>
      </w:r>
      <w:r>
        <w:rPr>
          <w:spacing w:val="-15"/>
        </w:rPr>
        <w:t xml:space="preserve"> </w:t>
      </w:r>
      <w:r>
        <w:t>para</w:t>
      </w:r>
      <w:r>
        <w:rPr>
          <w:spacing w:val="-15"/>
        </w:rPr>
        <w:t xml:space="preserve"> </w:t>
      </w:r>
      <w:r>
        <w:t>el</w:t>
      </w:r>
      <w:r>
        <w:rPr>
          <w:spacing w:val="-15"/>
        </w:rPr>
        <w:t xml:space="preserve"> </w:t>
      </w:r>
      <w:r>
        <w:t>ensanchamiento</w:t>
      </w:r>
      <w:r>
        <w:rPr>
          <w:spacing w:val="-15"/>
        </w:rPr>
        <w:t xml:space="preserve"> </w:t>
      </w:r>
      <w:r>
        <w:t>de</w:t>
      </w:r>
      <w:r>
        <w:rPr>
          <w:spacing w:val="-15"/>
        </w:rPr>
        <w:t xml:space="preserve"> </w:t>
      </w:r>
      <w:r>
        <w:t>la</w:t>
      </w:r>
      <w:r>
        <w:rPr>
          <w:spacing w:val="-15"/>
        </w:rPr>
        <w:t xml:space="preserve"> </w:t>
      </w:r>
      <w:r>
        <w:t>explotación</w:t>
      </w:r>
      <w:r>
        <w:rPr>
          <w:spacing w:val="-15"/>
        </w:rPr>
        <w:t xml:space="preserve"> </w:t>
      </w:r>
      <w:r>
        <w:t>económica.</w:t>
      </w:r>
      <w:r>
        <w:rPr>
          <w:spacing w:val="-15"/>
        </w:rPr>
        <w:t xml:space="preserve"> </w:t>
      </w:r>
      <w:r>
        <w:t>Esto</w:t>
      </w:r>
      <w:r>
        <w:rPr>
          <w:spacing w:val="-14"/>
        </w:rPr>
        <w:t xml:space="preserve"> </w:t>
      </w:r>
      <w:r>
        <w:t>quiere decir</w:t>
      </w:r>
      <w:r>
        <w:rPr>
          <w:spacing w:val="-6"/>
        </w:rPr>
        <w:t xml:space="preserve"> </w:t>
      </w:r>
      <w:r>
        <w:t>que</w:t>
      </w:r>
      <w:r>
        <w:rPr>
          <w:spacing w:val="-6"/>
        </w:rPr>
        <w:t xml:space="preserve"> </w:t>
      </w:r>
      <w:r>
        <w:t>muchísimas</w:t>
      </w:r>
      <w:r>
        <w:rPr>
          <w:spacing w:val="-6"/>
        </w:rPr>
        <w:t xml:space="preserve"> </w:t>
      </w:r>
      <w:r>
        <w:t>tierras</w:t>
      </w:r>
      <w:r>
        <w:rPr>
          <w:spacing w:val="-6"/>
        </w:rPr>
        <w:t xml:space="preserve"> </w:t>
      </w:r>
      <w:r>
        <w:t>baldías</w:t>
      </w:r>
      <w:r>
        <w:rPr>
          <w:spacing w:val="-6"/>
        </w:rPr>
        <w:t xml:space="preserve"> </w:t>
      </w:r>
      <w:r>
        <w:t>que</w:t>
      </w:r>
      <w:r>
        <w:rPr>
          <w:spacing w:val="-5"/>
        </w:rPr>
        <w:t xml:space="preserve"> </w:t>
      </w:r>
      <w:r>
        <w:t>–sobre</w:t>
      </w:r>
      <w:r>
        <w:rPr>
          <w:spacing w:val="-5"/>
        </w:rPr>
        <w:t xml:space="preserve"> </w:t>
      </w:r>
      <w:r>
        <w:t>todo</w:t>
      </w:r>
      <w:r>
        <w:rPr>
          <w:spacing w:val="-5"/>
        </w:rPr>
        <w:t xml:space="preserve"> </w:t>
      </w:r>
      <w:r>
        <w:t>en</w:t>
      </w:r>
      <w:r>
        <w:rPr>
          <w:spacing w:val="-5"/>
        </w:rPr>
        <w:t xml:space="preserve"> </w:t>
      </w:r>
      <w:r>
        <w:t>las</w:t>
      </w:r>
      <w:r>
        <w:rPr>
          <w:spacing w:val="-5"/>
        </w:rPr>
        <w:t xml:space="preserve"> </w:t>
      </w:r>
      <w:r>
        <w:t>zonas</w:t>
      </w:r>
      <w:r>
        <w:rPr>
          <w:spacing w:val="-5"/>
        </w:rPr>
        <w:t xml:space="preserve"> </w:t>
      </w:r>
      <w:r>
        <w:t>centrales</w:t>
      </w:r>
      <w:r>
        <w:rPr>
          <w:spacing w:val="-5"/>
        </w:rPr>
        <w:t xml:space="preserve"> </w:t>
      </w:r>
      <w:r>
        <w:t>del</w:t>
      </w:r>
      <w:r>
        <w:rPr>
          <w:spacing w:val="-6"/>
        </w:rPr>
        <w:t xml:space="preserve"> </w:t>
      </w:r>
      <w:r>
        <w:t>país–</w:t>
      </w:r>
      <w:r>
        <w:rPr>
          <w:spacing w:val="-7"/>
        </w:rPr>
        <w:t xml:space="preserve"> </w:t>
      </w:r>
      <w:r>
        <w:t xml:space="preserve">habían sido indebidamente acumuladas e integradas a las </w:t>
      </w:r>
      <w:r>
        <w:lastRenderedPageBreak/>
        <w:t>haciendas –y que no tenían una tradición jurídica de la propiedad válida–, ahora serían reconocidas como propiedad legítima.</w:t>
      </w:r>
    </w:p>
    <w:p w:rsidR="003804AC" w:rsidRDefault="00AF18A5" w:rsidP="00121DB9">
      <w:r>
        <w:t>Con</w:t>
      </w:r>
      <w:r>
        <w:rPr>
          <w:spacing w:val="-6"/>
        </w:rPr>
        <w:t xml:space="preserve"> </w:t>
      </w:r>
      <w:r>
        <w:t>la</w:t>
      </w:r>
      <w:r>
        <w:rPr>
          <w:spacing w:val="-6"/>
        </w:rPr>
        <w:t xml:space="preserve"> </w:t>
      </w:r>
      <w:r>
        <w:t>Ley</w:t>
      </w:r>
      <w:r>
        <w:rPr>
          <w:spacing w:val="-7"/>
        </w:rPr>
        <w:t xml:space="preserve"> </w:t>
      </w:r>
      <w:r>
        <w:t>200</w:t>
      </w:r>
      <w:r>
        <w:rPr>
          <w:spacing w:val="-6"/>
        </w:rPr>
        <w:t xml:space="preserve"> </w:t>
      </w:r>
      <w:r>
        <w:t>se</w:t>
      </w:r>
      <w:r>
        <w:rPr>
          <w:spacing w:val="-6"/>
        </w:rPr>
        <w:t xml:space="preserve"> </w:t>
      </w:r>
      <w:r>
        <w:t>inició</w:t>
      </w:r>
      <w:r>
        <w:rPr>
          <w:spacing w:val="-7"/>
        </w:rPr>
        <w:t xml:space="preserve"> </w:t>
      </w:r>
      <w:r>
        <w:t>una</w:t>
      </w:r>
      <w:r>
        <w:rPr>
          <w:spacing w:val="-6"/>
        </w:rPr>
        <w:t xml:space="preserve"> </w:t>
      </w:r>
      <w:r>
        <w:t>tradición</w:t>
      </w:r>
      <w:r>
        <w:rPr>
          <w:spacing w:val="-6"/>
        </w:rPr>
        <w:t xml:space="preserve"> </w:t>
      </w:r>
      <w:r>
        <w:t>en</w:t>
      </w:r>
      <w:r>
        <w:rPr>
          <w:spacing w:val="-6"/>
        </w:rPr>
        <w:t xml:space="preserve"> </w:t>
      </w:r>
      <w:r>
        <w:t>el</w:t>
      </w:r>
      <w:r>
        <w:rPr>
          <w:spacing w:val="-7"/>
        </w:rPr>
        <w:t xml:space="preserve"> </w:t>
      </w:r>
      <w:r>
        <w:t>modelo</w:t>
      </w:r>
      <w:r>
        <w:rPr>
          <w:spacing w:val="-6"/>
        </w:rPr>
        <w:t xml:space="preserve"> </w:t>
      </w:r>
      <w:r>
        <w:t>de</w:t>
      </w:r>
      <w:r>
        <w:rPr>
          <w:spacing w:val="-6"/>
        </w:rPr>
        <w:t xml:space="preserve"> </w:t>
      </w:r>
      <w:r>
        <w:t>garantía</w:t>
      </w:r>
      <w:r>
        <w:rPr>
          <w:spacing w:val="-6"/>
        </w:rPr>
        <w:t xml:space="preserve"> </w:t>
      </w:r>
      <w:r>
        <w:t>del</w:t>
      </w:r>
      <w:r>
        <w:rPr>
          <w:spacing w:val="-6"/>
        </w:rPr>
        <w:t xml:space="preserve"> </w:t>
      </w:r>
      <w:r>
        <w:t>derecho</w:t>
      </w:r>
      <w:r>
        <w:rPr>
          <w:spacing w:val="-6"/>
        </w:rPr>
        <w:t xml:space="preserve"> </w:t>
      </w:r>
      <w:r>
        <w:t>a</w:t>
      </w:r>
      <w:r>
        <w:rPr>
          <w:spacing w:val="-6"/>
        </w:rPr>
        <w:t xml:space="preserve"> </w:t>
      </w:r>
      <w:r>
        <w:t>la</w:t>
      </w:r>
      <w:r>
        <w:rPr>
          <w:spacing w:val="-7"/>
        </w:rPr>
        <w:t xml:space="preserve"> </w:t>
      </w:r>
      <w:r>
        <w:t>tierra</w:t>
      </w:r>
      <w:r>
        <w:rPr>
          <w:spacing w:val="-7"/>
        </w:rPr>
        <w:t xml:space="preserve"> </w:t>
      </w:r>
      <w:r>
        <w:t>del campesinado</w:t>
      </w:r>
      <w:r>
        <w:rPr>
          <w:spacing w:val="-15"/>
        </w:rPr>
        <w:t xml:space="preserve"> </w:t>
      </w:r>
      <w:r>
        <w:t>que</w:t>
      </w:r>
      <w:r>
        <w:rPr>
          <w:spacing w:val="-15"/>
        </w:rPr>
        <w:t xml:space="preserve"> </w:t>
      </w:r>
      <w:r>
        <w:t>privilegió</w:t>
      </w:r>
      <w:r>
        <w:rPr>
          <w:spacing w:val="-15"/>
        </w:rPr>
        <w:t xml:space="preserve"> </w:t>
      </w:r>
      <w:r>
        <w:t>la</w:t>
      </w:r>
      <w:r>
        <w:rPr>
          <w:spacing w:val="-15"/>
        </w:rPr>
        <w:t xml:space="preserve"> </w:t>
      </w:r>
      <w:r>
        <w:t>entrega</w:t>
      </w:r>
      <w:r>
        <w:rPr>
          <w:spacing w:val="-15"/>
        </w:rPr>
        <w:t xml:space="preserve"> </w:t>
      </w:r>
      <w:r>
        <w:t>de</w:t>
      </w:r>
      <w:r>
        <w:rPr>
          <w:spacing w:val="-15"/>
        </w:rPr>
        <w:t xml:space="preserve"> </w:t>
      </w:r>
      <w:r>
        <w:t>baldíos</w:t>
      </w:r>
      <w:r>
        <w:rPr>
          <w:spacing w:val="-15"/>
        </w:rPr>
        <w:t xml:space="preserve"> </w:t>
      </w:r>
      <w:r>
        <w:t>fuera</w:t>
      </w:r>
      <w:r>
        <w:rPr>
          <w:spacing w:val="-15"/>
        </w:rPr>
        <w:t xml:space="preserve"> </w:t>
      </w:r>
      <w:r>
        <w:t>o</w:t>
      </w:r>
      <w:r>
        <w:rPr>
          <w:spacing w:val="-15"/>
        </w:rPr>
        <w:t xml:space="preserve"> </w:t>
      </w:r>
      <w:r>
        <w:t>en</w:t>
      </w:r>
      <w:r>
        <w:rPr>
          <w:spacing w:val="-15"/>
        </w:rPr>
        <w:t xml:space="preserve"> </w:t>
      </w:r>
      <w:r>
        <w:t>los</w:t>
      </w:r>
      <w:r>
        <w:rPr>
          <w:spacing w:val="-15"/>
        </w:rPr>
        <w:t xml:space="preserve"> </w:t>
      </w:r>
      <w:r>
        <w:t>límites</w:t>
      </w:r>
      <w:r>
        <w:rPr>
          <w:spacing w:val="-15"/>
        </w:rPr>
        <w:t xml:space="preserve"> </w:t>
      </w:r>
      <w:r>
        <w:t>de</w:t>
      </w:r>
      <w:r>
        <w:rPr>
          <w:spacing w:val="-15"/>
        </w:rPr>
        <w:t xml:space="preserve"> </w:t>
      </w:r>
      <w:r>
        <w:t>la</w:t>
      </w:r>
      <w:r>
        <w:rPr>
          <w:spacing w:val="-15"/>
        </w:rPr>
        <w:t xml:space="preserve"> </w:t>
      </w:r>
      <w:r>
        <w:t>frontera</w:t>
      </w:r>
      <w:r>
        <w:rPr>
          <w:spacing w:val="-15"/>
        </w:rPr>
        <w:t xml:space="preserve"> </w:t>
      </w:r>
      <w:r>
        <w:t>agrícola, evitando</w:t>
      </w:r>
      <w:r>
        <w:rPr>
          <w:spacing w:val="-5"/>
        </w:rPr>
        <w:t xml:space="preserve"> </w:t>
      </w:r>
      <w:r>
        <w:t>con</w:t>
      </w:r>
      <w:r>
        <w:rPr>
          <w:spacing w:val="-5"/>
        </w:rPr>
        <w:t xml:space="preserve"> </w:t>
      </w:r>
      <w:r>
        <w:t>ello</w:t>
      </w:r>
      <w:r>
        <w:rPr>
          <w:spacing w:val="-5"/>
        </w:rPr>
        <w:t xml:space="preserve"> </w:t>
      </w:r>
      <w:r>
        <w:t>afectar</w:t>
      </w:r>
      <w:r>
        <w:rPr>
          <w:spacing w:val="-4"/>
        </w:rPr>
        <w:t xml:space="preserve"> </w:t>
      </w:r>
      <w:r>
        <w:t>la</w:t>
      </w:r>
      <w:r>
        <w:rPr>
          <w:spacing w:val="-5"/>
        </w:rPr>
        <w:t xml:space="preserve"> </w:t>
      </w:r>
      <w:r>
        <w:t>gran</w:t>
      </w:r>
      <w:r>
        <w:rPr>
          <w:spacing w:val="-5"/>
        </w:rPr>
        <w:t xml:space="preserve"> </w:t>
      </w:r>
      <w:r>
        <w:t>propiedad</w:t>
      </w:r>
      <w:r>
        <w:rPr>
          <w:spacing w:val="-5"/>
        </w:rPr>
        <w:t xml:space="preserve"> </w:t>
      </w:r>
      <w:r>
        <w:t>para</w:t>
      </w:r>
      <w:r>
        <w:rPr>
          <w:spacing w:val="-6"/>
        </w:rPr>
        <w:t xml:space="preserve"> </w:t>
      </w:r>
      <w:r>
        <w:t>efectos</w:t>
      </w:r>
      <w:r>
        <w:rPr>
          <w:spacing w:val="-5"/>
        </w:rPr>
        <w:t xml:space="preserve"> </w:t>
      </w:r>
      <w:r>
        <w:t>de</w:t>
      </w:r>
      <w:r>
        <w:rPr>
          <w:spacing w:val="-5"/>
        </w:rPr>
        <w:t xml:space="preserve"> </w:t>
      </w:r>
      <w:r>
        <w:t>redistribución.</w:t>
      </w:r>
      <w:r>
        <w:rPr>
          <w:spacing w:val="-6"/>
        </w:rPr>
        <w:t xml:space="preserve"> </w:t>
      </w:r>
      <w:r>
        <w:t>Los</w:t>
      </w:r>
      <w:r>
        <w:rPr>
          <w:spacing w:val="-5"/>
        </w:rPr>
        <w:t xml:space="preserve"> </w:t>
      </w:r>
      <w:r>
        <w:t>campesinos</w:t>
      </w:r>
      <w:r>
        <w:rPr>
          <w:spacing w:val="-5"/>
        </w:rPr>
        <w:t xml:space="preserve"> </w:t>
      </w:r>
      <w:r>
        <w:t>a los que se les asignaron tierras fuera o en los límites de la frontera agrícola quedaron a la espera de la llegada del Estado en forma de jueces, vías, electricidad y asistencia técnica, entre otros bienes y servicios. Fue entonces corolario de los conflictos por la tierra la expansión</w:t>
      </w:r>
      <w:r>
        <w:rPr>
          <w:spacing w:val="10"/>
        </w:rPr>
        <w:t xml:space="preserve"> </w:t>
      </w:r>
      <w:r>
        <w:t>permanente</w:t>
      </w:r>
      <w:r>
        <w:rPr>
          <w:spacing w:val="13"/>
        </w:rPr>
        <w:t xml:space="preserve"> </w:t>
      </w:r>
      <w:r>
        <w:t>de</w:t>
      </w:r>
      <w:r>
        <w:rPr>
          <w:spacing w:val="12"/>
        </w:rPr>
        <w:t xml:space="preserve"> </w:t>
      </w:r>
      <w:r>
        <w:t>la</w:t>
      </w:r>
      <w:r>
        <w:rPr>
          <w:spacing w:val="13"/>
        </w:rPr>
        <w:t xml:space="preserve"> </w:t>
      </w:r>
      <w:r>
        <w:t>frontera</w:t>
      </w:r>
      <w:r>
        <w:rPr>
          <w:spacing w:val="11"/>
        </w:rPr>
        <w:t xml:space="preserve"> </w:t>
      </w:r>
      <w:r>
        <w:t>agraria</w:t>
      </w:r>
      <w:r>
        <w:rPr>
          <w:spacing w:val="13"/>
        </w:rPr>
        <w:t xml:space="preserve"> </w:t>
      </w:r>
      <w:r>
        <w:t>a</w:t>
      </w:r>
      <w:r>
        <w:rPr>
          <w:spacing w:val="12"/>
        </w:rPr>
        <w:t xml:space="preserve"> </w:t>
      </w:r>
      <w:r>
        <w:t>través</w:t>
      </w:r>
      <w:r>
        <w:rPr>
          <w:spacing w:val="13"/>
        </w:rPr>
        <w:t xml:space="preserve"> </w:t>
      </w:r>
      <w:r>
        <w:t>de</w:t>
      </w:r>
      <w:r>
        <w:rPr>
          <w:spacing w:val="12"/>
        </w:rPr>
        <w:t xml:space="preserve"> </w:t>
      </w:r>
      <w:r>
        <w:t>sucesivas</w:t>
      </w:r>
      <w:r>
        <w:rPr>
          <w:spacing w:val="13"/>
        </w:rPr>
        <w:t xml:space="preserve"> </w:t>
      </w:r>
      <w:r>
        <w:t>oleadas</w:t>
      </w:r>
      <w:r>
        <w:rPr>
          <w:spacing w:val="12"/>
        </w:rPr>
        <w:t xml:space="preserve"> </w:t>
      </w:r>
      <w:r>
        <w:t>de</w:t>
      </w:r>
      <w:r>
        <w:rPr>
          <w:spacing w:val="13"/>
        </w:rPr>
        <w:t xml:space="preserve"> </w:t>
      </w:r>
      <w:r>
        <w:rPr>
          <w:spacing w:val="-2"/>
        </w:rPr>
        <w:t>colonización</w:t>
      </w:r>
    </w:p>
    <w:p w:rsidR="003804AC" w:rsidRDefault="00AF18A5" w:rsidP="00121DB9">
      <w:r>
        <w:t>de</w:t>
      </w:r>
      <w:r>
        <w:rPr>
          <w:spacing w:val="-15"/>
        </w:rPr>
        <w:t xml:space="preserve"> </w:t>
      </w:r>
      <w:r>
        <w:t>campesinos</w:t>
      </w:r>
      <w:r>
        <w:rPr>
          <w:spacing w:val="-15"/>
        </w:rPr>
        <w:t xml:space="preserve"> </w:t>
      </w:r>
      <w:r>
        <w:t>expulsados</w:t>
      </w:r>
      <w:r>
        <w:rPr>
          <w:spacing w:val="-15"/>
        </w:rPr>
        <w:t xml:space="preserve"> </w:t>
      </w:r>
      <w:r>
        <w:t>de</w:t>
      </w:r>
      <w:r>
        <w:rPr>
          <w:spacing w:val="-15"/>
        </w:rPr>
        <w:t xml:space="preserve"> </w:t>
      </w:r>
      <w:r>
        <w:t>las</w:t>
      </w:r>
      <w:r>
        <w:rPr>
          <w:spacing w:val="-15"/>
        </w:rPr>
        <w:t xml:space="preserve"> </w:t>
      </w:r>
      <w:r>
        <w:t>zonas</w:t>
      </w:r>
      <w:r>
        <w:rPr>
          <w:spacing w:val="-15"/>
        </w:rPr>
        <w:t xml:space="preserve"> </w:t>
      </w:r>
      <w:r>
        <w:t>integradas</w:t>
      </w:r>
      <w:r>
        <w:rPr>
          <w:spacing w:val="-15"/>
        </w:rPr>
        <w:t xml:space="preserve"> </w:t>
      </w:r>
      <w:r>
        <w:t>por</w:t>
      </w:r>
      <w:r>
        <w:rPr>
          <w:spacing w:val="-15"/>
        </w:rPr>
        <w:t xml:space="preserve"> </w:t>
      </w:r>
      <w:r>
        <w:t>terratenientes</w:t>
      </w:r>
      <w:r>
        <w:rPr>
          <w:spacing w:val="-15"/>
        </w:rPr>
        <w:t xml:space="preserve"> </w:t>
      </w:r>
      <w:r>
        <w:t>que</w:t>
      </w:r>
      <w:r>
        <w:rPr>
          <w:spacing w:val="-15"/>
        </w:rPr>
        <w:t xml:space="preserve"> </w:t>
      </w:r>
      <w:r>
        <w:t>tenían</w:t>
      </w:r>
      <w:r>
        <w:rPr>
          <w:spacing w:val="-15"/>
        </w:rPr>
        <w:t xml:space="preserve"> </w:t>
      </w:r>
      <w:r>
        <w:t>los</w:t>
      </w:r>
      <w:r>
        <w:rPr>
          <w:spacing w:val="-15"/>
        </w:rPr>
        <w:t xml:space="preserve"> </w:t>
      </w:r>
      <w:r>
        <w:t>incentivos y la capacidad política para hacerlo, combinando la fuerza y argucias jurídicas, y necesariamente produjo violencia. La mayoría de los territorios denominados baldíos nacionales eran territorios ancestrales de las comunidades indígenas. Este desconocimiento promovió la violencia y el despojo de estos pueblos, también como resultado de estos procesos de colonización.</w:t>
      </w:r>
    </w:p>
    <w:p w:rsidR="003804AC" w:rsidRDefault="00AF18A5" w:rsidP="00121DB9">
      <w:r>
        <w:t>Como lo ha argumentado Darío Fajardo: «limitadas por el agotamiento productivo, el crecimiento demográfico y los conflictos y ante las limitaciones del desarrollo económico del</w:t>
      </w:r>
      <w:r>
        <w:rPr>
          <w:spacing w:val="-10"/>
        </w:rPr>
        <w:t xml:space="preserve"> </w:t>
      </w:r>
      <w:r>
        <w:t>país,</w:t>
      </w:r>
      <w:r>
        <w:rPr>
          <w:spacing w:val="-11"/>
        </w:rPr>
        <w:t xml:space="preserve"> </w:t>
      </w:r>
      <w:r>
        <w:t>los</w:t>
      </w:r>
      <w:r>
        <w:rPr>
          <w:spacing w:val="-11"/>
        </w:rPr>
        <w:t xml:space="preserve"> </w:t>
      </w:r>
      <w:r>
        <w:t>campesinos</w:t>
      </w:r>
      <w:r>
        <w:rPr>
          <w:spacing w:val="-12"/>
        </w:rPr>
        <w:t xml:space="preserve"> </w:t>
      </w:r>
      <w:r>
        <w:t>debieron</w:t>
      </w:r>
      <w:r>
        <w:rPr>
          <w:spacing w:val="-11"/>
        </w:rPr>
        <w:t xml:space="preserve"> </w:t>
      </w:r>
      <w:r>
        <w:t>“saltar”</w:t>
      </w:r>
      <w:r>
        <w:rPr>
          <w:spacing w:val="-11"/>
        </w:rPr>
        <w:t xml:space="preserve"> </w:t>
      </w:r>
      <w:r>
        <w:t>dicho</w:t>
      </w:r>
      <w:r>
        <w:rPr>
          <w:spacing w:val="-11"/>
        </w:rPr>
        <w:t xml:space="preserve"> </w:t>
      </w:r>
      <w:r>
        <w:t>cerco</w:t>
      </w:r>
      <w:r>
        <w:rPr>
          <w:spacing w:val="-11"/>
        </w:rPr>
        <w:t xml:space="preserve"> </w:t>
      </w:r>
      <w:r>
        <w:t>e</w:t>
      </w:r>
      <w:r>
        <w:rPr>
          <w:spacing w:val="-11"/>
        </w:rPr>
        <w:t xml:space="preserve"> </w:t>
      </w:r>
      <w:r>
        <w:t>internarse</w:t>
      </w:r>
      <w:r>
        <w:rPr>
          <w:spacing w:val="-11"/>
        </w:rPr>
        <w:t xml:space="preserve"> </w:t>
      </w:r>
      <w:r>
        <w:t>en</w:t>
      </w:r>
      <w:r>
        <w:rPr>
          <w:spacing w:val="-11"/>
        </w:rPr>
        <w:t xml:space="preserve"> </w:t>
      </w:r>
      <w:r>
        <w:t>las</w:t>
      </w:r>
      <w:r>
        <w:rPr>
          <w:spacing w:val="-11"/>
        </w:rPr>
        <w:t xml:space="preserve"> </w:t>
      </w:r>
      <w:r>
        <w:t>colonizaciones</w:t>
      </w:r>
      <w:r>
        <w:rPr>
          <w:spacing w:val="-11"/>
        </w:rPr>
        <w:t xml:space="preserve"> </w:t>
      </w:r>
      <w:r>
        <w:t>más allá de las fronteras agrarias, dando impulso a la espiral de la valorización de las tierras por la</w:t>
      </w:r>
      <w:r>
        <w:rPr>
          <w:spacing w:val="-4"/>
        </w:rPr>
        <w:t xml:space="preserve"> </w:t>
      </w:r>
      <w:r>
        <w:t>vía</w:t>
      </w:r>
      <w:r>
        <w:rPr>
          <w:spacing w:val="-4"/>
        </w:rPr>
        <w:t xml:space="preserve"> </w:t>
      </w:r>
      <w:r>
        <w:t>de</w:t>
      </w:r>
      <w:r>
        <w:rPr>
          <w:spacing w:val="-4"/>
        </w:rPr>
        <w:t xml:space="preserve"> </w:t>
      </w:r>
      <w:r>
        <w:t>los</w:t>
      </w:r>
      <w:r>
        <w:rPr>
          <w:spacing w:val="-5"/>
        </w:rPr>
        <w:t xml:space="preserve"> </w:t>
      </w:r>
      <w:r>
        <w:t>ciclos</w:t>
      </w:r>
      <w:r>
        <w:rPr>
          <w:spacing w:val="-5"/>
        </w:rPr>
        <w:t xml:space="preserve"> </w:t>
      </w:r>
      <w:r>
        <w:t>“colonización-conflicto-migración-colonización”»</w:t>
      </w:r>
      <w:r w:rsidR="00121DB9">
        <w:rPr>
          <w:rStyle w:val="Refdenotaalpie"/>
        </w:rPr>
        <w:footnoteReference w:id="973"/>
      </w:r>
      <w:r>
        <w:t>,</w:t>
      </w:r>
      <w:r>
        <w:rPr>
          <w:spacing w:val="-5"/>
        </w:rPr>
        <w:t xml:space="preserve"> </w:t>
      </w:r>
      <w:r>
        <w:t>sin</w:t>
      </w:r>
      <w:r>
        <w:rPr>
          <w:spacing w:val="-5"/>
        </w:rPr>
        <w:t xml:space="preserve"> </w:t>
      </w:r>
      <w:r>
        <w:t>contar</w:t>
      </w:r>
      <w:r>
        <w:rPr>
          <w:spacing w:val="-4"/>
        </w:rPr>
        <w:t xml:space="preserve"> </w:t>
      </w:r>
      <w:r>
        <w:t>en</w:t>
      </w:r>
      <w:r>
        <w:rPr>
          <w:spacing w:val="-6"/>
        </w:rPr>
        <w:t xml:space="preserve"> </w:t>
      </w:r>
      <w:r>
        <w:t xml:space="preserve">estas tierras con las condiciones </w:t>
      </w:r>
      <w:r>
        <w:lastRenderedPageBreak/>
        <w:t>necesarias para vivir dignamente.</w:t>
      </w:r>
    </w:p>
    <w:p w:rsidR="003804AC" w:rsidRDefault="00AF18A5" w:rsidP="00121DB9">
      <w:r>
        <w:t>El aumento poblacional derivado de la colonización no era suficiente para generar incentivos al sistema político para proveer suficientes bienes públicos, y acercar las condiciones de vida de estas poblaciones a las del centro andino, y menos para regular las relaciones</w:t>
      </w:r>
      <w:r>
        <w:rPr>
          <w:spacing w:val="-6"/>
        </w:rPr>
        <w:t xml:space="preserve"> </w:t>
      </w:r>
      <w:r>
        <w:t>de</w:t>
      </w:r>
      <w:r>
        <w:rPr>
          <w:spacing w:val="-6"/>
        </w:rPr>
        <w:t xml:space="preserve"> </w:t>
      </w:r>
      <w:r>
        <w:t>los</w:t>
      </w:r>
      <w:r>
        <w:rPr>
          <w:spacing w:val="-6"/>
        </w:rPr>
        <w:t xml:space="preserve"> </w:t>
      </w:r>
      <w:r>
        <w:t>nuevos</w:t>
      </w:r>
      <w:r>
        <w:rPr>
          <w:spacing w:val="-7"/>
        </w:rPr>
        <w:t xml:space="preserve"> </w:t>
      </w:r>
      <w:r>
        <w:t>colonos</w:t>
      </w:r>
      <w:r>
        <w:rPr>
          <w:spacing w:val="-6"/>
        </w:rPr>
        <w:t xml:space="preserve"> </w:t>
      </w:r>
      <w:r>
        <w:t>con</w:t>
      </w:r>
      <w:r>
        <w:rPr>
          <w:spacing w:val="-7"/>
        </w:rPr>
        <w:t xml:space="preserve"> </w:t>
      </w:r>
      <w:r>
        <w:t>las</w:t>
      </w:r>
      <w:r>
        <w:rPr>
          <w:spacing w:val="-6"/>
        </w:rPr>
        <w:t xml:space="preserve"> </w:t>
      </w:r>
      <w:r>
        <w:t>poblaciones</w:t>
      </w:r>
      <w:r>
        <w:rPr>
          <w:spacing w:val="-6"/>
        </w:rPr>
        <w:t xml:space="preserve"> </w:t>
      </w:r>
      <w:r>
        <w:t>étnicas.</w:t>
      </w:r>
      <w:r>
        <w:rPr>
          <w:spacing w:val="-7"/>
        </w:rPr>
        <w:t xml:space="preserve"> </w:t>
      </w:r>
      <w:r>
        <w:t>De</w:t>
      </w:r>
      <w:r>
        <w:rPr>
          <w:spacing w:val="-6"/>
        </w:rPr>
        <w:t xml:space="preserve"> </w:t>
      </w:r>
      <w:r>
        <w:t>esta</w:t>
      </w:r>
      <w:r>
        <w:rPr>
          <w:spacing w:val="-6"/>
        </w:rPr>
        <w:t xml:space="preserve"> </w:t>
      </w:r>
      <w:r>
        <w:t>manera,</w:t>
      </w:r>
      <w:r>
        <w:rPr>
          <w:spacing w:val="-6"/>
        </w:rPr>
        <w:t xml:space="preserve"> </w:t>
      </w:r>
      <w:r>
        <w:t>la</w:t>
      </w:r>
      <w:r>
        <w:rPr>
          <w:spacing w:val="-7"/>
        </w:rPr>
        <w:t xml:space="preserve"> </w:t>
      </w:r>
      <w:r>
        <w:t>integración de una parte importante del territorio nacional fue dándose únicamente como válvula de escape</w:t>
      </w:r>
      <w:r>
        <w:rPr>
          <w:spacing w:val="-15"/>
        </w:rPr>
        <w:t xml:space="preserve"> </w:t>
      </w:r>
      <w:r>
        <w:t>a</w:t>
      </w:r>
      <w:r>
        <w:rPr>
          <w:spacing w:val="-15"/>
        </w:rPr>
        <w:t xml:space="preserve"> </w:t>
      </w:r>
      <w:r>
        <w:t>los</w:t>
      </w:r>
      <w:r>
        <w:rPr>
          <w:spacing w:val="-15"/>
        </w:rPr>
        <w:t xml:space="preserve"> </w:t>
      </w:r>
      <w:r>
        <w:t>conflictos</w:t>
      </w:r>
      <w:r>
        <w:rPr>
          <w:spacing w:val="-15"/>
        </w:rPr>
        <w:t xml:space="preserve"> </w:t>
      </w:r>
      <w:r>
        <w:t>por</w:t>
      </w:r>
      <w:r>
        <w:rPr>
          <w:spacing w:val="-15"/>
        </w:rPr>
        <w:t xml:space="preserve"> </w:t>
      </w:r>
      <w:r>
        <w:t>la</w:t>
      </w:r>
      <w:r>
        <w:rPr>
          <w:spacing w:val="-15"/>
        </w:rPr>
        <w:t xml:space="preserve"> </w:t>
      </w:r>
      <w:r>
        <w:t>tierra</w:t>
      </w:r>
      <w:r>
        <w:rPr>
          <w:spacing w:val="-15"/>
        </w:rPr>
        <w:t xml:space="preserve"> </w:t>
      </w:r>
      <w:r>
        <w:t>que</w:t>
      </w:r>
      <w:r>
        <w:rPr>
          <w:spacing w:val="-15"/>
        </w:rPr>
        <w:t xml:space="preserve"> </w:t>
      </w:r>
      <w:r>
        <w:t>emergieron</w:t>
      </w:r>
      <w:r>
        <w:rPr>
          <w:spacing w:val="-15"/>
        </w:rPr>
        <w:t xml:space="preserve"> </w:t>
      </w:r>
      <w:r>
        <w:t>en</w:t>
      </w:r>
      <w:r>
        <w:rPr>
          <w:spacing w:val="-14"/>
        </w:rPr>
        <w:t xml:space="preserve"> </w:t>
      </w:r>
      <w:r>
        <w:t>las</w:t>
      </w:r>
      <w:r>
        <w:rPr>
          <w:spacing w:val="-15"/>
        </w:rPr>
        <w:t xml:space="preserve"> </w:t>
      </w:r>
      <w:r>
        <w:t>zonas</w:t>
      </w:r>
      <w:r>
        <w:rPr>
          <w:spacing w:val="-15"/>
        </w:rPr>
        <w:t xml:space="preserve"> </w:t>
      </w:r>
      <w:r>
        <w:t>andinas</w:t>
      </w:r>
      <w:r>
        <w:rPr>
          <w:spacing w:val="-14"/>
        </w:rPr>
        <w:t xml:space="preserve"> </w:t>
      </w:r>
      <w:r>
        <w:t>desde</w:t>
      </w:r>
      <w:r>
        <w:rPr>
          <w:spacing w:val="-15"/>
        </w:rPr>
        <w:t xml:space="preserve"> </w:t>
      </w:r>
      <w:r>
        <w:t>los</w:t>
      </w:r>
      <w:r>
        <w:rPr>
          <w:spacing w:val="-15"/>
        </w:rPr>
        <w:t xml:space="preserve"> </w:t>
      </w:r>
      <w:r>
        <w:t>años</w:t>
      </w:r>
      <w:r>
        <w:rPr>
          <w:spacing w:val="-14"/>
        </w:rPr>
        <w:t xml:space="preserve"> </w:t>
      </w:r>
      <w:r>
        <w:t xml:space="preserve">veinte en función de la explotación de sus recursos. Con ese modelo se garantizaba la explotación de los territorios para la acumulación de la riqueza sin distribuir bienestar a sus </w:t>
      </w:r>
      <w:r>
        <w:rPr>
          <w:spacing w:val="-2"/>
        </w:rPr>
        <w:t>pobladores</w:t>
      </w:r>
      <w:r w:rsidR="00121DB9">
        <w:rPr>
          <w:rStyle w:val="Refdenotaalpie"/>
          <w:spacing w:val="-2"/>
        </w:rPr>
        <w:footnoteReference w:id="974"/>
      </w:r>
      <w:r>
        <w:rPr>
          <w:spacing w:val="-2"/>
        </w:rPr>
        <w:t>.</w:t>
      </w:r>
    </w:p>
    <w:p w:rsidR="003804AC" w:rsidRPr="00121DB9" w:rsidRDefault="00AF18A5" w:rsidP="00121DB9">
      <w:r>
        <w:t>Aunque esta norma les facilitó a los latifundistas acumular los baldíos que habían sido apropiado ilegalmente hasta la fecha, estableció mecanismos para evitar en adelante su acumulación.</w:t>
      </w:r>
      <w:r>
        <w:rPr>
          <w:spacing w:val="-5"/>
        </w:rPr>
        <w:t xml:space="preserve"> </w:t>
      </w:r>
      <w:r>
        <w:t>Los</w:t>
      </w:r>
      <w:r>
        <w:rPr>
          <w:spacing w:val="-3"/>
        </w:rPr>
        <w:t xml:space="preserve"> </w:t>
      </w:r>
      <w:r>
        <w:t>avances</w:t>
      </w:r>
      <w:r>
        <w:rPr>
          <w:spacing w:val="-2"/>
        </w:rPr>
        <w:t xml:space="preserve"> </w:t>
      </w:r>
      <w:r>
        <w:t>que</w:t>
      </w:r>
      <w:r>
        <w:rPr>
          <w:spacing w:val="-2"/>
        </w:rPr>
        <w:t xml:space="preserve"> </w:t>
      </w:r>
      <w:r>
        <w:t>se</w:t>
      </w:r>
      <w:r>
        <w:rPr>
          <w:spacing w:val="-2"/>
        </w:rPr>
        <w:t xml:space="preserve"> </w:t>
      </w:r>
      <w:r>
        <w:t>lograron</w:t>
      </w:r>
      <w:r>
        <w:rPr>
          <w:spacing w:val="-3"/>
        </w:rPr>
        <w:t xml:space="preserve"> </w:t>
      </w:r>
      <w:r>
        <w:t>con</w:t>
      </w:r>
      <w:r>
        <w:rPr>
          <w:spacing w:val="-4"/>
        </w:rPr>
        <w:t xml:space="preserve"> </w:t>
      </w:r>
      <w:r>
        <w:t>la</w:t>
      </w:r>
      <w:r>
        <w:rPr>
          <w:spacing w:val="-5"/>
        </w:rPr>
        <w:t xml:space="preserve"> </w:t>
      </w:r>
      <w:r>
        <w:t>Ley</w:t>
      </w:r>
      <w:r>
        <w:rPr>
          <w:spacing w:val="-3"/>
        </w:rPr>
        <w:t xml:space="preserve"> </w:t>
      </w:r>
      <w:r>
        <w:t>200</w:t>
      </w:r>
      <w:r>
        <w:rPr>
          <w:spacing w:val="-3"/>
        </w:rPr>
        <w:t xml:space="preserve"> </w:t>
      </w:r>
      <w:r>
        <w:t>en</w:t>
      </w:r>
      <w:r>
        <w:rPr>
          <w:spacing w:val="-5"/>
        </w:rPr>
        <w:t xml:space="preserve"> </w:t>
      </w:r>
      <w:r>
        <w:t>materia</w:t>
      </w:r>
      <w:r>
        <w:rPr>
          <w:spacing w:val="-4"/>
        </w:rPr>
        <w:t xml:space="preserve"> </w:t>
      </w:r>
      <w:r>
        <w:t>de</w:t>
      </w:r>
      <w:r>
        <w:rPr>
          <w:spacing w:val="-3"/>
        </w:rPr>
        <w:t xml:space="preserve"> </w:t>
      </w:r>
      <w:r>
        <w:t>titulación</w:t>
      </w:r>
      <w:r>
        <w:rPr>
          <w:spacing w:val="-4"/>
        </w:rPr>
        <w:t xml:space="preserve"> </w:t>
      </w:r>
      <w:r>
        <w:t>de</w:t>
      </w:r>
      <w:r>
        <w:rPr>
          <w:spacing w:val="-3"/>
        </w:rPr>
        <w:t xml:space="preserve"> </w:t>
      </w:r>
      <w:r>
        <w:rPr>
          <w:spacing w:val="-2"/>
        </w:rPr>
        <w:t>tierras</w:t>
      </w:r>
      <w:bookmarkStart w:id="1212" w:name="_bookmark1070"/>
      <w:bookmarkStart w:id="1213" w:name="_bookmark1071"/>
      <w:bookmarkEnd w:id="1212"/>
      <w:bookmarkEnd w:id="1213"/>
      <w:r w:rsidR="00121DB9">
        <w:rPr>
          <w:spacing w:val="-2"/>
        </w:rPr>
        <w:t xml:space="preserve"> </w:t>
      </w:r>
      <w:r>
        <w:t>a</w:t>
      </w:r>
      <w:r>
        <w:rPr>
          <w:spacing w:val="-8"/>
        </w:rPr>
        <w:t xml:space="preserve"> </w:t>
      </w:r>
      <w:r>
        <w:t>los</w:t>
      </w:r>
      <w:r>
        <w:rPr>
          <w:spacing w:val="-8"/>
        </w:rPr>
        <w:t xml:space="preserve"> </w:t>
      </w:r>
      <w:r>
        <w:t>campesinos,</w:t>
      </w:r>
      <w:r>
        <w:rPr>
          <w:spacing w:val="40"/>
        </w:rPr>
        <w:t xml:space="preserve">  </w:t>
      </w:r>
      <w:r>
        <w:t>y</w:t>
      </w:r>
      <w:r>
        <w:rPr>
          <w:spacing w:val="-7"/>
        </w:rPr>
        <w:t xml:space="preserve"> </w:t>
      </w:r>
      <w:r>
        <w:t>se</w:t>
      </w:r>
      <w:r>
        <w:rPr>
          <w:spacing w:val="-7"/>
        </w:rPr>
        <w:t xml:space="preserve"> </w:t>
      </w:r>
      <w:r>
        <w:t>otorgaron</w:t>
      </w:r>
      <w:r>
        <w:rPr>
          <w:spacing w:val="-8"/>
        </w:rPr>
        <w:t xml:space="preserve"> </w:t>
      </w:r>
      <w:r>
        <w:t>indemnizaciones</w:t>
      </w:r>
      <w:r>
        <w:rPr>
          <w:spacing w:val="-8"/>
        </w:rPr>
        <w:t xml:space="preserve"> </w:t>
      </w:r>
      <w:r>
        <w:t>a</w:t>
      </w:r>
      <w:r>
        <w:rPr>
          <w:spacing w:val="-8"/>
        </w:rPr>
        <w:t xml:space="preserve"> </w:t>
      </w:r>
      <w:r>
        <w:t>algunos</w:t>
      </w:r>
      <w:r>
        <w:rPr>
          <w:spacing w:val="-8"/>
        </w:rPr>
        <w:t xml:space="preserve"> </w:t>
      </w:r>
      <w:r>
        <w:t>hacendados</w:t>
      </w:r>
      <w:r>
        <w:rPr>
          <w:spacing w:val="-9"/>
        </w:rPr>
        <w:t xml:space="preserve"> </w:t>
      </w:r>
      <w:r>
        <w:t>–en</w:t>
      </w:r>
      <w:r>
        <w:rPr>
          <w:spacing w:val="-8"/>
        </w:rPr>
        <w:t xml:space="preserve"> </w:t>
      </w:r>
      <w:r>
        <w:t>realidad</w:t>
      </w:r>
      <w:r>
        <w:rPr>
          <w:spacing w:val="-10"/>
        </w:rPr>
        <w:t xml:space="preserve"> </w:t>
      </w:r>
      <w:r>
        <w:t>una compra de sus tierras para adjudicarlas a campesinos–, fueron frenados durante el gobierno de</w:t>
      </w:r>
      <w:r>
        <w:rPr>
          <w:spacing w:val="-8"/>
        </w:rPr>
        <w:t xml:space="preserve"> </w:t>
      </w:r>
      <w:r>
        <w:t>Eduardo</w:t>
      </w:r>
      <w:r>
        <w:rPr>
          <w:spacing w:val="-10"/>
        </w:rPr>
        <w:t xml:space="preserve"> </w:t>
      </w:r>
      <w:r>
        <w:t>Santos</w:t>
      </w:r>
      <w:r>
        <w:rPr>
          <w:spacing w:val="-8"/>
        </w:rPr>
        <w:t xml:space="preserve"> </w:t>
      </w:r>
      <w:r>
        <w:t>Montejo</w:t>
      </w:r>
      <w:r>
        <w:rPr>
          <w:spacing w:val="-8"/>
        </w:rPr>
        <w:t xml:space="preserve"> </w:t>
      </w:r>
      <w:r>
        <w:t>(1938-1942)</w:t>
      </w:r>
      <w:r>
        <w:rPr>
          <w:spacing w:val="-8"/>
        </w:rPr>
        <w:t xml:space="preserve"> </w:t>
      </w:r>
      <w:r>
        <w:t>que</w:t>
      </w:r>
      <w:r>
        <w:rPr>
          <w:spacing w:val="-8"/>
        </w:rPr>
        <w:t xml:space="preserve"> </w:t>
      </w:r>
      <w:r>
        <w:t>puso</w:t>
      </w:r>
      <w:r>
        <w:rPr>
          <w:spacing w:val="-10"/>
        </w:rPr>
        <w:t xml:space="preserve"> </w:t>
      </w:r>
      <w:r>
        <w:t>«pausa»</w:t>
      </w:r>
      <w:r w:rsidR="00121DB9">
        <w:rPr>
          <w:rStyle w:val="Refdenotaalpie"/>
        </w:rPr>
        <w:footnoteReference w:id="975"/>
      </w:r>
      <w:r>
        <w:rPr>
          <w:spacing w:val="-8"/>
        </w:rPr>
        <w:t xml:space="preserve"> </w:t>
      </w:r>
      <w:r>
        <w:t>a</w:t>
      </w:r>
      <w:r>
        <w:rPr>
          <w:spacing w:val="-9"/>
        </w:rPr>
        <w:t xml:space="preserve"> </w:t>
      </w:r>
      <w:r>
        <w:t>la</w:t>
      </w:r>
      <w:r>
        <w:rPr>
          <w:spacing w:val="-8"/>
        </w:rPr>
        <w:t xml:space="preserve"> </w:t>
      </w:r>
      <w:r>
        <w:t>Revolución</w:t>
      </w:r>
      <w:r>
        <w:rPr>
          <w:spacing w:val="-8"/>
        </w:rPr>
        <w:t xml:space="preserve"> </w:t>
      </w:r>
      <w:r>
        <w:t>en</w:t>
      </w:r>
      <w:r>
        <w:rPr>
          <w:spacing w:val="-8"/>
        </w:rPr>
        <w:t xml:space="preserve"> </w:t>
      </w:r>
      <w:r>
        <w:t>Marcha</w:t>
      </w:r>
      <w:r>
        <w:rPr>
          <w:spacing w:val="-9"/>
        </w:rPr>
        <w:t xml:space="preserve"> </w:t>
      </w:r>
      <w:r>
        <w:t>de López Pumarejo. El freno definitivo vino con la Ley 100 de 1944, empezando el segundo gobierno</w:t>
      </w:r>
      <w:r>
        <w:rPr>
          <w:spacing w:val="-5"/>
        </w:rPr>
        <w:t xml:space="preserve"> </w:t>
      </w:r>
      <w:r>
        <w:t>de</w:t>
      </w:r>
      <w:r>
        <w:rPr>
          <w:spacing w:val="-7"/>
        </w:rPr>
        <w:t xml:space="preserve"> </w:t>
      </w:r>
      <w:r>
        <w:t>López</w:t>
      </w:r>
      <w:r>
        <w:rPr>
          <w:spacing w:val="-5"/>
        </w:rPr>
        <w:t xml:space="preserve"> </w:t>
      </w:r>
      <w:r>
        <w:t>(1942-1945),</w:t>
      </w:r>
      <w:r>
        <w:rPr>
          <w:spacing w:val="-5"/>
        </w:rPr>
        <w:t xml:space="preserve"> </w:t>
      </w:r>
      <w:r>
        <w:t>que</w:t>
      </w:r>
      <w:r>
        <w:rPr>
          <w:spacing w:val="-6"/>
        </w:rPr>
        <w:t xml:space="preserve"> </w:t>
      </w:r>
      <w:r>
        <w:t>expresó</w:t>
      </w:r>
      <w:r>
        <w:rPr>
          <w:spacing w:val="-5"/>
        </w:rPr>
        <w:t xml:space="preserve"> </w:t>
      </w:r>
      <w:r>
        <w:t>un</w:t>
      </w:r>
      <w:r>
        <w:rPr>
          <w:spacing w:val="-5"/>
        </w:rPr>
        <w:t xml:space="preserve"> </w:t>
      </w:r>
      <w:r>
        <w:t>cambio</w:t>
      </w:r>
      <w:r>
        <w:rPr>
          <w:spacing w:val="-5"/>
        </w:rPr>
        <w:t xml:space="preserve"> </w:t>
      </w:r>
      <w:r>
        <w:t>a</w:t>
      </w:r>
      <w:r>
        <w:rPr>
          <w:spacing w:val="-6"/>
        </w:rPr>
        <w:t xml:space="preserve"> </w:t>
      </w:r>
      <w:r>
        <w:t>favor</w:t>
      </w:r>
      <w:r>
        <w:rPr>
          <w:spacing w:val="-4"/>
        </w:rPr>
        <w:t xml:space="preserve"> </w:t>
      </w:r>
      <w:r>
        <w:lastRenderedPageBreak/>
        <w:t>de</w:t>
      </w:r>
      <w:r>
        <w:rPr>
          <w:spacing w:val="-5"/>
        </w:rPr>
        <w:t xml:space="preserve"> </w:t>
      </w:r>
      <w:r>
        <w:t>los</w:t>
      </w:r>
      <w:r>
        <w:rPr>
          <w:spacing w:val="-6"/>
        </w:rPr>
        <w:t xml:space="preserve"> </w:t>
      </w:r>
      <w:r>
        <w:t>grandes</w:t>
      </w:r>
      <w:r>
        <w:rPr>
          <w:spacing w:val="-5"/>
        </w:rPr>
        <w:t xml:space="preserve"> </w:t>
      </w:r>
      <w:r>
        <w:t>propietarios, amplió</w:t>
      </w:r>
      <w:r>
        <w:rPr>
          <w:spacing w:val="-6"/>
        </w:rPr>
        <w:t xml:space="preserve"> </w:t>
      </w:r>
      <w:r>
        <w:t>el</w:t>
      </w:r>
      <w:r>
        <w:rPr>
          <w:spacing w:val="-6"/>
        </w:rPr>
        <w:t xml:space="preserve"> </w:t>
      </w:r>
      <w:r>
        <w:t>tiempo</w:t>
      </w:r>
      <w:r>
        <w:rPr>
          <w:spacing w:val="-6"/>
        </w:rPr>
        <w:t xml:space="preserve"> </w:t>
      </w:r>
      <w:r>
        <w:t>dado</w:t>
      </w:r>
      <w:r>
        <w:rPr>
          <w:spacing w:val="-6"/>
        </w:rPr>
        <w:t xml:space="preserve"> </w:t>
      </w:r>
      <w:r>
        <w:t>a</w:t>
      </w:r>
      <w:r>
        <w:rPr>
          <w:spacing w:val="-6"/>
        </w:rPr>
        <w:t xml:space="preserve"> </w:t>
      </w:r>
      <w:r>
        <w:t>los</w:t>
      </w:r>
      <w:r>
        <w:rPr>
          <w:spacing w:val="-6"/>
        </w:rPr>
        <w:t xml:space="preserve"> </w:t>
      </w:r>
      <w:r>
        <w:t>latifundios</w:t>
      </w:r>
      <w:r>
        <w:rPr>
          <w:spacing w:val="-6"/>
        </w:rPr>
        <w:t xml:space="preserve"> </w:t>
      </w:r>
      <w:r>
        <w:t>para</w:t>
      </w:r>
      <w:r>
        <w:rPr>
          <w:spacing w:val="-6"/>
        </w:rPr>
        <w:t xml:space="preserve"> </w:t>
      </w:r>
      <w:r>
        <w:t>poner</w:t>
      </w:r>
      <w:r>
        <w:rPr>
          <w:spacing w:val="-6"/>
        </w:rPr>
        <w:t xml:space="preserve"> </w:t>
      </w:r>
      <w:r>
        <w:t>a</w:t>
      </w:r>
      <w:r>
        <w:rPr>
          <w:spacing w:val="-6"/>
        </w:rPr>
        <w:t xml:space="preserve"> </w:t>
      </w:r>
      <w:r>
        <w:t>producir</w:t>
      </w:r>
      <w:r>
        <w:rPr>
          <w:spacing w:val="-6"/>
        </w:rPr>
        <w:t xml:space="preserve"> </w:t>
      </w:r>
      <w:r>
        <w:t>la</w:t>
      </w:r>
      <w:r>
        <w:rPr>
          <w:spacing w:val="-6"/>
        </w:rPr>
        <w:t xml:space="preserve"> </w:t>
      </w:r>
      <w:r>
        <w:t>tierra</w:t>
      </w:r>
      <w:r>
        <w:rPr>
          <w:spacing w:val="-6"/>
        </w:rPr>
        <w:t xml:space="preserve"> </w:t>
      </w:r>
      <w:r>
        <w:t>improductiva</w:t>
      </w:r>
      <w:r>
        <w:rPr>
          <w:spacing w:val="-6"/>
        </w:rPr>
        <w:t xml:space="preserve"> </w:t>
      </w:r>
      <w:r>
        <w:t>y</w:t>
      </w:r>
      <w:r>
        <w:rPr>
          <w:spacing w:val="-6"/>
        </w:rPr>
        <w:t xml:space="preserve"> </w:t>
      </w:r>
      <w:r>
        <w:t>dio</w:t>
      </w:r>
      <w:r>
        <w:rPr>
          <w:spacing w:val="-6"/>
        </w:rPr>
        <w:t xml:space="preserve"> </w:t>
      </w:r>
      <w:r>
        <w:t>un impulso a éstos para continuar el escalamiento de los conflictos a niveles cada vez más violentos</w:t>
      </w:r>
      <w:r w:rsidR="00121DB9">
        <w:rPr>
          <w:rStyle w:val="Refdenotaalpie"/>
        </w:rPr>
        <w:footnoteReference w:id="976"/>
      </w:r>
      <w:r>
        <w:t>.</w:t>
      </w:r>
      <w:r>
        <w:rPr>
          <w:spacing w:val="-10"/>
        </w:rPr>
        <w:t xml:space="preserve"> </w:t>
      </w:r>
      <w:r>
        <w:t>Al</w:t>
      </w:r>
      <w:r>
        <w:rPr>
          <w:spacing w:val="-9"/>
        </w:rPr>
        <w:t xml:space="preserve"> </w:t>
      </w:r>
      <w:r>
        <w:t>garantizarles</w:t>
      </w:r>
      <w:r>
        <w:rPr>
          <w:spacing w:val="-10"/>
        </w:rPr>
        <w:t xml:space="preserve"> </w:t>
      </w:r>
      <w:r>
        <w:t>a</w:t>
      </w:r>
      <w:r>
        <w:rPr>
          <w:spacing w:val="-10"/>
        </w:rPr>
        <w:t xml:space="preserve"> </w:t>
      </w:r>
      <w:r>
        <w:t>los</w:t>
      </w:r>
      <w:r>
        <w:rPr>
          <w:spacing w:val="-10"/>
        </w:rPr>
        <w:t xml:space="preserve"> </w:t>
      </w:r>
      <w:r>
        <w:t>terratenientes</w:t>
      </w:r>
      <w:r>
        <w:rPr>
          <w:spacing w:val="-10"/>
        </w:rPr>
        <w:t xml:space="preserve"> </w:t>
      </w:r>
      <w:r>
        <w:t>el</w:t>
      </w:r>
      <w:r>
        <w:rPr>
          <w:spacing w:val="-11"/>
        </w:rPr>
        <w:t xml:space="preserve"> </w:t>
      </w:r>
      <w:r>
        <w:t>control</w:t>
      </w:r>
      <w:r>
        <w:rPr>
          <w:spacing w:val="-9"/>
        </w:rPr>
        <w:t xml:space="preserve"> </w:t>
      </w:r>
      <w:r>
        <w:t>de</w:t>
      </w:r>
      <w:r>
        <w:rPr>
          <w:spacing w:val="-10"/>
        </w:rPr>
        <w:t xml:space="preserve"> </w:t>
      </w:r>
      <w:r>
        <w:t>la</w:t>
      </w:r>
      <w:r>
        <w:rPr>
          <w:spacing w:val="-11"/>
        </w:rPr>
        <w:t xml:space="preserve"> </w:t>
      </w:r>
      <w:r>
        <w:t>tierra,</w:t>
      </w:r>
      <w:r>
        <w:rPr>
          <w:spacing w:val="-10"/>
        </w:rPr>
        <w:t xml:space="preserve"> </w:t>
      </w:r>
      <w:r>
        <w:t>la</w:t>
      </w:r>
      <w:r>
        <w:rPr>
          <w:spacing w:val="-10"/>
        </w:rPr>
        <w:t xml:space="preserve"> </w:t>
      </w:r>
      <w:r>
        <w:t>ley</w:t>
      </w:r>
      <w:r>
        <w:rPr>
          <w:spacing w:val="-11"/>
        </w:rPr>
        <w:t xml:space="preserve"> </w:t>
      </w:r>
      <w:r>
        <w:t>buscaba</w:t>
      </w:r>
      <w:r>
        <w:rPr>
          <w:spacing w:val="-10"/>
        </w:rPr>
        <w:t xml:space="preserve"> </w:t>
      </w:r>
      <w:r>
        <w:t>reducir nuevamente</w:t>
      </w:r>
      <w:r>
        <w:rPr>
          <w:spacing w:val="-15"/>
        </w:rPr>
        <w:t xml:space="preserve"> </w:t>
      </w:r>
      <w:r>
        <w:t>al</w:t>
      </w:r>
      <w:r>
        <w:rPr>
          <w:spacing w:val="-12"/>
        </w:rPr>
        <w:t xml:space="preserve"> </w:t>
      </w:r>
      <w:r>
        <w:t>campesino</w:t>
      </w:r>
      <w:r>
        <w:rPr>
          <w:spacing w:val="-12"/>
        </w:rPr>
        <w:t xml:space="preserve"> </w:t>
      </w:r>
      <w:r>
        <w:t>a</w:t>
      </w:r>
      <w:r>
        <w:rPr>
          <w:spacing w:val="-11"/>
        </w:rPr>
        <w:t xml:space="preserve"> </w:t>
      </w:r>
      <w:r>
        <w:t>su</w:t>
      </w:r>
      <w:r>
        <w:rPr>
          <w:spacing w:val="-12"/>
        </w:rPr>
        <w:t xml:space="preserve"> </w:t>
      </w:r>
      <w:r>
        <w:t>papel</w:t>
      </w:r>
      <w:r>
        <w:rPr>
          <w:spacing w:val="-12"/>
        </w:rPr>
        <w:t xml:space="preserve"> </w:t>
      </w:r>
      <w:r>
        <w:t>de</w:t>
      </w:r>
      <w:r>
        <w:rPr>
          <w:spacing w:val="-11"/>
        </w:rPr>
        <w:t xml:space="preserve"> </w:t>
      </w:r>
      <w:r>
        <w:t>peón</w:t>
      </w:r>
      <w:r>
        <w:rPr>
          <w:spacing w:val="-12"/>
        </w:rPr>
        <w:t xml:space="preserve"> </w:t>
      </w:r>
      <w:r>
        <w:t>o</w:t>
      </w:r>
      <w:r>
        <w:rPr>
          <w:spacing w:val="-12"/>
        </w:rPr>
        <w:t xml:space="preserve"> </w:t>
      </w:r>
      <w:r>
        <w:t>jornalero,</w:t>
      </w:r>
      <w:r>
        <w:rPr>
          <w:spacing w:val="-11"/>
        </w:rPr>
        <w:t xml:space="preserve"> </w:t>
      </w:r>
      <w:r>
        <w:t>y</w:t>
      </w:r>
      <w:r>
        <w:rPr>
          <w:spacing w:val="-12"/>
        </w:rPr>
        <w:t xml:space="preserve"> </w:t>
      </w:r>
      <w:r>
        <w:t>evitar</w:t>
      </w:r>
      <w:r>
        <w:rPr>
          <w:spacing w:val="-12"/>
        </w:rPr>
        <w:t xml:space="preserve"> </w:t>
      </w:r>
      <w:r>
        <w:t>su</w:t>
      </w:r>
      <w:r>
        <w:rPr>
          <w:spacing w:val="-11"/>
        </w:rPr>
        <w:t xml:space="preserve"> </w:t>
      </w:r>
      <w:r>
        <w:t>acceso</w:t>
      </w:r>
      <w:r>
        <w:rPr>
          <w:spacing w:val="-13"/>
        </w:rPr>
        <w:t xml:space="preserve"> </w:t>
      </w:r>
      <w:r>
        <w:t>a</w:t>
      </w:r>
      <w:r>
        <w:rPr>
          <w:spacing w:val="-12"/>
        </w:rPr>
        <w:t xml:space="preserve"> </w:t>
      </w:r>
      <w:r>
        <w:t>la</w:t>
      </w:r>
      <w:r>
        <w:rPr>
          <w:spacing w:val="-11"/>
        </w:rPr>
        <w:t xml:space="preserve"> </w:t>
      </w:r>
      <w:r>
        <w:rPr>
          <w:spacing w:val="-2"/>
        </w:rPr>
        <w:t>propiedad</w:t>
      </w:r>
      <w:r w:rsidR="00121DB9">
        <w:rPr>
          <w:rStyle w:val="Refdenotaalpie"/>
          <w:spacing w:val="-2"/>
        </w:rPr>
        <w:footnoteReference w:id="977"/>
      </w:r>
      <w:r>
        <w:rPr>
          <w:spacing w:val="-2"/>
        </w:rPr>
        <w:t>.</w:t>
      </w:r>
    </w:p>
    <w:p w:rsidR="003804AC" w:rsidRDefault="00AF18A5" w:rsidP="00121DB9">
      <w:r>
        <w:t>A partir de 1946 –en el gobierno del conservador Mariano Ospina Pérez– se aumentó la entrega de baldíos</w:t>
      </w:r>
      <w:r w:rsidR="00121DB9">
        <w:rPr>
          <w:rStyle w:val="Refdenotaalpie"/>
        </w:rPr>
        <w:footnoteReference w:id="978"/>
      </w:r>
      <w:r>
        <w:t xml:space="preserve"> al mismo tiempo que arreciaba la violencia oficial en los campos colombianos. Justo en los departamentos más afectados por los primeros años de la Violencia,</w:t>
      </w:r>
      <w:r>
        <w:rPr>
          <w:spacing w:val="-10"/>
        </w:rPr>
        <w:t xml:space="preserve"> </w:t>
      </w:r>
      <w:r>
        <w:t>como</w:t>
      </w:r>
      <w:r>
        <w:rPr>
          <w:spacing w:val="-10"/>
        </w:rPr>
        <w:t xml:space="preserve"> </w:t>
      </w:r>
      <w:r>
        <w:t>el</w:t>
      </w:r>
      <w:r>
        <w:rPr>
          <w:spacing w:val="-9"/>
        </w:rPr>
        <w:t xml:space="preserve"> </w:t>
      </w:r>
      <w:r>
        <w:t>Valle</w:t>
      </w:r>
      <w:r>
        <w:rPr>
          <w:spacing w:val="-11"/>
        </w:rPr>
        <w:t xml:space="preserve"> </w:t>
      </w:r>
      <w:r>
        <w:t>del</w:t>
      </w:r>
      <w:r>
        <w:rPr>
          <w:spacing w:val="-9"/>
        </w:rPr>
        <w:t xml:space="preserve"> </w:t>
      </w:r>
      <w:r>
        <w:t>Cauca,</w:t>
      </w:r>
      <w:r>
        <w:rPr>
          <w:spacing w:val="-11"/>
        </w:rPr>
        <w:t xml:space="preserve"> </w:t>
      </w:r>
      <w:r>
        <w:t>Antioquia</w:t>
      </w:r>
      <w:r>
        <w:rPr>
          <w:spacing w:val="-9"/>
        </w:rPr>
        <w:t xml:space="preserve"> </w:t>
      </w:r>
      <w:r>
        <w:t>o</w:t>
      </w:r>
      <w:r>
        <w:rPr>
          <w:spacing w:val="-11"/>
        </w:rPr>
        <w:t xml:space="preserve"> </w:t>
      </w:r>
      <w:r>
        <w:t>Santander,</w:t>
      </w:r>
      <w:r>
        <w:rPr>
          <w:spacing w:val="-10"/>
        </w:rPr>
        <w:t xml:space="preserve"> </w:t>
      </w:r>
      <w:r>
        <w:t>en</w:t>
      </w:r>
      <w:r>
        <w:rPr>
          <w:spacing w:val="-10"/>
        </w:rPr>
        <w:t xml:space="preserve"> </w:t>
      </w:r>
      <w:r>
        <w:t>los</w:t>
      </w:r>
      <w:r>
        <w:rPr>
          <w:spacing w:val="-9"/>
        </w:rPr>
        <w:t xml:space="preserve"> </w:t>
      </w:r>
      <w:r>
        <w:t>que</w:t>
      </w:r>
      <w:r>
        <w:rPr>
          <w:spacing w:val="-9"/>
        </w:rPr>
        <w:t xml:space="preserve"> </w:t>
      </w:r>
      <w:r>
        <w:t>se</w:t>
      </w:r>
      <w:r>
        <w:rPr>
          <w:spacing w:val="-11"/>
        </w:rPr>
        <w:t xml:space="preserve"> </w:t>
      </w:r>
      <w:r>
        <w:t>vivía</w:t>
      </w:r>
      <w:r>
        <w:rPr>
          <w:spacing w:val="-9"/>
        </w:rPr>
        <w:t xml:space="preserve"> </w:t>
      </w:r>
      <w:r>
        <w:t>un</w:t>
      </w:r>
      <w:r>
        <w:rPr>
          <w:spacing w:val="-10"/>
        </w:rPr>
        <w:t xml:space="preserve"> </w:t>
      </w:r>
      <w:r>
        <w:t>dramático éxodo de miles de familias campesinas, forzadas a huir hacia regiones inhóspitas en las cuales buscar un lugar para asentarse y cultivar; entre 1946 y 1953 se adjudicaron más de 600</w:t>
      </w:r>
      <w:r>
        <w:rPr>
          <w:spacing w:val="-14"/>
        </w:rPr>
        <w:t xml:space="preserve"> </w:t>
      </w:r>
      <w:r>
        <w:t>mil</w:t>
      </w:r>
      <w:r>
        <w:rPr>
          <w:spacing w:val="-14"/>
        </w:rPr>
        <w:t xml:space="preserve"> </w:t>
      </w:r>
      <w:r>
        <w:t>hectáreas</w:t>
      </w:r>
      <w:r w:rsidR="00121DB9">
        <w:rPr>
          <w:rStyle w:val="Refdenotaalpie"/>
        </w:rPr>
        <w:footnoteReference w:id="979"/>
      </w:r>
      <w:r>
        <w:rPr>
          <w:spacing w:val="-14"/>
        </w:rPr>
        <w:t xml:space="preserve"> </w:t>
      </w:r>
      <w:r>
        <w:t>de</w:t>
      </w:r>
      <w:r>
        <w:rPr>
          <w:spacing w:val="-14"/>
        </w:rPr>
        <w:t xml:space="preserve"> </w:t>
      </w:r>
      <w:r>
        <w:t>baldíos</w:t>
      </w:r>
      <w:r>
        <w:rPr>
          <w:spacing w:val="-14"/>
        </w:rPr>
        <w:t xml:space="preserve"> </w:t>
      </w:r>
      <w:r>
        <w:t>en</w:t>
      </w:r>
      <w:r>
        <w:rPr>
          <w:spacing w:val="-14"/>
        </w:rPr>
        <w:t xml:space="preserve"> </w:t>
      </w:r>
      <w:r>
        <w:t>las</w:t>
      </w:r>
      <w:r>
        <w:rPr>
          <w:spacing w:val="-14"/>
        </w:rPr>
        <w:t xml:space="preserve"> </w:t>
      </w:r>
      <w:r>
        <w:t>zonas</w:t>
      </w:r>
      <w:r>
        <w:rPr>
          <w:spacing w:val="-14"/>
        </w:rPr>
        <w:t xml:space="preserve"> </w:t>
      </w:r>
      <w:r>
        <w:t>de</w:t>
      </w:r>
      <w:r>
        <w:rPr>
          <w:spacing w:val="-14"/>
        </w:rPr>
        <w:t xml:space="preserve"> </w:t>
      </w:r>
      <w:r>
        <w:t>tierras</w:t>
      </w:r>
      <w:r>
        <w:rPr>
          <w:spacing w:val="-14"/>
        </w:rPr>
        <w:t xml:space="preserve"> </w:t>
      </w:r>
      <w:r>
        <w:t>fértiles</w:t>
      </w:r>
      <w:r>
        <w:rPr>
          <w:spacing w:val="-14"/>
        </w:rPr>
        <w:t xml:space="preserve"> </w:t>
      </w:r>
      <w:r>
        <w:t>del</w:t>
      </w:r>
      <w:r>
        <w:rPr>
          <w:spacing w:val="-14"/>
        </w:rPr>
        <w:t xml:space="preserve"> </w:t>
      </w:r>
      <w:r>
        <w:t>centro</w:t>
      </w:r>
      <w:r>
        <w:rPr>
          <w:spacing w:val="-14"/>
        </w:rPr>
        <w:t xml:space="preserve"> </w:t>
      </w:r>
      <w:r>
        <w:t>del</w:t>
      </w:r>
      <w:r>
        <w:rPr>
          <w:spacing w:val="-14"/>
        </w:rPr>
        <w:t xml:space="preserve"> </w:t>
      </w:r>
      <w:r>
        <w:t>país.</w:t>
      </w:r>
      <w:r>
        <w:rPr>
          <w:spacing w:val="-15"/>
        </w:rPr>
        <w:t xml:space="preserve"> </w:t>
      </w:r>
      <w:r>
        <w:t>Las</w:t>
      </w:r>
      <w:r>
        <w:rPr>
          <w:spacing w:val="-14"/>
        </w:rPr>
        <w:t xml:space="preserve"> </w:t>
      </w:r>
      <w:r>
        <w:t>familias de</w:t>
      </w:r>
      <w:r>
        <w:rPr>
          <w:spacing w:val="-6"/>
        </w:rPr>
        <w:t xml:space="preserve"> </w:t>
      </w:r>
      <w:r>
        <w:t>miles</w:t>
      </w:r>
      <w:r>
        <w:rPr>
          <w:spacing w:val="-6"/>
        </w:rPr>
        <w:t xml:space="preserve"> </w:t>
      </w:r>
      <w:r>
        <w:t>de</w:t>
      </w:r>
      <w:r>
        <w:rPr>
          <w:spacing w:val="-7"/>
        </w:rPr>
        <w:t xml:space="preserve"> </w:t>
      </w:r>
      <w:r>
        <w:t>campesinos</w:t>
      </w:r>
      <w:r>
        <w:rPr>
          <w:spacing w:val="-6"/>
        </w:rPr>
        <w:t xml:space="preserve"> </w:t>
      </w:r>
      <w:r>
        <w:t>que</w:t>
      </w:r>
      <w:r>
        <w:rPr>
          <w:spacing w:val="-6"/>
        </w:rPr>
        <w:t xml:space="preserve"> </w:t>
      </w:r>
      <w:r>
        <w:t>habían</w:t>
      </w:r>
      <w:r>
        <w:rPr>
          <w:spacing w:val="-6"/>
        </w:rPr>
        <w:t xml:space="preserve"> </w:t>
      </w:r>
      <w:r>
        <w:t>seguido</w:t>
      </w:r>
      <w:r>
        <w:rPr>
          <w:spacing w:val="-6"/>
        </w:rPr>
        <w:t xml:space="preserve"> </w:t>
      </w:r>
      <w:r>
        <w:t>el</w:t>
      </w:r>
      <w:r>
        <w:rPr>
          <w:spacing w:val="-6"/>
        </w:rPr>
        <w:t xml:space="preserve"> </w:t>
      </w:r>
      <w:r>
        <w:t>camino</w:t>
      </w:r>
      <w:r>
        <w:rPr>
          <w:spacing w:val="-6"/>
        </w:rPr>
        <w:t xml:space="preserve"> </w:t>
      </w:r>
      <w:r>
        <w:t>jurídico</w:t>
      </w:r>
      <w:r>
        <w:rPr>
          <w:spacing w:val="-6"/>
        </w:rPr>
        <w:t xml:space="preserve"> </w:t>
      </w:r>
      <w:r>
        <w:t>para</w:t>
      </w:r>
      <w:r>
        <w:rPr>
          <w:spacing w:val="-6"/>
        </w:rPr>
        <w:t xml:space="preserve"> </w:t>
      </w:r>
      <w:r>
        <w:t>hacer</w:t>
      </w:r>
      <w:r>
        <w:rPr>
          <w:spacing w:val="-7"/>
        </w:rPr>
        <w:t xml:space="preserve"> </w:t>
      </w:r>
      <w:r>
        <w:t>valer</w:t>
      </w:r>
      <w:r>
        <w:rPr>
          <w:spacing w:val="-6"/>
        </w:rPr>
        <w:t xml:space="preserve"> </w:t>
      </w:r>
      <w:r>
        <w:t>su</w:t>
      </w:r>
      <w:r>
        <w:rPr>
          <w:spacing w:val="-6"/>
        </w:rPr>
        <w:t xml:space="preserve"> </w:t>
      </w:r>
      <w:r>
        <w:t>derecho</w:t>
      </w:r>
      <w:r>
        <w:rPr>
          <w:spacing w:val="-6"/>
        </w:rPr>
        <w:t xml:space="preserve"> </w:t>
      </w:r>
      <w:r>
        <w:t>a la</w:t>
      </w:r>
      <w:r>
        <w:rPr>
          <w:spacing w:val="-4"/>
        </w:rPr>
        <w:t xml:space="preserve"> </w:t>
      </w:r>
      <w:r>
        <w:t>tierra</w:t>
      </w:r>
      <w:r>
        <w:rPr>
          <w:spacing w:val="-4"/>
        </w:rPr>
        <w:t xml:space="preserve"> </w:t>
      </w:r>
      <w:r>
        <w:t>vieron</w:t>
      </w:r>
      <w:r>
        <w:rPr>
          <w:spacing w:val="-5"/>
        </w:rPr>
        <w:t xml:space="preserve"> </w:t>
      </w:r>
      <w:r>
        <w:t>cómo</w:t>
      </w:r>
      <w:r>
        <w:rPr>
          <w:spacing w:val="-5"/>
        </w:rPr>
        <w:t xml:space="preserve"> </w:t>
      </w:r>
      <w:r>
        <w:t>sus</w:t>
      </w:r>
      <w:r>
        <w:rPr>
          <w:spacing w:val="-6"/>
        </w:rPr>
        <w:t xml:space="preserve"> </w:t>
      </w:r>
      <w:r>
        <w:t>sueños</w:t>
      </w:r>
      <w:r>
        <w:rPr>
          <w:spacing w:val="-4"/>
        </w:rPr>
        <w:t xml:space="preserve"> </w:t>
      </w:r>
      <w:r>
        <w:t>de</w:t>
      </w:r>
      <w:r>
        <w:rPr>
          <w:spacing w:val="-4"/>
        </w:rPr>
        <w:t xml:space="preserve"> </w:t>
      </w:r>
      <w:r>
        <w:t>ser</w:t>
      </w:r>
      <w:r>
        <w:rPr>
          <w:spacing w:val="-4"/>
        </w:rPr>
        <w:t xml:space="preserve"> </w:t>
      </w:r>
      <w:r>
        <w:t>propietarios</w:t>
      </w:r>
      <w:r>
        <w:rPr>
          <w:spacing w:val="-4"/>
        </w:rPr>
        <w:t xml:space="preserve"> </w:t>
      </w:r>
      <w:r>
        <w:t>quedaron</w:t>
      </w:r>
      <w:r>
        <w:rPr>
          <w:spacing w:val="-6"/>
        </w:rPr>
        <w:t xml:space="preserve"> </w:t>
      </w:r>
      <w:r>
        <w:t>truncados,</w:t>
      </w:r>
      <w:r>
        <w:rPr>
          <w:spacing w:val="-5"/>
        </w:rPr>
        <w:t xml:space="preserve"> </w:t>
      </w:r>
      <w:r>
        <w:t>para</w:t>
      </w:r>
      <w:r>
        <w:rPr>
          <w:spacing w:val="-4"/>
        </w:rPr>
        <w:t xml:space="preserve"> </w:t>
      </w:r>
      <w:r>
        <w:t>convertirse</w:t>
      </w:r>
      <w:r>
        <w:rPr>
          <w:spacing w:val="-4"/>
        </w:rPr>
        <w:t xml:space="preserve"> </w:t>
      </w:r>
      <w:r>
        <w:t>en víctimas principales de la Violencia. La creciente ola de asesinatos que empezó a darse en veredas</w:t>
      </w:r>
      <w:r>
        <w:rPr>
          <w:spacing w:val="15"/>
        </w:rPr>
        <w:t xml:space="preserve"> </w:t>
      </w:r>
      <w:r>
        <w:t>y</w:t>
      </w:r>
      <w:r>
        <w:rPr>
          <w:spacing w:val="17"/>
        </w:rPr>
        <w:t xml:space="preserve"> </w:t>
      </w:r>
      <w:r>
        <w:t>pueblos</w:t>
      </w:r>
      <w:r>
        <w:rPr>
          <w:spacing w:val="18"/>
        </w:rPr>
        <w:t xml:space="preserve"> </w:t>
      </w:r>
      <w:r>
        <w:t>de</w:t>
      </w:r>
      <w:r>
        <w:rPr>
          <w:spacing w:val="17"/>
        </w:rPr>
        <w:t xml:space="preserve"> </w:t>
      </w:r>
      <w:r>
        <w:t>todas</w:t>
      </w:r>
      <w:r>
        <w:rPr>
          <w:spacing w:val="17"/>
        </w:rPr>
        <w:t xml:space="preserve"> </w:t>
      </w:r>
      <w:r>
        <w:t>las</w:t>
      </w:r>
      <w:r>
        <w:rPr>
          <w:spacing w:val="18"/>
        </w:rPr>
        <w:t xml:space="preserve"> </w:t>
      </w:r>
      <w:r>
        <w:t>provincias</w:t>
      </w:r>
      <w:r>
        <w:rPr>
          <w:spacing w:val="17"/>
        </w:rPr>
        <w:t xml:space="preserve"> </w:t>
      </w:r>
      <w:r>
        <w:t>del</w:t>
      </w:r>
      <w:r>
        <w:rPr>
          <w:spacing w:val="18"/>
        </w:rPr>
        <w:t xml:space="preserve"> </w:t>
      </w:r>
      <w:r>
        <w:t>centro</w:t>
      </w:r>
      <w:r>
        <w:rPr>
          <w:spacing w:val="17"/>
        </w:rPr>
        <w:t xml:space="preserve"> </w:t>
      </w:r>
      <w:r>
        <w:t>del</w:t>
      </w:r>
      <w:r>
        <w:rPr>
          <w:spacing w:val="17"/>
        </w:rPr>
        <w:t xml:space="preserve"> </w:t>
      </w:r>
      <w:r>
        <w:t>país</w:t>
      </w:r>
      <w:r>
        <w:rPr>
          <w:spacing w:val="17"/>
        </w:rPr>
        <w:t xml:space="preserve"> </w:t>
      </w:r>
      <w:r>
        <w:t>tuvo</w:t>
      </w:r>
      <w:r>
        <w:rPr>
          <w:spacing w:val="17"/>
        </w:rPr>
        <w:t xml:space="preserve"> </w:t>
      </w:r>
      <w:r>
        <w:t>un</w:t>
      </w:r>
      <w:r>
        <w:rPr>
          <w:spacing w:val="17"/>
        </w:rPr>
        <w:t xml:space="preserve"> </w:t>
      </w:r>
      <w:r>
        <w:t>énfasis</w:t>
      </w:r>
      <w:r>
        <w:rPr>
          <w:spacing w:val="18"/>
        </w:rPr>
        <w:t xml:space="preserve"> </w:t>
      </w:r>
      <w:r>
        <w:t>en</w:t>
      </w:r>
      <w:r>
        <w:rPr>
          <w:spacing w:val="17"/>
        </w:rPr>
        <w:t xml:space="preserve"> </w:t>
      </w:r>
      <w:r>
        <w:t>las</w:t>
      </w:r>
      <w:r>
        <w:rPr>
          <w:spacing w:val="18"/>
        </w:rPr>
        <w:t xml:space="preserve"> </w:t>
      </w:r>
      <w:r>
        <w:rPr>
          <w:spacing w:val="-2"/>
        </w:rPr>
        <w:t>zonas</w:t>
      </w:r>
      <w:bookmarkStart w:id="1214" w:name="_bookmark1072"/>
      <w:bookmarkStart w:id="1215" w:name="_bookmark1073"/>
      <w:bookmarkStart w:id="1216" w:name="_bookmark1074"/>
      <w:bookmarkStart w:id="1217" w:name="_bookmark1075"/>
      <w:bookmarkStart w:id="1218" w:name="_bookmark1076"/>
      <w:bookmarkEnd w:id="1214"/>
      <w:bookmarkEnd w:id="1215"/>
      <w:bookmarkEnd w:id="1216"/>
      <w:bookmarkEnd w:id="1217"/>
      <w:bookmarkEnd w:id="1218"/>
      <w:r w:rsidR="00121DB9">
        <w:t xml:space="preserve"> </w:t>
      </w:r>
      <w:r>
        <w:t>andinas. Los encarcelamientos y apaleamientos pronto comenzaron a convertirse en desplazamientos forzados, en torturas y asesinatos.</w:t>
      </w:r>
    </w:p>
    <w:p w:rsidR="003804AC" w:rsidRDefault="00AF18A5" w:rsidP="00301EA8">
      <w:r>
        <w:lastRenderedPageBreak/>
        <w:t>Junto a los odios políticos heredados y acumulados, la Violencia expresó un ánimo revanchista de terratenientes contra campesinos colonos por las tensiones que continuaban en las provincias de Tequendama, Rionegro y Sumapaz en Cundinamarca, y en regiones como</w:t>
      </w:r>
      <w:r>
        <w:rPr>
          <w:spacing w:val="-13"/>
        </w:rPr>
        <w:t xml:space="preserve"> </w:t>
      </w:r>
      <w:r>
        <w:t>el</w:t>
      </w:r>
      <w:r>
        <w:rPr>
          <w:spacing w:val="-13"/>
        </w:rPr>
        <w:t xml:space="preserve"> </w:t>
      </w:r>
      <w:r>
        <w:t>centro</w:t>
      </w:r>
      <w:r>
        <w:rPr>
          <w:spacing w:val="-13"/>
        </w:rPr>
        <w:t xml:space="preserve"> </w:t>
      </w:r>
      <w:r>
        <w:t>y</w:t>
      </w:r>
      <w:r>
        <w:rPr>
          <w:spacing w:val="-13"/>
        </w:rPr>
        <w:t xml:space="preserve"> </w:t>
      </w:r>
      <w:r>
        <w:t>norte</w:t>
      </w:r>
      <w:r>
        <w:rPr>
          <w:spacing w:val="-13"/>
        </w:rPr>
        <w:t xml:space="preserve"> </w:t>
      </w:r>
      <w:r>
        <w:t>del</w:t>
      </w:r>
      <w:r>
        <w:rPr>
          <w:spacing w:val="-13"/>
        </w:rPr>
        <w:t xml:space="preserve"> </w:t>
      </w:r>
      <w:r>
        <w:t>Tolima</w:t>
      </w:r>
      <w:r>
        <w:rPr>
          <w:spacing w:val="-13"/>
        </w:rPr>
        <w:t xml:space="preserve"> </w:t>
      </w:r>
      <w:r>
        <w:t>y</w:t>
      </w:r>
      <w:r>
        <w:rPr>
          <w:spacing w:val="-15"/>
        </w:rPr>
        <w:t xml:space="preserve"> </w:t>
      </w:r>
      <w:r>
        <w:t>el</w:t>
      </w:r>
      <w:r>
        <w:rPr>
          <w:spacing w:val="-14"/>
        </w:rPr>
        <w:t xml:space="preserve"> </w:t>
      </w:r>
      <w:r>
        <w:t>antiguo</w:t>
      </w:r>
      <w:r>
        <w:rPr>
          <w:spacing w:val="-14"/>
        </w:rPr>
        <w:t xml:space="preserve"> </w:t>
      </w:r>
      <w:r>
        <w:t>Caldas.</w:t>
      </w:r>
      <w:r>
        <w:rPr>
          <w:spacing w:val="-13"/>
        </w:rPr>
        <w:t xml:space="preserve"> </w:t>
      </w:r>
      <w:r>
        <w:t>Fueron</w:t>
      </w:r>
      <w:r>
        <w:rPr>
          <w:spacing w:val="-14"/>
        </w:rPr>
        <w:t xml:space="preserve"> </w:t>
      </w:r>
      <w:r>
        <w:t>las</w:t>
      </w:r>
      <w:r>
        <w:rPr>
          <w:spacing w:val="-13"/>
        </w:rPr>
        <w:t xml:space="preserve"> </w:t>
      </w:r>
      <w:r>
        <w:t>zonas</w:t>
      </w:r>
      <w:r>
        <w:rPr>
          <w:spacing w:val="-14"/>
        </w:rPr>
        <w:t xml:space="preserve"> </w:t>
      </w:r>
      <w:r>
        <w:t>cafeteras</w:t>
      </w:r>
      <w:r>
        <w:rPr>
          <w:spacing w:val="-13"/>
        </w:rPr>
        <w:t xml:space="preserve"> </w:t>
      </w:r>
      <w:r>
        <w:t>en</w:t>
      </w:r>
      <w:r>
        <w:rPr>
          <w:spacing w:val="-14"/>
        </w:rPr>
        <w:t xml:space="preserve"> </w:t>
      </w:r>
      <w:r>
        <w:t>regiones centrales del país –aquellas donde se habían concentrado los conflictos entre hacendados y campesinos</w:t>
      </w:r>
      <w:r>
        <w:rPr>
          <w:spacing w:val="-5"/>
        </w:rPr>
        <w:t xml:space="preserve"> </w:t>
      </w:r>
      <w:r>
        <w:t>colonos</w:t>
      </w:r>
      <w:r>
        <w:rPr>
          <w:spacing w:val="-3"/>
        </w:rPr>
        <w:t xml:space="preserve"> </w:t>
      </w:r>
      <w:r>
        <w:t>en</w:t>
      </w:r>
      <w:r>
        <w:rPr>
          <w:spacing w:val="-3"/>
        </w:rPr>
        <w:t xml:space="preserve"> </w:t>
      </w:r>
      <w:r>
        <w:t>las</w:t>
      </w:r>
      <w:r>
        <w:rPr>
          <w:spacing w:val="-3"/>
        </w:rPr>
        <w:t xml:space="preserve"> </w:t>
      </w:r>
      <w:r>
        <w:t>décadas</w:t>
      </w:r>
      <w:r>
        <w:rPr>
          <w:spacing w:val="-3"/>
        </w:rPr>
        <w:t xml:space="preserve"> </w:t>
      </w:r>
      <w:r>
        <w:t>del</w:t>
      </w:r>
      <w:r>
        <w:rPr>
          <w:spacing w:val="-3"/>
        </w:rPr>
        <w:t xml:space="preserve"> </w:t>
      </w:r>
      <w:r>
        <w:t>veinte</w:t>
      </w:r>
      <w:r>
        <w:rPr>
          <w:spacing w:val="-3"/>
        </w:rPr>
        <w:t xml:space="preserve"> </w:t>
      </w:r>
      <w:r>
        <w:t>y</w:t>
      </w:r>
      <w:r>
        <w:rPr>
          <w:spacing w:val="-3"/>
        </w:rPr>
        <w:t xml:space="preserve"> </w:t>
      </w:r>
      <w:r>
        <w:t>treinta–</w:t>
      </w:r>
      <w:r>
        <w:rPr>
          <w:spacing w:val="-3"/>
        </w:rPr>
        <w:t xml:space="preserve"> </w:t>
      </w:r>
      <w:r>
        <w:t>donde</w:t>
      </w:r>
      <w:r>
        <w:rPr>
          <w:spacing w:val="-3"/>
        </w:rPr>
        <w:t xml:space="preserve"> </w:t>
      </w:r>
      <w:r>
        <w:t>fue</w:t>
      </w:r>
      <w:r>
        <w:rPr>
          <w:spacing w:val="-3"/>
        </w:rPr>
        <w:t xml:space="preserve"> </w:t>
      </w:r>
      <w:r>
        <w:t>más</w:t>
      </w:r>
      <w:r>
        <w:rPr>
          <w:spacing w:val="-3"/>
        </w:rPr>
        <w:t xml:space="preserve"> </w:t>
      </w:r>
      <w:r>
        <w:t>cruda</w:t>
      </w:r>
      <w:r>
        <w:rPr>
          <w:spacing w:val="-3"/>
        </w:rPr>
        <w:t xml:space="preserve"> </w:t>
      </w:r>
      <w:r>
        <w:t>la</w:t>
      </w:r>
      <w:r>
        <w:rPr>
          <w:spacing w:val="-3"/>
        </w:rPr>
        <w:t xml:space="preserve"> </w:t>
      </w:r>
      <w:r>
        <w:t>violencia,</w:t>
      </w:r>
      <w:r>
        <w:rPr>
          <w:spacing w:val="-3"/>
        </w:rPr>
        <w:t xml:space="preserve"> </w:t>
      </w:r>
      <w:r>
        <w:t>y donde se produjeron con más intensidad los desplazamientos masivos y las pérdidas de parcelas</w:t>
      </w:r>
      <w:r>
        <w:rPr>
          <w:spacing w:val="-9"/>
        </w:rPr>
        <w:t xml:space="preserve"> </w:t>
      </w:r>
      <w:r>
        <w:t>o</w:t>
      </w:r>
      <w:r>
        <w:rPr>
          <w:spacing w:val="-10"/>
        </w:rPr>
        <w:t xml:space="preserve"> </w:t>
      </w:r>
      <w:r>
        <w:t>de</w:t>
      </w:r>
      <w:r>
        <w:rPr>
          <w:spacing w:val="-9"/>
        </w:rPr>
        <w:t xml:space="preserve"> </w:t>
      </w:r>
      <w:r>
        <w:t>propiedades</w:t>
      </w:r>
      <w:r>
        <w:rPr>
          <w:spacing w:val="-10"/>
        </w:rPr>
        <w:t xml:space="preserve"> </w:t>
      </w:r>
      <w:r>
        <w:t>agrarias.</w:t>
      </w:r>
      <w:r>
        <w:rPr>
          <w:spacing w:val="-11"/>
        </w:rPr>
        <w:t xml:space="preserve"> </w:t>
      </w:r>
      <w:r>
        <w:t>El</w:t>
      </w:r>
      <w:r>
        <w:rPr>
          <w:spacing w:val="-9"/>
        </w:rPr>
        <w:t xml:space="preserve"> </w:t>
      </w:r>
      <w:r>
        <w:t>total</w:t>
      </w:r>
      <w:r>
        <w:rPr>
          <w:spacing w:val="-9"/>
        </w:rPr>
        <w:t xml:space="preserve"> </w:t>
      </w:r>
      <w:r>
        <w:t>de</w:t>
      </w:r>
      <w:r>
        <w:rPr>
          <w:spacing w:val="-9"/>
        </w:rPr>
        <w:t xml:space="preserve"> </w:t>
      </w:r>
      <w:r>
        <w:t>parcelas</w:t>
      </w:r>
      <w:r>
        <w:rPr>
          <w:spacing w:val="-9"/>
        </w:rPr>
        <w:t xml:space="preserve"> </w:t>
      </w:r>
      <w:r>
        <w:t>perdidas</w:t>
      </w:r>
      <w:r>
        <w:rPr>
          <w:spacing w:val="-9"/>
        </w:rPr>
        <w:t xml:space="preserve"> </w:t>
      </w:r>
      <w:r>
        <w:t>es</w:t>
      </w:r>
      <w:r>
        <w:rPr>
          <w:spacing w:val="-9"/>
        </w:rPr>
        <w:t xml:space="preserve"> </w:t>
      </w:r>
      <w:r>
        <w:t>de</w:t>
      </w:r>
      <w:r>
        <w:rPr>
          <w:spacing w:val="-9"/>
        </w:rPr>
        <w:t xml:space="preserve"> </w:t>
      </w:r>
      <w:r>
        <w:t>393.648</w:t>
      </w:r>
      <w:r w:rsidR="00301EA8">
        <w:rPr>
          <w:rStyle w:val="Refdenotaalpie"/>
        </w:rPr>
        <w:footnoteReference w:id="980"/>
      </w:r>
      <w:r>
        <w:t>,</w:t>
      </w:r>
      <w:r>
        <w:rPr>
          <w:spacing w:val="-10"/>
        </w:rPr>
        <w:t xml:space="preserve"> </w:t>
      </w:r>
      <w:r>
        <w:t>la</w:t>
      </w:r>
      <w:r>
        <w:rPr>
          <w:spacing w:val="-9"/>
        </w:rPr>
        <w:t xml:space="preserve"> </w:t>
      </w:r>
      <w:r>
        <w:t>mayoría de</w:t>
      </w:r>
      <w:r>
        <w:rPr>
          <w:spacing w:val="-12"/>
        </w:rPr>
        <w:t xml:space="preserve"> </w:t>
      </w:r>
      <w:r>
        <w:t>las</w:t>
      </w:r>
      <w:r>
        <w:rPr>
          <w:spacing w:val="-13"/>
        </w:rPr>
        <w:t xml:space="preserve"> </w:t>
      </w:r>
      <w:r>
        <w:t>cuales</w:t>
      </w:r>
      <w:r>
        <w:rPr>
          <w:spacing w:val="-13"/>
        </w:rPr>
        <w:t xml:space="preserve"> </w:t>
      </w:r>
      <w:r>
        <w:t>se</w:t>
      </w:r>
      <w:r>
        <w:rPr>
          <w:spacing w:val="-12"/>
        </w:rPr>
        <w:t xml:space="preserve"> </w:t>
      </w:r>
      <w:r>
        <w:t>concentra</w:t>
      </w:r>
      <w:r>
        <w:rPr>
          <w:spacing w:val="-12"/>
        </w:rPr>
        <w:t xml:space="preserve"> </w:t>
      </w:r>
      <w:r>
        <w:t>en</w:t>
      </w:r>
      <w:r>
        <w:rPr>
          <w:spacing w:val="-12"/>
        </w:rPr>
        <w:t xml:space="preserve"> </w:t>
      </w:r>
      <w:r>
        <w:t>la</w:t>
      </w:r>
      <w:r>
        <w:rPr>
          <w:spacing w:val="-12"/>
        </w:rPr>
        <w:t xml:space="preserve"> </w:t>
      </w:r>
      <w:r>
        <w:t>zona</w:t>
      </w:r>
      <w:r>
        <w:rPr>
          <w:spacing w:val="-14"/>
        </w:rPr>
        <w:t xml:space="preserve"> </w:t>
      </w:r>
      <w:r>
        <w:t>en</w:t>
      </w:r>
      <w:r>
        <w:rPr>
          <w:spacing w:val="-12"/>
        </w:rPr>
        <w:t xml:space="preserve"> </w:t>
      </w:r>
      <w:r>
        <w:t>las</w:t>
      </w:r>
      <w:r>
        <w:rPr>
          <w:spacing w:val="-13"/>
        </w:rPr>
        <w:t xml:space="preserve"> </w:t>
      </w:r>
      <w:r>
        <w:t>que,</w:t>
      </w:r>
      <w:r>
        <w:rPr>
          <w:spacing w:val="-12"/>
        </w:rPr>
        <w:t xml:space="preserve"> </w:t>
      </w:r>
      <w:r>
        <w:t>en</w:t>
      </w:r>
      <w:r>
        <w:rPr>
          <w:spacing w:val="-12"/>
        </w:rPr>
        <w:t xml:space="preserve"> </w:t>
      </w:r>
      <w:r>
        <w:t>décadas</w:t>
      </w:r>
      <w:r>
        <w:rPr>
          <w:spacing w:val="-13"/>
        </w:rPr>
        <w:t xml:space="preserve"> </w:t>
      </w:r>
      <w:r>
        <w:t>anteriores,</w:t>
      </w:r>
      <w:r>
        <w:rPr>
          <w:spacing w:val="-13"/>
        </w:rPr>
        <w:t xml:space="preserve"> </w:t>
      </w:r>
      <w:r>
        <w:t>se</w:t>
      </w:r>
      <w:r>
        <w:rPr>
          <w:spacing w:val="-12"/>
        </w:rPr>
        <w:t xml:space="preserve"> </w:t>
      </w:r>
      <w:r>
        <w:t>habían</w:t>
      </w:r>
      <w:r>
        <w:rPr>
          <w:spacing w:val="-12"/>
        </w:rPr>
        <w:t xml:space="preserve"> </w:t>
      </w:r>
      <w:r>
        <w:t>desarrollado conflictos entre hacendados y colonos campesinos, en particular en el Valle del Cauca, Tolima, Cundinamarca, Caldas y Santander.</w:t>
      </w:r>
    </w:p>
    <w:p w:rsidR="003804AC" w:rsidRDefault="00AF18A5" w:rsidP="00301EA8">
      <w:r>
        <w:t>La Violencia también se caracterizó por las ventas forzadas de tierras, robos de cultivos, robos</w:t>
      </w:r>
      <w:r>
        <w:rPr>
          <w:spacing w:val="-15"/>
        </w:rPr>
        <w:t xml:space="preserve"> </w:t>
      </w:r>
      <w:r>
        <w:t>de</w:t>
      </w:r>
      <w:r>
        <w:rPr>
          <w:spacing w:val="-15"/>
        </w:rPr>
        <w:t xml:space="preserve"> </w:t>
      </w:r>
      <w:r>
        <w:t>animales</w:t>
      </w:r>
      <w:r>
        <w:rPr>
          <w:spacing w:val="-15"/>
        </w:rPr>
        <w:t xml:space="preserve"> </w:t>
      </w:r>
      <w:r>
        <w:t>y</w:t>
      </w:r>
      <w:r>
        <w:rPr>
          <w:spacing w:val="-15"/>
        </w:rPr>
        <w:t xml:space="preserve"> </w:t>
      </w:r>
      <w:r>
        <w:t>un</w:t>
      </w:r>
      <w:r>
        <w:rPr>
          <w:spacing w:val="-15"/>
        </w:rPr>
        <w:t xml:space="preserve"> </w:t>
      </w:r>
      <w:r>
        <w:t>patrón</w:t>
      </w:r>
      <w:r>
        <w:rPr>
          <w:spacing w:val="-15"/>
        </w:rPr>
        <w:t xml:space="preserve"> </w:t>
      </w:r>
      <w:r>
        <w:t>de</w:t>
      </w:r>
      <w:r>
        <w:rPr>
          <w:spacing w:val="-15"/>
        </w:rPr>
        <w:t xml:space="preserve"> </w:t>
      </w:r>
      <w:r>
        <w:t>aumento</w:t>
      </w:r>
      <w:r>
        <w:rPr>
          <w:spacing w:val="-15"/>
        </w:rPr>
        <w:t xml:space="preserve"> </w:t>
      </w:r>
      <w:r>
        <w:t>de</w:t>
      </w:r>
      <w:r>
        <w:rPr>
          <w:spacing w:val="-15"/>
        </w:rPr>
        <w:t xml:space="preserve"> </w:t>
      </w:r>
      <w:r>
        <w:t>intensidad</w:t>
      </w:r>
      <w:r>
        <w:rPr>
          <w:spacing w:val="-15"/>
        </w:rPr>
        <w:t xml:space="preserve"> </w:t>
      </w:r>
      <w:r>
        <w:t>de</w:t>
      </w:r>
      <w:r>
        <w:rPr>
          <w:spacing w:val="-15"/>
        </w:rPr>
        <w:t xml:space="preserve"> </w:t>
      </w:r>
      <w:r>
        <w:t>los</w:t>
      </w:r>
      <w:r>
        <w:rPr>
          <w:spacing w:val="-15"/>
        </w:rPr>
        <w:t xml:space="preserve"> </w:t>
      </w:r>
      <w:r>
        <w:t>desplazamientos</w:t>
      </w:r>
      <w:r>
        <w:rPr>
          <w:spacing w:val="-15"/>
        </w:rPr>
        <w:t xml:space="preserve"> </w:t>
      </w:r>
      <w:r>
        <w:t>y</w:t>
      </w:r>
      <w:r>
        <w:rPr>
          <w:spacing w:val="-15"/>
        </w:rPr>
        <w:t xml:space="preserve"> </w:t>
      </w:r>
      <w:r>
        <w:t>las</w:t>
      </w:r>
      <w:r>
        <w:rPr>
          <w:spacing w:val="-15"/>
        </w:rPr>
        <w:t xml:space="preserve"> </w:t>
      </w:r>
      <w:r>
        <w:t>muertes en</w:t>
      </w:r>
      <w:r>
        <w:rPr>
          <w:spacing w:val="-10"/>
        </w:rPr>
        <w:t xml:space="preserve"> </w:t>
      </w:r>
      <w:r>
        <w:t>épocas</w:t>
      </w:r>
      <w:r>
        <w:rPr>
          <w:spacing w:val="-10"/>
        </w:rPr>
        <w:t xml:space="preserve"> </w:t>
      </w:r>
      <w:r>
        <w:t>de</w:t>
      </w:r>
      <w:r>
        <w:rPr>
          <w:spacing w:val="-11"/>
        </w:rPr>
        <w:t xml:space="preserve"> </w:t>
      </w:r>
      <w:r>
        <w:t>cosecha</w:t>
      </w:r>
      <w:r>
        <w:rPr>
          <w:spacing w:val="-9"/>
        </w:rPr>
        <w:t xml:space="preserve"> </w:t>
      </w:r>
      <w:r>
        <w:t>de</w:t>
      </w:r>
      <w:r>
        <w:rPr>
          <w:spacing w:val="-12"/>
        </w:rPr>
        <w:t xml:space="preserve"> </w:t>
      </w:r>
      <w:r>
        <w:t>café</w:t>
      </w:r>
      <w:r w:rsidR="00301EA8">
        <w:rPr>
          <w:rStyle w:val="Refdenotaalpie"/>
        </w:rPr>
        <w:footnoteReference w:id="981"/>
      </w:r>
      <w:r>
        <w:t>.</w:t>
      </w:r>
      <w:r>
        <w:rPr>
          <w:spacing w:val="-10"/>
        </w:rPr>
        <w:t xml:space="preserve"> </w:t>
      </w:r>
      <w:r>
        <w:t>Tanto</w:t>
      </w:r>
      <w:r>
        <w:rPr>
          <w:spacing w:val="-10"/>
        </w:rPr>
        <w:t xml:space="preserve"> </w:t>
      </w:r>
      <w:r>
        <w:t>los</w:t>
      </w:r>
      <w:r>
        <w:rPr>
          <w:spacing w:val="-9"/>
        </w:rPr>
        <w:t xml:space="preserve"> </w:t>
      </w:r>
      <w:r>
        <w:t>notarios</w:t>
      </w:r>
      <w:r>
        <w:rPr>
          <w:spacing w:val="-11"/>
        </w:rPr>
        <w:t xml:space="preserve"> </w:t>
      </w:r>
      <w:r>
        <w:t>–que</w:t>
      </w:r>
      <w:r>
        <w:rPr>
          <w:spacing w:val="-9"/>
        </w:rPr>
        <w:t xml:space="preserve"> </w:t>
      </w:r>
      <w:r>
        <w:t>ya</w:t>
      </w:r>
      <w:r>
        <w:rPr>
          <w:spacing w:val="-9"/>
        </w:rPr>
        <w:t xml:space="preserve"> </w:t>
      </w:r>
      <w:r>
        <w:t>habían</w:t>
      </w:r>
      <w:r>
        <w:rPr>
          <w:spacing w:val="-10"/>
        </w:rPr>
        <w:t xml:space="preserve"> </w:t>
      </w:r>
      <w:r>
        <w:t>aparecido</w:t>
      </w:r>
      <w:r>
        <w:rPr>
          <w:spacing w:val="-12"/>
        </w:rPr>
        <w:t xml:space="preserve"> </w:t>
      </w:r>
      <w:r>
        <w:t>en</w:t>
      </w:r>
      <w:r>
        <w:rPr>
          <w:spacing w:val="-10"/>
        </w:rPr>
        <w:t xml:space="preserve"> </w:t>
      </w:r>
      <w:r>
        <w:t>los</w:t>
      </w:r>
      <w:r>
        <w:rPr>
          <w:spacing w:val="-11"/>
        </w:rPr>
        <w:t xml:space="preserve"> </w:t>
      </w:r>
      <w:r>
        <w:t>registros y testimonios de los conflictos agrarios de las décadas anteriores– como los especuladores, vendedores</w:t>
      </w:r>
      <w:r>
        <w:rPr>
          <w:spacing w:val="-9"/>
        </w:rPr>
        <w:t xml:space="preserve"> </w:t>
      </w:r>
      <w:r>
        <w:t>y</w:t>
      </w:r>
      <w:r>
        <w:rPr>
          <w:spacing w:val="-8"/>
        </w:rPr>
        <w:t xml:space="preserve"> </w:t>
      </w:r>
      <w:r>
        <w:t>compradores</w:t>
      </w:r>
      <w:r>
        <w:rPr>
          <w:spacing w:val="-8"/>
        </w:rPr>
        <w:t xml:space="preserve"> </w:t>
      </w:r>
      <w:r>
        <w:t>de</w:t>
      </w:r>
      <w:r>
        <w:rPr>
          <w:spacing w:val="-8"/>
        </w:rPr>
        <w:t xml:space="preserve"> </w:t>
      </w:r>
      <w:r>
        <w:t>tierra</w:t>
      </w:r>
      <w:r>
        <w:rPr>
          <w:spacing w:val="-9"/>
        </w:rPr>
        <w:t xml:space="preserve"> </w:t>
      </w:r>
      <w:r>
        <w:t>jugaron</w:t>
      </w:r>
      <w:r>
        <w:rPr>
          <w:spacing w:val="-8"/>
        </w:rPr>
        <w:t xml:space="preserve"> </w:t>
      </w:r>
      <w:r>
        <w:t>un</w:t>
      </w:r>
      <w:r>
        <w:rPr>
          <w:spacing w:val="-8"/>
        </w:rPr>
        <w:t xml:space="preserve"> </w:t>
      </w:r>
      <w:r>
        <w:t>papel</w:t>
      </w:r>
      <w:r>
        <w:rPr>
          <w:spacing w:val="-8"/>
        </w:rPr>
        <w:t xml:space="preserve"> </w:t>
      </w:r>
      <w:r>
        <w:t>fundamental</w:t>
      </w:r>
      <w:r w:rsidR="00301EA8">
        <w:rPr>
          <w:rStyle w:val="Refdenotaalpie"/>
        </w:rPr>
        <w:footnoteReference w:id="982"/>
      </w:r>
      <w:r>
        <w:t>.</w:t>
      </w:r>
      <w:r>
        <w:rPr>
          <w:spacing w:val="-8"/>
        </w:rPr>
        <w:t xml:space="preserve"> </w:t>
      </w:r>
      <w:r>
        <w:t>Se</w:t>
      </w:r>
      <w:r>
        <w:rPr>
          <w:spacing w:val="-8"/>
        </w:rPr>
        <w:t xml:space="preserve"> </w:t>
      </w:r>
      <w:r>
        <w:t>crearon</w:t>
      </w:r>
      <w:r>
        <w:rPr>
          <w:spacing w:val="-8"/>
        </w:rPr>
        <w:t xml:space="preserve"> </w:t>
      </w:r>
      <w:r>
        <w:t>también</w:t>
      </w:r>
      <w:r>
        <w:rPr>
          <w:spacing w:val="-8"/>
        </w:rPr>
        <w:t xml:space="preserve"> </w:t>
      </w:r>
      <w:r>
        <w:t>en las zonas cafeteras grupos armados –conservadores y liberales– que extorsionaron a los propietarios y campesinos cafeteros, presionaron ventas o abandonos de tierras, e intermediaron, contrabandearon o gravaron las ventas de café.</w:t>
      </w:r>
    </w:p>
    <w:p w:rsidR="003804AC" w:rsidRDefault="00AF18A5" w:rsidP="00DC2429">
      <w:r>
        <w:t xml:space="preserve">Tras las devastadoras afectaciones que dejó la Violencia en el campo </w:t>
      </w:r>
      <w:r>
        <w:lastRenderedPageBreak/>
        <w:t xml:space="preserve">colombiano, las luchas por tierra y democracia vieron un resurgir con el inicio del pacto </w:t>
      </w:r>
      <w:proofErr w:type="spellStart"/>
      <w:r>
        <w:t>bipardistidista</w:t>
      </w:r>
      <w:proofErr w:type="spellEnd"/>
      <w:r>
        <w:t xml:space="preserve"> que dio</w:t>
      </w:r>
      <w:r>
        <w:rPr>
          <w:spacing w:val="-2"/>
        </w:rPr>
        <w:t xml:space="preserve"> </w:t>
      </w:r>
      <w:r>
        <w:t>origen</w:t>
      </w:r>
      <w:r>
        <w:rPr>
          <w:spacing w:val="-2"/>
        </w:rPr>
        <w:t xml:space="preserve"> </w:t>
      </w:r>
      <w:r>
        <w:t>al</w:t>
      </w:r>
      <w:r>
        <w:rPr>
          <w:spacing w:val="-3"/>
        </w:rPr>
        <w:t xml:space="preserve"> </w:t>
      </w:r>
      <w:r>
        <w:t>Frente</w:t>
      </w:r>
      <w:r>
        <w:rPr>
          <w:spacing w:val="-2"/>
        </w:rPr>
        <w:t xml:space="preserve"> </w:t>
      </w:r>
      <w:r>
        <w:t>Nacional.</w:t>
      </w:r>
      <w:r>
        <w:rPr>
          <w:spacing w:val="-2"/>
        </w:rPr>
        <w:t xml:space="preserve"> </w:t>
      </w:r>
      <w:r>
        <w:t>En</w:t>
      </w:r>
      <w:r>
        <w:rPr>
          <w:spacing w:val="-2"/>
        </w:rPr>
        <w:t xml:space="preserve"> </w:t>
      </w:r>
      <w:r>
        <w:t>el</w:t>
      </w:r>
      <w:r>
        <w:rPr>
          <w:spacing w:val="-2"/>
        </w:rPr>
        <w:t xml:space="preserve"> </w:t>
      </w:r>
      <w:r>
        <w:t>marco</w:t>
      </w:r>
      <w:r>
        <w:rPr>
          <w:spacing w:val="-2"/>
        </w:rPr>
        <w:t xml:space="preserve"> </w:t>
      </w:r>
      <w:r>
        <w:t>de</w:t>
      </w:r>
      <w:r>
        <w:rPr>
          <w:spacing w:val="-2"/>
        </w:rPr>
        <w:t xml:space="preserve"> </w:t>
      </w:r>
      <w:r>
        <w:t>intentos</w:t>
      </w:r>
      <w:r>
        <w:rPr>
          <w:spacing w:val="-2"/>
        </w:rPr>
        <w:t xml:space="preserve"> </w:t>
      </w:r>
      <w:r>
        <w:t>y</w:t>
      </w:r>
      <w:r>
        <w:rPr>
          <w:spacing w:val="-2"/>
        </w:rPr>
        <w:t xml:space="preserve"> </w:t>
      </w:r>
      <w:r>
        <w:t>frenos</w:t>
      </w:r>
      <w:r>
        <w:rPr>
          <w:spacing w:val="-2"/>
        </w:rPr>
        <w:t xml:space="preserve"> </w:t>
      </w:r>
      <w:r>
        <w:t>a</w:t>
      </w:r>
      <w:r>
        <w:rPr>
          <w:spacing w:val="-2"/>
        </w:rPr>
        <w:t xml:space="preserve"> </w:t>
      </w:r>
      <w:r>
        <w:t>una</w:t>
      </w:r>
      <w:r>
        <w:rPr>
          <w:spacing w:val="-2"/>
        </w:rPr>
        <w:t xml:space="preserve"> </w:t>
      </w:r>
      <w:r>
        <w:t>nueva</w:t>
      </w:r>
      <w:r>
        <w:rPr>
          <w:spacing w:val="-2"/>
        </w:rPr>
        <w:t xml:space="preserve"> </w:t>
      </w:r>
      <w:r>
        <w:t>reforma</w:t>
      </w:r>
      <w:r>
        <w:rPr>
          <w:spacing w:val="-2"/>
        </w:rPr>
        <w:t xml:space="preserve"> </w:t>
      </w:r>
      <w:r>
        <w:t>agraria y</w:t>
      </w:r>
      <w:r>
        <w:rPr>
          <w:spacing w:val="22"/>
        </w:rPr>
        <w:t xml:space="preserve"> </w:t>
      </w:r>
      <w:r>
        <w:t>de</w:t>
      </w:r>
      <w:r>
        <w:rPr>
          <w:spacing w:val="24"/>
        </w:rPr>
        <w:t xml:space="preserve"> </w:t>
      </w:r>
      <w:r>
        <w:t>profundos</w:t>
      </w:r>
      <w:r>
        <w:rPr>
          <w:spacing w:val="24"/>
        </w:rPr>
        <w:t xml:space="preserve"> </w:t>
      </w:r>
      <w:r>
        <w:t>cambios</w:t>
      </w:r>
      <w:r>
        <w:rPr>
          <w:spacing w:val="24"/>
        </w:rPr>
        <w:t xml:space="preserve"> </w:t>
      </w:r>
      <w:r>
        <w:t>políticos</w:t>
      </w:r>
      <w:r>
        <w:rPr>
          <w:spacing w:val="24"/>
        </w:rPr>
        <w:t xml:space="preserve"> </w:t>
      </w:r>
      <w:r>
        <w:t>y</w:t>
      </w:r>
      <w:r>
        <w:rPr>
          <w:spacing w:val="23"/>
        </w:rPr>
        <w:t xml:space="preserve"> </w:t>
      </w:r>
      <w:r>
        <w:t>económicos</w:t>
      </w:r>
      <w:r>
        <w:rPr>
          <w:spacing w:val="24"/>
        </w:rPr>
        <w:t xml:space="preserve"> </w:t>
      </w:r>
      <w:r>
        <w:t>que</w:t>
      </w:r>
      <w:r>
        <w:rPr>
          <w:spacing w:val="24"/>
        </w:rPr>
        <w:t xml:space="preserve"> </w:t>
      </w:r>
      <w:r>
        <w:t>se</w:t>
      </w:r>
      <w:r>
        <w:rPr>
          <w:spacing w:val="24"/>
        </w:rPr>
        <w:t xml:space="preserve"> </w:t>
      </w:r>
      <w:r>
        <w:t>daban</w:t>
      </w:r>
      <w:r>
        <w:rPr>
          <w:spacing w:val="24"/>
        </w:rPr>
        <w:t xml:space="preserve"> </w:t>
      </w:r>
      <w:r>
        <w:t>en</w:t>
      </w:r>
      <w:r>
        <w:rPr>
          <w:spacing w:val="25"/>
        </w:rPr>
        <w:t xml:space="preserve"> </w:t>
      </w:r>
      <w:r>
        <w:t>el</w:t>
      </w:r>
      <w:r>
        <w:rPr>
          <w:spacing w:val="24"/>
        </w:rPr>
        <w:t xml:space="preserve"> </w:t>
      </w:r>
      <w:r>
        <w:t>país,</w:t>
      </w:r>
      <w:r>
        <w:rPr>
          <w:spacing w:val="24"/>
        </w:rPr>
        <w:t xml:space="preserve"> </w:t>
      </w:r>
      <w:r>
        <w:t>el</w:t>
      </w:r>
      <w:r>
        <w:rPr>
          <w:spacing w:val="25"/>
        </w:rPr>
        <w:t xml:space="preserve"> </w:t>
      </w:r>
      <w:r>
        <w:rPr>
          <w:spacing w:val="-2"/>
        </w:rPr>
        <w:t>campesinado</w:t>
      </w:r>
      <w:bookmarkStart w:id="1219" w:name="_bookmark1077"/>
      <w:bookmarkStart w:id="1220" w:name="_bookmark1078"/>
      <w:bookmarkStart w:id="1221" w:name="_bookmark1079"/>
      <w:bookmarkEnd w:id="1219"/>
      <w:bookmarkEnd w:id="1220"/>
      <w:bookmarkEnd w:id="1221"/>
      <w:r w:rsidR="00DC2429">
        <w:rPr>
          <w:spacing w:val="-2"/>
        </w:rPr>
        <w:t xml:space="preserve"> </w:t>
      </w:r>
      <w:r>
        <w:t>vivió un auge de su capacidad organizativa y de movilización, de grandes avances en sus luchas por tierra, democracia y vida digna.</w:t>
      </w:r>
    </w:p>
    <w:p w:rsidR="0011361F" w:rsidRDefault="00AF18A5" w:rsidP="004A6EF4">
      <w:pPr>
        <w:pStyle w:val="Ttulo3"/>
        <w:numPr>
          <w:ilvl w:val="1"/>
          <w:numId w:val="16"/>
        </w:numPr>
      </w:pPr>
      <w:bookmarkStart w:id="1222" w:name="9.2._Frente_Nacional_y_la_guerra_(contra"/>
      <w:bookmarkStart w:id="1223" w:name="_Toc112399644"/>
      <w:bookmarkEnd w:id="1222"/>
      <w:r>
        <w:t>Frente</w:t>
      </w:r>
      <w:r>
        <w:rPr>
          <w:spacing w:val="-3"/>
        </w:rPr>
        <w:t xml:space="preserve"> </w:t>
      </w:r>
      <w:r w:rsidRPr="00DC2429">
        <w:t>Nacional</w:t>
      </w:r>
      <w:r>
        <w:rPr>
          <w:spacing w:val="-1"/>
        </w:rPr>
        <w:t xml:space="preserve"> </w:t>
      </w:r>
      <w:r>
        <w:t>y</w:t>
      </w:r>
      <w:r>
        <w:rPr>
          <w:spacing w:val="-1"/>
        </w:rPr>
        <w:t xml:space="preserve"> </w:t>
      </w:r>
      <w:r>
        <w:t>la</w:t>
      </w:r>
      <w:r>
        <w:rPr>
          <w:spacing w:val="-1"/>
        </w:rPr>
        <w:t xml:space="preserve"> </w:t>
      </w:r>
      <w:r>
        <w:t>guerra</w:t>
      </w:r>
      <w:r>
        <w:rPr>
          <w:spacing w:val="-1"/>
        </w:rPr>
        <w:t xml:space="preserve"> </w:t>
      </w:r>
      <w:r>
        <w:rPr>
          <w:spacing w:val="-2"/>
        </w:rPr>
        <w:t>(contra)insurgente</w:t>
      </w:r>
      <w:bookmarkEnd w:id="1223"/>
    </w:p>
    <w:p w:rsidR="003804AC" w:rsidRDefault="00AF18A5" w:rsidP="00DC2429">
      <w:r>
        <w:t>El</w:t>
      </w:r>
      <w:r>
        <w:rPr>
          <w:spacing w:val="-8"/>
        </w:rPr>
        <w:t xml:space="preserve"> </w:t>
      </w:r>
      <w:r>
        <w:t>Frente</w:t>
      </w:r>
      <w:r>
        <w:rPr>
          <w:spacing w:val="-8"/>
        </w:rPr>
        <w:t xml:space="preserve"> </w:t>
      </w:r>
      <w:r>
        <w:t>Nacional</w:t>
      </w:r>
      <w:r>
        <w:rPr>
          <w:spacing w:val="-9"/>
        </w:rPr>
        <w:t xml:space="preserve"> </w:t>
      </w:r>
      <w:r>
        <w:t>fue</w:t>
      </w:r>
      <w:r>
        <w:rPr>
          <w:spacing w:val="-8"/>
        </w:rPr>
        <w:t xml:space="preserve"> </w:t>
      </w:r>
      <w:r>
        <w:t>un</w:t>
      </w:r>
      <w:r>
        <w:rPr>
          <w:spacing w:val="-8"/>
        </w:rPr>
        <w:t xml:space="preserve"> </w:t>
      </w:r>
      <w:r>
        <w:t>acuerdo</w:t>
      </w:r>
      <w:r>
        <w:rPr>
          <w:spacing w:val="-8"/>
        </w:rPr>
        <w:t xml:space="preserve"> </w:t>
      </w:r>
      <w:r>
        <w:t>entre</w:t>
      </w:r>
      <w:r>
        <w:rPr>
          <w:spacing w:val="-8"/>
        </w:rPr>
        <w:t xml:space="preserve"> </w:t>
      </w:r>
      <w:r>
        <w:t>los</w:t>
      </w:r>
      <w:r>
        <w:rPr>
          <w:spacing w:val="-8"/>
        </w:rPr>
        <w:t xml:space="preserve"> </w:t>
      </w:r>
      <w:r>
        <w:t>dos</w:t>
      </w:r>
      <w:r>
        <w:rPr>
          <w:spacing w:val="-8"/>
        </w:rPr>
        <w:t xml:space="preserve"> </w:t>
      </w:r>
      <w:r>
        <w:t>partidos</w:t>
      </w:r>
      <w:r>
        <w:rPr>
          <w:spacing w:val="-8"/>
        </w:rPr>
        <w:t xml:space="preserve"> </w:t>
      </w:r>
      <w:r>
        <w:t>tradicionales,</w:t>
      </w:r>
      <w:r>
        <w:rPr>
          <w:spacing w:val="-8"/>
        </w:rPr>
        <w:t xml:space="preserve"> </w:t>
      </w:r>
      <w:r>
        <w:t>liberal</w:t>
      </w:r>
      <w:r>
        <w:rPr>
          <w:spacing w:val="-8"/>
        </w:rPr>
        <w:t xml:space="preserve"> </w:t>
      </w:r>
      <w:r>
        <w:t>y</w:t>
      </w:r>
      <w:r>
        <w:rPr>
          <w:spacing w:val="-8"/>
        </w:rPr>
        <w:t xml:space="preserve"> </w:t>
      </w:r>
      <w:r>
        <w:t>conservador, para derrocar la dictadura, consolidar la pacificación del país después de la Violencia y promover el desarrollo. Implicaba el rechazo del uso de métodos violentos para resolver disputas políticas y constituía en ese sentido la promesa de ajustar la lucha por el poder a la legalidad.</w:t>
      </w:r>
      <w:r w:rsidR="00DC2429">
        <w:rPr>
          <w:rStyle w:val="Refdenotaalpie"/>
        </w:rPr>
        <w:footnoteReference w:id="983"/>
      </w:r>
      <w:r>
        <w:rPr>
          <w:spacing w:val="-6"/>
        </w:rPr>
        <w:t xml:space="preserve"> </w:t>
      </w:r>
      <w:r>
        <w:t>En</w:t>
      </w:r>
      <w:r>
        <w:rPr>
          <w:spacing w:val="-6"/>
        </w:rPr>
        <w:t xml:space="preserve"> </w:t>
      </w:r>
      <w:r>
        <w:t>particular</w:t>
      </w:r>
      <w:r>
        <w:rPr>
          <w:spacing w:val="-6"/>
        </w:rPr>
        <w:t xml:space="preserve"> </w:t>
      </w:r>
      <w:r>
        <w:t>la</w:t>
      </w:r>
      <w:r>
        <w:rPr>
          <w:spacing w:val="-6"/>
        </w:rPr>
        <w:t xml:space="preserve"> </w:t>
      </w:r>
      <w:r>
        <w:t>propuesta</w:t>
      </w:r>
      <w:r>
        <w:rPr>
          <w:spacing w:val="-7"/>
        </w:rPr>
        <w:t xml:space="preserve"> </w:t>
      </w:r>
      <w:r>
        <w:t>de</w:t>
      </w:r>
      <w:r>
        <w:rPr>
          <w:spacing w:val="-6"/>
        </w:rPr>
        <w:t xml:space="preserve"> </w:t>
      </w:r>
      <w:r>
        <w:t>desarrollo</w:t>
      </w:r>
      <w:r>
        <w:rPr>
          <w:spacing w:val="-6"/>
        </w:rPr>
        <w:t xml:space="preserve"> </w:t>
      </w:r>
      <w:r>
        <w:t>implicaba</w:t>
      </w:r>
      <w:r>
        <w:rPr>
          <w:spacing w:val="-7"/>
        </w:rPr>
        <w:t xml:space="preserve"> </w:t>
      </w:r>
      <w:r>
        <w:t>la</w:t>
      </w:r>
      <w:r>
        <w:rPr>
          <w:spacing w:val="-6"/>
        </w:rPr>
        <w:t xml:space="preserve"> </w:t>
      </w:r>
      <w:r>
        <w:t>aceptación</w:t>
      </w:r>
      <w:r>
        <w:rPr>
          <w:spacing w:val="-6"/>
        </w:rPr>
        <w:t xml:space="preserve"> </w:t>
      </w:r>
      <w:r>
        <w:t>de</w:t>
      </w:r>
      <w:r>
        <w:rPr>
          <w:spacing w:val="-6"/>
        </w:rPr>
        <w:t xml:space="preserve"> </w:t>
      </w:r>
      <w:r>
        <w:t>la</w:t>
      </w:r>
      <w:r>
        <w:rPr>
          <w:spacing w:val="-6"/>
        </w:rPr>
        <w:t xml:space="preserve"> </w:t>
      </w:r>
      <w:r>
        <w:t>necesidad de reformas sociales como condición para democratizar y pacificar el país. Los arquitectos del Frente Nacional estaban convencidos de que la violencia y el comunismo encontraban escenarios propicios en la desigualdad, la pobreza y la ausencia de Estado.</w:t>
      </w:r>
      <w:r w:rsidR="00DC2429">
        <w:rPr>
          <w:rStyle w:val="Refdenotaalpie"/>
        </w:rPr>
        <w:footnoteReference w:id="984"/>
      </w:r>
      <w:r w:rsidR="00DC2429">
        <w:t xml:space="preserve"> </w:t>
      </w:r>
    </w:p>
    <w:p w:rsidR="003804AC" w:rsidRDefault="00AF18A5" w:rsidP="00DC2429">
      <w:r>
        <w:t>Estas</w:t>
      </w:r>
      <w:r>
        <w:rPr>
          <w:spacing w:val="-5"/>
        </w:rPr>
        <w:t xml:space="preserve"> </w:t>
      </w:r>
      <w:r>
        <w:t>reformas</w:t>
      </w:r>
      <w:r>
        <w:rPr>
          <w:spacing w:val="-5"/>
        </w:rPr>
        <w:t xml:space="preserve"> </w:t>
      </w:r>
      <w:r>
        <w:t>sociales</w:t>
      </w:r>
      <w:r>
        <w:rPr>
          <w:spacing w:val="-5"/>
        </w:rPr>
        <w:t xml:space="preserve"> </w:t>
      </w:r>
      <w:r>
        <w:t>incluían</w:t>
      </w:r>
      <w:r>
        <w:rPr>
          <w:spacing w:val="-5"/>
        </w:rPr>
        <w:t xml:space="preserve"> </w:t>
      </w:r>
      <w:r>
        <w:t>una</w:t>
      </w:r>
      <w:r>
        <w:rPr>
          <w:spacing w:val="-6"/>
        </w:rPr>
        <w:t xml:space="preserve"> </w:t>
      </w:r>
      <w:r>
        <w:t>reforma</w:t>
      </w:r>
      <w:r>
        <w:rPr>
          <w:spacing w:val="-5"/>
        </w:rPr>
        <w:t xml:space="preserve"> </w:t>
      </w:r>
      <w:r>
        <w:t>agraria,</w:t>
      </w:r>
      <w:r>
        <w:rPr>
          <w:spacing w:val="-5"/>
        </w:rPr>
        <w:t xml:space="preserve"> </w:t>
      </w:r>
      <w:r>
        <w:t>además</w:t>
      </w:r>
      <w:r>
        <w:rPr>
          <w:spacing w:val="-6"/>
        </w:rPr>
        <w:t xml:space="preserve"> </w:t>
      </w:r>
      <w:r>
        <w:t>de</w:t>
      </w:r>
      <w:r>
        <w:rPr>
          <w:spacing w:val="-5"/>
        </w:rPr>
        <w:t xml:space="preserve"> </w:t>
      </w:r>
      <w:r>
        <w:t>cambios</w:t>
      </w:r>
      <w:r>
        <w:rPr>
          <w:spacing w:val="-5"/>
        </w:rPr>
        <w:t xml:space="preserve"> </w:t>
      </w:r>
      <w:r>
        <w:t>en</w:t>
      </w:r>
      <w:r>
        <w:rPr>
          <w:spacing w:val="-5"/>
        </w:rPr>
        <w:t xml:space="preserve"> </w:t>
      </w:r>
      <w:r>
        <w:t>la</w:t>
      </w:r>
      <w:r>
        <w:rPr>
          <w:spacing w:val="-5"/>
        </w:rPr>
        <w:t xml:space="preserve"> </w:t>
      </w:r>
      <w:r>
        <w:t>estructura agraria y el fortalecimiento de la educación pública, entre otras. El programa de desarrollo también incluía la creación de organizaciones sociales que al tiempo sirvieran de interlocutores</w:t>
      </w:r>
      <w:r>
        <w:rPr>
          <w:spacing w:val="-11"/>
        </w:rPr>
        <w:t xml:space="preserve"> </w:t>
      </w:r>
      <w:r>
        <w:t>del</w:t>
      </w:r>
      <w:r>
        <w:rPr>
          <w:spacing w:val="-10"/>
        </w:rPr>
        <w:t xml:space="preserve"> </w:t>
      </w:r>
      <w:r>
        <w:t>Estado</w:t>
      </w:r>
      <w:r>
        <w:rPr>
          <w:spacing w:val="-12"/>
        </w:rPr>
        <w:t xml:space="preserve"> </w:t>
      </w:r>
      <w:r>
        <w:t>para</w:t>
      </w:r>
      <w:r>
        <w:rPr>
          <w:spacing w:val="-10"/>
        </w:rPr>
        <w:t xml:space="preserve"> </w:t>
      </w:r>
      <w:r>
        <w:t>promover</w:t>
      </w:r>
      <w:r>
        <w:rPr>
          <w:spacing w:val="-10"/>
        </w:rPr>
        <w:t xml:space="preserve"> </w:t>
      </w:r>
      <w:r>
        <w:t>pactos</w:t>
      </w:r>
      <w:r>
        <w:rPr>
          <w:spacing w:val="-11"/>
        </w:rPr>
        <w:t xml:space="preserve"> </w:t>
      </w:r>
      <w:r>
        <w:t>de</w:t>
      </w:r>
      <w:r>
        <w:rPr>
          <w:spacing w:val="-12"/>
        </w:rPr>
        <w:t xml:space="preserve"> </w:t>
      </w:r>
      <w:r>
        <w:t>desarrollo</w:t>
      </w:r>
      <w:r>
        <w:rPr>
          <w:spacing w:val="-12"/>
        </w:rPr>
        <w:t xml:space="preserve"> </w:t>
      </w:r>
      <w:r>
        <w:t>y</w:t>
      </w:r>
      <w:r>
        <w:rPr>
          <w:spacing w:val="-12"/>
        </w:rPr>
        <w:t xml:space="preserve"> </w:t>
      </w:r>
      <w:r>
        <w:t>prevenir</w:t>
      </w:r>
      <w:r>
        <w:rPr>
          <w:spacing w:val="-10"/>
        </w:rPr>
        <w:t xml:space="preserve"> </w:t>
      </w:r>
      <w:r>
        <w:lastRenderedPageBreak/>
        <w:t>la</w:t>
      </w:r>
      <w:r>
        <w:rPr>
          <w:spacing w:val="-10"/>
        </w:rPr>
        <w:t xml:space="preserve"> </w:t>
      </w:r>
      <w:r>
        <w:t>penetración</w:t>
      </w:r>
      <w:r>
        <w:rPr>
          <w:spacing w:val="-12"/>
        </w:rPr>
        <w:t xml:space="preserve"> </w:t>
      </w:r>
      <w:r>
        <w:t>de</w:t>
      </w:r>
      <w:r>
        <w:rPr>
          <w:spacing w:val="-10"/>
        </w:rPr>
        <w:t xml:space="preserve"> </w:t>
      </w:r>
      <w:r>
        <w:t>las comunidades de agentes externos, comunistas o subversivos. Entre estos mecanismos se encuentran</w:t>
      </w:r>
      <w:r>
        <w:rPr>
          <w:spacing w:val="-7"/>
        </w:rPr>
        <w:t xml:space="preserve"> </w:t>
      </w:r>
      <w:r>
        <w:t>las</w:t>
      </w:r>
      <w:r>
        <w:rPr>
          <w:spacing w:val="-2"/>
        </w:rPr>
        <w:t xml:space="preserve"> </w:t>
      </w:r>
      <w:r>
        <w:t>juntas</w:t>
      </w:r>
      <w:r>
        <w:rPr>
          <w:spacing w:val="-4"/>
        </w:rPr>
        <w:t xml:space="preserve"> </w:t>
      </w:r>
      <w:r>
        <w:t>de</w:t>
      </w:r>
      <w:r>
        <w:rPr>
          <w:spacing w:val="-4"/>
        </w:rPr>
        <w:t xml:space="preserve"> </w:t>
      </w:r>
      <w:r>
        <w:t>acción</w:t>
      </w:r>
      <w:r>
        <w:rPr>
          <w:spacing w:val="-4"/>
        </w:rPr>
        <w:t xml:space="preserve"> </w:t>
      </w:r>
      <w:r>
        <w:t>comunal</w:t>
      </w:r>
      <w:r>
        <w:rPr>
          <w:spacing w:val="-3"/>
        </w:rPr>
        <w:t xml:space="preserve"> </w:t>
      </w:r>
      <w:r>
        <w:t>y</w:t>
      </w:r>
      <w:r>
        <w:rPr>
          <w:spacing w:val="-4"/>
        </w:rPr>
        <w:t xml:space="preserve"> </w:t>
      </w:r>
      <w:r>
        <w:t>la</w:t>
      </w:r>
      <w:r>
        <w:rPr>
          <w:spacing w:val="-2"/>
        </w:rPr>
        <w:t xml:space="preserve"> </w:t>
      </w:r>
      <w:r>
        <w:t>Asociación</w:t>
      </w:r>
      <w:r>
        <w:rPr>
          <w:spacing w:val="-4"/>
        </w:rPr>
        <w:t xml:space="preserve"> </w:t>
      </w:r>
      <w:r>
        <w:t>de</w:t>
      </w:r>
      <w:r>
        <w:rPr>
          <w:spacing w:val="-4"/>
        </w:rPr>
        <w:t xml:space="preserve"> </w:t>
      </w:r>
      <w:r>
        <w:t>Usuarios</w:t>
      </w:r>
      <w:r>
        <w:rPr>
          <w:spacing w:val="-4"/>
        </w:rPr>
        <w:t xml:space="preserve"> </w:t>
      </w:r>
      <w:r>
        <w:t>Campesinos</w:t>
      </w:r>
      <w:r>
        <w:rPr>
          <w:spacing w:val="-4"/>
        </w:rPr>
        <w:t xml:space="preserve"> </w:t>
      </w:r>
      <w:r>
        <w:rPr>
          <w:spacing w:val="-2"/>
        </w:rPr>
        <w:t>(ANUC).</w:t>
      </w:r>
    </w:p>
    <w:p w:rsidR="003804AC" w:rsidRDefault="00AF18A5" w:rsidP="00EB1F28">
      <w:r>
        <w:t>Sin</w:t>
      </w:r>
      <w:r>
        <w:rPr>
          <w:spacing w:val="-13"/>
        </w:rPr>
        <w:t xml:space="preserve"> </w:t>
      </w:r>
      <w:r>
        <w:t>embargo,</w:t>
      </w:r>
      <w:r>
        <w:rPr>
          <w:spacing w:val="-13"/>
        </w:rPr>
        <w:t xml:space="preserve"> </w:t>
      </w:r>
      <w:r>
        <w:t>la</w:t>
      </w:r>
      <w:r>
        <w:rPr>
          <w:spacing w:val="-13"/>
        </w:rPr>
        <w:t xml:space="preserve"> </w:t>
      </w:r>
      <w:r>
        <w:t>implementación</w:t>
      </w:r>
      <w:r>
        <w:rPr>
          <w:spacing w:val="-13"/>
        </w:rPr>
        <w:t xml:space="preserve"> </w:t>
      </w:r>
      <w:r>
        <w:t>del</w:t>
      </w:r>
      <w:r>
        <w:rPr>
          <w:spacing w:val="-13"/>
        </w:rPr>
        <w:t xml:space="preserve"> </w:t>
      </w:r>
      <w:r>
        <w:t>programa</w:t>
      </w:r>
      <w:r>
        <w:rPr>
          <w:spacing w:val="-13"/>
        </w:rPr>
        <w:t xml:space="preserve"> </w:t>
      </w:r>
      <w:r>
        <w:t>de</w:t>
      </w:r>
      <w:r>
        <w:rPr>
          <w:spacing w:val="-14"/>
        </w:rPr>
        <w:t xml:space="preserve"> </w:t>
      </w:r>
      <w:r>
        <w:t>desarrollo</w:t>
      </w:r>
      <w:r>
        <w:rPr>
          <w:spacing w:val="-14"/>
        </w:rPr>
        <w:t xml:space="preserve"> </w:t>
      </w:r>
      <w:r>
        <w:t>requería</w:t>
      </w:r>
      <w:r>
        <w:rPr>
          <w:spacing w:val="-13"/>
        </w:rPr>
        <w:t xml:space="preserve"> </w:t>
      </w:r>
      <w:r>
        <w:t>partidos</w:t>
      </w:r>
      <w:r>
        <w:rPr>
          <w:spacing w:val="-13"/>
        </w:rPr>
        <w:t xml:space="preserve"> </w:t>
      </w:r>
      <w:r>
        <w:t>fuertes,</w:t>
      </w:r>
      <w:r>
        <w:rPr>
          <w:spacing w:val="-13"/>
        </w:rPr>
        <w:t xml:space="preserve"> </w:t>
      </w:r>
      <w:r>
        <w:t>con una</w:t>
      </w:r>
      <w:r>
        <w:rPr>
          <w:spacing w:val="-11"/>
        </w:rPr>
        <w:t xml:space="preserve"> </w:t>
      </w:r>
      <w:r>
        <w:t>línea</w:t>
      </w:r>
      <w:r>
        <w:rPr>
          <w:spacing w:val="-11"/>
        </w:rPr>
        <w:t xml:space="preserve"> </w:t>
      </w:r>
      <w:r>
        <w:t>de</w:t>
      </w:r>
      <w:r>
        <w:rPr>
          <w:spacing w:val="-13"/>
        </w:rPr>
        <w:t xml:space="preserve"> </w:t>
      </w:r>
      <w:r>
        <w:t>mando</w:t>
      </w:r>
      <w:r>
        <w:rPr>
          <w:spacing w:val="-11"/>
        </w:rPr>
        <w:t xml:space="preserve"> </w:t>
      </w:r>
      <w:r>
        <w:t>clara</w:t>
      </w:r>
      <w:r>
        <w:rPr>
          <w:spacing w:val="-12"/>
        </w:rPr>
        <w:t xml:space="preserve"> </w:t>
      </w:r>
      <w:r>
        <w:t>entre</w:t>
      </w:r>
      <w:r>
        <w:rPr>
          <w:spacing w:val="-12"/>
        </w:rPr>
        <w:t xml:space="preserve"> </w:t>
      </w:r>
      <w:r>
        <w:t>la</w:t>
      </w:r>
      <w:r>
        <w:rPr>
          <w:spacing w:val="-12"/>
        </w:rPr>
        <w:t xml:space="preserve"> </w:t>
      </w:r>
      <w:r>
        <w:t>dirección</w:t>
      </w:r>
      <w:r>
        <w:rPr>
          <w:spacing w:val="-11"/>
        </w:rPr>
        <w:t xml:space="preserve"> </w:t>
      </w:r>
      <w:r>
        <w:t>nacional</w:t>
      </w:r>
      <w:r>
        <w:rPr>
          <w:spacing w:val="-10"/>
        </w:rPr>
        <w:t xml:space="preserve"> </w:t>
      </w:r>
      <w:r>
        <w:t>y</w:t>
      </w:r>
      <w:r>
        <w:rPr>
          <w:spacing w:val="-12"/>
        </w:rPr>
        <w:t xml:space="preserve"> </w:t>
      </w:r>
      <w:r>
        <w:t>las</w:t>
      </w:r>
      <w:r>
        <w:rPr>
          <w:spacing w:val="-12"/>
        </w:rPr>
        <w:t xml:space="preserve"> </w:t>
      </w:r>
      <w:r>
        <w:t>instancias</w:t>
      </w:r>
      <w:r>
        <w:rPr>
          <w:spacing w:val="-12"/>
        </w:rPr>
        <w:t xml:space="preserve"> </w:t>
      </w:r>
      <w:r>
        <w:t>regionales</w:t>
      </w:r>
      <w:r>
        <w:rPr>
          <w:spacing w:val="-11"/>
        </w:rPr>
        <w:t xml:space="preserve"> </w:t>
      </w:r>
      <w:r>
        <w:t>y</w:t>
      </w:r>
      <w:r>
        <w:rPr>
          <w:spacing w:val="-12"/>
        </w:rPr>
        <w:t xml:space="preserve"> </w:t>
      </w:r>
      <w:r>
        <w:t>locales,</w:t>
      </w:r>
      <w:r>
        <w:rPr>
          <w:spacing w:val="-11"/>
        </w:rPr>
        <w:t xml:space="preserve"> </w:t>
      </w:r>
      <w:r>
        <w:t>que nunca estuvieron del todo bien establecidas y que en realidad nunca se consolidaron. La fragmentación</w:t>
      </w:r>
      <w:r>
        <w:rPr>
          <w:spacing w:val="-5"/>
        </w:rPr>
        <w:t xml:space="preserve"> </w:t>
      </w:r>
      <w:r>
        <w:t>partidista</w:t>
      </w:r>
      <w:r>
        <w:rPr>
          <w:spacing w:val="-6"/>
        </w:rPr>
        <w:t xml:space="preserve"> </w:t>
      </w:r>
      <w:r>
        <w:t>y</w:t>
      </w:r>
      <w:r>
        <w:rPr>
          <w:spacing w:val="-5"/>
        </w:rPr>
        <w:t xml:space="preserve"> </w:t>
      </w:r>
      <w:r>
        <w:t>el</w:t>
      </w:r>
      <w:r>
        <w:rPr>
          <w:spacing w:val="-4"/>
        </w:rPr>
        <w:t xml:space="preserve"> </w:t>
      </w:r>
      <w:r>
        <w:t>consecuente</w:t>
      </w:r>
      <w:r>
        <w:rPr>
          <w:spacing w:val="-5"/>
        </w:rPr>
        <w:t xml:space="preserve"> </w:t>
      </w:r>
      <w:r>
        <w:rPr>
          <w:i/>
        </w:rPr>
        <w:t>inmovilismo</w:t>
      </w:r>
      <w:r w:rsidR="00EB1F28">
        <w:rPr>
          <w:rStyle w:val="Refdenotaalpie"/>
          <w:i/>
        </w:rPr>
        <w:footnoteReference w:id="985"/>
      </w:r>
      <w:r>
        <w:rPr>
          <w:i/>
          <w:spacing w:val="-4"/>
        </w:rPr>
        <w:t xml:space="preserve"> </w:t>
      </w:r>
      <w:r>
        <w:t>que</w:t>
      </w:r>
      <w:r>
        <w:rPr>
          <w:spacing w:val="-5"/>
        </w:rPr>
        <w:t xml:space="preserve"> </w:t>
      </w:r>
      <w:r>
        <w:t>generó</w:t>
      </w:r>
      <w:r>
        <w:rPr>
          <w:spacing w:val="-5"/>
        </w:rPr>
        <w:t xml:space="preserve"> </w:t>
      </w:r>
      <w:r>
        <w:t>la</w:t>
      </w:r>
      <w:r>
        <w:rPr>
          <w:spacing w:val="-5"/>
        </w:rPr>
        <w:t xml:space="preserve"> </w:t>
      </w:r>
      <w:r>
        <w:t>creciente</w:t>
      </w:r>
      <w:r>
        <w:rPr>
          <w:spacing w:val="-5"/>
        </w:rPr>
        <w:t xml:space="preserve"> </w:t>
      </w:r>
      <w:r>
        <w:t>autonomía de sus líderes locales y regionales y su capacidad para construir alianzas con las facciones del</w:t>
      </w:r>
      <w:r>
        <w:rPr>
          <w:spacing w:val="6"/>
        </w:rPr>
        <w:t xml:space="preserve"> </w:t>
      </w:r>
      <w:r>
        <w:t>liderazgo</w:t>
      </w:r>
      <w:r>
        <w:rPr>
          <w:spacing w:val="8"/>
        </w:rPr>
        <w:t xml:space="preserve"> </w:t>
      </w:r>
      <w:r>
        <w:t>nacional</w:t>
      </w:r>
      <w:r>
        <w:rPr>
          <w:spacing w:val="9"/>
        </w:rPr>
        <w:t xml:space="preserve"> </w:t>
      </w:r>
      <w:r>
        <w:t>de</w:t>
      </w:r>
      <w:r>
        <w:rPr>
          <w:spacing w:val="8"/>
        </w:rPr>
        <w:t xml:space="preserve"> </w:t>
      </w:r>
      <w:r>
        <w:t>los</w:t>
      </w:r>
      <w:r>
        <w:rPr>
          <w:spacing w:val="8"/>
        </w:rPr>
        <w:t xml:space="preserve"> </w:t>
      </w:r>
      <w:r>
        <w:t>partidos</w:t>
      </w:r>
      <w:r>
        <w:rPr>
          <w:spacing w:val="8"/>
        </w:rPr>
        <w:t xml:space="preserve"> </w:t>
      </w:r>
      <w:r>
        <w:t>fueron</w:t>
      </w:r>
      <w:r>
        <w:rPr>
          <w:spacing w:val="7"/>
        </w:rPr>
        <w:t xml:space="preserve"> </w:t>
      </w:r>
      <w:r>
        <w:t>los</w:t>
      </w:r>
      <w:r>
        <w:rPr>
          <w:spacing w:val="7"/>
        </w:rPr>
        <w:t xml:space="preserve"> </w:t>
      </w:r>
      <w:r>
        <w:t>principales</w:t>
      </w:r>
      <w:r>
        <w:rPr>
          <w:spacing w:val="8"/>
        </w:rPr>
        <w:t xml:space="preserve"> </w:t>
      </w:r>
      <w:r>
        <w:t>problemas</w:t>
      </w:r>
      <w:r>
        <w:rPr>
          <w:spacing w:val="8"/>
        </w:rPr>
        <w:t xml:space="preserve"> </w:t>
      </w:r>
      <w:r>
        <w:t>que</w:t>
      </w:r>
      <w:r>
        <w:rPr>
          <w:spacing w:val="8"/>
        </w:rPr>
        <w:t xml:space="preserve"> </w:t>
      </w:r>
      <w:r>
        <w:t>evitaron</w:t>
      </w:r>
      <w:r>
        <w:rPr>
          <w:spacing w:val="7"/>
        </w:rPr>
        <w:t xml:space="preserve"> </w:t>
      </w:r>
      <w:r>
        <w:t>que</w:t>
      </w:r>
      <w:r>
        <w:rPr>
          <w:spacing w:val="8"/>
        </w:rPr>
        <w:t xml:space="preserve"> </w:t>
      </w:r>
      <w:r>
        <w:rPr>
          <w:spacing w:val="-5"/>
        </w:rPr>
        <w:t>el</w:t>
      </w:r>
      <w:bookmarkStart w:id="1224" w:name="_bookmark1081"/>
      <w:bookmarkStart w:id="1225" w:name="_bookmark1082"/>
      <w:bookmarkStart w:id="1226" w:name="_bookmark1083"/>
      <w:bookmarkEnd w:id="1224"/>
      <w:bookmarkEnd w:id="1225"/>
      <w:bookmarkEnd w:id="1226"/>
      <w:r w:rsidR="00EB1F28">
        <w:t xml:space="preserve"> </w:t>
      </w:r>
      <w:r>
        <w:t>Frente Nacional avanzara en su propuesta de desarrollo, como condición para mantener y consolidar la paz.</w:t>
      </w:r>
    </w:p>
    <w:p w:rsidR="003804AC" w:rsidRDefault="00AF18A5" w:rsidP="00EB1F28">
      <w:r>
        <w:t>Eso</w:t>
      </w:r>
      <w:r>
        <w:rPr>
          <w:spacing w:val="-15"/>
        </w:rPr>
        <w:t xml:space="preserve"> </w:t>
      </w:r>
      <w:r>
        <w:t>explica</w:t>
      </w:r>
      <w:r>
        <w:rPr>
          <w:spacing w:val="-15"/>
        </w:rPr>
        <w:t xml:space="preserve"> </w:t>
      </w:r>
      <w:r>
        <w:t>por</w:t>
      </w:r>
      <w:r>
        <w:rPr>
          <w:spacing w:val="-15"/>
        </w:rPr>
        <w:t xml:space="preserve"> </w:t>
      </w:r>
      <w:r>
        <w:t>qué</w:t>
      </w:r>
      <w:r>
        <w:rPr>
          <w:spacing w:val="-15"/>
        </w:rPr>
        <w:t xml:space="preserve"> </w:t>
      </w:r>
      <w:r>
        <w:t>Colombia</w:t>
      </w:r>
      <w:r>
        <w:rPr>
          <w:spacing w:val="-15"/>
        </w:rPr>
        <w:t xml:space="preserve"> </w:t>
      </w:r>
      <w:r>
        <w:t>no</w:t>
      </w:r>
      <w:r>
        <w:rPr>
          <w:spacing w:val="-15"/>
        </w:rPr>
        <w:t xml:space="preserve"> </w:t>
      </w:r>
      <w:r>
        <w:t>pudo</w:t>
      </w:r>
      <w:r>
        <w:rPr>
          <w:spacing w:val="-15"/>
        </w:rPr>
        <w:t xml:space="preserve"> </w:t>
      </w:r>
      <w:r>
        <w:t>promover</w:t>
      </w:r>
      <w:r>
        <w:rPr>
          <w:spacing w:val="-15"/>
        </w:rPr>
        <w:t xml:space="preserve"> </w:t>
      </w:r>
      <w:r>
        <w:t>una</w:t>
      </w:r>
      <w:r>
        <w:rPr>
          <w:spacing w:val="-15"/>
        </w:rPr>
        <w:t xml:space="preserve"> </w:t>
      </w:r>
      <w:r>
        <w:t>reforma</w:t>
      </w:r>
      <w:r>
        <w:rPr>
          <w:spacing w:val="-15"/>
        </w:rPr>
        <w:t xml:space="preserve"> </w:t>
      </w:r>
      <w:r>
        <w:t>agraria</w:t>
      </w:r>
      <w:r>
        <w:rPr>
          <w:spacing w:val="-15"/>
        </w:rPr>
        <w:t xml:space="preserve"> </w:t>
      </w:r>
      <w:r>
        <w:t>seria,</w:t>
      </w:r>
      <w:r>
        <w:rPr>
          <w:spacing w:val="-15"/>
        </w:rPr>
        <w:t xml:space="preserve"> </w:t>
      </w:r>
      <w:r>
        <w:t>aunque</w:t>
      </w:r>
      <w:r>
        <w:rPr>
          <w:spacing w:val="-15"/>
        </w:rPr>
        <w:t xml:space="preserve"> </w:t>
      </w:r>
      <w:r>
        <w:t>existía la</w:t>
      </w:r>
      <w:r>
        <w:rPr>
          <w:spacing w:val="-4"/>
        </w:rPr>
        <w:t xml:space="preserve"> </w:t>
      </w:r>
      <w:r>
        <w:t>voluntad</w:t>
      </w:r>
      <w:r>
        <w:rPr>
          <w:spacing w:val="-6"/>
        </w:rPr>
        <w:t xml:space="preserve"> </w:t>
      </w:r>
      <w:r>
        <w:t>política</w:t>
      </w:r>
      <w:r>
        <w:rPr>
          <w:spacing w:val="-4"/>
        </w:rPr>
        <w:t xml:space="preserve"> </w:t>
      </w:r>
      <w:r>
        <w:t>de</w:t>
      </w:r>
      <w:r>
        <w:rPr>
          <w:spacing w:val="-4"/>
        </w:rPr>
        <w:t xml:space="preserve"> </w:t>
      </w:r>
      <w:r>
        <w:t>un</w:t>
      </w:r>
      <w:r>
        <w:rPr>
          <w:spacing w:val="-5"/>
        </w:rPr>
        <w:t xml:space="preserve"> </w:t>
      </w:r>
      <w:r>
        <w:t>sector</w:t>
      </w:r>
      <w:r>
        <w:rPr>
          <w:spacing w:val="-4"/>
        </w:rPr>
        <w:t xml:space="preserve"> </w:t>
      </w:r>
      <w:r>
        <w:t>significativo</w:t>
      </w:r>
      <w:r>
        <w:rPr>
          <w:spacing w:val="-5"/>
        </w:rPr>
        <w:t xml:space="preserve"> </w:t>
      </w:r>
      <w:r>
        <w:t>de</w:t>
      </w:r>
      <w:r>
        <w:rPr>
          <w:spacing w:val="-4"/>
        </w:rPr>
        <w:t xml:space="preserve"> </w:t>
      </w:r>
      <w:r>
        <w:t>las</w:t>
      </w:r>
      <w:r>
        <w:rPr>
          <w:spacing w:val="-4"/>
        </w:rPr>
        <w:t xml:space="preserve"> </w:t>
      </w:r>
      <w:r>
        <w:t>élites</w:t>
      </w:r>
      <w:r>
        <w:rPr>
          <w:spacing w:val="-6"/>
        </w:rPr>
        <w:t xml:space="preserve"> </w:t>
      </w:r>
      <w:r>
        <w:t>bipartidistas</w:t>
      </w:r>
      <w:r>
        <w:rPr>
          <w:spacing w:val="-4"/>
        </w:rPr>
        <w:t xml:space="preserve"> </w:t>
      </w:r>
      <w:r>
        <w:t>y</w:t>
      </w:r>
      <w:r>
        <w:rPr>
          <w:spacing w:val="-5"/>
        </w:rPr>
        <w:t xml:space="preserve"> </w:t>
      </w:r>
      <w:r>
        <w:t>se</w:t>
      </w:r>
      <w:r>
        <w:rPr>
          <w:spacing w:val="-4"/>
        </w:rPr>
        <w:t xml:space="preserve"> </w:t>
      </w:r>
      <w:r>
        <w:t>tenía</w:t>
      </w:r>
      <w:r>
        <w:rPr>
          <w:spacing w:val="-4"/>
        </w:rPr>
        <w:t xml:space="preserve"> </w:t>
      </w:r>
      <w:r>
        <w:t>el</w:t>
      </w:r>
      <w:r>
        <w:rPr>
          <w:spacing w:val="-5"/>
        </w:rPr>
        <w:t xml:space="preserve"> </w:t>
      </w:r>
      <w:r>
        <w:t>respaldo de</w:t>
      </w:r>
      <w:r>
        <w:rPr>
          <w:spacing w:val="-8"/>
        </w:rPr>
        <w:t xml:space="preserve"> </w:t>
      </w:r>
      <w:r>
        <w:t>los</w:t>
      </w:r>
      <w:r>
        <w:rPr>
          <w:spacing w:val="-8"/>
        </w:rPr>
        <w:t xml:space="preserve"> </w:t>
      </w:r>
      <w:r>
        <w:t>Estados</w:t>
      </w:r>
      <w:r>
        <w:rPr>
          <w:spacing w:val="-8"/>
        </w:rPr>
        <w:t xml:space="preserve"> </w:t>
      </w:r>
      <w:r>
        <w:t>Unidos</w:t>
      </w:r>
      <w:r w:rsidR="00EB1F28">
        <w:rPr>
          <w:rStyle w:val="Refdenotaalpie"/>
        </w:rPr>
        <w:footnoteReference w:id="986"/>
      </w:r>
      <w:r>
        <w:t>.</w:t>
      </w:r>
      <w:r>
        <w:rPr>
          <w:spacing w:val="-9"/>
        </w:rPr>
        <w:t xml:space="preserve"> </w:t>
      </w:r>
      <w:r>
        <w:t>En</w:t>
      </w:r>
      <w:r>
        <w:rPr>
          <w:spacing w:val="-9"/>
        </w:rPr>
        <w:t xml:space="preserve"> </w:t>
      </w:r>
      <w:r>
        <w:t>el</w:t>
      </w:r>
      <w:r>
        <w:rPr>
          <w:spacing w:val="-8"/>
        </w:rPr>
        <w:t xml:space="preserve"> </w:t>
      </w:r>
      <w:r>
        <w:t>fondo,</w:t>
      </w:r>
      <w:r>
        <w:rPr>
          <w:spacing w:val="-10"/>
        </w:rPr>
        <w:t xml:space="preserve"> </w:t>
      </w:r>
      <w:r>
        <w:t>la</w:t>
      </w:r>
      <w:r>
        <w:rPr>
          <w:spacing w:val="-8"/>
        </w:rPr>
        <w:t xml:space="preserve"> </w:t>
      </w:r>
      <w:r>
        <w:t>reforma</w:t>
      </w:r>
      <w:r>
        <w:rPr>
          <w:spacing w:val="-8"/>
        </w:rPr>
        <w:t xml:space="preserve"> </w:t>
      </w:r>
      <w:r>
        <w:t>agraria</w:t>
      </w:r>
      <w:r w:rsidR="00EB1F28">
        <w:rPr>
          <w:rStyle w:val="Refdenotaalpie"/>
        </w:rPr>
        <w:footnoteReference w:id="987"/>
      </w:r>
      <w:r>
        <w:rPr>
          <w:spacing w:val="-8"/>
        </w:rPr>
        <w:t xml:space="preserve"> </w:t>
      </w:r>
      <w:r>
        <w:t>implicaba</w:t>
      </w:r>
      <w:r>
        <w:rPr>
          <w:spacing w:val="-8"/>
        </w:rPr>
        <w:t xml:space="preserve"> </w:t>
      </w:r>
      <w:r>
        <w:t>una</w:t>
      </w:r>
      <w:r>
        <w:rPr>
          <w:spacing w:val="-8"/>
        </w:rPr>
        <w:t xml:space="preserve"> </w:t>
      </w:r>
      <w:r>
        <w:t>nueva</w:t>
      </w:r>
      <w:r>
        <w:rPr>
          <w:spacing w:val="-8"/>
        </w:rPr>
        <w:t xml:space="preserve"> </w:t>
      </w:r>
      <w:r>
        <w:t xml:space="preserve">correlación de fuerzas y una nueva estructura de poder en el campo, por lo que sectores de las </w:t>
      </w:r>
      <w:r>
        <w:lastRenderedPageBreak/>
        <w:t>élites terratenientes regionales –conservadoras y liberales– se opusieron. Las élites terratenientes bloquearon la redistribución de tierras, usando la representación directa que tenían en la legislatura, además de la captura de una parte de los funcionarios elegidos, jueces o burócratas, que respondían a la distribución paritaria entre los partidos, y al uso de clientelismo para socavar el apoyo de los pobres rurales a la reforma.</w:t>
      </w:r>
    </w:p>
    <w:p w:rsidR="003804AC" w:rsidRDefault="00AF18A5" w:rsidP="00EB1F28">
      <w:r>
        <w:t>Así,</w:t>
      </w:r>
      <w:r>
        <w:rPr>
          <w:spacing w:val="-9"/>
        </w:rPr>
        <w:t xml:space="preserve"> </w:t>
      </w:r>
      <w:r>
        <w:t>la</w:t>
      </w:r>
      <w:r>
        <w:rPr>
          <w:spacing w:val="-10"/>
        </w:rPr>
        <w:t xml:space="preserve"> </w:t>
      </w:r>
      <w:r>
        <w:t>influencia</w:t>
      </w:r>
      <w:r>
        <w:rPr>
          <w:spacing w:val="-9"/>
        </w:rPr>
        <w:t xml:space="preserve"> </w:t>
      </w:r>
      <w:r>
        <w:t>de</w:t>
      </w:r>
      <w:r>
        <w:rPr>
          <w:spacing w:val="-9"/>
        </w:rPr>
        <w:t xml:space="preserve"> </w:t>
      </w:r>
      <w:r>
        <w:t>las</w:t>
      </w:r>
      <w:r>
        <w:rPr>
          <w:spacing w:val="-10"/>
        </w:rPr>
        <w:t xml:space="preserve"> </w:t>
      </w:r>
      <w:r>
        <w:t>élites</w:t>
      </w:r>
      <w:r>
        <w:rPr>
          <w:spacing w:val="-10"/>
        </w:rPr>
        <w:t xml:space="preserve"> </w:t>
      </w:r>
      <w:r>
        <w:t>terratenientes</w:t>
      </w:r>
      <w:r>
        <w:rPr>
          <w:spacing w:val="-9"/>
        </w:rPr>
        <w:t xml:space="preserve"> </w:t>
      </w:r>
      <w:r>
        <w:t>sobre</w:t>
      </w:r>
      <w:r>
        <w:rPr>
          <w:spacing w:val="-9"/>
        </w:rPr>
        <w:t xml:space="preserve"> </w:t>
      </w:r>
      <w:r>
        <w:t>el</w:t>
      </w:r>
      <w:r>
        <w:rPr>
          <w:spacing w:val="-9"/>
        </w:rPr>
        <w:t xml:space="preserve"> </w:t>
      </w:r>
      <w:r>
        <w:t>Congreso</w:t>
      </w:r>
      <w:r>
        <w:rPr>
          <w:spacing w:val="-9"/>
        </w:rPr>
        <w:t xml:space="preserve"> </w:t>
      </w:r>
      <w:r>
        <w:t>permitió</w:t>
      </w:r>
      <w:r>
        <w:rPr>
          <w:spacing w:val="-9"/>
        </w:rPr>
        <w:t xml:space="preserve"> </w:t>
      </w:r>
      <w:r>
        <w:t>reducir</w:t>
      </w:r>
      <w:r>
        <w:rPr>
          <w:spacing w:val="-10"/>
        </w:rPr>
        <w:t xml:space="preserve"> </w:t>
      </w:r>
      <w:r>
        <w:t>el</w:t>
      </w:r>
      <w:r>
        <w:rPr>
          <w:spacing w:val="-10"/>
        </w:rPr>
        <w:t xml:space="preserve"> </w:t>
      </w:r>
      <w:r>
        <w:t>alcance redistributivo de las reformas, reducir la financiación de su implementación y aumentar las barreras legales para la expropiación y redistribución. Los terratenientes cabildearon exitosamente</w:t>
      </w:r>
      <w:r>
        <w:rPr>
          <w:spacing w:val="5"/>
        </w:rPr>
        <w:t xml:space="preserve"> </w:t>
      </w:r>
      <w:r>
        <w:t>en</w:t>
      </w:r>
      <w:r>
        <w:rPr>
          <w:spacing w:val="8"/>
        </w:rPr>
        <w:t xml:space="preserve"> </w:t>
      </w:r>
      <w:r>
        <w:t>la</w:t>
      </w:r>
      <w:r>
        <w:rPr>
          <w:spacing w:val="7"/>
        </w:rPr>
        <w:t xml:space="preserve"> </w:t>
      </w:r>
      <w:r>
        <w:t>burocracia</w:t>
      </w:r>
      <w:r>
        <w:rPr>
          <w:spacing w:val="8"/>
        </w:rPr>
        <w:t xml:space="preserve"> </w:t>
      </w:r>
      <w:r>
        <w:t>del</w:t>
      </w:r>
      <w:r>
        <w:rPr>
          <w:spacing w:val="8"/>
        </w:rPr>
        <w:t xml:space="preserve"> </w:t>
      </w:r>
      <w:proofErr w:type="spellStart"/>
      <w:r>
        <w:t>Incora</w:t>
      </w:r>
      <w:proofErr w:type="spellEnd"/>
      <w:r>
        <w:rPr>
          <w:spacing w:val="8"/>
        </w:rPr>
        <w:t xml:space="preserve"> </w:t>
      </w:r>
      <w:r>
        <w:t>para</w:t>
      </w:r>
      <w:r>
        <w:rPr>
          <w:spacing w:val="7"/>
        </w:rPr>
        <w:t xml:space="preserve"> </w:t>
      </w:r>
      <w:r>
        <w:t>que</w:t>
      </w:r>
      <w:r>
        <w:rPr>
          <w:spacing w:val="8"/>
        </w:rPr>
        <w:t xml:space="preserve"> </w:t>
      </w:r>
      <w:r>
        <w:t>esta</w:t>
      </w:r>
      <w:r>
        <w:rPr>
          <w:spacing w:val="7"/>
        </w:rPr>
        <w:t xml:space="preserve"> </w:t>
      </w:r>
      <w:r>
        <w:t>agencia</w:t>
      </w:r>
      <w:r>
        <w:rPr>
          <w:spacing w:val="8"/>
        </w:rPr>
        <w:t xml:space="preserve"> </w:t>
      </w:r>
      <w:r>
        <w:t>concentrara</w:t>
      </w:r>
      <w:r>
        <w:rPr>
          <w:spacing w:val="7"/>
        </w:rPr>
        <w:t xml:space="preserve"> </w:t>
      </w:r>
      <w:r>
        <w:t>su</w:t>
      </w:r>
      <w:r>
        <w:rPr>
          <w:spacing w:val="8"/>
        </w:rPr>
        <w:t xml:space="preserve"> </w:t>
      </w:r>
      <w:r>
        <w:t>actividad</w:t>
      </w:r>
      <w:r>
        <w:rPr>
          <w:spacing w:val="8"/>
        </w:rPr>
        <w:t xml:space="preserve"> </w:t>
      </w:r>
      <w:r>
        <w:rPr>
          <w:spacing w:val="-5"/>
        </w:rPr>
        <w:t>en</w:t>
      </w:r>
      <w:r w:rsidR="00EB1F28">
        <w:t xml:space="preserve"> </w:t>
      </w:r>
      <w:r>
        <w:t>«proyectos</w:t>
      </w:r>
      <w:r>
        <w:rPr>
          <w:spacing w:val="-5"/>
        </w:rPr>
        <w:t xml:space="preserve"> </w:t>
      </w:r>
      <w:r>
        <w:t>que</w:t>
      </w:r>
      <w:r>
        <w:rPr>
          <w:spacing w:val="-3"/>
        </w:rPr>
        <w:t xml:space="preserve"> </w:t>
      </w:r>
      <w:r>
        <w:t>no</w:t>
      </w:r>
      <w:r>
        <w:rPr>
          <w:spacing w:val="-4"/>
        </w:rPr>
        <w:t xml:space="preserve"> </w:t>
      </w:r>
      <w:r>
        <w:t>perturbaban</w:t>
      </w:r>
      <w:r>
        <w:rPr>
          <w:spacing w:val="-4"/>
        </w:rPr>
        <w:t xml:space="preserve"> </w:t>
      </w:r>
      <w:r>
        <w:t>la</w:t>
      </w:r>
      <w:r>
        <w:rPr>
          <w:spacing w:val="-3"/>
        </w:rPr>
        <w:t xml:space="preserve"> </w:t>
      </w:r>
      <w:r>
        <w:t>tenencia</w:t>
      </w:r>
      <w:r>
        <w:rPr>
          <w:spacing w:val="-3"/>
        </w:rPr>
        <w:t xml:space="preserve"> </w:t>
      </w:r>
      <w:r>
        <w:t>de</w:t>
      </w:r>
      <w:r>
        <w:rPr>
          <w:spacing w:val="-5"/>
        </w:rPr>
        <w:t xml:space="preserve"> </w:t>
      </w:r>
      <w:r>
        <w:t>tierra</w:t>
      </w:r>
      <w:r>
        <w:rPr>
          <w:spacing w:val="-3"/>
        </w:rPr>
        <w:t xml:space="preserve"> </w:t>
      </w:r>
      <w:r>
        <w:t>existente»</w:t>
      </w:r>
      <w:r w:rsidR="00EB1F28">
        <w:rPr>
          <w:rStyle w:val="Refdenotaalpie"/>
        </w:rPr>
        <w:footnoteReference w:id="988"/>
      </w:r>
      <w:r>
        <w:t>.</w:t>
      </w:r>
      <w:r>
        <w:rPr>
          <w:spacing w:val="-4"/>
        </w:rPr>
        <w:t xml:space="preserve"> </w:t>
      </w:r>
      <w:r>
        <w:t>Por</w:t>
      </w:r>
      <w:r>
        <w:rPr>
          <w:spacing w:val="-3"/>
        </w:rPr>
        <w:t xml:space="preserve"> </w:t>
      </w:r>
      <w:r>
        <w:t>esa</w:t>
      </w:r>
      <w:r>
        <w:rPr>
          <w:spacing w:val="-5"/>
        </w:rPr>
        <w:t xml:space="preserve"> </w:t>
      </w:r>
      <w:r>
        <w:t>razón,</w:t>
      </w:r>
      <w:r>
        <w:rPr>
          <w:spacing w:val="-4"/>
        </w:rPr>
        <w:t xml:space="preserve"> </w:t>
      </w:r>
      <w:r>
        <w:t>la</w:t>
      </w:r>
      <w:r>
        <w:rPr>
          <w:spacing w:val="-3"/>
        </w:rPr>
        <w:t xml:space="preserve"> </w:t>
      </w:r>
      <w:r>
        <w:t>principal acción</w:t>
      </w:r>
      <w:r>
        <w:rPr>
          <w:spacing w:val="-1"/>
        </w:rPr>
        <w:t xml:space="preserve"> </w:t>
      </w:r>
      <w:r>
        <w:t>de</w:t>
      </w:r>
      <w:r>
        <w:rPr>
          <w:spacing w:val="-1"/>
        </w:rPr>
        <w:t xml:space="preserve"> </w:t>
      </w:r>
      <w:r>
        <w:t>la</w:t>
      </w:r>
      <w:r>
        <w:rPr>
          <w:spacing w:val="-1"/>
        </w:rPr>
        <w:t xml:space="preserve"> </w:t>
      </w:r>
      <w:r>
        <w:t>entidad</w:t>
      </w:r>
      <w:r>
        <w:rPr>
          <w:spacing w:val="-2"/>
        </w:rPr>
        <w:t xml:space="preserve"> </w:t>
      </w:r>
      <w:r>
        <w:t>fue</w:t>
      </w:r>
      <w:r>
        <w:rPr>
          <w:spacing w:val="-1"/>
        </w:rPr>
        <w:t xml:space="preserve"> </w:t>
      </w:r>
      <w:r>
        <w:t>la</w:t>
      </w:r>
      <w:r>
        <w:rPr>
          <w:spacing w:val="-1"/>
        </w:rPr>
        <w:t xml:space="preserve"> </w:t>
      </w:r>
      <w:r>
        <w:t>colonización</w:t>
      </w:r>
      <w:r>
        <w:rPr>
          <w:spacing w:val="-1"/>
        </w:rPr>
        <w:t xml:space="preserve"> </w:t>
      </w:r>
      <w:r>
        <w:t>dirigida</w:t>
      </w:r>
      <w:r>
        <w:rPr>
          <w:spacing w:val="-1"/>
        </w:rPr>
        <w:t xml:space="preserve"> </w:t>
      </w:r>
      <w:r>
        <w:t>fuera</w:t>
      </w:r>
      <w:r>
        <w:rPr>
          <w:spacing w:val="-1"/>
        </w:rPr>
        <w:t xml:space="preserve"> </w:t>
      </w:r>
      <w:r>
        <w:t>de</w:t>
      </w:r>
      <w:r>
        <w:rPr>
          <w:spacing w:val="-1"/>
        </w:rPr>
        <w:t xml:space="preserve"> </w:t>
      </w:r>
      <w:r>
        <w:t>la</w:t>
      </w:r>
      <w:r>
        <w:rPr>
          <w:spacing w:val="-1"/>
        </w:rPr>
        <w:t xml:space="preserve"> </w:t>
      </w:r>
      <w:r>
        <w:t>frontera</w:t>
      </w:r>
      <w:r>
        <w:rPr>
          <w:spacing w:val="-1"/>
        </w:rPr>
        <w:t xml:space="preserve"> </w:t>
      </w:r>
      <w:r>
        <w:t>agrícola</w:t>
      </w:r>
      <w:r>
        <w:rPr>
          <w:spacing w:val="-1"/>
        </w:rPr>
        <w:t xml:space="preserve"> </w:t>
      </w:r>
      <w:r>
        <w:t>y</w:t>
      </w:r>
      <w:r>
        <w:rPr>
          <w:spacing w:val="-1"/>
        </w:rPr>
        <w:t xml:space="preserve"> </w:t>
      </w:r>
      <w:r>
        <w:t>avanzó</w:t>
      </w:r>
      <w:r>
        <w:rPr>
          <w:spacing w:val="-2"/>
        </w:rPr>
        <w:t xml:space="preserve"> </w:t>
      </w:r>
      <w:r>
        <w:t>poco en la redistribución de tierras ya aptas para la producción, lo que a la postre terminó reproduciendo</w:t>
      </w:r>
      <w:r>
        <w:rPr>
          <w:spacing w:val="9"/>
        </w:rPr>
        <w:t xml:space="preserve"> </w:t>
      </w:r>
      <w:r>
        <w:t>«un</w:t>
      </w:r>
      <w:r>
        <w:rPr>
          <w:spacing w:val="11"/>
        </w:rPr>
        <w:t xml:space="preserve"> </w:t>
      </w:r>
      <w:r>
        <w:t>traumático</w:t>
      </w:r>
      <w:r>
        <w:rPr>
          <w:spacing w:val="11"/>
        </w:rPr>
        <w:t xml:space="preserve"> </w:t>
      </w:r>
      <w:r>
        <w:t>proceso</w:t>
      </w:r>
      <w:r>
        <w:rPr>
          <w:spacing w:val="11"/>
        </w:rPr>
        <w:t xml:space="preserve"> </w:t>
      </w:r>
      <w:r>
        <w:t>de</w:t>
      </w:r>
      <w:r>
        <w:rPr>
          <w:spacing w:val="11"/>
        </w:rPr>
        <w:t xml:space="preserve"> </w:t>
      </w:r>
      <w:r>
        <w:t>descomposición</w:t>
      </w:r>
      <w:r>
        <w:rPr>
          <w:spacing w:val="11"/>
        </w:rPr>
        <w:t xml:space="preserve"> </w:t>
      </w:r>
      <w:r>
        <w:t>con</w:t>
      </w:r>
      <w:r>
        <w:rPr>
          <w:spacing w:val="11"/>
        </w:rPr>
        <w:t xml:space="preserve"> </w:t>
      </w:r>
      <w:r>
        <w:t>el</w:t>
      </w:r>
      <w:r>
        <w:rPr>
          <w:spacing w:val="11"/>
        </w:rPr>
        <w:t xml:space="preserve"> </w:t>
      </w:r>
      <w:r>
        <w:t>avance</w:t>
      </w:r>
      <w:r>
        <w:rPr>
          <w:spacing w:val="11"/>
        </w:rPr>
        <w:t xml:space="preserve"> </w:t>
      </w:r>
      <w:r>
        <w:t>de</w:t>
      </w:r>
      <w:r>
        <w:rPr>
          <w:spacing w:val="11"/>
        </w:rPr>
        <w:t xml:space="preserve"> </w:t>
      </w:r>
      <w:r>
        <w:t>la</w:t>
      </w:r>
      <w:r>
        <w:rPr>
          <w:spacing w:val="11"/>
        </w:rPr>
        <w:t xml:space="preserve"> </w:t>
      </w:r>
      <w:r>
        <w:t>ganadería</w:t>
      </w:r>
      <w:r>
        <w:rPr>
          <w:spacing w:val="12"/>
        </w:rPr>
        <w:t xml:space="preserve"> </w:t>
      </w:r>
      <w:r>
        <w:rPr>
          <w:spacing w:val="-10"/>
        </w:rPr>
        <w:t>y</w:t>
      </w:r>
      <w:bookmarkStart w:id="1227" w:name="_bookmark1084"/>
      <w:bookmarkStart w:id="1228" w:name="_bookmark1085"/>
      <w:bookmarkStart w:id="1229" w:name="_bookmark1086"/>
      <w:bookmarkEnd w:id="1227"/>
      <w:bookmarkEnd w:id="1228"/>
      <w:bookmarkEnd w:id="1229"/>
      <w:r w:rsidR="00EB1F28">
        <w:t xml:space="preserve"> </w:t>
      </w:r>
      <w:r>
        <w:t>la agricultura comercial»</w:t>
      </w:r>
      <w:r w:rsidR="00EB1F28">
        <w:rPr>
          <w:rStyle w:val="Refdenotaalpie"/>
        </w:rPr>
        <w:footnoteReference w:id="989"/>
      </w:r>
      <w:r>
        <w:t>. A pesar de que la Ley 135 de 1961 contemplaba formalmente la expropiación de estas tierras, las restricciones impuestas a la figura la hicieron marginal. De</w:t>
      </w:r>
      <w:r>
        <w:rPr>
          <w:spacing w:val="-2"/>
        </w:rPr>
        <w:t xml:space="preserve"> </w:t>
      </w:r>
      <w:r>
        <w:t>hecho,</w:t>
      </w:r>
      <w:r>
        <w:rPr>
          <w:spacing w:val="-2"/>
        </w:rPr>
        <w:t xml:space="preserve"> </w:t>
      </w:r>
      <w:r>
        <w:t>entre</w:t>
      </w:r>
      <w:r>
        <w:rPr>
          <w:spacing w:val="-2"/>
        </w:rPr>
        <w:t xml:space="preserve"> </w:t>
      </w:r>
      <w:r>
        <w:t>1962</w:t>
      </w:r>
      <w:r>
        <w:rPr>
          <w:spacing w:val="-2"/>
        </w:rPr>
        <w:t xml:space="preserve"> </w:t>
      </w:r>
      <w:r>
        <w:t>y</w:t>
      </w:r>
      <w:r>
        <w:rPr>
          <w:spacing w:val="-2"/>
        </w:rPr>
        <w:t xml:space="preserve"> </w:t>
      </w:r>
      <w:r>
        <w:t>1985</w:t>
      </w:r>
      <w:r>
        <w:rPr>
          <w:spacing w:val="-2"/>
        </w:rPr>
        <w:t xml:space="preserve"> </w:t>
      </w:r>
      <w:r>
        <w:t>entraron</w:t>
      </w:r>
      <w:r>
        <w:rPr>
          <w:spacing w:val="-2"/>
        </w:rPr>
        <w:t xml:space="preserve"> </w:t>
      </w:r>
      <w:r>
        <w:t>por</w:t>
      </w:r>
      <w:r>
        <w:rPr>
          <w:spacing w:val="-2"/>
        </w:rPr>
        <w:t xml:space="preserve"> </w:t>
      </w:r>
      <w:r>
        <w:t>al</w:t>
      </w:r>
      <w:r>
        <w:rPr>
          <w:spacing w:val="-2"/>
        </w:rPr>
        <w:t xml:space="preserve"> </w:t>
      </w:r>
      <w:r>
        <w:t>Fondo</w:t>
      </w:r>
      <w:r>
        <w:rPr>
          <w:spacing w:val="-2"/>
        </w:rPr>
        <w:t xml:space="preserve"> </w:t>
      </w:r>
      <w:r>
        <w:t>Nacional</w:t>
      </w:r>
      <w:r>
        <w:rPr>
          <w:spacing w:val="-2"/>
        </w:rPr>
        <w:t xml:space="preserve"> </w:t>
      </w:r>
      <w:r>
        <w:t>Agrario</w:t>
      </w:r>
      <w:r>
        <w:rPr>
          <w:spacing w:val="-2"/>
        </w:rPr>
        <w:t xml:space="preserve"> </w:t>
      </w:r>
      <w:r>
        <w:t>889.000</w:t>
      </w:r>
      <w:r>
        <w:rPr>
          <w:spacing w:val="-2"/>
        </w:rPr>
        <w:t xml:space="preserve"> </w:t>
      </w:r>
      <w:r>
        <w:t>hectáreas,</w:t>
      </w:r>
      <w:r>
        <w:rPr>
          <w:spacing w:val="-3"/>
        </w:rPr>
        <w:t xml:space="preserve"> </w:t>
      </w:r>
      <w:r>
        <w:t>de las</w:t>
      </w:r>
      <w:r>
        <w:rPr>
          <w:spacing w:val="-7"/>
        </w:rPr>
        <w:t xml:space="preserve"> </w:t>
      </w:r>
      <w:r>
        <w:t>cuales</w:t>
      </w:r>
      <w:r>
        <w:rPr>
          <w:spacing w:val="-7"/>
        </w:rPr>
        <w:t xml:space="preserve"> </w:t>
      </w:r>
      <w:r>
        <w:t>solo</w:t>
      </w:r>
      <w:r>
        <w:rPr>
          <w:spacing w:val="-7"/>
        </w:rPr>
        <w:t xml:space="preserve"> </w:t>
      </w:r>
      <w:r>
        <w:t>el</w:t>
      </w:r>
      <w:r>
        <w:rPr>
          <w:spacing w:val="-7"/>
        </w:rPr>
        <w:t xml:space="preserve"> </w:t>
      </w:r>
      <w:r>
        <w:t>7,4</w:t>
      </w:r>
      <w:r>
        <w:rPr>
          <w:spacing w:val="-3"/>
        </w:rPr>
        <w:t xml:space="preserve"> </w:t>
      </w:r>
      <w:r>
        <w:t>%</w:t>
      </w:r>
      <w:r>
        <w:rPr>
          <w:spacing w:val="-8"/>
        </w:rPr>
        <w:t xml:space="preserve"> </w:t>
      </w:r>
      <w:r>
        <w:t>fueron</w:t>
      </w:r>
      <w:r>
        <w:rPr>
          <w:spacing w:val="-7"/>
        </w:rPr>
        <w:t xml:space="preserve"> </w:t>
      </w:r>
      <w:r>
        <w:t>por</w:t>
      </w:r>
      <w:r>
        <w:rPr>
          <w:spacing w:val="-7"/>
        </w:rPr>
        <w:t xml:space="preserve"> </w:t>
      </w:r>
      <w:r>
        <w:t>expropiación</w:t>
      </w:r>
      <w:r w:rsidR="00EB1F28">
        <w:rPr>
          <w:rStyle w:val="Refdenotaalpie"/>
        </w:rPr>
        <w:footnoteReference w:id="990"/>
      </w:r>
      <w:r>
        <w:t>.</w:t>
      </w:r>
      <w:r>
        <w:rPr>
          <w:spacing w:val="-7"/>
        </w:rPr>
        <w:t xml:space="preserve"> </w:t>
      </w:r>
      <w:r>
        <w:t>A</w:t>
      </w:r>
      <w:r>
        <w:rPr>
          <w:spacing w:val="-8"/>
        </w:rPr>
        <w:t xml:space="preserve"> </w:t>
      </w:r>
      <w:r>
        <w:t>pesar</w:t>
      </w:r>
      <w:r>
        <w:rPr>
          <w:spacing w:val="-7"/>
        </w:rPr>
        <w:t xml:space="preserve"> </w:t>
      </w:r>
      <w:r>
        <w:t>de</w:t>
      </w:r>
      <w:r>
        <w:rPr>
          <w:spacing w:val="-7"/>
        </w:rPr>
        <w:t xml:space="preserve"> </w:t>
      </w:r>
      <w:r>
        <w:t>las</w:t>
      </w:r>
      <w:r>
        <w:rPr>
          <w:spacing w:val="-7"/>
        </w:rPr>
        <w:t xml:space="preserve"> </w:t>
      </w:r>
      <w:r>
        <w:t>limitaciones,</w:t>
      </w:r>
      <w:r>
        <w:rPr>
          <w:spacing w:val="-7"/>
        </w:rPr>
        <w:t xml:space="preserve"> </w:t>
      </w:r>
      <w:r>
        <w:t>la</w:t>
      </w:r>
      <w:r>
        <w:rPr>
          <w:spacing w:val="-7"/>
        </w:rPr>
        <w:t xml:space="preserve"> </w:t>
      </w:r>
      <w:r>
        <w:t>norma</w:t>
      </w:r>
      <w:r>
        <w:rPr>
          <w:spacing w:val="-7"/>
        </w:rPr>
        <w:t xml:space="preserve"> </w:t>
      </w:r>
      <w:r>
        <w:t xml:space="preserve">les permitió a muchos campesinos hacerse con la propiedad de la tierra </w:t>
      </w:r>
      <w:r>
        <w:lastRenderedPageBreak/>
        <w:t>que ocupaban. Entre 1958 y 1961, hubo 9.755 adjudicaciones, para un total de 1.143.896 hectáreas. Adicionalmente, entre 1962 y 1986 ingresaron un total de 4.814 predios al Fondo Nacional Agrario, que correspondieron a 970.741. Los predios adquiridos estaban principalmente en Bolívar, Boyacá, Meta, Córdoba, y Cesar,</w:t>
      </w:r>
      <w:r w:rsidR="00EB1F28">
        <w:rPr>
          <w:rStyle w:val="Refdenotaalpie"/>
        </w:rPr>
        <w:footnoteReference w:id="991"/>
      </w:r>
      <w:r>
        <w:t xml:space="preserve"> departamentos en los que la ANUC tenía una fuerza muy importante.</w:t>
      </w:r>
    </w:p>
    <w:p w:rsidR="003804AC" w:rsidRDefault="00AF18A5" w:rsidP="00EB1F28">
      <w:r>
        <w:t xml:space="preserve">En aplicación de la Ley 135 de 1961, el </w:t>
      </w:r>
      <w:proofErr w:type="spellStart"/>
      <w:r>
        <w:t>Incora</w:t>
      </w:r>
      <w:proofErr w:type="spellEnd"/>
      <w:r>
        <w:t xml:space="preserve"> dirigió durante los años sesenta la colonización del piedemonte oriental de la cordillera Oriental, el Magdalena Medio, la altillanura</w:t>
      </w:r>
      <w:r>
        <w:rPr>
          <w:spacing w:val="-5"/>
        </w:rPr>
        <w:t xml:space="preserve"> </w:t>
      </w:r>
      <w:r>
        <w:t>entre</w:t>
      </w:r>
      <w:r>
        <w:rPr>
          <w:spacing w:val="-5"/>
        </w:rPr>
        <w:t xml:space="preserve"> </w:t>
      </w:r>
      <w:r>
        <w:t>el</w:t>
      </w:r>
      <w:r>
        <w:rPr>
          <w:spacing w:val="-4"/>
        </w:rPr>
        <w:t xml:space="preserve"> </w:t>
      </w:r>
      <w:r>
        <w:t>oriente</w:t>
      </w:r>
      <w:r>
        <w:rPr>
          <w:spacing w:val="-5"/>
        </w:rPr>
        <w:t xml:space="preserve"> </w:t>
      </w:r>
      <w:r>
        <w:t>del</w:t>
      </w:r>
      <w:r>
        <w:rPr>
          <w:spacing w:val="-4"/>
        </w:rPr>
        <w:t xml:space="preserve"> </w:t>
      </w:r>
      <w:r>
        <w:t>Meta</w:t>
      </w:r>
      <w:r>
        <w:rPr>
          <w:spacing w:val="-5"/>
        </w:rPr>
        <w:t xml:space="preserve"> </w:t>
      </w:r>
      <w:r>
        <w:t>y</w:t>
      </w:r>
      <w:r>
        <w:rPr>
          <w:spacing w:val="-6"/>
        </w:rPr>
        <w:t xml:space="preserve"> </w:t>
      </w:r>
      <w:r>
        <w:t>Vichada,</w:t>
      </w:r>
      <w:r>
        <w:rPr>
          <w:spacing w:val="-5"/>
        </w:rPr>
        <w:t xml:space="preserve"> </w:t>
      </w:r>
      <w:r>
        <w:t>el</w:t>
      </w:r>
      <w:r>
        <w:rPr>
          <w:spacing w:val="-4"/>
        </w:rPr>
        <w:t xml:space="preserve"> </w:t>
      </w:r>
      <w:r>
        <w:t>sur</w:t>
      </w:r>
      <w:r>
        <w:rPr>
          <w:spacing w:val="-4"/>
        </w:rPr>
        <w:t xml:space="preserve"> </w:t>
      </w:r>
      <w:r>
        <w:t>de</w:t>
      </w:r>
      <w:r>
        <w:rPr>
          <w:spacing w:val="-5"/>
        </w:rPr>
        <w:t xml:space="preserve"> </w:t>
      </w:r>
      <w:r>
        <w:t>Córdoba</w:t>
      </w:r>
      <w:r>
        <w:rPr>
          <w:spacing w:val="-5"/>
        </w:rPr>
        <w:t xml:space="preserve"> </w:t>
      </w:r>
      <w:r>
        <w:t>y</w:t>
      </w:r>
      <w:r>
        <w:rPr>
          <w:spacing w:val="-5"/>
        </w:rPr>
        <w:t xml:space="preserve"> </w:t>
      </w:r>
      <w:r>
        <w:t>en</w:t>
      </w:r>
      <w:r>
        <w:rPr>
          <w:spacing w:val="-5"/>
        </w:rPr>
        <w:t xml:space="preserve"> </w:t>
      </w:r>
      <w:r>
        <w:t>varias</w:t>
      </w:r>
      <w:r>
        <w:rPr>
          <w:spacing w:val="-5"/>
        </w:rPr>
        <w:t xml:space="preserve"> </w:t>
      </w:r>
      <w:r>
        <w:t>subregiones</w:t>
      </w:r>
      <w:r>
        <w:rPr>
          <w:spacing w:val="-5"/>
        </w:rPr>
        <w:t xml:space="preserve"> </w:t>
      </w:r>
      <w:r>
        <w:t>de Antioquia, como el bajo Cauca, el nordeste y el Urabá. Estas colonizaciones –dirigidas por el Estado– se superpusieron a las espontáneas o forzadas, de tal forma que los campesinos colonos se mezclaron, se encontraron, compartieron necesidades e intereses y, en muchos casos, terminaron juntos, agrupados y organizando las parcelaciones y los fundos de los nuevos colonos que llegaban a la zona.</w:t>
      </w:r>
    </w:p>
    <w:p w:rsidR="003804AC" w:rsidRDefault="00AF18A5" w:rsidP="00EB1F28">
      <w:r>
        <w:t>Se trató entonces de «un proceso social en el que el sectarismo político encubrió la expulsión del campesinado y la concentración de la tierra», e impuso «la colonización y la expansión</w:t>
      </w:r>
      <w:r>
        <w:rPr>
          <w:spacing w:val="25"/>
        </w:rPr>
        <w:t xml:space="preserve"> </w:t>
      </w:r>
      <w:r>
        <w:t>de</w:t>
      </w:r>
      <w:r>
        <w:rPr>
          <w:spacing w:val="25"/>
        </w:rPr>
        <w:t xml:space="preserve"> </w:t>
      </w:r>
      <w:r>
        <w:t>la</w:t>
      </w:r>
      <w:r>
        <w:rPr>
          <w:spacing w:val="24"/>
        </w:rPr>
        <w:t xml:space="preserve"> </w:t>
      </w:r>
      <w:r>
        <w:t>frontera</w:t>
      </w:r>
      <w:r>
        <w:rPr>
          <w:spacing w:val="24"/>
        </w:rPr>
        <w:t xml:space="preserve"> </w:t>
      </w:r>
      <w:r>
        <w:t>agrícola»</w:t>
      </w:r>
      <w:r>
        <w:rPr>
          <w:spacing w:val="25"/>
        </w:rPr>
        <w:t xml:space="preserve"> </w:t>
      </w:r>
      <w:r>
        <w:t>en</w:t>
      </w:r>
      <w:r>
        <w:rPr>
          <w:spacing w:val="25"/>
        </w:rPr>
        <w:t xml:space="preserve"> </w:t>
      </w:r>
      <w:r>
        <w:t>cerca</w:t>
      </w:r>
      <w:r>
        <w:rPr>
          <w:spacing w:val="25"/>
        </w:rPr>
        <w:t xml:space="preserve"> </w:t>
      </w:r>
      <w:r>
        <w:t>del</w:t>
      </w:r>
      <w:r>
        <w:rPr>
          <w:spacing w:val="24"/>
        </w:rPr>
        <w:t xml:space="preserve"> </w:t>
      </w:r>
      <w:r>
        <w:t>87,5 %</w:t>
      </w:r>
      <w:r>
        <w:rPr>
          <w:spacing w:val="25"/>
        </w:rPr>
        <w:t xml:space="preserve"> </w:t>
      </w:r>
      <w:r>
        <w:t>de</w:t>
      </w:r>
      <w:r>
        <w:rPr>
          <w:spacing w:val="24"/>
        </w:rPr>
        <w:t xml:space="preserve"> </w:t>
      </w:r>
      <w:r>
        <w:t>su</w:t>
      </w:r>
      <w:r>
        <w:rPr>
          <w:spacing w:val="26"/>
        </w:rPr>
        <w:t xml:space="preserve"> </w:t>
      </w:r>
      <w:r>
        <w:t>implementación</w:t>
      </w:r>
      <w:r w:rsidR="00EB1F28">
        <w:rPr>
          <w:rStyle w:val="Refdenotaalpie"/>
        </w:rPr>
        <w:footnoteReference w:id="992"/>
      </w:r>
      <w:r>
        <w:t>.</w:t>
      </w:r>
      <w:r>
        <w:rPr>
          <w:spacing w:val="25"/>
        </w:rPr>
        <w:t xml:space="preserve"> </w:t>
      </w:r>
      <w:r>
        <w:t>De</w:t>
      </w:r>
      <w:r>
        <w:rPr>
          <w:spacing w:val="25"/>
        </w:rPr>
        <w:t xml:space="preserve"> </w:t>
      </w:r>
      <w:r>
        <w:rPr>
          <w:spacing w:val="-4"/>
        </w:rPr>
        <w:t>esta</w:t>
      </w:r>
      <w:bookmarkStart w:id="1230" w:name="_bookmark1087"/>
      <w:bookmarkStart w:id="1231" w:name="_bookmark1088"/>
      <w:bookmarkStart w:id="1232" w:name="_bookmark1089"/>
      <w:bookmarkStart w:id="1233" w:name="_bookmark1090"/>
      <w:bookmarkEnd w:id="1230"/>
      <w:bookmarkEnd w:id="1231"/>
      <w:bookmarkEnd w:id="1232"/>
      <w:bookmarkEnd w:id="1233"/>
      <w:r w:rsidR="00EB1F28">
        <w:t xml:space="preserve"> </w:t>
      </w:r>
      <w:r>
        <w:t>manera,</w:t>
      </w:r>
      <w:r>
        <w:rPr>
          <w:spacing w:val="-15"/>
        </w:rPr>
        <w:t xml:space="preserve"> </w:t>
      </w:r>
      <w:r>
        <w:t>los</w:t>
      </w:r>
      <w:r>
        <w:rPr>
          <w:spacing w:val="-15"/>
        </w:rPr>
        <w:t xml:space="preserve"> </w:t>
      </w:r>
      <w:r>
        <w:t>efectos</w:t>
      </w:r>
      <w:r>
        <w:rPr>
          <w:spacing w:val="-15"/>
        </w:rPr>
        <w:t xml:space="preserve"> </w:t>
      </w:r>
      <w:r>
        <w:t>sobre</w:t>
      </w:r>
      <w:r>
        <w:rPr>
          <w:spacing w:val="-15"/>
        </w:rPr>
        <w:t xml:space="preserve"> </w:t>
      </w:r>
      <w:r>
        <w:t>la</w:t>
      </w:r>
      <w:r>
        <w:rPr>
          <w:spacing w:val="-15"/>
        </w:rPr>
        <w:t xml:space="preserve"> </w:t>
      </w:r>
      <w:r>
        <w:t>concentración</w:t>
      </w:r>
      <w:r>
        <w:rPr>
          <w:spacing w:val="-15"/>
        </w:rPr>
        <w:t xml:space="preserve"> </w:t>
      </w:r>
      <w:r>
        <w:t>de</w:t>
      </w:r>
      <w:r>
        <w:rPr>
          <w:spacing w:val="-15"/>
        </w:rPr>
        <w:t xml:space="preserve"> </w:t>
      </w:r>
      <w:r>
        <w:t>la</w:t>
      </w:r>
      <w:r>
        <w:rPr>
          <w:spacing w:val="-15"/>
        </w:rPr>
        <w:t xml:space="preserve"> </w:t>
      </w:r>
      <w:r>
        <w:t>tierra</w:t>
      </w:r>
      <w:r>
        <w:rPr>
          <w:spacing w:val="-14"/>
        </w:rPr>
        <w:t xml:space="preserve"> </w:t>
      </w:r>
      <w:r>
        <w:t>no</w:t>
      </w:r>
      <w:r>
        <w:rPr>
          <w:spacing w:val="-15"/>
        </w:rPr>
        <w:t xml:space="preserve"> </w:t>
      </w:r>
      <w:r>
        <w:t>fueron</w:t>
      </w:r>
      <w:r>
        <w:rPr>
          <w:spacing w:val="-15"/>
        </w:rPr>
        <w:t xml:space="preserve"> </w:t>
      </w:r>
      <w:r>
        <w:t>significativos</w:t>
      </w:r>
      <w:r w:rsidR="00EB1F28">
        <w:rPr>
          <w:rStyle w:val="Refdenotaalpie"/>
        </w:rPr>
        <w:footnoteReference w:id="993"/>
      </w:r>
      <w:r>
        <w:t>,</w:t>
      </w:r>
      <w:r>
        <w:rPr>
          <w:spacing w:val="-15"/>
        </w:rPr>
        <w:t xml:space="preserve"> </w:t>
      </w:r>
      <w:r>
        <w:t>y</w:t>
      </w:r>
      <w:r>
        <w:rPr>
          <w:spacing w:val="-15"/>
        </w:rPr>
        <w:t xml:space="preserve"> </w:t>
      </w:r>
      <w:r>
        <w:t>al</w:t>
      </w:r>
      <w:r>
        <w:rPr>
          <w:spacing w:val="-15"/>
        </w:rPr>
        <w:t xml:space="preserve"> </w:t>
      </w:r>
      <w:r>
        <w:t xml:space="preserve">interior de las élites continuó predominando el sector que promovía la </w:t>
      </w:r>
      <w:r>
        <w:lastRenderedPageBreak/>
        <w:t>consolidación de la gran propiedad capitalista del campo</w:t>
      </w:r>
      <w:r w:rsidR="00EB1F28">
        <w:rPr>
          <w:rStyle w:val="Refdenotaalpie"/>
        </w:rPr>
        <w:footnoteReference w:id="994"/>
      </w:r>
      <w:r>
        <w:t>. Los conflictos agrarios de los años sesenta –que tienen repercusiones</w:t>
      </w:r>
      <w:r>
        <w:rPr>
          <w:spacing w:val="-15"/>
        </w:rPr>
        <w:t xml:space="preserve"> </w:t>
      </w:r>
      <w:r>
        <w:t>hasta</w:t>
      </w:r>
      <w:r>
        <w:rPr>
          <w:spacing w:val="-15"/>
        </w:rPr>
        <w:t xml:space="preserve"> </w:t>
      </w:r>
      <w:r>
        <w:t>nuestros</w:t>
      </w:r>
      <w:r>
        <w:rPr>
          <w:spacing w:val="-15"/>
        </w:rPr>
        <w:t xml:space="preserve"> </w:t>
      </w:r>
      <w:r>
        <w:t>días–</w:t>
      </w:r>
      <w:r>
        <w:rPr>
          <w:spacing w:val="-15"/>
        </w:rPr>
        <w:t xml:space="preserve"> </w:t>
      </w:r>
      <w:r>
        <w:t>solo</w:t>
      </w:r>
      <w:r>
        <w:rPr>
          <w:spacing w:val="-15"/>
        </w:rPr>
        <w:t xml:space="preserve"> </w:t>
      </w:r>
      <w:r>
        <w:t>se</w:t>
      </w:r>
      <w:r>
        <w:rPr>
          <w:spacing w:val="-15"/>
        </w:rPr>
        <w:t xml:space="preserve"> </w:t>
      </w:r>
      <w:r>
        <w:t>entienden</w:t>
      </w:r>
      <w:r>
        <w:rPr>
          <w:spacing w:val="-15"/>
        </w:rPr>
        <w:t xml:space="preserve"> </w:t>
      </w:r>
      <w:r>
        <w:t>por</w:t>
      </w:r>
      <w:r>
        <w:rPr>
          <w:spacing w:val="-15"/>
        </w:rPr>
        <w:t xml:space="preserve"> </w:t>
      </w:r>
      <w:r>
        <w:t>el</w:t>
      </w:r>
      <w:r>
        <w:rPr>
          <w:spacing w:val="-15"/>
        </w:rPr>
        <w:t xml:space="preserve"> </w:t>
      </w:r>
      <w:r>
        <w:t>fracaso</w:t>
      </w:r>
      <w:r>
        <w:rPr>
          <w:spacing w:val="-15"/>
        </w:rPr>
        <w:t xml:space="preserve"> </w:t>
      </w:r>
      <w:r>
        <w:t>de</w:t>
      </w:r>
      <w:r>
        <w:rPr>
          <w:spacing w:val="-15"/>
        </w:rPr>
        <w:t xml:space="preserve"> </w:t>
      </w:r>
      <w:r>
        <w:t>los</w:t>
      </w:r>
      <w:r>
        <w:rPr>
          <w:spacing w:val="-15"/>
        </w:rPr>
        <w:t xml:space="preserve"> </w:t>
      </w:r>
      <w:r>
        <w:t>intentos</w:t>
      </w:r>
      <w:r>
        <w:rPr>
          <w:spacing w:val="-15"/>
        </w:rPr>
        <w:t xml:space="preserve"> </w:t>
      </w:r>
      <w:r>
        <w:t>reformistas del Frente Nacional, producto de sus contradicciones internas tanto en sus objetivos (pacificación</w:t>
      </w:r>
      <w:r>
        <w:rPr>
          <w:spacing w:val="-5"/>
        </w:rPr>
        <w:t xml:space="preserve"> </w:t>
      </w:r>
      <w:r>
        <w:t>de</w:t>
      </w:r>
      <w:r>
        <w:rPr>
          <w:spacing w:val="-5"/>
        </w:rPr>
        <w:t xml:space="preserve"> </w:t>
      </w:r>
      <w:r>
        <w:t>la</w:t>
      </w:r>
      <w:r>
        <w:rPr>
          <w:spacing w:val="-5"/>
        </w:rPr>
        <w:t xml:space="preserve"> </w:t>
      </w:r>
      <w:r>
        <w:t>lucha</w:t>
      </w:r>
      <w:r>
        <w:rPr>
          <w:spacing w:val="-6"/>
        </w:rPr>
        <w:t xml:space="preserve"> </w:t>
      </w:r>
      <w:r>
        <w:t>política,</w:t>
      </w:r>
      <w:r>
        <w:rPr>
          <w:spacing w:val="-5"/>
        </w:rPr>
        <w:t xml:space="preserve"> </w:t>
      </w:r>
      <w:r>
        <w:t>reformismo</w:t>
      </w:r>
      <w:r>
        <w:rPr>
          <w:spacing w:val="-5"/>
        </w:rPr>
        <w:t xml:space="preserve"> </w:t>
      </w:r>
      <w:r>
        <w:t>social</w:t>
      </w:r>
      <w:r>
        <w:rPr>
          <w:spacing w:val="-4"/>
        </w:rPr>
        <w:t xml:space="preserve"> </w:t>
      </w:r>
      <w:r>
        <w:t>y</w:t>
      </w:r>
      <w:r>
        <w:rPr>
          <w:spacing w:val="-5"/>
        </w:rPr>
        <w:t xml:space="preserve"> </w:t>
      </w:r>
      <w:r>
        <w:t>desarrollo</w:t>
      </w:r>
      <w:r>
        <w:rPr>
          <w:spacing w:val="-5"/>
        </w:rPr>
        <w:t xml:space="preserve"> </w:t>
      </w:r>
      <w:r>
        <w:t>económico)</w:t>
      </w:r>
      <w:r>
        <w:rPr>
          <w:spacing w:val="-4"/>
        </w:rPr>
        <w:t xml:space="preserve"> </w:t>
      </w:r>
      <w:r>
        <w:t>como</w:t>
      </w:r>
      <w:r>
        <w:rPr>
          <w:spacing w:val="-5"/>
        </w:rPr>
        <w:t xml:space="preserve"> </w:t>
      </w:r>
      <w:r>
        <w:t>de</w:t>
      </w:r>
      <w:r>
        <w:rPr>
          <w:spacing w:val="-5"/>
        </w:rPr>
        <w:t xml:space="preserve"> </w:t>
      </w:r>
      <w:r>
        <w:t>en</w:t>
      </w:r>
      <w:r>
        <w:rPr>
          <w:spacing w:val="-5"/>
        </w:rPr>
        <w:t xml:space="preserve"> </w:t>
      </w:r>
      <w:r>
        <w:t xml:space="preserve">su composición (faccionalismo, enfrentamiento entre tecnócratas y reformistas y clientelismo </w:t>
      </w:r>
      <w:r>
        <w:rPr>
          <w:spacing w:val="-2"/>
        </w:rPr>
        <w:t>tradicional).</w:t>
      </w:r>
      <w:r w:rsidR="00EB1F28">
        <w:rPr>
          <w:rStyle w:val="Refdenotaalpie"/>
          <w:spacing w:val="-2"/>
        </w:rPr>
        <w:footnoteReference w:id="995"/>
      </w:r>
      <w:r w:rsidR="00EB1F28">
        <w:t xml:space="preserve"> </w:t>
      </w:r>
    </w:p>
    <w:p w:rsidR="003804AC" w:rsidRDefault="00AF18A5" w:rsidP="00EB1F28">
      <w:r>
        <w:t>El</w:t>
      </w:r>
      <w:r>
        <w:rPr>
          <w:spacing w:val="-4"/>
        </w:rPr>
        <w:t xml:space="preserve"> </w:t>
      </w:r>
      <w:r>
        <w:t>freno</w:t>
      </w:r>
      <w:r>
        <w:rPr>
          <w:spacing w:val="-5"/>
        </w:rPr>
        <w:t xml:space="preserve"> </w:t>
      </w:r>
      <w:r>
        <w:t>de</w:t>
      </w:r>
      <w:r>
        <w:rPr>
          <w:spacing w:val="-5"/>
        </w:rPr>
        <w:t xml:space="preserve"> </w:t>
      </w:r>
      <w:r>
        <w:t>las</w:t>
      </w:r>
      <w:r>
        <w:rPr>
          <w:spacing w:val="-5"/>
        </w:rPr>
        <w:t xml:space="preserve"> </w:t>
      </w:r>
      <w:r>
        <w:t>propuestas</w:t>
      </w:r>
      <w:r>
        <w:rPr>
          <w:spacing w:val="-5"/>
        </w:rPr>
        <w:t xml:space="preserve"> </w:t>
      </w:r>
      <w:r>
        <w:t>redistributivas,</w:t>
      </w:r>
      <w:r>
        <w:rPr>
          <w:spacing w:val="-5"/>
        </w:rPr>
        <w:t xml:space="preserve"> </w:t>
      </w:r>
      <w:r>
        <w:t>y</w:t>
      </w:r>
      <w:r>
        <w:rPr>
          <w:spacing w:val="-5"/>
        </w:rPr>
        <w:t xml:space="preserve"> </w:t>
      </w:r>
      <w:r>
        <w:t>la</w:t>
      </w:r>
      <w:r>
        <w:rPr>
          <w:spacing w:val="-5"/>
        </w:rPr>
        <w:t xml:space="preserve"> </w:t>
      </w:r>
      <w:r>
        <w:t>priorización</w:t>
      </w:r>
      <w:r>
        <w:rPr>
          <w:spacing w:val="-5"/>
        </w:rPr>
        <w:t xml:space="preserve"> </w:t>
      </w:r>
      <w:r>
        <w:t>de</w:t>
      </w:r>
      <w:r>
        <w:rPr>
          <w:spacing w:val="-6"/>
        </w:rPr>
        <w:t xml:space="preserve"> </w:t>
      </w:r>
      <w:r>
        <w:t>programas</w:t>
      </w:r>
      <w:r>
        <w:rPr>
          <w:spacing w:val="-5"/>
        </w:rPr>
        <w:t xml:space="preserve"> </w:t>
      </w:r>
      <w:r>
        <w:t>de</w:t>
      </w:r>
      <w:r>
        <w:rPr>
          <w:spacing w:val="-5"/>
        </w:rPr>
        <w:t xml:space="preserve"> </w:t>
      </w:r>
      <w:r>
        <w:t>colonización que no garantizaban en acompañamiento estatal y la provisión de bienes y servicios para hacer sostenible la economía campesina dio lugar, por un lado, a la continuación de la concentración latifundista, que luego el paramilitarismo y el narcotráfico profundizarían de manera más violenta y más rápida; y por otro, a la profundización de las desigualdades territoriales, la continuación de los conflictos agrarios y resistencias de los colonos a los mecanismos clientelistas de los partidos tradicionales; lo que al final se traduciría en la inserción de la insurgencia en las regiones de colonización. Adicionalmente, que el campesino</w:t>
      </w:r>
      <w:r>
        <w:rPr>
          <w:spacing w:val="-3"/>
        </w:rPr>
        <w:t xml:space="preserve"> </w:t>
      </w:r>
      <w:r>
        <w:t>ocupe</w:t>
      </w:r>
      <w:r>
        <w:rPr>
          <w:spacing w:val="-3"/>
        </w:rPr>
        <w:t xml:space="preserve"> </w:t>
      </w:r>
      <w:r>
        <w:t>tierras</w:t>
      </w:r>
      <w:r>
        <w:rPr>
          <w:spacing w:val="-5"/>
        </w:rPr>
        <w:t xml:space="preserve"> </w:t>
      </w:r>
      <w:r>
        <w:t>pendientes</w:t>
      </w:r>
      <w:r>
        <w:rPr>
          <w:spacing w:val="-3"/>
        </w:rPr>
        <w:t xml:space="preserve"> </w:t>
      </w:r>
      <w:r>
        <w:t>de</w:t>
      </w:r>
      <w:r>
        <w:rPr>
          <w:spacing w:val="-3"/>
        </w:rPr>
        <w:t xml:space="preserve"> </w:t>
      </w:r>
      <w:r>
        <w:t>las</w:t>
      </w:r>
      <w:r>
        <w:rPr>
          <w:spacing w:val="-3"/>
        </w:rPr>
        <w:t xml:space="preserve"> </w:t>
      </w:r>
      <w:r>
        <w:t>cordilleras</w:t>
      </w:r>
      <w:r>
        <w:rPr>
          <w:spacing w:val="-3"/>
        </w:rPr>
        <w:t xml:space="preserve"> </w:t>
      </w:r>
      <w:r>
        <w:t>y</w:t>
      </w:r>
      <w:r>
        <w:rPr>
          <w:spacing w:val="-3"/>
        </w:rPr>
        <w:t xml:space="preserve"> </w:t>
      </w:r>
      <w:r>
        <w:t>por</w:t>
      </w:r>
      <w:r>
        <w:rPr>
          <w:spacing w:val="-3"/>
        </w:rPr>
        <w:t xml:space="preserve"> </w:t>
      </w:r>
      <w:r>
        <w:t>fuera</w:t>
      </w:r>
      <w:r>
        <w:rPr>
          <w:spacing w:val="-3"/>
        </w:rPr>
        <w:t xml:space="preserve"> </w:t>
      </w:r>
      <w:r>
        <w:t>de</w:t>
      </w:r>
      <w:r>
        <w:rPr>
          <w:spacing w:val="-3"/>
        </w:rPr>
        <w:t xml:space="preserve"> </w:t>
      </w:r>
      <w:r>
        <w:t>la</w:t>
      </w:r>
      <w:r>
        <w:rPr>
          <w:spacing w:val="-4"/>
        </w:rPr>
        <w:t xml:space="preserve"> </w:t>
      </w:r>
      <w:r>
        <w:t>frontera</w:t>
      </w:r>
      <w:r>
        <w:rPr>
          <w:spacing w:val="-3"/>
        </w:rPr>
        <w:t xml:space="preserve"> </w:t>
      </w:r>
      <w:r>
        <w:t>agraria</w:t>
      </w:r>
      <w:r>
        <w:rPr>
          <w:spacing w:val="-3"/>
        </w:rPr>
        <w:t xml:space="preserve"> </w:t>
      </w:r>
      <w:r>
        <w:t>tiene consecuencias ambientales negativas, incluso sobre los valles</w:t>
      </w:r>
      <w:r>
        <w:rPr>
          <w:spacing w:val="-1"/>
        </w:rPr>
        <w:t xml:space="preserve"> </w:t>
      </w:r>
      <w:r>
        <w:t>fértiles. La</w:t>
      </w:r>
      <w:r>
        <w:rPr>
          <w:spacing w:val="-1"/>
        </w:rPr>
        <w:t xml:space="preserve"> </w:t>
      </w:r>
      <w:r>
        <w:t>deforestación</w:t>
      </w:r>
      <w:r>
        <w:rPr>
          <w:spacing w:val="-1"/>
        </w:rPr>
        <w:t xml:space="preserve"> </w:t>
      </w:r>
      <w:r>
        <w:t>y la recarga de</w:t>
      </w:r>
      <w:r>
        <w:rPr>
          <w:spacing w:val="-1"/>
        </w:rPr>
        <w:t xml:space="preserve"> </w:t>
      </w:r>
      <w:r>
        <w:t>los acuíferos,</w:t>
      </w:r>
      <w:r>
        <w:rPr>
          <w:spacing w:val="-1"/>
        </w:rPr>
        <w:t xml:space="preserve"> </w:t>
      </w:r>
      <w:r>
        <w:t>genera</w:t>
      </w:r>
      <w:r>
        <w:rPr>
          <w:spacing w:val="-1"/>
        </w:rPr>
        <w:t xml:space="preserve"> </w:t>
      </w:r>
      <w:r>
        <w:t>disminución de</w:t>
      </w:r>
      <w:r>
        <w:rPr>
          <w:spacing w:val="-1"/>
        </w:rPr>
        <w:t xml:space="preserve"> </w:t>
      </w:r>
      <w:r>
        <w:t>los</w:t>
      </w:r>
      <w:r>
        <w:rPr>
          <w:spacing w:val="-1"/>
        </w:rPr>
        <w:t xml:space="preserve"> </w:t>
      </w:r>
      <w:r>
        <w:t>caudales de ríos y</w:t>
      </w:r>
      <w:r>
        <w:rPr>
          <w:spacing w:val="-1"/>
        </w:rPr>
        <w:t xml:space="preserve"> </w:t>
      </w:r>
      <w:r>
        <w:t>quebradas,</w:t>
      </w:r>
      <w:r>
        <w:rPr>
          <w:spacing w:val="-1"/>
        </w:rPr>
        <w:t xml:space="preserve"> </w:t>
      </w:r>
      <w:r>
        <w:t>la</w:t>
      </w:r>
      <w:r>
        <w:rPr>
          <w:spacing w:val="-2"/>
        </w:rPr>
        <w:t xml:space="preserve"> </w:t>
      </w:r>
      <w:r>
        <w:t>erosión de los suelos y la colmatación de los cauces del sistema hídrico en los valles –que causa inundaciones</w:t>
      </w:r>
      <w:r>
        <w:rPr>
          <w:spacing w:val="-6"/>
        </w:rPr>
        <w:t xml:space="preserve"> </w:t>
      </w:r>
      <w:r>
        <w:t>en</w:t>
      </w:r>
      <w:r>
        <w:rPr>
          <w:spacing w:val="-6"/>
        </w:rPr>
        <w:t xml:space="preserve"> </w:t>
      </w:r>
      <w:r>
        <w:t>invierno</w:t>
      </w:r>
      <w:r>
        <w:rPr>
          <w:spacing w:val="-6"/>
        </w:rPr>
        <w:t xml:space="preserve"> </w:t>
      </w:r>
      <w:r>
        <w:t>y</w:t>
      </w:r>
      <w:r>
        <w:rPr>
          <w:spacing w:val="-6"/>
        </w:rPr>
        <w:t xml:space="preserve"> </w:t>
      </w:r>
      <w:r>
        <w:t>la</w:t>
      </w:r>
      <w:r>
        <w:rPr>
          <w:spacing w:val="-6"/>
        </w:rPr>
        <w:t xml:space="preserve"> </w:t>
      </w:r>
      <w:r>
        <w:t>destrucción</w:t>
      </w:r>
      <w:r>
        <w:rPr>
          <w:spacing w:val="-6"/>
        </w:rPr>
        <w:t xml:space="preserve"> </w:t>
      </w:r>
      <w:r>
        <w:t>de</w:t>
      </w:r>
      <w:r>
        <w:rPr>
          <w:spacing w:val="-6"/>
        </w:rPr>
        <w:t xml:space="preserve"> </w:t>
      </w:r>
      <w:r>
        <w:t>ecosistemas</w:t>
      </w:r>
      <w:r>
        <w:rPr>
          <w:spacing w:val="-6"/>
        </w:rPr>
        <w:t xml:space="preserve"> </w:t>
      </w:r>
      <w:r>
        <w:t>sin</w:t>
      </w:r>
      <w:r>
        <w:rPr>
          <w:spacing w:val="-6"/>
        </w:rPr>
        <w:t xml:space="preserve"> </w:t>
      </w:r>
      <w:r>
        <w:t>vocación</w:t>
      </w:r>
      <w:r>
        <w:rPr>
          <w:spacing w:val="-6"/>
        </w:rPr>
        <w:t xml:space="preserve"> </w:t>
      </w:r>
      <w:r>
        <w:t>agraria</w:t>
      </w:r>
      <w:r>
        <w:rPr>
          <w:spacing w:val="-6"/>
        </w:rPr>
        <w:t xml:space="preserve"> </w:t>
      </w:r>
      <w:r>
        <w:t>ni</w:t>
      </w:r>
      <w:r>
        <w:rPr>
          <w:spacing w:val="-5"/>
        </w:rPr>
        <w:t xml:space="preserve"> </w:t>
      </w:r>
      <w:r>
        <w:t>ganadera</w:t>
      </w:r>
      <w:r>
        <w:rPr>
          <w:spacing w:val="-6"/>
        </w:rPr>
        <w:t xml:space="preserve"> </w:t>
      </w:r>
      <w:r>
        <w:t>– como son zonas de la Amazonía y el Pacífico.</w:t>
      </w:r>
    </w:p>
    <w:p w:rsidR="003804AC" w:rsidRDefault="00AF18A5" w:rsidP="00EB1F28">
      <w:r>
        <w:lastRenderedPageBreak/>
        <w:t>Después de los esfuerzos de reforma agraria, en la política pública se acogió la idea de garantizar</w:t>
      </w:r>
      <w:r>
        <w:rPr>
          <w:spacing w:val="16"/>
        </w:rPr>
        <w:t xml:space="preserve"> </w:t>
      </w:r>
      <w:r>
        <w:t>la</w:t>
      </w:r>
      <w:r>
        <w:rPr>
          <w:spacing w:val="17"/>
        </w:rPr>
        <w:t xml:space="preserve"> </w:t>
      </w:r>
      <w:r>
        <w:t>explotación</w:t>
      </w:r>
      <w:r>
        <w:rPr>
          <w:spacing w:val="17"/>
        </w:rPr>
        <w:t xml:space="preserve"> </w:t>
      </w:r>
      <w:r>
        <w:t>económica</w:t>
      </w:r>
      <w:r>
        <w:rPr>
          <w:spacing w:val="17"/>
        </w:rPr>
        <w:t xml:space="preserve"> </w:t>
      </w:r>
      <w:r>
        <w:t>de</w:t>
      </w:r>
      <w:r>
        <w:rPr>
          <w:spacing w:val="18"/>
        </w:rPr>
        <w:t xml:space="preserve"> </w:t>
      </w:r>
      <w:r>
        <w:t>la</w:t>
      </w:r>
      <w:r>
        <w:rPr>
          <w:spacing w:val="17"/>
        </w:rPr>
        <w:t xml:space="preserve"> </w:t>
      </w:r>
      <w:r>
        <w:t>tierra</w:t>
      </w:r>
      <w:r>
        <w:rPr>
          <w:spacing w:val="17"/>
        </w:rPr>
        <w:t xml:space="preserve"> </w:t>
      </w:r>
      <w:r>
        <w:t>y</w:t>
      </w:r>
      <w:r>
        <w:rPr>
          <w:spacing w:val="18"/>
        </w:rPr>
        <w:t xml:space="preserve"> </w:t>
      </w:r>
      <w:r>
        <w:t>promover</w:t>
      </w:r>
      <w:r>
        <w:rPr>
          <w:spacing w:val="17"/>
        </w:rPr>
        <w:t xml:space="preserve"> </w:t>
      </w:r>
      <w:r>
        <w:t>la</w:t>
      </w:r>
      <w:r>
        <w:rPr>
          <w:spacing w:val="18"/>
        </w:rPr>
        <w:t xml:space="preserve"> </w:t>
      </w:r>
      <w:r>
        <w:t>urbanización</w:t>
      </w:r>
      <w:r>
        <w:rPr>
          <w:spacing w:val="18"/>
        </w:rPr>
        <w:t xml:space="preserve"> </w:t>
      </w:r>
      <w:r>
        <w:t>para</w:t>
      </w:r>
      <w:r>
        <w:rPr>
          <w:spacing w:val="18"/>
        </w:rPr>
        <w:t xml:space="preserve"> </w:t>
      </w:r>
      <w:r>
        <w:rPr>
          <w:spacing w:val="-2"/>
        </w:rPr>
        <w:t>resolver</w:t>
      </w:r>
      <w:bookmarkStart w:id="1234" w:name="_bookmark1091"/>
      <w:bookmarkStart w:id="1235" w:name="_bookmark1092"/>
      <w:bookmarkStart w:id="1236" w:name="_bookmark1093"/>
      <w:bookmarkEnd w:id="1234"/>
      <w:bookmarkEnd w:id="1235"/>
      <w:bookmarkEnd w:id="1236"/>
      <w:r w:rsidR="00EB1F28">
        <w:rPr>
          <w:spacing w:val="-2"/>
        </w:rPr>
        <w:t xml:space="preserve"> </w:t>
      </w:r>
      <w:r>
        <w:t>esa</w:t>
      </w:r>
      <w:r>
        <w:rPr>
          <w:spacing w:val="-4"/>
        </w:rPr>
        <w:t xml:space="preserve"> </w:t>
      </w:r>
      <w:r>
        <w:t>larga</w:t>
      </w:r>
      <w:r>
        <w:rPr>
          <w:spacing w:val="-4"/>
        </w:rPr>
        <w:t xml:space="preserve"> </w:t>
      </w:r>
      <w:r>
        <w:t>confrontación.</w:t>
      </w:r>
      <w:r>
        <w:rPr>
          <w:spacing w:val="-6"/>
        </w:rPr>
        <w:t xml:space="preserve"> </w:t>
      </w:r>
      <w:r>
        <w:t>El</w:t>
      </w:r>
      <w:r>
        <w:rPr>
          <w:spacing w:val="-4"/>
        </w:rPr>
        <w:t xml:space="preserve"> </w:t>
      </w:r>
      <w:r>
        <w:t>9</w:t>
      </w:r>
      <w:r>
        <w:rPr>
          <w:spacing w:val="-5"/>
        </w:rPr>
        <w:t xml:space="preserve"> </w:t>
      </w:r>
      <w:r>
        <w:t>de</w:t>
      </w:r>
      <w:r>
        <w:rPr>
          <w:spacing w:val="-4"/>
        </w:rPr>
        <w:t xml:space="preserve"> </w:t>
      </w:r>
      <w:r>
        <w:t>enero</w:t>
      </w:r>
      <w:r>
        <w:rPr>
          <w:spacing w:val="-5"/>
        </w:rPr>
        <w:t xml:space="preserve"> </w:t>
      </w:r>
      <w:r>
        <w:t>de</w:t>
      </w:r>
      <w:r>
        <w:rPr>
          <w:spacing w:val="-4"/>
        </w:rPr>
        <w:t xml:space="preserve"> </w:t>
      </w:r>
      <w:r>
        <w:t>1972,</w:t>
      </w:r>
      <w:r>
        <w:rPr>
          <w:spacing w:val="-5"/>
        </w:rPr>
        <w:t xml:space="preserve"> </w:t>
      </w:r>
      <w:r>
        <w:t>bajo</w:t>
      </w:r>
      <w:r>
        <w:rPr>
          <w:spacing w:val="-5"/>
        </w:rPr>
        <w:t xml:space="preserve"> </w:t>
      </w:r>
      <w:r>
        <w:t>el</w:t>
      </w:r>
      <w:r>
        <w:rPr>
          <w:spacing w:val="-4"/>
        </w:rPr>
        <w:t xml:space="preserve"> </w:t>
      </w:r>
      <w:r>
        <w:t>gobierno</w:t>
      </w:r>
      <w:r>
        <w:rPr>
          <w:spacing w:val="-5"/>
        </w:rPr>
        <w:t xml:space="preserve"> </w:t>
      </w:r>
      <w:r>
        <w:t>de</w:t>
      </w:r>
      <w:r>
        <w:rPr>
          <w:spacing w:val="-4"/>
        </w:rPr>
        <w:t xml:space="preserve"> </w:t>
      </w:r>
      <w:r>
        <w:t>Misael</w:t>
      </w:r>
      <w:r>
        <w:rPr>
          <w:spacing w:val="-4"/>
        </w:rPr>
        <w:t xml:space="preserve"> </w:t>
      </w:r>
      <w:r>
        <w:t>Pastrana</w:t>
      </w:r>
      <w:r>
        <w:rPr>
          <w:spacing w:val="-4"/>
        </w:rPr>
        <w:t xml:space="preserve"> </w:t>
      </w:r>
      <w:r>
        <w:t>Borrero (1970-1974),</w:t>
      </w:r>
      <w:r>
        <w:rPr>
          <w:spacing w:val="-2"/>
        </w:rPr>
        <w:t xml:space="preserve"> </w:t>
      </w:r>
      <w:r>
        <w:t>se</w:t>
      </w:r>
      <w:r>
        <w:rPr>
          <w:spacing w:val="-2"/>
        </w:rPr>
        <w:t xml:space="preserve"> </w:t>
      </w:r>
      <w:r>
        <w:t>firmó</w:t>
      </w:r>
      <w:r>
        <w:rPr>
          <w:spacing w:val="-3"/>
        </w:rPr>
        <w:t xml:space="preserve"> </w:t>
      </w:r>
      <w:r>
        <w:t>entre</w:t>
      </w:r>
      <w:r>
        <w:rPr>
          <w:spacing w:val="-3"/>
        </w:rPr>
        <w:t xml:space="preserve"> </w:t>
      </w:r>
      <w:r>
        <w:t>los</w:t>
      </w:r>
      <w:r>
        <w:rPr>
          <w:spacing w:val="-2"/>
        </w:rPr>
        <w:t xml:space="preserve"> </w:t>
      </w:r>
      <w:r>
        <w:t>partidos</w:t>
      </w:r>
      <w:r>
        <w:rPr>
          <w:spacing w:val="-2"/>
        </w:rPr>
        <w:t xml:space="preserve"> </w:t>
      </w:r>
      <w:r>
        <w:t>tradicionales</w:t>
      </w:r>
      <w:r>
        <w:rPr>
          <w:spacing w:val="-2"/>
        </w:rPr>
        <w:t xml:space="preserve"> </w:t>
      </w:r>
      <w:r>
        <w:t>y</w:t>
      </w:r>
      <w:r>
        <w:rPr>
          <w:spacing w:val="-3"/>
        </w:rPr>
        <w:t xml:space="preserve"> </w:t>
      </w:r>
      <w:r>
        <w:t>los</w:t>
      </w:r>
      <w:r>
        <w:rPr>
          <w:spacing w:val="-2"/>
        </w:rPr>
        <w:t xml:space="preserve"> </w:t>
      </w:r>
      <w:r>
        <w:t>gremios</w:t>
      </w:r>
      <w:r>
        <w:rPr>
          <w:spacing w:val="-2"/>
        </w:rPr>
        <w:t xml:space="preserve"> </w:t>
      </w:r>
      <w:r>
        <w:t>de</w:t>
      </w:r>
      <w:r>
        <w:rPr>
          <w:spacing w:val="-2"/>
        </w:rPr>
        <w:t xml:space="preserve"> </w:t>
      </w:r>
      <w:r>
        <w:t>propietarios</w:t>
      </w:r>
      <w:r>
        <w:rPr>
          <w:spacing w:val="-3"/>
        </w:rPr>
        <w:t xml:space="preserve"> </w:t>
      </w:r>
      <w:r>
        <w:t>el</w:t>
      </w:r>
      <w:r>
        <w:rPr>
          <w:spacing w:val="-3"/>
        </w:rPr>
        <w:t xml:space="preserve"> </w:t>
      </w:r>
      <w:r>
        <w:t>Pacto de</w:t>
      </w:r>
      <w:r>
        <w:rPr>
          <w:spacing w:val="-5"/>
        </w:rPr>
        <w:t xml:space="preserve"> </w:t>
      </w:r>
      <w:proofErr w:type="spellStart"/>
      <w:r>
        <w:t>Chicoral</w:t>
      </w:r>
      <w:proofErr w:type="spellEnd"/>
      <w:r>
        <w:t>,</w:t>
      </w:r>
      <w:r>
        <w:rPr>
          <w:spacing w:val="-6"/>
        </w:rPr>
        <w:t xml:space="preserve"> </w:t>
      </w:r>
      <w:r>
        <w:t>que</w:t>
      </w:r>
      <w:r>
        <w:rPr>
          <w:spacing w:val="-5"/>
        </w:rPr>
        <w:t xml:space="preserve"> </w:t>
      </w:r>
      <w:r>
        <w:t>puso</w:t>
      </w:r>
      <w:r>
        <w:rPr>
          <w:spacing w:val="-5"/>
        </w:rPr>
        <w:t xml:space="preserve"> </w:t>
      </w:r>
      <w:r>
        <w:t>fin</w:t>
      </w:r>
      <w:r>
        <w:rPr>
          <w:spacing w:val="-5"/>
        </w:rPr>
        <w:t xml:space="preserve"> </w:t>
      </w:r>
      <w:r>
        <w:t>a</w:t>
      </w:r>
      <w:r>
        <w:rPr>
          <w:spacing w:val="-5"/>
        </w:rPr>
        <w:t xml:space="preserve"> </w:t>
      </w:r>
      <w:r>
        <w:t>la</w:t>
      </w:r>
      <w:r>
        <w:rPr>
          <w:spacing w:val="-5"/>
        </w:rPr>
        <w:t xml:space="preserve"> </w:t>
      </w:r>
      <w:r>
        <w:t>reforma</w:t>
      </w:r>
      <w:r>
        <w:rPr>
          <w:spacing w:val="-5"/>
        </w:rPr>
        <w:t xml:space="preserve"> </w:t>
      </w:r>
      <w:r>
        <w:t>agraria.</w:t>
      </w:r>
      <w:r>
        <w:rPr>
          <w:spacing w:val="-5"/>
        </w:rPr>
        <w:t xml:space="preserve"> </w:t>
      </w:r>
      <w:r>
        <w:t>El</w:t>
      </w:r>
      <w:r>
        <w:rPr>
          <w:spacing w:val="-4"/>
        </w:rPr>
        <w:t xml:space="preserve"> </w:t>
      </w:r>
      <w:r>
        <w:t>gobierno</w:t>
      </w:r>
      <w:r>
        <w:rPr>
          <w:spacing w:val="-5"/>
        </w:rPr>
        <w:t xml:space="preserve"> </w:t>
      </w:r>
      <w:r>
        <w:t>convocó</w:t>
      </w:r>
      <w:r>
        <w:rPr>
          <w:spacing w:val="-5"/>
        </w:rPr>
        <w:t xml:space="preserve"> </w:t>
      </w:r>
      <w:r>
        <w:t>a</w:t>
      </w:r>
      <w:r>
        <w:rPr>
          <w:spacing w:val="-5"/>
        </w:rPr>
        <w:t xml:space="preserve"> </w:t>
      </w:r>
      <w:r>
        <w:t>las</w:t>
      </w:r>
      <w:r>
        <w:rPr>
          <w:spacing w:val="-5"/>
        </w:rPr>
        <w:t xml:space="preserve"> </w:t>
      </w:r>
      <w:r>
        <w:t>fuerzas</w:t>
      </w:r>
      <w:r>
        <w:rPr>
          <w:spacing w:val="-5"/>
        </w:rPr>
        <w:t xml:space="preserve"> </w:t>
      </w:r>
      <w:r>
        <w:t>políticas,</w:t>
      </w:r>
      <w:r>
        <w:rPr>
          <w:spacing w:val="-5"/>
        </w:rPr>
        <w:t xml:space="preserve"> </w:t>
      </w:r>
      <w:r>
        <w:t>a los</w:t>
      </w:r>
      <w:r>
        <w:rPr>
          <w:spacing w:val="-5"/>
        </w:rPr>
        <w:t xml:space="preserve"> </w:t>
      </w:r>
      <w:r>
        <w:t>ganaderos,</w:t>
      </w:r>
      <w:r>
        <w:rPr>
          <w:spacing w:val="-5"/>
        </w:rPr>
        <w:t xml:space="preserve"> </w:t>
      </w:r>
      <w:r>
        <w:t>arroceros</w:t>
      </w:r>
      <w:r>
        <w:rPr>
          <w:spacing w:val="-6"/>
        </w:rPr>
        <w:t xml:space="preserve"> </w:t>
      </w:r>
      <w:r>
        <w:t>y</w:t>
      </w:r>
      <w:r>
        <w:rPr>
          <w:spacing w:val="-5"/>
        </w:rPr>
        <w:t xml:space="preserve"> </w:t>
      </w:r>
      <w:r>
        <w:t>bananeros</w:t>
      </w:r>
      <w:r>
        <w:rPr>
          <w:spacing w:val="-6"/>
        </w:rPr>
        <w:t xml:space="preserve"> </w:t>
      </w:r>
      <w:r>
        <w:t>y</w:t>
      </w:r>
      <w:r>
        <w:rPr>
          <w:spacing w:val="-5"/>
        </w:rPr>
        <w:t xml:space="preserve"> </w:t>
      </w:r>
      <w:r>
        <w:t>a</w:t>
      </w:r>
      <w:r>
        <w:rPr>
          <w:spacing w:val="-5"/>
        </w:rPr>
        <w:t xml:space="preserve"> </w:t>
      </w:r>
      <w:r>
        <w:t>los</w:t>
      </w:r>
      <w:r>
        <w:rPr>
          <w:spacing w:val="-5"/>
        </w:rPr>
        <w:t xml:space="preserve"> </w:t>
      </w:r>
      <w:r>
        <w:t>latifundistas.</w:t>
      </w:r>
      <w:r>
        <w:rPr>
          <w:spacing w:val="-5"/>
        </w:rPr>
        <w:t xml:space="preserve"> </w:t>
      </w:r>
      <w:r>
        <w:t>Desde</w:t>
      </w:r>
      <w:r>
        <w:rPr>
          <w:spacing w:val="-5"/>
        </w:rPr>
        <w:t xml:space="preserve"> </w:t>
      </w:r>
      <w:r>
        <w:t>entonces,</w:t>
      </w:r>
      <w:r>
        <w:rPr>
          <w:spacing w:val="-6"/>
        </w:rPr>
        <w:t xml:space="preserve"> </w:t>
      </w:r>
      <w:r>
        <w:t>la</w:t>
      </w:r>
      <w:r>
        <w:rPr>
          <w:spacing w:val="-5"/>
        </w:rPr>
        <w:t xml:space="preserve"> </w:t>
      </w:r>
      <w:r>
        <w:t>política</w:t>
      </w:r>
      <w:r>
        <w:rPr>
          <w:spacing w:val="-5"/>
        </w:rPr>
        <w:t xml:space="preserve"> </w:t>
      </w:r>
      <w:r>
        <w:t xml:space="preserve">estatal hacia el campo abandonó la redistribución y en su lugar privilegió el </w:t>
      </w:r>
      <w:r>
        <w:rPr>
          <w:i/>
        </w:rPr>
        <w:t xml:space="preserve">statu quo </w:t>
      </w:r>
      <w:r>
        <w:t>de la propiedad de la tierra, aun cuando esta fuera improductiva. Los sectores de las élites regionales</w:t>
      </w:r>
      <w:r>
        <w:rPr>
          <w:spacing w:val="-10"/>
        </w:rPr>
        <w:t xml:space="preserve"> </w:t>
      </w:r>
      <w:r>
        <w:t>que</w:t>
      </w:r>
      <w:r>
        <w:rPr>
          <w:spacing w:val="-9"/>
        </w:rPr>
        <w:t xml:space="preserve"> </w:t>
      </w:r>
      <w:r>
        <w:t>habían</w:t>
      </w:r>
      <w:r>
        <w:rPr>
          <w:spacing w:val="-9"/>
        </w:rPr>
        <w:t xml:space="preserve"> </w:t>
      </w:r>
      <w:r>
        <w:t>conseguido</w:t>
      </w:r>
      <w:r>
        <w:rPr>
          <w:spacing w:val="-11"/>
        </w:rPr>
        <w:t xml:space="preserve"> </w:t>
      </w:r>
      <w:r>
        <w:t>su</w:t>
      </w:r>
      <w:r>
        <w:rPr>
          <w:spacing w:val="-11"/>
        </w:rPr>
        <w:t xml:space="preserve"> </w:t>
      </w:r>
      <w:r>
        <w:t>poder</w:t>
      </w:r>
      <w:r>
        <w:rPr>
          <w:spacing w:val="-9"/>
        </w:rPr>
        <w:t xml:space="preserve"> </w:t>
      </w:r>
      <w:r>
        <w:t>político</w:t>
      </w:r>
      <w:r>
        <w:rPr>
          <w:spacing w:val="-9"/>
        </w:rPr>
        <w:t xml:space="preserve"> </w:t>
      </w:r>
      <w:r>
        <w:t>gracias</w:t>
      </w:r>
      <w:r>
        <w:rPr>
          <w:spacing w:val="-10"/>
        </w:rPr>
        <w:t xml:space="preserve"> </w:t>
      </w:r>
      <w:r>
        <w:t>a</w:t>
      </w:r>
      <w:r>
        <w:rPr>
          <w:spacing w:val="-10"/>
        </w:rPr>
        <w:t xml:space="preserve"> </w:t>
      </w:r>
      <w:r>
        <w:t>la</w:t>
      </w:r>
      <w:r>
        <w:rPr>
          <w:spacing w:val="-9"/>
        </w:rPr>
        <w:t xml:space="preserve"> </w:t>
      </w:r>
      <w:r>
        <w:t>acumulación</w:t>
      </w:r>
      <w:r>
        <w:rPr>
          <w:spacing w:val="-9"/>
        </w:rPr>
        <w:t xml:space="preserve"> </w:t>
      </w:r>
      <w:r>
        <w:t>de</w:t>
      </w:r>
      <w:r>
        <w:rPr>
          <w:spacing w:val="-10"/>
        </w:rPr>
        <w:t xml:space="preserve"> </w:t>
      </w:r>
      <w:r>
        <w:t>los</w:t>
      </w:r>
      <w:r>
        <w:rPr>
          <w:spacing w:val="-9"/>
        </w:rPr>
        <w:t xml:space="preserve"> </w:t>
      </w:r>
      <w:r>
        <w:t xml:space="preserve">derechos de propiedad sobre la tierra, lograron mantener una posición privilegiada para impulsar su </w:t>
      </w:r>
      <w:r>
        <w:rPr>
          <w:spacing w:val="-2"/>
        </w:rPr>
        <w:t>agenda:</w:t>
      </w:r>
    </w:p>
    <w:p w:rsidR="003804AC" w:rsidRDefault="00AF18A5" w:rsidP="00C94F08">
      <w:r>
        <w:t>(…) la presencia de ambos partidos en lo local no se reducía, pero sí pasaba, por el poder terrateniente. Por consiguiente, los partidos tuvieron siempre muy buenas razones para no hostilizar a sus terratenientes. Los reformistas agrarios -en su mayoría provenientes del Partido Liberal- se enfrentaron por tanto al siguiente dilema:</w:t>
      </w:r>
      <w:r>
        <w:rPr>
          <w:spacing w:val="-13"/>
        </w:rPr>
        <w:t xml:space="preserve"> </w:t>
      </w:r>
      <w:r>
        <w:t>como</w:t>
      </w:r>
      <w:r>
        <w:rPr>
          <w:spacing w:val="-12"/>
        </w:rPr>
        <w:t xml:space="preserve"> </w:t>
      </w:r>
      <w:r>
        <w:t>partido</w:t>
      </w:r>
      <w:r>
        <w:rPr>
          <w:spacing w:val="-13"/>
        </w:rPr>
        <w:t xml:space="preserve"> </w:t>
      </w:r>
      <w:r>
        <w:t>centrista</w:t>
      </w:r>
      <w:r>
        <w:rPr>
          <w:spacing w:val="-13"/>
        </w:rPr>
        <w:t xml:space="preserve"> </w:t>
      </w:r>
      <w:r>
        <w:t>tenían</w:t>
      </w:r>
      <w:r>
        <w:rPr>
          <w:spacing w:val="-12"/>
        </w:rPr>
        <w:t xml:space="preserve"> </w:t>
      </w:r>
      <w:r>
        <w:t>que</w:t>
      </w:r>
      <w:r>
        <w:rPr>
          <w:spacing w:val="-12"/>
        </w:rPr>
        <w:t xml:space="preserve"> </w:t>
      </w:r>
      <w:r>
        <w:t>maximizar</w:t>
      </w:r>
      <w:r>
        <w:rPr>
          <w:spacing w:val="-11"/>
        </w:rPr>
        <w:t xml:space="preserve"> </w:t>
      </w:r>
      <w:r>
        <w:t>votos</w:t>
      </w:r>
      <w:r>
        <w:rPr>
          <w:spacing w:val="-13"/>
        </w:rPr>
        <w:t xml:space="preserve"> </w:t>
      </w:r>
      <w:r>
        <w:t>y,</w:t>
      </w:r>
      <w:r>
        <w:rPr>
          <w:spacing w:val="-12"/>
        </w:rPr>
        <w:t xml:space="preserve"> </w:t>
      </w:r>
      <w:r>
        <w:t>por</w:t>
      </w:r>
      <w:r>
        <w:rPr>
          <w:spacing w:val="-13"/>
        </w:rPr>
        <w:t xml:space="preserve"> </w:t>
      </w:r>
      <w:r>
        <w:t>tanto,</w:t>
      </w:r>
      <w:r>
        <w:rPr>
          <w:spacing w:val="-14"/>
        </w:rPr>
        <w:t xml:space="preserve"> </w:t>
      </w:r>
      <w:r>
        <w:t>preservar</w:t>
      </w:r>
      <w:r>
        <w:rPr>
          <w:spacing w:val="-13"/>
        </w:rPr>
        <w:t xml:space="preserve"> </w:t>
      </w:r>
      <w:r>
        <w:t>sus bases de poder territorial, pero a la vez querían impulsar su agenda de cambios. A esta contradicción básica -y no a la “falta de voluntad política”- se debe atribuir el descarrilamiento de diversas intentonas de reforma, al margen que han tenido las élites</w:t>
      </w:r>
      <w:r>
        <w:rPr>
          <w:spacing w:val="-7"/>
        </w:rPr>
        <w:t xml:space="preserve"> </w:t>
      </w:r>
      <w:r>
        <w:t>agrarias</w:t>
      </w:r>
      <w:r>
        <w:rPr>
          <w:spacing w:val="-6"/>
        </w:rPr>
        <w:t xml:space="preserve"> </w:t>
      </w:r>
      <w:r>
        <w:t>para</w:t>
      </w:r>
      <w:r>
        <w:rPr>
          <w:spacing w:val="-6"/>
        </w:rPr>
        <w:t xml:space="preserve"> </w:t>
      </w:r>
      <w:r>
        <w:t>disparar</w:t>
      </w:r>
      <w:r>
        <w:rPr>
          <w:spacing w:val="-7"/>
        </w:rPr>
        <w:t xml:space="preserve"> </w:t>
      </w:r>
      <w:r>
        <w:t>contra</w:t>
      </w:r>
      <w:r>
        <w:rPr>
          <w:spacing w:val="-7"/>
        </w:rPr>
        <w:t xml:space="preserve"> </w:t>
      </w:r>
      <w:r>
        <w:t>la</w:t>
      </w:r>
      <w:r>
        <w:rPr>
          <w:spacing w:val="-6"/>
        </w:rPr>
        <w:t xml:space="preserve"> </w:t>
      </w:r>
      <w:r>
        <w:t>población</w:t>
      </w:r>
      <w:r>
        <w:rPr>
          <w:spacing w:val="-8"/>
        </w:rPr>
        <w:t xml:space="preserve"> </w:t>
      </w:r>
      <w:r>
        <w:t>en</w:t>
      </w:r>
      <w:r>
        <w:rPr>
          <w:spacing w:val="-6"/>
        </w:rPr>
        <w:t xml:space="preserve"> </w:t>
      </w:r>
      <w:r>
        <w:t>nombre</w:t>
      </w:r>
      <w:r>
        <w:rPr>
          <w:spacing w:val="-6"/>
        </w:rPr>
        <w:t xml:space="preserve"> </w:t>
      </w:r>
      <w:r>
        <w:t>de</w:t>
      </w:r>
      <w:r>
        <w:rPr>
          <w:spacing w:val="-6"/>
        </w:rPr>
        <w:t xml:space="preserve"> </w:t>
      </w:r>
      <w:r>
        <w:t>la</w:t>
      </w:r>
      <w:r>
        <w:rPr>
          <w:spacing w:val="-7"/>
        </w:rPr>
        <w:t xml:space="preserve"> </w:t>
      </w:r>
      <w:r>
        <w:t>defensa</w:t>
      </w:r>
      <w:r>
        <w:rPr>
          <w:spacing w:val="-8"/>
        </w:rPr>
        <w:t xml:space="preserve"> </w:t>
      </w:r>
      <w:r>
        <w:t>del</w:t>
      </w:r>
      <w:r>
        <w:rPr>
          <w:spacing w:val="-5"/>
        </w:rPr>
        <w:t xml:space="preserve"> </w:t>
      </w:r>
      <w:r>
        <w:t>sistema, del Gobierno o de la propiedad</w:t>
      </w:r>
      <w:r w:rsidR="00C94F08">
        <w:rPr>
          <w:rStyle w:val="Refdenotaalpie"/>
        </w:rPr>
        <w:footnoteReference w:id="996"/>
      </w:r>
      <w:r>
        <w:t>.</w:t>
      </w:r>
    </w:p>
    <w:p w:rsidR="003804AC" w:rsidRDefault="00AF18A5" w:rsidP="00C94F08">
      <w:r>
        <w:t xml:space="preserve">Congresistas y terratenientes no solo pusieron freno a la reforma </w:t>
      </w:r>
      <w:r>
        <w:lastRenderedPageBreak/>
        <w:t>agraria, sino que dieron inició</w:t>
      </w:r>
      <w:r>
        <w:rPr>
          <w:spacing w:val="-1"/>
        </w:rPr>
        <w:t xml:space="preserve"> </w:t>
      </w:r>
      <w:r>
        <w:t>al</w:t>
      </w:r>
      <w:r>
        <w:rPr>
          <w:spacing w:val="-1"/>
        </w:rPr>
        <w:t xml:space="preserve"> </w:t>
      </w:r>
      <w:r>
        <w:t>proceso</w:t>
      </w:r>
      <w:r>
        <w:rPr>
          <w:spacing w:val="-1"/>
        </w:rPr>
        <w:t xml:space="preserve"> </w:t>
      </w:r>
      <w:r>
        <w:t>de</w:t>
      </w:r>
      <w:r>
        <w:rPr>
          <w:spacing w:val="-1"/>
        </w:rPr>
        <w:t xml:space="preserve"> </w:t>
      </w:r>
      <w:r>
        <w:t>reversión</w:t>
      </w:r>
      <w:r>
        <w:rPr>
          <w:spacing w:val="-1"/>
        </w:rPr>
        <w:t xml:space="preserve"> </w:t>
      </w:r>
      <w:r>
        <w:t>de</w:t>
      </w:r>
      <w:r>
        <w:rPr>
          <w:spacing w:val="-1"/>
        </w:rPr>
        <w:t xml:space="preserve"> </w:t>
      </w:r>
      <w:r>
        <w:t>los</w:t>
      </w:r>
      <w:r>
        <w:rPr>
          <w:spacing w:val="-2"/>
        </w:rPr>
        <w:t xml:space="preserve"> </w:t>
      </w:r>
      <w:r>
        <w:t>efectos</w:t>
      </w:r>
      <w:r>
        <w:rPr>
          <w:spacing w:val="-1"/>
        </w:rPr>
        <w:t xml:space="preserve"> </w:t>
      </w:r>
      <w:r>
        <w:t>positivos</w:t>
      </w:r>
      <w:r>
        <w:rPr>
          <w:spacing w:val="-1"/>
        </w:rPr>
        <w:t xml:space="preserve"> </w:t>
      </w:r>
      <w:r>
        <w:t>de</w:t>
      </w:r>
      <w:r>
        <w:rPr>
          <w:spacing w:val="-1"/>
        </w:rPr>
        <w:t xml:space="preserve"> </w:t>
      </w:r>
      <w:r>
        <w:t>la</w:t>
      </w:r>
      <w:r>
        <w:rPr>
          <w:spacing w:val="-2"/>
        </w:rPr>
        <w:t xml:space="preserve"> </w:t>
      </w:r>
      <w:r>
        <w:t>reforma.</w:t>
      </w:r>
      <w:r>
        <w:rPr>
          <w:spacing w:val="-1"/>
        </w:rPr>
        <w:t xml:space="preserve"> </w:t>
      </w:r>
      <w:r>
        <w:t>El</w:t>
      </w:r>
      <w:r>
        <w:rPr>
          <w:spacing w:val="-2"/>
        </w:rPr>
        <w:t xml:space="preserve"> </w:t>
      </w:r>
      <w:r>
        <w:t>pacto</w:t>
      </w:r>
      <w:r>
        <w:rPr>
          <w:spacing w:val="-1"/>
        </w:rPr>
        <w:t xml:space="preserve"> </w:t>
      </w:r>
      <w:r>
        <w:t>se</w:t>
      </w:r>
      <w:r>
        <w:rPr>
          <w:spacing w:val="-1"/>
        </w:rPr>
        <w:t xml:space="preserve"> </w:t>
      </w:r>
      <w:r>
        <w:t>materializó con las leyes 4 y 5 de 1973 y la Ley 6 de 1975</w:t>
      </w:r>
      <w:r w:rsidR="00C94F08">
        <w:rPr>
          <w:rStyle w:val="Refdenotaalpie"/>
        </w:rPr>
        <w:footnoteReference w:id="997"/>
      </w:r>
      <w:r>
        <w:rPr>
          <w:vertAlign w:val="superscript"/>
        </w:rPr>
        <w:t>.</w:t>
      </w:r>
      <w:r>
        <w:t xml:space="preserve"> Estas normas le quitaron funciones al ya debilitado </w:t>
      </w:r>
      <w:proofErr w:type="spellStart"/>
      <w:r>
        <w:t>Incora</w:t>
      </w:r>
      <w:proofErr w:type="spellEnd"/>
      <w:r>
        <w:t>, frenaron las actividades de la ANUC e incorporaron a la política agraria criterios</w:t>
      </w:r>
      <w:r>
        <w:rPr>
          <w:spacing w:val="-9"/>
        </w:rPr>
        <w:t xml:space="preserve"> </w:t>
      </w:r>
      <w:r>
        <w:t>sobre</w:t>
      </w:r>
      <w:r>
        <w:rPr>
          <w:spacing w:val="-9"/>
        </w:rPr>
        <w:t xml:space="preserve"> </w:t>
      </w:r>
      <w:r>
        <w:t>la</w:t>
      </w:r>
      <w:r>
        <w:rPr>
          <w:spacing w:val="-9"/>
        </w:rPr>
        <w:t xml:space="preserve"> </w:t>
      </w:r>
      <w:r>
        <w:t>producción</w:t>
      </w:r>
      <w:r>
        <w:rPr>
          <w:spacing w:val="-9"/>
        </w:rPr>
        <w:t xml:space="preserve"> </w:t>
      </w:r>
      <w:r>
        <w:t>y</w:t>
      </w:r>
      <w:r>
        <w:rPr>
          <w:spacing w:val="-9"/>
        </w:rPr>
        <w:t xml:space="preserve"> </w:t>
      </w:r>
      <w:r>
        <w:t>productividad,</w:t>
      </w:r>
      <w:r>
        <w:rPr>
          <w:spacing w:val="-9"/>
        </w:rPr>
        <w:t xml:space="preserve"> </w:t>
      </w:r>
      <w:r>
        <w:t>y</w:t>
      </w:r>
      <w:r>
        <w:rPr>
          <w:spacing w:val="-9"/>
        </w:rPr>
        <w:t xml:space="preserve"> </w:t>
      </w:r>
      <w:r>
        <w:t>abandonaron</w:t>
      </w:r>
      <w:r>
        <w:rPr>
          <w:spacing w:val="-11"/>
        </w:rPr>
        <w:t xml:space="preserve"> </w:t>
      </w:r>
      <w:r>
        <w:t>la</w:t>
      </w:r>
      <w:r>
        <w:rPr>
          <w:spacing w:val="-9"/>
        </w:rPr>
        <w:t xml:space="preserve"> </w:t>
      </w:r>
      <w:r>
        <w:t>apuesta</w:t>
      </w:r>
      <w:r>
        <w:rPr>
          <w:spacing w:val="-9"/>
        </w:rPr>
        <w:t xml:space="preserve"> </w:t>
      </w:r>
      <w:r>
        <w:t>por</w:t>
      </w:r>
      <w:r>
        <w:rPr>
          <w:spacing w:val="-9"/>
        </w:rPr>
        <w:t xml:space="preserve"> </w:t>
      </w:r>
      <w:r>
        <w:t>la</w:t>
      </w:r>
      <w:r>
        <w:rPr>
          <w:spacing w:val="-10"/>
        </w:rPr>
        <w:t xml:space="preserve"> </w:t>
      </w:r>
      <w:r>
        <w:t>redistribución y el desarrollo social del campesinado</w:t>
      </w:r>
      <w:r w:rsidR="00C94F08">
        <w:rPr>
          <w:rStyle w:val="Refdenotaalpie"/>
        </w:rPr>
        <w:footnoteReference w:id="998"/>
      </w:r>
      <w:r>
        <w:t>. Además, en detrimento de las economías campesinas</w:t>
      </w:r>
      <w:r>
        <w:rPr>
          <w:spacing w:val="-3"/>
        </w:rPr>
        <w:t xml:space="preserve"> </w:t>
      </w:r>
      <w:r>
        <w:t>y</w:t>
      </w:r>
      <w:r>
        <w:rPr>
          <w:spacing w:val="-2"/>
        </w:rPr>
        <w:t xml:space="preserve"> </w:t>
      </w:r>
      <w:r>
        <w:t>étnicas,</w:t>
      </w:r>
      <w:r>
        <w:rPr>
          <w:spacing w:val="-2"/>
        </w:rPr>
        <w:t xml:space="preserve"> </w:t>
      </w:r>
      <w:r>
        <w:t>los</w:t>
      </w:r>
      <w:r>
        <w:rPr>
          <w:spacing w:val="-2"/>
        </w:rPr>
        <w:t xml:space="preserve"> </w:t>
      </w:r>
      <w:r>
        <w:t>sucesivos</w:t>
      </w:r>
      <w:r>
        <w:rPr>
          <w:spacing w:val="-3"/>
        </w:rPr>
        <w:t xml:space="preserve"> </w:t>
      </w:r>
      <w:r>
        <w:t>gobiernos</w:t>
      </w:r>
      <w:r>
        <w:rPr>
          <w:spacing w:val="-2"/>
        </w:rPr>
        <w:t xml:space="preserve"> </w:t>
      </w:r>
      <w:r>
        <w:t>siguieron</w:t>
      </w:r>
      <w:r>
        <w:rPr>
          <w:spacing w:val="-2"/>
        </w:rPr>
        <w:t xml:space="preserve"> </w:t>
      </w:r>
      <w:r>
        <w:t>impulsando</w:t>
      </w:r>
      <w:r>
        <w:rPr>
          <w:spacing w:val="-2"/>
        </w:rPr>
        <w:t xml:space="preserve"> </w:t>
      </w:r>
      <w:r>
        <w:t>la</w:t>
      </w:r>
      <w:r>
        <w:rPr>
          <w:spacing w:val="-2"/>
        </w:rPr>
        <w:t xml:space="preserve"> </w:t>
      </w:r>
      <w:r>
        <w:t>ganadería</w:t>
      </w:r>
      <w:r>
        <w:rPr>
          <w:spacing w:val="-2"/>
        </w:rPr>
        <w:t xml:space="preserve"> </w:t>
      </w:r>
      <w:r>
        <w:t>extensiva, la</w:t>
      </w:r>
      <w:r>
        <w:rPr>
          <w:spacing w:val="-3"/>
        </w:rPr>
        <w:t xml:space="preserve"> </w:t>
      </w:r>
      <w:r>
        <w:t>explotación</w:t>
      </w:r>
      <w:r>
        <w:rPr>
          <w:spacing w:val="-3"/>
        </w:rPr>
        <w:t xml:space="preserve"> </w:t>
      </w:r>
      <w:r>
        <w:t>forestal,</w:t>
      </w:r>
      <w:r>
        <w:rPr>
          <w:spacing w:val="-3"/>
        </w:rPr>
        <w:t xml:space="preserve"> </w:t>
      </w:r>
      <w:r>
        <w:t>las</w:t>
      </w:r>
      <w:r>
        <w:rPr>
          <w:spacing w:val="-3"/>
        </w:rPr>
        <w:t xml:space="preserve"> </w:t>
      </w:r>
      <w:r>
        <w:t>agroindustrias</w:t>
      </w:r>
      <w:r>
        <w:rPr>
          <w:spacing w:val="-3"/>
        </w:rPr>
        <w:t xml:space="preserve"> </w:t>
      </w:r>
      <w:r>
        <w:t>(palma</w:t>
      </w:r>
      <w:r>
        <w:rPr>
          <w:spacing w:val="-4"/>
        </w:rPr>
        <w:t xml:space="preserve"> </w:t>
      </w:r>
      <w:r>
        <w:t>y</w:t>
      </w:r>
      <w:r>
        <w:rPr>
          <w:spacing w:val="-3"/>
        </w:rPr>
        <w:t xml:space="preserve"> </w:t>
      </w:r>
      <w:r>
        <w:t>caña)</w:t>
      </w:r>
      <w:r>
        <w:rPr>
          <w:spacing w:val="-4"/>
        </w:rPr>
        <w:t xml:space="preserve"> </w:t>
      </w:r>
      <w:r>
        <w:t>y</w:t>
      </w:r>
      <w:r>
        <w:rPr>
          <w:spacing w:val="-5"/>
        </w:rPr>
        <w:t xml:space="preserve"> </w:t>
      </w:r>
      <w:r>
        <w:t>la</w:t>
      </w:r>
      <w:r>
        <w:rPr>
          <w:spacing w:val="-4"/>
        </w:rPr>
        <w:t xml:space="preserve"> </w:t>
      </w:r>
      <w:r>
        <w:t>extracción</w:t>
      </w:r>
      <w:r>
        <w:rPr>
          <w:spacing w:val="-5"/>
        </w:rPr>
        <w:t xml:space="preserve"> </w:t>
      </w:r>
      <w:r>
        <w:t>de</w:t>
      </w:r>
      <w:r>
        <w:rPr>
          <w:spacing w:val="-3"/>
        </w:rPr>
        <w:t xml:space="preserve"> </w:t>
      </w:r>
      <w:r>
        <w:t>carbón,</w:t>
      </w:r>
      <w:r>
        <w:rPr>
          <w:spacing w:val="-5"/>
        </w:rPr>
        <w:t xml:space="preserve"> </w:t>
      </w:r>
      <w:r>
        <w:t>petróleo y</w:t>
      </w:r>
      <w:r>
        <w:rPr>
          <w:spacing w:val="-10"/>
        </w:rPr>
        <w:t xml:space="preserve"> </w:t>
      </w:r>
      <w:r>
        <w:t>minerales.</w:t>
      </w:r>
      <w:r>
        <w:rPr>
          <w:spacing w:val="-9"/>
        </w:rPr>
        <w:t xml:space="preserve"> </w:t>
      </w:r>
      <w:r>
        <w:t>Para</w:t>
      </w:r>
      <w:r>
        <w:rPr>
          <w:spacing w:val="-7"/>
        </w:rPr>
        <w:t xml:space="preserve"> </w:t>
      </w:r>
      <w:r>
        <w:t>no</w:t>
      </w:r>
      <w:r>
        <w:rPr>
          <w:spacing w:val="-7"/>
        </w:rPr>
        <w:t xml:space="preserve"> </w:t>
      </w:r>
      <w:r>
        <w:t>afectar</w:t>
      </w:r>
      <w:r>
        <w:rPr>
          <w:spacing w:val="-8"/>
        </w:rPr>
        <w:t xml:space="preserve"> </w:t>
      </w:r>
      <w:r>
        <w:t>la</w:t>
      </w:r>
      <w:r>
        <w:rPr>
          <w:spacing w:val="-8"/>
        </w:rPr>
        <w:t xml:space="preserve"> </w:t>
      </w:r>
      <w:r>
        <w:t>acumulación</w:t>
      </w:r>
      <w:r>
        <w:rPr>
          <w:spacing w:val="-7"/>
        </w:rPr>
        <w:t xml:space="preserve"> </w:t>
      </w:r>
      <w:r>
        <w:t>de</w:t>
      </w:r>
      <w:r>
        <w:rPr>
          <w:spacing w:val="-7"/>
        </w:rPr>
        <w:t xml:space="preserve"> </w:t>
      </w:r>
      <w:r>
        <w:t>capital</w:t>
      </w:r>
      <w:r>
        <w:rPr>
          <w:spacing w:val="-7"/>
        </w:rPr>
        <w:t xml:space="preserve"> </w:t>
      </w:r>
      <w:r>
        <w:t>y</w:t>
      </w:r>
      <w:r>
        <w:rPr>
          <w:spacing w:val="-7"/>
        </w:rPr>
        <w:t xml:space="preserve"> </w:t>
      </w:r>
      <w:r>
        <w:t>la</w:t>
      </w:r>
      <w:r>
        <w:rPr>
          <w:spacing w:val="-9"/>
        </w:rPr>
        <w:t xml:space="preserve"> </w:t>
      </w:r>
      <w:r>
        <w:t>tenencia</w:t>
      </w:r>
      <w:r>
        <w:rPr>
          <w:spacing w:val="-7"/>
        </w:rPr>
        <w:t xml:space="preserve"> </w:t>
      </w:r>
      <w:r>
        <w:t>de</w:t>
      </w:r>
      <w:r>
        <w:rPr>
          <w:spacing w:val="-8"/>
        </w:rPr>
        <w:t xml:space="preserve"> </w:t>
      </w:r>
      <w:r>
        <w:t>tierra</w:t>
      </w:r>
      <w:r>
        <w:rPr>
          <w:spacing w:val="-7"/>
        </w:rPr>
        <w:t xml:space="preserve"> </w:t>
      </w:r>
      <w:r>
        <w:t>de</w:t>
      </w:r>
      <w:r>
        <w:rPr>
          <w:spacing w:val="-7"/>
        </w:rPr>
        <w:t xml:space="preserve"> </w:t>
      </w:r>
      <w:r>
        <w:t>esos</w:t>
      </w:r>
      <w:r>
        <w:rPr>
          <w:spacing w:val="-7"/>
        </w:rPr>
        <w:t xml:space="preserve"> </w:t>
      </w:r>
      <w:r>
        <w:rPr>
          <w:spacing w:val="-2"/>
        </w:rPr>
        <w:t>sectores</w:t>
      </w:r>
      <w:bookmarkStart w:id="1237" w:name="_bookmark1094"/>
      <w:bookmarkStart w:id="1238" w:name="_bookmark1095"/>
      <w:bookmarkStart w:id="1239" w:name="_bookmark1096"/>
      <w:bookmarkEnd w:id="1237"/>
      <w:bookmarkEnd w:id="1238"/>
      <w:bookmarkEnd w:id="1239"/>
      <w:r w:rsidR="00C94F08">
        <w:t xml:space="preserve"> </w:t>
      </w:r>
      <w:r>
        <w:t>económicos,</w:t>
      </w:r>
      <w:r>
        <w:rPr>
          <w:spacing w:val="-13"/>
        </w:rPr>
        <w:t xml:space="preserve"> </w:t>
      </w:r>
      <w:r>
        <w:t>en</w:t>
      </w:r>
      <w:r>
        <w:rPr>
          <w:spacing w:val="-12"/>
        </w:rPr>
        <w:t xml:space="preserve"> </w:t>
      </w:r>
      <w:r>
        <w:t>general</w:t>
      </w:r>
      <w:r>
        <w:rPr>
          <w:spacing w:val="-11"/>
        </w:rPr>
        <w:t xml:space="preserve"> </w:t>
      </w:r>
      <w:r>
        <w:t>la</w:t>
      </w:r>
      <w:r>
        <w:rPr>
          <w:spacing w:val="-12"/>
        </w:rPr>
        <w:t xml:space="preserve"> </w:t>
      </w:r>
      <w:r>
        <w:t>mayoría</w:t>
      </w:r>
      <w:r>
        <w:rPr>
          <w:spacing w:val="-12"/>
        </w:rPr>
        <w:t xml:space="preserve"> </w:t>
      </w:r>
      <w:r>
        <w:t>de</w:t>
      </w:r>
      <w:r>
        <w:rPr>
          <w:spacing w:val="-13"/>
        </w:rPr>
        <w:t xml:space="preserve"> </w:t>
      </w:r>
      <w:r>
        <w:t>los</w:t>
      </w:r>
      <w:r>
        <w:rPr>
          <w:spacing w:val="-12"/>
        </w:rPr>
        <w:t xml:space="preserve"> </w:t>
      </w:r>
      <w:r>
        <w:t>gobiernos</w:t>
      </w:r>
      <w:r>
        <w:rPr>
          <w:spacing w:val="-12"/>
        </w:rPr>
        <w:t xml:space="preserve"> </w:t>
      </w:r>
      <w:r>
        <w:t>continuaron</w:t>
      </w:r>
      <w:r>
        <w:rPr>
          <w:spacing w:val="-12"/>
        </w:rPr>
        <w:t xml:space="preserve"> </w:t>
      </w:r>
      <w:r>
        <w:t>estimulando</w:t>
      </w:r>
      <w:r>
        <w:rPr>
          <w:spacing w:val="-12"/>
        </w:rPr>
        <w:t xml:space="preserve"> </w:t>
      </w:r>
      <w:r>
        <w:t>las</w:t>
      </w:r>
      <w:r>
        <w:rPr>
          <w:spacing w:val="-12"/>
        </w:rPr>
        <w:t xml:space="preserve"> </w:t>
      </w:r>
      <w:r>
        <w:t>políticas</w:t>
      </w:r>
      <w:r>
        <w:rPr>
          <w:spacing w:val="-12"/>
        </w:rPr>
        <w:t xml:space="preserve"> </w:t>
      </w:r>
      <w:r>
        <w:t>de colonización con la promesa de acceso a títulos</w:t>
      </w:r>
      <w:r w:rsidR="00C94F08">
        <w:rPr>
          <w:rStyle w:val="Refdenotaalpie"/>
        </w:rPr>
        <w:footnoteReference w:id="999"/>
      </w:r>
      <w:r>
        <w:t>, sin considerar los efectos ambientales y los impactos sobre las territorialidades étnicas. La crisis de la ANUC que vino en parte a estas decisiones, también por efectos de la violencia y por problemas de corrupción y divisiones</w:t>
      </w:r>
      <w:r>
        <w:rPr>
          <w:spacing w:val="-12"/>
        </w:rPr>
        <w:t xml:space="preserve"> </w:t>
      </w:r>
      <w:r>
        <w:t>internas,</w:t>
      </w:r>
      <w:r>
        <w:rPr>
          <w:spacing w:val="-12"/>
        </w:rPr>
        <w:t xml:space="preserve"> </w:t>
      </w:r>
      <w:r>
        <w:t>significó</w:t>
      </w:r>
      <w:r>
        <w:rPr>
          <w:spacing w:val="-11"/>
        </w:rPr>
        <w:t xml:space="preserve"> </w:t>
      </w:r>
      <w:r>
        <w:t>un</w:t>
      </w:r>
      <w:r>
        <w:rPr>
          <w:spacing w:val="-12"/>
        </w:rPr>
        <w:t xml:space="preserve"> </w:t>
      </w:r>
      <w:r>
        <w:t>profundo</w:t>
      </w:r>
      <w:r>
        <w:rPr>
          <w:spacing w:val="-11"/>
        </w:rPr>
        <w:t xml:space="preserve"> </w:t>
      </w:r>
      <w:r>
        <w:t>golpe</w:t>
      </w:r>
      <w:r>
        <w:rPr>
          <w:spacing w:val="-12"/>
        </w:rPr>
        <w:t xml:space="preserve"> </w:t>
      </w:r>
      <w:r>
        <w:t>al</w:t>
      </w:r>
      <w:r>
        <w:rPr>
          <w:spacing w:val="-11"/>
        </w:rPr>
        <w:t xml:space="preserve"> </w:t>
      </w:r>
      <w:r>
        <w:t>movimiento</w:t>
      </w:r>
      <w:r>
        <w:rPr>
          <w:spacing w:val="-11"/>
        </w:rPr>
        <w:t xml:space="preserve"> </w:t>
      </w:r>
      <w:r>
        <w:t>campesino</w:t>
      </w:r>
      <w:r>
        <w:rPr>
          <w:spacing w:val="-12"/>
        </w:rPr>
        <w:t xml:space="preserve"> </w:t>
      </w:r>
      <w:r>
        <w:t>en</w:t>
      </w:r>
      <w:r>
        <w:rPr>
          <w:spacing w:val="-11"/>
        </w:rPr>
        <w:t xml:space="preserve"> </w:t>
      </w:r>
      <w:r>
        <w:t>el</w:t>
      </w:r>
      <w:r>
        <w:rPr>
          <w:spacing w:val="-12"/>
        </w:rPr>
        <w:t xml:space="preserve"> </w:t>
      </w:r>
      <w:r>
        <w:t>país,</w:t>
      </w:r>
      <w:r>
        <w:rPr>
          <w:spacing w:val="-11"/>
        </w:rPr>
        <w:t xml:space="preserve"> </w:t>
      </w:r>
      <w:r>
        <w:t>y</w:t>
      </w:r>
      <w:r>
        <w:rPr>
          <w:spacing w:val="-12"/>
        </w:rPr>
        <w:t xml:space="preserve"> </w:t>
      </w:r>
      <w:r>
        <w:t xml:space="preserve">sobre todo a las posibilidades de interlocución directa con los gobiernos sobre la política agraria. Después del Pacto de </w:t>
      </w:r>
      <w:proofErr w:type="spellStart"/>
      <w:r>
        <w:t>Chicoral</w:t>
      </w:r>
      <w:proofErr w:type="spellEnd"/>
      <w:r>
        <w:t>, el movimiento de la Asociación Nacional de Usuarios Campesinos se dividió en dos líneas. Una de corte cercano al gobierno y otra con el apoyo de los sectores populares. Del protagonismo en los primeros años de la década de los años setenta</w:t>
      </w:r>
      <w:r>
        <w:rPr>
          <w:spacing w:val="-7"/>
        </w:rPr>
        <w:t xml:space="preserve"> </w:t>
      </w:r>
      <w:r>
        <w:t>pasó</w:t>
      </w:r>
      <w:r>
        <w:rPr>
          <w:spacing w:val="-7"/>
        </w:rPr>
        <w:t xml:space="preserve"> </w:t>
      </w:r>
      <w:r>
        <w:t>a</w:t>
      </w:r>
      <w:r>
        <w:rPr>
          <w:spacing w:val="-7"/>
        </w:rPr>
        <w:t xml:space="preserve"> </w:t>
      </w:r>
      <w:r>
        <w:t>la</w:t>
      </w:r>
      <w:r>
        <w:rPr>
          <w:spacing w:val="-7"/>
        </w:rPr>
        <w:t xml:space="preserve"> </w:t>
      </w:r>
      <w:r>
        <w:t>resistencia</w:t>
      </w:r>
      <w:r>
        <w:rPr>
          <w:spacing w:val="-7"/>
        </w:rPr>
        <w:t xml:space="preserve"> </w:t>
      </w:r>
      <w:r>
        <w:t>en</w:t>
      </w:r>
      <w:r>
        <w:rPr>
          <w:spacing w:val="-7"/>
        </w:rPr>
        <w:t xml:space="preserve"> </w:t>
      </w:r>
      <w:r>
        <w:t>los</w:t>
      </w:r>
      <w:r>
        <w:rPr>
          <w:spacing w:val="-7"/>
        </w:rPr>
        <w:t xml:space="preserve"> </w:t>
      </w:r>
      <w:r>
        <w:t>ochenta,</w:t>
      </w:r>
      <w:r>
        <w:rPr>
          <w:spacing w:val="-7"/>
        </w:rPr>
        <w:t xml:space="preserve"> </w:t>
      </w:r>
      <w:r>
        <w:t>cuando</w:t>
      </w:r>
      <w:r>
        <w:rPr>
          <w:spacing w:val="-7"/>
        </w:rPr>
        <w:t xml:space="preserve"> </w:t>
      </w:r>
      <w:r>
        <w:t>el</w:t>
      </w:r>
      <w:r>
        <w:rPr>
          <w:spacing w:val="-7"/>
        </w:rPr>
        <w:t xml:space="preserve"> </w:t>
      </w:r>
      <w:r>
        <w:t>paramilitarismo</w:t>
      </w:r>
      <w:r>
        <w:rPr>
          <w:spacing w:val="-7"/>
        </w:rPr>
        <w:t xml:space="preserve"> </w:t>
      </w:r>
      <w:r>
        <w:t>incluyó</w:t>
      </w:r>
      <w:r>
        <w:rPr>
          <w:spacing w:val="-7"/>
        </w:rPr>
        <w:t xml:space="preserve"> </w:t>
      </w:r>
      <w:r>
        <w:t>a</w:t>
      </w:r>
      <w:r>
        <w:rPr>
          <w:spacing w:val="-7"/>
        </w:rPr>
        <w:t xml:space="preserve"> </w:t>
      </w:r>
      <w:r>
        <w:t>líderes</w:t>
      </w:r>
      <w:r>
        <w:rPr>
          <w:spacing w:val="-8"/>
        </w:rPr>
        <w:t xml:space="preserve"> </w:t>
      </w:r>
      <w:r>
        <w:t>de</w:t>
      </w:r>
      <w:r>
        <w:rPr>
          <w:spacing w:val="-7"/>
        </w:rPr>
        <w:t xml:space="preserve"> </w:t>
      </w:r>
      <w:r>
        <w:t>la organización</w:t>
      </w:r>
      <w:r>
        <w:rPr>
          <w:spacing w:val="-15"/>
        </w:rPr>
        <w:t xml:space="preserve"> </w:t>
      </w:r>
      <w:r>
        <w:t>entre</w:t>
      </w:r>
      <w:r>
        <w:rPr>
          <w:spacing w:val="-15"/>
        </w:rPr>
        <w:t xml:space="preserve"> </w:t>
      </w:r>
      <w:r>
        <w:t>sus</w:t>
      </w:r>
      <w:r>
        <w:rPr>
          <w:spacing w:val="-15"/>
        </w:rPr>
        <w:t xml:space="preserve"> </w:t>
      </w:r>
      <w:r>
        <w:t>blancos</w:t>
      </w:r>
      <w:r>
        <w:rPr>
          <w:spacing w:val="-15"/>
        </w:rPr>
        <w:t xml:space="preserve"> </w:t>
      </w:r>
      <w:r>
        <w:t>principales</w:t>
      </w:r>
      <w:r w:rsidR="00D86F09">
        <w:rPr>
          <w:rStyle w:val="Refdenotaalpie"/>
        </w:rPr>
        <w:footnoteReference w:id="1000"/>
      </w:r>
      <w:r>
        <w:t>.</w:t>
      </w:r>
      <w:r>
        <w:rPr>
          <w:spacing w:val="-15"/>
        </w:rPr>
        <w:t xml:space="preserve"> </w:t>
      </w:r>
      <w:r>
        <w:t>Al</w:t>
      </w:r>
      <w:r>
        <w:rPr>
          <w:spacing w:val="-15"/>
        </w:rPr>
        <w:t xml:space="preserve"> </w:t>
      </w:r>
      <w:r>
        <w:t>llegar</w:t>
      </w:r>
      <w:r>
        <w:rPr>
          <w:spacing w:val="-15"/>
        </w:rPr>
        <w:t xml:space="preserve"> </w:t>
      </w:r>
      <w:r>
        <w:t>los</w:t>
      </w:r>
      <w:r>
        <w:rPr>
          <w:spacing w:val="-15"/>
        </w:rPr>
        <w:t xml:space="preserve"> </w:t>
      </w:r>
      <w:r>
        <w:lastRenderedPageBreak/>
        <w:t>noventa,</w:t>
      </w:r>
      <w:r>
        <w:rPr>
          <w:spacing w:val="-15"/>
        </w:rPr>
        <w:t xml:space="preserve"> </w:t>
      </w:r>
      <w:r>
        <w:t>las</w:t>
      </w:r>
      <w:r>
        <w:rPr>
          <w:spacing w:val="-15"/>
        </w:rPr>
        <w:t xml:space="preserve"> </w:t>
      </w:r>
      <w:r>
        <w:t>medidas</w:t>
      </w:r>
      <w:r>
        <w:rPr>
          <w:spacing w:val="-15"/>
        </w:rPr>
        <w:t xml:space="preserve"> </w:t>
      </w:r>
      <w:r>
        <w:t>económicas terminaron por diezmar la organización campesina.</w:t>
      </w:r>
    </w:p>
    <w:p w:rsidR="003804AC" w:rsidRDefault="00AF18A5" w:rsidP="00D86F09">
      <w:r>
        <w:t>La</w:t>
      </w:r>
      <w:r>
        <w:rPr>
          <w:spacing w:val="-15"/>
        </w:rPr>
        <w:t xml:space="preserve"> </w:t>
      </w:r>
      <w:r>
        <w:t>otra</w:t>
      </w:r>
      <w:r>
        <w:rPr>
          <w:spacing w:val="-15"/>
        </w:rPr>
        <w:t xml:space="preserve"> </w:t>
      </w:r>
      <w:r>
        <w:t>cara</w:t>
      </w:r>
      <w:r>
        <w:rPr>
          <w:spacing w:val="-15"/>
        </w:rPr>
        <w:t xml:space="preserve"> </w:t>
      </w:r>
      <w:r>
        <w:t>de</w:t>
      </w:r>
      <w:r>
        <w:rPr>
          <w:spacing w:val="-15"/>
        </w:rPr>
        <w:t xml:space="preserve"> </w:t>
      </w:r>
      <w:r>
        <w:t>la</w:t>
      </w:r>
      <w:r>
        <w:rPr>
          <w:spacing w:val="-15"/>
        </w:rPr>
        <w:t xml:space="preserve"> </w:t>
      </w:r>
      <w:r>
        <w:t>contrarreforma</w:t>
      </w:r>
      <w:r>
        <w:rPr>
          <w:spacing w:val="-15"/>
        </w:rPr>
        <w:t xml:space="preserve"> </w:t>
      </w:r>
      <w:r>
        <w:t>agraria</w:t>
      </w:r>
      <w:r>
        <w:rPr>
          <w:spacing w:val="-15"/>
        </w:rPr>
        <w:t xml:space="preserve"> </w:t>
      </w:r>
      <w:r>
        <w:t>fue</w:t>
      </w:r>
      <w:r>
        <w:rPr>
          <w:spacing w:val="-15"/>
        </w:rPr>
        <w:t xml:space="preserve"> </w:t>
      </w:r>
      <w:r>
        <w:t>el</w:t>
      </w:r>
      <w:r>
        <w:rPr>
          <w:spacing w:val="-15"/>
        </w:rPr>
        <w:t xml:space="preserve"> </w:t>
      </w:r>
      <w:r>
        <w:t>impulso</w:t>
      </w:r>
      <w:r>
        <w:rPr>
          <w:spacing w:val="-15"/>
        </w:rPr>
        <w:t xml:space="preserve"> </w:t>
      </w:r>
      <w:r>
        <w:t>a</w:t>
      </w:r>
      <w:r>
        <w:rPr>
          <w:spacing w:val="-15"/>
        </w:rPr>
        <w:t xml:space="preserve"> </w:t>
      </w:r>
      <w:r>
        <w:t>la</w:t>
      </w:r>
      <w:r>
        <w:rPr>
          <w:spacing w:val="-15"/>
        </w:rPr>
        <w:t xml:space="preserve"> </w:t>
      </w:r>
      <w:r>
        <w:t>«vivienda</w:t>
      </w:r>
      <w:r>
        <w:rPr>
          <w:spacing w:val="-15"/>
        </w:rPr>
        <w:t xml:space="preserve"> </w:t>
      </w:r>
      <w:r>
        <w:t>urbana»</w:t>
      </w:r>
      <w:r>
        <w:rPr>
          <w:spacing w:val="-15"/>
        </w:rPr>
        <w:t xml:space="preserve"> </w:t>
      </w:r>
      <w:r>
        <w:t>promovido por</w:t>
      </w:r>
      <w:r>
        <w:rPr>
          <w:spacing w:val="6"/>
        </w:rPr>
        <w:t xml:space="preserve"> </w:t>
      </w:r>
      <w:r>
        <w:t>el</w:t>
      </w:r>
      <w:r>
        <w:rPr>
          <w:spacing w:val="6"/>
        </w:rPr>
        <w:t xml:space="preserve"> </w:t>
      </w:r>
      <w:r>
        <w:t>gobierno</w:t>
      </w:r>
      <w:r>
        <w:rPr>
          <w:spacing w:val="6"/>
        </w:rPr>
        <w:t xml:space="preserve"> </w:t>
      </w:r>
      <w:r>
        <w:t>de</w:t>
      </w:r>
      <w:r>
        <w:rPr>
          <w:spacing w:val="6"/>
        </w:rPr>
        <w:t xml:space="preserve"> </w:t>
      </w:r>
      <w:r>
        <w:t>Misael</w:t>
      </w:r>
      <w:r>
        <w:rPr>
          <w:spacing w:val="6"/>
        </w:rPr>
        <w:t xml:space="preserve"> </w:t>
      </w:r>
      <w:r>
        <w:t>Pastrana</w:t>
      </w:r>
      <w:r>
        <w:rPr>
          <w:spacing w:val="6"/>
        </w:rPr>
        <w:t xml:space="preserve"> </w:t>
      </w:r>
      <w:r>
        <w:t>Borrero</w:t>
      </w:r>
      <w:r>
        <w:rPr>
          <w:spacing w:val="7"/>
        </w:rPr>
        <w:t xml:space="preserve"> </w:t>
      </w:r>
      <w:r>
        <w:t>(1970-1974)</w:t>
      </w:r>
      <w:r>
        <w:rPr>
          <w:spacing w:val="6"/>
        </w:rPr>
        <w:t xml:space="preserve"> </w:t>
      </w:r>
      <w:r>
        <w:t>a</w:t>
      </w:r>
      <w:r>
        <w:rPr>
          <w:spacing w:val="6"/>
        </w:rPr>
        <w:t xml:space="preserve"> </w:t>
      </w:r>
      <w:r>
        <w:t>través</w:t>
      </w:r>
      <w:r>
        <w:rPr>
          <w:spacing w:val="6"/>
        </w:rPr>
        <w:t xml:space="preserve"> </w:t>
      </w:r>
      <w:r>
        <w:t>del</w:t>
      </w:r>
      <w:r>
        <w:rPr>
          <w:spacing w:val="6"/>
        </w:rPr>
        <w:t xml:space="preserve"> </w:t>
      </w:r>
      <w:r>
        <w:t>Plan</w:t>
      </w:r>
      <w:r>
        <w:rPr>
          <w:spacing w:val="6"/>
        </w:rPr>
        <w:t xml:space="preserve"> </w:t>
      </w:r>
      <w:r>
        <w:t>de</w:t>
      </w:r>
      <w:r>
        <w:rPr>
          <w:spacing w:val="6"/>
        </w:rPr>
        <w:t xml:space="preserve"> </w:t>
      </w:r>
      <w:r>
        <w:t>Desarrollo</w:t>
      </w:r>
      <w:r>
        <w:rPr>
          <w:spacing w:val="7"/>
        </w:rPr>
        <w:t xml:space="preserve"> </w:t>
      </w:r>
      <w:r>
        <w:rPr>
          <w:spacing w:val="-5"/>
        </w:rPr>
        <w:t>de</w:t>
      </w:r>
      <w:r w:rsidR="00D86F09">
        <w:t xml:space="preserve"> </w:t>
      </w:r>
      <w:r>
        <w:t>«Las Cuatro Estrategias». Con este impulso se reforzó un ideal de modernización anclado en la urbanización, minimizando la importancia de la democratización y desarrollo del campo. Aunque es imposible desconocer que prestar atención en los territorios urbanos era muy importante –por el acelerado proceso de urbanización que vivía el país– las políticas que se implementaron no consideraron que las dinámicas del conflicto armado conducirían a miles de campesinas y campesinos a las ciudades, y que, por tanto, era necesario implementar una estrategia de largo plazo para hacer sostenible la buena vida y productividad del campo. Por el contrario, terminaron por posicionar la idea de que la pobreza,</w:t>
      </w:r>
      <w:r>
        <w:rPr>
          <w:spacing w:val="-15"/>
        </w:rPr>
        <w:t xml:space="preserve"> </w:t>
      </w:r>
      <w:r>
        <w:t>«especialmente</w:t>
      </w:r>
      <w:r>
        <w:rPr>
          <w:spacing w:val="-15"/>
        </w:rPr>
        <w:t xml:space="preserve"> </w:t>
      </w:r>
      <w:r>
        <w:t>en</w:t>
      </w:r>
      <w:r>
        <w:rPr>
          <w:spacing w:val="-15"/>
        </w:rPr>
        <w:t xml:space="preserve"> </w:t>
      </w:r>
      <w:r>
        <w:t>el</w:t>
      </w:r>
      <w:r>
        <w:rPr>
          <w:spacing w:val="-15"/>
        </w:rPr>
        <w:t xml:space="preserve"> </w:t>
      </w:r>
      <w:r>
        <w:t>sector</w:t>
      </w:r>
      <w:r>
        <w:rPr>
          <w:spacing w:val="-15"/>
        </w:rPr>
        <w:t xml:space="preserve"> </w:t>
      </w:r>
      <w:r>
        <w:t>agrícola</w:t>
      </w:r>
      <w:r>
        <w:rPr>
          <w:spacing w:val="-15"/>
        </w:rPr>
        <w:t xml:space="preserve"> </w:t>
      </w:r>
      <w:r>
        <w:t>[que]</w:t>
      </w:r>
      <w:r>
        <w:rPr>
          <w:spacing w:val="-15"/>
        </w:rPr>
        <w:t xml:space="preserve"> </w:t>
      </w:r>
      <w:r>
        <w:t>era</w:t>
      </w:r>
      <w:r>
        <w:rPr>
          <w:spacing w:val="-15"/>
        </w:rPr>
        <w:t xml:space="preserve"> </w:t>
      </w:r>
      <w:r>
        <w:t>el</w:t>
      </w:r>
      <w:r>
        <w:rPr>
          <w:spacing w:val="-15"/>
        </w:rPr>
        <w:t xml:space="preserve"> </w:t>
      </w:r>
      <w:r>
        <w:t>resultado</w:t>
      </w:r>
      <w:r>
        <w:rPr>
          <w:spacing w:val="-14"/>
        </w:rPr>
        <w:t xml:space="preserve"> </w:t>
      </w:r>
      <w:r>
        <w:t>de</w:t>
      </w:r>
      <w:r>
        <w:rPr>
          <w:spacing w:val="-15"/>
        </w:rPr>
        <w:t xml:space="preserve"> </w:t>
      </w:r>
      <w:r>
        <w:t>un</w:t>
      </w:r>
      <w:r>
        <w:rPr>
          <w:spacing w:val="-15"/>
        </w:rPr>
        <w:t xml:space="preserve"> </w:t>
      </w:r>
      <w:r>
        <w:t>empleo</w:t>
      </w:r>
      <w:r>
        <w:rPr>
          <w:spacing w:val="-15"/>
        </w:rPr>
        <w:t xml:space="preserve"> </w:t>
      </w:r>
      <w:r>
        <w:t>‘deficiente’ o ‘erróneo’ que producía un rendimiento muy bajo en un campo superpoblado»</w:t>
      </w:r>
      <w:r w:rsidR="00D86F09">
        <w:rPr>
          <w:rStyle w:val="Refdenotaalpie"/>
        </w:rPr>
        <w:footnoteReference w:id="1001"/>
      </w:r>
      <w:r>
        <w:t>. En consecuencia,</w:t>
      </w:r>
      <w:r>
        <w:rPr>
          <w:spacing w:val="18"/>
        </w:rPr>
        <w:t xml:space="preserve"> </w:t>
      </w:r>
      <w:r>
        <w:t>resolver</w:t>
      </w:r>
      <w:r>
        <w:rPr>
          <w:spacing w:val="20"/>
        </w:rPr>
        <w:t xml:space="preserve"> </w:t>
      </w:r>
      <w:r>
        <w:t>los</w:t>
      </w:r>
      <w:r>
        <w:rPr>
          <w:spacing w:val="21"/>
        </w:rPr>
        <w:t xml:space="preserve"> </w:t>
      </w:r>
      <w:r>
        <w:t>conflictos</w:t>
      </w:r>
      <w:r>
        <w:rPr>
          <w:spacing w:val="21"/>
        </w:rPr>
        <w:t xml:space="preserve"> </w:t>
      </w:r>
      <w:r>
        <w:t>y</w:t>
      </w:r>
      <w:r>
        <w:rPr>
          <w:spacing w:val="20"/>
        </w:rPr>
        <w:t xml:space="preserve"> </w:t>
      </w:r>
      <w:r>
        <w:t>problemáticas</w:t>
      </w:r>
      <w:r>
        <w:rPr>
          <w:spacing w:val="22"/>
        </w:rPr>
        <w:t xml:space="preserve"> </w:t>
      </w:r>
      <w:r>
        <w:t>del</w:t>
      </w:r>
      <w:r>
        <w:rPr>
          <w:spacing w:val="21"/>
        </w:rPr>
        <w:t xml:space="preserve"> </w:t>
      </w:r>
      <w:r>
        <w:t>campo</w:t>
      </w:r>
      <w:r>
        <w:rPr>
          <w:spacing w:val="20"/>
        </w:rPr>
        <w:t xml:space="preserve"> </w:t>
      </w:r>
      <w:r>
        <w:t>perdieron</w:t>
      </w:r>
      <w:r>
        <w:rPr>
          <w:spacing w:val="20"/>
        </w:rPr>
        <w:t xml:space="preserve"> </w:t>
      </w:r>
      <w:r>
        <w:t>prioridad,</w:t>
      </w:r>
      <w:r>
        <w:rPr>
          <w:spacing w:val="20"/>
        </w:rPr>
        <w:t xml:space="preserve"> </w:t>
      </w:r>
      <w:r>
        <w:t>y</w:t>
      </w:r>
      <w:r>
        <w:rPr>
          <w:spacing w:val="21"/>
        </w:rPr>
        <w:t xml:space="preserve"> </w:t>
      </w:r>
      <w:r>
        <w:rPr>
          <w:spacing w:val="-5"/>
        </w:rPr>
        <w:t>el</w:t>
      </w:r>
      <w:bookmarkStart w:id="1240" w:name="_bookmark1097"/>
      <w:bookmarkStart w:id="1241" w:name="_bookmark1098"/>
      <w:bookmarkStart w:id="1242" w:name="_bookmark1099"/>
      <w:bookmarkEnd w:id="1240"/>
      <w:bookmarkEnd w:id="1241"/>
      <w:bookmarkEnd w:id="1242"/>
      <w:r w:rsidR="00D86F09">
        <w:t xml:space="preserve"> </w:t>
      </w:r>
      <w:r>
        <w:t>engranaje institucional se orientó al fortalecimiento de los sectores inmobiliario, financiero y de la construcción, encargados de la producción de vivienda e infraestructura para las ciudades.</w:t>
      </w:r>
      <w:r>
        <w:rPr>
          <w:spacing w:val="-6"/>
        </w:rPr>
        <w:t xml:space="preserve"> </w:t>
      </w:r>
      <w:r>
        <w:t>Sin</w:t>
      </w:r>
      <w:r>
        <w:rPr>
          <w:spacing w:val="-6"/>
        </w:rPr>
        <w:t xml:space="preserve"> </w:t>
      </w:r>
      <w:r>
        <w:t>embargo,</w:t>
      </w:r>
      <w:r>
        <w:rPr>
          <w:spacing w:val="-7"/>
        </w:rPr>
        <w:t xml:space="preserve"> </w:t>
      </w:r>
      <w:r>
        <w:t>estas</w:t>
      </w:r>
      <w:r>
        <w:rPr>
          <w:spacing w:val="-6"/>
        </w:rPr>
        <w:t xml:space="preserve"> </w:t>
      </w:r>
      <w:r>
        <w:t>políticas</w:t>
      </w:r>
      <w:r>
        <w:rPr>
          <w:spacing w:val="-6"/>
        </w:rPr>
        <w:t xml:space="preserve"> </w:t>
      </w:r>
      <w:r>
        <w:t>y</w:t>
      </w:r>
      <w:r>
        <w:rPr>
          <w:spacing w:val="-6"/>
        </w:rPr>
        <w:t xml:space="preserve"> </w:t>
      </w:r>
      <w:r>
        <w:t>sectores</w:t>
      </w:r>
      <w:r>
        <w:rPr>
          <w:spacing w:val="-7"/>
        </w:rPr>
        <w:t xml:space="preserve"> </w:t>
      </w:r>
      <w:r>
        <w:t>no</w:t>
      </w:r>
      <w:r>
        <w:rPr>
          <w:spacing w:val="-6"/>
        </w:rPr>
        <w:t xml:space="preserve"> </w:t>
      </w:r>
      <w:r>
        <w:t>lograron</w:t>
      </w:r>
      <w:r>
        <w:rPr>
          <w:spacing w:val="-7"/>
        </w:rPr>
        <w:t xml:space="preserve"> </w:t>
      </w:r>
      <w:r>
        <w:t>superar</w:t>
      </w:r>
      <w:r>
        <w:rPr>
          <w:spacing w:val="-7"/>
        </w:rPr>
        <w:t xml:space="preserve"> </w:t>
      </w:r>
      <w:r>
        <w:t>la</w:t>
      </w:r>
      <w:r>
        <w:rPr>
          <w:spacing w:val="-6"/>
        </w:rPr>
        <w:t xml:space="preserve"> </w:t>
      </w:r>
      <w:r>
        <w:t>informalidad</w:t>
      </w:r>
      <w:r>
        <w:rPr>
          <w:spacing w:val="-6"/>
        </w:rPr>
        <w:t xml:space="preserve"> </w:t>
      </w:r>
      <w:r>
        <w:t>urbana ni garantizar el acceso a tierra y techo para los pobres que seguían en aumento.</w:t>
      </w:r>
    </w:p>
    <w:p w:rsidR="003804AC" w:rsidRDefault="00AF18A5" w:rsidP="00D86F09">
      <w:r>
        <w:t xml:space="preserve">La reconfiguración poblacional en el marco del conflicto estuvo atada </w:t>
      </w:r>
      <w:r>
        <w:lastRenderedPageBreak/>
        <w:t>sobre todo al desplazamiento forzado. A partir de la segunda mitad del siglo XX, el proceso de urbanización y posterior consolidación de un sistema de ciudades estuvo estrechamente vinculado a las dinámicas de la guerra. Al impacto de la industrialización se sumó el desplazamiento forzado como uno de los factores que definió los ritmos, tamaños y dinámicas</w:t>
      </w:r>
      <w:r>
        <w:rPr>
          <w:spacing w:val="-4"/>
        </w:rPr>
        <w:t xml:space="preserve"> </w:t>
      </w:r>
      <w:r>
        <w:t>específicas</w:t>
      </w:r>
      <w:r>
        <w:rPr>
          <w:spacing w:val="-5"/>
        </w:rPr>
        <w:t xml:space="preserve"> </w:t>
      </w:r>
      <w:r>
        <w:t>del</w:t>
      </w:r>
      <w:r>
        <w:rPr>
          <w:spacing w:val="-4"/>
        </w:rPr>
        <w:t xml:space="preserve"> </w:t>
      </w:r>
      <w:r>
        <w:t>crecimiento</w:t>
      </w:r>
      <w:r>
        <w:rPr>
          <w:spacing w:val="-5"/>
        </w:rPr>
        <w:t xml:space="preserve"> </w:t>
      </w:r>
      <w:r>
        <w:t>y</w:t>
      </w:r>
      <w:r>
        <w:rPr>
          <w:spacing w:val="-5"/>
        </w:rPr>
        <w:t xml:space="preserve"> </w:t>
      </w:r>
      <w:r>
        <w:t>transformación</w:t>
      </w:r>
      <w:r>
        <w:rPr>
          <w:spacing w:val="-5"/>
        </w:rPr>
        <w:t xml:space="preserve"> </w:t>
      </w:r>
      <w:r>
        <w:t>de</w:t>
      </w:r>
      <w:r>
        <w:rPr>
          <w:spacing w:val="-4"/>
        </w:rPr>
        <w:t xml:space="preserve"> </w:t>
      </w:r>
      <w:r>
        <w:t>las</w:t>
      </w:r>
      <w:r>
        <w:rPr>
          <w:spacing w:val="-5"/>
        </w:rPr>
        <w:t xml:space="preserve"> </w:t>
      </w:r>
      <w:r>
        <w:t>ciudades.</w:t>
      </w:r>
      <w:r>
        <w:rPr>
          <w:spacing w:val="-6"/>
        </w:rPr>
        <w:t xml:space="preserve"> </w:t>
      </w:r>
      <w:r>
        <w:t>Los</w:t>
      </w:r>
      <w:r>
        <w:rPr>
          <w:spacing w:val="-5"/>
        </w:rPr>
        <w:t xml:space="preserve"> </w:t>
      </w:r>
      <w:r>
        <w:t>primeros</w:t>
      </w:r>
      <w:r>
        <w:rPr>
          <w:spacing w:val="-5"/>
        </w:rPr>
        <w:t xml:space="preserve"> </w:t>
      </w:r>
      <w:r>
        <w:t>ciclos fundacionales</w:t>
      </w:r>
      <w:r w:rsidR="00D86F09">
        <w:rPr>
          <w:rStyle w:val="Refdenotaalpie"/>
        </w:rPr>
        <w:footnoteReference w:id="1002"/>
      </w:r>
      <w:r>
        <w:rPr>
          <w:spacing w:val="-7"/>
        </w:rPr>
        <w:t xml:space="preserve"> </w:t>
      </w:r>
      <w:r>
        <w:t>no</w:t>
      </w:r>
      <w:r>
        <w:rPr>
          <w:spacing w:val="-7"/>
        </w:rPr>
        <w:t xml:space="preserve"> </w:t>
      </w:r>
      <w:r>
        <w:t>garantizaron</w:t>
      </w:r>
      <w:r>
        <w:rPr>
          <w:spacing w:val="-8"/>
        </w:rPr>
        <w:t xml:space="preserve"> </w:t>
      </w:r>
      <w:r>
        <w:t>la</w:t>
      </w:r>
      <w:r>
        <w:rPr>
          <w:spacing w:val="-8"/>
        </w:rPr>
        <w:t xml:space="preserve"> </w:t>
      </w:r>
      <w:r>
        <w:t>articulación</w:t>
      </w:r>
      <w:r>
        <w:rPr>
          <w:spacing w:val="-7"/>
        </w:rPr>
        <w:t xml:space="preserve"> </w:t>
      </w:r>
      <w:r>
        <w:t>entre</w:t>
      </w:r>
      <w:r>
        <w:rPr>
          <w:spacing w:val="-7"/>
        </w:rPr>
        <w:t xml:space="preserve"> </w:t>
      </w:r>
      <w:r>
        <w:t>subsistemas</w:t>
      </w:r>
      <w:r>
        <w:rPr>
          <w:spacing w:val="-7"/>
        </w:rPr>
        <w:t xml:space="preserve"> </w:t>
      </w:r>
      <w:r>
        <w:t>urbano-regionales.</w:t>
      </w:r>
      <w:r>
        <w:rPr>
          <w:spacing w:val="-7"/>
        </w:rPr>
        <w:t xml:space="preserve"> </w:t>
      </w:r>
      <w:r>
        <w:t>Por</w:t>
      </w:r>
      <w:r>
        <w:rPr>
          <w:spacing w:val="-7"/>
        </w:rPr>
        <w:t xml:space="preserve"> </w:t>
      </w:r>
      <w:r>
        <w:t>el contrario,</w:t>
      </w:r>
      <w:r>
        <w:rPr>
          <w:spacing w:val="-11"/>
        </w:rPr>
        <w:t xml:space="preserve"> </w:t>
      </w:r>
      <w:r>
        <w:t>«la</w:t>
      </w:r>
      <w:r>
        <w:rPr>
          <w:spacing w:val="-10"/>
        </w:rPr>
        <w:t xml:space="preserve"> </w:t>
      </w:r>
      <w:r>
        <w:t>configuración</w:t>
      </w:r>
      <w:r>
        <w:rPr>
          <w:spacing w:val="-11"/>
        </w:rPr>
        <w:t xml:space="preserve"> </w:t>
      </w:r>
      <w:r>
        <w:t>de</w:t>
      </w:r>
      <w:r>
        <w:rPr>
          <w:spacing w:val="-10"/>
        </w:rPr>
        <w:t xml:space="preserve"> </w:t>
      </w:r>
      <w:r>
        <w:t>los</w:t>
      </w:r>
      <w:r>
        <w:rPr>
          <w:spacing w:val="-10"/>
        </w:rPr>
        <w:t xml:space="preserve"> </w:t>
      </w:r>
      <w:r>
        <w:t>“frentes</w:t>
      </w:r>
      <w:r>
        <w:rPr>
          <w:spacing w:val="-10"/>
        </w:rPr>
        <w:t xml:space="preserve"> </w:t>
      </w:r>
      <w:r>
        <w:t>de</w:t>
      </w:r>
      <w:r>
        <w:rPr>
          <w:spacing w:val="-10"/>
        </w:rPr>
        <w:t xml:space="preserve"> </w:t>
      </w:r>
      <w:r>
        <w:t>colonización</w:t>
      </w:r>
      <w:r>
        <w:rPr>
          <w:spacing w:val="-11"/>
        </w:rPr>
        <w:t xml:space="preserve"> </w:t>
      </w:r>
      <w:r>
        <w:t>dispersa”</w:t>
      </w:r>
      <w:r>
        <w:rPr>
          <w:spacing w:val="-10"/>
        </w:rPr>
        <w:t xml:space="preserve"> </w:t>
      </w:r>
      <w:r>
        <w:t>y</w:t>
      </w:r>
      <w:r>
        <w:rPr>
          <w:spacing w:val="-12"/>
        </w:rPr>
        <w:t xml:space="preserve"> </w:t>
      </w:r>
      <w:r>
        <w:t>la</w:t>
      </w:r>
      <w:r>
        <w:rPr>
          <w:spacing w:val="-12"/>
        </w:rPr>
        <w:t xml:space="preserve"> </w:t>
      </w:r>
      <w:r>
        <w:t>dependencia</w:t>
      </w:r>
      <w:r>
        <w:rPr>
          <w:spacing w:val="-12"/>
        </w:rPr>
        <w:t xml:space="preserve"> </w:t>
      </w:r>
      <w:r>
        <w:t>de</w:t>
      </w:r>
      <w:r>
        <w:rPr>
          <w:spacing w:val="-10"/>
        </w:rPr>
        <w:t xml:space="preserve"> </w:t>
      </w:r>
      <w:r>
        <w:t>las relaciones</w:t>
      </w:r>
      <w:r>
        <w:rPr>
          <w:spacing w:val="-9"/>
        </w:rPr>
        <w:t xml:space="preserve"> </w:t>
      </w:r>
      <w:r>
        <w:t>con</w:t>
      </w:r>
      <w:r>
        <w:rPr>
          <w:spacing w:val="-8"/>
        </w:rPr>
        <w:t xml:space="preserve"> </w:t>
      </w:r>
      <w:r>
        <w:t>el</w:t>
      </w:r>
      <w:r>
        <w:rPr>
          <w:spacing w:val="-9"/>
        </w:rPr>
        <w:t xml:space="preserve"> </w:t>
      </w:r>
      <w:r>
        <w:t>exterior</w:t>
      </w:r>
      <w:r>
        <w:rPr>
          <w:spacing w:val="-8"/>
        </w:rPr>
        <w:t xml:space="preserve"> </w:t>
      </w:r>
      <w:r>
        <w:t>marcaron</w:t>
      </w:r>
      <w:r>
        <w:rPr>
          <w:spacing w:val="-8"/>
        </w:rPr>
        <w:t xml:space="preserve"> </w:t>
      </w:r>
      <w:r>
        <w:t>–desde</w:t>
      </w:r>
      <w:r>
        <w:rPr>
          <w:spacing w:val="-9"/>
        </w:rPr>
        <w:t xml:space="preserve"> </w:t>
      </w:r>
      <w:r>
        <w:t>la</w:t>
      </w:r>
      <w:r>
        <w:rPr>
          <w:spacing w:val="-8"/>
        </w:rPr>
        <w:t xml:space="preserve"> </w:t>
      </w:r>
      <w:r>
        <w:t>colonia–</w:t>
      </w:r>
      <w:r>
        <w:rPr>
          <w:spacing w:val="-9"/>
        </w:rPr>
        <w:t xml:space="preserve"> </w:t>
      </w:r>
      <w:r>
        <w:t>el</w:t>
      </w:r>
      <w:r>
        <w:rPr>
          <w:spacing w:val="-8"/>
        </w:rPr>
        <w:t xml:space="preserve"> </w:t>
      </w:r>
      <w:r>
        <w:t>carácter</w:t>
      </w:r>
      <w:r>
        <w:rPr>
          <w:spacing w:val="-9"/>
        </w:rPr>
        <w:t xml:space="preserve"> </w:t>
      </w:r>
      <w:r>
        <w:t>altamente</w:t>
      </w:r>
      <w:r>
        <w:rPr>
          <w:spacing w:val="-9"/>
        </w:rPr>
        <w:t xml:space="preserve"> </w:t>
      </w:r>
      <w:r>
        <w:t>fragmentado</w:t>
      </w:r>
      <w:r>
        <w:rPr>
          <w:spacing w:val="-8"/>
        </w:rPr>
        <w:t xml:space="preserve"> </w:t>
      </w:r>
      <w:r>
        <w:t>del desarrollo regional del país. Solo hasta las primeras décadas del siglo XX se consolidaron cuatro ciudades como cabezas regionales: Bogotá, Medellín, Cali y Barranquilla</w:t>
      </w:r>
      <w:r w:rsidR="00D86F09">
        <w:rPr>
          <w:rStyle w:val="Refdenotaalpie"/>
        </w:rPr>
        <w:footnoteReference w:id="1003"/>
      </w:r>
      <w:r>
        <w:t>.</w:t>
      </w:r>
    </w:p>
    <w:p w:rsidR="003804AC" w:rsidRDefault="00AF18A5" w:rsidP="00D86F09">
      <w:r>
        <w:t>Los</w:t>
      </w:r>
      <w:r>
        <w:rPr>
          <w:spacing w:val="-5"/>
        </w:rPr>
        <w:t xml:space="preserve"> </w:t>
      </w:r>
      <w:r>
        <w:t>nuevos</w:t>
      </w:r>
      <w:r>
        <w:rPr>
          <w:spacing w:val="-6"/>
        </w:rPr>
        <w:t xml:space="preserve"> </w:t>
      </w:r>
      <w:r>
        <w:t>residentes</w:t>
      </w:r>
      <w:r>
        <w:rPr>
          <w:spacing w:val="-6"/>
        </w:rPr>
        <w:t xml:space="preserve"> </w:t>
      </w:r>
      <w:r>
        <w:t>de</w:t>
      </w:r>
      <w:r>
        <w:rPr>
          <w:spacing w:val="-4"/>
        </w:rPr>
        <w:t xml:space="preserve"> </w:t>
      </w:r>
      <w:r>
        <w:t>las</w:t>
      </w:r>
      <w:r>
        <w:rPr>
          <w:spacing w:val="-6"/>
        </w:rPr>
        <w:t xml:space="preserve"> </w:t>
      </w:r>
      <w:r>
        <w:t>ciudades</w:t>
      </w:r>
      <w:r>
        <w:rPr>
          <w:spacing w:val="-4"/>
        </w:rPr>
        <w:t xml:space="preserve"> </w:t>
      </w:r>
      <w:r>
        <w:t>llegaron</w:t>
      </w:r>
      <w:r>
        <w:rPr>
          <w:spacing w:val="-6"/>
        </w:rPr>
        <w:t xml:space="preserve"> </w:t>
      </w:r>
      <w:r>
        <w:t>a</w:t>
      </w:r>
      <w:r>
        <w:rPr>
          <w:spacing w:val="-6"/>
        </w:rPr>
        <w:t xml:space="preserve"> </w:t>
      </w:r>
      <w:r>
        <w:t>ocupar</w:t>
      </w:r>
      <w:r>
        <w:rPr>
          <w:spacing w:val="-5"/>
        </w:rPr>
        <w:t xml:space="preserve"> </w:t>
      </w:r>
      <w:r>
        <w:t>los</w:t>
      </w:r>
      <w:r>
        <w:rPr>
          <w:spacing w:val="-5"/>
        </w:rPr>
        <w:t xml:space="preserve"> </w:t>
      </w:r>
      <w:r>
        <w:t>inquilinatos:</w:t>
      </w:r>
      <w:r>
        <w:rPr>
          <w:spacing w:val="-5"/>
        </w:rPr>
        <w:t xml:space="preserve"> </w:t>
      </w:r>
      <w:r>
        <w:t>grandes</w:t>
      </w:r>
      <w:r>
        <w:rPr>
          <w:spacing w:val="-4"/>
        </w:rPr>
        <w:t xml:space="preserve"> </w:t>
      </w:r>
      <w:r>
        <w:t>casonas en las zonas centrales que habían sido abandonadas por las élites; aunque también fueron ocupadas las zonas de borde, arrabales o las llamadas periferias. La colonización popular urbana</w:t>
      </w:r>
      <w:r>
        <w:rPr>
          <w:spacing w:val="-14"/>
        </w:rPr>
        <w:t xml:space="preserve"> </w:t>
      </w:r>
      <w:r>
        <w:t>se</w:t>
      </w:r>
      <w:r>
        <w:rPr>
          <w:spacing w:val="-14"/>
        </w:rPr>
        <w:t xml:space="preserve"> </w:t>
      </w:r>
      <w:r>
        <w:t>fue</w:t>
      </w:r>
      <w:r>
        <w:rPr>
          <w:spacing w:val="-14"/>
        </w:rPr>
        <w:t xml:space="preserve"> </w:t>
      </w:r>
      <w:r>
        <w:t>forjando</w:t>
      </w:r>
      <w:r>
        <w:rPr>
          <w:spacing w:val="-15"/>
        </w:rPr>
        <w:t xml:space="preserve"> </w:t>
      </w:r>
      <w:r>
        <w:t>en</w:t>
      </w:r>
      <w:r>
        <w:rPr>
          <w:spacing w:val="-14"/>
        </w:rPr>
        <w:t xml:space="preserve"> </w:t>
      </w:r>
      <w:r>
        <w:t>condiciones</w:t>
      </w:r>
      <w:r>
        <w:rPr>
          <w:spacing w:val="-14"/>
        </w:rPr>
        <w:t xml:space="preserve"> </w:t>
      </w:r>
      <w:r>
        <w:t>de</w:t>
      </w:r>
      <w:r>
        <w:rPr>
          <w:spacing w:val="-14"/>
        </w:rPr>
        <w:t xml:space="preserve"> </w:t>
      </w:r>
      <w:r>
        <w:t>precariedad</w:t>
      </w:r>
      <w:r>
        <w:rPr>
          <w:spacing w:val="-14"/>
        </w:rPr>
        <w:t xml:space="preserve"> </w:t>
      </w:r>
      <w:r>
        <w:t>extrema.</w:t>
      </w:r>
      <w:r>
        <w:rPr>
          <w:spacing w:val="-5"/>
        </w:rPr>
        <w:t xml:space="preserve"> </w:t>
      </w:r>
      <w:r>
        <w:t>La</w:t>
      </w:r>
      <w:r>
        <w:rPr>
          <w:spacing w:val="-14"/>
        </w:rPr>
        <w:t xml:space="preserve"> </w:t>
      </w:r>
      <w:r>
        <w:t>precaria</w:t>
      </w:r>
      <w:r>
        <w:rPr>
          <w:spacing w:val="-15"/>
        </w:rPr>
        <w:t xml:space="preserve"> </w:t>
      </w:r>
      <w:r>
        <w:t>planeación</w:t>
      </w:r>
      <w:r>
        <w:rPr>
          <w:spacing w:val="-14"/>
        </w:rPr>
        <w:t xml:space="preserve"> </w:t>
      </w:r>
      <w:r>
        <w:t>urbana que</w:t>
      </w:r>
      <w:r>
        <w:rPr>
          <w:spacing w:val="-2"/>
        </w:rPr>
        <w:t xml:space="preserve"> </w:t>
      </w:r>
      <w:r>
        <w:t>se</w:t>
      </w:r>
      <w:r>
        <w:rPr>
          <w:spacing w:val="-2"/>
        </w:rPr>
        <w:t xml:space="preserve"> </w:t>
      </w:r>
      <w:r>
        <w:t>intentó</w:t>
      </w:r>
      <w:r>
        <w:rPr>
          <w:spacing w:val="-2"/>
        </w:rPr>
        <w:t xml:space="preserve"> </w:t>
      </w:r>
      <w:r>
        <w:t>incorporar</w:t>
      </w:r>
      <w:r>
        <w:rPr>
          <w:spacing w:val="-3"/>
        </w:rPr>
        <w:t xml:space="preserve"> </w:t>
      </w:r>
      <w:r>
        <w:t>a</w:t>
      </w:r>
      <w:r>
        <w:rPr>
          <w:spacing w:val="-2"/>
        </w:rPr>
        <w:t xml:space="preserve"> </w:t>
      </w:r>
      <w:r>
        <w:t>partir</w:t>
      </w:r>
      <w:r>
        <w:rPr>
          <w:spacing w:val="-2"/>
        </w:rPr>
        <w:t xml:space="preserve"> </w:t>
      </w:r>
      <w:r>
        <w:t>de</w:t>
      </w:r>
      <w:r>
        <w:rPr>
          <w:spacing w:val="-2"/>
        </w:rPr>
        <w:t xml:space="preserve"> </w:t>
      </w:r>
      <w:r>
        <w:t>la</w:t>
      </w:r>
      <w:r>
        <w:rPr>
          <w:spacing w:val="-2"/>
        </w:rPr>
        <w:t xml:space="preserve"> </w:t>
      </w:r>
      <w:r>
        <w:t>década</w:t>
      </w:r>
      <w:r>
        <w:rPr>
          <w:spacing w:val="-2"/>
        </w:rPr>
        <w:t xml:space="preserve"> </w:t>
      </w:r>
      <w:r>
        <w:t>del</w:t>
      </w:r>
      <w:r>
        <w:rPr>
          <w:spacing w:val="-3"/>
        </w:rPr>
        <w:t xml:space="preserve"> </w:t>
      </w:r>
      <w:r>
        <w:t>treinta</w:t>
      </w:r>
      <w:r>
        <w:rPr>
          <w:spacing w:val="-2"/>
        </w:rPr>
        <w:t xml:space="preserve"> </w:t>
      </w:r>
      <w:r>
        <w:t>del</w:t>
      </w:r>
      <w:r>
        <w:rPr>
          <w:spacing w:val="-2"/>
        </w:rPr>
        <w:t xml:space="preserve"> </w:t>
      </w:r>
      <w:r>
        <w:t>siglo</w:t>
      </w:r>
      <w:r>
        <w:rPr>
          <w:spacing w:val="-2"/>
        </w:rPr>
        <w:t xml:space="preserve"> </w:t>
      </w:r>
      <w:r>
        <w:t>XX</w:t>
      </w:r>
      <w:r>
        <w:rPr>
          <w:spacing w:val="-3"/>
        </w:rPr>
        <w:t xml:space="preserve"> </w:t>
      </w:r>
      <w:r>
        <w:t>fue</w:t>
      </w:r>
      <w:r>
        <w:rPr>
          <w:spacing w:val="-1"/>
        </w:rPr>
        <w:t xml:space="preserve"> </w:t>
      </w:r>
      <w:r>
        <w:t>desbordada</w:t>
      </w:r>
      <w:r>
        <w:rPr>
          <w:spacing w:val="-3"/>
        </w:rPr>
        <w:t xml:space="preserve"> </w:t>
      </w:r>
      <w:r>
        <w:t>por</w:t>
      </w:r>
      <w:r>
        <w:rPr>
          <w:spacing w:val="-2"/>
        </w:rPr>
        <w:t xml:space="preserve"> </w:t>
      </w:r>
      <w:r>
        <w:t>el impacto del desplazamiento forzado. Las ciudades se fueron haciendo a diario. Durante las décadas del sesenta y del setenta fue común que, de lunes a sábado, los barrios populares proveyeran los materiales y la mano de obra para la construcción de modernos edificios institucionales, aeropuertos y grandes vías. Mientras que los domingos, sin descanso, las familias</w:t>
      </w:r>
      <w:r>
        <w:rPr>
          <w:spacing w:val="11"/>
        </w:rPr>
        <w:t xml:space="preserve"> </w:t>
      </w:r>
      <w:r>
        <w:t>de</w:t>
      </w:r>
      <w:r>
        <w:rPr>
          <w:spacing w:val="10"/>
        </w:rPr>
        <w:t xml:space="preserve"> </w:t>
      </w:r>
      <w:r>
        <w:lastRenderedPageBreak/>
        <w:t>estos</w:t>
      </w:r>
      <w:r>
        <w:rPr>
          <w:spacing w:val="11"/>
        </w:rPr>
        <w:t xml:space="preserve"> </w:t>
      </w:r>
      <w:r>
        <w:t>barrios</w:t>
      </w:r>
      <w:r>
        <w:rPr>
          <w:spacing w:val="10"/>
        </w:rPr>
        <w:t xml:space="preserve"> </w:t>
      </w:r>
      <w:r>
        <w:t>avanzaban</w:t>
      </w:r>
      <w:r>
        <w:rPr>
          <w:spacing w:val="9"/>
        </w:rPr>
        <w:t xml:space="preserve"> </w:t>
      </w:r>
      <w:r>
        <w:t>a</w:t>
      </w:r>
      <w:r>
        <w:rPr>
          <w:spacing w:val="11"/>
        </w:rPr>
        <w:t xml:space="preserve"> </w:t>
      </w:r>
      <w:r>
        <w:t>través</w:t>
      </w:r>
      <w:r>
        <w:rPr>
          <w:spacing w:val="11"/>
        </w:rPr>
        <w:t xml:space="preserve"> </w:t>
      </w:r>
      <w:r>
        <w:t>de</w:t>
      </w:r>
      <w:r>
        <w:rPr>
          <w:spacing w:val="10"/>
        </w:rPr>
        <w:t xml:space="preserve"> </w:t>
      </w:r>
      <w:r>
        <w:t>mingas,</w:t>
      </w:r>
      <w:r>
        <w:rPr>
          <w:spacing w:val="9"/>
        </w:rPr>
        <w:t xml:space="preserve"> </w:t>
      </w:r>
      <w:r>
        <w:t>convites</w:t>
      </w:r>
      <w:r>
        <w:rPr>
          <w:spacing w:val="11"/>
        </w:rPr>
        <w:t xml:space="preserve"> </w:t>
      </w:r>
      <w:r>
        <w:t>y</w:t>
      </w:r>
      <w:r>
        <w:rPr>
          <w:spacing w:val="11"/>
        </w:rPr>
        <w:t xml:space="preserve"> </w:t>
      </w:r>
      <w:r>
        <w:t>ollas</w:t>
      </w:r>
      <w:r>
        <w:rPr>
          <w:spacing w:val="10"/>
        </w:rPr>
        <w:t xml:space="preserve"> </w:t>
      </w:r>
      <w:r>
        <w:t>comunitarias</w:t>
      </w:r>
      <w:r>
        <w:rPr>
          <w:spacing w:val="11"/>
        </w:rPr>
        <w:t xml:space="preserve"> </w:t>
      </w:r>
      <w:r>
        <w:t>en</w:t>
      </w:r>
      <w:r>
        <w:rPr>
          <w:spacing w:val="11"/>
        </w:rPr>
        <w:t xml:space="preserve"> </w:t>
      </w:r>
      <w:r>
        <w:rPr>
          <w:spacing w:val="-5"/>
        </w:rPr>
        <w:t>la</w:t>
      </w:r>
      <w:bookmarkStart w:id="1243" w:name="_bookmark1100"/>
      <w:bookmarkStart w:id="1244" w:name="_bookmark1101"/>
      <w:bookmarkEnd w:id="1243"/>
      <w:bookmarkEnd w:id="1244"/>
      <w:r w:rsidR="00D86F09">
        <w:t xml:space="preserve"> </w:t>
      </w:r>
      <w:r>
        <w:t>construcción</w:t>
      </w:r>
      <w:r>
        <w:rPr>
          <w:spacing w:val="-12"/>
        </w:rPr>
        <w:t xml:space="preserve"> </w:t>
      </w:r>
      <w:r>
        <w:t>de</w:t>
      </w:r>
      <w:r>
        <w:rPr>
          <w:spacing w:val="-10"/>
        </w:rPr>
        <w:t xml:space="preserve"> </w:t>
      </w:r>
      <w:r>
        <w:t>sus</w:t>
      </w:r>
      <w:r>
        <w:rPr>
          <w:spacing w:val="-11"/>
        </w:rPr>
        <w:t xml:space="preserve"> </w:t>
      </w:r>
      <w:r>
        <w:t>propias</w:t>
      </w:r>
      <w:r>
        <w:rPr>
          <w:spacing w:val="-10"/>
        </w:rPr>
        <w:t xml:space="preserve"> </w:t>
      </w:r>
      <w:r>
        <w:t>viviendas,</w:t>
      </w:r>
      <w:r>
        <w:rPr>
          <w:spacing w:val="-11"/>
        </w:rPr>
        <w:t xml:space="preserve"> </w:t>
      </w:r>
      <w:r>
        <w:t>caminos,</w:t>
      </w:r>
      <w:r>
        <w:rPr>
          <w:spacing w:val="-11"/>
        </w:rPr>
        <w:t xml:space="preserve"> </w:t>
      </w:r>
      <w:r>
        <w:t>iglesias,</w:t>
      </w:r>
      <w:r>
        <w:rPr>
          <w:spacing w:val="-11"/>
        </w:rPr>
        <w:t xml:space="preserve"> </w:t>
      </w:r>
      <w:r>
        <w:t>parques</w:t>
      </w:r>
      <w:r>
        <w:rPr>
          <w:spacing w:val="-10"/>
        </w:rPr>
        <w:t xml:space="preserve"> </w:t>
      </w:r>
      <w:r>
        <w:t>y</w:t>
      </w:r>
      <w:r>
        <w:rPr>
          <w:spacing w:val="-11"/>
        </w:rPr>
        <w:t xml:space="preserve"> </w:t>
      </w:r>
      <w:r>
        <w:t>salones</w:t>
      </w:r>
      <w:r>
        <w:rPr>
          <w:spacing w:val="-10"/>
        </w:rPr>
        <w:t xml:space="preserve"> </w:t>
      </w:r>
      <w:r>
        <w:t>comunales.</w:t>
      </w:r>
      <w:r>
        <w:rPr>
          <w:spacing w:val="-11"/>
        </w:rPr>
        <w:t xml:space="preserve"> </w:t>
      </w:r>
      <w:r>
        <w:t>Estas fueron</w:t>
      </w:r>
      <w:r>
        <w:rPr>
          <w:spacing w:val="-6"/>
        </w:rPr>
        <w:t xml:space="preserve"> </w:t>
      </w:r>
      <w:r>
        <w:t>las</w:t>
      </w:r>
      <w:r>
        <w:rPr>
          <w:spacing w:val="-6"/>
        </w:rPr>
        <w:t xml:space="preserve"> </w:t>
      </w:r>
      <w:r>
        <w:t>formas</w:t>
      </w:r>
      <w:r>
        <w:rPr>
          <w:spacing w:val="-6"/>
        </w:rPr>
        <w:t xml:space="preserve"> </w:t>
      </w:r>
      <w:r>
        <w:t>que</w:t>
      </w:r>
      <w:r>
        <w:rPr>
          <w:spacing w:val="-6"/>
        </w:rPr>
        <w:t xml:space="preserve"> </w:t>
      </w:r>
      <w:r>
        <w:t>tomaron</w:t>
      </w:r>
      <w:r>
        <w:rPr>
          <w:spacing w:val="-6"/>
        </w:rPr>
        <w:t xml:space="preserve"> </w:t>
      </w:r>
      <w:r>
        <w:t>las</w:t>
      </w:r>
      <w:r>
        <w:rPr>
          <w:spacing w:val="-6"/>
        </w:rPr>
        <w:t xml:space="preserve"> </w:t>
      </w:r>
      <w:r>
        <w:t>vidas</w:t>
      </w:r>
      <w:r>
        <w:rPr>
          <w:spacing w:val="-6"/>
        </w:rPr>
        <w:t xml:space="preserve"> </w:t>
      </w:r>
      <w:r>
        <w:t>de</w:t>
      </w:r>
      <w:r>
        <w:rPr>
          <w:spacing w:val="-6"/>
        </w:rPr>
        <w:t xml:space="preserve"> </w:t>
      </w:r>
      <w:r>
        <w:t>los</w:t>
      </w:r>
      <w:r>
        <w:rPr>
          <w:spacing w:val="-6"/>
        </w:rPr>
        <w:t xml:space="preserve"> </w:t>
      </w:r>
      <w:r>
        <w:t>cientos</w:t>
      </w:r>
      <w:r>
        <w:rPr>
          <w:spacing w:val="-6"/>
        </w:rPr>
        <w:t xml:space="preserve"> </w:t>
      </w:r>
      <w:r>
        <w:t>de</w:t>
      </w:r>
      <w:r>
        <w:rPr>
          <w:spacing w:val="-6"/>
        </w:rPr>
        <w:t xml:space="preserve"> </w:t>
      </w:r>
      <w:r>
        <w:t>miles</w:t>
      </w:r>
      <w:r>
        <w:rPr>
          <w:spacing w:val="-6"/>
        </w:rPr>
        <w:t xml:space="preserve"> </w:t>
      </w:r>
      <w:r>
        <w:t>de</w:t>
      </w:r>
      <w:r>
        <w:rPr>
          <w:spacing w:val="-6"/>
        </w:rPr>
        <w:t xml:space="preserve"> </w:t>
      </w:r>
      <w:r>
        <w:t>campesinos</w:t>
      </w:r>
      <w:r>
        <w:rPr>
          <w:spacing w:val="-6"/>
        </w:rPr>
        <w:t xml:space="preserve"> </w:t>
      </w:r>
      <w:r>
        <w:t>y</w:t>
      </w:r>
      <w:r>
        <w:rPr>
          <w:spacing w:val="-6"/>
        </w:rPr>
        <w:t xml:space="preserve"> </w:t>
      </w:r>
      <w:r>
        <w:t>campesinas que llegaron a las ciudades, y también la manera en que gran parte del país se urbanizó.</w:t>
      </w:r>
    </w:p>
    <w:p w:rsidR="003804AC" w:rsidRDefault="00AF18A5" w:rsidP="00D86F09">
      <w:r>
        <w:t>Desplazarse</w:t>
      </w:r>
      <w:r>
        <w:rPr>
          <w:spacing w:val="-8"/>
        </w:rPr>
        <w:t xml:space="preserve"> </w:t>
      </w:r>
      <w:r>
        <w:t>del</w:t>
      </w:r>
      <w:r>
        <w:rPr>
          <w:spacing w:val="-7"/>
        </w:rPr>
        <w:t xml:space="preserve"> </w:t>
      </w:r>
      <w:r>
        <w:t>campo</w:t>
      </w:r>
      <w:r>
        <w:rPr>
          <w:spacing w:val="-7"/>
        </w:rPr>
        <w:t xml:space="preserve"> </w:t>
      </w:r>
      <w:r>
        <w:t>a</w:t>
      </w:r>
      <w:r>
        <w:rPr>
          <w:spacing w:val="-8"/>
        </w:rPr>
        <w:t xml:space="preserve"> </w:t>
      </w:r>
      <w:r>
        <w:t>la</w:t>
      </w:r>
      <w:r>
        <w:rPr>
          <w:spacing w:val="-7"/>
        </w:rPr>
        <w:t xml:space="preserve"> </w:t>
      </w:r>
      <w:r>
        <w:t>ciudad</w:t>
      </w:r>
      <w:r>
        <w:rPr>
          <w:spacing w:val="-7"/>
        </w:rPr>
        <w:t xml:space="preserve"> </w:t>
      </w:r>
      <w:r>
        <w:t>implicó</w:t>
      </w:r>
      <w:r>
        <w:rPr>
          <w:spacing w:val="-8"/>
        </w:rPr>
        <w:t xml:space="preserve"> </w:t>
      </w:r>
      <w:r>
        <w:t>recrear</w:t>
      </w:r>
      <w:r>
        <w:rPr>
          <w:spacing w:val="-8"/>
        </w:rPr>
        <w:t xml:space="preserve"> </w:t>
      </w:r>
      <w:r>
        <w:t>el</w:t>
      </w:r>
      <w:r>
        <w:rPr>
          <w:spacing w:val="-7"/>
        </w:rPr>
        <w:t xml:space="preserve"> </w:t>
      </w:r>
      <w:r>
        <w:t>mundo</w:t>
      </w:r>
      <w:r>
        <w:rPr>
          <w:spacing w:val="-7"/>
        </w:rPr>
        <w:t xml:space="preserve"> </w:t>
      </w:r>
      <w:r>
        <w:t>a</w:t>
      </w:r>
      <w:r>
        <w:rPr>
          <w:spacing w:val="-8"/>
        </w:rPr>
        <w:t xml:space="preserve"> </w:t>
      </w:r>
      <w:r>
        <w:t>partir</w:t>
      </w:r>
      <w:r>
        <w:rPr>
          <w:spacing w:val="-7"/>
        </w:rPr>
        <w:t xml:space="preserve"> </w:t>
      </w:r>
      <w:r>
        <w:t>de</w:t>
      </w:r>
      <w:r>
        <w:rPr>
          <w:spacing w:val="-8"/>
        </w:rPr>
        <w:t xml:space="preserve"> </w:t>
      </w:r>
      <w:r>
        <w:t>la</w:t>
      </w:r>
      <w:r>
        <w:rPr>
          <w:spacing w:val="-8"/>
        </w:rPr>
        <w:t xml:space="preserve"> </w:t>
      </w:r>
      <w:r>
        <w:t>construcción</w:t>
      </w:r>
      <w:r>
        <w:rPr>
          <w:spacing w:val="-8"/>
        </w:rPr>
        <w:t xml:space="preserve"> </w:t>
      </w:r>
      <w:r>
        <w:t>de nuevas territorialidades en lo urbano. En este proceso, los campesinos mestizos, afrodescendientes,</w:t>
      </w:r>
      <w:r>
        <w:rPr>
          <w:spacing w:val="-14"/>
        </w:rPr>
        <w:t xml:space="preserve"> </w:t>
      </w:r>
      <w:r>
        <w:t>indígenas</w:t>
      </w:r>
      <w:r>
        <w:rPr>
          <w:spacing w:val="-13"/>
        </w:rPr>
        <w:t xml:space="preserve"> </w:t>
      </w:r>
      <w:r>
        <w:t>y</w:t>
      </w:r>
      <w:r>
        <w:rPr>
          <w:spacing w:val="-13"/>
        </w:rPr>
        <w:t xml:space="preserve"> </w:t>
      </w:r>
      <w:r>
        <w:t>población</w:t>
      </w:r>
      <w:r>
        <w:rPr>
          <w:spacing w:val="-13"/>
        </w:rPr>
        <w:t xml:space="preserve"> </w:t>
      </w:r>
      <w:proofErr w:type="spellStart"/>
      <w:r>
        <w:t>Rom</w:t>
      </w:r>
      <w:proofErr w:type="spellEnd"/>
      <w:r>
        <w:rPr>
          <w:spacing w:val="-13"/>
        </w:rPr>
        <w:t xml:space="preserve"> </w:t>
      </w:r>
      <w:r>
        <w:t>que</w:t>
      </w:r>
      <w:r>
        <w:rPr>
          <w:spacing w:val="-14"/>
        </w:rPr>
        <w:t xml:space="preserve"> </w:t>
      </w:r>
      <w:r>
        <w:t>poblaron</w:t>
      </w:r>
      <w:r>
        <w:rPr>
          <w:spacing w:val="-14"/>
        </w:rPr>
        <w:t xml:space="preserve"> </w:t>
      </w:r>
      <w:r>
        <w:t>las</w:t>
      </w:r>
      <w:r>
        <w:rPr>
          <w:spacing w:val="-14"/>
        </w:rPr>
        <w:t xml:space="preserve"> </w:t>
      </w:r>
      <w:r>
        <w:t>ciudades</w:t>
      </w:r>
      <w:r>
        <w:rPr>
          <w:spacing w:val="-14"/>
        </w:rPr>
        <w:t xml:space="preserve"> </w:t>
      </w:r>
      <w:r>
        <w:t>se</w:t>
      </w:r>
      <w:r>
        <w:rPr>
          <w:spacing w:val="-14"/>
        </w:rPr>
        <w:t xml:space="preserve"> </w:t>
      </w:r>
      <w:r>
        <w:t>vieron</w:t>
      </w:r>
      <w:r>
        <w:rPr>
          <w:spacing w:val="-13"/>
        </w:rPr>
        <w:t xml:space="preserve"> </w:t>
      </w:r>
      <w:r>
        <w:t>obligados a transformar profundamente sus rasgos culturales y composición familiar para adecuarse a las nuevas realidades de la ciudad. A pesar de ello, también desarrollaron formas de resistencia para la pervivencia prácticas y formas de relacionamiento con el entorno que configuraron</w:t>
      </w:r>
      <w:r>
        <w:rPr>
          <w:spacing w:val="-9"/>
        </w:rPr>
        <w:t xml:space="preserve"> </w:t>
      </w:r>
      <w:r>
        <w:t>los</w:t>
      </w:r>
      <w:r>
        <w:rPr>
          <w:spacing w:val="-9"/>
        </w:rPr>
        <w:t xml:space="preserve"> </w:t>
      </w:r>
      <w:r>
        <w:t>nuevos</w:t>
      </w:r>
      <w:r>
        <w:rPr>
          <w:spacing w:val="-9"/>
        </w:rPr>
        <w:t xml:space="preserve"> </w:t>
      </w:r>
      <w:r>
        <w:t>territorios</w:t>
      </w:r>
      <w:r>
        <w:rPr>
          <w:spacing w:val="-9"/>
        </w:rPr>
        <w:t xml:space="preserve"> </w:t>
      </w:r>
      <w:r>
        <w:t>urbanos.</w:t>
      </w:r>
      <w:r>
        <w:rPr>
          <w:spacing w:val="-9"/>
        </w:rPr>
        <w:t xml:space="preserve"> </w:t>
      </w:r>
      <w:r>
        <w:t>En</w:t>
      </w:r>
      <w:r>
        <w:rPr>
          <w:spacing w:val="-9"/>
        </w:rPr>
        <w:t xml:space="preserve"> </w:t>
      </w:r>
      <w:r>
        <w:t>los</w:t>
      </w:r>
      <w:r>
        <w:rPr>
          <w:spacing w:val="-9"/>
        </w:rPr>
        <w:t xml:space="preserve"> </w:t>
      </w:r>
      <w:r>
        <w:t>barrios</w:t>
      </w:r>
      <w:r>
        <w:rPr>
          <w:spacing w:val="-9"/>
        </w:rPr>
        <w:t xml:space="preserve"> </w:t>
      </w:r>
      <w:r>
        <w:t>populares</w:t>
      </w:r>
      <w:r>
        <w:rPr>
          <w:spacing w:val="-9"/>
        </w:rPr>
        <w:t xml:space="preserve"> </w:t>
      </w:r>
      <w:r>
        <w:t>emergentes</w:t>
      </w:r>
      <w:r>
        <w:rPr>
          <w:spacing w:val="-9"/>
        </w:rPr>
        <w:t xml:space="preserve"> </w:t>
      </w:r>
      <w:r>
        <w:t>de</w:t>
      </w:r>
      <w:r>
        <w:rPr>
          <w:spacing w:val="-9"/>
        </w:rPr>
        <w:t xml:space="preserve"> </w:t>
      </w:r>
      <w:r>
        <w:t>pueblos, medianas y grandes ciudades, el cultivo de huertas familiares o comunitarias con semillas traídas de los territorios de origen, o la crianza de gallinas, ovejas y cerdos fue una práctica común.</w:t>
      </w:r>
      <w:r>
        <w:rPr>
          <w:spacing w:val="-8"/>
        </w:rPr>
        <w:t xml:space="preserve"> </w:t>
      </w:r>
      <w:r>
        <w:t>También</w:t>
      </w:r>
      <w:r>
        <w:rPr>
          <w:spacing w:val="-8"/>
        </w:rPr>
        <w:t xml:space="preserve"> </w:t>
      </w:r>
      <w:r>
        <w:t>estos</w:t>
      </w:r>
      <w:r>
        <w:rPr>
          <w:spacing w:val="-8"/>
        </w:rPr>
        <w:t xml:space="preserve"> </w:t>
      </w:r>
      <w:r>
        <w:t>fueron</w:t>
      </w:r>
      <w:r>
        <w:rPr>
          <w:spacing w:val="-8"/>
        </w:rPr>
        <w:t xml:space="preserve"> </w:t>
      </w:r>
      <w:r>
        <w:t>escenario</w:t>
      </w:r>
      <w:r>
        <w:rPr>
          <w:spacing w:val="-8"/>
        </w:rPr>
        <w:t xml:space="preserve"> </w:t>
      </w:r>
      <w:r>
        <w:t>de</w:t>
      </w:r>
      <w:r>
        <w:rPr>
          <w:spacing w:val="-8"/>
        </w:rPr>
        <w:t xml:space="preserve"> </w:t>
      </w:r>
      <w:r>
        <w:t>la</w:t>
      </w:r>
      <w:r>
        <w:rPr>
          <w:spacing w:val="-9"/>
        </w:rPr>
        <w:t xml:space="preserve"> </w:t>
      </w:r>
      <w:r>
        <w:t>recreación</w:t>
      </w:r>
      <w:r>
        <w:rPr>
          <w:spacing w:val="-8"/>
        </w:rPr>
        <w:t xml:space="preserve"> </w:t>
      </w:r>
      <w:r>
        <w:t>de</w:t>
      </w:r>
      <w:r>
        <w:rPr>
          <w:spacing w:val="-9"/>
        </w:rPr>
        <w:t xml:space="preserve"> </w:t>
      </w:r>
      <w:r>
        <w:t>fiestas</w:t>
      </w:r>
      <w:r>
        <w:rPr>
          <w:spacing w:val="-8"/>
        </w:rPr>
        <w:t xml:space="preserve"> </w:t>
      </w:r>
      <w:r>
        <w:t>y</w:t>
      </w:r>
      <w:r>
        <w:rPr>
          <w:spacing w:val="-8"/>
        </w:rPr>
        <w:t xml:space="preserve"> </w:t>
      </w:r>
      <w:r>
        <w:t>celebraciones</w:t>
      </w:r>
      <w:r>
        <w:rPr>
          <w:spacing w:val="-8"/>
        </w:rPr>
        <w:t xml:space="preserve"> </w:t>
      </w:r>
      <w:r>
        <w:t>populares como los San Pachitos que las comunidades negras desplazadas del Pacífico colombiano celebran en barrios de Bogotá y Medellín, entre otras.</w:t>
      </w:r>
    </w:p>
    <w:p w:rsidR="003804AC" w:rsidRDefault="00AF18A5" w:rsidP="00D86F09">
      <w:r>
        <w:t>El</w:t>
      </w:r>
      <w:r>
        <w:rPr>
          <w:spacing w:val="-15"/>
        </w:rPr>
        <w:t xml:space="preserve"> </w:t>
      </w:r>
      <w:r>
        <w:t>desplazamiento</w:t>
      </w:r>
      <w:r>
        <w:rPr>
          <w:spacing w:val="-15"/>
        </w:rPr>
        <w:t xml:space="preserve"> </w:t>
      </w:r>
      <w:r>
        <w:t>forzado</w:t>
      </w:r>
      <w:r>
        <w:rPr>
          <w:spacing w:val="-15"/>
        </w:rPr>
        <w:t xml:space="preserve"> </w:t>
      </w:r>
      <w:r>
        <w:t>–mejor</w:t>
      </w:r>
      <w:r>
        <w:rPr>
          <w:spacing w:val="-15"/>
        </w:rPr>
        <w:t xml:space="preserve"> </w:t>
      </w:r>
      <w:r>
        <w:t>definido</w:t>
      </w:r>
      <w:r>
        <w:rPr>
          <w:spacing w:val="-15"/>
        </w:rPr>
        <w:t xml:space="preserve"> </w:t>
      </w:r>
      <w:r>
        <w:t>por</w:t>
      </w:r>
      <w:r>
        <w:rPr>
          <w:spacing w:val="-15"/>
        </w:rPr>
        <w:t xml:space="preserve"> </w:t>
      </w:r>
      <w:r>
        <w:t>Alfredo</w:t>
      </w:r>
      <w:r>
        <w:rPr>
          <w:spacing w:val="-15"/>
        </w:rPr>
        <w:t xml:space="preserve"> </w:t>
      </w:r>
      <w:r>
        <w:t>Molano</w:t>
      </w:r>
      <w:r>
        <w:rPr>
          <w:spacing w:val="-15"/>
        </w:rPr>
        <w:t xml:space="preserve"> </w:t>
      </w:r>
      <w:r>
        <w:t>como</w:t>
      </w:r>
      <w:r>
        <w:rPr>
          <w:spacing w:val="-15"/>
        </w:rPr>
        <w:t xml:space="preserve"> </w:t>
      </w:r>
      <w:r>
        <w:t>desplazamiento</w:t>
      </w:r>
      <w:r>
        <w:rPr>
          <w:spacing w:val="-15"/>
        </w:rPr>
        <w:t xml:space="preserve"> </w:t>
      </w:r>
      <w:r>
        <w:t>por terror– incidió de manera significativa en la transición de un país rural disperso a un país urbano</w:t>
      </w:r>
      <w:r>
        <w:rPr>
          <w:spacing w:val="-2"/>
        </w:rPr>
        <w:t xml:space="preserve"> </w:t>
      </w:r>
      <w:r>
        <w:t>concentrado.</w:t>
      </w:r>
      <w:r>
        <w:rPr>
          <w:spacing w:val="-2"/>
        </w:rPr>
        <w:t xml:space="preserve"> </w:t>
      </w:r>
      <w:r>
        <w:t>En</w:t>
      </w:r>
      <w:r>
        <w:rPr>
          <w:spacing w:val="-3"/>
        </w:rPr>
        <w:t xml:space="preserve"> </w:t>
      </w:r>
      <w:r>
        <w:t>1964,</w:t>
      </w:r>
      <w:r>
        <w:rPr>
          <w:spacing w:val="-2"/>
        </w:rPr>
        <w:t xml:space="preserve"> </w:t>
      </w:r>
      <w:r>
        <w:t>la</w:t>
      </w:r>
      <w:r>
        <w:rPr>
          <w:spacing w:val="-2"/>
        </w:rPr>
        <w:t xml:space="preserve"> </w:t>
      </w:r>
      <w:r>
        <w:t>curva</w:t>
      </w:r>
      <w:r>
        <w:rPr>
          <w:spacing w:val="-2"/>
        </w:rPr>
        <w:t xml:space="preserve"> </w:t>
      </w:r>
      <w:r>
        <w:t>poblacional</w:t>
      </w:r>
      <w:r>
        <w:rPr>
          <w:spacing w:val="-2"/>
        </w:rPr>
        <w:t xml:space="preserve"> </w:t>
      </w:r>
      <w:r>
        <w:t>se</w:t>
      </w:r>
      <w:r>
        <w:rPr>
          <w:spacing w:val="-3"/>
        </w:rPr>
        <w:t xml:space="preserve"> </w:t>
      </w:r>
      <w:r>
        <w:t>invirtió:</w:t>
      </w:r>
      <w:r>
        <w:rPr>
          <w:spacing w:val="-2"/>
        </w:rPr>
        <w:t xml:space="preserve"> </w:t>
      </w:r>
      <w:r>
        <w:t>«La</w:t>
      </w:r>
      <w:r>
        <w:rPr>
          <w:spacing w:val="-2"/>
        </w:rPr>
        <w:t xml:space="preserve"> </w:t>
      </w:r>
      <w:r>
        <w:t>proporción</w:t>
      </w:r>
      <w:r>
        <w:rPr>
          <w:spacing w:val="-2"/>
        </w:rPr>
        <w:t xml:space="preserve"> </w:t>
      </w:r>
      <w:r>
        <w:t>de</w:t>
      </w:r>
      <w:r>
        <w:rPr>
          <w:spacing w:val="-2"/>
        </w:rPr>
        <w:t xml:space="preserve"> </w:t>
      </w:r>
      <w:r>
        <w:t xml:space="preserve">población residente en cabeceras municipales del país se multiplicó por doce al pasar de dos millones y medio en 1938 a 31,5 millones en 2005 […] En </w:t>
      </w:r>
      <w:r>
        <w:lastRenderedPageBreak/>
        <w:t>el mismo periodo la población rural no alcanzó a duplicarse». Esto significó el aumento de un 29</w:t>
      </w:r>
      <w:r>
        <w:rPr>
          <w:spacing w:val="-2"/>
        </w:rPr>
        <w:t xml:space="preserve"> </w:t>
      </w:r>
      <w:r>
        <w:t>% (en 1938) a un 75</w:t>
      </w:r>
      <w:r>
        <w:rPr>
          <w:spacing w:val="-2"/>
        </w:rPr>
        <w:t xml:space="preserve"> </w:t>
      </w:r>
      <w:r>
        <w:t>% (en 2005) de</w:t>
      </w:r>
      <w:r>
        <w:rPr>
          <w:spacing w:val="-3"/>
        </w:rPr>
        <w:t xml:space="preserve"> </w:t>
      </w:r>
      <w:r>
        <w:t>la</w:t>
      </w:r>
      <w:r>
        <w:rPr>
          <w:spacing w:val="-5"/>
        </w:rPr>
        <w:t xml:space="preserve"> </w:t>
      </w:r>
      <w:r>
        <w:t>población</w:t>
      </w:r>
      <w:r w:rsidR="00D86F09">
        <w:rPr>
          <w:rStyle w:val="Refdenotaalpie"/>
        </w:rPr>
        <w:footnoteReference w:id="1004"/>
      </w:r>
      <w:r>
        <w:rPr>
          <w:spacing w:val="-3"/>
        </w:rPr>
        <w:t xml:space="preserve"> </w:t>
      </w:r>
      <w:r>
        <w:t>residiendo</w:t>
      </w:r>
      <w:r>
        <w:rPr>
          <w:spacing w:val="-4"/>
        </w:rPr>
        <w:t xml:space="preserve"> </w:t>
      </w:r>
      <w:r>
        <w:t>en</w:t>
      </w:r>
      <w:r>
        <w:rPr>
          <w:spacing w:val="-4"/>
        </w:rPr>
        <w:t xml:space="preserve"> </w:t>
      </w:r>
      <w:r>
        <w:t>ciudades,</w:t>
      </w:r>
      <w:r>
        <w:rPr>
          <w:spacing w:val="-4"/>
        </w:rPr>
        <w:t xml:space="preserve"> </w:t>
      </w:r>
      <w:r>
        <w:t>un</w:t>
      </w:r>
      <w:r>
        <w:rPr>
          <w:spacing w:val="-4"/>
        </w:rPr>
        <w:t xml:space="preserve"> </w:t>
      </w:r>
      <w:r>
        <w:t>aumento</w:t>
      </w:r>
      <w:r>
        <w:rPr>
          <w:spacing w:val="-4"/>
        </w:rPr>
        <w:t xml:space="preserve"> </w:t>
      </w:r>
      <w:r>
        <w:t>que</w:t>
      </w:r>
      <w:r>
        <w:rPr>
          <w:spacing w:val="-3"/>
        </w:rPr>
        <w:t xml:space="preserve"> </w:t>
      </w:r>
      <w:r>
        <w:t>desbordó</w:t>
      </w:r>
      <w:r>
        <w:rPr>
          <w:spacing w:val="-4"/>
        </w:rPr>
        <w:t xml:space="preserve"> </w:t>
      </w:r>
      <w:r>
        <w:t>la</w:t>
      </w:r>
      <w:r>
        <w:rPr>
          <w:spacing w:val="-5"/>
        </w:rPr>
        <w:t xml:space="preserve"> </w:t>
      </w:r>
      <w:r>
        <w:t>planeación</w:t>
      </w:r>
      <w:r>
        <w:rPr>
          <w:spacing w:val="-4"/>
        </w:rPr>
        <w:t xml:space="preserve"> </w:t>
      </w:r>
      <w:r>
        <w:t>urbana</w:t>
      </w:r>
      <w:r>
        <w:rPr>
          <w:spacing w:val="-6"/>
        </w:rPr>
        <w:t xml:space="preserve"> </w:t>
      </w:r>
      <w:r>
        <w:t>y replicó en las ciudades las lógicas de desigualdad entre el centro y la periferia.</w:t>
      </w:r>
    </w:p>
    <w:p w:rsidR="003804AC" w:rsidRDefault="00AF18A5" w:rsidP="00D86F09">
      <w:r>
        <w:t>La</w:t>
      </w:r>
      <w:r>
        <w:rPr>
          <w:spacing w:val="-12"/>
        </w:rPr>
        <w:t xml:space="preserve"> </w:t>
      </w:r>
      <w:r>
        <w:t>incidencia</w:t>
      </w:r>
      <w:r>
        <w:rPr>
          <w:spacing w:val="-12"/>
        </w:rPr>
        <w:t xml:space="preserve"> </w:t>
      </w:r>
      <w:r>
        <w:t>de</w:t>
      </w:r>
      <w:r>
        <w:rPr>
          <w:spacing w:val="-12"/>
        </w:rPr>
        <w:t xml:space="preserve"> </w:t>
      </w:r>
      <w:r>
        <w:t>las</w:t>
      </w:r>
      <w:r>
        <w:rPr>
          <w:spacing w:val="-12"/>
        </w:rPr>
        <w:t xml:space="preserve"> </w:t>
      </w:r>
      <w:r>
        <w:t>élites</w:t>
      </w:r>
      <w:r>
        <w:rPr>
          <w:spacing w:val="-12"/>
        </w:rPr>
        <w:t xml:space="preserve"> </w:t>
      </w:r>
      <w:r>
        <w:t>regionales</w:t>
      </w:r>
      <w:r>
        <w:rPr>
          <w:spacing w:val="-12"/>
        </w:rPr>
        <w:t xml:space="preserve"> </w:t>
      </w:r>
      <w:r>
        <w:t>en</w:t>
      </w:r>
      <w:r>
        <w:rPr>
          <w:spacing w:val="-12"/>
        </w:rPr>
        <w:t xml:space="preserve"> </w:t>
      </w:r>
      <w:r>
        <w:t>las</w:t>
      </w:r>
      <w:r>
        <w:rPr>
          <w:spacing w:val="-12"/>
        </w:rPr>
        <w:t xml:space="preserve"> </w:t>
      </w:r>
      <w:r>
        <w:t>decisiones</w:t>
      </w:r>
      <w:r>
        <w:rPr>
          <w:spacing w:val="-12"/>
        </w:rPr>
        <w:t xml:space="preserve"> </w:t>
      </w:r>
      <w:r>
        <w:t>del</w:t>
      </w:r>
      <w:r>
        <w:rPr>
          <w:spacing w:val="-12"/>
        </w:rPr>
        <w:t xml:space="preserve"> </w:t>
      </w:r>
      <w:r>
        <w:t>nivel</w:t>
      </w:r>
      <w:r>
        <w:rPr>
          <w:spacing w:val="-11"/>
        </w:rPr>
        <w:t xml:space="preserve"> </w:t>
      </w:r>
      <w:r>
        <w:t>central</w:t>
      </w:r>
      <w:r>
        <w:rPr>
          <w:spacing w:val="-12"/>
        </w:rPr>
        <w:t xml:space="preserve"> </w:t>
      </w:r>
      <w:r>
        <w:t>también</w:t>
      </w:r>
      <w:r>
        <w:rPr>
          <w:spacing w:val="-12"/>
        </w:rPr>
        <w:t xml:space="preserve"> </w:t>
      </w:r>
      <w:r>
        <w:t>dio</w:t>
      </w:r>
      <w:r>
        <w:rPr>
          <w:spacing w:val="-12"/>
        </w:rPr>
        <w:t xml:space="preserve"> </w:t>
      </w:r>
      <w:r>
        <w:t>origen e institucionalizó –a partir de 1968– los auxilios parlamentarios y partidas regionales que ofrecían</w:t>
      </w:r>
      <w:r>
        <w:rPr>
          <w:spacing w:val="-6"/>
        </w:rPr>
        <w:t xml:space="preserve"> </w:t>
      </w:r>
      <w:r>
        <w:t>a</w:t>
      </w:r>
      <w:r>
        <w:rPr>
          <w:spacing w:val="-2"/>
        </w:rPr>
        <w:t xml:space="preserve"> </w:t>
      </w:r>
      <w:r>
        <w:t>los</w:t>
      </w:r>
      <w:r>
        <w:rPr>
          <w:spacing w:val="-3"/>
        </w:rPr>
        <w:t xml:space="preserve"> </w:t>
      </w:r>
      <w:r>
        <w:t>congresistas</w:t>
      </w:r>
      <w:r>
        <w:rPr>
          <w:spacing w:val="-2"/>
        </w:rPr>
        <w:t xml:space="preserve"> </w:t>
      </w:r>
      <w:r>
        <w:t>montos</w:t>
      </w:r>
      <w:r>
        <w:rPr>
          <w:spacing w:val="-4"/>
        </w:rPr>
        <w:t xml:space="preserve"> </w:t>
      </w:r>
      <w:r>
        <w:t>para</w:t>
      </w:r>
      <w:r>
        <w:rPr>
          <w:spacing w:val="-2"/>
        </w:rPr>
        <w:t xml:space="preserve"> </w:t>
      </w:r>
      <w:r>
        <w:t>invertir</w:t>
      </w:r>
      <w:r>
        <w:rPr>
          <w:spacing w:val="-2"/>
        </w:rPr>
        <w:t xml:space="preserve"> </w:t>
      </w:r>
      <w:r>
        <w:t>en</w:t>
      </w:r>
      <w:r>
        <w:rPr>
          <w:spacing w:val="-3"/>
        </w:rPr>
        <w:t xml:space="preserve"> </w:t>
      </w:r>
      <w:r>
        <w:t>sus</w:t>
      </w:r>
      <w:r>
        <w:rPr>
          <w:spacing w:val="-4"/>
        </w:rPr>
        <w:t xml:space="preserve"> </w:t>
      </w:r>
      <w:r>
        <w:t>regiones.</w:t>
      </w:r>
      <w:r>
        <w:rPr>
          <w:spacing w:val="-3"/>
        </w:rPr>
        <w:t xml:space="preserve"> </w:t>
      </w:r>
      <w:r>
        <w:t>Los</w:t>
      </w:r>
      <w:r>
        <w:rPr>
          <w:spacing w:val="-2"/>
        </w:rPr>
        <w:t xml:space="preserve"> </w:t>
      </w:r>
      <w:r>
        <w:t>auxilios</w:t>
      </w:r>
      <w:r>
        <w:rPr>
          <w:spacing w:val="-2"/>
        </w:rPr>
        <w:t xml:space="preserve"> </w:t>
      </w:r>
      <w:r>
        <w:t>se</w:t>
      </w:r>
      <w:r>
        <w:rPr>
          <w:spacing w:val="-2"/>
        </w:rPr>
        <w:t xml:space="preserve"> convirtieron</w:t>
      </w:r>
      <w:bookmarkStart w:id="1245" w:name="_bookmark1102"/>
      <w:bookmarkEnd w:id="1245"/>
      <w:r w:rsidR="00D86F09">
        <w:t xml:space="preserve"> </w:t>
      </w:r>
      <w:r>
        <w:t>en</w:t>
      </w:r>
      <w:r>
        <w:rPr>
          <w:spacing w:val="-8"/>
        </w:rPr>
        <w:t xml:space="preserve"> </w:t>
      </w:r>
      <w:r>
        <w:t>fuente</w:t>
      </w:r>
      <w:r>
        <w:rPr>
          <w:spacing w:val="-8"/>
        </w:rPr>
        <w:t xml:space="preserve"> </w:t>
      </w:r>
      <w:r>
        <w:t>de</w:t>
      </w:r>
      <w:r>
        <w:rPr>
          <w:spacing w:val="-9"/>
        </w:rPr>
        <w:t xml:space="preserve"> </w:t>
      </w:r>
      <w:r>
        <w:t>corrupción</w:t>
      </w:r>
      <w:r>
        <w:rPr>
          <w:spacing w:val="-8"/>
        </w:rPr>
        <w:t xml:space="preserve"> </w:t>
      </w:r>
      <w:r>
        <w:t>y</w:t>
      </w:r>
      <w:r>
        <w:rPr>
          <w:spacing w:val="-9"/>
        </w:rPr>
        <w:t xml:space="preserve"> </w:t>
      </w:r>
      <w:r>
        <w:t>además</w:t>
      </w:r>
      <w:r>
        <w:rPr>
          <w:spacing w:val="-8"/>
        </w:rPr>
        <w:t xml:space="preserve"> </w:t>
      </w:r>
      <w:r>
        <w:t>constituyeron</w:t>
      </w:r>
      <w:r>
        <w:rPr>
          <w:spacing w:val="-8"/>
        </w:rPr>
        <w:t xml:space="preserve"> </w:t>
      </w:r>
      <w:r>
        <w:t>un</w:t>
      </w:r>
      <w:r>
        <w:rPr>
          <w:spacing w:val="-8"/>
        </w:rPr>
        <w:t xml:space="preserve"> </w:t>
      </w:r>
      <w:r>
        <w:t>incentivo</w:t>
      </w:r>
      <w:r>
        <w:rPr>
          <w:spacing w:val="-8"/>
        </w:rPr>
        <w:t xml:space="preserve"> </w:t>
      </w:r>
      <w:r>
        <w:t>adicional</w:t>
      </w:r>
      <w:r>
        <w:rPr>
          <w:spacing w:val="-8"/>
        </w:rPr>
        <w:t xml:space="preserve"> </w:t>
      </w:r>
      <w:r>
        <w:t>para</w:t>
      </w:r>
      <w:r>
        <w:rPr>
          <w:spacing w:val="-8"/>
        </w:rPr>
        <w:t xml:space="preserve"> </w:t>
      </w:r>
      <w:r>
        <w:t>que</w:t>
      </w:r>
      <w:r>
        <w:rPr>
          <w:spacing w:val="-8"/>
        </w:rPr>
        <w:t xml:space="preserve"> </w:t>
      </w:r>
      <w:r>
        <w:t>los</w:t>
      </w:r>
      <w:r>
        <w:rPr>
          <w:spacing w:val="-8"/>
        </w:rPr>
        <w:t xml:space="preserve"> </w:t>
      </w:r>
      <w:r>
        <w:t>políticos de</w:t>
      </w:r>
      <w:r>
        <w:rPr>
          <w:spacing w:val="-9"/>
        </w:rPr>
        <w:t xml:space="preserve"> </w:t>
      </w:r>
      <w:r>
        <w:t>las</w:t>
      </w:r>
      <w:r>
        <w:rPr>
          <w:spacing w:val="-9"/>
        </w:rPr>
        <w:t xml:space="preserve"> </w:t>
      </w:r>
      <w:r>
        <w:t>regiones</w:t>
      </w:r>
      <w:r>
        <w:rPr>
          <w:spacing w:val="-9"/>
        </w:rPr>
        <w:t xml:space="preserve"> </w:t>
      </w:r>
      <w:r>
        <w:t>se</w:t>
      </w:r>
      <w:r>
        <w:rPr>
          <w:spacing w:val="-9"/>
        </w:rPr>
        <w:t xml:space="preserve"> </w:t>
      </w:r>
      <w:r>
        <w:t>emanciparan</w:t>
      </w:r>
      <w:r>
        <w:rPr>
          <w:spacing w:val="-9"/>
        </w:rPr>
        <w:t xml:space="preserve"> </w:t>
      </w:r>
      <w:r>
        <w:t>del</w:t>
      </w:r>
      <w:r>
        <w:rPr>
          <w:spacing w:val="-9"/>
        </w:rPr>
        <w:t xml:space="preserve"> </w:t>
      </w:r>
      <w:r>
        <w:t>centro</w:t>
      </w:r>
      <w:r>
        <w:rPr>
          <w:spacing w:val="-9"/>
        </w:rPr>
        <w:t xml:space="preserve"> </w:t>
      </w:r>
      <w:r>
        <w:t>partidista.</w:t>
      </w:r>
      <w:r>
        <w:rPr>
          <w:spacing w:val="-9"/>
        </w:rPr>
        <w:t xml:space="preserve"> </w:t>
      </w:r>
      <w:r>
        <w:t>Los</w:t>
      </w:r>
      <w:r>
        <w:rPr>
          <w:spacing w:val="-9"/>
        </w:rPr>
        <w:t xml:space="preserve"> </w:t>
      </w:r>
      <w:r>
        <w:t>aportes</w:t>
      </w:r>
      <w:r>
        <w:rPr>
          <w:spacing w:val="-9"/>
        </w:rPr>
        <w:t xml:space="preserve"> </w:t>
      </w:r>
      <w:r>
        <w:t>a</w:t>
      </w:r>
      <w:r>
        <w:rPr>
          <w:spacing w:val="-9"/>
        </w:rPr>
        <w:t xml:space="preserve"> </w:t>
      </w:r>
      <w:r>
        <w:t>las</w:t>
      </w:r>
      <w:r>
        <w:rPr>
          <w:spacing w:val="-9"/>
        </w:rPr>
        <w:t xml:space="preserve"> </w:t>
      </w:r>
      <w:r>
        <w:t>regiones</w:t>
      </w:r>
      <w:r>
        <w:rPr>
          <w:spacing w:val="-9"/>
        </w:rPr>
        <w:t xml:space="preserve"> </w:t>
      </w:r>
      <w:r>
        <w:t>y</w:t>
      </w:r>
      <w:r>
        <w:rPr>
          <w:spacing w:val="-9"/>
        </w:rPr>
        <w:t xml:space="preserve"> </w:t>
      </w:r>
      <w:r>
        <w:t>localidades, contemplados</w:t>
      </w:r>
      <w:r>
        <w:rPr>
          <w:spacing w:val="-2"/>
        </w:rPr>
        <w:t xml:space="preserve"> </w:t>
      </w:r>
      <w:r>
        <w:t>en</w:t>
      </w:r>
      <w:r>
        <w:rPr>
          <w:spacing w:val="-2"/>
        </w:rPr>
        <w:t xml:space="preserve"> </w:t>
      </w:r>
      <w:r>
        <w:t>el</w:t>
      </w:r>
      <w:r>
        <w:rPr>
          <w:spacing w:val="-2"/>
        </w:rPr>
        <w:t xml:space="preserve"> </w:t>
      </w:r>
      <w:r>
        <w:t>plan</w:t>
      </w:r>
      <w:r>
        <w:rPr>
          <w:spacing w:val="-4"/>
        </w:rPr>
        <w:t xml:space="preserve"> </w:t>
      </w:r>
      <w:r>
        <w:t>de</w:t>
      </w:r>
      <w:r>
        <w:rPr>
          <w:spacing w:val="-2"/>
        </w:rPr>
        <w:t xml:space="preserve"> </w:t>
      </w:r>
      <w:r>
        <w:t>desarrollo</w:t>
      </w:r>
      <w:r>
        <w:rPr>
          <w:spacing w:val="-2"/>
        </w:rPr>
        <w:t xml:space="preserve"> </w:t>
      </w:r>
      <w:r>
        <w:t>nacional</w:t>
      </w:r>
      <w:r w:rsidR="00D86F09">
        <w:rPr>
          <w:rStyle w:val="Refdenotaalpie"/>
        </w:rPr>
        <w:footnoteReference w:id="1005"/>
      </w:r>
      <w:r>
        <w:t>,</w:t>
      </w:r>
      <w:r>
        <w:rPr>
          <w:spacing w:val="-2"/>
        </w:rPr>
        <w:t xml:space="preserve"> </w:t>
      </w:r>
      <w:r>
        <w:t>se</w:t>
      </w:r>
      <w:r>
        <w:rPr>
          <w:spacing w:val="-2"/>
        </w:rPr>
        <w:t xml:space="preserve"> </w:t>
      </w:r>
      <w:r>
        <w:t>hacían</w:t>
      </w:r>
      <w:r>
        <w:rPr>
          <w:spacing w:val="-2"/>
        </w:rPr>
        <w:t xml:space="preserve"> </w:t>
      </w:r>
      <w:r>
        <w:t>a</w:t>
      </w:r>
      <w:r>
        <w:rPr>
          <w:spacing w:val="-2"/>
        </w:rPr>
        <w:t xml:space="preserve"> </w:t>
      </w:r>
      <w:r>
        <w:t>nombre</w:t>
      </w:r>
      <w:r>
        <w:rPr>
          <w:spacing w:val="-2"/>
        </w:rPr>
        <w:t xml:space="preserve"> </w:t>
      </w:r>
      <w:r>
        <w:t>del</w:t>
      </w:r>
      <w:r>
        <w:rPr>
          <w:spacing w:val="-2"/>
        </w:rPr>
        <w:t xml:space="preserve"> </w:t>
      </w:r>
      <w:r>
        <w:t>parlamentario</w:t>
      </w:r>
      <w:r>
        <w:rPr>
          <w:spacing w:val="-4"/>
        </w:rPr>
        <w:t xml:space="preserve"> </w:t>
      </w:r>
      <w:r>
        <w:t>en cuestión, que terminaba</w:t>
      </w:r>
      <w:r>
        <w:rPr>
          <w:spacing w:val="-1"/>
        </w:rPr>
        <w:t xml:space="preserve"> </w:t>
      </w:r>
      <w:r>
        <w:t>personificando al Estado</w:t>
      </w:r>
      <w:r>
        <w:rPr>
          <w:spacing w:val="-1"/>
        </w:rPr>
        <w:t xml:space="preserve"> </w:t>
      </w:r>
      <w:r>
        <w:t>en el territorio y profundizando el</w:t>
      </w:r>
      <w:r>
        <w:rPr>
          <w:spacing w:val="-1"/>
        </w:rPr>
        <w:t xml:space="preserve"> </w:t>
      </w:r>
      <w:r>
        <w:t>modelo de acceso a</w:t>
      </w:r>
      <w:r>
        <w:rPr>
          <w:spacing w:val="-1"/>
        </w:rPr>
        <w:t xml:space="preserve"> </w:t>
      </w:r>
      <w:r>
        <w:t>derechos</w:t>
      </w:r>
      <w:r>
        <w:rPr>
          <w:spacing w:val="-1"/>
        </w:rPr>
        <w:t xml:space="preserve"> </w:t>
      </w:r>
      <w:r>
        <w:t>por intercambio de votos.</w:t>
      </w:r>
      <w:r>
        <w:rPr>
          <w:spacing w:val="-1"/>
        </w:rPr>
        <w:t xml:space="preserve"> </w:t>
      </w:r>
      <w:r>
        <w:t>Esta dinámica reforzó</w:t>
      </w:r>
      <w:r>
        <w:rPr>
          <w:spacing w:val="-1"/>
        </w:rPr>
        <w:t xml:space="preserve"> </w:t>
      </w:r>
      <w:r>
        <w:t>el</w:t>
      </w:r>
      <w:r>
        <w:rPr>
          <w:spacing w:val="-1"/>
        </w:rPr>
        <w:t xml:space="preserve"> </w:t>
      </w:r>
      <w:r>
        <w:t>modelo</w:t>
      </w:r>
      <w:r>
        <w:rPr>
          <w:spacing w:val="-1"/>
        </w:rPr>
        <w:t xml:space="preserve"> </w:t>
      </w:r>
      <w:r>
        <w:t>clientelista de captura de votos e integración social, no solo en las áreas rurales, sino también en los barrios</w:t>
      </w:r>
      <w:r>
        <w:rPr>
          <w:spacing w:val="-6"/>
        </w:rPr>
        <w:t xml:space="preserve"> </w:t>
      </w:r>
      <w:r>
        <w:t>recién</w:t>
      </w:r>
      <w:r>
        <w:rPr>
          <w:spacing w:val="-6"/>
        </w:rPr>
        <w:t xml:space="preserve"> </w:t>
      </w:r>
      <w:r>
        <w:t>creados</w:t>
      </w:r>
      <w:r>
        <w:rPr>
          <w:spacing w:val="-6"/>
        </w:rPr>
        <w:t xml:space="preserve"> </w:t>
      </w:r>
      <w:r>
        <w:t>en</w:t>
      </w:r>
      <w:r>
        <w:rPr>
          <w:spacing w:val="-7"/>
        </w:rPr>
        <w:t xml:space="preserve"> </w:t>
      </w:r>
      <w:r>
        <w:t>las</w:t>
      </w:r>
      <w:r>
        <w:rPr>
          <w:spacing w:val="-6"/>
        </w:rPr>
        <w:t xml:space="preserve"> </w:t>
      </w:r>
      <w:r>
        <w:t>ciudades,</w:t>
      </w:r>
      <w:r>
        <w:rPr>
          <w:spacing w:val="-6"/>
        </w:rPr>
        <w:t xml:space="preserve"> </w:t>
      </w:r>
      <w:r>
        <w:t>como</w:t>
      </w:r>
      <w:r>
        <w:rPr>
          <w:spacing w:val="-6"/>
        </w:rPr>
        <w:t xml:space="preserve"> </w:t>
      </w:r>
      <w:r>
        <w:t>parte</w:t>
      </w:r>
      <w:r>
        <w:rPr>
          <w:spacing w:val="-7"/>
        </w:rPr>
        <w:t xml:space="preserve"> </w:t>
      </w:r>
      <w:r>
        <w:t>del</w:t>
      </w:r>
      <w:r>
        <w:rPr>
          <w:spacing w:val="-6"/>
        </w:rPr>
        <w:t xml:space="preserve"> </w:t>
      </w:r>
      <w:r>
        <w:t>acelerado</w:t>
      </w:r>
      <w:r>
        <w:rPr>
          <w:spacing w:val="-6"/>
        </w:rPr>
        <w:t xml:space="preserve"> </w:t>
      </w:r>
      <w:r>
        <w:t>proceso</w:t>
      </w:r>
      <w:r>
        <w:rPr>
          <w:spacing w:val="-6"/>
        </w:rPr>
        <w:t xml:space="preserve"> </w:t>
      </w:r>
      <w:r>
        <w:t>de</w:t>
      </w:r>
      <w:r>
        <w:rPr>
          <w:spacing w:val="-7"/>
        </w:rPr>
        <w:t xml:space="preserve"> </w:t>
      </w:r>
      <w:r>
        <w:t>urbanización,</w:t>
      </w:r>
      <w:r>
        <w:rPr>
          <w:spacing w:val="-6"/>
        </w:rPr>
        <w:t xml:space="preserve"> </w:t>
      </w:r>
      <w:r>
        <w:t>en los que la provisión de vivienda, servicios públicos e inversión estatal, se convertían en recursos electorales frescos para las élites políticas locales y regionales</w:t>
      </w:r>
      <w:r w:rsidR="00D86F09">
        <w:rPr>
          <w:rStyle w:val="Refdenotaalpie"/>
        </w:rPr>
        <w:footnoteReference w:id="1006"/>
      </w:r>
      <w:r>
        <w:t>.</w:t>
      </w:r>
    </w:p>
    <w:p w:rsidR="003804AC" w:rsidRDefault="00AF18A5" w:rsidP="00D86F09">
      <w:r>
        <w:t xml:space="preserve">La limitada implementación de las reformas sociales del Frente Nacional, que se explica en buena medida por esta dinámica, produjo una rápida pérdida de credibilidad y apoyo al régimen político, que se expresó en </w:t>
      </w:r>
      <w:r>
        <w:lastRenderedPageBreak/>
        <w:t>los constantes estallidos de movilización social, el episodio</w:t>
      </w:r>
      <w:r>
        <w:rPr>
          <w:spacing w:val="-15"/>
        </w:rPr>
        <w:t xml:space="preserve"> </w:t>
      </w:r>
      <w:r>
        <w:t>de</w:t>
      </w:r>
      <w:r>
        <w:rPr>
          <w:spacing w:val="-15"/>
        </w:rPr>
        <w:t xml:space="preserve"> </w:t>
      </w:r>
      <w:r>
        <w:t>las</w:t>
      </w:r>
      <w:r>
        <w:rPr>
          <w:spacing w:val="-15"/>
        </w:rPr>
        <w:t xml:space="preserve"> </w:t>
      </w:r>
      <w:r>
        <w:t>elecciones</w:t>
      </w:r>
      <w:r>
        <w:rPr>
          <w:spacing w:val="-15"/>
        </w:rPr>
        <w:t xml:space="preserve"> </w:t>
      </w:r>
      <w:r>
        <w:t>de</w:t>
      </w:r>
      <w:r>
        <w:rPr>
          <w:spacing w:val="-15"/>
        </w:rPr>
        <w:t xml:space="preserve"> </w:t>
      </w:r>
      <w:r>
        <w:t>1970</w:t>
      </w:r>
      <w:r w:rsidR="00D86F09">
        <w:rPr>
          <w:rStyle w:val="Refdenotaalpie"/>
        </w:rPr>
        <w:footnoteReference w:id="1007"/>
      </w:r>
      <w:r>
        <w:rPr>
          <w:spacing w:val="-15"/>
        </w:rPr>
        <w:t xml:space="preserve"> </w:t>
      </w:r>
      <w:r>
        <w:t>y</w:t>
      </w:r>
      <w:r>
        <w:rPr>
          <w:spacing w:val="-15"/>
        </w:rPr>
        <w:t xml:space="preserve"> </w:t>
      </w:r>
      <w:r>
        <w:t>la</w:t>
      </w:r>
      <w:r>
        <w:rPr>
          <w:spacing w:val="-15"/>
        </w:rPr>
        <w:t xml:space="preserve"> </w:t>
      </w:r>
      <w:r>
        <w:t>creación</w:t>
      </w:r>
      <w:r>
        <w:rPr>
          <w:spacing w:val="-15"/>
        </w:rPr>
        <w:t xml:space="preserve"> </w:t>
      </w:r>
      <w:r>
        <w:t>y</w:t>
      </w:r>
      <w:r>
        <w:rPr>
          <w:spacing w:val="-15"/>
        </w:rPr>
        <w:t xml:space="preserve"> </w:t>
      </w:r>
      <w:r>
        <w:t>consolidación</w:t>
      </w:r>
      <w:r>
        <w:rPr>
          <w:spacing w:val="-15"/>
        </w:rPr>
        <w:t xml:space="preserve"> </w:t>
      </w:r>
      <w:r>
        <w:t>de</w:t>
      </w:r>
      <w:r>
        <w:rPr>
          <w:spacing w:val="-15"/>
        </w:rPr>
        <w:t xml:space="preserve"> </w:t>
      </w:r>
      <w:r>
        <w:t>las</w:t>
      </w:r>
      <w:r>
        <w:rPr>
          <w:spacing w:val="-15"/>
        </w:rPr>
        <w:t xml:space="preserve"> </w:t>
      </w:r>
      <w:r>
        <w:t>guerrillas.</w:t>
      </w:r>
      <w:r>
        <w:rPr>
          <w:spacing w:val="-15"/>
        </w:rPr>
        <w:t xml:space="preserve"> </w:t>
      </w:r>
      <w:r>
        <w:t>Además, la</w:t>
      </w:r>
      <w:r>
        <w:rPr>
          <w:spacing w:val="-2"/>
        </w:rPr>
        <w:t xml:space="preserve"> </w:t>
      </w:r>
      <w:r>
        <w:t>derrota</w:t>
      </w:r>
      <w:r>
        <w:rPr>
          <w:spacing w:val="-2"/>
        </w:rPr>
        <w:t xml:space="preserve"> </w:t>
      </w:r>
      <w:r>
        <w:t>de</w:t>
      </w:r>
      <w:r>
        <w:rPr>
          <w:spacing w:val="-4"/>
        </w:rPr>
        <w:t xml:space="preserve"> </w:t>
      </w:r>
      <w:r>
        <w:t>las</w:t>
      </w:r>
      <w:r>
        <w:rPr>
          <w:spacing w:val="-2"/>
        </w:rPr>
        <w:t xml:space="preserve"> </w:t>
      </w:r>
      <w:r>
        <w:t>reformas</w:t>
      </w:r>
      <w:r>
        <w:rPr>
          <w:spacing w:val="-2"/>
        </w:rPr>
        <w:t xml:space="preserve"> </w:t>
      </w:r>
      <w:r>
        <w:t>reforzó</w:t>
      </w:r>
      <w:r>
        <w:rPr>
          <w:spacing w:val="-3"/>
        </w:rPr>
        <w:t xml:space="preserve"> </w:t>
      </w:r>
      <w:r>
        <w:t>el</w:t>
      </w:r>
      <w:r>
        <w:rPr>
          <w:spacing w:val="-2"/>
        </w:rPr>
        <w:t xml:space="preserve"> </w:t>
      </w:r>
      <w:r>
        <w:t>modelo</w:t>
      </w:r>
      <w:r>
        <w:rPr>
          <w:spacing w:val="-3"/>
        </w:rPr>
        <w:t xml:space="preserve"> </w:t>
      </w:r>
      <w:r>
        <w:t>de</w:t>
      </w:r>
      <w:r>
        <w:rPr>
          <w:spacing w:val="-2"/>
        </w:rPr>
        <w:t xml:space="preserve"> </w:t>
      </w:r>
      <w:r>
        <w:rPr>
          <w:i/>
        </w:rPr>
        <w:t>colonización</w:t>
      </w:r>
      <w:r>
        <w:rPr>
          <w:i/>
          <w:spacing w:val="-3"/>
        </w:rPr>
        <w:t xml:space="preserve"> </w:t>
      </w:r>
      <w:r>
        <w:rPr>
          <w:i/>
        </w:rPr>
        <w:t>a</w:t>
      </w:r>
      <w:r>
        <w:rPr>
          <w:i/>
          <w:spacing w:val="-3"/>
        </w:rPr>
        <w:t xml:space="preserve"> </w:t>
      </w:r>
      <w:r>
        <w:rPr>
          <w:i/>
        </w:rPr>
        <w:t>la</w:t>
      </w:r>
      <w:r>
        <w:rPr>
          <w:i/>
          <w:spacing w:val="-3"/>
        </w:rPr>
        <w:t xml:space="preserve"> </w:t>
      </w:r>
      <w:r>
        <w:rPr>
          <w:i/>
        </w:rPr>
        <w:t>intemperie</w:t>
      </w:r>
      <w:r w:rsidR="00D86F09">
        <w:rPr>
          <w:rStyle w:val="Refdenotaalpie"/>
          <w:i/>
        </w:rPr>
        <w:footnoteReference w:id="1008"/>
      </w:r>
      <w:r>
        <w:rPr>
          <w:i/>
          <w:spacing w:val="-2"/>
        </w:rPr>
        <w:t xml:space="preserve"> </w:t>
      </w:r>
      <w:r>
        <w:t>como</w:t>
      </w:r>
      <w:r>
        <w:rPr>
          <w:spacing w:val="-3"/>
        </w:rPr>
        <w:t xml:space="preserve"> </w:t>
      </w:r>
      <w:r>
        <w:t>forma de</w:t>
      </w:r>
      <w:r>
        <w:rPr>
          <w:spacing w:val="-14"/>
        </w:rPr>
        <w:t xml:space="preserve"> </w:t>
      </w:r>
      <w:r>
        <w:t>ocupación</w:t>
      </w:r>
      <w:r>
        <w:rPr>
          <w:spacing w:val="-14"/>
        </w:rPr>
        <w:t xml:space="preserve"> </w:t>
      </w:r>
      <w:r>
        <w:t>de</w:t>
      </w:r>
      <w:r>
        <w:rPr>
          <w:spacing w:val="-14"/>
        </w:rPr>
        <w:t xml:space="preserve"> </w:t>
      </w:r>
      <w:r>
        <w:t>territorios,</w:t>
      </w:r>
      <w:r>
        <w:rPr>
          <w:spacing w:val="-15"/>
        </w:rPr>
        <w:t xml:space="preserve"> </w:t>
      </w:r>
      <w:r>
        <w:t>que</w:t>
      </w:r>
      <w:r>
        <w:rPr>
          <w:spacing w:val="-14"/>
        </w:rPr>
        <w:t xml:space="preserve"> </w:t>
      </w:r>
      <w:r>
        <w:t>servía</w:t>
      </w:r>
      <w:r>
        <w:rPr>
          <w:spacing w:val="-14"/>
        </w:rPr>
        <w:t xml:space="preserve"> </w:t>
      </w:r>
      <w:r>
        <w:t>como</w:t>
      </w:r>
      <w:r>
        <w:rPr>
          <w:spacing w:val="-14"/>
        </w:rPr>
        <w:t xml:space="preserve"> </w:t>
      </w:r>
      <w:r>
        <w:t>válvula</w:t>
      </w:r>
      <w:r>
        <w:rPr>
          <w:spacing w:val="-14"/>
        </w:rPr>
        <w:t xml:space="preserve"> </w:t>
      </w:r>
      <w:r>
        <w:t>de</w:t>
      </w:r>
      <w:r>
        <w:rPr>
          <w:spacing w:val="-14"/>
        </w:rPr>
        <w:t xml:space="preserve"> </w:t>
      </w:r>
      <w:r>
        <w:t>escape</w:t>
      </w:r>
      <w:r>
        <w:rPr>
          <w:spacing w:val="-14"/>
        </w:rPr>
        <w:t xml:space="preserve"> </w:t>
      </w:r>
      <w:r>
        <w:t>para</w:t>
      </w:r>
      <w:r>
        <w:rPr>
          <w:spacing w:val="-14"/>
        </w:rPr>
        <w:t xml:space="preserve"> </w:t>
      </w:r>
      <w:r>
        <w:t>los</w:t>
      </w:r>
      <w:r>
        <w:rPr>
          <w:spacing w:val="-14"/>
        </w:rPr>
        <w:t xml:space="preserve"> </w:t>
      </w:r>
      <w:r>
        <w:t>conflictos</w:t>
      </w:r>
      <w:r>
        <w:rPr>
          <w:spacing w:val="-14"/>
        </w:rPr>
        <w:t xml:space="preserve"> </w:t>
      </w:r>
      <w:r>
        <w:t>por</w:t>
      </w:r>
      <w:r>
        <w:rPr>
          <w:spacing w:val="-14"/>
        </w:rPr>
        <w:t xml:space="preserve"> </w:t>
      </w:r>
      <w:r>
        <w:t>la</w:t>
      </w:r>
      <w:r>
        <w:rPr>
          <w:spacing w:val="-14"/>
        </w:rPr>
        <w:t xml:space="preserve"> </w:t>
      </w:r>
      <w:r>
        <w:t>tierra que existían en la región andina del país y, aunque evitaba la redistribución, no garantizaba condiciones mínimas de presencia efectiva del Estado en los territorios y sí acrecentaba las brechas de desarrollo entre las regiones.</w:t>
      </w:r>
    </w:p>
    <w:p w:rsidR="003804AC" w:rsidRDefault="00AF18A5" w:rsidP="00D86F09">
      <w:r>
        <w:t>La adscripción clientelista de buena parte de la población a las redes clientelares de los partidos tradicionales, en las zonas integradas, garantizaba un cierto modo de inclusión de estas</w:t>
      </w:r>
      <w:r>
        <w:rPr>
          <w:spacing w:val="13"/>
        </w:rPr>
        <w:t xml:space="preserve"> </w:t>
      </w:r>
      <w:r>
        <w:t>a</w:t>
      </w:r>
      <w:r>
        <w:rPr>
          <w:spacing w:val="13"/>
        </w:rPr>
        <w:t xml:space="preserve"> </w:t>
      </w:r>
      <w:r>
        <w:t>la</w:t>
      </w:r>
      <w:r>
        <w:rPr>
          <w:spacing w:val="13"/>
        </w:rPr>
        <w:t xml:space="preserve"> </w:t>
      </w:r>
      <w:r>
        <w:t>vida</w:t>
      </w:r>
      <w:r>
        <w:rPr>
          <w:spacing w:val="14"/>
        </w:rPr>
        <w:t xml:space="preserve"> </w:t>
      </w:r>
      <w:r>
        <w:t>política</w:t>
      </w:r>
      <w:r>
        <w:rPr>
          <w:spacing w:val="14"/>
        </w:rPr>
        <w:t xml:space="preserve"> </w:t>
      </w:r>
      <w:r>
        <w:t>nacional</w:t>
      </w:r>
      <w:r>
        <w:rPr>
          <w:spacing w:val="15"/>
        </w:rPr>
        <w:t xml:space="preserve"> </w:t>
      </w:r>
      <w:r>
        <w:t>y</w:t>
      </w:r>
      <w:r>
        <w:rPr>
          <w:spacing w:val="13"/>
        </w:rPr>
        <w:t xml:space="preserve"> </w:t>
      </w:r>
      <w:r>
        <w:t>a</w:t>
      </w:r>
      <w:r>
        <w:rPr>
          <w:spacing w:val="13"/>
        </w:rPr>
        <w:t xml:space="preserve"> </w:t>
      </w:r>
      <w:r>
        <w:t>los</w:t>
      </w:r>
      <w:r>
        <w:rPr>
          <w:spacing w:val="14"/>
        </w:rPr>
        <w:t xml:space="preserve"> </w:t>
      </w:r>
      <w:r>
        <w:t>recursos</w:t>
      </w:r>
      <w:r>
        <w:rPr>
          <w:spacing w:val="12"/>
        </w:rPr>
        <w:t xml:space="preserve"> </w:t>
      </w:r>
      <w:r>
        <w:t>del</w:t>
      </w:r>
      <w:r>
        <w:rPr>
          <w:spacing w:val="15"/>
        </w:rPr>
        <w:t xml:space="preserve"> </w:t>
      </w:r>
      <w:r>
        <w:t>Estado,</w:t>
      </w:r>
      <w:r>
        <w:rPr>
          <w:spacing w:val="13"/>
        </w:rPr>
        <w:t xml:space="preserve"> </w:t>
      </w:r>
      <w:r>
        <w:t>así</w:t>
      </w:r>
      <w:r>
        <w:rPr>
          <w:spacing w:val="15"/>
        </w:rPr>
        <w:t xml:space="preserve"> </w:t>
      </w:r>
      <w:r>
        <w:t>no</w:t>
      </w:r>
      <w:r>
        <w:rPr>
          <w:spacing w:val="13"/>
        </w:rPr>
        <w:t xml:space="preserve"> </w:t>
      </w:r>
      <w:r>
        <w:t>fuera</w:t>
      </w:r>
      <w:r>
        <w:rPr>
          <w:spacing w:val="13"/>
        </w:rPr>
        <w:t xml:space="preserve"> </w:t>
      </w:r>
      <w:r>
        <w:t>democrática,</w:t>
      </w:r>
      <w:r>
        <w:rPr>
          <w:spacing w:val="14"/>
        </w:rPr>
        <w:t xml:space="preserve"> </w:t>
      </w:r>
      <w:r>
        <w:rPr>
          <w:spacing w:val="-4"/>
        </w:rPr>
        <w:t>sino</w:t>
      </w:r>
      <w:bookmarkStart w:id="1246" w:name="_bookmark1103"/>
      <w:bookmarkStart w:id="1247" w:name="_bookmark1104"/>
      <w:bookmarkStart w:id="1248" w:name="_bookmark1105"/>
      <w:bookmarkStart w:id="1249" w:name="_bookmark1106"/>
      <w:bookmarkEnd w:id="1246"/>
      <w:bookmarkEnd w:id="1247"/>
      <w:bookmarkEnd w:id="1248"/>
      <w:bookmarkEnd w:id="1249"/>
      <w:r w:rsidR="00D86F09">
        <w:t xml:space="preserve"> </w:t>
      </w:r>
      <w:r>
        <w:t>todo lo contrario, asimétrica y desigual</w:t>
      </w:r>
      <w:r w:rsidR="00D86F09">
        <w:rPr>
          <w:rStyle w:val="Refdenotaalpie"/>
        </w:rPr>
        <w:footnoteReference w:id="1009"/>
      </w:r>
      <w:r>
        <w:t>. En cambio, en las zonas periféricas, más allá de la</w:t>
      </w:r>
      <w:r>
        <w:rPr>
          <w:spacing w:val="-12"/>
        </w:rPr>
        <w:t xml:space="preserve"> </w:t>
      </w:r>
      <w:r>
        <w:t>frontera</w:t>
      </w:r>
      <w:r>
        <w:rPr>
          <w:spacing w:val="-12"/>
        </w:rPr>
        <w:t xml:space="preserve"> </w:t>
      </w:r>
      <w:r>
        <w:t>agraria,</w:t>
      </w:r>
      <w:r>
        <w:rPr>
          <w:spacing w:val="-12"/>
        </w:rPr>
        <w:t xml:space="preserve"> </w:t>
      </w:r>
      <w:r>
        <w:t>donde</w:t>
      </w:r>
      <w:r>
        <w:rPr>
          <w:spacing w:val="-12"/>
        </w:rPr>
        <w:t xml:space="preserve"> </w:t>
      </w:r>
      <w:r>
        <w:t>las</w:t>
      </w:r>
      <w:r>
        <w:rPr>
          <w:spacing w:val="-12"/>
        </w:rPr>
        <w:t xml:space="preserve"> </w:t>
      </w:r>
      <w:r>
        <w:t>élites</w:t>
      </w:r>
      <w:r>
        <w:rPr>
          <w:spacing w:val="-12"/>
        </w:rPr>
        <w:t xml:space="preserve"> </w:t>
      </w:r>
      <w:r>
        <w:t>no</w:t>
      </w:r>
      <w:r>
        <w:rPr>
          <w:spacing w:val="-12"/>
        </w:rPr>
        <w:t xml:space="preserve"> </w:t>
      </w:r>
      <w:r>
        <w:t>tenían</w:t>
      </w:r>
      <w:r>
        <w:rPr>
          <w:spacing w:val="-12"/>
        </w:rPr>
        <w:t xml:space="preserve"> </w:t>
      </w:r>
      <w:r>
        <w:t>incentivos</w:t>
      </w:r>
      <w:r>
        <w:rPr>
          <w:spacing w:val="-12"/>
        </w:rPr>
        <w:t xml:space="preserve"> </w:t>
      </w:r>
      <w:r>
        <w:t>suficientes</w:t>
      </w:r>
      <w:r>
        <w:rPr>
          <w:spacing w:val="-12"/>
        </w:rPr>
        <w:t xml:space="preserve"> </w:t>
      </w:r>
      <w:r>
        <w:t>para</w:t>
      </w:r>
      <w:r>
        <w:rPr>
          <w:spacing w:val="-12"/>
        </w:rPr>
        <w:t xml:space="preserve"> </w:t>
      </w:r>
      <w:r>
        <w:t>extender</w:t>
      </w:r>
      <w:r>
        <w:rPr>
          <w:spacing w:val="-12"/>
        </w:rPr>
        <w:t xml:space="preserve"> </w:t>
      </w:r>
      <w:r>
        <w:t>la</w:t>
      </w:r>
      <w:r>
        <w:rPr>
          <w:spacing w:val="-12"/>
        </w:rPr>
        <w:t xml:space="preserve"> </w:t>
      </w:r>
      <w:r>
        <w:t xml:space="preserve">presencia de las instituciones del Estado ni las redes clientelares, en las que se promovió un rápido y desigual desarrollo, se crearon las condiciones para que se impusieran órdenes territoriales insurgentes y se desarrollara la economía del narcotráfico. Estos diferentes grados de inclusión de la población al sistema imperante explica la restringida presencia de las guerrillas en el territorio nacional durante los años sesenta y setenta, ubicadas en las zonas de colonización y las fronteras nacionales, dejando libres las </w:t>
      </w:r>
      <w:r>
        <w:lastRenderedPageBreak/>
        <w:t>regiones más integradas del país.</w:t>
      </w:r>
      <w:r>
        <w:rPr>
          <w:spacing w:val="-9"/>
        </w:rPr>
        <w:t xml:space="preserve"> </w:t>
      </w:r>
      <w:r>
        <w:t>Esta</w:t>
      </w:r>
      <w:r>
        <w:rPr>
          <w:spacing w:val="-8"/>
        </w:rPr>
        <w:t xml:space="preserve"> </w:t>
      </w:r>
      <w:r>
        <w:t>situación</w:t>
      </w:r>
      <w:r>
        <w:rPr>
          <w:spacing w:val="-8"/>
        </w:rPr>
        <w:t xml:space="preserve"> </w:t>
      </w:r>
      <w:r>
        <w:t>se</w:t>
      </w:r>
      <w:r>
        <w:rPr>
          <w:spacing w:val="-8"/>
        </w:rPr>
        <w:t xml:space="preserve"> </w:t>
      </w:r>
      <w:r>
        <w:t>modificó</w:t>
      </w:r>
      <w:r>
        <w:rPr>
          <w:spacing w:val="-8"/>
        </w:rPr>
        <w:t xml:space="preserve"> </w:t>
      </w:r>
      <w:r>
        <w:t>a</w:t>
      </w:r>
      <w:r>
        <w:rPr>
          <w:spacing w:val="-8"/>
        </w:rPr>
        <w:t xml:space="preserve"> </w:t>
      </w:r>
      <w:r>
        <w:t>partir</w:t>
      </w:r>
      <w:r>
        <w:rPr>
          <w:spacing w:val="-8"/>
        </w:rPr>
        <w:t xml:space="preserve"> </w:t>
      </w:r>
      <w:r>
        <w:t>de</w:t>
      </w:r>
      <w:r>
        <w:rPr>
          <w:spacing w:val="-8"/>
        </w:rPr>
        <w:t xml:space="preserve"> </w:t>
      </w:r>
      <w:r>
        <w:t>los</w:t>
      </w:r>
      <w:r>
        <w:rPr>
          <w:spacing w:val="-8"/>
        </w:rPr>
        <w:t xml:space="preserve"> </w:t>
      </w:r>
      <w:r>
        <w:t>años</w:t>
      </w:r>
      <w:r>
        <w:rPr>
          <w:spacing w:val="-8"/>
        </w:rPr>
        <w:t xml:space="preserve"> </w:t>
      </w:r>
      <w:r>
        <w:t>ochenta,</w:t>
      </w:r>
      <w:r>
        <w:rPr>
          <w:spacing w:val="-10"/>
        </w:rPr>
        <w:t xml:space="preserve"> </w:t>
      </w:r>
      <w:r>
        <w:t>cuando</w:t>
      </w:r>
      <w:r>
        <w:rPr>
          <w:spacing w:val="-8"/>
        </w:rPr>
        <w:t xml:space="preserve"> </w:t>
      </w:r>
      <w:r>
        <w:t>las</w:t>
      </w:r>
      <w:r>
        <w:rPr>
          <w:spacing w:val="-8"/>
        </w:rPr>
        <w:t xml:space="preserve"> </w:t>
      </w:r>
      <w:r>
        <w:t>guerrillas</w:t>
      </w:r>
      <w:r>
        <w:rPr>
          <w:spacing w:val="-8"/>
        </w:rPr>
        <w:t xml:space="preserve"> </w:t>
      </w:r>
      <w:r>
        <w:t>salieron</w:t>
      </w:r>
      <w:r>
        <w:rPr>
          <w:spacing w:val="-8"/>
        </w:rPr>
        <w:t xml:space="preserve"> </w:t>
      </w:r>
      <w:r>
        <w:t>de las zonas marginales donde nacieron y se proyectaron hacia regiones más integradas de la vida económica y política del país o en proceso de mayor integración. La disputa territorial cobró entonces los más altos costos de la violencia.</w:t>
      </w:r>
    </w:p>
    <w:p w:rsidR="0011361F" w:rsidRDefault="00AF18A5" w:rsidP="00D86F09">
      <w:r>
        <w:t>A esto debe sumarse el problema político que se deriva de la dependencia que el Estado central tiene de las redes clientelares de los partidos tradicionales para hacer presencia en el territorio,</w:t>
      </w:r>
      <w:r>
        <w:rPr>
          <w:spacing w:val="-12"/>
        </w:rPr>
        <w:t xml:space="preserve"> </w:t>
      </w:r>
      <w:r>
        <w:t>y</w:t>
      </w:r>
      <w:r>
        <w:rPr>
          <w:spacing w:val="-12"/>
        </w:rPr>
        <w:t xml:space="preserve"> </w:t>
      </w:r>
      <w:r>
        <w:t>que</w:t>
      </w:r>
      <w:r>
        <w:rPr>
          <w:spacing w:val="-11"/>
        </w:rPr>
        <w:t xml:space="preserve"> </w:t>
      </w:r>
      <w:r>
        <w:t>se</w:t>
      </w:r>
      <w:r>
        <w:rPr>
          <w:spacing w:val="-12"/>
        </w:rPr>
        <w:t xml:space="preserve"> </w:t>
      </w:r>
      <w:r>
        <w:t>concreta</w:t>
      </w:r>
      <w:r>
        <w:rPr>
          <w:spacing w:val="-12"/>
        </w:rPr>
        <w:t xml:space="preserve"> </w:t>
      </w:r>
      <w:r>
        <w:t>en</w:t>
      </w:r>
      <w:r>
        <w:rPr>
          <w:spacing w:val="-11"/>
        </w:rPr>
        <w:t xml:space="preserve"> </w:t>
      </w:r>
      <w:r>
        <w:t>una</w:t>
      </w:r>
      <w:r>
        <w:rPr>
          <w:spacing w:val="-12"/>
        </w:rPr>
        <w:t xml:space="preserve"> </w:t>
      </w:r>
      <w:r>
        <w:t>limitación</w:t>
      </w:r>
      <w:r>
        <w:rPr>
          <w:spacing w:val="-12"/>
        </w:rPr>
        <w:t xml:space="preserve"> </w:t>
      </w:r>
      <w:r>
        <w:t>significativa</w:t>
      </w:r>
      <w:r>
        <w:rPr>
          <w:spacing w:val="-12"/>
        </w:rPr>
        <w:t xml:space="preserve"> </w:t>
      </w:r>
      <w:r>
        <w:t>en</w:t>
      </w:r>
      <w:r>
        <w:rPr>
          <w:spacing w:val="-12"/>
        </w:rPr>
        <w:t xml:space="preserve"> </w:t>
      </w:r>
      <w:r>
        <w:t>su</w:t>
      </w:r>
      <w:r>
        <w:rPr>
          <w:spacing w:val="-11"/>
        </w:rPr>
        <w:t xml:space="preserve"> </w:t>
      </w:r>
      <w:r>
        <w:t>capacidad</w:t>
      </w:r>
      <w:r>
        <w:rPr>
          <w:spacing w:val="-11"/>
        </w:rPr>
        <w:t xml:space="preserve"> </w:t>
      </w:r>
      <w:r>
        <w:t>de</w:t>
      </w:r>
      <w:r>
        <w:rPr>
          <w:spacing w:val="-12"/>
        </w:rPr>
        <w:t xml:space="preserve"> </w:t>
      </w:r>
      <w:r>
        <w:t>interactuar</w:t>
      </w:r>
      <w:r>
        <w:rPr>
          <w:spacing w:val="-10"/>
        </w:rPr>
        <w:t xml:space="preserve"> </w:t>
      </w:r>
      <w:r>
        <w:t>con grupos organizados al margen de esos partidos. Esto sucede especialmente cuando las reivindicaciones y demandas de estos grupos organizados cuestionan los privilegios de las élites</w:t>
      </w:r>
      <w:r>
        <w:rPr>
          <w:spacing w:val="-9"/>
        </w:rPr>
        <w:t xml:space="preserve"> </w:t>
      </w:r>
      <w:r>
        <w:t>locales</w:t>
      </w:r>
      <w:r>
        <w:rPr>
          <w:spacing w:val="-10"/>
        </w:rPr>
        <w:t xml:space="preserve"> </w:t>
      </w:r>
      <w:r>
        <w:t>y</w:t>
      </w:r>
      <w:r>
        <w:rPr>
          <w:spacing w:val="-9"/>
        </w:rPr>
        <w:t xml:space="preserve"> </w:t>
      </w:r>
      <w:r>
        <w:t>regionales</w:t>
      </w:r>
      <w:r>
        <w:rPr>
          <w:spacing w:val="-10"/>
        </w:rPr>
        <w:t xml:space="preserve"> </w:t>
      </w:r>
      <w:r>
        <w:t>–del</w:t>
      </w:r>
      <w:r>
        <w:rPr>
          <w:spacing w:val="-9"/>
        </w:rPr>
        <w:t xml:space="preserve"> </w:t>
      </w:r>
      <w:r>
        <w:t>Cauca,</w:t>
      </w:r>
      <w:r>
        <w:rPr>
          <w:spacing w:val="-11"/>
        </w:rPr>
        <w:t xml:space="preserve"> </w:t>
      </w:r>
      <w:r>
        <w:t>Tolima,</w:t>
      </w:r>
      <w:r>
        <w:rPr>
          <w:spacing w:val="-9"/>
        </w:rPr>
        <w:t xml:space="preserve"> </w:t>
      </w:r>
      <w:r>
        <w:t>Huila,</w:t>
      </w:r>
      <w:r>
        <w:rPr>
          <w:spacing w:val="-9"/>
        </w:rPr>
        <w:t xml:space="preserve"> </w:t>
      </w:r>
      <w:r>
        <w:t>Cundinamarca,</w:t>
      </w:r>
      <w:r>
        <w:rPr>
          <w:spacing w:val="-9"/>
        </w:rPr>
        <w:t xml:space="preserve"> </w:t>
      </w:r>
      <w:r>
        <w:t>Antioquia,</w:t>
      </w:r>
      <w:r>
        <w:rPr>
          <w:spacing w:val="-9"/>
        </w:rPr>
        <w:t xml:space="preserve"> </w:t>
      </w:r>
      <w:r>
        <w:t>entre</w:t>
      </w:r>
      <w:r>
        <w:rPr>
          <w:spacing w:val="-10"/>
        </w:rPr>
        <w:t xml:space="preserve"> </w:t>
      </w:r>
      <w:r>
        <w:t>otras– que acuden a las instancias nacionales de los partidos para denunciarlas en el Congreso, estigmatizarlas y promover un tratamiento de orden público a las mismas, promoviendo la represión violenta. En esta lógica se inscribe la acción violenta del Estado contra movilizaciones y organizaciones sociales que, independientemente de sus cercanías con las insurgencias, expresaban conflictos sociales y políticos reales, resultado del modelo de integración del territorio y desarrollo del país.</w:t>
      </w:r>
    </w:p>
    <w:p w:rsidR="0011361F" w:rsidRDefault="00AF18A5" w:rsidP="004A6EF4">
      <w:pPr>
        <w:pStyle w:val="Ttulo3"/>
        <w:numPr>
          <w:ilvl w:val="1"/>
          <w:numId w:val="16"/>
        </w:numPr>
      </w:pPr>
      <w:bookmarkStart w:id="1250" w:name="_bookmark1107"/>
      <w:bookmarkStart w:id="1251" w:name="9.3._Efectos_de_la_apertura_económica_en"/>
      <w:bookmarkStart w:id="1252" w:name="_Toc112399645"/>
      <w:bookmarkEnd w:id="1250"/>
      <w:bookmarkEnd w:id="1251"/>
      <w:r>
        <w:t>Efectos</w:t>
      </w:r>
      <w:r>
        <w:rPr>
          <w:spacing w:val="-6"/>
        </w:rPr>
        <w:t xml:space="preserve"> </w:t>
      </w:r>
      <w:r>
        <w:t>de</w:t>
      </w:r>
      <w:r>
        <w:rPr>
          <w:spacing w:val="-1"/>
        </w:rPr>
        <w:t xml:space="preserve"> </w:t>
      </w:r>
      <w:r>
        <w:t>la</w:t>
      </w:r>
      <w:r>
        <w:rPr>
          <w:spacing w:val="-2"/>
        </w:rPr>
        <w:t xml:space="preserve"> </w:t>
      </w:r>
      <w:r>
        <w:t>apertura</w:t>
      </w:r>
      <w:r>
        <w:rPr>
          <w:spacing w:val="-1"/>
        </w:rPr>
        <w:t xml:space="preserve"> </w:t>
      </w:r>
      <w:r>
        <w:t>económica</w:t>
      </w:r>
      <w:r>
        <w:rPr>
          <w:spacing w:val="-2"/>
        </w:rPr>
        <w:t xml:space="preserve"> </w:t>
      </w:r>
      <w:r>
        <w:t>en</w:t>
      </w:r>
      <w:r>
        <w:rPr>
          <w:spacing w:val="-2"/>
        </w:rPr>
        <w:t xml:space="preserve"> </w:t>
      </w:r>
      <w:r>
        <w:t>la</w:t>
      </w:r>
      <w:r>
        <w:rPr>
          <w:spacing w:val="-2"/>
        </w:rPr>
        <w:t xml:space="preserve"> </w:t>
      </w:r>
      <w:r>
        <w:t>reconfiguración</w:t>
      </w:r>
      <w:r>
        <w:rPr>
          <w:spacing w:val="-2"/>
        </w:rPr>
        <w:t xml:space="preserve"> territorial</w:t>
      </w:r>
      <w:bookmarkEnd w:id="1252"/>
    </w:p>
    <w:p w:rsidR="003804AC" w:rsidRDefault="00AF18A5" w:rsidP="00711BAE">
      <w:r>
        <w:t>La liberalización de la economía que acompañó la democratización lograda con la constitución de 1991 produjo efectos y dinámicas económicas que contribuyeron a la transformación</w:t>
      </w:r>
      <w:r>
        <w:rPr>
          <w:spacing w:val="-1"/>
        </w:rPr>
        <w:t xml:space="preserve"> </w:t>
      </w:r>
      <w:r>
        <w:t>e</w:t>
      </w:r>
      <w:r>
        <w:rPr>
          <w:spacing w:val="-1"/>
        </w:rPr>
        <w:t xml:space="preserve"> </w:t>
      </w:r>
      <w:r>
        <w:t>hibridación</w:t>
      </w:r>
      <w:r>
        <w:rPr>
          <w:spacing w:val="-1"/>
        </w:rPr>
        <w:t xml:space="preserve"> </w:t>
      </w:r>
      <w:r>
        <w:t>de</w:t>
      </w:r>
      <w:r>
        <w:rPr>
          <w:spacing w:val="-1"/>
        </w:rPr>
        <w:t xml:space="preserve"> </w:t>
      </w:r>
      <w:r>
        <w:t>la</w:t>
      </w:r>
      <w:r>
        <w:rPr>
          <w:spacing w:val="-1"/>
        </w:rPr>
        <w:t xml:space="preserve"> </w:t>
      </w:r>
      <w:r>
        <w:t>guerra</w:t>
      </w:r>
      <w:r>
        <w:rPr>
          <w:spacing w:val="-1"/>
        </w:rPr>
        <w:t xml:space="preserve"> </w:t>
      </w:r>
      <w:r>
        <w:t>a</w:t>
      </w:r>
      <w:r>
        <w:rPr>
          <w:spacing w:val="-1"/>
        </w:rPr>
        <w:t xml:space="preserve"> </w:t>
      </w:r>
      <w:r>
        <w:t>partir</w:t>
      </w:r>
      <w:r>
        <w:rPr>
          <w:spacing w:val="-1"/>
        </w:rPr>
        <w:t xml:space="preserve"> </w:t>
      </w:r>
      <w:r>
        <w:t>de</w:t>
      </w:r>
      <w:r>
        <w:rPr>
          <w:spacing w:val="-1"/>
        </w:rPr>
        <w:t xml:space="preserve"> </w:t>
      </w:r>
      <w:r>
        <w:t>los</w:t>
      </w:r>
      <w:r>
        <w:rPr>
          <w:spacing w:val="-1"/>
        </w:rPr>
        <w:t xml:space="preserve"> </w:t>
      </w:r>
      <w:r>
        <w:t>años</w:t>
      </w:r>
      <w:r>
        <w:rPr>
          <w:spacing w:val="-2"/>
        </w:rPr>
        <w:t xml:space="preserve"> </w:t>
      </w:r>
      <w:r>
        <w:t>noventa</w:t>
      </w:r>
      <w:r>
        <w:rPr>
          <w:spacing w:val="-1"/>
        </w:rPr>
        <w:t xml:space="preserve"> </w:t>
      </w:r>
      <w:r>
        <w:t>y</w:t>
      </w:r>
      <w:r>
        <w:rPr>
          <w:spacing w:val="-1"/>
        </w:rPr>
        <w:t xml:space="preserve"> </w:t>
      </w:r>
      <w:r>
        <w:t>a</w:t>
      </w:r>
      <w:r>
        <w:rPr>
          <w:spacing w:val="-2"/>
        </w:rPr>
        <w:t xml:space="preserve"> </w:t>
      </w:r>
      <w:r>
        <w:t>la</w:t>
      </w:r>
      <w:r>
        <w:rPr>
          <w:spacing w:val="-1"/>
        </w:rPr>
        <w:t xml:space="preserve"> </w:t>
      </w:r>
      <w:r>
        <w:t>reconfiguración de</w:t>
      </w:r>
      <w:r>
        <w:rPr>
          <w:spacing w:val="-2"/>
        </w:rPr>
        <w:t xml:space="preserve"> </w:t>
      </w:r>
      <w:r>
        <w:t>los</w:t>
      </w:r>
      <w:r>
        <w:rPr>
          <w:spacing w:val="-2"/>
        </w:rPr>
        <w:t xml:space="preserve"> </w:t>
      </w:r>
      <w:r>
        <w:t>territorios,</w:t>
      </w:r>
      <w:r>
        <w:rPr>
          <w:spacing w:val="-2"/>
        </w:rPr>
        <w:t xml:space="preserve"> </w:t>
      </w:r>
      <w:r>
        <w:t>especialmente</w:t>
      </w:r>
      <w:r>
        <w:rPr>
          <w:spacing w:val="-2"/>
        </w:rPr>
        <w:t xml:space="preserve"> </w:t>
      </w:r>
      <w:r>
        <w:t>aquellos</w:t>
      </w:r>
      <w:r>
        <w:rPr>
          <w:spacing w:val="-2"/>
        </w:rPr>
        <w:t xml:space="preserve"> </w:t>
      </w:r>
      <w:r>
        <w:t>ubicados</w:t>
      </w:r>
      <w:r>
        <w:rPr>
          <w:spacing w:val="-2"/>
        </w:rPr>
        <w:t xml:space="preserve"> </w:t>
      </w:r>
      <w:r>
        <w:t>en</w:t>
      </w:r>
      <w:r>
        <w:rPr>
          <w:spacing w:val="-2"/>
        </w:rPr>
        <w:t xml:space="preserve"> </w:t>
      </w:r>
      <w:r>
        <w:t>las</w:t>
      </w:r>
      <w:r>
        <w:rPr>
          <w:spacing w:val="-2"/>
        </w:rPr>
        <w:t xml:space="preserve"> </w:t>
      </w:r>
      <w:r>
        <w:t>periferias</w:t>
      </w:r>
      <w:r>
        <w:rPr>
          <w:spacing w:val="-3"/>
        </w:rPr>
        <w:t xml:space="preserve"> </w:t>
      </w:r>
      <w:r>
        <w:t>del</w:t>
      </w:r>
      <w:r>
        <w:rPr>
          <w:spacing w:val="-2"/>
        </w:rPr>
        <w:t xml:space="preserve"> </w:t>
      </w:r>
      <w:r>
        <w:t>país.</w:t>
      </w:r>
      <w:r>
        <w:rPr>
          <w:spacing w:val="-2"/>
        </w:rPr>
        <w:t xml:space="preserve"> </w:t>
      </w:r>
      <w:r>
        <w:lastRenderedPageBreak/>
        <w:t>Primero</w:t>
      </w:r>
      <w:r>
        <w:rPr>
          <w:spacing w:val="-2"/>
        </w:rPr>
        <w:t xml:space="preserve"> </w:t>
      </w:r>
      <w:r>
        <w:t>porque el impacto del modelo de apertura económica que reconfiguró al Estado, propició la profundización</w:t>
      </w:r>
      <w:r>
        <w:rPr>
          <w:spacing w:val="-3"/>
        </w:rPr>
        <w:t xml:space="preserve"> </w:t>
      </w:r>
      <w:r>
        <w:t>de</w:t>
      </w:r>
      <w:r>
        <w:rPr>
          <w:spacing w:val="-3"/>
        </w:rPr>
        <w:t xml:space="preserve"> </w:t>
      </w:r>
      <w:r>
        <w:t>problemas</w:t>
      </w:r>
      <w:r>
        <w:rPr>
          <w:spacing w:val="-3"/>
        </w:rPr>
        <w:t xml:space="preserve"> </w:t>
      </w:r>
      <w:r>
        <w:t>y</w:t>
      </w:r>
      <w:r>
        <w:rPr>
          <w:spacing w:val="-3"/>
        </w:rPr>
        <w:t xml:space="preserve"> </w:t>
      </w:r>
      <w:r>
        <w:t>conflictos</w:t>
      </w:r>
      <w:r>
        <w:rPr>
          <w:spacing w:val="-3"/>
        </w:rPr>
        <w:t xml:space="preserve"> </w:t>
      </w:r>
      <w:r>
        <w:t>sociales</w:t>
      </w:r>
      <w:r>
        <w:rPr>
          <w:spacing w:val="-4"/>
        </w:rPr>
        <w:t xml:space="preserve"> </w:t>
      </w:r>
      <w:r>
        <w:t>asociados</w:t>
      </w:r>
      <w:r>
        <w:rPr>
          <w:spacing w:val="-4"/>
        </w:rPr>
        <w:t xml:space="preserve"> </w:t>
      </w:r>
      <w:r>
        <w:t>al</w:t>
      </w:r>
      <w:r>
        <w:rPr>
          <w:spacing w:val="-4"/>
        </w:rPr>
        <w:t xml:space="preserve"> </w:t>
      </w:r>
      <w:r>
        <w:t>conflicto;</w:t>
      </w:r>
      <w:r>
        <w:rPr>
          <w:spacing w:val="-3"/>
        </w:rPr>
        <w:t xml:space="preserve"> </w:t>
      </w:r>
      <w:r>
        <w:t>y</w:t>
      </w:r>
      <w:r>
        <w:rPr>
          <w:spacing w:val="-5"/>
        </w:rPr>
        <w:t xml:space="preserve"> </w:t>
      </w:r>
      <w:r>
        <w:t>segundo,</w:t>
      </w:r>
      <w:r>
        <w:rPr>
          <w:spacing w:val="-3"/>
        </w:rPr>
        <w:t xml:space="preserve"> </w:t>
      </w:r>
      <w:r>
        <w:t>porque la globalización ofreció nuevas oportunidades a los actores armados para desarrollar su economía de guerra, a través de las economías ilegales de carácter global.</w:t>
      </w:r>
    </w:p>
    <w:p w:rsidR="0011361F" w:rsidRDefault="00AF18A5" w:rsidP="00711BAE">
      <w:r>
        <w:t>En</w:t>
      </w:r>
      <w:r>
        <w:rPr>
          <w:spacing w:val="-6"/>
        </w:rPr>
        <w:t xml:space="preserve"> </w:t>
      </w:r>
      <w:r>
        <w:t>Colombia,</w:t>
      </w:r>
      <w:r>
        <w:rPr>
          <w:spacing w:val="-6"/>
        </w:rPr>
        <w:t xml:space="preserve"> </w:t>
      </w:r>
      <w:r>
        <w:t>la</w:t>
      </w:r>
      <w:r>
        <w:rPr>
          <w:spacing w:val="-6"/>
        </w:rPr>
        <w:t xml:space="preserve"> </w:t>
      </w:r>
      <w:r>
        <w:t>apertura</w:t>
      </w:r>
      <w:r>
        <w:rPr>
          <w:spacing w:val="-6"/>
        </w:rPr>
        <w:t xml:space="preserve"> </w:t>
      </w:r>
      <w:r>
        <w:t>económica</w:t>
      </w:r>
      <w:r>
        <w:rPr>
          <w:spacing w:val="-7"/>
        </w:rPr>
        <w:t xml:space="preserve"> </w:t>
      </w:r>
      <w:r>
        <w:t>en</w:t>
      </w:r>
      <w:r>
        <w:rPr>
          <w:spacing w:val="-6"/>
        </w:rPr>
        <w:t xml:space="preserve"> </w:t>
      </w:r>
      <w:r>
        <w:t>el</w:t>
      </w:r>
      <w:r>
        <w:rPr>
          <w:spacing w:val="-6"/>
        </w:rPr>
        <w:t xml:space="preserve"> </w:t>
      </w:r>
      <w:r>
        <w:t>marco</w:t>
      </w:r>
      <w:r>
        <w:rPr>
          <w:spacing w:val="-7"/>
        </w:rPr>
        <w:t xml:space="preserve"> </w:t>
      </w:r>
      <w:r>
        <w:t>del</w:t>
      </w:r>
      <w:r>
        <w:rPr>
          <w:spacing w:val="-6"/>
        </w:rPr>
        <w:t xml:space="preserve"> </w:t>
      </w:r>
      <w:r>
        <w:t>proceso</w:t>
      </w:r>
      <w:r>
        <w:rPr>
          <w:spacing w:val="-7"/>
        </w:rPr>
        <w:t xml:space="preserve"> </w:t>
      </w:r>
      <w:r>
        <w:t>mundial</w:t>
      </w:r>
      <w:r>
        <w:rPr>
          <w:spacing w:val="-6"/>
        </w:rPr>
        <w:t xml:space="preserve"> </w:t>
      </w:r>
      <w:r>
        <w:t>de</w:t>
      </w:r>
      <w:r>
        <w:rPr>
          <w:spacing w:val="-6"/>
        </w:rPr>
        <w:t xml:space="preserve"> </w:t>
      </w:r>
      <w:r>
        <w:t>globalización</w:t>
      </w:r>
      <w:r>
        <w:rPr>
          <w:spacing w:val="-6"/>
        </w:rPr>
        <w:t xml:space="preserve"> </w:t>
      </w:r>
      <w:r>
        <w:t>se materializó</w:t>
      </w:r>
      <w:r>
        <w:rPr>
          <w:spacing w:val="-3"/>
        </w:rPr>
        <w:t xml:space="preserve"> </w:t>
      </w:r>
      <w:r>
        <w:t>en</w:t>
      </w:r>
      <w:r>
        <w:rPr>
          <w:spacing w:val="-2"/>
        </w:rPr>
        <w:t xml:space="preserve"> </w:t>
      </w:r>
      <w:r>
        <w:t>la</w:t>
      </w:r>
      <w:r>
        <w:rPr>
          <w:spacing w:val="-2"/>
        </w:rPr>
        <w:t xml:space="preserve"> </w:t>
      </w:r>
      <w:r>
        <w:t>integración</w:t>
      </w:r>
      <w:r>
        <w:rPr>
          <w:spacing w:val="-2"/>
        </w:rPr>
        <w:t xml:space="preserve"> </w:t>
      </w:r>
      <w:r>
        <w:t>de</w:t>
      </w:r>
      <w:r>
        <w:rPr>
          <w:spacing w:val="-2"/>
        </w:rPr>
        <w:t xml:space="preserve"> </w:t>
      </w:r>
      <w:r>
        <w:t>la</w:t>
      </w:r>
      <w:r>
        <w:rPr>
          <w:spacing w:val="-2"/>
        </w:rPr>
        <w:t xml:space="preserve"> </w:t>
      </w:r>
      <w:r>
        <w:t>economía</w:t>
      </w:r>
      <w:r>
        <w:rPr>
          <w:spacing w:val="-2"/>
        </w:rPr>
        <w:t xml:space="preserve"> </w:t>
      </w:r>
      <w:r>
        <w:t>a</w:t>
      </w:r>
      <w:r>
        <w:rPr>
          <w:spacing w:val="-3"/>
        </w:rPr>
        <w:t xml:space="preserve"> </w:t>
      </w:r>
      <w:r>
        <w:t>los</w:t>
      </w:r>
      <w:r>
        <w:rPr>
          <w:spacing w:val="-2"/>
        </w:rPr>
        <w:t xml:space="preserve"> </w:t>
      </w:r>
      <w:r>
        <w:t>mercados</w:t>
      </w:r>
      <w:r>
        <w:rPr>
          <w:spacing w:val="-3"/>
        </w:rPr>
        <w:t xml:space="preserve"> </w:t>
      </w:r>
      <w:r>
        <w:t>mundiales,</w:t>
      </w:r>
      <w:r>
        <w:rPr>
          <w:spacing w:val="-2"/>
        </w:rPr>
        <w:t xml:space="preserve"> </w:t>
      </w:r>
      <w:r>
        <w:t>la</w:t>
      </w:r>
      <w:r>
        <w:rPr>
          <w:spacing w:val="-2"/>
        </w:rPr>
        <w:t xml:space="preserve"> </w:t>
      </w:r>
      <w:r>
        <w:t>generalización</w:t>
      </w:r>
      <w:r>
        <w:rPr>
          <w:spacing w:val="-2"/>
        </w:rPr>
        <w:t xml:space="preserve"> </w:t>
      </w:r>
      <w:r>
        <w:t>de estrategias encaminadas a atraer inversión extranjera y la creación de condiciones para suscitar el interés de grandes empresas transnacionales, así como en el rigor macroeconómico,</w:t>
      </w:r>
      <w:r>
        <w:rPr>
          <w:spacing w:val="-7"/>
        </w:rPr>
        <w:t xml:space="preserve"> </w:t>
      </w:r>
      <w:r>
        <w:t>la</w:t>
      </w:r>
      <w:r>
        <w:rPr>
          <w:spacing w:val="-6"/>
        </w:rPr>
        <w:t xml:space="preserve"> </w:t>
      </w:r>
      <w:r>
        <w:t>preservación</w:t>
      </w:r>
      <w:r>
        <w:rPr>
          <w:spacing w:val="-6"/>
        </w:rPr>
        <w:t xml:space="preserve"> </w:t>
      </w:r>
      <w:r>
        <w:t>de</w:t>
      </w:r>
      <w:r>
        <w:rPr>
          <w:spacing w:val="-7"/>
        </w:rPr>
        <w:t xml:space="preserve"> </w:t>
      </w:r>
      <w:r>
        <w:t>un</w:t>
      </w:r>
      <w:r>
        <w:rPr>
          <w:spacing w:val="-6"/>
        </w:rPr>
        <w:t xml:space="preserve"> </w:t>
      </w:r>
      <w:r>
        <w:t>sano</w:t>
      </w:r>
      <w:r>
        <w:rPr>
          <w:spacing w:val="-6"/>
        </w:rPr>
        <w:t xml:space="preserve"> </w:t>
      </w:r>
      <w:r>
        <w:t>equilibrio</w:t>
      </w:r>
      <w:r>
        <w:rPr>
          <w:spacing w:val="-6"/>
        </w:rPr>
        <w:t xml:space="preserve"> </w:t>
      </w:r>
      <w:r>
        <w:t>fiscal</w:t>
      </w:r>
      <w:r>
        <w:rPr>
          <w:spacing w:val="-7"/>
        </w:rPr>
        <w:t xml:space="preserve"> </w:t>
      </w:r>
      <w:r>
        <w:t>y</w:t>
      </w:r>
      <w:r>
        <w:rPr>
          <w:spacing w:val="-6"/>
        </w:rPr>
        <w:t xml:space="preserve"> </w:t>
      </w:r>
      <w:r>
        <w:t>las</w:t>
      </w:r>
      <w:r>
        <w:rPr>
          <w:spacing w:val="-6"/>
        </w:rPr>
        <w:t xml:space="preserve"> </w:t>
      </w:r>
      <w:r>
        <w:t>políticas</w:t>
      </w:r>
      <w:r>
        <w:rPr>
          <w:spacing w:val="-6"/>
        </w:rPr>
        <w:t xml:space="preserve"> </w:t>
      </w:r>
      <w:r>
        <w:t>de</w:t>
      </w:r>
      <w:r>
        <w:rPr>
          <w:spacing w:val="-6"/>
        </w:rPr>
        <w:t xml:space="preserve"> </w:t>
      </w:r>
      <w:r>
        <w:t>privatización de bienes y servicios estatales</w:t>
      </w:r>
      <w:r w:rsidR="00711BAE">
        <w:rPr>
          <w:rStyle w:val="Refdenotaalpie"/>
        </w:rPr>
        <w:footnoteReference w:id="1010"/>
      </w:r>
      <w:r>
        <w:t>. En ese contexto, Colombia pasó de ser un país eminentemente productor de café en la década de los setenta a convertirse en productor de minerales y de coca en la década de los noventa. La caficultura pasó de representar el 50</w:t>
      </w:r>
      <w:r>
        <w:rPr>
          <w:spacing w:val="-3"/>
        </w:rPr>
        <w:t xml:space="preserve"> </w:t>
      </w:r>
      <w:r>
        <w:t>% de las exportaciones del país en 1985 al 21</w:t>
      </w:r>
      <w:r>
        <w:rPr>
          <w:spacing w:val="-3"/>
        </w:rPr>
        <w:t xml:space="preserve"> </w:t>
      </w:r>
      <w:r>
        <w:t>% en 1998 y el 8</w:t>
      </w:r>
      <w:r>
        <w:rPr>
          <w:spacing w:val="-2"/>
        </w:rPr>
        <w:t xml:space="preserve"> </w:t>
      </w:r>
      <w:r>
        <w:t>% en el 2000.</w:t>
      </w:r>
      <w:r w:rsidR="00711BAE">
        <w:rPr>
          <w:rStyle w:val="Refdenotaalpie"/>
        </w:rPr>
        <w:footnoteReference w:id="1011"/>
      </w:r>
      <w:r>
        <w:t xml:space="preserve"> Además de los</w:t>
      </w:r>
      <w:r>
        <w:rPr>
          <w:spacing w:val="-6"/>
        </w:rPr>
        <w:t xml:space="preserve"> </w:t>
      </w:r>
      <w:r>
        <w:t>bajos</w:t>
      </w:r>
      <w:r>
        <w:rPr>
          <w:spacing w:val="-6"/>
        </w:rPr>
        <w:t xml:space="preserve"> </w:t>
      </w:r>
      <w:r>
        <w:t>precios</w:t>
      </w:r>
      <w:r>
        <w:rPr>
          <w:spacing w:val="-6"/>
        </w:rPr>
        <w:t xml:space="preserve"> </w:t>
      </w:r>
      <w:r>
        <w:t>internacionales</w:t>
      </w:r>
      <w:r>
        <w:rPr>
          <w:spacing w:val="-6"/>
        </w:rPr>
        <w:t xml:space="preserve"> </w:t>
      </w:r>
      <w:r>
        <w:t>del</w:t>
      </w:r>
      <w:r>
        <w:rPr>
          <w:spacing w:val="-6"/>
        </w:rPr>
        <w:t xml:space="preserve"> </w:t>
      </w:r>
      <w:r>
        <w:t>grano</w:t>
      </w:r>
      <w:r>
        <w:rPr>
          <w:spacing w:val="-6"/>
        </w:rPr>
        <w:t xml:space="preserve"> </w:t>
      </w:r>
      <w:r>
        <w:t>que</w:t>
      </w:r>
      <w:r>
        <w:rPr>
          <w:spacing w:val="-6"/>
        </w:rPr>
        <w:t xml:space="preserve"> </w:t>
      </w:r>
      <w:r>
        <w:t>empezaron</w:t>
      </w:r>
      <w:r>
        <w:rPr>
          <w:spacing w:val="-6"/>
        </w:rPr>
        <w:t xml:space="preserve"> </w:t>
      </w:r>
      <w:r>
        <w:t>a</w:t>
      </w:r>
      <w:r>
        <w:rPr>
          <w:spacing w:val="-6"/>
        </w:rPr>
        <w:t xml:space="preserve"> </w:t>
      </w:r>
      <w:r>
        <w:t>regir</w:t>
      </w:r>
      <w:r>
        <w:rPr>
          <w:spacing w:val="-6"/>
        </w:rPr>
        <w:t xml:space="preserve"> </w:t>
      </w:r>
      <w:r>
        <w:t>a</w:t>
      </w:r>
      <w:r>
        <w:rPr>
          <w:spacing w:val="-6"/>
        </w:rPr>
        <w:t xml:space="preserve"> </w:t>
      </w:r>
      <w:r>
        <w:t>partir</w:t>
      </w:r>
      <w:r>
        <w:rPr>
          <w:spacing w:val="-6"/>
        </w:rPr>
        <w:t xml:space="preserve"> </w:t>
      </w:r>
      <w:r>
        <w:t>de</w:t>
      </w:r>
      <w:r>
        <w:rPr>
          <w:spacing w:val="-6"/>
        </w:rPr>
        <w:t xml:space="preserve"> </w:t>
      </w:r>
      <w:r>
        <w:t>la</w:t>
      </w:r>
      <w:r>
        <w:rPr>
          <w:spacing w:val="-6"/>
        </w:rPr>
        <w:t xml:space="preserve"> </w:t>
      </w:r>
      <w:r>
        <w:t>década</w:t>
      </w:r>
      <w:r>
        <w:rPr>
          <w:spacing w:val="-7"/>
        </w:rPr>
        <w:t xml:space="preserve"> </w:t>
      </w:r>
      <w:r>
        <w:t>de</w:t>
      </w:r>
      <w:r>
        <w:rPr>
          <w:spacing w:val="-6"/>
        </w:rPr>
        <w:t xml:space="preserve"> </w:t>
      </w:r>
      <w:r>
        <w:t>los ochenta,</w:t>
      </w:r>
      <w:r>
        <w:rPr>
          <w:spacing w:val="-15"/>
        </w:rPr>
        <w:t xml:space="preserve"> </w:t>
      </w:r>
      <w:r>
        <w:t>la</w:t>
      </w:r>
      <w:r>
        <w:rPr>
          <w:spacing w:val="-15"/>
        </w:rPr>
        <w:t xml:space="preserve"> </w:t>
      </w:r>
      <w:r>
        <w:t>situación</w:t>
      </w:r>
      <w:r>
        <w:rPr>
          <w:spacing w:val="-15"/>
        </w:rPr>
        <w:t xml:space="preserve"> </w:t>
      </w:r>
      <w:r>
        <w:t>del</w:t>
      </w:r>
      <w:r>
        <w:rPr>
          <w:spacing w:val="-15"/>
        </w:rPr>
        <w:t xml:space="preserve"> </w:t>
      </w:r>
      <w:r>
        <w:t>café</w:t>
      </w:r>
      <w:r>
        <w:rPr>
          <w:spacing w:val="-15"/>
        </w:rPr>
        <w:t xml:space="preserve"> </w:t>
      </w:r>
      <w:r>
        <w:t>fue</w:t>
      </w:r>
      <w:r>
        <w:rPr>
          <w:spacing w:val="-15"/>
        </w:rPr>
        <w:t xml:space="preserve"> </w:t>
      </w:r>
      <w:r>
        <w:t>similar</w:t>
      </w:r>
      <w:r>
        <w:rPr>
          <w:spacing w:val="-15"/>
        </w:rPr>
        <w:t xml:space="preserve"> </w:t>
      </w:r>
      <w:r>
        <w:t>a</w:t>
      </w:r>
      <w:r>
        <w:rPr>
          <w:spacing w:val="-15"/>
        </w:rPr>
        <w:t xml:space="preserve"> </w:t>
      </w:r>
      <w:r>
        <w:t>buena</w:t>
      </w:r>
      <w:r>
        <w:rPr>
          <w:spacing w:val="-15"/>
        </w:rPr>
        <w:t xml:space="preserve"> </w:t>
      </w:r>
      <w:r>
        <w:t>parte</w:t>
      </w:r>
      <w:r>
        <w:rPr>
          <w:spacing w:val="-15"/>
        </w:rPr>
        <w:t xml:space="preserve"> </w:t>
      </w:r>
      <w:r>
        <w:t>de</w:t>
      </w:r>
      <w:r>
        <w:rPr>
          <w:spacing w:val="-15"/>
        </w:rPr>
        <w:t xml:space="preserve"> </w:t>
      </w:r>
      <w:r>
        <w:t>los</w:t>
      </w:r>
      <w:r>
        <w:rPr>
          <w:spacing w:val="-15"/>
        </w:rPr>
        <w:t xml:space="preserve"> </w:t>
      </w:r>
      <w:r>
        <w:t>productos</w:t>
      </w:r>
      <w:r>
        <w:rPr>
          <w:spacing w:val="-15"/>
        </w:rPr>
        <w:t xml:space="preserve"> </w:t>
      </w:r>
      <w:r>
        <w:t>agrícolas</w:t>
      </w:r>
      <w:r>
        <w:rPr>
          <w:spacing w:val="-15"/>
        </w:rPr>
        <w:t xml:space="preserve"> </w:t>
      </w:r>
      <w:r>
        <w:t>de</w:t>
      </w:r>
      <w:r>
        <w:rPr>
          <w:spacing w:val="-15"/>
        </w:rPr>
        <w:t xml:space="preserve"> </w:t>
      </w:r>
      <w:r>
        <w:t>los</w:t>
      </w:r>
      <w:r>
        <w:rPr>
          <w:spacing w:val="-15"/>
        </w:rPr>
        <w:t xml:space="preserve"> </w:t>
      </w:r>
      <w:r>
        <w:t xml:space="preserve">países considerados del Tercer Mundo, que, dependientes de las exportaciones, fueron golpeados por las medidas aperturistas y también proteccionistas de los países desarrollados, porque fueron desplazados por nuevos productores con mayor acceso a tecnología o que ofrecían nuevos productos sustitutos para abastecer la </w:t>
      </w:r>
      <w:r>
        <w:lastRenderedPageBreak/>
        <w:t>demanda del mercado global.</w:t>
      </w:r>
    </w:p>
    <w:p w:rsidR="003804AC" w:rsidRDefault="00AF18A5" w:rsidP="00711BAE">
      <w:bookmarkStart w:id="1253" w:name="_bookmark1109"/>
      <w:bookmarkStart w:id="1254" w:name="_bookmark1110"/>
      <w:bookmarkEnd w:id="1253"/>
      <w:bookmarkEnd w:id="1254"/>
      <w:r>
        <w:t>Más dependientes de los mercados internacionales, que comenzaron a privilegiar el consumo de minerales e hidrocarburos dada la necesidad cada vez mayor de los países industrializados</w:t>
      </w:r>
      <w:r>
        <w:rPr>
          <w:spacing w:val="-11"/>
        </w:rPr>
        <w:t xml:space="preserve"> </w:t>
      </w:r>
      <w:r>
        <w:t>de</w:t>
      </w:r>
      <w:r>
        <w:rPr>
          <w:spacing w:val="-11"/>
        </w:rPr>
        <w:t xml:space="preserve"> </w:t>
      </w:r>
      <w:r>
        <w:t>obtener</w:t>
      </w:r>
      <w:r>
        <w:rPr>
          <w:spacing w:val="-11"/>
        </w:rPr>
        <w:t xml:space="preserve"> </w:t>
      </w:r>
      <w:r>
        <w:t>insumos</w:t>
      </w:r>
      <w:r>
        <w:rPr>
          <w:spacing w:val="-11"/>
        </w:rPr>
        <w:t xml:space="preserve"> </w:t>
      </w:r>
      <w:r>
        <w:t>industriales</w:t>
      </w:r>
      <w:r>
        <w:rPr>
          <w:spacing w:val="-11"/>
        </w:rPr>
        <w:t xml:space="preserve"> </w:t>
      </w:r>
      <w:r>
        <w:t>y</w:t>
      </w:r>
      <w:r>
        <w:rPr>
          <w:spacing w:val="-11"/>
        </w:rPr>
        <w:t xml:space="preserve"> </w:t>
      </w:r>
      <w:r>
        <w:t>fuentes</w:t>
      </w:r>
      <w:r>
        <w:rPr>
          <w:spacing w:val="-11"/>
        </w:rPr>
        <w:t xml:space="preserve"> </w:t>
      </w:r>
      <w:r>
        <w:t>de</w:t>
      </w:r>
      <w:r>
        <w:rPr>
          <w:spacing w:val="-11"/>
        </w:rPr>
        <w:t xml:space="preserve"> </w:t>
      </w:r>
      <w:r>
        <w:t>energía</w:t>
      </w:r>
      <w:r>
        <w:rPr>
          <w:spacing w:val="-11"/>
        </w:rPr>
        <w:t xml:space="preserve"> </w:t>
      </w:r>
      <w:r>
        <w:t>combustibles</w:t>
      </w:r>
      <w:r>
        <w:rPr>
          <w:spacing w:val="-11"/>
        </w:rPr>
        <w:t xml:space="preserve"> </w:t>
      </w:r>
      <w:r>
        <w:t>derivadas primordialmente</w:t>
      </w:r>
      <w:r>
        <w:rPr>
          <w:spacing w:val="-7"/>
        </w:rPr>
        <w:t xml:space="preserve"> </w:t>
      </w:r>
      <w:r>
        <w:t>del</w:t>
      </w:r>
      <w:r>
        <w:rPr>
          <w:spacing w:val="-7"/>
        </w:rPr>
        <w:t xml:space="preserve"> </w:t>
      </w:r>
      <w:r>
        <w:t>petróleo,</w:t>
      </w:r>
      <w:r>
        <w:rPr>
          <w:spacing w:val="-7"/>
        </w:rPr>
        <w:t xml:space="preserve"> </w:t>
      </w:r>
      <w:r>
        <w:t>el</w:t>
      </w:r>
      <w:r>
        <w:rPr>
          <w:spacing w:val="-7"/>
        </w:rPr>
        <w:t xml:space="preserve"> </w:t>
      </w:r>
      <w:r>
        <w:t>gas,</w:t>
      </w:r>
      <w:r>
        <w:rPr>
          <w:spacing w:val="-8"/>
        </w:rPr>
        <w:t xml:space="preserve"> </w:t>
      </w:r>
      <w:r>
        <w:t>el</w:t>
      </w:r>
      <w:r>
        <w:rPr>
          <w:spacing w:val="-7"/>
        </w:rPr>
        <w:t xml:space="preserve"> </w:t>
      </w:r>
      <w:r>
        <w:t>carbón</w:t>
      </w:r>
      <w:r>
        <w:rPr>
          <w:spacing w:val="-7"/>
        </w:rPr>
        <w:t xml:space="preserve"> </w:t>
      </w:r>
      <w:r>
        <w:t>y</w:t>
      </w:r>
      <w:r>
        <w:rPr>
          <w:spacing w:val="-8"/>
        </w:rPr>
        <w:t xml:space="preserve"> </w:t>
      </w:r>
      <w:r>
        <w:t>de</w:t>
      </w:r>
      <w:r>
        <w:rPr>
          <w:spacing w:val="-7"/>
        </w:rPr>
        <w:t xml:space="preserve"> </w:t>
      </w:r>
      <w:r>
        <w:t>algunos</w:t>
      </w:r>
      <w:r>
        <w:rPr>
          <w:spacing w:val="-7"/>
        </w:rPr>
        <w:t xml:space="preserve"> </w:t>
      </w:r>
      <w:r>
        <w:t>minerales</w:t>
      </w:r>
      <w:r>
        <w:rPr>
          <w:spacing w:val="-7"/>
        </w:rPr>
        <w:t xml:space="preserve"> </w:t>
      </w:r>
      <w:r>
        <w:t>como</w:t>
      </w:r>
      <w:r>
        <w:rPr>
          <w:spacing w:val="-7"/>
        </w:rPr>
        <w:t xml:space="preserve"> </w:t>
      </w:r>
      <w:r>
        <w:t>el</w:t>
      </w:r>
      <w:r>
        <w:rPr>
          <w:spacing w:val="-7"/>
        </w:rPr>
        <w:t xml:space="preserve"> </w:t>
      </w:r>
      <w:r>
        <w:t>oro,</w:t>
      </w:r>
      <w:r>
        <w:rPr>
          <w:spacing w:val="-7"/>
        </w:rPr>
        <w:t xml:space="preserve"> </w:t>
      </w:r>
      <w:r>
        <w:t>el</w:t>
      </w:r>
      <w:r>
        <w:rPr>
          <w:spacing w:val="-8"/>
        </w:rPr>
        <w:t xml:space="preserve"> </w:t>
      </w:r>
      <w:r>
        <w:t>níquel y hierro, entre otros, Colombia pasó a consolidarse a partir de los años noventa como un importante productor de minerales y combustibles.</w:t>
      </w:r>
      <w:r w:rsidR="00711BAE">
        <w:rPr>
          <w:rStyle w:val="Refdenotaalpie"/>
        </w:rPr>
        <w:footnoteReference w:id="1012"/>
      </w:r>
      <w:r>
        <w:t xml:space="preserve"> El petróleo específicamente se convirtió en el principal renglón de exportaciones del país y en una importante fuente de ingresos para el Estado, al mismo tiempo que la agricultura pasaba de representar algo más del 20</w:t>
      </w:r>
      <w:r>
        <w:rPr>
          <w:spacing w:val="-1"/>
        </w:rPr>
        <w:t xml:space="preserve"> </w:t>
      </w:r>
      <w:r>
        <w:t>% del PIB total a principios de los años setenta a solo el 10</w:t>
      </w:r>
      <w:r>
        <w:rPr>
          <w:spacing w:val="-3"/>
        </w:rPr>
        <w:t xml:space="preserve"> </w:t>
      </w:r>
      <w:r>
        <w:t>% en el 2009</w:t>
      </w:r>
      <w:r w:rsidR="00711BAE">
        <w:rPr>
          <w:rStyle w:val="Refdenotaalpie"/>
        </w:rPr>
        <w:footnoteReference w:id="1013"/>
      </w:r>
      <w:r>
        <w:t xml:space="preserve">, como resultado del acelerado y traumático proceso de transformación del sector productivo del </w:t>
      </w:r>
      <w:r>
        <w:rPr>
          <w:spacing w:val="-2"/>
        </w:rPr>
        <w:t>país.</w:t>
      </w:r>
    </w:p>
    <w:p w:rsidR="003804AC" w:rsidRDefault="00AF18A5" w:rsidP="00711BAE">
      <w:r>
        <w:t>El mantenimiento de un estricto compromiso con la apertura económica, las privatizaciones y la reforma del Estado, sin considerar las desigualdades territoriales existentes para los años noventa, profundizaron las disparidades socioeconómicas entre los territorios</w:t>
      </w:r>
      <w:r>
        <w:rPr>
          <w:spacing w:val="-5"/>
        </w:rPr>
        <w:t xml:space="preserve"> </w:t>
      </w:r>
      <w:r>
        <w:t>y</w:t>
      </w:r>
      <w:r>
        <w:rPr>
          <w:spacing w:val="-5"/>
        </w:rPr>
        <w:t xml:space="preserve"> </w:t>
      </w:r>
      <w:r>
        <w:t>los</w:t>
      </w:r>
      <w:r>
        <w:rPr>
          <w:spacing w:val="-4"/>
        </w:rPr>
        <w:t xml:space="preserve"> </w:t>
      </w:r>
      <w:r>
        <w:t>distintos</w:t>
      </w:r>
      <w:r>
        <w:rPr>
          <w:spacing w:val="-5"/>
        </w:rPr>
        <w:t xml:space="preserve"> </w:t>
      </w:r>
      <w:r>
        <w:t>grupos</w:t>
      </w:r>
      <w:r>
        <w:rPr>
          <w:spacing w:val="-5"/>
        </w:rPr>
        <w:t xml:space="preserve"> </w:t>
      </w:r>
      <w:r>
        <w:t>sociales</w:t>
      </w:r>
      <w:r>
        <w:rPr>
          <w:spacing w:val="-4"/>
        </w:rPr>
        <w:t xml:space="preserve"> </w:t>
      </w:r>
      <w:r>
        <w:t>al</w:t>
      </w:r>
      <w:r>
        <w:rPr>
          <w:spacing w:val="-4"/>
        </w:rPr>
        <w:t xml:space="preserve"> </w:t>
      </w:r>
      <w:r>
        <w:t>interior</w:t>
      </w:r>
      <w:r>
        <w:rPr>
          <w:spacing w:val="-4"/>
        </w:rPr>
        <w:t xml:space="preserve"> </w:t>
      </w:r>
      <w:r>
        <w:t>del</w:t>
      </w:r>
      <w:r>
        <w:rPr>
          <w:spacing w:val="-4"/>
        </w:rPr>
        <w:t xml:space="preserve"> </w:t>
      </w:r>
      <w:r>
        <w:t>país.</w:t>
      </w:r>
      <w:r>
        <w:rPr>
          <w:spacing w:val="-5"/>
        </w:rPr>
        <w:t xml:space="preserve"> </w:t>
      </w:r>
      <w:r>
        <w:t>El</w:t>
      </w:r>
      <w:r>
        <w:rPr>
          <w:spacing w:val="-5"/>
        </w:rPr>
        <w:t xml:space="preserve"> </w:t>
      </w:r>
      <w:r>
        <w:t>desequilibrio</w:t>
      </w:r>
      <w:r>
        <w:rPr>
          <w:spacing w:val="-5"/>
        </w:rPr>
        <w:t xml:space="preserve"> </w:t>
      </w:r>
      <w:r>
        <w:t>–derivado</w:t>
      </w:r>
      <w:r>
        <w:rPr>
          <w:spacing w:val="-5"/>
        </w:rPr>
        <w:t xml:space="preserve"> </w:t>
      </w:r>
      <w:r>
        <w:t>de</w:t>
      </w:r>
      <w:r>
        <w:rPr>
          <w:spacing w:val="-4"/>
        </w:rPr>
        <w:t xml:space="preserve"> </w:t>
      </w:r>
      <w:r>
        <w:t xml:space="preserve">la dualidad de la presencia territorial del débil e inefectivo Estado colombiano– profundizó la crisis de la economía rural campesina y de las poblaciones étnicas y el empobrecimiento de zonas rurales productivas </w:t>
      </w:r>
      <w:r>
        <w:lastRenderedPageBreak/>
        <w:t>que no tenían los recursos institucionales, financieros ni tecnológicos</w:t>
      </w:r>
      <w:r>
        <w:rPr>
          <w:spacing w:val="-4"/>
        </w:rPr>
        <w:t xml:space="preserve"> </w:t>
      </w:r>
      <w:r>
        <w:t>para</w:t>
      </w:r>
      <w:r>
        <w:rPr>
          <w:spacing w:val="-3"/>
        </w:rPr>
        <w:t xml:space="preserve"> </w:t>
      </w:r>
      <w:r>
        <w:t>adaptarse</w:t>
      </w:r>
      <w:r>
        <w:rPr>
          <w:spacing w:val="-3"/>
        </w:rPr>
        <w:t xml:space="preserve"> </w:t>
      </w:r>
      <w:r>
        <w:t>a</w:t>
      </w:r>
      <w:r>
        <w:rPr>
          <w:spacing w:val="-3"/>
        </w:rPr>
        <w:t xml:space="preserve"> </w:t>
      </w:r>
      <w:r>
        <w:t>las</w:t>
      </w:r>
      <w:r>
        <w:rPr>
          <w:spacing w:val="-3"/>
        </w:rPr>
        <w:t xml:space="preserve"> </w:t>
      </w:r>
      <w:r>
        <w:t>nuevas</w:t>
      </w:r>
      <w:r>
        <w:rPr>
          <w:spacing w:val="-3"/>
        </w:rPr>
        <w:t xml:space="preserve"> </w:t>
      </w:r>
      <w:r>
        <w:t>condiciones</w:t>
      </w:r>
      <w:r>
        <w:rPr>
          <w:spacing w:val="-3"/>
        </w:rPr>
        <w:t xml:space="preserve"> </w:t>
      </w:r>
      <w:r>
        <w:t>de</w:t>
      </w:r>
      <w:r>
        <w:rPr>
          <w:spacing w:val="-3"/>
        </w:rPr>
        <w:t xml:space="preserve"> </w:t>
      </w:r>
      <w:r>
        <w:t>la</w:t>
      </w:r>
      <w:r>
        <w:rPr>
          <w:spacing w:val="-3"/>
        </w:rPr>
        <w:t xml:space="preserve"> </w:t>
      </w:r>
      <w:r>
        <w:t>competencia.</w:t>
      </w:r>
      <w:r>
        <w:rPr>
          <w:spacing w:val="-5"/>
        </w:rPr>
        <w:t xml:space="preserve"> </w:t>
      </w:r>
      <w:r>
        <w:t>Si</w:t>
      </w:r>
      <w:r>
        <w:rPr>
          <w:spacing w:val="-3"/>
        </w:rPr>
        <w:t xml:space="preserve"> </w:t>
      </w:r>
      <w:r>
        <w:t>se</w:t>
      </w:r>
      <w:r>
        <w:rPr>
          <w:spacing w:val="-3"/>
        </w:rPr>
        <w:t xml:space="preserve"> </w:t>
      </w:r>
      <w:r>
        <w:t>considera</w:t>
      </w:r>
      <w:r>
        <w:rPr>
          <w:spacing w:val="-3"/>
        </w:rPr>
        <w:t xml:space="preserve"> </w:t>
      </w:r>
      <w:r>
        <w:t>que la economía global había privilegiado para ese momento un modelo de producción que se caracteriza</w:t>
      </w:r>
      <w:r>
        <w:rPr>
          <w:spacing w:val="-8"/>
        </w:rPr>
        <w:t xml:space="preserve"> </w:t>
      </w:r>
      <w:r>
        <w:t>por</w:t>
      </w:r>
      <w:r>
        <w:rPr>
          <w:spacing w:val="-8"/>
        </w:rPr>
        <w:t xml:space="preserve"> </w:t>
      </w:r>
      <w:r>
        <w:t>la</w:t>
      </w:r>
      <w:r>
        <w:rPr>
          <w:spacing w:val="-8"/>
        </w:rPr>
        <w:t xml:space="preserve"> </w:t>
      </w:r>
      <w:r>
        <w:t>extracción</w:t>
      </w:r>
      <w:r>
        <w:rPr>
          <w:spacing w:val="-8"/>
        </w:rPr>
        <w:t xml:space="preserve"> </w:t>
      </w:r>
      <w:r>
        <w:t>y</w:t>
      </w:r>
      <w:r>
        <w:rPr>
          <w:spacing w:val="-8"/>
        </w:rPr>
        <w:t xml:space="preserve"> </w:t>
      </w:r>
      <w:r>
        <w:t>adaptación</w:t>
      </w:r>
      <w:r>
        <w:rPr>
          <w:spacing w:val="-8"/>
        </w:rPr>
        <w:t xml:space="preserve"> </w:t>
      </w:r>
      <w:r>
        <w:t>tecnológica</w:t>
      </w:r>
      <w:r>
        <w:rPr>
          <w:spacing w:val="-8"/>
        </w:rPr>
        <w:t xml:space="preserve"> </w:t>
      </w:r>
      <w:r>
        <w:t>intensiva</w:t>
      </w:r>
      <w:r>
        <w:rPr>
          <w:spacing w:val="-8"/>
        </w:rPr>
        <w:t xml:space="preserve"> </w:t>
      </w:r>
      <w:r>
        <w:t>y</w:t>
      </w:r>
      <w:r>
        <w:rPr>
          <w:spacing w:val="-9"/>
        </w:rPr>
        <w:t xml:space="preserve"> </w:t>
      </w:r>
      <w:r>
        <w:t>el</w:t>
      </w:r>
      <w:r>
        <w:rPr>
          <w:spacing w:val="-8"/>
        </w:rPr>
        <w:t xml:space="preserve"> </w:t>
      </w:r>
      <w:r>
        <w:t>limitado</w:t>
      </w:r>
      <w:r>
        <w:rPr>
          <w:spacing w:val="-8"/>
        </w:rPr>
        <w:t xml:space="preserve"> </w:t>
      </w:r>
      <w:r>
        <w:t>uso</w:t>
      </w:r>
      <w:r>
        <w:rPr>
          <w:spacing w:val="-9"/>
        </w:rPr>
        <w:t xml:space="preserve"> </w:t>
      </w:r>
      <w:r>
        <w:t>de</w:t>
      </w:r>
      <w:r>
        <w:rPr>
          <w:spacing w:val="-8"/>
        </w:rPr>
        <w:t xml:space="preserve"> </w:t>
      </w:r>
      <w:r>
        <w:t>mano</w:t>
      </w:r>
      <w:r>
        <w:rPr>
          <w:spacing w:val="-8"/>
        </w:rPr>
        <w:t xml:space="preserve"> </w:t>
      </w:r>
      <w:r>
        <w:t>de obra, puede inferirse que la ausencia de beneficios sociales y económicos para los sectores rurales con menores capacidades de adaptación a estas condiciones y con altos niveles de informalidad</w:t>
      </w:r>
      <w:r>
        <w:rPr>
          <w:spacing w:val="39"/>
        </w:rPr>
        <w:t xml:space="preserve"> </w:t>
      </w:r>
      <w:r>
        <w:t>en</w:t>
      </w:r>
      <w:r>
        <w:rPr>
          <w:spacing w:val="42"/>
        </w:rPr>
        <w:t xml:space="preserve"> </w:t>
      </w:r>
      <w:r>
        <w:t>los</w:t>
      </w:r>
      <w:r>
        <w:rPr>
          <w:spacing w:val="42"/>
        </w:rPr>
        <w:t xml:space="preserve"> </w:t>
      </w:r>
      <w:r>
        <w:t>derechos</w:t>
      </w:r>
      <w:r>
        <w:rPr>
          <w:spacing w:val="41"/>
        </w:rPr>
        <w:t xml:space="preserve"> </w:t>
      </w:r>
      <w:r>
        <w:t>de</w:t>
      </w:r>
      <w:r>
        <w:rPr>
          <w:spacing w:val="42"/>
        </w:rPr>
        <w:t xml:space="preserve"> </w:t>
      </w:r>
      <w:r>
        <w:t>propiedad</w:t>
      </w:r>
      <w:r>
        <w:rPr>
          <w:spacing w:val="41"/>
        </w:rPr>
        <w:t xml:space="preserve"> </w:t>
      </w:r>
      <w:r>
        <w:t>sobre</w:t>
      </w:r>
      <w:r>
        <w:rPr>
          <w:spacing w:val="42"/>
        </w:rPr>
        <w:t xml:space="preserve"> </w:t>
      </w:r>
      <w:r>
        <w:t>la</w:t>
      </w:r>
      <w:r>
        <w:rPr>
          <w:spacing w:val="40"/>
        </w:rPr>
        <w:t xml:space="preserve"> </w:t>
      </w:r>
      <w:r>
        <w:t>tierra</w:t>
      </w:r>
      <w:r>
        <w:rPr>
          <w:spacing w:val="41"/>
        </w:rPr>
        <w:t xml:space="preserve"> </w:t>
      </w:r>
      <w:r>
        <w:t>disminuyó</w:t>
      </w:r>
      <w:r>
        <w:rPr>
          <w:spacing w:val="41"/>
        </w:rPr>
        <w:t xml:space="preserve"> </w:t>
      </w:r>
      <w:r>
        <w:t>sustancialmente</w:t>
      </w:r>
      <w:r>
        <w:rPr>
          <w:spacing w:val="42"/>
        </w:rPr>
        <w:t xml:space="preserve"> </w:t>
      </w:r>
      <w:r>
        <w:rPr>
          <w:spacing w:val="-5"/>
        </w:rPr>
        <w:t>la</w:t>
      </w:r>
      <w:bookmarkStart w:id="1255" w:name="_bookmark1111"/>
      <w:bookmarkStart w:id="1256" w:name="_bookmark1112"/>
      <w:bookmarkEnd w:id="1255"/>
      <w:bookmarkEnd w:id="1256"/>
      <w:r w:rsidR="00711BAE">
        <w:rPr>
          <w:spacing w:val="-5"/>
        </w:rPr>
        <w:t xml:space="preserve"> </w:t>
      </w:r>
      <w:r>
        <w:t>capacidad de los pobladores de los territorios históricamente excluidos para mantenerse dentro de los límites de la economía legal. La crisis del sector agrícola durante los noventa, profundizada por medidas asociadas al modelo de globalización, excluyó a una base social campesina</w:t>
      </w:r>
      <w:r>
        <w:rPr>
          <w:spacing w:val="-15"/>
        </w:rPr>
        <w:t xml:space="preserve"> </w:t>
      </w:r>
      <w:r>
        <w:t>que,</w:t>
      </w:r>
      <w:r>
        <w:rPr>
          <w:spacing w:val="-15"/>
        </w:rPr>
        <w:t xml:space="preserve"> </w:t>
      </w:r>
      <w:r>
        <w:t>al</w:t>
      </w:r>
      <w:r>
        <w:rPr>
          <w:spacing w:val="-15"/>
        </w:rPr>
        <w:t xml:space="preserve"> </w:t>
      </w:r>
      <w:r>
        <w:t>quedar</w:t>
      </w:r>
      <w:r>
        <w:rPr>
          <w:spacing w:val="-15"/>
        </w:rPr>
        <w:t xml:space="preserve"> </w:t>
      </w:r>
      <w:r>
        <w:t>por</w:t>
      </w:r>
      <w:r>
        <w:rPr>
          <w:spacing w:val="-15"/>
        </w:rPr>
        <w:t xml:space="preserve"> </w:t>
      </w:r>
      <w:r>
        <w:t>fuera</w:t>
      </w:r>
      <w:r>
        <w:rPr>
          <w:spacing w:val="-15"/>
        </w:rPr>
        <w:t xml:space="preserve"> </w:t>
      </w:r>
      <w:r>
        <w:t>de</w:t>
      </w:r>
      <w:r>
        <w:rPr>
          <w:spacing w:val="-15"/>
        </w:rPr>
        <w:t xml:space="preserve"> </w:t>
      </w:r>
      <w:r>
        <w:t>los</w:t>
      </w:r>
      <w:r>
        <w:rPr>
          <w:spacing w:val="-15"/>
        </w:rPr>
        <w:t xml:space="preserve"> </w:t>
      </w:r>
      <w:r>
        <w:t>mercados</w:t>
      </w:r>
      <w:r>
        <w:rPr>
          <w:spacing w:val="-15"/>
        </w:rPr>
        <w:t xml:space="preserve"> </w:t>
      </w:r>
      <w:r>
        <w:t>de</w:t>
      </w:r>
      <w:r>
        <w:rPr>
          <w:spacing w:val="-15"/>
        </w:rPr>
        <w:t xml:space="preserve"> </w:t>
      </w:r>
      <w:r>
        <w:t>alimentos</w:t>
      </w:r>
      <w:r>
        <w:rPr>
          <w:spacing w:val="-15"/>
        </w:rPr>
        <w:t xml:space="preserve"> </w:t>
      </w:r>
      <w:r>
        <w:t>y</w:t>
      </w:r>
      <w:r>
        <w:rPr>
          <w:spacing w:val="-15"/>
        </w:rPr>
        <w:t xml:space="preserve"> </w:t>
      </w:r>
      <w:r>
        <w:t>productos</w:t>
      </w:r>
      <w:r>
        <w:rPr>
          <w:spacing w:val="-15"/>
        </w:rPr>
        <w:t xml:space="preserve"> </w:t>
      </w:r>
      <w:r>
        <w:t>agrícolas,</w:t>
      </w:r>
      <w:r>
        <w:rPr>
          <w:spacing w:val="-15"/>
        </w:rPr>
        <w:t xml:space="preserve"> </w:t>
      </w:r>
      <w:r>
        <w:t>buscó alternativas en el cultivo de la coca, marihuana y amapola, actividad que ya estaba presente en</w:t>
      </w:r>
      <w:r>
        <w:rPr>
          <w:spacing w:val="-15"/>
        </w:rPr>
        <w:t xml:space="preserve"> </w:t>
      </w:r>
      <w:r>
        <w:t>los</w:t>
      </w:r>
      <w:r>
        <w:rPr>
          <w:spacing w:val="-14"/>
        </w:rPr>
        <w:t xml:space="preserve"> </w:t>
      </w:r>
      <w:r>
        <w:t>territorios</w:t>
      </w:r>
      <w:r>
        <w:rPr>
          <w:spacing w:val="-14"/>
        </w:rPr>
        <w:t xml:space="preserve"> </w:t>
      </w:r>
      <w:r>
        <w:t>y</w:t>
      </w:r>
      <w:r>
        <w:rPr>
          <w:spacing w:val="-14"/>
        </w:rPr>
        <w:t xml:space="preserve"> </w:t>
      </w:r>
      <w:r>
        <w:t>en</w:t>
      </w:r>
      <w:r>
        <w:rPr>
          <w:spacing w:val="-15"/>
        </w:rPr>
        <w:t xml:space="preserve"> </w:t>
      </w:r>
      <w:r>
        <w:t>las</w:t>
      </w:r>
      <w:r>
        <w:rPr>
          <w:spacing w:val="-15"/>
        </w:rPr>
        <w:t xml:space="preserve"> </w:t>
      </w:r>
      <w:r>
        <w:t>que</w:t>
      </w:r>
      <w:r>
        <w:rPr>
          <w:spacing w:val="-13"/>
        </w:rPr>
        <w:t xml:space="preserve"> </w:t>
      </w:r>
      <w:r>
        <w:t>encontraron</w:t>
      </w:r>
      <w:r>
        <w:rPr>
          <w:spacing w:val="-15"/>
        </w:rPr>
        <w:t xml:space="preserve"> </w:t>
      </w:r>
      <w:r>
        <w:t>protección</w:t>
      </w:r>
      <w:r>
        <w:rPr>
          <w:spacing w:val="-15"/>
        </w:rPr>
        <w:t xml:space="preserve"> </w:t>
      </w:r>
      <w:r>
        <w:t>y</w:t>
      </w:r>
      <w:r>
        <w:rPr>
          <w:spacing w:val="-14"/>
        </w:rPr>
        <w:t xml:space="preserve"> </w:t>
      </w:r>
      <w:r>
        <w:t>asociación</w:t>
      </w:r>
      <w:r>
        <w:rPr>
          <w:spacing w:val="-15"/>
        </w:rPr>
        <w:t xml:space="preserve"> </w:t>
      </w:r>
      <w:r>
        <w:t>con</w:t>
      </w:r>
      <w:r>
        <w:rPr>
          <w:spacing w:val="-14"/>
        </w:rPr>
        <w:t xml:space="preserve"> </w:t>
      </w:r>
      <w:r>
        <w:t>los</w:t>
      </w:r>
      <w:r>
        <w:rPr>
          <w:spacing w:val="-14"/>
        </w:rPr>
        <w:t xml:space="preserve"> </w:t>
      </w:r>
      <w:r>
        <w:t>actores</w:t>
      </w:r>
      <w:r>
        <w:rPr>
          <w:spacing w:val="-13"/>
        </w:rPr>
        <w:t xml:space="preserve"> </w:t>
      </w:r>
      <w:r>
        <w:t>de</w:t>
      </w:r>
      <w:r>
        <w:rPr>
          <w:spacing w:val="-14"/>
        </w:rPr>
        <w:t xml:space="preserve"> </w:t>
      </w:r>
      <w:r>
        <w:t>la</w:t>
      </w:r>
      <w:r>
        <w:rPr>
          <w:spacing w:val="-13"/>
        </w:rPr>
        <w:t xml:space="preserve"> </w:t>
      </w:r>
      <w:r>
        <w:rPr>
          <w:spacing w:val="-2"/>
        </w:rPr>
        <w:t>guerra.</w:t>
      </w:r>
    </w:p>
    <w:p w:rsidR="003804AC" w:rsidRDefault="00AF18A5" w:rsidP="00711BAE">
      <w:r>
        <w:t>Así,</w:t>
      </w:r>
      <w:r>
        <w:rPr>
          <w:spacing w:val="-5"/>
        </w:rPr>
        <w:t xml:space="preserve"> </w:t>
      </w:r>
      <w:r>
        <w:t>durante</w:t>
      </w:r>
      <w:r>
        <w:rPr>
          <w:spacing w:val="-6"/>
        </w:rPr>
        <w:t xml:space="preserve"> </w:t>
      </w:r>
      <w:r>
        <w:t>la</w:t>
      </w:r>
      <w:r>
        <w:rPr>
          <w:spacing w:val="-5"/>
        </w:rPr>
        <w:t xml:space="preserve"> </w:t>
      </w:r>
      <w:r>
        <w:t>década</w:t>
      </w:r>
      <w:r>
        <w:rPr>
          <w:spacing w:val="-5"/>
        </w:rPr>
        <w:t xml:space="preserve"> </w:t>
      </w:r>
      <w:r>
        <w:t>de</w:t>
      </w:r>
      <w:r>
        <w:rPr>
          <w:spacing w:val="-5"/>
        </w:rPr>
        <w:t xml:space="preserve"> </w:t>
      </w:r>
      <w:r>
        <w:t>los</w:t>
      </w:r>
      <w:r>
        <w:rPr>
          <w:spacing w:val="-5"/>
        </w:rPr>
        <w:t xml:space="preserve"> </w:t>
      </w:r>
      <w:r>
        <w:t>noventa</w:t>
      </w:r>
      <w:r>
        <w:rPr>
          <w:spacing w:val="-5"/>
        </w:rPr>
        <w:t xml:space="preserve"> </w:t>
      </w:r>
      <w:r>
        <w:t>coincidieron</w:t>
      </w:r>
      <w:r>
        <w:rPr>
          <w:spacing w:val="-5"/>
        </w:rPr>
        <w:t xml:space="preserve"> </w:t>
      </w:r>
      <w:r>
        <w:t>espacial</w:t>
      </w:r>
      <w:r>
        <w:rPr>
          <w:spacing w:val="-4"/>
        </w:rPr>
        <w:t xml:space="preserve"> </w:t>
      </w:r>
      <w:r>
        <w:t>y</w:t>
      </w:r>
      <w:r>
        <w:rPr>
          <w:spacing w:val="-5"/>
        </w:rPr>
        <w:t xml:space="preserve"> </w:t>
      </w:r>
      <w:r>
        <w:t>temporalmente</w:t>
      </w:r>
      <w:r>
        <w:rPr>
          <w:spacing w:val="-5"/>
        </w:rPr>
        <w:t xml:space="preserve"> </w:t>
      </w:r>
      <w:r>
        <w:t>el</w:t>
      </w:r>
      <w:r>
        <w:rPr>
          <w:spacing w:val="-4"/>
        </w:rPr>
        <w:t xml:space="preserve"> </w:t>
      </w:r>
      <w:r>
        <w:t>abandono de las economías campesinas, la quiebra de muchos productores por la apertura de las importaciones subsidiadas del resto del mundo, el crecimiento del desempleo en el campo, con el crecimiento de los grupos armados y los cultivos ilícitos en el país.</w:t>
      </w:r>
      <w:r w:rsidR="00711BAE">
        <w:rPr>
          <w:rStyle w:val="Refdenotaalpie"/>
        </w:rPr>
        <w:footnoteReference w:id="1014"/>
      </w:r>
      <w:r>
        <w:t xml:space="preserve"> Esta nueva orientación del sector productivo fue aprovechada también por los actores armados para dinamizar</w:t>
      </w:r>
      <w:r>
        <w:rPr>
          <w:spacing w:val="-7"/>
        </w:rPr>
        <w:t xml:space="preserve"> </w:t>
      </w:r>
      <w:r>
        <w:t>sus</w:t>
      </w:r>
      <w:r>
        <w:rPr>
          <w:spacing w:val="-7"/>
        </w:rPr>
        <w:t xml:space="preserve"> </w:t>
      </w:r>
      <w:r>
        <w:t>economías</w:t>
      </w:r>
      <w:r>
        <w:rPr>
          <w:spacing w:val="-7"/>
        </w:rPr>
        <w:t xml:space="preserve"> </w:t>
      </w:r>
      <w:r>
        <w:t>de</w:t>
      </w:r>
      <w:r>
        <w:rPr>
          <w:spacing w:val="-7"/>
        </w:rPr>
        <w:t xml:space="preserve"> </w:t>
      </w:r>
      <w:r>
        <w:t>guerra</w:t>
      </w:r>
      <w:r>
        <w:rPr>
          <w:spacing w:val="-8"/>
        </w:rPr>
        <w:t xml:space="preserve"> </w:t>
      </w:r>
      <w:r>
        <w:t>a</w:t>
      </w:r>
      <w:r>
        <w:rPr>
          <w:spacing w:val="-8"/>
        </w:rPr>
        <w:t xml:space="preserve"> </w:t>
      </w:r>
      <w:r>
        <w:t>través</w:t>
      </w:r>
      <w:r>
        <w:rPr>
          <w:spacing w:val="-7"/>
        </w:rPr>
        <w:t xml:space="preserve"> </w:t>
      </w:r>
      <w:r>
        <w:t>de</w:t>
      </w:r>
      <w:r>
        <w:rPr>
          <w:spacing w:val="-8"/>
        </w:rPr>
        <w:t xml:space="preserve"> </w:t>
      </w:r>
      <w:r>
        <w:t>formas</w:t>
      </w:r>
      <w:r>
        <w:rPr>
          <w:spacing w:val="-7"/>
        </w:rPr>
        <w:t xml:space="preserve"> </w:t>
      </w:r>
      <w:r>
        <w:t>de</w:t>
      </w:r>
      <w:r>
        <w:rPr>
          <w:spacing w:val="-7"/>
        </w:rPr>
        <w:t xml:space="preserve"> </w:t>
      </w:r>
      <w:r>
        <w:t>explotación</w:t>
      </w:r>
      <w:r>
        <w:rPr>
          <w:spacing w:val="-7"/>
        </w:rPr>
        <w:t xml:space="preserve"> </w:t>
      </w:r>
      <w:r>
        <w:t>directas</w:t>
      </w:r>
      <w:r>
        <w:rPr>
          <w:spacing w:val="-7"/>
        </w:rPr>
        <w:t xml:space="preserve"> </w:t>
      </w:r>
      <w:r>
        <w:t>e</w:t>
      </w:r>
      <w:r>
        <w:rPr>
          <w:spacing w:val="-7"/>
        </w:rPr>
        <w:t xml:space="preserve"> </w:t>
      </w:r>
      <w:r>
        <w:t>indirectas</w:t>
      </w:r>
      <w:r>
        <w:rPr>
          <w:spacing w:val="-7"/>
        </w:rPr>
        <w:t xml:space="preserve"> </w:t>
      </w:r>
      <w:r>
        <w:t xml:space="preserve">de los recursos altamente rentables en el mercado internacional, especialmente en </w:t>
      </w:r>
      <w:r>
        <w:lastRenderedPageBreak/>
        <w:t>contextos caracterizados por la escasa presencia del Estado. La inserción de estos proyectos económicos suscitó conflictos sociales y ambientales que fueron agravados por la irrupción violenta de grupos guerrilleros, paramilitares y el ejército que iniciaron una cruenta disputa por el control de estos territorios.</w:t>
      </w:r>
    </w:p>
    <w:p w:rsidR="003804AC" w:rsidRPr="00904D5D" w:rsidRDefault="00AF18A5" w:rsidP="00904D5D">
      <w:r>
        <w:t>Algunos recursos agrícolas, especialmente de plantación extensiva, vinculados con las prioridades de los mercados internacionales, también se beneficiaron de la apertura económica y terminaron en ocasiones vinculadas con el conflicto armado.</w:t>
      </w:r>
      <w:r w:rsidR="00711BAE">
        <w:rPr>
          <w:rStyle w:val="Refdenotaalpie"/>
        </w:rPr>
        <w:footnoteReference w:id="1015"/>
      </w:r>
      <w:r>
        <w:t xml:space="preserve"> Por ejemplo, el</w:t>
      </w:r>
      <w:r>
        <w:rPr>
          <w:spacing w:val="-4"/>
        </w:rPr>
        <w:t xml:space="preserve"> </w:t>
      </w:r>
      <w:r>
        <w:t>auge</w:t>
      </w:r>
      <w:r>
        <w:rPr>
          <w:spacing w:val="-6"/>
        </w:rPr>
        <w:t xml:space="preserve"> </w:t>
      </w:r>
      <w:r>
        <w:t>del</w:t>
      </w:r>
      <w:r>
        <w:rPr>
          <w:spacing w:val="-6"/>
        </w:rPr>
        <w:t xml:space="preserve"> </w:t>
      </w:r>
      <w:r>
        <w:t>cultivo</w:t>
      </w:r>
      <w:r>
        <w:rPr>
          <w:spacing w:val="-6"/>
        </w:rPr>
        <w:t xml:space="preserve"> </w:t>
      </w:r>
      <w:r>
        <w:t>de</w:t>
      </w:r>
      <w:r>
        <w:rPr>
          <w:spacing w:val="-5"/>
        </w:rPr>
        <w:t xml:space="preserve"> </w:t>
      </w:r>
      <w:r>
        <w:t>palma</w:t>
      </w:r>
      <w:r>
        <w:rPr>
          <w:spacing w:val="-5"/>
        </w:rPr>
        <w:t xml:space="preserve"> </w:t>
      </w:r>
      <w:r>
        <w:t>aceitera</w:t>
      </w:r>
      <w:r>
        <w:rPr>
          <w:spacing w:val="-7"/>
        </w:rPr>
        <w:t xml:space="preserve"> </w:t>
      </w:r>
      <w:r>
        <w:t>empezó</w:t>
      </w:r>
      <w:r>
        <w:rPr>
          <w:spacing w:val="-6"/>
        </w:rPr>
        <w:t xml:space="preserve"> </w:t>
      </w:r>
      <w:r>
        <w:t>en</w:t>
      </w:r>
      <w:r>
        <w:rPr>
          <w:spacing w:val="-5"/>
        </w:rPr>
        <w:t xml:space="preserve"> </w:t>
      </w:r>
      <w:r>
        <w:t>la</w:t>
      </w:r>
      <w:r>
        <w:rPr>
          <w:spacing w:val="-5"/>
        </w:rPr>
        <w:t xml:space="preserve"> </w:t>
      </w:r>
      <w:r>
        <w:t>década</w:t>
      </w:r>
      <w:r>
        <w:rPr>
          <w:spacing w:val="-5"/>
        </w:rPr>
        <w:t xml:space="preserve"> </w:t>
      </w:r>
      <w:r>
        <w:t>de</w:t>
      </w:r>
      <w:r>
        <w:rPr>
          <w:spacing w:val="-6"/>
        </w:rPr>
        <w:t xml:space="preserve"> </w:t>
      </w:r>
      <w:r>
        <w:t>los</w:t>
      </w:r>
      <w:r>
        <w:rPr>
          <w:spacing w:val="-5"/>
        </w:rPr>
        <w:t xml:space="preserve"> </w:t>
      </w:r>
      <w:r>
        <w:t>noventa,</w:t>
      </w:r>
      <w:r>
        <w:rPr>
          <w:spacing w:val="-6"/>
        </w:rPr>
        <w:t xml:space="preserve"> </w:t>
      </w:r>
      <w:r>
        <w:t>cuando</w:t>
      </w:r>
      <w:r>
        <w:rPr>
          <w:spacing w:val="-5"/>
        </w:rPr>
        <w:t xml:space="preserve"> </w:t>
      </w:r>
      <w:r>
        <w:t>se</w:t>
      </w:r>
      <w:r>
        <w:rPr>
          <w:spacing w:val="-6"/>
        </w:rPr>
        <w:t xml:space="preserve"> </w:t>
      </w:r>
      <w:r>
        <w:t>produjo un</w:t>
      </w:r>
      <w:r>
        <w:rPr>
          <w:spacing w:val="-1"/>
        </w:rPr>
        <w:t xml:space="preserve"> </w:t>
      </w:r>
      <w:r>
        <w:t>incremento</w:t>
      </w:r>
      <w:r>
        <w:rPr>
          <w:spacing w:val="-1"/>
        </w:rPr>
        <w:t xml:space="preserve"> </w:t>
      </w:r>
      <w:r>
        <w:t>sostenido</w:t>
      </w:r>
      <w:r>
        <w:rPr>
          <w:spacing w:val="-1"/>
        </w:rPr>
        <w:t xml:space="preserve"> </w:t>
      </w:r>
      <w:r>
        <w:t>de</w:t>
      </w:r>
      <w:r>
        <w:rPr>
          <w:spacing w:val="-1"/>
        </w:rPr>
        <w:t xml:space="preserve"> </w:t>
      </w:r>
      <w:r>
        <w:t>la</w:t>
      </w:r>
      <w:r>
        <w:rPr>
          <w:spacing w:val="-1"/>
        </w:rPr>
        <w:t xml:space="preserve"> </w:t>
      </w:r>
      <w:r>
        <w:t>demanda</w:t>
      </w:r>
      <w:r>
        <w:rPr>
          <w:spacing w:val="-1"/>
        </w:rPr>
        <w:t xml:space="preserve"> </w:t>
      </w:r>
      <w:r>
        <w:t>mundial</w:t>
      </w:r>
      <w:r>
        <w:rPr>
          <w:spacing w:val="-1"/>
        </w:rPr>
        <w:t xml:space="preserve"> </w:t>
      </w:r>
      <w:r>
        <w:t>de</w:t>
      </w:r>
      <w:r>
        <w:rPr>
          <w:spacing w:val="-1"/>
        </w:rPr>
        <w:t xml:space="preserve"> </w:t>
      </w:r>
      <w:r>
        <w:t>grasas</w:t>
      </w:r>
      <w:r>
        <w:rPr>
          <w:spacing w:val="-1"/>
        </w:rPr>
        <w:t xml:space="preserve"> </w:t>
      </w:r>
      <w:r>
        <w:t>y</w:t>
      </w:r>
      <w:r>
        <w:rPr>
          <w:spacing w:val="-2"/>
        </w:rPr>
        <w:t xml:space="preserve"> </w:t>
      </w:r>
      <w:r>
        <w:t>aceites,</w:t>
      </w:r>
      <w:r>
        <w:rPr>
          <w:spacing w:val="-1"/>
        </w:rPr>
        <w:t xml:space="preserve"> </w:t>
      </w:r>
      <w:r>
        <w:t>así</w:t>
      </w:r>
      <w:r>
        <w:rPr>
          <w:spacing w:val="-1"/>
        </w:rPr>
        <w:t xml:space="preserve"> </w:t>
      </w:r>
      <w:r>
        <w:t>como</w:t>
      </w:r>
      <w:r>
        <w:rPr>
          <w:spacing w:val="-1"/>
        </w:rPr>
        <w:t xml:space="preserve"> </w:t>
      </w:r>
      <w:r>
        <w:t>la</w:t>
      </w:r>
      <w:r>
        <w:rPr>
          <w:spacing w:val="-1"/>
        </w:rPr>
        <w:t xml:space="preserve"> </w:t>
      </w:r>
      <w:r>
        <w:t>posibilidad de utilizar este recurso como biocombustible. Dadas estas condiciones y la amplitud de la presencia</w:t>
      </w:r>
      <w:r>
        <w:rPr>
          <w:spacing w:val="2"/>
        </w:rPr>
        <w:t xml:space="preserve"> </w:t>
      </w:r>
      <w:r>
        <w:t>de</w:t>
      </w:r>
      <w:r>
        <w:rPr>
          <w:spacing w:val="4"/>
        </w:rPr>
        <w:t xml:space="preserve"> </w:t>
      </w:r>
      <w:r>
        <w:t>este</w:t>
      </w:r>
      <w:r>
        <w:rPr>
          <w:spacing w:val="4"/>
        </w:rPr>
        <w:t xml:space="preserve"> </w:t>
      </w:r>
      <w:r>
        <w:t>tipo</w:t>
      </w:r>
      <w:r>
        <w:rPr>
          <w:spacing w:val="2"/>
        </w:rPr>
        <w:t xml:space="preserve"> </w:t>
      </w:r>
      <w:r>
        <w:t>de</w:t>
      </w:r>
      <w:r>
        <w:rPr>
          <w:spacing w:val="4"/>
        </w:rPr>
        <w:t xml:space="preserve"> </w:t>
      </w:r>
      <w:r>
        <w:t>cultivo</w:t>
      </w:r>
      <w:r>
        <w:rPr>
          <w:spacing w:val="5"/>
        </w:rPr>
        <w:t xml:space="preserve"> </w:t>
      </w:r>
      <w:r>
        <w:t>en</w:t>
      </w:r>
      <w:r>
        <w:rPr>
          <w:spacing w:val="2"/>
        </w:rPr>
        <w:t xml:space="preserve"> </w:t>
      </w:r>
      <w:r>
        <w:t>el</w:t>
      </w:r>
      <w:r>
        <w:rPr>
          <w:spacing w:val="5"/>
        </w:rPr>
        <w:t xml:space="preserve"> </w:t>
      </w:r>
      <w:r>
        <w:t>territorio</w:t>
      </w:r>
      <w:r>
        <w:rPr>
          <w:spacing w:val="5"/>
        </w:rPr>
        <w:t xml:space="preserve"> </w:t>
      </w:r>
      <w:r>
        <w:t>nacional,</w:t>
      </w:r>
      <w:r>
        <w:rPr>
          <w:spacing w:val="4"/>
        </w:rPr>
        <w:t xml:space="preserve"> </w:t>
      </w:r>
      <w:r>
        <w:t>actores</w:t>
      </w:r>
      <w:r>
        <w:rPr>
          <w:spacing w:val="5"/>
        </w:rPr>
        <w:t xml:space="preserve"> </w:t>
      </w:r>
      <w:r>
        <w:t>armados,</w:t>
      </w:r>
      <w:r>
        <w:rPr>
          <w:spacing w:val="3"/>
        </w:rPr>
        <w:t xml:space="preserve"> </w:t>
      </w:r>
      <w:r>
        <w:t>especialmente</w:t>
      </w:r>
      <w:r>
        <w:rPr>
          <w:spacing w:val="5"/>
        </w:rPr>
        <w:t xml:space="preserve"> </w:t>
      </w:r>
      <w:r>
        <w:rPr>
          <w:spacing w:val="-5"/>
        </w:rPr>
        <w:t>el</w:t>
      </w:r>
      <w:bookmarkStart w:id="1257" w:name="_bookmark1113"/>
      <w:bookmarkStart w:id="1258" w:name="_bookmark1114"/>
      <w:bookmarkEnd w:id="1257"/>
      <w:bookmarkEnd w:id="1258"/>
      <w:r w:rsidR="00904D5D">
        <w:rPr>
          <w:spacing w:val="-5"/>
        </w:rPr>
        <w:t xml:space="preserve"> </w:t>
      </w:r>
      <w:r>
        <w:t xml:space="preserve">paramilitarismo, lo ubicaron como alternativa de financiación de la guerra, al menos de dos maneras: a) a través de extorsiones a los </w:t>
      </w:r>
      <w:proofErr w:type="spellStart"/>
      <w:r>
        <w:t>palmicultores</w:t>
      </w:r>
      <w:proofErr w:type="spellEnd"/>
      <w:r>
        <w:t>, secuestros de administradores, la obstrucción del transporte de los trabajadores y las amenazas de destrucción de las instalaciones en lugares en los que la palma ya estaba establecida, y b) a través del desplazamiento de familias de sus tierras con la intención de establecer en ellas grandes cultivos, como le ocurrió a las comunidades afrodescendientes del pacífico. Situaciones como</w:t>
      </w:r>
      <w:r>
        <w:rPr>
          <w:spacing w:val="-11"/>
        </w:rPr>
        <w:t xml:space="preserve"> </w:t>
      </w:r>
      <w:r>
        <w:t>estas</w:t>
      </w:r>
      <w:r>
        <w:rPr>
          <w:spacing w:val="-12"/>
        </w:rPr>
        <w:t xml:space="preserve"> </w:t>
      </w:r>
      <w:r>
        <w:t>se</w:t>
      </w:r>
      <w:r>
        <w:rPr>
          <w:spacing w:val="-10"/>
        </w:rPr>
        <w:t xml:space="preserve"> </w:t>
      </w:r>
      <w:r>
        <w:t>han</w:t>
      </w:r>
      <w:r>
        <w:rPr>
          <w:spacing w:val="-11"/>
        </w:rPr>
        <w:t xml:space="preserve"> </w:t>
      </w:r>
      <w:r>
        <w:t>repetido</w:t>
      </w:r>
      <w:r>
        <w:rPr>
          <w:spacing w:val="-11"/>
        </w:rPr>
        <w:t xml:space="preserve"> </w:t>
      </w:r>
      <w:r>
        <w:t>con</w:t>
      </w:r>
      <w:r>
        <w:rPr>
          <w:spacing w:val="-11"/>
        </w:rPr>
        <w:t xml:space="preserve"> </w:t>
      </w:r>
      <w:r>
        <w:t>otros</w:t>
      </w:r>
      <w:r>
        <w:rPr>
          <w:spacing w:val="-12"/>
        </w:rPr>
        <w:t xml:space="preserve"> </w:t>
      </w:r>
      <w:r>
        <w:t>recursos</w:t>
      </w:r>
      <w:r>
        <w:rPr>
          <w:spacing w:val="-12"/>
        </w:rPr>
        <w:t xml:space="preserve"> </w:t>
      </w:r>
      <w:r>
        <w:t>agrícolas</w:t>
      </w:r>
      <w:r>
        <w:rPr>
          <w:spacing w:val="-10"/>
        </w:rPr>
        <w:t xml:space="preserve"> </w:t>
      </w:r>
      <w:r>
        <w:t>de</w:t>
      </w:r>
      <w:r>
        <w:rPr>
          <w:spacing w:val="-10"/>
        </w:rPr>
        <w:t xml:space="preserve"> </w:t>
      </w:r>
      <w:r>
        <w:t>plantación</w:t>
      </w:r>
      <w:r>
        <w:rPr>
          <w:spacing w:val="-12"/>
        </w:rPr>
        <w:t xml:space="preserve"> </w:t>
      </w:r>
      <w:r>
        <w:t>extensiva</w:t>
      </w:r>
      <w:r>
        <w:rPr>
          <w:spacing w:val="-10"/>
        </w:rPr>
        <w:t xml:space="preserve"> </w:t>
      </w:r>
      <w:r>
        <w:t>así</w:t>
      </w:r>
      <w:r>
        <w:rPr>
          <w:spacing w:val="-11"/>
        </w:rPr>
        <w:t xml:space="preserve"> </w:t>
      </w:r>
      <w:r>
        <w:t>como</w:t>
      </w:r>
      <w:r>
        <w:rPr>
          <w:spacing w:val="-11"/>
        </w:rPr>
        <w:t xml:space="preserve"> </w:t>
      </w:r>
      <w:r>
        <w:t>con recursos minero-energéticos.</w:t>
      </w:r>
      <w:r w:rsidR="00904D5D">
        <w:rPr>
          <w:rStyle w:val="Refdenotaalpie"/>
        </w:rPr>
        <w:footnoteReference w:id="1016"/>
      </w:r>
      <w:r w:rsidR="00904D5D" w:rsidRPr="00904D5D">
        <w:t xml:space="preserve"> </w:t>
      </w:r>
    </w:p>
    <w:p w:rsidR="003804AC" w:rsidRDefault="00AF18A5" w:rsidP="00904D5D">
      <w:r>
        <w:lastRenderedPageBreak/>
        <w:t>Así, la guerra se arraigó en una sociedad históricamente desigual y excluyente, pero en términos económicos y sociales el modelo neoliberal, implementado a partir de 1990 y en coexistencia con el conflicto armado, fue funcional para que los gobiernos tomaran decisiones</w:t>
      </w:r>
      <w:r>
        <w:rPr>
          <w:spacing w:val="-5"/>
        </w:rPr>
        <w:t xml:space="preserve"> </w:t>
      </w:r>
      <w:r>
        <w:t>políticas</w:t>
      </w:r>
      <w:r>
        <w:rPr>
          <w:spacing w:val="-6"/>
        </w:rPr>
        <w:t xml:space="preserve"> </w:t>
      </w:r>
      <w:r>
        <w:t>y</w:t>
      </w:r>
      <w:r>
        <w:rPr>
          <w:spacing w:val="-5"/>
        </w:rPr>
        <w:t xml:space="preserve"> </w:t>
      </w:r>
      <w:r>
        <w:t>económicas</w:t>
      </w:r>
      <w:r>
        <w:rPr>
          <w:spacing w:val="-5"/>
        </w:rPr>
        <w:t xml:space="preserve"> </w:t>
      </w:r>
      <w:r>
        <w:t>que</w:t>
      </w:r>
      <w:r>
        <w:rPr>
          <w:spacing w:val="-5"/>
        </w:rPr>
        <w:t xml:space="preserve"> </w:t>
      </w:r>
      <w:r>
        <w:t>beneficiaron</w:t>
      </w:r>
      <w:r>
        <w:rPr>
          <w:spacing w:val="-5"/>
        </w:rPr>
        <w:t xml:space="preserve"> </w:t>
      </w:r>
      <w:r>
        <w:t>a</w:t>
      </w:r>
      <w:r>
        <w:rPr>
          <w:spacing w:val="-5"/>
        </w:rPr>
        <w:t xml:space="preserve"> </w:t>
      </w:r>
      <w:r>
        <w:t>unos</w:t>
      </w:r>
      <w:r>
        <w:rPr>
          <w:spacing w:val="-6"/>
        </w:rPr>
        <w:t xml:space="preserve"> </w:t>
      </w:r>
      <w:r>
        <w:t>sectores</w:t>
      </w:r>
      <w:r>
        <w:rPr>
          <w:spacing w:val="-6"/>
        </w:rPr>
        <w:t xml:space="preserve"> </w:t>
      </w:r>
      <w:r>
        <w:t>de</w:t>
      </w:r>
      <w:r>
        <w:rPr>
          <w:spacing w:val="-6"/>
        </w:rPr>
        <w:t xml:space="preserve"> </w:t>
      </w:r>
      <w:r>
        <w:t>élites</w:t>
      </w:r>
      <w:r>
        <w:rPr>
          <w:spacing w:val="-5"/>
        </w:rPr>
        <w:t xml:space="preserve"> </w:t>
      </w:r>
      <w:r>
        <w:t>de</w:t>
      </w:r>
      <w:r>
        <w:rPr>
          <w:spacing w:val="-6"/>
        </w:rPr>
        <w:t xml:space="preserve"> </w:t>
      </w:r>
      <w:r>
        <w:t>la</w:t>
      </w:r>
      <w:r>
        <w:rPr>
          <w:spacing w:val="-5"/>
        </w:rPr>
        <w:t xml:space="preserve"> </w:t>
      </w:r>
      <w:r>
        <w:t>sociedad</w:t>
      </w:r>
      <w:r>
        <w:rPr>
          <w:spacing w:val="-5"/>
        </w:rPr>
        <w:t xml:space="preserve"> </w:t>
      </w:r>
      <w:r>
        <w:t>y desprotegieron a millones de personas, muchas de las cuales ya eran víctimas. Estas decisiones acrecentaron el conflicto social, debido a que amplios sectores de la ruralidad quedaron por fuera de los circuitos del mercado, con repercusiones en la continuación de la guerra</w:t>
      </w:r>
      <w:r>
        <w:rPr>
          <w:spacing w:val="-10"/>
        </w:rPr>
        <w:t xml:space="preserve"> </w:t>
      </w:r>
      <w:r>
        <w:t>existente,</w:t>
      </w:r>
      <w:r>
        <w:rPr>
          <w:spacing w:val="-9"/>
        </w:rPr>
        <w:t xml:space="preserve"> </w:t>
      </w:r>
      <w:r>
        <w:t>y</w:t>
      </w:r>
      <w:r>
        <w:rPr>
          <w:spacing w:val="-9"/>
        </w:rPr>
        <w:t xml:space="preserve"> </w:t>
      </w:r>
      <w:r>
        <w:t>contribuyeron</w:t>
      </w:r>
      <w:r>
        <w:rPr>
          <w:spacing w:val="-9"/>
        </w:rPr>
        <w:t xml:space="preserve"> </w:t>
      </w:r>
      <w:r>
        <w:t>a</w:t>
      </w:r>
      <w:r>
        <w:rPr>
          <w:spacing w:val="-10"/>
        </w:rPr>
        <w:t xml:space="preserve"> </w:t>
      </w:r>
      <w:r>
        <w:t>incrementar</w:t>
      </w:r>
      <w:r>
        <w:rPr>
          <w:spacing w:val="-9"/>
        </w:rPr>
        <w:t xml:space="preserve"> </w:t>
      </w:r>
      <w:r>
        <w:t>violentamente</w:t>
      </w:r>
      <w:r>
        <w:rPr>
          <w:spacing w:val="-10"/>
        </w:rPr>
        <w:t xml:space="preserve"> </w:t>
      </w:r>
      <w:r>
        <w:t>la</w:t>
      </w:r>
      <w:r>
        <w:rPr>
          <w:spacing w:val="-9"/>
        </w:rPr>
        <w:t xml:space="preserve"> </w:t>
      </w:r>
      <w:r>
        <w:t>desigualdad,</w:t>
      </w:r>
      <w:r>
        <w:rPr>
          <w:spacing w:val="-9"/>
        </w:rPr>
        <w:t xml:space="preserve"> </w:t>
      </w:r>
      <w:r>
        <w:t>especialmente en la propiedad de la tierra y de la riqueza. Además, también contribuyeron a que se mantuvieran las desigualdades territoriales gracias a que élites regionales y nacionales materializaron alianzas políticas y económicas con paramilitares, narcotraficantes, y miembros de la fuerza pública, para desarrollar empresas y obtener ganancias a través tanto del despojo de tierras y el uso de la violencia –como ocurrió en casos identificados de plantaciones de banano y palma de aceite– como en la minería criminal de las retroexcavadoras en territorios como Urabá, Magdalena, Chocó.</w:t>
      </w:r>
    </w:p>
    <w:p w:rsidR="003804AC" w:rsidRDefault="00AF18A5" w:rsidP="005158E9">
      <w:r>
        <w:t>Con</w:t>
      </w:r>
      <w:r>
        <w:rPr>
          <w:spacing w:val="-7"/>
        </w:rPr>
        <w:t xml:space="preserve"> </w:t>
      </w:r>
      <w:r>
        <w:t>frecuencia,</w:t>
      </w:r>
      <w:r>
        <w:rPr>
          <w:spacing w:val="-7"/>
        </w:rPr>
        <w:t xml:space="preserve"> </w:t>
      </w:r>
      <w:r>
        <w:t>bajo</w:t>
      </w:r>
      <w:r>
        <w:rPr>
          <w:spacing w:val="-7"/>
        </w:rPr>
        <w:t xml:space="preserve"> </w:t>
      </w:r>
      <w:r>
        <w:t>la</w:t>
      </w:r>
      <w:r>
        <w:rPr>
          <w:spacing w:val="-7"/>
        </w:rPr>
        <w:t xml:space="preserve"> </w:t>
      </w:r>
      <w:r>
        <w:t>lógica</w:t>
      </w:r>
      <w:r>
        <w:rPr>
          <w:spacing w:val="-7"/>
        </w:rPr>
        <w:t xml:space="preserve"> </w:t>
      </w:r>
      <w:r>
        <w:t>del</w:t>
      </w:r>
      <w:r>
        <w:rPr>
          <w:spacing w:val="-7"/>
        </w:rPr>
        <w:t xml:space="preserve"> </w:t>
      </w:r>
      <w:proofErr w:type="spellStart"/>
      <w:r>
        <w:t>extractivismo</w:t>
      </w:r>
      <w:proofErr w:type="spellEnd"/>
      <w:r>
        <w:t>,</w:t>
      </w:r>
      <w:r>
        <w:rPr>
          <w:spacing w:val="-7"/>
        </w:rPr>
        <w:t xml:space="preserve"> </w:t>
      </w:r>
      <w:r>
        <w:t>los</w:t>
      </w:r>
      <w:r>
        <w:rPr>
          <w:spacing w:val="-7"/>
        </w:rPr>
        <w:t xml:space="preserve"> </w:t>
      </w:r>
      <w:r>
        <w:t>excedentes</w:t>
      </w:r>
      <w:r>
        <w:rPr>
          <w:spacing w:val="-7"/>
        </w:rPr>
        <w:t xml:space="preserve"> </w:t>
      </w:r>
      <w:r>
        <w:t>generados</w:t>
      </w:r>
      <w:r>
        <w:rPr>
          <w:spacing w:val="-7"/>
        </w:rPr>
        <w:t xml:space="preserve"> </w:t>
      </w:r>
      <w:r>
        <w:t>más</w:t>
      </w:r>
      <w:r>
        <w:rPr>
          <w:spacing w:val="-8"/>
        </w:rPr>
        <w:t xml:space="preserve"> </w:t>
      </w:r>
      <w:r>
        <w:t>allá</w:t>
      </w:r>
      <w:r>
        <w:rPr>
          <w:spacing w:val="-7"/>
        </w:rPr>
        <w:t xml:space="preserve"> </w:t>
      </w:r>
      <w:r>
        <w:t>de</w:t>
      </w:r>
      <w:r>
        <w:rPr>
          <w:spacing w:val="-8"/>
        </w:rPr>
        <w:t xml:space="preserve"> </w:t>
      </w:r>
      <w:r>
        <w:t>las regalías</w:t>
      </w:r>
      <w:r>
        <w:rPr>
          <w:spacing w:val="29"/>
        </w:rPr>
        <w:t xml:space="preserve"> </w:t>
      </w:r>
      <w:r>
        <w:t>por</w:t>
      </w:r>
      <w:r>
        <w:rPr>
          <w:spacing w:val="30"/>
        </w:rPr>
        <w:t xml:space="preserve"> </w:t>
      </w:r>
      <w:r>
        <w:t>estas</w:t>
      </w:r>
      <w:r>
        <w:rPr>
          <w:spacing w:val="32"/>
        </w:rPr>
        <w:t xml:space="preserve"> </w:t>
      </w:r>
      <w:r>
        <w:t>grandes</w:t>
      </w:r>
      <w:r>
        <w:rPr>
          <w:spacing w:val="31"/>
        </w:rPr>
        <w:t xml:space="preserve"> </w:t>
      </w:r>
      <w:r>
        <w:t>empresas</w:t>
      </w:r>
      <w:r>
        <w:rPr>
          <w:spacing w:val="30"/>
        </w:rPr>
        <w:t xml:space="preserve"> </w:t>
      </w:r>
      <w:r>
        <w:t>no</w:t>
      </w:r>
      <w:r>
        <w:rPr>
          <w:spacing w:val="32"/>
        </w:rPr>
        <w:t xml:space="preserve"> </w:t>
      </w:r>
      <w:r>
        <w:t>se</w:t>
      </w:r>
      <w:r>
        <w:rPr>
          <w:spacing w:val="31"/>
        </w:rPr>
        <w:t xml:space="preserve"> </w:t>
      </w:r>
      <w:r>
        <w:t>reinvirtieron</w:t>
      </w:r>
      <w:r>
        <w:rPr>
          <w:spacing w:val="31"/>
        </w:rPr>
        <w:t xml:space="preserve"> </w:t>
      </w:r>
      <w:r>
        <w:t>en</w:t>
      </w:r>
      <w:r>
        <w:rPr>
          <w:spacing w:val="32"/>
        </w:rPr>
        <w:t xml:space="preserve"> </w:t>
      </w:r>
      <w:r>
        <w:t>el</w:t>
      </w:r>
      <w:r>
        <w:rPr>
          <w:spacing w:val="31"/>
        </w:rPr>
        <w:t xml:space="preserve"> </w:t>
      </w:r>
      <w:r>
        <w:t>desarrollo.</w:t>
      </w:r>
      <w:r>
        <w:rPr>
          <w:spacing w:val="30"/>
        </w:rPr>
        <w:t xml:space="preserve"> </w:t>
      </w:r>
      <w:r>
        <w:t>La</w:t>
      </w:r>
      <w:r>
        <w:rPr>
          <w:spacing w:val="32"/>
        </w:rPr>
        <w:t xml:space="preserve"> </w:t>
      </w:r>
      <w:r>
        <w:t>pobreza</w:t>
      </w:r>
      <w:r>
        <w:rPr>
          <w:spacing w:val="31"/>
        </w:rPr>
        <w:t xml:space="preserve"> </w:t>
      </w:r>
      <w:r>
        <w:t>y</w:t>
      </w:r>
      <w:r>
        <w:rPr>
          <w:spacing w:val="32"/>
        </w:rPr>
        <w:t xml:space="preserve"> </w:t>
      </w:r>
      <w:r>
        <w:rPr>
          <w:spacing w:val="-5"/>
        </w:rPr>
        <w:t>el</w:t>
      </w:r>
      <w:bookmarkStart w:id="1259" w:name="_bookmark1115"/>
      <w:bookmarkEnd w:id="1259"/>
      <w:r w:rsidR="005158E9">
        <w:t xml:space="preserve"> </w:t>
      </w:r>
      <w:r>
        <w:t xml:space="preserve">conflicto contribuyeron a ahondar la situación de desigualdad y exclusión del mercado. El narcotráfico profundizó y degradó la violencia, pero al mismo tiempo llevó a ofrecer una alternativa a los campesinos afectados por las medidas económicas tomadas en el ajuste estructural de los noventa, y a garantizar –a través del lavado de activos, el contrabando y muchas </w:t>
      </w:r>
      <w:r>
        <w:lastRenderedPageBreak/>
        <w:t>iniciativas en el límite gris entre lo legal y lo ilegal– que distintos sectores de la economía no sucumbieran ante las crisis financieras globales que ha habido en las últimas tres</w:t>
      </w:r>
      <w:r>
        <w:rPr>
          <w:spacing w:val="-1"/>
        </w:rPr>
        <w:t xml:space="preserve"> </w:t>
      </w:r>
      <w:r>
        <w:t>décadas,</w:t>
      </w:r>
      <w:r>
        <w:rPr>
          <w:spacing w:val="-1"/>
        </w:rPr>
        <w:t xml:space="preserve"> </w:t>
      </w:r>
      <w:r>
        <w:t>mientras</w:t>
      </w:r>
      <w:r>
        <w:rPr>
          <w:spacing w:val="-1"/>
        </w:rPr>
        <w:t xml:space="preserve"> </w:t>
      </w:r>
      <w:r>
        <w:t>otros</w:t>
      </w:r>
      <w:r>
        <w:rPr>
          <w:spacing w:val="-1"/>
        </w:rPr>
        <w:t xml:space="preserve"> </w:t>
      </w:r>
      <w:r>
        <w:t>sectores</w:t>
      </w:r>
      <w:r>
        <w:rPr>
          <w:spacing w:val="-3"/>
        </w:rPr>
        <w:t xml:space="preserve"> </w:t>
      </w:r>
      <w:r>
        <w:t>se</w:t>
      </w:r>
      <w:r>
        <w:rPr>
          <w:spacing w:val="-1"/>
        </w:rPr>
        <w:t xml:space="preserve"> </w:t>
      </w:r>
      <w:r>
        <w:t>enriquecieron</w:t>
      </w:r>
      <w:r>
        <w:rPr>
          <w:spacing w:val="-1"/>
        </w:rPr>
        <w:t xml:space="preserve"> </w:t>
      </w:r>
      <w:r>
        <w:t>o</w:t>
      </w:r>
      <w:r>
        <w:rPr>
          <w:spacing w:val="-1"/>
        </w:rPr>
        <w:t xml:space="preserve"> </w:t>
      </w:r>
      <w:r>
        <w:t>financiaron</w:t>
      </w:r>
      <w:r>
        <w:rPr>
          <w:spacing w:val="-2"/>
        </w:rPr>
        <w:t xml:space="preserve"> </w:t>
      </w:r>
      <w:r>
        <w:t>la</w:t>
      </w:r>
      <w:r>
        <w:rPr>
          <w:spacing w:val="-1"/>
        </w:rPr>
        <w:t xml:space="preserve"> </w:t>
      </w:r>
      <w:r>
        <w:t>guerra.</w:t>
      </w:r>
      <w:r>
        <w:rPr>
          <w:spacing w:val="-1"/>
        </w:rPr>
        <w:t xml:space="preserve"> </w:t>
      </w:r>
      <w:r>
        <w:t>La</w:t>
      </w:r>
      <w:r>
        <w:rPr>
          <w:spacing w:val="-1"/>
        </w:rPr>
        <w:t xml:space="preserve"> </w:t>
      </w:r>
      <w:r>
        <w:t>protección de quienes se benefician con la desigualdad contribuyó a que la seguridad del Estado estuviera en buena parte centrada en la protección de la riqueza acumulada no solo por las dinámicas</w:t>
      </w:r>
      <w:r>
        <w:rPr>
          <w:spacing w:val="-6"/>
        </w:rPr>
        <w:t xml:space="preserve"> </w:t>
      </w:r>
      <w:r>
        <w:t>del</w:t>
      </w:r>
      <w:r>
        <w:rPr>
          <w:spacing w:val="-4"/>
        </w:rPr>
        <w:t xml:space="preserve"> </w:t>
      </w:r>
      <w:r>
        <w:t>sistema</w:t>
      </w:r>
      <w:r>
        <w:rPr>
          <w:spacing w:val="-6"/>
        </w:rPr>
        <w:t xml:space="preserve"> </w:t>
      </w:r>
      <w:r>
        <w:t>capitalista,</w:t>
      </w:r>
      <w:r>
        <w:rPr>
          <w:spacing w:val="-5"/>
        </w:rPr>
        <w:t xml:space="preserve"> </w:t>
      </w:r>
      <w:r>
        <w:t>sino</w:t>
      </w:r>
      <w:r>
        <w:rPr>
          <w:spacing w:val="-5"/>
        </w:rPr>
        <w:t xml:space="preserve"> </w:t>
      </w:r>
      <w:r>
        <w:t>también</w:t>
      </w:r>
      <w:r>
        <w:rPr>
          <w:spacing w:val="-6"/>
        </w:rPr>
        <w:t xml:space="preserve"> </w:t>
      </w:r>
      <w:r>
        <w:t>por</w:t>
      </w:r>
      <w:r>
        <w:rPr>
          <w:spacing w:val="-4"/>
        </w:rPr>
        <w:t xml:space="preserve"> </w:t>
      </w:r>
      <w:r>
        <w:t>las</w:t>
      </w:r>
      <w:r>
        <w:rPr>
          <w:spacing w:val="-4"/>
        </w:rPr>
        <w:t xml:space="preserve"> </w:t>
      </w:r>
      <w:r>
        <w:t>vías</w:t>
      </w:r>
      <w:r>
        <w:rPr>
          <w:spacing w:val="-4"/>
        </w:rPr>
        <w:t xml:space="preserve"> </w:t>
      </w:r>
      <w:r>
        <w:t>de</w:t>
      </w:r>
      <w:r>
        <w:rPr>
          <w:spacing w:val="-4"/>
        </w:rPr>
        <w:t xml:space="preserve"> </w:t>
      </w:r>
      <w:r>
        <w:t>la</w:t>
      </w:r>
      <w:r>
        <w:rPr>
          <w:spacing w:val="-6"/>
        </w:rPr>
        <w:t xml:space="preserve"> </w:t>
      </w:r>
      <w:r>
        <w:t>guerra</w:t>
      </w:r>
      <w:r>
        <w:rPr>
          <w:spacing w:val="-4"/>
        </w:rPr>
        <w:t xml:space="preserve"> </w:t>
      </w:r>
      <w:r>
        <w:t>que</w:t>
      </w:r>
      <w:r>
        <w:rPr>
          <w:spacing w:val="-4"/>
        </w:rPr>
        <w:t xml:space="preserve"> </w:t>
      </w:r>
      <w:r>
        <w:t>pasa</w:t>
      </w:r>
      <w:r>
        <w:rPr>
          <w:spacing w:val="-6"/>
        </w:rPr>
        <w:t xml:space="preserve"> </w:t>
      </w:r>
      <w:r>
        <w:t>por</w:t>
      </w:r>
      <w:r>
        <w:rPr>
          <w:spacing w:val="-6"/>
        </w:rPr>
        <w:t xml:space="preserve"> </w:t>
      </w:r>
      <w:r>
        <w:t>encima de la legalidad</w:t>
      </w:r>
      <w:r w:rsidR="0004717D">
        <w:rPr>
          <w:rStyle w:val="Refdenotaalpie"/>
        </w:rPr>
        <w:footnoteReference w:id="1017"/>
      </w:r>
      <w:r>
        <w:t>. Así, la seguridad abandonó la protección de las vidas de las personas en los</w:t>
      </w:r>
      <w:r>
        <w:rPr>
          <w:spacing w:val="-3"/>
        </w:rPr>
        <w:t xml:space="preserve"> </w:t>
      </w:r>
      <w:r>
        <w:t>territorios</w:t>
      </w:r>
      <w:r>
        <w:rPr>
          <w:spacing w:val="-3"/>
        </w:rPr>
        <w:t xml:space="preserve"> </w:t>
      </w:r>
      <w:r>
        <w:t>afectados</w:t>
      </w:r>
      <w:r>
        <w:rPr>
          <w:spacing w:val="-5"/>
        </w:rPr>
        <w:t xml:space="preserve"> </w:t>
      </w:r>
      <w:r>
        <w:t>por</w:t>
      </w:r>
      <w:r>
        <w:rPr>
          <w:spacing w:val="-3"/>
        </w:rPr>
        <w:t xml:space="preserve"> </w:t>
      </w:r>
      <w:r>
        <w:t>el</w:t>
      </w:r>
      <w:r>
        <w:rPr>
          <w:spacing w:val="-3"/>
        </w:rPr>
        <w:t xml:space="preserve"> </w:t>
      </w:r>
      <w:r>
        <w:t>conflicto.</w:t>
      </w:r>
      <w:r>
        <w:rPr>
          <w:spacing w:val="-4"/>
        </w:rPr>
        <w:t xml:space="preserve"> </w:t>
      </w:r>
      <w:r>
        <w:t>El</w:t>
      </w:r>
      <w:r>
        <w:rPr>
          <w:spacing w:val="-3"/>
        </w:rPr>
        <w:t xml:space="preserve"> </w:t>
      </w:r>
      <w:r>
        <w:t>nuevo</w:t>
      </w:r>
      <w:r>
        <w:rPr>
          <w:spacing w:val="-4"/>
        </w:rPr>
        <w:t xml:space="preserve"> </w:t>
      </w:r>
      <w:r>
        <w:t>modelo</w:t>
      </w:r>
      <w:r>
        <w:rPr>
          <w:spacing w:val="-4"/>
        </w:rPr>
        <w:t xml:space="preserve"> </w:t>
      </w:r>
      <w:r>
        <w:t>de</w:t>
      </w:r>
      <w:r>
        <w:rPr>
          <w:spacing w:val="-5"/>
        </w:rPr>
        <w:t xml:space="preserve"> </w:t>
      </w:r>
      <w:r>
        <w:t>desarrollo</w:t>
      </w:r>
      <w:r>
        <w:rPr>
          <w:spacing w:val="-4"/>
        </w:rPr>
        <w:t xml:space="preserve"> </w:t>
      </w:r>
      <w:r>
        <w:t>promovió</w:t>
      </w:r>
      <w:r>
        <w:rPr>
          <w:spacing w:val="-4"/>
        </w:rPr>
        <w:t xml:space="preserve"> </w:t>
      </w:r>
      <w:r>
        <w:t>un</w:t>
      </w:r>
      <w:r>
        <w:rPr>
          <w:spacing w:val="-5"/>
        </w:rPr>
        <w:t xml:space="preserve"> </w:t>
      </w:r>
      <w:r>
        <w:t>Estado pequeño</w:t>
      </w:r>
      <w:r w:rsidR="0004717D">
        <w:rPr>
          <w:rStyle w:val="Refdenotaalpie"/>
        </w:rPr>
        <w:footnoteReference w:id="1018"/>
      </w:r>
      <w:r>
        <w:t xml:space="preserve"> con poca injerencia en la regulación de los mercados y, aunque en el periodo posterior a la Constitución de 1991 hubo un incremento del gasto público y desde el 2006 una</w:t>
      </w:r>
      <w:r>
        <w:rPr>
          <w:spacing w:val="-5"/>
        </w:rPr>
        <w:t xml:space="preserve"> </w:t>
      </w:r>
      <w:r>
        <w:t>disminución</w:t>
      </w:r>
      <w:r>
        <w:rPr>
          <w:spacing w:val="-5"/>
        </w:rPr>
        <w:t xml:space="preserve"> </w:t>
      </w:r>
      <w:r>
        <w:t>de</w:t>
      </w:r>
      <w:r>
        <w:rPr>
          <w:spacing w:val="-5"/>
        </w:rPr>
        <w:t xml:space="preserve"> </w:t>
      </w:r>
      <w:r>
        <w:t>los</w:t>
      </w:r>
      <w:r>
        <w:rPr>
          <w:spacing w:val="-5"/>
        </w:rPr>
        <w:t xml:space="preserve"> </w:t>
      </w:r>
      <w:r>
        <w:t>indicadores</w:t>
      </w:r>
      <w:r>
        <w:rPr>
          <w:spacing w:val="-5"/>
        </w:rPr>
        <w:t xml:space="preserve"> </w:t>
      </w:r>
      <w:r>
        <w:t>de</w:t>
      </w:r>
      <w:r>
        <w:rPr>
          <w:spacing w:val="-5"/>
        </w:rPr>
        <w:t xml:space="preserve"> </w:t>
      </w:r>
      <w:r>
        <w:t>pobreza</w:t>
      </w:r>
      <w:r>
        <w:rPr>
          <w:spacing w:val="-5"/>
        </w:rPr>
        <w:t xml:space="preserve"> </w:t>
      </w:r>
      <w:r>
        <w:t>aún</w:t>
      </w:r>
      <w:r>
        <w:rPr>
          <w:spacing w:val="-5"/>
        </w:rPr>
        <w:t xml:space="preserve"> </w:t>
      </w:r>
      <w:r>
        <w:t>prevalece</w:t>
      </w:r>
      <w:r>
        <w:rPr>
          <w:spacing w:val="-6"/>
        </w:rPr>
        <w:t xml:space="preserve"> </w:t>
      </w:r>
      <w:r>
        <w:t>un</w:t>
      </w:r>
      <w:r>
        <w:rPr>
          <w:spacing w:val="-5"/>
        </w:rPr>
        <w:t xml:space="preserve"> </w:t>
      </w:r>
      <w:r>
        <w:t>sistema</w:t>
      </w:r>
      <w:r>
        <w:rPr>
          <w:spacing w:val="-5"/>
        </w:rPr>
        <w:t xml:space="preserve"> </w:t>
      </w:r>
      <w:r>
        <w:t>tributario</w:t>
      </w:r>
      <w:r>
        <w:rPr>
          <w:spacing w:val="-5"/>
        </w:rPr>
        <w:t xml:space="preserve"> </w:t>
      </w:r>
      <w:r>
        <w:t>regresivo que no ha contribuido a la disminución de la desigualdad.</w:t>
      </w:r>
      <w:r w:rsidR="0004717D">
        <w:rPr>
          <w:rStyle w:val="Refdenotaalpie"/>
        </w:rPr>
        <w:footnoteReference w:id="1019"/>
      </w:r>
      <w:r w:rsidR="0004717D">
        <w:t xml:space="preserve"> </w:t>
      </w:r>
    </w:p>
    <w:p w:rsidR="003804AC" w:rsidRPr="0004717D" w:rsidRDefault="00AF18A5" w:rsidP="0004717D">
      <w:r>
        <w:t>Ante</w:t>
      </w:r>
      <w:r>
        <w:rPr>
          <w:spacing w:val="-5"/>
        </w:rPr>
        <w:t xml:space="preserve"> </w:t>
      </w:r>
      <w:r>
        <w:t>este</w:t>
      </w:r>
      <w:r>
        <w:rPr>
          <w:spacing w:val="-5"/>
        </w:rPr>
        <w:t xml:space="preserve"> </w:t>
      </w:r>
      <w:r>
        <w:t>contexto</w:t>
      </w:r>
      <w:r>
        <w:rPr>
          <w:spacing w:val="-5"/>
        </w:rPr>
        <w:t xml:space="preserve"> </w:t>
      </w:r>
      <w:r>
        <w:t>se</w:t>
      </w:r>
      <w:r>
        <w:rPr>
          <w:spacing w:val="-5"/>
        </w:rPr>
        <w:t xml:space="preserve"> </w:t>
      </w:r>
      <w:r>
        <w:t>crearon</w:t>
      </w:r>
      <w:r>
        <w:rPr>
          <w:spacing w:val="-5"/>
        </w:rPr>
        <w:t xml:space="preserve"> </w:t>
      </w:r>
      <w:r>
        <w:t>nuevos</w:t>
      </w:r>
      <w:r>
        <w:rPr>
          <w:spacing w:val="-5"/>
        </w:rPr>
        <w:t xml:space="preserve"> </w:t>
      </w:r>
      <w:r>
        <w:t>escenarios</w:t>
      </w:r>
      <w:r>
        <w:rPr>
          <w:spacing w:val="-5"/>
        </w:rPr>
        <w:t xml:space="preserve"> </w:t>
      </w:r>
      <w:r>
        <w:t>de</w:t>
      </w:r>
      <w:r>
        <w:rPr>
          <w:spacing w:val="-5"/>
        </w:rPr>
        <w:t xml:space="preserve"> </w:t>
      </w:r>
      <w:r>
        <w:t>movilización</w:t>
      </w:r>
      <w:r>
        <w:rPr>
          <w:spacing w:val="-5"/>
        </w:rPr>
        <w:t xml:space="preserve"> </w:t>
      </w:r>
      <w:r>
        <w:t>campesina.</w:t>
      </w:r>
      <w:r>
        <w:rPr>
          <w:spacing w:val="-5"/>
        </w:rPr>
        <w:t xml:space="preserve"> </w:t>
      </w:r>
      <w:r>
        <w:t>A</w:t>
      </w:r>
      <w:r>
        <w:rPr>
          <w:spacing w:val="-5"/>
        </w:rPr>
        <w:t xml:space="preserve"> </w:t>
      </w:r>
      <w:r>
        <w:t>inicios</w:t>
      </w:r>
      <w:r>
        <w:rPr>
          <w:spacing w:val="-5"/>
        </w:rPr>
        <w:t xml:space="preserve"> </w:t>
      </w:r>
      <w:r>
        <w:t>de los años noventa, los campesinos y las campesinas que promovieron movilizaciones a nivel regional</w:t>
      </w:r>
      <w:r>
        <w:rPr>
          <w:spacing w:val="-5"/>
        </w:rPr>
        <w:t xml:space="preserve"> </w:t>
      </w:r>
      <w:r>
        <w:t>y</w:t>
      </w:r>
      <w:r>
        <w:rPr>
          <w:spacing w:val="-7"/>
        </w:rPr>
        <w:t xml:space="preserve"> </w:t>
      </w:r>
      <w:r>
        <w:t>nacional</w:t>
      </w:r>
      <w:r>
        <w:rPr>
          <w:spacing w:val="-5"/>
        </w:rPr>
        <w:t xml:space="preserve"> </w:t>
      </w:r>
      <w:r>
        <w:t>afrontaron</w:t>
      </w:r>
      <w:r>
        <w:rPr>
          <w:spacing w:val="-7"/>
        </w:rPr>
        <w:t xml:space="preserve"> </w:t>
      </w:r>
      <w:r>
        <w:t>persecución</w:t>
      </w:r>
      <w:r>
        <w:rPr>
          <w:spacing w:val="-7"/>
        </w:rPr>
        <w:t xml:space="preserve"> </w:t>
      </w:r>
      <w:r>
        <w:t>e</w:t>
      </w:r>
      <w:r>
        <w:rPr>
          <w:spacing w:val="-7"/>
        </w:rPr>
        <w:t xml:space="preserve"> </w:t>
      </w:r>
      <w:r>
        <w:t>intentos</w:t>
      </w:r>
      <w:r>
        <w:rPr>
          <w:spacing w:val="-6"/>
        </w:rPr>
        <w:t xml:space="preserve"> </w:t>
      </w:r>
      <w:r>
        <w:t>de</w:t>
      </w:r>
      <w:r>
        <w:rPr>
          <w:spacing w:val="-7"/>
        </w:rPr>
        <w:t xml:space="preserve"> </w:t>
      </w:r>
      <w:r>
        <w:t>exterminio</w:t>
      </w:r>
      <w:r>
        <w:rPr>
          <w:spacing w:val="-7"/>
        </w:rPr>
        <w:t xml:space="preserve"> </w:t>
      </w:r>
      <w:r>
        <w:t>en</w:t>
      </w:r>
      <w:r>
        <w:rPr>
          <w:spacing w:val="-7"/>
        </w:rPr>
        <w:t xml:space="preserve"> </w:t>
      </w:r>
      <w:r>
        <w:t>su</w:t>
      </w:r>
      <w:r>
        <w:rPr>
          <w:spacing w:val="-7"/>
        </w:rPr>
        <w:t xml:space="preserve"> </w:t>
      </w:r>
      <w:r>
        <w:t>contra.</w:t>
      </w:r>
      <w:r>
        <w:rPr>
          <w:spacing w:val="-7"/>
        </w:rPr>
        <w:t xml:space="preserve"> </w:t>
      </w:r>
      <w:r>
        <w:t>En</w:t>
      </w:r>
      <w:r>
        <w:rPr>
          <w:spacing w:val="-7"/>
        </w:rPr>
        <w:t xml:space="preserve"> </w:t>
      </w:r>
      <w:r>
        <w:t xml:space="preserve">muchas regiones, esto se vivió como la continuidad de la violencia política contra </w:t>
      </w:r>
      <w:r>
        <w:lastRenderedPageBreak/>
        <w:t>la ANUC o del genocidio político contra la UP. Los liderazgos campesinos fueron perseguidos, encarcelados,</w:t>
      </w:r>
      <w:r>
        <w:rPr>
          <w:spacing w:val="69"/>
        </w:rPr>
        <w:t xml:space="preserve"> </w:t>
      </w:r>
      <w:r>
        <w:t>amenazados,</w:t>
      </w:r>
      <w:r>
        <w:rPr>
          <w:spacing w:val="72"/>
        </w:rPr>
        <w:t xml:space="preserve"> </w:t>
      </w:r>
      <w:r>
        <w:t>asesinados</w:t>
      </w:r>
      <w:r>
        <w:rPr>
          <w:spacing w:val="72"/>
        </w:rPr>
        <w:t xml:space="preserve"> </w:t>
      </w:r>
      <w:r>
        <w:t>y</w:t>
      </w:r>
      <w:r>
        <w:rPr>
          <w:spacing w:val="71"/>
        </w:rPr>
        <w:t xml:space="preserve"> </w:t>
      </w:r>
      <w:r>
        <w:t>desaparecidos,</w:t>
      </w:r>
      <w:r>
        <w:rPr>
          <w:spacing w:val="72"/>
        </w:rPr>
        <w:t xml:space="preserve"> </w:t>
      </w:r>
      <w:r>
        <w:t>especialmente</w:t>
      </w:r>
      <w:r>
        <w:rPr>
          <w:spacing w:val="72"/>
        </w:rPr>
        <w:t xml:space="preserve"> </w:t>
      </w:r>
      <w:r>
        <w:rPr>
          <w:spacing w:val="-2"/>
        </w:rPr>
        <w:t>aquellos</w:t>
      </w:r>
      <w:bookmarkStart w:id="1260" w:name="_bookmark1116"/>
      <w:bookmarkStart w:id="1261" w:name="_bookmark1117"/>
      <w:bookmarkStart w:id="1262" w:name="_bookmark1118"/>
      <w:bookmarkEnd w:id="1260"/>
      <w:bookmarkEnd w:id="1261"/>
      <w:bookmarkEnd w:id="1262"/>
      <w:r w:rsidR="0004717D">
        <w:rPr>
          <w:spacing w:val="-2"/>
        </w:rPr>
        <w:t xml:space="preserve"> </w:t>
      </w:r>
      <w:r>
        <w:t>pertenecientes a organizaciones como el Comité de Integración Social del Macizo (CIMA), la Asociación de Pequeños y Medianos Agricultores del Norte del Tolima (</w:t>
      </w:r>
      <w:proofErr w:type="spellStart"/>
      <w:r>
        <w:t>Asopema</w:t>
      </w:r>
      <w:proofErr w:type="spellEnd"/>
      <w:r>
        <w:t>), los sindicatos agrarios en regiones como el Meta, el Caquetá o el Sumapaz, la Asociación para el Desarrollo de las Familias del Manso y el Alto Sinú (</w:t>
      </w:r>
      <w:proofErr w:type="spellStart"/>
      <w:r>
        <w:t>Ascoderma</w:t>
      </w:r>
      <w:proofErr w:type="spellEnd"/>
      <w:r>
        <w:t>), la Asociación Campesina para el Desarrollo del Alto Sinú (</w:t>
      </w:r>
      <w:proofErr w:type="spellStart"/>
      <w:r>
        <w:t>Asodecas</w:t>
      </w:r>
      <w:proofErr w:type="spellEnd"/>
      <w:r>
        <w:t xml:space="preserve">), organizaciones cocaleras en el suroriente del país, la ANUC en Córdoba, </w:t>
      </w:r>
      <w:proofErr w:type="spellStart"/>
      <w:r>
        <w:t>Fensuagro</w:t>
      </w:r>
      <w:proofErr w:type="spellEnd"/>
      <w:r>
        <w:t xml:space="preserve">, </w:t>
      </w:r>
      <w:proofErr w:type="spellStart"/>
      <w:r>
        <w:t>Anmucic</w:t>
      </w:r>
      <w:proofErr w:type="spellEnd"/>
      <w:r>
        <w:t xml:space="preserve"> y las organizaciones promotoras de Zonas de Reserva Campesina (ZRC), entre otras.</w:t>
      </w:r>
    </w:p>
    <w:p w:rsidR="003804AC" w:rsidRDefault="00AF18A5" w:rsidP="00352809">
      <w:r>
        <w:t>La movilización campesina tuvo como respuesta distintas formas de violencia que pretendían aplacar las expresiones de inconformidad del campesinado en todo el país mediante el desplazamiento y el terror. Las movilizaciones campesinas, ahora ya cada vez menos motivadas por las tomas de tierras y más enfocadas en el acceso a bienes públicos y en la defensa de los derechos humanos, fueron la antesala de numerosas victimizaciones, algunas</w:t>
      </w:r>
      <w:r>
        <w:rPr>
          <w:spacing w:val="-4"/>
        </w:rPr>
        <w:t xml:space="preserve"> </w:t>
      </w:r>
      <w:r>
        <w:t>de</w:t>
      </w:r>
      <w:r>
        <w:rPr>
          <w:spacing w:val="-4"/>
        </w:rPr>
        <w:t xml:space="preserve"> </w:t>
      </w:r>
      <w:r>
        <w:t>ellas</w:t>
      </w:r>
      <w:r>
        <w:rPr>
          <w:spacing w:val="-6"/>
        </w:rPr>
        <w:t xml:space="preserve"> </w:t>
      </w:r>
      <w:r>
        <w:t>masivas,</w:t>
      </w:r>
      <w:r>
        <w:rPr>
          <w:spacing w:val="-6"/>
        </w:rPr>
        <w:t xml:space="preserve"> </w:t>
      </w:r>
      <w:r>
        <w:t>que</w:t>
      </w:r>
      <w:r>
        <w:rPr>
          <w:spacing w:val="-4"/>
        </w:rPr>
        <w:t xml:space="preserve"> </w:t>
      </w:r>
      <w:r>
        <w:t>incluyeron</w:t>
      </w:r>
      <w:r>
        <w:rPr>
          <w:spacing w:val="-5"/>
        </w:rPr>
        <w:t xml:space="preserve"> </w:t>
      </w:r>
      <w:r>
        <w:t>el</w:t>
      </w:r>
      <w:r>
        <w:rPr>
          <w:spacing w:val="-4"/>
        </w:rPr>
        <w:t xml:space="preserve"> </w:t>
      </w:r>
      <w:r>
        <w:t>desplazamiento</w:t>
      </w:r>
      <w:r>
        <w:rPr>
          <w:spacing w:val="-5"/>
        </w:rPr>
        <w:t xml:space="preserve"> </w:t>
      </w:r>
      <w:r>
        <w:t>y</w:t>
      </w:r>
      <w:r>
        <w:rPr>
          <w:spacing w:val="-5"/>
        </w:rPr>
        <w:t xml:space="preserve"> </w:t>
      </w:r>
      <w:r>
        <w:t>la</w:t>
      </w:r>
      <w:r>
        <w:rPr>
          <w:spacing w:val="-4"/>
        </w:rPr>
        <w:t xml:space="preserve"> </w:t>
      </w:r>
      <w:r>
        <w:t>violencia</w:t>
      </w:r>
      <w:r>
        <w:rPr>
          <w:spacing w:val="-4"/>
        </w:rPr>
        <w:t xml:space="preserve"> </w:t>
      </w:r>
      <w:r>
        <w:t>política</w:t>
      </w:r>
      <w:r>
        <w:rPr>
          <w:spacing w:val="-4"/>
        </w:rPr>
        <w:t xml:space="preserve"> </w:t>
      </w:r>
      <w:r>
        <w:t>contra</w:t>
      </w:r>
      <w:r>
        <w:rPr>
          <w:spacing w:val="-4"/>
        </w:rPr>
        <w:t xml:space="preserve"> </w:t>
      </w:r>
      <w:r>
        <w:t xml:space="preserve">sus </w:t>
      </w:r>
      <w:r>
        <w:rPr>
          <w:spacing w:val="-2"/>
        </w:rPr>
        <w:t>organizaciones.</w:t>
      </w:r>
    </w:p>
    <w:p w:rsidR="003804AC" w:rsidRDefault="00AF18A5" w:rsidP="00352809">
      <w:r>
        <w:t>Durante</w:t>
      </w:r>
      <w:r>
        <w:rPr>
          <w:spacing w:val="-4"/>
        </w:rPr>
        <w:t xml:space="preserve"> </w:t>
      </w:r>
      <w:r>
        <w:t>la</w:t>
      </w:r>
      <w:r>
        <w:rPr>
          <w:spacing w:val="-3"/>
        </w:rPr>
        <w:t xml:space="preserve"> </w:t>
      </w:r>
      <w:r>
        <w:t>década</w:t>
      </w:r>
      <w:r>
        <w:rPr>
          <w:spacing w:val="-3"/>
        </w:rPr>
        <w:t xml:space="preserve"> </w:t>
      </w:r>
      <w:r>
        <w:t>de</w:t>
      </w:r>
      <w:r>
        <w:rPr>
          <w:spacing w:val="-4"/>
        </w:rPr>
        <w:t xml:space="preserve"> </w:t>
      </w:r>
      <w:r>
        <w:t>los</w:t>
      </w:r>
      <w:r>
        <w:rPr>
          <w:spacing w:val="-4"/>
        </w:rPr>
        <w:t xml:space="preserve"> </w:t>
      </w:r>
      <w:r>
        <w:t>noventa</w:t>
      </w:r>
      <w:r>
        <w:rPr>
          <w:spacing w:val="-3"/>
        </w:rPr>
        <w:t xml:space="preserve"> </w:t>
      </w:r>
      <w:r>
        <w:t>hubo</w:t>
      </w:r>
      <w:r>
        <w:rPr>
          <w:spacing w:val="-3"/>
        </w:rPr>
        <w:t xml:space="preserve"> </w:t>
      </w:r>
      <w:r>
        <w:t>cuatro</w:t>
      </w:r>
      <w:r>
        <w:rPr>
          <w:spacing w:val="-3"/>
        </w:rPr>
        <w:t xml:space="preserve"> </w:t>
      </w:r>
      <w:r>
        <w:t>hitos</w:t>
      </w:r>
      <w:r>
        <w:rPr>
          <w:spacing w:val="-3"/>
        </w:rPr>
        <w:t xml:space="preserve"> </w:t>
      </w:r>
      <w:r>
        <w:t>de</w:t>
      </w:r>
      <w:r>
        <w:rPr>
          <w:spacing w:val="-3"/>
        </w:rPr>
        <w:t xml:space="preserve"> </w:t>
      </w:r>
      <w:r>
        <w:t>movilización</w:t>
      </w:r>
      <w:r>
        <w:rPr>
          <w:spacing w:val="-3"/>
        </w:rPr>
        <w:t xml:space="preserve"> </w:t>
      </w:r>
      <w:r>
        <w:t>y</w:t>
      </w:r>
      <w:r>
        <w:rPr>
          <w:spacing w:val="-5"/>
        </w:rPr>
        <w:t xml:space="preserve"> </w:t>
      </w:r>
      <w:r>
        <w:t>represión</w:t>
      </w:r>
      <w:r>
        <w:rPr>
          <w:spacing w:val="-5"/>
        </w:rPr>
        <w:t xml:space="preserve"> </w:t>
      </w:r>
      <w:r>
        <w:t>en</w:t>
      </w:r>
      <w:r>
        <w:rPr>
          <w:spacing w:val="-3"/>
        </w:rPr>
        <w:t xml:space="preserve"> </w:t>
      </w:r>
      <w:r>
        <w:t>varias regiones del país: el</w:t>
      </w:r>
      <w:r>
        <w:rPr>
          <w:spacing w:val="1"/>
        </w:rPr>
        <w:t xml:space="preserve"> </w:t>
      </w:r>
      <w:r>
        <w:t>primero, los</w:t>
      </w:r>
      <w:r>
        <w:rPr>
          <w:spacing w:val="1"/>
        </w:rPr>
        <w:t xml:space="preserve"> </w:t>
      </w:r>
      <w:r>
        <w:t>paros cafeteros de</w:t>
      </w:r>
      <w:r>
        <w:rPr>
          <w:spacing w:val="1"/>
        </w:rPr>
        <w:t xml:space="preserve"> </w:t>
      </w:r>
      <w:r>
        <w:t>febrero y julio de</w:t>
      </w:r>
      <w:r>
        <w:rPr>
          <w:spacing w:val="1"/>
        </w:rPr>
        <w:t xml:space="preserve"> </w:t>
      </w:r>
      <w:r>
        <w:t>1995, donde</w:t>
      </w:r>
      <w:r>
        <w:rPr>
          <w:spacing w:val="1"/>
        </w:rPr>
        <w:t xml:space="preserve"> </w:t>
      </w:r>
      <w:r>
        <w:t>al</w:t>
      </w:r>
      <w:r>
        <w:rPr>
          <w:spacing w:val="1"/>
        </w:rPr>
        <w:t xml:space="preserve"> </w:t>
      </w:r>
      <w:r>
        <w:rPr>
          <w:spacing w:val="-2"/>
        </w:rPr>
        <w:t>menos</w:t>
      </w:r>
      <w:r w:rsidR="00352809">
        <w:t xml:space="preserve"> </w:t>
      </w:r>
      <w:r>
        <w:t>18.000 campesinos y campesinas protestaron en el Tolima, Huila, Valle del Cauca y Antioquia contra las abusivas condiciones que imponían las entidades bancarias y por los abusos de las instituciones cafeteras.</w:t>
      </w:r>
    </w:p>
    <w:p w:rsidR="003804AC" w:rsidRDefault="00AF18A5" w:rsidP="00352809">
      <w:r>
        <w:t xml:space="preserve">El segundo, las marchas cocaleras de julio y agosto de 1996, un gran paro en Caquetá, Putumayo, Guaviare, Nariño, Cauca, Huila, Sur de </w:t>
      </w:r>
      <w:r>
        <w:lastRenderedPageBreak/>
        <w:t>Bolívar y Catatumbo, en el que se movilizaron cerca de 300.000 personas que exigían programas de sustitución y reconocimiento</w:t>
      </w:r>
      <w:r>
        <w:rPr>
          <w:spacing w:val="-9"/>
        </w:rPr>
        <w:t xml:space="preserve"> </w:t>
      </w:r>
      <w:r>
        <w:t>como</w:t>
      </w:r>
      <w:r>
        <w:rPr>
          <w:spacing w:val="-9"/>
        </w:rPr>
        <w:t xml:space="preserve"> </w:t>
      </w:r>
      <w:r>
        <w:t>campesinos</w:t>
      </w:r>
      <w:r>
        <w:rPr>
          <w:spacing w:val="-9"/>
        </w:rPr>
        <w:t xml:space="preserve"> </w:t>
      </w:r>
      <w:r>
        <w:t>cultivadores</w:t>
      </w:r>
      <w:r>
        <w:rPr>
          <w:spacing w:val="-9"/>
        </w:rPr>
        <w:t xml:space="preserve"> </w:t>
      </w:r>
      <w:r>
        <w:t>–y</w:t>
      </w:r>
      <w:r>
        <w:rPr>
          <w:spacing w:val="-9"/>
        </w:rPr>
        <w:t xml:space="preserve"> </w:t>
      </w:r>
      <w:r>
        <w:t>no</w:t>
      </w:r>
      <w:r>
        <w:rPr>
          <w:spacing w:val="-9"/>
        </w:rPr>
        <w:t xml:space="preserve"> </w:t>
      </w:r>
      <w:r>
        <w:t>narcotraficantes–,</w:t>
      </w:r>
      <w:r>
        <w:rPr>
          <w:spacing w:val="-9"/>
        </w:rPr>
        <w:t xml:space="preserve"> </w:t>
      </w:r>
      <w:r>
        <w:t>que</w:t>
      </w:r>
      <w:r>
        <w:rPr>
          <w:spacing w:val="-9"/>
        </w:rPr>
        <w:t xml:space="preserve"> </w:t>
      </w:r>
      <w:r>
        <w:t>también</w:t>
      </w:r>
      <w:r>
        <w:rPr>
          <w:spacing w:val="-9"/>
        </w:rPr>
        <w:t xml:space="preserve"> </w:t>
      </w:r>
      <w:r>
        <w:t>exigían la constitución de cuatro ZRC en el sur del país.</w:t>
      </w:r>
    </w:p>
    <w:p w:rsidR="003804AC" w:rsidRDefault="00AF18A5" w:rsidP="00352809">
      <w:r>
        <w:t>El tercero, el éxodo campesino entre julio y octubre de 1998, en el que más de 13.000 personas se movilizaron a Barrancabermeja para exigir programas sociales, freno a la incursión paramilitar y la constitución de una ZRC en el Valle del río Cimitarra y una en Arenal y Morales, en el sur de Bolívar.</w:t>
      </w:r>
    </w:p>
    <w:p w:rsidR="003804AC" w:rsidRDefault="00AF18A5" w:rsidP="00352809">
      <w:r>
        <w:t>El cuarto y último fue el paro del suroccidente colombiano en 1999 donde comunidades campesinas, indígenas, sectores sociales y gremiales de los departamentos del Valle, Cauca y Nariño se movilizaron en protesta por el abandono estatal y la apertura neoliberal, y para reclamar apoyo a sus planes de vida.</w:t>
      </w:r>
    </w:p>
    <w:p w:rsidR="003804AC" w:rsidRDefault="00AF18A5" w:rsidP="00352809">
      <w:r>
        <w:t>La violencia contra estas expresiones de la movilización campesina muchas veces fue perpetrada por grupos paramilitares. Pero también funcionarios del Departamento Administrativo</w:t>
      </w:r>
      <w:r>
        <w:rPr>
          <w:spacing w:val="-7"/>
        </w:rPr>
        <w:t xml:space="preserve"> </w:t>
      </w:r>
      <w:r>
        <w:t>de</w:t>
      </w:r>
      <w:r>
        <w:rPr>
          <w:spacing w:val="-7"/>
        </w:rPr>
        <w:t xml:space="preserve"> </w:t>
      </w:r>
      <w:r>
        <w:t>Seguridad</w:t>
      </w:r>
      <w:r>
        <w:rPr>
          <w:spacing w:val="-7"/>
        </w:rPr>
        <w:t xml:space="preserve"> </w:t>
      </w:r>
      <w:r>
        <w:t>(DAS),</w:t>
      </w:r>
      <w:r>
        <w:rPr>
          <w:spacing w:val="-7"/>
        </w:rPr>
        <w:t xml:space="preserve"> </w:t>
      </w:r>
      <w:r>
        <w:t>el</w:t>
      </w:r>
      <w:r>
        <w:rPr>
          <w:spacing w:val="-7"/>
        </w:rPr>
        <w:t xml:space="preserve"> </w:t>
      </w:r>
      <w:r>
        <w:t>Ejército</w:t>
      </w:r>
      <w:r>
        <w:rPr>
          <w:spacing w:val="-7"/>
        </w:rPr>
        <w:t xml:space="preserve"> </w:t>
      </w:r>
      <w:r>
        <w:t>y</w:t>
      </w:r>
      <w:r>
        <w:rPr>
          <w:spacing w:val="-8"/>
        </w:rPr>
        <w:t xml:space="preserve"> </w:t>
      </w:r>
      <w:r>
        <w:t>la</w:t>
      </w:r>
      <w:r>
        <w:rPr>
          <w:spacing w:val="-7"/>
        </w:rPr>
        <w:t xml:space="preserve"> </w:t>
      </w:r>
      <w:r>
        <w:t>Policía</w:t>
      </w:r>
      <w:r>
        <w:rPr>
          <w:spacing w:val="-7"/>
        </w:rPr>
        <w:t xml:space="preserve"> </w:t>
      </w:r>
      <w:r>
        <w:t>Nacional</w:t>
      </w:r>
      <w:r>
        <w:rPr>
          <w:spacing w:val="-7"/>
        </w:rPr>
        <w:t xml:space="preserve"> </w:t>
      </w:r>
      <w:r>
        <w:t>fueron</w:t>
      </w:r>
      <w:r>
        <w:rPr>
          <w:spacing w:val="-7"/>
        </w:rPr>
        <w:t xml:space="preserve"> </w:t>
      </w:r>
      <w:r>
        <w:t>determinadores de muchos de los crímenes cometidos por los grupos irregulares. Los servidores públicos también victimizaron al campesinado en muchos casos.</w:t>
      </w:r>
    </w:p>
    <w:p w:rsidR="003804AC" w:rsidRDefault="00AF18A5" w:rsidP="00352809">
      <w:r>
        <w:t>La</w:t>
      </w:r>
      <w:r>
        <w:rPr>
          <w:spacing w:val="-3"/>
        </w:rPr>
        <w:t xml:space="preserve"> </w:t>
      </w:r>
      <w:r>
        <w:t>intensidad</w:t>
      </w:r>
      <w:r>
        <w:rPr>
          <w:spacing w:val="-3"/>
        </w:rPr>
        <w:t xml:space="preserve"> </w:t>
      </w:r>
      <w:r>
        <w:t>de</w:t>
      </w:r>
      <w:r>
        <w:rPr>
          <w:spacing w:val="-3"/>
        </w:rPr>
        <w:t xml:space="preserve"> </w:t>
      </w:r>
      <w:r>
        <w:t>la</w:t>
      </w:r>
      <w:r>
        <w:rPr>
          <w:spacing w:val="-3"/>
        </w:rPr>
        <w:t xml:space="preserve"> </w:t>
      </w:r>
      <w:r>
        <w:t>victimización</w:t>
      </w:r>
      <w:r>
        <w:rPr>
          <w:spacing w:val="-3"/>
        </w:rPr>
        <w:t xml:space="preserve"> </w:t>
      </w:r>
      <w:r>
        <w:t>fue</w:t>
      </w:r>
      <w:r>
        <w:rPr>
          <w:spacing w:val="-3"/>
        </w:rPr>
        <w:t xml:space="preserve"> </w:t>
      </w:r>
      <w:r>
        <w:t>tal,</w:t>
      </w:r>
      <w:r>
        <w:rPr>
          <w:spacing w:val="-3"/>
        </w:rPr>
        <w:t xml:space="preserve"> </w:t>
      </w:r>
      <w:r>
        <w:t>que</w:t>
      </w:r>
      <w:r>
        <w:rPr>
          <w:spacing w:val="-3"/>
        </w:rPr>
        <w:t xml:space="preserve"> </w:t>
      </w:r>
      <w:r>
        <w:t>desde</w:t>
      </w:r>
      <w:r>
        <w:rPr>
          <w:spacing w:val="-3"/>
        </w:rPr>
        <w:t xml:space="preserve"> </w:t>
      </w:r>
      <w:r>
        <w:t>entonces</w:t>
      </w:r>
      <w:r>
        <w:rPr>
          <w:spacing w:val="-4"/>
        </w:rPr>
        <w:t xml:space="preserve"> </w:t>
      </w:r>
      <w:r>
        <w:t>y</w:t>
      </w:r>
      <w:r>
        <w:rPr>
          <w:spacing w:val="-3"/>
        </w:rPr>
        <w:t xml:space="preserve"> </w:t>
      </w:r>
      <w:r>
        <w:t>durante</w:t>
      </w:r>
      <w:r>
        <w:rPr>
          <w:spacing w:val="-3"/>
        </w:rPr>
        <w:t xml:space="preserve"> </w:t>
      </w:r>
      <w:r>
        <w:t>la</w:t>
      </w:r>
      <w:r>
        <w:rPr>
          <w:spacing w:val="-4"/>
        </w:rPr>
        <w:t xml:space="preserve"> </w:t>
      </w:r>
      <w:r>
        <w:t>primera</w:t>
      </w:r>
      <w:r>
        <w:rPr>
          <w:spacing w:val="-3"/>
        </w:rPr>
        <w:t xml:space="preserve"> </w:t>
      </w:r>
      <w:r>
        <w:t xml:space="preserve">década del siglo XXI «una parte de la dirigencia campesina impulsa o contribuye a impulsar la creación de organizaciones de víctimas del conflicto armado. Un ejemplo de ello es la Asociación de Ayuda Solidaria (ANDAS), organización que nace en 1997 a partir de la </w:t>
      </w:r>
      <w:proofErr w:type="spellStart"/>
      <w:r>
        <w:t>juntanza</w:t>
      </w:r>
      <w:proofErr w:type="spellEnd"/>
      <w:r>
        <w:t xml:space="preserve"> de líderes agrarios desplazados del Partido Comunista y de la Unión Patriótica, especialmente</w:t>
      </w:r>
      <w:r>
        <w:rPr>
          <w:spacing w:val="-3"/>
        </w:rPr>
        <w:t xml:space="preserve"> </w:t>
      </w:r>
      <w:r>
        <w:t>de</w:t>
      </w:r>
      <w:r>
        <w:rPr>
          <w:spacing w:val="-3"/>
        </w:rPr>
        <w:t xml:space="preserve"> </w:t>
      </w:r>
      <w:r>
        <w:t>regiones</w:t>
      </w:r>
      <w:r>
        <w:rPr>
          <w:spacing w:val="-3"/>
        </w:rPr>
        <w:t xml:space="preserve"> </w:t>
      </w:r>
      <w:r>
        <w:t>de</w:t>
      </w:r>
      <w:r>
        <w:rPr>
          <w:spacing w:val="-3"/>
        </w:rPr>
        <w:t xml:space="preserve"> </w:t>
      </w:r>
      <w:r>
        <w:t>Urabá,</w:t>
      </w:r>
      <w:r>
        <w:rPr>
          <w:spacing w:val="-5"/>
        </w:rPr>
        <w:t xml:space="preserve"> </w:t>
      </w:r>
      <w:r>
        <w:t>Córdoba</w:t>
      </w:r>
      <w:r>
        <w:rPr>
          <w:spacing w:val="-3"/>
        </w:rPr>
        <w:t xml:space="preserve"> </w:t>
      </w:r>
      <w:r>
        <w:t>y</w:t>
      </w:r>
      <w:r>
        <w:rPr>
          <w:spacing w:val="-3"/>
        </w:rPr>
        <w:t xml:space="preserve"> </w:t>
      </w:r>
      <w:r>
        <w:lastRenderedPageBreak/>
        <w:t>Villavicencio,</w:t>
      </w:r>
      <w:r>
        <w:rPr>
          <w:spacing w:val="-3"/>
        </w:rPr>
        <w:t xml:space="preserve"> </w:t>
      </w:r>
      <w:r>
        <w:t>con</w:t>
      </w:r>
      <w:r>
        <w:rPr>
          <w:spacing w:val="-3"/>
        </w:rPr>
        <w:t xml:space="preserve"> </w:t>
      </w:r>
      <w:r>
        <w:t>la</w:t>
      </w:r>
      <w:r>
        <w:rPr>
          <w:spacing w:val="-3"/>
        </w:rPr>
        <w:t xml:space="preserve"> </w:t>
      </w:r>
      <w:r>
        <w:t>intención</w:t>
      </w:r>
      <w:r>
        <w:rPr>
          <w:spacing w:val="-3"/>
        </w:rPr>
        <w:t xml:space="preserve"> </w:t>
      </w:r>
      <w:r>
        <w:t>de</w:t>
      </w:r>
      <w:r>
        <w:rPr>
          <w:spacing w:val="-3"/>
        </w:rPr>
        <w:t xml:space="preserve"> </w:t>
      </w:r>
      <w:r>
        <w:t>continuar la lucha de quienes habían sido desplazados y abrir camino hacia el retorno. Caminos parecidos</w:t>
      </w:r>
      <w:r>
        <w:rPr>
          <w:spacing w:val="-3"/>
        </w:rPr>
        <w:t xml:space="preserve"> </w:t>
      </w:r>
      <w:r>
        <w:t>habría</w:t>
      </w:r>
      <w:r>
        <w:rPr>
          <w:spacing w:val="-3"/>
        </w:rPr>
        <w:t xml:space="preserve"> </w:t>
      </w:r>
      <w:r>
        <w:t>tenido</w:t>
      </w:r>
      <w:r>
        <w:rPr>
          <w:spacing w:val="-5"/>
        </w:rPr>
        <w:t xml:space="preserve"> </w:t>
      </w:r>
      <w:proofErr w:type="spellStart"/>
      <w:r>
        <w:t>Andescol</w:t>
      </w:r>
      <w:proofErr w:type="spellEnd"/>
      <w:r>
        <w:t>.</w:t>
      </w:r>
      <w:r>
        <w:rPr>
          <w:spacing w:val="-4"/>
        </w:rPr>
        <w:t xml:space="preserve"> </w:t>
      </w:r>
      <w:r>
        <w:t>E</w:t>
      </w:r>
      <w:r>
        <w:rPr>
          <w:spacing w:val="-4"/>
        </w:rPr>
        <w:t xml:space="preserve"> </w:t>
      </w:r>
      <w:r>
        <w:t>incluso</w:t>
      </w:r>
      <w:r>
        <w:rPr>
          <w:spacing w:val="-4"/>
        </w:rPr>
        <w:t xml:space="preserve"> </w:t>
      </w:r>
      <w:r>
        <w:t>al</w:t>
      </w:r>
      <w:r>
        <w:rPr>
          <w:spacing w:val="-3"/>
        </w:rPr>
        <w:t xml:space="preserve"> </w:t>
      </w:r>
      <w:r>
        <w:t>interior</w:t>
      </w:r>
      <w:r>
        <w:rPr>
          <w:spacing w:val="-3"/>
        </w:rPr>
        <w:t xml:space="preserve"> </w:t>
      </w:r>
      <w:r>
        <w:t>de</w:t>
      </w:r>
      <w:r>
        <w:rPr>
          <w:spacing w:val="-3"/>
        </w:rPr>
        <w:t xml:space="preserve"> </w:t>
      </w:r>
      <w:r>
        <w:t>la</w:t>
      </w:r>
      <w:r>
        <w:rPr>
          <w:spacing w:val="-5"/>
        </w:rPr>
        <w:t xml:space="preserve"> </w:t>
      </w:r>
      <w:r>
        <w:t>ANUC-UR</w:t>
      </w:r>
      <w:r>
        <w:rPr>
          <w:spacing w:val="-3"/>
        </w:rPr>
        <w:t xml:space="preserve"> </w:t>
      </w:r>
      <w:r>
        <w:t>se</w:t>
      </w:r>
      <w:r>
        <w:rPr>
          <w:spacing w:val="-4"/>
        </w:rPr>
        <w:t xml:space="preserve"> </w:t>
      </w:r>
      <w:r>
        <w:t>creó</w:t>
      </w:r>
      <w:r>
        <w:rPr>
          <w:spacing w:val="-4"/>
        </w:rPr>
        <w:t xml:space="preserve"> </w:t>
      </w:r>
      <w:r>
        <w:t>una</w:t>
      </w:r>
      <w:r>
        <w:rPr>
          <w:spacing w:val="-3"/>
        </w:rPr>
        <w:t xml:space="preserve"> </w:t>
      </w:r>
      <w:r>
        <w:t>línea</w:t>
      </w:r>
      <w:r>
        <w:rPr>
          <w:spacing w:val="-3"/>
        </w:rPr>
        <w:t xml:space="preserve"> </w:t>
      </w:r>
      <w:r>
        <w:t>de trabajo con propósitos similares»</w:t>
      </w:r>
      <w:r w:rsidR="00352809">
        <w:rPr>
          <w:rStyle w:val="Refdenotaalpie"/>
        </w:rPr>
        <w:footnoteReference w:id="1020"/>
      </w:r>
      <w:r>
        <w:t>.</w:t>
      </w:r>
    </w:p>
    <w:p w:rsidR="003804AC" w:rsidRPr="00352809" w:rsidRDefault="00AF18A5" w:rsidP="00352809">
      <w:r>
        <w:t>La</w:t>
      </w:r>
      <w:r>
        <w:rPr>
          <w:spacing w:val="-15"/>
        </w:rPr>
        <w:t xml:space="preserve"> </w:t>
      </w:r>
      <w:r>
        <w:t>Asociación</w:t>
      </w:r>
      <w:r>
        <w:rPr>
          <w:spacing w:val="-15"/>
        </w:rPr>
        <w:t xml:space="preserve"> </w:t>
      </w:r>
      <w:r>
        <w:t>Campesina</w:t>
      </w:r>
      <w:r>
        <w:rPr>
          <w:spacing w:val="-15"/>
        </w:rPr>
        <w:t xml:space="preserve"> </w:t>
      </w:r>
      <w:r>
        <w:t>del</w:t>
      </w:r>
      <w:r>
        <w:rPr>
          <w:spacing w:val="-15"/>
        </w:rPr>
        <w:t xml:space="preserve"> </w:t>
      </w:r>
      <w:r>
        <w:t>Catatumbo</w:t>
      </w:r>
      <w:r>
        <w:rPr>
          <w:spacing w:val="-15"/>
        </w:rPr>
        <w:t xml:space="preserve"> </w:t>
      </w:r>
      <w:r>
        <w:t>(</w:t>
      </w:r>
      <w:proofErr w:type="spellStart"/>
      <w:r>
        <w:t>Ascamcat</w:t>
      </w:r>
      <w:proofErr w:type="spellEnd"/>
      <w:r>
        <w:t>)</w:t>
      </w:r>
      <w:r>
        <w:rPr>
          <w:spacing w:val="-15"/>
        </w:rPr>
        <w:t xml:space="preserve"> </w:t>
      </w:r>
      <w:r>
        <w:t>también</w:t>
      </w:r>
      <w:r>
        <w:rPr>
          <w:spacing w:val="-15"/>
        </w:rPr>
        <w:t xml:space="preserve"> </w:t>
      </w:r>
      <w:r>
        <w:t>es</w:t>
      </w:r>
      <w:r>
        <w:rPr>
          <w:spacing w:val="-15"/>
        </w:rPr>
        <w:t xml:space="preserve"> </w:t>
      </w:r>
      <w:r>
        <w:t>muy</w:t>
      </w:r>
      <w:r>
        <w:rPr>
          <w:spacing w:val="-15"/>
        </w:rPr>
        <w:t xml:space="preserve"> </w:t>
      </w:r>
      <w:r>
        <w:t>significativa</w:t>
      </w:r>
      <w:r>
        <w:rPr>
          <w:spacing w:val="-15"/>
        </w:rPr>
        <w:t xml:space="preserve"> </w:t>
      </w:r>
      <w:r>
        <w:t>en</w:t>
      </w:r>
      <w:r>
        <w:rPr>
          <w:spacing w:val="-15"/>
        </w:rPr>
        <w:t xml:space="preserve"> </w:t>
      </w:r>
      <w:r>
        <w:t>este sentido, pues a pesar del conflictivo entorno ideológico, político y territorial en el que desarrolló su labor, la organización se consolidó en torno a la defensa del campesinado del Catatumbo ante las violaciones de derechos humanos que se dieron por parte de la fuerza pública,</w:t>
      </w:r>
      <w:r>
        <w:rPr>
          <w:spacing w:val="-7"/>
        </w:rPr>
        <w:t xml:space="preserve"> </w:t>
      </w:r>
      <w:r>
        <w:t>de</w:t>
      </w:r>
      <w:r>
        <w:rPr>
          <w:spacing w:val="-7"/>
        </w:rPr>
        <w:t xml:space="preserve"> </w:t>
      </w:r>
      <w:r>
        <w:t>grupos</w:t>
      </w:r>
      <w:r>
        <w:rPr>
          <w:spacing w:val="-7"/>
        </w:rPr>
        <w:t xml:space="preserve"> </w:t>
      </w:r>
      <w:r>
        <w:t>paramilitares</w:t>
      </w:r>
      <w:r>
        <w:rPr>
          <w:spacing w:val="-7"/>
        </w:rPr>
        <w:t xml:space="preserve"> </w:t>
      </w:r>
      <w:r>
        <w:t>y</w:t>
      </w:r>
      <w:r>
        <w:rPr>
          <w:spacing w:val="-7"/>
        </w:rPr>
        <w:t xml:space="preserve"> </w:t>
      </w:r>
      <w:r>
        <w:t>de</w:t>
      </w:r>
      <w:r>
        <w:rPr>
          <w:spacing w:val="-7"/>
        </w:rPr>
        <w:t xml:space="preserve"> </w:t>
      </w:r>
      <w:r>
        <w:t>la</w:t>
      </w:r>
      <w:r>
        <w:rPr>
          <w:spacing w:val="-7"/>
        </w:rPr>
        <w:t xml:space="preserve"> </w:t>
      </w:r>
      <w:r>
        <w:t>insurgencia;</w:t>
      </w:r>
      <w:r>
        <w:rPr>
          <w:spacing w:val="-7"/>
        </w:rPr>
        <w:t xml:space="preserve"> </w:t>
      </w:r>
      <w:r>
        <w:t>desde</w:t>
      </w:r>
      <w:r>
        <w:rPr>
          <w:spacing w:val="-7"/>
        </w:rPr>
        <w:t xml:space="preserve"> </w:t>
      </w:r>
      <w:r>
        <w:t>allí</w:t>
      </w:r>
      <w:r>
        <w:rPr>
          <w:spacing w:val="-8"/>
        </w:rPr>
        <w:t xml:space="preserve"> </w:t>
      </w:r>
      <w:r>
        <w:t>se</w:t>
      </w:r>
      <w:r>
        <w:rPr>
          <w:spacing w:val="-7"/>
        </w:rPr>
        <w:t xml:space="preserve"> </w:t>
      </w:r>
      <w:r>
        <w:t>reconstruyó</w:t>
      </w:r>
      <w:r>
        <w:rPr>
          <w:spacing w:val="-7"/>
        </w:rPr>
        <w:t xml:space="preserve"> </w:t>
      </w:r>
      <w:r>
        <w:t>el</w:t>
      </w:r>
      <w:r>
        <w:rPr>
          <w:spacing w:val="-7"/>
        </w:rPr>
        <w:t xml:space="preserve"> </w:t>
      </w:r>
      <w:r>
        <w:t>tejido</w:t>
      </w:r>
      <w:r>
        <w:rPr>
          <w:spacing w:val="-7"/>
        </w:rPr>
        <w:t xml:space="preserve"> </w:t>
      </w:r>
      <w:r>
        <w:t>social roto</w:t>
      </w:r>
      <w:r>
        <w:rPr>
          <w:spacing w:val="13"/>
        </w:rPr>
        <w:t xml:space="preserve"> </w:t>
      </w:r>
      <w:r>
        <w:t>por</w:t>
      </w:r>
      <w:r>
        <w:rPr>
          <w:spacing w:val="15"/>
        </w:rPr>
        <w:t xml:space="preserve"> </w:t>
      </w:r>
      <w:r>
        <w:t>la</w:t>
      </w:r>
      <w:r>
        <w:rPr>
          <w:spacing w:val="14"/>
        </w:rPr>
        <w:t xml:space="preserve"> </w:t>
      </w:r>
      <w:r>
        <w:t>arremetida</w:t>
      </w:r>
      <w:r>
        <w:rPr>
          <w:spacing w:val="14"/>
        </w:rPr>
        <w:t xml:space="preserve"> </w:t>
      </w:r>
      <w:r>
        <w:t>del</w:t>
      </w:r>
      <w:r>
        <w:rPr>
          <w:spacing w:val="14"/>
        </w:rPr>
        <w:t xml:space="preserve"> </w:t>
      </w:r>
      <w:r>
        <w:t>Bloque</w:t>
      </w:r>
      <w:r>
        <w:rPr>
          <w:spacing w:val="14"/>
        </w:rPr>
        <w:t xml:space="preserve"> </w:t>
      </w:r>
      <w:r>
        <w:t>Catatumbo</w:t>
      </w:r>
      <w:r>
        <w:rPr>
          <w:spacing w:val="14"/>
        </w:rPr>
        <w:t xml:space="preserve"> </w:t>
      </w:r>
      <w:r>
        <w:t>de</w:t>
      </w:r>
      <w:r>
        <w:rPr>
          <w:spacing w:val="12"/>
        </w:rPr>
        <w:t xml:space="preserve"> </w:t>
      </w:r>
      <w:r>
        <w:t>las</w:t>
      </w:r>
      <w:r>
        <w:rPr>
          <w:spacing w:val="14"/>
        </w:rPr>
        <w:t xml:space="preserve"> </w:t>
      </w:r>
      <w:r>
        <w:t>AUC</w:t>
      </w:r>
      <w:r>
        <w:rPr>
          <w:spacing w:val="13"/>
        </w:rPr>
        <w:t xml:space="preserve"> </w:t>
      </w:r>
      <w:r>
        <w:t>y,</w:t>
      </w:r>
      <w:r>
        <w:rPr>
          <w:spacing w:val="13"/>
        </w:rPr>
        <w:t xml:space="preserve"> </w:t>
      </w:r>
      <w:r>
        <w:t>a</w:t>
      </w:r>
      <w:r>
        <w:rPr>
          <w:spacing w:val="14"/>
        </w:rPr>
        <w:t xml:space="preserve"> </w:t>
      </w:r>
      <w:r>
        <w:t>medida</w:t>
      </w:r>
      <w:r>
        <w:rPr>
          <w:spacing w:val="14"/>
        </w:rPr>
        <w:t xml:space="preserve"> </w:t>
      </w:r>
      <w:r>
        <w:t>que</w:t>
      </w:r>
      <w:r>
        <w:rPr>
          <w:spacing w:val="14"/>
        </w:rPr>
        <w:t xml:space="preserve"> </w:t>
      </w:r>
      <w:r>
        <w:t>el</w:t>
      </w:r>
      <w:r>
        <w:rPr>
          <w:spacing w:val="13"/>
        </w:rPr>
        <w:t xml:space="preserve"> </w:t>
      </w:r>
      <w:r>
        <w:rPr>
          <w:spacing w:val="-2"/>
        </w:rPr>
        <w:t>campesinado</w:t>
      </w:r>
      <w:bookmarkStart w:id="1263" w:name="_bookmark1119"/>
      <w:bookmarkEnd w:id="1263"/>
      <w:r w:rsidR="00352809">
        <w:rPr>
          <w:spacing w:val="-2"/>
        </w:rPr>
        <w:t xml:space="preserve"> </w:t>
      </w:r>
      <w:r>
        <w:t>retomó confianza, el quehacer de la organización empezó a concentrarse en la defensa del territorio</w:t>
      </w:r>
      <w:r>
        <w:rPr>
          <w:spacing w:val="-15"/>
        </w:rPr>
        <w:t xml:space="preserve"> </w:t>
      </w:r>
      <w:r>
        <w:t>mediante</w:t>
      </w:r>
      <w:r>
        <w:rPr>
          <w:spacing w:val="-15"/>
        </w:rPr>
        <w:t xml:space="preserve"> </w:t>
      </w:r>
      <w:r>
        <w:t>el</w:t>
      </w:r>
      <w:r>
        <w:rPr>
          <w:spacing w:val="-15"/>
        </w:rPr>
        <w:t xml:space="preserve"> </w:t>
      </w:r>
      <w:r>
        <w:t>rechazo</w:t>
      </w:r>
      <w:r>
        <w:rPr>
          <w:spacing w:val="-14"/>
        </w:rPr>
        <w:t xml:space="preserve"> </w:t>
      </w:r>
      <w:r>
        <w:t>a</w:t>
      </w:r>
      <w:r>
        <w:rPr>
          <w:spacing w:val="-14"/>
        </w:rPr>
        <w:t xml:space="preserve"> </w:t>
      </w:r>
      <w:r>
        <w:t>proyectos</w:t>
      </w:r>
      <w:r>
        <w:rPr>
          <w:spacing w:val="-14"/>
        </w:rPr>
        <w:t xml:space="preserve"> </w:t>
      </w:r>
      <w:r>
        <w:t>extractivos</w:t>
      </w:r>
      <w:r>
        <w:rPr>
          <w:spacing w:val="-14"/>
        </w:rPr>
        <w:t xml:space="preserve"> </w:t>
      </w:r>
      <w:r>
        <w:t>de</w:t>
      </w:r>
      <w:r>
        <w:rPr>
          <w:spacing w:val="-14"/>
        </w:rPr>
        <w:t xml:space="preserve"> </w:t>
      </w:r>
      <w:r>
        <w:t>minería,</w:t>
      </w:r>
      <w:r>
        <w:rPr>
          <w:spacing w:val="-14"/>
        </w:rPr>
        <w:t xml:space="preserve"> </w:t>
      </w:r>
      <w:r>
        <w:t>para</w:t>
      </w:r>
      <w:r>
        <w:rPr>
          <w:spacing w:val="-15"/>
        </w:rPr>
        <w:t xml:space="preserve"> </w:t>
      </w:r>
      <w:r>
        <w:t>finalmente</w:t>
      </w:r>
      <w:r>
        <w:rPr>
          <w:spacing w:val="-15"/>
        </w:rPr>
        <w:t xml:space="preserve"> </w:t>
      </w:r>
      <w:r>
        <w:t>dar</w:t>
      </w:r>
      <w:r>
        <w:rPr>
          <w:spacing w:val="-15"/>
        </w:rPr>
        <w:t xml:space="preserve"> </w:t>
      </w:r>
      <w:r>
        <w:t>un</w:t>
      </w:r>
      <w:r>
        <w:rPr>
          <w:spacing w:val="-14"/>
        </w:rPr>
        <w:t xml:space="preserve"> </w:t>
      </w:r>
      <w:r>
        <w:t>salto cualitativo hacia propuestas de fortalecimiento de la economía campesina mediante el plan desarrollo sostenible (PDS) de la zona de reserva campesina (ZRC) del Catatumbo.</w:t>
      </w:r>
    </w:p>
    <w:p w:rsidR="003804AC" w:rsidRDefault="00AF18A5" w:rsidP="00913F15">
      <w:r>
        <w:t>En</w:t>
      </w:r>
      <w:r>
        <w:rPr>
          <w:spacing w:val="-5"/>
        </w:rPr>
        <w:t xml:space="preserve"> </w:t>
      </w:r>
      <w:r>
        <w:t>el</w:t>
      </w:r>
      <w:r>
        <w:rPr>
          <w:spacing w:val="-4"/>
        </w:rPr>
        <w:t xml:space="preserve"> </w:t>
      </w:r>
      <w:r>
        <w:t>caso</w:t>
      </w:r>
      <w:r>
        <w:rPr>
          <w:spacing w:val="-6"/>
        </w:rPr>
        <w:t xml:space="preserve"> </w:t>
      </w:r>
      <w:r>
        <w:t>del</w:t>
      </w:r>
      <w:r>
        <w:rPr>
          <w:spacing w:val="-4"/>
        </w:rPr>
        <w:t xml:space="preserve"> </w:t>
      </w:r>
      <w:r>
        <w:t>Movimiento</w:t>
      </w:r>
      <w:r>
        <w:rPr>
          <w:spacing w:val="-5"/>
        </w:rPr>
        <w:t xml:space="preserve"> </w:t>
      </w:r>
      <w:r>
        <w:t>de</w:t>
      </w:r>
      <w:r>
        <w:rPr>
          <w:spacing w:val="-5"/>
        </w:rPr>
        <w:t xml:space="preserve"> </w:t>
      </w:r>
      <w:r>
        <w:t>zonas</w:t>
      </w:r>
      <w:r>
        <w:rPr>
          <w:spacing w:val="-6"/>
        </w:rPr>
        <w:t xml:space="preserve"> </w:t>
      </w:r>
      <w:r>
        <w:t>de</w:t>
      </w:r>
      <w:r>
        <w:rPr>
          <w:spacing w:val="-5"/>
        </w:rPr>
        <w:t xml:space="preserve"> </w:t>
      </w:r>
      <w:r>
        <w:t>reserva</w:t>
      </w:r>
      <w:r>
        <w:rPr>
          <w:spacing w:val="-6"/>
        </w:rPr>
        <w:t xml:space="preserve"> </w:t>
      </w:r>
      <w:r>
        <w:t>campesina,</w:t>
      </w:r>
      <w:r>
        <w:rPr>
          <w:spacing w:val="-5"/>
        </w:rPr>
        <w:t xml:space="preserve"> </w:t>
      </w:r>
      <w:r>
        <w:t>durante</w:t>
      </w:r>
      <w:r>
        <w:rPr>
          <w:spacing w:val="-6"/>
        </w:rPr>
        <w:t xml:space="preserve"> </w:t>
      </w:r>
      <w:r>
        <w:t>este</w:t>
      </w:r>
      <w:r>
        <w:rPr>
          <w:spacing w:val="-5"/>
        </w:rPr>
        <w:t xml:space="preserve"> </w:t>
      </w:r>
      <w:r>
        <w:t>periodo</w:t>
      </w:r>
      <w:r>
        <w:rPr>
          <w:spacing w:val="-5"/>
        </w:rPr>
        <w:t xml:space="preserve"> </w:t>
      </w:r>
      <w:r>
        <w:t>se</w:t>
      </w:r>
      <w:r>
        <w:rPr>
          <w:spacing w:val="-5"/>
        </w:rPr>
        <w:t xml:space="preserve"> </w:t>
      </w:r>
      <w:r>
        <w:t xml:space="preserve">dieron dos cambios sustanciales en la agenda campesina de los años noventa y los dos mil. El primero está relacionado con el nacimiento de un conjunto de demandas mucho más territorializadas, ya que en el marco de la Ley 160/94 los movimientos campesinos recogieron una serie de propuestas de poder territorial que fueron más </w:t>
      </w:r>
      <w:r>
        <w:lastRenderedPageBreak/>
        <w:t>allá de las demandas gremiales, del acceso a la tierra y participación política. Los PDS de las ZRC depuraron modelos regionales de incentivo a la economía campesina, de garantía de bienes públicos y de manejo ambiental que le permitirían al campesinado relacionarse con el Estado desde un nuevo rol. Como consecuencia, al finalizar el periodo emergieron nuevos discursos reivindicativos de la identidad cultural campesina, identificándose como un valor que debía ser</w:t>
      </w:r>
      <w:r>
        <w:rPr>
          <w:spacing w:val="-7"/>
        </w:rPr>
        <w:t xml:space="preserve"> </w:t>
      </w:r>
      <w:r>
        <w:t>protegido,</w:t>
      </w:r>
      <w:r>
        <w:rPr>
          <w:spacing w:val="-7"/>
        </w:rPr>
        <w:t xml:space="preserve"> </w:t>
      </w:r>
      <w:r>
        <w:t>reivindicando</w:t>
      </w:r>
      <w:r>
        <w:rPr>
          <w:spacing w:val="-7"/>
        </w:rPr>
        <w:t xml:space="preserve"> </w:t>
      </w:r>
      <w:r>
        <w:t>su</w:t>
      </w:r>
      <w:r>
        <w:rPr>
          <w:spacing w:val="-7"/>
        </w:rPr>
        <w:t xml:space="preserve"> </w:t>
      </w:r>
      <w:r>
        <w:t>reconocimiento</w:t>
      </w:r>
      <w:r>
        <w:rPr>
          <w:spacing w:val="-8"/>
        </w:rPr>
        <w:t xml:space="preserve"> </w:t>
      </w:r>
      <w:r>
        <w:t>jurídico</w:t>
      </w:r>
      <w:r>
        <w:rPr>
          <w:spacing w:val="-7"/>
        </w:rPr>
        <w:t xml:space="preserve"> </w:t>
      </w:r>
      <w:r>
        <w:t>y</w:t>
      </w:r>
      <w:r>
        <w:rPr>
          <w:spacing w:val="-7"/>
        </w:rPr>
        <w:t xml:space="preserve"> </w:t>
      </w:r>
      <w:r>
        <w:t>político.</w:t>
      </w:r>
      <w:r>
        <w:rPr>
          <w:spacing w:val="-7"/>
        </w:rPr>
        <w:t xml:space="preserve"> </w:t>
      </w:r>
      <w:r>
        <w:t>Es</w:t>
      </w:r>
      <w:r>
        <w:rPr>
          <w:spacing w:val="-8"/>
        </w:rPr>
        <w:t xml:space="preserve"> </w:t>
      </w:r>
      <w:r>
        <w:t>decir,</w:t>
      </w:r>
      <w:r>
        <w:rPr>
          <w:spacing w:val="-7"/>
        </w:rPr>
        <w:t xml:space="preserve"> </w:t>
      </w:r>
      <w:r>
        <w:t>ya</w:t>
      </w:r>
      <w:r>
        <w:rPr>
          <w:spacing w:val="-7"/>
        </w:rPr>
        <w:t xml:space="preserve"> </w:t>
      </w:r>
      <w:r>
        <w:t>no</w:t>
      </w:r>
      <w:r>
        <w:rPr>
          <w:spacing w:val="-7"/>
        </w:rPr>
        <w:t xml:space="preserve"> </w:t>
      </w:r>
      <w:r>
        <w:t>solamente se exigía la titulación de tierras por parte del Estado. Ahora las mismas organizaciones campesinas</w:t>
      </w:r>
      <w:r>
        <w:rPr>
          <w:spacing w:val="-13"/>
        </w:rPr>
        <w:t xml:space="preserve"> </w:t>
      </w:r>
      <w:r>
        <w:t>lideraban</w:t>
      </w:r>
      <w:r>
        <w:rPr>
          <w:spacing w:val="-12"/>
        </w:rPr>
        <w:t xml:space="preserve"> </w:t>
      </w:r>
      <w:r>
        <w:t>las</w:t>
      </w:r>
      <w:r>
        <w:rPr>
          <w:spacing w:val="-13"/>
        </w:rPr>
        <w:t xml:space="preserve"> </w:t>
      </w:r>
      <w:r>
        <w:t>propuestas</w:t>
      </w:r>
      <w:r>
        <w:rPr>
          <w:spacing w:val="-12"/>
        </w:rPr>
        <w:t xml:space="preserve"> </w:t>
      </w:r>
      <w:r>
        <w:t>de</w:t>
      </w:r>
      <w:r>
        <w:rPr>
          <w:spacing w:val="-12"/>
        </w:rPr>
        <w:t xml:space="preserve"> </w:t>
      </w:r>
      <w:r>
        <w:t>ordenamiento</w:t>
      </w:r>
      <w:r>
        <w:rPr>
          <w:spacing w:val="-12"/>
        </w:rPr>
        <w:t xml:space="preserve"> </w:t>
      </w:r>
      <w:r>
        <w:t>territorial</w:t>
      </w:r>
      <w:r>
        <w:rPr>
          <w:spacing w:val="-11"/>
        </w:rPr>
        <w:t xml:space="preserve"> </w:t>
      </w:r>
      <w:r>
        <w:t>mediante</w:t>
      </w:r>
      <w:r>
        <w:rPr>
          <w:spacing w:val="-12"/>
        </w:rPr>
        <w:t xml:space="preserve"> </w:t>
      </w:r>
      <w:r>
        <w:t>planes</w:t>
      </w:r>
      <w:r>
        <w:rPr>
          <w:spacing w:val="-13"/>
        </w:rPr>
        <w:t xml:space="preserve"> </w:t>
      </w:r>
      <w:r>
        <w:t>de</w:t>
      </w:r>
      <w:r>
        <w:rPr>
          <w:spacing w:val="-13"/>
        </w:rPr>
        <w:t xml:space="preserve"> </w:t>
      </w:r>
      <w:r>
        <w:t>futuro</w:t>
      </w:r>
      <w:r>
        <w:rPr>
          <w:spacing w:val="-12"/>
        </w:rPr>
        <w:t xml:space="preserve"> </w:t>
      </w:r>
      <w:r>
        <w:t>en materia ambiental, económica y de organización social y cultural.</w:t>
      </w:r>
    </w:p>
    <w:p w:rsidR="0011361F" w:rsidRDefault="00AF18A5" w:rsidP="004A6EF4">
      <w:pPr>
        <w:pStyle w:val="Ttulo3"/>
        <w:numPr>
          <w:ilvl w:val="1"/>
          <w:numId w:val="16"/>
        </w:numPr>
      </w:pPr>
      <w:bookmarkStart w:id="1264" w:name="9.4._La_irrupción_del_narcotráfico"/>
      <w:bookmarkStart w:id="1265" w:name="_Toc112399646"/>
      <w:bookmarkEnd w:id="1264"/>
      <w:r>
        <w:t>La</w:t>
      </w:r>
      <w:r>
        <w:rPr>
          <w:spacing w:val="-2"/>
        </w:rPr>
        <w:t xml:space="preserve"> </w:t>
      </w:r>
      <w:r>
        <w:t>irrupción</w:t>
      </w:r>
      <w:r>
        <w:rPr>
          <w:spacing w:val="-2"/>
        </w:rPr>
        <w:t xml:space="preserve"> </w:t>
      </w:r>
      <w:r>
        <w:t>del</w:t>
      </w:r>
      <w:r>
        <w:rPr>
          <w:spacing w:val="-1"/>
        </w:rPr>
        <w:t xml:space="preserve"> </w:t>
      </w:r>
      <w:r w:rsidRPr="00913F15">
        <w:t>narcotráfico</w:t>
      </w:r>
      <w:bookmarkEnd w:id="1265"/>
    </w:p>
    <w:p w:rsidR="003804AC" w:rsidRDefault="00AF18A5" w:rsidP="00913F15">
      <w:r>
        <w:t>Aunque</w:t>
      </w:r>
      <w:r>
        <w:rPr>
          <w:spacing w:val="-15"/>
        </w:rPr>
        <w:t xml:space="preserve"> </w:t>
      </w:r>
      <w:r>
        <w:t>la</w:t>
      </w:r>
      <w:r>
        <w:rPr>
          <w:spacing w:val="-15"/>
        </w:rPr>
        <w:t xml:space="preserve"> </w:t>
      </w:r>
      <w:r>
        <w:t>economía</w:t>
      </w:r>
      <w:r>
        <w:rPr>
          <w:spacing w:val="-15"/>
        </w:rPr>
        <w:t xml:space="preserve"> </w:t>
      </w:r>
      <w:r>
        <w:t>de</w:t>
      </w:r>
      <w:r>
        <w:rPr>
          <w:spacing w:val="-15"/>
        </w:rPr>
        <w:t xml:space="preserve"> </w:t>
      </w:r>
      <w:r>
        <w:t>las</w:t>
      </w:r>
      <w:r>
        <w:rPr>
          <w:spacing w:val="-15"/>
        </w:rPr>
        <w:t xml:space="preserve"> </w:t>
      </w:r>
      <w:r>
        <w:t>sustancias</w:t>
      </w:r>
      <w:r>
        <w:rPr>
          <w:spacing w:val="-15"/>
        </w:rPr>
        <w:t xml:space="preserve"> </w:t>
      </w:r>
      <w:r>
        <w:t>ilícitas</w:t>
      </w:r>
      <w:r>
        <w:rPr>
          <w:spacing w:val="-15"/>
        </w:rPr>
        <w:t xml:space="preserve"> </w:t>
      </w:r>
      <w:r>
        <w:t>puede</w:t>
      </w:r>
      <w:r>
        <w:rPr>
          <w:spacing w:val="-15"/>
        </w:rPr>
        <w:t xml:space="preserve"> </w:t>
      </w:r>
      <w:r>
        <w:t>rastrearse</w:t>
      </w:r>
      <w:r>
        <w:rPr>
          <w:spacing w:val="-15"/>
        </w:rPr>
        <w:t xml:space="preserve"> </w:t>
      </w:r>
      <w:r>
        <w:t>en</w:t>
      </w:r>
      <w:r>
        <w:rPr>
          <w:spacing w:val="-15"/>
        </w:rPr>
        <w:t xml:space="preserve"> </w:t>
      </w:r>
      <w:r>
        <w:t>el</w:t>
      </w:r>
      <w:r>
        <w:rPr>
          <w:spacing w:val="-15"/>
        </w:rPr>
        <w:t xml:space="preserve"> </w:t>
      </w:r>
      <w:r>
        <w:t>país</w:t>
      </w:r>
      <w:r>
        <w:rPr>
          <w:spacing w:val="-15"/>
        </w:rPr>
        <w:t xml:space="preserve"> </w:t>
      </w:r>
      <w:r>
        <w:t>desde</w:t>
      </w:r>
      <w:r>
        <w:rPr>
          <w:spacing w:val="-15"/>
        </w:rPr>
        <w:t xml:space="preserve"> </w:t>
      </w:r>
      <w:r>
        <w:t>los</w:t>
      </w:r>
      <w:r>
        <w:rPr>
          <w:spacing w:val="-15"/>
        </w:rPr>
        <w:t xml:space="preserve"> </w:t>
      </w:r>
      <w:r>
        <w:t>años</w:t>
      </w:r>
      <w:r>
        <w:rPr>
          <w:spacing w:val="-15"/>
        </w:rPr>
        <w:t xml:space="preserve"> </w:t>
      </w:r>
      <w:r>
        <w:t>treinta o</w:t>
      </w:r>
      <w:r>
        <w:rPr>
          <w:spacing w:val="-4"/>
        </w:rPr>
        <w:t xml:space="preserve"> </w:t>
      </w:r>
      <w:r>
        <w:t>cuarenta,</w:t>
      </w:r>
      <w:r>
        <w:rPr>
          <w:spacing w:val="-4"/>
        </w:rPr>
        <w:t xml:space="preserve"> </w:t>
      </w:r>
      <w:r>
        <w:t>fue</w:t>
      </w:r>
      <w:r>
        <w:rPr>
          <w:spacing w:val="-3"/>
        </w:rPr>
        <w:t xml:space="preserve"> </w:t>
      </w:r>
      <w:r>
        <w:t>en</w:t>
      </w:r>
      <w:r>
        <w:rPr>
          <w:spacing w:val="-4"/>
        </w:rPr>
        <w:t xml:space="preserve"> </w:t>
      </w:r>
      <w:r>
        <w:t>los</w:t>
      </w:r>
      <w:r>
        <w:rPr>
          <w:spacing w:val="-3"/>
        </w:rPr>
        <w:t xml:space="preserve"> </w:t>
      </w:r>
      <w:r>
        <w:t>setenta</w:t>
      </w:r>
      <w:r>
        <w:rPr>
          <w:spacing w:val="-3"/>
        </w:rPr>
        <w:t xml:space="preserve"> </w:t>
      </w:r>
      <w:r>
        <w:t>cuando</w:t>
      </w:r>
      <w:r>
        <w:rPr>
          <w:spacing w:val="-5"/>
        </w:rPr>
        <w:t xml:space="preserve"> </w:t>
      </w:r>
      <w:r>
        <w:t>se</w:t>
      </w:r>
      <w:r>
        <w:rPr>
          <w:spacing w:val="-3"/>
        </w:rPr>
        <w:t xml:space="preserve"> </w:t>
      </w:r>
      <w:r>
        <w:t>volvió</w:t>
      </w:r>
      <w:r>
        <w:rPr>
          <w:spacing w:val="-5"/>
        </w:rPr>
        <w:t xml:space="preserve"> </w:t>
      </w:r>
      <w:r>
        <w:t>relevante</w:t>
      </w:r>
      <w:r>
        <w:rPr>
          <w:spacing w:val="-3"/>
        </w:rPr>
        <w:t xml:space="preserve"> </w:t>
      </w:r>
      <w:r>
        <w:t>en</w:t>
      </w:r>
      <w:r>
        <w:rPr>
          <w:spacing w:val="-5"/>
        </w:rPr>
        <w:t xml:space="preserve"> </w:t>
      </w:r>
      <w:r>
        <w:t>la</w:t>
      </w:r>
      <w:r>
        <w:rPr>
          <w:spacing w:val="-5"/>
        </w:rPr>
        <w:t xml:space="preserve"> </w:t>
      </w:r>
      <w:r>
        <w:t>política</w:t>
      </w:r>
      <w:r>
        <w:rPr>
          <w:spacing w:val="-3"/>
        </w:rPr>
        <w:t xml:space="preserve"> </w:t>
      </w:r>
      <w:r>
        <w:t>nacional,</w:t>
      </w:r>
      <w:r>
        <w:rPr>
          <w:spacing w:val="-4"/>
        </w:rPr>
        <w:t xml:space="preserve"> </w:t>
      </w:r>
      <w:r>
        <w:t>primero</w:t>
      </w:r>
      <w:r>
        <w:rPr>
          <w:spacing w:val="-4"/>
        </w:rPr>
        <w:t xml:space="preserve"> </w:t>
      </w:r>
      <w:r>
        <w:t>con la</w:t>
      </w:r>
      <w:r>
        <w:rPr>
          <w:spacing w:val="-5"/>
        </w:rPr>
        <w:t xml:space="preserve"> </w:t>
      </w:r>
      <w:r>
        <w:t>bonanza</w:t>
      </w:r>
      <w:r>
        <w:rPr>
          <w:spacing w:val="-6"/>
        </w:rPr>
        <w:t xml:space="preserve"> </w:t>
      </w:r>
      <w:r>
        <w:t>marimbera</w:t>
      </w:r>
      <w:r>
        <w:rPr>
          <w:spacing w:val="-5"/>
        </w:rPr>
        <w:t xml:space="preserve"> </w:t>
      </w:r>
      <w:r>
        <w:t>y</w:t>
      </w:r>
      <w:r>
        <w:rPr>
          <w:spacing w:val="-6"/>
        </w:rPr>
        <w:t xml:space="preserve"> </w:t>
      </w:r>
      <w:r>
        <w:t>el</w:t>
      </w:r>
      <w:r>
        <w:rPr>
          <w:spacing w:val="-6"/>
        </w:rPr>
        <w:t xml:space="preserve"> </w:t>
      </w:r>
      <w:r>
        <w:t>ingreso</w:t>
      </w:r>
      <w:r>
        <w:rPr>
          <w:spacing w:val="-6"/>
        </w:rPr>
        <w:t xml:space="preserve"> </w:t>
      </w:r>
      <w:r>
        <w:t>masivo</w:t>
      </w:r>
      <w:r>
        <w:rPr>
          <w:spacing w:val="-6"/>
        </w:rPr>
        <w:t xml:space="preserve"> </w:t>
      </w:r>
      <w:r>
        <w:t>de</w:t>
      </w:r>
      <w:r>
        <w:rPr>
          <w:spacing w:val="-5"/>
        </w:rPr>
        <w:t xml:space="preserve"> </w:t>
      </w:r>
      <w:r>
        <w:t>capitales</w:t>
      </w:r>
      <w:r>
        <w:rPr>
          <w:spacing w:val="-6"/>
        </w:rPr>
        <w:t xml:space="preserve"> </w:t>
      </w:r>
      <w:r>
        <w:t>ilegales</w:t>
      </w:r>
      <w:r>
        <w:rPr>
          <w:spacing w:val="-6"/>
        </w:rPr>
        <w:t xml:space="preserve"> </w:t>
      </w:r>
      <w:r>
        <w:t>a</w:t>
      </w:r>
      <w:r>
        <w:rPr>
          <w:spacing w:val="-5"/>
        </w:rPr>
        <w:t xml:space="preserve"> </w:t>
      </w:r>
      <w:r>
        <w:t>través</w:t>
      </w:r>
      <w:r>
        <w:rPr>
          <w:spacing w:val="-7"/>
        </w:rPr>
        <w:t xml:space="preserve"> </w:t>
      </w:r>
      <w:r>
        <w:t>de</w:t>
      </w:r>
      <w:r>
        <w:rPr>
          <w:spacing w:val="-5"/>
        </w:rPr>
        <w:t xml:space="preserve"> </w:t>
      </w:r>
      <w:r>
        <w:t>mecanismo</w:t>
      </w:r>
      <w:r>
        <w:rPr>
          <w:spacing w:val="-5"/>
        </w:rPr>
        <w:t xml:space="preserve"> </w:t>
      </w:r>
      <w:r>
        <w:t>como la ventanilla siniestra</w:t>
      </w:r>
      <w:r w:rsidR="00913F15">
        <w:rPr>
          <w:rStyle w:val="Refdenotaalpie"/>
        </w:rPr>
        <w:footnoteReference w:id="1021"/>
      </w:r>
      <w:r>
        <w:t>, y luego desde mediados de la década de 1980, con la economía ilegal de la coca. Los límites de los programas de colonización, el fortalecimiento de la economía</w:t>
      </w:r>
      <w:r>
        <w:rPr>
          <w:spacing w:val="-5"/>
        </w:rPr>
        <w:t xml:space="preserve"> </w:t>
      </w:r>
      <w:r>
        <w:t>agraria</w:t>
      </w:r>
      <w:r>
        <w:rPr>
          <w:spacing w:val="-5"/>
        </w:rPr>
        <w:t xml:space="preserve"> </w:t>
      </w:r>
      <w:r>
        <w:t>industrializada</w:t>
      </w:r>
      <w:r>
        <w:rPr>
          <w:spacing w:val="-5"/>
        </w:rPr>
        <w:t xml:space="preserve"> </w:t>
      </w:r>
      <w:r>
        <w:t>en</w:t>
      </w:r>
      <w:r>
        <w:rPr>
          <w:spacing w:val="-5"/>
        </w:rPr>
        <w:t xml:space="preserve"> </w:t>
      </w:r>
      <w:r>
        <w:t>detrimento</w:t>
      </w:r>
      <w:r>
        <w:rPr>
          <w:spacing w:val="-5"/>
        </w:rPr>
        <w:t xml:space="preserve"> </w:t>
      </w:r>
      <w:r>
        <w:t>de</w:t>
      </w:r>
      <w:r>
        <w:rPr>
          <w:spacing w:val="-5"/>
        </w:rPr>
        <w:t xml:space="preserve"> </w:t>
      </w:r>
      <w:r>
        <w:t>la</w:t>
      </w:r>
      <w:r>
        <w:rPr>
          <w:spacing w:val="-5"/>
        </w:rPr>
        <w:t xml:space="preserve"> </w:t>
      </w:r>
      <w:r>
        <w:t>economía</w:t>
      </w:r>
      <w:r>
        <w:rPr>
          <w:spacing w:val="-6"/>
        </w:rPr>
        <w:t xml:space="preserve"> </w:t>
      </w:r>
      <w:r>
        <w:t>campesina,</w:t>
      </w:r>
      <w:r>
        <w:rPr>
          <w:spacing w:val="-5"/>
        </w:rPr>
        <w:t xml:space="preserve"> </w:t>
      </w:r>
      <w:r>
        <w:t>y</w:t>
      </w:r>
      <w:r>
        <w:rPr>
          <w:spacing w:val="-5"/>
        </w:rPr>
        <w:t xml:space="preserve"> </w:t>
      </w:r>
      <w:r>
        <w:t>el</w:t>
      </w:r>
      <w:r>
        <w:rPr>
          <w:spacing w:val="-4"/>
        </w:rPr>
        <w:t xml:space="preserve"> </w:t>
      </w:r>
      <w:r>
        <w:t>cambio</w:t>
      </w:r>
      <w:r>
        <w:rPr>
          <w:spacing w:val="-6"/>
        </w:rPr>
        <w:t xml:space="preserve"> </w:t>
      </w:r>
      <w:r>
        <w:t>de</w:t>
      </w:r>
      <w:r>
        <w:rPr>
          <w:spacing w:val="-5"/>
        </w:rPr>
        <w:t xml:space="preserve"> </w:t>
      </w:r>
      <w:r>
        <w:t>la estructura</w:t>
      </w:r>
      <w:r>
        <w:rPr>
          <w:spacing w:val="-1"/>
        </w:rPr>
        <w:t xml:space="preserve"> </w:t>
      </w:r>
      <w:r>
        <w:t>productiva</w:t>
      </w:r>
      <w:r>
        <w:rPr>
          <w:spacing w:val="1"/>
        </w:rPr>
        <w:t xml:space="preserve"> </w:t>
      </w:r>
      <w:r>
        <w:t>del país</w:t>
      </w:r>
      <w:r>
        <w:rPr>
          <w:spacing w:val="1"/>
        </w:rPr>
        <w:t xml:space="preserve"> </w:t>
      </w:r>
      <w:r>
        <w:t>en</w:t>
      </w:r>
      <w:r>
        <w:rPr>
          <w:spacing w:val="1"/>
        </w:rPr>
        <w:t xml:space="preserve"> </w:t>
      </w:r>
      <w:r>
        <w:t>el</w:t>
      </w:r>
      <w:r>
        <w:rPr>
          <w:spacing w:val="1"/>
        </w:rPr>
        <w:t xml:space="preserve"> </w:t>
      </w:r>
      <w:r>
        <w:t>contexto</w:t>
      </w:r>
      <w:r>
        <w:rPr>
          <w:spacing w:val="1"/>
        </w:rPr>
        <w:t xml:space="preserve"> </w:t>
      </w:r>
      <w:r>
        <w:t>de liberalización</w:t>
      </w:r>
      <w:r>
        <w:rPr>
          <w:spacing w:val="1"/>
        </w:rPr>
        <w:t xml:space="preserve"> </w:t>
      </w:r>
      <w:r>
        <w:t>de</w:t>
      </w:r>
      <w:r>
        <w:rPr>
          <w:spacing w:val="1"/>
        </w:rPr>
        <w:t xml:space="preserve"> </w:t>
      </w:r>
      <w:r>
        <w:t>la</w:t>
      </w:r>
      <w:r>
        <w:rPr>
          <w:spacing w:val="1"/>
        </w:rPr>
        <w:t xml:space="preserve"> </w:t>
      </w:r>
      <w:r>
        <w:t>economía habían</w:t>
      </w:r>
      <w:r>
        <w:rPr>
          <w:spacing w:val="1"/>
        </w:rPr>
        <w:t xml:space="preserve"> </w:t>
      </w:r>
      <w:r>
        <w:rPr>
          <w:spacing w:val="-2"/>
        </w:rPr>
        <w:t>dejado</w:t>
      </w:r>
      <w:bookmarkStart w:id="1266" w:name="_bookmark1121"/>
      <w:bookmarkEnd w:id="1266"/>
      <w:r w:rsidR="00913F15">
        <w:t xml:space="preserve"> </w:t>
      </w:r>
      <w:r>
        <w:t xml:space="preserve">a una parte importante de la población rural en la Orinoquía, en el Magdalena Medio, en la Frontera Nororiental y en Urabá, entre otras regiones, con la coca como única alternativa para subsistir y permanecer en el territorio. Pero la cadena del narcotráfico </w:t>
      </w:r>
      <w:r>
        <w:lastRenderedPageBreak/>
        <w:t>no se redujo al cultivo. En estos años también se crearon y crecieron los dos principales carteles del narcotráfico,</w:t>
      </w:r>
      <w:r>
        <w:rPr>
          <w:spacing w:val="-2"/>
        </w:rPr>
        <w:t xml:space="preserve"> </w:t>
      </w:r>
      <w:r>
        <w:t>en</w:t>
      </w:r>
      <w:r>
        <w:rPr>
          <w:spacing w:val="-1"/>
        </w:rPr>
        <w:t xml:space="preserve"> </w:t>
      </w:r>
      <w:r>
        <w:t>Medellín</w:t>
      </w:r>
      <w:r>
        <w:rPr>
          <w:spacing w:val="-2"/>
        </w:rPr>
        <w:t xml:space="preserve"> </w:t>
      </w:r>
      <w:r>
        <w:t>y</w:t>
      </w:r>
      <w:r>
        <w:rPr>
          <w:spacing w:val="-1"/>
        </w:rPr>
        <w:t xml:space="preserve"> </w:t>
      </w:r>
      <w:r>
        <w:t>Cali,</w:t>
      </w:r>
      <w:r>
        <w:rPr>
          <w:spacing w:val="-2"/>
        </w:rPr>
        <w:t xml:space="preserve"> </w:t>
      </w:r>
      <w:r>
        <w:t>que</w:t>
      </w:r>
      <w:r>
        <w:rPr>
          <w:spacing w:val="-2"/>
        </w:rPr>
        <w:t xml:space="preserve"> </w:t>
      </w:r>
      <w:r>
        <w:t>iniciaron</w:t>
      </w:r>
      <w:r>
        <w:rPr>
          <w:spacing w:val="-1"/>
        </w:rPr>
        <w:t xml:space="preserve"> </w:t>
      </w:r>
      <w:r>
        <w:t>un</w:t>
      </w:r>
      <w:r>
        <w:rPr>
          <w:spacing w:val="-4"/>
        </w:rPr>
        <w:t xml:space="preserve"> </w:t>
      </w:r>
      <w:r>
        <w:t>proceso</w:t>
      </w:r>
      <w:r>
        <w:rPr>
          <w:spacing w:val="-2"/>
        </w:rPr>
        <w:t xml:space="preserve"> </w:t>
      </w:r>
      <w:r>
        <w:t>creciente</w:t>
      </w:r>
      <w:r>
        <w:rPr>
          <w:spacing w:val="-2"/>
        </w:rPr>
        <w:t xml:space="preserve"> </w:t>
      </w:r>
      <w:r>
        <w:t>de</w:t>
      </w:r>
      <w:r>
        <w:rPr>
          <w:spacing w:val="-1"/>
        </w:rPr>
        <w:t xml:space="preserve"> </w:t>
      </w:r>
      <w:r>
        <w:t>compra</w:t>
      </w:r>
      <w:r>
        <w:rPr>
          <w:spacing w:val="-1"/>
        </w:rPr>
        <w:t xml:space="preserve"> </w:t>
      </w:r>
      <w:r>
        <w:t>de</w:t>
      </w:r>
      <w:r>
        <w:rPr>
          <w:spacing w:val="-2"/>
        </w:rPr>
        <w:t xml:space="preserve"> </w:t>
      </w:r>
      <w:r>
        <w:t>tierras</w:t>
      </w:r>
      <w:r w:rsidR="00913F15">
        <w:rPr>
          <w:rStyle w:val="Refdenotaalpie"/>
        </w:rPr>
        <w:footnoteReference w:id="1022"/>
      </w:r>
      <w:r>
        <w:t xml:space="preserve"> y reconfiguración de la estructura de la propiedad, con intenciones del procesamiento del producto y de control de las salidas y puertos</w:t>
      </w:r>
      <w:r w:rsidR="00913F15">
        <w:rPr>
          <w:rStyle w:val="Refdenotaalpie"/>
        </w:rPr>
        <w:footnoteReference w:id="1023"/>
      </w:r>
      <w:r>
        <w:t>.</w:t>
      </w:r>
    </w:p>
    <w:p w:rsidR="003804AC" w:rsidRDefault="00AF18A5" w:rsidP="00913F15">
      <w:r>
        <w:t>Esta</w:t>
      </w:r>
      <w:r>
        <w:rPr>
          <w:spacing w:val="-8"/>
        </w:rPr>
        <w:t xml:space="preserve"> </w:t>
      </w:r>
      <w:r>
        <w:t>articulación</w:t>
      </w:r>
      <w:r>
        <w:rPr>
          <w:spacing w:val="-8"/>
        </w:rPr>
        <w:t xml:space="preserve"> </w:t>
      </w:r>
      <w:r>
        <w:t>del</w:t>
      </w:r>
      <w:r>
        <w:rPr>
          <w:spacing w:val="-8"/>
        </w:rPr>
        <w:t xml:space="preserve"> </w:t>
      </w:r>
      <w:r>
        <w:t>país</w:t>
      </w:r>
      <w:r>
        <w:rPr>
          <w:spacing w:val="-9"/>
        </w:rPr>
        <w:t xml:space="preserve"> </w:t>
      </w:r>
      <w:r>
        <w:t>a</w:t>
      </w:r>
      <w:r>
        <w:rPr>
          <w:spacing w:val="-8"/>
        </w:rPr>
        <w:t xml:space="preserve"> </w:t>
      </w:r>
      <w:r>
        <w:t>la</w:t>
      </w:r>
      <w:r>
        <w:rPr>
          <w:spacing w:val="-8"/>
        </w:rPr>
        <w:t xml:space="preserve"> </w:t>
      </w:r>
      <w:r>
        <w:t>economía</w:t>
      </w:r>
      <w:r>
        <w:rPr>
          <w:spacing w:val="-8"/>
        </w:rPr>
        <w:t xml:space="preserve"> </w:t>
      </w:r>
      <w:r>
        <w:t>global</w:t>
      </w:r>
      <w:r>
        <w:rPr>
          <w:spacing w:val="-8"/>
        </w:rPr>
        <w:t xml:space="preserve"> </w:t>
      </w:r>
      <w:r>
        <w:t>del</w:t>
      </w:r>
      <w:r>
        <w:rPr>
          <w:spacing w:val="-9"/>
        </w:rPr>
        <w:t xml:space="preserve"> </w:t>
      </w:r>
      <w:r>
        <w:t>narcotráfico</w:t>
      </w:r>
      <w:r>
        <w:rPr>
          <w:spacing w:val="-9"/>
        </w:rPr>
        <w:t xml:space="preserve"> </w:t>
      </w:r>
      <w:r>
        <w:t>acercó</w:t>
      </w:r>
      <w:r>
        <w:rPr>
          <w:spacing w:val="-9"/>
        </w:rPr>
        <w:t xml:space="preserve"> </w:t>
      </w:r>
      <w:r>
        <w:t>la</w:t>
      </w:r>
      <w:r>
        <w:rPr>
          <w:spacing w:val="-8"/>
        </w:rPr>
        <w:t xml:space="preserve"> </w:t>
      </w:r>
      <w:r>
        <w:t>institucionalidad democrática a la criminalidad organizada, y transformó la estructura productiva y las modalidades</w:t>
      </w:r>
      <w:r>
        <w:rPr>
          <w:spacing w:val="-2"/>
        </w:rPr>
        <w:t xml:space="preserve"> </w:t>
      </w:r>
      <w:r>
        <w:t>de</w:t>
      </w:r>
      <w:r>
        <w:rPr>
          <w:spacing w:val="-1"/>
        </w:rPr>
        <w:t xml:space="preserve"> </w:t>
      </w:r>
      <w:r>
        <w:t>ocupación</w:t>
      </w:r>
      <w:r>
        <w:rPr>
          <w:spacing w:val="-1"/>
        </w:rPr>
        <w:t xml:space="preserve"> </w:t>
      </w:r>
      <w:r>
        <w:t>del</w:t>
      </w:r>
      <w:r>
        <w:rPr>
          <w:spacing w:val="-1"/>
        </w:rPr>
        <w:t xml:space="preserve"> </w:t>
      </w:r>
      <w:r>
        <w:t>territorio</w:t>
      </w:r>
      <w:r>
        <w:rPr>
          <w:spacing w:val="-1"/>
        </w:rPr>
        <w:t xml:space="preserve"> </w:t>
      </w:r>
      <w:r>
        <w:t>por</w:t>
      </w:r>
      <w:r>
        <w:rPr>
          <w:spacing w:val="-1"/>
        </w:rPr>
        <w:t xml:space="preserve"> </w:t>
      </w:r>
      <w:r>
        <w:t>parte</w:t>
      </w:r>
      <w:r>
        <w:rPr>
          <w:spacing w:val="-1"/>
        </w:rPr>
        <w:t xml:space="preserve"> </w:t>
      </w:r>
      <w:r>
        <w:t>de</w:t>
      </w:r>
      <w:r>
        <w:rPr>
          <w:spacing w:val="-1"/>
        </w:rPr>
        <w:t xml:space="preserve"> </w:t>
      </w:r>
      <w:r>
        <w:t>la</w:t>
      </w:r>
      <w:r>
        <w:rPr>
          <w:spacing w:val="-1"/>
        </w:rPr>
        <w:t xml:space="preserve"> </w:t>
      </w:r>
      <w:r>
        <w:t>sociedad</w:t>
      </w:r>
      <w:r>
        <w:rPr>
          <w:spacing w:val="-1"/>
        </w:rPr>
        <w:t xml:space="preserve"> </w:t>
      </w:r>
      <w:r>
        <w:t>y</w:t>
      </w:r>
      <w:r>
        <w:rPr>
          <w:spacing w:val="-1"/>
        </w:rPr>
        <w:t xml:space="preserve"> </w:t>
      </w:r>
      <w:r>
        <w:t>el</w:t>
      </w:r>
      <w:r>
        <w:rPr>
          <w:spacing w:val="-1"/>
        </w:rPr>
        <w:t xml:space="preserve"> </w:t>
      </w:r>
      <w:r>
        <w:t>Estado.</w:t>
      </w:r>
      <w:r>
        <w:rPr>
          <w:spacing w:val="-1"/>
        </w:rPr>
        <w:t xml:space="preserve"> </w:t>
      </w:r>
      <w:r>
        <w:t>El</w:t>
      </w:r>
      <w:r>
        <w:rPr>
          <w:spacing w:val="-1"/>
        </w:rPr>
        <w:t xml:space="preserve"> </w:t>
      </w:r>
      <w:r>
        <w:t>surgimiento de nuevas élites económicas interesadas en la política penetró los partidos, particularmente el Liberal, para los que el narcotráfico se convirtió en fuente de nuevos recursos (dinero, asesinos a sueldo y prestigio) para mantener ventajas electorales. El modelo dominante de partidos</w:t>
      </w:r>
      <w:r>
        <w:rPr>
          <w:spacing w:val="-15"/>
        </w:rPr>
        <w:t xml:space="preserve"> </w:t>
      </w:r>
      <w:r>
        <w:t>generado</w:t>
      </w:r>
      <w:r>
        <w:rPr>
          <w:spacing w:val="-15"/>
        </w:rPr>
        <w:t xml:space="preserve"> </w:t>
      </w:r>
      <w:r>
        <w:t>durante</w:t>
      </w:r>
      <w:r>
        <w:rPr>
          <w:spacing w:val="-15"/>
        </w:rPr>
        <w:t xml:space="preserve"> </w:t>
      </w:r>
      <w:r>
        <w:t>el</w:t>
      </w:r>
      <w:r>
        <w:rPr>
          <w:spacing w:val="-15"/>
        </w:rPr>
        <w:t xml:space="preserve"> </w:t>
      </w:r>
      <w:r>
        <w:t>Frente</w:t>
      </w:r>
      <w:r>
        <w:rPr>
          <w:spacing w:val="-15"/>
        </w:rPr>
        <w:t xml:space="preserve"> </w:t>
      </w:r>
      <w:r>
        <w:t>Nacional</w:t>
      </w:r>
      <w:r>
        <w:rPr>
          <w:spacing w:val="-15"/>
        </w:rPr>
        <w:t xml:space="preserve"> </w:t>
      </w:r>
      <w:r>
        <w:t>constituyó</w:t>
      </w:r>
      <w:r>
        <w:rPr>
          <w:spacing w:val="-15"/>
        </w:rPr>
        <w:t xml:space="preserve"> </w:t>
      </w:r>
      <w:r>
        <w:t>el</w:t>
      </w:r>
      <w:r>
        <w:rPr>
          <w:spacing w:val="-15"/>
        </w:rPr>
        <w:t xml:space="preserve"> </w:t>
      </w:r>
      <w:r>
        <w:t>escenario</w:t>
      </w:r>
      <w:r>
        <w:rPr>
          <w:spacing w:val="-15"/>
        </w:rPr>
        <w:t xml:space="preserve"> </w:t>
      </w:r>
      <w:r>
        <w:t>ideal</w:t>
      </w:r>
      <w:r>
        <w:rPr>
          <w:spacing w:val="-15"/>
        </w:rPr>
        <w:t xml:space="preserve"> </w:t>
      </w:r>
      <w:r>
        <w:t>para</w:t>
      </w:r>
      <w:r>
        <w:rPr>
          <w:spacing w:val="-15"/>
        </w:rPr>
        <w:t xml:space="preserve"> </w:t>
      </w:r>
      <w:r>
        <w:t>la</w:t>
      </w:r>
      <w:r>
        <w:rPr>
          <w:spacing w:val="-15"/>
        </w:rPr>
        <w:t xml:space="preserve"> </w:t>
      </w:r>
      <w:r>
        <w:t>penetración de la criminalidad organizada en la política. Entre otras razones, los liberales fueron el principal blanco de infiltración porque eran quienes mejor dominaban las técnicas de la maquinaria local informal, y garantizaban un ascenso más rápido por esta vía en la política</w:t>
      </w:r>
      <w:r w:rsidR="00913F15">
        <w:rPr>
          <w:rStyle w:val="Refdenotaalpie"/>
        </w:rPr>
        <w:footnoteReference w:id="1024"/>
      </w:r>
      <w:r>
        <w:t>. Varios de los barones regionales liberales en regiones como el Caribe, el Magdalena Medio y Antioquia, por ejemplo, resultaron ligados al narcotráfico, con quienes establecieron coaliciones regionales antisubversivas, con las que participaban, de manera indirecta, en el conflicto armado.</w:t>
      </w:r>
    </w:p>
    <w:p w:rsidR="003804AC" w:rsidRPr="00913F15" w:rsidRDefault="00AF18A5" w:rsidP="00913F15">
      <w:r>
        <w:lastRenderedPageBreak/>
        <w:t>Adicionalmente, se profundizó el dualismo territorial: mientras los territorios cercanos a los</w:t>
      </w:r>
      <w:r>
        <w:rPr>
          <w:spacing w:val="17"/>
        </w:rPr>
        <w:t xml:space="preserve"> </w:t>
      </w:r>
      <w:r>
        <w:t>centros</w:t>
      </w:r>
      <w:r>
        <w:rPr>
          <w:spacing w:val="17"/>
        </w:rPr>
        <w:t xml:space="preserve"> </w:t>
      </w:r>
      <w:r>
        <w:t>de</w:t>
      </w:r>
      <w:r>
        <w:rPr>
          <w:spacing w:val="19"/>
        </w:rPr>
        <w:t xml:space="preserve"> </w:t>
      </w:r>
      <w:r>
        <w:t>poder</w:t>
      </w:r>
      <w:r>
        <w:rPr>
          <w:spacing w:val="20"/>
        </w:rPr>
        <w:t xml:space="preserve"> </w:t>
      </w:r>
      <w:r>
        <w:t>–en</w:t>
      </w:r>
      <w:r>
        <w:rPr>
          <w:spacing w:val="19"/>
        </w:rPr>
        <w:t xml:space="preserve"> </w:t>
      </w:r>
      <w:r>
        <w:t>particular</w:t>
      </w:r>
      <w:r>
        <w:rPr>
          <w:spacing w:val="18"/>
        </w:rPr>
        <w:t xml:space="preserve"> </w:t>
      </w:r>
      <w:r>
        <w:t>en</w:t>
      </w:r>
      <w:r>
        <w:rPr>
          <w:spacing w:val="20"/>
        </w:rPr>
        <w:t xml:space="preserve"> </w:t>
      </w:r>
      <w:r>
        <w:t>el</w:t>
      </w:r>
      <w:r>
        <w:rPr>
          <w:spacing w:val="18"/>
        </w:rPr>
        <w:t xml:space="preserve"> </w:t>
      </w:r>
      <w:r>
        <w:t>mundo</w:t>
      </w:r>
      <w:r>
        <w:rPr>
          <w:spacing w:val="18"/>
        </w:rPr>
        <w:t xml:space="preserve"> </w:t>
      </w:r>
      <w:r>
        <w:t>andino–</w:t>
      </w:r>
      <w:r>
        <w:rPr>
          <w:spacing w:val="19"/>
        </w:rPr>
        <w:t xml:space="preserve"> </w:t>
      </w:r>
      <w:r>
        <w:t>y</w:t>
      </w:r>
      <w:r>
        <w:rPr>
          <w:spacing w:val="18"/>
        </w:rPr>
        <w:t xml:space="preserve"> </w:t>
      </w:r>
      <w:r>
        <w:t>con</w:t>
      </w:r>
      <w:r>
        <w:rPr>
          <w:spacing w:val="19"/>
        </w:rPr>
        <w:t xml:space="preserve"> </w:t>
      </w:r>
      <w:r>
        <w:t>alta</w:t>
      </w:r>
      <w:r>
        <w:rPr>
          <w:spacing w:val="19"/>
        </w:rPr>
        <w:t xml:space="preserve"> </w:t>
      </w:r>
      <w:r>
        <w:t>densidad</w:t>
      </w:r>
      <w:r>
        <w:rPr>
          <w:spacing w:val="20"/>
        </w:rPr>
        <w:t xml:space="preserve"> </w:t>
      </w:r>
      <w:r>
        <w:rPr>
          <w:spacing w:val="-2"/>
        </w:rPr>
        <w:t>demográfica</w:t>
      </w:r>
      <w:bookmarkStart w:id="1267" w:name="_bookmark1122"/>
      <w:bookmarkStart w:id="1268" w:name="_bookmark1123"/>
      <w:bookmarkStart w:id="1269" w:name="_bookmark1124"/>
      <w:bookmarkEnd w:id="1267"/>
      <w:bookmarkEnd w:id="1268"/>
      <w:bookmarkEnd w:id="1269"/>
      <w:r w:rsidR="00913F15">
        <w:rPr>
          <w:spacing w:val="-2"/>
        </w:rPr>
        <w:t xml:space="preserve"> </w:t>
      </w:r>
      <w:r>
        <w:t>tenían acceso –al menos parcial– a servicios del Estado, la periferia se siguió poblando, y aunque</w:t>
      </w:r>
      <w:r>
        <w:rPr>
          <w:spacing w:val="-7"/>
        </w:rPr>
        <w:t xml:space="preserve"> </w:t>
      </w:r>
      <w:r>
        <w:t>ganó</w:t>
      </w:r>
      <w:r>
        <w:rPr>
          <w:spacing w:val="-8"/>
        </w:rPr>
        <w:t xml:space="preserve"> </w:t>
      </w:r>
      <w:r>
        <w:t>relevancia</w:t>
      </w:r>
      <w:r>
        <w:rPr>
          <w:spacing w:val="-7"/>
        </w:rPr>
        <w:t xml:space="preserve"> </w:t>
      </w:r>
      <w:r>
        <w:t>económica,</w:t>
      </w:r>
      <w:r>
        <w:rPr>
          <w:spacing w:val="-7"/>
        </w:rPr>
        <w:t xml:space="preserve"> </w:t>
      </w:r>
      <w:r>
        <w:t>primero</w:t>
      </w:r>
      <w:r>
        <w:rPr>
          <w:spacing w:val="-7"/>
        </w:rPr>
        <w:t xml:space="preserve"> </w:t>
      </w:r>
      <w:r>
        <w:t>por</w:t>
      </w:r>
      <w:r>
        <w:rPr>
          <w:spacing w:val="-7"/>
        </w:rPr>
        <w:t xml:space="preserve"> </w:t>
      </w:r>
      <w:r>
        <w:t>los</w:t>
      </w:r>
      <w:r>
        <w:rPr>
          <w:spacing w:val="-7"/>
        </w:rPr>
        <w:t xml:space="preserve"> </w:t>
      </w:r>
      <w:r>
        <w:t>cultivos</w:t>
      </w:r>
      <w:r>
        <w:rPr>
          <w:spacing w:val="-8"/>
        </w:rPr>
        <w:t xml:space="preserve"> </w:t>
      </w:r>
      <w:r>
        <w:t>de</w:t>
      </w:r>
      <w:r>
        <w:rPr>
          <w:spacing w:val="-7"/>
        </w:rPr>
        <w:t xml:space="preserve"> </w:t>
      </w:r>
      <w:r>
        <w:t>coca</w:t>
      </w:r>
      <w:r>
        <w:rPr>
          <w:spacing w:val="-8"/>
        </w:rPr>
        <w:t xml:space="preserve"> </w:t>
      </w:r>
      <w:r>
        <w:t>y</w:t>
      </w:r>
      <w:r>
        <w:rPr>
          <w:spacing w:val="-7"/>
        </w:rPr>
        <w:t xml:space="preserve"> </w:t>
      </w:r>
      <w:r>
        <w:t>posteriormente</w:t>
      </w:r>
      <w:r>
        <w:rPr>
          <w:spacing w:val="-9"/>
        </w:rPr>
        <w:t xml:space="preserve"> </w:t>
      </w:r>
      <w:r>
        <w:t>con</w:t>
      </w:r>
      <w:r>
        <w:rPr>
          <w:spacing w:val="-7"/>
        </w:rPr>
        <w:t xml:space="preserve"> </w:t>
      </w:r>
      <w:r>
        <w:t xml:space="preserve">el auge minero, siguió sin tener acceso a esos bienes y servicios básicos del Estado. La expansión de la frontera agrícola por el crecimiento de los cultivos de coca profundizó las brechas del </w:t>
      </w:r>
      <w:r>
        <w:rPr>
          <w:i/>
        </w:rPr>
        <w:t xml:space="preserve">derecho al Estado </w:t>
      </w:r>
      <w:r>
        <w:t>entre los territorios</w:t>
      </w:r>
      <w:r w:rsidR="00ED02CC">
        <w:rPr>
          <w:rStyle w:val="Refdenotaalpie"/>
        </w:rPr>
        <w:footnoteReference w:id="1025"/>
      </w:r>
      <w:r>
        <w:t>. En este contexto, los pobladores de estos</w:t>
      </w:r>
      <w:r>
        <w:rPr>
          <w:spacing w:val="-5"/>
        </w:rPr>
        <w:t xml:space="preserve"> </w:t>
      </w:r>
      <w:r>
        <w:t>territorios</w:t>
      </w:r>
      <w:r>
        <w:rPr>
          <w:spacing w:val="-5"/>
        </w:rPr>
        <w:t xml:space="preserve"> </w:t>
      </w:r>
      <w:r>
        <w:t>entraron</w:t>
      </w:r>
      <w:r>
        <w:rPr>
          <w:spacing w:val="-6"/>
        </w:rPr>
        <w:t xml:space="preserve"> </w:t>
      </w:r>
      <w:r>
        <w:t>sin</w:t>
      </w:r>
      <w:r>
        <w:rPr>
          <w:spacing w:val="-5"/>
        </w:rPr>
        <w:t xml:space="preserve"> </w:t>
      </w:r>
      <w:r>
        <w:t>mayor</w:t>
      </w:r>
      <w:r>
        <w:rPr>
          <w:spacing w:val="-4"/>
        </w:rPr>
        <w:t xml:space="preserve"> </w:t>
      </w:r>
      <w:r>
        <w:t>posibilidad</w:t>
      </w:r>
      <w:r>
        <w:rPr>
          <w:spacing w:val="-5"/>
        </w:rPr>
        <w:t xml:space="preserve"> </w:t>
      </w:r>
      <w:r>
        <w:t>de</w:t>
      </w:r>
      <w:r>
        <w:rPr>
          <w:spacing w:val="-5"/>
        </w:rPr>
        <w:t xml:space="preserve"> </w:t>
      </w:r>
      <w:r>
        <w:t>resistencia</w:t>
      </w:r>
      <w:r>
        <w:rPr>
          <w:spacing w:val="-6"/>
        </w:rPr>
        <w:t xml:space="preserve"> </w:t>
      </w:r>
      <w:r>
        <w:t>a</w:t>
      </w:r>
      <w:r>
        <w:rPr>
          <w:spacing w:val="-5"/>
        </w:rPr>
        <w:t xml:space="preserve"> </w:t>
      </w:r>
      <w:r>
        <w:t>las</w:t>
      </w:r>
      <w:r>
        <w:rPr>
          <w:spacing w:val="-5"/>
        </w:rPr>
        <w:t xml:space="preserve"> </w:t>
      </w:r>
      <w:r>
        <w:t>lógicas</w:t>
      </w:r>
      <w:r>
        <w:rPr>
          <w:spacing w:val="-6"/>
        </w:rPr>
        <w:t xml:space="preserve"> </w:t>
      </w:r>
      <w:r>
        <w:t>de</w:t>
      </w:r>
      <w:r>
        <w:rPr>
          <w:spacing w:val="-5"/>
        </w:rPr>
        <w:t xml:space="preserve"> </w:t>
      </w:r>
      <w:r>
        <w:t>gobernabilidad de</w:t>
      </w:r>
      <w:r>
        <w:rPr>
          <w:spacing w:val="-13"/>
        </w:rPr>
        <w:t xml:space="preserve"> </w:t>
      </w:r>
      <w:r>
        <w:t>los</w:t>
      </w:r>
      <w:r>
        <w:rPr>
          <w:spacing w:val="-13"/>
        </w:rPr>
        <w:t xml:space="preserve"> </w:t>
      </w:r>
      <w:r>
        <w:t>actores</w:t>
      </w:r>
      <w:r>
        <w:rPr>
          <w:spacing w:val="-13"/>
        </w:rPr>
        <w:t xml:space="preserve"> </w:t>
      </w:r>
      <w:r>
        <w:t>armados,</w:t>
      </w:r>
      <w:r>
        <w:rPr>
          <w:spacing w:val="-13"/>
        </w:rPr>
        <w:t xml:space="preserve"> </w:t>
      </w:r>
      <w:r>
        <w:t>o</w:t>
      </w:r>
      <w:r>
        <w:rPr>
          <w:spacing w:val="-15"/>
        </w:rPr>
        <w:t xml:space="preserve"> </w:t>
      </w:r>
      <w:r>
        <w:t>de</w:t>
      </w:r>
      <w:r>
        <w:rPr>
          <w:spacing w:val="-13"/>
        </w:rPr>
        <w:t xml:space="preserve"> </w:t>
      </w:r>
      <w:r>
        <w:t>la</w:t>
      </w:r>
      <w:r>
        <w:rPr>
          <w:spacing w:val="-13"/>
        </w:rPr>
        <w:t xml:space="preserve"> </w:t>
      </w:r>
      <w:r>
        <w:t>clase</w:t>
      </w:r>
      <w:r>
        <w:rPr>
          <w:spacing w:val="-13"/>
        </w:rPr>
        <w:t xml:space="preserve"> </w:t>
      </w:r>
      <w:r>
        <w:t>política</w:t>
      </w:r>
      <w:r>
        <w:rPr>
          <w:spacing w:val="-13"/>
        </w:rPr>
        <w:t xml:space="preserve"> </w:t>
      </w:r>
      <w:r>
        <w:t>que</w:t>
      </w:r>
      <w:r>
        <w:rPr>
          <w:spacing w:val="-13"/>
        </w:rPr>
        <w:t xml:space="preserve"> </w:t>
      </w:r>
      <w:r>
        <w:t>actuaban</w:t>
      </w:r>
      <w:r>
        <w:rPr>
          <w:spacing w:val="-13"/>
        </w:rPr>
        <w:t xml:space="preserve"> </w:t>
      </w:r>
      <w:r>
        <w:t>sin</w:t>
      </w:r>
      <w:r>
        <w:rPr>
          <w:spacing w:val="-13"/>
        </w:rPr>
        <w:t xml:space="preserve"> </w:t>
      </w:r>
      <w:r>
        <w:t>depender</w:t>
      </w:r>
      <w:r>
        <w:rPr>
          <w:spacing w:val="-13"/>
        </w:rPr>
        <w:t xml:space="preserve"> </w:t>
      </w:r>
      <w:r>
        <w:t>de</w:t>
      </w:r>
      <w:r>
        <w:rPr>
          <w:spacing w:val="-14"/>
        </w:rPr>
        <w:t xml:space="preserve"> </w:t>
      </w:r>
      <w:r>
        <w:t>control</w:t>
      </w:r>
      <w:r>
        <w:rPr>
          <w:spacing w:val="-13"/>
        </w:rPr>
        <w:t xml:space="preserve"> </w:t>
      </w:r>
      <w:r>
        <w:t>regulatorio alguno. En estos mismos territorios se creó un «campesinado ilícito»</w:t>
      </w:r>
      <w:r w:rsidR="00ED02CC">
        <w:rPr>
          <w:rStyle w:val="Refdenotaalpie"/>
        </w:rPr>
        <w:footnoteReference w:id="1026"/>
      </w:r>
      <w:r>
        <w:t xml:space="preserve"> que por definición quedaba excluido de la interlocución con el Estado para el trámite de sus demandas. La ilegalización y estigmatización de estos sectores poblacionales y de territorios enteros profundizaron el bloqueo de la comunicación y provisión de bienes públicos y la subrepresentación que –desde el pacto de </w:t>
      </w:r>
      <w:proofErr w:type="spellStart"/>
      <w:r>
        <w:t>Chicoral</w:t>
      </w:r>
      <w:proofErr w:type="spellEnd"/>
      <w:r>
        <w:t>– enfrentaron los campesinos, por la combinación sistemática de violencia y exclusión</w:t>
      </w:r>
      <w:r w:rsidR="00ED02CC">
        <w:rPr>
          <w:rStyle w:val="Refdenotaalpie"/>
        </w:rPr>
        <w:footnoteReference w:id="1027"/>
      </w:r>
      <w:r>
        <w:t>.</w:t>
      </w:r>
    </w:p>
    <w:p w:rsidR="003804AC" w:rsidRDefault="00AF18A5" w:rsidP="00ED02CC">
      <w:r>
        <w:t xml:space="preserve">En regiones como la Amazonía, el impacto sobre las poblaciones étnicas de la irrupción de este tipo de economía implicó profundas transformaciones en su forma de concebir y construir el territorio. La cadena de conflictividades que se estableció transformó el uso del territorio. De una agricultura basada en la subsistencia y una caza </w:t>
      </w:r>
      <w:r>
        <w:lastRenderedPageBreak/>
        <w:t>controlada se pasó al monocultivo de la coca con fines de narcotráfico, deteriorando los suelos y afectando la subsistencia de las personas que, en adelante, se vieron obligadas a usar los productos de consumo diario importados. Asimismo, hubo una tergiversación del sentido espiritual y simbólico</w:t>
      </w:r>
      <w:r>
        <w:rPr>
          <w:spacing w:val="-7"/>
        </w:rPr>
        <w:t xml:space="preserve"> </w:t>
      </w:r>
      <w:r>
        <w:t>de</w:t>
      </w:r>
      <w:r>
        <w:rPr>
          <w:spacing w:val="-7"/>
        </w:rPr>
        <w:t xml:space="preserve"> </w:t>
      </w:r>
      <w:r>
        <w:t>la</w:t>
      </w:r>
      <w:r>
        <w:rPr>
          <w:spacing w:val="-7"/>
        </w:rPr>
        <w:t xml:space="preserve"> </w:t>
      </w:r>
      <w:r>
        <w:t>coca</w:t>
      </w:r>
      <w:r>
        <w:rPr>
          <w:spacing w:val="-7"/>
        </w:rPr>
        <w:t xml:space="preserve"> </w:t>
      </w:r>
      <w:r>
        <w:t>utilizada</w:t>
      </w:r>
      <w:r>
        <w:rPr>
          <w:spacing w:val="-7"/>
        </w:rPr>
        <w:t xml:space="preserve"> </w:t>
      </w:r>
      <w:r>
        <w:t>por</w:t>
      </w:r>
      <w:r>
        <w:rPr>
          <w:spacing w:val="-7"/>
        </w:rPr>
        <w:t xml:space="preserve"> </w:t>
      </w:r>
      <w:r>
        <w:t>los</w:t>
      </w:r>
      <w:r>
        <w:rPr>
          <w:spacing w:val="-8"/>
        </w:rPr>
        <w:t xml:space="preserve"> </w:t>
      </w:r>
      <w:r>
        <w:t>pueblos</w:t>
      </w:r>
      <w:r>
        <w:rPr>
          <w:spacing w:val="-7"/>
        </w:rPr>
        <w:t xml:space="preserve"> </w:t>
      </w:r>
      <w:r>
        <w:t>indígenas,</w:t>
      </w:r>
      <w:r>
        <w:rPr>
          <w:spacing w:val="-8"/>
        </w:rPr>
        <w:t xml:space="preserve"> </w:t>
      </w:r>
      <w:r>
        <w:t>lo</w:t>
      </w:r>
      <w:r>
        <w:rPr>
          <w:spacing w:val="-7"/>
        </w:rPr>
        <w:t xml:space="preserve"> </w:t>
      </w:r>
      <w:r>
        <w:t>que</w:t>
      </w:r>
      <w:r>
        <w:rPr>
          <w:spacing w:val="-7"/>
        </w:rPr>
        <w:t xml:space="preserve"> </w:t>
      </w:r>
      <w:r>
        <w:t>ocasionó</w:t>
      </w:r>
      <w:r>
        <w:rPr>
          <w:spacing w:val="-7"/>
        </w:rPr>
        <w:t xml:space="preserve"> </w:t>
      </w:r>
      <w:r>
        <w:t>su</w:t>
      </w:r>
      <w:r>
        <w:rPr>
          <w:spacing w:val="-7"/>
        </w:rPr>
        <w:t xml:space="preserve"> </w:t>
      </w:r>
      <w:r>
        <w:t xml:space="preserve">estigmatización. Esto, sumado a otras violencias asociadas al conflicto armado y a su relación con el </w:t>
      </w:r>
      <w:proofErr w:type="spellStart"/>
      <w:r>
        <w:t>extractivismo</w:t>
      </w:r>
      <w:proofErr w:type="spellEnd"/>
      <w:r>
        <w:rPr>
          <w:spacing w:val="9"/>
        </w:rPr>
        <w:t xml:space="preserve"> </w:t>
      </w:r>
      <w:r>
        <w:t>en</w:t>
      </w:r>
      <w:r>
        <w:rPr>
          <w:spacing w:val="10"/>
        </w:rPr>
        <w:t xml:space="preserve"> </w:t>
      </w:r>
      <w:r>
        <w:t>la</w:t>
      </w:r>
      <w:r>
        <w:rPr>
          <w:spacing w:val="10"/>
        </w:rPr>
        <w:t xml:space="preserve"> </w:t>
      </w:r>
      <w:r>
        <w:t>Amazonía,</w:t>
      </w:r>
      <w:r>
        <w:rPr>
          <w:spacing w:val="11"/>
        </w:rPr>
        <w:t xml:space="preserve"> </w:t>
      </w:r>
      <w:r>
        <w:t>ha</w:t>
      </w:r>
      <w:r>
        <w:rPr>
          <w:spacing w:val="10"/>
        </w:rPr>
        <w:t xml:space="preserve"> </w:t>
      </w:r>
      <w:r>
        <w:t>implicado</w:t>
      </w:r>
      <w:r>
        <w:rPr>
          <w:spacing w:val="10"/>
        </w:rPr>
        <w:t xml:space="preserve"> </w:t>
      </w:r>
      <w:r>
        <w:t>que</w:t>
      </w:r>
      <w:r>
        <w:rPr>
          <w:spacing w:val="10"/>
        </w:rPr>
        <w:t xml:space="preserve"> </w:t>
      </w:r>
      <w:r>
        <w:t>los</w:t>
      </w:r>
      <w:r>
        <w:rPr>
          <w:spacing w:val="11"/>
        </w:rPr>
        <w:t xml:space="preserve"> </w:t>
      </w:r>
      <w:r>
        <w:t>pueblos</w:t>
      </w:r>
      <w:r>
        <w:rPr>
          <w:spacing w:val="10"/>
        </w:rPr>
        <w:t xml:space="preserve"> </w:t>
      </w:r>
      <w:r>
        <w:t>indígenas</w:t>
      </w:r>
      <w:r>
        <w:rPr>
          <w:spacing w:val="11"/>
        </w:rPr>
        <w:t xml:space="preserve"> </w:t>
      </w:r>
      <w:r>
        <w:t>en</w:t>
      </w:r>
      <w:r>
        <w:rPr>
          <w:spacing w:val="9"/>
        </w:rPr>
        <w:t xml:space="preserve"> </w:t>
      </w:r>
      <w:r>
        <w:t>particular</w:t>
      </w:r>
      <w:r>
        <w:rPr>
          <w:spacing w:val="11"/>
        </w:rPr>
        <w:t xml:space="preserve"> </w:t>
      </w:r>
      <w:r>
        <w:rPr>
          <w:spacing w:val="-2"/>
        </w:rPr>
        <w:t>vieran</w:t>
      </w:r>
      <w:bookmarkStart w:id="1270" w:name="_bookmark1125"/>
      <w:bookmarkStart w:id="1271" w:name="_bookmark1126"/>
      <w:bookmarkStart w:id="1272" w:name="_bookmark1127"/>
      <w:bookmarkEnd w:id="1270"/>
      <w:bookmarkEnd w:id="1271"/>
      <w:bookmarkEnd w:id="1272"/>
      <w:r w:rsidR="00ED02CC">
        <w:t xml:space="preserve"> </w:t>
      </w:r>
      <w:r>
        <w:t>afectada su pervivencia física y cultural, al punto de que la Corte Constitucional decretó el riesgo de exterminio físico y cultural de 14 pueblos indígenas que habitan la Amazonía.</w:t>
      </w:r>
    </w:p>
    <w:p w:rsidR="003804AC" w:rsidRDefault="00AF18A5" w:rsidP="00ED02CC">
      <w:r>
        <w:t>El fortalecimiento de las mafias enriquecidas con el narcotráfico y la corrupción despojó a</w:t>
      </w:r>
      <w:r>
        <w:rPr>
          <w:spacing w:val="-4"/>
        </w:rPr>
        <w:t xml:space="preserve"> </w:t>
      </w:r>
      <w:r>
        <w:t>pequeños</w:t>
      </w:r>
      <w:r>
        <w:rPr>
          <w:spacing w:val="-7"/>
        </w:rPr>
        <w:t xml:space="preserve"> </w:t>
      </w:r>
      <w:r>
        <w:t>y</w:t>
      </w:r>
      <w:r>
        <w:rPr>
          <w:spacing w:val="-5"/>
        </w:rPr>
        <w:t xml:space="preserve"> </w:t>
      </w:r>
      <w:r>
        <w:t>medianos</w:t>
      </w:r>
      <w:r>
        <w:rPr>
          <w:spacing w:val="-7"/>
        </w:rPr>
        <w:t xml:space="preserve"> </w:t>
      </w:r>
      <w:r>
        <w:t>propietarios</w:t>
      </w:r>
      <w:r>
        <w:rPr>
          <w:spacing w:val="-6"/>
        </w:rPr>
        <w:t xml:space="preserve"> </w:t>
      </w:r>
      <w:r>
        <w:t>a</w:t>
      </w:r>
      <w:r>
        <w:rPr>
          <w:spacing w:val="-4"/>
        </w:rPr>
        <w:t xml:space="preserve"> </w:t>
      </w:r>
      <w:r>
        <w:t>través</w:t>
      </w:r>
      <w:r>
        <w:rPr>
          <w:spacing w:val="-6"/>
        </w:rPr>
        <w:t xml:space="preserve"> </w:t>
      </w:r>
      <w:r>
        <w:t>de</w:t>
      </w:r>
      <w:r>
        <w:rPr>
          <w:spacing w:val="-4"/>
        </w:rPr>
        <w:t xml:space="preserve"> </w:t>
      </w:r>
      <w:r>
        <w:t>organizaciones</w:t>
      </w:r>
      <w:r>
        <w:rPr>
          <w:spacing w:val="-4"/>
        </w:rPr>
        <w:t xml:space="preserve"> </w:t>
      </w:r>
      <w:r>
        <w:t>de</w:t>
      </w:r>
      <w:r>
        <w:rPr>
          <w:spacing w:val="-4"/>
        </w:rPr>
        <w:t xml:space="preserve"> </w:t>
      </w:r>
      <w:r>
        <w:t>violencia</w:t>
      </w:r>
      <w:r>
        <w:rPr>
          <w:spacing w:val="-4"/>
        </w:rPr>
        <w:t xml:space="preserve"> </w:t>
      </w:r>
      <w:r>
        <w:t>y</w:t>
      </w:r>
      <w:r>
        <w:rPr>
          <w:spacing w:val="-5"/>
        </w:rPr>
        <w:t xml:space="preserve"> </w:t>
      </w:r>
      <w:r>
        <w:t>en</w:t>
      </w:r>
      <w:r>
        <w:rPr>
          <w:spacing w:val="-6"/>
        </w:rPr>
        <w:t xml:space="preserve"> </w:t>
      </w:r>
      <w:r>
        <w:t>alianza</w:t>
      </w:r>
      <w:r>
        <w:rPr>
          <w:spacing w:val="-4"/>
        </w:rPr>
        <w:t xml:space="preserve"> </w:t>
      </w:r>
      <w:r>
        <w:t>con sectores de grandes propietarios de la tierra. Su articulación y alianzas con terratenientes estaban</w:t>
      </w:r>
      <w:r>
        <w:rPr>
          <w:spacing w:val="-1"/>
        </w:rPr>
        <w:t xml:space="preserve"> </w:t>
      </w:r>
      <w:r>
        <w:t>centradas</w:t>
      </w:r>
      <w:r>
        <w:rPr>
          <w:spacing w:val="-1"/>
        </w:rPr>
        <w:t xml:space="preserve"> </w:t>
      </w:r>
      <w:r>
        <w:t>en</w:t>
      </w:r>
      <w:r>
        <w:rPr>
          <w:spacing w:val="-1"/>
        </w:rPr>
        <w:t xml:space="preserve"> </w:t>
      </w:r>
      <w:r>
        <w:t>la defensa</w:t>
      </w:r>
      <w:r>
        <w:rPr>
          <w:spacing w:val="-1"/>
        </w:rPr>
        <w:t xml:space="preserve"> </w:t>
      </w:r>
      <w:r>
        <w:t>de</w:t>
      </w:r>
      <w:r>
        <w:rPr>
          <w:spacing w:val="-1"/>
        </w:rPr>
        <w:t xml:space="preserve"> </w:t>
      </w:r>
      <w:r>
        <w:t>la</w:t>
      </w:r>
      <w:r>
        <w:rPr>
          <w:spacing w:val="-1"/>
        </w:rPr>
        <w:t xml:space="preserve"> </w:t>
      </w:r>
      <w:r>
        <w:t>gran propiedad, que se expresó en</w:t>
      </w:r>
      <w:r>
        <w:rPr>
          <w:spacing w:val="-1"/>
        </w:rPr>
        <w:t xml:space="preserve"> </w:t>
      </w:r>
      <w:r>
        <w:t>la</w:t>
      </w:r>
      <w:r>
        <w:rPr>
          <w:spacing w:val="-1"/>
        </w:rPr>
        <w:t xml:space="preserve"> </w:t>
      </w:r>
      <w:r>
        <w:t>multiplicación de frentes</w:t>
      </w:r>
      <w:r>
        <w:rPr>
          <w:spacing w:val="-2"/>
        </w:rPr>
        <w:t xml:space="preserve"> </w:t>
      </w:r>
      <w:r>
        <w:t>paramilitares</w:t>
      </w:r>
      <w:r>
        <w:rPr>
          <w:spacing w:val="-2"/>
        </w:rPr>
        <w:t xml:space="preserve"> </w:t>
      </w:r>
      <w:r>
        <w:t>y</w:t>
      </w:r>
      <w:r>
        <w:rPr>
          <w:spacing w:val="-3"/>
        </w:rPr>
        <w:t xml:space="preserve"> </w:t>
      </w:r>
      <w:r>
        <w:t>la</w:t>
      </w:r>
      <w:r>
        <w:rPr>
          <w:spacing w:val="-2"/>
        </w:rPr>
        <w:t xml:space="preserve"> </w:t>
      </w:r>
      <w:r>
        <w:t>cooptación</w:t>
      </w:r>
      <w:r>
        <w:rPr>
          <w:spacing w:val="-3"/>
        </w:rPr>
        <w:t xml:space="preserve"> </w:t>
      </w:r>
      <w:r>
        <w:t>de</w:t>
      </w:r>
      <w:r>
        <w:rPr>
          <w:spacing w:val="-2"/>
        </w:rPr>
        <w:t xml:space="preserve"> </w:t>
      </w:r>
      <w:r>
        <w:t>gobiernos</w:t>
      </w:r>
      <w:r>
        <w:rPr>
          <w:spacing w:val="-2"/>
        </w:rPr>
        <w:t xml:space="preserve"> </w:t>
      </w:r>
      <w:r>
        <w:t>locales</w:t>
      </w:r>
      <w:r>
        <w:rPr>
          <w:spacing w:val="-2"/>
        </w:rPr>
        <w:t xml:space="preserve"> </w:t>
      </w:r>
      <w:r>
        <w:t>y</w:t>
      </w:r>
      <w:r>
        <w:rPr>
          <w:spacing w:val="-3"/>
        </w:rPr>
        <w:t xml:space="preserve"> </w:t>
      </w:r>
      <w:r>
        <w:t>regionales.</w:t>
      </w:r>
      <w:r>
        <w:rPr>
          <w:spacing w:val="-2"/>
        </w:rPr>
        <w:t xml:space="preserve"> </w:t>
      </w:r>
      <w:r>
        <w:t>En</w:t>
      </w:r>
      <w:r>
        <w:rPr>
          <w:spacing w:val="-2"/>
        </w:rPr>
        <w:t xml:space="preserve"> </w:t>
      </w:r>
      <w:r>
        <w:t>regiones</w:t>
      </w:r>
      <w:r>
        <w:rPr>
          <w:spacing w:val="-2"/>
        </w:rPr>
        <w:t xml:space="preserve"> </w:t>
      </w:r>
      <w:r>
        <w:t>como</w:t>
      </w:r>
      <w:r>
        <w:rPr>
          <w:spacing w:val="-2"/>
        </w:rPr>
        <w:t xml:space="preserve"> </w:t>
      </w:r>
      <w:r>
        <w:t>la Orinoquía, Magdalena Medio y el Urabá, los narcotraficantes empezaron a invertir en ganadería</w:t>
      </w:r>
      <w:r>
        <w:rPr>
          <w:spacing w:val="-15"/>
        </w:rPr>
        <w:t xml:space="preserve"> </w:t>
      </w:r>
      <w:r>
        <w:t>y</w:t>
      </w:r>
      <w:r>
        <w:rPr>
          <w:spacing w:val="-15"/>
        </w:rPr>
        <w:t xml:space="preserve"> </w:t>
      </w:r>
      <w:r>
        <w:t>compra</w:t>
      </w:r>
      <w:r>
        <w:rPr>
          <w:spacing w:val="-15"/>
        </w:rPr>
        <w:t xml:space="preserve"> </w:t>
      </w:r>
      <w:r>
        <w:t>de</w:t>
      </w:r>
      <w:r>
        <w:rPr>
          <w:spacing w:val="-15"/>
        </w:rPr>
        <w:t xml:space="preserve"> </w:t>
      </w:r>
      <w:r>
        <w:t>tierras</w:t>
      </w:r>
      <w:r>
        <w:rPr>
          <w:spacing w:val="-15"/>
        </w:rPr>
        <w:t xml:space="preserve"> </w:t>
      </w:r>
      <w:r>
        <w:t>para</w:t>
      </w:r>
      <w:r>
        <w:rPr>
          <w:spacing w:val="-15"/>
        </w:rPr>
        <w:t xml:space="preserve"> </w:t>
      </w:r>
      <w:r>
        <w:t>lavar</w:t>
      </w:r>
      <w:r>
        <w:rPr>
          <w:spacing w:val="-15"/>
        </w:rPr>
        <w:t xml:space="preserve"> </w:t>
      </w:r>
      <w:r>
        <w:t>sus</w:t>
      </w:r>
      <w:r>
        <w:rPr>
          <w:spacing w:val="-15"/>
        </w:rPr>
        <w:t xml:space="preserve"> </w:t>
      </w:r>
      <w:r>
        <w:t>ganancias</w:t>
      </w:r>
      <w:r>
        <w:rPr>
          <w:spacing w:val="-15"/>
        </w:rPr>
        <w:t xml:space="preserve"> </w:t>
      </w:r>
      <w:r>
        <w:t>ilegales,</w:t>
      </w:r>
      <w:r>
        <w:rPr>
          <w:spacing w:val="-15"/>
        </w:rPr>
        <w:t xml:space="preserve"> </w:t>
      </w:r>
      <w:r>
        <w:t>mientras</w:t>
      </w:r>
      <w:r>
        <w:rPr>
          <w:spacing w:val="-15"/>
        </w:rPr>
        <w:t xml:space="preserve"> </w:t>
      </w:r>
      <w:r>
        <w:t>algunos</w:t>
      </w:r>
      <w:r>
        <w:rPr>
          <w:spacing w:val="-15"/>
        </w:rPr>
        <w:t xml:space="preserve"> </w:t>
      </w:r>
      <w:r>
        <w:t xml:space="preserve">empresarios legales encontraban en el narcotráfico la manera de aumentar sus ganancias y resistir a la crisis económica. La propiedad extensiva de la tierra de los narcotraficantes reconfiguró territorios para asentar esta industria ilegal en corredores de tránsito y embarcaderos de drogas. El ingreso de los narcotraficantes a las élites terratenientes de varias regiones del país, le sumó la ilegalidad del poder mafioso al ya existente problema de ineficiencia productiva. Produjo también fuertes procesos inflacionarios que afectaron el mercado de tierras y el acceso a </w:t>
      </w:r>
      <w:r>
        <w:lastRenderedPageBreak/>
        <w:t>la propiedad rural del campesinado por el incremento artificial de los precios del suelo, dada la demanda de bienes no transables «…en los cuales invertían preferentemente los recursos los barones de la droga: tierra agrícola, finca raíz urbana, y bienes y servicios lujosos como discotecas», según recordaba en 1990 Miguel Urrutia</w:t>
      </w:r>
      <w:r w:rsidR="00ED02CC">
        <w:rPr>
          <w:rStyle w:val="Refdenotaalpie"/>
        </w:rPr>
        <w:footnoteReference w:id="1028"/>
      </w:r>
      <w:r>
        <w:t>.</w:t>
      </w:r>
    </w:p>
    <w:p w:rsidR="003804AC" w:rsidRDefault="00AF18A5" w:rsidP="00ED02CC">
      <w:r>
        <w:t>El</w:t>
      </w:r>
      <w:r>
        <w:rPr>
          <w:spacing w:val="-2"/>
        </w:rPr>
        <w:t xml:space="preserve"> </w:t>
      </w:r>
      <w:r>
        <w:t>narcotráfico</w:t>
      </w:r>
      <w:r>
        <w:rPr>
          <w:spacing w:val="-2"/>
        </w:rPr>
        <w:t xml:space="preserve"> </w:t>
      </w:r>
      <w:r>
        <w:t>también</w:t>
      </w:r>
      <w:r>
        <w:rPr>
          <w:spacing w:val="-3"/>
        </w:rPr>
        <w:t xml:space="preserve"> </w:t>
      </w:r>
      <w:r>
        <w:t>les</w:t>
      </w:r>
      <w:r>
        <w:rPr>
          <w:spacing w:val="-2"/>
        </w:rPr>
        <w:t xml:space="preserve"> </w:t>
      </w:r>
      <w:r>
        <w:t>permitió</w:t>
      </w:r>
      <w:r>
        <w:rPr>
          <w:spacing w:val="-3"/>
        </w:rPr>
        <w:t xml:space="preserve"> </w:t>
      </w:r>
      <w:r>
        <w:t>a</w:t>
      </w:r>
      <w:r>
        <w:rPr>
          <w:spacing w:val="-2"/>
        </w:rPr>
        <w:t xml:space="preserve"> </w:t>
      </w:r>
      <w:r>
        <w:t>las</w:t>
      </w:r>
      <w:r>
        <w:rPr>
          <w:spacing w:val="-3"/>
        </w:rPr>
        <w:t xml:space="preserve"> </w:t>
      </w:r>
      <w:r>
        <w:t>FARC-EP</w:t>
      </w:r>
      <w:r>
        <w:rPr>
          <w:spacing w:val="-3"/>
        </w:rPr>
        <w:t xml:space="preserve"> </w:t>
      </w:r>
      <w:r>
        <w:t>desarrollar</w:t>
      </w:r>
      <w:r>
        <w:rPr>
          <w:spacing w:val="-2"/>
        </w:rPr>
        <w:t xml:space="preserve"> </w:t>
      </w:r>
      <w:r>
        <w:t>el</w:t>
      </w:r>
      <w:r>
        <w:rPr>
          <w:spacing w:val="-2"/>
        </w:rPr>
        <w:t xml:space="preserve"> </w:t>
      </w:r>
      <w:r>
        <w:t>modelo</w:t>
      </w:r>
      <w:r>
        <w:rPr>
          <w:spacing w:val="-3"/>
        </w:rPr>
        <w:t xml:space="preserve"> </w:t>
      </w:r>
      <w:r>
        <w:t>militarista</w:t>
      </w:r>
      <w:r>
        <w:rPr>
          <w:spacing w:val="-3"/>
        </w:rPr>
        <w:t xml:space="preserve"> </w:t>
      </w:r>
      <w:r>
        <w:t>que adoptaron en su Séptima Conferencia, en 1982, en una coyuntura de crisis del régimen político</w:t>
      </w:r>
      <w:r>
        <w:rPr>
          <w:spacing w:val="-10"/>
        </w:rPr>
        <w:t xml:space="preserve"> </w:t>
      </w:r>
      <w:r>
        <w:t>y</w:t>
      </w:r>
      <w:r>
        <w:rPr>
          <w:spacing w:val="-11"/>
        </w:rPr>
        <w:t xml:space="preserve"> </w:t>
      </w:r>
      <w:r>
        <w:t>ascenso</w:t>
      </w:r>
      <w:r>
        <w:rPr>
          <w:spacing w:val="-10"/>
        </w:rPr>
        <w:t xml:space="preserve"> </w:t>
      </w:r>
      <w:r>
        <w:t>de</w:t>
      </w:r>
      <w:r>
        <w:rPr>
          <w:spacing w:val="-11"/>
        </w:rPr>
        <w:t xml:space="preserve"> </w:t>
      </w:r>
      <w:r>
        <w:t>luchas</w:t>
      </w:r>
      <w:r>
        <w:rPr>
          <w:spacing w:val="-9"/>
        </w:rPr>
        <w:t xml:space="preserve"> </w:t>
      </w:r>
      <w:r>
        <w:t>populares</w:t>
      </w:r>
      <w:r>
        <w:rPr>
          <w:spacing w:val="-9"/>
        </w:rPr>
        <w:t xml:space="preserve"> </w:t>
      </w:r>
      <w:r>
        <w:t>que</w:t>
      </w:r>
      <w:r>
        <w:rPr>
          <w:spacing w:val="-9"/>
        </w:rPr>
        <w:t xml:space="preserve"> </w:t>
      </w:r>
      <w:r>
        <w:t>se</w:t>
      </w:r>
      <w:r>
        <w:rPr>
          <w:spacing w:val="-11"/>
        </w:rPr>
        <w:t xml:space="preserve"> </w:t>
      </w:r>
      <w:r>
        <w:t>expresaron,</w:t>
      </w:r>
      <w:r>
        <w:rPr>
          <w:spacing w:val="-11"/>
        </w:rPr>
        <w:t xml:space="preserve"> </w:t>
      </w:r>
      <w:r>
        <w:t>entre</w:t>
      </w:r>
      <w:r>
        <w:rPr>
          <w:spacing w:val="-11"/>
        </w:rPr>
        <w:t xml:space="preserve"> </w:t>
      </w:r>
      <w:r>
        <w:t>otras,</w:t>
      </w:r>
      <w:r>
        <w:rPr>
          <w:spacing w:val="-10"/>
        </w:rPr>
        <w:t xml:space="preserve"> </w:t>
      </w:r>
      <w:r>
        <w:t>en</w:t>
      </w:r>
      <w:r>
        <w:rPr>
          <w:spacing w:val="-10"/>
        </w:rPr>
        <w:t xml:space="preserve"> </w:t>
      </w:r>
      <w:r>
        <w:t>Paro</w:t>
      </w:r>
      <w:r>
        <w:rPr>
          <w:spacing w:val="-10"/>
        </w:rPr>
        <w:t xml:space="preserve"> </w:t>
      </w:r>
      <w:r>
        <w:t>Cívico</w:t>
      </w:r>
      <w:r>
        <w:rPr>
          <w:spacing w:val="-11"/>
        </w:rPr>
        <w:t xml:space="preserve"> </w:t>
      </w:r>
      <w:r>
        <w:t>de</w:t>
      </w:r>
      <w:r>
        <w:rPr>
          <w:spacing w:val="-11"/>
        </w:rPr>
        <w:t xml:space="preserve"> </w:t>
      </w:r>
      <w:r>
        <w:t>1977 configuraba a su juicio algo parecido a una situación revolucionaria</w:t>
      </w:r>
      <w:r w:rsidR="00ED02CC">
        <w:rPr>
          <w:rStyle w:val="Refdenotaalpie"/>
        </w:rPr>
        <w:footnoteReference w:id="1029"/>
      </w:r>
      <w:r>
        <w:t>. La regulación del mercado de la coca les dio importantes recursos para armas y logística que les permitió sostener</w:t>
      </w:r>
      <w:r>
        <w:rPr>
          <w:spacing w:val="41"/>
        </w:rPr>
        <w:t xml:space="preserve"> </w:t>
      </w:r>
      <w:r>
        <w:t>el</w:t>
      </w:r>
      <w:r>
        <w:rPr>
          <w:spacing w:val="41"/>
        </w:rPr>
        <w:t xml:space="preserve"> </w:t>
      </w:r>
      <w:r>
        <w:t>proceso</w:t>
      </w:r>
      <w:r>
        <w:rPr>
          <w:spacing w:val="41"/>
        </w:rPr>
        <w:t xml:space="preserve"> </w:t>
      </w:r>
      <w:r>
        <w:t>de</w:t>
      </w:r>
      <w:r>
        <w:rPr>
          <w:spacing w:val="41"/>
        </w:rPr>
        <w:t xml:space="preserve"> </w:t>
      </w:r>
      <w:r>
        <w:t>expansión</w:t>
      </w:r>
      <w:r>
        <w:rPr>
          <w:spacing w:val="41"/>
        </w:rPr>
        <w:t xml:space="preserve"> </w:t>
      </w:r>
      <w:r>
        <w:t>territorial.</w:t>
      </w:r>
      <w:r>
        <w:rPr>
          <w:spacing w:val="42"/>
        </w:rPr>
        <w:t xml:space="preserve"> </w:t>
      </w:r>
      <w:r>
        <w:t>El</w:t>
      </w:r>
      <w:r>
        <w:rPr>
          <w:spacing w:val="40"/>
        </w:rPr>
        <w:t xml:space="preserve"> </w:t>
      </w:r>
      <w:r>
        <w:t>proceso</w:t>
      </w:r>
      <w:r>
        <w:rPr>
          <w:spacing w:val="42"/>
        </w:rPr>
        <w:t xml:space="preserve"> </w:t>
      </w:r>
      <w:r>
        <w:t>de</w:t>
      </w:r>
      <w:r>
        <w:rPr>
          <w:spacing w:val="40"/>
        </w:rPr>
        <w:t xml:space="preserve"> </w:t>
      </w:r>
      <w:r>
        <w:t>expansión</w:t>
      </w:r>
      <w:r>
        <w:rPr>
          <w:spacing w:val="40"/>
        </w:rPr>
        <w:t xml:space="preserve"> </w:t>
      </w:r>
      <w:r>
        <w:t>tomó</w:t>
      </w:r>
      <w:r>
        <w:rPr>
          <w:spacing w:val="41"/>
        </w:rPr>
        <w:t xml:space="preserve"> </w:t>
      </w:r>
      <w:r>
        <w:t>como</w:t>
      </w:r>
      <w:r>
        <w:rPr>
          <w:spacing w:val="40"/>
        </w:rPr>
        <w:t xml:space="preserve"> </w:t>
      </w:r>
      <w:r>
        <w:t>eje</w:t>
      </w:r>
      <w:r>
        <w:rPr>
          <w:spacing w:val="42"/>
        </w:rPr>
        <w:t xml:space="preserve"> </w:t>
      </w:r>
      <w:r>
        <w:rPr>
          <w:spacing w:val="-5"/>
        </w:rPr>
        <w:t>la</w:t>
      </w:r>
      <w:bookmarkStart w:id="1273" w:name="_bookmark1128"/>
      <w:bookmarkStart w:id="1274" w:name="_bookmark1129"/>
      <w:bookmarkEnd w:id="1273"/>
      <w:bookmarkEnd w:id="1274"/>
      <w:r w:rsidR="00ED02CC">
        <w:t xml:space="preserve"> </w:t>
      </w:r>
      <w:r>
        <w:t>cordillera oriental, conservando sus zonas históricas y desplazándose hacia zonas económicamente</w:t>
      </w:r>
      <w:r>
        <w:rPr>
          <w:spacing w:val="-2"/>
        </w:rPr>
        <w:t xml:space="preserve"> </w:t>
      </w:r>
      <w:r>
        <w:t>integradas,</w:t>
      </w:r>
      <w:r>
        <w:rPr>
          <w:spacing w:val="-1"/>
        </w:rPr>
        <w:t xml:space="preserve"> </w:t>
      </w:r>
      <w:r>
        <w:t>al</w:t>
      </w:r>
      <w:r>
        <w:rPr>
          <w:spacing w:val="-2"/>
        </w:rPr>
        <w:t xml:space="preserve"> </w:t>
      </w:r>
      <w:r>
        <w:t>igual</w:t>
      </w:r>
      <w:r>
        <w:rPr>
          <w:spacing w:val="-2"/>
        </w:rPr>
        <w:t xml:space="preserve"> </w:t>
      </w:r>
      <w:r>
        <w:t>que</w:t>
      </w:r>
      <w:r>
        <w:rPr>
          <w:spacing w:val="-1"/>
        </w:rPr>
        <w:t xml:space="preserve"> </w:t>
      </w:r>
      <w:r>
        <w:t>a</w:t>
      </w:r>
      <w:r>
        <w:rPr>
          <w:spacing w:val="-2"/>
        </w:rPr>
        <w:t xml:space="preserve"> </w:t>
      </w:r>
      <w:r>
        <w:t>los</w:t>
      </w:r>
      <w:r>
        <w:rPr>
          <w:spacing w:val="-2"/>
        </w:rPr>
        <w:t xml:space="preserve"> </w:t>
      </w:r>
      <w:r>
        <w:t>centros</w:t>
      </w:r>
      <w:r>
        <w:rPr>
          <w:spacing w:val="-1"/>
        </w:rPr>
        <w:t xml:space="preserve"> </w:t>
      </w:r>
      <w:r>
        <w:t>urbanos.</w:t>
      </w:r>
      <w:r>
        <w:rPr>
          <w:spacing w:val="-1"/>
        </w:rPr>
        <w:t xml:space="preserve"> </w:t>
      </w:r>
      <w:r>
        <w:t>Este</w:t>
      </w:r>
      <w:r>
        <w:rPr>
          <w:spacing w:val="-2"/>
        </w:rPr>
        <w:t xml:space="preserve"> </w:t>
      </w:r>
      <w:r>
        <w:t>desplazamiento</w:t>
      </w:r>
      <w:r>
        <w:rPr>
          <w:spacing w:val="-2"/>
        </w:rPr>
        <w:t xml:space="preserve"> </w:t>
      </w:r>
      <w:r>
        <w:t>facilitó la extorsión y secuestro a empresarios, latifundistas y narcotraficantes</w:t>
      </w:r>
      <w:r w:rsidR="00631FC5">
        <w:rPr>
          <w:rStyle w:val="Refdenotaalpie"/>
        </w:rPr>
        <w:footnoteReference w:id="1030"/>
      </w:r>
      <w:r>
        <w:t>. Además, el creciente papel de las FARC-EP en la economía de la cocaína representó una amenaza para el control territorial de los narcos, que terminaron aliados con los ganaderos, los políticos locales</w:t>
      </w:r>
      <w:r>
        <w:rPr>
          <w:spacing w:val="-3"/>
        </w:rPr>
        <w:t xml:space="preserve"> </w:t>
      </w:r>
      <w:r>
        <w:t>y</w:t>
      </w:r>
      <w:r>
        <w:rPr>
          <w:spacing w:val="-3"/>
        </w:rPr>
        <w:t xml:space="preserve"> </w:t>
      </w:r>
      <w:r>
        <w:t>la</w:t>
      </w:r>
      <w:r>
        <w:rPr>
          <w:spacing w:val="-4"/>
        </w:rPr>
        <w:t xml:space="preserve"> </w:t>
      </w:r>
      <w:r>
        <w:t>fuerza</w:t>
      </w:r>
      <w:r>
        <w:rPr>
          <w:spacing w:val="-3"/>
        </w:rPr>
        <w:t xml:space="preserve"> </w:t>
      </w:r>
      <w:r>
        <w:t>pública</w:t>
      </w:r>
      <w:r>
        <w:rPr>
          <w:spacing w:val="-3"/>
        </w:rPr>
        <w:t xml:space="preserve"> </w:t>
      </w:r>
      <w:r>
        <w:t>(y</w:t>
      </w:r>
      <w:r>
        <w:rPr>
          <w:spacing w:val="-3"/>
        </w:rPr>
        <w:t xml:space="preserve"> </w:t>
      </w:r>
      <w:r>
        <w:t>discurso</w:t>
      </w:r>
      <w:r>
        <w:rPr>
          <w:spacing w:val="-5"/>
        </w:rPr>
        <w:t xml:space="preserve"> </w:t>
      </w:r>
      <w:r>
        <w:t>contrainsurgente),</w:t>
      </w:r>
      <w:r>
        <w:rPr>
          <w:spacing w:val="-5"/>
        </w:rPr>
        <w:t xml:space="preserve"> </w:t>
      </w:r>
      <w:r>
        <w:t>lo</w:t>
      </w:r>
      <w:r>
        <w:rPr>
          <w:spacing w:val="-3"/>
        </w:rPr>
        <w:t xml:space="preserve"> </w:t>
      </w:r>
      <w:r>
        <w:t>que</w:t>
      </w:r>
      <w:r>
        <w:rPr>
          <w:spacing w:val="-3"/>
        </w:rPr>
        <w:t xml:space="preserve"> </w:t>
      </w:r>
      <w:r>
        <w:t>repercutió</w:t>
      </w:r>
      <w:r>
        <w:rPr>
          <w:spacing w:val="-3"/>
        </w:rPr>
        <w:t xml:space="preserve"> </w:t>
      </w:r>
      <w:r>
        <w:t>en</w:t>
      </w:r>
      <w:r>
        <w:rPr>
          <w:spacing w:val="-3"/>
        </w:rPr>
        <w:t xml:space="preserve"> </w:t>
      </w:r>
      <w:r>
        <w:t>la</w:t>
      </w:r>
      <w:r>
        <w:rPr>
          <w:spacing w:val="-3"/>
        </w:rPr>
        <w:t xml:space="preserve"> </w:t>
      </w:r>
      <w:r>
        <w:t xml:space="preserve">persecución a líderes políticos y sociales de izquierda, y en algunos casos, del partido Liberal. Para entender esta alianza es necesario reconocer el incremento del secuestro durante los años setenta y ochenta, cuyas víctimas principales </w:t>
      </w:r>
      <w:r>
        <w:lastRenderedPageBreak/>
        <w:t>fueron ganaderos, algunas otras élites económicas</w:t>
      </w:r>
      <w:r>
        <w:rPr>
          <w:spacing w:val="-1"/>
        </w:rPr>
        <w:t xml:space="preserve"> </w:t>
      </w:r>
      <w:r>
        <w:t>rurales,</w:t>
      </w:r>
      <w:r>
        <w:rPr>
          <w:spacing w:val="-1"/>
        </w:rPr>
        <w:t xml:space="preserve"> </w:t>
      </w:r>
      <w:r>
        <w:t>funcionarios</w:t>
      </w:r>
      <w:r>
        <w:rPr>
          <w:spacing w:val="-1"/>
        </w:rPr>
        <w:t xml:space="preserve"> </w:t>
      </w:r>
      <w:r>
        <w:t>y</w:t>
      </w:r>
      <w:r>
        <w:rPr>
          <w:spacing w:val="-1"/>
        </w:rPr>
        <w:t xml:space="preserve"> </w:t>
      </w:r>
      <w:r>
        <w:t>políticos</w:t>
      </w:r>
      <w:r>
        <w:rPr>
          <w:spacing w:val="-1"/>
        </w:rPr>
        <w:t xml:space="preserve"> </w:t>
      </w:r>
      <w:r>
        <w:t>de</w:t>
      </w:r>
      <w:r>
        <w:rPr>
          <w:spacing w:val="-1"/>
        </w:rPr>
        <w:t xml:space="preserve"> </w:t>
      </w:r>
      <w:r>
        <w:t>las</w:t>
      </w:r>
      <w:r>
        <w:rPr>
          <w:spacing w:val="-1"/>
        </w:rPr>
        <w:t xml:space="preserve"> </w:t>
      </w:r>
      <w:r>
        <w:t>regiones.</w:t>
      </w:r>
      <w:r>
        <w:rPr>
          <w:spacing w:val="-1"/>
        </w:rPr>
        <w:t xml:space="preserve"> </w:t>
      </w:r>
      <w:r>
        <w:t>Dado</w:t>
      </w:r>
      <w:r>
        <w:rPr>
          <w:spacing w:val="-1"/>
        </w:rPr>
        <w:t xml:space="preserve"> </w:t>
      </w:r>
      <w:r>
        <w:t>el</w:t>
      </w:r>
      <w:r>
        <w:rPr>
          <w:spacing w:val="-1"/>
        </w:rPr>
        <w:t xml:space="preserve"> </w:t>
      </w:r>
      <w:r>
        <w:t>lugar</w:t>
      </w:r>
      <w:r>
        <w:rPr>
          <w:spacing w:val="-1"/>
        </w:rPr>
        <w:t xml:space="preserve"> </w:t>
      </w:r>
      <w:r>
        <w:t>de</w:t>
      </w:r>
      <w:r>
        <w:rPr>
          <w:spacing w:val="-1"/>
        </w:rPr>
        <w:t xml:space="preserve"> </w:t>
      </w:r>
      <w:r>
        <w:t>estos</w:t>
      </w:r>
      <w:r>
        <w:rPr>
          <w:spacing w:val="-1"/>
        </w:rPr>
        <w:t xml:space="preserve"> </w:t>
      </w:r>
      <w:r>
        <w:t>sectores en</w:t>
      </w:r>
      <w:r>
        <w:rPr>
          <w:spacing w:val="-11"/>
        </w:rPr>
        <w:t xml:space="preserve"> </w:t>
      </w:r>
      <w:r>
        <w:t>la</w:t>
      </w:r>
      <w:r>
        <w:rPr>
          <w:spacing w:val="-10"/>
        </w:rPr>
        <w:t xml:space="preserve"> </w:t>
      </w:r>
      <w:r>
        <w:t>economía</w:t>
      </w:r>
      <w:r>
        <w:rPr>
          <w:spacing w:val="-10"/>
        </w:rPr>
        <w:t xml:space="preserve"> </w:t>
      </w:r>
      <w:r>
        <w:t>y</w:t>
      </w:r>
      <w:r>
        <w:rPr>
          <w:spacing w:val="-11"/>
        </w:rPr>
        <w:t xml:space="preserve"> </w:t>
      </w:r>
      <w:r>
        <w:t>la</w:t>
      </w:r>
      <w:r>
        <w:rPr>
          <w:spacing w:val="-10"/>
        </w:rPr>
        <w:t xml:space="preserve"> </w:t>
      </w:r>
      <w:r>
        <w:t>política,</w:t>
      </w:r>
      <w:r>
        <w:rPr>
          <w:spacing w:val="-11"/>
        </w:rPr>
        <w:t xml:space="preserve"> </w:t>
      </w:r>
      <w:r>
        <w:t>es</w:t>
      </w:r>
      <w:r>
        <w:rPr>
          <w:spacing w:val="-11"/>
        </w:rPr>
        <w:t xml:space="preserve"> </w:t>
      </w:r>
      <w:r>
        <w:t>posible</w:t>
      </w:r>
      <w:r>
        <w:rPr>
          <w:spacing w:val="-10"/>
        </w:rPr>
        <w:t xml:space="preserve"> </w:t>
      </w:r>
      <w:r>
        <w:t>comprender</w:t>
      </w:r>
      <w:r>
        <w:rPr>
          <w:spacing w:val="-10"/>
        </w:rPr>
        <w:t xml:space="preserve"> </w:t>
      </w:r>
      <w:r>
        <w:t>que</w:t>
      </w:r>
      <w:r>
        <w:rPr>
          <w:spacing w:val="-10"/>
        </w:rPr>
        <w:t xml:space="preserve"> </w:t>
      </w:r>
      <w:r>
        <w:t>tuvieran</w:t>
      </w:r>
      <w:r>
        <w:rPr>
          <w:spacing w:val="-11"/>
        </w:rPr>
        <w:t xml:space="preserve"> </w:t>
      </w:r>
      <w:r>
        <w:t>los</w:t>
      </w:r>
      <w:r>
        <w:rPr>
          <w:spacing w:val="-12"/>
        </w:rPr>
        <w:t xml:space="preserve"> </w:t>
      </w:r>
      <w:r>
        <w:t>recursos</w:t>
      </w:r>
      <w:r>
        <w:rPr>
          <w:spacing w:val="-11"/>
        </w:rPr>
        <w:t xml:space="preserve"> </w:t>
      </w:r>
      <w:r>
        <w:t>suficientes</w:t>
      </w:r>
      <w:r>
        <w:rPr>
          <w:spacing w:val="-10"/>
        </w:rPr>
        <w:t xml:space="preserve"> </w:t>
      </w:r>
      <w:r>
        <w:t>para adelantar</w:t>
      </w:r>
      <w:r>
        <w:rPr>
          <w:spacing w:val="-15"/>
        </w:rPr>
        <w:t xml:space="preserve"> </w:t>
      </w:r>
      <w:r>
        <w:t>iniciativas</w:t>
      </w:r>
      <w:r>
        <w:rPr>
          <w:spacing w:val="-15"/>
        </w:rPr>
        <w:t xml:space="preserve"> </w:t>
      </w:r>
      <w:r>
        <w:t>como</w:t>
      </w:r>
      <w:r>
        <w:rPr>
          <w:spacing w:val="-15"/>
        </w:rPr>
        <w:t xml:space="preserve"> </w:t>
      </w:r>
      <w:r>
        <w:t>Muerte</w:t>
      </w:r>
      <w:r>
        <w:rPr>
          <w:spacing w:val="-15"/>
        </w:rPr>
        <w:t xml:space="preserve"> </w:t>
      </w:r>
      <w:r>
        <w:t>a</w:t>
      </w:r>
      <w:r>
        <w:rPr>
          <w:spacing w:val="-15"/>
        </w:rPr>
        <w:t xml:space="preserve"> </w:t>
      </w:r>
      <w:r>
        <w:t>Secuestradores</w:t>
      </w:r>
      <w:r>
        <w:rPr>
          <w:spacing w:val="-15"/>
        </w:rPr>
        <w:t xml:space="preserve"> </w:t>
      </w:r>
      <w:r>
        <w:t>(MAS).</w:t>
      </w:r>
      <w:r>
        <w:rPr>
          <w:spacing w:val="-15"/>
        </w:rPr>
        <w:t xml:space="preserve"> </w:t>
      </w:r>
      <w:r>
        <w:t>El</w:t>
      </w:r>
      <w:r>
        <w:rPr>
          <w:spacing w:val="-15"/>
        </w:rPr>
        <w:t xml:space="preserve"> </w:t>
      </w:r>
      <w:r>
        <w:t>secuestro</w:t>
      </w:r>
      <w:r>
        <w:rPr>
          <w:spacing w:val="-15"/>
        </w:rPr>
        <w:t xml:space="preserve"> </w:t>
      </w:r>
      <w:r>
        <w:t>catalizó</w:t>
      </w:r>
      <w:r>
        <w:rPr>
          <w:spacing w:val="-15"/>
        </w:rPr>
        <w:t xml:space="preserve"> </w:t>
      </w:r>
      <w:r>
        <w:t>un</w:t>
      </w:r>
      <w:r>
        <w:rPr>
          <w:spacing w:val="-15"/>
        </w:rPr>
        <w:t xml:space="preserve"> </w:t>
      </w:r>
      <w:r>
        <w:t xml:space="preserve">conjunto de características ya existentes en un sector específico de las élites rurales, que ahora contaban con los recursos del narcotráfico, y fue determinante en la creación del </w:t>
      </w:r>
      <w:r>
        <w:rPr>
          <w:spacing w:val="-2"/>
        </w:rPr>
        <w:t>paramilitarismo.</w:t>
      </w:r>
    </w:p>
    <w:p w:rsidR="0011361F" w:rsidRDefault="00AF18A5" w:rsidP="004A6EF4">
      <w:pPr>
        <w:pStyle w:val="Ttulo3"/>
        <w:numPr>
          <w:ilvl w:val="1"/>
          <w:numId w:val="16"/>
        </w:numPr>
      </w:pPr>
      <w:bookmarkStart w:id="1275" w:name="9.5._La_contra_reforma_agraria_violenta"/>
      <w:bookmarkStart w:id="1276" w:name="_Toc112399647"/>
      <w:bookmarkEnd w:id="1275"/>
      <w:r>
        <w:t>La</w:t>
      </w:r>
      <w:r>
        <w:rPr>
          <w:spacing w:val="-1"/>
        </w:rPr>
        <w:t xml:space="preserve"> </w:t>
      </w:r>
      <w:r>
        <w:t>contra</w:t>
      </w:r>
      <w:r>
        <w:rPr>
          <w:spacing w:val="-1"/>
        </w:rPr>
        <w:t xml:space="preserve"> </w:t>
      </w:r>
      <w:r>
        <w:t>reforma</w:t>
      </w:r>
      <w:r>
        <w:rPr>
          <w:spacing w:val="-3"/>
        </w:rPr>
        <w:t xml:space="preserve"> </w:t>
      </w:r>
      <w:r>
        <w:t xml:space="preserve">agraria </w:t>
      </w:r>
      <w:r>
        <w:rPr>
          <w:spacing w:val="-2"/>
        </w:rPr>
        <w:t>violenta</w:t>
      </w:r>
      <w:bookmarkEnd w:id="1276"/>
    </w:p>
    <w:p w:rsidR="003804AC" w:rsidRDefault="00AF18A5" w:rsidP="00631FC5">
      <w:r>
        <w:t>En</w:t>
      </w:r>
      <w:r>
        <w:rPr>
          <w:spacing w:val="-6"/>
        </w:rPr>
        <w:t xml:space="preserve"> </w:t>
      </w:r>
      <w:r>
        <w:t>el</w:t>
      </w:r>
      <w:r>
        <w:rPr>
          <w:spacing w:val="-6"/>
        </w:rPr>
        <w:t xml:space="preserve"> </w:t>
      </w:r>
      <w:r>
        <w:t>proceso</w:t>
      </w:r>
      <w:r>
        <w:rPr>
          <w:spacing w:val="-6"/>
        </w:rPr>
        <w:t xml:space="preserve"> </w:t>
      </w:r>
      <w:r>
        <w:t>de</w:t>
      </w:r>
      <w:r>
        <w:rPr>
          <w:spacing w:val="-6"/>
        </w:rPr>
        <w:t xml:space="preserve"> </w:t>
      </w:r>
      <w:r>
        <w:t>contrarreforma</w:t>
      </w:r>
      <w:r>
        <w:rPr>
          <w:spacing w:val="-6"/>
        </w:rPr>
        <w:t xml:space="preserve"> </w:t>
      </w:r>
      <w:r>
        <w:t>agraria</w:t>
      </w:r>
      <w:r>
        <w:rPr>
          <w:spacing w:val="-6"/>
        </w:rPr>
        <w:t xml:space="preserve"> </w:t>
      </w:r>
      <w:r>
        <w:t>no</w:t>
      </w:r>
      <w:r>
        <w:rPr>
          <w:spacing w:val="-6"/>
        </w:rPr>
        <w:t xml:space="preserve"> </w:t>
      </w:r>
      <w:r>
        <w:t>solo</w:t>
      </w:r>
      <w:r>
        <w:rPr>
          <w:spacing w:val="-6"/>
        </w:rPr>
        <w:t xml:space="preserve"> </w:t>
      </w:r>
      <w:r>
        <w:t>actuaron</w:t>
      </w:r>
      <w:r>
        <w:rPr>
          <w:spacing w:val="-6"/>
        </w:rPr>
        <w:t xml:space="preserve"> </w:t>
      </w:r>
      <w:r>
        <w:t>las</w:t>
      </w:r>
      <w:r>
        <w:rPr>
          <w:spacing w:val="-6"/>
        </w:rPr>
        <w:t xml:space="preserve"> </w:t>
      </w:r>
      <w:r>
        <w:t>leyes</w:t>
      </w:r>
      <w:r>
        <w:rPr>
          <w:spacing w:val="-6"/>
        </w:rPr>
        <w:t xml:space="preserve"> </w:t>
      </w:r>
      <w:r>
        <w:t>y</w:t>
      </w:r>
      <w:r>
        <w:rPr>
          <w:spacing w:val="-6"/>
        </w:rPr>
        <w:t xml:space="preserve"> </w:t>
      </w:r>
      <w:r>
        <w:t>los</w:t>
      </w:r>
      <w:r>
        <w:rPr>
          <w:spacing w:val="-6"/>
        </w:rPr>
        <w:t xml:space="preserve"> </w:t>
      </w:r>
      <w:r>
        <w:t>planes</w:t>
      </w:r>
      <w:r>
        <w:rPr>
          <w:spacing w:val="-6"/>
        </w:rPr>
        <w:t xml:space="preserve"> </w:t>
      </w:r>
      <w:r>
        <w:t>de</w:t>
      </w:r>
      <w:r>
        <w:rPr>
          <w:spacing w:val="-6"/>
        </w:rPr>
        <w:t xml:space="preserve"> </w:t>
      </w:r>
      <w:r>
        <w:t>desarrollo rural lanzados por diferentes gobiernos, sino también la violencia. Los recursos del narcotráfico se articularon a la larga historia de provisión privada de la seguridad y la coerción</w:t>
      </w:r>
      <w:r>
        <w:rPr>
          <w:spacing w:val="-3"/>
        </w:rPr>
        <w:t xml:space="preserve"> </w:t>
      </w:r>
      <w:r>
        <w:t>contra</w:t>
      </w:r>
      <w:r>
        <w:rPr>
          <w:spacing w:val="-4"/>
        </w:rPr>
        <w:t xml:space="preserve"> </w:t>
      </w:r>
      <w:r>
        <w:t>el</w:t>
      </w:r>
      <w:r>
        <w:rPr>
          <w:spacing w:val="-4"/>
        </w:rPr>
        <w:t xml:space="preserve"> </w:t>
      </w:r>
      <w:r>
        <w:t>movimiento</w:t>
      </w:r>
      <w:r>
        <w:rPr>
          <w:spacing w:val="-3"/>
        </w:rPr>
        <w:t xml:space="preserve"> </w:t>
      </w:r>
      <w:r>
        <w:t>campesino,</w:t>
      </w:r>
      <w:r>
        <w:rPr>
          <w:spacing w:val="-5"/>
        </w:rPr>
        <w:t xml:space="preserve"> </w:t>
      </w:r>
      <w:r>
        <w:t>las</w:t>
      </w:r>
      <w:r>
        <w:rPr>
          <w:spacing w:val="-4"/>
        </w:rPr>
        <w:t xml:space="preserve"> </w:t>
      </w:r>
      <w:r>
        <w:t>tomas</w:t>
      </w:r>
      <w:r>
        <w:rPr>
          <w:spacing w:val="-3"/>
        </w:rPr>
        <w:t xml:space="preserve"> </w:t>
      </w:r>
      <w:r>
        <w:t>de</w:t>
      </w:r>
      <w:r>
        <w:rPr>
          <w:spacing w:val="-4"/>
        </w:rPr>
        <w:t xml:space="preserve"> </w:t>
      </w:r>
      <w:r>
        <w:t>tierras</w:t>
      </w:r>
      <w:r>
        <w:rPr>
          <w:spacing w:val="-3"/>
        </w:rPr>
        <w:t xml:space="preserve"> </w:t>
      </w:r>
      <w:r>
        <w:t>o</w:t>
      </w:r>
      <w:r>
        <w:rPr>
          <w:spacing w:val="-5"/>
        </w:rPr>
        <w:t xml:space="preserve"> </w:t>
      </w:r>
      <w:r>
        <w:t>la</w:t>
      </w:r>
      <w:r>
        <w:rPr>
          <w:spacing w:val="-4"/>
        </w:rPr>
        <w:t xml:space="preserve"> </w:t>
      </w:r>
      <w:r>
        <w:t>movilización</w:t>
      </w:r>
      <w:r>
        <w:rPr>
          <w:spacing w:val="-5"/>
        </w:rPr>
        <w:t xml:space="preserve"> </w:t>
      </w:r>
      <w:r>
        <w:t>social,</w:t>
      </w:r>
      <w:r>
        <w:rPr>
          <w:spacing w:val="-3"/>
        </w:rPr>
        <w:t xml:space="preserve"> </w:t>
      </w:r>
      <w:r>
        <w:t>que facilitaron a las élites territoriales frenar con violencia los esfuerzos por democratizar la política y los derechos de propiedad de la tierra.</w:t>
      </w:r>
    </w:p>
    <w:p w:rsidR="003804AC" w:rsidRPr="00631FC5" w:rsidRDefault="00AF18A5" w:rsidP="00631FC5">
      <w:r>
        <w:t>Como se dijo anteriormente, durante</w:t>
      </w:r>
      <w:r>
        <w:rPr>
          <w:spacing w:val="-1"/>
        </w:rPr>
        <w:t xml:space="preserve"> </w:t>
      </w:r>
      <w:r>
        <w:t>gran parte del siglo XX –y particularmente durante la Violencia bipartidista– buena parte de la provisión de la seguridad y de la oferta de coerción</w:t>
      </w:r>
      <w:r>
        <w:rPr>
          <w:spacing w:val="-8"/>
        </w:rPr>
        <w:t xml:space="preserve"> </w:t>
      </w:r>
      <w:r>
        <w:t>estatal</w:t>
      </w:r>
      <w:r>
        <w:rPr>
          <w:spacing w:val="-7"/>
        </w:rPr>
        <w:t xml:space="preserve"> </w:t>
      </w:r>
      <w:r>
        <w:t>estuvo</w:t>
      </w:r>
      <w:r>
        <w:rPr>
          <w:spacing w:val="-7"/>
        </w:rPr>
        <w:t xml:space="preserve"> </w:t>
      </w:r>
      <w:r>
        <w:t>a</w:t>
      </w:r>
      <w:r>
        <w:rPr>
          <w:spacing w:val="-7"/>
        </w:rPr>
        <w:t xml:space="preserve"> </w:t>
      </w:r>
      <w:r>
        <w:t>cargo</w:t>
      </w:r>
      <w:r>
        <w:rPr>
          <w:spacing w:val="-6"/>
        </w:rPr>
        <w:t xml:space="preserve"> </w:t>
      </w:r>
      <w:r>
        <w:t>de</w:t>
      </w:r>
      <w:r>
        <w:rPr>
          <w:spacing w:val="-7"/>
        </w:rPr>
        <w:t xml:space="preserve"> </w:t>
      </w:r>
      <w:r>
        <w:t>cuerpos</w:t>
      </w:r>
      <w:r>
        <w:rPr>
          <w:spacing w:val="-6"/>
        </w:rPr>
        <w:t xml:space="preserve"> </w:t>
      </w:r>
      <w:r>
        <w:t>de</w:t>
      </w:r>
      <w:r>
        <w:rPr>
          <w:spacing w:val="-6"/>
        </w:rPr>
        <w:t xml:space="preserve"> </w:t>
      </w:r>
      <w:r>
        <w:t>policía</w:t>
      </w:r>
      <w:r>
        <w:rPr>
          <w:spacing w:val="-7"/>
        </w:rPr>
        <w:t xml:space="preserve"> </w:t>
      </w:r>
      <w:r>
        <w:t>subnacionales,</w:t>
      </w:r>
      <w:r>
        <w:rPr>
          <w:spacing w:val="-6"/>
        </w:rPr>
        <w:t xml:space="preserve"> </w:t>
      </w:r>
      <w:r>
        <w:t>que</w:t>
      </w:r>
      <w:r>
        <w:rPr>
          <w:spacing w:val="-7"/>
        </w:rPr>
        <w:t xml:space="preserve"> </w:t>
      </w:r>
      <w:r>
        <w:t>en</w:t>
      </w:r>
      <w:r>
        <w:rPr>
          <w:spacing w:val="-6"/>
        </w:rPr>
        <w:t xml:space="preserve"> </w:t>
      </w:r>
      <w:r>
        <w:t>muchas</w:t>
      </w:r>
      <w:r>
        <w:rPr>
          <w:spacing w:val="-6"/>
        </w:rPr>
        <w:t xml:space="preserve"> </w:t>
      </w:r>
      <w:r>
        <w:rPr>
          <w:spacing w:val="-2"/>
        </w:rPr>
        <w:t>regiones</w:t>
      </w:r>
      <w:bookmarkStart w:id="1277" w:name="_bookmark1131"/>
      <w:bookmarkEnd w:id="1277"/>
      <w:r w:rsidR="00631FC5">
        <w:rPr>
          <w:spacing w:val="-2"/>
        </w:rPr>
        <w:t xml:space="preserve"> </w:t>
      </w:r>
      <w:r>
        <w:t xml:space="preserve">del país intervinieron directamente en las luchas partidistas, </w:t>
      </w:r>
      <w:proofErr w:type="spellStart"/>
      <w:r>
        <w:t>faccionales</w:t>
      </w:r>
      <w:proofErr w:type="spellEnd"/>
      <w:r>
        <w:t xml:space="preserve"> y sociales como instrumento de agentes civiles privados bastante radicalizados</w:t>
      </w:r>
      <w:r w:rsidR="00631FC5">
        <w:rPr>
          <w:rStyle w:val="Refdenotaalpie"/>
        </w:rPr>
        <w:footnoteReference w:id="1031"/>
      </w:r>
      <w:r>
        <w:t>, y que eran de control directo</w:t>
      </w:r>
      <w:r>
        <w:rPr>
          <w:spacing w:val="-7"/>
        </w:rPr>
        <w:t xml:space="preserve"> </w:t>
      </w:r>
      <w:r>
        <w:t>de</w:t>
      </w:r>
      <w:r>
        <w:rPr>
          <w:spacing w:val="-7"/>
        </w:rPr>
        <w:t xml:space="preserve"> </w:t>
      </w:r>
      <w:r>
        <w:t>las</w:t>
      </w:r>
      <w:r>
        <w:rPr>
          <w:spacing w:val="-7"/>
        </w:rPr>
        <w:t xml:space="preserve"> </w:t>
      </w:r>
      <w:r>
        <w:t>élites</w:t>
      </w:r>
      <w:r>
        <w:rPr>
          <w:spacing w:val="-7"/>
        </w:rPr>
        <w:t xml:space="preserve"> </w:t>
      </w:r>
      <w:r>
        <w:t>políticas</w:t>
      </w:r>
      <w:r>
        <w:rPr>
          <w:spacing w:val="-7"/>
        </w:rPr>
        <w:t xml:space="preserve"> </w:t>
      </w:r>
      <w:r>
        <w:t>locales</w:t>
      </w:r>
      <w:r>
        <w:rPr>
          <w:spacing w:val="-7"/>
        </w:rPr>
        <w:t xml:space="preserve"> </w:t>
      </w:r>
      <w:r>
        <w:t>y</w:t>
      </w:r>
      <w:r>
        <w:rPr>
          <w:spacing w:val="-8"/>
        </w:rPr>
        <w:t xml:space="preserve"> </w:t>
      </w:r>
      <w:r>
        <w:t>regionales.</w:t>
      </w:r>
      <w:r>
        <w:rPr>
          <w:spacing w:val="-8"/>
        </w:rPr>
        <w:t xml:space="preserve"> </w:t>
      </w:r>
      <w:r>
        <w:t>El</w:t>
      </w:r>
      <w:r>
        <w:rPr>
          <w:spacing w:val="-7"/>
        </w:rPr>
        <w:t xml:space="preserve"> </w:t>
      </w:r>
      <w:r>
        <w:t>general</w:t>
      </w:r>
      <w:r>
        <w:rPr>
          <w:spacing w:val="-7"/>
        </w:rPr>
        <w:t xml:space="preserve"> </w:t>
      </w:r>
      <w:r>
        <w:t>Rojas</w:t>
      </w:r>
      <w:r>
        <w:rPr>
          <w:spacing w:val="-7"/>
        </w:rPr>
        <w:t xml:space="preserve"> </w:t>
      </w:r>
      <w:r>
        <w:t>Pinilla</w:t>
      </w:r>
      <w:r>
        <w:rPr>
          <w:spacing w:val="-8"/>
        </w:rPr>
        <w:t xml:space="preserve"> </w:t>
      </w:r>
      <w:r>
        <w:t>dio</w:t>
      </w:r>
      <w:r>
        <w:rPr>
          <w:spacing w:val="-7"/>
        </w:rPr>
        <w:t xml:space="preserve"> </w:t>
      </w:r>
      <w:r>
        <w:t>el</w:t>
      </w:r>
      <w:r>
        <w:rPr>
          <w:spacing w:val="-7"/>
        </w:rPr>
        <w:t xml:space="preserve"> </w:t>
      </w:r>
      <w:r>
        <w:t>primer</w:t>
      </w:r>
      <w:r>
        <w:rPr>
          <w:spacing w:val="-7"/>
        </w:rPr>
        <w:t xml:space="preserve"> </w:t>
      </w:r>
      <w:r>
        <w:t xml:space="preserve">paso para desestimular a los grupos armados civiles y despolitizar a la Policía y </w:t>
      </w:r>
      <w:r>
        <w:lastRenderedPageBreak/>
        <w:t>acabar con sus expresiones</w:t>
      </w:r>
      <w:r>
        <w:rPr>
          <w:spacing w:val="-10"/>
        </w:rPr>
        <w:t xml:space="preserve"> </w:t>
      </w:r>
      <w:r>
        <w:t>subnacionales</w:t>
      </w:r>
      <w:r>
        <w:rPr>
          <w:spacing w:val="-9"/>
        </w:rPr>
        <w:t xml:space="preserve"> </w:t>
      </w:r>
      <w:r>
        <w:t>(el</w:t>
      </w:r>
      <w:r>
        <w:rPr>
          <w:spacing w:val="-9"/>
        </w:rPr>
        <w:t xml:space="preserve"> </w:t>
      </w:r>
      <w:r>
        <w:t>Decreto</w:t>
      </w:r>
      <w:r>
        <w:rPr>
          <w:spacing w:val="-9"/>
        </w:rPr>
        <w:t xml:space="preserve"> </w:t>
      </w:r>
      <w:r>
        <w:t>1814</w:t>
      </w:r>
      <w:r>
        <w:rPr>
          <w:spacing w:val="-9"/>
        </w:rPr>
        <w:t xml:space="preserve"> </w:t>
      </w:r>
      <w:r>
        <w:t>del</w:t>
      </w:r>
      <w:r>
        <w:rPr>
          <w:spacing w:val="-9"/>
        </w:rPr>
        <w:t xml:space="preserve"> </w:t>
      </w:r>
      <w:r>
        <w:t>13</w:t>
      </w:r>
      <w:r>
        <w:rPr>
          <w:spacing w:val="-9"/>
        </w:rPr>
        <w:t xml:space="preserve"> </w:t>
      </w:r>
      <w:r>
        <w:t>de</w:t>
      </w:r>
      <w:r>
        <w:rPr>
          <w:spacing w:val="-9"/>
        </w:rPr>
        <w:t xml:space="preserve"> </w:t>
      </w:r>
      <w:r>
        <w:t>junio</w:t>
      </w:r>
      <w:r>
        <w:rPr>
          <w:spacing w:val="-9"/>
        </w:rPr>
        <w:t xml:space="preserve"> </w:t>
      </w:r>
      <w:r>
        <w:t>de</w:t>
      </w:r>
      <w:r>
        <w:rPr>
          <w:spacing w:val="-9"/>
        </w:rPr>
        <w:t xml:space="preserve"> </w:t>
      </w:r>
      <w:r>
        <w:t>1953</w:t>
      </w:r>
      <w:r>
        <w:rPr>
          <w:spacing w:val="-9"/>
        </w:rPr>
        <w:t xml:space="preserve"> </w:t>
      </w:r>
      <w:r>
        <w:t>la</w:t>
      </w:r>
      <w:r>
        <w:rPr>
          <w:spacing w:val="-9"/>
        </w:rPr>
        <w:t xml:space="preserve"> </w:t>
      </w:r>
      <w:r>
        <w:t>trasladó</w:t>
      </w:r>
      <w:r>
        <w:rPr>
          <w:spacing w:val="-9"/>
        </w:rPr>
        <w:t xml:space="preserve"> </w:t>
      </w:r>
      <w:r>
        <w:t>al</w:t>
      </w:r>
      <w:r>
        <w:rPr>
          <w:spacing w:val="-9"/>
        </w:rPr>
        <w:t xml:space="preserve"> </w:t>
      </w:r>
      <w:r>
        <w:t>Ministerio de Defensa y la convirtió en una fuerza nacional).</w:t>
      </w:r>
    </w:p>
    <w:p w:rsidR="0011361F" w:rsidRDefault="00AF18A5" w:rsidP="00631FC5">
      <w:r>
        <w:t>En 1959, el Frente Nacional desmontó finalmente a las policías subnacionales, pero las normas promulgadas permitieron la conformación de grupos de autodefensa integrados por civiles. En 1965, para enfrentar el fenómeno del bandolerismo y la formación de las guerrillas revolucionarias, el gobierno nacional promulgó, bajo el estado de excepción, el Decreto 3398, que establecía en su artículo 25 que «todos los colombianos, hombres y mujeres, no comprendidos en el llamamiento al servicio militar obligatorio, podrán ser utilizados por el Gobierno en actividades y trabajos con los cuales contribuyan al restablecimiento de la normalidad».</w:t>
      </w:r>
      <w:r>
        <w:rPr>
          <w:spacing w:val="-1"/>
        </w:rPr>
        <w:t xml:space="preserve"> </w:t>
      </w:r>
      <w:r>
        <w:t>El decreto añadía, en su artículo 33, que «el Ministerio de</w:t>
      </w:r>
      <w:r>
        <w:rPr>
          <w:spacing w:val="-2"/>
        </w:rPr>
        <w:t xml:space="preserve"> </w:t>
      </w:r>
      <w:r>
        <w:t>Defensa</w:t>
      </w:r>
      <w:r>
        <w:rPr>
          <w:spacing w:val="-2"/>
        </w:rPr>
        <w:t xml:space="preserve"> </w:t>
      </w:r>
      <w:r>
        <w:t>Nacional,</w:t>
      </w:r>
      <w:r>
        <w:rPr>
          <w:spacing w:val="-2"/>
        </w:rPr>
        <w:t xml:space="preserve"> </w:t>
      </w:r>
      <w:r>
        <w:t>por</w:t>
      </w:r>
      <w:r>
        <w:rPr>
          <w:spacing w:val="-2"/>
        </w:rPr>
        <w:t xml:space="preserve"> </w:t>
      </w:r>
      <w:r>
        <w:t>conducto</w:t>
      </w:r>
      <w:r>
        <w:rPr>
          <w:spacing w:val="-2"/>
        </w:rPr>
        <w:t xml:space="preserve"> </w:t>
      </w:r>
      <w:r>
        <w:t>de</w:t>
      </w:r>
      <w:r>
        <w:rPr>
          <w:spacing w:val="-2"/>
        </w:rPr>
        <w:t xml:space="preserve"> </w:t>
      </w:r>
      <w:r>
        <w:t>los</w:t>
      </w:r>
      <w:r>
        <w:rPr>
          <w:spacing w:val="-2"/>
        </w:rPr>
        <w:t xml:space="preserve"> </w:t>
      </w:r>
      <w:r>
        <w:t>comandos</w:t>
      </w:r>
      <w:r>
        <w:rPr>
          <w:spacing w:val="-2"/>
        </w:rPr>
        <w:t xml:space="preserve"> </w:t>
      </w:r>
      <w:r>
        <w:t>autorizados,</w:t>
      </w:r>
      <w:r>
        <w:rPr>
          <w:spacing w:val="-2"/>
        </w:rPr>
        <w:t xml:space="preserve"> </w:t>
      </w:r>
      <w:r>
        <w:t>podrá</w:t>
      </w:r>
      <w:r>
        <w:rPr>
          <w:spacing w:val="-2"/>
        </w:rPr>
        <w:t xml:space="preserve"> </w:t>
      </w:r>
      <w:r>
        <w:t>amparar,</w:t>
      </w:r>
      <w:r>
        <w:rPr>
          <w:spacing w:val="-2"/>
        </w:rPr>
        <w:t xml:space="preserve"> </w:t>
      </w:r>
      <w:r>
        <w:t>cuando</w:t>
      </w:r>
      <w:r>
        <w:rPr>
          <w:spacing w:val="-2"/>
        </w:rPr>
        <w:t xml:space="preserve"> </w:t>
      </w:r>
      <w:r>
        <w:t>lo estime conveniente, como de propiedad particular, armas que estén consideradas como de uso privativo de las Fuerzas Armadas». Este decreto fue convertido en legislación permanente en 1968. Estas normas terminaron amparando la creación de grupos armados paramilitares en los años ochenta, en un contexto de eclosión del narcotráfico</w:t>
      </w:r>
      <w:r w:rsidR="00631FC5">
        <w:rPr>
          <w:rStyle w:val="Refdenotaalpie"/>
        </w:rPr>
        <w:footnoteReference w:id="1032"/>
      </w:r>
      <w:r>
        <w:t>. La creación de la figura de las autodefensas abonó las condiciones para que el Estado colombiano</w:t>
      </w:r>
      <w:r>
        <w:rPr>
          <w:spacing w:val="-2"/>
        </w:rPr>
        <w:t xml:space="preserve"> </w:t>
      </w:r>
      <w:r>
        <w:t>respondiera</w:t>
      </w:r>
      <w:r>
        <w:rPr>
          <w:spacing w:val="-2"/>
        </w:rPr>
        <w:t xml:space="preserve"> </w:t>
      </w:r>
      <w:r>
        <w:t>al</w:t>
      </w:r>
      <w:r>
        <w:rPr>
          <w:spacing w:val="-1"/>
        </w:rPr>
        <w:t xml:space="preserve"> </w:t>
      </w:r>
      <w:r>
        <w:t>desafío</w:t>
      </w:r>
      <w:r>
        <w:rPr>
          <w:spacing w:val="-2"/>
        </w:rPr>
        <w:t xml:space="preserve"> </w:t>
      </w:r>
      <w:r>
        <w:t>insurgente</w:t>
      </w:r>
      <w:r>
        <w:rPr>
          <w:spacing w:val="-2"/>
        </w:rPr>
        <w:t xml:space="preserve"> </w:t>
      </w:r>
      <w:r>
        <w:t>a</w:t>
      </w:r>
      <w:r>
        <w:rPr>
          <w:spacing w:val="-1"/>
        </w:rPr>
        <w:t xml:space="preserve"> </w:t>
      </w:r>
      <w:r>
        <w:t>través</w:t>
      </w:r>
      <w:r>
        <w:rPr>
          <w:spacing w:val="-1"/>
        </w:rPr>
        <w:t xml:space="preserve"> </w:t>
      </w:r>
      <w:r>
        <w:t>de</w:t>
      </w:r>
      <w:r>
        <w:rPr>
          <w:spacing w:val="-1"/>
        </w:rPr>
        <w:t xml:space="preserve"> </w:t>
      </w:r>
      <w:r>
        <w:t>redes</w:t>
      </w:r>
      <w:r>
        <w:rPr>
          <w:spacing w:val="-1"/>
        </w:rPr>
        <w:t xml:space="preserve"> </w:t>
      </w:r>
      <w:r>
        <w:t>civiles-estatales</w:t>
      </w:r>
      <w:r>
        <w:rPr>
          <w:spacing w:val="-1"/>
        </w:rPr>
        <w:t xml:space="preserve"> </w:t>
      </w:r>
      <w:r>
        <w:t>y</w:t>
      </w:r>
      <w:r>
        <w:rPr>
          <w:spacing w:val="-1"/>
        </w:rPr>
        <w:t xml:space="preserve"> </w:t>
      </w:r>
      <w:r>
        <w:t>grupos</w:t>
      </w:r>
      <w:r>
        <w:rPr>
          <w:spacing w:val="-1"/>
        </w:rPr>
        <w:t xml:space="preserve"> </w:t>
      </w:r>
      <w:r>
        <w:t>de seguridad</w:t>
      </w:r>
      <w:r>
        <w:rPr>
          <w:spacing w:val="-10"/>
        </w:rPr>
        <w:t xml:space="preserve"> </w:t>
      </w:r>
      <w:r>
        <w:t>privadas</w:t>
      </w:r>
      <w:r>
        <w:rPr>
          <w:spacing w:val="-10"/>
        </w:rPr>
        <w:t xml:space="preserve"> </w:t>
      </w:r>
      <w:r>
        <w:t>al</w:t>
      </w:r>
      <w:r>
        <w:rPr>
          <w:spacing w:val="-9"/>
        </w:rPr>
        <w:t xml:space="preserve"> </w:t>
      </w:r>
      <w:r>
        <w:t>margen</w:t>
      </w:r>
      <w:r>
        <w:rPr>
          <w:spacing w:val="-10"/>
        </w:rPr>
        <w:t xml:space="preserve"> </w:t>
      </w:r>
      <w:r>
        <w:t>de</w:t>
      </w:r>
      <w:r>
        <w:rPr>
          <w:spacing w:val="-10"/>
        </w:rPr>
        <w:t xml:space="preserve"> </w:t>
      </w:r>
      <w:r>
        <w:t>la</w:t>
      </w:r>
      <w:r>
        <w:rPr>
          <w:spacing w:val="-10"/>
        </w:rPr>
        <w:t xml:space="preserve"> </w:t>
      </w:r>
      <w:r>
        <w:t>ley</w:t>
      </w:r>
      <w:r w:rsidR="00631FC5">
        <w:rPr>
          <w:rStyle w:val="Refdenotaalpie"/>
        </w:rPr>
        <w:footnoteReference w:id="1033"/>
      </w:r>
      <w:r>
        <w:t>,</w:t>
      </w:r>
      <w:r>
        <w:rPr>
          <w:spacing w:val="-10"/>
        </w:rPr>
        <w:t xml:space="preserve"> </w:t>
      </w:r>
      <w:r>
        <w:t>que</w:t>
      </w:r>
      <w:r>
        <w:rPr>
          <w:spacing w:val="-10"/>
        </w:rPr>
        <w:t xml:space="preserve"> </w:t>
      </w:r>
      <w:r>
        <w:t>luego</w:t>
      </w:r>
      <w:r>
        <w:rPr>
          <w:spacing w:val="-10"/>
        </w:rPr>
        <w:t xml:space="preserve"> </w:t>
      </w:r>
      <w:r>
        <w:t>siguieron</w:t>
      </w:r>
      <w:r>
        <w:rPr>
          <w:spacing w:val="-10"/>
        </w:rPr>
        <w:t xml:space="preserve"> </w:t>
      </w:r>
      <w:r>
        <w:t>organizándose</w:t>
      </w:r>
      <w:r>
        <w:rPr>
          <w:spacing w:val="-11"/>
        </w:rPr>
        <w:t xml:space="preserve"> </w:t>
      </w:r>
      <w:r>
        <w:t>de</w:t>
      </w:r>
      <w:r>
        <w:rPr>
          <w:spacing w:val="-10"/>
        </w:rPr>
        <w:t xml:space="preserve"> </w:t>
      </w:r>
      <w:r>
        <w:t>forma</w:t>
      </w:r>
      <w:r>
        <w:rPr>
          <w:spacing w:val="-10"/>
        </w:rPr>
        <w:t xml:space="preserve"> </w:t>
      </w:r>
      <w:r>
        <w:t>cada vez más violenta.</w:t>
      </w:r>
    </w:p>
    <w:p w:rsidR="003804AC" w:rsidRDefault="00AF18A5" w:rsidP="00631FC5">
      <w:bookmarkStart w:id="1278" w:name="_bookmark1132"/>
      <w:bookmarkStart w:id="1279" w:name="_bookmark1133"/>
      <w:bookmarkStart w:id="1280" w:name="_bookmark1134"/>
      <w:bookmarkEnd w:id="1278"/>
      <w:bookmarkEnd w:id="1279"/>
      <w:bookmarkEnd w:id="1280"/>
      <w:r>
        <w:t xml:space="preserve">En medio de la actuación de estos grupos paramilitares contra sectores </w:t>
      </w:r>
      <w:r>
        <w:lastRenderedPageBreak/>
        <w:t>contra la Unión Patriótica</w:t>
      </w:r>
      <w:r>
        <w:rPr>
          <w:spacing w:val="-15"/>
        </w:rPr>
        <w:t xml:space="preserve"> </w:t>
      </w:r>
      <w:r>
        <w:t>y</w:t>
      </w:r>
      <w:r>
        <w:rPr>
          <w:spacing w:val="-15"/>
        </w:rPr>
        <w:t xml:space="preserve"> </w:t>
      </w:r>
      <w:r>
        <w:t>otros</w:t>
      </w:r>
      <w:r>
        <w:rPr>
          <w:spacing w:val="-15"/>
        </w:rPr>
        <w:t xml:space="preserve"> </w:t>
      </w:r>
      <w:r>
        <w:t>grupos</w:t>
      </w:r>
      <w:r>
        <w:rPr>
          <w:spacing w:val="-15"/>
        </w:rPr>
        <w:t xml:space="preserve"> </w:t>
      </w:r>
      <w:r>
        <w:t>políticos,</w:t>
      </w:r>
      <w:r>
        <w:rPr>
          <w:spacing w:val="-15"/>
        </w:rPr>
        <w:t xml:space="preserve"> </w:t>
      </w:r>
      <w:r>
        <w:t>los</w:t>
      </w:r>
      <w:r>
        <w:rPr>
          <w:spacing w:val="-15"/>
        </w:rPr>
        <w:t xml:space="preserve"> </w:t>
      </w:r>
      <w:r>
        <w:t>gobiernos</w:t>
      </w:r>
      <w:r>
        <w:rPr>
          <w:spacing w:val="-15"/>
        </w:rPr>
        <w:t xml:space="preserve"> </w:t>
      </w:r>
      <w:r>
        <w:t>intentaron</w:t>
      </w:r>
      <w:r>
        <w:rPr>
          <w:spacing w:val="-15"/>
        </w:rPr>
        <w:t xml:space="preserve"> </w:t>
      </w:r>
      <w:r>
        <w:t>–en</w:t>
      </w:r>
      <w:r>
        <w:rPr>
          <w:spacing w:val="-15"/>
        </w:rPr>
        <w:t xml:space="preserve"> </w:t>
      </w:r>
      <w:r>
        <w:t>los</w:t>
      </w:r>
      <w:r>
        <w:rPr>
          <w:spacing w:val="-15"/>
        </w:rPr>
        <w:t xml:space="preserve"> </w:t>
      </w:r>
      <w:r>
        <w:t>años</w:t>
      </w:r>
      <w:r>
        <w:rPr>
          <w:spacing w:val="-15"/>
        </w:rPr>
        <w:t xml:space="preserve"> </w:t>
      </w:r>
      <w:r>
        <w:t>noventa–</w:t>
      </w:r>
      <w:r>
        <w:rPr>
          <w:spacing w:val="-15"/>
        </w:rPr>
        <w:t xml:space="preserve"> </w:t>
      </w:r>
      <w:r>
        <w:t>someterlos al control y la vigilancia del Estado. Por ejemplo, en abril de 1989, el Gobierno Nacional promulgó</w:t>
      </w:r>
      <w:r>
        <w:rPr>
          <w:spacing w:val="-4"/>
        </w:rPr>
        <w:t xml:space="preserve"> </w:t>
      </w:r>
      <w:r>
        <w:t>el</w:t>
      </w:r>
      <w:r>
        <w:rPr>
          <w:spacing w:val="-3"/>
        </w:rPr>
        <w:t xml:space="preserve"> </w:t>
      </w:r>
      <w:r>
        <w:t>Decreto</w:t>
      </w:r>
      <w:r>
        <w:rPr>
          <w:spacing w:val="-4"/>
        </w:rPr>
        <w:t xml:space="preserve"> </w:t>
      </w:r>
      <w:r>
        <w:t>0815,</w:t>
      </w:r>
      <w:r>
        <w:rPr>
          <w:spacing w:val="-4"/>
        </w:rPr>
        <w:t xml:space="preserve"> </w:t>
      </w:r>
      <w:r>
        <w:t>mediante</w:t>
      </w:r>
      <w:r>
        <w:rPr>
          <w:spacing w:val="-3"/>
        </w:rPr>
        <w:t xml:space="preserve"> </w:t>
      </w:r>
      <w:r>
        <w:t>el</w:t>
      </w:r>
      <w:r>
        <w:rPr>
          <w:spacing w:val="-3"/>
        </w:rPr>
        <w:t xml:space="preserve"> </w:t>
      </w:r>
      <w:r>
        <w:t>cual</w:t>
      </w:r>
      <w:r>
        <w:rPr>
          <w:spacing w:val="-3"/>
        </w:rPr>
        <w:t xml:space="preserve"> </w:t>
      </w:r>
      <w:r>
        <w:t>suspendió</w:t>
      </w:r>
      <w:r>
        <w:rPr>
          <w:spacing w:val="-4"/>
        </w:rPr>
        <w:t xml:space="preserve"> </w:t>
      </w:r>
      <w:r>
        <w:t>la</w:t>
      </w:r>
      <w:r>
        <w:rPr>
          <w:spacing w:val="-3"/>
        </w:rPr>
        <w:t xml:space="preserve"> </w:t>
      </w:r>
      <w:r>
        <w:t>aplicación</w:t>
      </w:r>
      <w:r>
        <w:rPr>
          <w:spacing w:val="-4"/>
        </w:rPr>
        <w:t xml:space="preserve"> </w:t>
      </w:r>
      <w:r>
        <w:t>de</w:t>
      </w:r>
      <w:r>
        <w:rPr>
          <w:spacing w:val="-3"/>
        </w:rPr>
        <w:t xml:space="preserve"> </w:t>
      </w:r>
      <w:r>
        <w:t>los</w:t>
      </w:r>
      <w:r>
        <w:rPr>
          <w:spacing w:val="-5"/>
        </w:rPr>
        <w:t xml:space="preserve"> </w:t>
      </w:r>
      <w:r>
        <w:t>artículos</w:t>
      </w:r>
      <w:r>
        <w:rPr>
          <w:spacing w:val="-3"/>
        </w:rPr>
        <w:t xml:space="preserve"> </w:t>
      </w:r>
      <w:r>
        <w:t>25</w:t>
      </w:r>
      <w:r>
        <w:rPr>
          <w:spacing w:val="-5"/>
        </w:rPr>
        <w:t xml:space="preserve"> </w:t>
      </w:r>
      <w:r>
        <w:t>y</w:t>
      </w:r>
      <w:r>
        <w:rPr>
          <w:spacing w:val="-4"/>
        </w:rPr>
        <w:t xml:space="preserve"> </w:t>
      </w:r>
      <w:r>
        <w:t>33 del Decreto 3398 para evitar que fueran interpretados como una autorización legal para organizar grupos civiles armados al margen de la Constitución y las leyes. Luego, la administración</w:t>
      </w:r>
      <w:r>
        <w:rPr>
          <w:spacing w:val="30"/>
        </w:rPr>
        <w:t xml:space="preserve"> </w:t>
      </w:r>
      <w:r>
        <w:t>de</w:t>
      </w:r>
      <w:r>
        <w:rPr>
          <w:spacing w:val="31"/>
        </w:rPr>
        <w:t xml:space="preserve"> </w:t>
      </w:r>
      <w:r>
        <w:t>César</w:t>
      </w:r>
      <w:r>
        <w:rPr>
          <w:spacing w:val="30"/>
        </w:rPr>
        <w:t xml:space="preserve"> </w:t>
      </w:r>
      <w:r>
        <w:t>Gaviria</w:t>
      </w:r>
      <w:r>
        <w:rPr>
          <w:spacing w:val="31"/>
        </w:rPr>
        <w:t xml:space="preserve"> </w:t>
      </w:r>
      <w:r>
        <w:t>promulgó</w:t>
      </w:r>
      <w:r>
        <w:rPr>
          <w:spacing w:val="30"/>
        </w:rPr>
        <w:t xml:space="preserve"> </w:t>
      </w:r>
      <w:r>
        <w:t>el</w:t>
      </w:r>
      <w:r>
        <w:rPr>
          <w:spacing w:val="31"/>
        </w:rPr>
        <w:t xml:space="preserve"> </w:t>
      </w:r>
      <w:r>
        <w:t>Decreto</w:t>
      </w:r>
      <w:r>
        <w:rPr>
          <w:spacing w:val="31"/>
        </w:rPr>
        <w:t xml:space="preserve"> </w:t>
      </w:r>
      <w:r>
        <w:t>Ley</w:t>
      </w:r>
      <w:r>
        <w:rPr>
          <w:spacing w:val="30"/>
        </w:rPr>
        <w:t xml:space="preserve"> </w:t>
      </w:r>
      <w:r>
        <w:t>356</w:t>
      </w:r>
      <w:r>
        <w:rPr>
          <w:spacing w:val="30"/>
        </w:rPr>
        <w:t xml:space="preserve"> </w:t>
      </w:r>
      <w:r>
        <w:t>de</w:t>
      </w:r>
      <w:r>
        <w:rPr>
          <w:spacing w:val="31"/>
        </w:rPr>
        <w:t xml:space="preserve"> </w:t>
      </w:r>
      <w:r>
        <w:t>1994</w:t>
      </w:r>
      <w:r>
        <w:rPr>
          <w:spacing w:val="31"/>
        </w:rPr>
        <w:t xml:space="preserve"> </w:t>
      </w:r>
      <w:r>
        <w:t>para</w:t>
      </w:r>
      <w:r>
        <w:rPr>
          <w:spacing w:val="31"/>
        </w:rPr>
        <w:t xml:space="preserve"> </w:t>
      </w:r>
      <w:r>
        <w:t>regular</w:t>
      </w:r>
      <w:r>
        <w:rPr>
          <w:spacing w:val="31"/>
        </w:rPr>
        <w:t xml:space="preserve"> </w:t>
      </w:r>
      <w:r>
        <w:rPr>
          <w:spacing w:val="-5"/>
        </w:rPr>
        <w:t>los</w:t>
      </w:r>
      <w:r w:rsidR="00631FC5">
        <w:t xml:space="preserve"> </w:t>
      </w:r>
      <w:r>
        <w:t>«servicios</w:t>
      </w:r>
      <w:r>
        <w:rPr>
          <w:spacing w:val="-2"/>
        </w:rPr>
        <w:t xml:space="preserve"> </w:t>
      </w:r>
      <w:r>
        <w:t>especiales</w:t>
      </w:r>
      <w:r>
        <w:rPr>
          <w:spacing w:val="-2"/>
        </w:rPr>
        <w:t xml:space="preserve"> </w:t>
      </w:r>
      <w:r>
        <w:t>de</w:t>
      </w:r>
      <w:r>
        <w:rPr>
          <w:spacing w:val="-3"/>
        </w:rPr>
        <w:t xml:space="preserve"> </w:t>
      </w:r>
      <w:r>
        <w:t>seguridad</w:t>
      </w:r>
      <w:r>
        <w:rPr>
          <w:spacing w:val="-2"/>
        </w:rPr>
        <w:t xml:space="preserve"> </w:t>
      </w:r>
      <w:r>
        <w:t>privada»</w:t>
      </w:r>
      <w:r>
        <w:rPr>
          <w:spacing w:val="-2"/>
        </w:rPr>
        <w:t xml:space="preserve"> </w:t>
      </w:r>
      <w:r>
        <w:t>que</w:t>
      </w:r>
      <w:r>
        <w:rPr>
          <w:spacing w:val="-3"/>
        </w:rPr>
        <w:t xml:space="preserve"> </w:t>
      </w:r>
      <w:r>
        <w:t>operarían</w:t>
      </w:r>
      <w:r>
        <w:rPr>
          <w:spacing w:val="-2"/>
        </w:rPr>
        <w:t xml:space="preserve"> </w:t>
      </w:r>
      <w:r>
        <w:t>en</w:t>
      </w:r>
      <w:r>
        <w:rPr>
          <w:spacing w:val="-3"/>
        </w:rPr>
        <w:t xml:space="preserve"> </w:t>
      </w:r>
      <w:r>
        <w:t>regiones</w:t>
      </w:r>
      <w:r>
        <w:rPr>
          <w:spacing w:val="-3"/>
        </w:rPr>
        <w:t xml:space="preserve"> </w:t>
      </w:r>
      <w:r>
        <w:t>en</w:t>
      </w:r>
      <w:r>
        <w:rPr>
          <w:spacing w:val="-3"/>
        </w:rPr>
        <w:t xml:space="preserve"> </w:t>
      </w:r>
      <w:r>
        <w:t>las</w:t>
      </w:r>
      <w:r>
        <w:rPr>
          <w:spacing w:val="-2"/>
        </w:rPr>
        <w:t xml:space="preserve"> </w:t>
      </w:r>
      <w:r>
        <w:t>cuales</w:t>
      </w:r>
      <w:r>
        <w:rPr>
          <w:spacing w:val="-2"/>
        </w:rPr>
        <w:t xml:space="preserve"> </w:t>
      </w:r>
      <w:r>
        <w:t>hubiese alteración</w:t>
      </w:r>
      <w:r>
        <w:rPr>
          <w:spacing w:val="-9"/>
        </w:rPr>
        <w:t xml:space="preserve"> </w:t>
      </w:r>
      <w:r>
        <w:t>del</w:t>
      </w:r>
      <w:r>
        <w:rPr>
          <w:spacing w:val="-9"/>
        </w:rPr>
        <w:t xml:space="preserve"> </w:t>
      </w:r>
      <w:r>
        <w:t>orden</w:t>
      </w:r>
      <w:r>
        <w:rPr>
          <w:spacing w:val="-9"/>
        </w:rPr>
        <w:t xml:space="preserve"> </w:t>
      </w:r>
      <w:r>
        <w:t>público.</w:t>
      </w:r>
      <w:r>
        <w:rPr>
          <w:spacing w:val="-9"/>
        </w:rPr>
        <w:t xml:space="preserve"> </w:t>
      </w:r>
      <w:r>
        <w:t>Y</w:t>
      </w:r>
      <w:r>
        <w:rPr>
          <w:spacing w:val="-10"/>
        </w:rPr>
        <w:t xml:space="preserve"> </w:t>
      </w:r>
      <w:r>
        <w:t>en</w:t>
      </w:r>
      <w:r>
        <w:rPr>
          <w:spacing w:val="-9"/>
        </w:rPr>
        <w:t xml:space="preserve"> </w:t>
      </w:r>
      <w:r>
        <w:t>abril</w:t>
      </w:r>
      <w:r>
        <w:rPr>
          <w:spacing w:val="-9"/>
        </w:rPr>
        <w:t xml:space="preserve"> </w:t>
      </w:r>
      <w:r>
        <w:t>de</w:t>
      </w:r>
      <w:r>
        <w:rPr>
          <w:spacing w:val="-9"/>
        </w:rPr>
        <w:t xml:space="preserve"> </w:t>
      </w:r>
      <w:r>
        <w:t>1995,</w:t>
      </w:r>
      <w:r>
        <w:rPr>
          <w:spacing w:val="-9"/>
        </w:rPr>
        <w:t xml:space="preserve"> </w:t>
      </w:r>
      <w:r>
        <w:t>ya</w:t>
      </w:r>
      <w:r>
        <w:rPr>
          <w:spacing w:val="-10"/>
        </w:rPr>
        <w:t xml:space="preserve"> </w:t>
      </w:r>
      <w:r>
        <w:t>bajo</w:t>
      </w:r>
      <w:r>
        <w:rPr>
          <w:spacing w:val="-9"/>
        </w:rPr>
        <w:t xml:space="preserve"> </w:t>
      </w:r>
      <w:r>
        <w:t>el</w:t>
      </w:r>
      <w:r>
        <w:rPr>
          <w:spacing w:val="-9"/>
        </w:rPr>
        <w:t xml:space="preserve"> </w:t>
      </w:r>
      <w:r>
        <w:t>gobierno</w:t>
      </w:r>
      <w:r>
        <w:rPr>
          <w:spacing w:val="-9"/>
        </w:rPr>
        <w:t xml:space="preserve"> </w:t>
      </w:r>
      <w:r>
        <w:t>de</w:t>
      </w:r>
      <w:r>
        <w:rPr>
          <w:spacing w:val="-9"/>
        </w:rPr>
        <w:t xml:space="preserve"> </w:t>
      </w:r>
      <w:r>
        <w:t>Ernesto</w:t>
      </w:r>
      <w:r>
        <w:rPr>
          <w:spacing w:val="-9"/>
        </w:rPr>
        <w:t xml:space="preserve"> </w:t>
      </w:r>
      <w:r>
        <w:t>Samper,</w:t>
      </w:r>
      <w:r>
        <w:rPr>
          <w:spacing w:val="-11"/>
        </w:rPr>
        <w:t xml:space="preserve"> </w:t>
      </w:r>
      <w:r>
        <w:t>una resolución de la Superintendencia de Vigilancia y Seguridad Privada les otorgó a dichos nuevos</w:t>
      </w:r>
      <w:r>
        <w:rPr>
          <w:spacing w:val="-11"/>
        </w:rPr>
        <w:t xml:space="preserve"> </w:t>
      </w:r>
      <w:r>
        <w:t>servicios</w:t>
      </w:r>
      <w:r>
        <w:rPr>
          <w:spacing w:val="-11"/>
        </w:rPr>
        <w:t xml:space="preserve"> </w:t>
      </w:r>
      <w:r>
        <w:t>el</w:t>
      </w:r>
      <w:r>
        <w:rPr>
          <w:spacing w:val="-10"/>
        </w:rPr>
        <w:t xml:space="preserve"> </w:t>
      </w:r>
      <w:r>
        <w:t>nombre</w:t>
      </w:r>
      <w:r>
        <w:rPr>
          <w:spacing w:val="-11"/>
        </w:rPr>
        <w:t xml:space="preserve"> </w:t>
      </w:r>
      <w:r>
        <w:t>de</w:t>
      </w:r>
      <w:r>
        <w:rPr>
          <w:spacing w:val="-11"/>
        </w:rPr>
        <w:t xml:space="preserve"> </w:t>
      </w:r>
      <w:r>
        <w:t>Convivir</w:t>
      </w:r>
      <w:r w:rsidR="00631FC5">
        <w:rPr>
          <w:rStyle w:val="Refdenotaalpie"/>
        </w:rPr>
        <w:footnoteReference w:id="1034"/>
      </w:r>
      <w:r>
        <w:t>.</w:t>
      </w:r>
      <w:r>
        <w:rPr>
          <w:spacing w:val="-11"/>
        </w:rPr>
        <w:t xml:space="preserve"> </w:t>
      </w:r>
      <w:r>
        <w:t>Finalmente,</w:t>
      </w:r>
      <w:r>
        <w:rPr>
          <w:spacing w:val="-11"/>
        </w:rPr>
        <w:t xml:space="preserve"> </w:t>
      </w:r>
      <w:r>
        <w:t>después</w:t>
      </w:r>
      <w:r>
        <w:rPr>
          <w:spacing w:val="-11"/>
        </w:rPr>
        <w:t xml:space="preserve"> </w:t>
      </w:r>
      <w:r>
        <w:t>de</w:t>
      </w:r>
      <w:r>
        <w:rPr>
          <w:spacing w:val="-11"/>
        </w:rPr>
        <w:t xml:space="preserve"> </w:t>
      </w:r>
      <w:r>
        <w:t>tres</w:t>
      </w:r>
      <w:r>
        <w:rPr>
          <w:spacing w:val="-11"/>
        </w:rPr>
        <w:t xml:space="preserve"> </w:t>
      </w:r>
      <w:r>
        <w:t>décadas</w:t>
      </w:r>
      <w:r>
        <w:rPr>
          <w:spacing w:val="-11"/>
        </w:rPr>
        <w:t xml:space="preserve"> </w:t>
      </w:r>
      <w:r>
        <w:t>de</w:t>
      </w:r>
      <w:r>
        <w:rPr>
          <w:spacing w:val="-11"/>
        </w:rPr>
        <w:t xml:space="preserve"> </w:t>
      </w:r>
      <w:r>
        <w:t>respaldo legal,</w:t>
      </w:r>
      <w:r>
        <w:rPr>
          <w:spacing w:val="-12"/>
        </w:rPr>
        <w:t xml:space="preserve"> </w:t>
      </w:r>
      <w:r>
        <w:t>el</w:t>
      </w:r>
      <w:r>
        <w:rPr>
          <w:spacing w:val="-10"/>
        </w:rPr>
        <w:t xml:space="preserve"> </w:t>
      </w:r>
      <w:r>
        <w:t>paramilitarismo</w:t>
      </w:r>
      <w:r>
        <w:rPr>
          <w:spacing w:val="-12"/>
        </w:rPr>
        <w:t xml:space="preserve"> </w:t>
      </w:r>
      <w:r>
        <w:t>fue</w:t>
      </w:r>
      <w:r>
        <w:rPr>
          <w:spacing w:val="-11"/>
        </w:rPr>
        <w:t xml:space="preserve"> </w:t>
      </w:r>
      <w:r>
        <w:t>formalmente</w:t>
      </w:r>
      <w:r>
        <w:rPr>
          <w:spacing w:val="-11"/>
        </w:rPr>
        <w:t xml:space="preserve"> </w:t>
      </w:r>
      <w:r>
        <w:t>ilegalizado</w:t>
      </w:r>
      <w:r>
        <w:rPr>
          <w:spacing w:val="-11"/>
        </w:rPr>
        <w:t xml:space="preserve"> </w:t>
      </w:r>
      <w:r>
        <w:t>en</w:t>
      </w:r>
      <w:r>
        <w:rPr>
          <w:spacing w:val="-11"/>
        </w:rPr>
        <w:t xml:space="preserve"> </w:t>
      </w:r>
      <w:r>
        <w:t>1999</w:t>
      </w:r>
      <w:r w:rsidR="00631FC5">
        <w:rPr>
          <w:rStyle w:val="Refdenotaalpie"/>
        </w:rPr>
        <w:footnoteReference w:id="1035"/>
      </w:r>
      <w:r>
        <w:rPr>
          <w:spacing w:val="-10"/>
        </w:rPr>
        <w:t xml:space="preserve"> </w:t>
      </w:r>
      <w:r>
        <w:t>y</w:t>
      </w:r>
      <w:r>
        <w:rPr>
          <w:spacing w:val="-11"/>
        </w:rPr>
        <w:t xml:space="preserve"> </w:t>
      </w:r>
      <w:r>
        <w:t>combatido</w:t>
      </w:r>
      <w:r>
        <w:rPr>
          <w:spacing w:val="-12"/>
        </w:rPr>
        <w:t xml:space="preserve"> </w:t>
      </w:r>
      <w:r>
        <w:t>por</w:t>
      </w:r>
      <w:r>
        <w:rPr>
          <w:spacing w:val="-10"/>
        </w:rPr>
        <w:t xml:space="preserve"> </w:t>
      </w:r>
      <w:r>
        <w:t>el</w:t>
      </w:r>
      <w:r>
        <w:rPr>
          <w:spacing w:val="-10"/>
        </w:rPr>
        <w:t xml:space="preserve"> </w:t>
      </w:r>
      <w:r>
        <w:t>Estado, aunque de manera muy deficiente. Las pocas iniciativas de persecución ignoraron –a veces deliberadamente– los complejos intereses territoriales (criminales, políticos, militares y económicos)</w:t>
      </w:r>
      <w:r>
        <w:rPr>
          <w:spacing w:val="-7"/>
        </w:rPr>
        <w:t xml:space="preserve"> </w:t>
      </w:r>
      <w:r>
        <w:t>detrás</w:t>
      </w:r>
      <w:r>
        <w:rPr>
          <w:spacing w:val="-7"/>
        </w:rPr>
        <w:t xml:space="preserve"> </w:t>
      </w:r>
      <w:r>
        <w:t>del</w:t>
      </w:r>
      <w:r>
        <w:rPr>
          <w:spacing w:val="-7"/>
        </w:rPr>
        <w:t xml:space="preserve"> </w:t>
      </w:r>
      <w:r>
        <w:t>fenómeno</w:t>
      </w:r>
      <w:r>
        <w:rPr>
          <w:spacing w:val="-7"/>
        </w:rPr>
        <w:t xml:space="preserve"> </w:t>
      </w:r>
      <w:r>
        <w:t>paramilitar</w:t>
      </w:r>
      <w:r>
        <w:rPr>
          <w:spacing w:val="-7"/>
        </w:rPr>
        <w:t xml:space="preserve"> </w:t>
      </w:r>
      <w:r>
        <w:t>y</w:t>
      </w:r>
      <w:r>
        <w:rPr>
          <w:spacing w:val="-7"/>
        </w:rPr>
        <w:t xml:space="preserve"> </w:t>
      </w:r>
      <w:r>
        <w:t>los</w:t>
      </w:r>
      <w:r>
        <w:rPr>
          <w:spacing w:val="-7"/>
        </w:rPr>
        <w:t xml:space="preserve"> </w:t>
      </w:r>
      <w:r>
        <w:t>apoyos</w:t>
      </w:r>
      <w:r>
        <w:rPr>
          <w:spacing w:val="-7"/>
        </w:rPr>
        <w:t xml:space="preserve"> </w:t>
      </w:r>
      <w:r>
        <w:t>ideológicos</w:t>
      </w:r>
      <w:r>
        <w:rPr>
          <w:spacing w:val="-7"/>
        </w:rPr>
        <w:t xml:space="preserve"> </w:t>
      </w:r>
      <w:r>
        <w:t>y</w:t>
      </w:r>
      <w:r>
        <w:rPr>
          <w:spacing w:val="-7"/>
        </w:rPr>
        <w:t xml:space="preserve"> </w:t>
      </w:r>
      <w:r>
        <w:t>materiales</w:t>
      </w:r>
      <w:r>
        <w:rPr>
          <w:spacing w:val="-7"/>
        </w:rPr>
        <w:t xml:space="preserve"> </w:t>
      </w:r>
      <w:r>
        <w:t>que</w:t>
      </w:r>
      <w:r>
        <w:rPr>
          <w:spacing w:val="-7"/>
        </w:rPr>
        <w:t xml:space="preserve"> </w:t>
      </w:r>
      <w:r>
        <w:t>este poseía</w:t>
      </w:r>
      <w:r>
        <w:rPr>
          <w:spacing w:val="-9"/>
        </w:rPr>
        <w:t xml:space="preserve"> </w:t>
      </w:r>
      <w:r>
        <w:t>en</w:t>
      </w:r>
      <w:r>
        <w:rPr>
          <w:spacing w:val="-10"/>
        </w:rPr>
        <w:t xml:space="preserve"> </w:t>
      </w:r>
      <w:r>
        <w:t>amplias</w:t>
      </w:r>
      <w:r>
        <w:rPr>
          <w:spacing w:val="-8"/>
        </w:rPr>
        <w:t xml:space="preserve"> </w:t>
      </w:r>
      <w:r>
        <w:t>capas</w:t>
      </w:r>
      <w:r>
        <w:rPr>
          <w:spacing w:val="-9"/>
        </w:rPr>
        <w:t xml:space="preserve"> </w:t>
      </w:r>
      <w:r>
        <w:t>del</w:t>
      </w:r>
      <w:r>
        <w:rPr>
          <w:spacing w:val="-9"/>
        </w:rPr>
        <w:t xml:space="preserve"> </w:t>
      </w:r>
      <w:r>
        <w:t>Estado</w:t>
      </w:r>
      <w:r>
        <w:rPr>
          <w:spacing w:val="-10"/>
        </w:rPr>
        <w:t xml:space="preserve"> </w:t>
      </w:r>
      <w:r>
        <w:t>–incluyendo,</w:t>
      </w:r>
      <w:r>
        <w:rPr>
          <w:spacing w:val="-11"/>
        </w:rPr>
        <w:t xml:space="preserve"> </w:t>
      </w:r>
      <w:r>
        <w:t>desde</w:t>
      </w:r>
      <w:r>
        <w:rPr>
          <w:spacing w:val="-9"/>
        </w:rPr>
        <w:t xml:space="preserve"> </w:t>
      </w:r>
      <w:r>
        <w:t>luego,</w:t>
      </w:r>
      <w:r>
        <w:rPr>
          <w:spacing w:val="-10"/>
        </w:rPr>
        <w:t xml:space="preserve"> </w:t>
      </w:r>
      <w:r>
        <w:t>a</w:t>
      </w:r>
      <w:r>
        <w:rPr>
          <w:spacing w:val="-9"/>
        </w:rPr>
        <w:t xml:space="preserve"> </w:t>
      </w:r>
      <w:r>
        <w:t>la</w:t>
      </w:r>
      <w:r>
        <w:rPr>
          <w:spacing w:val="-9"/>
        </w:rPr>
        <w:t xml:space="preserve"> </w:t>
      </w:r>
      <w:r>
        <w:t>fuerza</w:t>
      </w:r>
      <w:r>
        <w:rPr>
          <w:spacing w:val="-8"/>
        </w:rPr>
        <w:t xml:space="preserve"> </w:t>
      </w:r>
      <w:r>
        <w:t>pública–</w:t>
      </w:r>
      <w:r>
        <w:rPr>
          <w:spacing w:val="-10"/>
        </w:rPr>
        <w:t xml:space="preserve"> </w:t>
      </w:r>
      <w:r>
        <w:t>y</w:t>
      </w:r>
      <w:r>
        <w:rPr>
          <w:spacing w:val="-8"/>
        </w:rPr>
        <w:t xml:space="preserve"> </w:t>
      </w:r>
      <w:r>
        <w:t>sectores económicos</w:t>
      </w:r>
      <w:r>
        <w:rPr>
          <w:spacing w:val="-14"/>
        </w:rPr>
        <w:t xml:space="preserve"> </w:t>
      </w:r>
      <w:r>
        <w:t>y</w:t>
      </w:r>
      <w:r>
        <w:rPr>
          <w:spacing w:val="-13"/>
        </w:rPr>
        <w:t xml:space="preserve"> </w:t>
      </w:r>
      <w:r>
        <w:t>políticos</w:t>
      </w:r>
      <w:r>
        <w:rPr>
          <w:spacing w:val="-14"/>
        </w:rPr>
        <w:t xml:space="preserve"> </w:t>
      </w:r>
      <w:r>
        <w:t>de</w:t>
      </w:r>
      <w:r>
        <w:rPr>
          <w:spacing w:val="-13"/>
        </w:rPr>
        <w:t xml:space="preserve"> </w:t>
      </w:r>
      <w:r>
        <w:t>la</w:t>
      </w:r>
      <w:r>
        <w:rPr>
          <w:spacing w:val="-14"/>
        </w:rPr>
        <w:t xml:space="preserve"> </w:t>
      </w:r>
      <w:r>
        <w:t>sociedad.</w:t>
      </w:r>
      <w:r>
        <w:rPr>
          <w:spacing w:val="-13"/>
        </w:rPr>
        <w:t xml:space="preserve"> </w:t>
      </w:r>
      <w:r>
        <w:t>Gracias</w:t>
      </w:r>
      <w:r>
        <w:rPr>
          <w:spacing w:val="-13"/>
        </w:rPr>
        <w:t xml:space="preserve"> </w:t>
      </w:r>
      <w:r>
        <w:t>a</w:t>
      </w:r>
      <w:r>
        <w:rPr>
          <w:spacing w:val="-14"/>
        </w:rPr>
        <w:t xml:space="preserve"> </w:t>
      </w:r>
      <w:r>
        <w:t>eso,</w:t>
      </w:r>
      <w:r>
        <w:rPr>
          <w:spacing w:val="-13"/>
        </w:rPr>
        <w:t xml:space="preserve"> </w:t>
      </w:r>
      <w:r>
        <w:t>y</w:t>
      </w:r>
      <w:r>
        <w:rPr>
          <w:spacing w:val="-13"/>
        </w:rPr>
        <w:t xml:space="preserve"> </w:t>
      </w:r>
      <w:r>
        <w:t>a</w:t>
      </w:r>
      <w:r>
        <w:rPr>
          <w:spacing w:val="-14"/>
        </w:rPr>
        <w:t xml:space="preserve"> </w:t>
      </w:r>
      <w:r>
        <w:t>la</w:t>
      </w:r>
      <w:r>
        <w:rPr>
          <w:spacing w:val="-13"/>
        </w:rPr>
        <w:t xml:space="preserve"> </w:t>
      </w:r>
      <w:r>
        <w:t>colaboración</w:t>
      </w:r>
      <w:r>
        <w:rPr>
          <w:spacing w:val="-13"/>
        </w:rPr>
        <w:t xml:space="preserve"> </w:t>
      </w:r>
      <w:r>
        <w:t>de</w:t>
      </w:r>
      <w:r>
        <w:rPr>
          <w:spacing w:val="-14"/>
        </w:rPr>
        <w:t xml:space="preserve"> </w:t>
      </w:r>
      <w:r>
        <w:t>la</w:t>
      </w:r>
      <w:r>
        <w:rPr>
          <w:spacing w:val="-14"/>
        </w:rPr>
        <w:t xml:space="preserve"> </w:t>
      </w:r>
      <w:r>
        <w:t>fuerza</w:t>
      </w:r>
      <w:r>
        <w:rPr>
          <w:spacing w:val="-13"/>
        </w:rPr>
        <w:t xml:space="preserve"> </w:t>
      </w:r>
      <w:r>
        <w:t>pública, el paramilitarismo se extendió en pocos años prácticamente por todo el país, desde sus epicentros en el Magdalena Medio y Urabá.</w:t>
      </w:r>
    </w:p>
    <w:p w:rsidR="003804AC" w:rsidRDefault="00AF18A5" w:rsidP="00631FC5">
      <w:r>
        <w:t>Anclado en la privatización de la coerción y la seguridad, el paramilitarismo ha sido un proyecto</w:t>
      </w:r>
      <w:r>
        <w:rPr>
          <w:spacing w:val="-4"/>
        </w:rPr>
        <w:t xml:space="preserve"> </w:t>
      </w:r>
      <w:r>
        <w:t>de</w:t>
      </w:r>
      <w:r>
        <w:rPr>
          <w:spacing w:val="-5"/>
        </w:rPr>
        <w:t xml:space="preserve"> </w:t>
      </w:r>
      <w:r>
        <w:t>las</w:t>
      </w:r>
      <w:r>
        <w:rPr>
          <w:spacing w:val="-4"/>
        </w:rPr>
        <w:t xml:space="preserve"> </w:t>
      </w:r>
      <w:r>
        <w:t>mafias,</w:t>
      </w:r>
      <w:r>
        <w:rPr>
          <w:spacing w:val="-4"/>
        </w:rPr>
        <w:t xml:space="preserve"> </w:t>
      </w:r>
      <w:r>
        <w:t>un</w:t>
      </w:r>
      <w:r>
        <w:rPr>
          <w:spacing w:val="-4"/>
        </w:rPr>
        <w:t xml:space="preserve"> </w:t>
      </w:r>
      <w:r>
        <w:t>sector</w:t>
      </w:r>
      <w:r>
        <w:rPr>
          <w:spacing w:val="-4"/>
        </w:rPr>
        <w:t xml:space="preserve"> </w:t>
      </w:r>
      <w:r>
        <w:t>de</w:t>
      </w:r>
      <w:r>
        <w:rPr>
          <w:spacing w:val="-4"/>
        </w:rPr>
        <w:t xml:space="preserve"> </w:t>
      </w:r>
      <w:r>
        <w:t>las</w:t>
      </w:r>
      <w:r>
        <w:rPr>
          <w:spacing w:val="-4"/>
        </w:rPr>
        <w:t xml:space="preserve"> </w:t>
      </w:r>
      <w:r>
        <w:t>élites</w:t>
      </w:r>
      <w:r>
        <w:rPr>
          <w:spacing w:val="-4"/>
        </w:rPr>
        <w:t xml:space="preserve"> </w:t>
      </w:r>
      <w:r>
        <w:lastRenderedPageBreak/>
        <w:t>y</w:t>
      </w:r>
      <w:r>
        <w:rPr>
          <w:spacing w:val="-4"/>
        </w:rPr>
        <w:t xml:space="preserve"> </w:t>
      </w:r>
      <w:r>
        <w:t>de</w:t>
      </w:r>
      <w:r>
        <w:rPr>
          <w:spacing w:val="-4"/>
        </w:rPr>
        <w:t xml:space="preserve"> </w:t>
      </w:r>
      <w:r>
        <w:t>la</w:t>
      </w:r>
      <w:r>
        <w:rPr>
          <w:spacing w:val="-4"/>
        </w:rPr>
        <w:t xml:space="preserve"> </w:t>
      </w:r>
      <w:r>
        <w:t>fuerza</w:t>
      </w:r>
      <w:r>
        <w:rPr>
          <w:spacing w:val="-4"/>
        </w:rPr>
        <w:t xml:space="preserve"> </w:t>
      </w:r>
      <w:r>
        <w:t>pública,</w:t>
      </w:r>
      <w:r>
        <w:rPr>
          <w:spacing w:val="-4"/>
        </w:rPr>
        <w:t xml:space="preserve"> </w:t>
      </w:r>
      <w:r>
        <w:t>que</w:t>
      </w:r>
      <w:r>
        <w:rPr>
          <w:spacing w:val="-4"/>
        </w:rPr>
        <w:t xml:space="preserve"> </w:t>
      </w:r>
      <w:r>
        <w:t>buscan</w:t>
      </w:r>
      <w:r>
        <w:rPr>
          <w:spacing w:val="-4"/>
        </w:rPr>
        <w:t xml:space="preserve"> </w:t>
      </w:r>
      <w:r>
        <w:t>mantener</w:t>
      </w:r>
      <w:r>
        <w:rPr>
          <w:spacing w:val="-4"/>
        </w:rPr>
        <w:t xml:space="preserve"> </w:t>
      </w:r>
      <w:r>
        <w:t>el control</w:t>
      </w:r>
      <w:r>
        <w:rPr>
          <w:spacing w:val="-2"/>
        </w:rPr>
        <w:t xml:space="preserve"> </w:t>
      </w:r>
      <w:r>
        <w:t>no</w:t>
      </w:r>
      <w:r>
        <w:rPr>
          <w:spacing w:val="-2"/>
        </w:rPr>
        <w:t xml:space="preserve"> </w:t>
      </w:r>
      <w:r>
        <w:t>solo</w:t>
      </w:r>
      <w:r>
        <w:rPr>
          <w:spacing w:val="-2"/>
        </w:rPr>
        <w:t xml:space="preserve"> </w:t>
      </w:r>
      <w:r>
        <w:t>de</w:t>
      </w:r>
      <w:r>
        <w:rPr>
          <w:spacing w:val="-2"/>
        </w:rPr>
        <w:t xml:space="preserve"> </w:t>
      </w:r>
      <w:r>
        <w:t>la</w:t>
      </w:r>
      <w:r>
        <w:rPr>
          <w:spacing w:val="-2"/>
        </w:rPr>
        <w:t xml:space="preserve"> </w:t>
      </w:r>
      <w:r>
        <w:t>política</w:t>
      </w:r>
      <w:r>
        <w:rPr>
          <w:spacing w:val="-2"/>
        </w:rPr>
        <w:t xml:space="preserve"> </w:t>
      </w:r>
      <w:r>
        <w:t>en</w:t>
      </w:r>
      <w:r>
        <w:rPr>
          <w:spacing w:val="-2"/>
        </w:rPr>
        <w:t xml:space="preserve"> </w:t>
      </w:r>
      <w:r>
        <w:t>las</w:t>
      </w:r>
      <w:r>
        <w:rPr>
          <w:spacing w:val="-2"/>
        </w:rPr>
        <w:t xml:space="preserve"> </w:t>
      </w:r>
      <w:r>
        <w:t>regiones,</w:t>
      </w:r>
      <w:r>
        <w:rPr>
          <w:spacing w:val="-2"/>
        </w:rPr>
        <w:t xml:space="preserve"> </w:t>
      </w:r>
      <w:r>
        <w:t>sino</w:t>
      </w:r>
      <w:r>
        <w:rPr>
          <w:spacing w:val="-2"/>
        </w:rPr>
        <w:t xml:space="preserve"> </w:t>
      </w:r>
      <w:r>
        <w:t>también</w:t>
      </w:r>
      <w:r>
        <w:rPr>
          <w:spacing w:val="-2"/>
        </w:rPr>
        <w:t xml:space="preserve"> </w:t>
      </w:r>
      <w:r>
        <w:t>de</w:t>
      </w:r>
      <w:r>
        <w:rPr>
          <w:spacing w:val="-2"/>
        </w:rPr>
        <w:t xml:space="preserve"> </w:t>
      </w:r>
      <w:r>
        <w:t>la</w:t>
      </w:r>
      <w:r>
        <w:rPr>
          <w:spacing w:val="-2"/>
        </w:rPr>
        <w:t xml:space="preserve"> </w:t>
      </w:r>
      <w:r>
        <w:t>tierra,</w:t>
      </w:r>
      <w:r>
        <w:rPr>
          <w:spacing w:val="-2"/>
        </w:rPr>
        <w:t xml:space="preserve"> </w:t>
      </w:r>
      <w:r>
        <w:t>además</w:t>
      </w:r>
      <w:r>
        <w:rPr>
          <w:spacing w:val="-2"/>
        </w:rPr>
        <w:t xml:space="preserve"> </w:t>
      </w:r>
      <w:r>
        <w:t>de</w:t>
      </w:r>
      <w:r>
        <w:rPr>
          <w:spacing w:val="-2"/>
        </w:rPr>
        <w:t xml:space="preserve"> </w:t>
      </w:r>
      <w:r>
        <w:t>ganarle</w:t>
      </w:r>
      <w:r>
        <w:rPr>
          <w:spacing w:val="-2"/>
        </w:rPr>
        <w:t xml:space="preserve"> </w:t>
      </w:r>
      <w:r>
        <w:t>la guerra a la insurgencia. Como han demostrado cientos de investigaciones académicas, periodísticas y judiciales, y como lo pudo corroborar y ampliar la Comisión, el paramilitarismo</w:t>
      </w:r>
      <w:r>
        <w:rPr>
          <w:spacing w:val="34"/>
        </w:rPr>
        <w:t xml:space="preserve"> </w:t>
      </w:r>
      <w:r>
        <w:t>fue</w:t>
      </w:r>
      <w:r>
        <w:rPr>
          <w:spacing w:val="37"/>
        </w:rPr>
        <w:t xml:space="preserve"> </w:t>
      </w:r>
      <w:r>
        <w:t>una</w:t>
      </w:r>
      <w:r>
        <w:rPr>
          <w:spacing w:val="36"/>
        </w:rPr>
        <w:t xml:space="preserve"> </w:t>
      </w:r>
      <w:r>
        <w:t>pieza</w:t>
      </w:r>
      <w:r>
        <w:rPr>
          <w:spacing w:val="37"/>
        </w:rPr>
        <w:t xml:space="preserve"> </w:t>
      </w:r>
      <w:r>
        <w:t>clave</w:t>
      </w:r>
      <w:r>
        <w:rPr>
          <w:spacing w:val="36"/>
        </w:rPr>
        <w:t xml:space="preserve"> </w:t>
      </w:r>
      <w:r>
        <w:t>para</w:t>
      </w:r>
      <w:r>
        <w:rPr>
          <w:spacing w:val="37"/>
        </w:rPr>
        <w:t xml:space="preserve"> </w:t>
      </w:r>
      <w:r>
        <w:t>despojar</w:t>
      </w:r>
      <w:r>
        <w:rPr>
          <w:spacing w:val="36"/>
        </w:rPr>
        <w:t xml:space="preserve"> </w:t>
      </w:r>
      <w:r>
        <w:t>y</w:t>
      </w:r>
      <w:r>
        <w:rPr>
          <w:spacing w:val="37"/>
        </w:rPr>
        <w:t xml:space="preserve"> </w:t>
      </w:r>
      <w:r>
        <w:t>promover</w:t>
      </w:r>
      <w:r>
        <w:rPr>
          <w:spacing w:val="37"/>
        </w:rPr>
        <w:t xml:space="preserve"> </w:t>
      </w:r>
      <w:r>
        <w:t>el</w:t>
      </w:r>
      <w:r>
        <w:rPr>
          <w:spacing w:val="37"/>
        </w:rPr>
        <w:t xml:space="preserve"> </w:t>
      </w:r>
      <w:r>
        <w:t>abandono</w:t>
      </w:r>
      <w:r>
        <w:rPr>
          <w:spacing w:val="37"/>
        </w:rPr>
        <w:t xml:space="preserve"> </w:t>
      </w:r>
      <w:r>
        <w:t>de</w:t>
      </w:r>
      <w:r>
        <w:rPr>
          <w:spacing w:val="37"/>
        </w:rPr>
        <w:t xml:space="preserve"> </w:t>
      </w:r>
      <w:r>
        <w:t>tierras</w:t>
      </w:r>
      <w:r>
        <w:rPr>
          <w:spacing w:val="37"/>
        </w:rPr>
        <w:t xml:space="preserve"> </w:t>
      </w:r>
      <w:r>
        <w:rPr>
          <w:spacing w:val="-10"/>
        </w:rPr>
        <w:t>y</w:t>
      </w:r>
      <w:bookmarkStart w:id="1281" w:name="_bookmark1135"/>
      <w:bookmarkStart w:id="1282" w:name="_bookmark1136"/>
      <w:bookmarkEnd w:id="1281"/>
      <w:bookmarkEnd w:id="1282"/>
      <w:r w:rsidR="00631FC5">
        <w:t xml:space="preserve"> </w:t>
      </w:r>
      <w:r>
        <w:t>bienes, que daba paso a su apropiación por parte de terceros que se beneficiaron de la violencia, incluyendo los propios jefes paramilitares y el narcotráfico.</w:t>
      </w:r>
    </w:p>
    <w:p w:rsidR="003804AC" w:rsidRDefault="00AF18A5" w:rsidP="00631FC5">
      <w:r>
        <w:t>El</w:t>
      </w:r>
      <w:r>
        <w:rPr>
          <w:spacing w:val="-10"/>
        </w:rPr>
        <w:t xml:space="preserve"> </w:t>
      </w:r>
      <w:r>
        <w:t>despojo</w:t>
      </w:r>
      <w:r>
        <w:rPr>
          <w:spacing w:val="-12"/>
        </w:rPr>
        <w:t xml:space="preserve"> </w:t>
      </w:r>
      <w:r>
        <w:t>se</w:t>
      </w:r>
      <w:r>
        <w:rPr>
          <w:spacing w:val="-11"/>
        </w:rPr>
        <w:t xml:space="preserve"> </w:t>
      </w:r>
      <w:r>
        <w:t>produjo</w:t>
      </w:r>
      <w:r>
        <w:rPr>
          <w:spacing w:val="-11"/>
        </w:rPr>
        <w:t xml:space="preserve"> </w:t>
      </w:r>
      <w:r>
        <w:t>de</w:t>
      </w:r>
      <w:r>
        <w:rPr>
          <w:spacing w:val="-12"/>
        </w:rPr>
        <w:t xml:space="preserve"> </w:t>
      </w:r>
      <w:r>
        <w:t>diferentes</w:t>
      </w:r>
      <w:r>
        <w:rPr>
          <w:spacing w:val="-12"/>
        </w:rPr>
        <w:t xml:space="preserve"> </w:t>
      </w:r>
      <w:r>
        <w:t>maneras:</w:t>
      </w:r>
      <w:r>
        <w:rPr>
          <w:spacing w:val="-12"/>
        </w:rPr>
        <w:t xml:space="preserve"> </w:t>
      </w:r>
      <w:r>
        <w:t>mediante</w:t>
      </w:r>
      <w:r>
        <w:rPr>
          <w:spacing w:val="-12"/>
        </w:rPr>
        <w:t xml:space="preserve"> </w:t>
      </w:r>
      <w:r>
        <w:t>la</w:t>
      </w:r>
      <w:r>
        <w:rPr>
          <w:spacing w:val="-12"/>
        </w:rPr>
        <w:t xml:space="preserve"> </w:t>
      </w:r>
      <w:r>
        <w:t>amenaza</w:t>
      </w:r>
      <w:r>
        <w:rPr>
          <w:spacing w:val="-11"/>
        </w:rPr>
        <w:t xml:space="preserve"> </w:t>
      </w:r>
      <w:r>
        <w:t>o</w:t>
      </w:r>
      <w:r>
        <w:rPr>
          <w:spacing w:val="-12"/>
        </w:rPr>
        <w:t xml:space="preserve"> </w:t>
      </w:r>
      <w:r>
        <w:t>el</w:t>
      </w:r>
      <w:r>
        <w:rPr>
          <w:spacing w:val="-10"/>
        </w:rPr>
        <w:t xml:space="preserve"> </w:t>
      </w:r>
      <w:r>
        <w:t>uso</w:t>
      </w:r>
      <w:r>
        <w:rPr>
          <w:spacing w:val="-11"/>
        </w:rPr>
        <w:t xml:space="preserve"> </w:t>
      </w:r>
      <w:r>
        <w:t>de</w:t>
      </w:r>
      <w:r>
        <w:rPr>
          <w:spacing w:val="-11"/>
        </w:rPr>
        <w:t xml:space="preserve"> </w:t>
      </w:r>
      <w:r>
        <w:t>la</w:t>
      </w:r>
      <w:r>
        <w:rPr>
          <w:spacing w:val="-11"/>
        </w:rPr>
        <w:t xml:space="preserve"> </w:t>
      </w:r>
      <w:r>
        <w:t>violencia física, orientada a producir desplazamiento y abandono forzado de tierras; a través del uso de figuras jurídicas e institucionales que facilitaron la transferencia de propiedad a los despojadores, con complicidad de autoridades agrarias, notarios y registradores y mediante el acaparamiento de tierras y cambio en los usos de los suelos, como la expansión de la ganadería extensiva y la expansión de agroindustrias de monocultivos o proyectos extractivos minero-energéticos.</w:t>
      </w:r>
      <w:r w:rsidR="00631FC5">
        <w:rPr>
          <w:rStyle w:val="Refdenotaalpie"/>
        </w:rPr>
        <w:footnoteReference w:id="1036"/>
      </w:r>
      <w:r>
        <w:t xml:space="preserve"> En la base de datos de procesos de restitución de tierras –con</w:t>
      </w:r>
      <w:r>
        <w:rPr>
          <w:spacing w:val="-10"/>
        </w:rPr>
        <w:t xml:space="preserve"> </w:t>
      </w:r>
      <w:r>
        <w:t>corte</w:t>
      </w:r>
      <w:r>
        <w:rPr>
          <w:spacing w:val="-9"/>
        </w:rPr>
        <w:t xml:space="preserve"> </w:t>
      </w:r>
      <w:r>
        <w:t>a</w:t>
      </w:r>
      <w:r>
        <w:rPr>
          <w:spacing w:val="-9"/>
        </w:rPr>
        <w:t xml:space="preserve"> </w:t>
      </w:r>
      <w:r>
        <w:t>noviembre</w:t>
      </w:r>
      <w:r>
        <w:rPr>
          <w:spacing w:val="-9"/>
        </w:rPr>
        <w:t xml:space="preserve"> </w:t>
      </w:r>
      <w:r>
        <w:t>de</w:t>
      </w:r>
      <w:r>
        <w:rPr>
          <w:spacing w:val="-9"/>
        </w:rPr>
        <w:t xml:space="preserve"> </w:t>
      </w:r>
      <w:r>
        <w:t>2020–</w:t>
      </w:r>
      <w:r>
        <w:rPr>
          <w:spacing w:val="-10"/>
        </w:rPr>
        <w:t xml:space="preserve"> </w:t>
      </w:r>
      <w:r>
        <w:t>aportada</w:t>
      </w:r>
      <w:r>
        <w:rPr>
          <w:spacing w:val="-9"/>
        </w:rPr>
        <w:t xml:space="preserve"> </w:t>
      </w:r>
      <w:r>
        <w:t>por</w:t>
      </w:r>
      <w:r>
        <w:rPr>
          <w:spacing w:val="-9"/>
        </w:rPr>
        <w:t xml:space="preserve"> </w:t>
      </w:r>
      <w:r>
        <w:t>la</w:t>
      </w:r>
      <w:r>
        <w:rPr>
          <w:spacing w:val="-9"/>
        </w:rPr>
        <w:t xml:space="preserve"> </w:t>
      </w:r>
      <w:r>
        <w:t>Fundación</w:t>
      </w:r>
      <w:r>
        <w:rPr>
          <w:spacing w:val="-10"/>
        </w:rPr>
        <w:t xml:space="preserve"> </w:t>
      </w:r>
      <w:r>
        <w:t>Forjando</w:t>
      </w:r>
      <w:r>
        <w:rPr>
          <w:spacing w:val="-10"/>
        </w:rPr>
        <w:t xml:space="preserve"> </w:t>
      </w:r>
      <w:r>
        <w:t>Futuros</w:t>
      </w:r>
      <w:r>
        <w:rPr>
          <w:spacing w:val="-9"/>
        </w:rPr>
        <w:t xml:space="preserve"> </w:t>
      </w:r>
      <w:r>
        <w:t>a</w:t>
      </w:r>
      <w:r>
        <w:rPr>
          <w:spacing w:val="-9"/>
        </w:rPr>
        <w:t xml:space="preserve"> </w:t>
      </w:r>
      <w:r>
        <w:t>la</w:t>
      </w:r>
      <w:r>
        <w:rPr>
          <w:spacing w:val="-9"/>
        </w:rPr>
        <w:t xml:space="preserve"> </w:t>
      </w:r>
      <w:r>
        <w:t>Comisión de la verdad, se constata que de las sentencias de restitución de tierras proferidas hasta la fecha,</w:t>
      </w:r>
      <w:r>
        <w:rPr>
          <w:spacing w:val="-15"/>
        </w:rPr>
        <w:t xml:space="preserve"> </w:t>
      </w:r>
      <w:r>
        <w:t>en</w:t>
      </w:r>
      <w:r>
        <w:rPr>
          <w:spacing w:val="-14"/>
        </w:rPr>
        <w:t xml:space="preserve"> </w:t>
      </w:r>
      <w:r>
        <w:t>5.949</w:t>
      </w:r>
      <w:r>
        <w:rPr>
          <w:spacing w:val="-14"/>
        </w:rPr>
        <w:t xml:space="preserve"> </w:t>
      </w:r>
      <w:r>
        <w:t>casos</w:t>
      </w:r>
      <w:r>
        <w:rPr>
          <w:spacing w:val="-15"/>
        </w:rPr>
        <w:t xml:space="preserve"> </w:t>
      </w:r>
      <w:r>
        <w:t>(61</w:t>
      </w:r>
      <w:r>
        <w:rPr>
          <w:spacing w:val="-5"/>
        </w:rPr>
        <w:t xml:space="preserve"> </w:t>
      </w:r>
      <w:r>
        <w:t>%)</w:t>
      </w:r>
      <w:r>
        <w:rPr>
          <w:spacing w:val="-14"/>
        </w:rPr>
        <w:t xml:space="preserve"> </w:t>
      </w:r>
      <w:r>
        <w:t>ocurrió</w:t>
      </w:r>
      <w:r>
        <w:rPr>
          <w:spacing w:val="-15"/>
        </w:rPr>
        <w:t xml:space="preserve"> </w:t>
      </w:r>
      <w:r>
        <w:t>abandono</w:t>
      </w:r>
      <w:r>
        <w:rPr>
          <w:spacing w:val="-14"/>
        </w:rPr>
        <w:t xml:space="preserve"> </w:t>
      </w:r>
      <w:r>
        <w:t>por</w:t>
      </w:r>
      <w:r>
        <w:rPr>
          <w:spacing w:val="-14"/>
        </w:rPr>
        <w:t xml:space="preserve"> </w:t>
      </w:r>
      <w:r>
        <w:t>desplazamiento</w:t>
      </w:r>
      <w:r>
        <w:rPr>
          <w:spacing w:val="-14"/>
        </w:rPr>
        <w:t xml:space="preserve"> </w:t>
      </w:r>
      <w:r>
        <w:t>forzado,</w:t>
      </w:r>
      <w:r>
        <w:rPr>
          <w:spacing w:val="-14"/>
        </w:rPr>
        <w:t xml:space="preserve"> </w:t>
      </w:r>
      <w:r>
        <w:t>y</w:t>
      </w:r>
      <w:r>
        <w:rPr>
          <w:spacing w:val="-14"/>
        </w:rPr>
        <w:t xml:space="preserve"> </w:t>
      </w:r>
      <w:r>
        <w:t>en</w:t>
      </w:r>
      <w:r>
        <w:rPr>
          <w:spacing w:val="-14"/>
        </w:rPr>
        <w:t xml:space="preserve"> </w:t>
      </w:r>
      <w:r>
        <w:t>3.081</w:t>
      </w:r>
      <w:r>
        <w:rPr>
          <w:spacing w:val="-15"/>
        </w:rPr>
        <w:t xml:space="preserve"> </w:t>
      </w:r>
      <w:r>
        <w:t>casos (32 %) hubo despojo.</w:t>
      </w:r>
      <w:r w:rsidR="00631FC5">
        <w:rPr>
          <w:rStyle w:val="Refdenotaalpie"/>
        </w:rPr>
        <w:footnoteReference w:id="1037"/>
      </w:r>
      <w:r w:rsidR="00631FC5">
        <w:t xml:space="preserve"> </w:t>
      </w:r>
    </w:p>
    <w:p w:rsidR="003804AC" w:rsidRDefault="00AF18A5" w:rsidP="00631FC5">
      <w:r>
        <w:t>A partir de la información del RUV, los principales responsables del despojo son los grupos paramilitares, con 47</w:t>
      </w:r>
      <w:r>
        <w:rPr>
          <w:spacing w:val="-2"/>
        </w:rPr>
        <w:t xml:space="preserve"> </w:t>
      </w:r>
      <w:r>
        <w:t>% de los casos, seguidos por las guerrillas, con 40</w:t>
      </w:r>
      <w:r>
        <w:rPr>
          <w:spacing w:val="-2"/>
        </w:rPr>
        <w:t xml:space="preserve"> </w:t>
      </w:r>
      <w:r>
        <w:t xml:space="preserve">% de los casos. Por su parte, según el Sistema </w:t>
      </w:r>
      <w:r>
        <w:lastRenderedPageBreak/>
        <w:t>de Información de Sembrando Paz de la Fundación Forjando</w:t>
      </w:r>
      <w:r>
        <w:rPr>
          <w:spacing w:val="-7"/>
        </w:rPr>
        <w:t xml:space="preserve"> </w:t>
      </w:r>
      <w:r>
        <w:t>Futuros,</w:t>
      </w:r>
      <w:r>
        <w:rPr>
          <w:spacing w:val="-7"/>
        </w:rPr>
        <w:t xml:space="preserve"> </w:t>
      </w:r>
      <w:r>
        <w:t>de</w:t>
      </w:r>
      <w:r>
        <w:rPr>
          <w:spacing w:val="-8"/>
        </w:rPr>
        <w:t xml:space="preserve"> </w:t>
      </w:r>
      <w:r>
        <w:t>7.098</w:t>
      </w:r>
      <w:r>
        <w:rPr>
          <w:spacing w:val="-7"/>
        </w:rPr>
        <w:t xml:space="preserve"> </w:t>
      </w:r>
      <w:r>
        <w:t>sentencias</w:t>
      </w:r>
      <w:r>
        <w:rPr>
          <w:spacing w:val="-7"/>
        </w:rPr>
        <w:t xml:space="preserve"> </w:t>
      </w:r>
      <w:r>
        <w:t>de</w:t>
      </w:r>
      <w:r>
        <w:rPr>
          <w:spacing w:val="-7"/>
        </w:rPr>
        <w:t xml:space="preserve"> </w:t>
      </w:r>
      <w:r>
        <w:t>restitución</w:t>
      </w:r>
      <w:r>
        <w:rPr>
          <w:spacing w:val="-7"/>
        </w:rPr>
        <w:t xml:space="preserve"> </w:t>
      </w:r>
      <w:r>
        <w:t>proferidas</w:t>
      </w:r>
      <w:r>
        <w:rPr>
          <w:spacing w:val="-7"/>
        </w:rPr>
        <w:t xml:space="preserve"> </w:t>
      </w:r>
      <w:r>
        <w:t>con</w:t>
      </w:r>
      <w:r>
        <w:rPr>
          <w:spacing w:val="-7"/>
        </w:rPr>
        <w:t xml:space="preserve"> </w:t>
      </w:r>
      <w:r>
        <w:t>corte</w:t>
      </w:r>
      <w:r>
        <w:rPr>
          <w:spacing w:val="-7"/>
        </w:rPr>
        <w:t xml:space="preserve"> </w:t>
      </w:r>
      <w:r>
        <w:t>al</w:t>
      </w:r>
      <w:r>
        <w:rPr>
          <w:spacing w:val="-7"/>
        </w:rPr>
        <w:t xml:space="preserve"> </w:t>
      </w:r>
      <w:r>
        <w:t>28</w:t>
      </w:r>
      <w:r>
        <w:rPr>
          <w:spacing w:val="-7"/>
        </w:rPr>
        <w:t xml:space="preserve"> </w:t>
      </w:r>
      <w:r>
        <w:t>de</w:t>
      </w:r>
      <w:r>
        <w:rPr>
          <w:spacing w:val="-7"/>
        </w:rPr>
        <w:t xml:space="preserve"> </w:t>
      </w:r>
      <w:r>
        <w:t>febrero</w:t>
      </w:r>
      <w:r>
        <w:rPr>
          <w:spacing w:val="-7"/>
        </w:rPr>
        <w:t xml:space="preserve"> </w:t>
      </w:r>
      <w:r>
        <w:t>de 2021,</w:t>
      </w:r>
      <w:r>
        <w:rPr>
          <w:spacing w:val="-10"/>
        </w:rPr>
        <w:t xml:space="preserve"> </w:t>
      </w:r>
      <w:r>
        <w:t>el</w:t>
      </w:r>
      <w:r>
        <w:rPr>
          <w:spacing w:val="-10"/>
        </w:rPr>
        <w:t xml:space="preserve"> </w:t>
      </w:r>
      <w:r>
        <w:t>principal</w:t>
      </w:r>
      <w:r>
        <w:rPr>
          <w:spacing w:val="-11"/>
        </w:rPr>
        <w:t xml:space="preserve"> </w:t>
      </w:r>
      <w:r>
        <w:t>victimario</w:t>
      </w:r>
      <w:r>
        <w:rPr>
          <w:spacing w:val="-11"/>
        </w:rPr>
        <w:t xml:space="preserve"> </w:t>
      </w:r>
      <w:r>
        <w:t>son</w:t>
      </w:r>
      <w:r>
        <w:rPr>
          <w:spacing w:val="-11"/>
        </w:rPr>
        <w:t xml:space="preserve"> </w:t>
      </w:r>
      <w:r>
        <w:t>los</w:t>
      </w:r>
      <w:r>
        <w:rPr>
          <w:spacing w:val="-11"/>
        </w:rPr>
        <w:t xml:space="preserve"> </w:t>
      </w:r>
      <w:r>
        <w:t>grupos</w:t>
      </w:r>
      <w:r>
        <w:rPr>
          <w:spacing w:val="-10"/>
        </w:rPr>
        <w:t xml:space="preserve"> </w:t>
      </w:r>
      <w:r>
        <w:t>paramilitares</w:t>
      </w:r>
      <w:r>
        <w:rPr>
          <w:spacing w:val="-11"/>
        </w:rPr>
        <w:t xml:space="preserve"> </w:t>
      </w:r>
      <w:r>
        <w:t>con</w:t>
      </w:r>
      <w:r>
        <w:rPr>
          <w:spacing w:val="-10"/>
        </w:rPr>
        <w:t xml:space="preserve"> </w:t>
      </w:r>
      <w:r>
        <w:t>el</w:t>
      </w:r>
      <w:r>
        <w:rPr>
          <w:spacing w:val="-10"/>
        </w:rPr>
        <w:t xml:space="preserve"> </w:t>
      </w:r>
      <w:r>
        <w:t>53</w:t>
      </w:r>
      <w:r>
        <w:rPr>
          <w:spacing w:val="-3"/>
        </w:rPr>
        <w:t xml:space="preserve"> </w:t>
      </w:r>
      <w:r>
        <w:t>%</w:t>
      </w:r>
      <w:r>
        <w:rPr>
          <w:spacing w:val="-10"/>
        </w:rPr>
        <w:t xml:space="preserve"> </w:t>
      </w:r>
      <w:r>
        <w:t>(3.761</w:t>
      </w:r>
      <w:r>
        <w:rPr>
          <w:spacing w:val="-10"/>
        </w:rPr>
        <w:t xml:space="preserve"> </w:t>
      </w:r>
      <w:r>
        <w:t>casos),</w:t>
      </w:r>
      <w:r>
        <w:rPr>
          <w:spacing w:val="-11"/>
        </w:rPr>
        <w:t xml:space="preserve"> </w:t>
      </w:r>
      <w:r>
        <w:t>seguido de las guerrillas con 19</w:t>
      </w:r>
      <w:r>
        <w:rPr>
          <w:spacing w:val="-4"/>
        </w:rPr>
        <w:t xml:space="preserve"> </w:t>
      </w:r>
      <w:r>
        <w:t>% (1.348 de los casos) el 20</w:t>
      </w:r>
      <w:r>
        <w:rPr>
          <w:spacing w:val="-2"/>
        </w:rPr>
        <w:t xml:space="preserve"> </w:t>
      </w:r>
      <w:r>
        <w:t>% (1.419) de las sentencias atribuye la responsabilidad a enfrentamientos entre actores.</w:t>
      </w:r>
    </w:p>
    <w:p w:rsidR="003804AC" w:rsidRPr="00631FC5" w:rsidRDefault="00AF18A5" w:rsidP="00631FC5">
      <w:r>
        <w:t>El despojo territorial no solo ha implicado la usurpación de bienes materiales, sino también</w:t>
      </w:r>
      <w:r>
        <w:rPr>
          <w:spacing w:val="-15"/>
        </w:rPr>
        <w:t xml:space="preserve"> </w:t>
      </w:r>
      <w:r>
        <w:t>la</w:t>
      </w:r>
      <w:r>
        <w:rPr>
          <w:spacing w:val="-15"/>
        </w:rPr>
        <w:t xml:space="preserve"> </w:t>
      </w:r>
      <w:r>
        <w:t>enajenación</w:t>
      </w:r>
      <w:r>
        <w:rPr>
          <w:spacing w:val="-15"/>
        </w:rPr>
        <w:t xml:space="preserve"> </w:t>
      </w:r>
      <w:r>
        <w:t>de</w:t>
      </w:r>
      <w:r>
        <w:rPr>
          <w:spacing w:val="-15"/>
        </w:rPr>
        <w:t xml:space="preserve"> </w:t>
      </w:r>
      <w:r>
        <w:t>aspectos</w:t>
      </w:r>
      <w:r>
        <w:rPr>
          <w:spacing w:val="-15"/>
        </w:rPr>
        <w:t xml:space="preserve"> </w:t>
      </w:r>
      <w:r>
        <w:t>íntimos</w:t>
      </w:r>
      <w:r>
        <w:rPr>
          <w:spacing w:val="-15"/>
        </w:rPr>
        <w:t xml:space="preserve"> </w:t>
      </w:r>
      <w:r>
        <w:t>y</w:t>
      </w:r>
      <w:r>
        <w:rPr>
          <w:spacing w:val="-15"/>
        </w:rPr>
        <w:t xml:space="preserve"> </w:t>
      </w:r>
      <w:r>
        <w:t>simbólicos</w:t>
      </w:r>
      <w:r>
        <w:rPr>
          <w:spacing w:val="-15"/>
        </w:rPr>
        <w:t xml:space="preserve"> </w:t>
      </w:r>
      <w:r>
        <w:t>para</w:t>
      </w:r>
      <w:r>
        <w:rPr>
          <w:spacing w:val="-15"/>
        </w:rPr>
        <w:t xml:space="preserve"> </w:t>
      </w:r>
      <w:r>
        <w:t>las</w:t>
      </w:r>
      <w:r>
        <w:rPr>
          <w:spacing w:val="-15"/>
        </w:rPr>
        <w:t xml:space="preserve"> </w:t>
      </w:r>
      <w:r>
        <w:t>comunidades</w:t>
      </w:r>
      <w:r>
        <w:rPr>
          <w:spacing w:val="-15"/>
        </w:rPr>
        <w:t xml:space="preserve"> </w:t>
      </w:r>
      <w:r>
        <w:t>y</w:t>
      </w:r>
      <w:r>
        <w:rPr>
          <w:spacing w:val="-15"/>
        </w:rPr>
        <w:t xml:space="preserve"> </w:t>
      </w:r>
      <w:r>
        <w:t>poblaciones rurales que han tenido un vínculo con sus territorios. Se ha tratado también de procesos de despojo cultural y simbólico de las comunidades rurales expulsadas. En el proceso de esclarecimiento,</w:t>
      </w:r>
      <w:r>
        <w:rPr>
          <w:spacing w:val="25"/>
        </w:rPr>
        <w:t xml:space="preserve"> </w:t>
      </w:r>
      <w:r>
        <w:t>la</w:t>
      </w:r>
      <w:r>
        <w:rPr>
          <w:spacing w:val="26"/>
        </w:rPr>
        <w:t xml:space="preserve"> </w:t>
      </w:r>
      <w:r>
        <w:t>gente</w:t>
      </w:r>
      <w:r>
        <w:rPr>
          <w:spacing w:val="26"/>
        </w:rPr>
        <w:t xml:space="preserve"> </w:t>
      </w:r>
      <w:r>
        <w:t>le</w:t>
      </w:r>
      <w:r>
        <w:rPr>
          <w:spacing w:val="26"/>
        </w:rPr>
        <w:t xml:space="preserve"> </w:t>
      </w:r>
      <w:r>
        <w:t>contó</w:t>
      </w:r>
      <w:r>
        <w:rPr>
          <w:spacing w:val="25"/>
        </w:rPr>
        <w:t xml:space="preserve"> </w:t>
      </w:r>
      <w:r>
        <w:t>a</w:t>
      </w:r>
      <w:r>
        <w:rPr>
          <w:spacing w:val="25"/>
        </w:rPr>
        <w:t xml:space="preserve"> </w:t>
      </w:r>
      <w:r>
        <w:t>la</w:t>
      </w:r>
      <w:r>
        <w:rPr>
          <w:spacing w:val="26"/>
        </w:rPr>
        <w:t xml:space="preserve"> </w:t>
      </w:r>
      <w:r>
        <w:t>Comisión</w:t>
      </w:r>
      <w:r>
        <w:rPr>
          <w:spacing w:val="26"/>
        </w:rPr>
        <w:t xml:space="preserve"> </w:t>
      </w:r>
      <w:r>
        <w:t>cómo</w:t>
      </w:r>
      <w:r>
        <w:rPr>
          <w:spacing w:val="26"/>
        </w:rPr>
        <w:t xml:space="preserve"> </w:t>
      </w:r>
      <w:r>
        <w:t>los</w:t>
      </w:r>
      <w:r>
        <w:rPr>
          <w:spacing w:val="25"/>
        </w:rPr>
        <w:t xml:space="preserve"> </w:t>
      </w:r>
      <w:r>
        <w:t>ríos,</w:t>
      </w:r>
      <w:r>
        <w:rPr>
          <w:spacing w:val="26"/>
        </w:rPr>
        <w:t xml:space="preserve"> </w:t>
      </w:r>
      <w:r>
        <w:t>plazas,</w:t>
      </w:r>
      <w:r>
        <w:rPr>
          <w:spacing w:val="25"/>
        </w:rPr>
        <w:t xml:space="preserve"> </w:t>
      </w:r>
      <w:r>
        <w:t>fincas,</w:t>
      </w:r>
      <w:r>
        <w:rPr>
          <w:spacing w:val="26"/>
        </w:rPr>
        <w:t xml:space="preserve"> </w:t>
      </w:r>
      <w:r>
        <w:t>parques</w:t>
      </w:r>
      <w:r>
        <w:rPr>
          <w:spacing w:val="26"/>
        </w:rPr>
        <w:t xml:space="preserve"> </w:t>
      </w:r>
      <w:r>
        <w:rPr>
          <w:spacing w:val="-10"/>
        </w:rPr>
        <w:t>y</w:t>
      </w:r>
      <w:bookmarkStart w:id="1283" w:name="_bookmark1137"/>
      <w:bookmarkStart w:id="1284" w:name="_bookmark1138"/>
      <w:bookmarkEnd w:id="1283"/>
      <w:bookmarkEnd w:id="1284"/>
      <w:r w:rsidR="00631FC5">
        <w:rPr>
          <w:spacing w:val="-10"/>
        </w:rPr>
        <w:t xml:space="preserve"> </w:t>
      </w:r>
      <w:r>
        <w:t>cerros, donde antaño la gente se reunía a departir, intercambiar mercancías, lavar ropa, preparar alimentos, celebrar ceremonias religiosas, entre muchas otras actividades, pasaron a ser símbolos del horror y la tristeza como resultado de las masacres, las amenazas, las violaciones, los asesinatos, las desapariciones y la destrucción que dejó la guerra a lo largo y ancho del país.</w:t>
      </w:r>
      <w:r w:rsidR="00631FC5">
        <w:rPr>
          <w:rStyle w:val="Refdenotaalpie"/>
        </w:rPr>
        <w:footnoteReference w:id="1038"/>
      </w:r>
      <w:r w:rsidR="00631FC5" w:rsidRPr="00631FC5">
        <w:t xml:space="preserve"> </w:t>
      </w:r>
    </w:p>
    <w:p w:rsidR="003804AC" w:rsidRDefault="00AF18A5" w:rsidP="00631FC5">
      <w:r>
        <w:t>En la región de los Montes de María, por ejemplo, en menos de 10 años el uso y la disposición de la tierra se transformó en un escenario de violencia y masacres que hicieron que miles de campesinos fueran forzados a abandonar sus predios</w:t>
      </w:r>
      <w:r w:rsidR="00631FC5">
        <w:rPr>
          <w:rStyle w:val="Refdenotaalpie"/>
        </w:rPr>
        <w:footnoteReference w:id="1039"/>
      </w:r>
      <w:r>
        <w:t>. La comunidad palenquera de la Bonga –en San Basilio de Palenque– se desplazó forzosamente luego de recibir</w:t>
      </w:r>
      <w:r>
        <w:rPr>
          <w:spacing w:val="-6"/>
        </w:rPr>
        <w:t xml:space="preserve"> </w:t>
      </w:r>
      <w:r>
        <w:t>panfletos</w:t>
      </w:r>
      <w:r>
        <w:rPr>
          <w:spacing w:val="-6"/>
        </w:rPr>
        <w:t xml:space="preserve"> </w:t>
      </w:r>
      <w:r>
        <w:t>amenazantes</w:t>
      </w:r>
      <w:r>
        <w:rPr>
          <w:spacing w:val="-6"/>
        </w:rPr>
        <w:t xml:space="preserve"> </w:t>
      </w:r>
      <w:r>
        <w:t>por</w:t>
      </w:r>
      <w:r>
        <w:rPr>
          <w:spacing w:val="-6"/>
        </w:rPr>
        <w:t xml:space="preserve"> </w:t>
      </w:r>
      <w:r>
        <w:t>parte</w:t>
      </w:r>
      <w:r>
        <w:rPr>
          <w:spacing w:val="-6"/>
        </w:rPr>
        <w:t xml:space="preserve"> </w:t>
      </w:r>
      <w:r>
        <w:t>de</w:t>
      </w:r>
      <w:r>
        <w:rPr>
          <w:spacing w:val="-7"/>
        </w:rPr>
        <w:t xml:space="preserve"> </w:t>
      </w:r>
      <w:r>
        <w:t>las</w:t>
      </w:r>
      <w:r>
        <w:rPr>
          <w:spacing w:val="-6"/>
        </w:rPr>
        <w:t xml:space="preserve"> </w:t>
      </w:r>
      <w:r>
        <w:t>AUC</w:t>
      </w:r>
      <w:r w:rsidR="00631FC5">
        <w:rPr>
          <w:rStyle w:val="Refdenotaalpie"/>
        </w:rPr>
        <w:footnoteReference w:id="1040"/>
      </w:r>
      <w:r>
        <w:rPr>
          <w:spacing w:val="-6"/>
        </w:rPr>
        <w:t xml:space="preserve"> </w:t>
      </w:r>
      <w:r>
        <w:t>y</w:t>
      </w:r>
      <w:r>
        <w:rPr>
          <w:spacing w:val="-6"/>
        </w:rPr>
        <w:t xml:space="preserve"> </w:t>
      </w:r>
      <w:r>
        <w:t>hoy</w:t>
      </w:r>
      <w:r>
        <w:rPr>
          <w:spacing w:val="-6"/>
        </w:rPr>
        <w:t xml:space="preserve"> </w:t>
      </w:r>
      <w:r>
        <w:t>–tras</w:t>
      </w:r>
      <w:r>
        <w:rPr>
          <w:spacing w:val="-6"/>
        </w:rPr>
        <w:t xml:space="preserve"> </w:t>
      </w:r>
      <w:r>
        <w:t>un</w:t>
      </w:r>
      <w:r>
        <w:rPr>
          <w:spacing w:val="-6"/>
        </w:rPr>
        <w:t xml:space="preserve"> </w:t>
      </w:r>
      <w:r>
        <w:lastRenderedPageBreak/>
        <w:t>proceso</w:t>
      </w:r>
      <w:r>
        <w:rPr>
          <w:spacing w:val="-6"/>
        </w:rPr>
        <w:t xml:space="preserve"> </w:t>
      </w:r>
      <w:r>
        <w:t>para</w:t>
      </w:r>
      <w:r>
        <w:rPr>
          <w:spacing w:val="-7"/>
        </w:rPr>
        <w:t xml:space="preserve"> </w:t>
      </w:r>
      <w:r>
        <w:t>lograr</w:t>
      </w:r>
      <w:r>
        <w:rPr>
          <w:spacing w:val="-7"/>
        </w:rPr>
        <w:t xml:space="preserve"> </w:t>
      </w:r>
      <w:r>
        <w:t>el reconocimiento de su territorio colectivo</w:t>
      </w:r>
      <w:r w:rsidR="00631FC5">
        <w:rPr>
          <w:rStyle w:val="Refdenotaalpie"/>
        </w:rPr>
        <w:footnoteReference w:id="1041"/>
      </w:r>
      <w:r>
        <w:t>– se enfrenta a un nuevo proceso de restitución de</w:t>
      </w:r>
      <w:r>
        <w:rPr>
          <w:spacing w:val="-13"/>
        </w:rPr>
        <w:t xml:space="preserve"> </w:t>
      </w:r>
      <w:r>
        <w:t>tierras,</w:t>
      </w:r>
      <w:r>
        <w:rPr>
          <w:spacing w:val="-13"/>
        </w:rPr>
        <w:t xml:space="preserve"> </w:t>
      </w:r>
      <w:r>
        <w:t>debido</w:t>
      </w:r>
      <w:r>
        <w:rPr>
          <w:spacing w:val="-13"/>
        </w:rPr>
        <w:t xml:space="preserve"> </w:t>
      </w:r>
      <w:r>
        <w:t>a</w:t>
      </w:r>
      <w:r>
        <w:rPr>
          <w:spacing w:val="-13"/>
        </w:rPr>
        <w:t xml:space="preserve"> </w:t>
      </w:r>
      <w:r>
        <w:t>que</w:t>
      </w:r>
      <w:r>
        <w:rPr>
          <w:spacing w:val="-13"/>
        </w:rPr>
        <w:t xml:space="preserve"> </w:t>
      </w:r>
      <w:r>
        <w:t>se</w:t>
      </w:r>
      <w:r>
        <w:rPr>
          <w:spacing w:val="-14"/>
        </w:rPr>
        <w:t xml:space="preserve"> </w:t>
      </w:r>
      <w:r>
        <w:t>encuentra</w:t>
      </w:r>
      <w:r>
        <w:rPr>
          <w:spacing w:val="-13"/>
        </w:rPr>
        <w:t xml:space="preserve"> </w:t>
      </w:r>
      <w:r>
        <w:t>a</w:t>
      </w:r>
      <w:r>
        <w:rPr>
          <w:spacing w:val="-14"/>
        </w:rPr>
        <w:t xml:space="preserve"> </w:t>
      </w:r>
      <w:r>
        <w:t>merced</w:t>
      </w:r>
      <w:r>
        <w:rPr>
          <w:spacing w:val="-13"/>
        </w:rPr>
        <w:t xml:space="preserve"> </w:t>
      </w:r>
      <w:r>
        <w:t>de</w:t>
      </w:r>
      <w:r>
        <w:rPr>
          <w:spacing w:val="-13"/>
        </w:rPr>
        <w:t xml:space="preserve"> </w:t>
      </w:r>
      <w:r>
        <w:t>proyectos</w:t>
      </w:r>
      <w:r>
        <w:rPr>
          <w:spacing w:val="-14"/>
        </w:rPr>
        <w:t xml:space="preserve"> </w:t>
      </w:r>
      <w:r>
        <w:t>mineros,</w:t>
      </w:r>
      <w:r>
        <w:rPr>
          <w:spacing w:val="-13"/>
        </w:rPr>
        <w:t xml:space="preserve"> </w:t>
      </w:r>
      <w:r>
        <w:t>cultivos</w:t>
      </w:r>
      <w:r>
        <w:rPr>
          <w:spacing w:val="-13"/>
        </w:rPr>
        <w:t xml:space="preserve"> </w:t>
      </w:r>
      <w:r>
        <w:t>de</w:t>
      </w:r>
      <w:r>
        <w:rPr>
          <w:spacing w:val="-13"/>
        </w:rPr>
        <w:t xml:space="preserve"> </w:t>
      </w:r>
      <w:r>
        <w:t>teca</w:t>
      </w:r>
      <w:r>
        <w:rPr>
          <w:spacing w:val="-13"/>
        </w:rPr>
        <w:t xml:space="preserve"> </w:t>
      </w:r>
      <w:r>
        <w:t>y</w:t>
      </w:r>
      <w:r>
        <w:rPr>
          <w:spacing w:val="-14"/>
        </w:rPr>
        <w:t xml:space="preserve"> </w:t>
      </w:r>
      <w:r>
        <w:t>palma de aceite</w:t>
      </w:r>
      <w:r w:rsidR="00631FC5">
        <w:rPr>
          <w:rStyle w:val="Refdenotaalpie"/>
        </w:rPr>
        <w:footnoteReference w:id="1042"/>
      </w:r>
      <w:r>
        <w:t>.</w:t>
      </w:r>
    </w:p>
    <w:p w:rsidR="003804AC" w:rsidRDefault="00AF18A5" w:rsidP="00631FC5">
      <w:r>
        <w:t>Ante el despojo y desplazamiento, comunidades campesinas impulsaron las también estigmatizadas Zonas de Reserva Campesina como estrategia que buscaba la protección de sus territorios de la acumulación de tierras. Sin embargo, estas no fueron las únicas formas de resistencia, el repertorio de estrategias del campesinado se diversificó buscando herramientas que le permitieran permanecer en sus territorios. Sin duda, la pionera en este tipo</w:t>
      </w:r>
      <w:r>
        <w:rPr>
          <w:spacing w:val="-8"/>
        </w:rPr>
        <w:t xml:space="preserve"> </w:t>
      </w:r>
      <w:r>
        <w:t>de</w:t>
      </w:r>
      <w:r>
        <w:rPr>
          <w:spacing w:val="-8"/>
        </w:rPr>
        <w:t xml:space="preserve"> </w:t>
      </w:r>
      <w:r>
        <w:t>ejercicios</w:t>
      </w:r>
      <w:r>
        <w:rPr>
          <w:spacing w:val="-10"/>
        </w:rPr>
        <w:t xml:space="preserve"> </w:t>
      </w:r>
      <w:r>
        <w:t>fue</w:t>
      </w:r>
      <w:r>
        <w:rPr>
          <w:spacing w:val="-8"/>
        </w:rPr>
        <w:t xml:space="preserve"> </w:t>
      </w:r>
      <w:r>
        <w:t>la</w:t>
      </w:r>
      <w:r>
        <w:rPr>
          <w:spacing w:val="-9"/>
        </w:rPr>
        <w:t xml:space="preserve"> </w:t>
      </w:r>
      <w:r>
        <w:t>Comunidad</w:t>
      </w:r>
      <w:r>
        <w:rPr>
          <w:spacing w:val="-10"/>
        </w:rPr>
        <w:t xml:space="preserve"> </w:t>
      </w:r>
      <w:r>
        <w:t>de</w:t>
      </w:r>
      <w:r>
        <w:rPr>
          <w:spacing w:val="-8"/>
        </w:rPr>
        <w:t xml:space="preserve"> </w:t>
      </w:r>
      <w:r>
        <w:t>Paz</w:t>
      </w:r>
      <w:r>
        <w:rPr>
          <w:spacing w:val="-8"/>
        </w:rPr>
        <w:t xml:space="preserve"> </w:t>
      </w:r>
      <w:r>
        <w:t>de</w:t>
      </w:r>
      <w:r>
        <w:rPr>
          <w:spacing w:val="-8"/>
        </w:rPr>
        <w:t xml:space="preserve"> </w:t>
      </w:r>
      <w:r>
        <w:t>San</w:t>
      </w:r>
      <w:r>
        <w:rPr>
          <w:spacing w:val="-8"/>
        </w:rPr>
        <w:t xml:space="preserve"> </w:t>
      </w:r>
      <w:r>
        <w:t>José</w:t>
      </w:r>
      <w:r>
        <w:rPr>
          <w:spacing w:val="-8"/>
        </w:rPr>
        <w:t xml:space="preserve"> </w:t>
      </w:r>
      <w:r>
        <w:t>de</w:t>
      </w:r>
      <w:r>
        <w:rPr>
          <w:spacing w:val="-8"/>
        </w:rPr>
        <w:t xml:space="preserve"> </w:t>
      </w:r>
      <w:r>
        <w:t>Apartadó</w:t>
      </w:r>
      <w:r>
        <w:rPr>
          <w:sz w:val="16"/>
        </w:rPr>
        <w:t>,</w:t>
      </w:r>
      <w:r>
        <w:rPr>
          <w:spacing w:val="11"/>
          <w:sz w:val="16"/>
        </w:rPr>
        <w:t xml:space="preserve"> </w:t>
      </w:r>
      <w:r>
        <w:t>que</w:t>
      </w:r>
      <w:r>
        <w:rPr>
          <w:spacing w:val="-8"/>
        </w:rPr>
        <w:t xml:space="preserve"> </w:t>
      </w:r>
      <w:r>
        <w:t>desde</w:t>
      </w:r>
      <w:r>
        <w:rPr>
          <w:spacing w:val="-8"/>
        </w:rPr>
        <w:t xml:space="preserve"> </w:t>
      </w:r>
      <w:r>
        <w:t>1996</w:t>
      </w:r>
      <w:r>
        <w:rPr>
          <w:spacing w:val="-8"/>
        </w:rPr>
        <w:t xml:space="preserve"> </w:t>
      </w:r>
      <w:r>
        <w:t>empezó a</w:t>
      </w:r>
      <w:r>
        <w:rPr>
          <w:spacing w:val="3"/>
        </w:rPr>
        <w:t xml:space="preserve"> </w:t>
      </w:r>
      <w:r>
        <w:t>promover</w:t>
      </w:r>
      <w:r>
        <w:rPr>
          <w:spacing w:val="4"/>
        </w:rPr>
        <w:t xml:space="preserve"> </w:t>
      </w:r>
      <w:r>
        <w:t>su</w:t>
      </w:r>
      <w:r>
        <w:rPr>
          <w:spacing w:val="5"/>
        </w:rPr>
        <w:t xml:space="preserve"> </w:t>
      </w:r>
      <w:r>
        <w:t>territorio</w:t>
      </w:r>
      <w:r>
        <w:rPr>
          <w:spacing w:val="3"/>
        </w:rPr>
        <w:t xml:space="preserve"> </w:t>
      </w:r>
      <w:r>
        <w:t>como</w:t>
      </w:r>
      <w:r>
        <w:rPr>
          <w:spacing w:val="5"/>
        </w:rPr>
        <w:t xml:space="preserve"> </w:t>
      </w:r>
      <w:r>
        <w:t>un</w:t>
      </w:r>
      <w:r>
        <w:rPr>
          <w:spacing w:val="5"/>
        </w:rPr>
        <w:t xml:space="preserve"> </w:t>
      </w:r>
      <w:r>
        <w:t>campo</w:t>
      </w:r>
      <w:r>
        <w:rPr>
          <w:spacing w:val="5"/>
        </w:rPr>
        <w:t xml:space="preserve"> </w:t>
      </w:r>
      <w:r>
        <w:t>neutral</w:t>
      </w:r>
      <w:r>
        <w:rPr>
          <w:spacing w:val="4"/>
        </w:rPr>
        <w:t xml:space="preserve"> </w:t>
      </w:r>
      <w:r>
        <w:t>ante</w:t>
      </w:r>
      <w:r>
        <w:rPr>
          <w:spacing w:val="5"/>
        </w:rPr>
        <w:t xml:space="preserve"> </w:t>
      </w:r>
      <w:r>
        <w:t>los</w:t>
      </w:r>
      <w:r>
        <w:rPr>
          <w:spacing w:val="5"/>
        </w:rPr>
        <w:t xml:space="preserve"> </w:t>
      </w:r>
      <w:r>
        <w:t>actores</w:t>
      </w:r>
      <w:r>
        <w:rPr>
          <w:spacing w:val="5"/>
        </w:rPr>
        <w:t xml:space="preserve"> </w:t>
      </w:r>
      <w:r>
        <w:t>del</w:t>
      </w:r>
      <w:r>
        <w:rPr>
          <w:spacing w:val="5"/>
        </w:rPr>
        <w:t xml:space="preserve"> </w:t>
      </w:r>
      <w:r>
        <w:t>conflicto.</w:t>
      </w:r>
      <w:r>
        <w:rPr>
          <w:spacing w:val="5"/>
        </w:rPr>
        <w:t xml:space="preserve"> </w:t>
      </w:r>
      <w:r>
        <w:t>En</w:t>
      </w:r>
      <w:r>
        <w:rPr>
          <w:spacing w:val="5"/>
        </w:rPr>
        <w:t xml:space="preserve"> </w:t>
      </w:r>
      <w:r>
        <w:t>marzo</w:t>
      </w:r>
      <w:r>
        <w:rPr>
          <w:spacing w:val="6"/>
        </w:rPr>
        <w:t xml:space="preserve"> </w:t>
      </w:r>
      <w:r>
        <w:rPr>
          <w:spacing w:val="-5"/>
        </w:rPr>
        <w:t>de</w:t>
      </w:r>
      <w:bookmarkStart w:id="1285" w:name="_bookmark1139"/>
      <w:bookmarkStart w:id="1286" w:name="_bookmark1140"/>
      <w:bookmarkStart w:id="1287" w:name="_bookmark1141"/>
      <w:bookmarkStart w:id="1288" w:name="_bookmark1142"/>
      <w:bookmarkStart w:id="1289" w:name="_bookmark1143"/>
      <w:bookmarkEnd w:id="1285"/>
      <w:bookmarkEnd w:id="1286"/>
      <w:bookmarkEnd w:id="1287"/>
      <w:bookmarkEnd w:id="1288"/>
      <w:bookmarkEnd w:id="1289"/>
      <w:r w:rsidR="00631FC5">
        <w:t xml:space="preserve"> </w:t>
      </w:r>
      <w:r>
        <w:t>1997,</w:t>
      </w:r>
      <w:r>
        <w:rPr>
          <w:spacing w:val="-2"/>
        </w:rPr>
        <w:t xml:space="preserve"> </w:t>
      </w:r>
      <w:r>
        <w:t>los</w:t>
      </w:r>
      <w:r>
        <w:rPr>
          <w:spacing w:val="-2"/>
        </w:rPr>
        <w:t xml:space="preserve"> </w:t>
      </w:r>
      <w:r>
        <w:t>campesinos</w:t>
      </w:r>
      <w:r>
        <w:rPr>
          <w:spacing w:val="-3"/>
        </w:rPr>
        <w:t xml:space="preserve"> </w:t>
      </w:r>
      <w:r>
        <w:t>y</w:t>
      </w:r>
      <w:r>
        <w:rPr>
          <w:spacing w:val="-4"/>
        </w:rPr>
        <w:t xml:space="preserve"> </w:t>
      </w:r>
      <w:r>
        <w:t>campesinas</w:t>
      </w:r>
      <w:r>
        <w:rPr>
          <w:spacing w:val="-3"/>
        </w:rPr>
        <w:t xml:space="preserve"> </w:t>
      </w:r>
      <w:r>
        <w:t>de</w:t>
      </w:r>
      <w:r>
        <w:rPr>
          <w:spacing w:val="-2"/>
        </w:rPr>
        <w:t xml:space="preserve"> </w:t>
      </w:r>
      <w:r>
        <w:t>San</w:t>
      </w:r>
      <w:r>
        <w:rPr>
          <w:spacing w:val="-2"/>
        </w:rPr>
        <w:t xml:space="preserve"> </w:t>
      </w:r>
      <w:r>
        <w:t>José</w:t>
      </w:r>
      <w:r>
        <w:rPr>
          <w:spacing w:val="-3"/>
        </w:rPr>
        <w:t xml:space="preserve"> </w:t>
      </w:r>
      <w:r>
        <w:t>de</w:t>
      </w:r>
      <w:r>
        <w:rPr>
          <w:spacing w:val="-2"/>
        </w:rPr>
        <w:t xml:space="preserve"> </w:t>
      </w:r>
      <w:r>
        <w:t>Apartadó</w:t>
      </w:r>
      <w:r>
        <w:rPr>
          <w:spacing w:val="-3"/>
        </w:rPr>
        <w:t xml:space="preserve"> </w:t>
      </w:r>
      <w:r>
        <w:t>se</w:t>
      </w:r>
      <w:r>
        <w:rPr>
          <w:spacing w:val="-2"/>
        </w:rPr>
        <w:t xml:space="preserve"> </w:t>
      </w:r>
      <w:r>
        <w:t>autodenominaron</w:t>
      </w:r>
      <w:r>
        <w:rPr>
          <w:spacing w:val="-2"/>
        </w:rPr>
        <w:t xml:space="preserve"> </w:t>
      </w:r>
      <w:r>
        <w:t>como</w:t>
      </w:r>
      <w:r>
        <w:rPr>
          <w:spacing w:val="-2"/>
        </w:rPr>
        <w:t xml:space="preserve"> </w:t>
      </w:r>
      <w:r>
        <w:t>una comunidad</w:t>
      </w:r>
      <w:r>
        <w:rPr>
          <w:spacing w:val="-5"/>
        </w:rPr>
        <w:t xml:space="preserve"> </w:t>
      </w:r>
      <w:r>
        <w:t>de</w:t>
      </w:r>
      <w:r>
        <w:rPr>
          <w:spacing w:val="-3"/>
        </w:rPr>
        <w:t xml:space="preserve"> </w:t>
      </w:r>
      <w:r>
        <w:t>paz,</w:t>
      </w:r>
      <w:r>
        <w:rPr>
          <w:spacing w:val="-3"/>
        </w:rPr>
        <w:t xml:space="preserve"> </w:t>
      </w:r>
      <w:r>
        <w:t>se</w:t>
      </w:r>
      <w:r>
        <w:rPr>
          <w:spacing w:val="-3"/>
        </w:rPr>
        <w:t xml:space="preserve"> </w:t>
      </w:r>
      <w:r>
        <w:t>declararon</w:t>
      </w:r>
      <w:r>
        <w:rPr>
          <w:spacing w:val="-3"/>
        </w:rPr>
        <w:t xml:space="preserve"> </w:t>
      </w:r>
      <w:r>
        <w:t>neutrales</w:t>
      </w:r>
      <w:r>
        <w:rPr>
          <w:spacing w:val="-3"/>
        </w:rPr>
        <w:t xml:space="preserve"> </w:t>
      </w:r>
      <w:r>
        <w:t>y</w:t>
      </w:r>
      <w:r>
        <w:rPr>
          <w:spacing w:val="-3"/>
        </w:rPr>
        <w:t xml:space="preserve"> </w:t>
      </w:r>
      <w:r>
        <w:t>decidieron</w:t>
      </w:r>
      <w:r>
        <w:rPr>
          <w:spacing w:val="-3"/>
        </w:rPr>
        <w:t xml:space="preserve"> </w:t>
      </w:r>
      <w:r>
        <w:t>no</w:t>
      </w:r>
      <w:r>
        <w:rPr>
          <w:spacing w:val="-3"/>
        </w:rPr>
        <w:t xml:space="preserve"> </w:t>
      </w:r>
      <w:r>
        <w:t>dejarse</w:t>
      </w:r>
      <w:r>
        <w:rPr>
          <w:spacing w:val="-4"/>
        </w:rPr>
        <w:t xml:space="preserve"> </w:t>
      </w:r>
      <w:r>
        <w:t>involucrar</w:t>
      </w:r>
      <w:r>
        <w:rPr>
          <w:spacing w:val="-3"/>
        </w:rPr>
        <w:t xml:space="preserve"> </w:t>
      </w:r>
      <w:r>
        <w:t>en</w:t>
      </w:r>
      <w:r>
        <w:rPr>
          <w:spacing w:val="-5"/>
        </w:rPr>
        <w:t xml:space="preserve"> </w:t>
      </w:r>
      <w:r>
        <w:t>el</w:t>
      </w:r>
      <w:r>
        <w:rPr>
          <w:spacing w:val="-3"/>
        </w:rPr>
        <w:t xml:space="preserve"> </w:t>
      </w:r>
      <w:r>
        <w:t>conflicto armado;</w:t>
      </w:r>
      <w:r>
        <w:rPr>
          <w:spacing w:val="-3"/>
        </w:rPr>
        <w:t xml:space="preserve"> </w:t>
      </w:r>
      <w:r>
        <w:t>al</w:t>
      </w:r>
      <w:r>
        <w:rPr>
          <w:spacing w:val="-4"/>
        </w:rPr>
        <w:t xml:space="preserve"> </w:t>
      </w:r>
      <w:r>
        <w:t>mismo</w:t>
      </w:r>
      <w:r>
        <w:rPr>
          <w:spacing w:val="-5"/>
        </w:rPr>
        <w:t xml:space="preserve"> </w:t>
      </w:r>
      <w:r>
        <w:t>tiempo,</w:t>
      </w:r>
      <w:r>
        <w:rPr>
          <w:spacing w:val="-3"/>
        </w:rPr>
        <w:t xml:space="preserve"> </w:t>
      </w:r>
      <w:r>
        <w:t>pusieron</w:t>
      </w:r>
      <w:r>
        <w:rPr>
          <w:spacing w:val="-5"/>
        </w:rPr>
        <w:t xml:space="preserve"> </w:t>
      </w:r>
      <w:r>
        <w:t>en</w:t>
      </w:r>
      <w:r>
        <w:rPr>
          <w:spacing w:val="-3"/>
        </w:rPr>
        <w:t xml:space="preserve"> </w:t>
      </w:r>
      <w:r>
        <w:t>marcha</w:t>
      </w:r>
      <w:r>
        <w:rPr>
          <w:spacing w:val="-4"/>
        </w:rPr>
        <w:t xml:space="preserve"> </w:t>
      </w:r>
      <w:r>
        <w:t>un</w:t>
      </w:r>
      <w:r>
        <w:rPr>
          <w:spacing w:val="-3"/>
        </w:rPr>
        <w:t xml:space="preserve"> </w:t>
      </w:r>
      <w:r>
        <w:t>proceso</w:t>
      </w:r>
      <w:r>
        <w:rPr>
          <w:spacing w:val="-3"/>
        </w:rPr>
        <w:t xml:space="preserve"> </w:t>
      </w:r>
      <w:r>
        <w:t>de</w:t>
      </w:r>
      <w:r>
        <w:rPr>
          <w:spacing w:val="-3"/>
        </w:rPr>
        <w:t xml:space="preserve"> </w:t>
      </w:r>
      <w:r>
        <w:t>comunitario</w:t>
      </w:r>
      <w:r>
        <w:rPr>
          <w:spacing w:val="-3"/>
        </w:rPr>
        <w:t xml:space="preserve"> </w:t>
      </w:r>
      <w:r>
        <w:t>de</w:t>
      </w:r>
      <w:r>
        <w:rPr>
          <w:spacing w:val="-3"/>
        </w:rPr>
        <w:t xml:space="preserve"> </w:t>
      </w:r>
      <w:r>
        <w:t>organización</w:t>
      </w:r>
      <w:r>
        <w:rPr>
          <w:spacing w:val="-3"/>
        </w:rPr>
        <w:t xml:space="preserve"> </w:t>
      </w:r>
      <w:r>
        <w:t>y producción</w:t>
      </w:r>
      <w:r>
        <w:rPr>
          <w:spacing w:val="-14"/>
        </w:rPr>
        <w:t xml:space="preserve"> </w:t>
      </w:r>
      <w:r>
        <w:t>campesina,</w:t>
      </w:r>
      <w:r>
        <w:rPr>
          <w:spacing w:val="-11"/>
        </w:rPr>
        <w:t xml:space="preserve"> </w:t>
      </w:r>
      <w:r>
        <w:t>seguridad</w:t>
      </w:r>
      <w:r>
        <w:rPr>
          <w:spacing w:val="-10"/>
        </w:rPr>
        <w:t xml:space="preserve"> </w:t>
      </w:r>
      <w:r>
        <w:t>autonomía</w:t>
      </w:r>
      <w:r>
        <w:rPr>
          <w:spacing w:val="-10"/>
        </w:rPr>
        <w:t xml:space="preserve"> </w:t>
      </w:r>
      <w:r>
        <w:t>y</w:t>
      </w:r>
      <w:r>
        <w:rPr>
          <w:spacing w:val="-11"/>
        </w:rPr>
        <w:t xml:space="preserve"> </w:t>
      </w:r>
      <w:r>
        <w:t>protección</w:t>
      </w:r>
      <w:r>
        <w:rPr>
          <w:spacing w:val="-9"/>
        </w:rPr>
        <w:t xml:space="preserve"> </w:t>
      </w:r>
      <w:r>
        <w:t>de</w:t>
      </w:r>
      <w:r>
        <w:rPr>
          <w:spacing w:val="-11"/>
        </w:rPr>
        <w:t xml:space="preserve"> </w:t>
      </w:r>
      <w:r>
        <w:t>la</w:t>
      </w:r>
      <w:r>
        <w:rPr>
          <w:spacing w:val="-10"/>
        </w:rPr>
        <w:t xml:space="preserve"> </w:t>
      </w:r>
      <w:r>
        <w:t>vida</w:t>
      </w:r>
      <w:r>
        <w:rPr>
          <w:spacing w:val="-10"/>
        </w:rPr>
        <w:t xml:space="preserve"> </w:t>
      </w:r>
      <w:r>
        <w:t>y</w:t>
      </w:r>
      <w:r>
        <w:rPr>
          <w:spacing w:val="-10"/>
        </w:rPr>
        <w:t xml:space="preserve"> </w:t>
      </w:r>
      <w:r>
        <w:t>los</w:t>
      </w:r>
      <w:r>
        <w:rPr>
          <w:spacing w:val="-11"/>
        </w:rPr>
        <w:t xml:space="preserve"> </w:t>
      </w:r>
      <w:r>
        <w:t>derechos</w:t>
      </w:r>
      <w:r>
        <w:rPr>
          <w:spacing w:val="-10"/>
        </w:rPr>
        <w:t xml:space="preserve"> </w:t>
      </w:r>
      <w:r>
        <w:rPr>
          <w:spacing w:val="-2"/>
        </w:rPr>
        <w:t>humanos.</w:t>
      </w:r>
    </w:p>
    <w:p w:rsidR="003804AC" w:rsidRDefault="00AF18A5" w:rsidP="00631FC5">
      <w:r>
        <w:t xml:space="preserve">De este tipo de experiencias aprendieron los campesinos de otras regiones, como el Catatumbo, el Magdalena medio, el Nordeste </w:t>
      </w:r>
      <w:r>
        <w:lastRenderedPageBreak/>
        <w:t>antioqueño, el Meta, Arauca, Córdoba y Caquetá,</w:t>
      </w:r>
      <w:r>
        <w:rPr>
          <w:spacing w:val="-9"/>
        </w:rPr>
        <w:t xml:space="preserve"> </w:t>
      </w:r>
      <w:r>
        <w:t>entre</w:t>
      </w:r>
      <w:r>
        <w:rPr>
          <w:spacing w:val="-9"/>
        </w:rPr>
        <w:t xml:space="preserve"> </w:t>
      </w:r>
      <w:r>
        <w:t>otras,</w:t>
      </w:r>
      <w:r>
        <w:rPr>
          <w:spacing w:val="-9"/>
        </w:rPr>
        <w:t xml:space="preserve"> </w:t>
      </w:r>
      <w:r>
        <w:t>quienes</w:t>
      </w:r>
      <w:r>
        <w:rPr>
          <w:spacing w:val="-9"/>
        </w:rPr>
        <w:t xml:space="preserve"> </w:t>
      </w:r>
      <w:r>
        <w:t>crearon</w:t>
      </w:r>
      <w:r>
        <w:rPr>
          <w:spacing w:val="-11"/>
        </w:rPr>
        <w:t xml:space="preserve"> </w:t>
      </w:r>
      <w:r>
        <w:t>espacios</w:t>
      </w:r>
      <w:r>
        <w:rPr>
          <w:spacing w:val="-9"/>
        </w:rPr>
        <w:t xml:space="preserve"> </w:t>
      </w:r>
      <w:r>
        <w:t>de</w:t>
      </w:r>
      <w:r>
        <w:rPr>
          <w:spacing w:val="-9"/>
        </w:rPr>
        <w:t xml:space="preserve"> </w:t>
      </w:r>
      <w:r>
        <w:t>refugio</w:t>
      </w:r>
      <w:r>
        <w:rPr>
          <w:spacing w:val="-9"/>
        </w:rPr>
        <w:t xml:space="preserve"> </w:t>
      </w:r>
      <w:r>
        <w:t>humanitario</w:t>
      </w:r>
      <w:r>
        <w:rPr>
          <w:spacing w:val="-9"/>
        </w:rPr>
        <w:t xml:space="preserve"> </w:t>
      </w:r>
      <w:r>
        <w:t>para</w:t>
      </w:r>
      <w:r>
        <w:rPr>
          <w:spacing w:val="-10"/>
        </w:rPr>
        <w:t xml:space="preserve"> </w:t>
      </w:r>
      <w:r>
        <w:t>que</w:t>
      </w:r>
      <w:r>
        <w:rPr>
          <w:spacing w:val="-9"/>
        </w:rPr>
        <w:t xml:space="preserve"> </w:t>
      </w:r>
      <w:r>
        <w:t>los</w:t>
      </w:r>
      <w:r>
        <w:rPr>
          <w:spacing w:val="-9"/>
        </w:rPr>
        <w:t xml:space="preserve"> </w:t>
      </w:r>
      <w:r>
        <w:t>afectados por</w:t>
      </w:r>
      <w:r>
        <w:rPr>
          <w:spacing w:val="-8"/>
        </w:rPr>
        <w:t xml:space="preserve"> </w:t>
      </w:r>
      <w:r>
        <w:t>los</w:t>
      </w:r>
      <w:r>
        <w:rPr>
          <w:spacing w:val="-9"/>
        </w:rPr>
        <w:t xml:space="preserve"> </w:t>
      </w:r>
      <w:r>
        <w:t>combates,</w:t>
      </w:r>
      <w:r>
        <w:rPr>
          <w:spacing w:val="-8"/>
        </w:rPr>
        <w:t xml:space="preserve"> </w:t>
      </w:r>
      <w:r>
        <w:t>bombardeos</w:t>
      </w:r>
      <w:r>
        <w:rPr>
          <w:spacing w:val="-8"/>
        </w:rPr>
        <w:t xml:space="preserve"> </w:t>
      </w:r>
      <w:r>
        <w:t>o</w:t>
      </w:r>
      <w:r>
        <w:rPr>
          <w:spacing w:val="-9"/>
        </w:rPr>
        <w:t xml:space="preserve"> </w:t>
      </w:r>
      <w:r>
        <w:t>amenazas</w:t>
      </w:r>
      <w:r>
        <w:rPr>
          <w:spacing w:val="-8"/>
        </w:rPr>
        <w:t xml:space="preserve"> </w:t>
      </w:r>
      <w:r>
        <w:t>pudieran</w:t>
      </w:r>
      <w:r>
        <w:rPr>
          <w:spacing w:val="-8"/>
        </w:rPr>
        <w:t xml:space="preserve"> </w:t>
      </w:r>
      <w:r>
        <w:t>concentrarse</w:t>
      </w:r>
      <w:r>
        <w:rPr>
          <w:spacing w:val="-8"/>
        </w:rPr>
        <w:t xml:space="preserve"> </w:t>
      </w:r>
      <w:r>
        <w:t>en</w:t>
      </w:r>
      <w:r>
        <w:rPr>
          <w:spacing w:val="-9"/>
        </w:rPr>
        <w:t xml:space="preserve"> </w:t>
      </w:r>
      <w:r>
        <w:t>un</w:t>
      </w:r>
      <w:r>
        <w:rPr>
          <w:spacing w:val="-8"/>
        </w:rPr>
        <w:t xml:space="preserve"> </w:t>
      </w:r>
      <w:r>
        <w:t>perímetro</w:t>
      </w:r>
      <w:r>
        <w:rPr>
          <w:spacing w:val="-8"/>
        </w:rPr>
        <w:t xml:space="preserve"> </w:t>
      </w:r>
      <w:r>
        <w:t>libre</w:t>
      </w:r>
      <w:r>
        <w:rPr>
          <w:spacing w:val="-8"/>
        </w:rPr>
        <w:t xml:space="preserve"> </w:t>
      </w:r>
      <w:r>
        <w:t>de</w:t>
      </w:r>
      <w:r>
        <w:rPr>
          <w:spacing w:val="-8"/>
        </w:rPr>
        <w:t xml:space="preserve"> </w:t>
      </w:r>
      <w:r>
        <w:t>la injerencia de cualquier actor armado. La contrarreforma agraria obstruyó los esfuerzos de redistribución</w:t>
      </w:r>
      <w:r>
        <w:rPr>
          <w:spacing w:val="-11"/>
        </w:rPr>
        <w:t xml:space="preserve"> </w:t>
      </w:r>
      <w:r>
        <w:t>de</w:t>
      </w:r>
      <w:r>
        <w:rPr>
          <w:spacing w:val="-11"/>
        </w:rPr>
        <w:t xml:space="preserve"> </w:t>
      </w:r>
      <w:r>
        <w:t>las</w:t>
      </w:r>
      <w:r>
        <w:rPr>
          <w:spacing w:val="-11"/>
        </w:rPr>
        <w:t xml:space="preserve"> </w:t>
      </w:r>
      <w:r>
        <w:t>tierras</w:t>
      </w:r>
      <w:r>
        <w:rPr>
          <w:spacing w:val="-11"/>
        </w:rPr>
        <w:t xml:space="preserve"> </w:t>
      </w:r>
      <w:r>
        <w:t>que</w:t>
      </w:r>
      <w:r>
        <w:rPr>
          <w:spacing w:val="-11"/>
        </w:rPr>
        <w:t xml:space="preserve"> </w:t>
      </w:r>
      <w:r>
        <w:t>algunos</w:t>
      </w:r>
      <w:r>
        <w:rPr>
          <w:spacing w:val="-11"/>
        </w:rPr>
        <w:t xml:space="preserve"> </w:t>
      </w:r>
      <w:r>
        <w:t>gobiernos</w:t>
      </w:r>
      <w:r>
        <w:rPr>
          <w:spacing w:val="-12"/>
        </w:rPr>
        <w:t xml:space="preserve"> </w:t>
      </w:r>
      <w:r>
        <w:t>propusieron,</w:t>
      </w:r>
      <w:r>
        <w:rPr>
          <w:spacing w:val="-11"/>
        </w:rPr>
        <w:t xml:space="preserve"> </w:t>
      </w:r>
      <w:r>
        <w:t>por</w:t>
      </w:r>
      <w:r>
        <w:rPr>
          <w:spacing w:val="-11"/>
        </w:rPr>
        <w:t xml:space="preserve"> </w:t>
      </w:r>
      <w:r>
        <w:t>la</w:t>
      </w:r>
      <w:r>
        <w:rPr>
          <w:spacing w:val="-11"/>
        </w:rPr>
        <w:t xml:space="preserve"> </w:t>
      </w:r>
      <w:r>
        <w:t>vía</w:t>
      </w:r>
      <w:r>
        <w:rPr>
          <w:spacing w:val="-11"/>
        </w:rPr>
        <w:t xml:space="preserve"> </w:t>
      </w:r>
      <w:r>
        <w:t>de</w:t>
      </w:r>
      <w:r>
        <w:rPr>
          <w:spacing w:val="-11"/>
        </w:rPr>
        <w:t xml:space="preserve"> </w:t>
      </w:r>
      <w:r>
        <w:t>pactos</w:t>
      </w:r>
      <w:r>
        <w:rPr>
          <w:spacing w:val="-11"/>
        </w:rPr>
        <w:t xml:space="preserve"> </w:t>
      </w:r>
      <w:r>
        <w:t>políticos entre las élites.</w:t>
      </w:r>
    </w:p>
    <w:p w:rsidR="0011361F" w:rsidRDefault="00AF18A5" w:rsidP="004A6EF4">
      <w:pPr>
        <w:pStyle w:val="Ttulo3"/>
        <w:numPr>
          <w:ilvl w:val="1"/>
          <w:numId w:val="16"/>
        </w:numPr>
      </w:pPr>
      <w:bookmarkStart w:id="1290" w:name="9.6._La_descentralización_y_la_disputa_p"/>
      <w:bookmarkStart w:id="1291" w:name="_Toc112399648"/>
      <w:bookmarkEnd w:id="1290"/>
      <w:r>
        <w:t>La</w:t>
      </w:r>
      <w:r>
        <w:rPr>
          <w:spacing w:val="-4"/>
        </w:rPr>
        <w:t xml:space="preserve"> </w:t>
      </w:r>
      <w:r>
        <w:t>descentralización</w:t>
      </w:r>
      <w:r>
        <w:rPr>
          <w:spacing w:val="-3"/>
        </w:rPr>
        <w:t xml:space="preserve"> </w:t>
      </w:r>
      <w:r>
        <w:t>y</w:t>
      </w:r>
      <w:r>
        <w:rPr>
          <w:spacing w:val="-2"/>
        </w:rPr>
        <w:t xml:space="preserve"> </w:t>
      </w:r>
      <w:r>
        <w:t>la</w:t>
      </w:r>
      <w:r>
        <w:rPr>
          <w:spacing w:val="-2"/>
        </w:rPr>
        <w:t xml:space="preserve"> </w:t>
      </w:r>
      <w:r>
        <w:t>disputa</w:t>
      </w:r>
      <w:r>
        <w:rPr>
          <w:spacing w:val="-2"/>
        </w:rPr>
        <w:t xml:space="preserve"> </w:t>
      </w:r>
      <w:r>
        <w:t>por</w:t>
      </w:r>
      <w:r>
        <w:rPr>
          <w:spacing w:val="-2"/>
        </w:rPr>
        <w:t xml:space="preserve"> </w:t>
      </w:r>
      <w:r>
        <w:t>el</w:t>
      </w:r>
      <w:r>
        <w:rPr>
          <w:spacing w:val="-2"/>
        </w:rPr>
        <w:t xml:space="preserve"> </w:t>
      </w:r>
      <w:r>
        <w:t>poder</w:t>
      </w:r>
      <w:r>
        <w:rPr>
          <w:spacing w:val="-1"/>
        </w:rPr>
        <w:t xml:space="preserve"> </w:t>
      </w:r>
      <w:r>
        <w:rPr>
          <w:spacing w:val="-2"/>
        </w:rPr>
        <w:t>local</w:t>
      </w:r>
      <w:bookmarkEnd w:id="1291"/>
    </w:p>
    <w:p w:rsidR="003804AC" w:rsidRDefault="00AF18A5" w:rsidP="0008619F">
      <w:r>
        <w:t>A</w:t>
      </w:r>
      <w:r>
        <w:rPr>
          <w:spacing w:val="-5"/>
        </w:rPr>
        <w:t xml:space="preserve"> </w:t>
      </w:r>
      <w:r>
        <w:t>la</w:t>
      </w:r>
      <w:r>
        <w:rPr>
          <w:spacing w:val="-5"/>
        </w:rPr>
        <w:t xml:space="preserve"> </w:t>
      </w:r>
      <w:r>
        <w:t>contrarreforma</w:t>
      </w:r>
      <w:r>
        <w:rPr>
          <w:spacing w:val="-5"/>
        </w:rPr>
        <w:t xml:space="preserve"> </w:t>
      </w:r>
      <w:r>
        <w:t>agraria</w:t>
      </w:r>
      <w:r>
        <w:rPr>
          <w:spacing w:val="-5"/>
        </w:rPr>
        <w:t xml:space="preserve"> </w:t>
      </w:r>
      <w:r>
        <w:t>–que</w:t>
      </w:r>
      <w:r>
        <w:rPr>
          <w:spacing w:val="-5"/>
        </w:rPr>
        <w:t xml:space="preserve"> </w:t>
      </w:r>
      <w:r>
        <w:t>estancó</w:t>
      </w:r>
      <w:r>
        <w:rPr>
          <w:spacing w:val="-5"/>
        </w:rPr>
        <w:t xml:space="preserve"> </w:t>
      </w:r>
      <w:r>
        <w:t>los</w:t>
      </w:r>
      <w:r>
        <w:rPr>
          <w:spacing w:val="-5"/>
        </w:rPr>
        <w:t xml:space="preserve"> </w:t>
      </w:r>
      <w:r>
        <w:t>procesos</w:t>
      </w:r>
      <w:r>
        <w:rPr>
          <w:spacing w:val="-5"/>
        </w:rPr>
        <w:t xml:space="preserve"> </w:t>
      </w:r>
      <w:r>
        <w:t>de</w:t>
      </w:r>
      <w:r>
        <w:rPr>
          <w:spacing w:val="-5"/>
        </w:rPr>
        <w:t xml:space="preserve"> </w:t>
      </w:r>
      <w:r>
        <w:t>desarrollo</w:t>
      </w:r>
      <w:r>
        <w:rPr>
          <w:spacing w:val="-5"/>
        </w:rPr>
        <w:t xml:space="preserve"> </w:t>
      </w:r>
      <w:r>
        <w:t>rural,</w:t>
      </w:r>
      <w:r>
        <w:rPr>
          <w:spacing w:val="-6"/>
        </w:rPr>
        <w:t xml:space="preserve"> </w:t>
      </w:r>
      <w:r>
        <w:t>el</w:t>
      </w:r>
      <w:r>
        <w:rPr>
          <w:spacing w:val="-4"/>
        </w:rPr>
        <w:t xml:space="preserve"> </w:t>
      </w:r>
      <w:r>
        <w:t>bienestar</w:t>
      </w:r>
      <w:r>
        <w:rPr>
          <w:spacing w:val="-6"/>
        </w:rPr>
        <w:t xml:space="preserve"> </w:t>
      </w:r>
      <w:r>
        <w:t>de</w:t>
      </w:r>
      <w:r>
        <w:rPr>
          <w:spacing w:val="-5"/>
        </w:rPr>
        <w:t xml:space="preserve"> </w:t>
      </w:r>
      <w:r>
        <w:t>las familias</w:t>
      </w:r>
      <w:r>
        <w:rPr>
          <w:spacing w:val="-4"/>
        </w:rPr>
        <w:t xml:space="preserve"> </w:t>
      </w:r>
      <w:r>
        <w:t>y</w:t>
      </w:r>
      <w:r>
        <w:rPr>
          <w:spacing w:val="-5"/>
        </w:rPr>
        <w:t xml:space="preserve"> </w:t>
      </w:r>
      <w:r>
        <w:t>el</w:t>
      </w:r>
      <w:r>
        <w:rPr>
          <w:spacing w:val="-5"/>
        </w:rPr>
        <w:t xml:space="preserve"> </w:t>
      </w:r>
      <w:r>
        <w:t>papel</w:t>
      </w:r>
      <w:r>
        <w:rPr>
          <w:spacing w:val="-4"/>
        </w:rPr>
        <w:t xml:space="preserve"> </w:t>
      </w:r>
      <w:r>
        <w:t>del</w:t>
      </w:r>
      <w:r>
        <w:rPr>
          <w:spacing w:val="-4"/>
        </w:rPr>
        <w:t xml:space="preserve"> </w:t>
      </w:r>
      <w:r>
        <w:t>movimiento</w:t>
      </w:r>
      <w:r>
        <w:rPr>
          <w:spacing w:val="-5"/>
        </w:rPr>
        <w:t xml:space="preserve"> </w:t>
      </w:r>
      <w:r>
        <w:t>campesino–</w:t>
      </w:r>
      <w:r>
        <w:rPr>
          <w:spacing w:val="-4"/>
        </w:rPr>
        <w:t xml:space="preserve"> </w:t>
      </w:r>
      <w:r>
        <w:t>y</w:t>
      </w:r>
      <w:r>
        <w:rPr>
          <w:spacing w:val="-6"/>
        </w:rPr>
        <w:t xml:space="preserve"> </w:t>
      </w:r>
      <w:r>
        <w:t>al</w:t>
      </w:r>
      <w:r>
        <w:rPr>
          <w:spacing w:val="-4"/>
        </w:rPr>
        <w:t xml:space="preserve"> </w:t>
      </w:r>
      <w:r>
        <w:t>urbanismo</w:t>
      </w:r>
      <w:r>
        <w:rPr>
          <w:spacing w:val="-5"/>
        </w:rPr>
        <w:t xml:space="preserve"> </w:t>
      </w:r>
      <w:r>
        <w:t>por</w:t>
      </w:r>
      <w:r>
        <w:rPr>
          <w:spacing w:val="-4"/>
        </w:rPr>
        <w:t xml:space="preserve"> </w:t>
      </w:r>
      <w:r>
        <w:t>la</w:t>
      </w:r>
      <w:r>
        <w:rPr>
          <w:spacing w:val="-6"/>
        </w:rPr>
        <w:t xml:space="preserve"> </w:t>
      </w:r>
      <w:r>
        <w:t>fuerza</w:t>
      </w:r>
      <w:r>
        <w:rPr>
          <w:spacing w:val="-4"/>
        </w:rPr>
        <w:t xml:space="preserve"> </w:t>
      </w:r>
      <w:r>
        <w:t>–que</w:t>
      </w:r>
      <w:r>
        <w:rPr>
          <w:spacing w:val="-4"/>
        </w:rPr>
        <w:t xml:space="preserve"> </w:t>
      </w:r>
      <w:r>
        <w:t>exponía</w:t>
      </w:r>
      <w:r>
        <w:rPr>
          <w:spacing w:val="-4"/>
        </w:rPr>
        <w:t xml:space="preserve"> </w:t>
      </w:r>
      <w:r>
        <w:t>a una masa cada vez más numerosa de población (en especial de jóvenes)– a la criminalidad asociada</w:t>
      </w:r>
      <w:r>
        <w:rPr>
          <w:spacing w:val="-6"/>
        </w:rPr>
        <w:t xml:space="preserve"> </w:t>
      </w:r>
      <w:r>
        <w:t>a</w:t>
      </w:r>
      <w:r>
        <w:rPr>
          <w:spacing w:val="-7"/>
        </w:rPr>
        <w:t xml:space="preserve"> </w:t>
      </w:r>
      <w:r>
        <w:t>la</w:t>
      </w:r>
      <w:r>
        <w:rPr>
          <w:spacing w:val="-7"/>
        </w:rPr>
        <w:t xml:space="preserve"> </w:t>
      </w:r>
      <w:r>
        <w:t>guerra</w:t>
      </w:r>
      <w:r>
        <w:rPr>
          <w:spacing w:val="-6"/>
        </w:rPr>
        <w:t xml:space="preserve"> </w:t>
      </w:r>
      <w:r>
        <w:t>se</w:t>
      </w:r>
      <w:r>
        <w:rPr>
          <w:spacing w:val="-7"/>
        </w:rPr>
        <w:t xml:space="preserve"> </w:t>
      </w:r>
      <w:r>
        <w:t>sumó</w:t>
      </w:r>
      <w:r>
        <w:rPr>
          <w:spacing w:val="-6"/>
        </w:rPr>
        <w:t xml:space="preserve"> </w:t>
      </w:r>
      <w:r>
        <w:t>un</w:t>
      </w:r>
      <w:r>
        <w:rPr>
          <w:spacing w:val="-6"/>
        </w:rPr>
        <w:t xml:space="preserve"> </w:t>
      </w:r>
      <w:r>
        <w:t>tercer</w:t>
      </w:r>
      <w:r>
        <w:rPr>
          <w:spacing w:val="-7"/>
        </w:rPr>
        <w:t xml:space="preserve"> </w:t>
      </w:r>
      <w:r>
        <w:t>hecho</w:t>
      </w:r>
      <w:r>
        <w:rPr>
          <w:spacing w:val="-6"/>
        </w:rPr>
        <w:t xml:space="preserve"> </w:t>
      </w:r>
      <w:r>
        <w:t>que</w:t>
      </w:r>
      <w:r>
        <w:rPr>
          <w:spacing w:val="-7"/>
        </w:rPr>
        <w:t xml:space="preserve"> </w:t>
      </w:r>
      <w:r>
        <w:t>marcó</w:t>
      </w:r>
      <w:r>
        <w:rPr>
          <w:spacing w:val="-7"/>
        </w:rPr>
        <w:t xml:space="preserve"> </w:t>
      </w:r>
      <w:r>
        <w:t>la</w:t>
      </w:r>
      <w:r>
        <w:rPr>
          <w:spacing w:val="-7"/>
        </w:rPr>
        <w:t xml:space="preserve"> </w:t>
      </w:r>
      <w:r>
        <w:t>reconfiguración</w:t>
      </w:r>
      <w:r>
        <w:rPr>
          <w:spacing w:val="-7"/>
        </w:rPr>
        <w:t xml:space="preserve"> </w:t>
      </w:r>
      <w:r>
        <w:t>de</w:t>
      </w:r>
      <w:r>
        <w:rPr>
          <w:spacing w:val="-6"/>
        </w:rPr>
        <w:t xml:space="preserve"> </w:t>
      </w:r>
      <w:r>
        <w:t>los</w:t>
      </w:r>
      <w:r>
        <w:rPr>
          <w:spacing w:val="-7"/>
        </w:rPr>
        <w:t xml:space="preserve"> </w:t>
      </w:r>
      <w:r>
        <w:t>territorios: la disputa armada por el poder local, que se dio como correlato del proceso de descentralización. La descentralización fue entendida como una reforma político- institucional que obedecía al propósito de modernizar el Estado y asegurar una mayor eficiencia</w:t>
      </w:r>
      <w:r>
        <w:rPr>
          <w:spacing w:val="-13"/>
        </w:rPr>
        <w:t xml:space="preserve"> </w:t>
      </w:r>
      <w:r>
        <w:t>y</w:t>
      </w:r>
      <w:r>
        <w:rPr>
          <w:spacing w:val="-14"/>
        </w:rPr>
        <w:t xml:space="preserve"> </w:t>
      </w:r>
      <w:r>
        <w:t>eficacia</w:t>
      </w:r>
      <w:r>
        <w:rPr>
          <w:spacing w:val="-14"/>
        </w:rPr>
        <w:t xml:space="preserve"> </w:t>
      </w:r>
      <w:r>
        <w:t>en</w:t>
      </w:r>
      <w:r>
        <w:rPr>
          <w:spacing w:val="-14"/>
        </w:rPr>
        <w:t xml:space="preserve"> </w:t>
      </w:r>
      <w:r>
        <w:t>la</w:t>
      </w:r>
      <w:r>
        <w:rPr>
          <w:spacing w:val="-13"/>
        </w:rPr>
        <w:t xml:space="preserve"> </w:t>
      </w:r>
      <w:r>
        <w:t>prestación</w:t>
      </w:r>
      <w:r>
        <w:rPr>
          <w:spacing w:val="-14"/>
        </w:rPr>
        <w:t xml:space="preserve"> </w:t>
      </w:r>
      <w:r>
        <w:t>de</w:t>
      </w:r>
      <w:r>
        <w:rPr>
          <w:spacing w:val="-13"/>
        </w:rPr>
        <w:t xml:space="preserve"> </w:t>
      </w:r>
      <w:r>
        <w:t>servicios</w:t>
      </w:r>
      <w:r>
        <w:rPr>
          <w:spacing w:val="-14"/>
        </w:rPr>
        <w:t xml:space="preserve"> </w:t>
      </w:r>
      <w:r>
        <w:t>públicos,</w:t>
      </w:r>
      <w:r>
        <w:rPr>
          <w:spacing w:val="-14"/>
        </w:rPr>
        <w:t xml:space="preserve"> </w:t>
      </w:r>
      <w:r>
        <w:t>así</w:t>
      </w:r>
      <w:r>
        <w:rPr>
          <w:spacing w:val="-14"/>
        </w:rPr>
        <w:t xml:space="preserve"> </w:t>
      </w:r>
      <w:r>
        <w:t>como</w:t>
      </w:r>
      <w:r>
        <w:rPr>
          <w:spacing w:val="-14"/>
        </w:rPr>
        <w:t xml:space="preserve"> </w:t>
      </w:r>
      <w:r>
        <w:t>una</w:t>
      </w:r>
      <w:r>
        <w:rPr>
          <w:spacing w:val="-14"/>
        </w:rPr>
        <w:t xml:space="preserve"> </w:t>
      </w:r>
      <w:r>
        <w:t>mayor</w:t>
      </w:r>
      <w:r>
        <w:rPr>
          <w:spacing w:val="-13"/>
        </w:rPr>
        <w:t xml:space="preserve"> </w:t>
      </w:r>
      <w:r>
        <w:t>participación de la ciudadanía en los asuntos municipales</w:t>
      </w:r>
      <w:r w:rsidR="0008619F">
        <w:rPr>
          <w:rStyle w:val="Refdenotaalpie"/>
        </w:rPr>
        <w:footnoteReference w:id="1043"/>
      </w:r>
      <w:r>
        <w:t>. Sin embargo, el impacto de las reformas obedeció a las condiciones de los territorios en las que se implementaron, y trasladó la disputa por el conflicto armado a la lucha por el control de la gestión local.</w:t>
      </w:r>
    </w:p>
    <w:p w:rsidR="003804AC" w:rsidRPr="0008619F" w:rsidRDefault="00AF18A5" w:rsidP="0008619F">
      <w:r>
        <w:t>En municipios integrados, en los que se había logrado consolidar una tecnocracia, desarrollo</w:t>
      </w:r>
      <w:r>
        <w:rPr>
          <w:spacing w:val="76"/>
        </w:rPr>
        <w:t xml:space="preserve"> </w:t>
      </w:r>
      <w:r>
        <w:t>y</w:t>
      </w:r>
      <w:r>
        <w:rPr>
          <w:spacing w:val="79"/>
        </w:rPr>
        <w:t xml:space="preserve"> </w:t>
      </w:r>
      <w:r>
        <w:t>opinión,</w:t>
      </w:r>
      <w:r>
        <w:rPr>
          <w:spacing w:val="79"/>
        </w:rPr>
        <w:t xml:space="preserve"> </w:t>
      </w:r>
      <w:r>
        <w:t>como</w:t>
      </w:r>
      <w:r>
        <w:rPr>
          <w:spacing w:val="50"/>
          <w:w w:val="150"/>
        </w:rPr>
        <w:t xml:space="preserve"> </w:t>
      </w:r>
      <w:r>
        <w:t>las</w:t>
      </w:r>
      <w:r>
        <w:rPr>
          <w:spacing w:val="50"/>
          <w:w w:val="150"/>
        </w:rPr>
        <w:t xml:space="preserve"> </w:t>
      </w:r>
      <w:r>
        <w:t>grandes</w:t>
      </w:r>
      <w:r>
        <w:rPr>
          <w:spacing w:val="79"/>
        </w:rPr>
        <w:t xml:space="preserve"> </w:t>
      </w:r>
      <w:r>
        <w:t>ciudades,</w:t>
      </w:r>
      <w:r>
        <w:rPr>
          <w:spacing w:val="50"/>
          <w:w w:val="150"/>
        </w:rPr>
        <w:t xml:space="preserve"> </w:t>
      </w:r>
      <w:r>
        <w:t>la</w:t>
      </w:r>
      <w:r>
        <w:rPr>
          <w:spacing w:val="79"/>
        </w:rPr>
        <w:t xml:space="preserve"> </w:t>
      </w:r>
      <w:r>
        <w:lastRenderedPageBreak/>
        <w:t>reforma</w:t>
      </w:r>
      <w:r>
        <w:rPr>
          <w:spacing w:val="79"/>
        </w:rPr>
        <w:t xml:space="preserve"> </w:t>
      </w:r>
      <w:r>
        <w:t>aumentó</w:t>
      </w:r>
      <w:r>
        <w:rPr>
          <w:spacing w:val="50"/>
          <w:w w:val="150"/>
        </w:rPr>
        <w:t xml:space="preserve"> </w:t>
      </w:r>
      <w:r>
        <w:t>la</w:t>
      </w:r>
      <w:r>
        <w:rPr>
          <w:spacing w:val="80"/>
        </w:rPr>
        <w:t xml:space="preserve"> </w:t>
      </w:r>
      <w:r>
        <w:rPr>
          <w:spacing w:val="-2"/>
        </w:rPr>
        <w:t>eficiencia,</w:t>
      </w:r>
      <w:bookmarkStart w:id="1292" w:name="_bookmark1145"/>
      <w:bookmarkEnd w:id="1292"/>
      <w:r w:rsidR="0008619F">
        <w:rPr>
          <w:spacing w:val="-2"/>
        </w:rPr>
        <w:t xml:space="preserve"> </w:t>
      </w:r>
      <w:r>
        <w:t>legitimidad y capacidades de los municipios. Pero en unidades territoriales más débiles y ubicadas</w:t>
      </w:r>
      <w:r>
        <w:rPr>
          <w:spacing w:val="-6"/>
        </w:rPr>
        <w:t xml:space="preserve"> </w:t>
      </w:r>
      <w:r>
        <w:t>en</w:t>
      </w:r>
      <w:r>
        <w:rPr>
          <w:spacing w:val="-6"/>
        </w:rPr>
        <w:t xml:space="preserve"> </w:t>
      </w:r>
      <w:r>
        <w:t>la</w:t>
      </w:r>
      <w:r>
        <w:rPr>
          <w:spacing w:val="-6"/>
        </w:rPr>
        <w:t xml:space="preserve"> </w:t>
      </w:r>
      <w:r>
        <w:t>periferia</w:t>
      </w:r>
      <w:r>
        <w:rPr>
          <w:spacing w:val="-6"/>
        </w:rPr>
        <w:t xml:space="preserve"> </w:t>
      </w:r>
      <w:r>
        <w:t>de</w:t>
      </w:r>
      <w:r>
        <w:rPr>
          <w:spacing w:val="-6"/>
        </w:rPr>
        <w:t xml:space="preserve"> </w:t>
      </w:r>
      <w:r>
        <w:t>la</w:t>
      </w:r>
      <w:r>
        <w:rPr>
          <w:spacing w:val="-6"/>
        </w:rPr>
        <w:t xml:space="preserve"> </w:t>
      </w:r>
      <w:r>
        <w:t>modernización</w:t>
      </w:r>
      <w:r>
        <w:rPr>
          <w:spacing w:val="-6"/>
        </w:rPr>
        <w:t xml:space="preserve"> </w:t>
      </w:r>
      <w:r>
        <w:t>política,</w:t>
      </w:r>
      <w:r>
        <w:rPr>
          <w:spacing w:val="-6"/>
        </w:rPr>
        <w:t xml:space="preserve"> </w:t>
      </w:r>
      <w:r>
        <w:t>o</w:t>
      </w:r>
      <w:r>
        <w:rPr>
          <w:spacing w:val="-6"/>
        </w:rPr>
        <w:t xml:space="preserve"> </w:t>
      </w:r>
      <w:r>
        <w:t>en</w:t>
      </w:r>
      <w:r>
        <w:rPr>
          <w:spacing w:val="-6"/>
        </w:rPr>
        <w:t xml:space="preserve"> </w:t>
      </w:r>
      <w:r>
        <w:t>territorios</w:t>
      </w:r>
      <w:r>
        <w:rPr>
          <w:spacing w:val="-6"/>
        </w:rPr>
        <w:t xml:space="preserve"> </w:t>
      </w:r>
      <w:r>
        <w:t>de</w:t>
      </w:r>
      <w:r>
        <w:rPr>
          <w:spacing w:val="-6"/>
        </w:rPr>
        <w:t xml:space="preserve"> </w:t>
      </w:r>
      <w:r>
        <w:t>acelerado</w:t>
      </w:r>
      <w:r>
        <w:rPr>
          <w:spacing w:val="-6"/>
        </w:rPr>
        <w:t xml:space="preserve"> </w:t>
      </w:r>
      <w:r>
        <w:t>desarrollo económico, de las economías extractivas y del narcotráfico, la gestión local se convirtió en botín apetecible de los barones electorales y de los actores armados; así se acentuaban las condiciones de la desigualdad territorial. En efecto, dado que la moneda de cambio del clientelismo era el voto, en regiones en las que el poder local seguía atado al poder de los barones electorales, que en muchos casos representaban intereses de los terratenientes – legales y también ilegales– o de los proyectos extractivos, no tardaron mucho tiempo en darse cuenta de que controlar las nuevas instituciones y recursos era relativamente fácil, y de que ese control podía constituirse en una fuente inagotable tanto de votos como de rentas</w:t>
      </w:r>
      <w:r w:rsidR="0008619F">
        <w:rPr>
          <w:rStyle w:val="Refdenotaalpie"/>
        </w:rPr>
        <w:footnoteReference w:id="1044"/>
      </w:r>
      <w:r>
        <w:t>. Ahora bien, la descentralización estuvo acompañada de un proceso de apertura democrática,</w:t>
      </w:r>
      <w:r>
        <w:rPr>
          <w:spacing w:val="-5"/>
        </w:rPr>
        <w:t xml:space="preserve"> </w:t>
      </w:r>
      <w:r>
        <w:t>y</w:t>
      </w:r>
      <w:r>
        <w:rPr>
          <w:spacing w:val="-5"/>
        </w:rPr>
        <w:t xml:space="preserve"> </w:t>
      </w:r>
      <w:r>
        <w:t>en</w:t>
      </w:r>
      <w:r>
        <w:rPr>
          <w:spacing w:val="-5"/>
        </w:rPr>
        <w:t xml:space="preserve"> </w:t>
      </w:r>
      <w:r>
        <w:t>ese</w:t>
      </w:r>
      <w:r>
        <w:rPr>
          <w:spacing w:val="-6"/>
        </w:rPr>
        <w:t xml:space="preserve"> </w:t>
      </w:r>
      <w:r>
        <w:t>nuevo</w:t>
      </w:r>
      <w:r>
        <w:rPr>
          <w:spacing w:val="-5"/>
        </w:rPr>
        <w:t xml:space="preserve"> </w:t>
      </w:r>
      <w:r>
        <w:t>escenario,</w:t>
      </w:r>
      <w:r>
        <w:rPr>
          <w:spacing w:val="-5"/>
        </w:rPr>
        <w:t xml:space="preserve"> </w:t>
      </w:r>
      <w:r>
        <w:t>poderes</w:t>
      </w:r>
      <w:r>
        <w:rPr>
          <w:spacing w:val="-6"/>
        </w:rPr>
        <w:t xml:space="preserve"> </w:t>
      </w:r>
      <w:r>
        <w:t>locales</w:t>
      </w:r>
      <w:r>
        <w:rPr>
          <w:spacing w:val="-4"/>
        </w:rPr>
        <w:t xml:space="preserve"> </w:t>
      </w:r>
      <w:r>
        <w:t>y</w:t>
      </w:r>
      <w:r>
        <w:rPr>
          <w:spacing w:val="-6"/>
        </w:rPr>
        <w:t xml:space="preserve"> </w:t>
      </w:r>
      <w:r>
        <w:t>regionales</w:t>
      </w:r>
      <w:r>
        <w:rPr>
          <w:spacing w:val="-4"/>
        </w:rPr>
        <w:t xml:space="preserve"> </w:t>
      </w:r>
      <w:r>
        <w:t>se</w:t>
      </w:r>
      <w:r>
        <w:rPr>
          <w:spacing w:val="-4"/>
        </w:rPr>
        <w:t xml:space="preserve"> </w:t>
      </w:r>
      <w:r>
        <w:t>enfrentaron</w:t>
      </w:r>
      <w:r>
        <w:rPr>
          <w:spacing w:val="-6"/>
        </w:rPr>
        <w:t xml:space="preserve"> </w:t>
      </w:r>
      <w:r>
        <w:t>a</w:t>
      </w:r>
      <w:r>
        <w:rPr>
          <w:spacing w:val="-4"/>
        </w:rPr>
        <w:t xml:space="preserve"> </w:t>
      </w:r>
      <w:r>
        <w:t>nuevas fuerzas políticas en crecimiento: primero a la Unión Patriótica y el Nuevo Liberalismo (disidencia del partido Liberal) y después a los nuevos partidos que emergieron con la Constitución de 1991. Así en muchas regiones, como Urabá, el Meta y el Nordeste Antioqueño, entre otras, el resultado fue la creación de alianzas de dichos poderes con los actores</w:t>
      </w:r>
      <w:r>
        <w:rPr>
          <w:spacing w:val="-3"/>
        </w:rPr>
        <w:t xml:space="preserve"> </w:t>
      </w:r>
      <w:r>
        <w:t>armados</w:t>
      </w:r>
      <w:r>
        <w:rPr>
          <w:spacing w:val="-4"/>
        </w:rPr>
        <w:t xml:space="preserve"> </w:t>
      </w:r>
      <w:r>
        <w:t>para</w:t>
      </w:r>
      <w:r>
        <w:rPr>
          <w:spacing w:val="-3"/>
        </w:rPr>
        <w:t xml:space="preserve"> </w:t>
      </w:r>
      <w:r>
        <w:t>frenar</w:t>
      </w:r>
      <w:r>
        <w:rPr>
          <w:spacing w:val="-3"/>
        </w:rPr>
        <w:t xml:space="preserve"> </w:t>
      </w:r>
      <w:r>
        <w:t>el</w:t>
      </w:r>
      <w:r>
        <w:rPr>
          <w:spacing w:val="-3"/>
        </w:rPr>
        <w:t xml:space="preserve"> </w:t>
      </w:r>
      <w:r>
        <w:t>crecimiento</w:t>
      </w:r>
      <w:r>
        <w:rPr>
          <w:spacing w:val="-4"/>
        </w:rPr>
        <w:t xml:space="preserve"> </w:t>
      </w:r>
      <w:r>
        <w:t>electoral</w:t>
      </w:r>
      <w:r>
        <w:rPr>
          <w:spacing w:val="-3"/>
        </w:rPr>
        <w:t xml:space="preserve"> </w:t>
      </w:r>
      <w:r>
        <w:t>de</w:t>
      </w:r>
      <w:r>
        <w:rPr>
          <w:spacing w:val="-3"/>
        </w:rPr>
        <w:t xml:space="preserve"> </w:t>
      </w:r>
      <w:r>
        <w:t>estas</w:t>
      </w:r>
      <w:r>
        <w:rPr>
          <w:spacing w:val="-5"/>
        </w:rPr>
        <w:t xml:space="preserve"> </w:t>
      </w:r>
      <w:r>
        <w:t>nuevas</w:t>
      </w:r>
      <w:r>
        <w:rPr>
          <w:spacing w:val="-3"/>
        </w:rPr>
        <w:t xml:space="preserve"> </w:t>
      </w:r>
      <w:r>
        <w:t>fuerzas</w:t>
      </w:r>
      <w:r>
        <w:rPr>
          <w:spacing w:val="-3"/>
        </w:rPr>
        <w:t xml:space="preserve"> </w:t>
      </w:r>
      <w:r>
        <w:t>y</w:t>
      </w:r>
      <w:r>
        <w:rPr>
          <w:spacing w:val="-4"/>
        </w:rPr>
        <w:t xml:space="preserve"> </w:t>
      </w:r>
      <w:r>
        <w:t>acabar</w:t>
      </w:r>
      <w:r>
        <w:rPr>
          <w:spacing w:val="-4"/>
        </w:rPr>
        <w:t xml:space="preserve"> </w:t>
      </w:r>
      <w:r>
        <w:t>con</w:t>
      </w:r>
      <w:r>
        <w:rPr>
          <w:spacing w:val="-4"/>
        </w:rPr>
        <w:t xml:space="preserve"> </w:t>
      </w:r>
      <w:r>
        <w:t>su representación.</w:t>
      </w:r>
      <w:r>
        <w:rPr>
          <w:spacing w:val="-12"/>
        </w:rPr>
        <w:t xml:space="preserve"> </w:t>
      </w:r>
      <w:r>
        <w:t>Campesinos</w:t>
      </w:r>
      <w:r>
        <w:rPr>
          <w:spacing w:val="-12"/>
        </w:rPr>
        <w:t xml:space="preserve"> </w:t>
      </w:r>
      <w:r>
        <w:t>que</w:t>
      </w:r>
      <w:r>
        <w:rPr>
          <w:spacing w:val="-12"/>
        </w:rPr>
        <w:t xml:space="preserve"> </w:t>
      </w:r>
      <w:r>
        <w:t>participaron</w:t>
      </w:r>
      <w:r>
        <w:rPr>
          <w:spacing w:val="-13"/>
        </w:rPr>
        <w:t xml:space="preserve"> </w:t>
      </w:r>
      <w:r>
        <w:t>en</w:t>
      </w:r>
      <w:r>
        <w:rPr>
          <w:spacing w:val="-12"/>
        </w:rPr>
        <w:t xml:space="preserve"> </w:t>
      </w:r>
      <w:r>
        <w:t>la</w:t>
      </w:r>
      <w:r>
        <w:rPr>
          <w:spacing w:val="-13"/>
        </w:rPr>
        <w:t xml:space="preserve"> </w:t>
      </w:r>
      <w:r>
        <w:t>UP</w:t>
      </w:r>
      <w:r>
        <w:rPr>
          <w:spacing w:val="-12"/>
        </w:rPr>
        <w:t xml:space="preserve"> </w:t>
      </w:r>
      <w:r>
        <w:t>fueron</w:t>
      </w:r>
      <w:r>
        <w:rPr>
          <w:spacing w:val="-12"/>
        </w:rPr>
        <w:t xml:space="preserve"> </w:t>
      </w:r>
      <w:r>
        <w:t>también</w:t>
      </w:r>
      <w:r>
        <w:rPr>
          <w:spacing w:val="-12"/>
        </w:rPr>
        <w:t xml:space="preserve"> </w:t>
      </w:r>
      <w:r>
        <w:t>víctimas</w:t>
      </w:r>
      <w:r>
        <w:rPr>
          <w:spacing w:val="-12"/>
        </w:rPr>
        <w:t xml:space="preserve"> </w:t>
      </w:r>
      <w:r>
        <w:t>de</w:t>
      </w:r>
      <w:r>
        <w:rPr>
          <w:spacing w:val="-12"/>
        </w:rPr>
        <w:t xml:space="preserve"> </w:t>
      </w:r>
      <w:r>
        <w:t xml:space="preserve">genocidio </w:t>
      </w:r>
      <w:r>
        <w:rPr>
          <w:spacing w:val="-2"/>
        </w:rPr>
        <w:t>político.</w:t>
      </w:r>
      <w:r w:rsidR="0008619F">
        <w:rPr>
          <w:rStyle w:val="Refdenotaalpie"/>
          <w:spacing w:val="-2"/>
        </w:rPr>
        <w:footnoteReference w:id="1045"/>
      </w:r>
      <w:r w:rsidR="0008619F" w:rsidRPr="0008619F">
        <w:t xml:space="preserve"> </w:t>
      </w:r>
    </w:p>
    <w:p w:rsidR="003804AC" w:rsidRDefault="00AF18A5" w:rsidP="0008619F">
      <w:r>
        <w:lastRenderedPageBreak/>
        <w:t>El conflicto se orientó a la disputa por el poder local. Los actores armados –guerrillas y paramilitares con sus distintas alianzas y entramados– se dispusieron a apropiarse de los bienes y recursos públicos, a influenciar los resultados políticos y electorales a su conveniencia</w:t>
      </w:r>
      <w:r>
        <w:rPr>
          <w:spacing w:val="26"/>
        </w:rPr>
        <w:t xml:space="preserve"> </w:t>
      </w:r>
      <w:r>
        <w:t>o</w:t>
      </w:r>
      <w:r>
        <w:rPr>
          <w:spacing w:val="26"/>
        </w:rPr>
        <w:t xml:space="preserve"> </w:t>
      </w:r>
      <w:r>
        <w:t>para</w:t>
      </w:r>
      <w:r>
        <w:rPr>
          <w:spacing w:val="27"/>
        </w:rPr>
        <w:t xml:space="preserve"> </w:t>
      </w:r>
      <w:r>
        <w:t>consolidar</w:t>
      </w:r>
      <w:r>
        <w:rPr>
          <w:spacing w:val="27"/>
        </w:rPr>
        <w:t xml:space="preserve"> </w:t>
      </w:r>
      <w:r>
        <w:t>su</w:t>
      </w:r>
      <w:r>
        <w:rPr>
          <w:spacing w:val="26"/>
        </w:rPr>
        <w:t xml:space="preserve"> </w:t>
      </w:r>
      <w:r>
        <w:t>dominio</w:t>
      </w:r>
      <w:r>
        <w:rPr>
          <w:spacing w:val="25"/>
        </w:rPr>
        <w:t xml:space="preserve"> </w:t>
      </w:r>
      <w:r>
        <w:t>territorial</w:t>
      </w:r>
      <w:r>
        <w:rPr>
          <w:spacing w:val="27"/>
        </w:rPr>
        <w:t xml:space="preserve"> </w:t>
      </w:r>
      <w:r>
        <w:t>desde</w:t>
      </w:r>
      <w:r>
        <w:rPr>
          <w:spacing w:val="26"/>
        </w:rPr>
        <w:t xml:space="preserve"> </w:t>
      </w:r>
      <w:r>
        <w:t>lo</w:t>
      </w:r>
      <w:r>
        <w:rPr>
          <w:spacing w:val="26"/>
        </w:rPr>
        <w:t xml:space="preserve"> </w:t>
      </w:r>
      <w:r>
        <w:t>local</w:t>
      </w:r>
      <w:r w:rsidR="0008619F">
        <w:rPr>
          <w:rStyle w:val="Refdenotaalpie"/>
        </w:rPr>
        <w:footnoteReference w:id="1046"/>
      </w:r>
      <w:r>
        <w:t>.</w:t>
      </w:r>
      <w:r>
        <w:rPr>
          <w:spacing w:val="27"/>
        </w:rPr>
        <w:t xml:space="preserve"> </w:t>
      </w:r>
      <w:r>
        <w:t>La</w:t>
      </w:r>
      <w:r>
        <w:rPr>
          <w:spacing w:val="26"/>
        </w:rPr>
        <w:t xml:space="preserve"> </w:t>
      </w:r>
      <w:r>
        <w:t>debilidad</w:t>
      </w:r>
      <w:r>
        <w:rPr>
          <w:spacing w:val="25"/>
        </w:rPr>
        <w:t xml:space="preserve"> </w:t>
      </w:r>
      <w:r>
        <w:rPr>
          <w:spacing w:val="-5"/>
        </w:rPr>
        <w:t>del</w:t>
      </w:r>
      <w:bookmarkStart w:id="1293" w:name="_bookmark1146"/>
      <w:bookmarkStart w:id="1294" w:name="_bookmark1147"/>
      <w:bookmarkStart w:id="1295" w:name="_bookmark1148"/>
      <w:bookmarkEnd w:id="1293"/>
      <w:bookmarkEnd w:id="1294"/>
      <w:bookmarkEnd w:id="1295"/>
      <w:r w:rsidR="0008619F">
        <w:t xml:space="preserve"> </w:t>
      </w:r>
      <w:r>
        <w:t>Estado en los territorios</w:t>
      </w:r>
      <w:r w:rsidR="0008619F">
        <w:rPr>
          <w:rStyle w:val="Refdenotaalpie"/>
        </w:rPr>
        <w:footnoteReference w:id="1047"/>
      </w:r>
      <w:r>
        <w:t>, especialmente en las instituciones relacionadas con el monopolio de la fuerza y la administración de justicia, facilitó la disputa violenta por la gestión</w:t>
      </w:r>
      <w:r>
        <w:rPr>
          <w:spacing w:val="-1"/>
        </w:rPr>
        <w:t xml:space="preserve"> </w:t>
      </w:r>
      <w:r>
        <w:t>local, y expuso a los civiles</w:t>
      </w:r>
      <w:r>
        <w:rPr>
          <w:spacing w:val="-1"/>
        </w:rPr>
        <w:t xml:space="preserve"> </w:t>
      </w:r>
      <w:r>
        <w:t>activos en</w:t>
      </w:r>
      <w:r>
        <w:rPr>
          <w:spacing w:val="-1"/>
        </w:rPr>
        <w:t xml:space="preserve"> </w:t>
      </w:r>
      <w:r>
        <w:t>la</w:t>
      </w:r>
      <w:r>
        <w:rPr>
          <w:spacing w:val="-1"/>
        </w:rPr>
        <w:t xml:space="preserve"> </w:t>
      </w:r>
      <w:r>
        <w:t>política</w:t>
      </w:r>
      <w:r>
        <w:rPr>
          <w:spacing w:val="-1"/>
        </w:rPr>
        <w:t xml:space="preserve"> </w:t>
      </w:r>
      <w:r>
        <w:t>local a las amenazas de guerrillas, paramilitares o fuerzas de seguridad</w:t>
      </w:r>
      <w:r w:rsidR="0008619F">
        <w:rPr>
          <w:rStyle w:val="Refdenotaalpie"/>
        </w:rPr>
        <w:footnoteReference w:id="1048"/>
      </w:r>
      <w:r>
        <w:t>. El clientelismo armado se convirtió entonces en la estrategia privilegiada para este fin, y determinó los procesos de construcción del Estado local en las regiones de la periferia</w:t>
      </w:r>
      <w:r w:rsidR="0008619F">
        <w:rPr>
          <w:rStyle w:val="Refdenotaalpie"/>
        </w:rPr>
        <w:footnoteReference w:id="1049"/>
      </w:r>
      <w:r>
        <w:t>.</w:t>
      </w:r>
    </w:p>
    <w:p w:rsidR="003804AC" w:rsidRDefault="00AF18A5" w:rsidP="0008619F">
      <w:r>
        <w:t>En</w:t>
      </w:r>
      <w:r>
        <w:rPr>
          <w:spacing w:val="-1"/>
        </w:rPr>
        <w:t xml:space="preserve"> </w:t>
      </w:r>
      <w:r>
        <w:t>las</w:t>
      </w:r>
      <w:r>
        <w:rPr>
          <w:spacing w:val="-2"/>
        </w:rPr>
        <w:t xml:space="preserve"> </w:t>
      </w:r>
      <w:r>
        <w:t>zonas</w:t>
      </w:r>
      <w:r>
        <w:rPr>
          <w:spacing w:val="-2"/>
        </w:rPr>
        <w:t xml:space="preserve"> </w:t>
      </w:r>
      <w:r>
        <w:t>de</w:t>
      </w:r>
      <w:r>
        <w:rPr>
          <w:spacing w:val="-1"/>
        </w:rPr>
        <w:t xml:space="preserve"> </w:t>
      </w:r>
      <w:r>
        <w:t>colonización</w:t>
      </w:r>
      <w:r>
        <w:rPr>
          <w:spacing w:val="-1"/>
        </w:rPr>
        <w:t xml:space="preserve"> </w:t>
      </w:r>
      <w:r>
        <w:t>periférica</w:t>
      </w:r>
      <w:r>
        <w:rPr>
          <w:spacing w:val="-1"/>
        </w:rPr>
        <w:t xml:space="preserve"> </w:t>
      </w:r>
      <w:r>
        <w:t>donde</w:t>
      </w:r>
      <w:r>
        <w:rPr>
          <w:spacing w:val="-2"/>
        </w:rPr>
        <w:t xml:space="preserve"> </w:t>
      </w:r>
      <w:r>
        <w:t>la</w:t>
      </w:r>
      <w:r>
        <w:rPr>
          <w:spacing w:val="-3"/>
        </w:rPr>
        <w:t xml:space="preserve"> </w:t>
      </w:r>
      <w:r>
        <w:t>guerrilla</w:t>
      </w:r>
      <w:r>
        <w:rPr>
          <w:spacing w:val="-1"/>
        </w:rPr>
        <w:t xml:space="preserve"> </w:t>
      </w:r>
      <w:r>
        <w:t>hizo</w:t>
      </w:r>
      <w:r>
        <w:rPr>
          <w:spacing w:val="-1"/>
        </w:rPr>
        <w:t xml:space="preserve"> </w:t>
      </w:r>
      <w:r>
        <w:t>presencia,</w:t>
      </w:r>
      <w:r>
        <w:rPr>
          <w:spacing w:val="-3"/>
        </w:rPr>
        <w:t xml:space="preserve"> </w:t>
      </w:r>
      <w:r>
        <w:t>su</w:t>
      </w:r>
      <w:r>
        <w:rPr>
          <w:spacing w:val="-1"/>
        </w:rPr>
        <w:t xml:space="preserve"> </w:t>
      </w:r>
      <w:r>
        <w:t>objetivo</w:t>
      </w:r>
      <w:r>
        <w:rPr>
          <w:spacing w:val="-2"/>
        </w:rPr>
        <w:t xml:space="preserve"> </w:t>
      </w:r>
      <w:r>
        <w:t>fue proporcionar un cierto orden interno y «construir consensos y algunas formas embrionarias de representación»</w:t>
      </w:r>
      <w:r w:rsidR="0008619F">
        <w:rPr>
          <w:rStyle w:val="Refdenotaalpie"/>
        </w:rPr>
        <w:footnoteReference w:id="1050"/>
      </w:r>
      <w:r>
        <w:t>. Buscaron actuar como Estado, usando métodos similares a los de patronazgo y clientela que usan los poderes locales tradicionalmente ligados a los partidos políticos.</w:t>
      </w:r>
      <w:r>
        <w:rPr>
          <w:spacing w:val="-11"/>
        </w:rPr>
        <w:t xml:space="preserve"> </w:t>
      </w:r>
      <w:r>
        <w:t>Por</w:t>
      </w:r>
      <w:r>
        <w:rPr>
          <w:spacing w:val="-9"/>
        </w:rPr>
        <w:t xml:space="preserve"> </w:t>
      </w:r>
      <w:r>
        <w:t>esa</w:t>
      </w:r>
      <w:r>
        <w:rPr>
          <w:spacing w:val="-11"/>
        </w:rPr>
        <w:t xml:space="preserve"> </w:t>
      </w:r>
      <w:r>
        <w:t>razón,</w:t>
      </w:r>
      <w:r>
        <w:rPr>
          <w:spacing w:val="-11"/>
        </w:rPr>
        <w:t xml:space="preserve"> </w:t>
      </w:r>
      <w:r>
        <w:t>asumieron</w:t>
      </w:r>
      <w:r>
        <w:rPr>
          <w:spacing w:val="-11"/>
        </w:rPr>
        <w:t xml:space="preserve"> </w:t>
      </w:r>
      <w:r>
        <w:t>el</w:t>
      </w:r>
      <w:r>
        <w:rPr>
          <w:spacing w:val="-10"/>
        </w:rPr>
        <w:t xml:space="preserve"> </w:t>
      </w:r>
      <w:r>
        <w:t>control</w:t>
      </w:r>
      <w:r>
        <w:rPr>
          <w:spacing w:val="-9"/>
        </w:rPr>
        <w:t xml:space="preserve"> </w:t>
      </w:r>
      <w:r>
        <w:t>violento</w:t>
      </w:r>
      <w:r>
        <w:rPr>
          <w:spacing w:val="-10"/>
        </w:rPr>
        <w:t xml:space="preserve"> </w:t>
      </w:r>
      <w:r>
        <w:t>de</w:t>
      </w:r>
      <w:r>
        <w:rPr>
          <w:spacing w:val="-11"/>
        </w:rPr>
        <w:t xml:space="preserve"> </w:t>
      </w:r>
      <w:r>
        <w:t>los</w:t>
      </w:r>
      <w:r>
        <w:rPr>
          <w:spacing w:val="-11"/>
        </w:rPr>
        <w:t xml:space="preserve"> </w:t>
      </w:r>
      <w:r>
        <w:t>gobiernos</w:t>
      </w:r>
      <w:r>
        <w:rPr>
          <w:spacing w:val="-11"/>
        </w:rPr>
        <w:t xml:space="preserve"> </w:t>
      </w:r>
      <w:r>
        <w:t>locales</w:t>
      </w:r>
      <w:r>
        <w:rPr>
          <w:spacing w:val="-11"/>
        </w:rPr>
        <w:t xml:space="preserve"> </w:t>
      </w:r>
      <w:r>
        <w:t>como</w:t>
      </w:r>
      <w:r>
        <w:rPr>
          <w:spacing w:val="-11"/>
        </w:rPr>
        <w:t xml:space="preserve"> </w:t>
      </w:r>
      <w:r>
        <w:t xml:space="preserve">camino para orientar proyectos de </w:t>
      </w:r>
      <w:r>
        <w:lastRenderedPageBreak/>
        <w:t xml:space="preserve">desarrollo local e inversiones públicas; en fin, incidir en las decisiones políticas. Casos representativos son el ELN en Arauca y las FARC en la </w:t>
      </w:r>
      <w:r>
        <w:rPr>
          <w:spacing w:val="-2"/>
        </w:rPr>
        <w:t>Orinoquía.</w:t>
      </w:r>
    </w:p>
    <w:p w:rsidR="003804AC" w:rsidRPr="0008619F" w:rsidRDefault="00AF18A5" w:rsidP="0008619F">
      <w:r>
        <w:t>La relación de las guerrillas con el sistema político estuvo mediada por la violencia en este periodo. Combinaron los golpes militares a la fuerza pública con acciones de asedio asfixiante</w:t>
      </w:r>
      <w:r>
        <w:rPr>
          <w:spacing w:val="-5"/>
        </w:rPr>
        <w:t xml:space="preserve"> </w:t>
      </w:r>
      <w:r>
        <w:t>sobre</w:t>
      </w:r>
      <w:r>
        <w:rPr>
          <w:spacing w:val="-5"/>
        </w:rPr>
        <w:t xml:space="preserve"> </w:t>
      </w:r>
      <w:r>
        <w:t>las</w:t>
      </w:r>
      <w:r>
        <w:rPr>
          <w:spacing w:val="-5"/>
        </w:rPr>
        <w:t xml:space="preserve"> </w:t>
      </w:r>
      <w:r>
        <w:t>élites</w:t>
      </w:r>
      <w:r>
        <w:rPr>
          <w:spacing w:val="-6"/>
        </w:rPr>
        <w:t xml:space="preserve"> </w:t>
      </w:r>
      <w:r>
        <w:t>regionales</w:t>
      </w:r>
      <w:r>
        <w:rPr>
          <w:spacing w:val="-6"/>
        </w:rPr>
        <w:t xml:space="preserve"> </w:t>
      </w:r>
      <w:r>
        <w:t>a</w:t>
      </w:r>
      <w:r>
        <w:rPr>
          <w:spacing w:val="-6"/>
        </w:rPr>
        <w:t xml:space="preserve"> </w:t>
      </w:r>
      <w:r>
        <w:t>través</w:t>
      </w:r>
      <w:r>
        <w:rPr>
          <w:spacing w:val="-5"/>
        </w:rPr>
        <w:t xml:space="preserve"> </w:t>
      </w:r>
      <w:r>
        <w:t>de</w:t>
      </w:r>
      <w:r>
        <w:rPr>
          <w:spacing w:val="-5"/>
        </w:rPr>
        <w:t xml:space="preserve"> </w:t>
      </w:r>
      <w:r>
        <w:t>secuestros,</w:t>
      </w:r>
      <w:r>
        <w:rPr>
          <w:spacing w:val="-5"/>
        </w:rPr>
        <w:t xml:space="preserve"> </w:t>
      </w:r>
      <w:r>
        <w:t>asaltos</w:t>
      </w:r>
      <w:r>
        <w:rPr>
          <w:spacing w:val="-5"/>
        </w:rPr>
        <w:t xml:space="preserve"> </w:t>
      </w:r>
      <w:r>
        <w:t>a</w:t>
      </w:r>
      <w:r>
        <w:rPr>
          <w:spacing w:val="-6"/>
        </w:rPr>
        <w:t xml:space="preserve"> </w:t>
      </w:r>
      <w:r>
        <w:t>sus</w:t>
      </w:r>
      <w:r>
        <w:rPr>
          <w:spacing w:val="-5"/>
        </w:rPr>
        <w:t xml:space="preserve"> </w:t>
      </w:r>
      <w:r>
        <w:t>propiedades,</w:t>
      </w:r>
      <w:r>
        <w:rPr>
          <w:spacing w:val="-5"/>
        </w:rPr>
        <w:t xml:space="preserve"> </w:t>
      </w:r>
      <w:r>
        <w:t>pillaje y</w:t>
      </w:r>
      <w:r>
        <w:rPr>
          <w:spacing w:val="-5"/>
        </w:rPr>
        <w:t xml:space="preserve"> </w:t>
      </w:r>
      <w:r>
        <w:t>extorsiones.</w:t>
      </w:r>
      <w:r>
        <w:rPr>
          <w:spacing w:val="-5"/>
        </w:rPr>
        <w:t xml:space="preserve"> </w:t>
      </w:r>
      <w:r>
        <w:t>A</w:t>
      </w:r>
      <w:r>
        <w:rPr>
          <w:spacing w:val="-5"/>
        </w:rPr>
        <w:t xml:space="preserve"> </w:t>
      </w:r>
      <w:r>
        <w:t>esto</w:t>
      </w:r>
      <w:r>
        <w:rPr>
          <w:spacing w:val="-5"/>
        </w:rPr>
        <w:t xml:space="preserve"> </w:t>
      </w:r>
      <w:r>
        <w:t>se</w:t>
      </w:r>
      <w:r>
        <w:rPr>
          <w:spacing w:val="-6"/>
        </w:rPr>
        <w:t xml:space="preserve"> </w:t>
      </w:r>
      <w:r>
        <w:t>sumó</w:t>
      </w:r>
      <w:r>
        <w:rPr>
          <w:spacing w:val="-5"/>
        </w:rPr>
        <w:t xml:space="preserve"> </w:t>
      </w:r>
      <w:r>
        <w:t>la</w:t>
      </w:r>
      <w:r>
        <w:rPr>
          <w:spacing w:val="-6"/>
        </w:rPr>
        <w:t xml:space="preserve"> </w:t>
      </w:r>
      <w:r>
        <w:t>expulsión</w:t>
      </w:r>
      <w:r>
        <w:rPr>
          <w:spacing w:val="-5"/>
        </w:rPr>
        <w:t xml:space="preserve"> </w:t>
      </w:r>
      <w:r>
        <w:t>del</w:t>
      </w:r>
      <w:r>
        <w:rPr>
          <w:spacing w:val="-4"/>
        </w:rPr>
        <w:t xml:space="preserve"> </w:t>
      </w:r>
      <w:r>
        <w:t>Estado</w:t>
      </w:r>
      <w:r>
        <w:rPr>
          <w:spacing w:val="-5"/>
        </w:rPr>
        <w:t xml:space="preserve"> </w:t>
      </w:r>
      <w:r>
        <w:t>de</w:t>
      </w:r>
      <w:r>
        <w:rPr>
          <w:spacing w:val="-6"/>
        </w:rPr>
        <w:t xml:space="preserve"> </w:t>
      </w:r>
      <w:r>
        <w:t>regiones</w:t>
      </w:r>
      <w:r>
        <w:rPr>
          <w:spacing w:val="-5"/>
        </w:rPr>
        <w:t xml:space="preserve"> </w:t>
      </w:r>
      <w:r>
        <w:t>y</w:t>
      </w:r>
      <w:r>
        <w:rPr>
          <w:spacing w:val="-5"/>
        </w:rPr>
        <w:t xml:space="preserve"> </w:t>
      </w:r>
      <w:r>
        <w:t>localidades,</w:t>
      </w:r>
      <w:r>
        <w:rPr>
          <w:spacing w:val="-5"/>
        </w:rPr>
        <w:t xml:space="preserve"> </w:t>
      </w:r>
      <w:r>
        <w:t>a</w:t>
      </w:r>
      <w:r>
        <w:rPr>
          <w:spacing w:val="-5"/>
        </w:rPr>
        <w:t xml:space="preserve"> </w:t>
      </w:r>
      <w:r>
        <w:t>través</w:t>
      </w:r>
      <w:r>
        <w:rPr>
          <w:spacing w:val="-5"/>
        </w:rPr>
        <w:t xml:space="preserve"> </w:t>
      </w:r>
      <w:r>
        <w:t>del ataque a los puestos de Policía en las cabeceras municipales, la presión a las autoridades civiles</w:t>
      </w:r>
      <w:r>
        <w:rPr>
          <w:spacing w:val="-3"/>
        </w:rPr>
        <w:t xml:space="preserve"> </w:t>
      </w:r>
      <w:r>
        <w:t>para</w:t>
      </w:r>
      <w:r>
        <w:rPr>
          <w:spacing w:val="-4"/>
        </w:rPr>
        <w:t xml:space="preserve"> </w:t>
      </w:r>
      <w:r>
        <w:t>que</w:t>
      </w:r>
      <w:r>
        <w:rPr>
          <w:spacing w:val="-3"/>
        </w:rPr>
        <w:t xml:space="preserve"> </w:t>
      </w:r>
      <w:r>
        <w:t>renunciaran</w:t>
      </w:r>
      <w:r>
        <w:rPr>
          <w:spacing w:val="-3"/>
        </w:rPr>
        <w:t xml:space="preserve"> </w:t>
      </w:r>
      <w:r>
        <w:t>o</w:t>
      </w:r>
      <w:r>
        <w:rPr>
          <w:spacing w:val="-3"/>
        </w:rPr>
        <w:t xml:space="preserve"> </w:t>
      </w:r>
      <w:r>
        <w:t>salieran</w:t>
      </w:r>
      <w:r>
        <w:rPr>
          <w:spacing w:val="-3"/>
        </w:rPr>
        <w:t xml:space="preserve"> </w:t>
      </w:r>
      <w:r>
        <w:t>del</w:t>
      </w:r>
      <w:r>
        <w:rPr>
          <w:spacing w:val="-3"/>
        </w:rPr>
        <w:t xml:space="preserve"> </w:t>
      </w:r>
      <w:r>
        <w:t>territorio</w:t>
      </w:r>
      <w:r>
        <w:rPr>
          <w:spacing w:val="-3"/>
        </w:rPr>
        <w:t xml:space="preserve"> </w:t>
      </w:r>
      <w:r>
        <w:t>y</w:t>
      </w:r>
      <w:r>
        <w:rPr>
          <w:spacing w:val="-3"/>
        </w:rPr>
        <w:t xml:space="preserve"> </w:t>
      </w:r>
      <w:r>
        <w:t>la</w:t>
      </w:r>
      <w:r>
        <w:rPr>
          <w:spacing w:val="-3"/>
        </w:rPr>
        <w:t xml:space="preserve"> </w:t>
      </w:r>
      <w:r>
        <w:t>obstrucción</w:t>
      </w:r>
      <w:r>
        <w:rPr>
          <w:spacing w:val="-3"/>
        </w:rPr>
        <w:t xml:space="preserve"> </w:t>
      </w:r>
      <w:r>
        <w:t>de</w:t>
      </w:r>
      <w:r>
        <w:rPr>
          <w:spacing w:val="-3"/>
        </w:rPr>
        <w:t xml:space="preserve"> </w:t>
      </w:r>
      <w:r>
        <w:t>elecciones</w:t>
      </w:r>
      <w:r>
        <w:rPr>
          <w:spacing w:val="-3"/>
        </w:rPr>
        <w:t xml:space="preserve"> </w:t>
      </w:r>
      <w:r>
        <w:t>locales</w:t>
      </w:r>
      <w:r>
        <w:rPr>
          <w:spacing w:val="-3"/>
        </w:rPr>
        <w:t xml:space="preserve"> </w:t>
      </w:r>
      <w:r>
        <w:t>y regionales. Además, el control de las guerrillas significó despojos y reasignación de tierras en</w:t>
      </w:r>
      <w:r>
        <w:rPr>
          <w:spacing w:val="24"/>
        </w:rPr>
        <w:t xml:space="preserve"> </w:t>
      </w:r>
      <w:r>
        <w:t>zonas</w:t>
      </w:r>
      <w:r>
        <w:rPr>
          <w:spacing w:val="25"/>
        </w:rPr>
        <w:t xml:space="preserve"> </w:t>
      </w:r>
      <w:r>
        <w:t>de</w:t>
      </w:r>
      <w:r>
        <w:rPr>
          <w:spacing w:val="26"/>
        </w:rPr>
        <w:t xml:space="preserve"> </w:t>
      </w:r>
      <w:r>
        <w:t>su</w:t>
      </w:r>
      <w:r>
        <w:rPr>
          <w:spacing w:val="26"/>
        </w:rPr>
        <w:t xml:space="preserve"> </w:t>
      </w:r>
      <w:r>
        <w:t>control,</w:t>
      </w:r>
      <w:r>
        <w:rPr>
          <w:spacing w:val="24"/>
        </w:rPr>
        <w:t xml:space="preserve"> </w:t>
      </w:r>
      <w:r>
        <w:t>así</w:t>
      </w:r>
      <w:r>
        <w:rPr>
          <w:spacing w:val="28"/>
        </w:rPr>
        <w:t xml:space="preserve"> </w:t>
      </w:r>
      <w:r>
        <w:t>como</w:t>
      </w:r>
      <w:r>
        <w:rPr>
          <w:spacing w:val="25"/>
        </w:rPr>
        <w:t xml:space="preserve"> </w:t>
      </w:r>
      <w:r>
        <w:t>la</w:t>
      </w:r>
      <w:r>
        <w:rPr>
          <w:spacing w:val="26"/>
        </w:rPr>
        <w:t xml:space="preserve"> </w:t>
      </w:r>
      <w:r>
        <w:t>promoción</w:t>
      </w:r>
      <w:r>
        <w:rPr>
          <w:spacing w:val="25"/>
        </w:rPr>
        <w:t xml:space="preserve"> </w:t>
      </w:r>
      <w:r>
        <w:t>de</w:t>
      </w:r>
      <w:r>
        <w:rPr>
          <w:spacing w:val="26"/>
        </w:rPr>
        <w:t xml:space="preserve"> </w:t>
      </w:r>
      <w:r>
        <w:t>la</w:t>
      </w:r>
      <w:r>
        <w:rPr>
          <w:spacing w:val="26"/>
        </w:rPr>
        <w:t xml:space="preserve"> </w:t>
      </w:r>
      <w:r>
        <w:t>economía</w:t>
      </w:r>
      <w:r>
        <w:rPr>
          <w:spacing w:val="26"/>
        </w:rPr>
        <w:t xml:space="preserve"> </w:t>
      </w:r>
      <w:r>
        <w:t>de</w:t>
      </w:r>
      <w:r>
        <w:rPr>
          <w:spacing w:val="25"/>
        </w:rPr>
        <w:t xml:space="preserve"> </w:t>
      </w:r>
      <w:r>
        <w:t>la</w:t>
      </w:r>
      <w:r>
        <w:rPr>
          <w:spacing w:val="27"/>
        </w:rPr>
        <w:t xml:space="preserve"> </w:t>
      </w:r>
      <w:r>
        <w:t>coca</w:t>
      </w:r>
      <w:r>
        <w:rPr>
          <w:spacing w:val="26"/>
        </w:rPr>
        <w:t xml:space="preserve"> </w:t>
      </w:r>
      <w:r>
        <w:t>en</w:t>
      </w:r>
      <w:r>
        <w:rPr>
          <w:spacing w:val="27"/>
        </w:rPr>
        <w:t xml:space="preserve"> </w:t>
      </w:r>
      <w:r>
        <w:rPr>
          <w:spacing w:val="-2"/>
        </w:rPr>
        <w:t>detrimento</w:t>
      </w:r>
      <w:bookmarkStart w:id="1296" w:name="_bookmark1149"/>
      <w:bookmarkStart w:id="1297" w:name="_bookmark1150"/>
      <w:bookmarkStart w:id="1298" w:name="_bookmark1151"/>
      <w:bookmarkStart w:id="1299" w:name="_bookmark1152"/>
      <w:bookmarkEnd w:id="1296"/>
      <w:bookmarkEnd w:id="1297"/>
      <w:bookmarkEnd w:id="1298"/>
      <w:bookmarkEnd w:id="1299"/>
      <w:r w:rsidR="0008619F">
        <w:rPr>
          <w:spacing w:val="-2"/>
        </w:rPr>
        <w:t xml:space="preserve"> </w:t>
      </w:r>
      <w:r>
        <w:t>especialmente del gobierno local y, en el caso de los pueblos étnicos, de los derechos de propiedad colectiva.</w:t>
      </w:r>
    </w:p>
    <w:p w:rsidR="003804AC" w:rsidRDefault="00AF18A5" w:rsidP="00D73B8F">
      <w:r>
        <w:t>En</w:t>
      </w:r>
      <w:r>
        <w:rPr>
          <w:spacing w:val="-13"/>
        </w:rPr>
        <w:t xml:space="preserve"> </w:t>
      </w:r>
      <w:r>
        <w:t>las</w:t>
      </w:r>
      <w:r>
        <w:rPr>
          <w:spacing w:val="-14"/>
        </w:rPr>
        <w:t xml:space="preserve"> </w:t>
      </w:r>
      <w:r>
        <w:t>zonas</w:t>
      </w:r>
      <w:r>
        <w:rPr>
          <w:spacing w:val="-14"/>
        </w:rPr>
        <w:t xml:space="preserve"> </w:t>
      </w:r>
      <w:r>
        <w:t>más</w:t>
      </w:r>
      <w:r>
        <w:rPr>
          <w:spacing w:val="-14"/>
        </w:rPr>
        <w:t xml:space="preserve"> </w:t>
      </w:r>
      <w:r>
        <w:t>integradas,</w:t>
      </w:r>
      <w:r>
        <w:rPr>
          <w:spacing w:val="-13"/>
        </w:rPr>
        <w:t xml:space="preserve"> </w:t>
      </w:r>
      <w:r>
        <w:t>en</w:t>
      </w:r>
      <w:r>
        <w:rPr>
          <w:spacing w:val="-14"/>
        </w:rPr>
        <w:t xml:space="preserve"> </w:t>
      </w:r>
      <w:r>
        <w:t>las</w:t>
      </w:r>
      <w:r>
        <w:rPr>
          <w:spacing w:val="-13"/>
        </w:rPr>
        <w:t xml:space="preserve"> </w:t>
      </w:r>
      <w:r>
        <w:t>que</w:t>
      </w:r>
      <w:r>
        <w:rPr>
          <w:spacing w:val="-13"/>
        </w:rPr>
        <w:t xml:space="preserve"> </w:t>
      </w:r>
      <w:r>
        <w:t>ya</w:t>
      </w:r>
      <w:r>
        <w:rPr>
          <w:spacing w:val="-13"/>
        </w:rPr>
        <w:t xml:space="preserve"> </w:t>
      </w:r>
      <w:r>
        <w:t>existía</w:t>
      </w:r>
      <w:r>
        <w:rPr>
          <w:spacing w:val="-14"/>
        </w:rPr>
        <w:t xml:space="preserve"> </w:t>
      </w:r>
      <w:r>
        <w:t>una</w:t>
      </w:r>
      <w:r>
        <w:rPr>
          <w:spacing w:val="-13"/>
        </w:rPr>
        <w:t xml:space="preserve"> </w:t>
      </w:r>
      <w:r>
        <w:t>estructura</w:t>
      </w:r>
      <w:r>
        <w:rPr>
          <w:spacing w:val="-13"/>
        </w:rPr>
        <w:t xml:space="preserve"> </w:t>
      </w:r>
      <w:proofErr w:type="spellStart"/>
      <w:r>
        <w:t>gamonalista</w:t>
      </w:r>
      <w:proofErr w:type="spellEnd"/>
      <w:r>
        <w:rPr>
          <w:spacing w:val="-13"/>
        </w:rPr>
        <w:t xml:space="preserve"> </w:t>
      </w:r>
      <w:r>
        <w:t>consolidada, la guerrilla se convirtió en amenaza para las coaliciones de poder dominante, lo que llevó a sectores de las elites locales a conformar grupos paramilitares –como se dijo antes– para disputar el control territorial de la guerrilla, defender el monopolio de los recursos económicos, hostilizar y a veces eliminar del todo al adversario político. Esta articulación entre la violencia y las disputas por el poder local y regional tomó un nuevo aire con el narcotráfico,</w:t>
      </w:r>
      <w:r>
        <w:rPr>
          <w:spacing w:val="-13"/>
        </w:rPr>
        <w:t xml:space="preserve"> </w:t>
      </w:r>
      <w:r>
        <w:t>y</w:t>
      </w:r>
      <w:r>
        <w:rPr>
          <w:spacing w:val="-12"/>
        </w:rPr>
        <w:t xml:space="preserve"> </w:t>
      </w:r>
      <w:r>
        <w:t>constituye</w:t>
      </w:r>
      <w:r>
        <w:rPr>
          <w:spacing w:val="-13"/>
        </w:rPr>
        <w:t xml:space="preserve"> </w:t>
      </w:r>
      <w:r>
        <w:t>una</w:t>
      </w:r>
      <w:r>
        <w:rPr>
          <w:spacing w:val="-12"/>
        </w:rPr>
        <w:t xml:space="preserve"> </w:t>
      </w:r>
      <w:r>
        <w:t>de</w:t>
      </w:r>
      <w:r>
        <w:rPr>
          <w:spacing w:val="-12"/>
        </w:rPr>
        <w:t xml:space="preserve"> </w:t>
      </w:r>
      <w:r>
        <w:t>las</w:t>
      </w:r>
      <w:r>
        <w:rPr>
          <w:spacing w:val="-12"/>
        </w:rPr>
        <w:t xml:space="preserve"> </w:t>
      </w:r>
      <w:r>
        <w:t>razones</w:t>
      </w:r>
      <w:r>
        <w:rPr>
          <w:spacing w:val="-12"/>
        </w:rPr>
        <w:t xml:space="preserve"> </w:t>
      </w:r>
      <w:r>
        <w:t>por</w:t>
      </w:r>
      <w:r>
        <w:rPr>
          <w:spacing w:val="-13"/>
        </w:rPr>
        <w:t xml:space="preserve"> </w:t>
      </w:r>
      <w:r>
        <w:t>las</w:t>
      </w:r>
      <w:r>
        <w:rPr>
          <w:spacing w:val="-12"/>
        </w:rPr>
        <w:t xml:space="preserve"> </w:t>
      </w:r>
      <w:r>
        <w:t>que</w:t>
      </w:r>
      <w:r>
        <w:rPr>
          <w:spacing w:val="-12"/>
        </w:rPr>
        <w:t xml:space="preserve"> </w:t>
      </w:r>
      <w:r>
        <w:t>la</w:t>
      </w:r>
      <w:r>
        <w:rPr>
          <w:spacing w:val="-12"/>
        </w:rPr>
        <w:t xml:space="preserve"> </w:t>
      </w:r>
      <w:r>
        <w:t>Constitución</w:t>
      </w:r>
      <w:r>
        <w:rPr>
          <w:spacing w:val="-12"/>
        </w:rPr>
        <w:t xml:space="preserve"> </w:t>
      </w:r>
      <w:r>
        <w:t>de</w:t>
      </w:r>
      <w:r>
        <w:rPr>
          <w:spacing w:val="-13"/>
        </w:rPr>
        <w:t xml:space="preserve"> </w:t>
      </w:r>
      <w:r>
        <w:t>1991</w:t>
      </w:r>
      <w:r>
        <w:rPr>
          <w:spacing w:val="-12"/>
        </w:rPr>
        <w:t xml:space="preserve"> </w:t>
      </w:r>
      <w:r>
        <w:t>tuvo</w:t>
      </w:r>
      <w:r>
        <w:rPr>
          <w:spacing w:val="-12"/>
        </w:rPr>
        <w:t xml:space="preserve"> </w:t>
      </w:r>
      <w:r>
        <w:t>efectos limitados</w:t>
      </w:r>
      <w:r>
        <w:rPr>
          <w:spacing w:val="-2"/>
        </w:rPr>
        <w:t xml:space="preserve"> </w:t>
      </w:r>
      <w:r>
        <w:t>tanto</w:t>
      </w:r>
      <w:r>
        <w:rPr>
          <w:spacing w:val="-2"/>
        </w:rPr>
        <w:t xml:space="preserve"> </w:t>
      </w:r>
      <w:r>
        <w:t>en</w:t>
      </w:r>
      <w:r>
        <w:rPr>
          <w:spacing w:val="-2"/>
        </w:rPr>
        <w:t xml:space="preserve"> </w:t>
      </w:r>
      <w:r>
        <w:t>la</w:t>
      </w:r>
      <w:r>
        <w:rPr>
          <w:spacing w:val="-2"/>
        </w:rPr>
        <w:t xml:space="preserve"> </w:t>
      </w:r>
      <w:r>
        <w:t>democratización</w:t>
      </w:r>
      <w:r>
        <w:rPr>
          <w:spacing w:val="-2"/>
        </w:rPr>
        <w:t xml:space="preserve"> </w:t>
      </w:r>
      <w:r>
        <w:t>como</w:t>
      </w:r>
      <w:r>
        <w:rPr>
          <w:spacing w:val="-3"/>
        </w:rPr>
        <w:t xml:space="preserve"> </w:t>
      </w:r>
      <w:r>
        <w:t>en</w:t>
      </w:r>
      <w:r>
        <w:rPr>
          <w:spacing w:val="-4"/>
        </w:rPr>
        <w:t xml:space="preserve"> </w:t>
      </w:r>
      <w:r>
        <w:t>el</w:t>
      </w:r>
      <w:r>
        <w:rPr>
          <w:spacing w:val="-2"/>
        </w:rPr>
        <w:t xml:space="preserve"> </w:t>
      </w:r>
      <w:r>
        <w:t>proceso</w:t>
      </w:r>
      <w:r>
        <w:rPr>
          <w:spacing w:val="-3"/>
        </w:rPr>
        <w:t xml:space="preserve"> </w:t>
      </w:r>
      <w:r>
        <w:t>de</w:t>
      </w:r>
      <w:r>
        <w:rPr>
          <w:spacing w:val="-2"/>
        </w:rPr>
        <w:t xml:space="preserve"> </w:t>
      </w:r>
      <w:r>
        <w:t>construcción</w:t>
      </w:r>
      <w:r>
        <w:rPr>
          <w:spacing w:val="-2"/>
        </w:rPr>
        <w:t xml:space="preserve"> </w:t>
      </w:r>
      <w:r>
        <w:t>de</w:t>
      </w:r>
      <w:r>
        <w:rPr>
          <w:spacing w:val="-2"/>
        </w:rPr>
        <w:t xml:space="preserve"> </w:t>
      </w:r>
      <w:r>
        <w:t>paz</w:t>
      </w:r>
      <w:r>
        <w:rPr>
          <w:spacing w:val="-2"/>
        </w:rPr>
        <w:t xml:space="preserve"> </w:t>
      </w:r>
      <w:r>
        <w:t>en</w:t>
      </w:r>
      <w:r>
        <w:rPr>
          <w:spacing w:val="-4"/>
        </w:rPr>
        <w:t xml:space="preserve"> </w:t>
      </w:r>
      <w:r>
        <w:t>el</w:t>
      </w:r>
      <w:r>
        <w:rPr>
          <w:spacing w:val="-2"/>
        </w:rPr>
        <w:t xml:space="preserve"> </w:t>
      </w:r>
      <w:r>
        <w:t>país. En aquellas regiones en que sectores de las élites tenían acceso a ejércitos privados, abogados,</w:t>
      </w:r>
      <w:r>
        <w:rPr>
          <w:spacing w:val="-14"/>
        </w:rPr>
        <w:t xml:space="preserve"> </w:t>
      </w:r>
      <w:r>
        <w:t>notarios</w:t>
      </w:r>
      <w:r>
        <w:rPr>
          <w:spacing w:val="-14"/>
        </w:rPr>
        <w:t xml:space="preserve"> </w:t>
      </w:r>
      <w:r>
        <w:t>y</w:t>
      </w:r>
      <w:r>
        <w:rPr>
          <w:spacing w:val="-15"/>
        </w:rPr>
        <w:t xml:space="preserve"> </w:t>
      </w:r>
      <w:r>
        <w:t>funcionarios</w:t>
      </w:r>
      <w:r>
        <w:rPr>
          <w:spacing w:val="-14"/>
        </w:rPr>
        <w:t xml:space="preserve"> </w:t>
      </w:r>
      <w:r>
        <w:t>estas</w:t>
      </w:r>
      <w:r>
        <w:rPr>
          <w:spacing w:val="-14"/>
        </w:rPr>
        <w:t xml:space="preserve"> </w:t>
      </w:r>
      <w:r>
        <w:t>lograron</w:t>
      </w:r>
      <w:r>
        <w:rPr>
          <w:spacing w:val="-15"/>
        </w:rPr>
        <w:t xml:space="preserve"> </w:t>
      </w:r>
      <w:r>
        <w:t>construir</w:t>
      </w:r>
      <w:r>
        <w:rPr>
          <w:spacing w:val="-14"/>
        </w:rPr>
        <w:t xml:space="preserve"> </w:t>
      </w:r>
      <w:r>
        <w:t>dominios</w:t>
      </w:r>
      <w:r>
        <w:rPr>
          <w:spacing w:val="-15"/>
        </w:rPr>
        <w:t xml:space="preserve"> </w:t>
      </w:r>
      <w:r>
        <w:t>territoriales</w:t>
      </w:r>
      <w:r>
        <w:rPr>
          <w:spacing w:val="-14"/>
        </w:rPr>
        <w:t xml:space="preserve"> </w:t>
      </w:r>
      <w:r>
        <w:t>violentos</w:t>
      </w:r>
      <w:r>
        <w:rPr>
          <w:spacing w:val="-14"/>
        </w:rPr>
        <w:t xml:space="preserve"> </w:t>
      </w:r>
      <w:r>
        <w:t xml:space="preserve">en un marco de </w:t>
      </w:r>
      <w:r>
        <w:lastRenderedPageBreak/>
        <w:t>impunidad, como ocurrió en el Caribe, Antioquia y el Magdalena Medio. Así, uno</w:t>
      </w:r>
      <w:r>
        <w:rPr>
          <w:spacing w:val="-14"/>
        </w:rPr>
        <w:t xml:space="preserve"> </w:t>
      </w:r>
      <w:r>
        <w:t>de</w:t>
      </w:r>
      <w:r>
        <w:rPr>
          <w:spacing w:val="-15"/>
        </w:rPr>
        <w:t xml:space="preserve"> </w:t>
      </w:r>
      <w:r>
        <w:t>los</w:t>
      </w:r>
      <w:r>
        <w:rPr>
          <w:spacing w:val="-14"/>
        </w:rPr>
        <w:t xml:space="preserve"> </w:t>
      </w:r>
      <w:r>
        <w:t>objetivos</w:t>
      </w:r>
      <w:r>
        <w:rPr>
          <w:spacing w:val="-14"/>
        </w:rPr>
        <w:t xml:space="preserve"> </w:t>
      </w:r>
      <w:r>
        <w:t>principales</w:t>
      </w:r>
      <w:r>
        <w:rPr>
          <w:spacing w:val="-14"/>
        </w:rPr>
        <w:t xml:space="preserve"> </w:t>
      </w:r>
      <w:r>
        <w:t>de</w:t>
      </w:r>
      <w:r>
        <w:rPr>
          <w:spacing w:val="-15"/>
        </w:rPr>
        <w:t xml:space="preserve"> </w:t>
      </w:r>
      <w:r>
        <w:t>la</w:t>
      </w:r>
      <w:r>
        <w:rPr>
          <w:spacing w:val="-15"/>
        </w:rPr>
        <w:t xml:space="preserve"> </w:t>
      </w:r>
      <w:r>
        <w:t>consolidación</w:t>
      </w:r>
      <w:r>
        <w:rPr>
          <w:spacing w:val="-14"/>
        </w:rPr>
        <w:t xml:space="preserve"> </w:t>
      </w:r>
      <w:r>
        <w:t>paramilitar</w:t>
      </w:r>
      <w:r>
        <w:rPr>
          <w:spacing w:val="-15"/>
        </w:rPr>
        <w:t xml:space="preserve"> </w:t>
      </w:r>
      <w:r>
        <w:t>era</w:t>
      </w:r>
      <w:r>
        <w:rPr>
          <w:spacing w:val="-15"/>
        </w:rPr>
        <w:t xml:space="preserve"> </w:t>
      </w:r>
      <w:r>
        <w:t>cooptar</w:t>
      </w:r>
      <w:r>
        <w:rPr>
          <w:spacing w:val="-15"/>
        </w:rPr>
        <w:t xml:space="preserve"> </w:t>
      </w:r>
      <w:r>
        <w:t>el</w:t>
      </w:r>
      <w:r>
        <w:rPr>
          <w:spacing w:val="-14"/>
        </w:rPr>
        <w:t xml:space="preserve"> </w:t>
      </w:r>
      <w:r>
        <w:t>Estado</w:t>
      </w:r>
      <w:r>
        <w:rPr>
          <w:spacing w:val="-14"/>
        </w:rPr>
        <w:t xml:space="preserve"> </w:t>
      </w:r>
      <w:r>
        <w:t>y</w:t>
      </w:r>
      <w:r>
        <w:rPr>
          <w:spacing w:val="-15"/>
        </w:rPr>
        <w:t xml:space="preserve"> </w:t>
      </w:r>
      <w:r>
        <w:t>lograr representación política regional y local. Más aún,</w:t>
      </w:r>
      <w:r w:rsidR="00D73B8F">
        <w:t xml:space="preserve"> </w:t>
      </w:r>
      <w:r>
        <w:t>buscaban</w:t>
      </w:r>
      <w:r>
        <w:rPr>
          <w:spacing w:val="-3"/>
        </w:rPr>
        <w:t xml:space="preserve"> </w:t>
      </w:r>
      <w:r>
        <w:t>en</w:t>
      </w:r>
      <w:r>
        <w:rPr>
          <w:spacing w:val="-3"/>
        </w:rPr>
        <w:t xml:space="preserve"> </w:t>
      </w:r>
      <w:r>
        <w:t>realidad</w:t>
      </w:r>
      <w:r>
        <w:rPr>
          <w:spacing w:val="-3"/>
        </w:rPr>
        <w:t xml:space="preserve"> </w:t>
      </w:r>
      <w:r>
        <w:t>intervenir</w:t>
      </w:r>
      <w:r>
        <w:rPr>
          <w:spacing w:val="-3"/>
        </w:rPr>
        <w:t xml:space="preserve"> </w:t>
      </w:r>
      <w:r>
        <w:t>el</w:t>
      </w:r>
      <w:r>
        <w:rPr>
          <w:spacing w:val="-3"/>
        </w:rPr>
        <w:t xml:space="preserve"> </w:t>
      </w:r>
      <w:r>
        <w:t>Estado</w:t>
      </w:r>
      <w:r>
        <w:rPr>
          <w:spacing w:val="-3"/>
        </w:rPr>
        <w:t xml:space="preserve"> </w:t>
      </w:r>
      <w:r>
        <w:t>central</w:t>
      </w:r>
      <w:r>
        <w:rPr>
          <w:spacing w:val="-3"/>
        </w:rPr>
        <w:t xml:space="preserve"> </w:t>
      </w:r>
      <w:r>
        <w:t>para</w:t>
      </w:r>
      <w:r>
        <w:rPr>
          <w:spacing w:val="-2"/>
        </w:rPr>
        <w:t xml:space="preserve"> </w:t>
      </w:r>
      <w:r>
        <w:t>asumir</w:t>
      </w:r>
      <w:r>
        <w:rPr>
          <w:spacing w:val="-3"/>
        </w:rPr>
        <w:t xml:space="preserve"> </w:t>
      </w:r>
      <w:r>
        <w:t>las</w:t>
      </w:r>
      <w:r>
        <w:rPr>
          <w:spacing w:val="-4"/>
        </w:rPr>
        <w:t xml:space="preserve"> </w:t>
      </w:r>
      <w:r>
        <w:t>riendas</w:t>
      </w:r>
      <w:r>
        <w:rPr>
          <w:spacing w:val="-4"/>
        </w:rPr>
        <w:t xml:space="preserve"> </w:t>
      </w:r>
      <w:r>
        <w:t>del</w:t>
      </w:r>
      <w:r>
        <w:rPr>
          <w:spacing w:val="-3"/>
        </w:rPr>
        <w:t xml:space="preserve"> </w:t>
      </w:r>
      <w:r>
        <w:t>poder</w:t>
      </w:r>
      <w:r>
        <w:rPr>
          <w:spacing w:val="-3"/>
        </w:rPr>
        <w:t xml:space="preserve"> </w:t>
      </w:r>
      <w:r>
        <w:t>nacional, o como lo consignaron en el Pacto de Ralito con congresistas y funcionarios públicos: “Refundar la patria”. El Pacto de Ralito […] demostró la alianza entre las estructuras paramilitares</w:t>
      </w:r>
      <w:r>
        <w:rPr>
          <w:spacing w:val="-12"/>
        </w:rPr>
        <w:t xml:space="preserve"> </w:t>
      </w:r>
      <w:r>
        <w:t>con</w:t>
      </w:r>
      <w:r>
        <w:rPr>
          <w:spacing w:val="-12"/>
        </w:rPr>
        <w:t xml:space="preserve"> </w:t>
      </w:r>
      <w:r>
        <w:t>amplios</w:t>
      </w:r>
      <w:r>
        <w:rPr>
          <w:spacing w:val="-13"/>
        </w:rPr>
        <w:t xml:space="preserve"> </w:t>
      </w:r>
      <w:r>
        <w:t>sectores</w:t>
      </w:r>
      <w:r>
        <w:rPr>
          <w:spacing w:val="-12"/>
        </w:rPr>
        <w:t xml:space="preserve"> </w:t>
      </w:r>
      <w:r>
        <w:t>militares,</w:t>
      </w:r>
      <w:r>
        <w:rPr>
          <w:spacing w:val="-12"/>
        </w:rPr>
        <w:t xml:space="preserve"> </w:t>
      </w:r>
      <w:r>
        <w:t>económicos,</w:t>
      </w:r>
      <w:r>
        <w:rPr>
          <w:spacing w:val="-13"/>
        </w:rPr>
        <w:t xml:space="preserve"> </w:t>
      </w:r>
      <w:r>
        <w:t>políticos</w:t>
      </w:r>
      <w:r>
        <w:rPr>
          <w:spacing w:val="-13"/>
        </w:rPr>
        <w:t xml:space="preserve"> </w:t>
      </w:r>
      <w:r>
        <w:t>y</w:t>
      </w:r>
      <w:r>
        <w:rPr>
          <w:spacing w:val="-13"/>
        </w:rPr>
        <w:t xml:space="preserve"> </w:t>
      </w:r>
      <w:r>
        <w:t>sociales</w:t>
      </w:r>
      <w:r>
        <w:rPr>
          <w:spacing w:val="-13"/>
        </w:rPr>
        <w:t xml:space="preserve"> </w:t>
      </w:r>
      <w:r>
        <w:t>de</w:t>
      </w:r>
      <w:r>
        <w:rPr>
          <w:spacing w:val="-13"/>
        </w:rPr>
        <w:t xml:space="preserve"> </w:t>
      </w:r>
      <w:r>
        <w:t>todo</w:t>
      </w:r>
      <w:r>
        <w:rPr>
          <w:spacing w:val="-12"/>
        </w:rPr>
        <w:t xml:space="preserve"> </w:t>
      </w:r>
      <w:r>
        <w:t>el</w:t>
      </w:r>
      <w:r>
        <w:rPr>
          <w:spacing w:val="-13"/>
        </w:rPr>
        <w:t xml:space="preserve"> </w:t>
      </w:r>
      <w:r>
        <w:t>país. Su objetivo era la formulación de un nuevo contrato social basado en la defensa de lo propiedad privada y la preservación del control territorial</w:t>
      </w:r>
      <w:r w:rsidR="00D73B8F">
        <w:rPr>
          <w:rStyle w:val="Refdenotaalpie"/>
        </w:rPr>
        <w:footnoteReference w:id="1051"/>
      </w:r>
      <w:r>
        <w:t>.</w:t>
      </w:r>
    </w:p>
    <w:p w:rsidR="003804AC" w:rsidRDefault="00AF18A5" w:rsidP="00D73B8F">
      <w:r>
        <w:t>El Pacto de Ralito se gestó con la participación de entre 100 y 500 políticos, funcionarios y empresarios locales de Córdoba, Sucre, Bolívar y</w:t>
      </w:r>
      <w:r>
        <w:rPr>
          <w:spacing w:val="-1"/>
        </w:rPr>
        <w:t xml:space="preserve"> </w:t>
      </w:r>
      <w:r>
        <w:t>Magdalena,</w:t>
      </w:r>
      <w:r>
        <w:rPr>
          <w:spacing w:val="-1"/>
        </w:rPr>
        <w:t xml:space="preserve"> </w:t>
      </w:r>
      <w:r>
        <w:t>que pactaron un encuentro al margen de cualquier proceso de paz o de la participación del Estado central, con los comandantes paramilitares que en ese momento ya ejercían control sobre esos departamentos</w:t>
      </w:r>
      <w:r w:rsidR="00D73B8F">
        <w:rPr>
          <w:rStyle w:val="Refdenotaalpie"/>
        </w:rPr>
        <w:footnoteReference w:id="1052"/>
      </w:r>
      <w:r>
        <w:t>. Este pacto es el punto de partida para entender el entramado que más adelante</w:t>
      </w:r>
      <w:r>
        <w:rPr>
          <w:spacing w:val="34"/>
        </w:rPr>
        <w:t xml:space="preserve"> </w:t>
      </w:r>
      <w:r>
        <w:t>se</w:t>
      </w:r>
      <w:r>
        <w:rPr>
          <w:spacing w:val="36"/>
        </w:rPr>
        <w:t xml:space="preserve"> </w:t>
      </w:r>
      <w:r>
        <w:t>conoció</w:t>
      </w:r>
      <w:r>
        <w:rPr>
          <w:spacing w:val="37"/>
        </w:rPr>
        <w:t xml:space="preserve"> </w:t>
      </w:r>
      <w:r>
        <w:t>como</w:t>
      </w:r>
      <w:r>
        <w:rPr>
          <w:spacing w:val="37"/>
        </w:rPr>
        <w:t xml:space="preserve"> </w:t>
      </w:r>
      <w:r>
        <w:t>la</w:t>
      </w:r>
      <w:r>
        <w:rPr>
          <w:spacing w:val="37"/>
        </w:rPr>
        <w:t xml:space="preserve"> </w:t>
      </w:r>
      <w:r>
        <w:t>parapolítica:</w:t>
      </w:r>
      <w:r>
        <w:rPr>
          <w:spacing w:val="37"/>
        </w:rPr>
        <w:t xml:space="preserve"> </w:t>
      </w:r>
      <w:r>
        <w:t>en</w:t>
      </w:r>
      <w:r>
        <w:rPr>
          <w:spacing w:val="37"/>
        </w:rPr>
        <w:t xml:space="preserve"> </w:t>
      </w:r>
      <w:r>
        <w:t>las</w:t>
      </w:r>
      <w:r>
        <w:rPr>
          <w:spacing w:val="37"/>
        </w:rPr>
        <w:t xml:space="preserve"> </w:t>
      </w:r>
      <w:r>
        <w:t>elecciones</w:t>
      </w:r>
      <w:r>
        <w:rPr>
          <w:spacing w:val="37"/>
        </w:rPr>
        <w:t xml:space="preserve"> </w:t>
      </w:r>
      <w:r>
        <w:t>de</w:t>
      </w:r>
      <w:r>
        <w:rPr>
          <w:spacing w:val="37"/>
        </w:rPr>
        <w:t xml:space="preserve"> </w:t>
      </w:r>
      <w:r>
        <w:t>2002,</w:t>
      </w:r>
      <w:r>
        <w:rPr>
          <w:spacing w:val="37"/>
        </w:rPr>
        <w:t xml:space="preserve"> </w:t>
      </w:r>
      <w:r>
        <w:t>el</w:t>
      </w:r>
      <w:r>
        <w:rPr>
          <w:spacing w:val="37"/>
        </w:rPr>
        <w:t xml:space="preserve"> </w:t>
      </w:r>
      <w:r>
        <w:rPr>
          <w:spacing w:val="-2"/>
        </w:rPr>
        <w:t>paramilitarismo</w:t>
      </w:r>
      <w:bookmarkStart w:id="1300" w:name="_bookmark1153"/>
      <w:bookmarkStart w:id="1301" w:name="_bookmark1154"/>
      <w:bookmarkEnd w:id="1300"/>
      <w:bookmarkEnd w:id="1301"/>
      <w:r w:rsidR="00D73B8F">
        <w:rPr>
          <w:spacing w:val="-2"/>
        </w:rPr>
        <w:t xml:space="preserve"> </w:t>
      </w:r>
      <w:r>
        <w:t>alcanzó a cooptar una tercera parte del Congreso, al mismo tiempo que ejerció control y cooperación sobre 250 alcaldías y nueve de las 32 gobernaciones en 2003</w:t>
      </w:r>
      <w:r w:rsidR="00D73B8F">
        <w:rPr>
          <w:rStyle w:val="Refdenotaalpie"/>
        </w:rPr>
        <w:footnoteReference w:id="1053"/>
      </w:r>
      <w:r>
        <w:t>.</w:t>
      </w:r>
    </w:p>
    <w:p w:rsidR="003804AC" w:rsidRDefault="00AF18A5" w:rsidP="00D73B8F">
      <w:r>
        <w:t>Los</w:t>
      </w:r>
      <w:r>
        <w:rPr>
          <w:spacing w:val="-7"/>
        </w:rPr>
        <w:t xml:space="preserve"> </w:t>
      </w:r>
      <w:r>
        <w:t>pactos</w:t>
      </w:r>
      <w:r>
        <w:rPr>
          <w:spacing w:val="-7"/>
        </w:rPr>
        <w:t xml:space="preserve"> </w:t>
      </w:r>
      <w:r>
        <w:t>electorales</w:t>
      </w:r>
      <w:r>
        <w:rPr>
          <w:spacing w:val="-7"/>
        </w:rPr>
        <w:t xml:space="preserve"> </w:t>
      </w:r>
      <w:r>
        <w:t>entre</w:t>
      </w:r>
      <w:r>
        <w:rPr>
          <w:spacing w:val="-7"/>
        </w:rPr>
        <w:t xml:space="preserve"> </w:t>
      </w:r>
      <w:r>
        <w:t>comandantes</w:t>
      </w:r>
      <w:r>
        <w:rPr>
          <w:spacing w:val="-7"/>
        </w:rPr>
        <w:t xml:space="preserve"> </w:t>
      </w:r>
      <w:r>
        <w:t>paramilitares</w:t>
      </w:r>
      <w:r>
        <w:rPr>
          <w:spacing w:val="-7"/>
        </w:rPr>
        <w:t xml:space="preserve"> </w:t>
      </w:r>
      <w:r>
        <w:t>y</w:t>
      </w:r>
      <w:r>
        <w:rPr>
          <w:spacing w:val="-7"/>
        </w:rPr>
        <w:t xml:space="preserve"> </w:t>
      </w:r>
      <w:r>
        <w:t>políticos</w:t>
      </w:r>
      <w:r>
        <w:rPr>
          <w:spacing w:val="-7"/>
        </w:rPr>
        <w:t xml:space="preserve"> </w:t>
      </w:r>
      <w:r>
        <w:t>regionales</w:t>
      </w:r>
      <w:r>
        <w:rPr>
          <w:spacing w:val="-7"/>
        </w:rPr>
        <w:t xml:space="preserve"> </w:t>
      </w:r>
      <w:r>
        <w:t>y</w:t>
      </w:r>
      <w:r>
        <w:rPr>
          <w:spacing w:val="-7"/>
        </w:rPr>
        <w:t xml:space="preserve"> </w:t>
      </w:r>
      <w:r>
        <w:t>el</w:t>
      </w:r>
      <w:r>
        <w:rPr>
          <w:spacing w:val="-7"/>
        </w:rPr>
        <w:t xml:space="preserve"> </w:t>
      </w:r>
      <w:r>
        <w:t xml:space="preserve">control que alcanzaron las guerrillas sobre la gestión </w:t>
      </w:r>
      <w:r>
        <w:lastRenderedPageBreak/>
        <w:t>pública en territorios bajo su control reconfiguraron el poder regional y local. La imposición de órdenes territoriales a través de la violencia limitó la participación de fuerzas políticas de oposición, cubrió con miedo y desconfianza las relaciones políticas y sociales y consolidó el poder de sectores de la sociedad, en detrimento de la inclusión y la democracia.</w:t>
      </w:r>
    </w:p>
    <w:p w:rsidR="0011361F" w:rsidRDefault="00AF18A5" w:rsidP="004A6EF4">
      <w:pPr>
        <w:pStyle w:val="Ttulo3"/>
        <w:numPr>
          <w:ilvl w:val="1"/>
          <w:numId w:val="16"/>
        </w:numPr>
      </w:pPr>
      <w:bookmarkStart w:id="1302" w:name="9.7._¿Y_la_tierra_para_qué?"/>
      <w:bookmarkStart w:id="1303" w:name="_Toc112399649"/>
      <w:bookmarkEnd w:id="1302"/>
      <w:r>
        <w:t>¿Y</w:t>
      </w:r>
      <w:r>
        <w:rPr>
          <w:spacing w:val="-2"/>
        </w:rPr>
        <w:t xml:space="preserve"> </w:t>
      </w:r>
      <w:r>
        <w:t xml:space="preserve">la </w:t>
      </w:r>
      <w:r w:rsidRPr="00D73B8F">
        <w:t>tierra</w:t>
      </w:r>
      <w:r>
        <w:rPr>
          <w:spacing w:val="-1"/>
        </w:rPr>
        <w:t xml:space="preserve"> </w:t>
      </w:r>
      <w:r>
        <w:t xml:space="preserve">para </w:t>
      </w:r>
      <w:r>
        <w:rPr>
          <w:spacing w:val="-4"/>
        </w:rPr>
        <w:t>qué?</w:t>
      </w:r>
      <w:bookmarkEnd w:id="1303"/>
    </w:p>
    <w:p w:rsidR="003804AC" w:rsidRDefault="00AF18A5" w:rsidP="00D73B8F">
      <w:r>
        <w:t>A</w:t>
      </w:r>
      <w:r>
        <w:rPr>
          <w:spacing w:val="-13"/>
        </w:rPr>
        <w:t xml:space="preserve"> </w:t>
      </w:r>
      <w:r>
        <w:t>través</w:t>
      </w:r>
      <w:r>
        <w:rPr>
          <w:spacing w:val="-12"/>
        </w:rPr>
        <w:t xml:space="preserve"> </w:t>
      </w:r>
      <w:r>
        <w:t>de</w:t>
      </w:r>
      <w:r>
        <w:rPr>
          <w:spacing w:val="-12"/>
        </w:rPr>
        <w:t xml:space="preserve"> </w:t>
      </w:r>
      <w:r>
        <w:t>la</w:t>
      </w:r>
      <w:r>
        <w:rPr>
          <w:spacing w:val="-12"/>
        </w:rPr>
        <w:t xml:space="preserve"> </w:t>
      </w:r>
      <w:r>
        <w:t>fuerza</w:t>
      </w:r>
      <w:r>
        <w:rPr>
          <w:spacing w:val="-12"/>
        </w:rPr>
        <w:t xml:space="preserve"> </w:t>
      </w:r>
      <w:r>
        <w:t>o</w:t>
      </w:r>
      <w:r>
        <w:rPr>
          <w:spacing w:val="-12"/>
        </w:rPr>
        <w:t xml:space="preserve"> </w:t>
      </w:r>
      <w:r>
        <w:t>de</w:t>
      </w:r>
      <w:r>
        <w:rPr>
          <w:spacing w:val="-13"/>
        </w:rPr>
        <w:t xml:space="preserve"> </w:t>
      </w:r>
      <w:r>
        <w:t>la</w:t>
      </w:r>
      <w:r>
        <w:rPr>
          <w:spacing w:val="-12"/>
        </w:rPr>
        <w:t xml:space="preserve"> </w:t>
      </w:r>
      <w:r>
        <w:t>ley,</w:t>
      </w:r>
      <w:r>
        <w:rPr>
          <w:spacing w:val="-12"/>
        </w:rPr>
        <w:t xml:space="preserve"> </w:t>
      </w:r>
      <w:r>
        <w:t>todos</w:t>
      </w:r>
      <w:r>
        <w:rPr>
          <w:spacing w:val="-13"/>
        </w:rPr>
        <w:t xml:space="preserve"> </w:t>
      </w:r>
      <w:r>
        <w:t>los</w:t>
      </w:r>
      <w:r>
        <w:rPr>
          <w:spacing w:val="-12"/>
        </w:rPr>
        <w:t xml:space="preserve"> </w:t>
      </w:r>
      <w:r>
        <w:t>actores</w:t>
      </w:r>
      <w:r>
        <w:rPr>
          <w:spacing w:val="-12"/>
        </w:rPr>
        <w:t xml:space="preserve"> </w:t>
      </w:r>
      <w:r>
        <w:t>armados</w:t>
      </w:r>
      <w:r>
        <w:rPr>
          <w:spacing w:val="-13"/>
        </w:rPr>
        <w:t xml:space="preserve"> </w:t>
      </w:r>
      <w:r>
        <w:t>involucrados</w:t>
      </w:r>
      <w:r>
        <w:rPr>
          <w:spacing w:val="-13"/>
        </w:rPr>
        <w:t xml:space="preserve"> </w:t>
      </w:r>
      <w:r>
        <w:t>en</w:t>
      </w:r>
      <w:r>
        <w:rPr>
          <w:spacing w:val="-13"/>
        </w:rPr>
        <w:t xml:space="preserve"> </w:t>
      </w:r>
      <w:r>
        <w:t>el</w:t>
      </w:r>
      <w:r>
        <w:rPr>
          <w:spacing w:val="-12"/>
        </w:rPr>
        <w:t xml:space="preserve"> </w:t>
      </w:r>
      <w:r>
        <w:t>conflicto,</w:t>
      </w:r>
      <w:r>
        <w:rPr>
          <w:spacing w:val="-13"/>
        </w:rPr>
        <w:t xml:space="preserve"> </w:t>
      </w:r>
      <w:r>
        <w:t>tanto los ilegales como sus aliados legales, pretendieron quedarse con la tierra. Sin embargo, al igual</w:t>
      </w:r>
      <w:r>
        <w:rPr>
          <w:spacing w:val="-7"/>
        </w:rPr>
        <w:t xml:space="preserve"> </w:t>
      </w:r>
      <w:r>
        <w:t>que</w:t>
      </w:r>
      <w:r>
        <w:rPr>
          <w:spacing w:val="-7"/>
        </w:rPr>
        <w:t xml:space="preserve"> </w:t>
      </w:r>
      <w:r>
        <w:t>las</w:t>
      </w:r>
      <w:r>
        <w:rPr>
          <w:spacing w:val="-8"/>
        </w:rPr>
        <w:t xml:space="preserve"> </w:t>
      </w:r>
      <w:r>
        <w:t>modalidades</w:t>
      </w:r>
      <w:r>
        <w:rPr>
          <w:spacing w:val="-7"/>
        </w:rPr>
        <w:t xml:space="preserve"> </w:t>
      </w:r>
      <w:r>
        <w:t>de</w:t>
      </w:r>
      <w:r>
        <w:rPr>
          <w:spacing w:val="-7"/>
        </w:rPr>
        <w:t xml:space="preserve"> </w:t>
      </w:r>
      <w:r>
        <w:t>violencia</w:t>
      </w:r>
      <w:r>
        <w:rPr>
          <w:spacing w:val="-7"/>
        </w:rPr>
        <w:t xml:space="preserve"> </w:t>
      </w:r>
      <w:r>
        <w:t>aplicadas</w:t>
      </w:r>
      <w:r>
        <w:rPr>
          <w:spacing w:val="-8"/>
        </w:rPr>
        <w:t xml:space="preserve"> </w:t>
      </w:r>
      <w:r>
        <w:t>en</w:t>
      </w:r>
      <w:r>
        <w:rPr>
          <w:spacing w:val="-7"/>
        </w:rPr>
        <w:t xml:space="preserve"> </w:t>
      </w:r>
      <w:r>
        <w:t>los</w:t>
      </w:r>
      <w:r>
        <w:rPr>
          <w:spacing w:val="-8"/>
        </w:rPr>
        <w:t xml:space="preserve"> </w:t>
      </w:r>
      <w:r>
        <w:t>territorios,</w:t>
      </w:r>
      <w:r>
        <w:rPr>
          <w:spacing w:val="-7"/>
        </w:rPr>
        <w:t xml:space="preserve"> </w:t>
      </w:r>
      <w:r>
        <w:t>los</w:t>
      </w:r>
      <w:r>
        <w:rPr>
          <w:spacing w:val="-8"/>
        </w:rPr>
        <w:t xml:space="preserve"> </w:t>
      </w:r>
      <w:r>
        <w:t>objetivos</w:t>
      </w:r>
      <w:r>
        <w:rPr>
          <w:spacing w:val="-7"/>
        </w:rPr>
        <w:t xml:space="preserve"> </w:t>
      </w:r>
      <w:r>
        <w:t>perseguidos con la apropiación de la tierra fueron diferentes. En consonancia con los postulados de la CNRR</w:t>
      </w:r>
      <w:r w:rsidR="00D73B8F">
        <w:rPr>
          <w:rStyle w:val="Refdenotaalpie"/>
        </w:rPr>
        <w:footnoteReference w:id="1054"/>
      </w:r>
      <w:r>
        <w:rPr>
          <w:spacing w:val="-9"/>
        </w:rPr>
        <w:t xml:space="preserve"> </w:t>
      </w:r>
      <w:r>
        <w:t>–y</w:t>
      </w:r>
      <w:r>
        <w:rPr>
          <w:spacing w:val="-10"/>
        </w:rPr>
        <w:t xml:space="preserve"> </w:t>
      </w:r>
      <w:r>
        <w:t>captando</w:t>
      </w:r>
      <w:r>
        <w:rPr>
          <w:spacing w:val="-10"/>
        </w:rPr>
        <w:t xml:space="preserve"> </w:t>
      </w:r>
      <w:r>
        <w:t>las</w:t>
      </w:r>
      <w:r>
        <w:rPr>
          <w:spacing w:val="-9"/>
        </w:rPr>
        <w:t xml:space="preserve"> </w:t>
      </w:r>
      <w:r>
        <w:t>filigranas</w:t>
      </w:r>
      <w:r>
        <w:rPr>
          <w:spacing w:val="-9"/>
        </w:rPr>
        <w:t xml:space="preserve"> </w:t>
      </w:r>
      <w:r>
        <w:t>del</w:t>
      </w:r>
      <w:r>
        <w:rPr>
          <w:spacing w:val="-10"/>
        </w:rPr>
        <w:t xml:space="preserve"> </w:t>
      </w:r>
      <w:r>
        <w:t>fenómeno</w:t>
      </w:r>
      <w:r>
        <w:rPr>
          <w:spacing w:val="-11"/>
        </w:rPr>
        <w:t xml:space="preserve"> </w:t>
      </w:r>
      <w:r>
        <w:t>a</w:t>
      </w:r>
      <w:r>
        <w:rPr>
          <w:spacing w:val="-11"/>
        </w:rPr>
        <w:t xml:space="preserve"> </w:t>
      </w:r>
      <w:r>
        <w:t>nivel</w:t>
      </w:r>
      <w:r>
        <w:rPr>
          <w:spacing w:val="-10"/>
        </w:rPr>
        <w:t xml:space="preserve"> </w:t>
      </w:r>
      <w:r>
        <w:t>territorial–</w:t>
      </w:r>
      <w:r>
        <w:rPr>
          <w:spacing w:val="-11"/>
        </w:rPr>
        <w:t xml:space="preserve"> </w:t>
      </w:r>
      <w:r>
        <w:t>la</w:t>
      </w:r>
      <w:r>
        <w:rPr>
          <w:spacing w:val="-9"/>
        </w:rPr>
        <w:t xml:space="preserve"> </w:t>
      </w:r>
      <w:r>
        <w:t>Comisión</w:t>
      </w:r>
      <w:r>
        <w:rPr>
          <w:spacing w:val="-10"/>
        </w:rPr>
        <w:t xml:space="preserve"> </w:t>
      </w:r>
      <w:r>
        <w:t>evidenció que detrás del despojo de tierra en Colombia ha habido intereses militares, económicos y político-electorales interrelacionados. Estos aprovechamientos, que en la práctica se cruzaron</w:t>
      </w:r>
      <w:r>
        <w:rPr>
          <w:spacing w:val="-4"/>
        </w:rPr>
        <w:t xml:space="preserve"> </w:t>
      </w:r>
      <w:r>
        <w:t>permanentemente,</w:t>
      </w:r>
      <w:r>
        <w:rPr>
          <w:spacing w:val="-4"/>
        </w:rPr>
        <w:t xml:space="preserve"> </w:t>
      </w:r>
      <w:r>
        <w:t>produjeron</w:t>
      </w:r>
      <w:r>
        <w:rPr>
          <w:spacing w:val="-4"/>
        </w:rPr>
        <w:t xml:space="preserve"> </w:t>
      </w:r>
      <w:r>
        <w:t>marcadas</w:t>
      </w:r>
      <w:r>
        <w:rPr>
          <w:spacing w:val="-5"/>
        </w:rPr>
        <w:t xml:space="preserve"> </w:t>
      </w:r>
      <w:r>
        <w:t>reconfiguraciones</w:t>
      </w:r>
      <w:r>
        <w:rPr>
          <w:spacing w:val="-4"/>
        </w:rPr>
        <w:t xml:space="preserve"> </w:t>
      </w:r>
      <w:r>
        <w:t>físicas,</w:t>
      </w:r>
      <w:r>
        <w:rPr>
          <w:spacing w:val="-4"/>
        </w:rPr>
        <w:t xml:space="preserve"> </w:t>
      </w:r>
      <w:r>
        <w:t>demográficas</w:t>
      </w:r>
      <w:r>
        <w:rPr>
          <w:spacing w:val="-4"/>
        </w:rPr>
        <w:t xml:space="preserve"> </w:t>
      </w:r>
      <w:r>
        <w:t>y simbólicas en los territorios.</w:t>
      </w:r>
    </w:p>
    <w:p w:rsidR="003804AC" w:rsidRPr="00D73B8F" w:rsidRDefault="00AF18A5" w:rsidP="00D73B8F">
      <w:r>
        <w:t>El aprovechamiento militar</w:t>
      </w:r>
      <w:r w:rsidR="00D73B8F">
        <w:rPr>
          <w:rStyle w:val="Refdenotaalpie"/>
        </w:rPr>
        <w:footnoteReference w:id="1055"/>
      </w:r>
      <w:r>
        <w:t xml:space="preserve"> del territorio obedeció a dos necesidades estratégicas: construir</w:t>
      </w:r>
      <w:r>
        <w:rPr>
          <w:spacing w:val="-4"/>
        </w:rPr>
        <w:t xml:space="preserve"> </w:t>
      </w:r>
      <w:r>
        <w:t>corredores</w:t>
      </w:r>
      <w:r>
        <w:rPr>
          <w:spacing w:val="-4"/>
        </w:rPr>
        <w:t xml:space="preserve"> </w:t>
      </w:r>
      <w:r>
        <w:t>geográficos</w:t>
      </w:r>
      <w:r>
        <w:rPr>
          <w:spacing w:val="-3"/>
        </w:rPr>
        <w:t xml:space="preserve"> </w:t>
      </w:r>
      <w:r>
        <w:t>y</w:t>
      </w:r>
      <w:r>
        <w:rPr>
          <w:spacing w:val="-5"/>
        </w:rPr>
        <w:t xml:space="preserve"> </w:t>
      </w:r>
      <w:r>
        <w:t>redes</w:t>
      </w:r>
      <w:r>
        <w:rPr>
          <w:spacing w:val="-3"/>
        </w:rPr>
        <w:t xml:space="preserve"> </w:t>
      </w:r>
      <w:r>
        <w:t>sociales</w:t>
      </w:r>
      <w:r>
        <w:rPr>
          <w:spacing w:val="-4"/>
        </w:rPr>
        <w:t xml:space="preserve"> </w:t>
      </w:r>
      <w:r>
        <w:t>propias</w:t>
      </w:r>
      <w:r>
        <w:rPr>
          <w:spacing w:val="-4"/>
        </w:rPr>
        <w:t xml:space="preserve"> </w:t>
      </w:r>
      <w:r>
        <w:t>y</w:t>
      </w:r>
      <w:r>
        <w:rPr>
          <w:spacing w:val="-3"/>
        </w:rPr>
        <w:t xml:space="preserve"> </w:t>
      </w:r>
      <w:r>
        <w:t>desarticular</w:t>
      </w:r>
      <w:r>
        <w:rPr>
          <w:spacing w:val="-4"/>
        </w:rPr>
        <w:t xml:space="preserve"> </w:t>
      </w:r>
      <w:r>
        <w:t>los</w:t>
      </w:r>
      <w:r>
        <w:rPr>
          <w:spacing w:val="-3"/>
        </w:rPr>
        <w:t xml:space="preserve"> </w:t>
      </w:r>
      <w:r>
        <w:t>de</w:t>
      </w:r>
      <w:r>
        <w:rPr>
          <w:spacing w:val="-4"/>
        </w:rPr>
        <w:t xml:space="preserve"> </w:t>
      </w:r>
      <w:r>
        <w:t>los</w:t>
      </w:r>
      <w:r>
        <w:rPr>
          <w:spacing w:val="-3"/>
        </w:rPr>
        <w:t xml:space="preserve"> </w:t>
      </w:r>
      <w:r>
        <w:t>enemigos. A</w:t>
      </w:r>
      <w:r>
        <w:rPr>
          <w:spacing w:val="-7"/>
        </w:rPr>
        <w:t xml:space="preserve"> </w:t>
      </w:r>
      <w:r>
        <w:t>través</w:t>
      </w:r>
      <w:r>
        <w:rPr>
          <w:spacing w:val="-6"/>
        </w:rPr>
        <w:t xml:space="preserve"> </w:t>
      </w:r>
      <w:r>
        <w:t>de</w:t>
      </w:r>
      <w:r>
        <w:rPr>
          <w:spacing w:val="-6"/>
        </w:rPr>
        <w:t xml:space="preserve"> </w:t>
      </w:r>
      <w:r>
        <w:t>la</w:t>
      </w:r>
      <w:r>
        <w:rPr>
          <w:spacing w:val="-6"/>
        </w:rPr>
        <w:t xml:space="preserve"> </w:t>
      </w:r>
      <w:r>
        <w:t>fuerza</w:t>
      </w:r>
      <w:r>
        <w:rPr>
          <w:spacing w:val="-6"/>
        </w:rPr>
        <w:t xml:space="preserve"> </w:t>
      </w:r>
      <w:r>
        <w:t>y</w:t>
      </w:r>
      <w:r>
        <w:rPr>
          <w:spacing w:val="-6"/>
        </w:rPr>
        <w:t xml:space="preserve"> </w:t>
      </w:r>
      <w:r>
        <w:t>el</w:t>
      </w:r>
      <w:r>
        <w:rPr>
          <w:spacing w:val="-6"/>
        </w:rPr>
        <w:t xml:space="preserve"> </w:t>
      </w:r>
      <w:r>
        <w:t>uso</w:t>
      </w:r>
      <w:r>
        <w:rPr>
          <w:spacing w:val="-6"/>
        </w:rPr>
        <w:t xml:space="preserve"> </w:t>
      </w:r>
      <w:r>
        <w:t>amañado</w:t>
      </w:r>
      <w:r>
        <w:rPr>
          <w:spacing w:val="-6"/>
        </w:rPr>
        <w:t xml:space="preserve"> </w:t>
      </w:r>
      <w:r>
        <w:t>de</w:t>
      </w:r>
      <w:r>
        <w:rPr>
          <w:spacing w:val="-6"/>
        </w:rPr>
        <w:t xml:space="preserve"> </w:t>
      </w:r>
      <w:r>
        <w:t>la</w:t>
      </w:r>
      <w:r>
        <w:rPr>
          <w:spacing w:val="-6"/>
        </w:rPr>
        <w:t xml:space="preserve"> </w:t>
      </w:r>
      <w:r>
        <w:t>ley,</w:t>
      </w:r>
      <w:r>
        <w:rPr>
          <w:spacing w:val="-6"/>
        </w:rPr>
        <w:t xml:space="preserve"> </w:t>
      </w:r>
      <w:r>
        <w:t>los</w:t>
      </w:r>
      <w:r>
        <w:rPr>
          <w:spacing w:val="-6"/>
        </w:rPr>
        <w:t xml:space="preserve"> </w:t>
      </w:r>
      <w:r>
        <w:t>territorios</w:t>
      </w:r>
      <w:r>
        <w:rPr>
          <w:spacing w:val="-7"/>
        </w:rPr>
        <w:t xml:space="preserve"> </w:t>
      </w:r>
      <w:r>
        <w:t>eran</w:t>
      </w:r>
      <w:r>
        <w:rPr>
          <w:spacing w:val="-6"/>
        </w:rPr>
        <w:t xml:space="preserve"> </w:t>
      </w:r>
      <w:r>
        <w:t>vaciados</w:t>
      </w:r>
      <w:r>
        <w:rPr>
          <w:spacing w:val="-6"/>
        </w:rPr>
        <w:t xml:space="preserve"> </w:t>
      </w:r>
      <w:r>
        <w:t>con</w:t>
      </w:r>
      <w:r>
        <w:rPr>
          <w:spacing w:val="-6"/>
        </w:rPr>
        <w:t xml:space="preserve"> </w:t>
      </w:r>
      <w:r>
        <w:t>el</w:t>
      </w:r>
      <w:r>
        <w:rPr>
          <w:spacing w:val="-6"/>
        </w:rPr>
        <w:t xml:space="preserve"> </w:t>
      </w:r>
      <w:r>
        <w:t>objetivo de cercar al enemigo, tener espacios libres para el tránsito de la tropa, resguardar la retaguardia</w:t>
      </w:r>
      <w:r>
        <w:rPr>
          <w:spacing w:val="12"/>
        </w:rPr>
        <w:t xml:space="preserve"> </w:t>
      </w:r>
      <w:r>
        <w:t>y</w:t>
      </w:r>
      <w:r>
        <w:rPr>
          <w:spacing w:val="13"/>
        </w:rPr>
        <w:t xml:space="preserve"> </w:t>
      </w:r>
      <w:r>
        <w:t>garantizar</w:t>
      </w:r>
      <w:r>
        <w:rPr>
          <w:spacing w:val="12"/>
        </w:rPr>
        <w:t xml:space="preserve"> </w:t>
      </w:r>
      <w:r>
        <w:t>el</w:t>
      </w:r>
      <w:r>
        <w:rPr>
          <w:spacing w:val="14"/>
        </w:rPr>
        <w:t xml:space="preserve"> </w:t>
      </w:r>
      <w:r>
        <w:t>abastecimiento</w:t>
      </w:r>
      <w:r>
        <w:rPr>
          <w:spacing w:val="13"/>
        </w:rPr>
        <w:t xml:space="preserve"> </w:t>
      </w:r>
      <w:r>
        <w:t>de</w:t>
      </w:r>
      <w:r>
        <w:rPr>
          <w:spacing w:val="13"/>
        </w:rPr>
        <w:t xml:space="preserve"> </w:t>
      </w:r>
      <w:r>
        <w:t>armas,</w:t>
      </w:r>
      <w:r>
        <w:rPr>
          <w:spacing w:val="12"/>
        </w:rPr>
        <w:t xml:space="preserve"> </w:t>
      </w:r>
      <w:r>
        <w:t>alimentos,</w:t>
      </w:r>
      <w:r>
        <w:rPr>
          <w:spacing w:val="13"/>
        </w:rPr>
        <w:t xml:space="preserve"> </w:t>
      </w:r>
      <w:r>
        <w:t>medicamentos,</w:t>
      </w:r>
      <w:r>
        <w:rPr>
          <w:spacing w:val="13"/>
        </w:rPr>
        <w:t xml:space="preserve"> </w:t>
      </w:r>
      <w:r>
        <w:t>equipos</w:t>
      </w:r>
      <w:r>
        <w:rPr>
          <w:spacing w:val="13"/>
        </w:rPr>
        <w:t xml:space="preserve"> </w:t>
      </w:r>
      <w:r>
        <w:rPr>
          <w:spacing w:val="-5"/>
        </w:rPr>
        <w:t>de</w:t>
      </w:r>
      <w:bookmarkStart w:id="1304" w:name="_bookmark1156"/>
      <w:bookmarkStart w:id="1305" w:name="_bookmark1157"/>
      <w:bookmarkStart w:id="1306" w:name="_bookmark1158"/>
      <w:bookmarkEnd w:id="1304"/>
      <w:bookmarkEnd w:id="1305"/>
      <w:bookmarkEnd w:id="1306"/>
      <w:r w:rsidR="00D73B8F">
        <w:rPr>
          <w:spacing w:val="-5"/>
        </w:rPr>
        <w:t xml:space="preserve"> </w:t>
      </w:r>
      <w:r>
        <w:t>comunicación</w:t>
      </w:r>
      <w:r>
        <w:rPr>
          <w:spacing w:val="-15"/>
        </w:rPr>
        <w:t xml:space="preserve"> </w:t>
      </w:r>
      <w:r>
        <w:t>y</w:t>
      </w:r>
      <w:r>
        <w:rPr>
          <w:spacing w:val="-15"/>
        </w:rPr>
        <w:t xml:space="preserve"> </w:t>
      </w:r>
      <w:r>
        <w:t>demás</w:t>
      </w:r>
      <w:r>
        <w:rPr>
          <w:spacing w:val="-15"/>
        </w:rPr>
        <w:t xml:space="preserve"> </w:t>
      </w:r>
      <w:r>
        <w:t>elementos</w:t>
      </w:r>
      <w:r>
        <w:rPr>
          <w:spacing w:val="-15"/>
        </w:rPr>
        <w:t xml:space="preserve"> </w:t>
      </w:r>
      <w:r>
        <w:t>necesarios</w:t>
      </w:r>
      <w:r>
        <w:rPr>
          <w:spacing w:val="-15"/>
        </w:rPr>
        <w:t xml:space="preserve"> </w:t>
      </w:r>
      <w:r>
        <w:lastRenderedPageBreak/>
        <w:t>para</w:t>
      </w:r>
      <w:r>
        <w:rPr>
          <w:spacing w:val="-15"/>
        </w:rPr>
        <w:t xml:space="preserve"> </w:t>
      </w:r>
      <w:r>
        <w:t>el</w:t>
      </w:r>
      <w:r>
        <w:rPr>
          <w:spacing w:val="-15"/>
        </w:rPr>
        <w:t xml:space="preserve"> </w:t>
      </w:r>
      <w:r>
        <w:t>quehacer</w:t>
      </w:r>
      <w:r>
        <w:rPr>
          <w:spacing w:val="-15"/>
        </w:rPr>
        <w:t xml:space="preserve"> </w:t>
      </w:r>
      <w:r>
        <w:t>bélico.</w:t>
      </w:r>
      <w:r>
        <w:rPr>
          <w:spacing w:val="-15"/>
        </w:rPr>
        <w:t xml:space="preserve"> </w:t>
      </w:r>
      <w:r>
        <w:t>Los</w:t>
      </w:r>
      <w:r>
        <w:rPr>
          <w:spacing w:val="-15"/>
        </w:rPr>
        <w:t xml:space="preserve"> </w:t>
      </w:r>
      <w:r>
        <w:t>predios</w:t>
      </w:r>
      <w:r>
        <w:rPr>
          <w:spacing w:val="-15"/>
        </w:rPr>
        <w:t xml:space="preserve"> </w:t>
      </w:r>
      <w:r>
        <w:t>despojados también fueron usados para instalar bases militares, escuelas de entrenamiento y centros de comunicaciones,</w:t>
      </w:r>
      <w:r>
        <w:rPr>
          <w:spacing w:val="-13"/>
        </w:rPr>
        <w:t xml:space="preserve"> </w:t>
      </w:r>
      <w:r>
        <w:t>así</w:t>
      </w:r>
      <w:r>
        <w:rPr>
          <w:spacing w:val="-14"/>
        </w:rPr>
        <w:t xml:space="preserve"> </w:t>
      </w:r>
      <w:r>
        <w:t>como</w:t>
      </w:r>
      <w:r>
        <w:rPr>
          <w:spacing w:val="-13"/>
        </w:rPr>
        <w:t xml:space="preserve"> </w:t>
      </w:r>
      <w:r>
        <w:t>para</w:t>
      </w:r>
      <w:r>
        <w:rPr>
          <w:spacing w:val="-13"/>
        </w:rPr>
        <w:t xml:space="preserve"> </w:t>
      </w:r>
      <w:r>
        <w:t>alojar</w:t>
      </w:r>
      <w:r>
        <w:rPr>
          <w:spacing w:val="-14"/>
        </w:rPr>
        <w:t xml:space="preserve"> </w:t>
      </w:r>
      <w:r>
        <w:t>personas</w:t>
      </w:r>
      <w:r>
        <w:rPr>
          <w:spacing w:val="-14"/>
        </w:rPr>
        <w:t xml:space="preserve"> </w:t>
      </w:r>
      <w:r>
        <w:t>secuestradas</w:t>
      </w:r>
      <w:r>
        <w:rPr>
          <w:spacing w:val="-13"/>
        </w:rPr>
        <w:t xml:space="preserve"> </w:t>
      </w:r>
      <w:r>
        <w:t>y</w:t>
      </w:r>
      <w:r>
        <w:rPr>
          <w:spacing w:val="-14"/>
        </w:rPr>
        <w:t xml:space="preserve"> </w:t>
      </w:r>
      <w:r>
        <w:t>para</w:t>
      </w:r>
      <w:r>
        <w:rPr>
          <w:spacing w:val="-13"/>
        </w:rPr>
        <w:t xml:space="preserve"> </w:t>
      </w:r>
      <w:r>
        <w:t>cometer</w:t>
      </w:r>
      <w:r>
        <w:rPr>
          <w:spacing w:val="-13"/>
        </w:rPr>
        <w:t xml:space="preserve"> </w:t>
      </w:r>
      <w:r>
        <w:t>encubiertamente distintos vejámenes, como torturas, desapariciones de cuerpos (en ríos, mediante hornos crematorios, fosas comunes o animales) y violaciones sexuales.</w:t>
      </w:r>
    </w:p>
    <w:p w:rsidR="003804AC" w:rsidRDefault="00AF18A5" w:rsidP="00D73B8F">
      <w:r>
        <w:t>Adicionalmente, el despojo y desplazamiento</w:t>
      </w:r>
      <w:r>
        <w:rPr>
          <w:spacing w:val="-1"/>
        </w:rPr>
        <w:t xml:space="preserve"> </w:t>
      </w:r>
      <w:r>
        <w:t>forzado han sido funcionales a las agendas productivas: una vez expulsados campesinos, indígenas y afrodescendientes, sus territorios han sido destinados a proyectos económicos –principalmente agroindustriales, forestales, minero-energéticos y de infraestructura–. Esto no significa que todos los proyectos económicos implementados en el país han recurrido a la violencia, ni que todos los empresarios de estos sectores han utilizado la violencia para acumular riqueza. Lo que sí significa es que la Comisión ha podido documentar múltiples casos de aprovechamiento económico</w:t>
      </w:r>
      <w:r w:rsidR="00806248">
        <w:rPr>
          <w:rStyle w:val="Refdenotaalpie"/>
        </w:rPr>
        <w:footnoteReference w:id="1056"/>
      </w:r>
      <w:r>
        <w:t xml:space="preserve"> de las tierras despojadas en el campo y las ciudades, en los que las tierras despojadas se usan para la instalación y expansión de megaproyectos industriales, agroindustriales</w:t>
      </w:r>
      <w:r>
        <w:rPr>
          <w:spacing w:val="-4"/>
        </w:rPr>
        <w:t xml:space="preserve"> </w:t>
      </w:r>
      <w:r>
        <w:t>(banano,</w:t>
      </w:r>
      <w:r>
        <w:rPr>
          <w:spacing w:val="-3"/>
        </w:rPr>
        <w:t xml:space="preserve"> </w:t>
      </w:r>
      <w:r>
        <w:t>palma</w:t>
      </w:r>
      <w:r>
        <w:rPr>
          <w:spacing w:val="-3"/>
        </w:rPr>
        <w:t xml:space="preserve"> </w:t>
      </w:r>
      <w:r>
        <w:t>de</w:t>
      </w:r>
      <w:r>
        <w:rPr>
          <w:spacing w:val="-4"/>
        </w:rPr>
        <w:t xml:space="preserve"> </w:t>
      </w:r>
      <w:r>
        <w:t>aceite,</w:t>
      </w:r>
      <w:r>
        <w:rPr>
          <w:spacing w:val="-3"/>
        </w:rPr>
        <w:t xml:space="preserve"> </w:t>
      </w:r>
      <w:r>
        <w:t>caña,</w:t>
      </w:r>
      <w:r>
        <w:rPr>
          <w:spacing w:val="-3"/>
        </w:rPr>
        <w:t xml:space="preserve"> </w:t>
      </w:r>
      <w:r>
        <w:t>forestales),</w:t>
      </w:r>
      <w:r>
        <w:rPr>
          <w:spacing w:val="-3"/>
        </w:rPr>
        <w:t xml:space="preserve"> </w:t>
      </w:r>
      <w:r>
        <w:t>energéticos</w:t>
      </w:r>
      <w:r>
        <w:rPr>
          <w:spacing w:val="-4"/>
        </w:rPr>
        <w:t xml:space="preserve"> </w:t>
      </w:r>
      <w:r>
        <w:t>(carbón</w:t>
      </w:r>
      <w:r>
        <w:rPr>
          <w:spacing w:val="-3"/>
        </w:rPr>
        <w:t xml:space="preserve"> </w:t>
      </w:r>
      <w:r>
        <w:t>y</w:t>
      </w:r>
      <w:r>
        <w:rPr>
          <w:spacing w:val="-3"/>
        </w:rPr>
        <w:t xml:space="preserve"> </w:t>
      </w:r>
      <w:r>
        <w:t>petróleo), extractivos (oro y otros minerales) y turísticos; la consolidación de zonas francas o grandes parques industriales; el desarrollo de infraestructura energética, comercial y de transporte (por</w:t>
      </w:r>
      <w:r>
        <w:rPr>
          <w:spacing w:val="-15"/>
        </w:rPr>
        <w:t xml:space="preserve"> </w:t>
      </w:r>
      <w:r>
        <w:t>ejemplo,</w:t>
      </w:r>
      <w:r>
        <w:rPr>
          <w:spacing w:val="-15"/>
        </w:rPr>
        <w:t xml:space="preserve"> </w:t>
      </w:r>
      <w:r>
        <w:t>puertos</w:t>
      </w:r>
      <w:r>
        <w:rPr>
          <w:spacing w:val="-15"/>
        </w:rPr>
        <w:t xml:space="preserve"> </w:t>
      </w:r>
      <w:r>
        <w:t>e</w:t>
      </w:r>
      <w:r>
        <w:rPr>
          <w:spacing w:val="-15"/>
        </w:rPr>
        <w:t xml:space="preserve"> </w:t>
      </w:r>
      <w:r>
        <w:t>hidroeléctricas);</w:t>
      </w:r>
      <w:r>
        <w:rPr>
          <w:spacing w:val="-15"/>
        </w:rPr>
        <w:t xml:space="preserve"> </w:t>
      </w:r>
      <w:r>
        <w:t>la</w:t>
      </w:r>
      <w:r>
        <w:rPr>
          <w:spacing w:val="-15"/>
        </w:rPr>
        <w:t xml:space="preserve"> </w:t>
      </w:r>
      <w:r>
        <w:t>comercialización</w:t>
      </w:r>
      <w:r>
        <w:rPr>
          <w:spacing w:val="-15"/>
        </w:rPr>
        <w:t xml:space="preserve"> </w:t>
      </w:r>
      <w:r>
        <w:t>de</w:t>
      </w:r>
      <w:r>
        <w:rPr>
          <w:spacing w:val="-15"/>
        </w:rPr>
        <w:t xml:space="preserve"> </w:t>
      </w:r>
      <w:r>
        <w:t>bienes</w:t>
      </w:r>
      <w:r>
        <w:rPr>
          <w:spacing w:val="-15"/>
        </w:rPr>
        <w:t xml:space="preserve"> </w:t>
      </w:r>
      <w:r>
        <w:t>inmuebles</w:t>
      </w:r>
      <w:r>
        <w:rPr>
          <w:spacing w:val="-15"/>
        </w:rPr>
        <w:t xml:space="preserve"> </w:t>
      </w:r>
      <w:r>
        <w:t>o</w:t>
      </w:r>
      <w:r>
        <w:rPr>
          <w:spacing w:val="-15"/>
        </w:rPr>
        <w:t xml:space="preserve"> </w:t>
      </w:r>
      <w:r>
        <w:t>finca</w:t>
      </w:r>
      <w:r>
        <w:rPr>
          <w:spacing w:val="-15"/>
        </w:rPr>
        <w:t xml:space="preserve"> </w:t>
      </w:r>
      <w:r>
        <w:t xml:space="preserve">raíz; la especulación con predios urbanos y rurales; y los proyectos urbanísticos de gran escala. Empresarios nacionales y extranjeros, en contravía de la debida diligencia que les corresponde demostrar para adquirir tierras en zonas de conflicto armado, han aprovechado la situación de violencia </w:t>
      </w:r>
      <w:r>
        <w:lastRenderedPageBreak/>
        <w:t xml:space="preserve">para acaparar tierras en zonas estratégicas para sus inversiones, en varios casos en el marco de invitaciones hechas explícitamente por algunos gobiernos a </w:t>
      </w:r>
      <w:r>
        <w:rPr>
          <w:i/>
        </w:rPr>
        <w:t xml:space="preserve">desarrollar </w:t>
      </w:r>
      <w:r>
        <w:t>territorios.</w:t>
      </w:r>
    </w:p>
    <w:p w:rsidR="003804AC" w:rsidRDefault="00AF18A5" w:rsidP="00806248">
      <w:r>
        <w:t>Al</w:t>
      </w:r>
      <w:r>
        <w:rPr>
          <w:spacing w:val="-1"/>
        </w:rPr>
        <w:t xml:space="preserve"> </w:t>
      </w:r>
      <w:r>
        <w:t>tiempo</w:t>
      </w:r>
      <w:r>
        <w:rPr>
          <w:spacing w:val="-1"/>
        </w:rPr>
        <w:t xml:space="preserve"> </w:t>
      </w:r>
      <w:r>
        <w:t>que</w:t>
      </w:r>
      <w:r>
        <w:rPr>
          <w:spacing w:val="-1"/>
        </w:rPr>
        <w:t xml:space="preserve"> </w:t>
      </w:r>
      <w:r>
        <w:t>el</w:t>
      </w:r>
      <w:r>
        <w:rPr>
          <w:spacing w:val="-1"/>
        </w:rPr>
        <w:t xml:space="preserve"> </w:t>
      </w:r>
      <w:r>
        <w:t>despojo</w:t>
      </w:r>
      <w:r>
        <w:rPr>
          <w:spacing w:val="-1"/>
        </w:rPr>
        <w:t xml:space="preserve"> </w:t>
      </w:r>
      <w:r>
        <w:t>y</w:t>
      </w:r>
      <w:r>
        <w:rPr>
          <w:spacing w:val="-1"/>
        </w:rPr>
        <w:t xml:space="preserve"> </w:t>
      </w:r>
      <w:r>
        <w:t>el</w:t>
      </w:r>
      <w:r>
        <w:rPr>
          <w:spacing w:val="-1"/>
        </w:rPr>
        <w:t xml:space="preserve"> </w:t>
      </w:r>
      <w:r>
        <w:t>desplazamiento</w:t>
      </w:r>
      <w:r>
        <w:rPr>
          <w:spacing w:val="-1"/>
        </w:rPr>
        <w:t xml:space="preserve"> </w:t>
      </w:r>
      <w:r>
        <w:t>forzado</w:t>
      </w:r>
      <w:r>
        <w:rPr>
          <w:spacing w:val="-1"/>
        </w:rPr>
        <w:t xml:space="preserve"> </w:t>
      </w:r>
      <w:r>
        <w:t>modificaron</w:t>
      </w:r>
      <w:r>
        <w:rPr>
          <w:spacing w:val="-1"/>
        </w:rPr>
        <w:t xml:space="preserve"> </w:t>
      </w:r>
      <w:r>
        <w:t>de</w:t>
      </w:r>
      <w:r>
        <w:rPr>
          <w:spacing w:val="-2"/>
        </w:rPr>
        <w:t xml:space="preserve"> </w:t>
      </w:r>
      <w:r>
        <w:t>forma</w:t>
      </w:r>
      <w:r>
        <w:rPr>
          <w:spacing w:val="-1"/>
        </w:rPr>
        <w:t xml:space="preserve"> </w:t>
      </w:r>
      <w:r>
        <w:t>acelerada</w:t>
      </w:r>
      <w:r>
        <w:rPr>
          <w:spacing w:val="-1"/>
        </w:rPr>
        <w:t xml:space="preserve"> </w:t>
      </w:r>
      <w:r>
        <w:t>la geografía humana de los municipios y las ciudades, también alteraron físicamente los territorios, los</w:t>
      </w:r>
      <w:r>
        <w:rPr>
          <w:spacing w:val="4"/>
        </w:rPr>
        <w:t xml:space="preserve"> </w:t>
      </w:r>
      <w:r>
        <w:t>usos</w:t>
      </w:r>
      <w:r>
        <w:rPr>
          <w:spacing w:val="5"/>
        </w:rPr>
        <w:t xml:space="preserve"> </w:t>
      </w:r>
      <w:r>
        <w:t>de</w:t>
      </w:r>
      <w:r>
        <w:rPr>
          <w:spacing w:val="4"/>
        </w:rPr>
        <w:t xml:space="preserve"> </w:t>
      </w:r>
      <w:r>
        <w:t>los</w:t>
      </w:r>
      <w:r>
        <w:rPr>
          <w:spacing w:val="4"/>
        </w:rPr>
        <w:t xml:space="preserve"> </w:t>
      </w:r>
      <w:r>
        <w:t>suelos</w:t>
      </w:r>
      <w:r>
        <w:rPr>
          <w:spacing w:val="5"/>
        </w:rPr>
        <w:t xml:space="preserve"> </w:t>
      </w:r>
      <w:r>
        <w:t>y</w:t>
      </w:r>
      <w:r>
        <w:rPr>
          <w:spacing w:val="3"/>
        </w:rPr>
        <w:t xml:space="preserve"> </w:t>
      </w:r>
      <w:r>
        <w:t>los</w:t>
      </w:r>
      <w:r>
        <w:rPr>
          <w:spacing w:val="5"/>
        </w:rPr>
        <w:t xml:space="preserve"> </w:t>
      </w:r>
      <w:r>
        <w:t>cuerpos</w:t>
      </w:r>
      <w:r>
        <w:rPr>
          <w:spacing w:val="4"/>
        </w:rPr>
        <w:t xml:space="preserve"> </w:t>
      </w:r>
      <w:r>
        <w:t>de</w:t>
      </w:r>
      <w:r>
        <w:rPr>
          <w:spacing w:val="4"/>
        </w:rPr>
        <w:t xml:space="preserve"> </w:t>
      </w:r>
      <w:r>
        <w:t>agua,</w:t>
      </w:r>
      <w:r>
        <w:rPr>
          <w:spacing w:val="4"/>
        </w:rPr>
        <w:t xml:space="preserve"> </w:t>
      </w:r>
      <w:r>
        <w:t>lo</w:t>
      </w:r>
      <w:r>
        <w:rPr>
          <w:spacing w:val="3"/>
        </w:rPr>
        <w:t xml:space="preserve"> </w:t>
      </w:r>
      <w:r>
        <w:t>que</w:t>
      </w:r>
      <w:r>
        <w:rPr>
          <w:spacing w:val="4"/>
        </w:rPr>
        <w:t xml:space="preserve"> </w:t>
      </w:r>
      <w:r>
        <w:t>conllevó</w:t>
      </w:r>
      <w:r>
        <w:rPr>
          <w:spacing w:val="3"/>
        </w:rPr>
        <w:t xml:space="preserve"> </w:t>
      </w:r>
      <w:r>
        <w:t>a</w:t>
      </w:r>
      <w:r>
        <w:rPr>
          <w:spacing w:val="4"/>
        </w:rPr>
        <w:t xml:space="preserve"> </w:t>
      </w:r>
      <w:r>
        <w:t>la</w:t>
      </w:r>
      <w:r>
        <w:rPr>
          <w:spacing w:val="5"/>
        </w:rPr>
        <w:t xml:space="preserve"> </w:t>
      </w:r>
      <w:r>
        <w:rPr>
          <w:spacing w:val="-2"/>
        </w:rPr>
        <w:t>transformación</w:t>
      </w:r>
      <w:bookmarkStart w:id="1307" w:name="_bookmark1159"/>
      <w:bookmarkEnd w:id="1307"/>
      <w:r w:rsidR="00806248">
        <w:t xml:space="preserve"> </w:t>
      </w:r>
      <w:r>
        <w:t>de la tradición agrícola y a extensos procesos de reconfiguración territorial, como ocurrió con</w:t>
      </w:r>
      <w:r>
        <w:rPr>
          <w:spacing w:val="-4"/>
        </w:rPr>
        <w:t xml:space="preserve"> </w:t>
      </w:r>
      <w:r>
        <w:t>la</w:t>
      </w:r>
      <w:r>
        <w:rPr>
          <w:spacing w:val="-3"/>
        </w:rPr>
        <w:t xml:space="preserve"> </w:t>
      </w:r>
      <w:r>
        <w:t>Hacienda</w:t>
      </w:r>
      <w:r>
        <w:rPr>
          <w:spacing w:val="-3"/>
        </w:rPr>
        <w:t xml:space="preserve"> </w:t>
      </w:r>
      <w:proofErr w:type="spellStart"/>
      <w:r>
        <w:t>Bellacruz</w:t>
      </w:r>
      <w:proofErr w:type="spellEnd"/>
      <w:r>
        <w:rPr>
          <w:spacing w:val="-3"/>
        </w:rPr>
        <w:t xml:space="preserve"> </w:t>
      </w:r>
      <w:r>
        <w:t>en</w:t>
      </w:r>
      <w:r>
        <w:rPr>
          <w:spacing w:val="-4"/>
        </w:rPr>
        <w:t xml:space="preserve"> </w:t>
      </w:r>
      <w:r>
        <w:t>el</w:t>
      </w:r>
      <w:r>
        <w:rPr>
          <w:spacing w:val="-3"/>
        </w:rPr>
        <w:t xml:space="preserve"> </w:t>
      </w:r>
      <w:r>
        <w:t>Magdalena</w:t>
      </w:r>
      <w:r>
        <w:rPr>
          <w:spacing w:val="-3"/>
        </w:rPr>
        <w:t xml:space="preserve"> </w:t>
      </w:r>
      <w:r>
        <w:t>Medio</w:t>
      </w:r>
      <w:r>
        <w:rPr>
          <w:spacing w:val="-4"/>
        </w:rPr>
        <w:t xml:space="preserve"> </w:t>
      </w:r>
      <w:r>
        <w:t>por</w:t>
      </w:r>
      <w:r>
        <w:rPr>
          <w:spacing w:val="-3"/>
        </w:rPr>
        <w:t xml:space="preserve"> </w:t>
      </w:r>
      <w:r>
        <w:t>cuenta</w:t>
      </w:r>
      <w:r>
        <w:rPr>
          <w:spacing w:val="-5"/>
        </w:rPr>
        <w:t xml:space="preserve"> </w:t>
      </w:r>
      <w:r>
        <w:t>de</w:t>
      </w:r>
      <w:r>
        <w:rPr>
          <w:spacing w:val="-3"/>
        </w:rPr>
        <w:t xml:space="preserve"> </w:t>
      </w:r>
      <w:r>
        <w:t>los</w:t>
      </w:r>
      <w:r>
        <w:rPr>
          <w:spacing w:val="-4"/>
        </w:rPr>
        <w:t xml:space="preserve"> </w:t>
      </w:r>
      <w:r>
        <w:t>monocultivos</w:t>
      </w:r>
      <w:r>
        <w:rPr>
          <w:spacing w:val="-4"/>
        </w:rPr>
        <w:t xml:space="preserve"> </w:t>
      </w:r>
      <w:r>
        <w:t>de</w:t>
      </w:r>
      <w:r>
        <w:rPr>
          <w:spacing w:val="-3"/>
        </w:rPr>
        <w:t xml:space="preserve"> </w:t>
      </w:r>
      <w:r>
        <w:t>palma de aceite</w:t>
      </w:r>
      <w:r w:rsidR="00806248">
        <w:rPr>
          <w:rStyle w:val="Refdenotaalpie"/>
        </w:rPr>
        <w:footnoteReference w:id="1057"/>
      </w:r>
      <w:r>
        <w:t>; en el Carmen de Bolívar con las grandes extensiones de tierras destinadas a la ganadería extensiva</w:t>
      </w:r>
      <w:r w:rsidR="00806248">
        <w:rPr>
          <w:rStyle w:val="Refdenotaalpie"/>
        </w:rPr>
        <w:footnoteReference w:id="1058"/>
      </w:r>
      <w:r>
        <w:t>, y en las zonas estratégicas para la explotación minera, como la del distrito minero de La Jagua, en Cesar</w:t>
      </w:r>
      <w:r w:rsidR="00806248">
        <w:rPr>
          <w:rStyle w:val="Refdenotaalpie"/>
        </w:rPr>
        <w:footnoteReference w:id="1059"/>
      </w:r>
      <w:r>
        <w:t xml:space="preserve">. El despojo forzado facilitó la concentración de la propiedad de la tierra en pocas manos y agudizó el problema agrario, cuya debilidad estructural siempre ha sido la de la precariedad de los títulos de propiedad y tenencia de la tierra de la población campesina. Lo mismo sucedió en las cuencas de </w:t>
      </w:r>
      <w:proofErr w:type="spellStart"/>
      <w:r>
        <w:t>Jiguamiandó</w:t>
      </w:r>
      <w:proofErr w:type="spellEnd"/>
      <w:r>
        <w:t xml:space="preserve"> y </w:t>
      </w:r>
      <w:proofErr w:type="spellStart"/>
      <w:r>
        <w:t>Curvaradó</w:t>
      </w:r>
      <w:proofErr w:type="spellEnd"/>
      <w:r>
        <w:t>, en el Bajo Atrato.</w:t>
      </w:r>
    </w:p>
    <w:p w:rsidR="003804AC" w:rsidRDefault="00AF18A5" w:rsidP="00806248">
      <w:r>
        <w:t>El</w:t>
      </w:r>
      <w:r>
        <w:rPr>
          <w:spacing w:val="-7"/>
        </w:rPr>
        <w:t xml:space="preserve"> </w:t>
      </w:r>
      <w:r>
        <w:t>desplazamiento</w:t>
      </w:r>
      <w:r>
        <w:rPr>
          <w:spacing w:val="-7"/>
        </w:rPr>
        <w:t xml:space="preserve"> </w:t>
      </w:r>
      <w:r>
        <w:t>y</w:t>
      </w:r>
      <w:r>
        <w:rPr>
          <w:spacing w:val="-7"/>
        </w:rPr>
        <w:t xml:space="preserve"> </w:t>
      </w:r>
      <w:r>
        <w:t>el</w:t>
      </w:r>
      <w:r>
        <w:rPr>
          <w:spacing w:val="-8"/>
        </w:rPr>
        <w:t xml:space="preserve"> </w:t>
      </w:r>
      <w:r>
        <w:t>despojo</w:t>
      </w:r>
      <w:r>
        <w:rPr>
          <w:spacing w:val="-7"/>
        </w:rPr>
        <w:t xml:space="preserve"> </w:t>
      </w:r>
      <w:r>
        <w:t>asociados</w:t>
      </w:r>
      <w:r>
        <w:rPr>
          <w:spacing w:val="-8"/>
        </w:rPr>
        <w:t xml:space="preserve"> </w:t>
      </w:r>
      <w:r>
        <w:t>a</w:t>
      </w:r>
      <w:r>
        <w:rPr>
          <w:spacing w:val="-7"/>
        </w:rPr>
        <w:t xml:space="preserve"> </w:t>
      </w:r>
      <w:r>
        <w:t>esos</w:t>
      </w:r>
      <w:r>
        <w:rPr>
          <w:spacing w:val="-7"/>
        </w:rPr>
        <w:t xml:space="preserve"> </w:t>
      </w:r>
      <w:r>
        <w:t>proyectos</w:t>
      </w:r>
      <w:r>
        <w:rPr>
          <w:spacing w:val="-8"/>
        </w:rPr>
        <w:t xml:space="preserve"> </w:t>
      </w:r>
      <w:r>
        <w:t>han</w:t>
      </w:r>
      <w:r>
        <w:rPr>
          <w:spacing w:val="-7"/>
        </w:rPr>
        <w:t xml:space="preserve"> </w:t>
      </w:r>
      <w:r>
        <w:t>implicado</w:t>
      </w:r>
      <w:r>
        <w:rPr>
          <w:spacing w:val="-7"/>
        </w:rPr>
        <w:t xml:space="preserve"> </w:t>
      </w:r>
      <w:r>
        <w:t>no</w:t>
      </w:r>
      <w:r>
        <w:rPr>
          <w:spacing w:val="-7"/>
        </w:rPr>
        <w:t xml:space="preserve"> </w:t>
      </w:r>
      <w:r>
        <w:t>solamente</w:t>
      </w:r>
      <w:r>
        <w:rPr>
          <w:spacing w:val="-8"/>
        </w:rPr>
        <w:t xml:space="preserve"> </w:t>
      </w:r>
      <w:r>
        <w:t>la reconfiguración</w:t>
      </w:r>
      <w:r>
        <w:rPr>
          <w:spacing w:val="-6"/>
        </w:rPr>
        <w:t xml:space="preserve"> </w:t>
      </w:r>
      <w:r>
        <w:t>de</w:t>
      </w:r>
      <w:r>
        <w:rPr>
          <w:spacing w:val="-6"/>
        </w:rPr>
        <w:t xml:space="preserve"> </w:t>
      </w:r>
      <w:r>
        <w:t>la</w:t>
      </w:r>
      <w:r>
        <w:rPr>
          <w:spacing w:val="-6"/>
        </w:rPr>
        <w:t xml:space="preserve"> </w:t>
      </w:r>
      <w:r>
        <w:t>propiedad</w:t>
      </w:r>
      <w:r>
        <w:rPr>
          <w:spacing w:val="-6"/>
        </w:rPr>
        <w:t xml:space="preserve"> </w:t>
      </w:r>
      <w:r>
        <w:t>y</w:t>
      </w:r>
      <w:r>
        <w:rPr>
          <w:spacing w:val="-6"/>
        </w:rPr>
        <w:t xml:space="preserve"> </w:t>
      </w:r>
      <w:r>
        <w:t>el</w:t>
      </w:r>
      <w:r>
        <w:rPr>
          <w:spacing w:val="-6"/>
        </w:rPr>
        <w:t xml:space="preserve"> </w:t>
      </w:r>
      <w:r>
        <w:t>uso</w:t>
      </w:r>
      <w:r>
        <w:rPr>
          <w:spacing w:val="-6"/>
        </w:rPr>
        <w:t xml:space="preserve"> </w:t>
      </w:r>
      <w:r>
        <w:t>de</w:t>
      </w:r>
      <w:r>
        <w:rPr>
          <w:spacing w:val="-6"/>
        </w:rPr>
        <w:t xml:space="preserve"> </w:t>
      </w:r>
      <w:r>
        <w:t>la</w:t>
      </w:r>
      <w:r>
        <w:rPr>
          <w:spacing w:val="-6"/>
        </w:rPr>
        <w:t xml:space="preserve"> </w:t>
      </w:r>
      <w:r>
        <w:t>tierra,</w:t>
      </w:r>
      <w:r>
        <w:rPr>
          <w:spacing w:val="-6"/>
        </w:rPr>
        <w:t xml:space="preserve"> </w:t>
      </w:r>
      <w:r>
        <w:t>sino</w:t>
      </w:r>
      <w:r>
        <w:rPr>
          <w:spacing w:val="-6"/>
        </w:rPr>
        <w:t xml:space="preserve"> </w:t>
      </w:r>
      <w:r>
        <w:t>también</w:t>
      </w:r>
      <w:r>
        <w:rPr>
          <w:spacing w:val="-6"/>
        </w:rPr>
        <w:t xml:space="preserve"> </w:t>
      </w:r>
      <w:r>
        <w:t>sustanciales</w:t>
      </w:r>
      <w:r>
        <w:rPr>
          <w:spacing w:val="-6"/>
        </w:rPr>
        <w:t xml:space="preserve"> </w:t>
      </w:r>
      <w:r>
        <w:t>cambios</w:t>
      </w:r>
      <w:r>
        <w:rPr>
          <w:spacing w:val="-7"/>
        </w:rPr>
        <w:t xml:space="preserve"> </w:t>
      </w:r>
      <w:r>
        <w:t>en</w:t>
      </w:r>
      <w:r>
        <w:rPr>
          <w:spacing w:val="-6"/>
        </w:rPr>
        <w:t xml:space="preserve"> </w:t>
      </w:r>
      <w:r>
        <w:t>la actividad económica de la población rural, pues capas enteras de esta pasan a ser mano de obra –generalmente poco calificada y mal remunerada– en las ciudades o en los proyectos económicos instalados en tierras que otrora fueron suyas.</w:t>
      </w:r>
    </w:p>
    <w:p w:rsidR="003804AC" w:rsidRDefault="00AF18A5" w:rsidP="00806248">
      <w:r>
        <w:lastRenderedPageBreak/>
        <w:t>La</w:t>
      </w:r>
      <w:r>
        <w:rPr>
          <w:spacing w:val="-12"/>
        </w:rPr>
        <w:t xml:space="preserve"> </w:t>
      </w:r>
      <w:r>
        <w:t>persistencia</w:t>
      </w:r>
      <w:r>
        <w:rPr>
          <w:spacing w:val="-12"/>
        </w:rPr>
        <w:t xml:space="preserve"> </w:t>
      </w:r>
      <w:r>
        <w:t>de</w:t>
      </w:r>
      <w:r>
        <w:rPr>
          <w:spacing w:val="-12"/>
        </w:rPr>
        <w:t xml:space="preserve"> </w:t>
      </w:r>
      <w:r>
        <w:t>dinámicas</w:t>
      </w:r>
      <w:r>
        <w:rPr>
          <w:spacing w:val="-12"/>
        </w:rPr>
        <w:t xml:space="preserve"> </w:t>
      </w:r>
      <w:r>
        <w:t>de</w:t>
      </w:r>
      <w:r>
        <w:rPr>
          <w:spacing w:val="-12"/>
        </w:rPr>
        <w:t xml:space="preserve"> </w:t>
      </w:r>
      <w:r>
        <w:t>desigualdad</w:t>
      </w:r>
      <w:r>
        <w:rPr>
          <w:spacing w:val="-12"/>
        </w:rPr>
        <w:t xml:space="preserve"> </w:t>
      </w:r>
      <w:r>
        <w:t>y</w:t>
      </w:r>
      <w:r>
        <w:rPr>
          <w:spacing w:val="-12"/>
        </w:rPr>
        <w:t xml:space="preserve"> </w:t>
      </w:r>
      <w:r>
        <w:t>de</w:t>
      </w:r>
      <w:r>
        <w:rPr>
          <w:spacing w:val="-12"/>
        </w:rPr>
        <w:t xml:space="preserve"> </w:t>
      </w:r>
      <w:r>
        <w:t>segregación</w:t>
      </w:r>
      <w:r>
        <w:rPr>
          <w:spacing w:val="-13"/>
        </w:rPr>
        <w:t xml:space="preserve"> </w:t>
      </w:r>
      <w:proofErr w:type="spellStart"/>
      <w:r>
        <w:t>socioespacial</w:t>
      </w:r>
      <w:proofErr w:type="spellEnd"/>
      <w:r>
        <w:rPr>
          <w:spacing w:val="-11"/>
        </w:rPr>
        <w:t xml:space="preserve"> </w:t>
      </w:r>
      <w:r>
        <w:t>ha</w:t>
      </w:r>
      <w:r>
        <w:rPr>
          <w:spacing w:val="-12"/>
        </w:rPr>
        <w:t xml:space="preserve"> </w:t>
      </w:r>
      <w:r>
        <w:t>convertido a</w:t>
      </w:r>
      <w:r>
        <w:rPr>
          <w:spacing w:val="80"/>
        </w:rPr>
        <w:t xml:space="preserve"> </w:t>
      </w:r>
      <w:r>
        <w:t>las</w:t>
      </w:r>
      <w:r>
        <w:rPr>
          <w:spacing w:val="80"/>
        </w:rPr>
        <w:t xml:space="preserve"> </w:t>
      </w:r>
      <w:r>
        <w:t>ciudades</w:t>
      </w:r>
      <w:r>
        <w:rPr>
          <w:spacing w:val="80"/>
        </w:rPr>
        <w:t xml:space="preserve"> </w:t>
      </w:r>
      <w:r>
        <w:t>y</w:t>
      </w:r>
      <w:r>
        <w:rPr>
          <w:spacing w:val="80"/>
        </w:rPr>
        <w:t xml:space="preserve"> </w:t>
      </w:r>
      <w:r>
        <w:t>zonas</w:t>
      </w:r>
      <w:r>
        <w:rPr>
          <w:spacing w:val="80"/>
        </w:rPr>
        <w:t xml:space="preserve"> </w:t>
      </w:r>
      <w:r>
        <w:t>receptoras</w:t>
      </w:r>
      <w:r>
        <w:rPr>
          <w:spacing w:val="80"/>
        </w:rPr>
        <w:t xml:space="preserve"> </w:t>
      </w:r>
      <w:r>
        <w:t>en</w:t>
      </w:r>
      <w:r>
        <w:rPr>
          <w:spacing w:val="80"/>
        </w:rPr>
        <w:t xml:space="preserve"> </w:t>
      </w:r>
      <w:r>
        <w:t>territorios</w:t>
      </w:r>
      <w:r>
        <w:rPr>
          <w:spacing w:val="80"/>
        </w:rPr>
        <w:t xml:space="preserve"> </w:t>
      </w:r>
      <w:r>
        <w:t>susceptibles</w:t>
      </w:r>
      <w:r>
        <w:rPr>
          <w:spacing w:val="80"/>
        </w:rPr>
        <w:t xml:space="preserve"> </w:t>
      </w:r>
      <w:r>
        <w:t>del</w:t>
      </w:r>
      <w:r>
        <w:rPr>
          <w:spacing w:val="80"/>
        </w:rPr>
        <w:t xml:space="preserve"> </w:t>
      </w:r>
      <w:r>
        <w:t>reciclaje</w:t>
      </w:r>
      <w:r>
        <w:rPr>
          <w:spacing w:val="80"/>
        </w:rPr>
        <w:t xml:space="preserve"> </w:t>
      </w:r>
      <w:r>
        <w:t>de violencias.</w:t>
      </w:r>
      <w:r>
        <w:rPr>
          <w:spacing w:val="-3"/>
        </w:rPr>
        <w:t xml:space="preserve"> </w:t>
      </w:r>
      <w:r>
        <w:t>Poblaciones y territorios populares históricamente estigmatizados vieron cómo durante</w:t>
      </w:r>
      <w:r>
        <w:rPr>
          <w:spacing w:val="-3"/>
        </w:rPr>
        <w:t xml:space="preserve"> </w:t>
      </w:r>
      <w:r>
        <w:t>la</w:t>
      </w:r>
      <w:r>
        <w:rPr>
          <w:spacing w:val="-3"/>
        </w:rPr>
        <w:t xml:space="preserve"> </w:t>
      </w:r>
      <w:r>
        <w:t>primera</w:t>
      </w:r>
      <w:r>
        <w:rPr>
          <w:spacing w:val="-2"/>
        </w:rPr>
        <w:t xml:space="preserve"> </w:t>
      </w:r>
      <w:r>
        <w:t>década</w:t>
      </w:r>
      <w:r>
        <w:rPr>
          <w:spacing w:val="-2"/>
        </w:rPr>
        <w:t xml:space="preserve"> </w:t>
      </w:r>
      <w:r>
        <w:t>del</w:t>
      </w:r>
      <w:r>
        <w:rPr>
          <w:spacing w:val="-3"/>
        </w:rPr>
        <w:t xml:space="preserve"> </w:t>
      </w:r>
      <w:r>
        <w:t>dos</w:t>
      </w:r>
      <w:r>
        <w:rPr>
          <w:spacing w:val="-3"/>
        </w:rPr>
        <w:t xml:space="preserve"> </w:t>
      </w:r>
      <w:r>
        <w:t>mil</w:t>
      </w:r>
      <w:r>
        <w:rPr>
          <w:spacing w:val="-2"/>
        </w:rPr>
        <w:t xml:space="preserve"> </w:t>
      </w:r>
      <w:r>
        <w:t>el</w:t>
      </w:r>
      <w:r>
        <w:rPr>
          <w:spacing w:val="-2"/>
        </w:rPr>
        <w:t xml:space="preserve"> </w:t>
      </w:r>
      <w:r>
        <w:t>desplazamiento</w:t>
      </w:r>
      <w:r>
        <w:rPr>
          <w:spacing w:val="-2"/>
        </w:rPr>
        <w:t xml:space="preserve"> </w:t>
      </w:r>
      <w:r>
        <w:t>forzado</w:t>
      </w:r>
      <w:r>
        <w:rPr>
          <w:spacing w:val="-2"/>
        </w:rPr>
        <w:t xml:space="preserve"> </w:t>
      </w:r>
      <w:r>
        <w:t>intraurbano</w:t>
      </w:r>
      <w:r>
        <w:rPr>
          <w:spacing w:val="-2"/>
        </w:rPr>
        <w:t xml:space="preserve"> </w:t>
      </w:r>
      <w:r>
        <w:t>se</w:t>
      </w:r>
      <w:r>
        <w:rPr>
          <w:spacing w:val="-3"/>
        </w:rPr>
        <w:t xml:space="preserve"> </w:t>
      </w:r>
      <w:r>
        <w:t>convirtió</w:t>
      </w:r>
      <w:r>
        <w:rPr>
          <w:spacing w:val="-3"/>
        </w:rPr>
        <w:t xml:space="preserve"> </w:t>
      </w:r>
      <w:r>
        <w:t>en un hecho de significativa importancia que no ha tenido los registros ni la atención institucional suficiente.</w:t>
      </w:r>
      <w:r>
        <w:rPr>
          <w:spacing w:val="-4"/>
        </w:rPr>
        <w:t xml:space="preserve"> </w:t>
      </w:r>
      <w:r>
        <w:t>Esta modalidad de desplazamiento forzado ha profundizado el desarraigo</w:t>
      </w:r>
      <w:r>
        <w:rPr>
          <w:spacing w:val="-1"/>
        </w:rPr>
        <w:t xml:space="preserve"> </w:t>
      </w:r>
      <w:r>
        <w:t>y</w:t>
      </w:r>
      <w:r>
        <w:rPr>
          <w:spacing w:val="-1"/>
        </w:rPr>
        <w:t xml:space="preserve"> </w:t>
      </w:r>
      <w:r>
        <w:t>la</w:t>
      </w:r>
      <w:r>
        <w:rPr>
          <w:spacing w:val="-1"/>
        </w:rPr>
        <w:t xml:space="preserve"> </w:t>
      </w:r>
      <w:r>
        <w:t>condición de exclusión de los sectores</w:t>
      </w:r>
      <w:r>
        <w:rPr>
          <w:spacing w:val="-1"/>
        </w:rPr>
        <w:t xml:space="preserve"> </w:t>
      </w:r>
      <w:r>
        <w:t>empobrecidos</w:t>
      </w:r>
      <w:r>
        <w:rPr>
          <w:spacing w:val="-1"/>
        </w:rPr>
        <w:t xml:space="preserve"> </w:t>
      </w:r>
      <w:r>
        <w:t>de</w:t>
      </w:r>
      <w:r>
        <w:rPr>
          <w:spacing w:val="-1"/>
        </w:rPr>
        <w:t xml:space="preserve"> </w:t>
      </w:r>
      <w:r>
        <w:t>las ciudades, dentro de los cuales se encuentran muchas de las víctimas del conflicto armado interno.</w:t>
      </w:r>
    </w:p>
    <w:p w:rsidR="003804AC" w:rsidRPr="00806248" w:rsidRDefault="00AF18A5" w:rsidP="00806248">
      <w:r>
        <w:t>Las economías ilegales –especialmente el narcotráfico– también han sido determinantes para</w:t>
      </w:r>
      <w:r>
        <w:rPr>
          <w:spacing w:val="-14"/>
        </w:rPr>
        <w:t xml:space="preserve"> </w:t>
      </w:r>
      <w:r>
        <w:t>la</w:t>
      </w:r>
      <w:r>
        <w:rPr>
          <w:spacing w:val="-13"/>
        </w:rPr>
        <w:t xml:space="preserve"> </w:t>
      </w:r>
      <w:r>
        <w:t>reconfiguración</w:t>
      </w:r>
      <w:r>
        <w:rPr>
          <w:spacing w:val="-12"/>
        </w:rPr>
        <w:t xml:space="preserve"> </w:t>
      </w:r>
      <w:r>
        <w:t>del</w:t>
      </w:r>
      <w:r>
        <w:rPr>
          <w:spacing w:val="-11"/>
        </w:rPr>
        <w:t xml:space="preserve"> </w:t>
      </w:r>
      <w:r>
        <w:t>territorio.</w:t>
      </w:r>
      <w:r>
        <w:rPr>
          <w:spacing w:val="-13"/>
        </w:rPr>
        <w:t xml:space="preserve"> </w:t>
      </w:r>
      <w:r>
        <w:t>El</w:t>
      </w:r>
      <w:r>
        <w:rPr>
          <w:spacing w:val="-12"/>
        </w:rPr>
        <w:t xml:space="preserve"> </w:t>
      </w:r>
      <w:r>
        <w:t>paramilitarismo</w:t>
      </w:r>
      <w:r>
        <w:rPr>
          <w:spacing w:val="-12"/>
        </w:rPr>
        <w:t xml:space="preserve"> </w:t>
      </w:r>
      <w:r>
        <w:t>construyó</w:t>
      </w:r>
      <w:r>
        <w:rPr>
          <w:spacing w:val="-11"/>
        </w:rPr>
        <w:t xml:space="preserve"> </w:t>
      </w:r>
      <w:r>
        <w:t>una</w:t>
      </w:r>
      <w:r>
        <w:rPr>
          <w:spacing w:val="-12"/>
        </w:rPr>
        <w:t xml:space="preserve"> </w:t>
      </w:r>
      <w:r>
        <w:t>relación</w:t>
      </w:r>
      <w:r>
        <w:rPr>
          <w:spacing w:val="-12"/>
        </w:rPr>
        <w:t xml:space="preserve"> </w:t>
      </w:r>
      <w:r>
        <w:t>orgánica</w:t>
      </w:r>
      <w:r>
        <w:rPr>
          <w:spacing w:val="-11"/>
        </w:rPr>
        <w:t xml:space="preserve"> </w:t>
      </w:r>
      <w:r>
        <w:rPr>
          <w:spacing w:val="-5"/>
        </w:rPr>
        <w:t>con</w:t>
      </w:r>
      <w:bookmarkStart w:id="1308" w:name="_bookmark1160"/>
      <w:bookmarkStart w:id="1309" w:name="_bookmark1161"/>
      <w:bookmarkStart w:id="1310" w:name="_bookmark1162"/>
      <w:bookmarkEnd w:id="1308"/>
      <w:bookmarkEnd w:id="1309"/>
      <w:bookmarkEnd w:id="1310"/>
      <w:r w:rsidR="00806248">
        <w:rPr>
          <w:spacing w:val="-5"/>
        </w:rPr>
        <w:t xml:space="preserve"> </w:t>
      </w:r>
      <w:r>
        <w:t>el</w:t>
      </w:r>
      <w:r>
        <w:rPr>
          <w:spacing w:val="-3"/>
        </w:rPr>
        <w:t xml:space="preserve"> </w:t>
      </w:r>
      <w:r>
        <w:t>narcotráfico,</w:t>
      </w:r>
      <w:r>
        <w:rPr>
          <w:spacing w:val="-4"/>
        </w:rPr>
        <w:t xml:space="preserve"> </w:t>
      </w:r>
      <w:r>
        <w:t>al</w:t>
      </w:r>
      <w:r>
        <w:rPr>
          <w:spacing w:val="-3"/>
        </w:rPr>
        <w:t xml:space="preserve"> </w:t>
      </w:r>
      <w:r>
        <w:t>convertirse</w:t>
      </w:r>
      <w:r>
        <w:rPr>
          <w:spacing w:val="-4"/>
        </w:rPr>
        <w:t xml:space="preserve"> </w:t>
      </w:r>
      <w:r>
        <w:t>en</w:t>
      </w:r>
      <w:r>
        <w:rPr>
          <w:spacing w:val="-4"/>
        </w:rPr>
        <w:t xml:space="preserve"> </w:t>
      </w:r>
      <w:r>
        <w:t>una</w:t>
      </w:r>
      <w:r>
        <w:rPr>
          <w:spacing w:val="-5"/>
        </w:rPr>
        <w:t xml:space="preserve"> </w:t>
      </w:r>
      <w:r>
        <w:t>bisagra</w:t>
      </w:r>
      <w:r>
        <w:rPr>
          <w:spacing w:val="-3"/>
        </w:rPr>
        <w:t xml:space="preserve"> </w:t>
      </w:r>
      <w:r>
        <w:t>entre</w:t>
      </w:r>
      <w:r>
        <w:rPr>
          <w:spacing w:val="-3"/>
        </w:rPr>
        <w:t xml:space="preserve"> </w:t>
      </w:r>
      <w:r>
        <w:t>el</w:t>
      </w:r>
      <w:r>
        <w:rPr>
          <w:spacing w:val="-3"/>
        </w:rPr>
        <w:t xml:space="preserve"> </w:t>
      </w:r>
      <w:r>
        <w:t>crimen</w:t>
      </w:r>
      <w:r>
        <w:rPr>
          <w:spacing w:val="-5"/>
        </w:rPr>
        <w:t xml:space="preserve"> </w:t>
      </w:r>
      <w:r>
        <w:t>y</w:t>
      </w:r>
      <w:r>
        <w:rPr>
          <w:spacing w:val="-4"/>
        </w:rPr>
        <w:t xml:space="preserve"> </w:t>
      </w:r>
      <w:r>
        <w:t>el</w:t>
      </w:r>
      <w:r>
        <w:rPr>
          <w:spacing w:val="-3"/>
        </w:rPr>
        <w:t xml:space="preserve"> </w:t>
      </w:r>
      <w:r>
        <w:t>poder.</w:t>
      </w:r>
      <w:r>
        <w:rPr>
          <w:spacing w:val="-4"/>
        </w:rPr>
        <w:t xml:space="preserve"> </w:t>
      </w:r>
      <w:r>
        <w:t>Los</w:t>
      </w:r>
      <w:r>
        <w:rPr>
          <w:spacing w:val="-4"/>
        </w:rPr>
        <w:t xml:space="preserve"> </w:t>
      </w:r>
      <w:r>
        <w:t>narcotraficantes han</w:t>
      </w:r>
      <w:r>
        <w:rPr>
          <w:spacing w:val="-5"/>
        </w:rPr>
        <w:t xml:space="preserve"> </w:t>
      </w:r>
      <w:r>
        <w:t>actuado</w:t>
      </w:r>
      <w:r>
        <w:rPr>
          <w:spacing w:val="-6"/>
        </w:rPr>
        <w:t xml:space="preserve"> </w:t>
      </w:r>
      <w:r>
        <w:t>en</w:t>
      </w:r>
      <w:r>
        <w:rPr>
          <w:spacing w:val="-5"/>
        </w:rPr>
        <w:t xml:space="preserve"> </w:t>
      </w:r>
      <w:r>
        <w:t>muchos</w:t>
      </w:r>
      <w:r>
        <w:rPr>
          <w:spacing w:val="-5"/>
        </w:rPr>
        <w:t xml:space="preserve"> </w:t>
      </w:r>
      <w:r>
        <w:t>lugares</w:t>
      </w:r>
      <w:r>
        <w:rPr>
          <w:spacing w:val="-5"/>
        </w:rPr>
        <w:t xml:space="preserve"> </w:t>
      </w:r>
      <w:r>
        <w:t>con</w:t>
      </w:r>
      <w:r>
        <w:rPr>
          <w:spacing w:val="-6"/>
        </w:rPr>
        <w:t xml:space="preserve"> </w:t>
      </w:r>
      <w:r>
        <w:t>funcionarios</w:t>
      </w:r>
      <w:r>
        <w:rPr>
          <w:spacing w:val="-6"/>
        </w:rPr>
        <w:t xml:space="preserve"> </w:t>
      </w:r>
      <w:r>
        <w:t>del</w:t>
      </w:r>
      <w:r>
        <w:rPr>
          <w:spacing w:val="-4"/>
        </w:rPr>
        <w:t xml:space="preserve"> </w:t>
      </w:r>
      <w:r>
        <w:t>Estado,</w:t>
      </w:r>
      <w:r>
        <w:rPr>
          <w:spacing w:val="-6"/>
        </w:rPr>
        <w:t xml:space="preserve"> </w:t>
      </w:r>
      <w:r>
        <w:t>con</w:t>
      </w:r>
      <w:r>
        <w:rPr>
          <w:spacing w:val="-5"/>
        </w:rPr>
        <w:t xml:space="preserve"> </w:t>
      </w:r>
      <w:r>
        <w:t>sectores</w:t>
      </w:r>
      <w:r>
        <w:rPr>
          <w:spacing w:val="-6"/>
        </w:rPr>
        <w:t xml:space="preserve"> </w:t>
      </w:r>
      <w:r>
        <w:t>de</w:t>
      </w:r>
      <w:r>
        <w:rPr>
          <w:spacing w:val="-5"/>
        </w:rPr>
        <w:t xml:space="preserve"> </w:t>
      </w:r>
      <w:r>
        <w:t>la</w:t>
      </w:r>
      <w:r>
        <w:rPr>
          <w:spacing w:val="-5"/>
        </w:rPr>
        <w:t xml:space="preserve"> </w:t>
      </w:r>
      <w:r>
        <w:t>clase</w:t>
      </w:r>
      <w:r>
        <w:rPr>
          <w:spacing w:val="-6"/>
        </w:rPr>
        <w:t xml:space="preserve"> </w:t>
      </w:r>
      <w:r>
        <w:t>política y algunos sectores económicos, y se han constituido de facto en parte de las élites, con una recomposición de estas en los ámbitos local, regional y nacional. Asimismo, ha tenido un profundo impacto en la estructura de tenencia y uso de la tierra, la naturaleza y la estigmatización</w:t>
      </w:r>
      <w:r>
        <w:rPr>
          <w:spacing w:val="-13"/>
        </w:rPr>
        <w:t xml:space="preserve"> </w:t>
      </w:r>
      <w:r>
        <w:t>de</w:t>
      </w:r>
      <w:r>
        <w:rPr>
          <w:spacing w:val="-13"/>
        </w:rPr>
        <w:t xml:space="preserve"> </w:t>
      </w:r>
      <w:r>
        <w:t>las</w:t>
      </w:r>
      <w:r>
        <w:rPr>
          <w:spacing w:val="-13"/>
        </w:rPr>
        <w:t xml:space="preserve"> </w:t>
      </w:r>
      <w:r>
        <w:t>poblaciones</w:t>
      </w:r>
      <w:r>
        <w:rPr>
          <w:spacing w:val="-13"/>
        </w:rPr>
        <w:t xml:space="preserve"> </w:t>
      </w:r>
      <w:r>
        <w:t>asociadas.</w:t>
      </w:r>
      <w:r>
        <w:rPr>
          <w:spacing w:val="-13"/>
        </w:rPr>
        <w:t xml:space="preserve"> </w:t>
      </w:r>
      <w:r>
        <w:t>Durante</w:t>
      </w:r>
      <w:r>
        <w:rPr>
          <w:spacing w:val="-13"/>
        </w:rPr>
        <w:t xml:space="preserve"> </w:t>
      </w:r>
      <w:r>
        <w:t>los</w:t>
      </w:r>
      <w:r>
        <w:rPr>
          <w:spacing w:val="-13"/>
        </w:rPr>
        <w:t xml:space="preserve"> </w:t>
      </w:r>
      <w:r>
        <w:t>años</w:t>
      </w:r>
      <w:r>
        <w:rPr>
          <w:spacing w:val="-14"/>
        </w:rPr>
        <w:t xml:space="preserve"> </w:t>
      </w:r>
      <w:r>
        <w:t>noventa,</w:t>
      </w:r>
      <w:r>
        <w:rPr>
          <w:spacing w:val="-13"/>
        </w:rPr>
        <w:t xml:space="preserve"> </w:t>
      </w:r>
      <w:r>
        <w:t>grandes</w:t>
      </w:r>
      <w:r>
        <w:rPr>
          <w:spacing w:val="-13"/>
        </w:rPr>
        <w:t xml:space="preserve"> </w:t>
      </w:r>
      <w:r>
        <w:t>propietarios y narcos siguieron reconvirtiendo las actividades económicas; las tierras de ladera de las cordilleras comenzaron a destinarse a la producción hortofrutícola, la silvicultura, la ganadería extensiva, el turismo y la siembra de cultivos de uso ilícito, y así se desplazó aún más</w:t>
      </w:r>
      <w:r>
        <w:rPr>
          <w:spacing w:val="-3"/>
        </w:rPr>
        <w:t xml:space="preserve"> </w:t>
      </w:r>
      <w:r>
        <w:t>a</w:t>
      </w:r>
      <w:r>
        <w:rPr>
          <w:spacing w:val="-4"/>
        </w:rPr>
        <w:t xml:space="preserve"> </w:t>
      </w:r>
      <w:r>
        <w:t>los</w:t>
      </w:r>
      <w:r>
        <w:rPr>
          <w:spacing w:val="-4"/>
        </w:rPr>
        <w:t xml:space="preserve"> </w:t>
      </w:r>
      <w:r>
        <w:t>pueblos</w:t>
      </w:r>
      <w:r>
        <w:rPr>
          <w:spacing w:val="-3"/>
        </w:rPr>
        <w:t xml:space="preserve"> </w:t>
      </w:r>
      <w:r>
        <w:t>étnicos</w:t>
      </w:r>
      <w:r>
        <w:rPr>
          <w:spacing w:val="-3"/>
        </w:rPr>
        <w:t xml:space="preserve"> </w:t>
      </w:r>
      <w:r>
        <w:t>y</w:t>
      </w:r>
      <w:r>
        <w:rPr>
          <w:spacing w:val="-3"/>
        </w:rPr>
        <w:t xml:space="preserve"> </w:t>
      </w:r>
      <w:r>
        <w:t>al</w:t>
      </w:r>
      <w:r>
        <w:rPr>
          <w:spacing w:val="-4"/>
        </w:rPr>
        <w:t xml:space="preserve"> </w:t>
      </w:r>
      <w:r>
        <w:t>campesinado</w:t>
      </w:r>
      <w:r>
        <w:rPr>
          <w:spacing w:val="-3"/>
        </w:rPr>
        <w:t xml:space="preserve"> </w:t>
      </w:r>
      <w:r>
        <w:t>pequeño</w:t>
      </w:r>
      <w:r>
        <w:rPr>
          <w:spacing w:val="-3"/>
        </w:rPr>
        <w:t xml:space="preserve"> </w:t>
      </w:r>
      <w:r>
        <w:t>y</w:t>
      </w:r>
      <w:r>
        <w:rPr>
          <w:spacing w:val="-3"/>
        </w:rPr>
        <w:t xml:space="preserve"> </w:t>
      </w:r>
      <w:r>
        <w:t>mediano</w:t>
      </w:r>
      <w:r>
        <w:rPr>
          <w:spacing w:val="-3"/>
        </w:rPr>
        <w:t xml:space="preserve"> </w:t>
      </w:r>
      <w:r>
        <w:t>del</w:t>
      </w:r>
      <w:r>
        <w:rPr>
          <w:spacing w:val="-3"/>
        </w:rPr>
        <w:t xml:space="preserve"> </w:t>
      </w:r>
      <w:r>
        <w:t>usufructo</w:t>
      </w:r>
      <w:r>
        <w:rPr>
          <w:spacing w:val="-3"/>
        </w:rPr>
        <w:t xml:space="preserve"> </w:t>
      </w:r>
      <w:r>
        <w:t>de</w:t>
      </w:r>
      <w:r>
        <w:rPr>
          <w:spacing w:val="-4"/>
        </w:rPr>
        <w:t xml:space="preserve"> </w:t>
      </w:r>
      <w:r>
        <w:t>la</w:t>
      </w:r>
      <w:r>
        <w:rPr>
          <w:spacing w:val="-4"/>
        </w:rPr>
        <w:t xml:space="preserve"> </w:t>
      </w:r>
      <w:r>
        <w:t>tierra.</w:t>
      </w:r>
      <w:r>
        <w:rPr>
          <w:spacing w:val="-5"/>
        </w:rPr>
        <w:t xml:space="preserve"> </w:t>
      </w:r>
      <w:r>
        <w:t xml:space="preserve">El cambio en el uso del suelo y la concentración de la propiedad </w:t>
      </w:r>
      <w:r>
        <w:lastRenderedPageBreak/>
        <w:t>rural por parte de narcotraficantes siguió plegada al despojo violento y de la distorsión del mercado, es decir, transacciones comerciales por debajo o por encima de los precios reales. Junto con el narcotráfico,</w:t>
      </w:r>
      <w:r>
        <w:rPr>
          <w:spacing w:val="-11"/>
        </w:rPr>
        <w:t xml:space="preserve"> </w:t>
      </w:r>
      <w:r>
        <w:t>la</w:t>
      </w:r>
      <w:r>
        <w:rPr>
          <w:spacing w:val="-11"/>
        </w:rPr>
        <w:t xml:space="preserve"> </w:t>
      </w:r>
      <w:r>
        <w:t>minería</w:t>
      </w:r>
      <w:r>
        <w:rPr>
          <w:spacing w:val="-11"/>
        </w:rPr>
        <w:t xml:space="preserve"> </w:t>
      </w:r>
      <w:r>
        <w:t>ha</w:t>
      </w:r>
      <w:r>
        <w:rPr>
          <w:spacing w:val="-9"/>
        </w:rPr>
        <w:t xml:space="preserve"> </w:t>
      </w:r>
      <w:r>
        <w:t>sido</w:t>
      </w:r>
      <w:r>
        <w:rPr>
          <w:spacing w:val="-10"/>
        </w:rPr>
        <w:t xml:space="preserve"> </w:t>
      </w:r>
      <w:r>
        <w:t>una</w:t>
      </w:r>
      <w:r>
        <w:rPr>
          <w:spacing w:val="-9"/>
        </w:rPr>
        <w:t xml:space="preserve"> </w:t>
      </w:r>
      <w:r>
        <w:t>de</w:t>
      </w:r>
      <w:r>
        <w:rPr>
          <w:spacing w:val="-9"/>
        </w:rPr>
        <w:t xml:space="preserve"> </w:t>
      </w:r>
      <w:r>
        <w:t>las</w:t>
      </w:r>
      <w:r>
        <w:rPr>
          <w:spacing w:val="-11"/>
        </w:rPr>
        <w:t xml:space="preserve"> </w:t>
      </w:r>
      <w:r>
        <w:t>economías</w:t>
      </w:r>
      <w:r>
        <w:rPr>
          <w:spacing w:val="-11"/>
        </w:rPr>
        <w:t xml:space="preserve"> </w:t>
      </w:r>
      <w:r>
        <w:t>de</w:t>
      </w:r>
      <w:r>
        <w:rPr>
          <w:spacing w:val="-9"/>
        </w:rPr>
        <w:t xml:space="preserve"> </w:t>
      </w:r>
      <w:r>
        <w:t>guerra</w:t>
      </w:r>
      <w:r>
        <w:rPr>
          <w:spacing w:val="-9"/>
        </w:rPr>
        <w:t xml:space="preserve"> </w:t>
      </w:r>
      <w:r>
        <w:t>más</w:t>
      </w:r>
      <w:r>
        <w:rPr>
          <w:spacing w:val="-9"/>
        </w:rPr>
        <w:t xml:space="preserve"> </w:t>
      </w:r>
      <w:r>
        <w:t>importantes</w:t>
      </w:r>
      <w:r>
        <w:rPr>
          <w:spacing w:val="-9"/>
        </w:rPr>
        <w:t xml:space="preserve"> </w:t>
      </w:r>
      <w:r>
        <w:t>en</w:t>
      </w:r>
      <w:r>
        <w:rPr>
          <w:spacing w:val="-11"/>
        </w:rPr>
        <w:t xml:space="preserve"> </w:t>
      </w:r>
      <w:r>
        <w:t>la</w:t>
      </w:r>
      <w:r>
        <w:rPr>
          <w:spacing w:val="-11"/>
        </w:rPr>
        <w:t xml:space="preserve"> </w:t>
      </w:r>
      <w:r>
        <w:t xml:space="preserve">región. Alrededor de ella también se han dado lógicas de vaciamiento del territorio para instalar macroproyectos extractivos, la exclusión de las personas que se dedicaban a la explotación artesanal (lo cual ha traído un impacto agravado en los casos de las poblaciones afrodescendientes) y el arruinamiento de las tierras y los cuerpos de agua debido a la utilización de químicos (como el mercurio) y la maquinaria pesada (retroexcavadoras y </w:t>
      </w:r>
      <w:r>
        <w:rPr>
          <w:spacing w:val="-2"/>
        </w:rPr>
        <w:t>dragas).</w:t>
      </w:r>
    </w:p>
    <w:p w:rsidR="003804AC" w:rsidRPr="00D52206" w:rsidRDefault="00AF18A5" w:rsidP="00D52206">
      <w:r>
        <w:t>Un</w:t>
      </w:r>
      <w:r>
        <w:rPr>
          <w:spacing w:val="-15"/>
        </w:rPr>
        <w:t xml:space="preserve"> </w:t>
      </w:r>
      <w:r>
        <w:t>ejemplo</w:t>
      </w:r>
      <w:r>
        <w:rPr>
          <w:spacing w:val="-15"/>
        </w:rPr>
        <w:t xml:space="preserve"> </w:t>
      </w:r>
      <w:r>
        <w:t>de</w:t>
      </w:r>
      <w:r>
        <w:rPr>
          <w:spacing w:val="-15"/>
        </w:rPr>
        <w:t xml:space="preserve"> </w:t>
      </w:r>
      <w:r>
        <w:t>esta</w:t>
      </w:r>
      <w:r>
        <w:rPr>
          <w:spacing w:val="-15"/>
        </w:rPr>
        <w:t xml:space="preserve"> </w:t>
      </w:r>
      <w:r>
        <w:t>reconfiguración</w:t>
      </w:r>
      <w:r>
        <w:rPr>
          <w:spacing w:val="-15"/>
        </w:rPr>
        <w:t xml:space="preserve"> </w:t>
      </w:r>
      <w:r>
        <w:t>quedó</w:t>
      </w:r>
      <w:r>
        <w:rPr>
          <w:spacing w:val="-15"/>
        </w:rPr>
        <w:t xml:space="preserve"> </w:t>
      </w:r>
      <w:r>
        <w:t>evidenciada</w:t>
      </w:r>
      <w:r>
        <w:rPr>
          <w:spacing w:val="-15"/>
        </w:rPr>
        <w:t xml:space="preserve"> </w:t>
      </w:r>
      <w:r>
        <w:t>en</w:t>
      </w:r>
      <w:r>
        <w:rPr>
          <w:spacing w:val="-15"/>
        </w:rPr>
        <w:t xml:space="preserve"> </w:t>
      </w:r>
      <w:r>
        <w:t>la</w:t>
      </w:r>
      <w:r>
        <w:rPr>
          <w:spacing w:val="-15"/>
        </w:rPr>
        <w:t xml:space="preserve"> </w:t>
      </w:r>
      <w:r>
        <w:t>manera</w:t>
      </w:r>
      <w:r>
        <w:rPr>
          <w:spacing w:val="-15"/>
        </w:rPr>
        <w:t xml:space="preserve"> </w:t>
      </w:r>
      <w:r>
        <w:t>en</w:t>
      </w:r>
      <w:r>
        <w:rPr>
          <w:spacing w:val="-15"/>
        </w:rPr>
        <w:t xml:space="preserve"> </w:t>
      </w:r>
      <w:r>
        <w:t>que</w:t>
      </w:r>
      <w:r>
        <w:rPr>
          <w:spacing w:val="-15"/>
        </w:rPr>
        <w:t xml:space="preserve"> </w:t>
      </w:r>
      <w:r>
        <w:t>el</w:t>
      </w:r>
      <w:r>
        <w:rPr>
          <w:spacing w:val="-15"/>
        </w:rPr>
        <w:t xml:space="preserve"> </w:t>
      </w:r>
      <w:r>
        <w:t>archipiélago de San Andrés, Providencia y Santa Catalina terminó siendo un fuerte escenario de disputa por</w:t>
      </w:r>
      <w:r>
        <w:rPr>
          <w:spacing w:val="-1"/>
        </w:rPr>
        <w:t xml:space="preserve"> </w:t>
      </w:r>
      <w:r>
        <w:t>diferentes actores armados</w:t>
      </w:r>
      <w:r w:rsidR="00D52206">
        <w:rPr>
          <w:rStyle w:val="Refdenotaalpie"/>
        </w:rPr>
        <w:footnoteReference w:id="1060"/>
      </w:r>
      <w:r>
        <w:t>, y en medio</w:t>
      </w:r>
      <w:r>
        <w:rPr>
          <w:spacing w:val="-1"/>
        </w:rPr>
        <w:t xml:space="preserve"> </w:t>
      </w:r>
      <w:r>
        <w:t>de ello el pueblo raizal quedó expuesto</w:t>
      </w:r>
      <w:r>
        <w:rPr>
          <w:spacing w:val="-1"/>
        </w:rPr>
        <w:t xml:space="preserve"> </w:t>
      </w:r>
      <w:r>
        <w:t xml:space="preserve">a </w:t>
      </w:r>
      <w:r>
        <w:rPr>
          <w:spacing w:val="-5"/>
        </w:rPr>
        <w:t>una</w:t>
      </w:r>
      <w:bookmarkStart w:id="1311" w:name="_bookmark1163"/>
      <w:bookmarkEnd w:id="1311"/>
      <w:r w:rsidR="00D52206">
        <w:rPr>
          <w:spacing w:val="-5"/>
        </w:rPr>
        <w:t xml:space="preserve"> </w:t>
      </w:r>
      <w:r>
        <w:t>pérdida</w:t>
      </w:r>
      <w:r>
        <w:rPr>
          <w:spacing w:val="-5"/>
        </w:rPr>
        <w:t xml:space="preserve"> </w:t>
      </w:r>
      <w:r>
        <w:t>acelerada</w:t>
      </w:r>
      <w:r>
        <w:rPr>
          <w:spacing w:val="-3"/>
        </w:rPr>
        <w:t xml:space="preserve"> </w:t>
      </w:r>
      <w:r>
        <w:t>de</w:t>
      </w:r>
      <w:r>
        <w:rPr>
          <w:spacing w:val="-3"/>
        </w:rPr>
        <w:t xml:space="preserve"> </w:t>
      </w:r>
      <w:r>
        <w:t>su</w:t>
      </w:r>
      <w:r>
        <w:rPr>
          <w:spacing w:val="-4"/>
        </w:rPr>
        <w:t xml:space="preserve"> </w:t>
      </w:r>
      <w:r>
        <w:t>territorio,</w:t>
      </w:r>
      <w:r>
        <w:rPr>
          <w:spacing w:val="-4"/>
        </w:rPr>
        <w:t xml:space="preserve"> </w:t>
      </w:r>
      <w:r>
        <w:t>mediante</w:t>
      </w:r>
      <w:r>
        <w:rPr>
          <w:spacing w:val="-5"/>
        </w:rPr>
        <w:t xml:space="preserve"> </w:t>
      </w:r>
      <w:r>
        <w:t>procesos</w:t>
      </w:r>
      <w:r>
        <w:rPr>
          <w:spacing w:val="-4"/>
        </w:rPr>
        <w:t xml:space="preserve"> </w:t>
      </w:r>
      <w:r>
        <w:t>de</w:t>
      </w:r>
      <w:r>
        <w:rPr>
          <w:spacing w:val="-3"/>
        </w:rPr>
        <w:t xml:space="preserve"> </w:t>
      </w:r>
      <w:r>
        <w:t>lavado</w:t>
      </w:r>
      <w:r>
        <w:rPr>
          <w:spacing w:val="-4"/>
        </w:rPr>
        <w:t xml:space="preserve"> </w:t>
      </w:r>
      <w:r>
        <w:t>de</w:t>
      </w:r>
      <w:r>
        <w:rPr>
          <w:spacing w:val="-3"/>
        </w:rPr>
        <w:t xml:space="preserve"> </w:t>
      </w:r>
      <w:r>
        <w:t>activos</w:t>
      </w:r>
      <w:r w:rsidR="00D52206">
        <w:rPr>
          <w:rStyle w:val="Refdenotaalpie"/>
        </w:rPr>
        <w:footnoteReference w:id="1061"/>
      </w:r>
      <w:r>
        <w:t>,</w:t>
      </w:r>
      <w:r>
        <w:rPr>
          <w:spacing w:val="-4"/>
        </w:rPr>
        <w:t xml:space="preserve"> </w:t>
      </w:r>
      <w:r>
        <w:t>militarización como respuesta institucional para enfrentar el crimen</w:t>
      </w:r>
      <w:r w:rsidR="00D52206">
        <w:rPr>
          <w:rStyle w:val="Refdenotaalpie"/>
        </w:rPr>
        <w:footnoteReference w:id="1062"/>
      </w:r>
      <w:r>
        <w:t xml:space="preserve"> o dinámicas en las que las mismas Fuerzas de Seguridad terminaban vinculadas con estas redes de economías ilícitas</w:t>
      </w:r>
      <w:r w:rsidR="00D52206">
        <w:rPr>
          <w:rStyle w:val="Refdenotaalpie"/>
        </w:rPr>
        <w:footnoteReference w:id="1063"/>
      </w:r>
      <w:r>
        <w:t>.</w:t>
      </w:r>
    </w:p>
    <w:p w:rsidR="003804AC" w:rsidRDefault="00AF18A5" w:rsidP="00D52206">
      <w:r>
        <w:lastRenderedPageBreak/>
        <w:t>Por otro lado, la violencia guerrillera también causó despojo de tierras, asociado a la expansión de los cultivos de coca y el control de corredores estratégicos de la economía del narcotráfico. La Comisión documentó despojo de terrenos que fueron arrebatados por las FARC-EP,</w:t>
      </w:r>
      <w:r>
        <w:rPr>
          <w:spacing w:val="-2"/>
        </w:rPr>
        <w:t xml:space="preserve"> </w:t>
      </w:r>
      <w:r>
        <w:t>especialmente</w:t>
      </w:r>
      <w:r>
        <w:rPr>
          <w:spacing w:val="-3"/>
        </w:rPr>
        <w:t xml:space="preserve"> </w:t>
      </w:r>
      <w:r>
        <w:t>en</w:t>
      </w:r>
      <w:r>
        <w:rPr>
          <w:spacing w:val="-4"/>
        </w:rPr>
        <w:t xml:space="preserve"> </w:t>
      </w:r>
      <w:r>
        <w:t>los</w:t>
      </w:r>
      <w:r>
        <w:rPr>
          <w:spacing w:val="-4"/>
        </w:rPr>
        <w:t xml:space="preserve"> </w:t>
      </w:r>
      <w:r>
        <w:t>departamentos</w:t>
      </w:r>
      <w:r>
        <w:rPr>
          <w:spacing w:val="-4"/>
        </w:rPr>
        <w:t xml:space="preserve"> </w:t>
      </w:r>
      <w:r>
        <w:t>de</w:t>
      </w:r>
      <w:r>
        <w:rPr>
          <w:spacing w:val="-3"/>
        </w:rPr>
        <w:t xml:space="preserve"> </w:t>
      </w:r>
      <w:r>
        <w:t>Nariño</w:t>
      </w:r>
      <w:r>
        <w:rPr>
          <w:spacing w:val="-4"/>
        </w:rPr>
        <w:t xml:space="preserve"> </w:t>
      </w:r>
      <w:r>
        <w:t>y</w:t>
      </w:r>
      <w:r>
        <w:rPr>
          <w:spacing w:val="-4"/>
        </w:rPr>
        <w:t xml:space="preserve"> </w:t>
      </w:r>
      <w:r>
        <w:t>Putumayo</w:t>
      </w:r>
      <w:r w:rsidR="00D52206">
        <w:rPr>
          <w:rStyle w:val="Refdenotaalpie"/>
        </w:rPr>
        <w:footnoteReference w:id="1064"/>
      </w:r>
      <w:r>
        <w:t>.</w:t>
      </w:r>
      <w:r>
        <w:rPr>
          <w:spacing w:val="-4"/>
        </w:rPr>
        <w:t xml:space="preserve"> </w:t>
      </w:r>
      <w:r>
        <w:t>En</w:t>
      </w:r>
      <w:r>
        <w:rPr>
          <w:spacing w:val="-4"/>
        </w:rPr>
        <w:t xml:space="preserve"> </w:t>
      </w:r>
      <w:r>
        <w:t>estos</w:t>
      </w:r>
      <w:r>
        <w:rPr>
          <w:spacing w:val="-4"/>
        </w:rPr>
        <w:t xml:space="preserve"> </w:t>
      </w:r>
      <w:r>
        <w:t>casos</w:t>
      </w:r>
      <w:r>
        <w:rPr>
          <w:spacing w:val="-4"/>
        </w:rPr>
        <w:t xml:space="preserve"> </w:t>
      </w:r>
      <w:r>
        <w:t>el cambio en el uso de la tierra se dio por dos vías: mediante el apoderamiento directo de la tierra</w:t>
      </w:r>
      <w:r>
        <w:rPr>
          <w:spacing w:val="-1"/>
        </w:rPr>
        <w:t xml:space="preserve"> </w:t>
      </w:r>
      <w:r>
        <w:t>por</w:t>
      </w:r>
      <w:r>
        <w:rPr>
          <w:spacing w:val="-1"/>
        </w:rPr>
        <w:t xml:space="preserve"> </w:t>
      </w:r>
      <w:r>
        <w:t>parte</w:t>
      </w:r>
      <w:r>
        <w:rPr>
          <w:spacing w:val="-1"/>
        </w:rPr>
        <w:t xml:space="preserve"> </w:t>
      </w:r>
      <w:r>
        <w:t>de</w:t>
      </w:r>
      <w:r>
        <w:rPr>
          <w:spacing w:val="-1"/>
        </w:rPr>
        <w:t xml:space="preserve"> </w:t>
      </w:r>
      <w:r>
        <w:t>la</w:t>
      </w:r>
      <w:r>
        <w:rPr>
          <w:spacing w:val="-1"/>
        </w:rPr>
        <w:t xml:space="preserve"> </w:t>
      </w:r>
      <w:r>
        <w:t>guerrilla</w:t>
      </w:r>
      <w:r>
        <w:rPr>
          <w:spacing w:val="-1"/>
        </w:rPr>
        <w:t xml:space="preserve"> </w:t>
      </w:r>
      <w:r>
        <w:t>para</w:t>
      </w:r>
      <w:r>
        <w:rPr>
          <w:spacing w:val="-1"/>
        </w:rPr>
        <w:t xml:space="preserve"> </w:t>
      </w:r>
      <w:r>
        <w:t>dedicarla</w:t>
      </w:r>
      <w:r>
        <w:rPr>
          <w:spacing w:val="-1"/>
        </w:rPr>
        <w:t xml:space="preserve"> </w:t>
      </w:r>
      <w:r>
        <w:t>a</w:t>
      </w:r>
      <w:r>
        <w:rPr>
          <w:spacing w:val="-1"/>
        </w:rPr>
        <w:t xml:space="preserve"> </w:t>
      </w:r>
      <w:r>
        <w:t>la</w:t>
      </w:r>
      <w:r>
        <w:rPr>
          <w:spacing w:val="-2"/>
        </w:rPr>
        <w:t xml:space="preserve"> </w:t>
      </w:r>
      <w:r>
        <w:t>siembra</w:t>
      </w:r>
      <w:r>
        <w:rPr>
          <w:spacing w:val="-1"/>
        </w:rPr>
        <w:t xml:space="preserve"> </w:t>
      </w:r>
      <w:r>
        <w:t>de</w:t>
      </w:r>
      <w:r>
        <w:rPr>
          <w:spacing w:val="-1"/>
        </w:rPr>
        <w:t xml:space="preserve"> </w:t>
      </w:r>
      <w:r>
        <w:t>coca,</w:t>
      </w:r>
      <w:r>
        <w:rPr>
          <w:spacing w:val="-1"/>
        </w:rPr>
        <w:t xml:space="preserve"> </w:t>
      </w:r>
      <w:r>
        <w:t>o</w:t>
      </w:r>
      <w:r>
        <w:rPr>
          <w:spacing w:val="-1"/>
        </w:rPr>
        <w:t xml:space="preserve"> </w:t>
      </w:r>
      <w:r>
        <w:t>ejerciendo</w:t>
      </w:r>
      <w:r>
        <w:rPr>
          <w:spacing w:val="-1"/>
        </w:rPr>
        <w:t xml:space="preserve"> </w:t>
      </w:r>
      <w:r>
        <w:t>presión</w:t>
      </w:r>
      <w:r>
        <w:rPr>
          <w:spacing w:val="-1"/>
        </w:rPr>
        <w:t xml:space="preserve"> </w:t>
      </w:r>
      <w:r>
        <w:t>a</w:t>
      </w:r>
      <w:r>
        <w:rPr>
          <w:spacing w:val="-1"/>
        </w:rPr>
        <w:t xml:space="preserve"> </w:t>
      </w:r>
      <w:r>
        <w:t>los pobladores</w:t>
      </w:r>
      <w:r>
        <w:rPr>
          <w:spacing w:val="-13"/>
        </w:rPr>
        <w:t xml:space="preserve"> </w:t>
      </w:r>
      <w:r>
        <w:t>para</w:t>
      </w:r>
      <w:r>
        <w:rPr>
          <w:spacing w:val="-12"/>
        </w:rPr>
        <w:t xml:space="preserve"> </w:t>
      </w:r>
      <w:r>
        <w:t>que</w:t>
      </w:r>
      <w:r>
        <w:rPr>
          <w:spacing w:val="-13"/>
        </w:rPr>
        <w:t xml:space="preserve"> </w:t>
      </w:r>
      <w:r>
        <w:t>la</w:t>
      </w:r>
      <w:r>
        <w:rPr>
          <w:spacing w:val="-13"/>
        </w:rPr>
        <w:t xml:space="preserve"> </w:t>
      </w:r>
      <w:r>
        <w:t>cultivaran.</w:t>
      </w:r>
      <w:r>
        <w:rPr>
          <w:spacing w:val="-13"/>
        </w:rPr>
        <w:t xml:space="preserve"> </w:t>
      </w:r>
      <w:r>
        <w:t>En</w:t>
      </w:r>
      <w:r>
        <w:rPr>
          <w:spacing w:val="-13"/>
        </w:rPr>
        <w:t xml:space="preserve"> </w:t>
      </w:r>
      <w:r>
        <w:t>consecuencia,</w:t>
      </w:r>
      <w:r>
        <w:rPr>
          <w:spacing w:val="-12"/>
        </w:rPr>
        <w:t xml:space="preserve"> </w:t>
      </w:r>
      <w:r>
        <w:t>las</w:t>
      </w:r>
      <w:r>
        <w:rPr>
          <w:spacing w:val="-13"/>
        </w:rPr>
        <w:t xml:space="preserve"> </w:t>
      </w:r>
      <w:r>
        <w:t>víctimas</w:t>
      </w:r>
      <w:r>
        <w:rPr>
          <w:spacing w:val="-12"/>
        </w:rPr>
        <w:t xml:space="preserve"> </w:t>
      </w:r>
      <w:r>
        <w:t>quedaron</w:t>
      </w:r>
      <w:r>
        <w:rPr>
          <w:spacing w:val="-13"/>
        </w:rPr>
        <w:t xml:space="preserve"> </w:t>
      </w:r>
      <w:r>
        <w:t>marginadas</w:t>
      </w:r>
      <w:r>
        <w:rPr>
          <w:spacing w:val="-13"/>
        </w:rPr>
        <w:t xml:space="preserve"> </w:t>
      </w:r>
      <w:r>
        <w:t>de</w:t>
      </w:r>
      <w:r>
        <w:rPr>
          <w:spacing w:val="-12"/>
        </w:rPr>
        <w:t xml:space="preserve"> </w:t>
      </w:r>
      <w:r>
        <w:t>sus tierras y el uso que les daban tradicionalmente se transformó. Una mujer de Roberto Payán, Nariño, que salió de su territorio por la situación de violencia en el 2009, relató: «Y como era</w:t>
      </w:r>
      <w:r>
        <w:rPr>
          <w:spacing w:val="-8"/>
        </w:rPr>
        <w:t xml:space="preserve"> </w:t>
      </w:r>
      <w:r>
        <w:t>también</w:t>
      </w:r>
      <w:r>
        <w:rPr>
          <w:spacing w:val="-10"/>
        </w:rPr>
        <w:t xml:space="preserve"> </w:t>
      </w:r>
      <w:r>
        <w:t>una</w:t>
      </w:r>
      <w:r>
        <w:rPr>
          <w:spacing w:val="-7"/>
        </w:rPr>
        <w:t xml:space="preserve"> </w:t>
      </w:r>
      <w:r>
        <w:t>ley</w:t>
      </w:r>
      <w:r>
        <w:rPr>
          <w:spacing w:val="-8"/>
        </w:rPr>
        <w:t xml:space="preserve"> </w:t>
      </w:r>
      <w:r>
        <w:t>que</w:t>
      </w:r>
      <w:r>
        <w:rPr>
          <w:spacing w:val="-8"/>
        </w:rPr>
        <w:t xml:space="preserve"> </w:t>
      </w:r>
      <w:r>
        <w:t>toda</w:t>
      </w:r>
      <w:r>
        <w:rPr>
          <w:spacing w:val="-7"/>
        </w:rPr>
        <w:t xml:space="preserve"> </w:t>
      </w:r>
      <w:r>
        <w:t>la</w:t>
      </w:r>
      <w:r>
        <w:rPr>
          <w:spacing w:val="-8"/>
        </w:rPr>
        <w:t xml:space="preserve"> </w:t>
      </w:r>
      <w:r>
        <w:t>gente</w:t>
      </w:r>
      <w:r>
        <w:rPr>
          <w:spacing w:val="-8"/>
        </w:rPr>
        <w:t xml:space="preserve"> </w:t>
      </w:r>
      <w:r>
        <w:t>tenía</w:t>
      </w:r>
      <w:r>
        <w:rPr>
          <w:spacing w:val="-8"/>
        </w:rPr>
        <w:t xml:space="preserve"> </w:t>
      </w:r>
      <w:r>
        <w:t>que</w:t>
      </w:r>
      <w:r>
        <w:rPr>
          <w:spacing w:val="-8"/>
        </w:rPr>
        <w:t xml:space="preserve"> </w:t>
      </w:r>
      <w:r>
        <w:t>sembrar,</w:t>
      </w:r>
      <w:r>
        <w:rPr>
          <w:spacing w:val="-8"/>
        </w:rPr>
        <w:t xml:space="preserve"> </w:t>
      </w:r>
      <w:r>
        <w:t>todo</w:t>
      </w:r>
      <w:r>
        <w:rPr>
          <w:spacing w:val="-10"/>
        </w:rPr>
        <w:t xml:space="preserve"> </w:t>
      </w:r>
      <w:r>
        <w:t>el</w:t>
      </w:r>
      <w:r>
        <w:rPr>
          <w:spacing w:val="-7"/>
        </w:rPr>
        <w:t xml:space="preserve"> </w:t>
      </w:r>
      <w:r>
        <w:t>que</w:t>
      </w:r>
      <w:r>
        <w:rPr>
          <w:spacing w:val="-8"/>
        </w:rPr>
        <w:t xml:space="preserve"> </w:t>
      </w:r>
      <w:r>
        <w:t>tuviera</w:t>
      </w:r>
      <w:r>
        <w:rPr>
          <w:spacing w:val="-7"/>
        </w:rPr>
        <w:t xml:space="preserve"> </w:t>
      </w:r>
      <w:r>
        <w:t>terreno</w:t>
      </w:r>
      <w:r>
        <w:rPr>
          <w:spacing w:val="-8"/>
        </w:rPr>
        <w:t xml:space="preserve"> </w:t>
      </w:r>
      <w:r>
        <w:t>tenía</w:t>
      </w:r>
      <w:r>
        <w:rPr>
          <w:spacing w:val="-7"/>
        </w:rPr>
        <w:t xml:space="preserve"> </w:t>
      </w:r>
      <w:r>
        <w:t xml:space="preserve">que </w:t>
      </w:r>
      <w:r>
        <w:rPr>
          <w:spacing w:val="-2"/>
        </w:rPr>
        <w:t>sembrar»</w:t>
      </w:r>
      <w:r w:rsidR="00D52206">
        <w:rPr>
          <w:rStyle w:val="Refdenotaalpie"/>
          <w:spacing w:val="-2"/>
        </w:rPr>
        <w:footnoteReference w:id="1065"/>
      </w:r>
      <w:r>
        <w:rPr>
          <w:spacing w:val="-2"/>
        </w:rPr>
        <w:t>.</w:t>
      </w:r>
    </w:p>
    <w:p w:rsidR="0011361F" w:rsidRDefault="00AF18A5" w:rsidP="00D52206">
      <w:r>
        <w:t>En varios casos la ocupación armada de las guerrillas sobre territorios étnicos implicó procesos</w:t>
      </w:r>
      <w:r>
        <w:rPr>
          <w:spacing w:val="-4"/>
        </w:rPr>
        <w:t xml:space="preserve"> </w:t>
      </w:r>
      <w:r>
        <w:t>de</w:t>
      </w:r>
      <w:r>
        <w:rPr>
          <w:spacing w:val="-6"/>
        </w:rPr>
        <w:t xml:space="preserve"> </w:t>
      </w:r>
      <w:r>
        <w:t>repoblamiento</w:t>
      </w:r>
      <w:r>
        <w:rPr>
          <w:spacing w:val="-5"/>
        </w:rPr>
        <w:t xml:space="preserve"> </w:t>
      </w:r>
      <w:r>
        <w:t>que</w:t>
      </w:r>
      <w:r>
        <w:rPr>
          <w:spacing w:val="-4"/>
        </w:rPr>
        <w:t xml:space="preserve"> </w:t>
      </w:r>
      <w:r>
        <w:t>pusieron</w:t>
      </w:r>
      <w:r>
        <w:rPr>
          <w:spacing w:val="-5"/>
        </w:rPr>
        <w:t xml:space="preserve"> </w:t>
      </w:r>
      <w:r>
        <w:t>en</w:t>
      </w:r>
      <w:r>
        <w:rPr>
          <w:spacing w:val="-5"/>
        </w:rPr>
        <w:t xml:space="preserve"> </w:t>
      </w:r>
      <w:r>
        <w:t>riesgo</w:t>
      </w:r>
      <w:r>
        <w:rPr>
          <w:spacing w:val="-5"/>
        </w:rPr>
        <w:t xml:space="preserve"> </w:t>
      </w:r>
      <w:r>
        <w:t>los</w:t>
      </w:r>
      <w:r>
        <w:rPr>
          <w:spacing w:val="-4"/>
        </w:rPr>
        <w:t xml:space="preserve"> </w:t>
      </w:r>
      <w:r>
        <w:t>derechos</w:t>
      </w:r>
      <w:r>
        <w:rPr>
          <w:spacing w:val="-4"/>
        </w:rPr>
        <w:t xml:space="preserve"> </w:t>
      </w:r>
      <w:r>
        <w:t>territoriales</w:t>
      </w:r>
      <w:r>
        <w:rPr>
          <w:spacing w:val="-4"/>
        </w:rPr>
        <w:t xml:space="preserve"> </w:t>
      </w:r>
      <w:r>
        <w:t>de</w:t>
      </w:r>
      <w:r>
        <w:rPr>
          <w:spacing w:val="-4"/>
        </w:rPr>
        <w:t xml:space="preserve"> </w:t>
      </w:r>
      <w:r>
        <w:t>estos</w:t>
      </w:r>
      <w:r>
        <w:rPr>
          <w:spacing w:val="-4"/>
        </w:rPr>
        <w:t xml:space="preserve"> </w:t>
      </w:r>
      <w:r>
        <w:t>pueblos y promovieron conflictos interculturales con campesinos cocaleros</w:t>
      </w:r>
      <w:r w:rsidR="00D52206">
        <w:rPr>
          <w:rStyle w:val="Refdenotaalpie"/>
        </w:rPr>
        <w:footnoteReference w:id="1066"/>
      </w:r>
      <w:r>
        <w:t>. Uno de los casos documentados</w:t>
      </w:r>
      <w:r>
        <w:rPr>
          <w:spacing w:val="-3"/>
        </w:rPr>
        <w:t xml:space="preserve"> </w:t>
      </w:r>
      <w:r>
        <w:t>por</w:t>
      </w:r>
      <w:r>
        <w:rPr>
          <w:spacing w:val="-1"/>
        </w:rPr>
        <w:t xml:space="preserve"> </w:t>
      </w:r>
      <w:r>
        <w:t>la</w:t>
      </w:r>
      <w:r>
        <w:rPr>
          <w:spacing w:val="-1"/>
        </w:rPr>
        <w:t xml:space="preserve"> </w:t>
      </w:r>
      <w:r>
        <w:t>Comisión es</w:t>
      </w:r>
      <w:r>
        <w:rPr>
          <w:spacing w:val="-1"/>
        </w:rPr>
        <w:t xml:space="preserve"> </w:t>
      </w:r>
      <w:r>
        <w:t>el</w:t>
      </w:r>
      <w:r>
        <w:rPr>
          <w:spacing w:val="-2"/>
        </w:rPr>
        <w:t xml:space="preserve"> </w:t>
      </w:r>
      <w:r>
        <w:t>del</w:t>
      </w:r>
      <w:r>
        <w:rPr>
          <w:spacing w:val="-1"/>
        </w:rPr>
        <w:t xml:space="preserve"> </w:t>
      </w:r>
      <w:r>
        <w:t>Consejo Comunitario</w:t>
      </w:r>
      <w:r>
        <w:rPr>
          <w:spacing w:val="-3"/>
        </w:rPr>
        <w:t xml:space="preserve"> </w:t>
      </w:r>
      <w:r>
        <w:t>de</w:t>
      </w:r>
      <w:r>
        <w:rPr>
          <w:spacing w:val="-1"/>
        </w:rPr>
        <w:t xml:space="preserve"> </w:t>
      </w:r>
      <w:r>
        <w:t>Alto</w:t>
      </w:r>
      <w:r>
        <w:rPr>
          <w:spacing w:val="-1"/>
        </w:rPr>
        <w:t xml:space="preserve"> </w:t>
      </w:r>
      <w:r>
        <w:t>Mira y</w:t>
      </w:r>
      <w:r>
        <w:rPr>
          <w:spacing w:val="-2"/>
        </w:rPr>
        <w:t xml:space="preserve"> </w:t>
      </w:r>
      <w:r>
        <w:t>Frontera</w:t>
      </w:r>
      <w:r>
        <w:rPr>
          <w:spacing w:val="-2"/>
        </w:rPr>
        <w:t xml:space="preserve"> </w:t>
      </w:r>
      <w:r>
        <w:t xml:space="preserve">en </w:t>
      </w:r>
      <w:r>
        <w:rPr>
          <w:spacing w:val="-5"/>
        </w:rPr>
        <w:t>el</w:t>
      </w:r>
      <w:bookmarkStart w:id="1312" w:name="_bookmark1164"/>
      <w:bookmarkStart w:id="1313" w:name="_bookmark1165"/>
      <w:bookmarkStart w:id="1314" w:name="_bookmark1166"/>
      <w:bookmarkStart w:id="1315" w:name="_bookmark1167"/>
      <w:bookmarkStart w:id="1316" w:name="_bookmark1168"/>
      <w:bookmarkStart w:id="1317" w:name="_bookmark1169"/>
      <w:bookmarkEnd w:id="1312"/>
      <w:bookmarkEnd w:id="1313"/>
      <w:bookmarkEnd w:id="1314"/>
      <w:bookmarkEnd w:id="1315"/>
      <w:bookmarkEnd w:id="1316"/>
      <w:bookmarkEnd w:id="1317"/>
      <w:r w:rsidR="00D52206">
        <w:t xml:space="preserve"> </w:t>
      </w:r>
      <w:r>
        <w:t>departamento</w:t>
      </w:r>
      <w:r>
        <w:rPr>
          <w:spacing w:val="-2"/>
        </w:rPr>
        <w:t xml:space="preserve"> </w:t>
      </w:r>
      <w:r>
        <w:t>de</w:t>
      </w:r>
      <w:r>
        <w:rPr>
          <w:spacing w:val="-2"/>
        </w:rPr>
        <w:t xml:space="preserve"> Nariño.</w:t>
      </w:r>
    </w:p>
    <w:p w:rsidR="003804AC" w:rsidRDefault="00AF18A5" w:rsidP="00D52206">
      <w:r>
        <w:lastRenderedPageBreak/>
        <w:t>La</w:t>
      </w:r>
      <w:r>
        <w:rPr>
          <w:spacing w:val="-6"/>
        </w:rPr>
        <w:t xml:space="preserve"> </w:t>
      </w:r>
      <w:r>
        <w:t>expansión</w:t>
      </w:r>
      <w:r>
        <w:rPr>
          <w:spacing w:val="-6"/>
        </w:rPr>
        <w:t xml:space="preserve"> </w:t>
      </w:r>
      <w:r>
        <w:t>del</w:t>
      </w:r>
      <w:r>
        <w:rPr>
          <w:spacing w:val="-7"/>
        </w:rPr>
        <w:t xml:space="preserve"> </w:t>
      </w:r>
      <w:r>
        <w:t>cultivo</w:t>
      </w:r>
      <w:r>
        <w:rPr>
          <w:spacing w:val="-7"/>
        </w:rPr>
        <w:t xml:space="preserve"> </w:t>
      </w:r>
      <w:r>
        <w:t>de</w:t>
      </w:r>
      <w:r>
        <w:rPr>
          <w:spacing w:val="-6"/>
        </w:rPr>
        <w:t xml:space="preserve"> </w:t>
      </w:r>
      <w:r>
        <w:t>coca</w:t>
      </w:r>
      <w:r>
        <w:rPr>
          <w:spacing w:val="-6"/>
        </w:rPr>
        <w:t xml:space="preserve"> </w:t>
      </w:r>
      <w:r>
        <w:t>y</w:t>
      </w:r>
      <w:r>
        <w:rPr>
          <w:spacing w:val="-7"/>
        </w:rPr>
        <w:t xml:space="preserve"> </w:t>
      </w:r>
      <w:r>
        <w:t>la</w:t>
      </w:r>
      <w:r>
        <w:rPr>
          <w:spacing w:val="-7"/>
        </w:rPr>
        <w:t xml:space="preserve"> </w:t>
      </w:r>
      <w:r>
        <w:t>instalación</w:t>
      </w:r>
      <w:r>
        <w:rPr>
          <w:spacing w:val="-7"/>
        </w:rPr>
        <w:t xml:space="preserve"> </w:t>
      </w:r>
      <w:r>
        <w:t>de</w:t>
      </w:r>
      <w:r>
        <w:rPr>
          <w:spacing w:val="-6"/>
        </w:rPr>
        <w:t xml:space="preserve"> </w:t>
      </w:r>
      <w:r>
        <w:t>laboratorios</w:t>
      </w:r>
      <w:r>
        <w:rPr>
          <w:spacing w:val="-6"/>
        </w:rPr>
        <w:t xml:space="preserve"> </w:t>
      </w:r>
      <w:r>
        <w:t>para</w:t>
      </w:r>
      <w:r>
        <w:rPr>
          <w:spacing w:val="-7"/>
        </w:rPr>
        <w:t xml:space="preserve"> </w:t>
      </w:r>
      <w:r>
        <w:t>el</w:t>
      </w:r>
      <w:r>
        <w:rPr>
          <w:spacing w:val="-7"/>
        </w:rPr>
        <w:t xml:space="preserve"> </w:t>
      </w:r>
      <w:r>
        <w:t>procesamiento</w:t>
      </w:r>
      <w:r>
        <w:rPr>
          <w:spacing w:val="-7"/>
        </w:rPr>
        <w:t xml:space="preserve"> </w:t>
      </w:r>
      <w:r>
        <w:t>de cocaína –a partir del 2000– produjo un impacto en las poblaciones campesinas de las zonas de piedemonte, cordillera y pacífico que recibieron una gran cantidad de población que retornaba</w:t>
      </w:r>
      <w:r>
        <w:rPr>
          <w:spacing w:val="-9"/>
        </w:rPr>
        <w:t xml:space="preserve"> </w:t>
      </w:r>
      <w:r>
        <w:t>a</w:t>
      </w:r>
      <w:r>
        <w:rPr>
          <w:spacing w:val="-9"/>
        </w:rPr>
        <w:t xml:space="preserve"> </w:t>
      </w:r>
      <w:r>
        <w:t>la</w:t>
      </w:r>
      <w:r>
        <w:rPr>
          <w:spacing w:val="-9"/>
        </w:rPr>
        <w:t xml:space="preserve"> </w:t>
      </w:r>
      <w:r>
        <w:t>región,</w:t>
      </w:r>
      <w:r>
        <w:rPr>
          <w:spacing w:val="-9"/>
        </w:rPr>
        <w:t xml:space="preserve"> </w:t>
      </w:r>
      <w:r>
        <w:t>así</w:t>
      </w:r>
      <w:r>
        <w:rPr>
          <w:spacing w:val="-10"/>
        </w:rPr>
        <w:t xml:space="preserve"> </w:t>
      </w:r>
      <w:r>
        <w:t>como</w:t>
      </w:r>
      <w:r>
        <w:rPr>
          <w:spacing w:val="-9"/>
        </w:rPr>
        <w:t xml:space="preserve"> </w:t>
      </w:r>
      <w:r>
        <w:t>campesinos</w:t>
      </w:r>
      <w:r>
        <w:rPr>
          <w:spacing w:val="-9"/>
        </w:rPr>
        <w:t xml:space="preserve"> </w:t>
      </w:r>
      <w:r>
        <w:t>migrantes</w:t>
      </w:r>
      <w:r>
        <w:rPr>
          <w:spacing w:val="-9"/>
        </w:rPr>
        <w:t xml:space="preserve"> </w:t>
      </w:r>
      <w:r>
        <w:t>de</w:t>
      </w:r>
      <w:r>
        <w:rPr>
          <w:spacing w:val="-9"/>
        </w:rPr>
        <w:t xml:space="preserve"> </w:t>
      </w:r>
      <w:r>
        <w:t>otras</w:t>
      </w:r>
      <w:r>
        <w:rPr>
          <w:spacing w:val="-9"/>
        </w:rPr>
        <w:t xml:space="preserve"> </w:t>
      </w:r>
      <w:r>
        <w:t>regiones,</w:t>
      </w:r>
      <w:r>
        <w:rPr>
          <w:spacing w:val="-9"/>
        </w:rPr>
        <w:t xml:space="preserve"> </w:t>
      </w:r>
      <w:r>
        <w:t>que</w:t>
      </w:r>
      <w:r>
        <w:rPr>
          <w:spacing w:val="-10"/>
        </w:rPr>
        <w:t xml:space="preserve"> </w:t>
      </w:r>
      <w:r>
        <w:t>buscaban</w:t>
      </w:r>
      <w:r>
        <w:rPr>
          <w:spacing w:val="-9"/>
        </w:rPr>
        <w:t xml:space="preserve"> </w:t>
      </w:r>
      <w:r>
        <w:t>tierras para el cultivo de la coca. La evidente diferencia entre la rentabilidad de la agricultura tradicional</w:t>
      </w:r>
      <w:r>
        <w:rPr>
          <w:spacing w:val="-1"/>
        </w:rPr>
        <w:t xml:space="preserve"> </w:t>
      </w:r>
      <w:r>
        <w:t>y</w:t>
      </w:r>
      <w:r>
        <w:rPr>
          <w:spacing w:val="-2"/>
        </w:rPr>
        <w:t xml:space="preserve"> </w:t>
      </w:r>
      <w:r>
        <w:t>la</w:t>
      </w:r>
      <w:r>
        <w:rPr>
          <w:spacing w:val="-1"/>
        </w:rPr>
        <w:t xml:space="preserve"> </w:t>
      </w:r>
      <w:r>
        <w:t>del</w:t>
      </w:r>
      <w:r>
        <w:rPr>
          <w:spacing w:val="-1"/>
        </w:rPr>
        <w:t xml:space="preserve"> </w:t>
      </w:r>
      <w:r>
        <w:t>cultivo</w:t>
      </w:r>
      <w:r>
        <w:rPr>
          <w:spacing w:val="-1"/>
        </w:rPr>
        <w:t xml:space="preserve"> </w:t>
      </w:r>
      <w:r>
        <w:t>de</w:t>
      </w:r>
      <w:r>
        <w:rPr>
          <w:spacing w:val="-1"/>
        </w:rPr>
        <w:t xml:space="preserve"> </w:t>
      </w:r>
      <w:r>
        <w:t>coca</w:t>
      </w:r>
      <w:r>
        <w:rPr>
          <w:spacing w:val="-1"/>
        </w:rPr>
        <w:t xml:space="preserve"> </w:t>
      </w:r>
      <w:r>
        <w:t>hizo</w:t>
      </w:r>
      <w:r>
        <w:rPr>
          <w:spacing w:val="-1"/>
        </w:rPr>
        <w:t xml:space="preserve"> </w:t>
      </w:r>
      <w:r>
        <w:t>que</w:t>
      </w:r>
      <w:r>
        <w:rPr>
          <w:spacing w:val="-1"/>
        </w:rPr>
        <w:t xml:space="preserve"> </w:t>
      </w:r>
      <w:r>
        <w:t>rápidamente</w:t>
      </w:r>
      <w:r>
        <w:rPr>
          <w:spacing w:val="-1"/>
        </w:rPr>
        <w:t xml:space="preserve"> </w:t>
      </w:r>
      <w:r>
        <w:t>esta</w:t>
      </w:r>
      <w:r>
        <w:rPr>
          <w:spacing w:val="-2"/>
        </w:rPr>
        <w:t xml:space="preserve"> </w:t>
      </w:r>
      <w:r>
        <w:t>fuese</w:t>
      </w:r>
      <w:r>
        <w:rPr>
          <w:spacing w:val="-1"/>
        </w:rPr>
        <w:t xml:space="preserve"> </w:t>
      </w:r>
      <w:r>
        <w:t>una</w:t>
      </w:r>
      <w:r>
        <w:rPr>
          <w:spacing w:val="-1"/>
        </w:rPr>
        <w:t xml:space="preserve"> </w:t>
      </w:r>
      <w:r>
        <w:t>opción</w:t>
      </w:r>
      <w:r>
        <w:rPr>
          <w:spacing w:val="-1"/>
        </w:rPr>
        <w:t xml:space="preserve"> </w:t>
      </w:r>
      <w:r>
        <w:t>que</w:t>
      </w:r>
      <w:r>
        <w:rPr>
          <w:spacing w:val="-1"/>
        </w:rPr>
        <w:t xml:space="preserve"> </w:t>
      </w:r>
      <w:r>
        <w:t>tomaron muchas poblaciones para mejorar sus ingresos. A pesar del rechazo que organizaciones campesinas,</w:t>
      </w:r>
      <w:r>
        <w:rPr>
          <w:spacing w:val="-6"/>
        </w:rPr>
        <w:t xml:space="preserve"> </w:t>
      </w:r>
      <w:r>
        <w:t>indígenas</w:t>
      </w:r>
      <w:r>
        <w:rPr>
          <w:spacing w:val="-3"/>
        </w:rPr>
        <w:t xml:space="preserve"> </w:t>
      </w:r>
      <w:r>
        <w:t>y</w:t>
      </w:r>
      <w:r>
        <w:rPr>
          <w:spacing w:val="-5"/>
        </w:rPr>
        <w:t xml:space="preserve"> </w:t>
      </w:r>
      <w:r>
        <w:t>afrodescendientes</w:t>
      </w:r>
      <w:r>
        <w:rPr>
          <w:spacing w:val="-4"/>
        </w:rPr>
        <w:t xml:space="preserve"> </w:t>
      </w:r>
      <w:r>
        <w:t>expresaron</w:t>
      </w:r>
      <w:r>
        <w:rPr>
          <w:spacing w:val="-3"/>
        </w:rPr>
        <w:t xml:space="preserve"> </w:t>
      </w:r>
      <w:r>
        <w:t>frente</w:t>
      </w:r>
      <w:r>
        <w:rPr>
          <w:spacing w:val="-3"/>
        </w:rPr>
        <w:t xml:space="preserve"> </w:t>
      </w:r>
      <w:r>
        <w:t>a</w:t>
      </w:r>
      <w:r>
        <w:rPr>
          <w:spacing w:val="-4"/>
        </w:rPr>
        <w:t xml:space="preserve"> </w:t>
      </w:r>
      <w:r>
        <w:t>la</w:t>
      </w:r>
      <w:r>
        <w:rPr>
          <w:spacing w:val="-4"/>
        </w:rPr>
        <w:t xml:space="preserve"> </w:t>
      </w:r>
      <w:r>
        <w:t>expansión</w:t>
      </w:r>
      <w:r>
        <w:rPr>
          <w:spacing w:val="-3"/>
        </w:rPr>
        <w:t xml:space="preserve"> </w:t>
      </w:r>
      <w:r>
        <w:t>del</w:t>
      </w:r>
      <w:r>
        <w:rPr>
          <w:spacing w:val="-4"/>
        </w:rPr>
        <w:t xml:space="preserve"> </w:t>
      </w:r>
      <w:r>
        <w:t>cultivo,</w:t>
      </w:r>
      <w:r>
        <w:rPr>
          <w:spacing w:val="-3"/>
        </w:rPr>
        <w:t xml:space="preserve"> </w:t>
      </w:r>
      <w:r>
        <w:t>este se extendió, y transformó las formas de vida tradicionales de muchas comunidades. Con el cultivo y procesamiento</w:t>
      </w:r>
      <w:r>
        <w:rPr>
          <w:spacing w:val="-1"/>
        </w:rPr>
        <w:t xml:space="preserve"> </w:t>
      </w:r>
      <w:r>
        <w:t>de las drogas llegaron traficantes de</w:t>
      </w:r>
      <w:r>
        <w:rPr>
          <w:spacing w:val="-1"/>
        </w:rPr>
        <w:t xml:space="preserve"> </w:t>
      </w:r>
      <w:r>
        <w:t>drogas y armas que inyectaron capitales</w:t>
      </w:r>
      <w:r>
        <w:rPr>
          <w:spacing w:val="-9"/>
        </w:rPr>
        <w:t xml:space="preserve"> </w:t>
      </w:r>
      <w:r>
        <w:t>y</w:t>
      </w:r>
      <w:r>
        <w:rPr>
          <w:spacing w:val="-8"/>
        </w:rPr>
        <w:t xml:space="preserve"> </w:t>
      </w:r>
      <w:r>
        <w:t>nuevas</w:t>
      </w:r>
      <w:r>
        <w:rPr>
          <w:spacing w:val="-8"/>
        </w:rPr>
        <w:t xml:space="preserve"> </w:t>
      </w:r>
      <w:r>
        <w:t>reglas</w:t>
      </w:r>
      <w:r>
        <w:rPr>
          <w:spacing w:val="-10"/>
        </w:rPr>
        <w:t xml:space="preserve"> </w:t>
      </w:r>
      <w:r>
        <w:t>de</w:t>
      </w:r>
      <w:r>
        <w:rPr>
          <w:spacing w:val="-8"/>
        </w:rPr>
        <w:t xml:space="preserve"> </w:t>
      </w:r>
      <w:r>
        <w:t>juego</w:t>
      </w:r>
      <w:r>
        <w:rPr>
          <w:spacing w:val="-9"/>
        </w:rPr>
        <w:t xml:space="preserve"> </w:t>
      </w:r>
      <w:r>
        <w:t>en</w:t>
      </w:r>
      <w:r>
        <w:rPr>
          <w:spacing w:val="-9"/>
        </w:rPr>
        <w:t xml:space="preserve"> </w:t>
      </w:r>
      <w:r>
        <w:t>la</w:t>
      </w:r>
      <w:r>
        <w:rPr>
          <w:spacing w:val="-8"/>
        </w:rPr>
        <w:t xml:space="preserve"> </w:t>
      </w:r>
      <w:r>
        <w:t>disputa</w:t>
      </w:r>
      <w:r>
        <w:rPr>
          <w:spacing w:val="-9"/>
        </w:rPr>
        <w:t xml:space="preserve"> </w:t>
      </w:r>
      <w:r>
        <w:t>armada.</w:t>
      </w:r>
      <w:r>
        <w:rPr>
          <w:spacing w:val="-8"/>
        </w:rPr>
        <w:t xml:space="preserve"> </w:t>
      </w:r>
      <w:r>
        <w:t>Fueron</w:t>
      </w:r>
      <w:r>
        <w:rPr>
          <w:spacing w:val="-8"/>
        </w:rPr>
        <w:t xml:space="preserve"> </w:t>
      </w:r>
      <w:r>
        <w:t>los</w:t>
      </w:r>
      <w:r>
        <w:rPr>
          <w:spacing w:val="-8"/>
        </w:rPr>
        <w:t xml:space="preserve"> </w:t>
      </w:r>
      <w:r>
        <w:t>principales</w:t>
      </w:r>
      <w:r>
        <w:rPr>
          <w:spacing w:val="-9"/>
        </w:rPr>
        <w:t xml:space="preserve"> </w:t>
      </w:r>
      <w:r>
        <w:t>financiadores del</w:t>
      </w:r>
      <w:r>
        <w:rPr>
          <w:spacing w:val="-4"/>
        </w:rPr>
        <w:t xml:space="preserve"> </w:t>
      </w:r>
      <w:r>
        <w:t>paramilitarismo</w:t>
      </w:r>
      <w:r>
        <w:rPr>
          <w:spacing w:val="-5"/>
        </w:rPr>
        <w:t xml:space="preserve"> </w:t>
      </w:r>
      <w:r>
        <w:t>y</w:t>
      </w:r>
      <w:r>
        <w:rPr>
          <w:spacing w:val="-6"/>
        </w:rPr>
        <w:t xml:space="preserve"> </w:t>
      </w:r>
      <w:r>
        <w:t>crearon</w:t>
      </w:r>
      <w:r>
        <w:rPr>
          <w:spacing w:val="-5"/>
        </w:rPr>
        <w:t xml:space="preserve"> </w:t>
      </w:r>
      <w:r>
        <w:t>grupos</w:t>
      </w:r>
      <w:r>
        <w:rPr>
          <w:spacing w:val="-6"/>
        </w:rPr>
        <w:t xml:space="preserve"> </w:t>
      </w:r>
      <w:r>
        <w:t>nuevos</w:t>
      </w:r>
      <w:r>
        <w:rPr>
          <w:spacing w:val="-4"/>
        </w:rPr>
        <w:t xml:space="preserve"> </w:t>
      </w:r>
      <w:r>
        <w:t>de</w:t>
      </w:r>
      <w:r>
        <w:rPr>
          <w:spacing w:val="-6"/>
        </w:rPr>
        <w:t xml:space="preserve"> </w:t>
      </w:r>
      <w:r>
        <w:t>paramilitares</w:t>
      </w:r>
      <w:r>
        <w:rPr>
          <w:spacing w:val="-7"/>
        </w:rPr>
        <w:t xml:space="preserve"> </w:t>
      </w:r>
      <w:r>
        <w:t>después</w:t>
      </w:r>
      <w:r>
        <w:rPr>
          <w:spacing w:val="-4"/>
        </w:rPr>
        <w:t xml:space="preserve"> </w:t>
      </w:r>
      <w:r>
        <w:t>de</w:t>
      </w:r>
      <w:r>
        <w:rPr>
          <w:spacing w:val="-4"/>
        </w:rPr>
        <w:t xml:space="preserve"> </w:t>
      </w:r>
      <w:r>
        <w:t>la</w:t>
      </w:r>
      <w:r>
        <w:rPr>
          <w:spacing w:val="-4"/>
        </w:rPr>
        <w:t xml:space="preserve"> </w:t>
      </w:r>
      <w:r>
        <w:t>desmovilización de</w:t>
      </w:r>
      <w:r>
        <w:rPr>
          <w:spacing w:val="-7"/>
        </w:rPr>
        <w:t xml:space="preserve"> </w:t>
      </w:r>
      <w:r>
        <w:t>las</w:t>
      </w:r>
      <w:r>
        <w:rPr>
          <w:spacing w:val="-7"/>
        </w:rPr>
        <w:t xml:space="preserve"> </w:t>
      </w:r>
      <w:r>
        <w:t>AUC,</w:t>
      </w:r>
      <w:r>
        <w:rPr>
          <w:spacing w:val="-5"/>
        </w:rPr>
        <w:t xml:space="preserve"> </w:t>
      </w:r>
      <w:r>
        <w:t>aunque</w:t>
      </w:r>
      <w:r>
        <w:rPr>
          <w:spacing w:val="-7"/>
        </w:rPr>
        <w:t xml:space="preserve"> </w:t>
      </w:r>
      <w:r>
        <w:t>también</w:t>
      </w:r>
      <w:r>
        <w:rPr>
          <w:spacing w:val="-7"/>
        </w:rPr>
        <w:t xml:space="preserve"> </w:t>
      </w:r>
      <w:r>
        <w:t>proveyeron</w:t>
      </w:r>
      <w:r>
        <w:rPr>
          <w:spacing w:val="-7"/>
        </w:rPr>
        <w:t xml:space="preserve"> </w:t>
      </w:r>
      <w:r>
        <w:t>a</w:t>
      </w:r>
      <w:r>
        <w:rPr>
          <w:spacing w:val="-7"/>
        </w:rPr>
        <w:t xml:space="preserve"> </w:t>
      </w:r>
      <w:r>
        <w:t>la</w:t>
      </w:r>
      <w:r>
        <w:rPr>
          <w:spacing w:val="-7"/>
        </w:rPr>
        <w:t xml:space="preserve"> </w:t>
      </w:r>
      <w:r>
        <w:t>guerrilla</w:t>
      </w:r>
      <w:r>
        <w:rPr>
          <w:spacing w:val="-7"/>
        </w:rPr>
        <w:t xml:space="preserve"> </w:t>
      </w:r>
      <w:r>
        <w:t>de</w:t>
      </w:r>
      <w:r>
        <w:rPr>
          <w:spacing w:val="-7"/>
        </w:rPr>
        <w:t xml:space="preserve"> </w:t>
      </w:r>
      <w:r>
        <w:t>nuevos</w:t>
      </w:r>
      <w:r>
        <w:rPr>
          <w:spacing w:val="-7"/>
        </w:rPr>
        <w:t xml:space="preserve"> </w:t>
      </w:r>
      <w:r>
        <w:t>recursos</w:t>
      </w:r>
      <w:r>
        <w:rPr>
          <w:spacing w:val="-8"/>
        </w:rPr>
        <w:t xml:space="preserve"> </w:t>
      </w:r>
      <w:r>
        <w:t>que</w:t>
      </w:r>
      <w:r>
        <w:rPr>
          <w:spacing w:val="-7"/>
        </w:rPr>
        <w:t xml:space="preserve"> </w:t>
      </w:r>
      <w:r>
        <w:t>le</w:t>
      </w:r>
      <w:r>
        <w:rPr>
          <w:spacing w:val="-7"/>
        </w:rPr>
        <w:t xml:space="preserve"> </w:t>
      </w:r>
      <w:r>
        <w:t>permitieron su crecimiento y el aumento de su capacidad bélica en los territorios.</w:t>
      </w:r>
    </w:p>
    <w:p w:rsidR="003804AC" w:rsidRDefault="00AF18A5" w:rsidP="00150E56">
      <w:r>
        <w:t>Junto con sus aliados legales, distintos grupos armados y mafias, hasta el día de hoy, siguen</w:t>
      </w:r>
      <w:r>
        <w:rPr>
          <w:spacing w:val="-15"/>
        </w:rPr>
        <w:t xml:space="preserve"> </w:t>
      </w:r>
      <w:r>
        <w:t>sacando</w:t>
      </w:r>
      <w:r>
        <w:rPr>
          <w:spacing w:val="-15"/>
        </w:rPr>
        <w:t xml:space="preserve"> </w:t>
      </w:r>
      <w:r>
        <w:t>a</w:t>
      </w:r>
      <w:r>
        <w:rPr>
          <w:spacing w:val="-15"/>
        </w:rPr>
        <w:t xml:space="preserve"> </w:t>
      </w:r>
      <w:r>
        <w:t>comunidades</w:t>
      </w:r>
      <w:r>
        <w:rPr>
          <w:spacing w:val="-15"/>
        </w:rPr>
        <w:t xml:space="preserve"> </w:t>
      </w:r>
      <w:r>
        <w:t>enteras</w:t>
      </w:r>
      <w:r>
        <w:rPr>
          <w:spacing w:val="-15"/>
        </w:rPr>
        <w:t xml:space="preserve"> </w:t>
      </w:r>
      <w:r>
        <w:t>y</w:t>
      </w:r>
      <w:r>
        <w:rPr>
          <w:spacing w:val="-15"/>
        </w:rPr>
        <w:t xml:space="preserve"> </w:t>
      </w:r>
      <w:r>
        <w:t>acabando</w:t>
      </w:r>
      <w:r>
        <w:rPr>
          <w:spacing w:val="-15"/>
        </w:rPr>
        <w:t xml:space="preserve"> </w:t>
      </w:r>
      <w:r>
        <w:t>con</w:t>
      </w:r>
      <w:r>
        <w:rPr>
          <w:spacing w:val="-15"/>
        </w:rPr>
        <w:t xml:space="preserve"> </w:t>
      </w:r>
      <w:r>
        <w:t>miles</w:t>
      </w:r>
      <w:r>
        <w:rPr>
          <w:spacing w:val="-15"/>
        </w:rPr>
        <w:t xml:space="preserve"> </w:t>
      </w:r>
      <w:r>
        <w:t>de</w:t>
      </w:r>
      <w:r>
        <w:rPr>
          <w:spacing w:val="-15"/>
        </w:rPr>
        <w:t xml:space="preserve"> </w:t>
      </w:r>
      <w:r>
        <w:t>hectáreas</w:t>
      </w:r>
      <w:r>
        <w:rPr>
          <w:spacing w:val="-14"/>
        </w:rPr>
        <w:t xml:space="preserve"> </w:t>
      </w:r>
      <w:r>
        <w:t>de</w:t>
      </w:r>
      <w:r>
        <w:rPr>
          <w:spacing w:val="-15"/>
        </w:rPr>
        <w:t xml:space="preserve"> </w:t>
      </w:r>
      <w:r>
        <w:t>bosques</w:t>
      </w:r>
      <w:r>
        <w:rPr>
          <w:spacing w:val="-14"/>
        </w:rPr>
        <w:t xml:space="preserve"> </w:t>
      </w:r>
      <w:r>
        <w:t>y</w:t>
      </w:r>
      <w:r>
        <w:rPr>
          <w:spacing w:val="-15"/>
        </w:rPr>
        <w:t xml:space="preserve"> </w:t>
      </w:r>
      <w:r>
        <w:t>selvas para sembrar coca, marihuana y amapola e instalar “cocinas” para la producción y el almacenamiento</w:t>
      </w:r>
      <w:r>
        <w:rPr>
          <w:spacing w:val="-3"/>
        </w:rPr>
        <w:t xml:space="preserve"> </w:t>
      </w:r>
      <w:r>
        <w:t>de</w:t>
      </w:r>
      <w:r>
        <w:rPr>
          <w:spacing w:val="-4"/>
        </w:rPr>
        <w:t xml:space="preserve"> </w:t>
      </w:r>
      <w:r>
        <w:t>estupefacientes.</w:t>
      </w:r>
      <w:r>
        <w:rPr>
          <w:spacing w:val="-4"/>
        </w:rPr>
        <w:t xml:space="preserve"> </w:t>
      </w:r>
      <w:r>
        <w:t>También</w:t>
      </w:r>
      <w:r>
        <w:rPr>
          <w:spacing w:val="-4"/>
        </w:rPr>
        <w:t xml:space="preserve"> </w:t>
      </w:r>
      <w:r>
        <w:t>siguen</w:t>
      </w:r>
      <w:r>
        <w:rPr>
          <w:spacing w:val="-3"/>
        </w:rPr>
        <w:t xml:space="preserve"> </w:t>
      </w:r>
      <w:r>
        <w:t>desplazando</w:t>
      </w:r>
      <w:r>
        <w:rPr>
          <w:spacing w:val="-3"/>
        </w:rPr>
        <w:t xml:space="preserve"> </w:t>
      </w:r>
      <w:r>
        <w:t>a</w:t>
      </w:r>
      <w:r>
        <w:rPr>
          <w:spacing w:val="-4"/>
        </w:rPr>
        <w:t xml:space="preserve"> </w:t>
      </w:r>
      <w:r>
        <w:t>la</w:t>
      </w:r>
      <w:r>
        <w:rPr>
          <w:spacing w:val="-3"/>
        </w:rPr>
        <w:t xml:space="preserve"> </w:t>
      </w:r>
      <w:r>
        <w:t>gente</w:t>
      </w:r>
      <w:r>
        <w:rPr>
          <w:spacing w:val="-3"/>
        </w:rPr>
        <w:t xml:space="preserve"> </w:t>
      </w:r>
      <w:r>
        <w:t>y</w:t>
      </w:r>
      <w:r>
        <w:rPr>
          <w:spacing w:val="-4"/>
        </w:rPr>
        <w:t xml:space="preserve"> </w:t>
      </w:r>
      <w:r>
        <w:t>apoderándose de la tierra para tener</w:t>
      </w:r>
      <w:r>
        <w:rPr>
          <w:spacing w:val="-1"/>
        </w:rPr>
        <w:t xml:space="preserve"> </w:t>
      </w:r>
      <w:r>
        <w:t>corredores</w:t>
      </w:r>
      <w:r>
        <w:rPr>
          <w:spacing w:val="-1"/>
        </w:rPr>
        <w:t xml:space="preserve"> </w:t>
      </w:r>
      <w:r>
        <w:t xml:space="preserve">despejados donde puedan traficar libremente no solamente toneladas de droga, sino también los precursores necesarios para fabricarla. El Pacífico, el Cauca, Nariño, Putumayo, Chocó, Arauca, Bajo Cauca y Catatumbo son algunos </w:t>
      </w:r>
      <w:r>
        <w:lastRenderedPageBreak/>
        <w:t>territorios en los que el desplazamiento continúa.</w:t>
      </w:r>
    </w:p>
    <w:p w:rsidR="003804AC" w:rsidRDefault="00AF18A5" w:rsidP="00150E56">
      <w:r>
        <w:t>Igualmente, siguen teniendo un papel clave como agentes de cambio dentro de la economía</w:t>
      </w:r>
      <w:r>
        <w:rPr>
          <w:spacing w:val="-13"/>
        </w:rPr>
        <w:t xml:space="preserve"> </w:t>
      </w:r>
      <w:r>
        <w:t>legal,</w:t>
      </w:r>
      <w:r>
        <w:rPr>
          <w:spacing w:val="-13"/>
        </w:rPr>
        <w:t xml:space="preserve"> </w:t>
      </w:r>
      <w:r>
        <w:t>pues</w:t>
      </w:r>
      <w:r>
        <w:rPr>
          <w:spacing w:val="-13"/>
        </w:rPr>
        <w:t xml:space="preserve"> </w:t>
      </w:r>
      <w:r>
        <w:t>bajo</w:t>
      </w:r>
      <w:r>
        <w:rPr>
          <w:spacing w:val="-13"/>
        </w:rPr>
        <w:t xml:space="preserve"> </w:t>
      </w:r>
      <w:r>
        <w:t>sus</w:t>
      </w:r>
      <w:r>
        <w:rPr>
          <w:spacing w:val="-13"/>
        </w:rPr>
        <w:t xml:space="preserve"> </w:t>
      </w:r>
      <w:r>
        <w:t>estrategias</w:t>
      </w:r>
      <w:r>
        <w:rPr>
          <w:spacing w:val="-13"/>
        </w:rPr>
        <w:t xml:space="preserve"> </w:t>
      </w:r>
      <w:r>
        <w:t>de</w:t>
      </w:r>
      <w:r>
        <w:rPr>
          <w:spacing w:val="-13"/>
        </w:rPr>
        <w:t xml:space="preserve"> </w:t>
      </w:r>
      <w:r>
        <w:t>diversificación</w:t>
      </w:r>
      <w:r>
        <w:rPr>
          <w:spacing w:val="-13"/>
        </w:rPr>
        <w:t xml:space="preserve"> </w:t>
      </w:r>
      <w:r>
        <w:t>financiera</w:t>
      </w:r>
      <w:r w:rsidR="00150E56">
        <w:rPr>
          <w:rStyle w:val="Refdenotaalpie"/>
        </w:rPr>
        <w:footnoteReference w:id="1067"/>
      </w:r>
      <w:r>
        <w:rPr>
          <w:spacing w:val="-13"/>
        </w:rPr>
        <w:t xml:space="preserve"> </w:t>
      </w:r>
      <w:r>
        <w:t>y</w:t>
      </w:r>
      <w:r>
        <w:rPr>
          <w:spacing w:val="-13"/>
        </w:rPr>
        <w:t xml:space="preserve"> </w:t>
      </w:r>
      <w:r>
        <w:t>lavado</w:t>
      </w:r>
      <w:r>
        <w:rPr>
          <w:spacing w:val="-13"/>
        </w:rPr>
        <w:t xml:space="preserve"> </w:t>
      </w:r>
      <w:r>
        <w:t>de</w:t>
      </w:r>
      <w:r>
        <w:rPr>
          <w:spacing w:val="-13"/>
        </w:rPr>
        <w:t xml:space="preserve"> </w:t>
      </w:r>
      <w:r>
        <w:t>activos siguen</w:t>
      </w:r>
      <w:r>
        <w:rPr>
          <w:spacing w:val="73"/>
        </w:rPr>
        <w:t xml:space="preserve"> </w:t>
      </w:r>
      <w:r>
        <w:t>invirtiendo</w:t>
      </w:r>
      <w:r>
        <w:rPr>
          <w:spacing w:val="75"/>
        </w:rPr>
        <w:t xml:space="preserve"> </w:t>
      </w:r>
      <w:r>
        <w:t>en</w:t>
      </w:r>
      <w:r>
        <w:rPr>
          <w:spacing w:val="74"/>
        </w:rPr>
        <w:t xml:space="preserve"> </w:t>
      </w:r>
      <w:r>
        <w:t>miles</w:t>
      </w:r>
      <w:r>
        <w:rPr>
          <w:spacing w:val="76"/>
        </w:rPr>
        <w:t xml:space="preserve"> </w:t>
      </w:r>
      <w:r>
        <w:t>de</w:t>
      </w:r>
      <w:r>
        <w:rPr>
          <w:spacing w:val="77"/>
        </w:rPr>
        <w:t xml:space="preserve"> </w:t>
      </w:r>
      <w:r>
        <w:t>hectáreas</w:t>
      </w:r>
      <w:r>
        <w:rPr>
          <w:spacing w:val="76"/>
        </w:rPr>
        <w:t xml:space="preserve"> </w:t>
      </w:r>
      <w:r>
        <w:t>de</w:t>
      </w:r>
      <w:r>
        <w:rPr>
          <w:spacing w:val="74"/>
        </w:rPr>
        <w:t xml:space="preserve"> </w:t>
      </w:r>
      <w:r>
        <w:t>tierra</w:t>
      </w:r>
      <w:r>
        <w:rPr>
          <w:spacing w:val="76"/>
        </w:rPr>
        <w:t xml:space="preserve"> </w:t>
      </w:r>
      <w:r>
        <w:t>en</w:t>
      </w:r>
      <w:r>
        <w:rPr>
          <w:spacing w:val="75"/>
        </w:rPr>
        <w:t xml:space="preserve"> </w:t>
      </w:r>
      <w:r>
        <w:t>el</w:t>
      </w:r>
      <w:r>
        <w:rPr>
          <w:spacing w:val="76"/>
        </w:rPr>
        <w:t xml:space="preserve"> </w:t>
      </w:r>
      <w:r>
        <w:t>campo,</w:t>
      </w:r>
      <w:r>
        <w:rPr>
          <w:spacing w:val="74"/>
        </w:rPr>
        <w:t xml:space="preserve"> </w:t>
      </w:r>
      <w:r>
        <w:t>que</w:t>
      </w:r>
      <w:r>
        <w:rPr>
          <w:spacing w:val="76"/>
        </w:rPr>
        <w:t xml:space="preserve"> </w:t>
      </w:r>
      <w:r>
        <w:t>profundizan</w:t>
      </w:r>
      <w:r>
        <w:rPr>
          <w:spacing w:val="76"/>
        </w:rPr>
        <w:t xml:space="preserve"> </w:t>
      </w:r>
      <w:r>
        <w:rPr>
          <w:spacing w:val="-5"/>
        </w:rPr>
        <w:t>la</w:t>
      </w:r>
      <w:bookmarkStart w:id="1318" w:name="_bookmark1170"/>
      <w:bookmarkEnd w:id="1318"/>
      <w:r w:rsidR="00150E56">
        <w:t xml:space="preserve"> </w:t>
      </w:r>
      <w:r>
        <w:t>concentración de la tierra y la transformación de sus usos convirtiendo tierras que originalmente eran propiedad de campesinos y comunidades étnicas –y que se usaban para la producción agrícola– en grandes fincas ganaderas, agroindustriales o de recreo</w:t>
      </w:r>
      <w:r w:rsidR="0021537D">
        <w:rPr>
          <w:rStyle w:val="Refdenotaalpie"/>
        </w:rPr>
        <w:footnoteReference w:id="1068"/>
      </w:r>
      <w:r>
        <w:t>. De igual</w:t>
      </w:r>
      <w:r>
        <w:rPr>
          <w:spacing w:val="-15"/>
        </w:rPr>
        <w:t xml:space="preserve"> </w:t>
      </w:r>
      <w:r>
        <w:t>forma,</w:t>
      </w:r>
      <w:r>
        <w:rPr>
          <w:spacing w:val="-15"/>
        </w:rPr>
        <w:t xml:space="preserve"> </w:t>
      </w:r>
      <w:r>
        <w:t>estos</w:t>
      </w:r>
      <w:r>
        <w:rPr>
          <w:spacing w:val="-15"/>
        </w:rPr>
        <w:t xml:space="preserve"> </w:t>
      </w:r>
      <w:r>
        <w:t>actores</w:t>
      </w:r>
      <w:r>
        <w:rPr>
          <w:spacing w:val="-15"/>
        </w:rPr>
        <w:t xml:space="preserve"> </w:t>
      </w:r>
      <w:r>
        <w:t>se</w:t>
      </w:r>
      <w:r>
        <w:rPr>
          <w:spacing w:val="-15"/>
        </w:rPr>
        <w:t xml:space="preserve"> </w:t>
      </w:r>
      <w:r>
        <w:t>apoderaron</w:t>
      </w:r>
      <w:r>
        <w:rPr>
          <w:spacing w:val="-15"/>
        </w:rPr>
        <w:t xml:space="preserve"> </w:t>
      </w:r>
      <w:r>
        <w:t>–y</w:t>
      </w:r>
      <w:r>
        <w:rPr>
          <w:spacing w:val="-15"/>
        </w:rPr>
        <w:t xml:space="preserve"> </w:t>
      </w:r>
      <w:r>
        <w:t>lo</w:t>
      </w:r>
      <w:r>
        <w:rPr>
          <w:spacing w:val="-15"/>
        </w:rPr>
        <w:t xml:space="preserve"> </w:t>
      </w:r>
      <w:r>
        <w:t>siguen</w:t>
      </w:r>
      <w:r>
        <w:rPr>
          <w:spacing w:val="-15"/>
        </w:rPr>
        <w:t xml:space="preserve"> </w:t>
      </w:r>
      <w:r>
        <w:t>haciendo–</w:t>
      </w:r>
      <w:r>
        <w:rPr>
          <w:spacing w:val="-15"/>
        </w:rPr>
        <w:t xml:space="preserve"> </w:t>
      </w:r>
      <w:r>
        <w:t>de</w:t>
      </w:r>
      <w:r>
        <w:rPr>
          <w:spacing w:val="-15"/>
        </w:rPr>
        <w:t xml:space="preserve"> </w:t>
      </w:r>
      <w:r>
        <w:t>cientos</w:t>
      </w:r>
      <w:r>
        <w:rPr>
          <w:spacing w:val="-15"/>
        </w:rPr>
        <w:t xml:space="preserve"> </w:t>
      </w:r>
      <w:r>
        <w:t>de</w:t>
      </w:r>
      <w:r>
        <w:rPr>
          <w:spacing w:val="-15"/>
        </w:rPr>
        <w:t xml:space="preserve"> </w:t>
      </w:r>
      <w:r>
        <w:t>predios</w:t>
      </w:r>
      <w:r>
        <w:rPr>
          <w:spacing w:val="-15"/>
        </w:rPr>
        <w:t xml:space="preserve"> </w:t>
      </w:r>
      <w:r>
        <w:t>urbanos para montar negocios legales.</w:t>
      </w:r>
    </w:p>
    <w:p w:rsidR="003804AC" w:rsidRDefault="00AF18A5" w:rsidP="00150E56">
      <w:r>
        <w:t>Otro</w:t>
      </w:r>
      <w:r>
        <w:rPr>
          <w:spacing w:val="-6"/>
        </w:rPr>
        <w:t xml:space="preserve"> </w:t>
      </w:r>
      <w:r>
        <w:t>efecto</w:t>
      </w:r>
      <w:r>
        <w:rPr>
          <w:spacing w:val="-7"/>
        </w:rPr>
        <w:t xml:space="preserve"> </w:t>
      </w:r>
      <w:r>
        <w:t>del</w:t>
      </w:r>
      <w:r>
        <w:rPr>
          <w:spacing w:val="-5"/>
        </w:rPr>
        <w:t xml:space="preserve"> </w:t>
      </w:r>
      <w:r>
        <w:t>narcotráfico</w:t>
      </w:r>
      <w:r>
        <w:rPr>
          <w:spacing w:val="-6"/>
        </w:rPr>
        <w:t xml:space="preserve"> </w:t>
      </w:r>
      <w:r>
        <w:t>sobre</w:t>
      </w:r>
      <w:r>
        <w:rPr>
          <w:spacing w:val="-7"/>
        </w:rPr>
        <w:t xml:space="preserve"> </w:t>
      </w:r>
      <w:r>
        <w:t>la</w:t>
      </w:r>
      <w:r>
        <w:rPr>
          <w:spacing w:val="-7"/>
        </w:rPr>
        <w:t xml:space="preserve"> </w:t>
      </w:r>
      <w:r>
        <w:t>reconfiguración</w:t>
      </w:r>
      <w:r>
        <w:rPr>
          <w:spacing w:val="-6"/>
        </w:rPr>
        <w:t xml:space="preserve"> </w:t>
      </w:r>
      <w:r>
        <w:t>del</w:t>
      </w:r>
      <w:r>
        <w:rPr>
          <w:spacing w:val="-7"/>
        </w:rPr>
        <w:t xml:space="preserve"> </w:t>
      </w:r>
      <w:r>
        <w:t>territorio</w:t>
      </w:r>
      <w:r>
        <w:rPr>
          <w:spacing w:val="-6"/>
        </w:rPr>
        <w:t xml:space="preserve"> </w:t>
      </w:r>
      <w:r>
        <w:t>ha</w:t>
      </w:r>
      <w:r>
        <w:rPr>
          <w:spacing w:val="-6"/>
        </w:rPr>
        <w:t xml:space="preserve"> </w:t>
      </w:r>
      <w:r>
        <w:t>estado</w:t>
      </w:r>
      <w:r>
        <w:rPr>
          <w:spacing w:val="-6"/>
        </w:rPr>
        <w:t xml:space="preserve"> </w:t>
      </w:r>
      <w:r>
        <w:t>asociado</w:t>
      </w:r>
      <w:r>
        <w:rPr>
          <w:spacing w:val="-7"/>
        </w:rPr>
        <w:t xml:space="preserve"> </w:t>
      </w:r>
      <w:r>
        <w:t>con las aspersiones de agentes químicos para la erradicación de cultivos de coca, marihuana y amapola, que han causado desplazamientos y migraciones, así como cambios en el uso de los</w:t>
      </w:r>
      <w:r>
        <w:rPr>
          <w:spacing w:val="-14"/>
        </w:rPr>
        <w:t xml:space="preserve"> </w:t>
      </w:r>
      <w:r>
        <w:t>suelos.</w:t>
      </w:r>
      <w:r>
        <w:rPr>
          <w:spacing w:val="-14"/>
        </w:rPr>
        <w:t xml:space="preserve"> </w:t>
      </w:r>
      <w:r>
        <w:t>La</w:t>
      </w:r>
      <w:r>
        <w:rPr>
          <w:spacing w:val="-14"/>
        </w:rPr>
        <w:t xml:space="preserve"> </w:t>
      </w:r>
      <w:r>
        <w:t>política</w:t>
      </w:r>
      <w:r>
        <w:rPr>
          <w:spacing w:val="-14"/>
        </w:rPr>
        <w:t xml:space="preserve"> </w:t>
      </w:r>
      <w:r>
        <w:t>antidrogas</w:t>
      </w:r>
      <w:r>
        <w:rPr>
          <w:spacing w:val="-15"/>
        </w:rPr>
        <w:t xml:space="preserve"> </w:t>
      </w:r>
      <w:r>
        <w:t>también</w:t>
      </w:r>
      <w:r>
        <w:rPr>
          <w:spacing w:val="-14"/>
        </w:rPr>
        <w:t xml:space="preserve"> </w:t>
      </w:r>
      <w:r>
        <w:t>ha</w:t>
      </w:r>
      <w:r>
        <w:rPr>
          <w:spacing w:val="-15"/>
        </w:rPr>
        <w:t xml:space="preserve"> </w:t>
      </w:r>
      <w:r>
        <w:t>estado</w:t>
      </w:r>
      <w:r>
        <w:rPr>
          <w:spacing w:val="-14"/>
        </w:rPr>
        <w:t xml:space="preserve"> </w:t>
      </w:r>
      <w:r>
        <w:t>aparejada</w:t>
      </w:r>
      <w:r>
        <w:rPr>
          <w:spacing w:val="-15"/>
        </w:rPr>
        <w:t xml:space="preserve"> </w:t>
      </w:r>
      <w:r>
        <w:t>a</w:t>
      </w:r>
      <w:r>
        <w:rPr>
          <w:spacing w:val="-14"/>
        </w:rPr>
        <w:t xml:space="preserve"> </w:t>
      </w:r>
      <w:r>
        <w:t>la</w:t>
      </w:r>
      <w:r>
        <w:rPr>
          <w:spacing w:val="-14"/>
        </w:rPr>
        <w:t xml:space="preserve"> </w:t>
      </w:r>
      <w:r>
        <w:t>militarización</w:t>
      </w:r>
      <w:r>
        <w:rPr>
          <w:spacing w:val="-14"/>
        </w:rPr>
        <w:t xml:space="preserve"> </w:t>
      </w:r>
      <w:r>
        <w:t>del</w:t>
      </w:r>
      <w:r>
        <w:rPr>
          <w:spacing w:val="-15"/>
        </w:rPr>
        <w:t xml:space="preserve"> </w:t>
      </w:r>
      <w:r>
        <w:t>territorio y la transformación de la vida de las poblaciones, especialmente con la implementación del Plan Colombia</w:t>
      </w:r>
      <w:r w:rsidR="0021537D">
        <w:rPr>
          <w:rStyle w:val="Refdenotaalpie"/>
        </w:rPr>
        <w:footnoteReference w:id="1069"/>
      </w:r>
      <w:r>
        <w:t>. La aspersión aérea con glifosato trajo consigo múltiples conflictos y profundos impactos en la salud de las comunidades y el medio ambiente, y conflictos entre los</w:t>
      </w:r>
      <w:r>
        <w:rPr>
          <w:spacing w:val="-1"/>
        </w:rPr>
        <w:t xml:space="preserve"> </w:t>
      </w:r>
      <w:r>
        <w:t>campesinos</w:t>
      </w:r>
      <w:r>
        <w:rPr>
          <w:spacing w:val="-1"/>
        </w:rPr>
        <w:t xml:space="preserve"> </w:t>
      </w:r>
      <w:r>
        <w:t>cultivadores</w:t>
      </w:r>
      <w:r>
        <w:rPr>
          <w:spacing w:val="-1"/>
        </w:rPr>
        <w:t xml:space="preserve"> </w:t>
      </w:r>
      <w:r>
        <w:t>de</w:t>
      </w:r>
      <w:r>
        <w:rPr>
          <w:spacing w:val="-2"/>
        </w:rPr>
        <w:t xml:space="preserve"> </w:t>
      </w:r>
      <w:r>
        <w:t>coca</w:t>
      </w:r>
      <w:r>
        <w:rPr>
          <w:spacing w:val="-2"/>
        </w:rPr>
        <w:t xml:space="preserve"> </w:t>
      </w:r>
      <w:r>
        <w:t>con</w:t>
      </w:r>
      <w:r>
        <w:rPr>
          <w:spacing w:val="-1"/>
        </w:rPr>
        <w:t xml:space="preserve"> </w:t>
      </w:r>
      <w:r>
        <w:t>la</w:t>
      </w:r>
      <w:r>
        <w:rPr>
          <w:spacing w:val="-1"/>
        </w:rPr>
        <w:t xml:space="preserve"> </w:t>
      </w:r>
      <w:r>
        <w:t>fuerza</w:t>
      </w:r>
      <w:r>
        <w:rPr>
          <w:spacing w:val="-1"/>
        </w:rPr>
        <w:t xml:space="preserve"> </w:t>
      </w:r>
      <w:r>
        <w:t>pública</w:t>
      </w:r>
      <w:r>
        <w:rPr>
          <w:spacing w:val="-1"/>
        </w:rPr>
        <w:t xml:space="preserve"> </w:t>
      </w:r>
      <w:r>
        <w:t>por</w:t>
      </w:r>
      <w:r>
        <w:rPr>
          <w:spacing w:val="-1"/>
        </w:rPr>
        <w:t xml:space="preserve"> </w:t>
      </w:r>
      <w:r>
        <w:t>la</w:t>
      </w:r>
      <w:r>
        <w:rPr>
          <w:spacing w:val="-2"/>
        </w:rPr>
        <w:t xml:space="preserve"> </w:t>
      </w:r>
      <w:r>
        <w:t>erradicación</w:t>
      </w:r>
      <w:r>
        <w:rPr>
          <w:spacing w:val="-1"/>
        </w:rPr>
        <w:t xml:space="preserve"> </w:t>
      </w:r>
      <w:r>
        <w:t>forzada</w:t>
      </w:r>
      <w:r>
        <w:rPr>
          <w:spacing w:val="-2"/>
        </w:rPr>
        <w:t xml:space="preserve"> </w:t>
      </w:r>
      <w:r>
        <w:t>de</w:t>
      </w:r>
      <w:r>
        <w:rPr>
          <w:spacing w:val="-1"/>
        </w:rPr>
        <w:t xml:space="preserve"> </w:t>
      </w:r>
      <w:r>
        <w:t xml:space="preserve">los </w:t>
      </w:r>
      <w:r>
        <w:rPr>
          <w:spacing w:val="-2"/>
        </w:rPr>
        <w:t>cultivos.</w:t>
      </w:r>
    </w:p>
    <w:p w:rsidR="003804AC" w:rsidRDefault="00AF18A5" w:rsidP="0021537D">
      <w:r>
        <w:t>La</w:t>
      </w:r>
      <w:r>
        <w:rPr>
          <w:spacing w:val="-2"/>
        </w:rPr>
        <w:t xml:space="preserve"> </w:t>
      </w:r>
      <w:r>
        <w:t>parte</w:t>
      </w:r>
      <w:r>
        <w:rPr>
          <w:spacing w:val="-2"/>
        </w:rPr>
        <w:t xml:space="preserve"> </w:t>
      </w:r>
      <w:r>
        <w:t>más</w:t>
      </w:r>
      <w:r>
        <w:rPr>
          <w:spacing w:val="-2"/>
        </w:rPr>
        <w:t xml:space="preserve"> </w:t>
      </w:r>
      <w:r>
        <w:t>importante</w:t>
      </w:r>
      <w:r>
        <w:rPr>
          <w:spacing w:val="-2"/>
        </w:rPr>
        <w:t xml:space="preserve"> </w:t>
      </w:r>
      <w:r>
        <w:t>del</w:t>
      </w:r>
      <w:r>
        <w:rPr>
          <w:spacing w:val="-2"/>
        </w:rPr>
        <w:t xml:space="preserve"> </w:t>
      </w:r>
      <w:r>
        <w:t>narcotráfico</w:t>
      </w:r>
      <w:r>
        <w:rPr>
          <w:spacing w:val="-2"/>
        </w:rPr>
        <w:t xml:space="preserve"> </w:t>
      </w:r>
      <w:r>
        <w:t>es</w:t>
      </w:r>
      <w:r>
        <w:rPr>
          <w:spacing w:val="-3"/>
        </w:rPr>
        <w:t xml:space="preserve"> </w:t>
      </w:r>
      <w:r>
        <w:t>el</w:t>
      </w:r>
      <w:r>
        <w:rPr>
          <w:spacing w:val="-2"/>
        </w:rPr>
        <w:t xml:space="preserve"> </w:t>
      </w:r>
      <w:r>
        <w:t>tránsito</w:t>
      </w:r>
      <w:r>
        <w:rPr>
          <w:spacing w:val="-2"/>
        </w:rPr>
        <w:t xml:space="preserve"> </w:t>
      </w:r>
      <w:r>
        <w:t>del</w:t>
      </w:r>
      <w:r>
        <w:rPr>
          <w:spacing w:val="-2"/>
        </w:rPr>
        <w:t xml:space="preserve"> </w:t>
      </w:r>
      <w:r>
        <w:t>dinero</w:t>
      </w:r>
      <w:r>
        <w:rPr>
          <w:spacing w:val="-2"/>
        </w:rPr>
        <w:t xml:space="preserve"> </w:t>
      </w:r>
      <w:r>
        <w:t>ilegal</w:t>
      </w:r>
      <w:r>
        <w:rPr>
          <w:spacing w:val="-2"/>
        </w:rPr>
        <w:t xml:space="preserve"> </w:t>
      </w:r>
      <w:r>
        <w:t>a</w:t>
      </w:r>
      <w:r>
        <w:rPr>
          <w:spacing w:val="-3"/>
        </w:rPr>
        <w:t xml:space="preserve"> </w:t>
      </w:r>
      <w:r>
        <w:lastRenderedPageBreak/>
        <w:t>dinero</w:t>
      </w:r>
      <w:r>
        <w:rPr>
          <w:spacing w:val="-2"/>
        </w:rPr>
        <w:t xml:space="preserve"> </w:t>
      </w:r>
      <w:r>
        <w:t>legal.</w:t>
      </w:r>
      <w:r>
        <w:rPr>
          <w:spacing w:val="-3"/>
        </w:rPr>
        <w:t xml:space="preserve"> </w:t>
      </w:r>
      <w:r>
        <w:t>La posibilidad ha cambiado no solo la estructura productiva y monetaria de Colombia sino del mundo. Y este tránsito ha tenido como epicentro las infraestructuras urbanas (del sector financiero,</w:t>
      </w:r>
      <w:r>
        <w:rPr>
          <w:spacing w:val="-2"/>
        </w:rPr>
        <w:t xml:space="preserve"> </w:t>
      </w:r>
      <w:r>
        <w:t>inmobiliario</w:t>
      </w:r>
      <w:r>
        <w:rPr>
          <w:spacing w:val="-2"/>
        </w:rPr>
        <w:t xml:space="preserve"> </w:t>
      </w:r>
      <w:r>
        <w:t>y</w:t>
      </w:r>
      <w:r>
        <w:rPr>
          <w:spacing w:val="-1"/>
        </w:rPr>
        <w:t xml:space="preserve"> </w:t>
      </w:r>
      <w:r>
        <w:t>de</w:t>
      </w:r>
      <w:r>
        <w:rPr>
          <w:spacing w:val="-1"/>
        </w:rPr>
        <w:t xml:space="preserve"> </w:t>
      </w:r>
      <w:r>
        <w:t>obras</w:t>
      </w:r>
      <w:r>
        <w:rPr>
          <w:spacing w:val="-1"/>
        </w:rPr>
        <w:t xml:space="preserve"> </w:t>
      </w:r>
      <w:r>
        <w:t>públicas)</w:t>
      </w:r>
      <w:r w:rsidR="0021537D">
        <w:rPr>
          <w:rStyle w:val="Refdenotaalpie"/>
        </w:rPr>
        <w:footnoteReference w:id="1070"/>
      </w:r>
      <w:r>
        <w:t>.</w:t>
      </w:r>
      <w:r>
        <w:rPr>
          <w:spacing w:val="-1"/>
        </w:rPr>
        <w:t xml:space="preserve"> </w:t>
      </w:r>
      <w:r>
        <w:t>Revisando</w:t>
      </w:r>
      <w:r>
        <w:rPr>
          <w:spacing w:val="-1"/>
        </w:rPr>
        <w:t xml:space="preserve"> </w:t>
      </w:r>
      <w:r>
        <w:t>los</w:t>
      </w:r>
      <w:r>
        <w:rPr>
          <w:spacing w:val="-2"/>
        </w:rPr>
        <w:t xml:space="preserve"> </w:t>
      </w:r>
      <w:r>
        <w:t>datos,</w:t>
      </w:r>
      <w:r>
        <w:rPr>
          <w:spacing w:val="-1"/>
        </w:rPr>
        <w:t xml:space="preserve"> </w:t>
      </w:r>
      <w:r>
        <w:t>la</w:t>
      </w:r>
      <w:r>
        <w:rPr>
          <w:spacing w:val="-1"/>
        </w:rPr>
        <w:t xml:space="preserve"> </w:t>
      </w:r>
      <w:r>
        <w:t>Comisión</w:t>
      </w:r>
      <w:r>
        <w:rPr>
          <w:spacing w:val="-2"/>
        </w:rPr>
        <w:t xml:space="preserve"> </w:t>
      </w:r>
      <w:r>
        <w:t>encontró que hay un flujo de operaciones significativo para Valle del Cauca y Risaralda desde otros países de América, teniendo en cuenta el tamaño económico de estos departamentos. El análisis</w:t>
      </w:r>
      <w:r>
        <w:rPr>
          <w:spacing w:val="3"/>
        </w:rPr>
        <w:t xml:space="preserve"> </w:t>
      </w:r>
      <w:r>
        <w:t>por</w:t>
      </w:r>
      <w:r>
        <w:rPr>
          <w:spacing w:val="6"/>
        </w:rPr>
        <w:t xml:space="preserve"> </w:t>
      </w:r>
      <w:r>
        <w:t>municipio</w:t>
      </w:r>
      <w:r>
        <w:rPr>
          <w:spacing w:val="7"/>
        </w:rPr>
        <w:t xml:space="preserve"> </w:t>
      </w:r>
      <w:r>
        <w:t>de</w:t>
      </w:r>
      <w:r>
        <w:rPr>
          <w:spacing w:val="7"/>
        </w:rPr>
        <w:t xml:space="preserve"> </w:t>
      </w:r>
      <w:r>
        <w:t>destino</w:t>
      </w:r>
      <w:r>
        <w:rPr>
          <w:spacing w:val="6"/>
        </w:rPr>
        <w:t xml:space="preserve"> </w:t>
      </w:r>
      <w:r>
        <w:t>muestra</w:t>
      </w:r>
      <w:r>
        <w:rPr>
          <w:spacing w:val="6"/>
        </w:rPr>
        <w:t xml:space="preserve"> </w:t>
      </w:r>
      <w:r>
        <w:t>que</w:t>
      </w:r>
      <w:r>
        <w:rPr>
          <w:spacing w:val="5"/>
        </w:rPr>
        <w:t xml:space="preserve"> </w:t>
      </w:r>
      <w:r>
        <w:t>las</w:t>
      </w:r>
      <w:r>
        <w:rPr>
          <w:spacing w:val="7"/>
        </w:rPr>
        <w:t xml:space="preserve"> </w:t>
      </w:r>
      <w:r>
        <w:t>capitales</w:t>
      </w:r>
      <w:r>
        <w:rPr>
          <w:spacing w:val="5"/>
        </w:rPr>
        <w:t xml:space="preserve"> </w:t>
      </w:r>
      <w:r>
        <w:t>principales</w:t>
      </w:r>
      <w:r>
        <w:rPr>
          <w:spacing w:val="6"/>
        </w:rPr>
        <w:t xml:space="preserve"> </w:t>
      </w:r>
      <w:r>
        <w:t>presentan</w:t>
      </w:r>
      <w:r>
        <w:rPr>
          <w:spacing w:val="7"/>
        </w:rPr>
        <w:t xml:space="preserve"> </w:t>
      </w:r>
      <w:r>
        <w:t>el</w:t>
      </w:r>
      <w:r>
        <w:rPr>
          <w:spacing w:val="6"/>
        </w:rPr>
        <w:t xml:space="preserve"> </w:t>
      </w:r>
      <w:r>
        <w:rPr>
          <w:spacing w:val="-2"/>
        </w:rPr>
        <w:t>número</w:t>
      </w:r>
      <w:bookmarkStart w:id="1319" w:name="_bookmark1171"/>
      <w:bookmarkStart w:id="1320" w:name="_bookmark1172"/>
      <w:bookmarkStart w:id="1321" w:name="_bookmark1173"/>
      <w:bookmarkEnd w:id="1319"/>
      <w:bookmarkEnd w:id="1320"/>
      <w:bookmarkEnd w:id="1321"/>
      <w:r w:rsidR="0021537D">
        <w:t xml:space="preserve"> </w:t>
      </w:r>
      <w:r>
        <w:t>de</w:t>
      </w:r>
      <w:r>
        <w:rPr>
          <w:spacing w:val="-5"/>
        </w:rPr>
        <w:t xml:space="preserve"> </w:t>
      </w:r>
      <w:r>
        <w:t>operaciones</w:t>
      </w:r>
      <w:r>
        <w:rPr>
          <w:spacing w:val="-5"/>
        </w:rPr>
        <w:t xml:space="preserve"> </w:t>
      </w:r>
      <w:r>
        <w:t>más</w:t>
      </w:r>
      <w:r>
        <w:rPr>
          <w:spacing w:val="-6"/>
        </w:rPr>
        <w:t xml:space="preserve"> </w:t>
      </w:r>
      <w:r>
        <w:t>alto</w:t>
      </w:r>
      <w:r>
        <w:rPr>
          <w:spacing w:val="-6"/>
        </w:rPr>
        <w:t xml:space="preserve"> </w:t>
      </w:r>
      <w:r>
        <w:t>–Bogotá,</w:t>
      </w:r>
      <w:r>
        <w:rPr>
          <w:spacing w:val="-5"/>
        </w:rPr>
        <w:t xml:space="preserve"> </w:t>
      </w:r>
      <w:r>
        <w:t>Cali</w:t>
      </w:r>
      <w:r>
        <w:rPr>
          <w:spacing w:val="-4"/>
        </w:rPr>
        <w:t xml:space="preserve"> </w:t>
      </w:r>
      <w:r>
        <w:t>y</w:t>
      </w:r>
      <w:r>
        <w:rPr>
          <w:spacing w:val="-6"/>
        </w:rPr>
        <w:t xml:space="preserve"> </w:t>
      </w:r>
      <w:r>
        <w:t>Medellín–.</w:t>
      </w:r>
      <w:r>
        <w:rPr>
          <w:spacing w:val="-5"/>
        </w:rPr>
        <w:t xml:space="preserve"> </w:t>
      </w:r>
      <w:r>
        <w:t>Sin</w:t>
      </w:r>
      <w:r>
        <w:rPr>
          <w:spacing w:val="-5"/>
        </w:rPr>
        <w:t xml:space="preserve"> </w:t>
      </w:r>
      <w:r>
        <w:t>embargo,</w:t>
      </w:r>
      <w:r>
        <w:rPr>
          <w:spacing w:val="-5"/>
        </w:rPr>
        <w:t xml:space="preserve"> </w:t>
      </w:r>
      <w:r>
        <w:t>salta</w:t>
      </w:r>
      <w:r>
        <w:rPr>
          <w:spacing w:val="-6"/>
        </w:rPr>
        <w:t xml:space="preserve"> </w:t>
      </w:r>
      <w:r>
        <w:t>a</w:t>
      </w:r>
      <w:r>
        <w:rPr>
          <w:spacing w:val="-6"/>
        </w:rPr>
        <w:t xml:space="preserve"> </w:t>
      </w:r>
      <w:r>
        <w:t>la</w:t>
      </w:r>
      <w:r>
        <w:rPr>
          <w:spacing w:val="-5"/>
        </w:rPr>
        <w:t xml:space="preserve"> </w:t>
      </w:r>
      <w:r>
        <w:t>vista</w:t>
      </w:r>
      <w:r>
        <w:rPr>
          <w:spacing w:val="-5"/>
        </w:rPr>
        <w:t xml:space="preserve"> </w:t>
      </w:r>
      <w:r>
        <w:t>que</w:t>
      </w:r>
      <w:r>
        <w:rPr>
          <w:spacing w:val="-6"/>
        </w:rPr>
        <w:t xml:space="preserve"> </w:t>
      </w:r>
      <w:r>
        <w:t>Pereira ocupa el cuarto puesto –por encima de Barranquilla– y que Candelaria y Palmira (Valle del Cauca) reciben más transacciones que Armenia, Bucaramanga y Manizales. Es interesante mostrar entonces que Pereira se ubica en los primeros lugares entre el 2000 y el 2005. También</w:t>
      </w:r>
      <w:r>
        <w:rPr>
          <w:spacing w:val="-6"/>
        </w:rPr>
        <w:t xml:space="preserve"> </w:t>
      </w:r>
      <w:r>
        <w:t>es</w:t>
      </w:r>
      <w:r>
        <w:rPr>
          <w:spacing w:val="-7"/>
        </w:rPr>
        <w:t xml:space="preserve"> </w:t>
      </w:r>
      <w:r>
        <w:t>interesante</w:t>
      </w:r>
      <w:r>
        <w:rPr>
          <w:spacing w:val="-6"/>
        </w:rPr>
        <w:t xml:space="preserve"> </w:t>
      </w:r>
      <w:r>
        <w:t>que</w:t>
      </w:r>
      <w:r>
        <w:rPr>
          <w:spacing w:val="-6"/>
        </w:rPr>
        <w:t xml:space="preserve"> </w:t>
      </w:r>
      <w:r>
        <w:t>municipios</w:t>
      </w:r>
      <w:r>
        <w:rPr>
          <w:spacing w:val="-6"/>
        </w:rPr>
        <w:t xml:space="preserve"> </w:t>
      </w:r>
      <w:r>
        <w:t>como</w:t>
      </w:r>
      <w:r>
        <w:rPr>
          <w:spacing w:val="-6"/>
        </w:rPr>
        <w:t xml:space="preserve"> </w:t>
      </w:r>
      <w:r>
        <w:t>Puerto</w:t>
      </w:r>
      <w:r>
        <w:rPr>
          <w:spacing w:val="-6"/>
        </w:rPr>
        <w:t xml:space="preserve"> </w:t>
      </w:r>
      <w:r>
        <w:t>Asís,</w:t>
      </w:r>
      <w:r>
        <w:rPr>
          <w:spacing w:val="-6"/>
        </w:rPr>
        <w:t xml:space="preserve"> </w:t>
      </w:r>
      <w:r>
        <w:t>La</w:t>
      </w:r>
      <w:r>
        <w:rPr>
          <w:spacing w:val="-7"/>
        </w:rPr>
        <w:t xml:space="preserve"> </w:t>
      </w:r>
      <w:r>
        <w:t>Unión,</w:t>
      </w:r>
      <w:r>
        <w:rPr>
          <w:spacing w:val="-6"/>
        </w:rPr>
        <w:t xml:space="preserve"> </w:t>
      </w:r>
      <w:r>
        <w:t>Armenia</w:t>
      </w:r>
      <w:r>
        <w:rPr>
          <w:spacing w:val="-6"/>
        </w:rPr>
        <w:t xml:space="preserve"> </w:t>
      </w:r>
      <w:r>
        <w:t>(Antioquia)</w:t>
      </w:r>
      <w:r>
        <w:rPr>
          <w:spacing w:val="-5"/>
        </w:rPr>
        <w:t xml:space="preserve"> </w:t>
      </w:r>
      <w:r>
        <w:t>y Villagómez</w:t>
      </w:r>
      <w:r>
        <w:rPr>
          <w:spacing w:val="-15"/>
        </w:rPr>
        <w:t xml:space="preserve"> </w:t>
      </w:r>
      <w:r>
        <w:t>(Cundinamarca)</w:t>
      </w:r>
      <w:r>
        <w:rPr>
          <w:spacing w:val="-15"/>
        </w:rPr>
        <w:t xml:space="preserve"> </w:t>
      </w:r>
      <w:r>
        <w:t>presenten</w:t>
      </w:r>
      <w:r>
        <w:rPr>
          <w:spacing w:val="-15"/>
        </w:rPr>
        <w:t xml:space="preserve"> </w:t>
      </w:r>
      <w:r>
        <w:t>tasas</w:t>
      </w:r>
      <w:r>
        <w:rPr>
          <w:spacing w:val="-15"/>
        </w:rPr>
        <w:t xml:space="preserve"> </w:t>
      </w:r>
      <w:r>
        <w:t>tan</w:t>
      </w:r>
      <w:r>
        <w:rPr>
          <w:spacing w:val="-15"/>
        </w:rPr>
        <w:t xml:space="preserve"> </w:t>
      </w:r>
      <w:r>
        <w:t>altas</w:t>
      </w:r>
      <w:r>
        <w:rPr>
          <w:spacing w:val="-15"/>
        </w:rPr>
        <w:t xml:space="preserve"> </w:t>
      </w:r>
      <w:r>
        <w:t>de</w:t>
      </w:r>
      <w:r>
        <w:rPr>
          <w:spacing w:val="-15"/>
        </w:rPr>
        <w:t xml:space="preserve"> </w:t>
      </w:r>
      <w:r>
        <w:t>reportes,</w:t>
      </w:r>
      <w:r>
        <w:rPr>
          <w:spacing w:val="-15"/>
        </w:rPr>
        <w:t xml:space="preserve"> </w:t>
      </w:r>
      <w:r>
        <w:t>aún</w:t>
      </w:r>
      <w:r>
        <w:rPr>
          <w:spacing w:val="-15"/>
        </w:rPr>
        <w:t xml:space="preserve"> </w:t>
      </w:r>
      <w:r>
        <w:t>por</w:t>
      </w:r>
      <w:r>
        <w:rPr>
          <w:spacing w:val="-15"/>
        </w:rPr>
        <w:t xml:space="preserve"> </w:t>
      </w:r>
      <w:r>
        <w:t>encima</w:t>
      </w:r>
      <w:r>
        <w:rPr>
          <w:spacing w:val="-15"/>
        </w:rPr>
        <w:t xml:space="preserve"> </w:t>
      </w:r>
      <w:r>
        <w:t>de</w:t>
      </w:r>
      <w:r>
        <w:rPr>
          <w:spacing w:val="-15"/>
        </w:rPr>
        <w:t xml:space="preserve"> </w:t>
      </w:r>
      <w:r>
        <w:t>ciudades como Cali. En el 2010, el protagonismo lo obtuvo Armenia</w:t>
      </w:r>
      <w:r w:rsidR="0021537D">
        <w:rPr>
          <w:rStyle w:val="Refdenotaalpie"/>
        </w:rPr>
        <w:footnoteReference w:id="1071"/>
      </w:r>
      <w:r>
        <w:t>.</w:t>
      </w:r>
    </w:p>
    <w:p w:rsidR="003804AC" w:rsidRDefault="00AF18A5" w:rsidP="0021537D">
      <w:r>
        <w:t>El</w:t>
      </w:r>
      <w:r>
        <w:rPr>
          <w:spacing w:val="-2"/>
        </w:rPr>
        <w:t xml:space="preserve"> </w:t>
      </w:r>
      <w:r>
        <w:t>fenómeno</w:t>
      </w:r>
      <w:r>
        <w:rPr>
          <w:spacing w:val="-2"/>
        </w:rPr>
        <w:t xml:space="preserve"> </w:t>
      </w:r>
      <w:r>
        <w:t>del</w:t>
      </w:r>
      <w:r>
        <w:rPr>
          <w:spacing w:val="-2"/>
        </w:rPr>
        <w:t xml:space="preserve"> </w:t>
      </w:r>
      <w:r>
        <w:t>narcotráfico</w:t>
      </w:r>
      <w:r>
        <w:rPr>
          <w:spacing w:val="-3"/>
        </w:rPr>
        <w:t xml:space="preserve"> </w:t>
      </w:r>
      <w:r>
        <w:t>incluso</w:t>
      </w:r>
      <w:r>
        <w:rPr>
          <w:spacing w:val="-2"/>
        </w:rPr>
        <w:t xml:space="preserve"> </w:t>
      </w:r>
      <w:r>
        <w:t>ha</w:t>
      </w:r>
      <w:r>
        <w:rPr>
          <w:spacing w:val="-2"/>
        </w:rPr>
        <w:t xml:space="preserve"> </w:t>
      </w:r>
      <w:r>
        <w:t>transformado</w:t>
      </w:r>
      <w:r>
        <w:rPr>
          <w:spacing w:val="-2"/>
        </w:rPr>
        <w:t xml:space="preserve"> </w:t>
      </w:r>
      <w:r>
        <w:t>el</w:t>
      </w:r>
      <w:r>
        <w:rPr>
          <w:spacing w:val="-2"/>
        </w:rPr>
        <w:t xml:space="preserve"> </w:t>
      </w:r>
      <w:r>
        <w:t>diseño</w:t>
      </w:r>
      <w:r>
        <w:rPr>
          <w:spacing w:val="-2"/>
        </w:rPr>
        <w:t xml:space="preserve"> </w:t>
      </w:r>
      <w:r>
        <w:t>de</w:t>
      </w:r>
      <w:r>
        <w:rPr>
          <w:spacing w:val="-2"/>
        </w:rPr>
        <w:t xml:space="preserve"> </w:t>
      </w:r>
      <w:r>
        <w:t>las</w:t>
      </w:r>
      <w:r>
        <w:rPr>
          <w:spacing w:val="-2"/>
        </w:rPr>
        <w:t xml:space="preserve"> </w:t>
      </w:r>
      <w:r>
        <w:t>ciudades.</w:t>
      </w:r>
      <w:r>
        <w:rPr>
          <w:spacing w:val="-2"/>
        </w:rPr>
        <w:t xml:space="preserve"> </w:t>
      </w:r>
      <w:r>
        <w:t xml:space="preserve">Algunas investigaciones, por ejemplo, han señalado el influjo de los gustos estéticos de los narcotraficantes en algunos edificios de Medellín. Igualmente, como se narra en la historia territorial del Valle y el norte del Cauca, el miedo y la zozobra desatada por la campaña narcoterrorista de los carteles durante los últimos años de los ochenta y principios de los noventa, no solo hizo que la gente temiera ir a sitios </w:t>
      </w:r>
      <w:r>
        <w:lastRenderedPageBreak/>
        <w:t>públicos –como discotecas, estadios, centros comerciales y universidades– y a eventos masivos (como la popular feria de Cali), sino</w:t>
      </w:r>
      <w:r>
        <w:rPr>
          <w:spacing w:val="-4"/>
        </w:rPr>
        <w:t xml:space="preserve"> </w:t>
      </w:r>
      <w:r>
        <w:t>que</w:t>
      </w:r>
      <w:r>
        <w:rPr>
          <w:spacing w:val="-3"/>
        </w:rPr>
        <w:t xml:space="preserve"> </w:t>
      </w:r>
      <w:r>
        <w:t>transformó</w:t>
      </w:r>
      <w:r>
        <w:rPr>
          <w:spacing w:val="-5"/>
        </w:rPr>
        <w:t xml:space="preserve"> </w:t>
      </w:r>
      <w:r>
        <w:t>la</w:t>
      </w:r>
      <w:r>
        <w:rPr>
          <w:spacing w:val="-3"/>
        </w:rPr>
        <w:t xml:space="preserve"> </w:t>
      </w:r>
      <w:r>
        <w:t>arquitectura</w:t>
      </w:r>
      <w:r>
        <w:rPr>
          <w:spacing w:val="-3"/>
        </w:rPr>
        <w:t xml:space="preserve"> </w:t>
      </w:r>
      <w:r>
        <w:t>de</w:t>
      </w:r>
      <w:r>
        <w:rPr>
          <w:spacing w:val="-3"/>
        </w:rPr>
        <w:t xml:space="preserve"> </w:t>
      </w:r>
      <w:r>
        <w:t>viviendas</w:t>
      </w:r>
      <w:r>
        <w:rPr>
          <w:spacing w:val="-4"/>
        </w:rPr>
        <w:t xml:space="preserve"> </w:t>
      </w:r>
      <w:r>
        <w:t>y</w:t>
      </w:r>
      <w:r>
        <w:rPr>
          <w:spacing w:val="-4"/>
        </w:rPr>
        <w:t xml:space="preserve"> </w:t>
      </w:r>
      <w:r>
        <w:t>oficinas</w:t>
      </w:r>
      <w:r>
        <w:rPr>
          <w:spacing w:val="-3"/>
        </w:rPr>
        <w:t xml:space="preserve"> </w:t>
      </w:r>
      <w:r>
        <w:t>en</w:t>
      </w:r>
      <w:r>
        <w:rPr>
          <w:spacing w:val="-5"/>
        </w:rPr>
        <w:t xml:space="preserve"> </w:t>
      </w:r>
      <w:r>
        <w:t>Cali</w:t>
      </w:r>
      <w:r>
        <w:rPr>
          <w:spacing w:val="-3"/>
        </w:rPr>
        <w:t xml:space="preserve"> </w:t>
      </w:r>
      <w:r>
        <w:t>y</w:t>
      </w:r>
      <w:r>
        <w:rPr>
          <w:spacing w:val="-4"/>
        </w:rPr>
        <w:t xml:space="preserve"> </w:t>
      </w:r>
      <w:r>
        <w:t>otras</w:t>
      </w:r>
      <w:r>
        <w:rPr>
          <w:spacing w:val="-5"/>
        </w:rPr>
        <w:t xml:space="preserve"> </w:t>
      </w:r>
      <w:r>
        <w:t>ciudades</w:t>
      </w:r>
      <w:r>
        <w:rPr>
          <w:spacing w:val="-5"/>
        </w:rPr>
        <w:t xml:space="preserve"> </w:t>
      </w:r>
      <w:r>
        <w:t>menores para dotarlas de búnkeres, caletas, puertas y ventanas a prueba de balas y explosiones, al tiempo</w:t>
      </w:r>
      <w:r>
        <w:rPr>
          <w:spacing w:val="-2"/>
        </w:rPr>
        <w:t xml:space="preserve"> </w:t>
      </w:r>
      <w:r>
        <w:t>que</w:t>
      </w:r>
      <w:r>
        <w:rPr>
          <w:spacing w:val="-3"/>
        </w:rPr>
        <w:t xml:space="preserve"> </w:t>
      </w:r>
      <w:r>
        <w:t>se</w:t>
      </w:r>
      <w:r>
        <w:rPr>
          <w:spacing w:val="-2"/>
        </w:rPr>
        <w:t xml:space="preserve"> </w:t>
      </w:r>
      <w:r>
        <w:t>volvieron</w:t>
      </w:r>
      <w:r>
        <w:rPr>
          <w:spacing w:val="-3"/>
        </w:rPr>
        <w:t xml:space="preserve"> </w:t>
      </w:r>
      <w:r>
        <w:t>comunes</w:t>
      </w:r>
      <w:r>
        <w:rPr>
          <w:spacing w:val="-3"/>
        </w:rPr>
        <w:t xml:space="preserve"> </w:t>
      </w:r>
      <w:r>
        <w:t>los</w:t>
      </w:r>
      <w:r>
        <w:rPr>
          <w:spacing w:val="-2"/>
        </w:rPr>
        <w:t xml:space="preserve"> </w:t>
      </w:r>
      <w:r>
        <w:t>esquemas</w:t>
      </w:r>
      <w:r>
        <w:rPr>
          <w:spacing w:val="-3"/>
        </w:rPr>
        <w:t xml:space="preserve"> </w:t>
      </w:r>
      <w:r>
        <w:t>de</w:t>
      </w:r>
      <w:r>
        <w:rPr>
          <w:spacing w:val="-2"/>
        </w:rPr>
        <w:t xml:space="preserve"> </w:t>
      </w:r>
      <w:r>
        <w:t>guardaespaldas,</w:t>
      </w:r>
      <w:r>
        <w:rPr>
          <w:spacing w:val="-3"/>
        </w:rPr>
        <w:t xml:space="preserve"> </w:t>
      </w:r>
      <w:r>
        <w:t>los</w:t>
      </w:r>
      <w:r>
        <w:rPr>
          <w:spacing w:val="-2"/>
        </w:rPr>
        <w:t xml:space="preserve"> </w:t>
      </w:r>
      <w:r>
        <w:t>carros</w:t>
      </w:r>
      <w:r>
        <w:rPr>
          <w:spacing w:val="-2"/>
        </w:rPr>
        <w:t xml:space="preserve"> </w:t>
      </w:r>
      <w:r>
        <w:t>blindados</w:t>
      </w:r>
      <w:r>
        <w:rPr>
          <w:spacing w:val="-2"/>
        </w:rPr>
        <w:t xml:space="preserve"> </w:t>
      </w:r>
      <w:r>
        <w:t>y</w:t>
      </w:r>
      <w:r>
        <w:rPr>
          <w:spacing w:val="-2"/>
        </w:rPr>
        <w:t xml:space="preserve"> </w:t>
      </w:r>
      <w:r>
        <w:t>la adquisición de armas por parte de civiles.</w:t>
      </w:r>
    </w:p>
    <w:p w:rsidR="003804AC" w:rsidRDefault="00AF18A5" w:rsidP="00131278">
      <w:r>
        <w:t>Además de traer cambios físicos, la guerra significó la transformación de las relaciones de poder en los territorios. Gracias a su poder armado y económico, el actor detentador del poder (guerrillas o paramilitares), especialmente de la década de los noventa en adelante, regulaba</w:t>
      </w:r>
      <w:r>
        <w:rPr>
          <w:spacing w:val="-3"/>
        </w:rPr>
        <w:t xml:space="preserve"> </w:t>
      </w:r>
      <w:r>
        <w:t>las</w:t>
      </w:r>
      <w:r>
        <w:rPr>
          <w:spacing w:val="-5"/>
        </w:rPr>
        <w:t xml:space="preserve"> </w:t>
      </w:r>
      <w:r>
        <w:t>dinámicas</w:t>
      </w:r>
      <w:r>
        <w:rPr>
          <w:spacing w:val="-5"/>
        </w:rPr>
        <w:t xml:space="preserve"> </w:t>
      </w:r>
      <w:r>
        <w:t>sociales,</w:t>
      </w:r>
      <w:r>
        <w:rPr>
          <w:spacing w:val="-4"/>
        </w:rPr>
        <w:t xml:space="preserve"> </w:t>
      </w:r>
      <w:r>
        <w:t>políticas,</w:t>
      </w:r>
      <w:r>
        <w:rPr>
          <w:spacing w:val="-5"/>
        </w:rPr>
        <w:t xml:space="preserve"> </w:t>
      </w:r>
      <w:r>
        <w:t>económicas</w:t>
      </w:r>
      <w:r>
        <w:rPr>
          <w:spacing w:val="-4"/>
        </w:rPr>
        <w:t xml:space="preserve"> </w:t>
      </w:r>
      <w:r>
        <w:t>y</w:t>
      </w:r>
      <w:r>
        <w:rPr>
          <w:spacing w:val="-4"/>
        </w:rPr>
        <w:t xml:space="preserve"> </w:t>
      </w:r>
      <w:r>
        <w:t>culturales</w:t>
      </w:r>
      <w:r>
        <w:rPr>
          <w:spacing w:val="-5"/>
        </w:rPr>
        <w:t xml:space="preserve"> </w:t>
      </w:r>
      <w:r>
        <w:t>de</w:t>
      </w:r>
      <w:r>
        <w:rPr>
          <w:spacing w:val="-5"/>
        </w:rPr>
        <w:t xml:space="preserve"> </w:t>
      </w:r>
      <w:r>
        <w:t>la</w:t>
      </w:r>
      <w:r>
        <w:rPr>
          <w:spacing w:val="-5"/>
        </w:rPr>
        <w:t xml:space="preserve"> </w:t>
      </w:r>
      <w:r>
        <w:t>población,</w:t>
      </w:r>
      <w:r>
        <w:rPr>
          <w:spacing w:val="-5"/>
        </w:rPr>
        <w:t xml:space="preserve"> </w:t>
      </w:r>
      <w:r>
        <w:t>y</w:t>
      </w:r>
      <w:r>
        <w:rPr>
          <w:spacing w:val="-5"/>
        </w:rPr>
        <w:t xml:space="preserve"> </w:t>
      </w:r>
      <w:r>
        <w:t>definía pautas de movilización, organización social, adscripción política y participación electoral. Eso contribuyó en territorios de su dominio a la captura de las entidades estatales, a la dominación</w:t>
      </w:r>
      <w:r>
        <w:rPr>
          <w:spacing w:val="-3"/>
        </w:rPr>
        <w:t xml:space="preserve"> </w:t>
      </w:r>
      <w:r>
        <w:t>de</w:t>
      </w:r>
      <w:r>
        <w:rPr>
          <w:spacing w:val="-3"/>
        </w:rPr>
        <w:t xml:space="preserve"> </w:t>
      </w:r>
      <w:r>
        <w:t>la</w:t>
      </w:r>
      <w:r>
        <w:rPr>
          <w:spacing w:val="-3"/>
        </w:rPr>
        <w:t xml:space="preserve"> </w:t>
      </w:r>
      <w:r>
        <w:t>población,</w:t>
      </w:r>
      <w:r>
        <w:rPr>
          <w:spacing w:val="-3"/>
        </w:rPr>
        <w:t xml:space="preserve"> </w:t>
      </w:r>
      <w:r>
        <w:t>a</w:t>
      </w:r>
      <w:r>
        <w:rPr>
          <w:spacing w:val="-3"/>
        </w:rPr>
        <w:t xml:space="preserve"> </w:t>
      </w:r>
      <w:r>
        <w:t>la</w:t>
      </w:r>
      <w:r>
        <w:rPr>
          <w:spacing w:val="-3"/>
        </w:rPr>
        <w:t xml:space="preserve"> </w:t>
      </w:r>
      <w:r>
        <w:t>aniquilación</w:t>
      </w:r>
      <w:r>
        <w:rPr>
          <w:spacing w:val="-3"/>
        </w:rPr>
        <w:t xml:space="preserve"> </w:t>
      </w:r>
      <w:r>
        <w:t>o</w:t>
      </w:r>
      <w:r>
        <w:rPr>
          <w:spacing w:val="-3"/>
        </w:rPr>
        <w:t xml:space="preserve"> </w:t>
      </w:r>
      <w:r>
        <w:t>cooptación</w:t>
      </w:r>
      <w:r>
        <w:rPr>
          <w:spacing w:val="-3"/>
        </w:rPr>
        <w:t xml:space="preserve"> </w:t>
      </w:r>
      <w:r>
        <w:t>de</w:t>
      </w:r>
      <w:r>
        <w:rPr>
          <w:spacing w:val="-3"/>
        </w:rPr>
        <w:t xml:space="preserve"> </w:t>
      </w:r>
      <w:r>
        <w:t>las</w:t>
      </w:r>
      <w:r>
        <w:rPr>
          <w:spacing w:val="-3"/>
        </w:rPr>
        <w:t xml:space="preserve"> </w:t>
      </w:r>
      <w:r>
        <w:t>organizaciones</w:t>
      </w:r>
      <w:r>
        <w:rPr>
          <w:spacing w:val="-3"/>
        </w:rPr>
        <w:t xml:space="preserve"> </w:t>
      </w:r>
      <w:r>
        <w:t>sociales</w:t>
      </w:r>
      <w:r>
        <w:rPr>
          <w:spacing w:val="-3"/>
        </w:rPr>
        <w:t xml:space="preserve"> </w:t>
      </w:r>
      <w:r>
        <w:t>y, en</w:t>
      </w:r>
      <w:r>
        <w:rPr>
          <w:spacing w:val="-14"/>
        </w:rPr>
        <w:t xml:space="preserve"> </w:t>
      </w:r>
      <w:r>
        <w:t>última</w:t>
      </w:r>
      <w:r>
        <w:rPr>
          <w:spacing w:val="-14"/>
        </w:rPr>
        <w:t xml:space="preserve"> </w:t>
      </w:r>
      <w:r>
        <w:t>instancia,</w:t>
      </w:r>
      <w:r>
        <w:rPr>
          <w:spacing w:val="-14"/>
        </w:rPr>
        <w:t xml:space="preserve"> </w:t>
      </w:r>
      <w:r>
        <w:t>a</w:t>
      </w:r>
      <w:r>
        <w:rPr>
          <w:spacing w:val="-14"/>
        </w:rPr>
        <w:t xml:space="preserve"> </w:t>
      </w:r>
      <w:r>
        <w:t>la</w:t>
      </w:r>
      <w:r>
        <w:rPr>
          <w:spacing w:val="-14"/>
        </w:rPr>
        <w:t xml:space="preserve"> </w:t>
      </w:r>
      <w:r>
        <w:t>reconfiguración</w:t>
      </w:r>
      <w:r>
        <w:rPr>
          <w:spacing w:val="-14"/>
        </w:rPr>
        <w:t xml:space="preserve"> </w:t>
      </w:r>
      <w:r>
        <w:t>de</w:t>
      </w:r>
      <w:r>
        <w:rPr>
          <w:spacing w:val="-14"/>
        </w:rPr>
        <w:t xml:space="preserve"> </w:t>
      </w:r>
      <w:r>
        <w:t>las</w:t>
      </w:r>
      <w:r>
        <w:rPr>
          <w:spacing w:val="-14"/>
        </w:rPr>
        <w:t xml:space="preserve"> </w:t>
      </w:r>
      <w:r>
        <w:t>relaciones</w:t>
      </w:r>
      <w:r>
        <w:rPr>
          <w:spacing w:val="-14"/>
        </w:rPr>
        <w:t xml:space="preserve"> </w:t>
      </w:r>
      <w:r>
        <w:t>de</w:t>
      </w:r>
      <w:r>
        <w:rPr>
          <w:spacing w:val="-14"/>
        </w:rPr>
        <w:t xml:space="preserve"> </w:t>
      </w:r>
      <w:r>
        <w:t>poder</w:t>
      </w:r>
      <w:r>
        <w:rPr>
          <w:spacing w:val="-14"/>
        </w:rPr>
        <w:t xml:space="preserve"> </w:t>
      </w:r>
      <w:r>
        <w:t>en</w:t>
      </w:r>
      <w:r>
        <w:rPr>
          <w:spacing w:val="-14"/>
        </w:rPr>
        <w:t xml:space="preserve"> </w:t>
      </w:r>
      <w:r>
        <w:t>el</w:t>
      </w:r>
      <w:r>
        <w:rPr>
          <w:spacing w:val="-14"/>
        </w:rPr>
        <w:t xml:space="preserve"> </w:t>
      </w:r>
      <w:r>
        <w:t>territorio.</w:t>
      </w:r>
      <w:r>
        <w:rPr>
          <w:spacing w:val="-14"/>
        </w:rPr>
        <w:t xml:space="preserve"> </w:t>
      </w:r>
      <w:r>
        <w:t>En</w:t>
      </w:r>
      <w:r>
        <w:rPr>
          <w:spacing w:val="-14"/>
        </w:rPr>
        <w:t xml:space="preserve"> </w:t>
      </w:r>
      <w:r>
        <w:t>algunas ocasiones,</w:t>
      </w:r>
      <w:r>
        <w:rPr>
          <w:spacing w:val="36"/>
        </w:rPr>
        <w:t xml:space="preserve"> </w:t>
      </w:r>
      <w:r>
        <w:t>tras</w:t>
      </w:r>
      <w:r>
        <w:rPr>
          <w:spacing w:val="38"/>
        </w:rPr>
        <w:t xml:space="preserve"> </w:t>
      </w:r>
      <w:r>
        <w:t>desplazar</w:t>
      </w:r>
      <w:r>
        <w:rPr>
          <w:spacing w:val="39"/>
        </w:rPr>
        <w:t xml:space="preserve"> </w:t>
      </w:r>
      <w:r>
        <w:t>a</w:t>
      </w:r>
      <w:r>
        <w:rPr>
          <w:spacing w:val="38"/>
        </w:rPr>
        <w:t xml:space="preserve"> </w:t>
      </w:r>
      <w:r>
        <w:t>la</w:t>
      </w:r>
      <w:r>
        <w:rPr>
          <w:spacing w:val="38"/>
        </w:rPr>
        <w:t xml:space="preserve"> </w:t>
      </w:r>
      <w:r>
        <w:t>población,</w:t>
      </w:r>
      <w:r>
        <w:rPr>
          <w:spacing w:val="38"/>
        </w:rPr>
        <w:t xml:space="preserve"> </w:t>
      </w:r>
      <w:r>
        <w:t>los</w:t>
      </w:r>
      <w:r>
        <w:rPr>
          <w:spacing w:val="38"/>
        </w:rPr>
        <w:t xml:space="preserve"> </w:t>
      </w:r>
      <w:r>
        <w:t>perpetradores</w:t>
      </w:r>
      <w:r>
        <w:rPr>
          <w:spacing w:val="38"/>
        </w:rPr>
        <w:t xml:space="preserve"> </w:t>
      </w:r>
      <w:r>
        <w:t>llevaron</w:t>
      </w:r>
      <w:r>
        <w:rPr>
          <w:spacing w:val="38"/>
        </w:rPr>
        <w:t xml:space="preserve"> </w:t>
      </w:r>
      <w:r>
        <w:t>a</w:t>
      </w:r>
      <w:r>
        <w:rPr>
          <w:spacing w:val="38"/>
        </w:rPr>
        <w:t xml:space="preserve"> </w:t>
      </w:r>
      <w:r>
        <w:t>cabo</w:t>
      </w:r>
      <w:r>
        <w:rPr>
          <w:spacing w:val="38"/>
        </w:rPr>
        <w:t xml:space="preserve"> </w:t>
      </w:r>
      <w:r>
        <w:t>campañas</w:t>
      </w:r>
      <w:r>
        <w:rPr>
          <w:spacing w:val="39"/>
        </w:rPr>
        <w:t xml:space="preserve"> </w:t>
      </w:r>
      <w:r>
        <w:rPr>
          <w:spacing w:val="-5"/>
        </w:rPr>
        <w:t>de</w:t>
      </w:r>
      <w:bookmarkStart w:id="1322" w:name="_bookmark1174"/>
      <w:bookmarkEnd w:id="1322"/>
      <w:r w:rsidR="00131278">
        <w:t xml:space="preserve"> </w:t>
      </w:r>
      <w:r>
        <w:t>repoblamiento para construir unas redes sociales afines a sus proyectos político-militares y económicos. En otros territorios en los que no se lograron dominios hegemónicos, y la disputa por el control fue permanente, cooptaron o presionaron candidatos y políticos, los secuestraron o asesinaron, mientras que en otros intentaron alterar el orden democrático saboteando las elecciones locales.</w:t>
      </w:r>
      <w:r w:rsidR="00131278">
        <w:rPr>
          <w:rStyle w:val="Refdenotaalpie"/>
        </w:rPr>
        <w:footnoteReference w:id="1072"/>
      </w:r>
      <w:r w:rsidR="00131278">
        <w:t xml:space="preserve"> </w:t>
      </w:r>
    </w:p>
    <w:p w:rsidR="003804AC" w:rsidRDefault="00AF18A5" w:rsidP="00131278">
      <w:r>
        <w:lastRenderedPageBreak/>
        <w:t>El entramado paramilitar cooptó agentes estatales en múltiples niveles institucionales. Esto significó la captura violenta del Estado y la radicalización de su carácter elitista. La democracia</w:t>
      </w:r>
      <w:r>
        <w:rPr>
          <w:spacing w:val="-15"/>
        </w:rPr>
        <w:t xml:space="preserve"> </w:t>
      </w:r>
      <w:r>
        <w:t>territorial</w:t>
      </w:r>
      <w:r>
        <w:rPr>
          <w:spacing w:val="-15"/>
        </w:rPr>
        <w:t xml:space="preserve"> </w:t>
      </w:r>
      <w:r>
        <w:t>se</w:t>
      </w:r>
      <w:r>
        <w:rPr>
          <w:spacing w:val="-15"/>
        </w:rPr>
        <w:t xml:space="preserve"> </w:t>
      </w:r>
      <w:r>
        <w:t>cerró</w:t>
      </w:r>
      <w:r>
        <w:rPr>
          <w:spacing w:val="-15"/>
        </w:rPr>
        <w:t xml:space="preserve"> </w:t>
      </w:r>
      <w:r>
        <w:t>aún</w:t>
      </w:r>
      <w:r>
        <w:rPr>
          <w:spacing w:val="-15"/>
        </w:rPr>
        <w:t xml:space="preserve"> </w:t>
      </w:r>
      <w:r>
        <w:t>más</w:t>
      </w:r>
      <w:r>
        <w:rPr>
          <w:spacing w:val="-15"/>
        </w:rPr>
        <w:t xml:space="preserve"> </w:t>
      </w:r>
      <w:r>
        <w:t>para</w:t>
      </w:r>
      <w:r>
        <w:rPr>
          <w:spacing w:val="-15"/>
        </w:rPr>
        <w:t xml:space="preserve"> </w:t>
      </w:r>
      <w:r>
        <w:t>los</w:t>
      </w:r>
      <w:r>
        <w:rPr>
          <w:spacing w:val="-15"/>
        </w:rPr>
        <w:t xml:space="preserve"> </w:t>
      </w:r>
      <w:r>
        <w:t>movimientos</w:t>
      </w:r>
      <w:r>
        <w:rPr>
          <w:spacing w:val="-15"/>
        </w:rPr>
        <w:t xml:space="preserve"> </w:t>
      </w:r>
      <w:r>
        <w:t>sociales</w:t>
      </w:r>
      <w:r>
        <w:rPr>
          <w:spacing w:val="-15"/>
        </w:rPr>
        <w:t xml:space="preserve"> </w:t>
      </w:r>
      <w:r>
        <w:t>y</w:t>
      </w:r>
      <w:r>
        <w:rPr>
          <w:spacing w:val="-15"/>
        </w:rPr>
        <w:t xml:space="preserve"> </w:t>
      </w:r>
      <w:r>
        <w:t>políticos</w:t>
      </w:r>
      <w:r>
        <w:rPr>
          <w:spacing w:val="-15"/>
        </w:rPr>
        <w:t xml:space="preserve"> </w:t>
      </w:r>
      <w:r>
        <w:t>alternativos. La parapolítica se impuso incluso a aquellos actores y proyectos políticos tradicionales que no</w:t>
      </w:r>
      <w:r>
        <w:rPr>
          <w:spacing w:val="-6"/>
        </w:rPr>
        <w:t xml:space="preserve"> </w:t>
      </w:r>
      <w:r>
        <w:t>se</w:t>
      </w:r>
      <w:r>
        <w:rPr>
          <w:spacing w:val="-6"/>
        </w:rPr>
        <w:t xml:space="preserve"> </w:t>
      </w:r>
      <w:r>
        <w:t>conectaron</w:t>
      </w:r>
      <w:r>
        <w:rPr>
          <w:spacing w:val="-6"/>
        </w:rPr>
        <w:t xml:space="preserve"> </w:t>
      </w:r>
      <w:r>
        <w:t>a</w:t>
      </w:r>
      <w:r>
        <w:rPr>
          <w:spacing w:val="-6"/>
        </w:rPr>
        <w:t xml:space="preserve"> </w:t>
      </w:r>
      <w:r>
        <w:t>sus</w:t>
      </w:r>
      <w:r>
        <w:rPr>
          <w:spacing w:val="-7"/>
        </w:rPr>
        <w:t xml:space="preserve"> </w:t>
      </w:r>
      <w:r>
        <w:t>intenciones.</w:t>
      </w:r>
      <w:r>
        <w:rPr>
          <w:spacing w:val="-6"/>
        </w:rPr>
        <w:t xml:space="preserve"> </w:t>
      </w:r>
      <w:r>
        <w:t>Con</w:t>
      </w:r>
      <w:r>
        <w:rPr>
          <w:spacing w:val="-6"/>
        </w:rPr>
        <w:t xml:space="preserve"> </w:t>
      </w:r>
      <w:r>
        <w:t>el</w:t>
      </w:r>
      <w:r>
        <w:rPr>
          <w:spacing w:val="-6"/>
        </w:rPr>
        <w:t xml:space="preserve"> </w:t>
      </w:r>
      <w:r>
        <w:t>escarnio</w:t>
      </w:r>
      <w:r>
        <w:rPr>
          <w:spacing w:val="-6"/>
        </w:rPr>
        <w:t xml:space="preserve"> </w:t>
      </w:r>
      <w:r>
        <w:t>público</w:t>
      </w:r>
      <w:r>
        <w:rPr>
          <w:spacing w:val="-6"/>
        </w:rPr>
        <w:t xml:space="preserve"> </w:t>
      </w:r>
      <w:r>
        <w:t>y</w:t>
      </w:r>
      <w:r>
        <w:rPr>
          <w:spacing w:val="-7"/>
        </w:rPr>
        <w:t xml:space="preserve"> </w:t>
      </w:r>
      <w:r>
        <w:t>la</w:t>
      </w:r>
      <w:r>
        <w:rPr>
          <w:spacing w:val="-6"/>
        </w:rPr>
        <w:t xml:space="preserve"> </w:t>
      </w:r>
      <w:r>
        <w:t>judicialización</w:t>
      </w:r>
      <w:r>
        <w:rPr>
          <w:spacing w:val="-6"/>
        </w:rPr>
        <w:t xml:space="preserve"> </w:t>
      </w:r>
      <w:r>
        <w:t>de</w:t>
      </w:r>
      <w:r>
        <w:rPr>
          <w:spacing w:val="-7"/>
        </w:rPr>
        <w:t xml:space="preserve"> </w:t>
      </w:r>
      <w:r>
        <w:t>más</w:t>
      </w:r>
      <w:r>
        <w:rPr>
          <w:spacing w:val="-7"/>
        </w:rPr>
        <w:t xml:space="preserve"> </w:t>
      </w:r>
      <w:r>
        <w:t>de</w:t>
      </w:r>
      <w:r>
        <w:rPr>
          <w:spacing w:val="-6"/>
        </w:rPr>
        <w:t xml:space="preserve"> </w:t>
      </w:r>
      <w:r>
        <w:t>un centenar de políticos y agentes estatales afectos al paramilitarismo, la reelección en cuerpo ajeno fue la constante y hermanos, cónyuges e hijos continuaron controlando curules en corporaciones</w:t>
      </w:r>
      <w:r>
        <w:rPr>
          <w:spacing w:val="-6"/>
        </w:rPr>
        <w:t xml:space="preserve"> </w:t>
      </w:r>
      <w:r>
        <w:t>públicas</w:t>
      </w:r>
      <w:r>
        <w:rPr>
          <w:spacing w:val="-7"/>
        </w:rPr>
        <w:t xml:space="preserve"> </w:t>
      </w:r>
      <w:r>
        <w:t>y</w:t>
      </w:r>
      <w:r>
        <w:rPr>
          <w:spacing w:val="-6"/>
        </w:rPr>
        <w:t xml:space="preserve"> </w:t>
      </w:r>
      <w:r>
        <w:t>cargos</w:t>
      </w:r>
      <w:r>
        <w:rPr>
          <w:spacing w:val="-7"/>
        </w:rPr>
        <w:t xml:space="preserve"> </w:t>
      </w:r>
      <w:r>
        <w:t>de</w:t>
      </w:r>
      <w:r>
        <w:rPr>
          <w:spacing w:val="-7"/>
        </w:rPr>
        <w:t xml:space="preserve"> </w:t>
      </w:r>
      <w:r>
        <w:t>elección</w:t>
      </w:r>
      <w:r>
        <w:rPr>
          <w:spacing w:val="-6"/>
        </w:rPr>
        <w:t xml:space="preserve"> </w:t>
      </w:r>
      <w:r>
        <w:t>popular.</w:t>
      </w:r>
      <w:r>
        <w:rPr>
          <w:spacing w:val="-6"/>
        </w:rPr>
        <w:t xml:space="preserve"> </w:t>
      </w:r>
      <w:r>
        <w:t>Con</w:t>
      </w:r>
      <w:r>
        <w:rPr>
          <w:spacing w:val="-6"/>
        </w:rPr>
        <w:t xml:space="preserve"> </w:t>
      </w:r>
      <w:r>
        <w:t>esto,</w:t>
      </w:r>
      <w:r>
        <w:rPr>
          <w:spacing w:val="-6"/>
        </w:rPr>
        <w:t xml:space="preserve"> </w:t>
      </w:r>
      <w:r>
        <w:t>el</w:t>
      </w:r>
      <w:r>
        <w:rPr>
          <w:spacing w:val="-6"/>
        </w:rPr>
        <w:t xml:space="preserve"> </w:t>
      </w:r>
      <w:r>
        <w:t>Estado</w:t>
      </w:r>
      <w:r>
        <w:rPr>
          <w:spacing w:val="-7"/>
        </w:rPr>
        <w:t xml:space="preserve"> </w:t>
      </w:r>
      <w:r>
        <w:t>se</w:t>
      </w:r>
      <w:r>
        <w:rPr>
          <w:spacing w:val="-6"/>
        </w:rPr>
        <w:t xml:space="preserve"> </w:t>
      </w:r>
      <w:r>
        <w:t>separó</w:t>
      </w:r>
      <w:r>
        <w:rPr>
          <w:spacing w:val="-6"/>
        </w:rPr>
        <w:t xml:space="preserve"> </w:t>
      </w:r>
      <w:r>
        <w:t>más</w:t>
      </w:r>
      <w:r>
        <w:rPr>
          <w:spacing w:val="-6"/>
        </w:rPr>
        <w:t xml:space="preserve"> </w:t>
      </w:r>
      <w:r>
        <w:t>de</w:t>
      </w:r>
      <w:r>
        <w:rPr>
          <w:spacing w:val="-7"/>
        </w:rPr>
        <w:t xml:space="preserve"> </w:t>
      </w:r>
      <w:r>
        <w:t>la sociedad y se profundizaron los límites de la democracia en los territorios.</w:t>
      </w:r>
    </w:p>
    <w:p w:rsidR="003804AC" w:rsidRDefault="00AF18A5" w:rsidP="00131278">
      <w:r>
        <w:t>La guerra fracturó procesos democráticos de participación municipales, locales (JAC) y comunitarios (cabildos y consejos comunitarios). El secuestro y asesinato de alcaldes, candidatos</w:t>
      </w:r>
      <w:r>
        <w:rPr>
          <w:spacing w:val="-4"/>
        </w:rPr>
        <w:t xml:space="preserve"> </w:t>
      </w:r>
      <w:r>
        <w:t>y</w:t>
      </w:r>
      <w:r>
        <w:rPr>
          <w:spacing w:val="-6"/>
        </w:rPr>
        <w:t xml:space="preserve"> </w:t>
      </w:r>
      <w:r>
        <w:t>autoridades</w:t>
      </w:r>
      <w:r>
        <w:rPr>
          <w:spacing w:val="-7"/>
        </w:rPr>
        <w:t xml:space="preserve"> </w:t>
      </w:r>
      <w:r>
        <w:t>tradicionales</w:t>
      </w:r>
      <w:r>
        <w:rPr>
          <w:spacing w:val="-6"/>
        </w:rPr>
        <w:t xml:space="preserve"> </w:t>
      </w:r>
      <w:r>
        <w:t>por</w:t>
      </w:r>
      <w:r>
        <w:rPr>
          <w:spacing w:val="-4"/>
        </w:rPr>
        <w:t xml:space="preserve"> </w:t>
      </w:r>
      <w:r>
        <w:t>parte</w:t>
      </w:r>
      <w:r>
        <w:rPr>
          <w:spacing w:val="-6"/>
        </w:rPr>
        <w:t xml:space="preserve"> </w:t>
      </w:r>
      <w:r>
        <w:t>de</w:t>
      </w:r>
      <w:r>
        <w:rPr>
          <w:spacing w:val="-6"/>
        </w:rPr>
        <w:t xml:space="preserve"> </w:t>
      </w:r>
      <w:r>
        <w:t>las</w:t>
      </w:r>
      <w:r>
        <w:rPr>
          <w:spacing w:val="-4"/>
        </w:rPr>
        <w:t xml:space="preserve"> </w:t>
      </w:r>
      <w:r>
        <w:t>guerrillas,</w:t>
      </w:r>
      <w:r>
        <w:rPr>
          <w:spacing w:val="-5"/>
        </w:rPr>
        <w:t xml:space="preserve"> </w:t>
      </w:r>
      <w:r>
        <w:t>la</w:t>
      </w:r>
      <w:r>
        <w:rPr>
          <w:spacing w:val="-6"/>
        </w:rPr>
        <w:t xml:space="preserve"> </w:t>
      </w:r>
      <w:r>
        <w:t>cooptación</w:t>
      </w:r>
      <w:r>
        <w:rPr>
          <w:spacing w:val="-5"/>
        </w:rPr>
        <w:t xml:space="preserve"> </w:t>
      </w:r>
      <w:r>
        <w:t>de</w:t>
      </w:r>
      <w:r>
        <w:rPr>
          <w:spacing w:val="-6"/>
        </w:rPr>
        <w:t xml:space="preserve"> </w:t>
      </w:r>
      <w:r>
        <w:t>instancias de gobierno por parte de paramilitares son parte de las prácticas que ejercieron los grupos armados para incidir y tener control de las instituciones. Estas dinámicas transformaron los procesos democráticos en miedo, coerción y corrupción de las instituciones.</w:t>
      </w:r>
    </w:p>
    <w:p w:rsidR="003804AC" w:rsidRDefault="00AF18A5" w:rsidP="00131278">
      <w:r>
        <w:t>Estas situaciones impactaron negativamente la confianza ciudadana, las formas de relacionamiento social y las prácticas culturales de las personas, con mayor capacidad de devastación sociocultural en la población campesina y las comunidades étnicas. Es decir, la violencia</w:t>
      </w:r>
      <w:r>
        <w:rPr>
          <w:spacing w:val="-10"/>
        </w:rPr>
        <w:t xml:space="preserve"> </w:t>
      </w:r>
      <w:r>
        <w:t>también</w:t>
      </w:r>
      <w:r>
        <w:rPr>
          <w:spacing w:val="-11"/>
        </w:rPr>
        <w:t xml:space="preserve"> </w:t>
      </w:r>
      <w:r>
        <w:t>afectó</w:t>
      </w:r>
      <w:r>
        <w:rPr>
          <w:spacing w:val="-9"/>
        </w:rPr>
        <w:t xml:space="preserve"> </w:t>
      </w:r>
      <w:r>
        <w:t>y</w:t>
      </w:r>
      <w:r>
        <w:rPr>
          <w:spacing w:val="-9"/>
        </w:rPr>
        <w:t xml:space="preserve"> </w:t>
      </w:r>
      <w:r>
        <w:t>reconfiguró</w:t>
      </w:r>
      <w:r>
        <w:rPr>
          <w:spacing w:val="-9"/>
        </w:rPr>
        <w:t xml:space="preserve"> </w:t>
      </w:r>
      <w:r>
        <w:t>el</w:t>
      </w:r>
      <w:r>
        <w:rPr>
          <w:spacing w:val="-9"/>
        </w:rPr>
        <w:t xml:space="preserve"> </w:t>
      </w:r>
      <w:r>
        <w:t>sentido</w:t>
      </w:r>
      <w:r>
        <w:rPr>
          <w:spacing w:val="-9"/>
        </w:rPr>
        <w:t xml:space="preserve"> </w:t>
      </w:r>
      <w:r>
        <w:t>histórico</w:t>
      </w:r>
      <w:r>
        <w:rPr>
          <w:spacing w:val="-9"/>
        </w:rPr>
        <w:t xml:space="preserve"> </w:t>
      </w:r>
      <w:r>
        <w:t>de</w:t>
      </w:r>
      <w:r>
        <w:rPr>
          <w:spacing w:val="-9"/>
        </w:rPr>
        <w:t xml:space="preserve"> </w:t>
      </w:r>
      <w:r>
        <w:t>lo</w:t>
      </w:r>
      <w:r>
        <w:rPr>
          <w:spacing w:val="-11"/>
        </w:rPr>
        <w:t xml:space="preserve"> </w:t>
      </w:r>
      <w:r>
        <w:t>territorial</w:t>
      </w:r>
      <w:r>
        <w:rPr>
          <w:spacing w:val="-9"/>
        </w:rPr>
        <w:t xml:space="preserve"> </w:t>
      </w:r>
      <w:r>
        <w:t>y</w:t>
      </w:r>
      <w:r>
        <w:rPr>
          <w:spacing w:val="-11"/>
        </w:rPr>
        <w:t xml:space="preserve"> </w:t>
      </w:r>
      <w:r>
        <w:t>las</w:t>
      </w:r>
      <w:r>
        <w:rPr>
          <w:spacing w:val="-10"/>
        </w:rPr>
        <w:t xml:space="preserve"> </w:t>
      </w:r>
      <w:r>
        <w:t>relaciones</w:t>
      </w:r>
      <w:r>
        <w:rPr>
          <w:spacing w:val="-9"/>
        </w:rPr>
        <w:t xml:space="preserve"> </w:t>
      </w:r>
      <w:r>
        <w:t>de la gente con su entorno ambiental, cultural, intercultural, social, político y económico. La reconfiguración</w:t>
      </w:r>
      <w:r>
        <w:rPr>
          <w:spacing w:val="2"/>
        </w:rPr>
        <w:t xml:space="preserve"> </w:t>
      </w:r>
      <w:r>
        <w:t>de</w:t>
      </w:r>
      <w:r>
        <w:rPr>
          <w:spacing w:val="5"/>
        </w:rPr>
        <w:t xml:space="preserve"> </w:t>
      </w:r>
      <w:r>
        <w:t>territorios</w:t>
      </w:r>
      <w:r>
        <w:rPr>
          <w:spacing w:val="5"/>
        </w:rPr>
        <w:t xml:space="preserve"> </w:t>
      </w:r>
      <w:r>
        <w:t>también</w:t>
      </w:r>
      <w:r>
        <w:rPr>
          <w:spacing w:val="4"/>
        </w:rPr>
        <w:t xml:space="preserve"> </w:t>
      </w:r>
      <w:r>
        <w:t>significó</w:t>
      </w:r>
      <w:r>
        <w:rPr>
          <w:spacing w:val="5"/>
        </w:rPr>
        <w:t xml:space="preserve"> </w:t>
      </w:r>
      <w:r>
        <w:t>una</w:t>
      </w:r>
      <w:r>
        <w:rPr>
          <w:spacing w:val="5"/>
        </w:rPr>
        <w:t xml:space="preserve"> </w:t>
      </w:r>
      <w:r>
        <w:t>reconfiguración</w:t>
      </w:r>
      <w:r>
        <w:rPr>
          <w:spacing w:val="4"/>
        </w:rPr>
        <w:t xml:space="preserve"> </w:t>
      </w:r>
      <w:r>
        <w:t>de</w:t>
      </w:r>
      <w:r>
        <w:rPr>
          <w:spacing w:val="5"/>
        </w:rPr>
        <w:t xml:space="preserve"> </w:t>
      </w:r>
      <w:r>
        <w:t>territorialidades.</w:t>
      </w:r>
      <w:r>
        <w:rPr>
          <w:spacing w:val="5"/>
        </w:rPr>
        <w:t xml:space="preserve"> </w:t>
      </w:r>
      <w:r>
        <w:rPr>
          <w:spacing w:val="-5"/>
        </w:rPr>
        <w:t>La</w:t>
      </w:r>
      <w:bookmarkStart w:id="1323" w:name="_bookmark1175"/>
      <w:bookmarkEnd w:id="1323"/>
      <w:r w:rsidR="00131278">
        <w:t xml:space="preserve"> </w:t>
      </w:r>
      <w:r>
        <w:t>fractura</w:t>
      </w:r>
      <w:r>
        <w:rPr>
          <w:spacing w:val="-11"/>
        </w:rPr>
        <w:t xml:space="preserve"> </w:t>
      </w:r>
      <w:r>
        <w:t>de</w:t>
      </w:r>
      <w:r>
        <w:rPr>
          <w:spacing w:val="-11"/>
        </w:rPr>
        <w:t xml:space="preserve"> </w:t>
      </w:r>
      <w:r>
        <w:t>las</w:t>
      </w:r>
      <w:r>
        <w:rPr>
          <w:spacing w:val="-11"/>
        </w:rPr>
        <w:t xml:space="preserve"> </w:t>
      </w:r>
      <w:r>
        <w:lastRenderedPageBreak/>
        <w:t>formas</w:t>
      </w:r>
      <w:r>
        <w:rPr>
          <w:spacing w:val="-11"/>
        </w:rPr>
        <w:t xml:space="preserve"> </w:t>
      </w:r>
      <w:r>
        <w:t>propias</w:t>
      </w:r>
      <w:r>
        <w:rPr>
          <w:spacing w:val="-11"/>
        </w:rPr>
        <w:t xml:space="preserve"> </w:t>
      </w:r>
      <w:r>
        <w:t>de</w:t>
      </w:r>
      <w:r>
        <w:rPr>
          <w:spacing w:val="-11"/>
        </w:rPr>
        <w:t xml:space="preserve"> </w:t>
      </w:r>
      <w:r>
        <w:t>autoridad</w:t>
      </w:r>
      <w:r>
        <w:rPr>
          <w:spacing w:val="-11"/>
        </w:rPr>
        <w:t xml:space="preserve"> </w:t>
      </w:r>
      <w:r>
        <w:t>y</w:t>
      </w:r>
      <w:r>
        <w:rPr>
          <w:spacing w:val="-12"/>
        </w:rPr>
        <w:t xml:space="preserve"> </w:t>
      </w:r>
      <w:r>
        <w:t>la</w:t>
      </w:r>
      <w:r>
        <w:rPr>
          <w:spacing w:val="-11"/>
        </w:rPr>
        <w:t xml:space="preserve"> </w:t>
      </w:r>
      <w:r>
        <w:t>escasa</w:t>
      </w:r>
      <w:r>
        <w:rPr>
          <w:spacing w:val="-12"/>
        </w:rPr>
        <w:t xml:space="preserve"> </w:t>
      </w:r>
      <w:r>
        <w:t>legitimidad</w:t>
      </w:r>
      <w:r>
        <w:rPr>
          <w:spacing w:val="-11"/>
        </w:rPr>
        <w:t xml:space="preserve"> </w:t>
      </w:r>
      <w:r>
        <w:t>de</w:t>
      </w:r>
      <w:r>
        <w:rPr>
          <w:spacing w:val="-12"/>
        </w:rPr>
        <w:t xml:space="preserve"> </w:t>
      </w:r>
      <w:r>
        <w:t>las</w:t>
      </w:r>
      <w:r>
        <w:rPr>
          <w:spacing w:val="-12"/>
        </w:rPr>
        <w:t xml:space="preserve"> </w:t>
      </w:r>
      <w:r>
        <w:t>instituciones</w:t>
      </w:r>
      <w:r>
        <w:rPr>
          <w:spacing w:val="-11"/>
        </w:rPr>
        <w:t xml:space="preserve"> </w:t>
      </w:r>
      <w:r>
        <w:t>locales hizo que cada vez más la violencia se asuma como un mecanismo efectivo para el control social. Las disputas entre familias, entre comerciantes y todo tipo de conflicto social están atravesadas por el uso de armas en los territorios donde la guerra logró arraigarse. Con la guerra,</w:t>
      </w:r>
      <w:r>
        <w:rPr>
          <w:spacing w:val="-5"/>
        </w:rPr>
        <w:t xml:space="preserve"> </w:t>
      </w:r>
      <w:r>
        <w:t>la</w:t>
      </w:r>
      <w:r>
        <w:rPr>
          <w:spacing w:val="-4"/>
        </w:rPr>
        <w:t xml:space="preserve"> </w:t>
      </w:r>
      <w:r>
        <w:t>confianza</w:t>
      </w:r>
      <w:r>
        <w:rPr>
          <w:spacing w:val="-3"/>
        </w:rPr>
        <w:t xml:space="preserve"> </w:t>
      </w:r>
      <w:r>
        <w:t>como</w:t>
      </w:r>
      <w:r>
        <w:rPr>
          <w:spacing w:val="-4"/>
        </w:rPr>
        <w:t xml:space="preserve"> </w:t>
      </w:r>
      <w:r>
        <w:t>valor</w:t>
      </w:r>
      <w:r>
        <w:rPr>
          <w:spacing w:val="-4"/>
        </w:rPr>
        <w:t xml:space="preserve"> </w:t>
      </w:r>
      <w:r>
        <w:t>civil</w:t>
      </w:r>
      <w:r>
        <w:rPr>
          <w:spacing w:val="-5"/>
        </w:rPr>
        <w:t xml:space="preserve"> </w:t>
      </w:r>
      <w:r>
        <w:t>y</w:t>
      </w:r>
      <w:r>
        <w:rPr>
          <w:spacing w:val="-3"/>
        </w:rPr>
        <w:t xml:space="preserve"> </w:t>
      </w:r>
      <w:r>
        <w:t>como</w:t>
      </w:r>
      <w:r>
        <w:rPr>
          <w:spacing w:val="-5"/>
        </w:rPr>
        <w:t xml:space="preserve"> </w:t>
      </w:r>
      <w:r>
        <w:t>forma</w:t>
      </w:r>
      <w:r>
        <w:rPr>
          <w:spacing w:val="-3"/>
        </w:rPr>
        <w:t xml:space="preserve"> </w:t>
      </w:r>
      <w:r>
        <w:t>de</w:t>
      </w:r>
      <w:r>
        <w:rPr>
          <w:spacing w:val="-4"/>
        </w:rPr>
        <w:t xml:space="preserve"> </w:t>
      </w:r>
      <w:r>
        <w:t>reciprocidad</w:t>
      </w:r>
      <w:r>
        <w:rPr>
          <w:spacing w:val="-3"/>
        </w:rPr>
        <w:t xml:space="preserve"> </w:t>
      </w:r>
      <w:r>
        <w:t>social</w:t>
      </w:r>
      <w:r>
        <w:rPr>
          <w:spacing w:val="-3"/>
        </w:rPr>
        <w:t xml:space="preserve"> </w:t>
      </w:r>
      <w:r>
        <w:t>quedó</w:t>
      </w:r>
      <w:r>
        <w:rPr>
          <w:spacing w:val="-5"/>
        </w:rPr>
        <w:t xml:space="preserve"> </w:t>
      </w:r>
      <w:r>
        <w:t>fracturada. También</w:t>
      </w:r>
      <w:r>
        <w:rPr>
          <w:spacing w:val="-10"/>
        </w:rPr>
        <w:t xml:space="preserve"> </w:t>
      </w:r>
      <w:r>
        <w:t>las</w:t>
      </w:r>
      <w:r>
        <w:rPr>
          <w:spacing w:val="-10"/>
        </w:rPr>
        <w:t xml:space="preserve"> </w:t>
      </w:r>
      <w:r>
        <w:t>prácticas</w:t>
      </w:r>
      <w:r>
        <w:rPr>
          <w:spacing w:val="-9"/>
        </w:rPr>
        <w:t xml:space="preserve"> </w:t>
      </w:r>
      <w:r>
        <w:t>culturales</w:t>
      </w:r>
      <w:r>
        <w:rPr>
          <w:spacing w:val="-9"/>
        </w:rPr>
        <w:t xml:space="preserve"> </w:t>
      </w:r>
      <w:r>
        <w:t>de</w:t>
      </w:r>
      <w:r>
        <w:rPr>
          <w:spacing w:val="-9"/>
        </w:rPr>
        <w:t xml:space="preserve"> </w:t>
      </w:r>
      <w:r>
        <w:t>los</w:t>
      </w:r>
      <w:r>
        <w:rPr>
          <w:spacing w:val="-10"/>
        </w:rPr>
        <w:t xml:space="preserve"> </w:t>
      </w:r>
      <w:r>
        <w:t>pueblos</w:t>
      </w:r>
      <w:r>
        <w:rPr>
          <w:spacing w:val="-10"/>
        </w:rPr>
        <w:t xml:space="preserve"> </w:t>
      </w:r>
      <w:r>
        <w:t>negros</w:t>
      </w:r>
      <w:r>
        <w:rPr>
          <w:spacing w:val="-10"/>
        </w:rPr>
        <w:t xml:space="preserve"> </w:t>
      </w:r>
      <w:r>
        <w:t>sufrieron</w:t>
      </w:r>
      <w:r>
        <w:rPr>
          <w:spacing w:val="-10"/>
        </w:rPr>
        <w:t xml:space="preserve"> </w:t>
      </w:r>
      <w:r>
        <w:t>cambios.</w:t>
      </w:r>
      <w:r>
        <w:rPr>
          <w:spacing w:val="-11"/>
        </w:rPr>
        <w:t xml:space="preserve"> </w:t>
      </w:r>
      <w:r>
        <w:t>Los</w:t>
      </w:r>
      <w:r>
        <w:rPr>
          <w:spacing w:val="-10"/>
        </w:rPr>
        <w:t xml:space="preserve"> </w:t>
      </w:r>
      <w:r>
        <w:t>ritos</w:t>
      </w:r>
      <w:r>
        <w:rPr>
          <w:spacing w:val="-10"/>
        </w:rPr>
        <w:t xml:space="preserve"> </w:t>
      </w:r>
      <w:r>
        <w:t>fúnebres, las formas de vestir, las prácticas musicales colectivas y los liderazgos, entre otros aspectos que marcaban los significados de sus existencias como comunidades étnicas. Los pueblos indígenas tuvieron que confinarse, lo que trajo consigo unas relaciones distintas con su espacio geográfico y vital. Las prácticas de siembra y de cosecha, la dieta cotidiana y la seguridad alimentaria experimentaron cambios acelerados. Los pueblos indígenas también tuvieron que transformar el relacionamiento con la geografía, ese lugar de memoria, de símbolos y fuente de vida.</w:t>
      </w:r>
    </w:p>
    <w:p w:rsidR="0011361F" w:rsidRDefault="00AF18A5" w:rsidP="004A6EF4">
      <w:pPr>
        <w:pStyle w:val="Ttulo3"/>
        <w:numPr>
          <w:ilvl w:val="1"/>
          <w:numId w:val="16"/>
        </w:numPr>
      </w:pPr>
      <w:bookmarkStart w:id="1324" w:name="9.8._A_modo_de_conclusión"/>
      <w:bookmarkStart w:id="1325" w:name="_Toc112399650"/>
      <w:bookmarkEnd w:id="1324"/>
      <w:r>
        <w:t xml:space="preserve">A modo de </w:t>
      </w:r>
      <w:r w:rsidRPr="00131278">
        <w:t>conclusión</w:t>
      </w:r>
      <w:bookmarkEnd w:id="1325"/>
    </w:p>
    <w:p w:rsidR="003804AC" w:rsidRDefault="00AF18A5" w:rsidP="00131278">
      <w:r>
        <w:t>Las disputas por el territorio entre múltiples actores, la imposición de órdenes locales por parte de guerrillas, paramilitares y mafias, la penetración de economías legales e ilegales y la contrarreforma agraria (violenta y no violenta), entre otros fenómenos intrínsecos al conflicto armado interno, han reconfigurado total o parcialmente diversos territorios rurales y urbanos en el país física, demográfica y simbólicamente. La acumulación de violencias estructurales</w:t>
      </w:r>
      <w:r>
        <w:rPr>
          <w:spacing w:val="-9"/>
        </w:rPr>
        <w:t xml:space="preserve"> </w:t>
      </w:r>
      <w:r>
        <w:t>sumadas</w:t>
      </w:r>
      <w:r>
        <w:rPr>
          <w:spacing w:val="-8"/>
        </w:rPr>
        <w:t xml:space="preserve"> </w:t>
      </w:r>
      <w:r>
        <w:t>al</w:t>
      </w:r>
      <w:r>
        <w:rPr>
          <w:spacing w:val="-9"/>
        </w:rPr>
        <w:t xml:space="preserve"> </w:t>
      </w:r>
      <w:r>
        <w:t>conflicto</w:t>
      </w:r>
      <w:r>
        <w:rPr>
          <w:spacing w:val="-8"/>
        </w:rPr>
        <w:t xml:space="preserve"> </w:t>
      </w:r>
      <w:r>
        <w:t>armado</w:t>
      </w:r>
      <w:r>
        <w:rPr>
          <w:spacing w:val="-8"/>
        </w:rPr>
        <w:t xml:space="preserve"> </w:t>
      </w:r>
      <w:r>
        <w:t>ha</w:t>
      </w:r>
      <w:r>
        <w:rPr>
          <w:spacing w:val="-8"/>
        </w:rPr>
        <w:t xml:space="preserve"> </w:t>
      </w:r>
      <w:r>
        <w:t>profundizado</w:t>
      </w:r>
      <w:r>
        <w:rPr>
          <w:spacing w:val="-8"/>
        </w:rPr>
        <w:t xml:space="preserve"> </w:t>
      </w:r>
      <w:r>
        <w:t>la</w:t>
      </w:r>
      <w:r>
        <w:rPr>
          <w:spacing w:val="-9"/>
        </w:rPr>
        <w:t xml:space="preserve"> </w:t>
      </w:r>
      <w:r>
        <w:t>concentración</w:t>
      </w:r>
      <w:r>
        <w:rPr>
          <w:spacing w:val="-9"/>
        </w:rPr>
        <w:t xml:space="preserve"> </w:t>
      </w:r>
      <w:r>
        <w:t>de</w:t>
      </w:r>
      <w:r>
        <w:rPr>
          <w:spacing w:val="-8"/>
        </w:rPr>
        <w:t xml:space="preserve"> </w:t>
      </w:r>
      <w:r>
        <w:t>la</w:t>
      </w:r>
      <w:r>
        <w:rPr>
          <w:spacing w:val="-8"/>
        </w:rPr>
        <w:t xml:space="preserve"> </w:t>
      </w:r>
      <w:r>
        <w:t>tierra</w:t>
      </w:r>
      <w:r>
        <w:rPr>
          <w:spacing w:val="-8"/>
        </w:rPr>
        <w:t xml:space="preserve"> </w:t>
      </w:r>
      <w:r>
        <w:t>y</w:t>
      </w:r>
      <w:r>
        <w:rPr>
          <w:spacing w:val="-8"/>
        </w:rPr>
        <w:t xml:space="preserve"> </w:t>
      </w:r>
      <w:r>
        <w:t>del poder, ha producido la reconversión de la vocación agrícola y el uso de tierra (por ejemplo, tierras fértiles aptas para la producción de alimentos que terminan dedicadas a la ganadería extensiva,</w:t>
      </w:r>
      <w:r>
        <w:rPr>
          <w:spacing w:val="-15"/>
        </w:rPr>
        <w:t xml:space="preserve"> </w:t>
      </w:r>
      <w:r>
        <w:t>la</w:t>
      </w:r>
      <w:r>
        <w:rPr>
          <w:spacing w:val="-15"/>
        </w:rPr>
        <w:t xml:space="preserve"> </w:t>
      </w:r>
      <w:r>
        <w:t>silvicultura</w:t>
      </w:r>
      <w:r>
        <w:rPr>
          <w:spacing w:val="-15"/>
        </w:rPr>
        <w:t xml:space="preserve"> </w:t>
      </w:r>
      <w:r>
        <w:t>o</w:t>
      </w:r>
      <w:r>
        <w:rPr>
          <w:spacing w:val="-15"/>
        </w:rPr>
        <w:t xml:space="preserve"> </w:t>
      </w:r>
      <w:r>
        <w:t>la</w:t>
      </w:r>
      <w:r>
        <w:rPr>
          <w:spacing w:val="-15"/>
        </w:rPr>
        <w:t xml:space="preserve"> </w:t>
      </w:r>
      <w:r>
        <w:lastRenderedPageBreak/>
        <w:t>siembra</w:t>
      </w:r>
      <w:r>
        <w:rPr>
          <w:spacing w:val="-15"/>
        </w:rPr>
        <w:t xml:space="preserve"> </w:t>
      </w:r>
      <w:r>
        <w:t>de</w:t>
      </w:r>
      <w:r>
        <w:rPr>
          <w:spacing w:val="-15"/>
        </w:rPr>
        <w:t xml:space="preserve"> </w:t>
      </w:r>
      <w:r>
        <w:t>cultivos</w:t>
      </w:r>
      <w:r>
        <w:rPr>
          <w:spacing w:val="-15"/>
        </w:rPr>
        <w:t xml:space="preserve"> </w:t>
      </w:r>
      <w:r>
        <w:t>de</w:t>
      </w:r>
      <w:r>
        <w:rPr>
          <w:spacing w:val="-15"/>
        </w:rPr>
        <w:t xml:space="preserve"> </w:t>
      </w:r>
      <w:r>
        <w:t>uso</w:t>
      </w:r>
      <w:r>
        <w:rPr>
          <w:spacing w:val="-15"/>
        </w:rPr>
        <w:t xml:space="preserve"> </w:t>
      </w:r>
      <w:r>
        <w:t>ilícito),</w:t>
      </w:r>
      <w:r>
        <w:rPr>
          <w:spacing w:val="-15"/>
        </w:rPr>
        <w:t xml:space="preserve"> </w:t>
      </w:r>
      <w:r>
        <w:t>y</w:t>
      </w:r>
      <w:r>
        <w:rPr>
          <w:spacing w:val="-15"/>
        </w:rPr>
        <w:t xml:space="preserve"> </w:t>
      </w:r>
      <w:r>
        <w:t>la</w:t>
      </w:r>
      <w:r>
        <w:rPr>
          <w:spacing w:val="-15"/>
        </w:rPr>
        <w:t xml:space="preserve"> </w:t>
      </w:r>
      <w:r>
        <w:t>resignificación</w:t>
      </w:r>
      <w:r>
        <w:rPr>
          <w:spacing w:val="-15"/>
        </w:rPr>
        <w:t xml:space="preserve"> </w:t>
      </w:r>
      <w:r>
        <w:t>de</w:t>
      </w:r>
      <w:r>
        <w:rPr>
          <w:spacing w:val="-15"/>
        </w:rPr>
        <w:t xml:space="preserve"> </w:t>
      </w:r>
      <w:r>
        <w:t>lugares (tanto naturales como artificiales).</w:t>
      </w:r>
    </w:p>
    <w:p w:rsidR="003804AC" w:rsidRDefault="00AF18A5" w:rsidP="00131278">
      <w:r>
        <w:t>En efecto, en el país la desigualdad</w:t>
      </w:r>
      <w:r w:rsidR="00131278">
        <w:rPr>
          <w:rStyle w:val="Refdenotaalpie"/>
        </w:rPr>
        <w:footnoteReference w:id="1073"/>
      </w:r>
      <w:r>
        <w:t xml:space="preserve"> en el acceso a la tierra es casi absoluta. Tras el Censo Nacional Agropecuario en 2014, el DANE concluyó que el índice de Gini de tierras en Colombia era de 0,92</w:t>
      </w:r>
      <w:r w:rsidR="00131278">
        <w:rPr>
          <w:rStyle w:val="Refdenotaalpie"/>
        </w:rPr>
        <w:footnoteReference w:id="1074"/>
      </w:r>
      <w:r>
        <w:t>, lo que nos acercaba a la absoluta desigualdad y nos convertía en uno de los países más desiguales del planeta en materia de acceso a la tierra. En 2014, Colombia</w:t>
      </w:r>
      <w:r>
        <w:rPr>
          <w:spacing w:val="-15"/>
        </w:rPr>
        <w:t xml:space="preserve"> </w:t>
      </w:r>
      <w:r>
        <w:t>ocupaba</w:t>
      </w:r>
      <w:r>
        <w:rPr>
          <w:spacing w:val="-15"/>
        </w:rPr>
        <w:t xml:space="preserve"> </w:t>
      </w:r>
      <w:r>
        <w:t>el</w:t>
      </w:r>
      <w:r>
        <w:rPr>
          <w:spacing w:val="-15"/>
        </w:rPr>
        <w:t xml:space="preserve"> </w:t>
      </w:r>
      <w:r>
        <w:t>puesto</w:t>
      </w:r>
      <w:r>
        <w:rPr>
          <w:spacing w:val="-15"/>
        </w:rPr>
        <w:t xml:space="preserve"> </w:t>
      </w:r>
      <w:r>
        <w:t>siete</w:t>
      </w:r>
      <w:r>
        <w:rPr>
          <w:spacing w:val="-15"/>
        </w:rPr>
        <w:t xml:space="preserve"> </w:t>
      </w:r>
      <w:r>
        <w:t>entre</w:t>
      </w:r>
      <w:r>
        <w:rPr>
          <w:spacing w:val="-15"/>
        </w:rPr>
        <w:t xml:space="preserve"> </w:t>
      </w:r>
      <w:r>
        <w:t>87</w:t>
      </w:r>
      <w:r>
        <w:rPr>
          <w:spacing w:val="-15"/>
        </w:rPr>
        <w:t xml:space="preserve"> </w:t>
      </w:r>
      <w:r>
        <w:t>países</w:t>
      </w:r>
      <w:r>
        <w:rPr>
          <w:spacing w:val="-15"/>
        </w:rPr>
        <w:t xml:space="preserve"> </w:t>
      </w:r>
      <w:r>
        <w:t>analizados</w:t>
      </w:r>
      <w:r>
        <w:rPr>
          <w:spacing w:val="-15"/>
        </w:rPr>
        <w:t xml:space="preserve"> </w:t>
      </w:r>
      <w:r>
        <w:t>por</w:t>
      </w:r>
      <w:r>
        <w:rPr>
          <w:spacing w:val="-15"/>
        </w:rPr>
        <w:t xml:space="preserve"> </w:t>
      </w:r>
      <w:r>
        <w:t>la</w:t>
      </w:r>
      <w:r>
        <w:rPr>
          <w:spacing w:val="-15"/>
        </w:rPr>
        <w:t xml:space="preserve"> </w:t>
      </w:r>
      <w:r>
        <w:t>organización</w:t>
      </w:r>
      <w:r>
        <w:rPr>
          <w:spacing w:val="-15"/>
        </w:rPr>
        <w:t xml:space="preserve"> </w:t>
      </w:r>
      <w:r>
        <w:t xml:space="preserve">internacional </w:t>
      </w:r>
      <w:proofErr w:type="spellStart"/>
      <w:r>
        <w:t>Grain</w:t>
      </w:r>
      <w:proofErr w:type="spellEnd"/>
      <w:r>
        <w:t>, en el marco de un estudio mundial sobre concentración de la tierra. Luego de conocerse las cifras del CNA, el país fue reubicado en el quinto lugar de la lista</w:t>
      </w:r>
      <w:r w:rsidR="004C41E1">
        <w:rPr>
          <w:rStyle w:val="Refdenotaalpie"/>
        </w:rPr>
        <w:footnoteReference w:id="1075"/>
      </w:r>
      <w:r>
        <w:t>.</w:t>
      </w:r>
    </w:p>
    <w:p w:rsidR="0011361F" w:rsidRDefault="00AF18A5" w:rsidP="004C41E1">
      <w:r>
        <w:t>Colombia tiene una superficie de 114 millones de hectáreas. Su territorio alcanzaría para albergar ocho países de Europa: Alemania, Italia, Grecia, Inglaterra, Austria, Croacia, Holanda y Suiza. El 35</w:t>
      </w:r>
      <w:r>
        <w:rPr>
          <w:spacing w:val="-2"/>
        </w:rPr>
        <w:t xml:space="preserve"> </w:t>
      </w:r>
      <w:r>
        <w:t xml:space="preserve">% del territorio (40 millones de hectáreas), conforma la frontera agrícola, esto es, el suelo rural con vocación para la explotación agropecuaria, separado de las zonas de conservación ambiental y protección de la </w:t>
      </w:r>
      <w:r>
        <w:lastRenderedPageBreak/>
        <w:t>biodiversidad. Sin embargo, de acuerdo con el Censo Nacional Agropecuario, en 2014 se explotaban 48 millones de hectáreas, lo que significaba la reconversión de ocho millones de hectáreas en las que antes se ubicaban bosques, selvas, páramos y humedales destinados a captar carbono y producir oxígeno.</w:t>
      </w:r>
      <w:r>
        <w:rPr>
          <w:spacing w:val="-6"/>
        </w:rPr>
        <w:t xml:space="preserve"> </w:t>
      </w:r>
      <w:r>
        <w:t>La</w:t>
      </w:r>
      <w:r>
        <w:rPr>
          <w:spacing w:val="-6"/>
        </w:rPr>
        <w:t xml:space="preserve"> </w:t>
      </w:r>
      <w:r>
        <w:t>fuerte</w:t>
      </w:r>
      <w:r>
        <w:rPr>
          <w:spacing w:val="-6"/>
        </w:rPr>
        <w:t xml:space="preserve"> </w:t>
      </w:r>
      <w:r>
        <w:t>presión</w:t>
      </w:r>
      <w:r>
        <w:rPr>
          <w:spacing w:val="-6"/>
        </w:rPr>
        <w:t xml:space="preserve"> </w:t>
      </w:r>
      <w:r>
        <w:t>antrópica</w:t>
      </w:r>
      <w:r>
        <w:rPr>
          <w:spacing w:val="-6"/>
        </w:rPr>
        <w:t xml:space="preserve"> </w:t>
      </w:r>
      <w:r>
        <w:t>a</w:t>
      </w:r>
      <w:r>
        <w:rPr>
          <w:spacing w:val="-6"/>
        </w:rPr>
        <w:t xml:space="preserve"> </w:t>
      </w:r>
      <w:r>
        <w:t>los</w:t>
      </w:r>
      <w:r>
        <w:rPr>
          <w:spacing w:val="-6"/>
        </w:rPr>
        <w:t xml:space="preserve"> </w:t>
      </w:r>
      <w:r>
        <w:t>valles,</w:t>
      </w:r>
      <w:r>
        <w:rPr>
          <w:spacing w:val="-7"/>
        </w:rPr>
        <w:t xml:space="preserve"> </w:t>
      </w:r>
      <w:r>
        <w:t>selvas,</w:t>
      </w:r>
      <w:r>
        <w:rPr>
          <w:spacing w:val="-6"/>
        </w:rPr>
        <w:t xml:space="preserve"> </w:t>
      </w:r>
      <w:r>
        <w:t>sabanas</w:t>
      </w:r>
      <w:r>
        <w:rPr>
          <w:spacing w:val="-6"/>
        </w:rPr>
        <w:t xml:space="preserve"> </w:t>
      </w:r>
      <w:r>
        <w:t>y</w:t>
      </w:r>
      <w:r>
        <w:rPr>
          <w:spacing w:val="-6"/>
        </w:rPr>
        <w:t xml:space="preserve"> </w:t>
      </w:r>
      <w:r>
        <w:t>montañas</w:t>
      </w:r>
      <w:r>
        <w:rPr>
          <w:spacing w:val="-6"/>
        </w:rPr>
        <w:t xml:space="preserve"> </w:t>
      </w:r>
      <w:r>
        <w:t>colombianas</w:t>
      </w:r>
      <w:r>
        <w:rPr>
          <w:spacing w:val="-6"/>
        </w:rPr>
        <w:t xml:space="preserve"> </w:t>
      </w:r>
      <w:r>
        <w:t>es histórica,</w:t>
      </w:r>
      <w:r>
        <w:rPr>
          <w:spacing w:val="-14"/>
        </w:rPr>
        <w:t xml:space="preserve"> </w:t>
      </w:r>
      <w:r>
        <w:t>pero</w:t>
      </w:r>
      <w:r>
        <w:rPr>
          <w:spacing w:val="-14"/>
        </w:rPr>
        <w:t xml:space="preserve"> </w:t>
      </w:r>
      <w:r>
        <w:t>se</w:t>
      </w:r>
      <w:r>
        <w:rPr>
          <w:spacing w:val="-14"/>
        </w:rPr>
        <w:t xml:space="preserve"> </w:t>
      </w:r>
      <w:r>
        <w:t>ha</w:t>
      </w:r>
      <w:r>
        <w:rPr>
          <w:spacing w:val="-14"/>
        </w:rPr>
        <w:t xml:space="preserve"> </w:t>
      </w:r>
      <w:r>
        <w:t>profundizado</w:t>
      </w:r>
      <w:r>
        <w:rPr>
          <w:spacing w:val="-14"/>
        </w:rPr>
        <w:t xml:space="preserve"> </w:t>
      </w:r>
      <w:r>
        <w:t>en</w:t>
      </w:r>
      <w:r>
        <w:rPr>
          <w:spacing w:val="-14"/>
        </w:rPr>
        <w:t xml:space="preserve"> </w:t>
      </w:r>
      <w:r>
        <w:t>los</w:t>
      </w:r>
      <w:r>
        <w:rPr>
          <w:spacing w:val="-14"/>
        </w:rPr>
        <w:t xml:space="preserve"> </w:t>
      </w:r>
      <w:r>
        <w:t>últimos</w:t>
      </w:r>
      <w:r>
        <w:rPr>
          <w:spacing w:val="-14"/>
        </w:rPr>
        <w:t xml:space="preserve"> </w:t>
      </w:r>
      <w:r>
        <w:t>40</w:t>
      </w:r>
      <w:r>
        <w:rPr>
          <w:spacing w:val="-14"/>
        </w:rPr>
        <w:t xml:space="preserve"> </w:t>
      </w:r>
      <w:r>
        <w:t>años</w:t>
      </w:r>
      <w:r>
        <w:rPr>
          <w:spacing w:val="-14"/>
        </w:rPr>
        <w:t xml:space="preserve"> </w:t>
      </w:r>
      <w:r>
        <w:t>por</w:t>
      </w:r>
      <w:r>
        <w:rPr>
          <w:spacing w:val="-14"/>
        </w:rPr>
        <w:t xml:space="preserve"> </w:t>
      </w:r>
      <w:r>
        <w:t>cuenta</w:t>
      </w:r>
      <w:r>
        <w:rPr>
          <w:spacing w:val="-14"/>
        </w:rPr>
        <w:t xml:space="preserve"> </w:t>
      </w:r>
      <w:r>
        <w:t>de</w:t>
      </w:r>
      <w:r>
        <w:rPr>
          <w:spacing w:val="-14"/>
        </w:rPr>
        <w:t xml:space="preserve"> </w:t>
      </w:r>
      <w:r>
        <w:t>la</w:t>
      </w:r>
      <w:r>
        <w:rPr>
          <w:spacing w:val="-14"/>
        </w:rPr>
        <w:t xml:space="preserve"> </w:t>
      </w:r>
      <w:r>
        <w:t>ganadería</w:t>
      </w:r>
      <w:r>
        <w:rPr>
          <w:spacing w:val="-14"/>
        </w:rPr>
        <w:t xml:space="preserve"> </w:t>
      </w:r>
      <w:r>
        <w:t>extensiva y el narcotráfico.</w:t>
      </w:r>
    </w:p>
    <w:p w:rsidR="003804AC" w:rsidRDefault="00AF18A5" w:rsidP="004C41E1">
      <w:bookmarkStart w:id="1326" w:name="_bookmark1177"/>
      <w:bookmarkStart w:id="1327" w:name="_bookmark1179"/>
      <w:bookmarkEnd w:id="1326"/>
      <w:bookmarkEnd w:id="1327"/>
      <w:r>
        <w:t>La situación no ha cambiado en los últimos años. Un informe publicado por Oxfam en 2017</w:t>
      </w:r>
      <w:r>
        <w:rPr>
          <w:spacing w:val="20"/>
        </w:rPr>
        <w:t xml:space="preserve"> </w:t>
      </w:r>
      <w:r>
        <w:t>expuso</w:t>
      </w:r>
      <w:r>
        <w:rPr>
          <w:spacing w:val="20"/>
        </w:rPr>
        <w:t xml:space="preserve"> </w:t>
      </w:r>
      <w:r>
        <w:t>que</w:t>
      </w:r>
      <w:r>
        <w:rPr>
          <w:spacing w:val="21"/>
        </w:rPr>
        <w:t xml:space="preserve"> </w:t>
      </w:r>
      <w:r>
        <w:t>en</w:t>
      </w:r>
      <w:r>
        <w:rPr>
          <w:spacing w:val="20"/>
        </w:rPr>
        <w:t xml:space="preserve"> </w:t>
      </w:r>
      <w:r>
        <w:t>Colombia</w:t>
      </w:r>
      <w:r>
        <w:rPr>
          <w:spacing w:val="21"/>
        </w:rPr>
        <w:t xml:space="preserve"> </w:t>
      </w:r>
      <w:r>
        <w:t>apenas</w:t>
      </w:r>
      <w:r>
        <w:rPr>
          <w:spacing w:val="21"/>
        </w:rPr>
        <w:t xml:space="preserve"> </w:t>
      </w:r>
      <w:r>
        <w:t>el</w:t>
      </w:r>
      <w:r>
        <w:rPr>
          <w:spacing w:val="21"/>
        </w:rPr>
        <w:t xml:space="preserve"> </w:t>
      </w:r>
      <w:r>
        <w:t>1</w:t>
      </w:r>
      <w:r>
        <w:rPr>
          <w:spacing w:val="-2"/>
        </w:rPr>
        <w:t xml:space="preserve"> </w:t>
      </w:r>
      <w:r>
        <w:t>%</w:t>
      </w:r>
      <w:r>
        <w:rPr>
          <w:spacing w:val="21"/>
        </w:rPr>
        <w:t xml:space="preserve"> </w:t>
      </w:r>
      <w:r>
        <w:t>de</w:t>
      </w:r>
      <w:r>
        <w:rPr>
          <w:spacing w:val="21"/>
        </w:rPr>
        <w:t xml:space="preserve"> </w:t>
      </w:r>
      <w:r>
        <w:t>las</w:t>
      </w:r>
      <w:r>
        <w:rPr>
          <w:spacing w:val="21"/>
        </w:rPr>
        <w:t xml:space="preserve"> </w:t>
      </w:r>
      <w:r>
        <w:t>fincas de</w:t>
      </w:r>
      <w:r>
        <w:rPr>
          <w:spacing w:val="21"/>
        </w:rPr>
        <w:t xml:space="preserve"> </w:t>
      </w:r>
      <w:r>
        <w:t>mayor</w:t>
      </w:r>
      <w:r>
        <w:rPr>
          <w:spacing w:val="21"/>
        </w:rPr>
        <w:t xml:space="preserve"> </w:t>
      </w:r>
      <w:r>
        <w:t>tamaño</w:t>
      </w:r>
      <w:r>
        <w:rPr>
          <w:spacing w:val="20"/>
        </w:rPr>
        <w:t xml:space="preserve"> </w:t>
      </w:r>
      <w:r>
        <w:t>ocupaban</w:t>
      </w:r>
      <w:r>
        <w:rPr>
          <w:spacing w:val="20"/>
        </w:rPr>
        <w:t xml:space="preserve"> </w:t>
      </w:r>
      <w:r>
        <w:t>el 81</w:t>
      </w:r>
      <w:r>
        <w:rPr>
          <w:spacing w:val="-2"/>
        </w:rPr>
        <w:t xml:space="preserve"> </w:t>
      </w:r>
      <w:r>
        <w:t>% de la tierra; que el 42,7</w:t>
      </w:r>
      <w:r>
        <w:rPr>
          <w:spacing w:val="-2"/>
        </w:rPr>
        <w:t xml:space="preserve"> </w:t>
      </w:r>
      <w:r>
        <w:t>% de los propietarios de los predios más grandes no conocían el origen legal de sus terrenos; que las mujeres solo poseen titularidad sobre el 26</w:t>
      </w:r>
      <w:r>
        <w:rPr>
          <w:spacing w:val="-2"/>
        </w:rPr>
        <w:t xml:space="preserve"> </w:t>
      </w:r>
      <w:r>
        <w:t>% de las tierras;</w:t>
      </w:r>
      <w:r>
        <w:rPr>
          <w:spacing w:val="-10"/>
        </w:rPr>
        <w:t xml:space="preserve"> </w:t>
      </w:r>
      <w:r>
        <w:t>que</w:t>
      </w:r>
      <w:r>
        <w:rPr>
          <w:spacing w:val="-10"/>
        </w:rPr>
        <w:t xml:space="preserve"> </w:t>
      </w:r>
      <w:r>
        <w:t>los</w:t>
      </w:r>
      <w:r>
        <w:rPr>
          <w:spacing w:val="-10"/>
        </w:rPr>
        <w:t xml:space="preserve"> </w:t>
      </w:r>
      <w:r>
        <w:t>monocultivos</w:t>
      </w:r>
      <w:r>
        <w:rPr>
          <w:spacing w:val="-10"/>
        </w:rPr>
        <w:t xml:space="preserve"> </w:t>
      </w:r>
      <w:r>
        <w:t>predominaban</w:t>
      </w:r>
      <w:r>
        <w:rPr>
          <w:spacing w:val="-11"/>
        </w:rPr>
        <w:t xml:space="preserve"> </w:t>
      </w:r>
      <w:r>
        <w:t>en</w:t>
      </w:r>
      <w:r>
        <w:rPr>
          <w:spacing w:val="-11"/>
        </w:rPr>
        <w:t xml:space="preserve"> </w:t>
      </w:r>
      <w:r>
        <w:t>muchos</w:t>
      </w:r>
      <w:r>
        <w:rPr>
          <w:spacing w:val="-10"/>
        </w:rPr>
        <w:t xml:space="preserve"> </w:t>
      </w:r>
      <w:r>
        <w:t>departamentos</w:t>
      </w:r>
      <w:r>
        <w:rPr>
          <w:spacing w:val="-10"/>
        </w:rPr>
        <w:t xml:space="preserve"> </w:t>
      </w:r>
      <w:r>
        <w:t>(por</w:t>
      </w:r>
      <w:r>
        <w:rPr>
          <w:spacing w:val="-10"/>
        </w:rPr>
        <w:t xml:space="preserve"> </w:t>
      </w:r>
      <w:r>
        <w:t>ejemplo,</w:t>
      </w:r>
      <w:r>
        <w:rPr>
          <w:spacing w:val="-11"/>
        </w:rPr>
        <w:t xml:space="preserve"> </w:t>
      </w:r>
      <w:r>
        <w:t>el</w:t>
      </w:r>
      <w:r>
        <w:rPr>
          <w:spacing w:val="-11"/>
        </w:rPr>
        <w:t xml:space="preserve"> </w:t>
      </w:r>
      <w:r>
        <w:t>30</w:t>
      </w:r>
      <w:r>
        <w:rPr>
          <w:spacing w:val="-3"/>
        </w:rPr>
        <w:t xml:space="preserve"> </w:t>
      </w:r>
      <w:r>
        <w:t>% del área sembradas en Meta correspondía a palma aceitera); y que un millón de hogares rurales vivían en menos espacio del que tenía disponible una vaca para pastar</w:t>
      </w:r>
      <w:r w:rsidR="004C41E1">
        <w:rPr>
          <w:rStyle w:val="Refdenotaalpie"/>
        </w:rPr>
        <w:footnoteReference w:id="1076"/>
      </w:r>
      <w:r>
        <w:t>.</w:t>
      </w:r>
    </w:p>
    <w:p w:rsidR="0011361F" w:rsidRDefault="00AF18A5" w:rsidP="004C41E1">
      <w:r>
        <w:t>En el mismo sentido se pronunciaron informes del Instituto Geográfico Agustín Codazzi (IGAC) y la Unidad de</w:t>
      </w:r>
      <w:r>
        <w:rPr>
          <w:spacing w:val="-1"/>
        </w:rPr>
        <w:t xml:space="preserve"> </w:t>
      </w:r>
      <w:r>
        <w:t>Planeación Rural Agropecuaria (UPRA) publicados en 2019.</w:t>
      </w:r>
      <w:r w:rsidR="00B87AAF">
        <w:rPr>
          <w:rStyle w:val="Refdenotaalpie"/>
        </w:rPr>
        <w:footnoteReference w:id="1077"/>
      </w:r>
      <w:r>
        <w:t xml:space="preserve"> De acuerdo con el IGAC, mientras que los suelos agrícolas apenas representaban el 4,7</w:t>
      </w:r>
      <w:r>
        <w:rPr>
          <w:spacing w:val="-3"/>
        </w:rPr>
        <w:t xml:space="preserve"> </w:t>
      </w:r>
      <w:r>
        <w:t>% (5.315.705</w:t>
      </w:r>
      <w:r>
        <w:rPr>
          <w:spacing w:val="-4"/>
        </w:rPr>
        <w:t xml:space="preserve"> </w:t>
      </w:r>
      <w:r>
        <w:t>hectáreas)</w:t>
      </w:r>
      <w:r>
        <w:rPr>
          <w:spacing w:val="-3"/>
        </w:rPr>
        <w:t xml:space="preserve"> </w:t>
      </w:r>
      <w:r>
        <w:t>en</w:t>
      </w:r>
      <w:r>
        <w:rPr>
          <w:spacing w:val="-4"/>
        </w:rPr>
        <w:t xml:space="preserve"> </w:t>
      </w:r>
      <w:r>
        <w:t>las</w:t>
      </w:r>
      <w:r>
        <w:rPr>
          <w:spacing w:val="-3"/>
        </w:rPr>
        <w:t xml:space="preserve"> </w:t>
      </w:r>
      <w:r>
        <w:t>114</w:t>
      </w:r>
      <w:r>
        <w:rPr>
          <w:spacing w:val="-4"/>
        </w:rPr>
        <w:t xml:space="preserve"> </w:t>
      </w:r>
      <w:r>
        <w:t>millones</w:t>
      </w:r>
      <w:r>
        <w:rPr>
          <w:spacing w:val="-3"/>
        </w:rPr>
        <w:t xml:space="preserve"> </w:t>
      </w:r>
      <w:r>
        <w:t>de</w:t>
      </w:r>
      <w:r>
        <w:rPr>
          <w:spacing w:val="-3"/>
        </w:rPr>
        <w:t xml:space="preserve"> </w:t>
      </w:r>
      <w:r>
        <w:t>hectáreas</w:t>
      </w:r>
      <w:r>
        <w:rPr>
          <w:spacing w:val="-3"/>
        </w:rPr>
        <w:t xml:space="preserve"> </w:t>
      </w:r>
      <w:r>
        <w:t>de</w:t>
      </w:r>
      <w:r>
        <w:rPr>
          <w:spacing w:val="-3"/>
        </w:rPr>
        <w:t xml:space="preserve"> </w:t>
      </w:r>
      <w:r>
        <w:t>tierras</w:t>
      </w:r>
      <w:r>
        <w:rPr>
          <w:spacing w:val="-3"/>
        </w:rPr>
        <w:t xml:space="preserve"> </w:t>
      </w:r>
      <w:r>
        <w:t>que</w:t>
      </w:r>
      <w:r>
        <w:rPr>
          <w:spacing w:val="-3"/>
        </w:rPr>
        <w:t xml:space="preserve"> </w:t>
      </w:r>
      <w:r>
        <w:t>tiene</w:t>
      </w:r>
      <w:r>
        <w:rPr>
          <w:spacing w:val="-5"/>
        </w:rPr>
        <w:t xml:space="preserve"> </w:t>
      </w:r>
      <w:r>
        <w:lastRenderedPageBreak/>
        <w:t>Colombia,</w:t>
      </w:r>
      <w:r w:rsidR="00B87AAF">
        <w:rPr>
          <w:rStyle w:val="Refdenotaalpie"/>
        </w:rPr>
        <w:footnoteReference w:id="1078"/>
      </w:r>
      <w:r>
        <w:rPr>
          <w:spacing w:val="-3"/>
        </w:rPr>
        <w:t xml:space="preserve"> </w:t>
      </w:r>
      <w:r>
        <w:t>los territorios ganaderos ocupaban el 30,6</w:t>
      </w:r>
      <w:r>
        <w:rPr>
          <w:spacing w:val="-2"/>
        </w:rPr>
        <w:t xml:space="preserve"> </w:t>
      </w:r>
      <w:r>
        <w:t>% (34.898.456 hectáreas). Por su parte, los datos de la UPRA mostraban</w:t>
      </w:r>
      <w:r>
        <w:rPr>
          <w:spacing w:val="-1"/>
        </w:rPr>
        <w:t xml:space="preserve"> </w:t>
      </w:r>
      <w:r>
        <w:t>que, de aproximadamente 40</w:t>
      </w:r>
      <w:r>
        <w:rPr>
          <w:spacing w:val="-1"/>
        </w:rPr>
        <w:t xml:space="preserve"> </w:t>
      </w:r>
      <w:r>
        <w:t>millones de</w:t>
      </w:r>
      <w:r>
        <w:rPr>
          <w:spacing w:val="-1"/>
        </w:rPr>
        <w:t xml:space="preserve"> </w:t>
      </w:r>
      <w:r>
        <w:t>hectáreas</w:t>
      </w:r>
      <w:r>
        <w:rPr>
          <w:spacing w:val="-1"/>
        </w:rPr>
        <w:t xml:space="preserve"> </w:t>
      </w:r>
      <w:r>
        <w:t>agrícolas, cerca del 37</w:t>
      </w:r>
      <w:r>
        <w:rPr>
          <w:spacing w:val="-2"/>
        </w:rPr>
        <w:t xml:space="preserve"> </w:t>
      </w:r>
      <w:r>
        <w:t>% (16.893.986) estaban sobre utilizadas (principalmente en Antioquia, Santander, Caquetá, Tolima y Boyacá), mientras que el 29</w:t>
      </w:r>
      <w:r>
        <w:rPr>
          <w:spacing w:val="-3"/>
        </w:rPr>
        <w:t xml:space="preserve"> </w:t>
      </w:r>
      <w:r>
        <w:t>% (13.449.286), tenían algún grado de subutilización (especialmente en Meta, Vichada y Casanare). De igual forma, la UPRA estimó</w:t>
      </w:r>
      <w:r>
        <w:rPr>
          <w:spacing w:val="-15"/>
        </w:rPr>
        <w:t xml:space="preserve"> </w:t>
      </w:r>
      <w:r>
        <w:t>que</w:t>
      </w:r>
      <w:r>
        <w:rPr>
          <w:spacing w:val="-15"/>
        </w:rPr>
        <w:t xml:space="preserve"> </w:t>
      </w:r>
      <w:r>
        <w:t>la</w:t>
      </w:r>
      <w:r>
        <w:rPr>
          <w:spacing w:val="-15"/>
        </w:rPr>
        <w:t xml:space="preserve"> </w:t>
      </w:r>
      <w:r>
        <w:t>cuarta</w:t>
      </w:r>
      <w:r>
        <w:rPr>
          <w:spacing w:val="-15"/>
        </w:rPr>
        <w:t xml:space="preserve"> </w:t>
      </w:r>
      <w:r>
        <w:t>parte</w:t>
      </w:r>
      <w:r>
        <w:rPr>
          <w:spacing w:val="-15"/>
        </w:rPr>
        <w:t xml:space="preserve"> </w:t>
      </w:r>
      <w:r>
        <w:t>de</w:t>
      </w:r>
      <w:r>
        <w:rPr>
          <w:spacing w:val="-15"/>
        </w:rPr>
        <w:t xml:space="preserve"> </w:t>
      </w:r>
      <w:r>
        <w:t>la</w:t>
      </w:r>
      <w:r>
        <w:rPr>
          <w:spacing w:val="-15"/>
        </w:rPr>
        <w:t xml:space="preserve"> </w:t>
      </w:r>
      <w:r>
        <w:t>tierra</w:t>
      </w:r>
      <w:r>
        <w:rPr>
          <w:spacing w:val="-15"/>
        </w:rPr>
        <w:t xml:space="preserve"> </w:t>
      </w:r>
      <w:r>
        <w:t>apta</w:t>
      </w:r>
      <w:r>
        <w:rPr>
          <w:spacing w:val="-15"/>
        </w:rPr>
        <w:t xml:space="preserve"> </w:t>
      </w:r>
      <w:r>
        <w:t>para</w:t>
      </w:r>
      <w:r>
        <w:rPr>
          <w:spacing w:val="-15"/>
        </w:rPr>
        <w:t xml:space="preserve"> </w:t>
      </w:r>
      <w:r>
        <w:t>la</w:t>
      </w:r>
      <w:r>
        <w:rPr>
          <w:spacing w:val="-15"/>
        </w:rPr>
        <w:t xml:space="preserve"> </w:t>
      </w:r>
      <w:r>
        <w:t>agricultura</w:t>
      </w:r>
      <w:r>
        <w:rPr>
          <w:spacing w:val="-15"/>
        </w:rPr>
        <w:t xml:space="preserve"> </w:t>
      </w:r>
      <w:r>
        <w:t>se</w:t>
      </w:r>
      <w:r>
        <w:rPr>
          <w:spacing w:val="-15"/>
        </w:rPr>
        <w:t xml:space="preserve"> </w:t>
      </w:r>
      <w:r>
        <w:t>encontraba</w:t>
      </w:r>
      <w:r>
        <w:rPr>
          <w:spacing w:val="-15"/>
        </w:rPr>
        <w:t xml:space="preserve"> </w:t>
      </w:r>
      <w:r>
        <w:t>en</w:t>
      </w:r>
      <w:r>
        <w:rPr>
          <w:spacing w:val="-15"/>
        </w:rPr>
        <w:t xml:space="preserve"> </w:t>
      </w:r>
      <w:r>
        <w:t>poder</w:t>
      </w:r>
      <w:r>
        <w:rPr>
          <w:spacing w:val="-15"/>
        </w:rPr>
        <w:t xml:space="preserve"> </w:t>
      </w:r>
      <w:r>
        <w:t>de</w:t>
      </w:r>
      <w:r>
        <w:rPr>
          <w:spacing w:val="-15"/>
        </w:rPr>
        <w:t xml:space="preserve"> </w:t>
      </w:r>
      <w:r>
        <w:t>apenas el</w:t>
      </w:r>
      <w:r>
        <w:rPr>
          <w:spacing w:val="-15"/>
        </w:rPr>
        <w:t xml:space="preserve"> </w:t>
      </w:r>
      <w:r>
        <w:t>0,16</w:t>
      </w:r>
      <w:r>
        <w:rPr>
          <w:spacing w:val="-15"/>
        </w:rPr>
        <w:t xml:space="preserve"> </w:t>
      </w:r>
      <w:r>
        <w:t>%</w:t>
      </w:r>
      <w:r>
        <w:rPr>
          <w:spacing w:val="-15"/>
        </w:rPr>
        <w:t xml:space="preserve"> </w:t>
      </w:r>
      <w:r>
        <w:t>de</w:t>
      </w:r>
      <w:r>
        <w:rPr>
          <w:spacing w:val="-15"/>
        </w:rPr>
        <w:t xml:space="preserve"> </w:t>
      </w:r>
      <w:r>
        <w:t>los</w:t>
      </w:r>
      <w:r>
        <w:rPr>
          <w:spacing w:val="-15"/>
        </w:rPr>
        <w:t xml:space="preserve"> </w:t>
      </w:r>
      <w:r>
        <w:t>propietarios.</w:t>
      </w:r>
      <w:r>
        <w:rPr>
          <w:spacing w:val="-15"/>
        </w:rPr>
        <w:t xml:space="preserve"> </w:t>
      </w:r>
      <w:r>
        <w:t>Para</w:t>
      </w:r>
      <w:r>
        <w:rPr>
          <w:spacing w:val="-15"/>
        </w:rPr>
        <w:t xml:space="preserve"> </w:t>
      </w:r>
      <w:r>
        <w:t>el</w:t>
      </w:r>
      <w:r>
        <w:rPr>
          <w:spacing w:val="-15"/>
        </w:rPr>
        <w:t xml:space="preserve"> </w:t>
      </w:r>
      <w:r>
        <w:t>momento</w:t>
      </w:r>
      <w:r>
        <w:rPr>
          <w:spacing w:val="-15"/>
        </w:rPr>
        <w:t xml:space="preserve"> </w:t>
      </w:r>
      <w:r>
        <w:t>de</w:t>
      </w:r>
      <w:r>
        <w:rPr>
          <w:spacing w:val="-15"/>
        </w:rPr>
        <w:t xml:space="preserve"> </w:t>
      </w:r>
      <w:r>
        <w:t>las</w:t>
      </w:r>
      <w:r>
        <w:rPr>
          <w:spacing w:val="-15"/>
        </w:rPr>
        <w:t xml:space="preserve"> </w:t>
      </w:r>
      <w:r>
        <w:t>mediciones,</w:t>
      </w:r>
      <w:r>
        <w:rPr>
          <w:spacing w:val="-15"/>
        </w:rPr>
        <w:t xml:space="preserve"> </w:t>
      </w:r>
      <w:r>
        <w:t>el</w:t>
      </w:r>
      <w:r>
        <w:rPr>
          <w:spacing w:val="-15"/>
        </w:rPr>
        <w:t xml:space="preserve"> </w:t>
      </w:r>
      <w:r>
        <w:t>54,31</w:t>
      </w:r>
      <w:r>
        <w:rPr>
          <w:spacing w:val="-15"/>
        </w:rPr>
        <w:t xml:space="preserve"> </w:t>
      </w:r>
      <w:r>
        <w:t>%</w:t>
      </w:r>
      <w:r>
        <w:rPr>
          <w:spacing w:val="-15"/>
        </w:rPr>
        <w:t xml:space="preserve"> </w:t>
      </w:r>
      <w:r>
        <w:t>de</w:t>
      </w:r>
      <w:r>
        <w:rPr>
          <w:spacing w:val="-15"/>
        </w:rPr>
        <w:t xml:space="preserve"> </w:t>
      </w:r>
      <w:r>
        <w:t>los</w:t>
      </w:r>
      <w:r>
        <w:rPr>
          <w:spacing w:val="-15"/>
        </w:rPr>
        <w:t xml:space="preserve"> </w:t>
      </w:r>
      <w:r>
        <w:t>3.691.205 predios rurales del país carecían de títulos. Estas condiciones impactan negativamente el sector agropecuario como la ineficiencia, la baja competitividad y el rezago en la productividad. Además, la inseguridad jurídica sobre la propiedad de la tierra dificulta la existencia de transacciones transparentes y se convierte en una barrera para la inversión en el campo y en motor de violencia.</w:t>
      </w:r>
    </w:p>
    <w:p w:rsidR="003804AC" w:rsidRDefault="00AF18A5" w:rsidP="00B87AAF">
      <w:bookmarkStart w:id="1328" w:name="_bookmark1180"/>
      <w:bookmarkStart w:id="1329" w:name="_bookmark1181"/>
      <w:bookmarkStart w:id="1330" w:name="_bookmark1182"/>
      <w:bookmarkEnd w:id="1328"/>
      <w:bookmarkEnd w:id="1329"/>
      <w:bookmarkEnd w:id="1330"/>
      <w:r>
        <w:t>Igualmente,</w:t>
      </w:r>
      <w:r>
        <w:rPr>
          <w:spacing w:val="-7"/>
        </w:rPr>
        <w:t xml:space="preserve"> </w:t>
      </w:r>
      <w:r>
        <w:t>un</w:t>
      </w:r>
      <w:r>
        <w:rPr>
          <w:spacing w:val="-6"/>
        </w:rPr>
        <w:t xml:space="preserve"> </w:t>
      </w:r>
      <w:r>
        <w:t>informe</w:t>
      </w:r>
      <w:r>
        <w:rPr>
          <w:spacing w:val="-7"/>
        </w:rPr>
        <w:t xml:space="preserve"> </w:t>
      </w:r>
      <w:r>
        <w:t>del</w:t>
      </w:r>
      <w:r>
        <w:rPr>
          <w:spacing w:val="-6"/>
        </w:rPr>
        <w:t xml:space="preserve"> </w:t>
      </w:r>
      <w:r>
        <w:t>Banco</w:t>
      </w:r>
      <w:r>
        <w:rPr>
          <w:spacing w:val="-6"/>
        </w:rPr>
        <w:t xml:space="preserve"> </w:t>
      </w:r>
      <w:r>
        <w:t>Mundial</w:t>
      </w:r>
      <w:r>
        <w:rPr>
          <w:spacing w:val="-6"/>
        </w:rPr>
        <w:t xml:space="preserve"> </w:t>
      </w:r>
      <w:r>
        <w:t>publicado</w:t>
      </w:r>
      <w:r>
        <w:rPr>
          <w:spacing w:val="-6"/>
        </w:rPr>
        <w:t xml:space="preserve"> </w:t>
      </w:r>
      <w:r>
        <w:t>en</w:t>
      </w:r>
      <w:r>
        <w:rPr>
          <w:spacing w:val="-6"/>
        </w:rPr>
        <w:t xml:space="preserve"> </w:t>
      </w:r>
      <w:r>
        <w:t>2021</w:t>
      </w:r>
      <w:r>
        <w:rPr>
          <w:spacing w:val="-6"/>
        </w:rPr>
        <w:t xml:space="preserve"> </w:t>
      </w:r>
      <w:r>
        <w:t>afirmó</w:t>
      </w:r>
      <w:r>
        <w:rPr>
          <w:spacing w:val="-7"/>
        </w:rPr>
        <w:t xml:space="preserve"> </w:t>
      </w:r>
      <w:r>
        <w:t>que</w:t>
      </w:r>
      <w:r>
        <w:rPr>
          <w:spacing w:val="-6"/>
        </w:rPr>
        <w:t xml:space="preserve"> </w:t>
      </w:r>
      <w:r>
        <w:t>Colombia</w:t>
      </w:r>
      <w:r>
        <w:rPr>
          <w:spacing w:val="-6"/>
        </w:rPr>
        <w:t xml:space="preserve"> </w:t>
      </w:r>
      <w:r>
        <w:t>es</w:t>
      </w:r>
      <w:r>
        <w:rPr>
          <w:spacing w:val="-6"/>
        </w:rPr>
        <w:t xml:space="preserve"> </w:t>
      </w:r>
      <w:r>
        <w:t>el país</w:t>
      </w:r>
      <w:r>
        <w:rPr>
          <w:spacing w:val="-6"/>
        </w:rPr>
        <w:t xml:space="preserve"> </w:t>
      </w:r>
      <w:r>
        <w:t>más</w:t>
      </w:r>
      <w:r>
        <w:rPr>
          <w:spacing w:val="-6"/>
        </w:rPr>
        <w:t xml:space="preserve"> </w:t>
      </w:r>
      <w:r>
        <w:t>desigual</w:t>
      </w:r>
      <w:r>
        <w:rPr>
          <w:spacing w:val="-6"/>
        </w:rPr>
        <w:t xml:space="preserve"> </w:t>
      </w:r>
      <w:r>
        <w:t>de</w:t>
      </w:r>
      <w:r>
        <w:rPr>
          <w:spacing w:val="-6"/>
        </w:rPr>
        <w:t xml:space="preserve"> </w:t>
      </w:r>
      <w:r>
        <w:t>la</w:t>
      </w:r>
      <w:r>
        <w:rPr>
          <w:spacing w:val="-6"/>
        </w:rPr>
        <w:t xml:space="preserve"> </w:t>
      </w:r>
      <w:r>
        <w:t>OCDE</w:t>
      </w:r>
      <w:r w:rsidR="00B87AAF">
        <w:rPr>
          <w:rStyle w:val="Refdenotaalpie"/>
        </w:rPr>
        <w:footnoteReference w:id="1079"/>
      </w:r>
      <w:r>
        <w:rPr>
          <w:spacing w:val="-6"/>
        </w:rPr>
        <w:t xml:space="preserve"> </w:t>
      </w:r>
      <w:r>
        <w:t>y</w:t>
      </w:r>
      <w:r>
        <w:rPr>
          <w:spacing w:val="-6"/>
        </w:rPr>
        <w:t xml:space="preserve"> </w:t>
      </w:r>
      <w:r>
        <w:t>el</w:t>
      </w:r>
      <w:r>
        <w:rPr>
          <w:spacing w:val="-7"/>
        </w:rPr>
        <w:t xml:space="preserve"> </w:t>
      </w:r>
      <w:r>
        <w:t>segundo</w:t>
      </w:r>
      <w:r>
        <w:rPr>
          <w:spacing w:val="-6"/>
        </w:rPr>
        <w:t xml:space="preserve"> </w:t>
      </w:r>
      <w:r>
        <w:t>de</w:t>
      </w:r>
      <w:r>
        <w:rPr>
          <w:spacing w:val="-6"/>
        </w:rPr>
        <w:t xml:space="preserve"> </w:t>
      </w:r>
      <w:r>
        <w:t>América</w:t>
      </w:r>
      <w:r>
        <w:rPr>
          <w:spacing w:val="-6"/>
        </w:rPr>
        <w:t xml:space="preserve"> </w:t>
      </w:r>
      <w:r>
        <w:t>Latina,</w:t>
      </w:r>
      <w:r>
        <w:rPr>
          <w:spacing w:val="-6"/>
        </w:rPr>
        <w:t xml:space="preserve"> </w:t>
      </w:r>
      <w:r>
        <w:t>superado</w:t>
      </w:r>
      <w:r>
        <w:rPr>
          <w:spacing w:val="-8"/>
        </w:rPr>
        <w:t xml:space="preserve"> </w:t>
      </w:r>
      <w:r>
        <w:t>solo</w:t>
      </w:r>
      <w:r>
        <w:rPr>
          <w:spacing w:val="-6"/>
        </w:rPr>
        <w:t xml:space="preserve"> </w:t>
      </w:r>
      <w:r>
        <w:t>por</w:t>
      </w:r>
      <w:r>
        <w:rPr>
          <w:spacing w:val="-6"/>
        </w:rPr>
        <w:t xml:space="preserve"> </w:t>
      </w:r>
      <w:r>
        <w:t>Brasil. También señaló que los ingresos del 10</w:t>
      </w:r>
      <w:r>
        <w:rPr>
          <w:spacing w:val="-2"/>
        </w:rPr>
        <w:t xml:space="preserve"> </w:t>
      </w:r>
      <w:r>
        <w:t>% de la población de mayores ingresos son once veces</w:t>
      </w:r>
      <w:r>
        <w:rPr>
          <w:spacing w:val="-1"/>
        </w:rPr>
        <w:t xml:space="preserve"> </w:t>
      </w:r>
      <w:r>
        <w:t>superiores que los</w:t>
      </w:r>
      <w:r>
        <w:rPr>
          <w:spacing w:val="-1"/>
        </w:rPr>
        <w:t xml:space="preserve"> </w:t>
      </w:r>
      <w:r>
        <w:t>del 10</w:t>
      </w:r>
      <w:r>
        <w:rPr>
          <w:spacing w:val="-4"/>
        </w:rPr>
        <w:t xml:space="preserve"> </w:t>
      </w:r>
      <w:r>
        <w:t>% de</w:t>
      </w:r>
      <w:r>
        <w:rPr>
          <w:spacing w:val="-2"/>
        </w:rPr>
        <w:t xml:space="preserve"> </w:t>
      </w:r>
      <w:r>
        <w:t>la población</w:t>
      </w:r>
      <w:r>
        <w:rPr>
          <w:spacing w:val="-1"/>
        </w:rPr>
        <w:t xml:space="preserve"> </w:t>
      </w:r>
      <w:r>
        <w:t>de</w:t>
      </w:r>
      <w:r>
        <w:rPr>
          <w:spacing w:val="-1"/>
        </w:rPr>
        <w:t xml:space="preserve"> </w:t>
      </w:r>
      <w:r>
        <w:t>menores</w:t>
      </w:r>
      <w:r>
        <w:rPr>
          <w:spacing w:val="-1"/>
        </w:rPr>
        <w:t xml:space="preserve"> </w:t>
      </w:r>
      <w:r>
        <w:t>ingresos; que una</w:t>
      </w:r>
      <w:r>
        <w:rPr>
          <w:spacing w:val="-1"/>
        </w:rPr>
        <w:t xml:space="preserve"> </w:t>
      </w:r>
      <w:r>
        <w:t>mujer</w:t>
      </w:r>
      <w:r>
        <w:rPr>
          <w:spacing w:val="-1"/>
        </w:rPr>
        <w:t xml:space="preserve"> </w:t>
      </w:r>
      <w:r>
        <w:t xml:space="preserve">tiene 1,7 más posibilidades que un hombre de estar desempleada; que un indígena recibe –en promedio– dos años menos de escolaridad; y que un afrodescendiente tiene dos veces más probabilidades de vivir en la pobreza. Además, destacó que la </w:t>
      </w:r>
      <w:r>
        <w:lastRenderedPageBreak/>
        <w:t>desigualdad aumenta de generación</w:t>
      </w:r>
      <w:r>
        <w:rPr>
          <w:spacing w:val="-4"/>
        </w:rPr>
        <w:t xml:space="preserve"> </w:t>
      </w:r>
      <w:r>
        <w:t>en</w:t>
      </w:r>
      <w:r>
        <w:rPr>
          <w:spacing w:val="-4"/>
        </w:rPr>
        <w:t xml:space="preserve"> </w:t>
      </w:r>
      <w:r>
        <w:t>generación.</w:t>
      </w:r>
      <w:r>
        <w:rPr>
          <w:spacing w:val="-4"/>
        </w:rPr>
        <w:t xml:space="preserve"> </w:t>
      </w:r>
      <w:r>
        <w:t>El</w:t>
      </w:r>
      <w:r>
        <w:rPr>
          <w:spacing w:val="-3"/>
        </w:rPr>
        <w:t xml:space="preserve"> </w:t>
      </w:r>
      <w:r>
        <w:t>país</w:t>
      </w:r>
      <w:r>
        <w:rPr>
          <w:spacing w:val="-3"/>
        </w:rPr>
        <w:t xml:space="preserve"> </w:t>
      </w:r>
      <w:r>
        <w:t>no</w:t>
      </w:r>
      <w:r>
        <w:rPr>
          <w:spacing w:val="-4"/>
        </w:rPr>
        <w:t xml:space="preserve"> </w:t>
      </w:r>
      <w:r>
        <w:t>solo</w:t>
      </w:r>
      <w:r>
        <w:rPr>
          <w:spacing w:val="-4"/>
        </w:rPr>
        <w:t xml:space="preserve"> </w:t>
      </w:r>
      <w:r>
        <w:t>ha</w:t>
      </w:r>
      <w:r>
        <w:rPr>
          <w:spacing w:val="-3"/>
        </w:rPr>
        <w:t xml:space="preserve"> </w:t>
      </w:r>
      <w:r>
        <w:t>sido,</w:t>
      </w:r>
      <w:r>
        <w:rPr>
          <w:spacing w:val="-4"/>
        </w:rPr>
        <w:t xml:space="preserve"> </w:t>
      </w:r>
      <w:r>
        <w:t>sino</w:t>
      </w:r>
      <w:r>
        <w:rPr>
          <w:spacing w:val="-4"/>
        </w:rPr>
        <w:t xml:space="preserve"> </w:t>
      </w:r>
      <w:r>
        <w:t>que</w:t>
      </w:r>
      <w:r>
        <w:rPr>
          <w:spacing w:val="-3"/>
        </w:rPr>
        <w:t xml:space="preserve"> </w:t>
      </w:r>
      <w:r>
        <w:t>sigue</w:t>
      </w:r>
      <w:r>
        <w:rPr>
          <w:spacing w:val="-3"/>
        </w:rPr>
        <w:t xml:space="preserve"> </w:t>
      </w:r>
      <w:r>
        <w:t>siendo</w:t>
      </w:r>
      <w:r>
        <w:rPr>
          <w:spacing w:val="-4"/>
        </w:rPr>
        <w:t xml:space="preserve"> </w:t>
      </w:r>
      <w:r>
        <w:t>incapaz</w:t>
      </w:r>
      <w:r>
        <w:rPr>
          <w:spacing w:val="-3"/>
        </w:rPr>
        <w:t xml:space="preserve"> </w:t>
      </w:r>
      <w:r>
        <w:t>de</w:t>
      </w:r>
      <w:r>
        <w:rPr>
          <w:spacing w:val="-3"/>
        </w:rPr>
        <w:t xml:space="preserve"> </w:t>
      </w:r>
      <w:r>
        <w:t>cerrar</w:t>
      </w:r>
      <w:r>
        <w:rPr>
          <w:spacing w:val="-4"/>
        </w:rPr>
        <w:t xml:space="preserve"> </w:t>
      </w:r>
      <w:r>
        <w:t>la brecha de la desigualdad poblacional y territorial. Según el informe, «…la desigualdad en Colombia se extiende más allá de los aspectos materiales de los medios de vida. Los colombianos con menos educación, la población rural y los desempleados o pobres tienen muchas menos probabilidades de considerarse felices».</w:t>
      </w:r>
      <w:r w:rsidR="00B87AAF">
        <w:rPr>
          <w:rStyle w:val="Refdenotaalpie"/>
        </w:rPr>
        <w:footnoteReference w:id="1080"/>
      </w:r>
    </w:p>
    <w:p w:rsidR="003804AC" w:rsidRDefault="00AF18A5" w:rsidP="00742DF7">
      <w:r>
        <w:t>El conflicto armado colombiano finalmente ha sido funcional a estas desigualdades, en tanto la violencia ha permitido no solo mantener y aumentar la concentración de la tierra y evitar o frenar el desarrollo de iniciativas de reforma democrática y la participación de los sectores pobres y excluidos de la población, sino también dificultar procesos participativos de planeación del ordenamiento y desarrollo territorial. Estos procesos necesitan salirse de los marcos de la enemistad construidos para la guerra y apostar desde la diferencia a la concertación democrática del futuro</w:t>
      </w:r>
      <w:r>
        <w:rPr>
          <w:spacing w:val="-1"/>
        </w:rPr>
        <w:t xml:space="preserve"> </w:t>
      </w:r>
      <w:r>
        <w:t>y territorio compartido, con el fin de</w:t>
      </w:r>
      <w:r>
        <w:rPr>
          <w:spacing w:val="-1"/>
        </w:rPr>
        <w:t xml:space="preserve"> </w:t>
      </w:r>
      <w:r>
        <w:t>promover tanto la reducción</w:t>
      </w:r>
      <w:r>
        <w:rPr>
          <w:spacing w:val="-9"/>
        </w:rPr>
        <w:t xml:space="preserve"> </w:t>
      </w:r>
      <w:r>
        <w:t>de</w:t>
      </w:r>
      <w:r>
        <w:rPr>
          <w:spacing w:val="-9"/>
        </w:rPr>
        <w:t xml:space="preserve"> </w:t>
      </w:r>
      <w:r>
        <w:t>las</w:t>
      </w:r>
      <w:r>
        <w:rPr>
          <w:spacing w:val="-9"/>
        </w:rPr>
        <w:t xml:space="preserve"> </w:t>
      </w:r>
      <w:r>
        <w:t>desigualdades</w:t>
      </w:r>
      <w:r>
        <w:rPr>
          <w:spacing w:val="-9"/>
        </w:rPr>
        <w:t xml:space="preserve"> </w:t>
      </w:r>
      <w:r>
        <w:t>y</w:t>
      </w:r>
      <w:r>
        <w:rPr>
          <w:spacing w:val="-9"/>
        </w:rPr>
        <w:t xml:space="preserve"> </w:t>
      </w:r>
      <w:r>
        <w:t>brechas</w:t>
      </w:r>
      <w:r>
        <w:rPr>
          <w:spacing w:val="-9"/>
        </w:rPr>
        <w:t xml:space="preserve"> </w:t>
      </w:r>
      <w:r>
        <w:t>territoriales</w:t>
      </w:r>
      <w:r>
        <w:rPr>
          <w:spacing w:val="-9"/>
        </w:rPr>
        <w:t xml:space="preserve"> </w:t>
      </w:r>
      <w:r>
        <w:t>como</w:t>
      </w:r>
      <w:r>
        <w:rPr>
          <w:spacing w:val="-9"/>
        </w:rPr>
        <w:t xml:space="preserve"> </w:t>
      </w:r>
      <w:r>
        <w:t>una</w:t>
      </w:r>
      <w:r>
        <w:rPr>
          <w:spacing w:val="-9"/>
        </w:rPr>
        <w:t xml:space="preserve"> </w:t>
      </w:r>
      <w:r>
        <w:t>nueva</w:t>
      </w:r>
      <w:r>
        <w:rPr>
          <w:spacing w:val="-9"/>
        </w:rPr>
        <w:t xml:space="preserve"> </w:t>
      </w:r>
      <w:r>
        <w:t>manera</w:t>
      </w:r>
      <w:r>
        <w:rPr>
          <w:spacing w:val="-9"/>
        </w:rPr>
        <w:t xml:space="preserve"> </w:t>
      </w:r>
      <w:r>
        <w:t>de</w:t>
      </w:r>
      <w:r>
        <w:rPr>
          <w:spacing w:val="-9"/>
        </w:rPr>
        <w:t xml:space="preserve"> </w:t>
      </w:r>
      <w:r>
        <w:t>entender</w:t>
      </w:r>
      <w:r>
        <w:rPr>
          <w:spacing w:val="-9"/>
        </w:rPr>
        <w:t xml:space="preserve"> </w:t>
      </w:r>
      <w:r>
        <w:t>el desarrollo desde el cuidado de la naturaleza. Hay un país que no ha contado social y políticamente en la construcción de una Colombia incluyente, un país que se encuentra en los</w:t>
      </w:r>
      <w:r>
        <w:rPr>
          <w:spacing w:val="53"/>
        </w:rPr>
        <w:t xml:space="preserve"> </w:t>
      </w:r>
      <w:r>
        <w:t>territorios</w:t>
      </w:r>
      <w:r>
        <w:rPr>
          <w:spacing w:val="56"/>
        </w:rPr>
        <w:t xml:space="preserve"> </w:t>
      </w:r>
      <w:r>
        <w:t>que</w:t>
      </w:r>
      <w:r>
        <w:rPr>
          <w:spacing w:val="56"/>
        </w:rPr>
        <w:t xml:space="preserve"> </w:t>
      </w:r>
      <w:r>
        <w:t>han</w:t>
      </w:r>
      <w:r>
        <w:rPr>
          <w:spacing w:val="55"/>
        </w:rPr>
        <w:t xml:space="preserve"> </w:t>
      </w:r>
      <w:r>
        <w:t>sido</w:t>
      </w:r>
      <w:r>
        <w:rPr>
          <w:spacing w:val="56"/>
        </w:rPr>
        <w:t xml:space="preserve"> </w:t>
      </w:r>
      <w:r>
        <w:t>históricamente</w:t>
      </w:r>
      <w:r>
        <w:rPr>
          <w:spacing w:val="56"/>
        </w:rPr>
        <w:t xml:space="preserve"> </w:t>
      </w:r>
      <w:r>
        <w:t>y</w:t>
      </w:r>
      <w:r>
        <w:rPr>
          <w:spacing w:val="53"/>
        </w:rPr>
        <w:t xml:space="preserve"> </w:t>
      </w:r>
      <w:r>
        <w:t>que,</w:t>
      </w:r>
      <w:r>
        <w:rPr>
          <w:spacing w:val="56"/>
        </w:rPr>
        <w:t xml:space="preserve"> </w:t>
      </w:r>
      <w:r>
        <w:t>excluidos</w:t>
      </w:r>
      <w:r>
        <w:rPr>
          <w:spacing w:val="56"/>
        </w:rPr>
        <w:t xml:space="preserve"> </w:t>
      </w:r>
      <w:r>
        <w:t>por</w:t>
      </w:r>
      <w:r>
        <w:rPr>
          <w:spacing w:val="57"/>
        </w:rPr>
        <w:t xml:space="preserve"> </w:t>
      </w:r>
      <w:r>
        <w:t>el</w:t>
      </w:r>
      <w:r>
        <w:rPr>
          <w:spacing w:val="55"/>
        </w:rPr>
        <w:t xml:space="preserve"> </w:t>
      </w:r>
      <w:r>
        <w:t>régimen</w:t>
      </w:r>
      <w:r>
        <w:rPr>
          <w:spacing w:val="56"/>
        </w:rPr>
        <w:t xml:space="preserve"> </w:t>
      </w:r>
      <w:r>
        <w:t>político</w:t>
      </w:r>
      <w:r>
        <w:rPr>
          <w:spacing w:val="56"/>
        </w:rPr>
        <w:t xml:space="preserve"> </w:t>
      </w:r>
      <w:r>
        <w:rPr>
          <w:spacing w:val="-12"/>
        </w:rPr>
        <w:t>y</w:t>
      </w:r>
      <w:bookmarkStart w:id="1331" w:name="_bookmark1183"/>
      <w:bookmarkStart w:id="1332" w:name="_bookmark1184"/>
      <w:bookmarkEnd w:id="1331"/>
      <w:bookmarkEnd w:id="1332"/>
      <w:r w:rsidR="00742DF7">
        <w:t xml:space="preserve"> </w:t>
      </w:r>
      <w:r>
        <w:t>económico, se convirtieron en los epicentros de la guerra. Colombia podrá avanzar en la consolidación de la paz cuando sus regiones hagan parte efectiva de las reformas democráticas, políticas y económicas que las integren a la nación.</w:t>
      </w:r>
    </w:p>
    <w:p w:rsidR="003804AC" w:rsidRDefault="00AF18A5" w:rsidP="00742DF7">
      <w:r>
        <w:lastRenderedPageBreak/>
        <w:t>En razón a lo expuesto, avanzar hacia la paz territorial, estable y duradera en Colombia debe incluir la construcción de consensos en todas las escalas, alrededor de principios que orienten</w:t>
      </w:r>
      <w:r>
        <w:rPr>
          <w:spacing w:val="-15"/>
        </w:rPr>
        <w:t xml:space="preserve"> </w:t>
      </w:r>
      <w:r>
        <w:t>el</w:t>
      </w:r>
      <w:r>
        <w:rPr>
          <w:spacing w:val="-15"/>
        </w:rPr>
        <w:t xml:space="preserve"> </w:t>
      </w:r>
      <w:r>
        <w:t>desarrollo</w:t>
      </w:r>
      <w:r>
        <w:rPr>
          <w:spacing w:val="-15"/>
        </w:rPr>
        <w:t xml:space="preserve"> </w:t>
      </w:r>
      <w:r>
        <w:t>territorial.</w:t>
      </w:r>
      <w:r>
        <w:rPr>
          <w:spacing w:val="-15"/>
        </w:rPr>
        <w:t xml:space="preserve"> </w:t>
      </w:r>
      <w:r>
        <w:t>Para</w:t>
      </w:r>
      <w:r>
        <w:rPr>
          <w:spacing w:val="-15"/>
        </w:rPr>
        <w:t xml:space="preserve"> </w:t>
      </w:r>
      <w:r>
        <w:t>esto,</w:t>
      </w:r>
      <w:r>
        <w:rPr>
          <w:spacing w:val="-15"/>
        </w:rPr>
        <w:t xml:space="preserve"> </w:t>
      </w:r>
      <w:r>
        <w:t>deben</w:t>
      </w:r>
      <w:r>
        <w:rPr>
          <w:spacing w:val="-15"/>
        </w:rPr>
        <w:t xml:space="preserve"> </w:t>
      </w:r>
      <w:r>
        <w:t>ser</w:t>
      </w:r>
      <w:r>
        <w:rPr>
          <w:spacing w:val="-15"/>
        </w:rPr>
        <w:t xml:space="preserve"> </w:t>
      </w:r>
      <w:r>
        <w:t>reconocidas</w:t>
      </w:r>
      <w:r>
        <w:rPr>
          <w:spacing w:val="-15"/>
        </w:rPr>
        <w:t xml:space="preserve"> </w:t>
      </w:r>
      <w:r>
        <w:t>nos</w:t>
      </w:r>
      <w:r>
        <w:rPr>
          <w:spacing w:val="-15"/>
        </w:rPr>
        <w:t xml:space="preserve"> </w:t>
      </w:r>
      <w:r>
        <w:t>solo</w:t>
      </w:r>
      <w:r>
        <w:rPr>
          <w:spacing w:val="-15"/>
        </w:rPr>
        <w:t xml:space="preserve"> </w:t>
      </w:r>
      <w:r>
        <w:t>las</w:t>
      </w:r>
      <w:r>
        <w:rPr>
          <w:spacing w:val="-15"/>
        </w:rPr>
        <w:t xml:space="preserve"> </w:t>
      </w:r>
      <w:r>
        <w:t>«interrelaciones entre</w:t>
      </w:r>
      <w:r>
        <w:rPr>
          <w:spacing w:val="-2"/>
        </w:rPr>
        <w:t xml:space="preserve"> </w:t>
      </w:r>
      <w:r>
        <w:t>el</w:t>
      </w:r>
      <w:r>
        <w:rPr>
          <w:spacing w:val="-2"/>
        </w:rPr>
        <w:t xml:space="preserve"> </w:t>
      </w:r>
      <w:r>
        <w:t>desarrollo</w:t>
      </w:r>
      <w:r>
        <w:rPr>
          <w:spacing w:val="-3"/>
        </w:rPr>
        <w:t xml:space="preserve"> </w:t>
      </w:r>
      <w:r>
        <w:t>económico</w:t>
      </w:r>
      <w:r>
        <w:rPr>
          <w:spacing w:val="-3"/>
        </w:rPr>
        <w:t xml:space="preserve"> </w:t>
      </w:r>
      <w:r>
        <w:t>y</w:t>
      </w:r>
      <w:r>
        <w:rPr>
          <w:spacing w:val="-3"/>
        </w:rPr>
        <w:t xml:space="preserve"> </w:t>
      </w:r>
      <w:r>
        <w:t>social,</w:t>
      </w:r>
      <w:r>
        <w:rPr>
          <w:spacing w:val="-3"/>
        </w:rPr>
        <w:t xml:space="preserve"> </w:t>
      </w:r>
      <w:r>
        <w:t>con</w:t>
      </w:r>
      <w:r>
        <w:rPr>
          <w:spacing w:val="-3"/>
        </w:rPr>
        <w:t xml:space="preserve"> </w:t>
      </w:r>
      <w:r>
        <w:t>las</w:t>
      </w:r>
      <w:r>
        <w:rPr>
          <w:spacing w:val="-2"/>
        </w:rPr>
        <w:t xml:space="preserve"> </w:t>
      </w:r>
      <w:r>
        <w:t>formas</w:t>
      </w:r>
      <w:r>
        <w:rPr>
          <w:spacing w:val="-2"/>
        </w:rPr>
        <w:t xml:space="preserve"> </w:t>
      </w:r>
      <w:r>
        <w:t>de</w:t>
      </w:r>
      <w:r>
        <w:rPr>
          <w:spacing w:val="-2"/>
        </w:rPr>
        <w:t xml:space="preserve"> </w:t>
      </w:r>
      <w:r>
        <w:t>uso</w:t>
      </w:r>
      <w:r>
        <w:rPr>
          <w:spacing w:val="-3"/>
        </w:rPr>
        <w:t xml:space="preserve"> </w:t>
      </w:r>
      <w:r>
        <w:t>y</w:t>
      </w:r>
      <w:r>
        <w:rPr>
          <w:spacing w:val="-3"/>
        </w:rPr>
        <w:t xml:space="preserve"> </w:t>
      </w:r>
      <w:r>
        <w:t>ocupación</w:t>
      </w:r>
      <w:r>
        <w:rPr>
          <w:spacing w:val="-3"/>
        </w:rPr>
        <w:t xml:space="preserve"> </w:t>
      </w:r>
      <w:r>
        <w:t>del</w:t>
      </w:r>
      <w:r>
        <w:rPr>
          <w:spacing w:val="-2"/>
        </w:rPr>
        <w:t xml:space="preserve"> </w:t>
      </w:r>
      <w:r>
        <w:t>territorio»</w:t>
      </w:r>
      <w:r w:rsidR="00742DF7">
        <w:rPr>
          <w:rStyle w:val="Refdenotaalpie"/>
        </w:rPr>
        <w:footnoteReference w:id="1081"/>
      </w:r>
      <w:r>
        <w:t>, sino también las trayectorias culturales y político-institucionales que han estado en la base de los conflictos territoriales.</w:t>
      </w:r>
    </w:p>
    <w:p w:rsidR="003804AC" w:rsidRPr="00742DF7" w:rsidRDefault="00AF18A5" w:rsidP="00742DF7">
      <w:r>
        <w:t>El desarrollo territorial para la paz implica un cambio en las políticas públicas relacionadas con los problemas de la tierra. Deben crearse y fortalecerse los instrumentos e instituciones</w:t>
      </w:r>
      <w:r>
        <w:rPr>
          <w:spacing w:val="-5"/>
        </w:rPr>
        <w:t xml:space="preserve"> </w:t>
      </w:r>
      <w:r>
        <w:t>para</w:t>
      </w:r>
      <w:r>
        <w:rPr>
          <w:spacing w:val="-5"/>
        </w:rPr>
        <w:t xml:space="preserve"> </w:t>
      </w:r>
      <w:r>
        <w:t>hacer</w:t>
      </w:r>
      <w:r>
        <w:rPr>
          <w:spacing w:val="-3"/>
        </w:rPr>
        <w:t xml:space="preserve"> </w:t>
      </w:r>
      <w:r>
        <w:t>una</w:t>
      </w:r>
      <w:r>
        <w:rPr>
          <w:spacing w:val="-3"/>
        </w:rPr>
        <w:t xml:space="preserve"> </w:t>
      </w:r>
      <w:r>
        <w:t>gestión</w:t>
      </w:r>
      <w:r>
        <w:rPr>
          <w:spacing w:val="-5"/>
        </w:rPr>
        <w:t xml:space="preserve"> </w:t>
      </w:r>
      <w:r>
        <w:t>eficaz</w:t>
      </w:r>
      <w:r>
        <w:rPr>
          <w:spacing w:val="-5"/>
        </w:rPr>
        <w:t xml:space="preserve"> </w:t>
      </w:r>
      <w:r>
        <w:t>de</w:t>
      </w:r>
      <w:r>
        <w:rPr>
          <w:spacing w:val="-5"/>
        </w:rPr>
        <w:t xml:space="preserve"> </w:t>
      </w:r>
      <w:r>
        <w:t>los</w:t>
      </w:r>
      <w:r>
        <w:rPr>
          <w:spacing w:val="-5"/>
        </w:rPr>
        <w:t xml:space="preserve"> </w:t>
      </w:r>
      <w:r>
        <w:t>recursos</w:t>
      </w:r>
      <w:r>
        <w:rPr>
          <w:spacing w:val="-5"/>
        </w:rPr>
        <w:t xml:space="preserve"> </w:t>
      </w:r>
      <w:r>
        <w:t>del</w:t>
      </w:r>
      <w:r>
        <w:rPr>
          <w:spacing w:val="-4"/>
        </w:rPr>
        <w:t xml:space="preserve"> </w:t>
      </w:r>
      <w:r>
        <w:t>territorio,</w:t>
      </w:r>
      <w:r>
        <w:rPr>
          <w:spacing w:val="-4"/>
        </w:rPr>
        <w:t xml:space="preserve"> </w:t>
      </w:r>
      <w:r>
        <w:t>de</w:t>
      </w:r>
      <w:r>
        <w:rPr>
          <w:spacing w:val="-6"/>
        </w:rPr>
        <w:t xml:space="preserve"> </w:t>
      </w:r>
      <w:r>
        <w:t>tal</w:t>
      </w:r>
      <w:r>
        <w:rPr>
          <w:spacing w:val="-4"/>
        </w:rPr>
        <w:t xml:space="preserve"> </w:t>
      </w:r>
      <w:r>
        <w:t>manera</w:t>
      </w:r>
      <w:r>
        <w:rPr>
          <w:spacing w:val="-3"/>
        </w:rPr>
        <w:t xml:space="preserve"> </w:t>
      </w:r>
      <w:r>
        <w:t>que</w:t>
      </w:r>
      <w:r>
        <w:rPr>
          <w:spacing w:val="-3"/>
        </w:rPr>
        <w:t xml:space="preserve"> </w:t>
      </w:r>
      <w:r>
        <w:t>la tierra cumpla con su función social y ambiental. Estas políticas deben garantizar la formalización del régimen de propiedad de la tierra, reconocimiento de los derechos de campesinos,</w:t>
      </w:r>
      <w:r>
        <w:rPr>
          <w:spacing w:val="-2"/>
        </w:rPr>
        <w:t xml:space="preserve"> </w:t>
      </w:r>
      <w:r>
        <w:t>indígenas</w:t>
      </w:r>
      <w:r>
        <w:rPr>
          <w:spacing w:val="-2"/>
        </w:rPr>
        <w:t xml:space="preserve"> </w:t>
      </w:r>
      <w:r>
        <w:t>y</w:t>
      </w:r>
      <w:r>
        <w:rPr>
          <w:spacing w:val="-2"/>
        </w:rPr>
        <w:t xml:space="preserve"> </w:t>
      </w:r>
      <w:r>
        <w:t>afrocolombianos</w:t>
      </w:r>
      <w:r>
        <w:rPr>
          <w:spacing w:val="-2"/>
        </w:rPr>
        <w:t xml:space="preserve"> </w:t>
      </w:r>
      <w:r>
        <w:t>al</w:t>
      </w:r>
      <w:r>
        <w:rPr>
          <w:spacing w:val="-2"/>
        </w:rPr>
        <w:t xml:space="preserve"> </w:t>
      </w:r>
      <w:r>
        <w:t>territorio</w:t>
      </w:r>
      <w:r>
        <w:rPr>
          <w:spacing w:val="-2"/>
        </w:rPr>
        <w:t xml:space="preserve"> </w:t>
      </w:r>
      <w:r>
        <w:t>productivo</w:t>
      </w:r>
      <w:r>
        <w:rPr>
          <w:spacing w:val="-2"/>
        </w:rPr>
        <w:t xml:space="preserve"> </w:t>
      </w:r>
      <w:r>
        <w:t>y</w:t>
      </w:r>
      <w:r>
        <w:rPr>
          <w:spacing w:val="-2"/>
        </w:rPr>
        <w:t xml:space="preserve"> </w:t>
      </w:r>
      <w:r>
        <w:t>clarificando</w:t>
      </w:r>
      <w:r>
        <w:rPr>
          <w:spacing w:val="-2"/>
        </w:rPr>
        <w:t xml:space="preserve"> </w:t>
      </w:r>
      <w:r>
        <w:t>la</w:t>
      </w:r>
      <w:r>
        <w:rPr>
          <w:spacing w:val="-2"/>
        </w:rPr>
        <w:t xml:space="preserve"> </w:t>
      </w:r>
      <w:r>
        <w:t>legalidad de los derechos de posesión extensiva de la tierra, para excluir del reconocimiento del derecho</w:t>
      </w:r>
      <w:r>
        <w:rPr>
          <w:spacing w:val="-5"/>
        </w:rPr>
        <w:t xml:space="preserve"> </w:t>
      </w:r>
      <w:r>
        <w:t>de</w:t>
      </w:r>
      <w:r>
        <w:rPr>
          <w:spacing w:val="-4"/>
        </w:rPr>
        <w:t xml:space="preserve"> </w:t>
      </w:r>
      <w:r>
        <w:t>propiedad</w:t>
      </w:r>
      <w:r>
        <w:rPr>
          <w:spacing w:val="-6"/>
        </w:rPr>
        <w:t xml:space="preserve"> </w:t>
      </w:r>
      <w:r>
        <w:t>la</w:t>
      </w:r>
      <w:r>
        <w:rPr>
          <w:spacing w:val="-7"/>
        </w:rPr>
        <w:t xml:space="preserve"> </w:t>
      </w:r>
      <w:r>
        <w:t>adquirida</w:t>
      </w:r>
      <w:r>
        <w:rPr>
          <w:spacing w:val="-4"/>
        </w:rPr>
        <w:t xml:space="preserve"> </w:t>
      </w:r>
      <w:r>
        <w:t>con</w:t>
      </w:r>
      <w:r>
        <w:rPr>
          <w:spacing w:val="-5"/>
        </w:rPr>
        <w:t xml:space="preserve"> </w:t>
      </w:r>
      <w:r>
        <w:t>recursos</w:t>
      </w:r>
      <w:r>
        <w:rPr>
          <w:spacing w:val="-6"/>
        </w:rPr>
        <w:t xml:space="preserve"> </w:t>
      </w:r>
      <w:r>
        <w:t>ilícitos,</w:t>
      </w:r>
      <w:r>
        <w:rPr>
          <w:spacing w:val="-5"/>
        </w:rPr>
        <w:t xml:space="preserve"> </w:t>
      </w:r>
      <w:r>
        <w:t>la</w:t>
      </w:r>
      <w:r>
        <w:rPr>
          <w:spacing w:val="-4"/>
        </w:rPr>
        <w:t xml:space="preserve"> </w:t>
      </w:r>
      <w:r>
        <w:t>apropiada</w:t>
      </w:r>
      <w:r>
        <w:rPr>
          <w:spacing w:val="-6"/>
        </w:rPr>
        <w:t xml:space="preserve"> </w:t>
      </w:r>
      <w:r>
        <w:t>ilegalmente</w:t>
      </w:r>
      <w:r>
        <w:rPr>
          <w:spacing w:val="-4"/>
        </w:rPr>
        <w:t xml:space="preserve"> </w:t>
      </w:r>
      <w:r>
        <w:t>sobre</w:t>
      </w:r>
      <w:r>
        <w:rPr>
          <w:spacing w:val="-4"/>
        </w:rPr>
        <w:t xml:space="preserve"> </w:t>
      </w:r>
      <w:r>
        <w:t>áreas y</w:t>
      </w:r>
      <w:r>
        <w:rPr>
          <w:spacing w:val="-3"/>
        </w:rPr>
        <w:t xml:space="preserve"> </w:t>
      </w:r>
      <w:r>
        <w:t>bienes</w:t>
      </w:r>
      <w:r>
        <w:rPr>
          <w:spacing w:val="-3"/>
        </w:rPr>
        <w:t xml:space="preserve"> </w:t>
      </w:r>
      <w:r>
        <w:t>públicos</w:t>
      </w:r>
      <w:r>
        <w:rPr>
          <w:spacing w:val="-3"/>
        </w:rPr>
        <w:t xml:space="preserve"> </w:t>
      </w:r>
      <w:r>
        <w:t>de</w:t>
      </w:r>
      <w:r>
        <w:rPr>
          <w:spacing w:val="-3"/>
        </w:rPr>
        <w:t xml:space="preserve"> </w:t>
      </w:r>
      <w:r>
        <w:t>la</w:t>
      </w:r>
      <w:r>
        <w:rPr>
          <w:spacing w:val="-3"/>
        </w:rPr>
        <w:t xml:space="preserve"> </w:t>
      </w:r>
      <w:r>
        <w:t>nación</w:t>
      </w:r>
      <w:r>
        <w:rPr>
          <w:spacing w:val="-3"/>
        </w:rPr>
        <w:t xml:space="preserve"> </w:t>
      </w:r>
      <w:r>
        <w:t>–como</w:t>
      </w:r>
      <w:r>
        <w:rPr>
          <w:spacing w:val="-3"/>
        </w:rPr>
        <w:t xml:space="preserve"> </w:t>
      </w:r>
      <w:r>
        <w:t>playones</w:t>
      </w:r>
      <w:r>
        <w:rPr>
          <w:spacing w:val="-3"/>
        </w:rPr>
        <w:t xml:space="preserve"> </w:t>
      </w:r>
      <w:r>
        <w:t>y</w:t>
      </w:r>
      <w:r>
        <w:rPr>
          <w:spacing w:val="-4"/>
        </w:rPr>
        <w:t xml:space="preserve"> </w:t>
      </w:r>
      <w:r>
        <w:t>ciénagas</w:t>
      </w:r>
      <w:r>
        <w:rPr>
          <w:spacing w:val="-3"/>
        </w:rPr>
        <w:t xml:space="preserve"> </w:t>
      </w:r>
      <w:r>
        <w:t>y</w:t>
      </w:r>
      <w:r>
        <w:rPr>
          <w:spacing w:val="-3"/>
        </w:rPr>
        <w:t xml:space="preserve"> </w:t>
      </w:r>
      <w:r>
        <w:t>la</w:t>
      </w:r>
      <w:r>
        <w:rPr>
          <w:spacing w:val="-3"/>
        </w:rPr>
        <w:t xml:space="preserve"> </w:t>
      </w:r>
      <w:r>
        <w:t>tierras</w:t>
      </w:r>
      <w:r>
        <w:rPr>
          <w:spacing w:val="-3"/>
        </w:rPr>
        <w:t xml:space="preserve"> </w:t>
      </w:r>
      <w:r>
        <w:t>baldías–</w:t>
      </w:r>
      <w:r>
        <w:rPr>
          <w:spacing w:val="-3"/>
        </w:rPr>
        <w:t xml:space="preserve"> </w:t>
      </w:r>
      <w:r>
        <w:t>y</w:t>
      </w:r>
      <w:r>
        <w:rPr>
          <w:spacing w:val="-3"/>
        </w:rPr>
        <w:t xml:space="preserve"> </w:t>
      </w:r>
      <w:r>
        <w:t>finalmente, la tierra apropiada por el despojo violento durante el conflicto armado. Igualmente, se debe romper</w:t>
      </w:r>
      <w:r>
        <w:rPr>
          <w:spacing w:val="-1"/>
        </w:rPr>
        <w:t xml:space="preserve"> </w:t>
      </w:r>
      <w:r>
        <w:t>el sesgo urbano</w:t>
      </w:r>
      <w:r>
        <w:rPr>
          <w:spacing w:val="-1"/>
        </w:rPr>
        <w:t xml:space="preserve"> </w:t>
      </w:r>
      <w:r>
        <w:t>para construirse desde las miradas, las necesidades y las agendas de aquellas poblaciones, sectores y territorios históricamente estigmatizados y empobrecidos. La Comisión, inspirada en lo planteado por Absalón Machado</w:t>
      </w:r>
      <w:r w:rsidR="00742DF7">
        <w:rPr>
          <w:rStyle w:val="Refdenotaalpie"/>
        </w:rPr>
        <w:footnoteReference w:id="1082"/>
      </w:r>
      <w:r>
        <w:t>, sugiere la necesidad de avanzar</w:t>
      </w:r>
      <w:r>
        <w:rPr>
          <w:spacing w:val="-9"/>
        </w:rPr>
        <w:t xml:space="preserve"> </w:t>
      </w:r>
      <w:r>
        <w:t>en</w:t>
      </w:r>
      <w:r>
        <w:rPr>
          <w:spacing w:val="-10"/>
        </w:rPr>
        <w:t xml:space="preserve"> </w:t>
      </w:r>
      <w:r>
        <w:t>procesos</w:t>
      </w:r>
      <w:r>
        <w:rPr>
          <w:spacing w:val="-9"/>
        </w:rPr>
        <w:t xml:space="preserve"> </w:t>
      </w:r>
      <w:r>
        <w:t>de</w:t>
      </w:r>
      <w:r>
        <w:rPr>
          <w:spacing w:val="-8"/>
        </w:rPr>
        <w:t xml:space="preserve"> </w:t>
      </w:r>
      <w:r>
        <w:t>desarrollo</w:t>
      </w:r>
      <w:r>
        <w:rPr>
          <w:spacing w:val="-10"/>
        </w:rPr>
        <w:t xml:space="preserve"> </w:t>
      </w:r>
      <w:r>
        <w:t>territorial</w:t>
      </w:r>
      <w:r>
        <w:rPr>
          <w:spacing w:val="-9"/>
        </w:rPr>
        <w:t xml:space="preserve"> </w:t>
      </w:r>
      <w:r>
        <w:t>en</w:t>
      </w:r>
      <w:r>
        <w:rPr>
          <w:spacing w:val="-10"/>
        </w:rPr>
        <w:t xml:space="preserve"> </w:t>
      </w:r>
      <w:r>
        <w:t>los</w:t>
      </w:r>
      <w:r>
        <w:rPr>
          <w:spacing w:val="-10"/>
        </w:rPr>
        <w:t xml:space="preserve"> </w:t>
      </w:r>
      <w:r>
        <w:t>cuales</w:t>
      </w:r>
      <w:r>
        <w:rPr>
          <w:spacing w:val="-9"/>
        </w:rPr>
        <w:t xml:space="preserve"> </w:t>
      </w:r>
      <w:r>
        <w:t>las</w:t>
      </w:r>
      <w:r>
        <w:rPr>
          <w:spacing w:val="-9"/>
        </w:rPr>
        <w:t xml:space="preserve"> </w:t>
      </w:r>
      <w:r>
        <w:t>historias</w:t>
      </w:r>
      <w:r>
        <w:rPr>
          <w:spacing w:val="-9"/>
        </w:rPr>
        <w:t xml:space="preserve"> </w:t>
      </w:r>
      <w:r>
        <w:t>regionales</w:t>
      </w:r>
      <w:r>
        <w:rPr>
          <w:spacing w:val="-9"/>
        </w:rPr>
        <w:t xml:space="preserve"> </w:t>
      </w:r>
      <w:r>
        <w:t>y</w:t>
      </w:r>
      <w:r>
        <w:rPr>
          <w:spacing w:val="-10"/>
        </w:rPr>
        <w:t xml:space="preserve"> </w:t>
      </w:r>
      <w:r>
        <w:t>los</w:t>
      </w:r>
      <w:r>
        <w:rPr>
          <w:spacing w:val="-8"/>
        </w:rPr>
        <w:t xml:space="preserve"> </w:t>
      </w:r>
      <w:r>
        <w:t xml:space="preserve">demás </w:t>
      </w:r>
      <w:r>
        <w:lastRenderedPageBreak/>
        <w:t>aportes</w:t>
      </w:r>
      <w:r>
        <w:rPr>
          <w:spacing w:val="-4"/>
        </w:rPr>
        <w:t xml:space="preserve"> </w:t>
      </w:r>
      <w:r>
        <w:t>a</w:t>
      </w:r>
      <w:r>
        <w:rPr>
          <w:spacing w:val="-4"/>
        </w:rPr>
        <w:t xml:space="preserve"> </w:t>
      </w:r>
      <w:r>
        <w:t>la</w:t>
      </w:r>
      <w:r>
        <w:rPr>
          <w:spacing w:val="-4"/>
        </w:rPr>
        <w:t xml:space="preserve"> </w:t>
      </w:r>
      <w:r>
        <w:t>verdad</w:t>
      </w:r>
      <w:r>
        <w:rPr>
          <w:spacing w:val="-3"/>
        </w:rPr>
        <w:t xml:space="preserve"> </w:t>
      </w:r>
      <w:r>
        <w:t>sobre</w:t>
      </w:r>
      <w:r>
        <w:rPr>
          <w:spacing w:val="-3"/>
        </w:rPr>
        <w:t xml:space="preserve"> </w:t>
      </w:r>
      <w:r>
        <w:t>el</w:t>
      </w:r>
      <w:r>
        <w:rPr>
          <w:spacing w:val="-4"/>
        </w:rPr>
        <w:t xml:space="preserve"> </w:t>
      </w:r>
      <w:r>
        <w:t>conflicto</w:t>
      </w:r>
      <w:r>
        <w:rPr>
          <w:spacing w:val="-3"/>
        </w:rPr>
        <w:t xml:space="preserve"> </w:t>
      </w:r>
      <w:r>
        <w:t>armado</w:t>
      </w:r>
      <w:r>
        <w:rPr>
          <w:spacing w:val="-3"/>
        </w:rPr>
        <w:t xml:space="preserve"> </w:t>
      </w:r>
      <w:r>
        <w:t>interno</w:t>
      </w:r>
      <w:r>
        <w:rPr>
          <w:spacing w:val="-3"/>
        </w:rPr>
        <w:t xml:space="preserve"> </w:t>
      </w:r>
      <w:r>
        <w:t>se</w:t>
      </w:r>
      <w:r>
        <w:rPr>
          <w:spacing w:val="-4"/>
        </w:rPr>
        <w:t xml:space="preserve"> </w:t>
      </w:r>
      <w:r>
        <w:t>conviertan</w:t>
      </w:r>
      <w:r>
        <w:rPr>
          <w:spacing w:val="-3"/>
        </w:rPr>
        <w:t xml:space="preserve"> </w:t>
      </w:r>
      <w:r>
        <w:t>en</w:t>
      </w:r>
      <w:r>
        <w:rPr>
          <w:spacing w:val="-5"/>
        </w:rPr>
        <w:t xml:space="preserve"> </w:t>
      </w:r>
      <w:r>
        <w:t>semillas</w:t>
      </w:r>
      <w:r>
        <w:rPr>
          <w:spacing w:val="-3"/>
        </w:rPr>
        <w:t xml:space="preserve"> </w:t>
      </w:r>
      <w:r>
        <w:t>de</w:t>
      </w:r>
      <w:r>
        <w:rPr>
          <w:spacing w:val="-3"/>
        </w:rPr>
        <w:t xml:space="preserve"> </w:t>
      </w:r>
      <w:r>
        <w:t>una</w:t>
      </w:r>
      <w:r>
        <w:rPr>
          <w:spacing w:val="-3"/>
        </w:rPr>
        <w:t xml:space="preserve"> </w:t>
      </w:r>
      <w:r>
        <w:t>nueva conciencia común, colectiva y de país; del «rol estratégico de la ruralidad para el desarrollo en</w:t>
      </w:r>
      <w:r>
        <w:rPr>
          <w:spacing w:val="50"/>
        </w:rPr>
        <w:t xml:space="preserve"> </w:t>
      </w:r>
      <w:r>
        <w:t>beneficio,</w:t>
      </w:r>
      <w:r>
        <w:rPr>
          <w:spacing w:val="50"/>
        </w:rPr>
        <w:t xml:space="preserve"> </w:t>
      </w:r>
      <w:r>
        <w:t>tanto</w:t>
      </w:r>
      <w:r>
        <w:rPr>
          <w:spacing w:val="50"/>
        </w:rPr>
        <w:t xml:space="preserve"> </w:t>
      </w:r>
      <w:r>
        <w:t>de</w:t>
      </w:r>
      <w:r>
        <w:rPr>
          <w:spacing w:val="49"/>
        </w:rPr>
        <w:t xml:space="preserve"> </w:t>
      </w:r>
      <w:r>
        <w:t>lo</w:t>
      </w:r>
      <w:r>
        <w:rPr>
          <w:spacing w:val="50"/>
        </w:rPr>
        <w:t xml:space="preserve"> </w:t>
      </w:r>
      <w:r>
        <w:t>urbano</w:t>
      </w:r>
      <w:r>
        <w:rPr>
          <w:spacing w:val="49"/>
        </w:rPr>
        <w:t xml:space="preserve"> </w:t>
      </w:r>
      <w:r>
        <w:t>como</w:t>
      </w:r>
      <w:r>
        <w:rPr>
          <w:spacing w:val="51"/>
        </w:rPr>
        <w:t xml:space="preserve"> </w:t>
      </w:r>
      <w:r>
        <w:t>de</w:t>
      </w:r>
      <w:r>
        <w:rPr>
          <w:spacing w:val="50"/>
        </w:rPr>
        <w:t xml:space="preserve"> </w:t>
      </w:r>
      <w:r>
        <w:t>los</w:t>
      </w:r>
      <w:r>
        <w:rPr>
          <w:spacing w:val="49"/>
        </w:rPr>
        <w:t xml:space="preserve"> </w:t>
      </w:r>
      <w:r>
        <w:t>habitantes</w:t>
      </w:r>
      <w:r>
        <w:rPr>
          <w:spacing w:val="49"/>
        </w:rPr>
        <w:t xml:space="preserve"> </w:t>
      </w:r>
      <w:r>
        <w:t>rurales.</w:t>
      </w:r>
      <w:r>
        <w:rPr>
          <w:spacing w:val="50"/>
        </w:rPr>
        <w:t xml:space="preserve"> </w:t>
      </w:r>
      <w:r>
        <w:t>[…]</w:t>
      </w:r>
      <w:r>
        <w:rPr>
          <w:spacing w:val="49"/>
        </w:rPr>
        <w:t xml:space="preserve"> </w:t>
      </w:r>
      <w:r>
        <w:t>Esto</w:t>
      </w:r>
      <w:r>
        <w:rPr>
          <w:spacing w:val="50"/>
        </w:rPr>
        <w:t xml:space="preserve"> </w:t>
      </w:r>
      <w:r>
        <w:t>aplica</w:t>
      </w:r>
      <w:r>
        <w:rPr>
          <w:spacing w:val="50"/>
        </w:rPr>
        <w:t xml:space="preserve"> </w:t>
      </w:r>
      <w:r>
        <w:rPr>
          <w:spacing w:val="-4"/>
        </w:rPr>
        <w:t>para</w:t>
      </w:r>
      <w:bookmarkStart w:id="1333" w:name="_bookmark1185"/>
      <w:bookmarkStart w:id="1334" w:name="_bookmark1186"/>
      <w:bookmarkEnd w:id="1333"/>
      <w:bookmarkEnd w:id="1334"/>
      <w:r w:rsidR="00742DF7">
        <w:rPr>
          <w:spacing w:val="-4"/>
        </w:rPr>
        <w:t xml:space="preserve"> </w:t>
      </w:r>
      <w:r>
        <w:t>garantizar el respeto hacia la vida humana y en especial la de los líderes y lideresas sociales»</w:t>
      </w:r>
      <w:r w:rsidR="006021F1">
        <w:rPr>
          <w:rStyle w:val="Refdenotaalpie"/>
        </w:rPr>
        <w:footnoteReference w:id="1083"/>
      </w:r>
      <w:r>
        <w:t>.</w:t>
      </w:r>
      <w:r>
        <w:rPr>
          <w:spacing w:val="-14"/>
        </w:rPr>
        <w:t xml:space="preserve"> </w:t>
      </w:r>
      <w:r>
        <w:t>Una</w:t>
      </w:r>
      <w:r>
        <w:rPr>
          <w:spacing w:val="-14"/>
        </w:rPr>
        <w:t xml:space="preserve"> </w:t>
      </w:r>
      <w:r>
        <w:t>conciencia</w:t>
      </w:r>
      <w:r>
        <w:rPr>
          <w:spacing w:val="-14"/>
        </w:rPr>
        <w:t xml:space="preserve"> </w:t>
      </w:r>
      <w:r>
        <w:t>plena</w:t>
      </w:r>
      <w:r>
        <w:rPr>
          <w:spacing w:val="-15"/>
        </w:rPr>
        <w:t xml:space="preserve"> </w:t>
      </w:r>
      <w:r>
        <w:t>sobre</w:t>
      </w:r>
      <w:r>
        <w:rPr>
          <w:spacing w:val="-14"/>
        </w:rPr>
        <w:t xml:space="preserve"> </w:t>
      </w:r>
      <w:r>
        <w:t>nuestros</w:t>
      </w:r>
      <w:r>
        <w:rPr>
          <w:spacing w:val="-15"/>
        </w:rPr>
        <w:t xml:space="preserve"> </w:t>
      </w:r>
      <w:r>
        <w:t>territorios,</w:t>
      </w:r>
      <w:r>
        <w:rPr>
          <w:spacing w:val="-14"/>
        </w:rPr>
        <w:t xml:space="preserve"> </w:t>
      </w:r>
      <w:r>
        <w:t>sobre</w:t>
      </w:r>
      <w:r>
        <w:rPr>
          <w:spacing w:val="-14"/>
        </w:rPr>
        <w:t xml:space="preserve"> </w:t>
      </w:r>
      <w:r>
        <w:t>las</w:t>
      </w:r>
      <w:r>
        <w:rPr>
          <w:spacing w:val="-14"/>
        </w:rPr>
        <w:t xml:space="preserve"> </w:t>
      </w:r>
      <w:r>
        <w:t>formas</w:t>
      </w:r>
      <w:r>
        <w:rPr>
          <w:spacing w:val="-15"/>
        </w:rPr>
        <w:t xml:space="preserve"> </w:t>
      </w:r>
      <w:r>
        <w:t>de</w:t>
      </w:r>
      <w:r>
        <w:rPr>
          <w:spacing w:val="-14"/>
        </w:rPr>
        <w:t xml:space="preserve"> </w:t>
      </w:r>
      <w:r>
        <w:t>apropiarlos y de convivir pacíficamente en ellos. Así, el desarrollo territorial estaría definido desde lo rural hacia lo urbano y no a la inversa. Para desde allí,</w:t>
      </w:r>
    </w:p>
    <w:p w:rsidR="003804AC" w:rsidRDefault="00AF18A5" w:rsidP="00742DF7">
      <w:r>
        <w:t>rescatar la dignidad de los pequeños productores (campesinos y agricultores familiares y comunitarios) y valorizar sus contribuciones al desarrollo rural y urbano para construir una sociedad rural más próspera y menos desigual, que se integre adecuadamente con toda la sociedad y, en especial, con las áreas urbanas […] una propuesta para el rediseño de la ruralidad que tenemos y de su relación con lo urbano a partir de una redistribución de la población en el territorio y de los factores productivos entre quienes habitan esos espacios, bajo una nueva concepción de equilibrios territoriales</w:t>
      </w:r>
      <w:r w:rsidR="006021F1">
        <w:rPr>
          <w:rStyle w:val="Refdenotaalpie"/>
        </w:rPr>
        <w:footnoteReference w:id="1084"/>
      </w:r>
      <w:r>
        <w:t>.</w:t>
      </w:r>
    </w:p>
    <w:p w:rsidR="003804AC" w:rsidRDefault="00AF18A5" w:rsidP="006021F1">
      <w:r>
        <w:t>En</w:t>
      </w:r>
      <w:r>
        <w:rPr>
          <w:spacing w:val="-5"/>
        </w:rPr>
        <w:t xml:space="preserve"> </w:t>
      </w:r>
      <w:r>
        <w:t>este</w:t>
      </w:r>
      <w:r>
        <w:rPr>
          <w:spacing w:val="-6"/>
        </w:rPr>
        <w:t xml:space="preserve"> </w:t>
      </w:r>
      <w:r>
        <w:t>mismo</w:t>
      </w:r>
      <w:r>
        <w:rPr>
          <w:spacing w:val="-5"/>
        </w:rPr>
        <w:t xml:space="preserve"> </w:t>
      </w:r>
      <w:r>
        <w:t>sentido</w:t>
      </w:r>
      <w:r>
        <w:rPr>
          <w:spacing w:val="-6"/>
        </w:rPr>
        <w:t xml:space="preserve"> </w:t>
      </w:r>
      <w:r>
        <w:t>se</w:t>
      </w:r>
      <w:r>
        <w:rPr>
          <w:spacing w:val="-5"/>
        </w:rPr>
        <w:t xml:space="preserve"> </w:t>
      </w:r>
      <w:r>
        <w:t>habían</w:t>
      </w:r>
      <w:r>
        <w:rPr>
          <w:spacing w:val="-5"/>
        </w:rPr>
        <w:t xml:space="preserve"> </w:t>
      </w:r>
      <w:r>
        <w:t>presentado</w:t>
      </w:r>
      <w:r>
        <w:rPr>
          <w:spacing w:val="-6"/>
        </w:rPr>
        <w:t xml:space="preserve"> </w:t>
      </w:r>
      <w:r>
        <w:t>los</w:t>
      </w:r>
      <w:r>
        <w:rPr>
          <w:spacing w:val="-6"/>
        </w:rPr>
        <w:t xml:space="preserve"> </w:t>
      </w:r>
      <w:r>
        <w:t>aportes</w:t>
      </w:r>
      <w:r>
        <w:rPr>
          <w:spacing w:val="-6"/>
        </w:rPr>
        <w:t xml:space="preserve"> </w:t>
      </w:r>
      <w:r>
        <w:t>de</w:t>
      </w:r>
      <w:r>
        <w:rPr>
          <w:spacing w:val="-6"/>
        </w:rPr>
        <w:t xml:space="preserve"> </w:t>
      </w:r>
      <w:r>
        <w:t>la</w:t>
      </w:r>
      <w:r>
        <w:rPr>
          <w:spacing w:val="-6"/>
        </w:rPr>
        <w:t xml:space="preserve"> </w:t>
      </w:r>
      <w:r>
        <w:t>Misión</w:t>
      </w:r>
      <w:r>
        <w:rPr>
          <w:spacing w:val="-5"/>
        </w:rPr>
        <w:t xml:space="preserve"> </w:t>
      </w:r>
      <w:r>
        <w:t>para</w:t>
      </w:r>
      <w:r>
        <w:rPr>
          <w:spacing w:val="-6"/>
        </w:rPr>
        <w:t xml:space="preserve"> </w:t>
      </w:r>
      <w:r>
        <w:t>la</w:t>
      </w:r>
      <w:r>
        <w:rPr>
          <w:spacing w:val="-5"/>
        </w:rPr>
        <w:t xml:space="preserve"> </w:t>
      </w:r>
      <w:r>
        <w:t xml:space="preserve">Transformación del Campo en 2014 y el documento </w:t>
      </w:r>
      <w:r>
        <w:rPr>
          <w:i/>
        </w:rPr>
        <w:t>Bases para la Política General de Ordenamiento Territorial</w:t>
      </w:r>
      <w:r>
        <w:t>. En los dos informes</w:t>
      </w:r>
      <w:r w:rsidR="006021F1">
        <w:rPr>
          <w:rStyle w:val="Refdenotaalpie"/>
        </w:rPr>
        <w:footnoteReference w:id="1085"/>
      </w:r>
      <w:r>
        <w:t xml:space="preserve"> el modelo de ordenamiento territorial consideró la inclusión de una nueva clasificación de la ruralidad y reconoció el peso de la vida rural:</w:t>
      </w:r>
    </w:p>
    <w:p w:rsidR="003804AC" w:rsidRDefault="00AF18A5" w:rsidP="006021F1">
      <w:r>
        <w:t>Cerca</w:t>
      </w:r>
      <w:r>
        <w:rPr>
          <w:spacing w:val="-2"/>
        </w:rPr>
        <w:t xml:space="preserve"> </w:t>
      </w:r>
      <w:r>
        <w:t>del</w:t>
      </w:r>
      <w:r>
        <w:rPr>
          <w:spacing w:val="-2"/>
        </w:rPr>
        <w:t xml:space="preserve"> </w:t>
      </w:r>
      <w:r>
        <w:t>60</w:t>
      </w:r>
      <w:r>
        <w:rPr>
          <w:spacing w:val="-5"/>
        </w:rPr>
        <w:t xml:space="preserve"> </w:t>
      </w:r>
      <w:r>
        <w:t>%</w:t>
      </w:r>
      <w:r>
        <w:rPr>
          <w:spacing w:val="-2"/>
        </w:rPr>
        <w:t xml:space="preserve"> </w:t>
      </w:r>
      <w:r>
        <w:t>de</w:t>
      </w:r>
      <w:r>
        <w:rPr>
          <w:spacing w:val="-3"/>
        </w:rPr>
        <w:t xml:space="preserve"> </w:t>
      </w:r>
      <w:r>
        <w:t>los</w:t>
      </w:r>
      <w:r>
        <w:rPr>
          <w:spacing w:val="-3"/>
        </w:rPr>
        <w:t xml:space="preserve"> </w:t>
      </w:r>
      <w:r>
        <w:t>municipios</w:t>
      </w:r>
      <w:r>
        <w:rPr>
          <w:spacing w:val="-2"/>
        </w:rPr>
        <w:t xml:space="preserve"> </w:t>
      </w:r>
      <w:r>
        <w:t>que</w:t>
      </w:r>
      <w:r>
        <w:rPr>
          <w:spacing w:val="-2"/>
        </w:rPr>
        <w:t xml:space="preserve"> </w:t>
      </w:r>
      <w:r>
        <w:t>tiene</w:t>
      </w:r>
      <w:r>
        <w:rPr>
          <w:spacing w:val="-2"/>
        </w:rPr>
        <w:t xml:space="preserve"> </w:t>
      </w:r>
      <w:r>
        <w:t>Colombia</w:t>
      </w:r>
      <w:r>
        <w:rPr>
          <w:spacing w:val="-2"/>
        </w:rPr>
        <w:t xml:space="preserve"> </w:t>
      </w:r>
      <w:r>
        <w:t>deben</w:t>
      </w:r>
      <w:r>
        <w:rPr>
          <w:spacing w:val="-3"/>
        </w:rPr>
        <w:t xml:space="preserve"> </w:t>
      </w:r>
      <w:r>
        <w:t>considerarse</w:t>
      </w:r>
      <w:r>
        <w:rPr>
          <w:spacing w:val="-3"/>
        </w:rPr>
        <w:t xml:space="preserve"> </w:t>
      </w:r>
      <w:r>
        <w:lastRenderedPageBreak/>
        <w:t>como</w:t>
      </w:r>
      <w:r>
        <w:rPr>
          <w:spacing w:val="-3"/>
        </w:rPr>
        <w:t xml:space="preserve"> </w:t>
      </w:r>
      <w:r>
        <w:t>rurales</w:t>
      </w:r>
      <w:r>
        <w:rPr>
          <w:spacing w:val="-2"/>
        </w:rPr>
        <w:t xml:space="preserve"> </w:t>
      </w:r>
      <w:r>
        <w:t>y existe, además, una población rural dispersa en el resto de municipios, con lo cual la población rural representa poco más de 30</w:t>
      </w:r>
      <w:r>
        <w:rPr>
          <w:spacing w:val="-3"/>
        </w:rPr>
        <w:t xml:space="preserve"> </w:t>
      </w:r>
      <w:r>
        <w:t>% de la población del país. Además, muchas de nuestras ciudades intermedias e incluso grandes siguen teniendo una relación muy estrecha con</w:t>
      </w:r>
      <w:r>
        <w:rPr>
          <w:spacing w:val="-15"/>
        </w:rPr>
        <w:t xml:space="preserve"> </w:t>
      </w:r>
      <w:r>
        <w:t>las</w:t>
      </w:r>
      <w:r>
        <w:rPr>
          <w:spacing w:val="-15"/>
        </w:rPr>
        <w:t xml:space="preserve"> </w:t>
      </w:r>
      <w:r>
        <w:t>actividades</w:t>
      </w:r>
      <w:r>
        <w:rPr>
          <w:spacing w:val="-15"/>
        </w:rPr>
        <w:t xml:space="preserve"> </w:t>
      </w:r>
      <w:r>
        <w:t>agropecuarias.</w:t>
      </w:r>
      <w:r>
        <w:rPr>
          <w:spacing w:val="-15"/>
        </w:rPr>
        <w:t xml:space="preserve"> </w:t>
      </w:r>
      <w:r>
        <w:t>La</w:t>
      </w:r>
      <w:r>
        <w:rPr>
          <w:spacing w:val="-15"/>
        </w:rPr>
        <w:t xml:space="preserve"> </w:t>
      </w:r>
      <w:r>
        <w:t>«ruralidad»</w:t>
      </w:r>
      <w:r>
        <w:rPr>
          <w:spacing w:val="-15"/>
        </w:rPr>
        <w:t xml:space="preserve"> </w:t>
      </w:r>
      <w:r>
        <w:t>debe</w:t>
      </w:r>
      <w:r>
        <w:rPr>
          <w:spacing w:val="-15"/>
        </w:rPr>
        <w:t xml:space="preserve"> </w:t>
      </w:r>
      <w:r>
        <w:t>entenderse</w:t>
      </w:r>
      <w:r>
        <w:rPr>
          <w:spacing w:val="-15"/>
        </w:rPr>
        <w:t xml:space="preserve"> </w:t>
      </w:r>
      <w:r>
        <w:t>así,</w:t>
      </w:r>
      <w:r>
        <w:rPr>
          <w:spacing w:val="-15"/>
        </w:rPr>
        <w:t xml:space="preserve"> </w:t>
      </w:r>
      <w:r>
        <w:t>como</w:t>
      </w:r>
      <w:r>
        <w:rPr>
          <w:spacing w:val="-15"/>
        </w:rPr>
        <w:t xml:space="preserve"> </w:t>
      </w:r>
      <w:r>
        <w:t>un</w:t>
      </w:r>
      <w:r>
        <w:rPr>
          <w:spacing w:val="-15"/>
        </w:rPr>
        <w:t xml:space="preserve"> </w:t>
      </w:r>
      <w:r>
        <w:t>continuo</w:t>
      </w:r>
      <w:r>
        <w:rPr>
          <w:spacing w:val="-15"/>
        </w:rPr>
        <w:t xml:space="preserve"> </w:t>
      </w:r>
      <w:r>
        <w:t>que, de hecho, no desaparece aún en nuestras grandes urbes</w:t>
      </w:r>
      <w:r w:rsidR="006021F1">
        <w:rPr>
          <w:rStyle w:val="Refdenotaalpie"/>
        </w:rPr>
        <w:footnoteReference w:id="1086"/>
      </w:r>
      <w:r>
        <w:t>.</w:t>
      </w:r>
    </w:p>
    <w:p w:rsidR="003804AC" w:rsidRDefault="00AF18A5" w:rsidP="006021F1">
      <w:r>
        <w:t>Aumentar</w:t>
      </w:r>
      <w:r>
        <w:rPr>
          <w:spacing w:val="-10"/>
        </w:rPr>
        <w:t xml:space="preserve"> </w:t>
      </w:r>
      <w:r>
        <w:t>la</w:t>
      </w:r>
      <w:r>
        <w:rPr>
          <w:spacing w:val="-11"/>
        </w:rPr>
        <w:t xml:space="preserve"> </w:t>
      </w:r>
      <w:r>
        <w:t>prioridad</w:t>
      </w:r>
      <w:r>
        <w:rPr>
          <w:spacing w:val="-10"/>
        </w:rPr>
        <w:t xml:space="preserve"> </w:t>
      </w:r>
      <w:r>
        <w:t>de</w:t>
      </w:r>
      <w:r>
        <w:rPr>
          <w:spacing w:val="-11"/>
        </w:rPr>
        <w:t xml:space="preserve"> </w:t>
      </w:r>
      <w:r>
        <w:t>los</w:t>
      </w:r>
      <w:r>
        <w:rPr>
          <w:spacing w:val="-9"/>
        </w:rPr>
        <w:t xml:space="preserve"> </w:t>
      </w:r>
      <w:r>
        <w:t>territorios</w:t>
      </w:r>
      <w:r>
        <w:rPr>
          <w:spacing w:val="-9"/>
        </w:rPr>
        <w:t xml:space="preserve"> </w:t>
      </w:r>
      <w:r>
        <w:t>rurales</w:t>
      </w:r>
      <w:r>
        <w:rPr>
          <w:spacing w:val="-9"/>
        </w:rPr>
        <w:t xml:space="preserve"> </w:t>
      </w:r>
      <w:r>
        <w:t>como</w:t>
      </w:r>
      <w:r>
        <w:rPr>
          <w:spacing w:val="-10"/>
        </w:rPr>
        <w:t xml:space="preserve"> </w:t>
      </w:r>
      <w:r>
        <w:t>soporte</w:t>
      </w:r>
      <w:r>
        <w:rPr>
          <w:spacing w:val="-11"/>
        </w:rPr>
        <w:t xml:space="preserve"> </w:t>
      </w:r>
      <w:r>
        <w:t>del</w:t>
      </w:r>
      <w:r>
        <w:rPr>
          <w:spacing w:val="-9"/>
        </w:rPr>
        <w:t xml:space="preserve"> </w:t>
      </w:r>
      <w:r>
        <w:t>desarrollo</w:t>
      </w:r>
      <w:r>
        <w:rPr>
          <w:spacing w:val="-10"/>
        </w:rPr>
        <w:t xml:space="preserve"> </w:t>
      </w:r>
      <w:r>
        <w:t>territorial</w:t>
      </w:r>
      <w:r>
        <w:rPr>
          <w:spacing w:val="-9"/>
        </w:rPr>
        <w:t xml:space="preserve"> </w:t>
      </w:r>
      <w:r>
        <w:t>y</w:t>
      </w:r>
      <w:r>
        <w:rPr>
          <w:spacing w:val="-10"/>
        </w:rPr>
        <w:t xml:space="preserve"> </w:t>
      </w:r>
      <w:r>
        <w:t>de la construcción de paz implica un cambio estructural en la visión de desarrollo que guía los procesos</w:t>
      </w:r>
      <w:r>
        <w:rPr>
          <w:spacing w:val="-15"/>
        </w:rPr>
        <w:t xml:space="preserve"> </w:t>
      </w:r>
      <w:r>
        <w:t>de</w:t>
      </w:r>
      <w:r>
        <w:rPr>
          <w:spacing w:val="-15"/>
        </w:rPr>
        <w:t xml:space="preserve"> </w:t>
      </w:r>
      <w:r>
        <w:t>ordenamiento</w:t>
      </w:r>
      <w:r>
        <w:rPr>
          <w:spacing w:val="-15"/>
        </w:rPr>
        <w:t xml:space="preserve"> </w:t>
      </w:r>
      <w:r>
        <w:t>territorial.</w:t>
      </w:r>
      <w:r>
        <w:rPr>
          <w:spacing w:val="-15"/>
        </w:rPr>
        <w:t xml:space="preserve"> </w:t>
      </w:r>
      <w:r>
        <w:t>Pero,</w:t>
      </w:r>
      <w:r>
        <w:rPr>
          <w:spacing w:val="-15"/>
        </w:rPr>
        <w:t xml:space="preserve"> </w:t>
      </w:r>
      <w:r>
        <w:t>además,</w:t>
      </w:r>
      <w:r>
        <w:rPr>
          <w:spacing w:val="-15"/>
        </w:rPr>
        <w:t xml:space="preserve"> </w:t>
      </w:r>
      <w:r>
        <w:t>implica</w:t>
      </w:r>
      <w:r>
        <w:rPr>
          <w:spacing w:val="-15"/>
        </w:rPr>
        <w:t xml:space="preserve"> </w:t>
      </w:r>
      <w:r>
        <w:t>reposicionar</w:t>
      </w:r>
      <w:r>
        <w:rPr>
          <w:spacing w:val="-15"/>
        </w:rPr>
        <w:t xml:space="preserve"> </w:t>
      </w:r>
      <w:r>
        <w:t>en</w:t>
      </w:r>
      <w:r>
        <w:rPr>
          <w:spacing w:val="-15"/>
        </w:rPr>
        <w:t xml:space="preserve"> </w:t>
      </w:r>
      <w:r>
        <w:t>la</w:t>
      </w:r>
      <w:r>
        <w:rPr>
          <w:spacing w:val="-15"/>
        </w:rPr>
        <w:t xml:space="preserve"> </w:t>
      </w:r>
      <w:r>
        <w:t>agenda</w:t>
      </w:r>
      <w:r>
        <w:rPr>
          <w:spacing w:val="-15"/>
        </w:rPr>
        <w:t xml:space="preserve"> </w:t>
      </w:r>
      <w:r>
        <w:t>pública los</w:t>
      </w:r>
      <w:r>
        <w:rPr>
          <w:spacing w:val="10"/>
        </w:rPr>
        <w:t xml:space="preserve"> </w:t>
      </w:r>
      <w:r>
        <w:t>asuntos</w:t>
      </w:r>
      <w:r>
        <w:rPr>
          <w:spacing w:val="12"/>
        </w:rPr>
        <w:t xml:space="preserve"> </w:t>
      </w:r>
      <w:r>
        <w:t>relacionados</w:t>
      </w:r>
      <w:r>
        <w:rPr>
          <w:spacing w:val="11"/>
        </w:rPr>
        <w:t xml:space="preserve"> </w:t>
      </w:r>
      <w:r>
        <w:t>con</w:t>
      </w:r>
      <w:r>
        <w:rPr>
          <w:spacing w:val="13"/>
        </w:rPr>
        <w:t xml:space="preserve"> </w:t>
      </w:r>
      <w:r>
        <w:t>la</w:t>
      </w:r>
      <w:r>
        <w:rPr>
          <w:spacing w:val="12"/>
        </w:rPr>
        <w:t xml:space="preserve"> </w:t>
      </w:r>
      <w:r>
        <w:t>paz,</w:t>
      </w:r>
      <w:r>
        <w:rPr>
          <w:spacing w:val="12"/>
        </w:rPr>
        <w:t xml:space="preserve"> </w:t>
      </w:r>
      <w:r>
        <w:t>ya</w:t>
      </w:r>
      <w:r>
        <w:rPr>
          <w:spacing w:val="12"/>
        </w:rPr>
        <w:t xml:space="preserve"> </w:t>
      </w:r>
      <w:r>
        <w:t>que</w:t>
      </w:r>
      <w:r>
        <w:rPr>
          <w:spacing w:val="13"/>
        </w:rPr>
        <w:t xml:space="preserve"> </w:t>
      </w:r>
      <w:r>
        <w:t>muchos</w:t>
      </w:r>
      <w:r>
        <w:rPr>
          <w:spacing w:val="12"/>
        </w:rPr>
        <w:t xml:space="preserve"> </w:t>
      </w:r>
      <w:r>
        <w:t>de</w:t>
      </w:r>
      <w:r>
        <w:rPr>
          <w:spacing w:val="13"/>
        </w:rPr>
        <w:t xml:space="preserve"> </w:t>
      </w:r>
      <w:r>
        <w:t>ellos</w:t>
      </w:r>
      <w:r>
        <w:rPr>
          <w:spacing w:val="11"/>
        </w:rPr>
        <w:t xml:space="preserve"> </w:t>
      </w:r>
      <w:r>
        <w:t>pasan</w:t>
      </w:r>
      <w:r>
        <w:rPr>
          <w:spacing w:val="13"/>
        </w:rPr>
        <w:t xml:space="preserve"> </w:t>
      </w:r>
      <w:r>
        <w:t>por</w:t>
      </w:r>
      <w:r>
        <w:rPr>
          <w:spacing w:val="12"/>
        </w:rPr>
        <w:t xml:space="preserve"> </w:t>
      </w:r>
      <w:r>
        <w:t>la</w:t>
      </w:r>
      <w:r>
        <w:rPr>
          <w:spacing w:val="13"/>
        </w:rPr>
        <w:t xml:space="preserve"> </w:t>
      </w:r>
      <w:r>
        <w:t>transformación</w:t>
      </w:r>
      <w:r>
        <w:rPr>
          <w:spacing w:val="13"/>
        </w:rPr>
        <w:t xml:space="preserve"> </w:t>
      </w:r>
      <w:r>
        <w:rPr>
          <w:spacing w:val="-10"/>
        </w:rPr>
        <w:t>y</w:t>
      </w:r>
      <w:bookmarkStart w:id="1335" w:name="_bookmark1187"/>
      <w:bookmarkStart w:id="1336" w:name="_bookmark1188"/>
      <w:bookmarkStart w:id="1337" w:name="_bookmark1189"/>
      <w:bookmarkStart w:id="1338" w:name="_bookmark1190"/>
      <w:bookmarkEnd w:id="1335"/>
      <w:bookmarkEnd w:id="1336"/>
      <w:bookmarkEnd w:id="1337"/>
      <w:bookmarkEnd w:id="1338"/>
      <w:r w:rsidR="006021F1">
        <w:t xml:space="preserve"> </w:t>
      </w:r>
      <w:r>
        <w:t>superación de los conflictos territoriales, de las condiciones de desigualdad y de exclusión de las víctimas.</w:t>
      </w:r>
    </w:p>
    <w:p w:rsidR="003804AC" w:rsidRDefault="00AF18A5" w:rsidP="006021F1">
      <w:r>
        <w:t>El ordenamiento territorial tiene el reto de contribuir a la reconstrucción del tejido económico y social, actuando sobre factores estructurantes dirigidos a movilizar las capacidades endógenas contando con el apoyo nacional, de manera que se logre recuperar plenamente la gobernabilidad y se creen capacidades de autodesarrollo. Para el efecto, el reordenamiento territorial requerido deberá considerar en conjunto las dimensiones del desarrollo, teniendo presente que el logro y consolidación de la paz exige una perspectiva sistémica del desarrollo territorial que oriente la</w:t>
      </w:r>
      <w:r>
        <w:rPr>
          <w:spacing w:val="-1"/>
        </w:rPr>
        <w:t xml:space="preserve"> </w:t>
      </w:r>
      <w:r>
        <w:t>política pública hacia los</w:t>
      </w:r>
      <w:r>
        <w:rPr>
          <w:spacing w:val="-1"/>
        </w:rPr>
        <w:t xml:space="preserve"> </w:t>
      </w:r>
      <w:r>
        <w:t>asuntos clave que causaron el conflicto, reconociendo las particularidades regionales</w:t>
      </w:r>
      <w:r w:rsidR="00B4401C">
        <w:rPr>
          <w:rStyle w:val="Refdenotaalpie"/>
        </w:rPr>
        <w:footnoteReference w:id="1087"/>
      </w:r>
      <w:r>
        <w:t>.</w:t>
      </w:r>
    </w:p>
    <w:p w:rsidR="003804AC" w:rsidRDefault="00AF18A5" w:rsidP="00B4401C">
      <w:r>
        <w:t xml:space="preserve">En ese camino es necesario ajustar la organización político </w:t>
      </w:r>
      <w:r>
        <w:lastRenderedPageBreak/>
        <w:t>administrativa de la Nación, organización, territorios, poblaciones y recursos en regiones que garanticen su mejor gobierno</w:t>
      </w:r>
      <w:r>
        <w:rPr>
          <w:spacing w:val="-12"/>
        </w:rPr>
        <w:t xml:space="preserve"> </w:t>
      </w:r>
      <w:r>
        <w:t>y</w:t>
      </w:r>
      <w:r>
        <w:rPr>
          <w:spacing w:val="-12"/>
        </w:rPr>
        <w:t xml:space="preserve"> </w:t>
      </w:r>
      <w:r>
        <w:t>administración.</w:t>
      </w:r>
      <w:r>
        <w:rPr>
          <w:spacing w:val="-12"/>
        </w:rPr>
        <w:t xml:space="preserve"> </w:t>
      </w:r>
      <w:r>
        <w:t>En</w:t>
      </w:r>
      <w:r>
        <w:rPr>
          <w:spacing w:val="-12"/>
        </w:rPr>
        <w:t xml:space="preserve"> </w:t>
      </w:r>
      <w:r>
        <w:t>este</w:t>
      </w:r>
      <w:r>
        <w:rPr>
          <w:spacing w:val="-12"/>
        </w:rPr>
        <w:t xml:space="preserve"> </w:t>
      </w:r>
      <w:r>
        <w:t>proyecto,</w:t>
      </w:r>
      <w:r>
        <w:rPr>
          <w:spacing w:val="-12"/>
        </w:rPr>
        <w:t xml:space="preserve"> </w:t>
      </w:r>
      <w:r>
        <w:t>es</w:t>
      </w:r>
      <w:r>
        <w:rPr>
          <w:spacing w:val="-12"/>
        </w:rPr>
        <w:t xml:space="preserve"> </w:t>
      </w:r>
      <w:r>
        <w:t>necesario</w:t>
      </w:r>
      <w:r>
        <w:rPr>
          <w:spacing w:val="-12"/>
        </w:rPr>
        <w:t xml:space="preserve"> </w:t>
      </w:r>
      <w:r>
        <w:t>considerar</w:t>
      </w:r>
      <w:r>
        <w:rPr>
          <w:spacing w:val="-11"/>
        </w:rPr>
        <w:t xml:space="preserve"> </w:t>
      </w:r>
      <w:r>
        <w:t>las</w:t>
      </w:r>
      <w:r>
        <w:rPr>
          <w:spacing w:val="-12"/>
        </w:rPr>
        <w:t xml:space="preserve"> </w:t>
      </w:r>
      <w:r>
        <w:t>razones</w:t>
      </w:r>
      <w:r>
        <w:rPr>
          <w:spacing w:val="-12"/>
        </w:rPr>
        <w:t xml:space="preserve"> </w:t>
      </w:r>
      <w:r>
        <w:t>geográficas, los</w:t>
      </w:r>
      <w:r>
        <w:rPr>
          <w:spacing w:val="-12"/>
        </w:rPr>
        <w:t xml:space="preserve"> </w:t>
      </w:r>
      <w:r>
        <w:t>criterios</w:t>
      </w:r>
      <w:r>
        <w:rPr>
          <w:spacing w:val="-14"/>
        </w:rPr>
        <w:t xml:space="preserve"> </w:t>
      </w:r>
      <w:r>
        <w:t>poblacionales,</w:t>
      </w:r>
      <w:r>
        <w:rPr>
          <w:spacing w:val="-12"/>
        </w:rPr>
        <w:t xml:space="preserve"> </w:t>
      </w:r>
      <w:r>
        <w:t>y</w:t>
      </w:r>
      <w:r>
        <w:rPr>
          <w:spacing w:val="-12"/>
        </w:rPr>
        <w:t xml:space="preserve"> </w:t>
      </w:r>
      <w:r>
        <w:t>razones</w:t>
      </w:r>
      <w:r>
        <w:rPr>
          <w:spacing w:val="-13"/>
        </w:rPr>
        <w:t xml:space="preserve"> </w:t>
      </w:r>
      <w:r>
        <w:t>de</w:t>
      </w:r>
      <w:r>
        <w:rPr>
          <w:spacing w:val="-12"/>
        </w:rPr>
        <w:t xml:space="preserve"> </w:t>
      </w:r>
      <w:r>
        <w:t>la</w:t>
      </w:r>
      <w:r>
        <w:rPr>
          <w:spacing w:val="-12"/>
        </w:rPr>
        <w:t xml:space="preserve"> </w:t>
      </w:r>
      <w:r>
        <w:t>distribución</w:t>
      </w:r>
      <w:r>
        <w:rPr>
          <w:spacing w:val="-12"/>
        </w:rPr>
        <w:t xml:space="preserve"> </w:t>
      </w:r>
      <w:r>
        <w:t>del</w:t>
      </w:r>
      <w:r>
        <w:rPr>
          <w:spacing w:val="-13"/>
        </w:rPr>
        <w:t xml:space="preserve"> </w:t>
      </w:r>
      <w:r>
        <w:t>poder</w:t>
      </w:r>
      <w:r>
        <w:rPr>
          <w:spacing w:val="-12"/>
        </w:rPr>
        <w:t xml:space="preserve"> </w:t>
      </w:r>
      <w:r>
        <w:t>político</w:t>
      </w:r>
      <w:r>
        <w:rPr>
          <w:spacing w:val="-13"/>
        </w:rPr>
        <w:t xml:space="preserve"> </w:t>
      </w:r>
      <w:r>
        <w:t>entre</w:t>
      </w:r>
      <w:r>
        <w:rPr>
          <w:spacing w:val="-13"/>
        </w:rPr>
        <w:t xml:space="preserve"> </w:t>
      </w:r>
      <w:r>
        <w:t>los</w:t>
      </w:r>
      <w:r>
        <w:rPr>
          <w:spacing w:val="-13"/>
        </w:rPr>
        <w:t xml:space="preserve"> </w:t>
      </w:r>
      <w:r>
        <w:t>territorios. Las configuraciones geográficas –al reunir ciertos elementos físicos que le dan unidad (una selva,</w:t>
      </w:r>
      <w:r>
        <w:rPr>
          <w:spacing w:val="-14"/>
        </w:rPr>
        <w:t xml:space="preserve"> </w:t>
      </w:r>
      <w:r>
        <w:t>un</w:t>
      </w:r>
      <w:r>
        <w:rPr>
          <w:spacing w:val="-15"/>
        </w:rPr>
        <w:t xml:space="preserve"> </w:t>
      </w:r>
      <w:r>
        <w:t>mar,</w:t>
      </w:r>
      <w:r>
        <w:rPr>
          <w:spacing w:val="-14"/>
        </w:rPr>
        <w:t xml:space="preserve"> </w:t>
      </w:r>
      <w:r>
        <w:t>una</w:t>
      </w:r>
      <w:r>
        <w:rPr>
          <w:spacing w:val="-14"/>
        </w:rPr>
        <w:t xml:space="preserve"> </w:t>
      </w:r>
      <w:r>
        <w:t>llanura,</w:t>
      </w:r>
      <w:r>
        <w:rPr>
          <w:spacing w:val="-14"/>
        </w:rPr>
        <w:t xml:space="preserve"> </w:t>
      </w:r>
      <w:r>
        <w:t>una</w:t>
      </w:r>
      <w:r>
        <w:rPr>
          <w:spacing w:val="-14"/>
        </w:rPr>
        <w:t xml:space="preserve"> </w:t>
      </w:r>
      <w:r>
        <w:t>montaña,</w:t>
      </w:r>
      <w:r>
        <w:rPr>
          <w:spacing w:val="-14"/>
        </w:rPr>
        <w:t xml:space="preserve"> </w:t>
      </w:r>
      <w:r>
        <w:t>etc.)–</w:t>
      </w:r>
      <w:r>
        <w:rPr>
          <w:spacing w:val="-14"/>
        </w:rPr>
        <w:t xml:space="preserve"> </w:t>
      </w:r>
      <w:r>
        <w:t>crean</w:t>
      </w:r>
      <w:r>
        <w:rPr>
          <w:spacing w:val="-14"/>
        </w:rPr>
        <w:t xml:space="preserve"> </w:t>
      </w:r>
      <w:r>
        <w:t>regiones</w:t>
      </w:r>
      <w:r>
        <w:rPr>
          <w:spacing w:val="-15"/>
        </w:rPr>
        <w:t xml:space="preserve"> </w:t>
      </w:r>
      <w:r>
        <w:t>naturales</w:t>
      </w:r>
      <w:r>
        <w:rPr>
          <w:spacing w:val="-14"/>
        </w:rPr>
        <w:t xml:space="preserve"> </w:t>
      </w:r>
      <w:r>
        <w:t>que</w:t>
      </w:r>
      <w:r>
        <w:rPr>
          <w:spacing w:val="-14"/>
        </w:rPr>
        <w:t xml:space="preserve"> </w:t>
      </w:r>
      <w:r>
        <w:t>deben</w:t>
      </w:r>
      <w:r>
        <w:rPr>
          <w:spacing w:val="-14"/>
        </w:rPr>
        <w:t xml:space="preserve"> </w:t>
      </w:r>
      <w:r>
        <w:t>ser</w:t>
      </w:r>
      <w:r>
        <w:rPr>
          <w:spacing w:val="-14"/>
        </w:rPr>
        <w:t xml:space="preserve"> </w:t>
      </w:r>
      <w:r>
        <w:t>tenidas en cuenta en este proceso, con el fin de garantizar la sostenibilidad de los ecosistemas y la vida.</w:t>
      </w:r>
      <w:r>
        <w:rPr>
          <w:spacing w:val="-15"/>
        </w:rPr>
        <w:t xml:space="preserve"> </w:t>
      </w:r>
      <w:r>
        <w:t>Siguiendo</w:t>
      </w:r>
      <w:r>
        <w:rPr>
          <w:spacing w:val="-15"/>
        </w:rPr>
        <w:t xml:space="preserve"> </w:t>
      </w:r>
      <w:r>
        <w:t>este</w:t>
      </w:r>
      <w:r>
        <w:rPr>
          <w:spacing w:val="-15"/>
        </w:rPr>
        <w:t xml:space="preserve"> </w:t>
      </w:r>
      <w:r>
        <w:t>criterio,</w:t>
      </w:r>
      <w:r>
        <w:rPr>
          <w:spacing w:val="-15"/>
        </w:rPr>
        <w:t xml:space="preserve"> </w:t>
      </w:r>
      <w:r>
        <w:t>en</w:t>
      </w:r>
      <w:r>
        <w:rPr>
          <w:spacing w:val="-15"/>
        </w:rPr>
        <w:t xml:space="preserve"> </w:t>
      </w:r>
      <w:r>
        <w:t>Colombia</w:t>
      </w:r>
      <w:r>
        <w:rPr>
          <w:spacing w:val="-15"/>
        </w:rPr>
        <w:t xml:space="preserve"> </w:t>
      </w:r>
      <w:r>
        <w:t>existen</w:t>
      </w:r>
      <w:r>
        <w:rPr>
          <w:spacing w:val="-15"/>
        </w:rPr>
        <w:t xml:space="preserve"> </w:t>
      </w:r>
      <w:r>
        <w:t>seis</w:t>
      </w:r>
      <w:r>
        <w:rPr>
          <w:spacing w:val="-15"/>
        </w:rPr>
        <w:t xml:space="preserve"> </w:t>
      </w:r>
      <w:r>
        <w:t>espacios</w:t>
      </w:r>
      <w:r>
        <w:rPr>
          <w:spacing w:val="-14"/>
        </w:rPr>
        <w:t xml:space="preserve"> </w:t>
      </w:r>
      <w:r>
        <w:t>continentales</w:t>
      </w:r>
      <w:r>
        <w:rPr>
          <w:spacing w:val="-15"/>
        </w:rPr>
        <w:t xml:space="preserve"> </w:t>
      </w:r>
      <w:r>
        <w:t>delimitados</w:t>
      </w:r>
      <w:r>
        <w:rPr>
          <w:spacing w:val="-15"/>
        </w:rPr>
        <w:t xml:space="preserve"> </w:t>
      </w:r>
      <w:r>
        <w:t>por ecosistemas propios y grupos humanos específicos (Amazonía, Orinoquía, el espacio Marabino,</w:t>
      </w:r>
      <w:r>
        <w:rPr>
          <w:spacing w:val="-5"/>
        </w:rPr>
        <w:t xml:space="preserve"> </w:t>
      </w:r>
      <w:r>
        <w:t>el</w:t>
      </w:r>
      <w:r>
        <w:rPr>
          <w:spacing w:val="-4"/>
        </w:rPr>
        <w:t xml:space="preserve"> </w:t>
      </w:r>
      <w:r>
        <w:t>espacio</w:t>
      </w:r>
      <w:r>
        <w:rPr>
          <w:spacing w:val="-3"/>
        </w:rPr>
        <w:t xml:space="preserve"> </w:t>
      </w:r>
      <w:r>
        <w:t>Andino,</w:t>
      </w:r>
      <w:r>
        <w:rPr>
          <w:spacing w:val="-3"/>
        </w:rPr>
        <w:t xml:space="preserve"> </w:t>
      </w:r>
      <w:r>
        <w:t>el</w:t>
      </w:r>
      <w:r>
        <w:rPr>
          <w:spacing w:val="-3"/>
        </w:rPr>
        <w:t xml:space="preserve"> </w:t>
      </w:r>
      <w:r>
        <w:t>Caribe</w:t>
      </w:r>
      <w:r>
        <w:rPr>
          <w:spacing w:val="-3"/>
        </w:rPr>
        <w:t xml:space="preserve"> </w:t>
      </w:r>
      <w:r>
        <w:t>y</w:t>
      </w:r>
      <w:r>
        <w:rPr>
          <w:spacing w:val="-3"/>
        </w:rPr>
        <w:t xml:space="preserve"> </w:t>
      </w:r>
      <w:r>
        <w:t>el</w:t>
      </w:r>
      <w:r>
        <w:rPr>
          <w:spacing w:val="-3"/>
        </w:rPr>
        <w:t xml:space="preserve"> </w:t>
      </w:r>
      <w:r>
        <w:t>Pacífico).</w:t>
      </w:r>
      <w:r>
        <w:rPr>
          <w:spacing w:val="-3"/>
        </w:rPr>
        <w:t xml:space="preserve"> </w:t>
      </w:r>
      <w:r>
        <w:t>Adicionalmente,</w:t>
      </w:r>
      <w:r>
        <w:rPr>
          <w:spacing w:val="-3"/>
        </w:rPr>
        <w:t xml:space="preserve"> </w:t>
      </w:r>
      <w:r>
        <w:t>Colombia</w:t>
      </w:r>
      <w:r>
        <w:rPr>
          <w:spacing w:val="-3"/>
        </w:rPr>
        <w:t xml:space="preserve"> </w:t>
      </w:r>
      <w:r>
        <w:t>es</w:t>
      </w:r>
      <w:r>
        <w:rPr>
          <w:spacing w:val="-4"/>
        </w:rPr>
        <w:t xml:space="preserve"> </w:t>
      </w:r>
      <w:r>
        <w:t>un</w:t>
      </w:r>
      <w:r>
        <w:rPr>
          <w:spacing w:val="-3"/>
        </w:rPr>
        <w:t xml:space="preserve"> </w:t>
      </w:r>
      <w:r>
        <w:t xml:space="preserve">país multiétnico y pluricultural, compuesto por diversidad de asentamientos humanos sobre el territorio, que determinan espacios </w:t>
      </w:r>
      <w:proofErr w:type="spellStart"/>
      <w:r>
        <w:t>geoculturales</w:t>
      </w:r>
      <w:proofErr w:type="spellEnd"/>
      <w:r>
        <w:t xml:space="preserve"> en los que existen identidades territoriales compartidas y centrales a la hora de definir el ordenamiento territorial. Estos espacios se identifican</w:t>
      </w:r>
      <w:r>
        <w:rPr>
          <w:spacing w:val="-8"/>
        </w:rPr>
        <w:t xml:space="preserve"> </w:t>
      </w:r>
      <w:r>
        <w:t>por</w:t>
      </w:r>
      <w:r>
        <w:rPr>
          <w:spacing w:val="-8"/>
        </w:rPr>
        <w:t xml:space="preserve"> </w:t>
      </w:r>
      <w:r>
        <w:t>los</w:t>
      </w:r>
      <w:r>
        <w:rPr>
          <w:spacing w:val="-8"/>
        </w:rPr>
        <w:t xml:space="preserve"> </w:t>
      </w:r>
      <w:r>
        <w:t>valores,</w:t>
      </w:r>
      <w:r>
        <w:rPr>
          <w:spacing w:val="-8"/>
        </w:rPr>
        <w:t xml:space="preserve"> </w:t>
      </w:r>
      <w:r>
        <w:t>costumbres,</w:t>
      </w:r>
      <w:r>
        <w:rPr>
          <w:spacing w:val="-8"/>
        </w:rPr>
        <w:t xml:space="preserve"> </w:t>
      </w:r>
      <w:r>
        <w:t>tradiciones,</w:t>
      </w:r>
      <w:r>
        <w:rPr>
          <w:spacing w:val="-8"/>
        </w:rPr>
        <w:t xml:space="preserve"> </w:t>
      </w:r>
      <w:r>
        <w:t>incluso</w:t>
      </w:r>
      <w:r>
        <w:rPr>
          <w:spacing w:val="-8"/>
        </w:rPr>
        <w:t xml:space="preserve"> </w:t>
      </w:r>
      <w:r>
        <w:t>modos</w:t>
      </w:r>
      <w:r>
        <w:rPr>
          <w:spacing w:val="-8"/>
        </w:rPr>
        <w:t xml:space="preserve"> </w:t>
      </w:r>
      <w:r>
        <w:t>de</w:t>
      </w:r>
      <w:r>
        <w:rPr>
          <w:spacing w:val="-8"/>
        </w:rPr>
        <w:t xml:space="preserve"> </w:t>
      </w:r>
      <w:r>
        <w:t>hablar,</w:t>
      </w:r>
      <w:r>
        <w:rPr>
          <w:spacing w:val="-8"/>
        </w:rPr>
        <w:t xml:space="preserve"> </w:t>
      </w:r>
      <w:r>
        <w:t>que</w:t>
      </w:r>
      <w:r>
        <w:rPr>
          <w:spacing w:val="-8"/>
        </w:rPr>
        <w:t xml:space="preserve"> </w:t>
      </w:r>
      <w:r>
        <w:t>facilitan</w:t>
      </w:r>
      <w:r>
        <w:rPr>
          <w:spacing w:val="-8"/>
        </w:rPr>
        <w:t xml:space="preserve"> </w:t>
      </w:r>
      <w:r>
        <w:t>la construcción de propósitos compartidos de desarrollo. Finalmente, para pensar el ordenamiento territorial es necesario considerar la distribución del poder político entre los territorios,</w:t>
      </w:r>
      <w:r>
        <w:rPr>
          <w:spacing w:val="8"/>
        </w:rPr>
        <w:t xml:space="preserve"> </w:t>
      </w:r>
      <w:r>
        <w:t>que</w:t>
      </w:r>
      <w:r>
        <w:rPr>
          <w:spacing w:val="10"/>
        </w:rPr>
        <w:t xml:space="preserve"> </w:t>
      </w:r>
      <w:r>
        <w:t>debe</w:t>
      </w:r>
      <w:r>
        <w:rPr>
          <w:spacing w:val="10"/>
        </w:rPr>
        <w:t xml:space="preserve"> </w:t>
      </w:r>
      <w:r>
        <w:t>responder</w:t>
      </w:r>
      <w:r>
        <w:rPr>
          <w:spacing w:val="10"/>
        </w:rPr>
        <w:t xml:space="preserve"> </w:t>
      </w:r>
      <w:r>
        <w:t>al</w:t>
      </w:r>
      <w:r>
        <w:rPr>
          <w:spacing w:val="9"/>
        </w:rPr>
        <w:t xml:space="preserve"> </w:t>
      </w:r>
      <w:r>
        <w:t>país</w:t>
      </w:r>
      <w:r>
        <w:rPr>
          <w:spacing w:val="10"/>
        </w:rPr>
        <w:t xml:space="preserve"> </w:t>
      </w:r>
      <w:r>
        <w:t>de</w:t>
      </w:r>
      <w:r>
        <w:rPr>
          <w:spacing w:val="10"/>
        </w:rPr>
        <w:t xml:space="preserve"> </w:t>
      </w:r>
      <w:r>
        <w:t>regiones</w:t>
      </w:r>
      <w:r>
        <w:rPr>
          <w:spacing w:val="10"/>
        </w:rPr>
        <w:t xml:space="preserve"> </w:t>
      </w:r>
      <w:r>
        <w:t>que</w:t>
      </w:r>
      <w:r>
        <w:rPr>
          <w:spacing w:val="9"/>
        </w:rPr>
        <w:t xml:space="preserve"> </w:t>
      </w:r>
      <w:r>
        <w:t>somos.</w:t>
      </w:r>
      <w:r>
        <w:rPr>
          <w:spacing w:val="9"/>
        </w:rPr>
        <w:t xml:space="preserve"> </w:t>
      </w:r>
      <w:r>
        <w:t>La</w:t>
      </w:r>
      <w:r>
        <w:rPr>
          <w:spacing w:val="10"/>
        </w:rPr>
        <w:t xml:space="preserve"> </w:t>
      </w:r>
      <w:r>
        <w:t>regionalización</w:t>
      </w:r>
      <w:r>
        <w:rPr>
          <w:spacing w:val="9"/>
        </w:rPr>
        <w:t xml:space="preserve"> </w:t>
      </w:r>
      <w:r>
        <w:t>no</w:t>
      </w:r>
      <w:r>
        <w:rPr>
          <w:spacing w:val="8"/>
        </w:rPr>
        <w:t xml:space="preserve"> </w:t>
      </w:r>
      <w:r>
        <w:rPr>
          <w:spacing w:val="-2"/>
        </w:rPr>
        <w:t>puede</w:t>
      </w:r>
      <w:bookmarkStart w:id="1339" w:name="_bookmark1191"/>
      <w:bookmarkEnd w:id="1339"/>
      <w:r w:rsidR="00B4401C">
        <w:t xml:space="preserve"> </w:t>
      </w:r>
      <w:r>
        <w:t xml:space="preserve">limitarse a construir pactos internos a los territorios sobre el desarrollo que garanticen la integración de las diferentes perspectivas, sino que también debe impactar el acceso de los territorios, con mayores índices de exclusión y pobreza, a la representación política directa de sus intereses en los espacios de decisión del nivel nacional. Se trata de un proceso de democratización territorial al interior de las regiones, en el que se garantice mayor representación de los sectores tradicionalmente excluidos; y al mismo </w:t>
      </w:r>
      <w:r>
        <w:lastRenderedPageBreak/>
        <w:t>tiempo una democratización nacional que</w:t>
      </w:r>
      <w:r>
        <w:rPr>
          <w:spacing w:val="-1"/>
        </w:rPr>
        <w:t xml:space="preserve"> </w:t>
      </w:r>
      <w:r>
        <w:t>revierta la</w:t>
      </w:r>
      <w:r>
        <w:rPr>
          <w:spacing w:val="-1"/>
        </w:rPr>
        <w:t xml:space="preserve"> </w:t>
      </w:r>
      <w:r>
        <w:t>subrepresentación de los</w:t>
      </w:r>
      <w:r>
        <w:rPr>
          <w:spacing w:val="-1"/>
        </w:rPr>
        <w:t xml:space="preserve"> </w:t>
      </w:r>
      <w:r>
        <w:t>territorios que</w:t>
      </w:r>
      <w:r>
        <w:rPr>
          <w:spacing w:val="-1"/>
        </w:rPr>
        <w:t xml:space="preserve"> </w:t>
      </w:r>
      <w:r>
        <w:t>han</w:t>
      </w:r>
      <w:r>
        <w:rPr>
          <w:spacing w:val="-1"/>
        </w:rPr>
        <w:t xml:space="preserve"> </w:t>
      </w:r>
      <w:r>
        <w:t xml:space="preserve">estado históricamente en la periferia y que tienen los indicadores más alto de pobreza </w:t>
      </w:r>
      <w:r>
        <w:rPr>
          <w:spacing w:val="-2"/>
        </w:rPr>
        <w:t>multidimensional.</w:t>
      </w:r>
    </w:p>
    <w:p w:rsidR="003804AC" w:rsidRDefault="00AF18A5" w:rsidP="00B4401C">
      <w:r>
        <w:t>Este modelo de ordenamiento territorial debe reconocer, por un lado, las grandes desigualdades que han caracterizado históricamente la configuración territorial colombiana y su relación con la persistencia del conflicto armado; y por otro, que a una porción significativa de pobladores rurales se le han negado o vulnerado sistemáticamente los derechos</w:t>
      </w:r>
      <w:r>
        <w:rPr>
          <w:spacing w:val="-7"/>
        </w:rPr>
        <w:t xml:space="preserve"> </w:t>
      </w:r>
      <w:r>
        <w:t>a</w:t>
      </w:r>
      <w:r>
        <w:rPr>
          <w:spacing w:val="-7"/>
        </w:rPr>
        <w:t xml:space="preserve"> </w:t>
      </w:r>
      <w:r>
        <w:t>la</w:t>
      </w:r>
      <w:r>
        <w:rPr>
          <w:spacing w:val="-7"/>
        </w:rPr>
        <w:t xml:space="preserve"> </w:t>
      </w:r>
      <w:r>
        <w:t>propiedad</w:t>
      </w:r>
      <w:r>
        <w:rPr>
          <w:spacing w:val="-8"/>
        </w:rPr>
        <w:t xml:space="preserve"> </w:t>
      </w:r>
      <w:r>
        <w:t>y</w:t>
      </w:r>
      <w:r>
        <w:rPr>
          <w:spacing w:val="-7"/>
        </w:rPr>
        <w:t xml:space="preserve"> </w:t>
      </w:r>
      <w:r>
        <w:t>el</w:t>
      </w:r>
      <w:r>
        <w:rPr>
          <w:spacing w:val="-7"/>
        </w:rPr>
        <w:t xml:space="preserve"> </w:t>
      </w:r>
      <w:r>
        <w:t>uso</w:t>
      </w:r>
      <w:r>
        <w:rPr>
          <w:spacing w:val="-7"/>
        </w:rPr>
        <w:t xml:space="preserve"> </w:t>
      </w:r>
      <w:r>
        <w:t>de</w:t>
      </w:r>
      <w:r>
        <w:rPr>
          <w:spacing w:val="-7"/>
        </w:rPr>
        <w:t xml:space="preserve"> </w:t>
      </w:r>
      <w:r>
        <w:t>la</w:t>
      </w:r>
      <w:r>
        <w:rPr>
          <w:spacing w:val="-7"/>
        </w:rPr>
        <w:t xml:space="preserve"> </w:t>
      </w:r>
      <w:r>
        <w:t>tierra</w:t>
      </w:r>
      <w:r>
        <w:rPr>
          <w:spacing w:val="-7"/>
        </w:rPr>
        <w:t xml:space="preserve"> </w:t>
      </w:r>
      <w:r>
        <w:t>en</w:t>
      </w:r>
      <w:r>
        <w:rPr>
          <w:spacing w:val="-7"/>
        </w:rPr>
        <w:t xml:space="preserve"> </w:t>
      </w:r>
      <w:r>
        <w:t>paz</w:t>
      </w:r>
      <w:r>
        <w:rPr>
          <w:spacing w:val="-7"/>
        </w:rPr>
        <w:t xml:space="preserve"> </w:t>
      </w:r>
      <w:r>
        <w:t>y</w:t>
      </w:r>
      <w:r>
        <w:rPr>
          <w:spacing w:val="-7"/>
        </w:rPr>
        <w:t xml:space="preserve"> </w:t>
      </w:r>
      <w:r>
        <w:t>en</w:t>
      </w:r>
      <w:r>
        <w:rPr>
          <w:spacing w:val="-7"/>
        </w:rPr>
        <w:t xml:space="preserve"> </w:t>
      </w:r>
      <w:r>
        <w:t>condiciones</w:t>
      </w:r>
      <w:r>
        <w:rPr>
          <w:spacing w:val="-7"/>
        </w:rPr>
        <w:t xml:space="preserve"> </w:t>
      </w:r>
      <w:r>
        <w:t>de</w:t>
      </w:r>
      <w:r>
        <w:rPr>
          <w:spacing w:val="-7"/>
        </w:rPr>
        <w:t xml:space="preserve"> </w:t>
      </w:r>
      <w:r>
        <w:t>igualdad.</w:t>
      </w:r>
      <w:r>
        <w:rPr>
          <w:spacing w:val="-7"/>
        </w:rPr>
        <w:t xml:space="preserve"> </w:t>
      </w:r>
      <w:r>
        <w:t>Además,</w:t>
      </w:r>
      <w:r>
        <w:rPr>
          <w:spacing w:val="-7"/>
        </w:rPr>
        <w:t xml:space="preserve"> </w:t>
      </w:r>
      <w:r>
        <w:t>se les</w:t>
      </w:r>
      <w:r>
        <w:rPr>
          <w:spacing w:val="-10"/>
        </w:rPr>
        <w:t xml:space="preserve"> </w:t>
      </w:r>
      <w:r>
        <w:t>ha</w:t>
      </w:r>
      <w:r>
        <w:rPr>
          <w:spacing w:val="-10"/>
        </w:rPr>
        <w:t xml:space="preserve"> </w:t>
      </w:r>
      <w:r>
        <w:t>impedido</w:t>
      </w:r>
      <w:r>
        <w:rPr>
          <w:spacing w:val="-11"/>
        </w:rPr>
        <w:t xml:space="preserve"> </w:t>
      </w:r>
      <w:r>
        <w:t>participar</w:t>
      </w:r>
      <w:r>
        <w:rPr>
          <w:spacing w:val="-10"/>
        </w:rPr>
        <w:t xml:space="preserve"> </w:t>
      </w:r>
      <w:r>
        <w:t>decisivamente</w:t>
      </w:r>
      <w:r>
        <w:rPr>
          <w:spacing w:val="-10"/>
        </w:rPr>
        <w:t xml:space="preserve"> </w:t>
      </w:r>
      <w:r>
        <w:t>en</w:t>
      </w:r>
      <w:r>
        <w:rPr>
          <w:spacing w:val="-11"/>
        </w:rPr>
        <w:t xml:space="preserve"> </w:t>
      </w:r>
      <w:r>
        <w:t>los</w:t>
      </w:r>
      <w:r>
        <w:rPr>
          <w:spacing w:val="-10"/>
        </w:rPr>
        <w:t xml:space="preserve"> </w:t>
      </w:r>
      <w:r>
        <w:t>asuntos</w:t>
      </w:r>
      <w:r>
        <w:rPr>
          <w:spacing w:val="-10"/>
        </w:rPr>
        <w:t xml:space="preserve"> </w:t>
      </w:r>
      <w:r>
        <w:t>públicos,</w:t>
      </w:r>
      <w:r>
        <w:rPr>
          <w:spacing w:val="-11"/>
        </w:rPr>
        <w:t xml:space="preserve"> </w:t>
      </w:r>
      <w:r>
        <w:t>incluyendo</w:t>
      </w:r>
      <w:r>
        <w:rPr>
          <w:spacing w:val="-11"/>
        </w:rPr>
        <w:t xml:space="preserve"> </w:t>
      </w:r>
      <w:r>
        <w:t>los</w:t>
      </w:r>
      <w:r>
        <w:rPr>
          <w:spacing w:val="-10"/>
        </w:rPr>
        <w:t xml:space="preserve"> </w:t>
      </w:r>
      <w:r>
        <w:t>que</w:t>
      </w:r>
      <w:r>
        <w:rPr>
          <w:spacing w:val="-10"/>
        </w:rPr>
        <w:t xml:space="preserve"> </w:t>
      </w:r>
      <w:r>
        <w:t>más</w:t>
      </w:r>
      <w:r>
        <w:rPr>
          <w:spacing w:val="-10"/>
        </w:rPr>
        <w:t xml:space="preserve"> </w:t>
      </w:r>
      <w:r>
        <w:t xml:space="preserve">los afectan, así como gozar de los bienes y servicios públicos fundamentales para el bienestar humano y la producción y goce de la riqueza, como la seguridad, la justicia, la salud, la educación, y la infraestructura necesaria para una explotación económica productiva y </w:t>
      </w:r>
      <w:r>
        <w:rPr>
          <w:spacing w:val="-2"/>
        </w:rPr>
        <w:t>sostenible.</w:t>
      </w:r>
    </w:p>
    <w:p w:rsidR="003804AC" w:rsidRDefault="00AF18A5" w:rsidP="00B4401C">
      <w:r>
        <w:t>Por lo tanto, afrontar y manejar los problemas de desterritorialización y re- territorialización provocados por la guerra en la sociedad colombiana requiere edificar un ordenamiento territorial incluyente, basado en la libertad, la igualdad, la solidaridad, la interculturalidad</w:t>
      </w:r>
      <w:r>
        <w:rPr>
          <w:spacing w:val="-12"/>
        </w:rPr>
        <w:t xml:space="preserve"> </w:t>
      </w:r>
      <w:r>
        <w:t>y</w:t>
      </w:r>
      <w:r>
        <w:rPr>
          <w:spacing w:val="-12"/>
        </w:rPr>
        <w:t xml:space="preserve"> </w:t>
      </w:r>
      <w:r>
        <w:t>el</w:t>
      </w:r>
      <w:r>
        <w:rPr>
          <w:spacing w:val="-11"/>
        </w:rPr>
        <w:t xml:space="preserve"> </w:t>
      </w:r>
      <w:r>
        <w:t>diálogo</w:t>
      </w:r>
      <w:r>
        <w:rPr>
          <w:spacing w:val="-12"/>
        </w:rPr>
        <w:t xml:space="preserve"> </w:t>
      </w:r>
      <w:r>
        <w:t>ciudadano,</w:t>
      </w:r>
      <w:r>
        <w:rPr>
          <w:spacing w:val="-12"/>
        </w:rPr>
        <w:t xml:space="preserve"> </w:t>
      </w:r>
      <w:r>
        <w:t>como</w:t>
      </w:r>
      <w:r>
        <w:rPr>
          <w:spacing w:val="-12"/>
        </w:rPr>
        <w:t xml:space="preserve"> </w:t>
      </w:r>
      <w:r>
        <w:t>resultado</w:t>
      </w:r>
      <w:r>
        <w:rPr>
          <w:spacing w:val="-12"/>
        </w:rPr>
        <w:t xml:space="preserve"> </w:t>
      </w:r>
      <w:r>
        <w:t>de</w:t>
      </w:r>
      <w:r>
        <w:rPr>
          <w:spacing w:val="-12"/>
        </w:rPr>
        <w:t xml:space="preserve"> </w:t>
      </w:r>
      <w:r>
        <w:t>prácticas</w:t>
      </w:r>
      <w:r>
        <w:rPr>
          <w:spacing w:val="-12"/>
        </w:rPr>
        <w:t xml:space="preserve"> </w:t>
      </w:r>
      <w:r>
        <w:t>culturales</w:t>
      </w:r>
      <w:r>
        <w:rPr>
          <w:spacing w:val="-13"/>
        </w:rPr>
        <w:t xml:space="preserve"> </w:t>
      </w:r>
      <w:r>
        <w:t>inspiradas</w:t>
      </w:r>
      <w:r>
        <w:rPr>
          <w:spacing w:val="-12"/>
        </w:rPr>
        <w:t xml:space="preserve"> </w:t>
      </w:r>
      <w:r>
        <w:t>en la</w:t>
      </w:r>
      <w:r>
        <w:rPr>
          <w:spacing w:val="-4"/>
        </w:rPr>
        <w:t xml:space="preserve"> </w:t>
      </w:r>
      <w:r>
        <w:t>democracia</w:t>
      </w:r>
      <w:r>
        <w:rPr>
          <w:spacing w:val="-4"/>
        </w:rPr>
        <w:t xml:space="preserve"> </w:t>
      </w:r>
      <w:r>
        <w:t>deliberativa,</w:t>
      </w:r>
      <w:r>
        <w:rPr>
          <w:spacing w:val="-5"/>
        </w:rPr>
        <w:t xml:space="preserve"> </w:t>
      </w:r>
      <w:r>
        <w:t>el</w:t>
      </w:r>
      <w:r>
        <w:rPr>
          <w:spacing w:val="-5"/>
        </w:rPr>
        <w:t xml:space="preserve"> </w:t>
      </w:r>
      <w:r>
        <w:t>respeto</w:t>
      </w:r>
      <w:r>
        <w:rPr>
          <w:spacing w:val="-5"/>
        </w:rPr>
        <w:t xml:space="preserve"> </w:t>
      </w:r>
      <w:r>
        <w:t>a</w:t>
      </w:r>
      <w:r>
        <w:rPr>
          <w:spacing w:val="-4"/>
        </w:rPr>
        <w:t xml:space="preserve"> </w:t>
      </w:r>
      <w:r>
        <w:t>los</w:t>
      </w:r>
      <w:r>
        <w:rPr>
          <w:spacing w:val="-5"/>
        </w:rPr>
        <w:t xml:space="preserve"> </w:t>
      </w:r>
      <w:r>
        <w:t>derechos</w:t>
      </w:r>
      <w:r>
        <w:rPr>
          <w:spacing w:val="-5"/>
        </w:rPr>
        <w:t xml:space="preserve"> </w:t>
      </w:r>
      <w:r>
        <w:t>humanos,</w:t>
      </w:r>
      <w:r>
        <w:rPr>
          <w:spacing w:val="-5"/>
        </w:rPr>
        <w:t xml:space="preserve"> </w:t>
      </w:r>
      <w:r>
        <w:t>la</w:t>
      </w:r>
      <w:r>
        <w:rPr>
          <w:spacing w:val="-6"/>
        </w:rPr>
        <w:t xml:space="preserve"> </w:t>
      </w:r>
      <w:r>
        <w:t>reconciliación</w:t>
      </w:r>
      <w:r>
        <w:rPr>
          <w:spacing w:val="-6"/>
        </w:rPr>
        <w:t xml:space="preserve"> </w:t>
      </w:r>
      <w:r>
        <w:t>como</w:t>
      </w:r>
      <w:r>
        <w:rPr>
          <w:spacing w:val="-6"/>
        </w:rPr>
        <w:t xml:space="preserve"> </w:t>
      </w:r>
      <w:r>
        <w:t>eje</w:t>
      </w:r>
      <w:r>
        <w:rPr>
          <w:spacing w:val="-4"/>
        </w:rPr>
        <w:t xml:space="preserve"> </w:t>
      </w:r>
      <w:r>
        <w:t>de la renovación de la confianza y la paz como valor supremo de la sociedad.</w:t>
      </w:r>
    </w:p>
    <w:p w:rsidR="003804AC" w:rsidRDefault="00AF18A5" w:rsidP="00B4401C">
      <w:r>
        <w:t>Este proceso debe empezar por dar cumplimiento a las disposiciones del Acuerdo Final de Paz entre Estado colombiano y FARC-EP sobre la reforma rural integral y la sustitución de cultivos, y complementarlas con otras dirigidas a lograr una mayor equidad como fundamento</w:t>
      </w:r>
      <w:r>
        <w:rPr>
          <w:spacing w:val="-12"/>
        </w:rPr>
        <w:t xml:space="preserve"> </w:t>
      </w:r>
      <w:r>
        <w:t>para</w:t>
      </w:r>
      <w:r>
        <w:rPr>
          <w:spacing w:val="-10"/>
        </w:rPr>
        <w:t xml:space="preserve"> </w:t>
      </w:r>
      <w:r>
        <w:lastRenderedPageBreak/>
        <w:t>una</w:t>
      </w:r>
      <w:r>
        <w:rPr>
          <w:spacing w:val="-10"/>
        </w:rPr>
        <w:t xml:space="preserve"> </w:t>
      </w:r>
      <w:r>
        <w:t>paz</w:t>
      </w:r>
      <w:r>
        <w:rPr>
          <w:spacing w:val="-11"/>
        </w:rPr>
        <w:t xml:space="preserve"> </w:t>
      </w:r>
      <w:r>
        <w:t>territorial</w:t>
      </w:r>
      <w:r>
        <w:rPr>
          <w:spacing w:val="-9"/>
        </w:rPr>
        <w:t xml:space="preserve"> </w:t>
      </w:r>
      <w:r>
        <w:t>estable</w:t>
      </w:r>
      <w:r>
        <w:rPr>
          <w:spacing w:val="-11"/>
        </w:rPr>
        <w:t xml:space="preserve"> </w:t>
      </w:r>
      <w:r>
        <w:t>y</w:t>
      </w:r>
      <w:r>
        <w:rPr>
          <w:spacing w:val="-10"/>
        </w:rPr>
        <w:t xml:space="preserve"> </w:t>
      </w:r>
      <w:r>
        <w:t>duradera.</w:t>
      </w:r>
      <w:r>
        <w:rPr>
          <w:spacing w:val="-10"/>
        </w:rPr>
        <w:t xml:space="preserve"> </w:t>
      </w:r>
      <w:r>
        <w:t>Y</w:t>
      </w:r>
      <w:r>
        <w:rPr>
          <w:spacing w:val="-10"/>
        </w:rPr>
        <w:t xml:space="preserve"> </w:t>
      </w:r>
      <w:r>
        <w:t>a</w:t>
      </w:r>
      <w:r>
        <w:rPr>
          <w:spacing w:val="-10"/>
        </w:rPr>
        <w:t xml:space="preserve"> </w:t>
      </w:r>
      <w:r>
        <w:t>partir</w:t>
      </w:r>
      <w:r>
        <w:rPr>
          <w:spacing w:val="-9"/>
        </w:rPr>
        <w:t xml:space="preserve"> </w:t>
      </w:r>
      <w:r>
        <w:t>de</w:t>
      </w:r>
      <w:r>
        <w:rPr>
          <w:spacing w:val="-10"/>
        </w:rPr>
        <w:t xml:space="preserve"> </w:t>
      </w:r>
      <w:r>
        <w:t>allí</w:t>
      </w:r>
      <w:r>
        <w:rPr>
          <w:spacing w:val="-11"/>
        </w:rPr>
        <w:t xml:space="preserve"> </w:t>
      </w:r>
      <w:r>
        <w:t>avanzar</w:t>
      </w:r>
      <w:r>
        <w:rPr>
          <w:spacing w:val="-11"/>
        </w:rPr>
        <w:t xml:space="preserve"> </w:t>
      </w:r>
      <w:r>
        <w:t>en</w:t>
      </w:r>
      <w:r>
        <w:rPr>
          <w:spacing w:val="-10"/>
        </w:rPr>
        <w:t xml:space="preserve"> </w:t>
      </w:r>
      <w:r>
        <w:t>el</w:t>
      </w:r>
      <w:r>
        <w:rPr>
          <w:spacing w:val="-11"/>
        </w:rPr>
        <w:t xml:space="preserve"> </w:t>
      </w:r>
      <w:r>
        <w:rPr>
          <w:spacing w:val="-2"/>
        </w:rPr>
        <w:t>camino</w:t>
      </w:r>
      <w:r w:rsidR="00B4401C">
        <w:t xml:space="preserve"> </w:t>
      </w:r>
      <w:r>
        <w:t>de revertir la alta concentración de las tierras y corregir los usos antieconómicos y antiecológicos de estas, incluyendo la distribución de tierras sin ocupación previa, o con ocupación insuficiente a campesinos y campesinas. Como parte de este proceso de ordenamiento</w:t>
      </w:r>
      <w:r>
        <w:rPr>
          <w:spacing w:val="-3"/>
        </w:rPr>
        <w:t xml:space="preserve"> </w:t>
      </w:r>
      <w:r>
        <w:t>territorial,</w:t>
      </w:r>
      <w:r>
        <w:rPr>
          <w:spacing w:val="-5"/>
        </w:rPr>
        <w:t xml:space="preserve"> </w:t>
      </w:r>
      <w:r>
        <w:t>y</w:t>
      </w:r>
      <w:r>
        <w:rPr>
          <w:spacing w:val="-3"/>
        </w:rPr>
        <w:t xml:space="preserve"> </w:t>
      </w:r>
      <w:r>
        <w:t>de</w:t>
      </w:r>
      <w:r>
        <w:rPr>
          <w:spacing w:val="-3"/>
        </w:rPr>
        <w:t xml:space="preserve"> </w:t>
      </w:r>
      <w:r>
        <w:t>un</w:t>
      </w:r>
      <w:r>
        <w:rPr>
          <w:spacing w:val="-3"/>
        </w:rPr>
        <w:t xml:space="preserve"> </w:t>
      </w:r>
      <w:r>
        <w:t>diálogo</w:t>
      </w:r>
      <w:r>
        <w:rPr>
          <w:spacing w:val="-3"/>
        </w:rPr>
        <w:t xml:space="preserve"> </w:t>
      </w:r>
      <w:r>
        <w:t>amplio,</w:t>
      </w:r>
      <w:r>
        <w:rPr>
          <w:spacing w:val="-5"/>
        </w:rPr>
        <w:t xml:space="preserve"> </w:t>
      </w:r>
      <w:r>
        <w:t>participativo</w:t>
      </w:r>
      <w:r>
        <w:rPr>
          <w:spacing w:val="-5"/>
        </w:rPr>
        <w:t xml:space="preserve"> </w:t>
      </w:r>
      <w:r>
        <w:t>y</w:t>
      </w:r>
      <w:r>
        <w:rPr>
          <w:spacing w:val="-3"/>
        </w:rPr>
        <w:t xml:space="preserve"> </w:t>
      </w:r>
      <w:r>
        <w:t>transparente,</w:t>
      </w:r>
      <w:r>
        <w:rPr>
          <w:spacing w:val="-3"/>
        </w:rPr>
        <w:t xml:space="preserve"> </w:t>
      </w:r>
      <w:r>
        <w:t>debe</w:t>
      </w:r>
      <w:r>
        <w:rPr>
          <w:spacing w:val="-3"/>
        </w:rPr>
        <w:t xml:space="preserve"> </w:t>
      </w:r>
      <w:r>
        <w:t>definirse el trazado de la frontera agraria según necesidades ambientales, sociales y económicas; avanzar</w:t>
      </w:r>
      <w:r>
        <w:rPr>
          <w:spacing w:val="-7"/>
        </w:rPr>
        <w:t xml:space="preserve"> </w:t>
      </w:r>
      <w:r>
        <w:t>con</w:t>
      </w:r>
      <w:r>
        <w:rPr>
          <w:spacing w:val="-7"/>
        </w:rPr>
        <w:t xml:space="preserve"> </w:t>
      </w:r>
      <w:r>
        <w:t>los</w:t>
      </w:r>
      <w:r>
        <w:rPr>
          <w:spacing w:val="-6"/>
        </w:rPr>
        <w:t xml:space="preserve"> </w:t>
      </w:r>
      <w:r>
        <w:t>procesos</w:t>
      </w:r>
      <w:r>
        <w:rPr>
          <w:spacing w:val="-7"/>
        </w:rPr>
        <w:t xml:space="preserve"> </w:t>
      </w:r>
      <w:r>
        <w:t>de</w:t>
      </w:r>
      <w:r>
        <w:rPr>
          <w:spacing w:val="-6"/>
        </w:rPr>
        <w:t xml:space="preserve"> </w:t>
      </w:r>
      <w:r>
        <w:t>revisión</w:t>
      </w:r>
      <w:r>
        <w:rPr>
          <w:spacing w:val="-8"/>
        </w:rPr>
        <w:t xml:space="preserve"> </w:t>
      </w:r>
      <w:r>
        <w:t>y</w:t>
      </w:r>
      <w:r>
        <w:rPr>
          <w:spacing w:val="-6"/>
        </w:rPr>
        <w:t xml:space="preserve"> </w:t>
      </w:r>
      <w:r>
        <w:t>aprobación</w:t>
      </w:r>
      <w:r>
        <w:rPr>
          <w:spacing w:val="-6"/>
        </w:rPr>
        <w:t xml:space="preserve"> </w:t>
      </w:r>
      <w:r>
        <w:t>de</w:t>
      </w:r>
      <w:r>
        <w:rPr>
          <w:spacing w:val="-6"/>
        </w:rPr>
        <w:t xml:space="preserve"> </w:t>
      </w:r>
      <w:r>
        <w:t>las</w:t>
      </w:r>
      <w:r>
        <w:rPr>
          <w:spacing w:val="-6"/>
        </w:rPr>
        <w:t xml:space="preserve"> </w:t>
      </w:r>
      <w:r>
        <w:t>solicitudes</w:t>
      </w:r>
      <w:r>
        <w:rPr>
          <w:spacing w:val="-6"/>
        </w:rPr>
        <w:t xml:space="preserve"> </w:t>
      </w:r>
      <w:r>
        <w:t>de</w:t>
      </w:r>
      <w:r>
        <w:rPr>
          <w:spacing w:val="-7"/>
        </w:rPr>
        <w:t xml:space="preserve"> </w:t>
      </w:r>
      <w:r>
        <w:t>las</w:t>
      </w:r>
      <w:r>
        <w:rPr>
          <w:spacing w:val="-6"/>
        </w:rPr>
        <w:t xml:space="preserve"> </w:t>
      </w:r>
      <w:r>
        <w:t>Zonas</w:t>
      </w:r>
      <w:r>
        <w:rPr>
          <w:spacing w:val="-6"/>
        </w:rPr>
        <w:t xml:space="preserve"> </w:t>
      </w:r>
      <w:r>
        <w:t>de</w:t>
      </w:r>
      <w:r>
        <w:rPr>
          <w:spacing w:val="-8"/>
        </w:rPr>
        <w:t xml:space="preserve"> </w:t>
      </w:r>
      <w:r>
        <w:t>Reserva Campesina,</w:t>
      </w:r>
      <w:r>
        <w:rPr>
          <w:spacing w:val="-8"/>
        </w:rPr>
        <w:t xml:space="preserve"> </w:t>
      </w:r>
      <w:r>
        <w:t>y</w:t>
      </w:r>
      <w:r>
        <w:rPr>
          <w:spacing w:val="-7"/>
        </w:rPr>
        <w:t xml:space="preserve"> </w:t>
      </w:r>
      <w:r>
        <w:t>definir</w:t>
      </w:r>
      <w:r>
        <w:rPr>
          <w:spacing w:val="-8"/>
        </w:rPr>
        <w:t xml:space="preserve"> </w:t>
      </w:r>
      <w:r>
        <w:t>con</w:t>
      </w:r>
      <w:r>
        <w:rPr>
          <w:spacing w:val="-8"/>
        </w:rPr>
        <w:t xml:space="preserve"> </w:t>
      </w:r>
      <w:r>
        <w:t>los</w:t>
      </w:r>
      <w:r>
        <w:rPr>
          <w:spacing w:val="-7"/>
        </w:rPr>
        <w:t xml:space="preserve"> </w:t>
      </w:r>
      <w:r>
        <w:t>pueblos</w:t>
      </w:r>
      <w:r>
        <w:rPr>
          <w:spacing w:val="-8"/>
        </w:rPr>
        <w:t xml:space="preserve"> </w:t>
      </w:r>
      <w:r>
        <w:t>étnicos</w:t>
      </w:r>
      <w:r>
        <w:rPr>
          <w:spacing w:val="-7"/>
        </w:rPr>
        <w:t xml:space="preserve"> </w:t>
      </w:r>
      <w:r>
        <w:t>un</w:t>
      </w:r>
      <w:r>
        <w:rPr>
          <w:spacing w:val="-7"/>
        </w:rPr>
        <w:t xml:space="preserve"> </w:t>
      </w:r>
      <w:r>
        <w:t>plan</w:t>
      </w:r>
      <w:r>
        <w:rPr>
          <w:spacing w:val="-7"/>
        </w:rPr>
        <w:t xml:space="preserve"> </w:t>
      </w:r>
      <w:r>
        <w:t>concertado</w:t>
      </w:r>
      <w:r>
        <w:rPr>
          <w:spacing w:val="-7"/>
        </w:rPr>
        <w:t xml:space="preserve"> </w:t>
      </w:r>
      <w:r>
        <w:t>para</w:t>
      </w:r>
      <w:r>
        <w:rPr>
          <w:spacing w:val="-8"/>
        </w:rPr>
        <w:t xml:space="preserve"> </w:t>
      </w:r>
      <w:r>
        <w:t>dar</w:t>
      </w:r>
      <w:r>
        <w:rPr>
          <w:spacing w:val="-8"/>
        </w:rPr>
        <w:t xml:space="preserve"> </w:t>
      </w:r>
      <w:r>
        <w:t>respuesta</w:t>
      </w:r>
      <w:r>
        <w:rPr>
          <w:spacing w:val="-8"/>
        </w:rPr>
        <w:t xml:space="preserve"> </w:t>
      </w:r>
      <w:r>
        <w:t>oportuna a solicitudes de constitución, ampliación, saneamiento, titulación, demarcación, regulación de uso y resolución de conflictos relacionados con sus territorios, que priorice a los pueblos en</w:t>
      </w:r>
      <w:r>
        <w:rPr>
          <w:spacing w:val="-1"/>
        </w:rPr>
        <w:t xml:space="preserve"> </w:t>
      </w:r>
      <w:r>
        <w:t>riesgo</w:t>
      </w:r>
      <w:r>
        <w:rPr>
          <w:spacing w:val="-1"/>
        </w:rPr>
        <w:t xml:space="preserve"> </w:t>
      </w:r>
      <w:r>
        <w:t>de</w:t>
      </w:r>
      <w:r>
        <w:rPr>
          <w:spacing w:val="-2"/>
        </w:rPr>
        <w:t xml:space="preserve"> </w:t>
      </w:r>
      <w:r>
        <w:t>extinción</w:t>
      </w:r>
      <w:r>
        <w:rPr>
          <w:spacing w:val="-1"/>
        </w:rPr>
        <w:t xml:space="preserve"> </w:t>
      </w:r>
      <w:r>
        <w:t>física</w:t>
      </w:r>
      <w:r>
        <w:rPr>
          <w:spacing w:val="-1"/>
        </w:rPr>
        <w:t xml:space="preserve"> </w:t>
      </w:r>
      <w:r>
        <w:t>y</w:t>
      </w:r>
      <w:r>
        <w:rPr>
          <w:spacing w:val="-1"/>
        </w:rPr>
        <w:t xml:space="preserve"> </w:t>
      </w:r>
      <w:r>
        <w:t>cultural</w:t>
      </w:r>
      <w:r>
        <w:rPr>
          <w:spacing w:val="40"/>
        </w:rPr>
        <w:t xml:space="preserve">  </w:t>
      </w:r>
      <w:r>
        <w:t>. Dados</w:t>
      </w:r>
      <w:r>
        <w:rPr>
          <w:spacing w:val="-1"/>
        </w:rPr>
        <w:t xml:space="preserve"> </w:t>
      </w:r>
      <w:r>
        <w:t>los</w:t>
      </w:r>
      <w:r>
        <w:rPr>
          <w:spacing w:val="-1"/>
        </w:rPr>
        <w:t xml:space="preserve"> </w:t>
      </w:r>
      <w:r>
        <w:t>conflictos</w:t>
      </w:r>
      <w:r>
        <w:rPr>
          <w:spacing w:val="-1"/>
        </w:rPr>
        <w:t xml:space="preserve"> </w:t>
      </w:r>
      <w:r>
        <w:t>en</w:t>
      </w:r>
      <w:r>
        <w:rPr>
          <w:spacing w:val="-1"/>
        </w:rPr>
        <w:t xml:space="preserve"> </w:t>
      </w:r>
      <w:r>
        <w:t>territorios</w:t>
      </w:r>
      <w:r>
        <w:rPr>
          <w:spacing w:val="-1"/>
        </w:rPr>
        <w:t xml:space="preserve"> </w:t>
      </w:r>
      <w:r>
        <w:t>interétnicos,</w:t>
      </w:r>
      <w:r>
        <w:rPr>
          <w:spacing w:val="-1"/>
        </w:rPr>
        <w:t xml:space="preserve"> </w:t>
      </w:r>
      <w:r>
        <w:t>el Estado debe promover diálogos regionales que garanticen armonizar los derechos territoriales de los actores presentes en cada región.</w:t>
      </w:r>
    </w:p>
    <w:p w:rsidR="003804AC" w:rsidRDefault="00AF18A5" w:rsidP="00AD54C7">
      <w:r>
        <w:t>El proceso de ordenamiento territorial debe también retomar la discusión sobre la descentralización y la autonomía territorial, con miras a que se dé efectivamente un debate en torno a la equidad territorial y al bienestar local y regional. En ese sentido, entre otras cosas, se debe definir una estrategia para la promoción de regiones administrativas para la planeación conjunta que permitan reconocer las diferencias y convergencias territoriales y que, a su vez, posibiliten un ordenamiento más eficiente.</w:t>
      </w:r>
    </w:p>
    <w:p w:rsidR="00AD54C7" w:rsidRDefault="00AF18A5" w:rsidP="00AD54C7">
      <w:pPr>
        <w:rPr>
          <w:spacing w:val="-2"/>
        </w:rPr>
      </w:pPr>
      <w:r>
        <w:t>La</w:t>
      </w:r>
      <w:r>
        <w:rPr>
          <w:spacing w:val="-1"/>
        </w:rPr>
        <w:t xml:space="preserve"> </w:t>
      </w:r>
      <w:r>
        <w:t>paz</w:t>
      </w:r>
      <w:r>
        <w:rPr>
          <w:spacing w:val="-1"/>
        </w:rPr>
        <w:t xml:space="preserve"> </w:t>
      </w:r>
      <w:r>
        <w:t>en</w:t>
      </w:r>
      <w:r>
        <w:rPr>
          <w:spacing w:val="-1"/>
        </w:rPr>
        <w:t xml:space="preserve"> </w:t>
      </w:r>
      <w:r>
        <w:t>Colombia</w:t>
      </w:r>
      <w:r>
        <w:rPr>
          <w:spacing w:val="-1"/>
        </w:rPr>
        <w:t xml:space="preserve"> </w:t>
      </w:r>
      <w:r>
        <w:t>solo es</w:t>
      </w:r>
      <w:r>
        <w:rPr>
          <w:spacing w:val="-1"/>
        </w:rPr>
        <w:t xml:space="preserve"> </w:t>
      </w:r>
      <w:r>
        <w:t>posible</w:t>
      </w:r>
      <w:r>
        <w:rPr>
          <w:spacing w:val="-2"/>
        </w:rPr>
        <w:t xml:space="preserve"> </w:t>
      </w:r>
      <w:r>
        <w:t>si</w:t>
      </w:r>
      <w:r>
        <w:rPr>
          <w:spacing w:val="-1"/>
        </w:rPr>
        <w:t xml:space="preserve"> </w:t>
      </w:r>
      <w:r>
        <w:t xml:space="preserve">es </w:t>
      </w:r>
      <w:r>
        <w:rPr>
          <w:spacing w:val="-2"/>
        </w:rPr>
        <w:t>territorial.</w:t>
      </w:r>
    </w:p>
    <w:p w:rsidR="00AD54C7" w:rsidRDefault="00AD54C7">
      <w:pPr>
        <w:spacing w:before="0" w:after="0" w:line="240" w:lineRule="auto"/>
        <w:rPr>
          <w:spacing w:val="-2"/>
        </w:rPr>
      </w:pPr>
      <w:r>
        <w:rPr>
          <w:spacing w:val="-2"/>
        </w:rPr>
        <w:br w:type="page"/>
      </w:r>
    </w:p>
    <w:p w:rsidR="003804AC" w:rsidRDefault="00AF18A5" w:rsidP="004A6EF4">
      <w:pPr>
        <w:pStyle w:val="Ttulo2"/>
        <w:numPr>
          <w:ilvl w:val="0"/>
          <w:numId w:val="16"/>
        </w:numPr>
      </w:pPr>
      <w:bookmarkStart w:id="1340" w:name="10._LA_RELACIÓN_ENTRE_CULTURA_Y_CONFLICT"/>
      <w:bookmarkStart w:id="1341" w:name="_Toc112399651"/>
      <w:bookmarkEnd w:id="1340"/>
      <w:r>
        <w:lastRenderedPageBreak/>
        <w:t>LA</w:t>
      </w:r>
      <w:r>
        <w:rPr>
          <w:spacing w:val="40"/>
        </w:rPr>
        <w:t xml:space="preserve"> </w:t>
      </w:r>
      <w:r>
        <w:t>RELACIÓN</w:t>
      </w:r>
      <w:r>
        <w:rPr>
          <w:spacing w:val="40"/>
        </w:rPr>
        <w:t xml:space="preserve"> </w:t>
      </w:r>
      <w:r>
        <w:t>ENTRE</w:t>
      </w:r>
      <w:r>
        <w:rPr>
          <w:spacing w:val="40"/>
        </w:rPr>
        <w:t xml:space="preserve"> </w:t>
      </w:r>
      <w:r>
        <w:t>CULTURA</w:t>
      </w:r>
      <w:r>
        <w:rPr>
          <w:spacing w:val="40"/>
        </w:rPr>
        <w:t xml:space="preserve"> </w:t>
      </w:r>
      <w:r>
        <w:t>Y</w:t>
      </w:r>
      <w:r>
        <w:rPr>
          <w:spacing w:val="40"/>
        </w:rPr>
        <w:t xml:space="preserve"> </w:t>
      </w:r>
      <w:r>
        <w:t>CONFLICTO</w:t>
      </w:r>
      <w:r>
        <w:rPr>
          <w:spacing w:val="40"/>
        </w:rPr>
        <w:t xml:space="preserve"> </w:t>
      </w:r>
      <w:r>
        <w:t>ARMADO INTERNO</w:t>
      </w:r>
      <w:r>
        <w:rPr>
          <w:spacing w:val="-1"/>
        </w:rPr>
        <w:t xml:space="preserve"> </w:t>
      </w:r>
      <w:r>
        <w:t>COLOMBIANO</w:t>
      </w:r>
      <w:bookmarkEnd w:id="1341"/>
    </w:p>
    <w:p w:rsidR="00DD38C2" w:rsidRPr="00DD38C2" w:rsidRDefault="00DD38C2" w:rsidP="00DD38C2">
      <w:r>
        <w:t>“</w:t>
      </w:r>
      <w:r w:rsidR="00AF18A5">
        <w:t>El</w:t>
      </w:r>
      <w:r w:rsidR="00AF18A5">
        <w:rPr>
          <w:spacing w:val="-4"/>
        </w:rPr>
        <w:t xml:space="preserve"> </w:t>
      </w:r>
      <w:r w:rsidR="00AF18A5">
        <w:t>conflicto</w:t>
      </w:r>
      <w:r w:rsidR="00AF18A5">
        <w:rPr>
          <w:spacing w:val="-2"/>
        </w:rPr>
        <w:t xml:space="preserve"> </w:t>
      </w:r>
      <w:r w:rsidR="00AF18A5">
        <w:t>armado</w:t>
      </w:r>
      <w:r w:rsidR="00AF18A5">
        <w:rPr>
          <w:spacing w:val="-2"/>
        </w:rPr>
        <w:t xml:space="preserve"> </w:t>
      </w:r>
      <w:r w:rsidR="00AF18A5">
        <w:t>colombiano</w:t>
      </w:r>
      <w:r w:rsidR="00AF18A5">
        <w:rPr>
          <w:spacing w:val="-4"/>
        </w:rPr>
        <w:t xml:space="preserve"> </w:t>
      </w:r>
      <w:r w:rsidR="00AF18A5">
        <w:t>ha</w:t>
      </w:r>
      <w:r w:rsidR="00AF18A5">
        <w:rPr>
          <w:spacing w:val="-2"/>
        </w:rPr>
        <w:t xml:space="preserve"> </w:t>
      </w:r>
      <w:r w:rsidR="00AF18A5">
        <w:t>sido</w:t>
      </w:r>
      <w:r w:rsidR="00AF18A5">
        <w:rPr>
          <w:spacing w:val="-4"/>
        </w:rPr>
        <w:t xml:space="preserve"> </w:t>
      </w:r>
      <w:r w:rsidR="00AF18A5">
        <w:t>una</w:t>
      </w:r>
      <w:r w:rsidR="00AF18A5">
        <w:rPr>
          <w:spacing w:val="-2"/>
        </w:rPr>
        <w:t xml:space="preserve"> </w:t>
      </w:r>
      <w:r w:rsidR="00AF18A5">
        <w:t>inmensa</w:t>
      </w:r>
      <w:r w:rsidR="00AF18A5">
        <w:rPr>
          <w:spacing w:val="-2"/>
        </w:rPr>
        <w:t xml:space="preserve"> </w:t>
      </w:r>
      <w:r w:rsidR="00AF18A5">
        <w:t>tragedia</w:t>
      </w:r>
      <w:r w:rsidR="00AF18A5">
        <w:rPr>
          <w:spacing w:val="-2"/>
        </w:rPr>
        <w:t xml:space="preserve"> </w:t>
      </w:r>
      <w:r w:rsidR="00AF18A5">
        <w:t>cultural</w:t>
      </w:r>
      <w:r w:rsidR="00AF18A5">
        <w:rPr>
          <w:spacing w:val="-5"/>
        </w:rPr>
        <w:t xml:space="preserve"> </w:t>
      </w:r>
      <w:r w:rsidR="00AF18A5">
        <w:t>por</w:t>
      </w:r>
      <w:r w:rsidR="00AF18A5">
        <w:rPr>
          <w:spacing w:val="-3"/>
        </w:rPr>
        <w:t xml:space="preserve"> </w:t>
      </w:r>
      <w:r w:rsidR="00AF18A5">
        <w:t>varios</w:t>
      </w:r>
      <w:r w:rsidR="00AF18A5">
        <w:rPr>
          <w:spacing w:val="-4"/>
        </w:rPr>
        <w:t xml:space="preserve"> </w:t>
      </w:r>
      <w:r w:rsidR="00AF18A5">
        <w:t>motivos,</w:t>
      </w:r>
      <w:r w:rsidR="00AF18A5">
        <w:rPr>
          <w:spacing w:val="-4"/>
        </w:rPr>
        <w:t xml:space="preserve"> </w:t>
      </w:r>
      <w:r w:rsidR="00AF18A5">
        <w:t>porque</w:t>
      </w:r>
      <w:r w:rsidR="00AF18A5">
        <w:rPr>
          <w:spacing w:val="-4"/>
        </w:rPr>
        <w:t xml:space="preserve"> </w:t>
      </w:r>
      <w:r w:rsidR="00AF18A5">
        <w:t>rompió los</w:t>
      </w:r>
      <w:r w:rsidR="00AF18A5">
        <w:rPr>
          <w:spacing w:val="-1"/>
        </w:rPr>
        <w:t xml:space="preserve"> </w:t>
      </w:r>
      <w:r w:rsidR="00AF18A5">
        <w:t>vínculos</w:t>
      </w:r>
      <w:r w:rsidR="00AF18A5">
        <w:rPr>
          <w:spacing w:val="-2"/>
        </w:rPr>
        <w:t xml:space="preserve"> </w:t>
      </w:r>
      <w:r w:rsidR="00AF18A5">
        <w:t>de</w:t>
      </w:r>
      <w:r w:rsidR="00AF18A5">
        <w:rPr>
          <w:spacing w:val="-2"/>
        </w:rPr>
        <w:t xml:space="preserve"> </w:t>
      </w:r>
      <w:r w:rsidR="00AF18A5">
        <w:t>numerosas</w:t>
      </w:r>
      <w:r w:rsidR="00AF18A5">
        <w:rPr>
          <w:spacing w:val="-1"/>
        </w:rPr>
        <w:t xml:space="preserve"> </w:t>
      </w:r>
      <w:r w:rsidR="00AF18A5">
        <w:t>comunidades,</w:t>
      </w:r>
      <w:r w:rsidR="00AF18A5">
        <w:rPr>
          <w:spacing w:val="-2"/>
        </w:rPr>
        <w:t xml:space="preserve"> </w:t>
      </w:r>
      <w:r w:rsidR="00AF18A5">
        <w:t>especialmente</w:t>
      </w:r>
      <w:r w:rsidR="00AF18A5">
        <w:rPr>
          <w:spacing w:val="-1"/>
        </w:rPr>
        <w:t xml:space="preserve"> </w:t>
      </w:r>
      <w:r w:rsidR="00AF18A5">
        <w:t>en</w:t>
      </w:r>
      <w:r w:rsidR="00AF18A5">
        <w:rPr>
          <w:spacing w:val="-2"/>
        </w:rPr>
        <w:t xml:space="preserve"> </w:t>
      </w:r>
      <w:r w:rsidR="00AF18A5">
        <w:t>las</w:t>
      </w:r>
      <w:r w:rsidR="00AF18A5">
        <w:rPr>
          <w:spacing w:val="-1"/>
        </w:rPr>
        <w:t xml:space="preserve"> </w:t>
      </w:r>
      <w:r w:rsidR="00AF18A5">
        <w:t>regiones,</w:t>
      </w:r>
      <w:r w:rsidR="00AF18A5">
        <w:rPr>
          <w:spacing w:val="-2"/>
        </w:rPr>
        <w:t xml:space="preserve"> </w:t>
      </w:r>
      <w:r w:rsidR="00AF18A5">
        <w:t>porque</w:t>
      </w:r>
      <w:r w:rsidR="00AF18A5">
        <w:rPr>
          <w:spacing w:val="-2"/>
        </w:rPr>
        <w:t xml:space="preserve"> </w:t>
      </w:r>
      <w:r w:rsidR="00AF18A5">
        <w:t>tuvo</w:t>
      </w:r>
      <w:r w:rsidR="00AF18A5">
        <w:rPr>
          <w:spacing w:val="-2"/>
        </w:rPr>
        <w:t xml:space="preserve"> </w:t>
      </w:r>
      <w:r w:rsidR="00AF18A5">
        <w:t>una</w:t>
      </w:r>
      <w:r w:rsidR="00AF18A5">
        <w:rPr>
          <w:spacing w:val="-2"/>
        </w:rPr>
        <w:t xml:space="preserve"> </w:t>
      </w:r>
      <w:r w:rsidR="00AF18A5">
        <w:t>duración</w:t>
      </w:r>
      <w:r w:rsidR="00AF18A5">
        <w:rPr>
          <w:spacing w:val="-2"/>
        </w:rPr>
        <w:t xml:space="preserve"> </w:t>
      </w:r>
      <w:r w:rsidR="00AF18A5">
        <w:t>que</w:t>
      </w:r>
      <w:r w:rsidR="00AF18A5">
        <w:rPr>
          <w:spacing w:val="-2"/>
        </w:rPr>
        <w:t xml:space="preserve"> </w:t>
      </w:r>
      <w:r w:rsidR="00AF18A5">
        <w:t>lo</w:t>
      </w:r>
      <w:r w:rsidR="00AF18A5">
        <w:rPr>
          <w:spacing w:val="-2"/>
        </w:rPr>
        <w:t xml:space="preserve"> </w:t>
      </w:r>
      <w:r w:rsidR="00AF18A5">
        <w:t>hizo el</w:t>
      </w:r>
      <w:r w:rsidR="00AF18A5">
        <w:rPr>
          <w:spacing w:val="-1"/>
        </w:rPr>
        <w:t xml:space="preserve"> </w:t>
      </w:r>
      <w:r w:rsidR="00AF18A5">
        <w:t>más</w:t>
      </w:r>
      <w:r w:rsidR="00AF18A5">
        <w:rPr>
          <w:spacing w:val="-1"/>
        </w:rPr>
        <w:t xml:space="preserve"> </w:t>
      </w:r>
      <w:r w:rsidR="00AF18A5">
        <w:t>antiguo</w:t>
      </w:r>
      <w:r w:rsidR="00AF18A5">
        <w:rPr>
          <w:spacing w:val="-1"/>
        </w:rPr>
        <w:t xml:space="preserve"> </w:t>
      </w:r>
      <w:r w:rsidR="00AF18A5">
        <w:t>del</w:t>
      </w:r>
      <w:r w:rsidR="00AF18A5">
        <w:rPr>
          <w:spacing w:val="-1"/>
        </w:rPr>
        <w:t xml:space="preserve"> </w:t>
      </w:r>
      <w:r w:rsidR="00AF18A5">
        <w:t>hemisferio</w:t>
      </w:r>
      <w:r w:rsidR="00AF18A5">
        <w:rPr>
          <w:spacing w:val="-1"/>
        </w:rPr>
        <w:t xml:space="preserve"> </w:t>
      </w:r>
      <w:r w:rsidR="00AF18A5">
        <w:t>occidental,</w:t>
      </w:r>
      <w:r w:rsidR="00AF18A5">
        <w:rPr>
          <w:spacing w:val="-1"/>
        </w:rPr>
        <w:t xml:space="preserve"> </w:t>
      </w:r>
      <w:r w:rsidR="00AF18A5">
        <w:t>convirtiendo</w:t>
      </w:r>
      <w:r w:rsidR="00AF18A5">
        <w:rPr>
          <w:spacing w:val="-1"/>
        </w:rPr>
        <w:t xml:space="preserve"> </w:t>
      </w:r>
      <w:r w:rsidR="00AF18A5">
        <w:t>su</w:t>
      </w:r>
      <w:r w:rsidR="00AF18A5">
        <w:rPr>
          <w:spacing w:val="-1"/>
        </w:rPr>
        <w:t xml:space="preserve"> </w:t>
      </w:r>
      <w:r w:rsidR="00AF18A5">
        <w:t>extrema</w:t>
      </w:r>
      <w:r w:rsidR="00AF18A5">
        <w:rPr>
          <w:spacing w:val="-1"/>
        </w:rPr>
        <w:t xml:space="preserve"> </w:t>
      </w:r>
      <w:r w:rsidR="00AF18A5">
        <w:t>duración en</w:t>
      </w:r>
      <w:r w:rsidR="00AF18A5">
        <w:rPr>
          <w:spacing w:val="-1"/>
        </w:rPr>
        <w:t xml:space="preserve"> </w:t>
      </w:r>
      <w:r w:rsidR="00AF18A5">
        <w:t>un</w:t>
      </w:r>
      <w:r w:rsidR="00AF18A5">
        <w:rPr>
          <w:spacing w:val="-1"/>
        </w:rPr>
        <w:t xml:space="preserve"> </w:t>
      </w:r>
      <w:r w:rsidR="00AF18A5">
        <w:t>desangre de</w:t>
      </w:r>
      <w:r w:rsidR="00AF18A5">
        <w:rPr>
          <w:spacing w:val="-1"/>
        </w:rPr>
        <w:t xml:space="preserve"> </w:t>
      </w:r>
      <w:r w:rsidR="00AF18A5">
        <w:t>años, y</w:t>
      </w:r>
      <w:r w:rsidR="00AF18A5">
        <w:rPr>
          <w:spacing w:val="-1"/>
        </w:rPr>
        <w:t xml:space="preserve"> </w:t>
      </w:r>
      <w:r w:rsidR="00AF18A5">
        <w:t xml:space="preserve">porque se ensañó con campesinos, pueblos indígenas, afrocolombianos, raizales y </w:t>
      </w:r>
      <w:proofErr w:type="spellStart"/>
      <w:r w:rsidR="00AF18A5">
        <w:t>rom</w:t>
      </w:r>
      <w:proofErr w:type="spellEnd"/>
      <w:r w:rsidR="00AF18A5">
        <w:t xml:space="preserve"> con una persistencia desoladora. Pero también porque la diversidad de sus perpetradores coincidió en sembrar el miedo, romper los</w:t>
      </w:r>
      <w:r w:rsidR="00AF18A5">
        <w:rPr>
          <w:spacing w:val="-2"/>
        </w:rPr>
        <w:t xml:space="preserve"> </w:t>
      </w:r>
      <w:r w:rsidR="00AF18A5">
        <w:t>lazos</w:t>
      </w:r>
      <w:r w:rsidR="00AF18A5">
        <w:rPr>
          <w:spacing w:val="-3"/>
        </w:rPr>
        <w:t xml:space="preserve"> </w:t>
      </w:r>
      <w:r w:rsidR="00AF18A5">
        <w:t>afectivos,</w:t>
      </w:r>
      <w:r w:rsidR="00AF18A5">
        <w:rPr>
          <w:spacing w:val="-3"/>
        </w:rPr>
        <w:t xml:space="preserve"> </w:t>
      </w:r>
      <w:r w:rsidR="00AF18A5">
        <w:t>silenciar</w:t>
      </w:r>
      <w:r w:rsidR="00AF18A5">
        <w:rPr>
          <w:spacing w:val="-3"/>
        </w:rPr>
        <w:t xml:space="preserve"> </w:t>
      </w:r>
      <w:r w:rsidR="00AF18A5">
        <w:t>las</w:t>
      </w:r>
      <w:r w:rsidR="00AF18A5">
        <w:rPr>
          <w:spacing w:val="-2"/>
        </w:rPr>
        <w:t xml:space="preserve"> </w:t>
      </w:r>
      <w:r w:rsidR="00AF18A5">
        <w:t>voces</w:t>
      </w:r>
      <w:r w:rsidR="00AF18A5">
        <w:rPr>
          <w:spacing w:val="-2"/>
        </w:rPr>
        <w:t xml:space="preserve"> </w:t>
      </w:r>
      <w:r w:rsidR="00AF18A5">
        <w:t>y</w:t>
      </w:r>
      <w:r w:rsidR="00AF18A5">
        <w:rPr>
          <w:spacing w:val="-3"/>
        </w:rPr>
        <w:t xml:space="preserve"> </w:t>
      </w:r>
      <w:r w:rsidR="00AF18A5">
        <w:t>expulsar</w:t>
      </w:r>
      <w:r w:rsidR="00AF18A5">
        <w:rPr>
          <w:spacing w:val="-3"/>
        </w:rPr>
        <w:t xml:space="preserve"> </w:t>
      </w:r>
      <w:r w:rsidR="00AF18A5">
        <w:t>de</w:t>
      </w:r>
      <w:r w:rsidR="00AF18A5">
        <w:rPr>
          <w:spacing w:val="-3"/>
        </w:rPr>
        <w:t xml:space="preserve"> </w:t>
      </w:r>
      <w:r w:rsidR="00AF18A5">
        <w:t>sus</w:t>
      </w:r>
      <w:r w:rsidR="00AF18A5">
        <w:rPr>
          <w:spacing w:val="-2"/>
        </w:rPr>
        <w:t xml:space="preserve"> </w:t>
      </w:r>
      <w:r w:rsidR="00AF18A5">
        <w:t>territorios</w:t>
      </w:r>
      <w:r w:rsidR="00AF18A5">
        <w:rPr>
          <w:spacing w:val="-3"/>
        </w:rPr>
        <w:t xml:space="preserve"> </w:t>
      </w:r>
      <w:r w:rsidR="00AF18A5">
        <w:t>a</w:t>
      </w:r>
      <w:r w:rsidR="00AF18A5">
        <w:rPr>
          <w:spacing w:val="-1"/>
        </w:rPr>
        <w:t xml:space="preserve"> </w:t>
      </w:r>
      <w:r w:rsidR="00AF18A5">
        <w:t>los</w:t>
      </w:r>
      <w:r w:rsidR="00AF18A5">
        <w:rPr>
          <w:spacing w:val="-3"/>
        </w:rPr>
        <w:t xml:space="preserve"> </w:t>
      </w:r>
      <w:r w:rsidR="00AF18A5">
        <w:t>pobladores</w:t>
      </w:r>
      <w:r w:rsidR="00AF18A5">
        <w:rPr>
          <w:spacing w:val="-3"/>
        </w:rPr>
        <w:t xml:space="preserve"> </w:t>
      </w:r>
      <w:r w:rsidR="00AF18A5">
        <w:t>en</w:t>
      </w:r>
      <w:r w:rsidR="00AF18A5">
        <w:rPr>
          <w:spacing w:val="-3"/>
        </w:rPr>
        <w:t xml:space="preserve"> </w:t>
      </w:r>
      <w:r w:rsidR="00AF18A5">
        <w:t>una</w:t>
      </w:r>
      <w:r w:rsidR="00AF18A5">
        <w:rPr>
          <w:spacing w:val="-3"/>
        </w:rPr>
        <w:t xml:space="preserve"> </w:t>
      </w:r>
      <w:r w:rsidR="00AF18A5">
        <w:t>gran</w:t>
      </w:r>
      <w:r w:rsidR="00AF18A5">
        <w:rPr>
          <w:spacing w:val="-3"/>
        </w:rPr>
        <w:t xml:space="preserve"> </w:t>
      </w:r>
      <w:r w:rsidR="00AF18A5">
        <w:t>operación</w:t>
      </w:r>
      <w:r w:rsidR="00AF18A5">
        <w:rPr>
          <w:spacing w:val="-3"/>
        </w:rPr>
        <w:t xml:space="preserve"> </w:t>
      </w:r>
      <w:r w:rsidR="00AF18A5">
        <w:t>de despojo y expulsión. (…) Al mismo tiempo, es la cultura, lo que contribuye a la construcción de la memoria</w:t>
      </w:r>
      <w:r>
        <w:t xml:space="preserve"> </w:t>
      </w:r>
      <w:r w:rsidR="00AF18A5">
        <w:t>colectiva,</w:t>
      </w:r>
      <w:r w:rsidR="00AF18A5">
        <w:rPr>
          <w:spacing w:val="-5"/>
        </w:rPr>
        <w:t xml:space="preserve"> </w:t>
      </w:r>
      <w:r w:rsidR="00AF18A5">
        <w:t>la</w:t>
      </w:r>
      <w:r w:rsidR="00AF18A5">
        <w:rPr>
          <w:spacing w:val="-3"/>
        </w:rPr>
        <w:t xml:space="preserve"> </w:t>
      </w:r>
      <w:r w:rsidR="00AF18A5">
        <w:t>verdad,</w:t>
      </w:r>
      <w:r w:rsidR="00AF18A5">
        <w:rPr>
          <w:spacing w:val="-5"/>
        </w:rPr>
        <w:t xml:space="preserve"> </w:t>
      </w:r>
      <w:r w:rsidR="00AF18A5">
        <w:t>la</w:t>
      </w:r>
      <w:r w:rsidR="00AF18A5">
        <w:rPr>
          <w:spacing w:val="-5"/>
        </w:rPr>
        <w:t xml:space="preserve"> </w:t>
      </w:r>
      <w:r w:rsidR="00AF18A5">
        <w:t>reconciliación</w:t>
      </w:r>
      <w:r w:rsidR="00AF18A5">
        <w:rPr>
          <w:spacing w:val="-3"/>
        </w:rPr>
        <w:t xml:space="preserve"> </w:t>
      </w:r>
      <w:r w:rsidR="00AF18A5">
        <w:t>y</w:t>
      </w:r>
      <w:r w:rsidR="00AF18A5">
        <w:rPr>
          <w:spacing w:val="-5"/>
        </w:rPr>
        <w:t xml:space="preserve"> </w:t>
      </w:r>
      <w:r w:rsidR="00AF18A5">
        <w:t>la</w:t>
      </w:r>
      <w:r w:rsidR="00AF18A5">
        <w:rPr>
          <w:spacing w:val="-5"/>
        </w:rPr>
        <w:t xml:space="preserve"> </w:t>
      </w:r>
      <w:r w:rsidR="00AF18A5">
        <w:t>movilización</w:t>
      </w:r>
      <w:r w:rsidR="00AF18A5">
        <w:rPr>
          <w:spacing w:val="-3"/>
        </w:rPr>
        <w:t xml:space="preserve"> </w:t>
      </w:r>
      <w:r w:rsidR="00AF18A5">
        <w:rPr>
          <w:spacing w:val="-2"/>
        </w:rPr>
        <w:t>social.</w:t>
      </w:r>
      <w:r>
        <w:t xml:space="preserve"> </w:t>
      </w:r>
      <w:r w:rsidR="00AF18A5" w:rsidRPr="00DD38C2">
        <w:t>Germán Rey</w:t>
      </w:r>
      <w:r>
        <w:rPr>
          <w:rStyle w:val="Refdenotaalpie"/>
        </w:rPr>
        <w:footnoteReference w:id="1088"/>
      </w:r>
      <w:r>
        <w:t>”</w:t>
      </w:r>
    </w:p>
    <w:p w:rsidR="003804AC" w:rsidRDefault="00AF18A5" w:rsidP="00DD38C2">
      <w:r>
        <w:t>Siguiendo</w:t>
      </w:r>
      <w:r>
        <w:rPr>
          <w:spacing w:val="-6"/>
        </w:rPr>
        <w:t xml:space="preserve"> </w:t>
      </w:r>
      <w:r>
        <w:t>la</w:t>
      </w:r>
      <w:r>
        <w:rPr>
          <w:spacing w:val="-7"/>
        </w:rPr>
        <w:t xml:space="preserve"> </w:t>
      </w:r>
      <w:r>
        <w:t>definición</w:t>
      </w:r>
      <w:r>
        <w:rPr>
          <w:spacing w:val="-6"/>
        </w:rPr>
        <w:t xml:space="preserve"> </w:t>
      </w:r>
      <w:r>
        <w:t>de</w:t>
      </w:r>
      <w:r>
        <w:rPr>
          <w:spacing w:val="-6"/>
        </w:rPr>
        <w:t xml:space="preserve"> </w:t>
      </w:r>
      <w:r>
        <w:t>la</w:t>
      </w:r>
      <w:r>
        <w:rPr>
          <w:spacing w:val="-6"/>
        </w:rPr>
        <w:t xml:space="preserve"> </w:t>
      </w:r>
      <w:r>
        <w:t>Unesco,</w:t>
      </w:r>
      <w:r>
        <w:rPr>
          <w:spacing w:val="-7"/>
        </w:rPr>
        <w:t xml:space="preserve"> </w:t>
      </w:r>
      <w:r>
        <w:t>la</w:t>
      </w:r>
      <w:r>
        <w:rPr>
          <w:spacing w:val="-6"/>
        </w:rPr>
        <w:t xml:space="preserve"> </w:t>
      </w:r>
      <w:r>
        <w:t>Comisión</w:t>
      </w:r>
      <w:r>
        <w:rPr>
          <w:spacing w:val="-7"/>
        </w:rPr>
        <w:t xml:space="preserve"> </w:t>
      </w:r>
      <w:r>
        <w:t>de</w:t>
      </w:r>
      <w:r>
        <w:rPr>
          <w:spacing w:val="-6"/>
        </w:rPr>
        <w:t xml:space="preserve"> </w:t>
      </w:r>
      <w:r>
        <w:t>la</w:t>
      </w:r>
      <w:r>
        <w:rPr>
          <w:spacing w:val="-6"/>
        </w:rPr>
        <w:t xml:space="preserve"> </w:t>
      </w:r>
      <w:r>
        <w:t>Verdad</w:t>
      </w:r>
      <w:r>
        <w:rPr>
          <w:spacing w:val="-6"/>
        </w:rPr>
        <w:t xml:space="preserve"> </w:t>
      </w:r>
      <w:r>
        <w:t>entiende</w:t>
      </w:r>
      <w:r>
        <w:rPr>
          <w:spacing w:val="-6"/>
        </w:rPr>
        <w:t xml:space="preserve"> </w:t>
      </w:r>
      <w:r>
        <w:t>la</w:t>
      </w:r>
      <w:r>
        <w:rPr>
          <w:spacing w:val="-7"/>
        </w:rPr>
        <w:t xml:space="preserve"> </w:t>
      </w:r>
      <w:r>
        <w:t>cultura</w:t>
      </w:r>
      <w:r>
        <w:rPr>
          <w:spacing w:val="-6"/>
        </w:rPr>
        <w:t xml:space="preserve"> </w:t>
      </w:r>
      <w:r>
        <w:t>como</w:t>
      </w:r>
      <w:r>
        <w:rPr>
          <w:spacing w:val="-6"/>
        </w:rPr>
        <w:t xml:space="preserve"> </w:t>
      </w:r>
      <w:r>
        <w:t>«el conjunto de los rasgos distintivos, espirituales y materiales, intelectuales y afectivos que caracterizan</w:t>
      </w:r>
      <w:r>
        <w:rPr>
          <w:spacing w:val="-7"/>
        </w:rPr>
        <w:t xml:space="preserve"> </w:t>
      </w:r>
      <w:r>
        <w:t>una</w:t>
      </w:r>
      <w:r>
        <w:rPr>
          <w:spacing w:val="-6"/>
        </w:rPr>
        <w:t xml:space="preserve"> </w:t>
      </w:r>
      <w:r>
        <w:t>sociedad</w:t>
      </w:r>
      <w:r>
        <w:rPr>
          <w:spacing w:val="-6"/>
        </w:rPr>
        <w:t xml:space="preserve"> </w:t>
      </w:r>
      <w:r>
        <w:t>o</w:t>
      </w:r>
      <w:r>
        <w:rPr>
          <w:spacing w:val="-6"/>
        </w:rPr>
        <w:t xml:space="preserve"> </w:t>
      </w:r>
      <w:r>
        <w:t>un</w:t>
      </w:r>
      <w:r>
        <w:rPr>
          <w:spacing w:val="-6"/>
        </w:rPr>
        <w:t xml:space="preserve"> </w:t>
      </w:r>
      <w:r>
        <w:t>grupo</w:t>
      </w:r>
      <w:r>
        <w:rPr>
          <w:spacing w:val="-6"/>
        </w:rPr>
        <w:t xml:space="preserve"> </w:t>
      </w:r>
      <w:r>
        <w:t>social».</w:t>
      </w:r>
      <w:r>
        <w:rPr>
          <w:spacing w:val="-6"/>
        </w:rPr>
        <w:t xml:space="preserve"> </w:t>
      </w:r>
      <w:r>
        <w:t>Esta,</w:t>
      </w:r>
      <w:r>
        <w:rPr>
          <w:spacing w:val="-6"/>
        </w:rPr>
        <w:t xml:space="preserve"> </w:t>
      </w:r>
      <w:r>
        <w:t>a</w:t>
      </w:r>
      <w:r>
        <w:rPr>
          <w:spacing w:val="-6"/>
        </w:rPr>
        <w:t xml:space="preserve"> </w:t>
      </w:r>
      <w:r>
        <w:t>su</w:t>
      </w:r>
      <w:r>
        <w:rPr>
          <w:spacing w:val="-6"/>
        </w:rPr>
        <w:t xml:space="preserve"> </w:t>
      </w:r>
      <w:r>
        <w:t>vez,</w:t>
      </w:r>
      <w:r>
        <w:rPr>
          <w:spacing w:val="-6"/>
        </w:rPr>
        <w:t xml:space="preserve"> </w:t>
      </w:r>
      <w:r>
        <w:t>configura</w:t>
      </w:r>
      <w:r>
        <w:rPr>
          <w:spacing w:val="-6"/>
        </w:rPr>
        <w:t xml:space="preserve"> </w:t>
      </w:r>
      <w:r>
        <w:t>una</w:t>
      </w:r>
      <w:r>
        <w:rPr>
          <w:spacing w:val="-7"/>
        </w:rPr>
        <w:t xml:space="preserve"> </w:t>
      </w:r>
      <w:r>
        <w:t>matriz</w:t>
      </w:r>
      <w:r>
        <w:rPr>
          <w:spacing w:val="-6"/>
        </w:rPr>
        <w:t xml:space="preserve"> </w:t>
      </w:r>
      <w:r>
        <w:t>de</w:t>
      </w:r>
      <w:r>
        <w:rPr>
          <w:spacing w:val="-6"/>
        </w:rPr>
        <w:t xml:space="preserve"> </w:t>
      </w:r>
      <w:r>
        <w:t>sentido común a partir de la cual los miembros de una comunidad entienden, juzgan y toman decisiones sobre comportamientos, valores y formas de relacionarse. Maneras que luego se transmiten a las generaciones futuras para mantener un sentido de identidad. La cultura también incorpora experiencias y aprendizajes, sesgos, prejuicios, ideas, visiones del otro y de la otra y de lo otro. En ella se construyen los relatos, los mitos y los imaginarios; se condicionan</w:t>
      </w:r>
      <w:r>
        <w:rPr>
          <w:spacing w:val="-14"/>
        </w:rPr>
        <w:t xml:space="preserve"> </w:t>
      </w:r>
      <w:r>
        <w:t>las</w:t>
      </w:r>
      <w:r>
        <w:rPr>
          <w:spacing w:val="-13"/>
        </w:rPr>
        <w:t xml:space="preserve"> </w:t>
      </w:r>
      <w:r>
        <w:t>normas,</w:t>
      </w:r>
      <w:r>
        <w:rPr>
          <w:spacing w:val="-14"/>
        </w:rPr>
        <w:t xml:space="preserve"> </w:t>
      </w:r>
      <w:r>
        <w:t>las</w:t>
      </w:r>
      <w:r>
        <w:rPr>
          <w:spacing w:val="-13"/>
        </w:rPr>
        <w:t xml:space="preserve"> </w:t>
      </w:r>
      <w:r>
        <w:t>leyes,</w:t>
      </w:r>
      <w:r>
        <w:rPr>
          <w:spacing w:val="-13"/>
        </w:rPr>
        <w:t xml:space="preserve"> </w:t>
      </w:r>
      <w:r>
        <w:t>las</w:t>
      </w:r>
      <w:r>
        <w:rPr>
          <w:spacing w:val="-14"/>
        </w:rPr>
        <w:t xml:space="preserve"> </w:t>
      </w:r>
      <w:r>
        <w:t>instituciones,</w:t>
      </w:r>
      <w:r>
        <w:rPr>
          <w:spacing w:val="-13"/>
        </w:rPr>
        <w:t xml:space="preserve"> </w:t>
      </w:r>
      <w:r>
        <w:t>la</w:t>
      </w:r>
      <w:r>
        <w:rPr>
          <w:spacing w:val="-13"/>
        </w:rPr>
        <w:t xml:space="preserve"> </w:t>
      </w:r>
      <w:r>
        <w:t>política</w:t>
      </w:r>
      <w:r>
        <w:rPr>
          <w:spacing w:val="-13"/>
        </w:rPr>
        <w:t xml:space="preserve"> </w:t>
      </w:r>
      <w:r>
        <w:t>y</w:t>
      </w:r>
      <w:r>
        <w:rPr>
          <w:spacing w:val="-14"/>
        </w:rPr>
        <w:t xml:space="preserve"> </w:t>
      </w:r>
      <w:r>
        <w:t>las</w:t>
      </w:r>
      <w:r>
        <w:rPr>
          <w:spacing w:val="-13"/>
        </w:rPr>
        <w:t xml:space="preserve"> </w:t>
      </w:r>
      <w:r>
        <w:t>relaciones</w:t>
      </w:r>
      <w:r>
        <w:rPr>
          <w:spacing w:val="-13"/>
        </w:rPr>
        <w:t xml:space="preserve"> </w:t>
      </w:r>
      <w:r>
        <w:t>de</w:t>
      </w:r>
      <w:r>
        <w:rPr>
          <w:spacing w:val="-13"/>
        </w:rPr>
        <w:t xml:space="preserve"> </w:t>
      </w:r>
      <w:r>
        <w:t xml:space="preserve">producción. Por lo tanto, da </w:t>
      </w:r>
      <w:r>
        <w:lastRenderedPageBreak/>
        <w:t>origen a los asuntos esenciales que nos permiten vivir o no en comunidad.</w:t>
      </w:r>
    </w:p>
    <w:p w:rsidR="003804AC" w:rsidRDefault="00AF18A5" w:rsidP="00F60E13">
      <w:r>
        <w:t>El conflicto armado se ha alimentado y a la vez ha influenciado la cultura. Ambas cosas se han retroalimentado en una especie de círculo vicioso. Desde hace siglos, nuestra cultura ha</w:t>
      </w:r>
      <w:r>
        <w:rPr>
          <w:spacing w:val="-5"/>
        </w:rPr>
        <w:t xml:space="preserve"> </w:t>
      </w:r>
      <w:r>
        <w:t>heredado</w:t>
      </w:r>
      <w:r>
        <w:rPr>
          <w:spacing w:val="-6"/>
        </w:rPr>
        <w:t xml:space="preserve"> </w:t>
      </w:r>
      <w:r>
        <w:t>una</w:t>
      </w:r>
      <w:r>
        <w:rPr>
          <w:spacing w:val="-5"/>
        </w:rPr>
        <w:t xml:space="preserve"> </w:t>
      </w:r>
      <w:r>
        <w:t>visión</w:t>
      </w:r>
      <w:r>
        <w:rPr>
          <w:spacing w:val="-5"/>
        </w:rPr>
        <w:t xml:space="preserve"> </w:t>
      </w:r>
      <w:r>
        <w:t>excluyente</w:t>
      </w:r>
      <w:r>
        <w:rPr>
          <w:spacing w:val="-5"/>
        </w:rPr>
        <w:t xml:space="preserve"> </w:t>
      </w:r>
      <w:r>
        <w:t>del</w:t>
      </w:r>
      <w:r>
        <w:rPr>
          <w:spacing w:val="-4"/>
        </w:rPr>
        <w:t xml:space="preserve"> </w:t>
      </w:r>
      <w:r>
        <w:t>otro,</w:t>
      </w:r>
      <w:r>
        <w:rPr>
          <w:spacing w:val="-5"/>
        </w:rPr>
        <w:t xml:space="preserve"> </w:t>
      </w:r>
      <w:r>
        <w:t>de</w:t>
      </w:r>
      <w:r>
        <w:rPr>
          <w:spacing w:val="-6"/>
        </w:rPr>
        <w:t xml:space="preserve"> </w:t>
      </w:r>
      <w:r>
        <w:t>los</w:t>
      </w:r>
      <w:r>
        <w:rPr>
          <w:spacing w:val="-6"/>
        </w:rPr>
        <w:t xml:space="preserve"> </w:t>
      </w:r>
      <w:r>
        <w:t>pueblos</w:t>
      </w:r>
      <w:r>
        <w:rPr>
          <w:spacing w:val="-5"/>
        </w:rPr>
        <w:t xml:space="preserve"> </w:t>
      </w:r>
      <w:r>
        <w:t>étnicos,</w:t>
      </w:r>
      <w:r>
        <w:rPr>
          <w:spacing w:val="-5"/>
        </w:rPr>
        <w:t xml:space="preserve"> </w:t>
      </w:r>
      <w:r>
        <w:t>del</w:t>
      </w:r>
      <w:r>
        <w:rPr>
          <w:spacing w:val="-4"/>
        </w:rPr>
        <w:t xml:space="preserve"> </w:t>
      </w:r>
      <w:r>
        <w:t>campesino</w:t>
      </w:r>
      <w:r>
        <w:rPr>
          <w:spacing w:val="-5"/>
        </w:rPr>
        <w:t xml:space="preserve"> </w:t>
      </w:r>
      <w:r>
        <w:t>pobre,</w:t>
      </w:r>
      <w:r>
        <w:rPr>
          <w:spacing w:val="-5"/>
        </w:rPr>
        <w:t xml:space="preserve"> </w:t>
      </w:r>
      <w:r>
        <w:t>del disidente, del contrario. La época de La Violencia, por ejemplo, mostró que en la antesala del conflicto armado ya se libraba una guerra entre contrarios que se habían convertido en “enemigos”:</w:t>
      </w:r>
      <w:r>
        <w:rPr>
          <w:spacing w:val="-14"/>
        </w:rPr>
        <w:t xml:space="preserve"> </w:t>
      </w:r>
      <w:r>
        <w:t>liberales</w:t>
      </w:r>
      <w:r>
        <w:rPr>
          <w:spacing w:val="-13"/>
        </w:rPr>
        <w:t xml:space="preserve"> </w:t>
      </w:r>
      <w:r>
        <w:t>y</w:t>
      </w:r>
      <w:r>
        <w:rPr>
          <w:spacing w:val="-13"/>
        </w:rPr>
        <w:t xml:space="preserve"> </w:t>
      </w:r>
      <w:r>
        <w:t>conservadores,</w:t>
      </w:r>
      <w:r>
        <w:rPr>
          <w:spacing w:val="-13"/>
        </w:rPr>
        <w:t xml:space="preserve"> </w:t>
      </w:r>
      <w:r>
        <w:t>limpios</w:t>
      </w:r>
      <w:r>
        <w:rPr>
          <w:spacing w:val="-13"/>
        </w:rPr>
        <w:t xml:space="preserve"> </w:t>
      </w:r>
      <w:r>
        <w:t>y</w:t>
      </w:r>
      <w:r>
        <w:rPr>
          <w:spacing w:val="-13"/>
        </w:rPr>
        <w:t xml:space="preserve"> </w:t>
      </w:r>
      <w:r>
        <w:t>comunes,</w:t>
      </w:r>
      <w:r>
        <w:rPr>
          <w:spacing w:val="-13"/>
        </w:rPr>
        <w:t xml:space="preserve"> </w:t>
      </w:r>
      <w:r>
        <w:t>católicos</w:t>
      </w:r>
      <w:r>
        <w:rPr>
          <w:spacing w:val="-13"/>
        </w:rPr>
        <w:t xml:space="preserve"> </w:t>
      </w:r>
      <w:r>
        <w:t>y</w:t>
      </w:r>
      <w:r>
        <w:rPr>
          <w:spacing w:val="-13"/>
        </w:rPr>
        <w:t xml:space="preserve"> </w:t>
      </w:r>
      <w:r>
        <w:t>quienes</w:t>
      </w:r>
      <w:r>
        <w:rPr>
          <w:spacing w:val="-13"/>
        </w:rPr>
        <w:t xml:space="preserve"> </w:t>
      </w:r>
      <w:r>
        <w:t>se</w:t>
      </w:r>
      <w:r>
        <w:rPr>
          <w:spacing w:val="-13"/>
        </w:rPr>
        <w:t xml:space="preserve"> </w:t>
      </w:r>
      <w:r>
        <w:t>decantaron por otras visiones del mundo. En otras palabras, la desconfianza por lo diferente no surgió durante el conflicto armado, pero se agudizó durante su desarrollo.</w:t>
      </w:r>
    </w:p>
    <w:p w:rsidR="003804AC" w:rsidRDefault="00AF18A5" w:rsidP="00F60E13">
      <w:r>
        <w:t>Cuando una sociedad renuncia al esfuerzo de la comprensión que proviene de la inteligencia</w:t>
      </w:r>
      <w:r>
        <w:rPr>
          <w:spacing w:val="-5"/>
        </w:rPr>
        <w:t xml:space="preserve"> </w:t>
      </w:r>
      <w:r>
        <w:t>y</w:t>
      </w:r>
      <w:r>
        <w:rPr>
          <w:spacing w:val="-4"/>
        </w:rPr>
        <w:t xml:space="preserve"> </w:t>
      </w:r>
      <w:r>
        <w:t>la</w:t>
      </w:r>
      <w:r>
        <w:rPr>
          <w:spacing w:val="-3"/>
        </w:rPr>
        <w:t xml:space="preserve"> </w:t>
      </w:r>
      <w:r>
        <w:t>sensibilidad</w:t>
      </w:r>
      <w:r>
        <w:rPr>
          <w:spacing w:val="-4"/>
        </w:rPr>
        <w:t xml:space="preserve"> </w:t>
      </w:r>
      <w:r>
        <w:t>que</w:t>
      </w:r>
      <w:r>
        <w:rPr>
          <w:spacing w:val="-3"/>
        </w:rPr>
        <w:t xml:space="preserve"> </w:t>
      </w:r>
      <w:r>
        <w:t>nos</w:t>
      </w:r>
      <w:r>
        <w:rPr>
          <w:spacing w:val="-5"/>
        </w:rPr>
        <w:t xml:space="preserve"> </w:t>
      </w:r>
      <w:r>
        <w:t>enseña</w:t>
      </w:r>
      <w:r>
        <w:rPr>
          <w:spacing w:val="-3"/>
        </w:rPr>
        <w:t xml:space="preserve"> </w:t>
      </w:r>
      <w:r>
        <w:t>a</w:t>
      </w:r>
      <w:r>
        <w:rPr>
          <w:spacing w:val="-5"/>
        </w:rPr>
        <w:t xml:space="preserve"> </w:t>
      </w:r>
      <w:r>
        <w:t>reconocer</w:t>
      </w:r>
      <w:r>
        <w:rPr>
          <w:spacing w:val="-3"/>
        </w:rPr>
        <w:t xml:space="preserve"> </w:t>
      </w:r>
      <w:r>
        <w:t>al</w:t>
      </w:r>
      <w:r>
        <w:rPr>
          <w:spacing w:val="-3"/>
        </w:rPr>
        <w:t xml:space="preserve"> </w:t>
      </w:r>
      <w:r>
        <w:t>otro</w:t>
      </w:r>
      <w:r>
        <w:rPr>
          <w:spacing w:val="-4"/>
        </w:rPr>
        <w:t xml:space="preserve"> </w:t>
      </w:r>
      <w:r>
        <w:t>y</w:t>
      </w:r>
      <w:r>
        <w:rPr>
          <w:spacing w:val="-4"/>
        </w:rPr>
        <w:t xml:space="preserve"> </w:t>
      </w:r>
      <w:r>
        <w:t>a</w:t>
      </w:r>
      <w:r>
        <w:rPr>
          <w:spacing w:val="-3"/>
        </w:rPr>
        <w:t xml:space="preserve"> </w:t>
      </w:r>
      <w:r>
        <w:t>la</w:t>
      </w:r>
      <w:r>
        <w:rPr>
          <w:spacing w:val="-5"/>
        </w:rPr>
        <w:t xml:space="preserve"> </w:t>
      </w:r>
      <w:r>
        <w:t>otra,</w:t>
      </w:r>
      <w:r>
        <w:rPr>
          <w:spacing w:val="-5"/>
        </w:rPr>
        <w:t xml:space="preserve"> </w:t>
      </w:r>
      <w:r>
        <w:t>y</w:t>
      </w:r>
      <w:r>
        <w:rPr>
          <w:spacing w:val="-4"/>
        </w:rPr>
        <w:t xml:space="preserve"> </w:t>
      </w:r>
      <w:r>
        <w:t>a</w:t>
      </w:r>
      <w:r>
        <w:rPr>
          <w:spacing w:val="-3"/>
        </w:rPr>
        <w:t xml:space="preserve"> </w:t>
      </w:r>
      <w:r>
        <w:t>la</w:t>
      </w:r>
      <w:r>
        <w:rPr>
          <w:spacing w:val="-5"/>
        </w:rPr>
        <w:t xml:space="preserve"> </w:t>
      </w:r>
      <w:r>
        <w:t>naturaleza, esta</w:t>
      </w:r>
      <w:r>
        <w:rPr>
          <w:spacing w:val="-5"/>
        </w:rPr>
        <w:t xml:space="preserve"> </w:t>
      </w:r>
      <w:r>
        <w:t>se</w:t>
      </w:r>
      <w:r>
        <w:rPr>
          <w:spacing w:val="-5"/>
        </w:rPr>
        <w:t xml:space="preserve"> </w:t>
      </w:r>
      <w:r>
        <w:t>vuelve</w:t>
      </w:r>
      <w:r>
        <w:rPr>
          <w:spacing w:val="-5"/>
        </w:rPr>
        <w:t xml:space="preserve"> </w:t>
      </w:r>
      <w:r>
        <w:t>acrítica,</w:t>
      </w:r>
      <w:r>
        <w:rPr>
          <w:spacing w:val="-5"/>
        </w:rPr>
        <w:t xml:space="preserve"> </w:t>
      </w:r>
      <w:r>
        <w:t>pierde</w:t>
      </w:r>
      <w:r>
        <w:rPr>
          <w:spacing w:val="-5"/>
        </w:rPr>
        <w:t xml:space="preserve"> </w:t>
      </w:r>
      <w:r>
        <w:t>la</w:t>
      </w:r>
      <w:r>
        <w:rPr>
          <w:spacing w:val="-5"/>
        </w:rPr>
        <w:t xml:space="preserve"> </w:t>
      </w:r>
      <w:r>
        <w:t>capacidad</w:t>
      </w:r>
      <w:r>
        <w:rPr>
          <w:spacing w:val="-5"/>
        </w:rPr>
        <w:t xml:space="preserve"> </w:t>
      </w:r>
      <w:r>
        <w:t>de</w:t>
      </w:r>
      <w:r>
        <w:rPr>
          <w:spacing w:val="-5"/>
        </w:rPr>
        <w:t xml:space="preserve"> </w:t>
      </w:r>
      <w:r>
        <w:t>distinguir</w:t>
      </w:r>
      <w:r>
        <w:rPr>
          <w:spacing w:val="-6"/>
        </w:rPr>
        <w:t xml:space="preserve"> </w:t>
      </w:r>
      <w:r>
        <w:t>entre</w:t>
      </w:r>
      <w:r>
        <w:rPr>
          <w:spacing w:val="-6"/>
        </w:rPr>
        <w:t xml:space="preserve"> </w:t>
      </w:r>
      <w:r>
        <w:t>los</w:t>
      </w:r>
      <w:r>
        <w:rPr>
          <w:spacing w:val="-5"/>
        </w:rPr>
        <w:t xml:space="preserve"> </w:t>
      </w:r>
      <w:r>
        <w:t>valores</w:t>
      </w:r>
      <w:r>
        <w:rPr>
          <w:spacing w:val="-5"/>
        </w:rPr>
        <w:t xml:space="preserve"> </w:t>
      </w:r>
      <w:r>
        <w:t>que</w:t>
      </w:r>
      <w:r>
        <w:rPr>
          <w:spacing w:val="-5"/>
        </w:rPr>
        <w:t xml:space="preserve"> </w:t>
      </w:r>
      <w:r>
        <w:t>la</w:t>
      </w:r>
      <w:r>
        <w:rPr>
          <w:spacing w:val="-5"/>
        </w:rPr>
        <w:t xml:space="preserve"> </w:t>
      </w:r>
      <w:r>
        <w:t>hacen</w:t>
      </w:r>
      <w:r>
        <w:rPr>
          <w:spacing w:val="-6"/>
        </w:rPr>
        <w:t xml:space="preserve"> </w:t>
      </w:r>
      <w:r>
        <w:t>crecer en su humanidad y los antivalores que la destruyen. La cultura</w:t>
      </w:r>
      <w:r>
        <w:rPr>
          <w:spacing w:val="-1"/>
        </w:rPr>
        <w:t xml:space="preserve"> </w:t>
      </w:r>
      <w:r>
        <w:t>permeada por la violencia se vuelve</w:t>
      </w:r>
      <w:r>
        <w:rPr>
          <w:spacing w:val="-5"/>
        </w:rPr>
        <w:t xml:space="preserve"> </w:t>
      </w:r>
      <w:r>
        <w:t>un</w:t>
      </w:r>
      <w:r>
        <w:rPr>
          <w:spacing w:val="-5"/>
        </w:rPr>
        <w:t xml:space="preserve"> </w:t>
      </w:r>
      <w:r>
        <w:t>campo</w:t>
      </w:r>
      <w:r>
        <w:rPr>
          <w:spacing w:val="-5"/>
        </w:rPr>
        <w:t xml:space="preserve"> </w:t>
      </w:r>
      <w:r>
        <w:t>de</w:t>
      </w:r>
      <w:r>
        <w:rPr>
          <w:spacing w:val="-5"/>
        </w:rPr>
        <w:t xml:space="preserve"> </w:t>
      </w:r>
      <w:r>
        <w:t>disputas</w:t>
      </w:r>
      <w:r>
        <w:rPr>
          <w:spacing w:val="-5"/>
        </w:rPr>
        <w:t xml:space="preserve"> </w:t>
      </w:r>
      <w:r>
        <w:t>y</w:t>
      </w:r>
      <w:r>
        <w:rPr>
          <w:spacing w:val="-5"/>
        </w:rPr>
        <w:t xml:space="preserve"> </w:t>
      </w:r>
      <w:r>
        <w:t>expulsiones.</w:t>
      </w:r>
      <w:r>
        <w:rPr>
          <w:spacing w:val="-5"/>
        </w:rPr>
        <w:t xml:space="preserve"> </w:t>
      </w:r>
      <w:r>
        <w:t>De</w:t>
      </w:r>
      <w:r>
        <w:rPr>
          <w:spacing w:val="-5"/>
        </w:rPr>
        <w:t xml:space="preserve"> </w:t>
      </w:r>
      <w:r>
        <w:t>ahí</w:t>
      </w:r>
      <w:r>
        <w:rPr>
          <w:spacing w:val="-4"/>
        </w:rPr>
        <w:t xml:space="preserve"> </w:t>
      </w:r>
      <w:r>
        <w:t>que</w:t>
      </w:r>
      <w:r>
        <w:rPr>
          <w:spacing w:val="-5"/>
        </w:rPr>
        <w:t xml:space="preserve"> </w:t>
      </w:r>
      <w:r>
        <w:t>para</w:t>
      </w:r>
      <w:r>
        <w:rPr>
          <w:spacing w:val="-5"/>
        </w:rPr>
        <w:t xml:space="preserve"> </w:t>
      </w:r>
      <w:r>
        <w:t>la</w:t>
      </w:r>
      <w:r>
        <w:rPr>
          <w:spacing w:val="-5"/>
        </w:rPr>
        <w:t xml:space="preserve"> </w:t>
      </w:r>
      <w:r>
        <w:t>Comisión</w:t>
      </w:r>
      <w:r>
        <w:rPr>
          <w:spacing w:val="-6"/>
        </w:rPr>
        <w:t xml:space="preserve"> </w:t>
      </w:r>
      <w:r>
        <w:t>de</w:t>
      </w:r>
      <w:r>
        <w:rPr>
          <w:spacing w:val="-5"/>
        </w:rPr>
        <w:t xml:space="preserve"> </w:t>
      </w:r>
      <w:r>
        <w:t>la</w:t>
      </w:r>
      <w:r>
        <w:rPr>
          <w:spacing w:val="-5"/>
        </w:rPr>
        <w:t xml:space="preserve"> </w:t>
      </w:r>
      <w:r>
        <w:t>Verdad</w:t>
      </w:r>
      <w:r>
        <w:rPr>
          <w:spacing w:val="-6"/>
        </w:rPr>
        <w:t xml:space="preserve"> </w:t>
      </w:r>
      <w:r>
        <w:t>tenga un</w:t>
      </w:r>
      <w:r>
        <w:rPr>
          <w:spacing w:val="-7"/>
        </w:rPr>
        <w:t xml:space="preserve"> </w:t>
      </w:r>
      <w:r>
        <w:t>lugar</w:t>
      </w:r>
      <w:r>
        <w:rPr>
          <w:spacing w:val="-7"/>
        </w:rPr>
        <w:t xml:space="preserve"> </w:t>
      </w:r>
      <w:r>
        <w:t>tan</w:t>
      </w:r>
      <w:r>
        <w:rPr>
          <w:spacing w:val="-8"/>
        </w:rPr>
        <w:t xml:space="preserve"> </w:t>
      </w:r>
      <w:r>
        <w:t>relevante</w:t>
      </w:r>
      <w:r>
        <w:rPr>
          <w:spacing w:val="-8"/>
        </w:rPr>
        <w:t xml:space="preserve"> </w:t>
      </w:r>
      <w:r>
        <w:t>en</w:t>
      </w:r>
      <w:r>
        <w:rPr>
          <w:spacing w:val="-8"/>
        </w:rPr>
        <w:t xml:space="preserve"> </w:t>
      </w:r>
      <w:r>
        <w:t>la</w:t>
      </w:r>
      <w:r>
        <w:rPr>
          <w:spacing w:val="-8"/>
        </w:rPr>
        <w:t xml:space="preserve"> </w:t>
      </w:r>
      <w:r>
        <w:t>misión</w:t>
      </w:r>
      <w:r>
        <w:rPr>
          <w:spacing w:val="-7"/>
        </w:rPr>
        <w:t xml:space="preserve"> </w:t>
      </w:r>
      <w:r>
        <w:t>que</w:t>
      </w:r>
      <w:r>
        <w:rPr>
          <w:spacing w:val="-7"/>
        </w:rPr>
        <w:t xml:space="preserve"> </w:t>
      </w:r>
      <w:r>
        <w:t>le</w:t>
      </w:r>
      <w:r>
        <w:rPr>
          <w:spacing w:val="-8"/>
        </w:rPr>
        <w:t xml:space="preserve"> </w:t>
      </w:r>
      <w:r>
        <w:t>fue</w:t>
      </w:r>
      <w:r>
        <w:rPr>
          <w:spacing w:val="-8"/>
        </w:rPr>
        <w:t xml:space="preserve"> </w:t>
      </w:r>
      <w:r>
        <w:t>encomendada.</w:t>
      </w:r>
      <w:r>
        <w:rPr>
          <w:spacing w:val="-8"/>
        </w:rPr>
        <w:t xml:space="preserve"> </w:t>
      </w:r>
      <w:r>
        <w:t>La</w:t>
      </w:r>
      <w:r>
        <w:rPr>
          <w:spacing w:val="-7"/>
        </w:rPr>
        <w:t xml:space="preserve"> </w:t>
      </w:r>
      <w:r>
        <w:t>cultura</w:t>
      </w:r>
      <w:r>
        <w:rPr>
          <w:spacing w:val="-8"/>
        </w:rPr>
        <w:t xml:space="preserve"> </w:t>
      </w:r>
      <w:r>
        <w:t>edifica</w:t>
      </w:r>
      <w:r>
        <w:rPr>
          <w:spacing w:val="-8"/>
        </w:rPr>
        <w:t xml:space="preserve"> </w:t>
      </w:r>
      <w:r>
        <w:t>el</w:t>
      </w:r>
      <w:r>
        <w:rPr>
          <w:spacing w:val="-8"/>
        </w:rPr>
        <w:t xml:space="preserve"> </w:t>
      </w:r>
      <w:r>
        <w:t>contexto</w:t>
      </w:r>
      <w:r>
        <w:rPr>
          <w:spacing w:val="-7"/>
        </w:rPr>
        <w:t xml:space="preserve"> </w:t>
      </w:r>
      <w:r>
        <w:t>en el que se desarrolla la vida en común. Por lo tanto, el conflicto armado interno tiene en ella un</w:t>
      </w:r>
      <w:r>
        <w:rPr>
          <w:spacing w:val="-6"/>
        </w:rPr>
        <w:t xml:space="preserve"> </w:t>
      </w:r>
      <w:r>
        <w:t>arraigo,</w:t>
      </w:r>
      <w:r>
        <w:rPr>
          <w:spacing w:val="-6"/>
        </w:rPr>
        <w:t xml:space="preserve"> </w:t>
      </w:r>
      <w:r>
        <w:t>un</w:t>
      </w:r>
      <w:r>
        <w:rPr>
          <w:spacing w:val="-6"/>
        </w:rPr>
        <w:t xml:space="preserve"> </w:t>
      </w:r>
      <w:r>
        <w:t>punto</w:t>
      </w:r>
      <w:r>
        <w:rPr>
          <w:spacing w:val="-6"/>
        </w:rPr>
        <w:t xml:space="preserve"> </w:t>
      </w:r>
      <w:r>
        <w:t>de</w:t>
      </w:r>
      <w:r>
        <w:rPr>
          <w:spacing w:val="-6"/>
        </w:rPr>
        <w:t xml:space="preserve"> </w:t>
      </w:r>
      <w:r>
        <w:t>partida</w:t>
      </w:r>
      <w:r>
        <w:rPr>
          <w:spacing w:val="-6"/>
        </w:rPr>
        <w:t xml:space="preserve"> </w:t>
      </w:r>
      <w:r>
        <w:t>que</w:t>
      </w:r>
      <w:r>
        <w:rPr>
          <w:spacing w:val="-6"/>
        </w:rPr>
        <w:t xml:space="preserve"> </w:t>
      </w:r>
      <w:r>
        <w:t>conduce</w:t>
      </w:r>
      <w:r>
        <w:rPr>
          <w:spacing w:val="-6"/>
        </w:rPr>
        <w:t xml:space="preserve"> </w:t>
      </w:r>
      <w:r>
        <w:t>a</w:t>
      </w:r>
      <w:r>
        <w:rPr>
          <w:spacing w:val="-7"/>
        </w:rPr>
        <w:t xml:space="preserve"> </w:t>
      </w:r>
      <w:r>
        <w:t>la</w:t>
      </w:r>
      <w:r>
        <w:rPr>
          <w:spacing w:val="-6"/>
        </w:rPr>
        <w:t xml:space="preserve"> </w:t>
      </w:r>
      <w:r>
        <w:t>comprensión</w:t>
      </w:r>
      <w:r>
        <w:rPr>
          <w:spacing w:val="-6"/>
        </w:rPr>
        <w:t xml:space="preserve"> </w:t>
      </w:r>
      <w:r>
        <w:t>de</w:t>
      </w:r>
      <w:r>
        <w:rPr>
          <w:spacing w:val="-6"/>
        </w:rPr>
        <w:t xml:space="preserve"> </w:t>
      </w:r>
      <w:r>
        <w:t>su</w:t>
      </w:r>
      <w:r>
        <w:rPr>
          <w:spacing w:val="-6"/>
        </w:rPr>
        <w:t xml:space="preserve"> </w:t>
      </w:r>
      <w:r>
        <w:t>desarrollo.</w:t>
      </w:r>
      <w:r>
        <w:rPr>
          <w:spacing w:val="-6"/>
        </w:rPr>
        <w:t xml:space="preserve"> </w:t>
      </w:r>
      <w:r>
        <w:t>Desligarlo</w:t>
      </w:r>
      <w:r>
        <w:rPr>
          <w:spacing w:val="-6"/>
        </w:rPr>
        <w:t xml:space="preserve"> </w:t>
      </w:r>
      <w:r>
        <w:rPr>
          <w:spacing w:val="-5"/>
        </w:rPr>
        <w:t>de</w:t>
      </w:r>
      <w:bookmarkStart w:id="1342" w:name="_bookmark1193"/>
      <w:bookmarkEnd w:id="1342"/>
      <w:r w:rsidR="00F60E13">
        <w:rPr>
          <w:spacing w:val="-5"/>
        </w:rPr>
        <w:t xml:space="preserve"> </w:t>
      </w:r>
      <w:r>
        <w:t>las</w:t>
      </w:r>
      <w:r>
        <w:rPr>
          <w:spacing w:val="-6"/>
        </w:rPr>
        <w:t xml:space="preserve"> </w:t>
      </w:r>
      <w:r>
        <w:t>construcciones</w:t>
      </w:r>
      <w:r>
        <w:rPr>
          <w:spacing w:val="-6"/>
        </w:rPr>
        <w:t xml:space="preserve"> </w:t>
      </w:r>
      <w:r>
        <w:t>culturales</w:t>
      </w:r>
      <w:r>
        <w:rPr>
          <w:spacing w:val="-6"/>
        </w:rPr>
        <w:t xml:space="preserve"> </w:t>
      </w:r>
      <w:r>
        <w:t>que</w:t>
      </w:r>
      <w:r>
        <w:rPr>
          <w:spacing w:val="-6"/>
        </w:rPr>
        <w:t xml:space="preserve"> </w:t>
      </w:r>
      <w:r>
        <w:t>han</w:t>
      </w:r>
      <w:r>
        <w:rPr>
          <w:spacing w:val="-5"/>
        </w:rPr>
        <w:t xml:space="preserve"> </w:t>
      </w:r>
      <w:r>
        <w:t>determinado</w:t>
      </w:r>
      <w:r>
        <w:rPr>
          <w:spacing w:val="-5"/>
        </w:rPr>
        <w:t xml:space="preserve"> </w:t>
      </w:r>
      <w:r>
        <w:t>nuestra</w:t>
      </w:r>
      <w:r>
        <w:rPr>
          <w:spacing w:val="-6"/>
        </w:rPr>
        <w:t xml:space="preserve"> </w:t>
      </w:r>
      <w:r>
        <w:t>existencia</w:t>
      </w:r>
      <w:r>
        <w:rPr>
          <w:spacing w:val="-6"/>
        </w:rPr>
        <w:t xml:space="preserve"> </w:t>
      </w:r>
      <w:r>
        <w:t>como</w:t>
      </w:r>
      <w:r>
        <w:rPr>
          <w:spacing w:val="-5"/>
        </w:rPr>
        <w:t xml:space="preserve"> </w:t>
      </w:r>
      <w:r>
        <w:t>sociedad</w:t>
      </w:r>
      <w:r>
        <w:rPr>
          <w:spacing w:val="-6"/>
        </w:rPr>
        <w:t xml:space="preserve"> </w:t>
      </w:r>
      <w:r>
        <w:t>y</w:t>
      </w:r>
      <w:r>
        <w:rPr>
          <w:spacing w:val="-5"/>
        </w:rPr>
        <w:t xml:space="preserve"> </w:t>
      </w:r>
      <w:r>
        <w:t xml:space="preserve">como nación conduciría a explicaciones funcionales, a recomendaciones que apelarían solamente a cambios de forma que no irían a fondo de los conceptos que fundan y rigen la vida. Por eso, la Comisión de la Verdad no puede </w:t>
      </w:r>
      <w:r>
        <w:lastRenderedPageBreak/>
        <w:t>ver este periodo como algo vinculado solamente a las</w:t>
      </w:r>
      <w:r>
        <w:rPr>
          <w:spacing w:val="-1"/>
        </w:rPr>
        <w:t xml:space="preserve"> </w:t>
      </w:r>
      <w:r>
        <w:t>actuaciones</w:t>
      </w:r>
      <w:r>
        <w:rPr>
          <w:spacing w:val="-1"/>
        </w:rPr>
        <w:t xml:space="preserve"> </w:t>
      </w:r>
      <w:r>
        <w:t>de</w:t>
      </w:r>
      <w:r>
        <w:rPr>
          <w:spacing w:val="-1"/>
        </w:rPr>
        <w:t xml:space="preserve"> </w:t>
      </w:r>
      <w:r>
        <w:t>los</w:t>
      </w:r>
      <w:r>
        <w:rPr>
          <w:spacing w:val="-1"/>
        </w:rPr>
        <w:t xml:space="preserve"> </w:t>
      </w:r>
      <w:r>
        <w:t>actores</w:t>
      </w:r>
      <w:r>
        <w:rPr>
          <w:spacing w:val="-1"/>
        </w:rPr>
        <w:t xml:space="preserve"> </w:t>
      </w:r>
      <w:r>
        <w:t>armados,</w:t>
      </w:r>
      <w:r>
        <w:rPr>
          <w:spacing w:val="-1"/>
        </w:rPr>
        <w:t xml:space="preserve"> </w:t>
      </w:r>
      <w:r>
        <w:t>las</w:t>
      </w:r>
      <w:r>
        <w:rPr>
          <w:spacing w:val="-1"/>
        </w:rPr>
        <w:t xml:space="preserve"> </w:t>
      </w:r>
      <w:r>
        <w:t>violaciones</w:t>
      </w:r>
      <w:r>
        <w:rPr>
          <w:spacing w:val="-1"/>
        </w:rPr>
        <w:t xml:space="preserve"> </w:t>
      </w:r>
      <w:r>
        <w:t>de</w:t>
      </w:r>
      <w:r>
        <w:rPr>
          <w:spacing w:val="-1"/>
        </w:rPr>
        <w:t xml:space="preserve"> </w:t>
      </w:r>
      <w:r>
        <w:t>derechos</w:t>
      </w:r>
      <w:r>
        <w:rPr>
          <w:spacing w:val="-1"/>
        </w:rPr>
        <w:t xml:space="preserve"> </w:t>
      </w:r>
      <w:r>
        <w:t>humanos</w:t>
      </w:r>
      <w:r>
        <w:rPr>
          <w:spacing w:val="-1"/>
        </w:rPr>
        <w:t xml:space="preserve"> </w:t>
      </w:r>
      <w:r>
        <w:t>y</w:t>
      </w:r>
      <w:r>
        <w:rPr>
          <w:spacing w:val="-1"/>
        </w:rPr>
        <w:t xml:space="preserve"> </w:t>
      </w:r>
      <w:r>
        <w:t>el</w:t>
      </w:r>
      <w:r>
        <w:rPr>
          <w:spacing w:val="-1"/>
        </w:rPr>
        <w:t xml:space="preserve"> </w:t>
      </w:r>
      <w:r>
        <w:t>DIH,</w:t>
      </w:r>
      <w:r>
        <w:rPr>
          <w:spacing w:val="-1"/>
        </w:rPr>
        <w:t xml:space="preserve"> </w:t>
      </w:r>
      <w:r>
        <w:t>o</w:t>
      </w:r>
      <w:r>
        <w:rPr>
          <w:spacing w:val="-1"/>
        </w:rPr>
        <w:t xml:space="preserve"> </w:t>
      </w:r>
      <w:r>
        <w:t>las estrategias de guerra. Por el contrario, fijarse en los asuntos de la cultura en los que se ha instalado y arraigado el conflicto armado en Colombia resulta indispensable, pues los verdaderos cambios se hacen en ellos No son suficientes</w:t>
      </w:r>
      <w:r>
        <w:rPr>
          <w:spacing w:val="-1"/>
        </w:rPr>
        <w:t xml:space="preserve"> </w:t>
      </w:r>
      <w:r>
        <w:t>los</w:t>
      </w:r>
      <w:r>
        <w:rPr>
          <w:spacing w:val="-1"/>
        </w:rPr>
        <w:t xml:space="preserve"> </w:t>
      </w:r>
      <w:r>
        <w:t>ajustes en la</w:t>
      </w:r>
      <w:r>
        <w:rPr>
          <w:spacing w:val="-1"/>
        </w:rPr>
        <w:t xml:space="preserve"> </w:t>
      </w:r>
      <w:r>
        <w:t>legislación o en la institucionalidad,</w:t>
      </w:r>
      <w:r>
        <w:rPr>
          <w:spacing w:val="-8"/>
        </w:rPr>
        <w:t xml:space="preserve"> </w:t>
      </w:r>
      <w:r>
        <w:t>si</w:t>
      </w:r>
      <w:r>
        <w:rPr>
          <w:spacing w:val="-8"/>
        </w:rPr>
        <w:t xml:space="preserve"> </w:t>
      </w:r>
      <w:r>
        <w:t>no</w:t>
      </w:r>
      <w:r>
        <w:rPr>
          <w:spacing w:val="-8"/>
        </w:rPr>
        <w:t xml:space="preserve"> </w:t>
      </w:r>
      <w:r>
        <w:t>hay</w:t>
      </w:r>
      <w:r>
        <w:rPr>
          <w:spacing w:val="-8"/>
        </w:rPr>
        <w:t xml:space="preserve"> </w:t>
      </w:r>
      <w:r>
        <w:t>una</w:t>
      </w:r>
      <w:r>
        <w:rPr>
          <w:spacing w:val="-8"/>
        </w:rPr>
        <w:t xml:space="preserve"> </w:t>
      </w:r>
      <w:r>
        <w:t>transformación</w:t>
      </w:r>
      <w:r>
        <w:rPr>
          <w:spacing w:val="-8"/>
        </w:rPr>
        <w:t xml:space="preserve"> </w:t>
      </w:r>
      <w:r>
        <w:t>de</w:t>
      </w:r>
      <w:r>
        <w:rPr>
          <w:spacing w:val="-8"/>
        </w:rPr>
        <w:t xml:space="preserve"> </w:t>
      </w:r>
      <w:r>
        <w:t>los</w:t>
      </w:r>
      <w:r>
        <w:rPr>
          <w:spacing w:val="-8"/>
        </w:rPr>
        <w:t xml:space="preserve"> </w:t>
      </w:r>
      <w:r>
        <w:t>comportamientos,</w:t>
      </w:r>
      <w:r>
        <w:rPr>
          <w:spacing w:val="-8"/>
        </w:rPr>
        <w:t xml:space="preserve"> </w:t>
      </w:r>
      <w:r>
        <w:t>valores</w:t>
      </w:r>
      <w:r>
        <w:rPr>
          <w:spacing w:val="-8"/>
        </w:rPr>
        <w:t xml:space="preserve"> </w:t>
      </w:r>
      <w:r>
        <w:t>y</w:t>
      </w:r>
      <w:r>
        <w:rPr>
          <w:spacing w:val="-8"/>
        </w:rPr>
        <w:t xml:space="preserve"> </w:t>
      </w:r>
      <w:r>
        <w:t>relaciones con los demás Como le dijo Pablo de Greiff</w:t>
      </w:r>
      <w:r w:rsidR="00F60E13">
        <w:rPr>
          <w:rStyle w:val="Refdenotaalpie"/>
        </w:rPr>
        <w:footnoteReference w:id="1089"/>
      </w:r>
      <w:r>
        <w:t xml:space="preserve"> a la Comisión de la Verdad: «la ingeniería institucional</w:t>
      </w:r>
      <w:r>
        <w:rPr>
          <w:spacing w:val="-13"/>
        </w:rPr>
        <w:t xml:space="preserve"> </w:t>
      </w:r>
      <w:r>
        <w:t>no</w:t>
      </w:r>
      <w:r>
        <w:rPr>
          <w:spacing w:val="-12"/>
        </w:rPr>
        <w:t xml:space="preserve"> </w:t>
      </w:r>
      <w:r>
        <w:t>es</w:t>
      </w:r>
      <w:r>
        <w:rPr>
          <w:spacing w:val="-12"/>
        </w:rPr>
        <w:t xml:space="preserve"> </w:t>
      </w:r>
      <w:r>
        <w:t>la</w:t>
      </w:r>
      <w:r>
        <w:rPr>
          <w:spacing w:val="-12"/>
        </w:rPr>
        <w:t xml:space="preserve"> </w:t>
      </w:r>
      <w:r>
        <w:t>solución</w:t>
      </w:r>
      <w:r>
        <w:rPr>
          <w:spacing w:val="-12"/>
        </w:rPr>
        <w:t xml:space="preserve"> </w:t>
      </w:r>
      <w:r>
        <w:t>única</w:t>
      </w:r>
      <w:r>
        <w:rPr>
          <w:spacing w:val="-12"/>
        </w:rPr>
        <w:t xml:space="preserve"> </w:t>
      </w:r>
      <w:r>
        <w:t>sobre</w:t>
      </w:r>
      <w:r>
        <w:rPr>
          <w:spacing w:val="-12"/>
        </w:rPr>
        <w:t xml:space="preserve"> </w:t>
      </w:r>
      <w:r>
        <w:t>la</w:t>
      </w:r>
      <w:r>
        <w:rPr>
          <w:spacing w:val="-12"/>
        </w:rPr>
        <w:t xml:space="preserve"> </w:t>
      </w:r>
      <w:r>
        <w:t>cual</w:t>
      </w:r>
      <w:r>
        <w:rPr>
          <w:spacing w:val="-12"/>
        </w:rPr>
        <w:t xml:space="preserve"> </w:t>
      </w:r>
      <w:r>
        <w:t>la</w:t>
      </w:r>
      <w:r>
        <w:rPr>
          <w:spacing w:val="-12"/>
        </w:rPr>
        <w:t xml:space="preserve"> </w:t>
      </w:r>
      <w:r>
        <w:t>paz</w:t>
      </w:r>
      <w:r>
        <w:rPr>
          <w:spacing w:val="-12"/>
        </w:rPr>
        <w:t xml:space="preserve"> </w:t>
      </w:r>
      <w:r>
        <w:t>futura</w:t>
      </w:r>
      <w:r>
        <w:rPr>
          <w:spacing w:val="-13"/>
        </w:rPr>
        <w:t xml:space="preserve"> </w:t>
      </w:r>
      <w:r>
        <w:t>del</w:t>
      </w:r>
      <w:r>
        <w:rPr>
          <w:spacing w:val="-12"/>
        </w:rPr>
        <w:t xml:space="preserve"> </w:t>
      </w:r>
      <w:r>
        <w:t>país</w:t>
      </w:r>
      <w:r>
        <w:rPr>
          <w:spacing w:val="-12"/>
        </w:rPr>
        <w:t xml:space="preserve"> </w:t>
      </w:r>
      <w:r>
        <w:t>depende.</w:t>
      </w:r>
      <w:r>
        <w:rPr>
          <w:spacing w:val="-12"/>
        </w:rPr>
        <w:t xml:space="preserve"> </w:t>
      </w:r>
      <w:r>
        <w:t>Esta</w:t>
      </w:r>
      <w:r>
        <w:rPr>
          <w:spacing w:val="-12"/>
        </w:rPr>
        <w:t xml:space="preserve"> </w:t>
      </w:r>
      <w:r>
        <w:t>necesita también de intervenciones a nivel más normativo y cultural».</w:t>
      </w:r>
    </w:p>
    <w:p w:rsidR="003804AC" w:rsidRDefault="00AF18A5" w:rsidP="00F60E13">
      <w:r>
        <w:t>El conflicto armado, entonces, no solo se funda en causas o razones objetivas, sino también</w:t>
      </w:r>
      <w:r>
        <w:rPr>
          <w:spacing w:val="-15"/>
        </w:rPr>
        <w:t xml:space="preserve"> </w:t>
      </w:r>
      <w:r>
        <w:t>en</w:t>
      </w:r>
      <w:r>
        <w:rPr>
          <w:spacing w:val="-15"/>
        </w:rPr>
        <w:t xml:space="preserve"> </w:t>
      </w:r>
      <w:r>
        <w:t>asuntos</w:t>
      </w:r>
      <w:r>
        <w:rPr>
          <w:spacing w:val="-15"/>
        </w:rPr>
        <w:t xml:space="preserve"> </w:t>
      </w:r>
      <w:r>
        <w:t>intangibles,</w:t>
      </w:r>
      <w:r>
        <w:rPr>
          <w:spacing w:val="-15"/>
        </w:rPr>
        <w:t xml:space="preserve"> </w:t>
      </w:r>
      <w:r>
        <w:t>en</w:t>
      </w:r>
      <w:r>
        <w:rPr>
          <w:spacing w:val="-15"/>
        </w:rPr>
        <w:t xml:space="preserve"> </w:t>
      </w:r>
      <w:r>
        <w:t>creencias</w:t>
      </w:r>
      <w:r>
        <w:rPr>
          <w:spacing w:val="-15"/>
        </w:rPr>
        <w:t xml:space="preserve"> </w:t>
      </w:r>
      <w:r>
        <w:t>y</w:t>
      </w:r>
      <w:r>
        <w:rPr>
          <w:spacing w:val="-15"/>
        </w:rPr>
        <w:t xml:space="preserve"> </w:t>
      </w:r>
      <w:r>
        <w:t>valores</w:t>
      </w:r>
      <w:r>
        <w:rPr>
          <w:spacing w:val="-15"/>
        </w:rPr>
        <w:t xml:space="preserve"> </w:t>
      </w:r>
      <w:r>
        <w:t>que</w:t>
      </w:r>
      <w:r>
        <w:rPr>
          <w:spacing w:val="-15"/>
        </w:rPr>
        <w:t xml:space="preserve"> </w:t>
      </w:r>
      <w:r>
        <w:t>no</w:t>
      </w:r>
      <w:r>
        <w:rPr>
          <w:spacing w:val="-15"/>
        </w:rPr>
        <w:t xml:space="preserve"> </w:t>
      </w:r>
      <w:r>
        <w:t>se</w:t>
      </w:r>
      <w:r>
        <w:rPr>
          <w:spacing w:val="-15"/>
        </w:rPr>
        <w:t xml:space="preserve"> </w:t>
      </w:r>
      <w:r>
        <w:t>han</w:t>
      </w:r>
      <w:r>
        <w:rPr>
          <w:spacing w:val="-15"/>
        </w:rPr>
        <w:t xml:space="preserve"> </w:t>
      </w:r>
      <w:r>
        <w:t>hecho</w:t>
      </w:r>
      <w:r>
        <w:rPr>
          <w:spacing w:val="-15"/>
        </w:rPr>
        <w:t xml:space="preserve"> </w:t>
      </w:r>
      <w:r>
        <w:t>lo</w:t>
      </w:r>
      <w:r>
        <w:rPr>
          <w:spacing w:val="-15"/>
        </w:rPr>
        <w:t xml:space="preserve"> </w:t>
      </w:r>
      <w:r>
        <w:t>suficientemente conscientes y que han sido convenientes para un sistema de órdenes raciales y de clases y privilegios que mantienen una democracia de</w:t>
      </w:r>
      <w:r>
        <w:rPr>
          <w:spacing w:val="-1"/>
        </w:rPr>
        <w:t xml:space="preserve"> </w:t>
      </w:r>
      <w:r>
        <w:t>baja intensidad.</w:t>
      </w:r>
      <w:r>
        <w:rPr>
          <w:spacing w:val="-1"/>
        </w:rPr>
        <w:t xml:space="preserve"> </w:t>
      </w:r>
      <w:r>
        <w:t>El papel de</w:t>
      </w:r>
      <w:r>
        <w:rPr>
          <w:spacing w:val="-2"/>
        </w:rPr>
        <w:t xml:space="preserve"> </w:t>
      </w:r>
      <w:r>
        <w:t>estas</w:t>
      </w:r>
      <w:r>
        <w:rPr>
          <w:spacing w:val="-1"/>
        </w:rPr>
        <w:t xml:space="preserve"> </w:t>
      </w:r>
      <w:r>
        <w:t>creencias se aduce</w:t>
      </w:r>
      <w:r>
        <w:rPr>
          <w:spacing w:val="-12"/>
        </w:rPr>
        <w:t xml:space="preserve"> </w:t>
      </w:r>
      <w:r>
        <w:t>en</w:t>
      </w:r>
      <w:r>
        <w:rPr>
          <w:spacing w:val="-13"/>
        </w:rPr>
        <w:t xml:space="preserve"> </w:t>
      </w:r>
      <w:r>
        <w:t>formas</w:t>
      </w:r>
      <w:r>
        <w:rPr>
          <w:spacing w:val="-12"/>
        </w:rPr>
        <w:t xml:space="preserve"> </w:t>
      </w:r>
      <w:r>
        <w:t>de</w:t>
      </w:r>
      <w:r>
        <w:rPr>
          <w:spacing w:val="-12"/>
        </w:rPr>
        <w:t xml:space="preserve"> </w:t>
      </w:r>
      <w:r>
        <w:t>pensar</w:t>
      </w:r>
      <w:r>
        <w:rPr>
          <w:spacing w:val="-11"/>
        </w:rPr>
        <w:t xml:space="preserve"> </w:t>
      </w:r>
      <w:r>
        <w:t>y</w:t>
      </w:r>
      <w:r>
        <w:rPr>
          <w:spacing w:val="-12"/>
        </w:rPr>
        <w:t xml:space="preserve"> </w:t>
      </w:r>
      <w:r>
        <w:t>sentir;</w:t>
      </w:r>
      <w:r>
        <w:rPr>
          <w:spacing w:val="-13"/>
        </w:rPr>
        <w:t xml:space="preserve"> </w:t>
      </w:r>
      <w:r>
        <w:t>en</w:t>
      </w:r>
      <w:r>
        <w:rPr>
          <w:spacing w:val="-12"/>
        </w:rPr>
        <w:t xml:space="preserve"> </w:t>
      </w:r>
      <w:r>
        <w:t>barreras</w:t>
      </w:r>
      <w:r>
        <w:rPr>
          <w:spacing w:val="-12"/>
        </w:rPr>
        <w:t xml:space="preserve"> </w:t>
      </w:r>
      <w:r>
        <w:t>psicosociales</w:t>
      </w:r>
      <w:r>
        <w:rPr>
          <w:spacing w:val="-12"/>
        </w:rPr>
        <w:t xml:space="preserve"> </w:t>
      </w:r>
      <w:r>
        <w:t>que</w:t>
      </w:r>
      <w:r>
        <w:rPr>
          <w:spacing w:val="-12"/>
        </w:rPr>
        <w:t xml:space="preserve"> </w:t>
      </w:r>
      <w:r>
        <w:t>constituyen</w:t>
      </w:r>
      <w:r>
        <w:rPr>
          <w:spacing w:val="-12"/>
        </w:rPr>
        <w:t xml:space="preserve"> </w:t>
      </w:r>
      <w:r>
        <w:t>obstáculos</w:t>
      </w:r>
      <w:r>
        <w:rPr>
          <w:spacing w:val="-12"/>
        </w:rPr>
        <w:t xml:space="preserve"> </w:t>
      </w:r>
      <w:r>
        <w:t>para la paz. Ante ellas, el conflicto colombiano parece insuperable. Los pasos para salir de él mediante negociaciones políticas o acuerdos institucionales y sociales son vistos con sospecha</w:t>
      </w:r>
      <w:r>
        <w:rPr>
          <w:spacing w:val="-3"/>
        </w:rPr>
        <w:t xml:space="preserve"> </w:t>
      </w:r>
      <w:r>
        <w:t>o</w:t>
      </w:r>
      <w:r>
        <w:rPr>
          <w:spacing w:val="-4"/>
        </w:rPr>
        <w:t xml:space="preserve"> </w:t>
      </w:r>
      <w:r>
        <w:t>en</w:t>
      </w:r>
      <w:r>
        <w:rPr>
          <w:spacing w:val="-4"/>
        </w:rPr>
        <w:t xml:space="preserve"> </w:t>
      </w:r>
      <w:r>
        <w:t>clara</w:t>
      </w:r>
      <w:r>
        <w:rPr>
          <w:spacing w:val="-3"/>
        </w:rPr>
        <w:t xml:space="preserve"> </w:t>
      </w:r>
      <w:r>
        <w:t>oposición,</w:t>
      </w:r>
      <w:r>
        <w:rPr>
          <w:spacing w:val="-4"/>
        </w:rPr>
        <w:t xml:space="preserve"> </w:t>
      </w:r>
      <w:r>
        <w:t>como</w:t>
      </w:r>
      <w:r>
        <w:rPr>
          <w:spacing w:val="-4"/>
        </w:rPr>
        <w:t xml:space="preserve"> </w:t>
      </w:r>
      <w:r>
        <w:t>sucedió</w:t>
      </w:r>
      <w:r>
        <w:rPr>
          <w:spacing w:val="-4"/>
        </w:rPr>
        <w:t xml:space="preserve"> </w:t>
      </w:r>
      <w:r>
        <w:t>en</w:t>
      </w:r>
      <w:r>
        <w:rPr>
          <w:spacing w:val="-4"/>
        </w:rPr>
        <w:t xml:space="preserve"> </w:t>
      </w:r>
      <w:r>
        <w:t>el</w:t>
      </w:r>
      <w:r>
        <w:rPr>
          <w:spacing w:val="-4"/>
        </w:rPr>
        <w:t xml:space="preserve"> </w:t>
      </w:r>
      <w:r>
        <w:t>plebiscito</w:t>
      </w:r>
      <w:r>
        <w:rPr>
          <w:spacing w:val="-4"/>
        </w:rPr>
        <w:t xml:space="preserve"> </w:t>
      </w:r>
      <w:r>
        <w:t>del</w:t>
      </w:r>
      <w:r>
        <w:rPr>
          <w:spacing w:val="-3"/>
        </w:rPr>
        <w:t xml:space="preserve"> </w:t>
      </w:r>
      <w:r>
        <w:t>Acuerdo</w:t>
      </w:r>
      <w:r>
        <w:rPr>
          <w:spacing w:val="-4"/>
        </w:rPr>
        <w:t xml:space="preserve"> </w:t>
      </w:r>
      <w:r>
        <w:t>de</w:t>
      </w:r>
      <w:r>
        <w:rPr>
          <w:spacing w:val="-3"/>
        </w:rPr>
        <w:t xml:space="preserve"> </w:t>
      </w:r>
      <w:r>
        <w:t>Paz</w:t>
      </w:r>
      <w:r>
        <w:rPr>
          <w:spacing w:val="-3"/>
        </w:rPr>
        <w:t xml:space="preserve"> </w:t>
      </w:r>
      <w:r>
        <w:t>firmado</w:t>
      </w:r>
      <w:r>
        <w:rPr>
          <w:spacing w:val="-4"/>
        </w:rPr>
        <w:t xml:space="preserve"> </w:t>
      </w:r>
      <w:r>
        <w:t>en el</w:t>
      </w:r>
      <w:r>
        <w:rPr>
          <w:spacing w:val="-7"/>
        </w:rPr>
        <w:t xml:space="preserve"> </w:t>
      </w:r>
      <w:r>
        <w:t>2016</w:t>
      </w:r>
      <w:r>
        <w:rPr>
          <w:spacing w:val="-7"/>
        </w:rPr>
        <w:t xml:space="preserve"> </w:t>
      </w:r>
      <w:r>
        <w:t>por</w:t>
      </w:r>
      <w:r>
        <w:rPr>
          <w:spacing w:val="-7"/>
        </w:rPr>
        <w:t xml:space="preserve"> </w:t>
      </w:r>
      <w:r>
        <w:t>el</w:t>
      </w:r>
      <w:r>
        <w:rPr>
          <w:spacing w:val="-7"/>
        </w:rPr>
        <w:t xml:space="preserve"> </w:t>
      </w:r>
      <w:r>
        <w:t>Estado</w:t>
      </w:r>
      <w:r>
        <w:rPr>
          <w:spacing w:val="-7"/>
        </w:rPr>
        <w:t xml:space="preserve"> </w:t>
      </w:r>
      <w:r>
        <w:t>colombiano</w:t>
      </w:r>
      <w:r>
        <w:rPr>
          <w:spacing w:val="-7"/>
        </w:rPr>
        <w:t xml:space="preserve"> </w:t>
      </w:r>
      <w:r>
        <w:t>y</w:t>
      </w:r>
      <w:r>
        <w:rPr>
          <w:spacing w:val="-7"/>
        </w:rPr>
        <w:t xml:space="preserve"> </w:t>
      </w:r>
      <w:r>
        <w:t>las</w:t>
      </w:r>
      <w:r>
        <w:rPr>
          <w:spacing w:val="-7"/>
        </w:rPr>
        <w:t xml:space="preserve"> </w:t>
      </w:r>
      <w:r>
        <w:t>FARC-EP.</w:t>
      </w:r>
      <w:r>
        <w:rPr>
          <w:spacing w:val="-7"/>
        </w:rPr>
        <w:t xml:space="preserve"> </w:t>
      </w:r>
      <w:r>
        <w:t>Algo</w:t>
      </w:r>
      <w:r>
        <w:rPr>
          <w:spacing w:val="-7"/>
        </w:rPr>
        <w:t xml:space="preserve"> </w:t>
      </w:r>
      <w:r>
        <w:t>que</w:t>
      </w:r>
      <w:r>
        <w:rPr>
          <w:spacing w:val="-6"/>
        </w:rPr>
        <w:t xml:space="preserve"> </w:t>
      </w:r>
      <w:r>
        <w:t>dependió</w:t>
      </w:r>
      <w:r>
        <w:rPr>
          <w:spacing w:val="-7"/>
        </w:rPr>
        <w:t xml:space="preserve"> </w:t>
      </w:r>
      <w:r>
        <w:t>justamente</w:t>
      </w:r>
      <w:r>
        <w:rPr>
          <w:spacing w:val="-7"/>
        </w:rPr>
        <w:t xml:space="preserve"> </w:t>
      </w:r>
      <w:r>
        <w:t>de</w:t>
      </w:r>
      <w:r>
        <w:rPr>
          <w:spacing w:val="-7"/>
        </w:rPr>
        <w:t xml:space="preserve"> </w:t>
      </w:r>
      <w:r>
        <w:t>asuntos culturales</w:t>
      </w:r>
      <w:r>
        <w:rPr>
          <w:spacing w:val="-15"/>
        </w:rPr>
        <w:t xml:space="preserve"> </w:t>
      </w:r>
      <w:r>
        <w:t>que</w:t>
      </w:r>
      <w:r>
        <w:rPr>
          <w:spacing w:val="-15"/>
        </w:rPr>
        <w:t xml:space="preserve"> </w:t>
      </w:r>
      <w:r>
        <w:t>determinaron</w:t>
      </w:r>
      <w:r>
        <w:rPr>
          <w:spacing w:val="-15"/>
        </w:rPr>
        <w:t xml:space="preserve"> </w:t>
      </w:r>
      <w:r>
        <w:t>la</w:t>
      </w:r>
      <w:r>
        <w:rPr>
          <w:spacing w:val="-15"/>
        </w:rPr>
        <w:t xml:space="preserve"> </w:t>
      </w:r>
      <w:r>
        <w:t>elección</w:t>
      </w:r>
      <w:r>
        <w:rPr>
          <w:spacing w:val="-15"/>
        </w:rPr>
        <w:t xml:space="preserve"> </w:t>
      </w:r>
      <w:r>
        <w:t>de</w:t>
      </w:r>
      <w:r>
        <w:rPr>
          <w:spacing w:val="-15"/>
        </w:rPr>
        <w:t xml:space="preserve"> </w:t>
      </w:r>
      <w:r>
        <w:t>apuestas</w:t>
      </w:r>
      <w:r>
        <w:rPr>
          <w:spacing w:val="-15"/>
        </w:rPr>
        <w:t xml:space="preserve"> </w:t>
      </w:r>
      <w:r>
        <w:t>políticas</w:t>
      </w:r>
      <w:r>
        <w:rPr>
          <w:spacing w:val="-15"/>
        </w:rPr>
        <w:t xml:space="preserve"> </w:t>
      </w:r>
      <w:r>
        <w:t>que</w:t>
      </w:r>
      <w:r>
        <w:rPr>
          <w:spacing w:val="-15"/>
        </w:rPr>
        <w:t xml:space="preserve"> </w:t>
      </w:r>
      <w:r>
        <w:t>promovían</w:t>
      </w:r>
      <w:r>
        <w:rPr>
          <w:spacing w:val="-15"/>
        </w:rPr>
        <w:t xml:space="preserve"> </w:t>
      </w:r>
      <w:r>
        <w:t>la</w:t>
      </w:r>
      <w:r>
        <w:rPr>
          <w:spacing w:val="-15"/>
        </w:rPr>
        <w:t xml:space="preserve"> </w:t>
      </w:r>
      <w:r>
        <w:t>no</w:t>
      </w:r>
      <w:r>
        <w:rPr>
          <w:spacing w:val="-15"/>
        </w:rPr>
        <w:t xml:space="preserve"> </w:t>
      </w:r>
      <w:r>
        <w:t xml:space="preserve">transacción con el «adversario» o su abierta </w:t>
      </w:r>
      <w:r>
        <w:lastRenderedPageBreak/>
        <w:t>eliminación.</w:t>
      </w:r>
    </w:p>
    <w:p w:rsidR="003804AC" w:rsidRDefault="00AF18A5" w:rsidP="00F60E13">
      <w:r>
        <w:t xml:space="preserve">También algunos investigadores nos han ayudado a entender la complejidad de este </w:t>
      </w:r>
      <w:r>
        <w:rPr>
          <w:spacing w:val="-2"/>
        </w:rPr>
        <w:t>asunto.</w:t>
      </w:r>
      <w:r>
        <w:rPr>
          <w:spacing w:val="-10"/>
        </w:rPr>
        <w:t xml:space="preserve"> </w:t>
      </w:r>
      <w:r>
        <w:rPr>
          <w:spacing w:val="-2"/>
        </w:rPr>
        <w:t>El</w:t>
      </w:r>
      <w:r>
        <w:rPr>
          <w:spacing w:val="-5"/>
        </w:rPr>
        <w:t xml:space="preserve"> </w:t>
      </w:r>
      <w:r>
        <w:rPr>
          <w:spacing w:val="-2"/>
        </w:rPr>
        <w:t>politólogo</w:t>
      </w:r>
      <w:r>
        <w:rPr>
          <w:spacing w:val="-9"/>
        </w:rPr>
        <w:t xml:space="preserve"> </w:t>
      </w:r>
      <w:r>
        <w:rPr>
          <w:spacing w:val="-2"/>
        </w:rPr>
        <w:t>Iván</w:t>
      </w:r>
      <w:r>
        <w:rPr>
          <w:spacing w:val="-7"/>
        </w:rPr>
        <w:t xml:space="preserve"> </w:t>
      </w:r>
      <w:r>
        <w:rPr>
          <w:spacing w:val="-2"/>
        </w:rPr>
        <w:t>Orozco,</w:t>
      </w:r>
      <w:r>
        <w:rPr>
          <w:spacing w:val="-8"/>
        </w:rPr>
        <w:t xml:space="preserve"> </w:t>
      </w:r>
      <w:r>
        <w:rPr>
          <w:spacing w:val="-2"/>
        </w:rPr>
        <w:t>le</w:t>
      </w:r>
      <w:r>
        <w:rPr>
          <w:spacing w:val="-9"/>
        </w:rPr>
        <w:t xml:space="preserve"> </w:t>
      </w:r>
      <w:r>
        <w:rPr>
          <w:spacing w:val="-2"/>
        </w:rPr>
        <w:t>dijo</w:t>
      </w:r>
      <w:r>
        <w:rPr>
          <w:spacing w:val="-9"/>
        </w:rPr>
        <w:t xml:space="preserve"> </w:t>
      </w:r>
      <w:r>
        <w:rPr>
          <w:spacing w:val="-2"/>
        </w:rPr>
        <w:t>a</w:t>
      </w:r>
      <w:r>
        <w:rPr>
          <w:spacing w:val="-8"/>
        </w:rPr>
        <w:t xml:space="preserve"> </w:t>
      </w:r>
      <w:r>
        <w:rPr>
          <w:spacing w:val="-2"/>
        </w:rPr>
        <w:t>la</w:t>
      </w:r>
      <w:r>
        <w:rPr>
          <w:spacing w:val="-7"/>
        </w:rPr>
        <w:t xml:space="preserve"> </w:t>
      </w:r>
      <w:r>
        <w:rPr>
          <w:spacing w:val="-2"/>
        </w:rPr>
        <w:t>Comisión</w:t>
      </w:r>
      <w:r>
        <w:rPr>
          <w:spacing w:val="-8"/>
        </w:rPr>
        <w:t xml:space="preserve"> </w:t>
      </w:r>
      <w:r>
        <w:rPr>
          <w:spacing w:val="-2"/>
        </w:rPr>
        <w:t>de</w:t>
      </w:r>
      <w:r>
        <w:rPr>
          <w:spacing w:val="-8"/>
        </w:rPr>
        <w:t xml:space="preserve"> </w:t>
      </w:r>
      <w:r>
        <w:rPr>
          <w:spacing w:val="-2"/>
        </w:rPr>
        <w:t>la</w:t>
      </w:r>
      <w:r>
        <w:rPr>
          <w:spacing w:val="-10"/>
        </w:rPr>
        <w:t xml:space="preserve"> </w:t>
      </w:r>
      <w:r>
        <w:rPr>
          <w:spacing w:val="-2"/>
        </w:rPr>
        <w:t>Verdad</w:t>
      </w:r>
      <w:r>
        <w:rPr>
          <w:spacing w:val="-7"/>
        </w:rPr>
        <w:t xml:space="preserve"> </w:t>
      </w:r>
      <w:r>
        <w:rPr>
          <w:spacing w:val="-2"/>
        </w:rPr>
        <w:t>que</w:t>
      </w:r>
      <w:r>
        <w:rPr>
          <w:spacing w:val="-9"/>
        </w:rPr>
        <w:t xml:space="preserve"> </w:t>
      </w:r>
      <w:r>
        <w:rPr>
          <w:spacing w:val="-2"/>
        </w:rPr>
        <w:t>«existe</w:t>
      </w:r>
      <w:r>
        <w:rPr>
          <w:spacing w:val="-7"/>
        </w:rPr>
        <w:t xml:space="preserve"> </w:t>
      </w:r>
      <w:r>
        <w:rPr>
          <w:spacing w:val="-2"/>
        </w:rPr>
        <w:t>un</w:t>
      </w:r>
      <w:r>
        <w:rPr>
          <w:spacing w:val="-8"/>
        </w:rPr>
        <w:t xml:space="preserve"> </w:t>
      </w:r>
      <w:r>
        <w:rPr>
          <w:spacing w:val="-2"/>
        </w:rPr>
        <w:t>trasfondo</w:t>
      </w:r>
      <w:bookmarkStart w:id="1343" w:name="_bookmark1194"/>
      <w:bookmarkEnd w:id="1343"/>
      <w:r w:rsidR="00F60E13">
        <w:t xml:space="preserve"> </w:t>
      </w:r>
      <w:r>
        <w:t>en</w:t>
      </w:r>
      <w:r>
        <w:rPr>
          <w:spacing w:val="-4"/>
        </w:rPr>
        <w:t xml:space="preserve"> </w:t>
      </w:r>
      <w:r>
        <w:t>la</w:t>
      </w:r>
      <w:r>
        <w:rPr>
          <w:spacing w:val="-5"/>
        </w:rPr>
        <w:t xml:space="preserve"> </w:t>
      </w:r>
      <w:r>
        <w:t>persistencia</w:t>
      </w:r>
      <w:r>
        <w:rPr>
          <w:spacing w:val="-5"/>
        </w:rPr>
        <w:t xml:space="preserve"> </w:t>
      </w:r>
      <w:r>
        <w:t>del</w:t>
      </w:r>
      <w:r>
        <w:rPr>
          <w:spacing w:val="-5"/>
        </w:rPr>
        <w:t xml:space="preserve"> </w:t>
      </w:r>
      <w:r>
        <w:t>conflicto</w:t>
      </w:r>
      <w:r>
        <w:rPr>
          <w:spacing w:val="-6"/>
        </w:rPr>
        <w:t xml:space="preserve"> </w:t>
      </w:r>
      <w:r>
        <w:t>armado</w:t>
      </w:r>
      <w:r>
        <w:rPr>
          <w:spacing w:val="-4"/>
        </w:rPr>
        <w:t xml:space="preserve"> </w:t>
      </w:r>
      <w:r>
        <w:t>relacionado</w:t>
      </w:r>
      <w:r>
        <w:rPr>
          <w:spacing w:val="-4"/>
        </w:rPr>
        <w:t xml:space="preserve"> </w:t>
      </w:r>
      <w:r>
        <w:t>con</w:t>
      </w:r>
      <w:r>
        <w:rPr>
          <w:spacing w:val="-4"/>
        </w:rPr>
        <w:t xml:space="preserve"> </w:t>
      </w:r>
      <w:r>
        <w:t>condiciones</w:t>
      </w:r>
      <w:r>
        <w:rPr>
          <w:spacing w:val="-4"/>
        </w:rPr>
        <w:t xml:space="preserve"> </w:t>
      </w:r>
      <w:r>
        <w:t>culturales</w:t>
      </w:r>
      <w:r>
        <w:rPr>
          <w:spacing w:val="-5"/>
        </w:rPr>
        <w:t xml:space="preserve"> </w:t>
      </w:r>
      <w:r>
        <w:t>que</w:t>
      </w:r>
      <w:r>
        <w:rPr>
          <w:spacing w:val="-5"/>
        </w:rPr>
        <w:t xml:space="preserve"> </w:t>
      </w:r>
      <w:r>
        <w:t>justifican o promueven hechos de violencia contra determinadas poblaciones o territorios. Y también en la manera violenta como se materializan en el país las relaciones políticas, sociales e incluso</w:t>
      </w:r>
      <w:r>
        <w:rPr>
          <w:spacing w:val="-1"/>
        </w:rPr>
        <w:t xml:space="preserve"> </w:t>
      </w:r>
      <w:r>
        <w:t>económicas, tanto en lo cotidiano como</w:t>
      </w:r>
      <w:r>
        <w:rPr>
          <w:spacing w:val="-1"/>
        </w:rPr>
        <w:t xml:space="preserve"> </w:t>
      </w:r>
      <w:r>
        <w:t>en lo estructural»</w:t>
      </w:r>
      <w:r w:rsidR="00F60E13">
        <w:rPr>
          <w:rStyle w:val="Refdenotaalpie"/>
        </w:rPr>
        <w:footnoteReference w:id="1090"/>
      </w:r>
      <w:r>
        <w:t>. Ahora si pensamos la cultura</w:t>
      </w:r>
      <w:r>
        <w:rPr>
          <w:spacing w:val="-1"/>
        </w:rPr>
        <w:t xml:space="preserve"> </w:t>
      </w:r>
      <w:r>
        <w:t>en</w:t>
      </w:r>
      <w:r>
        <w:rPr>
          <w:spacing w:val="-2"/>
        </w:rPr>
        <w:t xml:space="preserve"> </w:t>
      </w:r>
      <w:r>
        <w:t>términos</w:t>
      </w:r>
      <w:r>
        <w:rPr>
          <w:spacing w:val="-2"/>
        </w:rPr>
        <w:t xml:space="preserve"> </w:t>
      </w:r>
      <w:r>
        <w:t>de</w:t>
      </w:r>
      <w:r>
        <w:rPr>
          <w:spacing w:val="-1"/>
        </w:rPr>
        <w:t xml:space="preserve"> </w:t>
      </w:r>
      <w:r>
        <w:t>las</w:t>
      </w:r>
      <w:r>
        <w:rPr>
          <w:spacing w:val="-1"/>
        </w:rPr>
        <w:t xml:space="preserve"> </w:t>
      </w:r>
      <w:r>
        <w:t>transformaciones</w:t>
      </w:r>
      <w:r>
        <w:rPr>
          <w:spacing w:val="-1"/>
        </w:rPr>
        <w:t xml:space="preserve"> </w:t>
      </w:r>
      <w:r>
        <w:t>que</w:t>
      </w:r>
      <w:r>
        <w:rPr>
          <w:spacing w:val="-2"/>
        </w:rPr>
        <w:t xml:space="preserve"> </w:t>
      </w:r>
      <w:r>
        <w:t>son</w:t>
      </w:r>
      <w:r>
        <w:rPr>
          <w:spacing w:val="-1"/>
        </w:rPr>
        <w:t xml:space="preserve"> </w:t>
      </w:r>
      <w:r>
        <w:t>necesarias</w:t>
      </w:r>
      <w:r>
        <w:rPr>
          <w:spacing w:val="-1"/>
        </w:rPr>
        <w:t xml:space="preserve"> </w:t>
      </w:r>
      <w:r>
        <w:t>para</w:t>
      </w:r>
      <w:r>
        <w:rPr>
          <w:spacing w:val="-2"/>
        </w:rPr>
        <w:t xml:space="preserve"> </w:t>
      </w:r>
      <w:r>
        <w:t>alcanzar</w:t>
      </w:r>
      <w:r>
        <w:rPr>
          <w:spacing w:val="-1"/>
        </w:rPr>
        <w:t xml:space="preserve"> </w:t>
      </w:r>
      <w:r>
        <w:t>la</w:t>
      </w:r>
      <w:r>
        <w:rPr>
          <w:spacing w:val="-1"/>
        </w:rPr>
        <w:t xml:space="preserve"> </w:t>
      </w:r>
      <w:r>
        <w:t>paz,</w:t>
      </w:r>
      <w:r>
        <w:rPr>
          <w:spacing w:val="-1"/>
        </w:rPr>
        <w:t xml:space="preserve"> </w:t>
      </w:r>
      <w:r>
        <w:t>Orozco agrega</w:t>
      </w:r>
      <w:r>
        <w:rPr>
          <w:spacing w:val="-5"/>
        </w:rPr>
        <w:t xml:space="preserve"> </w:t>
      </w:r>
      <w:r>
        <w:t>que</w:t>
      </w:r>
      <w:r>
        <w:rPr>
          <w:spacing w:val="-3"/>
        </w:rPr>
        <w:t xml:space="preserve"> </w:t>
      </w:r>
      <w:r>
        <w:t>no</w:t>
      </w:r>
      <w:r>
        <w:rPr>
          <w:spacing w:val="-4"/>
        </w:rPr>
        <w:t xml:space="preserve"> </w:t>
      </w:r>
      <w:r>
        <w:t>se</w:t>
      </w:r>
      <w:r>
        <w:rPr>
          <w:spacing w:val="-5"/>
        </w:rPr>
        <w:t xml:space="preserve"> </w:t>
      </w:r>
      <w:r>
        <w:t>trata</w:t>
      </w:r>
      <w:r>
        <w:rPr>
          <w:spacing w:val="-5"/>
        </w:rPr>
        <w:t xml:space="preserve"> </w:t>
      </w:r>
      <w:r>
        <w:t>de</w:t>
      </w:r>
      <w:r>
        <w:rPr>
          <w:spacing w:val="-5"/>
        </w:rPr>
        <w:t xml:space="preserve"> </w:t>
      </w:r>
      <w:r>
        <w:t>«separar</w:t>
      </w:r>
      <w:r>
        <w:rPr>
          <w:spacing w:val="-4"/>
        </w:rPr>
        <w:t xml:space="preserve"> </w:t>
      </w:r>
      <w:r>
        <w:t>la</w:t>
      </w:r>
      <w:r>
        <w:rPr>
          <w:spacing w:val="-5"/>
        </w:rPr>
        <w:t xml:space="preserve"> </w:t>
      </w:r>
      <w:r>
        <w:t>moral</w:t>
      </w:r>
      <w:r>
        <w:rPr>
          <w:spacing w:val="-3"/>
        </w:rPr>
        <w:t xml:space="preserve"> </w:t>
      </w:r>
      <w:r>
        <w:t>y</w:t>
      </w:r>
      <w:r>
        <w:rPr>
          <w:spacing w:val="-5"/>
        </w:rPr>
        <w:t xml:space="preserve"> </w:t>
      </w:r>
      <w:r>
        <w:t>la</w:t>
      </w:r>
      <w:r>
        <w:rPr>
          <w:spacing w:val="-5"/>
        </w:rPr>
        <w:t xml:space="preserve"> </w:t>
      </w:r>
      <w:r>
        <w:t>política,</w:t>
      </w:r>
      <w:r>
        <w:rPr>
          <w:spacing w:val="-5"/>
        </w:rPr>
        <w:t xml:space="preserve"> </w:t>
      </w:r>
      <w:r>
        <w:t>sino</w:t>
      </w:r>
      <w:r>
        <w:rPr>
          <w:spacing w:val="-6"/>
        </w:rPr>
        <w:t xml:space="preserve"> </w:t>
      </w:r>
      <w:r>
        <w:t>de</w:t>
      </w:r>
      <w:r>
        <w:rPr>
          <w:spacing w:val="-3"/>
        </w:rPr>
        <w:t xml:space="preserve"> </w:t>
      </w:r>
      <w:r>
        <w:t>poner</w:t>
      </w:r>
      <w:r>
        <w:rPr>
          <w:spacing w:val="-4"/>
        </w:rPr>
        <w:t xml:space="preserve"> </w:t>
      </w:r>
      <w:r>
        <w:t>un</w:t>
      </w:r>
      <w:r>
        <w:rPr>
          <w:spacing w:val="-5"/>
        </w:rPr>
        <w:t xml:space="preserve"> </w:t>
      </w:r>
      <w:r>
        <w:t>énfasis</w:t>
      </w:r>
      <w:r>
        <w:rPr>
          <w:spacing w:val="-3"/>
        </w:rPr>
        <w:t xml:space="preserve"> </w:t>
      </w:r>
      <w:r>
        <w:t>en</w:t>
      </w:r>
      <w:r>
        <w:rPr>
          <w:spacing w:val="-5"/>
        </w:rPr>
        <w:t xml:space="preserve"> </w:t>
      </w:r>
      <w:r>
        <w:t>aquellas transformaciones morales que transforman a su vez la política»</w:t>
      </w:r>
      <w:r w:rsidR="00F60E13">
        <w:rPr>
          <w:rStyle w:val="Refdenotaalpie"/>
        </w:rPr>
        <w:footnoteReference w:id="1091"/>
      </w:r>
      <w:r>
        <w:t>. Por ello, para la Comisión, la dimensión cultural, la política y la ética están íntimamente unidas. Justamente allí hay una fractura profunda que debe atenderse.</w:t>
      </w:r>
    </w:p>
    <w:p w:rsidR="003804AC" w:rsidRDefault="00AF18A5" w:rsidP="00F60E13">
      <w:r>
        <w:t>Las</w:t>
      </w:r>
      <w:r>
        <w:rPr>
          <w:spacing w:val="-8"/>
        </w:rPr>
        <w:t xml:space="preserve"> </w:t>
      </w:r>
      <w:r>
        <w:t>sociedades</w:t>
      </w:r>
      <w:r>
        <w:rPr>
          <w:spacing w:val="-8"/>
        </w:rPr>
        <w:t xml:space="preserve"> </w:t>
      </w:r>
      <w:r>
        <w:t>que</w:t>
      </w:r>
      <w:r>
        <w:rPr>
          <w:spacing w:val="-8"/>
        </w:rPr>
        <w:t xml:space="preserve"> </w:t>
      </w:r>
      <w:r>
        <w:t>han</w:t>
      </w:r>
      <w:r>
        <w:rPr>
          <w:spacing w:val="-9"/>
        </w:rPr>
        <w:t xml:space="preserve"> </w:t>
      </w:r>
      <w:r>
        <w:t>sufrido</w:t>
      </w:r>
      <w:r>
        <w:rPr>
          <w:spacing w:val="-9"/>
        </w:rPr>
        <w:t xml:space="preserve"> </w:t>
      </w:r>
      <w:r>
        <w:t>conflictos</w:t>
      </w:r>
      <w:r>
        <w:rPr>
          <w:spacing w:val="-9"/>
        </w:rPr>
        <w:t xml:space="preserve"> </w:t>
      </w:r>
      <w:r>
        <w:t>armados</w:t>
      </w:r>
      <w:r>
        <w:rPr>
          <w:spacing w:val="-8"/>
        </w:rPr>
        <w:t xml:space="preserve"> </w:t>
      </w:r>
      <w:r>
        <w:t>de</w:t>
      </w:r>
      <w:r>
        <w:rPr>
          <w:spacing w:val="-9"/>
        </w:rPr>
        <w:t xml:space="preserve"> </w:t>
      </w:r>
      <w:r>
        <w:t>larga</w:t>
      </w:r>
      <w:r>
        <w:rPr>
          <w:spacing w:val="-9"/>
        </w:rPr>
        <w:t xml:space="preserve"> </w:t>
      </w:r>
      <w:r>
        <w:t>duración,</w:t>
      </w:r>
      <w:r>
        <w:rPr>
          <w:spacing w:val="-9"/>
        </w:rPr>
        <w:t xml:space="preserve"> </w:t>
      </w:r>
      <w:r>
        <w:t>hechos</w:t>
      </w:r>
      <w:r>
        <w:rPr>
          <w:spacing w:val="-8"/>
        </w:rPr>
        <w:t xml:space="preserve"> </w:t>
      </w:r>
      <w:r>
        <w:t>de</w:t>
      </w:r>
      <w:r>
        <w:rPr>
          <w:spacing w:val="-8"/>
        </w:rPr>
        <w:t xml:space="preserve"> </w:t>
      </w:r>
      <w:r>
        <w:t>violencia indiscriminada y graves violaciones sistemáticas a los derechos humanos o del DIH, sufren daños</w:t>
      </w:r>
      <w:r>
        <w:rPr>
          <w:spacing w:val="-15"/>
        </w:rPr>
        <w:t xml:space="preserve"> </w:t>
      </w:r>
      <w:r>
        <w:t>en</w:t>
      </w:r>
      <w:r>
        <w:rPr>
          <w:spacing w:val="-15"/>
        </w:rPr>
        <w:t xml:space="preserve"> </w:t>
      </w:r>
      <w:r>
        <w:t>la</w:t>
      </w:r>
      <w:r>
        <w:rPr>
          <w:spacing w:val="-15"/>
        </w:rPr>
        <w:t xml:space="preserve"> </w:t>
      </w:r>
      <w:r>
        <w:t>manera</w:t>
      </w:r>
      <w:r>
        <w:rPr>
          <w:spacing w:val="-15"/>
        </w:rPr>
        <w:t xml:space="preserve"> </w:t>
      </w:r>
      <w:r>
        <w:t>en</w:t>
      </w:r>
      <w:r>
        <w:rPr>
          <w:spacing w:val="-15"/>
        </w:rPr>
        <w:t xml:space="preserve"> </w:t>
      </w:r>
      <w:r>
        <w:t>que</w:t>
      </w:r>
      <w:r>
        <w:rPr>
          <w:spacing w:val="-15"/>
        </w:rPr>
        <w:t xml:space="preserve"> </w:t>
      </w:r>
      <w:r>
        <w:t>se</w:t>
      </w:r>
      <w:r>
        <w:rPr>
          <w:spacing w:val="-15"/>
        </w:rPr>
        <w:t xml:space="preserve"> </w:t>
      </w:r>
      <w:r>
        <w:t>establecen</w:t>
      </w:r>
      <w:r>
        <w:rPr>
          <w:spacing w:val="-15"/>
        </w:rPr>
        <w:t xml:space="preserve"> </w:t>
      </w:r>
      <w:r>
        <w:t>lazos</w:t>
      </w:r>
      <w:r>
        <w:rPr>
          <w:spacing w:val="-15"/>
        </w:rPr>
        <w:t xml:space="preserve"> </w:t>
      </w:r>
      <w:r>
        <w:t>sociales.</w:t>
      </w:r>
      <w:r>
        <w:rPr>
          <w:spacing w:val="-15"/>
        </w:rPr>
        <w:t xml:space="preserve"> </w:t>
      </w:r>
      <w:r>
        <w:t>Esto</w:t>
      </w:r>
      <w:r>
        <w:rPr>
          <w:spacing w:val="-15"/>
        </w:rPr>
        <w:t xml:space="preserve"> </w:t>
      </w:r>
      <w:r>
        <w:t>afecta</w:t>
      </w:r>
      <w:r>
        <w:rPr>
          <w:spacing w:val="-15"/>
        </w:rPr>
        <w:t xml:space="preserve"> </w:t>
      </w:r>
      <w:r>
        <w:t>su</w:t>
      </w:r>
      <w:r>
        <w:rPr>
          <w:spacing w:val="-15"/>
        </w:rPr>
        <w:t xml:space="preserve"> </w:t>
      </w:r>
      <w:r>
        <w:t>acción</w:t>
      </w:r>
      <w:r>
        <w:rPr>
          <w:spacing w:val="-15"/>
        </w:rPr>
        <w:t xml:space="preserve"> </w:t>
      </w:r>
      <w:r>
        <w:t>cotidiana,</w:t>
      </w:r>
      <w:r>
        <w:rPr>
          <w:spacing w:val="-15"/>
        </w:rPr>
        <w:t xml:space="preserve"> </w:t>
      </w:r>
      <w:r>
        <w:t>puesto que</w:t>
      </w:r>
      <w:r>
        <w:rPr>
          <w:spacing w:val="-7"/>
        </w:rPr>
        <w:t xml:space="preserve"> </w:t>
      </w:r>
      <w:r>
        <w:t>constituye</w:t>
      </w:r>
      <w:r>
        <w:rPr>
          <w:spacing w:val="-7"/>
        </w:rPr>
        <w:t xml:space="preserve"> </w:t>
      </w:r>
      <w:r>
        <w:t>mecanismos</w:t>
      </w:r>
      <w:r>
        <w:rPr>
          <w:spacing w:val="-7"/>
        </w:rPr>
        <w:t xml:space="preserve"> </w:t>
      </w:r>
      <w:r>
        <w:t>de</w:t>
      </w:r>
      <w:r>
        <w:rPr>
          <w:spacing w:val="-8"/>
        </w:rPr>
        <w:t xml:space="preserve"> </w:t>
      </w:r>
      <w:r>
        <w:t>adaptación</w:t>
      </w:r>
      <w:r>
        <w:rPr>
          <w:spacing w:val="-8"/>
        </w:rPr>
        <w:t xml:space="preserve"> </w:t>
      </w:r>
      <w:r>
        <w:t>y</w:t>
      </w:r>
      <w:r>
        <w:rPr>
          <w:spacing w:val="-7"/>
        </w:rPr>
        <w:t xml:space="preserve"> </w:t>
      </w:r>
      <w:r>
        <w:t>naturalización</w:t>
      </w:r>
      <w:r>
        <w:rPr>
          <w:spacing w:val="-8"/>
        </w:rPr>
        <w:t xml:space="preserve"> </w:t>
      </w:r>
      <w:r>
        <w:t>del</w:t>
      </w:r>
      <w:r>
        <w:rPr>
          <w:spacing w:val="-7"/>
        </w:rPr>
        <w:t xml:space="preserve"> </w:t>
      </w:r>
      <w:r>
        <w:t>conflicto</w:t>
      </w:r>
      <w:r>
        <w:rPr>
          <w:spacing w:val="-8"/>
        </w:rPr>
        <w:t xml:space="preserve"> </w:t>
      </w:r>
      <w:r>
        <w:t>que</w:t>
      </w:r>
      <w:r>
        <w:rPr>
          <w:spacing w:val="-7"/>
        </w:rPr>
        <w:t xml:space="preserve"> </w:t>
      </w:r>
      <w:r>
        <w:t>cimientan</w:t>
      </w:r>
      <w:r>
        <w:rPr>
          <w:spacing w:val="-7"/>
        </w:rPr>
        <w:t xml:space="preserve"> </w:t>
      </w:r>
      <w:r>
        <w:t>bases belicistas, dinámicas rígidas, posiciones sesgadas y reduccionistas que traen consigo la legitimación</w:t>
      </w:r>
      <w:r>
        <w:rPr>
          <w:spacing w:val="-12"/>
        </w:rPr>
        <w:t xml:space="preserve"> </w:t>
      </w:r>
      <w:r>
        <w:t>de</w:t>
      </w:r>
      <w:r>
        <w:rPr>
          <w:spacing w:val="-11"/>
        </w:rPr>
        <w:t xml:space="preserve"> </w:t>
      </w:r>
      <w:r>
        <w:t>la</w:t>
      </w:r>
      <w:r>
        <w:rPr>
          <w:spacing w:val="-10"/>
        </w:rPr>
        <w:t xml:space="preserve"> </w:t>
      </w:r>
      <w:r>
        <w:t>violencia</w:t>
      </w:r>
      <w:r>
        <w:rPr>
          <w:spacing w:val="-11"/>
        </w:rPr>
        <w:t xml:space="preserve"> </w:t>
      </w:r>
      <w:r>
        <w:t>y</w:t>
      </w:r>
      <w:r>
        <w:rPr>
          <w:spacing w:val="-11"/>
        </w:rPr>
        <w:t xml:space="preserve"> </w:t>
      </w:r>
      <w:r>
        <w:t>la</w:t>
      </w:r>
      <w:r>
        <w:rPr>
          <w:spacing w:val="-10"/>
        </w:rPr>
        <w:t xml:space="preserve"> </w:t>
      </w:r>
      <w:r>
        <w:t>vía</w:t>
      </w:r>
      <w:r>
        <w:rPr>
          <w:spacing w:val="-11"/>
        </w:rPr>
        <w:t xml:space="preserve"> </w:t>
      </w:r>
      <w:r>
        <w:t>armada,</w:t>
      </w:r>
      <w:r>
        <w:rPr>
          <w:spacing w:val="-11"/>
        </w:rPr>
        <w:t xml:space="preserve"> </w:t>
      </w:r>
      <w:r>
        <w:t>y</w:t>
      </w:r>
      <w:r>
        <w:rPr>
          <w:spacing w:val="-10"/>
        </w:rPr>
        <w:t xml:space="preserve"> </w:t>
      </w:r>
      <w:r>
        <w:t>que</w:t>
      </w:r>
      <w:r>
        <w:rPr>
          <w:spacing w:val="-12"/>
        </w:rPr>
        <w:t xml:space="preserve"> </w:t>
      </w:r>
      <w:r>
        <w:t>establecen</w:t>
      </w:r>
      <w:r>
        <w:rPr>
          <w:spacing w:val="-11"/>
        </w:rPr>
        <w:t xml:space="preserve"> </w:t>
      </w:r>
      <w:r>
        <w:t>un</w:t>
      </w:r>
      <w:r>
        <w:rPr>
          <w:spacing w:val="-10"/>
        </w:rPr>
        <w:t xml:space="preserve"> </w:t>
      </w:r>
      <w:r>
        <w:t>«un</w:t>
      </w:r>
      <w:r>
        <w:rPr>
          <w:spacing w:val="-11"/>
        </w:rPr>
        <w:t xml:space="preserve"> </w:t>
      </w:r>
      <w:r>
        <w:t>conflicto</w:t>
      </w:r>
      <w:r>
        <w:rPr>
          <w:spacing w:val="-10"/>
        </w:rPr>
        <w:t xml:space="preserve"> </w:t>
      </w:r>
      <w:r>
        <w:rPr>
          <w:spacing w:val="-2"/>
          <w:w w:val="95"/>
        </w:rPr>
        <w:t>intratable»</w:t>
      </w:r>
      <w:r w:rsidR="00F60E13">
        <w:rPr>
          <w:rStyle w:val="Refdenotaalpie"/>
          <w:spacing w:val="-2"/>
          <w:w w:val="95"/>
        </w:rPr>
        <w:footnoteReference w:id="1092"/>
      </w:r>
      <w:r>
        <w:rPr>
          <w:spacing w:val="-2"/>
          <w:w w:val="95"/>
        </w:rPr>
        <w:t>.</w:t>
      </w:r>
    </w:p>
    <w:p w:rsidR="0011361F" w:rsidRDefault="00AF18A5" w:rsidP="00F60E13">
      <w:r>
        <w:t>Una</w:t>
      </w:r>
      <w:r>
        <w:rPr>
          <w:spacing w:val="-3"/>
        </w:rPr>
        <w:t xml:space="preserve"> </w:t>
      </w:r>
      <w:r>
        <w:t>muestra</w:t>
      </w:r>
      <w:r>
        <w:rPr>
          <w:spacing w:val="-3"/>
        </w:rPr>
        <w:t xml:space="preserve"> </w:t>
      </w:r>
      <w:r>
        <w:t>de</w:t>
      </w:r>
      <w:r>
        <w:rPr>
          <w:spacing w:val="-3"/>
        </w:rPr>
        <w:t xml:space="preserve"> </w:t>
      </w:r>
      <w:r>
        <w:t>ello</w:t>
      </w:r>
      <w:r>
        <w:rPr>
          <w:spacing w:val="-4"/>
        </w:rPr>
        <w:t xml:space="preserve"> </w:t>
      </w:r>
      <w:r>
        <w:t>ha</w:t>
      </w:r>
      <w:r>
        <w:rPr>
          <w:spacing w:val="-3"/>
        </w:rPr>
        <w:t xml:space="preserve"> </w:t>
      </w:r>
      <w:r>
        <w:t>sido</w:t>
      </w:r>
      <w:r>
        <w:rPr>
          <w:spacing w:val="-3"/>
        </w:rPr>
        <w:t xml:space="preserve"> </w:t>
      </w:r>
      <w:r>
        <w:t>la</w:t>
      </w:r>
      <w:r>
        <w:rPr>
          <w:spacing w:val="-3"/>
        </w:rPr>
        <w:t xml:space="preserve"> </w:t>
      </w:r>
      <w:r>
        <w:t>dificultad</w:t>
      </w:r>
      <w:r>
        <w:rPr>
          <w:spacing w:val="-3"/>
        </w:rPr>
        <w:t xml:space="preserve"> </w:t>
      </w:r>
      <w:r>
        <w:t>de</w:t>
      </w:r>
      <w:r>
        <w:rPr>
          <w:spacing w:val="-3"/>
        </w:rPr>
        <w:t xml:space="preserve"> </w:t>
      </w:r>
      <w:r>
        <w:t>reconocer</w:t>
      </w:r>
      <w:r>
        <w:rPr>
          <w:spacing w:val="-3"/>
        </w:rPr>
        <w:t xml:space="preserve"> </w:t>
      </w:r>
      <w:r>
        <w:t>el</w:t>
      </w:r>
      <w:r>
        <w:rPr>
          <w:spacing w:val="-3"/>
        </w:rPr>
        <w:t xml:space="preserve"> </w:t>
      </w:r>
      <w:r>
        <w:t>dolor</w:t>
      </w:r>
      <w:r>
        <w:rPr>
          <w:spacing w:val="-4"/>
        </w:rPr>
        <w:t xml:space="preserve"> </w:t>
      </w:r>
      <w:r>
        <w:t>de</w:t>
      </w:r>
      <w:r>
        <w:rPr>
          <w:spacing w:val="-3"/>
        </w:rPr>
        <w:t xml:space="preserve"> </w:t>
      </w:r>
      <w:r>
        <w:t>los</w:t>
      </w:r>
      <w:r>
        <w:rPr>
          <w:spacing w:val="-3"/>
        </w:rPr>
        <w:t xml:space="preserve"> </w:t>
      </w:r>
      <w:r>
        <w:t>otros</w:t>
      </w:r>
      <w:r>
        <w:rPr>
          <w:spacing w:val="-3"/>
        </w:rPr>
        <w:t xml:space="preserve"> </w:t>
      </w:r>
      <w:r>
        <w:t>y</w:t>
      </w:r>
      <w:r>
        <w:rPr>
          <w:spacing w:val="-3"/>
        </w:rPr>
        <w:t xml:space="preserve"> </w:t>
      </w:r>
      <w:r>
        <w:t>la</w:t>
      </w:r>
      <w:r>
        <w:rPr>
          <w:spacing w:val="-3"/>
        </w:rPr>
        <w:t xml:space="preserve"> </w:t>
      </w:r>
      <w:r>
        <w:t xml:space="preserve">necesidad de la paz para todos, que no ha sido una urgencia </w:t>
      </w:r>
      <w:r>
        <w:lastRenderedPageBreak/>
        <w:t>ni una prioridad nacional: «¿Por qué a medio</w:t>
      </w:r>
      <w:r>
        <w:rPr>
          <w:spacing w:val="-10"/>
        </w:rPr>
        <w:t xml:space="preserve"> </w:t>
      </w:r>
      <w:r>
        <w:t>país</w:t>
      </w:r>
      <w:r>
        <w:rPr>
          <w:spacing w:val="-9"/>
        </w:rPr>
        <w:t xml:space="preserve"> </w:t>
      </w:r>
      <w:r>
        <w:t>no</w:t>
      </w:r>
      <w:r>
        <w:rPr>
          <w:spacing w:val="-10"/>
        </w:rPr>
        <w:t xml:space="preserve"> </w:t>
      </w:r>
      <w:r>
        <w:t>lo</w:t>
      </w:r>
      <w:r>
        <w:rPr>
          <w:spacing w:val="-10"/>
        </w:rPr>
        <w:t xml:space="preserve"> </w:t>
      </w:r>
      <w:r>
        <w:t>movilizó</w:t>
      </w:r>
      <w:r>
        <w:rPr>
          <w:spacing w:val="-10"/>
        </w:rPr>
        <w:t xml:space="preserve"> </w:t>
      </w:r>
      <w:r>
        <w:t>el</w:t>
      </w:r>
      <w:r>
        <w:rPr>
          <w:spacing w:val="-9"/>
        </w:rPr>
        <w:t xml:space="preserve"> </w:t>
      </w:r>
      <w:r>
        <w:t>Acuerdo</w:t>
      </w:r>
      <w:r>
        <w:rPr>
          <w:spacing w:val="-11"/>
        </w:rPr>
        <w:t xml:space="preserve"> </w:t>
      </w:r>
      <w:r>
        <w:t>de</w:t>
      </w:r>
      <w:r>
        <w:rPr>
          <w:spacing w:val="-9"/>
        </w:rPr>
        <w:t xml:space="preserve"> </w:t>
      </w:r>
      <w:r>
        <w:t>Paz,</w:t>
      </w:r>
      <w:r>
        <w:rPr>
          <w:spacing w:val="-10"/>
        </w:rPr>
        <w:t xml:space="preserve"> </w:t>
      </w:r>
      <w:r>
        <w:t>y</w:t>
      </w:r>
      <w:r>
        <w:rPr>
          <w:spacing w:val="-10"/>
        </w:rPr>
        <w:t xml:space="preserve"> </w:t>
      </w:r>
      <w:r>
        <w:t>no</w:t>
      </w:r>
      <w:r>
        <w:rPr>
          <w:spacing w:val="-10"/>
        </w:rPr>
        <w:t xml:space="preserve"> </w:t>
      </w:r>
      <w:r>
        <w:t>lo</w:t>
      </w:r>
      <w:r>
        <w:rPr>
          <w:spacing w:val="-10"/>
        </w:rPr>
        <w:t xml:space="preserve"> </w:t>
      </w:r>
      <w:r>
        <w:t>movilizó</w:t>
      </w:r>
      <w:r>
        <w:rPr>
          <w:spacing w:val="-11"/>
        </w:rPr>
        <w:t xml:space="preserve"> </w:t>
      </w:r>
      <w:r>
        <w:t>el</w:t>
      </w:r>
      <w:r>
        <w:rPr>
          <w:spacing w:val="-9"/>
        </w:rPr>
        <w:t xml:space="preserve"> </w:t>
      </w:r>
      <w:r>
        <w:t>plebiscito?</w:t>
      </w:r>
      <w:r>
        <w:rPr>
          <w:spacing w:val="-9"/>
        </w:rPr>
        <w:t xml:space="preserve"> </w:t>
      </w:r>
      <w:r>
        <w:t>¿Por</w:t>
      </w:r>
      <w:r>
        <w:rPr>
          <w:spacing w:val="-9"/>
        </w:rPr>
        <w:t xml:space="preserve"> </w:t>
      </w:r>
      <w:r>
        <w:t>qué</w:t>
      </w:r>
      <w:r>
        <w:rPr>
          <w:spacing w:val="-9"/>
        </w:rPr>
        <w:t xml:space="preserve"> </w:t>
      </w:r>
      <w:r>
        <w:t>no</w:t>
      </w:r>
      <w:r>
        <w:rPr>
          <w:spacing w:val="-10"/>
        </w:rPr>
        <w:t xml:space="preserve"> </w:t>
      </w:r>
      <w:r>
        <w:t>hay apropiación colectiva de la paz como valor social? ¿Por qué el acomodo complaciente o silencioso</w:t>
      </w:r>
      <w:r>
        <w:rPr>
          <w:spacing w:val="-3"/>
        </w:rPr>
        <w:t xml:space="preserve"> </w:t>
      </w:r>
      <w:r>
        <w:t>de</w:t>
      </w:r>
      <w:r>
        <w:rPr>
          <w:spacing w:val="-2"/>
        </w:rPr>
        <w:t xml:space="preserve"> </w:t>
      </w:r>
      <w:r>
        <w:t>la</w:t>
      </w:r>
      <w:r>
        <w:rPr>
          <w:spacing w:val="-3"/>
        </w:rPr>
        <w:t xml:space="preserve"> </w:t>
      </w:r>
      <w:r>
        <w:t>sociedad</w:t>
      </w:r>
      <w:r>
        <w:rPr>
          <w:spacing w:val="-2"/>
        </w:rPr>
        <w:t xml:space="preserve"> </w:t>
      </w:r>
      <w:r>
        <w:t>con</w:t>
      </w:r>
      <w:r>
        <w:rPr>
          <w:spacing w:val="-2"/>
        </w:rPr>
        <w:t xml:space="preserve"> </w:t>
      </w:r>
      <w:r>
        <w:t>la</w:t>
      </w:r>
      <w:r>
        <w:rPr>
          <w:spacing w:val="-3"/>
        </w:rPr>
        <w:t xml:space="preserve"> </w:t>
      </w:r>
      <w:r>
        <w:t>guerra?</w:t>
      </w:r>
      <w:r>
        <w:rPr>
          <w:spacing w:val="-3"/>
        </w:rPr>
        <w:t xml:space="preserve"> </w:t>
      </w:r>
      <w:r>
        <w:t>¿Por</w:t>
      </w:r>
      <w:r>
        <w:rPr>
          <w:spacing w:val="-2"/>
        </w:rPr>
        <w:t xml:space="preserve"> </w:t>
      </w:r>
      <w:r>
        <w:t>qué</w:t>
      </w:r>
      <w:r>
        <w:rPr>
          <w:spacing w:val="-2"/>
        </w:rPr>
        <w:t xml:space="preserve"> </w:t>
      </w:r>
      <w:r>
        <w:t>el</w:t>
      </w:r>
      <w:r>
        <w:rPr>
          <w:spacing w:val="-2"/>
        </w:rPr>
        <w:t xml:space="preserve"> </w:t>
      </w:r>
      <w:r>
        <w:t>país</w:t>
      </w:r>
      <w:r>
        <w:rPr>
          <w:spacing w:val="-3"/>
        </w:rPr>
        <w:t xml:space="preserve"> </w:t>
      </w:r>
      <w:r>
        <w:t>no</w:t>
      </w:r>
      <w:r>
        <w:rPr>
          <w:spacing w:val="-4"/>
        </w:rPr>
        <w:t xml:space="preserve"> </w:t>
      </w:r>
      <w:r>
        <w:t>se</w:t>
      </w:r>
      <w:r>
        <w:rPr>
          <w:spacing w:val="-2"/>
        </w:rPr>
        <w:t xml:space="preserve"> </w:t>
      </w:r>
      <w:r>
        <w:t>moviliza</w:t>
      </w:r>
      <w:r>
        <w:rPr>
          <w:spacing w:val="-3"/>
        </w:rPr>
        <w:t xml:space="preserve"> </w:t>
      </w:r>
      <w:r>
        <w:t>frente</w:t>
      </w:r>
      <w:r>
        <w:rPr>
          <w:spacing w:val="-2"/>
        </w:rPr>
        <w:t xml:space="preserve"> </w:t>
      </w:r>
      <w:r>
        <w:t>a</w:t>
      </w:r>
      <w:r>
        <w:rPr>
          <w:spacing w:val="-3"/>
        </w:rPr>
        <w:t xml:space="preserve"> </w:t>
      </w:r>
      <w:r>
        <w:t>los</w:t>
      </w:r>
      <w:r>
        <w:rPr>
          <w:spacing w:val="-4"/>
        </w:rPr>
        <w:t xml:space="preserve"> </w:t>
      </w:r>
      <w:r>
        <w:t>agravios y los muertos de la paz? ¿Por qué la pasividad e indiferencia frente a la violencia? ¿Por qué se trivializa la muerte en este país? ¿Por qué la ecuación “conflicto social igual a conflicto armado” tiene raíces</w:t>
      </w:r>
      <w:r>
        <w:rPr>
          <w:spacing w:val="-2"/>
        </w:rPr>
        <w:t xml:space="preserve"> </w:t>
      </w:r>
      <w:r>
        <w:t>tan</w:t>
      </w:r>
      <w:r>
        <w:rPr>
          <w:spacing w:val="-2"/>
        </w:rPr>
        <w:t xml:space="preserve"> </w:t>
      </w:r>
      <w:r>
        <w:t>hondas y</w:t>
      </w:r>
      <w:r>
        <w:rPr>
          <w:spacing w:val="-1"/>
        </w:rPr>
        <w:t xml:space="preserve"> </w:t>
      </w:r>
      <w:r>
        <w:t>difíciles</w:t>
      </w:r>
      <w:r>
        <w:rPr>
          <w:spacing w:val="-2"/>
        </w:rPr>
        <w:t xml:space="preserve"> </w:t>
      </w:r>
      <w:r>
        <w:t>de erradicar?»</w:t>
      </w:r>
      <w:r w:rsidR="00F60E13">
        <w:rPr>
          <w:rStyle w:val="Refdenotaalpie"/>
        </w:rPr>
        <w:footnoteReference w:id="1093"/>
      </w:r>
      <w:r>
        <w:t>.</w:t>
      </w:r>
      <w:r>
        <w:rPr>
          <w:spacing w:val="-1"/>
        </w:rPr>
        <w:t xml:space="preserve"> </w:t>
      </w:r>
      <w:r>
        <w:t>Y</w:t>
      </w:r>
      <w:r>
        <w:rPr>
          <w:spacing w:val="-1"/>
        </w:rPr>
        <w:t xml:space="preserve"> </w:t>
      </w:r>
      <w:r>
        <w:t>podríamos añadir: ¿por</w:t>
      </w:r>
      <w:r>
        <w:rPr>
          <w:spacing w:val="-3"/>
        </w:rPr>
        <w:t xml:space="preserve"> </w:t>
      </w:r>
      <w:r>
        <w:t xml:space="preserve">qué el país no se moviliza ante los robos de tierras, los desplazamientos o las ejecuciones </w:t>
      </w:r>
      <w:r>
        <w:rPr>
          <w:spacing w:val="-2"/>
        </w:rPr>
        <w:t>extrajudiciales?</w:t>
      </w:r>
    </w:p>
    <w:p w:rsidR="003804AC" w:rsidRDefault="00AF18A5" w:rsidP="00F60E13">
      <w:bookmarkStart w:id="1344" w:name="_bookmark1195"/>
      <w:bookmarkStart w:id="1345" w:name="_bookmark1196"/>
      <w:bookmarkStart w:id="1346" w:name="_bookmark1197"/>
      <w:bookmarkStart w:id="1347" w:name="_bookmark1198"/>
      <w:bookmarkEnd w:id="1344"/>
      <w:bookmarkEnd w:id="1345"/>
      <w:bookmarkEnd w:id="1346"/>
      <w:bookmarkEnd w:id="1347"/>
      <w:r>
        <w:t>El trabajo de la Comisión de la Verdad llega a la</w:t>
      </w:r>
      <w:r>
        <w:rPr>
          <w:spacing w:val="-1"/>
        </w:rPr>
        <w:t xml:space="preserve"> </w:t>
      </w:r>
      <w:r>
        <w:t>constatación</w:t>
      </w:r>
      <w:r>
        <w:rPr>
          <w:spacing w:val="-1"/>
        </w:rPr>
        <w:t xml:space="preserve"> </w:t>
      </w:r>
      <w:r>
        <w:t>de esta «verdad instalada» y,</w:t>
      </w:r>
      <w:r>
        <w:rPr>
          <w:spacing w:val="-1"/>
        </w:rPr>
        <w:t xml:space="preserve"> </w:t>
      </w:r>
      <w:r>
        <w:t>por</w:t>
      </w:r>
      <w:r>
        <w:rPr>
          <w:spacing w:val="-1"/>
        </w:rPr>
        <w:t xml:space="preserve"> </w:t>
      </w:r>
      <w:r>
        <w:t>lo</w:t>
      </w:r>
      <w:r>
        <w:rPr>
          <w:spacing w:val="-1"/>
        </w:rPr>
        <w:t xml:space="preserve"> </w:t>
      </w:r>
      <w:r>
        <w:t>tanto,</w:t>
      </w:r>
      <w:r>
        <w:rPr>
          <w:spacing w:val="-1"/>
        </w:rPr>
        <w:t xml:space="preserve"> </w:t>
      </w:r>
      <w:r>
        <w:t>a</w:t>
      </w:r>
      <w:r>
        <w:rPr>
          <w:spacing w:val="-1"/>
        </w:rPr>
        <w:t xml:space="preserve"> </w:t>
      </w:r>
      <w:r>
        <w:t>promover</w:t>
      </w:r>
      <w:r>
        <w:rPr>
          <w:spacing w:val="-1"/>
        </w:rPr>
        <w:t xml:space="preserve"> </w:t>
      </w:r>
      <w:r>
        <w:t>la</w:t>
      </w:r>
      <w:r>
        <w:rPr>
          <w:spacing w:val="-1"/>
        </w:rPr>
        <w:t xml:space="preserve"> </w:t>
      </w:r>
      <w:r>
        <w:t>necesidad</w:t>
      </w:r>
      <w:r>
        <w:rPr>
          <w:spacing w:val="-1"/>
        </w:rPr>
        <w:t xml:space="preserve"> </w:t>
      </w:r>
      <w:r>
        <w:t>de</w:t>
      </w:r>
      <w:r>
        <w:rPr>
          <w:spacing w:val="-1"/>
        </w:rPr>
        <w:t xml:space="preserve"> </w:t>
      </w:r>
      <w:r>
        <w:t>cambiarla</w:t>
      </w:r>
      <w:r>
        <w:rPr>
          <w:spacing w:val="-1"/>
        </w:rPr>
        <w:t xml:space="preserve"> </w:t>
      </w:r>
      <w:r>
        <w:t>para</w:t>
      </w:r>
      <w:r>
        <w:rPr>
          <w:spacing w:val="-1"/>
        </w:rPr>
        <w:t xml:space="preserve"> </w:t>
      </w:r>
      <w:r>
        <w:t>que</w:t>
      </w:r>
      <w:r>
        <w:rPr>
          <w:spacing w:val="-1"/>
        </w:rPr>
        <w:t xml:space="preserve"> </w:t>
      </w:r>
      <w:r>
        <w:t>la</w:t>
      </w:r>
      <w:r>
        <w:rPr>
          <w:spacing w:val="-1"/>
        </w:rPr>
        <w:t xml:space="preserve"> </w:t>
      </w:r>
      <w:r>
        <w:t>guerra</w:t>
      </w:r>
      <w:r>
        <w:rPr>
          <w:spacing w:val="-1"/>
        </w:rPr>
        <w:t xml:space="preserve"> </w:t>
      </w:r>
      <w:r>
        <w:t>no</w:t>
      </w:r>
      <w:r>
        <w:rPr>
          <w:spacing w:val="-1"/>
        </w:rPr>
        <w:t xml:space="preserve"> </w:t>
      </w:r>
      <w:r>
        <w:t>sea</w:t>
      </w:r>
      <w:r>
        <w:rPr>
          <w:spacing w:val="-1"/>
        </w:rPr>
        <w:t xml:space="preserve"> </w:t>
      </w:r>
      <w:r>
        <w:t>una</w:t>
      </w:r>
      <w:r>
        <w:rPr>
          <w:spacing w:val="-1"/>
        </w:rPr>
        <w:t xml:space="preserve"> </w:t>
      </w:r>
      <w:r>
        <w:t>condena para Colombia. El logro de la paz requiere de una reflexión sobre la cultura. De esa manera se podrá potenciar lo que nos hace mejores personas y comunidades, mejores ciudadanos y familias; y estimular los cambios de paradigmas, creencias, valores e imaginarios que nos impiden vivir en comunidad de manera armónica.</w:t>
      </w:r>
    </w:p>
    <w:p w:rsidR="0011361F" w:rsidRDefault="00AF18A5" w:rsidP="004A6EF4">
      <w:pPr>
        <w:pStyle w:val="Ttulo3"/>
        <w:numPr>
          <w:ilvl w:val="1"/>
          <w:numId w:val="16"/>
        </w:numPr>
      </w:pPr>
      <w:bookmarkStart w:id="1348" w:name="10.1._Los_antecedentes:_las_categorías_c"/>
      <w:bookmarkStart w:id="1349" w:name="_Toc112399652"/>
      <w:bookmarkEnd w:id="1348"/>
      <w:r>
        <w:t>Los</w:t>
      </w:r>
      <w:r>
        <w:rPr>
          <w:spacing w:val="-4"/>
        </w:rPr>
        <w:t xml:space="preserve"> </w:t>
      </w:r>
      <w:r w:rsidRPr="00113B31">
        <w:t>antecedentes</w:t>
      </w:r>
      <w:r>
        <w:t>:</w:t>
      </w:r>
      <w:r>
        <w:rPr>
          <w:spacing w:val="-3"/>
        </w:rPr>
        <w:t xml:space="preserve"> </w:t>
      </w:r>
      <w:r>
        <w:t>las</w:t>
      </w:r>
      <w:r>
        <w:rPr>
          <w:spacing w:val="-2"/>
        </w:rPr>
        <w:t xml:space="preserve"> </w:t>
      </w:r>
      <w:r>
        <w:t>categorías</w:t>
      </w:r>
      <w:r>
        <w:rPr>
          <w:spacing w:val="-2"/>
        </w:rPr>
        <w:t xml:space="preserve"> </w:t>
      </w:r>
      <w:r>
        <w:t>coloniales</w:t>
      </w:r>
      <w:r>
        <w:rPr>
          <w:spacing w:val="-2"/>
        </w:rPr>
        <w:t xml:space="preserve"> </w:t>
      </w:r>
      <w:r>
        <w:t>y</w:t>
      </w:r>
      <w:r>
        <w:rPr>
          <w:spacing w:val="-2"/>
        </w:rPr>
        <w:t xml:space="preserve"> </w:t>
      </w:r>
      <w:r>
        <w:t>las</w:t>
      </w:r>
      <w:r>
        <w:rPr>
          <w:spacing w:val="-2"/>
        </w:rPr>
        <w:t xml:space="preserve"> </w:t>
      </w:r>
      <w:r>
        <w:t>violencias</w:t>
      </w:r>
      <w:r>
        <w:rPr>
          <w:spacing w:val="-2"/>
        </w:rPr>
        <w:t xml:space="preserve"> estructurales</w:t>
      </w:r>
      <w:bookmarkEnd w:id="1349"/>
    </w:p>
    <w:p w:rsidR="003804AC" w:rsidRDefault="00AF18A5" w:rsidP="00113B31">
      <w:r>
        <w:t>Los</w:t>
      </w:r>
      <w:r>
        <w:rPr>
          <w:spacing w:val="-1"/>
        </w:rPr>
        <w:t xml:space="preserve"> </w:t>
      </w:r>
      <w:r>
        <w:t>discursos</w:t>
      </w:r>
      <w:r>
        <w:rPr>
          <w:spacing w:val="-1"/>
        </w:rPr>
        <w:t xml:space="preserve"> </w:t>
      </w:r>
      <w:r>
        <w:t>políticos</w:t>
      </w:r>
      <w:r>
        <w:rPr>
          <w:spacing w:val="-1"/>
        </w:rPr>
        <w:t xml:space="preserve"> </w:t>
      </w:r>
      <w:r>
        <w:t>y</w:t>
      </w:r>
      <w:r>
        <w:rPr>
          <w:spacing w:val="-2"/>
        </w:rPr>
        <w:t xml:space="preserve"> </w:t>
      </w:r>
      <w:r>
        <w:t>morales,</w:t>
      </w:r>
      <w:r>
        <w:rPr>
          <w:spacing w:val="-1"/>
        </w:rPr>
        <w:t xml:space="preserve"> </w:t>
      </w:r>
      <w:r>
        <w:t>los</w:t>
      </w:r>
      <w:r>
        <w:rPr>
          <w:spacing w:val="-2"/>
        </w:rPr>
        <w:t xml:space="preserve"> </w:t>
      </w:r>
      <w:r>
        <w:t>valores,</w:t>
      </w:r>
      <w:r>
        <w:rPr>
          <w:spacing w:val="-2"/>
        </w:rPr>
        <w:t xml:space="preserve"> </w:t>
      </w:r>
      <w:r>
        <w:t>las</w:t>
      </w:r>
      <w:r>
        <w:rPr>
          <w:spacing w:val="-1"/>
        </w:rPr>
        <w:t xml:space="preserve"> </w:t>
      </w:r>
      <w:r>
        <w:t>ideas,</w:t>
      </w:r>
      <w:r>
        <w:rPr>
          <w:spacing w:val="-1"/>
        </w:rPr>
        <w:t xml:space="preserve"> </w:t>
      </w:r>
      <w:r>
        <w:t>los</w:t>
      </w:r>
      <w:r>
        <w:rPr>
          <w:spacing w:val="-1"/>
        </w:rPr>
        <w:t xml:space="preserve"> </w:t>
      </w:r>
      <w:r>
        <w:t>imaginarios</w:t>
      </w:r>
      <w:r>
        <w:rPr>
          <w:spacing w:val="-1"/>
        </w:rPr>
        <w:t xml:space="preserve"> </w:t>
      </w:r>
      <w:r>
        <w:t>y</w:t>
      </w:r>
      <w:r>
        <w:rPr>
          <w:spacing w:val="-1"/>
        </w:rPr>
        <w:t xml:space="preserve"> </w:t>
      </w:r>
      <w:r>
        <w:t>los</w:t>
      </w:r>
      <w:r>
        <w:rPr>
          <w:spacing w:val="-1"/>
        </w:rPr>
        <w:t xml:space="preserve"> </w:t>
      </w:r>
      <w:r>
        <w:t>prejuicios</w:t>
      </w:r>
      <w:r>
        <w:rPr>
          <w:spacing w:val="-2"/>
        </w:rPr>
        <w:t xml:space="preserve"> </w:t>
      </w:r>
      <w:r>
        <w:t>que alimentan la guerra se han incrustado en nuestra historia y en nuestra cultura, y han servido para justificar la violencia de unos y otros, o para presentarla como la única o la forma más viable</w:t>
      </w:r>
      <w:r>
        <w:rPr>
          <w:spacing w:val="-3"/>
        </w:rPr>
        <w:t xml:space="preserve"> </w:t>
      </w:r>
      <w:r>
        <w:t>para</w:t>
      </w:r>
      <w:r>
        <w:rPr>
          <w:spacing w:val="-3"/>
        </w:rPr>
        <w:t xml:space="preserve"> </w:t>
      </w:r>
      <w:r>
        <w:t>instalar</w:t>
      </w:r>
      <w:r>
        <w:rPr>
          <w:spacing w:val="-3"/>
        </w:rPr>
        <w:t xml:space="preserve"> </w:t>
      </w:r>
      <w:r>
        <w:t>proyectos</w:t>
      </w:r>
      <w:r>
        <w:rPr>
          <w:spacing w:val="-4"/>
        </w:rPr>
        <w:t xml:space="preserve"> </w:t>
      </w:r>
      <w:r>
        <w:t>de</w:t>
      </w:r>
      <w:r>
        <w:rPr>
          <w:spacing w:val="-3"/>
        </w:rPr>
        <w:t xml:space="preserve"> </w:t>
      </w:r>
      <w:r>
        <w:t>sociedad</w:t>
      </w:r>
      <w:r>
        <w:rPr>
          <w:spacing w:val="-4"/>
        </w:rPr>
        <w:t xml:space="preserve"> </w:t>
      </w:r>
      <w:r>
        <w:t>y</w:t>
      </w:r>
      <w:r>
        <w:rPr>
          <w:spacing w:val="-4"/>
        </w:rPr>
        <w:t xml:space="preserve"> </w:t>
      </w:r>
      <w:r>
        <w:t>de</w:t>
      </w:r>
      <w:r>
        <w:rPr>
          <w:spacing w:val="-3"/>
        </w:rPr>
        <w:t xml:space="preserve"> </w:t>
      </w:r>
      <w:r>
        <w:t>país.</w:t>
      </w:r>
      <w:r>
        <w:rPr>
          <w:spacing w:val="-4"/>
        </w:rPr>
        <w:t xml:space="preserve"> </w:t>
      </w:r>
      <w:r>
        <w:t>Muchos</w:t>
      </w:r>
      <w:r>
        <w:rPr>
          <w:spacing w:val="-5"/>
        </w:rPr>
        <w:t xml:space="preserve"> </w:t>
      </w:r>
      <w:r>
        <w:t>de</w:t>
      </w:r>
      <w:r>
        <w:rPr>
          <w:spacing w:val="-3"/>
        </w:rPr>
        <w:t xml:space="preserve"> </w:t>
      </w:r>
      <w:r>
        <w:t>estos</w:t>
      </w:r>
      <w:r>
        <w:rPr>
          <w:spacing w:val="-4"/>
        </w:rPr>
        <w:t xml:space="preserve"> </w:t>
      </w:r>
      <w:r>
        <w:t>se</w:t>
      </w:r>
      <w:r>
        <w:rPr>
          <w:spacing w:val="-4"/>
        </w:rPr>
        <w:t xml:space="preserve"> </w:t>
      </w:r>
      <w:r>
        <w:t>han</w:t>
      </w:r>
      <w:r>
        <w:rPr>
          <w:spacing w:val="-4"/>
        </w:rPr>
        <w:t xml:space="preserve"> </w:t>
      </w:r>
      <w:r>
        <w:lastRenderedPageBreak/>
        <w:t>impuesto</w:t>
      </w:r>
      <w:r>
        <w:rPr>
          <w:spacing w:val="-4"/>
        </w:rPr>
        <w:t xml:space="preserve"> </w:t>
      </w:r>
      <w:r>
        <w:t>desde la exclusión y el miedo, y no han resultado ser los mejores ni los más democráticos.</w:t>
      </w:r>
    </w:p>
    <w:p w:rsidR="003804AC" w:rsidRDefault="00AF18A5" w:rsidP="00113B31">
      <w:r>
        <w:t>Algunos</w:t>
      </w:r>
      <w:r>
        <w:rPr>
          <w:spacing w:val="-6"/>
        </w:rPr>
        <w:t xml:space="preserve"> </w:t>
      </w:r>
      <w:r>
        <w:t>de</w:t>
      </w:r>
      <w:r>
        <w:rPr>
          <w:spacing w:val="-6"/>
        </w:rPr>
        <w:t xml:space="preserve"> </w:t>
      </w:r>
      <w:r>
        <w:t>esos</w:t>
      </w:r>
      <w:r>
        <w:rPr>
          <w:spacing w:val="-6"/>
        </w:rPr>
        <w:t xml:space="preserve"> </w:t>
      </w:r>
      <w:r>
        <w:t>sesgos</w:t>
      </w:r>
      <w:r>
        <w:rPr>
          <w:spacing w:val="-6"/>
        </w:rPr>
        <w:t xml:space="preserve"> </w:t>
      </w:r>
      <w:r>
        <w:t>culturales</w:t>
      </w:r>
      <w:r>
        <w:rPr>
          <w:spacing w:val="-6"/>
        </w:rPr>
        <w:t xml:space="preserve"> </w:t>
      </w:r>
      <w:r>
        <w:t>vienen</w:t>
      </w:r>
      <w:r>
        <w:rPr>
          <w:spacing w:val="-6"/>
        </w:rPr>
        <w:t xml:space="preserve"> </w:t>
      </w:r>
      <w:r>
        <w:t>de</w:t>
      </w:r>
      <w:r>
        <w:rPr>
          <w:spacing w:val="-6"/>
        </w:rPr>
        <w:t xml:space="preserve"> </w:t>
      </w:r>
      <w:r>
        <w:t>lejos,</w:t>
      </w:r>
      <w:r>
        <w:rPr>
          <w:spacing w:val="-6"/>
        </w:rPr>
        <w:t xml:space="preserve"> </w:t>
      </w:r>
      <w:r>
        <w:t>como</w:t>
      </w:r>
      <w:r>
        <w:rPr>
          <w:spacing w:val="-6"/>
        </w:rPr>
        <w:t xml:space="preserve"> </w:t>
      </w:r>
      <w:r>
        <w:t>nos</w:t>
      </w:r>
      <w:r>
        <w:rPr>
          <w:spacing w:val="-6"/>
        </w:rPr>
        <w:t xml:space="preserve"> </w:t>
      </w:r>
      <w:r>
        <w:t>lo</w:t>
      </w:r>
      <w:r>
        <w:rPr>
          <w:spacing w:val="-6"/>
        </w:rPr>
        <w:t xml:space="preserve"> </w:t>
      </w:r>
      <w:r>
        <w:t>recuerdan</w:t>
      </w:r>
      <w:r>
        <w:rPr>
          <w:spacing w:val="-7"/>
        </w:rPr>
        <w:t xml:space="preserve"> </w:t>
      </w:r>
      <w:r>
        <w:t>frecuentemente los pueblos étnicos y los investigadores sociales: «Mientras que ha habido largos debates sobre las posibles causas de la violencia, se ha dejado de lado el hecho de que, desde la Conquista hasta hoy, en muchos momentos los ciudadanos o los dirigentes del país han tratado de demostrar que es justa, conveniente o necesaria […]. Con el tiempo, esos argumentos terminaron convirtiéndose en valores culturales, percepciones sociales y proyectos políticos»</w:t>
      </w:r>
      <w:r w:rsidR="00113B31">
        <w:rPr>
          <w:rStyle w:val="Refdenotaalpie"/>
        </w:rPr>
        <w:footnoteReference w:id="1094"/>
      </w:r>
      <w:r>
        <w:t>.</w:t>
      </w:r>
    </w:p>
    <w:p w:rsidR="0011361F" w:rsidRDefault="00AF18A5" w:rsidP="00113B31">
      <w:r>
        <w:t>Junto a esos argumentos que han justificado la violencia yacen lo que la Comisión de la Verdad</w:t>
      </w:r>
      <w:r>
        <w:rPr>
          <w:spacing w:val="-12"/>
        </w:rPr>
        <w:t xml:space="preserve"> </w:t>
      </w:r>
      <w:r>
        <w:t>ha</w:t>
      </w:r>
      <w:r>
        <w:rPr>
          <w:spacing w:val="-12"/>
        </w:rPr>
        <w:t xml:space="preserve"> </w:t>
      </w:r>
      <w:r>
        <w:t>identificado</w:t>
      </w:r>
      <w:r>
        <w:rPr>
          <w:spacing w:val="-13"/>
        </w:rPr>
        <w:t xml:space="preserve"> </w:t>
      </w:r>
      <w:r>
        <w:t>como</w:t>
      </w:r>
      <w:r>
        <w:rPr>
          <w:spacing w:val="-12"/>
        </w:rPr>
        <w:t xml:space="preserve"> </w:t>
      </w:r>
      <w:r>
        <w:t>«factores</w:t>
      </w:r>
      <w:r>
        <w:rPr>
          <w:spacing w:val="-12"/>
        </w:rPr>
        <w:t xml:space="preserve"> </w:t>
      </w:r>
      <w:r>
        <w:t>de</w:t>
      </w:r>
      <w:r>
        <w:rPr>
          <w:spacing w:val="-12"/>
        </w:rPr>
        <w:t xml:space="preserve"> </w:t>
      </w:r>
      <w:r>
        <w:t>persistencia</w:t>
      </w:r>
      <w:r>
        <w:rPr>
          <w:spacing w:val="-12"/>
        </w:rPr>
        <w:t xml:space="preserve"> </w:t>
      </w:r>
      <w:r>
        <w:t>del</w:t>
      </w:r>
      <w:r>
        <w:rPr>
          <w:spacing w:val="-11"/>
        </w:rPr>
        <w:t xml:space="preserve"> </w:t>
      </w:r>
      <w:r>
        <w:t>conflicto</w:t>
      </w:r>
      <w:r>
        <w:rPr>
          <w:spacing w:val="-12"/>
        </w:rPr>
        <w:t xml:space="preserve"> </w:t>
      </w:r>
      <w:r>
        <w:t>armado</w:t>
      </w:r>
      <w:r>
        <w:rPr>
          <w:spacing w:val="-12"/>
        </w:rPr>
        <w:t xml:space="preserve"> </w:t>
      </w:r>
      <w:r>
        <w:t>interno».</w:t>
      </w:r>
      <w:r>
        <w:rPr>
          <w:spacing w:val="-13"/>
        </w:rPr>
        <w:t xml:space="preserve"> </w:t>
      </w:r>
      <w:r>
        <w:t>Uno</w:t>
      </w:r>
      <w:r>
        <w:rPr>
          <w:spacing w:val="-12"/>
        </w:rPr>
        <w:t xml:space="preserve"> </w:t>
      </w:r>
      <w:r>
        <w:t>de ellos</w:t>
      </w:r>
      <w:r>
        <w:rPr>
          <w:spacing w:val="-6"/>
        </w:rPr>
        <w:t xml:space="preserve"> </w:t>
      </w:r>
      <w:r>
        <w:t>es</w:t>
      </w:r>
      <w:r>
        <w:rPr>
          <w:spacing w:val="-6"/>
        </w:rPr>
        <w:t xml:space="preserve"> </w:t>
      </w:r>
      <w:r>
        <w:t>la</w:t>
      </w:r>
      <w:r>
        <w:rPr>
          <w:spacing w:val="-5"/>
        </w:rPr>
        <w:t xml:space="preserve"> </w:t>
      </w:r>
      <w:r>
        <w:t>herencia</w:t>
      </w:r>
      <w:r>
        <w:rPr>
          <w:spacing w:val="-5"/>
        </w:rPr>
        <w:t xml:space="preserve"> </w:t>
      </w:r>
      <w:r>
        <w:t>cultural</w:t>
      </w:r>
      <w:r>
        <w:rPr>
          <w:spacing w:val="-4"/>
        </w:rPr>
        <w:t xml:space="preserve"> </w:t>
      </w:r>
      <w:r>
        <w:t>que</w:t>
      </w:r>
      <w:r>
        <w:rPr>
          <w:spacing w:val="-6"/>
        </w:rPr>
        <w:t xml:space="preserve"> </w:t>
      </w:r>
      <w:r>
        <w:t>viene</w:t>
      </w:r>
      <w:r>
        <w:rPr>
          <w:spacing w:val="-6"/>
        </w:rPr>
        <w:t xml:space="preserve"> </w:t>
      </w:r>
      <w:r>
        <w:t>de</w:t>
      </w:r>
      <w:r>
        <w:rPr>
          <w:spacing w:val="-5"/>
        </w:rPr>
        <w:t xml:space="preserve"> </w:t>
      </w:r>
      <w:r>
        <w:t>la</w:t>
      </w:r>
      <w:r>
        <w:rPr>
          <w:spacing w:val="-6"/>
        </w:rPr>
        <w:t xml:space="preserve"> </w:t>
      </w:r>
      <w:r>
        <w:t>colonia,</w:t>
      </w:r>
      <w:r>
        <w:rPr>
          <w:spacing w:val="-5"/>
        </w:rPr>
        <w:t xml:space="preserve"> </w:t>
      </w:r>
      <w:r>
        <w:t>y</w:t>
      </w:r>
      <w:r>
        <w:rPr>
          <w:spacing w:val="-5"/>
        </w:rPr>
        <w:t xml:space="preserve"> </w:t>
      </w:r>
      <w:r>
        <w:t>que</w:t>
      </w:r>
      <w:r>
        <w:rPr>
          <w:spacing w:val="-5"/>
        </w:rPr>
        <w:t xml:space="preserve"> </w:t>
      </w:r>
      <w:r>
        <w:t>ha</w:t>
      </w:r>
      <w:r>
        <w:rPr>
          <w:spacing w:val="-5"/>
        </w:rPr>
        <w:t xml:space="preserve"> </w:t>
      </w:r>
      <w:r>
        <w:t>mediado</w:t>
      </w:r>
      <w:r>
        <w:rPr>
          <w:spacing w:val="-6"/>
        </w:rPr>
        <w:t xml:space="preserve"> </w:t>
      </w:r>
      <w:r>
        <w:t>las</w:t>
      </w:r>
      <w:r>
        <w:rPr>
          <w:spacing w:val="-6"/>
        </w:rPr>
        <w:t xml:space="preserve"> </w:t>
      </w:r>
      <w:r>
        <w:t>relaciones</w:t>
      </w:r>
      <w:r>
        <w:rPr>
          <w:spacing w:val="-5"/>
        </w:rPr>
        <w:t xml:space="preserve"> </w:t>
      </w:r>
      <w:r>
        <w:t>sociales y políticas en la construcción del Estado nación. Esto ha determinado el lugar marginal de muchos pueblos. El racismo, el clasismo y el modelo de la hacienda han dejado formas de discriminación con huellas profundas en nuestra cultura.</w:t>
      </w:r>
    </w:p>
    <w:p w:rsidR="003804AC" w:rsidRDefault="00AF18A5" w:rsidP="00113B31">
      <w:bookmarkStart w:id="1350" w:name="_bookmark1200"/>
      <w:bookmarkEnd w:id="1350"/>
      <w:r>
        <w:t>En</w:t>
      </w:r>
      <w:r>
        <w:rPr>
          <w:spacing w:val="-1"/>
        </w:rPr>
        <w:t xml:space="preserve"> </w:t>
      </w:r>
      <w:r>
        <w:t>la</w:t>
      </w:r>
      <w:r>
        <w:rPr>
          <w:spacing w:val="-1"/>
        </w:rPr>
        <w:t xml:space="preserve"> </w:t>
      </w:r>
      <w:r>
        <w:t>colonia</w:t>
      </w:r>
      <w:r>
        <w:rPr>
          <w:spacing w:val="-1"/>
        </w:rPr>
        <w:t xml:space="preserve"> </w:t>
      </w:r>
      <w:r>
        <w:t>se</w:t>
      </w:r>
      <w:r>
        <w:rPr>
          <w:spacing w:val="-1"/>
        </w:rPr>
        <w:t xml:space="preserve"> </w:t>
      </w:r>
      <w:r>
        <w:t>instauró</w:t>
      </w:r>
      <w:r>
        <w:rPr>
          <w:spacing w:val="-2"/>
        </w:rPr>
        <w:t xml:space="preserve"> </w:t>
      </w:r>
      <w:r>
        <w:t>un</w:t>
      </w:r>
      <w:r>
        <w:rPr>
          <w:spacing w:val="-1"/>
        </w:rPr>
        <w:t xml:space="preserve"> </w:t>
      </w:r>
      <w:r>
        <w:t>sistema</w:t>
      </w:r>
      <w:r>
        <w:rPr>
          <w:spacing w:val="-1"/>
        </w:rPr>
        <w:t xml:space="preserve"> </w:t>
      </w:r>
      <w:r>
        <w:t>de</w:t>
      </w:r>
      <w:r>
        <w:rPr>
          <w:spacing w:val="-1"/>
        </w:rPr>
        <w:t xml:space="preserve"> </w:t>
      </w:r>
      <w:r>
        <w:t>jerarquías</w:t>
      </w:r>
      <w:r>
        <w:rPr>
          <w:spacing w:val="-1"/>
        </w:rPr>
        <w:t xml:space="preserve"> </w:t>
      </w:r>
      <w:r>
        <w:t>o</w:t>
      </w:r>
      <w:r>
        <w:rPr>
          <w:spacing w:val="-1"/>
        </w:rPr>
        <w:t xml:space="preserve"> </w:t>
      </w:r>
      <w:r>
        <w:t>castas.</w:t>
      </w:r>
      <w:r>
        <w:rPr>
          <w:spacing w:val="-1"/>
        </w:rPr>
        <w:t xml:space="preserve"> </w:t>
      </w:r>
      <w:r>
        <w:t>Bajo</w:t>
      </w:r>
      <w:r>
        <w:rPr>
          <w:spacing w:val="-1"/>
        </w:rPr>
        <w:t xml:space="preserve"> </w:t>
      </w:r>
      <w:r>
        <w:t>el</w:t>
      </w:r>
      <w:r>
        <w:rPr>
          <w:spacing w:val="-1"/>
        </w:rPr>
        <w:t xml:space="preserve"> </w:t>
      </w:r>
      <w:r>
        <w:t>modelo</w:t>
      </w:r>
      <w:r>
        <w:rPr>
          <w:spacing w:val="-1"/>
        </w:rPr>
        <w:t xml:space="preserve"> </w:t>
      </w:r>
      <w:r>
        <w:t>económico</w:t>
      </w:r>
      <w:r>
        <w:rPr>
          <w:spacing w:val="-1"/>
        </w:rPr>
        <w:t xml:space="preserve"> </w:t>
      </w:r>
      <w:r>
        <w:t>de la hacienda se instaló la idea de que ciertas poblaciones eran inferiores a otras por su raza, género</w:t>
      </w:r>
      <w:r>
        <w:rPr>
          <w:spacing w:val="-1"/>
        </w:rPr>
        <w:t xml:space="preserve"> </w:t>
      </w:r>
      <w:r>
        <w:t>y</w:t>
      </w:r>
      <w:r>
        <w:rPr>
          <w:spacing w:val="-2"/>
        </w:rPr>
        <w:t xml:space="preserve"> </w:t>
      </w:r>
      <w:r>
        <w:t>tradiciones</w:t>
      </w:r>
      <w:r>
        <w:rPr>
          <w:spacing w:val="-1"/>
        </w:rPr>
        <w:t xml:space="preserve"> </w:t>
      </w:r>
      <w:r>
        <w:t>culturales.</w:t>
      </w:r>
      <w:r>
        <w:rPr>
          <w:spacing w:val="-2"/>
        </w:rPr>
        <w:t xml:space="preserve"> </w:t>
      </w:r>
      <w:r>
        <w:t>Lo</w:t>
      </w:r>
      <w:r>
        <w:rPr>
          <w:spacing w:val="-1"/>
        </w:rPr>
        <w:t xml:space="preserve"> </w:t>
      </w:r>
      <w:r>
        <w:t>que</w:t>
      </w:r>
      <w:r>
        <w:rPr>
          <w:spacing w:val="-1"/>
        </w:rPr>
        <w:t xml:space="preserve"> </w:t>
      </w:r>
      <w:r>
        <w:t>justificaba</w:t>
      </w:r>
      <w:r>
        <w:rPr>
          <w:spacing w:val="-1"/>
        </w:rPr>
        <w:t xml:space="preserve"> </w:t>
      </w:r>
      <w:r>
        <w:t>su</w:t>
      </w:r>
      <w:r>
        <w:rPr>
          <w:spacing w:val="-1"/>
        </w:rPr>
        <w:t xml:space="preserve"> </w:t>
      </w:r>
      <w:r>
        <w:t>sumisión,</w:t>
      </w:r>
      <w:r>
        <w:rPr>
          <w:spacing w:val="-1"/>
        </w:rPr>
        <w:t xml:space="preserve"> </w:t>
      </w:r>
      <w:r>
        <w:t>su</w:t>
      </w:r>
      <w:r>
        <w:rPr>
          <w:spacing w:val="-1"/>
        </w:rPr>
        <w:t xml:space="preserve"> </w:t>
      </w:r>
      <w:r>
        <w:t>explotación,</w:t>
      </w:r>
      <w:r>
        <w:rPr>
          <w:spacing w:val="-1"/>
        </w:rPr>
        <w:t xml:space="preserve"> </w:t>
      </w:r>
      <w:r>
        <w:t>la</w:t>
      </w:r>
      <w:r>
        <w:rPr>
          <w:spacing w:val="-1"/>
        </w:rPr>
        <w:t xml:space="preserve"> </w:t>
      </w:r>
      <w:r>
        <w:t>sevicia</w:t>
      </w:r>
      <w:r>
        <w:rPr>
          <w:spacing w:val="-1"/>
        </w:rPr>
        <w:t xml:space="preserve"> </w:t>
      </w:r>
      <w:r>
        <w:t>en contra</w:t>
      </w:r>
      <w:r>
        <w:rPr>
          <w:spacing w:val="-5"/>
        </w:rPr>
        <w:t xml:space="preserve"> </w:t>
      </w:r>
      <w:r>
        <w:t>de</w:t>
      </w:r>
      <w:r>
        <w:rPr>
          <w:spacing w:val="-5"/>
        </w:rPr>
        <w:t xml:space="preserve"> </w:t>
      </w:r>
      <w:r>
        <w:t>sus</w:t>
      </w:r>
      <w:r>
        <w:rPr>
          <w:spacing w:val="-5"/>
        </w:rPr>
        <w:t xml:space="preserve"> </w:t>
      </w:r>
      <w:r>
        <w:t>cuerpos</w:t>
      </w:r>
      <w:r>
        <w:rPr>
          <w:spacing w:val="-5"/>
        </w:rPr>
        <w:t xml:space="preserve"> </w:t>
      </w:r>
      <w:r>
        <w:t>y,</w:t>
      </w:r>
      <w:r>
        <w:rPr>
          <w:spacing w:val="-6"/>
        </w:rPr>
        <w:t xml:space="preserve"> </w:t>
      </w:r>
      <w:r>
        <w:t>en</w:t>
      </w:r>
      <w:r>
        <w:rPr>
          <w:spacing w:val="-5"/>
        </w:rPr>
        <w:t xml:space="preserve"> </w:t>
      </w:r>
      <w:r>
        <w:t>innumerables</w:t>
      </w:r>
      <w:r>
        <w:rPr>
          <w:spacing w:val="-5"/>
        </w:rPr>
        <w:t xml:space="preserve"> </w:t>
      </w:r>
      <w:r>
        <w:t>casos,</w:t>
      </w:r>
      <w:r>
        <w:rPr>
          <w:spacing w:val="-5"/>
        </w:rPr>
        <w:t xml:space="preserve"> </w:t>
      </w:r>
      <w:r>
        <w:t>su</w:t>
      </w:r>
      <w:r>
        <w:rPr>
          <w:spacing w:val="-5"/>
        </w:rPr>
        <w:t xml:space="preserve"> </w:t>
      </w:r>
      <w:r>
        <w:t>asesinato.</w:t>
      </w:r>
      <w:r>
        <w:rPr>
          <w:spacing w:val="-6"/>
        </w:rPr>
        <w:t xml:space="preserve"> </w:t>
      </w:r>
      <w:r>
        <w:t>Como</w:t>
      </w:r>
      <w:r>
        <w:rPr>
          <w:spacing w:val="-5"/>
        </w:rPr>
        <w:t xml:space="preserve"> </w:t>
      </w:r>
      <w:r>
        <w:t>dice</w:t>
      </w:r>
      <w:r>
        <w:rPr>
          <w:spacing w:val="-5"/>
        </w:rPr>
        <w:t xml:space="preserve"> </w:t>
      </w:r>
      <w:r>
        <w:t>el</w:t>
      </w:r>
      <w:r>
        <w:rPr>
          <w:spacing w:val="-4"/>
        </w:rPr>
        <w:t xml:space="preserve"> </w:t>
      </w:r>
      <w:r>
        <w:t>historiador</w:t>
      </w:r>
      <w:r>
        <w:rPr>
          <w:spacing w:val="-6"/>
        </w:rPr>
        <w:t xml:space="preserve"> </w:t>
      </w:r>
      <w:r>
        <w:t xml:space="preserve">Jorge Orlando Melo: «Así surgió la primera imagen del “enemigo” en la historia de lo que hoy es Colombia, asociada al negro o </w:t>
      </w:r>
      <w:r>
        <w:lastRenderedPageBreak/>
        <w:t>al indígena “rebelde”, que no acataba una autoridad violentamente impuesta y, por ello, terminaba siendo señalado como el culpable de la violencia</w:t>
      </w:r>
      <w:r>
        <w:rPr>
          <w:spacing w:val="-3"/>
        </w:rPr>
        <w:t xml:space="preserve"> </w:t>
      </w:r>
      <w:r>
        <w:t>misma</w:t>
      </w:r>
      <w:r>
        <w:rPr>
          <w:spacing w:val="-3"/>
        </w:rPr>
        <w:t xml:space="preserve"> </w:t>
      </w:r>
      <w:r>
        <w:t>que</w:t>
      </w:r>
      <w:r>
        <w:rPr>
          <w:spacing w:val="-3"/>
        </w:rPr>
        <w:t xml:space="preserve"> </w:t>
      </w:r>
      <w:r>
        <w:t>se</w:t>
      </w:r>
      <w:r>
        <w:rPr>
          <w:spacing w:val="-5"/>
        </w:rPr>
        <w:t xml:space="preserve"> </w:t>
      </w:r>
      <w:r>
        <w:t>ejercía</w:t>
      </w:r>
      <w:r>
        <w:rPr>
          <w:spacing w:val="-3"/>
        </w:rPr>
        <w:t xml:space="preserve"> </w:t>
      </w:r>
      <w:r>
        <w:t>sobre</w:t>
      </w:r>
      <w:r>
        <w:rPr>
          <w:spacing w:val="-5"/>
        </w:rPr>
        <w:t xml:space="preserve"> </w:t>
      </w:r>
      <w:r>
        <w:t>él».</w:t>
      </w:r>
      <w:r>
        <w:rPr>
          <w:spacing w:val="-4"/>
        </w:rPr>
        <w:t xml:space="preserve"> </w:t>
      </w:r>
      <w:r>
        <w:t>La</w:t>
      </w:r>
      <w:r>
        <w:rPr>
          <w:spacing w:val="-3"/>
        </w:rPr>
        <w:t xml:space="preserve"> </w:t>
      </w:r>
      <w:r>
        <w:t>inversión</w:t>
      </w:r>
      <w:r>
        <w:rPr>
          <w:spacing w:val="-4"/>
        </w:rPr>
        <w:t xml:space="preserve"> </w:t>
      </w:r>
      <w:r>
        <w:t>de</w:t>
      </w:r>
      <w:r>
        <w:rPr>
          <w:spacing w:val="-3"/>
        </w:rPr>
        <w:t xml:space="preserve"> </w:t>
      </w:r>
      <w:r>
        <w:t>la</w:t>
      </w:r>
      <w:r>
        <w:rPr>
          <w:spacing w:val="-3"/>
        </w:rPr>
        <w:t xml:space="preserve"> </w:t>
      </w:r>
      <w:r>
        <w:t>culpa</w:t>
      </w:r>
      <w:r>
        <w:rPr>
          <w:spacing w:val="-3"/>
        </w:rPr>
        <w:t xml:space="preserve"> </w:t>
      </w:r>
      <w:r>
        <w:t>ha</w:t>
      </w:r>
      <w:r>
        <w:rPr>
          <w:spacing w:val="-3"/>
        </w:rPr>
        <w:t xml:space="preserve"> </w:t>
      </w:r>
      <w:r>
        <w:t>sido</w:t>
      </w:r>
      <w:r>
        <w:rPr>
          <w:spacing w:val="-4"/>
        </w:rPr>
        <w:t xml:space="preserve"> </w:t>
      </w:r>
      <w:r>
        <w:t>un</w:t>
      </w:r>
      <w:r>
        <w:rPr>
          <w:spacing w:val="-4"/>
        </w:rPr>
        <w:t xml:space="preserve"> </w:t>
      </w:r>
      <w:r>
        <w:t>fenómeno</w:t>
      </w:r>
      <w:r>
        <w:rPr>
          <w:spacing w:val="-5"/>
        </w:rPr>
        <w:t xml:space="preserve"> </w:t>
      </w:r>
      <w:r>
        <w:t>muy difundido en la cultura social y política de Colombia. Algo que ejercía una profunda influencia en las dinámicas de la guerra, extendiendo la sospecha sobre identidades, comportamientos</w:t>
      </w:r>
      <w:r>
        <w:rPr>
          <w:spacing w:val="-9"/>
        </w:rPr>
        <w:t xml:space="preserve"> </w:t>
      </w:r>
      <w:r>
        <w:t>o</w:t>
      </w:r>
      <w:r>
        <w:rPr>
          <w:spacing w:val="-9"/>
        </w:rPr>
        <w:t xml:space="preserve"> </w:t>
      </w:r>
      <w:r>
        <w:t>diferencias:</w:t>
      </w:r>
      <w:r>
        <w:rPr>
          <w:spacing w:val="-9"/>
        </w:rPr>
        <w:t xml:space="preserve"> </w:t>
      </w:r>
      <w:r>
        <w:t>«en</w:t>
      </w:r>
      <w:r>
        <w:rPr>
          <w:spacing w:val="-9"/>
        </w:rPr>
        <w:t xml:space="preserve"> </w:t>
      </w:r>
      <w:r>
        <w:t>algo</w:t>
      </w:r>
      <w:r>
        <w:rPr>
          <w:spacing w:val="-9"/>
        </w:rPr>
        <w:t xml:space="preserve"> </w:t>
      </w:r>
      <w:r>
        <w:t>estaría</w:t>
      </w:r>
      <w:r>
        <w:rPr>
          <w:spacing w:val="-9"/>
        </w:rPr>
        <w:t xml:space="preserve"> </w:t>
      </w:r>
      <w:r>
        <w:t>metido»,</w:t>
      </w:r>
      <w:r>
        <w:rPr>
          <w:spacing w:val="-9"/>
        </w:rPr>
        <w:t xml:space="preserve"> </w:t>
      </w:r>
      <w:r>
        <w:t>«seguramente</w:t>
      </w:r>
      <w:r>
        <w:rPr>
          <w:spacing w:val="-9"/>
        </w:rPr>
        <w:t xml:space="preserve"> </w:t>
      </w:r>
      <w:r>
        <w:t>tuvo</w:t>
      </w:r>
      <w:r>
        <w:rPr>
          <w:spacing w:val="-9"/>
        </w:rPr>
        <w:t xml:space="preserve"> </w:t>
      </w:r>
      <w:r>
        <w:t>algo</w:t>
      </w:r>
      <w:r>
        <w:rPr>
          <w:spacing w:val="-9"/>
        </w:rPr>
        <w:t xml:space="preserve"> </w:t>
      </w:r>
      <w:r>
        <w:t>que</w:t>
      </w:r>
      <w:r>
        <w:rPr>
          <w:spacing w:val="-10"/>
        </w:rPr>
        <w:t xml:space="preserve"> </w:t>
      </w:r>
      <w:r>
        <w:t>ver</w:t>
      </w:r>
      <w:r>
        <w:rPr>
          <w:spacing w:val="-9"/>
        </w:rPr>
        <w:t xml:space="preserve"> </w:t>
      </w:r>
      <w:r>
        <w:t>en lo que le pasó», «qué se puede esperar de esa gente». Eso, a su vez, ha implicado que toda lucha</w:t>
      </w:r>
      <w:r>
        <w:rPr>
          <w:spacing w:val="-3"/>
        </w:rPr>
        <w:t xml:space="preserve"> </w:t>
      </w:r>
      <w:r>
        <w:t>por</w:t>
      </w:r>
      <w:r>
        <w:rPr>
          <w:spacing w:val="-3"/>
        </w:rPr>
        <w:t xml:space="preserve"> </w:t>
      </w:r>
      <w:r>
        <w:t>la</w:t>
      </w:r>
      <w:r>
        <w:rPr>
          <w:spacing w:val="-5"/>
        </w:rPr>
        <w:t xml:space="preserve"> </w:t>
      </w:r>
      <w:r>
        <w:t>defensa</w:t>
      </w:r>
      <w:r>
        <w:rPr>
          <w:spacing w:val="-5"/>
        </w:rPr>
        <w:t xml:space="preserve"> </w:t>
      </w:r>
      <w:r>
        <w:t>y</w:t>
      </w:r>
      <w:r>
        <w:rPr>
          <w:spacing w:val="-4"/>
        </w:rPr>
        <w:t xml:space="preserve"> </w:t>
      </w:r>
      <w:r>
        <w:t>dignidad</w:t>
      </w:r>
      <w:r>
        <w:rPr>
          <w:spacing w:val="-4"/>
        </w:rPr>
        <w:t xml:space="preserve"> </w:t>
      </w:r>
      <w:r>
        <w:t>de</w:t>
      </w:r>
      <w:r>
        <w:rPr>
          <w:spacing w:val="-5"/>
        </w:rPr>
        <w:t xml:space="preserve"> </w:t>
      </w:r>
      <w:r>
        <w:t>los</w:t>
      </w:r>
      <w:r>
        <w:rPr>
          <w:spacing w:val="-3"/>
        </w:rPr>
        <w:t xml:space="preserve"> </w:t>
      </w:r>
      <w:r>
        <w:t>derechos</w:t>
      </w:r>
      <w:r>
        <w:rPr>
          <w:spacing w:val="-3"/>
        </w:rPr>
        <w:t xml:space="preserve"> </w:t>
      </w:r>
      <w:r>
        <w:t>de</w:t>
      </w:r>
      <w:r>
        <w:rPr>
          <w:spacing w:val="-3"/>
        </w:rPr>
        <w:t xml:space="preserve"> </w:t>
      </w:r>
      <w:r>
        <w:t>los</w:t>
      </w:r>
      <w:r>
        <w:rPr>
          <w:spacing w:val="-5"/>
        </w:rPr>
        <w:t xml:space="preserve"> </w:t>
      </w:r>
      <w:r>
        <w:t>sectores</w:t>
      </w:r>
      <w:r>
        <w:rPr>
          <w:spacing w:val="-3"/>
        </w:rPr>
        <w:t xml:space="preserve"> </w:t>
      </w:r>
      <w:r>
        <w:t>excluidos</w:t>
      </w:r>
      <w:r>
        <w:rPr>
          <w:spacing w:val="-5"/>
        </w:rPr>
        <w:t xml:space="preserve"> </w:t>
      </w:r>
      <w:r>
        <w:t>sea</w:t>
      </w:r>
      <w:r>
        <w:rPr>
          <w:spacing w:val="-3"/>
        </w:rPr>
        <w:t xml:space="preserve"> </w:t>
      </w:r>
      <w:r>
        <w:t>vista</w:t>
      </w:r>
      <w:r>
        <w:rPr>
          <w:spacing w:val="-5"/>
        </w:rPr>
        <w:t xml:space="preserve"> </w:t>
      </w:r>
      <w:r>
        <w:t>como</w:t>
      </w:r>
      <w:r>
        <w:rPr>
          <w:spacing w:val="-4"/>
        </w:rPr>
        <w:t xml:space="preserve"> </w:t>
      </w:r>
      <w:r>
        <w:t xml:space="preserve">una amenaza al </w:t>
      </w:r>
      <w:r>
        <w:rPr>
          <w:i/>
        </w:rPr>
        <w:t xml:space="preserve">statu quo </w:t>
      </w:r>
      <w:r>
        <w:t>de una sociedad basada en esas categorías que segregan y privilegian al mismo tiempo.</w:t>
      </w:r>
    </w:p>
    <w:p w:rsidR="003804AC" w:rsidRDefault="00AF18A5" w:rsidP="00502CC6">
      <w:r>
        <w:t>El racismo y el clasismo, pero también el patriarcado y una conciencia precaria sobre el lugar</w:t>
      </w:r>
      <w:r>
        <w:rPr>
          <w:spacing w:val="-9"/>
        </w:rPr>
        <w:t xml:space="preserve"> </w:t>
      </w:r>
      <w:r>
        <w:t>y</w:t>
      </w:r>
      <w:r>
        <w:rPr>
          <w:spacing w:val="-9"/>
        </w:rPr>
        <w:t xml:space="preserve"> </w:t>
      </w:r>
      <w:r>
        <w:t>valor</w:t>
      </w:r>
      <w:r>
        <w:rPr>
          <w:spacing w:val="-10"/>
        </w:rPr>
        <w:t xml:space="preserve"> </w:t>
      </w:r>
      <w:r>
        <w:t>de</w:t>
      </w:r>
      <w:r>
        <w:rPr>
          <w:spacing w:val="-9"/>
        </w:rPr>
        <w:t xml:space="preserve"> </w:t>
      </w:r>
      <w:r>
        <w:t>la</w:t>
      </w:r>
      <w:r>
        <w:rPr>
          <w:spacing w:val="-10"/>
        </w:rPr>
        <w:t xml:space="preserve"> </w:t>
      </w:r>
      <w:r>
        <w:t>infancia,</w:t>
      </w:r>
      <w:r>
        <w:rPr>
          <w:spacing w:val="-9"/>
        </w:rPr>
        <w:t xml:space="preserve"> </w:t>
      </w:r>
      <w:r>
        <w:t>la</w:t>
      </w:r>
      <w:r>
        <w:rPr>
          <w:spacing w:val="-9"/>
        </w:rPr>
        <w:t xml:space="preserve"> </w:t>
      </w:r>
      <w:r>
        <w:t>adolescencia</w:t>
      </w:r>
      <w:r>
        <w:rPr>
          <w:spacing w:val="-9"/>
        </w:rPr>
        <w:t xml:space="preserve"> </w:t>
      </w:r>
      <w:r>
        <w:t>y</w:t>
      </w:r>
      <w:r>
        <w:rPr>
          <w:spacing w:val="-11"/>
        </w:rPr>
        <w:t xml:space="preserve"> </w:t>
      </w:r>
      <w:r>
        <w:t>la</w:t>
      </w:r>
      <w:r>
        <w:rPr>
          <w:spacing w:val="-10"/>
        </w:rPr>
        <w:t xml:space="preserve"> </w:t>
      </w:r>
      <w:r>
        <w:t>juventud</w:t>
      </w:r>
      <w:r>
        <w:rPr>
          <w:spacing w:val="-9"/>
        </w:rPr>
        <w:t xml:space="preserve"> </w:t>
      </w:r>
      <w:r>
        <w:t>han</w:t>
      </w:r>
      <w:r>
        <w:rPr>
          <w:spacing w:val="-9"/>
        </w:rPr>
        <w:t xml:space="preserve"> </w:t>
      </w:r>
      <w:r>
        <w:t>generado</w:t>
      </w:r>
      <w:r>
        <w:rPr>
          <w:spacing w:val="-9"/>
        </w:rPr>
        <w:t xml:space="preserve"> </w:t>
      </w:r>
      <w:r>
        <w:t>daños</w:t>
      </w:r>
      <w:r>
        <w:rPr>
          <w:spacing w:val="-9"/>
        </w:rPr>
        <w:t xml:space="preserve"> </w:t>
      </w:r>
      <w:r>
        <w:t>acumulados</w:t>
      </w:r>
      <w:r>
        <w:rPr>
          <w:spacing w:val="-9"/>
        </w:rPr>
        <w:t xml:space="preserve"> </w:t>
      </w:r>
      <w:r>
        <w:t>en quienes han vivido históricamente bajo estos órdenes sin ser reconocida su humanidad e igualdad. Por ello, la violencia en su contra se ha naturalizado y justificado. Si bien la Constitución de 1991 supuso un reconocimiento de sus derechos y culturas, los modos de actuación política y las mentalidades en gran parte del país no han evolucionado al mismo ritmo de esos logros alcanzados en materia de derechos. Mientras Colombia tiene leyes garantistas, la guerra, la exclusión, la corrupción y el narcotráfico siguen mediando en la política, la economía, las relaciones sociales y la cultura.</w:t>
      </w:r>
    </w:p>
    <w:p w:rsidR="003804AC" w:rsidRDefault="00AF18A5" w:rsidP="00502CC6">
      <w:r>
        <w:t>Como señalan varios e importantes investigadores sobre la violencia y la cultura en la construcción</w:t>
      </w:r>
      <w:r>
        <w:rPr>
          <w:spacing w:val="-6"/>
        </w:rPr>
        <w:t xml:space="preserve"> </w:t>
      </w:r>
      <w:r>
        <w:t>de</w:t>
      </w:r>
      <w:r>
        <w:rPr>
          <w:spacing w:val="-5"/>
        </w:rPr>
        <w:t xml:space="preserve"> </w:t>
      </w:r>
      <w:r>
        <w:t>paz,</w:t>
      </w:r>
      <w:r>
        <w:rPr>
          <w:spacing w:val="-5"/>
        </w:rPr>
        <w:t xml:space="preserve"> </w:t>
      </w:r>
      <w:r>
        <w:t>mientras</w:t>
      </w:r>
      <w:r>
        <w:rPr>
          <w:spacing w:val="-5"/>
        </w:rPr>
        <w:t xml:space="preserve"> </w:t>
      </w:r>
      <w:r>
        <w:t>se</w:t>
      </w:r>
      <w:r>
        <w:rPr>
          <w:spacing w:val="-5"/>
        </w:rPr>
        <w:t xml:space="preserve"> </w:t>
      </w:r>
      <w:r>
        <w:t>mantenga</w:t>
      </w:r>
      <w:r>
        <w:rPr>
          <w:spacing w:val="-5"/>
        </w:rPr>
        <w:t xml:space="preserve"> </w:t>
      </w:r>
      <w:r>
        <w:t>intacta</w:t>
      </w:r>
      <w:r>
        <w:rPr>
          <w:spacing w:val="-6"/>
        </w:rPr>
        <w:t xml:space="preserve"> </w:t>
      </w:r>
      <w:r>
        <w:t>la</w:t>
      </w:r>
      <w:r>
        <w:rPr>
          <w:spacing w:val="-5"/>
        </w:rPr>
        <w:t xml:space="preserve"> </w:t>
      </w:r>
      <w:r>
        <w:t>base</w:t>
      </w:r>
      <w:r>
        <w:rPr>
          <w:spacing w:val="-5"/>
        </w:rPr>
        <w:t xml:space="preserve"> </w:t>
      </w:r>
      <w:r>
        <w:t>cultural</w:t>
      </w:r>
      <w:r>
        <w:rPr>
          <w:spacing w:val="-4"/>
        </w:rPr>
        <w:t xml:space="preserve"> </w:t>
      </w:r>
      <w:r>
        <w:t>y</w:t>
      </w:r>
      <w:r>
        <w:rPr>
          <w:spacing w:val="-5"/>
        </w:rPr>
        <w:t xml:space="preserve"> </w:t>
      </w:r>
      <w:r>
        <w:t>estructural</w:t>
      </w:r>
      <w:r>
        <w:rPr>
          <w:spacing w:val="-4"/>
        </w:rPr>
        <w:t xml:space="preserve"> </w:t>
      </w:r>
      <w:r>
        <w:t>que</w:t>
      </w:r>
      <w:r>
        <w:rPr>
          <w:spacing w:val="-5"/>
        </w:rPr>
        <w:t xml:space="preserve"> </w:t>
      </w:r>
      <w:r>
        <w:t>alimenta la</w:t>
      </w:r>
      <w:r>
        <w:rPr>
          <w:spacing w:val="13"/>
        </w:rPr>
        <w:t xml:space="preserve"> </w:t>
      </w:r>
      <w:r>
        <w:t>confrontación,</w:t>
      </w:r>
      <w:r>
        <w:rPr>
          <w:spacing w:val="14"/>
        </w:rPr>
        <w:t xml:space="preserve"> </w:t>
      </w:r>
      <w:r>
        <w:t>no</w:t>
      </w:r>
      <w:r>
        <w:rPr>
          <w:spacing w:val="14"/>
        </w:rPr>
        <w:t xml:space="preserve"> </w:t>
      </w:r>
      <w:r>
        <w:t>será</w:t>
      </w:r>
      <w:r>
        <w:rPr>
          <w:spacing w:val="13"/>
        </w:rPr>
        <w:t xml:space="preserve"> </w:t>
      </w:r>
      <w:r>
        <w:t>posible</w:t>
      </w:r>
      <w:r>
        <w:rPr>
          <w:spacing w:val="14"/>
        </w:rPr>
        <w:t xml:space="preserve"> </w:t>
      </w:r>
      <w:r>
        <w:t>construir</w:t>
      </w:r>
      <w:r>
        <w:rPr>
          <w:spacing w:val="15"/>
        </w:rPr>
        <w:t xml:space="preserve"> </w:t>
      </w:r>
      <w:r>
        <w:t>una</w:t>
      </w:r>
      <w:r>
        <w:rPr>
          <w:spacing w:val="12"/>
        </w:rPr>
        <w:t xml:space="preserve"> </w:t>
      </w:r>
      <w:r>
        <w:t>paz</w:t>
      </w:r>
      <w:r>
        <w:rPr>
          <w:spacing w:val="13"/>
        </w:rPr>
        <w:t xml:space="preserve"> </w:t>
      </w:r>
      <w:r>
        <w:t>duradera,</w:t>
      </w:r>
      <w:r>
        <w:rPr>
          <w:spacing w:val="14"/>
        </w:rPr>
        <w:t xml:space="preserve"> </w:t>
      </w:r>
      <w:r>
        <w:t>pues</w:t>
      </w:r>
      <w:r>
        <w:rPr>
          <w:spacing w:val="13"/>
        </w:rPr>
        <w:t xml:space="preserve"> </w:t>
      </w:r>
      <w:r>
        <w:t>los</w:t>
      </w:r>
      <w:r>
        <w:rPr>
          <w:spacing w:val="13"/>
        </w:rPr>
        <w:t xml:space="preserve"> </w:t>
      </w:r>
      <w:r>
        <w:t>ciclos</w:t>
      </w:r>
      <w:r>
        <w:rPr>
          <w:spacing w:val="13"/>
        </w:rPr>
        <w:t xml:space="preserve"> </w:t>
      </w:r>
      <w:r>
        <w:t>viciosos</w:t>
      </w:r>
      <w:r>
        <w:rPr>
          <w:spacing w:val="14"/>
        </w:rPr>
        <w:t xml:space="preserve"> </w:t>
      </w:r>
      <w:r>
        <w:t>de</w:t>
      </w:r>
      <w:r>
        <w:rPr>
          <w:spacing w:val="14"/>
        </w:rPr>
        <w:t xml:space="preserve"> </w:t>
      </w:r>
      <w:r>
        <w:rPr>
          <w:spacing w:val="-5"/>
        </w:rPr>
        <w:t>la</w:t>
      </w:r>
      <w:r w:rsidR="00502CC6">
        <w:rPr>
          <w:spacing w:val="-5"/>
        </w:rPr>
        <w:t xml:space="preserve"> </w:t>
      </w:r>
      <w:r>
        <w:t>violencia</w:t>
      </w:r>
      <w:r>
        <w:rPr>
          <w:spacing w:val="-7"/>
        </w:rPr>
        <w:t xml:space="preserve"> </w:t>
      </w:r>
      <w:r>
        <w:lastRenderedPageBreak/>
        <w:t>permanecerán</w:t>
      </w:r>
      <w:r>
        <w:rPr>
          <w:spacing w:val="-8"/>
        </w:rPr>
        <w:t xml:space="preserve"> </w:t>
      </w:r>
      <w:r>
        <w:t>activos</w:t>
      </w:r>
      <w:r w:rsidR="00502CC6">
        <w:rPr>
          <w:rStyle w:val="Refdenotaalpie"/>
        </w:rPr>
        <w:footnoteReference w:id="1095"/>
      </w:r>
      <w:r>
        <w:t>.</w:t>
      </w:r>
      <w:r>
        <w:rPr>
          <w:spacing w:val="-7"/>
        </w:rPr>
        <w:t xml:space="preserve"> </w:t>
      </w:r>
      <w:r>
        <w:t>Por</w:t>
      </w:r>
      <w:r>
        <w:rPr>
          <w:spacing w:val="-7"/>
        </w:rPr>
        <w:t xml:space="preserve"> </w:t>
      </w:r>
      <w:r>
        <w:t>eso</w:t>
      </w:r>
      <w:r>
        <w:rPr>
          <w:spacing w:val="-7"/>
        </w:rPr>
        <w:t xml:space="preserve"> </w:t>
      </w:r>
      <w:r>
        <w:t>es</w:t>
      </w:r>
      <w:r>
        <w:rPr>
          <w:spacing w:val="-7"/>
        </w:rPr>
        <w:t xml:space="preserve"> </w:t>
      </w:r>
      <w:r>
        <w:t>preciso</w:t>
      </w:r>
      <w:r>
        <w:rPr>
          <w:spacing w:val="-7"/>
        </w:rPr>
        <w:t xml:space="preserve"> </w:t>
      </w:r>
      <w:r>
        <w:t>examinar</w:t>
      </w:r>
      <w:r>
        <w:rPr>
          <w:spacing w:val="-7"/>
        </w:rPr>
        <w:t xml:space="preserve"> </w:t>
      </w:r>
      <w:r>
        <w:t>las</w:t>
      </w:r>
      <w:r>
        <w:rPr>
          <w:spacing w:val="-7"/>
        </w:rPr>
        <w:t xml:space="preserve"> </w:t>
      </w:r>
      <w:r>
        <w:t>distintas</w:t>
      </w:r>
      <w:r>
        <w:rPr>
          <w:spacing w:val="-8"/>
        </w:rPr>
        <w:t xml:space="preserve"> </w:t>
      </w:r>
      <w:r>
        <w:t>dimensiones</w:t>
      </w:r>
      <w:r>
        <w:rPr>
          <w:spacing w:val="-8"/>
        </w:rPr>
        <w:t xml:space="preserve"> </w:t>
      </w:r>
      <w:r>
        <w:t>de la</w:t>
      </w:r>
      <w:r>
        <w:rPr>
          <w:spacing w:val="-5"/>
        </w:rPr>
        <w:t xml:space="preserve"> </w:t>
      </w:r>
      <w:r>
        <w:t>vida</w:t>
      </w:r>
      <w:r>
        <w:rPr>
          <w:spacing w:val="-5"/>
        </w:rPr>
        <w:t xml:space="preserve"> </w:t>
      </w:r>
      <w:r>
        <w:t>humana</w:t>
      </w:r>
      <w:r>
        <w:rPr>
          <w:spacing w:val="-5"/>
        </w:rPr>
        <w:t xml:space="preserve"> </w:t>
      </w:r>
      <w:r>
        <w:t>desde</w:t>
      </w:r>
      <w:r>
        <w:rPr>
          <w:spacing w:val="-5"/>
        </w:rPr>
        <w:t xml:space="preserve"> </w:t>
      </w:r>
      <w:r>
        <w:t>el</w:t>
      </w:r>
      <w:r>
        <w:rPr>
          <w:spacing w:val="-6"/>
        </w:rPr>
        <w:t xml:space="preserve"> </w:t>
      </w:r>
      <w:r>
        <w:t>lente</w:t>
      </w:r>
      <w:r>
        <w:rPr>
          <w:spacing w:val="-5"/>
        </w:rPr>
        <w:t xml:space="preserve"> </w:t>
      </w:r>
      <w:r>
        <w:t>cultural.</w:t>
      </w:r>
      <w:r>
        <w:rPr>
          <w:spacing w:val="-5"/>
        </w:rPr>
        <w:t xml:space="preserve"> </w:t>
      </w:r>
      <w:r>
        <w:t>El</w:t>
      </w:r>
      <w:r>
        <w:rPr>
          <w:spacing w:val="-4"/>
        </w:rPr>
        <w:t xml:space="preserve"> </w:t>
      </w:r>
      <w:r>
        <w:t>modelo</w:t>
      </w:r>
      <w:r>
        <w:rPr>
          <w:spacing w:val="-6"/>
        </w:rPr>
        <w:t xml:space="preserve"> </w:t>
      </w:r>
      <w:r>
        <w:t>de</w:t>
      </w:r>
      <w:r>
        <w:rPr>
          <w:spacing w:val="-5"/>
        </w:rPr>
        <w:t xml:space="preserve"> </w:t>
      </w:r>
      <w:r>
        <w:t>la</w:t>
      </w:r>
      <w:r>
        <w:rPr>
          <w:spacing w:val="-5"/>
        </w:rPr>
        <w:t xml:space="preserve"> </w:t>
      </w:r>
      <w:r>
        <w:t>hacienda</w:t>
      </w:r>
      <w:r>
        <w:rPr>
          <w:spacing w:val="-5"/>
        </w:rPr>
        <w:t xml:space="preserve"> </w:t>
      </w:r>
      <w:r>
        <w:t>colonial,</w:t>
      </w:r>
      <w:r>
        <w:rPr>
          <w:spacing w:val="-6"/>
        </w:rPr>
        <w:t xml:space="preserve"> </w:t>
      </w:r>
      <w:r>
        <w:t>desarrollado</w:t>
      </w:r>
      <w:r>
        <w:rPr>
          <w:spacing w:val="-6"/>
        </w:rPr>
        <w:t xml:space="preserve"> </w:t>
      </w:r>
      <w:r>
        <w:t>en</w:t>
      </w:r>
      <w:r>
        <w:rPr>
          <w:spacing w:val="-5"/>
        </w:rPr>
        <w:t xml:space="preserve"> </w:t>
      </w:r>
      <w:r>
        <w:t>su plenitud por la élite criolla en el periodo republicano, se configuró antes de que fuéramos nación. La concentración de grandes extensiones de tierra productiva configuró el ordenamiento y la explotación del territorio, en donde los indígenas trabajaban a cambio de un tributo al señor encomendero. Pero esta no es una cuestión del pasado. Por el contrario, este modelo colonial ha tenido una profunda influencia en la forma de entender la posesión de las tierras, la producción agraria y en la subvaloración de la cultura y la economía campesina. De esa manera se sigue privilegiando la gran propiedad.</w:t>
      </w:r>
    </w:p>
    <w:p w:rsidR="003804AC" w:rsidRDefault="00AF18A5" w:rsidP="00502CC6">
      <w:r>
        <w:t>El</w:t>
      </w:r>
      <w:r>
        <w:rPr>
          <w:spacing w:val="-7"/>
        </w:rPr>
        <w:t xml:space="preserve"> </w:t>
      </w:r>
      <w:r>
        <w:t>problema</w:t>
      </w:r>
      <w:r>
        <w:rPr>
          <w:spacing w:val="-8"/>
        </w:rPr>
        <w:t xml:space="preserve"> </w:t>
      </w:r>
      <w:r>
        <w:t>de</w:t>
      </w:r>
      <w:r>
        <w:rPr>
          <w:spacing w:val="-7"/>
        </w:rPr>
        <w:t xml:space="preserve"> </w:t>
      </w:r>
      <w:r>
        <w:t>la</w:t>
      </w:r>
      <w:r>
        <w:rPr>
          <w:spacing w:val="-7"/>
        </w:rPr>
        <w:t xml:space="preserve"> </w:t>
      </w:r>
      <w:r>
        <w:t>distribución</w:t>
      </w:r>
      <w:r>
        <w:rPr>
          <w:spacing w:val="-7"/>
        </w:rPr>
        <w:t xml:space="preserve"> </w:t>
      </w:r>
      <w:r>
        <w:t>de</w:t>
      </w:r>
      <w:r>
        <w:rPr>
          <w:spacing w:val="-7"/>
        </w:rPr>
        <w:t xml:space="preserve"> </w:t>
      </w:r>
      <w:r>
        <w:t>la</w:t>
      </w:r>
      <w:r>
        <w:rPr>
          <w:spacing w:val="-7"/>
        </w:rPr>
        <w:t xml:space="preserve"> </w:t>
      </w:r>
      <w:r>
        <w:t>tierra</w:t>
      </w:r>
      <w:r>
        <w:rPr>
          <w:spacing w:val="-7"/>
        </w:rPr>
        <w:t xml:space="preserve"> </w:t>
      </w:r>
      <w:r>
        <w:t>y</w:t>
      </w:r>
      <w:r>
        <w:rPr>
          <w:spacing w:val="-7"/>
        </w:rPr>
        <w:t xml:space="preserve"> </w:t>
      </w:r>
      <w:r>
        <w:t>los</w:t>
      </w:r>
      <w:r>
        <w:rPr>
          <w:spacing w:val="-7"/>
        </w:rPr>
        <w:t xml:space="preserve"> </w:t>
      </w:r>
      <w:r>
        <w:t>índices</w:t>
      </w:r>
      <w:r>
        <w:rPr>
          <w:spacing w:val="-7"/>
        </w:rPr>
        <w:t xml:space="preserve"> </w:t>
      </w:r>
      <w:r>
        <w:t>de</w:t>
      </w:r>
      <w:r>
        <w:rPr>
          <w:spacing w:val="-7"/>
        </w:rPr>
        <w:t xml:space="preserve"> </w:t>
      </w:r>
      <w:r>
        <w:t>desigualdad</w:t>
      </w:r>
      <w:r>
        <w:rPr>
          <w:spacing w:val="-7"/>
        </w:rPr>
        <w:t xml:space="preserve"> </w:t>
      </w:r>
      <w:r>
        <w:t>sobre</w:t>
      </w:r>
      <w:r>
        <w:rPr>
          <w:spacing w:val="-7"/>
        </w:rPr>
        <w:t xml:space="preserve"> </w:t>
      </w:r>
      <w:r>
        <w:t>su</w:t>
      </w:r>
      <w:r>
        <w:rPr>
          <w:spacing w:val="-7"/>
        </w:rPr>
        <w:t xml:space="preserve"> </w:t>
      </w:r>
      <w:r>
        <w:t>propiedad son</w:t>
      </w:r>
      <w:r>
        <w:rPr>
          <w:spacing w:val="-15"/>
        </w:rPr>
        <w:t xml:space="preserve"> </w:t>
      </w:r>
      <w:r>
        <w:t>escandalosos</w:t>
      </w:r>
      <w:r w:rsidR="00502CC6">
        <w:rPr>
          <w:rStyle w:val="Refdenotaalpie"/>
        </w:rPr>
        <w:footnoteReference w:id="1096"/>
      </w:r>
      <w:r>
        <w:rPr>
          <w:spacing w:val="-14"/>
        </w:rPr>
        <w:t xml:space="preserve"> </w:t>
      </w:r>
      <w:r>
        <w:t>y</w:t>
      </w:r>
      <w:r>
        <w:rPr>
          <w:spacing w:val="-15"/>
        </w:rPr>
        <w:t xml:space="preserve"> </w:t>
      </w:r>
      <w:r>
        <w:t>provienen</w:t>
      </w:r>
      <w:r>
        <w:rPr>
          <w:spacing w:val="-15"/>
        </w:rPr>
        <w:t xml:space="preserve"> </w:t>
      </w:r>
      <w:r>
        <w:t>precisamente</w:t>
      </w:r>
      <w:r>
        <w:rPr>
          <w:spacing w:val="-15"/>
        </w:rPr>
        <w:t xml:space="preserve"> </w:t>
      </w:r>
      <w:r>
        <w:t>de</w:t>
      </w:r>
      <w:r>
        <w:rPr>
          <w:spacing w:val="-15"/>
        </w:rPr>
        <w:t xml:space="preserve"> </w:t>
      </w:r>
      <w:r>
        <w:t>modelos</w:t>
      </w:r>
      <w:r>
        <w:rPr>
          <w:spacing w:val="-15"/>
        </w:rPr>
        <w:t xml:space="preserve"> </w:t>
      </w:r>
      <w:r>
        <w:t>de</w:t>
      </w:r>
      <w:r>
        <w:rPr>
          <w:spacing w:val="-15"/>
        </w:rPr>
        <w:t xml:space="preserve"> </w:t>
      </w:r>
      <w:r>
        <w:t>acumulación</w:t>
      </w:r>
      <w:r>
        <w:rPr>
          <w:spacing w:val="-15"/>
        </w:rPr>
        <w:t xml:space="preserve"> </w:t>
      </w:r>
      <w:r>
        <w:t>históricos.</w:t>
      </w:r>
      <w:r>
        <w:rPr>
          <w:spacing w:val="-15"/>
        </w:rPr>
        <w:t xml:space="preserve"> </w:t>
      </w:r>
      <w:r>
        <w:t>A</w:t>
      </w:r>
      <w:r>
        <w:rPr>
          <w:spacing w:val="-15"/>
        </w:rPr>
        <w:t xml:space="preserve"> </w:t>
      </w:r>
      <w:r>
        <w:t>esto se suma que el conflicto armado interno ha generado un mayor despojo y concentración de la tierra en pocas manos</w:t>
      </w:r>
      <w:r w:rsidR="00502CC6">
        <w:rPr>
          <w:rStyle w:val="Refdenotaalpie"/>
        </w:rPr>
        <w:footnoteReference w:id="1097"/>
      </w:r>
      <w:r>
        <w:t>. La negativa</w:t>
      </w:r>
      <w:r>
        <w:rPr>
          <w:spacing w:val="-1"/>
        </w:rPr>
        <w:t xml:space="preserve"> </w:t>
      </w:r>
      <w:r>
        <w:t>de los gobiernos y de sectores de las élites frente</w:t>
      </w:r>
      <w:r>
        <w:rPr>
          <w:spacing w:val="-2"/>
        </w:rPr>
        <w:t xml:space="preserve"> </w:t>
      </w:r>
      <w:r>
        <w:t>a la implementación de una necesaria reforma agraria es el reflejo de este pensamiento y, por ende,</w:t>
      </w:r>
      <w:r>
        <w:rPr>
          <w:spacing w:val="-15"/>
        </w:rPr>
        <w:t xml:space="preserve"> </w:t>
      </w:r>
      <w:r>
        <w:t>de</w:t>
      </w:r>
      <w:r>
        <w:rPr>
          <w:spacing w:val="-15"/>
        </w:rPr>
        <w:t xml:space="preserve"> </w:t>
      </w:r>
      <w:r>
        <w:t>su</w:t>
      </w:r>
      <w:r>
        <w:rPr>
          <w:spacing w:val="-15"/>
        </w:rPr>
        <w:t xml:space="preserve"> </w:t>
      </w:r>
      <w:r>
        <w:t>forma</w:t>
      </w:r>
      <w:r>
        <w:rPr>
          <w:spacing w:val="-15"/>
        </w:rPr>
        <w:t xml:space="preserve"> </w:t>
      </w:r>
      <w:r>
        <w:t>de</w:t>
      </w:r>
      <w:r>
        <w:rPr>
          <w:spacing w:val="-15"/>
        </w:rPr>
        <w:t xml:space="preserve"> </w:t>
      </w:r>
      <w:r>
        <w:t>legislar.</w:t>
      </w:r>
      <w:r>
        <w:rPr>
          <w:spacing w:val="-15"/>
        </w:rPr>
        <w:t xml:space="preserve"> </w:t>
      </w:r>
      <w:r>
        <w:t>Y</w:t>
      </w:r>
      <w:r>
        <w:rPr>
          <w:spacing w:val="-15"/>
        </w:rPr>
        <w:t xml:space="preserve"> </w:t>
      </w:r>
      <w:r>
        <w:t>ha</w:t>
      </w:r>
      <w:r>
        <w:rPr>
          <w:spacing w:val="-15"/>
        </w:rPr>
        <w:t xml:space="preserve"> </w:t>
      </w:r>
      <w:r>
        <w:t>traído</w:t>
      </w:r>
      <w:r>
        <w:rPr>
          <w:spacing w:val="-15"/>
        </w:rPr>
        <w:t xml:space="preserve"> </w:t>
      </w:r>
      <w:r>
        <w:t>mayor</w:t>
      </w:r>
      <w:r>
        <w:rPr>
          <w:spacing w:val="-15"/>
        </w:rPr>
        <w:t xml:space="preserve"> </w:t>
      </w:r>
      <w:r>
        <w:t>exclusión</w:t>
      </w:r>
      <w:r>
        <w:rPr>
          <w:spacing w:val="-15"/>
        </w:rPr>
        <w:t xml:space="preserve"> </w:t>
      </w:r>
      <w:r>
        <w:t>social,</w:t>
      </w:r>
      <w:r>
        <w:rPr>
          <w:spacing w:val="-15"/>
        </w:rPr>
        <w:t xml:space="preserve"> </w:t>
      </w:r>
      <w:r>
        <w:t>una</w:t>
      </w:r>
      <w:r>
        <w:rPr>
          <w:spacing w:val="-15"/>
        </w:rPr>
        <w:t xml:space="preserve"> </w:t>
      </w:r>
      <w:r>
        <w:t>victimización</w:t>
      </w:r>
      <w:r>
        <w:rPr>
          <w:spacing w:val="-15"/>
        </w:rPr>
        <w:t xml:space="preserve"> </w:t>
      </w:r>
      <w:r>
        <w:t>del</w:t>
      </w:r>
      <w:r>
        <w:rPr>
          <w:spacing w:val="-15"/>
        </w:rPr>
        <w:t xml:space="preserve"> </w:t>
      </w:r>
      <w:r>
        <w:t>sujeto campesino y de comunidades étnicas, y de los territorios que se entienden como baldíos en donde no cuenta la naturaleza ni la gente.</w:t>
      </w:r>
    </w:p>
    <w:p w:rsidR="003804AC" w:rsidRDefault="00AF18A5" w:rsidP="00502CC6">
      <w:r>
        <w:lastRenderedPageBreak/>
        <w:t>La herencia colonial, entonces, ha tenido efectos en la manera en que la cultura política del país gobierna. Esta ha establecido jerarquías entre territorios y pobladores privilegiando la</w:t>
      </w:r>
      <w:r>
        <w:rPr>
          <w:spacing w:val="-4"/>
        </w:rPr>
        <w:t xml:space="preserve"> </w:t>
      </w:r>
      <w:r>
        <w:t>noción</w:t>
      </w:r>
      <w:r>
        <w:rPr>
          <w:spacing w:val="-5"/>
        </w:rPr>
        <w:t xml:space="preserve"> </w:t>
      </w:r>
      <w:r>
        <w:t>de</w:t>
      </w:r>
      <w:r>
        <w:rPr>
          <w:spacing w:val="-6"/>
        </w:rPr>
        <w:t xml:space="preserve"> </w:t>
      </w:r>
      <w:r>
        <w:t>un</w:t>
      </w:r>
      <w:r>
        <w:rPr>
          <w:spacing w:val="-5"/>
        </w:rPr>
        <w:t xml:space="preserve"> </w:t>
      </w:r>
      <w:r>
        <w:t>Estado</w:t>
      </w:r>
      <w:r>
        <w:rPr>
          <w:spacing w:val="-6"/>
        </w:rPr>
        <w:t xml:space="preserve"> </w:t>
      </w:r>
      <w:r>
        <w:t>monocultural,</w:t>
      </w:r>
      <w:r>
        <w:rPr>
          <w:spacing w:val="-5"/>
        </w:rPr>
        <w:t xml:space="preserve"> </w:t>
      </w:r>
      <w:r>
        <w:t>monolingüe,</w:t>
      </w:r>
      <w:r>
        <w:rPr>
          <w:spacing w:val="-5"/>
        </w:rPr>
        <w:t xml:space="preserve"> </w:t>
      </w:r>
      <w:r>
        <w:t>con</w:t>
      </w:r>
      <w:r>
        <w:rPr>
          <w:spacing w:val="-5"/>
        </w:rPr>
        <w:t xml:space="preserve"> </w:t>
      </w:r>
      <w:r>
        <w:t>una</w:t>
      </w:r>
      <w:r>
        <w:rPr>
          <w:spacing w:val="-4"/>
        </w:rPr>
        <w:t xml:space="preserve"> </w:t>
      </w:r>
      <w:r>
        <w:t>única</w:t>
      </w:r>
      <w:r>
        <w:rPr>
          <w:spacing w:val="-4"/>
        </w:rPr>
        <w:t xml:space="preserve"> </w:t>
      </w:r>
      <w:r>
        <w:t>religión.</w:t>
      </w:r>
      <w:r>
        <w:rPr>
          <w:spacing w:val="-5"/>
        </w:rPr>
        <w:t xml:space="preserve"> </w:t>
      </w:r>
      <w:r>
        <w:t>En</w:t>
      </w:r>
      <w:r>
        <w:rPr>
          <w:spacing w:val="-5"/>
        </w:rPr>
        <w:t xml:space="preserve"> </w:t>
      </w:r>
      <w:r>
        <w:t>esa</w:t>
      </w:r>
      <w:r>
        <w:rPr>
          <w:spacing w:val="-4"/>
        </w:rPr>
        <w:t xml:space="preserve"> </w:t>
      </w:r>
      <w:r>
        <w:t>medida</w:t>
      </w:r>
      <w:r>
        <w:rPr>
          <w:spacing w:val="-4"/>
        </w:rPr>
        <w:t xml:space="preserve"> </w:t>
      </w:r>
      <w:r>
        <w:t>ha querido</w:t>
      </w:r>
      <w:r>
        <w:rPr>
          <w:spacing w:val="-9"/>
        </w:rPr>
        <w:t xml:space="preserve"> </w:t>
      </w:r>
      <w:r>
        <w:t>definir</w:t>
      </w:r>
      <w:r>
        <w:rPr>
          <w:spacing w:val="-9"/>
        </w:rPr>
        <w:t xml:space="preserve"> </w:t>
      </w:r>
      <w:r>
        <w:t>e</w:t>
      </w:r>
      <w:r>
        <w:rPr>
          <w:spacing w:val="-9"/>
        </w:rPr>
        <w:t xml:space="preserve"> </w:t>
      </w:r>
      <w:r>
        <w:t>imponerse</w:t>
      </w:r>
      <w:r>
        <w:rPr>
          <w:spacing w:val="-9"/>
        </w:rPr>
        <w:t xml:space="preserve"> </w:t>
      </w:r>
      <w:r>
        <w:t>sobre</w:t>
      </w:r>
      <w:r>
        <w:rPr>
          <w:spacing w:val="-9"/>
        </w:rPr>
        <w:t xml:space="preserve"> </w:t>
      </w:r>
      <w:r>
        <w:t>una</w:t>
      </w:r>
      <w:r>
        <w:rPr>
          <w:spacing w:val="-9"/>
        </w:rPr>
        <w:t xml:space="preserve"> </w:t>
      </w:r>
      <w:r>
        <w:t>ciudadanía</w:t>
      </w:r>
      <w:r>
        <w:rPr>
          <w:spacing w:val="-10"/>
        </w:rPr>
        <w:t xml:space="preserve"> </w:t>
      </w:r>
      <w:r>
        <w:t>en</w:t>
      </w:r>
      <w:r>
        <w:rPr>
          <w:spacing w:val="-9"/>
        </w:rPr>
        <w:t xml:space="preserve"> </w:t>
      </w:r>
      <w:r>
        <w:t>concordancia</w:t>
      </w:r>
      <w:r>
        <w:rPr>
          <w:spacing w:val="-9"/>
        </w:rPr>
        <w:t xml:space="preserve"> </w:t>
      </w:r>
      <w:r>
        <w:t>con</w:t>
      </w:r>
      <w:r>
        <w:rPr>
          <w:spacing w:val="-9"/>
        </w:rPr>
        <w:t xml:space="preserve"> </w:t>
      </w:r>
      <w:r>
        <w:t>ese</w:t>
      </w:r>
      <w:r>
        <w:rPr>
          <w:spacing w:val="-9"/>
        </w:rPr>
        <w:t xml:space="preserve"> </w:t>
      </w:r>
      <w:r>
        <w:t>proyecto:</w:t>
      </w:r>
      <w:r>
        <w:rPr>
          <w:spacing w:val="-9"/>
        </w:rPr>
        <w:t xml:space="preserve"> </w:t>
      </w:r>
      <w:r>
        <w:t>quienes se</w:t>
      </w:r>
      <w:r>
        <w:rPr>
          <w:spacing w:val="-15"/>
        </w:rPr>
        <w:t xml:space="preserve"> </w:t>
      </w:r>
      <w:r>
        <w:t>acerquen</w:t>
      </w:r>
      <w:r>
        <w:rPr>
          <w:spacing w:val="-15"/>
        </w:rPr>
        <w:t xml:space="preserve"> </w:t>
      </w:r>
      <w:r>
        <w:t>a</w:t>
      </w:r>
      <w:r>
        <w:rPr>
          <w:spacing w:val="-15"/>
        </w:rPr>
        <w:t xml:space="preserve"> </w:t>
      </w:r>
      <w:r>
        <w:t>sus</w:t>
      </w:r>
      <w:r>
        <w:rPr>
          <w:spacing w:val="-14"/>
        </w:rPr>
        <w:t xml:space="preserve"> </w:t>
      </w:r>
      <w:r>
        <w:t>ideales</w:t>
      </w:r>
      <w:r>
        <w:rPr>
          <w:spacing w:val="-15"/>
        </w:rPr>
        <w:t xml:space="preserve"> </w:t>
      </w:r>
      <w:r>
        <w:t>son</w:t>
      </w:r>
      <w:r>
        <w:rPr>
          <w:spacing w:val="-14"/>
        </w:rPr>
        <w:t xml:space="preserve"> </w:t>
      </w:r>
      <w:r>
        <w:t>incluidos,</w:t>
      </w:r>
      <w:r>
        <w:rPr>
          <w:spacing w:val="-15"/>
        </w:rPr>
        <w:t xml:space="preserve"> </w:t>
      </w:r>
      <w:r>
        <w:t>mientras</w:t>
      </w:r>
      <w:r>
        <w:rPr>
          <w:spacing w:val="-14"/>
        </w:rPr>
        <w:t xml:space="preserve"> </w:t>
      </w:r>
      <w:r>
        <w:t>que</w:t>
      </w:r>
      <w:r>
        <w:rPr>
          <w:spacing w:val="-14"/>
        </w:rPr>
        <w:t xml:space="preserve"> </w:t>
      </w:r>
      <w:r>
        <w:t>los</w:t>
      </w:r>
      <w:r>
        <w:rPr>
          <w:spacing w:val="-14"/>
        </w:rPr>
        <w:t xml:space="preserve"> </w:t>
      </w:r>
      <w:r>
        <w:t>que</w:t>
      </w:r>
      <w:r>
        <w:rPr>
          <w:spacing w:val="-14"/>
        </w:rPr>
        <w:t xml:space="preserve"> </w:t>
      </w:r>
      <w:r>
        <w:t>no</w:t>
      </w:r>
      <w:r>
        <w:rPr>
          <w:spacing w:val="-14"/>
        </w:rPr>
        <w:t xml:space="preserve"> </w:t>
      </w:r>
      <w:r>
        <w:t>son</w:t>
      </w:r>
      <w:r>
        <w:rPr>
          <w:spacing w:val="-14"/>
        </w:rPr>
        <w:t xml:space="preserve"> </w:t>
      </w:r>
      <w:r>
        <w:t>vistos</w:t>
      </w:r>
      <w:r>
        <w:rPr>
          <w:spacing w:val="-15"/>
        </w:rPr>
        <w:t xml:space="preserve"> </w:t>
      </w:r>
      <w:r>
        <w:t>como</w:t>
      </w:r>
      <w:r>
        <w:rPr>
          <w:spacing w:val="-14"/>
        </w:rPr>
        <w:t xml:space="preserve"> </w:t>
      </w:r>
      <w:r>
        <w:t>una</w:t>
      </w:r>
      <w:r>
        <w:rPr>
          <w:spacing w:val="-14"/>
        </w:rPr>
        <w:t xml:space="preserve"> </w:t>
      </w:r>
      <w:r>
        <w:t>amenaza al</w:t>
      </w:r>
      <w:r>
        <w:rPr>
          <w:spacing w:val="73"/>
        </w:rPr>
        <w:t xml:space="preserve"> </w:t>
      </w:r>
      <w:r>
        <w:t>proyecto</w:t>
      </w:r>
      <w:r>
        <w:rPr>
          <w:spacing w:val="72"/>
        </w:rPr>
        <w:t xml:space="preserve"> </w:t>
      </w:r>
      <w:r>
        <w:t>«civilizatorio»</w:t>
      </w:r>
      <w:r>
        <w:rPr>
          <w:spacing w:val="73"/>
        </w:rPr>
        <w:t xml:space="preserve"> </w:t>
      </w:r>
      <w:r>
        <w:t>dominante,</w:t>
      </w:r>
      <w:r>
        <w:rPr>
          <w:spacing w:val="74"/>
        </w:rPr>
        <w:t xml:space="preserve"> </w:t>
      </w:r>
      <w:r>
        <w:t>y</w:t>
      </w:r>
      <w:r>
        <w:rPr>
          <w:spacing w:val="73"/>
        </w:rPr>
        <w:t xml:space="preserve"> </w:t>
      </w:r>
      <w:r>
        <w:t>por</w:t>
      </w:r>
      <w:r>
        <w:rPr>
          <w:spacing w:val="72"/>
        </w:rPr>
        <w:t xml:space="preserve"> </w:t>
      </w:r>
      <w:r>
        <w:t>ello</w:t>
      </w:r>
      <w:r>
        <w:rPr>
          <w:spacing w:val="73"/>
        </w:rPr>
        <w:t xml:space="preserve"> </w:t>
      </w:r>
      <w:r>
        <w:t>deben</w:t>
      </w:r>
      <w:r>
        <w:rPr>
          <w:spacing w:val="73"/>
        </w:rPr>
        <w:t xml:space="preserve"> </w:t>
      </w:r>
      <w:r>
        <w:t>ser</w:t>
      </w:r>
      <w:r>
        <w:rPr>
          <w:spacing w:val="73"/>
        </w:rPr>
        <w:t xml:space="preserve"> </w:t>
      </w:r>
      <w:r>
        <w:t>controlados,</w:t>
      </w:r>
      <w:r>
        <w:rPr>
          <w:spacing w:val="73"/>
        </w:rPr>
        <w:t xml:space="preserve"> </w:t>
      </w:r>
      <w:r>
        <w:t>excluidos</w:t>
      </w:r>
      <w:r>
        <w:rPr>
          <w:spacing w:val="74"/>
        </w:rPr>
        <w:t xml:space="preserve"> </w:t>
      </w:r>
      <w:r>
        <w:rPr>
          <w:spacing w:val="-10"/>
        </w:rPr>
        <w:t>o</w:t>
      </w:r>
      <w:bookmarkStart w:id="1351" w:name="_bookmark1201"/>
      <w:bookmarkStart w:id="1352" w:name="_bookmark1202"/>
      <w:bookmarkStart w:id="1353" w:name="_bookmark1203"/>
      <w:bookmarkEnd w:id="1351"/>
      <w:bookmarkEnd w:id="1352"/>
      <w:bookmarkEnd w:id="1353"/>
      <w:r w:rsidR="00502CC6">
        <w:t xml:space="preserve"> </w:t>
      </w:r>
      <w:r>
        <w:t xml:space="preserve">eliminados. Existen, entonces, dos o varias </w:t>
      </w:r>
      <w:proofErr w:type="spellStart"/>
      <w:r>
        <w:t>Colombias</w:t>
      </w:r>
      <w:proofErr w:type="spellEnd"/>
      <w:r>
        <w:t>, pero esa división no es natural, ha sido promovida por la institucionalidad y sectores de poder que han actuado en función de las</w:t>
      </w:r>
      <w:r>
        <w:rPr>
          <w:spacing w:val="-6"/>
        </w:rPr>
        <w:t xml:space="preserve"> </w:t>
      </w:r>
      <w:r>
        <w:t>necesidades</w:t>
      </w:r>
      <w:r>
        <w:rPr>
          <w:spacing w:val="-6"/>
        </w:rPr>
        <w:t xml:space="preserve"> </w:t>
      </w:r>
      <w:r>
        <w:t>e</w:t>
      </w:r>
      <w:r>
        <w:rPr>
          <w:spacing w:val="-6"/>
        </w:rPr>
        <w:t xml:space="preserve"> </w:t>
      </w:r>
      <w:r>
        <w:t>intereses</w:t>
      </w:r>
      <w:r>
        <w:rPr>
          <w:spacing w:val="-6"/>
        </w:rPr>
        <w:t xml:space="preserve"> </w:t>
      </w:r>
      <w:r>
        <w:t>de</w:t>
      </w:r>
      <w:r>
        <w:rPr>
          <w:spacing w:val="-6"/>
        </w:rPr>
        <w:t xml:space="preserve"> </w:t>
      </w:r>
      <w:r>
        <w:t>élites</w:t>
      </w:r>
      <w:r>
        <w:rPr>
          <w:spacing w:val="-6"/>
        </w:rPr>
        <w:t xml:space="preserve"> </w:t>
      </w:r>
      <w:r>
        <w:t>económicas</w:t>
      </w:r>
      <w:r>
        <w:rPr>
          <w:spacing w:val="-6"/>
        </w:rPr>
        <w:t xml:space="preserve"> </w:t>
      </w:r>
      <w:r>
        <w:t>y</w:t>
      </w:r>
      <w:r>
        <w:rPr>
          <w:spacing w:val="-6"/>
        </w:rPr>
        <w:t xml:space="preserve"> </w:t>
      </w:r>
      <w:r>
        <w:t>políticas</w:t>
      </w:r>
      <w:r>
        <w:rPr>
          <w:spacing w:val="-6"/>
        </w:rPr>
        <w:t xml:space="preserve"> </w:t>
      </w:r>
      <w:r>
        <w:t>que</w:t>
      </w:r>
      <w:r>
        <w:rPr>
          <w:spacing w:val="-6"/>
        </w:rPr>
        <w:t xml:space="preserve"> </w:t>
      </w:r>
      <w:r>
        <w:t>mantienen</w:t>
      </w:r>
      <w:r>
        <w:rPr>
          <w:spacing w:val="-6"/>
        </w:rPr>
        <w:t xml:space="preserve"> </w:t>
      </w:r>
      <w:r>
        <w:t>un</w:t>
      </w:r>
      <w:r>
        <w:rPr>
          <w:spacing w:val="-6"/>
        </w:rPr>
        <w:t xml:space="preserve"> </w:t>
      </w:r>
      <w:r>
        <w:t>«ideal»</w:t>
      </w:r>
      <w:r>
        <w:rPr>
          <w:spacing w:val="-6"/>
        </w:rPr>
        <w:t xml:space="preserve"> </w:t>
      </w:r>
      <w:r>
        <w:t>que</w:t>
      </w:r>
      <w:r>
        <w:rPr>
          <w:spacing w:val="-6"/>
        </w:rPr>
        <w:t xml:space="preserve"> </w:t>
      </w:r>
      <w:r>
        <w:t>no se ha dejado tocar por la Constitución de 1991.</w:t>
      </w:r>
    </w:p>
    <w:p w:rsidR="003804AC" w:rsidRDefault="00AF18A5" w:rsidP="00502CC6">
      <w:r>
        <w:t>Cientos de años después, las discriminaciones y dominaciones descritas se repiten de maneras similares configurando lo que hemos llamado «las violencias estructurales». La relación</w:t>
      </w:r>
      <w:r>
        <w:rPr>
          <w:spacing w:val="-2"/>
        </w:rPr>
        <w:t xml:space="preserve"> </w:t>
      </w:r>
      <w:r>
        <w:t>entre</w:t>
      </w:r>
      <w:r>
        <w:rPr>
          <w:spacing w:val="-2"/>
        </w:rPr>
        <w:t xml:space="preserve"> </w:t>
      </w:r>
      <w:r>
        <w:t>estas</w:t>
      </w:r>
      <w:r>
        <w:rPr>
          <w:spacing w:val="-2"/>
        </w:rPr>
        <w:t xml:space="preserve"> </w:t>
      </w:r>
      <w:r>
        <w:t>violencias</w:t>
      </w:r>
      <w:r>
        <w:rPr>
          <w:spacing w:val="-2"/>
        </w:rPr>
        <w:t xml:space="preserve"> </w:t>
      </w:r>
      <w:r>
        <w:t>y</w:t>
      </w:r>
      <w:r>
        <w:rPr>
          <w:spacing w:val="-3"/>
        </w:rPr>
        <w:t xml:space="preserve"> </w:t>
      </w:r>
      <w:r>
        <w:t>el</w:t>
      </w:r>
      <w:r>
        <w:rPr>
          <w:spacing w:val="-2"/>
        </w:rPr>
        <w:t xml:space="preserve"> </w:t>
      </w:r>
      <w:r>
        <w:t>conflicto</w:t>
      </w:r>
      <w:r>
        <w:rPr>
          <w:spacing w:val="-2"/>
        </w:rPr>
        <w:t xml:space="preserve"> </w:t>
      </w:r>
      <w:r>
        <w:t>armado</w:t>
      </w:r>
      <w:r>
        <w:rPr>
          <w:spacing w:val="-2"/>
        </w:rPr>
        <w:t xml:space="preserve"> </w:t>
      </w:r>
      <w:r>
        <w:t>también</w:t>
      </w:r>
      <w:r>
        <w:rPr>
          <w:spacing w:val="-3"/>
        </w:rPr>
        <w:t xml:space="preserve"> </w:t>
      </w:r>
      <w:r>
        <w:t>ha</w:t>
      </w:r>
      <w:r>
        <w:rPr>
          <w:spacing w:val="-2"/>
        </w:rPr>
        <w:t xml:space="preserve"> </w:t>
      </w:r>
      <w:r>
        <w:t>sido</w:t>
      </w:r>
      <w:r>
        <w:rPr>
          <w:spacing w:val="-2"/>
        </w:rPr>
        <w:t xml:space="preserve"> </w:t>
      </w:r>
      <w:r>
        <w:t>señalada</w:t>
      </w:r>
      <w:r>
        <w:rPr>
          <w:spacing w:val="-2"/>
        </w:rPr>
        <w:t xml:space="preserve"> </w:t>
      </w:r>
      <w:r>
        <w:t>por</w:t>
      </w:r>
      <w:r>
        <w:rPr>
          <w:spacing w:val="-3"/>
        </w:rPr>
        <w:t xml:space="preserve"> </w:t>
      </w:r>
      <w:r>
        <w:t>el</w:t>
      </w:r>
      <w:r>
        <w:rPr>
          <w:spacing w:val="-3"/>
        </w:rPr>
        <w:t xml:space="preserve"> </w:t>
      </w:r>
      <w:r>
        <w:t>Comité para la Eliminación de la Discriminación Racial, y, en un análisis profundo, la Corte Constitucional en el marco de la Sentencia T 025, y en específico los Autos 251 y 092 de 2008, 005 de 2009, señaló que «el abandono institucional y la pobreza son factores que operan</w:t>
      </w:r>
      <w:r>
        <w:rPr>
          <w:spacing w:val="-15"/>
        </w:rPr>
        <w:t xml:space="preserve"> </w:t>
      </w:r>
      <w:r>
        <w:t>como</w:t>
      </w:r>
      <w:r>
        <w:rPr>
          <w:spacing w:val="-15"/>
        </w:rPr>
        <w:t xml:space="preserve"> </w:t>
      </w:r>
      <w:r>
        <w:t>catalizadores</w:t>
      </w:r>
      <w:r>
        <w:rPr>
          <w:spacing w:val="-15"/>
        </w:rPr>
        <w:t xml:space="preserve"> </w:t>
      </w:r>
      <w:r>
        <w:t>de</w:t>
      </w:r>
      <w:r>
        <w:rPr>
          <w:spacing w:val="-15"/>
        </w:rPr>
        <w:t xml:space="preserve"> </w:t>
      </w:r>
      <w:r>
        <w:t>violaciones</w:t>
      </w:r>
      <w:r>
        <w:rPr>
          <w:spacing w:val="-15"/>
        </w:rPr>
        <w:t xml:space="preserve"> </w:t>
      </w:r>
      <w:r>
        <w:t>de</w:t>
      </w:r>
      <w:r>
        <w:rPr>
          <w:spacing w:val="-14"/>
        </w:rPr>
        <w:t xml:space="preserve"> </w:t>
      </w:r>
      <w:r>
        <w:t>derechos</w:t>
      </w:r>
      <w:r>
        <w:rPr>
          <w:spacing w:val="-15"/>
        </w:rPr>
        <w:t xml:space="preserve"> </w:t>
      </w:r>
      <w:r>
        <w:t>humanos</w:t>
      </w:r>
      <w:r>
        <w:rPr>
          <w:spacing w:val="-15"/>
        </w:rPr>
        <w:t xml:space="preserve"> </w:t>
      </w:r>
      <w:r>
        <w:t>cometidas</w:t>
      </w:r>
      <w:r>
        <w:rPr>
          <w:spacing w:val="-15"/>
        </w:rPr>
        <w:t xml:space="preserve"> </w:t>
      </w:r>
      <w:r>
        <w:t>contra</w:t>
      </w:r>
      <w:r>
        <w:rPr>
          <w:spacing w:val="-14"/>
        </w:rPr>
        <w:t xml:space="preserve"> </w:t>
      </w:r>
      <w:r>
        <w:t>los</w:t>
      </w:r>
      <w:r>
        <w:rPr>
          <w:spacing w:val="-15"/>
        </w:rPr>
        <w:t xml:space="preserve"> </w:t>
      </w:r>
      <w:r>
        <w:t xml:space="preserve">pueblos indígenas” Lo que también aplica en el caso del pueblo negro, afrocolombiano, raizal, palenquero, el pueblo </w:t>
      </w:r>
      <w:proofErr w:type="spellStart"/>
      <w:r>
        <w:t>rrom</w:t>
      </w:r>
      <w:proofErr w:type="spellEnd"/>
      <w:r>
        <w:t>, mujeres</w:t>
      </w:r>
      <w:r>
        <w:rPr>
          <w:spacing w:val="-1"/>
        </w:rPr>
        <w:t xml:space="preserve"> </w:t>
      </w:r>
      <w:r>
        <w:t>y los niños, niñas, adolescentes y jóvenes. Por un lado, las brechas económicas y de acceso a las garantías constitucionales propician condiciones favorables</w:t>
      </w:r>
      <w:r>
        <w:rPr>
          <w:spacing w:val="-6"/>
        </w:rPr>
        <w:t xml:space="preserve"> </w:t>
      </w:r>
      <w:r>
        <w:t>para</w:t>
      </w:r>
      <w:r>
        <w:rPr>
          <w:spacing w:val="-6"/>
        </w:rPr>
        <w:t xml:space="preserve"> </w:t>
      </w:r>
      <w:r>
        <w:t>que</w:t>
      </w:r>
      <w:r>
        <w:rPr>
          <w:spacing w:val="-7"/>
        </w:rPr>
        <w:t xml:space="preserve"> </w:t>
      </w:r>
      <w:r>
        <w:t>se</w:t>
      </w:r>
      <w:r>
        <w:rPr>
          <w:spacing w:val="-6"/>
        </w:rPr>
        <w:t xml:space="preserve"> </w:t>
      </w:r>
      <w:r>
        <w:t>cometan</w:t>
      </w:r>
      <w:r>
        <w:rPr>
          <w:spacing w:val="-6"/>
        </w:rPr>
        <w:t xml:space="preserve"> </w:t>
      </w:r>
      <w:r>
        <w:t>violaciones</w:t>
      </w:r>
      <w:r>
        <w:rPr>
          <w:spacing w:val="-7"/>
        </w:rPr>
        <w:t xml:space="preserve"> </w:t>
      </w:r>
      <w:r>
        <w:t>a</w:t>
      </w:r>
      <w:r>
        <w:rPr>
          <w:spacing w:val="-6"/>
        </w:rPr>
        <w:t xml:space="preserve"> </w:t>
      </w:r>
      <w:r>
        <w:t>los</w:t>
      </w:r>
      <w:r>
        <w:rPr>
          <w:spacing w:val="-7"/>
        </w:rPr>
        <w:t xml:space="preserve"> </w:t>
      </w:r>
      <w:r>
        <w:t>derechos</w:t>
      </w:r>
      <w:r>
        <w:rPr>
          <w:spacing w:val="-7"/>
        </w:rPr>
        <w:t xml:space="preserve"> </w:t>
      </w:r>
      <w:r>
        <w:t>humanos.</w:t>
      </w:r>
      <w:r>
        <w:rPr>
          <w:spacing w:val="-6"/>
        </w:rPr>
        <w:t xml:space="preserve"> </w:t>
      </w:r>
      <w:r>
        <w:t>Por</w:t>
      </w:r>
      <w:r>
        <w:rPr>
          <w:spacing w:val="-7"/>
        </w:rPr>
        <w:t xml:space="preserve"> </w:t>
      </w:r>
      <w:r>
        <w:t>el</w:t>
      </w:r>
      <w:r>
        <w:rPr>
          <w:spacing w:val="-6"/>
        </w:rPr>
        <w:t xml:space="preserve"> </w:t>
      </w:r>
      <w:r>
        <w:t>otro,</w:t>
      </w:r>
      <w:r>
        <w:rPr>
          <w:spacing w:val="-6"/>
        </w:rPr>
        <w:t xml:space="preserve"> </w:t>
      </w:r>
      <w:r>
        <w:t>en</w:t>
      </w:r>
      <w:r>
        <w:rPr>
          <w:spacing w:val="-7"/>
        </w:rPr>
        <w:t xml:space="preserve"> </w:t>
      </w:r>
      <w:r>
        <w:t xml:space="preserve">términos de impactos, la pobreza y la desprotección se profundizan, generando la </w:t>
      </w:r>
      <w:r>
        <w:lastRenderedPageBreak/>
        <w:t>reproducción de violencias estructurales.</w:t>
      </w:r>
    </w:p>
    <w:p w:rsidR="003804AC" w:rsidRDefault="00AF18A5" w:rsidP="00F77D6C">
      <w:r>
        <w:t>Incluso</w:t>
      </w:r>
      <w:r>
        <w:rPr>
          <w:spacing w:val="-7"/>
        </w:rPr>
        <w:t xml:space="preserve"> </w:t>
      </w:r>
      <w:r>
        <w:t>órdenes</w:t>
      </w:r>
      <w:r>
        <w:rPr>
          <w:spacing w:val="-6"/>
        </w:rPr>
        <w:t xml:space="preserve"> </w:t>
      </w:r>
      <w:r>
        <w:t>y</w:t>
      </w:r>
      <w:r>
        <w:rPr>
          <w:spacing w:val="-6"/>
        </w:rPr>
        <w:t xml:space="preserve"> </w:t>
      </w:r>
      <w:r>
        <w:t>sentencias</w:t>
      </w:r>
      <w:r>
        <w:rPr>
          <w:spacing w:val="-7"/>
        </w:rPr>
        <w:t xml:space="preserve"> </w:t>
      </w:r>
      <w:r>
        <w:t>judiciales</w:t>
      </w:r>
      <w:r>
        <w:rPr>
          <w:spacing w:val="-6"/>
        </w:rPr>
        <w:t xml:space="preserve"> </w:t>
      </w:r>
      <w:r>
        <w:t>y</w:t>
      </w:r>
      <w:r>
        <w:rPr>
          <w:spacing w:val="-6"/>
        </w:rPr>
        <w:t xml:space="preserve"> </w:t>
      </w:r>
      <w:r>
        <w:t>el</w:t>
      </w:r>
      <w:r>
        <w:rPr>
          <w:spacing w:val="-7"/>
        </w:rPr>
        <w:t xml:space="preserve"> </w:t>
      </w:r>
      <w:r>
        <w:t>mismo</w:t>
      </w:r>
      <w:r>
        <w:rPr>
          <w:spacing w:val="-6"/>
        </w:rPr>
        <w:t xml:space="preserve"> </w:t>
      </w:r>
      <w:r>
        <w:t>Acuerdo</w:t>
      </w:r>
      <w:r>
        <w:rPr>
          <w:spacing w:val="-6"/>
        </w:rPr>
        <w:t xml:space="preserve"> </w:t>
      </w:r>
      <w:r>
        <w:t>Final</w:t>
      </w:r>
      <w:r>
        <w:rPr>
          <w:spacing w:val="-7"/>
        </w:rPr>
        <w:t xml:space="preserve"> </w:t>
      </w:r>
      <w:r>
        <w:t>firmado</w:t>
      </w:r>
      <w:r>
        <w:rPr>
          <w:spacing w:val="-7"/>
        </w:rPr>
        <w:t xml:space="preserve"> </w:t>
      </w:r>
      <w:r>
        <w:t>entre</w:t>
      </w:r>
      <w:r>
        <w:rPr>
          <w:spacing w:val="-6"/>
        </w:rPr>
        <w:t xml:space="preserve"> </w:t>
      </w:r>
      <w:r>
        <w:t>el</w:t>
      </w:r>
      <w:r>
        <w:rPr>
          <w:spacing w:val="-5"/>
        </w:rPr>
        <w:t xml:space="preserve"> </w:t>
      </w:r>
      <w:r>
        <w:t>Estado y las FARC-EP en el 2016, han reconocido la existencia de violencias estructurales. En ese sentido contemplaron reformas que debían «contribuir a reversar los efectos del conflicto y a cambiar las condiciones que han facilitado la persistencia de la violencia en el territorio». Algo</w:t>
      </w:r>
      <w:r>
        <w:rPr>
          <w:spacing w:val="-11"/>
        </w:rPr>
        <w:t xml:space="preserve"> </w:t>
      </w:r>
      <w:r>
        <w:t>que</w:t>
      </w:r>
      <w:r>
        <w:rPr>
          <w:spacing w:val="-11"/>
        </w:rPr>
        <w:t xml:space="preserve"> </w:t>
      </w:r>
      <w:r>
        <w:t>no</w:t>
      </w:r>
      <w:r>
        <w:rPr>
          <w:spacing w:val="-13"/>
        </w:rPr>
        <w:t xml:space="preserve"> </w:t>
      </w:r>
      <w:r>
        <w:t>ha</w:t>
      </w:r>
      <w:r>
        <w:rPr>
          <w:spacing w:val="-11"/>
        </w:rPr>
        <w:t xml:space="preserve"> </w:t>
      </w:r>
      <w:r>
        <w:t>sido</w:t>
      </w:r>
      <w:r>
        <w:rPr>
          <w:spacing w:val="-12"/>
        </w:rPr>
        <w:t xml:space="preserve"> </w:t>
      </w:r>
      <w:r>
        <w:t>posible</w:t>
      </w:r>
      <w:r>
        <w:rPr>
          <w:spacing w:val="-11"/>
        </w:rPr>
        <w:t xml:space="preserve"> </w:t>
      </w:r>
      <w:r>
        <w:t>debido</w:t>
      </w:r>
      <w:r>
        <w:rPr>
          <w:spacing w:val="-12"/>
        </w:rPr>
        <w:t xml:space="preserve"> </w:t>
      </w:r>
      <w:r>
        <w:t>al</w:t>
      </w:r>
      <w:r>
        <w:rPr>
          <w:spacing w:val="-12"/>
        </w:rPr>
        <w:t xml:space="preserve"> </w:t>
      </w:r>
      <w:r>
        <w:t>rezago</w:t>
      </w:r>
      <w:r>
        <w:rPr>
          <w:spacing w:val="-11"/>
        </w:rPr>
        <w:t xml:space="preserve"> </w:t>
      </w:r>
      <w:r>
        <w:t>en</w:t>
      </w:r>
      <w:r>
        <w:rPr>
          <w:spacing w:val="-12"/>
        </w:rPr>
        <w:t xml:space="preserve"> </w:t>
      </w:r>
      <w:r>
        <w:t>el</w:t>
      </w:r>
      <w:r>
        <w:rPr>
          <w:spacing w:val="-12"/>
        </w:rPr>
        <w:t xml:space="preserve"> </w:t>
      </w:r>
      <w:r>
        <w:t>cumplimiento</w:t>
      </w:r>
      <w:r>
        <w:rPr>
          <w:spacing w:val="-11"/>
        </w:rPr>
        <w:t xml:space="preserve"> </w:t>
      </w:r>
      <w:r>
        <w:t>de</w:t>
      </w:r>
      <w:r>
        <w:rPr>
          <w:spacing w:val="-12"/>
        </w:rPr>
        <w:t xml:space="preserve"> </w:t>
      </w:r>
      <w:r>
        <w:t>lo</w:t>
      </w:r>
      <w:r>
        <w:rPr>
          <w:spacing w:val="-12"/>
        </w:rPr>
        <w:t xml:space="preserve"> </w:t>
      </w:r>
      <w:r>
        <w:t>pactado</w:t>
      </w:r>
      <w:r>
        <w:rPr>
          <w:spacing w:val="-11"/>
        </w:rPr>
        <w:t xml:space="preserve"> </w:t>
      </w:r>
      <w:r>
        <w:t>en</w:t>
      </w:r>
      <w:r>
        <w:rPr>
          <w:spacing w:val="-12"/>
        </w:rPr>
        <w:t xml:space="preserve"> </w:t>
      </w:r>
      <w:r>
        <w:t>el</w:t>
      </w:r>
      <w:r>
        <w:rPr>
          <w:spacing w:val="-12"/>
        </w:rPr>
        <w:t xml:space="preserve"> </w:t>
      </w:r>
      <w:r>
        <w:t>Acuerdo Final. La reparación a las víctimas y la no repetición del conflicto armado implican, por lo tanto, la superación de estas violencias estructurales. No en vano, en su proceso de escucha la</w:t>
      </w:r>
      <w:r>
        <w:rPr>
          <w:spacing w:val="-3"/>
        </w:rPr>
        <w:t xml:space="preserve"> </w:t>
      </w:r>
      <w:r>
        <w:t>Comisión</w:t>
      </w:r>
      <w:r>
        <w:rPr>
          <w:spacing w:val="-5"/>
        </w:rPr>
        <w:t xml:space="preserve"> </w:t>
      </w:r>
      <w:r>
        <w:t>de</w:t>
      </w:r>
      <w:r>
        <w:rPr>
          <w:spacing w:val="-3"/>
        </w:rPr>
        <w:t xml:space="preserve"> </w:t>
      </w:r>
      <w:r>
        <w:t>la</w:t>
      </w:r>
      <w:r>
        <w:rPr>
          <w:spacing w:val="-3"/>
        </w:rPr>
        <w:t xml:space="preserve"> </w:t>
      </w:r>
      <w:r>
        <w:t>Verdad</w:t>
      </w:r>
      <w:r>
        <w:rPr>
          <w:spacing w:val="-5"/>
        </w:rPr>
        <w:t xml:space="preserve"> </w:t>
      </w:r>
      <w:r>
        <w:t>pudo</w:t>
      </w:r>
      <w:r>
        <w:rPr>
          <w:spacing w:val="-3"/>
        </w:rPr>
        <w:t xml:space="preserve"> </w:t>
      </w:r>
      <w:r>
        <w:t>comprobar</w:t>
      </w:r>
      <w:r>
        <w:rPr>
          <w:spacing w:val="-3"/>
        </w:rPr>
        <w:t xml:space="preserve"> </w:t>
      </w:r>
      <w:r>
        <w:t>que</w:t>
      </w:r>
      <w:r>
        <w:rPr>
          <w:spacing w:val="-3"/>
        </w:rPr>
        <w:t xml:space="preserve"> </w:t>
      </w:r>
      <w:r>
        <w:t>durante</w:t>
      </w:r>
      <w:r>
        <w:rPr>
          <w:spacing w:val="-3"/>
        </w:rPr>
        <w:t xml:space="preserve"> </w:t>
      </w:r>
      <w:r>
        <w:t>el</w:t>
      </w:r>
      <w:r>
        <w:rPr>
          <w:spacing w:val="-3"/>
        </w:rPr>
        <w:t xml:space="preserve"> </w:t>
      </w:r>
      <w:r>
        <w:t>conflicto</w:t>
      </w:r>
      <w:r>
        <w:rPr>
          <w:spacing w:val="-3"/>
        </w:rPr>
        <w:t xml:space="preserve"> </w:t>
      </w:r>
      <w:r>
        <w:t>armado</w:t>
      </w:r>
      <w:r>
        <w:rPr>
          <w:spacing w:val="-5"/>
        </w:rPr>
        <w:t xml:space="preserve"> </w:t>
      </w:r>
      <w:r>
        <w:t>todos</w:t>
      </w:r>
      <w:r>
        <w:rPr>
          <w:spacing w:val="-3"/>
        </w:rPr>
        <w:t xml:space="preserve"> </w:t>
      </w:r>
      <w:r>
        <w:t>los</w:t>
      </w:r>
      <w:r>
        <w:rPr>
          <w:spacing w:val="-3"/>
        </w:rPr>
        <w:t xml:space="preserve"> </w:t>
      </w:r>
      <w:r>
        <w:t xml:space="preserve">grupos armados, legales e ilegales, en mayor o menor grado, ejercieron la violencia reproduciendo </w:t>
      </w:r>
      <w:r>
        <w:rPr>
          <w:spacing w:val="-2"/>
        </w:rPr>
        <w:t>esos</w:t>
      </w:r>
      <w:r>
        <w:rPr>
          <w:spacing w:val="-6"/>
        </w:rPr>
        <w:t xml:space="preserve"> </w:t>
      </w:r>
      <w:r>
        <w:rPr>
          <w:spacing w:val="-2"/>
        </w:rPr>
        <w:t>imaginarios,</w:t>
      </w:r>
      <w:r>
        <w:rPr>
          <w:spacing w:val="-3"/>
        </w:rPr>
        <w:t xml:space="preserve"> </w:t>
      </w:r>
      <w:r>
        <w:rPr>
          <w:spacing w:val="-2"/>
        </w:rPr>
        <w:t>esas</w:t>
      </w:r>
      <w:r>
        <w:rPr>
          <w:spacing w:val="-3"/>
        </w:rPr>
        <w:t xml:space="preserve"> </w:t>
      </w:r>
      <w:r>
        <w:rPr>
          <w:spacing w:val="-2"/>
        </w:rPr>
        <w:t>violencias que nacen</w:t>
      </w:r>
      <w:r>
        <w:rPr>
          <w:spacing w:val="-3"/>
        </w:rPr>
        <w:t xml:space="preserve"> </w:t>
      </w:r>
      <w:r>
        <w:rPr>
          <w:spacing w:val="-2"/>
        </w:rPr>
        <w:t>de modelos</w:t>
      </w:r>
      <w:r>
        <w:rPr>
          <w:spacing w:val="-3"/>
        </w:rPr>
        <w:t xml:space="preserve"> </w:t>
      </w:r>
      <w:r>
        <w:rPr>
          <w:spacing w:val="-2"/>
        </w:rPr>
        <w:t>ideológicos</w:t>
      </w:r>
      <w:r>
        <w:rPr>
          <w:spacing w:val="-3"/>
        </w:rPr>
        <w:t xml:space="preserve"> </w:t>
      </w:r>
      <w:r>
        <w:rPr>
          <w:spacing w:val="-2"/>
        </w:rPr>
        <w:t>coloniales y</w:t>
      </w:r>
      <w:r>
        <w:rPr>
          <w:spacing w:val="-3"/>
        </w:rPr>
        <w:t xml:space="preserve"> </w:t>
      </w:r>
      <w:r>
        <w:rPr>
          <w:spacing w:val="-2"/>
        </w:rPr>
        <w:t>excluyentes.</w:t>
      </w:r>
    </w:p>
    <w:p w:rsidR="0011361F" w:rsidRDefault="00AF18A5" w:rsidP="004A6EF4">
      <w:pPr>
        <w:pStyle w:val="Ttulo3"/>
        <w:numPr>
          <w:ilvl w:val="1"/>
          <w:numId w:val="16"/>
        </w:numPr>
      </w:pPr>
      <w:bookmarkStart w:id="1354" w:name="10.2._Hallazgos"/>
      <w:bookmarkStart w:id="1355" w:name="_Toc112399653"/>
      <w:bookmarkEnd w:id="1354"/>
      <w:r w:rsidRPr="00F77D6C">
        <w:t>Hallazgos</w:t>
      </w:r>
      <w:bookmarkEnd w:id="1355"/>
    </w:p>
    <w:p w:rsidR="0011361F" w:rsidRDefault="00AF18A5" w:rsidP="00B11513">
      <w:pPr>
        <w:rPr>
          <w:b/>
        </w:rPr>
      </w:pPr>
      <w:r>
        <w:t>Los</w:t>
      </w:r>
      <w:r>
        <w:rPr>
          <w:spacing w:val="-4"/>
        </w:rPr>
        <w:t xml:space="preserve"> </w:t>
      </w:r>
      <w:r>
        <w:t>hallazgos</w:t>
      </w:r>
      <w:r>
        <w:rPr>
          <w:spacing w:val="-1"/>
        </w:rPr>
        <w:t xml:space="preserve"> </w:t>
      </w:r>
      <w:r>
        <w:t>que</w:t>
      </w:r>
      <w:r>
        <w:rPr>
          <w:spacing w:val="-1"/>
        </w:rPr>
        <w:t xml:space="preserve"> </w:t>
      </w:r>
      <w:r>
        <w:t>a</w:t>
      </w:r>
      <w:r>
        <w:rPr>
          <w:spacing w:val="-1"/>
        </w:rPr>
        <w:t xml:space="preserve"> </w:t>
      </w:r>
      <w:r>
        <w:t>continuación</w:t>
      </w:r>
      <w:r>
        <w:rPr>
          <w:spacing w:val="-1"/>
        </w:rPr>
        <w:t xml:space="preserve"> </w:t>
      </w:r>
      <w:r>
        <w:t>describimos</w:t>
      </w:r>
      <w:r>
        <w:rPr>
          <w:spacing w:val="-3"/>
        </w:rPr>
        <w:t xml:space="preserve"> </w:t>
      </w:r>
      <w:r>
        <w:t>están</w:t>
      </w:r>
      <w:r>
        <w:rPr>
          <w:spacing w:val="-1"/>
        </w:rPr>
        <w:t xml:space="preserve"> </w:t>
      </w:r>
      <w:r>
        <w:t>basados</w:t>
      </w:r>
      <w:r>
        <w:rPr>
          <w:spacing w:val="-3"/>
        </w:rPr>
        <w:t xml:space="preserve"> </w:t>
      </w:r>
      <w:r>
        <w:t>en</w:t>
      </w:r>
      <w:r>
        <w:rPr>
          <w:spacing w:val="-1"/>
        </w:rPr>
        <w:t xml:space="preserve"> </w:t>
      </w:r>
      <w:r>
        <w:t>estas</w:t>
      </w:r>
      <w:r>
        <w:rPr>
          <w:spacing w:val="-1"/>
        </w:rPr>
        <w:t xml:space="preserve"> </w:t>
      </w:r>
      <w:r>
        <w:rPr>
          <w:spacing w:val="-2"/>
        </w:rPr>
        <w:t>nociones</w:t>
      </w:r>
      <w:r>
        <w:rPr>
          <w:b/>
          <w:spacing w:val="-2"/>
        </w:rPr>
        <w:t>:</w:t>
      </w:r>
    </w:p>
    <w:p w:rsidR="003804AC" w:rsidRDefault="00AF18A5" w:rsidP="004A6EF4">
      <w:pPr>
        <w:pStyle w:val="Prrafodelista"/>
        <w:numPr>
          <w:ilvl w:val="0"/>
          <w:numId w:val="24"/>
        </w:numPr>
      </w:pPr>
      <w:r>
        <w:t>El acumulado histórico de la configuración de la nación nos ha conducido a la construcción</w:t>
      </w:r>
      <w:r w:rsidRPr="00B11513">
        <w:rPr>
          <w:spacing w:val="-7"/>
        </w:rPr>
        <w:t xml:space="preserve"> </w:t>
      </w:r>
      <w:r>
        <w:t>de</w:t>
      </w:r>
      <w:r w:rsidRPr="00B11513">
        <w:rPr>
          <w:spacing w:val="-6"/>
        </w:rPr>
        <w:t xml:space="preserve"> </w:t>
      </w:r>
      <w:r>
        <w:t>una</w:t>
      </w:r>
      <w:r w:rsidRPr="00B11513">
        <w:rPr>
          <w:spacing w:val="-6"/>
        </w:rPr>
        <w:t xml:space="preserve"> </w:t>
      </w:r>
      <w:r>
        <w:t>idea</w:t>
      </w:r>
      <w:r w:rsidRPr="00B11513">
        <w:rPr>
          <w:spacing w:val="-7"/>
        </w:rPr>
        <w:t xml:space="preserve"> </w:t>
      </w:r>
      <w:r>
        <w:t>acotada</w:t>
      </w:r>
      <w:r w:rsidRPr="00B11513">
        <w:rPr>
          <w:spacing w:val="-6"/>
        </w:rPr>
        <w:t xml:space="preserve"> </w:t>
      </w:r>
      <w:r>
        <w:t>y</w:t>
      </w:r>
      <w:r w:rsidRPr="00B11513">
        <w:rPr>
          <w:spacing w:val="-7"/>
        </w:rPr>
        <w:t xml:space="preserve"> </w:t>
      </w:r>
      <w:r>
        <w:t>maniquea</w:t>
      </w:r>
      <w:r w:rsidRPr="00B11513">
        <w:rPr>
          <w:spacing w:val="-6"/>
        </w:rPr>
        <w:t xml:space="preserve"> </w:t>
      </w:r>
      <w:r>
        <w:t>del</w:t>
      </w:r>
      <w:r w:rsidRPr="00B11513">
        <w:rPr>
          <w:spacing w:val="-7"/>
        </w:rPr>
        <w:t xml:space="preserve"> </w:t>
      </w:r>
      <w:r>
        <w:t>otro,</w:t>
      </w:r>
      <w:r w:rsidRPr="00B11513">
        <w:rPr>
          <w:spacing w:val="-6"/>
        </w:rPr>
        <w:t xml:space="preserve"> </w:t>
      </w:r>
      <w:r>
        <w:t>de</w:t>
      </w:r>
      <w:r w:rsidRPr="00B11513">
        <w:rPr>
          <w:spacing w:val="-6"/>
        </w:rPr>
        <w:t xml:space="preserve"> </w:t>
      </w:r>
      <w:r>
        <w:t>la</w:t>
      </w:r>
      <w:r w:rsidRPr="00B11513">
        <w:rPr>
          <w:spacing w:val="-6"/>
        </w:rPr>
        <w:t xml:space="preserve"> </w:t>
      </w:r>
      <w:r>
        <w:t>otra</w:t>
      </w:r>
      <w:r w:rsidRPr="00B11513">
        <w:rPr>
          <w:spacing w:val="-6"/>
        </w:rPr>
        <w:t xml:space="preserve"> </w:t>
      </w:r>
      <w:r>
        <w:t>y</w:t>
      </w:r>
      <w:r w:rsidRPr="00B11513">
        <w:rPr>
          <w:spacing w:val="-6"/>
        </w:rPr>
        <w:t xml:space="preserve"> </w:t>
      </w:r>
      <w:r>
        <w:t>de</w:t>
      </w:r>
      <w:r w:rsidRPr="00B11513">
        <w:rPr>
          <w:spacing w:val="-6"/>
        </w:rPr>
        <w:t xml:space="preserve"> </w:t>
      </w:r>
      <w:r>
        <w:t>lo</w:t>
      </w:r>
      <w:r w:rsidRPr="00B11513">
        <w:rPr>
          <w:spacing w:val="-6"/>
        </w:rPr>
        <w:t xml:space="preserve"> </w:t>
      </w:r>
      <w:r>
        <w:t>otro,</w:t>
      </w:r>
      <w:r w:rsidRPr="00B11513">
        <w:rPr>
          <w:spacing w:val="-6"/>
        </w:rPr>
        <w:t xml:space="preserve"> </w:t>
      </w:r>
      <w:r>
        <w:t>que</w:t>
      </w:r>
      <w:r w:rsidRPr="00B11513">
        <w:rPr>
          <w:spacing w:val="-6"/>
        </w:rPr>
        <w:t xml:space="preserve"> </w:t>
      </w:r>
      <w:r>
        <w:t>nos impide construir un «nosotros» incluyente y, por lo tanto, fortalecer la democracia con una ética pública ampliamente compartida.</w:t>
      </w:r>
    </w:p>
    <w:p w:rsidR="003804AC" w:rsidRDefault="00AF18A5" w:rsidP="004A6EF4">
      <w:pPr>
        <w:pStyle w:val="Prrafodelista"/>
        <w:numPr>
          <w:ilvl w:val="0"/>
          <w:numId w:val="24"/>
        </w:numPr>
      </w:pPr>
      <w:r>
        <w:t>Herencias</w:t>
      </w:r>
      <w:r w:rsidRPr="00B11513">
        <w:rPr>
          <w:spacing w:val="-2"/>
        </w:rPr>
        <w:t xml:space="preserve"> </w:t>
      </w:r>
      <w:r>
        <w:t>culturales</w:t>
      </w:r>
      <w:r w:rsidRPr="00B11513">
        <w:rPr>
          <w:spacing w:val="-3"/>
        </w:rPr>
        <w:t xml:space="preserve"> </w:t>
      </w:r>
      <w:r>
        <w:t>coloniales</w:t>
      </w:r>
      <w:r w:rsidRPr="00B11513">
        <w:rPr>
          <w:spacing w:val="-2"/>
        </w:rPr>
        <w:t xml:space="preserve"> </w:t>
      </w:r>
      <w:r>
        <w:t>que</w:t>
      </w:r>
      <w:r w:rsidRPr="00B11513">
        <w:rPr>
          <w:spacing w:val="-3"/>
        </w:rPr>
        <w:t xml:space="preserve"> </w:t>
      </w:r>
      <w:r>
        <w:t>se</w:t>
      </w:r>
      <w:r w:rsidRPr="00B11513">
        <w:rPr>
          <w:spacing w:val="-2"/>
        </w:rPr>
        <w:t xml:space="preserve"> </w:t>
      </w:r>
      <w:r>
        <w:t>han</w:t>
      </w:r>
      <w:r w:rsidRPr="00B11513">
        <w:rPr>
          <w:spacing w:val="-2"/>
        </w:rPr>
        <w:t xml:space="preserve"> </w:t>
      </w:r>
      <w:r>
        <w:t>mantenido</w:t>
      </w:r>
      <w:r w:rsidRPr="00B11513">
        <w:rPr>
          <w:spacing w:val="-2"/>
        </w:rPr>
        <w:t xml:space="preserve"> </w:t>
      </w:r>
      <w:r>
        <w:t>en</w:t>
      </w:r>
      <w:r w:rsidRPr="00B11513">
        <w:rPr>
          <w:spacing w:val="-2"/>
        </w:rPr>
        <w:t xml:space="preserve"> </w:t>
      </w:r>
      <w:r>
        <w:t>el</w:t>
      </w:r>
      <w:r w:rsidRPr="00B11513">
        <w:rPr>
          <w:spacing w:val="-2"/>
        </w:rPr>
        <w:t xml:space="preserve"> </w:t>
      </w:r>
      <w:r>
        <w:t>tiempo</w:t>
      </w:r>
      <w:r w:rsidRPr="00B11513">
        <w:rPr>
          <w:spacing w:val="-2"/>
        </w:rPr>
        <w:t xml:space="preserve"> </w:t>
      </w:r>
      <w:r>
        <w:t>se</w:t>
      </w:r>
      <w:r w:rsidRPr="00B11513">
        <w:rPr>
          <w:spacing w:val="-2"/>
        </w:rPr>
        <w:t xml:space="preserve"> </w:t>
      </w:r>
      <w:r>
        <w:t>manifiestan</w:t>
      </w:r>
      <w:r w:rsidRPr="00B11513">
        <w:rPr>
          <w:spacing w:val="-3"/>
        </w:rPr>
        <w:t xml:space="preserve"> </w:t>
      </w:r>
      <w:r>
        <w:t xml:space="preserve">en la cultura contemporánea, estimulando violencias estructurales basadas en la </w:t>
      </w:r>
      <w:r w:rsidRPr="00B11513">
        <w:rPr>
          <w:spacing w:val="-2"/>
        </w:rPr>
        <w:t>exclusión</w:t>
      </w:r>
      <w:r w:rsidRPr="00B11513">
        <w:rPr>
          <w:spacing w:val="-5"/>
        </w:rPr>
        <w:t xml:space="preserve"> </w:t>
      </w:r>
      <w:r w:rsidRPr="00B11513">
        <w:rPr>
          <w:spacing w:val="-2"/>
        </w:rPr>
        <w:t>social</w:t>
      </w:r>
      <w:r w:rsidRPr="00B11513">
        <w:rPr>
          <w:spacing w:val="-7"/>
        </w:rPr>
        <w:t xml:space="preserve"> </w:t>
      </w:r>
      <w:r w:rsidRPr="00B11513">
        <w:rPr>
          <w:spacing w:val="-2"/>
        </w:rPr>
        <w:t>de</w:t>
      </w:r>
      <w:r w:rsidRPr="00B11513">
        <w:rPr>
          <w:spacing w:val="-7"/>
        </w:rPr>
        <w:t xml:space="preserve"> </w:t>
      </w:r>
      <w:r w:rsidRPr="00B11513">
        <w:rPr>
          <w:spacing w:val="-2"/>
        </w:rPr>
        <w:t>amplias</w:t>
      </w:r>
      <w:r w:rsidRPr="00B11513">
        <w:rPr>
          <w:spacing w:val="-5"/>
        </w:rPr>
        <w:t xml:space="preserve"> </w:t>
      </w:r>
      <w:r w:rsidRPr="00B11513">
        <w:rPr>
          <w:spacing w:val="-2"/>
        </w:rPr>
        <w:t>capas</w:t>
      </w:r>
      <w:r w:rsidRPr="00B11513">
        <w:rPr>
          <w:spacing w:val="-5"/>
        </w:rPr>
        <w:t xml:space="preserve"> </w:t>
      </w:r>
      <w:r w:rsidRPr="00B11513">
        <w:rPr>
          <w:spacing w:val="-2"/>
        </w:rPr>
        <w:t>de</w:t>
      </w:r>
      <w:r w:rsidRPr="00B11513">
        <w:rPr>
          <w:spacing w:val="-7"/>
        </w:rPr>
        <w:t xml:space="preserve"> </w:t>
      </w:r>
      <w:r w:rsidRPr="00B11513">
        <w:rPr>
          <w:spacing w:val="-2"/>
        </w:rPr>
        <w:t>población</w:t>
      </w:r>
      <w:r w:rsidRPr="00B11513">
        <w:rPr>
          <w:spacing w:val="-7"/>
        </w:rPr>
        <w:t xml:space="preserve"> </w:t>
      </w:r>
      <w:r w:rsidRPr="00B11513">
        <w:rPr>
          <w:spacing w:val="-2"/>
        </w:rPr>
        <w:t>y</w:t>
      </w:r>
      <w:r w:rsidRPr="00B11513">
        <w:rPr>
          <w:spacing w:val="-7"/>
        </w:rPr>
        <w:t xml:space="preserve"> </w:t>
      </w:r>
      <w:r w:rsidRPr="00B11513">
        <w:rPr>
          <w:spacing w:val="-2"/>
        </w:rPr>
        <w:t>territorios,</w:t>
      </w:r>
      <w:r w:rsidRPr="00B11513">
        <w:rPr>
          <w:spacing w:val="-5"/>
        </w:rPr>
        <w:t xml:space="preserve"> </w:t>
      </w:r>
      <w:r w:rsidRPr="00B11513">
        <w:rPr>
          <w:spacing w:val="-2"/>
        </w:rPr>
        <w:t>que</w:t>
      </w:r>
      <w:r w:rsidRPr="00B11513">
        <w:rPr>
          <w:spacing w:val="-7"/>
        </w:rPr>
        <w:t xml:space="preserve"> </w:t>
      </w:r>
      <w:r w:rsidRPr="00B11513">
        <w:rPr>
          <w:spacing w:val="-2"/>
        </w:rPr>
        <w:t>conducen</w:t>
      </w:r>
      <w:r w:rsidRPr="00B11513">
        <w:rPr>
          <w:spacing w:val="-7"/>
        </w:rPr>
        <w:t xml:space="preserve"> </w:t>
      </w:r>
      <w:r w:rsidRPr="00B11513">
        <w:rPr>
          <w:spacing w:val="-2"/>
        </w:rPr>
        <w:t>o</w:t>
      </w:r>
      <w:r w:rsidRPr="00B11513">
        <w:rPr>
          <w:spacing w:val="-7"/>
        </w:rPr>
        <w:t xml:space="preserve"> </w:t>
      </w:r>
      <w:r w:rsidRPr="00B11513">
        <w:rPr>
          <w:spacing w:val="-2"/>
        </w:rPr>
        <w:t xml:space="preserve">propician </w:t>
      </w:r>
      <w:r>
        <w:t xml:space="preserve">la </w:t>
      </w:r>
      <w:r>
        <w:lastRenderedPageBreak/>
        <w:t>presencia de las violencias armadas.</w:t>
      </w:r>
    </w:p>
    <w:p w:rsidR="003804AC" w:rsidRDefault="00AF18A5" w:rsidP="004A6EF4">
      <w:pPr>
        <w:pStyle w:val="Prrafodelista"/>
        <w:numPr>
          <w:ilvl w:val="0"/>
          <w:numId w:val="24"/>
        </w:numPr>
      </w:pPr>
      <w:r>
        <w:t>A</w:t>
      </w:r>
      <w:r w:rsidRPr="00B11513">
        <w:rPr>
          <w:spacing w:val="-14"/>
        </w:rPr>
        <w:t xml:space="preserve"> </w:t>
      </w:r>
      <w:r>
        <w:t>su</w:t>
      </w:r>
      <w:r w:rsidRPr="00B11513">
        <w:rPr>
          <w:spacing w:val="-13"/>
        </w:rPr>
        <w:t xml:space="preserve"> </w:t>
      </w:r>
      <w:r>
        <w:t>vez,</w:t>
      </w:r>
      <w:r w:rsidRPr="00B11513">
        <w:rPr>
          <w:spacing w:val="-13"/>
        </w:rPr>
        <w:t xml:space="preserve"> </w:t>
      </w:r>
      <w:r>
        <w:t>la</w:t>
      </w:r>
      <w:r w:rsidRPr="00B11513">
        <w:rPr>
          <w:spacing w:val="-15"/>
        </w:rPr>
        <w:t xml:space="preserve"> </w:t>
      </w:r>
      <w:r>
        <w:t>persistencia</w:t>
      </w:r>
      <w:r w:rsidRPr="00B11513">
        <w:rPr>
          <w:spacing w:val="-14"/>
        </w:rPr>
        <w:t xml:space="preserve"> </w:t>
      </w:r>
      <w:r>
        <w:t>del</w:t>
      </w:r>
      <w:r w:rsidRPr="00B11513">
        <w:rPr>
          <w:spacing w:val="-13"/>
        </w:rPr>
        <w:t xml:space="preserve"> </w:t>
      </w:r>
      <w:r>
        <w:t>conflicto</w:t>
      </w:r>
      <w:r w:rsidRPr="00B11513">
        <w:rPr>
          <w:spacing w:val="-14"/>
        </w:rPr>
        <w:t xml:space="preserve"> </w:t>
      </w:r>
      <w:r>
        <w:t>armado</w:t>
      </w:r>
      <w:r w:rsidRPr="00B11513">
        <w:rPr>
          <w:spacing w:val="-13"/>
        </w:rPr>
        <w:t xml:space="preserve"> </w:t>
      </w:r>
      <w:r>
        <w:t>ha</w:t>
      </w:r>
      <w:r w:rsidRPr="00B11513">
        <w:rPr>
          <w:spacing w:val="-14"/>
        </w:rPr>
        <w:t xml:space="preserve"> </w:t>
      </w:r>
      <w:r>
        <w:t>llevado</w:t>
      </w:r>
      <w:r w:rsidRPr="00B11513">
        <w:rPr>
          <w:spacing w:val="-13"/>
        </w:rPr>
        <w:t xml:space="preserve"> </w:t>
      </w:r>
      <w:r>
        <w:t>al</w:t>
      </w:r>
      <w:r w:rsidRPr="00B11513">
        <w:rPr>
          <w:spacing w:val="-14"/>
        </w:rPr>
        <w:t xml:space="preserve"> </w:t>
      </w:r>
      <w:r>
        <w:t>uso</w:t>
      </w:r>
      <w:r w:rsidRPr="00B11513">
        <w:rPr>
          <w:spacing w:val="-15"/>
        </w:rPr>
        <w:t xml:space="preserve"> </w:t>
      </w:r>
      <w:r>
        <w:t>y</w:t>
      </w:r>
      <w:r w:rsidRPr="00B11513">
        <w:rPr>
          <w:spacing w:val="-13"/>
        </w:rPr>
        <w:t xml:space="preserve"> </w:t>
      </w:r>
      <w:r>
        <w:t>reedición</w:t>
      </w:r>
      <w:r w:rsidRPr="00B11513">
        <w:rPr>
          <w:spacing w:val="-15"/>
        </w:rPr>
        <w:t xml:space="preserve"> </w:t>
      </w:r>
      <w:r>
        <w:t>de</w:t>
      </w:r>
      <w:r w:rsidRPr="00B11513">
        <w:rPr>
          <w:spacing w:val="-13"/>
        </w:rPr>
        <w:t xml:space="preserve"> </w:t>
      </w:r>
      <w:r>
        <w:t>valores, imaginarios y prácticas que se arraigaron a la matriz cultural. Lo que impide una convivencia pacífica y democrática y una búsqueda de soluciones pacíficas a los conflictos sociales y al fin de las violencias.</w:t>
      </w:r>
    </w:p>
    <w:p w:rsidR="003804AC" w:rsidRDefault="00AF18A5" w:rsidP="004A6EF4">
      <w:pPr>
        <w:pStyle w:val="Prrafodelista"/>
        <w:numPr>
          <w:ilvl w:val="0"/>
          <w:numId w:val="24"/>
        </w:numPr>
      </w:pPr>
      <w:r>
        <w:t xml:space="preserve">Una democracia y una justicia de baja intensidad, razón y consecuencia de la persistencia del conflicto armado han estimulado la desconfianza y abierto paso a la </w:t>
      </w:r>
      <w:r w:rsidRPr="00B11513">
        <w:rPr>
          <w:spacing w:val="-2"/>
        </w:rPr>
        <w:t>ilegalidad.</w:t>
      </w:r>
    </w:p>
    <w:p w:rsidR="0011361F" w:rsidRDefault="00AF18A5" w:rsidP="004A6EF4">
      <w:pPr>
        <w:pStyle w:val="Ttulo3"/>
        <w:numPr>
          <w:ilvl w:val="1"/>
          <w:numId w:val="16"/>
        </w:numPr>
      </w:pPr>
      <w:bookmarkStart w:id="1356" w:name="10.3._La_noción_acotada_que_hemos_constr"/>
      <w:bookmarkStart w:id="1357" w:name="_Toc112399654"/>
      <w:bookmarkEnd w:id="1356"/>
      <w:r>
        <w:t>La</w:t>
      </w:r>
      <w:r>
        <w:rPr>
          <w:spacing w:val="-2"/>
        </w:rPr>
        <w:t xml:space="preserve"> </w:t>
      </w:r>
      <w:r>
        <w:t>noción</w:t>
      </w:r>
      <w:r>
        <w:rPr>
          <w:spacing w:val="-2"/>
        </w:rPr>
        <w:t xml:space="preserve"> </w:t>
      </w:r>
      <w:r>
        <w:t>acotada</w:t>
      </w:r>
      <w:r>
        <w:rPr>
          <w:spacing w:val="-1"/>
        </w:rPr>
        <w:t xml:space="preserve"> </w:t>
      </w:r>
      <w:r>
        <w:t>que</w:t>
      </w:r>
      <w:r>
        <w:rPr>
          <w:spacing w:val="-2"/>
        </w:rPr>
        <w:t xml:space="preserve"> </w:t>
      </w:r>
      <w:r>
        <w:t>hemos</w:t>
      </w:r>
      <w:r>
        <w:rPr>
          <w:spacing w:val="-1"/>
        </w:rPr>
        <w:t xml:space="preserve"> </w:t>
      </w:r>
      <w:r w:rsidRPr="00B11513">
        <w:t>construido</w:t>
      </w:r>
      <w:r>
        <w:rPr>
          <w:spacing w:val="-1"/>
        </w:rPr>
        <w:t xml:space="preserve"> </w:t>
      </w:r>
      <w:r>
        <w:t>del</w:t>
      </w:r>
      <w:r>
        <w:rPr>
          <w:spacing w:val="-2"/>
        </w:rPr>
        <w:t xml:space="preserve"> </w:t>
      </w:r>
      <w:r>
        <w:t>otro,</w:t>
      </w:r>
      <w:r>
        <w:rPr>
          <w:spacing w:val="-1"/>
        </w:rPr>
        <w:t xml:space="preserve"> </w:t>
      </w:r>
      <w:r>
        <w:t>de</w:t>
      </w:r>
      <w:r>
        <w:rPr>
          <w:spacing w:val="-1"/>
        </w:rPr>
        <w:t xml:space="preserve"> </w:t>
      </w:r>
      <w:r>
        <w:t>la</w:t>
      </w:r>
      <w:r>
        <w:rPr>
          <w:spacing w:val="-1"/>
        </w:rPr>
        <w:t xml:space="preserve"> </w:t>
      </w:r>
      <w:r>
        <w:rPr>
          <w:spacing w:val="-4"/>
        </w:rPr>
        <w:t>otra</w:t>
      </w:r>
      <w:bookmarkEnd w:id="1357"/>
    </w:p>
    <w:p w:rsidR="0011361F" w:rsidRDefault="00AF18A5" w:rsidP="00B11513">
      <w:r>
        <w:t>En el centro</w:t>
      </w:r>
      <w:r>
        <w:rPr>
          <w:spacing w:val="-2"/>
        </w:rPr>
        <w:t xml:space="preserve"> </w:t>
      </w:r>
      <w:r>
        <w:t>de lo que ha</w:t>
      </w:r>
      <w:r>
        <w:rPr>
          <w:spacing w:val="-1"/>
        </w:rPr>
        <w:t xml:space="preserve"> </w:t>
      </w:r>
      <w:r>
        <w:t>recogido la</w:t>
      </w:r>
      <w:r>
        <w:rPr>
          <w:spacing w:val="-1"/>
        </w:rPr>
        <w:t xml:space="preserve"> </w:t>
      </w:r>
      <w:r>
        <w:t>Comisión de</w:t>
      </w:r>
      <w:r>
        <w:rPr>
          <w:spacing w:val="-1"/>
        </w:rPr>
        <w:t xml:space="preserve"> </w:t>
      </w:r>
      <w:r>
        <w:t>la Verdad está «la noción del otro y</w:t>
      </w:r>
      <w:r>
        <w:rPr>
          <w:spacing w:val="-2"/>
        </w:rPr>
        <w:t xml:space="preserve"> </w:t>
      </w:r>
      <w:r>
        <w:t>de la otra» como un asunto problemático, fundante de valoraciones y relaciones comunes en la cultura. Como nación, hemos construido una idea del otro muy acotada e influida por intereses, odios e ignorancia. . . Una identidad negativa basada en el racismo y el clasismo, que ha estado en la base de la violencia contra culturas, pueblos e identidades diversas. Colombia se</w:t>
      </w:r>
      <w:r>
        <w:rPr>
          <w:spacing w:val="2"/>
        </w:rPr>
        <w:t xml:space="preserve"> </w:t>
      </w:r>
      <w:r>
        <w:t>ha</w:t>
      </w:r>
      <w:r>
        <w:rPr>
          <w:spacing w:val="4"/>
        </w:rPr>
        <w:t xml:space="preserve"> </w:t>
      </w:r>
      <w:r>
        <w:t>construido</w:t>
      </w:r>
      <w:r>
        <w:rPr>
          <w:spacing w:val="3"/>
        </w:rPr>
        <w:t xml:space="preserve"> </w:t>
      </w:r>
      <w:r>
        <w:t>también</w:t>
      </w:r>
      <w:r>
        <w:rPr>
          <w:spacing w:val="2"/>
        </w:rPr>
        <w:t xml:space="preserve"> </w:t>
      </w:r>
      <w:r>
        <w:t>con</w:t>
      </w:r>
      <w:r>
        <w:rPr>
          <w:spacing w:val="3"/>
        </w:rPr>
        <w:t xml:space="preserve"> </w:t>
      </w:r>
      <w:r>
        <w:t>un</w:t>
      </w:r>
      <w:r>
        <w:rPr>
          <w:spacing w:val="3"/>
        </w:rPr>
        <w:t xml:space="preserve"> </w:t>
      </w:r>
      <w:r>
        <w:t>miedo</w:t>
      </w:r>
      <w:r>
        <w:rPr>
          <w:spacing w:val="4"/>
        </w:rPr>
        <w:t xml:space="preserve"> </w:t>
      </w:r>
      <w:r>
        <w:t>al</w:t>
      </w:r>
      <w:r>
        <w:rPr>
          <w:spacing w:val="4"/>
        </w:rPr>
        <w:t xml:space="preserve"> </w:t>
      </w:r>
      <w:r>
        <w:t>pobre,</w:t>
      </w:r>
      <w:r>
        <w:rPr>
          <w:spacing w:val="3"/>
        </w:rPr>
        <w:t xml:space="preserve"> </w:t>
      </w:r>
      <w:r>
        <w:t>a</w:t>
      </w:r>
      <w:r>
        <w:rPr>
          <w:spacing w:val="2"/>
        </w:rPr>
        <w:t xml:space="preserve"> </w:t>
      </w:r>
      <w:r>
        <w:t>los</w:t>
      </w:r>
      <w:r>
        <w:rPr>
          <w:spacing w:val="4"/>
        </w:rPr>
        <w:t xml:space="preserve"> </w:t>
      </w:r>
      <w:r>
        <w:t>sectores</w:t>
      </w:r>
      <w:r>
        <w:rPr>
          <w:spacing w:val="2"/>
        </w:rPr>
        <w:t xml:space="preserve"> </w:t>
      </w:r>
      <w:r>
        <w:t>que</w:t>
      </w:r>
      <w:r>
        <w:rPr>
          <w:spacing w:val="4"/>
        </w:rPr>
        <w:t xml:space="preserve"> </w:t>
      </w:r>
      <w:r>
        <w:t>se</w:t>
      </w:r>
      <w:r>
        <w:rPr>
          <w:spacing w:val="3"/>
        </w:rPr>
        <w:t xml:space="preserve"> </w:t>
      </w:r>
      <w:r>
        <w:rPr>
          <w:spacing w:val="-2"/>
        </w:rPr>
        <w:t>consideran</w:t>
      </w:r>
      <w:r w:rsidR="00B11513">
        <w:t xml:space="preserve"> </w:t>
      </w:r>
      <w:r>
        <w:t>«de abajo». Se trata de una sociedad donde la relación con el Estado está mediada por la estratificación económica. Todo ello nos separa y nos impide reconocernos como iguales, como sujetos con la misma dignidad y derechos. Este fenómeno se refleja en las relaciones cotidianas,</w:t>
      </w:r>
      <w:r>
        <w:rPr>
          <w:spacing w:val="-9"/>
        </w:rPr>
        <w:t xml:space="preserve"> </w:t>
      </w:r>
      <w:r>
        <w:t>en</w:t>
      </w:r>
      <w:r>
        <w:rPr>
          <w:spacing w:val="-7"/>
        </w:rPr>
        <w:t xml:space="preserve"> </w:t>
      </w:r>
      <w:r>
        <w:t>la</w:t>
      </w:r>
      <w:r>
        <w:rPr>
          <w:spacing w:val="-7"/>
        </w:rPr>
        <w:t xml:space="preserve"> </w:t>
      </w:r>
      <w:r>
        <w:t>forma</w:t>
      </w:r>
      <w:r>
        <w:rPr>
          <w:spacing w:val="-7"/>
        </w:rPr>
        <w:t xml:space="preserve"> </w:t>
      </w:r>
      <w:r>
        <w:t>en</w:t>
      </w:r>
      <w:r>
        <w:rPr>
          <w:spacing w:val="-7"/>
        </w:rPr>
        <w:t xml:space="preserve"> </w:t>
      </w:r>
      <w:r>
        <w:t>que</w:t>
      </w:r>
      <w:r>
        <w:rPr>
          <w:spacing w:val="-7"/>
        </w:rPr>
        <w:t xml:space="preserve"> </w:t>
      </w:r>
      <w:r>
        <w:t>el</w:t>
      </w:r>
      <w:r>
        <w:rPr>
          <w:spacing w:val="-7"/>
        </w:rPr>
        <w:t xml:space="preserve"> </w:t>
      </w:r>
      <w:r>
        <w:t>Estado</w:t>
      </w:r>
      <w:r>
        <w:rPr>
          <w:spacing w:val="-7"/>
        </w:rPr>
        <w:t xml:space="preserve"> </w:t>
      </w:r>
      <w:r>
        <w:t>se</w:t>
      </w:r>
      <w:r>
        <w:rPr>
          <w:spacing w:val="-7"/>
        </w:rPr>
        <w:t xml:space="preserve"> </w:t>
      </w:r>
      <w:r>
        <w:t>despliega</w:t>
      </w:r>
      <w:r>
        <w:rPr>
          <w:spacing w:val="-7"/>
        </w:rPr>
        <w:t xml:space="preserve"> </w:t>
      </w:r>
      <w:r>
        <w:t>en</w:t>
      </w:r>
      <w:r>
        <w:rPr>
          <w:spacing w:val="-7"/>
        </w:rPr>
        <w:t xml:space="preserve"> </w:t>
      </w:r>
      <w:r>
        <w:t>los</w:t>
      </w:r>
      <w:r>
        <w:rPr>
          <w:spacing w:val="-7"/>
        </w:rPr>
        <w:t xml:space="preserve"> </w:t>
      </w:r>
      <w:r>
        <w:t>territorios,</w:t>
      </w:r>
      <w:r>
        <w:rPr>
          <w:spacing w:val="-7"/>
        </w:rPr>
        <w:t xml:space="preserve"> </w:t>
      </w:r>
      <w:r>
        <w:t>y,</w:t>
      </w:r>
      <w:r>
        <w:rPr>
          <w:spacing w:val="-7"/>
        </w:rPr>
        <w:t xml:space="preserve"> </w:t>
      </w:r>
      <w:r>
        <w:t>por</w:t>
      </w:r>
      <w:r>
        <w:rPr>
          <w:spacing w:val="-7"/>
        </w:rPr>
        <w:t xml:space="preserve"> </w:t>
      </w:r>
      <w:r>
        <w:t>supuesto,</w:t>
      </w:r>
      <w:r>
        <w:rPr>
          <w:spacing w:val="-9"/>
        </w:rPr>
        <w:t xml:space="preserve"> </w:t>
      </w:r>
      <w:r>
        <w:t>en</w:t>
      </w:r>
      <w:r>
        <w:rPr>
          <w:spacing w:val="-6"/>
        </w:rPr>
        <w:t xml:space="preserve"> </w:t>
      </w:r>
      <w:r>
        <w:rPr>
          <w:spacing w:val="-5"/>
        </w:rPr>
        <w:t>las</w:t>
      </w:r>
      <w:r w:rsidR="00B11513">
        <w:t xml:space="preserve"> </w:t>
      </w:r>
      <w:r>
        <w:t>políticas económicas. Treinta años después de una Constitución garantista, el país sigue manteniendo</w:t>
      </w:r>
      <w:r>
        <w:rPr>
          <w:spacing w:val="19"/>
        </w:rPr>
        <w:t xml:space="preserve"> </w:t>
      </w:r>
      <w:r>
        <w:t>privilegios</w:t>
      </w:r>
      <w:r>
        <w:rPr>
          <w:spacing w:val="19"/>
        </w:rPr>
        <w:t xml:space="preserve"> </w:t>
      </w:r>
      <w:r>
        <w:t>y</w:t>
      </w:r>
      <w:r>
        <w:rPr>
          <w:spacing w:val="20"/>
        </w:rPr>
        <w:t xml:space="preserve"> </w:t>
      </w:r>
      <w:r>
        <w:t>exclusiones.</w:t>
      </w:r>
      <w:r>
        <w:rPr>
          <w:spacing w:val="19"/>
        </w:rPr>
        <w:t xml:space="preserve"> </w:t>
      </w:r>
      <w:r>
        <w:t>Algo</w:t>
      </w:r>
      <w:r>
        <w:rPr>
          <w:spacing w:val="20"/>
        </w:rPr>
        <w:t xml:space="preserve"> </w:t>
      </w:r>
      <w:r>
        <w:t>que</w:t>
      </w:r>
      <w:r>
        <w:rPr>
          <w:spacing w:val="20"/>
        </w:rPr>
        <w:t xml:space="preserve"> </w:t>
      </w:r>
      <w:r>
        <w:t>se</w:t>
      </w:r>
      <w:r>
        <w:rPr>
          <w:spacing w:val="19"/>
        </w:rPr>
        <w:t xml:space="preserve"> </w:t>
      </w:r>
      <w:r>
        <w:t>ha</w:t>
      </w:r>
      <w:r>
        <w:rPr>
          <w:spacing w:val="20"/>
        </w:rPr>
        <w:t xml:space="preserve"> </w:t>
      </w:r>
      <w:r>
        <w:t>visto</w:t>
      </w:r>
      <w:r>
        <w:rPr>
          <w:spacing w:val="20"/>
        </w:rPr>
        <w:t xml:space="preserve"> </w:t>
      </w:r>
      <w:r>
        <w:t>reforzado</w:t>
      </w:r>
      <w:r>
        <w:rPr>
          <w:spacing w:val="18"/>
        </w:rPr>
        <w:t xml:space="preserve"> </w:t>
      </w:r>
      <w:r>
        <w:t>por</w:t>
      </w:r>
      <w:r>
        <w:rPr>
          <w:spacing w:val="21"/>
        </w:rPr>
        <w:t xml:space="preserve"> </w:t>
      </w:r>
      <w:r>
        <w:t>la</w:t>
      </w:r>
      <w:r>
        <w:rPr>
          <w:spacing w:val="20"/>
        </w:rPr>
        <w:t xml:space="preserve"> </w:t>
      </w:r>
      <w:r>
        <w:t>doctrina</w:t>
      </w:r>
      <w:r>
        <w:rPr>
          <w:spacing w:val="20"/>
        </w:rPr>
        <w:t xml:space="preserve"> </w:t>
      </w:r>
      <w:r>
        <w:rPr>
          <w:spacing w:val="-5"/>
        </w:rPr>
        <w:t>del</w:t>
      </w:r>
      <w:r w:rsidR="00B11513">
        <w:t xml:space="preserve"> </w:t>
      </w:r>
      <w:r>
        <w:t>«enemigo interno».</w:t>
      </w:r>
    </w:p>
    <w:p w:rsidR="003804AC" w:rsidRDefault="00AF18A5" w:rsidP="00B11513">
      <w:r>
        <w:lastRenderedPageBreak/>
        <w:t>Hemos</w:t>
      </w:r>
      <w:r>
        <w:rPr>
          <w:spacing w:val="-9"/>
        </w:rPr>
        <w:t xml:space="preserve"> </w:t>
      </w:r>
      <w:r>
        <w:t>naturalizado</w:t>
      </w:r>
      <w:r>
        <w:rPr>
          <w:spacing w:val="-10"/>
        </w:rPr>
        <w:t xml:space="preserve"> </w:t>
      </w:r>
      <w:r>
        <w:t>de</w:t>
      </w:r>
      <w:r>
        <w:rPr>
          <w:spacing w:val="-9"/>
        </w:rPr>
        <w:t xml:space="preserve"> </w:t>
      </w:r>
      <w:r>
        <w:t>tal</w:t>
      </w:r>
      <w:r>
        <w:rPr>
          <w:spacing w:val="-9"/>
        </w:rPr>
        <w:t xml:space="preserve"> </w:t>
      </w:r>
      <w:r>
        <w:t>forma</w:t>
      </w:r>
      <w:r>
        <w:rPr>
          <w:spacing w:val="-9"/>
        </w:rPr>
        <w:t xml:space="preserve"> </w:t>
      </w:r>
      <w:r>
        <w:t>el</w:t>
      </w:r>
      <w:r>
        <w:rPr>
          <w:spacing w:val="-9"/>
        </w:rPr>
        <w:t xml:space="preserve"> </w:t>
      </w:r>
      <w:r>
        <w:t>hecho</w:t>
      </w:r>
      <w:r>
        <w:rPr>
          <w:spacing w:val="-10"/>
        </w:rPr>
        <w:t xml:space="preserve"> </w:t>
      </w:r>
      <w:r>
        <w:t>de</w:t>
      </w:r>
      <w:r>
        <w:rPr>
          <w:spacing w:val="-9"/>
        </w:rPr>
        <w:t xml:space="preserve"> </w:t>
      </w:r>
      <w:r>
        <w:t>que</w:t>
      </w:r>
      <w:r>
        <w:rPr>
          <w:spacing w:val="-9"/>
        </w:rPr>
        <w:t xml:space="preserve"> </w:t>
      </w:r>
      <w:r>
        <w:t>hay</w:t>
      </w:r>
      <w:r>
        <w:rPr>
          <w:spacing w:val="-10"/>
        </w:rPr>
        <w:t xml:space="preserve"> </w:t>
      </w:r>
      <w:r>
        <w:t>ciudadanos</w:t>
      </w:r>
      <w:r>
        <w:rPr>
          <w:spacing w:val="-9"/>
        </w:rPr>
        <w:t xml:space="preserve"> </w:t>
      </w:r>
      <w:r>
        <w:t>de</w:t>
      </w:r>
      <w:r>
        <w:rPr>
          <w:spacing w:val="-9"/>
        </w:rPr>
        <w:t xml:space="preserve"> </w:t>
      </w:r>
      <w:r>
        <w:t>primera</w:t>
      </w:r>
      <w:r>
        <w:rPr>
          <w:spacing w:val="-9"/>
        </w:rPr>
        <w:t xml:space="preserve"> </w:t>
      </w:r>
      <w:r>
        <w:t>y</w:t>
      </w:r>
      <w:r>
        <w:rPr>
          <w:spacing w:val="-10"/>
        </w:rPr>
        <w:t xml:space="preserve"> </w:t>
      </w:r>
      <w:r>
        <w:t>de</w:t>
      </w:r>
      <w:r>
        <w:rPr>
          <w:spacing w:val="-9"/>
        </w:rPr>
        <w:t xml:space="preserve"> </w:t>
      </w:r>
      <w:r>
        <w:t>segunda clase que no nos sorprenden la inequidad, la injusticia y el horror que han vivido miles de compatriotas. La guerra no se siente como un daño común.</w:t>
      </w:r>
    </w:p>
    <w:p w:rsidR="003804AC" w:rsidRDefault="00AF18A5" w:rsidP="00B11513">
      <w:r>
        <w:t>La</w:t>
      </w:r>
      <w:r>
        <w:rPr>
          <w:spacing w:val="-15"/>
        </w:rPr>
        <w:t xml:space="preserve"> </w:t>
      </w:r>
      <w:r>
        <w:t>negación</w:t>
      </w:r>
      <w:r>
        <w:rPr>
          <w:spacing w:val="-15"/>
        </w:rPr>
        <w:t xml:space="preserve"> </w:t>
      </w:r>
      <w:r>
        <w:t>del</w:t>
      </w:r>
      <w:r>
        <w:rPr>
          <w:spacing w:val="-14"/>
        </w:rPr>
        <w:t xml:space="preserve"> </w:t>
      </w:r>
      <w:r>
        <w:t>otro,</w:t>
      </w:r>
      <w:r>
        <w:rPr>
          <w:spacing w:val="-14"/>
        </w:rPr>
        <w:t xml:space="preserve"> </w:t>
      </w:r>
      <w:r>
        <w:t>su</w:t>
      </w:r>
      <w:r>
        <w:rPr>
          <w:spacing w:val="-14"/>
        </w:rPr>
        <w:t xml:space="preserve"> </w:t>
      </w:r>
      <w:r>
        <w:t>desvalorización,</w:t>
      </w:r>
      <w:r>
        <w:rPr>
          <w:spacing w:val="-14"/>
        </w:rPr>
        <w:t xml:space="preserve"> </w:t>
      </w:r>
      <w:r>
        <w:t>el</w:t>
      </w:r>
      <w:r>
        <w:rPr>
          <w:spacing w:val="-14"/>
        </w:rPr>
        <w:t xml:space="preserve"> </w:t>
      </w:r>
      <w:r>
        <w:t>convertirlo</w:t>
      </w:r>
      <w:r>
        <w:rPr>
          <w:spacing w:val="-14"/>
        </w:rPr>
        <w:t xml:space="preserve"> </w:t>
      </w:r>
      <w:r>
        <w:t>en</w:t>
      </w:r>
      <w:r>
        <w:rPr>
          <w:spacing w:val="-14"/>
        </w:rPr>
        <w:t xml:space="preserve"> </w:t>
      </w:r>
      <w:r>
        <w:t>blanco</w:t>
      </w:r>
      <w:r>
        <w:rPr>
          <w:spacing w:val="-14"/>
        </w:rPr>
        <w:t xml:space="preserve"> </w:t>
      </w:r>
      <w:r>
        <w:t>de</w:t>
      </w:r>
      <w:r>
        <w:rPr>
          <w:spacing w:val="-14"/>
        </w:rPr>
        <w:t xml:space="preserve"> </w:t>
      </w:r>
      <w:r>
        <w:t>violencia</w:t>
      </w:r>
      <w:r>
        <w:rPr>
          <w:spacing w:val="-14"/>
        </w:rPr>
        <w:t xml:space="preserve"> </w:t>
      </w:r>
      <w:r>
        <w:t>porque</w:t>
      </w:r>
      <w:r>
        <w:rPr>
          <w:spacing w:val="-14"/>
        </w:rPr>
        <w:t xml:space="preserve"> </w:t>
      </w:r>
      <w:r>
        <w:t>vive en la frontera, porque es un campesino de una zona considerada «roja», porque es de un barrio</w:t>
      </w:r>
      <w:r>
        <w:rPr>
          <w:spacing w:val="-11"/>
        </w:rPr>
        <w:t xml:space="preserve"> </w:t>
      </w:r>
      <w:r>
        <w:t>pobre</w:t>
      </w:r>
      <w:r>
        <w:rPr>
          <w:spacing w:val="-12"/>
        </w:rPr>
        <w:t xml:space="preserve"> </w:t>
      </w:r>
      <w:r>
        <w:t>de</w:t>
      </w:r>
      <w:r>
        <w:rPr>
          <w:spacing w:val="-9"/>
        </w:rPr>
        <w:t xml:space="preserve"> </w:t>
      </w:r>
      <w:r>
        <w:t>Cali</w:t>
      </w:r>
      <w:r>
        <w:rPr>
          <w:spacing w:val="-9"/>
        </w:rPr>
        <w:t xml:space="preserve"> </w:t>
      </w:r>
      <w:r>
        <w:t>o</w:t>
      </w:r>
      <w:r>
        <w:rPr>
          <w:spacing w:val="-11"/>
        </w:rPr>
        <w:t xml:space="preserve"> </w:t>
      </w:r>
      <w:r>
        <w:t>Medellín,</w:t>
      </w:r>
      <w:r>
        <w:rPr>
          <w:spacing w:val="-10"/>
        </w:rPr>
        <w:t xml:space="preserve"> </w:t>
      </w:r>
      <w:r>
        <w:t>porque</w:t>
      </w:r>
      <w:r>
        <w:rPr>
          <w:spacing w:val="-9"/>
        </w:rPr>
        <w:t xml:space="preserve"> </w:t>
      </w:r>
      <w:r>
        <w:t>es</w:t>
      </w:r>
      <w:r>
        <w:rPr>
          <w:spacing w:val="-9"/>
        </w:rPr>
        <w:t xml:space="preserve"> </w:t>
      </w:r>
      <w:r>
        <w:t>un</w:t>
      </w:r>
      <w:r>
        <w:rPr>
          <w:spacing w:val="-11"/>
        </w:rPr>
        <w:t xml:space="preserve"> </w:t>
      </w:r>
      <w:r>
        <w:t>empresario</w:t>
      </w:r>
      <w:r>
        <w:rPr>
          <w:spacing w:val="-11"/>
        </w:rPr>
        <w:t xml:space="preserve"> </w:t>
      </w:r>
      <w:r>
        <w:t>o</w:t>
      </w:r>
      <w:r>
        <w:rPr>
          <w:spacing w:val="-10"/>
        </w:rPr>
        <w:t xml:space="preserve"> </w:t>
      </w:r>
      <w:r>
        <w:t>porque</w:t>
      </w:r>
      <w:r>
        <w:rPr>
          <w:spacing w:val="-9"/>
        </w:rPr>
        <w:t xml:space="preserve"> </w:t>
      </w:r>
      <w:r>
        <w:t>tiene</w:t>
      </w:r>
      <w:r>
        <w:rPr>
          <w:spacing w:val="-9"/>
        </w:rPr>
        <w:t xml:space="preserve"> </w:t>
      </w:r>
      <w:r>
        <w:t>otras</w:t>
      </w:r>
      <w:r>
        <w:rPr>
          <w:spacing w:val="-9"/>
        </w:rPr>
        <w:t xml:space="preserve"> </w:t>
      </w:r>
      <w:r>
        <w:t>ideas</w:t>
      </w:r>
      <w:r>
        <w:rPr>
          <w:spacing w:val="-9"/>
        </w:rPr>
        <w:t xml:space="preserve"> </w:t>
      </w:r>
      <w:r>
        <w:t>políticas, es un proceso en el que se engranan múltiples acciones, tanto materiales como simbólicas, que van desde el uso de los discursos, la violencia física, el abuso policial o judicial, y terminan en la instalación, dentro de la cultura política, de imaginarios de odio y desprecio. Algunos de estos prejuicios se han profundizado con el conflicto, durante décadas y por varias</w:t>
      </w:r>
      <w:r>
        <w:rPr>
          <w:spacing w:val="-5"/>
        </w:rPr>
        <w:t xml:space="preserve"> </w:t>
      </w:r>
      <w:r>
        <w:t>generaciones</w:t>
      </w:r>
      <w:r>
        <w:rPr>
          <w:spacing w:val="-2"/>
        </w:rPr>
        <w:t xml:space="preserve"> </w:t>
      </w:r>
      <w:r>
        <w:t>han</w:t>
      </w:r>
      <w:r>
        <w:rPr>
          <w:spacing w:val="-3"/>
        </w:rPr>
        <w:t xml:space="preserve"> </w:t>
      </w:r>
      <w:r>
        <w:t>escalado</w:t>
      </w:r>
      <w:r>
        <w:rPr>
          <w:spacing w:val="-1"/>
        </w:rPr>
        <w:t xml:space="preserve"> </w:t>
      </w:r>
      <w:r>
        <w:t>hasta</w:t>
      </w:r>
      <w:r>
        <w:rPr>
          <w:spacing w:val="-1"/>
        </w:rPr>
        <w:t xml:space="preserve"> </w:t>
      </w:r>
      <w:r>
        <w:t>convertirse</w:t>
      </w:r>
      <w:r>
        <w:rPr>
          <w:spacing w:val="-1"/>
        </w:rPr>
        <w:t xml:space="preserve"> </w:t>
      </w:r>
      <w:r>
        <w:t>en</w:t>
      </w:r>
      <w:r>
        <w:rPr>
          <w:spacing w:val="-4"/>
        </w:rPr>
        <w:t xml:space="preserve"> </w:t>
      </w:r>
      <w:r>
        <w:t>rasgos</w:t>
      </w:r>
      <w:r>
        <w:rPr>
          <w:spacing w:val="-3"/>
        </w:rPr>
        <w:t xml:space="preserve"> </w:t>
      </w:r>
      <w:r>
        <w:t>más</w:t>
      </w:r>
      <w:r>
        <w:rPr>
          <w:spacing w:val="-1"/>
        </w:rPr>
        <w:t xml:space="preserve"> </w:t>
      </w:r>
      <w:r>
        <w:t>permanentes</w:t>
      </w:r>
      <w:r>
        <w:rPr>
          <w:spacing w:val="-1"/>
        </w:rPr>
        <w:t xml:space="preserve"> </w:t>
      </w:r>
      <w:r>
        <w:t>de</w:t>
      </w:r>
      <w:r>
        <w:rPr>
          <w:spacing w:val="-1"/>
        </w:rPr>
        <w:t xml:space="preserve"> </w:t>
      </w:r>
      <w:r>
        <w:t>la</w:t>
      </w:r>
      <w:r>
        <w:rPr>
          <w:spacing w:val="-1"/>
        </w:rPr>
        <w:t xml:space="preserve"> </w:t>
      </w:r>
      <w:r>
        <w:rPr>
          <w:spacing w:val="-2"/>
        </w:rPr>
        <w:t>cultura.</w:t>
      </w:r>
    </w:p>
    <w:p w:rsidR="003804AC" w:rsidRDefault="00AF18A5" w:rsidP="00B11513">
      <w:r>
        <w:t>La</w:t>
      </w:r>
      <w:r>
        <w:rPr>
          <w:spacing w:val="-3"/>
        </w:rPr>
        <w:t xml:space="preserve"> </w:t>
      </w:r>
      <w:r>
        <w:t>conversión</w:t>
      </w:r>
      <w:r>
        <w:rPr>
          <w:spacing w:val="-4"/>
        </w:rPr>
        <w:t xml:space="preserve"> </w:t>
      </w:r>
      <w:r>
        <w:t>del</w:t>
      </w:r>
      <w:r>
        <w:rPr>
          <w:spacing w:val="-3"/>
        </w:rPr>
        <w:t xml:space="preserve"> </w:t>
      </w:r>
      <w:r>
        <w:t>otro</w:t>
      </w:r>
      <w:r>
        <w:rPr>
          <w:spacing w:val="-5"/>
        </w:rPr>
        <w:t xml:space="preserve"> </w:t>
      </w:r>
      <w:r>
        <w:t>en</w:t>
      </w:r>
      <w:r>
        <w:rPr>
          <w:spacing w:val="-4"/>
        </w:rPr>
        <w:t xml:space="preserve"> </w:t>
      </w:r>
      <w:r>
        <w:t>enemigo</w:t>
      </w:r>
      <w:r>
        <w:rPr>
          <w:spacing w:val="-4"/>
        </w:rPr>
        <w:t xml:space="preserve"> </w:t>
      </w:r>
      <w:r>
        <w:t>no</w:t>
      </w:r>
      <w:r>
        <w:rPr>
          <w:spacing w:val="-4"/>
        </w:rPr>
        <w:t xml:space="preserve"> </w:t>
      </w:r>
      <w:r>
        <w:t>solo</w:t>
      </w:r>
      <w:r>
        <w:rPr>
          <w:spacing w:val="-4"/>
        </w:rPr>
        <w:t xml:space="preserve"> </w:t>
      </w:r>
      <w:r>
        <w:t>ha</w:t>
      </w:r>
      <w:r>
        <w:rPr>
          <w:spacing w:val="-5"/>
        </w:rPr>
        <w:t xml:space="preserve"> </w:t>
      </w:r>
      <w:r>
        <w:t>tenido</w:t>
      </w:r>
      <w:r>
        <w:rPr>
          <w:spacing w:val="-4"/>
        </w:rPr>
        <w:t xml:space="preserve"> </w:t>
      </w:r>
      <w:r>
        <w:t>un</w:t>
      </w:r>
      <w:r>
        <w:rPr>
          <w:spacing w:val="-4"/>
        </w:rPr>
        <w:t xml:space="preserve"> </w:t>
      </w:r>
      <w:r>
        <w:t>tinte</w:t>
      </w:r>
      <w:r>
        <w:rPr>
          <w:spacing w:val="-3"/>
        </w:rPr>
        <w:t xml:space="preserve"> </w:t>
      </w:r>
      <w:r>
        <w:t>ideológico,</w:t>
      </w:r>
      <w:r>
        <w:rPr>
          <w:spacing w:val="-5"/>
        </w:rPr>
        <w:t xml:space="preserve"> </w:t>
      </w:r>
      <w:r>
        <w:t>sino</w:t>
      </w:r>
      <w:r>
        <w:rPr>
          <w:spacing w:val="-4"/>
        </w:rPr>
        <w:t xml:space="preserve"> </w:t>
      </w:r>
      <w:r>
        <w:t>que</w:t>
      </w:r>
      <w:r>
        <w:rPr>
          <w:spacing w:val="-3"/>
        </w:rPr>
        <w:t xml:space="preserve"> </w:t>
      </w:r>
      <w:r>
        <w:t>se</w:t>
      </w:r>
      <w:r>
        <w:rPr>
          <w:spacing w:val="-3"/>
        </w:rPr>
        <w:t xml:space="preserve"> </w:t>
      </w:r>
      <w:r>
        <w:t>basa en su deshumanización. Alguien sin derechos. Alguien prescindible, una amenaza para la sociedad.</w:t>
      </w:r>
      <w:r>
        <w:rPr>
          <w:spacing w:val="69"/>
        </w:rPr>
        <w:t xml:space="preserve"> </w:t>
      </w:r>
      <w:r>
        <w:t>La</w:t>
      </w:r>
      <w:r>
        <w:rPr>
          <w:spacing w:val="71"/>
        </w:rPr>
        <w:t xml:space="preserve"> </w:t>
      </w:r>
      <w:r>
        <w:t>deshumanización</w:t>
      </w:r>
      <w:r>
        <w:rPr>
          <w:spacing w:val="71"/>
        </w:rPr>
        <w:t xml:space="preserve"> </w:t>
      </w:r>
      <w:r>
        <w:t>ha</w:t>
      </w:r>
      <w:r>
        <w:rPr>
          <w:spacing w:val="71"/>
        </w:rPr>
        <w:t xml:space="preserve"> </w:t>
      </w:r>
      <w:r>
        <w:t>operado</w:t>
      </w:r>
      <w:r>
        <w:rPr>
          <w:spacing w:val="70"/>
        </w:rPr>
        <w:t xml:space="preserve"> </w:t>
      </w:r>
      <w:r>
        <w:t>a</w:t>
      </w:r>
      <w:r>
        <w:rPr>
          <w:spacing w:val="71"/>
        </w:rPr>
        <w:t xml:space="preserve"> </w:t>
      </w:r>
      <w:r>
        <w:t>través</w:t>
      </w:r>
      <w:r>
        <w:rPr>
          <w:spacing w:val="71"/>
        </w:rPr>
        <w:t xml:space="preserve"> </w:t>
      </w:r>
      <w:r>
        <w:t>de</w:t>
      </w:r>
      <w:r>
        <w:rPr>
          <w:spacing w:val="71"/>
        </w:rPr>
        <w:t xml:space="preserve"> </w:t>
      </w:r>
      <w:r>
        <w:t>los</w:t>
      </w:r>
      <w:r>
        <w:rPr>
          <w:spacing w:val="71"/>
        </w:rPr>
        <w:t xml:space="preserve"> </w:t>
      </w:r>
      <w:r>
        <w:t>estigmas</w:t>
      </w:r>
      <w:r>
        <w:rPr>
          <w:spacing w:val="70"/>
        </w:rPr>
        <w:t xml:space="preserve"> </w:t>
      </w:r>
      <w:r>
        <w:t>de</w:t>
      </w:r>
      <w:r>
        <w:rPr>
          <w:spacing w:val="71"/>
        </w:rPr>
        <w:t xml:space="preserve"> </w:t>
      </w:r>
      <w:r>
        <w:rPr>
          <w:spacing w:val="-2"/>
        </w:rPr>
        <w:t>«guerrillero»,</w:t>
      </w:r>
      <w:r w:rsidR="00B11513">
        <w:t xml:space="preserve"> </w:t>
      </w:r>
      <w:r>
        <w:t>«terrorista»,</w:t>
      </w:r>
      <w:r>
        <w:rPr>
          <w:spacing w:val="-1"/>
        </w:rPr>
        <w:t xml:space="preserve"> </w:t>
      </w:r>
      <w:r>
        <w:t>«comunista», o de violencias clasistas como la «limpieza</w:t>
      </w:r>
      <w:r>
        <w:rPr>
          <w:spacing w:val="-1"/>
        </w:rPr>
        <w:t xml:space="preserve"> </w:t>
      </w:r>
      <w:r>
        <w:t>social». Estas formas de nombrar y justificar los hechos han tenido un impacto no solo en las víctimas sino en la sociedad misma, que muchas veces ha minimizado la gravedad de los hechos, justificado dichas acciones o permanecido indiferente.</w:t>
      </w:r>
    </w:p>
    <w:p w:rsidR="003804AC" w:rsidRDefault="00AF18A5" w:rsidP="00B11513">
      <w:r>
        <w:t>El desprecio por los otros es también el asunto base de la polarización, que divide el mundo en buenos y malos, en estos y aquellos. En Colombia no existe un «nosotros» que soporte</w:t>
      </w:r>
      <w:r>
        <w:rPr>
          <w:spacing w:val="-11"/>
        </w:rPr>
        <w:t xml:space="preserve"> </w:t>
      </w:r>
      <w:r>
        <w:t>la</w:t>
      </w:r>
      <w:r>
        <w:rPr>
          <w:spacing w:val="-9"/>
        </w:rPr>
        <w:t xml:space="preserve"> </w:t>
      </w:r>
      <w:r>
        <w:t>noción</w:t>
      </w:r>
      <w:r>
        <w:rPr>
          <w:spacing w:val="-10"/>
        </w:rPr>
        <w:t xml:space="preserve"> </w:t>
      </w:r>
      <w:r>
        <w:t>de</w:t>
      </w:r>
      <w:r>
        <w:rPr>
          <w:spacing w:val="-9"/>
        </w:rPr>
        <w:t xml:space="preserve"> </w:t>
      </w:r>
      <w:r>
        <w:t>bien</w:t>
      </w:r>
      <w:r>
        <w:rPr>
          <w:spacing w:val="-11"/>
        </w:rPr>
        <w:t xml:space="preserve"> </w:t>
      </w:r>
      <w:r>
        <w:t>común</w:t>
      </w:r>
      <w:r>
        <w:rPr>
          <w:spacing w:val="-10"/>
        </w:rPr>
        <w:t xml:space="preserve"> </w:t>
      </w:r>
      <w:r>
        <w:lastRenderedPageBreak/>
        <w:t>como</w:t>
      </w:r>
      <w:r>
        <w:rPr>
          <w:spacing w:val="-10"/>
        </w:rPr>
        <w:t xml:space="preserve"> </w:t>
      </w:r>
      <w:r>
        <w:t>aquello</w:t>
      </w:r>
      <w:r>
        <w:rPr>
          <w:spacing w:val="-10"/>
        </w:rPr>
        <w:t xml:space="preserve"> </w:t>
      </w:r>
      <w:r>
        <w:t>que</w:t>
      </w:r>
      <w:r>
        <w:rPr>
          <w:spacing w:val="-9"/>
        </w:rPr>
        <w:t xml:space="preserve"> </w:t>
      </w:r>
      <w:r>
        <w:t>conviene</w:t>
      </w:r>
      <w:r>
        <w:rPr>
          <w:spacing w:val="-9"/>
        </w:rPr>
        <w:t xml:space="preserve"> </w:t>
      </w:r>
      <w:r>
        <w:t>a</w:t>
      </w:r>
      <w:r>
        <w:rPr>
          <w:spacing w:val="-11"/>
        </w:rPr>
        <w:t xml:space="preserve"> </w:t>
      </w:r>
      <w:r>
        <w:t>todos</w:t>
      </w:r>
      <w:r>
        <w:rPr>
          <w:spacing w:val="-9"/>
        </w:rPr>
        <w:t xml:space="preserve"> </w:t>
      </w:r>
      <w:r>
        <w:t>de</w:t>
      </w:r>
      <w:r>
        <w:rPr>
          <w:spacing w:val="-9"/>
        </w:rPr>
        <w:t xml:space="preserve"> </w:t>
      </w:r>
      <w:r>
        <w:t>igual</w:t>
      </w:r>
      <w:r>
        <w:rPr>
          <w:spacing w:val="-9"/>
        </w:rPr>
        <w:t xml:space="preserve"> </w:t>
      </w:r>
      <w:r>
        <w:t>manera,</w:t>
      </w:r>
      <w:r>
        <w:rPr>
          <w:spacing w:val="-10"/>
        </w:rPr>
        <w:t xml:space="preserve"> </w:t>
      </w:r>
      <w:r>
        <w:t>a</w:t>
      </w:r>
      <w:r>
        <w:rPr>
          <w:spacing w:val="-11"/>
        </w:rPr>
        <w:t xml:space="preserve"> </w:t>
      </w:r>
      <w:r>
        <w:t>pesar de las diferencias. Eso ha constituido una sociedad polarizada a la que le cuesta muchísimo reconocerse en sentidos y propósitos comunes, algo que constituye un obstáculo para la convivencia</w:t>
      </w:r>
      <w:r>
        <w:rPr>
          <w:spacing w:val="-6"/>
        </w:rPr>
        <w:t xml:space="preserve"> </w:t>
      </w:r>
      <w:r>
        <w:t>y</w:t>
      </w:r>
      <w:r>
        <w:rPr>
          <w:spacing w:val="-3"/>
        </w:rPr>
        <w:t xml:space="preserve"> </w:t>
      </w:r>
      <w:r>
        <w:t>el</w:t>
      </w:r>
      <w:r>
        <w:rPr>
          <w:spacing w:val="-2"/>
        </w:rPr>
        <w:t xml:space="preserve"> </w:t>
      </w:r>
      <w:r>
        <w:t>reconocimiento</w:t>
      </w:r>
      <w:r>
        <w:rPr>
          <w:spacing w:val="-3"/>
        </w:rPr>
        <w:t xml:space="preserve"> </w:t>
      </w:r>
      <w:r>
        <w:t>de</w:t>
      </w:r>
      <w:r>
        <w:rPr>
          <w:spacing w:val="-2"/>
        </w:rPr>
        <w:t xml:space="preserve"> </w:t>
      </w:r>
      <w:r>
        <w:t>la</w:t>
      </w:r>
      <w:r>
        <w:rPr>
          <w:spacing w:val="-2"/>
        </w:rPr>
        <w:t xml:space="preserve"> </w:t>
      </w:r>
      <w:r>
        <w:t>igualdad.</w:t>
      </w:r>
      <w:r>
        <w:rPr>
          <w:spacing w:val="-3"/>
        </w:rPr>
        <w:t xml:space="preserve"> </w:t>
      </w:r>
      <w:r>
        <w:t>Muchas</w:t>
      </w:r>
      <w:r>
        <w:rPr>
          <w:spacing w:val="-2"/>
        </w:rPr>
        <w:t xml:space="preserve"> </w:t>
      </w:r>
      <w:r>
        <w:t>de</w:t>
      </w:r>
      <w:r>
        <w:rPr>
          <w:spacing w:val="-2"/>
        </w:rPr>
        <w:t xml:space="preserve"> </w:t>
      </w:r>
      <w:r>
        <w:t>las</w:t>
      </w:r>
      <w:r>
        <w:rPr>
          <w:spacing w:val="-2"/>
        </w:rPr>
        <w:t xml:space="preserve"> </w:t>
      </w:r>
      <w:r>
        <w:t>actividades</w:t>
      </w:r>
      <w:r>
        <w:rPr>
          <w:spacing w:val="-2"/>
        </w:rPr>
        <w:t xml:space="preserve"> </w:t>
      </w:r>
      <w:r>
        <w:t>de</w:t>
      </w:r>
      <w:r>
        <w:rPr>
          <w:spacing w:val="-2"/>
        </w:rPr>
        <w:t xml:space="preserve"> </w:t>
      </w:r>
      <w:r>
        <w:t>convivencia</w:t>
      </w:r>
      <w:r>
        <w:rPr>
          <w:spacing w:val="-1"/>
        </w:rPr>
        <w:t xml:space="preserve"> </w:t>
      </w:r>
      <w:r>
        <w:rPr>
          <w:spacing w:val="-10"/>
        </w:rPr>
        <w:t>o</w:t>
      </w:r>
      <w:r w:rsidR="00B11513">
        <w:t xml:space="preserve"> </w:t>
      </w:r>
      <w:r>
        <w:t>reconocimiento,</w:t>
      </w:r>
      <w:r>
        <w:rPr>
          <w:spacing w:val="-13"/>
        </w:rPr>
        <w:t xml:space="preserve"> </w:t>
      </w:r>
      <w:r>
        <w:t>así</w:t>
      </w:r>
      <w:r>
        <w:rPr>
          <w:spacing w:val="-14"/>
        </w:rPr>
        <w:t xml:space="preserve"> </w:t>
      </w:r>
      <w:r>
        <w:t>como</w:t>
      </w:r>
      <w:r>
        <w:rPr>
          <w:spacing w:val="-13"/>
        </w:rPr>
        <w:t xml:space="preserve"> </w:t>
      </w:r>
      <w:r>
        <w:t>los</w:t>
      </w:r>
      <w:r>
        <w:rPr>
          <w:spacing w:val="-13"/>
        </w:rPr>
        <w:t xml:space="preserve"> </w:t>
      </w:r>
      <w:r>
        <w:t>espacios</w:t>
      </w:r>
      <w:r>
        <w:rPr>
          <w:spacing w:val="-13"/>
        </w:rPr>
        <w:t xml:space="preserve"> </w:t>
      </w:r>
      <w:r>
        <w:t>de</w:t>
      </w:r>
      <w:r>
        <w:rPr>
          <w:spacing w:val="-13"/>
        </w:rPr>
        <w:t xml:space="preserve"> </w:t>
      </w:r>
      <w:r>
        <w:t>escucha</w:t>
      </w:r>
      <w:r>
        <w:rPr>
          <w:spacing w:val="-14"/>
        </w:rPr>
        <w:t xml:space="preserve"> </w:t>
      </w:r>
      <w:r>
        <w:t>de</w:t>
      </w:r>
      <w:r>
        <w:rPr>
          <w:spacing w:val="-13"/>
        </w:rPr>
        <w:t xml:space="preserve"> </w:t>
      </w:r>
      <w:r>
        <w:t>la</w:t>
      </w:r>
      <w:r>
        <w:rPr>
          <w:spacing w:val="-13"/>
        </w:rPr>
        <w:t xml:space="preserve"> </w:t>
      </w:r>
      <w:r>
        <w:t>Comisión,</w:t>
      </w:r>
      <w:r>
        <w:rPr>
          <w:spacing w:val="-13"/>
        </w:rPr>
        <w:t xml:space="preserve"> </w:t>
      </w:r>
      <w:r>
        <w:t>han</w:t>
      </w:r>
      <w:r>
        <w:rPr>
          <w:spacing w:val="-13"/>
        </w:rPr>
        <w:t xml:space="preserve"> </w:t>
      </w:r>
      <w:r>
        <w:t>mostrado</w:t>
      </w:r>
      <w:r>
        <w:rPr>
          <w:spacing w:val="-13"/>
        </w:rPr>
        <w:t xml:space="preserve"> </w:t>
      </w:r>
      <w:r>
        <w:t>esta</w:t>
      </w:r>
      <w:r>
        <w:rPr>
          <w:spacing w:val="-14"/>
        </w:rPr>
        <w:t xml:space="preserve"> </w:t>
      </w:r>
      <w:r>
        <w:t>fractura y la necesidad de superarla.</w:t>
      </w:r>
      <w:r w:rsidR="00B11513">
        <w:t xml:space="preserve"> </w:t>
      </w:r>
      <w:r>
        <w:t>Hay</w:t>
      </w:r>
      <w:r>
        <w:rPr>
          <w:spacing w:val="-11"/>
        </w:rPr>
        <w:t xml:space="preserve"> </w:t>
      </w:r>
      <w:r>
        <w:t>un</w:t>
      </w:r>
      <w:r>
        <w:rPr>
          <w:spacing w:val="-11"/>
        </w:rPr>
        <w:t xml:space="preserve"> </w:t>
      </w:r>
      <w:r>
        <w:t>país</w:t>
      </w:r>
      <w:r>
        <w:rPr>
          <w:spacing w:val="-11"/>
        </w:rPr>
        <w:t xml:space="preserve"> </w:t>
      </w:r>
      <w:r>
        <w:t>excluido</w:t>
      </w:r>
      <w:r>
        <w:rPr>
          <w:spacing w:val="-11"/>
        </w:rPr>
        <w:t xml:space="preserve"> </w:t>
      </w:r>
      <w:r>
        <w:t>de</w:t>
      </w:r>
      <w:r>
        <w:rPr>
          <w:spacing w:val="-12"/>
        </w:rPr>
        <w:t xml:space="preserve"> </w:t>
      </w:r>
      <w:r>
        <w:t>la</w:t>
      </w:r>
      <w:r>
        <w:rPr>
          <w:spacing w:val="-11"/>
        </w:rPr>
        <w:t xml:space="preserve"> </w:t>
      </w:r>
      <w:r>
        <w:t>narrativa</w:t>
      </w:r>
      <w:r>
        <w:rPr>
          <w:spacing w:val="-11"/>
        </w:rPr>
        <w:t xml:space="preserve"> </w:t>
      </w:r>
      <w:r>
        <w:t>social,</w:t>
      </w:r>
      <w:r>
        <w:rPr>
          <w:spacing w:val="-11"/>
        </w:rPr>
        <w:t xml:space="preserve"> </w:t>
      </w:r>
      <w:r>
        <w:t>del</w:t>
      </w:r>
      <w:r>
        <w:rPr>
          <w:spacing w:val="-10"/>
        </w:rPr>
        <w:t xml:space="preserve"> </w:t>
      </w:r>
      <w:r>
        <w:t>desarrollo,</w:t>
      </w:r>
      <w:r>
        <w:rPr>
          <w:spacing w:val="-11"/>
        </w:rPr>
        <w:t xml:space="preserve"> </w:t>
      </w:r>
      <w:r>
        <w:t>de</w:t>
      </w:r>
      <w:r>
        <w:rPr>
          <w:spacing w:val="-11"/>
        </w:rPr>
        <w:t xml:space="preserve"> </w:t>
      </w:r>
      <w:r>
        <w:t>la</w:t>
      </w:r>
      <w:r>
        <w:rPr>
          <w:spacing w:val="-11"/>
        </w:rPr>
        <w:t xml:space="preserve"> </w:t>
      </w:r>
      <w:r>
        <w:t>presencia</w:t>
      </w:r>
      <w:r>
        <w:rPr>
          <w:spacing w:val="-11"/>
        </w:rPr>
        <w:t xml:space="preserve"> </w:t>
      </w:r>
      <w:r>
        <w:t>civil</w:t>
      </w:r>
      <w:r>
        <w:rPr>
          <w:spacing w:val="-10"/>
        </w:rPr>
        <w:t xml:space="preserve"> </w:t>
      </w:r>
      <w:r>
        <w:t>del</w:t>
      </w:r>
      <w:r>
        <w:rPr>
          <w:spacing w:val="-10"/>
        </w:rPr>
        <w:t xml:space="preserve"> </w:t>
      </w:r>
      <w:r>
        <w:t>Estado, de</w:t>
      </w:r>
      <w:r>
        <w:rPr>
          <w:spacing w:val="-10"/>
        </w:rPr>
        <w:t xml:space="preserve"> </w:t>
      </w:r>
      <w:r>
        <w:t>las</w:t>
      </w:r>
      <w:r>
        <w:rPr>
          <w:spacing w:val="-10"/>
        </w:rPr>
        <w:t xml:space="preserve"> </w:t>
      </w:r>
      <w:r>
        <w:t>posibilidades</w:t>
      </w:r>
      <w:r>
        <w:rPr>
          <w:spacing w:val="-11"/>
        </w:rPr>
        <w:t xml:space="preserve"> </w:t>
      </w:r>
      <w:r>
        <w:t>de</w:t>
      </w:r>
      <w:r>
        <w:rPr>
          <w:spacing w:val="-10"/>
        </w:rPr>
        <w:t xml:space="preserve"> </w:t>
      </w:r>
      <w:r>
        <w:t>producción</w:t>
      </w:r>
      <w:r>
        <w:rPr>
          <w:spacing w:val="-11"/>
        </w:rPr>
        <w:t xml:space="preserve"> </w:t>
      </w:r>
      <w:r>
        <w:t>agraria</w:t>
      </w:r>
      <w:r>
        <w:rPr>
          <w:spacing w:val="-10"/>
        </w:rPr>
        <w:t xml:space="preserve"> </w:t>
      </w:r>
      <w:r>
        <w:t>y</w:t>
      </w:r>
      <w:r>
        <w:rPr>
          <w:spacing w:val="-11"/>
        </w:rPr>
        <w:t xml:space="preserve"> </w:t>
      </w:r>
      <w:r>
        <w:t>cuidado</w:t>
      </w:r>
      <w:r>
        <w:rPr>
          <w:spacing w:val="-11"/>
        </w:rPr>
        <w:t xml:space="preserve"> </w:t>
      </w:r>
      <w:r>
        <w:t>de</w:t>
      </w:r>
      <w:r>
        <w:rPr>
          <w:spacing w:val="-10"/>
        </w:rPr>
        <w:t xml:space="preserve"> </w:t>
      </w:r>
      <w:r>
        <w:t>la</w:t>
      </w:r>
      <w:r>
        <w:rPr>
          <w:spacing w:val="-10"/>
        </w:rPr>
        <w:t xml:space="preserve"> </w:t>
      </w:r>
      <w:r>
        <w:t>naturaleza,</w:t>
      </w:r>
      <w:r>
        <w:rPr>
          <w:spacing w:val="-11"/>
        </w:rPr>
        <w:t xml:space="preserve"> </w:t>
      </w:r>
      <w:r>
        <w:t>que</w:t>
      </w:r>
      <w:r>
        <w:rPr>
          <w:spacing w:val="-10"/>
        </w:rPr>
        <w:t xml:space="preserve"> </w:t>
      </w:r>
      <w:r>
        <w:t>reclama</w:t>
      </w:r>
      <w:r>
        <w:rPr>
          <w:spacing w:val="-10"/>
        </w:rPr>
        <w:t xml:space="preserve"> </w:t>
      </w:r>
      <w:r>
        <w:t>su</w:t>
      </w:r>
      <w:r>
        <w:rPr>
          <w:spacing w:val="-11"/>
        </w:rPr>
        <w:t xml:space="preserve"> </w:t>
      </w:r>
      <w:r>
        <w:t xml:space="preserve">espacio en la construcción de una sociedad incluyente y que debe ser parte de una política transformadora. No fue por nada el grito de los jóvenes en el estallido social del 2021. Fue un reclamo contundente por el reconocimiento a la dignidad de todos y, por lo tanto, a la </w:t>
      </w:r>
      <w:r>
        <w:rPr>
          <w:spacing w:val="-2"/>
        </w:rPr>
        <w:t>inclusión.</w:t>
      </w:r>
    </w:p>
    <w:p w:rsidR="003804AC" w:rsidRDefault="00AF18A5" w:rsidP="00B11513">
      <w:r>
        <w:t>Como hemos dicho, la exacerbación de órdenes raciales, patriarcales, la desprotección a niños, niñas y jóvenes y la permanencia del enemigo interno y, por ende, de la estigmatización,</w:t>
      </w:r>
      <w:r>
        <w:rPr>
          <w:spacing w:val="-7"/>
        </w:rPr>
        <w:t xml:space="preserve"> </w:t>
      </w:r>
      <w:r>
        <w:t>están</w:t>
      </w:r>
      <w:r>
        <w:rPr>
          <w:spacing w:val="-8"/>
        </w:rPr>
        <w:t xml:space="preserve"> </w:t>
      </w:r>
      <w:r>
        <w:t>en</w:t>
      </w:r>
      <w:r>
        <w:rPr>
          <w:spacing w:val="-8"/>
        </w:rPr>
        <w:t xml:space="preserve"> </w:t>
      </w:r>
      <w:r>
        <w:t>la</w:t>
      </w:r>
      <w:r>
        <w:rPr>
          <w:spacing w:val="-8"/>
        </w:rPr>
        <w:t xml:space="preserve"> </w:t>
      </w:r>
      <w:r>
        <w:t>base</w:t>
      </w:r>
      <w:r>
        <w:rPr>
          <w:spacing w:val="-8"/>
        </w:rPr>
        <w:t xml:space="preserve"> </w:t>
      </w:r>
      <w:r>
        <w:t>de</w:t>
      </w:r>
      <w:r>
        <w:rPr>
          <w:spacing w:val="-8"/>
        </w:rPr>
        <w:t xml:space="preserve"> </w:t>
      </w:r>
      <w:r>
        <w:t>esa</w:t>
      </w:r>
      <w:r>
        <w:rPr>
          <w:spacing w:val="-7"/>
        </w:rPr>
        <w:t xml:space="preserve"> </w:t>
      </w:r>
      <w:r>
        <w:t>precaria</w:t>
      </w:r>
      <w:r>
        <w:rPr>
          <w:spacing w:val="-8"/>
        </w:rPr>
        <w:t xml:space="preserve"> </w:t>
      </w:r>
      <w:r>
        <w:t>y</w:t>
      </w:r>
      <w:r>
        <w:rPr>
          <w:spacing w:val="-8"/>
        </w:rPr>
        <w:t xml:space="preserve"> </w:t>
      </w:r>
      <w:r>
        <w:t>problemática</w:t>
      </w:r>
      <w:r>
        <w:rPr>
          <w:spacing w:val="-7"/>
        </w:rPr>
        <w:t xml:space="preserve"> </w:t>
      </w:r>
      <w:r>
        <w:t>noción</w:t>
      </w:r>
      <w:r>
        <w:rPr>
          <w:spacing w:val="-8"/>
        </w:rPr>
        <w:t xml:space="preserve"> </w:t>
      </w:r>
      <w:r>
        <w:t>que</w:t>
      </w:r>
      <w:r>
        <w:rPr>
          <w:spacing w:val="-8"/>
        </w:rPr>
        <w:t xml:space="preserve"> </w:t>
      </w:r>
      <w:r>
        <w:t>tenemos</w:t>
      </w:r>
      <w:r>
        <w:rPr>
          <w:spacing w:val="-8"/>
        </w:rPr>
        <w:t xml:space="preserve"> </w:t>
      </w:r>
      <w:r>
        <w:t>sobre</w:t>
      </w:r>
      <w:r>
        <w:rPr>
          <w:spacing w:val="-7"/>
        </w:rPr>
        <w:t xml:space="preserve"> </w:t>
      </w:r>
      <w:r>
        <w:t>el otro y la otra.</w:t>
      </w:r>
    </w:p>
    <w:p w:rsidR="0011361F" w:rsidRDefault="00AF18A5" w:rsidP="004A6EF4">
      <w:pPr>
        <w:pStyle w:val="Ttulo3"/>
        <w:numPr>
          <w:ilvl w:val="1"/>
          <w:numId w:val="16"/>
        </w:numPr>
      </w:pPr>
      <w:bookmarkStart w:id="1358" w:name="10.4._La_persistencia_del_racismo"/>
      <w:bookmarkStart w:id="1359" w:name="_Toc112399655"/>
      <w:bookmarkEnd w:id="1358"/>
      <w:r>
        <w:t>La</w:t>
      </w:r>
      <w:r>
        <w:rPr>
          <w:spacing w:val="-4"/>
        </w:rPr>
        <w:t xml:space="preserve"> </w:t>
      </w:r>
      <w:r>
        <w:t>persistencia</w:t>
      </w:r>
      <w:r>
        <w:rPr>
          <w:spacing w:val="-2"/>
        </w:rPr>
        <w:t xml:space="preserve"> </w:t>
      </w:r>
      <w:r>
        <w:t>del</w:t>
      </w:r>
      <w:r>
        <w:rPr>
          <w:spacing w:val="-2"/>
        </w:rPr>
        <w:t xml:space="preserve"> </w:t>
      </w:r>
      <w:r w:rsidRPr="00B11513">
        <w:t>racismo</w:t>
      </w:r>
      <w:bookmarkEnd w:id="1359"/>
    </w:p>
    <w:p w:rsidR="003804AC" w:rsidRDefault="00AF18A5" w:rsidP="0067678C">
      <w:r>
        <w:t>El</w:t>
      </w:r>
      <w:r>
        <w:rPr>
          <w:spacing w:val="-8"/>
        </w:rPr>
        <w:t xml:space="preserve"> </w:t>
      </w:r>
      <w:r>
        <w:t>racismo</w:t>
      </w:r>
      <w:r>
        <w:rPr>
          <w:spacing w:val="-8"/>
        </w:rPr>
        <w:t xml:space="preserve"> </w:t>
      </w:r>
      <w:r>
        <w:t>estructural</w:t>
      </w:r>
      <w:r>
        <w:rPr>
          <w:spacing w:val="-8"/>
        </w:rPr>
        <w:t xml:space="preserve"> </w:t>
      </w:r>
      <w:r>
        <w:t>es</w:t>
      </w:r>
      <w:r>
        <w:rPr>
          <w:spacing w:val="-8"/>
        </w:rPr>
        <w:t xml:space="preserve"> </w:t>
      </w:r>
      <w:r>
        <w:t>una</w:t>
      </w:r>
      <w:r>
        <w:rPr>
          <w:spacing w:val="-8"/>
        </w:rPr>
        <w:t xml:space="preserve"> </w:t>
      </w:r>
      <w:r>
        <w:t>forma</w:t>
      </w:r>
      <w:r>
        <w:rPr>
          <w:spacing w:val="-8"/>
        </w:rPr>
        <w:t xml:space="preserve"> </w:t>
      </w:r>
      <w:r>
        <w:t>de</w:t>
      </w:r>
      <w:r>
        <w:rPr>
          <w:spacing w:val="-8"/>
        </w:rPr>
        <w:t xml:space="preserve"> </w:t>
      </w:r>
      <w:r>
        <w:t>poder</w:t>
      </w:r>
      <w:r>
        <w:rPr>
          <w:spacing w:val="-8"/>
        </w:rPr>
        <w:t xml:space="preserve"> </w:t>
      </w:r>
      <w:r>
        <w:t>de</w:t>
      </w:r>
      <w:r>
        <w:rPr>
          <w:spacing w:val="-8"/>
        </w:rPr>
        <w:t xml:space="preserve"> </w:t>
      </w:r>
      <w:r>
        <w:t>un</w:t>
      </w:r>
      <w:r>
        <w:rPr>
          <w:spacing w:val="-8"/>
        </w:rPr>
        <w:t xml:space="preserve"> </w:t>
      </w:r>
      <w:r>
        <w:t>grupo</w:t>
      </w:r>
      <w:r>
        <w:rPr>
          <w:spacing w:val="-8"/>
        </w:rPr>
        <w:t xml:space="preserve"> </w:t>
      </w:r>
      <w:r>
        <w:t>que</w:t>
      </w:r>
      <w:r>
        <w:rPr>
          <w:spacing w:val="-7"/>
        </w:rPr>
        <w:t xml:space="preserve"> </w:t>
      </w:r>
      <w:r>
        <w:t>se</w:t>
      </w:r>
      <w:r>
        <w:rPr>
          <w:spacing w:val="-8"/>
        </w:rPr>
        <w:t xml:space="preserve"> </w:t>
      </w:r>
      <w:r>
        <w:t>cree</w:t>
      </w:r>
      <w:r>
        <w:rPr>
          <w:spacing w:val="-8"/>
        </w:rPr>
        <w:t xml:space="preserve"> </w:t>
      </w:r>
      <w:r>
        <w:t>superior</w:t>
      </w:r>
      <w:r>
        <w:rPr>
          <w:spacing w:val="-8"/>
        </w:rPr>
        <w:t xml:space="preserve"> </w:t>
      </w:r>
      <w:r>
        <w:t>a</w:t>
      </w:r>
      <w:r>
        <w:rPr>
          <w:spacing w:val="-8"/>
        </w:rPr>
        <w:t xml:space="preserve"> </w:t>
      </w:r>
      <w:r>
        <w:t>otros.</w:t>
      </w:r>
      <w:r>
        <w:rPr>
          <w:spacing w:val="-8"/>
        </w:rPr>
        <w:t xml:space="preserve"> </w:t>
      </w:r>
      <w:r>
        <w:t>En</w:t>
      </w:r>
      <w:r>
        <w:rPr>
          <w:spacing w:val="-8"/>
        </w:rPr>
        <w:t xml:space="preserve"> </w:t>
      </w:r>
      <w:r>
        <w:t>esa lógica, esos otros subyugados no tienen los mismos derechos, dignidad o capacidades. Con base</w:t>
      </w:r>
      <w:r>
        <w:rPr>
          <w:spacing w:val="-1"/>
        </w:rPr>
        <w:t xml:space="preserve"> </w:t>
      </w:r>
      <w:r>
        <w:t>en</w:t>
      </w:r>
      <w:r>
        <w:rPr>
          <w:spacing w:val="-1"/>
        </w:rPr>
        <w:t xml:space="preserve"> </w:t>
      </w:r>
      <w:r>
        <w:t>esa</w:t>
      </w:r>
      <w:r>
        <w:rPr>
          <w:spacing w:val="-1"/>
        </w:rPr>
        <w:t xml:space="preserve"> </w:t>
      </w:r>
      <w:r>
        <w:t>idea</w:t>
      </w:r>
      <w:r>
        <w:rPr>
          <w:spacing w:val="-1"/>
        </w:rPr>
        <w:t xml:space="preserve"> </w:t>
      </w:r>
      <w:r>
        <w:t>racista,</w:t>
      </w:r>
      <w:r>
        <w:rPr>
          <w:spacing w:val="-1"/>
        </w:rPr>
        <w:t xml:space="preserve"> </w:t>
      </w:r>
      <w:r>
        <w:t>en</w:t>
      </w:r>
      <w:r>
        <w:rPr>
          <w:spacing w:val="-1"/>
        </w:rPr>
        <w:t xml:space="preserve"> </w:t>
      </w:r>
      <w:r>
        <w:t>Colombia</w:t>
      </w:r>
      <w:r>
        <w:rPr>
          <w:spacing w:val="-1"/>
        </w:rPr>
        <w:t xml:space="preserve"> </w:t>
      </w:r>
      <w:r>
        <w:t>se</w:t>
      </w:r>
      <w:r>
        <w:rPr>
          <w:spacing w:val="-1"/>
        </w:rPr>
        <w:t xml:space="preserve"> </w:t>
      </w:r>
      <w:r>
        <w:t>han</w:t>
      </w:r>
      <w:r>
        <w:rPr>
          <w:spacing w:val="-1"/>
        </w:rPr>
        <w:t xml:space="preserve"> </w:t>
      </w:r>
      <w:r>
        <w:t>ejercido</w:t>
      </w:r>
      <w:r>
        <w:rPr>
          <w:spacing w:val="-1"/>
        </w:rPr>
        <w:t xml:space="preserve"> </w:t>
      </w:r>
      <w:r>
        <w:t>una</w:t>
      </w:r>
      <w:r>
        <w:rPr>
          <w:spacing w:val="-1"/>
        </w:rPr>
        <w:t xml:space="preserve"> </w:t>
      </w:r>
      <w:r>
        <w:t>serie</w:t>
      </w:r>
      <w:r>
        <w:rPr>
          <w:spacing w:val="-1"/>
        </w:rPr>
        <w:t xml:space="preserve"> </w:t>
      </w:r>
      <w:r>
        <w:t>de</w:t>
      </w:r>
      <w:r>
        <w:rPr>
          <w:spacing w:val="-1"/>
        </w:rPr>
        <w:t xml:space="preserve"> </w:t>
      </w:r>
      <w:r>
        <w:t>prácticas</w:t>
      </w:r>
      <w:r>
        <w:rPr>
          <w:spacing w:val="-1"/>
        </w:rPr>
        <w:t xml:space="preserve"> </w:t>
      </w:r>
      <w:r>
        <w:t>discriminatorias de</w:t>
      </w:r>
      <w:r>
        <w:rPr>
          <w:spacing w:val="-11"/>
        </w:rPr>
        <w:t xml:space="preserve"> </w:t>
      </w:r>
      <w:r>
        <w:t>manera</w:t>
      </w:r>
      <w:r>
        <w:rPr>
          <w:spacing w:val="-11"/>
        </w:rPr>
        <w:t xml:space="preserve"> </w:t>
      </w:r>
      <w:r>
        <w:t>sistemática</w:t>
      </w:r>
      <w:r>
        <w:rPr>
          <w:spacing w:val="-11"/>
        </w:rPr>
        <w:t xml:space="preserve"> </w:t>
      </w:r>
      <w:r>
        <w:t>y</w:t>
      </w:r>
      <w:r>
        <w:rPr>
          <w:spacing w:val="-12"/>
        </w:rPr>
        <w:t xml:space="preserve"> </w:t>
      </w:r>
      <w:r>
        <w:t>en</w:t>
      </w:r>
      <w:r>
        <w:rPr>
          <w:spacing w:val="-11"/>
        </w:rPr>
        <w:t xml:space="preserve"> </w:t>
      </w:r>
      <w:r>
        <w:t>todos</w:t>
      </w:r>
      <w:r>
        <w:rPr>
          <w:spacing w:val="-11"/>
        </w:rPr>
        <w:t xml:space="preserve"> </w:t>
      </w:r>
      <w:r>
        <w:t>los</w:t>
      </w:r>
      <w:r>
        <w:rPr>
          <w:spacing w:val="-12"/>
        </w:rPr>
        <w:t xml:space="preserve"> </w:t>
      </w:r>
      <w:r>
        <w:t>espacios</w:t>
      </w:r>
      <w:r>
        <w:rPr>
          <w:spacing w:val="-10"/>
        </w:rPr>
        <w:t xml:space="preserve"> </w:t>
      </w:r>
      <w:r>
        <w:t>de</w:t>
      </w:r>
      <w:r>
        <w:rPr>
          <w:spacing w:val="-11"/>
        </w:rPr>
        <w:t xml:space="preserve"> </w:t>
      </w:r>
      <w:r>
        <w:t>la</w:t>
      </w:r>
      <w:r>
        <w:rPr>
          <w:spacing w:val="-11"/>
        </w:rPr>
        <w:t xml:space="preserve"> </w:t>
      </w:r>
      <w:r>
        <w:t>vida</w:t>
      </w:r>
      <w:r>
        <w:rPr>
          <w:spacing w:val="-11"/>
        </w:rPr>
        <w:t xml:space="preserve"> </w:t>
      </w:r>
      <w:r>
        <w:t>social.</w:t>
      </w:r>
      <w:r>
        <w:rPr>
          <w:spacing w:val="-11"/>
        </w:rPr>
        <w:t xml:space="preserve"> </w:t>
      </w:r>
      <w:r>
        <w:t>El</w:t>
      </w:r>
      <w:r>
        <w:rPr>
          <w:spacing w:val="-11"/>
        </w:rPr>
        <w:t xml:space="preserve"> </w:t>
      </w:r>
      <w:r>
        <w:t>uso</w:t>
      </w:r>
      <w:r>
        <w:rPr>
          <w:spacing w:val="-11"/>
        </w:rPr>
        <w:t xml:space="preserve"> </w:t>
      </w:r>
      <w:r>
        <w:t>de</w:t>
      </w:r>
      <w:r>
        <w:rPr>
          <w:spacing w:val="-11"/>
        </w:rPr>
        <w:t xml:space="preserve"> </w:t>
      </w:r>
      <w:r>
        <w:t>nominaciones</w:t>
      </w:r>
      <w:r>
        <w:rPr>
          <w:spacing w:val="-11"/>
        </w:rPr>
        <w:t xml:space="preserve"> </w:t>
      </w:r>
      <w:r>
        <w:rPr>
          <w:spacing w:val="-4"/>
        </w:rPr>
        <w:t>como</w:t>
      </w:r>
      <w:r w:rsidR="0067678C">
        <w:t xml:space="preserve"> </w:t>
      </w:r>
      <w:r>
        <w:t>«indio» o «india», «negro» o «negra», para nombrar a los pueblos étnicos de forma peyorativa</w:t>
      </w:r>
      <w:r>
        <w:rPr>
          <w:spacing w:val="-5"/>
        </w:rPr>
        <w:t xml:space="preserve"> </w:t>
      </w:r>
      <w:r>
        <w:t>encarna</w:t>
      </w:r>
      <w:r>
        <w:rPr>
          <w:spacing w:val="-2"/>
        </w:rPr>
        <w:t xml:space="preserve"> </w:t>
      </w:r>
      <w:r>
        <w:t>una</w:t>
      </w:r>
      <w:r>
        <w:rPr>
          <w:spacing w:val="-3"/>
        </w:rPr>
        <w:t xml:space="preserve"> </w:t>
      </w:r>
      <w:r>
        <w:t>relación</w:t>
      </w:r>
      <w:r>
        <w:rPr>
          <w:spacing w:val="-3"/>
        </w:rPr>
        <w:t xml:space="preserve"> </w:t>
      </w:r>
      <w:r>
        <w:t>a</w:t>
      </w:r>
      <w:r>
        <w:rPr>
          <w:spacing w:val="-3"/>
        </w:rPr>
        <w:t xml:space="preserve"> </w:t>
      </w:r>
      <w:r>
        <w:t>conceptos</w:t>
      </w:r>
      <w:r>
        <w:rPr>
          <w:spacing w:val="-3"/>
        </w:rPr>
        <w:t xml:space="preserve"> </w:t>
      </w:r>
      <w:r>
        <w:t>como</w:t>
      </w:r>
      <w:r>
        <w:rPr>
          <w:spacing w:val="-3"/>
        </w:rPr>
        <w:t xml:space="preserve"> </w:t>
      </w:r>
      <w:r>
        <w:t>el</w:t>
      </w:r>
      <w:r>
        <w:rPr>
          <w:spacing w:val="-3"/>
        </w:rPr>
        <w:t xml:space="preserve"> </w:t>
      </w:r>
      <w:r>
        <w:t>de</w:t>
      </w:r>
      <w:r>
        <w:rPr>
          <w:spacing w:val="-2"/>
        </w:rPr>
        <w:t xml:space="preserve"> </w:t>
      </w:r>
      <w:r>
        <w:t>«ignorante»,</w:t>
      </w:r>
      <w:r>
        <w:rPr>
          <w:spacing w:val="-4"/>
        </w:rPr>
        <w:t xml:space="preserve"> </w:t>
      </w:r>
      <w:r>
        <w:t>«salvaje»,</w:t>
      </w:r>
      <w:r>
        <w:rPr>
          <w:spacing w:val="-3"/>
        </w:rPr>
        <w:t xml:space="preserve"> </w:t>
      </w:r>
      <w:r>
        <w:t>«inferior»</w:t>
      </w:r>
      <w:r>
        <w:rPr>
          <w:spacing w:val="-3"/>
        </w:rPr>
        <w:t xml:space="preserve"> </w:t>
      </w:r>
      <w:r>
        <w:rPr>
          <w:spacing w:val="-10"/>
        </w:rPr>
        <w:t>y</w:t>
      </w:r>
      <w:r w:rsidR="0067678C">
        <w:t xml:space="preserve"> </w:t>
      </w:r>
      <w:r>
        <w:t>«sucio».</w:t>
      </w:r>
      <w:r>
        <w:rPr>
          <w:spacing w:val="-15"/>
        </w:rPr>
        <w:t xml:space="preserve"> </w:t>
      </w:r>
      <w:r>
        <w:t>Pero</w:t>
      </w:r>
      <w:r>
        <w:rPr>
          <w:spacing w:val="-14"/>
        </w:rPr>
        <w:t xml:space="preserve"> </w:t>
      </w:r>
      <w:r>
        <w:t>ese</w:t>
      </w:r>
      <w:r>
        <w:rPr>
          <w:spacing w:val="-14"/>
        </w:rPr>
        <w:t xml:space="preserve"> </w:t>
      </w:r>
      <w:r>
        <w:t>es</w:t>
      </w:r>
      <w:r>
        <w:rPr>
          <w:spacing w:val="-14"/>
        </w:rPr>
        <w:t xml:space="preserve"> </w:t>
      </w:r>
      <w:r>
        <w:t>tan</w:t>
      </w:r>
      <w:r>
        <w:rPr>
          <w:spacing w:val="-14"/>
        </w:rPr>
        <w:t xml:space="preserve"> </w:t>
      </w:r>
      <w:r>
        <w:t>solo</w:t>
      </w:r>
      <w:r>
        <w:rPr>
          <w:spacing w:val="-15"/>
        </w:rPr>
        <w:t xml:space="preserve"> </w:t>
      </w:r>
      <w:r>
        <w:t>un</w:t>
      </w:r>
      <w:r>
        <w:rPr>
          <w:spacing w:val="-14"/>
        </w:rPr>
        <w:t xml:space="preserve"> </w:t>
      </w:r>
      <w:r>
        <w:t>reflejo</w:t>
      </w:r>
      <w:r>
        <w:rPr>
          <w:spacing w:val="-14"/>
        </w:rPr>
        <w:t xml:space="preserve"> </w:t>
      </w:r>
      <w:r>
        <w:t>del</w:t>
      </w:r>
      <w:r>
        <w:rPr>
          <w:spacing w:val="-14"/>
        </w:rPr>
        <w:t xml:space="preserve"> </w:t>
      </w:r>
      <w:r>
        <w:t>desprecio</w:t>
      </w:r>
      <w:r>
        <w:rPr>
          <w:spacing w:val="-14"/>
        </w:rPr>
        <w:t xml:space="preserve"> </w:t>
      </w:r>
      <w:r>
        <w:t>que</w:t>
      </w:r>
      <w:r>
        <w:rPr>
          <w:spacing w:val="-14"/>
        </w:rPr>
        <w:t xml:space="preserve"> </w:t>
      </w:r>
      <w:r>
        <w:t>la</w:t>
      </w:r>
      <w:r>
        <w:rPr>
          <w:spacing w:val="-14"/>
        </w:rPr>
        <w:t xml:space="preserve"> </w:t>
      </w:r>
      <w:r>
        <w:t>sociedad</w:t>
      </w:r>
      <w:r>
        <w:rPr>
          <w:spacing w:val="-14"/>
        </w:rPr>
        <w:t xml:space="preserve"> </w:t>
      </w:r>
      <w:r>
        <w:t>colombiana</w:t>
      </w:r>
      <w:r>
        <w:rPr>
          <w:spacing w:val="-14"/>
        </w:rPr>
        <w:t xml:space="preserve"> </w:t>
      </w:r>
      <w:r>
        <w:lastRenderedPageBreak/>
        <w:t>ha</w:t>
      </w:r>
      <w:r>
        <w:rPr>
          <w:spacing w:val="-14"/>
        </w:rPr>
        <w:t xml:space="preserve"> </w:t>
      </w:r>
      <w:r>
        <w:t>incubado contra la humanidad y culturas de estas comunidades.</w:t>
      </w:r>
    </w:p>
    <w:p w:rsidR="003804AC" w:rsidRDefault="00AF18A5" w:rsidP="0067678C">
      <w:r>
        <w:t>Ese mecanismo de violencia es persistente y se estimula en el conflicto armado colombiano. Negar la condición de los pueblos étnicos, negar su humanidad, fue la justificación perfecta para ejecutar acciones atroces en contra de esa población, de sus cuerpos y territorios. Pasaron de ser los grupos sociales más marginalizados históricamente a ser, también, los que más han sufrido los efectos de la guerra.</w:t>
      </w:r>
    </w:p>
    <w:p w:rsidR="003804AC" w:rsidRDefault="00AF18A5" w:rsidP="0067678C">
      <w:r>
        <w:t>El racismo, que validó las narrativas esclavistas y colonizadoras, sigue no solo impidiéndonos</w:t>
      </w:r>
      <w:r>
        <w:rPr>
          <w:spacing w:val="23"/>
        </w:rPr>
        <w:t xml:space="preserve"> </w:t>
      </w:r>
      <w:r>
        <w:t>reconocer</w:t>
      </w:r>
      <w:r>
        <w:rPr>
          <w:spacing w:val="26"/>
        </w:rPr>
        <w:t xml:space="preserve"> </w:t>
      </w:r>
      <w:r>
        <w:t>y</w:t>
      </w:r>
      <w:r>
        <w:rPr>
          <w:spacing w:val="26"/>
        </w:rPr>
        <w:t xml:space="preserve"> </w:t>
      </w:r>
      <w:r>
        <w:t>valorar</w:t>
      </w:r>
      <w:r>
        <w:rPr>
          <w:spacing w:val="24"/>
        </w:rPr>
        <w:t xml:space="preserve"> </w:t>
      </w:r>
      <w:r>
        <w:t>la</w:t>
      </w:r>
      <w:r>
        <w:rPr>
          <w:spacing w:val="26"/>
        </w:rPr>
        <w:t xml:space="preserve"> </w:t>
      </w:r>
      <w:r>
        <w:t>riqueza</w:t>
      </w:r>
      <w:r>
        <w:rPr>
          <w:spacing w:val="25"/>
        </w:rPr>
        <w:t xml:space="preserve"> </w:t>
      </w:r>
      <w:r>
        <w:t>pluriétnica</w:t>
      </w:r>
      <w:r>
        <w:rPr>
          <w:spacing w:val="25"/>
        </w:rPr>
        <w:t xml:space="preserve"> </w:t>
      </w:r>
      <w:r>
        <w:t>y</w:t>
      </w:r>
      <w:r>
        <w:rPr>
          <w:spacing w:val="24"/>
        </w:rPr>
        <w:t xml:space="preserve"> </w:t>
      </w:r>
      <w:r>
        <w:t>pluricultural</w:t>
      </w:r>
      <w:r>
        <w:rPr>
          <w:spacing w:val="25"/>
        </w:rPr>
        <w:t xml:space="preserve"> </w:t>
      </w:r>
      <w:r>
        <w:t>que</w:t>
      </w:r>
      <w:r>
        <w:rPr>
          <w:spacing w:val="25"/>
        </w:rPr>
        <w:t xml:space="preserve"> </w:t>
      </w:r>
      <w:r>
        <w:t>caracteriza</w:t>
      </w:r>
      <w:r>
        <w:rPr>
          <w:spacing w:val="25"/>
        </w:rPr>
        <w:t xml:space="preserve"> </w:t>
      </w:r>
      <w:r>
        <w:rPr>
          <w:spacing w:val="-10"/>
        </w:rPr>
        <w:t>a</w:t>
      </w:r>
      <w:r w:rsidR="0067678C">
        <w:t xml:space="preserve"> </w:t>
      </w:r>
      <w:r>
        <w:t>Colombia,</w:t>
      </w:r>
      <w:r>
        <w:rPr>
          <w:spacing w:val="-1"/>
        </w:rPr>
        <w:t xml:space="preserve"> </w:t>
      </w:r>
      <w:r>
        <w:t>sino</w:t>
      </w:r>
      <w:r>
        <w:rPr>
          <w:spacing w:val="-1"/>
        </w:rPr>
        <w:t xml:space="preserve"> </w:t>
      </w:r>
      <w:r>
        <w:t>que</w:t>
      </w:r>
      <w:r>
        <w:rPr>
          <w:spacing w:val="-1"/>
        </w:rPr>
        <w:t xml:space="preserve"> </w:t>
      </w:r>
      <w:r>
        <w:t>además</w:t>
      </w:r>
      <w:r>
        <w:rPr>
          <w:spacing w:val="-1"/>
        </w:rPr>
        <w:t xml:space="preserve"> </w:t>
      </w:r>
      <w:r>
        <w:t>es</w:t>
      </w:r>
      <w:r>
        <w:rPr>
          <w:spacing w:val="-1"/>
        </w:rPr>
        <w:t xml:space="preserve"> </w:t>
      </w:r>
      <w:r>
        <w:t>la</w:t>
      </w:r>
      <w:r>
        <w:rPr>
          <w:spacing w:val="-1"/>
        </w:rPr>
        <w:t xml:space="preserve"> </w:t>
      </w:r>
      <w:r>
        <w:t>causa</w:t>
      </w:r>
      <w:r>
        <w:rPr>
          <w:spacing w:val="-1"/>
        </w:rPr>
        <w:t xml:space="preserve"> </w:t>
      </w:r>
      <w:r>
        <w:t>principal</w:t>
      </w:r>
      <w:r>
        <w:rPr>
          <w:spacing w:val="-1"/>
        </w:rPr>
        <w:t xml:space="preserve"> </w:t>
      </w:r>
      <w:r>
        <w:t>de</w:t>
      </w:r>
      <w:r>
        <w:rPr>
          <w:spacing w:val="-1"/>
        </w:rPr>
        <w:t xml:space="preserve"> </w:t>
      </w:r>
      <w:r>
        <w:t>la</w:t>
      </w:r>
      <w:r>
        <w:rPr>
          <w:spacing w:val="-1"/>
        </w:rPr>
        <w:t xml:space="preserve"> </w:t>
      </w:r>
      <w:r>
        <w:t>desatención</w:t>
      </w:r>
      <w:r>
        <w:rPr>
          <w:spacing w:val="-1"/>
        </w:rPr>
        <w:t xml:space="preserve"> </w:t>
      </w:r>
      <w:r>
        <w:t>hacia</w:t>
      </w:r>
      <w:r>
        <w:rPr>
          <w:spacing w:val="-2"/>
        </w:rPr>
        <w:t xml:space="preserve"> </w:t>
      </w:r>
      <w:r>
        <w:t>los</w:t>
      </w:r>
      <w:r>
        <w:rPr>
          <w:spacing w:val="-1"/>
        </w:rPr>
        <w:t xml:space="preserve"> </w:t>
      </w:r>
      <w:r>
        <w:t>pueblos</w:t>
      </w:r>
      <w:r>
        <w:rPr>
          <w:spacing w:val="-2"/>
        </w:rPr>
        <w:t xml:space="preserve"> </w:t>
      </w:r>
      <w:r>
        <w:t>étnicos y sus territorios. Los Índices de Necesidades Básicas Insatisfechas</w:t>
      </w:r>
      <w:r w:rsidR="0067678C">
        <w:rPr>
          <w:rStyle w:val="Refdenotaalpie"/>
        </w:rPr>
        <w:footnoteReference w:id="1098"/>
      </w:r>
      <w:r>
        <w:t xml:space="preserve"> en las comunidades étnicas y campesinas permiten evidenciar la situación de exclusión y la responsabilidad del Estado frente a la persistencia de la desigualdad. En los casos de los pueblos negros, afrocolombianos,</w:t>
      </w:r>
      <w:r>
        <w:rPr>
          <w:spacing w:val="-2"/>
        </w:rPr>
        <w:t xml:space="preserve"> </w:t>
      </w:r>
      <w:r>
        <w:t>raizales</w:t>
      </w:r>
      <w:r>
        <w:rPr>
          <w:spacing w:val="-2"/>
        </w:rPr>
        <w:t xml:space="preserve"> </w:t>
      </w:r>
      <w:r>
        <w:t>y</w:t>
      </w:r>
      <w:r>
        <w:rPr>
          <w:spacing w:val="-2"/>
        </w:rPr>
        <w:t xml:space="preserve"> </w:t>
      </w:r>
      <w:r>
        <w:t>palenqueros,</w:t>
      </w:r>
      <w:r>
        <w:rPr>
          <w:spacing w:val="-2"/>
        </w:rPr>
        <w:t xml:space="preserve"> </w:t>
      </w:r>
      <w:r>
        <w:t>la</w:t>
      </w:r>
      <w:r>
        <w:rPr>
          <w:spacing w:val="-2"/>
        </w:rPr>
        <w:t xml:space="preserve"> </w:t>
      </w:r>
      <w:r>
        <w:t>última</w:t>
      </w:r>
      <w:r>
        <w:rPr>
          <w:spacing w:val="-2"/>
        </w:rPr>
        <w:t xml:space="preserve"> </w:t>
      </w:r>
      <w:r>
        <w:t>encuesta</w:t>
      </w:r>
      <w:r>
        <w:rPr>
          <w:spacing w:val="-2"/>
        </w:rPr>
        <w:t xml:space="preserve"> </w:t>
      </w:r>
      <w:r>
        <w:t>de</w:t>
      </w:r>
      <w:r>
        <w:rPr>
          <w:spacing w:val="-2"/>
        </w:rPr>
        <w:t xml:space="preserve"> </w:t>
      </w:r>
      <w:r>
        <w:t>calidad</w:t>
      </w:r>
      <w:r>
        <w:rPr>
          <w:spacing w:val="-2"/>
        </w:rPr>
        <w:t xml:space="preserve"> </w:t>
      </w:r>
      <w:r>
        <w:t>de</w:t>
      </w:r>
      <w:r>
        <w:rPr>
          <w:spacing w:val="-3"/>
        </w:rPr>
        <w:t xml:space="preserve"> </w:t>
      </w:r>
      <w:r>
        <w:t>vida</w:t>
      </w:r>
      <w:r>
        <w:rPr>
          <w:spacing w:val="-2"/>
        </w:rPr>
        <w:t xml:space="preserve"> </w:t>
      </w:r>
      <w:r>
        <w:t>realizada</w:t>
      </w:r>
      <w:r>
        <w:rPr>
          <w:spacing w:val="-2"/>
        </w:rPr>
        <w:t xml:space="preserve"> </w:t>
      </w:r>
      <w:r>
        <w:t>por el DANE indicó que la pobreza multidimensional que afecta a estas poblaciones es 30,6</w:t>
      </w:r>
      <w:r>
        <w:rPr>
          <w:spacing w:val="-3"/>
        </w:rPr>
        <w:t xml:space="preserve"> </w:t>
      </w:r>
      <w:r>
        <w:t>% superior que el de la media nacional. En el caso de los afrodescendientes, el 72</w:t>
      </w:r>
      <w:r>
        <w:rPr>
          <w:spacing w:val="-3"/>
        </w:rPr>
        <w:t xml:space="preserve"> </w:t>
      </w:r>
      <w:r>
        <w:t>% de la población es pobre en Chocó y Nariño. En el caso del departamento de Chocó, el 81</w:t>
      </w:r>
      <w:r>
        <w:rPr>
          <w:spacing w:val="-2"/>
        </w:rPr>
        <w:t xml:space="preserve"> </w:t>
      </w:r>
      <w:r>
        <w:t>% de los hogares no cuentan con servicio de alcantarillado. La tasa de analfabetismo en el según el censo del DANE de 2005 es de un 29,5 %.</w:t>
      </w:r>
      <w:r w:rsidR="0067678C">
        <w:rPr>
          <w:rStyle w:val="Refdenotaalpie"/>
        </w:rPr>
        <w:footnoteReference w:id="1099"/>
      </w:r>
    </w:p>
    <w:p w:rsidR="003804AC" w:rsidRDefault="00AF18A5" w:rsidP="0067678C">
      <w:r>
        <w:t>Los indígenas son el grupo con mayor pobreza, sobre todo en Chocó</w:t>
      </w:r>
      <w:r w:rsidR="0067678C">
        <w:rPr>
          <w:rStyle w:val="Refdenotaalpie"/>
        </w:rPr>
        <w:footnoteReference w:id="1100"/>
      </w:r>
      <w:r>
        <w:t xml:space="preserve"> y en los departamentos de la Amazonía y la Orinoquía, donde el </w:t>
      </w:r>
      <w:r>
        <w:lastRenderedPageBreak/>
        <w:t>porcentaje supera el 70</w:t>
      </w:r>
      <w:r>
        <w:rPr>
          <w:spacing w:val="-2"/>
        </w:rPr>
        <w:t xml:space="preserve"> </w:t>
      </w:r>
      <w:r>
        <w:t>%: «En las zonas donde hay mayor presencia de pueblos indígenas, como los departamentos de Amazonas, Guainía, Vaupés y Vichada, y de comunidades afrodescendientes como Chocó, Nariño y Putumayo, se observa un nivel educativo más bajo y condiciones laborales menos favorables en comparación con la población no étnica».</w:t>
      </w:r>
      <w:r w:rsidR="0067678C">
        <w:rPr>
          <w:rStyle w:val="Refdenotaalpie"/>
        </w:rPr>
        <w:footnoteReference w:id="1101"/>
      </w:r>
    </w:p>
    <w:p w:rsidR="003804AC" w:rsidRPr="0067678C" w:rsidRDefault="00AF18A5" w:rsidP="0067678C">
      <w:r>
        <w:t>En</w:t>
      </w:r>
      <w:r>
        <w:rPr>
          <w:spacing w:val="-12"/>
        </w:rPr>
        <w:t xml:space="preserve"> </w:t>
      </w:r>
      <w:r>
        <w:t>lo</w:t>
      </w:r>
      <w:r>
        <w:rPr>
          <w:spacing w:val="-12"/>
        </w:rPr>
        <w:t xml:space="preserve"> </w:t>
      </w:r>
      <w:r>
        <w:t>que</w:t>
      </w:r>
      <w:r>
        <w:rPr>
          <w:spacing w:val="-13"/>
        </w:rPr>
        <w:t xml:space="preserve"> </w:t>
      </w:r>
      <w:r>
        <w:t>respecta</w:t>
      </w:r>
      <w:r>
        <w:rPr>
          <w:spacing w:val="-13"/>
        </w:rPr>
        <w:t xml:space="preserve"> </w:t>
      </w:r>
      <w:r>
        <w:t>a</w:t>
      </w:r>
      <w:r>
        <w:rPr>
          <w:spacing w:val="-12"/>
        </w:rPr>
        <w:t xml:space="preserve"> </w:t>
      </w:r>
      <w:r>
        <w:t>campesinos,</w:t>
      </w:r>
      <w:r>
        <w:rPr>
          <w:spacing w:val="-13"/>
        </w:rPr>
        <w:t xml:space="preserve"> </w:t>
      </w:r>
      <w:r>
        <w:t>solo</w:t>
      </w:r>
      <w:r>
        <w:rPr>
          <w:spacing w:val="-12"/>
        </w:rPr>
        <w:t xml:space="preserve"> </w:t>
      </w:r>
      <w:r>
        <w:t>hasta</w:t>
      </w:r>
      <w:r>
        <w:rPr>
          <w:spacing w:val="-13"/>
        </w:rPr>
        <w:t xml:space="preserve"> </w:t>
      </w:r>
      <w:r>
        <w:t>2019,</w:t>
      </w:r>
      <w:r>
        <w:rPr>
          <w:spacing w:val="-12"/>
        </w:rPr>
        <w:t xml:space="preserve"> </w:t>
      </w:r>
      <w:r>
        <w:t>luego</w:t>
      </w:r>
      <w:r>
        <w:rPr>
          <w:spacing w:val="-12"/>
        </w:rPr>
        <w:t xml:space="preserve"> </w:t>
      </w:r>
      <w:r>
        <w:t>de</w:t>
      </w:r>
      <w:r>
        <w:rPr>
          <w:spacing w:val="-12"/>
        </w:rPr>
        <w:t xml:space="preserve"> </w:t>
      </w:r>
      <w:r>
        <w:t>un</w:t>
      </w:r>
      <w:r>
        <w:rPr>
          <w:spacing w:val="-13"/>
        </w:rPr>
        <w:t xml:space="preserve"> </w:t>
      </w:r>
      <w:r>
        <w:t>litigio</w:t>
      </w:r>
      <w:r>
        <w:rPr>
          <w:spacing w:val="-12"/>
        </w:rPr>
        <w:t xml:space="preserve"> </w:t>
      </w:r>
      <w:r>
        <w:t>judicial,</w:t>
      </w:r>
      <w:r>
        <w:rPr>
          <w:spacing w:val="-12"/>
        </w:rPr>
        <w:t xml:space="preserve"> </w:t>
      </w:r>
      <w:r>
        <w:t>se</w:t>
      </w:r>
      <w:r>
        <w:rPr>
          <w:spacing w:val="-13"/>
        </w:rPr>
        <w:t xml:space="preserve"> </w:t>
      </w:r>
      <w:r>
        <w:t>reconoció que «el campesinado constituye un grupo poblacional con una identidad cultural diferenciada, por lo cual es sujeto de derechos integrales teniendo especial protección constitucional, y es objeto de política pública. En este sentido, requiere ser identificado y caracterizado en su situación social, económica y demográfica»</w:t>
      </w:r>
      <w:r w:rsidR="0067678C">
        <w:rPr>
          <w:rStyle w:val="Refdenotaalpie"/>
        </w:rPr>
        <w:footnoteReference w:id="1102"/>
      </w:r>
      <w:r>
        <w:t>. De acuerdo con la Encuesta de Calidad de vida 2020, en la que por primera vez se incorpora el enfoque étnico campesino,</w:t>
      </w:r>
      <w:r>
        <w:rPr>
          <w:spacing w:val="49"/>
        </w:rPr>
        <w:t xml:space="preserve"> </w:t>
      </w:r>
      <w:r>
        <w:t>el</w:t>
      </w:r>
      <w:r>
        <w:rPr>
          <w:spacing w:val="51"/>
        </w:rPr>
        <w:t xml:space="preserve"> </w:t>
      </w:r>
      <w:r>
        <w:t>DANE</w:t>
      </w:r>
      <w:r>
        <w:rPr>
          <w:spacing w:val="50"/>
        </w:rPr>
        <w:t xml:space="preserve"> </w:t>
      </w:r>
      <w:r>
        <w:t>encontró</w:t>
      </w:r>
      <w:r>
        <w:rPr>
          <w:spacing w:val="50"/>
        </w:rPr>
        <w:t xml:space="preserve"> </w:t>
      </w:r>
      <w:r>
        <w:t>que</w:t>
      </w:r>
      <w:r>
        <w:rPr>
          <w:spacing w:val="49"/>
        </w:rPr>
        <w:t xml:space="preserve"> </w:t>
      </w:r>
      <w:r>
        <w:t>«el</w:t>
      </w:r>
      <w:r>
        <w:rPr>
          <w:spacing w:val="51"/>
        </w:rPr>
        <w:t xml:space="preserve"> </w:t>
      </w:r>
      <w:r>
        <w:t>70</w:t>
      </w:r>
      <w:r>
        <w:rPr>
          <w:spacing w:val="-2"/>
        </w:rPr>
        <w:t xml:space="preserve"> </w:t>
      </w:r>
      <w:r>
        <w:t>%</w:t>
      </w:r>
      <w:r>
        <w:rPr>
          <w:spacing w:val="49"/>
        </w:rPr>
        <w:t xml:space="preserve"> </w:t>
      </w:r>
      <w:r>
        <w:t>de</w:t>
      </w:r>
      <w:r>
        <w:rPr>
          <w:spacing w:val="50"/>
        </w:rPr>
        <w:t xml:space="preserve"> </w:t>
      </w:r>
      <w:r>
        <w:t>hogares</w:t>
      </w:r>
      <w:r>
        <w:rPr>
          <w:spacing w:val="49"/>
        </w:rPr>
        <w:t xml:space="preserve"> </w:t>
      </w:r>
      <w:r>
        <w:t>campesinos</w:t>
      </w:r>
      <w:r>
        <w:rPr>
          <w:spacing w:val="49"/>
        </w:rPr>
        <w:t xml:space="preserve"> </w:t>
      </w:r>
      <w:r>
        <w:t>tienen</w:t>
      </w:r>
      <w:r>
        <w:rPr>
          <w:spacing w:val="50"/>
        </w:rPr>
        <w:t xml:space="preserve"> </w:t>
      </w:r>
      <w:r>
        <w:t>bajo</w:t>
      </w:r>
      <w:r>
        <w:rPr>
          <w:spacing w:val="50"/>
        </w:rPr>
        <w:t xml:space="preserve"> </w:t>
      </w:r>
      <w:r>
        <w:rPr>
          <w:spacing w:val="-2"/>
        </w:rPr>
        <w:t>logro</w:t>
      </w:r>
      <w:bookmarkStart w:id="1360" w:name="_bookmark1207"/>
      <w:bookmarkStart w:id="1361" w:name="_bookmark1208"/>
      <w:bookmarkStart w:id="1362" w:name="_bookmark1209"/>
      <w:bookmarkStart w:id="1363" w:name="_bookmark1210"/>
      <w:bookmarkStart w:id="1364" w:name="_bookmark1211"/>
      <w:bookmarkEnd w:id="1360"/>
      <w:bookmarkEnd w:id="1361"/>
      <w:bookmarkEnd w:id="1362"/>
      <w:bookmarkEnd w:id="1363"/>
      <w:bookmarkEnd w:id="1364"/>
      <w:r w:rsidR="0067678C">
        <w:rPr>
          <w:spacing w:val="-2"/>
        </w:rPr>
        <w:t xml:space="preserve"> </w:t>
      </w:r>
      <w:r>
        <w:t>educativo</w:t>
      </w:r>
      <w:r>
        <w:rPr>
          <w:spacing w:val="-6"/>
        </w:rPr>
        <w:t xml:space="preserve"> </w:t>
      </w:r>
      <w:r>
        <w:t>y</w:t>
      </w:r>
      <w:r>
        <w:rPr>
          <w:spacing w:val="-7"/>
        </w:rPr>
        <w:t xml:space="preserve"> </w:t>
      </w:r>
      <w:r>
        <w:t>el</w:t>
      </w:r>
      <w:r>
        <w:rPr>
          <w:spacing w:val="-6"/>
        </w:rPr>
        <w:t xml:space="preserve"> </w:t>
      </w:r>
      <w:r>
        <w:t>86,7</w:t>
      </w:r>
      <w:r>
        <w:rPr>
          <w:spacing w:val="-2"/>
        </w:rPr>
        <w:t xml:space="preserve"> </w:t>
      </w:r>
      <w:r>
        <w:t>%</w:t>
      </w:r>
      <w:r>
        <w:rPr>
          <w:spacing w:val="-7"/>
        </w:rPr>
        <w:t xml:space="preserve"> </w:t>
      </w:r>
      <w:r>
        <w:t>está</w:t>
      </w:r>
      <w:r>
        <w:rPr>
          <w:spacing w:val="-6"/>
        </w:rPr>
        <w:t xml:space="preserve"> </w:t>
      </w:r>
      <w:r>
        <w:t>compuesto</w:t>
      </w:r>
      <w:r>
        <w:rPr>
          <w:spacing w:val="-6"/>
        </w:rPr>
        <w:t xml:space="preserve"> </w:t>
      </w:r>
      <w:r>
        <w:t>por</w:t>
      </w:r>
      <w:r>
        <w:rPr>
          <w:spacing w:val="-7"/>
        </w:rPr>
        <w:t xml:space="preserve"> </w:t>
      </w:r>
      <w:r>
        <w:t>trabajadores</w:t>
      </w:r>
      <w:r>
        <w:rPr>
          <w:spacing w:val="-7"/>
        </w:rPr>
        <w:t xml:space="preserve"> </w:t>
      </w:r>
      <w:r>
        <w:t>informales.</w:t>
      </w:r>
      <w:r>
        <w:rPr>
          <w:spacing w:val="-6"/>
        </w:rPr>
        <w:t xml:space="preserve"> </w:t>
      </w:r>
      <w:r>
        <w:t>Mientras</w:t>
      </w:r>
      <w:r>
        <w:rPr>
          <w:spacing w:val="-7"/>
        </w:rPr>
        <w:t xml:space="preserve"> </w:t>
      </w:r>
      <w:r>
        <w:t>el</w:t>
      </w:r>
      <w:r>
        <w:rPr>
          <w:spacing w:val="-7"/>
        </w:rPr>
        <w:t xml:space="preserve"> </w:t>
      </w:r>
      <w:r>
        <w:t>37,9</w:t>
      </w:r>
      <w:r>
        <w:rPr>
          <w:spacing w:val="-4"/>
        </w:rPr>
        <w:t xml:space="preserve"> </w:t>
      </w:r>
      <w:r>
        <w:t>%</w:t>
      </w:r>
      <w:r>
        <w:rPr>
          <w:spacing w:val="-6"/>
        </w:rPr>
        <w:t xml:space="preserve"> </w:t>
      </w:r>
      <w:r>
        <w:t>de</w:t>
      </w:r>
      <w:r>
        <w:rPr>
          <w:spacing w:val="-7"/>
        </w:rPr>
        <w:t xml:space="preserve"> </w:t>
      </w:r>
      <w:r>
        <w:t>los hogares a nivel nacional se consideran pobres, este porcentaje fue de 58,7</w:t>
      </w:r>
      <w:r>
        <w:rPr>
          <w:spacing w:val="-3"/>
        </w:rPr>
        <w:t xml:space="preserve"> </w:t>
      </w:r>
      <w:r>
        <w:t xml:space="preserve">% en hogares </w:t>
      </w:r>
      <w:r>
        <w:rPr>
          <w:spacing w:val="-2"/>
        </w:rPr>
        <w:t>campesinos»</w:t>
      </w:r>
      <w:r w:rsidR="00A56270">
        <w:rPr>
          <w:rStyle w:val="Refdenotaalpie"/>
          <w:spacing w:val="-2"/>
        </w:rPr>
        <w:footnoteReference w:id="1103"/>
      </w:r>
      <w:r>
        <w:rPr>
          <w:spacing w:val="-2"/>
        </w:rPr>
        <w:t>.</w:t>
      </w:r>
    </w:p>
    <w:p w:rsidR="0011361F" w:rsidRDefault="00AF18A5" w:rsidP="00A56270">
      <w:r>
        <w:t>A pesar de que se han incorporado y ajustado indicadores para una adecuada caracterización poblacional a partir de la expedición de la Ley 1448 de 2011 o Ley de Víctimas y la creación de la Unidad de Víctimas, el subregistro persiste dadas las barreras para</w:t>
      </w:r>
      <w:r>
        <w:rPr>
          <w:spacing w:val="-8"/>
        </w:rPr>
        <w:t xml:space="preserve"> </w:t>
      </w:r>
      <w:r>
        <w:t>declarar</w:t>
      </w:r>
      <w:r>
        <w:rPr>
          <w:spacing w:val="-8"/>
        </w:rPr>
        <w:t xml:space="preserve"> </w:t>
      </w:r>
      <w:r>
        <w:t>la</w:t>
      </w:r>
      <w:r>
        <w:rPr>
          <w:spacing w:val="-8"/>
        </w:rPr>
        <w:t xml:space="preserve"> </w:t>
      </w:r>
      <w:r>
        <w:t>condición</w:t>
      </w:r>
      <w:r>
        <w:rPr>
          <w:spacing w:val="-8"/>
        </w:rPr>
        <w:t xml:space="preserve"> </w:t>
      </w:r>
      <w:r>
        <w:t>de</w:t>
      </w:r>
      <w:r>
        <w:rPr>
          <w:spacing w:val="-8"/>
        </w:rPr>
        <w:t xml:space="preserve"> </w:t>
      </w:r>
      <w:r>
        <w:t>víctima:</w:t>
      </w:r>
      <w:r>
        <w:rPr>
          <w:spacing w:val="-8"/>
        </w:rPr>
        <w:t xml:space="preserve"> </w:t>
      </w:r>
      <w:r>
        <w:t>miedo,</w:t>
      </w:r>
      <w:r>
        <w:rPr>
          <w:spacing w:val="-8"/>
        </w:rPr>
        <w:t xml:space="preserve"> </w:t>
      </w:r>
      <w:r>
        <w:t>desconocimiento</w:t>
      </w:r>
      <w:r>
        <w:rPr>
          <w:spacing w:val="-8"/>
        </w:rPr>
        <w:t xml:space="preserve"> </w:t>
      </w:r>
      <w:r>
        <w:t>de</w:t>
      </w:r>
      <w:r>
        <w:rPr>
          <w:spacing w:val="-8"/>
        </w:rPr>
        <w:t xml:space="preserve"> </w:t>
      </w:r>
      <w:r>
        <w:t>la</w:t>
      </w:r>
      <w:r>
        <w:rPr>
          <w:spacing w:val="-8"/>
        </w:rPr>
        <w:t xml:space="preserve"> </w:t>
      </w:r>
      <w:r>
        <w:t>ley,</w:t>
      </w:r>
      <w:r>
        <w:rPr>
          <w:spacing w:val="-8"/>
        </w:rPr>
        <w:t xml:space="preserve"> </w:t>
      </w:r>
      <w:r>
        <w:t>de</w:t>
      </w:r>
      <w:r>
        <w:rPr>
          <w:spacing w:val="-8"/>
        </w:rPr>
        <w:t xml:space="preserve"> </w:t>
      </w:r>
      <w:r>
        <w:t>los</w:t>
      </w:r>
      <w:r>
        <w:rPr>
          <w:spacing w:val="-8"/>
        </w:rPr>
        <w:t xml:space="preserve"> </w:t>
      </w:r>
      <w:r>
        <w:t>derechos</w:t>
      </w:r>
      <w:r>
        <w:rPr>
          <w:spacing w:val="-8"/>
        </w:rPr>
        <w:t xml:space="preserve"> </w:t>
      </w:r>
      <w:r>
        <w:t xml:space="preserve">que se protegen y la ruta de acceso a los mismos; las distancias geográficas en el caso de la población rural y étnica, y la desconfianza en las entidades </w:t>
      </w:r>
      <w:r>
        <w:lastRenderedPageBreak/>
        <w:t xml:space="preserve">del Estado. Es necesario anotar </w:t>
      </w:r>
      <w:r>
        <w:rPr>
          <w:spacing w:val="-2"/>
        </w:rPr>
        <w:t>que</w:t>
      </w:r>
      <w:r>
        <w:rPr>
          <w:spacing w:val="-6"/>
        </w:rPr>
        <w:t xml:space="preserve"> </w:t>
      </w:r>
      <w:r>
        <w:rPr>
          <w:spacing w:val="-2"/>
        </w:rPr>
        <w:t>la</w:t>
      </w:r>
      <w:r>
        <w:rPr>
          <w:spacing w:val="-6"/>
        </w:rPr>
        <w:t xml:space="preserve"> </w:t>
      </w:r>
      <w:r>
        <w:rPr>
          <w:spacing w:val="-2"/>
        </w:rPr>
        <w:t>Ley</w:t>
      </w:r>
      <w:r>
        <w:rPr>
          <w:spacing w:val="-8"/>
        </w:rPr>
        <w:t xml:space="preserve"> </w:t>
      </w:r>
      <w:r>
        <w:rPr>
          <w:spacing w:val="-2"/>
        </w:rPr>
        <w:t>aún</w:t>
      </w:r>
      <w:r>
        <w:rPr>
          <w:spacing w:val="-6"/>
        </w:rPr>
        <w:t xml:space="preserve"> </w:t>
      </w:r>
      <w:r>
        <w:rPr>
          <w:spacing w:val="-2"/>
        </w:rPr>
        <w:t>no</w:t>
      </w:r>
      <w:r>
        <w:rPr>
          <w:spacing w:val="-6"/>
        </w:rPr>
        <w:t xml:space="preserve"> </w:t>
      </w:r>
      <w:r>
        <w:rPr>
          <w:spacing w:val="-2"/>
        </w:rPr>
        <w:t>establece</w:t>
      </w:r>
      <w:r>
        <w:rPr>
          <w:spacing w:val="-6"/>
        </w:rPr>
        <w:t xml:space="preserve"> </w:t>
      </w:r>
      <w:r>
        <w:rPr>
          <w:spacing w:val="-2"/>
        </w:rPr>
        <w:t>indicadores</w:t>
      </w:r>
      <w:r>
        <w:rPr>
          <w:spacing w:val="-6"/>
        </w:rPr>
        <w:t xml:space="preserve"> </w:t>
      </w:r>
      <w:r>
        <w:rPr>
          <w:spacing w:val="-2"/>
        </w:rPr>
        <w:t>para</w:t>
      </w:r>
      <w:r>
        <w:rPr>
          <w:spacing w:val="-8"/>
        </w:rPr>
        <w:t xml:space="preserve"> </w:t>
      </w:r>
      <w:r>
        <w:rPr>
          <w:spacing w:val="-2"/>
        </w:rPr>
        <w:t>las</w:t>
      </w:r>
      <w:r>
        <w:rPr>
          <w:spacing w:val="-6"/>
        </w:rPr>
        <w:t xml:space="preserve"> </w:t>
      </w:r>
      <w:r>
        <w:rPr>
          <w:spacing w:val="-2"/>
        </w:rPr>
        <w:t>víctimas</w:t>
      </w:r>
      <w:r>
        <w:rPr>
          <w:spacing w:val="-8"/>
        </w:rPr>
        <w:t xml:space="preserve"> </w:t>
      </w:r>
      <w:r>
        <w:rPr>
          <w:spacing w:val="-2"/>
        </w:rPr>
        <w:t>que</w:t>
      </w:r>
      <w:r>
        <w:rPr>
          <w:spacing w:val="-6"/>
        </w:rPr>
        <w:t xml:space="preserve"> </w:t>
      </w:r>
      <w:r>
        <w:rPr>
          <w:spacing w:val="-2"/>
        </w:rPr>
        <w:t>se</w:t>
      </w:r>
      <w:r>
        <w:rPr>
          <w:spacing w:val="-6"/>
        </w:rPr>
        <w:t xml:space="preserve"> </w:t>
      </w:r>
      <w:r>
        <w:rPr>
          <w:spacing w:val="-2"/>
        </w:rPr>
        <w:t>reconocen</w:t>
      </w:r>
      <w:r>
        <w:rPr>
          <w:spacing w:val="-8"/>
        </w:rPr>
        <w:t xml:space="preserve"> </w:t>
      </w:r>
      <w:r>
        <w:rPr>
          <w:spacing w:val="-2"/>
        </w:rPr>
        <w:t>como</w:t>
      </w:r>
      <w:r>
        <w:rPr>
          <w:spacing w:val="-6"/>
        </w:rPr>
        <w:t xml:space="preserve"> </w:t>
      </w:r>
      <w:r>
        <w:rPr>
          <w:spacing w:val="-2"/>
        </w:rPr>
        <w:t xml:space="preserve">campesinos, </w:t>
      </w:r>
      <w:r>
        <w:t xml:space="preserve">y no contempla información desagregada por pueblos indígenas, por lo que invisibiliza componentes de las afectaciones diferenciales que son importantes para el análisis y </w:t>
      </w:r>
      <w:r>
        <w:rPr>
          <w:spacing w:val="-2"/>
        </w:rPr>
        <w:t>respuestas</w:t>
      </w:r>
      <w:r>
        <w:rPr>
          <w:spacing w:val="-5"/>
        </w:rPr>
        <w:t xml:space="preserve"> </w:t>
      </w:r>
      <w:r>
        <w:rPr>
          <w:spacing w:val="-2"/>
        </w:rPr>
        <w:t>adecuadas</w:t>
      </w:r>
      <w:r>
        <w:rPr>
          <w:spacing w:val="-5"/>
        </w:rPr>
        <w:t xml:space="preserve"> </w:t>
      </w:r>
      <w:r>
        <w:rPr>
          <w:spacing w:val="-2"/>
        </w:rPr>
        <w:t>a</w:t>
      </w:r>
      <w:r>
        <w:rPr>
          <w:spacing w:val="-4"/>
        </w:rPr>
        <w:t xml:space="preserve"> </w:t>
      </w:r>
      <w:r>
        <w:rPr>
          <w:spacing w:val="-2"/>
        </w:rPr>
        <w:t>sus</w:t>
      </w:r>
      <w:r>
        <w:rPr>
          <w:spacing w:val="-4"/>
        </w:rPr>
        <w:t xml:space="preserve"> </w:t>
      </w:r>
      <w:r>
        <w:rPr>
          <w:spacing w:val="-2"/>
        </w:rPr>
        <w:t>culturas.</w:t>
      </w:r>
      <w:r>
        <w:rPr>
          <w:spacing w:val="-6"/>
        </w:rPr>
        <w:t xml:space="preserve"> </w:t>
      </w:r>
      <w:r>
        <w:rPr>
          <w:spacing w:val="-2"/>
        </w:rPr>
        <w:t>Estas</w:t>
      </w:r>
      <w:r>
        <w:rPr>
          <w:spacing w:val="-4"/>
        </w:rPr>
        <w:t xml:space="preserve"> </w:t>
      </w:r>
      <w:r>
        <w:rPr>
          <w:spacing w:val="-2"/>
        </w:rPr>
        <w:t>categorías</w:t>
      </w:r>
      <w:r>
        <w:rPr>
          <w:spacing w:val="-5"/>
        </w:rPr>
        <w:t xml:space="preserve"> </w:t>
      </w:r>
      <w:r>
        <w:rPr>
          <w:spacing w:val="-2"/>
        </w:rPr>
        <w:t>son,</w:t>
      </w:r>
      <w:r>
        <w:rPr>
          <w:spacing w:val="-4"/>
        </w:rPr>
        <w:t xml:space="preserve"> </w:t>
      </w:r>
      <w:r>
        <w:rPr>
          <w:spacing w:val="-2"/>
        </w:rPr>
        <w:t>entre</w:t>
      </w:r>
      <w:r>
        <w:rPr>
          <w:spacing w:val="-4"/>
        </w:rPr>
        <w:t xml:space="preserve"> </w:t>
      </w:r>
      <w:r>
        <w:rPr>
          <w:spacing w:val="-2"/>
        </w:rPr>
        <w:t>otras,</w:t>
      </w:r>
      <w:r>
        <w:rPr>
          <w:spacing w:val="-4"/>
        </w:rPr>
        <w:t xml:space="preserve"> </w:t>
      </w:r>
      <w:r>
        <w:rPr>
          <w:spacing w:val="-2"/>
        </w:rPr>
        <w:t>el</w:t>
      </w:r>
      <w:r>
        <w:rPr>
          <w:spacing w:val="-5"/>
        </w:rPr>
        <w:t xml:space="preserve"> </w:t>
      </w:r>
      <w:r>
        <w:rPr>
          <w:spacing w:val="-2"/>
        </w:rPr>
        <w:t>acceso</w:t>
      </w:r>
      <w:r>
        <w:rPr>
          <w:spacing w:val="-4"/>
        </w:rPr>
        <w:t xml:space="preserve"> </w:t>
      </w:r>
      <w:r>
        <w:rPr>
          <w:spacing w:val="-2"/>
        </w:rPr>
        <w:t xml:space="preserve">marcadamente </w:t>
      </w:r>
      <w:r>
        <w:t>desigual</w:t>
      </w:r>
      <w:r>
        <w:rPr>
          <w:spacing w:val="-10"/>
        </w:rPr>
        <w:t xml:space="preserve"> </w:t>
      </w:r>
      <w:r>
        <w:t>a</w:t>
      </w:r>
      <w:r>
        <w:rPr>
          <w:spacing w:val="-11"/>
        </w:rPr>
        <w:t xml:space="preserve"> </w:t>
      </w:r>
      <w:r>
        <w:t>los</w:t>
      </w:r>
      <w:r>
        <w:rPr>
          <w:spacing w:val="-11"/>
        </w:rPr>
        <w:t xml:space="preserve"> </w:t>
      </w:r>
      <w:r>
        <w:t>derechos;</w:t>
      </w:r>
      <w:r>
        <w:rPr>
          <w:spacing w:val="-10"/>
        </w:rPr>
        <w:t xml:space="preserve"> </w:t>
      </w:r>
      <w:r>
        <w:t>el</w:t>
      </w:r>
      <w:r>
        <w:rPr>
          <w:spacing w:val="-10"/>
        </w:rPr>
        <w:t xml:space="preserve"> </w:t>
      </w:r>
      <w:r>
        <w:t>desprecio</w:t>
      </w:r>
      <w:r>
        <w:rPr>
          <w:spacing w:val="-12"/>
        </w:rPr>
        <w:t xml:space="preserve"> </w:t>
      </w:r>
      <w:r>
        <w:t>implícito</w:t>
      </w:r>
      <w:r>
        <w:rPr>
          <w:spacing w:val="-12"/>
        </w:rPr>
        <w:t xml:space="preserve"> </w:t>
      </w:r>
      <w:r>
        <w:t>y</w:t>
      </w:r>
      <w:r>
        <w:rPr>
          <w:spacing w:val="-11"/>
        </w:rPr>
        <w:t xml:space="preserve"> </w:t>
      </w:r>
      <w:r>
        <w:t>explícito</w:t>
      </w:r>
      <w:r>
        <w:rPr>
          <w:spacing w:val="-12"/>
        </w:rPr>
        <w:t xml:space="preserve"> </w:t>
      </w:r>
      <w:r>
        <w:t>instalado</w:t>
      </w:r>
      <w:r>
        <w:rPr>
          <w:spacing w:val="-11"/>
        </w:rPr>
        <w:t xml:space="preserve"> </w:t>
      </w:r>
      <w:r>
        <w:t>en</w:t>
      </w:r>
      <w:r>
        <w:rPr>
          <w:spacing w:val="-12"/>
        </w:rPr>
        <w:t xml:space="preserve"> </w:t>
      </w:r>
      <w:r>
        <w:t>la</w:t>
      </w:r>
      <w:r>
        <w:rPr>
          <w:spacing w:val="-11"/>
        </w:rPr>
        <w:t xml:space="preserve"> </w:t>
      </w:r>
      <w:r>
        <w:t>narrativa</w:t>
      </w:r>
      <w:r>
        <w:rPr>
          <w:spacing w:val="-11"/>
        </w:rPr>
        <w:t xml:space="preserve"> </w:t>
      </w:r>
      <w:r>
        <w:t>de</w:t>
      </w:r>
      <w:r>
        <w:rPr>
          <w:spacing w:val="-12"/>
        </w:rPr>
        <w:t xml:space="preserve"> </w:t>
      </w:r>
      <w:r>
        <w:t>muchos sectores, medios de comunicación y los actores decisores de país, que como decía Rafael Uribe</w:t>
      </w:r>
      <w:r>
        <w:rPr>
          <w:spacing w:val="-12"/>
        </w:rPr>
        <w:t xml:space="preserve"> </w:t>
      </w:r>
      <w:proofErr w:type="spellStart"/>
      <w:r>
        <w:t>Uribe</w:t>
      </w:r>
      <w:proofErr w:type="spellEnd"/>
      <w:r>
        <w:t>:</w:t>
      </w:r>
      <w:r>
        <w:rPr>
          <w:spacing w:val="-13"/>
        </w:rPr>
        <w:t xml:space="preserve"> </w:t>
      </w:r>
      <w:r>
        <w:t>“le</w:t>
      </w:r>
      <w:r>
        <w:rPr>
          <w:spacing w:val="-12"/>
        </w:rPr>
        <w:t xml:space="preserve"> </w:t>
      </w:r>
      <w:r>
        <w:t>tienen</w:t>
      </w:r>
      <w:r>
        <w:rPr>
          <w:spacing w:val="-12"/>
        </w:rPr>
        <w:t xml:space="preserve"> </w:t>
      </w:r>
      <w:r>
        <w:t>miedo</w:t>
      </w:r>
      <w:r>
        <w:rPr>
          <w:spacing w:val="-12"/>
        </w:rPr>
        <w:t xml:space="preserve"> </w:t>
      </w:r>
      <w:r>
        <w:t>al</w:t>
      </w:r>
      <w:r>
        <w:rPr>
          <w:spacing w:val="-12"/>
        </w:rPr>
        <w:t xml:space="preserve"> </w:t>
      </w:r>
      <w:r>
        <w:t>pueblo”;</w:t>
      </w:r>
      <w:r>
        <w:rPr>
          <w:spacing w:val="-12"/>
        </w:rPr>
        <w:t xml:space="preserve"> </w:t>
      </w:r>
      <w:r>
        <w:t>el</w:t>
      </w:r>
      <w:r>
        <w:rPr>
          <w:spacing w:val="-12"/>
        </w:rPr>
        <w:t xml:space="preserve"> </w:t>
      </w:r>
      <w:r>
        <w:t>rechazo</w:t>
      </w:r>
      <w:r>
        <w:rPr>
          <w:spacing w:val="-12"/>
        </w:rPr>
        <w:t xml:space="preserve"> </w:t>
      </w:r>
      <w:r>
        <w:t>al</w:t>
      </w:r>
      <w:r>
        <w:rPr>
          <w:spacing w:val="-12"/>
        </w:rPr>
        <w:t xml:space="preserve"> </w:t>
      </w:r>
      <w:r>
        <w:t>diálogo</w:t>
      </w:r>
      <w:r>
        <w:rPr>
          <w:spacing w:val="-13"/>
        </w:rPr>
        <w:t xml:space="preserve"> </w:t>
      </w:r>
      <w:r>
        <w:t>directo</w:t>
      </w:r>
      <w:r>
        <w:rPr>
          <w:spacing w:val="-12"/>
        </w:rPr>
        <w:t xml:space="preserve"> </w:t>
      </w:r>
      <w:r>
        <w:t>con</w:t>
      </w:r>
      <w:r>
        <w:rPr>
          <w:spacing w:val="-12"/>
        </w:rPr>
        <w:t xml:space="preserve"> </w:t>
      </w:r>
      <w:r>
        <w:t>estas</w:t>
      </w:r>
      <w:r>
        <w:rPr>
          <w:spacing w:val="-12"/>
        </w:rPr>
        <w:t xml:space="preserve"> </w:t>
      </w:r>
      <w:r>
        <w:t>poblaciones; las descalificaciones públicas desde los más altos niveles de poder, y desde los medios de comunicación; un despliegue absolutamente precario del Estado en sus territorios o su ausencia;</w:t>
      </w:r>
      <w:r>
        <w:rPr>
          <w:spacing w:val="-6"/>
        </w:rPr>
        <w:t xml:space="preserve"> </w:t>
      </w:r>
      <w:r>
        <w:t>la</w:t>
      </w:r>
      <w:r>
        <w:rPr>
          <w:spacing w:val="-7"/>
        </w:rPr>
        <w:t xml:space="preserve"> </w:t>
      </w:r>
      <w:r>
        <w:t>desprotección</w:t>
      </w:r>
      <w:r>
        <w:rPr>
          <w:spacing w:val="-6"/>
        </w:rPr>
        <w:t xml:space="preserve"> </w:t>
      </w:r>
      <w:r>
        <w:t>y</w:t>
      </w:r>
      <w:r>
        <w:rPr>
          <w:spacing w:val="-6"/>
        </w:rPr>
        <w:t xml:space="preserve"> </w:t>
      </w:r>
      <w:r>
        <w:t>altísimos</w:t>
      </w:r>
      <w:r>
        <w:rPr>
          <w:spacing w:val="-7"/>
        </w:rPr>
        <w:t xml:space="preserve"> </w:t>
      </w:r>
      <w:r>
        <w:t>niveles</w:t>
      </w:r>
      <w:r>
        <w:rPr>
          <w:spacing w:val="-6"/>
        </w:rPr>
        <w:t xml:space="preserve"> </w:t>
      </w:r>
      <w:r>
        <w:t>de</w:t>
      </w:r>
      <w:r>
        <w:rPr>
          <w:spacing w:val="-6"/>
        </w:rPr>
        <w:t xml:space="preserve"> </w:t>
      </w:r>
      <w:r>
        <w:t>pobreza</w:t>
      </w:r>
      <w:r>
        <w:rPr>
          <w:spacing w:val="-6"/>
        </w:rPr>
        <w:t xml:space="preserve"> </w:t>
      </w:r>
      <w:r>
        <w:t>que</w:t>
      </w:r>
      <w:r>
        <w:rPr>
          <w:spacing w:val="-6"/>
        </w:rPr>
        <w:t xml:space="preserve"> </w:t>
      </w:r>
      <w:r>
        <w:t>tienen</w:t>
      </w:r>
      <w:r>
        <w:rPr>
          <w:spacing w:val="-6"/>
        </w:rPr>
        <w:t xml:space="preserve"> </w:t>
      </w:r>
      <w:r>
        <w:t>dichas</w:t>
      </w:r>
      <w:r>
        <w:rPr>
          <w:spacing w:val="-7"/>
        </w:rPr>
        <w:t xml:space="preserve"> </w:t>
      </w:r>
      <w:r>
        <w:t>poblaciones;</w:t>
      </w:r>
      <w:r>
        <w:rPr>
          <w:spacing w:val="-6"/>
        </w:rPr>
        <w:t xml:space="preserve"> </w:t>
      </w:r>
      <w:r>
        <w:t>una baja</w:t>
      </w:r>
      <w:r>
        <w:rPr>
          <w:spacing w:val="-12"/>
        </w:rPr>
        <w:t xml:space="preserve"> </w:t>
      </w:r>
      <w:r>
        <w:t>aplicación</w:t>
      </w:r>
      <w:r>
        <w:rPr>
          <w:spacing w:val="-12"/>
        </w:rPr>
        <w:t xml:space="preserve"> </w:t>
      </w:r>
      <w:r>
        <w:t>de</w:t>
      </w:r>
      <w:r>
        <w:rPr>
          <w:spacing w:val="-12"/>
        </w:rPr>
        <w:t xml:space="preserve"> </w:t>
      </w:r>
      <w:r>
        <w:t>leyes</w:t>
      </w:r>
      <w:r>
        <w:rPr>
          <w:spacing w:val="-13"/>
        </w:rPr>
        <w:t xml:space="preserve"> </w:t>
      </w:r>
      <w:r>
        <w:t>que</w:t>
      </w:r>
      <w:r>
        <w:rPr>
          <w:spacing w:val="-12"/>
        </w:rPr>
        <w:t xml:space="preserve"> </w:t>
      </w:r>
      <w:r>
        <w:t>se</w:t>
      </w:r>
      <w:r>
        <w:rPr>
          <w:spacing w:val="-12"/>
        </w:rPr>
        <w:t xml:space="preserve"> </w:t>
      </w:r>
      <w:r>
        <w:t>han</w:t>
      </w:r>
      <w:r>
        <w:rPr>
          <w:spacing w:val="-12"/>
        </w:rPr>
        <w:t xml:space="preserve"> </w:t>
      </w:r>
      <w:r>
        <w:t>logrado</w:t>
      </w:r>
      <w:r>
        <w:rPr>
          <w:spacing w:val="-12"/>
        </w:rPr>
        <w:t xml:space="preserve"> </w:t>
      </w:r>
      <w:r>
        <w:t>con</w:t>
      </w:r>
      <w:r>
        <w:rPr>
          <w:spacing w:val="-12"/>
        </w:rPr>
        <w:t xml:space="preserve"> </w:t>
      </w:r>
      <w:r>
        <w:t>enormes</w:t>
      </w:r>
      <w:r>
        <w:rPr>
          <w:spacing w:val="-13"/>
        </w:rPr>
        <w:t xml:space="preserve"> </w:t>
      </w:r>
      <w:r>
        <w:t>luchas</w:t>
      </w:r>
      <w:r>
        <w:rPr>
          <w:spacing w:val="-12"/>
        </w:rPr>
        <w:t xml:space="preserve"> </w:t>
      </w:r>
      <w:r>
        <w:t>en</w:t>
      </w:r>
      <w:r>
        <w:rPr>
          <w:spacing w:val="-12"/>
        </w:rPr>
        <w:t xml:space="preserve"> </w:t>
      </w:r>
      <w:r>
        <w:t>la</w:t>
      </w:r>
      <w:r>
        <w:rPr>
          <w:spacing w:val="-12"/>
        </w:rPr>
        <w:t xml:space="preserve"> </w:t>
      </w:r>
      <w:r>
        <w:t>búsqueda</w:t>
      </w:r>
      <w:r>
        <w:rPr>
          <w:spacing w:val="-12"/>
        </w:rPr>
        <w:t xml:space="preserve"> </w:t>
      </w:r>
      <w:r>
        <w:t>de</w:t>
      </w:r>
      <w:r>
        <w:rPr>
          <w:spacing w:val="-12"/>
        </w:rPr>
        <w:t xml:space="preserve"> </w:t>
      </w:r>
      <w:r>
        <w:t>la</w:t>
      </w:r>
      <w:r>
        <w:rPr>
          <w:spacing w:val="-12"/>
        </w:rPr>
        <w:t xml:space="preserve"> </w:t>
      </w:r>
      <w:r>
        <w:t>equidad, como la autonomía de los gobiernos indígenas y la Ley 70 que tiene por objeto reconocer a las comunidades negras el derecho a la propiedad colectiva; la exclusión permanente y persistente de las comunidades negras, indígenas y campesinas del relato nacional y de los currículos de la educación básica; la insensibilidad de importantes sectores a la guerra que han</w:t>
      </w:r>
      <w:r>
        <w:rPr>
          <w:spacing w:val="-11"/>
        </w:rPr>
        <w:t xml:space="preserve"> </w:t>
      </w:r>
      <w:r>
        <w:t>sufrido</w:t>
      </w:r>
      <w:r>
        <w:rPr>
          <w:spacing w:val="-12"/>
        </w:rPr>
        <w:t xml:space="preserve"> </w:t>
      </w:r>
      <w:r>
        <w:t>y</w:t>
      </w:r>
      <w:r>
        <w:rPr>
          <w:spacing w:val="-11"/>
        </w:rPr>
        <w:t xml:space="preserve"> </w:t>
      </w:r>
      <w:r>
        <w:t>siguen</w:t>
      </w:r>
      <w:r>
        <w:rPr>
          <w:spacing w:val="-11"/>
        </w:rPr>
        <w:t xml:space="preserve"> </w:t>
      </w:r>
      <w:r>
        <w:t>sufriendo;</w:t>
      </w:r>
      <w:r>
        <w:rPr>
          <w:spacing w:val="-10"/>
        </w:rPr>
        <w:t xml:space="preserve"> </w:t>
      </w:r>
      <w:r>
        <w:t>y</w:t>
      </w:r>
      <w:r>
        <w:rPr>
          <w:spacing w:val="-12"/>
        </w:rPr>
        <w:t xml:space="preserve"> </w:t>
      </w:r>
      <w:r>
        <w:t>la</w:t>
      </w:r>
      <w:r>
        <w:rPr>
          <w:spacing w:val="-11"/>
        </w:rPr>
        <w:t xml:space="preserve"> </w:t>
      </w:r>
      <w:r>
        <w:t>exclusión</w:t>
      </w:r>
      <w:r>
        <w:rPr>
          <w:spacing w:val="-11"/>
        </w:rPr>
        <w:t xml:space="preserve"> </w:t>
      </w:r>
      <w:r>
        <w:t>de</w:t>
      </w:r>
      <w:r>
        <w:rPr>
          <w:spacing w:val="-11"/>
        </w:rPr>
        <w:t xml:space="preserve"> </w:t>
      </w:r>
      <w:r>
        <w:t>la</w:t>
      </w:r>
      <w:r>
        <w:rPr>
          <w:spacing w:val="-11"/>
        </w:rPr>
        <w:t xml:space="preserve"> </w:t>
      </w:r>
      <w:r>
        <w:t>participación</w:t>
      </w:r>
      <w:r>
        <w:rPr>
          <w:spacing w:val="-11"/>
        </w:rPr>
        <w:t xml:space="preserve"> </w:t>
      </w:r>
      <w:r>
        <w:t>en</w:t>
      </w:r>
      <w:r>
        <w:rPr>
          <w:spacing w:val="-11"/>
        </w:rPr>
        <w:t xml:space="preserve"> </w:t>
      </w:r>
      <w:r>
        <w:t>el</w:t>
      </w:r>
      <w:r>
        <w:rPr>
          <w:spacing w:val="-10"/>
        </w:rPr>
        <w:t xml:space="preserve"> </w:t>
      </w:r>
      <w:r>
        <w:t>proceso</w:t>
      </w:r>
      <w:r>
        <w:rPr>
          <w:spacing w:val="-11"/>
        </w:rPr>
        <w:t xml:space="preserve"> </w:t>
      </w:r>
      <w:r>
        <w:t>de</w:t>
      </w:r>
      <w:r>
        <w:rPr>
          <w:spacing w:val="-11"/>
        </w:rPr>
        <w:t xml:space="preserve"> </w:t>
      </w:r>
      <w:r>
        <w:t>producción de los bienes y servicios materiales y simbólicos de la vida querida por los colombianos.</w:t>
      </w:r>
    </w:p>
    <w:p w:rsidR="003804AC" w:rsidRDefault="00AF18A5" w:rsidP="00A56270">
      <w:bookmarkStart w:id="1365" w:name="_bookmark1212"/>
      <w:bookmarkEnd w:id="1365"/>
      <w:r>
        <w:t>«A</w:t>
      </w:r>
      <w:r>
        <w:rPr>
          <w:spacing w:val="-4"/>
        </w:rPr>
        <w:t xml:space="preserve"> </w:t>
      </w:r>
      <w:r>
        <w:t>través</w:t>
      </w:r>
      <w:r>
        <w:rPr>
          <w:spacing w:val="-3"/>
        </w:rPr>
        <w:t xml:space="preserve"> </w:t>
      </w:r>
      <w:r>
        <w:t>del</w:t>
      </w:r>
      <w:r>
        <w:rPr>
          <w:spacing w:val="-3"/>
        </w:rPr>
        <w:t xml:space="preserve"> </w:t>
      </w:r>
      <w:r>
        <w:t>trabajo</w:t>
      </w:r>
      <w:r>
        <w:rPr>
          <w:spacing w:val="-5"/>
        </w:rPr>
        <w:t xml:space="preserve"> </w:t>
      </w:r>
      <w:r>
        <w:t>desarrollado,</w:t>
      </w:r>
      <w:r>
        <w:rPr>
          <w:spacing w:val="-5"/>
        </w:rPr>
        <w:t xml:space="preserve"> </w:t>
      </w:r>
      <w:r>
        <w:t>encontramos</w:t>
      </w:r>
      <w:r>
        <w:rPr>
          <w:spacing w:val="-3"/>
        </w:rPr>
        <w:t xml:space="preserve"> </w:t>
      </w:r>
      <w:r>
        <w:t>que</w:t>
      </w:r>
      <w:r>
        <w:rPr>
          <w:spacing w:val="-3"/>
        </w:rPr>
        <w:t xml:space="preserve"> </w:t>
      </w:r>
      <w:r>
        <w:t>los</w:t>
      </w:r>
      <w:r>
        <w:rPr>
          <w:spacing w:val="-4"/>
        </w:rPr>
        <w:t xml:space="preserve"> </w:t>
      </w:r>
      <w:r>
        <w:t>conflictos</w:t>
      </w:r>
      <w:r>
        <w:rPr>
          <w:spacing w:val="-3"/>
        </w:rPr>
        <w:t xml:space="preserve"> </w:t>
      </w:r>
      <w:r>
        <w:t>de</w:t>
      </w:r>
      <w:r>
        <w:rPr>
          <w:spacing w:val="-4"/>
        </w:rPr>
        <w:t xml:space="preserve"> </w:t>
      </w:r>
      <w:r>
        <w:t>orden</w:t>
      </w:r>
      <w:r>
        <w:rPr>
          <w:spacing w:val="-3"/>
        </w:rPr>
        <w:t xml:space="preserve"> </w:t>
      </w:r>
      <w:r>
        <w:t>cultural</w:t>
      </w:r>
      <w:r>
        <w:rPr>
          <w:spacing w:val="-4"/>
        </w:rPr>
        <w:t xml:space="preserve"> </w:t>
      </w:r>
      <w:r>
        <w:t>y</w:t>
      </w:r>
      <w:r>
        <w:rPr>
          <w:spacing w:val="-3"/>
        </w:rPr>
        <w:t xml:space="preserve"> </w:t>
      </w:r>
      <w:r>
        <w:t>los que</w:t>
      </w:r>
      <w:r>
        <w:rPr>
          <w:spacing w:val="-9"/>
        </w:rPr>
        <w:t xml:space="preserve"> </w:t>
      </w:r>
      <w:r>
        <w:t>resultan</w:t>
      </w:r>
      <w:r>
        <w:rPr>
          <w:spacing w:val="-9"/>
        </w:rPr>
        <w:t xml:space="preserve"> </w:t>
      </w:r>
      <w:r>
        <w:t>de</w:t>
      </w:r>
      <w:r>
        <w:rPr>
          <w:spacing w:val="-9"/>
        </w:rPr>
        <w:t xml:space="preserve"> </w:t>
      </w:r>
      <w:r>
        <w:t>la</w:t>
      </w:r>
      <w:r>
        <w:rPr>
          <w:spacing w:val="-9"/>
        </w:rPr>
        <w:t xml:space="preserve"> </w:t>
      </w:r>
      <w:r>
        <w:t>desigualdad</w:t>
      </w:r>
      <w:r>
        <w:rPr>
          <w:spacing w:val="-9"/>
        </w:rPr>
        <w:t xml:space="preserve"> </w:t>
      </w:r>
      <w:r>
        <w:t>y</w:t>
      </w:r>
      <w:r>
        <w:rPr>
          <w:spacing w:val="-9"/>
        </w:rPr>
        <w:t xml:space="preserve"> </w:t>
      </w:r>
      <w:r>
        <w:t>exclusión</w:t>
      </w:r>
      <w:r>
        <w:rPr>
          <w:spacing w:val="-9"/>
        </w:rPr>
        <w:t xml:space="preserve"> </w:t>
      </w:r>
      <w:r>
        <w:t>socioeconómica</w:t>
      </w:r>
      <w:r>
        <w:rPr>
          <w:spacing w:val="-9"/>
        </w:rPr>
        <w:t xml:space="preserve"> </w:t>
      </w:r>
      <w:r>
        <w:t>producidos</w:t>
      </w:r>
      <w:r>
        <w:rPr>
          <w:spacing w:val="-9"/>
        </w:rPr>
        <w:t xml:space="preserve"> </w:t>
      </w:r>
      <w:r>
        <w:t>por</w:t>
      </w:r>
      <w:r>
        <w:rPr>
          <w:spacing w:val="-9"/>
        </w:rPr>
        <w:t xml:space="preserve"> </w:t>
      </w:r>
      <w:r>
        <w:t>el</w:t>
      </w:r>
      <w:r>
        <w:rPr>
          <w:spacing w:val="-9"/>
        </w:rPr>
        <w:t xml:space="preserve"> </w:t>
      </w:r>
      <w:r>
        <w:t xml:space="preserve">mantenimiento de la dualidad mencionada, han sido tratados de manera violenta. Las consecuencias del empobrecimiento, la discriminación y la desigualdad que han vivido </w:t>
      </w:r>
      <w:r>
        <w:lastRenderedPageBreak/>
        <w:t>las poblaciones afro urbanas en ciudades como Quibdó, Buenaventura y Tumaco han sido tramitadas desde perspectivas</w:t>
      </w:r>
      <w:r>
        <w:rPr>
          <w:spacing w:val="-7"/>
        </w:rPr>
        <w:t xml:space="preserve"> </w:t>
      </w:r>
      <w:r>
        <w:t>que</w:t>
      </w:r>
      <w:r>
        <w:rPr>
          <w:spacing w:val="-6"/>
        </w:rPr>
        <w:t xml:space="preserve"> </w:t>
      </w:r>
      <w:r>
        <w:t>criminalizan</w:t>
      </w:r>
      <w:r>
        <w:rPr>
          <w:spacing w:val="-7"/>
        </w:rPr>
        <w:t xml:space="preserve"> </w:t>
      </w:r>
      <w:r>
        <w:t>el</w:t>
      </w:r>
      <w:r>
        <w:rPr>
          <w:spacing w:val="-5"/>
        </w:rPr>
        <w:t xml:space="preserve"> </w:t>
      </w:r>
      <w:r>
        <w:t>empobrecimiento</w:t>
      </w:r>
      <w:r>
        <w:rPr>
          <w:spacing w:val="-6"/>
        </w:rPr>
        <w:t xml:space="preserve"> </w:t>
      </w:r>
      <w:r>
        <w:t>vivido</w:t>
      </w:r>
      <w:r>
        <w:rPr>
          <w:spacing w:val="-6"/>
        </w:rPr>
        <w:t xml:space="preserve"> </w:t>
      </w:r>
      <w:r>
        <w:t>por</w:t>
      </w:r>
      <w:r>
        <w:rPr>
          <w:spacing w:val="-7"/>
        </w:rPr>
        <w:t xml:space="preserve"> </w:t>
      </w:r>
      <w:r>
        <w:t>estas</w:t>
      </w:r>
      <w:r>
        <w:rPr>
          <w:spacing w:val="-6"/>
        </w:rPr>
        <w:t xml:space="preserve"> </w:t>
      </w:r>
      <w:r>
        <w:t>poblaciones.</w:t>
      </w:r>
      <w:r>
        <w:rPr>
          <w:spacing w:val="-6"/>
        </w:rPr>
        <w:t xml:space="preserve"> </w:t>
      </w:r>
      <w:r>
        <w:t>Este</w:t>
      </w:r>
      <w:r>
        <w:rPr>
          <w:spacing w:val="-7"/>
        </w:rPr>
        <w:t xml:space="preserve"> </w:t>
      </w:r>
      <w:r>
        <w:t>tipo</w:t>
      </w:r>
      <w:r>
        <w:rPr>
          <w:spacing w:val="-6"/>
        </w:rPr>
        <w:t xml:space="preserve"> </w:t>
      </w:r>
      <w:r>
        <w:t>de estigmatización</w:t>
      </w:r>
      <w:r>
        <w:rPr>
          <w:spacing w:val="-12"/>
        </w:rPr>
        <w:t xml:space="preserve"> </w:t>
      </w:r>
      <w:r>
        <w:t>también</w:t>
      </w:r>
      <w:r>
        <w:rPr>
          <w:spacing w:val="-13"/>
        </w:rPr>
        <w:t xml:space="preserve"> </w:t>
      </w:r>
      <w:r>
        <w:t>es</w:t>
      </w:r>
      <w:r>
        <w:rPr>
          <w:spacing w:val="-12"/>
        </w:rPr>
        <w:t xml:space="preserve"> </w:t>
      </w:r>
      <w:r>
        <w:t>clave,</w:t>
      </w:r>
      <w:r>
        <w:rPr>
          <w:spacing w:val="-12"/>
        </w:rPr>
        <w:t xml:space="preserve"> </w:t>
      </w:r>
      <w:r>
        <w:t>hay</w:t>
      </w:r>
      <w:r>
        <w:rPr>
          <w:spacing w:val="-13"/>
        </w:rPr>
        <w:t xml:space="preserve"> </w:t>
      </w:r>
      <w:r>
        <w:t>que</w:t>
      </w:r>
      <w:r>
        <w:rPr>
          <w:spacing w:val="-12"/>
        </w:rPr>
        <w:t xml:space="preserve"> </w:t>
      </w:r>
      <w:r>
        <w:t>visibilizarla.</w:t>
      </w:r>
      <w:r>
        <w:rPr>
          <w:spacing w:val="-12"/>
        </w:rPr>
        <w:t xml:space="preserve"> </w:t>
      </w:r>
      <w:r>
        <w:t>Hablamos</w:t>
      </w:r>
      <w:r>
        <w:rPr>
          <w:spacing w:val="-12"/>
        </w:rPr>
        <w:t xml:space="preserve"> </w:t>
      </w:r>
      <w:r>
        <w:t>del</w:t>
      </w:r>
      <w:r>
        <w:rPr>
          <w:spacing w:val="-12"/>
        </w:rPr>
        <w:t xml:space="preserve"> </w:t>
      </w:r>
      <w:r>
        <w:t>despojo,</w:t>
      </w:r>
      <w:r>
        <w:rPr>
          <w:spacing w:val="-12"/>
        </w:rPr>
        <w:t xml:space="preserve"> </w:t>
      </w:r>
      <w:r>
        <w:t>pero</w:t>
      </w:r>
      <w:r>
        <w:rPr>
          <w:spacing w:val="-12"/>
        </w:rPr>
        <w:t xml:space="preserve"> </w:t>
      </w:r>
      <w:r>
        <w:t>no</w:t>
      </w:r>
      <w:r>
        <w:rPr>
          <w:spacing w:val="-12"/>
        </w:rPr>
        <w:t xml:space="preserve"> </w:t>
      </w:r>
      <w:r>
        <w:t>de</w:t>
      </w:r>
      <w:r>
        <w:rPr>
          <w:spacing w:val="-12"/>
        </w:rPr>
        <w:t xml:space="preserve"> </w:t>
      </w:r>
      <w:r>
        <w:t>los cinturones de miseria y exclusión que produce».</w:t>
      </w:r>
      <w:r w:rsidR="00F45D4D">
        <w:rPr>
          <w:rStyle w:val="Refdenotaalpie"/>
        </w:rPr>
        <w:footnoteReference w:id="1104"/>
      </w:r>
    </w:p>
    <w:p w:rsidR="003804AC" w:rsidRDefault="00AF18A5" w:rsidP="00F45D4D">
      <w:r>
        <w:t>El Auto 004 de 2009 emitido por la Corte Constitucional en seguimiento de la Sentencia T025 de 2004, examinó la situación de los pueblos indígenas afectados por el conflicto armado</w:t>
      </w:r>
      <w:r>
        <w:rPr>
          <w:spacing w:val="-2"/>
        </w:rPr>
        <w:t xml:space="preserve"> </w:t>
      </w:r>
      <w:r>
        <w:t>y</w:t>
      </w:r>
      <w:r>
        <w:rPr>
          <w:spacing w:val="-2"/>
        </w:rPr>
        <w:t xml:space="preserve"> </w:t>
      </w:r>
      <w:r>
        <w:t>declaro</w:t>
      </w:r>
      <w:r>
        <w:rPr>
          <w:spacing w:val="-2"/>
        </w:rPr>
        <w:t xml:space="preserve"> </w:t>
      </w:r>
      <w:r>
        <w:t>que</w:t>
      </w:r>
      <w:r>
        <w:rPr>
          <w:spacing w:val="-2"/>
        </w:rPr>
        <w:t xml:space="preserve"> </w:t>
      </w:r>
      <w:r>
        <w:t>existe</w:t>
      </w:r>
      <w:r>
        <w:rPr>
          <w:spacing w:val="-2"/>
        </w:rPr>
        <w:t xml:space="preserve"> </w:t>
      </w:r>
      <w:r>
        <w:t>un</w:t>
      </w:r>
      <w:r>
        <w:rPr>
          <w:spacing w:val="-2"/>
        </w:rPr>
        <w:t xml:space="preserve"> </w:t>
      </w:r>
      <w:r>
        <w:t>riesgo</w:t>
      </w:r>
      <w:r>
        <w:rPr>
          <w:spacing w:val="-2"/>
        </w:rPr>
        <w:t xml:space="preserve"> </w:t>
      </w:r>
      <w:r>
        <w:t>de</w:t>
      </w:r>
      <w:r>
        <w:rPr>
          <w:spacing w:val="-2"/>
        </w:rPr>
        <w:t xml:space="preserve"> </w:t>
      </w:r>
      <w:r>
        <w:t>exterminio</w:t>
      </w:r>
      <w:r>
        <w:rPr>
          <w:spacing w:val="-2"/>
        </w:rPr>
        <w:t xml:space="preserve"> </w:t>
      </w:r>
      <w:r>
        <w:t>físico</w:t>
      </w:r>
      <w:r>
        <w:rPr>
          <w:spacing w:val="-2"/>
        </w:rPr>
        <w:t xml:space="preserve"> </w:t>
      </w:r>
      <w:r>
        <w:t>y</w:t>
      </w:r>
      <w:r>
        <w:rPr>
          <w:spacing w:val="-2"/>
        </w:rPr>
        <w:t xml:space="preserve"> </w:t>
      </w:r>
      <w:r>
        <w:t>cultural</w:t>
      </w:r>
      <w:r>
        <w:rPr>
          <w:spacing w:val="-2"/>
        </w:rPr>
        <w:t xml:space="preserve"> </w:t>
      </w:r>
      <w:r>
        <w:t>de</w:t>
      </w:r>
      <w:r>
        <w:rPr>
          <w:spacing w:val="-2"/>
        </w:rPr>
        <w:t xml:space="preserve"> </w:t>
      </w:r>
      <w:r>
        <w:t>los</w:t>
      </w:r>
      <w:r>
        <w:rPr>
          <w:spacing w:val="-2"/>
        </w:rPr>
        <w:t xml:space="preserve"> </w:t>
      </w:r>
      <w:r>
        <w:t>pueblos</w:t>
      </w:r>
      <w:r>
        <w:rPr>
          <w:spacing w:val="-2"/>
        </w:rPr>
        <w:t xml:space="preserve"> </w:t>
      </w:r>
      <w:r>
        <w:t>étnicos, confirma</w:t>
      </w:r>
      <w:r>
        <w:rPr>
          <w:spacing w:val="-1"/>
        </w:rPr>
        <w:t xml:space="preserve"> </w:t>
      </w:r>
      <w:r>
        <w:t>el</w:t>
      </w:r>
      <w:r>
        <w:rPr>
          <w:spacing w:val="-2"/>
        </w:rPr>
        <w:t xml:space="preserve"> </w:t>
      </w:r>
      <w:r>
        <w:t>estado</w:t>
      </w:r>
      <w:r>
        <w:rPr>
          <w:spacing w:val="-1"/>
        </w:rPr>
        <w:t xml:space="preserve"> </w:t>
      </w:r>
      <w:r>
        <w:t>de</w:t>
      </w:r>
      <w:r>
        <w:rPr>
          <w:spacing w:val="-2"/>
        </w:rPr>
        <w:t xml:space="preserve"> </w:t>
      </w:r>
      <w:r>
        <w:t>cosas</w:t>
      </w:r>
      <w:r>
        <w:rPr>
          <w:spacing w:val="-1"/>
        </w:rPr>
        <w:t xml:space="preserve"> </w:t>
      </w:r>
      <w:r>
        <w:t>inconstitucional</w:t>
      </w:r>
      <w:r>
        <w:rPr>
          <w:spacing w:val="-1"/>
        </w:rPr>
        <w:t xml:space="preserve"> </w:t>
      </w:r>
      <w:r>
        <w:t>y</w:t>
      </w:r>
      <w:r>
        <w:rPr>
          <w:spacing w:val="-2"/>
        </w:rPr>
        <w:t xml:space="preserve"> </w:t>
      </w:r>
      <w:r>
        <w:t>el</w:t>
      </w:r>
      <w:r>
        <w:rPr>
          <w:spacing w:val="-2"/>
        </w:rPr>
        <w:t xml:space="preserve"> </w:t>
      </w:r>
      <w:r>
        <w:t>impacto</w:t>
      </w:r>
      <w:r>
        <w:rPr>
          <w:spacing w:val="-1"/>
        </w:rPr>
        <w:t xml:space="preserve"> </w:t>
      </w:r>
      <w:r>
        <w:t>desproporcionado</w:t>
      </w:r>
      <w:r>
        <w:rPr>
          <w:spacing w:val="-1"/>
        </w:rPr>
        <w:t xml:space="preserve"> </w:t>
      </w:r>
      <w:r>
        <w:t>generado</w:t>
      </w:r>
      <w:r>
        <w:rPr>
          <w:spacing w:val="-2"/>
        </w:rPr>
        <w:t xml:space="preserve"> </w:t>
      </w:r>
      <w:r>
        <w:t>por</w:t>
      </w:r>
      <w:r>
        <w:rPr>
          <w:spacing w:val="-1"/>
        </w:rPr>
        <w:t xml:space="preserve"> </w:t>
      </w:r>
      <w:r>
        <w:t>el conflicto</w:t>
      </w:r>
      <w:r>
        <w:rPr>
          <w:spacing w:val="-1"/>
        </w:rPr>
        <w:t xml:space="preserve"> </w:t>
      </w:r>
      <w:r>
        <w:t>armado</w:t>
      </w:r>
      <w:r>
        <w:rPr>
          <w:spacing w:val="-1"/>
        </w:rPr>
        <w:t xml:space="preserve"> </w:t>
      </w:r>
      <w:r>
        <w:t>interno. Posteriormente</w:t>
      </w:r>
      <w:r>
        <w:rPr>
          <w:spacing w:val="-1"/>
        </w:rPr>
        <w:t xml:space="preserve"> </w:t>
      </w:r>
      <w:r>
        <w:t>las organizaciones nacionales</w:t>
      </w:r>
      <w:r>
        <w:rPr>
          <w:spacing w:val="-1"/>
        </w:rPr>
        <w:t xml:space="preserve"> </w:t>
      </w:r>
      <w:r>
        <w:t>indígenas</w:t>
      </w:r>
      <w:r>
        <w:rPr>
          <w:spacing w:val="-1"/>
        </w:rPr>
        <w:t xml:space="preserve"> </w:t>
      </w:r>
      <w:r>
        <w:t>señalaron que</w:t>
      </w:r>
      <w:r>
        <w:rPr>
          <w:spacing w:val="-11"/>
        </w:rPr>
        <w:t xml:space="preserve"> </w:t>
      </w:r>
      <w:r>
        <w:t>al</w:t>
      </w:r>
      <w:r>
        <w:rPr>
          <w:spacing w:val="-11"/>
        </w:rPr>
        <w:t xml:space="preserve"> </w:t>
      </w:r>
      <w:r>
        <w:t>menos</w:t>
      </w:r>
      <w:r>
        <w:rPr>
          <w:spacing w:val="-11"/>
        </w:rPr>
        <w:t xml:space="preserve"> </w:t>
      </w:r>
      <w:r>
        <w:t>72</w:t>
      </w:r>
      <w:r>
        <w:rPr>
          <w:spacing w:val="-11"/>
        </w:rPr>
        <w:t xml:space="preserve"> </w:t>
      </w:r>
      <w:r>
        <w:t>de</w:t>
      </w:r>
      <w:r>
        <w:rPr>
          <w:spacing w:val="-11"/>
        </w:rPr>
        <w:t xml:space="preserve"> </w:t>
      </w:r>
      <w:r>
        <w:t>los</w:t>
      </w:r>
      <w:r>
        <w:rPr>
          <w:spacing w:val="-11"/>
        </w:rPr>
        <w:t xml:space="preserve"> </w:t>
      </w:r>
      <w:r>
        <w:t>112</w:t>
      </w:r>
      <w:r>
        <w:rPr>
          <w:spacing w:val="-11"/>
        </w:rPr>
        <w:t xml:space="preserve"> </w:t>
      </w:r>
      <w:r>
        <w:t>pueblos</w:t>
      </w:r>
      <w:r>
        <w:rPr>
          <w:spacing w:val="-11"/>
        </w:rPr>
        <w:t xml:space="preserve"> </w:t>
      </w:r>
      <w:r>
        <w:t>indígenas</w:t>
      </w:r>
      <w:r>
        <w:rPr>
          <w:spacing w:val="-11"/>
        </w:rPr>
        <w:t xml:space="preserve"> </w:t>
      </w:r>
      <w:r>
        <w:t>en</w:t>
      </w:r>
      <w:r>
        <w:rPr>
          <w:spacing w:val="-11"/>
        </w:rPr>
        <w:t xml:space="preserve"> </w:t>
      </w:r>
      <w:r>
        <w:t>Colombia</w:t>
      </w:r>
      <w:r>
        <w:rPr>
          <w:spacing w:val="-11"/>
        </w:rPr>
        <w:t xml:space="preserve"> </w:t>
      </w:r>
      <w:r>
        <w:t>(es</w:t>
      </w:r>
      <w:r>
        <w:rPr>
          <w:spacing w:val="-11"/>
        </w:rPr>
        <w:t xml:space="preserve"> </w:t>
      </w:r>
      <w:r>
        <w:t>decir,</w:t>
      </w:r>
      <w:r>
        <w:rPr>
          <w:spacing w:val="-11"/>
        </w:rPr>
        <w:t xml:space="preserve"> </w:t>
      </w:r>
      <w:r>
        <w:t>el</w:t>
      </w:r>
      <w:r>
        <w:rPr>
          <w:spacing w:val="-11"/>
        </w:rPr>
        <w:t xml:space="preserve"> </w:t>
      </w:r>
      <w:r>
        <w:t>62</w:t>
      </w:r>
      <w:r>
        <w:rPr>
          <w:spacing w:val="-3"/>
        </w:rPr>
        <w:t xml:space="preserve"> </w:t>
      </w:r>
      <w:r>
        <w:t>%)</w:t>
      </w:r>
      <w:r>
        <w:rPr>
          <w:spacing w:val="-11"/>
        </w:rPr>
        <w:t xml:space="preserve"> </w:t>
      </w:r>
      <w:r>
        <w:t>están</w:t>
      </w:r>
      <w:r>
        <w:rPr>
          <w:spacing w:val="-11"/>
        </w:rPr>
        <w:t xml:space="preserve"> </w:t>
      </w:r>
      <w:r>
        <w:t>en</w:t>
      </w:r>
      <w:r>
        <w:rPr>
          <w:spacing w:val="-12"/>
        </w:rPr>
        <w:t xml:space="preserve"> </w:t>
      </w:r>
      <w:r>
        <w:t>riesgo de desaparición física o cultural.</w:t>
      </w:r>
    </w:p>
    <w:p w:rsidR="0011361F" w:rsidRDefault="00AF18A5" w:rsidP="00F45D4D">
      <w:r>
        <w:t>Las guerrillas no reconocieron las diferencias culturales ni las autonomías de las comunidades</w:t>
      </w:r>
      <w:r>
        <w:rPr>
          <w:spacing w:val="-9"/>
        </w:rPr>
        <w:t xml:space="preserve"> </w:t>
      </w:r>
      <w:r>
        <w:t>étnicas.</w:t>
      </w:r>
      <w:r>
        <w:rPr>
          <w:spacing w:val="-9"/>
        </w:rPr>
        <w:t xml:space="preserve"> </w:t>
      </w:r>
      <w:r>
        <w:t>Y</w:t>
      </w:r>
      <w:r>
        <w:rPr>
          <w:spacing w:val="-11"/>
        </w:rPr>
        <w:t xml:space="preserve"> </w:t>
      </w:r>
      <w:r>
        <w:t>el</w:t>
      </w:r>
      <w:r>
        <w:rPr>
          <w:spacing w:val="-9"/>
        </w:rPr>
        <w:t xml:space="preserve"> </w:t>
      </w:r>
      <w:r>
        <w:t>paramilitarismo,</w:t>
      </w:r>
      <w:r>
        <w:rPr>
          <w:spacing w:val="-11"/>
        </w:rPr>
        <w:t xml:space="preserve"> </w:t>
      </w:r>
      <w:r>
        <w:t>por</w:t>
      </w:r>
      <w:r>
        <w:rPr>
          <w:spacing w:val="-9"/>
        </w:rPr>
        <w:t xml:space="preserve"> </w:t>
      </w:r>
      <w:r>
        <w:t>su</w:t>
      </w:r>
      <w:r>
        <w:rPr>
          <w:spacing w:val="-9"/>
        </w:rPr>
        <w:t xml:space="preserve"> </w:t>
      </w:r>
      <w:r>
        <w:t>parte,</w:t>
      </w:r>
      <w:r>
        <w:rPr>
          <w:spacing w:val="-11"/>
        </w:rPr>
        <w:t xml:space="preserve"> </w:t>
      </w:r>
      <w:r>
        <w:t>es</w:t>
      </w:r>
      <w:r>
        <w:rPr>
          <w:spacing w:val="-9"/>
        </w:rPr>
        <w:t xml:space="preserve"> </w:t>
      </w:r>
      <w:r>
        <w:t>un</w:t>
      </w:r>
      <w:r>
        <w:rPr>
          <w:spacing w:val="-9"/>
        </w:rPr>
        <w:t xml:space="preserve"> </w:t>
      </w:r>
      <w:r>
        <w:t>proyecto</w:t>
      </w:r>
      <w:r>
        <w:rPr>
          <w:spacing w:val="-11"/>
        </w:rPr>
        <w:t xml:space="preserve"> </w:t>
      </w:r>
      <w:r>
        <w:t>fundado</w:t>
      </w:r>
      <w:r>
        <w:rPr>
          <w:spacing w:val="-9"/>
        </w:rPr>
        <w:t xml:space="preserve"> </w:t>
      </w:r>
      <w:r>
        <w:t>en</w:t>
      </w:r>
      <w:r>
        <w:rPr>
          <w:spacing w:val="-9"/>
        </w:rPr>
        <w:t xml:space="preserve"> </w:t>
      </w:r>
      <w:r>
        <w:t>nociones feudales que defiende la</w:t>
      </w:r>
      <w:r>
        <w:rPr>
          <w:spacing w:val="-1"/>
        </w:rPr>
        <w:t xml:space="preserve"> </w:t>
      </w:r>
      <w:r>
        <w:t>posesión de la tierra por</w:t>
      </w:r>
      <w:r>
        <w:rPr>
          <w:spacing w:val="-1"/>
        </w:rPr>
        <w:t xml:space="preserve"> </w:t>
      </w:r>
      <w:r>
        <w:t>parte de las</w:t>
      </w:r>
      <w:r>
        <w:rPr>
          <w:spacing w:val="-1"/>
        </w:rPr>
        <w:t xml:space="preserve"> </w:t>
      </w:r>
      <w:r>
        <w:t>élites de poder y despoja a los campesinos de la propiedad. En nuestra historia más reciente, la Conferencia Episcopal de Colombia</w:t>
      </w:r>
      <w:r>
        <w:rPr>
          <w:spacing w:val="-7"/>
        </w:rPr>
        <w:t xml:space="preserve"> </w:t>
      </w:r>
      <w:r>
        <w:t>llamó</w:t>
      </w:r>
      <w:r>
        <w:rPr>
          <w:spacing w:val="-6"/>
        </w:rPr>
        <w:t xml:space="preserve"> </w:t>
      </w:r>
      <w:r>
        <w:t>la</w:t>
      </w:r>
      <w:r>
        <w:rPr>
          <w:spacing w:val="-7"/>
        </w:rPr>
        <w:t xml:space="preserve"> </w:t>
      </w:r>
      <w:r>
        <w:t>atención</w:t>
      </w:r>
      <w:r>
        <w:rPr>
          <w:spacing w:val="-6"/>
        </w:rPr>
        <w:t xml:space="preserve"> </w:t>
      </w:r>
      <w:r>
        <w:t>sobre</w:t>
      </w:r>
      <w:r>
        <w:rPr>
          <w:spacing w:val="-7"/>
        </w:rPr>
        <w:t xml:space="preserve"> </w:t>
      </w:r>
      <w:r>
        <w:t>la</w:t>
      </w:r>
      <w:r>
        <w:rPr>
          <w:spacing w:val="-7"/>
        </w:rPr>
        <w:t xml:space="preserve"> </w:t>
      </w:r>
      <w:r>
        <w:t>ausencia</w:t>
      </w:r>
      <w:r>
        <w:rPr>
          <w:spacing w:val="-6"/>
        </w:rPr>
        <w:t xml:space="preserve"> </w:t>
      </w:r>
      <w:r>
        <w:t>del</w:t>
      </w:r>
      <w:r>
        <w:rPr>
          <w:spacing w:val="-7"/>
        </w:rPr>
        <w:t xml:space="preserve"> </w:t>
      </w:r>
      <w:r>
        <w:t>mundo</w:t>
      </w:r>
      <w:r>
        <w:rPr>
          <w:spacing w:val="-6"/>
        </w:rPr>
        <w:t xml:space="preserve"> </w:t>
      </w:r>
      <w:r>
        <w:t>campesino</w:t>
      </w:r>
      <w:r>
        <w:rPr>
          <w:spacing w:val="-6"/>
        </w:rPr>
        <w:t xml:space="preserve"> </w:t>
      </w:r>
      <w:r>
        <w:t>en</w:t>
      </w:r>
      <w:r>
        <w:rPr>
          <w:spacing w:val="-6"/>
        </w:rPr>
        <w:t xml:space="preserve"> </w:t>
      </w:r>
      <w:r>
        <w:t>un</w:t>
      </w:r>
      <w:r>
        <w:rPr>
          <w:spacing w:val="-7"/>
        </w:rPr>
        <w:t xml:space="preserve"> </w:t>
      </w:r>
      <w:r>
        <w:t>plan</w:t>
      </w:r>
      <w:r>
        <w:rPr>
          <w:spacing w:val="-6"/>
        </w:rPr>
        <w:t xml:space="preserve"> </w:t>
      </w:r>
      <w:r>
        <w:t>de</w:t>
      </w:r>
      <w:r>
        <w:rPr>
          <w:spacing w:val="-6"/>
        </w:rPr>
        <w:t xml:space="preserve"> </w:t>
      </w:r>
      <w:r>
        <w:t>desarrollo nacional,</w:t>
      </w:r>
      <w:r>
        <w:rPr>
          <w:spacing w:val="-17"/>
        </w:rPr>
        <w:t xml:space="preserve"> </w:t>
      </w:r>
      <w:r>
        <w:t>anotando</w:t>
      </w:r>
      <w:r>
        <w:rPr>
          <w:spacing w:val="-15"/>
        </w:rPr>
        <w:t xml:space="preserve"> </w:t>
      </w:r>
      <w:r>
        <w:t>que</w:t>
      </w:r>
      <w:r>
        <w:rPr>
          <w:spacing w:val="-13"/>
        </w:rPr>
        <w:t xml:space="preserve"> </w:t>
      </w:r>
      <w:r>
        <w:t>la</w:t>
      </w:r>
      <w:r>
        <w:rPr>
          <w:spacing w:val="-14"/>
        </w:rPr>
        <w:t xml:space="preserve"> </w:t>
      </w:r>
      <w:r>
        <w:t>palabra</w:t>
      </w:r>
      <w:r>
        <w:rPr>
          <w:spacing w:val="-13"/>
        </w:rPr>
        <w:t xml:space="preserve"> </w:t>
      </w:r>
      <w:r>
        <w:t>«campesino»</w:t>
      </w:r>
      <w:r>
        <w:rPr>
          <w:spacing w:val="-15"/>
        </w:rPr>
        <w:t xml:space="preserve"> </w:t>
      </w:r>
      <w:r>
        <w:t>aparecía</w:t>
      </w:r>
      <w:r>
        <w:rPr>
          <w:spacing w:val="-13"/>
        </w:rPr>
        <w:t xml:space="preserve"> </w:t>
      </w:r>
      <w:r>
        <w:t>solo</w:t>
      </w:r>
      <w:r>
        <w:rPr>
          <w:spacing w:val="-15"/>
        </w:rPr>
        <w:t xml:space="preserve"> </w:t>
      </w:r>
      <w:r>
        <w:t>una</w:t>
      </w:r>
      <w:r>
        <w:rPr>
          <w:spacing w:val="-13"/>
        </w:rPr>
        <w:t xml:space="preserve"> </w:t>
      </w:r>
      <w:r>
        <w:t>vez,</w:t>
      </w:r>
      <w:r>
        <w:rPr>
          <w:spacing w:val="-15"/>
        </w:rPr>
        <w:t xml:space="preserve"> </w:t>
      </w:r>
      <w:r>
        <w:t>precedida</w:t>
      </w:r>
      <w:r>
        <w:rPr>
          <w:spacing w:val="-13"/>
        </w:rPr>
        <w:t xml:space="preserve"> </w:t>
      </w:r>
      <w:r>
        <w:t>de</w:t>
      </w:r>
      <w:r>
        <w:rPr>
          <w:spacing w:val="-13"/>
        </w:rPr>
        <w:t xml:space="preserve"> </w:t>
      </w:r>
      <w:r>
        <w:t>la</w:t>
      </w:r>
      <w:r>
        <w:rPr>
          <w:spacing w:val="-15"/>
        </w:rPr>
        <w:t xml:space="preserve"> </w:t>
      </w:r>
      <w:r>
        <w:rPr>
          <w:spacing w:val="-2"/>
        </w:rPr>
        <w:t>palabra</w:t>
      </w:r>
      <w:r w:rsidR="00F45D4D">
        <w:t xml:space="preserve"> </w:t>
      </w:r>
      <w:r>
        <w:t>«soldado».</w:t>
      </w:r>
    </w:p>
    <w:p w:rsidR="003804AC" w:rsidRDefault="00AF18A5" w:rsidP="00F45D4D">
      <w:r>
        <w:t xml:space="preserve">La estratificación de ciudadanías (pobres, negros, indios, campesinos, habitantes de comunas y barrios marginales; jóvenes, izquierdosos...) </w:t>
      </w:r>
      <w:r>
        <w:lastRenderedPageBreak/>
        <w:t>ha construido la noción de sectores inferiores</w:t>
      </w:r>
      <w:r>
        <w:rPr>
          <w:spacing w:val="27"/>
        </w:rPr>
        <w:t xml:space="preserve"> </w:t>
      </w:r>
      <w:r>
        <w:t>o</w:t>
      </w:r>
      <w:r>
        <w:rPr>
          <w:spacing w:val="27"/>
        </w:rPr>
        <w:t xml:space="preserve"> </w:t>
      </w:r>
      <w:r>
        <w:t>peligrosos</w:t>
      </w:r>
      <w:r>
        <w:rPr>
          <w:spacing w:val="27"/>
        </w:rPr>
        <w:t xml:space="preserve"> </w:t>
      </w:r>
      <w:r>
        <w:t>que,</w:t>
      </w:r>
      <w:r>
        <w:rPr>
          <w:spacing w:val="27"/>
        </w:rPr>
        <w:t xml:space="preserve"> </w:t>
      </w:r>
      <w:r>
        <w:t>por</w:t>
      </w:r>
      <w:r>
        <w:rPr>
          <w:spacing w:val="27"/>
        </w:rPr>
        <w:t xml:space="preserve"> </w:t>
      </w:r>
      <w:r>
        <w:t>lo</w:t>
      </w:r>
      <w:r>
        <w:rPr>
          <w:spacing w:val="27"/>
        </w:rPr>
        <w:t xml:space="preserve"> </w:t>
      </w:r>
      <w:r>
        <w:t>tanto,</w:t>
      </w:r>
      <w:r>
        <w:rPr>
          <w:spacing w:val="27"/>
        </w:rPr>
        <w:t xml:space="preserve"> </w:t>
      </w:r>
      <w:r>
        <w:t>son</w:t>
      </w:r>
      <w:r>
        <w:rPr>
          <w:spacing w:val="27"/>
        </w:rPr>
        <w:t xml:space="preserve"> </w:t>
      </w:r>
      <w:r>
        <w:t>percibidos</w:t>
      </w:r>
      <w:r>
        <w:rPr>
          <w:spacing w:val="27"/>
        </w:rPr>
        <w:t xml:space="preserve"> </w:t>
      </w:r>
      <w:r>
        <w:t>como</w:t>
      </w:r>
      <w:r>
        <w:rPr>
          <w:spacing w:val="27"/>
        </w:rPr>
        <w:t xml:space="preserve"> </w:t>
      </w:r>
      <w:r>
        <w:t>«sacrificables»</w:t>
      </w:r>
      <w:r>
        <w:rPr>
          <w:spacing w:val="28"/>
        </w:rPr>
        <w:t xml:space="preserve"> </w:t>
      </w:r>
      <w:r>
        <w:rPr>
          <w:spacing w:val="-10"/>
        </w:rPr>
        <w:t>o</w:t>
      </w:r>
      <w:bookmarkStart w:id="1366" w:name="_bookmark1213"/>
      <w:bookmarkEnd w:id="1366"/>
      <w:r w:rsidR="00F45D4D">
        <w:t xml:space="preserve"> </w:t>
      </w:r>
      <w:r>
        <w:t>«desechables». Y el diseño territorial y administrativo, pensado desde el centro, también ha contribuido a esa imposición cultural hegemónica.</w:t>
      </w:r>
    </w:p>
    <w:p w:rsidR="003804AC" w:rsidRDefault="00AF18A5" w:rsidP="00F45D4D">
      <w:r>
        <w:t>El 19 de octubre de 2020, la minga indígena caminó 500 kilómetros en búsqueda de un diálogo, pero más de seis mil indígenas del Huila y del Cauca se quedaron esperando al presidente Duque en la Plaza de Bolívar, que no atendió esta mano tendida. Los indígenas regresaron en paz y dejaron patente la exclusión. En el estallido social de abril de 2021, los habitantes de sectores de clase alta de Cali clamaron por la expulsión de las comunidades indígenas que se sumaban a la movilización social, increpándolas para que volvieran «a su hábitat» en</w:t>
      </w:r>
      <w:r>
        <w:rPr>
          <w:spacing w:val="-1"/>
        </w:rPr>
        <w:t xml:space="preserve"> </w:t>
      </w:r>
      <w:r>
        <w:t>un claro ejemplo de</w:t>
      </w:r>
      <w:r>
        <w:rPr>
          <w:spacing w:val="-1"/>
        </w:rPr>
        <w:t xml:space="preserve"> </w:t>
      </w:r>
      <w:r>
        <w:t>racismo frente a</w:t>
      </w:r>
      <w:r>
        <w:rPr>
          <w:spacing w:val="-1"/>
        </w:rPr>
        <w:t xml:space="preserve"> </w:t>
      </w:r>
      <w:r>
        <w:t>dichas</w:t>
      </w:r>
      <w:r>
        <w:rPr>
          <w:spacing w:val="-1"/>
        </w:rPr>
        <w:t xml:space="preserve"> </w:t>
      </w:r>
      <w:r>
        <w:t>comunidades. Y</w:t>
      </w:r>
      <w:r>
        <w:rPr>
          <w:spacing w:val="-2"/>
        </w:rPr>
        <w:t xml:space="preserve"> </w:t>
      </w:r>
      <w:r>
        <w:t>el 12 de</w:t>
      </w:r>
      <w:r>
        <w:rPr>
          <w:spacing w:val="-1"/>
        </w:rPr>
        <w:t xml:space="preserve"> </w:t>
      </w:r>
      <w:r>
        <w:t>octubre de 2021, la minga indígena llegó a Cali y se instaló en el coliseo El Pueblo, señalando que esperarían</w:t>
      </w:r>
      <w:r>
        <w:rPr>
          <w:spacing w:val="-3"/>
        </w:rPr>
        <w:t xml:space="preserve"> </w:t>
      </w:r>
      <w:r>
        <w:t>durante</w:t>
      </w:r>
      <w:r>
        <w:rPr>
          <w:spacing w:val="-4"/>
        </w:rPr>
        <w:t xml:space="preserve"> </w:t>
      </w:r>
      <w:r>
        <w:t>tres</w:t>
      </w:r>
      <w:r>
        <w:rPr>
          <w:spacing w:val="-3"/>
        </w:rPr>
        <w:t xml:space="preserve"> </w:t>
      </w:r>
      <w:r>
        <w:t>días</w:t>
      </w:r>
      <w:r>
        <w:rPr>
          <w:spacing w:val="-3"/>
        </w:rPr>
        <w:t xml:space="preserve"> </w:t>
      </w:r>
      <w:r>
        <w:t>al</w:t>
      </w:r>
      <w:r>
        <w:rPr>
          <w:spacing w:val="-3"/>
        </w:rPr>
        <w:t xml:space="preserve"> </w:t>
      </w:r>
      <w:r>
        <w:t>presidente</w:t>
      </w:r>
      <w:r>
        <w:rPr>
          <w:spacing w:val="-3"/>
        </w:rPr>
        <w:t xml:space="preserve"> </w:t>
      </w:r>
      <w:r>
        <w:t>Iván</w:t>
      </w:r>
      <w:r>
        <w:rPr>
          <w:spacing w:val="-3"/>
        </w:rPr>
        <w:t xml:space="preserve"> </w:t>
      </w:r>
      <w:r>
        <w:t>Duque</w:t>
      </w:r>
      <w:r>
        <w:rPr>
          <w:spacing w:val="-3"/>
        </w:rPr>
        <w:t xml:space="preserve"> </w:t>
      </w:r>
      <w:r>
        <w:t>para</w:t>
      </w:r>
      <w:r>
        <w:rPr>
          <w:spacing w:val="-3"/>
        </w:rPr>
        <w:t xml:space="preserve"> </w:t>
      </w:r>
      <w:r>
        <w:t>realizar</w:t>
      </w:r>
      <w:r>
        <w:rPr>
          <w:spacing w:val="-3"/>
        </w:rPr>
        <w:t xml:space="preserve"> </w:t>
      </w:r>
      <w:r>
        <w:t>lo</w:t>
      </w:r>
      <w:r>
        <w:rPr>
          <w:spacing w:val="-3"/>
        </w:rPr>
        <w:t xml:space="preserve"> </w:t>
      </w:r>
      <w:r>
        <w:t>que</w:t>
      </w:r>
      <w:r>
        <w:rPr>
          <w:spacing w:val="-4"/>
        </w:rPr>
        <w:t xml:space="preserve"> </w:t>
      </w:r>
      <w:r>
        <w:t>ellos</w:t>
      </w:r>
      <w:r>
        <w:rPr>
          <w:spacing w:val="-5"/>
        </w:rPr>
        <w:t xml:space="preserve"> </w:t>
      </w:r>
      <w:r>
        <w:t>llamaron</w:t>
      </w:r>
      <w:r>
        <w:rPr>
          <w:spacing w:val="-3"/>
        </w:rPr>
        <w:t xml:space="preserve"> </w:t>
      </w:r>
      <w:r>
        <w:t>«un debate político», pero el presidente nuevamente se negó a establecer un diálogo con ellos.</w:t>
      </w:r>
    </w:p>
    <w:p w:rsidR="003804AC" w:rsidRDefault="00AF18A5" w:rsidP="00F45D4D">
      <w:r>
        <w:t>Todos</w:t>
      </w:r>
      <w:r>
        <w:rPr>
          <w:spacing w:val="-5"/>
        </w:rPr>
        <w:t xml:space="preserve"> </w:t>
      </w:r>
      <w:r>
        <w:t>estos</w:t>
      </w:r>
      <w:r>
        <w:rPr>
          <w:spacing w:val="-6"/>
        </w:rPr>
        <w:t xml:space="preserve"> </w:t>
      </w:r>
      <w:r>
        <w:t>hechos</w:t>
      </w:r>
      <w:r>
        <w:rPr>
          <w:spacing w:val="-5"/>
        </w:rPr>
        <w:t xml:space="preserve"> </w:t>
      </w:r>
      <w:r>
        <w:t>reflejan</w:t>
      </w:r>
      <w:r>
        <w:rPr>
          <w:spacing w:val="-5"/>
        </w:rPr>
        <w:t xml:space="preserve"> </w:t>
      </w:r>
      <w:r>
        <w:t>la</w:t>
      </w:r>
      <w:r>
        <w:rPr>
          <w:spacing w:val="-5"/>
        </w:rPr>
        <w:t xml:space="preserve"> </w:t>
      </w:r>
      <w:r>
        <w:t>negación</w:t>
      </w:r>
      <w:r>
        <w:rPr>
          <w:spacing w:val="-5"/>
        </w:rPr>
        <w:t xml:space="preserve"> </w:t>
      </w:r>
      <w:r>
        <w:t>de</w:t>
      </w:r>
      <w:r>
        <w:rPr>
          <w:spacing w:val="-5"/>
        </w:rPr>
        <w:t xml:space="preserve"> </w:t>
      </w:r>
      <w:r>
        <w:t>pertenencia</w:t>
      </w:r>
      <w:r>
        <w:rPr>
          <w:spacing w:val="-5"/>
        </w:rPr>
        <w:t xml:space="preserve"> </w:t>
      </w:r>
      <w:r>
        <w:t>a</w:t>
      </w:r>
      <w:r>
        <w:rPr>
          <w:spacing w:val="-6"/>
        </w:rPr>
        <w:t xml:space="preserve"> </w:t>
      </w:r>
      <w:r>
        <w:t>la</w:t>
      </w:r>
      <w:r>
        <w:rPr>
          <w:spacing w:val="-5"/>
        </w:rPr>
        <w:t xml:space="preserve"> </w:t>
      </w:r>
      <w:r>
        <w:t>nación</w:t>
      </w:r>
      <w:r>
        <w:rPr>
          <w:spacing w:val="-5"/>
        </w:rPr>
        <w:t xml:space="preserve"> </w:t>
      </w:r>
      <w:r>
        <w:t>que</w:t>
      </w:r>
      <w:r>
        <w:rPr>
          <w:spacing w:val="-5"/>
        </w:rPr>
        <w:t xml:space="preserve"> </w:t>
      </w:r>
      <w:r>
        <w:t>se</w:t>
      </w:r>
      <w:r>
        <w:rPr>
          <w:spacing w:val="-6"/>
        </w:rPr>
        <w:t xml:space="preserve"> </w:t>
      </w:r>
      <w:r>
        <w:t>les</w:t>
      </w:r>
      <w:r>
        <w:rPr>
          <w:spacing w:val="-5"/>
        </w:rPr>
        <w:t xml:space="preserve"> </w:t>
      </w:r>
      <w:r>
        <w:t>ha</w:t>
      </w:r>
      <w:r>
        <w:rPr>
          <w:spacing w:val="-5"/>
        </w:rPr>
        <w:t xml:space="preserve"> </w:t>
      </w:r>
      <w:r>
        <w:t>impuesto a estas comunidades. Algo que también está asociado con la criminalización de la protesta social en Colombia, que a su vez está en sintonía con las respuestas militarizadas, en lugar del diálogo y la negociación, para resolver los conflictos sociales.</w:t>
      </w:r>
    </w:p>
    <w:p w:rsidR="003804AC" w:rsidRDefault="00AF18A5" w:rsidP="00F45D4D">
      <w:r>
        <w:t>En los testimonios recogidos por la Comisión son múltiples las expresiones en las que aparece el racismo como violencia estructural, que se cruza de manera dramática con la violencia armada. En el marco del conflicto, para demostrar su superioridad, los actores armados</w:t>
      </w:r>
      <w:r>
        <w:rPr>
          <w:spacing w:val="-9"/>
        </w:rPr>
        <w:t xml:space="preserve"> </w:t>
      </w:r>
      <w:r>
        <w:t>cometieron</w:t>
      </w:r>
      <w:r>
        <w:rPr>
          <w:spacing w:val="-9"/>
        </w:rPr>
        <w:t xml:space="preserve"> </w:t>
      </w:r>
      <w:r>
        <w:t>acciones</w:t>
      </w:r>
      <w:r>
        <w:rPr>
          <w:spacing w:val="-9"/>
        </w:rPr>
        <w:t xml:space="preserve"> </w:t>
      </w:r>
      <w:r>
        <w:t>atroces</w:t>
      </w:r>
      <w:r>
        <w:rPr>
          <w:spacing w:val="-9"/>
        </w:rPr>
        <w:t xml:space="preserve"> </w:t>
      </w:r>
      <w:r>
        <w:t>en</w:t>
      </w:r>
      <w:r>
        <w:rPr>
          <w:spacing w:val="-9"/>
        </w:rPr>
        <w:t xml:space="preserve"> </w:t>
      </w:r>
      <w:r>
        <w:t>contra</w:t>
      </w:r>
      <w:r>
        <w:rPr>
          <w:spacing w:val="-9"/>
        </w:rPr>
        <w:t xml:space="preserve"> </w:t>
      </w:r>
      <w:r>
        <w:t>de</w:t>
      </w:r>
      <w:r>
        <w:rPr>
          <w:spacing w:val="-9"/>
        </w:rPr>
        <w:t xml:space="preserve"> </w:t>
      </w:r>
      <w:r>
        <w:t>la</w:t>
      </w:r>
      <w:r>
        <w:rPr>
          <w:spacing w:val="-9"/>
        </w:rPr>
        <w:t xml:space="preserve"> </w:t>
      </w:r>
      <w:r>
        <w:t>población</w:t>
      </w:r>
      <w:r>
        <w:rPr>
          <w:spacing w:val="-9"/>
        </w:rPr>
        <w:t xml:space="preserve"> </w:t>
      </w:r>
      <w:r>
        <w:t>históricamente</w:t>
      </w:r>
      <w:r>
        <w:rPr>
          <w:spacing w:val="-9"/>
        </w:rPr>
        <w:t xml:space="preserve"> </w:t>
      </w:r>
      <w:r>
        <w:lastRenderedPageBreak/>
        <w:t>discriminada. En</w:t>
      </w:r>
      <w:r>
        <w:rPr>
          <w:spacing w:val="-7"/>
        </w:rPr>
        <w:t xml:space="preserve"> </w:t>
      </w:r>
      <w:r>
        <w:t>el</w:t>
      </w:r>
      <w:r>
        <w:rPr>
          <w:spacing w:val="-7"/>
        </w:rPr>
        <w:t xml:space="preserve"> </w:t>
      </w:r>
      <w:r>
        <w:t>marco</w:t>
      </w:r>
      <w:r>
        <w:rPr>
          <w:spacing w:val="-8"/>
        </w:rPr>
        <w:t xml:space="preserve"> </w:t>
      </w:r>
      <w:r>
        <w:t>del</w:t>
      </w:r>
      <w:r>
        <w:rPr>
          <w:spacing w:val="-7"/>
        </w:rPr>
        <w:t xml:space="preserve"> </w:t>
      </w:r>
      <w:r>
        <w:t>Reconocimiento</w:t>
      </w:r>
      <w:r>
        <w:rPr>
          <w:spacing w:val="-7"/>
        </w:rPr>
        <w:t xml:space="preserve"> </w:t>
      </w:r>
      <w:r>
        <w:t>por</w:t>
      </w:r>
      <w:r>
        <w:rPr>
          <w:spacing w:val="-8"/>
        </w:rPr>
        <w:t xml:space="preserve"> </w:t>
      </w:r>
      <w:r>
        <w:t>la</w:t>
      </w:r>
      <w:r>
        <w:rPr>
          <w:spacing w:val="-7"/>
        </w:rPr>
        <w:t xml:space="preserve"> </w:t>
      </w:r>
      <w:r>
        <w:t>Verdad</w:t>
      </w:r>
      <w:r>
        <w:rPr>
          <w:spacing w:val="-7"/>
        </w:rPr>
        <w:t xml:space="preserve"> </w:t>
      </w:r>
      <w:r>
        <w:t>del</w:t>
      </w:r>
      <w:r>
        <w:rPr>
          <w:spacing w:val="-7"/>
        </w:rPr>
        <w:t xml:space="preserve"> </w:t>
      </w:r>
      <w:r>
        <w:t>Pueblo</w:t>
      </w:r>
      <w:r>
        <w:rPr>
          <w:spacing w:val="-7"/>
        </w:rPr>
        <w:t xml:space="preserve"> </w:t>
      </w:r>
      <w:r>
        <w:t>Negro,</w:t>
      </w:r>
      <w:r>
        <w:rPr>
          <w:spacing w:val="-7"/>
        </w:rPr>
        <w:t xml:space="preserve"> </w:t>
      </w:r>
      <w:r>
        <w:t>Afrocolombiano,</w:t>
      </w:r>
      <w:r>
        <w:rPr>
          <w:spacing w:val="-7"/>
        </w:rPr>
        <w:t xml:space="preserve"> </w:t>
      </w:r>
      <w:r>
        <w:t>Raizal</w:t>
      </w:r>
      <w:r>
        <w:rPr>
          <w:spacing w:val="-7"/>
        </w:rPr>
        <w:t xml:space="preserve"> </w:t>
      </w:r>
      <w:r>
        <w:t>y Palenquero, una mujer que fue marcada con un hierro incandescente por un comandante de las AUC en Montes de María contó lo siguiente:</w:t>
      </w:r>
    </w:p>
    <w:p w:rsidR="003804AC" w:rsidRDefault="00AF18A5" w:rsidP="00F45D4D">
      <w:r>
        <w:t>«Yo</w:t>
      </w:r>
      <w:r>
        <w:rPr>
          <w:spacing w:val="-6"/>
        </w:rPr>
        <w:t xml:space="preserve"> </w:t>
      </w:r>
      <w:r>
        <w:t>nunca</w:t>
      </w:r>
      <w:r>
        <w:rPr>
          <w:spacing w:val="-6"/>
        </w:rPr>
        <w:t xml:space="preserve"> </w:t>
      </w:r>
      <w:r>
        <w:t>he</w:t>
      </w:r>
      <w:r>
        <w:rPr>
          <w:spacing w:val="-6"/>
        </w:rPr>
        <w:t xml:space="preserve"> </w:t>
      </w:r>
      <w:r>
        <w:t>podido</w:t>
      </w:r>
      <w:r>
        <w:rPr>
          <w:spacing w:val="-6"/>
        </w:rPr>
        <w:t xml:space="preserve"> </w:t>
      </w:r>
      <w:r>
        <w:t>olvidar</w:t>
      </w:r>
      <w:r>
        <w:rPr>
          <w:spacing w:val="-7"/>
        </w:rPr>
        <w:t xml:space="preserve"> </w:t>
      </w:r>
      <w:r>
        <w:t>eso.</w:t>
      </w:r>
      <w:r>
        <w:rPr>
          <w:spacing w:val="-6"/>
        </w:rPr>
        <w:t xml:space="preserve"> </w:t>
      </w:r>
      <w:r>
        <w:t>Eso</w:t>
      </w:r>
      <w:r>
        <w:rPr>
          <w:spacing w:val="-7"/>
        </w:rPr>
        <w:t xml:space="preserve"> </w:t>
      </w:r>
      <w:r>
        <w:t>lo</w:t>
      </w:r>
      <w:r>
        <w:rPr>
          <w:spacing w:val="-7"/>
        </w:rPr>
        <w:t xml:space="preserve"> </w:t>
      </w:r>
      <w:r>
        <w:t>tengo</w:t>
      </w:r>
      <w:r>
        <w:rPr>
          <w:spacing w:val="-6"/>
        </w:rPr>
        <w:t xml:space="preserve"> </w:t>
      </w:r>
      <w:r>
        <w:t>como</w:t>
      </w:r>
      <w:r>
        <w:rPr>
          <w:spacing w:val="-6"/>
        </w:rPr>
        <w:t xml:space="preserve"> </w:t>
      </w:r>
      <w:r>
        <w:t>aquí,</w:t>
      </w:r>
      <w:r>
        <w:rPr>
          <w:spacing w:val="-7"/>
        </w:rPr>
        <w:t xml:space="preserve"> </w:t>
      </w:r>
      <w:r>
        <w:t>no</w:t>
      </w:r>
      <w:r>
        <w:rPr>
          <w:spacing w:val="-7"/>
        </w:rPr>
        <w:t xml:space="preserve"> </w:t>
      </w:r>
      <w:r>
        <w:t>lo</w:t>
      </w:r>
      <w:r>
        <w:rPr>
          <w:spacing w:val="-6"/>
        </w:rPr>
        <w:t xml:space="preserve"> </w:t>
      </w:r>
      <w:r>
        <w:t>he</w:t>
      </w:r>
      <w:r>
        <w:rPr>
          <w:spacing w:val="-6"/>
        </w:rPr>
        <w:t xml:space="preserve"> </w:t>
      </w:r>
      <w:r>
        <w:t>podido</w:t>
      </w:r>
      <w:r>
        <w:rPr>
          <w:spacing w:val="-7"/>
        </w:rPr>
        <w:t xml:space="preserve"> </w:t>
      </w:r>
      <w:r>
        <w:t>olvidar</w:t>
      </w:r>
      <w:r>
        <w:rPr>
          <w:spacing w:val="-6"/>
        </w:rPr>
        <w:t xml:space="preserve"> </w:t>
      </w:r>
      <w:r>
        <w:t>nunca. Yo</w:t>
      </w:r>
      <w:r>
        <w:rPr>
          <w:spacing w:val="-5"/>
        </w:rPr>
        <w:t xml:space="preserve"> </w:t>
      </w:r>
      <w:r>
        <w:t>creo</w:t>
      </w:r>
      <w:r>
        <w:rPr>
          <w:spacing w:val="-3"/>
        </w:rPr>
        <w:t xml:space="preserve"> </w:t>
      </w:r>
      <w:r>
        <w:t>que</w:t>
      </w:r>
      <w:r>
        <w:rPr>
          <w:spacing w:val="-1"/>
        </w:rPr>
        <w:t xml:space="preserve"> </w:t>
      </w:r>
      <w:r>
        <w:t>ellos</w:t>
      </w:r>
      <w:r>
        <w:rPr>
          <w:spacing w:val="-3"/>
        </w:rPr>
        <w:t xml:space="preserve"> </w:t>
      </w:r>
      <w:r>
        <w:t>me</w:t>
      </w:r>
      <w:r>
        <w:rPr>
          <w:spacing w:val="-2"/>
        </w:rPr>
        <w:t xml:space="preserve"> </w:t>
      </w:r>
      <w:r>
        <w:t>hicieron</w:t>
      </w:r>
      <w:r>
        <w:rPr>
          <w:spacing w:val="-2"/>
        </w:rPr>
        <w:t xml:space="preserve"> </w:t>
      </w:r>
      <w:r>
        <w:t>eso</w:t>
      </w:r>
      <w:r>
        <w:rPr>
          <w:spacing w:val="-3"/>
        </w:rPr>
        <w:t xml:space="preserve"> </w:t>
      </w:r>
      <w:r>
        <w:t>porque</w:t>
      </w:r>
      <w:r>
        <w:rPr>
          <w:spacing w:val="-2"/>
        </w:rPr>
        <w:t xml:space="preserve"> </w:t>
      </w:r>
      <w:r>
        <w:t>era</w:t>
      </w:r>
      <w:r>
        <w:rPr>
          <w:spacing w:val="-1"/>
        </w:rPr>
        <w:t xml:space="preserve"> </w:t>
      </w:r>
      <w:r>
        <w:t>negra,</w:t>
      </w:r>
      <w:r>
        <w:rPr>
          <w:spacing w:val="-3"/>
        </w:rPr>
        <w:t xml:space="preserve"> </w:t>
      </w:r>
      <w:r>
        <w:t>creo</w:t>
      </w:r>
      <w:r>
        <w:rPr>
          <w:spacing w:val="-3"/>
        </w:rPr>
        <w:t xml:space="preserve"> </w:t>
      </w:r>
      <w:r>
        <w:t>que</w:t>
      </w:r>
      <w:r>
        <w:rPr>
          <w:spacing w:val="-1"/>
        </w:rPr>
        <w:t xml:space="preserve"> </w:t>
      </w:r>
      <w:r>
        <w:t>él</w:t>
      </w:r>
      <w:r>
        <w:rPr>
          <w:spacing w:val="-2"/>
        </w:rPr>
        <w:t xml:space="preserve"> </w:t>
      </w:r>
      <w:r>
        <w:t>me</w:t>
      </w:r>
      <w:r>
        <w:rPr>
          <w:spacing w:val="-4"/>
        </w:rPr>
        <w:t xml:space="preserve"> </w:t>
      </w:r>
      <w:r>
        <w:t>marcó</w:t>
      </w:r>
      <w:r>
        <w:rPr>
          <w:spacing w:val="-3"/>
        </w:rPr>
        <w:t xml:space="preserve"> </w:t>
      </w:r>
      <w:r>
        <w:t>porque</w:t>
      </w:r>
      <w:r>
        <w:rPr>
          <w:spacing w:val="-2"/>
        </w:rPr>
        <w:t xml:space="preserve"> </w:t>
      </w:r>
      <w:r>
        <w:t>era</w:t>
      </w:r>
      <w:r>
        <w:rPr>
          <w:spacing w:val="-3"/>
        </w:rPr>
        <w:t xml:space="preserve"> </w:t>
      </w:r>
      <w:r>
        <w:rPr>
          <w:spacing w:val="-2"/>
        </w:rPr>
        <w:t>negra,</w:t>
      </w:r>
      <w:r w:rsidR="00F45D4D">
        <w:t xml:space="preserve"> </w:t>
      </w:r>
      <w:r>
        <w:t>y me marcó como si fuera una esclava. En la época de la esclavitud marcaban las mujeres negras, así fue como me marcaron a mí las autodefensas»</w:t>
      </w:r>
      <w:r w:rsidR="00F45D4D">
        <w:rPr>
          <w:rStyle w:val="Refdenotaalpie"/>
        </w:rPr>
        <w:footnoteReference w:id="1105"/>
      </w:r>
      <w:r>
        <w:t>.</w:t>
      </w:r>
    </w:p>
    <w:p w:rsidR="003804AC" w:rsidRDefault="00AF18A5" w:rsidP="00F45D4D">
      <w:r>
        <w:t>Que</w:t>
      </w:r>
      <w:r>
        <w:rPr>
          <w:spacing w:val="-8"/>
        </w:rPr>
        <w:t xml:space="preserve"> </w:t>
      </w:r>
      <w:r>
        <w:t>se</w:t>
      </w:r>
      <w:r>
        <w:rPr>
          <w:spacing w:val="-8"/>
        </w:rPr>
        <w:t xml:space="preserve"> </w:t>
      </w:r>
      <w:r>
        <w:t>aboliera</w:t>
      </w:r>
      <w:r>
        <w:rPr>
          <w:spacing w:val="-8"/>
        </w:rPr>
        <w:t xml:space="preserve"> </w:t>
      </w:r>
      <w:r>
        <w:t>legalmente</w:t>
      </w:r>
      <w:r>
        <w:rPr>
          <w:spacing w:val="-8"/>
        </w:rPr>
        <w:t xml:space="preserve"> </w:t>
      </w:r>
      <w:r>
        <w:t>la</w:t>
      </w:r>
      <w:r>
        <w:rPr>
          <w:spacing w:val="-8"/>
        </w:rPr>
        <w:t xml:space="preserve"> </w:t>
      </w:r>
      <w:r>
        <w:t>esclavitud</w:t>
      </w:r>
      <w:r>
        <w:rPr>
          <w:spacing w:val="-8"/>
        </w:rPr>
        <w:t xml:space="preserve"> </w:t>
      </w:r>
      <w:r>
        <w:t>en</w:t>
      </w:r>
      <w:r>
        <w:rPr>
          <w:spacing w:val="-8"/>
        </w:rPr>
        <w:t xml:space="preserve"> </w:t>
      </w:r>
      <w:r>
        <w:t>1851</w:t>
      </w:r>
      <w:r>
        <w:rPr>
          <w:spacing w:val="-9"/>
        </w:rPr>
        <w:t xml:space="preserve"> </w:t>
      </w:r>
      <w:r>
        <w:t>no</w:t>
      </w:r>
      <w:r>
        <w:rPr>
          <w:spacing w:val="-8"/>
        </w:rPr>
        <w:t xml:space="preserve"> </w:t>
      </w:r>
      <w:r>
        <w:t>hizo</w:t>
      </w:r>
      <w:r>
        <w:rPr>
          <w:spacing w:val="-8"/>
        </w:rPr>
        <w:t xml:space="preserve"> </w:t>
      </w:r>
      <w:r>
        <w:t>que</w:t>
      </w:r>
      <w:r>
        <w:rPr>
          <w:spacing w:val="-10"/>
        </w:rPr>
        <w:t xml:space="preserve"> </w:t>
      </w:r>
      <w:r>
        <w:t>desapareciera</w:t>
      </w:r>
      <w:r>
        <w:rPr>
          <w:spacing w:val="-8"/>
        </w:rPr>
        <w:t xml:space="preserve"> </w:t>
      </w:r>
      <w:r>
        <w:t>la</w:t>
      </w:r>
      <w:r>
        <w:rPr>
          <w:spacing w:val="-9"/>
        </w:rPr>
        <w:t xml:space="preserve"> </w:t>
      </w:r>
      <w:r>
        <w:t>idea</w:t>
      </w:r>
      <w:r>
        <w:rPr>
          <w:spacing w:val="-8"/>
        </w:rPr>
        <w:t xml:space="preserve"> </w:t>
      </w:r>
      <w:r>
        <w:t>de</w:t>
      </w:r>
      <w:r>
        <w:rPr>
          <w:spacing w:val="-9"/>
        </w:rPr>
        <w:t xml:space="preserve"> </w:t>
      </w:r>
      <w:r>
        <w:t>que los cuerpos pueden ser marcados, ultrajados y violentados. Y también dentro de las estructuras</w:t>
      </w:r>
      <w:r>
        <w:rPr>
          <w:spacing w:val="65"/>
          <w:w w:val="150"/>
        </w:rPr>
        <w:t xml:space="preserve"> </w:t>
      </w:r>
      <w:r>
        <w:t>armadas</w:t>
      </w:r>
      <w:r>
        <w:rPr>
          <w:spacing w:val="67"/>
          <w:w w:val="150"/>
        </w:rPr>
        <w:t xml:space="preserve"> </w:t>
      </w:r>
      <w:r>
        <w:t>esta</w:t>
      </w:r>
      <w:r>
        <w:rPr>
          <w:spacing w:val="67"/>
          <w:w w:val="150"/>
        </w:rPr>
        <w:t xml:space="preserve"> </w:t>
      </w:r>
      <w:r>
        <w:t>idea</w:t>
      </w:r>
      <w:r>
        <w:rPr>
          <w:spacing w:val="68"/>
          <w:w w:val="150"/>
        </w:rPr>
        <w:t xml:space="preserve"> </w:t>
      </w:r>
      <w:r>
        <w:t>se</w:t>
      </w:r>
      <w:r>
        <w:rPr>
          <w:spacing w:val="67"/>
          <w:w w:val="150"/>
        </w:rPr>
        <w:t xml:space="preserve"> </w:t>
      </w:r>
      <w:r>
        <w:t>incubó</w:t>
      </w:r>
      <w:r>
        <w:rPr>
          <w:spacing w:val="67"/>
          <w:w w:val="150"/>
        </w:rPr>
        <w:t xml:space="preserve"> </w:t>
      </w:r>
      <w:r>
        <w:t>y</w:t>
      </w:r>
      <w:r>
        <w:rPr>
          <w:spacing w:val="67"/>
          <w:w w:val="150"/>
        </w:rPr>
        <w:t xml:space="preserve"> </w:t>
      </w:r>
      <w:r>
        <w:t>explotó</w:t>
      </w:r>
      <w:r>
        <w:rPr>
          <w:spacing w:val="68"/>
          <w:w w:val="150"/>
        </w:rPr>
        <w:t xml:space="preserve"> </w:t>
      </w:r>
      <w:r>
        <w:t>por</w:t>
      </w:r>
      <w:r>
        <w:rPr>
          <w:spacing w:val="66"/>
          <w:w w:val="150"/>
        </w:rPr>
        <w:t xml:space="preserve"> </w:t>
      </w:r>
      <w:r>
        <w:t>parte</w:t>
      </w:r>
      <w:r>
        <w:rPr>
          <w:spacing w:val="67"/>
          <w:w w:val="150"/>
        </w:rPr>
        <w:t xml:space="preserve"> </w:t>
      </w:r>
      <w:r>
        <w:t>de</w:t>
      </w:r>
      <w:r>
        <w:rPr>
          <w:spacing w:val="67"/>
          <w:w w:val="150"/>
        </w:rPr>
        <w:t xml:space="preserve"> </w:t>
      </w:r>
      <w:r>
        <w:t>comandantes</w:t>
      </w:r>
      <w:r>
        <w:rPr>
          <w:spacing w:val="68"/>
          <w:w w:val="150"/>
        </w:rPr>
        <w:t xml:space="preserve"> </w:t>
      </w:r>
      <w:r>
        <w:rPr>
          <w:spacing w:val="-5"/>
        </w:rPr>
        <w:t>que</w:t>
      </w:r>
      <w:r w:rsidR="00F45D4D">
        <w:t xml:space="preserve"> </w:t>
      </w:r>
      <w:r>
        <w:t xml:space="preserve">«menospreciaban» al pueblo negro. Emiro Correa Viveros, alías Convivir y exintegrante de las AUC, contó cómo Rodrigo Mercado </w:t>
      </w:r>
      <w:proofErr w:type="spellStart"/>
      <w:r>
        <w:t>Pelufo</w:t>
      </w:r>
      <w:proofErr w:type="spellEnd"/>
      <w:r>
        <w:t>, alías Cadena, los maltrataba:</w:t>
      </w:r>
    </w:p>
    <w:p w:rsidR="003804AC" w:rsidRDefault="00AF18A5" w:rsidP="00F45D4D">
      <w:r>
        <w:t>«[A] todo el que podía maltratar que fuera negro, lo maltrataba nada más por ser negro, porque</w:t>
      </w:r>
      <w:r>
        <w:rPr>
          <w:spacing w:val="-6"/>
        </w:rPr>
        <w:t xml:space="preserve"> </w:t>
      </w:r>
      <w:r>
        <w:t>él</w:t>
      </w:r>
      <w:r>
        <w:rPr>
          <w:spacing w:val="-5"/>
        </w:rPr>
        <w:t xml:space="preserve"> </w:t>
      </w:r>
      <w:r>
        <w:t>decía</w:t>
      </w:r>
      <w:r>
        <w:rPr>
          <w:spacing w:val="-5"/>
        </w:rPr>
        <w:t xml:space="preserve"> </w:t>
      </w:r>
      <w:r>
        <w:t>que</w:t>
      </w:r>
      <w:r>
        <w:rPr>
          <w:spacing w:val="-6"/>
        </w:rPr>
        <w:t xml:space="preserve"> </w:t>
      </w:r>
      <w:r>
        <w:t>todos</w:t>
      </w:r>
      <w:r>
        <w:rPr>
          <w:spacing w:val="-5"/>
        </w:rPr>
        <w:t xml:space="preserve"> </w:t>
      </w:r>
      <w:r>
        <w:t>los</w:t>
      </w:r>
      <w:r>
        <w:rPr>
          <w:spacing w:val="-5"/>
        </w:rPr>
        <w:t xml:space="preserve"> </w:t>
      </w:r>
      <w:r>
        <w:t>negros</w:t>
      </w:r>
      <w:r>
        <w:rPr>
          <w:spacing w:val="-6"/>
        </w:rPr>
        <w:t xml:space="preserve"> </w:t>
      </w:r>
      <w:r>
        <w:t>eran</w:t>
      </w:r>
      <w:r>
        <w:rPr>
          <w:spacing w:val="-5"/>
        </w:rPr>
        <w:t xml:space="preserve"> </w:t>
      </w:r>
      <w:r>
        <w:t>iguales,</w:t>
      </w:r>
      <w:r>
        <w:rPr>
          <w:spacing w:val="-6"/>
        </w:rPr>
        <w:t xml:space="preserve"> </w:t>
      </w:r>
      <w:r>
        <w:t>y</w:t>
      </w:r>
      <w:r>
        <w:rPr>
          <w:spacing w:val="-5"/>
        </w:rPr>
        <w:t xml:space="preserve"> </w:t>
      </w:r>
      <w:r>
        <w:t>eran</w:t>
      </w:r>
      <w:r>
        <w:rPr>
          <w:spacing w:val="-5"/>
        </w:rPr>
        <w:t xml:space="preserve"> </w:t>
      </w:r>
      <w:r>
        <w:t>flojos,</w:t>
      </w:r>
      <w:r>
        <w:rPr>
          <w:spacing w:val="-5"/>
        </w:rPr>
        <w:t xml:space="preserve"> </w:t>
      </w:r>
      <w:r>
        <w:t>y</w:t>
      </w:r>
      <w:r>
        <w:rPr>
          <w:spacing w:val="-5"/>
        </w:rPr>
        <w:t xml:space="preserve"> </w:t>
      </w:r>
      <w:r>
        <w:t>él</w:t>
      </w:r>
      <w:r>
        <w:rPr>
          <w:spacing w:val="-5"/>
        </w:rPr>
        <w:t xml:space="preserve"> </w:t>
      </w:r>
      <w:r>
        <w:t>odiaba</w:t>
      </w:r>
      <w:r>
        <w:rPr>
          <w:spacing w:val="-5"/>
        </w:rPr>
        <w:t xml:space="preserve"> </w:t>
      </w:r>
      <w:r>
        <w:t>la</w:t>
      </w:r>
      <w:r>
        <w:rPr>
          <w:spacing w:val="-5"/>
        </w:rPr>
        <w:t xml:space="preserve"> </w:t>
      </w:r>
      <w:r>
        <w:t>gente</w:t>
      </w:r>
      <w:r>
        <w:rPr>
          <w:spacing w:val="-5"/>
        </w:rPr>
        <w:t xml:space="preserve"> </w:t>
      </w:r>
      <w:r>
        <w:t>floja.</w:t>
      </w:r>
      <w:r>
        <w:rPr>
          <w:spacing w:val="-5"/>
        </w:rPr>
        <w:t xml:space="preserve"> Él,</w:t>
      </w:r>
      <w:r w:rsidR="00F45D4D">
        <w:t xml:space="preserve"> </w:t>
      </w:r>
      <w:r>
        <w:t>¡uh! Sí, a más de uno le pegaba planazos, golpes, patadas. Mejor dicho, la sacaba barata el que le pegara y luego no lo matara»</w:t>
      </w:r>
      <w:r w:rsidR="00F45D4D">
        <w:rPr>
          <w:rStyle w:val="Refdenotaalpie"/>
        </w:rPr>
        <w:footnoteReference w:id="1106"/>
      </w:r>
      <w:r>
        <w:t>.</w:t>
      </w:r>
    </w:p>
    <w:p w:rsidR="003804AC" w:rsidRDefault="00AF18A5" w:rsidP="00F45D4D">
      <w:r>
        <w:t>En</w:t>
      </w:r>
      <w:r>
        <w:rPr>
          <w:spacing w:val="-5"/>
        </w:rPr>
        <w:t xml:space="preserve"> </w:t>
      </w:r>
      <w:r>
        <w:t>una</w:t>
      </w:r>
      <w:r>
        <w:rPr>
          <w:spacing w:val="-5"/>
        </w:rPr>
        <w:t xml:space="preserve"> </w:t>
      </w:r>
      <w:r>
        <w:t>entrevista</w:t>
      </w:r>
      <w:r>
        <w:rPr>
          <w:spacing w:val="-6"/>
        </w:rPr>
        <w:t xml:space="preserve"> </w:t>
      </w:r>
      <w:r>
        <w:t>realizada</w:t>
      </w:r>
      <w:r>
        <w:rPr>
          <w:spacing w:val="-5"/>
        </w:rPr>
        <w:t xml:space="preserve"> </w:t>
      </w:r>
      <w:r>
        <w:t>por</w:t>
      </w:r>
      <w:r>
        <w:rPr>
          <w:spacing w:val="-6"/>
        </w:rPr>
        <w:t xml:space="preserve"> </w:t>
      </w:r>
      <w:r>
        <w:t>la</w:t>
      </w:r>
      <w:r>
        <w:rPr>
          <w:spacing w:val="-5"/>
        </w:rPr>
        <w:t xml:space="preserve"> </w:t>
      </w:r>
      <w:r>
        <w:t>Comisión</w:t>
      </w:r>
      <w:r>
        <w:rPr>
          <w:spacing w:val="-6"/>
        </w:rPr>
        <w:t xml:space="preserve"> </w:t>
      </w:r>
      <w:r>
        <w:t>de</w:t>
      </w:r>
      <w:r>
        <w:rPr>
          <w:spacing w:val="-6"/>
        </w:rPr>
        <w:t xml:space="preserve"> </w:t>
      </w:r>
      <w:r>
        <w:t>la</w:t>
      </w:r>
      <w:r>
        <w:rPr>
          <w:spacing w:val="-6"/>
        </w:rPr>
        <w:t xml:space="preserve"> </w:t>
      </w:r>
      <w:r>
        <w:t>Verdad</w:t>
      </w:r>
      <w:r>
        <w:rPr>
          <w:spacing w:val="-5"/>
        </w:rPr>
        <w:t xml:space="preserve"> </w:t>
      </w:r>
      <w:r>
        <w:t>se</w:t>
      </w:r>
      <w:r>
        <w:rPr>
          <w:spacing w:val="-6"/>
        </w:rPr>
        <w:t xml:space="preserve"> </w:t>
      </w:r>
      <w:r>
        <w:t>explica</w:t>
      </w:r>
      <w:r>
        <w:rPr>
          <w:spacing w:val="-6"/>
        </w:rPr>
        <w:t xml:space="preserve"> </w:t>
      </w:r>
      <w:r>
        <w:t>que</w:t>
      </w:r>
      <w:r>
        <w:rPr>
          <w:spacing w:val="-5"/>
        </w:rPr>
        <w:t xml:space="preserve"> </w:t>
      </w:r>
      <w:r>
        <w:t>fue</w:t>
      </w:r>
      <w:r>
        <w:rPr>
          <w:spacing w:val="-5"/>
        </w:rPr>
        <w:t xml:space="preserve"> </w:t>
      </w:r>
      <w:r>
        <w:t>en</w:t>
      </w:r>
      <w:r>
        <w:rPr>
          <w:spacing w:val="-5"/>
        </w:rPr>
        <w:t xml:space="preserve"> </w:t>
      </w:r>
      <w:r>
        <w:t>el</w:t>
      </w:r>
      <w:r>
        <w:rPr>
          <w:spacing w:val="-4"/>
        </w:rPr>
        <w:t xml:space="preserve"> </w:t>
      </w:r>
      <w:r>
        <w:t>proceso de</w:t>
      </w:r>
      <w:r>
        <w:rPr>
          <w:spacing w:val="-8"/>
        </w:rPr>
        <w:t xml:space="preserve"> </w:t>
      </w:r>
      <w:r>
        <w:t>convertir</w:t>
      </w:r>
      <w:r>
        <w:rPr>
          <w:spacing w:val="-6"/>
        </w:rPr>
        <w:t xml:space="preserve"> </w:t>
      </w:r>
      <w:r>
        <w:t>a</w:t>
      </w:r>
      <w:r>
        <w:rPr>
          <w:spacing w:val="-5"/>
        </w:rPr>
        <w:t xml:space="preserve"> </w:t>
      </w:r>
      <w:r>
        <w:t>las</w:t>
      </w:r>
      <w:r>
        <w:rPr>
          <w:spacing w:val="-6"/>
        </w:rPr>
        <w:t xml:space="preserve"> </w:t>
      </w:r>
      <w:r>
        <w:t>personas</w:t>
      </w:r>
      <w:r>
        <w:rPr>
          <w:spacing w:val="-5"/>
        </w:rPr>
        <w:t xml:space="preserve"> </w:t>
      </w:r>
      <w:r>
        <w:t>en</w:t>
      </w:r>
      <w:r>
        <w:rPr>
          <w:spacing w:val="-5"/>
        </w:rPr>
        <w:t xml:space="preserve"> </w:t>
      </w:r>
      <w:r>
        <w:t>objetos</w:t>
      </w:r>
      <w:r>
        <w:rPr>
          <w:spacing w:val="-8"/>
        </w:rPr>
        <w:t xml:space="preserve"> </w:t>
      </w:r>
      <w:r>
        <w:t>que</w:t>
      </w:r>
      <w:r>
        <w:rPr>
          <w:spacing w:val="-5"/>
        </w:rPr>
        <w:t xml:space="preserve"> </w:t>
      </w:r>
      <w:r>
        <w:t>los</w:t>
      </w:r>
      <w:r>
        <w:rPr>
          <w:spacing w:val="-6"/>
        </w:rPr>
        <w:t xml:space="preserve"> </w:t>
      </w:r>
      <w:r>
        <w:t>grupos</w:t>
      </w:r>
      <w:r>
        <w:rPr>
          <w:spacing w:val="-5"/>
        </w:rPr>
        <w:t xml:space="preserve"> </w:t>
      </w:r>
      <w:r>
        <w:t>armados</w:t>
      </w:r>
      <w:r>
        <w:rPr>
          <w:spacing w:val="-6"/>
        </w:rPr>
        <w:t xml:space="preserve"> </w:t>
      </w:r>
      <w:r>
        <w:t>justificaron</w:t>
      </w:r>
      <w:r>
        <w:rPr>
          <w:spacing w:val="-5"/>
        </w:rPr>
        <w:t xml:space="preserve"> </w:t>
      </w:r>
      <w:r>
        <w:t>distintas</w:t>
      </w:r>
      <w:r>
        <w:rPr>
          <w:spacing w:val="-6"/>
        </w:rPr>
        <w:t xml:space="preserve"> </w:t>
      </w:r>
      <w:r>
        <w:t>violencias:</w:t>
      </w:r>
    </w:p>
    <w:p w:rsidR="003804AC" w:rsidRDefault="00AF18A5" w:rsidP="00F45D4D">
      <w:r>
        <w:lastRenderedPageBreak/>
        <w:t>«Tú</w:t>
      </w:r>
      <w:r>
        <w:rPr>
          <w:spacing w:val="-9"/>
        </w:rPr>
        <w:t xml:space="preserve"> </w:t>
      </w:r>
      <w:r>
        <w:t>encuentras</w:t>
      </w:r>
      <w:r>
        <w:rPr>
          <w:spacing w:val="-9"/>
        </w:rPr>
        <w:t xml:space="preserve"> </w:t>
      </w:r>
      <w:r>
        <w:t>que</w:t>
      </w:r>
      <w:r>
        <w:rPr>
          <w:spacing w:val="-10"/>
        </w:rPr>
        <w:t xml:space="preserve"> </w:t>
      </w:r>
      <w:r>
        <w:t>la</w:t>
      </w:r>
      <w:r>
        <w:rPr>
          <w:spacing w:val="-10"/>
        </w:rPr>
        <w:t xml:space="preserve"> </w:t>
      </w:r>
      <w:r>
        <w:t>forma</w:t>
      </w:r>
      <w:r>
        <w:rPr>
          <w:spacing w:val="-9"/>
        </w:rPr>
        <w:t xml:space="preserve"> </w:t>
      </w:r>
      <w:r>
        <w:t>de</w:t>
      </w:r>
      <w:r>
        <w:rPr>
          <w:spacing w:val="-9"/>
        </w:rPr>
        <w:t xml:space="preserve"> </w:t>
      </w:r>
      <w:r>
        <w:t>victimización</w:t>
      </w:r>
      <w:r>
        <w:rPr>
          <w:spacing w:val="-11"/>
        </w:rPr>
        <w:t xml:space="preserve"> </w:t>
      </w:r>
      <w:r>
        <w:t>fue</w:t>
      </w:r>
      <w:r>
        <w:rPr>
          <w:spacing w:val="-9"/>
        </w:rPr>
        <w:t xml:space="preserve"> </w:t>
      </w:r>
      <w:r>
        <w:t>muy</w:t>
      </w:r>
      <w:r>
        <w:rPr>
          <w:spacing w:val="-9"/>
        </w:rPr>
        <w:t xml:space="preserve"> </w:t>
      </w:r>
      <w:r>
        <w:t>diferente</w:t>
      </w:r>
      <w:r>
        <w:rPr>
          <w:spacing w:val="-9"/>
        </w:rPr>
        <w:t xml:space="preserve"> </w:t>
      </w:r>
      <w:r>
        <w:t>en</w:t>
      </w:r>
      <w:r>
        <w:rPr>
          <w:spacing w:val="-11"/>
        </w:rPr>
        <w:t xml:space="preserve"> </w:t>
      </w:r>
      <w:r>
        <w:t>unas</w:t>
      </w:r>
      <w:r>
        <w:rPr>
          <w:spacing w:val="-10"/>
        </w:rPr>
        <w:t xml:space="preserve"> </w:t>
      </w:r>
      <w:r>
        <w:t>y</w:t>
      </w:r>
      <w:r>
        <w:rPr>
          <w:spacing w:val="-9"/>
        </w:rPr>
        <w:t xml:space="preserve"> </w:t>
      </w:r>
      <w:r>
        <w:t>otras.</w:t>
      </w:r>
      <w:r>
        <w:rPr>
          <w:spacing w:val="-9"/>
        </w:rPr>
        <w:t xml:space="preserve"> </w:t>
      </w:r>
      <w:r>
        <w:t>Digamos que</w:t>
      </w:r>
      <w:r>
        <w:rPr>
          <w:spacing w:val="-1"/>
        </w:rPr>
        <w:t xml:space="preserve"> </w:t>
      </w:r>
      <w:r>
        <w:t>la</w:t>
      </w:r>
      <w:r>
        <w:rPr>
          <w:spacing w:val="-1"/>
        </w:rPr>
        <w:t xml:space="preserve"> </w:t>
      </w:r>
      <w:r>
        <w:t>sevicia</w:t>
      </w:r>
      <w:r>
        <w:rPr>
          <w:spacing w:val="-1"/>
        </w:rPr>
        <w:t xml:space="preserve"> </w:t>
      </w:r>
      <w:r>
        <w:t>y,</w:t>
      </w:r>
      <w:r>
        <w:rPr>
          <w:spacing w:val="-1"/>
        </w:rPr>
        <w:t xml:space="preserve"> </w:t>
      </w:r>
      <w:r>
        <w:t>no</w:t>
      </w:r>
      <w:r>
        <w:rPr>
          <w:spacing w:val="-1"/>
        </w:rPr>
        <w:t xml:space="preserve"> </w:t>
      </w:r>
      <w:r>
        <w:t>sé</w:t>
      </w:r>
      <w:r>
        <w:rPr>
          <w:spacing w:val="-1"/>
        </w:rPr>
        <w:t xml:space="preserve"> </w:t>
      </w:r>
      <w:r>
        <w:t>cómo</w:t>
      </w:r>
      <w:r>
        <w:rPr>
          <w:spacing w:val="-1"/>
        </w:rPr>
        <w:t xml:space="preserve"> </w:t>
      </w:r>
      <w:r>
        <w:t>expresarlo,</w:t>
      </w:r>
      <w:r>
        <w:rPr>
          <w:spacing w:val="-1"/>
        </w:rPr>
        <w:t xml:space="preserve"> </w:t>
      </w:r>
      <w:r>
        <w:t>como</w:t>
      </w:r>
      <w:r>
        <w:rPr>
          <w:spacing w:val="-1"/>
        </w:rPr>
        <w:t xml:space="preserve"> </w:t>
      </w:r>
      <w:r>
        <w:t>el</w:t>
      </w:r>
      <w:r>
        <w:rPr>
          <w:spacing w:val="-1"/>
        </w:rPr>
        <w:t xml:space="preserve"> </w:t>
      </w:r>
      <w:r>
        <w:t>daño</w:t>
      </w:r>
      <w:r>
        <w:rPr>
          <w:spacing w:val="-1"/>
        </w:rPr>
        <w:t xml:space="preserve"> </w:t>
      </w:r>
      <w:r>
        <w:t>en</w:t>
      </w:r>
      <w:r>
        <w:rPr>
          <w:spacing w:val="-1"/>
        </w:rPr>
        <w:t xml:space="preserve"> </w:t>
      </w:r>
      <w:r>
        <w:t>sí</w:t>
      </w:r>
      <w:r>
        <w:rPr>
          <w:spacing w:val="-1"/>
        </w:rPr>
        <w:t xml:space="preserve"> </w:t>
      </w:r>
      <w:r>
        <w:t>mismo,</w:t>
      </w:r>
      <w:r>
        <w:rPr>
          <w:spacing w:val="-1"/>
        </w:rPr>
        <w:t xml:space="preserve"> </w:t>
      </w:r>
      <w:r>
        <w:t>o</w:t>
      </w:r>
      <w:r>
        <w:rPr>
          <w:spacing w:val="-1"/>
        </w:rPr>
        <w:t xml:space="preserve"> </w:t>
      </w:r>
      <w:r>
        <w:t>sea,</w:t>
      </w:r>
      <w:r>
        <w:rPr>
          <w:spacing w:val="-1"/>
        </w:rPr>
        <w:t xml:space="preserve"> </w:t>
      </w:r>
      <w:r>
        <w:t>como</w:t>
      </w:r>
      <w:r>
        <w:rPr>
          <w:spacing w:val="-1"/>
        </w:rPr>
        <w:t xml:space="preserve"> </w:t>
      </w:r>
      <w:r>
        <w:t>la</w:t>
      </w:r>
      <w:r>
        <w:rPr>
          <w:spacing w:val="-1"/>
        </w:rPr>
        <w:t xml:space="preserve"> </w:t>
      </w:r>
      <w:r>
        <w:t>forma</w:t>
      </w:r>
      <w:r>
        <w:rPr>
          <w:spacing w:val="-1"/>
        </w:rPr>
        <w:t xml:space="preserve"> </w:t>
      </w:r>
      <w:r>
        <w:t>en la que yo desarrollaba la violencia, era distinta. Podían ser más crueles y dañinos y más no sé</w:t>
      </w:r>
      <w:r>
        <w:rPr>
          <w:spacing w:val="-4"/>
        </w:rPr>
        <w:t xml:space="preserve"> </w:t>
      </w:r>
      <w:r>
        <w:t>(…),</w:t>
      </w:r>
      <w:r>
        <w:rPr>
          <w:spacing w:val="-5"/>
        </w:rPr>
        <w:t xml:space="preserve"> </w:t>
      </w:r>
      <w:r>
        <w:t>esas</w:t>
      </w:r>
      <w:r>
        <w:rPr>
          <w:spacing w:val="-5"/>
        </w:rPr>
        <w:t xml:space="preserve"> </w:t>
      </w:r>
      <w:r>
        <w:t>cosas</w:t>
      </w:r>
      <w:r>
        <w:rPr>
          <w:spacing w:val="-4"/>
        </w:rPr>
        <w:t xml:space="preserve"> </w:t>
      </w:r>
      <w:r>
        <w:t>que</w:t>
      </w:r>
      <w:r>
        <w:rPr>
          <w:spacing w:val="-5"/>
        </w:rPr>
        <w:t xml:space="preserve"> </w:t>
      </w:r>
      <w:r>
        <w:t>le</w:t>
      </w:r>
      <w:r>
        <w:rPr>
          <w:spacing w:val="-5"/>
        </w:rPr>
        <w:t xml:space="preserve"> </w:t>
      </w:r>
      <w:r>
        <w:t>hacían</w:t>
      </w:r>
      <w:r>
        <w:rPr>
          <w:spacing w:val="-5"/>
        </w:rPr>
        <w:t xml:space="preserve"> </w:t>
      </w:r>
      <w:r>
        <w:t>a</w:t>
      </w:r>
      <w:r>
        <w:rPr>
          <w:spacing w:val="-3"/>
        </w:rPr>
        <w:t xml:space="preserve"> </w:t>
      </w:r>
      <w:r>
        <w:t>las</w:t>
      </w:r>
      <w:r>
        <w:rPr>
          <w:spacing w:val="-5"/>
        </w:rPr>
        <w:t xml:space="preserve"> </w:t>
      </w:r>
      <w:r>
        <w:t>comunidades</w:t>
      </w:r>
      <w:r>
        <w:rPr>
          <w:spacing w:val="-3"/>
        </w:rPr>
        <w:t xml:space="preserve"> </w:t>
      </w:r>
      <w:r>
        <w:t>negras</w:t>
      </w:r>
      <w:r>
        <w:rPr>
          <w:spacing w:val="-4"/>
        </w:rPr>
        <w:t xml:space="preserve"> </w:t>
      </w:r>
      <w:r>
        <w:t>no</w:t>
      </w:r>
      <w:r>
        <w:rPr>
          <w:spacing w:val="-5"/>
        </w:rPr>
        <w:t xml:space="preserve"> </w:t>
      </w:r>
      <w:r>
        <w:t>se</w:t>
      </w:r>
      <w:r>
        <w:rPr>
          <w:spacing w:val="-4"/>
        </w:rPr>
        <w:t xml:space="preserve"> </w:t>
      </w:r>
      <w:r>
        <w:t>los</w:t>
      </w:r>
      <w:r>
        <w:rPr>
          <w:spacing w:val="-5"/>
        </w:rPr>
        <w:t xml:space="preserve"> </w:t>
      </w:r>
      <w:r>
        <w:t>hacían</w:t>
      </w:r>
      <w:r>
        <w:rPr>
          <w:spacing w:val="-4"/>
        </w:rPr>
        <w:t xml:space="preserve"> </w:t>
      </w:r>
      <w:r>
        <w:t>a</w:t>
      </w:r>
      <w:r>
        <w:rPr>
          <w:spacing w:val="-3"/>
        </w:rPr>
        <w:t xml:space="preserve"> </w:t>
      </w:r>
      <w:r>
        <w:t>otros</w:t>
      </w:r>
      <w:r>
        <w:rPr>
          <w:spacing w:val="-4"/>
        </w:rPr>
        <w:t xml:space="preserve"> </w:t>
      </w:r>
      <w:r>
        <w:t>actores,</w:t>
      </w:r>
      <w:r>
        <w:rPr>
          <w:spacing w:val="-4"/>
        </w:rPr>
        <w:t xml:space="preserve"> </w:t>
      </w:r>
      <w:r>
        <w:t>o lo que les hacían a los pueblos indígenas no se lo hacían al blanco mestizo porque es que estos eran, eran menos valiosos, menos importantes, no iba a haber tanta bulla (…)»</w:t>
      </w:r>
      <w:r w:rsidR="00F45D4D">
        <w:rPr>
          <w:rStyle w:val="Refdenotaalpie"/>
        </w:rPr>
        <w:footnoteReference w:id="1107"/>
      </w:r>
      <w:r>
        <w:t>.</w:t>
      </w:r>
    </w:p>
    <w:p w:rsidR="003804AC" w:rsidRDefault="00AF18A5" w:rsidP="00F45D4D">
      <w:r>
        <w:t>La discriminación y el prejuicio racial conllevaron a la deshumanización de las personas negras, incluso en las filas de los grupos armados:</w:t>
      </w:r>
    </w:p>
    <w:p w:rsidR="003804AC" w:rsidRDefault="00AF18A5" w:rsidP="00F45D4D">
      <w:r>
        <w:t>«Entonces hay maltrato al interior de las instituciones por el hecho de tu ser afro. Los mandos medios y altos no respetan la diferencia y te maltratan a ti por como tú hablas. Te maltratan</w:t>
      </w:r>
      <w:r>
        <w:rPr>
          <w:spacing w:val="9"/>
        </w:rPr>
        <w:t xml:space="preserve"> </w:t>
      </w:r>
      <w:r>
        <w:t>por</w:t>
      </w:r>
      <w:r>
        <w:rPr>
          <w:spacing w:val="11"/>
        </w:rPr>
        <w:t xml:space="preserve"> </w:t>
      </w:r>
      <w:r>
        <w:t>como</w:t>
      </w:r>
      <w:r>
        <w:rPr>
          <w:spacing w:val="9"/>
        </w:rPr>
        <w:t xml:space="preserve"> </w:t>
      </w:r>
      <w:r>
        <w:t>tú</w:t>
      </w:r>
      <w:r>
        <w:rPr>
          <w:spacing w:val="11"/>
        </w:rPr>
        <w:t xml:space="preserve"> </w:t>
      </w:r>
      <w:r>
        <w:t>eres.</w:t>
      </w:r>
      <w:r>
        <w:rPr>
          <w:spacing w:val="11"/>
        </w:rPr>
        <w:t xml:space="preserve"> </w:t>
      </w:r>
      <w:r>
        <w:t>No</w:t>
      </w:r>
      <w:r>
        <w:rPr>
          <w:spacing w:val="11"/>
        </w:rPr>
        <w:t xml:space="preserve"> </w:t>
      </w:r>
      <w:r>
        <w:t>te</w:t>
      </w:r>
      <w:r>
        <w:rPr>
          <w:spacing w:val="10"/>
        </w:rPr>
        <w:t xml:space="preserve"> </w:t>
      </w:r>
      <w:r>
        <w:t>llaman</w:t>
      </w:r>
      <w:r>
        <w:rPr>
          <w:spacing w:val="11"/>
        </w:rPr>
        <w:t xml:space="preserve"> </w:t>
      </w:r>
      <w:r>
        <w:t>por</w:t>
      </w:r>
      <w:r>
        <w:rPr>
          <w:spacing w:val="10"/>
        </w:rPr>
        <w:t xml:space="preserve"> </w:t>
      </w:r>
      <w:r>
        <w:t>tu</w:t>
      </w:r>
      <w:r>
        <w:rPr>
          <w:spacing w:val="9"/>
        </w:rPr>
        <w:t xml:space="preserve"> </w:t>
      </w:r>
      <w:r>
        <w:t>apellido,</w:t>
      </w:r>
      <w:r>
        <w:rPr>
          <w:spacing w:val="11"/>
        </w:rPr>
        <w:t xml:space="preserve"> </w:t>
      </w:r>
      <w:r>
        <w:t>sino</w:t>
      </w:r>
      <w:r>
        <w:rPr>
          <w:spacing w:val="11"/>
        </w:rPr>
        <w:t xml:space="preserve"> </w:t>
      </w:r>
      <w:r>
        <w:t>“negro,</w:t>
      </w:r>
      <w:r>
        <w:rPr>
          <w:spacing w:val="11"/>
        </w:rPr>
        <w:t xml:space="preserve"> </w:t>
      </w:r>
      <w:r>
        <w:t>venga</w:t>
      </w:r>
      <w:r>
        <w:rPr>
          <w:spacing w:val="11"/>
        </w:rPr>
        <w:t xml:space="preserve"> </w:t>
      </w:r>
      <w:r>
        <w:t>acá</w:t>
      </w:r>
      <w:r>
        <w:rPr>
          <w:spacing w:val="10"/>
        </w:rPr>
        <w:t xml:space="preserve"> </w:t>
      </w:r>
      <w:r>
        <w:t>tal</w:t>
      </w:r>
      <w:r>
        <w:rPr>
          <w:spacing w:val="11"/>
        </w:rPr>
        <w:t xml:space="preserve"> </w:t>
      </w:r>
      <w:r>
        <w:rPr>
          <w:spacing w:val="-2"/>
        </w:rPr>
        <w:t>cosa”,</w:t>
      </w:r>
      <w:r w:rsidR="00F45D4D">
        <w:t xml:space="preserve"> </w:t>
      </w:r>
      <w:r>
        <w:t>“negro”</w:t>
      </w:r>
      <w:r>
        <w:rPr>
          <w:spacing w:val="-10"/>
        </w:rPr>
        <w:t xml:space="preserve"> </w:t>
      </w:r>
      <w:r>
        <w:t>Todo</w:t>
      </w:r>
      <w:r>
        <w:rPr>
          <w:spacing w:val="-9"/>
        </w:rPr>
        <w:t xml:space="preserve"> </w:t>
      </w:r>
      <w:r>
        <w:t>es</w:t>
      </w:r>
      <w:r>
        <w:rPr>
          <w:spacing w:val="-10"/>
        </w:rPr>
        <w:t xml:space="preserve"> </w:t>
      </w:r>
      <w:r>
        <w:t>la</w:t>
      </w:r>
      <w:r>
        <w:rPr>
          <w:spacing w:val="-9"/>
        </w:rPr>
        <w:t xml:space="preserve"> </w:t>
      </w:r>
      <w:r>
        <w:t>palabra</w:t>
      </w:r>
      <w:r>
        <w:rPr>
          <w:spacing w:val="-9"/>
        </w:rPr>
        <w:t xml:space="preserve"> </w:t>
      </w:r>
      <w:r>
        <w:t>negro,</w:t>
      </w:r>
      <w:r>
        <w:rPr>
          <w:spacing w:val="-9"/>
        </w:rPr>
        <w:t xml:space="preserve"> </w:t>
      </w:r>
      <w:r>
        <w:t>que</w:t>
      </w:r>
      <w:r>
        <w:rPr>
          <w:spacing w:val="-9"/>
        </w:rPr>
        <w:t xml:space="preserve"> </w:t>
      </w:r>
      <w:r>
        <w:t>el</w:t>
      </w:r>
      <w:r>
        <w:rPr>
          <w:spacing w:val="-10"/>
        </w:rPr>
        <w:t xml:space="preserve"> </w:t>
      </w:r>
      <w:r>
        <w:t>negro</w:t>
      </w:r>
      <w:r>
        <w:rPr>
          <w:spacing w:val="-11"/>
        </w:rPr>
        <w:t xml:space="preserve"> </w:t>
      </w:r>
      <w:r>
        <w:t>es</w:t>
      </w:r>
      <w:r>
        <w:rPr>
          <w:spacing w:val="-10"/>
        </w:rPr>
        <w:t xml:space="preserve"> </w:t>
      </w:r>
      <w:r>
        <w:t>el</w:t>
      </w:r>
      <w:r>
        <w:rPr>
          <w:spacing w:val="-10"/>
        </w:rPr>
        <w:t xml:space="preserve"> </w:t>
      </w:r>
      <w:r>
        <w:t>sujeto</w:t>
      </w:r>
      <w:r>
        <w:rPr>
          <w:spacing w:val="-11"/>
        </w:rPr>
        <w:t xml:space="preserve"> </w:t>
      </w:r>
      <w:r>
        <w:t>fuerte,</w:t>
      </w:r>
      <w:r>
        <w:rPr>
          <w:spacing w:val="-11"/>
        </w:rPr>
        <w:t xml:space="preserve"> </w:t>
      </w:r>
      <w:r>
        <w:t>que</w:t>
      </w:r>
      <w:r>
        <w:rPr>
          <w:spacing w:val="-9"/>
        </w:rPr>
        <w:t xml:space="preserve"> </w:t>
      </w:r>
      <w:r>
        <w:t>el</w:t>
      </w:r>
      <w:r>
        <w:rPr>
          <w:spacing w:val="-9"/>
        </w:rPr>
        <w:t xml:space="preserve"> </w:t>
      </w:r>
      <w:r>
        <w:t>negro</w:t>
      </w:r>
      <w:r>
        <w:rPr>
          <w:spacing w:val="-9"/>
        </w:rPr>
        <w:t xml:space="preserve"> </w:t>
      </w:r>
      <w:r>
        <w:t>debe</w:t>
      </w:r>
      <w:r>
        <w:rPr>
          <w:spacing w:val="-10"/>
        </w:rPr>
        <w:t xml:space="preserve"> </w:t>
      </w:r>
      <w:r>
        <w:t>aguantar más que</w:t>
      </w:r>
      <w:r>
        <w:rPr>
          <w:spacing w:val="-1"/>
        </w:rPr>
        <w:t xml:space="preserve"> </w:t>
      </w:r>
      <w:r>
        <w:t>los</w:t>
      </w:r>
      <w:r>
        <w:rPr>
          <w:spacing w:val="-1"/>
        </w:rPr>
        <w:t xml:space="preserve"> </w:t>
      </w:r>
      <w:r>
        <w:t>otros soldados porque</w:t>
      </w:r>
      <w:r>
        <w:rPr>
          <w:spacing w:val="-1"/>
        </w:rPr>
        <w:t xml:space="preserve"> </w:t>
      </w:r>
      <w:r>
        <w:t>es</w:t>
      </w:r>
      <w:r>
        <w:rPr>
          <w:spacing w:val="-1"/>
        </w:rPr>
        <w:t xml:space="preserve"> </w:t>
      </w:r>
      <w:r>
        <w:t>negro, y</w:t>
      </w:r>
      <w:r>
        <w:rPr>
          <w:spacing w:val="-1"/>
        </w:rPr>
        <w:t xml:space="preserve"> </w:t>
      </w:r>
      <w:r>
        <w:t>asociamos a</w:t>
      </w:r>
      <w:r>
        <w:rPr>
          <w:spacing w:val="-1"/>
        </w:rPr>
        <w:t xml:space="preserve"> </w:t>
      </w:r>
      <w:r>
        <w:t>los negros</w:t>
      </w:r>
      <w:r>
        <w:rPr>
          <w:spacing w:val="-1"/>
        </w:rPr>
        <w:t xml:space="preserve"> </w:t>
      </w:r>
      <w:r>
        <w:t>con</w:t>
      </w:r>
      <w:r>
        <w:rPr>
          <w:spacing w:val="-1"/>
        </w:rPr>
        <w:t xml:space="preserve"> </w:t>
      </w:r>
      <w:r>
        <w:t>aquel peón</w:t>
      </w:r>
      <w:r>
        <w:rPr>
          <w:spacing w:val="-1"/>
        </w:rPr>
        <w:t xml:space="preserve"> </w:t>
      </w:r>
      <w:r>
        <w:t>fuerte que puede soportar todo como una bestia»</w:t>
      </w:r>
      <w:r w:rsidR="00F45D4D">
        <w:rPr>
          <w:rStyle w:val="Refdenotaalpie"/>
        </w:rPr>
        <w:footnoteReference w:id="1108"/>
      </w:r>
      <w:r>
        <w:t>.</w:t>
      </w:r>
    </w:p>
    <w:p w:rsidR="003804AC" w:rsidRDefault="00AF18A5" w:rsidP="00F45D4D">
      <w:r>
        <w:t xml:space="preserve">También en los testimonios del pueblo </w:t>
      </w:r>
      <w:proofErr w:type="spellStart"/>
      <w:r>
        <w:t>rrom</w:t>
      </w:r>
      <w:proofErr w:type="spellEnd"/>
      <w:r>
        <w:t xml:space="preserve"> se evidencia cómo estos imaginarios incentivaron</w:t>
      </w:r>
      <w:r>
        <w:rPr>
          <w:spacing w:val="-3"/>
        </w:rPr>
        <w:t xml:space="preserve"> </w:t>
      </w:r>
      <w:r>
        <w:t>procesos</w:t>
      </w:r>
      <w:r>
        <w:rPr>
          <w:spacing w:val="-2"/>
        </w:rPr>
        <w:t xml:space="preserve"> </w:t>
      </w:r>
      <w:r>
        <w:t>de</w:t>
      </w:r>
      <w:r>
        <w:rPr>
          <w:spacing w:val="-3"/>
        </w:rPr>
        <w:t xml:space="preserve"> </w:t>
      </w:r>
      <w:r>
        <w:t>estigmatización</w:t>
      </w:r>
      <w:r>
        <w:rPr>
          <w:spacing w:val="-2"/>
        </w:rPr>
        <w:t xml:space="preserve"> </w:t>
      </w:r>
      <w:r>
        <w:t>de</w:t>
      </w:r>
      <w:r>
        <w:rPr>
          <w:spacing w:val="-2"/>
        </w:rPr>
        <w:t xml:space="preserve"> </w:t>
      </w:r>
      <w:r>
        <w:t>su</w:t>
      </w:r>
      <w:r>
        <w:rPr>
          <w:spacing w:val="-2"/>
        </w:rPr>
        <w:t xml:space="preserve"> </w:t>
      </w:r>
      <w:r>
        <w:t>cultura</w:t>
      </w:r>
      <w:r>
        <w:rPr>
          <w:spacing w:val="-2"/>
        </w:rPr>
        <w:t xml:space="preserve"> </w:t>
      </w:r>
      <w:r>
        <w:t>y</w:t>
      </w:r>
      <w:r>
        <w:rPr>
          <w:spacing w:val="-2"/>
        </w:rPr>
        <w:t xml:space="preserve"> </w:t>
      </w:r>
      <w:r>
        <w:t>generaron</w:t>
      </w:r>
      <w:r>
        <w:rPr>
          <w:spacing w:val="-2"/>
        </w:rPr>
        <w:t xml:space="preserve"> </w:t>
      </w:r>
      <w:r>
        <w:t>una</w:t>
      </w:r>
      <w:r>
        <w:rPr>
          <w:spacing w:val="-3"/>
        </w:rPr>
        <w:t xml:space="preserve"> </w:t>
      </w:r>
      <w:r>
        <w:t>fuerte</w:t>
      </w:r>
      <w:r>
        <w:rPr>
          <w:spacing w:val="-3"/>
        </w:rPr>
        <w:t xml:space="preserve"> </w:t>
      </w:r>
      <w:r>
        <w:t>restricción</w:t>
      </w:r>
      <w:r>
        <w:rPr>
          <w:spacing w:val="-2"/>
        </w:rPr>
        <w:t xml:space="preserve"> </w:t>
      </w:r>
      <w:r>
        <w:t>de su</w:t>
      </w:r>
      <w:r>
        <w:rPr>
          <w:spacing w:val="-15"/>
        </w:rPr>
        <w:t xml:space="preserve"> </w:t>
      </w:r>
      <w:r>
        <w:t>práctica</w:t>
      </w:r>
      <w:r>
        <w:rPr>
          <w:spacing w:val="-15"/>
        </w:rPr>
        <w:t xml:space="preserve"> </w:t>
      </w:r>
      <w:r>
        <w:t>de</w:t>
      </w:r>
      <w:r>
        <w:rPr>
          <w:spacing w:val="-15"/>
        </w:rPr>
        <w:t xml:space="preserve"> </w:t>
      </w:r>
      <w:r>
        <w:t>itinerancia</w:t>
      </w:r>
      <w:r>
        <w:rPr>
          <w:spacing w:val="-15"/>
        </w:rPr>
        <w:t xml:space="preserve"> </w:t>
      </w:r>
      <w:r>
        <w:t>por</w:t>
      </w:r>
      <w:r>
        <w:rPr>
          <w:spacing w:val="-15"/>
        </w:rPr>
        <w:t xml:space="preserve"> </w:t>
      </w:r>
      <w:r>
        <w:t>los</w:t>
      </w:r>
      <w:r>
        <w:rPr>
          <w:spacing w:val="-15"/>
        </w:rPr>
        <w:t xml:space="preserve"> </w:t>
      </w:r>
      <w:r>
        <w:t>riesgos</w:t>
      </w:r>
      <w:r>
        <w:rPr>
          <w:spacing w:val="-15"/>
        </w:rPr>
        <w:t xml:space="preserve"> </w:t>
      </w:r>
      <w:r>
        <w:t>que</w:t>
      </w:r>
      <w:r>
        <w:rPr>
          <w:spacing w:val="-15"/>
        </w:rPr>
        <w:t xml:space="preserve"> </w:t>
      </w:r>
      <w:r>
        <w:t>significaba</w:t>
      </w:r>
      <w:r>
        <w:rPr>
          <w:spacing w:val="-15"/>
        </w:rPr>
        <w:t xml:space="preserve"> </w:t>
      </w:r>
      <w:r>
        <w:t>desplazarse</w:t>
      </w:r>
      <w:r>
        <w:rPr>
          <w:spacing w:val="-15"/>
        </w:rPr>
        <w:t xml:space="preserve"> </w:t>
      </w:r>
      <w:r>
        <w:t>por</w:t>
      </w:r>
      <w:r>
        <w:rPr>
          <w:spacing w:val="-15"/>
        </w:rPr>
        <w:t xml:space="preserve"> </w:t>
      </w:r>
      <w:r>
        <w:t>el</w:t>
      </w:r>
      <w:r>
        <w:rPr>
          <w:spacing w:val="-15"/>
        </w:rPr>
        <w:t xml:space="preserve"> </w:t>
      </w:r>
      <w:r>
        <w:t>territorio</w:t>
      </w:r>
      <w:r>
        <w:rPr>
          <w:spacing w:val="-15"/>
        </w:rPr>
        <w:t xml:space="preserve"> </w:t>
      </w:r>
      <w:r>
        <w:t>nacional. Las</w:t>
      </w:r>
      <w:r>
        <w:rPr>
          <w:spacing w:val="-15"/>
        </w:rPr>
        <w:t xml:space="preserve"> </w:t>
      </w:r>
      <w:r>
        <w:t>mujeres</w:t>
      </w:r>
      <w:r>
        <w:rPr>
          <w:spacing w:val="-15"/>
        </w:rPr>
        <w:t xml:space="preserve"> </w:t>
      </w:r>
      <w:r>
        <w:t>eran</w:t>
      </w:r>
      <w:r>
        <w:rPr>
          <w:spacing w:val="-15"/>
        </w:rPr>
        <w:t xml:space="preserve"> </w:t>
      </w:r>
      <w:r>
        <w:t>perseguidas</w:t>
      </w:r>
      <w:r>
        <w:rPr>
          <w:spacing w:val="-15"/>
        </w:rPr>
        <w:t xml:space="preserve"> </w:t>
      </w:r>
      <w:r>
        <w:t>por</w:t>
      </w:r>
      <w:r>
        <w:rPr>
          <w:spacing w:val="-15"/>
        </w:rPr>
        <w:t xml:space="preserve"> </w:t>
      </w:r>
      <w:r>
        <w:t>leer</w:t>
      </w:r>
      <w:r>
        <w:rPr>
          <w:spacing w:val="-15"/>
        </w:rPr>
        <w:t xml:space="preserve"> </w:t>
      </w:r>
      <w:r>
        <w:t>la</w:t>
      </w:r>
      <w:r>
        <w:rPr>
          <w:spacing w:val="-15"/>
        </w:rPr>
        <w:t xml:space="preserve"> </w:t>
      </w:r>
      <w:r>
        <w:t>mano,</w:t>
      </w:r>
      <w:r>
        <w:rPr>
          <w:spacing w:val="-15"/>
        </w:rPr>
        <w:t xml:space="preserve"> </w:t>
      </w:r>
      <w:r>
        <w:t>acusadas</w:t>
      </w:r>
      <w:r>
        <w:rPr>
          <w:spacing w:val="-15"/>
        </w:rPr>
        <w:t xml:space="preserve"> </w:t>
      </w:r>
      <w:r>
        <w:t>de</w:t>
      </w:r>
      <w:r>
        <w:rPr>
          <w:spacing w:val="-15"/>
        </w:rPr>
        <w:t xml:space="preserve"> </w:t>
      </w:r>
      <w:r>
        <w:t>ladronas</w:t>
      </w:r>
      <w:r>
        <w:rPr>
          <w:spacing w:val="-15"/>
        </w:rPr>
        <w:t xml:space="preserve"> </w:t>
      </w:r>
      <w:r>
        <w:t>por</w:t>
      </w:r>
      <w:r>
        <w:rPr>
          <w:spacing w:val="-15"/>
        </w:rPr>
        <w:t xml:space="preserve"> </w:t>
      </w:r>
      <w:r>
        <w:t>ingresar</w:t>
      </w:r>
      <w:r>
        <w:rPr>
          <w:spacing w:val="-15"/>
        </w:rPr>
        <w:t xml:space="preserve"> </w:t>
      </w:r>
      <w:r>
        <w:t>a</w:t>
      </w:r>
      <w:r>
        <w:rPr>
          <w:spacing w:val="-15"/>
        </w:rPr>
        <w:t xml:space="preserve"> </w:t>
      </w:r>
      <w:r>
        <w:t xml:space="preserve">almacenes con sus faldas, y el pueblo en general ha sido catalogado de estafador y de colaborador de los grupos armados, solo por el hecho de </w:t>
      </w:r>
      <w:r>
        <w:lastRenderedPageBreak/>
        <w:t>comerciar sus productos en determinados lugares.</w:t>
      </w:r>
    </w:p>
    <w:p w:rsidR="003804AC" w:rsidRDefault="00AF18A5" w:rsidP="00F45D4D">
      <w:r>
        <w:t>En Colombia, la concepción de los territorios indígenas y negros ha estado vinculada mayoritariamente a tres elementos que se pueden rastrear en la narrativa de dominación colonial: su definición como espacios «baldíos»; la relación entre violencia y economía; el acaparamiento de tierras como sinónimo de riqueza y poder. Estos factores, junto con la adopción de políticas de desposesión territorial, asimilación e integración cultural, y campañas de militarización y de exterminio, han dado lugar a la imposición sistemática de intereses ajenos sobre las formas tradicionales de vida y conservación territorial. Lo que se evidencia en violaciones como el desplazamiento, el despojo, la apropiación y el control de los territorios y ante todo, la destrucción espiritual de estas poblaciones.</w:t>
      </w:r>
    </w:p>
    <w:p w:rsidR="0011361F" w:rsidRDefault="00AF18A5" w:rsidP="00F45D4D">
      <w:r>
        <w:t>En</w:t>
      </w:r>
      <w:r>
        <w:rPr>
          <w:spacing w:val="-2"/>
        </w:rPr>
        <w:t xml:space="preserve"> </w:t>
      </w:r>
      <w:r>
        <w:t>cuanto</w:t>
      </w:r>
      <w:r>
        <w:rPr>
          <w:spacing w:val="-3"/>
        </w:rPr>
        <w:t xml:space="preserve"> </w:t>
      </w:r>
      <w:r>
        <w:t>al</w:t>
      </w:r>
      <w:r>
        <w:rPr>
          <w:spacing w:val="-3"/>
        </w:rPr>
        <w:t xml:space="preserve"> </w:t>
      </w:r>
      <w:r>
        <w:t>primero</w:t>
      </w:r>
      <w:r>
        <w:rPr>
          <w:spacing w:val="-3"/>
        </w:rPr>
        <w:t xml:space="preserve"> </w:t>
      </w:r>
      <w:r>
        <w:t>de</w:t>
      </w:r>
      <w:r>
        <w:rPr>
          <w:spacing w:val="-3"/>
        </w:rPr>
        <w:t xml:space="preserve"> </w:t>
      </w:r>
      <w:r>
        <w:t>ellos,</w:t>
      </w:r>
      <w:r>
        <w:rPr>
          <w:spacing w:val="-3"/>
        </w:rPr>
        <w:t xml:space="preserve"> </w:t>
      </w:r>
      <w:r>
        <w:t>uno</w:t>
      </w:r>
      <w:r>
        <w:rPr>
          <w:spacing w:val="-2"/>
        </w:rPr>
        <w:t xml:space="preserve"> </w:t>
      </w:r>
      <w:r>
        <w:t>de</w:t>
      </w:r>
      <w:r>
        <w:rPr>
          <w:spacing w:val="-3"/>
        </w:rPr>
        <w:t xml:space="preserve"> </w:t>
      </w:r>
      <w:r>
        <w:t>los</w:t>
      </w:r>
      <w:r>
        <w:rPr>
          <w:spacing w:val="-3"/>
        </w:rPr>
        <w:t xml:space="preserve"> </w:t>
      </w:r>
      <w:r>
        <w:t>legados</w:t>
      </w:r>
      <w:r>
        <w:rPr>
          <w:spacing w:val="-3"/>
        </w:rPr>
        <w:t xml:space="preserve"> </w:t>
      </w:r>
      <w:r>
        <w:t>coloniales</w:t>
      </w:r>
      <w:r>
        <w:rPr>
          <w:spacing w:val="-3"/>
        </w:rPr>
        <w:t xml:space="preserve"> </w:t>
      </w:r>
      <w:r>
        <w:t>que</w:t>
      </w:r>
      <w:r>
        <w:rPr>
          <w:spacing w:val="-2"/>
        </w:rPr>
        <w:t xml:space="preserve"> </w:t>
      </w:r>
      <w:r>
        <w:t>ha</w:t>
      </w:r>
      <w:r>
        <w:rPr>
          <w:spacing w:val="-3"/>
        </w:rPr>
        <w:t xml:space="preserve"> </w:t>
      </w:r>
      <w:r>
        <w:t>atravesado</w:t>
      </w:r>
      <w:r>
        <w:rPr>
          <w:spacing w:val="-2"/>
        </w:rPr>
        <w:t xml:space="preserve"> </w:t>
      </w:r>
      <w:r>
        <w:t>la</w:t>
      </w:r>
      <w:r>
        <w:rPr>
          <w:spacing w:val="-2"/>
        </w:rPr>
        <w:t xml:space="preserve"> </w:t>
      </w:r>
      <w:r>
        <w:t>historia de</w:t>
      </w:r>
      <w:r>
        <w:rPr>
          <w:spacing w:val="20"/>
        </w:rPr>
        <w:t xml:space="preserve"> </w:t>
      </w:r>
      <w:r>
        <w:t>marginación,</w:t>
      </w:r>
      <w:r>
        <w:rPr>
          <w:spacing w:val="23"/>
        </w:rPr>
        <w:t xml:space="preserve"> </w:t>
      </w:r>
      <w:r>
        <w:t>exclusión,</w:t>
      </w:r>
      <w:r>
        <w:rPr>
          <w:spacing w:val="23"/>
        </w:rPr>
        <w:t xml:space="preserve"> </w:t>
      </w:r>
      <w:r>
        <w:t>desarraigo,</w:t>
      </w:r>
      <w:r>
        <w:rPr>
          <w:spacing w:val="23"/>
        </w:rPr>
        <w:t xml:space="preserve"> </w:t>
      </w:r>
      <w:r>
        <w:t>violencia</w:t>
      </w:r>
      <w:r>
        <w:rPr>
          <w:spacing w:val="22"/>
        </w:rPr>
        <w:t xml:space="preserve"> </w:t>
      </w:r>
      <w:r>
        <w:t>y</w:t>
      </w:r>
      <w:r>
        <w:rPr>
          <w:spacing w:val="23"/>
        </w:rPr>
        <w:t xml:space="preserve"> </w:t>
      </w:r>
      <w:r>
        <w:t>pobreza</w:t>
      </w:r>
      <w:r>
        <w:rPr>
          <w:spacing w:val="22"/>
        </w:rPr>
        <w:t xml:space="preserve"> </w:t>
      </w:r>
      <w:r>
        <w:t>de</w:t>
      </w:r>
      <w:r>
        <w:rPr>
          <w:spacing w:val="23"/>
        </w:rPr>
        <w:t xml:space="preserve"> </w:t>
      </w:r>
      <w:r>
        <w:t>los</w:t>
      </w:r>
      <w:r>
        <w:rPr>
          <w:spacing w:val="22"/>
        </w:rPr>
        <w:t xml:space="preserve"> </w:t>
      </w:r>
      <w:r>
        <w:t>pueblos</w:t>
      </w:r>
      <w:r>
        <w:rPr>
          <w:spacing w:val="23"/>
        </w:rPr>
        <w:t xml:space="preserve"> </w:t>
      </w:r>
      <w:r>
        <w:t>étnicos</w:t>
      </w:r>
      <w:r>
        <w:rPr>
          <w:spacing w:val="23"/>
        </w:rPr>
        <w:t xml:space="preserve"> </w:t>
      </w:r>
      <w:r>
        <w:t>son</w:t>
      </w:r>
      <w:r>
        <w:rPr>
          <w:spacing w:val="23"/>
        </w:rPr>
        <w:t xml:space="preserve"> </w:t>
      </w:r>
      <w:r>
        <w:rPr>
          <w:spacing w:val="-5"/>
        </w:rPr>
        <w:t>los</w:t>
      </w:r>
      <w:r w:rsidR="00F45D4D">
        <w:t xml:space="preserve"> </w:t>
      </w:r>
      <w:r>
        <w:t>«baldíos»,</w:t>
      </w:r>
      <w:r>
        <w:rPr>
          <w:spacing w:val="-7"/>
        </w:rPr>
        <w:t xml:space="preserve"> </w:t>
      </w:r>
      <w:r>
        <w:t>que</w:t>
      </w:r>
      <w:r>
        <w:rPr>
          <w:spacing w:val="-7"/>
        </w:rPr>
        <w:t xml:space="preserve"> </w:t>
      </w:r>
      <w:r>
        <w:t>se</w:t>
      </w:r>
      <w:r>
        <w:rPr>
          <w:spacing w:val="-7"/>
        </w:rPr>
        <w:t xml:space="preserve"> </w:t>
      </w:r>
      <w:r>
        <w:t>han</w:t>
      </w:r>
      <w:r>
        <w:rPr>
          <w:spacing w:val="-7"/>
        </w:rPr>
        <w:t xml:space="preserve"> </w:t>
      </w:r>
      <w:r>
        <w:t>entendido</w:t>
      </w:r>
      <w:r>
        <w:rPr>
          <w:spacing w:val="-7"/>
        </w:rPr>
        <w:t xml:space="preserve"> </w:t>
      </w:r>
      <w:r>
        <w:t>como</w:t>
      </w:r>
      <w:r>
        <w:rPr>
          <w:spacing w:val="-7"/>
        </w:rPr>
        <w:t xml:space="preserve"> </w:t>
      </w:r>
      <w:r>
        <w:t>territorios</w:t>
      </w:r>
      <w:r>
        <w:rPr>
          <w:spacing w:val="-8"/>
        </w:rPr>
        <w:t xml:space="preserve"> </w:t>
      </w:r>
      <w:r>
        <w:t>disponibles</w:t>
      </w:r>
      <w:r>
        <w:rPr>
          <w:spacing w:val="-8"/>
        </w:rPr>
        <w:t xml:space="preserve"> </w:t>
      </w:r>
      <w:r>
        <w:t>para</w:t>
      </w:r>
      <w:r>
        <w:rPr>
          <w:spacing w:val="-7"/>
        </w:rPr>
        <w:t xml:space="preserve"> </w:t>
      </w:r>
      <w:r>
        <w:t>su</w:t>
      </w:r>
      <w:r>
        <w:rPr>
          <w:spacing w:val="-7"/>
        </w:rPr>
        <w:t xml:space="preserve"> </w:t>
      </w:r>
      <w:r>
        <w:t>explotación.</w:t>
      </w:r>
      <w:r>
        <w:rPr>
          <w:spacing w:val="-7"/>
        </w:rPr>
        <w:t xml:space="preserve"> </w:t>
      </w:r>
      <w:r>
        <w:t>Si</w:t>
      </w:r>
      <w:r>
        <w:rPr>
          <w:spacing w:val="-7"/>
        </w:rPr>
        <w:t xml:space="preserve"> </w:t>
      </w:r>
      <w:r>
        <w:t>bien</w:t>
      </w:r>
      <w:r>
        <w:rPr>
          <w:spacing w:val="-7"/>
        </w:rPr>
        <w:t xml:space="preserve"> </w:t>
      </w:r>
      <w:r>
        <w:t>los derechos sobre territorio de los pueblos étnicos fueron reconocidos en la Constitución de 1991,</w:t>
      </w:r>
      <w:r>
        <w:rPr>
          <w:spacing w:val="-7"/>
        </w:rPr>
        <w:t xml:space="preserve"> </w:t>
      </w:r>
      <w:r>
        <w:t>la</w:t>
      </w:r>
      <w:r>
        <w:rPr>
          <w:spacing w:val="-7"/>
        </w:rPr>
        <w:t xml:space="preserve"> </w:t>
      </w:r>
      <w:r>
        <w:t>visión</w:t>
      </w:r>
      <w:r>
        <w:rPr>
          <w:spacing w:val="-7"/>
        </w:rPr>
        <w:t xml:space="preserve"> </w:t>
      </w:r>
      <w:r>
        <w:t>colonial</w:t>
      </w:r>
      <w:r>
        <w:rPr>
          <w:spacing w:val="-7"/>
        </w:rPr>
        <w:t xml:space="preserve"> </w:t>
      </w:r>
      <w:r>
        <w:t>sigue</w:t>
      </w:r>
      <w:r>
        <w:rPr>
          <w:spacing w:val="-7"/>
        </w:rPr>
        <w:t xml:space="preserve"> </w:t>
      </w:r>
      <w:r>
        <w:t>generando</w:t>
      </w:r>
      <w:r>
        <w:rPr>
          <w:spacing w:val="-7"/>
        </w:rPr>
        <w:t xml:space="preserve"> </w:t>
      </w:r>
      <w:r>
        <w:t>que</w:t>
      </w:r>
      <w:r>
        <w:rPr>
          <w:spacing w:val="-7"/>
        </w:rPr>
        <w:t xml:space="preserve"> </w:t>
      </w:r>
      <w:r>
        <w:t>se</w:t>
      </w:r>
      <w:r>
        <w:rPr>
          <w:spacing w:val="-7"/>
        </w:rPr>
        <w:t xml:space="preserve"> </w:t>
      </w:r>
      <w:r>
        <w:t>hayan</w:t>
      </w:r>
      <w:r>
        <w:rPr>
          <w:spacing w:val="-7"/>
        </w:rPr>
        <w:t xml:space="preserve"> </w:t>
      </w:r>
      <w:r>
        <w:t>concesionado</w:t>
      </w:r>
      <w:r>
        <w:rPr>
          <w:spacing w:val="-7"/>
        </w:rPr>
        <w:t xml:space="preserve"> </w:t>
      </w:r>
      <w:r>
        <w:t>proyectos</w:t>
      </w:r>
      <w:r>
        <w:rPr>
          <w:spacing w:val="-7"/>
        </w:rPr>
        <w:t xml:space="preserve"> </w:t>
      </w:r>
      <w:r>
        <w:t>de</w:t>
      </w:r>
      <w:r>
        <w:rPr>
          <w:spacing w:val="-8"/>
        </w:rPr>
        <w:t xml:space="preserve"> </w:t>
      </w:r>
      <w:r>
        <w:t xml:space="preserve">extracción de recursos naturales sin las consultas previas previstas por la ley o mediante consultas amañadas que han pasado por encima de las comunidades y han destruido territorios y </w:t>
      </w:r>
      <w:r>
        <w:rPr>
          <w:spacing w:val="-2"/>
        </w:rPr>
        <w:t>culturas.</w:t>
      </w:r>
    </w:p>
    <w:p w:rsidR="003804AC" w:rsidRDefault="00AF18A5" w:rsidP="00F45D4D">
      <w:bookmarkStart w:id="1367" w:name="_bookmark1217"/>
      <w:bookmarkEnd w:id="1367"/>
      <w:r>
        <w:t>La alta concentración de la tierra en grupos de poder, dueños de capitales nacionales y extranjeros,</w:t>
      </w:r>
      <w:r>
        <w:rPr>
          <w:spacing w:val="-8"/>
        </w:rPr>
        <w:t xml:space="preserve"> </w:t>
      </w:r>
      <w:r>
        <w:t>contrasta</w:t>
      </w:r>
      <w:r>
        <w:rPr>
          <w:spacing w:val="-8"/>
        </w:rPr>
        <w:t xml:space="preserve"> </w:t>
      </w:r>
      <w:r>
        <w:t>con</w:t>
      </w:r>
      <w:r>
        <w:rPr>
          <w:spacing w:val="-7"/>
        </w:rPr>
        <w:t xml:space="preserve"> </w:t>
      </w:r>
      <w:r>
        <w:t>los</w:t>
      </w:r>
      <w:r>
        <w:rPr>
          <w:spacing w:val="-8"/>
        </w:rPr>
        <w:t xml:space="preserve"> </w:t>
      </w:r>
      <w:r>
        <w:t>elevados</w:t>
      </w:r>
      <w:r>
        <w:rPr>
          <w:spacing w:val="-7"/>
        </w:rPr>
        <w:t xml:space="preserve"> </w:t>
      </w:r>
      <w:r>
        <w:t>índices</w:t>
      </w:r>
      <w:r>
        <w:rPr>
          <w:spacing w:val="-8"/>
        </w:rPr>
        <w:t xml:space="preserve"> </w:t>
      </w:r>
      <w:r>
        <w:t>de</w:t>
      </w:r>
      <w:r>
        <w:rPr>
          <w:spacing w:val="-7"/>
        </w:rPr>
        <w:t xml:space="preserve"> </w:t>
      </w:r>
      <w:r>
        <w:t>pobreza</w:t>
      </w:r>
      <w:r>
        <w:rPr>
          <w:spacing w:val="-7"/>
        </w:rPr>
        <w:t xml:space="preserve"> </w:t>
      </w:r>
      <w:r>
        <w:t>de</w:t>
      </w:r>
      <w:r>
        <w:rPr>
          <w:spacing w:val="-8"/>
        </w:rPr>
        <w:t xml:space="preserve"> </w:t>
      </w:r>
      <w:r>
        <w:t>gran</w:t>
      </w:r>
      <w:r>
        <w:rPr>
          <w:spacing w:val="-8"/>
        </w:rPr>
        <w:t xml:space="preserve"> </w:t>
      </w:r>
      <w:r>
        <w:t>parte</w:t>
      </w:r>
      <w:r>
        <w:rPr>
          <w:spacing w:val="-7"/>
        </w:rPr>
        <w:t xml:space="preserve"> </w:t>
      </w:r>
      <w:r>
        <w:t>de</w:t>
      </w:r>
      <w:r>
        <w:rPr>
          <w:spacing w:val="-7"/>
        </w:rPr>
        <w:t xml:space="preserve"> </w:t>
      </w:r>
      <w:r>
        <w:t>la</w:t>
      </w:r>
      <w:r>
        <w:rPr>
          <w:spacing w:val="-8"/>
        </w:rPr>
        <w:t xml:space="preserve"> </w:t>
      </w:r>
      <w:r>
        <w:t>población</w:t>
      </w:r>
      <w:r>
        <w:rPr>
          <w:spacing w:val="-7"/>
        </w:rPr>
        <w:t xml:space="preserve"> </w:t>
      </w:r>
      <w:r>
        <w:t xml:space="preserve">rural y de amplios sectores urbanos. Este hecho se configura como alimento de la guerra en </w:t>
      </w:r>
      <w:r>
        <w:lastRenderedPageBreak/>
        <w:t>territorios con débil presencia institucional, que son propicios para la instalación de los grupos armados, el desarrollo de economías ilegales y la imposición de órdenes sociales violentos</w:t>
      </w:r>
      <w:r>
        <w:rPr>
          <w:spacing w:val="-14"/>
        </w:rPr>
        <w:t xml:space="preserve"> </w:t>
      </w:r>
      <w:r>
        <w:t>que</w:t>
      </w:r>
      <w:r>
        <w:rPr>
          <w:spacing w:val="-14"/>
        </w:rPr>
        <w:t xml:space="preserve"> </w:t>
      </w:r>
      <w:r>
        <w:t>alteran</w:t>
      </w:r>
      <w:r>
        <w:rPr>
          <w:spacing w:val="-15"/>
        </w:rPr>
        <w:t xml:space="preserve"> </w:t>
      </w:r>
      <w:r>
        <w:t>la</w:t>
      </w:r>
      <w:r>
        <w:rPr>
          <w:spacing w:val="-14"/>
        </w:rPr>
        <w:t xml:space="preserve"> </w:t>
      </w:r>
      <w:r>
        <w:t>vida</w:t>
      </w:r>
      <w:r>
        <w:rPr>
          <w:spacing w:val="-14"/>
        </w:rPr>
        <w:t xml:space="preserve"> </w:t>
      </w:r>
      <w:r>
        <w:t>comunitaria,</w:t>
      </w:r>
      <w:r>
        <w:rPr>
          <w:spacing w:val="-15"/>
        </w:rPr>
        <w:t xml:space="preserve"> </w:t>
      </w:r>
      <w:r>
        <w:t>las</w:t>
      </w:r>
      <w:r>
        <w:rPr>
          <w:spacing w:val="-14"/>
        </w:rPr>
        <w:t xml:space="preserve"> </w:t>
      </w:r>
      <w:r>
        <w:t>prácticas</w:t>
      </w:r>
      <w:r>
        <w:rPr>
          <w:spacing w:val="-14"/>
        </w:rPr>
        <w:t xml:space="preserve"> </w:t>
      </w:r>
      <w:r>
        <w:t>tradicionales</w:t>
      </w:r>
      <w:r>
        <w:rPr>
          <w:spacing w:val="-14"/>
        </w:rPr>
        <w:t xml:space="preserve"> </w:t>
      </w:r>
      <w:r>
        <w:t>de</w:t>
      </w:r>
      <w:r>
        <w:rPr>
          <w:spacing w:val="-15"/>
        </w:rPr>
        <w:t xml:space="preserve"> </w:t>
      </w:r>
      <w:r>
        <w:t>trabajo</w:t>
      </w:r>
      <w:r>
        <w:rPr>
          <w:spacing w:val="-14"/>
        </w:rPr>
        <w:t xml:space="preserve"> </w:t>
      </w:r>
      <w:r>
        <w:t>y</w:t>
      </w:r>
      <w:r>
        <w:rPr>
          <w:spacing w:val="-14"/>
        </w:rPr>
        <w:t xml:space="preserve"> </w:t>
      </w:r>
      <w:r>
        <w:t>convivencia, y que adhieren a la población civil a las dinámicas de confrontación armadas. Esto ha generado</w:t>
      </w:r>
      <w:r>
        <w:rPr>
          <w:spacing w:val="-5"/>
        </w:rPr>
        <w:t xml:space="preserve"> </w:t>
      </w:r>
      <w:r>
        <w:t>la</w:t>
      </w:r>
      <w:r>
        <w:rPr>
          <w:spacing w:val="-5"/>
        </w:rPr>
        <w:t xml:space="preserve"> </w:t>
      </w:r>
      <w:r>
        <w:t>pérdida</w:t>
      </w:r>
      <w:r>
        <w:rPr>
          <w:spacing w:val="-5"/>
        </w:rPr>
        <w:t xml:space="preserve"> </w:t>
      </w:r>
      <w:r>
        <w:t>de</w:t>
      </w:r>
      <w:r>
        <w:rPr>
          <w:spacing w:val="-6"/>
        </w:rPr>
        <w:t xml:space="preserve"> </w:t>
      </w:r>
      <w:r>
        <w:t>las</w:t>
      </w:r>
      <w:r>
        <w:rPr>
          <w:spacing w:val="-5"/>
        </w:rPr>
        <w:t xml:space="preserve"> </w:t>
      </w:r>
      <w:r>
        <w:t>culturas,</w:t>
      </w:r>
      <w:r>
        <w:rPr>
          <w:spacing w:val="-5"/>
        </w:rPr>
        <w:t xml:space="preserve"> </w:t>
      </w:r>
      <w:r>
        <w:t>la</w:t>
      </w:r>
      <w:r>
        <w:rPr>
          <w:spacing w:val="-5"/>
        </w:rPr>
        <w:t xml:space="preserve"> </w:t>
      </w:r>
      <w:r>
        <w:t>ruptura</w:t>
      </w:r>
      <w:r>
        <w:rPr>
          <w:spacing w:val="-5"/>
        </w:rPr>
        <w:t xml:space="preserve"> </w:t>
      </w:r>
      <w:r>
        <w:t>de</w:t>
      </w:r>
      <w:r>
        <w:rPr>
          <w:spacing w:val="-5"/>
        </w:rPr>
        <w:t xml:space="preserve"> </w:t>
      </w:r>
      <w:r>
        <w:t>los</w:t>
      </w:r>
      <w:r>
        <w:rPr>
          <w:spacing w:val="-5"/>
        </w:rPr>
        <w:t xml:space="preserve"> </w:t>
      </w:r>
      <w:r>
        <w:t>tejidos</w:t>
      </w:r>
      <w:r>
        <w:rPr>
          <w:spacing w:val="-5"/>
        </w:rPr>
        <w:t xml:space="preserve"> </w:t>
      </w:r>
      <w:r>
        <w:t>familiares,</w:t>
      </w:r>
      <w:r>
        <w:rPr>
          <w:spacing w:val="-5"/>
        </w:rPr>
        <w:t xml:space="preserve"> </w:t>
      </w:r>
      <w:r>
        <w:t>la</w:t>
      </w:r>
      <w:r>
        <w:rPr>
          <w:spacing w:val="-5"/>
        </w:rPr>
        <w:t xml:space="preserve"> </w:t>
      </w:r>
      <w:r>
        <w:t>interrupción</w:t>
      </w:r>
      <w:r>
        <w:rPr>
          <w:spacing w:val="-6"/>
        </w:rPr>
        <w:t xml:space="preserve"> </w:t>
      </w:r>
      <w:r>
        <w:t>de</w:t>
      </w:r>
      <w:r>
        <w:rPr>
          <w:spacing w:val="-5"/>
        </w:rPr>
        <w:t xml:space="preserve"> </w:t>
      </w:r>
      <w:r>
        <w:t xml:space="preserve">los proyectos de vida, la ocupación, la expropiación y el despojo de territorios a los pueblos </w:t>
      </w:r>
      <w:r>
        <w:rPr>
          <w:spacing w:val="-2"/>
        </w:rPr>
        <w:t>étnicos.</w:t>
      </w:r>
    </w:p>
    <w:p w:rsidR="003804AC" w:rsidRDefault="00AF18A5" w:rsidP="00F45D4D">
      <w:r>
        <w:t>La violencia que se cierne contra las comunidades indígenas y negras, como se viene advirtiendo, no es casual. Por el contrario, se fundamenta en las creencias ideológicas ya mencionadas y en aquellas que distintos actores proyectan sobre los territorios: regiones supuestamente atrasadas a las que se debe llevar el «progreso» y el «desarrollo», y por lo mismo son susceptibles</w:t>
      </w:r>
      <w:r>
        <w:rPr>
          <w:spacing w:val="-1"/>
        </w:rPr>
        <w:t xml:space="preserve"> </w:t>
      </w:r>
      <w:r>
        <w:t>de ser apropiadas por la fuerza. La legitimidad que adquirieron este tipo</w:t>
      </w:r>
      <w:r>
        <w:rPr>
          <w:spacing w:val="-3"/>
        </w:rPr>
        <w:t xml:space="preserve"> </w:t>
      </w:r>
      <w:r>
        <w:t>de</w:t>
      </w:r>
      <w:r>
        <w:rPr>
          <w:spacing w:val="-3"/>
        </w:rPr>
        <w:t xml:space="preserve"> </w:t>
      </w:r>
      <w:r>
        <w:t>discursos</w:t>
      </w:r>
      <w:r>
        <w:rPr>
          <w:spacing w:val="-3"/>
        </w:rPr>
        <w:t xml:space="preserve"> </w:t>
      </w:r>
      <w:r>
        <w:t>generó</w:t>
      </w:r>
      <w:r>
        <w:rPr>
          <w:spacing w:val="-3"/>
        </w:rPr>
        <w:t xml:space="preserve"> </w:t>
      </w:r>
      <w:r>
        <w:t>graves</w:t>
      </w:r>
      <w:r>
        <w:rPr>
          <w:spacing w:val="-3"/>
        </w:rPr>
        <w:t xml:space="preserve"> </w:t>
      </w:r>
      <w:r>
        <w:t>consecuencias</w:t>
      </w:r>
      <w:r>
        <w:rPr>
          <w:spacing w:val="-3"/>
        </w:rPr>
        <w:t xml:space="preserve"> </w:t>
      </w:r>
      <w:r>
        <w:t>en</w:t>
      </w:r>
      <w:r>
        <w:rPr>
          <w:spacing w:val="-5"/>
        </w:rPr>
        <w:t xml:space="preserve"> </w:t>
      </w:r>
      <w:r>
        <w:t>materia</w:t>
      </w:r>
      <w:r>
        <w:rPr>
          <w:spacing w:val="-3"/>
        </w:rPr>
        <w:t xml:space="preserve"> </w:t>
      </w:r>
      <w:r>
        <w:t>humanitaria</w:t>
      </w:r>
      <w:r>
        <w:rPr>
          <w:spacing w:val="-3"/>
        </w:rPr>
        <w:t xml:space="preserve"> </w:t>
      </w:r>
      <w:r>
        <w:t>en</w:t>
      </w:r>
      <w:r>
        <w:rPr>
          <w:spacing w:val="-5"/>
        </w:rPr>
        <w:t xml:space="preserve"> </w:t>
      </w:r>
      <w:r>
        <w:t>el</w:t>
      </w:r>
      <w:r>
        <w:rPr>
          <w:spacing w:val="-3"/>
        </w:rPr>
        <w:t xml:space="preserve"> </w:t>
      </w:r>
      <w:r>
        <w:t>Urabá,</w:t>
      </w:r>
      <w:r>
        <w:rPr>
          <w:spacing w:val="-3"/>
        </w:rPr>
        <w:t xml:space="preserve"> </w:t>
      </w:r>
      <w:r>
        <w:t>Darién</w:t>
      </w:r>
      <w:r>
        <w:rPr>
          <w:spacing w:val="-5"/>
        </w:rPr>
        <w:t xml:space="preserve"> </w:t>
      </w:r>
      <w:r>
        <w:t>y Bajo Atrato, donde fueron cometidas aproximadamente 321 masacres durante el conflicto armado interno.</w:t>
      </w:r>
    </w:p>
    <w:p w:rsidR="003804AC" w:rsidRDefault="00AF18A5" w:rsidP="00F45D4D">
      <w:r>
        <w:t>Esta visión de las regiones del país donde se concentraba un alto índice de población étnica, sumado a las características ambientales, hidrográficas y geoestratégicas, influyó en la llegada de los grupos armados. Para ellos, se trataba de territorios «salvajes» donde se podían cometer todo tipo de abusos sin ninguna consecuencia: «Eso es una zona especial, que se presta para todo. Ahí se puede hacer de todo y con total impunidad, porque no hay muchos límites».</w:t>
      </w:r>
      <w:r w:rsidR="00F45D4D">
        <w:rPr>
          <w:rStyle w:val="Refdenotaalpie"/>
        </w:rPr>
        <w:footnoteReference w:id="1109"/>
      </w:r>
    </w:p>
    <w:p w:rsidR="003804AC" w:rsidRPr="00F45D4D" w:rsidRDefault="00AF18A5" w:rsidP="00F45D4D">
      <w:r>
        <w:t xml:space="preserve">Referentes comunitarios que antes eran utilizados para el desarrollo de </w:t>
      </w:r>
      <w:r>
        <w:lastRenderedPageBreak/>
        <w:t>actividades cotidianas,</w:t>
      </w:r>
      <w:r>
        <w:rPr>
          <w:spacing w:val="-7"/>
        </w:rPr>
        <w:t xml:space="preserve"> </w:t>
      </w:r>
      <w:r>
        <w:t>lugares</w:t>
      </w:r>
      <w:r>
        <w:rPr>
          <w:spacing w:val="-6"/>
        </w:rPr>
        <w:t xml:space="preserve"> </w:t>
      </w:r>
      <w:r>
        <w:t>de</w:t>
      </w:r>
      <w:r>
        <w:rPr>
          <w:spacing w:val="-6"/>
        </w:rPr>
        <w:t xml:space="preserve"> </w:t>
      </w:r>
      <w:r>
        <w:t>culto,</w:t>
      </w:r>
      <w:r>
        <w:rPr>
          <w:spacing w:val="-6"/>
        </w:rPr>
        <w:t xml:space="preserve"> </w:t>
      </w:r>
      <w:r>
        <w:t>cementerios,</w:t>
      </w:r>
      <w:r>
        <w:rPr>
          <w:spacing w:val="-6"/>
        </w:rPr>
        <w:t xml:space="preserve"> </w:t>
      </w:r>
      <w:r>
        <w:t>caminos,</w:t>
      </w:r>
      <w:r>
        <w:rPr>
          <w:spacing w:val="-6"/>
        </w:rPr>
        <w:t xml:space="preserve"> </w:t>
      </w:r>
      <w:r>
        <w:t>trochas,</w:t>
      </w:r>
      <w:r>
        <w:rPr>
          <w:spacing w:val="-6"/>
        </w:rPr>
        <w:t xml:space="preserve"> </w:t>
      </w:r>
      <w:r>
        <w:t>ríos,</w:t>
      </w:r>
      <w:r>
        <w:rPr>
          <w:spacing w:val="-6"/>
        </w:rPr>
        <w:t xml:space="preserve"> </w:t>
      </w:r>
      <w:r>
        <w:t>ciénagas</w:t>
      </w:r>
      <w:r>
        <w:rPr>
          <w:spacing w:val="-7"/>
        </w:rPr>
        <w:t xml:space="preserve"> </w:t>
      </w:r>
      <w:r>
        <w:t>y</w:t>
      </w:r>
      <w:r>
        <w:rPr>
          <w:spacing w:val="-6"/>
        </w:rPr>
        <w:t xml:space="preserve"> </w:t>
      </w:r>
      <w:r>
        <w:t>áreas</w:t>
      </w:r>
      <w:r>
        <w:rPr>
          <w:spacing w:val="-6"/>
        </w:rPr>
        <w:t xml:space="preserve"> </w:t>
      </w:r>
      <w:r>
        <w:t>de</w:t>
      </w:r>
      <w:r>
        <w:rPr>
          <w:spacing w:val="-6"/>
        </w:rPr>
        <w:t xml:space="preserve"> </w:t>
      </w:r>
      <w:r>
        <w:rPr>
          <w:spacing w:val="-2"/>
        </w:rPr>
        <w:t>cultivos</w:t>
      </w:r>
      <w:bookmarkStart w:id="1368" w:name="_bookmark1218"/>
      <w:bookmarkEnd w:id="1368"/>
      <w:r w:rsidR="00F45D4D">
        <w:rPr>
          <w:spacing w:val="-2"/>
        </w:rPr>
        <w:t xml:space="preserve"> </w:t>
      </w:r>
      <w:r>
        <w:t xml:space="preserve">de </w:t>
      </w:r>
      <w:proofErr w:type="spellStart"/>
      <w:r>
        <w:t>pancoger</w:t>
      </w:r>
      <w:proofErr w:type="spellEnd"/>
      <w:r>
        <w:t>, adquirieron nuevas dimensiones atravesadas por el</w:t>
      </w:r>
      <w:r>
        <w:rPr>
          <w:spacing w:val="-1"/>
        </w:rPr>
        <w:t xml:space="preserve"> </w:t>
      </w:r>
      <w:r>
        <w:t>miedo</w:t>
      </w:r>
      <w:r>
        <w:rPr>
          <w:spacing w:val="-1"/>
        </w:rPr>
        <w:t xml:space="preserve"> </w:t>
      </w:r>
      <w:r>
        <w:t>y el dolor. Entonces fueron destruidos o renombrados «zonas rojas», haciendo alusión a la presencia de grupos guerrilleros.</w:t>
      </w:r>
      <w:r>
        <w:rPr>
          <w:spacing w:val="-14"/>
        </w:rPr>
        <w:t xml:space="preserve"> </w:t>
      </w:r>
      <w:r>
        <w:t>De</w:t>
      </w:r>
      <w:r>
        <w:rPr>
          <w:spacing w:val="-12"/>
        </w:rPr>
        <w:t xml:space="preserve"> </w:t>
      </w:r>
      <w:r>
        <w:t>allí</w:t>
      </w:r>
      <w:r>
        <w:rPr>
          <w:spacing w:val="-11"/>
        </w:rPr>
        <w:t xml:space="preserve"> </w:t>
      </w:r>
      <w:r>
        <w:t>el</w:t>
      </w:r>
      <w:r>
        <w:rPr>
          <w:spacing w:val="-11"/>
        </w:rPr>
        <w:t xml:space="preserve"> </w:t>
      </w:r>
      <w:r>
        <w:t>estigma</w:t>
      </w:r>
      <w:r>
        <w:rPr>
          <w:spacing w:val="-12"/>
        </w:rPr>
        <w:t xml:space="preserve"> </w:t>
      </w:r>
      <w:r>
        <w:t>de</w:t>
      </w:r>
      <w:r>
        <w:rPr>
          <w:spacing w:val="-12"/>
        </w:rPr>
        <w:t xml:space="preserve"> </w:t>
      </w:r>
      <w:r>
        <w:t>sus</w:t>
      </w:r>
      <w:r>
        <w:rPr>
          <w:spacing w:val="-14"/>
        </w:rPr>
        <w:t xml:space="preserve"> </w:t>
      </w:r>
      <w:r>
        <w:t>habitantes</w:t>
      </w:r>
      <w:r>
        <w:rPr>
          <w:spacing w:val="-13"/>
        </w:rPr>
        <w:t xml:space="preserve"> </w:t>
      </w:r>
      <w:r>
        <w:t>como</w:t>
      </w:r>
      <w:r>
        <w:rPr>
          <w:spacing w:val="-12"/>
        </w:rPr>
        <w:t xml:space="preserve"> </w:t>
      </w:r>
      <w:r>
        <w:t>aliados,</w:t>
      </w:r>
      <w:r>
        <w:rPr>
          <w:spacing w:val="-13"/>
        </w:rPr>
        <w:t xml:space="preserve"> </w:t>
      </w:r>
      <w:r>
        <w:t>simpatizantes</w:t>
      </w:r>
      <w:r>
        <w:rPr>
          <w:spacing w:val="-12"/>
        </w:rPr>
        <w:t xml:space="preserve"> </w:t>
      </w:r>
      <w:r>
        <w:t>o</w:t>
      </w:r>
      <w:r>
        <w:rPr>
          <w:spacing w:val="-12"/>
        </w:rPr>
        <w:t xml:space="preserve"> </w:t>
      </w:r>
      <w:r>
        <w:t>colaboradores de grupos al margen de la ley.</w:t>
      </w:r>
    </w:p>
    <w:p w:rsidR="003804AC" w:rsidRDefault="00AF18A5" w:rsidP="00F45D4D">
      <w:r>
        <w:t>La definición de los territorios étnicos como espacios «salvajes», que es también una herencia colonial sostenida por una visión de productividad, permitió que se perpetuara la costumbre</w:t>
      </w:r>
      <w:r>
        <w:rPr>
          <w:spacing w:val="-7"/>
        </w:rPr>
        <w:t xml:space="preserve"> </w:t>
      </w:r>
      <w:r>
        <w:t>de</w:t>
      </w:r>
      <w:r>
        <w:rPr>
          <w:spacing w:val="-7"/>
        </w:rPr>
        <w:t xml:space="preserve"> </w:t>
      </w:r>
      <w:r>
        <w:t>«civilizar»</w:t>
      </w:r>
      <w:r>
        <w:rPr>
          <w:spacing w:val="-8"/>
        </w:rPr>
        <w:t xml:space="preserve"> </w:t>
      </w:r>
      <w:r>
        <w:t>mediante</w:t>
      </w:r>
      <w:r>
        <w:rPr>
          <w:spacing w:val="-7"/>
        </w:rPr>
        <w:t xml:space="preserve"> </w:t>
      </w:r>
      <w:r>
        <w:t>el</w:t>
      </w:r>
      <w:r>
        <w:rPr>
          <w:spacing w:val="-8"/>
        </w:rPr>
        <w:t xml:space="preserve"> </w:t>
      </w:r>
      <w:r>
        <w:t>saqueo</w:t>
      </w:r>
      <w:r>
        <w:rPr>
          <w:spacing w:val="-7"/>
        </w:rPr>
        <w:t xml:space="preserve"> </w:t>
      </w:r>
      <w:r>
        <w:t>y</w:t>
      </w:r>
      <w:r>
        <w:rPr>
          <w:spacing w:val="-7"/>
        </w:rPr>
        <w:t xml:space="preserve"> </w:t>
      </w:r>
      <w:r>
        <w:t>el</w:t>
      </w:r>
      <w:r>
        <w:rPr>
          <w:spacing w:val="-8"/>
        </w:rPr>
        <w:t xml:space="preserve"> </w:t>
      </w:r>
      <w:r>
        <w:t>despojo.</w:t>
      </w:r>
      <w:r>
        <w:rPr>
          <w:spacing w:val="-7"/>
        </w:rPr>
        <w:t xml:space="preserve"> </w:t>
      </w:r>
      <w:r>
        <w:t>Este</w:t>
      </w:r>
      <w:r>
        <w:rPr>
          <w:spacing w:val="-7"/>
        </w:rPr>
        <w:t xml:space="preserve"> </w:t>
      </w:r>
      <w:r>
        <w:t>es</w:t>
      </w:r>
      <w:r>
        <w:rPr>
          <w:spacing w:val="-7"/>
        </w:rPr>
        <w:t xml:space="preserve"> </w:t>
      </w:r>
      <w:r>
        <w:t>el</w:t>
      </w:r>
      <w:r>
        <w:rPr>
          <w:spacing w:val="-7"/>
        </w:rPr>
        <w:t xml:space="preserve"> </w:t>
      </w:r>
      <w:r>
        <w:t>caso</w:t>
      </w:r>
      <w:r>
        <w:rPr>
          <w:spacing w:val="-7"/>
        </w:rPr>
        <w:t xml:space="preserve"> </w:t>
      </w:r>
      <w:r>
        <w:t>del</w:t>
      </w:r>
      <w:r>
        <w:rPr>
          <w:spacing w:val="-7"/>
        </w:rPr>
        <w:t xml:space="preserve"> </w:t>
      </w:r>
      <w:r>
        <w:t>pueblo</w:t>
      </w:r>
      <w:r>
        <w:rPr>
          <w:spacing w:val="-7"/>
        </w:rPr>
        <w:t xml:space="preserve"> </w:t>
      </w:r>
      <w:r>
        <w:t>barí</w:t>
      </w:r>
      <w:r>
        <w:rPr>
          <w:spacing w:val="-7"/>
        </w:rPr>
        <w:t xml:space="preserve"> </w:t>
      </w:r>
      <w:r>
        <w:t>y</w:t>
      </w:r>
      <w:r>
        <w:rPr>
          <w:spacing w:val="-7"/>
        </w:rPr>
        <w:t xml:space="preserve"> </w:t>
      </w:r>
      <w:r>
        <w:t xml:space="preserve">la llegada de la explotación de petróleo a su territorio ancestral en 1930. En un testimonio recogido por la Comisión de Verdad, la abuela Marta </w:t>
      </w:r>
      <w:proofErr w:type="spellStart"/>
      <w:r>
        <w:t>Abadora</w:t>
      </w:r>
      <w:proofErr w:type="spellEnd"/>
      <w:r>
        <w:t xml:space="preserve"> recordó los relatos de sus abuelos sobre estos hechos:</w:t>
      </w:r>
    </w:p>
    <w:p w:rsidR="003804AC" w:rsidRDefault="00AF18A5" w:rsidP="00F45D4D">
      <w:r>
        <w:t>«Los</w:t>
      </w:r>
      <w:r>
        <w:rPr>
          <w:spacing w:val="-10"/>
        </w:rPr>
        <w:t xml:space="preserve"> </w:t>
      </w:r>
      <w:r>
        <w:t>barí</w:t>
      </w:r>
      <w:r>
        <w:rPr>
          <w:spacing w:val="-9"/>
        </w:rPr>
        <w:t xml:space="preserve"> </w:t>
      </w:r>
      <w:r>
        <w:t>en</w:t>
      </w:r>
      <w:r>
        <w:rPr>
          <w:spacing w:val="-11"/>
        </w:rPr>
        <w:t xml:space="preserve"> </w:t>
      </w:r>
      <w:r>
        <w:t>esa</w:t>
      </w:r>
      <w:r>
        <w:rPr>
          <w:spacing w:val="-9"/>
        </w:rPr>
        <w:t xml:space="preserve"> </w:t>
      </w:r>
      <w:r>
        <w:t>época</w:t>
      </w:r>
      <w:r>
        <w:rPr>
          <w:spacing w:val="-9"/>
        </w:rPr>
        <w:t xml:space="preserve"> </w:t>
      </w:r>
      <w:r>
        <w:t>no</w:t>
      </w:r>
      <w:r>
        <w:rPr>
          <w:spacing w:val="-10"/>
        </w:rPr>
        <w:t xml:space="preserve"> </w:t>
      </w:r>
      <w:r>
        <w:t>conocían</w:t>
      </w:r>
      <w:r>
        <w:rPr>
          <w:spacing w:val="-10"/>
        </w:rPr>
        <w:t xml:space="preserve"> </w:t>
      </w:r>
      <w:r>
        <w:t>qué</w:t>
      </w:r>
      <w:r>
        <w:rPr>
          <w:spacing w:val="-9"/>
        </w:rPr>
        <w:t xml:space="preserve"> </w:t>
      </w:r>
      <w:r>
        <w:t>era</w:t>
      </w:r>
      <w:r>
        <w:rPr>
          <w:spacing w:val="-9"/>
        </w:rPr>
        <w:t xml:space="preserve"> </w:t>
      </w:r>
      <w:r>
        <w:t>el</w:t>
      </w:r>
      <w:r>
        <w:rPr>
          <w:spacing w:val="-9"/>
        </w:rPr>
        <w:t xml:space="preserve"> </w:t>
      </w:r>
      <w:r>
        <w:t>petróleo,</w:t>
      </w:r>
      <w:r>
        <w:rPr>
          <w:spacing w:val="-10"/>
        </w:rPr>
        <w:t xml:space="preserve"> </w:t>
      </w:r>
      <w:r>
        <w:t>qué</w:t>
      </w:r>
      <w:r>
        <w:rPr>
          <w:spacing w:val="-9"/>
        </w:rPr>
        <w:t xml:space="preserve"> </w:t>
      </w:r>
      <w:r>
        <w:t>eran</w:t>
      </w:r>
      <w:r>
        <w:rPr>
          <w:spacing w:val="-10"/>
        </w:rPr>
        <w:t xml:space="preserve"> </w:t>
      </w:r>
      <w:r>
        <w:t>las</w:t>
      </w:r>
      <w:r>
        <w:rPr>
          <w:spacing w:val="-9"/>
        </w:rPr>
        <w:t xml:space="preserve"> </w:t>
      </w:r>
      <w:r>
        <w:t>empresas.</w:t>
      </w:r>
      <w:r>
        <w:rPr>
          <w:spacing w:val="-10"/>
        </w:rPr>
        <w:t xml:space="preserve"> </w:t>
      </w:r>
      <w:r>
        <w:t>La</w:t>
      </w:r>
      <w:r>
        <w:rPr>
          <w:spacing w:val="-9"/>
        </w:rPr>
        <w:t xml:space="preserve"> </w:t>
      </w:r>
      <w:r>
        <w:t>vida</w:t>
      </w:r>
      <w:r>
        <w:rPr>
          <w:spacing w:val="-9"/>
        </w:rPr>
        <w:t xml:space="preserve"> </w:t>
      </w:r>
      <w:r>
        <w:t>del barí era vivir feliz, alegría, todo en son de paz, antes de que sucediera la tragedia del genocidio petrolero. Nos exterminaron, pero hay unos ancestros que nos mantienen vivos, que están en todas partes. Ellos nos ayudaron a vivir. La mayor parte barí murió, quedamos un 3 %, y otra vez nos reproducimos. Es una trágica historia para el pueblo barí»</w:t>
      </w:r>
      <w:r w:rsidR="00F45D4D">
        <w:rPr>
          <w:rStyle w:val="Refdenotaalpie"/>
        </w:rPr>
        <w:footnoteReference w:id="1110"/>
      </w:r>
      <w:r>
        <w:t>.</w:t>
      </w:r>
    </w:p>
    <w:p w:rsidR="003804AC" w:rsidRDefault="00AF18A5" w:rsidP="00F45D4D">
      <w:r>
        <w:t>La</w:t>
      </w:r>
      <w:r>
        <w:rPr>
          <w:spacing w:val="-8"/>
        </w:rPr>
        <w:t xml:space="preserve"> </w:t>
      </w:r>
      <w:r>
        <w:t>población</w:t>
      </w:r>
      <w:r>
        <w:rPr>
          <w:spacing w:val="-8"/>
        </w:rPr>
        <w:t xml:space="preserve"> </w:t>
      </w:r>
      <w:r>
        <w:t>barí</w:t>
      </w:r>
      <w:r>
        <w:rPr>
          <w:spacing w:val="-9"/>
        </w:rPr>
        <w:t xml:space="preserve"> </w:t>
      </w:r>
      <w:r>
        <w:t>fue</w:t>
      </w:r>
      <w:r>
        <w:rPr>
          <w:spacing w:val="-9"/>
        </w:rPr>
        <w:t xml:space="preserve"> </w:t>
      </w:r>
      <w:r>
        <w:t>reducida</w:t>
      </w:r>
      <w:r>
        <w:rPr>
          <w:spacing w:val="-8"/>
        </w:rPr>
        <w:t xml:space="preserve"> </w:t>
      </w:r>
      <w:r>
        <w:t>en</w:t>
      </w:r>
      <w:r>
        <w:rPr>
          <w:spacing w:val="-8"/>
        </w:rPr>
        <w:t xml:space="preserve"> </w:t>
      </w:r>
      <w:r>
        <w:t>un</w:t>
      </w:r>
      <w:r>
        <w:rPr>
          <w:spacing w:val="-10"/>
        </w:rPr>
        <w:t xml:space="preserve"> </w:t>
      </w:r>
      <w:r>
        <w:t>80</w:t>
      </w:r>
      <w:r>
        <w:rPr>
          <w:spacing w:val="-3"/>
        </w:rPr>
        <w:t xml:space="preserve"> </w:t>
      </w:r>
      <w:r>
        <w:t>%</w:t>
      </w:r>
      <w:r>
        <w:rPr>
          <w:spacing w:val="-8"/>
        </w:rPr>
        <w:t xml:space="preserve"> </w:t>
      </w:r>
      <w:r>
        <w:t>y</w:t>
      </w:r>
      <w:r>
        <w:rPr>
          <w:spacing w:val="-8"/>
        </w:rPr>
        <w:t xml:space="preserve"> </w:t>
      </w:r>
      <w:r>
        <w:t>despojada</w:t>
      </w:r>
      <w:r>
        <w:rPr>
          <w:spacing w:val="-8"/>
        </w:rPr>
        <w:t xml:space="preserve"> </w:t>
      </w:r>
      <w:r>
        <w:t>del</w:t>
      </w:r>
      <w:r>
        <w:rPr>
          <w:spacing w:val="-8"/>
        </w:rPr>
        <w:t xml:space="preserve"> </w:t>
      </w:r>
      <w:r>
        <w:t>70</w:t>
      </w:r>
      <w:r>
        <w:rPr>
          <w:spacing w:val="-5"/>
        </w:rPr>
        <w:t xml:space="preserve"> </w:t>
      </w:r>
      <w:r>
        <w:t>%</w:t>
      </w:r>
      <w:r>
        <w:rPr>
          <w:spacing w:val="-8"/>
        </w:rPr>
        <w:t xml:space="preserve"> </w:t>
      </w:r>
      <w:r>
        <w:t>de</w:t>
      </w:r>
      <w:r>
        <w:rPr>
          <w:spacing w:val="-9"/>
        </w:rPr>
        <w:t xml:space="preserve"> </w:t>
      </w:r>
      <w:r>
        <w:t>su</w:t>
      </w:r>
      <w:r>
        <w:rPr>
          <w:spacing w:val="-9"/>
        </w:rPr>
        <w:t xml:space="preserve"> </w:t>
      </w:r>
      <w:r>
        <w:t>territorio</w:t>
      </w:r>
      <w:r>
        <w:rPr>
          <w:spacing w:val="-10"/>
        </w:rPr>
        <w:t xml:space="preserve"> </w:t>
      </w:r>
      <w:r>
        <w:t>ancestral. En el 2014, el Tribunal Superior de Bogotá logró determinar que varios funcionarios de Ecopetrol,</w:t>
      </w:r>
      <w:r>
        <w:rPr>
          <w:spacing w:val="-14"/>
        </w:rPr>
        <w:t xml:space="preserve"> </w:t>
      </w:r>
      <w:r>
        <w:t>empresa</w:t>
      </w:r>
      <w:r>
        <w:rPr>
          <w:spacing w:val="-15"/>
        </w:rPr>
        <w:t xml:space="preserve"> </w:t>
      </w:r>
      <w:r>
        <w:t>encargada</w:t>
      </w:r>
      <w:r>
        <w:rPr>
          <w:spacing w:val="-14"/>
        </w:rPr>
        <w:t xml:space="preserve"> </w:t>
      </w:r>
      <w:r>
        <w:t>de</w:t>
      </w:r>
      <w:r>
        <w:rPr>
          <w:spacing w:val="-15"/>
        </w:rPr>
        <w:t xml:space="preserve"> </w:t>
      </w:r>
      <w:r>
        <w:t>la</w:t>
      </w:r>
      <w:r>
        <w:rPr>
          <w:spacing w:val="-15"/>
        </w:rPr>
        <w:t xml:space="preserve"> </w:t>
      </w:r>
      <w:r>
        <w:t>explotación</w:t>
      </w:r>
      <w:r>
        <w:rPr>
          <w:spacing w:val="-14"/>
        </w:rPr>
        <w:t xml:space="preserve"> </w:t>
      </w:r>
      <w:r>
        <w:t>de</w:t>
      </w:r>
      <w:r>
        <w:rPr>
          <w:spacing w:val="-14"/>
        </w:rPr>
        <w:t xml:space="preserve"> </w:t>
      </w:r>
      <w:r>
        <w:t>petróleo</w:t>
      </w:r>
      <w:r>
        <w:rPr>
          <w:spacing w:val="-15"/>
        </w:rPr>
        <w:t xml:space="preserve"> </w:t>
      </w:r>
      <w:r>
        <w:t>en</w:t>
      </w:r>
      <w:r>
        <w:rPr>
          <w:spacing w:val="-15"/>
        </w:rPr>
        <w:t xml:space="preserve"> </w:t>
      </w:r>
      <w:r>
        <w:t>la</w:t>
      </w:r>
      <w:r>
        <w:rPr>
          <w:spacing w:val="-15"/>
        </w:rPr>
        <w:t xml:space="preserve"> </w:t>
      </w:r>
      <w:r>
        <w:t>región</w:t>
      </w:r>
      <w:r>
        <w:rPr>
          <w:spacing w:val="-15"/>
        </w:rPr>
        <w:t xml:space="preserve"> </w:t>
      </w:r>
      <w:r>
        <w:t>del</w:t>
      </w:r>
      <w:r>
        <w:rPr>
          <w:spacing w:val="-15"/>
        </w:rPr>
        <w:t xml:space="preserve"> </w:t>
      </w:r>
      <w:r>
        <w:t>Catatumbo</w:t>
      </w:r>
      <w:r>
        <w:rPr>
          <w:spacing w:val="-15"/>
        </w:rPr>
        <w:t xml:space="preserve"> </w:t>
      </w:r>
      <w:r>
        <w:t xml:space="preserve">desde el 2005, </w:t>
      </w:r>
      <w:r>
        <w:lastRenderedPageBreak/>
        <w:t xml:space="preserve">establecieron alianzas criminales con el Ejército Nacional y el Bloque Catatumbo de las AUC, responsable de desplazamientos masivos de algunas comunidades del pueblo </w:t>
      </w:r>
      <w:r>
        <w:rPr>
          <w:spacing w:val="-2"/>
        </w:rPr>
        <w:t>barí.</w:t>
      </w:r>
    </w:p>
    <w:p w:rsidR="003804AC" w:rsidRDefault="00AF18A5" w:rsidP="00D51999">
      <w:r>
        <w:t>En el capítulo Étnico también se describe el etnocidio cometido en la Orinoquía durante la masacre de la Rubiera, perpetrada el 17 de diciembre de 1967 en el departamento de Arauca. «Los acusados fueron absueltos, y uno de ellos declaró que matar indios era como matar</w:t>
      </w:r>
      <w:r>
        <w:rPr>
          <w:spacing w:val="72"/>
        </w:rPr>
        <w:t xml:space="preserve"> </w:t>
      </w:r>
      <w:r>
        <w:t>monos»</w:t>
      </w:r>
      <w:r w:rsidR="00F45D4D">
        <w:rPr>
          <w:rStyle w:val="Refdenotaalpie"/>
        </w:rPr>
        <w:footnoteReference w:id="1111"/>
      </w:r>
      <w:r>
        <w:t>.</w:t>
      </w:r>
      <w:r>
        <w:rPr>
          <w:spacing w:val="71"/>
        </w:rPr>
        <w:t xml:space="preserve"> </w:t>
      </w:r>
      <w:r>
        <w:t>Este</w:t>
      </w:r>
      <w:r>
        <w:rPr>
          <w:spacing w:val="72"/>
        </w:rPr>
        <w:t xml:space="preserve"> </w:t>
      </w:r>
      <w:r>
        <w:t>desprecio</w:t>
      </w:r>
      <w:r>
        <w:rPr>
          <w:spacing w:val="71"/>
        </w:rPr>
        <w:t xml:space="preserve"> </w:t>
      </w:r>
      <w:r>
        <w:t>se</w:t>
      </w:r>
      <w:r>
        <w:rPr>
          <w:spacing w:val="70"/>
        </w:rPr>
        <w:t xml:space="preserve"> </w:t>
      </w:r>
      <w:r>
        <w:t>ha</w:t>
      </w:r>
      <w:r>
        <w:rPr>
          <w:spacing w:val="72"/>
        </w:rPr>
        <w:t xml:space="preserve"> </w:t>
      </w:r>
      <w:r>
        <w:t>hecho</w:t>
      </w:r>
      <w:r>
        <w:rPr>
          <w:spacing w:val="70"/>
        </w:rPr>
        <w:t xml:space="preserve"> </w:t>
      </w:r>
      <w:r>
        <w:t>evidente</w:t>
      </w:r>
      <w:r>
        <w:rPr>
          <w:spacing w:val="72"/>
        </w:rPr>
        <w:t xml:space="preserve"> </w:t>
      </w:r>
      <w:r>
        <w:t>también</w:t>
      </w:r>
      <w:r>
        <w:rPr>
          <w:spacing w:val="70"/>
        </w:rPr>
        <w:t xml:space="preserve"> </w:t>
      </w:r>
      <w:r>
        <w:t>en</w:t>
      </w:r>
      <w:r>
        <w:rPr>
          <w:spacing w:val="71"/>
        </w:rPr>
        <w:t xml:space="preserve"> </w:t>
      </w:r>
      <w:r>
        <w:t>actos</w:t>
      </w:r>
      <w:r>
        <w:rPr>
          <w:spacing w:val="72"/>
        </w:rPr>
        <w:t xml:space="preserve"> </w:t>
      </w:r>
      <w:r>
        <w:t>como</w:t>
      </w:r>
      <w:r>
        <w:rPr>
          <w:spacing w:val="70"/>
        </w:rPr>
        <w:t xml:space="preserve"> </w:t>
      </w:r>
      <w:r>
        <w:rPr>
          <w:spacing w:val="-4"/>
        </w:rPr>
        <w:t>«las</w:t>
      </w:r>
      <w:bookmarkStart w:id="1369" w:name="_bookmark1219"/>
      <w:bookmarkStart w:id="1370" w:name="_bookmark1220"/>
      <w:bookmarkEnd w:id="1369"/>
      <w:bookmarkEnd w:id="1370"/>
      <w:r w:rsidR="00D51999">
        <w:t xml:space="preserve"> </w:t>
      </w:r>
      <w:r>
        <w:t>pacificaciones» de los años ochenta. En este caso, el exterminio fue cultural, mediante el control</w:t>
      </w:r>
      <w:r>
        <w:rPr>
          <w:spacing w:val="-10"/>
        </w:rPr>
        <w:t xml:space="preserve"> </w:t>
      </w:r>
      <w:r>
        <w:t>ideológico</w:t>
      </w:r>
      <w:r>
        <w:rPr>
          <w:spacing w:val="-11"/>
        </w:rPr>
        <w:t xml:space="preserve"> </w:t>
      </w:r>
      <w:r>
        <w:t>de</w:t>
      </w:r>
      <w:r>
        <w:rPr>
          <w:spacing w:val="-10"/>
        </w:rPr>
        <w:t xml:space="preserve"> </w:t>
      </w:r>
      <w:r>
        <w:t>los</w:t>
      </w:r>
      <w:r>
        <w:rPr>
          <w:spacing w:val="-10"/>
        </w:rPr>
        <w:t xml:space="preserve"> </w:t>
      </w:r>
      <w:proofErr w:type="spellStart"/>
      <w:r>
        <w:t>sikuani</w:t>
      </w:r>
      <w:proofErr w:type="spellEnd"/>
      <w:r>
        <w:rPr>
          <w:spacing w:val="-10"/>
        </w:rPr>
        <w:t xml:space="preserve"> </w:t>
      </w:r>
      <w:r>
        <w:t>que</w:t>
      </w:r>
      <w:r>
        <w:rPr>
          <w:spacing w:val="-10"/>
        </w:rPr>
        <w:t xml:space="preserve"> </w:t>
      </w:r>
      <w:r>
        <w:t>fueron</w:t>
      </w:r>
      <w:r>
        <w:rPr>
          <w:spacing w:val="-11"/>
        </w:rPr>
        <w:t xml:space="preserve"> </w:t>
      </w:r>
      <w:r>
        <w:t>obligados</w:t>
      </w:r>
      <w:r>
        <w:rPr>
          <w:spacing w:val="-10"/>
        </w:rPr>
        <w:t xml:space="preserve"> </w:t>
      </w:r>
      <w:r>
        <w:t>por</w:t>
      </w:r>
      <w:r>
        <w:rPr>
          <w:spacing w:val="-10"/>
        </w:rPr>
        <w:t xml:space="preserve"> </w:t>
      </w:r>
      <w:r>
        <w:t>colonos</w:t>
      </w:r>
      <w:r>
        <w:rPr>
          <w:spacing w:val="-10"/>
        </w:rPr>
        <w:t xml:space="preserve"> </w:t>
      </w:r>
      <w:r>
        <w:t>a</w:t>
      </w:r>
      <w:r>
        <w:rPr>
          <w:spacing w:val="-10"/>
        </w:rPr>
        <w:t xml:space="preserve"> </w:t>
      </w:r>
      <w:r>
        <w:t>cambiar</w:t>
      </w:r>
      <w:r>
        <w:rPr>
          <w:spacing w:val="-10"/>
        </w:rPr>
        <w:t xml:space="preserve"> </w:t>
      </w:r>
      <w:r>
        <w:t>sus</w:t>
      </w:r>
      <w:r>
        <w:rPr>
          <w:spacing w:val="-10"/>
        </w:rPr>
        <w:t xml:space="preserve"> </w:t>
      </w:r>
      <w:r>
        <w:t>costumbres espirituales. Hasta la actualidad, este grupo es víctima de desplazamiento, despojo y confinamiento, lo que sigue afectando su supervivencia y culturas</w:t>
      </w:r>
    </w:p>
    <w:p w:rsidR="003804AC" w:rsidRDefault="00AF18A5" w:rsidP="00D51999">
      <w:r>
        <w:t>En las décadas de los ochenta y los noventa, la guerrilla de las FARC trasladó personas de otras regiones del país para ser vinculadas en los cultivos ilícitos que dicha estructura armada</w:t>
      </w:r>
      <w:r>
        <w:rPr>
          <w:spacing w:val="-11"/>
        </w:rPr>
        <w:t xml:space="preserve"> </w:t>
      </w:r>
      <w:r>
        <w:t>había</w:t>
      </w:r>
      <w:r>
        <w:rPr>
          <w:spacing w:val="-11"/>
        </w:rPr>
        <w:t xml:space="preserve"> </w:t>
      </w:r>
      <w:r>
        <w:t>establecido</w:t>
      </w:r>
      <w:r>
        <w:rPr>
          <w:spacing w:val="-11"/>
        </w:rPr>
        <w:t xml:space="preserve"> </w:t>
      </w:r>
      <w:r>
        <w:t>en</w:t>
      </w:r>
      <w:r>
        <w:rPr>
          <w:spacing w:val="-11"/>
        </w:rPr>
        <w:t xml:space="preserve"> </w:t>
      </w:r>
      <w:r>
        <w:t>territorios</w:t>
      </w:r>
      <w:r>
        <w:rPr>
          <w:spacing w:val="-11"/>
        </w:rPr>
        <w:t xml:space="preserve"> </w:t>
      </w:r>
      <w:r>
        <w:t>de</w:t>
      </w:r>
      <w:r>
        <w:rPr>
          <w:spacing w:val="-11"/>
        </w:rPr>
        <w:t xml:space="preserve"> </w:t>
      </w:r>
      <w:r>
        <w:t>comunidades</w:t>
      </w:r>
      <w:r>
        <w:rPr>
          <w:spacing w:val="-11"/>
        </w:rPr>
        <w:t xml:space="preserve"> </w:t>
      </w:r>
      <w:r>
        <w:t>indígenas</w:t>
      </w:r>
      <w:r>
        <w:rPr>
          <w:spacing w:val="-11"/>
        </w:rPr>
        <w:t xml:space="preserve"> </w:t>
      </w:r>
      <w:r>
        <w:t>y</w:t>
      </w:r>
      <w:r>
        <w:rPr>
          <w:spacing w:val="-11"/>
        </w:rPr>
        <w:t xml:space="preserve"> </w:t>
      </w:r>
      <w:r>
        <w:t>negras</w:t>
      </w:r>
      <w:r>
        <w:rPr>
          <w:spacing w:val="-11"/>
        </w:rPr>
        <w:t xml:space="preserve"> </w:t>
      </w:r>
      <w:r>
        <w:t>en</w:t>
      </w:r>
      <w:r>
        <w:rPr>
          <w:spacing w:val="-11"/>
        </w:rPr>
        <w:t xml:space="preserve"> </w:t>
      </w:r>
      <w:r>
        <w:t>el</w:t>
      </w:r>
      <w:r>
        <w:rPr>
          <w:spacing w:val="-10"/>
        </w:rPr>
        <w:t xml:space="preserve"> </w:t>
      </w:r>
      <w:r>
        <w:t>Bajo</w:t>
      </w:r>
      <w:r>
        <w:rPr>
          <w:spacing w:val="-11"/>
        </w:rPr>
        <w:t xml:space="preserve"> </w:t>
      </w:r>
      <w:r>
        <w:t>Atrato. Esta</w:t>
      </w:r>
      <w:r>
        <w:rPr>
          <w:spacing w:val="-3"/>
        </w:rPr>
        <w:t xml:space="preserve"> </w:t>
      </w:r>
      <w:r>
        <w:t>práctica</w:t>
      </w:r>
      <w:r>
        <w:rPr>
          <w:spacing w:val="-3"/>
        </w:rPr>
        <w:t xml:space="preserve"> </w:t>
      </w:r>
      <w:r>
        <w:t>de</w:t>
      </w:r>
      <w:r>
        <w:rPr>
          <w:spacing w:val="-3"/>
        </w:rPr>
        <w:t xml:space="preserve"> </w:t>
      </w:r>
      <w:r>
        <w:t>invasión</w:t>
      </w:r>
      <w:r>
        <w:rPr>
          <w:spacing w:val="-4"/>
        </w:rPr>
        <w:t xml:space="preserve"> </w:t>
      </w:r>
      <w:r>
        <w:t>fue</w:t>
      </w:r>
      <w:r>
        <w:rPr>
          <w:spacing w:val="-3"/>
        </w:rPr>
        <w:t xml:space="preserve"> </w:t>
      </w:r>
      <w:r>
        <w:t>replicada</w:t>
      </w:r>
      <w:r>
        <w:rPr>
          <w:spacing w:val="-3"/>
        </w:rPr>
        <w:t xml:space="preserve"> </w:t>
      </w:r>
      <w:r>
        <w:t>con</w:t>
      </w:r>
      <w:r>
        <w:rPr>
          <w:spacing w:val="-4"/>
        </w:rPr>
        <w:t xml:space="preserve"> </w:t>
      </w:r>
      <w:r>
        <w:t>mayor</w:t>
      </w:r>
      <w:r>
        <w:rPr>
          <w:spacing w:val="-3"/>
        </w:rPr>
        <w:t xml:space="preserve"> </w:t>
      </w:r>
      <w:r>
        <w:t>fuerza</w:t>
      </w:r>
      <w:r>
        <w:rPr>
          <w:spacing w:val="-3"/>
        </w:rPr>
        <w:t xml:space="preserve"> </w:t>
      </w:r>
      <w:r>
        <w:t>desde</w:t>
      </w:r>
      <w:r>
        <w:rPr>
          <w:spacing w:val="-3"/>
        </w:rPr>
        <w:t xml:space="preserve"> </w:t>
      </w:r>
      <w:r>
        <w:t>finales</w:t>
      </w:r>
      <w:r>
        <w:rPr>
          <w:spacing w:val="-3"/>
        </w:rPr>
        <w:t xml:space="preserve"> </w:t>
      </w:r>
      <w:r>
        <w:t>de</w:t>
      </w:r>
      <w:r>
        <w:rPr>
          <w:spacing w:val="-5"/>
        </w:rPr>
        <w:t xml:space="preserve"> </w:t>
      </w:r>
      <w:r>
        <w:t>1996,</w:t>
      </w:r>
      <w:r>
        <w:rPr>
          <w:spacing w:val="-4"/>
        </w:rPr>
        <w:t xml:space="preserve"> </w:t>
      </w:r>
      <w:r>
        <w:t>luego</w:t>
      </w:r>
      <w:r>
        <w:rPr>
          <w:spacing w:val="-4"/>
        </w:rPr>
        <w:t xml:space="preserve"> </w:t>
      </w:r>
      <w:r>
        <w:t>de</w:t>
      </w:r>
      <w:r>
        <w:rPr>
          <w:spacing w:val="-3"/>
        </w:rPr>
        <w:t xml:space="preserve"> </w:t>
      </w:r>
      <w:r>
        <w:t>los desplazamientos forzados generados por las operaciones Génesis de la Brigada XVII y el Bloque Elmer Cárdenas. La expulsión violenta de aproximadamente 15.000 personas, así como</w:t>
      </w:r>
      <w:r>
        <w:rPr>
          <w:spacing w:val="-8"/>
        </w:rPr>
        <w:t xml:space="preserve"> </w:t>
      </w:r>
      <w:r>
        <w:t>el</w:t>
      </w:r>
      <w:r>
        <w:rPr>
          <w:spacing w:val="-8"/>
        </w:rPr>
        <w:t xml:space="preserve"> </w:t>
      </w:r>
      <w:r>
        <w:t>posterior</w:t>
      </w:r>
      <w:r>
        <w:rPr>
          <w:spacing w:val="-9"/>
        </w:rPr>
        <w:t xml:space="preserve"> </w:t>
      </w:r>
      <w:r>
        <w:t>reordenamiento</w:t>
      </w:r>
      <w:r>
        <w:rPr>
          <w:spacing w:val="-8"/>
        </w:rPr>
        <w:t xml:space="preserve"> </w:t>
      </w:r>
      <w:r>
        <w:t>territorial</w:t>
      </w:r>
      <w:r>
        <w:rPr>
          <w:spacing w:val="-8"/>
        </w:rPr>
        <w:t xml:space="preserve"> </w:t>
      </w:r>
      <w:r>
        <w:t>y</w:t>
      </w:r>
      <w:r>
        <w:rPr>
          <w:spacing w:val="-8"/>
        </w:rPr>
        <w:t xml:space="preserve"> </w:t>
      </w:r>
      <w:r>
        <w:t>social,</w:t>
      </w:r>
      <w:r>
        <w:rPr>
          <w:spacing w:val="-8"/>
        </w:rPr>
        <w:t xml:space="preserve"> </w:t>
      </w:r>
      <w:r>
        <w:t>facilitó</w:t>
      </w:r>
      <w:r>
        <w:rPr>
          <w:spacing w:val="-8"/>
        </w:rPr>
        <w:t xml:space="preserve"> </w:t>
      </w:r>
      <w:r>
        <w:t>que,</w:t>
      </w:r>
      <w:r>
        <w:rPr>
          <w:spacing w:val="-8"/>
        </w:rPr>
        <w:t xml:space="preserve"> </w:t>
      </w:r>
      <w:r>
        <w:t>en</w:t>
      </w:r>
      <w:r>
        <w:rPr>
          <w:spacing w:val="-8"/>
        </w:rPr>
        <w:t xml:space="preserve"> </w:t>
      </w:r>
      <w:r>
        <w:t>el</w:t>
      </w:r>
      <w:r>
        <w:rPr>
          <w:spacing w:val="-8"/>
        </w:rPr>
        <w:t xml:space="preserve"> </w:t>
      </w:r>
      <w:r>
        <w:t>marco</w:t>
      </w:r>
      <w:r>
        <w:rPr>
          <w:spacing w:val="-8"/>
        </w:rPr>
        <w:t xml:space="preserve"> </w:t>
      </w:r>
      <w:r>
        <w:t>de</w:t>
      </w:r>
      <w:r>
        <w:rPr>
          <w:spacing w:val="-8"/>
        </w:rPr>
        <w:t xml:space="preserve"> </w:t>
      </w:r>
      <w:r>
        <w:t>las</w:t>
      </w:r>
      <w:r>
        <w:rPr>
          <w:spacing w:val="-8"/>
        </w:rPr>
        <w:t xml:space="preserve"> </w:t>
      </w:r>
      <w:r>
        <w:t>alianzas que establecieron algunos agentes económicos con las AUC, miembros de la fuerza pública y</w:t>
      </w:r>
      <w:r>
        <w:rPr>
          <w:spacing w:val="-15"/>
        </w:rPr>
        <w:t xml:space="preserve"> </w:t>
      </w:r>
      <w:r>
        <w:t>funcionarios</w:t>
      </w:r>
      <w:r>
        <w:rPr>
          <w:spacing w:val="-15"/>
        </w:rPr>
        <w:t xml:space="preserve"> </w:t>
      </w:r>
      <w:r>
        <w:t>estatales,</w:t>
      </w:r>
      <w:r>
        <w:rPr>
          <w:spacing w:val="-15"/>
        </w:rPr>
        <w:t xml:space="preserve"> </w:t>
      </w:r>
      <w:r>
        <w:t>se</w:t>
      </w:r>
      <w:r>
        <w:rPr>
          <w:spacing w:val="-15"/>
        </w:rPr>
        <w:t xml:space="preserve"> </w:t>
      </w:r>
      <w:r>
        <w:t>consolidaran</w:t>
      </w:r>
      <w:r>
        <w:rPr>
          <w:spacing w:val="-15"/>
        </w:rPr>
        <w:t xml:space="preserve"> </w:t>
      </w:r>
      <w:r>
        <w:t>proyectos</w:t>
      </w:r>
      <w:r>
        <w:rPr>
          <w:spacing w:val="-15"/>
        </w:rPr>
        <w:t xml:space="preserve"> </w:t>
      </w:r>
      <w:r>
        <w:t>económicos</w:t>
      </w:r>
      <w:r>
        <w:rPr>
          <w:spacing w:val="-15"/>
        </w:rPr>
        <w:t xml:space="preserve"> </w:t>
      </w:r>
      <w:r>
        <w:t>a</w:t>
      </w:r>
      <w:r>
        <w:rPr>
          <w:spacing w:val="-15"/>
        </w:rPr>
        <w:t xml:space="preserve"> </w:t>
      </w:r>
      <w:r>
        <w:t>gran</w:t>
      </w:r>
      <w:r>
        <w:rPr>
          <w:spacing w:val="-15"/>
        </w:rPr>
        <w:t xml:space="preserve"> </w:t>
      </w:r>
      <w:r>
        <w:t>escala</w:t>
      </w:r>
      <w:r>
        <w:rPr>
          <w:spacing w:val="-15"/>
        </w:rPr>
        <w:t xml:space="preserve"> </w:t>
      </w:r>
      <w:r>
        <w:t>en</w:t>
      </w:r>
      <w:r>
        <w:rPr>
          <w:spacing w:val="-15"/>
        </w:rPr>
        <w:t xml:space="preserve"> </w:t>
      </w:r>
      <w:r>
        <w:t>los</w:t>
      </w:r>
      <w:r>
        <w:rPr>
          <w:spacing w:val="-15"/>
        </w:rPr>
        <w:t xml:space="preserve"> </w:t>
      </w:r>
      <w:r>
        <w:t xml:space="preserve">territorios </w:t>
      </w:r>
      <w:r>
        <w:rPr>
          <w:spacing w:val="-2"/>
        </w:rPr>
        <w:t>despojados.</w:t>
      </w:r>
    </w:p>
    <w:p w:rsidR="003804AC" w:rsidRDefault="00AF18A5" w:rsidP="002047F7">
      <w:r>
        <w:rPr>
          <w:spacing w:val="-2"/>
        </w:rPr>
        <w:t>En</w:t>
      </w:r>
      <w:r>
        <w:rPr>
          <w:spacing w:val="-6"/>
        </w:rPr>
        <w:t xml:space="preserve"> </w:t>
      </w:r>
      <w:r>
        <w:rPr>
          <w:spacing w:val="-2"/>
        </w:rPr>
        <w:t>el</w:t>
      </w:r>
      <w:r>
        <w:rPr>
          <w:spacing w:val="-5"/>
        </w:rPr>
        <w:t xml:space="preserve"> </w:t>
      </w:r>
      <w:r>
        <w:rPr>
          <w:spacing w:val="-2"/>
        </w:rPr>
        <w:t>caso</w:t>
      </w:r>
      <w:r>
        <w:rPr>
          <w:spacing w:val="-6"/>
        </w:rPr>
        <w:t xml:space="preserve"> </w:t>
      </w:r>
      <w:r>
        <w:rPr>
          <w:spacing w:val="-2"/>
        </w:rPr>
        <w:t>de</w:t>
      </w:r>
      <w:r>
        <w:rPr>
          <w:spacing w:val="-6"/>
        </w:rPr>
        <w:t xml:space="preserve"> </w:t>
      </w:r>
      <w:r>
        <w:rPr>
          <w:spacing w:val="-2"/>
        </w:rPr>
        <w:t>los</w:t>
      </w:r>
      <w:r>
        <w:rPr>
          <w:spacing w:val="-8"/>
        </w:rPr>
        <w:t xml:space="preserve"> </w:t>
      </w:r>
      <w:r>
        <w:rPr>
          <w:spacing w:val="-2"/>
        </w:rPr>
        <w:t>repoblamientos</w:t>
      </w:r>
      <w:r>
        <w:rPr>
          <w:spacing w:val="-6"/>
        </w:rPr>
        <w:t xml:space="preserve"> </w:t>
      </w:r>
      <w:r>
        <w:rPr>
          <w:spacing w:val="-2"/>
        </w:rPr>
        <w:t>promovidos</w:t>
      </w:r>
      <w:r>
        <w:rPr>
          <w:spacing w:val="-6"/>
        </w:rPr>
        <w:t xml:space="preserve"> </w:t>
      </w:r>
      <w:r>
        <w:rPr>
          <w:spacing w:val="-2"/>
        </w:rPr>
        <w:t>por</w:t>
      </w:r>
      <w:r>
        <w:rPr>
          <w:spacing w:val="-8"/>
        </w:rPr>
        <w:t xml:space="preserve"> </w:t>
      </w:r>
      <w:r>
        <w:rPr>
          <w:spacing w:val="-2"/>
        </w:rPr>
        <w:t>el</w:t>
      </w:r>
      <w:r>
        <w:rPr>
          <w:spacing w:val="-5"/>
        </w:rPr>
        <w:t xml:space="preserve"> </w:t>
      </w:r>
      <w:r>
        <w:rPr>
          <w:spacing w:val="-2"/>
        </w:rPr>
        <w:t>Bloque</w:t>
      </w:r>
      <w:r>
        <w:rPr>
          <w:spacing w:val="-8"/>
        </w:rPr>
        <w:t xml:space="preserve"> </w:t>
      </w:r>
      <w:r>
        <w:rPr>
          <w:spacing w:val="-2"/>
        </w:rPr>
        <w:t>Elmer</w:t>
      </w:r>
      <w:r>
        <w:rPr>
          <w:spacing w:val="-5"/>
        </w:rPr>
        <w:t xml:space="preserve"> </w:t>
      </w:r>
      <w:r>
        <w:rPr>
          <w:spacing w:val="-2"/>
        </w:rPr>
        <w:lastRenderedPageBreak/>
        <w:t>Cárdenas,</w:t>
      </w:r>
      <w:r>
        <w:rPr>
          <w:spacing w:val="-6"/>
        </w:rPr>
        <w:t xml:space="preserve"> </w:t>
      </w:r>
      <w:r>
        <w:rPr>
          <w:spacing w:val="-2"/>
        </w:rPr>
        <w:t>que</w:t>
      </w:r>
      <w:r>
        <w:rPr>
          <w:spacing w:val="-6"/>
        </w:rPr>
        <w:t xml:space="preserve"> </w:t>
      </w:r>
      <w:r>
        <w:rPr>
          <w:spacing w:val="-2"/>
        </w:rPr>
        <w:t xml:space="preserve">afectaron </w:t>
      </w:r>
      <w:r>
        <w:t>las comunidades negras del Bajo Atrato, el Informe de Caracterización del Consejo Comunitario</w:t>
      </w:r>
      <w:r>
        <w:rPr>
          <w:spacing w:val="-15"/>
        </w:rPr>
        <w:t xml:space="preserve"> </w:t>
      </w:r>
      <w:r>
        <w:t>de</w:t>
      </w:r>
      <w:r>
        <w:rPr>
          <w:spacing w:val="-15"/>
        </w:rPr>
        <w:t xml:space="preserve"> </w:t>
      </w:r>
      <w:r>
        <w:t>Cacarica</w:t>
      </w:r>
      <w:r>
        <w:rPr>
          <w:spacing w:val="-15"/>
        </w:rPr>
        <w:t xml:space="preserve"> </w:t>
      </w:r>
      <w:r>
        <w:t>explica</w:t>
      </w:r>
      <w:r>
        <w:rPr>
          <w:spacing w:val="-15"/>
        </w:rPr>
        <w:t xml:space="preserve"> </w:t>
      </w:r>
      <w:r>
        <w:t>que</w:t>
      </w:r>
      <w:r>
        <w:rPr>
          <w:spacing w:val="-15"/>
        </w:rPr>
        <w:t xml:space="preserve"> </w:t>
      </w:r>
      <w:r>
        <w:t>parte</w:t>
      </w:r>
      <w:r>
        <w:rPr>
          <w:spacing w:val="-15"/>
        </w:rPr>
        <w:t xml:space="preserve"> </w:t>
      </w:r>
      <w:r>
        <w:t>de</w:t>
      </w:r>
      <w:r>
        <w:rPr>
          <w:spacing w:val="-15"/>
        </w:rPr>
        <w:t xml:space="preserve"> </w:t>
      </w:r>
      <w:r>
        <w:t>la</w:t>
      </w:r>
      <w:r>
        <w:rPr>
          <w:spacing w:val="-15"/>
        </w:rPr>
        <w:t xml:space="preserve"> </w:t>
      </w:r>
      <w:r>
        <w:t>lógica</w:t>
      </w:r>
      <w:r>
        <w:rPr>
          <w:spacing w:val="-15"/>
        </w:rPr>
        <w:t xml:space="preserve"> </w:t>
      </w:r>
      <w:r>
        <w:t>de</w:t>
      </w:r>
      <w:r>
        <w:rPr>
          <w:spacing w:val="-15"/>
        </w:rPr>
        <w:t xml:space="preserve"> </w:t>
      </w:r>
      <w:r>
        <w:t>guerra</w:t>
      </w:r>
      <w:r>
        <w:rPr>
          <w:spacing w:val="-15"/>
        </w:rPr>
        <w:t xml:space="preserve"> </w:t>
      </w:r>
      <w:r>
        <w:t>y</w:t>
      </w:r>
      <w:r>
        <w:rPr>
          <w:spacing w:val="-15"/>
        </w:rPr>
        <w:t xml:space="preserve"> </w:t>
      </w:r>
      <w:r>
        <w:t>la</w:t>
      </w:r>
      <w:r>
        <w:rPr>
          <w:spacing w:val="-15"/>
        </w:rPr>
        <w:t xml:space="preserve"> </w:t>
      </w:r>
      <w:r>
        <w:t>acumulación</w:t>
      </w:r>
      <w:r>
        <w:rPr>
          <w:spacing w:val="-15"/>
        </w:rPr>
        <w:t xml:space="preserve"> </w:t>
      </w:r>
      <w:r>
        <w:t>económica del proyecto paramilitar estuvo encaminada a imponer órdenes sociales y económicos que privilegiaron la producción a gran escala, eliminando así las identidades propias de las comunidades locales:</w:t>
      </w:r>
    </w:p>
    <w:p w:rsidR="003804AC" w:rsidRDefault="00AF18A5" w:rsidP="002047F7">
      <w:r>
        <w:t>Esta</w:t>
      </w:r>
      <w:r>
        <w:rPr>
          <w:spacing w:val="-1"/>
        </w:rPr>
        <w:t xml:space="preserve"> </w:t>
      </w:r>
      <w:r>
        <w:t>política</w:t>
      </w:r>
      <w:r>
        <w:rPr>
          <w:spacing w:val="-1"/>
        </w:rPr>
        <w:t xml:space="preserve"> </w:t>
      </w:r>
      <w:r>
        <w:t>de</w:t>
      </w:r>
      <w:r>
        <w:rPr>
          <w:spacing w:val="-1"/>
        </w:rPr>
        <w:t xml:space="preserve"> </w:t>
      </w:r>
      <w:r>
        <w:t>«repoblación»</w:t>
      </w:r>
      <w:r>
        <w:rPr>
          <w:spacing w:val="-2"/>
        </w:rPr>
        <w:t xml:space="preserve"> </w:t>
      </w:r>
      <w:r>
        <w:t>da</w:t>
      </w:r>
      <w:r>
        <w:rPr>
          <w:spacing w:val="-1"/>
        </w:rPr>
        <w:t xml:space="preserve"> </w:t>
      </w:r>
      <w:r>
        <w:t>cuenta</w:t>
      </w:r>
      <w:r>
        <w:rPr>
          <w:spacing w:val="-1"/>
        </w:rPr>
        <w:t xml:space="preserve"> </w:t>
      </w:r>
      <w:r>
        <w:t>de</w:t>
      </w:r>
      <w:r>
        <w:rPr>
          <w:spacing w:val="-1"/>
        </w:rPr>
        <w:t xml:space="preserve"> </w:t>
      </w:r>
      <w:r>
        <w:t>que</w:t>
      </w:r>
      <w:r>
        <w:rPr>
          <w:spacing w:val="-1"/>
        </w:rPr>
        <w:t xml:space="preserve"> </w:t>
      </w:r>
      <w:r>
        <w:t>la</w:t>
      </w:r>
      <w:r>
        <w:rPr>
          <w:spacing w:val="-1"/>
        </w:rPr>
        <w:t xml:space="preserve"> </w:t>
      </w:r>
      <w:r>
        <w:t>expansión paramilitar</w:t>
      </w:r>
      <w:r>
        <w:rPr>
          <w:spacing w:val="-1"/>
        </w:rPr>
        <w:t xml:space="preserve"> </w:t>
      </w:r>
      <w:r>
        <w:t>hacia el</w:t>
      </w:r>
      <w:r>
        <w:rPr>
          <w:spacing w:val="-1"/>
        </w:rPr>
        <w:t xml:space="preserve"> </w:t>
      </w:r>
      <w:r>
        <w:t>Cacarica</w:t>
      </w:r>
      <w:r>
        <w:rPr>
          <w:spacing w:val="-1"/>
        </w:rPr>
        <w:t xml:space="preserve"> </w:t>
      </w:r>
      <w:r>
        <w:t>y otras zonas del Urabá Chocoano desbordó una estrategia contrainsurgente. Buscaba, por medio de la violencia y el control territorial y de las poblaciones, constituir un nuevo orden socioeconómico basado en la lealtad de las nuevas poblaciones, la protección de las actividades agroindustriales existentes y la apertura de nuevas regiones al monocultivo de productos agroalimentarios articulados al mercado mundial (banano, plátano y palma)</w:t>
      </w:r>
      <w:r w:rsidR="002047F7">
        <w:rPr>
          <w:rStyle w:val="Refdenotaalpie"/>
        </w:rPr>
        <w:footnoteReference w:id="1112"/>
      </w:r>
      <w:r>
        <w:t>.</w:t>
      </w:r>
    </w:p>
    <w:p w:rsidR="003804AC" w:rsidRDefault="00AF18A5" w:rsidP="002047F7">
      <w:r>
        <w:t>El repoblamiento ha generado un gran impacto en las comunidades indígenas y negras del país. Ha</w:t>
      </w:r>
      <w:r>
        <w:rPr>
          <w:spacing w:val="2"/>
        </w:rPr>
        <w:t xml:space="preserve"> </w:t>
      </w:r>
      <w:r>
        <w:t>sido</w:t>
      </w:r>
      <w:r>
        <w:rPr>
          <w:spacing w:val="3"/>
        </w:rPr>
        <w:t xml:space="preserve"> </w:t>
      </w:r>
      <w:r>
        <w:t>uno</w:t>
      </w:r>
      <w:r>
        <w:rPr>
          <w:spacing w:val="2"/>
        </w:rPr>
        <w:t xml:space="preserve"> </w:t>
      </w:r>
      <w:r>
        <w:t>de</w:t>
      </w:r>
      <w:r>
        <w:rPr>
          <w:spacing w:val="3"/>
        </w:rPr>
        <w:t xml:space="preserve"> </w:t>
      </w:r>
      <w:r>
        <w:t>los</w:t>
      </w:r>
      <w:r>
        <w:rPr>
          <w:spacing w:val="2"/>
        </w:rPr>
        <w:t xml:space="preserve"> </w:t>
      </w:r>
      <w:r>
        <w:t>factores</w:t>
      </w:r>
      <w:r>
        <w:rPr>
          <w:spacing w:val="2"/>
        </w:rPr>
        <w:t xml:space="preserve"> </w:t>
      </w:r>
      <w:r>
        <w:t>por</w:t>
      </w:r>
      <w:r>
        <w:rPr>
          <w:spacing w:val="2"/>
        </w:rPr>
        <w:t xml:space="preserve"> </w:t>
      </w:r>
      <w:r>
        <w:t>los</w:t>
      </w:r>
      <w:r>
        <w:rPr>
          <w:spacing w:val="2"/>
        </w:rPr>
        <w:t xml:space="preserve"> </w:t>
      </w:r>
      <w:r>
        <w:t>que</w:t>
      </w:r>
      <w:r>
        <w:rPr>
          <w:spacing w:val="3"/>
        </w:rPr>
        <w:t xml:space="preserve"> </w:t>
      </w:r>
      <w:r>
        <w:t>el</w:t>
      </w:r>
      <w:r>
        <w:rPr>
          <w:spacing w:val="3"/>
        </w:rPr>
        <w:t xml:space="preserve"> </w:t>
      </w:r>
      <w:r>
        <w:t>despojo</w:t>
      </w:r>
      <w:r>
        <w:rPr>
          <w:spacing w:val="2"/>
        </w:rPr>
        <w:t xml:space="preserve"> </w:t>
      </w:r>
      <w:r>
        <w:t>de</w:t>
      </w:r>
      <w:r>
        <w:rPr>
          <w:spacing w:val="3"/>
        </w:rPr>
        <w:t xml:space="preserve"> </w:t>
      </w:r>
      <w:r>
        <w:t>los</w:t>
      </w:r>
      <w:r>
        <w:rPr>
          <w:spacing w:val="2"/>
        </w:rPr>
        <w:t xml:space="preserve"> </w:t>
      </w:r>
      <w:r>
        <w:t>territorios</w:t>
      </w:r>
      <w:r>
        <w:rPr>
          <w:spacing w:val="2"/>
        </w:rPr>
        <w:t xml:space="preserve"> </w:t>
      </w:r>
      <w:r>
        <w:t>persiste</w:t>
      </w:r>
      <w:r>
        <w:rPr>
          <w:spacing w:val="2"/>
        </w:rPr>
        <w:t xml:space="preserve"> </w:t>
      </w:r>
      <w:r>
        <w:t>y</w:t>
      </w:r>
      <w:r>
        <w:rPr>
          <w:spacing w:val="3"/>
        </w:rPr>
        <w:t xml:space="preserve"> </w:t>
      </w:r>
      <w:r>
        <w:rPr>
          <w:spacing w:val="-2"/>
        </w:rPr>
        <w:t>continúa</w:t>
      </w:r>
      <w:bookmarkStart w:id="1371" w:name="_bookmark1221"/>
      <w:bookmarkEnd w:id="1371"/>
      <w:r w:rsidR="002047F7">
        <w:t xml:space="preserve"> </w:t>
      </w:r>
      <w:r>
        <w:t>limitando el retorno de las comunidades desplazadas, la materialización de sus derechos territoriales</w:t>
      </w:r>
      <w:r>
        <w:rPr>
          <w:spacing w:val="-14"/>
        </w:rPr>
        <w:t xml:space="preserve"> </w:t>
      </w:r>
      <w:r>
        <w:t>y</w:t>
      </w:r>
      <w:r>
        <w:rPr>
          <w:spacing w:val="-13"/>
        </w:rPr>
        <w:t xml:space="preserve"> </w:t>
      </w:r>
      <w:r>
        <w:t>la</w:t>
      </w:r>
      <w:r>
        <w:rPr>
          <w:spacing w:val="-13"/>
        </w:rPr>
        <w:t xml:space="preserve"> </w:t>
      </w:r>
      <w:r>
        <w:t>restitución</w:t>
      </w:r>
      <w:r>
        <w:rPr>
          <w:spacing w:val="-13"/>
        </w:rPr>
        <w:t xml:space="preserve"> </w:t>
      </w:r>
      <w:r>
        <w:t>real</w:t>
      </w:r>
      <w:r>
        <w:rPr>
          <w:spacing w:val="-13"/>
        </w:rPr>
        <w:t xml:space="preserve"> </w:t>
      </w:r>
      <w:r>
        <w:t>de</w:t>
      </w:r>
      <w:r>
        <w:rPr>
          <w:spacing w:val="-13"/>
        </w:rPr>
        <w:t xml:space="preserve"> </w:t>
      </w:r>
      <w:r>
        <w:t>resguardos</w:t>
      </w:r>
      <w:r>
        <w:rPr>
          <w:spacing w:val="-13"/>
        </w:rPr>
        <w:t xml:space="preserve"> </w:t>
      </w:r>
      <w:r>
        <w:t>indígenas</w:t>
      </w:r>
      <w:r>
        <w:rPr>
          <w:spacing w:val="-13"/>
        </w:rPr>
        <w:t xml:space="preserve"> </w:t>
      </w:r>
      <w:r>
        <w:t>y</w:t>
      </w:r>
      <w:r>
        <w:rPr>
          <w:spacing w:val="-13"/>
        </w:rPr>
        <w:t xml:space="preserve"> </w:t>
      </w:r>
      <w:r>
        <w:t>territorios</w:t>
      </w:r>
      <w:r>
        <w:rPr>
          <w:spacing w:val="-13"/>
        </w:rPr>
        <w:t xml:space="preserve"> </w:t>
      </w:r>
      <w:r>
        <w:t>colectivos.</w:t>
      </w:r>
      <w:r>
        <w:rPr>
          <w:spacing w:val="-13"/>
        </w:rPr>
        <w:t xml:space="preserve"> </w:t>
      </w:r>
      <w:r>
        <w:t>Esto</w:t>
      </w:r>
      <w:r>
        <w:rPr>
          <w:spacing w:val="-13"/>
        </w:rPr>
        <w:t xml:space="preserve"> </w:t>
      </w:r>
      <w:r>
        <w:t>sumado a los riesgos que representa para el ejercicio de sus derechos fundamentales. También ha aumentado los conflictos entre comunidades. Además, la realización de proyectos económicos</w:t>
      </w:r>
      <w:r>
        <w:rPr>
          <w:spacing w:val="-14"/>
        </w:rPr>
        <w:t xml:space="preserve"> </w:t>
      </w:r>
      <w:r>
        <w:t>de</w:t>
      </w:r>
      <w:r>
        <w:rPr>
          <w:spacing w:val="-13"/>
        </w:rPr>
        <w:t xml:space="preserve"> </w:t>
      </w:r>
      <w:r>
        <w:t>gran</w:t>
      </w:r>
      <w:r>
        <w:rPr>
          <w:spacing w:val="-14"/>
        </w:rPr>
        <w:t xml:space="preserve"> </w:t>
      </w:r>
      <w:r>
        <w:t>envergadura</w:t>
      </w:r>
      <w:r>
        <w:rPr>
          <w:spacing w:val="-14"/>
        </w:rPr>
        <w:t xml:space="preserve"> </w:t>
      </w:r>
      <w:r>
        <w:t>en</w:t>
      </w:r>
      <w:r>
        <w:rPr>
          <w:spacing w:val="-13"/>
        </w:rPr>
        <w:t xml:space="preserve"> </w:t>
      </w:r>
      <w:r>
        <w:t>contextos</w:t>
      </w:r>
      <w:r>
        <w:rPr>
          <w:spacing w:val="-14"/>
        </w:rPr>
        <w:t xml:space="preserve"> </w:t>
      </w:r>
      <w:r>
        <w:t>vulnerables</w:t>
      </w:r>
      <w:r>
        <w:rPr>
          <w:spacing w:val="-13"/>
        </w:rPr>
        <w:t xml:space="preserve"> </w:t>
      </w:r>
      <w:r>
        <w:t>agudizó</w:t>
      </w:r>
      <w:r>
        <w:rPr>
          <w:spacing w:val="-13"/>
        </w:rPr>
        <w:t xml:space="preserve"> </w:t>
      </w:r>
      <w:r>
        <w:t>la</w:t>
      </w:r>
      <w:r>
        <w:rPr>
          <w:spacing w:val="-13"/>
        </w:rPr>
        <w:t xml:space="preserve"> </w:t>
      </w:r>
      <w:r>
        <w:t>violencia</w:t>
      </w:r>
      <w:r>
        <w:rPr>
          <w:spacing w:val="-13"/>
        </w:rPr>
        <w:t xml:space="preserve"> </w:t>
      </w:r>
      <w:r>
        <w:t>de</w:t>
      </w:r>
      <w:r>
        <w:rPr>
          <w:spacing w:val="-14"/>
        </w:rPr>
        <w:t xml:space="preserve"> </w:t>
      </w:r>
      <w:r>
        <w:t>los</w:t>
      </w:r>
      <w:r>
        <w:rPr>
          <w:spacing w:val="-14"/>
        </w:rPr>
        <w:t xml:space="preserve"> </w:t>
      </w:r>
      <w:r>
        <w:t>actores armados contra los pueblos étnicos.</w:t>
      </w:r>
    </w:p>
    <w:p w:rsidR="003804AC" w:rsidRDefault="00AF18A5" w:rsidP="002047F7">
      <w:r>
        <w:t xml:space="preserve">En el caso del pueblo emberá </w:t>
      </w:r>
      <w:proofErr w:type="spellStart"/>
      <w:r>
        <w:t>katío</w:t>
      </w:r>
      <w:proofErr w:type="spellEnd"/>
      <w:r>
        <w:t xml:space="preserve"> del Alto Sinú, la construcción de la </w:t>
      </w:r>
      <w:r>
        <w:lastRenderedPageBreak/>
        <w:t>Central Hidroeléctrica</w:t>
      </w:r>
      <w:r>
        <w:rPr>
          <w:spacing w:val="-9"/>
        </w:rPr>
        <w:t xml:space="preserve"> </w:t>
      </w:r>
      <w:r>
        <w:t>de</w:t>
      </w:r>
      <w:r>
        <w:rPr>
          <w:spacing w:val="-9"/>
        </w:rPr>
        <w:t xml:space="preserve"> </w:t>
      </w:r>
      <w:proofErr w:type="spellStart"/>
      <w:r>
        <w:t>Urrá</w:t>
      </w:r>
      <w:proofErr w:type="spellEnd"/>
      <w:r>
        <w:t>,</w:t>
      </w:r>
      <w:r>
        <w:rPr>
          <w:spacing w:val="-10"/>
        </w:rPr>
        <w:t xml:space="preserve"> </w:t>
      </w:r>
      <w:r>
        <w:t>hecha</w:t>
      </w:r>
      <w:r>
        <w:rPr>
          <w:spacing w:val="-9"/>
        </w:rPr>
        <w:t xml:space="preserve"> </w:t>
      </w:r>
      <w:r>
        <w:t>a</w:t>
      </w:r>
      <w:r>
        <w:rPr>
          <w:spacing w:val="-9"/>
        </w:rPr>
        <w:t xml:space="preserve"> </w:t>
      </w:r>
      <w:r>
        <w:t>principios</w:t>
      </w:r>
      <w:r>
        <w:rPr>
          <w:spacing w:val="-10"/>
        </w:rPr>
        <w:t xml:space="preserve"> </w:t>
      </w:r>
      <w:r>
        <w:t>de</w:t>
      </w:r>
      <w:r>
        <w:rPr>
          <w:spacing w:val="-11"/>
        </w:rPr>
        <w:t xml:space="preserve"> </w:t>
      </w:r>
      <w:r>
        <w:t>los</w:t>
      </w:r>
      <w:r>
        <w:rPr>
          <w:spacing w:val="-11"/>
        </w:rPr>
        <w:t xml:space="preserve"> </w:t>
      </w:r>
      <w:r>
        <w:t>años</w:t>
      </w:r>
      <w:r>
        <w:rPr>
          <w:spacing w:val="-10"/>
        </w:rPr>
        <w:t xml:space="preserve"> </w:t>
      </w:r>
      <w:r>
        <w:t>noventa,</w:t>
      </w:r>
      <w:r>
        <w:rPr>
          <w:spacing w:val="-11"/>
        </w:rPr>
        <w:t xml:space="preserve"> </w:t>
      </w:r>
      <w:r>
        <w:t>estimuló</w:t>
      </w:r>
      <w:r>
        <w:rPr>
          <w:spacing w:val="-11"/>
        </w:rPr>
        <w:t xml:space="preserve"> </w:t>
      </w:r>
      <w:r>
        <w:t>la</w:t>
      </w:r>
      <w:r>
        <w:rPr>
          <w:spacing w:val="-12"/>
        </w:rPr>
        <w:t xml:space="preserve"> </w:t>
      </w:r>
      <w:r>
        <w:t>confluencia</w:t>
      </w:r>
      <w:r>
        <w:rPr>
          <w:spacing w:val="-11"/>
        </w:rPr>
        <w:t xml:space="preserve"> </w:t>
      </w:r>
      <w:r>
        <w:t>de</w:t>
      </w:r>
      <w:r>
        <w:rPr>
          <w:spacing w:val="-9"/>
        </w:rPr>
        <w:t xml:space="preserve"> </w:t>
      </w:r>
      <w:r>
        <w:t>las guerrillas</w:t>
      </w:r>
      <w:r>
        <w:rPr>
          <w:spacing w:val="-3"/>
        </w:rPr>
        <w:t xml:space="preserve"> </w:t>
      </w:r>
      <w:r>
        <w:t>del</w:t>
      </w:r>
      <w:r>
        <w:rPr>
          <w:spacing w:val="-3"/>
        </w:rPr>
        <w:t xml:space="preserve"> </w:t>
      </w:r>
      <w:r>
        <w:t>EPL</w:t>
      </w:r>
      <w:r>
        <w:rPr>
          <w:spacing w:val="-4"/>
        </w:rPr>
        <w:t xml:space="preserve"> </w:t>
      </w:r>
      <w:r>
        <w:t>y</w:t>
      </w:r>
      <w:r>
        <w:rPr>
          <w:spacing w:val="-3"/>
        </w:rPr>
        <w:t xml:space="preserve"> </w:t>
      </w:r>
      <w:r>
        <w:t>de</w:t>
      </w:r>
      <w:r>
        <w:rPr>
          <w:spacing w:val="-4"/>
        </w:rPr>
        <w:t xml:space="preserve"> </w:t>
      </w:r>
      <w:r>
        <w:t>las</w:t>
      </w:r>
      <w:r>
        <w:rPr>
          <w:spacing w:val="-3"/>
        </w:rPr>
        <w:t xml:space="preserve"> </w:t>
      </w:r>
      <w:r>
        <w:t>FARC</w:t>
      </w:r>
      <w:r>
        <w:rPr>
          <w:spacing w:val="-4"/>
        </w:rPr>
        <w:t xml:space="preserve"> </w:t>
      </w:r>
      <w:r>
        <w:t>y</w:t>
      </w:r>
      <w:r>
        <w:rPr>
          <w:spacing w:val="-3"/>
        </w:rPr>
        <w:t xml:space="preserve"> </w:t>
      </w:r>
      <w:r>
        <w:t>los</w:t>
      </w:r>
      <w:r>
        <w:rPr>
          <w:spacing w:val="-3"/>
        </w:rPr>
        <w:t xml:space="preserve"> </w:t>
      </w:r>
      <w:r>
        <w:t>grupos</w:t>
      </w:r>
      <w:r>
        <w:rPr>
          <w:spacing w:val="-4"/>
        </w:rPr>
        <w:t xml:space="preserve"> </w:t>
      </w:r>
      <w:r>
        <w:t>paramilitares</w:t>
      </w:r>
      <w:r>
        <w:rPr>
          <w:spacing w:val="-3"/>
        </w:rPr>
        <w:t xml:space="preserve"> </w:t>
      </w:r>
      <w:r>
        <w:t>de</w:t>
      </w:r>
      <w:r>
        <w:rPr>
          <w:spacing w:val="-3"/>
        </w:rPr>
        <w:t xml:space="preserve"> </w:t>
      </w:r>
      <w:r>
        <w:t>las</w:t>
      </w:r>
      <w:r>
        <w:rPr>
          <w:spacing w:val="-4"/>
        </w:rPr>
        <w:t xml:space="preserve"> </w:t>
      </w:r>
      <w:r>
        <w:t>AUC.</w:t>
      </w:r>
      <w:r>
        <w:rPr>
          <w:spacing w:val="-3"/>
        </w:rPr>
        <w:t xml:space="preserve"> </w:t>
      </w:r>
      <w:r>
        <w:t>Estos</w:t>
      </w:r>
      <w:r>
        <w:rPr>
          <w:spacing w:val="-3"/>
        </w:rPr>
        <w:t xml:space="preserve"> </w:t>
      </w:r>
      <w:r>
        <w:t>asesinaron</w:t>
      </w:r>
      <w:r>
        <w:rPr>
          <w:spacing w:val="-3"/>
        </w:rPr>
        <w:t xml:space="preserve"> </w:t>
      </w:r>
      <w:r>
        <w:t>y desaparecieron a varios líderes, autoridades étnicas y miembros de este pueblo, luego de estigmatizarlos como colaboradores o aliados de grupos adversarios. El excomandante Salvatore Mancuso reconoció ante la Comisión de la Verdad su responsabilidad en la desaparición</w:t>
      </w:r>
      <w:r>
        <w:rPr>
          <w:spacing w:val="-15"/>
        </w:rPr>
        <w:t xml:space="preserve"> </w:t>
      </w:r>
      <w:r>
        <w:t>forzada</w:t>
      </w:r>
      <w:r>
        <w:rPr>
          <w:spacing w:val="-14"/>
        </w:rPr>
        <w:t xml:space="preserve"> </w:t>
      </w:r>
      <w:r>
        <w:t>y</w:t>
      </w:r>
      <w:r>
        <w:rPr>
          <w:spacing w:val="-14"/>
        </w:rPr>
        <w:t xml:space="preserve"> </w:t>
      </w:r>
      <w:r>
        <w:t>el</w:t>
      </w:r>
      <w:r>
        <w:rPr>
          <w:spacing w:val="-15"/>
        </w:rPr>
        <w:t xml:space="preserve"> </w:t>
      </w:r>
      <w:r>
        <w:t>homicidio</w:t>
      </w:r>
      <w:r>
        <w:rPr>
          <w:spacing w:val="-14"/>
        </w:rPr>
        <w:t xml:space="preserve"> </w:t>
      </w:r>
      <w:r>
        <w:t>del</w:t>
      </w:r>
      <w:r>
        <w:rPr>
          <w:spacing w:val="-14"/>
        </w:rPr>
        <w:t xml:space="preserve"> </w:t>
      </w:r>
      <w:r>
        <w:t>líder</w:t>
      </w:r>
      <w:r>
        <w:rPr>
          <w:spacing w:val="-14"/>
        </w:rPr>
        <w:t xml:space="preserve"> </w:t>
      </w:r>
      <w:r>
        <w:t>indígena</w:t>
      </w:r>
      <w:r>
        <w:rPr>
          <w:spacing w:val="-14"/>
        </w:rPr>
        <w:t xml:space="preserve"> </w:t>
      </w:r>
      <w:proofErr w:type="spellStart"/>
      <w:r>
        <w:t>Kimy</w:t>
      </w:r>
      <w:proofErr w:type="spellEnd"/>
      <w:r>
        <w:rPr>
          <w:spacing w:val="-14"/>
        </w:rPr>
        <w:t xml:space="preserve"> </w:t>
      </w:r>
      <w:r>
        <w:t>Pernía</w:t>
      </w:r>
      <w:r>
        <w:rPr>
          <w:spacing w:val="-14"/>
        </w:rPr>
        <w:t xml:space="preserve"> </w:t>
      </w:r>
      <w:proofErr w:type="spellStart"/>
      <w:r>
        <w:t>Domicó</w:t>
      </w:r>
      <w:proofErr w:type="spellEnd"/>
      <w:r>
        <w:t>.</w:t>
      </w:r>
      <w:r>
        <w:rPr>
          <w:spacing w:val="-14"/>
        </w:rPr>
        <w:t xml:space="preserve"> </w:t>
      </w:r>
      <w:r>
        <w:t>Mancuso</w:t>
      </w:r>
      <w:r>
        <w:rPr>
          <w:spacing w:val="-14"/>
        </w:rPr>
        <w:t xml:space="preserve"> </w:t>
      </w:r>
      <w:r>
        <w:t xml:space="preserve">señaló en su testimonio que los ataques dirigidos contra las comunidades indígenas estuvieron orientados a debilitar los procesos organizativos y facilitar los espacios de negociación y de consulta previa con la empresa </w:t>
      </w:r>
      <w:proofErr w:type="spellStart"/>
      <w:r>
        <w:t>Urrá</w:t>
      </w:r>
      <w:proofErr w:type="spellEnd"/>
      <w:r>
        <w:t xml:space="preserve"> y el Estado. Las víctimas eran acusadas por el Ejército Nacional de guerrilleras y en el intercambio de información que establecieron con las AUC en el departamento de Córdoba, compartieron censos poblacionales de las comunidades </w:t>
      </w:r>
      <w:r>
        <w:rPr>
          <w:spacing w:val="-2"/>
        </w:rPr>
        <w:t>indígenas.</w:t>
      </w:r>
    </w:p>
    <w:p w:rsidR="0011361F" w:rsidRDefault="00AF18A5" w:rsidP="00CF7E03">
      <w:r>
        <w:t xml:space="preserve">«(…) </w:t>
      </w:r>
      <w:proofErr w:type="gramStart"/>
      <w:r>
        <w:t>Habían</w:t>
      </w:r>
      <w:proofErr w:type="gramEnd"/>
      <w:r>
        <w:t xml:space="preserve"> acusaciones sobre él y las hacía el Estado. Entonces cuando empieza la creación de la represa de</w:t>
      </w:r>
      <w:r>
        <w:rPr>
          <w:spacing w:val="-1"/>
        </w:rPr>
        <w:t xml:space="preserve"> </w:t>
      </w:r>
      <w:proofErr w:type="spellStart"/>
      <w:r>
        <w:t>Urrá</w:t>
      </w:r>
      <w:proofErr w:type="spellEnd"/>
      <w:r>
        <w:t xml:space="preserve"> empieza el señalamiento a las</w:t>
      </w:r>
      <w:r>
        <w:rPr>
          <w:spacing w:val="-1"/>
        </w:rPr>
        <w:t xml:space="preserve"> </w:t>
      </w:r>
      <w:r>
        <w:t>comunidades indígenas</w:t>
      </w:r>
      <w:r>
        <w:rPr>
          <w:spacing w:val="-1"/>
        </w:rPr>
        <w:t xml:space="preserve"> </w:t>
      </w:r>
      <w:r>
        <w:t>que no se</w:t>
      </w:r>
      <w:r>
        <w:rPr>
          <w:spacing w:val="-8"/>
        </w:rPr>
        <w:t xml:space="preserve"> </w:t>
      </w:r>
      <w:r>
        <w:t>tuvo</w:t>
      </w:r>
      <w:r>
        <w:rPr>
          <w:spacing w:val="-10"/>
        </w:rPr>
        <w:t xml:space="preserve"> </w:t>
      </w:r>
      <w:r>
        <w:t>en</w:t>
      </w:r>
      <w:r>
        <w:rPr>
          <w:spacing w:val="-10"/>
        </w:rPr>
        <w:t xml:space="preserve"> </w:t>
      </w:r>
      <w:r>
        <w:t>cuenta</w:t>
      </w:r>
      <w:r>
        <w:rPr>
          <w:spacing w:val="-8"/>
        </w:rPr>
        <w:t xml:space="preserve"> </w:t>
      </w:r>
      <w:r>
        <w:t>y</w:t>
      </w:r>
      <w:r>
        <w:rPr>
          <w:spacing w:val="-10"/>
        </w:rPr>
        <w:t xml:space="preserve"> </w:t>
      </w:r>
      <w:r>
        <w:t>no</w:t>
      </w:r>
      <w:r>
        <w:rPr>
          <w:spacing w:val="-10"/>
        </w:rPr>
        <w:t xml:space="preserve"> </w:t>
      </w:r>
      <w:r>
        <w:t>se</w:t>
      </w:r>
      <w:r>
        <w:rPr>
          <w:spacing w:val="-8"/>
        </w:rPr>
        <w:t xml:space="preserve"> </w:t>
      </w:r>
      <w:r>
        <w:t>les</w:t>
      </w:r>
      <w:r>
        <w:rPr>
          <w:spacing w:val="-8"/>
        </w:rPr>
        <w:t xml:space="preserve"> </w:t>
      </w:r>
      <w:r>
        <w:t>hizo</w:t>
      </w:r>
      <w:r>
        <w:rPr>
          <w:spacing w:val="-8"/>
        </w:rPr>
        <w:t xml:space="preserve"> </w:t>
      </w:r>
      <w:r>
        <w:t>consulta</w:t>
      </w:r>
      <w:r>
        <w:rPr>
          <w:spacing w:val="-9"/>
        </w:rPr>
        <w:t xml:space="preserve"> </w:t>
      </w:r>
      <w:r>
        <w:t>alguna</w:t>
      </w:r>
      <w:r>
        <w:rPr>
          <w:spacing w:val="-8"/>
        </w:rPr>
        <w:t xml:space="preserve"> </w:t>
      </w:r>
      <w:r>
        <w:t>para</w:t>
      </w:r>
      <w:r>
        <w:rPr>
          <w:spacing w:val="-9"/>
        </w:rPr>
        <w:t xml:space="preserve"> </w:t>
      </w:r>
      <w:r>
        <w:t>la</w:t>
      </w:r>
      <w:r>
        <w:rPr>
          <w:spacing w:val="-8"/>
        </w:rPr>
        <w:t xml:space="preserve"> </w:t>
      </w:r>
      <w:r>
        <w:t>creación</w:t>
      </w:r>
      <w:r>
        <w:rPr>
          <w:spacing w:val="-9"/>
        </w:rPr>
        <w:t xml:space="preserve"> </w:t>
      </w:r>
      <w:r>
        <w:t>de</w:t>
      </w:r>
      <w:r>
        <w:rPr>
          <w:spacing w:val="-9"/>
        </w:rPr>
        <w:t xml:space="preserve"> </w:t>
      </w:r>
      <w:r>
        <w:t>la</w:t>
      </w:r>
      <w:r>
        <w:rPr>
          <w:spacing w:val="-9"/>
        </w:rPr>
        <w:t xml:space="preserve"> </w:t>
      </w:r>
      <w:r>
        <w:t>represa</w:t>
      </w:r>
      <w:r>
        <w:rPr>
          <w:spacing w:val="-9"/>
        </w:rPr>
        <w:t xml:space="preserve"> </w:t>
      </w:r>
      <w:proofErr w:type="spellStart"/>
      <w:r>
        <w:t>Urrá</w:t>
      </w:r>
      <w:proofErr w:type="spellEnd"/>
      <w:r>
        <w:rPr>
          <w:spacing w:val="-11"/>
        </w:rPr>
        <w:t xml:space="preserve"> </w:t>
      </w:r>
      <w:r>
        <w:t>(…)</w:t>
      </w:r>
      <w:r>
        <w:rPr>
          <w:spacing w:val="-8"/>
        </w:rPr>
        <w:t xml:space="preserve"> </w:t>
      </w:r>
      <w:r>
        <w:t xml:space="preserve">nos entregaron unos listados y se señalaron de ser personas que estaban siendo parte de estructuras guerrilleras, cuando lo que realmente estaban haciendo era oponerse legítimamente a un tema de la construcción de </w:t>
      </w:r>
      <w:proofErr w:type="spellStart"/>
      <w:r>
        <w:t>Urrá</w:t>
      </w:r>
      <w:proofErr w:type="spellEnd"/>
      <w:r>
        <w:t xml:space="preserve"> y los efectos que esto tenía (…)»</w:t>
      </w:r>
      <w:r w:rsidR="00CF7E03">
        <w:rPr>
          <w:rStyle w:val="Refdenotaalpie"/>
        </w:rPr>
        <w:footnoteReference w:id="1113"/>
      </w:r>
      <w:r>
        <w:t>.</w:t>
      </w:r>
    </w:p>
    <w:p w:rsidR="003804AC" w:rsidRDefault="00AF18A5" w:rsidP="00CF7E03">
      <w:bookmarkStart w:id="1372" w:name="_bookmark1222"/>
      <w:bookmarkEnd w:id="1372"/>
      <w:r>
        <w:t xml:space="preserve">Por otro lado, las dinámicas prohibicionistas impuestas al narcotráfico representan el principal factor de riesgo para el ejercicio material de derechos territoriales, la integridad cultural de las comunidades y la </w:t>
      </w:r>
      <w:r>
        <w:lastRenderedPageBreak/>
        <w:t>conservación de la biodiversidad. Según los reportes de Oficina de las Naciones Unidas contra la Droga y el Delito, «dentro de las zonas de manejo especial, el 42</w:t>
      </w:r>
      <w:r>
        <w:rPr>
          <w:spacing w:val="-2"/>
        </w:rPr>
        <w:t xml:space="preserve"> </w:t>
      </w:r>
      <w:r>
        <w:t>% de la coca se localiza en zonas de reserva forestal. Este es el mayor porcentaje en los últimos 17 años, solo superado en el 2002 y el 2001, con 51</w:t>
      </w:r>
      <w:r>
        <w:rPr>
          <w:spacing w:val="-2"/>
        </w:rPr>
        <w:t xml:space="preserve"> </w:t>
      </w:r>
      <w:r>
        <w:t>% y 56</w:t>
      </w:r>
      <w:r>
        <w:rPr>
          <w:spacing w:val="-2"/>
        </w:rPr>
        <w:t xml:space="preserve"> </w:t>
      </w:r>
      <w:r>
        <w:t>%, respectivamente. Luego la coca se concentra en las tierras de las comunidades negras con</w:t>
      </w:r>
      <w:r>
        <w:rPr>
          <w:spacing w:val="40"/>
        </w:rPr>
        <w:t xml:space="preserve"> </w:t>
      </w:r>
      <w:r>
        <w:t>32</w:t>
      </w:r>
      <w:r>
        <w:rPr>
          <w:spacing w:val="-2"/>
        </w:rPr>
        <w:t xml:space="preserve"> </w:t>
      </w:r>
      <w:r>
        <w:t>%, dos puntos porcentuales por debajo del año pasado. En seguida están las zonas de resguardos indígenas con el 17 % del total de la coca»</w:t>
      </w:r>
      <w:r w:rsidR="00CF7E03">
        <w:rPr>
          <w:rStyle w:val="Refdenotaalpie"/>
        </w:rPr>
        <w:footnoteReference w:id="1114"/>
      </w:r>
      <w:r>
        <w:t>.</w:t>
      </w:r>
    </w:p>
    <w:p w:rsidR="003804AC" w:rsidRDefault="00AF18A5" w:rsidP="00CF7E03">
      <w:r>
        <w:t>Precisamente, las condiciones de pobreza en el campo, así como las dificultades para transportar y comercializar los productos agrícolas, condujeron a la imposición de los cultivos de coca como única alternativa de sobrevivencia. Así lo enfatiza un periodista entrevistado por la Comisión:</w:t>
      </w:r>
    </w:p>
    <w:p w:rsidR="003804AC" w:rsidRDefault="00AF18A5" w:rsidP="00CF7E03">
      <w:r>
        <w:t>«Quienes se ven, digamos, arrojados al cultivo de coca son comunidades un poco al margen del</w:t>
      </w:r>
      <w:r>
        <w:rPr>
          <w:spacing w:val="-1"/>
        </w:rPr>
        <w:t xml:space="preserve"> </w:t>
      </w:r>
      <w:r>
        <w:t>sistema productivo, de</w:t>
      </w:r>
      <w:r>
        <w:rPr>
          <w:spacing w:val="-1"/>
        </w:rPr>
        <w:t xml:space="preserve"> </w:t>
      </w:r>
      <w:r>
        <w:t>la</w:t>
      </w:r>
      <w:r>
        <w:rPr>
          <w:spacing w:val="-1"/>
        </w:rPr>
        <w:t xml:space="preserve"> </w:t>
      </w:r>
      <w:r>
        <w:t>cadena productiva que</w:t>
      </w:r>
      <w:r>
        <w:rPr>
          <w:spacing w:val="-1"/>
        </w:rPr>
        <w:t xml:space="preserve"> </w:t>
      </w:r>
      <w:r>
        <w:t>hay en el</w:t>
      </w:r>
      <w:r>
        <w:rPr>
          <w:spacing w:val="-1"/>
        </w:rPr>
        <w:t xml:space="preserve"> </w:t>
      </w:r>
      <w:r>
        <w:t>territorio</w:t>
      </w:r>
      <w:r>
        <w:rPr>
          <w:spacing w:val="-1"/>
        </w:rPr>
        <w:t xml:space="preserve"> </w:t>
      </w:r>
      <w:r>
        <w:t>[...] La coca es</w:t>
      </w:r>
      <w:r>
        <w:rPr>
          <w:spacing w:val="-15"/>
        </w:rPr>
        <w:t xml:space="preserve"> </w:t>
      </w:r>
      <w:r>
        <w:t>la</w:t>
      </w:r>
      <w:r>
        <w:rPr>
          <w:spacing w:val="-15"/>
        </w:rPr>
        <w:t xml:space="preserve"> </w:t>
      </w:r>
      <w:r>
        <w:t>única</w:t>
      </w:r>
      <w:r>
        <w:rPr>
          <w:spacing w:val="-15"/>
        </w:rPr>
        <w:t xml:space="preserve"> </w:t>
      </w:r>
      <w:r>
        <w:t>oportunidad</w:t>
      </w:r>
      <w:r>
        <w:rPr>
          <w:spacing w:val="-15"/>
        </w:rPr>
        <w:t xml:space="preserve"> </w:t>
      </w:r>
      <w:r>
        <w:t>real</w:t>
      </w:r>
      <w:r>
        <w:rPr>
          <w:spacing w:val="-15"/>
        </w:rPr>
        <w:t xml:space="preserve"> </w:t>
      </w:r>
      <w:r>
        <w:t>de</w:t>
      </w:r>
      <w:r>
        <w:rPr>
          <w:spacing w:val="-15"/>
        </w:rPr>
        <w:t xml:space="preserve"> </w:t>
      </w:r>
      <w:r>
        <w:t>una</w:t>
      </w:r>
      <w:r>
        <w:rPr>
          <w:spacing w:val="-15"/>
        </w:rPr>
        <w:t xml:space="preserve"> </w:t>
      </w:r>
      <w:r>
        <w:t>sostenibilidad</w:t>
      </w:r>
      <w:r>
        <w:rPr>
          <w:spacing w:val="-15"/>
        </w:rPr>
        <w:t xml:space="preserve"> </w:t>
      </w:r>
      <w:r>
        <w:t>económica,</w:t>
      </w:r>
      <w:r>
        <w:rPr>
          <w:spacing w:val="-15"/>
        </w:rPr>
        <w:t xml:space="preserve"> </w:t>
      </w:r>
      <w:r>
        <w:t>algo</w:t>
      </w:r>
      <w:r>
        <w:rPr>
          <w:spacing w:val="-15"/>
        </w:rPr>
        <w:t xml:space="preserve"> </w:t>
      </w:r>
      <w:r>
        <w:t>que</w:t>
      </w:r>
      <w:r>
        <w:rPr>
          <w:spacing w:val="-15"/>
        </w:rPr>
        <w:t xml:space="preserve"> </w:t>
      </w:r>
      <w:r>
        <w:t>no</w:t>
      </w:r>
      <w:r>
        <w:rPr>
          <w:spacing w:val="-15"/>
        </w:rPr>
        <w:t xml:space="preserve"> </w:t>
      </w:r>
      <w:r>
        <w:t>les</w:t>
      </w:r>
      <w:r>
        <w:rPr>
          <w:spacing w:val="-15"/>
        </w:rPr>
        <w:t xml:space="preserve"> </w:t>
      </w:r>
      <w:r>
        <w:t>ofrece</w:t>
      </w:r>
      <w:r>
        <w:rPr>
          <w:spacing w:val="-15"/>
        </w:rPr>
        <w:t xml:space="preserve"> </w:t>
      </w:r>
      <w:r>
        <w:t>cualquier otro producto en el territorio en el que están»</w:t>
      </w:r>
      <w:r w:rsidR="00CF7E03">
        <w:rPr>
          <w:rStyle w:val="Refdenotaalpie"/>
        </w:rPr>
        <w:footnoteReference w:id="1115"/>
      </w:r>
      <w:r>
        <w:t>.</w:t>
      </w:r>
    </w:p>
    <w:p w:rsidR="003804AC" w:rsidRDefault="00AF18A5" w:rsidP="00CF7E03">
      <w:r>
        <w:t>La discriminación y desterritorialización de estas comunidades excluidas hace que, una vez</w:t>
      </w:r>
      <w:r>
        <w:rPr>
          <w:spacing w:val="-8"/>
        </w:rPr>
        <w:t xml:space="preserve"> </w:t>
      </w:r>
      <w:r>
        <w:t>las</w:t>
      </w:r>
      <w:r>
        <w:rPr>
          <w:spacing w:val="-8"/>
        </w:rPr>
        <w:t xml:space="preserve"> </w:t>
      </w:r>
      <w:r>
        <w:t>víctimas</w:t>
      </w:r>
      <w:r>
        <w:rPr>
          <w:spacing w:val="-8"/>
        </w:rPr>
        <w:t xml:space="preserve"> </w:t>
      </w:r>
      <w:r>
        <w:t>son</w:t>
      </w:r>
      <w:r>
        <w:rPr>
          <w:spacing w:val="-8"/>
        </w:rPr>
        <w:t xml:space="preserve"> </w:t>
      </w:r>
      <w:r>
        <w:t>forzadas</w:t>
      </w:r>
      <w:r>
        <w:rPr>
          <w:spacing w:val="-8"/>
        </w:rPr>
        <w:t xml:space="preserve"> </w:t>
      </w:r>
      <w:r>
        <w:t>al</w:t>
      </w:r>
      <w:r>
        <w:rPr>
          <w:spacing w:val="-8"/>
        </w:rPr>
        <w:t xml:space="preserve"> </w:t>
      </w:r>
      <w:r>
        <w:t>desplazamiento,</w:t>
      </w:r>
      <w:r>
        <w:rPr>
          <w:spacing w:val="-8"/>
        </w:rPr>
        <w:t xml:space="preserve"> </w:t>
      </w:r>
      <w:r>
        <w:t>lleguen</w:t>
      </w:r>
      <w:r>
        <w:rPr>
          <w:spacing w:val="-8"/>
        </w:rPr>
        <w:t xml:space="preserve"> </w:t>
      </w:r>
      <w:r>
        <w:t>a</w:t>
      </w:r>
      <w:r>
        <w:rPr>
          <w:spacing w:val="-8"/>
        </w:rPr>
        <w:t xml:space="preserve"> </w:t>
      </w:r>
      <w:r>
        <w:t>las</w:t>
      </w:r>
      <w:r>
        <w:rPr>
          <w:spacing w:val="-9"/>
        </w:rPr>
        <w:t xml:space="preserve"> </w:t>
      </w:r>
      <w:r>
        <w:t>ciudades,</w:t>
      </w:r>
      <w:r>
        <w:rPr>
          <w:spacing w:val="-8"/>
        </w:rPr>
        <w:t xml:space="preserve"> </w:t>
      </w:r>
      <w:r>
        <w:t>en</w:t>
      </w:r>
      <w:r>
        <w:rPr>
          <w:spacing w:val="-10"/>
        </w:rPr>
        <w:t xml:space="preserve"> </w:t>
      </w:r>
      <w:r>
        <w:t>donde</w:t>
      </w:r>
      <w:r>
        <w:rPr>
          <w:spacing w:val="-8"/>
        </w:rPr>
        <w:t xml:space="preserve"> </w:t>
      </w:r>
      <w:r>
        <w:t>se</w:t>
      </w:r>
      <w:r>
        <w:rPr>
          <w:spacing w:val="-8"/>
        </w:rPr>
        <w:t xml:space="preserve"> </w:t>
      </w:r>
      <w:r>
        <w:t>someten nuevamente a condiciones en que la pobreza y la exclusión se profundizan, fracturando su integridad cultural y haciéndolas engrosar los cinturones de miseria.</w:t>
      </w:r>
    </w:p>
    <w:p w:rsidR="0011361F" w:rsidRDefault="00AF18A5" w:rsidP="004A6EF4">
      <w:pPr>
        <w:pStyle w:val="Ttulo3"/>
        <w:numPr>
          <w:ilvl w:val="1"/>
          <w:numId w:val="16"/>
        </w:numPr>
      </w:pPr>
      <w:bookmarkStart w:id="1373" w:name="10.5._La_continuidad_del_patriarcado_y_l"/>
      <w:bookmarkStart w:id="1374" w:name="_Toc112399656"/>
      <w:bookmarkEnd w:id="1373"/>
      <w:r>
        <w:lastRenderedPageBreak/>
        <w:t>La</w:t>
      </w:r>
      <w:r>
        <w:rPr>
          <w:spacing w:val="-4"/>
        </w:rPr>
        <w:t xml:space="preserve"> </w:t>
      </w:r>
      <w:r>
        <w:t>continuidad</w:t>
      </w:r>
      <w:r>
        <w:rPr>
          <w:spacing w:val="-3"/>
        </w:rPr>
        <w:t xml:space="preserve"> </w:t>
      </w:r>
      <w:r>
        <w:t>del</w:t>
      </w:r>
      <w:r>
        <w:rPr>
          <w:spacing w:val="-1"/>
        </w:rPr>
        <w:t xml:space="preserve"> </w:t>
      </w:r>
      <w:r w:rsidRPr="00CF7E03">
        <w:t>patriarcado</w:t>
      </w:r>
      <w:r>
        <w:rPr>
          <w:spacing w:val="-2"/>
        </w:rPr>
        <w:t xml:space="preserve"> </w:t>
      </w:r>
      <w:r>
        <w:t>y</w:t>
      </w:r>
      <w:r>
        <w:rPr>
          <w:spacing w:val="-2"/>
        </w:rPr>
        <w:t xml:space="preserve"> </w:t>
      </w:r>
      <w:r>
        <w:t>la</w:t>
      </w:r>
      <w:r>
        <w:rPr>
          <w:spacing w:val="-2"/>
        </w:rPr>
        <w:t xml:space="preserve"> </w:t>
      </w:r>
      <w:r>
        <w:t>exacerbación</w:t>
      </w:r>
      <w:r>
        <w:rPr>
          <w:spacing w:val="-2"/>
        </w:rPr>
        <w:t xml:space="preserve"> </w:t>
      </w:r>
      <w:r>
        <w:t>de</w:t>
      </w:r>
      <w:r>
        <w:rPr>
          <w:spacing w:val="-3"/>
        </w:rPr>
        <w:t xml:space="preserve"> </w:t>
      </w:r>
      <w:r>
        <w:t>la</w:t>
      </w:r>
      <w:r>
        <w:rPr>
          <w:spacing w:val="-1"/>
        </w:rPr>
        <w:t xml:space="preserve"> </w:t>
      </w:r>
      <w:r>
        <w:rPr>
          <w:spacing w:val="-2"/>
        </w:rPr>
        <w:t>guerra</w:t>
      </w:r>
      <w:bookmarkEnd w:id="1374"/>
    </w:p>
    <w:p w:rsidR="003804AC" w:rsidRDefault="00AF18A5" w:rsidP="00CF7E03">
      <w:r>
        <w:t>El patriarcado constituye un sistema de relaciones de poder y condiciones sociales asimétricas sobre la base de un poder dominante masculino. Dichas relaciones se extienden a</w:t>
      </w:r>
      <w:r>
        <w:rPr>
          <w:spacing w:val="-6"/>
        </w:rPr>
        <w:t xml:space="preserve"> </w:t>
      </w:r>
      <w:r>
        <w:t>todos</w:t>
      </w:r>
      <w:r>
        <w:rPr>
          <w:spacing w:val="-6"/>
        </w:rPr>
        <w:t xml:space="preserve"> </w:t>
      </w:r>
      <w:r>
        <w:t>los</w:t>
      </w:r>
      <w:r>
        <w:rPr>
          <w:spacing w:val="-6"/>
        </w:rPr>
        <w:t xml:space="preserve"> </w:t>
      </w:r>
      <w:r>
        <w:t>ámbitos</w:t>
      </w:r>
      <w:r>
        <w:rPr>
          <w:spacing w:val="-6"/>
        </w:rPr>
        <w:t xml:space="preserve"> </w:t>
      </w:r>
      <w:r>
        <w:t>de</w:t>
      </w:r>
      <w:r>
        <w:rPr>
          <w:spacing w:val="-6"/>
        </w:rPr>
        <w:t xml:space="preserve"> </w:t>
      </w:r>
      <w:r>
        <w:t>la</w:t>
      </w:r>
      <w:r>
        <w:rPr>
          <w:spacing w:val="-6"/>
        </w:rPr>
        <w:t xml:space="preserve"> </w:t>
      </w:r>
      <w:r>
        <w:t>vida</w:t>
      </w:r>
      <w:r>
        <w:rPr>
          <w:spacing w:val="-5"/>
        </w:rPr>
        <w:t xml:space="preserve"> </w:t>
      </w:r>
      <w:r>
        <w:t>familiar,</w:t>
      </w:r>
      <w:r>
        <w:rPr>
          <w:spacing w:val="-5"/>
        </w:rPr>
        <w:t xml:space="preserve"> </w:t>
      </w:r>
      <w:r>
        <w:t>social,</w:t>
      </w:r>
      <w:r>
        <w:rPr>
          <w:spacing w:val="-6"/>
        </w:rPr>
        <w:t xml:space="preserve"> </w:t>
      </w:r>
      <w:r>
        <w:t>cultural,</w:t>
      </w:r>
      <w:r>
        <w:rPr>
          <w:spacing w:val="-5"/>
        </w:rPr>
        <w:t xml:space="preserve"> </w:t>
      </w:r>
      <w:r>
        <w:t>económica</w:t>
      </w:r>
      <w:r>
        <w:rPr>
          <w:spacing w:val="-6"/>
        </w:rPr>
        <w:t xml:space="preserve"> </w:t>
      </w:r>
      <w:r>
        <w:t>y</w:t>
      </w:r>
      <w:r>
        <w:rPr>
          <w:spacing w:val="-5"/>
        </w:rPr>
        <w:t xml:space="preserve"> </w:t>
      </w:r>
      <w:r>
        <w:t>política.</w:t>
      </w:r>
      <w:r>
        <w:rPr>
          <w:spacing w:val="-5"/>
        </w:rPr>
        <w:t xml:space="preserve"> </w:t>
      </w:r>
      <w:r>
        <w:t>Se</w:t>
      </w:r>
      <w:r>
        <w:rPr>
          <w:spacing w:val="-6"/>
        </w:rPr>
        <w:t xml:space="preserve"> </w:t>
      </w:r>
      <w:r>
        <w:t>inscriben</w:t>
      </w:r>
      <w:r>
        <w:rPr>
          <w:spacing w:val="-5"/>
        </w:rPr>
        <w:t xml:space="preserve"> en</w:t>
      </w:r>
      <w:bookmarkStart w:id="1375" w:name="_bookmark1224"/>
      <w:bookmarkStart w:id="1376" w:name="_bookmark1225"/>
      <w:bookmarkEnd w:id="1375"/>
      <w:bookmarkEnd w:id="1376"/>
      <w:r w:rsidR="00CF7E03">
        <w:t xml:space="preserve"> </w:t>
      </w:r>
      <w:r>
        <w:rPr>
          <w:spacing w:val="-2"/>
        </w:rPr>
        <w:t>la</w:t>
      </w:r>
      <w:r>
        <w:rPr>
          <w:spacing w:val="-6"/>
        </w:rPr>
        <w:t xml:space="preserve"> </w:t>
      </w:r>
      <w:r>
        <w:rPr>
          <w:spacing w:val="-2"/>
        </w:rPr>
        <w:t>cultura.</w:t>
      </w:r>
      <w:r>
        <w:rPr>
          <w:spacing w:val="-6"/>
        </w:rPr>
        <w:t xml:space="preserve"> </w:t>
      </w:r>
      <w:r>
        <w:rPr>
          <w:spacing w:val="-2"/>
        </w:rPr>
        <w:t>El</w:t>
      </w:r>
      <w:r>
        <w:rPr>
          <w:spacing w:val="-7"/>
        </w:rPr>
        <w:t xml:space="preserve"> </w:t>
      </w:r>
      <w:r>
        <w:rPr>
          <w:spacing w:val="-2"/>
        </w:rPr>
        <w:t>sistema</w:t>
      </w:r>
      <w:r>
        <w:rPr>
          <w:spacing w:val="-7"/>
        </w:rPr>
        <w:t xml:space="preserve"> </w:t>
      </w:r>
      <w:r>
        <w:rPr>
          <w:spacing w:val="-2"/>
        </w:rPr>
        <w:t>patriarcal</w:t>
      </w:r>
      <w:r>
        <w:rPr>
          <w:spacing w:val="-5"/>
        </w:rPr>
        <w:t xml:space="preserve"> </w:t>
      </w:r>
      <w:r>
        <w:rPr>
          <w:spacing w:val="-2"/>
        </w:rPr>
        <w:t>hace</w:t>
      </w:r>
      <w:r>
        <w:rPr>
          <w:spacing w:val="-6"/>
        </w:rPr>
        <w:t xml:space="preserve"> </w:t>
      </w:r>
      <w:r>
        <w:rPr>
          <w:spacing w:val="-2"/>
        </w:rPr>
        <w:t>que</w:t>
      </w:r>
      <w:r>
        <w:rPr>
          <w:spacing w:val="-6"/>
        </w:rPr>
        <w:t xml:space="preserve"> </w:t>
      </w:r>
      <w:r>
        <w:rPr>
          <w:spacing w:val="-2"/>
        </w:rPr>
        <w:t>la</w:t>
      </w:r>
      <w:r>
        <w:rPr>
          <w:spacing w:val="-6"/>
        </w:rPr>
        <w:t xml:space="preserve"> </w:t>
      </w:r>
      <w:r>
        <w:rPr>
          <w:spacing w:val="-2"/>
        </w:rPr>
        <w:t>desigualdad</w:t>
      </w:r>
      <w:r>
        <w:rPr>
          <w:spacing w:val="-6"/>
        </w:rPr>
        <w:t xml:space="preserve"> </w:t>
      </w:r>
      <w:r>
        <w:rPr>
          <w:spacing w:val="-2"/>
        </w:rPr>
        <w:t>se</w:t>
      </w:r>
      <w:r>
        <w:rPr>
          <w:spacing w:val="-6"/>
        </w:rPr>
        <w:t xml:space="preserve"> </w:t>
      </w:r>
      <w:r>
        <w:rPr>
          <w:spacing w:val="-2"/>
        </w:rPr>
        <w:t>perpetúe</w:t>
      </w:r>
      <w:r>
        <w:rPr>
          <w:spacing w:val="-6"/>
        </w:rPr>
        <w:t xml:space="preserve"> </w:t>
      </w:r>
      <w:r>
        <w:rPr>
          <w:spacing w:val="-2"/>
        </w:rPr>
        <w:t>en</w:t>
      </w:r>
      <w:r>
        <w:rPr>
          <w:spacing w:val="-7"/>
        </w:rPr>
        <w:t xml:space="preserve"> </w:t>
      </w:r>
      <w:r>
        <w:rPr>
          <w:spacing w:val="-2"/>
        </w:rPr>
        <w:t>formas</w:t>
      </w:r>
      <w:r>
        <w:rPr>
          <w:spacing w:val="-6"/>
        </w:rPr>
        <w:t xml:space="preserve"> </w:t>
      </w:r>
      <w:r>
        <w:rPr>
          <w:spacing w:val="-2"/>
        </w:rPr>
        <w:t>de</w:t>
      </w:r>
      <w:r>
        <w:rPr>
          <w:spacing w:val="-6"/>
        </w:rPr>
        <w:t xml:space="preserve"> </w:t>
      </w:r>
      <w:r>
        <w:rPr>
          <w:spacing w:val="-2"/>
        </w:rPr>
        <w:t xml:space="preserve">pensamiento </w:t>
      </w:r>
      <w:r>
        <w:t>y</w:t>
      </w:r>
      <w:r>
        <w:rPr>
          <w:spacing w:val="-5"/>
        </w:rPr>
        <w:t xml:space="preserve"> </w:t>
      </w:r>
      <w:r>
        <w:t>de</w:t>
      </w:r>
      <w:r>
        <w:rPr>
          <w:spacing w:val="-5"/>
        </w:rPr>
        <w:t xml:space="preserve"> </w:t>
      </w:r>
      <w:r>
        <w:t>relacionarse,</w:t>
      </w:r>
      <w:r>
        <w:rPr>
          <w:spacing w:val="-5"/>
        </w:rPr>
        <w:t xml:space="preserve"> </w:t>
      </w:r>
      <w:r>
        <w:t>que</w:t>
      </w:r>
      <w:r>
        <w:rPr>
          <w:spacing w:val="-5"/>
        </w:rPr>
        <w:t xml:space="preserve"> </w:t>
      </w:r>
      <w:r>
        <w:t>se</w:t>
      </w:r>
      <w:r>
        <w:rPr>
          <w:spacing w:val="-6"/>
        </w:rPr>
        <w:t xml:space="preserve"> </w:t>
      </w:r>
      <w:r>
        <w:t>instalan</w:t>
      </w:r>
      <w:r>
        <w:rPr>
          <w:spacing w:val="-6"/>
        </w:rPr>
        <w:t xml:space="preserve"> </w:t>
      </w:r>
      <w:r>
        <w:t>en</w:t>
      </w:r>
      <w:r>
        <w:rPr>
          <w:spacing w:val="-6"/>
        </w:rPr>
        <w:t xml:space="preserve"> </w:t>
      </w:r>
      <w:r>
        <w:t>narrativas,</w:t>
      </w:r>
      <w:r>
        <w:rPr>
          <w:spacing w:val="-5"/>
        </w:rPr>
        <w:t xml:space="preserve"> </w:t>
      </w:r>
      <w:r>
        <w:t>en</w:t>
      </w:r>
      <w:r>
        <w:rPr>
          <w:spacing w:val="-5"/>
        </w:rPr>
        <w:t xml:space="preserve"> </w:t>
      </w:r>
      <w:r>
        <w:t>las</w:t>
      </w:r>
      <w:r>
        <w:rPr>
          <w:spacing w:val="-6"/>
        </w:rPr>
        <w:t xml:space="preserve"> </w:t>
      </w:r>
      <w:r>
        <w:t>instituciones,</w:t>
      </w:r>
      <w:r>
        <w:rPr>
          <w:spacing w:val="-5"/>
        </w:rPr>
        <w:t xml:space="preserve"> </w:t>
      </w:r>
      <w:r>
        <w:t>en</w:t>
      </w:r>
      <w:r>
        <w:rPr>
          <w:spacing w:val="-6"/>
        </w:rPr>
        <w:t xml:space="preserve"> </w:t>
      </w:r>
      <w:r>
        <w:t>las</w:t>
      </w:r>
      <w:r>
        <w:rPr>
          <w:spacing w:val="-6"/>
        </w:rPr>
        <w:t xml:space="preserve"> </w:t>
      </w:r>
      <w:r>
        <w:t>leyes,</w:t>
      </w:r>
      <w:r>
        <w:rPr>
          <w:spacing w:val="-6"/>
        </w:rPr>
        <w:t xml:space="preserve"> </w:t>
      </w:r>
      <w:r>
        <w:t>y</w:t>
      </w:r>
      <w:r>
        <w:rPr>
          <w:spacing w:val="-5"/>
        </w:rPr>
        <w:t xml:space="preserve"> </w:t>
      </w:r>
      <w:r>
        <w:t>que</w:t>
      </w:r>
      <w:r>
        <w:rPr>
          <w:spacing w:val="-6"/>
        </w:rPr>
        <w:t xml:space="preserve"> </w:t>
      </w:r>
      <w:r>
        <w:t>en</w:t>
      </w:r>
      <w:r>
        <w:rPr>
          <w:spacing w:val="-5"/>
        </w:rPr>
        <w:t xml:space="preserve"> </w:t>
      </w:r>
      <w:r>
        <w:t>las prácticas cotidianas someten a aquellos que consideran inferiores, como las mujeres y las personas sexualmente diversas. Es una forma de organización de la sociedad que jerarquiza a las personas a partir de la forma en que viven su identidad de género y su sexualidad.</w:t>
      </w:r>
    </w:p>
    <w:p w:rsidR="003804AC" w:rsidRDefault="00AF18A5" w:rsidP="00CF7E03">
      <w:r>
        <w:t>Una de las dimensiones más comunes del patriarcado es el entramado de violencias que produce contra las mujeres, las cuales están interconectadas a través de la cultura, en el tiempo,</w:t>
      </w:r>
      <w:r>
        <w:rPr>
          <w:spacing w:val="-6"/>
        </w:rPr>
        <w:t xml:space="preserve"> </w:t>
      </w:r>
      <w:r>
        <w:t>en</w:t>
      </w:r>
      <w:r>
        <w:rPr>
          <w:spacing w:val="-6"/>
        </w:rPr>
        <w:t xml:space="preserve"> </w:t>
      </w:r>
      <w:r>
        <w:t>los</w:t>
      </w:r>
      <w:r>
        <w:rPr>
          <w:spacing w:val="-6"/>
        </w:rPr>
        <w:t xml:space="preserve"> </w:t>
      </w:r>
      <w:r>
        <w:t>ciclos</w:t>
      </w:r>
      <w:r>
        <w:rPr>
          <w:spacing w:val="-6"/>
        </w:rPr>
        <w:t xml:space="preserve"> </w:t>
      </w:r>
      <w:r>
        <w:t>vitales</w:t>
      </w:r>
      <w:r>
        <w:rPr>
          <w:spacing w:val="-6"/>
        </w:rPr>
        <w:t xml:space="preserve"> </w:t>
      </w:r>
      <w:r>
        <w:t>y</w:t>
      </w:r>
      <w:r>
        <w:rPr>
          <w:spacing w:val="-6"/>
        </w:rPr>
        <w:t xml:space="preserve"> </w:t>
      </w:r>
      <w:r>
        <w:t>en</w:t>
      </w:r>
      <w:r>
        <w:rPr>
          <w:spacing w:val="-6"/>
        </w:rPr>
        <w:t xml:space="preserve"> </w:t>
      </w:r>
      <w:r>
        <w:t>diferentes</w:t>
      </w:r>
      <w:r>
        <w:rPr>
          <w:spacing w:val="-6"/>
        </w:rPr>
        <w:t xml:space="preserve"> </w:t>
      </w:r>
      <w:r>
        <w:t>espacios.</w:t>
      </w:r>
      <w:r>
        <w:rPr>
          <w:spacing w:val="-6"/>
        </w:rPr>
        <w:t xml:space="preserve"> </w:t>
      </w:r>
      <w:r>
        <w:t>Las</w:t>
      </w:r>
      <w:r>
        <w:rPr>
          <w:spacing w:val="-6"/>
        </w:rPr>
        <w:t xml:space="preserve"> </w:t>
      </w:r>
      <w:r>
        <w:t>mujeres</w:t>
      </w:r>
      <w:r>
        <w:rPr>
          <w:spacing w:val="-6"/>
        </w:rPr>
        <w:t xml:space="preserve"> </w:t>
      </w:r>
      <w:r>
        <w:t>que</w:t>
      </w:r>
      <w:r>
        <w:rPr>
          <w:spacing w:val="-6"/>
        </w:rPr>
        <w:t xml:space="preserve"> </w:t>
      </w:r>
      <w:r>
        <w:t>dieron</w:t>
      </w:r>
      <w:r>
        <w:rPr>
          <w:spacing w:val="-6"/>
        </w:rPr>
        <w:t xml:space="preserve"> </w:t>
      </w:r>
      <w:r>
        <w:t>su</w:t>
      </w:r>
      <w:r>
        <w:rPr>
          <w:spacing w:val="-6"/>
        </w:rPr>
        <w:t xml:space="preserve"> </w:t>
      </w:r>
      <w:r>
        <w:t>testimonio</w:t>
      </w:r>
      <w:r>
        <w:rPr>
          <w:spacing w:val="-6"/>
        </w:rPr>
        <w:t xml:space="preserve"> </w:t>
      </w:r>
      <w:r>
        <w:t>a la</w:t>
      </w:r>
      <w:r>
        <w:rPr>
          <w:spacing w:val="-3"/>
        </w:rPr>
        <w:t xml:space="preserve"> </w:t>
      </w:r>
      <w:r>
        <w:t>Comisión</w:t>
      </w:r>
      <w:r>
        <w:rPr>
          <w:spacing w:val="-5"/>
        </w:rPr>
        <w:t xml:space="preserve"> </w:t>
      </w:r>
      <w:r>
        <w:t>distinguieron</w:t>
      </w:r>
      <w:r>
        <w:rPr>
          <w:spacing w:val="-3"/>
        </w:rPr>
        <w:t xml:space="preserve"> </w:t>
      </w:r>
      <w:r>
        <w:t>entre</w:t>
      </w:r>
      <w:r>
        <w:rPr>
          <w:spacing w:val="-3"/>
        </w:rPr>
        <w:t xml:space="preserve"> </w:t>
      </w:r>
      <w:r>
        <w:t>el</w:t>
      </w:r>
      <w:r>
        <w:rPr>
          <w:spacing w:val="-3"/>
        </w:rPr>
        <w:t xml:space="preserve"> </w:t>
      </w:r>
      <w:r>
        <w:t>acumulado</w:t>
      </w:r>
      <w:r>
        <w:rPr>
          <w:spacing w:val="-3"/>
        </w:rPr>
        <w:t xml:space="preserve"> </w:t>
      </w:r>
      <w:r>
        <w:t>histórico,</w:t>
      </w:r>
      <w:r>
        <w:rPr>
          <w:spacing w:val="-3"/>
        </w:rPr>
        <w:t xml:space="preserve"> </w:t>
      </w:r>
      <w:r>
        <w:t>al</w:t>
      </w:r>
      <w:r>
        <w:rPr>
          <w:spacing w:val="-3"/>
        </w:rPr>
        <w:t xml:space="preserve"> </w:t>
      </w:r>
      <w:r>
        <w:t>que</w:t>
      </w:r>
      <w:r>
        <w:rPr>
          <w:spacing w:val="-3"/>
        </w:rPr>
        <w:t xml:space="preserve"> </w:t>
      </w:r>
      <w:r>
        <w:t>aludieron</w:t>
      </w:r>
      <w:r>
        <w:rPr>
          <w:spacing w:val="-3"/>
        </w:rPr>
        <w:t xml:space="preserve"> </w:t>
      </w:r>
      <w:r>
        <w:t>sobre</w:t>
      </w:r>
      <w:r>
        <w:rPr>
          <w:spacing w:val="-3"/>
        </w:rPr>
        <w:t xml:space="preserve"> </w:t>
      </w:r>
      <w:r>
        <w:t>todo</w:t>
      </w:r>
      <w:r>
        <w:rPr>
          <w:spacing w:val="-3"/>
        </w:rPr>
        <w:t xml:space="preserve"> </w:t>
      </w:r>
      <w:r>
        <w:t xml:space="preserve">mujeres negras o indígenas, asociado a la esclavitud o a la amenaza de extinción en la conquista, y las violencias que ellas viven en el presente. También se refirieron a las violencias entre el ámbito privado y el público, aludiendo a la continuidad de violencias vividas en el espacio doméstico y familiar y que se reeditan en ámbitos comunitarios y societales. Además, hablaron del </w:t>
      </w:r>
      <w:r>
        <w:rPr>
          <w:i/>
        </w:rPr>
        <w:t xml:space="preserve">continuum </w:t>
      </w:r>
      <w:r>
        <w:t>que conecta las violencias que viven en situaciones de paz con las que ocurren, de manera agravada, en medio del conflicto armado.</w:t>
      </w:r>
    </w:p>
    <w:p w:rsidR="003804AC" w:rsidRDefault="00AF18A5" w:rsidP="00D627AE">
      <w:r>
        <w:t xml:space="preserve">En el marco del conflicto armado el patriarcado se hizo patente en la </w:t>
      </w:r>
      <w:r>
        <w:lastRenderedPageBreak/>
        <w:t>forma de pensar y actuar de todos los actores armados y de terceros civiles. Su forma de ver a las mujeres los llevó a profundizar y recrudecer las violencias, lo cual les representó ventajas frente a sus enemigos. En la guerra, estas vidas fueron frecuentemente objeto de todas las formas de desprecio,</w:t>
      </w:r>
      <w:r>
        <w:rPr>
          <w:spacing w:val="-15"/>
        </w:rPr>
        <w:t xml:space="preserve"> </w:t>
      </w:r>
      <w:r>
        <w:t>lo</w:t>
      </w:r>
      <w:r>
        <w:rPr>
          <w:spacing w:val="-15"/>
        </w:rPr>
        <w:t xml:space="preserve"> </w:t>
      </w:r>
      <w:r>
        <w:t>que</w:t>
      </w:r>
      <w:r>
        <w:rPr>
          <w:spacing w:val="-15"/>
        </w:rPr>
        <w:t xml:space="preserve"> </w:t>
      </w:r>
      <w:r>
        <w:t>reforzó</w:t>
      </w:r>
      <w:r>
        <w:rPr>
          <w:spacing w:val="-15"/>
        </w:rPr>
        <w:t xml:space="preserve"> </w:t>
      </w:r>
      <w:r>
        <w:t>la</w:t>
      </w:r>
      <w:r>
        <w:rPr>
          <w:spacing w:val="-15"/>
        </w:rPr>
        <w:t xml:space="preserve"> </w:t>
      </w:r>
      <w:r>
        <w:t>masculinidad</w:t>
      </w:r>
      <w:r>
        <w:rPr>
          <w:spacing w:val="-15"/>
        </w:rPr>
        <w:t xml:space="preserve"> </w:t>
      </w:r>
      <w:r>
        <w:t>bélica</w:t>
      </w:r>
      <w:r>
        <w:rPr>
          <w:spacing w:val="-15"/>
        </w:rPr>
        <w:t xml:space="preserve"> </w:t>
      </w:r>
      <w:r>
        <w:t>de</w:t>
      </w:r>
      <w:r>
        <w:rPr>
          <w:spacing w:val="-15"/>
        </w:rPr>
        <w:t xml:space="preserve"> </w:t>
      </w:r>
      <w:r>
        <w:t>los</w:t>
      </w:r>
      <w:r>
        <w:rPr>
          <w:spacing w:val="-15"/>
        </w:rPr>
        <w:t xml:space="preserve"> </w:t>
      </w:r>
      <w:r>
        <w:t>hombres</w:t>
      </w:r>
      <w:r>
        <w:rPr>
          <w:spacing w:val="-15"/>
        </w:rPr>
        <w:t xml:space="preserve"> </w:t>
      </w:r>
      <w:r>
        <w:t>en</w:t>
      </w:r>
      <w:r>
        <w:rPr>
          <w:spacing w:val="-15"/>
        </w:rPr>
        <w:t xml:space="preserve"> </w:t>
      </w:r>
      <w:r>
        <w:t>armas,</w:t>
      </w:r>
      <w:r>
        <w:rPr>
          <w:spacing w:val="-15"/>
        </w:rPr>
        <w:t xml:space="preserve"> </w:t>
      </w:r>
      <w:r>
        <w:t>que</w:t>
      </w:r>
      <w:r>
        <w:rPr>
          <w:spacing w:val="-15"/>
        </w:rPr>
        <w:t xml:space="preserve"> </w:t>
      </w:r>
      <w:r>
        <w:t>estaba</w:t>
      </w:r>
      <w:r>
        <w:rPr>
          <w:spacing w:val="-15"/>
        </w:rPr>
        <w:t xml:space="preserve"> </w:t>
      </w:r>
      <w:r>
        <w:t>centrada en la misoginia, el prejuicio, el poder de la fuerza y el uso de la violencia.</w:t>
      </w:r>
    </w:p>
    <w:p w:rsidR="003804AC" w:rsidRDefault="00AF18A5" w:rsidP="00D627AE">
      <w:r>
        <w:t>Las múltiples voces escuchadas por la Comisión permiten identificar que las violencias patriarcales</w:t>
      </w:r>
      <w:r>
        <w:rPr>
          <w:spacing w:val="-1"/>
        </w:rPr>
        <w:t xml:space="preserve"> </w:t>
      </w:r>
      <w:r>
        <w:t>en el marco de la guerra</w:t>
      </w:r>
      <w:r>
        <w:rPr>
          <w:spacing w:val="-1"/>
        </w:rPr>
        <w:t xml:space="preserve"> </w:t>
      </w:r>
      <w:r>
        <w:t>no fueron fortuitas o solo una expresión de una cultura preexistente. Se trató de violencias que tuvieron un rédito estratégico para los actores armados, quienes con el control los cuerpos de las mujeres viabilizaron la disputa, el arrasamiento</w:t>
      </w:r>
      <w:r>
        <w:rPr>
          <w:spacing w:val="-4"/>
        </w:rPr>
        <w:t xml:space="preserve"> </w:t>
      </w:r>
      <w:r>
        <w:t>y</w:t>
      </w:r>
      <w:r>
        <w:rPr>
          <w:spacing w:val="-4"/>
        </w:rPr>
        <w:t xml:space="preserve"> </w:t>
      </w:r>
      <w:r>
        <w:t>el</w:t>
      </w:r>
      <w:r>
        <w:rPr>
          <w:spacing w:val="-3"/>
        </w:rPr>
        <w:t xml:space="preserve"> </w:t>
      </w:r>
      <w:r>
        <w:t>control</w:t>
      </w:r>
      <w:r>
        <w:rPr>
          <w:spacing w:val="-3"/>
        </w:rPr>
        <w:t xml:space="preserve"> </w:t>
      </w:r>
      <w:r>
        <w:t>de</w:t>
      </w:r>
      <w:r>
        <w:rPr>
          <w:spacing w:val="-3"/>
        </w:rPr>
        <w:t xml:space="preserve"> </w:t>
      </w:r>
      <w:r>
        <w:t>los</w:t>
      </w:r>
      <w:r>
        <w:rPr>
          <w:spacing w:val="-3"/>
        </w:rPr>
        <w:t xml:space="preserve"> </w:t>
      </w:r>
      <w:r>
        <w:t>territorios,</w:t>
      </w:r>
      <w:r>
        <w:rPr>
          <w:spacing w:val="-4"/>
        </w:rPr>
        <w:t xml:space="preserve"> </w:t>
      </w:r>
      <w:r>
        <w:t>ya</w:t>
      </w:r>
      <w:r>
        <w:rPr>
          <w:spacing w:val="-3"/>
        </w:rPr>
        <w:t xml:space="preserve"> </w:t>
      </w:r>
      <w:r>
        <w:t>fuera</w:t>
      </w:r>
      <w:r>
        <w:rPr>
          <w:spacing w:val="-3"/>
        </w:rPr>
        <w:t xml:space="preserve"> </w:t>
      </w:r>
      <w:r>
        <w:t>a</w:t>
      </w:r>
      <w:r>
        <w:rPr>
          <w:spacing w:val="-3"/>
        </w:rPr>
        <w:t xml:space="preserve"> </w:t>
      </w:r>
      <w:r>
        <w:t>través</w:t>
      </w:r>
      <w:r>
        <w:rPr>
          <w:spacing w:val="-3"/>
        </w:rPr>
        <w:t xml:space="preserve"> </w:t>
      </w:r>
      <w:r>
        <w:t>del</w:t>
      </w:r>
      <w:r>
        <w:rPr>
          <w:spacing w:val="-3"/>
        </w:rPr>
        <w:t xml:space="preserve"> </w:t>
      </w:r>
      <w:r>
        <w:t>despojo</w:t>
      </w:r>
      <w:r>
        <w:rPr>
          <w:spacing w:val="-4"/>
        </w:rPr>
        <w:t xml:space="preserve"> </w:t>
      </w:r>
      <w:r>
        <w:t>y</w:t>
      </w:r>
      <w:r>
        <w:rPr>
          <w:spacing w:val="-5"/>
        </w:rPr>
        <w:t xml:space="preserve"> </w:t>
      </w:r>
      <w:r>
        <w:t>el</w:t>
      </w:r>
      <w:r>
        <w:rPr>
          <w:spacing w:val="-3"/>
        </w:rPr>
        <w:t xml:space="preserve"> </w:t>
      </w:r>
      <w:r>
        <w:t>desplazamiento o estableciendo su autoridad en las zonas que habían consolidado.</w:t>
      </w:r>
    </w:p>
    <w:p w:rsidR="003804AC" w:rsidRDefault="00AF18A5" w:rsidP="007C05E1">
      <w:r>
        <w:t>Los grupos armados fungieron como autoridad moral imponiendo normas orientadas a regular los comportamientos especialmente de jóvenes y mujeres. Entonces impusieron reglas como códigos indumentarios y toques de queda. Las mujeres se convirtieron en objetivo</w:t>
      </w:r>
      <w:r>
        <w:rPr>
          <w:spacing w:val="-1"/>
        </w:rPr>
        <w:t xml:space="preserve"> </w:t>
      </w:r>
      <w:r>
        <w:t>militar,</w:t>
      </w:r>
      <w:r>
        <w:rPr>
          <w:spacing w:val="-1"/>
        </w:rPr>
        <w:t xml:space="preserve"> </w:t>
      </w:r>
      <w:r>
        <w:t>bien</w:t>
      </w:r>
      <w:r>
        <w:rPr>
          <w:spacing w:val="-1"/>
        </w:rPr>
        <w:t xml:space="preserve"> </w:t>
      </w:r>
      <w:r>
        <w:t>fuera</w:t>
      </w:r>
      <w:r>
        <w:rPr>
          <w:spacing w:val="-1"/>
        </w:rPr>
        <w:t xml:space="preserve"> </w:t>
      </w:r>
      <w:r>
        <w:t>por</w:t>
      </w:r>
      <w:r>
        <w:rPr>
          <w:spacing w:val="-2"/>
        </w:rPr>
        <w:t xml:space="preserve"> </w:t>
      </w:r>
      <w:r>
        <w:t>transgredir</w:t>
      </w:r>
      <w:r>
        <w:rPr>
          <w:spacing w:val="-2"/>
        </w:rPr>
        <w:t xml:space="preserve"> </w:t>
      </w:r>
      <w:r>
        <w:t>roles</w:t>
      </w:r>
      <w:r>
        <w:rPr>
          <w:spacing w:val="-1"/>
        </w:rPr>
        <w:t xml:space="preserve"> </w:t>
      </w:r>
      <w:r>
        <w:t>de</w:t>
      </w:r>
      <w:r>
        <w:rPr>
          <w:spacing w:val="-1"/>
        </w:rPr>
        <w:t xml:space="preserve"> </w:t>
      </w:r>
      <w:r>
        <w:t>género,</w:t>
      </w:r>
      <w:r>
        <w:rPr>
          <w:spacing w:val="-2"/>
        </w:rPr>
        <w:t xml:space="preserve"> </w:t>
      </w:r>
      <w:r>
        <w:t>retar</w:t>
      </w:r>
      <w:r>
        <w:rPr>
          <w:spacing w:val="-1"/>
        </w:rPr>
        <w:t xml:space="preserve"> </w:t>
      </w:r>
      <w:r>
        <w:t>las</w:t>
      </w:r>
      <w:r>
        <w:rPr>
          <w:spacing w:val="-1"/>
        </w:rPr>
        <w:t xml:space="preserve"> </w:t>
      </w:r>
      <w:r>
        <w:t>normas</w:t>
      </w:r>
      <w:r>
        <w:rPr>
          <w:spacing w:val="-1"/>
        </w:rPr>
        <w:t xml:space="preserve"> </w:t>
      </w:r>
      <w:r>
        <w:t>impuestas</w:t>
      </w:r>
      <w:r>
        <w:rPr>
          <w:spacing w:val="-2"/>
        </w:rPr>
        <w:t xml:space="preserve"> </w:t>
      </w:r>
      <w:r>
        <w:t>o</w:t>
      </w:r>
      <w:r>
        <w:rPr>
          <w:spacing w:val="-1"/>
        </w:rPr>
        <w:t xml:space="preserve"> </w:t>
      </w:r>
      <w:r>
        <w:t>por ser consideradas «depositarias» del honor de las comunidades y por tanto un blanco para humillar</w:t>
      </w:r>
      <w:r>
        <w:rPr>
          <w:spacing w:val="-8"/>
        </w:rPr>
        <w:t xml:space="preserve"> </w:t>
      </w:r>
      <w:r>
        <w:t>al</w:t>
      </w:r>
      <w:r>
        <w:rPr>
          <w:spacing w:val="-8"/>
        </w:rPr>
        <w:t xml:space="preserve"> </w:t>
      </w:r>
      <w:r>
        <w:t>adversario.</w:t>
      </w:r>
      <w:r>
        <w:rPr>
          <w:spacing w:val="-7"/>
        </w:rPr>
        <w:t xml:space="preserve"> </w:t>
      </w:r>
      <w:r>
        <w:t>Muy</w:t>
      </w:r>
      <w:r>
        <w:rPr>
          <w:spacing w:val="-7"/>
        </w:rPr>
        <w:t xml:space="preserve"> </w:t>
      </w:r>
      <w:r>
        <w:t>pronto</w:t>
      </w:r>
      <w:r>
        <w:rPr>
          <w:spacing w:val="-8"/>
        </w:rPr>
        <w:t xml:space="preserve"> </w:t>
      </w:r>
      <w:r>
        <w:t>entendieron</w:t>
      </w:r>
      <w:r>
        <w:rPr>
          <w:spacing w:val="-7"/>
        </w:rPr>
        <w:t xml:space="preserve"> </w:t>
      </w:r>
      <w:r>
        <w:t>que</w:t>
      </w:r>
      <w:r>
        <w:rPr>
          <w:spacing w:val="-7"/>
        </w:rPr>
        <w:t xml:space="preserve"> </w:t>
      </w:r>
      <w:r>
        <w:t>atacar</w:t>
      </w:r>
      <w:r>
        <w:rPr>
          <w:spacing w:val="-8"/>
        </w:rPr>
        <w:t xml:space="preserve"> </w:t>
      </w:r>
      <w:r>
        <w:t>a</w:t>
      </w:r>
      <w:r>
        <w:rPr>
          <w:spacing w:val="-8"/>
        </w:rPr>
        <w:t xml:space="preserve"> </w:t>
      </w:r>
      <w:r>
        <w:t>las</w:t>
      </w:r>
      <w:r>
        <w:rPr>
          <w:spacing w:val="-8"/>
        </w:rPr>
        <w:t xml:space="preserve"> </w:t>
      </w:r>
      <w:r>
        <w:t>mujeres</w:t>
      </w:r>
      <w:r>
        <w:rPr>
          <w:spacing w:val="-8"/>
        </w:rPr>
        <w:t xml:space="preserve"> </w:t>
      </w:r>
      <w:r>
        <w:t>significaba</w:t>
      </w:r>
      <w:r>
        <w:rPr>
          <w:spacing w:val="-8"/>
        </w:rPr>
        <w:t xml:space="preserve"> </w:t>
      </w:r>
      <w:r>
        <w:t>atacar</w:t>
      </w:r>
      <w:r>
        <w:rPr>
          <w:spacing w:val="-7"/>
        </w:rPr>
        <w:t xml:space="preserve"> </w:t>
      </w:r>
      <w:r>
        <w:t xml:space="preserve">al conjunto de la comunidad y su tejido social. Desplazar a las mujeres es desplazar a las familias, pues ellas salen con sus hijos, con los ancianos, con todos aquellos que estén a su cargo. Romper el tejido social era afectar a los hijos, acabar con las familias, amenazar los hogares, destruir los cultivos, dañar los ecosistemas, fracturar la comunidad. Las </w:t>
      </w:r>
      <w:r>
        <w:lastRenderedPageBreak/>
        <w:t>mujeres eran</w:t>
      </w:r>
      <w:r>
        <w:rPr>
          <w:spacing w:val="-8"/>
        </w:rPr>
        <w:t xml:space="preserve"> </w:t>
      </w:r>
      <w:r>
        <w:t>el</w:t>
      </w:r>
      <w:r>
        <w:rPr>
          <w:spacing w:val="-8"/>
        </w:rPr>
        <w:t xml:space="preserve"> </w:t>
      </w:r>
      <w:r>
        <w:t>sostén</w:t>
      </w:r>
      <w:r>
        <w:rPr>
          <w:spacing w:val="-8"/>
        </w:rPr>
        <w:t xml:space="preserve"> </w:t>
      </w:r>
      <w:r>
        <w:t>familiar</w:t>
      </w:r>
      <w:r>
        <w:rPr>
          <w:spacing w:val="-8"/>
        </w:rPr>
        <w:t xml:space="preserve"> </w:t>
      </w:r>
      <w:r>
        <w:t>y</w:t>
      </w:r>
      <w:r>
        <w:rPr>
          <w:spacing w:val="-8"/>
        </w:rPr>
        <w:t xml:space="preserve"> </w:t>
      </w:r>
      <w:r>
        <w:t>comunitario,</w:t>
      </w:r>
      <w:r>
        <w:rPr>
          <w:spacing w:val="-10"/>
        </w:rPr>
        <w:t xml:space="preserve"> </w:t>
      </w:r>
      <w:r>
        <w:t>pues</w:t>
      </w:r>
      <w:r>
        <w:rPr>
          <w:spacing w:val="-8"/>
        </w:rPr>
        <w:t xml:space="preserve"> </w:t>
      </w:r>
      <w:r>
        <w:t>se</w:t>
      </w:r>
      <w:r>
        <w:rPr>
          <w:spacing w:val="-8"/>
        </w:rPr>
        <w:t xml:space="preserve"> </w:t>
      </w:r>
      <w:r>
        <w:t>encargaban</w:t>
      </w:r>
      <w:r>
        <w:rPr>
          <w:spacing w:val="-8"/>
        </w:rPr>
        <w:t xml:space="preserve"> </w:t>
      </w:r>
      <w:r>
        <w:t>del</w:t>
      </w:r>
      <w:r>
        <w:rPr>
          <w:spacing w:val="-9"/>
        </w:rPr>
        <w:t xml:space="preserve"> </w:t>
      </w:r>
      <w:r>
        <w:t>cuidado,</w:t>
      </w:r>
      <w:r>
        <w:rPr>
          <w:spacing w:val="-8"/>
        </w:rPr>
        <w:t xml:space="preserve"> </w:t>
      </w:r>
      <w:r>
        <w:t>la</w:t>
      </w:r>
      <w:r>
        <w:rPr>
          <w:spacing w:val="-8"/>
        </w:rPr>
        <w:t xml:space="preserve"> </w:t>
      </w:r>
      <w:r>
        <w:t>salud,</w:t>
      </w:r>
      <w:r>
        <w:rPr>
          <w:spacing w:val="-8"/>
        </w:rPr>
        <w:t xml:space="preserve"> </w:t>
      </w:r>
      <w:r>
        <w:t>la</w:t>
      </w:r>
      <w:r>
        <w:rPr>
          <w:spacing w:val="-8"/>
        </w:rPr>
        <w:t xml:space="preserve"> </w:t>
      </w:r>
      <w:r>
        <w:t>educación, la seguridad alimentaria. De todo lo que ocurría en la vida diaria. Controlarlas a ellas, es decir,</w:t>
      </w:r>
      <w:r>
        <w:rPr>
          <w:spacing w:val="-15"/>
        </w:rPr>
        <w:t xml:space="preserve"> </w:t>
      </w:r>
      <w:r>
        <w:t>controlar</w:t>
      </w:r>
      <w:r>
        <w:rPr>
          <w:spacing w:val="-15"/>
        </w:rPr>
        <w:t xml:space="preserve"> </w:t>
      </w:r>
      <w:r>
        <w:t>su</w:t>
      </w:r>
      <w:r>
        <w:rPr>
          <w:spacing w:val="-15"/>
        </w:rPr>
        <w:t xml:space="preserve"> </w:t>
      </w:r>
      <w:r>
        <w:t>tiempo,</w:t>
      </w:r>
      <w:r>
        <w:rPr>
          <w:spacing w:val="-15"/>
        </w:rPr>
        <w:t xml:space="preserve"> </w:t>
      </w:r>
      <w:r>
        <w:t>sus</w:t>
      </w:r>
      <w:r>
        <w:rPr>
          <w:spacing w:val="-15"/>
        </w:rPr>
        <w:t xml:space="preserve"> </w:t>
      </w:r>
      <w:r>
        <w:t>palabras,</w:t>
      </w:r>
      <w:r>
        <w:rPr>
          <w:spacing w:val="-15"/>
        </w:rPr>
        <w:t xml:space="preserve"> </w:t>
      </w:r>
      <w:r>
        <w:t>acciones,</w:t>
      </w:r>
      <w:r>
        <w:rPr>
          <w:spacing w:val="-15"/>
        </w:rPr>
        <w:t xml:space="preserve"> </w:t>
      </w:r>
      <w:r>
        <w:t>roles,</w:t>
      </w:r>
      <w:r>
        <w:rPr>
          <w:spacing w:val="-15"/>
        </w:rPr>
        <w:t xml:space="preserve"> </w:t>
      </w:r>
      <w:r>
        <w:t>supuso</w:t>
      </w:r>
      <w:r>
        <w:rPr>
          <w:spacing w:val="-15"/>
        </w:rPr>
        <w:t xml:space="preserve"> </w:t>
      </w:r>
      <w:r>
        <w:t>controlar</w:t>
      </w:r>
      <w:r>
        <w:rPr>
          <w:spacing w:val="-15"/>
        </w:rPr>
        <w:t xml:space="preserve"> </w:t>
      </w:r>
      <w:r>
        <w:t>todo</w:t>
      </w:r>
      <w:r>
        <w:rPr>
          <w:spacing w:val="-15"/>
        </w:rPr>
        <w:t xml:space="preserve"> </w:t>
      </w:r>
      <w:r>
        <w:t>lo</w:t>
      </w:r>
      <w:r>
        <w:rPr>
          <w:spacing w:val="-15"/>
        </w:rPr>
        <w:t xml:space="preserve"> </w:t>
      </w:r>
      <w:r>
        <w:t>que</w:t>
      </w:r>
      <w:r>
        <w:rPr>
          <w:spacing w:val="-15"/>
        </w:rPr>
        <w:t xml:space="preserve"> </w:t>
      </w:r>
      <w:r>
        <w:t>quedaba por</w:t>
      </w:r>
      <w:r>
        <w:rPr>
          <w:spacing w:val="-6"/>
        </w:rPr>
        <w:t xml:space="preserve"> </w:t>
      </w:r>
      <w:r>
        <w:t>fuera</w:t>
      </w:r>
      <w:r>
        <w:rPr>
          <w:spacing w:val="-6"/>
        </w:rPr>
        <w:t xml:space="preserve"> </w:t>
      </w:r>
      <w:r>
        <w:t>del</w:t>
      </w:r>
      <w:r>
        <w:rPr>
          <w:spacing w:val="-7"/>
        </w:rPr>
        <w:t xml:space="preserve"> </w:t>
      </w:r>
      <w:r>
        <w:t>campo</w:t>
      </w:r>
      <w:r>
        <w:rPr>
          <w:spacing w:val="-6"/>
        </w:rPr>
        <w:t xml:space="preserve"> </w:t>
      </w:r>
      <w:r>
        <w:t>de</w:t>
      </w:r>
      <w:r>
        <w:rPr>
          <w:spacing w:val="-6"/>
        </w:rPr>
        <w:t xml:space="preserve"> </w:t>
      </w:r>
      <w:r>
        <w:t>batalla.</w:t>
      </w:r>
      <w:r>
        <w:rPr>
          <w:spacing w:val="-6"/>
        </w:rPr>
        <w:t xml:space="preserve"> </w:t>
      </w:r>
      <w:r>
        <w:t>Control</w:t>
      </w:r>
      <w:r>
        <w:rPr>
          <w:spacing w:val="-6"/>
        </w:rPr>
        <w:t xml:space="preserve"> </w:t>
      </w:r>
      <w:r>
        <w:t>que</w:t>
      </w:r>
      <w:r>
        <w:rPr>
          <w:spacing w:val="-6"/>
        </w:rPr>
        <w:t xml:space="preserve"> </w:t>
      </w:r>
      <w:r>
        <w:t>se</w:t>
      </w:r>
      <w:r>
        <w:rPr>
          <w:spacing w:val="-6"/>
        </w:rPr>
        <w:t xml:space="preserve"> </w:t>
      </w:r>
      <w:r>
        <w:t>expandió</w:t>
      </w:r>
      <w:r>
        <w:rPr>
          <w:spacing w:val="-6"/>
        </w:rPr>
        <w:t xml:space="preserve"> </w:t>
      </w:r>
      <w:r>
        <w:t>hacia</w:t>
      </w:r>
      <w:r>
        <w:rPr>
          <w:spacing w:val="-7"/>
        </w:rPr>
        <w:t xml:space="preserve"> </w:t>
      </w:r>
      <w:r>
        <w:t>marcos</w:t>
      </w:r>
      <w:r>
        <w:rPr>
          <w:spacing w:val="-7"/>
        </w:rPr>
        <w:t xml:space="preserve"> </w:t>
      </w:r>
      <w:r>
        <w:t>culturales,</w:t>
      </w:r>
      <w:r>
        <w:rPr>
          <w:spacing w:val="-6"/>
        </w:rPr>
        <w:t xml:space="preserve"> </w:t>
      </w:r>
      <w:r>
        <w:t>normativos y jurídicos que les impidieron la propiedad de sus tierras.</w:t>
      </w:r>
    </w:p>
    <w:p w:rsidR="003804AC" w:rsidRDefault="00AF18A5" w:rsidP="007C05E1">
      <w:r>
        <w:t>Las guerrillas, los paramilitares y miembros de la fuerza pública también utilizaron el cuerpo</w:t>
      </w:r>
      <w:r>
        <w:rPr>
          <w:spacing w:val="-11"/>
        </w:rPr>
        <w:t xml:space="preserve"> </w:t>
      </w:r>
      <w:r>
        <w:t>de</w:t>
      </w:r>
      <w:r>
        <w:rPr>
          <w:spacing w:val="-11"/>
        </w:rPr>
        <w:t xml:space="preserve"> </w:t>
      </w:r>
      <w:r>
        <w:t>las</w:t>
      </w:r>
      <w:r>
        <w:rPr>
          <w:spacing w:val="-11"/>
        </w:rPr>
        <w:t xml:space="preserve"> </w:t>
      </w:r>
      <w:r>
        <w:t>mujeres</w:t>
      </w:r>
      <w:r>
        <w:rPr>
          <w:spacing w:val="-11"/>
        </w:rPr>
        <w:t xml:space="preserve"> </w:t>
      </w:r>
      <w:r>
        <w:t>como</w:t>
      </w:r>
      <w:r>
        <w:rPr>
          <w:spacing w:val="-11"/>
        </w:rPr>
        <w:t xml:space="preserve"> </w:t>
      </w:r>
      <w:r>
        <w:t>un</w:t>
      </w:r>
      <w:r>
        <w:rPr>
          <w:spacing w:val="-11"/>
        </w:rPr>
        <w:t xml:space="preserve"> </w:t>
      </w:r>
      <w:r>
        <w:t>lugar</w:t>
      </w:r>
      <w:r>
        <w:rPr>
          <w:spacing w:val="-10"/>
        </w:rPr>
        <w:t xml:space="preserve"> </w:t>
      </w:r>
      <w:r>
        <w:t>de</w:t>
      </w:r>
      <w:r>
        <w:rPr>
          <w:spacing w:val="-11"/>
        </w:rPr>
        <w:t xml:space="preserve"> </w:t>
      </w:r>
      <w:r>
        <w:t>disputa,</w:t>
      </w:r>
      <w:r>
        <w:rPr>
          <w:spacing w:val="-11"/>
        </w:rPr>
        <w:t xml:space="preserve"> </w:t>
      </w:r>
      <w:r>
        <w:t>para</w:t>
      </w:r>
      <w:r>
        <w:rPr>
          <w:spacing w:val="-11"/>
        </w:rPr>
        <w:t xml:space="preserve"> </w:t>
      </w:r>
      <w:r>
        <w:t>demostrar</w:t>
      </w:r>
      <w:r>
        <w:rPr>
          <w:spacing w:val="-10"/>
        </w:rPr>
        <w:t xml:space="preserve"> </w:t>
      </w:r>
      <w:r>
        <w:t>que</w:t>
      </w:r>
      <w:r>
        <w:rPr>
          <w:spacing w:val="-11"/>
        </w:rPr>
        <w:t xml:space="preserve"> </w:t>
      </w:r>
      <w:r>
        <w:t>eran</w:t>
      </w:r>
      <w:r>
        <w:rPr>
          <w:spacing w:val="-11"/>
        </w:rPr>
        <w:t xml:space="preserve"> </w:t>
      </w:r>
      <w:r>
        <w:t>capaces</w:t>
      </w:r>
      <w:r>
        <w:rPr>
          <w:spacing w:val="-11"/>
        </w:rPr>
        <w:t xml:space="preserve"> </w:t>
      </w:r>
      <w:r>
        <w:t>de</w:t>
      </w:r>
      <w:r>
        <w:rPr>
          <w:spacing w:val="-11"/>
        </w:rPr>
        <w:t xml:space="preserve"> </w:t>
      </w:r>
      <w:r>
        <w:t>dominar a las mujeres humillándolas y humillando a sus parejas o a su familia. También para demostrar poderío sobre sus adversarios, compañeros y los pueblos que se oponían a los procesos de ocupación en los territorios. Y, sin duda, para satisfacer apetitos sexuales. La mayoría de los casos de violación sexual ocurrieron en las zonas rurales y las más perjudicadas fueron las niñas y mujeres jóvenes, de entre 11 a 26 años. Si bien en las violencias sexuales ejercidas contra las mujeres hay responsabilidad de todos los grupos armados ilegales y de la fuerza pública, la Comisión de la Verdad encontró características diferenciadoras. En el caso de los paramilitares, estas violencias contenían una profunda carga de crueldad y sevicia contra las mujeres. Fue un mecanismo efectivo de terror que usaron para desplazar, despojar y controlar los territorios y comunidades en distintas partes del</w:t>
      </w:r>
      <w:r>
        <w:rPr>
          <w:spacing w:val="-3"/>
        </w:rPr>
        <w:t xml:space="preserve"> </w:t>
      </w:r>
      <w:r>
        <w:t>país.</w:t>
      </w:r>
      <w:r>
        <w:rPr>
          <w:spacing w:val="-4"/>
        </w:rPr>
        <w:t xml:space="preserve"> </w:t>
      </w:r>
      <w:r>
        <w:t>Se</w:t>
      </w:r>
      <w:r>
        <w:rPr>
          <w:spacing w:val="-5"/>
        </w:rPr>
        <w:t xml:space="preserve"> </w:t>
      </w:r>
      <w:r>
        <w:t>puede</w:t>
      </w:r>
      <w:r>
        <w:rPr>
          <w:spacing w:val="-3"/>
        </w:rPr>
        <w:t xml:space="preserve"> </w:t>
      </w:r>
      <w:r>
        <w:t>afirmar</w:t>
      </w:r>
      <w:r>
        <w:rPr>
          <w:spacing w:val="-3"/>
        </w:rPr>
        <w:t xml:space="preserve"> </w:t>
      </w:r>
      <w:r>
        <w:t>que</w:t>
      </w:r>
      <w:r>
        <w:rPr>
          <w:spacing w:val="-3"/>
        </w:rPr>
        <w:t xml:space="preserve"> </w:t>
      </w:r>
      <w:r>
        <w:t>para</w:t>
      </w:r>
      <w:r>
        <w:rPr>
          <w:spacing w:val="-3"/>
        </w:rPr>
        <w:t xml:space="preserve"> </w:t>
      </w:r>
      <w:r>
        <w:t>los</w:t>
      </w:r>
      <w:r>
        <w:rPr>
          <w:spacing w:val="-4"/>
        </w:rPr>
        <w:t xml:space="preserve"> </w:t>
      </w:r>
      <w:r>
        <w:t>bloques</w:t>
      </w:r>
      <w:r>
        <w:rPr>
          <w:spacing w:val="-3"/>
        </w:rPr>
        <w:t xml:space="preserve"> </w:t>
      </w:r>
      <w:r>
        <w:t>que</w:t>
      </w:r>
      <w:r>
        <w:rPr>
          <w:spacing w:val="-3"/>
        </w:rPr>
        <w:t xml:space="preserve"> </w:t>
      </w:r>
      <w:r>
        <w:t>actuaban</w:t>
      </w:r>
      <w:r>
        <w:rPr>
          <w:spacing w:val="-5"/>
        </w:rPr>
        <w:t xml:space="preserve"> </w:t>
      </w:r>
      <w:r>
        <w:t>en</w:t>
      </w:r>
      <w:r>
        <w:rPr>
          <w:spacing w:val="-4"/>
        </w:rPr>
        <w:t xml:space="preserve"> </w:t>
      </w:r>
      <w:r>
        <w:t>el</w:t>
      </w:r>
      <w:r>
        <w:rPr>
          <w:spacing w:val="-3"/>
        </w:rPr>
        <w:t xml:space="preserve"> </w:t>
      </w:r>
      <w:r>
        <w:t>Caribe,</w:t>
      </w:r>
      <w:r>
        <w:rPr>
          <w:spacing w:val="-5"/>
        </w:rPr>
        <w:t xml:space="preserve"> </w:t>
      </w:r>
      <w:r>
        <w:t>Meta,</w:t>
      </w:r>
      <w:r>
        <w:rPr>
          <w:spacing w:val="-4"/>
        </w:rPr>
        <w:t xml:space="preserve"> </w:t>
      </w:r>
      <w:r>
        <w:t>Guaviare</w:t>
      </w:r>
      <w:r>
        <w:rPr>
          <w:spacing w:val="-3"/>
        </w:rPr>
        <w:t xml:space="preserve"> </w:t>
      </w:r>
      <w:r>
        <w:t>y Putumayo,</w:t>
      </w:r>
      <w:r>
        <w:rPr>
          <w:spacing w:val="4"/>
        </w:rPr>
        <w:t xml:space="preserve"> </w:t>
      </w:r>
      <w:r>
        <w:t>este</w:t>
      </w:r>
      <w:r>
        <w:rPr>
          <w:spacing w:val="6"/>
        </w:rPr>
        <w:t xml:space="preserve"> </w:t>
      </w:r>
      <w:r>
        <w:t>grupo</w:t>
      </w:r>
      <w:r>
        <w:rPr>
          <w:spacing w:val="5"/>
        </w:rPr>
        <w:t xml:space="preserve"> </w:t>
      </w:r>
      <w:r>
        <w:t>armado</w:t>
      </w:r>
      <w:r>
        <w:rPr>
          <w:spacing w:val="6"/>
        </w:rPr>
        <w:t xml:space="preserve"> </w:t>
      </w:r>
      <w:r>
        <w:t>(AUC)</w:t>
      </w:r>
      <w:r>
        <w:rPr>
          <w:spacing w:val="5"/>
        </w:rPr>
        <w:t xml:space="preserve"> </w:t>
      </w:r>
      <w:r>
        <w:t>usó</w:t>
      </w:r>
      <w:r>
        <w:rPr>
          <w:spacing w:val="5"/>
        </w:rPr>
        <w:t xml:space="preserve"> </w:t>
      </w:r>
      <w:r>
        <w:t>la</w:t>
      </w:r>
      <w:r>
        <w:rPr>
          <w:spacing w:val="5"/>
        </w:rPr>
        <w:t xml:space="preserve"> </w:t>
      </w:r>
      <w:r>
        <w:t>violencia</w:t>
      </w:r>
      <w:r>
        <w:rPr>
          <w:spacing w:val="5"/>
        </w:rPr>
        <w:t xml:space="preserve"> </w:t>
      </w:r>
      <w:r>
        <w:t>sexual</w:t>
      </w:r>
      <w:r>
        <w:rPr>
          <w:spacing w:val="4"/>
        </w:rPr>
        <w:t xml:space="preserve"> </w:t>
      </w:r>
      <w:r>
        <w:t>como</w:t>
      </w:r>
      <w:r>
        <w:rPr>
          <w:spacing w:val="5"/>
        </w:rPr>
        <w:t xml:space="preserve"> </w:t>
      </w:r>
      <w:r>
        <w:t>estrategia</w:t>
      </w:r>
      <w:r>
        <w:rPr>
          <w:spacing w:val="5"/>
        </w:rPr>
        <w:t xml:space="preserve"> </w:t>
      </w:r>
      <w:r>
        <w:t>de</w:t>
      </w:r>
      <w:r>
        <w:rPr>
          <w:spacing w:val="6"/>
        </w:rPr>
        <w:t xml:space="preserve"> </w:t>
      </w:r>
      <w:r>
        <w:t>guerra.</w:t>
      </w:r>
      <w:r>
        <w:rPr>
          <w:spacing w:val="6"/>
        </w:rPr>
        <w:t xml:space="preserve"> </w:t>
      </w:r>
      <w:r>
        <w:rPr>
          <w:spacing w:val="-5"/>
        </w:rPr>
        <w:t>En</w:t>
      </w:r>
      <w:r w:rsidR="007C05E1">
        <w:t xml:space="preserve"> </w:t>
      </w:r>
      <w:r>
        <w:t>las</w:t>
      </w:r>
      <w:r>
        <w:rPr>
          <w:spacing w:val="-4"/>
        </w:rPr>
        <w:t xml:space="preserve"> </w:t>
      </w:r>
      <w:r>
        <w:t>guerrillas,</w:t>
      </w:r>
      <w:r>
        <w:rPr>
          <w:spacing w:val="-4"/>
        </w:rPr>
        <w:t xml:space="preserve"> </w:t>
      </w:r>
      <w:r>
        <w:t>particularmente</w:t>
      </w:r>
      <w:r>
        <w:rPr>
          <w:spacing w:val="-5"/>
        </w:rPr>
        <w:t xml:space="preserve"> </w:t>
      </w:r>
      <w:r>
        <w:t>las</w:t>
      </w:r>
      <w:r>
        <w:rPr>
          <w:spacing w:val="-4"/>
        </w:rPr>
        <w:t xml:space="preserve"> </w:t>
      </w:r>
      <w:r>
        <w:t>FARC-EP,</w:t>
      </w:r>
      <w:r>
        <w:rPr>
          <w:spacing w:val="-4"/>
        </w:rPr>
        <w:t xml:space="preserve"> </w:t>
      </w:r>
      <w:r>
        <w:t>las</w:t>
      </w:r>
      <w:r>
        <w:rPr>
          <w:spacing w:val="-4"/>
        </w:rPr>
        <w:t xml:space="preserve"> </w:t>
      </w:r>
      <w:r>
        <w:t>violencias</w:t>
      </w:r>
      <w:r>
        <w:rPr>
          <w:spacing w:val="-5"/>
        </w:rPr>
        <w:t xml:space="preserve"> </w:t>
      </w:r>
      <w:r>
        <w:t>sexuales</w:t>
      </w:r>
      <w:r>
        <w:rPr>
          <w:spacing w:val="-5"/>
        </w:rPr>
        <w:t xml:space="preserve"> </w:t>
      </w:r>
      <w:r>
        <w:t>fueron</w:t>
      </w:r>
      <w:r>
        <w:rPr>
          <w:spacing w:val="-4"/>
        </w:rPr>
        <w:t xml:space="preserve"> </w:t>
      </w:r>
      <w:r>
        <w:t>una</w:t>
      </w:r>
      <w:r>
        <w:rPr>
          <w:spacing w:val="-5"/>
        </w:rPr>
        <w:t xml:space="preserve"> </w:t>
      </w:r>
      <w:r>
        <w:t>práctica</w:t>
      </w:r>
      <w:r>
        <w:rPr>
          <w:spacing w:val="-6"/>
        </w:rPr>
        <w:t xml:space="preserve"> </w:t>
      </w:r>
      <w:r>
        <w:t>que funcionó, en muchos casos, para compensar a los combatientes por fuera de la lucha ideológica</w:t>
      </w:r>
      <w:r>
        <w:rPr>
          <w:spacing w:val="-13"/>
        </w:rPr>
        <w:t xml:space="preserve"> </w:t>
      </w:r>
      <w:r>
        <w:t>y</w:t>
      </w:r>
      <w:r>
        <w:rPr>
          <w:spacing w:val="-13"/>
        </w:rPr>
        <w:t xml:space="preserve"> </w:t>
      </w:r>
      <w:r>
        <w:t>de</w:t>
      </w:r>
      <w:r>
        <w:rPr>
          <w:spacing w:val="-13"/>
        </w:rPr>
        <w:t xml:space="preserve"> </w:t>
      </w:r>
      <w:r>
        <w:t>los</w:t>
      </w:r>
      <w:r>
        <w:rPr>
          <w:spacing w:val="-13"/>
        </w:rPr>
        <w:t xml:space="preserve"> </w:t>
      </w:r>
      <w:r>
        <w:t>estatutos</w:t>
      </w:r>
      <w:r>
        <w:rPr>
          <w:spacing w:val="-13"/>
        </w:rPr>
        <w:t xml:space="preserve"> </w:t>
      </w:r>
      <w:r>
        <w:t>internos.</w:t>
      </w:r>
      <w:r>
        <w:rPr>
          <w:spacing w:val="-13"/>
        </w:rPr>
        <w:t xml:space="preserve"> </w:t>
      </w:r>
      <w:r>
        <w:lastRenderedPageBreak/>
        <w:t>Por</w:t>
      </w:r>
      <w:r>
        <w:rPr>
          <w:spacing w:val="-13"/>
        </w:rPr>
        <w:t xml:space="preserve"> </w:t>
      </w:r>
      <w:r>
        <w:t>otro</w:t>
      </w:r>
      <w:r>
        <w:rPr>
          <w:spacing w:val="-13"/>
        </w:rPr>
        <w:t xml:space="preserve"> </w:t>
      </w:r>
      <w:r>
        <w:t>lado,</w:t>
      </w:r>
      <w:r>
        <w:rPr>
          <w:spacing w:val="-13"/>
        </w:rPr>
        <w:t xml:space="preserve"> </w:t>
      </w:r>
      <w:r>
        <w:t>se</w:t>
      </w:r>
      <w:r>
        <w:rPr>
          <w:spacing w:val="-13"/>
        </w:rPr>
        <w:t xml:space="preserve"> </w:t>
      </w:r>
      <w:r>
        <w:t>constató</w:t>
      </w:r>
      <w:r>
        <w:rPr>
          <w:spacing w:val="-13"/>
        </w:rPr>
        <w:t xml:space="preserve"> </w:t>
      </w:r>
      <w:r>
        <w:t>que</w:t>
      </w:r>
      <w:r>
        <w:rPr>
          <w:spacing w:val="-13"/>
        </w:rPr>
        <w:t xml:space="preserve"> </w:t>
      </w:r>
      <w:r>
        <w:t>estas</w:t>
      </w:r>
      <w:r>
        <w:rPr>
          <w:spacing w:val="-13"/>
        </w:rPr>
        <w:t xml:space="preserve"> </w:t>
      </w:r>
      <w:r>
        <w:t>violencias</w:t>
      </w:r>
      <w:r>
        <w:rPr>
          <w:spacing w:val="-13"/>
        </w:rPr>
        <w:t xml:space="preserve"> </w:t>
      </w:r>
      <w:r>
        <w:t>se</w:t>
      </w:r>
      <w:r>
        <w:rPr>
          <w:spacing w:val="-14"/>
        </w:rPr>
        <w:t xml:space="preserve"> </w:t>
      </w:r>
      <w:r>
        <w:t>dieron cuando no había un control efectivo de sus hombres, sobre todo de las milicias. Y si bien ejercieron</w:t>
      </w:r>
      <w:r>
        <w:rPr>
          <w:spacing w:val="-15"/>
        </w:rPr>
        <w:t xml:space="preserve"> </w:t>
      </w:r>
      <w:r>
        <w:t>violencia</w:t>
      </w:r>
      <w:r>
        <w:rPr>
          <w:spacing w:val="-13"/>
        </w:rPr>
        <w:t xml:space="preserve"> </w:t>
      </w:r>
      <w:r>
        <w:t>sexual</w:t>
      </w:r>
      <w:r>
        <w:rPr>
          <w:spacing w:val="-13"/>
        </w:rPr>
        <w:t xml:space="preserve"> </w:t>
      </w:r>
      <w:r>
        <w:t>contra</w:t>
      </w:r>
      <w:r>
        <w:rPr>
          <w:spacing w:val="-14"/>
        </w:rPr>
        <w:t xml:space="preserve"> </w:t>
      </w:r>
      <w:r>
        <w:t>mujeres</w:t>
      </w:r>
      <w:r>
        <w:rPr>
          <w:spacing w:val="-13"/>
        </w:rPr>
        <w:t xml:space="preserve"> </w:t>
      </w:r>
      <w:r>
        <w:t>civiles,</w:t>
      </w:r>
      <w:r>
        <w:rPr>
          <w:spacing w:val="-14"/>
        </w:rPr>
        <w:t xml:space="preserve"> </w:t>
      </w:r>
      <w:r>
        <w:t>la</w:t>
      </w:r>
      <w:r>
        <w:rPr>
          <w:spacing w:val="-14"/>
        </w:rPr>
        <w:t xml:space="preserve"> </w:t>
      </w:r>
      <w:r>
        <w:t>mayoría</w:t>
      </w:r>
      <w:r>
        <w:rPr>
          <w:spacing w:val="-14"/>
        </w:rPr>
        <w:t xml:space="preserve"> </w:t>
      </w:r>
      <w:r>
        <w:t>se</w:t>
      </w:r>
      <w:r>
        <w:rPr>
          <w:spacing w:val="-13"/>
        </w:rPr>
        <w:t xml:space="preserve"> </w:t>
      </w:r>
      <w:r>
        <w:t>ejerció</w:t>
      </w:r>
      <w:r>
        <w:rPr>
          <w:spacing w:val="-12"/>
        </w:rPr>
        <w:t xml:space="preserve"> </w:t>
      </w:r>
      <w:r>
        <w:t>al</w:t>
      </w:r>
      <w:r>
        <w:rPr>
          <w:spacing w:val="-14"/>
        </w:rPr>
        <w:t xml:space="preserve"> </w:t>
      </w:r>
      <w:r>
        <w:t>interior</w:t>
      </w:r>
      <w:r>
        <w:rPr>
          <w:spacing w:val="-13"/>
        </w:rPr>
        <w:t xml:space="preserve"> </w:t>
      </w:r>
      <w:r>
        <w:t>de</w:t>
      </w:r>
      <w:r>
        <w:rPr>
          <w:spacing w:val="-13"/>
        </w:rPr>
        <w:t xml:space="preserve"> </w:t>
      </w:r>
      <w:r>
        <w:t>las</w:t>
      </w:r>
      <w:r>
        <w:rPr>
          <w:spacing w:val="-12"/>
        </w:rPr>
        <w:t xml:space="preserve"> </w:t>
      </w:r>
      <w:r>
        <w:rPr>
          <w:spacing w:val="-2"/>
        </w:rPr>
        <w:t>filas.</w:t>
      </w:r>
    </w:p>
    <w:p w:rsidR="003804AC" w:rsidRDefault="00AF18A5" w:rsidP="007C05E1">
      <w:r>
        <w:t>Con la fuerza pública, aunque hay reporte de menos casos, se evidenció que la violencia sexual ejercida contra mujeres civiles fue una forma de atacar a las consideradas enemigas, es decir, a las mujeres señaladas de colaborar con las insurgencias o las sospechosas de ser guerrilleras.</w:t>
      </w:r>
      <w:r>
        <w:rPr>
          <w:spacing w:val="-1"/>
        </w:rPr>
        <w:t xml:space="preserve"> </w:t>
      </w:r>
      <w:r>
        <w:t>La Comisión pudo constatar que</w:t>
      </w:r>
      <w:r>
        <w:rPr>
          <w:spacing w:val="-1"/>
        </w:rPr>
        <w:t xml:space="preserve"> </w:t>
      </w:r>
      <w:r>
        <w:t>los</w:t>
      </w:r>
      <w:r>
        <w:rPr>
          <w:spacing w:val="-1"/>
        </w:rPr>
        <w:t xml:space="preserve"> </w:t>
      </w:r>
      <w:r>
        <w:t>hechos</w:t>
      </w:r>
      <w:r>
        <w:rPr>
          <w:spacing w:val="-1"/>
        </w:rPr>
        <w:t xml:space="preserve"> </w:t>
      </w:r>
      <w:r>
        <w:t>más</w:t>
      </w:r>
      <w:r>
        <w:rPr>
          <w:spacing w:val="-1"/>
        </w:rPr>
        <w:t xml:space="preserve"> </w:t>
      </w:r>
      <w:r>
        <w:t>recurrentes</w:t>
      </w:r>
      <w:r>
        <w:rPr>
          <w:spacing w:val="-1"/>
        </w:rPr>
        <w:t xml:space="preserve"> </w:t>
      </w:r>
      <w:r>
        <w:t>se dieron hacia</w:t>
      </w:r>
      <w:r>
        <w:rPr>
          <w:spacing w:val="-1"/>
        </w:rPr>
        <w:t xml:space="preserve"> </w:t>
      </w:r>
      <w:r>
        <w:t>las mujeres detenidas en el marco del Estatuto de Seguridad, en contextos de tortura.</w:t>
      </w:r>
    </w:p>
    <w:p w:rsidR="003804AC" w:rsidRDefault="00AF18A5" w:rsidP="007C05E1">
      <w:r>
        <w:t>Aunque como un fenómeno menos evidente, la Comisión también conoció casos de hombres</w:t>
      </w:r>
      <w:r>
        <w:rPr>
          <w:spacing w:val="-6"/>
        </w:rPr>
        <w:t xml:space="preserve"> </w:t>
      </w:r>
      <w:r>
        <w:t>que</w:t>
      </w:r>
      <w:r>
        <w:rPr>
          <w:spacing w:val="-4"/>
        </w:rPr>
        <w:t xml:space="preserve"> </w:t>
      </w:r>
      <w:r>
        <w:t>sufrieron</w:t>
      </w:r>
      <w:r>
        <w:rPr>
          <w:spacing w:val="-5"/>
        </w:rPr>
        <w:t xml:space="preserve"> </w:t>
      </w:r>
      <w:r>
        <w:t>violación</w:t>
      </w:r>
      <w:r>
        <w:rPr>
          <w:spacing w:val="-5"/>
        </w:rPr>
        <w:t xml:space="preserve"> </w:t>
      </w:r>
      <w:r>
        <w:t>sexual</w:t>
      </w:r>
      <w:r>
        <w:rPr>
          <w:spacing w:val="-4"/>
        </w:rPr>
        <w:t xml:space="preserve"> </w:t>
      </w:r>
      <w:r>
        <w:t>por</w:t>
      </w:r>
      <w:r>
        <w:rPr>
          <w:spacing w:val="-5"/>
        </w:rPr>
        <w:t xml:space="preserve"> </w:t>
      </w:r>
      <w:r>
        <w:t>parte</w:t>
      </w:r>
      <w:r>
        <w:rPr>
          <w:spacing w:val="-6"/>
        </w:rPr>
        <w:t xml:space="preserve"> </w:t>
      </w:r>
      <w:r>
        <w:t>de</w:t>
      </w:r>
      <w:r>
        <w:rPr>
          <w:spacing w:val="-4"/>
        </w:rPr>
        <w:t xml:space="preserve"> </w:t>
      </w:r>
      <w:r>
        <w:t>grupos</w:t>
      </w:r>
      <w:r>
        <w:rPr>
          <w:spacing w:val="-6"/>
        </w:rPr>
        <w:t xml:space="preserve"> </w:t>
      </w:r>
      <w:r>
        <w:t>armados</w:t>
      </w:r>
      <w:r>
        <w:rPr>
          <w:spacing w:val="-6"/>
        </w:rPr>
        <w:t xml:space="preserve"> </w:t>
      </w:r>
      <w:r>
        <w:t>ilegales</w:t>
      </w:r>
      <w:r>
        <w:rPr>
          <w:spacing w:val="-4"/>
        </w:rPr>
        <w:t xml:space="preserve"> </w:t>
      </w:r>
      <w:r>
        <w:t>o</w:t>
      </w:r>
      <w:r>
        <w:rPr>
          <w:spacing w:val="-6"/>
        </w:rPr>
        <w:t xml:space="preserve"> </w:t>
      </w:r>
      <w:r>
        <w:t>de</w:t>
      </w:r>
      <w:r>
        <w:rPr>
          <w:spacing w:val="-6"/>
        </w:rPr>
        <w:t xml:space="preserve"> </w:t>
      </w:r>
      <w:r>
        <w:t>miembros del</w:t>
      </w:r>
      <w:r>
        <w:rPr>
          <w:spacing w:val="-4"/>
        </w:rPr>
        <w:t xml:space="preserve"> </w:t>
      </w:r>
      <w:r>
        <w:t>Ejército</w:t>
      </w:r>
      <w:r>
        <w:rPr>
          <w:spacing w:val="-6"/>
        </w:rPr>
        <w:t xml:space="preserve"> </w:t>
      </w:r>
      <w:r>
        <w:t>o</w:t>
      </w:r>
      <w:r>
        <w:rPr>
          <w:spacing w:val="-5"/>
        </w:rPr>
        <w:t xml:space="preserve"> </w:t>
      </w:r>
      <w:r>
        <w:t>la</w:t>
      </w:r>
      <w:r>
        <w:rPr>
          <w:spacing w:val="-5"/>
        </w:rPr>
        <w:t xml:space="preserve"> </w:t>
      </w:r>
      <w:r>
        <w:t>Policía.</w:t>
      </w:r>
      <w:r>
        <w:rPr>
          <w:spacing w:val="-5"/>
        </w:rPr>
        <w:t xml:space="preserve"> </w:t>
      </w:r>
      <w:r>
        <w:t>Esto</w:t>
      </w:r>
      <w:r>
        <w:rPr>
          <w:spacing w:val="-5"/>
        </w:rPr>
        <w:t xml:space="preserve"> </w:t>
      </w:r>
      <w:r>
        <w:t>por</w:t>
      </w:r>
      <w:r>
        <w:rPr>
          <w:spacing w:val="-4"/>
        </w:rPr>
        <w:t xml:space="preserve"> </w:t>
      </w:r>
      <w:r>
        <w:t>ejercer</w:t>
      </w:r>
      <w:r>
        <w:rPr>
          <w:spacing w:val="-4"/>
        </w:rPr>
        <w:t xml:space="preserve"> </w:t>
      </w:r>
      <w:r>
        <w:t>control</w:t>
      </w:r>
      <w:r>
        <w:rPr>
          <w:spacing w:val="-4"/>
        </w:rPr>
        <w:t xml:space="preserve"> </w:t>
      </w:r>
      <w:r>
        <w:t>de</w:t>
      </w:r>
      <w:r>
        <w:rPr>
          <w:spacing w:val="-5"/>
        </w:rPr>
        <w:t xml:space="preserve"> </w:t>
      </w:r>
      <w:r>
        <w:t>los</w:t>
      </w:r>
      <w:r>
        <w:rPr>
          <w:spacing w:val="-5"/>
        </w:rPr>
        <w:t xml:space="preserve"> </w:t>
      </w:r>
      <w:r>
        <w:t>territorios</w:t>
      </w:r>
      <w:r>
        <w:rPr>
          <w:spacing w:val="-5"/>
        </w:rPr>
        <w:t xml:space="preserve"> </w:t>
      </w:r>
      <w:r>
        <w:t>o</w:t>
      </w:r>
      <w:r>
        <w:rPr>
          <w:spacing w:val="-5"/>
        </w:rPr>
        <w:t xml:space="preserve"> </w:t>
      </w:r>
      <w:r>
        <w:t>por</w:t>
      </w:r>
      <w:r>
        <w:rPr>
          <w:spacing w:val="-4"/>
        </w:rPr>
        <w:t xml:space="preserve"> </w:t>
      </w:r>
      <w:r>
        <w:t>haber</w:t>
      </w:r>
      <w:r>
        <w:rPr>
          <w:spacing w:val="-4"/>
        </w:rPr>
        <w:t xml:space="preserve"> </w:t>
      </w:r>
      <w:r>
        <w:t>sido</w:t>
      </w:r>
      <w:r>
        <w:rPr>
          <w:spacing w:val="-5"/>
        </w:rPr>
        <w:t xml:space="preserve"> </w:t>
      </w:r>
      <w:r>
        <w:t>señalados de colaborar con otro bando.</w:t>
      </w:r>
    </w:p>
    <w:p w:rsidR="003804AC" w:rsidRDefault="00AF18A5" w:rsidP="007C05E1">
      <w:r>
        <w:t>La</w:t>
      </w:r>
      <w:r>
        <w:rPr>
          <w:spacing w:val="-1"/>
        </w:rPr>
        <w:t xml:space="preserve"> </w:t>
      </w:r>
      <w:r>
        <w:t>violencia</w:t>
      </w:r>
      <w:r>
        <w:rPr>
          <w:spacing w:val="-2"/>
        </w:rPr>
        <w:t xml:space="preserve"> </w:t>
      </w:r>
      <w:r>
        <w:t>reproductiva,</w:t>
      </w:r>
      <w:r>
        <w:rPr>
          <w:spacing w:val="-1"/>
        </w:rPr>
        <w:t xml:space="preserve"> </w:t>
      </w:r>
      <w:r>
        <w:t>relacionada</w:t>
      </w:r>
      <w:r>
        <w:rPr>
          <w:spacing w:val="-1"/>
        </w:rPr>
        <w:t xml:space="preserve"> </w:t>
      </w:r>
      <w:r>
        <w:t>con</w:t>
      </w:r>
      <w:r>
        <w:rPr>
          <w:spacing w:val="-1"/>
        </w:rPr>
        <w:t xml:space="preserve"> </w:t>
      </w:r>
      <w:r>
        <w:t>el</w:t>
      </w:r>
      <w:r>
        <w:rPr>
          <w:spacing w:val="-1"/>
        </w:rPr>
        <w:t xml:space="preserve"> </w:t>
      </w:r>
      <w:r>
        <w:t>control</w:t>
      </w:r>
      <w:r>
        <w:rPr>
          <w:spacing w:val="-1"/>
        </w:rPr>
        <w:t xml:space="preserve"> </w:t>
      </w:r>
      <w:r>
        <w:t>de</w:t>
      </w:r>
      <w:r>
        <w:rPr>
          <w:spacing w:val="-2"/>
        </w:rPr>
        <w:t xml:space="preserve"> </w:t>
      </w:r>
      <w:r>
        <w:t>la</w:t>
      </w:r>
      <w:r>
        <w:rPr>
          <w:spacing w:val="-2"/>
        </w:rPr>
        <w:t xml:space="preserve"> </w:t>
      </w:r>
      <w:r>
        <w:t>reproducción</w:t>
      </w:r>
      <w:r>
        <w:rPr>
          <w:spacing w:val="-2"/>
        </w:rPr>
        <w:t xml:space="preserve"> </w:t>
      </w:r>
      <w:r>
        <w:t>y</w:t>
      </w:r>
      <w:r>
        <w:rPr>
          <w:spacing w:val="-2"/>
        </w:rPr>
        <w:t xml:space="preserve"> </w:t>
      </w:r>
      <w:r>
        <w:t>la</w:t>
      </w:r>
      <w:r>
        <w:rPr>
          <w:spacing w:val="-1"/>
        </w:rPr>
        <w:t xml:space="preserve"> </w:t>
      </w:r>
      <w:r>
        <w:t>maternidad, fue una violencia contra las mujeres que se presentó, principalmente, al interior de las filas de las FARC-EP y no fue algo ocasional o aislada</w:t>
      </w:r>
      <w:r w:rsidR="007C05E1">
        <w:rPr>
          <w:rStyle w:val="Refdenotaalpie"/>
        </w:rPr>
        <w:footnoteReference w:id="1116"/>
      </w:r>
      <w:r>
        <w:t xml:space="preserve">. La Comisión identificó que desde la Octava </w:t>
      </w:r>
      <w:r>
        <w:lastRenderedPageBreak/>
        <w:t>Conferencia Nacional de las FARC-EP en 1993, se implementó por parte de los niveles jerárquicos y bajo la vigilancia del Secretariado, la decisión de controlar la reproducción, ya que la gestación y el ejercicio de la maternidad resultaban incompatibles con</w:t>
      </w:r>
      <w:r>
        <w:rPr>
          <w:spacing w:val="5"/>
        </w:rPr>
        <w:t xml:space="preserve"> </w:t>
      </w:r>
      <w:r>
        <w:t>los</w:t>
      </w:r>
      <w:r>
        <w:rPr>
          <w:spacing w:val="7"/>
        </w:rPr>
        <w:t xml:space="preserve"> </w:t>
      </w:r>
      <w:r>
        <w:t>objetivos</w:t>
      </w:r>
      <w:r>
        <w:rPr>
          <w:spacing w:val="8"/>
        </w:rPr>
        <w:t xml:space="preserve"> </w:t>
      </w:r>
      <w:r>
        <w:t>políticos</w:t>
      </w:r>
      <w:r>
        <w:rPr>
          <w:spacing w:val="7"/>
        </w:rPr>
        <w:t xml:space="preserve"> </w:t>
      </w:r>
      <w:r>
        <w:t>y</w:t>
      </w:r>
      <w:r>
        <w:rPr>
          <w:spacing w:val="8"/>
        </w:rPr>
        <w:t xml:space="preserve"> </w:t>
      </w:r>
      <w:r>
        <w:t>militares</w:t>
      </w:r>
      <w:r>
        <w:rPr>
          <w:spacing w:val="7"/>
        </w:rPr>
        <w:t xml:space="preserve"> </w:t>
      </w:r>
      <w:r>
        <w:t>del</w:t>
      </w:r>
      <w:r>
        <w:rPr>
          <w:spacing w:val="7"/>
        </w:rPr>
        <w:t xml:space="preserve"> </w:t>
      </w:r>
      <w:r>
        <w:t>grupo</w:t>
      </w:r>
      <w:r>
        <w:rPr>
          <w:spacing w:val="8"/>
        </w:rPr>
        <w:t xml:space="preserve"> </w:t>
      </w:r>
      <w:r>
        <w:t>armado.</w:t>
      </w:r>
      <w:r>
        <w:rPr>
          <w:spacing w:val="7"/>
        </w:rPr>
        <w:t xml:space="preserve"> </w:t>
      </w:r>
      <w:r>
        <w:t>Para</w:t>
      </w:r>
      <w:r>
        <w:rPr>
          <w:spacing w:val="8"/>
        </w:rPr>
        <w:t xml:space="preserve"> </w:t>
      </w:r>
      <w:r>
        <w:t>lo</w:t>
      </w:r>
      <w:r>
        <w:rPr>
          <w:spacing w:val="7"/>
        </w:rPr>
        <w:t xml:space="preserve"> </w:t>
      </w:r>
      <w:r>
        <w:t>cual</w:t>
      </w:r>
      <w:r>
        <w:rPr>
          <w:spacing w:val="7"/>
        </w:rPr>
        <w:t xml:space="preserve"> </w:t>
      </w:r>
      <w:r>
        <w:t>se</w:t>
      </w:r>
      <w:r>
        <w:rPr>
          <w:spacing w:val="8"/>
        </w:rPr>
        <w:t xml:space="preserve"> </w:t>
      </w:r>
      <w:r>
        <w:t>recurría</w:t>
      </w:r>
      <w:r>
        <w:rPr>
          <w:spacing w:val="7"/>
        </w:rPr>
        <w:t xml:space="preserve"> </w:t>
      </w:r>
      <w:r>
        <w:t>a</w:t>
      </w:r>
      <w:r>
        <w:rPr>
          <w:spacing w:val="8"/>
        </w:rPr>
        <w:t xml:space="preserve"> </w:t>
      </w:r>
      <w:r>
        <w:rPr>
          <w:spacing w:val="-2"/>
        </w:rPr>
        <w:t>distintos</w:t>
      </w:r>
      <w:bookmarkStart w:id="1377" w:name="_bookmark1226"/>
      <w:bookmarkEnd w:id="1377"/>
      <w:r w:rsidR="007C05E1">
        <w:t xml:space="preserve"> </w:t>
      </w:r>
      <w:r>
        <w:t>medios para interrumpir procesos de gestación</w:t>
      </w:r>
      <w:r w:rsidR="007C05E1">
        <w:rPr>
          <w:rStyle w:val="Refdenotaalpie"/>
        </w:rPr>
        <w:footnoteReference w:id="1117"/>
      </w:r>
      <w:r>
        <w:t>. Estas interrupciones se llevaron a cabo, muchas</w:t>
      </w:r>
      <w:r>
        <w:rPr>
          <w:spacing w:val="-14"/>
        </w:rPr>
        <w:t xml:space="preserve"> </w:t>
      </w:r>
      <w:r>
        <w:t>veces,</w:t>
      </w:r>
      <w:r>
        <w:rPr>
          <w:spacing w:val="-14"/>
        </w:rPr>
        <w:t xml:space="preserve"> </w:t>
      </w:r>
      <w:r>
        <w:t>mediante</w:t>
      </w:r>
      <w:r>
        <w:rPr>
          <w:spacing w:val="-15"/>
        </w:rPr>
        <w:t xml:space="preserve"> </w:t>
      </w:r>
      <w:r>
        <w:t>violencia,</w:t>
      </w:r>
      <w:r>
        <w:rPr>
          <w:spacing w:val="-14"/>
        </w:rPr>
        <w:t xml:space="preserve"> </w:t>
      </w:r>
      <w:r>
        <w:t>coerción</w:t>
      </w:r>
      <w:r>
        <w:rPr>
          <w:spacing w:val="-14"/>
        </w:rPr>
        <w:t xml:space="preserve"> </w:t>
      </w:r>
      <w:r>
        <w:t>o</w:t>
      </w:r>
      <w:r>
        <w:rPr>
          <w:spacing w:val="-14"/>
        </w:rPr>
        <w:t xml:space="preserve"> </w:t>
      </w:r>
      <w:r>
        <w:t>engaño,</w:t>
      </w:r>
      <w:r>
        <w:rPr>
          <w:spacing w:val="-14"/>
        </w:rPr>
        <w:t xml:space="preserve"> </w:t>
      </w:r>
      <w:r>
        <w:t>usando</w:t>
      </w:r>
      <w:r>
        <w:rPr>
          <w:spacing w:val="-14"/>
        </w:rPr>
        <w:t xml:space="preserve"> </w:t>
      </w:r>
      <w:r>
        <w:t>métodos</w:t>
      </w:r>
      <w:r>
        <w:rPr>
          <w:spacing w:val="-14"/>
        </w:rPr>
        <w:t xml:space="preserve"> </w:t>
      </w:r>
      <w:r>
        <w:t>poco</w:t>
      </w:r>
      <w:r>
        <w:rPr>
          <w:spacing w:val="-14"/>
        </w:rPr>
        <w:t xml:space="preserve"> </w:t>
      </w:r>
      <w:r>
        <w:t>convencionales, farmacológicos</w:t>
      </w:r>
      <w:r>
        <w:rPr>
          <w:spacing w:val="-12"/>
        </w:rPr>
        <w:t xml:space="preserve"> </w:t>
      </w:r>
      <w:r>
        <w:t>y</w:t>
      </w:r>
      <w:r>
        <w:rPr>
          <w:spacing w:val="-12"/>
        </w:rPr>
        <w:t xml:space="preserve"> </w:t>
      </w:r>
      <w:r>
        <w:t>quirúrgicos</w:t>
      </w:r>
      <w:r>
        <w:rPr>
          <w:spacing w:val="-12"/>
        </w:rPr>
        <w:t xml:space="preserve"> </w:t>
      </w:r>
      <w:r>
        <w:t>s;</w:t>
      </w:r>
      <w:r>
        <w:rPr>
          <w:spacing w:val="-11"/>
        </w:rPr>
        <w:t xml:space="preserve"> </w:t>
      </w:r>
      <w:r>
        <w:t>en</w:t>
      </w:r>
      <w:r>
        <w:rPr>
          <w:spacing w:val="-13"/>
        </w:rPr>
        <w:t xml:space="preserve"> </w:t>
      </w:r>
      <w:r>
        <w:t>condiciones</w:t>
      </w:r>
      <w:r>
        <w:rPr>
          <w:spacing w:val="-12"/>
        </w:rPr>
        <w:t xml:space="preserve"> </w:t>
      </w:r>
      <w:r>
        <w:t>no</w:t>
      </w:r>
      <w:r>
        <w:rPr>
          <w:spacing w:val="-12"/>
        </w:rPr>
        <w:t xml:space="preserve"> </w:t>
      </w:r>
      <w:r>
        <w:t>seguras</w:t>
      </w:r>
      <w:r>
        <w:rPr>
          <w:spacing w:val="-13"/>
        </w:rPr>
        <w:t xml:space="preserve"> </w:t>
      </w:r>
      <w:r>
        <w:t>que</w:t>
      </w:r>
      <w:r>
        <w:rPr>
          <w:spacing w:val="-12"/>
        </w:rPr>
        <w:t xml:space="preserve"> </w:t>
      </w:r>
      <w:r>
        <w:t>dejaron</w:t>
      </w:r>
      <w:r>
        <w:rPr>
          <w:spacing w:val="-12"/>
        </w:rPr>
        <w:t xml:space="preserve"> </w:t>
      </w:r>
      <w:r>
        <w:t>graves</w:t>
      </w:r>
      <w:r>
        <w:rPr>
          <w:spacing w:val="-12"/>
        </w:rPr>
        <w:t xml:space="preserve"> </w:t>
      </w:r>
      <w:r>
        <w:t>secuelas</w:t>
      </w:r>
      <w:r>
        <w:rPr>
          <w:spacing w:val="-12"/>
        </w:rPr>
        <w:t xml:space="preserve"> </w:t>
      </w:r>
      <w:r>
        <w:t>en</w:t>
      </w:r>
      <w:r>
        <w:rPr>
          <w:spacing w:val="-12"/>
        </w:rPr>
        <w:t xml:space="preserve"> </w:t>
      </w:r>
      <w:r>
        <w:t>las mujeres</w:t>
      </w:r>
      <w:r>
        <w:rPr>
          <w:spacing w:val="-9"/>
        </w:rPr>
        <w:t xml:space="preserve"> </w:t>
      </w:r>
      <w:r>
        <w:t>e</w:t>
      </w:r>
      <w:r>
        <w:rPr>
          <w:spacing w:val="-11"/>
        </w:rPr>
        <w:t xml:space="preserve"> </w:t>
      </w:r>
      <w:r>
        <w:t>inclusive</w:t>
      </w:r>
      <w:r>
        <w:rPr>
          <w:spacing w:val="-9"/>
        </w:rPr>
        <w:t xml:space="preserve"> </w:t>
      </w:r>
      <w:r>
        <w:t>les</w:t>
      </w:r>
      <w:r>
        <w:rPr>
          <w:spacing w:val="-9"/>
        </w:rPr>
        <w:t xml:space="preserve"> </w:t>
      </w:r>
      <w:r>
        <w:t>produjeron</w:t>
      </w:r>
      <w:r>
        <w:rPr>
          <w:spacing w:val="-11"/>
        </w:rPr>
        <w:t xml:space="preserve"> </w:t>
      </w:r>
      <w:r>
        <w:t>la</w:t>
      </w:r>
      <w:r>
        <w:rPr>
          <w:spacing w:val="-12"/>
        </w:rPr>
        <w:t xml:space="preserve"> </w:t>
      </w:r>
      <w:r>
        <w:t>muerte</w:t>
      </w:r>
      <w:r>
        <w:rPr>
          <w:spacing w:val="-9"/>
        </w:rPr>
        <w:t xml:space="preserve"> </w:t>
      </w:r>
      <w:r>
        <w:t>en</w:t>
      </w:r>
      <w:r>
        <w:rPr>
          <w:spacing w:val="-11"/>
        </w:rPr>
        <w:t xml:space="preserve"> </w:t>
      </w:r>
      <w:r>
        <w:t>algunos</w:t>
      </w:r>
      <w:r>
        <w:rPr>
          <w:spacing w:val="-9"/>
        </w:rPr>
        <w:t xml:space="preserve"> </w:t>
      </w:r>
      <w:r>
        <w:t>casos.</w:t>
      </w:r>
      <w:r>
        <w:rPr>
          <w:spacing w:val="-11"/>
        </w:rPr>
        <w:t xml:space="preserve"> </w:t>
      </w:r>
      <w:r>
        <w:t>De</w:t>
      </w:r>
      <w:r>
        <w:rPr>
          <w:spacing w:val="-9"/>
        </w:rPr>
        <w:t xml:space="preserve"> </w:t>
      </w:r>
      <w:r>
        <w:t>nuevo,</w:t>
      </w:r>
      <w:r>
        <w:rPr>
          <w:spacing w:val="-10"/>
        </w:rPr>
        <w:t xml:space="preserve"> </w:t>
      </w:r>
      <w:r>
        <w:t>el</w:t>
      </w:r>
      <w:r>
        <w:rPr>
          <w:spacing w:val="-9"/>
        </w:rPr>
        <w:t xml:space="preserve"> </w:t>
      </w:r>
      <w:r>
        <w:t>patriarcado</w:t>
      </w:r>
      <w:r>
        <w:rPr>
          <w:spacing w:val="-11"/>
        </w:rPr>
        <w:t xml:space="preserve"> </w:t>
      </w:r>
      <w:r>
        <w:t>y</w:t>
      </w:r>
      <w:r>
        <w:rPr>
          <w:spacing w:val="-10"/>
        </w:rPr>
        <w:t xml:space="preserve"> </w:t>
      </w:r>
      <w:r>
        <w:t>sus guerreros se adueñaron del cuerpo y la autonomía de las mujeres para decidir sobre ellas.</w:t>
      </w:r>
    </w:p>
    <w:p w:rsidR="003804AC" w:rsidRDefault="00AF18A5" w:rsidP="007C05E1">
      <w:r>
        <w:t>«Ningún</w:t>
      </w:r>
      <w:r>
        <w:rPr>
          <w:spacing w:val="-6"/>
        </w:rPr>
        <w:t xml:space="preserve"> </w:t>
      </w:r>
      <w:r>
        <w:t>actor</w:t>
      </w:r>
      <w:r>
        <w:rPr>
          <w:spacing w:val="-5"/>
        </w:rPr>
        <w:t xml:space="preserve"> </w:t>
      </w:r>
      <w:r>
        <w:t>admite</w:t>
      </w:r>
      <w:r>
        <w:rPr>
          <w:spacing w:val="-7"/>
        </w:rPr>
        <w:t xml:space="preserve"> </w:t>
      </w:r>
      <w:r>
        <w:t>con</w:t>
      </w:r>
      <w:r>
        <w:rPr>
          <w:spacing w:val="-6"/>
        </w:rPr>
        <w:t xml:space="preserve"> </w:t>
      </w:r>
      <w:r>
        <w:t>franqueza</w:t>
      </w:r>
      <w:r>
        <w:rPr>
          <w:spacing w:val="-7"/>
        </w:rPr>
        <w:t xml:space="preserve"> </w:t>
      </w:r>
      <w:r>
        <w:t>haber</w:t>
      </w:r>
      <w:r>
        <w:rPr>
          <w:spacing w:val="-5"/>
        </w:rPr>
        <w:t xml:space="preserve"> </w:t>
      </w:r>
      <w:r>
        <w:t>violado,</w:t>
      </w:r>
      <w:r>
        <w:rPr>
          <w:spacing w:val="-6"/>
        </w:rPr>
        <w:t xml:space="preserve"> </w:t>
      </w:r>
      <w:r>
        <w:t>acosado</w:t>
      </w:r>
      <w:r>
        <w:rPr>
          <w:spacing w:val="-6"/>
        </w:rPr>
        <w:t xml:space="preserve"> </w:t>
      </w:r>
      <w:r>
        <w:t>o</w:t>
      </w:r>
      <w:r>
        <w:rPr>
          <w:spacing w:val="-7"/>
        </w:rPr>
        <w:t xml:space="preserve"> </w:t>
      </w:r>
      <w:r>
        <w:t>prostituido</w:t>
      </w:r>
      <w:r>
        <w:rPr>
          <w:spacing w:val="-7"/>
        </w:rPr>
        <w:t xml:space="preserve"> </w:t>
      </w:r>
      <w:r>
        <w:t>forzadamente</w:t>
      </w:r>
      <w:r>
        <w:rPr>
          <w:spacing w:val="-6"/>
        </w:rPr>
        <w:t xml:space="preserve"> </w:t>
      </w:r>
      <w:r>
        <w:t>a una víctima. Es más fácil confesar el despojo, el desplazamiento forzado e incluso el asesinato, pero sobre la violencia sexual impera un profundo sentido moral que la convierte en</w:t>
      </w:r>
      <w:r>
        <w:rPr>
          <w:spacing w:val="-4"/>
        </w:rPr>
        <w:t xml:space="preserve"> </w:t>
      </w:r>
      <w:r>
        <w:t>un crimen horrendo,</w:t>
      </w:r>
      <w:r>
        <w:rPr>
          <w:spacing w:val="-2"/>
        </w:rPr>
        <w:t xml:space="preserve"> </w:t>
      </w:r>
      <w:r>
        <w:t>que denota la inhumanidad de los victimarios»</w:t>
      </w:r>
      <w:r w:rsidR="007C05E1">
        <w:rPr>
          <w:rStyle w:val="Refdenotaalpie"/>
        </w:rPr>
        <w:footnoteReference w:id="1118"/>
      </w:r>
      <w:r>
        <w:rPr>
          <w:spacing w:val="-15"/>
        </w:rPr>
        <w:t xml:space="preserve"> </w:t>
      </w:r>
      <w:r>
        <w:t>Por esta razón,</w:t>
      </w:r>
      <w:r>
        <w:rPr>
          <w:spacing w:val="-2"/>
        </w:rPr>
        <w:t xml:space="preserve"> </w:t>
      </w:r>
      <w:r>
        <w:t>la Comisión de la Verdad puso un especial empeño en visibilizar esta forma de violencia anclada en la cultura patriarcal.</w:t>
      </w:r>
    </w:p>
    <w:p w:rsidR="003804AC" w:rsidRDefault="00AF18A5" w:rsidP="007C05E1">
      <w:r>
        <w:t>Es</w:t>
      </w:r>
      <w:r>
        <w:rPr>
          <w:spacing w:val="-4"/>
        </w:rPr>
        <w:t xml:space="preserve"> </w:t>
      </w:r>
      <w:r>
        <w:t>preciso</w:t>
      </w:r>
      <w:r>
        <w:rPr>
          <w:spacing w:val="-6"/>
        </w:rPr>
        <w:t xml:space="preserve"> </w:t>
      </w:r>
      <w:r>
        <w:t>considerar</w:t>
      </w:r>
      <w:r>
        <w:rPr>
          <w:spacing w:val="-4"/>
        </w:rPr>
        <w:t xml:space="preserve"> </w:t>
      </w:r>
      <w:r>
        <w:t>que,</w:t>
      </w:r>
      <w:r>
        <w:rPr>
          <w:spacing w:val="-5"/>
        </w:rPr>
        <w:t xml:space="preserve"> </w:t>
      </w:r>
      <w:r>
        <w:t>por</w:t>
      </w:r>
      <w:r>
        <w:rPr>
          <w:spacing w:val="-5"/>
        </w:rPr>
        <w:t xml:space="preserve"> </w:t>
      </w:r>
      <w:r>
        <w:t>lo</w:t>
      </w:r>
      <w:r>
        <w:rPr>
          <w:spacing w:val="-6"/>
        </w:rPr>
        <w:t xml:space="preserve"> </w:t>
      </w:r>
      <w:r>
        <w:t>menos</w:t>
      </w:r>
      <w:r>
        <w:rPr>
          <w:spacing w:val="-4"/>
        </w:rPr>
        <w:t xml:space="preserve"> </w:t>
      </w:r>
      <w:r>
        <w:t>en</w:t>
      </w:r>
      <w:r>
        <w:rPr>
          <w:spacing w:val="-6"/>
        </w:rPr>
        <w:t xml:space="preserve"> </w:t>
      </w:r>
      <w:r>
        <w:t>la</w:t>
      </w:r>
      <w:r>
        <w:rPr>
          <w:spacing w:val="-4"/>
        </w:rPr>
        <w:t xml:space="preserve"> </w:t>
      </w:r>
      <w:r>
        <w:t>vida</w:t>
      </w:r>
      <w:r>
        <w:rPr>
          <w:spacing w:val="-4"/>
        </w:rPr>
        <w:t xml:space="preserve"> </w:t>
      </w:r>
      <w:r>
        <w:t>de</w:t>
      </w:r>
      <w:r>
        <w:rPr>
          <w:spacing w:val="-6"/>
        </w:rPr>
        <w:t xml:space="preserve"> </w:t>
      </w:r>
      <w:r>
        <w:t>mujeres</w:t>
      </w:r>
      <w:r>
        <w:rPr>
          <w:spacing w:val="-6"/>
        </w:rPr>
        <w:t xml:space="preserve"> </w:t>
      </w:r>
      <w:r>
        <w:t>y</w:t>
      </w:r>
      <w:r>
        <w:rPr>
          <w:spacing w:val="-5"/>
        </w:rPr>
        <w:t xml:space="preserve"> </w:t>
      </w:r>
      <w:r>
        <w:t>personas</w:t>
      </w:r>
      <w:r>
        <w:rPr>
          <w:spacing w:val="-6"/>
        </w:rPr>
        <w:t xml:space="preserve"> </w:t>
      </w:r>
      <w:r>
        <w:t>LGBTIQ+,</w:t>
      </w:r>
      <w:r>
        <w:rPr>
          <w:spacing w:val="-3"/>
        </w:rPr>
        <w:t xml:space="preserve"> </w:t>
      </w:r>
      <w:r>
        <w:t xml:space="preserve">este sistema de opresión se ha cruzado con el racismo y el clasismo. Mujeres indígenas, afrodescendientes, campesinas y pobres han experimentado situaciones de sufrimiento particulares que reflejan «estratos de discriminación: el primero por pertenecer a su grupo racial y étnico, y el segundo por su sexo. Al estar </w:t>
      </w:r>
      <w:r>
        <w:lastRenderedPageBreak/>
        <w:t>expuestas históricamente a dos formas de discriminación, son doblemente vulnerables a ser abusadas y victimizadas por los grupos armados</w:t>
      </w:r>
      <w:r>
        <w:rPr>
          <w:spacing w:val="-8"/>
        </w:rPr>
        <w:t xml:space="preserve"> </w:t>
      </w:r>
      <w:r>
        <w:t>en</w:t>
      </w:r>
      <w:r>
        <w:rPr>
          <w:spacing w:val="-8"/>
        </w:rPr>
        <w:t xml:space="preserve"> </w:t>
      </w:r>
      <w:r>
        <w:t>su</w:t>
      </w:r>
      <w:r>
        <w:rPr>
          <w:spacing w:val="-7"/>
        </w:rPr>
        <w:t xml:space="preserve"> </w:t>
      </w:r>
      <w:r>
        <w:t>lucha</w:t>
      </w:r>
      <w:r>
        <w:rPr>
          <w:spacing w:val="-6"/>
        </w:rPr>
        <w:t xml:space="preserve"> </w:t>
      </w:r>
      <w:r>
        <w:t>por</w:t>
      </w:r>
      <w:r>
        <w:rPr>
          <w:spacing w:val="-7"/>
        </w:rPr>
        <w:t xml:space="preserve"> </w:t>
      </w:r>
      <w:r>
        <w:t>controlar</w:t>
      </w:r>
      <w:r>
        <w:rPr>
          <w:spacing w:val="-6"/>
        </w:rPr>
        <w:t xml:space="preserve"> </w:t>
      </w:r>
      <w:r>
        <w:t>recursos</w:t>
      </w:r>
      <w:r>
        <w:rPr>
          <w:spacing w:val="-6"/>
        </w:rPr>
        <w:t xml:space="preserve"> </w:t>
      </w:r>
      <w:r>
        <w:t>y</w:t>
      </w:r>
      <w:r>
        <w:rPr>
          <w:spacing w:val="-7"/>
        </w:rPr>
        <w:t xml:space="preserve"> </w:t>
      </w:r>
      <w:r>
        <w:t>territorios».</w:t>
      </w:r>
      <w:r w:rsidR="007C05E1">
        <w:rPr>
          <w:rStyle w:val="Refdenotaalpie"/>
        </w:rPr>
        <w:footnoteReference w:id="1119"/>
      </w:r>
      <w:r>
        <w:rPr>
          <w:spacing w:val="-6"/>
        </w:rPr>
        <w:t xml:space="preserve"> </w:t>
      </w:r>
      <w:r>
        <w:t>Este</w:t>
      </w:r>
      <w:r>
        <w:rPr>
          <w:spacing w:val="-6"/>
        </w:rPr>
        <w:t xml:space="preserve"> </w:t>
      </w:r>
      <w:r>
        <w:t>hecho</w:t>
      </w:r>
      <w:r>
        <w:rPr>
          <w:spacing w:val="-7"/>
        </w:rPr>
        <w:t xml:space="preserve"> </w:t>
      </w:r>
      <w:r>
        <w:t>obliga</w:t>
      </w:r>
      <w:r>
        <w:rPr>
          <w:spacing w:val="-6"/>
        </w:rPr>
        <w:t xml:space="preserve"> </w:t>
      </w:r>
      <w:r>
        <w:t>a</w:t>
      </w:r>
      <w:r>
        <w:rPr>
          <w:spacing w:val="-6"/>
        </w:rPr>
        <w:t xml:space="preserve"> </w:t>
      </w:r>
      <w:r>
        <w:t>analizar</w:t>
      </w:r>
      <w:r>
        <w:rPr>
          <w:spacing w:val="-7"/>
        </w:rPr>
        <w:t xml:space="preserve"> </w:t>
      </w:r>
      <w:r>
        <w:t xml:space="preserve">las violencias estructurales imbricadas, para lo cual resulta fundamental un enfoque </w:t>
      </w:r>
      <w:proofErr w:type="spellStart"/>
      <w:r>
        <w:rPr>
          <w:spacing w:val="-2"/>
        </w:rPr>
        <w:t>interseccional</w:t>
      </w:r>
      <w:proofErr w:type="spellEnd"/>
      <w:r>
        <w:rPr>
          <w:spacing w:val="-2"/>
        </w:rPr>
        <w:t>.</w:t>
      </w:r>
    </w:p>
    <w:p w:rsidR="003804AC" w:rsidRDefault="00AF18A5" w:rsidP="007C05E1">
      <w:r>
        <w:t>Sobre</w:t>
      </w:r>
      <w:r>
        <w:rPr>
          <w:spacing w:val="-5"/>
        </w:rPr>
        <w:t xml:space="preserve"> </w:t>
      </w:r>
      <w:r>
        <w:t>las</w:t>
      </w:r>
      <w:r>
        <w:rPr>
          <w:spacing w:val="-5"/>
        </w:rPr>
        <w:t xml:space="preserve"> </w:t>
      </w:r>
      <w:r>
        <w:t>personas</w:t>
      </w:r>
      <w:r>
        <w:rPr>
          <w:spacing w:val="-5"/>
        </w:rPr>
        <w:t xml:space="preserve"> </w:t>
      </w:r>
      <w:r>
        <w:t>LGBTI+,</w:t>
      </w:r>
      <w:r>
        <w:rPr>
          <w:spacing w:val="-5"/>
        </w:rPr>
        <w:t xml:space="preserve"> </w:t>
      </w:r>
      <w:r>
        <w:t>la</w:t>
      </w:r>
      <w:r>
        <w:rPr>
          <w:spacing w:val="-5"/>
        </w:rPr>
        <w:t xml:space="preserve"> </w:t>
      </w:r>
      <w:r>
        <w:t>Comisión</w:t>
      </w:r>
      <w:r>
        <w:rPr>
          <w:spacing w:val="-6"/>
        </w:rPr>
        <w:t xml:space="preserve"> </w:t>
      </w:r>
      <w:r>
        <w:t>identificó</w:t>
      </w:r>
      <w:r>
        <w:rPr>
          <w:spacing w:val="-5"/>
        </w:rPr>
        <w:t xml:space="preserve"> </w:t>
      </w:r>
      <w:r>
        <w:t>un</w:t>
      </w:r>
      <w:r>
        <w:rPr>
          <w:spacing w:val="-5"/>
        </w:rPr>
        <w:t xml:space="preserve"> </w:t>
      </w:r>
      <w:r>
        <w:t>patrón</w:t>
      </w:r>
      <w:r>
        <w:rPr>
          <w:spacing w:val="-6"/>
        </w:rPr>
        <w:t xml:space="preserve"> </w:t>
      </w:r>
      <w:r>
        <w:t>de</w:t>
      </w:r>
      <w:r>
        <w:rPr>
          <w:spacing w:val="-5"/>
        </w:rPr>
        <w:t xml:space="preserve"> </w:t>
      </w:r>
      <w:r>
        <w:t>persecución</w:t>
      </w:r>
      <w:r>
        <w:rPr>
          <w:spacing w:val="-5"/>
        </w:rPr>
        <w:t xml:space="preserve"> </w:t>
      </w:r>
      <w:r>
        <w:t>en</w:t>
      </w:r>
      <w:r>
        <w:rPr>
          <w:spacing w:val="-5"/>
        </w:rPr>
        <w:t xml:space="preserve"> </w:t>
      </w:r>
      <w:r>
        <w:t>razón</w:t>
      </w:r>
      <w:r>
        <w:rPr>
          <w:spacing w:val="-6"/>
        </w:rPr>
        <w:t xml:space="preserve"> </w:t>
      </w:r>
      <w:r>
        <w:t>de su identidad de género y de su orientación sexual. Tanto guerrillas como paramilitares y fuerza pública les ejercieron múltiples violencias, entre ellas, las violencias correctivas ocuparon un lugar importante. Cualquier persona que transgrediera los roles de género establecidos</w:t>
      </w:r>
      <w:r>
        <w:rPr>
          <w:spacing w:val="-2"/>
        </w:rPr>
        <w:t xml:space="preserve"> </w:t>
      </w:r>
      <w:r>
        <w:t>de</w:t>
      </w:r>
      <w:r>
        <w:rPr>
          <w:spacing w:val="-1"/>
        </w:rPr>
        <w:t xml:space="preserve"> </w:t>
      </w:r>
      <w:r>
        <w:t>manera</w:t>
      </w:r>
      <w:r>
        <w:rPr>
          <w:spacing w:val="-1"/>
        </w:rPr>
        <w:t xml:space="preserve"> </w:t>
      </w:r>
      <w:r>
        <w:t>prejuiciosa</w:t>
      </w:r>
      <w:r>
        <w:rPr>
          <w:spacing w:val="-2"/>
        </w:rPr>
        <w:t xml:space="preserve"> </w:t>
      </w:r>
      <w:r>
        <w:t>por la</w:t>
      </w:r>
      <w:r>
        <w:rPr>
          <w:spacing w:val="-1"/>
        </w:rPr>
        <w:t xml:space="preserve"> </w:t>
      </w:r>
      <w:r>
        <w:t>sociedad y</w:t>
      </w:r>
      <w:r>
        <w:rPr>
          <w:spacing w:val="-1"/>
        </w:rPr>
        <w:t xml:space="preserve"> </w:t>
      </w:r>
      <w:r>
        <w:t>la cultura,</w:t>
      </w:r>
      <w:r>
        <w:rPr>
          <w:spacing w:val="-1"/>
        </w:rPr>
        <w:t xml:space="preserve"> </w:t>
      </w:r>
      <w:r>
        <w:t>constituía una</w:t>
      </w:r>
      <w:r>
        <w:rPr>
          <w:spacing w:val="-1"/>
        </w:rPr>
        <w:t xml:space="preserve"> </w:t>
      </w:r>
      <w:r>
        <w:t xml:space="preserve">amenaza </w:t>
      </w:r>
      <w:r>
        <w:rPr>
          <w:spacing w:val="-4"/>
        </w:rPr>
        <w:t>para</w:t>
      </w:r>
      <w:bookmarkStart w:id="1378" w:name="_bookmark1227"/>
      <w:bookmarkStart w:id="1379" w:name="_bookmark1228"/>
      <w:bookmarkStart w:id="1380" w:name="_bookmark1229"/>
      <w:bookmarkEnd w:id="1378"/>
      <w:bookmarkEnd w:id="1379"/>
      <w:bookmarkEnd w:id="1380"/>
      <w:r w:rsidR="007C05E1">
        <w:t xml:space="preserve"> </w:t>
      </w:r>
      <w:r>
        <w:t>«la moral social». Entonces, en función de un control territorial y social, eran castigadas de manera «ejemplarizante», a manera de corrección e higienización.</w:t>
      </w:r>
    </w:p>
    <w:p w:rsidR="003804AC" w:rsidRDefault="00AF18A5" w:rsidP="007C05E1">
      <w:r>
        <w:t>En el municipio de</w:t>
      </w:r>
      <w:r>
        <w:rPr>
          <w:spacing w:val="-1"/>
        </w:rPr>
        <w:t xml:space="preserve"> </w:t>
      </w:r>
      <w:r>
        <w:t>San</w:t>
      </w:r>
      <w:r>
        <w:rPr>
          <w:spacing w:val="-1"/>
        </w:rPr>
        <w:t xml:space="preserve"> </w:t>
      </w:r>
      <w:r>
        <w:t>Onofre, Sucre, hombres</w:t>
      </w:r>
      <w:r>
        <w:rPr>
          <w:spacing w:val="-1"/>
        </w:rPr>
        <w:t xml:space="preserve"> </w:t>
      </w:r>
      <w:r>
        <w:t>gais fueron</w:t>
      </w:r>
      <w:r>
        <w:rPr>
          <w:spacing w:val="-1"/>
        </w:rPr>
        <w:t xml:space="preserve"> </w:t>
      </w:r>
      <w:r>
        <w:t>obligados</w:t>
      </w:r>
      <w:r>
        <w:rPr>
          <w:spacing w:val="-1"/>
        </w:rPr>
        <w:t xml:space="preserve"> </w:t>
      </w:r>
      <w:r>
        <w:t>por una estructura paramilitar a pelear en rines improvisados de boxeo por el «solo hecho de ser afeminados o de que eran maricas, y pues la sociedad lo vio como algo muy normal»</w:t>
      </w:r>
      <w:r w:rsidR="00E14C02">
        <w:rPr>
          <w:rStyle w:val="Refdenotaalpie"/>
        </w:rPr>
        <w:footnoteReference w:id="1120"/>
      </w:r>
      <w:r>
        <w:t>. La complicidad social frente a las agresiones hacia las personas LGBTIQ+ fue lo que permitió la dureza de su victimización. Muchos testimonios narraron que la manera como los actores armados se congraciaban</w:t>
      </w:r>
      <w:r>
        <w:rPr>
          <w:spacing w:val="-15"/>
        </w:rPr>
        <w:t xml:space="preserve"> </w:t>
      </w:r>
      <w:r>
        <w:t>con</w:t>
      </w:r>
      <w:r>
        <w:rPr>
          <w:spacing w:val="-15"/>
        </w:rPr>
        <w:t xml:space="preserve"> </w:t>
      </w:r>
      <w:r>
        <w:t>las</w:t>
      </w:r>
      <w:r>
        <w:rPr>
          <w:spacing w:val="-15"/>
        </w:rPr>
        <w:t xml:space="preserve"> </w:t>
      </w:r>
      <w:r>
        <w:t>comunidades</w:t>
      </w:r>
      <w:r>
        <w:rPr>
          <w:spacing w:val="-15"/>
        </w:rPr>
        <w:t xml:space="preserve"> </w:t>
      </w:r>
      <w:r>
        <w:t>era</w:t>
      </w:r>
      <w:r>
        <w:rPr>
          <w:spacing w:val="-15"/>
        </w:rPr>
        <w:t xml:space="preserve"> </w:t>
      </w:r>
      <w:r>
        <w:t>a</w:t>
      </w:r>
      <w:r>
        <w:rPr>
          <w:spacing w:val="-14"/>
        </w:rPr>
        <w:t xml:space="preserve"> </w:t>
      </w:r>
      <w:r>
        <w:t>través</w:t>
      </w:r>
      <w:r>
        <w:rPr>
          <w:spacing w:val="-15"/>
        </w:rPr>
        <w:t xml:space="preserve"> </w:t>
      </w:r>
      <w:r>
        <w:t>de</w:t>
      </w:r>
      <w:r>
        <w:rPr>
          <w:spacing w:val="-15"/>
        </w:rPr>
        <w:t xml:space="preserve"> </w:t>
      </w:r>
      <w:r>
        <w:t>la</w:t>
      </w:r>
      <w:r>
        <w:rPr>
          <w:spacing w:val="-15"/>
        </w:rPr>
        <w:t xml:space="preserve"> </w:t>
      </w:r>
      <w:r>
        <w:t>llamada</w:t>
      </w:r>
      <w:r>
        <w:rPr>
          <w:spacing w:val="-15"/>
        </w:rPr>
        <w:t xml:space="preserve"> </w:t>
      </w:r>
      <w:r>
        <w:t>«limpieza</w:t>
      </w:r>
      <w:r>
        <w:rPr>
          <w:spacing w:val="-15"/>
        </w:rPr>
        <w:t xml:space="preserve"> </w:t>
      </w:r>
      <w:r>
        <w:t>social».</w:t>
      </w:r>
      <w:r>
        <w:rPr>
          <w:spacing w:val="-15"/>
        </w:rPr>
        <w:t xml:space="preserve"> </w:t>
      </w:r>
      <w:r>
        <w:t>Los</w:t>
      </w:r>
      <w:r>
        <w:rPr>
          <w:spacing w:val="-14"/>
        </w:rPr>
        <w:t xml:space="preserve"> </w:t>
      </w:r>
      <w:r>
        <w:t>ladrones, los</w:t>
      </w:r>
      <w:r>
        <w:rPr>
          <w:spacing w:val="-6"/>
        </w:rPr>
        <w:t xml:space="preserve"> </w:t>
      </w:r>
      <w:r>
        <w:t>consumidores</w:t>
      </w:r>
      <w:r>
        <w:rPr>
          <w:spacing w:val="-6"/>
        </w:rPr>
        <w:t xml:space="preserve"> </w:t>
      </w:r>
      <w:r>
        <w:t>y</w:t>
      </w:r>
      <w:r>
        <w:rPr>
          <w:spacing w:val="-7"/>
        </w:rPr>
        <w:t xml:space="preserve"> </w:t>
      </w:r>
      <w:r>
        <w:t>las</w:t>
      </w:r>
      <w:r>
        <w:rPr>
          <w:spacing w:val="-7"/>
        </w:rPr>
        <w:t xml:space="preserve"> </w:t>
      </w:r>
      <w:r>
        <w:t>personas</w:t>
      </w:r>
      <w:r>
        <w:rPr>
          <w:spacing w:val="-7"/>
        </w:rPr>
        <w:t xml:space="preserve"> </w:t>
      </w:r>
      <w:r>
        <w:t>LGBTIQ+</w:t>
      </w:r>
      <w:r>
        <w:rPr>
          <w:spacing w:val="-6"/>
        </w:rPr>
        <w:t xml:space="preserve"> </w:t>
      </w:r>
      <w:r>
        <w:t>sufrieron</w:t>
      </w:r>
      <w:r>
        <w:rPr>
          <w:spacing w:val="-6"/>
        </w:rPr>
        <w:t xml:space="preserve"> </w:t>
      </w:r>
      <w:r>
        <w:t>múltiples</w:t>
      </w:r>
      <w:r>
        <w:rPr>
          <w:spacing w:val="-6"/>
        </w:rPr>
        <w:t xml:space="preserve"> </w:t>
      </w:r>
      <w:r>
        <w:t>violaciones</w:t>
      </w:r>
      <w:r>
        <w:rPr>
          <w:spacing w:val="-6"/>
        </w:rPr>
        <w:t xml:space="preserve"> </w:t>
      </w:r>
      <w:r>
        <w:t>en</w:t>
      </w:r>
      <w:r>
        <w:rPr>
          <w:spacing w:val="-6"/>
        </w:rPr>
        <w:t xml:space="preserve"> </w:t>
      </w:r>
      <w:r>
        <w:t>sus</w:t>
      </w:r>
      <w:r>
        <w:rPr>
          <w:spacing w:val="-6"/>
        </w:rPr>
        <w:t xml:space="preserve"> </w:t>
      </w:r>
      <w:r>
        <w:t>vidas</w:t>
      </w:r>
      <w:r>
        <w:rPr>
          <w:spacing w:val="-6"/>
        </w:rPr>
        <w:t xml:space="preserve"> </w:t>
      </w:r>
      <w:r>
        <w:t>y</w:t>
      </w:r>
      <w:r>
        <w:rPr>
          <w:spacing w:val="-6"/>
        </w:rPr>
        <w:t xml:space="preserve"> </w:t>
      </w:r>
      <w:r>
        <w:t>en su</w:t>
      </w:r>
      <w:r>
        <w:rPr>
          <w:spacing w:val="-15"/>
        </w:rPr>
        <w:t xml:space="preserve"> </w:t>
      </w:r>
      <w:r>
        <w:t>libertad</w:t>
      </w:r>
      <w:r>
        <w:rPr>
          <w:spacing w:val="-15"/>
        </w:rPr>
        <w:t xml:space="preserve"> </w:t>
      </w:r>
      <w:r>
        <w:t>de</w:t>
      </w:r>
      <w:r>
        <w:rPr>
          <w:spacing w:val="-15"/>
        </w:rPr>
        <w:t xml:space="preserve"> </w:t>
      </w:r>
      <w:r>
        <w:t>ser,</w:t>
      </w:r>
      <w:r>
        <w:rPr>
          <w:spacing w:val="-15"/>
        </w:rPr>
        <w:t xml:space="preserve"> </w:t>
      </w:r>
      <w:r>
        <w:t>gracias</w:t>
      </w:r>
      <w:r>
        <w:rPr>
          <w:spacing w:val="-15"/>
        </w:rPr>
        <w:t xml:space="preserve"> </w:t>
      </w:r>
      <w:r>
        <w:t>al</w:t>
      </w:r>
      <w:r>
        <w:rPr>
          <w:spacing w:val="-15"/>
        </w:rPr>
        <w:t xml:space="preserve"> </w:t>
      </w:r>
      <w:r>
        <w:t>odio</w:t>
      </w:r>
      <w:r>
        <w:rPr>
          <w:spacing w:val="-15"/>
        </w:rPr>
        <w:t xml:space="preserve"> </w:t>
      </w:r>
      <w:r>
        <w:t>instalado</w:t>
      </w:r>
      <w:r>
        <w:rPr>
          <w:spacing w:val="-15"/>
        </w:rPr>
        <w:t xml:space="preserve"> </w:t>
      </w:r>
      <w:r>
        <w:t>en</w:t>
      </w:r>
      <w:r>
        <w:rPr>
          <w:spacing w:val="-15"/>
        </w:rPr>
        <w:t xml:space="preserve"> </w:t>
      </w:r>
      <w:r>
        <w:t>esta</w:t>
      </w:r>
      <w:r>
        <w:rPr>
          <w:spacing w:val="-15"/>
        </w:rPr>
        <w:t xml:space="preserve"> </w:t>
      </w:r>
      <w:r>
        <w:t>cultura</w:t>
      </w:r>
      <w:r>
        <w:rPr>
          <w:spacing w:val="-15"/>
        </w:rPr>
        <w:t xml:space="preserve"> </w:t>
      </w:r>
      <w:r>
        <w:t>patriarcal,</w:t>
      </w:r>
      <w:r>
        <w:rPr>
          <w:spacing w:val="-15"/>
        </w:rPr>
        <w:t xml:space="preserve"> </w:t>
      </w:r>
      <w:r>
        <w:t>que</w:t>
      </w:r>
      <w:r>
        <w:rPr>
          <w:spacing w:val="-15"/>
        </w:rPr>
        <w:t xml:space="preserve"> </w:t>
      </w:r>
      <w:r>
        <w:t>en</w:t>
      </w:r>
      <w:r>
        <w:rPr>
          <w:spacing w:val="-15"/>
        </w:rPr>
        <w:t xml:space="preserve"> </w:t>
      </w:r>
      <w:r>
        <w:t>muchas</w:t>
      </w:r>
      <w:r>
        <w:rPr>
          <w:spacing w:val="-15"/>
        </w:rPr>
        <w:t xml:space="preserve"> </w:t>
      </w:r>
      <w:r>
        <w:t>ocasiones legitimó tales agresiones.</w:t>
      </w:r>
    </w:p>
    <w:p w:rsidR="003804AC" w:rsidRDefault="00AF18A5" w:rsidP="00E14C02">
      <w:r>
        <w:lastRenderedPageBreak/>
        <w:t xml:space="preserve">Las personas LGBTIQ+ fueron instrumentalizadas para la guerra y estuvieron siempre bajo sospecha cuando pertenecieron a algún grupo armado, debido a que los consideraban infiltrados de alguno de los bandos. En Tumaco, Nariño, hombres homosexuales fueron utilizados como mensajeros o para satisfacer deseos sexuales. En un testimonio escuchado por la Comisión de la Verdad, un indígena emberá contó que un antiguo comandante de las FARC-EP se encargaba de hacer reuniones para combatir la enfermedad del homosexualismo. En otra, detrás de planes de limpieza social contra «maricas y cacorros», eran obligados a abandonar su territorio, porque «las naranjas que no sirven, hay que </w:t>
      </w:r>
      <w:r>
        <w:rPr>
          <w:spacing w:val="-2"/>
        </w:rPr>
        <w:t>botarlas»</w:t>
      </w:r>
      <w:r w:rsidR="00E14C02">
        <w:rPr>
          <w:rStyle w:val="Refdenotaalpie"/>
          <w:spacing w:val="-2"/>
        </w:rPr>
        <w:footnoteReference w:id="1121"/>
      </w:r>
      <w:r>
        <w:rPr>
          <w:spacing w:val="-2"/>
        </w:rPr>
        <w:t>.</w:t>
      </w:r>
    </w:p>
    <w:p w:rsidR="003804AC" w:rsidRDefault="00AF18A5" w:rsidP="00E14C02">
      <w:r>
        <w:t>En</w:t>
      </w:r>
      <w:r>
        <w:rPr>
          <w:spacing w:val="-8"/>
        </w:rPr>
        <w:t xml:space="preserve"> </w:t>
      </w:r>
      <w:r>
        <w:t>un</w:t>
      </w:r>
      <w:r>
        <w:rPr>
          <w:spacing w:val="-8"/>
        </w:rPr>
        <w:t xml:space="preserve"> </w:t>
      </w:r>
      <w:r>
        <w:t>informe</w:t>
      </w:r>
      <w:r>
        <w:rPr>
          <w:spacing w:val="-8"/>
        </w:rPr>
        <w:t xml:space="preserve"> </w:t>
      </w:r>
      <w:r>
        <w:t>del</w:t>
      </w:r>
      <w:r>
        <w:rPr>
          <w:spacing w:val="-8"/>
        </w:rPr>
        <w:t xml:space="preserve"> </w:t>
      </w:r>
      <w:r>
        <w:t>Centro</w:t>
      </w:r>
      <w:r>
        <w:rPr>
          <w:spacing w:val="-8"/>
        </w:rPr>
        <w:t xml:space="preserve"> </w:t>
      </w:r>
      <w:r>
        <w:t>de</w:t>
      </w:r>
      <w:r>
        <w:rPr>
          <w:spacing w:val="-8"/>
        </w:rPr>
        <w:t xml:space="preserve"> </w:t>
      </w:r>
      <w:r>
        <w:t>Derechos</w:t>
      </w:r>
      <w:r>
        <w:rPr>
          <w:spacing w:val="-8"/>
        </w:rPr>
        <w:t xml:space="preserve"> </w:t>
      </w:r>
      <w:r>
        <w:t>Reproductivos</w:t>
      </w:r>
      <w:r>
        <w:rPr>
          <w:spacing w:val="-9"/>
        </w:rPr>
        <w:t xml:space="preserve"> </w:t>
      </w:r>
      <w:r>
        <w:t>se</w:t>
      </w:r>
      <w:r>
        <w:rPr>
          <w:spacing w:val="-8"/>
        </w:rPr>
        <w:t xml:space="preserve"> </w:t>
      </w:r>
      <w:r>
        <w:t>da</w:t>
      </w:r>
      <w:r>
        <w:rPr>
          <w:spacing w:val="-9"/>
        </w:rPr>
        <w:t xml:space="preserve"> </w:t>
      </w:r>
      <w:r>
        <w:t>cuenta</w:t>
      </w:r>
      <w:r>
        <w:rPr>
          <w:spacing w:val="-8"/>
        </w:rPr>
        <w:t xml:space="preserve"> </w:t>
      </w:r>
      <w:r>
        <w:t>de</w:t>
      </w:r>
      <w:r>
        <w:rPr>
          <w:spacing w:val="-8"/>
        </w:rPr>
        <w:t xml:space="preserve"> </w:t>
      </w:r>
      <w:r>
        <w:t>cómo</w:t>
      </w:r>
      <w:r>
        <w:rPr>
          <w:spacing w:val="-8"/>
        </w:rPr>
        <w:t xml:space="preserve"> </w:t>
      </w:r>
      <w:r>
        <w:t>mujeres</w:t>
      </w:r>
      <w:r>
        <w:rPr>
          <w:spacing w:val="-9"/>
        </w:rPr>
        <w:t xml:space="preserve"> </w:t>
      </w:r>
      <w:r>
        <w:t>trans o lesbianas fueron objeto de violencias correctivas. En particular fueron abusadas, violentadas</w:t>
      </w:r>
      <w:r>
        <w:rPr>
          <w:spacing w:val="8"/>
        </w:rPr>
        <w:t xml:space="preserve"> </w:t>
      </w:r>
      <w:r>
        <w:t>y</w:t>
      </w:r>
      <w:r>
        <w:rPr>
          <w:spacing w:val="11"/>
        </w:rPr>
        <w:t xml:space="preserve"> </w:t>
      </w:r>
      <w:r>
        <w:t>en</w:t>
      </w:r>
      <w:r>
        <w:rPr>
          <w:spacing w:val="11"/>
        </w:rPr>
        <w:t xml:space="preserve"> </w:t>
      </w:r>
      <w:r>
        <w:t>muchos</w:t>
      </w:r>
      <w:r>
        <w:rPr>
          <w:spacing w:val="11"/>
        </w:rPr>
        <w:t xml:space="preserve"> </w:t>
      </w:r>
      <w:r>
        <w:t>casos</w:t>
      </w:r>
      <w:r>
        <w:rPr>
          <w:spacing w:val="11"/>
        </w:rPr>
        <w:t xml:space="preserve"> </w:t>
      </w:r>
      <w:r>
        <w:t>obligadas</w:t>
      </w:r>
      <w:r>
        <w:rPr>
          <w:spacing w:val="11"/>
        </w:rPr>
        <w:t xml:space="preserve"> </w:t>
      </w:r>
      <w:r>
        <w:t>a</w:t>
      </w:r>
      <w:r>
        <w:rPr>
          <w:spacing w:val="11"/>
        </w:rPr>
        <w:t xml:space="preserve"> </w:t>
      </w:r>
      <w:r>
        <w:t>embarazos</w:t>
      </w:r>
      <w:r>
        <w:rPr>
          <w:spacing w:val="11"/>
        </w:rPr>
        <w:t xml:space="preserve"> </w:t>
      </w:r>
      <w:r>
        <w:t>y</w:t>
      </w:r>
      <w:r>
        <w:rPr>
          <w:spacing w:val="11"/>
        </w:rPr>
        <w:t xml:space="preserve"> </w:t>
      </w:r>
      <w:r>
        <w:t>maternidades</w:t>
      </w:r>
      <w:r>
        <w:rPr>
          <w:spacing w:val="11"/>
        </w:rPr>
        <w:t xml:space="preserve"> </w:t>
      </w:r>
      <w:r>
        <w:t>forzadas</w:t>
      </w:r>
      <w:r>
        <w:rPr>
          <w:spacing w:val="11"/>
        </w:rPr>
        <w:t xml:space="preserve"> </w:t>
      </w:r>
      <w:r>
        <w:t>como</w:t>
      </w:r>
      <w:r>
        <w:rPr>
          <w:spacing w:val="11"/>
        </w:rPr>
        <w:t xml:space="preserve"> </w:t>
      </w:r>
      <w:r>
        <w:rPr>
          <w:spacing w:val="-4"/>
        </w:rPr>
        <w:t>«una</w:t>
      </w:r>
      <w:bookmarkStart w:id="1381" w:name="_bookmark1230"/>
      <w:bookmarkStart w:id="1382" w:name="_bookmark1231"/>
      <w:bookmarkEnd w:id="1381"/>
      <w:bookmarkEnd w:id="1382"/>
      <w:r w:rsidR="00E14C02">
        <w:t xml:space="preserve"> </w:t>
      </w:r>
      <w:r>
        <w:t>forma</w:t>
      </w:r>
      <w:r>
        <w:rPr>
          <w:spacing w:val="-1"/>
        </w:rPr>
        <w:t xml:space="preserve"> </w:t>
      </w:r>
      <w:r>
        <w:t>de</w:t>
      </w:r>
      <w:r>
        <w:rPr>
          <w:spacing w:val="-1"/>
        </w:rPr>
        <w:t xml:space="preserve"> </w:t>
      </w:r>
      <w:proofErr w:type="spellStart"/>
      <w:r>
        <w:t>disciplinamiento</w:t>
      </w:r>
      <w:proofErr w:type="spellEnd"/>
      <w:r>
        <w:t xml:space="preserve"> corporal»</w:t>
      </w:r>
      <w:r>
        <w:rPr>
          <w:spacing w:val="-2"/>
        </w:rPr>
        <w:t xml:space="preserve"> </w:t>
      </w:r>
      <w:r>
        <w:t>Todo amparado en</w:t>
      </w:r>
      <w:r>
        <w:rPr>
          <w:spacing w:val="-1"/>
        </w:rPr>
        <w:t xml:space="preserve"> </w:t>
      </w:r>
      <w:r>
        <w:t>estereotipos</w:t>
      </w:r>
      <w:r>
        <w:rPr>
          <w:spacing w:val="-1"/>
        </w:rPr>
        <w:t xml:space="preserve"> </w:t>
      </w:r>
      <w:r>
        <w:t>de género que «ponían en cuestión su capacidad de maternizar por su orientación sexual»</w:t>
      </w:r>
      <w:r w:rsidR="00E14C02">
        <w:rPr>
          <w:rStyle w:val="Refdenotaalpie"/>
        </w:rPr>
        <w:footnoteReference w:id="1122"/>
      </w:r>
      <w:r>
        <w:t>.</w:t>
      </w:r>
    </w:p>
    <w:p w:rsidR="003804AC" w:rsidRDefault="00AF18A5" w:rsidP="00E14C02">
      <w:r>
        <w:t>El conflicto profundiza heridas históricas que, al reiterarse cíclicamente, minan la confianza de estas poblaciones en el Estado y sus instituciones, e impide el avance efectivo en procesos de verdad, justicia, reparación y garantías de no repetición. Un ejemplo de esta continuidad tiene que ver con que la vulnerabilidad jurídica de las mujeres frente a la propiedad</w:t>
      </w:r>
      <w:r>
        <w:rPr>
          <w:spacing w:val="-2"/>
        </w:rPr>
        <w:t xml:space="preserve"> </w:t>
      </w:r>
      <w:r>
        <w:t>de</w:t>
      </w:r>
      <w:r>
        <w:rPr>
          <w:spacing w:val="-2"/>
        </w:rPr>
        <w:t xml:space="preserve"> </w:t>
      </w:r>
      <w:r>
        <w:t>la</w:t>
      </w:r>
      <w:r>
        <w:rPr>
          <w:spacing w:val="-2"/>
        </w:rPr>
        <w:t xml:space="preserve"> </w:t>
      </w:r>
      <w:r>
        <w:t>tierra,</w:t>
      </w:r>
      <w:r>
        <w:rPr>
          <w:spacing w:val="-2"/>
        </w:rPr>
        <w:t xml:space="preserve"> </w:t>
      </w:r>
      <w:r>
        <w:t>como</w:t>
      </w:r>
      <w:r>
        <w:rPr>
          <w:spacing w:val="-2"/>
        </w:rPr>
        <w:t xml:space="preserve"> </w:t>
      </w:r>
      <w:r>
        <w:t>se</w:t>
      </w:r>
      <w:r>
        <w:rPr>
          <w:spacing w:val="-2"/>
        </w:rPr>
        <w:t xml:space="preserve"> </w:t>
      </w:r>
      <w:r>
        <w:t>dijo</w:t>
      </w:r>
      <w:r>
        <w:rPr>
          <w:spacing w:val="-4"/>
        </w:rPr>
        <w:t xml:space="preserve"> </w:t>
      </w:r>
      <w:r>
        <w:t>antes,</w:t>
      </w:r>
      <w:r>
        <w:rPr>
          <w:spacing w:val="-2"/>
        </w:rPr>
        <w:t xml:space="preserve"> </w:t>
      </w:r>
      <w:r>
        <w:t>ha</w:t>
      </w:r>
      <w:r>
        <w:rPr>
          <w:spacing w:val="-3"/>
        </w:rPr>
        <w:t xml:space="preserve"> </w:t>
      </w:r>
      <w:r>
        <w:t>facilitado</w:t>
      </w:r>
      <w:r>
        <w:rPr>
          <w:spacing w:val="-2"/>
        </w:rPr>
        <w:t xml:space="preserve"> </w:t>
      </w:r>
      <w:r>
        <w:t>el</w:t>
      </w:r>
      <w:r>
        <w:rPr>
          <w:spacing w:val="-2"/>
        </w:rPr>
        <w:t xml:space="preserve"> </w:t>
      </w:r>
      <w:r>
        <w:t>despojo</w:t>
      </w:r>
      <w:r>
        <w:rPr>
          <w:spacing w:val="-2"/>
        </w:rPr>
        <w:t xml:space="preserve"> </w:t>
      </w:r>
      <w:r>
        <w:t>y</w:t>
      </w:r>
      <w:r>
        <w:rPr>
          <w:spacing w:val="-2"/>
        </w:rPr>
        <w:t xml:space="preserve"> </w:t>
      </w:r>
      <w:r>
        <w:t>dificultado</w:t>
      </w:r>
      <w:r>
        <w:rPr>
          <w:spacing w:val="-2"/>
        </w:rPr>
        <w:t xml:space="preserve"> </w:t>
      </w:r>
      <w:r>
        <w:t>su</w:t>
      </w:r>
      <w:r>
        <w:rPr>
          <w:spacing w:val="-2"/>
        </w:rPr>
        <w:t xml:space="preserve"> </w:t>
      </w:r>
      <w:r>
        <w:t>derecho</w:t>
      </w:r>
      <w:r>
        <w:rPr>
          <w:spacing w:val="-2"/>
        </w:rPr>
        <w:t xml:space="preserve"> </w:t>
      </w:r>
      <w:r>
        <w:t>a la restitución:</w:t>
      </w:r>
    </w:p>
    <w:p w:rsidR="003804AC" w:rsidRDefault="00AF18A5" w:rsidP="00E14C02">
      <w:r>
        <w:lastRenderedPageBreak/>
        <w:t>«Fui</w:t>
      </w:r>
      <w:r>
        <w:rPr>
          <w:spacing w:val="-4"/>
        </w:rPr>
        <w:t xml:space="preserve"> </w:t>
      </w:r>
      <w:r>
        <w:t>una</w:t>
      </w:r>
      <w:r>
        <w:rPr>
          <w:spacing w:val="-5"/>
        </w:rPr>
        <w:t xml:space="preserve"> </w:t>
      </w:r>
      <w:r>
        <w:t>vez</w:t>
      </w:r>
      <w:r>
        <w:rPr>
          <w:spacing w:val="-5"/>
        </w:rPr>
        <w:t xml:space="preserve"> </w:t>
      </w:r>
      <w:r>
        <w:t>a</w:t>
      </w:r>
      <w:r>
        <w:rPr>
          <w:spacing w:val="-6"/>
        </w:rPr>
        <w:t xml:space="preserve"> </w:t>
      </w:r>
      <w:r>
        <w:t>la</w:t>
      </w:r>
      <w:r>
        <w:rPr>
          <w:spacing w:val="-5"/>
        </w:rPr>
        <w:t xml:space="preserve"> </w:t>
      </w:r>
      <w:r>
        <w:t>Unidad</w:t>
      </w:r>
      <w:r>
        <w:rPr>
          <w:spacing w:val="-5"/>
        </w:rPr>
        <w:t xml:space="preserve"> </w:t>
      </w:r>
      <w:r>
        <w:t>de</w:t>
      </w:r>
      <w:r>
        <w:rPr>
          <w:spacing w:val="-5"/>
        </w:rPr>
        <w:t xml:space="preserve"> </w:t>
      </w:r>
      <w:r>
        <w:t>Restitución</w:t>
      </w:r>
      <w:r>
        <w:rPr>
          <w:spacing w:val="-5"/>
        </w:rPr>
        <w:t xml:space="preserve"> </w:t>
      </w:r>
      <w:r>
        <w:t>de</w:t>
      </w:r>
      <w:r>
        <w:rPr>
          <w:spacing w:val="-6"/>
        </w:rPr>
        <w:t xml:space="preserve"> </w:t>
      </w:r>
      <w:r>
        <w:t>Tierras</w:t>
      </w:r>
      <w:r>
        <w:rPr>
          <w:spacing w:val="-5"/>
        </w:rPr>
        <w:t xml:space="preserve"> </w:t>
      </w:r>
      <w:r>
        <w:t>y</w:t>
      </w:r>
      <w:r>
        <w:rPr>
          <w:spacing w:val="-6"/>
        </w:rPr>
        <w:t xml:space="preserve"> </w:t>
      </w:r>
      <w:r>
        <w:t>me</w:t>
      </w:r>
      <w:r>
        <w:rPr>
          <w:spacing w:val="-6"/>
        </w:rPr>
        <w:t xml:space="preserve"> </w:t>
      </w:r>
      <w:r>
        <w:t>dijeron</w:t>
      </w:r>
      <w:r>
        <w:rPr>
          <w:spacing w:val="-5"/>
        </w:rPr>
        <w:t xml:space="preserve"> </w:t>
      </w:r>
      <w:r>
        <w:t>que</w:t>
      </w:r>
      <w:r>
        <w:rPr>
          <w:spacing w:val="-6"/>
        </w:rPr>
        <w:t xml:space="preserve"> </w:t>
      </w:r>
      <w:r>
        <w:t>tenía</w:t>
      </w:r>
      <w:r>
        <w:rPr>
          <w:spacing w:val="-5"/>
        </w:rPr>
        <w:t xml:space="preserve"> </w:t>
      </w:r>
      <w:r>
        <w:t>que</w:t>
      </w:r>
      <w:r>
        <w:rPr>
          <w:spacing w:val="-6"/>
        </w:rPr>
        <w:t xml:space="preserve"> </w:t>
      </w:r>
      <w:r>
        <w:t>llenar</w:t>
      </w:r>
      <w:r>
        <w:rPr>
          <w:spacing w:val="-7"/>
        </w:rPr>
        <w:t xml:space="preserve"> </w:t>
      </w:r>
      <w:r>
        <w:t>unos requisitos. Primero que todo, debía tener pareja, porque a la mujer sola no le ayudaban. No sé si fue algún secretario o algún funcionario que me informó mal, no sé. Y que tenía que entregar primero una cuota de cinco millones, algo así, cuestión que no fue agradable para mí, que me pidieran plata. Entonces yo dije: “¡Caramba!, ¿eso no es del Gobierno, pues?”. De ahí no fui más, porque como me dijeron así me sacaron de una. En caso de que me devuelvan la tierra, yo no cojo para allá por nada del mundo»</w:t>
      </w:r>
      <w:r w:rsidR="00E14C02">
        <w:rPr>
          <w:rStyle w:val="Refdenotaalpie"/>
        </w:rPr>
        <w:footnoteReference w:id="1123"/>
      </w:r>
      <w:r>
        <w:t>.</w:t>
      </w:r>
    </w:p>
    <w:p w:rsidR="003804AC" w:rsidRDefault="00AF18A5" w:rsidP="00E14C02">
      <w:r>
        <w:t>La administración de justicia, asociada a lógicas machistas, no ha investigado debidamente estos delitos ni ha sancionado a sus perpetradores. Sin embargo, desde la creación de la Ley 975 de 2005 o Ley de Justicia y Paz, se avanzó en el reconocimiento de las</w:t>
      </w:r>
      <w:r>
        <w:rPr>
          <w:spacing w:val="-9"/>
        </w:rPr>
        <w:t xml:space="preserve"> </w:t>
      </w:r>
      <w:r>
        <w:t>responsabilidades</w:t>
      </w:r>
      <w:r>
        <w:rPr>
          <w:spacing w:val="-9"/>
        </w:rPr>
        <w:t xml:space="preserve"> </w:t>
      </w:r>
      <w:r>
        <w:t>de</w:t>
      </w:r>
      <w:r>
        <w:rPr>
          <w:spacing w:val="-9"/>
        </w:rPr>
        <w:t xml:space="preserve"> </w:t>
      </w:r>
      <w:r>
        <w:t>los</w:t>
      </w:r>
      <w:r>
        <w:rPr>
          <w:spacing w:val="-10"/>
        </w:rPr>
        <w:t xml:space="preserve"> </w:t>
      </w:r>
      <w:r>
        <w:t>paramilitares</w:t>
      </w:r>
      <w:r>
        <w:rPr>
          <w:spacing w:val="-9"/>
        </w:rPr>
        <w:t xml:space="preserve"> </w:t>
      </w:r>
      <w:r>
        <w:t>y,</w:t>
      </w:r>
      <w:r>
        <w:rPr>
          <w:spacing w:val="-10"/>
        </w:rPr>
        <w:t xml:space="preserve"> </w:t>
      </w:r>
      <w:r>
        <w:t>en</w:t>
      </w:r>
      <w:r>
        <w:rPr>
          <w:spacing w:val="-10"/>
        </w:rPr>
        <w:t xml:space="preserve"> </w:t>
      </w:r>
      <w:r>
        <w:t>algunos</w:t>
      </w:r>
      <w:r>
        <w:rPr>
          <w:spacing w:val="-10"/>
        </w:rPr>
        <w:t xml:space="preserve"> </w:t>
      </w:r>
      <w:r>
        <w:t>casos,</w:t>
      </w:r>
      <w:r>
        <w:rPr>
          <w:spacing w:val="-11"/>
        </w:rPr>
        <w:t xml:space="preserve"> </w:t>
      </w:r>
      <w:r>
        <w:t>llevó</w:t>
      </w:r>
      <w:r>
        <w:rPr>
          <w:spacing w:val="-10"/>
        </w:rPr>
        <w:t xml:space="preserve"> </w:t>
      </w:r>
      <w:r>
        <w:t>a</w:t>
      </w:r>
      <w:r>
        <w:rPr>
          <w:spacing w:val="-9"/>
        </w:rPr>
        <w:t xml:space="preserve"> </w:t>
      </w:r>
      <w:r>
        <w:t>que</w:t>
      </w:r>
      <w:r>
        <w:rPr>
          <w:spacing w:val="-9"/>
        </w:rPr>
        <w:t xml:space="preserve"> </w:t>
      </w:r>
      <w:r>
        <w:t>se</w:t>
      </w:r>
      <w:r>
        <w:rPr>
          <w:spacing w:val="-10"/>
        </w:rPr>
        <w:t xml:space="preserve"> </w:t>
      </w:r>
      <w:r>
        <w:t>los</w:t>
      </w:r>
      <w:r>
        <w:rPr>
          <w:spacing w:val="-10"/>
        </w:rPr>
        <w:t xml:space="preserve"> </w:t>
      </w:r>
      <w:r>
        <w:t>excluyera</w:t>
      </w:r>
      <w:r>
        <w:rPr>
          <w:spacing w:val="-9"/>
        </w:rPr>
        <w:t xml:space="preserve"> </w:t>
      </w:r>
      <w:r>
        <w:t xml:space="preserve">de la justicia transicional al no admitir eventos de este tipo que estaban comprobados. Así sucedió con alias el Oso, excombatiente del Bloque Héroes de los Montes de María, de las </w:t>
      </w:r>
      <w:r>
        <w:rPr>
          <w:spacing w:val="-4"/>
        </w:rPr>
        <w:t>AUC.</w:t>
      </w:r>
    </w:p>
    <w:p w:rsidR="003804AC" w:rsidRDefault="00AF18A5" w:rsidP="00E14C02">
      <w:r>
        <w:t>En la cadena de revictimizaciones posteriores a los hechos ocurridos en el marco del conflicto</w:t>
      </w:r>
      <w:r>
        <w:rPr>
          <w:spacing w:val="-4"/>
        </w:rPr>
        <w:t xml:space="preserve"> </w:t>
      </w:r>
      <w:r>
        <w:t>armado,</w:t>
      </w:r>
      <w:r>
        <w:rPr>
          <w:spacing w:val="-1"/>
        </w:rPr>
        <w:t xml:space="preserve"> </w:t>
      </w:r>
      <w:r>
        <w:t>muchas</w:t>
      </w:r>
      <w:r>
        <w:rPr>
          <w:spacing w:val="-1"/>
        </w:rPr>
        <w:t xml:space="preserve"> </w:t>
      </w:r>
      <w:r>
        <w:t>veces</w:t>
      </w:r>
      <w:r>
        <w:rPr>
          <w:spacing w:val="-2"/>
        </w:rPr>
        <w:t xml:space="preserve"> </w:t>
      </w:r>
      <w:r>
        <w:t>la</w:t>
      </w:r>
      <w:r>
        <w:rPr>
          <w:spacing w:val="-1"/>
        </w:rPr>
        <w:t xml:space="preserve"> </w:t>
      </w:r>
      <w:r>
        <w:t>institucionalidad</w:t>
      </w:r>
      <w:r>
        <w:rPr>
          <w:spacing w:val="-1"/>
        </w:rPr>
        <w:t xml:space="preserve"> </w:t>
      </w:r>
      <w:r>
        <w:t>patriarcal</w:t>
      </w:r>
      <w:r>
        <w:rPr>
          <w:spacing w:val="-2"/>
        </w:rPr>
        <w:t xml:space="preserve"> </w:t>
      </w:r>
      <w:r>
        <w:t>ha</w:t>
      </w:r>
      <w:r>
        <w:rPr>
          <w:spacing w:val="-1"/>
        </w:rPr>
        <w:t xml:space="preserve"> </w:t>
      </w:r>
      <w:r>
        <w:t>sexualizado,</w:t>
      </w:r>
      <w:r>
        <w:rPr>
          <w:spacing w:val="-1"/>
        </w:rPr>
        <w:t xml:space="preserve"> </w:t>
      </w:r>
      <w:r>
        <w:rPr>
          <w:spacing w:val="-2"/>
        </w:rPr>
        <w:t>culpabilizado</w:t>
      </w:r>
      <w:bookmarkStart w:id="1383" w:name="_bookmark1232"/>
      <w:bookmarkStart w:id="1384" w:name="_bookmark1233"/>
      <w:bookmarkEnd w:id="1383"/>
      <w:bookmarkEnd w:id="1384"/>
      <w:r w:rsidR="00E14C02">
        <w:t xml:space="preserve"> </w:t>
      </w:r>
      <w:r>
        <w:t xml:space="preserve">y vuelto a exponer s a las víctimas. Así le ocurrió a una mujer del pueblo </w:t>
      </w:r>
      <w:proofErr w:type="spellStart"/>
      <w:r>
        <w:t>rrom</w:t>
      </w:r>
      <w:proofErr w:type="spellEnd"/>
      <w:r>
        <w:t>, víctima de desplazamiento y de violencia sexual por parte del ELN en San Blas, sur de Bolívar:</w:t>
      </w:r>
    </w:p>
    <w:p w:rsidR="003804AC" w:rsidRDefault="00AF18A5" w:rsidP="00E14C02">
      <w:r>
        <w:t>«Llegué allá, me atendió Bonilla. Le digo: “Vengo a declarar”. Me dice: “¿Y qué va a declarar?”.</w:t>
      </w:r>
      <w:r>
        <w:rPr>
          <w:spacing w:val="-4"/>
        </w:rPr>
        <w:t xml:space="preserve"> </w:t>
      </w:r>
      <w:r>
        <w:t>Le</w:t>
      </w:r>
      <w:r>
        <w:rPr>
          <w:spacing w:val="-3"/>
        </w:rPr>
        <w:t xml:space="preserve"> </w:t>
      </w:r>
      <w:r>
        <w:t>digo:</w:t>
      </w:r>
      <w:r>
        <w:rPr>
          <w:spacing w:val="-3"/>
        </w:rPr>
        <w:t xml:space="preserve"> </w:t>
      </w:r>
      <w:r>
        <w:t>“Pues...</w:t>
      </w:r>
      <w:r>
        <w:rPr>
          <w:spacing w:val="-4"/>
        </w:rPr>
        <w:t xml:space="preserve"> </w:t>
      </w:r>
      <w:r>
        <w:t>lo</w:t>
      </w:r>
      <w:r>
        <w:rPr>
          <w:spacing w:val="-4"/>
        </w:rPr>
        <w:t xml:space="preserve"> </w:t>
      </w:r>
      <w:r>
        <w:t>que</w:t>
      </w:r>
      <w:r>
        <w:rPr>
          <w:spacing w:val="-3"/>
        </w:rPr>
        <w:t xml:space="preserve"> </w:t>
      </w:r>
      <w:r>
        <w:t>me</w:t>
      </w:r>
      <w:r>
        <w:rPr>
          <w:spacing w:val="-3"/>
        </w:rPr>
        <w:t xml:space="preserve"> </w:t>
      </w:r>
      <w:r>
        <w:t>pasó”.</w:t>
      </w:r>
      <w:r>
        <w:rPr>
          <w:spacing w:val="-4"/>
        </w:rPr>
        <w:t xml:space="preserve"> </w:t>
      </w:r>
      <w:r>
        <w:t>Entonces,</w:t>
      </w:r>
      <w:r>
        <w:rPr>
          <w:spacing w:val="-4"/>
        </w:rPr>
        <w:t xml:space="preserve"> </w:t>
      </w:r>
      <w:r>
        <w:t>el</w:t>
      </w:r>
      <w:r>
        <w:rPr>
          <w:spacing w:val="-3"/>
        </w:rPr>
        <w:t xml:space="preserve"> </w:t>
      </w:r>
      <w:r>
        <w:t>viejo</w:t>
      </w:r>
      <w:r>
        <w:rPr>
          <w:spacing w:val="-4"/>
        </w:rPr>
        <w:t xml:space="preserve"> </w:t>
      </w:r>
      <w:r>
        <w:t>allá</w:t>
      </w:r>
      <w:r>
        <w:rPr>
          <w:spacing w:val="-3"/>
        </w:rPr>
        <w:t xml:space="preserve"> </w:t>
      </w:r>
      <w:r>
        <w:t>se</w:t>
      </w:r>
      <w:r>
        <w:rPr>
          <w:spacing w:val="-3"/>
        </w:rPr>
        <w:t xml:space="preserve"> </w:t>
      </w:r>
      <w:r>
        <w:t>sentó</w:t>
      </w:r>
      <w:r>
        <w:rPr>
          <w:spacing w:val="-4"/>
        </w:rPr>
        <w:t xml:space="preserve"> </w:t>
      </w:r>
      <w:r>
        <w:t>conmigo</w:t>
      </w:r>
      <w:r>
        <w:rPr>
          <w:spacing w:val="-4"/>
        </w:rPr>
        <w:t xml:space="preserve"> </w:t>
      </w:r>
      <w:r>
        <w:t>y</w:t>
      </w:r>
      <w:r>
        <w:rPr>
          <w:spacing w:val="-4"/>
        </w:rPr>
        <w:t xml:space="preserve"> </w:t>
      </w:r>
      <w:r>
        <w:t>eso sí</w:t>
      </w:r>
      <w:r>
        <w:rPr>
          <w:spacing w:val="-12"/>
        </w:rPr>
        <w:t xml:space="preserve"> </w:t>
      </w:r>
      <w:r>
        <w:t>empezó</w:t>
      </w:r>
      <w:r>
        <w:rPr>
          <w:spacing w:val="-12"/>
        </w:rPr>
        <w:t xml:space="preserve"> </w:t>
      </w:r>
      <w:r>
        <w:t>a</w:t>
      </w:r>
      <w:r>
        <w:rPr>
          <w:spacing w:val="-13"/>
        </w:rPr>
        <w:t xml:space="preserve"> </w:t>
      </w:r>
      <w:r>
        <w:t>tomarme</w:t>
      </w:r>
      <w:r>
        <w:rPr>
          <w:spacing w:val="-13"/>
        </w:rPr>
        <w:t xml:space="preserve"> </w:t>
      </w:r>
      <w:r>
        <w:t>la</w:t>
      </w:r>
      <w:r>
        <w:rPr>
          <w:spacing w:val="-13"/>
        </w:rPr>
        <w:t xml:space="preserve"> </w:t>
      </w:r>
      <w:r>
        <w:t>declaración</w:t>
      </w:r>
      <w:r>
        <w:rPr>
          <w:spacing w:val="-13"/>
        </w:rPr>
        <w:t xml:space="preserve"> </w:t>
      </w:r>
      <w:r>
        <w:t>y</w:t>
      </w:r>
      <w:r>
        <w:rPr>
          <w:spacing w:val="-12"/>
        </w:rPr>
        <w:t xml:space="preserve"> </w:t>
      </w:r>
      <w:r>
        <w:lastRenderedPageBreak/>
        <w:t>él</w:t>
      </w:r>
      <w:r>
        <w:rPr>
          <w:spacing w:val="-12"/>
        </w:rPr>
        <w:t xml:space="preserve"> </w:t>
      </w:r>
      <w:r>
        <w:t>pregunte</w:t>
      </w:r>
      <w:r>
        <w:rPr>
          <w:spacing w:val="-12"/>
        </w:rPr>
        <w:t xml:space="preserve"> </w:t>
      </w:r>
      <w:r>
        <w:t>y</w:t>
      </w:r>
      <w:r>
        <w:rPr>
          <w:spacing w:val="-12"/>
        </w:rPr>
        <w:t xml:space="preserve"> </w:t>
      </w:r>
      <w:r>
        <w:t>pregunte.</w:t>
      </w:r>
      <w:r>
        <w:rPr>
          <w:spacing w:val="-13"/>
        </w:rPr>
        <w:t xml:space="preserve"> </w:t>
      </w:r>
      <w:r>
        <w:t>Entonces</w:t>
      </w:r>
      <w:r>
        <w:rPr>
          <w:spacing w:val="-12"/>
        </w:rPr>
        <w:t xml:space="preserve"> </w:t>
      </w:r>
      <w:r>
        <w:t>me</w:t>
      </w:r>
      <w:r>
        <w:rPr>
          <w:spacing w:val="-12"/>
        </w:rPr>
        <w:t xml:space="preserve"> </w:t>
      </w:r>
      <w:r>
        <w:t>dijo:</w:t>
      </w:r>
      <w:r>
        <w:rPr>
          <w:spacing w:val="-13"/>
        </w:rPr>
        <w:t xml:space="preserve"> </w:t>
      </w:r>
      <w:r>
        <w:t>“¿Y</w:t>
      </w:r>
      <w:r>
        <w:rPr>
          <w:spacing w:val="-13"/>
        </w:rPr>
        <w:t xml:space="preserve"> </w:t>
      </w:r>
      <w:r>
        <w:t>qué</w:t>
      </w:r>
      <w:r>
        <w:rPr>
          <w:spacing w:val="-12"/>
        </w:rPr>
        <w:t xml:space="preserve"> </w:t>
      </w:r>
      <w:r>
        <w:t>más le</w:t>
      </w:r>
      <w:r>
        <w:rPr>
          <w:spacing w:val="-3"/>
        </w:rPr>
        <w:t xml:space="preserve"> </w:t>
      </w:r>
      <w:r>
        <w:t>hicieron?”</w:t>
      </w:r>
      <w:r>
        <w:rPr>
          <w:spacing w:val="-3"/>
        </w:rPr>
        <w:t xml:space="preserve"> </w:t>
      </w:r>
      <w:r>
        <w:t>(…)</w:t>
      </w:r>
      <w:r>
        <w:rPr>
          <w:spacing w:val="-3"/>
        </w:rPr>
        <w:t xml:space="preserve"> </w:t>
      </w:r>
      <w:r>
        <w:t>Entonces,</w:t>
      </w:r>
      <w:r>
        <w:rPr>
          <w:spacing w:val="-3"/>
        </w:rPr>
        <w:t xml:space="preserve"> </w:t>
      </w:r>
      <w:r>
        <w:t>me</w:t>
      </w:r>
      <w:r>
        <w:rPr>
          <w:spacing w:val="-3"/>
        </w:rPr>
        <w:t xml:space="preserve"> </w:t>
      </w:r>
      <w:r>
        <w:t>decía:</w:t>
      </w:r>
      <w:r>
        <w:rPr>
          <w:spacing w:val="-3"/>
        </w:rPr>
        <w:t xml:space="preserve"> </w:t>
      </w:r>
      <w:r>
        <w:t>“¿La</w:t>
      </w:r>
      <w:r>
        <w:rPr>
          <w:spacing w:val="-3"/>
        </w:rPr>
        <w:t xml:space="preserve"> </w:t>
      </w:r>
      <w:r>
        <w:t>maltrataron,</w:t>
      </w:r>
      <w:r>
        <w:rPr>
          <w:spacing w:val="-3"/>
        </w:rPr>
        <w:t xml:space="preserve"> </w:t>
      </w:r>
      <w:r>
        <w:t>hubo</w:t>
      </w:r>
      <w:r>
        <w:rPr>
          <w:spacing w:val="-3"/>
        </w:rPr>
        <w:t xml:space="preserve"> </w:t>
      </w:r>
      <w:r>
        <w:t>golpes,</w:t>
      </w:r>
      <w:r>
        <w:rPr>
          <w:spacing w:val="-3"/>
        </w:rPr>
        <w:t xml:space="preserve"> </w:t>
      </w:r>
      <w:r>
        <w:t>hubo</w:t>
      </w:r>
      <w:r>
        <w:rPr>
          <w:spacing w:val="-3"/>
        </w:rPr>
        <w:t xml:space="preserve"> </w:t>
      </w:r>
      <w:r>
        <w:t>violación?”.</w:t>
      </w:r>
      <w:r>
        <w:rPr>
          <w:spacing w:val="-3"/>
        </w:rPr>
        <w:t xml:space="preserve"> </w:t>
      </w:r>
      <w:r>
        <w:t>Yo no hablaba,</w:t>
      </w:r>
      <w:r>
        <w:rPr>
          <w:spacing w:val="-1"/>
        </w:rPr>
        <w:t xml:space="preserve"> </w:t>
      </w:r>
      <w:r>
        <w:t>movía</w:t>
      </w:r>
      <w:r>
        <w:rPr>
          <w:spacing w:val="-1"/>
        </w:rPr>
        <w:t xml:space="preserve"> </w:t>
      </w:r>
      <w:r>
        <w:t>la</w:t>
      </w:r>
      <w:r>
        <w:rPr>
          <w:spacing w:val="-1"/>
        </w:rPr>
        <w:t xml:space="preserve"> </w:t>
      </w:r>
      <w:r>
        <w:t>cabeza que</w:t>
      </w:r>
      <w:r>
        <w:rPr>
          <w:spacing w:val="-1"/>
        </w:rPr>
        <w:t xml:space="preserve"> </w:t>
      </w:r>
      <w:r>
        <w:t>sí.</w:t>
      </w:r>
      <w:r>
        <w:rPr>
          <w:spacing w:val="-2"/>
        </w:rPr>
        <w:t xml:space="preserve"> </w:t>
      </w:r>
      <w:r>
        <w:t>(…) “¿Y</w:t>
      </w:r>
      <w:r>
        <w:rPr>
          <w:spacing w:val="-1"/>
        </w:rPr>
        <w:t xml:space="preserve"> </w:t>
      </w:r>
      <w:r>
        <w:t>usted qué</w:t>
      </w:r>
      <w:r>
        <w:rPr>
          <w:spacing w:val="-1"/>
        </w:rPr>
        <w:t xml:space="preserve"> </w:t>
      </w:r>
      <w:r>
        <w:t>sintió cuando</w:t>
      </w:r>
      <w:r>
        <w:rPr>
          <w:spacing w:val="-1"/>
        </w:rPr>
        <w:t xml:space="preserve"> </w:t>
      </w:r>
      <w:r>
        <w:t>la</w:t>
      </w:r>
      <w:r>
        <w:rPr>
          <w:spacing w:val="-2"/>
        </w:rPr>
        <w:t xml:space="preserve"> </w:t>
      </w:r>
      <w:r>
        <w:t>estaban</w:t>
      </w:r>
      <w:r>
        <w:rPr>
          <w:spacing w:val="-1"/>
        </w:rPr>
        <w:t xml:space="preserve"> </w:t>
      </w:r>
      <w:r>
        <w:t>violando?”. Me acuerdo tanto de esa palabra de ese viejo desgraciado. Eso me preguntó ese viejo asqueroso, delante de otro. ¡Ay!, yo no supe ni adónde quedé... Me daba vergüenza... ¿Qué había sentido yo cuando me estaban violando? Yo apenas lo miré y le dije: “¿Tengo que responder</w:t>
      </w:r>
      <w:r>
        <w:rPr>
          <w:spacing w:val="-5"/>
        </w:rPr>
        <w:t xml:space="preserve"> </w:t>
      </w:r>
      <w:r>
        <w:t>eso?”.</w:t>
      </w:r>
      <w:r>
        <w:rPr>
          <w:spacing w:val="-2"/>
        </w:rPr>
        <w:t xml:space="preserve"> </w:t>
      </w:r>
      <w:r>
        <w:t>Me</w:t>
      </w:r>
      <w:r>
        <w:rPr>
          <w:spacing w:val="-2"/>
        </w:rPr>
        <w:t xml:space="preserve"> </w:t>
      </w:r>
      <w:r>
        <w:t>dio</w:t>
      </w:r>
      <w:r>
        <w:rPr>
          <w:spacing w:val="-3"/>
        </w:rPr>
        <w:t xml:space="preserve"> </w:t>
      </w:r>
      <w:r>
        <w:t>una</w:t>
      </w:r>
      <w:r>
        <w:rPr>
          <w:spacing w:val="-2"/>
        </w:rPr>
        <w:t xml:space="preserve"> </w:t>
      </w:r>
      <w:r>
        <w:t>rabia</w:t>
      </w:r>
      <w:r>
        <w:rPr>
          <w:spacing w:val="-1"/>
        </w:rPr>
        <w:t xml:space="preserve"> </w:t>
      </w:r>
      <w:r>
        <w:t>y</w:t>
      </w:r>
      <w:r>
        <w:rPr>
          <w:spacing w:val="-4"/>
        </w:rPr>
        <w:t xml:space="preserve"> </w:t>
      </w:r>
      <w:r>
        <w:t>como</w:t>
      </w:r>
      <w:r>
        <w:rPr>
          <w:spacing w:val="-2"/>
        </w:rPr>
        <w:t xml:space="preserve"> </w:t>
      </w:r>
      <w:r>
        <w:t>una</w:t>
      </w:r>
      <w:r>
        <w:rPr>
          <w:spacing w:val="-1"/>
        </w:rPr>
        <w:t xml:space="preserve"> </w:t>
      </w:r>
      <w:r>
        <w:t>tristeza</w:t>
      </w:r>
      <w:r>
        <w:rPr>
          <w:spacing w:val="-2"/>
        </w:rPr>
        <w:t xml:space="preserve"> </w:t>
      </w:r>
      <w:r>
        <w:t>y</w:t>
      </w:r>
      <w:r>
        <w:rPr>
          <w:spacing w:val="-2"/>
        </w:rPr>
        <w:t xml:space="preserve"> </w:t>
      </w:r>
      <w:r>
        <w:t>como</w:t>
      </w:r>
      <w:r>
        <w:rPr>
          <w:spacing w:val="-3"/>
        </w:rPr>
        <w:t xml:space="preserve"> </w:t>
      </w:r>
      <w:r>
        <w:t>pena...</w:t>
      </w:r>
      <w:r>
        <w:rPr>
          <w:spacing w:val="-2"/>
        </w:rPr>
        <w:t xml:space="preserve"> </w:t>
      </w:r>
      <w:r>
        <w:t>de</w:t>
      </w:r>
      <w:r>
        <w:rPr>
          <w:spacing w:val="-2"/>
        </w:rPr>
        <w:t xml:space="preserve"> </w:t>
      </w:r>
      <w:r>
        <w:t>todo</w:t>
      </w:r>
      <w:r>
        <w:rPr>
          <w:spacing w:val="-2"/>
        </w:rPr>
        <w:t xml:space="preserve"> </w:t>
      </w:r>
      <w:r>
        <w:t>sentía</w:t>
      </w:r>
      <w:r>
        <w:rPr>
          <w:spacing w:val="-1"/>
        </w:rPr>
        <w:t xml:space="preserve"> </w:t>
      </w:r>
      <w:r>
        <w:rPr>
          <w:spacing w:val="-2"/>
          <w:w w:val="95"/>
        </w:rPr>
        <w:t>yo»</w:t>
      </w:r>
      <w:r w:rsidR="00E14C02">
        <w:rPr>
          <w:rStyle w:val="Refdenotaalpie"/>
          <w:spacing w:val="-2"/>
          <w:w w:val="95"/>
        </w:rPr>
        <w:footnoteReference w:id="1124"/>
      </w:r>
      <w:r>
        <w:rPr>
          <w:spacing w:val="-2"/>
          <w:w w:val="95"/>
        </w:rPr>
        <w:t>.</w:t>
      </w:r>
    </w:p>
    <w:p w:rsidR="003804AC" w:rsidRDefault="00AF18A5" w:rsidP="00E14C02">
      <w:r>
        <w:t>También</w:t>
      </w:r>
      <w:r>
        <w:rPr>
          <w:spacing w:val="-12"/>
        </w:rPr>
        <w:t xml:space="preserve"> </w:t>
      </w:r>
      <w:r>
        <w:t>es</w:t>
      </w:r>
      <w:r>
        <w:rPr>
          <w:spacing w:val="-12"/>
        </w:rPr>
        <w:t xml:space="preserve"> </w:t>
      </w:r>
      <w:r>
        <w:t>necesario</w:t>
      </w:r>
      <w:r>
        <w:rPr>
          <w:spacing w:val="-11"/>
        </w:rPr>
        <w:t xml:space="preserve"> </w:t>
      </w:r>
      <w:r>
        <w:t>destacar</w:t>
      </w:r>
      <w:r>
        <w:rPr>
          <w:spacing w:val="-10"/>
        </w:rPr>
        <w:t xml:space="preserve"> </w:t>
      </w:r>
      <w:r>
        <w:t>cómo</w:t>
      </w:r>
      <w:r>
        <w:rPr>
          <w:spacing w:val="-12"/>
        </w:rPr>
        <w:t xml:space="preserve"> </w:t>
      </w:r>
      <w:r>
        <w:t>el</w:t>
      </w:r>
      <w:r>
        <w:rPr>
          <w:spacing w:val="-10"/>
        </w:rPr>
        <w:t xml:space="preserve"> </w:t>
      </w:r>
      <w:r>
        <w:t>patriarcado</w:t>
      </w:r>
      <w:r>
        <w:rPr>
          <w:spacing w:val="-11"/>
        </w:rPr>
        <w:t xml:space="preserve"> </w:t>
      </w:r>
      <w:r>
        <w:t>se</w:t>
      </w:r>
      <w:r>
        <w:rPr>
          <w:spacing w:val="-11"/>
        </w:rPr>
        <w:t xml:space="preserve"> </w:t>
      </w:r>
      <w:r>
        <w:t>ha</w:t>
      </w:r>
      <w:r>
        <w:rPr>
          <w:spacing w:val="-10"/>
        </w:rPr>
        <w:t xml:space="preserve"> </w:t>
      </w:r>
      <w:r>
        <w:t>arraigado</w:t>
      </w:r>
      <w:r>
        <w:rPr>
          <w:spacing w:val="-11"/>
        </w:rPr>
        <w:t xml:space="preserve"> </w:t>
      </w:r>
      <w:r>
        <w:t>en</w:t>
      </w:r>
      <w:r>
        <w:rPr>
          <w:spacing w:val="-12"/>
        </w:rPr>
        <w:t xml:space="preserve"> </w:t>
      </w:r>
      <w:r>
        <w:t>la</w:t>
      </w:r>
      <w:r>
        <w:rPr>
          <w:spacing w:val="-12"/>
        </w:rPr>
        <w:t xml:space="preserve"> </w:t>
      </w:r>
      <w:r>
        <w:t>cultura</w:t>
      </w:r>
      <w:r>
        <w:rPr>
          <w:spacing w:val="-10"/>
        </w:rPr>
        <w:t xml:space="preserve"> </w:t>
      </w:r>
      <w:r>
        <w:t>e</w:t>
      </w:r>
      <w:r>
        <w:rPr>
          <w:spacing w:val="-12"/>
        </w:rPr>
        <w:t xml:space="preserve"> </w:t>
      </w:r>
      <w:r>
        <w:t>incidido en el conflicto armado, y cómo estimuló a la vinculación de los hombres a la guerra. Decía Iván</w:t>
      </w:r>
      <w:r>
        <w:rPr>
          <w:spacing w:val="-12"/>
        </w:rPr>
        <w:t xml:space="preserve"> </w:t>
      </w:r>
      <w:r>
        <w:t>Roberto</w:t>
      </w:r>
      <w:r>
        <w:rPr>
          <w:spacing w:val="-12"/>
        </w:rPr>
        <w:t xml:space="preserve"> </w:t>
      </w:r>
      <w:r>
        <w:t>Duque,</w:t>
      </w:r>
      <w:r>
        <w:rPr>
          <w:spacing w:val="-12"/>
        </w:rPr>
        <w:t xml:space="preserve"> </w:t>
      </w:r>
      <w:r>
        <w:t>alias</w:t>
      </w:r>
      <w:r>
        <w:rPr>
          <w:spacing w:val="-12"/>
        </w:rPr>
        <w:t xml:space="preserve"> </w:t>
      </w:r>
      <w:r>
        <w:t>Ernesto</w:t>
      </w:r>
      <w:r>
        <w:rPr>
          <w:spacing w:val="-12"/>
        </w:rPr>
        <w:t xml:space="preserve"> </w:t>
      </w:r>
      <w:r>
        <w:t>Báez,</w:t>
      </w:r>
      <w:r>
        <w:rPr>
          <w:spacing w:val="-12"/>
        </w:rPr>
        <w:t xml:space="preserve"> </w:t>
      </w:r>
      <w:r>
        <w:t>comandante</w:t>
      </w:r>
      <w:r>
        <w:rPr>
          <w:spacing w:val="-12"/>
        </w:rPr>
        <w:t xml:space="preserve"> </w:t>
      </w:r>
      <w:r>
        <w:t>político</w:t>
      </w:r>
      <w:r>
        <w:rPr>
          <w:spacing w:val="-13"/>
        </w:rPr>
        <w:t xml:space="preserve"> </w:t>
      </w:r>
      <w:r>
        <w:t>de</w:t>
      </w:r>
      <w:r>
        <w:rPr>
          <w:spacing w:val="-12"/>
        </w:rPr>
        <w:t xml:space="preserve"> </w:t>
      </w:r>
      <w:r>
        <w:t>las</w:t>
      </w:r>
      <w:r>
        <w:rPr>
          <w:spacing w:val="-12"/>
        </w:rPr>
        <w:t xml:space="preserve"> </w:t>
      </w:r>
      <w:r>
        <w:t>AUC,</w:t>
      </w:r>
      <w:r>
        <w:rPr>
          <w:spacing w:val="-11"/>
        </w:rPr>
        <w:t xml:space="preserve"> </w:t>
      </w:r>
      <w:r>
        <w:t>en</w:t>
      </w:r>
      <w:r>
        <w:rPr>
          <w:spacing w:val="-12"/>
        </w:rPr>
        <w:t xml:space="preserve"> </w:t>
      </w:r>
      <w:r>
        <w:t>entrevista</w:t>
      </w:r>
      <w:r>
        <w:rPr>
          <w:spacing w:val="-12"/>
        </w:rPr>
        <w:t xml:space="preserve"> </w:t>
      </w:r>
      <w:r>
        <w:t>dada a</w:t>
      </w:r>
      <w:r>
        <w:rPr>
          <w:spacing w:val="-1"/>
        </w:rPr>
        <w:t xml:space="preserve"> </w:t>
      </w:r>
      <w:r>
        <w:t>la</w:t>
      </w:r>
      <w:r>
        <w:rPr>
          <w:spacing w:val="-1"/>
        </w:rPr>
        <w:t xml:space="preserve"> </w:t>
      </w:r>
      <w:r>
        <w:t>Comisión:</w:t>
      </w:r>
      <w:r>
        <w:rPr>
          <w:spacing w:val="-1"/>
        </w:rPr>
        <w:t xml:space="preserve"> </w:t>
      </w:r>
      <w:r>
        <w:t>«El</w:t>
      </w:r>
      <w:r>
        <w:rPr>
          <w:spacing w:val="-1"/>
        </w:rPr>
        <w:t xml:space="preserve"> </w:t>
      </w:r>
      <w:r>
        <w:t>muchacho</w:t>
      </w:r>
      <w:r>
        <w:rPr>
          <w:spacing w:val="-1"/>
        </w:rPr>
        <w:t xml:space="preserve"> </w:t>
      </w:r>
      <w:r>
        <w:t>de</w:t>
      </w:r>
      <w:r>
        <w:rPr>
          <w:spacing w:val="-1"/>
        </w:rPr>
        <w:t xml:space="preserve"> </w:t>
      </w:r>
      <w:r>
        <w:t>quince</w:t>
      </w:r>
      <w:r>
        <w:rPr>
          <w:spacing w:val="-1"/>
        </w:rPr>
        <w:t xml:space="preserve"> </w:t>
      </w:r>
      <w:r>
        <w:t>años</w:t>
      </w:r>
      <w:r>
        <w:rPr>
          <w:spacing w:val="-1"/>
        </w:rPr>
        <w:t xml:space="preserve"> </w:t>
      </w:r>
      <w:r>
        <w:t>con</w:t>
      </w:r>
      <w:r>
        <w:rPr>
          <w:spacing w:val="-1"/>
        </w:rPr>
        <w:t xml:space="preserve"> </w:t>
      </w:r>
      <w:r>
        <w:t>las</w:t>
      </w:r>
      <w:r>
        <w:rPr>
          <w:spacing w:val="-1"/>
        </w:rPr>
        <w:t xml:space="preserve"> </w:t>
      </w:r>
      <w:r>
        <w:t>dos</w:t>
      </w:r>
      <w:r>
        <w:rPr>
          <w:spacing w:val="-1"/>
        </w:rPr>
        <w:t xml:space="preserve"> </w:t>
      </w:r>
      <w:r>
        <w:t>cananas</w:t>
      </w:r>
      <w:r>
        <w:rPr>
          <w:spacing w:val="-1"/>
        </w:rPr>
        <w:t xml:space="preserve"> </w:t>
      </w:r>
      <w:r>
        <w:t>atravesadas</w:t>
      </w:r>
      <w:r>
        <w:rPr>
          <w:spacing w:val="-1"/>
        </w:rPr>
        <w:t xml:space="preserve"> </w:t>
      </w:r>
      <w:r>
        <w:t>y</w:t>
      </w:r>
      <w:r>
        <w:rPr>
          <w:spacing w:val="-1"/>
        </w:rPr>
        <w:t xml:space="preserve"> </w:t>
      </w:r>
      <w:r>
        <w:t>las</w:t>
      </w:r>
      <w:r>
        <w:rPr>
          <w:spacing w:val="-1"/>
        </w:rPr>
        <w:t xml:space="preserve"> </w:t>
      </w:r>
      <w:r>
        <w:t>botas,</w:t>
      </w:r>
      <w:r>
        <w:rPr>
          <w:spacing w:val="-1"/>
        </w:rPr>
        <w:t xml:space="preserve"> </w:t>
      </w:r>
      <w:r>
        <w:t>lo primero</w:t>
      </w:r>
      <w:r>
        <w:rPr>
          <w:spacing w:val="-10"/>
        </w:rPr>
        <w:t xml:space="preserve"> </w:t>
      </w:r>
      <w:r>
        <w:t>que</w:t>
      </w:r>
      <w:r>
        <w:rPr>
          <w:spacing w:val="-11"/>
        </w:rPr>
        <w:t xml:space="preserve"> </w:t>
      </w:r>
      <w:r>
        <w:t>hace</w:t>
      </w:r>
      <w:r>
        <w:rPr>
          <w:spacing w:val="-9"/>
        </w:rPr>
        <w:t xml:space="preserve"> </w:t>
      </w:r>
      <w:r>
        <w:t>es</w:t>
      </w:r>
      <w:r>
        <w:rPr>
          <w:spacing w:val="-10"/>
        </w:rPr>
        <w:t xml:space="preserve"> </w:t>
      </w:r>
      <w:r>
        <w:t>tomarse</w:t>
      </w:r>
      <w:r>
        <w:rPr>
          <w:spacing w:val="-10"/>
        </w:rPr>
        <w:t xml:space="preserve"> </w:t>
      </w:r>
      <w:r>
        <w:t>una</w:t>
      </w:r>
      <w:r>
        <w:rPr>
          <w:spacing w:val="-9"/>
        </w:rPr>
        <w:t xml:space="preserve"> </w:t>
      </w:r>
      <w:r>
        <w:t>foto</w:t>
      </w:r>
      <w:r>
        <w:rPr>
          <w:spacing w:val="-11"/>
        </w:rPr>
        <w:t xml:space="preserve"> </w:t>
      </w:r>
      <w:r>
        <w:t>y</w:t>
      </w:r>
      <w:r>
        <w:rPr>
          <w:spacing w:val="-10"/>
        </w:rPr>
        <w:t xml:space="preserve"> </w:t>
      </w:r>
      <w:r>
        <w:t>enviársela</w:t>
      </w:r>
      <w:r>
        <w:rPr>
          <w:spacing w:val="-11"/>
        </w:rPr>
        <w:t xml:space="preserve"> </w:t>
      </w:r>
      <w:r>
        <w:t>a</w:t>
      </w:r>
      <w:r>
        <w:rPr>
          <w:spacing w:val="-9"/>
        </w:rPr>
        <w:t xml:space="preserve"> </w:t>
      </w:r>
      <w:r>
        <w:t>la</w:t>
      </w:r>
      <w:r>
        <w:rPr>
          <w:spacing w:val="-11"/>
        </w:rPr>
        <w:t xml:space="preserve"> </w:t>
      </w:r>
      <w:r>
        <w:t>novia.</w:t>
      </w:r>
      <w:r>
        <w:rPr>
          <w:spacing w:val="-10"/>
        </w:rPr>
        <w:t xml:space="preserve"> </w:t>
      </w:r>
      <w:proofErr w:type="spellStart"/>
      <w:r>
        <w:t>Pa</w:t>
      </w:r>
      <w:proofErr w:type="spellEnd"/>
      <w:r>
        <w:rPr>
          <w:spacing w:val="-9"/>
        </w:rPr>
        <w:t xml:space="preserve"> </w:t>
      </w:r>
      <w:r>
        <w:t>ese</w:t>
      </w:r>
      <w:r>
        <w:rPr>
          <w:spacing w:val="-11"/>
        </w:rPr>
        <w:t xml:space="preserve"> </w:t>
      </w:r>
      <w:r>
        <w:t>jovencito</w:t>
      </w:r>
      <w:r>
        <w:rPr>
          <w:spacing w:val="-10"/>
        </w:rPr>
        <w:t xml:space="preserve"> </w:t>
      </w:r>
      <w:r>
        <w:t>de</w:t>
      </w:r>
      <w:r>
        <w:rPr>
          <w:spacing w:val="-11"/>
        </w:rPr>
        <w:t xml:space="preserve"> </w:t>
      </w:r>
      <w:r>
        <w:t>quince</w:t>
      </w:r>
      <w:r>
        <w:rPr>
          <w:spacing w:val="-11"/>
        </w:rPr>
        <w:t xml:space="preserve"> </w:t>
      </w:r>
      <w:r>
        <w:t>años el fusil y la canana son signos de virilidad»</w:t>
      </w:r>
      <w:r w:rsidR="00E14C02">
        <w:rPr>
          <w:rStyle w:val="Refdenotaalpie"/>
        </w:rPr>
        <w:footnoteReference w:id="1125"/>
      </w:r>
      <w:r>
        <w:t>. La guerra es un proyecto patriarcal que se propone conseguir poder por la fuerza, sometiendo. Y es ese imaginario de poder el que muchas</w:t>
      </w:r>
      <w:r>
        <w:rPr>
          <w:spacing w:val="-6"/>
        </w:rPr>
        <w:t xml:space="preserve"> </w:t>
      </w:r>
      <w:r>
        <w:t>veces</w:t>
      </w:r>
      <w:r>
        <w:rPr>
          <w:spacing w:val="-6"/>
        </w:rPr>
        <w:t xml:space="preserve"> </w:t>
      </w:r>
      <w:r>
        <w:t>convence</w:t>
      </w:r>
      <w:r>
        <w:rPr>
          <w:spacing w:val="-7"/>
        </w:rPr>
        <w:t xml:space="preserve"> </w:t>
      </w:r>
      <w:r>
        <w:t>a</w:t>
      </w:r>
      <w:r>
        <w:rPr>
          <w:spacing w:val="-6"/>
        </w:rPr>
        <w:t xml:space="preserve"> </w:t>
      </w:r>
      <w:r>
        <w:t>niños</w:t>
      </w:r>
      <w:r>
        <w:rPr>
          <w:spacing w:val="-6"/>
        </w:rPr>
        <w:t xml:space="preserve"> </w:t>
      </w:r>
      <w:r>
        <w:t>y</w:t>
      </w:r>
      <w:r>
        <w:rPr>
          <w:spacing w:val="-6"/>
        </w:rPr>
        <w:t xml:space="preserve"> </w:t>
      </w:r>
      <w:r>
        <w:t>jóvenes</w:t>
      </w:r>
      <w:r>
        <w:rPr>
          <w:spacing w:val="-6"/>
        </w:rPr>
        <w:t xml:space="preserve"> </w:t>
      </w:r>
      <w:r>
        <w:t>de</w:t>
      </w:r>
      <w:r>
        <w:rPr>
          <w:spacing w:val="-6"/>
        </w:rPr>
        <w:t xml:space="preserve"> </w:t>
      </w:r>
      <w:r>
        <w:t>hacer</w:t>
      </w:r>
      <w:r>
        <w:rPr>
          <w:spacing w:val="-6"/>
        </w:rPr>
        <w:t xml:space="preserve"> </w:t>
      </w:r>
      <w:r>
        <w:t>parte</w:t>
      </w:r>
      <w:r>
        <w:rPr>
          <w:spacing w:val="-6"/>
        </w:rPr>
        <w:t xml:space="preserve"> </w:t>
      </w:r>
      <w:r>
        <w:t>de</w:t>
      </w:r>
      <w:r>
        <w:rPr>
          <w:spacing w:val="-6"/>
        </w:rPr>
        <w:t xml:space="preserve"> </w:t>
      </w:r>
      <w:r>
        <w:t>algo</w:t>
      </w:r>
      <w:r>
        <w:rPr>
          <w:spacing w:val="-6"/>
        </w:rPr>
        <w:t xml:space="preserve"> </w:t>
      </w:r>
      <w:r>
        <w:t>que</w:t>
      </w:r>
      <w:r>
        <w:rPr>
          <w:spacing w:val="-6"/>
        </w:rPr>
        <w:t xml:space="preserve"> </w:t>
      </w:r>
      <w:r>
        <w:t>destruye</w:t>
      </w:r>
      <w:r>
        <w:rPr>
          <w:spacing w:val="-6"/>
        </w:rPr>
        <w:t xml:space="preserve"> </w:t>
      </w:r>
      <w:r>
        <w:t>sus</w:t>
      </w:r>
      <w:r>
        <w:rPr>
          <w:spacing w:val="-6"/>
        </w:rPr>
        <w:t xml:space="preserve"> </w:t>
      </w:r>
      <w:r>
        <w:t>vidas</w:t>
      </w:r>
      <w:r>
        <w:rPr>
          <w:spacing w:val="-6"/>
        </w:rPr>
        <w:t xml:space="preserve"> </w:t>
      </w:r>
      <w:r>
        <w:t>y</w:t>
      </w:r>
      <w:r>
        <w:rPr>
          <w:spacing w:val="-6"/>
        </w:rPr>
        <w:t xml:space="preserve"> </w:t>
      </w:r>
      <w:r>
        <w:t>las de muchos otros.</w:t>
      </w:r>
    </w:p>
    <w:p w:rsidR="003804AC" w:rsidRDefault="00AF18A5" w:rsidP="00E14C02">
      <w:r>
        <w:t xml:space="preserve">Si bien es necesario reconocer el avance de las mujeres y la población LGTBIQ+ como sujetos de derecho, como sujetos políticos, y su rol en el conflicto armado como fuerza de resistencia y resiliencia, las cifras y la profundidad de sus experiencias dan razón incuestionable sobre la manera como ese proyecto patriarcal de la guerra actúo sobre sus cuerpos, su vida y sus hogares, de manera desproporcionada y violenta. </w:t>
      </w:r>
      <w:r>
        <w:lastRenderedPageBreak/>
        <w:t>Pero también cómo esa</w:t>
      </w:r>
      <w:r>
        <w:rPr>
          <w:spacing w:val="-5"/>
        </w:rPr>
        <w:t xml:space="preserve"> </w:t>
      </w:r>
      <w:r>
        <w:t>violencia</w:t>
      </w:r>
      <w:r>
        <w:rPr>
          <w:spacing w:val="-2"/>
        </w:rPr>
        <w:t xml:space="preserve"> </w:t>
      </w:r>
      <w:r>
        <w:t>patriarcal</w:t>
      </w:r>
      <w:r>
        <w:rPr>
          <w:spacing w:val="-2"/>
        </w:rPr>
        <w:t xml:space="preserve"> </w:t>
      </w:r>
      <w:r>
        <w:t>se</w:t>
      </w:r>
      <w:r>
        <w:rPr>
          <w:spacing w:val="-3"/>
        </w:rPr>
        <w:t xml:space="preserve"> </w:t>
      </w:r>
      <w:r>
        <w:t>expresaba</w:t>
      </w:r>
      <w:r>
        <w:rPr>
          <w:spacing w:val="-4"/>
        </w:rPr>
        <w:t xml:space="preserve"> </w:t>
      </w:r>
      <w:r>
        <w:t>en</w:t>
      </w:r>
      <w:r>
        <w:rPr>
          <w:spacing w:val="-3"/>
        </w:rPr>
        <w:t xml:space="preserve"> </w:t>
      </w:r>
      <w:r>
        <w:t>la</w:t>
      </w:r>
      <w:r>
        <w:rPr>
          <w:spacing w:val="-2"/>
        </w:rPr>
        <w:t xml:space="preserve"> </w:t>
      </w:r>
      <w:r>
        <w:t>vida</w:t>
      </w:r>
      <w:r>
        <w:rPr>
          <w:spacing w:val="-3"/>
        </w:rPr>
        <w:t xml:space="preserve"> </w:t>
      </w:r>
      <w:r>
        <w:t>social</w:t>
      </w:r>
      <w:r>
        <w:rPr>
          <w:spacing w:val="-2"/>
        </w:rPr>
        <w:t xml:space="preserve"> </w:t>
      </w:r>
      <w:r>
        <w:t>y</w:t>
      </w:r>
      <w:r>
        <w:rPr>
          <w:spacing w:val="-3"/>
        </w:rPr>
        <w:t xml:space="preserve"> </w:t>
      </w:r>
      <w:r>
        <w:t>política</w:t>
      </w:r>
      <w:r>
        <w:rPr>
          <w:spacing w:val="-2"/>
        </w:rPr>
        <w:t xml:space="preserve"> </w:t>
      </w:r>
      <w:r>
        <w:t>de</w:t>
      </w:r>
      <w:r>
        <w:rPr>
          <w:spacing w:val="-3"/>
        </w:rPr>
        <w:t xml:space="preserve"> </w:t>
      </w:r>
      <w:r>
        <w:t>la</w:t>
      </w:r>
      <w:r>
        <w:rPr>
          <w:spacing w:val="-2"/>
        </w:rPr>
        <w:t xml:space="preserve"> </w:t>
      </w:r>
      <w:r>
        <w:t>nación.</w:t>
      </w:r>
      <w:r>
        <w:rPr>
          <w:spacing w:val="-3"/>
        </w:rPr>
        <w:t xml:space="preserve"> </w:t>
      </w:r>
      <w:r>
        <w:t>Será</w:t>
      </w:r>
      <w:r>
        <w:rPr>
          <w:spacing w:val="-2"/>
        </w:rPr>
        <w:t xml:space="preserve"> necesario,</w:t>
      </w:r>
      <w:bookmarkStart w:id="1385" w:name="_bookmark1234"/>
      <w:bookmarkStart w:id="1386" w:name="_bookmark1235"/>
      <w:bookmarkEnd w:id="1385"/>
      <w:bookmarkEnd w:id="1386"/>
      <w:r w:rsidR="00E14C02">
        <w:t xml:space="preserve"> </w:t>
      </w:r>
      <w:r>
        <w:t>en</w:t>
      </w:r>
      <w:r>
        <w:rPr>
          <w:spacing w:val="-7"/>
        </w:rPr>
        <w:t xml:space="preserve"> </w:t>
      </w:r>
      <w:r>
        <w:t>todo</w:t>
      </w:r>
      <w:r>
        <w:rPr>
          <w:spacing w:val="-7"/>
        </w:rPr>
        <w:t xml:space="preserve"> </w:t>
      </w:r>
      <w:r>
        <w:t>caso,</w:t>
      </w:r>
      <w:r>
        <w:rPr>
          <w:spacing w:val="-7"/>
        </w:rPr>
        <w:t xml:space="preserve"> </w:t>
      </w:r>
      <w:r>
        <w:t>destituir</w:t>
      </w:r>
      <w:r>
        <w:rPr>
          <w:spacing w:val="-7"/>
        </w:rPr>
        <w:t xml:space="preserve"> </w:t>
      </w:r>
      <w:r>
        <w:t>esa</w:t>
      </w:r>
      <w:r>
        <w:rPr>
          <w:spacing w:val="-7"/>
        </w:rPr>
        <w:t xml:space="preserve"> </w:t>
      </w:r>
      <w:r>
        <w:t>cultura</w:t>
      </w:r>
      <w:r>
        <w:rPr>
          <w:spacing w:val="-7"/>
        </w:rPr>
        <w:t xml:space="preserve"> </w:t>
      </w:r>
      <w:r>
        <w:t>para</w:t>
      </w:r>
      <w:r>
        <w:rPr>
          <w:spacing w:val="-7"/>
        </w:rPr>
        <w:t xml:space="preserve"> </w:t>
      </w:r>
      <w:r>
        <w:t>construir</w:t>
      </w:r>
      <w:r>
        <w:rPr>
          <w:spacing w:val="-7"/>
        </w:rPr>
        <w:t xml:space="preserve"> </w:t>
      </w:r>
      <w:r>
        <w:t>la</w:t>
      </w:r>
      <w:r>
        <w:rPr>
          <w:spacing w:val="-7"/>
        </w:rPr>
        <w:t xml:space="preserve"> </w:t>
      </w:r>
      <w:r>
        <w:t>equidad</w:t>
      </w:r>
      <w:r>
        <w:rPr>
          <w:spacing w:val="-7"/>
        </w:rPr>
        <w:t xml:space="preserve"> </w:t>
      </w:r>
      <w:r>
        <w:t>y</w:t>
      </w:r>
      <w:r>
        <w:rPr>
          <w:spacing w:val="-7"/>
        </w:rPr>
        <w:t xml:space="preserve"> </w:t>
      </w:r>
      <w:r>
        <w:t>el</w:t>
      </w:r>
      <w:r>
        <w:rPr>
          <w:spacing w:val="-7"/>
        </w:rPr>
        <w:t xml:space="preserve"> </w:t>
      </w:r>
      <w:r>
        <w:t>respeto</w:t>
      </w:r>
      <w:r>
        <w:rPr>
          <w:spacing w:val="-7"/>
        </w:rPr>
        <w:t xml:space="preserve"> </w:t>
      </w:r>
      <w:r>
        <w:t>que</w:t>
      </w:r>
      <w:r>
        <w:rPr>
          <w:spacing w:val="-7"/>
        </w:rPr>
        <w:t xml:space="preserve"> </w:t>
      </w:r>
      <w:r>
        <w:t>se</w:t>
      </w:r>
      <w:r>
        <w:rPr>
          <w:spacing w:val="-7"/>
        </w:rPr>
        <w:t xml:space="preserve"> </w:t>
      </w:r>
      <w:r>
        <w:t>requieren</w:t>
      </w:r>
      <w:r>
        <w:rPr>
          <w:spacing w:val="-7"/>
        </w:rPr>
        <w:t xml:space="preserve"> </w:t>
      </w:r>
      <w:r>
        <w:t>para construir la vida querida por todos.</w:t>
      </w:r>
    </w:p>
    <w:p w:rsidR="0011361F" w:rsidRDefault="00AF18A5" w:rsidP="004A6EF4">
      <w:pPr>
        <w:pStyle w:val="Ttulo3"/>
        <w:numPr>
          <w:ilvl w:val="1"/>
          <w:numId w:val="16"/>
        </w:numPr>
      </w:pPr>
      <w:bookmarkStart w:id="1387" w:name="10.6._La_desprotección_a_niños,_niñas_y_"/>
      <w:bookmarkStart w:id="1388" w:name="_Toc112399657"/>
      <w:bookmarkEnd w:id="1387"/>
      <w:r>
        <w:t>La</w:t>
      </w:r>
      <w:r>
        <w:rPr>
          <w:spacing w:val="-2"/>
        </w:rPr>
        <w:t xml:space="preserve"> </w:t>
      </w:r>
      <w:r>
        <w:t>desprotección</w:t>
      </w:r>
      <w:r>
        <w:rPr>
          <w:spacing w:val="-2"/>
        </w:rPr>
        <w:t xml:space="preserve"> </w:t>
      </w:r>
      <w:r>
        <w:t>a</w:t>
      </w:r>
      <w:r>
        <w:rPr>
          <w:spacing w:val="-1"/>
        </w:rPr>
        <w:t xml:space="preserve"> </w:t>
      </w:r>
      <w:r>
        <w:t>niños,</w:t>
      </w:r>
      <w:r>
        <w:rPr>
          <w:spacing w:val="-2"/>
        </w:rPr>
        <w:t xml:space="preserve"> </w:t>
      </w:r>
      <w:r>
        <w:t>niñas</w:t>
      </w:r>
      <w:r>
        <w:rPr>
          <w:spacing w:val="-1"/>
        </w:rPr>
        <w:t xml:space="preserve"> </w:t>
      </w:r>
      <w:r>
        <w:t>y</w:t>
      </w:r>
      <w:r>
        <w:rPr>
          <w:spacing w:val="-1"/>
        </w:rPr>
        <w:t xml:space="preserve"> </w:t>
      </w:r>
      <w:r w:rsidRPr="00750551">
        <w:t>jóvenes</w:t>
      </w:r>
      <w:bookmarkEnd w:id="1388"/>
    </w:p>
    <w:p w:rsidR="003804AC" w:rsidRDefault="00AF18A5" w:rsidP="00750551">
      <w:r>
        <w:t>La desprotección de niños, niñas y jóvenes, derivada de una noción muy precaria sobre su ser</w:t>
      </w:r>
      <w:r>
        <w:rPr>
          <w:spacing w:val="-15"/>
        </w:rPr>
        <w:t xml:space="preserve"> </w:t>
      </w:r>
      <w:r>
        <w:t>y</w:t>
      </w:r>
      <w:r>
        <w:rPr>
          <w:spacing w:val="-15"/>
        </w:rPr>
        <w:t xml:space="preserve"> </w:t>
      </w:r>
      <w:r>
        <w:t>sus</w:t>
      </w:r>
      <w:r>
        <w:rPr>
          <w:spacing w:val="-15"/>
        </w:rPr>
        <w:t xml:space="preserve"> </w:t>
      </w:r>
      <w:r>
        <w:t>derechos,</w:t>
      </w:r>
      <w:r>
        <w:rPr>
          <w:spacing w:val="-15"/>
        </w:rPr>
        <w:t xml:space="preserve"> </w:t>
      </w:r>
      <w:r>
        <w:t>históricamente</w:t>
      </w:r>
      <w:r>
        <w:rPr>
          <w:spacing w:val="-15"/>
        </w:rPr>
        <w:t xml:space="preserve"> </w:t>
      </w:r>
      <w:r>
        <w:t>se</w:t>
      </w:r>
      <w:r>
        <w:rPr>
          <w:spacing w:val="-15"/>
        </w:rPr>
        <w:t xml:space="preserve"> </w:t>
      </w:r>
      <w:r>
        <w:t>ha</w:t>
      </w:r>
      <w:r>
        <w:rPr>
          <w:spacing w:val="-15"/>
        </w:rPr>
        <w:t xml:space="preserve"> </w:t>
      </w:r>
      <w:r>
        <w:t>reflejado</w:t>
      </w:r>
      <w:r>
        <w:rPr>
          <w:spacing w:val="-15"/>
        </w:rPr>
        <w:t xml:space="preserve"> </w:t>
      </w:r>
      <w:r>
        <w:t>en</w:t>
      </w:r>
      <w:r>
        <w:rPr>
          <w:spacing w:val="-15"/>
        </w:rPr>
        <w:t xml:space="preserve"> </w:t>
      </w:r>
      <w:r>
        <w:t>las</w:t>
      </w:r>
      <w:r>
        <w:rPr>
          <w:spacing w:val="-15"/>
        </w:rPr>
        <w:t xml:space="preserve"> </w:t>
      </w:r>
      <w:r>
        <w:t>afectaciones</w:t>
      </w:r>
      <w:r>
        <w:rPr>
          <w:spacing w:val="-15"/>
        </w:rPr>
        <w:t xml:space="preserve"> </w:t>
      </w:r>
      <w:r>
        <w:t>a</w:t>
      </w:r>
      <w:r>
        <w:rPr>
          <w:spacing w:val="-15"/>
        </w:rPr>
        <w:t xml:space="preserve"> </w:t>
      </w:r>
      <w:r>
        <w:t>esta</w:t>
      </w:r>
      <w:r>
        <w:rPr>
          <w:spacing w:val="-15"/>
        </w:rPr>
        <w:t xml:space="preserve"> </w:t>
      </w:r>
      <w:r>
        <w:t>población,</w:t>
      </w:r>
      <w:r>
        <w:rPr>
          <w:spacing w:val="-15"/>
        </w:rPr>
        <w:t xml:space="preserve"> </w:t>
      </w:r>
      <w:r>
        <w:t>a</w:t>
      </w:r>
      <w:r>
        <w:rPr>
          <w:spacing w:val="-15"/>
        </w:rPr>
        <w:t xml:space="preserve"> </w:t>
      </w:r>
      <w:r>
        <w:t>través de elementos presentes en la cultura como discursos y prácticas, que hacen especialmente vulnerables</w:t>
      </w:r>
      <w:r>
        <w:rPr>
          <w:spacing w:val="-1"/>
        </w:rPr>
        <w:t xml:space="preserve"> </w:t>
      </w:r>
      <w:r>
        <w:t>a los niños y niñas en el marco del conflicto armado en Colombia. Sobre</w:t>
      </w:r>
      <w:r>
        <w:rPr>
          <w:spacing w:val="-1"/>
        </w:rPr>
        <w:t xml:space="preserve"> </w:t>
      </w:r>
      <w:r>
        <w:t>todo a las poblaciones étnicas, rurales y pobres, en las que la vulnerabilidad de su condición estructural se suma a la de su edad.</w:t>
      </w:r>
    </w:p>
    <w:p w:rsidR="003804AC" w:rsidRDefault="00AF18A5" w:rsidP="00750551">
      <w:r>
        <w:t>Las altas tasas de deserción o inasistencia escolar en territorios afectados por conflicto armado se relacionan con ataques a las escuelas, instalación de bases militares cerca de centros educativos o de recreo; reclutamiento, uso de escuelas como trinchera. A lo que habría sumarle las precarias condiciones sociales, la violencia familiar, las enormes distancias para acceder a la escuela. Todo esto llevó a que muchos jóvenes no tuvieran más opción</w:t>
      </w:r>
      <w:r>
        <w:rPr>
          <w:spacing w:val="-8"/>
        </w:rPr>
        <w:t xml:space="preserve"> </w:t>
      </w:r>
      <w:r>
        <w:t>que</w:t>
      </w:r>
      <w:r>
        <w:rPr>
          <w:spacing w:val="-10"/>
        </w:rPr>
        <w:t xml:space="preserve"> </w:t>
      </w:r>
      <w:r>
        <w:t>desertar</w:t>
      </w:r>
      <w:r>
        <w:rPr>
          <w:spacing w:val="-8"/>
        </w:rPr>
        <w:t xml:space="preserve"> </w:t>
      </w:r>
      <w:r>
        <w:t>o</w:t>
      </w:r>
      <w:r>
        <w:rPr>
          <w:spacing w:val="-9"/>
        </w:rPr>
        <w:t xml:space="preserve"> </w:t>
      </w:r>
      <w:r>
        <w:t>interrumpir</w:t>
      </w:r>
      <w:r>
        <w:rPr>
          <w:spacing w:val="-8"/>
        </w:rPr>
        <w:t xml:space="preserve"> </w:t>
      </w:r>
      <w:r>
        <w:t>sus</w:t>
      </w:r>
      <w:r>
        <w:rPr>
          <w:spacing w:val="-8"/>
        </w:rPr>
        <w:t xml:space="preserve"> </w:t>
      </w:r>
      <w:r>
        <w:t>estudios</w:t>
      </w:r>
      <w:r>
        <w:rPr>
          <w:spacing w:val="-9"/>
        </w:rPr>
        <w:t xml:space="preserve"> </w:t>
      </w:r>
      <w:r>
        <w:t>temporalmente.</w:t>
      </w:r>
      <w:r>
        <w:rPr>
          <w:spacing w:val="-8"/>
        </w:rPr>
        <w:t xml:space="preserve"> </w:t>
      </w:r>
      <w:r>
        <w:t>Así</w:t>
      </w:r>
      <w:r>
        <w:rPr>
          <w:spacing w:val="-9"/>
        </w:rPr>
        <w:t xml:space="preserve"> </w:t>
      </w:r>
      <w:r>
        <w:t>lo</w:t>
      </w:r>
      <w:r>
        <w:rPr>
          <w:spacing w:val="-8"/>
        </w:rPr>
        <w:t xml:space="preserve"> </w:t>
      </w:r>
      <w:r>
        <w:t>relató</w:t>
      </w:r>
      <w:r>
        <w:rPr>
          <w:spacing w:val="-8"/>
        </w:rPr>
        <w:t xml:space="preserve"> </w:t>
      </w:r>
      <w:r>
        <w:t>a</w:t>
      </w:r>
      <w:r>
        <w:rPr>
          <w:spacing w:val="-9"/>
        </w:rPr>
        <w:t xml:space="preserve"> </w:t>
      </w:r>
      <w:r>
        <w:t>la</w:t>
      </w:r>
      <w:r>
        <w:rPr>
          <w:spacing w:val="-8"/>
        </w:rPr>
        <w:t xml:space="preserve"> </w:t>
      </w:r>
      <w:r>
        <w:t>Comisión</w:t>
      </w:r>
      <w:r>
        <w:rPr>
          <w:spacing w:val="-8"/>
        </w:rPr>
        <w:t xml:space="preserve"> </w:t>
      </w:r>
      <w:r>
        <w:t>de la</w:t>
      </w:r>
      <w:r>
        <w:rPr>
          <w:spacing w:val="-6"/>
        </w:rPr>
        <w:t xml:space="preserve"> </w:t>
      </w:r>
      <w:r>
        <w:t>Verdad</w:t>
      </w:r>
      <w:r>
        <w:rPr>
          <w:spacing w:val="-6"/>
        </w:rPr>
        <w:t xml:space="preserve"> </w:t>
      </w:r>
      <w:r>
        <w:t>un</w:t>
      </w:r>
      <w:r>
        <w:rPr>
          <w:spacing w:val="-6"/>
        </w:rPr>
        <w:t xml:space="preserve"> </w:t>
      </w:r>
      <w:r>
        <w:t>joven</w:t>
      </w:r>
      <w:r>
        <w:rPr>
          <w:spacing w:val="-6"/>
        </w:rPr>
        <w:t xml:space="preserve"> </w:t>
      </w:r>
      <w:r>
        <w:t>afrocolombiano:</w:t>
      </w:r>
      <w:r>
        <w:rPr>
          <w:spacing w:val="-7"/>
        </w:rPr>
        <w:t xml:space="preserve"> </w:t>
      </w:r>
      <w:r>
        <w:t>«A</w:t>
      </w:r>
      <w:r>
        <w:rPr>
          <w:spacing w:val="-7"/>
        </w:rPr>
        <w:t xml:space="preserve"> </w:t>
      </w:r>
      <w:r>
        <w:t>mi</w:t>
      </w:r>
      <w:r>
        <w:rPr>
          <w:spacing w:val="-6"/>
        </w:rPr>
        <w:t xml:space="preserve"> </w:t>
      </w:r>
      <w:r>
        <w:t>mamá</w:t>
      </w:r>
      <w:r>
        <w:rPr>
          <w:spacing w:val="-6"/>
        </w:rPr>
        <w:t xml:space="preserve"> </w:t>
      </w:r>
      <w:r>
        <w:t>se</w:t>
      </w:r>
      <w:r>
        <w:rPr>
          <w:spacing w:val="-6"/>
        </w:rPr>
        <w:t xml:space="preserve"> </w:t>
      </w:r>
      <w:r>
        <w:t>le</w:t>
      </w:r>
      <w:r>
        <w:rPr>
          <w:spacing w:val="-6"/>
        </w:rPr>
        <w:t xml:space="preserve"> </w:t>
      </w:r>
      <w:r>
        <w:t>quitaron</w:t>
      </w:r>
      <w:r>
        <w:rPr>
          <w:spacing w:val="-6"/>
        </w:rPr>
        <w:t xml:space="preserve"> </w:t>
      </w:r>
      <w:r>
        <w:t>las</w:t>
      </w:r>
      <w:r>
        <w:rPr>
          <w:spacing w:val="-6"/>
        </w:rPr>
        <w:t xml:space="preserve"> </w:t>
      </w:r>
      <w:r>
        <w:t>ganas</w:t>
      </w:r>
      <w:r>
        <w:rPr>
          <w:spacing w:val="-7"/>
        </w:rPr>
        <w:t xml:space="preserve"> </w:t>
      </w:r>
      <w:r>
        <w:t>de</w:t>
      </w:r>
      <w:r>
        <w:rPr>
          <w:spacing w:val="-6"/>
        </w:rPr>
        <w:t xml:space="preserve"> </w:t>
      </w:r>
      <w:r>
        <w:t>que</w:t>
      </w:r>
      <w:r>
        <w:rPr>
          <w:spacing w:val="-6"/>
        </w:rPr>
        <w:t xml:space="preserve"> </w:t>
      </w:r>
      <w:r>
        <w:t>yo</w:t>
      </w:r>
      <w:r>
        <w:rPr>
          <w:spacing w:val="-6"/>
        </w:rPr>
        <w:t xml:space="preserve"> </w:t>
      </w:r>
      <w:r>
        <w:t>siguiera estudiando, de que yo saliera todos los días a la calle, no quería que fuera sometido a lo mismo,</w:t>
      </w:r>
      <w:r>
        <w:rPr>
          <w:spacing w:val="-15"/>
        </w:rPr>
        <w:t xml:space="preserve"> </w:t>
      </w:r>
      <w:r>
        <w:t>a</w:t>
      </w:r>
      <w:r>
        <w:rPr>
          <w:spacing w:val="-15"/>
        </w:rPr>
        <w:t xml:space="preserve"> </w:t>
      </w:r>
      <w:r>
        <w:t>vivir</w:t>
      </w:r>
      <w:r>
        <w:rPr>
          <w:spacing w:val="-15"/>
        </w:rPr>
        <w:t xml:space="preserve"> </w:t>
      </w:r>
      <w:r>
        <w:t>lo</w:t>
      </w:r>
      <w:r>
        <w:rPr>
          <w:spacing w:val="-15"/>
        </w:rPr>
        <w:t xml:space="preserve"> </w:t>
      </w:r>
      <w:r>
        <w:t>mismo</w:t>
      </w:r>
      <w:r>
        <w:rPr>
          <w:spacing w:val="-15"/>
        </w:rPr>
        <w:t xml:space="preserve"> </w:t>
      </w:r>
      <w:r>
        <w:t>que</w:t>
      </w:r>
      <w:r>
        <w:rPr>
          <w:spacing w:val="-15"/>
        </w:rPr>
        <w:t xml:space="preserve"> </w:t>
      </w:r>
      <w:r>
        <w:t>mi</w:t>
      </w:r>
      <w:r>
        <w:rPr>
          <w:spacing w:val="-15"/>
        </w:rPr>
        <w:t xml:space="preserve"> </w:t>
      </w:r>
      <w:r>
        <w:t>familia.</w:t>
      </w:r>
      <w:r>
        <w:rPr>
          <w:spacing w:val="-15"/>
        </w:rPr>
        <w:t xml:space="preserve"> </w:t>
      </w:r>
      <w:r>
        <w:t>Por</w:t>
      </w:r>
      <w:r>
        <w:rPr>
          <w:spacing w:val="-15"/>
        </w:rPr>
        <w:t xml:space="preserve"> </w:t>
      </w:r>
      <w:r>
        <w:t>eso</w:t>
      </w:r>
      <w:r>
        <w:rPr>
          <w:spacing w:val="-15"/>
        </w:rPr>
        <w:t xml:space="preserve"> </w:t>
      </w:r>
      <w:r>
        <w:t>todo</w:t>
      </w:r>
      <w:r>
        <w:rPr>
          <w:spacing w:val="-15"/>
        </w:rPr>
        <w:t xml:space="preserve"> </w:t>
      </w:r>
      <w:r>
        <w:t>el</w:t>
      </w:r>
      <w:r>
        <w:rPr>
          <w:spacing w:val="-15"/>
        </w:rPr>
        <w:t xml:space="preserve"> </w:t>
      </w:r>
      <w:r>
        <w:t>año</w:t>
      </w:r>
      <w:r>
        <w:rPr>
          <w:spacing w:val="-15"/>
        </w:rPr>
        <w:t xml:space="preserve"> </w:t>
      </w:r>
      <w:r>
        <w:t>2015</w:t>
      </w:r>
      <w:r>
        <w:rPr>
          <w:spacing w:val="-15"/>
        </w:rPr>
        <w:t xml:space="preserve"> </w:t>
      </w:r>
      <w:r>
        <w:t>no</w:t>
      </w:r>
      <w:r>
        <w:rPr>
          <w:spacing w:val="-15"/>
        </w:rPr>
        <w:t xml:space="preserve"> </w:t>
      </w:r>
      <w:r>
        <w:t>estudié»</w:t>
      </w:r>
      <w:r w:rsidR="00750551">
        <w:rPr>
          <w:rStyle w:val="Refdenotaalpie"/>
        </w:rPr>
        <w:footnoteReference w:id="1126"/>
      </w:r>
      <w:r>
        <w:t>.</w:t>
      </w:r>
      <w:r>
        <w:rPr>
          <w:spacing w:val="-15"/>
        </w:rPr>
        <w:t xml:space="preserve"> </w:t>
      </w:r>
      <w:r>
        <w:t xml:space="preserve">Igualmente, la pobreza y deserción escolar favorecen las condiciones para el reclutamiento forzado y distintas </w:t>
      </w:r>
      <w:r>
        <w:lastRenderedPageBreak/>
        <w:t>formas de involucramiento de niños, niñas y jóvenes en el conflicto armado.</w:t>
      </w:r>
    </w:p>
    <w:p w:rsidR="003804AC" w:rsidRDefault="00AF18A5" w:rsidP="00750551">
      <w:r>
        <w:t>Los</w:t>
      </w:r>
      <w:r>
        <w:rPr>
          <w:spacing w:val="-14"/>
        </w:rPr>
        <w:t xml:space="preserve"> </w:t>
      </w:r>
      <w:r>
        <w:t>niños,</w:t>
      </w:r>
      <w:r>
        <w:rPr>
          <w:spacing w:val="-14"/>
        </w:rPr>
        <w:t xml:space="preserve"> </w:t>
      </w:r>
      <w:r>
        <w:t>niñas</w:t>
      </w:r>
      <w:r>
        <w:rPr>
          <w:spacing w:val="-14"/>
        </w:rPr>
        <w:t xml:space="preserve"> </w:t>
      </w:r>
      <w:r>
        <w:t>y</w:t>
      </w:r>
      <w:r>
        <w:rPr>
          <w:spacing w:val="-14"/>
        </w:rPr>
        <w:t xml:space="preserve"> </w:t>
      </w:r>
      <w:r>
        <w:t>adolescentes</w:t>
      </w:r>
      <w:r>
        <w:rPr>
          <w:spacing w:val="-15"/>
        </w:rPr>
        <w:t xml:space="preserve"> </w:t>
      </w:r>
      <w:r>
        <w:t>también</w:t>
      </w:r>
      <w:r>
        <w:rPr>
          <w:spacing w:val="-14"/>
        </w:rPr>
        <w:t xml:space="preserve"> </w:t>
      </w:r>
      <w:r>
        <w:t>fueron</w:t>
      </w:r>
      <w:r>
        <w:rPr>
          <w:spacing w:val="-14"/>
        </w:rPr>
        <w:t xml:space="preserve"> </w:t>
      </w:r>
      <w:r>
        <w:t>objeto</w:t>
      </w:r>
      <w:r>
        <w:rPr>
          <w:spacing w:val="-14"/>
        </w:rPr>
        <w:t xml:space="preserve"> </w:t>
      </w:r>
      <w:r>
        <w:t>de</w:t>
      </w:r>
      <w:r>
        <w:rPr>
          <w:spacing w:val="-15"/>
        </w:rPr>
        <w:t xml:space="preserve"> </w:t>
      </w:r>
      <w:r>
        <w:t>instrumentalización.</w:t>
      </w:r>
      <w:r>
        <w:rPr>
          <w:spacing w:val="-14"/>
        </w:rPr>
        <w:t xml:space="preserve"> </w:t>
      </w:r>
      <w:r>
        <w:t>Las</w:t>
      </w:r>
      <w:r>
        <w:rPr>
          <w:spacing w:val="-14"/>
        </w:rPr>
        <w:t xml:space="preserve"> </w:t>
      </w:r>
      <w:r>
        <w:t>FARC- EP reclutaron a niños que en algunos casos fueron usados para transportar paquetes explosivos</w:t>
      </w:r>
      <w:r>
        <w:rPr>
          <w:spacing w:val="-11"/>
        </w:rPr>
        <w:t xml:space="preserve"> </w:t>
      </w:r>
      <w:r>
        <w:t>que</w:t>
      </w:r>
      <w:r>
        <w:rPr>
          <w:spacing w:val="-11"/>
        </w:rPr>
        <w:t xml:space="preserve"> </w:t>
      </w:r>
      <w:r>
        <w:t>luego</w:t>
      </w:r>
      <w:r>
        <w:rPr>
          <w:spacing w:val="-11"/>
        </w:rPr>
        <w:t xml:space="preserve"> </w:t>
      </w:r>
      <w:r>
        <w:t>fueron</w:t>
      </w:r>
      <w:r>
        <w:rPr>
          <w:spacing w:val="-11"/>
        </w:rPr>
        <w:t xml:space="preserve"> </w:t>
      </w:r>
      <w:r>
        <w:t>activados</w:t>
      </w:r>
      <w:r>
        <w:rPr>
          <w:spacing w:val="-11"/>
        </w:rPr>
        <w:t xml:space="preserve"> </w:t>
      </w:r>
      <w:r>
        <w:t>en</w:t>
      </w:r>
      <w:r>
        <w:rPr>
          <w:spacing w:val="-11"/>
        </w:rPr>
        <w:t xml:space="preserve"> </w:t>
      </w:r>
      <w:r>
        <w:t>cercanías</w:t>
      </w:r>
      <w:r>
        <w:rPr>
          <w:spacing w:val="-11"/>
        </w:rPr>
        <w:t xml:space="preserve"> </w:t>
      </w:r>
      <w:r>
        <w:t>a</w:t>
      </w:r>
      <w:r>
        <w:rPr>
          <w:spacing w:val="-11"/>
        </w:rPr>
        <w:t xml:space="preserve"> </w:t>
      </w:r>
      <w:r>
        <w:t>puestos</w:t>
      </w:r>
      <w:r>
        <w:rPr>
          <w:spacing w:val="-11"/>
        </w:rPr>
        <w:t xml:space="preserve"> </w:t>
      </w:r>
      <w:r>
        <w:t>de</w:t>
      </w:r>
      <w:r>
        <w:rPr>
          <w:spacing w:val="-11"/>
        </w:rPr>
        <w:t xml:space="preserve"> </w:t>
      </w:r>
      <w:r>
        <w:t>control</w:t>
      </w:r>
      <w:r>
        <w:rPr>
          <w:spacing w:val="-12"/>
        </w:rPr>
        <w:t xml:space="preserve"> </w:t>
      </w:r>
      <w:r>
        <w:t>militar.</w:t>
      </w:r>
      <w:r>
        <w:rPr>
          <w:spacing w:val="-11"/>
        </w:rPr>
        <w:t xml:space="preserve"> </w:t>
      </w:r>
      <w:r>
        <w:t>Uno</w:t>
      </w:r>
      <w:r>
        <w:rPr>
          <w:spacing w:val="-11"/>
        </w:rPr>
        <w:t xml:space="preserve"> </w:t>
      </w:r>
      <w:r>
        <w:t>de</w:t>
      </w:r>
      <w:r>
        <w:rPr>
          <w:spacing w:val="-9"/>
        </w:rPr>
        <w:t xml:space="preserve"> </w:t>
      </w:r>
      <w:r>
        <w:t>estos casos</w:t>
      </w:r>
      <w:r>
        <w:rPr>
          <w:spacing w:val="2"/>
        </w:rPr>
        <w:t xml:space="preserve"> </w:t>
      </w:r>
      <w:r>
        <w:t>ocurrió</w:t>
      </w:r>
      <w:r>
        <w:rPr>
          <w:spacing w:val="3"/>
        </w:rPr>
        <w:t xml:space="preserve"> </w:t>
      </w:r>
      <w:r>
        <w:t>en</w:t>
      </w:r>
      <w:r>
        <w:rPr>
          <w:spacing w:val="3"/>
        </w:rPr>
        <w:t xml:space="preserve"> </w:t>
      </w:r>
      <w:r>
        <w:t>2010,</w:t>
      </w:r>
      <w:r>
        <w:rPr>
          <w:spacing w:val="3"/>
        </w:rPr>
        <w:t xml:space="preserve"> </w:t>
      </w:r>
      <w:r>
        <w:t>con</w:t>
      </w:r>
      <w:r>
        <w:rPr>
          <w:spacing w:val="3"/>
        </w:rPr>
        <w:t xml:space="preserve"> </w:t>
      </w:r>
      <w:r>
        <w:t>un</w:t>
      </w:r>
      <w:r>
        <w:rPr>
          <w:spacing w:val="3"/>
        </w:rPr>
        <w:t xml:space="preserve"> </w:t>
      </w:r>
      <w:r>
        <w:t>menor</w:t>
      </w:r>
      <w:r>
        <w:rPr>
          <w:spacing w:val="4"/>
        </w:rPr>
        <w:t xml:space="preserve"> </w:t>
      </w:r>
      <w:r>
        <w:t>afrodescendiente</w:t>
      </w:r>
      <w:r>
        <w:rPr>
          <w:spacing w:val="4"/>
        </w:rPr>
        <w:t xml:space="preserve"> </w:t>
      </w:r>
      <w:r>
        <w:t>del</w:t>
      </w:r>
      <w:r>
        <w:rPr>
          <w:spacing w:val="4"/>
        </w:rPr>
        <w:t xml:space="preserve"> </w:t>
      </w:r>
      <w:r>
        <w:t>municipio</w:t>
      </w:r>
      <w:r>
        <w:rPr>
          <w:spacing w:val="3"/>
        </w:rPr>
        <w:t xml:space="preserve"> </w:t>
      </w:r>
      <w:r>
        <w:t>de</w:t>
      </w:r>
      <w:r>
        <w:rPr>
          <w:spacing w:val="4"/>
        </w:rPr>
        <w:t xml:space="preserve"> </w:t>
      </w:r>
      <w:r>
        <w:t>El</w:t>
      </w:r>
      <w:r>
        <w:rPr>
          <w:spacing w:val="4"/>
        </w:rPr>
        <w:t xml:space="preserve"> </w:t>
      </w:r>
      <w:r>
        <w:t>Charco,</w:t>
      </w:r>
      <w:r>
        <w:rPr>
          <w:spacing w:val="4"/>
        </w:rPr>
        <w:t xml:space="preserve"> </w:t>
      </w:r>
      <w:r>
        <w:rPr>
          <w:spacing w:val="-2"/>
        </w:rPr>
        <w:t>Nariño,</w:t>
      </w:r>
      <w:bookmarkStart w:id="1389" w:name="_bookmark1237"/>
      <w:bookmarkEnd w:id="1389"/>
      <w:r w:rsidR="00750551">
        <w:t xml:space="preserve"> </w:t>
      </w:r>
      <w:r>
        <w:t>donde</w:t>
      </w:r>
      <w:r>
        <w:rPr>
          <w:spacing w:val="-5"/>
        </w:rPr>
        <w:t xml:space="preserve"> </w:t>
      </w:r>
      <w:r>
        <w:t>tenía</w:t>
      </w:r>
      <w:r>
        <w:rPr>
          <w:spacing w:val="-6"/>
        </w:rPr>
        <w:t xml:space="preserve"> </w:t>
      </w:r>
      <w:r>
        <w:t>injerencia</w:t>
      </w:r>
      <w:r>
        <w:rPr>
          <w:spacing w:val="-5"/>
        </w:rPr>
        <w:t xml:space="preserve"> </w:t>
      </w:r>
      <w:r>
        <w:t>el</w:t>
      </w:r>
      <w:r>
        <w:rPr>
          <w:spacing w:val="-6"/>
        </w:rPr>
        <w:t xml:space="preserve"> </w:t>
      </w:r>
      <w:r>
        <w:t>Frente</w:t>
      </w:r>
      <w:r>
        <w:rPr>
          <w:spacing w:val="-5"/>
        </w:rPr>
        <w:t xml:space="preserve"> </w:t>
      </w:r>
      <w:r>
        <w:t>29,</w:t>
      </w:r>
      <w:r>
        <w:rPr>
          <w:spacing w:val="-5"/>
        </w:rPr>
        <w:t xml:space="preserve"> </w:t>
      </w:r>
      <w:r>
        <w:t>del</w:t>
      </w:r>
      <w:r>
        <w:rPr>
          <w:spacing w:val="-5"/>
        </w:rPr>
        <w:t xml:space="preserve"> </w:t>
      </w:r>
      <w:r>
        <w:t>Bloque</w:t>
      </w:r>
      <w:r>
        <w:rPr>
          <w:spacing w:val="-5"/>
        </w:rPr>
        <w:t xml:space="preserve"> </w:t>
      </w:r>
      <w:r>
        <w:t>Occidental</w:t>
      </w:r>
      <w:r w:rsidR="00750551">
        <w:rPr>
          <w:rStyle w:val="Refdenotaalpie"/>
        </w:rPr>
        <w:footnoteReference w:id="1127"/>
      </w:r>
      <w:r>
        <w:t>.</w:t>
      </w:r>
      <w:r>
        <w:rPr>
          <w:spacing w:val="-5"/>
        </w:rPr>
        <w:t xml:space="preserve"> </w:t>
      </w:r>
      <w:r>
        <w:t>Se</w:t>
      </w:r>
      <w:r>
        <w:rPr>
          <w:spacing w:val="-5"/>
        </w:rPr>
        <w:t xml:space="preserve"> </w:t>
      </w:r>
      <w:r>
        <w:t>trata</w:t>
      </w:r>
      <w:r>
        <w:rPr>
          <w:spacing w:val="-5"/>
        </w:rPr>
        <w:t xml:space="preserve"> </w:t>
      </w:r>
      <w:r>
        <w:t>de</w:t>
      </w:r>
      <w:r>
        <w:rPr>
          <w:spacing w:val="-5"/>
        </w:rPr>
        <w:t xml:space="preserve"> </w:t>
      </w:r>
      <w:r>
        <w:t>un</w:t>
      </w:r>
      <w:r>
        <w:rPr>
          <w:spacing w:val="-7"/>
        </w:rPr>
        <w:t xml:space="preserve"> </w:t>
      </w:r>
      <w:r>
        <w:t>caso</w:t>
      </w:r>
      <w:r>
        <w:rPr>
          <w:spacing w:val="-5"/>
        </w:rPr>
        <w:t xml:space="preserve"> </w:t>
      </w:r>
      <w:r>
        <w:t>ilustrativo de cómo los menores en condiciones de vulnerabilidad socioeconómica fueron instrumentalizados mediante el engaño y las recompensas prometidas.</w:t>
      </w:r>
    </w:p>
    <w:p w:rsidR="003804AC" w:rsidRDefault="00AF18A5" w:rsidP="00750551">
      <w:r>
        <w:t>En</w:t>
      </w:r>
      <w:r>
        <w:rPr>
          <w:spacing w:val="-14"/>
        </w:rPr>
        <w:t xml:space="preserve"> </w:t>
      </w:r>
      <w:r>
        <w:t>una</w:t>
      </w:r>
      <w:r>
        <w:rPr>
          <w:spacing w:val="-14"/>
        </w:rPr>
        <w:t xml:space="preserve"> </w:t>
      </w:r>
      <w:r>
        <w:t>sentencia</w:t>
      </w:r>
      <w:r>
        <w:rPr>
          <w:spacing w:val="-14"/>
        </w:rPr>
        <w:t xml:space="preserve"> </w:t>
      </w:r>
      <w:r>
        <w:t>emitida</w:t>
      </w:r>
      <w:r>
        <w:rPr>
          <w:spacing w:val="-14"/>
        </w:rPr>
        <w:t xml:space="preserve"> </w:t>
      </w:r>
      <w:r>
        <w:t>por</w:t>
      </w:r>
      <w:r>
        <w:rPr>
          <w:spacing w:val="-14"/>
        </w:rPr>
        <w:t xml:space="preserve"> </w:t>
      </w:r>
      <w:r>
        <w:t>jueces</w:t>
      </w:r>
      <w:r>
        <w:rPr>
          <w:spacing w:val="-14"/>
        </w:rPr>
        <w:t xml:space="preserve"> </w:t>
      </w:r>
      <w:r>
        <w:t>de</w:t>
      </w:r>
      <w:r>
        <w:rPr>
          <w:spacing w:val="-14"/>
        </w:rPr>
        <w:t xml:space="preserve"> </w:t>
      </w:r>
      <w:r>
        <w:t>Justicia</w:t>
      </w:r>
      <w:r>
        <w:rPr>
          <w:spacing w:val="-14"/>
        </w:rPr>
        <w:t xml:space="preserve"> </w:t>
      </w:r>
      <w:r>
        <w:t>y</w:t>
      </w:r>
      <w:r>
        <w:rPr>
          <w:spacing w:val="-14"/>
        </w:rPr>
        <w:t xml:space="preserve"> </w:t>
      </w:r>
      <w:r>
        <w:t>Paz</w:t>
      </w:r>
      <w:r>
        <w:rPr>
          <w:spacing w:val="-14"/>
        </w:rPr>
        <w:t xml:space="preserve"> </w:t>
      </w:r>
      <w:r>
        <w:t>con</w:t>
      </w:r>
      <w:r>
        <w:rPr>
          <w:spacing w:val="-14"/>
        </w:rPr>
        <w:t xml:space="preserve"> </w:t>
      </w:r>
      <w:r>
        <w:t>base</w:t>
      </w:r>
      <w:r>
        <w:rPr>
          <w:spacing w:val="-14"/>
        </w:rPr>
        <w:t xml:space="preserve"> </w:t>
      </w:r>
      <w:r>
        <w:t>en</w:t>
      </w:r>
      <w:r>
        <w:rPr>
          <w:spacing w:val="-14"/>
        </w:rPr>
        <w:t xml:space="preserve"> </w:t>
      </w:r>
      <w:r>
        <w:t>el</w:t>
      </w:r>
      <w:r>
        <w:rPr>
          <w:spacing w:val="-14"/>
        </w:rPr>
        <w:t xml:space="preserve"> </w:t>
      </w:r>
      <w:r>
        <w:t>trabajo</w:t>
      </w:r>
      <w:r>
        <w:rPr>
          <w:spacing w:val="-15"/>
        </w:rPr>
        <w:t xml:space="preserve"> </w:t>
      </w:r>
      <w:r>
        <w:t>de</w:t>
      </w:r>
      <w:r>
        <w:rPr>
          <w:spacing w:val="-14"/>
        </w:rPr>
        <w:t xml:space="preserve"> </w:t>
      </w:r>
      <w:r>
        <w:t>la</w:t>
      </w:r>
      <w:r>
        <w:rPr>
          <w:spacing w:val="-14"/>
        </w:rPr>
        <w:t xml:space="preserve"> </w:t>
      </w:r>
      <w:r>
        <w:t xml:space="preserve">Coalición contra la vinculación de niños, niñas y adolescentes en el conflicto armado en Colombia – </w:t>
      </w:r>
      <w:proofErr w:type="spellStart"/>
      <w:r>
        <w:t>Coalico</w:t>
      </w:r>
      <w:proofErr w:type="spellEnd"/>
      <w:r>
        <w:t>– y en contra de un exintegrante del Bloque Vencedores de Arauca de las Autodefensa</w:t>
      </w:r>
      <w:r>
        <w:rPr>
          <w:spacing w:val="-15"/>
        </w:rPr>
        <w:t xml:space="preserve"> </w:t>
      </w:r>
      <w:r>
        <w:t>Unidas</w:t>
      </w:r>
      <w:r>
        <w:rPr>
          <w:spacing w:val="-15"/>
        </w:rPr>
        <w:t xml:space="preserve"> </w:t>
      </w:r>
      <w:r>
        <w:t>de</w:t>
      </w:r>
      <w:r>
        <w:rPr>
          <w:spacing w:val="-15"/>
        </w:rPr>
        <w:t xml:space="preserve"> </w:t>
      </w:r>
      <w:r>
        <w:t>Colombia,</w:t>
      </w:r>
      <w:r>
        <w:rPr>
          <w:spacing w:val="-15"/>
        </w:rPr>
        <w:t xml:space="preserve"> </w:t>
      </w:r>
      <w:r>
        <w:t>se</w:t>
      </w:r>
      <w:r>
        <w:rPr>
          <w:spacing w:val="-15"/>
        </w:rPr>
        <w:t xml:space="preserve"> </w:t>
      </w:r>
      <w:r>
        <w:t>indicó</w:t>
      </w:r>
      <w:r>
        <w:rPr>
          <w:spacing w:val="-15"/>
        </w:rPr>
        <w:t xml:space="preserve"> </w:t>
      </w:r>
      <w:r>
        <w:t>que</w:t>
      </w:r>
      <w:r>
        <w:rPr>
          <w:spacing w:val="-15"/>
        </w:rPr>
        <w:t xml:space="preserve"> </w:t>
      </w:r>
      <w:r>
        <w:t>en:</w:t>
      </w:r>
      <w:r>
        <w:rPr>
          <w:spacing w:val="-14"/>
        </w:rPr>
        <w:t xml:space="preserve"> </w:t>
      </w:r>
      <w:r>
        <w:t>«En</w:t>
      </w:r>
      <w:r>
        <w:rPr>
          <w:spacing w:val="-15"/>
        </w:rPr>
        <w:t xml:space="preserve"> </w:t>
      </w:r>
      <w:r>
        <w:t>los</w:t>
      </w:r>
      <w:r>
        <w:rPr>
          <w:spacing w:val="-15"/>
        </w:rPr>
        <w:t xml:space="preserve"> </w:t>
      </w:r>
      <w:r>
        <w:t>reclutadores</w:t>
      </w:r>
      <w:r>
        <w:rPr>
          <w:spacing w:val="-15"/>
        </w:rPr>
        <w:t xml:space="preserve"> </w:t>
      </w:r>
      <w:r>
        <w:t>existen</w:t>
      </w:r>
      <w:r>
        <w:rPr>
          <w:spacing w:val="-15"/>
        </w:rPr>
        <w:t xml:space="preserve"> </w:t>
      </w:r>
      <w:r>
        <w:t>preferencias de género respecto del reclutador. Esta característica no les es indiferentes, por ejemplo, prefieren</w:t>
      </w:r>
      <w:r>
        <w:rPr>
          <w:spacing w:val="-11"/>
        </w:rPr>
        <w:t xml:space="preserve"> </w:t>
      </w:r>
      <w:r>
        <w:t>a</w:t>
      </w:r>
      <w:r>
        <w:rPr>
          <w:spacing w:val="-11"/>
        </w:rPr>
        <w:t xml:space="preserve"> </w:t>
      </w:r>
      <w:r>
        <w:t>los</w:t>
      </w:r>
      <w:r>
        <w:rPr>
          <w:spacing w:val="-11"/>
        </w:rPr>
        <w:t xml:space="preserve"> </w:t>
      </w:r>
      <w:r>
        <w:t>afrodescendientes</w:t>
      </w:r>
      <w:r>
        <w:rPr>
          <w:spacing w:val="-11"/>
        </w:rPr>
        <w:t xml:space="preserve"> </w:t>
      </w:r>
      <w:r>
        <w:t>por</w:t>
      </w:r>
      <w:r>
        <w:rPr>
          <w:spacing w:val="-10"/>
        </w:rPr>
        <w:t xml:space="preserve"> </w:t>
      </w:r>
      <w:r>
        <w:t>su</w:t>
      </w:r>
      <w:r>
        <w:rPr>
          <w:spacing w:val="-11"/>
        </w:rPr>
        <w:t xml:space="preserve"> </w:t>
      </w:r>
      <w:r>
        <w:t>fortaleza</w:t>
      </w:r>
      <w:r>
        <w:rPr>
          <w:spacing w:val="-12"/>
        </w:rPr>
        <w:t xml:space="preserve"> </w:t>
      </w:r>
      <w:r>
        <w:t>física.</w:t>
      </w:r>
      <w:r>
        <w:rPr>
          <w:spacing w:val="-11"/>
        </w:rPr>
        <w:t xml:space="preserve"> </w:t>
      </w:r>
      <w:r>
        <w:t>En</w:t>
      </w:r>
      <w:r>
        <w:rPr>
          <w:spacing w:val="-11"/>
        </w:rPr>
        <w:t xml:space="preserve"> </w:t>
      </w:r>
      <w:r>
        <w:t>el</w:t>
      </w:r>
      <w:r>
        <w:rPr>
          <w:spacing w:val="-10"/>
        </w:rPr>
        <w:t xml:space="preserve"> </w:t>
      </w:r>
      <w:r>
        <w:t>caso</w:t>
      </w:r>
      <w:r>
        <w:rPr>
          <w:spacing w:val="-11"/>
        </w:rPr>
        <w:t xml:space="preserve"> </w:t>
      </w:r>
      <w:r>
        <w:t>de</w:t>
      </w:r>
      <w:r>
        <w:rPr>
          <w:spacing w:val="-11"/>
        </w:rPr>
        <w:t xml:space="preserve"> </w:t>
      </w:r>
      <w:r>
        <w:t>las</w:t>
      </w:r>
      <w:r>
        <w:rPr>
          <w:spacing w:val="-11"/>
        </w:rPr>
        <w:t xml:space="preserve"> </w:t>
      </w:r>
      <w:r>
        <w:t>niñas</w:t>
      </w:r>
      <w:r>
        <w:rPr>
          <w:spacing w:val="-11"/>
        </w:rPr>
        <w:t xml:space="preserve"> </w:t>
      </w:r>
      <w:r>
        <w:t>son</w:t>
      </w:r>
      <w:r>
        <w:rPr>
          <w:spacing w:val="-11"/>
        </w:rPr>
        <w:t xml:space="preserve"> </w:t>
      </w:r>
      <w:r>
        <w:t>escogidas para logística del grupo. También porque sobre ellas pueden ejercer violencia sexual»</w:t>
      </w:r>
      <w:r w:rsidR="00750551">
        <w:rPr>
          <w:rStyle w:val="Refdenotaalpie"/>
        </w:rPr>
        <w:footnoteReference w:id="1128"/>
      </w:r>
      <w:r>
        <w:t>.</w:t>
      </w:r>
    </w:p>
    <w:p w:rsidR="003804AC" w:rsidRDefault="00AF18A5" w:rsidP="00750551">
      <w:r>
        <w:t>La Amazonía fue uno de los territorios donde las FARC reclutó niños, niñas y jóvenes indígenas, generando daños en todo el colectivo. El Frente Amazonas de las FARC reclutó menores</w:t>
      </w:r>
      <w:r>
        <w:rPr>
          <w:spacing w:val="-3"/>
        </w:rPr>
        <w:t xml:space="preserve"> </w:t>
      </w:r>
      <w:r>
        <w:t>en</w:t>
      </w:r>
      <w:r>
        <w:rPr>
          <w:spacing w:val="-3"/>
        </w:rPr>
        <w:t xml:space="preserve"> </w:t>
      </w:r>
      <w:r>
        <w:t>los</w:t>
      </w:r>
      <w:r>
        <w:rPr>
          <w:spacing w:val="-3"/>
        </w:rPr>
        <w:t xml:space="preserve"> </w:t>
      </w:r>
      <w:r>
        <w:t>establecimientos</w:t>
      </w:r>
      <w:r>
        <w:rPr>
          <w:spacing w:val="-3"/>
        </w:rPr>
        <w:t xml:space="preserve"> </w:t>
      </w:r>
      <w:r>
        <w:t>educativos</w:t>
      </w:r>
      <w:r>
        <w:rPr>
          <w:spacing w:val="-3"/>
        </w:rPr>
        <w:t xml:space="preserve"> </w:t>
      </w:r>
      <w:r>
        <w:t>que</w:t>
      </w:r>
      <w:r>
        <w:rPr>
          <w:spacing w:val="-3"/>
        </w:rPr>
        <w:t xml:space="preserve"> </w:t>
      </w:r>
      <w:r>
        <w:t>se</w:t>
      </w:r>
      <w:r>
        <w:rPr>
          <w:spacing w:val="-3"/>
        </w:rPr>
        <w:t xml:space="preserve"> </w:t>
      </w:r>
      <w:r>
        <w:t>ubicaban</w:t>
      </w:r>
      <w:r>
        <w:rPr>
          <w:spacing w:val="-5"/>
        </w:rPr>
        <w:t xml:space="preserve"> </w:t>
      </w:r>
      <w:r>
        <w:t>en</w:t>
      </w:r>
      <w:r>
        <w:rPr>
          <w:spacing w:val="-3"/>
        </w:rPr>
        <w:t xml:space="preserve"> </w:t>
      </w:r>
      <w:r>
        <w:t>los</w:t>
      </w:r>
      <w:r>
        <w:rPr>
          <w:spacing w:val="-3"/>
        </w:rPr>
        <w:t xml:space="preserve"> </w:t>
      </w:r>
      <w:r>
        <w:t>ríos</w:t>
      </w:r>
      <w:r>
        <w:rPr>
          <w:spacing w:val="-3"/>
        </w:rPr>
        <w:t xml:space="preserve"> </w:t>
      </w:r>
      <w:r>
        <w:t>que</w:t>
      </w:r>
      <w:r>
        <w:rPr>
          <w:spacing w:val="-3"/>
        </w:rPr>
        <w:t xml:space="preserve"> </w:t>
      </w:r>
      <w:r>
        <w:t>conformaban</w:t>
      </w:r>
      <w:r>
        <w:rPr>
          <w:spacing w:val="-3"/>
        </w:rPr>
        <w:t xml:space="preserve"> </w:t>
      </w:r>
      <w:r>
        <w:t xml:space="preserve">su corredor de </w:t>
      </w:r>
      <w:r>
        <w:lastRenderedPageBreak/>
        <w:t>paso. Esto con el objetivo de fortalecer el pie de fuerza y crear vínculos con las comunidades en su estrategia de consolidación y expansión, el cual incluía despliegue de estrategias político-militares, escuelas de formación de ideología y lo que denominaron trabajo de masas. El conocimiento de los pueblos ancestrales sobre el territorio fue instrumentalizado</w:t>
      </w:r>
      <w:r>
        <w:rPr>
          <w:spacing w:val="-9"/>
        </w:rPr>
        <w:t xml:space="preserve"> </w:t>
      </w:r>
      <w:r>
        <w:t>por</w:t>
      </w:r>
      <w:r>
        <w:rPr>
          <w:spacing w:val="-10"/>
        </w:rPr>
        <w:t xml:space="preserve"> </w:t>
      </w:r>
      <w:r>
        <w:t>este</w:t>
      </w:r>
      <w:r>
        <w:rPr>
          <w:spacing w:val="-9"/>
        </w:rPr>
        <w:t xml:space="preserve"> </w:t>
      </w:r>
      <w:r>
        <w:t>grupo</w:t>
      </w:r>
      <w:r>
        <w:rPr>
          <w:spacing w:val="-9"/>
        </w:rPr>
        <w:t xml:space="preserve"> </w:t>
      </w:r>
      <w:r>
        <w:t>para</w:t>
      </w:r>
      <w:r>
        <w:rPr>
          <w:spacing w:val="-10"/>
        </w:rPr>
        <w:t xml:space="preserve"> </w:t>
      </w:r>
      <w:r>
        <w:t>explorar,</w:t>
      </w:r>
      <w:r>
        <w:rPr>
          <w:spacing w:val="-9"/>
        </w:rPr>
        <w:t xml:space="preserve"> </w:t>
      </w:r>
      <w:r>
        <w:t>transitar</w:t>
      </w:r>
      <w:r>
        <w:rPr>
          <w:spacing w:val="-9"/>
        </w:rPr>
        <w:t xml:space="preserve"> </w:t>
      </w:r>
      <w:r>
        <w:t>la</w:t>
      </w:r>
      <w:r>
        <w:rPr>
          <w:spacing w:val="-10"/>
        </w:rPr>
        <w:t xml:space="preserve"> </w:t>
      </w:r>
      <w:r>
        <w:t>región</w:t>
      </w:r>
      <w:r>
        <w:rPr>
          <w:spacing w:val="-9"/>
        </w:rPr>
        <w:t xml:space="preserve"> </w:t>
      </w:r>
      <w:r>
        <w:t>y</w:t>
      </w:r>
      <w:r>
        <w:rPr>
          <w:spacing w:val="-9"/>
        </w:rPr>
        <w:t xml:space="preserve"> </w:t>
      </w:r>
      <w:r>
        <w:t>obtener</w:t>
      </w:r>
      <w:r>
        <w:rPr>
          <w:spacing w:val="-10"/>
        </w:rPr>
        <w:t xml:space="preserve"> </w:t>
      </w:r>
      <w:r>
        <w:t>ventajas</w:t>
      </w:r>
      <w:r>
        <w:rPr>
          <w:spacing w:val="-9"/>
        </w:rPr>
        <w:t xml:space="preserve"> </w:t>
      </w:r>
      <w:r>
        <w:t>sobre</w:t>
      </w:r>
      <w:r>
        <w:rPr>
          <w:spacing w:val="-9"/>
        </w:rPr>
        <w:t xml:space="preserve"> </w:t>
      </w:r>
      <w:r>
        <w:t>el enemigo. El testimonio de una líder indígena de la región muestra el reclutamiento de este actor armado en los pueblos indígenas:</w:t>
      </w:r>
    </w:p>
    <w:p w:rsidR="003804AC" w:rsidRDefault="00AF18A5" w:rsidP="000229FA">
      <w:r>
        <w:t>En el conflicto armado, los cuerpos de los niños, niñas y adolescentes se convirtieron en blancos</w:t>
      </w:r>
      <w:r>
        <w:rPr>
          <w:spacing w:val="-11"/>
        </w:rPr>
        <w:t xml:space="preserve"> </w:t>
      </w:r>
      <w:r>
        <w:t>militares</w:t>
      </w:r>
      <w:r>
        <w:rPr>
          <w:spacing w:val="-11"/>
        </w:rPr>
        <w:t xml:space="preserve"> </w:t>
      </w:r>
      <w:r>
        <w:t>por</w:t>
      </w:r>
      <w:r>
        <w:rPr>
          <w:spacing w:val="-10"/>
        </w:rPr>
        <w:t xml:space="preserve"> </w:t>
      </w:r>
      <w:r>
        <w:t>ser</w:t>
      </w:r>
      <w:r>
        <w:rPr>
          <w:spacing w:val="-12"/>
        </w:rPr>
        <w:t xml:space="preserve"> </w:t>
      </w:r>
      <w:r>
        <w:t>hijos</w:t>
      </w:r>
      <w:r>
        <w:rPr>
          <w:spacing w:val="-9"/>
        </w:rPr>
        <w:t xml:space="preserve"> </w:t>
      </w:r>
      <w:r>
        <w:t>o</w:t>
      </w:r>
      <w:r>
        <w:rPr>
          <w:spacing w:val="-11"/>
        </w:rPr>
        <w:t xml:space="preserve"> </w:t>
      </w:r>
      <w:r>
        <w:t>estar</w:t>
      </w:r>
      <w:r>
        <w:rPr>
          <w:spacing w:val="-12"/>
        </w:rPr>
        <w:t xml:space="preserve"> </w:t>
      </w:r>
      <w:r>
        <w:t>relacionados</w:t>
      </w:r>
      <w:r>
        <w:rPr>
          <w:spacing w:val="-11"/>
        </w:rPr>
        <w:t xml:space="preserve"> </w:t>
      </w:r>
      <w:r>
        <w:t>con</w:t>
      </w:r>
      <w:r>
        <w:rPr>
          <w:spacing w:val="-10"/>
        </w:rPr>
        <w:t xml:space="preserve"> </w:t>
      </w:r>
      <w:r>
        <w:t>personas</w:t>
      </w:r>
      <w:r>
        <w:rPr>
          <w:spacing w:val="-9"/>
        </w:rPr>
        <w:t xml:space="preserve"> </w:t>
      </w:r>
      <w:r>
        <w:t>que</w:t>
      </w:r>
      <w:r>
        <w:rPr>
          <w:spacing w:val="-11"/>
        </w:rPr>
        <w:t xml:space="preserve"> </w:t>
      </w:r>
      <w:r>
        <w:t>tenían</w:t>
      </w:r>
      <w:r>
        <w:rPr>
          <w:spacing w:val="-12"/>
        </w:rPr>
        <w:t xml:space="preserve"> </w:t>
      </w:r>
      <w:r>
        <w:t>identidad</w:t>
      </w:r>
      <w:r>
        <w:rPr>
          <w:spacing w:val="-10"/>
        </w:rPr>
        <w:t xml:space="preserve"> </w:t>
      </w:r>
      <w:r>
        <w:t>política contraria</w:t>
      </w:r>
      <w:r>
        <w:rPr>
          <w:spacing w:val="-1"/>
        </w:rPr>
        <w:t xml:space="preserve"> </w:t>
      </w:r>
      <w:r>
        <w:t>a la del adversario. Pero también</w:t>
      </w:r>
      <w:r>
        <w:rPr>
          <w:spacing w:val="-1"/>
        </w:rPr>
        <w:t xml:space="preserve"> </w:t>
      </w:r>
      <w:r>
        <w:t>la violencia contra sus cuerpos fue utilizada para enviar mensajes</w:t>
      </w:r>
      <w:r>
        <w:rPr>
          <w:spacing w:val="3"/>
        </w:rPr>
        <w:t xml:space="preserve"> </w:t>
      </w:r>
      <w:r>
        <w:t>de</w:t>
      </w:r>
      <w:r>
        <w:rPr>
          <w:spacing w:val="4"/>
        </w:rPr>
        <w:t xml:space="preserve"> </w:t>
      </w:r>
      <w:r>
        <w:t>crueldad,</w:t>
      </w:r>
      <w:r>
        <w:rPr>
          <w:spacing w:val="2"/>
        </w:rPr>
        <w:t xml:space="preserve"> </w:t>
      </w:r>
      <w:r>
        <w:t>para</w:t>
      </w:r>
      <w:r>
        <w:rPr>
          <w:spacing w:val="2"/>
        </w:rPr>
        <w:t xml:space="preserve"> </w:t>
      </w:r>
      <w:r>
        <w:t>camuflar</w:t>
      </w:r>
      <w:r>
        <w:rPr>
          <w:spacing w:val="3"/>
        </w:rPr>
        <w:t xml:space="preserve"> </w:t>
      </w:r>
      <w:r>
        <w:t>armamentos</w:t>
      </w:r>
      <w:r>
        <w:rPr>
          <w:spacing w:val="2"/>
        </w:rPr>
        <w:t xml:space="preserve"> </w:t>
      </w:r>
      <w:r>
        <w:t>o</w:t>
      </w:r>
      <w:r>
        <w:rPr>
          <w:spacing w:val="2"/>
        </w:rPr>
        <w:t xml:space="preserve"> </w:t>
      </w:r>
      <w:r>
        <w:t>artefactos</w:t>
      </w:r>
      <w:r>
        <w:rPr>
          <w:spacing w:val="3"/>
        </w:rPr>
        <w:t xml:space="preserve"> </w:t>
      </w:r>
      <w:r>
        <w:t>explosivos,</w:t>
      </w:r>
      <w:r>
        <w:rPr>
          <w:spacing w:val="2"/>
        </w:rPr>
        <w:t xml:space="preserve"> </w:t>
      </w:r>
      <w:r>
        <w:t>para</w:t>
      </w:r>
      <w:r>
        <w:rPr>
          <w:spacing w:val="2"/>
        </w:rPr>
        <w:t xml:space="preserve"> </w:t>
      </w:r>
      <w:r>
        <w:rPr>
          <w:spacing w:val="-2"/>
        </w:rPr>
        <w:t>servir</w:t>
      </w:r>
      <w:bookmarkStart w:id="1390" w:name="_bookmark1238"/>
      <w:bookmarkStart w:id="1391" w:name="_bookmark1239"/>
      <w:bookmarkEnd w:id="1390"/>
      <w:bookmarkEnd w:id="1391"/>
      <w:r w:rsidR="000229FA">
        <w:t xml:space="preserve"> </w:t>
      </w:r>
      <w:r>
        <w:t>como instrumentos de guerra. Asimismo, los niños, niñas y adolescentes fueron testigos de crímenes y perseguidos por ello.</w:t>
      </w:r>
    </w:p>
    <w:p w:rsidR="003804AC" w:rsidRDefault="00AF18A5" w:rsidP="000229FA">
      <w:r>
        <w:t>Es común ver cómo los niños y niñas vivieron ciclos continuos de violencia: la mayoría de</w:t>
      </w:r>
      <w:r>
        <w:rPr>
          <w:spacing w:val="-3"/>
        </w:rPr>
        <w:t xml:space="preserve"> </w:t>
      </w:r>
      <w:r>
        <w:t>quienes</w:t>
      </w:r>
      <w:r>
        <w:rPr>
          <w:spacing w:val="-3"/>
        </w:rPr>
        <w:t xml:space="preserve"> </w:t>
      </w:r>
      <w:r>
        <w:t>fueron</w:t>
      </w:r>
      <w:r>
        <w:rPr>
          <w:spacing w:val="-4"/>
        </w:rPr>
        <w:t xml:space="preserve"> </w:t>
      </w:r>
      <w:r>
        <w:t>reclutados</w:t>
      </w:r>
      <w:r>
        <w:rPr>
          <w:spacing w:val="-3"/>
        </w:rPr>
        <w:t xml:space="preserve"> </w:t>
      </w:r>
      <w:r>
        <w:t>siendo</w:t>
      </w:r>
      <w:r>
        <w:rPr>
          <w:spacing w:val="-5"/>
        </w:rPr>
        <w:t xml:space="preserve"> </w:t>
      </w:r>
      <w:r>
        <w:t>menores</w:t>
      </w:r>
      <w:r>
        <w:rPr>
          <w:spacing w:val="-3"/>
        </w:rPr>
        <w:t xml:space="preserve"> </w:t>
      </w:r>
      <w:r>
        <w:t>de</w:t>
      </w:r>
      <w:r>
        <w:rPr>
          <w:spacing w:val="-5"/>
        </w:rPr>
        <w:t xml:space="preserve"> </w:t>
      </w:r>
      <w:r>
        <w:t>edad</w:t>
      </w:r>
      <w:r>
        <w:rPr>
          <w:spacing w:val="-4"/>
        </w:rPr>
        <w:t xml:space="preserve"> </w:t>
      </w:r>
      <w:r>
        <w:t>dijeron</w:t>
      </w:r>
      <w:r>
        <w:rPr>
          <w:spacing w:val="-5"/>
        </w:rPr>
        <w:t xml:space="preserve"> </w:t>
      </w:r>
      <w:r>
        <w:t>haberse</w:t>
      </w:r>
      <w:r>
        <w:rPr>
          <w:spacing w:val="-3"/>
        </w:rPr>
        <w:t xml:space="preserve"> </w:t>
      </w:r>
      <w:r>
        <w:t>ido</w:t>
      </w:r>
      <w:r>
        <w:rPr>
          <w:spacing w:val="-5"/>
        </w:rPr>
        <w:t xml:space="preserve"> </w:t>
      </w:r>
      <w:r>
        <w:t>de</w:t>
      </w:r>
      <w:r>
        <w:rPr>
          <w:spacing w:val="-3"/>
        </w:rPr>
        <w:t xml:space="preserve"> </w:t>
      </w:r>
      <w:r>
        <w:t>sus</w:t>
      </w:r>
      <w:r>
        <w:rPr>
          <w:spacing w:val="-3"/>
        </w:rPr>
        <w:t xml:space="preserve"> </w:t>
      </w:r>
      <w:r>
        <w:t>hogares</w:t>
      </w:r>
      <w:r>
        <w:rPr>
          <w:spacing w:val="-3"/>
        </w:rPr>
        <w:t xml:space="preserve"> </w:t>
      </w:r>
      <w:r>
        <w:t>por condiciones de violencia, de maltrato y de pobreza. Por ello es importante resaltar que los responsables</w:t>
      </w:r>
      <w:r>
        <w:rPr>
          <w:spacing w:val="-3"/>
        </w:rPr>
        <w:t xml:space="preserve"> </w:t>
      </w:r>
      <w:r>
        <w:t>de</w:t>
      </w:r>
      <w:r>
        <w:rPr>
          <w:spacing w:val="-2"/>
        </w:rPr>
        <w:t xml:space="preserve"> </w:t>
      </w:r>
      <w:r>
        <w:t>los</w:t>
      </w:r>
      <w:r>
        <w:rPr>
          <w:spacing w:val="-2"/>
        </w:rPr>
        <w:t xml:space="preserve"> </w:t>
      </w:r>
      <w:r>
        <w:t>derechos</w:t>
      </w:r>
      <w:r>
        <w:rPr>
          <w:spacing w:val="-2"/>
        </w:rPr>
        <w:t xml:space="preserve"> </w:t>
      </w:r>
      <w:r>
        <w:t>de</w:t>
      </w:r>
      <w:r>
        <w:rPr>
          <w:spacing w:val="-2"/>
        </w:rPr>
        <w:t xml:space="preserve"> </w:t>
      </w:r>
      <w:r>
        <w:t>los</w:t>
      </w:r>
      <w:r>
        <w:rPr>
          <w:spacing w:val="-2"/>
        </w:rPr>
        <w:t xml:space="preserve"> </w:t>
      </w:r>
      <w:r>
        <w:t>niños,</w:t>
      </w:r>
      <w:r>
        <w:rPr>
          <w:spacing w:val="-2"/>
        </w:rPr>
        <w:t xml:space="preserve"> </w:t>
      </w:r>
      <w:r>
        <w:t>niñas</w:t>
      </w:r>
      <w:r>
        <w:rPr>
          <w:spacing w:val="-2"/>
        </w:rPr>
        <w:t xml:space="preserve"> </w:t>
      </w:r>
      <w:r>
        <w:t>y</w:t>
      </w:r>
      <w:r>
        <w:rPr>
          <w:spacing w:val="-4"/>
        </w:rPr>
        <w:t xml:space="preserve"> </w:t>
      </w:r>
      <w:r>
        <w:t>adolescentes</w:t>
      </w:r>
      <w:r>
        <w:rPr>
          <w:spacing w:val="-3"/>
        </w:rPr>
        <w:t xml:space="preserve"> </w:t>
      </w:r>
      <w:r>
        <w:t>son</w:t>
      </w:r>
      <w:r>
        <w:rPr>
          <w:spacing w:val="-2"/>
        </w:rPr>
        <w:t xml:space="preserve"> </w:t>
      </w:r>
      <w:r>
        <w:t>el</w:t>
      </w:r>
      <w:r>
        <w:rPr>
          <w:spacing w:val="-2"/>
        </w:rPr>
        <w:t xml:space="preserve"> </w:t>
      </w:r>
      <w:r>
        <w:t>Estado,</w:t>
      </w:r>
      <w:r>
        <w:rPr>
          <w:spacing w:val="-2"/>
        </w:rPr>
        <w:t xml:space="preserve"> </w:t>
      </w:r>
      <w:r>
        <w:t>la</w:t>
      </w:r>
      <w:r>
        <w:rPr>
          <w:spacing w:val="-2"/>
        </w:rPr>
        <w:t xml:space="preserve"> </w:t>
      </w:r>
      <w:r>
        <w:t>familia</w:t>
      </w:r>
      <w:r>
        <w:rPr>
          <w:spacing w:val="-3"/>
        </w:rPr>
        <w:t xml:space="preserve"> </w:t>
      </w:r>
      <w:r>
        <w:t>y</w:t>
      </w:r>
      <w:r>
        <w:rPr>
          <w:spacing w:val="-2"/>
        </w:rPr>
        <w:t xml:space="preserve"> </w:t>
      </w:r>
      <w:r>
        <w:t>la sociedad,</w:t>
      </w:r>
      <w:r>
        <w:rPr>
          <w:spacing w:val="-3"/>
        </w:rPr>
        <w:t xml:space="preserve"> </w:t>
      </w:r>
      <w:r>
        <w:t>quienes</w:t>
      </w:r>
      <w:r>
        <w:rPr>
          <w:spacing w:val="-3"/>
        </w:rPr>
        <w:t xml:space="preserve"> </w:t>
      </w:r>
      <w:r>
        <w:t>tienen</w:t>
      </w:r>
      <w:r>
        <w:rPr>
          <w:spacing w:val="-5"/>
        </w:rPr>
        <w:t xml:space="preserve"> </w:t>
      </w:r>
      <w:r>
        <w:t>a</w:t>
      </w:r>
      <w:r>
        <w:rPr>
          <w:spacing w:val="-3"/>
        </w:rPr>
        <w:t xml:space="preserve"> </w:t>
      </w:r>
      <w:r>
        <w:t>su</w:t>
      </w:r>
      <w:r>
        <w:rPr>
          <w:spacing w:val="-4"/>
        </w:rPr>
        <w:t xml:space="preserve"> </w:t>
      </w:r>
      <w:r>
        <w:t>cargo</w:t>
      </w:r>
      <w:r>
        <w:rPr>
          <w:spacing w:val="-3"/>
        </w:rPr>
        <w:t xml:space="preserve"> </w:t>
      </w:r>
      <w:r>
        <w:t>prevenir</w:t>
      </w:r>
      <w:r>
        <w:rPr>
          <w:spacing w:val="-3"/>
        </w:rPr>
        <w:t xml:space="preserve"> </w:t>
      </w:r>
      <w:r>
        <w:t>y</w:t>
      </w:r>
      <w:r>
        <w:rPr>
          <w:spacing w:val="-3"/>
        </w:rPr>
        <w:t xml:space="preserve"> </w:t>
      </w:r>
      <w:r>
        <w:t>protegerlos</w:t>
      </w:r>
      <w:r>
        <w:rPr>
          <w:spacing w:val="-3"/>
        </w:rPr>
        <w:t xml:space="preserve"> </w:t>
      </w:r>
      <w:r>
        <w:t>de</w:t>
      </w:r>
      <w:r>
        <w:rPr>
          <w:spacing w:val="-4"/>
        </w:rPr>
        <w:t xml:space="preserve"> </w:t>
      </w:r>
      <w:r>
        <w:t>las</w:t>
      </w:r>
      <w:r>
        <w:rPr>
          <w:spacing w:val="-3"/>
        </w:rPr>
        <w:t xml:space="preserve"> </w:t>
      </w:r>
      <w:r>
        <w:t>violencias</w:t>
      </w:r>
      <w:r>
        <w:rPr>
          <w:spacing w:val="-3"/>
        </w:rPr>
        <w:t xml:space="preserve"> </w:t>
      </w:r>
      <w:r>
        <w:t>intrafamiliares</w:t>
      </w:r>
      <w:r>
        <w:rPr>
          <w:spacing w:val="-3"/>
        </w:rPr>
        <w:t xml:space="preserve"> </w:t>
      </w:r>
      <w:r>
        <w:t>y las</w:t>
      </w:r>
      <w:r>
        <w:rPr>
          <w:spacing w:val="-5"/>
        </w:rPr>
        <w:t xml:space="preserve"> </w:t>
      </w:r>
      <w:r>
        <w:t>violencias</w:t>
      </w:r>
      <w:r>
        <w:rPr>
          <w:spacing w:val="-5"/>
        </w:rPr>
        <w:t xml:space="preserve"> </w:t>
      </w:r>
      <w:r>
        <w:t>sexuales</w:t>
      </w:r>
      <w:r>
        <w:rPr>
          <w:spacing w:val="-5"/>
        </w:rPr>
        <w:t xml:space="preserve"> </w:t>
      </w:r>
      <w:r>
        <w:t>y</w:t>
      </w:r>
      <w:r>
        <w:rPr>
          <w:spacing w:val="-6"/>
        </w:rPr>
        <w:t xml:space="preserve"> </w:t>
      </w:r>
      <w:r>
        <w:t>de</w:t>
      </w:r>
      <w:r>
        <w:rPr>
          <w:spacing w:val="-5"/>
        </w:rPr>
        <w:t xml:space="preserve"> </w:t>
      </w:r>
      <w:r>
        <w:t>género</w:t>
      </w:r>
      <w:r>
        <w:rPr>
          <w:spacing w:val="-6"/>
        </w:rPr>
        <w:t xml:space="preserve"> </w:t>
      </w:r>
      <w:r>
        <w:t>tempranas;</w:t>
      </w:r>
      <w:r>
        <w:rPr>
          <w:spacing w:val="-6"/>
        </w:rPr>
        <w:t xml:space="preserve"> </w:t>
      </w:r>
      <w:r>
        <w:t>las</w:t>
      </w:r>
      <w:r>
        <w:rPr>
          <w:spacing w:val="-6"/>
        </w:rPr>
        <w:t xml:space="preserve"> </w:t>
      </w:r>
      <w:r>
        <w:t>condiciones</w:t>
      </w:r>
      <w:r>
        <w:rPr>
          <w:spacing w:val="-6"/>
        </w:rPr>
        <w:t xml:space="preserve"> </w:t>
      </w:r>
      <w:r>
        <w:t>de</w:t>
      </w:r>
      <w:r>
        <w:rPr>
          <w:spacing w:val="-5"/>
        </w:rPr>
        <w:t xml:space="preserve"> </w:t>
      </w:r>
      <w:r>
        <w:t>pobreza;</w:t>
      </w:r>
      <w:r>
        <w:rPr>
          <w:spacing w:val="-7"/>
        </w:rPr>
        <w:t xml:space="preserve"> </w:t>
      </w:r>
      <w:r>
        <w:t>la</w:t>
      </w:r>
      <w:r>
        <w:rPr>
          <w:spacing w:val="-5"/>
        </w:rPr>
        <w:t xml:space="preserve"> </w:t>
      </w:r>
      <w:r>
        <w:t>falta</w:t>
      </w:r>
      <w:r>
        <w:rPr>
          <w:spacing w:val="-5"/>
        </w:rPr>
        <w:t xml:space="preserve"> </w:t>
      </w:r>
      <w:r>
        <w:t>de</w:t>
      </w:r>
      <w:r>
        <w:rPr>
          <w:spacing w:val="-6"/>
        </w:rPr>
        <w:t xml:space="preserve"> </w:t>
      </w:r>
      <w:r>
        <w:t>acceso a la educación; los riesgos por la presencia de los grupos armados y de las confrontaciones armadas en sus territorios, entre otros, ya que son sujetos de especial protección.</w:t>
      </w:r>
    </w:p>
    <w:p w:rsidR="003804AC" w:rsidRDefault="00AF18A5" w:rsidP="000229FA">
      <w:r>
        <w:lastRenderedPageBreak/>
        <w:t>Por otro lado, para quienes permanecieron con sus familias en sus comunidades las perspectivas</w:t>
      </w:r>
      <w:r>
        <w:rPr>
          <w:spacing w:val="-9"/>
        </w:rPr>
        <w:t xml:space="preserve"> </w:t>
      </w:r>
      <w:r>
        <w:t>de</w:t>
      </w:r>
      <w:r>
        <w:rPr>
          <w:spacing w:val="-8"/>
        </w:rPr>
        <w:t xml:space="preserve"> </w:t>
      </w:r>
      <w:r>
        <w:t>desarrollo</w:t>
      </w:r>
      <w:r>
        <w:rPr>
          <w:spacing w:val="-8"/>
        </w:rPr>
        <w:t xml:space="preserve"> </w:t>
      </w:r>
      <w:r>
        <w:t>no</w:t>
      </w:r>
      <w:r>
        <w:rPr>
          <w:spacing w:val="-8"/>
        </w:rPr>
        <w:t xml:space="preserve"> </w:t>
      </w:r>
      <w:r>
        <w:t>fueron</w:t>
      </w:r>
      <w:r>
        <w:rPr>
          <w:spacing w:val="-11"/>
        </w:rPr>
        <w:t xml:space="preserve"> </w:t>
      </w:r>
      <w:r>
        <w:t>mejores</w:t>
      </w:r>
      <w:r>
        <w:rPr>
          <w:spacing w:val="-8"/>
        </w:rPr>
        <w:t xml:space="preserve"> </w:t>
      </w:r>
      <w:r>
        <w:t>y</w:t>
      </w:r>
      <w:r>
        <w:rPr>
          <w:spacing w:val="-9"/>
        </w:rPr>
        <w:t xml:space="preserve"> </w:t>
      </w:r>
      <w:r>
        <w:t>su</w:t>
      </w:r>
      <w:r>
        <w:rPr>
          <w:spacing w:val="-9"/>
        </w:rPr>
        <w:t xml:space="preserve"> </w:t>
      </w:r>
      <w:r>
        <w:t>socialización</w:t>
      </w:r>
      <w:r>
        <w:rPr>
          <w:spacing w:val="-8"/>
        </w:rPr>
        <w:t xml:space="preserve"> </w:t>
      </w:r>
      <w:r>
        <w:t>estuvo</w:t>
      </w:r>
      <w:r>
        <w:rPr>
          <w:spacing w:val="-9"/>
        </w:rPr>
        <w:t xml:space="preserve"> </w:t>
      </w:r>
      <w:r>
        <w:t>influida</w:t>
      </w:r>
      <w:r>
        <w:rPr>
          <w:spacing w:val="-8"/>
        </w:rPr>
        <w:t xml:space="preserve"> </w:t>
      </w:r>
      <w:r>
        <w:t>por</w:t>
      </w:r>
      <w:r>
        <w:rPr>
          <w:spacing w:val="-9"/>
        </w:rPr>
        <w:t xml:space="preserve"> </w:t>
      </w:r>
      <w:r>
        <w:t>la</w:t>
      </w:r>
      <w:r>
        <w:rPr>
          <w:spacing w:val="-8"/>
        </w:rPr>
        <w:t xml:space="preserve"> </w:t>
      </w:r>
      <w:r>
        <w:t>guerra. El cruce de las balas en sus territorios implicó para algunos debatirse entre ir a clases y mantenerse a salvo. Una madre describe cómo era para ella y para sus hijos la cotidianidad escolar</w:t>
      </w:r>
      <w:r>
        <w:rPr>
          <w:spacing w:val="-6"/>
        </w:rPr>
        <w:t xml:space="preserve"> </w:t>
      </w:r>
      <w:r>
        <w:t>en</w:t>
      </w:r>
      <w:r>
        <w:rPr>
          <w:spacing w:val="-6"/>
        </w:rPr>
        <w:t xml:space="preserve"> </w:t>
      </w:r>
      <w:r>
        <w:t>medio</w:t>
      </w:r>
      <w:r>
        <w:rPr>
          <w:spacing w:val="-6"/>
        </w:rPr>
        <w:t xml:space="preserve"> </w:t>
      </w:r>
      <w:r>
        <w:t>de</w:t>
      </w:r>
      <w:r>
        <w:rPr>
          <w:spacing w:val="-6"/>
        </w:rPr>
        <w:t xml:space="preserve"> </w:t>
      </w:r>
      <w:r>
        <w:t>los</w:t>
      </w:r>
      <w:r>
        <w:rPr>
          <w:spacing w:val="-6"/>
        </w:rPr>
        <w:t xml:space="preserve"> </w:t>
      </w:r>
      <w:r>
        <w:t>enfrentamientos:</w:t>
      </w:r>
      <w:r>
        <w:rPr>
          <w:spacing w:val="-6"/>
        </w:rPr>
        <w:t xml:space="preserve"> </w:t>
      </w:r>
      <w:r>
        <w:t>«El</w:t>
      </w:r>
      <w:r>
        <w:rPr>
          <w:spacing w:val="-6"/>
        </w:rPr>
        <w:t xml:space="preserve"> </w:t>
      </w:r>
      <w:r>
        <w:t>miedo</w:t>
      </w:r>
      <w:r>
        <w:rPr>
          <w:spacing w:val="-6"/>
        </w:rPr>
        <w:t xml:space="preserve"> </w:t>
      </w:r>
      <w:r>
        <w:t>de</w:t>
      </w:r>
      <w:r>
        <w:rPr>
          <w:spacing w:val="-6"/>
        </w:rPr>
        <w:t xml:space="preserve"> </w:t>
      </w:r>
      <w:r>
        <w:t>ellos</w:t>
      </w:r>
      <w:r>
        <w:rPr>
          <w:spacing w:val="-6"/>
        </w:rPr>
        <w:t xml:space="preserve"> </w:t>
      </w:r>
      <w:r>
        <w:t>[los</w:t>
      </w:r>
      <w:r>
        <w:rPr>
          <w:spacing w:val="-6"/>
        </w:rPr>
        <w:t xml:space="preserve"> </w:t>
      </w:r>
      <w:r>
        <w:t>docentes]</w:t>
      </w:r>
      <w:r>
        <w:rPr>
          <w:spacing w:val="-7"/>
        </w:rPr>
        <w:t xml:space="preserve"> </w:t>
      </w:r>
      <w:r>
        <w:t>era</w:t>
      </w:r>
      <w:r>
        <w:rPr>
          <w:spacing w:val="-6"/>
        </w:rPr>
        <w:t xml:space="preserve"> </w:t>
      </w:r>
      <w:r>
        <w:t>que</w:t>
      </w:r>
      <w:r>
        <w:rPr>
          <w:spacing w:val="-6"/>
        </w:rPr>
        <w:t xml:space="preserve"> </w:t>
      </w:r>
      <w:r>
        <w:t>llegara</w:t>
      </w:r>
      <w:r>
        <w:rPr>
          <w:spacing w:val="-6"/>
        </w:rPr>
        <w:t xml:space="preserve"> </w:t>
      </w:r>
      <w:r>
        <w:t>la guerrilla y se llevara un poco de niños. Entonces el afán de ellos era despacharlos y que se fueran para sus casas o a las mamases que íbamos a recogerlos nos encargaban dos o tres y decían “llévenselos, llévenselos” Y uno era corra y corra con esos peladitos... El miedo de los profesores era que se los llevaran y después fueran ellos los del problema. Entonces ya nos habían dicho: "Cuando ustedes escuchen la balacera corran por sus hijos. Eran niños chiquitos, en ese entonces un hijo mío tenía 7, el otro 6. Y ellos no hacían otra cosa que ponerse a gritar, a chillar y eso, mejor dicho»</w:t>
      </w:r>
      <w:r w:rsidR="000229FA">
        <w:rPr>
          <w:rStyle w:val="Refdenotaalpie"/>
        </w:rPr>
        <w:footnoteReference w:id="1129"/>
      </w:r>
      <w:r>
        <w:t>.</w:t>
      </w:r>
    </w:p>
    <w:p w:rsidR="003804AC" w:rsidRDefault="00AF18A5" w:rsidP="000229FA">
      <w:r>
        <w:t>Las niñas, niños y adolescentes hijos de combatientes de los grupos armados ilegales o miembros</w:t>
      </w:r>
      <w:r>
        <w:rPr>
          <w:spacing w:val="-6"/>
        </w:rPr>
        <w:t xml:space="preserve"> </w:t>
      </w:r>
      <w:r>
        <w:t>de</w:t>
      </w:r>
      <w:r>
        <w:rPr>
          <w:spacing w:val="-6"/>
        </w:rPr>
        <w:t xml:space="preserve"> </w:t>
      </w:r>
      <w:r>
        <w:t>la</w:t>
      </w:r>
      <w:r>
        <w:rPr>
          <w:spacing w:val="-6"/>
        </w:rPr>
        <w:t xml:space="preserve"> </w:t>
      </w:r>
      <w:r>
        <w:t>fuerza</w:t>
      </w:r>
      <w:r>
        <w:rPr>
          <w:spacing w:val="-6"/>
        </w:rPr>
        <w:t xml:space="preserve"> </w:t>
      </w:r>
      <w:r>
        <w:t>pública</w:t>
      </w:r>
      <w:r>
        <w:rPr>
          <w:spacing w:val="-6"/>
        </w:rPr>
        <w:t xml:space="preserve"> </w:t>
      </w:r>
      <w:r>
        <w:t>fueron</w:t>
      </w:r>
      <w:r>
        <w:rPr>
          <w:spacing w:val="-6"/>
        </w:rPr>
        <w:t xml:space="preserve"> </w:t>
      </w:r>
      <w:r>
        <w:t>señalados,</w:t>
      </w:r>
      <w:r>
        <w:rPr>
          <w:spacing w:val="-7"/>
        </w:rPr>
        <w:t xml:space="preserve"> </w:t>
      </w:r>
      <w:r>
        <w:t>e</w:t>
      </w:r>
      <w:r>
        <w:rPr>
          <w:spacing w:val="-6"/>
        </w:rPr>
        <w:t xml:space="preserve"> </w:t>
      </w:r>
      <w:r>
        <w:t>incluso</w:t>
      </w:r>
      <w:r>
        <w:rPr>
          <w:spacing w:val="-6"/>
        </w:rPr>
        <w:t xml:space="preserve"> </w:t>
      </w:r>
      <w:r>
        <w:t>castigados,</w:t>
      </w:r>
      <w:r>
        <w:rPr>
          <w:spacing w:val="-6"/>
        </w:rPr>
        <w:t xml:space="preserve"> </w:t>
      </w:r>
      <w:r>
        <w:t>por</w:t>
      </w:r>
      <w:r>
        <w:rPr>
          <w:spacing w:val="-7"/>
        </w:rPr>
        <w:t xml:space="preserve"> </w:t>
      </w:r>
      <w:r>
        <w:t>su</w:t>
      </w:r>
      <w:r>
        <w:rPr>
          <w:spacing w:val="-6"/>
        </w:rPr>
        <w:t xml:space="preserve"> </w:t>
      </w:r>
      <w:r>
        <w:t>parentesco.</w:t>
      </w:r>
      <w:r>
        <w:rPr>
          <w:spacing w:val="-6"/>
        </w:rPr>
        <w:t xml:space="preserve"> </w:t>
      </w:r>
      <w:r>
        <w:t>Así lo menciona el Tribunal Superior de Medellín en la Sala de Justicia y Paz en el caso del Bloque</w:t>
      </w:r>
      <w:r>
        <w:rPr>
          <w:spacing w:val="-14"/>
        </w:rPr>
        <w:t xml:space="preserve"> </w:t>
      </w:r>
      <w:r>
        <w:t>Mineros</w:t>
      </w:r>
      <w:r>
        <w:rPr>
          <w:spacing w:val="-11"/>
        </w:rPr>
        <w:t xml:space="preserve"> </w:t>
      </w:r>
      <w:r>
        <w:t>de</w:t>
      </w:r>
      <w:r>
        <w:rPr>
          <w:spacing w:val="-12"/>
        </w:rPr>
        <w:t xml:space="preserve"> </w:t>
      </w:r>
      <w:r>
        <w:t>las</w:t>
      </w:r>
      <w:r>
        <w:rPr>
          <w:spacing w:val="-11"/>
        </w:rPr>
        <w:t xml:space="preserve"> </w:t>
      </w:r>
      <w:r>
        <w:t>Autodefensas</w:t>
      </w:r>
      <w:r>
        <w:rPr>
          <w:spacing w:val="-12"/>
        </w:rPr>
        <w:t xml:space="preserve"> </w:t>
      </w:r>
      <w:r>
        <w:t>Unidas</w:t>
      </w:r>
      <w:r>
        <w:rPr>
          <w:spacing w:val="-12"/>
        </w:rPr>
        <w:t xml:space="preserve"> </w:t>
      </w:r>
      <w:r>
        <w:t>de</w:t>
      </w:r>
      <w:r>
        <w:rPr>
          <w:spacing w:val="-11"/>
        </w:rPr>
        <w:t xml:space="preserve"> </w:t>
      </w:r>
      <w:r>
        <w:t>Colombia,</w:t>
      </w:r>
      <w:r>
        <w:rPr>
          <w:spacing w:val="-11"/>
        </w:rPr>
        <w:t xml:space="preserve"> </w:t>
      </w:r>
      <w:r>
        <w:t>quienes</w:t>
      </w:r>
      <w:r>
        <w:rPr>
          <w:spacing w:val="-11"/>
        </w:rPr>
        <w:t xml:space="preserve"> </w:t>
      </w:r>
      <w:r>
        <w:t>encontraron</w:t>
      </w:r>
      <w:r>
        <w:rPr>
          <w:spacing w:val="-11"/>
        </w:rPr>
        <w:t xml:space="preserve"> </w:t>
      </w:r>
      <w:r>
        <w:t>que</w:t>
      </w:r>
      <w:r>
        <w:rPr>
          <w:spacing w:val="-11"/>
        </w:rPr>
        <w:t xml:space="preserve"> </w:t>
      </w:r>
      <w:r>
        <w:rPr>
          <w:spacing w:val="-2"/>
        </w:rPr>
        <w:t>producto</w:t>
      </w:r>
      <w:bookmarkStart w:id="1392" w:name="_bookmark1240"/>
      <w:bookmarkEnd w:id="1392"/>
      <w:r w:rsidR="000229FA">
        <w:t xml:space="preserve"> </w:t>
      </w:r>
      <w:r>
        <w:t xml:space="preserve">de la violencia sexual contra niñas y adolescentes desarrollada por este grupo en Tarazá, Antioquia, se derivaron múltiples embarazos y maternidades forzadas, cuyas hijas e hijos fueron señalados como «los </w:t>
      </w:r>
      <w:proofErr w:type="spellStart"/>
      <w:r>
        <w:t>paraquitos</w:t>
      </w:r>
      <w:proofErr w:type="spellEnd"/>
      <w:r>
        <w:t>»</w:t>
      </w:r>
      <w:r w:rsidR="000229FA">
        <w:rPr>
          <w:rStyle w:val="Refdenotaalpie"/>
        </w:rPr>
        <w:footnoteReference w:id="1130"/>
      </w:r>
      <w:r>
        <w:t>.</w:t>
      </w:r>
    </w:p>
    <w:p w:rsidR="003804AC" w:rsidRDefault="00AF18A5" w:rsidP="000229FA">
      <w:r>
        <w:t xml:space="preserve">Mientras en las familias que tuvieron que salir al exilio, los impactos en </w:t>
      </w:r>
      <w:r>
        <w:lastRenderedPageBreak/>
        <w:t>la segunda generación también han permanecido invisibilizados. La desprotección del exilio se manifiesta</w:t>
      </w:r>
      <w:r>
        <w:rPr>
          <w:spacing w:val="-4"/>
        </w:rPr>
        <w:t xml:space="preserve"> </w:t>
      </w:r>
      <w:r>
        <w:t>en</w:t>
      </w:r>
      <w:r>
        <w:rPr>
          <w:spacing w:val="-3"/>
        </w:rPr>
        <w:t xml:space="preserve"> </w:t>
      </w:r>
      <w:r>
        <w:t>niños</w:t>
      </w:r>
      <w:r>
        <w:rPr>
          <w:spacing w:val="-3"/>
        </w:rPr>
        <w:t xml:space="preserve"> </w:t>
      </w:r>
      <w:r>
        <w:t>que</w:t>
      </w:r>
      <w:r>
        <w:rPr>
          <w:spacing w:val="-4"/>
        </w:rPr>
        <w:t xml:space="preserve"> </w:t>
      </w:r>
      <w:r>
        <w:t>salieron</w:t>
      </w:r>
      <w:r>
        <w:rPr>
          <w:spacing w:val="-3"/>
        </w:rPr>
        <w:t xml:space="preserve"> </w:t>
      </w:r>
      <w:r>
        <w:t>de</w:t>
      </w:r>
      <w:r>
        <w:rPr>
          <w:spacing w:val="-3"/>
        </w:rPr>
        <w:t xml:space="preserve"> </w:t>
      </w:r>
      <w:r>
        <w:t>comunidades</w:t>
      </w:r>
      <w:r>
        <w:rPr>
          <w:spacing w:val="-5"/>
        </w:rPr>
        <w:t xml:space="preserve"> </w:t>
      </w:r>
      <w:r>
        <w:t>campesinas,</w:t>
      </w:r>
      <w:r>
        <w:rPr>
          <w:spacing w:val="-6"/>
        </w:rPr>
        <w:t xml:space="preserve"> </w:t>
      </w:r>
      <w:r>
        <w:t>hijos</w:t>
      </w:r>
      <w:r>
        <w:rPr>
          <w:spacing w:val="-3"/>
        </w:rPr>
        <w:t xml:space="preserve"> </w:t>
      </w:r>
      <w:r>
        <w:t>de</w:t>
      </w:r>
      <w:r>
        <w:rPr>
          <w:spacing w:val="-4"/>
        </w:rPr>
        <w:t xml:space="preserve"> </w:t>
      </w:r>
      <w:r>
        <w:t>funcionarios</w:t>
      </w:r>
      <w:r>
        <w:rPr>
          <w:spacing w:val="-3"/>
        </w:rPr>
        <w:t xml:space="preserve"> </w:t>
      </w:r>
      <w:r>
        <w:t>o</w:t>
      </w:r>
      <w:r>
        <w:rPr>
          <w:spacing w:val="-5"/>
        </w:rPr>
        <w:t xml:space="preserve"> </w:t>
      </w:r>
      <w:r>
        <w:t>juezas que huyeron para proteger sus vidas y que vivieron sus primeros años sufriendo el miedo; hijos</w:t>
      </w:r>
      <w:r>
        <w:rPr>
          <w:spacing w:val="-6"/>
        </w:rPr>
        <w:t xml:space="preserve"> </w:t>
      </w:r>
      <w:r>
        <w:t>e</w:t>
      </w:r>
      <w:r>
        <w:rPr>
          <w:spacing w:val="-6"/>
        </w:rPr>
        <w:t xml:space="preserve"> </w:t>
      </w:r>
      <w:r>
        <w:t>hijas</w:t>
      </w:r>
      <w:r>
        <w:rPr>
          <w:spacing w:val="-7"/>
        </w:rPr>
        <w:t xml:space="preserve"> </w:t>
      </w:r>
      <w:r>
        <w:t>de</w:t>
      </w:r>
      <w:r>
        <w:rPr>
          <w:spacing w:val="-6"/>
        </w:rPr>
        <w:t xml:space="preserve"> </w:t>
      </w:r>
      <w:r>
        <w:t>familiares</w:t>
      </w:r>
      <w:r>
        <w:rPr>
          <w:spacing w:val="-6"/>
        </w:rPr>
        <w:t xml:space="preserve"> </w:t>
      </w:r>
      <w:r>
        <w:t>de</w:t>
      </w:r>
      <w:r>
        <w:rPr>
          <w:spacing w:val="-6"/>
        </w:rPr>
        <w:t xml:space="preserve"> </w:t>
      </w:r>
      <w:r>
        <w:t>desaparecidos</w:t>
      </w:r>
      <w:r>
        <w:rPr>
          <w:spacing w:val="-6"/>
        </w:rPr>
        <w:t xml:space="preserve"> </w:t>
      </w:r>
      <w:r>
        <w:t>que</w:t>
      </w:r>
      <w:r>
        <w:rPr>
          <w:spacing w:val="-6"/>
        </w:rPr>
        <w:t xml:space="preserve"> </w:t>
      </w:r>
      <w:r>
        <w:t>han</w:t>
      </w:r>
      <w:r>
        <w:rPr>
          <w:spacing w:val="-6"/>
        </w:rPr>
        <w:t xml:space="preserve"> </w:t>
      </w:r>
      <w:r>
        <w:t>vivido</w:t>
      </w:r>
      <w:r>
        <w:rPr>
          <w:spacing w:val="-6"/>
        </w:rPr>
        <w:t xml:space="preserve"> </w:t>
      </w:r>
      <w:r>
        <w:t>durante</w:t>
      </w:r>
      <w:r>
        <w:rPr>
          <w:spacing w:val="-6"/>
        </w:rPr>
        <w:t xml:space="preserve"> </w:t>
      </w:r>
      <w:r>
        <w:t>años</w:t>
      </w:r>
      <w:r>
        <w:rPr>
          <w:spacing w:val="-6"/>
        </w:rPr>
        <w:t xml:space="preserve"> </w:t>
      </w:r>
      <w:r>
        <w:t>con</w:t>
      </w:r>
      <w:r>
        <w:rPr>
          <w:spacing w:val="-6"/>
        </w:rPr>
        <w:t xml:space="preserve"> </w:t>
      </w:r>
      <w:r>
        <w:t>el</w:t>
      </w:r>
      <w:r>
        <w:rPr>
          <w:spacing w:val="-6"/>
        </w:rPr>
        <w:t xml:space="preserve"> </w:t>
      </w:r>
      <w:r>
        <w:t>silencio</w:t>
      </w:r>
      <w:r>
        <w:rPr>
          <w:spacing w:val="-6"/>
        </w:rPr>
        <w:t xml:space="preserve"> </w:t>
      </w:r>
      <w:r>
        <w:t>de</w:t>
      </w:r>
      <w:r>
        <w:rPr>
          <w:spacing w:val="-6"/>
        </w:rPr>
        <w:t xml:space="preserve"> </w:t>
      </w:r>
      <w:r>
        <w:t>lo que</w:t>
      </w:r>
      <w:r>
        <w:rPr>
          <w:spacing w:val="-11"/>
        </w:rPr>
        <w:t xml:space="preserve"> </w:t>
      </w:r>
      <w:r>
        <w:t>no</w:t>
      </w:r>
      <w:r>
        <w:rPr>
          <w:spacing w:val="-11"/>
        </w:rPr>
        <w:t xml:space="preserve"> </w:t>
      </w:r>
      <w:r>
        <w:t>se</w:t>
      </w:r>
      <w:r>
        <w:rPr>
          <w:spacing w:val="-11"/>
        </w:rPr>
        <w:t xml:space="preserve"> </w:t>
      </w:r>
      <w:r>
        <w:t>podía</w:t>
      </w:r>
      <w:r>
        <w:rPr>
          <w:spacing w:val="-11"/>
        </w:rPr>
        <w:t xml:space="preserve"> </w:t>
      </w:r>
      <w:r>
        <w:t>hablar.</w:t>
      </w:r>
      <w:r>
        <w:rPr>
          <w:spacing w:val="-11"/>
        </w:rPr>
        <w:t xml:space="preserve"> </w:t>
      </w:r>
      <w:r>
        <w:t>Colombia</w:t>
      </w:r>
      <w:r>
        <w:rPr>
          <w:spacing w:val="-11"/>
        </w:rPr>
        <w:t xml:space="preserve"> </w:t>
      </w:r>
      <w:r>
        <w:t>necesita</w:t>
      </w:r>
      <w:r>
        <w:rPr>
          <w:spacing w:val="-11"/>
        </w:rPr>
        <w:t xml:space="preserve"> </w:t>
      </w:r>
      <w:r>
        <w:t>reconocer</w:t>
      </w:r>
      <w:r>
        <w:rPr>
          <w:spacing w:val="-10"/>
        </w:rPr>
        <w:t xml:space="preserve"> </w:t>
      </w:r>
      <w:r>
        <w:t>esta</w:t>
      </w:r>
      <w:r>
        <w:rPr>
          <w:spacing w:val="-11"/>
        </w:rPr>
        <w:t xml:space="preserve"> </w:t>
      </w:r>
      <w:r>
        <w:t>niñez</w:t>
      </w:r>
      <w:r>
        <w:rPr>
          <w:spacing w:val="-11"/>
        </w:rPr>
        <w:t xml:space="preserve"> </w:t>
      </w:r>
      <w:r>
        <w:t>y</w:t>
      </w:r>
      <w:r>
        <w:rPr>
          <w:spacing w:val="-11"/>
        </w:rPr>
        <w:t xml:space="preserve"> </w:t>
      </w:r>
      <w:r>
        <w:t>juventud</w:t>
      </w:r>
      <w:r>
        <w:rPr>
          <w:spacing w:val="-12"/>
        </w:rPr>
        <w:t xml:space="preserve"> </w:t>
      </w:r>
      <w:r>
        <w:t>estas</w:t>
      </w:r>
      <w:r>
        <w:rPr>
          <w:spacing w:val="-11"/>
        </w:rPr>
        <w:t xml:space="preserve"> </w:t>
      </w:r>
      <w:r>
        <w:t>experiencias de cientos de familias que fueron arrancadas de sus vidas para comenzar de nuevo, lejos de sus vínculos y su cultura.</w:t>
      </w:r>
    </w:p>
    <w:p w:rsidR="003804AC" w:rsidRDefault="00AF18A5" w:rsidP="004A6EF4">
      <w:pPr>
        <w:pStyle w:val="Ttulo3"/>
        <w:numPr>
          <w:ilvl w:val="1"/>
          <w:numId w:val="16"/>
        </w:numPr>
      </w:pPr>
      <w:bookmarkStart w:id="1393" w:name="10.7._La_inscripción_de_la_doctrina_del_"/>
      <w:bookmarkStart w:id="1394" w:name="_Toc112399658"/>
      <w:bookmarkEnd w:id="1393"/>
      <w:r>
        <w:t xml:space="preserve">La </w:t>
      </w:r>
      <w:r w:rsidRPr="000229FA">
        <w:t>inscripción</w:t>
      </w:r>
      <w:r>
        <w:t xml:space="preserve"> de la doctrina del enemigo interno, la estigmatización y el exterminio del adversario</w:t>
      </w:r>
      <w:bookmarkEnd w:id="1394"/>
    </w:p>
    <w:p w:rsidR="003804AC" w:rsidRDefault="00AF18A5" w:rsidP="000229FA">
      <w:r>
        <w:t>Un</w:t>
      </w:r>
      <w:r>
        <w:rPr>
          <w:spacing w:val="-5"/>
        </w:rPr>
        <w:t xml:space="preserve"> </w:t>
      </w:r>
      <w:r>
        <w:t>hallazgo</w:t>
      </w:r>
      <w:r>
        <w:rPr>
          <w:spacing w:val="-6"/>
        </w:rPr>
        <w:t xml:space="preserve"> </w:t>
      </w:r>
      <w:r>
        <w:t>central</w:t>
      </w:r>
      <w:r>
        <w:rPr>
          <w:spacing w:val="-4"/>
        </w:rPr>
        <w:t xml:space="preserve"> </w:t>
      </w:r>
      <w:r>
        <w:t>de</w:t>
      </w:r>
      <w:r>
        <w:rPr>
          <w:spacing w:val="-6"/>
        </w:rPr>
        <w:t xml:space="preserve"> </w:t>
      </w:r>
      <w:r>
        <w:t>la</w:t>
      </w:r>
      <w:r>
        <w:rPr>
          <w:spacing w:val="-6"/>
        </w:rPr>
        <w:t xml:space="preserve"> </w:t>
      </w:r>
      <w:r>
        <w:t>Comisión</w:t>
      </w:r>
      <w:r>
        <w:rPr>
          <w:spacing w:val="-5"/>
        </w:rPr>
        <w:t xml:space="preserve"> </w:t>
      </w:r>
      <w:r>
        <w:t>de</w:t>
      </w:r>
      <w:r>
        <w:rPr>
          <w:spacing w:val="-6"/>
        </w:rPr>
        <w:t xml:space="preserve"> </w:t>
      </w:r>
      <w:r>
        <w:t>la</w:t>
      </w:r>
      <w:r>
        <w:rPr>
          <w:spacing w:val="-5"/>
        </w:rPr>
        <w:t xml:space="preserve"> </w:t>
      </w:r>
      <w:r>
        <w:t>Verdad</w:t>
      </w:r>
      <w:r>
        <w:rPr>
          <w:spacing w:val="-5"/>
        </w:rPr>
        <w:t xml:space="preserve"> </w:t>
      </w:r>
      <w:r>
        <w:t>que</w:t>
      </w:r>
      <w:r>
        <w:rPr>
          <w:spacing w:val="-5"/>
        </w:rPr>
        <w:t xml:space="preserve"> </w:t>
      </w:r>
      <w:r>
        <w:t>tiene</w:t>
      </w:r>
      <w:r>
        <w:rPr>
          <w:spacing w:val="-5"/>
        </w:rPr>
        <w:t xml:space="preserve"> </w:t>
      </w:r>
      <w:r>
        <w:t>un</w:t>
      </w:r>
      <w:r>
        <w:rPr>
          <w:spacing w:val="-5"/>
        </w:rPr>
        <w:t xml:space="preserve"> </w:t>
      </w:r>
      <w:r>
        <w:t>gran</w:t>
      </w:r>
      <w:r>
        <w:rPr>
          <w:spacing w:val="-5"/>
        </w:rPr>
        <w:t xml:space="preserve"> </w:t>
      </w:r>
      <w:r>
        <w:t>potencial</w:t>
      </w:r>
      <w:r>
        <w:rPr>
          <w:spacing w:val="-4"/>
        </w:rPr>
        <w:t xml:space="preserve"> </w:t>
      </w:r>
      <w:r>
        <w:t>para</w:t>
      </w:r>
      <w:r>
        <w:rPr>
          <w:spacing w:val="-6"/>
        </w:rPr>
        <w:t xml:space="preserve"> </w:t>
      </w:r>
      <w:r>
        <w:t>explicar</w:t>
      </w:r>
      <w:r>
        <w:rPr>
          <w:spacing w:val="-4"/>
        </w:rPr>
        <w:t xml:space="preserve"> </w:t>
      </w:r>
      <w:r>
        <w:t>la persistencia del conflicto es la estigmatización como mecanismo de construcción del enemigo,</w:t>
      </w:r>
      <w:r>
        <w:rPr>
          <w:spacing w:val="-10"/>
        </w:rPr>
        <w:t xml:space="preserve"> </w:t>
      </w:r>
      <w:r>
        <w:t>como</w:t>
      </w:r>
      <w:r>
        <w:rPr>
          <w:spacing w:val="-8"/>
        </w:rPr>
        <w:t xml:space="preserve"> </w:t>
      </w:r>
      <w:r>
        <w:t>base</w:t>
      </w:r>
      <w:r>
        <w:rPr>
          <w:spacing w:val="-9"/>
        </w:rPr>
        <w:t xml:space="preserve"> </w:t>
      </w:r>
      <w:r>
        <w:t>de</w:t>
      </w:r>
      <w:r>
        <w:rPr>
          <w:spacing w:val="-8"/>
        </w:rPr>
        <w:t xml:space="preserve"> </w:t>
      </w:r>
      <w:r>
        <w:t>la</w:t>
      </w:r>
      <w:r>
        <w:rPr>
          <w:spacing w:val="-8"/>
        </w:rPr>
        <w:t xml:space="preserve"> </w:t>
      </w:r>
      <w:r>
        <w:t>persecución</w:t>
      </w:r>
      <w:r>
        <w:rPr>
          <w:spacing w:val="-8"/>
        </w:rPr>
        <w:t xml:space="preserve"> </w:t>
      </w:r>
      <w:r>
        <w:t>y</w:t>
      </w:r>
      <w:r>
        <w:rPr>
          <w:spacing w:val="-8"/>
        </w:rPr>
        <w:t xml:space="preserve"> </w:t>
      </w:r>
      <w:r>
        <w:t>exterminio</w:t>
      </w:r>
      <w:r>
        <w:rPr>
          <w:spacing w:val="-8"/>
        </w:rPr>
        <w:t xml:space="preserve"> </w:t>
      </w:r>
      <w:r>
        <w:t>físico,</w:t>
      </w:r>
      <w:r>
        <w:rPr>
          <w:spacing w:val="-9"/>
        </w:rPr>
        <w:t xml:space="preserve"> </w:t>
      </w:r>
      <w:r>
        <w:t>social</w:t>
      </w:r>
      <w:r>
        <w:rPr>
          <w:spacing w:val="-8"/>
        </w:rPr>
        <w:t xml:space="preserve"> </w:t>
      </w:r>
      <w:r>
        <w:t>y</w:t>
      </w:r>
      <w:r>
        <w:rPr>
          <w:spacing w:val="-9"/>
        </w:rPr>
        <w:t xml:space="preserve"> </w:t>
      </w:r>
      <w:r>
        <w:t>político.</w:t>
      </w:r>
      <w:r>
        <w:rPr>
          <w:spacing w:val="-8"/>
        </w:rPr>
        <w:t xml:space="preserve"> </w:t>
      </w:r>
      <w:r>
        <w:t>Este</w:t>
      </w:r>
      <w:r>
        <w:rPr>
          <w:spacing w:val="-9"/>
        </w:rPr>
        <w:t xml:space="preserve"> </w:t>
      </w:r>
      <w:r>
        <w:t>mecanismo se</w:t>
      </w:r>
      <w:r>
        <w:rPr>
          <w:spacing w:val="-8"/>
        </w:rPr>
        <w:t xml:space="preserve"> </w:t>
      </w:r>
      <w:r>
        <w:t>ha</w:t>
      </w:r>
      <w:r>
        <w:rPr>
          <w:spacing w:val="-8"/>
        </w:rPr>
        <w:t xml:space="preserve"> </w:t>
      </w:r>
      <w:r>
        <w:t>instalado</w:t>
      </w:r>
      <w:r>
        <w:rPr>
          <w:spacing w:val="-8"/>
        </w:rPr>
        <w:t xml:space="preserve"> </w:t>
      </w:r>
      <w:r>
        <w:t>en</w:t>
      </w:r>
      <w:r>
        <w:rPr>
          <w:spacing w:val="-8"/>
        </w:rPr>
        <w:t xml:space="preserve"> </w:t>
      </w:r>
      <w:r>
        <w:t>la</w:t>
      </w:r>
      <w:r>
        <w:rPr>
          <w:spacing w:val="-8"/>
        </w:rPr>
        <w:t xml:space="preserve"> </w:t>
      </w:r>
      <w:r>
        <w:t>cultura</w:t>
      </w:r>
      <w:r>
        <w:rPr>
          <w:spacing w:val="-8"/>
        </w:rPr>
        <w:t xml:space="preserve"> </w:t>
      </w:r>
      <w:r>
        <w:t>como</w:t>
      </w:r>
      <w:r>
        <w:rPr>
          <w:spacing w:val="-8"/>
        </w:rPr>
        <w:t xml:space="preserve"> </w:t>
      </w:r>
      <w:r>
        <w:t>extensión</w:t>
      </w:r>
      <w:r>
        <w:rPr>
          <w:spacing w:val="-8"/>
        </w:rPr>
        <w:t xml:space="preserve"> </w:t>
      </w:r>
      <w:r>
        <w:t>de</w:t>
      </w:r>
      <w:r>
        <w:rPr>
          <w:spacing w:val="-9"/>
        </w:rPr>
        <w:t xml:space="preserve"> </w:t>
      </w:r>
      <w:r>
        <w:t>los</w:t>
      </w:r>
      <w:r>
        <w:rPr>
          <w:spacing w:val="-8"/>
        </w:rPr>
        <w:t xml:space="preserve"> </w:t>
      </w:r>
      <w:r>
        <w:t>múltiples</w:t>
      </w:r>
      <w:r>
        <w:rPr>
          <w:spacing w:val="-8"/>
        </w:rPr>
        <w:t xml:space="preserve"> </w:t>
      </w:r>
      <w:r>
        <w:t>prejuicios</w:t>
      </w:r>
      <w:r>
        <w:rPr>
          <w:spacing w:val="-8"/>
        </w:rPr>
        <w:t xml:space="preserve"> </w:t>
      </w:r>
      <w:r>
        <w:t>que</w:t>
      </w:r>
      <w:r>
        <w:rPr>
          <w:spacing w:val="-9"/>
        </w:rPr>
        <w:t xml:space="preserve"> </w:t>
      </w:r>
      <w:r>
        <w:t>existen</w:t>
      </w:r>
      <w:r>
        <w:rPr>
          <w:spacing w:val="-8"/>
        </w:rPr>
        <w:t xml:space="preserve"> </w:t>
      </w:r>
      <w:r>
        <w:t>en</w:t>
      </w:r>
      <w:r>
        <w:rPr>
          <w:spacing w:val="-10"/>
        </w:rPr>
        <w:t xml:space="preserve"> </w:t>
      </w:r>
      <w:r>
        <w:t>el</w:t>
      </w:r>
      <w:r>
        <w:rPr>
          <w:spacing w:val="-8"/>
        </w:rPr>
        <w:t xml:space="preserve"> </w:t>
      </w:r>
      <w:r>
        <w:t>país y que se anclan en la historia de la construcción de la nación:</w:t>
      </w:r>
    </w:p>
    <w:p w:rsidR="0011361F" w:rsidRDefault="00AF18A5" w:rsidP="000229FA">
      <w:r>
        <w:t>Al</w:t>
      </w:r>
      <w:r>
        <w:rPr>
          <w:spacing w:val="-6"/>
        </w:rPr>
        <w:t xml:space="preserve"> </w:t>
      </w:r>
      <w:r>
        <w:t>enemigo</w:t>
      </w:r>
      <w:r>
        <w:rPr>
          <w:spacing w:val="-5"/>
        </w:rPr>
        <w:t xml:space="preserve"> </w:t>
      </w:r>
      <w:r>
        <w:t>se</w:t>
      </w:r>
      <w:r>
        <w:rPr>
          <w:spacing w:val="-6"/>
        </w:rPr>
        <w:t xml:space="preserve"> </w:t>
      </w:r>
      <w:r>
        <w:t>le</w:t>
      </w:r>
      <w:r>
        <w:rPr>
          <w:spacing w:val="-6"/>
        </w:rPr>
        <w:t xml:space="preserve"> </w:t>
      </w:r>
      <w:r>
        <w:t>ha</w:t>
      </w:r>
      <w:r>
        <w:rPr>
          <w:spacing w:val="-6"/>
        </w:rPr>
        <w:t xml:space="preserve"> </w:t>
      </w:r>
      <w:r>
        <w:t>nombrado,</w:t>
      </w:r>
      <w:r>
        <w:rPr>
          <w:spacing w:val="-6"/>
        </w:rPr>
        <w:t xml:space="preserve"> </w:t>
      </w:r>
      <w:r>
        <w:t>en</w:t>
      </w:r>
      <w:r>
        <w:rPr>
          <w:spacing w:val="-5"/>
        </w:rPr>
        <w:t xml:space="preserve"> </w:t>
      </w:r>
      <w:r>
        <w:t>el</w:t>
      </w:r>
      <w:r>
        <w:rPr>
          <w:spacing w:val="-6"/>
        </w:rPr>
        <w:t xml:space="preserve"> </w:t>
      </w:r>
      <w:r>
        <w:t>contexto</w:t>
      </w:r>
      <w:r>
        <w:rPr>
          <w:spacing w:val="-5"/>
        </w:rPr>
        <w:t xml:space="preserve"> </w:t>
      </w:r>
      <w:r>
        <w:t>del</w:t>
      </w:r>
      <w:r>
        <w:rPr>
          <w:spacing w:val="-6"/>
        </w:rPr>
        <w:t xml:space="preserve"> </w:t>
      </w:r>
      <w:r>
        <w:t>cualquier</w:t>
      </w:r>
      <w:r>
        <w:rPr>
          <w:spacing w:val="-6"/>
        </w:rPr>
        <w:t xml:space="preserve"> </w:t>
      </w:r>
      <w:r>
        <w:t>conflicto</w:t>
      </w:r>
      <w:r>
        <w:rPr>
          <w:spacing w:val="-5"/>
        </w:rPr>
        <w:t xml:space="preserve"> </w:t>
      </w:r>
      <w:r>
        <w:t>armado,</w:t>
      </w:r>
      <w:r>
        <w:rPr>
          <w:spacing w:val="-6"/>
        </w:rPr>
        <w:t xml:space="preserve"> </w:t>
      </w:r>
      <w:r>
        <w:t>no</w:t>
      </w:r>
      <w:r>
        <w:rPr>
          <w:spacing w:val="-6"/>
        </w:rPr>
        <w:t xml:space="preserve"> </w:t>
      </w:r>
      <w:r>
        <w:t>solo</w:t>
      </w:r>
      <w:r>
        <w:rPr>
          <w:spacing w:val="-5"/>
        </w:rPr>
        <w:t xml:space="preserve"> </w:t>
      </w:r>
      <w:r>
        <w:t>como</w:t>
      </w:r>
      <w:r>
        <w:rPr>
          <w:spacing w:val="-5"/>
        </w:rPr>
        <w:t xml:space="preserve"> </w:t>
      </w:r>
      <w:r>
        <w:t>rival, contrincante u obstáculo, sino también como bandido, terrorista, monstruo, maleza, bestia, demente,</w:t>
      </w:r>
      <w:r>
        <w:rPr>
          <w:spacing w:val="-16"/>
        </w:rPr>
        <w:t xml:space="preserve"> </w:t>
      </w:r>
      <w:r>
        <w:t>canalla,</w:t>
      </w:r>
      <w:r>
        <w:rPr>
          <w:spacing w:val="-14"/>
        </w:rPr>
        <w:t xml:space="preserve"> </w:t>
      </w:r>
      <w:r>
        <w:t>etcétera.</w:t>
      </w:r>
      <w:r>
        <w:rPr>
          <w:spacing w:val="-14"/>
        </w:rPr>
        <w:t xml:space="preserve"> </w:t>
      </w:r>
      <w:r>
        <w:t>El</w:t>
      </w:r>
      <w:r>
        <w:rPr>
          <w:spacing w:val="-13"/>
        </w:rPr>
        <w:t xml:space="preserve"> </w:t>
      </w:r>
      <w:r>
        <w:t>enemigo</w:t>
      </w:r>
      <w:r>
        <w:rPr>
          <w:spacing w:val="-14"/>
        </w:rPr>
        <w:t xml:space="preserve"> </w:t>
      </w:r>
      <w:r>
        <w:t>es</w:t>
      </w:r>
      <w:r>
        <w:rPr>
          <w:spacing w:val="-14"/>
        </w:rPr>
        <w:t xml:space="preserve"> </w:t>
      </w:r>
      <w:r>
        <w:t>ladrón,</w:t>
      </w:r>
      <w:r>
        <w:rPr>
          <w:spacing w:val="-14"/>
        </w:rPr>
        <w:t xml:space="preserve"> </w:t>
      </w:r>
      <w:r>
        <w:t>destructor</w:t>
      </w:r>
      <w:r>
        <w:rPr>
          <w:spacing w:val="-13"/>
        </w:rPr>
        <w:t xml:space="preserve"> </w:t>
      </w:r>
      <w:r>
        <w:t>despiadado,</w:t>
      </w:r>
      <w:r>
        <w:rPr>
          <w:spacing w:val="-14"/>
        </w:rPr>
        <w:t xml:space="preserve"> </w:t>
      </w:r>
      <w:r>
        <w:t>enfermo,</w:t>
      </w:r>
      <w:r>
        <w:rPr>
          <w:spacing w:val="-14"/>
        </w:rPr>
        <w:t xml:space="preserve"> </w:t>
      </w:r>
      <w:r>
        <w:t>animal</w:t>
      </w:r>
      <w:r>
        <w:rPr>
          <w:spacing w:val="-14"/>
        </w:rPr>
        <w:t xml:space="preserve"> </w:t>
      </w:r>
      <w:r>
        <w:t>o</w:t>
      </w:r>
      <w:r>
        <w:rPr>
          <w:spacing w:val="-13"/>
        </w:rPr>
        <w:t xml:space="preserve"> </w:t>
      </w:r>
      <w:r>
        <w:t>alguien inferior moralmente.</w:t>
      </w:r>
      <w:r>
        <w:rPr>
          <w:spacing w:val="-2"/>
        </w:rPr>
        <w:t xml:space="preserve"> </w:t>
      </w:r>
      <w:r>
        <w:t xml:space="preserve">Esta forma descarnada de odiar se constituyó en un patrón discursivo que creó en Colombia un contexto simbólico de legitimación de un trato despiadado con quien se tuvieran diferencias en el modo de ser, de pensar y de actuar. Se normalizó en la sociedad colombiana un trato de inferioridad moral, que entre los </w:t>
      </w:r>
      <w:r>
        <w:lastRenderedPageBreak/>
        <w:t>contendientes tiene por función retirarse mutuamente</w:t>
      </w:r>
      <w:r>
        <w:rPr>
          <w:spacing w:val="-5"/>
        </w:rPr>
        <w:t xml:space="preserve"> </w:t>
      </w:r>
      <w:r>
        <w:t>legitimidad</w:t>
      </w:r>
      <w:r>
        <w:rPr>
          <w:spacing w:val="-4"/>
        </w:rPr>
        <w:t xml:space="preserve"> </w:t>
      </w:r>
      <w:r>
        <w:t>ante</w:t>
      </w:r>
      <w:r>
        <w:rPr>
          <w:spacing w:val="-5"/>
        </w:rPr>
        <w:t xml:space="preserve"> </w:t>
      </w:r>
      <w:r>
        <w:t>la</w:t>
      </w:r>
      <w:r>
        <w:rPr>
          <w:spacing w:val="-5"/>
        </w:rPr>
        <w:t xml:space="preserve"> </w:t>
      </w:r>
      <w:r>
        <w:t>opinión</w:t>
      </w:r>
      <w:r>
        <w:rPr>
          <w:spacing w:val="-5"/>
        </w:rPr>
        <w:t xml:space="preserve"> </w:t>
      </w:r>
      <w:r>
        <w:t>pública.</w:t>
      </w:r>
      <w:r>
        <w:rPr>
          <w:spacing w:val="-4"/>
        </w:rPr>
        <w:t xml:space="preserve"> </w:t>
      </w:r>
      <w:r>
        <w:t>Por</w:t>
      </w:r>
      <w:r>
        <w:rPr>
          <w:spacing w:val="-4"/>
        </w:rPr>
        <w:t xml:space="preserve"> </w:t>
      </w:r>
      <w:r>
        <w:t>esta</w:t>
      </w:r>
      <w:r>
        <w:rPr>
          <w:spacing w:val="-5"/>
        </w:rPr>
        <w:t xml:space="preserve"> </w:t>
      </w:r>
      <w:r>
        <w:t>razón,</w:t>
      </w:r>
      <w:r>
        <w:rPr>
          <w:spacing w:val="-4"/>
        </w:rPr>
        <w:t xml:space="preserve"> </w:t>
      </w:r>
      <w:r>
        <w:t>el</w:t>
      </w:r>
      <w:r>
        <w:rPr>
          <w:spacing w:val="-4"/>
        </w:rPr>
        <w:t xml:space="preserve"> </w:t>
      </w:r>
      <w:r>
        <w:t>conflicto</w:t>
      </w:r>
      <w:r>
        <w:rPr>
          <w:spacing w:val="-4"/>
        </w:rPr>
        <w:t xml:space="preserve"> </w:t>
      </w:r>
      <w:r>
        <w:t>armado</w:t>
      </w:r>
      <w:r>
        <w:rPr>
          <w:spacing w:val="-4"/>
        </w:rPr>
        <w:t xml:space="preserve"> </w:t>
      </w:r>
      <w:r>
        <w:t>en</w:t>
      </w:r>
      <w:r>
        <w:rPr>
          <w:spacing w:val="-4"/>
        </w:rPr>
        <w:t xml:space="preserve"> </w:t>
      </w:r>
      <w:r>
        <w:t>Colombia no solo nació, sino que se desarrolló en un contexto social y discursivo que favoreció su instalación, permanencia y prolongación</w:t>
      </w:r>
      <w:r w:rsidR="000229FA">
        <w:rPr>
          <w:rStyle w:val="Refdenotaalpie"/>
        </w:rPr>
        <w:footnoteReference w:id="1131"/>
      </w:r>
      <w:r>
        <w:t>.</w:t>
      </w:r>
    </w:p>
    <w:p w:rsidR="003804AC" w:rsidRDefault="00AF18A5" w:rsidP="000229FA">
      <w:bookmarkStart w:id="1395" w:name="_bookmark1242"/>
      <w:bookmarkStart w:id="1396" w:name="_bookmark1243"/>
      <w:bookmarkEnd w:id="1395"/>
      <w:bookmarkEnd w:id="1396"/>
      <w:r>
        <w:t>La</w:t>
      </w:r>
      <w:r>
        <w:rPr>
          <w:spacing w:val="40"/>
        </w:rPr>
        <w:t xml:space="preserve"> </w:t>
      </w:r>
      <w:r>
        <w:t>estigmatización</w:t>
      </w:r>
      <w:r>
        <w:rPr>
          <w:spacing w:val="42"/>
        </w:rPr>
        <w:t xml:space="preserve"> </w:t>
      </w:r>
      <w:r>
        <w:t>se</w:t>
      </w:r>
      <w:r>
        <w:rPr>
          <w:spacing w:val="42"/>
        </w:rPr>
        <w:t xml:space="preserve"> </w:t>
      </w:r>
      <w:r>
        <w:t>ha</w:t>
      </w:r>
      <w:r>
        <w:rPr>
          <w:spacing w:val="42"/>
        </w:rPr>
        <w:t xml:space="preserve"> </w:t>
      </w:r>
      <w:r>
        <w:t>construido</w:t>
      </w:r>
      <w:r>
        <w:rPr>
          <w:spacing w:val="41"/>
        </w:rPr>
        <w:t xml:space="preserve"> </w:t>
      </w:r>
      <w:r>
        <w:t>fundamentalmente</w:t>
      </w:r>
      <w:r>
        <w:rPr>
          <w:spacing w:val="42"/>
        </w:rPr>
        <w:t xml:space="preserve"> </w:t>
      </w:r>
      <w:r>
        <w:t>sobre</w:t>
      </w:r>
      <w:r>
        <w:rPr>
          <w:spacing w:val="42"/>
        </w:rPr>
        <w:t xml:space="preserve"> </w:t>
      </w:r>
      <w:r>
        <w:t>la</w:t>
      </w:r>
      <w:r>
        <w:rPr>
          <w:spacing w:val="42"/>
        </w:rPr>
        <w:t xml:space="preserve"> </w:t>
      </w:r>
      <w:r>
        <w:t>base</w:t>
      </w:r>
      <w:r>
        <w:rPr>
          <w:spacing w:val="42"/>
        </w:rPr>
        <w:t xml:space="preserve"> </w:t>
      </w:r>
      <w:r>
        <w:t>de</w:t>
      </w:r>
      <w:r>
        <w:rPr>
          <w:spacing w:val="42"/>
        </w:rPr>
        <w:t xml:space="preserve"> </w:t>
      </w:r>
      <w:r>
        <w:t>la</w:t>
      </w:r>
      <w:r>
        <w:rPr>
          <w:spacing w:val="42"/>
        </w:rPr>
        <w:t xml:space="preserve"> </w:t>
      </w:r>
      <w:r>
        <w:t>doctrina</w:t>
      </w:r>
      <w:r>
        <w:rPr>
          <w:spacing w:val="43"/>
        </w:rPr>
        <w:t xml:space="preserve"> </w:t>
      </w:r>
      <w:r>
        <w:rPr>
          <w:spacing w:val="-5"/>
        </w:rPr>
        <w:t>del</w:t>
      </w:r>
      <w:r w:rsidR="000229FA">
        <w:t xml:space="preserve"> </w:t>
      </w:r>
      <w:r>
        <w:t xml:space="preserve">«enemigo interno», la </w:t>
      </w:r>
      <w:proofErr w:type="spellStart"/>
      <w:r>
        <w:t>racialización</w:t>
      </w:r>
      <w:proofErr w:type="spellEnd"/>
      <w:r>
        <w:t xml:space="preserve"> y la aporofobia. Es decir, se ha construido sobre los sujetos</w:t>
      </w:r>
      <w:r>
        <w:rPr>
          <w:spacing w:val="-3"/>
        </w:rPr>
        <w:t xml:space="preserve"> </w:t>
      </w:r>
      <w:r>
        <w:t>excluidos</w:t>
      </w:r>
      <w:r>
        <w:rPr>
          <w:spacing w:val="-2"/>
        </w:rPr>
        <w:t xml:space="preserve"> </w:t>
      </w:r>
      <w:r>
        <w:t>mediante</w:t>
      </w:r>
      <w:r>
        <w:rPr>
          <w:spacing w:val="-2"/>
        </w:rPr>
        <w:t xml:space="preserve"> </w:t>
      </w:r>
      <w:r>
        <w:t>nociones</w:t>
      </w:r>
      <w:r>
        <w:rPr>
          <w:spacing w:val="-3"/>
        </w:rPr>
        <w:t xml:space="preserve"> </w:t>
      </w:r>
      <w:r>
        <w:t>extendidas</w:t>
      </w:r>
      <w:r>
        <w:rPr>
          <w:spacing w:val="-3"/>
        </w:rPr>
        <w:t xml:space="preserve"> </w:t>
      </w:r>
      <w:r>
        <w:t>en</w:t>
      </w:r>
      <w:r>
        <w:rPr>
          <w:spacing w:val="-2"/>
        </w:rPr>
        <w:t xml:space="preserve"> </w:t>
      </w:r>
      <w:r>
        <w:t>los</w:t>
      </w:r>
      <w:r>
        <w:rPr>
          <w:spacing w:val="-2"/>
        </w:rPr>
        <w:t xml:space="preserve"> </w:t>
      </w:r>
      <w:r>
        <w:t>discursos,</w:t>
      </w:r>
      <w:r>
        <w:rPr>
          <w:spacing w:val="-2"/>
        </w:rPr>
        <w:t xml:space="preserve"> </w:t>
      </w:r>
      <w:r>
        <w:t>en</w:t>
      </w:r>
      <w:r>
        <w:rPr>
          <w:spacing w:val="-2"/>
        </w:rPr>
        <w:t xml:space="preserve"> </w:t>
      </w:r>
      <w:r>
        <w:t>las</w:t>
      </w:r>
      <w:r>
        <w:rPr>
          <w:spacing w:val="-2"/>
        </w:rPr>
        <w:t xml:space="preserve"> </w:t>
      </w:r>
      <w:r>
        <w:t>prácticas</w:t>
      </w:r>
      <w:r>
        <w:rPr>
          <w:spacing w:val="-3"/>
        </w:rPr>
        <w:t xml:space="preserve"> </w:t>
      </w:r>
      <w:r>
        <w:t>de</w:t>
      </w:r>
      <w:r>
        <w:rPr>
          <w:spacing w:val="-2"/>
        </w:rPr>
        <w:t xml:space="preserve"> </w:t>
      </w:r>
      <w:r>
        <w:t>poder</w:t>
      </w:r>
      <w:r>
        <w:rPr>
          <w:spacing w:val="-2"/>
        </w:rPr>
        <w:t xml:space="preserve"> </w:t>
      </w:r>
      <w:r>
        <w:t>y guerreristas.</w:t>
      </w:r>
      <w:r>
        <w:rPr>
          <w:spacing w:val="-14"/>
        </w:rPr>
        <w:t xml:space="preserve"> </w:t>
      </w:r>
      <w:r>
        <w:t>Esta</w:t>
      </w:r>
      <w:r>
        <w:rPr>
          <w:spacing w:val="-13"/>
        </w:rPr>
        <w:t xml:space="preserve"> </w:t>
      </w:r>
      <w:r>
        <w:t>estigmatización</w:t>
      </w:r>
      <w:r>
        <w:rPr>
          <w:spacing w:val="-14"/>
        </w:rPr>
        <w:t xml:space="preserve"> </w:t>
      </w:r>
      <w:r>
        <w:t>es,</w:t>
      </w:r>
      <w:r>
        <w:rPr>
          <w:spacing w:val="-14"/>
        </w:rPr>
        <w:t xml:space="preserve"> </w:t>
      </w:r>
      <w:r>
        <w:t>en</w:t>
      </w:r>
      <w:r>
        <w:rPr>
          <w:spacing w:val="-13"/>
        </w:rPr>
        <w:t xml:space="preserve"> </w:t>
      </w:r>
      <w:r>
        <w:t>buena</w:t>
      </w:r>
      <w:r>
        <w:rPr>
          <w:spacing w:val="-14"/>
        </w:rPr>
        <w:t xml:space="preserve"> </w:t>
      </w:r>
      <w:r>
        <w:t>medida,</w:t>
      </w:r>
      <w:r>
        <w:rPr>
          <w:spacing w:val="-13"/>
        </w:rPr>
        <w:t xml:space="preserve"> </w:t>
      </w:r>
      <w:r>
        <w:t>de</w:t>
      </w:r>
      <w:r>
        <w:rPr>
          <w:spacing w:val="-13"/>
        </w:rPr>
        <w:t xml:space="preserve"> </w:t>
      </w:r>
      <w:r>
        <w:t>origen</w:t>
      </w:r>
      <w:r>
        <w:rPr>
          <w:spacing w:val="-13"/>
        </w:rPr>
        <w:t xml:space="preserve"> </w:t>
      </w:r>
      <w:r>
        <w:t>militar.</w:t>
      </w:r>
      <w:r>
        <w:rPr>
          <w:spacing w:val="-14"/>
        </w:rPr>
        <w:t xml:space="preserve"> </w:t>
      </w:r>
      <w:r>
        <w:t>Colombia</w:t>
      </w:r>
      <w:r>
        <w:rPr>
          <w:spacing w:val="-13"/>
        </w:rPr>
        <w:t xml:space="preserve"> </w:t>
      </w:r>
      <w:r>
        <w:t>la</w:t>
      </w:r>
      <w:r>
        <w:rPr>
          <w:spacing w:val="-14"/>
        </w:rPr>
        <w:t xml:space="preserve"> </w:t>
      </w:r>
      <w:r>
        <w:t>heredó de</w:t>
      </w:r>
      <w:r>
        <w:rPr>
          <w:spacing w:val="-5"/>
        </w:rPr>
        <w:t xml:space="preserve"> </w:t>
      </w:r>
      <w:r>
        <w:t>los</w:t>
      </w:r>
      <w:r>
        <w:rPr>
          <w:spacing w:val="-5"/>
        </w:rPr>
        <w:t xml:space="preserve"> </w:t>
      </w:r>
      <w:r>
        <w:t>Estados</w:t>
      </w:r>
      <w:r>
        <w:rPr>
          <w:spacing w:val="-5"/>
        </w:rPr>
        <w:t xml:space="preserve"> </w:t>
      </w:r>
      <w:r>
        <w:t>Unidos,</w:t>
      </w:r>
      <w:r>
        <w:rPr>
          <w:spacing w:val="-5"/>
        </w:rPr>
        <w:t xml:space="preserve"> </w:t>
      </w:r>
      <w:r>
        <w:t>que</w:t>
      </w:r>
      <w:r>
        <w:rPr>
          <w:spacing w:val="-5"/>
        </w:rPr>
        <w:t xml:space="preserve"> </w:t>
      </w:r>
      <w:r>
        <w:t>en</w:t>
      </w:r>
      <w:r>
        <w:rPr>
          <w:spacing w:val="-5"/>
        </w:rPr>
        <w:t xml:space="preserve"> </w:t>
      </w:r>
      <w:r>
        <w:t>principio</w:t>
      </w:r>
      <w:r>
        <w:rPr>
          <w:spacing w:val="-5"/>
        </w:rPr>
        <w:t xml:space="preserve"> </w:t>
      </w:r>
      <w:r>
        <w:t>fue</w:t>
      </w:r>
      <w:r>
        <w:rPr>
          <w:spacing w:val="-5"/>
        </w:rPr>
        <w:t xml:space="preserve"> </w:t>
      </w:r>
      <w:r>
        <w:t>una</w:t>
      </w:r>
      <w:r>
        <w:rPr>
          <w:spacing w:val="-6"/>
        </w:rPr>
        <w:t xml:space="preserve"> </w:t>
      </w:r>
      <w:r>
        <w:t>doctrina</w:t>
      </w:r>
      <w:r>
        <w:rPr>
          <w:spacing w:val="-5"/>
        </w:rPr>
        <w:t xml:space="preserve"> </w:t>
      </w:r>
      <w:r>
        <w:t>y</w:t>
      </w:r>
      <w:r>
        <w:rPr>
          <w:spacing w:val="-5"/>
        </w:rPr>
        <w:t xml:space="preserve"> </w:t>
      </w:r>
      <w:r>
        <w:t>una</w:t>
      </w:r>
      <w:r>
        <w:rPr>
          <w:spacing w:val="-5"/>
        </w:rPr>
        <w:t xml:space="preserve"> </w:t>
      </w:r>
      <w:r>
        <w:t>política</w:t>
      </w:r>
      <w:r>
        <w:rPr>
          <w:spacing w:val="-6"/>
        </w:rPr>
        <w:t xml:space="preserve"> </w:t>
      </w:r>
      <w:r>
        <w:t>militar</w:t>
      </w:r>
      <w:r>
        <w:rPr>
          <w:spacing w:val="-4"/>
        </w:rPr>
        <w:t xml:space="preserve"> </w:t>
      </w:r>
      <w:r>
        <w:t>de</w:t>
      </w:r>
      <w:r>
        <w:rPr>
          <w:spacing w:val="-5"/>
        </w:rPr>
        <w:t xml:space="preserve"> </w:t>
      </w:r>
      <w:r>
        <w:t>control</w:t>
      </w:r>
      <w:r>
        <w:rPr>
          <w:spacing w:val="-4"/>
        </w:rPr>
        <w:t xml:space="preserve"> </w:t>
      </w:r>
      <w:r>
        <w:t>del comunismo a Colombia.</w:t>
      </w:r>
    </w:p>
    <w:p w:rsidR="003804AC" w:rsidRDefault="00AF18A5" w:rsidP="000229FA">
      <w:r>
        <w:t xml:space="preserve">Esta doctrina, que persiste hasta hoy, rápidamente se extendió a todos aquellos que no estaban de acuerdo con el sistema imperante o que demandaban transformaciones políticas, sociales y económicas: dirigentes y miembros de partidos de izquierda y progresistas; defensores de derechos humanos, líderes religiosos, </w:t>
      </w:r>
      <w:proofErr w:type="spellStart"/>
      <w:r>
        <w:t>lideres</w:t>
      </w:r>
      <w:proofErr w:type="spellEnd"/>
      <w:r>
        <w:t xml:space="preserve"> sociales y ambientalistas; sindicalistas, organizaciones sociales, entre otros, que, hasta la fecha, siguen siendo perseguidos, torturados, eliminados, judicializados y expatriados.</w:t>
      </w:r>
      <w:r>
        <w:rPr>
          <w:spacing w:val="-3"/>
        </w:rPr>
        <w:t xml:space="preserve"> </w:t>
      </w:r>
      <w:r>
        <w:t xml:space="preserve">En Colombia se ha hecho espionaje y persecución hasta a la Corte Suprema de Justicia, a procuradores de DDHH y a </w:t>
      </w:r>
      <w:r>
        <w:rPr>
          <w:spacing w:val="-2"/>
        </w:rPr>
        <w:t>fiscales.</w:t>
      </w:r>
    </w:p>
    <w:p w:rsidR="003804AC" w:rsidRDefault="00AF18A5" w:rsidP="000229FA">
      <w:r>
        <w:t>Un punto grave de la estigmatización del otro como enemigo es que muchas veces tiene origen en una mentira que se instala como verdad porque conviene a una persona, a un colectivo</w:t>
      </w:r>
      <w:r>
        <w:rPr>
          <w:spacing w:val="-6"/>
        </w:rPr>
        <w:t xml:space="preserve"> </w:t>
      </w:r>
      <w:r>
        <w:t>o</w:t>
      </w:r>
      <w:r>
        <w:rPr>
          <w:spacing w:val="-6"/>
        </w:rPr>
        <w:t xml:space="preserve"> </w:t>
      </w:r>
      <w:r>
        <w:t>a</w:t>
      </w:r>
      <w:r>
        <w:rPr>
          <w:spacing w:val="-7"/>
        </w:rPr>
        <w:t xml:space="preserve"> </w:t>
      </w:r>
      <w:r>
        <w:t>un</w:t>
      </w:r>
      <w:r>
        <w:rPr>
          <w:spacing w:val="-6"/>
        </w:rPr>
        <w:t xml:space="preserve"> </w:t>
      </w:r>
      <w:r>
        <w:t>propósito.</w:t>
      </w:r>
      <w:r>
        <w:rPr>
          <w:spacing w:val="-6"/>
        </w:rPr>
        <w:t xml:space="preserve"> </w:t>
      </w:r>
      <w:r>
        <w:t>Una</w:t>
      </w:r>
      <w:r>
        <w:rPr>
          <w:spacing w:val="-6"/>
        </w:rPr>
        <w:t xml:space="preserve"> </w:t>
      </w:r>
      <w:r>
        <w:t>mentira</w:t>
      </w:r>
      <w:r>
        <w:rPr>
          <w:spacing w:val="-6"/>
        </w:rPr>
        <w:t xml:space="preserve"> </w:t>
      </w:r>
      <w:r>
        <w:t>se</w:t>
      </w:r>
      <w:r>
        <w:rPr>
          <w:spacing w:val="-6"/>
        </w:rPr>
        <w:t xml:space="preserve"> </w:t>
      </w:r>
      <w:r>
        <w:t>repite</w:t>
      </w:r>
      <w:r>
        <w:rPr>
          <w:spacing w:val="-7"/>
        </w:rPr>
        <w:t xml:space="preserve"> </w:t>
      </w:r>
      <w:r>
        <w:t>y</w:t>
      </w:r>
      <w:r>
        <w:rPr>
          <w:spacing w:val="-6"/>
        </w:rPr>
        <w:t xml:space="preserve"> </w:t>
      </w:r>
      <w:r>
        <w:t>se</w:t>
      </w:r>
      <w:r>
        <w:rPr>
          <w:spacing w:val="-6"/>
        </w:rPr>
        <w:t xml:space="preserve"> </w:t>
      </w:r>
      <w:r>
        <w:t>repite</w:t>
      </w:r>
      <w:r>
        <w:rPr>
          <w:spacing w:val="-6"/>
        </w:rPr>
        <w:t xml:space="preserve"> </w:t>
      </w:r>
      <w:r>
        <w:t>hasta</w:t>
      </w:r>
      <w:r>
        <w:rPr>
          <w:spacing w:val="-6"/>
        </w:rPr>
        <w:t xml:space="preserve"> </w:t>
      </w:r>
      <w:r>
        <w:t>convertirse</w:t>
      </w:r>
      <w:r>
        <w:rPr>
          <w:spacing w:val="-6"/>
        </w:rPr>
        <w:t xml:space="preserve"> </w:t>
      </w:r>
      <w:r>
        <w:t>en</w:t>
      </w:r>
      <w:r>
        <w:rPr>
          <w:spacing w:val="-6"/>
        </w:rPr>
        <w:t xml:space="preserve"> </w:t>
      </w:r>
      <w:r>
        <w:t>un</w:t>
      </w:r>
      <w:r>
        <w:rPr>
          <w:spacing w:val="-6"/>
        </w:rPr>
        <w:t xml:space="preserve"> </w:t>
      </w:r>
      <w:r>
        <w:t>prejuicio colectivo</w:t>
      </w:r>
      <w:r>
        <w:rPr>
          <w:spacing w:val="36"/>
        </w:rPr>
        <w:t xml:space="preserve"> </w:t>
      </w:r>
      <w:r>
        <w:t>o</w:t>
      </w:r>
      <w:r>
        <w:rPr>
          <w:spacing w:val="37"/>
        </w:rPr>
        <w:t xml:space="preserve"> </w:t>
      </w:r>
      <w:r>
        <w:t>generalizado</w:t>
      </w:r>
      <w:r>
        <w:rPr>
          <w:spacing w:val="37"/>
        </w:rPr>
        <w:t xml:space="preserve"> </w:t>
      </w:r>
      <w:r>
        <w:t>que</w:t>
      </w:r>
      <w:r>
        <w:rPr>
          <w:spacing w:val="38"/>
        </w:rPr>
        <w:t xml:space="preserve"> </w:t>
      </w:r>
      <w:r>
        <w:t>no</w:t>
      </w:r>
      <w:r>
        <w:rPr>
          <w:spacing w:val="38"/>
        </w:rPr>
        <w:t xml:space="preserve"> </w:t>
      </w:r>
      <w:r>
        <w:t>se</w:t>
      </w:r>
      <w:r>
        <w:rPr>
          <w:spacing w:val="37"/>
        </w:rPr>
        <w:t xml:space="preserve"> </w:t>
      </w:r>
      <w:r>
        <w:t>cuestiona.</w:t>
      </w:r>
      <w:r>
        <w:rPr>
          <w:spacing w:val="38"/>
        </w:rPr>
        <w:t xml:space="preserve"> </w:t>
      </w:r>
      <w:r>
        <w:t>Sobre</w:t>
      </w:r>
      <w:r>
        <w:rPr>
          <w:spacing w:val="38"/>
        </w:rPr>
        <w:t xml:space="preserve"> </w:t>
      </w:r>
      <w:r>
        <w:t>esa</w:t>
      </w:r>
      <w:r>
        <w:rPr>
          <w:spacing w:val="37"/>
        </w:rPr>
        <w:t xml:space="preserve"> </w:t>
      </w:r>
      <w:r>
        <w:t>mentira</w:t>
      </w:r>
      <w:r>
        <w:rPr>
          <w:spacing w:val="38"/>
        </w:rPr>
        <w:t xml:space="preserve"> </w:t>
      </w:r>
      <w:r>
        <w:t>se</w:t>
      </w:r>
      <w:r>
        <w:rPr>
          <w:spacing w:val="38"/>
        </w:rPr>
        <w:t xml:space="preserve"> </w:t>
      </w:r>
      <w:r>
        <w:t>construye</w:t>
      </w:r>
      <w:r>
        <w:rPr>
          <w:spacing w:val="37"/>
        </w:rPr>
        <w:t xml:space="preserve"> </w:t>
      </w:r>
      <w:r>
        <w:t>lo</w:t>
      </w:r>
      <w:r>
        <w:rPr>
          <w:spacing w:val="38"/>
        </w:rPr>
        <w:t xml:space="preserve"> </w:t>
      </w:r>
      <w:r>
        <w:lastRenderedPageBreak/>
        <w:t>que</w:t>
      </w:r>
      <w:r>
        <w:rPr>
          <w:spacing w:val="38"/>
        </w:rPr>
        <w:t xml:space="preserve"> </w:t>
      </w:r>
      <w:r>
        <w:rPr>
          <w:spacing w:val="-5"/>
        </w:rPr>
        <w:t>es</w:t>
      </w:r>
      <w:r w:rsidR="000229FA">
        <w:t xml:space="preserve"> </w:t>
      </w:r>
      <w:r>
        <w:t>«normal», «justo» y «aceptable» en la vida cotidiana de la gente, alejándonos de la posibilidad humana que acoge al otro o la otra como es, sin prejuicios.</w:t>
      </w:r>
    </w:p>
    <w:p w:rsidR="003804AC" w:rsidRDefault="00AF18A5" w:rsidP="000229FA">
      <w:r>
        <w:t>Esa construcción del enemigo trascendió a las relaciones personales e íntimas, a las instituciones y a la manera de interpretar y aplicar la ley, y muy especialmente al campo político, que es por definición el lugar de la defensa del bien común, afectando gravemente la democracia.</w:t>
      </w:r>
    </w:p>
    <w:p w:rsidR="003804AC" w:rsidRDefault="00AF18A5" w:rsidP="000229FA">
      <w:r>
        <w:t>Algunos</w:t>
      </w:r>
      <w:r>
        <w:rPr>
          <w:spacing w:val="-14"/>
        </w:rPr>
        <w:t xml:space="preserve"> </w:t>
      </w:r>
      <w:r>
        <w:t>de</w:t>
      </w:r>
      <w:r>
        <w:rPr>
          <w:spacing w:val="-14"/>
        </w:rPr>
        <w:t xml:space="preserve"> </w:t>
      </w:r>
      <w:r>
        <w:t>los</w:t>
      </w:r>
      <w:r>
        <w:rPr>
          <w:spacing w:val="-14"/>
        </w:rPr>
        <w:t xml:space="preserve"> </w:t>
      </w:r>
      <w:r>
        <w:t>fragmentos</w:t>
      </w:r>
      <w:r>
        <w:rPr>
          <w:spacing w:val="-14"/>
        </w:rPr>
        <w:t xml:space="preserve"> </w:t>
      </w:r>
      <w:r>
        <w:t>de</w:t>
      </w:r>
      <w:r>
        <w:rPr>
          <w:spacing w:val="-14"/>
        </w:rPr>
        <w:t xml:space="preserve"> </w:t>
      </w:r>
      <w:r>
        <w:t>cantos</w:t>
      </w:r>
      <w:r>
        <w:rPr>
          <w:spacing w:val="-15"/>
        </w:rPr>
        <w:t xml:space="preserve"> </w:t>
      </w:r>
      <w:r>
        <w:t>utilizados</w:t>
      </w:r>
      <w:r>
        <w:rPr>
          <w:spacing w:val="-15"/>
        </w:rPr>
        <w:t xml:space="preserve"> </w:t>
      </w:r>
      <w:r>
        <w:t>por</w:t>
      </w:r>
      <w:r>
        <w:rPr>
          <w:spacing w:val="-14"/>
        </w:rPr>
        <w:t xml:space="preserve"> </w:t>
      </w:r>
      <w:r>
        <w:t>los</w:t>
      </w:r>
      <w:r>
        <w:rPr>
          <w:spacing w:val="-15"/>
        </w:rPr>
        <w:t xml:space="preserve"> </w:t>
      </w:r>
      <w:r>
        <w:t>soldados</w:t>
      </w:r>
      <w:r>
        <w:rPr>
          <w:spacing w:val="-14"/>
        </w:rPr>
        <w:t xml:space="preserve"> </w:t>
      </w:r>
      <w:r>
        <w:t>del</w:t>
      </w:r>
      <w:r>
        <w:rPr>
          <w:spacing w:val="-14"/>
        </w:rPr>
        <w:t xml:space="preserve"> </w:t>
      </w:r>
      <w:r>
        <w:t>Batallón</w:t>
      </w:r>
      <w:r>
        <w:rPr>
          <w:spacing w:val="-14"/>
        </w:rPr>
        <w:t xml:space="preserve"> </w:t>
      </w:r>
      <w:r>
        <w:t>de</w:t>
      </w:r>
      <w:r>
        <w:rPr>
          <w:spacing w:val="-14"/>
        </w:rPr>
        <w:t xml:space="preserve"> </w:t>
      </w:r>
      <w:r>
        <w:t>Ayacucho en Manizales en medio de un entrenamiento, por poner solo un ejemplo, dan cuenta de la persistencia de esta doctrina arraigada en la formación militar, así como de una violencia patriarcal,</w:t>
      </w:r>
      <w:r>
        <w:rPr>
          <w:spacing w:val="4"/>
        </w:rPr>
        <w:t xml:space="preserve"> </w:t>
      </w:r>
      <w:r>
        <w:t>un</w:t>
      </w:r>
      <w:r>
        <w:rPr>
          <w:spacing w:val="7"/>
        </w:rPr>
        <w:t xml:space="preserve"> </w:t>
      </w:r>
      <w:r>
        <w:t>prejuicio</w:t>
      </w:r>
      <w:r>
        <w:rPr>
          <w:spacing w:val="6"/>
        </w:rPr>
        <w:t xml:space="preserve"> </w:t>
      </w:r>
      <w:r>
        <w:t>machista:</w:t>
      </w:r>
      <w:r>
        <w:rPr>
          <w:spacing w:val="6"/>
        </w:rPr>
        <w:t xml:space="preserve"> </w:t>
      </w:r>
      <w:r>
        <w:t>«Un</w:t>
      </w:r>
      <w:r>
        <w:rPr>
          <w:spacing w:val="7"/>
        </w:rPr>
        <w:t xml:space="preserve"> </w:t>
      </w:r>
      <w:r>
        <w:t>minuto</w:t>
      </w:r>
      <w:r>
        <w:rPr>
          <w:spacing w:val="6"/>
        </w:rPr>
        <w:t xml:space="preserve"> </w:t>
      </w:r>
      <w:r>
        <w:t>antes</w:t>
      </w:r>
      <w:r>
        <w:rPr>
          <w:spacing w:val="6"/>
        </w:rPr>
        <w:t xml:space="preserve"> </w:t>
      </w:r>
      <w:r>
        <w:t>de</w:t>
      </w:r>
      <w:r>
        <w:rPr>
          <w:spacing w:val="6"/>
        </w:rPr>
        <w:t xml:space="preserve"> </w:t>
      </w:r>
      <w:r>
        <w:t>morir</w:t>
      </w:r>
      <w:r>
        <w:rPr>
          <w:spacing w:val="7"/>
        </w:rPr>
        <w:t xml:space="preserve"> </w:t>
      </w:r>
      <w:r>
        <w:t>/</w:t>
      </w:r>
      <w:r>
        <w:rPr>
          <w:spacing w:val="5"/>
        </w:rPr>
        <w:t xml:space="preserve"> </w:t>
      </w:r>
      <w:r>
        <w:t>escuché</w:t>
      </w:r>
      <w:r>
        <w:rPr>
          <w:spacing w:val="7"/>
        </w:rPr>
        <w:t xml:space="preserve"> </w:t>
      </w:r>
      <w:r>
        <w:t>la</w:t>
      </w:r>
      <w:r>
        <w:rPr>
          <w:spacing w:val="7"/>
        </w:rPr>
        <w:t xml:space="preserve"> </w:t>
      </w:r>
      <w:r>
        <w:t>voz</w:t>
      </w:r>
      <w:r>
        <w:rPr>
          <w:spacing w:val="6"/>
        </w:rPr>
        <w:t xml:space="preserve"> </w:t>
      </w:r>
      <w:r>
        <w:t>de</w:t>
      </w:r>
      <w:r>
        <w:rPr>
          <w:spacing w:val="6"/>
        </w:rPr>
        <w:t xml:space="preserve"> </w:t>
      </w:r>
      <w:r>
        <w:t>mi</w:t>
      </w:r>
      <w:r>
        <w:rPr>
          <w:spacing w:val="6"/>
        </w:rPr>
        <w:t xml:space="preserve"> </w:t>
      </w:r>
      <w:r>
        <w:t>novia</w:t>
      </w:r>
      <w:r>
        <w:rPr>
          <w:spacing w:val="6"/>
        </w:rPr>
        <w:t xml:space="preserve"> </w:t>
      </w:r>
      <w:r>
        <w:rPr>
          <w:spacing w:val="-10"/>
        </w:rPr>
        <w:t>/</w:t>
      </w:r>
      <w:r w:rsidR="000229FA">
        <w:t xml:space="preserve"> </w:t>
      </w:r>
      <w:r>
        <w:t xml:space="preserve">que con voz de perra me decía / “Si te mueres se lo doy al policía”. Con los huesos de mi suegra / voy a hacer una escalera / </w:t>
      </w:r>
      <w:proofErr w:type="spellStart"/>
      <w:r>
        <w:t>pa</w:t>
      </w:r>
      <w:proofErr w:type="spellEnd"/>
      <w:r>
        <w:t xml:space="preserve"> bajar a su tumba / y patear su calavera».</w:t>
      </w:r>
    </w:p>
    <w:p w:rsidR="0011361F" w:rsidRDefault="00AF18A5" w:rsidP="000229FA">
      <w:r>
        <w:t>El correlato del «enemigo interno» es el del «enemigo de clase», que fue usado por la insurgencia para señalar a las clases altas y medias, a las empresas nacionales y multinacionales, y a los adversarios políticos e ideológicos. Esto lo demuestran casos como el</w:t>
      </w:r>
      <w:r>
        <w:rPr>
          <w:spacing w:val="-15"/>
        </w:rPr>
        <w:t xml:space="preserve"> </w:t>
      </w:r>
      <w:r>
        <w:t>asesinato</w:t>
      </w:r>
      <w:r>
        <w:rPr>
          <w:spacing w:val="-15"/>
        </w:rPr>
        <w:t xml:space="preserve"> </w:t>
      </w:r>
      <w:r>
        <w:t>de</w:t>
      </w:r>
      <w:r>
        <w:rPr>
          <w:spacing w:val="-15"/>
        </w:rPr>
        <w:t xml:space="preserve"> </w:t>
      </w:r>
      <w:r>
        <w:t>Álvaro</w:t>
      </w:r>
      <w:r>
        <w:rPr>
          <w:spacing w:val="-15"/>
        </w:rPr>
        <w:t xml:space="preserve"> </w:t>
      </w:r>
      <w:r>
        <w:t>Gómez</w:t>
      </w:r>
      <w:r>
        <w:rPr>
          <w:spacing w:val="-15"/>
        </w:rPr>
        <w:t xml:space="preserve"> </w:t>
      </w:r>
      <w:r>
        <w:t>Hurtado,</w:t>
      </w:r>
      <w:r>
        <w:rPr>
          <w:spacing w:val="-15"/>
        </w:rPr>
        <w:t xml:space="preserve"> </w:t>
      </w:r>
      <w:r>
        <w:t>el</w:t>
      </w:r>
      <w:r>
        <w:rPr>
          <w:spacing w:val="-15"/>
        </w:rPr>
        <w:t xml:space="preserve"> </w:t>
      </w:r>
      <w:r>
        <w:t>secuestro</w:t>
      </w:r>
      <w:r>
        <w:rPr>
          <w:spacing w:val="-14"/>
        </w:rPr>
        <w:t xml:space="preserve"> </w:t>
      </w:r>
      <w:r>
        <w:t>de</w:t>
      </w:r>
      <w:r>
        <w:rPr>
          <w:spacing w:val="-15"/>
        </w:rPr>
        <w:t xml:space="preserve"> </w:t>
      </w:r>
      <w:r>
        <w:t>José</w:t>
      </w:r>
      <w:r>
        <w:rPr>
          <w:spacing w:val="-15"/>
        </w:rPr>
        <w:t xml:space="preserve"> </w:t>
      </w:r>
      <w:r>
        <w:t>Raquel</w:t>
      </w:r>
      <w:r>
        <w:rPr>
          <w:spacing w:val="-15"/>
        </w:rPr>
        <w:t xml:space="preserve"> </w:t>
      </w:r>
      <w:r>
        <w:t>Mercado</w:t>
      </w:r>
      <w:r>
        <w:rPr>
          <w:spacing w:val="-14"/>
        </w:rPr>
        <w:t xml:space="preserve"> </w:t>
      </w:r>
      <w:r>
        <w:t>y</w:t>
      </w:r>
      <w:r>
        <w:rPr>
          <w:spacing w:val="-15"/>
        </w:rPr>
        <w:t xml:space="preserve"> </w:t>
      </w:r>
      <w:r>
        <w:t>los</w:t>
      </w:r>
      <w:r>
        <w:rPr>
          <w:spacing w:val="-15"/>
        </w:rPr>
        <w:t xml:space="preserve"> </w:t>
      </w:r>
      <w:r>
        <w:t>otros</w:t>
      </w:r>
      <w:r>
        <w:rPr>
          <w:spacing w:val="-14"/>
        </w:rPr>
        <w:t xml:space="preserve"> </w:t>
      </w:r>
      <w:r>
        <w:t>miles de</w:t>
      </w:r>
      <w:r>
        <w:rPr>
          <w:spacing w:val="-10"/>
        </w:rPr>
        <w:t xml:space="preserve"> </w:t>
      </w:r>
      <w:r>
        <w:t>secuestros</w:t>
      </w:r>
      <w:r>
        <w:rPr>
          <w:spacing w:val="-11"/>
        </w:rPr>
        <w:t xml:space="preserve"> </w:t>
      </w:r>
      <w:r>
        <w:t>selectivos</w:t>
      </w:r>
      <w:r>
        <w:rPr>
          <w:spacing w:val="-12"/>
        </w:rPr>
        <w:t xml:space="preserve"> </w:t>
      </w:r>
      <w:r>
        <w:t>y</w:t>
      </w:r>
      <w:r>
        <w:rPr>
          <w:spacing w:val="-11"/>
        </w:rPr>
        <w:t xml:space="preserve"> </w:t>
      </w:r>
      <w:r>
        <w:t>masivos</w:t>
      </w:r>
      <w:r>
        <w:rPr>
          <w:spacing w:val="-12"/>
        </w:rPr>
        <w:t xml:space="preserve"> </w:t>
      </w:r>
      <w:r>
        <w:t>con</w:t>
      </w:r>
      <w:r>
        <w:rPr>
          <w:spacing w:val="-11"/>
        </w:rPr>
        <w:t xml:space="preserve"> </w:t>
      </w:r>
      <w:r>
        <w:t>sus</w:t>
      </w:r>
      <w:r>
        <w:rPr>
          <w:spacing w:val="-11"/>
        </w:rPr>
        <w:t xml:space="preserve"> </w:t>
      </w:r>
      <w:r>
        <w:t>consabidas</w:t>
      </w:r>
      <w:r>
        <w:rPr>
          <w:spacing w:val="-12"/>
        </w:rPr>
        <w:t xml:space="preserve"> </w:t>
      </w:r>
      <w:r>
        <w:t>torturas</w:t>
      </w:r>
      <w:r>
        <w:rPr>
          <w:spacing w:val="-11"/>
        </w:rPr>
        <w:t xml:space="preserve"> </w:t>
      </w:r>
      <w:r>
        <w:t>y</w:t>
      </w:r>
      <w:r>
        <w:rPr>
          <w:spacing w:val="-11"/>
        </w:rPr>
        <w:t xml:space="preserve"> </w:t>
      </w:r>
      <w:r>
        <w:t>malos</w:t>
      </w:r>
      <w:r>
        <w:rPr>
          <w:spacing w:val="-12"/>
        </w:rPr>
        <w:t xml:space="preserve"> </w:t>
      </w:r>
      <w:r>
        <w:t>tratos;</w:t>
      </w:r>
      <w:r>
        <w:rPr>
          <w:spacing w:val="-11"/>
        </w:rPr>
        <w:t xml:space="preserve"> </w:t>
      </w:r>
      <w:r>
        <w:t>las</w:t>
      </w:r>
      <w:r>
        <w:rPr>
          <w:spacing w:val="-12"/>
        </w:rPr>
        <w:t xml:space="preserve"> </w:t>
      </w:r>
      <w:r>
        <w:t>extorsiones y</w:t>
      </w:r>
      <w:r>
        <w:rPr>
          <w:spacing w:val="8"/>
        </w:rPr>
        <w:t xml:space="preserve"> </w:t>
      </w:r>
      <w:r>
        <w:t>asesinatos</w:t>
      </w:r>
      <w:r>
        <w:rPr>
          <w:spacing w:val="10"/>
        </w:rPr>
        <w:t xml:space="preserve"> </w:t>
      </w:r>
      <w:r>
        <w:t>selectivos</w:t>
      </w:r>
      <w:r>
        <w:rPr>
          <w:spacing w:val="10"/>
        </w:rPr>
        <w:t xml:space="preserve"> </w:t>
      </w:r>
      <w:r>
        <w:t>bajo</w:t>
      </w:r>
      <w:r>
        <w:rPr>
          <w:spacing w:val="11"/>
        </w:rPr>
        <w:t xml:space="preserve"> </w:t>
      </w:r>
      <w:r>
        <w:t>la</w:t>
      </w:r>
      <w:r>
        <w:rPr>
          <w:spacing w:val="10"/>
        </w:rPr>
        <w:t xml:space="preserve"> </w:t>
      </w:r>
      <w:r>
        <w:t>modalidad</w:t>
      </w:r>
      <w:r>
        <w:rPr>
          <w:spacing w:val="10"/>
        </w:rPr>
        <w:t xml:space="preserve"> </w:t>
      </w:r>
      <w:r>
        <w:t>de</w:t>
      </w:r>
      <w:r>
        <w:rPr>
          <w:spacing w:val="11"/>
        </w:rPr>
        <w:t xml:space="preserve"> </w:t>
      </w:r>
      <w:r>
        <w:t>acabar</w:t>
      </w:r>
      <w:r>
        <w:rPr>
          <w:spacing w:val="11"/>
        </w:rPr>
        <w:t xml:space="preserve"> </w:t>
      </w:r>
      <w:r>
        <w:t>con</w:t>
      </w:r>
      <w:r>
        <w:rPr>
          <w:spacing w:val="10"/>
        </w:rPr>
        <w:t xml:space="preserve"> </w:t>
      </w:r>
      <w:r>
        <w:t>«sapos»,</w:t>
      </w:r>
      <w:r>
        <w:rPr>
          <w:spacing w:val="11"/>
        </w:rPr>
        <w:t xml:space="preserve"> </w:t>
      </w:r>
      <w:r>
        <w:t>o</w:t>
      </w:r>
      <w:r>
        <w:rPr>
          <w:spacing w:val="11"/>
        </w:rPr>
        <w:t xml:space="preserve"> </w:t>
      </w:r>
      <w:r>
        <w:t>incluso</w:t>
      </w:r>
      <w:r>
        <w:rPr>
          <w:spacing w:val="9"/>
        </w:rPr>
        <w:t xml:space="preserve"> </w:t>
      </w:r>
      <w:r>
        <w:t>las</w:t>
      </w:r>
      <w:r>
        <w:rPr>
          <w:spacing w:val="11"/>
        </w:rPr>
        <w:t xml:space="preserve"> </w:t>
      </w:r>
      <w:r>
        <w:t>prácticas</w:t>
      </w:r>
      <w:r>
        <w:rPr>
          <w:spacing w:val="11"/>
        </w:rPr>
        <w:t xml:space="preserve"> </w:t>
      </w:r>
      <w:r>
        <w:rPr>
          <w:spacing w:val="-5"/>
        </w:rPr>
        <w:t>de</w:t>
      </w:r>
      <w:r w:rsidR="000229FA">
        <w:t xml:space="preserve"> </w:t>
      </w:r>
      <w:r>
        <w:t>«limpieza</w:t>
      </w:r>
      <w:r>
        <w:rPr>
          <w:spacing w:val="-5"/>
        </w:rPr>
        <w:t xml:space="preserve"> </w:t>
      </w:r>
      <w:r>
        <w:rPr>
          <w:spacing w:val="-2"/>
        </w:rPr>
        <w:t>social».</w:t>
      </w:r>
    </w:p>
    <w:p w:rsidR="003804AC" w:rsidRDefault="00AF18A5" w:rsidP="000229FA">
      <w:r>
        <w:t>El</w:t>
      </w:r>
      <w:r>
        <w:rPr>
          <w:spacing w:val="-3"/>
        </w:rPr>
        <w:t xml:space="preserve"> </w:t>
      </w:r>
      <w:r>
        <w:t>filósofo</w:t>
      </w:r>
      <w:r>
        <w:rPr>
          <w:spacing w:val="-4"/>
        </w:rPr>
        <w:t xml:space="preserve"> </w:t>
      </w:r>
      <w:r>
        <w:t>Sergio</w:t>
      </w:r>
      <w:r>
        <w:rPr>
          <w:spacing w:val="-4"/>
        </w:rPr>
        <w:t xml:space="preserve"> </w:t>
      </w:r>
      <w:r>
        <w:t>de</w:t>
      </w:r>
      <w:r>
        <w:rPr>
          <w:spacing w:val="-3"/>
        </w:rPr>
        <w:t xml:space="preserve"> </w:t>
      </w:r>
      <w:r>
        <w:t>Zubiría</w:t>
      </w:r>
      <w:r>
        <w:rPr>
          <w:spacing w:val="-3"/>
        </w:rPr>
        <w:t xml:space="preserve"> </w:t>
      </w:r>
      <w:r>
        <w:t>plantea</w:t>
      </w:r>
      <w:r>
        <w:rPr>
          <w:spacing w:val="-3"/>
        </w:rPr>
        <w:t xml:space="preserve"> </w:t>
      </w:r>
      <w:r>
        <w:t>que</w:t>
      </w:r>
      <w:r>
        <w:rPr>
          <w:spacing w:val="-3"/>
        </w:rPr>
        <w:t xml:space="preserve"> </w:t>
      </w:r>
      <w:r>
        <w:t>en</w:t>
      </w:r>
      <w:r>
        <w:rPr>
          <w:spacing w:val="-4"/>
        </w:rPr>
        <w:t xml:space="preserve"> </w:t>
      </w:r>
      <w:r>
        <w:t>el</w:t>
      </w:r>
      <w:r>
        <w:rPr>
          <w:spacing w:val="-3"/>
        </w:rPr>
        <w:t xml:space="preserve"> </w:t>
      </w:r>
      <w:r>
        <w:t>país</w:t>
      </w:r>
      <w:r>
        <w:rPr>
          <w:spacing w:val="-3"/>
        </w:rPr>
        <w:t xml:space="preserve"> </w:t>
      </w:r>
      <w:r>
        <w:t>se</w:t>
      </w:r>
      <w:r>
        <w:rPr>
          <w:spacing w:val="-3"/>
        </w:rPr>
        <w:t xml:space="preserve"> </w:t>
      </w:r>
      <w:r>
        <w:t>ha</w:t>
      </w:r>
      <w:r>
        <w:rPr>
          <w:spacing w:val="-3"/>
        </w:rPr>
        <w:t xml:space="preserve"> </w:t>
      </w:r>
      <w:r>
        <w:t>consolidado</w:t>
      </w:r>
      <w:r>
        <w:rPr>
          <w:spacing w:val="-4"/>
        </w:rPr>
        <w:t xml:space="preserve"> </w:t>
      </w:r>
      <w:r>
        <w:t>una</w:t>
      </w:r>
      <w:r>
        <w:rPr>
          <w:spacing w:val="-3"/>
        </w:rPr>
        <w:t xml:space="preserve"> </w:t>
      </w:r>
      <w:r>
        <w:t>cultura</w:t>
      </w:r>
      <w:r>
        <w:rPr>
          <w:spacing w:val="-3"/>
        </w:rPr>
        <w:t xml:space="preserve"> </w:t>
      </w:r>
      <w:r>
        <w:t xml:space="preserve">política contrainsurgente, se han afianzado los discursos «amigos-enemigos» y se han inflado el miedo y la seguridad, siendo estos factores culturales y discursivos los que potencian y prolongan el </w:t>
      </w:r>
      <w:r>
        <w:lastRenderedPageBreak/>
        <w:t>conflicto armado interno. Por su parte, la estigmatización no solo no se ha logrado derrotar, sino que se ha profundizado porque conviene a sectores de poder económicos y políticos. Desde los años sesenta en adelante, la doctrina del enemigo interno se</w:t>
      </w:r>
      <w:r>
        <w:rPr>
          <w:spacing w:val="-1"/>
        </w:rPr>
        <w:t xml:space="preserve"> </w:t>
      </w:r>
      <w:r>
        <w:t>ha</w:t>
      </w:r>
      <w:r>
        <w:rPr>
          <w:spacing w:val="-1"/>
        </w:rPr>
        <w:t xml:space="preserve"> </w:t>
      </w:r>
      <w:r>
        <w:t>inscrito</w:t>
      </w:r>
      <w:r>
        <w:rPr>
          <w:spacing w:val="-1"/>
        </w:rPr>
        <w:t xml:space="preserve"> </w:t>
      </w:r>
      <w:r>
        <w:t>en</w:t>
      </w:r>
      <w:r>
        <w:rPr>
          <w:spacing w:val="-1"/>
        </w:rPr>
        <w:t xml:space="preserve"> </w:t>
      </w:r>
      <w:r>
        <w:t>la</w:t>
      </w:r>
      <w:r>
        <w:rPr>
          <w:spacing w:val="-1"/>
        </w:rPr>
        <w:t xml:space="preserve"> </w:t>
      </w:r>
      <w:r>
        <w:t>cultura,</w:t>
      </w:r>
      <w:r>
        <w:rPr>
          <w:spacing w:val="-1"/>
        </w:rPr>
        <w:t xml:space="preserve"> </w:t>
      </w:r>
      <w:r>
        <w:t>en</w:t>
      </w:r>
      <w:r>
        <w:rPr>
          <w:spacing w:val="-1"/>
        </w:rPr>
        <w:t xml:space="preserve"> </w:t>
      </w:r>
      <w:r>
        <w:t>las</w:t>
      </w:r>
      <w:r>
        <w:rPr>
          <w:spacing w:val="-1"/>
        </w:rPr>
        <w:t xml:space="preserve"> </w:t>
      </w:r>
      <w:r>
        <w:t>formas</w:t>
      </w:r>
      <w:r>
        <w:rPr>
          <w:spacing w:val="-1"/>
        </w:rPr>
        <w:t xml:space="preserve"> </w:t>
      </w:r>
      <w:r>
        <w:t>de</w:t>
      </w:r>
      <w:r>
        <w:rPr>
          <w:spacing w:val="-1"/>
        </w:rPr>
        <w:t xml:space="preserve"> </w:t>
      </w:r>
      <w:r>
        <w:t>entender</w:t>
      </w:r>
      <w:r>
        <w:rPr>
          <w:spacing w:val="-1"/>
        </w:rPr>
        <w:t xml:space="preserve"> </w:t>
      </w:r>
      <w:r>
        <w:t>el</w:t>
      </w:r>
      <w:r>
        <w:rPr>
          <w:spacing w:val="-1"/>
        </w:rPr>
        <w:t xml:space="preserve"> </w:t>
      </w:r>
      <w:r>
        <w:t>mundo</w:t>
      </w:r>
      <w:r>
        <w:rPr>
          <w:spacing w:val="-1"/>
        </w:rPr>
        <w:t xml:space="preserve"> </w:t>
      </w:r>
      <w:r>
        <w:t>y</w:t>
      </w:r>
      <w:r>
        <w:rPr>
          <w:spacing w:val="-1"/>
        </w:rPr>
        <w:t xml:space="preserve"> </w:t>
      </w:r>
      <w:r>
        <w:t>los</w:t>
      </w:r>
      <w:r>
        <w:rPr>
          <w:spacing w:val="-1"/>
        </w:rPr>
        <w:t xml:space="preserve"> </w:t>
      </w:r>
      <w:r>
        <w:t>comportamientos</w:t>
      </w:r>
      <w:r>
        <w:rPr>
          <w:spacing w:val="-1"/>
        </w:rPr>
        <w:t xml:space="preserve"> </w:t>
      </w:r>
      <w:r>
        <w:t>de</w:t>
      </w:r>
      <w:r>
        <w:rPr>
          <w:spacing w:val="-1"/>
        </w:rPr>
        <w:t xml:space="preserve"> </w:t>
      </w:r>
      <w:r>
        <w:t>la institucionalidad y una buena parte de la población. Esto ha hecho que las relaciones sean contenciosas, que no haya confianza entre los seres humanos y de ellos hacia las instancias de poder. En conclusión, la doctrina del enemigo interno se ha inscrito en la cultura consciente e inconscientemente y nos impide convivir en la diferencia.</w:t>
      </w:r>
    </w:p>
    <w:p w:rsidR="003804AC" w:rsidRDefault="00AF18A5" w:rsidP="004A6EF4">
      <w:pPr>
        <w:pStyle w:val="Ttulo3"/>
        <w:numPr>
          <w:ilvl w:val="1"/>
          <w:numId w:val="16"/>
        </w:numPr>
      </w:pPr>
      <w:bookmarkStart w:id="1397" w:name="10.8._La_persistencia_del_conflicto_arma"/>
      <w:bookmarkStart w:id="1398" w:name="_Toc112399659"/>
      <w:bookmarkEnd w:id="1397"/>
      <w:r>
        <w:t xml:space="preserve">La </w:t>
      </w:r>
      <w:r w:rsidRPr="000229FA">
        <w:t>persistencia</w:t>
      </w:r>
      <w:r>
        <w:t xml:space="preserve"> del conflicto armado interno contribuye a la naturalización de la </w:t>
      </w:r>
      <w:r>
        <w:rPr>
          <w:spacing w:val="-2"/>
        </w:rPr>
        <w:t>violencia</w:t>
      </w:r>
      <w:bookmarkEnd w:id="1398"/>
    </w:p>
    <w:p w:rsidR="003804AC" w:rsidRDefault="00AF18A5" w:rsidP="000D182E">
      <w:r>
        <w:t>La persistencia de un conflicto armado incide, por supuesto, en la vida de los ciudadanos y de la nación misma, alterando valoraciones, percepciones y emociones. De esta manera, y con la multiplicación de intelecciones que se comparten intencional o espontáneamente, se auto justificaron las violencias, los odios, las respuestas vengativas, los miedos y las estigmatizaciones. Estas violencias, a su vez, se constituyeron en un trauma, en una especie de</w:t>
      </w:r>
      <w:r>
        <w:rPr>
          <w:spacing w:val="-4"/>
        </w:rPr>
        <w:t xml:space="preserve"> </w:t>
      </w:r>
      <w:r>
        <w:t>choque</w:t>
      </w:r>
      <w:r>
        <w:rPr>
          <w:spacing w:val="-2"/>
        </w:rPr>
        <w:t xml:space="preserve"> </w:t>
      </w:r>
      <w:r>
        <w:t>emocional</w:t>
      </w:r>
      <w:r>
        <w:rPr>
          <w:spacing w:val="-1"/>
        </w:rPr>
        <w:t xml:space="preserve"> </w:t>
      </w:r>
      <w:r>
        <w:t>que</w:t>
      </w:r>
      <w:r>
        <w:rPr>
          <w:spacing w:val="-2"/>
        </w:rPr>
        <w:t xml:space="preserve"> </w:t>
      </w:r>
      <w:r>
        <w:t>produjo</w:t>
      </w:r>
      <w:r>
        <w:rPr>
          <w:spacing w:val="-2"/>
        </w:rPr>
        <w:t xml:space="preserve"> </w:t>
      </w:r>
      <w:r>
        <w:t>un</w:t>
      </w:r>
      <w:r>
        <w:rPr>
          <w:spacing w:val="-4"/>
        </w:rPr>
        <w:t xml:space="preserve"> </w:t>
      </w:r>
      <w:r>
        <w:t>daño</w:t>
      </w:r>
      <w:r>
        <w:rPr>
          <w:spacing w:val="-2"/>
        </w:rPr>
        <w:t xml:space="preserve"> </w:t>
      </w:r>
      <w:r>
        <w:t>duradero</w:t>
      </w:r>
      <w:r>
        <w:rPr>
          <w:spacing w:val="-3"/>
        </w:rPr>
        <w:t xml:space="preserve"> </w:t>
      </w:r>
      <w:r>
        <w:t>en</w:t>
      </w:r>
      <w:r>
        <w:rPr>
          <w:spacing w:val="-3"/>
        </w:rPr>
        <w:t xml:space="preserve"> </w:t>
      </w:r>
      <w:r>
        <w:t>el</w:t>
      </w:r>
      <w:r>
        <w:rPr>
          <w:spacing w:val="-1"/>
        </w:rPr>
        <w:t xml:space="preserve"> </w:t>
      </w:r>
      <w:r>
        <w:t>inconsciente</w:t>
      </w:r>
      <w:r>
        <w:rPr>
          <w:spacing w:val="-2"/>
        </w:rPr>
        <w:t xml:space="preserve"> </w:t>
      </w:r>
      <w:r>
        <w:t>que</w:t>
      </w:r>
      <w:r>
        <w:rPr>
          <w:spacing w:val="-1"/>
        </w:rPr>
        <w:t xml:space="preserve"> </w:t>
      </w:r>
      <w:r>
        <w:t>en</w:t>
      </w:r>
      <w:r>
        <w:rPr>
          <w:spacing w:val="-3"/>
        </w:rPr>
        <w:t xml:space="preserve"> </w:t>
      </w:r>
      <w:r>
        <w:t>muchos</w:t>
      </w:r>
      <w:r>
        <w:rPr>
          <w:spacing w:val="-3"/>
        </w:rPr>
        <w:t xml:space="preserve"> </w:t>
      </w:r>
      <w:r>
        <w:rPr>
          <w:spacing w:val="-2"/>
        </w:rPr>
        <w:t>casos</w:t>
      </w:r>
      <w:r w:rsidR="000D182E">
        <w:t xml:space="preserve"> </w:t>
      </w:r>
      <w:r>
        <w:t>ocasiona</w:t>
      </w:r>
      <w:r>
        <w:rPr>
          <w:spacing w:val="-7"/>
        </w:rPr>
        <w:t xml:space="preserve"> </w:t>
      </w:r>
      <w:r>
        <w:t>desórdenes</w:t>
      </w:r>
      <w:r>
        <w:rPr>
          <w:spacing w:val="-7"/>
        </w:rPr>
        <w:t xml:space="preserve"> </w:t>
      </w:r>
      <w:r>
        <w:t>psíquicos</w:t>
      </w:r>
      <w:r>
        <w:rPr>
          <w:spacing w:val="-7"/>
        </w:rPr>
        <w:t xml:space="preserve"> </w:t>
      </w:r>
      <w:r>
        <w:t>y</w:t>
      </w:r>
      <w:r>
        <w:rPr>
          <w:spacing w:val="-7"/>
        </w:rPr>
        <w:t xml:space="preserve"> </w:t>
      </w:r>
      <w:r>
        <w:t>físicos</w:t>
      </w:r>
      <w:r>
        <w:rPr>
          <w:spacing w:val="-7"/>
        </w:rPr>
        <w:t xml:space="preserve"> </w:t>
      </w:r>
      <w:r>
        <w:t>que</w:t>
      </w:r>
      <w:r>
        <w:rPr>
          <w:spacing w:val="-7"/>
        </w:rPr>
        <w:t xml:space="preserve"> </w:t>
      </w:r>
      <w:r>
        <w:t>afectan</w:t>
      </w:r>
      <w:r>
        <w:rPr>
          <w:spacing w:val="-7"/>
        </w:rPr>
        <w:t xml:space="preserve"> </w:t>
      </w:r>
      <w:r>
        <w:t>la</w:t>
      </w:r>
      <w:r>
        <w:rPr>
          <w:spacing w:val="-7"/>
        </w:rPr>
        <w:t xml:space="preserve"> </w:t>
      </w:r>
      <w:r>
        <w:t>calidad</w:t>
      </w:r>
      <w:r>
        <w:rPr>
          <w:spacing w:val="-8"/>
        </w:rPr>
        <w:t xml:space="preserve"> </w:t>
      </w:r>
      <w:r>
        <w:t>de</w:t>
      </w:r>
      <w:r>
        <w:rPr>
          <w:spacing w:val="-7"/>
        </w:rPr>
        <w:t xml:space="preserve"> </w:t>
      </w:r>
      <w:r>
        <w:t>la</w:t>
      </w:r>
      <w:r>
        <w:rPr>
          <w:spacing w:val="-7"/>
        </w:rPr>
        <w:t xml:space="preserve"> </w:t>
      </w:r>
      <w:r>
        <w:t>vida,</w:t>
      </w:r>
      <w:r>
        <w:rPr>
          <w:spacing w:val="-7"/>
        </w:rPr>
        <w:t xml:space="preserve"> </w:t>
      </w:r>
      <w:r>
        <w:t>el</w:t>
      </w:r>
      <w:r>
        <w:rPr>
          <w:spacing w:val="-7"/>
        </w:rPr>
        <w:t xml:space="preserve"> </w:t>
      </w:r>
      <w:r>
        <w:t>discernimiento</w:t>
      </w:r>
      <w:r>
        <w:rPr>
          <w:spacing w:val="-7"/>
        </w:rPr>
        <w:t xml:space="preserve"> </w:t>
      </w:r>
      <w:r>
        <w:t>y el juicio. Las prácticas violentas y los enfrentamientos pasaron a formar parte de la vida cotidiana de no pocas poblaciones colombianas. Siempre hubo una justificación al alcance de la mano de los actores armados, por horrorosos que fueran los sucesos violentos cometidos.</w:t>
      </w:r>
      <w:r>
        <w:rPr>
          <w:spacing w:val="-3"/>
        </w:rPr>
        <w:t xml:space="preserve"> </w:t>
      </w:r>
      <w:r>
        <w:t>Esa</w:t>
      </w:r>
      <w:r>
        <w:rPr>
          <w:spacing w:val="-2"/>
        </w:rPr>
        <w:t xml:space="preserve"> </w:t>
      </w:r>
      <w:r>
        <w:t>justificación</w:t>
      </w:r>
      <w:r>
        <w:rPr>
          <w:spacing w:val="-2"/>
        </w:rPr>
        <w:t xml:space="preserve"> </w:t>
      </w:r>
      <w:r>
        <w:t>la</w:t>
      </w:r>
      <w:r>
        <w:rPr>
          <w:spacing w:val="-2"/>
        </w:rPr>
        <w:t xml:space="preserve"> </w:t>
      </w:r>
      <w:r>
        <w:t>podemos</w:t>
      </w:r>
      <w:r>
        <w:rPr>
          <w:spacing w:val="-2"/>
        </w:rPr>
        <w:t xml:space="preserve"> </w:t>
      </w:r>
      <w:r>
        <w:t>formular</w:t>
      </w:r>
      <w:r>
        <w:rPr>
          <w:spacing w:val="-2"/>
        </w:rPr>
        <w:t xml:space="preserve"> </w:t>
      </w:r>
      <w:r>
        <w:t>como</w:t>
      </w:r>
      <w:r>
        <w:rPr>
          <w:spacing w:val="-2"/>
        </w:rPr>
        <w:t xml:space="preserve"> </w:t>
      </w:r>
      <w:r>
        <w:t>sigue:</w:t>
      </w:r>
      <w:r>
        <w:rPr>
          <w:spacing w:val="-2"/>
        </w:rPr>
        <w:t xml:space="preserve"> </w:t>
      </w:r>
      <w:r>
        <w:t>hay</w:t>
      </w:r>
      <w:r>
        <w:rPr>
          <w:spacing w:val="-2"/>
        </w:rPr>
        <w:t xml:space="preserve"> </w:t>
      </w:r>
      <w:r>
        <w:t>que</w:t>
      </w:r>
      <w:r>
        <w:rPr>
          <w:spacing w:val="-2"/>
        </w:rPr>
        <w:t xml:space="preserve"> </w:t>
      </w:r>
      <w:r>
        <w:t>defenderse</w:t>
      </w:r>
      <w:r>
        <w:rPr>
          <w:spacing w:val="-2"/>
        </w:rPr>
        <w:t xml:space="preserve"> </w:t>
      </w:r>
      <w:r>
        <w:t>del</w:t>
      </w:r>
      <w:r>
        <w:rPr>
          <w:spacing w:val="-2"/>
        </w:rPr>
        <w:t xml:space="preserve"> </w:t>
      </w:r>
      <w:r>
        <w:t>«otro malvado», responsable de todo cuanto suceda y al cual se le tiene que contraatacar hasta aniquilarlo.</w:t>
      </w:r>
      <w:r>
        <w:rPr>
          <w:spacing w:val="-8"/>
        </w:rPr>
        <w:t xml:space="preserve"> </w:t>
      </w:r>
      <w:r>
        <w:t>Aniquilar</w:t>
      </w:r>
      <w:r>
        <w:rPr>
          <w:spacing w:val="-8"/>
        </w:rPr>
        <w:t xml:space="preserve"> </w:t>
      </w:r>
      <w:r>
        <w:lastRenderedPageBreak/>
        <w:t>se</w:t>
      </w:r>
      <w:r>
        <w:rPr>
          <w:spacing w:val="-9"/>
        </w:rPr>
        <w:t xml:space="preserve"> </w:t>
      </w:r>
      <w:r>
        <w:t>convirtió</w:t>
      </w:r>
      <w:r>
        <w:rPr>
          <w:spacing w:val="-8"/>
        </w:rPr>
        <w:t xml:space="preserve"> </w:t>
      </w:r>
      <w:r>
        <w:t>en</w:t>
      </w:r>
      <w:r>
        <w:rPr>
          <w:spacing w:val="-10"/>
        </w:rPr>
        <w:t xml:space="preserve"> </w:t>
      </w:r>
      <w:r>
        <w:t>el</w:t>
      </w:r>
      <w:r>
        <w:rPr>
          <w:spacing w:val="-8"/>
        </w:rPr>
        <w:t xml:space="preserve"> </w:t>
      </w:r>
      <w:r>
        <w:t>verbo</w:t>
      </w:r>
      <w:r>
        <w:rPr>
          <w:spacing w:val="-8"/>
        </w:rPr>
        <w:t xml:space="preserve"> </w:t>
      </w:r>
      <w:r>
        <w:t>a</w:t>
      </w:r>
      <w:r>
        <w:rPr>
          <w:spacing w:val="-8"/>
        </w:rPr>
        <w:t xml:space="preserve"> </w:t>
      </w:r>
      <w:r>
        <w:t>conjugar.</w:t>
      </w:r>
      <w:r>
        <w:rPr>
          <w:spacing w:val="-8"/>
        </w:rPr>
        <w:t xml:space="preserve"> </w:t>
      </w:r>
      <w:r>
        <w:t>En</w:t>
      </w:r>
      <w:r>
        <w:rPr>
          <w:spacing w:val="-8"/>
        </w:rPr>
        <w:t xml:space="preserve"> </w:t>
      </w:r>
      <w:r>
        <w:t>la</w:t>
      </w:r>
      <w:r>
        <w:rPr>
          <w:spacing w:val="-8"/>
        </w:rPr>
        <w:t xml:space="preserve"> </w:t>
      </w:r>
      <w:r>
        <w:t>sociedad</w:t>
      </w:r>
      <w:r>
        <w:rPr>
          <w:spacing w:val="-8"/>
        </w:rPr>
        <w:t xml:space="preserve"> </w:t>
      </w:r>
      <w:r>
        <w:t>civil</w:t>
      </w:r>
      <w:r>
        <w:rPr>
          <w:spacing w:val="-9"/>
        </w:rPr>
        <w:t xml:space="preserve"> </w:t>
      </w:r>
      <w:r>
        <w:t>también</w:t>
      </w:r>
      <w:r>
        <w:rPr>
          <w:spacing w:val="-10"/>
        </w:rPr>
        <w:t xml:space="preserve"> </w:t>
      </w:r>
      <w:r>
        <w:t>se</w:t>
      </w:r>
      <w:r>
        <w:rPr>
          <w:spacing w:val="-8"/>
        </w:rPr>
        <w:t xml:space="preserve"> </w:t>
      </w:r>
      <w:r>
        <w:t>fue legitimando</w:t>
      </w:r>
      <w:r>
        <w:rPr>
          <w:spacing w:val="-5"/>
        </w:rPr>
        <w:t xml:space="preserve"> </w:t>
      </w:r>
      <w:r>
        <w:t>hacer</w:t>
      </w:r>
      <w:r>
        <w:rPr>
          <w:spacing w:val="-4"/>
        </w:rPr>
        <w:t xml:space="preserve"> </w:t>
      </w:r>
      <w:r>
        <w:t>justicia</w:t>
      </w:r>
      <w:r>
        <w:rPr>
          <w:spacing w:val="-5"/>
        </w:rPr>
        <w:t xml:space="preserve"> </w:t>
      </w:r>
      <w:r>
        <w:t>por</w:t>
      </w:r>
      <w:r>
        <w:rPr>
          <w:spacing w:val="-4"/>
        </w:rPr>
        <w:t xml:space="preserve"> </w:t>
      </w:r>
      <w:r>
        <w:t>propia</w:t>
      </w:r>
      <w:r>
        <w:rPr>
          <w:spacing w:val="-6"/>
        </w:rPr>
        <w:t xml:space="preserve"> </w:t>
      </w:r>
      <w:r>
        <w:t>mano</w:t>
      </w:r>
      <w:r>
        <w:rPr>
          <w:spacing w:val="-5"/>
        </w:rPr>
        <w:t xml:space="preserve"> </w:t>
      </w:r>
      <w:r>
        <w:t>Mientras</w:t>
      </w:r>
      <w:r>
        <w:rPr>
          <w:spacing w:val="-5"/>
        </w:rPr>
        <w:t xml:space="preserve"> </w:t>
      </w:r>
      <w:r>
        <w:t>haya</w:t>
      </w:r>
      <w:r>
        <w:rPr>
          <w:spacing w:val="-5"/>
        </w:rPr>
        <w:t xml:space="preserve"> </w:t>
      </w:r>
      <w:r>
        <w:t>odio,</w:t>
      </w:r>
      <w:r>
        <w:rPr>
          <w:spacing w:val="-5"/>
        </w:rPr>
        <w:t xml:space="preserve"> </w:t>
      </w:r>
      <w:r>
        <w:t>habrá</w:t>
      </w:r>
      <w:r>
        <w:rPr>
          <w:spacing w:val="-5"/>
        </w:rPr>
        <w:t xml:space="preserve"> </w:t>
      </w:r>
      <w:r>
        <w:t>una</w:t>
      </w:r>
      <w:r>
        <w:rPr>
          <w:spacing w:val="-5"/>
        </w:rPr>
        <w:t xml:space="preserve"> </w:t>
      </w:r>
      <w:r>
        <w:t>viva</w:t>
      </w:r>
      <w:r>
        <w:rPr>
          <w:spacing w:val="-5"/>
        </w:rPr>
        <w:t xml:space="preserve"> </w:t>
      </w:r>
      <w:r>
        <w:t>propensión</w:t>
      </w:r>
      <w:r>
        <w:rPr>
          <w:spacing w:val="-5"/>
        </w:rPr>
        <w:t xml:space="preserve"> </w:t>
      </w:r>
      <w:r>
        <w:t>a destruir el objeto odiado, temido.</w:t>
      </w:r>
    </w:p>
    <w:p w:rsidR="003804AC" w:rsidRDefault="00AF18A5" w:rsidP="000D182E">
      <w:r>
        <w:t>La</w:t>
      </w:r>
      <w:r>
        <w:rPr>
          <w:spacing w:val="-12"/>
        </w:rPr>
        <w:t xml:space="preserve"> </w:t>
      </w:r>
      <w:r>
        <w:t>impunidad</w:t>
      </w:r>
      <w:r>
        <w:rPr>
          <w:spacing w:val="-12"/>
        </w:rPr>
        <w:t xml:space="preserve"> </w:t>
      </w:r>
      <w:r>
        <w:t>ha</w:t>
      </w:r>
      <w:r>
        <w:rPr>
          <w:spacing w:val="-12"/>
        </w:rPr>
        <w:t xml:space="preserve"> </w:t>
      </w:r>
      <w:r>
        <w:t>sido</w:t>
      </w:r>
      <w:r>
        <w:rPr>
          <w:spacing w:val="-12"/>
        </w:rPr>
        <w:t xml:space="preserve"> </w:t>
      </w:r>
      <w:r>
        <w:t>una</w:t>
      </w:r>
      <w:r>
        <w:rPr>
          <w:spacing w:val="-12"/>
        </w:rPr>
        <w:t xml:space="preserve"> </w:t>
      </w:r>
      <w:r>
        <w:t>condición</w:t>
      </w:r>
      <w:r>
        <w:rPr>
          <w:spacing w:val="-12"/>
        </w:rPr>
        <w:t xml:space="preserve"> </w:t>
      </w:r>
      <w:r>
        <w:t>imperante</w:t>
      </w:r>
      <w:r>
        <w:rPr>
          <w:spacing w:val="-12"/>
        </w:rPr>
        <w:t xml:space="preserve"> </w:t>
      </w:r>
      <w:r>
        <w:t>en</w:t>
      </w:r>
      <w:r>
        <w:rPr>
          <w:spacing w:val="-13"/>
        </w:rPr>
        <w:t xml:space="preserve"> </w:t>
      </w:r>
      <w:r>
        <w:t>el</w:t>
      </w:r>
      <w:r>
        <w:rPr>
          <w:spacing w:val="-12"/>
        </w:rPr>
        <w:t xml:space="preserve"> </w:t>
      </w:r>
      <w:r>
        <w:t>país</w:t>
      </w:r>
      <w:r>
        <w:rPr>
          <w:spacing w:val="-12"/>
        </w:rPr>
        <w:t xml:space="preserve"> </w:t>
      </w:r>
      <w:r>
        <w:t>que</w:t>
      </w:r>
      <w:r>
        <w:rPr>
          <w:spacing w:val="-12"/>
        </w:rPr>
        <w:t xml:space="preserve"> </w:t>
      </w:r>
      <w:r>
        <w:t>ha</w:t>
      </w:r>
      <w:r>
        <w:rPr>
          <w:spacing w:val="-12"/>
        </w:rPr>
        <w:t xml:space="preserve"> </w:t>
      </w:r>
      <w:r>
        <w:t>extendido</w:t>
      </w:r>
      <w:r>
        <w:rPr>
          <w:spacing w:val="-13"/>
        </w:rPr>
        <w:t xml:space="preserve"> </w:t>
      </w:r>
      <w:r>
        <w:t>estas</w:t>
      </w:r>
      <w:r>
        <w:rPr>
          <w:spacing w:val="-12"/>
        </w:rPr>
        <w:t xml:space="preserve"> </w:t>
      </w:r>
      <w:r>
        <w:t>prácticas. En</w:t>
      </w:r>
      <w:r>
        <w:rPr>
          <w:spacing w:val="-4"/>
        </w:rPr>
        <w:t xml:space="preserve"> </w:t>
      </w:r>
      <w:r>
        <w:t>especial</w:t>
      </w:r>
      <w:r>
        <w:rPr>
          <w:spacing w:val="-6"/>
        </w:rPr>
        <w:t xml:space="preserve"> </w:t>
      </w:r>
      <w:r>
        <w:t>por</w:t>
      </w:r>
      <w:r>
        <w:rPr>
          <w:spacing w:val="-3"/>
        </w:rPr>
        <w:t xml:space="preserve"> </w:t>
      </w:r>
      <w:r>
        <w:t>la</w:t>
      </w:r>
      <w:r>
        <w:rPr>
          <w:spacing w:val="-5"/>
        </w:rPr>
        <w:t xml:space="preserve"> </w:t>
      </w:r>
      <w:r>
        <w:t>falta</w:t>
      </w:r>
      <w:r>
        <w:rPr>
          <w:spacing w:val="-3"/>
        </w:rPr>
        <w:t xml:space="preserve"> </w:t>
      </w:r>
      <w:r>
        <w:t>de</w:t>
      </w:r>
      <w:r>
        <w:rPr>
          <w:spacing w:val="-3"/>
        </w:rPr>
        <w:t xml:space="preserve"> </w:t>
      </w:r>
      <w:r>
        <w:t>un</w:t>
      </w:r>
      <w:r>
        <w:rPr>
          <w:spacing w:val="-4"/>
        </w:rPr>
        <w:t xml:space="preserve"> </w:t>
      </w:r>
      <w:r>
        <w:t>criterio</w:t>
      </w:r>
      <w:r>
        <w:rPr>
          <w:spacing w:val="-5"/>
        </w:rPr>
        <w:t xml:space="preserve"> </w:t>
      </w:r>
      <w:r>
        <w:t>ético</w:t>
      </w:r>
      <w:r>
        <w:rPr>
          <w:spacing w:val="-5"/>
        </w:rPr>
        <w:t xml:space="preserve"> </w:t>
      </w:r>
      <w:r>
        <w:t>y</w:t>
      </w:r>
      <w:r>
        <w:rPr>
          <w:spacing w:val="-4"/>
        </w:rPr>
        <w:t xml:space="preserve"> </w:t>
      </w:r>
      <w:r>
        <w:t>de</w:t>
      </w:r>
      <w:r>
        <w:rPr>
          <w:spacing w:val="-5"/>
        </w:rPr>
        <w:t xml:space="preserve"> </w:t>
      </w:r>
      <w:r>
        <w:t>una</w:t>
      </w:r>
      <w:r>
        <w:rPr>
          <w:spacing w:val="-3"/>
        </w:rPr>
        <w:t xml:space="preserve"> </w:t>
      </w:r>
      <w:r>
        <w:t>autoridad</w:t>
      </w:r>
      <w:r>
        <w:rPr>
          <w:spacing w:val="-6"/>
        </w:rPr>
        <w:t xml:space="preserve"> </w:t>
      </w:r>
      <w:r>
        <w:t>que</w:t>
      </w:r>
      <w:r>
        <w:rPr>
          <w:spacing w:val="-3"/>
        </w:rPr>
        <w:t xml:space="preserve"> </w:t>
      </w:r>
      <w:r>
        <w:t>muestre</w:t>
      </w:r>
      <w:r>
        <w:rPr>
          <w:spacing w:val="-5"/>
        </w:rPr>
        <w:t xml:space="preserve"> </w:t>
      </w:r>
      <w:r>
        <w:t>lo</w:t>
      </w:r>
      <w:r>
        <w:rPr>
          <w:spacing w:val="-4"/>
        </w:rPr>
        <w:t xml:space="preserve"> </w:t>
      </w:r>
      <w:r>
        <w:t>que</w:t>
      </w:r>
      <w:r>
        <w:rPr>
          <w:spacing w:val="-5"/>
        </w:rPr>
        <w:t xml:space="preserve"> </w:t>
      </w:r>
      <w:r>
        <w:t>está</w:t>
      </w:r>
      <w:r>
        <w:rPr>
          <w:spacing w:val="-3"/>
        </w:rPr>
        <w:t xml:space="preserve"> </w:t>
      </w:r>
      <w:r>
        <w:t>bien</w:t>
      </w:r>
      <w:r>
        <w:rPr>
          <w:spacing w:val="-4"/>
        </w:rPr>
        <w:t xml:space="preserve"> </w:t>
      </w:r>
      <w:r>
        <w:t>o mal,</w:t>
      </w:r>
      <w:r>
        <w:rPr>
          <w:spacing w:val="-5"/>
        </w:rPr>
        <w:t xml:space="preserve"> </w:t>
      </w:r>
      <w:r>
        <w:t>que</w:t>
      </w:r>
      <w:r>
        <w:rPr>
          <w:spacing w:val="-5"/>
        </w:rPr>
        <w:t xml:space="preserve"> </w:t>
      </w:r>
      <w:r>
        <w:t>sancione</w:t>
      </w:r>
      <w:r>
        <w:rPr>
          <w:spacing w:val="-6"/>
        </w:rPr>
        <w:t xml:space="preserve"> </w:t>
      </w:r>
      <w:r>
        <w:t>la</w:t>
      </w:r>
      <w:r>
        <w:rPr>
          <w:spacing w:val="-5"/>
        </w:rPr>
        <w:t xml:space="preserve"> </w:t>
      </w:r>
      <w:r>
        <w:t>violación</w:t>
      </w:r>
      <w:r>
        <w:rPr>
          <w:spacing w:val="-5"/>
        </w:rPr>
        <w:t xml:space="preserve"> </w:t>
      </w:r>
      <w:r>
        <w:t>de</w:t>
      </w:r>
      <w:r>
        <w:rPr>
          <w:spacing w:val="-6"/>
        </w:rPr>
        <w:t xml:space="preserve"> </w:t>
      </w:r>
      <w:r>
        <w:t>derechos</w:t>
      </w:r>
      <w:r>
        <w:rPr>
          <w:spacing w:val="-5"/>
        </w:rPr>
        <w:t xml:space="preserve"> </w:t>
      </w:r>
      <w:r>
        <w:t>humanos</w:t>
      </w:r>
      <w:r>
        <w:rPr>
          <w:spacing w:val="-5"/>
        </w:rPr>
        <w:t xml:space="preserve"> </w:t>
      </w:r>
      <w:r>
        <w:t>o</w:t>
      </w:r>
      <w:r>
        <w:rPr>
          <w:spacing w:val="-6"/>
        </w:rPr>
        <w:t xml:space="preserve"> </w:t>
      </w:r>
      <w:r>
        <w:t>señale</w:t>
      </w:r>
      <w:r>
        <w:rPr>
          <w:spacing w:val="-6"/>
        </w:rPr>
        <w:t xml:space="preserve"> </w:t>
      </w:r>
      <w:r>
        <w:t>el</w:t>
      </w:r>
      <w:r>
        <w:rPr>
          <w:spacing w:val="-5"/>
        </w:rPr>
        <w:t xml:space="preserve"> </w:t>
      </w:r>
      <w:r>
        <w:t>horizonte</w:t>
      </w:r>
      <w:r>
        <w:rPr>
          <w:spacing w:val="-6"/>
        </w:rPr>
        <w:t xml:space="preserve"> </w:t>
      </w:r>
      <w:r>
        <w:t>de</w:t>
      </w:r>
      <w:r>
        <w:rPr>
          <w:spacing w:val="-5"/>
        </w:rPr>
        <w:t xml:space="preserve"> </w:t>
      </w:r>
      <w:r>
        <w:t>la</w:t>
      </w:r>
      <w:r>
        <w:rPr>
          <w:spacing w:val="-6"/>
        </w:rPr>
        <w:t xml:space="preserve"> </w:t>
      </w:r>
      <w:r>
        <w:t>convivencia. Mientras</w:t>
      </w:r>
      <w:r>
        <w:rPr>
          <w:spacing w:val="-1"/>
        </w:rPr>
        <w:t xml:space="preserve"> </w:t>
      </w:r>
      <w:r>
        <w:t>no</w:t>
      </w:r>
      <w:r>
        <w:rPr>
          <w:spacing w:val="-4"/>
        </w:rPr>
        <w:t xml:space="preserve"> </w:t>
      </w:r>
      <w:r>
        <w:t>existan</w:t>
      </w:r>
      <w:r>
        <w:rPr>
          <w:spacing w:val="-1"/>
        </w:rPr>
        <w:t xml:space="preserve"> </w:t>
      </w:r>
      <w:r>
        <w:t>diques</w:t>
      </w:r>
      <w:r>
        <w:rPr>
          <w:spacing w:val="-1"/>
        </w:rPr>
        <w:t xml:space="preserve"> </w:t>
      </w:r>
      <w:r>
        <w:t>que</w:t>
      </w:r>
      <w:r>
        <w:rPr>
          <w:spacing w:val="-2"/>
        </w:rPr>
        <w:t xml:space="preserve"> </w:t>
      </w:r>
      <w:r>
        <w:t>limiten</w:t>
      </w:r>
      <w:r>
        <w:rPr>
          <w:spacing w:val="-1"/>
        </w:rPr>
        <w:t xml:space="preserve"> </w:t>
      </w:r>
      <w:r>
        <w:t>el</w:t>
      </w:r>
      <w:r>
        <w:rPr>
          <w:spacing w:val="-1"/>
        </w:rPr>
        <w:t xml:space="preserve"> </w:t>
      </w:r>
      <w:r>
        <w:t>odio,</w:t>
      </w:r>
      <w:r>
        <w:rPr>
          <w:spacing w:val="-1"/>
        </w:rPr>
        <w:t xml:space="preserve"> </w:t>
      </w:r>
      <w:r>
        <w:t>esta</w:t>
      </w:r>
      <w:r>
        <w:rPr>
          <w:spacing w:val="-1"/>
        </w:rPr>
        <w:t xml:space="preserve"> </w:t>
      </w:r>
      <w:r>
        <w:t>pasión</w:t>
      </w:r>
      <w:r>
        <w:rPr>
          <w:spacing w:val="-1"/>
        </w:rPr>
        <w:t xml:space="preserve"> </w:t>
      </w:r>
      <w:r>
        <w:t>es</w:t>
      </w:r>
      <w:r>
        <w:rPr>
          <w:spacing w:val="-3"/>
        </w:rPr>
        <w:t xml:space="preserve"> </w:t>
      </w:r>
      <w:r>
        <w:t>capaz</w:t>
      </w:r>
      <w:r>
        <w:rPr>
          <w:spacing w:val="-1"/>
        </w:rPr>
        <w:t xml:space="preserve"> </w:t>
      </w:r>
      <w:r>
        <w:t>de</w:t>
      </w:r>
      <w:r>
        <w:rPr>
          <w:spacing w:val="-2"/>
        </w:rPr>
        <w:t xml:space="preserve"> </w:t>
      </w:r>
      <w:r>
        <w:t>prosperar</w:t>
      </w:r>
      <w:r>
        <w:rPr>
          <w:spacing w:val="-2"/>
        </w:rPr>
        <w:t xml:space="preserve"> </w:t>
      </w:r>
      <w:r>
        <w:t>hasta</w:t>
      </w:r>
      <w:r>
        <w:rPr>
          <w:spacing w:val="-2"/>
        </w:rPr>
        <w:t xml:space="preserve"> </w:t>
      </w:r>
      <w:r>
        <w:t>fines insospechados,</w:t>
      </w:r>
      <w:r>
        <w:rPr>
          <w:spacing w:val="-4"/>
        </w:rPr>
        <w:t xml:space="preserve"> </w:t>
      </w:r>
      <w:r>
        <w:t>más</w:t>
      </w:r>
      <w:r>
        <w:rPr>
          <w:spacing w:val="-3"/>
        </w:rPr>
        <w:t xml:space="preserve"> </w:t>
      </w:r>
      <w:r>
        <w:t>allá</w:t>
      </w:r>
      <w:r>
        <w:rPr>
          <w:spacing w:val="-4"/>
        </w:rPr>
        <w:t xml:space="preserve"> </w:t>
      </w:r>
      <w:r>
        <w:t>de</w:t>
      </w:r>
      <w:r>
        <w:rPr>
          <w:spacing w:val="-3"/>
        </w:rPr>
        <w:t xml:space="preserve"> </w:t>
      </w:r>
      <w:r>
        <w:t>los</w:t>
      </w:r>
      <w:r>
        <w:rPr>
          <w:spacing w:val="-3"/>
        </w:rPr>
        <w:t xml:space="preserve"> </w:t>
      </w:r>
      <w:r>
        <w:t>intereses</w:t>
      </w:r>
      <w:r>
        <w:rPr>
          <w:spacing w:val="-3"/>
        </w:rPr>
        <w:t xml:space="preserve"> </w:t>
      </w:r>
      <w:r>
        <w:t>sociales,</w:t>
      </w:r>
      <w:r>
        <w:rPr>
          <w:spacing w:val="-5"/>
        </w:rPr>
        <w:t xml:space="preserve"> </w:t>
      </w:r>
      <w:r>
        <w:t>políticos</w:t>
      </w:r>
      <w:r>
        <w:rPr>
          <w:spacing w:val="-3"/>
        </w:rPr>
        <w:t xml:space="preserve"> </w:t>
      </w:r>
      <w:r>
        <w:t>y</w:t>
      </w:r>
      <w:r>
        <w:rPr>
          <w:spacing w:val="-5"/>
        </w:rPr>
        <w:t xml:space="preserve"> </w:t>
      </w:r>
      <w:r>
        <w:t>económicos.</w:t>
      </w:r>
      <w:r>
        <w:rPr>
          <w:spacing w:val="-5"/>
        </w:rPr>
        <w:t xml:space="preserve"> </w:t>
      </w:r>
      <w:r>
        <w:t>Tres</w:t>
      </w:r>
      <w:r>
        <w:rPr>
          <w:spacing w:val="-3"/>
        </w:rPr>
        <w:t xml:space="preserve"> </w:t>
      </w:r>
      <w:r>
        <w:t>generaciones enteras que no han podido conocer un país en paz han alimentado el conflicto armado con odios y venganzas, pero también con indolencia y falta de empatía con las víctimas directas e indirectas.</w:t>
      </w:r>
    </w:p>
    <w:p w:rsidR="003804AC" w:rsidRDefault="00AF18A5" w:rsidP="000D182E">
      <w:r>
        <w:t>El analista y politólogo Jorge Giraldo expresa que «una consecuencia imprevista y desgraciada de la acumulación de violencias y victimizaciones es la retroalimentación de la guerra que se da debido a que la dinámica bélica crea las condiciones para su propio crecimiento». El autor resalta que los vacíos normativos y soberanos del Estado, así como las</w:t>
      </w:r>
      <w:r>
        <w:rPr>
          <w:spacing w:val="-3"/>
        </w:rPr>
        <w:t xml:space="preserve"> </w:t>
      </w:r>
      <w:r>
        <w:t>acciones</w:t>
      </w:r>
      <w:r>
        <w:rPr>
          <w:spacing w:val="-4"/>
        </w:rPr>
        <w:t xml:space="preserve"> </w:t>
      </w:r>
      <w:r>
        <w:t>insurgentes</w:t>
      </w:r>
      <w:r>
        <w:rPr>
          <w:spacing w:val="-4"/>
        </w:rPr>
        <w:t xml:space="preserve"> </w:t>
      </w:r>
      <w:r>
        <w:t>y</w:t>
      </w:r>
      <w:r>
        <w:rPr>
          <w:spacing w:val="-3"/>
        </w:rPr>
        <w:t xml:space="preserve"> </w:t>
      </w:r>
      <w:r>
        <w:t>contrainsurgentes,</w:t>
      </w:r>
      <w:r>
        <w:rPr>
          <w:spacing w:val="-3"/>
        </w:rPr>
        <w:t xml:space="preserve"> </w:t>
      </w:r>
      <w:r>
        <w:t>generan</w:t>
      </w:r>
      <w:r>
        <w:rPr>
          <w:spacing w:val="-3"/>
        </w:rPr>
        <w:t xml:space="preserve"> </w:t>
      </w:r>
      <w:r>
        <w:t>un</w:t>
      </w:r>
      <w:r>
        <w:rPr>
          <w:spacing w:val="-3"/>
        </w:rPr>
        <w:t xml:space="preserve"> </w:t>
      </w:r>
      <w:r>
        <w:t>ambiente</w:t>
      </w:r>
      <w:r>
        <w:rPr>
          <w:spacing w:val="-3"/>
        </w:rPr>
        <w:t xml:space="preserve"> </w:t>
      </w:r>
      <w:r>
        <w:t>propicio</w:t>
      </w:r>
      <w:r>
        <w:rPr>
          <w:spacing w:val="-3"/>
        </w:rPr>
        <w:t xml:space="preserve"> </w:t>
      </w:r>
      <w:r>
        <w:t>para</w:t>
      </w:r>
      <w:r>
        <w:rPr>
          <w:spacing w:val="-3"/>
        </w:rPr>
        <w:t xml:space="preserve"> </w:t>
      </w:r>
      <w:r>
        <w:t>que</w:t>
      </w:r>
      <w:r>
        <w:rPr>
          <w:spacing w:val="-3"/>
        </w:rPr>
        <w:t xml:space="preserve"> </w:t>
      </w:r>
      <w:r>
        <w:t>afloren los antagonismos parroquiales, el odio social, los deseos de venganza, las rivalidades religiosas y de intereses.</w:t>
      </w:r>
    </w:p>
    <w:p w:rsidR="003804AC" w:rsidRDefault="00AF18A5" w:rsidP="000D182E">
      <w:r>
        <w:t>Mientras no se visibilice el perjuicio acumulado de mentiras y no se desenmascare la construcción</w:t>
      </w:r>
      <w:r>
        <w:rPr>
          <w:spacing w:val="-15"/>
        </w:rPr>
        <w:t xml:space="preserve"> </w:t>
      </w:r>
      <w:r>
        <w:t>del</w:t>
      </w:r>
      <w:r>
        <w:rPr>
          <w:spacing w:val="-15"/>
        </w:rPr>
        <w:t xml:space="preserve"> </w:t>
      </w:r>
      <w:r>
        <w:t>«sentido</w:t>
      </w:r>
      <w:r>
        <w:rPr>
          <w:spacing w:val="-15"/>
        </w:rPr>
        <w:t xml:space="preserve"> </w:t>
      </w:r>
      <w:r>
        <w:t>común»</w:t>
      </w:r>
      <w:r>
        <w:rPr>
          <w:spacing w:val="-15"/>
        </w:rPr>
        <w:t xml:space="preserve"> </w:t>
      </w:r>
      <w:r>
        <w:t>construido,</w:t>
      </w:r>
      <w:r>
        <w:rPr>
          <w:spacing w:val="-15"/>
        </w:rPr>
        <w:t xml:space="preserve"> </w:t>
      </w:r>
      <w:r>
        <w:t>los</w:t>
      </w:r>
      <w:r>
        <w:rPr>
          <w:spacing w:val="-15"/>
        </w:rPr>
        <w:t xml:space="preserve"> </w:t>
      </w:r>
      <w:r>
        <w:t>antagonismos</w:t>
      </w:r>
      <w:r>
        <w:rPr>
          <w:spacing w:val="-15"/>
        </w:rPr>
        <w:t xml:space="preserve"> </w:t>
      </w:r>
      <w:r>
        <w:t>y</w:t>
      </w:r>
      <w:r>
        <w:rPr>
          <w:spacing w:val="-15"/>
        </w:rPr>
        <w:t xml:space="preserve"> </w:t>
      </w:r>
      <w:r>
        <w:t>los</w:t>
      </w:r>
      <w:r>
        <w:rPr>
          <w:spacing w:val="-14"/>
        </w:rPr>
        <w:t xml:space="preserve"> </w:t>
      </w:r>
      <w:r>
        <w:t>odios</w:t>
      </w:r>
      <w:r>
        <w:rPr>
          <w:spacing w:val="-14"/>
        </w:rPr>
        <w:t xml:space="preserve"> </w:t>
      </w:r>
      <w:r>
        <w:t>seguirán</w:t>
      </w:r>
      <w:r>
        <w:rPr>
          <w:spacing w:val="-14"/>
        </w:rPr>
        <w:t xml:space="preserve"> </w:t>
      </w:r>
      <w:r>
        <w:t>en</w:t>
      </w:r>
      <w:r>
        <w:rPr>
          <w:spacing w:val="-15"/>
        </w:rPr>
        <w:t xml:space="preserve"> </w:t>
      </w:r>
      <w:r>
        <w:t xml:space="preserve">todos los niveles, pues la sociedad, el Estado y los grupos armados participan de la misma matriz de sentido. En ella, precisamente, tiene valor la misión encomendada a la </w:t>
      </w:r>
      <w:r>
        <w:lastRenderedPageBreak/>
        <w:t>Comisión de la Verdad, para ayudar a introducir intelecciones que se han reprimido en la vida cotidiana.</w:t>
      </w:r>
    </w:p>
    <w:p w:rsidR="003804AC" w:rsidRDefault="00AF18A5" w:rsidP="000D182E">
      <w:r>
        <w:t>El</w:t>
      </w:r>
      <w:r>
        <w:rPr>
          <w:spacing w:val="-7"/>
        </w:rPr>
        <w:t xml:space="preserve"> </w:t>
      </w:r>
      <w:r>
        <w:t>siguiente</w:t>
      </w:r>
      <w:r>
        <w:rPr>
          <w:spacing w:val="-9"/>
        </w:rPr>
        <w:t xml:space="preserve"> </w:t>
      </w:r>
      <w:r>
        <w:t>testimonio</w:t>
      </w:r>
      <w:r>
        <w:rPr>
          <w:spacing w:val="-7"/>
        </w:rPr>
        <w:t xml:space="preserve"> </w:t>
      </w:r>
      <w:r>
        <w:t>de</w:t>
      </w:r>
      <w:r>
        <w:rPr>
          <w:spacing w:val="-7"/>
        </w:rPr>
        <w:t xml:space="preserve"> </w:t>
      </w:r>
      <w:r>
        <w:t>Fabio</w:t>
      </w:r>
      <w:r>
        <w:rPr>
          <w:spacing w:val="-7"/>
        </w:rPr>
        <w:t xml:space="preserve"> </w:t>
      </w:r>
      <w:r>
        <w:t>Mariño,</w:t>
      </w:r>
      <w:r>
        <w:rPr>
          <w:spacing w:val="-7"/>
        </w:rPr>
        <w:t xml:space="preserve"> </w:t>
      </w:r>
      <w:r>
        <w:t>excombatiente</w:t>
      </w:r>
      <w:r>
        <w:rPr>
          <w:spacing w:val="-7"/>
        </w:rPr>
        <w:t xml:space="preserve"> </w:t>
      </w:r>
      <w:r>
        <w:t>del</w:t>
      </w:r>
      <w:r>
        <w:rPr>
          <w:spacing w:val="-8"/>
        </w:rPr>
        <w:t xml:space="preserve"> </w:t>
      </w:r>
      <w:r>
        <w:t>M-19,</w:t>
      </w:r>
      <w:r>
        <w:rPr>
          <w:spacing w:val="-7"/>
        </w:rPr>
        <w:t xml:space="preserve"> </w:t>
      </w:r>
      <w:r>
        <w:t>ante</w:t>
      </w:r>
      <w:r>
        <w:rPr>
          <w:spacing w:val="-7"/>
        </w:rPr>
        <w:t xml:space="preserve"> </w:t>
      </w:r>
      <w:r>
        <w:t>la</w:t>
      </w:r>
      <w:r>
        <w:rPr>
          <w:spacing w:val="-7"/>
        </w:rPr>
        <w:t xml:space="preserve"> </w:t>
      </w:r>
      <w:r>
        <w:t>Comisión</w:t>
      </w:r>
      <w:r>
        <w:rPr>
          <w:spacing w:val="-8"/>
        </w:rPr>
        <w:t xml:space="preserve"> </w:t>
      </w:r>
      <w:r>
        <w:t>de</w:t>
      </w:r>
      <w:r>
        <w:rPr>
          <w:spacing w:val="-7"/>
        </w:rPr>
        <w:t xml:space="preserve"> </w:t>
      </w:r>
      <w:r>
        <w:t>la Verdad da cuenta de ese problema:</w:t>
      </w:r>
    </w:p>
    <w:p w:rsidR="003804AC" w:rsidRDefault="00AF18A5" w:rsidP="000D182E">
      <w:r>
        <w:t>«Yo</w:t>
      </w:r>
      <w:r>
        <w:rPr>
          <w:spacing w:val="-8"/>
        </w:rPr>
        <w:t xml:space="preserve"> </w:t>
      </w:r>
      <w:r>
        <w:t>soy</w:t>
      </w:r>
      <w:r>
        <w:rPr>
          <w:spacing w:val="-8"/>
        </w:rPr>
        <w:t xml:space="preserve"> </w:t>
      </w:r>
      <w:r>
        <w:t>hijo</w:t>
      </w:r>
      <w:r>
        <w:rPr>
          <w:spacing w:val="-10"/>
        </w:rPr>
        <w:t xml:space="preserve"> </w:t>
      </w:r>
      <w:r>
        <w:t>de</w:t>
      </w:r>
      <w:r>
        <w:rPr>
          <w:spacing w:val="-8"/>
        </w:rPr>
        <w:t xml:space="preserve"> </w:t>
      </w:r>
      <w:r>
        <w:t>La</w:t>
      </w:r>
      <w:r>
        <w:rPr>
          <w:spacing w:val="-9"/>
        </w:rPr>
        <w:t xml:space="preserve"> </w:t>
      </w:r>
      <w:r>
        <w:t>Violencia</w:t>
      </w:r>
      <w:r>
        <w:rPr>
          <w:spacing w:val="-9"/>
        </w:rPr>
        <w:t xml:space="preserve"> </w:t>
      </w:r>
      <w:r>
        <w:t>en</w:t>
      </w:r>
      <w:r>
        <w:rPr>
          <w:spacing w:val="-8"/>
        </w:rPr>
        <w:t xml:space="preserve"> </w:t>
      </w:r>
      <w:r>
        <w:t>Colombia.</w:t>
      </w:r>
      <w:r>
        <w:rPr>
          <w:spacing w:val="-10"/>
        </w:rPr>
        <w:t xml:space="preserve"> </w:t>
      </w:r>
      <w:r>
        <w:t>De</w:t>
      </w:r>
      <w:r>
        <w:rPr>
          <w:spacing w:val="-8"/>
        </w:rPr>
        <w:t xml:space="preserve"> </w:t>
      </w:r>
      <w:r>
        <w:t>ese</w:t>
      </w:r>
      <w:r>
        <w:rPr>
          <w:spacing w:val="-8"/>
        </w:rPr>
        <w:t xml:space="preserve"> </w:t>
      </w:r>
      <w:r>
        <w:t>proceso</w:t>
      </w:r>
      <w:r>
        <w:rPr>
          <w:spacing w:val="-8"/>
        </w:rPr>
        <w:t xml:space="preserve"> </w:t>
      </w:r>
      <w:r>
        <w:t>del</w:t>
      </w:r>
      <w:r>
        <w:rPr>
          <w:spacing w:val="-8"/>
        </w:rPr>
        <w:t xml:space="preserve"> </w:t>
      </w:r>
      <w:r>
        <w:t>48</w:t>
      </w:r>
      <w:r>
        <w:rPr>
          <w:spacing w:val="-8"/>
        </w:rPr>
        <w:t xml:space="preserve"> </w:t>
      </w:r>
      <w:r>
        <w:t>y</w:t>
      </w:r>
      <w:r>
        <w:rPr>
          <w:spacing w:val="-10"/>
        </w:rPr>
        <w:t xml:space="preserve"> </w:t>
      </w:r>
      <w:r>
        <w:t>50</w:t>
      </w:r>
      <w:r>
        <w:rPr>
          <w:spacing w:val="-8"/>
        </w:rPr>
        <w:t xml:space="preserve"> </w:t>
      </w:r>
      <w:r>
        <w:t>que</w:t>
      </w:r>
      <w:r>
        <w:rPr>
          <w:spacing w:val="-9"/>
        </w:rPr>
        <w:t xml:space="preserve"> </w:t>
      </w:r>
      <w:r>
        <w:t>en</w:t>
      </w:r>
      <w:r>
        <w:rPr>
          <w:spacing w:val="-10"/>
        </w:rPr>
        <w:t xml:space="preserve"> </w:t>
      </w:r>
      <w:r>
        <w:t>los</w:t>
      </w:r>
      <w:r>
        <w:rPr>
          <w:spacing w:val="-8"/>
        </w:rPr>
        <w:t xml:space="preserve"> </w:t>
      </w:r>
      <w:r>
        <w:t>pueblos fue</w:t>
      </w:r>
      <w:r>
        <w:rPr>
          <w:spacing w:val="-14"/>
        </w:rPr>
        <w:t xml:space="preserve"> </w:t>
      </w:r>
      <w:r>
        <w:t>tan</w:t>
      </w:r>
      <w:r>
        <w:rPr>
          <w:spacing w:val="-14"/>
        </w:rPr>
        <w:t xml:space="preserve"> </w:t>
      </w:r>
      <w:r>
        <w:t>fuerte</w:t>
      </w:r>
      <w:r>
        <w:rPr>
          <w:spacing w:val="-14"/>
        </w:rPr>
        <w:t xml:space="preserve"> </w:t>
      </w:r>
      <w:r>
        <w:t>el</w:t>
      </w:r>
      <w:r>
        <w:rPr>
          <w:spacing w:val="-14"/>
        </w:rPr>
        <w:t xml:space="preserve"> </w:t>
      </w:r>
      <w:r>
        <w:t>impacto</w:t>
      </w:r>
      <w:r>
        <w:rPr>
          <w:spacing w:val="-14"/>
        </w:rPr>
        <w:t xml:space="preserve"> </w:t>
      </w:r>
      <w:r>
        <w:t>porque</w:t>
      </w:r>
      <w:r>
        <w:rPr>
          <w:spacing w:val="-14"/>
        </w:rPr>
        <w:t xml:space="preserve"> </w:t>
      </w:r>
      <w:r>
        <w:t>era</w:t>
      </w:r>
      <w:r>
        <w:rPr>
          <w:spacing w:val="-14"/>
        </w:rPr>
        <w:t xml:space="preserve"> </w:t>
      </w:r>
      <w:r>
        <w:t>la</w:t>
      </w:r>
      <w:r>
        <w:rPr>
          <w:spacing w:val="-14"/>
        </w:rPr>
        <w:t xml:space="preserve"> </w:t>
      </w:r>
      <w:r>
        <w:t>muerte</w:t>
      </w:r>
      <w:r>
        <w:rPr>
          <w:spacing w:val="-14"/>
        </w:rPr>
        <w:t xml:space="preserve"> </w:t>
      </w:r>
      <w:r>
        <w:t>asaltando</w:t>
      </w:r>
      <w:r>
        <w:rPr>
          <w:spacing w:val="-14"/>
        </w:rPr>
        <w:t xml:space="preserve"> </w:t>
      </w:r>
      <w:r>
        <w:t>al</w:t>
      </w:r>
      <w:r>
        <w:rPr>
          <w:spacing w:val="-14"/>
        </w:rPr>
        <w:t xml:space="preserve"> </w:t>
      </w:r>
      <w:r>
        <w:t>campesino,</w:t>
      </w:r>
      <w:r>
        <w:rPr>
          <w:spacing w:val="-15"/>
        </w:rPr>
        <w:t xml:space="preserve"> </w:t>
      </w:r>
      <w:r>
        <w:t>al</w:t>
      </w:r>
      <w:r>
        <w:rPr>
          <w:spacing w:val="-15"/>
        </w:rPr>
        <w:t xml:space="preserve"> </w:t>
      </w:r>
      <w:r>
        <w:t>hermano,</w:t>
      </w:r>
      <w:r>
        <w:rPr>
          <w:spacing w:val="-14"/>
        </w:rPr>
        <w:t xml:space="preserve"> </w:t>
      </w:r>
      <w:r>
        <w:t>al</w:t>
      </w:r>
      <w:r>
        <w:rPr>
          <w:spacing w:val="-14"/>
        </w:rPr>
        <w:t xml:space="preserve"> </w:t>
      </w:r>
      <w:r>
        <w:t>paisano. Simplemente</w:t>
      </w:r>
      <w:r>
        <w:rPr>
          <w:spacing w:val="-9"/>
        </w:rPr>
        <w:t xml:space="preserve"> </w:t>
      </w:r>
      <w:r>
        <w:t>porque</w:t>
      </w:r>
      <w:r>
        <w:rPr>
          <w:spacing w:val="-9"/>
        </w:rPr>
        <w:t xml:space="preserve"> </w:t>
      </w:r>
      <w:r>
        <w:t>se</w:t>
      </w:r>
      <w:r>
        <w:rPr>
          <w:spacing w:val="-10"/>
        </w:rPr>
        <w:t xml:space="preserve"> </w:t>
      </w:r>
      <w:r>
        <w:t>habían</w:t>
      </w:r>
      <w:r>
        <w:rPr>
          <w:spacing w:val="-9"/>
        </w:rPr>
        <w:t xml:space="preserve"> </w:t>
      </w:r>
      <w:r>
        <w:t>dejado</w:t>
      </w:r>
      <w:r>
        <w:rPr>
          <w:spacing w:val="-9"/>
        </w:rPr>
        <w:t xml:space="preserve"> </w:t>
      </w:r>
      <w:r>
        <w:t>convencer</w:t>
      </w:r>
      <w:r>
        <w:rPr>
          <w:spacing w:val="-11"/>
        </w:rPr>
        <w:t xml:space="preserve"> </w:t>
      </w:r>
      <w:r>
        <w:t>por</w:t>
      </w:r>
      <w:r>
        <w:rPr>
          <w:spacing w:val="-9"/>
        </w:rPr>
        <w:t xml:space="preserve"> </w:t>
      </w:r>
      <w:r>
        <w:t>un</w:t>
      </w:r>
      <w:r>
        <w:rPr>
          <w:spacing w:val="-9"/>
        </w:rPr>
        <w:t xml:space="preserve"> </w:t>
      </w:r>
      <w:r>
        <w:t>color,</w:t>
      </w:r>
      <w:r>
        <w:rPr>
          <w:spacing w:val="-11"/>
        </w:rPr>
        <w:t xml:space="preserve"> </w:t>
      </w:r>
      <w:r>
        <w:t>que</w:t>
      </w:r>
      <w:r>
        <w:rPr>
          <w:spacing w:val="-9"/>
        </w:rPr>
        <w:t xml:space="preserve"> </w:t>
      </w:r>
      <w:r>
        <w:t>en</w:t>
      </w:r>
      <w:r>
        <w:rPr>
          <w:spacing w:val="-9"/>
        </w:rPr>
        <w:t xml:space="preserve"> </w:t>
      </w:r>
      <w:r>
        <w:t>ese</w:t>
      </w:r>
      <w:r>
        <w:rPr>
          <w:spacing w:val="-10"/>
        </w:rPr>
        <w:t xml:space="preserve"> </w:t>
      </w:r>
      <w:r>
        <w:t>tiempo</w:t>
      </w:r>
      <w:r>
        <w:rPr>
          <w:spacing w:val="-9"/>
        </w:rPr>
        <w:t xml:space="preserve"> </w:t>
      </w:r>
      <w:r>
        <w:t>eran</w:t>
      </w:r>
      <w:r>
        <w:rPr>
          <w:spacing w:val="-9"/>
        </w:rPr>
        <w:t xml:space="preserve"> </w:t>
      </w:r>
      <w:r>
        <w:t>el</w:t>
      </w:r>
      <w:r>
        <w:rPr>
          <w:spacing w:val="-9"/>
        </w:rPr>
        <w:t xml:space="preserve"> </w:t>
      </w:r>
      <w:r>
        <w:t>rojo y</w:t>
      </w:r>
      <w:r>
        <w:rPr>
          <w:spacing w:val="-6"/>
        </w:rPr>
        <w:t xml:space="preserve"> </w:t>
      </w:r>
      <w:r>
        <w:t>el</w:t>
      </w:r>
      <w:r>
        <w:rPr>
          <w:spacing w:val="-6"/>
        </w:rPr>
        <w:t xml:space="preserve"> </w:t>
      </w:r>
      <w:r>
        <w:t>azul.</w:t>
      </w:r>
      <w:r>
        <w:rPr>
          <w:spacing w:val="-6"/>
        </w:rPr>
        <w:t xml:space="preserve"> </w:t>
      </w:r>
      <w:r>
        <w:t>En</w:t>
      </w:r>
      <w:r>
        <w:rPr>
          <w:spacing w:val="-7"/>
        </w:rPr>
        <w:t xml:space="preserve"> </w:t>
      </w:r>
      <w:r>
        <w:t>esos</w:t>
      </w:r>
      <w:r>
        <w:rPr>
          <w:spacing w:val="-6"/>
        </w:rPr>
        <w:t xml:space="preserve"> </w:t>
      </w:r>
      <w:r>
        <w:t>colores,</w:t>
      </w:r>
      <w:r>
        <w:rPr>
          <w:spacing w:val="-6"/>
        </w:rPr>
        <w:t xml:space="preserve"> </w:t>
      </w:r>
      <w:r>
        <w:t>en</w:t>
      </w:r>
      <w:r>
        <w:rPr>
          <w:spacing w:val="-6"/>
        </w:rPr>
        <w:t xml:space="preserve"> </w:t>
      </w:r>
      <w:r>
        <w:t>esos</w:t>
      </w:r>
      <w:r>
        <w:rPr>
          <w:spacing w:val="-6"/>
        </w:rPr>
        <w:t xml:space="preserve"> </w:t>
      </w:r>
      <w:r>
        <w:t>incendios</w:t>
      </w:r>
      <w:r>
        <w:rPr>
          <w:spacing w:val="-6"/>
        </w:rPr>
        <w:t xml:space="preserve"> </w:t>
      </w:r>
      <w:r>
        <w:t>de</w:t>
      </w:r>
      <w:r>
        <w:rPr>
          <w:spacing w:val="-6"/>
        </w:rPr>
        <w:t xml:space="preserve"> </w:t>
      </w:r>
      <w:r>
        <w:t>La</w:t>
      </w:r>
      <w:r>
        <w:rPr>
          <w:spacing w:val="-7"/>
        </w:rPr>
        <w:t xml:space="preserve"> </w:t>
      </w:r>
      <w:r>
        <w:t>Violencia,</w:t>
      </w:r>
      <w:r>
        <w:rPr>
          <w:spacing w:val="-7"/>
        </w:rPr>
        <w:t xml:space="preserve"> </w:t>
      </w:r>
      <w:r>
        <w:t>mis</w:t>
      </w:r>
      <w:r>
        <w:rPr>
          <w:spacing w:val="-6"/>
        </w:rPr>
        <w:t xml:space="preserve"> </w:t>
      </w:r>
      <w:r>
        <w:t>viejos</w:t>
      </w:r>
      <w:r>
        <w:rPr>
          <w:spacing w:val="-6"/>
        </w:rPr>
        <w:t xml:space="preserve"> </w:t>
      </w:r>
      <w:r>
        <w:t>tuvieron</w:t>
      </w:r>
      <w:r>
        <w:rPr>
          <w:spacing w:val="-6"/>
        </w:rPr>
        <w:t xml:space="preserve"> </w:t>
      </w:r>
      <w:r>
        <w:t>ocho</w:t>
      </w:r>
      <w:r>
        <w:rPr>
          <w:spacing w:val="-7"/>
        </w:rPr>
        <w:t xml:space="preserve"> </w:t>
      </w:r>
      <w:r>
        <w:t>hijos. Yo</w:t>
      </w:r>
      <w:r>
        <w:rPr>
          <w:spacing w:val="-8"/>
        </w:rPr>
        <w:t xml:space="preserve"> </w:t>
      </w:r>
      <w:r>
        <w:t>soy</w:t>
      </w:r>
      <w:r>
        <w:rPr>
          <w:spacing w:val="-8"/>
        </w:rPr>
        <w:t xml:space="preserve"> </w:t>
      </w:r>
      <w:r>
        <w:t>el</w:t>
      </w:r>
      <w:r>
        <w:rPr>
          <w:spacing w:val="-9"/>
        </w:rPr>
        <w:t xml:space="preserve"> </w:t>
      </w:r>
      <w:r>
        <w:t>penúltimo,</w:t>
      </w:r>
      <w:r>
        <w:rPr>
          <w:spacing w:val="-10"/>
        </w:rPr>
        <w:t xml:space="preserve"> </w:t>
      </w:r>
      <w:r>
        <w:t>la</w:t>
      </w:r>
      <w:r>
        <w:rPr>
          <w:spacing w:val="-8"/>
        </w:rPr>
        <w:t xml:space="preserve"> </w:t>
      </w:r>
      <w:r>
        <w:t>última</w:t>
      </w:r>
      <w:r>
        <w:rPr>
          <w:spacing w:val="-9"/>
        </w:rPr>
        <w:t xml:space="preserve"> </w:t>
      </w:r>
      <w:r>
        <w:t>es</w:t>
      </w:r>
      <w:r>
        <w:rPr>
          <w:spacing w:val="-8"/>
        </w:rPr>
        <w:t xml:space="preserve"> </w:t>
      </w:r>
      <w:r>
        <w:t>una</w:t>
      </w:r>
      <w:r>
        <w:rPr>
          <w:spacing w:val="-9"/>
        </w:rPr>
        <w:t xml:space="preserve"> </w:t>
      </w:r>
      <w:r>
        <w:t>hermanita</w:t>
      </w:r>
      <w:r>
        <w:rPr>
          <w:spacing w:val="-9"/>
        </w:rPr>
        <w:t xml:space="preserve"> </w:t>
      </w:r>
      <w:r>
        <w:t>desaparecida.</w:t>
      </w:r>
      <w:r>
        <w:rPr>
          <w:spacing w:val="-10"/>
        </w:rPr>
        <w:t xml:space="preserve"> </w:t>
      </w:r>
      <w:r>
        <w:t>Crezco</w:t>
      </w:r>
      <w:r>
        <w:rPr>
          <w:spacing w:val="-10"/>
        </w:rPr>
        <w:t xml:space="preserve"> </w:t>
      </w:r>
      <w:r>
        <w:t>en</w:t>
      </w:r>
      <w:r>
        <w:rPr>
          <w:spacing w:val="-8"/>
        </w:rPr>
        <w:t xml:space="preserve"> </w:t>
      </w:r>
      <w:r>
        <w:t>un</w:t>
      </w:r>
      <w:r>
        <w:rPr>
          <w:spacing w:val="-8"/>
        </w:rPr>
        <w:t xml:space="preserve"> </w:t>
      </w:r>
      <w:r>
        <w:t>pueblo</w:t>
      </w:r>
      <w:r>
        <w:rPr>
          <w:spacing w:val="-10"/>
        </w:rPr>
        <w:t xml:space="preserve"> </w:t>
      </w:r>
      <w:r>
        <w:t>que</w:t>
      </w:r>
      <w:r>
        <w:rPr>
          <w:spacing w:val="-11"/>
        </w:rPr>
        <w:t xml:space="preserve"> </w:t>
      </w:r>
      <w:r>
        <w:t>tenía afectaciones</w:t>
      </w:r>
      <w:r>
        <w:rPr>
          <w:spacing w:val="-2"/>
        </w:rPr>
        <w:t xml:space="preserve"> </w:t>
      </w:r>
      <w:r>
        <w:t>de</w:t>
      </w:r>
      <w:r>
        <w:rPr>
          <w:spacing w:val="-1"/>
        </w:rPr>
        <w:t xml:space="preserve"> </w:t>
      </w:r>
      <w:r>
        <w:t>la</w:t>
      </w:r>
      <w:r>
        <w:rPr>
          <w:spacing w:val="-1"/>
        </w:rPr>
        <w:t xml:space="preserve"> </w:t>
      </w:r>
      <w:r>
        <w:t>violencia,</w:t>
      </w:r>
      <w:r>
        <w:rPr>
          <w:spacing w:val="-1"/>
        </w:rPr>
        <w:t xml:space="preserve"> </w:t>
      </w:r>
      <w:r>
        <w:t>no</w:t>
      </w:r>
      <w:r>
        <w:rPr>
          <w:spacing w:val="-2"/>
        </w:rPr>
        <w:t xml:space="preserve"> </w:t>
      </w:r>
      <w:r>
        <w:t>tantos</w:t>
      </w:r>
      <w:r>
        <w:rPr>
          <w:spacing w:val="-1"/>
        </w:rPr>
        <w:t xml:space="preserve"> </w:t>
      </w:r>
      <w:r>
        <w:t>como</w:t>
      </w:r>
      <w:r>
        <w:rPr>
          <w:spacing w:val="-2"/>
        </w:rPr>
        <w:t xml:space="preserve"> </w:t>
      </w:r>
      <w:r>
        <w:t>otros,</w:t>
      </w:r>
      <w:r>
        <w:rPr>
          <w:spacing w:val="-1"/>
        </w:rPr>
        <w:t xml:space="preserve"> </w:t>
      </w:r>
      <w:r>
        <w:t>pero</w:t>
      </w:r>
      <w:r>
        <w:rPr>
          <w:spacing w:val="-1"/>
        </w:rPr>
        <w:t xml:space="preserve"> </w:t>
      </w:r>
      <w:r>
        <w:t>no</w:t>
      </w:r>
      <w:r>
        <w:rPr>
          <w:spacing w:val="-2"/>
        </w:rPr>
        <w:t xml:space="preserve"> </w:t>
      </w:r>
      <w:r>
        <w:t>fue</w:t>
      </w:r>
      <w:r>
        <w:rPr>
          <w:spacing w:val="-1"/>
        </w:rPr>
        <w:t xml:space="preserve"> </w:t>
      </w:r>
      <w:r>
        <w:t>extraño</w:t>
      </w:r>
      <w:r>
        <w:rPr>
          <w:spacing w:val="-1"/>
        </w:rPr>
        <w:t xml:space="preserve"> </w:t>
      </w:r>
      <w:r>
        <w:t>a</w:t>
      </w:r>
      <w:r>
        <w:rPr>
          <w:spacing w:val="-2"/>
        </w:rPr>
        <w:t xml:space="preserve"> </w:t>
      </w:r>
      <w:r>
        <w:t>esas</w:t>
      </w:r>
      <w:r>
        <w:rPr>
          <w:spacing w:val="-1"/>
        </w:rPr>
        <w:t xml:space="preserve"> </w:t>
      </w:r>
      <w:r>
        <w:t>circunstancias tan fuertes»</w:t>
      </w:r>
      <w:r w:rsidR="000D182E">
        <w:rPr>
          <w:rStyle w:val="Refdenotaalpie"/>
        </w:rPr>
        <w:footnoteReference w:id="1132"/>
      </w:r>
      <w:r>
        <w:t>.</w:t>
      </w:r>
    </w:p>
    <w:p w:rsidR="003804AC" w:rsidRDefault="00AF18A5" w:rsidP="000D182E">
      <w:r>
        <w:t>Pero</w:t>
      </w:r>
      <w:r>
        <w:rPr>
          <w:spacing w:val="-3"/>
        </w:rPr>
        <w:t xml:space="preserve"> </w:t>
      </w:r>
      <w:r>
        <w:t>ese</w:t>
      </w:r>
      <w:r>
        <w:rPr>
          <w:spacing w:val="-4"/>
        </w:rPr>
        <w:t xml:space="preserve"> </w:t>
      </w:r>
      <w:r>
        <w:t>trauma</w:t>
      </w:r>
      <w:r>
        <w:rPr>
          <w:spacing w:val="-3"/>
        </w:rPr>
        <w:t xml:space="preserve"> </w:t>
      </w:r>
      <w:r>
        <w:t>no</w:t>
      </w:r>
      <w:r>
        <w:rPr>
          <w:spacing w:val="-3"/>
        </w:rPr>
        <w:t xml:space="preserve"> </w:t>
      </w:r>
      <w:r>
        <w:t>es</w:t>
      </w:r>
      <w:r>
        <w:rPr>
          <w:spacing w:val="-4"/>
        </w:rPr>
        <w:t xml:space="preserve"> </w:t>
      </w:r>
      <w:r>
        <w:t>solo</w:t>
      </w:r>
      <w:r>
        <w:rPr>
          <w:spacing w:val="-3"/>
        </w:rPr>
        <w:t xml:space="preserve"> </w:t>
      </w:r>
      <w:r>
        <w:t>personal,</w:t>
      </w:r>
      <w:r>
        <w:rPr>
          <w:spacing w:val="-3"/>
        </w:rPr>
        <w:t xml:space="preserve"> </w:t>
      </w:r>
      <w:r>
        <w:t>como</w:t>
      </w:r>
      <w:r>
        <w:rPr>
          <w:spacing w:val="-3"/>
        </w:rPr>
        <w:t xml:space="preserve"> </w:t>
      </w:r>
      <w:r>
        <w:t>dice</w:t>
      </w:r>
      <w:r>
        <w:rPr>
          <w:spacing w:val="-4"/>
        </w:rPr>
        <w:t xml:space="preserve"> </w:t>
      </w:r>
      <w:r>
        <w:t>un</w:t>
      </w:r>
      <w:r>
        <w:rPr>
          <w:spacing w:val="-3"/>
        </w:rPr>
        <w:t xml:space="preserve"> </w:t>
      </w:r>
      <w:r>
        <w:t>habitante</w:t>
      </w:r>
      <w:r>
        <w:rPr>
          <w:spacing w:val="-4"/>
        </w:rPr>
        <w:t xml:space="preserve"> </w:t>
      </w:r>
      <w:r>
        <w:t>de</w:t>
      </w:r>
      <w:r>
        <w:rPr>
          <w:spacing w:val="-3"/>
        </w:rPr>
        <w:t xml:space="preserve"> </w:t>
      </w:r>
      <w:r>
        <w:t>Nariño:</w:t>
      </w:r>
      <w:r>
        <w:rPr>
          <w:spacing w:val="-4"/>
        </w:rPr>
        <w:t xml:space="preserve"> </w:t>
      </w:r>
      <w:r>
        <w:t>«El</w:t>
      </w:r>
      <w:r>
        <w:rPr>
          <w:spacing w:val="-3"/>
        </w:rPr>
        <w:t xml:space="preserve"> </w:t>
      </w:r>
      <w:r>
        <w:t>conflicto</w:t>
      </w:r>
      <w:r>
        <w:rPr>
          <w:spacing w:val="-3"/>
        </w:rPr>
        <w:t xml:space="preserve"> </w:t>
      </w:r>
      <w:r>
        <w:t>nos dejó</w:t>
      </w:r>
      <w:r>
        <w:rPr>
          <w:spacing w:val="-7"/>
        </w:rPr>
        <w:t xml:space="preserve"> </w:t>
      </w:r>
      <w:r>
        <w:t>la</w:t>
      </w:r>
      <w:r>
        <w:rPr>
          <w:spacing w:val="-8"/>
        </w:rPr>
        <w:t xml:space="preserve"> </w:t>
      </w:r>
      <w:r>
        <w:t>cultura</w:t>
      </w:r>
      <w:r>
        <w:rPr>
          <w:spacing w:val="-7"/>
        </w:rPr>
        <w:t xml:space="preserve"> </w:t>
      </w:r>
      <w:r>
        <w:t>de</w:t>
      </w:r>
      <w:r>
        <w:rPr>
          <w:spacing w:val="-8"/>
        </w:rPr>
        <w:t xml:space="preserve"> </w:t>
      </w:r>
      <w:r>
        <w:t>la</w:t>
      </w:r>
      <w:r>
        <w:rPr>
          <w:spacing w:val="-7"/>
        </w:rPr>
        <w:t xml:space="preserve"> </w:t>
      </w:r>
      <w:r>
        <w:t>guerra.</w:t>
      </w:r>
      <w:r>
        <w:rPr>
          <w:spacing w:val="-7"/>
        </w:rPr>
        <w:t xml:space="preserve"> </w:t>
      </w:r>
      <w:r>
        <w:t>El</w:t>
      </w:r>
      <w:r>
        <w:rPr>
          <w:spacing w:val="-7"/>
        </w:rPr>
        <w:t xml:space="preserve"> </w:t>
      </w:r>
      <w:r>
        <w:t>Pacífico</w:t>
      </w:r>
      <w:r>
        <w:rPr>
          <w:spacing w:val="-7"/>
        </w:rPr>
        <w:t xml:space="preserve"> </w:t>
      </w:r>
      <w:r>
        <w:t>lleva</w:t>
      </w:r>
      <w:r>
        <w:rPr>
          <w:spacing w:val="-7"/>
        </w:rPr>
        <w:t xml:space="preserve"> </w:t>
      </w:r>
      <w:r>
        <w:t>más</w:t>
      </w:r>
      <w:r>
        <w:rPr>
          <w:spacing w:val="-9"/>
        </w:rPr>
        <w:t xml:space="preserve"> </w:t>
      </w:r>
      <w:r>
        <w:t>de</w:t>
      </w:r>
      <w:r>
        <w:rPr>
          <w:spacing w:val="-7"/>
        </w:rPr>
        <w:t xml:space="preserve"> </w:t>
      </w:r>
      <w:r>
        <w:t>35,</w:t>
      </w:r>
      <w:r>
        <w:rPr>
          <w:spacing w:val="-7"/>
        </w:rPr>
        <w:t xml:space="preserve"> </w:t>
      </w:r>
      <w:r>
        <w:t>casi</w:t>
      </w:r>
      <w:r>
        <w:rPr>
          <w:spacing w:val="-8"/>
        </w:rPr>
        <w:t xml:space="preserve"> </w:t>
      </w:r>
      <w:r>
        <w:t>40</w:t>
      </w:r>
      <w:r>
        <w:rPr>
          <w:spacing w:val="-7"/>
        </w:rPr>
        <w:t xml:space="preserve"> </w:t>
      </w:r>
      <w:r>
        <w:t>años</w:t>
      </w:r>
      <w:r>
        <w:rPr>
          <w:spacing w:val="-7"/>
        </w:rPr>
        <w:t xml:space="preserve"> </w:t>
      </w:r>
      <w:r>
        <w:t>en</w:t>
      </w:r>
      <w:r>
        <w:rPr>
          <w:spacing w:val="-7"/>
        </w:rPr>
        <w:t xml:space="preserve"> </w:t>
      </w:r>
      <w:r>
        <w:t>guerra,</w:t>
      </w:r>
      <w:r>
        <w:rPr>
          <w:spacing w:val="-7"/>
        </w:rPr>
        <w:t xml:space="preserve"> </w:t>
      </w:r>
      <w:r>
        <w:t>y</w:t>
      </w:r>
      <w:r>
        <w:rPr>
          <w:spacing w:val="-8"/>
        </w:rPr>
        <w:t xml:space="preserve"> </w:t>
      </w:r>
      <w:r>
        <w:t>eso</w:t>
      </w:r>
      <w:r>
        <w:rPr>
          <w:spacing w:val="-8"/>
        </w:rPr>
        <w:t xml:space="preserve"> </w:t>
      </w:r>
      <w:r>
        <w:t>ya</w:t>
      </w:r>
      <w:r>
        <w:rPr>
          <w:spacing w:val="-7"/>
        </w:rPr>
        <w:t xml:space="preserve"> </w:t>
      </w:r>
      <w:r>
        <w:t>para sacarlo de la mente de nuestra población va a ser complejo porque la gente, nuestros habitantes jóvenes, no saben resolver los conflictos. Ahorita ya todo mundo quiere resolver el conflicto a través de la violencia»</w:t>
      </w:r>
      <w:r w:rsidR="000D182E">
        <w:rPr>
          <w:rStyle w:val="Refdenotaalpie"/>
        </w:rPr>
        <w:footnoteReference w:id="1133"/>
      </w:r>
      <w:r>
        <w:t>.</w:t>
      </w:r>
    </w:p>
    <w:p w:rsidR="0011361F" w:rsidRPr="00B93F6A" w:rsidRDefault="00AF18A5" w:rsidP="000D182E">
      <w:pPr>
        <w:rPr>
          <w:lang w:val="es-CO"/>
        </w:rPr>
      </w:pPr>
      <w:r>
        <w:t>La naturalización del conflicto armado y todas las violencias asociadas terminan así por limitar</w:t>
      </w:r>
      <w:r>
        <w:rPr>
          <w:spacing w:val="-2"/>
        </w:rPr>
        <w:t xml:space="preserve"> </w:t>
      </w:r>
      <w:r>
        <w:t>el</w:t>
      </w:r>
      <w:r>
        <w:rPr>
          <w:spacing w:val="-2"/>
        </w:rPr>
        <w:t xml:space="preserve"> </w:t>
      </w:r>
      <w:r>
        <w:t>asombro</w:t>
      </w:r>
      <w:r>
        <w:rPr>
          <w:spacing w:val="-2"/>
        </w:rPr>
        <w:t xml:space="preserve"> </w:t>
      </w:r>
      <w:r>
        <w:t>ante</w:t>
      </w:r>
      <w:r>
        <w:rPr>
          <w:spacing w:val="-2"/>
        </w:rPr>
        <w:t xml:space="preserve"> </w:t>
      </w:r>
      <w:r>
        <w:t>la</w:t>
      </w:r>
      <w:r>
        <w:rPr>
          <w:spacing w:val="-2"/>
        </w:rPr>
        <w:t xml:space="preserve"> </w:t>
      </w:r>
      <w:r>
        <w:t>violencia.</w:t>
      </w:r>
      <w:r>
        <w:rPr>
          <w:spacing w:val="-2"/>
        </w:rPr>
        <w:t xml:space="preserve"> </w:t>
      </w:r>
      <w:r>
        <w:t>Reduce</w:t>
      </w:r>
      <w:r>
        <w:rPr>
          <w:spacing w:val="-2"/>
        </w:rPr>
        <w:t xml:space="preserve"> </w:t>
      </w:r>
      <w:r>
        <w:t>la</w:t>
      </w:r>
      <w:r>
        <w:rPr>
          <w:spacing w:val="-2"/>
        </w:rPr>
        <w:t xml:space="preserve"> </w:t>
      </w:r>
      <w:r>
        <w:t>ética</w:t>
      </w:r>
      <w:r>
        <w:rPr>
          <w:spacing w:val="-2"/>
        </w:rPr>
        <w:t xml:space="preserve"> </w:t>
      </w:r>
      <w:r>
        <w:t>al</w:t>
      </w:r>
      <w:r>
        <w:rPr>
          <w:spacing w:val="-2"/>
        </w:rPr>
        <w:t xml:space="preserve"> </w:t>
      </w:r>
      <w:r>
        <w:t>mínimo</w:t>
      </w:r>
      <w:r>
        <w:rPr>
          <w:spacing w:val="-2"/>
        </w:rPr>
        <w:t xml:space="preserve"> </w:t>
      </w:r>
      <w:r>
        <w:t>e</w:t>
      </w:r>
      <w:r>
        <w:rPr>
          <w:spacing w:val="-2"/>
        </w:rPr>
        <w:t xml:space="preserve"> </w:t>
      </w:r>
      <w:r>
        <w:t>impide</w:t>
      </w:r>
      <w:r>
        <w:rPr>
          <w:spacing w:val="-2"/>
        </w:rPr>
        <w:t xml:space="preserve"> </w:t>
      </w:r>
      <w:r>
        <w:t>tomar</w:t>
      </w:r>
      <w:r>
        <w:rPr>
          <w:spacing w:val="-2"/>
        </w:rPr>
        <w:t xml:space="preserve"> </w:t>
      </w:r>
      <w:r>
        <w:t>con</w:t>
      </w:r>
      <w:r>
        <w:rPr>
          <w:spacing w:val="-2"/>
        </w:rPr>
        <w:t xml:space="preserve"> </w:t>
      </w:r>
      <w:r>
        <w:t>claridad, decisión y oportunidad las decisiones que son necesarias para enfrentar ese flagelo.</w:t>
      </w:r>
      <w:r>
        <w:rPr>
          <w:spacing w:val="-3"/>
        </w:rPr>
        <w:t xml:space="preserve"> </w:t>
      </w:r>
      <w:r>
        <w:t>La incorporación</w:t>
      </w:r>
      <w:r>
        <w:rPr>
          <w:spacing w:val="-12"/>
        </w:rPr>
        <w:t xml:space="preserve"> </w:t>
      </w:r>
      <w:r>
        <w:t>de</w:t>
      </w:r>
      <w:r>
        <w:rPr>
          <w:spacing w:val="-12"/>
        </w:rPr>
        <w:t xml:space="preserve"> </w:t>
      </w:r>
      <w:r>
        <w:t>la</w:t>
      </w:r>
      <w:r>
        <w:rPr>
          <w:spacing w:val="-12"/>
        </w:rPr>
        <w:t xml:space="preserve"> </w:t>
      </w:r>
      <w:r>
        <w:t>violencia</w:t>
      </w:r>
      <w:r>
        <w:rPr>
          <w:spacing w:val="-12"/>
        </w:rPr>
        <w:t xml:space="preserve"> </w:t>
      </w:r>
      <w:r>
        <w:t>en</w:t>
      </w:r>
      <w:r>
        <w:rPr>
          <w:spacing w:val="-12"/>
        </w:rPr>
        <w:t xml:space="preserve"> </w:t>
      </w:r>
      <w:r>
        <w:t>la</w:t>
      </w:r>
      <w:r>
        <w:rPr>
          <w:spacing w:val="-12"/>
        </w:rPr>
        <w:t xml:space="preserve"> </w:t>
      </w:r>
      <w:r>
        <w:t>vida</w:t>
      </w:r>
      <w:r>
        <w:rPr>
          <w:spacing w:val="-12"/>
        </w:rPr>
        <w:t xml:space="preserve"> </w:t>
      </w:r>
      <w:r>
        <w:t>cotidiana</w:t>
      </w:r>
      <w:r>
        <w:rPr>
          <w:spacing w:val="-13"/>
        </w:rPr>
        <w:t xml:space="preserve"> </w:t>
      </w:r>
      <w:r>
        <w:t>forma</w:t>
      </w:r>
      <w:r>
        <w:rPr>
          <w:spacing w:val="-12"/>
        </w:rPr>
        <w:t xml:space="preserve"> </w:t>
      </w:r>
      <w:r>
        <w:t>parte</w:t>
      </w:r>
      <w:r>
        <w:rPr>
          <w:spacing w:val="-12"/>
        </w:rPr>
        <w:t xml:space="preserve"> </w:t>
      </w:r>
      <w:r>
        <w:t>de</w:t>
      </w:r>
      <w:r>
        <w:rPr>
          <w:spacing w:val="-12"/>
        </w:rPr>
        <w:t xml:space="preserve"> </w:t>
      </w:r>
      <w:r>
        <w:t>las</w:t>
      </w:r>
      <w:r>
        <w:rPr>
          <w:spacing w:val="-12"/>
        </w:rPr>
        <w:t xml:space="preserve"> </w:t>
      </w:r>
      <w:r>
        <w:t>estrategias</w:t>
      </w:r>
      <w:r>
        <w:rPr>
          <w:spacing w:val="-12"/>
        </w:rPr>
        <w:t xml:space="preserve"> </w:t>
      </w:r>
      <w:r>
        <w:t>de</w:t>
      </w:r>
      <w:r>
        <w:rPr>
          <w:spacing w:val="-12"/>
        </w:rPr>
        <w:t xml:space="preserve"> </w:t>
      </w:r>
      <w:r>
        <w:t>adaptación que</w:t>
      </w:r>
      <w:r>
        <w:rPr>
          <w:spacing w:val="-1"/>
        </w:rPr>
        <w:t xml:space="preserve"> </w:t>
      </w:r>
      <w:r>
        <w:t>las</w:t>
      </w:r>
      <w:r>
        <w:rPr>
          <w:spacing w:val="-2"/>
        </w:rPr>
        <w:t xml:space="preserve"> </w:t>
      </w:r>
      <w:r>
        <w:t>personas</w:t>
      </w:r>
      <w:r>
        <w:rPr>
          <w:spacing w:val="-1"/>
        </w:rPr>
        <w:t xml:space="preserve"> </w:t>
      </w:r>
      <w:r>
        <w:t>y</w:t>
      </w:r>
      <w:r>
        <w:rPr>
          <w:spacing w:val="-1"/>
        </w:rPr>
        <w:t xml:space="preserve"> </w:t>
      </w:r>
      <w:r>
        <w:t>comunidades</w:t>
      </w:r>
      <w:r>
        <w:rPr>
          <w:spacing w:val="-1"/>
        </w:rPr>
        <w:t xml:space="preserve"> </w:t>
      </w:r>
      <w:r>
        <w:t>desarrollan</w:t>
      </w:r>
      <w:r>
        <w:rPr>
          <w:spacing w:val="-2"/>
        </w:rPr>
        <w:t xml:space="preserve"> </w:t>
      </w:r>
      <w:r>
        <w:lastRenderedPageBreak/>
        <w:t>en</w:t>
      </w:r>
      <w:r>
        <w:rPr>
          <w:spacing w:val="-1"/>
        </w:rPr>
        <w:t xml:space="preserve"> </w:t>
      </w:r>
      <w:r>
        <w:t>medio</w:t>
      </w:r>
      <w:r>
        <w:rPr>
          <w:spacing w:val="-1"/>
        </w:rPr>
        <w:t xml:space="preserve"> </w:t>
      </w:r>
      <w:r>
        <w:t>del</w:t>
      </w:r>
      <w:r>
        <w:rPr>
          <w:spacing w:val="-1"/>
        </w:rPr>
        <w:t xml:space="preserve"> </w:t>
      </w:r>
      <w:r>
        <w:t>conflicto:</w:t>
      </w:r>
      <w:r>
        <w:rPr>
          <w:spacing w:val="-2"/>
        </w:rPr>
        <w:t xml:space="preserve"> </w:t>
      </w:r>
      <w:r>
        <w:t>«Es</w:t>
      </w:r>
      <w:r>
        <w:rPr>
          <w:spacing w:val="-2"/>
        </w:rPr>
        <w:t xml:space="preserve"> </w:t>
      </w:r>
      <w:r>
        <w:t>la</w:t>
      </w:r>
      <w:r>
        <w:rPr>
          <w:spacing w:val="-1"/>
        </w:rPr>
        <w:t xml:space="preserve"> </w:t>
      </w:r>
      <w:r>
        <w:t>aceptación</w:t>
      </w:r>
      <w:r>
        <w:rPr>
          <w:spacing w:val="-2"/>
        </w:rPr>
        <w:t xml:space="preserve"> </w:t>
      </w:r>
      <w:r>
        <w:t>de</w:t>
      </w:r>
      <w:r>
        <w:rPr>
          <w:spacing w:val="-1"/>
        </w:rPr>
        <w:t xml:space="preserve"> </w:t>
      </w:r>
      <w:r>
        <w:t>un paisaje social de la guerra [...]: el día contiene momentos de hostigamiento, rugir de balas, explosión de artefactos como los tatucos y las pipas, horarios para el uso de los espacios públicos […]. No se deja de hacer la</w:t>
      </w:r>
      <w:r>
        <w:rPr>
          <w:spacing w:val="-1"/>
        </w:rPr>
        <w:t xml:space="preserve"> </w:t>
      </w:r>
      <w:r>
        <w:t>vida […] se</w:t>
      </w:r>
      <w:r>
        <w:rPr>
          <w:spacing w:val="-1"/>
        </w:rPr>
        <w:t xml:space="preserve"> </w:t>
      </w:r>
      <w:r>
        <w:t>incorpora un nuevo tiempo, el de “esperar un poco antes de salir a la calle”. No hay otra forma. Digamos que esa fue la vida que no escogimos nosotros vivir, pero que nos tocó, y nos tocó acostumbrarnos».</w:t>
      </w:r>
      <w:r w:rsidR="000D182E">
        <w:rPr>
          <w:rStyle w:val="Refdenotaalpie"/>
        </w:rPr>
        <w:footnoteReference w:id="1134"/>
      </w:r>
    </w:p>
    <w:p w:rsidR="003804AC" w:rsidRDefault="00AF18A5" w:rsidP="000D182E">
      <w:bookmarkStart w:id="1399" w:name="_bookmark1245"/>
      <w:bookmarkStart w:id="1400" w:name="_bookmark1246"/>
      <w:bookmarkStart w:id="1401" w:name="_bookmark1247"/>
      <w:bookmarkEnd w:id="1399"/>
      <w:bookmarkEnd w:id="1400"/>
      <w:bookmarkEnd w:id="1401"/>
      <w:r>
        <w:t>Sin una posibilidad de superar este trauma a través de una nueva conciencia sobre lo</w:t>
      </w:r>
      <w:r>
        <w:rPr>
          <w:spacing w:val="-1"/>
        </w:rPr>
        <w:t xml:space="preserve"> </w:t>
      </w:r>
      <w:r>
        <w:t>que determina</w:t>
      </w:r>
      <w:r>
        <w:rPr>
          <w:spacing w:val="-14"/>
        </w:rPr>
        <w:t xml:space="preserve"> </w:t>
      </w:r>
      <w:r>
        <w:t>nuestras</w:t>
      </w:r>
      <w:r>
        <w:rPr>
          <w:spacing w:val="-13"/>
        </w:rPr>
        <w:t xml:space="preserve"> </w:t>
      </w:r>
      <w:r>
        <w:t>vidas</w:t>
      </w:r>
      <w:r>
        <w:rPr>
          <w:spacing w:val="-14"/>
        </w:rPr>
        <w:t xml:space="preserve"> </w:t>
      </w:r>
      <w:r>
        <w:t>y</w:t>
      </w:r>
      <w:r>
        <w:rPr>
          <w:spacing w:val="-13"/>
        </w:rPr>
        <w:t xml:space="preserve"> </w:t>
      </w:r>
      <w:r>
        <w:t>de</w:t>
      </w:r>
      <w:r>
        <w:rPr>
          <w:spacing w:val="-13"/>
        </w:rPr>
        <w:t xml:space="preserve"> </w:t>
      </w:r>
      <w:r>
        <w:t>imaginarnos</w:t>
      </w:r>
      <w:r>
        <w:rPr>
          <w:spacing w:val="-13"/>
        </w:rPr>
        <w:t xml:space="preserve"> </w:t>
      </w:r>
      <w:r>
        <w:t>la</w:t>
      </w:r>
      <w:r>
        <w:rPr>
          <w:spacing w:val="-13"/>
        </w:rPr>
        <w:t xml:space="preserve"> </w:t>
      </w:r>
      <w:r>
        <w:t>paz</w:t>
      </w:r>
      <w:r>
        <w:rPr>
          <w:spacing w:val="-15"/>
        </w:rPr>
        <w:t xml:space="preserve"> </w:t>
      </w:r>
      <w:r>
        <w:t>o,</w:t>
      </w:r>
      <w:r>
        <w:rPr>
          <w:spacing w:val="-13"/>
        </w:rPr>
        <w:t xml:space="preserve"> </w:t>
      </w:r>
      <w:r>
        <w:t>al</w:t>
      </w:r>
      <w:r>
        <w:rPr>
          <w:spacing w:val="-14"/>
        </w:rPr>
        <w:t xml:space="preserve"> </w:t>
      </w:r>
      <w:r>
        <w:t>menos,</w:t>
      </w:r>
      <w:r>
        <w:rPr>
          <w:spacing w:val="-15"/>
        </w:rPr>
        <w:t xml:space="preserve"> </w:t>
      </w:r>
      <w:r>
        <w:t>la</w:t>
      </w:r>
      <w:r>
        <w:rPr>
          <w:spacing w:val="-13"/>
        </w:rPr>
        <w:t xml:space="preserve"> </w:t>
      </w:r>
      <w:r>
        <w:t>vida</w:t>
      </w:r>
      <w:r>
        <w:rPr>
          <w:spacing w:val="-13"/>
        </w:rPr>
        <w:t xml:space="preserve"> </w:t>
      </w:r>
      <w:r>
        <w:t>armónica</w:t>
      </w:r>
      <w:r>
        <w:rPr>
          <w:spacing w:val="-13"/>
        </w:rPr>
        <w:t xml:space="preserve"> </w:t>
      </w:r>
      <w:r>
        <w:t>en</w:t>
      </w:r>
      <w:r>
        <w:rPr>
          <w:spacing w:val="-14"/>
        </w:rPr>
        <w:t xml:space="preserve"> </w:t>
      </w:r>
      <w:r>
        <w:t>comunidad será muy difícil avanzar hacia las transformaciones necesarias. Es aquí donde la apertura a encarar la verdad de lo que nos ha pasado y atraviesa nuestra existencia cobra total sentido.</w:t>
      </w:r>
    </w:p>
    <w:p w:rsidR="0011361F" w:rsidRDefault="00AF18A5" w:rsidP="004A6EF4">
      <w:pPr>
        <w:pStyle w:val="Ttulo3"/>
        <w:numPr>
          <w:ilvl w:val="1"/>
          <w:numId w:val="16"/>
        </w:numPr>
      </w:pPr>
      <w:bookmarkStart w:id="1402" w:name="10.9._El_despojo_del_territorio_es_la_de"/>
      <w:bookmarkStart w:id="1403" w:name="_Toc112399660"/>
      <w:bookmarkEnd w:id="1402"/>
      <w:r>
        <w:t>El</w:t>
      </w:r>
      <w:r>
        <w:rPr>
          <w:spacing w:val="-2"/>
        </w:rPr>
        <w:t xml:space="preserve"> </w:t>
      </w:r>
      <w:r w:rsidRPr="000D182E">
        <w:t>despojo</w:t>
      </w:r>
      <w:r>
        <w:rPr>
          <w:spacing w:val="-1"/>
        </w:rPr>
        <w:t xml:space="preserve"> </w:t>
      </w:r>
      <w:r>
        <w:t>del</w:t>
      </w:r>
      <w:r>
        <w:rPr>
          <w:spacing w:val="-2"/>
        </w:rPr>
        <w:t xml:space="preserve"> </w:t>
      </w:r>
      <w:r>
        <w:t>territorio</w:t>
      </w:r>
      <w:r>
        <w:rPr>
          <w:spacing w:val="-2"/>
        </w:rPr>
        <w:t xml:space="preserve"> </w:t>
      </w:r>
      <w:r>
        <w:t>es</w:t>
      </w:r>
      <w:r>
        <w:rPr>
          <w:spacing w:val="-2"/>
        </w:rPr>
        <w:t xml:space="preserve"> </w:t>
      </w:r>
      <w:r>
        <w:t>la</w:t>
      </w:r>
      <w:r>
        <w:rPr>
          <w:spacing w:val="-3"/>
        </w:rPr>
        <w:t xml:space="preserve"> </w:t>
      </w:r>
      <w:r>
        <w:t>destrucción</w:t>
      </w:r>
      <w:r>
        <w:rPr>
          <w:spacing w:val="-3"/>
        </w:rPr>
        <w:t xml:space="preserve"> </w:t>
      </w:r>
      <w:r>
        <w:t>de</w:t>
      </w:r>
      <w:r>
        <w:rPr>
          <w:spacing w:val="-1"/>
        </w:rPr>
        <w:t xml:space="preserve"> </w:t>
      </w:r>
      <w:r>
        <w:t>las</w:t>
      </w:r>
      <w:r>
        <w:rPr>
          <w:spacing w:val="-1"/>
        </w:rPr>
        <w:t xml:space="preserve"> </w:t>
      </w:r>
      <w:r>
        <w:rPr>
          <w:spacing w:val="-2"/>
        </w:rPr>
        <w:t>culturas</w:t>
      </w:r>
      <w:bookmarkEnd w:id="1403"/>
    </w:p>
    <w:p w:rsidR="003804AC" w:rsidRDefault="00AF18A5" w:rsidP="000D182E">
      <w:r>
        <w:t>El</w:t>
      </w:r>
      <w:r>
        <w:rPr>
          <w:spacing w:val="-3"/>
        </w:rPr>
        <w:t xml:space="preserve"> </w:t>
      </w:r>
      <w:r>
        <w:t>desplazamiento</w:t>
      </w:r>
      <w:r>
        <w:rPr>
          <w:spacing w:val="-3"/>
        </w:rPr>
        <w:t xml:space="preserve"> </w:t>
      </w:r>
      <w:r>
        <w:t>y</w:t>
      </w:r>
      <w:r>
        <w:rPr>
          <w:spacing w:val="-3"/>
        </w:rPr>
        <w:t xml:space="preserve"> </w:t>
      </w:r>
      <w:r>
        <w:t>despojo</w:t>
      </w:r>
      <w:r>
        <w:rPr>
          <w:spacing w:val="-3"/>
        </w:rPr>
        <w:t xml:space="preserve"> </w:t>
      </w:r>
      <w:r>
        <w:t>de</w:t>
      </w:r>
      <w:r>
        <w:rPr>
          <w:spacing w:val="-4"/>
        </w:rPr>
        <w:t xml:space="preserve"> </w:t>
      </w:r>
      <w:r>
        <w:t>tierras</w:t>
      </w:r>
      <w:r>
        <w:rPr>
          <w:spacing w:val="-3"/>
        </w:rPr>
        <w:t xml:space="preserve"> </w:t>
      </w:r>
      <w:r>
        <w:t>ha</w:t>
      </w:r>
      <w:r>
        <w:rPr>
          <w:spacing w:val="-3"/>
        </w:rPr>
        <w:t xml:space="preserve"> </w:t>
      </w:r>
      <w:r>
        <w:t>producido</w:t>
      </w:r>
      <w:r>
        <w:rPr>
          <w:spacing w:val="-3"/>
        </w:rPr>
        <w:t xml:space="preserve"> </w:t>
      </w:r>
      <w:r>
        <w:t>un</w:t>
      </w:r>
      <w:r>
        <w:rPr>
          <w:spacing w:val="-3"/>
        </w:rPr>
        <w:t xml:space="preserve"> </w:t>
      </w:r>
      <w:r>
        <w:t>enorme</w:t>
      </w:r>
      <w:r>
        <w:rPr>
          <w:spacing w:val="-3"/>
        </w:rPr>
        <w:t xml:space="preserve"> </w:t>
      </w:r>
      <w:r>
        <w:t>daño</w:t>
      </w:r>
      <w:r>
        <w:rPr>
          <w:spacing w:val="-5"/>
        </w:rPr>
        <w:t xml:space="preserve"> </w:t>
      </w:r>
      <w:r>
        <w:t>en</w:t>
      </w:r>
      <w:r>
        <w:rPr>
          <w:spacing w:val="-5"/>
        </w:rPr>
        <w:t xml:space="preserve"> </w:t>
      </w:r>
      <w:r>
        <w:t>las</w:t>
      </w:r>
      <w:r>
        <w:rPr>
          <w:spacing w:val="-3"/>
        </w:rPr>
        <w:t xml:space="preserve"> </w:t>
      </w:r>
      <w:r>
        <w:t>culturas,</w:t>
      </w:r>
      <w:r>
        <w:rPr>
          <w:spacing w:val="-5"/>
        </w:rPr>
        <w:t xml:space="preserve"> </w:t>
      </w:r>
      <w:r>
        <w:t>porque estas están estrechamente relacionadas con el territorio: «el lugar en el que se despliega la cultura». Una vez perdido el vínculo que ata a las comunidades con su tierra, con sus semejantes, con sus prácticas culturales, sus mitos y sus modos de producción, estas son arrojadas</w:t>
      </w:r>
      <w:r>
        <w:rPr>
          <w:spacing w:val="-9"/>
        </w:rPr>
        <w:t xml:space="preserve"> </w:t>
      </w:r>
      <w:r>
        <w:t>a</w:t>
      </w:r>
      <w:r>
        <w:rPr>
          <w:spacing w:val="-9"/>
        </w:rPr>
        <w:t xml:space="preserve"> </w:t>
      </w:r>
      <w:r>
        <w:t>mundos</w:t>
      </w:r>
      <w:r>
        <w:rPr>
          <w:spacing w:val="-9"/>
        </w:rPr>
        <w:t xml:space="preserve"> </w:t>
      </w:r>
      <w:r>
        <w:t>que</w:t>
      </w:r>
      <w:r>
        <w:rPr>
          <w:spacing w:val="-9"/>
        </w:rPr>
        <w:t xml:space="preserve"> </w:t>
      </w:r>
      <w:r>
        <w:t>no</w:t>
      </w:r>
      <w:r>
        <w:rPr>
          <w:spacing w:val="-10"/>
        </w:rPr>
        <w:t xml:space="preserve"> </w:t>
      </w:r>
      <w:r>
        <w:t>les</w:t>
      </w:r>
      <w:r>
        <w:rPr>
          <w:spacing w:val="-9"/>
        </w:rPr>
        <w:t xml:space="preserve"> </w:t>
      </w:r>
      <w:r>
        <w:t>pertenecen</w:t>
      </w:r>
      <w:r>
        <w:rPr>
          <w:spacing w:val="-10"/>
        </w:rPr>
        <w:t xml:space="preserve"> </w:t>
      </w:r>
      <w:r>
        <w:t>Encontrar</w:t>
      </w:r>
      <w:r>
        <w:rPr>
          <w:spacing w:val="-9"/>
        </w:rPr>
        <w:t xml:space="preserve"> </w:t>
      </w:r>
      <w:r>
        <w:t>sentido</w:t>
      </w:r>
      <w:r>
        <w:rPr>
          <w:spacing w:val="-10"/>
        </w:rPr>
        <w:t xml:space="preserve"> </w:t>
      </w:r>
      <w:r>
        <w:t>y</w:t>
      </w:r>
      <w:r>
        <w:rPr>
          <w:spacing w:val="-10"/>
        </w:rPr>
        <w:t xml:space="preserve"> </w:t>
      </w:r>
      <w:r>
        <w:t>arraigo</w:t>
      </w:r>
      <w:r>
        <w:rPr>
          <w:spacing w:val="-9"/>
        </w:rPr>
        <w:t xml:space="preserve"> </w:t>
      </w:r>
      <w:r>
        <w:t>en</w:t>
      </w:r>
      <w:r>
        <w:rPr>
          <w:spacing w:val="-10"/>
        </w:rPr>
        <w:t xml:space="preserve"> </w:t>
      </w:r>
      <w:r>
        <w:t>esos</w:t>
      </w:r>
      <w:r>
        <w:rPr>
          <w:spacing w:val="-9"/>
        </w:rPr>
        <w:t xml:space="preserve"> </w:t>
      </w:r>
      <w:r>
        <w:t>mundos</w:t>
      </w:r>
      <w:r>
        <w:rPr>
          <w:spacing w:val="-9"/>
        </w:rPr>
        <w:t xml:space="preserve"> </w:t>
      </w:r>
      <w:r>
        <w:t xml:space="preserve">ajenos no es fácil. Las competencias previamente desarrolladas no necesariamente coinciden con las necesidades del nuevo entorno para competir en el mercado, para tener un lugar, para llevar una vida digna. Razón por la cual los desplazados </w:t>
      </w:r>
      <w:r>
        <w:lastRenderedPageBreak/>
        <w:t>sufren la exclusión, la estigmatización</w:t>
      </w:r>
      <w:r>
        <w:rPr>
          <w:spacing w:val="-6"/>
        </w:rPr>
        <w:t xml:space="preserve"> </w:t>
      </w:r>
      <w:r>
        <w:t>y</w:t>
      </w:r>
      <w:r>
        <w:rPr>
          <w:spacing w:val="-4"/>
        </w:rPr>
        <w:t xml:space="preserve"> </w:t>
      </w:r>
      <w:r>
        <w:t>son</w:t>
      </w:r>
      <w:r>
        <w:rPr>
          <w:spacing w:val="-4"/>
        </w:rPr>
        <w:t xml:space="preserve"> </w:t>
      </w:r>
      <w:r>
        <w:t>presa</w:t>
      </w:r>
      <w:r>
        <w:rPr>
          <w:spacing w:val="-3"/>
        </w:rPr>
        <w:t xml:space="preserve"> </w:t>
      </w:r>
      <w:r>
        <w:t>fácil</w:t>
      </w:r>
      <w:r>
        <w:rPr>
          <w:spacing w:val="-2"/>
        </w:rPr>
        <w:t xml:space="preserve"> </w:t>
      </w:r>
      <w:r>
        <w:t>del</w:t>
      </w:r>
      <w:r>
        <w:rPr>
          <w:spacing w:val="-4"/>
        </w:rPr>
        <w:t xml:space="preserve"> </w:t>
      </w:r>
      <w:r>
        <w:t>reclutamiento</w:t>
      </w:r>
      <w:r>
        <w:rPr>
          <w:spacing w:val="-4"/>
        </w:rPr>
        <w:t xml:space="preserve"> </w:t>
      </w:r>
      <w:r>
        <w:t>de</w:t>
      </w:r>
      <w:r>
        <w:rPr>
          <w:spacing w:val="-2"/>
        </w:rPr>
        <w:t xml:space="preserve"> </w:t>
      </w:r>
      <w:r>
        <w:t>los</w:t>
      </w:r>
      <w:r>
        <w:rPr>
          <w:spacing w:val="-5"/>
        </w:rPr>
        <w:t xml:space="preserve"> </w:t>
      </w:r>
      <w:r>
        <w:t>grupos</w:t>
      </w:r>
      <w:r>
        <w:rPr>
          <w:spacing w:val="-3"/>
        </w:rPr>
        <w:t xml:space="preserve"> </w:t>
      </w:r>
      <w:r>
        <w:t>armados</w:t>
      </w:r>
      <w:r>
        <w:rPr>
          <w:spacing w:val="-5"/>
        </w:rPr>
        <w:t xml:space="preserve"> </w:t>
      </w:r>
      <w:r>
        <w:t>o</w:t>
      </w:r>
      <w:r>
        <w:rPr>
          <w:spacing w:val="-3"/>
        </w:rPr>
        <w:t xml:space="preserve"> </w:t>
      </w:r>
      <w:r>
        <w:rPr>
          <w:spacing w:val="-2"/>
        </w:rPr>
        <w:t>delincuenciales.</w:t>
      </w:r>
    </w:p>
    <w:p w:rsidR="003804AC" w:rsidRDefault="00AF18A5" w:rsidP="000D182E">
      <w:r>
        <w:t>Los pueblos étnicos han sufrido afectaciones particulares debido a la cosmovisión que atraviesa su forma de ser y estar en los territorios, además de la construcción de vínculos ancestrales con la naturaleza y los profundos significados que le atribuyen. La diversidad cultural se empobrece y así se pierden fiestas, ritos, expresiones artísticas, gastronomía, producción material.</w:t>
      </w:r>
    </w:p>
    <w:p w:rsidR="003804AC" w:rsidRDefault="00AF18A5" w:rsidP="000D182E">
      <w:r>
        <w:t>Una</w:t>
      </w:r>
      <w:r>
        <w:rPr>
          <w:spacing w:val="-2"/>
        </w:rPr>
        <w:t xml:space="preserve"> </w:t>
      </w:r>
      <w:r>
        <w:t>mujer</w:t>
      </w:r>
      <w:r>
        <w:rPr>
          <w:spacing w:val="-2"/>
        </w:rPr>
        <w:t xml:space="preserve"> </w:t>
      </w:r>
      <w:r>
        <w:t>entrevistada</w:t>
      </w:r>
      <w:r>
        <w:rPr>
          <w:spacing w:val="-3"/>
        </w:rPr>
        <w:t xml:space="preserve"> </w:t>
      </w:r>
      <w:r>
        <w:t>por</w:t>
      </w:r>
      <w:r>
        <w:rPr>
          <w:spacing w:val="-1"/>
        </w:rPr>
        <w:t xml:space="preserve"> </w:t>
      </w:r>
      <w:r>
        <w:t>la</w:t>
      </w:r>
      <w:r>
        <w:rPr>
          <w:spacing w:val="-1"/>
        </w:rPr>
        <w:t xml:space="preserve"> </w:t>
      </w:r>
      <w:r>
        <w:t>Comisión</w:t>
      </w:r>
      <w:r>
        <w:rPr>
          <w:spacing w:val="-2"/>
        </w:rPr>
        <w:t xml:space="preserve"> </w:t>
      </w:r>
      <w:r>
        <w:t>de</w:t>
      </w:r>
      <w:r>
        <w:rPr>
          <w:spacing w:val="-1"/>
        </w:rPr>
        <w:t xml:space="preserve"> </w:t>
      </w:r>
      <w:r>
        <w:t>la</w:t>
      </w:r>
      <w:r>
        <w:rPr>
          <w:spacing w:val="-1"/>
        </w:rPr>
        <w:t xml:space="preserve"> </w:t>
      </w:r>
      <w:r>
        <w:t>Verdad</w:t>
      </w:r>
      <w:r>
        <w:rPr>
          <w:spacing w:val="-2"/>
        </w:rPr>
        <w:t xml:space="preserve"> </w:t>
      </w:r>
      <w:r>
        <w:t>afirmó</w:t>
      </w:r>
      <w:r>
        <w:rPr>
          <w:spacing w:val="-1"/>
        </w:rPr>
        <w:t xml:space="preserve"> </w:t>
      </w:r>
      <w:r>
        <w:t>lo</w:t>
      </w:r>
      <w:r>
        <w:rPr>
          <w:spacing w:val="-1"/>
        </w:rPr>
        <w:t xml:space="preserve"> </w:t>
      </w:r>
      <w:r>
        <w:rPr>
          <w:spacing w:val="-2"/>
        </w:rPr>
        <w:t>siguiente:</w:t>
      </w:r>
      <w:r w:rsidR="000D182E">
        <w:t xml:space="preserve"> </w:t>
      </w:r>
      <w:r>
        <w:t>«La</w:t>
      </w:r>
      <w:r>
        <w:rPr>
          <w:spacing w:val="-2"/>
        </w:rPr>
        <w:t xml:space="preserve"> </w:t>
      </w:r>
      <w:r>
        <w:t>conexión</w:t>
      </w:r>
      <w:r>
        <w:rPr>
          <w:spacing w:val="-2"/>
        </w:rPr>
        <w:t xml:space="preserve"> </w:t>
      </w:r>
      <w:r>
        <w:t>que</w:t>
      </w:r>
      <w:r>
        <w:rPr>
          <w:spacing w:val="-3"/>
        </w:rPr>
        <w:t xml:space="preserve"> </w:t>
      </w:r>
      <w:r>
        <w:t>tenían</w:t>
      </w:r>
      <w:r>
        <w:rPr>
          <w:spacing w:val="-3"/>
        </w:rPr>
        <w:t xml:space="preserve"> </w:t>
      </w:r>
      <w:r>
        <w:t>con</w:t>
      </w:r>
      <w:r>
        <w:rPr>
          <w:spacing w:val="-2"/>
        </w:rPr>
        <w:t xml:space="preserve"> </w:t>
      </w:r>
      <w:r>
        <w:t>su</w:t>
      </w:r>
      <w:r>
        <w:rPr>
          <w:spacing w:val="-3"/>
        </w:rPr>
        <w:t xml:space="preserve"> </w:t>
      </w:r>
      <w:r>
        <w:t>vivienda</w:t>
      </w:r>
      <w:r>
        <w:rPr>
          <w:spacing w:val="-2"/>
        </w:rPr>
        <w:t xml:space="preserve"> </w:t>
      </w:r>
      <w:r>
        <w:t>era</w:t>
      </w:r>
      <w:r>
        <w:rPr>
          <w:spacing w:val="-2"/>
        </w:rPr>
        <w:t xml:space="preserve"> </w:t>
      </w:r>
      <w:r>
        <w:t>una</w:t>
      </w:r>
      <w:r>
        <w:rPr>
          <w:spacing w:val="-4"/>
        </w:rPr>
        <w:t xml:space="preserve"> </w:t>
      </w:r>
      <w:r>
        <w:t>conexión</w:t>
      </w:r>
      <w:r>
        <w:rPr>
          <w:spacing w:val="-2"/>
        </w:rPr>
        <w:t xml:space="preserve"> </w:t>
      </w:r>
      <w:r>
        <w:t>de</w:t>
      </w:r>
      <w:r>
        <w:rPr>
          <w:spacing w:val="-3"/>
        </w:rPr>
        <w:t xml:space="preserve"> </w:t>
      </w:r>
      <w:r>
        <w:t>sangre,</w:t>
      </w:r>
      <w:r>
        <w:rPr>
          <w:spacing w:val="-2"/>
        </w:rPr>
        <w:t xml:space="preserve"> </w:t>
      </w:r>
      <w:r>
        <w:t>porque</w:t>
      </w:r>
      <w:r>
        <w:rPr>
          <w:spacing w:val="-2"/>
        </w:rPr>
        <w:t xml:space="preserve"> </w:t>
      </w:r>
      <w:r>
        <w:t>una</w:t>
      </w:r>
      <w:r>
        <w:rPr>
          <w:spacing w:val="-2"/>
        </w:rPr>
        <w:t xml:space="preserve"> </w:t>
      </w:r>
      <w:r>
        <w:t>de</w:t>
      </w:r>
      <w:r>
        <w:rPr>
          <w:spacing w:val="-2"/>
        </w:rPr>
        <w:t xml:space="preserve"> </w:t>
      </w:r>
      <w:r>
        <w:t>esas sabedoras nos dijo que, al ella parir en su casa a sus hijos, su casa se convertía en una extensión</w:t>
      </w:r>
      <w:r>
        <w:rPr>
          <w:spacing w:val="-14"/>
        </w:rPr>
        <w:t xml:space="preserve"> </w:t>
      </w:r>
      <w:r>
        <w:t>de</w:t>
      </w:r>
      <w:r>
        <w:rPr>
          <w:spacing w:val="-14"/>
        </w:rPr>
        <w:t xml:space="preserve"> </w:t>
      </w:r>
      <w:r>
        <w:t>su</w:t>
      </w:r>
      <w:r>
        <w:rPr>
          <w:spacing w:val="-14"/>
        </w:rPr>
        <w:t xml:space="preserve"> </w:t>
      </w:r>
      <w:r>
        <w:t>cuerpo</w:t>
      </w:r>
      <w:r>
        <w:rPr>
          <w:spacing w:val="-14"/>
        </w:rPr>
        <w:t xml:space="preserve"> </w:t>
      </w:r>
      <w:r>
        <w:t>(…)</w:t>
      </w:r>
      <w:r>
        <w:rPr>
          <w:spacing w:val="-14"/>
        </w:rPr>
        <w:t xml:space="preserve"> </w:t>
      </w:r>
      <w:r>
        <w:t>No,</w:t>
      </w:r>
      <w:r>
        <w:rPr>
          <w:spacing w:val="-14"/>
        </w:rPr>
        <w:t xml:space="preserve"> </w:t>
      </w:r>
      <w:r>
        <w:t>es</w:t>
      </w:r>
      <w:r>
        <w:rPr>
          <w:spacing w:val="-14"/>
        </w:rPr>
        <w:t xml:space="preserve"> </w:t>
      </w:r>
      <w:r>
        <w:t>que</w:t>
      </w:r>
      <w:r>
        <w:rPr>
          <w:spacing w:val="-14"/>
        </w:rPr>
        <w:t xml:space="preserve"> </w:t>
      </w:r>
      <w:r>
        <w:t>nosotras</w:t>
      </w:r>
      <w:r>
        <w:rPr>
          <w:spacing w:val="-15"/>
        </w:rPr>
        <w:t xml:space="preserve"> </w:t>
      </w:r>
      <w:r>
        <w:t>no</w:t>
      </w:r>
      <w:r>
        <w:rPr>
          <w:spacing w:val="-14"/>
        </w:rPr>
        <w:t xml:space="preserve"> </w:t>
      </w:r>
      <w:r>
        <w:t>tenemos</w:t>
      </w:r>
      <w:r>
        <w:rPr>
          <w:spacing w:val="-14"/>
        </w:rPr>
        <w:t xml:space="preserve"> </w:t>
      </w:r>
      <w:r>
        <w:t>rumbo,</w:t>
      </w:r>
      <w:r>
        <w:rPr>
          <w:spacing w:val="-14"/>
        </w:rPr>
        <w:t xml:space="preserve"> </w:t>
      </w:r>
      <w:r>
        <w:t>porque</w:t>
      </w:r>
      <w:r>
        <w:rPr>
          <w:spacing w:val="-14"/>
        </w:rPr>
        <w:t xml:space="preserve"> </w:t>
      </w:r>
      <w:r>
        <w:t>no</w:t>
      </w:r>
      <w:r>
        <w:rPr>
          <w:spacing w:val="-14"/>
        </w:rPr>
        <w:t xml:space="preserve"> </w:t>
      </w:r>
      <w:r>
        <w:t>tenemos</w:t>
      </w:r>
      <w:r>
        <w:rPr>
          <w:spacing w:val="-14"/>
        </w:rPr>
        <w:t xml:space="preserve"> </w:t>
      </w:r>
      <w:r>
        <w:t>suelo, nuestro</w:t>
      </w:r>
      <w:r>
        <w:rPr>
          <w:spacing w:val="28"/>
        </w:rPr>
        <w:t xml:space="preserve"> </w:t>
      </w:r>
      <w:r>
        <w:t>ombligo</w:t>
      </w:r>
      <w:r>
        <w:rPr>
          <w:spacing w:val="29"/>
        </w:rPr>
        <w:t xml:space="preserve"> </w:t>
      </w:r>
      <w:r>
        <w:t>se</w:t>
      </w:r>
      <w:r>
        <w:rPr>
          <w:spacing w:val="30"/>
        </w:rPr>
        <w:t xml:space="preserve"> </w:t>
      </w:r>
      <w:r>
        <w:t>perdió</w:t>
      </w:r>
      <w:r>
        <w:rPr>
          <w:spacing w:val="29"/>
        </w:rPr>
        <w:t xml:space="preserve"> </w:t>
      </w:r>
      <w:r>
        <w:t>[...].</w:t>
      </w:r>
      <w:r>
        <w:rPr>
          <w:spacing w:val="30"/>
        </w:rPr>
        <w:t xml:space="preserve"> </w:t>
      </w:r>
      <w:r>
        <w:t>El</w:t>
      </w:r>
      <w:r>
        <w:rPr>
          <w:spacing w:val="28"/>
        </w:rPr>
        <w:t xml:space="preserve"> </w:t>
      </w:r>
      <w:r>
        <w:t>maíz</w:t>
      </w:r>
      <w:r>
        <w:rPr>
          <w:spacing w:val="28"/>
        </w:rPr>
        <w:t xml:space="preserve"> </w:t>
      </w:r>
      <w:r>
        <w:t>cariaco</w:t>
      </w:r>
      <w:r>
        <w:rPr>
          <w:spacing w:val="30"/>
        </w:rPr>
        <w:t xml:space="preserve"> </w:t>
      </w:r>
      <w:r>
        <w:t>se</w:t>
      </w:r>
      <w:r>
        <w:rPr>
          <w:spacing w:val="30"/>
        </w:rPr>
        <w:t xml:space="preserve"> </w:t>
      </w:r>
      <w:r>
        <w:t>da</w:t>
      </w:r>
      <w:r>
        <w:rPr>
          <w:spacing w:val="30"/>
        </w:rPr>
        <w:t xml:space="preserve"> </w:t>
      </w:r>
      <w:r>
        <w:t>aquí</w:t>
      </w:r>
      <w:r>
        <w:rPr>
          <w:spacing w:val="29"/>
        </w:rPr>
        <w:t xml:space="preserve"> </w:t>
      </w:r>
      <w:r>
        <w:t>en</w:t>
      </w:r>
      <w:r>
        <w:rPr>
          <w:spacing w:val="29"/>
        </w:rPr>
        <w:t xml:space="preserve"> </w:t>
      </w:r>
      <w:r>
        <w:t>La</w:t>
      </w:r>
      <w:r>
        <w:rPr>
          <w:spacing w:val="30"/>
        </w:rPr>
        <w:t xml:space="preserve"> </w:t>
      </w:r>
      <w:r>
        <w:t>Guajira,</w:t>
      </w:r>
      <w:r>
        <w:rPr>
          <w:spacing w:val="29"/>
        </w:rPr>
        <w:t xml:space="preserve"> </w:t>
      </w:r>
      <w:r>
        <w:t>pero</w:t>
      </w:r>
      <w:r>
        <w:rPr>
          <w:spacing w:val="30"/>
        </w:rPr>
        <w:t xml:space="preserve"> </w:t>
      </w:r>
      <w:r>
        <w:t>al</w:t>
      </w:r>
      <w:r>
        <w:rPr>
          <w:spacing w:val="29"/>
        </w:rPr>
        <w:t xml:space="preserve"> </w:t>
      </w:r>
      <w:r>
        <w:t>ya</w:t>
      </w:r>
      <w:r>
        <w:rPr>
          <w:spacing w:val="30"/>
        </w:rPr>
        <w:t xml:space="preserve"> </w:t>
      </w:r>
      <w:r>
        <w:rPr>
          <w:spacing w:val="-5"/>
        </w:rPr>
        <w:t>ser</w:t>
      </w:r>
      <w:r w:rsidR="000D182E">
        <w:t xml:space="preserve"> </w:t>
      </w:r>
      <w:r>
        <w:t>desarraigado...</w:t>
      </w:r>
      <w:r>
        <w:rPr>
          <w:spacing w:val="-12"/>
        </w:rPr>
        <w:t xml:space="preserve"> </w:t>
      </w:r>
      <w:r>
        <w:t>esa</w:t>
      </w:r>
      <w:r>
        <w:rPr>
          <w:spacing w:val="-12"/>
        </w:rPr>
        <w:t xml:space="preserve"> </w:t>
      </w:r>
      <w:r>
        <w:t>semilla</w:t>
      </w:r>
      <w:r>
        <w:rPr>
          <w:spacing w:val="-11"/>
        </w:rPr>
        <w:t xml:space="preserve"> </w:t>
      </w:r>
      <w:r>
        <w:t>está</w:t>
      </w:r>
      <w:r>
        <w:rPr>
          <w:spacing w:val="-11"/>
        </w:rPr>
        <w:t xml:space="preserve"> </w:t>
      </w:r>
      <w:r>
        <w:t>prácticamente</w:t>
      </w:r>
      <w:r>
        <w:rPr>
          <w:spacing w:val="-11"/>
        </w:rPr>
        <w:t xml:space="preserve"> </w:t>
      </w:r>
      <w:r>
        <w:t>perdida,</w:t>
      </w:r>
      <w:r>
        <w:rPr>
          <w:spacing w:val="-12"/>
        </w:rPr>
        <w:t xml:space="preserve"> </w:t>
      </w:r>
      <w:r>
        <w:t>pero</w:t>
      </w:r>
      <w:r>
        <w:rPr>
          <w:spacing w:val="-12"/>
        </w:rPr>
        <w:t xml:space="preserve"> </w:t>
      </w:r>
      <w:r>
        <w:t>dentro</w:t>
      </w:r>
      <w:r>
        <w:rPr>
          <w:spacing w:val="-12"/>
        </w:rPr>
        <w:t xml:space="preserve"> </w:t>
      </w:r>
      <w:r>
        <w:t>de</w:t>
      </w:r>
      <w:r>
        <w:rPr>
          <w:spacing w:val="-12"/>
        </w:rPr>
        <w:t xml:space="preserve"> </w:t>
      </w:r>
      <w:r>
        <w:t>la</w:t>
      </w:r>
      <w:r>
        <w:rPr>
          <w:spacing w:val="-12"/>
        </w:rPr>
        <w:t xml:space="preserve"> </w:t>
      </w:r>
      <w:r>
        <w:t>comunidad</w:t>
      </w:r>
      <w:r>
        <w:rPr>
          <w:spacing w:val="-12"/>
        </w:rPr>
        <w:t xml:space="preserve"> </w:t>
      </w:r>
      <w:proofErr w:type="gramStart"/>
      <w:r>
        <w:t>hubieron</w:t>
      </w:r>
      <w:proofErr w:type="gramEnd"/>
      <w:r>
        <w:t xml:space="preserve"> hombres y mujeres que se volvieron guardianes de la semilla y las cultivan»</w:t>
      </w:r>
      <w:r w:rsidR="000D182E">
        <w:rPr>
          <w:rStyle w:val="Refdenotaalpie"/>
        </w:rPr>
        <w:footnoteReference w:id="1135"/>
      </w:r>
      <w:r>
        <w:t>.</w:t>
      </w:r>
    </w:p>
    <w:p w:rsidR="003804AC" w:rsidRDefault="00AF18A5" w:rsidP="000D182E">
      <w:r>
        <w:t>A comienzos de los años noventa, en Medellín y otras ciudades y territorios del país, el narcotráfico aprovechó los efectos del desplazamiento forzado en los barrios de la periferia urbana–.</w:t>
      </w:r>
      <w:r>
        <w:rPr>
          <w:spacing w:val="-9"/>
        </w:rPr>
        <w:t xml:space="preserve"> </w:t>
      </w:r>
      <w:r>
        <w:t>Esa</w:t>
      </w:r>
      <w:r>
        <w:rPr>
          <w:spacing w:val="-9"/>
        </w:rPr>
        <w:t xml:space="preserve"> </w:t>
      </w:r>
      <w:r>
        <w:t>dualidad</w:t>
      </w:r>
      <w:r>
        <w:rPr>
          <w:spacing w:val="-9"/>
        </w:rPr>
        <w:t xml:space="preserve"> </w:t>
      </w:r>
      <w:r>
        <w:t>de</w:t>
      </w:r>
      <w:r>
        <w:rPr>
          <w:spacing w:val="-9"/>
        </w:rPr>
        <w:t xml:space="preserve"> </w:t>
      </w:r>
      <w:r>
        <w:t>mundos</w:t>
      </w:r>
      <w:r>
        <w:rPr>
          <w:spacing w:val="-9"/>
        </w:rPr>
        <w:t xml:space="preserve"> </w:t>
      </w:r>
      <w:r>
        <w:t>con</w:t>
      </w:r>
      <w:r>
        <w:rPr>
          <w:spacing w:val="-9"/>
        </w:rPr>
        <w:t xml:space="preserve"> </w:t>
      </w:r>
      <w:r>
        <w:t>la</w:t>
      </w:r>
      <w:r>
        <w:rPr>
          <w:spacing w:val="-9"/>
        </w:rPr>
        <w:t xml:space="preserve"> </w:t>
      </w:r>
      <w:r>
        <w:t>que</w:t>
      </w:r>
      <w:r>
        <w:rPr>
          <w:spacing w:val="-9"/>
        </w:rPr>
        <w:t xml:space="preserve"> </w:t>
      </w:r>
      <w:r>
        <w:t>convivían</w:t>
      </w:r>
      <w:r>
        <w:rPr>
          <w:spacing w:val="-11"/>
        </w:rPr>
        <w:t xml:space="preserve"> </w:t>
      </w:r>
      <w:r>
        <w:t>los</w:t>
      </w:r>
      <w:r>
        <w:rPr>
          <w:spacing w:val="-9"/>
        </w:rPr>
        <w:t xml:space="preserve"> </w:t>
      </w:r>
      <w:r>
        <w:t>desplazados</w:t>
      </w:r>
      <w:r>
        <w:rPr>
          <w:spacing w:val="-10"/>
        </w:rPr>
        <w:t xml:space="preserve"> </w:t>
      </w:r>
      <w:r>
        <w:t>implicó</w:t>
      </w:r>
      <w:r>
        <w:rPr>
          <w:spacing w:val="-9"/>
        </w:rPr>
        <w:t xml:space="preserve"> </w:t>
      </w:r>
      <w:r>
        <w:t>para</w:t>
      </w:r>
      <w:r>
        <w:rPr>
          <w:spacing w:val="-10"/>
        </w:rPr>
        <w:t xml:space="preserve"> </w:t>
      </w:r>
      <w:r>
        <w:t>muchos jóvenes una degradación existencial, un limbo. Sin pasado, porque no se podían identificar con</w:t>
      </w:r>
      <w:r>
        <w:rPr>
          <w:spacing w:val="-1"/>
        </w:rPr>
        <w:t xml:space="preserve"> </w:t>
      </w:r>
      <w:r>
        <w:t>el</w:t>
      </w:r>
      <w:r>
        <w:rPr>
          <w:spacing w:val="-2"/>
        </w:rPr>
        <w:t xml:space="preserve"> </w:t>
      </w:r>
      <w:r>
        <w:t>legado</w:t>
      </w:r>
      <w:r>
        <w:rPr>
          <w:spacing w:val="-1"/>
        </w:rPr>
        <w:t xml:space="preserve"> </w:t>
      </w:r>
      <w:r>
        <w:t>rural</w:t>
      </w:r>
      <w:r>
        <w:rPr>
          <w:spacing w:val="-1"/>
        </w:rPr>
        <w:t xml:space="preserve"> </w:t>
      </w:r>
      <w:r>
        <w:t>de</w:t>
      </w:r>
      <w:r>
        <w:rPr>
          <w:spacing w:val="-2"/>
        </w:rPr>
        <w:t xml:space="preserve"> </w:t>
      </w:r>
      <w:r>
        <w:t>sus</w:t>
      </w:r>
      <w:r>
        <w:rPr>
          <w:spacing w:val="-1"/>
        </w:rPr>
        <w:t xml:space="preserve"> </w:t>
      </w:r>
      <w:r>
        <w:t>familias,</w:t>
      </w:r>
      <w:r>
        <w:rPr>
          <w:spacing w:val="-2"/>
        </w:rPr>
        <w:t xml:space="preserve"> </w:t>
      </w:r>
      <w:r>
        <w:t>y</w:t>
      </w:r>
      <w:r>
        <w:rPr>
          <w:spacing w:val="-2"/>
        </w:rPr>
        <w:t xml:space="preserve"> </w:t>
      </w:r>
      <w:r>
        <w:t>sin</w:t>
      </w:r>
      <w:r>
        <w:rPr>
          <w:spacing w:val="-2"/>
        </w:rPr>
        <w:t xml:space="preserve"> </w:t>
      </w:r>
      <w:r>
        <w:t>futuro</w:t>
      </w:r>
      <w:r>
        <w:rPr>
          <w:spacing w:val="-1"/>
        </w:rPr>
        <w:t xml:space="preserve"> </w:t>
      </w:r>
      <w:r>
        <w:t>porque</w:t>
      </w:r>
      <w:r>
        <w:rPr>
          <w:spacing w:val="-1"/>
        </w:rPr>
        <w:t xml:space="preserve"> </w:t>
      </w:r>
      <w:r>
        <w:t>una</w:t>
      </w:r>
      <w:r>
        <w:rPr>
          <w:spacing w:val="-2"/>
        </w:rPr>
        <w:t xml:space="preserve"> </w:t>
      </w:r>
      <w:r>
        <w:t>de</w:t>
      </w:r>
      <w:r>
        <w:rPr>
          <w:spacing w:val="-1"/>
        </w:rPr>
        <w:t xml:space="preserve"> </w:t>
      </w:r>
      <w:r>
        <w:t>las</w:t>
      </w:r>
      <w:r>
        <w:rPr>
          <w:spacing w:val="-2"/>
        </w:rPr>
        <w:t xml:space="preserve"> </w:t>
      </w:r>
      <w:r>
        <w:t>pocas</w:t>
      </w:r>
      <w:r>
        <w:rPr>
          <w:spacing w:val="-2"/>
        </w:rPr>
        <w:t xml:space="preserve"> </w:t>
      </w:r>
      <w:r>
        <w:t>opciones</w:t>
      </w:r>
      <w:r>
        <w:rPr>
          <w:spacing w:val="-1"/>
        </w:rPr>
        <w:t xml:space="preserve"> </w:t>
      </w:r>
      <w:r>
        <w:t>que</w:t>
      </w:r>
      <w:r>
        <w:rPr>
          <w:spacing w:val="-2"/>
        </w:rPr>
        <w:t xml:space="preserve"> </w:t>
      </w:r>
      <w:r>
        <w:t xml:space="preserve">tenían era convertirse en sicarios. Así lo representó el cineasta Víctor Gaviria. Estos jóvenes, con tal de tener un lugar, un poder, un propósito, no dudaban en disparar el </w:t>
      </w:r>
      <w:r>
        <w:lastRenderedPageBreak/>
        <w:t xml:space="preserve">gatillo para robar o </w:t>
      </w:r>
      <w:r>
        <w:rPr>
          <w:spacing w:val="-2"/>
        </w:rPr>
        <w:t>matar.</w:t>
      </w:r>
    </w:p>
    <w:p w:rsidR="003804AC" w:rsidRDefault="00AF18A5" w:rsidP="000D182E">
      <w:r>
        <w:t>Esa degradación social dejó un vacío cultural en el que se perdió la moralidad y la comprensión</w:t>
      </w:r>
      <w:r>
        <w:rPr>
          <w:spacing w:val="-1"/>
        </w:rPr>
        <w:t xml:space="preserve"> </w:t>
      </w:r>
      <w:r>
        <w:t>de</w:t>
      </w:r>
      <w:r>
        <w:rPr>
          <w:spacing w:val="-1"/>
        </w:rPr>
        <w:t xml:space="preserve"> </w:t>
      </w:r>
      <w:r>
        <w:t>las</w:t>
      </w:r>
      <w:r>
        <w:rPr>
          <w:spacing w:val="-1"/>
        </w:rPr>
        <w:t xml:space="preserve"> </w:t>
      </w:r>
      <w:r>
        <w:t>causas,</w:t>
      </w:r>
      <w:r>
        <w:rPr>
          <w:spacing w:val="-1"/>
        </w:rPr>
        <w:t xml:space="preserve"> </w:t>
      </w:r>
      <w:r>
        <w:t>los</w:t>
      </w:r>
      <w:r>
        <w:rPr>
          <w:spacing w:val="-1"/>
        </w:rPr>
        <w:t xml:space="preserve"> </w:t>
      </w:r>
      <w:r>
        <w:t>efectos</w:t>
      </w:r>
      <w:r>
        <w:rPr>
          <w:spacing w:val="-1"/>
        </w:rPr>
        <w:t xml:space="preserve"> </w:t>
      </w:r>
      <w:r>
        <w:t>y</w:t>
      </w:r>
      <w:r>
        <w:rPr>
          <w:spacing w:val="-1"/>
        </w:rPr>
        <w:t xml:space="preserve"> </w:t>
      </w:r>
      <w:r>
        <w:t>las</w:t>
      </w:r>
      <w:r>
        <w:rPr>
          <w:spacing w:val="-1"/>
        </w:rPr>
        <w:t xml:space="preserve"> </w:t>
      </w:r>
      <w:r>
        <w:t>consecuencias</w:t>
      </w:r>
      <w:r>
        <w:rPr>
          <w:spacing w:val="-1"/>
        </w:rPr>
        <w:t xml:space="preserve"> </w:t>
      </w:r>
      <w:r>
        <w:t>de</w:t>
      </w:r>
      <w:r>
        <w:rPr>
          <w:spacing w:val="-2"/>
        </w:rPr>
        <w:t xml:space="preserve"> </w:t>
      </w:r>
      <w:r>
        <w:t>los</w:t>
      </w:r>
      <w:r>
        <w:rPr>
          <w:spacing w:val="-1"/>
        </w:rPr>
        <w:t xml:space="preserve"> </w:t>
      </w:r>
      <w:r>
        <w:t>hechos.</w:t>
      </w:r>
      <w:r>
        <w:rPr>
          <w:spacing w:val="-3"/>
        </w:rPr>
        <w:t xml:space="preserve"> </w:t>
      </w:r>
      <w:r>
        <w:t>La</w:t>
      </w:r>
      <w:r>
        <w:rPr>
          <w:spacing w:val="-1"/>
        </w:rPr>
        <w:t xml:space="preserve"> </w:t>
      </w:r>
      <w:r>
        <w:t>pobreza</w:t>
      </w:r>
      <w:r>
        <w:rPr>
          <w:spacing w:val="-2"/>
        </w:rPr>
        <w:t xml:space="preserve"> </w:t>
      </w:r>
      <w:r>
        <w:t>de</w:t>
      </w:r>
      <w:r>
        <w:rPr>
          <w:spacing w:val="-1"/>
        </w:rPr>
        <w:t xml:space="preserve"> </w:t>
      </w:r>
      <w:r>
        <w:t>esa periferia, sumada al desarraigo de estos jóvenes, produjo la ruptura con las costumbres campesinas con las que habían llegado sus progenitores y abuelos. En su lectura de ese contexto, Víctor Gaviria afirma que la única salida frente a esa opción de vida fue el punk, una</w:t>
      </w:r>
      <w:r>
        <w:rPr>
          <w:spacing w:val="-2"/>
        </w:rPr>
        <w:t xml:space="preserve"> </w:t>
      </w:r>
      <w:r>
        <w:t>música</w:t>
      </w:r>
      <w:r>
        <w:rPr>
          <w:spacing w:val="-3"/>
        </w:rPr>
        <w:t xml:space="preserve"> </w:t>
      </w:r>
      <w:r>
        <w:t>que</w:t>
      </w:r>
      <w:r>
        <w:rPr>
          <w:spacing w:val="-2"/>
        </w:rPr>
        <w:t xml:space="preserve"> </w:t>
      </w:r>
      <w:r>
        <w:t>comenzó</w:t>
      </w:r>
      <w:r>
        <w:rPr>
          <w:spacing w:val="-2"/>
        </w:rPr>
        <w:t xml:space="preserve"> </w:t>
      </w:r>
      <w:r>
        <w:t>a</w:t>
      </w:r>
      <w:r>
        <w:rPr>
          <w:spacing w:val="-2"/>
        </w:rPr>
        <w:t xml:space="preserve"> </w:t>
      </w:r>
      <w:r>
        <w:t>darles</w:t>
      </w:r>
      <w:r>
        <w:rPr>
          <w:spacing w:val="-2"/>
        </w:rPr>
        <w:t xml:space="preserve"> </w:t>
      </w:r>
      <w:r>
        <w:t>sentido</w:t>
      </w:r>
      <w:r>
        <w:rPr>
          <w:spacing w:val="-2"/>
        </w:rPr>
        <w:t xml:space="preserve"> </w:t>
      </w:r>
      <w:r>
        <w:t>de</w:t>
      </w:r>
      <w:r>
        <w:rPr>
          <w:spacing w:val="-2"/>
        </w:rPr>
        <w:t xml:space="preserve"> </w:t>
      </w:r>
      <w:r>
        <w:t>pertenencia,</w:t>
      </w:r>
      <w:r>
        <w:rPr>
          <w:spacing w:val="-2"/>
        </w:rPr>
        <w:t xml:space="preserve"> </w:t>
      </w:r>
      <w:r>
        <w:t>una</w:t>
      </w:r>
      <w:r>
        <w:rPr>
          <w:spacing w:val="-3"/>
        </w:rPr>
        <w:t xml:space="preserve"> </w:t>
      </w:r>
      <w:r>
        <w:t>identidad,</w:t>
      </w:r>
      <w:r>
        <w:rPr>
          <w:spacing w:val="-2"/>
        </w:rPr>
        <w:t xml:space="preserve"> </w:t>
      </w:r>
      <w:r>
        <w:t>un</w:t>
      </w:r>
      <w:r>
        <w:rPr>
          <w:spacing w:val="-2"/>
        </w:rPr>
        <w:t xml:space="preserve"> </w:t>
      </w:r>
      <w:r>
        <w:t>reconocimiento, un</w:t>
      </w:r>
      <w:r>
        <w:rPr>
          <w:spacing w:val="-1"/>
        </w:rPr>
        <w:t xml:space="preserve"> </w:t>
      </w:r>
      <w:r>
        <w:t>círculo</w:t>
      </w:r>
      <w:r>
        <w:rPr>
          <w:spacing w:val="-1"/>
        </w:rPr>
        <w:t xml:space="preserve"> </w:t>
      </w:r>
      <w:r>
        <w:t>y</w:t>
      </w:r>
      <w:r>
        <w:rPr>
          <w:spacing w:val="-3"/>
        </w:rPr>
        <w:t xml:space="preserve"> </w:t>
      </w:r>
      <w:r>
        <w:t>una</w:t>
      </w:r>
      <w:r>
        <w:rPr>
          <w:spacing w:val="-1"/>
        </w:rPr>
        <w:t xml:space="preserve"> </w:t>
      </w:r>
      <w:r>
        <w:t>enorme</w:t>
      </w:r>
      <w:r>
        <w:rPr>
          <w:spacing w:val="-2"/>
        </w:rPr>
        <w:t xml:space="preserve"> </w:t>
      </w:r>
      <w:r>
        <w:t>rebeldía</w:t>
      </w:r>
      <w:r>
        <w:rPr>
          <w:spacing w:val="-1"/>
        </w:rPr>
        <w:t xml:space="preserve"> </w:t>
      </w:r>
      <w:r>
        <w:t>para</w:t>
      </w:r>
      <w:r>
        <w:rPr>
          <w:spacing w:val="-1"/>
        </w:rPr>
        <w:t xml:space="preserve"> </w:t>
      </w:r>
      <w:r>
        <w:t>oponerse</w:t>
      </w:r>
      <w:r>
        <w:rPr>
          <w:spacing w:val="-1"/>
        </w:rPr>
        <w:t xml:space="preserve"> </w:t>
      </w:r>
      <w:r>
        <w:t>al</w:t>
      </w:r>
      <w:r>
        <w:rPr>
          <w:spacing w:val="-1"/>
        </w:rPr>
        <w:t xml:space="preserve"> </w:t>
      </w:r>
      <w:r>
        <w:t>consumismo</w:t>
      </w:r>
      <w:r>
        <w:rPr>
          <w:spacing w:val="-1"/>
        </w:rPr>
        <w:t xml:space="preserve"> </w:t>
      </w:r>
      <w:r>
        <w:t>sin</w:t>
      </w:r>
      <w:r>
        <w:rPr>
          <w:spacing w:val="-2"/>
        </w:rPr>
        <w:t xml:space="preserve"> </w:t>
      </w:r>
      <w:r>
        <w:t>sentido</w:t>
      </w:r>
      <w:r>
        <w:rPr>
          <w:spacing w:val="-2"/>
        </w:rPr>
        <w:t xml:space="preserve"> </w:t>
      </w:r>
      <w:r>
        <w:t>que</w:t>
      </w:r>
      <w:r>
        <w:rPr>
          <w:spacing w:val="-1"/>
        </w:rPr>
        <w:t xml:space="preserve"> </w:t>
      </w:r>
      <w:r>
        <w:t>se</w:t>
      </w:r>
      <w:r>
        <w:rPr>
          <w:spacing w:val="-2"/>
        </w:rPr>
        <w:t xml:space="preserve"> </w:t>
      </w:r>
      <w:r>
        <w:t>planteaba como modelo de desarrollo para la ciudad.</w:t>
      </w:r>
    </w:p>
    <w:p w:rsidR="003804AC" w:rsidRDefault="00AF18A5" w:rsidP="000D182E">
      <w:r>
        <w:t>En</w:t>
      </w:r>
      <w:r>
        <w:rPr>
          <w:spacing w:val="-9"/>
        </w:rPr>
        <w:t xml:space="preserve"> </w:t>
      </w:r>
      <w:r>
        <w:t>términos</w:t>
      </w:r>
      <w:r>
        <w:rPr>
          <w:spacing w:val="-12"/>
        </w:rPr>
        <w:t xml:space="preserve"> </w:t>
      </w:r>
      <w:r>
        <w:t>culturales,</w:t>
      </w:r>
      <w:r>
        <w:rPr>
          <w:spacing w:val="-10"/>
        </w:rPr>
        <w:t xml:space="preserve"> </w:t>
      </w:r>
      <w:r>
        <w:t>se</w:t>
      </w:r>
      <w:r>
        <w:rPr>
          <w:spacing w:val="-9"/>
        </w:rPr>
        <w:t xml:space="preserve"> </w:t>
      </w:r>
      <w:r>
        <w:t>concretó</w:t>
      </w:r>
      <w:r>
        <w:rPr>
          <w:spacing w:val="-9"/>
        </w:rPr>
        <w:t xml:space="preserve"> </w:t>
      </w:r>
      <w:r>
        <w:t>una</w:t>
      </w:r>
      <w:r>
        <w:rPr>
          <w:spacing w:val="-9"/>
        </w:rPr>
        <w:t xml:space="preserve"> </w:t>
      </w:r>
      <w:r>
        <w:t>pérdida</w:t>
      </w:r>
      <w:r>
        <w:rPr>
          <w:spacing w:val="-9"/>
        </w:rPr>
        <w:t xml:space="preserve"> </w:t>
      </w:r>
      <w:r>
        <w:t>de</w:t>
      </w:r>
      <w:r>
        <w:rPr>
          <w:spacing w:val="-9"/>
        </w:rPr>
        <w:t xml:space="preserve"> </w:t>
      </w:r>
      <w:r>
        <w:t>costumbres</w:t>
      </w:r>
      <w:r>
        <w:rPr>
          <w:spacing w:val="-9"/>
        </w:rPr>
        <w:t xml:space="preserve"> </w:t>
      </w:r>
      <w:r>
        <w:t>y</w:t>
      </w:r>
      <w:r>
        <w:rPr>
          <w:spacing w:val="-9"/>
        </w:rPr>
        <w:t xml:space="preserve"> </w:t>
      </w:r>
      <w:r>
        <w:t>tradiciones</w:t>
      </w:r>
      <w:r>
        <w:rPr>
          <w:spacing w:val="-9"/>
        </w:rPr>
        <w:t xml:space="preserve"> </w:t>
      </w:r>
      <w:r>
        <w:t>que</w:t>
      </w:r>
      <w:r>
        <w:rPr>
          <w:spacing w:val="-9"/>
        </w:rPr>
        <w:t xml:space="preserve"> </w:t>
      </w:r>
      <w:r>
        <w:t>se</w:t>
      </w:r>
      <w:r>
        <w:rPr>
          <w:spacing w:val="-9"/>
        </w:rPr>
        <w:t xml:space="preserve"> </w:t>
      </w:r>
      <w:r>
        <w:t>reflejó en el cambio de la vida rural comunitaria a la urbana:</w:t>
      </w:r>
    </w:p>
    <w:p w:rsidR="003804AC" w:rsidRDefault="00AF18A5" w:rsidP="000D182E">
      <w:r>
        <w:t>«Hay</w:t>
      </w:r>
      <w:r>
        <w:rPr>
          <w:spacing w:val="-7"/>
        </w:rPr>
        <w:t xml:space="preserve"> </w:t>
      </w:r>
      <w:r>
        <w:t>un</w:t>
      </w:r>
      <w:r>
        <w:rPr>
          <w:spacing w:val="-7"/>
        </w:rPr>
        <w:t xml:space="preserve"> </w:t>
      </w:r>
      <w:r>
        <w:t>esquema</w:t>
      </w:r>
      <w:r>
        <w:rPr>
          <w:spacing w:val="-7"/>
        </w:rPr>
        <w:t xml:space="preserve"> </w:t>
      </w:r>
      <w:r>
        <w:t>distinto</w:t>
      </w:r>
      <w:r>
        <w:rPr>
          <w:spacing w:val="-7"/>
        </w:rPr>
        <w:t xml:space="preserve"> </w:t>
      </w:r>
      <w:r>
        <w:t>de</w:t>
      </w:r>
      <w:r>
        <w:rPr>
          <w:spacing w:val="-7"/>
        </w:rPr>
        <w:t xml:space="preserve"> </w:t>
      </w:r>
      <w:r>
        <w:t>sociedad</w:t>
      </w:r>
      <w:r>
        <w:rPr>
          <w:spacing w:val="-7"/>
        </w:rPr>
        <w:t xml:space="preserve"> </w:t>
      </w:r>
      <w:r>
        <w:t>y</w:t>
      </w:r>
      <w:r>
        <w:rPr>
          <w:spacing w:val="-7"/>
        </w:rPr>
        <w:t xml:space="preserve"> </w:t>
      </w:r>
      <w:r>
        <w:t>cultura:</w:t>
      </w:r>
      <w:r>
        <w:rPr>
          <w:spacing w:val="-8"/>
        </w:rPr>
        <w:t xml:space="preserve"> </w:t>
      </w:r>
      <w:r>
        <w:t>es</w:t>
      </w:r>
      <w:r>
        <w:rPr>
          <w:spacing w:val="-7"/>
        </w:rPr>
        <w:t xml:space="preserve"> </w:t>
      </w:r>
      <w:r>
        <w:t>diferente</w:t>
      </w:r>
      <w:r>
        <w:rPr>
          <w:spacing w:val="-8"/>
        </w:rPr>
        <w:t xml:space="preserve"> </w:t>
      </w:r>
      <w:r>
        <w:t>ser</w:t>
      </w:r>
      <w:r>
        <w:rPr>
          <w:spacing w:val="-7"/>
        </w:rPr>
        <w:t xml:space="preserve"> </w:t>
      </w:r>
      <w:r>
        <w:t>campesino</w:t>
      </w:r>
      <w:r>
        <w:rPr>
          <w:spacing w:val="-7"/>
        </w:rPr>
        <w:t xml:space="preserve"> </w:t>
      </w:r>
      <w:r>
        <w:t>en</w:t>
      </w:r>
      <w:r>
        <w:rPr>
          <w:spacing w:val="-7"/>
        </w:rPr>
        <w:t xml:space="preserve"> </w:t>
      </w:r>
      <w:r>
        <w:t>Mapiripán que en Villavicencio, donde es mayor el desarraigo (…). El Festival de la Cosecha que se celebraba en municipios y veredas no existe en las ciudades como Villavicencio, porque cambian la narrativa del campo [...] con la narrativa urbana. Y sí, uno comienza a escuchar “El santo cachón”, “El celular” [...]. “La mujer qué me traicionó”, ¿me entiende? Entonces eso afecta la</w:t>
      </w:r>
      <w:r>
        <w:rPr>
          <w:spacing w:val="-1"/>
        </w:rPr>
        <w:t xml:space="preserve"> </w:t>
      </w:r>
      <w:r>
        <w:t>permanencia de la esencia de</w:t>
      </w:r>
      <w:r>
        <w:rPr>
          <w:spacing w:val="1"/>
        </w:rPr>
        <w:t xml:space="preserve"> </w:t>
      </w:r>
      <w:r>
        <w:t>la</w:t>
      </w:r>
      <w:r>
        <w:rPr>
          <w:spacing w:val="-1"/>
        </w:rPr>
        <w:t xml:space="preserve"> </w:t>
      </w:r>
      <w:r>
        <w:t>música vallenata,</w:t>
      </w:r>
      <w:r>
        <w:rPr>
          <w:spacing w:val="-1"/>
        </w:rPr>
        <w:t xml:space="preserve"> </w:t>
      </w:r>
      <w:r>
        <w:t>por una parte. Por otra</w:t>
      </w:r>
      <w:r>
        <w:rPr>
          <w:spacing w:val="1"/>
        </w:rPr>
        <w:t xml:space="preserve"> </w:t>
      </w:r>
      <w:r>
        <w:rPr>
          <w:spacing w:val="-2"/>
        </w:rPr>
        <w:t>parte,</w:t>
      </w:r>
      <w:bookmarkStart w:id="1404" w:name="_bookmark1249"/>
      <w:bookmarkStart w:id="1405" w:name="_bookmark1251"/>
      <w:bookmarkEnd w:id="1404"/>
      <w:bookmarkEnd w:id="1405"/>
      <w:r w:rsidR="000D182E">
        <w:t xml:space="preserve"> </w:t>
      </w:r>
      <w:r>
        <w:t>la</w:t>
      </w:r>
      <w:r>
        <w:rPr>
          <w:spacing w:val="-14"/>
        </w:rPr>
        <w:t xml:space="preserve"> </w:t>
      </w:r>
      <w:r>
        <w:t>aparición</w:t>
      </w:r>
      <w:r>
        <w:rPr>
          <w:spacing w:val="-15"/>
        </w:rPr>
        <w:t xml:space="preserve"> </w:t>
      </w:r>
      <w:r>
        <w:t>del</w:t>
      </w:r>
      <w:r>
        <w:rPr>
          <w:spacing w:val="-14"/>
        </w:rPr>
        <w:t xml:space="preserve"> </w:t>
      </w:r>
      <w:r>
        <w:t>narcotráfico</w:t>
      </w:r>
      <w:r>
        <w:rPr>
          <w:spacing w:val="-14"/>
        </w:rPr>
        <w:t xml:space="preserve"> </w:t>
      </w:r>
      <w:r>
        <w:t>[...]</w:t>
      </w:r>
      <w:r>
        <w:rPr>
          <w:spacing w:val="-14"/>
        </w:rPr>
        <w:t xml:space="preserve"> </w:t>
      </w:r>
      <w:r>
        <w:t>donde</w:t>
      </w:r>
      <w:r>
        <w:rPr>
          <w:spacing w:val="-14"/>
        </w:rPr>
        <w:t xml:space="preserve"> </w:t>
      </w:r>
      <w:r>
        <w:t>la</w:t>
      </w:r>
      <w:r>
        <w:rPr>
          <w:spacing w:val="-14"/>
        </w:rPr>
        <w:t xml:space="preserve"> </w:t>
      </w:r>
      <w:r>
        <w:t>inspiración</w:t>
      </w:r>
      <w:r>
        <w:rPr>
          <w:spacing w:val="-14"/>
        </w:rPr>
        <w:t xml:space="preserve"> </w:t>
      </w:r>
      <w:r>
        <w:t>se</w:t>
      </w:r>
      <w:r>
        <w:rPr>
          <w:spacing w:val="-14"/>
        </w:rPr>
        <w:t xml:space="preserve"> </w:t>
      </w:r>
      <w:r>
        <w:t>ve</w:t>
      </w:r>
      <w:r>
        <w:rPr>
          <w:spacing w:val="-14"/>
        </w:rPr>
        <w:t xml:space="preserve"> </w:t>
      </w:r>
      <w:r>
        <w:t>presionada</w:t>
      </w:r>
      <w:r>
        <w:rPr>
          <w:spacing w:val="-14"/>
        </w:rPr>
        <w:t xml:space="preserve"> </w:t>
      </w:r>
      <w:r>
        <w:t>por</w:t>
      </w:r>
      <w:r>
        <w:rPr>
          <w:spacing w:val="-15"/>
        </w:rPr>
        <w:t xml:space="preserve"> </w:t>
      </w:r>
      <w:r>
        <w:t>las</w:t>
      </w:r>
      <w:r>
        <w:rPr>
          <w:spacing w:val="-14"/>
        </w:rPr>
        <w:t xml:space="preserve"> </w:t>
      </w:r>
      <w:r>
        <w:t>casas</w:t>
      </w:r>
      <w:r>
        <w:rPr>
          <w:spacing w:val="-15"/>
        </w:rPr>
        <w:t xml:space="preserve"> </w:t>
      </w:r>
      <w:r>
        <w:t xml:space="preserve">disqueras y por los narcotraficantes en los contenidos de las letras: “El cóndor herido”, “El gavilán </w:t>
      </w:r>
      <w:r>
        <w:rPr>
          <w:spacing w:val="-2"/>
        </w:rPr>
        <w:t>mayor”»</w:t>
      </w:r>
      <w:r w:rsidR="000D182E">
        <w:rPr>
          <w:rStyle w:val="Refdenotaalpie"/>
          <w:spacing w:val="-2"/>
        </w:rPr>
        <w:footnoteReference w:id="1136"/>
      </w:r>
      <w:r>
        <w:rPr>
          <w:spacing w:val="-2"/>
        </w:rPr>
        <w:t>.</w:t>
      </w:r>
    </w:p>
    <w:p w:rsidR="003804AC" w:rsidRDefault="00AF18A5" w:rsidP="000D182E">
      <w:r>
        <w:lastRenderedPageBreak/>
        <w:t>Una nación en la que se han despojado más de 8 millones de hectáreas y arrojado a sus pobladores a un destino incierto. En donde se han destruido y envenenado cientos de miles de hectáreas, y parte del patrimonio cultural y natural en medio de la guerra. Esa es una sociedad</w:t>
      </w:r>
      <w:r>
        <w:rPr>
          <w:spacing w:val="-2"/>
        </w:rPr>
        <w:t xml:space="preserve"> </w:t>
      </w:r>
      <w:r>
        <w:t>que</w:t>
      </w:r>
      <w:r>
        <w:rPr>
          <w:spacing w:val="-2"/>
        </w:rPr>
        <w:t xml:space="preserve"> </w:t>
      </w:r>
      <w:r>
        <w:t>necesita</w:t>
      </w:r>
      <w:r>
        <w:rPr>
          <w:spacing w:val="-2"/>
        </w:rPr>
        <w:t xml:space="preserve"> </w:t>
      </w:r>
      <w:r>
        <w:t>hacer</w:t>
      </w:r>
      <w:r>
        <w:rPr>
          <w:spacing w:val="-2"/>
        </w:rPr>
        <w:t xml:space="preserve"> </w:t>
      </w:r>
      <w:r>
        <w:t>conciencia</w:t>
      </w:r>
      <w:r>
        <w:rPr>
          <w:spacing w:val="-2"/>
        </w:rPr>
        <w:t xml:space="preserve"> </w:t>
      </w:r>
      <w:r>
        <w:t>sobre</w:t>
      </w:r>
      <w:r>
        <w:rPr>
          <w:spacing w:val="-2"/>
        </w:rPr>
        <w:t xml:space="preserve"> </w:t>
      </w:r>
      <w:r>
        <w:t>lo</w:t>
      </w:r>
      <w:r>
        <w:rPr>
          <w:spacing w:val="-2"/>
        </w:rPr>
        <w:t xml:space="preserve"> </w:t>
      </w:r>
      <w:r>
        <w:t>que</w:t>
      </w:r>
      <w:r>
        <w:rPr>
          <w:spacing w:val="-2"/>
        </w:rPr>
        <w:t xml:space="preserve"> </w:t>
      </w:r>
      <w:r>
        <w:t>significa</w:t>
      </w:r>
      <w:r>
        <w:rPr>
          <w:spacing w:val="-3"/>
        </w:rPr>
        <w:t xml:space="preserve"> </w:t>
      </w:r>
      <w:r>
        <w:t>el</w:t>
      </w:r>
      <w:r>
        <w:rPr>
          <w:spacing w:val="-2"/>
        </w:rPr>
        <w:t xml:space="preserve"> </w:t>
      </w:r>
      <w:r>
        <w:t>arraigo</w:t>
      </w:r>
      <w:r>
        <w:rPr>
          <w:spacing w:val="-3"/>
        </w:rPr>
        <w:t xml:space="preserve"> </w:t>
      </w:r>
      <w:r>
        <w:t>al</w:t>
      </w:r>
      <w:r>
        <w:rPr>
          <w:spacing w:val="-3"/>
        </w:rPr>
        <w:t xml:space="preserve"> </w:t>
      </w:r>
      <w:r>
        <w:t>territorio</w:t>
      </w:r>
      <w:r>
        <w:rPr>
          <w:spacing w:val="-2"/>
        </w:rPr>
        <w:t xml:space="preserve"> </w:t>
      </w:r>
      <w:r>
        <w:t>para</w:t>
      </w:r>
      <w:r>
        <w:rPr>
          <w:spacing w:val="-2"/>
        </w:rPr>
        <w:t xml:space="preserve"> </w:t>
      </w:r>
      <w:r>
        <w:t>sus habitantes y las fortalezas que derivan de esta identidad, desconocida para los pobladores naturalmente urbanos y, por lo tanto, para muchos de los decisores del país, cuyos vínculos con el territorio son tan frágiles como los que tiene con su comunidad y su cultura.</w:t>
      </w:r>
    </w:p>
    <w:p w:rsidR="003804AC" w:rsidRDefault="00AF18A5" w:rsidP="004A6EF4">
      <w:pPr>
        <w:pStyle w:val="Ttulo3"/>
        <w:numPr>
          <w:ilvl w:val="1"/>
          <w:numId w:val="16"/>
        </w:numPr>
      </w:pPr>
      <w:bookmarkStart w:id="1406" w:name="10.10_Una_democracia_y_una_justicia_de_b"/>
      <w:bookmarkStart w:id="1407" w:name="_Toc112399661"/>
      <w:bookmarkEnd w:id="1406"/>
      <w:r>
        <w:t>Una</w:t>
      </w:r>
      <w:r>
        <w:rPr>
          <w:spacing w:val="-10"/>
        </w:rPr>
        <w:t xml:space="preserve"> </w:t>
      </w:r>
      <w:r w:rsidRPr="000D182E">
        <w:t>democracia</w:t>
      </w:r>
      <w:r>
        <w:rPr>
          <w:spacing w:val="-9"/>
        </w:rPr>
        <w:t xml:space="preserve"> </w:t>
      </w:r>
      <w:r>
        <w:t>y</w:t>
      </w:r>
      <w:r>
        <w:rPr>
          <w:spacing w:val="-11"/>
        </w:rPr>
        <w:t xml:space="preserve"> </w:t>
      </w:r>
      <w:r>
        <w:t>una</w:t>
      </w:r>
      <w:r>
        <w:rPr>
          <w:spacing w:val="-10"/>
        </w:rPr>
        <w:t xml:space="preserve"> </w:t>
      </w:r>
      <w:r>
        <w:t>justicia</w:t>
      </w:r>
      <w:r>
        <w:rPr>
          <w:spacing w:val="-9"/>
        </w:rPr>
        <w:t xml:space="preserve"> </w:t>
      </w:r>
      <w:r>
        <w:t>de</w:t>
      </w:r>
      <w:r>
        <w:rPr>
          <w:spacing w:val="-9"/>
        </w:rPr>
        <w:t xml:space="preserve"> </w:t>
      </w:r>
      <w:r>
        <w:t>baja</w:t>
      </w:r>
      <w:r>
        <w:rPr>
          <w:spacing w:val="-11"/>
        </w:rPr>
        <w:t xml:space="preserve"> </w:t>
      </w:r>
      <w:r>
        <w:t>intensidad</w:t>
      </w:r>
      <w:r>
        <w:rPr>
          <w:spacing w:val="-10"/>
        </w:rPr>
        <w:t xml:space="preserve"> </w:t>
      </w:r>
      <w:r>
        <w:t>que</w:t>
      </w:r>
      <w:r>
        <w:rPr>
          <w:spacing w:val="-9"/>
        </w:rPr>
        <w:t xml:space="preserve"> </w:t>
      </w:r>
      <w:r>
        <w:t>conducen</w:t>
      </w:r>
      <w:r>
        <w:rPr>
          <w:spacing w:val="-11"/>
        </w:rPr>
        <w:t xml:space="preserve"> </w:t>
      </w:r>
      <w:r>
        <w:t>a</w:t>
      </w:r>
      <w:r>
        <w:rPr>
          <w:spacing w:val="-9"/>
        </w:rPr>
        <w:t xml:space="preserve"> </w:t>
      </w:r>
      <w:r>
        <w:t>la</w:t>
      </w:r>
      <w:r>
        <w:rPr>
          <w:spacing w:val="-9"/>
        </w:rPr>
        <w:t xml:space="preserve"> </w:t>
      </w:r>
      <w:r>
        <w:t>desconfianza y a la ilegalidad</w:t>
      </w:r>
      <w:bookmarkEnd w:id="1407"/>
    </w:p>
    <w:p w:rsidR="003804AC" w:rsidRDefault="00AF18A5" w:rsidP="00ED17DB">
      <w:r>
        <w:t>En</w:t>
      </w:r>
      <w:r>
        <w:rPr>
          <w:spacing w:val="-10"/>
        </w:rPr>
        <w:t xml:space="preserve"> </w:t>
      </w:r>
      <w:r>
        <w:t>Colombia</w:t>
      </w:r>
      <w:r>
        <w:rPr>
          <w:spacing w:val="-9"/>
        </w:rPr>
        <w:t xml:space="preserve"> </w:t>
      </w:r>
      <w:r>
        <w:t>la</w:t>
      </w:r>
      <w:r>
        <w:rPr>
          <w:spacing w:val="-9"/>
        </w:rPr>
        <w:t xml:space="preserve"> </w:t>
      </w:r>
      <w:r>
        <w:t>promesa</w:t>
      </w:r>
      <w:r>
        <w:rPr>
          <w:spacing w:val="-11"/>
        </w:rPr>
        <w:t xml:space="preserve"> </w:t>
      </w:r>
      <w:r>
        <w:t>de</w:t>
      </w:r>
      <w:r>
        <w:rPr>
          <w:spacing w:val="-9"/>
        </w:rPr>
        <w:t xml:space="preserve"> </w:t>
      </w:r>
      <w:r>
        <w:t>la</w:t>
      </w:r>
      <w:r>
        <w:rPr>
          <w:spacing w:val="-9"/>
        </w:rPr>
        <w:t xml:space="preserve"> </w:t>
      </w:r>
      <w:r>
        <w:t>democracia</w:t>
      </w:r>
      <w:r>
        <w:rPr>
          <w:spacing w:val="-9"/>
        </w:rPr>
        <w:t xml:space="preserve"> </w:t>
      </w:r>
      <w:r>
        <w:t>no</w:t>
      </w:r>
      <w:r>
        <w:rPr>
          <w:spacing w:val="-10"/>
        </w:rPr>
        <w:t xml:space="preserve"> </w:t>
      </w:r>
      <w:r>
        <w:t>se</w:t>
      </w:r>
      <w:r>
        <w:rPr>
          <w:spacing w:val="-9"/>
        </w:rPr>
        <w:t xml:space="preserve"> </w:t>
      </w:r>
      <w:r>
        <w:t>cumple</w:t>
      </w:r>
      <w:r>
        <w:rPr>
          <w:spacing w:val="-9"/>
        </w:rPr>
        <w:t xml:space="preserve"> </w:t>
      </w:r>
      <w:r>
        <w:t>para</w:t>
      </w:r>
      <w:r>
        <w:rPr>
          <w:spacing w:val="-9"/>
        </w:rPr>
        <w:t xml:space="preserve"> </w:t>
      </w:r>
      <w:r>
        <w:t>todos,</w:t>
      </w:r>
      <w:r>
        <w:rPr>
          <w:spacing w:val="-10"/>
        </w:rPr>
        <w:t xml:space="preserve"> </w:t>
      </w:r>
      <w:r>
        <w:t>pues</w:t>
      </w:r>
      <w:r>
        <w:rPr>
          <w:spacing w:val="-9"/>
        </w:rPr>
        <w:t xml:space="preserve"> </w:t>
      </w:r>
      <w:r>
        <w:t>es</w:t>
      </w:r>
      <w:r>
        <w:rPr>
          <w:spacing w:val="-9"/>
        </w:rPr>
        <w:t xml:space="preserve"> </w:t>
      </w:r>
      <w:r>
        <w:t>uno</w:t>
      </w:r>
      <w:r>
        <w:rPr>
          <w:spacing w:val="-10"/>
        </w:rPr>
        <w:t xml:space="preserve"> </w:t>
      </w:r>
      <w:r>
        <w:t>de</w:t>
      </w:r>
      <w:r>
        <w:rPr>
          <w:spacing w:val="-9"/>
        </w:rPr>
        <w:t xml:space="preserve"> </w:t>
      </w:r>
      <w:r>
        <w:t>los</w:t>
      </w:r>
      <w:r>
        <w:rPr>
          <w:spacing w:val="-9"/>
        </w:rPr>
        <w:t xml:space="preserve"> </w:t>
      </w:r>
      <w:r>
        <w:t>países más</w:t>
      </w:r>
      <w:r>
        <w:rPr>
          <w:spacing w:val="-12"/>
        </w:rPr>
        <w:t xml:space="preserve"> </w:t>
      </w:r>
      <w:r>
        <w:t>inequitativos.</w:t>
      </w:r>
      <w:r>
        <w:rPr>
          <w:spacing w:val="-11"/>
        </w:rPr>
        <w:t xml:space="preserve"> </w:t>
      </w:r>
      <w:r>
        <w:t>La</w:t>
      </w:r>
      <w:r>
        <w:rPr>
          <w:spacing w:val="-11"/>
        </w:rPr>
        <w:t xml:space="preserve"> </w:t>
      </w:r>
      <w:r>
        <w:t>corrupción</w:t>
      </w:r>
      <w:r>
        <w:rPr>
          <w:spacing w:val="-12"/>
        </w:rPr>
        <w:t xml:space="preserve"> </w:t>
      </w:r>
      <w:r>
        <w:t>es</w:t>
      </w:r>
      <w:r>
        <w:rPr>
          <w:spacing w:val="-11"/>
        </w:rPr>
        <w:t xml:space="preserve"> </w:t>
      </w:r>
      <w:r>
        <w:t>uno</w:t>
      </w:r>
      <w:r>
        <w:rPr>
          <w:spacing w:val="-11"/>
        </w:rPr>
        <w:t xml:space="preserve"> </w:t>
      </w:r>
      <w:r>
        <w:t>de</w:t>
      </w:r>
      <w:r>
        <w:rPr>
          <w:spacing w:val="-11"/>
        </w:rPr>
        <w:t xml:space="preserve"> </w:t>
      </w:r>
      <w:r>
        <w:t>los</w:t>
      </w:r>
      <w:r>
        <w:rPr>
          <w:spacing w:val="-11"/>
        </w:rPr>
        <w:t xml:space="preserve"> </w:t>
      </w:r>
      <w:r>
        <w:t>fenómenos</w:t>
      </w:r>
      <w:r>
        <w:rPr>
          <w:spacing w:val="-12"/>
        </w:rPr>
        <w:t xml:space="preserve"> </w:t>
      </w:r>
      <w:r>
        <w:t>más</w:t>
      </w:r>
      <w:r>
        <w:rPr>
          <w:spacing w:val="-12"/>
        </w:rPr>
        <w:t xml:space="preserve"> </w:t>
      </w:r>
      <w:r>
        <w:t>constantes</w:t>
      </w:r>
      <w:r>
        <w:rPr>
          <w:spacing w:val="-12"/>
        </w:rPr>
        <w:t xml:space="preserve"> </w:t>
      </w:r>
      <w:r>
        <w:t>y</w:t>
      </w:r>
      <w:r>
        <w:rPr>
          <w:spacing w:val="-12"/>
        </w:rPr>
        <w:t xml:space="preserve"> </w:t>
      </w:r>
      <w:r>
        <w:t>fuertes</w:t>
      </w:r>
      <w:r>
        <w:rPr>
          <w:spacing w:val="-12"/>
        </w:rPr>
        <w:t xml:space="preserve"> </w:t>
      </w:r>
      <w:r>
        <w:t>en</w:t>
      </w:r>
      <w:r>
        <w:rPr>
          <w:spacing w:val="-12"/>
        </w:rPr>
        <w:t xml:space="preserve"> </w:t>
      </w:r>
      <w:r>
        <w:t>la</w:t>
      </w:r>
      <w:r>
        <w:rPr>
          <w:spacing w:val="-12"/>
        </w:rPr>
        <w:t xml:space="preserve"> </w:t>
      </w:r>
      <w:r>
        <w:t>vida diaria de la sociedad colombiana, y esta afecta todos los niveles de la institucionalidad. La impunidad tiene niveles inimaginables, además de que como sistema no llega a todos por igual. La corrupción y la ilegalidad en instituciones del Estado, de la política y en sectores de la fuerza pública, sumado a la impunidad frente a los innumerables actos de violencia, impiden que las oportunidades y la protección alcancen al conjunto de la población y que muchos se sientan abandonados por el Estado.</w:t>
      </w:r>
    </w:p>
    <w:p w:rsidR="003804AC" w:rsidRDefault="00AF18A5" w:rsidP="00ED17DB">
      <w:r>
        <w:t>Ese sentimiento de no tener un lugar conduce al desapego e incumplimiento de la ley; al deprecio por</w:t>
      </w:r>
      <w:r>
        <w:rPr>
          <w:spacing w:val="-1"/>
        </w:rPr>
        <w:t xml:space="preserve"> </w:t>
      </w:r>
      <w:r>
        <w:t>las autoridades y por el</w:t>
      </w:r>
      <w:r>
        <w:rPr>
          <w:spacing w:val="-1"/>
        </w:rPr>
        <w:t xml:space="preserve"> </w:t>
      </w:r>
      <w:r>
        <w:t>Estado. Lo que fortalece</w:t>
      </w:r>
      <w:r>
        <w:rPr>
          <w:spacing w:val="-1"/>
        </w:rPr>
        <w:t xml:space="preserve"> </w:t>
      </w:r>
      <w:r>
        <w:t>la cultura de</w:t>
      </w:r>
      <w:r>
        <w:rPr>
          <w:spacing w:val="-1"/>
        </w:rPr>
        <w:t xml:space="preserve"> </w:t>
      </w:r>
      <w:r>
        <w:t xml:space="preserve">la ilegalidad y la ausencia de corresponsabilidades. Como exhibieron manifestantes que marcharon en varias capitales latinoamericanas portando carteles que decían: «La </w:t>
      </w:r>
      <w:r>
        <w:lastRenderedPageBreak/>
        <w:t>desigualdad es el corazón del desencanto social».</w:t>
      </w:r>
    </w:p>
    <w:p w:rsidR="003804AC" w:rsidRDefault="00AF18A5" w:rsidP="00ED17DB">
      <w:bookmarkStart w:id="1408" w:name="_bookmark1252"/>
      <w:bookmarkEnd w:id="1408"/>
      <w:r>
        <w:t xml:space="preserve">El abandono del Estado es una de las expresiones más frecuentes en los testimonios recibidos, tanto de víctimas como de responsables. En 2699 entrevistas realizadas aparece una o varias veces la noción de abandono o ausencia del Estado. Esta, además de ser para muchos una realidad, es un sentimiento profundo, es un reclamo, la ausencia del padre. Se sienten desconocidos, invalidados, que no cuentan para el Estado. Como lo nombra un comandante de un grupo </w:t>
      </w:r>
      <w:proofErr w:type="spellStart"/>
      <w:r>
        <w:t>posdesmovilización</w:t>
      </w:r>
      <w:proofErr w:type="spellEnd"/>
      <w:r>
        <w:t xml:space="preserve"> al hablar de razones para su ingreso y permanencia en la guerra:</w:t>
      </w:r>
    </w:p>
    <w:p w:rsidR="003804AC" w:rsidRDefault="00AF18A5" w:rsidP="00ED17DB">
      <w:r>
        <w:t>«Como</w:t>
      </w:r>
      <w:r>
        <w:rPr>
          <w:spacing w:val="-12"/>
        </w:rPr>
        <w:t xml:space="preserve"> </w:t>
      </w:r>
      <w:r>
        <w:t>pretender</w:t>
      </w:r>
      <w:r>
        <w:rPr>
          <w:spacing w:val="-11"/>
        </w:rPr>
        <w:t xml:space="preserve"> </w:t>
      </w:r>
      <w:r>
        <w:t>negar,</w:t>
      </w:r>
      <w:r>
        <w:rPr>
          <w:spacing w:val="-13"/>
        </w:rPr>
        <w:t xml:space="preserve"> </w:t>
      </w:r>
      <w:r>
        <w:t>en</w:t>
      </w:r>
      <w:r>
        <w:rPr>
          <w:spacing w:val="-12"/>
        </w:rPr>
        <w:t xml:space="preserve"> </w:t>
      </w:r>
      <w:r>
        <w:t>mi</w:t>
      </w:r>
      <w:r>
        <w:rPr>
          <w:spacing w:val="-11"/>
        </w:rPr>
        <w:t xml:space="preserve"> </w:t>
      </w:r>
      <w:r>
        <w:t>concepto,</w:t>
      </w:r>
      <w:r>
        <w:rPr>
          <w:spacing w:val="-12"/>
        </w:rPr>
        <w:t xml:space="preserve"> </w:t>
      </w:r>
      <w:r>
        <w:t>el</w:t>
      </w:r>
      <w:r>
        <w:rPr>
          <w:spacing w:val="-11"/>
        </w:rPr>
        <w:t xml:space="preserve"> </w:t>
      </w:r>
      <w:r>
        <w:t>abandono.</w:t>
      </w:r>
      <w:r>
        <w:rPr>
          <w:spacing w:val="-12"/>
        </w:rPr>
        <w:t xml:space="preserve"> </w:t>
      </w:r>
      <w:r>
        <w:t>Yo</w:t>
      </w:r>
      <w:r>
        <w:rPr>
          <w:spacing w:val="-12"/>
        </w:rPr>
        <w:t xml:space="preserve"> </w:t>
      </w:r>
      <w:r>
        <w:t>digo</w:t>
      </w:r>
      <w:r>
        <w:rPr>
          <w:spacing w:val="-12"/>
        </w:rPr>
        <w:t xml:space="preserve"> </w:t>
      </w:r>
      <w:r>
        <w:t>que</w:t>
      </w:r>
      <w:r>
        <w:rPr>
          <w:spacing w:val="-12"/>
        </w:rPr>
        <w:t xml:space="preserve"> </w:t>
      </w:r>
      <w:r>
        <w:t>el</w:t>
      </w:r>
      <w:r>
        <w:rPr>
          <w:spacing w:val="-11"/>
        </w:rPr>
        <w:t xml:space="preserve"> </w:t>
      </w:r>
      <w:r>
        <w:t>abandono</w:t>
      </w:r>
      <w:r>
        <w:rPr>
          <w:spacing w:val="-12"/>
        </w:rPr>
        <w:t xml:space="preserve"> </w:t>
      </w:r>
      <w:r>
        <w:t>de</w:t>
      </w:r>
      <w:r>
        <w:rPr>
          <w:spacing w:val="-12"/>
        </w:rPr>
        <w:t xml:space="preserve"> </w:t>
      </w:r>
      <w:r>
        <w:t>Estado yo lo siento como la falta del padre, como un padre que nos acoja ni que nos ayude a poner orden.</w:t>
      </w:r>
      <w:r>
        <w:rPr>
          <w:spacing w:val="-5"/>
        </w:rPr>
        <w:t xml:space="preserve"> </w:t>
      </w:r>
      <w:r>
        <w:t>Es</w:t>
      </w:r>
      <w:r>
        <w:rPr>
          <w:spacing w:val="-5"/>
        </w:rPr>
        <w:t xml:space="preserve"> </w:t>
      </w:r>
      <w:r>
        <w:t>una</w:t>
      </w:r>
      <w:r>
        <w:rPr>
          <w:spacing w:val="-5"/>
        </w:rPr>
        <w:t xml:space="preserve"> </w:t>
      </w:r>
      <w:r>
        <w:t>cosa</w:t>
      </w:r>
      <w:r>
        <w:rPr>
          <w:spacing w:val="-6"/>
        </w:rPr>
        <w:t xml:space="preserve"> </w:t>
      </w:r>
      <w:r>
        <w:t>como</w:t>
      </w:r>
      <w:r>
        <w:rPr>
          <w:spacing w:val="-6"/>
        </w:rPr>
        <w:t xml:space="preserve"> </w:t>
      </w:r>
      <w:r>
        <w:t>que</w:t>
      </w:r>
      <w:r>
        <w:rPr>
          <w:spacing w:val="-5"/>
        </w:rPr>
        <w:t xml:space="preserve"> </w:t>
      </w:r>
      <w:r>
        <w:t>está</w:t>
      </w:r>
      <w:r>
        <w:rPr>
          <w:spacing w:val="-6"/>
        </w:rPr>
        <w:t xml:space="preserve"> </w:t>
      </w:r>
      <w:r>
        <w:t>más</w:t>
      </w:r>
      <w:r>
        <w:rPr>
          <w:spacing w:val="-5"/>
        </w:rPr>
        <w:t xml:space="preserve"> </w:t>
      </w:r>
      <w:r>
        <w:t>acá</w:t>
      </w:r>
      <w:r>
        <w:rPr>
          <w:spacing w:val="-6"/>
        </w:rPr>
        <w:t xml:space="preserve"> </w:t>
      </w:r>
      <w:r>
        <w:t>que</w:t>
      </w:r>
      <w:r>
        <w:rPr>
          <w:spacing w:val="-6"/>
        </w:rPr>
        <w:t xml:space="preserve"> </w:t>
      </w:r>
      <w:r>
        <w:t>en</w:t>
      </w:r>
      <w:r>
        <w:rPr>
          <w:spacing w:val="-6"/>
        </w:rPr>
        <w:t xml:space="preserve"> </w:t>
      </w:r>
      <w:r>
        <w:t>la</w:t>
      </w:r>
      <w:r>
        <w:rPr>
          <w:spacing w:val="-5"/>
        </w:rPr>
        <w:t xml:space="preserve"> </w:t>
      </w:r>
      <w:r>
        <w:t>racionalidad</w:t>
      </w:r>
      <w:r>
        <w:rPr>
          <w:spacing w:val="-5"/>
        </w:rPr>
        <w:t xml:space="preserve"> </w:t>
      </w:r>
      <w:r>
        <w:t>política,</w:t>
      </w:r>
      <w:r>
        <w:rPr>
          <w:spacing w:val="-6"/>
        </w:rPr>
        <w:t xml:space="preserve"> </w:t>
      </w:r>
      <w:r>
        <w:t>es</w:t>
      </w:r>
      <w:r>
        <w:rPr>
          <w:spacing w:val="-5"/>
        </w:rPr>
        <w:t xml:space="preserve"> </w:t>
      </w:r>
      <w:r>
        <w:t>que</w:t>
      </w:r>
      <w:r>
        <w:rPr>
          <w:spacing w:val="-5"/>
        </w:rPr>
        <w:t xml:space="preserve"> </w:t>
      </w:r>
      <w:r>
        <w:t>es</w:t>
      </w:r>
      <w:r>
        <w:rPr>
          <w:spacing w:val="-5"/>
        </w:rPr>
        <w:t xml:space="preserve"> </w:t>
      </w:r>
      <w:r>
        <w:t>como</w:t>
      </w:r>
      <w:r>
        <w:rPr>
          <w:spacing w:val="-5"/>
        </w:rPr>
        <w:t xml:space="preserve"> </w:t>
      </w:r>
      <w:r>
        <w:t>yo no hago parte de nada, es como cuando usted no tiene familia, usted no viene siendo como nada ni tiene un anclaje porque no es parte de un... [...] El líder... pues el líder del país es el gobierno entonces tiene que ser una cosa en general porque en parte van así, es que yo he visto por ahí en partes que llegan en el helicóptero y no lo apagan. Lo tienen ahí prendido y hablaron 2 o 3, 15 minutos, y Bloom, mandan un poco de Ejército entonces la presencia militar no soluciona las cosas».</w:t>
      </w:r>
      <w:r w:rsidR="00ED17DB">
        <w:rPr>
          <w:rStyle w:val="Refdenotaalpie"/>
        </w:rPr>
        <w:footnoteReference w:id="1137"/>
      </w:r>
    </w:p>
    <w:p w:rsidR="003804AC" w:rsidRDefault="00AF18A5" w:rsidP="00ED17DB">
      <w:r>
        <w:t>Por</w:t>
      </w:r>
      <w:r>
        <w:rPr>
          <w:spacing w:val="-7"/>
        </w:rPr>
        <w:t xml:space="preserve"> </w:t>
      </w:r>
      <w:r>
        <w:t>lo</w:t>
      </w:r>
      <w:r>
        <w:rPr>
          <w:spacing w:val="-8"/>
        </w:rPr>
        <w:t xml:space="preserve"> </w:t>
      </w:r>
      <w:r>
        <w:t>demás,</w:t>
      </w:r>
      <w:r>
        <w:rPr>
          <w:spacing w:val="-7"/>
        </w:rPr>
        <w:t xml:space="preserve"> </w:t>
      </w:r>
      <w:r>
        <w:t>si</w:t>
      </w:r>
      <w:r>
        <w:rPr>
          <w:spacing w:val="-8"/>
        </w:rPr>
        <w:t xml:space="preserve"> </w:t>
      </w:r>
      <w:r>
        <w:t>quien</w:t>
      </w:r>
      <w:r>
        <w:rPr>
          <w:spacing w:val="-8"/>
        </w:rPr>
        <w:t xml:space="preserve"> </w:t>
      </w:r>
      <w:r>
        <w:t>imparte</w:t>
      </w:r>
      <w:r>
        <w:rPr>
          <w:spacing w:val="-8"/>
        </w:rPr>
        <w:t xml:space="preserve"> </w:t>
      </w:r>
      <w:r>
        <w:t>la</w:t>
      </w:r>
      <w:r>
        <w:rPr>
          <w:spacing w:val="-8"/>
        </w:rPr>
        <w:t xml:space="preserve"> </w:t>
      </w:r>
      <w:r>
        <w:t>ley</w:t>
      </w:r>
      <w:r>
        <w:rPr>
          <w:spacing w:val="-7"/>
        </w:rPr>
        <w:t xml:space="preserve"> </w:t>
      </w:r>
      <w:r>
        <w:t>no</w:t>
      </w:r>
      <w:r>
        <w:rPr>
          <w:spacing w:val="-7"/>
        </w:rPr>
        <w:t xml:space="preserve"> </w:t>
      </w:r>
      <w:r>
        <w:t>la</w:t>
      </w:r>
      <w:r>
        <w:rPr>
          <w:spacing w:val="-7"/>
        </w:rPr>
        <w:t xml:space="preserve"> </w:t>
      </w:r>
      <w:r>
        <w:t>cumple,</w:t>
      </w:r>
      <w:r>
        <w:rPr>
          <w:spacing w:val="-7"/>
        </w:rPr>
        <w:t xml:space="preserve"> </w:t>
      </w:r>
      <w:r>
        <w:t>y</w:t>
      </w:r>
      <w:r>
        <w:rPr>
          <w:spacing w:val="-9"/>
        </w:rPr>
        <w:t xml:space="preserve"> </w:t>
      </w:r>
      <w:r>
        <w:t>si</w:t>
      </w:r>
      <w:r>
        <w:rPr>
          <w:spacing w:val="-8"/>
        </w:rPr>
        <w:t xml:space="preserve"> </w:t>
      </w:r>
      <w:r>
        <w:t>quien</w:t>
      </w:r>
      <w:r>
        <w:rPr>
          <w:spacing w:val="-7"/>
        </w:rPr>
        <w:t xml:space="preserve"> </w:t>
      </w:r>
      <w:r>
        <w:t>debe</w:t>
      </w:r>
      <w:r>
        <w:rPr>
          <w:spacing w:val="-8"/>
        </w:rPr>
        <w:t xml:space="preserve"> </w:t>
      </w:r>
      <w:r>
        <w:t>cumplirla</w:t>
      </w:r>
      <w:r>
        <w:rPr>
          <w:spacing w:val="-7"/>
        </w:rPr>
        <w:t xml:space="preserve"> </w:t>
      </w:r>
      <w:r>
        <w:t>no</w:t>
      </w:r>
      <w:r>
        <w:rPr>
          <w:spacing w:val="-8"/>
        </w:rPr>
        <w:t xml:space="preserve"> </w:t>
      </w:r>
      <w:r>
        <w:t>recibe</w:t>
      </w:r>
      <w:r>
        <w:rPr>
          <w:spacing w:val="-7"/>
        </w:rPr>
        <w:t xml:space="preserve"> </w:t>
      </w:r>
      <w:r>
        <w:t>del Estado la protección y las condiciones necesarias para una vida digna, no hay un vínculo posible de corresponsabilidad. La anomia se instala como el camino y el resultado en una democracia incompleta o de baja intensidad. Y la violencia y la ilegalidad se vuelven las herramientas más útiles para el logro de derechos y beneficios.</w:t>
      </w:r>
    </w:p>
    <w:p w:rsidR="003804AC" w:rsidRDefault="00AF18A5" w:rsidP="00ED17DB">
      <w:r>
        <w:lastRenderedPageBreak/>
        <w:t>Al respecto, el comisionado Carlos Beristain dice: «La impunidad es descrita por las víctimas</w:t>
      </w:r>
      <w:r>
        <w:rPr>
          <w:spacing w:val="-5"/>
        </w:rPr>
        <w:t xml:space="preserve"> </w:t>
      </w:r>
      <w:r>
        <w:t>con</w:t>
      </w:r>
      <w:r>
        <w:rPr>
          <w:spacing w:val="-5"/>
        </w:rPr>
        <w:t xml:space="preserve"> </w:t>
      </w:r>
      <w:r>
        <w:t>dolor</w:t>
      </w:r>
      <w:r>
        <w:rPr>
          <w:spacing w:val="-4"/>
        </w:rPr>
        <w:t xml:space="preserve"> </w:t>
      </w:r>
      <w:r>
        <w:t>y</w:t>
      </w:r>
      <w:r>
        <w:rPr>
          <w:spacing w:val="-4"/>
        </w:rPr>
        <w:t xml:space="preserve"> </w:t>
      </w:r>
      <w:r>
        <w:t>como</w:t>
      </w:r>
      <w:r>
        <w:rPr>
          <w:spacing w:val="-4"/>
        </w:rPr>
        <w:t xml:space="preserve"> </w:t>
      </w:r>
      <w:r>
        <w:t>una</w:t>
      </w:r>
      <w:r>
        <w:rPr>
          <w:spacing w:val="-3"/>
        </w:rPr>
        <w:t xml:space="preserve"> </w:t>
      </w:r>
      <w:r>
        <w:t>nueva</w:t>
      </w:r>
      <w:r>
        <w:rPr>
          <w:spacing w:val="-5"/>
        </w:rPr>
        <w:t xml:space="preserve"> </w:t>
      </w:r>
      <w:r>
        <w:t>forma</w:t>
      </w:r>
      <w:r>
        <w:rPr>
          <w:spacing w:val="-5"/>
        </w:rPr>
        <w:t xml:space="preserve"> </w:t>
      </w:r>
      <w:r>
        <w:t>de</w:t>
      </w:r>
      <w:r>
        <w:rPr>
          <w:spacing w:val="-5"/>
        </w:rPr>
        <w:t xml:space="preserve"> </w:t>
      </w:r>
      <w:r>
        <w:t>desprecio</w:t>
      </w:r>
      <w:r>
        <w:rPr>
          <w:spacing w:val="-5"/>
        </w:rPr>
        <w:t xml:space="preserve"> </w:t>
      </w:r>
      <w:r>
        <w:t>por</w:t>
      </w:r>
      <w:r>
        <w:rPr>
          <w:spacing w:val="-4"/>
        </w:rPr>
        <w:t xml:space="preserve"> </w:t>
      </w:r>
      <w:r>
        <w:t>la</w:t>
      </w:r>
      <w:r>
        <w:rPr>
          <w:spacing w:val="-3"/>
        </w:rPr>
        <w:t xml:space="preserve"> </w:t>
      </w:r>
      <w:r>
        <w:t>vida,</w:t>
      </w:r>
      <w:r>
        <w:rPr>
          <w:spacing w:val="-5"/>
        </w:rPr>
        <w:t xml:space="preserve"> </w:t>
      </w:r>
      <w:r>
        <w:t>aumentando</w:t>
      </w:r>
      <w:r>
        <w:rPr>
          <w:spacing w:val="-4"/>
        </w:rPr>
        <w:t xml:space="preserve"> </w:t>
      </w:r>
      <w:r>
        <w:t>el</w:t>
      </w:r>
      <w:r>
        <w:rPr>
          <w:spacing w:val="-3"/>
        </w:rPr>
        <w:t xml:space="preserve"> </w:t>
      </w:r>
      <w:r>
        <w:t>abismo de desconfianza por el propio Estado. La impunidad destruye la posibilidad de reconstruir una relación ética entre la gente, donde la vida y los acuerdos mínimos para cuidarla sean respetados</w:t>
      </w:r>
      <w:r>
        <w:rPr>
          <w:spacing w:val="71"/>
        </w:rPr>
        <w:t xml:space="preserve"> </w:t>
      </w:r>
      <w:r>
        <w:t>por</w:t>
      </w:r>
      <w:r>
        <w:rPr>
          <w:spacing w:val="76"/>
        </w:rPr>
        <w:t xml:space="preserve"> </w:t>
      </w:r>
      <w:r>
        <w:t>todos.</w:t>
      </w:r>
      <w:r>
        <w:rPr>
          <w:spacing w:val="73"/>
        </w:rPr>
        <w:t xml:space="preserve"> </w:t>
      </w:r>
      <w:r>
        <w:t>La</w:t>
      </w:r>
      <w:r>
        <w:rPr>
          <w:spacing w:val="76"/>
        </w:rPr>
        <w:t xml:space="preserve"> </w:t>
      </w:r>
      <w:r>
        <w:t>mentira</w:t>
      </w:r>
      <w:r>
        <w:rPr>
          <w:spacing w:val="74"/>
        </w:rPr>
        <w:t xml:space="preserve"> </w:t>
      </w:r>
      <w:r>
        <w:t>y</w:t>
      </w:r>
      <w:r>
        <w:rPr>
          <w:spacing w:val="75"/>
        </w:rPr>
        <w:t xml:space="preserve"> </w:t>
      </w:r>
      <w:r>
        <w:t>la</w:t>
      </w:r>
      <w:r>
        <w:rPr>
          <w:spacing w:val="74"/>
        </w:rPr>
        <w:t xml:space="preserve"> </w:t>
      </w:r>
      <w:r>
        <w:t>negación</w:t>
      </w:r>
      <w:r>
        <w:rPr>
          <w:spacing w:val="75"/>
        </w:rPr>
        <w:t xml:space="preserve"> </w:t>
      </w:r>
      <w:r>
        <w:t>son</w:t>
      </w:r>
      <w:r>
        <w:rPr>
          <w:spacing w:val="74"/>
        </w:rPr>
        <w:t xml:space="preserve"> </w:t>
      </w:r>
      <w:r>
        <w:t>institucionalizadas</w:t>
      </w:r>
      <w:r>
        <w:rPr>
          <w:spacing w:val="76"/>
        </w:rPr>
        <w:t xml:space="preserve"> </w:t>
      </w:r>
      <w:r>
        <w:t>y</w:t>
      </w:r>
      <w:r>
        <w:rPr>
          <w:spacing w:val="75"/>
        </w:rPr>
        <w:t xml:space="preserve"> </w:t>
      </w:r>
      <w:r>
        <w:rPr>
          <w:spacing w:val="-2"/>
        </w:rPr>
        <w:t>defendidas</w:t>
      </w:r>
      <w:r w:rsidR="00ED17DB">
        <w:t xml:space="preserve"> </w:t>
      </w:r>
      <w:r>
        <w:t>impidiendo que la historia de las víctimas tenga un carácter público y, por lo tanto, una apropiación de la sociedad sobre sus realidades»</w:t>
      </w:r>
      <w:r w:rsidR="00ED17DB">
        <w:rPr>
          <w:rStyle w:val="Refdenotaalpie"/>
        </w:rPr>
        <w:footnoteReference w:id="1138"/>
      </w:r>
      <w:r>
        <w:t>.</w:t>
      </w:r>
    </w:p>
    <w:p w:rsidR="003804AC" w:rsidRDefault="00AF18A5" w:rsidP="00ED17DB">
      <w:r>
        <w:t>La</w:t>
      </w:r>
      <w:r>
        <w:rPr>
          <w:spacing w:val="-3"/>
        </w:rPr>
        <w:t xml:space="preserve"> </w:t>
      </w:r>
      <w:r>
        <w:t>guerra</w:t>
      </w:r>
      <w:r>
        <w:rPr>
          <w:spacing w:val="-4"/>
        </w:rPr>
        <w:t xml:space="preserve"> </w:t>
      </w:r>
      <w:r>
        <w:t>debilitó</w:t>
      </w:r>
      <w:r>
        <w:rPr>
          <w:spacing w:val="-3"/>
        </w:rPr>
        <w:t xml:space="preserve"> </w:t>
      </w:r>
      <w:r>
        <w:t>el</w:t>
      </w:r>
      <w:r>
        <w:rPr>
          <w:spacing w:val="-3"/>
        </w:rPr>
        <w:t xml:space="preserve"> </w:t>
      </w:r>
      <w:r>
        <w:t>soporte</w:t>
      </w:r>
      <w:r>
        <w:rPr>
          <w:spacing w:val="-3"/>
        </w:rPr>
        <w:t xml:space="preserve"> </w:t>
      </w:r>
      <w:r>
        <w:t>normativo,</w:t>
      </w:r>
      <w:r>
        <w:rPr>
          <w:spacing w:val="-3"/>
        </w:rPr>
        <w:t xml:space="preserve"> </w:t>
      </w:r>
      <w:r>
        <w:t>acercó</w:t>
      </w:r>
      <w:r>
        <w:rPr>
          <w:spacing w:val="-4"/>
        </w:rPr>
        <w:t xml:space="preserve"> </w:t>
      </w:r>
      <w:r>
        <w:t>el</w:t>
      </w:r>
      <w:r>
        <w:rPr>
          <w:spacing w:val="-4"/>
        </w:rPr>
        <w:t xml:space="preserve"> </w:t>
      </w:r>
      <w:r>
        <w:t>camino</w:t>
      </w:r>
      <w:r>
        <w:rPr>
          <w:spacing w:val="-4"/>
        </w:rPr>
        <w:t xml:space="preserve"> </w:t>
      </w:r>
      <w:r>
        <w:t>de</w:t>
      </w:r>
      <w:r>
        <w:rPr>
          <w:spacing w:val="-3"/>
        </w:rPr>
        <w:t xml:space="preserve"> </w:t>
      </w:r>
      <w:r>
        <w:t>la</w:t>
      </w:r>
      <w:r>
        <w:rPr>
          <w:spacing w:val="-3"/>
        </w:rPr>
        <w:t xml:space="preserve"> </w:t>
      </w:r>
      <w:r>
        <w:t>ilegalidad</w:t>
      </w:r>
      <w:r>
        <w:rPr>
          <w:spacing w:val="-4"/>
        </w:rPr>
        <w:t xml:space="preserve"> </w:t>
      </w:r>
      <w:r>
        <w:t>y</w:t>
      </w:r>
      <w:r>
        <w:rPr>
          <w:spacing w:val="-3"/>
        </w:rPr>
        <w:t xml:space="preserve"> </w:t>
      </w:r>
      <w:r>
        <w:t>la</w:t>
      </w:r>
      <w:r>
        <w:rPr>
          <w:spacing w:val="-3"/>
        </w:rPr>
        <w:t xml:space="preserve"> </w:t>
      </w:r>
      <w:r>
        <w:t>violencia</w:t>
      </w:r>
      <w:r>
        <w:rPr>
          <w:spacing w:val="-3"/>
        </w:rPr>
        <w:t xml:space="preserve"> </w:t>
      </w:r>
      <w:r>
        <w:t>a la vida cotidiana de las comunidades y, sobre todo, destruyó las redes sociales que son el soporte de la vida en comunidad y de la corresponsabilidad que nos hace ciudadanos.</w:t>
      </w:r>
    </w:p>
    <w:p w:rsidR="003804AC" w:rsidRDefault="00AF18A5" w:rsidP="00ED17DB">
      <w:r>
        <w:t>Finalmente, en la reunión propuesta por la Comisión de la Verdad para recoger aportes para el capítulo sobre recomendaciones, Pablo de Greiff enumeró los efectos de este estado de cosas: «Los grados de confianza cívica en Colombia son muy bajos. Lo mismo sucede con</w:t>
      </w:r>
      <w:r>
        <w:rPr>
          <w:spacing w:val="-1"/>
        </w:rPr>
        <w:t xml:space="preserve"> </w:t>
      </w:r>
      <w:r>
        <w:t>los</w:t>
      </w:r>
      <w:r>
        <w:rPr>
          <w:spacing w:val="-2"/>
        </w:rPr>
        <w:t xml:space="preserve"> </w:t>
      </w:r>
      <w:r>
        <w:t>grados</w:t>
      </w:r>
      <w:r>
        <w:rPr>
          <w:spacing w:val="-1"/>
        </w:rPr>
        <w:t xml:space="preserve"> </w:t>
      </w:r>
      <w:r>
        <w:t>de</w:t>
      </w:r>
      <w:r>
        <w:rPr>
          <w:spacing w:val="-1"/>
        </w:rPr>
        <w:t xml:space="preserve"> </w:t>
      </w:r>
      <w:r>
        <w:t>confianza</w:t>
      </w:r>
      <w:r>
        <w:rPr>
          <w:spacing w:val="-1"/>
        </w:rPr>
        <w:t xml:space="preserve"> </w:t>
      </w:r>
      <w:r>
        <w:t>en</w:t>
      </w:r>
      <w:r>
        <w:rPr>
          <w:spacing w:val="-2"/>
        </w:rPr>
        <w:t xml:space="preserve"> </w:t>
      </w:r>
      <w:r>
        <w:t>las</w:t>
      </w:r>
      <w:r>
        <w:rPr>
          <w:spacing w:val="-2"/>
        </w:rPr>
        <w:t xml:space="preserve"> </w:t>
      </w:r>
      <w:r>
        <w:t>instituciones</w:t>
      </w:r>
      <w:r>
        <w:rPr>
          <w:spacing w:val="-1"/>
        </w:rPr>
        <w:t xml:space="preserve"> </w:t>
      </w:r>
      <w:r>
        <w:t>y</w:t>
      </w:r>
      <w:r>
        <w:rPr>
          <w:spacing w:val="-2"/>
        </w:rPr>
        <w:t xml:space="preserve"> </w:t>
      </w:r>
      <w:r>
        <w:t>los</w:t>
      </w:r>
      <w:r>
        <w:rPr>
          <w:spacing w:val="-2"/>
        </w:rPr>
        <w:t xml:space="preserve"> </w:t>
      </w:r>
      <w:r>
        <w:t>índices</w:t>
      </w:r>
      <w:r>
        <w:rPr>
          <w:spacing w:val="-2"/>
        </w:rPr>
        <w:t xml:space="preserve"> </w:t>
      </w:r>
      <w:r>
        <w:t>de</w:t>
      </w:r>
      <w:r>
        <w:rPr>
          <w:spacing w:val="-1"/>
        </w:rPr>
        <w:t xml:space="preserve"> </w:t>
      </w:r>
      <w:r>
        <w:t>solidaridad</w:t>
      </w:r>
      <w:r>
        <w:rPr>
          <w:spacing w:val="-1"/>
        </w:rPr>
        <w:t xml:space="preserve"> </w:t>
      </w:r>
      <w:r>
        <w:t>social.</w:t>
      </w:r>
      <w:r>
        <w:rPr>
          <w:spacing w:val="-2"/>
        </w:rPr>
        <w:t xml:space="preserve"> </w:t>
      </w:r>
      <w:r>
        <w:t>Además, los</w:t>
      </w:r>
      <w:r>
        <w:rPr>
          <w:spacing w:val="-4"/>
        </w:rPr>
        <w:t xml:space="preserve"> </w:t>
      </w:r>
      <w:r>
        <w:t>niveles</w:t>
      </w:r>
      <w:r>
        <w:rPr>
          <w:spacing w:val="-3"/>
        </w:rPr>
        <w:t xml:space="preserve"> </w:t>
      </w:r>
      <w:r>
        <w:t>de</w:t>
      </w:r>
      <w:r>
        <w:rPr>
          <w:spacing w:val="-3"/>
        </w:rPr>
        <w:t xml:space="preserve"> </w:t>
      </w:r>
      <w:r>
        <w:t>intolerancia</w:t>
      </w:r>
      <w:r>
        <w:rPr>
          <w:spacing w:val="-3"/>
        </w:rPr>
        <w:t xml:space="preserve"> </w:t>
      </w:r>
      <w:r>
        <w:t>en</w:t>
      </w:r>
      <w:r>
        <w:rPr>
          <w:spacing w:val="-4"/>
        </w:rPr>
        <w:t xml:space="preserve"> </w:t>
      </w:r>
      <w:r>
        <w:t>Colombia</w:t>
      </w:r>
      <w:r>
        <w:rPr>
          <w:spacing w:val="-3"/>
        </w:rPr>
        <w:t xml:space="preserve"> </w:t>
      </w:r>
      <w:r>
        <w:t>son</w:t>
      </w:r>
      <w:r>
        <w:rPr>
          <w:spacing w:val="-4"/>
        </w:rPr>
        <w:t xml:space="preserve"> </w:t>
      </w:r>
      <w:r>
        <w:t>bastante</w:t>
      </w:r>
      <w:r>
        <w:rPr>
          <w:spacing w:val="-3"/>
        </w:rPr>
        <w:t xml:space="preserve"> </w:t>
      </w:r>
      <w:r>
        <w:t>altos.</w:t>
      </w:r>
      <w:r>
        <w:rPr>
          <w:spacing w:val="-4"/>
        </w:rPr>
        <w:t xml:space="preserve"> </w:t>
      </w:r>
      <w:r>
        <w:t>La</w:t>
      </w:r>
      <w:r>
        <w:rPr>
          <w:spacing w:val="-3"/>
        </w:rPr>
        <w:t xml:space="preserve"> </w:t>
      </w:r>
      <w:r>
        <w:t>gente</w:t>
      </w:r>
      <w:r>
        <w:rPr>
          <w:spacing w:val="-3"/>
        </w:rPr>
        <w:t xml:space="preserve"> </w:t>
      </w:r>
      <w:r>
        <w:t>se</w:t>
      </w:r>
      <w:r>
        <w:rPr>
          <w:spacing w:val="-4"/>
        </w:rPr>
        <w:t xml:space="preserve"> </w:t>
      </w:r>
      <w:r>
        <w:t>considera</w:t>
      </w:r>
      <w:r>
        <w:rPr>
          <w:spacing w:val="-3"/>
        </w:rPr>
        <w:t xml:space="preserve"> </w:t>
      </w:r>
      <w:r>
        <w:t>en</w:t>
      </w:r>
      <w:r>
        <w:rPr>
          <w:spacing w:val="-5"/>
        </w:rPr>
        <w:t xml:space="preserve"> </w:t>
      </w:r>
      <w:r>
        <w:t>riesgo</w:t>
      </w:r>
      <w:r>
        <w:rPr>
          <w:spacing w:val="-4"/>
        </w:rPr>
        <w:t xml:space="preserve"> </w:t>
      </w:r>
      <w:r>
        <w:t>y siente que está invitada permanentemente a tomar una acción defensiva de manera preventiva.</w:t>
      </w:r>
      <w:r>
        <w:rPr>
          <w:spacing w:val="-11"/>
        </w:rPr>
        <w:t xml:space="preserve"> </w:t>
      </w:r>
      <w:r>
        <w:t>Eso</w:t>
      </w:r>
      <w:r>
        <w:rPr>
          <w:spacing w:val="-9"/>
        </w:rPr>
        <w:t xml:space="preserve"> </w:t>
      </w:r>
      <w:r>
        <w:t>alimenta</w:t>
      </w:r>
      <w:r>
        <w:rPr>
          <w:spacing w:val="-9"/>
        </w:rPr>
        <w:t xml:space="preserve"> </w:t>
      </w:r>
      <w:r>
        <w:t>la</w:t>
      </w:r>
      <w:r>
        <w:rPr>
          <w:spacing w:val="-10"/>
        </w:rPr>
        <w:t xml:space="preserve"> </w:t>
      </w:r>
      <w:r>
        <w:t>posibilidad</w:t>
      </w:r>
      <w:r>
        <w:rPr>
          <w:spacing w:val="-9"/>
        </w:rPr>
        <w:t xml:space="preserve"> </w:t>
      </w:r>
      <w:r>
        <w:t>de</w:t>
      </w:r>
      <w:r>
        <w:rPr>
          <w:spacing w:val="-10"/>
        </w:rPr>
        <w:t xml:space="preserve"> </w:t>
      </w:r>
      <w:r>
        <w:t>conflicto,</w:t>
      </w:r>
      <w:r>
        <w:rPr>
          <w:spacing w:val="-9"/>
        </w:rPr>
        <w:t xml:space="preserve"> </w:t>
      </w:r>
      <w:r>
        <w:t>sumado</w:t>
      </w:r>
      <w:r>
        <w:rPr>
          <w:spacing w:val="-11"/>
        </w:rPr>
        <w:t xml:space="preserve"> </w:t>
      </w:r>
      <w:r>
        <w:t>a</w:t>
      </w:r>
      <w:r>
        <w:rPr>
          <w:spacing w:val="-10"/>
        </w:rPr>
        <w:t xml:space="preserve"> </w:t>
      </w:r>
      <w:r>
        <w:t>la</w:t>
      </w:r>
      <w:r>
        <w:rPr>
          <w:spacing w:val="-10"/>
        </w:rPr>
        <w:t xml:space="preserve"> </w:t>
      </w:r>
      <w:r>
        <w:t>capacidad</w:t>
      </w:r>
      <w:r>
        <w:rPr>
          <w:spacing w:val="-9"/>
        </w:rPr>
        <w:t xml:space="preserve"> </w:t>
      </w:r>
      <w:r>
        <w:t>de</w:t>
      </w:r>
      <w:r>
        <w:rPr>
          <w:spacing w:val="-9"/>
        </w:rPr>
        <w:t xml:space="preserve"> </w:t>
      </w:r>
      <w:r>
        <w:t>seguir</w:t>
      </w:r>
      <w:r>
        <w:rPr>
          <w:spacing w:val="-10"/>
        </w:rPr>
        <w:t xml:space="preserve"> </w:t>
      </w:r>
      <w:r>
        <w:t>normas de forma reflexiva, que en Colombia es bastante baja».</w:t>
      </w:r>
    </w:p>
    <w:p w:rsidR="003804AC" w:rsidRDefault="00AF18A5" w:rsidP="00ED17DB">
      <w:r>
        <w:t>Es de esta manera que una serie de antivalores se convierten en rasgos culturales, que se suman a la persistencia del conflicto armado y el narcotráfico, convirtiéndose en sentido común,</w:t>
      </w:r>
      <w:r>
        <w:rPr>
          <w:spacing w:val="-7"/>
        </w:rPr>
        <w:t xml:space="preserve"> </w:t>
      </w:r>
      <w:r>
        <w:t>en</w:t>
      </w:r>
      <w:r>
        <w:rPr>
          <w:spacing w:val="-7"/>
        </w:rPr>
        <w:t xml:space="preserve"> </w:t>
      </w:r>
      <w:r>
        <w:t>una</w:t>
      </w:r>
      <w:r>
        <w:rPr>
          <w:spacing w:val="-7"/>
        </w:rPr>
        <w:t xml:space="preserve"> </w:t>
      </w:r>
      <w:r>
        <w:t>manera</w:t>
      </w:r>
      <w:r>
        <w:rPr>
          <w:spacing w:val="-7"/>
        </w:rPr>
        <w:t xml:space="preserve"> </w:t>
      </w:r>
      <w:r>
        <w:t>natural</w:t>
      </w:r>
      <w:r>
        <w:rPr>
          <w:spacing w:val="-7"/>
        </w:rPr>
        <w:t xml:space="preserve"> </w:t>
      </w:r>
      <w:r>
        <w:lastRenderedPageBreak/>
        <w:t>de</w:t>
      </w:r>
      <w:r>
        <w:rPr>
          <w:spacing w:val="-7"/>
        </w:rPr>
        <w:t xml:space="preserve"> </w:t>
      </w:r>
      <w:r>
        <w:t>llevar</w:t>
      </w:r>
      <w:r>
        <w:rPr>
          <w:spacing w:val="-7"/>
        </w:rPr>
        <w:t xml:space="preserve"> </w:t>
      </w:r>
      <w:r>
        <w:t>la</w:t>
      </w:r>
      <w:r>
        <w:rPr>
          <w:spacing w:val="-7"/>
        </w:rPr>
        <w:t xml:space="preserve"> </w:t>
      </w:r>
      <w:r>
        <w:t>vida</w:t>
      </w:r>
      <w:r>
        <w:rPr>
          <w:spacing w:val="-7"/>
        </w:rPr>
        <w:t xml:space="preserve"> </w:t>
      </w:r>
      <w:r>
        <w:t>y</w:t>
      </w:r>
      <w:r>
        <w:rPr>
          <w:spacing w:val="-8"/>
        </w:rPr>
        <w:t xml:space="preserve"> </w:t>
      </w:r>
      <w:r>
        <w:t>relacionarse.</w:t>
      </w:r>
      <w:r>
        <w:rPr>
          <w:spacing w:val="-7"/>
        </w:rPr>
        <w:t xml:space="preserve"> </w:t>
      </w:r>
      <w:r>
        <w:t>En</w:t>
      </w:r>
      <w:r>
        <w:rPr>
          <w:spacing w:val="-7"/>
        </w:rPr>
        <w:t xml:space="preserve"> </w:t>
      </w:r>
      <w:r>
        <w:t>vez</w:t>
      </w:r>
      <w:r>
        <w:rPr>
          <w:spacing w:val="-7"/>
        </w:rPr>
        <w:t xml:space="preserve"> </w:t>
      </w:r>
      <w:r>
        <w:t>de</w:t>
      </w:r>
      <w:r>
        <w:rPr>
          <w:spacing w:val="-7"/>
        </w:rPr>
        <w:t xml:space="preserve"> </w:t>
      </w:r>
      <w:r>
        <w:t>elevar</w:t>
      </w:r>
      <w:r>
        <w:rPr>
          <w:spacing w:val="-7"/>
        </w:rPr>
        <w:t xml:space="preserve"> </w:t>
      </w:r>
      <w:r>
        <w:t>el</w:t>
      </w:r>
      <w:r>
        <w:rPr>
          <w:spacing w:val="-7"/>
        </w:rPr>
        <w:t xml:space="preserve"> </w:t>
      </w:r>
      <w:r>
        <w:t>valor</w:t>
      </w:r>
      <w:r>
        <w:rPr>
          <w:spacing w:val="-7"/>
        </w:rPr>
        <w:t xml:space="preserve"> </w:t>
      </w:r>
      <w:r>
        <w:t>de</w:t>
      </w:r>
      <w:r>
        <w:rPr>
          <w:spacing w:val="-7"/>
        </w:rPr>
        <w:t xml:space="preserve"> </w:t>
      </w:r>
      <w:r>
        <w:t>la vida</w:t>
      </w:r>
      <w:r>
        <w:rPr>
          <w:spacing w:val="-12"/>
        </w:rPr>
        <w:t xml:space="preserve"> </w:t>
      </w:r>
      <w:r>
        <w:t>en</w:t>
      </w:r>
      <w:r>
        <w:rPr>
          <w:spacing w:val="-13"/>
        </w:rPr>
        <w:t xml:space="preserve"> </w:t>
      </w:r>
      <w:r>
        <w:t>común,</w:t>
      </w:r>
      <w:r>
        <w:rPr>
          <w:spacing w:val="-12"/>
        </w:rPr>
        <w:t xml:space="preserve"> </w:t>
      </w:r>
      <w:r>
        <w:t>estos</w:t>
      </w:r>
      <w:r>
        <w:rPr>
          <w:spacing w:val="-13"/>
        </w:rPr>
        <w:t xml:space="preserve"> </w:t>
      </w:r>
      <w:r>
        <w:t>antivalores</w:t>
      </w:r>
      <w:r>
        <w:rPr>
          <w:spacing w:val="-12"/>
        </w:rPr>
        <w:t xml:space="preserve"> </w:t>
      </w:r>
      <w:r>
        <w:t>destruyen</w:t>
      </w:r>
      <w:r>
        <w:rPr>
          <w:spacing w:val="-12"/>
        </w:rPr>
        <w:t xml:space="preserve"> </w:t>
      </w:r>
      <w:r>
        <w:t>la</w:t>
      </w:r>
      <w:r>
        <w:rPr>
          <w:spacing w:val="-12"/>
        </w:rPr>
        <w:t xml:space="preserve"> </w:t>
      </w:r>
      <w:r>
        <w:t>comunidad,</w:t>
      </w:r>
      <w:r>
        <w:rPr>
          <w:spacing w:val="-12"/>
        </w:rPr>
        <w:t xml:space="preserve"> </w:t>
      </w:r>
      <w:r>
        <w:t>por</w:t>
      </w:r>
      <w:r>
        <w:rPr>
          <w:spacing w:val="-11"/>
        </w:rPr>
        <w:t xml:space="preserve"> </w:t>
      </w:r>
      <w:r>
        <w:t>lo</w:t>
      </w:r>
      <w:r>
        <w:rPr>
          <w:spacing w:val="-12"/>
        </w:rPr>
        <w:t xml:space="preserve"> </w:t>
      </w:r>
      <w:r>
        <w:t>que</w:t>
      </w:r>
      <w:r>
        <w:rPr>
          <w:spacing w:val="-12"/>
        </w:rPr>
        <w:t xml:space="preserve"> </w:t>
      </w:r>
      <w:r>
        <w:t>es</w:t>
      </w:r>
      <w:r>
        <w:rPr>
          <w:spacing w:val="-12"/>
        </w:rPr>
        <w:t xml:space="preserve"> </w:t>
      </w:r>
      <w:r>
        <w:t>necesario</w:t>
      </w:r>
      <w:r>
        <w:rPr>
          <w:spacing w:val="-12"/>
        </w:rPr>
        <w:t xml:space="preserve"> </w:t>
      </w:r>
      <w:r>
        <w:t>nombrarlos y enfrentarlos uno a uno y en sus interconexiones: inequidad, corrupción, ilegalidad, impunidad,</w:t>
      </w:r>
      <w:r>
        <w:rPr>
          <w:spacing w:val="-12"/>
        </w:rPr>
        <w:t xml:space="preserve"> </w:t>
      </w:r>
      <w:r>
        <w:t>desigualdad,</w:t>
      </w:r>
      <w:r>
        <w:rPr>
          <w:spacing w:val="-12"/>
        </w:rPr>
        <w:t xml:space="preserve"> </w:t>
      </w:r>
      <w:r>
        <w:t>desprecio</w:t>
      </w:r>
      <w:r>
        <w:rPr>
          <w:spacing w:val="-11"/>
        </w:rPr>
        <w:t xml:space="preserve"> </w:t>
      </w:r>
      <w:r>
        <w:t>por</w:t>
      </w:r>
      <w:r>
        <w:rPr>
          <w:spacing w:val="-10"/>
        </w:rPr>
        <w:t xml:space="preserve"> </w:t>
      </w:r>
      <w:r>
        <w:t>el</w:t>
      </w:r>
      <w:r>
        <w:rPr>
          <w:spacing w:val="-10"/>
        </w:rPr>
        <w:t xml:space="preserve"> </w:t>
      </w:r>
      <w:r>
        <w:t>Estado</w:t>
      </w:r>
      <w:r>
        <w:rPr>
          <w:spacing w:val="-12"/>
        </w:rPr>
        <w:t xml:space="preserve"> </w:t>
      </w:r>
      <w:r>
        <w:t>y</w:t>
      </w:r>
      <w:r>
        <w:rPr>
          <w:spacing w:val="-11"/>
        </w:rPr>
        <w:t xml:space="preserve"> </w:t>
      </w:r>
      <w:r>
        <w:t>por</w:t>
      </w:r>
      <w:r>
        <w:rPr>
          <w:spacing w:val="-10"/>
        </w:rPr>
        <w:t xml:space="preserve"> </w:t>
      </w:r>
      <w:r>
        <w:t>lo</w:t>
      </w:r>
      <w:r>
        <w:rPr>
          <w:spacing w:val="-11"/>
        </w:rPr>
        <w:t xml:space="preserve"> </w:t>
      </w:r>
      <w:r>
        <w:t>público;</w:t>
      </w:r>
      <w:r>
        <w:rPr>
          <w:spacing w:val="-11"/>
        </w:rPr>
        <w:t xml:space="preserve"> </w:t>
      </w:r>
      <w:r>
        <w:t>mentira</w:t>
      </w:r>
      <w:r>
        <w:rPr>
          <w:spacing w:val="-12"/>
        </w:rPr>
        <w:t xml:space="preserve"> </w:t>
      </w:r>
      <w:r>
        <w:t>institucionalizada, pragmatismo e inmediatismo en los logros económicos; intolerancia, rechazo a la forma reflexiva o al discernimiento. Todos estos elementos deben ser destituidos de la matriz de sentido común para poder vivir en comunidad.</w:t>
      </w:r>
    </w:p>
    <w:p w:rsidR="003804AC" w:rsidRDefault="00AF18A5" w:rsidP="004A6EF4">
      <w:pPr>
        <w:pStyle w:val="Ttulo3"/>
        <w:numPr>
          <w:ilvl w:val="1"/>
          <w:numId w:val="16"/>
        </w:numPr>
      </w:pPr>
      <w:bookmarkStart w:id="1409" w:name="10.11._Los_daños_culturales_que_profundi"/>
      <w:bookmarkStart w:id="1410" w:name="_Toc112399662"/>
      <w:bookmarkEnd w:id="1409"/>
      <w:r>
        <w:t>Los</w:t>
      </w:r>
      <w:r>
        <w:rPr>
          <w:spacing w:val="-7"/>
        </w:rPr>
        <w:t xml:space="preserve"> </w:t>
      </w:r>
      <w:r>
        <w:t>daños</w:t>
      </w:r>
      <w:r>
        <w:rPr>
          <w:spacing w:val="-7"/>
        </w:rPr>
        <w:t xml:space="preserve"> </w:t>
      </w:r>
      <w:r w:rsidRPr="00ED17DB">
        <w:t>culturales</w:t>
      </w:r>
      <w:r>
        <w:rPr>
          <w:spacing w:val="-7"/>
        </w:rPr>
        <w:t xml:space="preserve"> </w:t>
      </w:r>
      <w:r>
        <w:t>que</w:t>
      </w:r>
      <w:r>
        <w:rPr>
          <w:spacing w:val="-7"/>
        </w:rPr>
        <w:t xml:space="preserve"> </w:t>
      </w:r>
      <w:r>
        <w:t>profundizaron</w:t>
      </w:r>
      <w:r>
        <w:rPr>
          <w:spacing w:val="-7"/>
        </w:rPr>
        <w:t xml:space="preserve"> </w:t>
      </w:r>
      <w:r>
        <w:t>las</w:t>
      </w:r>
      <w:r>
        <w:rPr>
          <w:spacing w:val="-6"/>
        </w:rPr>
        <w:t xml:space="preserve"> </w:t>
      </w:r>
      <w:r>
        <w:t>insurgencias,</w:t>
      </w:r>
      <w:r>
        <w:rPr>
          <w:spacing w:val="-7"/>
        </w:rPr>
        <w:t xml:space="preserve"> </w:t>
      </w:r>
      <w:r>
        <w:t>el</w:t>
      </w:r>
      <w:r>
        <w:rPr>
          <w:spacing w:val="-6"/>
        </w:rPr>
        <w:t xml:space="preserve"> </w:t>
      </w:r>
      <w:r>
        <w:t>paramilitarismo</w:t>
      </w:r>
      <w:r>
        <w:rPr>
          <w:spacing w:val="-7"/>
        </w:rPr>
        <w:t xml:space="preserve"> </w:t>
      </w:r>
      <w:r>
        <w:t>y</w:t>
      </w:r>
      <w:r>
        <w:rPr>
          <w:spacing w:val="-7"/>
        </w:rPr>
        <w:t xml:space="preserve"> </w:t>
      </w:r>
      <w:r>
        <w:t xml:space="preserve">el </w:t>
      </w:r>
      <w:r>
        <w:rPr>
          <w:spacing w:val="-2"/>
        </w:rPr>
        <w:t>narcotráfico</w:t>
      </w:r>
      <w:bookmarkEnd w:id="1410"/>
    </w:p>
    <w:p w:rsidR="003804AC" w:rsidRDefault="00AF18A5" w:rsidP="00835423">
      <w:r>
        <w:t>Como hemos dicho, la persistencia del conflicto armado interno y la violencia sociopolítica en</w:t>
      </w:r>
      <w:r>
        <w:rPr>
          <w:spacing w:val="-1"/>
        </w:rPr>
        <w:t xml:space="preserve"> </w:t>
      </w:r>
      <w:r>
        <w:t>la</w:t>
      </w:r>
      <w:r>
        <w:rPr>
          <w:spacing w:val="-1"/>
        </w:rPr>
        <w:t xml:space="preserve"> </w:t>
      </w:r>
      <w:r>
        <w:t>historia</w:t>
      </w:r>
      <w:r>
        <w:rPr>
          <w:spacing w:val="-1"/>
        </w:rPr>
        <w:t xml:space="preserve"> </w:t>
      </w:r>
      <w:r>
        <w:t>del</w:t>
      </w:r>
      <w:r>
        <w:rPr>
          <w:spacing w:val="-1"/>
        </w:rPr>
        <w:t xml:space="preserve"> </w:t>
      </w:r>
      <w:r>
        <w:t>país</w:t>
      </w:r>
      <w:r>
        <w:rPr>
          <w:spacing w:val="-1"/>
        </w:rPr>
        <w:t xml:space="preserve"> </w:t>
      </w:r>
      <w:r>
        <w:t>marcó</w:t>
      </w:r>
      <w:r>
        <w:rPr>
          <w:spacing w:val="-1"/>
        </w:rPr>
        <w:t xml:space="preserve"> </w:t>
      </w:r>
      <w:r>
        <w:t>en</w:t>
      </w:r>
      <w:r>
        <w:rPr>
          <w:spacing w:val="-1"/>
        </w:rPr>
        <w:t xml:space="preserve"> </w:t>
      </w:r>
      <w:r>
        <w:t>la sociedad</w:t>
      </w:r>
      <w:r>
        <w:rPr>
          <w:spacing w:val="-1"/>
        </w:rPr>
        <w:t xml:space="preserve"> </w:t>
      </w:r>
      <w:r>
        <w:t>enemistades</w:t>
      </w:r>
      <w:r>
        <w:rPr>
          <w:spacing w:val="-1"/>
        </w:rPr>
        <w:t xml:space="preserve"> </w:t>
      </w:r>
      <w:r>
        <w:t>a</w:t>
      </w:r>
      <w:r>
        <w:rPr>
          <w:spacing w:val="-1"/>
        </w:rPr>
        <w:t xml:space="preserve"> </w:t>
      </w:r>
      <w:r>
        <w:t>muerte,</w:t>
      </w:r>
      <w:r>
        <w:rPr>
          <w:spacing w:val="-1"/>
        </w:rPr>
        <w:t xml:space="preserve"> </w:t>
      </w:r>
      <w:r>
        <w:t>la</w:t>
      </w:r>
      <w:r>
        <w:rPr>
          <w:spacing w:val="-1"/>
        </w:rPr>
        <w:t xml:space="preserve"> </w:t>
      </w:r>
      <w:r>
        <w:t>mayoría</w:t>
      </w:r>
      <w:r>
        <w:rPr>
          <w:spacing w:val="-1"/>
        </w:rPr>
        <w:t xml:space="preserve"> </w:t>
      </w:r>
      <w:r>
        <w:t xml:space="preserve">por </w:t>
      </w:r>
      <w:r>
        <w:rPr>
          <w:spacing w:val="-2"/>
        </w:rPr>
        <w:t>prejuicios,</w:t>
      </w:r>
      <w:bookmarkStart w:id="1411" w:name="_bookmark1254"/>
      <w:bookmarkEnd w:id="1411"/>
      <w:r w:rsidR="00835423">
        <w:t xml:space="preserve"> </w:t>
      </w:r>
      <w:r>
        <w:t>por esa noción del otro distinto que debía eliminarse, y un modo violento de resolución de conflictos en el contexto de un Estado que no termina de hacerse cargo de sus labores fundamentales y una sociedad sin la base de una ética pública y el respeto por la diferencia. Por el contrario, de hecho, fue esa sociedad y el cierre de la democracia los que llevaron al conflicto armado que vivimos desde mediados del siglo XX.</w:t>
      </w:r>
    </w:p>
    <w:p w:rsidR="003804AC" w:rsidRDefault="00AF18A5" w:rsidP="000D370D">
      <w:r>
        <w:t>En el contexto que nos compete analizar, es necesario resaltar cómo los grupos armados y</w:t>
      </w:r>
      <w:r>
        <w:rPr>
          <w:spacing w:val="-5"/>
        </w:rPr>
        <w:t xml:space="preserve"> </w:t>
      </w:r>
      <w:r>
        <w:t>las</w:t>
      </w:r>
      <w:r>
        <w:rPr>
          <w:spacing w:val="-6"/>
        </w:rPr>
        <w:t xml:space="preserve"> </w:t>
      </w:r>
      <w:r>
        <w:t>dinámicas</w:t>
      </w:r>
      <w:r>
        <w:rPr>
          <w:spacing w:val="-6"/>
        </w:rPr>
        <w:t xml:space="preserve"> </w:t>
      </w:r>
      <w:r>
        <w:t>mismas</w:t>
      </w:r>
      <w:r>
        <w:rPr>
          <w:spacing w:val="-7"/>
        </w:rPr>
        <w:t xml:space="preserve"> </w:t>
      </w:r>
      <w:r>
        <w:t>de</w:t>
      </w:r>
      <w:r>
        <w:rPr>
          <w:spacing w:val="-5"/>
        </w:rPr>
        <w:t xml:space="preserve"> </w:t>
      </w:r>
      <w:r>
        <w:t>la</w:t>
      </w:r>
      <w:r>
        <w:rPr>
          <w:spacing w:val="-6"/>
        </w:rPr>
        <w:t xml:space="preserve"> </w:t>
      </w:r>
      <w:r>
        <w:t>guerra</w:t>
      </w:r>
      <w:r>
        <w:rPr>
          <w:spacing w:val="-7"/>
        </w:rPr>
        <w:t xml:space="preserve"> </w:t>
      </w:r>
      <w:r>
        <w:t>transformaron</w:t>
      </w:r>
      <w:r>
        <w:rPr>
          <w:spacing w:val="-5"/>
        </w:rPr>
        <w:t xml:space="preserve"> </w:t>
      </w:r>
      <w:r>
        <w:t>la</w:t>
      </w:r>
      <w:r>
        <w:rPr>
          <w:spacing w:val="-6"/>
        </w:rPr>
        <w:t xml:space="preserve"> </w:t>
      </w:r>
      <w:r>
        <w:t>sociedad.</w:t>
      </w:r>
      <w:r>
        <w:rPr>
          <w:spacing w:val="-5"/>
        </w:rPr>
        <w:t xml:space="preserve"> </w:t>
      </w:r>
      <w:r>
        <w:t>La</w:t>
      </w:r>
      <w:r>
        <w:rPr>
          <w:spacing w:val="-6"/>
        </w:rPr>
        <w:t xml:space="preserve"> </w:t>
      </w:r>
      <w:r>
        <w:t>insurgencia</w:t>
      </w:r>
      <w:r>
        <w:rPr>
          <w:spacing w:val="-6"/>
        </w:rPr>
        <w:t xml:space="preserve"> </w:t>
      </w:r>
      <w:r>
        <w:t>normalizó</w:t>
      </w:r>
      <w:r>
        <w:rPr>
          <w:spacing w:val="-6"/>
        </w:rPr>
        <w:t xml:space="preserve"> </w:t>
      </w:r>
      <w:r>
        <w:t>en muchas</w:t>
      </w:r>
      <w:r>
        <w:rPr>
          <w:spacing w:val="-6"/>
        </w:rPr>
        <w:t xml:space="preserve"> </w:t>
      </w:r>
      <w:r>
        <w:t>comunidades</w:t>
      </w:r>
      <w:r>
        <w:rPr>
          <w:spacing w:val="-6"/>
        </w:rPr>
        <w:t xml:space="preserve"> </w:t>
      </w:r>
      <w:r>
        <w:t>el</w:t>
      </w:r>
      <w:r>
        <w:rPr>
          <w:spacing w:val="-6"/>
        </w:rPr>
        <w:t xml:space="preserve"> </w:t>
      </w:r>
      <w:r>
        <w:t>incumplimiento</w:t>
      </w:r>
      <w:r>
        <w:rPr>
          <w:spacing w:val="-6"/>
        </w:rPr>
        <w:t xml:space="preserve"> </w:t>
      </w:r>
      <w:r>
        <w:t>de</w:t>
      </w:r>
      <w:r>
        <w:rPr>
          <w:spacing w:val="-6"/>
        </w:rPr>
        <w:t xml:space="preserve"> </w:t>
      </w:r>
      <w:r>
        <w:t>la</w:t>
      </w:r>
      <w:r>
        <w:rPr>
          <w:spacing w:val="-6"/>
        </w:rPr>
        <w:t xml:space="preserve"> </w:t>
      </w:r>
      <w:r>
        <w:t>ley</w:t>
      </w:r>
      <w:r>
        <w:rPr>
          <w:spacing w:val="-7"/>
        </w:rPr>
        <w:t xml:space="preserve"> </w:t>
      </w:r>
      <w:r>
        <w:t>y</w:t>
      </w:r>
      <w:r>
        <w:rPr>
          <w:spacing w:val="-6"/>
        </w:rPr>
        <w:t xml:space="preserve"> </w:t>
      </w:r>
      <w:r>
        <w:t>el</w:t>
      </w:r>
      <w:r>
        <w:rPr>
          <w:spacing w:val="-6"/>
        </w:rPr>
        <w:t xml:space="preserve"> </w:t>
      </w:r>
      <w:r>
        <w:t>desprecio</w:t>
      </w:r>
      <w:r>
        <w:rPr>
          <w:spacing w:val="-6"/>
        </w:rPr>
        <w:t xml:space="preserve"> </w:t>
      </w:r>
      <w:r>
        <w:t>por</w:t>
      </w:r>
      <w:r>
        <w:rPr>
          <w:spacing w:val="-6"/>
        </w:rPr>
        <w:t xml:space="preserve"> </w:t>
      </w:r>
      <w:r>
        <w:t>el</w:t>
      </w:r>
      <w:r>
        <w:rPr>
          <w:spacing w:val="-6"/>
        </w:rPr>
        <w:t xml:space="preserve"> </w:t>
      </w:r>
      <w:r>
        <w:t>Estado,</w:t>
      </w:r>
      <w:r>
        <w:rPr>
          <w:spacing w:val="-6"/>
        </w:rPr>
        <w:t xml:space="preserve"> </w:t>
      </w:r>
      <w:r>
        <w:t>y</w:t>
      </w:r>
      <w:r>
        <w:rPr>
          <w:spacing w:val="-6"/>
        </w:rPr>
        <w:t xml:space="preserve"> </w:t>
      </w:r>
      <w:r>
        <w:t>acostumbró a</w:t>
      </w:r>
      <w:r>
        <w:rPr>
          <w:spacing w:val="-3"/>
        </w:rPr>
        <w:t xml:space="preserve"> </w:t>
      </w:r>
      <w:r>
        <w:t>muchas</w:t>
      </w:r>
      <w:r>
        <w:rPr>
          <w:spacing w:val="-3"/>
        </w:rPr>
        <w:t xml:space="preserve"> </w:t>
      </w:r>
      <w:r>
        <w:t>de</w:t>
      </w:r>
      <w:r>
        <w:rPr>
          <w:spacing w:val="-5"/>
        </w:rPr>
        <w:t xml:space="preserve"> </w:t>
      </w:r>
      <w:r>
        <w:t>ellas</w:t>
      </w:r>
      <w:r>
        <w:rPr>
          <w:spacing w:val="-3"/>
        </w:rPr>
        <w:t xml:space="preserve"> </w:t>
      </w:r>
      <w:r>
        <w:t>a</w:t>
      </w:r>
      <w:r>
        <w:rPr>
          <w:spacing w:val="-3"/>
        </w:rPr>
        <w:t xml:space="preserve"> </w:t>
      </w:r>
      <w:r>
        <w:t>un</w:t>
      </w:r>
      <w:r>
        <w:rPr>
          <w:spacing w:val="-4"/>
        </w:rPr>
        <w:t xml:space="preserve"> </w:t>
      </w:r>
      <w:r>
        <w:t>orden</w:t>
      </w:r>
      <w:r>
        <w:rPr>
          <w:spacing w:val="-4"/>
        </w:rPr>
        <w:t xml:space="preserve"> </w:t>
      </w:r>
      <w:r>
        <w:t>violento</w:t>
      </w:r>
      <w:r>
        <w:rPr>
          <w:spacing w:val="-5"/>
        </w:rPr>
        <w:t xml:space="preserve"> </w:t>
      </w:r>
      <w:r>
        <w:t>impuesto,</w:t>
      </w:r>
      <w:r>
        <w:rPr>
          <w:spacing w:val="-4"/>
        </w:rPr>
        <w:t xml:space="preserve"> </w:t>
      </w:r>
      <w:r>
        <w:t>y</w:t>
      </w:r>
      <w:r>
        <w:rPr>
          <w:spacing w:val="-4"/>
        </w:rPr>
        <w:t xml:space="preserve"> </w:t>
      </w:r>
      <w:r>
        <w:t>a</w:t>
      </w:r>
      <w:r>
        <w:rPr>
          <w:spacing w:val="-3"/>
        </w:rPr>
        <w:t xml:space="preserve"> </w:t>
      </w:r>
      <w:r>
        <w:t>la</w:t>
      </w:r>
      <w:r>
        <w:rPr>
          <w:spacing w:val="-3"/>
        </w:rPr>
        <w:t xml:space="preserve"> </w:t>
      </w:r>
      <w:r>
        <w:t>restricción</w:t>
      </w:r>
      <w:r>
        <w:rPr>
          <w:spacing w:val="-4"/>
        </w:rPr>
        <w:t xml:space="preserve"> </w:t>
      </w:r>
      <w:r>
        <w:t>de</w:t>
      </w:r>
      <w:r>
        <w:rPr>
          <w:spacing w:val="-3"/>
        </w:rPr>
        <w:t xml:space="preserve"> </w:t>
      </w:r>
      <w:r>
        <w:t>la</w:t>
      </w:r>
      <w:r>
        <w:rPr>
          <w:spacing w:val="-3"/>
        </w:rPr>
        <w:t xml:space="preserve"> </w:t>
      </w:r>
      <w:r>
        <w:t>democracia</w:t>
      </w:r>
      <w:r>
        <w:rPr>
          <w:spacing w:val="-3"/>
        </w:rPr>
        <w:t xml:space="preserve"> </w:t>
      </w:r>
      <w:r>
        <w:t>y</w:t>
      </w:r>
      <w:r>
        <w:rPr>
          <w:spacing w:val="-4"/>
        </w:rPr>
        <w:t xml:space="preserve"> </w:t>
      </w:r>
      <w:r>
        <w:t>el</w:t>
      </w:r>
      <w:r>
        <w:rPr>
          <w:spacing w:val="-3"/>
        </w:rPr>
        <w:t xml:space="preserve"> </w:t>
      </w:r>
      <w:r>
        <w:t>libre albedrío. En algunas regiones, el paramilitarismo y narcotráfico consolidaron órdenes elitistas previos, en otras</w:t>
      </w:r>
      <w:r>
        <w:rPr>
          <w:spacing w:val="-1"/>
        </w:rPr>
        <w:t xml:space="preserve"> </w:t>
      </w:r>
      <w:r>
        <w:t xml:space="preserve">los alteró </w:t>
      </w:r>
      <w:r>
        <w:lastRenderedPageBreak/>
        <w:t>radicalmente,</w:t>
      </w:r>
      <w:r>
        <w:rPr>
          <w:spacing w:val="-1"/>
        </w:rPr>
        <w:t xml:space="preserve"> </w:t>
      </w:r>
      <w:r>
        <w:t>y en otras –con estructuras sociales</w:t>
      </w:r>
      <w:r>
        <w:rPr>
          <w:spacing w:val="-1"/>
        </w:rPr>
        <w:t xml:space="preserve"> </w:t>
      </w:r>
      <w:r>
        <w:t>menos consolidadas– creó élites y nuevas dinámicas sociopolíticas. En todos los casos, planteó nuevos dilemas a la integración de esos poderes en el régimen político colombiano.</w:t>
      </w:r>
    </w:p>
    <w:p w:rsidR="003804AC" w:rsidRDefault="00AF18A5" w:rsidP="000D370D">
      <w:r>
        <w:t>Francisco Gutiérrez Sanín resalta algunos elementos culturales que influyeron en el desarrollo</w:t>
      </w:r>
      <w:r>
        <w:rPr>
          <w:spacing w:val="-5"/>
        </w:rPr>
        <w:t xml:space="preserve"> </w:t>
      </w:r>
      <w:r>
        <w:t>del</w:t>
      </w:r>
      <w:r>
        <w:rPr>
          <w:spacing w:val="-4"/>
        </w:rPr>
        <w:t xml:space="preserve"> </w:t>
      </w:r>
      <w:r>
        <w:t>fenómeno</w:t>
      </w:r>
      <w:r>
        <w:rPr>
          <w:spacing w:val="-6"/>
        </w:rPr>
        <w:t xml:space="preserve"> </w:t>
      </w:r>
      <w:r>
        <w:t>del</w:t>
      </w:r>
      <w:r>
        <w:rPr>
          <w:spacing w:val="-4"/>
        </w:rPr>
        <w:t xml:space="preserve"> </w:t>
      </w:r>
      <w:r>
        <w:t>paramilitarismo.</w:t>
      </w:r>
      <w:r>
        <w:rPr>
          <w:spacing w:val="-5"/>
        </w:rPr>
        <w:t xml:space="preserve"> </w:t>
      </w:r>
      <w:r>
        <w:t>El</w:t>
      </w:r>
      <w:r>
        <w:rPr>
          <w:spacing w:val="-4"/>
        </w:rPr>
        <w:t xml:space="preserve"> </w:t>
      </w:r>
      <w:r>
        <w:t>autor</w:t>
      </w:r>
      <w:r>
        <w:rPr>
          <w:spacing w:val="-4"/>
        </w:rPr>
        <w:t xml:space="preserve"> </w:t>
      </w:r>
      <w:r>
        <w:t>plantea</w:t>
      </w:r>
      <w:r>
        <w:rPr>
          <w:spacing w:val="-6"/>
        </w:rPr>
        <w:t xml:space="preserve"> </w:t>
      </w:r>
      <w:r>
        <w:t>que:</w:t>
      </w:r>
      <w:r>
        <w:rPr>
          <w:spacing w:val="-4"/>
        </w:rPr>
        <w:t xml:space="preserve"> </w:t>
      </w:r>
      <w:r>
        <w:t>«Aunque</w:t>
      </w:r>
      <w:r>
        <w:rPr>
          <w:spacing w:val="-5"/>
        </w:rPr>
        <w:t xml:space="preserve"> </w:t>
      </w:r>
      <w:r>
        <w:t>las</w:t>
      </w:r>
      <w:r>
        <w:rPr>
          <w:spacing w:val="-5"/>
        </w:rPr>
        <w:t xml:space="preserve"> </w:t>
      </w:r>
      <w:r>
        <w:t>élites</w:t>
      </w:r>
      <w:r>
        <w:rPr>
          <w:spacing w:val="-6"/>
        </w:rPr>
        <w:t xml:space="preserve"> </w:t>
      </w:r>
      <w:r>
        <w:t>que</w:t>
      </w:r>
      <w:r>
        <w:rPr>
          <w:spacing w:val="-5"/>
        </w:rPr>
        <w:t xml:space="preserve"> </w:t>
      </w:r>
      <w:r>
        <w:t>lo promovieron eran en principio vulnerables, tenían proclividades, tradiciones y recursos extraordinariamente violentos y punitivos para responder a los desafíos que enfrentaban, y esto</w:t>
      </w:r>
      <w:r>
        <w:rPr>
          <w:spacing w:val="-7"/>
        </w:rPr>
        <w:t xml:space="preserve"> </w:t>
      </w:r>
      <w:r>
        <w:t>activó</w:t>
      </w:r>
      <w:r>
        <w:rPr>
          <w:spacing w:val="-7"/>
        </w:rPr>
        <w:t xml:space="preserve"> </w:t>
      </w:r>
      <w:r>
        <w:t>la</w:t>
      </w:r>
      <w:r>
        <w:rPr>
          <w:spacing w:val="-7"/>
        </w:rPr>
        <w:t xml:space="preserve"> </w:t>
      </w:r>
      <w:r>
        <w:t>violencia</w:t>
      </w:r>
      <w:r>
        <w:rPr>
          <w:spacing w:val="-7"/>
        </w:rPr>
        <w:t xml:space="preserve"> </w:t>
      </w:r>
      <w:r>
        <w:t>no</w:t>
      </w:r>
      <w:r>
        <w:rPr>
          <w:spacing w:val="-7"/>
        </w:rPr>
        <w:t xml:space="preserve"> </w:t>
      </w:r>
      <w:r>
        <w:t>solo</w:t>
      </w:r>
      <w:r>
        <w:rPr>
          <w:spacing w:val="-7"/>
        </w:rPr>
        <w:t xml:space="preserve"> </w:t>
      </w:r>
      <w:r>
        <w:t>contra</w:t>
      </w:r>
      <w:r>
        <w:rPr>
          <w:spacing w:val="-7"/>
        </w:rPr>
        <w:t xml:space="preserve"> </w:t>
      </w:r>
      <w:r>
        <w:t>las</w:t>
      </w:r>
      <w:r>
        <w:rPr>
          <w:spacing w:val="-7"/>
        </w:rPr>
        <w:t xml:space="preserve"> </w:t>
      </w:r>
      <w:r>
        <w:t>guerrillas,</w:t>
      </w:r>
      <w:r>
        <w:rPr>
          <w:spacing w:val="-7"/>
        </w:rPr>
        <w:t xml:space="preserve"> </w:t>
      </w:r>
      <w:r>
        <w:t>sino</w:t>
      </w:r>
      <w:r>
        <w:rPr>
          <w:spacing w:val="-7"/>
        </w:rPr>
        <w:t xml:space="preserve"> </w:t>
      </w:r>
      <w:r>
        <w:t>contra</w:t>
      </w:r>
      <w:r>
        <w:rPr>
          <w:spacing w:val="-7"/>
        </w:rPr>
        <w:t xml:space="preserve"> </w:t>
      </w:r>
      <w:r>
        <w:t>otros</w:t>
      </w:r>
      <w:r>
        <w:rPr>
          <w:spacing w:val="-7"/>
        </w:rPr>
        <w:t xml:space="preserve"> </w:t>
      </w:r>
      <w:r>
        <w:t>blancos</w:t>
      </w:r>
      <w:r>
        <w:rPr>
          <w:spacing w:val="-7"/>
        </w:rPr>
        <w:t xml:space="preserve"> </w:t>
      </w:r>
      <w:r>
        <w:t>de</w:t>
      </w:r>
      <w:r>
        <w:rPr>
          <w:spacing w:val="-7"/>
        </w:rPr>
        <w:t xml:space="preserve"> </w:t>
      </w:r>
      <w:r>
        <w:t>la</w:t>
      </w:r>
      <w:r>
        <w:rPr>
          <w:spacing w:val="-7"/>
        </w:rPr>
        <w:t xml:space="preserve"> </w:t>
      </w:r>
      <w:r>
        <w:t>izquierda legal, líderes sociales, defensores de derechos humanos, líderes de partidos tradicionales y otras víctimas de su violencia oportunista»</w:t>
      </w:r>
      <w:r w:rsidR="000D370D">
        <w:rPr>
          <w:rStyle w:val="Refdenotaalpie"/>
        </w:rPr>
        <w:footnoteReference w:id="1139"/>
      </w:r>
    </w:p>
    <w:p w:rsidR="003804AC" w:rsidRDefault="00AF18A5" w:rsidP="000D370D">
      <w:r>
        <w:t>Los</w:t>
      </w:r>
      <w:r>
        <w:rPr>
          <w:spacing w:val="-7"/>
        </w:rPr>
        <w:t xml:space="preserve"> </w:t>
      </w:r>
      <w:r>
        <w:t>actores</w:t>
      </w:r>
      <w:r>
        <w:rPr>
          <w:spacing w:val="-1"/>
        </w:rPr>
        <w:t xml:space="preserve"> </w:t>
      </w:r>
      <w:r>
        <w:t>armados,</w:t>
      </w:r>
      <w:r>
        <w:rPr>
          <w:spacing w:val="-1"/>
        </w:rPr>
        <w:t xml:space="preserve"> </w:t>
      </w:r>
      <w:r>
        <w:t>entonces,</w:t>
      </w:r>
      <w:r>
        <w:rPr>
          <w:spacing w:val="-1"/>
        </w:rPr>
        <w:t xml:space="preserve"> </w:t>
      </w:r>
      <w:r>
        <w:t>no</w:t>
      </w:r>
      <w:r>
        <w:rPr>
          <w:spacing w:val="-1"/>
        </w:rPr>
        <w:t xml:space="preserve"> </w:t>
      </w:r>
      <w:r>
        <w:t>hicieron</w:t>
      </w:r>
      <w:r>
        <w:rPr>
          <w:spacing w:val="-1"/>
        </w:rPr>
        <w:t xml:space="preserve"> </w:t>
      </w:r>
      <w:r>
        <w:t>otra</w:t>
      </w:r>
      <w:r>
        <w:rPr>
          <w:spacing w:val="-1"/>
        </w:rPr>
        <w:t xml:space="preserve"> </w:t>
      </w:r>
      <w:r>
        <w:t>cosa</w:t>
      </w:r>
      <w:r>
        <w:rPr>
          <w:spacing w:val="-1"/>
        </w:rPr>
        <w:t xml:space="preserve"> </w:t>
      </w:r>
      <w:r>
        <w:t>que</w:t>
      </w:r>
      <w:r>
        <w:rPr>
          <w:spacing w:val="-1"/>
        </w:rPr>
        <w:t xml:space="preserve"> </w:t>
      </w:r>
      <w:r>
        <w:t>naturalizar</w:t>
      </w:r>
      <w:r>
        <w:rPr>
          <w:spacing w:val="-1"/>
        </w:rPr>
        <w:t xml:space="preserve"> </w:t>
      </w:r>
      <w:r>
        <w:t>la</w:t>
      </w:r>
      <w:r>
        <w:rPr>
          <w:spacing w:val="-1"/>
        </w:rPr>
        <w:t xml:space="preserve"> </w:t>
      </w:r>
      <w:r>
        <w:t>acción</w:t>
      </w:r>
      <w:r>
        <w:rPr>
          <w:spacing w:val="-1"/>
        </w:rPr>
        <w:t xml:space="preserve"> </w:t>
      </w:r>
      <w:r>
        <w:t>por</w:t>
      </w:r>
      <w:r>
        <w:rPr>
          <w:spacing w:val="-1"/>
        </w:rPr>
        <w:t xml:space="preserve"> </w:t>
      </w:r>
      <w:r>
        <w:t>mano propia, el desprecio por la vida, la captura de poderes y rentas; la vinculación de grandes sectores de población pobre y excluida a la guerra y a los negocios ilegales que la soportan; la vinculación de las élites políticas y económicas a la vida ilegal para el logro de sus objetivos de poder, la ascensión en la escala social vía la acumulación de riqueza adquirida de</w:t>
      </w:r>
      <w:r>
        <w:rPr>
          <w:spacing w:val="11"/>
        </w:rPr>
        <w:t xml:space="preserve"> </w:t>
      </w:r>
      <w:r>
        <w:t>manera</w:t>
      </w:r>
      <w:r>
        <w:rPr>
          <w:spacing w:val="13"/>
        </w:rPr>
        <w:t xml:space="preserve"> </w:t>
      </w:r>
      <w:r>
        <w:t>ilegal.</w:t>
      </w:r>
      <w:r>
        <w:rPr>
          <w:spacing w:val="13"/>
        </w:rPr>
        <w:t xml:space="preserve"> </w:t>
      </w:r>
      <w:r>
        <w:t>También</w:t>
      </w:r>
      <w:r>
        <w:rPr>
          <w:spacing w:val="13"/>
        </w:rPr>
        <w:t xml:space="preserve"> </w:t>
      </w:r>
      <w:r>
        <w:t>transformaron</w:t>
      </w:r>
      <w:r>
        <w:rPr>
          <w:spacing w:val="14"/>
        </w:rPr>
        <w:t xml:space="preserve"> </w:t>
      </w:r>
      <w:r>
        <w:t>los</w:t>
      </w:r>
      <w:r>
        <w:rPr>
          <w:spacing w:val="13"/>
        </w:rPr>
        <w:t xml:space="preserve"> </w:t>
      </w:r>
      <w:r>
        <w:t>valores,</w:t>
      </w:r>
      <w:r>
        <w:rPr>
          <w:spacing w:val="12"/>
        </w:rPr>
        <w:t xml:space="preserve"> </w:t>
      </w:r>
      <w:r>
        <w:t>las</w:t>
      </w:r>
      <w:r>
        <w:rPr>
          <w:spacing w:val="14"/>
        </w:rPr>
        <w:t xml:space="preserve"> </w:t>
      </w:r>
      <w:r>
        <w:t>prácticas</w:t>
      </w:r>
      <w:r>
        <w:rPr>
          <w:spacing w:val="12"/>
        </w:rPr>
        <w:t xml:space="preserve"> </w:t>
      </w:r>
      <w:r>
        <w:t>sociales</w:t>
      </w:r>
      <w:r>
        <w:rPr>
          <w:spacing w:val="13"/>
        </w:rPr>
        <w:t xml:space="preserve"> </w:t>
      </w:r>
      <w:r>
        <w:t>y</w:t>
      </w:r>
      <w:r>
        <w:rPr>
          <w:spacing w:val="13"/>
        </w:rPr>
        <w:t xml:space="preserve"> </w:t>
      </w:r>
      <w:r>
        <w:t>políticas</w:t>
      </w:r>
      <w:r>
        <w:rPr>
          <w:spacing w:val="14"/>
        </w:rPr>
        <w:t xml:space="preserve"> </w:t>
      </w:r>
      <w:r>
        <w:rPr>
          <w:spacing w:val="-5"/>
        </w:rPr>
        <w:t>que</w:t>
      </w:r>
      <w:bookmarkStart w:id="1412" w:name="_bookmark1255"/>
      <w:bookmarkEnd w:id="1412"/>
      <w:r w:rsidR="000D370D">
        <w:t xml:space="preserve"> </w:t>
      </w:r>
      <w:r>
        <w:t>contribuyeron a deslegitimar a una buena parte de los poderes del Estado, especialmente el de la fuerza pública y la justicia, incidiendo en el grave debilitamiento de la ética pública. Los límites morales se corrieron.</w:t>
      </w:r>
    </w:p>
    <w:p w:rsidR="003804AC" w:rsidRDefault="00AF18A5" w:rsidP="000D370D">
      <w:r>
        <w:t xml:space="preserve">Entidades del Estado fueron capturadas o infiltradas por grupos armados </w:t>
      </w:r>
      <w:r>
        <w:lastRenderedPageBreak/>
        <w:t>e ilegales, transformando sus prácticas. Las administraciones locales fueron cooptadas en muchos territorios. La idea de que el Estado es un botín está naturalizada. La gente en las regiones piensa que es normal que quienes llegan al poder se enriquezcan y hagan alianzas cuestionables.</w:t>
      </w:r>
      <w:r>
        <w:rPr>
          <w:spacing w:val="-11"/>
        </w:rPr>
        <w:t xml:space="preserve"> </w:t>
      </w:r>
      <w:r>
        <w:t>En</w:t>
      </w:r>
      <w:r>
        <w:rPr>
          <w:spacing w:val="-11"/>
        </w:rPr>
        <w:t xml:space="preserve"> </w:t>
      </w:r>
      <w:r>
        <w:t>un</w:t>
      </w:r>
      <w:r>
        <w:rPr>
          <w:spacing w:val="-11"/>
        </w:rPr>
        <w:t xml:space="preserve"> </w:t>
      </w:r>
      <w:r>
        <w:t>afiche</w:t>
      </w:r>
      <w:r>
        <w:rPr>
          <w:spacing w:val="-11"/>
        </w:rPr>
        <w:t xml:space="preserve"> </w:t>
      </w:r>
      <w:r>
        <w:t>de</w:t>
      </w:r>
      <w:r>
        <w:rPr>
          <w:spacing w:val="-11"/>
        </w:rPr>
        <w:t xml:space="preserve"> </w:t>
      </w:r>
      <w:r>
        <w:t>una</w:t>
      </w:r>
      <w:r>
        <w:rPr>
          <w:spacing w:val="-12"/>
        </w:rPr>
        <w:t xml:space="preserve"> </w:t>
      </w:r>
      <w:r>
        <w:t>campaña</w:t>
      </w:r>
      <w:r>
        <w:rPr>
          <w:spacing w:val="-11"/>
        </w:rPr>
        <w:t xml:space="preserve"> </w:t>
      </w:r>
      <w:r>
        <w:t>para</w:t>
      </w:r>
      <w:r>
        <w:rPr>
          <w:spacing w:val="-12"/>
        </w:rPr>
        <w:t xml:space="preserve"> </w:t>
      </w:r>
      <w:r>
        <w:t>la</w:t>
      </w:r>
      <w:r>
        <w:rPr>
          <w:spacing w:val="-11"/>
        </w:rPr>
        <w:t xml:space="preserve"> </w:t>
      </w:r>
      <w:r>
        <w:t>alcaldía</w:t>
      </w:r>
      <w:r>
        <w:rPr>
          <w:spacing w:val="-11"/>
        </w:rPr>
        <w:t xml:space="preserve"> </w:t>
      </w:r>
      <w:r>
        <w:t>de</w:t>
      </w:r>
      <w:r>
        <w:rPr>
          <w:spacing w:val="-12"/>
        </w:rPr>
        <w:t xml:space="preserve"> </w:t>
      </w:r>
      <w:r>
        <w:t>algún</w:t>
      </w:r>
      <w:r>
        <w:rPr>
          <w:spacing w:val="-12"/>
        </w:rPr>
        <w:t xml:space="preserve"> </w:t>
      </w:r>
      <w:r>
        <w:t>municipio</w:t>
      </w:r>
      <w:r>
        <w:rPr>
          <w:spacing w:val="-11"/>
        </w:rPr>
        <w:t xml:space="preserve"> </w:t>
      </w:r>
      <w:r>
        <w:t>de</w:t>
      </w:r>
      <w:r>
        <w:rPr>
          <w:spacing w:val="-11"/>
        </w:rPr>
        <w:t xml:space="preserve"> </w:t>
      </w:r>
      <w:r>
        <w:t>la</w:t>
      </w:r>
      <w:r>
        <w:rPr>
          <w:spacing w:val="-12"/>
        </w:rPr>
        <w:t xml:space="preserve"> </w:t>
      </w:r>
      <w:proofErr w:type="spellStart"/>
      <w:r>
        <w:t>Mojana</w:t>
      </w:r>
      <w:proofErr w:type="spellEnd"/>
      <w:r>
        <w:t xml:space="preserve"> decía: «Lucho alcalde, habrá serrucho, pero no será mucho».</w:t>
      </w:r>
    </w:p>
    <w:p w:rsidR="003804AC" w:rsidRDefault="00AF18A5" w:rsidP="000D370D">
      <w:r>
        <w:t>Adolfo Pérez Esquivel, premio Nobel de la Paz, señala que esta «suspensión de la conciencia» es lo que está en las bases que permiten el horror a gran escala en las guerras. Lo</w:t>
      </w:r>
      <w:r>
        <w:rPr>
          <w:spacing w:val="-5"/>
        </w:rPr>
        <w:t xml:space="preserve"> </w:t>
      </w:r>
      <w:r>
        <w:t>que</w:t>
      </w:r>
      <w:r>
        <w:rPr>
          <w:spacing w:val="-5"/>
        </w:rPr>
        <w:t xml:space="preserve"> </w:t>
      </w:r>
      <w:r>
        <w:t>es</w:t>
      </w:r>
      <w:r>
        <w:rPr>
          <w:spacing w:val="-5"/>
        </w:rPr>
        <w:t xml:space="preserve"> </w:t>
      </w:r>
      <w:r>
        <w:t>bueno</w:t>
      </w:r>
      <w:r>
        <w:rPr>
          <w:spacing w:val="-5"/>
        </w:rPr>
        <w:t xml:space="preserve"> </w:t>
      </w:r>
      <w:r>
        <w:t>o</w:t>
      </w:r>
      <w:r>
        <w:rPr>
          <w:spacing w:val="-5"/>
        </w:rPr>
        <w:t xml:space="preserve"> </w:t>
      </w:r>
      <w:r>
        <w:t>malo</w:t>
      </w:r>
      <w:r>
        <w:rPr>
          <w:spacing w:val="-6"/>
        </w:rPr>
        <w:t xml:space="preserve"> </w:t>
      </w:r>
      <w:r>
        <w:t>no</w:t>
      </w:r>
      <w:r>
        <w:rPr>
          <w:spacing w:val="-5"/>
        </w:rPr>
        <w:t xml:space="preserve"> </w:t>
      </w:r>
      <w:r>
        <w:t>depende</w:t>
      </w:r>
      <w:r>
        <w:rPr>
          <w:spacing w:val="-6"/>
        </w:rPr>
        <w:t xml:space="preserve"> </w:t>
      </w:r>
      <w:r>
        <w:t>de</w:t>
      </w:r>
      <w:r>
        <w:rPr>
          <w:spacing w:val="-5"/>
        </w:rPr>
        <w:t xml:space="preserve"> </w:t>
      </w:r>
      <w:r>
        <w:t>la</w:t>
      </w:r>
      <w:r>
        <w:rPr>
          <w:spacing w:val="-5"/>
        </w:rPr>
        <w:t xml:space="preserve"> </w:t>
      </w:r>
      <w:r>
        <w:t>ética,</w:t>
      </w:r>
      <w:r>
        <w:rPr>
          <w:spacing w:val="-5"/>
        </w:rPr>
        <w:t xml:space="preserve"> </w:t>
      </w:r>
      <w:r>
        <w:t>sino</w:t>
      </w:r>
      <w:r>
        <w:rPr>
          <w:spacing w:val="-5"/>
        </w:rPr>
        <w:t xml:space="preserve"> </w:t>
      </w:r>
      <w:r>
        <w:t>de</w:t>
      </w:r>
      <w:r>
        <w:rPr>
          <w:spacing w:val="-5"/>
        </w:rPr>
        <w:t xml:space="preserve"> </w:t>
      </w:r>
      <w:r>
        <w:t>si</w:t>
      </w:r>
      <w:r>
        <w:rPr>
          <w:spacing w:val="-5"/>
        </w:rPr>
        <w:t xml:space="preserve"> </w:t>
      </w:r>
      <w:r>
        <w:t>es</w:t>
      </w:r>
      <w:r>
        <w:rPr>
          <w:spacing w:val="-6"/>
        </w:rPr>
        <w:t xml:space="preserve"> </w:t>
      </w:r>
      <w:r>
        <w:t>útil</w:t>
      </w:r>
      <w:r>
        <w:rPr>
          <w:spacing w:val="-5"/>
        </w:rPr>
        <w:t xml:space="preserve"> </w:t>
      </w:r>
      <w:r>
        <w:t>a</w:t>
      </w:r>
      <w:r>
        <w:rPr>
          <w:spacing w:val="-6"/>
        </w:rPr>
        <w:t xml:space="preserve"> </w:t>
      </w:r>
      <w:r>
        <w:t>los</w:t>
      </w:r>
      <w:r>
        <w:rPr>
          <w:spacing w:val="-5"/>
        </w:rPr>
        <w:t xml:space="preserve"> </w:t>
      </w:r>
      <w:r>
        <w:t>intereses</w:t>
      </w:r>
      <w:r>
        <w:rPr>
          <w:spacing w:val="-6"/>
        </w:rPr>
        <w:t xml:space="preserve"> </w:t>
      </w:r>
      <w:r>
        <w:t>en</w:t>
      </w:r>
      <w:r>
        <w:rPr>
          <w:spacing w:val="-5"/>
        </w:rPr>
        <w:t xml:space="preserve"> </w:t>
      </w:r>
      <w:r>
        <w:t>juego.</w:t>
      </w:r>
      <w:r>
        <w:rPr>
          <w:spacing w:val="-5"/>
        </w:rPr>
        <w:t xml:space="preserve"> </w:t>
      </w:r>
      <w:r>
        <w:t>Ese pragmatismo instrumental sustituye</w:t>
      </w:r>
      <w:r>
        <w:rPr>
          <w:spacing w:val="-1"/>
        </w:rPr>
        <w:t xml:space="preserve"> </w:t>
      </w:r>
      <w:r>
        <w:t>a la ética en</w:t>
      </w:r>
      <w:r>
        <w:rPr>
          <w:spacing w:val="-1"/>
        </w:rPr>
        <w:t xml:space="preserve"> </w:t>
      </w:r>
      <w:r>
        <w:t>las sociedades polarizadas como en</w:t>
      </w:r>
      <w:r>
        <w:rPr>
          <w:spacing w:val="-1"/>
        </w:rPr>
        <w:t xml:space="preserve"> </w:t>
      </w:r>
      <w:r>
        <w:t>el caso de la colombiana, luego de los impactos de la guerra. Pero ese entumecimiento moral no operó solo sobre los ejércitos o actores directos del conflicto armado. Operó, ¡y de qué manera!, sobre sectores de la sociedad que estimularon o aprobaron la violencia armada, corriendo hasta niveles indecibles las fronteras éticas.</w:t>
      </w:r>
    </w:p>
    <w:p w:rsidR="003804AC" w:rsidRDefault="00AF18A5" w:rsidP="000D370D">
      <w:r>
        <w:t>Las bonanzas cocaleras en diferentes zonas del país también trajeron esta clase de consecuencias. Los testimonios hablan de cambios en los modos de vida causados por el choque</w:t>
      </w:r>
      <w:r>
        <w:rPr>
          <w:spacing w:val="-3"/>
        </w:rPr>
        <w:t xml:space="preserve"> </w:t>
      </w:r>
      <w:r>
        <w:t>que</w:t>
      </w:r>
      <w:r>
        <w:rPr>
          <w:spacing w:val="-5"/>
        </w:rPr>
        <w:t xml:space="preserve"> </w:t>
      </w:r>
      <w:r>
        <w:t>produjo</w:t>
      </w:r>
      <w:r>
        <w:rPr>
          <w:spacing w:val="-4"/>
        </w:rPr>
        <w:t xml:space="preserve"> </w:t>
      </w:r>
      <w:r>
        <w:t>en</w:t>
      </w:r>
      <w:r>
        <w:rPr>
          <w:spacing w:val="-5"/>
        </w:rPr>
        <w:t xml:space="preserve"> </w:t>
      </w:r>
      <w:r>
        <w:t>las</w:t>
      </w:r>
      <w:r>
        <w:rPr>
          <w:spacing w:val="-3"/>
        </w:rPr>
        <w:t xml:space="preserve"> </w:t>
      </w:r>
      <w:r>
        <w:t>personas</w:t>
      </w:r>
      <w:r>
        <w:rPr>
          <w:spacing w:val="-5"/>
        </w:rPr>
        <w:t xml:space="preserve"> </w:t>
      </w:r>
      <w:r>
        <w:t>pasar</w:t>
      </w:r>
      <w:r>
        <w:rPr>
          <w:spacing w:val="-3"/>
        </w:rPr>
        <w:t xml:space="preserve"> </w:t>
      </w:r>
      <w:r>
        <w:t>de</w:t>
      </w:r>
      <w:r>
        <w:rPr>
          <w:spacing w:val="-3"/>
        </w:rPr>
        <w:t xml:space="preserve"> </w:t>
      </w:r>
      <w:r>
        <w:t>tener</w:t>
      </w:r>
      <w:r>
        <w:rPr>
          <w:spacing w:val="-3"/>
        </w:rPr>
        <w:t xml:space="preserve"> </w:t>
      </w:r>
      <w:r>
        <w:t>un</w:t>
      </w:r>
      <w:r>
        <w:rPr>
          <w:spacing w:val="-4"/>
        </w:rPr>
        <w:t xml:space="preserve"> </w:t>
      </w:r>
      <w:r>
        <w:t>peso</w:t>
      </w:r>
      <w:r>
        <w:rPr>
          <w:spacing w:val="-4"/>
        </w:rPr>
        <w:t xml:space="preserve"> </w:t>
      </w:r>
      <w:r>
        <w:t>a</w:t>
      </w:r>
      <w:r>
        <w:rPr>
          <w:spacing w:val="-5"/>
        </w:rPr>
        <w:t xml:space="preserve"> </w:t>
      </w:r>
      <w:r>
        <w:t>tener</w:t>
      </w:r>
      <w:r>
        <w:rPr>
          <w:spacing w:val="-4"/>
        </w:rPr>
        <w:t xml:space="preserve"> </w:t>
      </w:r>
      <w:r>
        <w:t>miles.</w:t>
      </w:r>
      <w:r>
        <w:rPr>
          <w:spacing w:val="-6"/>
        </w:rPr>
        <w:t xml:space="preserve"> </w:t>
      </w:r>
      <w:r>
        <w:t>Los</w:t>
      </w:r>
      <w:r>
        <w:rPr>
          <w:spacing w:val="-4"/>
        </w:rPr>
        <w:t xml:space="preserve"> </w:t>
      </w:r>
      <w:r>
        <w:t>cambios</w:t>
      </w:r>
      <w:r>
        <w:rPr>
          <w:spacing w:val="-5"/>
        </w:rPr>
        <w:t xml:space="preserve"> </w:t>
      </w:r>
      <w:r>
        <w:t>en</w:t>
      </w:r>
      <w:r>
        <w:rPr>
          <w:spacing w:val="-4"/>
        </w:rPr>
        <w:t xml:space="preserve"> </w:t>
      </w:r>
      <w:r>
        <w:t>los modos de vida están determinados por la necesidad de gastar ese dinero que ingresó a las comunidades de manera exponencial. Un defensor de derechos humanos del Catatumbo lo describió de esta manera: «Desde finales de la década del ochenta, llegó la coca desgraciadamente</w:t>
      </w:r>
      <w:r>
        <w:rPr>
          <w:spacing w:val="-15"/>
        </w:rPr>
        <w:t xml:space="preserve"> </w:t>
      </w:r>
      <w:r>
        <w:t>al</w:t>
      </w:r>
      <w:r>
        <w:rPr>
          <w:spacing w:val="-15"/>
        </w:rPr>
        <w:t xml:space="preserve"> </w:t>
      </w:r>
      <w:r>
        <w:t>Catatumbo.</w:t>
      </w:r>
      <w:r>
        <w:rPr>
          <w:spacing w:val="-15"/>
        </w:rPr>
        <w:t xml:space="preserve"> </w:t>
      </w:r>
      <w:r>
        <w:t>La</w:t>
      </w:r>
      <w:r>
        <w:rPr>
          <w:spacing w:val="-15"/>
        </w:rPr>
        <w:t xml:space="preserve"> </w:t>
      </w:r>
      <w:r>
        <w:t>coca</w:t>
      </w:r>
      <w:r>
        <w:rPr>
          <w:spacing w:val="-15"/>
        </w:rPr>
        <w:t xml:space="preserve"> </w:t>
      </w:r>
      <w:r>
        <w:t>se</w:t>
      </w:r>
      <w:r>
        <w:rPr>
          <w:spacing w:val="-15"/>
        </w:rPr>
        <w:t xml:space="preserve"> </w:t>
      </w:r>
      <w:r>
        <w:t>volvió</w:t>
      </w:r>
      <w:r>
        <w:rPr>
          <w:spacing w:val="-15"/>
        </w:rPr>
        <w:t xml:space="preserve"> </w:t>
      </w:r>
      <w:r>
        <w:t>un</w:t>
      </w:r>
      <w:r>
        <w:rPr>
          <w:spacing w:val="-15"/>
        </w:rPr>
        <w:t xml:space="preserve"> </w:t>
      </w:r>
      <w:r>
        <w:t>cáncer</w:t>
      </w:r>
      <w:r>
        <w:rPr>
          <w:spacing w:val="-15"/>
        </w:rPr>
        <w:t xml:space="preserve"> </w:t>
      </w:r>
      <w:r>
        <w:t>para</w:t>
      </w:r>
      <w:r>
        <w:rPr>
          <w:spacing w:val="-15"/>
        </w:rPr>
        <w:t xml:space="preserve"> </w:t>
      </w:r>
      <w:r>
        <w:t>esa</w:t>
      </w:r>
      <w:r>
        <w:rPr>
          <w:spacing w:val="-15"/>
        </w:rPr>
        <w:t xml:space="preserve"> </w:t>
      </w:r>
      <w:r>
        <w:t>región.</w:t>
      </w:r>
      <w:r>
        <w:rPr>
          <w:spacing w:val="-15"/>
        </w:rPr>
        <w:t xml:space="preserve"> </w:t>
      </w:r>
      <w:r>
        <w:t>Cambió</w:t>
      </w:r>
      <w:r>
        <w:rPr>
          <w:spacing w:val="-15"/>
        </w:rPr>
        <w:t xml:space="preserve"> </w:t>
      </w:r>
      <w:r>
        <w:t>incluso la</w:t>
      </w:r>
      <w:r>
        <w:rPr>
          <w:spacing w:val="-6"/>
        </w:rPr>
        <w:t xml:space="preserve"> </w:t>
      </w:r>
      <w:r>
        <w:t>cultura</w:t>
      </w:r>
      <w:r>
        <w:rPr>
          <w:spacing w:val="-7"/>
        </w:rPr>
        <w:t xml:space="preserve"> </w:t>
      </w:r>
      <w:r>
        <w:t>campesina</w:t>
      </w:r>
      <w:r>
        <w:rPr>
          <w:spacing w:val="-6"/>
        </w:rPr>
        <w:t xml:space="preserve"> </w:t>
      </w:r>
      <w:r>
        <w:t>del</w:t>
      </w:r>
      <w:r>
        <w:rPr>
          <w:spacing w:val="-7"/>
        </w:rPr>
        <w:t xml:space="preserve"> </w:t>
      </w:r>
      <w:r>
        <w:t>Catatumbo.</w:t>
      </w:r>
      <w:r>
        <w:rPr>
          <w:spacing w:val="-8"/>
        </w:rPr>
        <w:t xml:space="preserve"> </w:t>
      </w:r>
      <w:r>
        <w:t>El</w:t>
      </w:r>
      <w:r>
        <w:rPr>
          <w:spacing w:val="-5"/>
        </w:rPr>
        <w:t xml:space="preserve"> </w:t>
      </w:r>
      <w:proofErr w:type="spellStart"/>
      <w:r>
        <w:t>catatumbero</w:t>
      </w:r>
      <w:proofErr w:type="spellEnd"/>
      <w:r>
        <w:t>,</w:t>
      </w:r>
      <w:r>
        <w:rPr>
          <w:spacing w:val="-6"/>
        </w:rPr>
        <w:t xml:space="preserve"> </w:t>
      </w:r>
      <w:r>
        <w:t>cuando</w:t>
      </w:r>
      <w:r>
        <w:rPr>
          <w:spacing w:val="-7"/>
        </w:rPr>
        <w:t xml:space="preserve"> </w:t>
      </w:r>
      <w:r>
        <w:t>yo</w:t>
      </w:r>
      <w:r>
        <w:rPr>
          <w:spacing w:val="-6"/>
        </w:rPr>
        <w:t xml:space="preserve"> </w:t>
      </w:r>
      <w:r>
        <w:t>lo</w:t>
      </w:r>
      <w:r>
        <w:rPr>
          <w:spacing w:val="-7"/>
        </w:rPr>
        <w:t xml:space="preserve"> </w:t>
      </w:r>
      <w:r>
        <w:t>conocí,</w:t>
      </w:r>
      <w:r>
        <w:rPr>
          <w:spacing w:val="-6"/>
        </w:rPr>
        <w:t xml:space="preserve"> </w:t>
      </w:r>
      <w:r>
        <w:t>era</w:t>
      </w:r>
      <w:r>
        <w:rPr>
          <w:spacing w:val="-7"/>
        </w:rPr>
        <w:t xml:space="preserve"> </w:t>
      </w:r>
      <w:r>
        <w:t>un</w:t>
      </w:r>
      <w:r>
        <w:rPr>
          <w:spacing w:val="-7"/>
        </w:rPr>
        <w:t xml:space="preserve"> </w:t>
      </w:r>
      <w:r>
        <w:t>campesino tranquilo,</w:t>
      </w:r>
      <w:r>
        <w:rPr>
          <w:spacing w:val="4"/>
        </w:rPr>
        <w:t xml:space="preserve"> </w:t>
      </w:r>
      <w:r>
        <w:t>apacible.</w:t>
      </w:r>
      <w:r>
        <w:rPr>
          <w:spacing w:val="7"/>
        </w:rPr>
        <w:t xml:space="preserve"> </w:t>
      </w:r>
      <w:r>
        <w:t>Era</w:t>
      </w:r>
      <w:r>
        <w:rPr>
          <w:spacing w:val="7"/>
        </w:rPr>
        <w:t xml:space="preserve"> </w:t>
      </w:r>
      <w:r>
        <w:t>un</w:t>
      </w:r>
      <w:r>
        <w:rPr>
          <w:spacing w:val="6"/>
        </w:rPr>
        <w:t xml:space="preserve"> </w:t>
      </w:r>
      <w:r>
        <w:t>campesino</w:t>
      </w:r>
      <w:r>
        <w:rPr>
          <w:spacing w:val="6"/>
        </w:rPr>
        <w:t xml:space="preserve"> </w:t>
      </w:r>
      <w:r>
        <w:t>cultivador,</w:t>
      </w:r>
      <w:r>
        <w:rPr>
          <w:spacing w:val="6"/>
        </w:rPr>
        <w:t xml:space="preserve"> </w:t>
      </w:r>
      <w:r>
        <w:t>noble,</w:t>
      </w:r>
      <w:r>
        <w:rPr>
          <w:spacing w:val="6"/>
        </w:rPr>
        <w:t xml:space="preserve"> </w:t>
      </w:r>
      <w:r>
        <w:t>que</w:t>
      </w:r>
      <w:r>
        <w:rPr>
          <w:spacing w:val="6"/>
        </w:rPr>
        <w:t xml:space="preserve"> </w:t>
      </w:r>
      <w:r>
        <w:lastRenderedPageBreak/>
        <w:t>tenía</w:t>
      </w:r>
      <w:r>
        <w:rPr>
          <w:spacing w:val="7"/>
        </w:rPr>
        <w:t xml:space="preserve"> </w:t>
      </w:r>
      <w:r>
        <w:t>su</w:t>
      </w:r>
      <w:r>
        <w:rPr>
          <w:spacing w:val="5"/>
        </w:rPr>
        <w:t xml:space="preserve"> </w:t>
      </w:r>
      <w:r>
        <w:t>finquita,</w:t>
      </w:r>
      <w:r>
        <w:rPr>
          <w:spacing w:val="7"/>
        </w:rPr>
        <w:t xml:space="preserve"> </w:t>
      </w:r>
      <w:r>
        <w:t>sus</w:t>
      </w:r>
      <w:r>
        <w:rPr>
          <w:spacing w:val="7"/>
        </w:rPr>
        <w:t xml:space="preserve"> </w:t>
      </w:r>
      <w:r>
        <w:t>patios</w:t>
      </w:r>
      <w:r>
        <w:rPr>
          <w:spacing w:val="7"/>
        </w:rPr>
        <w:t xml:space="preserve"> </w:t>
      </w:r>
      <w:r>
        <w:rPr>
          <w:spacing w:val="-5"/>
        </w:rPr>
        <w:t>de</w:t>
      </w:r>
      <w:r w:rsidR="000D370D">
        <w:t xml:space="preserve"> </w:t>
      </w:r>
      <w:r>
        <w:t xml:space="preserve">gallinas, su </w:t>
      </w:r>
      <w:proofErr w:type="spellStart"/>
      <w:r>
        <w:t>pancoger</w:t>
      </w:r>
      <w:proofErr w:type="spellEnd"/>
      <w:r>
        <w:t>. No era un campesino derrochador, ostentador, y llegó la coca y fue transformando esa cultura»</w:t>
      </w:r>
      <w:r w:rsidR="000D370D">
        <w:rPr>
          <w:rStyle w:val="Refdenotaalpie"/>
        </w:rPr>
        <w:footnoteReference w:id="1140"/>
      </w:r>
      <w:r>
        <w:t>.</w:t>
      </w:r>
    </w:p>
    <w:p w:rsidR="003804AC" w:rsidRDefault="00AF18A5" w:rsidP="000D370D">
      <w:r>
        <w:t>Como afirma un testimonio citado en un avance del volumen que habla de impactos, afrontamientos</w:t>
      </w:r>
      <w:r>
        <w:rPr>
          <w:spacing w:val="-15"/>
        </w:rPr>
        <w:t xml:space="preserve"> </w:t>
      </w:r>
      <w:r>
        <w:t>y</w:t>
      </w:r>
      <w:r>
        <w:rPr>
          <w:spacing w:val="-15"/>
        </w:rPr>
        <w:t xml:space="preserve"> </w:t>
      </w:r>
      <w:r>
        <w:t>resistencias</w:t>
      </w:r>
      <w:r>
        <w:rPr>
          <w:spacing w:val="-15"/>
        </w:rPr>
        <w:t xml:space="preserve"> </w:t>
      </w:r>
      <w:r>
        <w:t>del</w:t>
      </w:r>
      <w:r>
        <w:rPr>
          <w:spacing w:val="-15"/>
        </w:rPr>
        <w:t xml:space="preserve"> </w:t>
      </w:r>
      <w:r>
        <w:t>Informe</w:t>
      </w:r>
      <w:r>
        <w:rPr>
          <w:spacing w:val="-15"/>
        </w:rPr>
        <w:t xml:space="preserve"> </w:t>
      </w:r>
      <w:r>
        <w:t>Final</w:t>
      </w:r>
      <w:r>
        <w:rPr>
          <w:spacing w:val="-15"/>
        </w:rPr>
        <w:t xml:space="preserve"> </w:t>
      </w:r>
      <w:r>
        <w:t>«la</w:t>
      </w:r>
      <w:r>
        <w:rPr>
          <w:spacing w:val="-14"/>
        </w:rPr>
        <w:t xml:space="preserve"> </w:t>
      </w:r>
      <w:r>
        <w:t>nueva</w:t>
      </w:r>
      <w:r>
        <w:rPr>
          <w:spacing w:val="-15"/>
        </w:rPr>
        <w:t xml:space="preserve"> </w:t>
      </w:r>
      <w:r>
        <w:t>generación,</w:t>
      </w:r>
      <w:r>
        <w:rPr>
          <w:spacing w:val="-15"/>
        </w:rPr>
        <w:t xml:space="preserve"> </w:t>
      </w:r>
      <w:r>
        <w:t>la</w:t>
      </w:r>
      <w:r>
        <w:rPr>
          <w:spacing w:val="-15"/>
        </w:rPr>
        <w:t xml:space="preserve"> </w:t>
      </w:r>
      <w:r>
        <w:t>gente</w:t>
      </w:r>
      <w:r>
        <w:rPr>
          <w:spacing w:val="-15"/>
        </w:rPr>
        <w:t xml:space="preserve"> </w:t>
      </w:r>
      <w:r>
        <w:t>en</w:t>
      </w:r>
      <w:r>
        <w:rPr>
          <w:spacing w:val="-15"/>
        </w:rPr>
        <w:t xml:space="preserve"> </w:t>
      </w:r>
      <w:r>
        <w:t>el</w:t>
      </w:r>
      <w:r>
        <w:rPr>
          <w:spacing w:val="-14"/>
        </w:rPr>
        <w:t xml:space="preserve"> </w:t>
      </w:r>
      <w:r>
        <w:t>territorio, que</w:t>
      </w:r>
      <w:r>
        <w:rPr>
          <w:spacing w:val="-3"/>
        </w:rPr>
        <w:t xml:space="preserve"> </w:t>
      </w:r>
      <w:r>
        <w:t>tiene</w:t>
      </w:r>
      <w:r>
        <w:rPr>
          <w:spacing w:val="-3"/>
        </w:rPr>
        <w:t xml:space="preserve"> </w:t>
      </w:r>
      <w:r>
        <w:t>hasta</w:t>
      </w:r>
      <w:r>
        <w:rPr>
          <w:spacing w:val="-3"/>
        </w:rPr>
        <w:t xml:space="preserve"> </w:t>
      </w:r>
      <w:r>
        <w:t>30</w:t>
      </w:r>
      <w:r>
        <w:rPr>
          <w:spacing w:val="-5"/>
        </w:rPr>
        <w:t xml:space="preserve"> </w:t>
      </w:r>
      <w:r>
        <w:t>años</w:t>
      </w:r>
      <w:r>
        <w:rPr>
          <w:spacing w:val="-6"/>
        </w:rPr>
        <w:t xml:space="preserve"> </w:t>
      </w:r>
      <w:r>
        <w:t>por</w:t>
      </w:r>
      <w:r>
        <w:rPr>
          <w:spacing w:val="-3"/>
        </w:rPr>
        <w:t xml:space="preserve"> </w:t>
      </w:r>
      <w:r>
        <w:t>lo</w:t>
      </w:r>
      <w:r>
        <w:rPr>
          <w:spacing w:val="-5"/>
        </w:rPr>
        <w:t xml:space="preserve"> </w:t>
      </w:r>
      <w:r>
        <w:t>menos,</w:t>
      </w:r>
      <w:r>
        <w:rPr>
          <w:spacing w:val="-4"/>
        </w:rPr>
        <w:t xml:space="preserve"> </w:t>
      </w:r>
      <w:r>
        <w:t>es</w:t>
      </w:r>
      <w:r>
        <w:rPr>
          <w:spacing w:val="-3"/>
        </w:rPr>
        <w:t xml:space="preserve"> </w:t>
      </w:r>
      <w:r>
        <w:t>gente</w:t>
      </w:r>
      <w:r>
        <w:rPr>
          <w:spacing w:val="-5"/>
        </w:rPr>
        <w:t xml:space="preserve"> </w:t>
      </w:r>
      <w:r>
        <w:t>que</w:t>
      </w:r>
      <w:r>
        <w:rPr>
          <w:spacing w:val="-3"/>
        </w:rPr>
        <w:t xml:space="preserve"> </w:t>
      </w:r>
      <w:r>
        <w:t>nació</w:t>
      </w:r>
      <w:r>
        <w:rPr>
          <w:spacing w:val="-4"/>
        </w:rPr>
        <w:t xml:space="preserve"> </w:t>
      </w:r>
      <w:r>
        <w:t>en</w:t>
      </w:r>
      <w:r>
        <w:rPr>
          <w:spacing w:val="-5"/>
        </w:rPr>
        <w:t xml:space="preserve"> </w:t>
      </w:r>
      <w:r>
        <w:t>la</w:t>
      </w:r>
      <w:r>
        <w:rPr>
          <w:spacing w:val="-3"/>
        </w:rPr>
        <w:t xml:space="preserve"> </w:t>
      </w:r>
      <w:r>
        <w:t>coca,</w:t>
      </w:r>
      <w:r>
        <w:rPr>
          <w:spacing w:val="-5"/>
        </w:rPr>
        <w:t xml:space="preserve"> </w:t>
      </w:r>
      <w:r>
        <w:t>que</w:t>
      </w:r>
      <w:r>
        <w:rPr>
          <w:spacing w:val="-5"/>
        </w:rPr>
        <w:t xml:space="preserve"> </w:t>
      </w:r>
      <w:r>
        <w:t>no</w:t>
      </w:r>
      <w:r>
        <w:rPr>
          <w:spacing w:val="-4"/>
        </w:rPr>
        <w:t xml:space="preserve"> </w:t>
      </w:r>
      <w:r>
        <w:t>ha</w:t>
      </w:r>
      <w:r>
        <w:rPr>
          <w:spacing w:val="-3"/>
        </w:rPr>
        <w:t xml:space="preserve"> </w:t>
      </w:r>
      <w:r>
        <w:t>conocido</w:t>
      </w:r>
      <w:r>
        <w:rPr>
          <w:spacing w:val="-4"/>
        </w:rPr>
        <w:t xml:space="preserve"> </w:t>
      </w:r>
      <w:r>
        <w:t>otra forma de producción que no sea la coca [...]. Entonces hoy en día todos esos campesinos ya son</w:t>
      </w:r>
      <w:r>
        <w:rPr>
          <w:spacing w:val="-6"/>
        </w:rPr>
        <w:t xml:space="preserve"> </w:t>
      </w:r>
      <w:r>
        <w:t>gente</w:t>
      </w:r>
      <w:r>
        <w:rPr>
          <w:spacing w:val="-6"/>
        </w:rPr>
        <w:t xml:space="preserve"> </w:t>
      </w:r>
      <w:r>
        <w:t>que</w:t>
      </w:r>
      <w:r>
        <w:rPr>
          <w:spacing w:val="-6"/>
        </w:rPr>
        <w:t xml:space="preserve"> </w:t>
      </w:r>
      <w:r>
        <w:t>sale</w:t>
      </w:r>
      <w:r>
        <w:rPr>
          <w:spacing w:val="-7"/>
        </w:rPr>
        <w:t xml:space="preserve"> </w:t>
      </w:r>
      <w:r>
        <w:t>al</w:t>
      </w:r>
      <w:r>
        <w:rPr>
          <w:spacing w:val="-6"/>
        </w:rPr>
        <w:t xml:space="preserve"> </w:t>
      </w:r>
      <w:r>
        <w:t>pueblo</w:t>
      </w:r>
      <w:r>
        <w:rPr>
          <w:spacing w:val="-6"/>
        </w:rPr>
        <w:t xml:space="preserve"> </w:t>
      </w:r>
      <w:r>
        <w:t>a</w:t>
      </w:r>
      <w:r>
        <w:rPr>
          <w:spacing w:val="-6"/>
        </w:rPr>
        <w:t xml:space="preserve"> </w:t>
      </w:r>
      <w:r>
        <w:t>vender</w:t>
      </w:r>
      <w:r>
        <w:rPr>
          <w:spacing w:val="-7"/>
        </w:rPr>
        <w:t xml:space="preserve"> </w:t>
      </w:r>
      <w:r>
        <w:t>su</w:t>
      </w:r>
      <w:r>
        <w:rPr>
          <w:spacing w:val="-6"/>
        </w:rPr>
        <w:t xml:space="preserve"> </w:t>
      </w:r>
      <w:r>
        <w:t>producto,</w:t>
      </w:r>
      <w:r>
        <w:rPr>
          <w:spacing w:val="-6"/>
        </w:rPr>
        <w:t xml:space="preserve"> </w:t>
      </w:r>
      <w:r>
        <w:t>a</w:t>
      </w:r>
      <w:r>
        <w:rPr>
          <w:spacing w:val="-6"/>
        </w:rPr>
        <w:t xml:space="preserve"> </w:t>
      </w:r>
      <w:r>
        <w:t>tomar</w:t>
      </w:r>
      <w:r>
        <w:rPr>
          <w:spacing w:val="-6"/>
        </w:rPr>
        <w:t xml:space="preserve"> </w:t>
      </w:r>
      <w:r>
        <w:t>cerveza.</w:t>
      </w:r>
      <w:r>
        <w:rPr>
          <w:spacing w:val="-6"/>
        </w:rPr>
        <w:t xml:space="preserve"> </w:t>
      </w:r>
      <w:r>
        <w:t>Ya</w:t>
      </w:r>
      <w:r>
        <w:rPr>
          <w:spacing w:val="-6"/>
        </w:rPr>
        <w:t xml:space="preserve"> </w:t>
      </w:r>
      <w:r>
        <w:t>los</w:t>
      </w:r>
      <w:r>
        <w:rPr>
          <w:spacing w:val="-7"/>
        </w:rPr>
        <w:t xml:space="preserve"> </w:t>
      </w:r>
      <w:proofErr w:type="spellStart"/>
      <w:r>
        <w:t>puteaderos</w:t>
      </w:r>
      <w:proofErr w:type="spellEnd"/>
      <w:r>
        <w:t>,</w:t>
      </w:r>
      <w:r>
        <w:rPr>
          <w:spacing w:val="-7"/>
        </w:rPr>
        <w:t xml:space="preserve"> </w:t>
      </w:r>
      <w:r>
        <w:t xml:space="preserve">como llaman allá, están llenos. Incluso ya ese campesino es un campesino que vagabundea, </w:t>
      </w:r>
      <w:proofErr w:type="spellStart"/>
      <w:r>
        <w:t>jarta</w:t>
      </w:r>
      <w:proofErr w:type="spellEnd"/>
      <w:r>
        <w:t xml:space="preserve"> cerveza,</w:t>
      </w:r>
      <w:r>
        <w:rPr>
          <w:spacing w:val="-15"/>
        </w:rPr>
        <w:t xml:space="preserve"> </w:t>
      </w:r>
      <w:r>
        <w:t>compra</w:t>
      </w:r>
      <w:r>
        <w:rPr>
          <w:spacing w:val="-15"/>
        </w:rPr>
        <w:t xml:space="preserve"> </w:t>
      </w:r>
      <w:r>
        <w:t>cadenas</w:t>
      </w:r>
      <w:r>
        <w:rPr>
          <w:spacing w:val="-15"/>
        </w:rPr>
        <w:t xml:space="preserve"> </w:t>
      </w:r>
      <w:r>
        <w:t>de</w:t>
      </w:r>
      <w:r>
        <w:rPr>
          <w:spacing w:val="-15"/>
        </w:rPr>
        <w:t xml:space="preserve"> </w:t>
      </w:r>
      <w:r>
        <w:t>oro,</w:t>
      </w:r>
      <w:r>
        <w:rPr>
          <w:spacing w:val="-15"/>
        </w:rPr>
        <w:t xml:space="preserve"> </w:t>
      </w:r>
      <w:r>
        <w:t>celulares</w:t>
      </w:r>
      <w:r>
        <w:rPr>
          <w:spacing w:val="-15"/>
        </w:rPr>
        <w:t xml:space="preserve"> </w:t>
      </w:r>
      <w:r>
        <w:t>modernos,</w:t>
      </w:r>
      <w:r>
        <w:rPr>
          <w:spacing w:val="-15"/>
        </w:rPr>
        <w:t xml:space="preserve"> </w:t>
      </w:r>
      <w:r>
        <w:t>la</w:t>
      </w:r>
      <w:r>
        <w:rPr>
          <w:spacing w:val="-15"/>
        </w:rPr>
        <w:t xml:space="preserve"> </w:t>
      </w:r>
      <w:r>
        <w:t>moto,</w:t>
      </w:r>
      <w:r>
        <w:rPr>
          <w:spacing w:val="-15"/>
        </w:rPr>
        <w:t xml:space="preserve"> </w:t>
      </w:r>
      <w:r>
        <w:t>y</w:t>
      </w:r>
      <w:r>
        <w:rPr>
          <w:spacing w:val="-15"/>
        </w:rPr>
        <w:t xml:space="preserve"> </w:t>
      </w:r>
      <w:r>
        <w:t>se</w:t>
      </w:r>
      <w:r>
        <w:rPr>
          <w:spacing w:val="-15"/>
        </w:rPr>
        <w:t xml:space="preserve"> </w:t>
      </w:r>
      <w:r>
        <w:t>fue</w:t>
      </w:r>
      <w:r>
        <w:rPr>
          <w:spacing w:val="-15"/>
        </w:rPr>
        <w:t xml:space="preserve"> </w:t>
      </w:r>
      <w:r>
        <w:t>creando</w:t>
      </w:r>
      <w:r>
        <w:rPr>
          <w:spacing w:val="-15"/>
        </w:rPr>
        <w:t xml:space="preserve"> </w:t>
      </w:r>
      <w:r>
        <w:t>una</w:t>
      </w:r>
      <w:r>
        <w:rPr>
          <w:spacing w:val="-15"/>
        </w:rPr>
        <w:t xml:space="preserve"> </w:t>
      </w:r>
      <w:r>
        <w:t>subcultura de la ilegalidad muy impresionante».</w:t>
      </w:r>
    </w:p>
    <w:p w:rsidR="003804AC" w:rsidRDefault="00AF18A5" w:rsidP="000D370D">
      <w:r>
        <w:t xml:space="preserve">Dentro de la cadena económica del narcotráfico es distinta la forma de gasto del dinero entre </w:t>
      </w:r>
      <w:proofErr w:type="spellStart"/>
      <w:r>
        <w:t>raspachines</w:t>
      </w:r>
      <w:proofErr w:type="spellEnd"/>
      <w:r>
        <w:t>, dueños de las fincas y narcotraficantes. Mientras mayor es el poder en el territorio</w:t>
      </w:r>
      <w:r>
        <w:rPr>
          <w:spacing w:val="-5"/>
        </w:rPr>
        <w:t xml:space="preserve"> </w:t>
      </w:r>
      <w:r>
        <w:t>de</w:t>
      </w:r>
      <w:r>
        <w:rPr>
          <w:spacing w:val="-5"/>
        </w:rPr>
        <w:t xml:space="preserve"> </w:t>
      </w:r>
      <w:r>
        <w:t>cada</w:t>
      </w:r>
      <w:r>
        <w:rPr>
          <w:spacing w:val="-3"/>
        </w:rPr>
        <w:t xml:space="preserve"> </w:t>
      </w:r>
      <w:r>
        <w:t>uno</w:t>
      </w:r>
      <w:r>
        <w:rPr>
          <w:spacing w:val="-5"/>
        </w:rPr>
        <w:t xml:space="preserve"> </w:t>
      </w:r>
      <w:r>
        <w:t>de</w:t>
      </w:r>
      <w:r>
        <w:rPr>
          <w:spacing w:val="-5"/>
        </w:rPr>
        <w:t xml:space="preserve"> </w:t>
      </w:r>
      <w:r>
        <w:t>estos</w:t>
      </w:r>
      <w:r>
        <w:rPr>
          <w:spacing w:val="-5"/>
        </w:rPr>
        <w:t xml:space="preserve"> </w:t>
      </w:r>
      <w:r>
        <w:t>actores,</w:t>
      </w:r>
      <w:r>
        <w:rPr>
          <w:spacing w:val="-4"/>
        </w:rPr>
        <w:t xml:space="preserve"> </w:t>
      </w:r>
      <w:r>
        <w:t>mayores</w:t>
      </w:r>
      <w:r>
        <w:rPr>
          <w:spacing w:val="-5"/>
        </w:rPr>
        <w:t xml:space="preserve"> </w:t>
      </w:r>
      <w:r>
        <w:t>las</w:t>
      </w:r>
      <w:r>
        <w:rPr>
          <w:spacing w:val="-4"/>
        </w:rPr>
        <w:t xml:space="preserve"> </w:t>
      </w:r>
      <w:r>
        <w:t>excentricidades.</w:t>
      </w:r>
      <w:r>
        <w:rPr>
          <w:spacing w:val="-4"/>
        </w:rPr>
        <w:t xml:space="preserve"> </w:t>
      </w:r>
      <w:r>
        <w:t>El</w:t>
      </w:r>
      <w:r>
        <w:rPr>
          <w:spacing w:val="-4"/>
        </w:rPr>
        <w:t xml:space="preserve"> </w:t>
      </w:r>
      <w:r>
        <w:t>dinero</w:t>
      </w:r>
      <w:r>
        <w:rPr>
          <w:spacing w:val="-4"/>
        </w:rPr>
        <w:t xml:space="preserve"> </w:t>
      </w:r>
      <w:r>
        <w:t>y</w:t>
      </w:r>
      <w:r>
        <w:rPr>
          <w:spacing w:val="-5"/>
        </w:rPr>
        <w:t xml:space="preserve"> </w:t>
      </w:r>
      <w:r>
        <w:t>la</w:t>
      </w:r>
      <w:r>
        <w:rPr>
          <w:spacing w:val="-5"/>
        </w:rPr>
        <w:t xml:space="preserve"> </w:t>
      </w:r>
      <w:r>
        <w:t>necesidad de gastarlo han interferido así en el modo de vida veredal, sobre todo porque han seguido modelos</w:t>
      </w:r>
      <w:r>
        <w:rPr>
          <w:spacing w:val="3"/>
        </w:rPr>
        <w:t xml:space="preserve"> </w:t>
      </w:r>
      <w:r>
        <w:t>sociales</w:t>
      </w:r>
      <w:r>
        <w:rPr>
          <w:spacing w:val="5"/>
        </w:rPr>
        <w:t xml:space="preserve"> </w:t>
      </w:r>
      <w:r>
        <w:t>afincados</w:t>
      </w:r>
      <w:r>
        <w:rPr>
          <w:spacing w:val="5"/>
        </w:rPr>
        <w:t xml:space="preserve"> </w:t>
      </w:r>
      <w:r>
        <w:t>en</w:t>
      </w:r>
      <w:r>
        <w:rPr>
          <w:spacing w:val="4"/>
        </w:rPr>
        <w:t xml:space="preserve"> </w:t>
      </w:r>
      <w:r>
        <w:t>el</w:t>
      </w:r>
      <w:r>
        <w:rPr>
          <w:spacing w:val="5"/>
        </w:rPr>
        <w:t xml:space="preserve"> </w:t>
      </w:r>
      <w:r>
        <w:t>imaginario</w:t>
      </w:r>
      <w:r>
        <w:rPr>
          <w:spacing w:val="4"/>
        </w:rPr>
        <w:t xml:space="preserve"> </w:t>
      </w:r>
      <w:r>
        <w:t>colectivo</w:t>
      </w:r>
      <w:r>
        <w:rPr>
          <w:spacing w:val="5"/>
        </w:rPr>
        <w:t xml:space="preserve"> </w:t>
      </w:r>
      <w:r>
        <w:t>que</w:t>
      </w:r>
      <w:r>
        <w:rPr>
          <w:spacing w:val="5"/>
        </w:rPr>
        <w:t xml:space="preserve"> </w:t>
      </w:r>
      <w:r>
        <w:t>dejó</w:t>
      </w:r>
      <w:r>
        <w:rPr>
          <w:spacing w:val="4"/>
        </w:rPr>
        <w:t xml:space="preserve"> </w:t>
      </w:r>
      <w:r>
        <w:t>la</w:t>
      </w:r>
      <w:r>
        <w:rPr>
          <w:spacing w:val="4"/>
        </w:rPr>
        <w:t xml:space="preserve"> </w:t>
      </w:r>
      <w:r>
        <w:t>figura</w:t>
      </w:r>
      <w:r>
        <w:rPr>
          <w:spacing w:val="4"/>
        </w:rPr>
        <w:t xml:space="preserve"> </w:t>
      </w:r>
      <w:r>
        <w:t>del</w:t>
      </w:r>
      <w:r>
        <w:rPr>
          <w:spacing w:val="5"/>
        </w:rPr>
        <w:t xml:space="preserve"> </w:t>
      </w:r>
      <w:r>
        <w:rPr>
          <w:spacing w:val="-2"/>
        </w:rPr>
        <w:t>narcotraficante</w:t>
      </w:r>
      <w:r w:rsidR="000D370D">
        <w:t xml:space="preserve"> </w:t>
      </w:r>
      <w:r>
        <w:t xml:space="preserve">«capo» de los carteles de Medellín y Cali. Una vida de lujos, trago, mujeres y armas. Un habitante de El Resbalón, Guaviare, lo resumió así: «La plata se malbarató bastantísimo en tragos, mujeres. Cualquier chichipato </w:t>
      </w:r>
      <w:proofErr w:type="spellStart"/>
      <w:r>
        <w:t>raspachín</w:t>
      </w:r>
      <w:proofErr w:type="spellEnd"/>
      <w:r>
        <w:t xml:space="preserve"> pedía cuando salía a esas cantinas cuatro, cinco o seis cajas de cerveza»</w:t>
      </w:r>
      <w:r w:rsidR="000D370D">
        <w:rPr>
          <w:rStyle w:val="Refdenotaalpie"/>
        </w:rPr>
        <w:footnoteReference w:id="1141"/>
      </w:r>
      <w:r>
        <w:t>.</w:t>
      </w:r>
    </w:p>
    <w:p w:rsidR="003804AC" w:rsidRDefault="00AF18A5" w:rsidP="000D370D">
      <w:r>
        <w:t xml:space="preserve">Los impactos de las dinámicas del prohibicionismo sobre las fases del </w:t>
      </w:r>
      <w:r>
        <w:lastRenderedPageBreak/>
        <w:t>negocio del narcotráfico sobre la vida cotidiana fortalecieron la transformación o dislocación de los valores</w:t>
      </w:r>
      <w:r>
        <w:rPr>
          <w:spacing w:val="-11"/>
        </w:rPr>
        <w:t xml:space="preserve"> </w:t>
      </w:r>
      <w:r>
        <w:t>y,</w:t>
      </w:r>
      <w:r>
        <w:rPr>
          <w:spacing w:val="-10"/>
        </w:rPr>
        <w:t xml:space="preserve"> </w:t>
      </w:r>
      <w:r>
        <w:t>sobre</w:t>
      </w:r>
      <w:r>
        <w:rPr>
          <w:spacing w:val="-9"/>
        </w:rPr>
        <w:t xml:space="preserve"> </w:t>
      </w:r>
      <w:r>
        <w:t>todo,</w:t>
      </w:r>
      <w:r>
        <w:rPr>
          <w:spacing w:val="-11"/>
        </w:rPr>
        <w:t xml:space="preserve"> </w:t>
      </w:r>
      <w:r>
        <w:t>de</w:t>
      </w:r>
      <w:r>
        <w:rPr>
          <w:spacing w:val="-11"/>
        </w:rPr>
        <w:t xml:space="preserve"> </w:t>
      </w:r>
      <w:r>
        <w:t>la</w:t>
      </w:r>
      <w:r>
        <w:rPr>
          <w:spacing w:val="-9"/>
        </w:rPr>
        <w:t xml:space="preserve"> </w:t>
      </w:r>
      <w:r>
        <w:t>ética</w:t>
      </w:r>
      <w:r>
        <w:rPr>
          <w:spacing w:val="-11"/>
        </w:rPr>
        <w:t xml:space="preserve"> </w:t>
      </w:r>
      <w:r>
        <w:t>civil.</w:t>
      </w:r>
      <w:r>
        <w:rPr>
          <w:spacing w:val="-11"/>
        </w:rPr>
        <w:t xml:space="preserve"> </w:t>
      </w:r>
      <w:r>
        <w:t>Desde</w:t>
      </w:r>
      <w:r>
        <w:rPr>
          <w:spacing w:val="-9"/>
        </w:rPr>
        <w:t xml:space="preserve"> </w:t>
      </w:r>
      <w:r>
        <w:t>entonces,</w:t>
      </w:r>
      <w:r>
        <w:rPr>
          <w:spacing w:val="-10"/>
        </w:rPr>
        <w:t xml:space="preserve"> </w:t>
      </w:r>
      <w:r>
        <w:t>el</w:t>
      </w:r>
      <w:r>
        <w:rPr>
          <w:spacing w:val="-9"/>
        </w:rPr>
        <w:t xml:space="preserve"> </w:t>
      </w:r>
      <w:r>
        <w:t>dinero</w:t>
      </w:r>
      <w:r>
        <w:rPr>
          <w:spacing w:val="-10"/>
        </w:rPr>
        <w:t xml:space="preserve"> </w:t>
      </w:r>
      <w:r>
        <w:t>funciona</w:t>
      </w:r>
      <w:r>
        <w:rPr>
          <w:spacing w:val="-11"/>
        </w:rPr>
        <w:t xml:space="preserve"> </w:t>
      </w:r>
      <w:r>
        <w:t>como</w:t>
      </w:r>
      <w:r>
        <w:rPr>
          <w:spacing w:val="-10"/>
        </w:rPr>
        <w:t xml:space="preserve"> </w:t>
      </w:r>
      <w:r>
        <w:t>un</w:t>
      </w:r>
      <w:r>
        <w:rPr>
          <w:spacing w:val="-10"/>
        </w:rPr>
        <w:t xml:space="preserve"> </w:t>
      </w:r>
      <w:r>
        <w:t>detonante de expresiones y comportamientos que a su vez cambian el modo de relacionamiento colectivo.</w:t>
      </w:r>
      <w:r>
        <w:rPr>
          <w:spacing w:val="-5"/>
        </w:rPr>
        <w:t xml:space="preserve"> </w:t>
      </w:r>
      <w:r>
        <w:t>Durante</w:t>
      </w:r>
      <w:r>
        <w:rPr>
          <w:spacing w:val="-5"/>
        </w:rPr>
        <w:t xml:space="preserve"> </w:t>
      </w:r>
      <w:r>
        <w:t>una</w:t>
      </w:r>
      <w:r>
        <w:rPr>
          <w:spacing w:val="-5"/>
        </w:rPr>
        <w:t xml:space="preserve"> </w:t>
      </w:r>
      <w:r>
        <w:t>época,</w:t>
      </w:r>
      <w:r>
        <w:rPr>
          <w:spacing w:val="-3"/>
        </w:rPr>
        <w:t xml:space="preserve"> </w:t>
      </w:r>
      <w:r>
        <w:t>por</w:t>
      </w:r>
      <w:r>
        <w:rPr>
          <w:spacing w:val="-5"/>
        </w:rPr>
        <w:t xml:space="preserve"> </w:t>
      </w:r>
      <w:r>
        <w:t>ejemplo,</w:t>
      </w:r>
      <w:r>
        <w:rPr>
          <w:spacing w:val="-5"/>
        </w:rPr>
        <w:t xml:space="preserve"> </w:t>
      </w:r>
      <w:r>
        <w:t>la</w:t>
      </w:r>
      <w:r>
        <w:rPr>
          <w:spacing w:val="-4"/>
        </w:rPr>
        <w:t xml:space="preserve"> </w:t>
      </w:r>
      <w:r>
        <w:t>identidad</w:t>
      </w:r>
      <w:r>
        <w:rPr>
          <w:spacing w:val="-5"/>
        </w:rPr>
        <w:t xml:space="preserve"> </w:t>
      </w:r>
      <w:r>
        <w:t>en</w:t>
      </w:r>
      <w:r>
        <w:rPr>
          <w:spacing w:val="-5"/>
        </w:rPr>
        <w:t xml:space="preserve"> </w:t>
      </w:r>
      <w:r>
        <w:t>regiones</w:t>
      </w:r>
      <w:r>
        <w:rPr>
          <w:spacing w:val="-4"/>
        </w:rPr>
        <w:t xml:space="preserve"> </w:t>
      </w:r>
      <w:r>
        <w:t>cocaleras</w:t>
      </w:r>
      <w:r>
        <w:rPr>
          <w:spacing w:val="-5"/>
        </w:rPr>
        <w:t xml:space="preserve"> </w:t>
      </w:r>
      <w:r>
        <w:t>del</w:t>
      </w:r>
      <w:r>
        <w:rPr>
          <w:spacing w:val="-5"/>
        </w:rPr>
        <w:t xml:space="preserve"> </w:t>
      </w:r>
      <w:r>
        <w:t>país</w:t>
      </w:r>
      <w:r>
        <w:rPr>
          <w:spacing w:val="-4"/>
        </w:rPr>
        <w:t xml:space="preserve"> </w:t>
      </w:r>
      <w:r>
        <w:rPr>
          <w:spacing w:val="-2"/>
        </w:rPr>
        <w:t>siguió</w:t>
      </w:r>
      <w:bookmarkStart w:id="1413" w:name="_bookmark1256"/>
      <w:bookmarkStart w:id="1414" w:name="_bookmark1257"/>
      <w:bookmarkEnd w:id="1413"/>
      <w:bookmarkEnd w:id="1414"/>
      <w:r w:rsidR="000D370D">
        <w:t xml:space="preserve"> </w:t>
      </w:r>
      <w:r>
        <w:t>un modelo basado en la cultura mexicana. Luego, en la década del 2000, los «traquetos» financiaron las fiestas locales e impulsaron los reinados de belleza en las regiones.</w:t>
      </w:r>
    </w:p>
    <w:p w:rsidR="003804AC" w:rsidRDefault="00AF18A5" w:rsidP="000D370D">
      <w:r>
        <w:t>Los</w:t>
      </w:r>
      <w:r>
        <w:rPr>
          <w:spacing w:val="-7"/>
        </w:rPr>
        <w:t xml:space="preserve"> </w:t>
      </w:r>
      <w:r>
        <w:t>impactos</w:t>
      </w:r>
      <w:r>
        <w:rPr>
          <w:spacing w:val="-7"/>
        </w:rPr>
        <w:t xml:space="preserve"> </w:t>
      </w:r>
      <w:r>
        <w:t>culturales</w:t>
      </w:r>
      <w:r>
        <w:rPr>
          <w:spacing w:val="-8"/>
        </w:rPr>
        <w:t xml:space="preserve"> </w:t>
      </w:r>
      <w:r>
        <w:t>del</w:t>
      </w:r>
      <w:r>
        <w:rPr>
          <w:spacing w:val="-7"/>
        </w:rPr>
        <w:t xml:space="preserve"> </w:t>
      </w:r>
      <w:r>
        <w:t>narcotráfico</w:t>
      </w:r>
      <w:r>
        <w:rPr>
          <w:spacing w:val="-7"/>
        </w:rPr>
        <w:t xml:space="preserve"> </w:t>
      </w:r>
      <w:r>
        <w:t>terminan</w:t>
      </w:r>
      <w:r>
        <w:rPr>
          <w:spacing w:val="-8"/>
        </w:rPr>
        <w:t xml:space="preserve"> </w:t>
      </w:r>
      <w:r>
        <w:t>por</w:t>
      </w:r>
      <w:r>
        <w:rPr>
          <w:spacing w:val="-7"/>
        </w:rPr>
        <w:t xml:space="preserve"> </w:t>
      </w:r>
      <w:r>
        <w:t>penetrar</w:t>
      </w:r>
      <w:r>
        <w:rPr>
          <w:spacing w:val="-8"/>
        </w:rPr>
        <w:t xml:space="preserve"> </w:t>
      </w:r>
      <w:r>
        <w:t>a</w:t>
      </w:r>
      <w:r>
        <w:rPr>
          <w:spacing w:val="-7"/>
        </w:rPr>
        <w:t xml:space="preserve"> </w:t>
      </w:r>
      <w:r>
        <w:t>casi</w:t>
      </w:r>
      <w:r>
        <w:rPr>
          <w:spacing w:val="-7"/>
        </w:rPr>
        <w:t xml:space="preserve"> </w:t>
      </w:r>
      <w:r>
        <w:t>toda</w:t>
      </w:r>
      <w:r>
        <w:rPr>
          <w:spacing w:val="-8"/>
        </w:rPr>
        <w:t xml:space="preserve"> </w:t>
      </w:r>
      <w:r>
        <w:t>la</w:t>
      </w:r>
      <w:r>
        <w:rPr>
          <w:spacing w:val="-7"/>
        </w:rPr>
        <w:t xml:space="preserve"> </w:t>
      </w:r>
      <w:r>
        <w:t>sociedad</w:t>
      </w:r>
      <w:r>
        <w:rPr>
          <w:spacing w:val="-7"/>
        </w:rPr>
        <w:t xml:space="preserve"> </w:t>
      </w:r>
      <w:r>
        <w:t>que acumula y esconde su riqueza en un acuerdo silencioso. No es extraño entonces que en el país la incidencia del dinero del narcotráfico sobre la economía, que no es ni mucho menos despreciable,</w:t>
      </w:r>
      <w:r>
        <w:rPr>
          <w:spacing w:val="-3"/>
        </w:rPr>
        <w:t xml:space="preserve"> </w:t>
      </w:r>
      <w:r>
        <w:t>no</w:t>
      </w:r>
      <w:r>
        <w:rPr>
          <w:spacing w:val="-3"/>
        </w:rPr>
        <w:t xml:space="preserve"> </w:t>
      </w:r>
      <w:r>
        <w:t>sea</w:t>
      </w:r>
      <w:r>
        <w:rPr>
          <w:spacing w:val="-3"/>
        </w:rPr>
        <w:t xml:space="preserve"> </w:t>
      </w:r>
      <w:r>
        <w:t>un</w:t>
      </w:r>
      <w:r>
        <w:rPr>
          <w:spacing w:val="-3"/>
        </w:rPr>
        <w:t xml:space="preserve"> </w:t>
      </w:r>
      <w:r>
        <w:t>tema</w:t>
      </w:r>
      <w:r>
        <w:rPr>
          <w:spacing w:val="-3"/>
        </w:rPr>
        <w:t xml:space="preserve"> </w:t>
      </w:r>
      <w:r>
        <w:t>suficientemente</w:t>
      </w:r>
      <w:r>
        <w:rPr>
          <w:spacing w:val="-3"/>
        </w:rPr>
        <w:t xml:space="preserve"> </w:t>
      </w:r>
      <w:r>
        <w:t>nombrado</w:t>
      </w:r>
      <w:r>
        <w:rPr>
          <w:spacing w:val="-3"/>
        </w:rPr>
        <w:t xml:space="preserve"> </w:t>
      </w:r>
      <w:r>
        <w:t>y</w:t>
      </w:r>
      <w:r>
        <w:rPr>
          <w:spacing w:val="-3"/>
        </w:rPr>
        <w:t xml:space="preserve"> </w:t>
      </w:r>
      <w:r>
        <w:t>estudiado</w:t>
      </w:r>
      <w:r>
        <w:rPr>
          <w:spacing w:val="-3"/>
        </w:rPr>
        <w:t xml:space="preserve"> </w:t>
      </w:r>
      <w:r>
        <w:t>y</w:t>
      </w:r>
      <w:r>
        <w:rPr>
          <w:spacing w:val="-3"/>
        </w:rPr>
        <w:t xml:space="preserve"> </w:t>
      </w:r>
      <w:r>
        <w:t>frente</w:t>
      </w:r>
      <w:r>
        <w:rPr>
          <w:spacing w:val="-3"/>
        </w:rPr>
        <w:t xml:space="preserve"> </w:t>
      </w:r>
      <w:r>
        <w:t>al</w:t>
      </w:r>
      <w:r>
        <w:rPr>
          <w:spacing w:val="-3"/>
        </w:rPr>
        <w:t xml:space="preserve"> </w:t>
      </w:r>
      <w:r>
        <w:t>cual</w:t>
      </w:r>
      <w:r>
        <w:rPr>
          <w:spacing w:val="-3"/>
        </w:rPr>
        <w:t xml:space="preserve"> </w:t>
      </w:r>
      <w:r>
        <w:t>no</w:t>
      </w:r>
      <w:r>
        <w:rPr>
          <w:spacing w:val="-3"/>
        </w:rPr>
        <w:t xml:space="preserve"> </w:t>
      </w:r>
      <w:r>
        <w:t>haya una propuesta de Estado.</w:t>
      </w:r>
    </w:p>
    <w:p w:rsidR="0011361F" w:rsidRDefault="00AF18A5" w:rsidP="004A6EF4">
      <w:pPr>
        <w:pStyle w:val="Ttulo3"/>
        <w:numPr>
          <w:ilvl w:val="1"/>
          <w:numId w:val="16"/>
        </w:numPr>
      </w:pPr>
      <w:bookmarkStart w:id="1415" w:name="10.12._Las_respuestas_culturales_al_conf"/>
      <w:bookmarkStart w:id="1416" w:name="_Toc112399663"/>
      <w:bookmarkEnd w:id="1415"/>
      <w:r>
        <w:t>Las</w:t>
      </w:r>
      <w:r>
        <w:rPr>
          <w:spacing w:val="-4"/>
        </w:rPr>
        <w:t xml:space="preserve"> </w:t>
      </w:r>
      <w:r>
        <w:t>respuestas</w:t>
      </w:r>
      <w:r>
        <w:rPr>
          <w:spacing w:val="-3"/>
        </w:rPr>
        <w:t xml:space="preserve"> </w:t>
      </w:r>
      <w:r w:rsidRPr="000D370D">
        <w:t>culturales</w:t>
      </w:r>
      <w:r>
        <w:rPr>
          <w:spacing w:val="-2"/>
        </w:rPr>
        <w:t xml:space="preserve"> </w:t>
      </w:r>
      <w:r>
        <w:t>al</w:t>
      </w:r>
      <w:r>
        <w:rPr>
          <w:spacing w:val="-2"/>
        </w:rPr>
        <w:t xml:space="preserve"> </w:t>
      </w:r>
      <w:r>
        <w:t>conflicto</w:t>
      </w:r>
      <w:r>
        <w:rPr>
          <w:spacing w:val="-2"/>
        </w:rPr>
        <w:t xml:space="preserve"> </w:t>
      </w:r>
      <w:r>
        <w:t>armado</w:t>
      </w:r>
      <w:r>
        <w:rPr>
          <w:spacing w:val="-2"/>
        </w:rPr>
        <w:t xml:space="preserve"> interno</w:t>
      </w:r>
      <w:bookmarkEnd w:id="1416"/>
    </w:p>
    <w:p w:rsidR="003804AC" w:rsidRDefault="00AF18A5" w:rsidP="000D370D">
      <w:r>
        <w:t>A</w:t>
      </w:r>
      <w:r>
        <w:rPr>
          <w:spacing w:val="-15"/>
        </w:rPr>
        <w:t xml:space="preserve"> </w:t>
      </w:r>
      <w:r>
        <w:t>esta</w:t>
      </w:r>
      <w:r>
        <w:rPr>
          <w:spacing w:val="-14"/>
        </w:rPr>
        <w:t xml:space="preserve"> </w:t>
      </w:r>
      <w:r>
        <w:t>tragedia,</w:t>
      </w:r>
      <w:r>
        <w:rPr>
          <w:spacing w:val="-14"/>
        </w:rPr>
        <w:t xml:space="preserve"> </w:t>
      </w:r>
      <w:r>
        <w:t>a</w:t>
      </w:r>
      <w:r>
        <w:rPr>
          <w:spacing w:val="-14"/>
        </w:rPr>
        <w:t xml:space="preserve"> </w:t>
      </w:r>
      <w:r>
        <w:t>este</w:t>
      </w:r>
      <w:r>
        <w:rPr>
          <w:spacing w:val="-14"/>
        </w:rPr>
        <w:t xml:space="preserve"> </w:t>
      </w:r>
      <w:r>
        <w:t>daño</w:t>
      </w:r>
      <w:r>
        <w:rPr>
          <w:spacing w:val="-14"/>
        </w:rPr>
        <w:t xml:space="preserve"> </w:t>
      </w:r>
      <w:r>
        <w:t>cultural</w:t>
      </w:r>
      <w:r>
        <w:rPr>
          <w:spacing w:val="-14"/>
        </w:rPr>
        <w:t xml:space="preserve"> </w:t>
      </w:r>
      <w:r>
        <w:t>producido</w:t>
      </w:r>
      <w:r>
        <w:rPr>
          <w:spacing w:val="-14"/>
        </w:rPr>
        <w:t xml:space="preserve"> </w:t>
      </w:r>
      <w:r>
        <w:t>por</w:t>
      </w:r>
      <w:r>
        <w:rPr>
          <w:spacing w:val="-15"/>
        </w:rPr>
        <w:t xml:space="preserve"> </w:t>
      </w:r>
      <w:r>
        <w:t>el</w:t>
      </w:r>
      <w:r>
        <w:rPr>
          <w:spacing w:val="-14"/>
        </w:rPr>
        <w:t xml:space="preserve"> </w:t>
      </w:r>
      <w:r>
        <w:t>conflicto</w:t>
      </w:r>
      <w:r>
        <w:rPr>
          <w:spacing w:val="-15"/>
        </w:rPr>
        <w:t xml:space="preserve"> </w:t>
      </w:r>
      <w:r>
        <w:t>armado</w:t>
      </w:r>
      <w:r>
        <w:rPr>
          <w:spacing w:val="-14"/>
        </w:rPr>
        <w:t xml:space="preserve"> </w:t>
      </w:r>
      <w:r>
        <w:t>extendido</w:t>
      </w:r>
      <w:r>
        <w:rPr>
          <w:spacing w:val="-14"/>
        </w:rPr>
        <w:t xml:space="preserve"> </w:t>
      </w:r>
      <w:r>
        <w:t>en</w:t>
      </w:r>
      <w:r>
        <w:rPr>
          <w:spacing w:val="-14"/>
        </w:rPr>
        <w:t xml:space="preserve"> </w:t>
      </w:r>
      <w:r>
        <w:t>el</w:t>
      </w:r>
      <w:r>
        <w:rPr>
          <w:spacing w:val="-14"/>
        </w:rPr>
        <w:t xml:space="preserve"> </w:t>
      </w:r>
      <w:r>
        <w:t xml:space="preserve">tiempo y en la geografía nacional, se han opuesto las comunidades con su coraje para resistir y </w:t>
      </w:r>
      <w:proofErr w:type="spellStart"/>
      <w:r>
        <w:t>reexistir</w:t>
      </w:r>
      <w:proofErr w:type="spellEnd"/>
      <w:r>
        <w:t xml:space="preserve"> en medio de las más difíciles circunstancias. Cabe destacar desde las actitudes individuales</w:t>
      </w:r>
      <w:r>
        <w:rPr>
          <w:spacing w:val="-10"/>
        </w:rPr>
        <w:t xml:space="preserve"> </w:t>
      </w:r>
      <w:r>
        <w:t>ejemplares</w:t>
      </w:r>
      <w:r>
        <w:rPr>
          <w:spacing w:val="-9"/>
        </w:rPr>
        <w:t xml:space="preserve"> </w:t>
      </w:r>
      <w:r>
        <w:t>hasta</w:t>
      </w:r>
      <w:r>
        <w:rPr>
          <w:spacing w:val="-9"/>
        </w:rPr>
        <w:t xml:space="preserve"> </w:t>
      </w:r>
      <w:r>
        <w:t>los</w:t>
      </w:r>
      <w:r>
        <w:rPr>
          <w:spacing w:val="-9"/>
        </w:rPr>
        <w:t xml:space="preserve"> </w:t>
      </w:r>
      <w:r>
        <w:t>más</w:t>
      </w:r>
      <w:r>
        <w:rPr>
          <w:spacing w:val="-9"/>
        </w:rPr>
        <w:t xml:space="preserve"> </w:t>
      </w:r>
      <w:r>
        <w:t>variados</w:t>
      </w:r>
      <w:r>
        <w:rPr>
          <w:spacing w:val="-9"/>
        </w:rPr>
        <w:t xml:space="preserve"> </w:t>
      </w:r>
      <w:r>
        <w:t>y</w:t>
      </w:r>
      <w:r>
        <w:rPr>
          <w:spacing w:val="-9"/>
        </w:rPr>
        <w:t xml:space="preserve"> </w:t>
      </w:r>
      <w:r>
        <w:t>ricos</w:t>
      </w:r>
      <w:r>
        <w:rPr>
          <w:spacing w:val="-9"/>
        </w:rPr>
        <w:t xml:space="preserve"> </w:t>
      </w:r>
      <w:r>
        <w:t>proyectos</w:t>
      </w:r>
      <w:r>
        <w:rPr>
          <w:spacing w:val="-9"/>
        </w:rPr>
        <w:t xml:space="preserve"> </w:t>
      </w:r>
      <w:r>
        <w:t>comunitarios</w:t>
      </w:r>
      <w:r>
        <w:rPr>
          <w:spacing w:val="-9"/>
        </w:rPr>
        <w:t xml:space="preserve"> </w:t>
      </w:r>
      <w:r>
        <w:t>y</w:t>
      </w:r>
      <w:r>
        <w:rPr>
          <w:spacing w:val="-9"/>
        </w:rPr>
        <w:t xml:space="preserve"> </w:t>
      </w:r>
      <w:r>
        <w:t>sociales</w:t>
      </w:r>
      <w:r>
        <w:rPr>
          <w:spacing w:val="-10"/>
        </w:rPr>
        <w:t xml:space="preserve"> </w:t>
      </w:r>
      <w:r>
        <w:t>que han permitido transitar de la conflictividad armada a la convivencia, y del dolor a la reconciliación.</w:t>
      </w:r>
      <w:r>
        <w:rPr>
          <w:spacing w:val="-3"/>
        </w:rPr>
        <w:t xml:space="preserve"> </w:t>
      </w:r>
      <w:r>
        <w:t>Mención específica merece la lucha de las organizaciones de víctimas y de las víctimas</w:t>
      </w:r>
      <w:r>
        <w:rPr>
          <w:spacing w:val="-2"/>
        </w:rPr>
        <w:t xml:space="preserve"> </w:t>
      </w:r>
      <w:r>
        <w:t>mismas, que</w:t>
      </w:r>
      <w:r>
        <w:rPr>
          <w:spacing w:val="-1"/>
        </w:rPr>
        <w:t xml:space="preserve"> </w:t>
      </w:r>
      <w:r>
        <w:t>han convertido su dolor</w:t>
      </w:r>
      <w:r>
        <w:rPr>
          <w:spacing w:val="-1"/>
        </w:rPr>
        <w:t xml:space="preserve"> </w:t>
      </w:r>
      <w:r>
        <w:t>en acción política, y</w:t>
      </w:r>
      <w:r>
        <w:rPr>
          <w:spacing w:val="-1"/>
        </w:rPr>
        <w:t xml:space="preserve"> </w:t>
      </w:r>
      <w:r>
        <w:t>se han constituido en ejemplo nacional por su capacidad de movilización, por el logro de leyes y una nueva institucionalidad;</w:t>
      </w:r>
      <w:r>
        <w:rPr>
          <w:spacing w:val="-12"/>
        </w:rPr>
        <w:t xml:space="preserve"> </w:t>
      </w:r>
      <w:r>
        <w:t>y</w:t>
      </w:r>
      <w:r>
        <w:rPr>
          <w:spacing w:val="-12"/>
        </w:rPr>
        <w:t xml:space="preserve"> </w:t>
      </w:r>
      <w:r>
        <w:t>por</w:t>
      </w:r>
      <w:r>
        <w:rPr>
          <w:spacing w:val="-12"/>
        </w:rPr>
        <w:t xml:space="preserve"> </w:t>
      </w:r>
      <w:r>
        <w:t>su</w:t>
      </w:r>
      <w:r>
        <w:rPr>
          <w:spacing w:val="-12"/>
        </w:rPr>
        <w:t xml:space="preserve"> </w:t>
      </w:r>
      <w:r>
        <w:t>altura</w:t>
      </w:r>
      <w:r>
        <w:rPr>
          <w:spacing w:val="-12"/>
        </w:rPr>
        <w:t xml:space="preserve"> </w:t>
      </w:r>
      <w:r>
        <w:t>moral,</w:t>
      </w:r>
      <w:r>
        <w:rPr>
          <w:spacing w:val="-12"/>
        </w:rPr>
        <w:t xml:space="preserve"> </w:t>
      </w:r>
      <w:r>
        <w:t>que</w:t>
      </w:r>
      <w:r>
        <w:rPr>
          <w:spacing w:val="-12"/>
        </w:rPr>
        <w:t xml:space="preserve"> </w:t>
      </w:r>
      <w:r>
        <w:t>nos</w:t>
      </w:r>
      <w:r>
        <w:rPr>
          <w:spacing w:val="-12"/>
        </w:rPr>
        <w:t xml:space="preserve"> </w:t>
      </w:r>
      <w:r>
        <w:t>enseña</w:t>
      </w:r>
      <w:r>
        <w:rPr>
          <w:spacing w:val="-12"/>
        </w:rPr>
        <w:t xml:space="preserve"> </w:t>
      </w:r>
      <w:r>
        <w:t>caminos</w:t>
      </w:r>
      <w:r>
        <w:rPr>
          <w:spacing w:val="-12"/>
        </w:rPr>
        <w:t xml:space="preserve"> </w:t>
      </w:r>
      <w:r>
        <w:t>para</w:t>
      </w:r>
      <w:r>
        <w:rPr>
          <w:spacing w:val="-12"/>
        </w:rPr>
        <w:t xml:space="preserve"> </w:t>
      </w:r>
      <w:r>
        <w:t>la</w:t>
      </w:r>
      <w:r>
        <w:rPr>
          <w:spacing w:val="-13"/>
        </w:rPr>
        <w:t xml:space="preserve"> </w:t>
      </w:r>
      <w:r>
        <w:t>reconciliación,</w:t>
      </w:r>
      <w:r>
        <w:rPr>
          <w:spacing w:val="-12"/>
        </w:rPr>
        <w:t xml:space="preserve"> </w:t>
      </w:r>
      <w:r>
        <w:t>la</w:t>
      </w:r>
      <w:r>
        <w:rPr>
          <w:spacing w:val="-12"/>
        </w:rPr>
        <w:t xml:space="preserve"> </w:t>
      </w:r>
      <w:r>
        <w:t xml:space="preserve">paz y el perdón. De todo ello hemos </w:t>
      </w:r>
      <w:r>
        <w:lastRenderedPageBreak/>
        <w:t>sido testigos en los encuentros de reconocimiento de responsabilidades que ha hecho la Comisión de la Verdad.</w:t>
      </w:r>
    </w:p>
    <w:p w:rsidR="003804AC" w:rsidRDefault="00AF18A5" w:rsidP="000D370D">
      <w:r>
        <w:t>Múltiples fuerzas democratizantes han actuado como inhibidores de la continuidad del conflicto armado. Entre ellas se destaca la movilización social y la acción política de la sociedad civil organizada, la cual ha emprendido desde años atrás acciones de resistencia pacífica,</w:t>
      </w:r>
      <w:r>
        <w:rPr>
          <w:spacing w:val="-4"/>
        </w:rPr>
        <w:t xml:space="preserve"> </w:t>
      </w:r>
      <w:r>
        <w:t>promoción</w:t>
      </w:r>
      <w:r>
        <w:rPr>
          <w:spacing w:val="-4"/>
        </w:rPr>
        <w:t xml:space="preserve"> </w:t>
      </w:r>
      <w:r>
        <w:t>de</w:t>
      </w:r>
      <w:r>
        <w:rPr>
          <w:spacing w:val="-3"/>
        </w:rPr>
        <w:t xml:space="preserve"> </w:t>
      </w:r>
      <w:r>
        <w:t>la</w:t>
      </w:r>
      <w:r>
        <w:rPr>
          <w:spacing w:val="-3"/>
        </w:rPr>
        <w:t xml:space="preserve"> </w:t>
      </w:r>
      <w:r>
        <w:t>cultura</w:t>
      </w:r>
      <w:r>
        <w:rPr>
          <w:spacing w:val="-3"/>
        </w:rPr>
        <w:t xml:space="preserve"> </w:t>
      </w:r>
      <w:r>
        <w:t>de</w:t>
      </w:r>
      <w:r>
        <w:rPr>
          <w:spacing w:val="-3"/>
        </w:rPr>
        <w:t xml:space="preserve"> </w:t>
      </w:r>
      <w:r>
        <w:t>los</w:t>
      </w:r>
      <w:r>
        <w:rPr>
          <w:spacing w:val="-3"/>
        </w:rPr>
        <w:t xml:space="preserve"> </w:t>
      </w:r>
      <w:r>
        <w:t>derechos</w:t>
      </w:r>
      <w:r>
        <w:rPr>
          <w:spacing w:val="-5"/>
        </w:rPr>
        <w:t xml:space="preserve"> </w:t>
      </w:r>
      <w:r>
        <w:t>humanos</w:t>
      </w:r>
      <w:r>
        <w:rPr>
          <w:spacing w:val="-3"/>
        </w:rPr>
        <w:t xml:space="preserve"> </w:t>
      </w:r>
      <w:r>
        <w:t>y</w:t>
      </w:r>
      <w:r>
        <w:rPr>
          <w:spacing w:val="-4"/>
        </w:rPr>
        <w:t xml:space="preserve"> </w:t>
      </w:r>
      <w:r>
        <w:t>el</w:t>
      </w:r>
      <w:r>
        <w:rPr>
          <w:spacing w:val="-3"/>
        </w:rPr>
        <w:t xml:space="preserve"> </w:t>
      </w:r>
      <w:r>
        <w:t>respeto</w:t>
      </w:r>
      <w:r>
        <w:rPr>
          <w:spacing w:val="-4"/>
        </w:rPr>
        <w:t xml:space="preserve"> </w:t>
      </w:r>
      <w:r>
        <w:t>por</w:t>
      </w:r>
      <w:r>
        <w:rPr>
          <w:spacing w:val="-3"/>
        </w:rPr>
        <w:t xml:space="preserve"> </w:t>
      </w:r>
      <w:r>
        <w:t>la</w:t>
      </w:r>
      <w:r>
        <w:rPr>
          <w:spacing w:val="-3"/>
        </w:rPr>
        <w:t xml:space="preserve"> </w:t>
      </w:r>
      <w:r>
        <w:t>vida.</w:t>
      </w:r>
      <w:r>
        <w:rPr>
          <w:spacing w:val="-4"/>
        </w:rPr>
        <w:t xml:space="preserve"> </w:t>
      </w:r>
      <w:r>
        <w:t>Además, acciones</w:t>
      </w:r>
      <w:r>
        <w:rPr>
          <w:spacing w:val="-15"/>
        </w:rPr>
        <w:t xml:space="preserve"> </w:t>
      </w:r>
      <w:r>
        <w:t>de</w:t>
      </w:r>
      <w:r>
        <w:rPr>
          <w:spacing w:val="-15"/>
        </w:rPr>
        <w:t xml:space="preserve"> </w:t>
      </w:r>
      <w:r>
        <w:t>memoria</w:t>
      </w:r>
      <w:r>
        <w:rPr>
          <w:spacing w:val="-15"/>
        </w:rPr>
        <w:t xml:space="preserve"> </w:t>
      </w:r>
      <w:r>
        <w:t>colectiva</w:t>
      </w:r>
      <w:r>
        <w:rPr>
          <w:spacing w:val="-15"/>
        </w:rPr>
        <w:t xml:space="preserve"> </w:t>
      </w:r>
      <w:r>
        <w:t>para</w:t>
      </w:r>
      <w:r>
        <w:rPr>
          <w:spacing w:val="-15"/>
        </w:rPr>
        <w:t xml:space="preserve"> </w:t>
      </w:r>
      <w:r>
        <w:t>comprender</w:t>
      </w:r>
      <w:r>
        <w:rPr>
          <w:spacing w:val="-15"/>
        </w:rPr>
        <w:t xml:space="preserve"> </w:t>
      </w:r>
      <w:r>
        <w:t>lo</w:t>
      </w:r>
      <w:r>
        <w:rPr>
          <w:spacing w:val="-15"/>
        </w:rPr>
        <w:t xml:space="preserve"> </w:t>
      </w:r>
      <w:r>
        <w:t>sucedido</w:t>
      </w:r>
      <w:r>
        <w:rPr>
          <w:spacing w:val="-15"/>
        </w:rPr>
        <w:t xml:space="preserve"> </w:t>
      </w:r>
      <w:r>
        <w:t>en</w:t>
      </w:r>
      <w:r>
        <w:rPr>
          <w:spacing w:val="-15"/>
        </w:rPr>
        <w:t xml:space="preserve"> </w:t>
      </w:r>
      <w:r>
        <w:t>el</w:t>
      </w:r>
      <w:r>
        <w:rPr>
          <w:spacing w:val="-15"/>
        </w:rPr>
        <w:t xml:space="preserve"> </w:t>
      </w:r>
      <w:r>
        <w:t>conflicto,</w:t>
      </w:r>
      <w:r>
        <w:rPr>
          <w:spacing w:val="-15"/>
        </w:rPr>
        <w:t xml:space="preserve"> </w:t>
      </w:r>
      <w:r>
        <w:t>apoyo</w:t>
      </w:r>
      <w:r>
        <w:rPr>
          <w:spacing w:val="-14"/>
        </w:rPr>
        <w:t xml:space="preserve"> </w:t>
      </w:r>
      <w:r>
        <w:t>a</w:t>
      </w:r>
      <w:r>
        <w:rPr>
          <w:spacing w:val="-15"/>
        </w:rPr>
        <w:t xml:space="preserve"> </w:t>
      </w:r>
      <w:r>
        <w:t>procesos locales y diferenciales de construcción de paz e iniciativas de defensa y veeduría de los acuerdos</w:t>
      </w:r>
      <w:r>
        <w:rPr>
          <w:spacing w:val="-8"/>
        </w:rPr>
        <w:t xml:space="preserve"> </w:t>
      </w:r>
      <w:r>
        <w:t>de</w:t>
      </w:r>
      <w:r>
        <w:rPr>
          <w:spacing w:val="-9"/>
        </w:rPr>
        <w:t xml:space="preserve"> </w:t>
      </w:r>
      <w:r>
        <w:t>paz.</w:t>
      </w:r>
      <w:r>
        <w:rPr>
          <w:spacing w:val="-8"/>
        </w:rPr>
        <w:t xml:space="preserve"> </w:t>
      </w:r>
      <w:r>
        <w:t>Se</w:t>
      </w:r>
      <w:r>
        <w:rPr>
          <w:spacing w:val="-8"/>
        </w:rPr>
        <w:t xml:space="preserve"> </w:t>
      </w:r>
      <w:r>
        <w:t>destacan</w:t>
      </w:r>
      <w:r>
        <w:rPr>
          <w:spacing w:val="-8"/>
        </w:rPr>
        <w:t xml:space="preserve"> </w:t>
      </w:r>
      <w:r>
        <w:t>también</w:t>
      </w:r>
      <w:r>
        <w:rPr>
          <w:spacing w:val="-8"/>
        </w:rPr>
        <w:t xml:space="preserve"> </w:t>
      </w:r>
      <w:r>
        <w:t>las</w:t>
      </w:r>
      <w:r>
        <w:rPr>
          <w:spacing w:val="-8"/>
        </w:rPr>
        <w:t xml:space="preserve"> </w:t>
      </w:r>
      <w:r>
        <w:t>capacidades</w:t>
      </w:r>
      <w:r>
        <w:rPr>
          <w:spacing w:val="-8"/>
        </w:rPr>
        <w:t xml:space="preserve"> </w:t>
      </w:r>
      <w:r>
        <w:t>de</w:t>
      </w:r>
      <w:r>
        <w:rPr>
          <w:spacing w:val="-9"/>
        </w:rPr>
        <w:t xml:space="preserve"> </w:t>
      </w:r>
      <w:r>
        <w:t>mediación</w:t>
      </w:r>
      <w:r>
        <w:rPr>
          <w:spacing w:val="-8"/>
        </w:rPr>
        <w:t xml:space="preserve"> </w:t>
      </w:r>
      <w:r>
        <w:t>de</w:t>
      </w:r>
      <w:r>
        <w:rPr>
          <w:spacing w:val="-8"/>
        </w:rPr>
        <w:t xml:space="preserve"> </w:t>
      </w:r>
      <w:r>
        <w:t>las</w:t>
      </w:r>
      <w:r>
        <w:rPr>
          <w:spacing w:val="-8"/>
        </w:rPr>
        <w:t xml:space="preserve"> </w:t>
      </w:r>
      <w:r>
        <w:t>organizaciones</w:t>
      </w:r>
      <w:r>
        <w:rPr>
          <w:spacing w:val="-8"/>
        </w:rPr>
        <w:t xml:space="preserve"> </w:t>
      </w:r>
      <w:r>
        <w:t>de mujeres, étnicas y campesinas, de la iglesia; de afrontamiento, agencia y reconstrucción del tejido</w:t>
      </w:r>
      <w:r>
        <w:rPr>
          <w:spacing w:val="50"/>
        </w:rPr>
        <w:t xml:space="preserve"> </w:t>
      </w:r>
      <w:r>
        <w:t>social,</w:t>
      </w:r>
      <w:r>
        <w:rPr>
          <w:spacing w:val="52"/>
        </w:rPr>
        <w:t xml:space="preserve"> </w:t>
      </w:r>
      <w:r>
        <w:t>y</w:t>
      </w:r>
      <w:r>
        <w:rPr>
          <w:spacing w:val="52"/>
        </w:rPr>
        <w:t xml:space="preserve"> </w:t>
      </w:r>
      <w:r>
        <w:t>el</w:t>
      </w:r>
      <w:r>
        <w:rPr>
          <w:spacing w:val="52"/>
        </w:rPr>
        <w:t xml:space="preserve"> </w:t>
      </w:r>
      <w:r>
        <w:t>fomento</w:t>
      </w:r>
      <w:r>
        <w:rPr>
          <w:spacing w:val="52"/>
        </w:rPr>
        <w:t xml:space="preserve"> </w:t>
      </w:r>
      <w:r>
        <w:t>de</w:t>
      </w:r>
      <w:r>
        <w:rPr>
          <w:spacing w:val="53"/>
        </w:rPr>
        <w:t xml:space="preserve"> </w:t>
      </w:r>
      <w:r>
        <w:t>diálogos</w:t>
      </w:r>
      <w:r>
        <w:rPr>
          <w:spacing w:val="52"/>
        </w:rPr>
        <w:t xml:space="preserve"> </w:t>
      </w:r>
      <w:r>
        <w:t>improbables</w:t>
      </w:r>
      <w:r>
        <w:rPr>
          <w:spacing w:val="52"/>
        </w:rPr>
        <w:t xml:space="preserve"> </w:t>
      </w:r>
      <w:r>
        <w:t>entre</w:t>
      </w:r>
      <w:r>
        <w:rPr>
          <w:spacing w:val="51"/>
        </w:rPr>
        <w:t xml:space="preserve"> </w:t>
      </w:r>
      <w:r>
        <w:t>sectores</w:t>
      </w:r>
      <w:r>
        <w:rPr>
          <w:spacing w:val="52"/>
        </w:rPr>
        <w:t xml:space="preserve"> </w:t>
      </w:r>
      <w:r>
        <w:t>heterogéneos.</w:t>
      </w:r>
      <w:r>
        <w:rPr>
          <w:spacing w:val="51"/>
        </w:rPr>
        <w:t xml:space="preserve"> </w:t>
      </w:r>
      <w:r>
        <w:rPr>
          <w:spacing w:val="-2"/>
        </w:rPr>
        <w:t>Estos</w:t>
      </w:r>
      <w:r w:rsidR="000D370D">
        <w:t xml:space="preserve"> </w:t>
      </w:r>
      <w:r>
        <w:t>procesos han dado como resultado pactos locales por la convivencia pacífica entre élites, actores armados, comunidades y organizaciones sociales, de los cuales los acuerdos humanitarios son un buen ejemplo.</w:t>
      </w:r>
    </w:p>
    <w:p w:rsidR="003804AC" w:rsidRDefault="00AF18A5" w:rsidP="000D370D">
      <w:r>
        <w:t>En el conflicto armado colombiano los medios han tenido un doble rol. Han sido aliados estratégicos</w:t>
      </w:r>
      <w:r>
        <w:rPr>
          <w:spacing w:val="-6"/>
        </w:rPr>
        <w:t xml:space="preserve"> </w:t>
      </w:r>
      <w:r>
        <w:t>para</w:t>
      </w:r>
      <w:r>
        <w:rPr>
          <w:spacing w:val="-5"/>
        </w:rPr>
        <w:t xml:space="preserve"> </w:t>
      </w:r>
      <w:r>
        <w:t>los</w:t>
      </w:r>
      <w:r>
        <w:rPr>
          <w:spacing w:val="-5"/>
        </w:rPr>
        <w:t xml:space="preserve"> </w:t>
      </w:r>
      <w:r>
        <w:t>procesos</w:t>
      </w:r>
      <w:r>
        <w:rPr>
          <w:spacing w:val="-5"/>
        </w:rPr>
        <w:t xml:space="preserve"> </w:t>
      </w:r>
      <w:r>
        <w:t>de</w:t>
      </w:r>
      <w:r>
        <w:rPr>
          <w:spacing w:val="-5"/>
        </w:rPr>
        <w:t xml:space="preserve"> </w:t>
      </w:r>
      <w:r>
        <w:t>construcción</w:t>
      </w:r>
      <w:r>
        <w:rPr>
          <w:spacing w:val="-5"/>
        </w:rPr>
        <w:t xml:space="preserve"> </w:t>
      </w:r>
      <w:r>
        <w:t>de</w:t>
      </w:r>
      <w:r>
        <w:rPr>
          <w:spacing w:val="-5"/>
        </w:rPr>
        <w:t xml:space="preserve"> </w:t>
      </w:r>
      <w:r>
        <w:t>ciudadanía</w:t>
      </w:r>
      <w:r>
        <w:rPr>
          <w:spacing w:val="-5"/>
        </w:rPr>
        <w:t xml:space="preserve"> </w:t>
      </w:r>
      <w:r>
        <w:t>y</w:t>
      </w:r>
      <w:r>
        <w:rPr>
          <w:spacing w:val="-5"/>
        </w:rPr>
        <w:t xml:space="preserve"> </w:t>
      </w:r>
      <w:r>
        <w:t>denuncia</w:t>
      </w:r>
      <w:r>
        <w:rPr>
          <w:spacing w:val="-5"/>
        </w:rPr>
        <w:t xml:space="preserve"> </w:t>
      </w:r>
      <w:r>
        <w:t>de</w:t>
      </w:r>
      <w:r>
        <w:rPr>
          <w:spacing w:val="-5"/>
        </w:rPr>
        <w:t xml:space="preserve"> </w:t>
      </w:r>
      <w:r>
        <w:t>los</w:t>
      </w:r>
      <w:r>
        <w:rPr>
          <w:spacing w:val="-5"/>
        </w:rPr>
        <w:t xml:space="preserve"> </w:t>
      </w:r>
      <w:r>
        <w:t>horrores</w:t>
      </w:r>
      <w:r>
        <w:rPr>
          <w:spacing w:val="-6"/>
        </w:rPr>
        <w:t xml:space="preserve"> </w:t>
      </w:r>
      <w:r>
        <w:t>y</w:t>
      </w:r>
      <w:r>
        <w:rPr>
          <w:spacing w:val="-5"/>
        </w:rPr>
        <w:t xml:space="preserve"> </w:t>
      </w:r>
      <w:r>
        <w:t>de los factores de persistencia de la guerra, pero en otros casos han estimulado la violencia a través</w:t>
      </w:r>
      <w:r>
        <w:rPr>
          <w:spacing w:val="-6"/>
        </w:rPr>
        <w:t xml:space="preserve"> </w:t>
      </w:r>
      <w:r>
        <w:t>de</w:t>
      </w:r>
      <w:r>
        <w:rPr>
          <w:spacing w:val="-6"/>
        </w:rPr>
        <w:t xml:space="preserve"> </w:t>
      </w:r>
      <w:r>
        <w:t>la</w:t>
      </w:r>
      <w:r>
        <w:rPr>
          <w:spacing w:val="-6"/>
        </w:rPr>
        <w:t xml:space="preserve"> </w:t>
      </w:r>
      <w:r>
        <w:t>estigmatización</w:t>
      </w:r>
      <w:r>
        <w:rPr>
          <w:spacing w:val="-5"/>
        </w:rPr>
        <w:t xml:space="preserve"> </w:t>
      </w:r>
      <w:r>
        <w:t>y</w:t>
      </w:r>
      <w:r>
        <w:rPr>
          <w:spacing w:val="-5"/>
        </w:rPr>
        <w:t xml:space="preserve"> </w:t>
      </w:r>
      <w:r>
        <w:t>del</w:t>
      </w:r>
      <w:r>
        <w:rPr>
          <w:spacing w:val="-4"/>
        </w:rPr>
        <w:t xml:space="preserve"> </w:t>
      </w:r>
      <w:r>
        <w:t>silenciamiento</w:t>
      </w:r>
      <w:r>
        <w:rPr>
          <w:spacing w:val="-7"/>
        </w:rPr>
        <w:t xml:space="preserve"> </w:t>
      </w:r>
      <w:r>
        <w:t>de</w:t>
      </w:r>
      <w:r>
        <w:rPr>
          <w:spacing w:val="-5"/>
        </w:rPr>
        <w:t xml:space="preserve"> </w:t>
      </w:r>
      <w:r>
        <w:t>algunos</w:t>
      </w:r>
      <w:r>
        <w:rPr>
          <w:spacing w:val="-6"/>
        </w:rPr>
        <w:t xml:space="preserve"> </w:t>
      </w:r>
      <w:r>
        <w:t>asuntos.</w:t>
      </w:r>
      <w:r>
        <w:rPr>
          <w:spacing w:val="-5"/>
        </w:rPr>
        <w:t xml:space="preserve"> </w:t>
      </w:r>
      <w:r w:rsidR="000D370D">
        <w:t>D</w:t>
      </w:r>
      <w:r>
        <w:t>e.</w:t>
      </w:r>
      <w:r>
        <w:rPr>
          <w:spacing w:val="-6"/>
        </w:rPr>
        <w:t xml:space="preserve"> </w:t>
      </w:r>
      <w:r>
        <w:t>Todo</w:t>
      </w:r>
      <w:r>
        <w:rPr>
          <w:spacing w:val="-5"/>
        </w:rPr>
        <w:t xml:space="preserve"> </w:t>
      </w:r>
      <w:r>
        <w:t>esto</w:t>
      </w:r>
      <w:r>
        <w:rPr>
          <w:spacing w:val="-6"/>
        </w:rPr>
        <w:t xml:space="preserve"> </w:t>
      </w:r>
      <w:r>
        <w:t>incide</w:t>
      </w:r>
      <w:r>
        <w:rPr>
          <w:spacing w:val="-5"/>
        </w:rPr>
        <w:t xml:space="preserve"> </w:t>
      </w:r>
      <w:r>
        <w:t>en la cultura, en el modo de relacionarnos.</w:t>
      </w:r>
    </w:p>
    <w:p w:rsidR="003804AC" w:rsidRDefault="00AF18A5" w:rsidP="000D370D">
      <w:r>
        <w:t>La cultura es un dispositivo que potencia el vínculo comunitario,</w:t>
      </w:r>
      <w:r>
        <w:rPr>
          <w:spacing w:val="-1"/>
        </w:rPr>
        <w:t xml:space="preserve"> </w:t>
      </w:r>
      <w:r>
        <w:t xml:space="preserve">el arraigo, la capacidad de defensa de las comunidades y su fortaleza para superar los traumas. A más identidad cultural, si está abierta a otros y tiene arraigo territorial, mayor capacidad de articulación y defensa </w:t>
      </w:r>
      <w:r>
        <w:lastRenderedPageBreak/>
        <w:t>comunitaria. Incluso en los momentos más duros de la guerra en Colombia, hubo campesinos que se atrevieron a recoger los cuerpos del río Cauca cuando estaba prohibido. Hubo quienes hicieron ceremonias por sus muertos cuando ni siquiera se podían nombrar. Quienes</w:t>
      </w:r>
      <w:r>
        <w:rPr>
          <w:spacing w:val="-5"/>
        </w:rPr>
        <w:t xml:space="preserve"> </w:t>
      </w:r>
      <w:r>
        <w:t>acogieron</w:t>
      </w:r>
      <w:r>
        <w:rPr>
          <w:spacing w:val="-5"/>
        </w:rPr>
        <w:t xml:space="preserve"> </w:t>
      </w:r>
      <w:r>
        <w:t>a</w:t>
      </w:r>
      <w:r>
        <w:rPr>
          <w:spacing w:val="-6"/>
        </w:rPr>
        <w:t xml:space="preserve"> </w:t>
      </w:r>
      <w:r>
        <w:t>las</w:t>
      </w:r>
      <w:r>
        <w:rPr>
          <w:spacing w:val="-6"/>
        </w:rPr>
        <w:t xml:space="preserve"> </w:t>
      </w:r>
      <w:r>
        <w:t>víctimas,</w:t>
      </w:r>
      <w:r>
        <w:rPr>
          <w:spacing w:val="-6"/>
        </w:rPr>
        <w:t xml:space="preserve"> </w:t>
      </w:r>
      <w:r>
        <w:t>a</w:t>
      </w:r>
      <w:r>
        <w:rPr>
          <w:spacing w:val="-5"/>
        </w:rPr>
        <w:t xml:space="preserve"> </w:t>
      </w:r>
      <w:r>
        <w:t>pesar</w:t>
      </w:r>
      <w:r>
        <w:rPr>
          <w:spacing w:val="-4"/>
        </w:rPr>
        <w:t xml:space="preserve"> </w:t>
      </w:r>
      <w:r>
        <w:t>de</w:t>
      </w:r>
      <w:r>
        <w:rPr>
          <w:spacing w:val="-6"/>
        </w:rPr>
        <w:t xml:space="preserve"> </w:t>
      </w:r>
      <w:r>
        <w:t>las</w:t>
      </w:r>
      <w:r>
        <w:rPr>
          <w:spacing w:val="-5"/>
        </w:rPr>
        <w:t xml:space="preserve"> </w:t>
      </w:r>
      <w:r>
        <w:t>amenazas.</w:t>
      </w:r>
      <w:r>
        <w:rPr>
          <w:spacing w:val="-5"/>
        </w:rPr>
        <w:t xml:space="preserve"> </w:t>
      </w:r>
      <w:r>
        <w:t>Por</w:t>
      </w:r>
      <w:r>
        <w:rPr>
          <w:spacing w:val="-4"/>
        </w:rPr>
        <w:t xml:space="preserve"> </w:t>
      </w:r>
      <w:r>
        <w:t>ejemplo,</w:t>
      </w:r>
      <w:r>
        <w:rPr>
          <w:spacing w:val="-5"/>
        </w:rPr>
        <w:t xml:space="preserve"> </w:t>
      </w:r>
      <w:r>
        <w:t>una</w:t>
      </w:r>
      <w:r>
        <w:rPr>
          <w:spacing w:val="-5"/>
        </w:rPr>
        <w:t xml:space="preserve"> </w:t>
      </w:r>
      <w:r>
        <w:t>hermana</w:t>
      </w:r>
      <w:r>
        <w:rPr>
          <w:spacing w:val="-6"/>
        </w:rPr>
        <w:t xml:space="preserve"> </w:t>
      </w:r>
      <w:r w:rsidR="000D370D">
        <w:pgNum/>
      </w:r>
      <w:r w:rsidR="000D370D">
        <w:t>aurita</w:t>
      </w:r>
      <w:r>
        <w:t xml:space="preserve"> que intervino por un hombre indígena ante un paramilitar: “No es con usted, hermana», le dijo</w:t>
      </w:r>
      <w:r>
        <w:rPr>
          <w:spacing w:val="-2"/>
        </w:rPr>
        <w:t xml:space="preserve"> </w:t>
      </w:r>
      <w:r>
        <w:t>el</w:t>
      </w:r>
      <w:r>
        <w:rPr>
          <w:spacing w:val="-2"/>
        </w:rPr>
        <w:t xml:space="preserve"> </w:t>
      </w:r>
      <w:r>
        <w:t>armado</w:t>
      </w:r>
      <w:r>
        <w:rPr>
          <w:spacing w:val="-2"/>
        </w:rPr>
        <w:t xml:space="preserve"> </w:t>
      </w:r>
      <w:r>
        <w:t>Y</w:t>
      </w:r>
      <w:r>
        <w:rPr>
          <w:spacing w:val="-3"/>
        </w:rPr>
        <w:t xml:space="preserve"> </w:t>
      </w:r>
      <w:r>
        <w:t>ella</w:t>
      </w:r>
      <w:r>
        <w:rPr>
          <w:spacing w:val="-2"/>
        </w:rPr>
        <w:t xml:space="preserve"> </w:t>
      </w:r>
      <w:r>
        <w:t>le</w:t>
      </w:r>
      <w:r>
        <w:rPr>
          <w:spacing w:val="-3"/>
        </w:rPr>
        <w:t xml:space="preserve"> </w:t>
      </w:r>
      <w:r>
        <w:t>contestó:</w:t>
      </w:r>
      <w:r>
        <w:rPr>
          <w:spacing w:val="-2"/>
        </w:rPr>
        <w:t xml:space="preserve"> </w:t>
      </w:r>
      <w:r>
        <w:t>«Se</w:t>
      </w:r>
      <w:r>
        <w:rPr>
          <w:spacing w:val="-2"/>
        </w:rPr>
        <w:t xml:space="preserve"> </w:t>
      </w:r>
      <w:r>
        <w:t>equivoca,</w:t>
      </w:r>
      <w:r>
        <w:rPr>
          <w:spacing w:val="-4"/>
        </w:rPr>
        <w:t xml:space="preserve"> </w:t>
      </w:r>
      <w:r>
        <w:t>sí</w:t>
      </w:r>
      <w:r>
        <w:rPr>
          <w:spacing w:val="-2"/>
        </w:rPr>
        <w:t xml:space="preserve"> </w:t>
      </w:r>
      <w:r>
        <w:t>es</w:t>
      </w:r>
      <w:r>
        <w:rPr>
          <w:spacing w:val="-2"/>
        </w:rPr>
        <w:t xml:space="preserve"> </w:t>
      </w:r>
      <w:r>
        <w:t>conmigo».</w:t>
      </w:r>
      <w:r>
        <w:rPr>
          <w:spacing w:val="-2"/>
        </w:rPr>
        <w:t xml:space="preserve"> </w:t>
      </w:r>
      <w:r>
        <w:t>Y</w:t>
      </w:r>
      <w:r>
        <w:rPr>
          <w:spacing w:val="-3"/>
        </w:rPr>
        <w:t xml:space="preserve"> </w:t>
      </w:r>
      <w:r>
        <w:t>no</w:t>
      </w:r>
      <w:r>
        <w:rPr>
          <w:spacing w:val="-2"/>
        </w:rPr>
        <w:t xml:space="preserve"> </w:t>
      </w:r>
      <w:r>
        <w:t>se</w:t>
      </w:r>
      <w:r>
        <w:rPr>
          <w:spacing w:val="-2"/>
        </w:rPr>
        <w:t xml:space="preserve"> </w:t>
      </w:r>
      <w:r>
        <w:t>movió</w:t>
      </w:r>
      <w:r>
        <w:rPr>
          <w:spacing w:val="-2"/>
        </w:rPr>
        <w:t xml:space="preserve"> </w:t>
      </w:r>
      <w:r>
        <w:t>hasta</w:t>
      </w:r>
      <w:r>
        <w:rPr>
          <w:spacing w:val="-3"/>
        </w:rPr>
        <w:t xml:space="preserve"> </w:t>
      </w:r>
      <w:r>
        <w:t>que</w:t>
      </w:r>
      <w:r>
        <w:rPr>
          <w:spacing w:val="-2"/>
        </w:rPr>
        <w:t xml:space="preserve"> </w:t>
      </w:r>
      <w:r>
        <w:t>se fueron juntos. La historia reciente de Colombia está llena de actos de tremendo valor, de gente que se atrevió a decir no al mandato de la confrontación y del olvido, y que reafirmó la solidaridad como valor que nos salva.</w:t>
      </w:r>
    </w:p>
    <w:p w:rsidR="003804AC" w:rsidRDefault="00AF18A5" w:rsidP="000D370D">
      <w:r>
        <w:t>A esta transformación positiva se suma de manera decidida el Sistema Integral para la Paz,</w:t>
      </w:r>
      <w:r>
        <w:rPr>
          <w:spacing w:val="-1"/>
        </w:rPr>
        <w:t xml:space="preserve"> </w:t>
      </w:r>
      <w:r>
        <w:t>cuyas</w:t>
      </w:r>
      <w:r>
        <w:rPr>
          <w:spacing w:val="-1"/>
        </w:rPr>
        <w:t xml:space="preserve"> </w:t>
      </w:r>
      <w:r>
        <w:t>«narrativas,</w:t>
      </w:r>
      <w:r>
        <w:rPr>
          <w:spacing w:val="-1"/>
        </w:rPr>
        <w:t xml:space="preserve"> </w:t>
      </w:r>
      <w:r>
        <w:t>que</w:t>
      </w:r>
      <w:r>
        <w:rPr>
          <w:spacing w:val="-1"/>
        </w:rPr>
        <w:t xml:space="preserve"> </w:t>
      </w:r>
      <w:r>
        <w:t>han</w:t>
      </w:r>
      <w:r>
        <w:rPr>
          <w:spacing w:val="-1"/>
        </w:rPr>
        <w:t xml:space="preserve"> </w:t>
      </w:r>
      <w:r>
        <w:t>empezado</w:t>
      </w:r>
      <w:r>
        <w:rPr>
          <w:spacing w:val="-1"/>
        </w:rPr>
        <w:t xml:space="preserve"> </w:t>
      </w:r>
      <w:r>
        <w:t>a</w:t>
      </w:r>
      <w:r>
        <w:rPr>
          <w:spacing w:val="-1"/>
        </w:rPr>
        <w:t xml:space="preserve"> </w:t>
      </w:r>
      <w:r>
        <w:t>circular</w:t>
      </w:r>
      <w:r>
        <w:rPr>
          <w:spacing w:val="-1"/>
        </w:rPr>
        <w:t xml:space="preserve"> </w:t>
      </w:r>
      <w:r>
        <w:t>por</w:t>
      </w:r>
      <w:r>
        <w:rPr>
          <w:spacing w:val="-1"/>
        </w:rPr>
        <w:t xml:space="preserve"> </w:t>
      </w:r>
      <w:r>
        <w:t>estas</w:t>
      </w:r>
      <w:r>
        <w:rPr>
          <w:spacing w:val="-2"/>
        </w:rPr>
        <w:t xml:space="preserve"> </w:t>
      </w:r>
      <w:r>
        <w:t>instancias</w:t>
      </w:r>
      <w:r>
        <w:rPr>
          <w:spacing w:val="-1"/>
        </w:rPr>
        <w:t xml:space="preserve"> </w:t>
      </w:r>
      <w:r>
        <w:t>de</w:t>
      </w:r>
      <w:r>
        <w:rPr>
          <w:spacing w:val="-1"/>
        </w:rPr>
        <w:t xml:space="preserve"> </w:t>
      </w:r>
      <w:r>
        <w:t>la</w:t>
      </w:r>
      <w:r>
        <w:rPr>
          <w:spacing w:val="-1"/>
        </w:rPr>
        <w:t xml:space="preserve"> </w:t>
      </w:r>
      <w:r>
        <w:t>justicia,</w:t>
      </w:r>
      <w:r>
        <w:rPr>
          <w:spacing w:val="-1"/>
        </w:rPr>
        <w:t xml:space="preserve"> </w:t>
      </w:r>
      <w:r>
        <w:t>serán un</w:t>
      </w:r>
      <w:r>
        <w:rPr>
          <w:spacing w:val="-5"/>
        </w:rPr>
        <w:t xml:space="preserve"> </w:t>
      </w:r>
      <w:r>
        <w:t>relato</w:t>
      </w:r>
      <w:r>
        <w:rPr>
          <w:spacing w:val="-5"/>
        </w:rPr>
        <w:t xml:space="preserve"> </w:t>
      </w:r>
      <w:r>
        <w:t>cultural</w:t>
      </w:r>
      <w:r>
        <w:rPr>
          <w:spacing w:val="-4"/>
        </w:rPr>
        <w:t xml:space="preserve"> </w:t>
      </w:r>
      <w:r>
        <w:t>de</w:t>
      </w:r>
      <w:r>
        <w:rPr>
          <w:spacing w:val="-5"/>
        </w:rPr>
        <w:t xml:space="preserve"> </w:t>
      </w:r>
      <w:r>
        <w:t>profundas</w:t>
      </w:r>
      <w:r>
        <w:rPr>
          <w:spacing w:val="-5"/>
        </w:rPr>
        <w:t xml:space="preserve"> </w:t>
      </w:r>
      <w:r>
        <w:t>implicaciones,</w:t>
      </w:r>
      <w:r>
        <w:rPr>
          <w:spacing w:val="-5"/>
        </w:rPr>
        <w:t xml:space="preserve"> </w:t>
      </w:r>
      <w:r>
        <w:t>ya</w:t>
      </w:r>
      <w:r>
        <w:rPr>
          <w:spacing w:val="-5"/>
        </w:rPr>
        <w:t xml:space="preserve"> </w:t>
      </w:r>
      <w:r>
        <w:t>sea</w:t>
      </w:r>
      <w:r>
        <w:rPr>
          <w:spacing w:val="-5"/>
        </w:rPr>
        <w:t xml:space="preserve"> </w:t>
      </w:r>
      <w:r>
        <w:t>por</w:t>
      </w:r>
      <w:r>
        <w:rPr>
          <w:spacing w:val="-4"/>
        </w:rPr>
        <w:t xml:space="preserve"> </w:t>
      </w:r>
      <w:r>
        <w:t>sus</w:t>
      </w:r>
      <w:r>
        <w:rPr>
          <w:spacing w:val="-5"/>
        </w:rPr>
        <w:t xml:space="preserve"> </w:t>
      </w:r>
      <w:r>
        <w:t>propios</w:t>
      </w:r>
      <w:r>
        <w:rPr>
          <w:spacing w:val="-5"/>
        </w:rPr>
        <w:t xml:space="preserve"> </w:t>
      </w:r>
      <w:r>
        <w:t>textos</w:t>
      </w:r>
      <w:r>
        <w:rPr>
          <w:spacing w:val="-5"/>
        </w:rPr>
        <w:t xml:space="preserve"> </w:t>
      </w:r>
      <w:r>
        <w:t>de</w:t>
      </w:r>
      <w:r>
        <w:rPr>
          <w:spacing w:val="-5"/>
        </w:rPr>
        <w:t xml:space="preserve"> </w:t>
      </w:r>
      <w:r>
        <w:t>verdad,</w:t>
      </w:r>
      <w:r>
        <w:rPr>
          <w:spacing w:val="-5"/>
        </w:rPr>
        <w:t xml:space="preserve"> </w:t>
      </w:r>
      <w:r>
        <w:t>como por</w:t>
      </w:r>
      <w:r>
        <w:rPr>
          <w:spacing w:val="-6"/>
        </w:rPr>
        <w:t xml:space="preserve"> </w:t>
      </w:r>
      <w:r>
        <w:t>lo</w:t>
      </w:r>
      <w:r>
        <w:rPr>
          <w:spacing w:val="-6"/>
        </w:rPr>
        <w:t xml:space="preserve"> </w:t>
      </w:r>
      <w:r>
        <w:t>que</w:t>
      </w:r>
      <w:r>
        <w:rPr>
          <w:spacing w:val="-6"/>
        </w:rPr>
        <w:t xml:space="preserve"> </w:t>
      </w:r>
      <w:r>
        <w:t>ellos</w:t>
      </w:r>
      <w:r>
        <w:rPr>
          <w:spacing w:val="-6"/>
        </w:rPr>
        <w:t xml:space="preserve"> </w:t>
      </w:r>
      <w:r>
        <w:t>implican</w:t>
      </w:r>
      <w:r>
        <w:rPr>
          <w:spacing w:val="-7"/>
        </w:rPr>
        <w:t xml:space="preserve"> </w:t>
      </w:r>
      <w:r>
        <w:t>a</w:t>
      </w:r>
      <w:r>
        <w:rPr>
          <w:spacing w:val="-6"/>
        </w:rPr>
        <w:t xml:space="preserve"> </w:t>
      </w:r>
      <w:r>
        <w:t>los</w:t>
      </w:r>
      <w:r>
        <w:rPr>
          <w:spacing w:val="-6"/>
        </w:rPr>
        <w:t xml:space="preserve"> </w:t>
      </w:r>
      <w:r>
        <w:t>valores</w:t>
      </w:r>
      <w:r>
        <w:rPr>
          <w:spacing w:val="-6"/>
        </w:rPr>
        <w:t xml:space="preserve"> </w:t>
      </w:r>
      <w:r>
        <w:t>de</w:t>
      </w:r>
      <w:r>
        <w:rPr>
          <w:spacing w:val="-6"/>
        </w:rPr>
        <w:t xml:space="preserve"> </w:t>
      </w:r>
      <w:r>
        <w:t>la</w:t>
      </w:r>
      <w:r>
        <w:rPr>
          <w:spacing w:val="-6"/>
        </w:rPr>
        <w:t xml:space="preserve"> </w:t>
      </w:r>
      <w:r>
        <w:t>sociedad,</w:t>
      </w:r>
      <w:r>
        <w:rPr>
          <w:spacing w:val="-6"/>
        </w:rPr>
        <w:t xml:space="preserve"> </w:t>
      </w:r>
      <w:r>
        <w:t>escribió</w:t>
      </w:r>
      <w:r>
        <w:rPr>
          <w:spacing w:val="-7"/>
        </w:rPr>
        <w:t xml:space="preserve"> </w:t>
      </w:r>
      <w:r>
        <w:t>Germán</w:t>
      </w:r>
      <w:r>
        <w:rPr>
          <w:spacing w:val="-6"/>
        </w:rPr>
        <w:t xml:space="preserve"> </w:t>
      </w:r>
      <w:r>
        <w:t>Rey.</w:t>
      </w:r>
      <w:r>
        <w:rPr>
          <w:spacing w:val="-6"/>
        </w:rPr>
        <w:t xml:space="preserve"> </w:t>
      </w:r>
      <w:r>
        <w:t>En</w:t>
      </w:r>
      <w:r>
        <w:rPr>
          <w:spacing w:val="-6"/>
        </w:rPr>
        <w:t xml:space="preserve"> </w:t>
      </w:r>
      <w:r>
        <w:t>su</w:t>
      </w:r>
      <w:r>
        <w:rPr>
          <w:spacing w:val="-6"/>
        </w:rPr>
        <w:t xml:space="preserve"> </w:t>
      </w:r>
      <w:r>
        <w:t>operación inicial, las tres instituciones (la Comisión de la Verdad, la Jurisdicción Especial para la Paz y</w:t>
      </w:r>
      <w:r>
        <w:rPr>
          <w:spacing w:val="-4"/>
        </w:rPr>
        <w:t xml:space="preserve"> </w:t>
      </w:r>
      <w:r>
        <w:t>la</w:t>
      </w:r>
      <w:r>
        <w:rPr>
          <w:spacing w:val="-3"/>
        </w:rPr>
        <w:t xml:space="preserve"> </w:t>
      </w:r>
      <w:r>
        <w:t>Unidad</w:t>
      </w:r>
      <w:r>
        <w:rPr>
          <w:spacing w:val="-5"/>
        </w:rPr>
        <w:t xml:space="preserve"> </w:t>
      </w:r>
      <w:r>
        <w:t>de</w:t>
      </w:r>
      <w:r>
        <w:rPr>
          <w:spacing w:val="-3"/>
        </w:rPr>
        <w:t xml:space="preserve"> </w:t>
      </w:r>
      <w:r>
        <w:t>Búsqueda</w:t>
      </w:r>
      <w:r>
        <w:rPr>
          <w:spacing w:val="-3"/>
        </w:rPr>
        <w:t xml:space="preserve"> </w:t>
      </w:r>
      <w:r>
        <w:t>de</w:t>
      </w:r>
      <w:r>
        <w:rPr>
          <w:spacing w:val="-3"/>
        </w:rPr>
        <w:t xml:space="preserve"> </w:t>
      </w:r>
      <w:r>
        <w:t>Personas</w:t>
      </w:r>
      <w:r>
        <w:rPr>
          <w:spacing w:val="-4"/>
        </w:rPr>
        <w:t xml:space="preserve"> </w:t>
      </w:r>
      <w:r>
        <w:t>dadas</w:t>
      </w:r>
      <w:r>
        <w:rPr>
          <w:spacing w:val="-3"/>
        </w:rPr>
        <w:t xml:space="preserve"> </w:t>
      </w:r>
      <w:r>
        <w:t>por</w:t>
      </w:r>
      <w:r>
        <w:rPr>
          <w:spacing w:val="-6"/>
        </w:rPr>
        <w:t xml:space="preserve"> </w:t>
      </w:r>
      <w:r>
        <w:t>Desaparecidas),</w:t>
      </w:r>
      <w:r>
        <w:rPr>
          <w:spacing w:val="-4"/>
        </w:rPr>
        <w:t xml:space="preserve"> </w:t>
      </w:r>
      <w:r>
        <w:t>ya</w:t>
      </w:r>
      <w:r>
        <w:rPr>
          <w:spacing w:val="-3"/>
        </w:rPr>
        <w:t xml:space="preserve"> </w:t>
      </w:r>
      <w:r>
        <w:t>han</w:t>
      </w:r>
      <w:r>
        <w:rPr>
          <w:spacing w:val="-5"/>
        </w:rPr>
        <w:t xml:space="preserve"> </w:t>
      </w:r>
      <w:r>
        <w:t>empezado</w:t>
      </w:r>
      <w:r>
        <w:rPr>
          <w:spacing w:val="-4"/>
        </w:rPr>
        <w:t xml:space="preserve"> </w:t>
      </w:r>
      <w:r>
        <w:t>a</w:t>
      </w:r>
      <w:r>
        <w:rPr>
          <w:spacing w:val="-5"/>
        </w:rPr>
        <w:t xml:space="preserve"> </w:t>
      </w:r>
      <w:r>
        <w:t>generar modos</w:t>
      </w:r>
      <w:r>
        <w:rPr>
          <w:spacing w:val="-12"/>
        </w:rPr>
        <w:t xml:space="preserve"> </w:t>
      </w:r>
      <w:r>
        <w:t>culturales</w:t>
      </w:r>
      <w:r>
        <w:rPr>
          <w:spacing w:val="-12"/>
        </w:rPr>
        <w:t xml:space="preserve"> </w:t>
      </w:r>
      <w:r>
        <w:t>de</w:t>
      </w:r>
      <w:r>
        <w:rPr>
          <w:spacing w:val="-12"/>
        </w:rPr>
        <w:t xml:space="preserve"> </w:t>
      </w:r>
      <w:r>
        <w:t>representación</w:t>
      </w:r>
      <w:r>
        <w:rPr>
          <w:spacing w:val="-12"/>
        </w:rPr>
        <w:t xml:space="preserve"> </w:t>
      </w:r>
      <w:r>
        <w:t>de</w:t>
      </w:r>
      <w:r>
        <w:rPr>
          <w:spacing w:val="-12"/>
        </w:rPr>
        <w:t xml:space="preserve"> </w:t>
      </w:r>
      <w:r>
        <w:t>la</w:t>
      </w:r>
      <w:r>
        <w:rPr>
          <w:spacing w:val="-12"/>
        </w:rPr>
        <w:t xml:space="preserve"> </w:t>
      </w:r>
      <w:r>
        <w:t>verdad.</w:t>
      </w:r>
      <w:r>
        <w:rPr>
          <w:spacing w:val="-12"/>
        </w:rPr>
        <w:t xml:space="preserve"> </w:t>
      </w:r>
      <w:r>
        <w:t>Todo</w:t>
      </w:r>
      <w:r>
        <w:rPr>
          <w:spacing w:val="-12"/>
        </w:rPr>
        <w:t xml:space="preserve"> </w:t>
      </w:r>
      <w:r>
        <w:t>este</w:t>
      </w:r>
      <w:r>
        <w:rPr>
          <w:spacing w:val="-12"/>
        </w:rPr>
        <w:t xml:space="preserve"> </w:t>
      </w:r>
      <w:r>
        <w:t>acervo</w:t>
      </w:r>
      <w:r>
        <w:rPr>
          <w:spacing w:val="-12"/>
        </w:rPr>
        <w:t xml:space="preserve"> </w:t>
      </w:r>
      <w:r>
        <w:t>cultural</w:t>
      </w:r>
      <w:r>
        <w:rPr>
          <w:spacing w:val="-13"/>
        </w:rPr>
        <w:t xml:space="preserve"> </w:t>
      </w:r>
      <w:r>
        <w:t>acompaña</w:t>
      </w:r>
      <w:r>
        <w:rPr>
          <w:spacing w:val="-12"/>
        </w:rPr>
        <w:t xml:space="preserve"> </w:t>
      </w:r>
      <w:r>
        <w:t>la</w:t>
      </w:r>
      <w:r>
        <w:rPr>
          <w:spacing w:val="-12"/>
        </w:rPr>
        <w:t xml:space="preserve"> </w:t>
      </w:r>
      <w:r>
        <w:t>tarea jurídica, la investigación criminal y la exploración extrajudicial.</w:t>
      </w:r>
    </w:p>
    <w:p w:rsidR="003804AC" w:rsidRDefault="00AF18A5" w:rsidP="000D370D">
      <w:r>
        <w:t>Los alabaos, el bullerengue, el punk, el rap y muchos otros ritmos, han dado cuenta por años del sufrimiento de</w:t>
      </w:r>
      <w:r>
        <w:rPr>
          <w:spacing w:val="-1"/>
        </w:rPr>
        <w:t xml:space="preserve"> </w:t>
      </w:r>
      <w:r>
        <w:t>las comunidades en el marco de la guerra, pero también han</w:t>
      </w:r>
      <w:r>
        <w:rPr>
          <w:spacing w:val="-1"/>
        </w:rPr>
        <w:t xml:space="preserve"> </w:t>
      </w:r>
      <w:r>
        <w:t>sido su voz y su soporte para resistir y oponerse a la guerra. En los bailes y festividades las comunidades</w:t>
      </w:r>
      <w:r>
        <w:rPr>
          <w:spacing w:val="-7"/>
        </w:rPr>
        <w:t xml:space="preserve"> </w:t>
      </w:r>
      <w:r>
        <w:t>refirman</w:t>
      </w:r>
      <w:r>
        <w:rPr>
          <w:spacing w:val="-7"/>
        </w:rPr>
        <w:t xml:space="preserve"> </w:t>
      </w:r>
      <w:r>
        <w:t>sus</w:t>
      </w:r>
      <w:r>
        <w:rPr>
          <w:spacing w:val="-7"/>
        </w:rPr>
        <w:t xml:space="preserve"> </w:t>
      </w:r>
      <w:r>
        <w:t>fortalezas</w:t>
      </w:r>
      <w:r>
        <w:rPr>
          <w:spacing w:val="-8"/>
        </w:rPr>
        <w:t xml:space="preserve"> </w:t>
      </w:r>
      <w:r>
        <w:t>y</w:t>
      </w:r>
      <w:r>
        <w:rPr>
          <w:spacing w:val="-7"/>
        </w:rPr>
        <w:t xml:space="preserve"> </w:t>
      </w:r>
      <w:r>
        <w:t>espantan</w:t>
      </w:r>
      <w:r>
        <w:rPr>
          <w:spacing w:val="-7"/>
        </w:rPr>
        <w:t xml:space="preserve"> </w:t>
      </w:r>
      <w:r>
        <w:t>la</w:t>
      </w:r>
      <w:r>
        <w:rPr>
          <w:spacing w:val="-7"/>
        </w:rPr>
        <w:t xml:space="preserve"> </w:t>
      </w:r>
      <w:r>
        <w:t>tristeza.</w:t>
      </w:r>
      <w:r>
        <w:rPr>
          <w:spacing w:val="-7"/>
        </w:rPr>
        <w:t xml:space="preserve"> </w:t>
      </w:r>
      <w:r>
        <w:t>El</w:t>
      </w:r>
      <w:r>
        <w:rPr>
          <w:spacing w:val="-8"/>
        </w:rPr>
        <w:t xml:space="preserve"> </w:t>
      </w:r>
      <w:r>
        <w:t>teatro,</w:t>
      </w:r>
      <w:r>
        <w:rPr>
          <w:spacing w:val="-7"/>
        </w:rPr>
        <w:t xml:space="preserve"> </w:t>
      </w:r>
      <w:r>
        <w:t>el</w:t>
      </w:r>
      <w:r>
        <w:rPr>
          <w:spacing w:val="-7"/>
        </w:rPr>
        <w:t xml:space="preserve"> </w:t>
      </w:r>
      <w:r>
        <w:t>cine,</w:t>
      </w:r>
      <w:r>
        <w:rPr>
          <w:spacing w:val="-7"/>
        </w:rPr>
        <w:t xml:space="preserve"> </w:t>
      </w:r>
      <w:r>
        <w:t>la</w:t>
      </w:r>
      <w:r>
        <w:rPr>
          <w:spacing w:val="-7"/>
        </w:rPr>
        <w:t xml:space="preserve"> </w:t>
      </w:r>
      <w:r>
        <w:t>literatura</w:t>
      </w:r>
      <w:r>
        <w:rPr>
          <w:spacing w:val="-7"/>
        </w:rPr>
        <w:t xml:space="preserve"> </w:t>
      </w:r>
      <w:r>
        <w:t>y</w:t>
      </w:r>
      <w:r>
        <w:rPr>
          <w:spacing w:val="-7"/>
        </w:rPr>
        <w:t xml:space="preserve"> </w:t>
      </w:r>
      <w:r>
        <w:t>la fotografía</w:t>
      </w:r>
      <w:r>
        <w:rPr>
          <w:spacing w:val="-8"/>
        </w:rPr>
        <w:t xml:space="preserve"> </w:t>
      </w:r>
      <w:r>
        <w:t>nos</w:t>
      </w:r>
      <w:r>
        <w:rPr>
          <w:spacing w:val="-8"/>
        </w:rPr>
        <w:t xml:space="preserve"> </w:t>
      </w:r>
      <w:r>
        <w:t>ha</w:t>
      </w:r>
      <w:r>
        <w:rPr>
          <w:spacing w:val="-8"/>
        </w:rPr>
        <w:t xml:space="preserve"> </w:t>
      </w:r>
      <w:r>
        <w:t>permitido</w:t>
      </w:r>
      <w:r>
        <w:rPr>
          <w:spacing w:val="-8"/>
        </w:rPr>
        <w:t xml:space="preserve"> </w:t>
      </w:r>
      <w:r>
        <w:t>conocer</w:t>
      </w:r>
      <w:r>
        <w:rPr>
          <w:spacing w:val="-9"/>
        </w:rPr>
        <w:t xml:space="preserve"> </w:t>
      </w:r>
      <w:r>
        <w:t>la</w:t>
      </w:r>
      <w:r>
        <w:rPr>
          <w:spacing w:val="-8"/>
        </w:rPr>
        <w:t xml:space="preserve"> </w:t>
      </w:r>
      <w:r>
        <w:t>dura</w:t>
      </w:r>
      <w:r>
        <w:rPr>
          <w:spacing w:val="-8"/>
        </w:rPr>
        <w:t xml:space="preserve"> </w:t>
      </w:r>
      <w:r>
        <w:t>realidad</w:t>
      </w:r>
      <w:r>
        <w:rPr>
          <w:spacing w:val="-8"/>
        </w:rPr>
        <w:t xml:space="preserve"> </w:t>
      </w:r>
      <w:r>
        <w:t>de</w:t>
      </w:r>
      <w:r>
        <w:rPr>
          <w:spacing w:val="-8"/>
        </w:rPr>
        <w:t xml:space="preserve"> </w:t>
      </w:r>
      <w:r>
        <w:t>los</w:t>
      </w:r>
      <w:r>
        <w:rPr>
          <w:spacing w:val="-8"/>
        </w:rPr>
        <w:t xml:space="preserve"> </w:t>
      </w:r>
      <w:r>
        <w:lastRenderedPageBreak/>
        <w:t>otros</w:t>
      </w:r>
      <w:r>
        <w:rPr>
          <w:spacing w:val="-8"/>
        </w:rPr>
        <w:t xml:space="preserve"> </w:t>
      </w:r>
      <w:r>
        <w:t>y</w:t>
      </w:r>
      <w:r>
        <w:rPr>
          <w:spacing w:val="-8"/>
        </w:rPr>
        <w:t xml:space="preserve"> </w:t>
      </w:r>
      <w:r>
        <w:t>desatar</w:t>
      </w:r>
      <w:r>
        <w:rPr>
          <w:spacing w:val="-9"/>
        </w:rPr>
        <w:t xml:space="preserve"> </w:t>
      </w:r>
      <w:r>
        <w:t>la</w:t>
      </w:r>
      <w:r>
        <w:rPr>
          <w:spacing w:val="-8"/>
        </w:rPr>
        <w:t xml:space="preserve"> </w:t>
      </w:r>
      <w:r>
        <w:t>empatía</w:t>
      </w:r>
      <w:r>
        <w:rPr>
          <w:spacing w:val="-8"/>
        </w:rPr>
        <w:t xml:space="preserve"> </w:t>
      </w:r>
      <w:r>
        <w:t>que</w:t>
      </w:r>
      <w:r>
        <w:rPr>
          <w:spacing w:val="-8"/>
        </w:rPr>
        <w:t xml:space="preserve"> </w:t>
      </w:r>
      <w:r>
        <w:t>nos hace</w:t>
      </w:r>
      <w:r>
        <w:rPr>
          <w:spacing w:val="-7"/>
        </w:rPr>
        <w:t xml:space="preserve"> </w:t>
      </w:r>
      <w:r>
        <w:t>miembros</w:t>
      </w:r>
      <w:r>
        <w:rPr>
          <w:spacing w:val="-7"/>
        </w:rPr>
        <w:t xml:space="preserve"> </w:t>
      </w:r>
      <w:r>
        <w:t>de</w:t>
      </w:r>
      <w:r>
        <w:rPr>
          <w:spacing w:val="-7"/>
        </w:rPr>
        <w:t xml:space="preserve"> </w:t>
      </w:r>
      <w:r>
        <w:t>una</w:t>
      </w:r>
      <w:r>
        <w:rPr>
          <w:spacing w:val="-7"/>
        </w:rPr>
        <w:t xml:space="preserve"> </w:t>
      </w:r>
      <w:r>
        <w:t>misma</w:t>
      </w:r>
      <w:r>
        <w:rPr>
          <w:spacing w:val="-7"/>
        </w:rPr>
        <w:t xml:space="preserve"> </w:t>
      </w:r>
      <w:r>
        <w:t>comunidad.</w:t>
      </w:r>
      <w:r>
        <w:rPr>
          <w:spacing w:val="-7"/>
        </w:rPr>
        <w:t xml:space="preserve"> </w:t>
      </w:r>
      <w:r>
        <w:t>El</w:t>
      </w:r>
      <w:r>
        <w:rPr>
          <w:spacing w:val="-7"/>
        </w:rPr>
        <w:t xml:space="preserve"> </w:t>
      </w:r>
      <w:r>
        <w:t>arte</w:t>
      </w:r>
      <w:r>
        <w:rPr>
          <w:spacing w:val="-8"/>
        </w:rPr>
        <w:t xml:space="preserve"> </w:t>
      </w:r>
      <w:r>
        <w:t>nos</w:t>
      </w:r>
      <w:r>
        <w:rPr>
          <w:spacing w:val="-7"/>
        </w:rPr>
        <w:t xml:space="preserve"> </w:t>
      </w:r>
      <w:r>
        <w:t>he</w:t>
      </w:r>
      <w:r>
        <w:rPr>
          <w:spacing w:val="-7"/>
        </w:rPr>
        <w:t xml:space="preserve"> </w:t>
      </w:r>
      <w:r>
        <w:t>permitido</w:t>
      </w:r>
      <w:r>
        <w:rPr>
          <w:spacing w:val="-7"/>
        </w:rPr>
        <w:t xml:space="preserve"> </w:t>
      </w:r>
      <w:r>
        <w:t>nombra</w:t>
      </w:r>
      <w:r>
        <w:rPr>
          <w:spacing w:val="-7"/>
        </w:rPr>
        <w:t xml:space="preserve"> </w:t>
      </w:r>
      <w:r>
        <w:t>lo</w:t>
      </w:r>
      <w:r>
        <w:rPr>
          <w:spacing w:val="-7"/>
        </w:rPr>
        <w:t xml:space="preserve"> </w:t>
      </w:r>
      <w:r>
        <w:t>innombrable</w:t>
      </w:r>
      <w:r>
        <w:rPr>
          <w:spacing w:val="-7"/>
        </w:rPr>
        <w:t xml:space="preserve"> </w:t>
      </w:r>
      <w:r>
        <w:t>y hacer visible lo invisible.</w:t>
      </w:r>
    </w:p>
    <w:p w:rsidR="003804AC" w:rsidRDefault="00AF18A5" w:rsidP="004A6EF4">
      <w:pPr>
        <w:pStyle w:val="Ttulo3"/>
        <w:numPr>
          <w:ilvl w:val="1"/>
          <w:numId w:val="16"/>
        </w:numPr>
      </w:pPr>
      <w:bookmarkStart w:id="1417" w:name="10.13._Los_dispositivos_y_discursos_de_r"/>
      <w:bookmarkStart w:id="1418" w:name="_Toc112399664"/>
      <w:bookmarkEnd w:id="1417"/>
      <w:r>
        <w:t xml:space="preserve">Los </w:t>
      </w:r>
      <w:r w:rsidRPr="000D370D">
        <w:t>dispositivos</w:t>
      </w:r>
      <w:r>
        <w:t xml:space="preserve"> y discursos de reedición de la cultura que han perpetuado y o permitido superar las causas del conflicto armado: un llamado a la transformación</w:t>
      </w:r>
      <w:bookmarkEnd w:id="1418"/>
    </w:p>
    <w:p w:rsidR="003804AC" w:rsidRDefault="00AF18A5" w:rsidP="005C39CB">
      <w:r>
        <w:t>Ningún cambio cultural se da de la noche a la mañana y sin una conciencia social favorable y proactiva, que actúa a pesar de la desesperanza instalada. Por ello llamamos la atención sobre</w:t>
      </w:r>
      <w:r>
        <w:rPr>
          <w:spacing w:val="-15"/>
        </w:rPr>
        <w:t xml:space="preserve"> </w:t>
      </w:r>
      <w:r>
        <w:t>los</w:t>
      </w:r>
      <w:r>
        <w:rPr>
          <w:spacing w:val="-15"/>
        </w:rPr>
        <w:t xml:space="preserve"> </w:t>
      </w:r>
      <w:r>
        <w:t>principales</w:t>
      </w:r>
      <w:r>
        <w:rPr>
          <w:spacing w:val="-14"/>
        </w:rPr>
        <w:t xml:space="preserve"> </w:t>
      </w:r>
      <w:r>
        <w:t>dispositivos</w:t>
      </w:r>
      <w:r>
        <w:rPr>
          <w:spacing w:val="-15"/>
        </w:rPr>
        <w:t xml:space="preserve"> </w:t>
      </w:r>
      <w:r>
        <w:t>a</w:t>
      </w:r>
      <w:r>
        <w:rPr>
          <w:spacing w:val="-15"/>
        </w:rPr>
        <w:t xml:space="preserve"> </w:t>
      </w:r>
      <w:r>
        <w:t>través</w:t>
      </w:r>
      <w:r>
        <w:rPr>
          <w:spacing w:val="-14"/>
        </w:rPr>
        <w:t xml:space="preserve"> </w:t>
      </w:r>
      <w:r>
        <w:t>de</w:t>
      </w:r>
      <w:r>
        <w:rPr>
          <w:spacing w:val="-15"/>
        </w:rPr>
        <w:t xml:space="preserve"> </w:t>
      </w:r>
      <w:r>
        <w:t>los</w:t>
      </w:r>
      <w:r>
        <w:rPr>
          <w:spacing w:val="-15"/>
        </w:rPr>
        <w:t xml:space="preserve"> </w:t>
      </w:r>
      <w:r>
        <w:t>cuales</w:t>
      </w:r>
      <w:r>
        <w:rPr>
          <w:spacing w:val="-15"/>
        </w:rPr>
        <w:t xml:space="preserve"> </w:t>
      </w:r>
      <w:r>
        <w:t>se</w:t>
      </w:r>
      <w:r>
        <w:rPr>
          <w:spacing w:val="-14"/>
        </w:rPr>
        <w:t xml:space="preserve"> </w:t>
      </w:r>
      <w:r>
        <w:t>crea</w:t>
      </w:r>
      <w:r>
        <w:rPr>
          <w:spacing w:val="-15"/>
        </w:rPr>
        <w:t xml:space="preserve"> </w:t>
      </w:r>
      <w:r>
        <w:t>y</w:t>
      </w:r>
      <w:r>
        <w:rPr>
          <w:spacing w:val="-15"/>
        </w:rPr>
        <w:t xml:space="preserve"> </w:t>
      </w:r>
      <w:r>
        <w:t>recrea</w:t>
      </w:r>
      <w:r>
        <w:rPr>
          <w:spacing w:val="-15"/>
        </w:rPr>
        <w:t xml:space="preserve"> </w:t>
      </w:r>
      <w:r>
        <w:t>la</w:t>
      </w:r>
      <w:r>
        <w:rPr>
          <w:spacing w:val="-15"/>
        </w:rPr>
        <w:t xml:space="preserve"> </w:t>
      </w:r>
      <w:r>
        <w:t>cultura</w:t>
      </w:r>
      <w:r>
        <w:rPr>
          <w:spacing w:val="-14"/>
        </w:rPr>
        <w:t xml:space="preserve"> </w:t>
      </w:r>
      <w:r>
        <w:t>como</w:t>
      </w:r>
      <w:r>
        <w:rPr>
          <w:spacing w:val="-15"/>
        </w:rPr>
        <w:t xml:space="preserve"> </w:t>
      </w:r>
      <w:r>
        <w:t>matriz de</w:t>
      </w:r>
      <w:r>
        <w:rPr>
          <w:spacing w:val="-2"/>
        </w:rPr>
        <w:t xml:space="preserve"> </w:t>
      </w:r>
      <w:r>
        <w:t>sentidos,</w:t>
      </w:r>
      <w:r>
        <w:rPr>
          <w:spacing w:val="-4"/>
        </w:rPr>
        <w:t xml:space="preserve"> </w:t>
      </w:r>
      <w:r>
        <w:t>que</w:t>
      </w:r>
      <w:r>
        <w:rPr>
          <w:spacing w:val="-2"/>
        </w:rPr>
        <w:t xml:space="preserve"> </w:t>
      </w:r>
      <w:r>
        <w:t>tiene</w:t>
      </w:r>
      <w:r>
        <w:rPr>
          <w:spacing w:val="-2"/>
        </w:rPr>
        <w:t xml:space="preserve"> </w:t>
      </w:r>
      <w:r>
        <w:t>una</w:t>
      </w:r>
      <w:r>
        <w:rPr>
          <w:spacing w:val="-2"/>
        </w:rPr>
        <w:t xml:space="preserve"> </w:t>
      </w:r>
      <w:r>
        <w:t>enorme</w:t>
      </w:r>
      <w:r>
        <w:rPr>
          <w:spacing w:val="-2"/>
        </w:rPr>
        <w:t xml:space="preserve"> </w:t>
      </w:r>
      <w:r>
        <w:t>y</w:t>
      </w:r>
      <w:r>
        <w:rPr>
          <w:spacing w:val="-4"/>
        </w:rPr>
        <w:t xml:space="preserve"> </w:t>
      </w:r>
      <w:r>
        <w:t>cotidiana</w:t>
      </w:r>
      <w:r>
        <w:rPr>
          <w:spacing w:val="-3"/>
        </w:rPr>
        <w:t xml:space="preserve"> </w:t>
      </w:r>
      <w:r>
        <w:t>incidencia</w:t>
      </w:r>
      <w:r>
        <w:rPr>
          <w:spacing w:val="-2"/>
        </w:rPr>
        <w:t xml:space="preserve"> </w:t>
      </w:r>
      <w:r>
        <w:t>en</w:t>
      </w:r>
      <w:r>
        <w:rPr>
          <w:spacing w:val="-4"/>
        </w:rPr>
        <w:t xml:space="preserve"> </w:t>
      </w:r>
      <w:r>
        <w:t>la</w:t>
      </w:r>
      <w:r>
        <w:rPr>
          <w:spacing w:val="-2"/>
        </w:rPr>
        <w:t xml:space="preserve"> </w:t>
      </w:r>
      <w:r>
        <w:t>formación</w:t>
      </w:r>
      <w:r>
        <w:rPr>
          <w:spacing w:val="-4"/>
        </w:rPr>
        <w:t xml:space="preserve"> </w:t>
      </w:r>
      <w:r>
        <w:t>de</w:t>
      </w:r>
      <w:r>
        <w:rPr>
          <w:spacing w:val="-2"/>
        </w:rPr>
        <w:t xml:space="preserve"> </w:t>
      </w:r>
      <w:r>
        <w:t>los</w:t>
      </w:r>
      <w:r>
        <w:rPr>
          <w:spacing w:val="-3"/>
        </w:rPr>
        <w:t xml:space="preserve"> </w:t>
      </w:r>
      <w:r>
        <w:t>sujetos</w:t>
      </w:r>
      <w:r>
        <w:rPr>
          <w:spacing w:val="-2"/>
        </w:rPr>
        <w:t xml:space="preserve"> </w:t>
      </w:r>
      <w:r>
        <w:t>y</w:t>
      </w:r>
      <w:r>
        <w:rPr>
          <w:spacing w:val="-2"/>
        </w:rPr>
        <w:t xml:space="preserve"> </w:t>
      </w:r>
      <w:r>
        <w:t>las comunidades, y sobre los que es necesario actuar para llevar a cabo las trasformaciones que son necesarias, así como potenciar los valores o imaginarios que ayudan a construir una sociedad</w:t>
      </w:r>
      <w:r>
        <w:rPr>
          <w:spacing w:val="-12"/>
        </w:rPr>
        <w:t xml:space="preserve"> </w:t>
      </w:r>
      <w:r>
        <w:t>capaz</w:t>
      </w:r>
      <w:r>
        <w:rPr>
          <w:spacing w:val="-10"/>
        </w:rPr>
        <w:t xml:space="preserve"> </w:t>
      </w:r>
      <w:r>
        <w:t>de</w:t>
      </w:r>
      <w:r>
        <w:rPr>
          <w:spacing w:val="-10"/>
        </w:rPr>
        <w:t xml:space="preserve"> </w:t>
      </w:r>
      <w:r>
        <w:t>convivir</w:t>
      </w:r>
      <w:r>
        <w:rPr>
          <w:spacing w:val="-10"/>
        </w:rPr>
        <w:t xml:space="preserve"> </w:t>
      </w:r>
      <w:r>
        <w:t>en</w:t>
      </w:r>
      <w:r>
        <w:rPr>
          <w:spacing w:val="-11"/>
        </w:rPr>
        <w:t xml:space="preserve"> </w:t>
      </w:r>
      <w:r>
        <w:t>paz.</w:t>
      </w:r>
      <w:r>
        <w:rPr>
          <w:spacing w:val="-12"/>
        </w:rPr>
        <w:t xml:space="preserve"> </w:t>
      </w:r>
      <w:r>
        <w:t>Identificamos</w:t>
      </w:r>
      <w:r>
        <w:rPr>
          <w:spacing w:val="-12"/>
        </w:rPr>
        <w:t xml:space="preserve"> </w:t>
      </w:r>
      <w:r>
        <w:t>como</w:t>
      </w:r>
      <w:r>
        <w:rPr>
          <w:spacing w:val="-11"/>
        </w:rPr>
        <w:t xml:space="preserve"> </w:t>
      </w:r>
      <w:r>
        <w:t>principales</w:t>
      </w:r>
      <w:r>
        <w:rPr>
          <w:spacing w:val="-10"/>
        </w:rPr>
        <w:t xml:space="preserve"> </w:t>
      </w:r>
      <w:r>
        <w:t>dispositivos</w:t>
      </w:r>
      <w:r>
        <w:rPr>
          <w:spacing w:val="-11"/>
        </w:rPr>
        <w:t xml:space="preserve"> </w:t>
      </w:r>
      <w:r>
        <w:t>el</w:t>
      </w:r>
      <w:r>
        <w:rPr>
          <w:spacing w:val="-10"/>
        </w:rPr>
        <w:t xml:space="preserve"> </w:t>
      </w:r>
      <w:r>
        <w:t>sistema</w:t>
      </w:r>
      <w:r>
        <w:rPr>
          <w:spacing w:val="-10"/>
        </w:rPr>
        <w:t xml:space="preserve"> </w:t>
      </w:r>
      <w:r>
        <w:t>de educación</w:t>
      </w:r>
      <w:r>
        <w:rPr>
          <w:spacing w:val="-11"/>
        </w:rPr>
        <w:t xml:space="preserve"> </w:t>
      </w:r>
      <w:r>
        <w:t>formal,</w:t>
      </w:r>
      <w:r>
        <w:rPr>
          <w:spacing w:val="-9"/>
        </w:rPr>
        <w:t xml:space="preserve"> </w:t>
      </w:r>
      <w:r>
        <w:t>en</w:t>
      </w:r>
      <w:r>
        <w:rPr>
          <w:spacing w:val="-9"/>
        </w:rPr>
        <w:t xml:space="preserve"> </w:t>
      </w:r>
      <w:r>
        <w:t>todos</w:t>
      </w:r>
      <w:r>
        <w:rPr>
          <w:spacing w:val="-9"/>
        </w:rPr>
        <w:t xml:space="preserve"> </w:t>
      </w:r>
      <w:r>
        <w:t>sus</w:t>
      </w:r>
      <w:r>
        <w:rPr>
          <w:spacing w:val="-9"/>
        </w:rPr>
        <w:t xml:space="preserve"> </w:t>
      </w:r>
      <w:r>
        <w:t>niveles;</w:t>
      </w:r>
      <w:r>
        <w:rPr>
          <w:spacing w:val="-9"/>
        </w:rPr>
        <w:t xml:space="preserve"> </w:t>
      </w:r>
      <w:r>
        <w:t>las</w:t>
      </w:r>
      <w:r>
        <w:rPr>
          <w:spacing w:val="-9"/>
        </w:rPr>
        <w:t xml:space="preserve"> </w:t>
      </w:r>
      <w:r>
        <w:t>narrativas</w:t>
      </w:r>
      <w:r>
        <w:rPr>
          <w:spacing w:val="-9"/>
        </w:rPr>
        <w:t xml:space="preserve"> </w:t>
      </w:r>
      <w:r>
        <w:t>del</w:t>
      </w:r>
      <w:r>
        <w:rPr>
          <w:spacing w:val="-9"/>
        </w:rPr>
        <w:t xml:space="preserve"> </w:t>
      </w:r>
      <w:r>
        <w:t>poder;</w:t>
      </w:r>
      <w:r>
        <w:rPr>
          <w:spacing w:val="-9"/>
        </w:rPr>
        <w:t xml:space="preserve"> </w:t>
      </w:r>
      <w:r>
        <w:t>los</w:t>
      </w:r>
      <w:r>
        <w:rPr>
          <w:spacing w:val="-9"/>
        </w:rPr>
        <w:t xml:space="preserve"> </w:t>
      </w:r>
      <w:r>
        <w:t>medios</w:t>
      </w:r>
      <w:r>
        <w:rPr>
          <w:spacing w:val="-10"/>
        </w:rPr>
        <w:t xml:space="preserve"> </w:t>
      </w:r>
      <w:r>
        <w:t>de</w:t>
      </w:r>
      <w:r>
        <w:rPr>
          <w:spacing w:val="-9"/>
        </w:rPr>
        <w:t xml:space="preserve"> </w:t>
      </w:r>
      <w:r>
        <w:t>comunicación y las redes sociales; las iglesias o comunidades de fe.</w:t>
      </w:r>
    </w:p>
    <w:p w:rsidR="0011361F" w:rsidRDefault="00AF18A5" w:rsidP="004A6EF4">
      <w:pPr>
        <w:pStyle w:val="Ttulo4"/>
        <w:numPr>
          <w:ilvl w:val="2"/>
          <w:numId w:val="16"/>
        </w:numPr>
      </w:pPr>
      <w:bookmarkStart w:id="1419" w:name="10.13.1._El_sistema_educativo"/>
      <w:bookmarkEnd w:id="1419"/>
      <w:r>
        <w:t>El</w:t>
      </w:r>
      <w:r>
        <w:rPr>
          <w:spacing w:val="-1"/>
        </w:rPr>
        <w:t xml:space="preserve"> </w:t>
      </w:r>
      <w:r w:rsidRPr="005C39CB">
        <w:t>sistema</w:t>
      </w:r>
      <w:r>
        <w:rPr>
          <w:spacing w:val="-1"/>
        </w:rPr>
        <w:t xml:space="preserve"> </w:t>
      </w:r>
      <w:r>
        <w:rPr>
          <w:spacing w:val="-2"/>
        </w:rPr>
        <w:t>educativo</w:t>
      </w:r>
    </w:p>
    <w:p w:rsidR="003804AC" w:rsidRDefault="00AF18A5" w:rsidP="005C39CB">
      <w:r>
        <w:t>A pesar de innumerables</w:t>
      </w:r>
      <w:r>
        <w:rPr>
          <w:spacing w:val="-1"/>
        </w:rPr>
        <w:t xml:space="preserve"> </w:t>
      </w:r>
      <w:r>
        <w:t>esfuerzos,</w:t>
      </w:r>
      <w:r>
        <w:rPr>
          <w:spacing w:val="-1"/>
        </w:rPr>
        <w:t xml:space="preserve"> </w:t>
      </w:r>
      <w:r>
        <w:t>ha contribuido a arraigar</w:t>
      </w:r>
      <w:r>
        <w:rPr>
          <w:spacing w:val="-2"/>
        </w:rPr>
        <w:t xml:space="preserve"> </w:t>
      </w:r>
      <w:r>
        <w:t>el imaginario colectivo</w:t>
      </w:r>
      <w:r>
        <w:rPr>
          <w:spacing w:val="-2"/>
        </w:rPr>
        <w:t xml:space="preserve"> </w:t>
      </w:r>
      <w:r>
        <w:t>de una nación</w:t>
      </w:r>
      <w:r>
        <w:rPr>
          <w:spacing w:val="-10"/>
        </w:rPr>
        <w:t xml:space="preserve"> </w:t>
      </w:r>
      <w:r>
        <w:t>blanca,</w:t>
      </w:r>
      <w:r>
        <w:rPr>
          <w:spacing w:val="-10"/>
        </w:rPr>
        <w:t xml:space="preserve"> </w:t>
      </w:r>
      <w:r>
        <w:t>castellana</w:t>
      </w:r>
      <w:r>
        <w:rPr>
          <w:spacing w:val="-11"/>
        </w:rPr>
        <w:t xml:space="preserve"> </w:t>
      </w:r>
      <w:r>
        <w:t>y</w:t>
      </w:r>
      <w:r>
        <w:rPr>
          <w:spacing w:val="-10"/>
        </w:rPr>
        <w:t xml:space="preserve"> </w:t>
      </w:r>
      <w:r>
        <w:t>católica;</w:t>
      </w:r>
      <w:r>
        <w:rPr>
          <w:spacing w:val="-9"/>
        </w:rPr>
        <w:t xml:space="preserve"> </w:t>
      </w:r>
      <w:r>
        <w:t>nociones</w:t>
      </w:r>
      <w:r>
        <w:rPr>
          <w:spacing w:val="-9"/>
        </w:rPr>
        <w:t xml:space="preserve"> </w:t>
      </w:r>
      <w:r>
        <w:t>de</w:t>
      </w:r>
      <w:r>
        <w:rPr>
          <w:spacing w:val="-9"/>
        </w:rPr>
        <w:t xml:space="preserve"> </w:t>
      </w:r>
      <w:r>
        <w:t>clase</w:t>
      </w:r>
      <w:r>
        <w:rPr>
          <w:spacing w:val="-9"/>
        </w:rPr>
        <w:t xml:space="preserve"> </w:t>
      </w:r>
      <w:r>
        <w:t>en</w:t>
      </w:r>
      <w:r>
        <w:rPr>
          <w:spacing w:val="-10"/>
        </w:rPr>
        <w:t xml:space="preserve"> </w:t>
      </w:r>
      <w:r>
        <w:t>las</w:t>
      </w:r>
      <w:r>
        <w:rPr>
          <w:spacing w:val="-9"/>
        </w:rPr>
        <w:t xml:space="preserve"> </w:t>
      </w:r>
      <w:r>
        <w:t>que</w:t>
      </w:r>
      <w:r>
        <w:rPr>
          <w:spacing w:val="-9"/>
        </w:rPr>
        <w:t xml:space="preserve"> </w:t>
      </w:r>
      <w:r>
        <w:t>no</w:t>
      </w:r>
      <w:r>
        <w:rPr>
          <w:spacing w:val="-10"/>
        </w:rPr>
        <w:t xml:space="preserve"> </w:t>
      </w:r>
      <w:r>
        <w:t>logra</w:t>
      </w:r>
      <w:r>
        <w:rPr>
          <w:spacing w:val="-9"/>
        </w:rPr>
        <w:t xml:space="preserve"> </w:t>
      </w:r>
      <w:r>
        <w:t>constituirse</w:t>
      </w:r>
      <w:r>
        <w:rPr>
          <w:spacing w:val="-9"/>
        </w:rPr>
        <w:t xml:space="preserve"> </w:t>
      </w:r>
      <w:r>
        <w:t>la</w:t>
      </w:r>
      <w:r>
        <w:rPr>
          <w:spacing w:val="-11"/>
        </w:rPr>
        <w:t xml:space="preserve"> </w:t>
      </w:r>
      <w:r>
        <w:t>gran riqueza</w:t>
      </w:r>
      <w:r>
        <w:rPr>
          <w:spacing w:val="-9"/>
        </w:rPr>
        <w:t xml:space="preserve"> </w:t>
      </w:r>
      <w:r>
        <w:t>de</w:t>
      </w:r>
      <w:r>
        <w:rPr>
          <w:spacing w:val="-9"/>
        </w:rPr>
        <w:t xml:space="preserve"> </w:t>
      </w:r>
      <w:r>
        <w:t>la</w:t>
      </w:r>
      <w:r>
        <w:rPr>
          <w:spacing w:val="-11"/>
        </w:rPr>
        <w:t xml:space="preserve"> </w:t>
      </w:r>
      <w:r>
        <w:t>nación</w:t>
      </w:r>
      <w:r>
        <w:rPr>
          <w:spacing w:val="-10"/>
        </w:rPr>
        <w:t xml:space="preserve"> </w:t>
      </w:r>
      <w:r>
        <w:t>ni</w:t>
      </w:r>
      <w:r>
        <w:rPr>
          <w:spacing w:val="-9"/>
        </w:rPr>
        <w:t xml:space="preserve"> </w:t>
      </w:r>
      <w:r>
        <w:t>la</w:t>
      </w:r>
      <w:r>
        <w:rPr>
          <w:spacing w:val="-9"/>
        </w:rPr>
        <w:t xml:space="preserve"> </w:t>
      </w:r>
      <w:r>
        <w:t>visión</w:t>
      </w:r>
      <w:r>
        <w:rPr>
          <w:spacing w:val="-10"/>
        </w:rPr>
        <w:t xml:space="preserve"> </w:t>
      </w:r>
      <w:r>
        <w:t>de</w:t>
      </w:r>
      <w:r>
        <w:rPr>
          <w:spacing w:val="-9"/>
        </w:rPr>
        <w:t xml:space="preserve"> </w:t>
      </w:r>
      <w:r>
        <w:t>país</w:t>
      </w:r>
      <w:r>
        <w:rPr>
          <w:spacing w:val="-9"/>
        </w:rPr>
        <w:t xml:space="preserve"> </w:t>
      </w:r>
      <w:r>
        <w:t>que</w:t>
      </w:r>
      <w:r>
        <w:rPr>
          <w:spacing w:val="-9"/>
        </w:rPr>
        <w:t xml:space="preserve"> </w:t>
      </w:r>
      <w:r>
        <w:t>define</w:t>
      </w:r>
      <w:r>
        <w:rPr>
          <w:spacing w:val="-11"/>
        </w:rPr>
        <w:t xml:space="preserve"> </w:t>
      </w:r>
      <w:r>
        <w:t>la</w:t>
      </w:r>
      <w:r>
        <w:rPr>
          <w:spacing w:val="-9"/>
        </w:rPr>
        <w:t xml:space="preserve"> </w:t>
      </w:r>
      <w:r>
        <w:t>Constitución,</w:t>
      </w:r>
      <w:r>
        <w:rPr>
          <w:spacing w:val="-10"/>
        </w:rPr>
        <w:t xml:space="preserve"> </w:t>
      </w:r>
      <w:r>
        <w:t>la</w:t>
      </w:r>
      <w:r>
        <w:rPr>
          <w:spacing w:val="-9"/>
        </w:rPr>
        <w:t xml:space="preserve"> </w:t>
      </w:r>
      <w:r>
        <w:t>de</w:t>
      </w:r>
      <w:r>
        <w:rPr>
          <w:spacing w:val="-9"/>
        </w:rPr>
        <w:t xml:space="preserve"> </w:t>
      </w:r>
      <w:r>
        <w:t>Colombia</w:t>
      </w:r>
      <w:r>
        <w:rPr>
          <w:spacing w:val="-9"/>
        </w:rPr>
        <w:t xml:space="preserve"> </w:t>
      </w:r>
      <w:r>
        <w:t>como</w:t>
      </w:r>
      <w:r>
        <w:rPr>
          <w:spacing w:val="-11"/>
        </w:rPr>
        <w:t xml:space="preserve"> </w:t>
      </w:r>
      <w:r>
        <w:t>una nación pluriétnica y pluricultural. No sobra recordar cuáles son algunos de los principios fundamentales</w:t>
      </w:r>
      <w:r>
        <w:rPr>
          <w:spacing w:val="-9"/>
        </w:rPr>
        <w:t xml:space="preserve"> </w:t>
      </w:r>
      <w:r>
        <w:t>de</w:t>
      </w:r>
      <w:r>
        <w:rPr>
          <w:spacing w:val="-9"/>
        </w:rPr>
        <w:t xml:space="preserve"> </w:t>
      </w:r>
      <w:r>
        <w:t>la</w:t>
      </w:r>
      <w:r>
        <w:rPr>
          <w:spacing w:val="-9"/>
        </w:rPr>
        <w:t xml:space="preserve"> </w:t>
      </w:r>
      <w:r>
        <w:t>Constitución</w:t>
      </w:r>
      <w:r>
        <w:rPr>
          <w:spacing w:val="-9"/>
        </w:rPr>
        <w:t xml:space="preserve"> </w:t>
      </w:r>
      <w:r>
        <w:t>del</w:t>
      </w:r>
      <w:r>
        <w:rPr>
          <w:spacing w:val="-10"/>
        </w:rPr>
        <w:t xml:space="preserve"> </w:t>
      </w:r>
      <w:r>
        <w:t>91</w:t>
      </w:r>
      <w:r>
        <w:rPr>
          <w:spacing w:val="-9"/>
        </w:rPr>
        <w:t xml:space="preserve"> </w:t>
      </w:r>
      <w:r>
        <w:t>que</w:t>
      </w:r>
      <w:r>
        <w:rPr>
          <w:spacing w:val="-9"/>
        </w:rPr>
        <w:t xml:space="preserve"> </w:t>
      </w:r>
      <w:r>
        <w:t>tiene</w:t>
      </w:r>
      <w:r>
        <w:rPr>
          <w:spacing w:val="-10"/>
        </w:rPr>
        <w:t xml:space="preserve"> </w:t>
      </w:r>
      <w:r>
        <w:t>que</w:t>
      </w:r>
      <w:r>
        <w:rPr>
          <w:spacing w:val="-9"/>
        </w:rPr>
        <w:t xml:space="preserve"> </w:t>
      </w:r>
      <w:r>
        <w:t>ver</w:t>
      </w:r>
      <w:r>
        <w:rPr>
          <w:spacing w:val="-9"/>
        </w:rPr>
        <w:t xml:space="preserve"> </w:t>
      </w:r>
      <w:r>
        <w:t>con</w:t>
      </w:r>
      <w:r>
        <w:rPr>
          <w:spacing w:val="-11"/>
        </w:rPr>
        <w:t xml:space="preserve"> </w:t>
      </w:r>
      <w:r>
        <w:t>esta</w:t>
      </w:r>
      <w:r>
        <w:rPr>
          <w:spacing w:val="-10"/>
        </w:rPr>
        <w:t xml:space="preserve"> </w:t>
      </w:r>
      <w:r>
        <w:t>reflexión</w:t>
      </w:r>
      <w:r>
        <w:rPr>
          <w:spacing w:val="-9"/>
        </w:rPr>
        <w:t xml:space="preserve"> </w:t>
      </w:r>
      <w:r>
        <w:t>sobre</w:t>
      </w:r>
      <w:r>
        <w:rPr>
          <w:spacing w:val="-10"/>
        </w:rPr>
        <w:t xml:space="preserve"> </w:t>
      </w:r>
      <w:r>
        <w:t>la</w:t>
      </w:r>
      <w:r>
        <w:rPr>
          <w:spacing w:val="-9"/>
        </w:rPr>
        <w:t xml:space="preserve"> </w:t>
      </w:r>
      <w:r>
        <w:t>cultura, y el llamado es a su cumplimiento:</w:t>
      </w:r>
    </w:p>
    <w:p w:rsidR="003804AC" w:rsidRDefault="00AF18A5" w:rsidP="005C39CB">
      <w:r>
        <w:lastRenderedPageBreak/>
        <w:t>Artículo 1. Colombia es un Estado social de derecho [...] democrática, participativa y pluralista, fundada en el respeto de la dignidad humana, en el trabajo y la solidaridad de las personas que la integran</w:t>
      </w:r>
      <w:r>
        <w:rPr>
          <w:spacing w:val="-4"/>
        </w:rPr>
        <w:t xml:space="preserve"> </w:t>
      </w:r>
      <w:r>
        <w:t>y</w:t>
      </w:r>
      <w:r>
        <w:rPr>
          <w:spacing w:val="-4"/>
        </w:rPr>
        <w:t xml:space="preserve"> </w:t>
      </w:r>
      <w:r>
        <w:t>en</w:t>
      </w:r>
      <w:r>
        <w:rPr>
          <w:spacing w:val="-4"/>
        </w:rPr>
        <w:t xml:space="preserve"> </w:t>
      </w:r>
      <w:r>
        <w:t>la</w:t>
      </w:r>
      <w:r>
        <w:rPr>
          <w:spacing w:val="-5"/>
        </w:rPr>
        <w:t xml:space="preserve"> </w:t>
      </w:r>
      <w:r>
        <w:t>prevalencia</w:t>
      </w:r>
      <w:r>
        <w:rPr>
          <w:spacing w:val="-4"/>
        </w:rPr>
        <w:t xml:space="preserve"> </w:t>
      </w:r>
      <w:r>
        <w:t>del</w:t>
      </w:r>
      <w:r>
        <w:rPr>
          <w:spacing w:val="-5"/>
        </w:rPr>
        <w:t xml:space="preserve"> </w:t>
      </w:r>
      <w:r>
        <w:t>interés</w:t>
      </w:r>
      <w:r>
        <w:rPr>
          <w:spacing w:val="-5"/>
        </w:rPr>
        <w:t xml:space="preserve"> </w:t>
      </w:r>
      <w:r>
        <w:t>general.</w:t>
      </w:r>
      <w:r>
        <w:rPr>
          <w:spacing w:val="-4"/>
        </w:rPr>
        <w:t xml:space="preserve"> </w:t>
      </w:r>
      <w:r>
        <w:t>Artículo</w:t>
      </w:r>
      <w:r>
        <w:rPr>
          <w:spacing w:val="-4"/>
        </w:rPr>
        <w:t xml:space="preserve"> </w:t>
      </w:r>
      <w:r>
        <w:t>2.</w:t>
      </w:r>
      <w:r>
        <w:rPr>
          <w:spacing w:val="-4"/>
        </w:rPr>
        <w:t xml:space="preserve"> </w:t>
      </w:r>
      <w:r>
        <w:t>Son</w:t>
      </w:r>
      <w:r>
        <w:rPr>
          <w:spacing w:val="-5"/>
        </w:rPr>
        <w:t xml:space="preserve"> </w:t>
      </w:r>
      <w:r>
        <w:t>fines</w:t>
      </w:r>
      <w:r>
        <w:rPr>
          <w:spacing w:val="-6"/>
        </w:rPr>
        <w:t xml:space="preserve"> </w:t>
      </w:r>
      <w:r>
        <w:t>esenciales</w:t>
      </w:r>
      <w:r>
        <w:rPr>
          <w:spacing w:val="-4"/>
        </w:rPr>
        <w:t xml:space="preserve"> </w:t>
      </w:r>
      <w:r>
        <w:t>del</w:t>
      </w:r>
      <w:r>
        <w:rPr>
          <w:spacing w:val="-5"/>
        </w:rPr>
        <w:t xml:space="preserve"> </w:t>
      </w:r>
      <w:r>
        <w:t>Estado:</w:t>
      </w:r>
      <w:r>
        <w:rPr>
          <w:spacing w:val="-5"/>
        </w:rPr>
        <w:t xml:space="preserve"> </w:t>
      </w:r>
      <w:r>
        <w:t>servir a la comunidad, promover la prosperidad general y garantizar la efectividad de los principios, derechos</w:t>
      </w:r>
      <w:r>
        <w:rPr>
          <w:spacing w:val="36"/>
        </w:rPr>
        <w:t xml:space="preserve"> </w:t>
      </w:r>
      <w:r>
        <w:t>y</w:t>
      </w:r>
      <w:r>
        <w:rPr>
          <w:spacing w:val="37"/>
        </w:rPr>
        <w:t xml:space="preserve"> </w:t>
      </w:r>
      <w:r>
        <w:t>deberes</w:t>
      </w:r>
      <w:r>
        <w:rPr>
          <w:spacing w:val="36"/>
        </w:rPr>
        <w:t xml:space="preserve"> </w:t>
      </w:r>
      <w:r>
        <w:t>consagrados</w:t>
      </w:r>
      <w:r>
        <w:rPr>
          <w:spacing w:val="36"/>
        </w:rPr>
        <w:t xml:space="preserve"> </w:t>
      </w:r>
      <w:r>
        <w:t>en</w:t>
      </w:r>
      <w:r>
        <w:rPr>
          <w:spacing w:val="37"/>
        </w:rPr>
        <w:t xml:space="preserve"> </w:t>
      </w:r>
      <w:r>
        <w:t>la</w:t>
      </w:r>
      <w:r>
        <w:rPr>
          <w:spacing w:val="35"/>
        </w:rPr>
        <w:t xml:space="preserve"> </w:t>
      </w:r>
      <w:r>
        <w:t>Constitución;</w:t>
      </w:r>
      <w:r>
        <w:rPr>
          <w:spacing w:val="37"/>
        </w:rPr>
        <w:t xml:space="preserve"> </w:t>
      </w:r>
      <w:r>
        <w:t>facilitar</w:t>
      </w:r>
      <w:r>
        <w:rPr>
          <w:spacing w:val="36"/>
        </w:rPr>
        <w:t xml:space="preserve"> </w:t>
      </w:r>
      <w:r>
        <w:t>la</w:t>
      </w:r>
      <w:r>
        <w:rPr>
          <w:spacing w:val="35"/>
        </w:rPr>
        <w:t xml:space="preserve"> </w:t>
      </w:r>
      <w:r>
        <w:t>participación</w:t>
      </w:r>
      <w:r>
        <w:rPr>
          <w:spacing w:val="37"/>
        </w:rPr>
        <w:t xml:space="preserve"> </w:t>
      </w:r>
      <w:r>
        <w:t>de</w:t>
      </w:r>
      <w:r>
        <w:rPr>
          <w:spacing w:val="36"/>
        </w:rPr>
        <w:t xml:space="preserve"> </w:t>
      </w:r>
      <w:r>
        <w:t>todos</w:t>
      </w:r>
      <w:r>
        <w:rPr>
          <w:spacing w:val="36"/>
        </w:rPr>
        <w:t xml:space="preserve"> </w:t>
      </w:r>
      <w:r>
        <w:t>en</w:t>
      </w:r>
      <w:r>
        <w:rPr>
          <w:spacing w:val="36"/>
        </w:rPr>
        <w:t xml:space="preserve"> </w:t>
      </w:r>
      <w:r>
        <w:t>las</w:t>
      </w:r>
      <w:r w:rsidR="005C39CB">
        <w:t xml:space="preserve"> </w:t>
      </w:r>
      <w:r>
        <w:t>decisiones</w:t>
      </w:r>
      <w:r>
        <w:rPr>
          <w:spacing w:val="-8"/>
        </w:rPr>
        <w:t xml:space="preserve"> </w:t>
      </w:r>
      <w:r>
        <w:t>que</w:t>
      </w:r>
      <w:r>
        <w:rPr>
          <w:spacing w:val="-8"/>
        </w:rPr>
        <w:t xml:space="preserve"> </w:t>
      </w:r>
      <w:r>
        <w:t>los</w:t>
      </w:r>
      <w:r>
        <w:rPr>
          <w:spacing w:val="-8"/>
        </w:rPr>
        <w:t xml:space="preserve"> </w:t>
      </w:r>
      <w:r>
        <w:t>afectan</w:t>
      </w:r>
      <w:r>
        <w:rPr>
          <w:spacing w:val="-7"/>
        </w:rPr>
        <w:t xml:space="preserve"> </w:t>
      </w:r>
      <w:r>
        <w:t>y</w:t>
      </w:r>
      <w:r>
        <w:rPr>
          <w:spacing w:val="-7"/>
        </w:rPr>
        <w:t xml:space="preserve"> </w:t>
      </w:r>
      <w:r>
        <w:t>en</w:t>
      </w:r>
      <w:r>
        <w:rPr>
          <w:spacing w:val="-7"/>
        </w:rPr>
        <w:t xml:space="preserve"> </w:t>
      </w:r>
      <w:r>
        <w:t>la</w:t>
      </w:r>
      <w:r>
        <w:rPr>
          <w:spacing w:val="-10"/>
        </w:rPr>
        <w:t xml:space="preserve"> </w:t>
      </w:r>
      <w:r>
        <w:t>vida</w:t>
      </w:r>
      <w:r>
        <w:rPr>
          <w:spacing w:val="-8"/>
        </w:rPr>
        <w:t xml:space="preserve"> </w:t>
      </w:r>
      <w:r>
        <w:t>económica,</w:t>
      </w:r>
      <w:r>
        <w:rPr>
          <w:spacing w:val="-8"/>
        </w:rPr>
        <w:t xml:space="preserve"> </w:t>
      </w:r>
      <w:r>
        <w:t>política,</w:t>
      </w:r>
      <w:r>
        <w:rPr>
          <w:spacing w:val="-8"/>
        </w:rPr>
        <w:t xml:space="preserve"> </w:t>
      </w:r>
      <w:r>
        <w:t>administrativa</w:t>
      </w:r>
      <w:r>
        <w:rPr>
          <w:spacing w:val="-8"/>
        </w:rPr>
        <w:t xml:space="preserve"> </w:t>
      </w:r>
      <w:r>
        <w:t>y</w:t>
      </w:r>
      <w:r>
        <w:rPr>
          <w:spacing w:val="-7"/>
        </w:rPr>
        <w:t xml:space="preserve"> </w:t>
      </w:r>
      <w:r>
        <w:t>cultural</w:t>
      </w:r>
      <w:r>
        <w:rPr>
          <w:spacing w:val="-8"/>
        </w:rPr>
        <w:t xml:space="preserve"> </w:t>
      </w:r>
      <w:r>
        <w:t>de</w:t>
      </w:r>
      <w:r>
        <w:rPr>
          <w:spacing w:val="-8"/>
        </w:rPr>
        <w:t xml:space="preserve"> </w:t>
      </w:r>
      <w:r>
        <w:t>la</w:t>
      </w:r>
      <w:r>
        <w:rPr>
          <w:spacing w:val="-8"/>
        </w:rPr>
        <w:t xml:space="preserve"> </w:t>
      </w:r>
      <w:r>
        <w:t>Nación; [</w:t>
      </w:r>
      <w:r w:rsidR="005C39CB">
        <w:t>…</w:t>
      </w:r>
      <w:r>
        <w:t>] y asegurar la convivencia pacífica y la vigencia de un orden justo. Las autoridades de la República</w:t>
      </w:r>
      <w:r>
        <w:rPr>
          <w:spacing w:val="-3"/>
        </w:rPr>
        <w:t xml:space="preserve"> </w:t>
      </w:r>
      <w:r>
        <w:t>están</w:t>
      </w:r>
      <w:r>
        <w:rPr>
          <w:spacing w:val="-2"/>
        </w:rPr>
        <w:t xml:space="preserve"> </w:t>
      </w:r>
      <w:r>
        <w:t>instituidas</w:t>
      </w:r>
      <w:r>
        <w:rPr>
          <w:spacing w:val="-4"/>
        </w:rPr>
        <w:t xml:space="preserve"> </w:t>
      </w:r>
      <w:r>
        <w:t>para</w:t>
      </w:r>
      <w:r>
        <w:rPr>
          <w:spacing w:val="-3"/>
        </w:rPr>
        <w:t xml:space="preserve"> </w:t>
      </w:r>
      <w:r>
        <w:t>proteger</w:t>
      </w:r>
      <w:r>
        <w:rPr>
          <w:spacing w:val="-2"/>
        </w:rPr>
        <w:t xml:space="preserve"> </w:t>
      </w:r>
      <w:r>
        <w:t>a</w:t>
      </w:r>
      <w:r>
        <w:rPr>
          <w:spacing w:val="-3"/>
        </w:rPr>
        <w:t xml:space="preserve"> </w:t>
      </w:r>
      <w:r>
        <w:t>todas</w:t>
      </w:r>
      <w:r>
        <w:rPr>
          <w:spacing w:val="-3"/>
        </w:rPr>
        <w:t xml:space="preserve"> </w:t>
      </w:r>
      <w:r>
        <w:t>las</w:t>
      </w:r>
      <w:r>
        <w:rPr>
          <w:spacing w:val="-3"/>
        </w:rPr>
        <w:t xml:space="preserve"> </w:t>
      </w:r>
      <w:r>
        <w:t>personas</w:t>
      </w:r>
      <w:r>
        <w:rPr>
          <w:spacing w:val="-3"/>
        </w:rPr>
        <w:t xml:space="preserve"> </w:t>
      </w:r>
      <w:r>
        <w:t>residentes</w:t>
      </w:r>
      <w:r>
        <w:rPr>
          <w:spacing w:val="-3"/>
        </w:rPr>
        <w:t xml:space="preserve"> </w:t>
      </w:r>
      <w:r>
        <w:t>en</w:t>
      </w:r>
      <w:r>
        <w:rPr>
          <w:spacing w:val="-2"/>
        </w:rPr>
        <w:t xml:space="preserve"> </w:t>
      </w:r>
      <w:r>
        <w:t>Colombia,</w:t>
      </w:r>
      <w:r>
        <w:rPr>
          <w:spacing w:val="-2"/>
        </w:rPr>
        <w:t xml:space="preserve"> </w:t>
      </w:r>
      <w:r>
        <w:t>en</w:t>
      </w:r>
      <w:r>
        <w:rPr>
          <w:spacing w:val="-4"/>
        </w:rPr>
        <w:t xml:space="preserve"> </w:t>
      </w:r>
      <w:r>
        <w:t>su</w:t>
      </w:r>
      <w:r>
        <w:rPr>
          <w:spacing w:val="-2"/>
        </w:rPr>
        <w:t xml:space="preserve"> </w:t>
      </w:r>
      <w:r>
        <w:t>vida, honra, bienes, creencias, y demás derechos y libertades, y para asegurar el cumplimiento de los deberes sociales del Estado y de los particulares. Artículo 7. El Estado reconoce y protege la diversidad étnica y cultural de la Nación colombiana.</w:t>
      </w:r>
    </w:p>
    <w:p w:rsidR="003804AC" w:rsidRDefault="00AF18A5" w:rsidP="005C39CB">
      <w:r>
        <w:t>Por</w:t>
      </w:r>
      <w:r>
        <w:rPr>
          <w:spacing w:val="-3"/>
        </w:rPr>
        <w:t xml:space="preserve"> </w:t>
      </w:r>
      <w:r>
        <w:t>lo</w:t>
      </w:r>
      <w:r>
        <w:rPr>
          <w:spacing w:val="-4"/>
        </w:rPr>
        <w:t xml:space="preserve"> </w:t>
      </w:r>
      <w:r>
        <w:t>tanto,</w:t>
      </w:r>
      <w:r>
        <w:rPr>
          <w:spacing w:val="-5"/>
        </w:rPr>
        <w:t xml:space="preserve"> </w:t>
      </w:r>
      <w:r>
        <w:t>es</w:t>
      </w:r>
      <w:r>
        <w:rPr>
          <w:spacing w:val="-4"/>
        </w:rPr>
        <w:t xml:space="preserve"> </w:t>
      </w:r>
      <w:r>
        <w:t>necesario</w:t>
      </w:r>
      <w:r>
        <w:rPr>
          <w:spacing w:val="-5"/>
        </w:rPr>
        <w:t xml:space="preserve"> </w:t>
      </w:r>
      <w:r>
        <w:t>que</w:t>
      </w:r>
      <w:r>
        <w:rPr>
          <w:spacing w:val="-4"/>
        </w:rPr>
        <w:t xml:space="preserve"> </w:t>
      </w:r>
      <w:r>
        <w:t>se</w:t>
      </w:r>
      <w:r>
        <w:rPr>
          <w:spacing w:val="-4"/>
        </w:rPr>
        <w:t xml:space="preserve"> </w:t>
      </w:r>
      <w:r>
        <w:t>asuma</w:t>
      </w:r>
      <w:r>
        <w:rPr>
          <w:spacing w:val="-4"/>
        </w:rPr>
        <w:t xml:space="preserve"> </w:t>
      </w:r>
      <w:r>
        <w:t>como</w:t>
      </w:r>
      <w:r>
        <w:rPr>
          <w:spacing w:val="-4"/>
        </w:rPr>
        <w:t xml:space="preserve"> </w:t>
      </w:r>
      <w:r>
        <w:t>un</w:t>
      </w:r>
      <w:r>
        <w:rPr>
          <w:spacing w:val="-4"/>
        </w:rPr>
        <w:t xml:space="preserve"> </w:t>
      </w:r>
      <w:r>
        <w:t>imperativo</w:t>
      </w:r>
      <w:r>
        <w:rPr>
          <w:spacing w:val="-4"/>
        </w:rPr>
        <w:t xml:space="preserve"> </w:t>
      </w:r>
      <w:r>
        <w:t>para</w:t>
      </w:r>
      <w:r>
        <w:rPr>
          <w:spacing w:val="-4"/>
        </w:rPr>
        <w:t xml:space="preserve"> </w:t>
      </w:r>
      <w:r>
        <w:t>el</w:t>
      </w:r>
      <w:r>
        <w:rPr>
          <w:spacing w:val="-3"/>
        </w:rPr>
        <w:t xml:space="preserve"> </w:t>
      </w:r>
      <w:r>
        <w:t>logro</w:t>
      </w:r>
      <w:r>
        <w:rPr>
          <w:spacing w:val="-5"/>
        </w:rPr>
        <w:t xml:space="preserve"> </w:t>
      </w:r>
      <w:r>
        <w:t>de</w:t>
      </w:r>
      <w:r>
        <w:rPr>
          <w:spacing w:val="-4"/>
        </w:rPr>
        <w:t xml:space="preserve"> </w:t>
      </w:r>
      <w:r>
        <w:t>la</w:t>
      </w:r>
      <w:r>
        <w:rPr>
          <w:spacing w:val="-4"/>
        </w:rPr>
        <w:t xml:space="preserve"> </w:t>
      </w:r>
      <w:r>
        <w:t>paz</w:t>
      </w:r>
      <w:r>
        <w:rPr>
          <w:spacing w:val="-4"/>
        </w:rPr>
        <w:t xml:space="preserve"> </w:t>
      </w:r>
      <w:r>
        <w:t>y</w:t>
      </w:r>
      <w:r>
        <w:rPr>
          <w:spacing w:val="-4"/>
        </w:rPr>
        <w:t xml:space="preserve"> </w:t>
      </w:r>
      <w:r>
        <w:t>se</w:t>
      </w:r>
      <w:r>
        <w:rPr>
          <w:spacing w:val="-4"/>
        </w:rPr>
        <w:t xml:space="preserve"> </w:t>
      </w:r>
      <w:r>
        <w:t>haga una propuesta integral que dé respuesta al tipo de sujeto y sociedad que es necesario formar para cumplir con el mandato constitucional sobre la base del respeto. También es necesaria la formación de una ética pública y el reconocimiento y valoración de la diversidad cultural y política o ideológica, y la capacidad de deliberación civilizada sobre la diversidad de pedagogías coherentes con la paz y la democracia.</w:t>
      </w:r>
    </w:p>
    <w:p w:rsidR="003804AC" w:rsidRDefault="00AF18A5" w:rsidP="005C39CB">
      <w:r>
        <w:t>La división del sistema de educación entre privada (excluyente) y pública (pobremente financiada) ahonda las diferencias y distancias culturales. Por lo tanto, dificulta el reconocimiento de la igual dignidad de todos los seres humanos y profundiza la inequidad. La</w:t>
      </w:r>
      <w:r>
        <w:rPr>
          <w:spacing w:val="-4"/>
        </w:rPr>
        <w:t xml:space="preserve"> </w:t>
      </w:r>
      <w:r>
        <w:t>educación</w:t>
      </w:r>
      <w:r>
        <w:rPr>
          <w:spacing w:val="-5"/>
        </w:rPr>
        <w:t xml:space="preserve"> </w:t>
      </w:r>
      <w:r>
        <w:t>como</w:t>
      </w:r>
      <w:r>
        <w:rPr>
          <w:spacing w:val="-5"/>
        </w:rPr>
        <w:t xml:space="preserve"> </w:t>
      </w:r>
      <w:r>
        <w:t>un</w:t>
      </w:r>
      <w:r>
        <w:rPr>
          <w:spacing w:val="-5"/>
        </w:rPr>
        <w:t xml:space="preserve"> </w:t>
      </w:r>
      <w:r>
        <w:t>derecho</w:t>
      </w:r>
      <w:r>
        <w:rPr>
          <w:spacing w:val="-5"/>
        </w:rPr>
        <w:t xml:space="preserve"> </w:t>
      </w:r>
      <w:r>
        <w:t>público</w:t>
      </w:r>
      <w:r>
        <w:rPr>
          <w:spacing w:val="-5"/>
        </w:rPr>
        <w:t xml:space="preserve"> </w:t>
      </w:r>
      <w:r>
        <w:t>debe</w:t>
      </w:r>
      <w:r>
        <w:rPr>
          <w:spacing w:val="-4"/>
        </w:rPr>
        <w:t xml:space="preserve"> </w:t>
      </w:r>
      <w:r>
        <w:t>garantizar</w:t>
      </w:r>
      <w:r>
        <w:rPr>
          <w:spacing w:val="-4"/>
        </w:rPr>
        <w:t xml:space="preserve"> </w:t>
      </w:r>
      <w:r>
        <w:t>el</w:t>
      </w:r>
      <w:r>
        <w:rPr>
          <w:spacing w:val="-4"/>
        </w:rPr>
        <w:t xml:space="preserve"> </w:t>
      </w:r>
      <w:r>
        <w:t>acceso</w:t>
      </w:r>
      <w:r>
        <w:rPr>
          <w:spacing w:val="-5"/>
        </w:rPr>
        <w:t xml:space="preserve"> </w:t>
      </w:r>
      <w:r>
        <w:t>generalizado</w:t>
      </w:r>
      <w:r>
        <w:rPr>
          <w:spacing w:val="-5"/>
        </w:rPr>
        <w:t xml:space="preserve"> </w:t>
      </w:r>
      <w:r>
        <w:t>con</w:t>
      </w:r>
      <w:r>
        <w:rPr>
          <w:spacing w:val="-5"/>
        </w:rPr>
        <w:t xml:space="preserve"> </w:t>
      </w:r>
      <w:r>
        <w:lastRenderedPageBreak/>
        <w:t>calidad</w:t>
      </w:r>
      <w:r>
        <w:rPr>
          <w:spacing w:val="-5"/>
        </w:rPr>
        <w:t xml:space="preserve"> </w:t>
      </w:r>
      <w:r>
        <w:t>a los colombianos, sin distinción.</w:t>
      </w:r>
    </w:p>
    <w:p w:rsidR="0011361F" w:rsidRDefault="00AF18A5" w:rsidP="004A6EF4">
      <w:pPr>
        <w:pStyle w:val="Ttulo4"/>
        <w:numPr>
          <w:ilvl w:val="2"/>
          <w:numId w:val="16"/>
        </w:numPr>
      </w:pPr>
      <w:bookmarkStart w:id="1420" w:name="10.13.2._La_narrativa_instalada"/>
      <w:bookmarkEnd w:id="1420"/>
      <w:r>
        <w:t>La</w:t>
      </w:r>
      <w:r>
        <w:rPr>
          <w:spacing w:val="-2"/>
        </w:rPr>
        <w:t xml:space="preserve"> </w:t>
      </w:r>
      <w:r w:rsidRPr="005C39CB">
        <w:t>narrativa</w:t>
      </w:r>
      <w:r>
        <w:rPr>
          <w:spacing w:val="-2"/>
        </w:rPr>
        <w:t xml:space="preserve"> instalada</w:t>
      </w:r>
    </w:p>
    <w:p w:rsidR="003804AC" w:rsidRDefault="00AF18A5" w:rsidP="00F96E2B">
      <w:r>
        <w:t>Esta, difundida por las instancias y sectores de poder, ha perpetuado muchos de los factores que aquí enunciamos como factores de estímulo y persistencia del conflicto armado. El proceso</w:t>
      </w:r>
      <w:r>
        <w:rPr>
          <w:spacing w:val="-11"/>
        </w:rPr>
        <w:t xml:space="preserve"> </w:t>
      </w:r>
      <w:r>
        <w:t>discursivo</w:t>
      </w:r>
      <w:r>
        <w:rPr>
          <w:spacing w:val="-9"/>
        </w:rPr>
        <w:t xml:space="preserve"> </w:t>
      </w:r>
      <w:r>
        <w:t>que</w:t>
      </w:r>
      <w:r>
        <w:rPr>
          <w:spacing w:val="-9"/>
        </w:rPr>
        <w:t xml:space="preserve"> </w:t>
      </w:r>
      <w:r>
        <w:t>se</w:t>
      </w:r>
      <w:r>
        <w:rPr>
          <w:spacing w:val="-9"/>
        </w:rPr>
        <w:t xml:space="preserve"> </w:t>
      </w:r>
      <w:r>
        <w:t>ha</w:t>
      </w:r>
      <w:r>
        <w:rPr>
          <w:spacing w:val="-10"/>
        </w:rPr>
        <w:t xml:space="preserve"> </w:t>
      </w:r>
      <w:r>
        <w:t>instalado</w:t>
      </w:r>
      <w:r>
        <w:rPr>
          <w:spacing w:val="-9"/>
        </w:rPr>
        <w:t xml:space="preserve"> </w:t>
      </w:r>
      <w:r>
        <w:t>en</w:t>
      </w:r>
      <w:r>
        <w:rPr>
          <w:spacing w:val="-9"/>
        </w:rPr>
        <w:t xml:space="preserve"> </w:t>
      </w:r>
      <w:r>
        <w:t>Colombia</w:t>
      </w:r>
      <w:r>
        <w:rPr>
          <w:spacing w:val="-10"/>
        </w:rPr>
        <w:t xml:space="preserve"> </w:t>
      </w:r>
      <w:r>
        <w:t>refuerza</w:t>
      </w:r>
      <w:r>
        <w:rPr>
          <w:spacing w:val="-10"/>
        </w:rPr>
        <w:t xml:space="preserve"> </w:t>
      </w:r>
      <w:r>
        <w:t>creencias</w:t>
      </w:r>
      <w:r>
        <w:rPr>
          <w:spacing w:val="-9"/>
        </w:rPr>
        <w:t xml:space="preserve"> </w:t>
      </w:r>
      <w:r>
        <w:t>y</w:t>
      </w:r>
      <w:r>
        <w:rPr>
          <w:spacing w:val="-11"/>
        </w:rPr>
        <w:t xml:space="preserve"> </w:t>
      </w:r>
      <w:r>
        <w:t>valores</w:t>
      </w:r>
      <w:r>
        <w:rPr>
          <w:spacing w:val="-10"/>
        </w:rPr>
        <w:t xml:space="preserve"> </w:t>
      </w:r>
      <w:r>
        <w:t>sociales</w:t>
      </w:r>
      <w:r>
        <w:rPr>
          <w:spacing w:val="-9"/>
        </w:rPr>
        <w:t xml:space="preserve"> </w:t>
      </w:r>
      <w:r>
        <w:t>con el objetivo de mantener las discriminación y estigmatización de amplios sectores de la población, legitimar y glorificar el uso de la fuerza y las acciones militares. Esto explica fenómenos</w:t>
      </w:r>
      <w:r>
        <w:rPr>
          <w:spacing w:val="-9"/>
        </w:rPr>
        <w:t xml:space="preserve"> </w:t>
      </w:r>
      <w:r>
        <w:t>cardinales</w:t>
      </w:r>
      <w:r>
        <w:rPr>
          <w:spacing w:val="-8"/>
        </w:rPr>
        <w:t xml:space="preserve"> </w:t>
      </w:r>
      <w:r>
        <w:t>del</w:t>
      </w:r>
      <w:r>
        <w:rPr>
          <w:spacing w:val="-9"/>
        </w:rPr>
        <w:t xml:space="preserve"> </w:t>
      </w:r>
      <w:r>
        <w:t>conflicto</w:t>
      </w:r>
      <w:r>
        <w:rPr>
          <w:spacing w:val="-8"/>
        </w:rPr>
        <w:t xml:space="preserve"> </w:t>
      </w:r>
      <w:r>
        <w:t>armado</w:t>
      </w:r>
      <w:r>
        <w:rPr>
          <w:spacing w:val="-8"/>
        </w:rPr>
        <w:t xml:space="preserve"> </w:t>
      </w:r>
      <w:r>
        <w:t>colombiano,</w:t>
      </w:r>
      <w:r>
        <w:rPr>
          <w:spacing w:val="-8"/>
        </w:rPr>
        <w:t xml:space="preserve"> </w:t>
      </w:r>
      <w:r>
        <w:t>como</w:t>
      </w:r>
      <w:r>
        <w:rPr>
          <w:spacing w:val="-9"/>
        </w:rPr>
        <w:t xml:space="preserve"> </w:t>
      </w:r>
      <w:r>
        <w:t>la</w:t>
      </w:r>
      <w:r>
        <w:rPr>
          <w:spacing w:val="-8"/>
        </w:rPr>
        <w:t xml:space="preserve"> </w:t>
      </w:r>
      <w:r>
        <w:t>imposibilidad</w:t>
      </w:r>
      <w:r>
        <w:rPr>
          <w:spacing w:val="-8"/>
        </w:rPr>
        <w:t xml:space="preserve"> </w:t>
      </w:r>
      <w:r>
        <w:t>de</w:t>
      </w:r>
      <w:r>
        <w:rPr>
          <w:spacing w:val="-8"/>
        </w:rPr>
        <w:t xml:space="preserve"> </w:t>
      </w:r>
      <w:r>
        <w:t>reconocer la victimización de</w:t>
      </w:r>
      <w:r>
        <w:rPr>
          <w:spacing w:val="-1"/>
        </w:rPr>
        <w:t xml:space="preserve"> </w:t>
      </w:r>
      <w:r>
        <w:t>millones de</w:t>
      </w:r>
      <w:r>
        <w:rPr>
          <w:spacing w:val="-1"/>
        </w:rPr>
        <w:t xml:space="preserve"> </w:t>
      </w:r>
      <w:r>
        <w:t>conciudadanos,</w:t>
      </w:r>
      <w:r>
        <w:rPr>
          <w:spacing w:val="-2"/>
        </w:rPr>
        <w:t xml:space="preserve"> </w:t>
      </w:r>
      <w:r>
        <w:t>la generación de identidades guerreristas,</w:t>
      </w:r>
      <w:r>
        <w:rPr>
          <w:spacing w:val="-1"/>
        </w:rPr>
        <w:t xml:space="preserve"> </w:t>
      </w:r>
      <w:r>
        <w:t>la reconfiguración de amplios territorios en función de objetivos estratégicos y tácticos de la guerra; la legitimidad social que alcanzaron los grupos armados, el involucramiento de la sociedad civil en acciones bélicas y la inobservancia del principio de distinción, uno de los pilares del derecho internacional humanitario. Para que el proceso discursivo cambie las creencias</w:t>
      </w:r>
      <w:r>
        <w:rPr>
          <w:spacing w:val="-15"/>
        </w:rPr>
        <w:t xml:space="preserve"> </w:t>
      </w:r>
      <w:r>
        <w:t>y</w:t>
      </w:r>
      <w:r>
        <w:rPr>
          <w:spacing w:val="-15"/>
        </w:rPr>
        <w:t xml:space="preserve"> </w:t>
      </w:r>
      <w:r>
        <w:t>valores</w:t>
      </w:r>
      <w:r>
        <w:rPr>
          <w:spacing w:val="-15"/>
        </w:rPr>
        <w:t xml:space="preserve"> </w:t>
      </w:r>
      <w:r>
        <w:t>se</w:t>
      </w:r>
      <w:r>
        <w:rPr>
          <w:spacing w:val="-15"/>
        </w:rPr>
        <w:t xml:space="preserve"> </w:t>
      </w:r>
      <w:r>
        <w:t>requiere</w:t>
      </w:r>
      <w:r>
        <w:rPr>
          <w:spacing w:val="-15"/>
        </w:rPr>
        <w:t xml:space="preserve"> </w:t>
      </w:r>
      <w:r>
        <w:t>que</w:t>
      </w:r>
      <w:r>
        <w:rPr>
          <w:spacing w:val="-15"/>
        </w:rPr>
        <w:t xml:space="preserve"> </w:t>
      </w:r>
      <w:r>
        <w:t>no</w:t>
      </w:r>
      <w:r>
        <w:rPr>
          <w:spacing w:val="-15"/>
        </w:rPr>
        <w:t xml:space="preserve"> </w:t>
      </w:r>
      <w:r>
        <w:t>solamente</w:t>
      </w:r>
      <w:r>
        <w:rPr>
          <w:spacing w:val="-15"/>
        </w:rPr>
        <w:t xml:space="preserve"> </w:t>
      </w:r>
      <w:r>
        <w:t>se</w:t>
      </w:r>
      <w:r>
        <w:rPr>
          <w:spacing w:val="-15"/>
        </w:rPr>
        <w:t xml:space="preserve"> </w:t>
      </w:r>
      <w:r>
        <w:t>infiltre</w:t>
      </w:r>
      <w:r>
        <w:rPr>
          <w:spacing w:val="-15"/>
        </w:rPr>
        <w:t xml:space="preserve"> </w:t>
      </w:r>
      <w:r>
        <w:t>simbólicamente</w:t>
      </w:r>
      <w:r>
        <w:rPr>
          <w:spacing w:val="-15"/>
        </w:rPr>
        <w:t xml:space="preserve"> </w:t>
      </w:r>
      <w:r>
        <w:t>dentro</w:t>
      </w:r>
      <w:r>
        <w:rPr>
          <w:spacing w:val="-15"/>
        </w:rPr>
        <w:t xml:space="preserve"> </w:t>
      </w:r>
      <w:r>
        <w:t>del</w:t>
      </w:r>
      <w:r>
        <w:rPr>
          <w:spacing w:val="-15"/>
        </w:rPr>
        <w:t xml:space="preserve"> </w:t>
      </w:r>
      <w:r>
        <w:t>sentido común</w:t>
      </w:r>
      <w:r>
        <w:rPr>
          <w:spacing w:val="-6"/>
        </w:rPr>
        <w:t xml:space="preserve"> </w:t>
      </w:r>
      <w:r>
        <w:t>(lo</w:t>
      </w:r>
      <w:r>
        <w:rPr>
          <w:spacing w:val="-4"/>
        </w:rPr>
        <w:t xml:space="preserve"> </w:t>
      </w:r>
      <w:r>
        <w:t>cual</w:t>
      </w:r>
      <w:r>
        <w:rPr>
          <w:spacing w:val="-3"/>
        </w:rPr>
        <w:t xml:space="preserve"> </w:t>
      </w:r>
      <w:r>
        <w:t>toma</w:t>
      </w:r>
      <w:r>
        <w:rPr>
          <w:spacing w:val="-4"/>
        </w:rPr>
        <w:t xml:space="preserve"> </w:t>
      </w:r>
      <w:r>
        <w:t>tiempo),</w:t>
      </w:r>
      <w:r>
        <w:rPr>
          <w:spacing w:val="-3"/>
        </w:rPr>
        <w:t xml:space="preserve"> </w:t>
      </w:r>
      <w:r>
        <w:t>sino</w:t>
      </w:r>
      <w:r>
        <w:rPr>
          <w:spacing w:val="-4"/>
        </w:rPr>
        <w:t xml:space="preserve"> </w:t>
      </w:r>
      <w:r>
        <w:t>que</w:t>
      </w:r>
      <w:r>
        <w:rPr>
          <w:spacing w:val="-4"/>
        </w:rPr>
        <w:t xml:space="preserve"> </w:t>
      </w:r>
      <w:r>
        <w:t>tenga</w:t>
      </w:r>
      <w:r>
        <w:rPr>
          <w:spacing w:val="-4"/>
        </w:rPr>
        <w:t xml:space="preserve"> </w:t>
      </w:r>
      <w:r>
        <w:t>poder</w:t>
      </w:r>
      <w:r>
        <w:rPr>
          <w:spacing w:val="-3"/>
        </w:rPr>
        <w:t xml:space="preserve"> </w:t>
      </w:r>
      <w:r>
        <w:t>para</w:t>
      </w:r>
      <w:r>
        <w:rPr>
          <w:spacing w:val="-3"/>
        </w:rPr>
        <w:t xml:space="preserve"> </w:t>
      </w:r>
      <w:r>
        <w:t>controlar</w:t>
      </w:r>
      <w:r>
        <w:rPr>
          <w:spacing w:val="-3"/>
        </w:rPr>
        <w:t xml:space="preserve"> </w:t>
      </w:r>
      <w:r>
        <w:t>el</w:t>
      </w:r>
      <w:r>
        <w:rPr>
          <w:spacing w:val="-3"/>
        </w:rPr>
        <w:t xml:space="preserve"> </w:t>
      </w:r>
      <w:r>
        <w:t>sentido</w:t>
      </w:r>
      <w:r>
        <w:rPr>
          <w:spacing w:val="-4"/>
        </w:rPr>
        <w:t xml:space="preserve"> </w:t>
      </w:r>
      <w:r>
        <w:t>y</w:t>
      </w:r>
      <w:r>
        <w:rPr>
          <w:spacing w:val="-3"/>
        </w:rPr>
        <w:t xml:space="preserve"> </w:t>
      </w:r>
      <w:r>
        <w:rPr>
          <w:spacing w:val="-2"/>
        </w:rPr>
        <w:t>resignificarlo.</w:t>
      </w:r>
    </w:p>
    <w:p w:rsidR="003804AC" w:rsidRDefault="00AF18A5" w:rsidP="00F96E2B">
      <w:r>
        <w:t>Algo que usualmente sucede desde los actores de poder o los actores armados, pero en este caso</w:t>
      </w:r>
      <w:r>
        <w:rPr>
          <w:spacing w:val="-3"/>
        </w:rPr>
        <w:t xml:space="preserve"> </w:t>
      </w:r>
      <w:r>
        <w:t>la</w:t>
      </w:r>
      <w:r>
        <w:rPr>
          <w:spacing w:val="-3"/>
        </w:rPr>
        <w:t xml:space="preserve"> </w:t>
      </w:r>
      <w:r>
        <w:t>apuesta</w:t>
      </w:r>
      <w:r>
        <w:rPr>
          <w:spacing w:val="-3"/>
        </w:rPr>
        <w:t xml:space="preserve"> </w:t>
      </w:r>
      <w:r>
        <w:t>es</w:t>
      </w:r>
      <w:r>
        <w:rPr>
          <w:spacing w:val="-4"/>
        </w:rPr>
        <w:t xml:space="preserve"> </w:t>
      </w:r>
      <w:r>
        <w:t>que</w:t>
      </w:r>
      <w:r>
        <w:rPr>
          <w:spacing w:val="-3"/>
        </w:rPr>
        <w:t xml:space="preserve"> </w:t>
      </w:r>
      <w:r>
        <w:t>parta</w:t>
      </w:r>
      <w:r>
        <w:rPr>
          <w:spacing w:val="-3"/>
        </w:rPr>
        <w:t xml:space="preserve"> </w:t>
      </w:r>
      <w:r>
        <w:t>de</w:t>
      </w:r>
      <w:r>
        <w:rPr>
          <w:spacing w:val="-3"/>
        </w:rPr>
        <w:t xml:space="preserve"> </w:t>
      </w:r>
      <w:r>
        <w:t>la</w:t>
      </w:r>
      <w:r>
        <w:rPr>
          <w:spacing w:val="-4"/>
        </w:rPr>
        <w:t xml:space="preserve"> </w:t>
      </w:r>
      <w:r>
        <w:t>elevación</w:t>
      </w:r>
      <w:r>
        <w:rPr>
          <w:spacing w:val="-3"/>
        </w:rPr>
        <w:t xml:space="preserve"> </w:t>
      </w:r>
      <w:r>
        <w:t>de</w:t>
      </w:r>
      <w:r>
        <w:rPr>
          <w:spacing w:val="-4"/>
        </w:rPr>
        <w:t xml:space="preserve"> </w:t>
      </w:r>
      <w:r>
        <w:t>niveles</w:t>
      </w:r>
      <w:r>
        <w:rPr>
          <w:spacing w:val="-3"/>
        </w:rPr>
        <w:t xml:space="preserve"> </w:t>
      </w:r>
      <w:r>
        <w:t>de</w:t>
      </w:r>
      <w:r>
        <w:rPr>
          <w:spacing w:val="-3"/>
        </w:rPr>
        <w:t xml:space="preserve"> </w:t>
      </w:r>
      <w:r>
        <w:t>conciencia</w:t>
      </w:r>
      <w:r>
        <w:rPr>
          <w:spacing w:val="-3"/>
        </w:rPr>
        <w:t xml:space="preserve"> </w:t>
      </w:r>
      <w:r>
        <w:t>social</w:t>
      </w:r>
      <w:r>
        <w:rPr>
          <w:spacing w:val="-3"/>
        </w:rPr>
        <w:t xml:space="preserve"> </w:t>
      </w:r>
      <w:r>
        <w:t>y</w:t>
      </w:r>
      <w:r>
        <w:rPr>
          <w:spacing w:val="-3"/>
        </w:rPr>
        <w:t xml:space="preserve"> </w:t>
      </w:r>
      <w:r>
        <w:t>se</w:t>
      </w:r>
      <w:r>
        <w:rPr>
          <w:spacing w:val="-3"/>
        </w:rPr>
        <w:t xml:space="preserve"> </w:t>
      </w:r>
      <w:r>
        <w:t>convierta</w:t>
      </w:r>
      <w:r>
        <w:rPr>
          <w:spacing w:val="-4"/>
        </w:rPr>
        <w:t xml:space="preserve"> </w:t>
      </w:r>
      <w:r>
        <w:t xml:space="preserve">en un clamor que conduzca a un pacto social renovado sobre la base de una verdadera ética </w:t>
      </w:r>
      <w:r>
        <w:rPr>
          <w:spacing w:val="-2"/>
        </w:rPr>
        <w:t>pública.</w:t>
      </w:r>
    </w:p>
    <w:p w:rsidR="0011361F" w:rsidRDefault="00AF18A5" w:rsidP="004A6EF4">
      <w:pPr>
        <w:pStyle w:val="Ttulo4"/>
        <w:numPr>
          <w:ilvl w:val="2"/>
          <w:numId w:val="16"/>
        </w:numPr>
      </w:pPr>
      <w:bookmarkStart w:id="1421" w:name="10.13.3._Los_medios_de_comunicación"/>
      <w:bookmarkEnd w:id="1421"/>
      <w:r>
        <w:t>Los</w:t>
      </w:r>
      <w:r>
        <w:rPr>
          <w:spacing w:val="-1"/>
        </w:rPr>
        <w:t xml:space="preserve"> </w:t>
      </w:r>
      <w:r w:rsidRPr="00F96E2B">
        <w:t>medios</w:t>
      </w:r>
      <w:r>
        <w:t xml:space="preserve"> de</w:t>
      </w:r>
      <w:r>
        <w:rPr>
          <w:spacing w:val="-1"/>
        </w:rPr>
        <w:t xml:space="preserve"> </w:t>
      </w:r>
      <w:r>
        <w:t>comunicación</w:t>
      </w:r>
    </w:p>
    <w:p w:rsidR="003804AC" w:rsidRPr="00F96E2B" w:rsidRDefault="00AF18A5" w:rsidP="00F96E2B">
      <w:r>
        <w:t>La mayoría de ellos de propiedad de sectores de poder con intereses más particulares que comunes,</w:t>
      </w:r>
      <w:r>
        <w:rPr>
          <w:spacing w:val="-7"/>
        </w:rPr>
        <w:t xml:space="preserve"> </w:t>
      </w:r>
      <w:r>
        <w:t>han</w:t>
      </w:r>
      <w:r>
        <w:rPr>
          <w:spacing w:val="-7"/>
        </w:rPr>
        <w:t xml:space="preserve"> </w:t>
      </w:r>
      <w:r>
        <w:t>extendido</w:t>
      </w:r>
      <w:r>
        <w:rPr>
          <w:spacing w:val="-7"/>
        </w:rPr>
        <w:t xml:space="preserve"> </w:t>
      </w:r>
      <w:r>
        <w:t>muchas</w:t>
      </w:r>
      <w:r>
        <w:rPr>
          <w:spacing w:val="-7"/>
        </w:rPr>
        <w:t xml:space="preserve"> </w:t>
      </w:r>
      <w:r>
        <w:t>veces</w:t>
      </w:r>
      <w:r>
        <w:rPr>
          <w:spacing w:val="-7"/>
        </w:rPr>
        <w:t xml:space="preserve"> </w:t>
      </w:r>
      <w:r>
        <w:t>una</w:t>
      </w:r>
      <w:r>
        <w:rPr>
          <w:spacing w:val="-7"/>
        </w:rPr>
        <w:t xml:space="preserve"> </w:t>
      </w:r>
      <w:r>
        <w:t>noción</w:t>
      </w:r>
      <w:r>
        <w:rPr>
          <w:spacing w:val="-7"/>
        </w:rPr>
        <w:t xml:space="preserve"> </w:t>
      </w:r>
      <w:r>
        <w:lastRenderedPageBreak/>
        <w:t>amañada</w:t>
      </w:r>
      <w:r>
        <w:rPr>
          <w:spacing w:val="-7"/>
        </w:rPr>
        <w:t xml:space="preserve"> </w:t>
      </w:r>
      <w:r>
        <w:t>de</w:t>
      </w:r>
      <w:r>
        <w:rPr>
          <w:spacing w:val="-7"/>
        </w:rPr>
        <w:t xml:space="preserve"> </w:t>
      </w:r>
      <w:r>
        <w:t>la</w:t>
      </w:r>
      <w:r>
        <w:rPr>
          <w:spacing w:val="-7"/>
        </w:rPr>
        <w:t xml:space="preserve"> </w:t>
      </w:r>
      <w:r>
        <w:t>realidad,</w:t>
      </w:r>
      <w:r>
        <w:rPr>
          <w:spacing w:val="-7"/>
        </w:rPr>
        <w:t xml:space="preserve"> </w:t>
      </w:r>
      <w:r>
        <w:t>han</w:t>
      </w:r>
      <w:r>
        <w:rPr>
          <w:spacing w:val="-7"/>
        </w:rPr>
        <w:t xml:space="preserve"> </w:t>
      </w:r>
      <w:r>
        <w:t>ocultado</w:t>
      </w:r>
      <w:r>
        <w:rPr>
          <w:spacing w:val="-7"/>
        </w:rPr>
        <w:t xml:space="preserve"> </w:t>
      </w:r>
      <w:r>
        <w:t>otra parte y se han ensañado con otros sectores o poblaciones, produciendo una noción fragmentada</w:t>
      </w:r>
      <w:r>
        <w:rPr>
          <w:spacing w:val="-13"/>
        </w:rPr>
        <w:t xml:space="preserve"> </w:t>
      </w:r>
      <w:r>
        <w:t>e</w:t>
      </w:r>
      <w:r>
        <w:rPr>
          <w:spacing w:val="-12"/>
        </w:rPr>
        <w:t xml:space="preserve"> </w:t>
      </w:r>
      <w:r>
        <w:t>irreal</w:t>
      </w:r>
      <w:r>
        <w:rPr>
          <w:spacing w:val="-11"/>
        </w:rPr>
        <w:t xml:space="preserve"> </w:t>
      </w:r>
      <w:r>
        <w:t>del</w:t>
      </w:r>
      <w:r>
        <w:rPr>
          <w:spacing w:val="-14"/>
        </w:rPr>
        <w:t xml:space="preserve"> </w:t>
      </w:r>
      <w:r>
        <w:t>país.</w:t>
      </w:r>
      <w:r>
        <w:rPr>
          <w:spacing w:val="-12"/>
        </w:rPr>
        <w:t xml:space="preserve"> </w:t>
      </w:r>
      <w:r>
        <w:t>Esta</w:t>
      </w:r>
      <w:r>
        <w:rPr>
          <w:spacing w:val="-12"/>
        </w:rPr>
        <w:t xml:space="preserve"> </w:t>
      </w:r>
      <w:r>
        <w:t>es</w:t>
      </w:r>
      <w:r>
        <w:rPr>
          <w:spacing w:val="-13"/>
        </w:rPr>
        <w:t xml:space="preserve"> </w:t>
      </w:r>
      <w:r>
        <w:t>muy</w:t>
      </w:r>
      <w:r>
        <w:rPr>
          <w:spacing w:val="-12"/>
        </w:rPr>
        <w:t xml:space="preserve"> </w:t>
      </w:r>
      <w:r>
        <w:t>difícil</w:t>
      </w:r>
      <w:r>
        <w:rPr>
          <w:spacing w:val="-11"/>
        </w:rPr>
        <w:t xml:space="preserve"> </w:t>
      </w:r>
      <w:r>
        <w:t>de</w:t>
      </w:r>
      <w:r>
        <w:rPr>
          <w:spacing w:val="-12"/>
        </w:rPr>
        <w:t xml:space="preserve"> </w:t>
      </w:r>
      <w:r>
        <w:t>comprender,</w:t>
      </w:r>
      <w:r>
        <w:rPr>
          <w:spacing w:val="-12"/>
        </w:rPr>
        <w:t xml:space="preserve"> </w:t>
      </w:r>
      <w:r>
        <w:t>especialmente</w:t>
      </w:r>
      <w:r>
        <w:rPr>
          <w:spacing w:val="-12"/>
        </w:rPr>
        <w:t xml:space="preserve"> </w:t>
      </w:r>
      <w:r>
        <w:t>para</w:t>
      </w:r>
      <w:r>
        <w:rPr>
          <w:spacing w:val="-12"/>
        </w:rPr>
        <w:t xml:space="preserve"> </w:t>
      </w:r>
      <w:r>
        <w:t>aquellos sectores con menor capacidad de análisis y para aquellos incapaces de escuchar otras posiciones, otras verdades. Por años, la narrativa de muchos medios se ha construido sobre la</w:t>
      </w:r>
      <w:r>
        <w:rPr>
          <w:spacing w:val="-5"/>
        </w:rPr>
        <w:t xml:space="preserve"> </w:t>
      </w:r>
      <w:r>
        <w:t>base</w:t>
      </w:r>
      <w:r>
        <w:rPr>
          <w:spacing w:val="-6"/>
        </w:rPr>
        <w:t xml:space="preserve"> </w:t>
      </w:r>
      <w:r>
        <w:t>de</w:t>
      </w:r>
      <w:r>
        <w:rPr>
          <w:spacing w:val="-5"/>
        </w:rPr>
        <w:t xml:space="preserve"> </w:t>
      </w:r>
      <w:r>
        <w:t>epítetos,</w:t>
      </w:r>
      <w:r>
        <w:rPr>
          <w:spacing w:val="-5"/>
        </w:rPr>
        <w:t xml:space="preserve"> </w:t>
      </w:r>
      <w:r>
        <w:t>más</w:t>
      </w:r>
      <w:r>
        <w:rPr>
          <w:spacing w:val="-5"/>
        </w:rPr>
        <w:t xml:space="preserve"> </w:t>
      </w:r>
      <w:r>
        <w:t>que</w:t>
      </w:r>
      <w:r>
        <w:rPr>
          <w:spacing w:val="-5"/>
        </w:rPr>
        <w:t xml:space="preserve"> </w:t>
      </w:r>
      <w:r>
        <w:t>sobre</w:t>
      </w:r>
      <w:r>
        <w:rPr>
          <w:spacing w:val="-5"/>
        </w:rPr>
        <w:t xml:space="preserve"> </w:t>
      </w:r>
      <w:r>
        <w:t>explicaciones</w:t>
      </w:r>
      <w:r>
        <w:rPr>
          <w:spacing w:val="-6"/>
        </w:rPr>
        <w:t xml:space="preserve"> </w:t>
      </w:r>
      <w:r>
        <w:t>exhaustivas.</w:t>
      </w:r>
      <w:r>
        <w:rPr>
          <w:spacing w:val="-6"/>
        </w:rPr>
        <w:t xml:space="preserve"> </w:t>
      </w:r>
      <w:r>
        <w:t>Los</w:t>
      </w:r>
      <w:r>
        <w:rPr>
          <w:spacing w:val="-5"/>
        </w:rPr>
        <w:t xml:space="preserve"> </w:t>
      </w:r>
      <w:r>
        <w:t>medios</w:t>
      </w:r>
      <w:r>
        <w:rPr>
          <w:spacing w:val="-6"/>
        </w:rPr>
        <w:t xml:space="preserve"> </w:t>
      </w:r>
      <w:r>
        <w:t>que</w:t>
      </w:r>
      <w:r>
        <w:rPr>
          <w:spacing w:val="-5"/>
        </w:rPr>
        <w:t xml:space="preserve"> </w:t>
      </w:r>
      <w:r>
        <w:t>han</w:t>
      </w:r>
      <w:r>
        <w:rPr>
          <w:spacing w:val="-5"/>
        </w:rPr>
        <w:t xml:space="preserve"> </w:t>
      </w:r>
      <w:r>
        <w:t>procurado independencia</w:t>
      </w:r>
      <w:r>
        <w:rPr>
          <w:spacing w:val="-2"/>
        </w:rPr>
        <w:t xml:space="preserve"> </w:t>
      </w:r>
      <w:r>
        <w:t>e</w:t>
      </w:r>
      <w:r>
        <w:rPr>
          <w:spacing w:val="-3"/>
        </w:rPr>
        <w:t xml:space="preserve"> </w:t>
      </w:r>
      <w:r>
        <w:t>imparcialidad,</w:t>
      </w:r>
      <w:r>
        <w:rPr>
          <w:spacing w:val="-3"/>
        </w:rPr>
        <w:t xml:space="preserve"> </w:t>
      </w:r>
      <w:r>
        <w:t>que</w:t>
      </w:r>
      <w:r>
        <w:rPr>
          <w:spacing w:val="-3"/>
        </w:rPr>
        <w:t xml:space="preserve"> </w:t>
      </w:r>
      <w:r>
        <w:t>han</w:t>
      </w:r>
      <w:r>
        <w:rPr>
          <w:spacing w:val="-2"/>
        </w:rPr>
        <w:t xml:space="preserve"> </w:t>
      </w:r>
      <w:r>
        <w:t>formado</w:t>
      </w:r>
      <w:r>
        <w:rPr>
          <w:spacing w:val="-3"/>
        </w:rPr>
        <w:t xml:space="preserve"> </w:t>
      </w:r>
      <w:r>
        <w:t>a</w:t>
      </w:r>
      <w:r>
        <w:rPr>
          <w:spacing w:val="-3"/>
        </w:rPr>
        <w:t xml:space="preserve"> </w:t>
      </w:r>
      <w:r>
        <w:t>la</w:t>
      </w:r>
      <w:r>
        <w:rPr>
          <w:spacing w:val="-2"/>
        </w:rPr>
        <w:t xml:space="preserve"> </w:t>
      </w:r>
      <w:r>
        <w:t>ciudadanía</w:t>
      </w:r>
      <w:r>
        <w:rPr>
          <w:spacing w:val="-2"/>
        </w:rPr>
        <w:t xml:space="preserve"> </w:t>
      </w:r>
      <w:r>
        <w:t>con</w:t>
      </w:r>
      <w:r>
        <w:rPr>
          <w:spacing w:val="-3"/>
        </w:rPr>
        <w:t xml:space="preserve"> </w:t>
      </w:r>
      <w:r>
        <w:t>información</w:t>
      </w:r>
      <w:r>
        <w:rPr>
          <w:spacing w:val="-3"/>
        </w:rPr>
        <w:t xml:space="preserve"> </w:t>
      </w:r>
      <w:r>
        <w:t>objetiva</w:t>
      </w:r>
      <w:r>
        <w:rPr>
          <w:spacing w:val="-4"/>
        </w:rPr>
        <w:t xml:space="preserve"> </w:t>
      </w:r>
      <w:r>
        <w:t>y profunda,</w:t>
      </w:r>
      <w:r>
        <w:rPr>
          <w:spacing w:val="-12"/>
        </w:rPr>
        <w:t xml:space="preserve"> </w:t>
      </w:r>
      <w:r>
        <w:t>han</w:t>
      </w:r>
      <w:r>
        <w:rPr>
          <w:spacing w:val="-12"/>
        </w:rPr>
        <w:t xml:space="preserve"> </w:t>
      </w:r>
      <w:r>
        <w:t>estado</w:t>
      </w:r>
      <w:r>
        <w:rPr>
          <w:spacing w:val="-12"/>
        </w:rPr>
        <w:t xml:space="preserve"> </w:t>
      </w:r>
      <w:r>
        <w:t>sometidos</w:t>
      </w:r>
      <w:r>
        <w:rPr>
          <w:spacing w:val="-12"/>
        </w:rPr>
        <w:t xml:space="preserve"> </w:t>
      </w:r>
      <w:r>
        <w:t>a</w:t>
      </w:r>
      <w:r>
        <w:rPr>
          <w:spacing w:val="-12"/>
        </w:rPr>
        <w:t xml:space="preserve"> </w:t>
      </w:r>
      <w:r>
        <w:t>la</w:t>
      </w:r>
      <w:r>
        <w:rPr>
          <w:spacing w:val="-13"/>
        </w:rPr>
        <w:t xml:space="preserve"> </w:t>
      </w:r>
      <w:r>
        <w:t>presión</w:t>
      </w:r>
      <w:r>
        <w:rPr>
          <w:spacing w:val="-12"/>
        </w:rPr>
        <w:t xml:space="preserve"> </w:t>
      </w:r>
      <w:r>
        <w:t>de</w:t>
      </w:r>
      <w:r>
        <w:rPr>
          <w:spacing w:val="-13"/>
        </w:rPr>
        <w:t xml:space="preserve"> </w:t>
      </w:r>
      <w:r>
        <w:t>la</w:t>
      </w:r>
      <w:r>
        <w:rPr>
          <w:spacing w:val="-13"/>
        </w:rPr>
        <w:t xml:space="preserve"> </w:t>
      </w:r>
      <w:r>
        <w:t>financiación</w:t>
      </w:r>
      <w:r>
        <w:rPr>
          <w:spacing w:val="-12"/>
        </w:rPr>
        <w:t xml:space="preserve"> </w:t>
      </w:r>
      <w:r>
        <w:t>o</w:t>
      </w:r>
      <w:r>
        <w:rPr>
          <w:spacing w:val="-12"/>
        </w:rPr>
        <w:t xml:space="preserve"> </w:t>
      </w:r>
      <w:r>
        <w:t>han</w:t>
      </w:r>
      <w:r>
        <w:rPr>
          <w:spacing w:val="-12"/>
        </w:rPr>
        <w:t xml:space="preserve"> </w:t>
      </w:r>
      <w:r>
        <w:t>sido</w:t>
      </w:r>
      <w:r>
        <w:rPr>
          <w:spacing w:val="-13"/>
        </w:rPr>
        <w:t xml:space="preserve"> </w:t>
      </w:r>
      <w:r>
        <w:t>estigmatizados.</w:t>
      </w:r>
      <w:r>
        <w:rPr>
          <w:spacing w:val="-12"/>
        </w:rPr>
        <w:t xml:space="preserve"> </w:t>
      </w:r>
      <w:r>
        <w:t xml:space="preserve">Sus directores y periodistas han sido asesinados, como el caso de Guillermo Cano, director del periódico </w:t>
      </w:r>
      <w:r w:rsidRPr="00F96E2B">
        <w:t>El Espectador.</w:t>
      </w:r>
    </w:p>
    <w:p w:rsidR="003804AC" w:rsidRDefault="00AF18A5" w:rsidP="00F96E2B">
      <w:r>
        <w:t>Las redes sociales, si bien llegaron para democratizar la información, exigen una ciudadanía formada, capaz de distinguir lo que es verdadero, bueno y conviene a todos, de los</w:t>
      </w:r>
      <w:r>
        <w:rPr>
          <w:spacing w:val="-13"/>
        </w:rPr>
        <w:t xml:space="preserve"> </w:t>
      </w:r>
      <w:r>
        <w:t>intereses</w:t>
      </w:r>
      <w:r>
        <w:rPr>
          <w:spacing w:val="-14"/>
        </w:rPr>
        <w:t xml:space="preserve"> </w:t>
      </w:r>
      <w:r>
        <w:t>y</w:t>
      </w:r>
      <w:r>
        <w:rPr>
          <w:spacing w:val="-13"/>
        </w:rPr>
        <w:t xml:space="preserve"> </w:t>
      </w:r>
      <w:r>
        <w:t>discursos</w:t>
      </w:r>
      <w:r>
        <w:rPr>
          <w:spacing w:val="-14"/>
        </w:rPr>
        <w:t xml:space="preserve"> </w:t>
      </w:r>
      <w:r>
        <w:t>que</w:t>
      </w:r>
      <w:r>
        <w:rPr>
          <w:spacing w:val="-13"/>
        </w:rPr>
        <w:t xml:space="preserve"> </w:t>
      </w:r>
      <w:r>
        <w:t>buscan</w:t>
      </w:r>
      <w:r>
        <w:rPr>
          <w:spacing w:val="-14"/>
        </w:rPr>
        <w:t xml:space="preserve"> </w:t>
      </w:r>
      <w:r>
        <w:t>beneficios</w:t>
      </w:r>
      <w:r>
        <w:rPr>
          <w:spacing w:val="-13"/>
        </w:rPr>
        <w:t xml:space="preserve"> </w:t>
      </w:r>
      <w:r>
        <w:t>particulares</w:t>
      </w:r>
      <w:r>
        <w:rPr>
          <w:spacing w:val="-14"/>
        </w:rPr>
        <w:t xml:space="preserve"> </w:t>
      </w:r>
      <w:r>
        <w:t>o,</w:t>
      </w:r>
      <w:r>
        <w:rPr>
          <w:spacing w:val="-13"/>
        </w:rPr>
        <w:t xml:space="preserve"> </w:t>
      </w:r>
      <w:r>
        <w:t>lo</w:t>
      </w:r>
      <w:r>
        <w:rPr>
          <w:spacing w:val="-13"/>
        </w:rPr>
        <w:t xml:space="preserve"> </w:t>
      </w:r>
      <w:r>
        <w:t>que</w:t>
      </w:r>
      <w:r>
        <w:rPr>
          <w:spacing w:val="-14"/>
        </w:rPr>
        <w:t xml:space="preserve"> </w:t>
      </w:r>
      <w:r>
        <w:t>es</w:t>
      </w:r>
      <w:r>
        <w:rPr>
          <w:spacing w:val="-13"/>
        </w:rPr>
        <w:t xml:space="preserve"> </w:t>
      </w:r>
      <w:r>
        <w:t>peor,</w:t>
      </w:r>
      <w:r>
        <w:rPr>
          <w:spacing w:val="-13"/>
        </w:rPr>
        <w:t xml:space="preserve"> </w:t>
      </w:r>
      <w:r>
        <w:t>destruir</w:t>
      </w:r>
      <w:r>
        <w:rPr>
          <w:spacing w:val="-13"/>
        </w:rPr>
        <w:t xml:space="preserve"> </w:t>
      </w:r>
      <w:r>
        <w:t>valores, personas</w:t>
      </w:r>
      <w:r>
        <w:rPr>
          <w:spacing w:val="-15"/>
        </w:rPr>
        <w:t xml:space="preserve"> </w:t>
      </w:r>
      <w:r>
        <w:t>y</w:t>
      </w:r>
      <w:r>
        <w:rPr>
          <w:spacing w:val="-14"/>
        </w:rPr>
        <w:t xml:space="preserve"> </w:t>
      </w:r>
      <w:r>
        <w:t>colectivos.</w:t>
      </w:r>
      <w:r>
        <w:rPr>
          <w:spacing w:val="-15"/>
        </w:rPr>
        <w:t xml:space="preserve"> </w:t>
      </w:r>
      <w:r>
        <w:t>Este</w:t>
      </w:r>
      <w:r>
        <w:rPr>
          <w:spacing w:val="-14"/>
        </w:rPr>
        <w:t xml:space="preserve"> </w:t>
      </w:r>
      <w:r>
        <w:t>reto,</w:t>
      </w:r>
      <w:r>
        <w:rPr>
          <w:spacing w:val="-14"/>
        </w:rPr>
        <w:t xml:space="preserve"> </w:t>
      </w:r>
      <w:r>
        <w:t>el</w:t>
      </w:r>
      <w:r>
        <w:rPr>
          <w:spacing w:val="-14"/>
        </w:rPr>
        <w:t xml:space="preserve"> </w:t>
      </w:r>
      <w:r>
        <w:t>de</w:t>
      </w:r>
      <w:r>
        <w:rPr>
          <w:spacing w:val="-15"/>
        </w:rPr>
        <w:t xml:space="preserve"> </w:t>
      </w:r>
      <w:r>
        <w:t>formar</w:t>
      </w:r>
      <w:r>
        <w:rPr>
          <w:spacing w:val="-14"/>
        </w:rPr>
        <w:t xml:space="preserve"> </w:t>
      </w:r>
      <w:r>
        <w:t>una</w:t>
      </w:r>
      <w:r>
        <w:rPr>
          <w:spacing w:val="-14"/>
        </w:rPr>
        <w:t xml:space="preserve"> </w:t>
      </w:r>
      <w:r>
        <w:t>sociedad</w:t>
      </w:r>
      <w:r>
        <w:rPr>
          <w:spacing w:val="-14"/>
        </w:rPr>
        <w:t xml:space="preserve"> </w:t>
      </w:r>
      <w:r>
        <w:t>con</w:t>
      </w:r>
      <w:r>
        <w:rPr>
          <w:spacing w:val="-15"/>
        </w:rPr>
        <w:t xml:space="preserve"> </w:t>
      </w:r>
      <w:r>
        <w:t>capacidad</w:t>
      </w:r>
      <w:r>
        <w:rPr>
          <w:spacing w:val="-14"/>
        </w:rPr>
        <w:t xml:space="preserve"> </w:t>
      </w:r>
      <w:r>
        <w:t>de</w:t>
      </w:r>
      <w:r>
        <w:rPr>
          <w:spacing w:val="-14"/>
        </w:rPr>
        <w:t xml:space="preserve"> </w:t>
      </w:r>
      <w:r>
        <w:t>análisis,</w:t>
      </w:r>
      <w:r>
        <w:rPr>
          <w:spacing w:val="-15"/>
        </w:rPr>
        <w:t xml:space="preserve"> </w:t>
      </w:r>
      <w:r>
        <w:t>también lo debe asumir el sistema educativo.</w:t>
      </w:r>
    </w:p>
    <w:p w:rsidR="003804AC" w:rsidRDefault="00AF18A5" w:rsidP="00F96E2B">
      <w:r>
        <w:t>La Comisión trabaja en un mundo donde lo digital y las redes sociales se han convertido en potentes mecanismos para difundir información. Pero también en un tiempo de esa posverdad donde no solo se difunden informaciones distorsionadas de forma masiva. Un tiempo que muestra que la verdad y el bien común realmente importan.</w:t>
      </w:r>
    </w:p>
    <w:p w:rsidR="0011361F" w:rsidRDefault="00AF18A5" w:rsidP="004A6EF4">
      <w:pPr>
        <w:pStyle w:val="Ttulo4"/>
        <w:numPr>
          <w:ilvl w:val="2"/>
          <w:numId w:val="16"/>
        </w:numPr>
      </w:pPr>
      <w:bookmarkStart w:id="1422" w:name="10.13.4._Las_iglesias_y_comunidades_de_f"/>
      <w:bookmarkEnd w:id="1422"/>
      <w:r>
        <w:t>Las</w:t>
      </w:r>
      <w:r>
        <w:rPr>
          <w:spacing w:val="-2"/>
        </w:rPr>
        <w:t xml:space="preserve"> </w:t>
      </w:r>
      <w:r>
        <w:t>iglesias</w:t>
      </w:r>
      <w:r>
        <w:rPr>
          <w:spacing w:val="-2"/>
        </w:rPr>
        <w:t xml:space="preserve"> </w:t>
      </w:r>
      <w:r>
        <w:t>y</w:t>
      </w:r>
      <w:r>
        <w:rPr>
          <w:spacing w:val="-1"/>
        </w:rPr>
        <w:t xml:space="preserve"> </w:t>
      </w:r>
      <w:r>
        <w:t>comunidades</w:t>
      </w:r>
      <w:r>
        <w:rPr>
          <w:spacing w:val="-2"/>
        </w:rPr>
        <w:t xml:space="preserve"> </w:t>
      </w:r>
      <w:r>
        <w:t>de</w:t>
      </w:r>
      <w:r>
        <w:rPr>
          <w:spacing w:val="-1"/>
        </w:rPr>
        <w:t xml:space="preserve"> </w:t>
      </w:r>
      <w:r>
        <w:rPr>
          <w:spacing w:val="-5"/>
        </w:rPr>
        <w:t>fe</w:t>
      </w:r>
    </w:p>
    <w:p w:rsidR="003804AC" w:rsidRDefault="00AF18A5" w:rsidP="003B152F">
      <w:r>
        <w:t>Por años han tenido un lugar dual en la configuración de los patrones culturales, que se radicalizan</w:t>
      </w:r>
      <w:r>
        <w:rPr>
          <w:spacing w:val="-8"/>
        </w:rPr>
        <w:t xml:space="preserve"> </w:t>
      </w:r>
      <w:r>
        <w:t>de</w:t>
      </w:r>
      <w:r>
        <w:rPr>
          <w:spacing w:val="-4"/>
        </w:rPr>
        <w:t xml:space="preserve"> </w:t>
      </w:r>
      <w:r>
        <w:t>un</w:t>
      </w:r>
      <w:r>
        <w:rPr>
          <w:spacing w:val="-4"/>
        </w:rPr>
        <w:t xml:space="preserve"> </w:t>
      </w:r>
      <w:r>
        <w:t>lado</w:t>
      </w:r>
      <w:r>
        <w:rPr>
          <w:spacing w:val="-4"/>
        </w:rPr>
        <w:t xml:space="preserve"> </w:t>
      </w:r>
      <w:r>
        <w:t>o</w:t>
      </w:r>
      <w:r>
        <w:rPr>
          <w:spacing w:val="-6"/>
        </w:rPr>
        <w:t xml:space="preserve"> </w:t>
      </w:r>
      <w:r>
        <w:t>del</w:t>
      </w:r>
      <w:r>
        <w:rPr>
          <w:spacing w:val="-3"/>
        </w:rPr>
        <w:t xml:space="preserve"> </w:t>
      </w:r>
      <w:r>
        <w:t>otro</w:t>
      </w:r>
      <w:r>
        <w:rPr>
          <w:spacing w:val="-4"/>
        </w:rPr>
        <w:t xml:space="preserve"> </w:t>
      </w:r>
      <w:r>
        <w:t>según</w:t>
      </w:r>
      <w:r>
        <w:rPr>
          <w:spacing w:val="-4"/>
        </w:rPr>
        <w:t xml:space="preserve"> </w:t>
      </w:r>
      <w:r>
        <w:t>los</w:t>
      </w:r>
      <w:r>
        <w:rPr>
          <w:spacing w:val="-4"/>
        </w:rPr>
        <w:t xml:space="preserve"> </w:t>
      </w:r>
      <w:r>
        <w:t>gobiernos</w:t>
      </w:r>
      <w:r>
        <w:rPr>
          <w:spacing w:val="-4"/>
        </w:rPr>
        <w:t xml:space="preserve"> </w:t>
      </w:r>
      <w:r>
        <w:t>de</w:t>
      </w:r>
      <w:r>
        <w:rPr>
          <w:spacing w:val="-5"/>
        </w:rPr>
        <w:t xml:space="preserve"> </w:t>
      </w:r>
      <w:r>
        <w:t>turno,</w:t>
      </w:r>
      <w:r>
        <w:rPr>
          <w:spacing w:val="-4"/>
        </w:rPr>
        <w:t xml:space="preserve"> </w:t>
      </w:r>
      <w:r>
        <w:t>los</w:t>
      </w:r>
      <w:r>
        <w:rPr>
          <w:spacing w:val="-4"/>
        </w:rPr>
        <w:t xml:space="preserve"> </w:t>
      </w:r>
      <w:r>
        <w:t>vaivenes</w:t>
      </w:r>
      <w:r>
        <w:rPr>
          <w:spacing w:val="-4"/>
        </w:rPr>
        <w:t xml:space="preserve"> </w:t>
      </w:r>
      <w:r>
        <w:t>de</w:t>
      </w:r>
      <w:r>
        <w:rPr>
          <w:spacing w:val="-5"/>
        </w:rPr>
        <w:t xml:space="preserve"> </w:t>
      </w:r>
      <w:r>
        <w:t>las</w:t>
      </w:r>
      <w:r>
        <w:rPr>
          <w:spacing w:val="-5"/>
        </w:rPr>
        <w:t xml:space="preserve"> </w:t>
      </w:r>
      <w:r>
        <w:rPr>
          <w:spacing w:val="-2"/>
        </w:rPr>
        <w:t>directrices</w:t>
      </w:r>
      <w:r w:rsidR="003B152F">
        <w:t xml:space="preserve"> </w:t>
      </w:r>
      <w:r>
        <w:t>de</w:t>
      </w:r>
      <w:r>
        <w:rPr>
          <w:spacing w:val="-3"/>
        </w:rPr>
        <w:t xml:space="preserve"> </w:t>
      </w:r>
      <w:r>
        <w:t>las</w:t>
      </w:r>
      <w:r>
        <w:rPr>
          <w:spacing w:val="-4"/>
        </w:rPr>
        <w:t xml:space="preserve"> </w:t>
      </w:r>
      <w:r>
        <w:t>iglesias</w:t>
      </w:r>
      <w:r>
        <w:rPr>
          <w:spacing w:val="-3"/>
        </w:rPr>
        <w:t xml:space="preserve"> </w:t>
      </w:r>
      <w:r>
        <w:t>en</w:t>
      </w:r>
      <w:r>
        <w:rPr>
          <w:spacing w:val="-4"/>
        </w:rPr>
        <w:t xml:space="preserve"> </w:t>
      </w:r>
      <w:r>
        <w:t>al</w:t>
      </w:r>
      <w:r>
        <w:rPr>
          <w:spacing w:val="-4"/>
        </w:rPr>
        <w:t xml:space="preserve"> </w:t>
      </w:r>
      <w:r>
        <w:t>ámbito</w:t>
      </w:r>
      <w:r>
        <w:rPr>
          <w:spacing w:val="-4"/>
        </w:rPr>
        <w:t xml:space="preserve"> </w:t>
      </w:r>
      <w:r>
        <w:lastRenderedPageBreak/>
        <w:t>mundial</w:t>
      </w:r>
      <w:r>
        <w:rPr>
          <w:spacing w:val="-4"/>
        </w:rPr>
        <w:t xml:space="preserve"> </w:t>
      </w:r>
      <w:r>
        <w:t>y</w:t>
      </w:r>
      <w:r>
        <w:rPr>
          <w:spacing w:val="-3"/>
        </w:rPr>
        <w:t xml:space="preserve"> </w:t>
      </w:r>
      <w:r>
        <w:t>las</w:t>
      </w:r>
      <w:r>
        <w:rPr>
          <w:spacing w:val="-4"/>
        </w:rPr>
        <w:t xml:space="preserve"> </w:t>
      </w:r>
      <w:r>
        <w:t>ambiciones</w:t>
      </w:r>
      <w:r>
        <w:rPr>
          <w:spacing w:val="-3"/>
        </w:rPr>
        <w:t xml:space="preserve"> </w:t>
      </w:r>
      <w:r>
        <w:t>de</w:t>
      </w:r>
      <w:r>
        <w:rPr>
          <w:spacing w:val="-3"/>
        </w:rPr>
        <w:t xml:space="preserve"> </w:t>
      </w:r>
      <w:r>
        <w:t>poder</w:t>
      </w:r>
      <w:r>
        <w:rPr>
          <w:spacing w:val="-3"/>
        </w:rPr>
        <w:t xml:space="preserve"> </w:t>
      </w:r>
      <w:r>
        <w:t>de</w:t>
      </w:r>
      <w:r>
        <w:rPr>
          <w:spacing w:val="-4"/>
        </w:rPr>
        <w:t xml:space="preserve"> </w:t>
      </w:r>
      <w:r>
        <w:t>sus</w:t>
      </w:r>
      <w:r>
        <w:rPr>
          <w:spacing w:val="-3"/>
        </w:rPr>
        <w:t xml:space="preserve"> </w:t>
      </w:r>
      <w:r>
        <w:t>dirigentes.</w:t>
      </w:r>
      <w:r>
        <w:rPr>
          <w:spacing w:val="-4"/>
        </w:rPr>
        <w:t xml:space="preserve"> </w:t>
      </w:r>
      <w:r>
        <w:t>Unas</w:t>
      </w:r>
      <w:r>
        <w:rPr>
          <w:spacing w:val="-3"/>
        </w:rPr>
        <w:t xml:space="preserve"> </w:t>
      </w:r>
      <w:r>
        <w:t>veces han</w:t>
      </w:r>
      <w:r>
        <w:rPr>
          <w:spacing w:val="-4"/>
        </w:rPr>
        <w:t xml:space="preserve"> </w:t>
      </w:r>
      <w:r>
        <w:t>estado</w:t>
      </w:r>
      <w:r>
        <w:rPr>
          <w:spacing w:val="-4"/>
        </w:rPr>
        <w:t xml:space="preserve"> </w:t>
      </w:r>
      <w:r>
        <w:t>del</w:t>
      </w:r>
      <w:r>
        <w:rPr>
          <w:spacing w:val="-3"/>
        </w:rPr>
        <w:t xml:space="preserve"> </w:t>
      </w:r>
      <w:r>
        <w:t>lado</w:t>
      </w:r>
      <w:r>
        <w:rPr>
          <w:spacing w:val="-4"/>
        </w:rPr>
        <w:t xml:space="preserve"> </w:t>
      </w:r>
      <w:r>
        <w:t>de</w:t>
      </w:r>
      <w:r>
        <w:rPr>
          <w:spacing w:val="-5"/>
        </w:rPr>
        <w:t xml:space="preserve"> </w:t>
      </w:r>
      <w:r>
        <w:t>la</w:t>
      </w:r>
      <w:r>
        <w:rPr>
          <w:spacing w:val="-5"/>
        </w:rPr>
        <w:t xml:space="preserve"> </w:t>
      </w:r>
      <w:r>
        <w:t>compasión,</w:t>
      </w:r>
      <w:r>
        <w:rPr>
          <w:spacing w:val="-4"/>
        </w:rPr>
        <w:t xml:space="preserve"> </w:t>
      </w:r>
      <w:r>
        <w:t>de</w:t>
      </w:r>
      <w:r>
        <w:rPr>
          <w:spacing w:val="-3"/>
        </w:rPr>
        <w:t xml:space="preserve"> </w:t>
      </w:r>
      <w:r>
        <w:t>los</w:t>
      </w:r>
      <w:r>
        <w:rPr>
          <w:spacing w:val="-3"/>
        </w:rPr>
        <w:t xml:space="preserve"> </w:t>
      </w:r>
      <w:r>
        <w:t>pobres,</w:t>
      </w:r>
      <w:r>
        <w:rPr>
          <w:spacing w:val="-4"/>
        </w:rPr>
        <w:t xml:space="preserve"> </w:t>
      </w:r>
      <w:r>
        <w:t>de</w:t>
      </w:r>
      <w:r>
        <w:rPr>
          <w:spacing w:val="-3"/>
        </w:rPr>
        <w:t xml:space="preserve"> </w:t>
      </w:r>
      <w:r>
        <w:t>la</w:t>
      </w:r>
      <w:r>
        <w:rPr>
          <w:spacing w:val="-3"/>
        </w:rPr>
        <w:t xml:space="preserve"> </w:t>
      </w:r>
      <w:r>
        <w:t>búsqueda</w:t>
      </w:r>
      <w:r>
        <w:rPr>
          <w:spacing w:val="-3"/>
        </w:rPr>
        <w:t xml:space="preserve"> </w:t>
      </w:r>
      <w:r>
        <w:t>de</w:t>
      </w:r>
      <w:r>
        <w:rPr>
          <w:spacing w:val="-3"/>
        </w:rPr>
        <w:t xml:space="preserve"> </w:t>
      </w:r>
      <w:r>
        <w:t>la</w:t>
      </w:r>
      <w:r>
        <w:rPr>
          <w:spacing w:val="-5"/>
        </w:rPr>
        <w:t xml:space="preserve"> </w:t>
      </w:r>
      <w:r>
        <w:t>integración</w:t>
      </w:r>
      <w:r>
        <w:rPr>
          <w:spacing w:val="-4"/>
        </w:rPr>
        <w:t xml:space="preserve"> </w:t>
      </w:r>
      <w:r>
        <w:t>social</w:t>
      </w:r>
      <w:r>
        <w:rPr>
          <w:spacing w:val="-4"/>
        </w:rPr>
        <w:t xml:space="preserve"> </w:t>
      </w:r>
      <w:r>
        <w:t>y de la convivencia pacífica, y otras veces del lado de los poderes, de los privilegios y, sobre todo,</w:t>
      </w:r>
      <w:r>
        <w:rPr>
          <w:spacing w:val="-3"/>
        </w:rPr>
        <w:t xml:space="preserve"> </w:t>
      </w:r>
      <w:r>
        <w:t>de</w:t>
      </w:r>
      <w:r>
        <w:rPr>
          <w:spacing w:val="-3"/>
        </w:rPr>
        <w:t xml:space="preserve"> </w:t>
      </w:r>
      <w:r>
        <w:t>la</w:t>
      </w:r>
      <w:r>
        <w:rPr>
          <w:spacing w:val="-4"/>
        </w:rPr>
        <w:t xml:space="preserve"> </w:t>
      </w:r>
      <w:r>
        <w:t>restricción</w:t>
      </w:r>
      <w:r>
        <w:rPr>
          <w:spacing w:val="-3"/>
        </w:rPr>
        <w:t xml:space="preserve"> </w:t>
      </w:r>
      <w:r>
        <w:t>de</w:t>
      </w:r>
      <w:r>
        <w:rPr>
          <w:spacing w:val="-4"/>
        </w:rPr>
        <w:t xml:space="preserve"> </w:t>
      </w:r>
      <w:r>
        <w:t>las</w:t>
      </w:r>
      <w:r>
        <w:rPr>
          <w:spacing w:val="-3"/>
        </w:rPr>
        <w:t xml:space="preserve"> </w:t>
      </w:r>
      <w:r>
        <w:t>libertades</w:t>
      </w:r>
      <w:r>
        <w:rPr>
          <w:spacing w:val="-3"/>
        </w:rPr>
        <w:t xml:space="preserve"> </w:t>
      </w:r>
      <w:r>
        <w:t>individuales,</w:t>
      </w:r>
      <w:r>
        <w:rPr>
          <w:spacing w:val="-3"/>
        </w:rPr>
        <w:t xml:space="preserve"> </w:t>
      </w:r>
      <w:r>
        <w:t>siendo</w:t>
      </w:r>
      <w:r>
        <w:rPr>
          <w:spacing w:val="-5"/>
        </w:rPr>
        <w:t xml:space="preserve"> </w:t>
      </w:r>
      <w:r>
        <w:t>muy</w:t>
      </w:r>
      <w:r>
        <w:rPr>
          <w:spacing w:val="-3"/>
        </w:rPr>
        <w:t xml:space="preserve"> </w:t>
      </w:r>
      <w:r>
        <w:t>determinante</w:t>
      </w:r>
      <w:r>
        <w:rPr>
          <w:spacing w:val="-3"/>
        </w:rPr>
        <w:t xml:space="preserve"> </w:t>
      </w:r>
      <w:r>
        <w:t>su</w:t>
      </w:r>
      <w:r>
        <w:rPr>
          <w:spacing w:val="-3"/>
        </w:rPr>
        <w:t xml:space="preserve"> </w:t>
      </w:r>
      <w:r>
        <w:t>papel</w:t>
      </w:r>
      <w:r>
        <w:rPr>
          <w:spacing w:val="-3"/>
        </w:rPr>
        <w:t xml:space="preserve"> </w:t>
      </w:r>
      <w:r>
        <w:t>en</w:t>
      </w:r>
      <w:r>
        <w:rPr>
          <w:spacing w:val="-3"/>
        </w:rPr>
        <w:t xml:space="preserve"> </w:t>
      </w:r>
      <w:r>
        <w:t>la estigmatización del otro que no comparte su credo, que no actúa bajo su norma.</w:t>
      </w:r>
    </w:p>
    <w:p w:rsidR="003804AC" w:rsidRDefault="00AF18A5" w:rsidP="003B152F">
      <w:r>
        <w:t>Por</w:t>
      </w:r>
      <w:r>
        <w:rPr>
          <w:spacing w:val="-8"/>
        </w:rPr>
        <w:t xml:space="preserve"> </w:t>
      </w:r>
      <w:r>
        <w:t>ello,</w:t>
      </w:r>
      <w:r>
        <w:rPr>
          <w:spacing w:val="-9"/>
        </w:rPr>
        <w:t xml:space="preserve"> </w:t>
      </w:r>
      <w:r>
        <w:t>la</w:t>
      </w:r>
      <w:r>
        <w:rPr>
          <w:spacing w:val="-9"/>
        </w:rPr>
        <w:t xml:space="preserve"> </w:t>
      </w:r>
      <w:r>
        <w:t>mayoría</w:t>
      </w:r>
      <w:r>
        <w:rPr>
          <w:spacing w:val="-8"/>
        </w:rPr>
        <w:t xml:space="preserve"> </w:t>
      </w:r>
      <w:r>
        <w:t>de</w:t>
      </w:r>
      <w:r>
        <w:rPr>
          <w:spacing w:val="-9"/>
        </w:rPr>
        <w:t xml:space="preserve"> </w:t>
      </w:r>
      <w:r>
        <w:t>las</w:t>
      </w:r>
      <w:r>
        <w:rPr>
          <w:spacing w:val="-8"/>
        </w:rPr>
        <w:t xml:space="preserve"> </w:t>
      </w:r>
      <w:r>
        <w:t>recomendaciones</w:t>
      </w:r>
      <w:r>
        <w:rPr>
          <w:spacing w:val="-9"/>
        </w:rPr>
        <w:t xml:space="preserve"> </w:t>
      </w:r>
      <w:r>
        <w:t>están</w:t>
      </w:r>
      <w:r>
        <w:rPr>
          <w:spacing w:val="-8"/>
        </w:rPr>
        <w:t xml:space="preserve"> </w:t>
      </w:r>
      <w:r>
        <w:t>pensadas</w:t>
      </w:r>
      <w:r>
        <w:rPr>
          <w:spacing w:val="-8"/>
        </w:rPr>
        <w:t xml:space="preserve"> </w:t>
      </w:r>
      <w:r>
        <w:t>para</w:t>
      </w:r>
      <w:r>
        <w:rPr>
          <w:spacing w:val="-10"/>
        </w:rPr>
        <w:t xml:space="preserve"> </w:t>
      </w:r>
      <w:r>
        <w:t>la</w:t>
      </w:r>
      <w:r>
        <w:rPr>
          <w:spacing w:val="-9"/>
        </w:rPr>
        <w:t xml:space="preserve"> </w:t>
      </w:r>
      <w:r>
        <w:t>transformación</w:t>
      </w:r>
      <w:r>
        <w:rPr>
          <w:spacing w:val="-8"/>
        </w:rPr>
        <w:t xml:space="preserve"> </w:t>
      </w:r>
      <w:r>
        <w:t>de</w:t>
      </w:r>
      <w:r>
        <w:rPr>
          <w:spacing w:val="-9"/>
        </w:rPr>
        <w:t xml:space="preserve"> </w:t>
      </w:r>
      <w:r>
        <w:t>una cultura que nos permita vivir armónicamente y en comunidad, para refundar las bases de la democracia.</w:t>
      </w:r>
      <w:r>
        <w:rPr>
          <w:spacing w:val="-7"/>
        </w:rPr>
        <w:t xml:space="preserve"> </w:t>
      </w:r>
      <w:r>
        <w:t>Estas</w:t>
      </w:r>
      <w:r>
        <w:rPr>
          <w:spacing w:val="-6"/>
        </w:rPr>
        <w:t xml:space="preserve"> </w:t>
      </w:r>
      <w:r>
        <w:t>van</w:t>
      </w:r>
      <w:r>
        <w:rPr>
          <w:spacing w:val="-6"/>
        </w:rPr>
        <w:t xml:space="preserve"> </w:t>
      </w:r>
      <w:r>
        <w:t>dirigidas</w:t>
      </w:r>
      <w:r>
        <w:rPr>
          <w:spacing w:val="-6"/>
        </w:rPr>
        <w:t xml:space="preserve"> </w:t>
      </w:r>
      <w:r>
        <w:t>a</w:t>
      </w:r>
      <w:r>
        <w:rPr>
          <w:spacing w:val="-6"/>
        </w:rPr>
        <w:t xml:space="preserve"> </w:t>
      </w:r>
      <w:r>
        <w:t>estos</w:t>
      </w:r>
      <w:r>
        <w:rPr>
          <w:spacing w:val="-6"/>
        </w:rPr>
        <w:t xml:space="preserve"> </w:t>
      </w:r>
      <w:r>
        <w:t>sistemas</w:t>
      </w:r>
      <w:r>
        <w:rPr>
          <w:spacing w:val="-7"/>
        </w:rPr>
        <w:t xml:space="preserve"> </w:t>
      </w:r>
      <w:r>
        <w:t>de</w:t>
      </w:r>
      <w:r>
        <w:rPr>
          <w:spacing w:val="-6"/>
        </w:rPr>
        <w:t xml:space="preserve"> </w:t>
      </w:r>
      <w:r>
        <w:t>creencia</w:t>
      </w:r>
      <w:r>
        <w:rPr>
          <w:spacing w:val="-7"/>
        </w:rPr>
        <w:t xml:space="preserve"> </w:t>
      </w:r>
      <w:r>
        <w:t>por</w:t>
      </w:r>
      <w:r>
        <w:rPr>
          <w:spacing w:val="-6"/>
        </w:rPr>
        <w:t xml:space="preserve"> </w:t>
      </w:r>
      <w:r>
        <w:t>su</w:t>
      </w:r>
      <w:r>
        <w:rPr>
          <w:spacing w:val="-6"/>
        </w:rPr>
        <w:t xml:space="preserve"> </w:t>
      </w:r>
      <w:r>
        <w:t>poder</w:t>
      </w:r>
      <w:r>
        <w:rPr>
          <w:spacing w:val="-7"/>
        </w:rPr>
        <w:t xml:space="preserve"> </w:t>
      </w:r>
      <w:r>
        <w:t>transformador,</w:t>
      </w:r>
      <w:r>
        <w:rPr>
          <w:spacing w:val="-6"/>
        </w:rPr>
        <w:t xml:space="preserve"> </w:t>
      </w:r>
      <w:r>
        <w:t>por su</w:t>
      </w:r>
      <w:r>
        <w:rPr>
          <w:spacing w:val="-15"/>
        </w:rPr>
        <w:t xml:space="preserve"> </w:t>
      </w:r>
      <w:r>
        <w:t>presencia</w:t>
      </w:r>
      <w:r>
        <w:rPr>
          <w:spacing w:val="-15"/>
        </w:rPr>
        <w:t xml:space="preserve"> </w:t>
      </w:r>
      <w:r>
        <w:t>en</w:t>
      </w:r>
      <w:r>
        <w:rPr>
          <w:spacing w:val="-15"/>
        </w:rPr>
        <w:t xml:space="preserve"> </w:t>
      </w:r>
      <w:r>
        <w:t>toda</w:t>
      </w:r>
      <w:r>
        <w:rPr>
          <w:spacing w:val="-15"/>
        </w:rPr>
        <w:t xml:space="preserve"> </w:t>
      </w:r>
      <w:r>
        <w:t>la</w:t>
      </w:r>
      <w:r>
        <w:rPr>
          <w:spacing w:val="-15"/>
        </w:rPr>
        <w:t xml:space="preserve"> </w:t>
      </w:r>
      <w:r>
        <w:t>sociedad</w:t>
      </w:r>
      <w:r>
        <w:rPr>
          <w:spacing w:val="-15"/>
        </w:rPr>
        <w:t xml:space="preserve"> </w:t>
      </w:r>
      <w:r>
        <w:t>y</w:t>
      </w:r>
      <w:r>
        <w:rPr>
          <w:spacing w:val="-15"/>
        </w:rPr>
        <w:t xml:space="preserve"> </w:t>
      </w:r>
      <w:r>
        <w:t>en</w:t>
      </w:r>
      <w:r>
        <w:rPr>
          <w:spacing w:val="-15"/>
        </w:rPr>
        <w:t xml:space="preserve"> </w:t>
      </w:r>
      <w:r>
        <w:t>todo</w:t>
      </w:r>
      <w:r>
        <w:rPr>
          <w:spacing w:val="-15"/>
        </w:rPr>
        <w:t xml:space="preserve"> </w:t>
      </w:r>
      <w:r>
        <w:t>el</w:t>
      </w:r>
      <w:r>
        <w:rPr>
          <w:spacing w:val="-15"/>
        </w:rPr>
        <w:t xml:space="preserve"> </w:t>
      </w:r>
      <w:r>
        <w:t>territorio</w:t>
      </w:r>
      <w:r>
        <w:rPr>
          <w:spacing w:val="-15"/>
        </w:rPr>
        <w:t xml:space="preserve"> </w:t>
      </w:r>
      <w:r>
        <w:t>nacional,</w:t>
      </w:r>
      <w:r>
        <w:rPr>
          <w:spacing w:val="-15"/>
        </w:rPr>
        <w:t xml:space="preserve"> </w:t>
      </w:r>
      <w:r>
        <w:t>y</w:t>
      </w:r>
      <w:r>
        <w:rPr>
          <w:spacing w:val="-15"/>
        </w:rPr>
        <w:t xml:space="preserve"> </w:t>
      </w:r>
      <w:r>
        <w:t>porque</w:t>
      </w:r>
      <w:r>
        <w:rPr>
          <w:spacing w:val="-15"/>
        </w:rPr>
        <w:t xml:space="preserve"> </w:t>
      </w:r>
      <w:r>
        <w:t>son</w:t>
      </w:r>
      <w:r>
        <w:rPr>
          <w:spacing w:val="-15"/>
        </w:rPr>
        <w:t xml:space="preserve"> </w:t>
      </w:r>
      <w:r>
        <w:t>también</w:t>
      </w:r>
      <w:r>
        <w:rPr>
          <w:spacing w:val="-15"/>
        </w:rPr>
        <w:t xml:space="preserve"> </w:t>
      </w:r>
      <w:r>
        <w:t>sectores de poder.</w:t>
      </w:r>
    </w:p>
    <w:p w:rsidR="0011361F" w:rsidRDefault="00AF18A5" w:rsidP="004A6EF4">
      <w:pPr>
        <w:pStyle w:val="Ttulo3"/>
        <w:numPr>
          <w:ilvl w:val="1"/>
          <w:numId w:val="16"/>
        </w:numPr>
      </w:pPr>
      <w:bookmarkStart w:id="1423" w:name="10.14._Un_llamado_a_la_transformación"/>
      <w:bookmarkStart w:id="1424" w:name="_Toc112399665"/>
      <w:bookmarkEnd w:id="1423"/>
      <w:r>
        <w:t xml:space="preserve">Un </w:t>
      </w:r>
      <w:r w:rsidRPr="003B152F">
        <w:t>llamado</w:t>
      </w:r>
      <w:r>
        <w:t xml:space="preserve"> a</w:t>
      </w:r>
      <w:r>
        <w:rPr>
          <w:spacing w:val="-1"/>
        </w:rPr>
        <w:t xml:space="preserve"> </w:t>
      </w:r>
      <w:r>
        <w:t>la transformación</w:t>
      </w:r>
      <w:bookmarkEnd w:id="1424"/>
    </w:p>
    <w:p w:rsidR="003804AC" w:rsidRDefault="00AF18A5" w:rsidP="00666A0E">
      <w:r>
        <w:t>Será</w:t>
      </w:r>
      <w:r>
        <w:rPr>
          <w:spacing w:val="-15"/>
        </w:rPr>
        <w:t xml:space="preserve"> </w:t>
      </w:r>
      <w:r>
        <w:t>necesario</w:t>
      </w:r>
      <w:r>
        <w:rPr>
          <w:spacing w:val="-15"/>
        </w:rPr>
        <w:t xml:space="preserve"> </w:t>
      </w:r>
      <w:r>
        <w:t>fundar</w:t>
      </w:r>
      <w:r>
        <w:rPr>
          <w:spacing w:val="-15"/>
        </w:rPr>
        <w:t xml:space="preserve"> </w:t>
      </w:r>
      <w:r>
        <w:t>una</w:t>
      </w:r>
      <w:r>
        <w:rPr>
          <w:spacing w:val="-15"/>
        </w:rPr>
        <w:t xml:space="preserve"> </w:t>
      </w:r>
      <w:r>
        <w:t>ética</w:t>
      </w:r>
      <w:r>
        <w:rPr>
          <w:spacing w:val="-15"/>
        </w:rPr>
        <w:t xml:space="preserve"> </w:t>
      </w:r>
      <w:r>
        <w:t>pública,</w:t>
      </w:r>
      <w:r>
        <w:rPr>
          <w:spacing w:val="-15"/>
        </w:rPr>
        <w:t xml:space="preserve"> </w:t>
      </w:r>
      <w:r>
        <w:t>una</w:t>
      </w:r>
      <w:r>
        <w:rPr>
          <w:spacing w:val="-15"/>
        </w:rPr>
        <w:t xml:space="preserve"> </w:t>
      </w:r>
      <w:r>
        <w:t>ética</w:t>
      </w:r>
      <w:r>
        <w:rPr>
          <w:spacing w:val="-15"/>
        </w:rPr>
        <w:t xml:space="preserve"> </w:t>
      </w:r>
      <w:r>
        <w:t>laica,</w:t>
      </w:r>
      <w:r>
        <w:rPr>
          <w:spacing w:val="-15"/>
        </w:rPr>
        <w:t xml:space="preserve"> </w:t>
      </w:r>
      <w:r>
        <w:t>compartida</w:t>
      </w:r>
      <w:r>
        <w:rPr>
          <w:spacing w:val="-15"/>
        </w:rPr>
        <w:t xml:space="preserve"> </w:t>
      </w:r>
      <w:r>
        <w:t>por</w:t>
      </w:r>
      <w:r>
        <w:rPr>
          <w:spacing w:val="-15"/>
        </w:rPr>
        <w:t xml:space="preserve"> </w:t>
      </w:r>
      <w:r>
        <w:t>al</w:t>
      </w:r>
      <w:r>
        <w:rPr>
          <w:spacing w:val="-15"/>
        </w:rPr>
        <w:t xml:space="preserve"> </w:t>
      </w:r>
      <w:r>
        <w:t>menos</w:t>
      </w:r>
      <w:r>
        <w:rPr>
          <w:spacing w:val="-15"/>
        </w:rPr>
        <w:t xml:space="preserve"> </w:t>
      </w:r>
      <w:r>
        <w:t>una</w:t>
      </w:r>
      <w:r>
        <w:rPr>
          <w:spacing w:val="-15"/>
        </w:rPr>
        <w:t xml:space="preserve"> </w:t>
      </w:r>
      <w:r>
        <w:t>inmensa mayoría, que reconozca la igual dignidad de todos los seres humanos. Esto acompañado de una</w:t>
      </w:r>
      <w:r>
        <w:rPr>
          <w:spacing w:val="-6"/>
        </w:rPr>
        <w:t xml:space="preserve"> </w:t>
      </w:r>
      <w:r>
        <w:t>democracia</w:t>
      </w:r>
      <w:r>
        <w:rPr>
          <w:spacing w:val="-6"/>
        </w:rPr>
        <w:t xml:space="preserve"> </w:t>
      </w:r>
      <w:r>
        <w:t>que</w:t>
      </w:r>
      <w:r>
        <w:rPr>
          <w:spacing w:val="-6"/>
        </w:rPr>
        <w:t xml:space="preserve"> </w:t>
      </w:r>
      <w:r>
        <w:t>garantice</w:t>
      </w:r>
      <w:r>
        <w:rPr>
          <w:spacing w:val="-6"/>
        </w:rPr>
        <w:t xml:space="preserve"> </w:t>
      </w:r>
      <w:r>
        <w:t>el</w:t>
      </w:r>
      <w:r>
        <w:rPr>
          <w:spacing w:val="-6"/>
        </w:rPr>
        <w:t xml:space="preserve"> </w:t>
      </w:r>
      <w:r>
        <w:t>acceso</w:t>
      </w:r>
      <w:r>
        <w:rPr>
          <w:spacing w:val="-6"/>
        </w:rPr>
        <w:t xml:space="preserve"> </w:t>
      </w:r>
      <w:r>
        <w:t>pleno</w:t>
      </w:r>
      <w:r>
        <w:rPr>
          <w:spacing w:val="-7"/>
        </w:rPr>
        <w:t xml:space="preserve"> </w:t>
      </w:r>
      <w:r>
        <w:t>a</w:t>
      </w:r>
      <w:r>
        <w:rPr>
          <w:spacing w:val="-7"/>
        </w:rPr>
        <w:t xml:space="preserve"> </w:t>
      </w:r>
      <w:r>
        <w:t>los</w:t>
      </w:r>
      <w:r>
        <w:rPr>
          <w:spacing w:val="-6"/>
        </w:rPr>
        <w:t xml:space="preserve"> </w:t>
      </w:r>
      <w:r>
        <w:t>derechos</w:t>
      </w:r>
      <w:r>
        <w:rPr>
          <w:spacing w:val="-7"/>
        </w:rPr>
        <w:t xml:space="preserve"> </w:t>
      </w:r>
      <w:r>
        <w:t>de</w:t>
      </w:r>
      <w:r>
        <w:rPr>
          <w:spacing w:val="-6"/>
        </w:rPr>
        <w:t xml:space="preserve"> </w:t>
      </w:r>
      <w:r>
        <w:t>todas</w:t>
      </w:r>
      <w:r>
        <w:rPr>
          <w:spacing w:val="-7"/>
        </w:rPr>
        <w:t xml:space="preserve"> </w:t>
      </w:r>
      <w:r>
        <w:t>y</w:t>
      </w:r>
      <w:r>
        <w:rPr>
          <w:spacing w:val="-6"/>
        </w:rPr>
        <w:t xml:space="preserve"> </w:t>
      </w:r>
      <w:r>
        <w:t>todos</w:t>
      </w:r>
      <w:r>
        <w:rPr>
          <w:spacing w:val="-6"/>
        </w:rPr>
        <w:t xml:space="preserve"> </w:t>
      </w:r>
      <w:r>
        <w:t>los</w:t>
      </w:r>
      <w:r>
        <w:rPr>
          <w:spacing w:val="-7"/>
        </w:rPr>
        <w:t xml:space="preserve"> </w:t>
      </w:r>
      <w:r>
        <w:t>ciudadanos sin distinción de raza, etnia, género, religión, clase social e ideología política.</w:t>
      </w:r>
      <w:r>
        <w:rPr>
          <w:spacing w:val="-3"/>
        </w:rPr>
        <w:t xml:space="preserve"> </w:t>
      </w:r>
      <w:r>
        <w:t>Solo sobre la base de este cambio, sustantivo y seguramente lento, podrá fundarse una sociedad en la que el respeto y la justicia sean el eje del desarrollo y de la vida.</w:t>
      </w:r>
    </w:p>
    <w:p w:rsidR="00666A0E" w:rsidRDefault="00AF18A5" w:rsidP="00666A0E">
      <w:r>
        <w:t>Al proponer la construcción colectiva de una ética pública, válida para todos los colombianos</w:t>
      </w:r>
      <w:r>
        <w:rPr>
          <w:spacing w:val="-2"/>
        </w:rPr>
        <w:t xml:space="preserve"> </w:t>
      </w:r>
      <w:r>
        <w:t>y</w:t>
      </w:r>
      <w:r>
        <w:rPr>
          <w:spacing w:val="-1"/>
        </w:rPr>
        <w:t xml:space="preserve"> </w:t>
      </w:r>
      <w:r>
        <w:t>colombianas,</w:t>
      </w:r>
      <w:r>
        <w:rPr>
          <w:spacing w:val="-1"/>
        </w:rPr>
        <w:t xml:space="preserve"> </w:t>
      </w:r>
      <w:r>
        <w:t>la</w:t>
      </w:r>
      <w:r>
        <w:rPr>
          <w:spacing w:val="-1"/>
        </w:rPr>
        <w:t xml:space="preserve"> </w:t>
      </w:r>
      <w:r>
        <w:t>Comisión</w:t>
      </w:r>
      <w:r>
        <w:rPr>
          <w:spacing w:val="-1"/>
        </w:rPr>
        <w:t xml:space="preserve"> </w:t>
      </w:r>
      <w:r>
        <w:t>invita</w:t>
      </w:r>
      <w:r>
        <w:rPr>
          <w:spacing w:val="-1"/>
        </w:rPr>
        <w:t xml:space="preserve"> </w:t>
      </w:r>
      <w:r>
        <w:t>a</w:t>
      </w:r>
      <w:r>
        <w:rPr>
          <w:spacing w:val="-2"/>
        </w:rPr>
        <w:t xml:space="preserve"> </w:t>
      </w:r>
      <w:r>
        <w:t>las</w:t>
      </w:r>
      <w:r>
        <w:rPr>
          <w:spacing w:val="-1"/>
        </w:rPr>
        <w:t xml:space="preserve"> </w:t>
      </w:r>
      <w:r>
        <w:t>distintas</w:t>
      </w:r>
      <w:r>
        <w:rPr>
          <w:spacing w:val="-2"/>
        </w:rPr>
        <w:t xml:space="preserve"> </w:t>
      </w:r>
      <w:r>
        <w:t>fundamentaciones</w:t>
      </w:r>
      <w:r>
        <w:rPr>
          <w:spacing w:val="-1"/>
        </w:rPr>
        <w:t xml:space="preserve"> </w:t>
      </w:r>
      <w:r>
        <w:t>éticas</w:t>
      </w:r>
      <w:r>
        <w:rPr>
          <w:spacing w:val="-2"/>
        </w:rPr>
        <w:t xml:space="preserve"> </w:t>
      </w:r>
      <w:r>
        <w:t>para que, desde</w:t>
      </w:r>
      <w:r>
        <w:rPr>
          <w:spacing w:val="-1"/>
        </w:rPr>
        <w:t xml:space="preserve"> </w:t>
      </w:r>
      <w:r>
        <w:t>sus fundamentos –los derechos</w:t>
      </w:r>
      <w:r>
        <w:rPr>
          <w:spacing w:val="-1"/>
        </w:rPr>
        <w:t xml:space="preserve"> </w:t>
      </w:r>
      <w:r>
        <w:t>humanos, el</w:t>
      </w:r>
      <w:r>
        <w:rPr>
          <w:spacing w:val="-1"/>
        </w:rPr>
        <w:t xml:space="preserve"> </w:t>
      </w:r>
      <w:r>
        <w:t>evangelio,</w:t>
      </w:r>
      <w:r>
        <w:rPr>
          <w:spacing w:val="-1"/>
        </w:rPr>
        <w:t xml:space="preserve"> </w:t>
      </w:r>
      <w:r>
        <w:t>las</w:t>
      </w:r>
      <w:r>
        <w:rPr>
          <w:spacing w:val="-1"/>
        </w:rPr>
        <w:t xml:space="preserve"> </w:t>
      </w:r>
      <w:r>
        <w:t>tradiciones indígenas, la</w:t>
      </w:r>
      <w:r>
        <w:rPr>
          <w:spacing w:val="-5"/>
        </w:rPr>
        <w:t xml:space="preserve"> </w:t>
      </w:r>
      <w:r>
        <w:t>seriedad</w:t>
      </w:r>
      <w:r>
        <w:rPr>
          <w:spacing w:val="-5"/>
        </w:rPr>
        <w:t xml:space="preserve"> </w:t>
      </w:r>
      <w:r>
        <w:t>humana</w:t>
      </w:r>
      <w:r>
        <w:rPr>
          <w:spacing w:val="-5"/>
        </w:rPr>
        <w:t xml:space="preserve"> </w:t>
      </w:r>
      <w:r>
        <w:t>de</w:t>
      </w:r>
      <w:r>
        <w:rPr>
          <w:spacing w:val="-6"/>
        </w:rPr>
        <w:t xml:space="preserve"> </w:t>
      </w:r>
      <w:r>
        <w:t>los</w:t>
      </w:r>
      <w:r>
        <w:rPr>
          <w:spacing w:val="-5"/>
        </w:rPr>
        <w:t xml:space="preserve"> </w:t>
      </w:r>
      <w:r>
        <w:t>ateos,</w:t>
      </w:r>
      <w:r>
        <w:rPr>
          <w:spacing w:val="-6"/>
        </w:rPr>
        <w:t xml:space="preserve"> </w:t>
      </w:r>
      <w:r>
        <w:t>la</w:t>
      </w:r>
      <w:r>
        <w:rPr>
          <w:spacing w:val="-6"/>
        </w:rPr>
        <w:t xml:space="preserve"> </w:t>
      </w:r>
      <w:r>
        <w:t>moral</w:t>
      </w:r>
      <w:r>
        <w:rPr>
          <w:spacing w:val="-4"/>
        </w:rPr>
        <w:t xml:space="preserve"> </w:t>
      </w:r>
      <w:r>
        <w:t>ecológica–</w:t>
      </w:r>
      <w:r>
        <w:rPr>
          <w:spacing w:val="-5"/>
        </w:rPr>
        <w:t xml:space="preserve"> </w:t>
      </w:r>
      <w:r>
        <w:t>todas</w:t>
      </w:r>
      <w:r>
        <w:rPr>
          <w:spacing w:val="-6"/>
        </w:rPr>
        <w:t xml:space="preserve"> </w:t>
      </w:r>
      <w:r>
        <w:t>y</w:t>
      </w:r>
      <w:r>
        <w:rPr>
          <w:spacing w:val="-5"/>
        </w:rPr>
        <w:t xml:space="preserve"> </w:t>
      </w:r>
      <w:r>
        <w:t>todos</w:t>
      </w:r>
      <w:r>
        <w:rPr>
          <w:spacing w:val="-5"/>
        </w:rPr>
        <w:t xml:space="preserve"> </w:t>
      </w:r>
      <w:r>
        <w:t>contribuyan</w:t>
      </w:r>
      <w:r>
        <w:rPr>
          <w:spacing w:val="-5"/>
        </w:rPr>
        <w:t xml:space="preserve"> </w:t>
      </w:r>
      <w:r>
        <w:t>a</w:t>
      </w:r>
      <w:r>
        <w:rPr>
          <w:spacing w:val="-5"/>
        </w:rPr>
        <w:t xml:space="preserve"> </w:t>
      </w:r>
      <w:r>
        <w:lastRenderedPageBreak/>
        <w:t>dar</w:t>
      </w:r>
      <w:r>
        <w:rPr>
          <w:spacing w:val="-6"/>
        </w:rPr>
        <w:t xml:space="preserve"> </w:t>
      </w:r>
      <w:r>
        <w:t>soporte al</w:t>
      </w:r>
      <w:r>
        <w:rPr>
          <w:spacing w:val="-4"/>
        </w:rPr>
        <w:t xml:space="preserve"> </w:t>
      </w:r>
      <w:r>
        <w:t>conjunto</w:t>
      </w:r>
      <w:r>
        <w:rPr>
          <w:spacing w:val="-6"/>
        </w:rPr>
        <w:t xml:space="preserve"> </w:t>
      </w:r>
      <w:r>
        <w:t>mínimo</w:t>
      </w:r>
      <w:r>
        <w:rPr>
          <w:spacing w:val="-5"/>
        </w:rPr>
        <w:t xml:space="preserve"> </w:t>
      </w:r>
      <w:r>
        <w:t>los</w:t>
      </w:r>
      <w:r>
        <w:rPr>
          <w:spacing w:val="-6"/>
        </w:rPr>
        <w:t xml:space="preserve"> </w:t>
      </w:r>
      <w:r>
        <w:t>valores</w:t>
      </w:r>
      <w:r>
        <w:rPr>
          <w:spacing w:val="-6"/>
        </w:rPr>
        <w:t xml:space="preserve"> </w:t>
      </w:r>
      <w:r>
        <w:t>que</w:t>
      </w:r>
      <w:r>
        <w:rPr>
          <w:spacing w:val="-6"/>
        </w:rPr>
        <w:t xml:space="preserve"> </w:t>
      </w:r>
      <w:r>
        <w:t>nos</w:t>
      </w:r>
      <w:r>
        <w:rPr>
          <w:spacing w:val="-4"/>
        </w:rPr>
        <w:t xml:space="preserve"> </w:t>
      </w:r>
      <w:r>
        <w:t>permitan</w:t>
      </w:r>
      <w:r>
        <w:rPr>
          <w:spacing w:val="-5"/>
        </w:rPr>
        <w:t xml:space="preserve"> </w:t>
      </w:r>
      <w:r>
        <w:t>vivir</w:t>
      </w:r>
      <w:r>
        <w:rPr>
          <w:spacing w:val="-4"/>
        </w:rPr>
        <w:t xml:space="preserve"> </w:t>
      </w:r>
      <w:r>
        <w:t>como</w:t>
      </w:r>
      <w:r>
        <w:rPr>
          <w:spacing w:val="-6"/>
        </w:rPr>
        <w:t xml:space="preserve"> </w:t>
      </w:r>
      <w:r>
        <w:t>comunidad</w:t>
      </w:r>
      <w:r>
        <w:rPr>
          <w:spacing w:val="-6"/>
        </w:rPr>
        <w:t xml:space="preserve"> </w:t>
      </w:r>
      <w:r>
        <w:t>nacional</w:t>
      </w:r>
      <w:r>
        <w:rPr>
          <w:spacing w:val="-4"/>
        </w:rPr>
        <w:t xml:space="preserve"> </w:t>
      </w:r>
      <w:r>
        <w:t>y</w:t>
      </w:r>
      <w:r>
        <w:rPr>
          <w:spacing w:val="-6"/>
        </w:rPr>
        <w:t xml:space="preserve"> </w:t>
      </w:r>
      <w:r>
        <w:t>trasladar esta identidad a las generaciones futuras.</w:t>
      </w:r>
    </w:p>
    <w:p w:rsidR="00666A0E" w:rsidRDefault="00666A0E">
      <w:pPr>
        <w:spacing w:before="0" w:after="0" w:line="240" w:lineRule="auto"/>
      </w:pPr>
      <w:r>
        <w:br w:type="page"/>
      </w:r>
    </w:p>
    <w:p w:rsidR="0011361F" w:rsidRDefault="00AF18A5" w:rsidP="00666A0E">
      <w:pPr>
        <w:pStyle w:val="Ttulo3"/>
      </w:pPr>
      <w:bookmarkStart w:id="1425" w:name="_Toc112399666"/>
      <w:r>
        <w:lastRenderedPageBreak/>
        <w:t>Bibliografía</w:t>
      </w:r>
      <w:bookmarkEnd w:id="1425"/>
    </w:p>
    <w:p w:rsidR="003804AC" w:rsidRDefault="00AF18A5" w:rsidP="00666A0E">
      <w:r>
        <w:t>Entrevista</w:t>
      </w:r>
      <w:r>
        <w:rPr>
          <w:spacing w:val="-15"/>
        </w:rPr>
        <w:t xml:space="preserve"> </w:t>
      </w:r>
      <w:r>
        <w:t>651-AA-00001.</w:t>
      </w:r>
      <w:r>
        <w:rPr>
          <w:spacing w:val="-15"/>
        </w:rPr>
        <w:t xml:space="preserve"> </w:t>
      </w:r>
      <w:r>
        <w:t>Actor</w:t>
      </w:r>
      <w:r>
        <w:rPr>
          <w:spacing w:val="-15"/>
        </w:rPr>
        <w:t xml:space="preserve"> </w:t>
      </w:r>
      <w:r>
        <w:t>del</w:t>
      </w:r>
      <w:r>
        <w:rPr>
          <w:spacing w:val="-15"/>
        </w:rPr>
        <w:t xml:space="preserve"> </w:t>
      </w:r>
      <w:r>
        <w:t>conflicto</w:t>
      </w:r>
      <w:r>
        <w:rPr>
          <w:spacing w:val="-15"/>
        </w:rPr>
        <w:t xml:space="preserve"> </w:t>
      </w:r>
      <w:r>
        <w:t>armado,</w:t>
      </w:r>
      <w:r>
        <w:rPr>
          <w:spacing w:val="-15"/>
        </w:rPr>
        <w:t xml:space="preserve"> </w:t>
      </w:r>
      <w:r>
        <w:t>paramilitar.</w:t>
      </w:r>
      <w:r>
        <w:rPr>
          <w:spacing w:val="-15"/>
        </w:rPr>
        <w:t xml:space="preserve"> </w:t>
      </w:r>
      <w:r>
        <w:t>Tomada</w:t>
      </w:r>
      <w:r>
        <w:rPr>
          <w:spacing w:val="-15"/>
        </w:rPr>
        <w:t xml:space="preserve"> </w:t>
      </w:r>
      <w:r>
        <w:t>por</w:t>
      </w:r>
      <w:r>
        <w:rPr>
          <w:spacing w:val="-15"/>
        </w:rPr>
        <w:t xml:space="preserve"> </w:t>
      </w:r>
      <w:r>
        <w:t>Comisión para el Esclarecimiento de la Verdad, la Convivencia y la No Repetición - CEV. 2021.</w:t>
      </w:r>
    </w:p>
    <w:p w:rsidR="003804AC" w:rsidRDefault="00AF18A5" w:rsidP="00016894">
      <w:r>
        <w:t>Angarita Cañas, Pablo Emilio, Héctor Gallo, Blanca Inés Jiménez Zuluaga, Hernando Londoño</w:t>
      </w:r>
      <w:r>
        <w:rPr>
          <w:spacing w:val="51"/>
        </w:rPr>
        <w:t xml:space="preserve"> </w:t>
      </w:r>
      <w:r>
        <w:t>Berrío,</w:t>
      </w:r>
      <w:r>
        <w:rPr>
          <w:spacing w:val="54"/>
        </w:rPr>
        <w:t xml:space="preserve"> </w:t>
      </w:r>
      <w:r>
        <w:t>Daniela</w:t>
      </w:r>
      <w:r>
        <w:rPr>
          <w:spacing w:val="53"/>
        </w:rPr>
        <w:t xml:space="preserve"> </w:t>
      </w:r>
      <w:r>
        <w:t>Londoño</w:t>
      </w:r>
      <w:r>
        <w:rPr>
          <w:spacing w:val="54"/>
        </w:rPr>
        <w:t xml:space="preserve"> </w:t>
      </w:r>
      <w:r>
        <w:t>Usma,</w:t>
      </w:r>
      <w:r>
        <w:rPr>
          <w:spacing w:val="53"/>
        </w:rPr>
        <w:t xml:space="preserve"> </w:t>
      </w:r>
      <w:r>
        <w:t>Gonzalo</w:t>
      </w:r>
      <w:r>
        <w:rPr>
          <w:spacing w:val="54"/>
        </w:rPr>
        <w:t xml:space="preserve"> </w:t>
      </w:r>
      <w:r>
        <w:t>Medina</w:t>
      </w:r>
      <w:r>
        <w:rPr>
          <w:spacing w:val="53"/>
        </w:rPr>
        <w:t xml:space="preserve"> </w:t>
      </w:r>
      <w:r>
        <w:t>Pérez,</w:t>
      </w:r>
      <w:r>
        <w:rPr>
          <w:spacing w:val="54"/>
        </w:rPr>
        <w:t xml:space="preserve"> </w:t>
      </w:r>
      <w:r>
        <w:t>Jaime</w:t>
      </w:r>
      <w:r>
        <w:rPr>
          <w:spacing w:val="53"/>
        </w:rPr>
        <w:t xml:space="preserve"> </w:t>
      </w:r>
      <w:r>
        <w:t>Andrés</w:t>
      </w:r>
      <w:r>
        <w:rPr>
          <w:spacing w:val="54"/>
        </w:rPr>
        <w:t xml:space="preserve"> </w:t>
      </w:r>
      <w:r>
        <w:rPr>
          <w:spacing w:val="-4"/>
        </w:rPr>
        <w:t>Mesa</w:t>
      </w:r>
    </w:p>
    <w:p w:rsidR="003804AC" w:rsidRDefault="00AF18A5" w:rsidP="00016894">
      <w:r>
        <w:t xml:space="preserve">Bedoya, Diana Ramírez Jiménez, Mario Elkin Ramírez Ortiz, y Adriana María Ruiz Gutiérrez. </w:t>
      </w:r>
      <w:r>
        <w:rPr>
          <w:i/>
        </w:rPr>
        <w:t>La construcción del enemigo en el conflicto armado colombiano 1998-2001</w:t>
      </w:r>
      <w:r>
        <w:t>. Medellín: Sílaba, 2015.</w:t>
      </w:r>
    </w:p>
    <w:p w:rsidR="0011361F" w:rsidRDefault="00AF18A5" w:rsidP="00016894">
      <w:r>
        <w:t>Tribunal</w:t>
      </w:r>
      <w:r>
        <w:rPr>
          <w:spacing w:val="40"/>
        </w:rPr>
        <w:t xml:space="preserve"> </w:t>
      </w:r>
      <w:r>
        <w:t>Superior</w:t>
      </w:r>
      <w:r>
        <w:rPr>
          <w:spacing w:val="40"/>
        </w:rPr>
        <w:t xml:space="preserve"> </w:t>
      </w:r>
      <w:r>
        <w:t>de</w:t>
      </w:r>
      <w:r>
        <w:rPr>
          <w:spacing w:val="40"/>
        </w:rPr>
        <w:t xml:space="preserve"> </w:t>
      </w:r>
      <w:r>
        <w:t>Bogotá.</w:t>
      </w:r>
      <w:r>
        <w:rPr>
          <w:spacing w:val="40"/>
        </w:rPr>
        <w:t xml:space="preserve"> </w:t>
      </w:r>
      <w:r>
        <w:t>Sala</w:t>
      </w:r>
      <w:r>
        <w:rPr>
          <w:spacing w:val="40"/>
        </w:rPr>
        <w:t xml:space="preserve"> </w:t>
      </w:r>
      <w:r>
        <w:t>de</w:t>
      </w:r>
      <w:r>
        <w:rPr>
          <w:spacing w:val="40"/>
        </w:rPr>
        <w:t xml:space="preserve"> </w:t>
      </w:r>
      <w:r>
        <w:t>Justicia</w:t>
      </w:r>
      <w:r>
        <w:rPr>
          <w:spacing w:val="40"/>
        </w:rPr>
        <w:t xml:space="preserve"> </w:t>
      </w:r>
      <w:r>
        <w:t>y</w:t>
      </w:r>
      <w:r>
        <w:rPr>
          <w:spacing w:val="40"/>
        </w:rPr>
        <w:t xml:space="preserve"> </w:t>
      </w:r>
      <w:r>
        <w:t>Paz.</w:t>
      </w:r>
      <w:r>
        <w:rPr>
          <w:spacing w:val="40"/>
        </w:rPr>
        <w:t xml:space="preserve"> </w:t>
      </w:r>
      <w:r>
        <w:t>Sentencia</w:t>
      </w:r>
      <w:r>
        <w:rPr>
          <w:spacing w:val="40"/>
        </w:rPr>
        <w:t xml:space="preserve"> </w:t>
      </w:r>
      <w:r>
        <w:t>primera</w:t>
      </w:r>
      <w:r>
        <w:rPr>
          <w:spacing w:val="40"/>
        </w:rPr>
        <w:t xml:space="preserve"> </w:t>
      </w:r>
      <w:r>
        <w:t>instancia</w:t>
      </w:r>
      <w:r>
        <w:rPr>
          <w:spacing w:val="40"/>
        </w:rPr>
        <w:t xml:space="preserve"> </w:t>
      </w:r>
      <w:r>
        <w:t>- Postulado:</w:t>
      </w:r>
      <w:r>
        <w:rPr>
          <w:spacing w:val="-15"/>
        </w:rPr>
        <w:t xml:space="preserve"> </w:t>
      </w:r>
      <w:r>
        <w:t>Orlando</w:t>
      </w:r>
      <w:r>
        <w:rPr>
          <w:spacing w:val="-15"/>
        </w:rPr>
        <w:t xml:space="preserve"> </w:t>
      </w:r>
      <w:r>
        <w:t>Villa</w:t>
      </w:r>
      <w:r>
        <w:rPr>
          <w:spacing w:val="-15"/>
        </w:rPr>
        <w:t xml:space="preserve"> </w:t>
      </w:r>
      <w:r>
        <w:t>Zapata.</w:t>
      </w:r>
      <w:r>
        <w:rPr>
          <w:spacing w:val="-15"/>
        </w:rPr>
        <w:t xml:space="preserve"> </w:t>
      </w:r>
      <w:r>
        <w:t>Eduardo</w:t>
      </w:r>
      <w:r>
        <w:rPr>
          <w:spacing w:val="-15"/>
        </w:rPr>
        <w:t xml:space="preserve"> </w:t>
      </w:r>
      <w:r>
        <w:t>Castellanos</w:t>
      </w:r>
      <w:r>
        <w:rPr>
          <w:spacing w:val="-15"/>
        </w:rPr>
        <w:t xml:space="preserve"> </w:t>
      </w:r>
      <w:r>
        <w:t>Roso.</w:t>
      </w:r>
      <w:r>
        <w:rPr>
          <w:spacing w:val="-15"/>
        </w:rPr>
        <w:t xml:space="preserve"> </w:t>
      </w:r>
      <w:r>
        <w:t>16</w:t>
      </w:r>
      <w:r>
        <w:rPr>
          <w:spacing w:val="-15"/>
        </w:rPr>
        <w:t xml:space="preserve"> </w:t>
      </w:r>
      <w:r>
        <w:t>de</w:t>
      </w:r>
      <w:r>
        <w:rPr>
          <w:spacing w:val="-15"/>
        </w:rPr>
        <w:t xml:space="preserve"> </w:t>
      </w:r>
      <w:r>
        <w:t>abril</w:t>
      </w:r>
      <w:r>
        <w:rPr>
          <w:spacing w:val="-15"/>
        </w:rPr>
        <w:t xml:space="preserve"> </w:t>
      </w:r>
      <w:r>
        <w:t>de</w:t>
      </w:r>
      <w:r>
        <w:rPr>
          <w:spacing w:val="-15"/>
        </w:rPr>
        <w:t xml:space="preserve"> </w:t>
      </w:r>
      <w:r>
        <w:t>2012.</w:t>
      </w:r>
      <w:r>
        <w:rPr>
          <w:spacing w:val="-15"/>
        </w:rPr>
        <w:t xml:space="preserve"> </w:t>
      </w:r>
      <w:r>
        <w:t xml:space="preserve">Recuperado </w:t>
      </w:r>
      <w:r>
        <w:rPr>
          <w:spacing w:val="-4"/>
        </w:rPr>
        <w:t>de:</w:t>
      </w:r>
      <w:r>
        <w:rPr>
          <w:spacing w:val="40"/>
        </w:rPr>
        <w:t xml:space="preserve"> </w:t>
      </w:r>
      <w:r>
        <w:rPr>
          <w:spacing w:val="-2"/>
        </w:rPr>
        <w:t>https://</w:t>
      </w:r>
      <w:r w:rsidR="000D370D" w:rsidRPr="00016894">
        <w:rPr>
          <w:spacing w:val="-2"/>
        </w:rPr>
        <w:t>www.ramajudicial.gov.co/documents/6342228/0/ORLANDO+VILLA+ZAPATA+</w:t>
      </w:r>
      <w:r>
        <w:t>%2816+04++2012</w:t>
      </w:r>
      <w:r>
        <w:rPr>
          <w:spacing w:val="-8"/>
        </w:rPr>
        <w:t xml:space="preserve"> </w:t>
      </w:r>
      <w:r>
        <w:t>%29.pdf/95ac1d29-5c9d-4610-8eeb-</w:t>
      </w:r>
      <w:r>
        <w:rPr>
          <w:spacing w:val="-2"/>
        </w:rPr>
        <w:t>a999ca5528b8.</w:t>
      </w:r>
    </w:p>
    <w:p w:rsidR="003804AC" w:rsidRDefault="00AF18A5" w:rsidP="00016894">
      <w:r>
        <w:t xml:space="preserve">Informe 262-CI-00531. Center </w:t>
      </w:r>
      <w:proofErr w:type="spellStart"/>
      <w:r>
        <w:t>for</w:t>
      </w:r>
      <w:proofErr w:type="spellEnd"/>
      <w:r>
        <w:t xml:space="preserve"> </w:t>
      </w:r>
      <w:proofErr w:type="spellStart"/>
      <w:r>
        <w:t>Reproductive</w:t>
      </w:r>
      <w:proofErr w:type="spellEnd"/>
      <w:r>
        <w:t xml:space="preserve"> </w:t>
      </w:r>
      <w:proofErr w:type="spellStart"/>
      <w:r>
        <w:t>Rights</w:t>
      </w:r>
      <w:proofErr w:type="spellEnd"/>
      <w:r>
        <w:t>. «Violencia reproductiva en el conflicto armado colombiano: una mirada con lentes de género y derechos reproductivos». Módulo</w:t>
      </w:r>
      <w:r>
        <w:rPr>
          <w:spacing w:val="-4"/>
        </w:rPr>
        <w:t xml:space="preserve"> </w:t>
      </w:r>
      <w:r>
        <w:t>de</w:t>
      </w:r>
      <w:r>
        <w:rPr>
          <w:spacing w:val="-3"/>
        </w:rPr>
        <w:t xml:space="preserve"> </w:t>
      </w:r>
      <w:r>
        <w:t>Captura,</w:t>
      </w:r>
      <w:r>
        <w:rPr>
          <w:spacing w:val="-4"/>
        </w:rPr>
        <w:t xml:space="preserve"> </w:t>
      </w:r>
      <w:r>
        <w:t>Comisión</w:t>
      </w:r>
      <w:r>
        <w:rPr>
          <w:spacing w:val="-4"/>
        </w:rPr>
        <w:t xml:space="preserve"> </w:t>
      </w:r>
      <w:r>
        <w:t>para</w:t>
      </w:r>
      <w:r>
        <w:rPr>
          <w:spacing w:val="-5"/>
        </w:rPr>
        <w:t xml:space="preserve"> </w:t>
      </w:r>
      <w:r>
        <w:t>el</w:t>
      </w:r>
      <w:r>
        <w:rPr>
          <w:spacing w:val="-3"/>
        </w:rPr>
        <w:t xml:space="preserve"> </w:t>
      </w:r>
      <w:r>
        <w:t>Esclarecimiento</w:t>
      </w:r>
      <w:r>
        <w:rPr>
          <w:spacing w:val="-4"/>
        </w:rPr>
        <w:t xml:space="preserve"> </w:t>
      </w:r>
      <w:r>
        <w:t>de</w:t>
      </w:r>
      <w:r>
        <w:rPr>
          <w:spacing w:val="-3"/>
        </w:rPr>
        <w:t xml:space="preserve"> </w:t>
      </w:r>
      <w:r>
        <w:t>la</w:t>
      </w:r>
      <w:r>
        <w:rPr>
          <w:spacing w:val="-5"/>
        </w:rPr>
        <w:t xml:space="preserve"> </w:t>
      </w:r>
      <w:r>
        <w:t>Verdad,</w:t>
      </w:r>
      <w:r>
        <w:rPr>
          <w:spacing w:val="-4"/>
        </w:rPr>
        <w:t xml:space="preserve"> </w:t>
      </w:r>
      <w:r>
        <w:t>la</w:t>
      </w:r>
      <w:r>
        <w:rPr>
          <w:spacing w:val="-3"/>
        </w:rPr>
        <w:t xml:space="preserve"> </w:t>
      </w:r>
      <w:r>
        <w:t>Convivencia</w:t>
      </w:r>
      <w:r>
        <w:rPr>
          <w:spacing w:val="-5"/>
        </w:rPr>
        <w:t xml:space="preserve"> </w:t>
      </w:r>
      <w:r>
        <w:t>y</w:t>
      </w:r>
      <w:r>
        <w:rPr>
          <w:spacing w:val="-4"/>
        </w:rPr>
        <w:t xml:space="preserve"> </w:t>
      </w:r>
      <w:r>
        <w:t>la</w:t>
      </w:r>
      <w:r>
        <w:rPr>
          <w:spacing w:val="-3"/>
        </w:rPr>
        <w:t xml:space="preserve"> </w:t>
      </w:r>
      <w:r>
        <w:t>No Repetición. 2020.</w:t>
      </w:r>
    </w:p>
    <w:p w:rsidR="003804AC" w:rsidRDefault="00AF18A5" w:rsidP="00016894">
      <w:r>
        <w:t>Centro</w:t>
      </w:r>
      <w:r>
        <w:rPr>
          <w:spacing w:val="-7"/>
        </w:rPr>
        <w:t xml:space="preserve"> </w:t>
      </w:r>
      <w:r>
        <w:t>Nacional</w:t>
      </w:r>
      <w:r>
        <w:rPr>
          <w:spacing w:val="-7"/>
        </w:rPr>
        <w:t xml:space="preserve"> </w:t>
      </w:r>
      <w:r>
        <w:t>de</w:t>
      </w:r>
      <w:r>
        <w:rPr>
          <w:spacing w:val="-7"/>
        </w:rPr>
        <w:t xml:space="preserve"> </w:t>
      </w:r>
      <w:r>
        <w:t>Memoria</w:t>
      </w:r>
      <w:r>
        <w:rPr>
          <w:spacing w:val="-7"/>
        </w:rPr>
        <w:t xml:space="preserve"> </w:t>
      </w:r>
      <w:r>
        <w:t>Histórica.</w:t>
      </w:r>
      <w:r>
        <w:rPr>
          <w:spacing w:val="-7"/>
        </w:rPr>
        <w:t xml:space="preserve"> </w:t>
      </w:r>
      <w:r>
        <w:rPr>
          <w:i/>
        </w:rPr>
        <w:t>La</w:t>
      </w:r>
      <w:r>
        <w:rPr>
          <w:i/>
          <w:spacing w:val="-7"/>
        </w:rPr>
        <w:t xml:space="preserve"> </w:t>
      </w:r>
      <w:r>
        <w:rPr>
          <w:i/>
        </w:rPr>
        <w:t>guerra</w:t>
      </w:r>
      <w:r>
        <w:rPr>
          <w:i/>
          <w:spacing w:val="-7"/>
        </w:rPr>
        <w:t xml:space="preserve"> </w:t>
      </w:r>
      <w:r>
        <w:rPr>
          <w:i/>
        </w:rPr>
        <w:t>inscrita</w:t>
      </w:r>
      <w:r>
        <w:rPr>
          <w:i/>
          <w:spacing w:val="-7"/>
        </w:rPr>
        <w:t xml:space="preserve"> </w:t>
      </w:r>
      <w:r>
        <w:rPr>
          <w:i/>
        </w:rPr>
        <w:t>en</w:t>
      </w:r>
      <w:r>
        <w:rPr>
          <w:i/>
          <w:spacing w:val="-7"/>
        </w:rPr>
        <w:t xml:space="preserve"> </w:t>
      </w:r>
      <w:r>
        <w:rPr>
          <w:i/>
        </w:rPr>
        <w:t>el</w:t>
      </w:r>
      <w:r>
        <w:rPr>
          <w:i/>
          <w:spacing w:val="-7"/>
        </w:rPr>
        <w:t xml:space="preserve"> </w:t>
      </w:r>
      <w:r>
        <w:rPr>
          <w:i/>
        </w:rPr>
        <w:t>cuerpo</w:t>
      </w:r>
      <w:r>
        <w:t>.</w:t>
      </w:r>
      <w:r>
        <w:rPr>
          <w:spacing w:val="-7"/>
        </w:rPr>
        <w:t xml:space="preserve"> </w:t>
      </w:r>
      <w:r>
        <w:t>Bogotá:</w:t>
      </w:r>
      <w:r>
        <w:rPr>
          <w:spacing w:val="-7"/>
        </w:rPr>
        <w:t xml:space="preserve"> </w:t>
      </w:r>
      <w:r>
        <w:t xml:space="preserve">CNMH, </w:t>
      </w:r>
      <w:r>
        <w:rPr>
          <w:spacing w:val="-2"/>
        </w:rPr>
        <w:t>2017.</w:t>
      </w:r>
    </w:p>
    <w:p w:rsidR="003804AC" w:rsidRDefault="00AF18A5" w:rsidP="00016894">
      <w:r>
        <w:t xml:space="preserve">CIDH. «Las mujeres frente a la violencia y la discriminación derivadas del conflicto </w:t>
      </w:r>
      <w:r>
        <w:rPr>
          <w:spacing w:val="-2"/>
        </w:rPr>
        <w:t>armado</w:t>
      </w:r>
      <w:r>
        <w:tab/>
      </w:r>
      <w:r>
        <w:rPr>
          <w:spacing w:val="-5"/>
        </w:rPr>
        <w:t>en</w:t>
      </w:r>
      <w:r>
        <w:tab/>
      </w:r>
      <w:r>
        <w:rPr>
          <w:spacing w:val="-2"/>
        </w:rPr>
        <w:t>Colombia».</w:t>
      </w:r>
      <w:r>
        <w:tab/>
      </w:r>
      <w:r>
        <w:rPr>
          <w:spacing w:val="-2"/>
        </w:rPr>
        <w:t>2006.</w:t>
      </w:r>
    </w:p>
    <w:p w:rsidR="0011361F" w:rsidRDefault="00B93F6A" w:rsidP="00016894">
      <w:hyperlink r:id="rId200">
        <w:r w:rsidR="00AF18A5">
          <w:t>http://www.cidh.org/countryrep/colombiamujeres06sp/informe</w:t>
        </w:r>
      </w:hyperlink>
      <w:r w:rsidR="00AF18A5">
        <w:rPr>
          <w:spacing w:val="-16"/>
        </w:rPr>
        <w:t xml:space="preserve"> </w:t>
      </w:r>
      <w:r w:rsidR="00AF18A5">
        <w:t>%20mujeres</w:t>
      </w:r>
      <w:r w:rsidR="00AF18A5">
        <w:rPr>
          <w:spacing w:val="-12"/>
        </w:rPr>
        <w:t xml:space="preserve"> </w:t>
      </w:r>
      <w:r w:rsidR="00AF18A5">
        <w:rPr>
          <w:spacing w:val="-2"/>
        </w:rPr>
        <w:t>%20colombia</w:t>
      </w:r>
      <w:r w:rsidR="00AF18A5">
        <w:t>%202006 %20espanol.pdf.</w:t>
      </w:r>
    </w:p>
    <w:p w:rsidR="003804AC" w:rsidRDefault="00AF18A5" w:rsidP="00016894">
      <w:r>
        <w:t xml:space="preserve">Entrevista 084-PR-03529. Comandante de un grupo </w:t>
      </w:r>
      <w:proofErr w:type="spellStart"/>
      <w:r>
        <w:t>posdesmovilización</w:t>
      </w:r>
      <w:proofErr w:type="spellEnd"/>
      <w:r>
        <w:t xml:space="preserve">. Tomada por Comisión para el Esclarecimiento de la Verdad, la Convivencia y la No Repetición - CEV. </w:t>
      </w:r>
      <w:r>
        <w:rPr>
          <w:spacing w:val="-2"/>
        </w:rPr>
        <w:t>2022.</w:t>
      </w:r>
    </w:p>
    <w:p w:rsidR="003804AC" w:rsidRDefault="00AF18A5" w:rsidP="00016894">
      <w:r>
        <w:t>Comisión</w:t>
      </w:r>
      <w:r>
        <w:rPr>
          <w:spacing w:val="-11"/>
        </w:rPr>
        <w:t xml:space="preserve"> </w:t>
      </w:r>
      <w:r>
        <w:t>de</w:t>
      </w:r>
      <w:r>
        <w:rPr>
          <w:spacing w:val="-12"/>
        </w:rPr>
        <w:t xml:space="preserve"> </w:t>
      </w:r>
      <w:r>
        <w:t>la</w:t>
      </w:r>
      <w:r>
        <w:rPr>
          <w:spacing w:val="-10"/>
        </w:rPr>
        <w:t xml:space="preserve"> </w:t>
      </w:r>
      <w:r>
        <w:t>Verdad.</w:t>
      </w:r>
      <w:r>
        <w:rPr>
          <w:spacing w:val="-11"/>
        </w:rPr>
        <w:t xml:space="preserve"> </w:t>
      </w:r>
      <w:r>
        <w:t>«Encuentro</w:t>
      </w:r>
      <w:r>
        <w:rPr>
          <w:spacing w:val="-11"/>
        </w:rPr>
        <w:t xml:space="preserve"> </w:t>
      </w:r>
      <w:r>
        <w:t>por</w:t>
      </w:r>
      <w:r>
        <w:rPr>
          <w:spacing w:val="-10"/>
        </w:rPr>
        <w:t xml:space="preserve"> </w:t>
      </w:r>
      <w:r>
        <w:t>la</w:t>
      </w:r>
      <w:r>
        <w:rPr>
          <w:spacing w:val="-10"/>
        </w:rPr>
        <w:t xml:space="preserve"> </w:t>
      </w:r>
      <w:r>
        <w:t>Verdad</w:t>
      </w:r>
      <w:r>
        <w:rPr>
          <w:spacing w:val="-12"/>
        </w:rPr>
        <w:t xml:space="preserve"> </w:t>
      </w:r>
      <w:r>
        <w:t>#</w:t>
      </w:r>
      <w:proofErr w:type="spellStart"/>
      <w:r>
        <w:t>LaVerdadIndígena</w:t>
      </w:r>
      <w:proofErr w:type="spellEnd"/>
      <w:r>
        <w:t>».</w:t>
      </w:r>
      <w:r>
        <w:rPr>
          <w:spacing w:val="-11"/>
        </w:rPr>
        <w:t xml:space="preserve"> </w:t>
      </w:r>
      <w:r>
        <w:t>23</w:t>
      </w:r>
      <w:r>
        <w:rPr>
          <w:spacing w:val="-11"/>
        </w:rPr>
        <w:t xml:space="preserve"> </w:t>
      </w:r>
      <w:r>
        <w:t>de</w:t>
      </w:r>
      <w:r>
        <w:rPr>
          <w:spacing w:val="-10"/>
        </w:rPr>
        <w:t xml:space="preserve"> </w:t>
      </w:r>
      <w:r>
        <w:t>octubre</w:t>
      </w:r>
      <w:r>
        <w:rPr>
          <w:spacing w:val="-12"/>
        </w:rPr>
        <w:t xml:space="preserve"> </w:t>
      </w:r>
      <w:r>
        <w:t>de 2020. Video. https://</w:t>
      </w:r>
      <w:hyperlink r:id="rId201">
        <w:r>
          <w:t>www.youtube.com/watch?v=kBox7JPTfPw</w:t>
        </w:r>
      </w:hyperlink>
    </w:p>
    <w:p w:rsidR="003804AC" w:rsidRDefault="00AF18A5" w:rsidP="00016894">
      <w:r>
        <w:t>———. «La verdad del pueblo negro, afrocolombiano, palenquero y raizal». 11 de diciembre de 2020. Video. https://</w:t>
      </w:r>
      <w:hyperlink r:id="rId202">
        <w:r>
          <w:t>www.youtube.com/watch?v=CpkLuBhZlhk</w:t>
        </w:r>
      </w:hyperlink>
    </w:p>
    <w:p w:rsidR="003804AC" w:rsidRDefault="00AF18A5" w:rsidP="00016894">
      <w:r>
        <w:t>Informe 262-CI-01224. Corporación Ensayos. «La guerra no es una balacera: continuidades y discontinuidades de</w:t>
      </w:r>
      <w:r>
        <w:rPr>
          <w:spacing w:val="-1"/>
        </w:rPr>
        <w:t xml:space="preserve"> </w:t>
      </w:r>
      <w:r>
        <w:t>las</w:t>
      </w:r>
      <w:r>
        <w:rPr>
          <w:spacing w:val="1"/>
        </w:rPr>
        <w:t xml:space="preserve"> </w:t>
      </w:r>
      <w:r>
        <w:t>guerras en el norte</w:t>
      </w:r>
      <w:r>
        <w:rPr>
          <w:spacing w:val="1"/>
        </w:rPr>
        <w:t xml:space="preserve"> </w:t>
      </w:r>
      <w:r>
        <w:t>del Cauca». Módulo de</w:t>
      </w:r>
      <w:r>
        <w:rPr>
          <w:spacing w:val="1"/>
        </w:rPr>
        <w:t xml:space="preserve"> </w:t>
      </w:r>
      <w:r>
        <w:rPr>
          <w:spacing w:val="-2"/>
        </w:rPr>
        <w:t>Captura,</w:t>
      </w:r>
    </w:p>
    <w:p w:rsidR="0011361F" w:rsidRDefault="00AF18A5" w:rsidP="00016894">
      <w:r>
        <w:t>Comisión</w:t>
      </w:r>
      <w:r>
        <w:rPr>
          <w:spacing w:val="-4"/>
        </w:rPr>
        <w:t xml:space="preserve"> </w:t>
      </w:r>
      <w:r>
        <w:t>para</w:t>
      </w:r>
      <w:r>
        <w:rPr>
          <w:spacing w:val="-1"/>
        </w:rPr>
        <w:t xml:space="preserve"> </w:t>
      </w:r>
      <w:r>
        <w:t>el</w:t>
      </w:r>
      <w:r>
        <w:rPr>
          <w:spacing w:val="-1"/>
        </w:rPr>
        <w:t xml:space="preserve"> </w:t>
      </w:r>
      <w:r>
        <w:t>Esclarecimiento</w:t>
      </w:r>
      <w:r>
        <w:rPr>
          <w:spacing w:val="-1"/>
        </w:rPr>
        <w:t xml:space="preserve"> </w:t>
      </w:r>
      <w:r>
        <w:t>de</w:t>
      </w:r>
      <w:r>
        <w:rPr>
          <w:spacing w:val="-2"/>
        </w:rPr>
        <w:t xml:space="preserve"> </w:t>
      </w:r>
      <w:r>
        <w:t>la</w:t>
      </w:r>
      <w:r>
        <w:rPr>
          <w:spacing w:val="-1"/>
        </w:rPr>
        <w:t xml:space="preserve"> </w:t>
      </w:r>
      <w:r>
        <w:t>Verdad,</w:t>
      </w:r>
      <w:r>
        <w:rPr>
          <w:spacing w:val="-4"/>
        </w:rPr>
        <w:t xml:space="preserve"> </w:t>
      </w:r>
      <w:r>
        <w:t>la</w:t>
      </w:r>
      <w:r>
        <w:rPr>
          <w:spacing w:val="-1"/>
        </w:rPr>
        <w:t xml:space="preserve"> </w:t>
      </w:r>
      <w:r>
        <w:t>Convivencia</w:t>
      </w:r>
      <w:r>
        <w:rPr>
          <w:spacing w:val="-1"/>
        </w:rPr>
        <w:t xml:space="preserve"> </w:t>
      </w:r>
      <w:r>
        <w:t>y</w:t>
      </w:r>
      <w:r>
        <w:rPr>
          <w:spacing w:val="-1"/>
        </w:rPr>
        <w:t xml:space="preserve"> </w:t>
      </w:r>
      <w:r>
        <w:t>la</w:t>
      </w:r>
      <w:r>
        <w:rPr>
          <w:spacing w:val="-1"/>
        </w:rPr>
        <w:t xml:space="preserve"> </w:t>
      </w:r>
      <w:r>
        <w:t>No</w:t>
      </w:r>
      <w:r>
        <w:rPr>
          <w:spacing w:val="-1"/>
        </w:rPr>
        <w:t xml:space="preserve"> </w:t>
      </w:r>
      <w:r>
        <w:t>Repetición.</w:t>
      </w:r>
      <w:r>
        <w:rPr>
          <w:spacing w:val="-1"/>
        </w:rPr>
        <w:t xml:space="preserve"> </w:t>
      </w:r>
      <w:r>
        <w:rPr>
          <w:spacing w:val="-2"/>
        </w:rPr>
        <w:t>2021.</w:t>
      </w:r>
    </w:p>
    <w:p w:rsidR="003804AC" w:rsidRDefault="00AF18A5" w:rsidP="00016894">
      <w:r>
        <w:t xml:space="preserve">CPT Colombia. «La propiedad de la tierra, madre de todos los conflictos». Acceso el 27 de junio de 2022. https://cpt.org/es/2021/07/06/colombia-land-ownership-mother-all- </w:t>
      </w:r>
      <w:proofErr w:type="spellStart"/>
      <w:r>
        <w:rPr>
          <w:spacing w:val="-2"/>
        </w:rPr>
        <w:t>conflicts</w:t>
      </w:r>
      <w:proofErr w:type="spellEnd"/>
      <w:r>
        <w:rPr>
          <w:spacing w:val="-2"/>
        </w:rPr>
        <w:t>.</w:t>
      </w:r>
    </w:p>
    <w:p w:rsidR="003804AC" w:rsidRDefault="00AF18A5" w:rsidP="00016894">
      <w:r>
        <w:t xml:space="preserve">DANE. «Guía para la inclusión del enfoque diferencial e </w:t>
      </w:r>
      <w:proofErr w:type="spellStart"/>
      <w:r>
        <w:t>interseccional</w:t>
      </w:r>
      <w:proofErr w:type="spellEnd"/>
      <w:r>
        <w:t>». 2020. https://</w:t>
      </w:r>
      <w:hyperlink r:id="rId203">
        <w:r>
          <w:t>www.sen.gov.co/files/guias/Guia</w:t>
        </w:r>
      </w:hyperlink>
      <w:r>
        <w:t xml:space="preserve"> %20de %20Enfoque %20Diferencial %20e %20In </w:t>
      </w:r>
      <w:r>
        <w:rPr>
          <w:spacing w:val="-2"/>
        </w:rPr>
        <w:t>terseccional.pdf.</w:t>
      </w:r>
    </w:p>
    <w:p w:rsidR="0011361F" w:rsidRDefault="00AF18A5" w:rsidP="00016894">
      <w:r>
        <w:t xml:space="preserve">DANE y UNFPA. «Estudios </w:t>
      </w:r>
      <w:proofErr w:type="spellStart"/>
      <w:r>
        <w:t>Poscensales</w:t>
      </w:r>
      <w:proofErr w:type="spellEnd"/>
      <w:r>
        <w:t xml:space="preserve"> de jóvenes investigadores Censo </w:t>
      </w:r>
      <w:r>
        <w:lastRenderedPageBreak/>
        <w:t>Nacional de Población</w:t>
      </w:r>
      <w:r>
        <w:rPr>
          <w:spacing w:val="-7"/>
        </w:rPr>
        <w:t xml:space="preserve"> </w:t>
      </w:r>
      <w:r>
        <w:t>y</w:t>
      </w:r>
      <w:r>
        <w:rPr>
          <w:spacing w:val="-7"/>
        </w:rPr>
        <w:t xml:space="preserve"> </w:t>
      </w:r>
      <w:r>
        <w:t>Vivienda</w:t>
      </w:r>
      <w:r>
        <w:rPr>
          <w:spacing w:val="-7"/>
        </w:rPr>
        <w:t xml:space="preserve"> </w:t>
      </w:r>
      <w:r>
        <w:t>2018</w:t>
      </w:r>
      <w:r>
        <w:rPr>
          <w:spacing w:val="-7"/>
        </w:rPr>
        <w:t xml:space="preserve"> </w:t>
      </w:r>
      <w:r>
        <w:t>Condiciones</w:t>
      </w:r>
      <w:r>
        <w:rPr>
          <w:spacing w:val="-7"/>
        </w:rPr>
        <w:t xml:space="preserve"> </w:t>
      </w:r>
      <w:r>
        <w:t>de</w:t>
      </w:r>
      <w:r>
        <w:rPr>
          <w:spacing w:val="-7"/>
        </w:rPr>
        <w:t xml:space="preserve"> </w:t>
      </w:r>
      <w:r>
        <w:t>vida</w:t>
      </w:r>
      <w:r>
        <w:rPr>
          <w:spacing w:val="-7"/>
        </w:rPr>
        <w:t xml:space="preserve"> </w:t>
      </w:r>
      <w:r>
        <w:t>y</w:t>
      </w:r>
      <w:r>
        <w:rPr>
          <w:spacing w:val="-7"/>
        </w:rPr>
        <w:t xml:space="preserve"> </w:t>
      </w:r>
      <w:r>
        <w:t>pobreza</w:t>
      </w:r>
      <w:r>
        <w:rPr>
          <w:spacing w:val="-7"/>
        </w:rPr>
        <w:t xml:space="preserve"> </w:t>
      </w:r>
      <w:r>
        <w:t>multidimensional</w:t>
      </w:r>
      <w:r>
        <w:rPr>
          <w:spacing w:val="-7"/>
        </w:rPr>
        <w:t xml:space="preserve"> </w:t>
      </w:r>
      <w:r>
        <w:t>de</w:t>
      </w:r>
      <w:r>
        <w:rPr>
          <w:spacing w:val="-7"/>
        </w:rPr>
        <w:t xml:space="preserve"> </w:t>
      </w:r>
      <w:r>
        <w:t xml:space="preserve">poblaciones </w:t>
      </w:r>
      <w:r>
        <w:rPr>
          <w:spacing w:val="-2"/>
        </w:rPr>
        <w:t>indígenas</w:t>
      </w:r>
      <w:r>
        <w:tab/>
      </w:r>
      <w:r>
        <w:rPr>
          <w:spacing w:val="-10"/>
        </w:rPr>
        <w:t>y</w:t>
      </w:r>
      <w:r>
        <w:tab/>
      </w:r>
      <w:r>
        <w:rPr>
          <w:spacing w:val="-2"/>
        </w:rPr>
        <w:t>afrodescendientes</w:t>
      </w:r>
      <w:r>
        <w:tab/>
      </w:r>
      <w:r>
        <w:rPr>
          <w:spacing w:val="-6"/>
        </w:rPr>
        <w:t>en</w:t>
      </w:r>
      <w:r>
        <w:tab/>
      </w:r>
      <w:r>
        <w:rPr>
          <w:spacing w:val="-2"/>
        </w:rPr>
        <w:t>Colombia</w:t>
      </w:r>
      <w:r>
        <w:tab/>
      </w:r>
      <w:r>
        <w:rPr>
          <w:spacing w:val="-10"/>
        </w:rPr>
        <w:t>a</w:t>
      </w:r>
      <w:r>
        <w:tab/>
      </w:r>
      <w:r>
        <w:rPr>
          <w:spacing w:val="-2"/>
        </w:rPr>
        <w:t>partir</w:t>
      </w:r>
      <w:r>
        <w:tab/>
      </w:r>
      <w:r>
        <w:rPr>
          <w:spacing w:val="-4"/>
        </w:rPr>
        <w:t>del</w:t>
      </w:r>
      <w:r>
        <w:tab/>
      </w:r>
      <w:r>
        <w:rPr>
          <w:spacing w:val="-4"/>
        </w:rPr>
        <w:t>CNPV</w:t>
      </w:r>
      <w:r>
        <w:tab/>
      </w:r>
      <w:r>
        <w:rPr>
          <w:spacing w:val="-2"/>
        </w:rPr>
        <w:t>2018».</w:t>
      </w:r>
      <w:r>
        <w:tab/>
      </w:r>
      <w:r>
        <w:rPr>
          <w:spacing w:val="-2"/>
        </w:rPr>
        <w:t>2022. https://colombia.unfpa.org/sites/default/files/pub- pdf/condiciones_de_vida_y_pobreza_multidimensional_indigenas_y_afrodescendientes_en</w:t>
      </w:r>
      <w:r>
        <w:t>_colombia_mfr_2.pdf.</w:t>
      </w:r>
    </w:p>
    <w:p w:rsidR="003804AC" w:rsidRDefault="00AF18A5" w:rsidP="00016894">
      <w:r>
        <w:t xml:space="preserve">Entrevista 169-PR-02428. Defensor de derechos humanos, Catatumbo. Tomada por Comisión para el Esclarecimiento de la Verdad, la Convivencia y la No Repetición - CEV. </w:t>
      </w:r>
      <w:r>
        <w:rPr>
          <w:spacing w:val="-2"/>
        </w:rPr>
        <w:t>2020.</w:t>
      </w:r>
    </w:p>
    <w:p w:rsidR="003804AC" w:rsidRDefault="00AF18A5" w:rsidP="00016894">
      <w:r w:rsidRPr="00F9308F">
        <w:rPr>
          <w:lang w:val="pt-BR"/>
        </w:rPr>
        <w:t>Entrevista</w:t>
      </w:r>
      <w:r w:rsidRPr="00F9308F">
        <w:rPr>
          <w:spacing w:val="-2"/>
          <w:lang w:val="pt-BR"/>
        </w:rPr>
        <w:t xml:space="preserve"> </w:t>
      </w:r>
      <w:r w:rsidRPr="00F9308F">
        <w:rPr>
          <w:lang w:val="pt-BR"/>
        </w:rPr>
        <w:t>1026-PR-02505.</w:t>
      </w:r>
      <w:r w:rsidRPr="00F9308F">
        <w:rPr>
          <w:spacing w:val="-2"/>
          <w:lang w:val="pt-BR"/>
        </w:rPr>
        <w:t xml:space="preserve"> </w:t>
      </w:r>
      <w:r w:rsidRPr="00F9308F">
        <w:rPr>
          <w:lang w:val="pt-BR"/>
        </w:rPr>
        <w:t>Docente</w:t>
      </w:r>
      <w:r w:rsidRPr="00F9308F">
        <w:rPr>
          <w:spacing w:val="-2"/>
          <w:lang w:val="pt-BR"/>
        </w:rPr>
        <w:t xml:space="preserve"> </w:t>
      </w:r>
      <w:proofErr w:type="spellStart"/>
      <w:r w:rsidRPr="00F9308F">
        <w:rPr>
          <w:lang w:val="pt-BR"/>
        </w:rPr>
        <w:t>universitario</w:t>
      </w:r>
      <w:proofErr w:type="spellEnd"/>
      <w:r w:rsidRPr="00F9308F">
        <w:rPr>
          <w:lang w:val="pt-BR"/>
        </w:rPr>
        <w:t>,</w:t>
      </w:r>
      <w:r w:rsidRPr="00F9308F">
        <w:rPr>
          <w:spacing w:val="-2"/>
          <w:lang w:val="pt-BR"/>
        </w:rPr>
        <w:t xml:space="preserve"> </w:t>
      </w:r>
      <w:proofErr w:type="spellStart"/>
      <w:r w:rsidRPr="00F9308F">
        <w:rPr>
          <w:lang w:val="pt-BR"/>
        </w:rPr>
        <w:t>activista</w:t>
      </w:r>
      <w:proofErr w:type="spellEnd"/>
      <w:r w:rsidRPr="00F9308F">
        <w:rPr>
          <w:spacing w:val="-2"/>
          <w:lang w:val="pt-BR"/>
        </w:rPr>
        <w:t xml:space="preserve"> </w:t>
      </w:r>
      <w:r w:rsidRPr="00F9308F">
        <w:rPr>
          <w:lang w:val="pt-BR"/>
        </w:rPr>
        <w:t>LGBTI,</w:t>
      </w:r>
      <w:r w:rsidRPr="00F9308F">
        <w:rPr>
          <w:spacing w:val="-2"/>
          <w:lang w:val="pt-BR"/>
        </w:rPr>
        <w:t xml:space="preserve"> </w:t>
      </w:r>
      <w:r w:rsidRPr="00F9308F">
        <w:rPr>
          <w:lang w:val="pt-BR"/>
        </w:rPr>
        <w:t>Cartagena</w:t>
      </w:r>
      <w:r w:rsidRPr="00F9308F">
        <w:rPr>
          <w:spacing w:val="-2"/>
          <w:lang w:val="pt-BR"/>
        </w:rPr>
        <w:t xml:space="preserve"> </w:t>
      </w:r>
      <w:r w:rsidRPr="00F9308F">
        <w:rPr>
          <w:lang w:val="pt-BR"/>
        </w:rPr>
        <w:t>de</w:t>
      </w:r>
      <w:r w:rsidRPr="00F9308F">
        <w:rPr>
          <w:spacing w:val="-2"/>
          <w:lang w:val="pt-BR"/>
        </w:rPr>
        <w:t xml:space="preserve"> </w:t>
      </w:r>
      <w:proofErr w:type="spellStart"/>
      <w:r w:rsidRPr="00F9308F">
        <w:rPr>
          <w:lang w:val="pt-BR"/>
        </w:rPr>
        <w:t>Indias</w:t>
      </w:r>
      <w:proofErr w:type="spellEnd"/>
      <w:r w:rsidRPr="00F9308F">
        <w:rPr>
          <w:lang w:val="pt-BR"/>
        </w:rPr>
        <w:t xml:space="preserve">. </w:t>
      </w:r>
      <w:r>
        <w:t>Tomada por Comisión para el Esclarecimiento de la Verdad, la Convivencia y la No Repetición - CEV. 2020.</w:t>
      </w:r>
    </w:p>
    <w:p w:rsidR="003804AC" w:rsidRDefault="00AF18A5" w:rsidP="00016894">
      <w:r>
        <w:t>Entrevista 240-CO-00959. Excomandante de las AUC. Tomada por Comisión para el Esclarecimiento de la Verdad, la Convivencia y la No Repetición - CEV.</w:t>
      </w:r>
    </w:p>
    <w:p w:rsidR="003804AC" w:rsidRDefault="00AF18A5" w:rsidP="00016894">
      <w:r>
        <w:t>Entrevista 975-PR-02938. Excombatiente M19. Tomada por Comisión para el Esclarecimiento de la Verdad, la Convivencia y la No Repetición - CEV.</w:t>
      </w:r>
    </w:p>
    <w:p w:rsidR="003804AC" w:rsidRDefault="00AF18A5" w:rsidP="00016894">
      <w:r>
        <w:t>Entrevista 477-AA-00002. Exintegrante AUC. Tomada por Comisión para el Esclarecimiento de la Verdad, la Convivencia y la No Repetición - CEV.</w:t>
      </w:r>
    </w:p>
    <w:p w:rsidR="003804AC" w:rsidRDefault="00AF18A5" w:rsidP="00016894">
      <w:r>
        <w:t>Entrevista 236-PR-00237. Experto, periodista. Tomada por Comisión para el Esclarecimiento de la Verdad, la Convivencia y la No Repetición - CEV. 2019.</w:t>
      </w:r>
    </w:p>
    <w:p w:rsidR="003804AC" w:rsidRDefault="00AF18A5" w:rsidP="00016894">
      <w:r w:rsidRPr="00F9308F">
        <w:rPr>
          <w:lang w:val="pt-BR"/>
        </w:rPr>
        <w:t xml:space="preserve">Entrevista 795-PR-00823. </w:t>
      </w:r>
      <w:proofErr w:type="spellStart"/>
      <w:proofErr w:type="gramStart"/>
      <w:r w:rsidRPr="00F9308F">
        <w:rPr>
          <w:lang w:val="pt-BR"/>
        </w:rPr>
        <w:t>Funcionaria</w:t>
      </w:r>
      <w:proofErr w:type="spellEnd"/>
      <w:proofErr w:type="gramEnd"/>
      <w:r w:rsidRPr="00F9308F">
        <w:rPr>
          <w:lang w:val="pt-BR"/>
        </w:rPr>
        <w:t xml:space="preserve"> pública, </w:t>
      </w:r>
      <w:proofErr w:type="spellStart"/>
      <w:r w:rsidRPr="00F9308F">
        <w:rPr>
          <w:lang w:val="pt-BR"/>
        </w:rPr>
        <w:t>afrocolombiana</w:t>
      </w:r>
      <w:proofErr w:type="spellEnd"/>
      <w:r w:rsidRPr="00F9308F">
        <w:rPr>
          <w:lang w:val="pt-BR"/>
        </w:rPr>
        <w:t xml:space="preserve">. </w:t>
      </w:r>
      <w:r>
        <w:t xml:space="preserve">Tomada por Comisión para el Esclarecimiento de la Verdad, la Convivencia y la </w:t>
      </w:r>
      <w:r>
        <w:lastRenderedPageBreak/>
        <w:t>No Repetición - CEV. 2020.</w:t>
      </w:r>
    </w:p>
    <w:p w:rsidR="003804AC" w:rsidRDefault="00AF18A5" w:rsidP="00016894">
      <w:r>
        <w:t xml:space="preserve">Galtung, Johan. Tras la Violencia, 3R: Reconstrucción, Reconciliación, Resolución: Afrontando Los Efectos Visibles e Invisibles de la Guerra y la Violencia. Bilbao: </w:t>
      </w:r>
      <w:proofErr w:type="spellStart"/>
      <w:r>
        <w:t>Bakeaz</w:t>
      </w:r>
      <w:proofErr w:type="spellEnd"/>
      <w:r>
        <w:t>, Centro Documentación Estudios para la Paz, 1998.</w:t>
      </w:r>
    </w:p>
    <w:p w:rsidR="003804AC" w:rsidRDefault="00AF18A5" w:rsidP="00016894">
      <w:r>
        <w:t>Entrevista 542-VI-00021. Gestor cultural, Valledupar. Tomada por Comisión para el Esclarecimiento de la Verdad, la Convivencia y la No Repetición - CEV. 2020.</w:t>
      </w:r>
    </w:p>
    <w:p w:rsidR="003804AC" w:rsidRDefault="00AF18A5" w:rsidP="00016894">
      <w:r>
        <w:t xml:space="preserve">Gobernación del Chocó. «Analfabetismo - </w:t>
      </w:r>
      <w:proofErr w:type="spellStart"/>
      <w:r>
        <w:t>Analisis</w:t>
      </w:r>
      <w:proofErr w:type="spellEnd"/>
      <w:r>
        <w:t xml:space="preserve"> </w:t>
      </w:r>
      <w:proofErr w:type="spellStart"/>
      <w:r>
        <w:t>Estadistico</w:t>
      </w:r>
      <w:proofErr w:type="spellEnd"/>
      <w:r>
        <w:t xml:space="preserve"> </w:t>
      </w:r>
      <w:proofErr w:type="spellStart"/>
      <w:r>
        <w:t>Sedchoco</w:t>
      </w:r>
      <w:proofErr w:type="spellEnd"/>
      <w:r>
        <w:t xml:space="preserve">». Accedido 25 de junio de 2022. Acceso el 25 de junio de 2022. </w:t>
      </w:r>
      <w:r>
        <w:rPr>
          <w:spacing w:val="-2"/>
        </w:rPr>
        <w:t>https://sites.google.com/site/analisisestadisticosedchoco/home/analfabetismo.</w:t>
      </w:r>
    </w:p>
    <w:p w:rsidR="003804AC" w:rsidRDefault="00AF18A5" w:rsidP="00016894">
      <w:r>
        <w:t>Entrevista 307-VI-00027. Habitante, Resbalón, Guaviare. Tomada por Comisión para el Esclarecimiento de la Verdad, la Convivencia y la No Repetición - CEV. 2019.</w:t>
      </w:r>
    </w:p>
    <w:p w:rsidR="003804AC" w:rsidRDefault="00AF18A5" w:rsidP="00016894">
      <w:r w:rsidRPr="00F9308F">
        <w:rPr>
          <w:lang w:val="pt-BR"/>
        </w:rPr>
        <w:t xml:space="preserve">Entrevista 337-PR-02648. Habitante, </w:t>
      </w:r>
      <w:proofErr w:type="spellStart"/>
      <w:r w:rsidRPr="00F9308F">
        <w:rPr>
          <w:lang w:val="pt-BR"/>
        </w:rPr>
        <w:t>testigo</w:t>
      </w:r>
      <w:proofErr w:type="spellEnd"/>
      <w:r w:rsidRPr="00F9308F">
        <w:rPr>
          <w:lang w:val="pt-BR"/>
        </w:rPr>
        <w:t xml:space="preserve"> de </w:t>
      </w:r>
      <w:proofErr w:type="spellStart"/>
      <w:r w:rsidRPr="00F9308F">
        <w:rPr>
          <w:lang w:val="pt-BR"/>
        </w:rPr>
        <w:t>Nariño</w:t>
      </w:r>
      <w:proofErr w:type="spellEnd"/>
      <w:r w:rsidRPr="00F9308F">
        <w:rPr>
          <w:lang w:val="pt-BR"/>
        </w:rPr>
        <w:t xml:space="preserve">. </w:t>
      </w:r>
      <w:r>
        <w:t>Tomada por Comisión para el Esclarecimiento de la Verdad, la Convivencia y la No Repetición - CEV. 2020.</w:t>
      </w:r>
    </w:p>
    <w:p w:rsidR="003804AC" w:rsidRDefault="00AF18A5" w:rsidP="00016894">
      <w:r>
        <w:t>Entrevista 167-VI-00004. Hombre, indígena, gay. Tomada por Comisión para el Esclarecimiento de la Verdad, la Convivencia y la No Repetición - CEV. 2019.</w:t>
      </w:r>
    </w:p>
    <w:p w:rsidR="003804AC" w:rsidRDefault="00AF18A5" w:rsidP="00016894">
      <w:r>
        <w:t>Entrevista 627-VI-00005. Joven afrocolombiano, Nariño. Tomada por Comisión para el Esclarecimiento de la Verdad, la Convivencia y la No Repetición - CEV. 2020.</w:t>
      </w:r>
    </w:p>
    <w:p w:rsidR="003804AC" w:rsidRDefault="00AF18A5" w:rsidP="00016894">
      <w:r>
        <w:lastRenderedPageBreak/>
        <w:t>Entrevista 236-VI-00001. Joven negro, víctima. Tomada por Comisión para el Esclarecimiento de la Verdad, la Convivencia y la No Repetición - CEV. 2019.</w:t>
      </w:r>
    </w:p>
    <w:p w:rsidR="003804AC" w:rsidRDefault="00AF18A5" w:rsidP="00016894">
      <w:r>
        <w:t xml:space="preserve">Corte Constitucional de Colombia. Auto 009 de 2015. Magistrado presidente: Luis Ernesto Vargas Silva. 27 de enero de 2015. Recuperado de: </w:t>
      </w:r>
      <w:r>
        <w:rPr>
          <w:spacing w:val="-2"/>
        </w:rPr>
        <w:t>https://</w:t>
      </w:r>
      <w:hyperlink r:id="rId204">
        <w:r>
          <w:rPr>
            <w:spacing w:val="-2"/>
          </w:rPr>
          <w:t>www.corteconstitucional.gov.co/relatoria/autos/2015/A009-15.htm.</w:t>
        </w:r>
      </w:hyperlink>
    </w:p>
    <w:p w:rsidR="003804AC" w:rsidRDefault="00AF18A5" w:rsidP="00016894">
      <w:r>
        <w:t xml:space="preserve">Melo González, Jorge Orlando. Colombia, las razones de la guerra: las </w:t>
      </w:r>
      <w:proofErr w:type="spellStart"/>
      <w:r>
        <w:t>justificiaciones</w:t>
      </w:r>
      <w:proofErr w:type="spellEnd"/>
      <w:r>
        <w:t xml:space="preserve"> de la violencia en la historia del país y el fracaso de la lucha armada. Bogotá: Editorial Planeta Colombiana, 2021.</w:t>
      </w:r>
    </w:p>
    <w:p w:rsidR="003804AC" w:rsidRDefault="00AF18A5" w:rsidP="00016894">
      <w:r>
        <w:t>Ministerio de Educación. «Tasa de analfabetismo en Colombia a la baja - Ministerio de Educación</w:t>
      </w:r>
      <w:r>
        <w:rPr>
          <w:spacing w:val="-4"/>
        </w:rPr>
        <w:t xml:space="preserve"> </w:t>
      </w:r>
      <w:r>
        <w:t>Nacional</w:t>
      </w:r>
      <w:r>
        <w:rPr>
          <w:spacing w:val="-3"/>
        </w:rPr>
        <w:t xml:space="preserve"> </w:t>
      </w:r>
      <w:r>
        <w:t>de</w:t>
      </w:r>
      <w:r>
        <w:rPr>
          <w:spacing w:val="-3"/>
        </w:rPr>
        <w:t xml:space="preserve"> </w:t>
      </w:r>
      <w:r>
        <w:t>Colombia».</w:t>
      </w:r>
      <w:r>
        <w:rPr>
          <w:spacing w:val="-5"/>
        </w:rPr>
        <w:t xml:space="preserve"> </w:t>
      </w:r>
      <w:r>
        <w:t>Accedido</w:t>
      </w:r>
      <w:r>
        <w:rPr>
          <w:spacing w:val="-2"/>
        </w:rPr>
        <w:t xml:space="preserve"> </w:t>
      </w:r>
      <w:r>
        <w:t>26</w:t>
      </w:r>
      <w:r>
        <w:rPr>
          <w:spacing w:val="-4"/>
        </w:rPr>
        <w:t xml:space="preserve"> </w:t>
      </w:r>
      <w:r>
        <w:t>de</w:t>
      </w:r>
      <w:r>
        <w:rPr>
          <w:spacing w:val="-2"/>
        </w:rPr>
        <w:t xml:space="preserve"> </w:t>
      </w:r>
      <w:r>
        <w:t>junio</w:t>
      </w:r>
      <w:r>
        <w:rPr>
          <w:spacing w:val="-2"/>
        </w:rPr>
        <w:t xml:space="preserve"> </w:t>
      </w:r>
      <w:r>
        <w:t>de</w:t>
      </w:r>
      <w:r>
        <w:rPr>
          <w:spacing w:val="-5"/>
        </w:rPr>
        <w:t xml:space="preserve"> </w:t>
      </w:r>
      <w:r>
        <w:t>2022.</w:t>
      </w:r>
      <w:r>
        <w:rPr>
          <w:spacing w:val="-2"/>
        </w:rPr>
        <w:t xml:space="preserve"> </w:t>
      </w:r>
      <w:r>
        <w:t>Acceso</w:t>
      </w:r>
      <w:r>
        <w:rPr>
          <w:spacing w:val="-2"/>
        </w:rPr>
        <w:t xml:space="preserve"> </w:t>
      </w:r>
      <w:r>
        <w:t>el</w:t>
      </w:r>
      <w:r>
        <w:rPr>
          <w:spacing w:val="-2"/>
        </w:rPr>
        <w:t xml:space="preserve"> </w:t>
      </w:r>
      <w:r>
        <w:t>26</w:t>
      </w:r>
      <w:r>
        <w:rPr>
          <w:spacing w:val="-4"/>
        </w:rPr>
        <w:t xml:space="preserve"> </w:t>
      </w:r>
      <w:r>
        <w:t>de</w:t>
      </w:r>
      <w:r>
        <w:rPr>
          <w:spacing w:val="-3"/>
        </w:rPr>
        <w:t xml:space="preserve"> </w:t>
      </w:r>
      <w:r>
        <w:t>junio</w:t>
      </w:r>
      <w:r>
        <w:rPr>
          <w:spacing w:val="-2"/>
        </w:rPr>
        <w:t xml:space="preserve"> </w:t>
      </w:r>
      <w:r>
        <w:t>de 2022. https://</w:t>
      </w:r>
      <w:hyperlink r:id="rId205">
        <w:r>
          <w:t>www.mineducacion.gov.co/1759/w3-printer-376377.html.</w:t>
        </w:r>
      </w:hyperlink>
    </w:p>
    <w:p w:rsidR="003804AC" w:rsidRPr="00F9308F" w:rsidRDefault="00AF18A5" w:rsidP="00016894">
      <w:pPr>
        <w:rPr>
          <w:lang w:val="it-IT"/>
        </w:rPr>
      </w:pPr>
      <w:r>
        <w:t xml:space="preserve">Ministerio del Interior. «Plan de caracterización del Consejo Comunitario de la Cuenca </w:t>
      </w:r>
      <w:r>
        <w:rPr>
          <w:spacing w:val="-5"/>
        </w:rPr>
        <w:t>del</w:t>
      </w:r>
      <w:r>
        <w:tab/>
      </w:r>
      <w:r>
        <w:rPr>
          <w:spacing w:val="-5"/>
        </w:rPr>
        <w:t>Río</w:t>
      </w:r>
      <w:r>
        <w:tab/>
      </w:r>
      <w:r>
        <w:rPr>
          <w:spacing w:val="-2"/>
        </w:rPr>
        <w:t>Cacarica».</w:t>
      </w:r>
      <w:r>
        <w:tab/>
      </w:r>
      <w:r w:rsidRPr="00F9308F">
        <w:rPr>
          <w:spacing w:val="-2"/>
          <w:lang w:val="it-IT"/>
        </w:rPr>
        <w:t>2017.</w:t>
      </w:r>
    </w:p>
    <w:p w:rsidR="003804AC" w:rsidRPr="00F9308F" w:rsidRDefault="00AF18A5" w:rsidP="00016894">
      <w:pPr>
        <w:rPr>
          <w:lang w:val="it-IT"/>
        </w:rPr>
      </w:pPr>
      <w:r w:rsidRPr="00F9308F">
        <w:rPr>
          <w:lang w:val="it-IT"/>
        </w:rPr>
        <w:t xml:space="preserve">https://issuu.com/grupodearticulacioninternasparalapo/docs/plan_de_caracterizacion_cacari </w:t>
      </w:r>
      <w:r w:rsidRPr="00F9308F">
        <w:rPr>
          <w:spacing w:val="-4"/>
          <w:lang w:val="it-IT"/>
        </w:rPr>
        <w:t>ca.</w:t>
      </w:r>
    </w:p>
    <w:p w:rsidR="003804AC" w:rsidRDefault="00AF18A5" w:rsidP="00016894">
      <w:r w:rsidRPr="00F9308F">
        <w:rPr>
          <w:lang w:val="it-IT"/>
        </w:rPr>
        <w:t>Entrevista</w:t>
      </w:r>
      <w:r w:rsidRPr="00F9308F">
        <w:rPr>
          <w:spacing w:val="-3"/>
          <w:lang w:val="it-IT"/>
        </w:rPr>
        <w:t xml:space="preserve"> </w:t>
      </w:r>
      <w:r w:rsidRPr="00F9308F">
        <w:rPr>
          <w:lang w:val="it-IT"/>
        </w:rPr>
        <w:t>238-VI-00057.</w:t>
      </w:r>
      <w:r w:rsidRPr="00F9308F">
        <w:rPr>
          <w:spacing w:val="-3"/>
          <w:lang w:val="it-IT"/>
        </w:rPr>
        <w:t xml:space="preserve"> </w:t>
      </w:r>
      <w:r>
        <w:t>Mujer,</w:t>
      </w:r>
      <w:r>
        <w:rPr>
          <w:spacing w:val="-3"/>
        </w:rPr>
        <w:t xml:space="preserve"> </w:t>
      </w:r>
      <w:r>
        <w:t>Guajira.</w:t>
      </w:r>
      <w:r>
        <w:rPr>
          <w:spacing w:val="-3"/>
        </w:rPr>
        <w:t xml:space="preserve"> </w:t>
      </w:r>
      <w:r>
        <w:t>Tomada</w:t>
      </w:r>
      <w:r>
        <w:rPr>
          <w:spacing w:val="-3"/>
        </w:rPr>
        <w:t xml:space="preserve"> </w:t>
      </w:r>
      <w:r>
        <w:t>por</w:t>
      </w:r>
      <w:r>
        <w:rPr>
          <w:spacing w:val="-3"/>
        </w:rPr>
        <w:t xml:space="preserve"> </w:t>
      </w:r>
      <w:r>
        <w:t>Comisión</w:t>
      </w:r>
      <w:r>
        <w:rPr>
          <w:spacing w:val="-3"/>
        </w:rPr>
        <w:t xml:space="preserve"> </w:t>
      </w:r>
      <w:r>
        <w:t>para</w:t>
      </w:r>
      <w:r>
        <w:rPr>
          <w:spacing w:val="-3"/>
        </w:rPr>
        <w:t xml:space="preserve"> </w:t>
      </w:r>
      <w:r>
        <w:t>el</w:t>
      </w:r>
      <w:r>
        <w:rPr>
          <w:spacing w:val="-4"/>
        </w:rPr>
        <w:t xml:space="preserve"> </w:t>
      </w:r>
      <w:r>
        <w:t>Esclarecimiento de la Verdad, la Convivencia y la No Repetición - CEV. 2020.</w:t>
      </w:r>
    </w:p>
    <w:p w:rsidR="003804AC" w:rsidRDefault="00AF18A5" w:rsidP="00016894">
      <w:r>
        <w:t>Entrevista</w:t>
      </w:r>
      <w:r>
        <w:rPr>
          <w:spacing w:val="40"/>
        </w:rPr>
        <w:t xml:space="preserve"> </w:t>
      </w:r>
      <w:r>
        <w:t>070-VI-00051.</w:t>
      </w:r>
      <w:r>
        <w:rPr>
          <w:spacing w:val="40"/>
        </w:rPr>
        <w:t xml:space="preserve"> </w:t>
      </w:r>
      <w:r>
        <w:t>Mujer,</w:t>
      </w:r>
      <w:r>
        <w:rPr>
          <w:spacing w:val="40"/>
        </w:rPr>
        <w:t xml:space="preserve"> </w:t>
      </w:r>
      <w:r>
        <w:t>madre,</w:t>
      </w:r>
      <w:r>
        <w:rPr>
          <w:spacing w:val="40"/>
        </w:rPr>
        <w:t xml:space="preserve"> </w:t>
      </w:r>
      <w:r>
        <w:t>campesina.</w:t>
      </w:r>
      <w:r>
        <w:rPr>
          <w:spacing w:val="40"/>
        </w:rPr>
        <w:t xml:space="preserve"> </w:t>
      </w:r>
      <w:r>
        <w:t>Tomada</w:t>
      </w:r>
      <w:r>
        <w:rPr>
          <w:spacing w:val="40"/>
        </w:rPr>
        <w:t xml:space="preserve"> </w:t>
      </w:r>
      <w:r>
        <w:t>por</w:t>
      </w:r>
      <w:r>
        <w:rPr>
          <w:spacing w:val="40"/>
        </w:rPr>
        <w:t xml:space="preserve"> </w:t>
      </w:r>
      <w:r>
        <w:t>Comisión</w:t>
      </w:r>
      <w:r>
        <w:rPr>
          <w:spacing w:val="40"/>
        </w:rPr>
        <w:t xml:space="preserve"> </w:t>
      </w:r>
      <w:r>
        <w:t>para</w:t>
      </w:r>
      <w:r>
        <w:rPr>
          <w:spacing w:val="40"/>
        </w:rPr>
        <w:t xml:space="preserve"> </w:t>
      </w:r>
      <w:r>
        <w:t>el</w:t>
      </w:r>
      <w:r>
        <w:rPr>
          <w:spacing w:val="40"/>
        </w:rPr>
        <w:t xml:space="preserve"> </w:t>
      </w:r>
      <w:r>
        <w:t>Esclarecimiento de la Verdad, la Convivencia y la No Repetición - CEV. 2019.</w:t>
      </w:r>
    </w:p>
    <w:p w:rsidR="003804AC" w:rsidRDefault="00AF18A5" w:rsidP="00016894">
      <w:r>
        <w:lastRenderedPageBreak/>
        <w:t>Entrevista</w:t>
      </w:r>
      <w:r>
        <w:rPr>
          <w:spacing w:val="80"/>
        </w:rPr>
        <w:t xml:space="preserve"> </w:t>
      </w:r>
      <w:r>
        <w:t>169-VI-00005.</w:t>
      </w:r>
      <w:r>
        <w:rPr>
          <w:spacing w:val="80"/>
        </w:rPr>
        <w:t xml:space="preserve"> </w:t>
      </w:r>
      <w:r>
        <w:t>Mujer,</w:t>
      </w:r>
      <w:r>
        <w:rPr>
          <w:spacing w:val="80"/>
        </w:rPr>
        <w:t xml:space="preserve"> </w:t>
      </w:r>
      <w:proofErr w:type="spellStart"/>
      <w:r>
        <w:t>rrom</w:t>
      </w:r>
      <w:proofErr w:type="spellEnd"/>
      <w:r>
        <w:t>,</w:t>
      </w:r>
      <w:r>
        <w:rPr>
          <w:spacing w:val="80"/>
        </w:rPr>
        <w:t xml:space="preserve"> </w:t>
      </w:r>
      <w:r>
        <w:t>víctima.</w:t>
      </w:r>
      <w:r>
        <w:rPr>
          <w:spacing w:val="80"/>
        </w:rPr>
        <w:t xml:space="preserve"> </w:t>
      </w:r>
      <w:r>
        <w:t>Tomada</w:t>
      </w:r>
      <w:r>
        <w:rPr>
          <w:spacing w:val="80"/>
        </w:rPr>
        <w:t xml:space="preserve"> </w:t>
      </w:r>
      <w:r>
        <w:t>por</w:t>
      </w:r>
      <w:r>
        <w:rPr>
          <w:spacing w:val="80"/>
        </w:rPr>
        <w:t xml:space="preserve"> </w:t>
      </w:r>
      <w:r>
        <w:t>Comisión</w:t>
      </w:r>
      <w:r>
        <w:rPr>
          <w:spacing w:val="80"/>
        </w:rPr>
        <w:t xml:space="preserve"> </w:t>
      </w:r>
      <w:r>
        <w:t>para</w:t>
      </w:r>
      <w:r>
        <w:rPr>
          <w:spacing w:val="80"/>
        </w:rPr>
        <w:t xml:space="preserve"> </w:t>
      </w:r>
      <w:r>
        <w:t>el</w:t>
      </w:r>
      <w:r>
        <w:rPr>
          <w:spacing w:val="80"/>
        </w:rPr>
        <w:t xml:space="preserve"> </w:t>
      </w:r>
      <w:r>
        <w:t>Esclarecimiento de la Verdad, la Convivencia y la No Repetición - CEV. 2019.</w:t>
      </w:r>
    </w:p>
    <w:p w:rsidR="003804AC" w:rsidRDefault="00AF18A5" w:rsidP="00016894">
      <w:r>
        <w:t>Entrevista</w:t>
      </w:r>
      <w:r>
        <w:rPr>
          <w:spacing w:val="-3"/>
        </w:rPr>
        <w:t xml:space="preserve"> </w:t>
      </w:r>
      <w:r>
        <w:t>167-VI-00005.</w:t>
      </w:r>
      <w:r>
        <w:rPr>
          <w:spacing w:val="-3"/>
        </w:rPr>
        <w:t xml:space="preserve"> </w:t>
      </w:r>
      <w:r>
        <w:t>Mujer,</w:t>
      </w:r>
      <w:r>
        <w:rPr>
          <w:spacing w:val="-3"/>
        </w:rPr>
        <w:t xml:space="preserve"> </w:t>
      </w:r>
      <w:r>
        <w:t>víctima.</w:t>
      </w:r>
      <w:r>
        <w:rPr>
          <w:spacing w:val="-3"/>
        </w:rPr>
        <w:t xml:space="preserve"> </w:t>
      </w:r>
      <w:r>
        <w:t>Tomada</w:t>
      </w:r>
      <w:r>
        <w:rPr>
          <w:spacing w:val="-3"/>
        </w:rPr>
        <w:t xml:space="preserve"> </w:t>
      </w:r>
      <w:r>
        <w:t>por</w:t>
      </w:r>
      <w:r>
        <w:rPr>
          <w:spacing w:val="-3"/>
        </w:rPr>
        <w:t xml:space="preserve"> </w:t>
      </w:r>
      <w:r>
        <w:t>Comisión</w:t>
      </w:r>
      <w:r>
        <w:rPr>
          <w:spacing w:val="-3"/>
        </w:rPr>
        <w:t xml:space="preserve"> </w:t>
      </w:r>
      <w:r>
        <w:t>para</w:t>
      </w:r>
      <w:r>
        <w:rPr>
          <w:spacing w:val="-3"/>
        </w:rPr>
        <w:t xml:space="preserve"> </w:t>
      </w:r>
      <w:r>
        <w:t>el</w:t>
      </w:r>
      <w:r>
        <w:rPr>
          <w:spacing w:val="-4"/>
        </w:rPr>
        <w:t xml:space="preserve"> </w:t>
      </w:r>
      <w:r>
        <w:t>Esclarecimiento de la Verdad, la Convivencia y la No Repetición - CEV. 2019.</w:t>
      </w:r>
    </w:p>
    <w:p w:rsidR="003804AC" w:rsidRDefault="00AF18A5" w:rsidP="00016894">
      <w:r>
        <w:t>Oficina</w:t>
      </w:r>
      <w:r>
        <w:rPr>
          <w:spacing w:val="24"/>
        </w:rPr>
        <w:t xml:space="preserve"> </w:t>
      </w:r>
      <w:r>
        <w:t>de</w:t>
      </w:r>
      <w:r>
        <w:rPr>
          <w:spacing w:val="24"/>
        </w:rPr>
        <w:t xml:space="preserve"> </w:t>
      </w:r>
      <w:r>
        <w:t>las</w:t>
      </w:r>
      <w:r>
        <w:rPr>
          <w:spacing w:val="24"/>
        </w:rPr>
        <w:t xml:space="preserve"> </w:t>
      </w:r>
      <w:r>
        <w:t>Naciones</w:t>
      </w:r>
      <w:r>
        <w:rPr>
          <w:spacing w:val="23"/>
        </w:rPr>
        <w:t xml:space="preserve"> </w:t>
      </w:r>
      <w:r>
        <w:t>Unidas</w:t>
      </w:r>
      <w:r>
        <w:rPr>
          <w:spacing w:val="24"/>
        </w:rPr>
        <w:t xml:space="preserve"> </w:t>
      </w:r>
      <w:r>
        <w:t>contra</w:t>
      </w:r>
      <w:r>
        <w:rPr>
          <w:spacing w:val="23"/>
        </w:rPr>
        <w:t xml:space="preserve"> </w:t>
      </w:r>
      <w:r>
        <w:t>la</w:t>
      </w:r>
      <w:r>
        <w:rPr>
          <w:spacing w:val="24"/>
        </w:rPr>
        <w:t xml:space="preserve"> </w:t>
      </w:r>
      <w:r>
        <w:t>Droga</w:t>
      </w:r>
      <w:r>
        <w:rPr>
          <w:spacing w:val="23"/>
        </w:rPr>
        <w:t xml:space="preserve"> </w:t>
      </w:r>
      <w:r>
        <w:t>y</w:t>
      </w:r>
      <w:r>
        <w:rPr>
          <w:spacing w:val="24"/>
        </w:rPr>
        <w:t xml:space="preserve"> </w:t>
      </w:r>
      <w:r>
        <w:t>el</w:t>
      </w:r>
      <w:r>
        <w:rPr>
          <w:spacing w:val="25"/>
        </w:rPr>
        <w:t xml:space="preserve"> </w:t>
      </w:r>
      <w:r>
        <w:t>Delito.</w:t>
      </w:r>
      <w:r>
        <w:rPr>
          <w:spacing w:val="23"/>
        </w:rPr>
        <w:t xml:space="preserve"> </w:t>
      </w:r>
      <w:r>
        <w:t>«Monitoreo</w:t>
      </w:r>
      <w:r>
        <w:rPr>
          <w:spacing w:val="23"/>
        </w:rPr>
        <w:t xml:space="preserve"> </w:t>
      </w:r>
      <w:r>
        <w:t>de</w:t>
      </w:r>
      <w:r>
        <w:rPr>
          <w:spacing w:val="24"/>
        </w:rPr>
        <w:t xml:space="preserve"> </w:t>
      </w:r>
      <w:r>
        <w:t xml:space="preserve">territorios </w:t>
      </w:r>
      <w:r>
        <w:rPr>
          <w:spacing w:val="-2"/>
        </w:rPr>
        <w:t>afectados</w:t>
      </w:r>
      <w:r>
        <w:tab/>
      </w:r>
      <w:r>
        <w:rPr>
          <w:spacing w:val="-5"/>
        </w:rPr>
        <w:t>por</w:t>
      </w:r>
      <w:r>
        <w:tab/>
      </w:r>
      <w:r>
        <w:rPr>
          <w:spacing w:val="-2"/>
        </w:rPr>
        <w:t>cultivos</w:t>
      </w:r>
      <w:r>
        <w:tab/>
      </w:r>
      <w:r>
        <w:rPr>
          <w:spacing w:val="-2"/>
        </w:rPr>
        <w:t>ilícitos</w:t>
      </w:r>
      <w:r>
        <w:tab/>
      </w:r>
      <w:r>
        <w:rPr>
          <w:spacing w:val="-2"/>
        </w:rPr>
        <w:t>Colombia,</w:t>
      </w:r>
      <w:r>
        <w:tab/>
      </w:r>
      <w:r>
        <w:rPr>
          <w:spacing w:val="-2"/>
        </w:rPr>
        <w:t>2020».</w:t>
      </w:r>
      <w:r>
        <w:tab/>
      </w:r>
      <w:r>
        <w:rPr>
          <w:spacing w:val="-2"/>
        </w:rPr>
        <w:t>2021.</w:t>
      </w:r>
    </w:p>
    <w:p w:rsidR="0011361F" w:rsidRDefault="00AF18A5" w:rsidP="00016894">
      <w:r>
        <w:t>https://</w:t>
      </w:r>
      <w:hyperlink r:id="rId206">
        <w:r>
          <w:t>www.unodc.org/documents/crop-</w:t>
        </w:r>
      </w:hyperlink>
      <w:r>
        <w:t xml:space="preserve"> monitoring/Colombia/Colombia_Monitoreo_de_territorios_afectados_por_cultivos_ilicitos_2020.pdf.</w:t>
      </w:r>
    </w:p>
    <w:p w:rsidR="0011361F" w:rsidRDefault="00AF18A5" w:rsidP="00016894">
      <w:r>
        <w:t>Rey, Germán.</w:t>
      </w:r>
      <w:r>
        <w:rPr>
          <w:spacing w:val="2"/>
        </w:rPr>
        <w:t xml:space="preserve"> </w:t>
      </w:r>
      <w:r>
        <w:t>«Las</w:t>
      </w:r>
      <w:r>
        <w:rPr>
          <w:spacing w:val="2"/>
        </w:rPr>
        <w:t xml:space="preserve"> </w:t>
      </w:r>
      <w:r>
        <w:t>dinámicas</w:t>
      </w:r>
      <w:r>
        <w:rPr>
          <w:spacing w:val="3"/>
        </w:rPr>
        <w:t xml:space="preserve"> </w:t>
      </w:r>
      <w:r>
        <w:t>del</w:t>
      </w:r>
      <w:r>
        <w:rPr>
          <w:spacing w:val="3"/>
        </w:rPr>
        <w:t xml:space="preserve"> </w:t>
      </w:r>
      <w:r>
        <w:t>hormiguero.</w:t>
      </w:r>
      <w:r>
        <w:rPr>
          <w:spacing w:val="2"/>
        </w:rPr>
        <w:t xml:space="preserve"> </w:t>
      </w:r>
      <w:r>
        <w:t>Cultura</w:t>
      </w:r>
      <w:r>
        <w:rPr>
          <w:spacing w:val="2"/>
        </w:rPr>
        <w:t xml:space="preserve"> </w:t>
      </w:r>
      <w:r>
        <w:t>y</w:t>
      </w:r>
      <w:r>
        <w:rPr>
          <w:spacing w:val="3"/>
        </w:rPr>
        <w:t xml:space="preserve"> </w:t>
      </w:r>
      <w:r>
        <w:t>Acuerdo</w:t>
      </w:r>
      <w:r>
        <w:rPr>
          <w:spacing w:val="2"/>
        </w:rPr>
        <w:t xml:space="preserve"> </w:t>
      </w:r>
      <w:r>
        <w:t>de</w:t>
      </w:r>
      <w:r>
        <w:rPr>
          <w:spacing w:val="2"/>
        </w:rPr>
        <w:t xml:space="preserve"> </w:t>
      </w:r>
      <w:r>
        <w:t>Paz</w:t>
      </w:r>
      <w:r>
        <w:rPr>
          <w:spacing w:val="2"/>
        </w:rPr>
        <w:t xml:space="preserve"> </w:t>
      </w:r>
      <w:r>
        <w:t>en</w:t>
      </w:r>
      <w:r>
        <w:rPr>
          <w:spacing w:val="3"/>
        </w:rPr>
        <w:t xml:space="preserve"> </w:t>
      </w:r>
      <w:r>
        <w:rPr>
          <w:spacing w:val="-2"/>
        </w:rPr>
        <w:t>Colombia».</w:t>
      </w:r>
      <w:r w:rsidR="00016894">
        <w:t xml:space="preserve"> </w:t>
      </w:r>
      <w:r>
        <w:rPr>
          <w:i/>
        </w:rPr>
        <w:t>Revista</w:t>
      </w:r>
      <w:r>
        <w:rPr>
          <w:i/>
          <w:spacing w:val="-3"/>
        </w:rPr>
        <w:t xml:space="preserve"> </w:t>
      </w:r>
      <w:r>
        <w:rPr>
          <w:i/>
        </w:rPr>
        <w:t>MGC</w:t>
      </w:r>
      <w:r>
        <w:rPr>
          <w:i/>
          <w:spacing w:val="-2"/>
        </w:rPr>
        <w:t xml:space="preserve"> </w:t>
      </w:r>
      <w:r>
        <w:t>(</w:t>
      </w:r>
      <w:proofErr w:type="spellStart"/>
      <w:r>
        <w:t>n.</w:t>
      </w:r>
      <w:r>
        <w:rPr>
          <w:vertAlign w:val="superscript"/>
        </w:rPr>
        <w:t>o</w:t>
      </w:r>
      <w:proofErr w:type="spellEnd"/>
      <w:r>
        <w:t xml:space="preserve"> </w:t>
      </w:r>
      <w:proofErr w:type="spellStart"/>
      <w:r>
        <w:t>n.°</w:t>
      </w:r>
      <w:proofErr w:type="spellEnd"/>
      <w:r>
        <w:rPr>
          <w:spacing w:val="-1"/>
        </w:rPr>
        <w:t xml:space="preserve"> </w:t>
      </w:r>
      <w:r>
        <w:t>10,</w:t>
      </w:r>
      <w:r>
        <w:rPr>
          <w:spacing w:val="-1"/>
        </w:rPr>
        <w:t xml:space="preserve"> </w:t>
      </w:r>
      <w:r>
        <w:t>2018): 34-</w:t>
      </w:r>
      <w:r>
        <w:rPr>
          <w:spacing w:val="-5"/>
        </w:rPr>
        <w:t>37.</w:t>
      </w:r>
    </w:p>
    <w:p w:rsidR="003804AC" w:rsidRDefault="00AF18A5" w:rsidP="00016894">
      <w:r>
        <w:t xml:space="preserve">Rivas Ortiz, Laura Victoria. «La Memoria Histórica en la violación sobre el derecho a la </w:t>
      </w:r>
      <w:proofErr w:type="spellStart"/>
      <w:r>
        <w:t>vida:La</w:t>
      </w:r>
      <w:proofErr w:type="spellEnd"/>
      <w:r>
        <w:t xml:space="preserve"> masacre de Planas en 1970 sobre el pueblo indígena </w:t>
      </w:r>
      <w:proofErr w:type="spellStart"/>
      <w:r>
        <w:t>Sikuani</w:t>
      </w:r>
      <w:proofErr w:type="spellEnd"/>
      <w:r>
        <w:t xml:space="preserve"> de Colombia». Universidad </w:t>
      </w:r>
      <w:proofErr w:type="spellStart"/>
      <w:r>
        <w:t>Autonoma</w:t>
      </w:r>
      <w:proofErr w:type="spellEnd"/>
      <w:r>
        <w:t xml:space="preserve"> de San Luis de Potosí, 2017.</w:t>
      </w:r>
    </w:p>
    <w:p w:rsidR="0011361F" w:rsidRDefault="00AF18A5" w:rsidP="00016894">
      <w:r>
        <w:t>Semana</w:t>
      </w:r>
      <w:r>
        <w:rPr>
          <w:spacing w:val="-3"/>
        </w:rPr>
        <w:t xml:space="preserve"> </w:t>
      </w:r>
      <w:r>
        <w:t>rural.</w:t>
      </w:r>
      <w:r>
        <w:rPr>
          <w:spacing w:val="-4"/>
        </w:rPr>
        <w:t xml:space="preserve"> </w:t>
      </w:r>
      <w:r>
        <w:t>«La</w:t>
      </w:r>
      <w:r>
        <w:rPr>
          <w:spacing w:val="-3"/>
        </w:rPr>
        <w:t xml:space="preserve"> </w:t>
      </w:r>
      <w:r>
        <w:t>pobreza</w:t>
      </w:r>
      <w:r>
        <w:rPr>
          <w:spacing w:val="-3"/>
        </w:rPr>
        <w:t xml:space="preserve"> </w:t>
      </w:r>
      <w:r>
        <w:t>campesina</w:t>
      </w:r>
      <w:r>
        <w:rPr>
          <w:spacing w:val="-3"/>
        </w:rPr>
        <w:t xml:space="preserve"> </w:t>
      </w:r>
      <w:r>
        <w:t>casi</w:t>
      </w:r>
      <w:r>
        <w:rPr>
          <w:spacing w:val="-3"/>
        </w:rPr>
        <w:t xml:space="preserve"> </w:t>
      </w:r>
      <w:r>
        <w:t>dobla</w:t>
      </w:r>
      <w:r>
        <w:rPr>
          <w:spacing w:val="-5"/>
        </w:rPr>
        <w:t xml:space="preserve"> </w:t>
      </w:r>
      <w:r>
        <w:t>al</w:t>
      </w:r>
      <w:r>
        <w:rPr>
          <w:spacing w:val="-3"/>
        </w:rPr>
        <w:t xml:space="preserve"> </w:t>
      </w:r>
      <w:r>
        <w:t>resto</w:t>
      </w:r>
      <w:r>
        <w:rPr>
          <w:spacing w:val="-4"/>
        </w:rPr>
        <w:t xml:space="preserve"> </w:t>
      </w:r>
      <w:r>
        <w:t>del</w:t>
      </w:r>
      <w:r>
        <w:rPr>
          <w:spacing w:val="-3"/>
        </w:rPr>
        <w:t xml:space="preserve"> </w:t>
      </w:r>
      <w:r>
        <w:t>país».</w:t>
      </w:r>
      <w:r>
        <w:rPr>
          <w:spacing w:val="-4"/>
        </w:rPr>
        <w:t xml:space="preserve"> </w:t>
      </w:r>
      <w:r>
        <w:t>Acceso</w:t>
      </w:r>
      <w:r>
        <w:rPr>
          <w:spacing w:val="-4"/>
        </w:rPr>
        <w:t xml:space="preserve"> </w:t>
      </w:r>
      <w:r>
        <w:t>el</w:t>
      </w:r>
      <w:r>
        <w:rPr>
          <w:spacing w:val="-3"/>
        </w:rPr>
        <w:t xml:space="preserve"> </w:t>
      </w:r>
      <w:r>
        <w:t>23</w:t>
      </w:r>
      <w:r>
        <w:rPr>
          <w:spacing w:val="-4"/>
        </w:rPr>
        <w:t xml:space="preserve"> </w:t>
      </w:r>
      <w:r>
        <w:t>de</w:t>
      </w:r>
      <w:r>
        <w:rPr>
          <w:spacing w:val="-3"/>
        </w:rPr>
        <w:t xml:space="preserve"> </w:t>
      </w:r>
      <w:r>
        <w:t>junio de</w:t>
      </w:r>
      <w:r>
        <w:rPr>
          <w:spacing w:val="26"/>
        </w:rPr>
        <w:t xml:space="preserve"> </w:t>
      </w:r>
      <w:r>
        <w:t>2022.</w:t>
      </w:r>
      <w:r>
        <w:rPr>
          <w:spacing w:val="29"/>
        </w:rPr>
        <w:t xml:space="preserve"> </w:t>
      </w:r>
      <w:r>
        <w:t>https://semanarural.com/web/articulo/el-dane-presento-la-encuesta-de-calidad-</w:t>
      </w:r>
      <w:r>
        <w:rPr>
          <w:spacing w:val="-5"/>
        </w:rPr>
        <w:t>de-</w:t>
      </w:r>
      <w:r>
        <w:t>vida-de-poblacion-campesina/1532.</w:t>
      </w:r>
    </w:p>
    <w:p w:rsidR="003804AC" w:rsidRDefault="00AF18A5" w:rsidP="00016894">
      <w:r>
        <w:t>Consejo</w:t>
      </w:r>
      <w:r>
        <w:rPr>
          <w:spacing w:val="-9"/>
        </w:rPr>
        <w:t xml:space="preserve"> </w:t>
      </w:r>
      <w:r>
        <w:t>de</w:t>
      </w:r>
      <w:r>
        <w:rPr>
          <w:spacing w:val="-9"/>
        </w:rPr>
        <w:t xml:space="preserve"> </w:t>
      </w:r>
      <w:r>
        <w:t>Estado.</w:t>
      </w:r>
      <w:r>
        <w:rPr>
          <w:spacing w:val="-9"/>
        </w:rPr>
        <w:t xml:space="preserve"> </w:t>
      </w:r>
      <w:r>
        <w:t>Sala</w:t>
      </w:r>
      <w:r>
        <w:rPr>
          <w:spacing w:val="-10"/>
        </w:rPr>
        <w:t xml:space="preserve"> </w:t>
      </w:r>
      <w:r>
        <w:t>de</w:t>
      </w:r>
      <w:r>
        <w:rPr>
          <w:spacing w:val="-9"/>
        </w:rPr>
        <w:t xml:space="preserve"> </w:t>
      </w:r>
      <w:r>
        <w:t>lo</w:t>
      </w:r>
      <w:r>
        <w:rPr>
          <w:spacing w:val="-9"/>
        </w:rPr>
        <w:t xml:space="preserve"> </w:t>
      </w:r>
      <w:r>
        <w:t>Contencioso</w:t>
      </w:r>
      <w:r>
        <w:rPr>
          <w:spacing w:val="-9"/>
        </w:rPr>
        <w:t xml:space="preserve"> </w:t>
      </w:r>
      <w:proofErr w:type="spellStart"/>
      <w:r>
        <w:t>Aministrativo</w:t>
      </w:r>
      <w:proofErr w:type="spellEnd"/>
      <w:r>
        <w:t>.</w:t>
      </w:r>
      <w:r>
        <w:rPr>
          <w:spacing w:val="-9"/>
        </w:rPr>
        <w:t xml:space="preserve"> </w:t>
      </w:r>
      <w:r>
        <w:t>Sentencia</w:t>
      </w:r>
      <w:r>
        <w:rPr>
          <w:spacing w:val="-9"/>
        </w:rPr>
        <w:t xml:space="preserve"> </w:t>
      </w:r>
      <w:r>
        <w:t>22</w:t>
      </w:r>
      <w:r>
        <w:rPr>
          <w:spacing w:val="-9"/>
        </w:rPr>
        <w:t xml:space="preserve"> </w:t>
      </w:r>
      <w:r>
        <w:t>de</w:t>
      </w:r>
      <w:r>
        <w:rPr>
          <w:spacing w:val="-9"/>
        </w:rPr>
        <w:t xml:space="preserve"> </w:t>
      </w:r>
      <w:r>
        <w:t>mayo</w:t>
      </w:r>
      <w:r>
        <w:rPr>
          <w:spacing w:val="-9"/>
        </w:rPr>
        <w:t xml:space="preserve"> </w:t>
      </w:r>
      <w:r>
        <w:t>de</w:t>
      </w:r>
      <w:r>
        <w:rPr>
          <w:spacing w:val="-9"/>
        </w:rPr>
        <w:t xml:space="preserve"> </w:t>
      </w:r>
      <w:r>
        <w:t>2020. Rad. 52001-23-31-000-2011-00229- 01(58477) Heriberto Estupiñán y otros Vs Nación - Ministerio</w:t>
      </w:r>
      <w:r>
        <w:rPr>
          <w:spacing w:val="-1"/>
        </w:rPr>
        <w:t xml:space="preserve"> </w:t>
      </w:r>
      <w:r>
        <w:t>de</w:t>
      </w:r>
      <w:r>
        <w:rPr>
          <w:spacing w:val="-1"/>
        </w:rPr>
        <w:t xml:space="preserve"> </w:t>
      </w:r>
      <w:r>
        <w:t>Defensa</w:t>
      </w:r>
      <w:r>
        <w:rPr>
          <w:spacing w:val="-1"/>
        </w:rPr>
        <w:t xml:space="preserve"> </w:t>
      </w:r>
      <w:r>
        <w:t>-</w:t>
      </w:r>
      <w:r>
        <w:rPr>
          <w:spacing w:val="-3"/>
        </w:rPr>
        <w:t xml:space="preserve"> </w:t>
      </w:r>
      <w:r>
        <w:t>Policía</w:t>
      </w:r>
      <w:r>
        <w:rPr>
          <w:spacing w:val="-1"/>
        </w:rPr>
        <w:t xml:space="preserve"> </w:t>
      </w:r>
      <w:r>
        <w:lastRenderedPageBreak/>
        <w:t>Nacional</w:t>
      </w:r>
      <w:r>
        <w:rPr>
          <w:spacing w:val="-1"/>
        </w:rPr>
        <w:t xml:space="preserve"> </w:t>
      </w:r>
      <w:r>
        <w:t>y</w:t>
      </w:r>
      <w:r>
        <w:rPr>
          <w:spacing w:val="-1"/>
        </w:rPr>
        <w:t xml:space="preserve"> </w:t>
      </w:r>
      <w:r>
        <w:t>Ejército</w:t>
      </w:r>
      <w:r>
        <w:rPr>
          <w:spacing w:val="-1"/>
        </w:rPr>
        <w:t xml:space="preserve"> </w:t>
      </w:r>
      <w:r>
        <w:t>Nacional.</w:t>
      </w:r>
      <w:r>
        <w:rPr>
          <w:spacing w:val="-1"/>
        </w:rPr>
        <w:t xml:space="preserve"> </w:t>
      </w:r>
      <w:r>
        <w:t>Marta</w:t>
      </w:r>
      <w:r>
        <w:rPr>
          <w:spacing w:val="-1"/>
        </w:rPr>
        <w:t xml:space="preserve"> </w:t>
      </w:r>
      <w:r>
        <w:t>Nubia</w:t>
      </w:r>
      <w:r>
        <w:rPr>
          <w:spacing w:val="-1"/>
        </w:rPr>
        <w:t xml:space="preserve"> </w:t>
      </w:r>
      <w:r>
        <w:t xml:space="preserve">Velásquez </w:t>
      </w:r>
      <w:r>
        <w:rPr>
          <w:spacing w:val="-2"/>
        </w:rPr>
        <w:t>Rico.</w:t>
      </w:r>
    </w:p>
    <w:p w:rsidR="003804AC" w:rsidRDefault="00AF18A5" w:rsidP="00427679">
      <w:r>
        <w:rPr>
          <w:spacing w:val="-6"/>
        </w:rPr>
        <w:t>22</w:t>
      </w:r>
      <w:r>
        <w:tab/>
      </w:r>
      <w:r>
        <w:rPr>
          <w:spacing w:val="-6"/>
        </w:rPr>
        <w:t>de</w:t>
      </w:r>
      <w:r>
        <w:tab/>
      </w:r>
      <w:r>
        <w:rPr>
          <w:spacing w:val="-4"/>
        </w:rPr>
        <w:t>mayo</w:t>
      </w:r>
      <w:r>
        <w:tab/>
      </w:r>
      <w:r>
        <w:rPr>
          <w:spacing w:val="-6"/>
        </w:rPr>
        <w:t>de</w:t>
      </w:r>
      <w:r>
        <w:tab/>
      </w:r>
      <w:r>
        <w:rPr>
          <w:spacing w:val="-2"/>
        </w:rPr>
        <w:t>2020.</w:t>
      </w:r>
      <w:r>
        <w:tab/>
      </w:r>
      <w:r>
        <w:rPr>
          <w:spacing w:val="-2"/>
        </w:rPr>
        <w:t>Recuperado</w:t>
      </w:r>
      <w:r>
        <w:tab/>
      </w:r>
      <w:r>
        <w:rPr>
          <w:spacing w:val="-4"/>
        </w:rPr>
        <w:t xml:space="preserve">de: </w:t>
      </w:r>
      <w:hyperlink r:id="rId207">
        <w:r>
          <w:rPr>
            <w:spacing w:val="-2"/>
          </w:rPr>
          <w:t>http://webcache.googleusercontent.com/search?q=cache:m1VGyVhRnfAJ:190.217.24.55:8</w:t>
        </w:r>
      </w:hyperlink>
      <w:r>
        <w:rPr>
          <w:spacing w:val="-2"/>
        </w:rPr>
        <w:t xml:space="preserve"> </w:t>
      </w:r>
      <w:r>
        <w:t>080/</w:t>
      </w:r>
      <w:proofErr w:type="spellStart"/>
      <w:r>
        <w:t>WebRelatoria</w:t>
      </w:r>
      <w:proofErr w:type="spellEnd"/>
      <w:r>
        <w:t>/</w:t>
      </w:r>
      <w:proofErr w:type="spellStart"/>
      <w:r>
        <w:t>FileReferenceServlet</w:t>
      </w:r>
      <w:proofErr w:type="spellEnd"/>
      <w:r>
        <w:t xml:space="preserve"> %3Fcorp %3Dce %26ext %3Ddoc %26file %3D2 </w:t>
      </w:r>
      <w:r>
        <w:rPr>
          <w:spacing w:val="-2"/>
        </w:rPr>
        <w:t>163456+&amp;cd=2&amp;hl=</w:t>
      </w:r>
      <w:proofErr w:type="spellStart"/>
      <w:r>
        <w:rPr>
          <w:spacing w:val="-2"/>
        </w:rPr>
        <w:t>es&amp;ct</w:t>
      </w:r>
      <w:proofErr w:type="spellEnd"/>
      <w:r>
        <w:rPr>
          <w:spacing w:val="-2"/>
        </w:rPr>
        <w:t>=</w:t>
      </w:r>
      <w:proofErr w:type="spellStart"/>
      <w:r>
        <w:rPr>
          <w:spacing w:val="-2"/>
        </w:rPr>
        <w:t>clnk&amp;gl</w:t>
      </w:r>
      <w:proofErr w:type="spellEnd"/>
      <w:r>
        <w:rPr>
          <w:spacing w:val="-2"/>
        </w:rPr>
        <w:t>=</w:t>
      </w:r>
      <w:proofErr w:type="spellStart"/>
      <w:r>
        <w:rPr>
          <w:spacing w:val="-2"/>
        </w:rPr>
        <w:t>co</w:t>
      </w:r>
      <w:proofErr w:type="spellEnd"/>
      <w:r>
        <w:rPr>
          <w:spacing w:val="-2"/>
        </w:rPr>
        <w:t>.</w:t>
      </w:r>
    </w:p>
    <w:p w:rsidR="003804AC" w:rsidRDefault="00AF18A5" w:rsidP="00427679">
      <w:proofErr w:type="spellStart"/>
      <w:r>
        <w:t>Women’s</w:t>
      </w:r>
      <w:proofErr w:type="spellEnd"/>
      <w:r>
        <w:rPr>
          <w:spacing w:val="40"/>
        </w:rPr>
        <w:t xml:space="preserve"> </w:t>
      </w:r>
      <w:r>
        <w:t>Link</w:t>
      </w:r>
      <w:r>
        <w:rPr>
          <w:spacing w:val="40"/>
        </w:rPr>
        <w:t xml:space="preserve"> </w:t>
      </w:r>
      <w:proofErr w:type="spellStart"/>
      <w:r>
        <w:t>Worldwide</w:t>
      </w:r>
      <w:proofErr w:type="spellEnd"/>
      <w:r>
        <w:t>.</w:t>
      </w:r>
      <w:r>
        <w:rPr>
          <w:spacing w:val="40"/>
        </w:rPr>
        <w:t xml:space="preserve"> </w:t>
      </w:r>
      <w:r>
        <w:t>«Una</w:t>
      </w:r>
      <w:r>
        <w:rPr>
          <w:spacing w:val="40"/>
        </w:rPr>
        <w:t xml:space="preserve"> </w:t>
      </w:r>
      <w:r>
        <w:t>violencia</w:t>
      </w:r>
      <w:r>
        <w:rPr>
          <w:spacing w:val="40"/>
        </w:rPr>
        <w:t xml:space="preserve"> </w:t>
      </w:r>
      <w:r>
        <w:t>sin</w:t>
      </w:r>
      <w:r>
        <w:rPr>
          <w:spacing w:val="40"/>
        </w:rPr>
        <w:t xml:space="preserve"> </w:t>
      </w:r>
      <w:r>
        <w:t>nombre:</w:t>
      </w:r>
      <w:r>
        <w:rPr>
          <w:spacing w:val="40"/>
        </w:rPr>
        <w:t xml:space="preserve"> </w:t>
      </w:r>
      <w:r>
        <w:t>violencia</w:t>
      </w:r>
      <w:r>
        <w:rPr>
          <w:spacing w:val="40"/>
        </w:rPr>
        <w:t xml:space="preserve"> </w:t>
      </w:r>
      <w:r>
        <w:t>reproductiva</w:t>
      </w:r>
      <w:r>
        <w:rPr>
          <w:spacing w:val="40"/>
        </w:rPr>
        <w:t xml:space="preserve"> </w:t>
      </w:r>
      <w:r>
        <w:t>en</w:t>
      </w:r>
      <w:r>
        <w:rPr>
          <w:spacing w:val="40"/>
        </w:rPr>
        <w:t xml:space="preserve"> </w:t>
      </w:r>
      <w:r>
        <w:t xml:space="preserve">el </w:t>
      </w:r>
      <w:r>
        <w:rPr>
          <w:spacing w:val="-2"/>
        </w:rPr>
        <w:t>conflicto</w:t>
      </w:r>
      <w:r>
        <w:tab/>
      </w:r>
      <w:r>
        <w:rPr>
          <w:spacing w:val="-2"/>
        </w:rPr>
        <w:t>armado</w:t>
      </w:r>
      <w:r>
        <w:tab/>
      </w:r>
      <w:r>
        <w:rPr>
          <w:spacing w:val="-2"/>
        </w:rPr>
        <w:t>colombiano».</w:t>
      </w:r>
      <w:r>
        <w:tab/>
      </w:r>
      <w:r>
        <w:rPr>
          <w:spacing w:val="-2"/>
        </w:rPr>
        <w:t>2020.</w:t>
      </w:r>
    </w:p>
    <w:p w:rsidR="00427679" w:rsidRDefault="00AF18A5" w:rsidP="00427679">
      <w:pPr>
        <w:rPr>
          <w:spacing w:val="-2"/>
        </w:rPr>
      </w:pPr>
      <w:r>
        <w:rPr>
          <w:spacing w:val="-2"/>
        </w:rPr>
        <w:t>https:</w:t>
      </w:r>
      <w:hyperlink r:id="rId208">
        <w:r>
          <w:rPr>
            <w:spacing w:val="-2"/>
          </w:rPr>
          <w:t>//w</w:t>
        </w:r>
      </w:hyperlink>
      <w:r>
        <w:rPr>
          <w:spacing w:val="-2"/>
        </w:rPr>
        <w:t>ww</w:t>
      </w:r>
      <w:hyperlink r:id="rId209">
        <w:r>
          <w:rPr>
            <w:spacing w:val="-2"/>
          </w:rPr>
          <w:t>.womenslinkworldwide.org/files/3163/informe-completo-una-violencia-sin-</w:t>
        </w:r>
      </w:hyperlink>
      <w:r>
        <w:rPr>
          <w:spacing w:val="-2"/>
        </w:rPr>
        <w:t xml:space="preserve"> nombre-violencia-reproductiva-en-el-conflicto-armado-colombiano.pdf.</w:t>
      </w:r>
    </w:p>
    <w:p w:rsidR="00427679" w:rsidRDefault="00427679">
      <w:pPr>
        <w:spacing w:before="0" w:after="0" w:line="240" w:lineRule="auto"/>
        <w:rPr>
          <w:spacing w:val="-2"/>
        </w:rPr>
      </w:pPr>
      <w:r>
        <w:rPr>
          <w:spacing w:val="-2"/>
        </w:rPr>
        <w:br w:type="page"/>
      </w:r>
    </w:p>
    <w:p w:rsidR="003804AC" w:rsidRDefault="00AF18A5" w:rsidP="004A6EF4">
      <w:pPr>
        <w:pStyle w:val="Ttulo2"/>
        <w:numPr>
          <w:ilvl w:val="0"/>
          <w:numId w:val="16"/>
        </w:numPr>
      </w:pPr>
      <w:bookmarkStart w:id="1426" w:name="11._LOS_PROCESOS_DE_RECONOCIMIENTO_DE_RE"/>
      <w:bookmarkStart w:id="1427" w:name="_Toc112399667"/>
      <w:bookmarkEnd w:id="1426"/>
      <w:r>
        <w:rPr>
          <w:spacing w:val="-4"/>
        </w:rPr>
        <w:lastRenderedPageBreak/>
        <w:t>LOS</w:t>
      </w:r>
      <w:r w:rsidR="00427679">
        <w:rPr>
          <w:spacing w:val="-4"/>
        </w:rPr>
        <w:t xml:space="preserve"> </w:t>
      </w:r>
      <w:r>
        <w:t>PROCESOS</w:t>
      </w:r>
      <w:r w:rsidR="00427679">
        <w:t xml:space="preserve"> </w:t>
      </w:r>
      <w:r>
        <w:rPr>
          <w:spacing w:val="-6"/>
        </w:rPr>
        <w:t>DE</w:t>
      </w:r>
      <w:r w:rsidR="00427679">
        <w:rPr>
          <w:spacing w:val="-6"/>
        </w:rPr>
        <w:t xml:space="preserve"> </w:t>
      </w:r>
      <w:r>
        <w:t>RECONOCIMIENTO</w:t>
      </w:r>
      <w:r w:rsidR="00427679">
        <w:t xml:space="preserve"> </w:t>
      </w:r>
      <w:r>
        <w:rPr>
          <w:spacing w:val="-6"/>
        </w:rPr>
        <w:t>DE</w:t>
      </w:r>
      <w:r w:rsidR="00427679">
        <w:rPr>
          <w:spacing w:val="-6"/>
        </w:rPr>
        <w:t xml:space="preserve"> </w:t>
      </w:r>
      <w:r>
        <w:t>RESPONSABILIDADES</w:t>
      </w:r>
      <w:bookmarkEnd w:id="1427"/>
    </w:p>
    <w:p w:rsidR="0011361F" w:rsidRDefault="00E755CD" w:rsidP="00E755CD">
      <w:r>
        <w:t>“</w:t>
      </w:r>
      <w:r w:rsidR="00AF18A5">
        <w:t>Este</w:t>
      </w:r>
      <w:r w:rsidR="00AF18A5">
        <w:rPr>
          <w:spacing w:val="-2"/>
        </w:rPr>
        <w:t xml:space="preserve"> </w:t>
      </w:r>
      <w:r w:rsidR="00AF18A5">
        <w:t>proceso</w:t>
      </w:r>
      <w:r w:rsidR="00AF18A5">
        <w:rPr>
          <w:spacing w:val="-3"/>
        </w:rPr>
        <w:t xml:space="preserve"> </w:t>
      </w:r>
      <w:r w:rsidR="00AF18A5">
        <w:t>que</w:t>
      </w:r>
      <w:r w:rsidR="00AF18A5">
        <w:rPr>
          <w:spacing w:val="-2"/>
        </w:rPr>
        <w:t xml:space="preserve"> </w:t>
      </w:r>
      <w:r w:rsidR="00AF18A5">
        <w:t>están</w:t>
      </w:r>
      <w:r w:rsidR="00AF18A5">
        <w:rPr>
          <w:spacing w:val="-3"/>
        </w:rPr>
        <w:t xml:space="preserve"> </w:t>
      </w:r>
      <w:r w:rsidR="00AF18A5">
        <w:t>haciendo</w:t>
      </w:r>
      <w:r w:rsidR="00AF18A5">
        <w:rPr>
          <w:spacing w:val="-1"/>
        </w:rPr>
        <w:t xml:space="preserve"> </w:t>
      </w:r>
      <w:r w:rsidR="00AF18A5">
        <w:t>con</w:t>
      </w:r>
      <w:r w:rsidR="00AF18A5">
        <w:rPr>
          <w:spacing w:val="-1"/>
        </w:rPr>
        <w:t xml:space="preserve"> </w:t>
      </w:r>
      <w:r w:rsidR="00AF18A5">
        <w:t>la</w:t>
      </w:r>
      <w:r w:rsidR="00AF18A5">
        <w:rPr>
          <w:spacing w:val="-3"/>
        </w:rPr>
        <w:t xml:space="preserve"> </w:t>
      </w:r>
      <w:r w:rsidR="00AF18A5">
        <w:t>Comisión</w:t>
      </w:r>
      <w:r w:rsidR="00AF18A5">
        <w:rPr>
          <w:spacing w:val="-1"/>
        </w:rPr>
        <w:t xml:space="preserve"> </w:t>
      </w:r>
      <w:r w:rsidR="00AF18A5">
        <w:t>es</w:t>
      </w:r>
      <w:r w:rsidR="00AF18A5">
        <w:rPr>
          <w:spacing w:val="-3"/>
        </w:rPr>
        <w:t xml:space="preserve"> </w:t>
      </w:r>
      <w:r w:rsidR="00AF18A5">
        <w:t>una</w:t>
      </w:r>
      <w:r w:rsidR="00AF18A5">
        <w:rPr>
          <w:spacing w:val="-4"/>
        </w:rPr>
        <w:t xml:space="preserve"> </w:t>
      </w:r>
      <w:r w:rsidR="00AF18A5">
        <w:t>opción</w:t>
      </w:r>
      <w:r w:rsidR="00AF18A5">
        <w:rPr>
          <w:spacing w:val="-3"/>
        </w:rPr>
        <w:t xml:space="preserve"> </w:t>
      </w:r>
      <w:r w:rsidR="00AF18A5">
        <w:t>de</w:t>
      </w:r>
      <w:r w:rsidR="00AF18A5">
        <w:rPr>
          <w:spacing w:val="-3"/>
        </w:rPr>
        <w:t xml:space="preserve"> </w:t>
      </w:r>
      <w:r w:rsidR="00AF18A5">
        <w:t>enviar</w:t>
      </w:r>
      <w:r w:rsidR="00AF18A5">
        <w:rPr>
          <w:spacing w:val="-3"/>
        </w:rPr>
        <w:t xml:space="preserve"> </w:t>
      </w:r>
      <w:r w:rsidR="00AF18A5">
        <w:t>un</w:t>
      </w:r>
      <w:r w:rsidR="00AF18A5">
        <w:rPr>
          <w:spacing w:val="-3"/>
        </w:rPr>
        <w:t xml:space="preserve"> </w:t>
      </w:r>
      <w:r w:rsidR="00AF18A5">
        <w:t>mensaje</w:t>
      </w:r>
      <w:r w:rsidR="00AF18A5">
        <w:rPr>
          <w:spacing w:val="-3"/>
        </w:rPr>
        <w:t xml:space="preserve"> </w:t>
      </w:r>
      <w:r w:rsidR="00AF18A5">
        <w:t>de que</w:t>
      </w:r>
      <w:r w:rsidR="00AF18A5">
        <w:rPr>
          <w:spacing w:val="-3"/>
        </w:rPr>
        <w:t xml:space="preserve"> </w:t>
      </w:r>
      <w:r w:rsidR="00AF18A5">
        <w:t>aquí</w:t>
      </w:r>
      <w:r w:rsidR="00AF18A5">
        <w:rPr>
          <w:spacing w:val="-3"/>
        </w:rPr>
        <w:t xml:space="preserve"> </w:t>
      </w:r>
      <w:r w:rsidR="00AF18A5">
        <w:t>todos</w:t>
      </w:r>
      <w:r w:rsidR="00AF18A5">
        <w:rPr>
          <w:spacing w:val="-3"/>
        </w:rPr>
        <w:t xml:space="preserve"> </w:t>
      </w:r>
      <w:r w:rsidR="00AF18A5">
        <w:t>hemos</w:t>
      </w:r>
      <w:r w:rsidR="00AF18A5">
        <w:rPr>
          <w:spacing w:val="-3"/>
        </w:rPr>
        <w:t xml:space="preserve"> </w:t>
      </w:r>
      <w:r w:rsidR="00AF18A5">
        <w:t>sufrido,</w:t>
      </w:r>
      <w:r w:rsidR="00AF18A5">
        <w:rPr>
          <w:spacing w:val="-3"/>
        </w:rPr>
        <w:t xml:space="preserve"> </w:t>
      </w:r>
      <w:r w:rsidR="00AF18A5">
        <w:t>no</w:t>
      </w:r>
      <w:r w:rsidR="00AF18A5">
        <w:rPr>
          <w:spacing w:val="-3"/>
        </w:rPr>
        <w:t xml:space="preserve"> </w:t>
      </w:r>
      <w:r w:rsidR="00AF18A5">
        <w:t>solamente</w:t>
      </w:r>
      <w:r w:rsidR="00AF18A5">
        <w:rPr>
          <w:spacing w:val="-2"/>
        </w:rPr>
        <w:t xml:space="preserve"> </w:t>
      </w:r>
      <w:r w:rsidR="00AF18A5">
        <w:t>las</w:t>
      </w:r>
      <w:r w:rsidR="00AF18A5">
        <w:rPr>
          <w:spacing w:val="-2"/>
        </w:rPr>
        <w:t xml:space="preserve"> </w:t>
      </w:r>
      <w:r w:rsidR="00AF18A5">
        <w:t>víctimas</w:t>
      </w:r>
      <w:r w:rsidR="00AF18A5">
        <w:rPr>
          <w:spacing w:val="-3"/>
        </w:rPr>
        <w:t xml:space="preserve"> </w:t>
      </w:r>
      <w:r w:rsidR="00AF18A5">
        <w:t>de</w:t>
      </w:r>
      <w:r w:rsidR="00AF18A5">
        <w:rPr>
          <w:spacing w:val="-3"/>
        </w:rPr>
        <w:t xml:space="preserve"> </w:t>
      </w:r>
      <w:r w:rsidR="00AF18A5">
        <w:t>las</w:t>
      </w:r>
      <w:r w:rsidR="00AF18A5">
        <w:rPr>
          <w:spacing w:val="-2"/>
        </w:rPr>
        <w:t xml:space="preserve"> </w:t>
      </w:r>
      <w:r w:rsidR="00AF18A5">
        <w:t>FARC,</w:t>
      </w:r>
      <w:r w:rsidR="00AF18A5">
        <w:rPr>
          <w:spacing w:val="-3"/>
        </w:rPr>
        <w:t xml:space="preserve"> </w:t>
      </w:r>
      <w:r w:rsidR="00AF18A5">
        <w:t>han</w:t>
      </w:r>
      <w:r w:rsidR="00AF18A5">
        <w:rPr>
          <w:spacing w:val="-3"/>
        </w:rPr>
        <w:t xml:space="preserve"> </w:t>
      </w:r>
      <w:r w:rsidR="00AF18A5">
        <w:t>sufrido</w:t>
      </w:r>
      <w:r w:rsidR="00AF18A5">
        <w:rPr>
          <w:spacing w:val="-1"/>
        </w:rPr>
        <w:t xml:space="preserve"> </w:t>
      </w:r>
      <w:r w:rsidR="00AF18A5">
        <w:t>las</w:t>
      </w:r>
      <w:r w:rsidR="00AF18A5">
        <w:rPr>
          <w:spacing w:val="-2"/>
        </w:rPr>
        <w:t xml:space="preserve"> </w:t>
      </w:r>
      <w:r w:rsidR="00AF18A5">
        <w:t>víctimas del paramilitarismo y del Estado. Unos hemos tenido más suerte porque no hemos puesto sangre o no nos han matado, hemos tenido esa suerte, pero hemos sufrido. El sufrimiento lo tenemos que honrar y lo tenemos que canalizar. Honrar por lo que tiene de verdad que duele, de</w:t>
      </w:r>
      <w:r w:rsidR="00AF18A5">
        <w:rPr>
          <w:spacing w:val="-6"/>
        </w:rPr>
        <w:t xml:space="preserve"> </w:t>
      </w:r>
      <w:r w:rsidR="00AF18A5">
        <w:t>herida</w:t>
      </w:r>
      <w:r w:rsidR="00AF18A5">
        <w:rPr>
          <w:spacing w:val="-3"/>
        </w:rPr>
        <w:t xml:space="preserve"> </w:t>
      </w:r>
      <w:r w:rsidR="00AF18A5">
        <w:t>que</w:t>
      </w:r>
      <w:r w:rsidR="00AF18A5">
        <w:rPr>
          <w:spacing w:val="-2"/>
        </w:rPr>
        <w:t xml:space="preserve"> </w:t>
      </w:r>
      <w:r w:rsidR="00AF18A5">
        <w:t>solo</w:t>
      </w:r>
      <w:r w:rsidR="00AF18A5">
        <w:rPr>
          <w:spacing w:val="-3"/>
        </w:rPr>
        <w:t xml:space="preserve"> </w:t>
      </w:r>
      <w:r w:rsidR="00AF18A5">
        <w:t>así</w:t>
      </w:r>
      <w:r w:rsidR="00AF18A5">
        <w:rPr>
          <w:spacing w:val="-5"/>
        </w:rPr>
        <w:t xml:space="preserve"> </w:t>
      </w:r>
      <w:r w:rsidR="00AF18A5">
        <w:t>puede</w:t>
      </w:r>
      <w:r w:rsidR="00AF18A5">
        <w:rPr>
          <w:spacing w:val="-3"/>
        </w:rPr>
        <w:t xml:space="preserve"> </w:t>
      </w:r>
      <w:r w:rsidR="00AF18A5">
        <w:t>cicatrizar.</w:t>
      </w:r>
      <w:r w:rsidR="00AF18A5">
        <w:rPr>
          <w:spacing w:val="-3"/>
        </w:rPr>
        <w:t xml:space="preserve"> </w:t>
      </w:r>
      <w:r w:rsidR="00AF18A5">
        <w:t>Canalizar</w:t>
      </w:r>
      <w:r w:rsidR="00AF18A5">
        <w:rPr>
          <w:spacing w:val="-2"/>
        </w:rPr>
        <w:t xml:space="preserve"> </w:t>
      </w:r>
      <w:r w:rsidR="00AF18A5">
        <w:t>porque</w:t>
      </w:r>
      <w:r w:rsidR="00AF18A5">
        <w:rPr>
          <w:spacing w:val="-3"/>
        </w:rPr>
        <w:t xml:space="preserve"> </w:t>
      </w:r>
      <w:r w:rsidR="00AF18A5">
        <w:t>hay</w:t>
      </w:r>
      <w:r w:rsidR="00AF18A5">
        <w:rPr>
          <w:spacing w:val="-4"/>
        </w:rPr>
        <w:t xml:space="preserve"> </w:t>
      </w:r>
      <w:r w:rsidR="00AF18A5">
        <w:t>que</w:t>
      </w:r>
      <w:r w:rsidR="00AF18A5">
        <w:rPr>
          <w:spacing w:val="-3"/>
        </w:rPr>
        <w:t xml:space="preserve"> </w:t>
      </w:r>
      <w:r w:rsidR="00AF18A5">
        <w:t>hacer</w:t>
      </w:r>
      <w:r w:rsidR="00AF18A5">
        <w:rPr>
          <w:spacing w:val="-3"/>
        </w:rPr>
        <w:t xml:space="preserve"> </w:t>
      </w:r>
      <w:r w:rsidR="00AF18A5">
        <w:t>algo</w:t>
      </w:r>
      <w:r w:rsidR="00AF18A5">
        <w:rPr>
          <w:spacing w:val="-1"/>
        </w:rPr>
        <w:t xml:space="preserve"> </w:t>
      </w:r>
      <w:r w:rsidR="00AF18A5">
        <w:t>con</w:t>
      </w:r>
      <w:r w:rsidR="00AF18A5">
        <w:rPr>
          <w:spacing w:val="-2"/>
        </w:rPr>
        <w:t xml:space="preserve"> </w:t>
      </w:r>
      <w:r w:rsidR="00AF18A5">
        <w:t>la</w:t>
      </w:r>
      <w:r w:rsidR="00AF18A5">
        <w:rPr>
          <w:spacing w:val="-3"/>
        </w:rPr>
        <w:t xml:space="preserve"> </w:t>
      </w:r>
      <w:r w:rsidR="00AF18A5">
        <w:t>rabia</w:t>
      </w:r>
      <w:r w:rsidR="00AF18A5">
        <w:rPr>
          <w:spacing w:val="-1"/>
        </w:rPr>
        <w:t xml:space="preserve"> </w:t>
      </w:r>
      <w:r w:rsidR="00AF18A5">
        <w:t>y</w:t>
      </w:r>
      <w:r w:rsidR="00AF18A5">
        <w:rPr>
          <w:spacing w:val="-2"/>
        </w:rPr>
        <w:t xml:space="preserve"> </w:t>
      </w:r>
      <w:r w:rsidR="00AF18A5">
        <w:rPr>
          <w:spacing w:val="-5"/>
        </w:rPr>
        <w:t>el</w:t>
      </w:r>
      <w:r>
        <w:rPr>
          <w:spacing w:val="-5"/>
        </w:rPr>
        <w:t xml:space="preserve"> </w:t>
      </w:r>
      <w:r w:rsidR="00AF18A5">
        <w:t>dolor,</w:t>
      </w:r>
      <w:r w:rsidR="00AF18A5">
        <w:rPr>
          <w:spacing w:val="-3"/>
        </w:rPr>
        <w:t xml:space="preserve"> </w:t>
      </w:r>
      <w:r w:rsidR="00AF18A5">
        <w:t>algo</w:t>
      </w:r>
      <w:r w:rsidR="00AF18A5">
        <w:rPr>
          <w:spacing w:val="-3"/>
        </w:rPr>
        <w:t xml:space="preserve"> </w:t>
      </w:r>
      <w:r w:rsidR="00AF18A5">
        <w:t>que</w:t>
      </w:r>
      <w:r w:rsidR="00AF18A5">
        <w:rPr>
          <w:spacing w:val="-3"/>
        </w:rPr>
        <w:t xml:space="preserve"> </w:t>
      </w:r>
      <w:r w:rsidR="00AF18A5">
        <w:t>sirva,</w:t>
      </w:r>
      <w:r w:rsidR="00AF18A5">
        <w:rPr>
          <w:spacing w:val="-3"/>
        </w:rPr>
        <w:t xml:space="preserve"> </w:t>
      </w:r>
      <w:r w:rsidR="00AF18A5">
        <w:t>que</w:t>
      </w:r>
      <w:r w:rsidR="00AF18A5">
        <w:rPr>
          <w:spacing w:val="-3"/>
        </w:rPr>
        <w:t xml:space="preserve"> </w:t>
      </w:r>
      <w:r w:rsidR="00AF18A5">
        <w:t>exprese,</w:t>
      </w:r>
      <w:r w:rsidR="00AF18A5">
        <w:rPr>
          <w:spacing w:val="-2"/>
        </w:rPr>
        <w:t xml:space="preserve"> </w:t>
      </w:r>
      <w:r w:rsidR="00AF18A5">
        <w:t>que</w:t>
      </w:r>
      <w:r w:rsidR="00AF18A5">
        <w:rPr>
          <w:spacing w:val="-3"/>
        </w:rPr>
        <w:t xml:space="preserve"> </w:t>
      </w:r>
      <w:r w:rsidR="00AF18A5">
        <w:rPr>
          <w:spacing w:val="-2"/>
        </w:rPr>
        <w:t>construya</w:t>
      </w:r>
      <w:r>
        <w:rPr>
          <w:rStyle w:val="Refdenotaalpie"/>
          <w:spacing w:val="-2"/>
        </w:rPr>
        <w:footnoteReference w:id="1142"/>
      </w:r>
      <w:r w:rsidR="00AF18A5">
        <w:rPr>
          <w:spacing w:val="-2"/>
        </w:rPr>
        <w:t>.</w:t>
      </w:r>
      <w:r>
        <w:rPr>
          <w:spacing w:val="-2"/>
        </w:rPr>
        <w:t>”</w:t>
      </w:r>
    </w:p>
    <w:p w:rsidR="003804AC" w:rsidRDefault="00AF18A5" w:rsidP="00E755CD">
      <w:r>
        <w:t>Que en Colombia se haya optado por incluir un enfoque restaurativo al modelo de justicia transicional que diseñó el Acuerdo de Paz, abre oportunidades para la convivencia y la (re)conciliación.</w:t>
      </w:r>
      <w:r>
        <w:rPr>
          <w:spacing w:val="-16"/>
        </w:rPr>
        <w:t xml:space="preserve"> </w:t>
      </w:r>
      <w:r>
        <w:t>El</w:t>
      </w:r>
      <w:r>
        <w:rPr>
          <w:spacing w:val="-13"/>
        </w:rPr>
        <w:t xml:space="preserve"> </w:t>
      </w:r>
      <w:r>
        <w:t>objetivo</w:t>
      </w:r>
      <w:r>
        <w:rPr>
          <w:spacing w:val="-13"/>
        </w:rPr>
        <w:t xml:space="preserve"> </w:t>
      </w:r>
      <w:r>
        <w:t>de</w:t>
      </w:r>
      <w:r>
        <w:rPr>
          <w:spacing w:val="-12"/>
        </w:rPr>
        <w:t xml:space="preserve"> </w:t>
      </w:r>
      <w:r>
        <w:t>la</w:t>
      </w:r>
      <w:r>
        <w:rPr>
          <w:spacing w:val="-14"/>
        </w:rPr>
        <w:t xml:space="preserve"> </w:t>
      </w:r>
      <w:r>
        <w:t>justicia</w:t>
      </w:r>
      <w:r>
        <w:rPr>
          <w:spacing w:val="-14"/>
        </w:rPr>
        <w:t xml:space="preserve"> </w:t>
      </w:r>
      <w:r>
        <w:t>transicional</w:t>
      </w:r>
      <w:r>
        <w:rPr>
          <w:spacing w:val="-13"/>
        </w:rPr>
        <w:t xml:space="preserve"> </w:t>
      </w:r>
      <w:r>
        <w:t>es</w:t>
      </w:r>
      <w:r>
        <w:rPr>
          <w:spacing w:val="-13"/>
        </w:rPr>
        <w:t xml:space="preserve"> </w:t>
      </w:r>
      <w:r>
        <w:t>abrir</w:t>
      </w:r>
      <w:r>
        <w:rPr>
          <w:spacing w:val="-13"/>
        </w:rPr>
        <w:t xml:space="preserve"> </w:t>
      </w:r>
      <w:r>
        <w:t>un</w:t>
      </w:r>
      <w:r>
        <w:rPr>
          <w:spacing w:val="-13"/>
        </w:rPr>
        <w:t xml:space="preserve"> </w:t>
      </w:r>
      <w:r>
        <w:t>escenario</w:t>
      </w:r>
      <w:r>
        <w:rPr>
          <w:spacing w:val="-15"/>
        </w:rPr>
        <w:t xml:space="preserve"> </w:t>
      </w:r>
      <w:r>
        <w:t>de</w:t>
      </w:r>
      <w:r>
        <w:rPr>
          <w:spacing w:val="-13"/>
        </w:rPr>
        <w:t xml:space="preserve"> </w:t>
      </w:r>
      <w:r>
        <w:t>excepción</w:t>
      </w:r>
      <w:r>
        <w:rPr>
          <w:spacing w:val="-12"/>
        </w:rPr>
        <w:t xml:space="preserve"> </w:t>
      </w:r>
      <w:r>
        <w:rPr>
          <w:spacing w:val="-4"/>
        </w:rPr>
        <w:t>para</w:t>
      </w:r>
      <w:bookmarkStart w:id="1428" w:name="_bookmark1263"/>
      <w:bookmarkEnd w:id="1428"/>
      <w:r w:rsidR="00E755CD">
        <w:t xml:space="preserve"> </w:t>
      </w:r>
      <w:r>
        <w:t>afrontar</w:t>
      </w:r>
      <w:r>
        <w:rPr>
          <w:spacing w:val="-10"/>
        </w:rPr>
        <w:t xml:space="preserve"> </w:t>
      </w:r>
      <w:r>
        <w:t>los</w:t>
      </w:r>
      <w:r>
        <w:rPr>
          <w:spacing w:val="-10"/>
        </w:rPr>
        <w:t xml:space="preserve"> </w:t>
      </w:r>
      <w:r>
        <w:t>crímenes</w:t>
      </w:r>
      <w:r>
        <w:rPr>
          <w:spacing w:val="-9"/>
        </w:rPr>
        <w:t xml:space="preserve"> </w:t>
      </w:r>
      <w:r>
        <w:t>de</w:t>
      </w:r>
      <w:r>
        <w:rPr>
          <w:spacing w:val="-10"/>
        </w:rPr>
        <w:t xml:space="preserve"> </w:t>
      </w:r>
      <w:r>
        <w:t>guerra</w:t>
      </w:r>
      <w:r>
        <w:rPr>
          <w:spacing w:val="-9"/>
        </w:rPr>
        <w:t xml:space="preserve"> </w:t>
      </w:r>
      <w:r>
        <w:t>y</w:t>
      </w:r>
      <w:r>
        <w:rPr>
          <w:spacing w:val="-11"/>
        </w:rPr>
        <w:t xml:space="preserve"> </w:t>
      </w:r>
      <w:r>
        <w:t>de</w:t>
      </w:r>
      <w:r>
        <w:rPr>
          <w:spacing w:val="-9"/>
        </w:rPr>
        <w:t xml:space="preserve"> </w:t>
      </w:r>
      <w:r>
        <w:t>lesa</w:t>
      </w:r>
      <w:r>
        <w:rPr>
          <w:spacing w:val="-9"/>
        </w:rPr>
        <w:t xml:space="preserve"> </w:t>
      </w:r>
      <w:r>
        <w:t>humanidad</w:t>
      </w:r>
      <w:r>
        <w:rPr>
          <w:spacing w:val="-9"/>
        </w:rPr>
        <w:t xml:space="preserve"> </w:t>
      </w:r>
      <w:r>
        <w:t>que</w:t>
      </w:r>
      <w:r>
        <w:rPr>
          <w:spacing w:val="-9"/>
        </w:rPr>
        <w:t xml:space="preserve"> </w:t>
      </w:r>
      <w:r>
        <w:t>se</w:t>
      </w:r>
      <w:r>
        <w:rPr>
          <w:spacing w:val="-9"/>
        </w:rPr>
        <w:t xml:space="preserve"> </w:t>
      </w:r>
      <w:r>
        <w:t>han</w:t>
      </w:r>
      <w:r>
        <w:rPr>
          <w:spacing w:val="-9"/>
        </w:rPr>
        <w:t xml:space="preserve"> </w:t>
      </w:r>
      <w:r>
        <w:t>dado</w:t>
      </w:r>
      <w:r>
        <w:rPr>
          <w:spacing w:val="-9"/>
        </w:rPr>
        <w:t xml:space="preserve"> </w:t>
      </w:r>
      <w:r>
        <w:t>en</w:t>
      </w:r>
      <w:r>
        <w:rPr>
          <w:spacing w:val="-9"/>
        </w:rPr>
        <w:t xml:space="preserve"> </w:t>
      </w:r>
      <w:r>
        <w:t>Colombia,</w:t>
      </w:r>
      <w:r>
        <w:rPr>
          <w:spacing w:val="-9"/>
        </w:rPr>
        <w:t xml:space="preserve"> </w:t>
      </w:r>
      <w:r>
        <w:t>buscando una</w:t>
      </w:r>
      <w:r>
        <w:rPr>
          <w:spacing w:val="-15"/>
        </w:rPr>
        <w:t xml:space="preserve"> </w:t>
      </w:r>
      <w:r>
        <w:t>ruta</w:t>
      </w:r>
      <w:r>
        <w:rPr>
          <w:spacing w:val="-15"/>
        </w:rPr>
        <w:t xml:space="preserve"> </w:t>
      </w:r>
      <w:r>
        <w:t>que</w:t>
      </w:r>
      <w:r>
        <w:rPr>
          <w:spacing w:val="-15"/>
        </w:rPr>
        <w:t xml:space="preserve"> </w:t>
      </w:r>
      <w:r>
        <w:t>ponga</w:t>
      </w:r>
      <w:r>
        <w:rPr>
          <w:spacing w:val="-15"/>
        </w:rPr>
        <w:t xml:space="preserve"> </w:t>
      </w:r>
      <w:r>
        <w:t>el</w:t>
      </w:r>
      <w:r>
        <w:rPr>
          <w:spacing w:val="-15"/>
        </w:rPr>
        <w:t xml:space="preserve"> </w:t>
      </w:r>
      <w:r>
        <w:t>énfasis</w:t>
      </w:r>
      <w:r>
        <w:rPr>
          <w:spacing w:val="-15"/>
        </w:rPr>
        <w:t xml:space="preserve"> </w:t>
      </w:r>
      <w:r>
        <w:t>en</w:t>
      </w:r>
      <w:r>
        <w:rPr>
          <w:spacing w:val="-15"/>
        </w:rPr>
        <w:t xml:space="preserve"> </w:t>
      </w:r>
      <w:r>
        <w:t>la</w:t>
      </w:r>
      <w:r>
        <w:rPr>
          <w:spacing w:val="-15"/>
        </w:rPr>
        <w:t xml:space="preserve"> </w:t>
      </w:r>
      <w:r>
        <w:t>reparación</w:t>
      </w:r>
      <w:r>
        <w:rPr>
          <w:spacing w:val="-15"/>
        </w:rPr>
        <w:t xml:space="preserve"> </w:t>
      </w:r>
      <w:r>
        <w:t>y</w:t>
      </w:r>
      <w:r>
        <w:rPr>
          <w:spacing w:val="-15"/>
        </w:rPr>
        <w:t xml:space="preserve"> </w:t>
      </w:r>
      <w:r>
        <w:t>la</w:t>
      </w:r>
      <w:r>
        <w:rPr>
          <w:spacing w:val="-15"/>
        </w:rPr>
        <w:t xml:space="preserve"> </w:t>
      </w:r>
      <w:r>
        <w:t>reconstrucción</w:t>
      </w:r>
      <w:r>
        <w:rPr>
          <w:spacing w:val="-15"/>
        </w:rPr>
        <w:t xml:space="preserve"> </w:t>
      </w:r>
      <w:r>
        <w:t>de</w:t>
      </w:r>
      <w:r>
        <w:rPr>
          <w:spacing w:val="-15"/>
        </w:rPr>
        <w:t xml:space="preserve"> </w:t>
      </w:r>
      <w:r>
        <w:t>las</w:t>
      </w:r>
      <w:r>
        <w:rPr>
          <w:spacing w:val="-15"/>
        </w:rPr>
        <w:t xml:space="preserve"> </w:t>
      </w:r>
      <w:r>
        <w:t>relaciones</w:t>
      </w:r>
      <w:r>
        <w:rPr>
          <w:spacing w:val="-15"/>
        </w:rPr>
        <w:t xml:space="preserve"> </w:t>
      </w:r>
      <w:r>
        <w:t>fracturadas por la guerra y la violencia.</w:t>
      </w:r>
    </w:p>
    <w:p w:rsidR="003804AC" w:rsidRDefault="00AF18A5" w:rsidP="00E755CD">
      <w:r>
        <w:t xml:space="preserve">El conflicto armado colombiano, ha sido una guerra fratricida que ha roto relaciones y confianzas, que ha enfrentado amigos, vecinos y hasta a familiares; el castigo en sí mismo resulta satisfactorio entendido como que quien ha hecho daño “reciba su merecido”, como una forma de satisfacción, “que sufra al menos un poco”, pero también en clave de una sanción que muestre que eso es intolerable, y que la justicia y el derecho deben responder a las víctimas y a la reconstrucción de la confianza y los lazos sociales rotos por el conflicto armado y la </w:t>
      </w:r>
      <w:r>
        <w:lastRenderedPageBreak/>
        <w:t>impunidad.</w:t>
      </w:r>
    </w:p>
    <w:p w:rsidR="003804AC" w:rsidRDefault="00AF18A5" w:rsidP="00F071C9">
      <w:r>
        <w:t>La justicia restaurativa creada en el marco del Acuerdo de paz, pone el énfasis en las penas para los responsables, orientadas a la reparación a las víctimas y la sociedad. La Comisión</w:t>
      </w:r>
      <w:r>
        <w:rPr>
          <w:spacing w:val="-13"/>
        </w:rPr>
        <w:t xml:space="preserve"> </w:t>
      </w:r>
      <w:r>
        <w:t>desde</w:t>
      </w:r>
      <w:r>
        <w:rPr>
          <w:spacing w:val="-13"/>
        </w:rPr>
        <w:t xml:space="preserve"> </w:t>
      </w:r>
      <w:r>
        <w:t>su</w:t>
      </w:r>
      <w:r>
        <w:rPr>
          <w:spacing w:val="-13"/>
        </w:rPr>
        <w:t xml:space="preserve"> </w:t>
      </w:r>
      <w:r>
        <w:t>mandato</w:t>
      </w:r>
      <w:r>
        <w:rPr>
          <w:spacing w:val="-13"/>
        </w:rPr>
        <w:t xml:space="preserve"> </w:t>
      </w:r>
      <w:r>
        <w:t>extrajudicial,</w:t>
      </w:r>
      <w:r>
        <w:rPr>
          <w:spacing w:val="-14"/>
        </w:rPr>
        <w:t xml:space="preserve"> </w:t>
      </w:r>
      <w:r>
        <w:t>realizó</w:t>
      </w:r>
      <w:r>
        <w:rPr>
          <w:spacing w:val="-14"/>
        </w:rPr>
        <w:t xml:space="preserve"> </w:t>
      </w:r>
      <w:r>
        <w:t>numerosos</w:t>
      </w:r>
      <w:r>
        <w:rPr>
          <w:spacing w:val="-14"/>
        </w:rPr>
        <w:t xml:space="preserve"> </w:t>
      </w:r>
      <w:r>
        <w:t>encuentros</w:t>
      </w:r>
      <w:r>
        <w:rPr>
          <w:spacing w:val="-14"/>
        </w:rPr>
        <w:t xml:space="preserve"> </w:t>
      </w:r>
      <w:r>
        <w:t>que</w:t>
      </w:r>
      <w:r>
        <w:rPr>
          <w:spacing w:val="-13"/>
        </w:rPr>
        <w:t xml:space="preserve"> </w:t>
      </w:r>
      <w:r>
        <w:t>tratan</w:t>
      </w:r>
      <w:r>
        <w:rPr>
          <w:spacing w:val="-13"/>
        </w:rPr>
        <w:t xml:space="preserve"> </w:t>
      </w:r>
      <w:r>
        <w:t>de</w:t>
      </w:r>
      <w:r>
        <w:rPr>
          <w:spacing w:val="-14"/>
        </w:rPr>
        <w:t xml:space="preserve"> </w:t>
      </w:r>
      <w:r>
        <w:t>ayudar a</w:t>
      </w:r>
      <w:r>
        <w:rPr>
          <w:spacing w:val="-6"/>
        </w:rPr>
        <w:t xml:space="preserve"> </w:t>
      </w:r>
      <w:r>
        <w:t>responder</w:t>
      </w:r>
      <w:r>
        <w:rPr>
          <w:spacing w:val="-5"/>
        </w:rPr>
        <w:t xml:space="preserve"> </w:t>
      </w:r>
      <w:r>
        <w:t>y</w:t>
      </w:r>
      <w:r>
        <w:rPr>
          <w:spacing w:val="-4"/>
        </w:rPr>
        <w:t xml:space="preserve"> </w:t>
      </w:r>
      <w:r>
        <w:t>facilitar</w:t>
      </w:r>
      <w:r>
        <w:rPr>
          <w:spacing w:val="-2"/>
        </w:rPr>
        <w:t xml:space="preserve"> </w:t>
      </w:r>
      <w:r>
        <w:t>una</w:t>
      </w:r>
      <w:r>
        <w:rPr>
          <w:spacing w:val="-4"/>
        </w:rPr>
        <w:t xml:space="preserve"> </w:t>
      </w:r>
      <w:r>
        <w:t>conversación</w:t>
      </w:r>
      <w:r>
        <w:rPr>
          <w:spacing w:val="-4"/>
        </w:rPr>
        <w:t xml:space="preserve"> </w:t>
      </w:r>
      <w:r>
        <w:t>de</w:t>
      </w:r>
      <w:r>
        <w:rPr>
          <w:spacing w:val="-3"/>
        </w:rPr>
        <w:t xml:space="preserve"> </w:t>
      </w:r>
      <w:r>
        <w:t>las</w:t>
      </w:r>
      <w:r>
        <w:rPr>
          <w:spacing w:val="-4"/>
        </w:rPr>
        <w:t xml:space="preserve"> </w:t>
      </w:r>
      <w:r>
        <w:t>comunidades</w:t>
      </w:r>
      <w:r>
        <w:rPr>
          <w:spacing w:val="-4"/>
        </w:rPr>
        <w:t xml:space="preserve"> </w:t>
      </w:r>
      <w:r>
        <w:t>y</w:t>
      </w:r>
      <w:r>
        <w:rPr>
          <w:spacing w:val="-4"/>
        </w:rPr>
        <w:t xml:space="preserve"> </w:t>
      </w:r>
      <w:r>
        <w:t>el</w:t>
      </w:r>
      <w:r>
        <w:rPr>
          <w:spacing w:val="-2"/>
        </w:rPr>
        <w:t xml:space="preserve"> </w:t>
      </w:r>
      <w:r>
        <w:t>país</w:t>
      </w:r>
      <w:r>
        <w:rPr>
          <w:spacing w:val="-4"/>
        </w:rPr>
        <w:t xml:space="preserve"> </w:t>
      </w:r>
      <w:r>
        <w:t>sobre</w:t>
      </w:r>
      <w:r>
        <w:rPr>
          <w:spacing w:val="-4"/>
        </w:rPr>
        <w:t xml:space="preserve"> </w:t>
      </w:r>
      <w:r>
        <w:t>cuestiones</w:t>
      </w:r>
      <w:r>
        <w:rPr>
          <w:spacing w:val="-3"/>
        </w:rPr>
        <w:t xml:space="preserve"> </w:t>
      </w:r>
      <w:r>
        <w:rPr>
          <w:spacing w:val="-4"/>
        </w:rPr>
        <w:t>como</w:t>
      </w:r>
      <w:r w:rsidR="00F071C9">
        <w:t xml:space="preserve"> </w:t>
      </w:r>
      <w:r>
        <w:t>¿Qué</w:t>
      </w:r>
      <w:r>
        <w:rPr>
          <w:spacing w:val="3"/>
        </w:rPr>
        <w:t xml:space="preserve"> </w:t>
      </w:r>
      <w:r>
        <w:t>pasa</w:t>
      </w:r>
      <w:r>
        <w:rPr>
          <w:spacing w:val="6"/>
        </w:rPr>
        <w:t xml:space="preserve"> </w:t>
      </w:r>
      <w:r>
        <w:t>con</w:t>
      </w:r>
      <w:r>
        <w:rPr>
          <w:spacing w:val="5"/>
        </w:rPr>
        <w:t xml:space="preserve"> </w:t>
      </w:r>
      <w:r>
        <w:t>todos</w:t>
      </w:r>
      <w:r>
        <w:rPr>
          <w:spacing w:val="6"/>
        </w:rPr>
        <w:t xml:space="preserve"> </w:t>
      </w:r>
      <w:r>
        <w:t>los</w:t>
      </w:r>
      <w:r>
        <w:rPr>
          <w:spacing w:val="4"/>
        </w:rPr>
        <w:t xml:space="preserve"> </w:t>
      </w:r>
      <w:r>
        <w:t>efectos</w:t>
      </w:r>
      <w:r>
        <w:rPr>
          <w:spacing w:val="6"/>
        </w:rPr>
        <w:t xml:space="preserve"> </w:t>
      </w:r>
      <w:r>
        <w:t>nocivos</w:t>
      </w:r>
      <w:r>
        <w:rPr>
          <w:spacing w:val="5"/>
        </w:rPr>
        <w:t xml:space="preserve"> </w:t>
      </w:r>
      <w:r>
        <w:t>que</w:t>
      </w:r>
      <w:r>
        <w:rPr>
          <w:spacing w:val="6"/>
        </w:rPr>
        <w:t xml:space="preserve"> </w:t>
      </w:r>
      <w:r>
        <w:t>han</w:t>
      </w:r>
      <w:r>
        <w:rPr>
          <w:spacing w:val="4"/>
        </w:rPr>
        <w:t xml:space="preserve"> </w:t>
      </w:r>
      <w:r>
        <w:t>quedado</w:t>
      </w:r>
      <w:r>
        <w:rPr>
          <w:spacing w:val="5"/>
        </w:rPr>
        <w:t xml:space="preserve"> </w:t>
      </w:r>
      <w:r>
        <w:t>en</w:t>
      </w:r>
      <w:r>
        <w:rPr>
          <w:spacing w:val="4"/>
        </w:rPr>
        <w:t xml:space="preserve"> </w:t>
      </w:r>
      <w:r>
        <w:t>las</w:t>
      </w:r>
      <w:r>
        <w:rPr>
          <w:spacing w:val="5"/>
        </w:rPr>
        <w:t xml:space="preserve"> </w:t>
      </w:r>
      <w:r>
        <w:t>víctimas</w:t>
      </w:r>
      <w:r>
        <w:rPr>
          <w:spacing w:val="5"/>
        </w:rPr>
        <w:t xml:space="preserve"> </w:t>
      </w:r>
      <w:r>
        <w:t>y</w:t>
      </w:r>
      <w:r>
        <w:rPr>
          <w:spacing w:val="5"/>
        </w:rPr>
        <w:t xml:space="preserve"> </w:t>
      </w:r>
      <w:r>
        <w:t>en</w:t>
      </w:r>
      <w:r>
        <w:rPr>
          <w:spacing w:val="6"/>
        </w:rPr>
        <w:t xml:space="preserve"> </w:t>
      </w:r>
      <w:r>
        <w:t>la</w:t>
      </w:r>
      <w:r>
        <w:rPr>
          <w:spacing w:val="6"/>
        </w:rPr>
        <w:t xml:space="preserve"> </w:t>
      </w:r>
      <w:r>
        <w:rPr>
          <w:spacing w:val="-2"/>
        </w:rPr>
        <w:t>sociedad?</w:t>
      </w:r>
    </w:p>
    <w:p w:rsidR="003804AC" w:rsidRDefault="00AF18A5" w:rsidP="00F071C9">
      <w:r>
        <w:t>¿Qué</w:t>
      </w:r>
      <w:r>
        <w:rPr>
          <w:spacing w:val="-5"/>
        </w:rPr>
        <w:t xml:space="preserve"> </w:t>
      </w:r>
      <w:r>
        <w:t>pasa</w:t>
      </w:r>
      <w:r>
        <w:rPr>
          <w:spacing w:val="-5"/>
        </w:rPr>
        <w:t xml:space="preserve"> </w:t>
      </w:r>
      <w:r>
        <w:t>con</w:t>
      </w:r>
      <w:r>
        <w:rPr>
          <w:spacing w:val="-5"/>
        </w:rPr>
        <w:t xml:space="preserve"> </w:t>
      </w:r>
      <w:r>
        <w:t>los</w:t>
      </w:r>
      <w:r>
        <w:rPr>
          <w:spacing w:val="-5"/>
        </w:rPr>
        <w:t xml:space="preserve"> </w:t>
      </w:r>
      <w:r>
        <w:t>lazos</w:t>
      </w:r>
      <w:r>
        <w:rPr>
          <w:spacing w:val="-6"/>
        </w:rPr>
        <w:t xml:space="preserve"> </w:t>
      </w:r>
      <w:r>
        <w:t>rotos,</w:t>
      </w:r>
      <w:r>
        <w:rPr>
          <w:spacing w:val="-5"/>
        </w:rPr>
        <w:t xml:space="preserve"> </w:t>
      </w:r>
      <w:r>
        <w:t>las</w:t>
      </w:r>
      <w:r>
        <w:rPr>
          <w:spacing w:val="-5"/>
        </w:rPr>
        <w:t xml:space="preserve"> </w:t>
      </w:r>
      <w:r>
        <w:t>enemistades,</w:t>
      </w:r>
      <w:r>
        <w:rPr>
          <w:spacing w:val="-6"/>
        </w:rPr>
        <w:t xml:space="preserve"> </w:t>
      </w:r>
      <w:r>
        <w:t>el</w:t>
      </w:r>
      <w:r>
        <w:rPr>
          <w:spacing w:val="-4"/>
        </w:rPr>
        <w:t xml:space="preserve"> </w:t>
      </w:r>
      <w:r>
        <w:t>rencor</w:t>
      </w:r>
      <w:r>
        <w:rPr>
          <w:spacing w:val="-4"/>
        </w:rPr>
        <w:t xml:space="preserve"> </w:t>
      </w:r>
      <w:r>
        <w:t>y</w:t>
      </w:r>
      <w:r>
        <w:rPr>
          <w:spacing w:val="-5"/>
        </w:rPr>
        <w:t xml:space="preserve"> </w:t>
      </w:r>
      <w:r>
        <w:t>el</w:t>
      </w:r>
      <w:r>
        <w:rPr>
          <w:spacing w:val="-7"/>
        </w:rPr>
        <w:t xml:space="preserve"> </w:t>
      </w:r>
      <w:r>
        <w:t>dolor</w:t>
      </w:r>
      <w:r>
        <w:rPr>
          <w:spacing w:val="-4"/>
        </w:rPr>
        <w:t xml:space="preserve"> </w:t>
      </w:r>
      <w:r>
        <w:t>entre</w:t>
      </w:r>
      <w:r>
        <w:rPr>
          <w:spacing w:val="-5"/>
        </w:rPr>
        <w:t xml:space="preserve"> </w:t>
      </w:r>
      <w:r>
        <w:t>personas</w:t>
      </w:r>
      <w:r>
        <w:rPr>
          <w:spacing w:val="-5"/>
        </w:rPr>
        <w:t xml:space="preserve"> </w:t>
      </w:r>
      <w:r>
        <w:t>que</w:t>
      </w:r>
      <w:r>
        <w:rPr>
          <w:spacing w:val="-7"/>
        </w:rPr>
        <w:t xml:space="preserve"> </w:t>
      </w:r>
      <w:r>
        <w:t>deben seguir</w:t>
      </w:r>
      <w:r>
        <w:rPr>
          <w:spacing w:val="-9"/>
        </w:rPr>
        <w:t xml:space="preserve"> </w:t>
      </w:r>
      <w:r>
        <w:t>conviviendo,</w:t>
      </w:r>
      <w:r>
        <w:rPr>
          <w:spacing w:val="-8"/>
        </w:rPr>
        <w:t xml:space="preserve"> </w:t>
      </w:r>
      <w:r>
        <w:t>que</w:t>
      </w:r>
      <w:r>
        <w:rPr>
          <w:spacing w:val="-9"/>
        </w:rPr>
        <w:t xml:space="preserve"> </w:t>
      </w:r>
      <w:r>
        <w:t>deben</w:t>
      </w:r>
      <w:r>
        <w:rPr>
          <w:spacing w:val="-8"/>
        </w:rPr>
        <w:t xml:space="preserve"> </w:t>
      </w:r>
      <w:r>
        <w:t>dar</w:t>
      </w:r>
      <w:r>
        <w:rPr>
          <w:spacing w:val="-9"/>
        </w:rPr>
        <w:t xml:space="preserve"> </w:t>
      </w:r>
      <w:r>
        <w:t>pasos</w:t>
      </w:r>
      <w:r>
        <w:rPr>
          <w:spacing w:val="-8"/>
        </w:rPr>
        <w:t xml:space="preserve"> </w:t>
      </w:r>
      <w:r>
        <w:t>para</w:t>
      </w:r>
      <w:r>
        <w:rPr>
          <w:spacing w:val="-8"/>
        </w:rPr>
        <w:t xml:space="preserve"> </w:t>
      </w:r>
      <w:r>
        <w:t>continuar</w:t>
      </w:r>
      <w:r>
        <w:rPr>
          <w:spacing w:val="-8"/>
        </w:rPr>
        <w:t xml:space="preserve"> </w:t>
      </w:r>
      <w:r>
        <w:t>a</w:t>
      </w:r>
      <w:r>
        <w:rPr>
          <w:spacing w:val="-8"/>
        </w:rPr>
        <w:t xml:space="preserve"> </w:t>
      </w:r>
      <w:r>
        <w:t>pesar</w:t>
      </w:r>
      <w:r>
        <w:rPr>
          <w:spacing w:val="-8"/>
        </w:rPr>
        <w:t xml:space="preserve"> </w:t>
      </w:r>
      <w:r>
        <w:t>de</w:t>
      </w:r>
      <w:r>
        <w:rPr>
          <w:spacing w:val="-9"/>
        </w:rPr>
        <w:t xml:space="preserve"> </w:t>
      </w:r>
      <w:r>
        <w:t>todo</w:t>
      </w:r>
      <w:r>
        <w:rPr>
          <w:spacing w:val="-8"/>
        </w:rPr>
        <w:t xml:space="preserve"> </w:t>
      </w:r>
      <w:r>
        <w:t>lo</w:t>
      </w:r>
      <w:r>
        <w:rPr>
          <w:spacing w:val="-10"/>
        </w:rPr>
        <w:t xml:space="preserve"> </w:t>
      </w:r>
      <w:r>
        <w:t>sucedido?</w:t>
      </w:r>
      <w:r>
        <w:rPr>
          <w:spacing w:val="-9"/>
        </w:rPr>
        <w:t xml:space="preserve"> </w:t>
      </w:r>
      <w:r>
        <w:t>¿Dónde queda la posibilidad de reintegración a la vida social de los responsables? Ese es el espacio donde la complementariedad de la justicia punitiva y restaurativa abre oportunidades para conocer la verdad en la propia voz de los responsables y cerrar las heridas, rescatar la humanidad</w:t>
      </w:r>
      <w:r>
        <w:rPr>
          <w:spacing w:val="-4"/>
        </w:rPr>
        <w:t xml:space="preserve"> </w:t>
      </w:r>
      <w:r>
        <w:t>de</w:t>
      </w:r>
      <w:r>
        <w:rPr>
          <w:spacing w:val="-2"/>
        </w:rPr>
        <w:t xml:space="preserve"> </w:t>
      </w:r>
      <w:r>
        <w:t>quienes</w:t>
      </w:r>
      <w:r>
        <w:rPr>
          <w:spacing w:val="-2"/>
        </w:rPr>
        <w:t xml:space="preserve"> </w:t>
      </w:r>
      <w:r>
        <w:t>se</w:t>
      </w:r>
      <w:r>
        <w:rPr>
          <w:spacing w:val="-2"/>
        </w:rPr>
        <w:t xml:space="preserve"> </w:t>
      </w:r>
      <w:r>
        <w:t>vieron</w:t>
      </w:r>
      <w:r>
        <w:rPr>
          <w:spacing w:val="-3"/>
        </w:rPr>
        <w:t xml:space="preserve"> </w:t>
      </w:r>
      <w:r>
        <w:t>envueltos</w:t>
      </w:r>
      <w:r>
        <w:rPr>
          <w:spacing w:val="-2"/>
        </w:rPr>
        <w:t xml:space="preserve"> </w:t>
      </w:r>
      <w:r>
        <w:t>en</w:t>
      </w:r>
      <w:r>
        <w:rPr>
          <w:spacing w:val="-4"/>
        </w:rPr>
        <w:t xml:space="preserve"> </w:t>
      </w:r>
      <w:r>
        <w:t>la</w:t>
      </w:r>
      <w:r>
        <w:rPr>
          <w:spacing w:val="-3"/>
        </w:rPr>
        <w:t xml:space="preserve"> </w:t>
      </w:r>
      <w:r>
        <w:t>violencia</w:t>
      </w:r>
      <w:r>
        <w:rPr>
          <w:spacing w:val="-2"/>
        </w:rPr>
        <w:t xml:space="preserve"> </w:t>
      </w:r>
      <w:r>
        <w:t>con</w:t>
      </w:r>
      <w:r>
        <w:rPr>
          <w:spacing w:val="-2"/>
        </w:rPr>
        <w:t xml:space="preserve"> </w:t>
      </w:r>
      <w:r>
        <w:t>especial</w:t>
      </w:r>
      <w:r>
        <w:rPr>
          <w:spacing w:val="-2"/>
        </w:rPr>
        <w:t xml:space="preserve"> </w:t>
      </w:r>
      <w:r>
        <w:t>interés</w:t>
      </w:r>
      <w:r>
        <w:rPr>
          <w:spacing w:val="-3"/>
        </w:rPr>
        <w:t xml:space="preserve"> </w:t>
      </w:r>
      <w:r>
        <w:t>en</w:t>
      </w:r>
      <w:r>
        <w:rPr>
          <w:spacing w:val="-2"/>
        </w:rPr>
        <w:t xml:space="preserve"> </w:t>
      </w:r>
      <w:r>
        <w:t>atender</w:t>
      </w:r>
      <w:r>
        <w:rPr>
          <w:spacing w:val="-2"/>
        </w:rPr>
        <w:t xml:space="preserve"> </w:t>
      </w:r>
      <w:r>
        <w:t>las necesidades de las víctimas, pero brindando la oportunidad a los responsables de reconocer sus</w:t>
      </w:r>
      <w:r>
        <w:rPr>
          <w:spacing w:val="-8"/>
        </w:rPr>
        <w:t xml:space="preserve"> </w:t>
      </w:r>
      <w:r>
        <w:t>responsabilidades</w:t>
      </w:r>
      <w:r>
        <w:rPr>
          <w:spacing w:val="-8"/>
        </w:rPr>
        <w:t xml:space="preserve"> </w:t>
      </w:r>
      <w:r>
        <w:t>y</w:t>
      </w:r>
      <w:r>
        <w:rPr>
          <w:spacing w:val="-8"/>
        </w:rPr>
        <w:t xml:space="preserve"> </w:t>
      </w:r>
      <w:r>
        <w:t>emprender</w:t>
      </w:r>
      <w:r>
        <w:rPr>
          <w:spacing w:val="-8"/>
        </w:rPr>
        <w:t xml:space="preserve"> </w:t>
      </w:r>
      <w:r>
        <w:t>acciones</w:t>
      </w:r>
      <w:r>
        <w:rPr>
          <w:spacing w:val="-8"/>
        </w:rPr>
        <w:t xml:space="preserve"> </w:t>
      </w:r>
      <w:r>
        <w:t>para</w:t>
      </w:r>
      <w:r>
        <w:rPr>
          <w:spacing w:val="-8"/>
        </w:rPr>
        <w:t xml:space="preserve"> </w:t>
      </w:r>
      <w:r>
        <w:t>reparar</w:t>
      </w:r>
      <w:r>
        <w:rPr>
          <w:spacing w:val="-8"/>
        </w:rPr>
        <w:t xml:space="preserve"> </w:t>
      </w:r>
      <w:r>
        <w:t>a</w:t>
      </w:r>
      <w:r>
        <w:rPr>
          <w:spacing w:val="-8"/>
        </w:rPr>
        <w:t xml:space="preserve"> </w:t>
      </w:r>
      <w:r>
        <w:t>las</w:t>
      </w:r>
      <w:r>
        <w:rPr>
          <w:spacing w:val="-8"/>
        </w:rPr>
        <w:t xml:space="preserve"> </w:t>
      </w:r>
      <w:r>
        <w:t>víctimas</w:t>
      </w:r>
      <w:r>
        <w:rPr>
          <w:spacing w:val="-8"/>
        </w:rPr>
        <w:t xml:space="preserve"> </w:t>
      </w:r>
      <w:r>
        <w:t>logren</w:t>
      </w:r>
      <w:r>
        <w:rPr>
          <w:spacing w:val="-8"/>
        </w:rPr>
        <w:t xml:space="preserve"> </w:t>
      </w:r>
      <w:r>
        <w:t>también</w:t>
      </w:r>
      <w:r>
        <w:rPr>
          <w:spacing w:val="-9"/>
        </w:rPr>
        <w:t xml:space="preserve"> </w:t>
      </w:r>
      <w:r>
        <w:t>hacer un examen crítico del pasado, un compromiso en la prevención y un proceso de enfrentar la deshumanización que llevó al horror y sanarse a sí mismos y tengan una nueva oportunidad para integrarse a la sociedad y reinventarse como sujetos y ciudadanos comprometidos con la verdad, la reparación y la no-repetición.</w:t>
      </w:r>
    </w:p>
    <w:p w:rsidR="003804AC" w:rsidRDefault="00AF18A5" w:rsidP="00F071C9">
      <w:r>
        <w:t>Los Reconocimientos han abierto espacios para que víctimas y responsables se reconozcan</w:t>
      </w:r>
      <w:r>
        <w:rPr>
          <w:spacing w:val="-11"/>
        </w:rPr>
        <w:t xml:space="preserve"> </w:t>
      </w:r>
      <w:r>
        <w:t>y</w:t>
      </w:r>
      <w:r>
        <w:rPr>
          <w:spacing w:val="-7"/>
        </w:rPr>
        <w:t xml:space="preserve"> </w:t>
      </w:r>
      <w:r>
        <w:t>sanen</w:t>
      </w:r>
      <w:r>
        <w:rPr>
          <w:spacing w:val="-9"/>
        </w:rPr>
        <w:t xml:space="preserve"> </w:t>
      </w:r>
      <w:r>
        <w:t>sus</w:t>
      </w:r>
      <w:r>
        <w:rPr>
          <w:spacing w:val="-8"/>
        </w:rPr>
        <w:t xml:space="preserve"> </w:t>
      </w:r>
      <w:r>
        <w:t>heridas;</w:t>
      </w:r>
      <w:r>
        <w:rPr>
          <w:spacing w:val="-7"/>
        </w:rPr>
        <w:t xml:space="preserve"> </w:t>
      </w:r>
      <w:r>
        <w:t>pero</w:t>
      </w:r>
      <w:r>
        <w:rPr>
          <w:spacing w:val="-7"/>
        </w:rPr>
        <w:t xml:space="preserve"> </w:t>
      </w:r>
      <w:r>
        <w:t>también</w:t>
      </w:r>
      <w:r>
        <w:rPr>
          <w:spacing w:val="-9"/>
        </w:rPr>
        <w:t xml:space="preserve"> </w:t>
      </w:r>
      <w:r>
        <w:t>han</w:t>
      </w:r>
      <w:r>
        <w:rPr>
          <w:spacing w:val="-7"/>
        </w:rPr>
        <w:t xml:space="preserve"> </w:t>
      </w:r>
      <w:r>
        <w:t>brindado</w:t>
      </w:r>
      <w:r>
        <w:rPr>
          <w:spacing w:val="-7"/>
        </w:rPr>
        <w:t xml:space="preserve"> </w:t>
      </w:r>
      <w:r>
        <w:t>a</w:t>
      </w:r>
      <w:r>
        <w:rPr>
          <w:spacing w:val="-8"/>
        </w:rPr>
        <w:t xml:space="preserve"> </w:t>
      </w:r>
      <w:r>
        <w:t>la</w:t>
      </w:r>
      <w:r>
        <w:rPr>
          <w:spacing w:val="-8"/>
        </w:rPr>
        <w:t xml:space="preserve"> </w:t>
      </w:r>
      <w:r>
        <w:t>sociedad</w:t>
      </w:r>
      <w:r>
        <w:rPr>
          <w:spacing w:val="-9"/>
        </w:rPr>
        <w:t xml:space="preserve"> </w:t>
      </w:r>
      <w:r>
        <w:t>la</w:t>
      </w:r>
      <w:r>
        <w:rPr>
          <w:spacing w:val="-7"/>
        </w:rPr>
        <w:t xml:space="preserve"> </w:t>
      </w:r>
      <w:r>
        <w:t>oportunidad</w:t>
      </w:r>
      <w:r>
        <w:rPr>
          <w:spacing w:val="-7"/>
        </w:rPr>
        <w:t xml:space="preserve"> </w:t>
      </w:r>
      <w:r>
        <w:rPr>
          <w:spacing w:val="-4"/>
        </w:rPr>
        <w:t>para</w:t>
      </w:r>
      <w:r w:rsidR="00F071C9">
        <w:t xml:space="preserve"> </w:t>
      </w:r>
      <w:r>
        <w:t xml:space="preserve">que reconozca los horrores de </w:t>
      </w:r>
      <w:r>
        <w:lastRenderedPageBreak/>
        <w:t>la guerra, supere visiones sesgadas o parciales y genere un punto de partida para que la paz se vaya instaurando entre colombianos y colombianas superando los estragos de la guerra. La Comisión considera que esta justicia, que pone el énfasis en la restauración, sea parte del futuro que Colombia tiene por delante.</w:t>
      </w:r>
    </w:p>
    <w:p w:rsidR="003804AC" w:rsidRDefault="00AF18A5" w:rsidP="00F071C9">
      <w:r>
        <w:t>La</w:t>
      </w:r>
      <w:r>
        <w:rPr>
          <w:spacing w:val="-3"/>
        </w:rPr>
        <w:t xml:space="preserve"> </w:t>
      </w:r>
      <w:r>
        <w:t>Comisión</w:t>
      </w:r>
      <w:r>
        <w:rPr>
          <w:spacing w:val="-4"/>
        </w:rPr>
        <w:t xml:space="preserve"> </w:t>
      </w:r>
      <w:r>
        <w:t>de</w:t>
      </w:r>
      <w:r>
        <w:rPr>
          <w:spacing w:val="-3"/>
        </w:rPr>
        <w:t xml:space="preserve"> </w:t>
      </w:r>
      <w:r>
        <w:t>la</w:t>
      </w:r>
      <w:r>
        <w:rPr>
          <w:spacing w:val="-3"/>
        </w:rPr>
        <w:t xml:space="preserve"> </w:t>
      </w:r>
      <w:r>
        <w:t>Verdad</w:t>
      </w:r>
      <w:r>
        <w:rPr>
          <w:spacing w:val="-4"/>
        </w:rPr>
        <w:t xml:space="preserve"> </w:t>
      </w:r>
      <w:r>
        <w:t>ha</w:t>
      </w:r>
      <w:r>
        <w:rPr>
          <w:spacing w:val="-3"/>
        </w:rPr>
        <w:t xml:space="preserve"> </w:t>
      </w:r>
      <w:r>
        <w:t>promovido</w:t>
      </w:r>
      <w:r>
        <w:rPr>
          <w:spacing w:val="-4"/>
        </w:rPr>
        <w:t xml:space="preserve"> </w:t>
      </w:r>
      <w:r>
        <w:t>distintos</w:t>
      </w:r>
      <w:r>
        <w:rPr>
          <w:spacing w:val="-4"/>
        </w:rPr>
        <w:t xml:space="preserve"> </w:t>
      </w:r>
      <w:r>
        <w:t>espacios</w:t>
      </w:r>
      <w:r>
        <w:rPr>
          <w:spacing w:val="-4"/>
        </w:rPr>
        <w:t xml:space="preserve"> </w:t>
      </w:r>
      <w:r>
        <w:t>de</w:t>
      </w:r>
      <w:r>
        <w:rPr>
          <w:spacing w:val="-3"/>
        </w:rPr>
        <w:t xml:space="preserve"> </w:t>
      </w:r>
      <w:r>
        <w:t>encuentro</w:t>
      </w:r>
      <w:r>
        <w:rPr>
          <w:spacing w:val="-5"/>
        </w:rPr>
        <w:t xml:space="preserve"> </w:t>
      </w:r>
      <w:r>
        <w:t>entre</w:t>
      </w:r>
      <w:r>
        <w:rPr>
          <w:spacing w:val="-3"/>
        </w:rPr>
        <w:t xml:space="preserve"> </w:t>
      </w:r>
      <w:r>
        <w:t>víctimas</w:t>
      </w:r>
      <w:r>
        <w:rPr>
          <w:spacing w:val="-3"/>
        </w:rPr>
        <w:t xml:space="preserve"> </w:t>
      </w:r>
      <w:r>
        <w:t>y responsables.</w:t>
      </w:r>
      <w:r>
        <w:rPr>
          <w:spacing w:val="-2"/>
        </w:rPr>
        <w:t xml:space="preserve"> </w:t>
      </w:r>
      <w:r>
        <w:t>Mientras</w:t>
      </w:r>
      <w:r>
        <w:rPr>
          <w:spacing w:val="-2"/>
        </w:rPr>
        <w:t xml:space="preserve"> </w:t>
      </w:r>
      <w:r>
        <w:t>estos</w:t>
      </w:r>
      <w:r>
        <w:rPr>
          <w:spacing w:val="-2"/>
        </w:rPr>
        <w:t xml:space="preserve"> </w:t>
      </w:r>
      <w:r>
        <w:t>han</w:t>
      </w:r>
      <w:r>
        <w:rPr>
          <w:spacing w:val="-2"/>
        </w:rPr>
        <w:t xml:space="preserve"> </w:t>
      </w:r>
      <w:r>
        <w:t>reconocido</w:t>
      </w:r>
      <w:r>
        <w:rPr>
          <w:spacing w:val="-2"/>
        </w:rPr>
        <w:t xml:space="preserve"> </w:t>
      </w:r>
      <w:r>
        <w:t>hechos,</w:t>
      </w:r>
      <w:r>
        <w:rPr>
          <w:spacing w:val="-2"/>
        </w:rPr>
        <w:t xml:space="preserve"> </w:t>
      </w:r>
      <w:r>
        <w:t>las</w:t>
      </w:r>
      <w:r>
        <w:rPr>
          <w:spacing w:val="-2"/>
        </w:rPr>
        <w:t xml:space="preserve"> </w:t>
      </w:r>
      <w:r>
        <w:t>víctimas</w:t>
      </w:r>
      <w:r>
        <w:rPr>
          <w:spacing w:val="-2"/>
        </w:rPr>
        <w:t xml:space="preserve"> </w:t>
      </w:r>
      <w:r>
        <w:t>han</w:t>
      </w:r>
      <w:r>
        <w:rPr>
          <w:spacing w:val="-2"/>
        </w:rPr>
        <w:t xml:space="preserve"> </w:t>
      </w:r>
      <w:r>
        <w:t>resaltado</w:t>
      </w:r>
      <w:r>
        <w:rPr>
          <w:spacing w:val="-2"/>
        </w:rPr>
        <w:t xml:space="preserve"> </w:t>
      </w:r>
      <w:r>
        <w:t>su</w:t>
      </w:r>
      <w:r>
        <w:rPr>
          <w:spacing w:val="-2"/>
        </w:rPr>
        <w:t xml:space="preserve"> </w:t>
      </w:r>
      <w:r>
        <w:t>dignidad. Con los procesos de reconocimiento de responsabilidades se ha realizado un examen</w:t>
      </w:r>
      <w:r>
        <w:rPr>
          <w:spacing w:val="-1"/>
        </w:rPr>
        <w:t xml:space="preserve"> </w:t>
      </w:r>
      <w:r>
        <w:t>crítico del</w:t>
      </w:r>
      <w:r>
        <w:rPr>
          <w:spacing w:val="-10"/>
        </w:rPr>
        <w:t xml:space="preserve"> </w:t>
      </w:r>
      <w:r>
        <w:t>pasado</w:t>
      </w:r>
      <w:r>
        <w:rPr>
          <w:spacing w:val="-10"/>
        </w:rPr>
        <w:t xml:space="preserve"> </w:t>
      </w:r>
      <w:r>
        <w:t>desde</w:t>
      </w:r>
      <w:r>
        <w:rPr>
          <w:spacing w:val="-10"/>
        </w:rPr>
        <w:t xml:space="preserve"> </w:t>
      </w:r>
      <w:r>
        <w:t>el</w:t>
      </w:r>
      <w:r>
        <w:rPr>
          <w:spacing w:val="-10"/>
        </w:rPr>
        <w:t xml:space="preserve"> </w:t>
      </w:r>
      <w:r>
        <w:t>propósito</w:t>
      </w:r>
      <w:r>
        <w:rPr>
          <w:spacing w:val="-10"/>
        </w:rPr>
        <w:t xml:space="preserve"> </w:t>
      </w:r>
      <w:r>
        <w:t>activado</w:t>
      </w:r>
      <w:r>
        <w:rPr>
          <w:spacing w:val="-10"/>
        </w:rPr>
        <w:t xml:space="preserve"> </w:t>
      </w:r>
      <w:r>
        <w:t>por</w:t>
      </w:r>
      <w:r>
        <w:rPr>
          <w:spacing w:val="-10"/>
        </w:rPr>
        <w:t xml:space="preserve"> </w:t>
      </w:r>
      <w:r>
        <w:t>la</w:t>
      </w:r>
      <w:r>
        <w:rPr>
          <w:spacing w:val="-10"/>
        </w:rPr>
        <w:t xml:space="preserve"> </w:t>
      </w:r>
      <w:r>
        <w:t>Comisión:</w:t>
      </w:r>
      <w:r>
        <w:rPr>
          <w:spacing w:val="-10"/>
        </w:rPr>
        <w:t xml:space="preserve"> </w:t>
      </w:r>
      <w:r>
        <w:t>tener</w:t>
      </w:r>
      <w:r>
        <w:rPr>
          <w:spacing w:val="-10"/>
        </w:rPr>
        <w:t xml:space="preserve"> </w:t>
      </w:r>
      <w:r>
        <w:t>una</w:t>
      </w:r>
      <w:r>
        <w:rPr>
          <w:spacing w:val="-10"/>
        </w:rPr>
        <w:t xml:space="preserve"> </w:t>
      </w:r>
      <w:r>
        <w:t>conversación</w:t>
      </w:r>
      <w:r>
        <w:rPr>
          <w:spacing w:val="-10"/>
        </w:rPr>
        <w:t xml:space="preserve"> </w:t>
      </w:r>
      <w:r>
        <w:t>nacional</w:t>
      </w:r>
      <w:r>
        <w:rPr>
          <w:spacing w:val="-10"/>
        </w:rPr>
        <w:t xml:space="preserve"> </w:t>
      </w:r>
      <w:r>
        <w:t>que permita ampliar las comprensiones de lo ocurrido y avanzar en el camino de la transformación. Estos diálogos se han dado en condiciones adversas, en un contexto en el que la violencia todavía no es parte del pasado y donde la polarización social sigue activa, haciendo difícil hablar de lo sucedido, especialmente entre quienes piensan diferente desde la política. Sin embargo, son diálogos que abren caminos para quebrar el silencio y contribuyen a sanar las heridas del conflicto armado y evitar su continuidad.</w:t>
      </w:r>
    </w:p>
    <w:p w:rsidR="003804AC" w:rsidRDefault="00AF18A5" w:rsidP="00F071C9">
      <w:r>
        <w:t>Estos diálogos implicaron para las víctimas reconectarse con sus experiencias de dolor, pero también con sus memorias de lucha y resistencia. La Comisión hizo un cuidadoso acompañamiento</w:t>
      </w:r>
      <w:r>
        <w:rPr>
          <w:spacing w:val="-10"/>
        </w:rPr>
        <w:t xml:space="preserve"> </w:t>
      </w:r>
      <w:r>
        <w:t>del</w:t>
      </w:r>
      <w:r>
        <w:rPr>
          <w:spacing w:val="-9"/>
        </w:rPr>
        <w:t xml:space="preserve"> </w:t>
      </w:r>
      <w:r>
        <w:t>antes,</w:t>
      </w:r>
      <w:r>
        <w:rPr>
          <w:spacing w:val="-10"/>
        </w:rPr>
        <w:t xml:space="preserve"> </w:t>
      </w:r>
      <w:r>
        <w:t>durante</w:t>
      </w:r>
      <w:r>
        <w:rPr>
          <w:spacing w:val="-9"/>
        </w:rPr>
        <w:t xml:space="preserve"> </w:t>
      </w:r>
      <w:r>
        <w:t>y</w:t>
      </w:r>
      <w:r>
        <w:rPr>
          <w:spacing w:val="-11"/>
        </w:rPr>
        <w:t xml:space="preserve"> </w:t>
      </w:r>
      <w:r>
        <w:t>después</w:t>
      </w:r>
      <w:r>
        <w:rPr>
          <w:spacing w:val="-9"/>
        </w:rPr>
        <w:t xml:space="preserve"> </w:t>
      </w:r>
      <w:r>
        <w:t>de</w:t>
      </w:r>
      <w:r>
        <w:rPr>
          <w:spacing w:val="-11"/>
        </w:rPr>
        <w:t xml:space="preserve"> </w:t>
      </w:r>
      <w:r>
        <w:t>cada</w:t>
      </w:r>
      <w:r>
        <w:rPr>
          <w:spacing w:val="-9"/>
        </w:rPr>
        <w:t xml:space="preserve"> </w:t>
      </w:r>
      <w:r>
        <w:t>uno</w:t>
      </w:r>
      <w:r>
        <w:rPr>
          <w:spacing w:val="-10"/>
        </w:rPr>
        <w:t xml:space="preserve"> </w:t>
      </w:r>
      <w:r>
        <w:t>de</w:t>
      </w:r>
      <w:r>
        <w:rPr>
          <w:spacing w:val="-11"/>
        </w:rPr>
        <w:t xml:space="preserve"> </w:t>
      </w:r>
      <w:r>
        <w:t>los</w:t>
      </w:r>
      <w:r>
        <w:rPr>
          <w:spacing w:val="-9"/>
        </w:rPr>
        <w:t xml:space="preserve"> </w:t>
      </w:r>
      <w:r>
        <w:t>procesos,</w:t>
      </w:r>
      <w:r>
        <w:rPr>
          <w:spacing w:val="-11"/>
        </w:rPr>
        <w:t xml:space="preserve"> </w:t>
      </w:r>
      <w:r>
        <w:t>lo</w:t>
      </w:r>
      <w:r>
        <w:rPr>
          <w:spacing w:val="-10"/>
        </w:rPr>
        <w:t xml:space="preserve"> </w:t>
      </w:r>
      <w:r>
        <w:t>cual</w:t>
      </w:r>
      <w:r>
        <w:rPr>
          <w:spacing w:val="-9"/>
        </w:rPr>
        <w:t xml:space="preserve"> </w:t>
      </w:r>
      <w:r>
        <w:t>facilitó</w:t>
      </w:r>
      <w:r>
        <w:rPr>
          <w:spacing w:val="-10"/>
        </w:rPr>
        <w:t xml:space="preserve"> </w:t>
      </w:r>
      <w:r>
        <w:t>las condiciones para que la participación de las personas redundara en experiencias significativas. Los resultados no estaban predeterminados, pero cuando empezaron a darse los diálogos</w:t>
      </w:r>
      <w:r>
        <w:rPr>
          <w:spacing w:val="-1"/>
        </w:rPr>
        <w:t xml:space="preserve"> </w:t>
      </w:r>
      <w:r>
        <w:t xml:space="preserve">preparatorios, se exploraron opciones y mejoraron las expectativas, se constató desde los sentires y sentidos de los diferentes participantes que los reconocimientos son promoción de diálogo desde la dignidad humana. </w:t>
      </w:r>
      <w:r>
        <w:lastRenderedPageBreak/>
        <w:t>Quienes participaron lo</w:t>
      </w:r>
      <w:r>
        <w:rPr>
          <w:spacing w:val="-1"/>
        </w:rPr>
        <w:t xml:space="preserve"> </w:t>
      </w:r>
      <w:r>
        <w:t>hicieron de</w:t>
      </w:r>
      <w:r>
        <w:rPr>
          <w:spacing w:val="-1"/>
        </w:rPr>
        <w:t xml:space="preserve"> </w:t>
      </w:r>
      <w:r>
        <w:t>forma valiente y voluntaria. Con dudas iniciales de sus resultados o de cómo iban a sentirse, pero con la convicción de aportar a la reconstrucción de la convivencia y de la paz.</w:t>
      </w:r>
    </w:p>
    <w:p w:rsidR="003804AC" w:rsidRDefault="00AF18A5" w:rsidP="00F071C9">
      <w:r>
        <w:t>Si</w:t>
      </w:r>
      <w:r>
        <w:rPr>
          <w:spacing w:val="-3"/>
        </w:rPr>
        <w:t xml:space="preserve"> </w:t>
      </w:r>
      <w:r>
        <w:t>bien</w:t>
      </w:r>
      <w:r>
        <w:rPr>
          <w:spacing w:val="-4"/>
        </w:rPr>
        <w:t xml:space="preserve"> </w:t>
      </w:r>
      <w:r>
        <w:t>la</w:t>
      </w:r>
      <w:r>
        <w:rPr>
          <w:spacing w:val="-3"/>
        </w:rPr>
        <w:t xml:space="preserve"> </w:t>
      </w:r>
      <w:r>
        <w:t>centralidad</w:t>
      </w:r>
      <w:r>
        <w:rPr>
          <w:spacing w:val="-4"/>
        </w:rPr>
        <w:t xml:space="preserve"> </w:t>
      </w:r>
      <w:r>
        <w:t>en</w:t>
      </w:r>
      <w:r>
        <w:rPr>
          <w:spacing w:val="-4"/>
        </w:rPr>
        <w:t xml:space="preserve"> </w:t>
      </w:r>
      <w:r>
        <w:t>las</w:t>
      </w:r>
      <w:r>
        <w:rPr>
          <w:spacing w:val="-3"/>
        </w:rPr>
        <w:t xml:space="preserve"> </w:t>
      </w:r>
      <w:r>
        <w:t>víctimas</w:t>
      </w:r>
      <w:r>
        <w:rPr>
          <w:spacing w:val="-3"/>
        </w:rPr>
        <w:t xml:space="preserve"> </w:t>
      </w:r>
      <w:r>
        <w:t>fue</w:t>
      </w:r>
      <w:r>
        <w:rPr>
          <w:spacing w:val="-3"/>
        </w:rPr>
        <w:t xml:space="preserve"> </w:t>
      </w:r>
      <w:r>
        <w:t>el</w:t>
      </w:r>
      <w:r>
        <w:rPr>
          <w:spacing w:val="-3"/>
        </w:rPr>
        <w:t xml:space="preserve"> </w:t>
      </w:r>
      <w:r>
        <w:t>principio</w:t>
      </w:r>
      <w:r>
        <w:rPr>
          <w:spacing w:val="-4"/>
        </w:rPr>
        <w:t xml:space="preserve"> </w:t>
      </w:r>
      <w:r>
        <w:t>fundamental</w:t>
      </w:r>
      <w:r>
        <w:rPr>
          <w:spacing w:val="-3"/>
        </w:rPr>
        <w:t xml:space="preserve"> </w:t>
      </w:r>
      <w:r>
        <w:t>de</w:t>
      </w:r>
      <w:r>
        <w:rPr>
          <w:spacing w:val="-3"/>
        </w:rPr>
        <w:t xml:space="preserve"> </w:t>
      </w:r>
      <w:r>
        <w:t>la</w:t>
      </w:r>
      <w:r>
        <w:rPr>
          <w:spacing w:val="-3"/>
        </w:rPr>
        <w:t xml:space="preserve"> </w:t>
      </w:r>
      <w:r>
        <w:t>realización</w:t>
      </w:r>
      <w:r>
        <w:rPr>
          <w:spacing w:val="-4"/>
        </w:rPr>
        <w:t xml:space="preserve"> </w:t>
      </w:r>
      <w:r>
        <w:t>de</w:t>
      </w:r>
      <w:r>
        <w:rPr>
          <w:spacing w:val="-5"/>
        </w:rPr>
        <w:t xml:space="preserve"> </w:t>
      </w:r>
      <w:r>
        <w:t>los procesos de reconocimiento de responsabilidades, también fue relevante profundizar en lo que implicó para los responsables: conocer sus impresiones, admitir sus necesidades, sus expectativas y, sobre todo, sus miedos. Toda conversación pública supone develar algo oculto,</w:t>
      </w:r>
      <w:r>
        <w:rPr>
          <w:spacing w:val="-14"/>
        </w:rPr>
        <w:t xml:space="preserve"> </w:t>
      </w:r>
      <w:r>
        <w:t>o</w:t>
      </w:r>
      <w:r>
        <w:rPr>
          <w:spacing w:val="-12"/>
        </w:rPr>
        <w:t xml:space="preserve"> </w:t>
      </w:r>
      <w:r>
        <w:t>que</w:t>
      </w:r>
      <w:r>
        <w:rPr>
          <w:spacing w:val="-13"/>
        </w:rPr>
        <w:t xml:space="preserve"> </w:t>
      </w:r>
      <w:r>
        <w:t>se</w:t>
      </w:r>
      <w:r>
        <w:rPr>
          <w:spacing w:val="-12"/>
        </w:rPr>
        <w:t xml:space="preserve"> </w:t>
      </w:r>
      <w:r>
        <w:t>ha</w:t>
      </w:r>
      <w:r>
        <w:rPr>
          <w:spacing w:val="-12"/>
        </w:rPr>
        <w:t xml:space="preserve"> </w:t>
      </w:r>
      <w:r>
        <w:t>justificado</w:t>
      </w:r>
      <w:r>
        <w:rPr>
          <w:spacing w:val="-12"/>
        </w:rPr>
        <w:t xml:space="preserve"> </w:t>
      </w:r>
      <w:r>
        <w:t>o</w:t>
      </w:r>
      <w:r>
        <w:rPr>
          <w:spacing w:val="-12"/>
        </w:rPr>
        <w:t xml:space="preserve"> </w:t>
      </w:r>
      <w:r>
        <w:t>negado</w:t>
      </w:r>
      <w:r>
        <w:rPr>
          <w:spacing w:val="-12"/>
        </w:rPr>
        <w:t xml:space="preserve"> </w:t>
      </w:r>
      <w:r>
        <w:t>socialmente,</w:t>
      </w:r>
      <w:r>
        <w:rPr>
          <w:spacing w:val="-12"/>
        </w:rPr>
        <w:t xml:space="preserve"> </w:t>
      </w:r>
      <w:r>
        <w:t>o</w:t>
      </w:r>
      <w:r>
        <w:rPr>
          <w:spacing w:val="-12"/>
        </w:rPr>
        <w:t xml:space="preserve"> </w:t>
      </w:r>
      <w:r>
        <w:t>se</w:t>
      </w:r>
      <w:r>
        <w:rPr>
          <w:spacing w:val="-13"/>
        </w:rPr>
        <w:t xml:space="preserve"> </w:t>
      </w:r>
      <w:r>
        <w:t>ha</w:t>
      </w:r>
      <w:r>
        <w:rPr>
          <w:spacing w:val="-12"/>
        </w:rPr>
        <w:t xml:space="preserve"> </w:t>
      </w:r>
      <w:r>
        <w:t>dejado</w:t>
      </w:r>
      <w:r>
        <w:rPr>
          <w:spacing w:val="-12"/>
        </w:rPr>
        <w:t xml:space="preserve"> </w:t>
      </w:r>
      <w:r>
        <w:t>para</w:t>
      </w:r>
      <w:r>
        <w:rPr>
          <w:spacing w:val="-12"/>
        </w:rPr>
        <w:t xml:space="preserve"> </w:t>
      </w:r>
      <w:r>
        <w:t>los</w:t>
      </w:r>
      <w:r>
        <w:rPr>
          <w:spacing w:val="-12"/>
        </w:rPr>
        <w:t xml:space="preserve"> </w:t>
      </w:r>
      <w:r>
        <w:t>suyos.</w:t>
      </w:r>
      <w:r>
        <w:rPr>
          <w:spacing w:val="-12"/>
        </w:rPr>
        <w:t xml:space="preserve"> </w:t>
      </w:r>
      <w:r>
        <w:t>El</w:t>
      </w:r>
      <w:r>
        <w:rPr>
          <w:spacing w:val="-10"/>
        </w:rPr>
        <w:t xml:space="preserve"> </w:t>
      </w:r>
      <w:r>
        <w:rPr>
          <w:spacing w:val="-2"/>
        </w:rPr>
        <w:t>diálogo</w:t>
      </w:r>
      <w:r w:rsidR="00F071C9">
        <w:t xml:space="preserve"> </w:t>
      </w:r>
      <w:r>
        <w:t>con las víctimas y el reconocimiento de los responsables ante ellas es una experiencia estresante para las dos partes, pero también, realizado de forma cuidadosa, voluntaria y atendiendo distintas expectativas, un potente agente de cambio y de transformación.</w:t>
      </w:r>
    </w:p>
    <w:p w:rsidR="003804AC" w:rsidRDefault="00AF18A5" w:rsidP="00F071C9">
      <w:r>
        <w:t>La Comisión, en calidad de testigo e interlocutor comprensivo, propició escenarios para que</w:t>
      </w:r>
      <w:r>
        <w:rPr>
          <w:spacing w:val="-4"/>
        </w:rPr>
        <w:t xml:space="preserve"> </w:t>
      </w:r>
      <w:r>
        <w:t>los</w:t>
      </w:r>
      <w:r>
        <w:rPr>
          <w:spacing w:val="-4"/>
        </w:rPr>
        <w:t xml:space="preserve"> </w:t>
      </w:r>
      <w:r>
        <w:t>responsables</w:t>
      </w:r>
      <w:r>
        <w:rPr>
          <w:spacing w:val="-6"/>
        </w:rPr>
        <w:t xml:space="preserve"> </w:t>
      </w:r>
      <w:r>
        <w:t>reconocieran</w:t>
      </w:r>
      <w:r>
        <w:rPr>
          <w:spacing w:val="-5"/>
        </w:rPr>
        <w:t xml:space="preserve"> </w:t>
      </w:r>
      <w:r>
        <w:t>lo</w:t>
      </w:r>
      <w:r>
        <w:rPr>
          <w:spacing w:val="-6"/>
        </w:rPr>
        <w:t xml:space="preserve"> </w:t>
      </w:r>
      <w:r>
        <w:t>sucedido,</w:t>
      </w:r>
      <w:r>
        <w:rPr>
          <w:spacing w:val="-5"/>
        </w:rPr>
        <w:t xml:space="preserve"> </w:t>
      </w:r>
      <w:r>
        <w:t>explicaran</w:t>
      </w:r>
      <w:r>
        <w:rPr>
          <w:spacing w:val="-5"/>
        </w:rPr>
        <w:t xml:space="preserve"> </w:t>
      </w:r>
      <w:r>
        <w:t>qué</w:t>
      </w:r>
      <w:r>
        <w:rPr>
          <w:spacing w:val="-4"/>
        </w:rPr>
        <w:t xml:space="preserve"> </w:t>
      </w:r>
      <w:r>
        <w:t>lo</w:t>
      </w:r>
      <w:r>
        <w:rPr>
          <w:spacing w:val="-5"/>
        </w:rPr>
        <w:t xml:space="preserve"> </w:t>
      </w:r>
      <w:r>
        <w:t>hizo</w:t>
      </w:r>
      <w:r>
        <w:rPr>
          <w:spacing w:val="-5"/>
        </w:rPr>
        <w:t xml:space="preserve"> </w:t>
      </w:r>
      <w:r>
        <w:t>posible,</w:t>
      </w:r>
      <w:r>
        <w:rPr>
          <w:spacing w:val="-5"/>
        </w:rPr>
        <w:t xml:space="preserve"> </w:t>
      </w:r>
      <w:r>
        <w:t>las</w:t>
      </w:r>
      <w:r>
        <w:rPr>
          <w:spacing w:val="-4"/>
        </w:rPr>
        <w:t xml:space="preserve"> </w:t>
      </w:r>
      <w:r>
        <w:t>injusticias cometidas,</w:t>
      </w:r>
      <w:r>
        <w:rPr>
          <w:spacing w:val="-12"/>
        </w:rPr>
        <w:t xml:space="preserve"> </w:t>
      </w:r>
      <w:r>
        <w:t>lo</w:t>
      </w:r>
      <w:r>
        <w:rPr>
          <w:spacing w:val="-11"/>
        </w:rPr>
        <w:t xml:space="preserve"> </w:t>
      </w:r>
      <w:r>
        <w:t>que</w:t>
      </w:r>
      <w:r>
        <w:rPr>
          <w:spacing w:val="-11"/>
        </w:rPr>
        <w:t xml:space="preserve"> </w:t>
      </w:r>
      <w:r>
        <w:t>jamás</w:t>
      </w:r>
      <w:r>
        <w:rPr>
          <w:spacing w:val="-12"/>
        </w:rPr>
        <w:t xml:space="preserve"> </w:t>
      </w:r>
      <w:r>
        <w:t>debió</w:t>
      </w:r>
      <w:r>
        <w:rPr>
          <w:spacing w:val="-11"/>
        </w:rPr>
        <w:t xml:space="preserve"> </w:t>
      </w:r>
      <w:r>
        <w:t>suceder</w:t>
      </w:r>
      <w:r>
        <w:rPr>
          <w:spacing w:val="-10"/>
        </w:rPr>
        <w:t xml:space="preserve"> </w:t>
      </w:r>
      <w:r>
        <w:t>y</w:t>
      </w:r>
      <w:r>
        <w:rPr>
          <w:spacing w:val="-11"/>
        </w:rPr>
        <w:t xml:space="preserve"> </w:t>
      </w:r>
      <w:r>
        <w:t>los</w:t>
      </w:r>
      <w:r>
        <w:rPr>
          <w:spacing w:val="-12"/>
        </w:rPr>
        <w:t xml:space="preserve"> </w:t>
      </w:r>
      <w:r>
        <w:t>compromisos</w:t>
      </w:r>
      <w:r>
        <w:rPr>
          <w:spacing w:val="-11"/>
        </w:rPr>
        <w:t xml:space="preserve"> </w:t>
      </w:r>
      <w:r>
        <w:t>en</w:t>
      </w:r>
      <w:r>
        <w:rPr>
          <w:spacing w:val="-12"/>
        </w:rPr>
        <w:t xml:space="preserve"> </w:t>
      </w:r>
      <w:r>
        <w:t>la</w:t>
      </w:r>
      <w:r>
        <w:rPr>
          <w:spacing w:val="-11"/>
        </w:rPr>
        <w:t xml:space="preserve"> </w:t>
      </w:r>
      <w:r>
        <w:t>prevención.</w:t>
      </w:r>
      <w:r>
        <w:rPr>
          <w:spacing w:val="-11"/>
        </w:rPr>
        <w:t xml:space="preserve"> </w:t>
      </w:r>
      <w:r>
        <w:t>Para</w:t>
      </w:r>
      <w:r>
        <w:rPr>
          <w:spacing w:val="-11"/>
        </w:rPr>
        <w:t xml:space="preserve"> </w:t>
      </w:r>
      <w:r>
        <w:t>las</w:t>
      </w:r>
      <w:r>
        <w:rPr>
          <w:spacing w:val="-11"/>
        </w:rPr>
        <w:t xml:space="preserve"> </w:t>
      </w:r>
      <w:r>
        <w:t>víctimas y sobrevivientes, la vivencia ha supuesto escenarios de tensión, ambivalencia emocional y dificultades por lo que supone ver y oír al otro, evaluar su veracidad, escuchar y a la vez protegerse, mientras se dejan tocar por una experiencia única que ellas mismas hicieron posible. Para muchas de ellas, la expectativa era tener respuestas a las preguntas que los acompañan y que se resumen en una: ¿por qué? Si bien cada uno de estos procesos ha sido único, como también lo son las personas que han participado o las circunstancias en que se dieron,</w:t>
      </w:r>
      <w:r>
        <w:rPr>
          <w:spacing w:val="-3"/>
        </w:rPr>
        <w:t xml:space="preserve"> </w:t>
      </w:r>
      <w:r>
        <w:t>también</w:t>
      </w:r>
      <w:r>
        <w:rPr>
          <w:spacing w:val="-2"/>
        </w:rPr>
        <w:t xml:space="preserve"> </w:t>
      </w:r>
      <w:r>
        <w:t>permiten</w:t>
      </w:r>
      <w:r>
        <w:rPr>
          <w:spacing w:val="-3"/>
        </w:rPr>
        <w:t xml:space="preserve"> </w:t>
      </w:r>
      <w:r>
        <w:t>juntar</w:t>
      </w:r>
      <w:r>
        <w:rPr>
          <w:spacing w:val="-2"/>
        </w:rPr>
        <w:t xml:space="preserve"> </w:t>
      </w:r>
      <w:r>
        <w:t>pedazos</w:t>
      </w:r>
      <w:r>
        <w:rPr>
          <w:spacing w:val="-2"/>
        </w:rPr>
        <w:t xml:space="preserve"> </w:t>
      </w:r>
      <w:r>
        <w:t>de</w:t>
      </w:r>
      <w:r>
        <w:rPr>
          <w:spacing w:val="-3"/>
        </w:rPr>
        <w:t xml:space="preserve"> </w:t>
      </w:r>
      <w:r>
        <w:t>muchas</w:t>
      </w:r>
      <w:r>
        <w:rPr>
          <w:spacing w:val="-2"/>
        </w:rPr>
        <w:t xml:space="preserve"> </w:t>
      </w:r>
      <w:r>
        <w:t>historias</w:t>
      </w:r>
      <w:r>
        <w:rPr>
          <w:spacing w:val="-4"/>
        </w:rPr>
        <w:t xml:space="preserve"> </w:t>
      </w:r>
      <w:r>
        <w:t>y</w:t>
      </w:r>
      <w:r>
        <w:rPr>
          <w:spacing w:val="-2"/>
        </w:rPr>
        <w:t xml:space="preserve"> </w:t>
      </w:r>
      <w:r>
        <w:t>memorias</w:t>
      </w:r>
      <w:r>
        <w:rPr>
          <w:spacing w:val="-3"/>
        </w:rPr>
        <w:t xml:space="preserve"> </w:t>
      </w:r>
      <w:r>
        <w:t>fragmentadas,</w:t>
      </w:r>
      <w:r>
        <w:rPr>
          <w:spacing w:val="-2"/>
        </w:rPr>
        <w:t xml:space="preserve"> </w:t>
      </w:r>
      <w:r>
        <w:t>con las que han convivido durante décadas.</w:t>
      </w:r>
    </w:p>
    <w:p w:rsidR="003804AC" w:rsidRDefault="00AF18A5" w:rsidP="00F071C9">
      <w:r>
        <w:lastRenderedPageBreak/>
        <w:t>Las heridas que deja el conflicto armado en Colombia necesitan ser elaboradas en un escenario</w:t>
      </w:r>
      <w:r>
        <w:rPr>
          <w:spacing w:val="-5"/>
        </w:rPr>
        <w:t xml:space="preserve"> </w:t>
      </w:r>
      <w:r>
        <w:t>de</w:t>
      </w:r>
      <w:r>
        <w:rPr>
          <w:spacing w:val="-6"/>
        </w:rPr>
        <w:t xml:space="preserve"> </w:t>
      </w:r>
      <w:r>
        <w:t>reconocimiento</w:t>
      </w:r>
      <w:r>
        <w:rPr>
          <w:spacing w:val="-5"/>
        </w:rPr>
        <w:t xml:space="preserve"> </w:t>
      </w:r>
      <w:r>
        <w:t>social.</w:t>
      </w:r>
      <w:r>
        <w:rPr>
          <w:spacing w:val="-7"/>
        </w:rPr>
        <w:t xml:space="preserve"> </w:t>
      </w:r>
      <w:r>
        <w:t>Hace</w:t>
      </w:r>
      <w:r>
        <w:rPr>
          <w:spacing w:val="-4"/>
        </w:rPr>
        <w:t xml:space="preserve"> </w:t>
      </w:r>
      <w:r>
        <w:t>falta</w:t>
      </w:r>
      <w:r>
        <w:rPr>
          <w:spacing w:val="-6"/>
        </w:rPr>
        <w:t xml:space="preserve"> </w:t>
      </w:r>
      <w:r>
        <w:t>abrir</w:t>
      </w:r>
      <w:r>
        <w:rPr>
          <w:spacing w:val="-5"/>
        </w:rPr>
        <w:t xml:space="preserve"> </w:t>
      </w:r>
      <w:r>
        <w:t>los</w:t>
      </w:r>
      <w:r>
        <w:rPr>
          <w:spacing w:val="-4"/>
        </w:rPr>
        <w:t xml:space="preserve"> </w:t>
      </w:r>
      <w:r>
        <w:t>diálogos</w:t>
      </w:r>
      <w:r>
        <w:rPr>
          <w:spacing w:val="-4"/>
        </w:rPr>
        <w:t xml:space="preserve"> </w:t>
      </w:r>
      <w:r>
        <w:t>desde</w:t>
      </w:r>
      <w:r>
        <w:rPr>
          <w:spacing w:val="-6"/>
        </w:rPr>
        <w:t xml:space="preserve"> </w:t>
      </w:r>
      <w:r>
        <w:t>la</w:t>
      </w:r>
      <w:r>
        <w:rPr>
          <w:spacing w:val="-6"/>
        </w:rPr>
        <w:t xml:space="preserve"> </w:t>
      </w:r>
      <w:r>
        <w:t>condición</w:t>
      </w:r>
      <w:r>
        <w:rPr>
          <w:spacing w:val="-5"/>
        </w:rPr>
        <w:t xml:space="preserve"> </w:t>
      </w:r>
      <w:r>
        <w:t>humana sobre</w:t>
      </w:r>
      <w:r>
        <w:rPr>
          <w:spacing w:val="-2"/>
        </w:rPr>
        <w:t xml:space="preserve"> </w:t>
      </w:r>
      <w:r>
        <w:t>lo</w:t>
      </w:r>
      <w:r>
        <w:rPr>
          <w:spacing w:val="-1"/>
        </w:rPr>
        <w:t xml:space="preserve"> </w:t>
      </w:r>
      <w:r>
        <w:t>intolerable,</w:t>
      </w:r>
      <w:r>
        <w:rPr>
          <w:spacing w:val="-2"/>
        </w:rPr>
        <w:t xml:space="preserve"> </w:t>
      </w:r>
      <w:r>
        <w:t>lo</w:t>
      </w:r>
      <w:r>
        <w:rPr>
          <w:spacing w:val="-1"/>
        </w:rPr>
        <w:t xml:space="preserve"> </w:t>
      </w:r>
      <w:r>
        <w:t>que</w:t>
      </w:r>
      <w:r>
        <w:rPr>
          <w:spacing w:val="-1"/>
        </w:rPr>
        <w:t xml:space="preserve"> </w:t>
      </w:r>
      <w:r>
        <w:t>no</w:t>
      </w:r>
      <w:r>
        <w:rPr>
          <w:spacing w:val="-1"/>
        </w:rPr>
        <w:t xml:space="preserve"> </w:t>
      </w:r>
      <w:r>
        <w:t>se</w:t>
      </w:r>
      <w:r>
        <w:rPr>
          <w:spacing w:val="-2"/>
        </w:rPr>
        <w:t xml:space="preserve"> </w:t>
      </w:r>
      <w:r>
        <w:t>quiere</w:t>
      </w:r>
      <w:r>
        <w:rPr>
          <w:spacing w:val="-1"/>
        </w:rPr>
        <w:t xml:space="preserve"> </w:t>
      </w:r>
      <w:r>
        <w:t>vivir</w:t>
      </w:r>
      <w:r>
        <w:rPr>
          <w:spacing w:val="-1"/>
        </w:rPr>
        <w:t xml:space="preserve"> </w:t>
      </w:r>
      <w:r>
        <w:t>y</w:t>
      </w:r>
      <w:r>
        <w:rPr>
          <w:spacing w:val="-1"/>
        </w:rPr>
        <w:t xml:space="preserve"> </w:t>
      </w:r>
      <w:r>
        <w:t>experimentar</w:t>
      </w:r>
      <w:r>
        <w:rPr>
          <w:spacing w:val="-2"/>
        </w:rPr>
        <w:t xml:space="preserve"> </w:t>
      </w:r>
      <w:r>
        <w:t>nuevamente.</w:t>
      </w:r>
      <w:r>
        <w:rPr>
          <w:spacing w:val="-2"/>
        </w:rPr>
        <w:t xml:space="preserve"> </w:t>
      </w:r>
      <w:r>
        <w:t>Es</w:t>
      </w:r>
      <w:r>
        <w:rPr>
          <w:spacing w:val="-1"/>
        </w:rPr>
        <w:t xml:space="preserve"> </w:t>
      </w:r>
      <w:r>
        <w:t>una</w:t>
      </w:r>
      <w:r>
        <w:rPr>
          <w:spacing w:val="-2"/>
        </w:rPr>
        <w:t xml:space="preserve"> </w:t>
      </w:r>
      <w:r>
        <w:t>invitación a reconocer el dolor y la profunda injusticia en la que las víctimas pagaron el mayor costo. También romper la narrativa dual de buenos y malos impuesta por el conflicto armado, con la</w:t>
      </w:r>
      <w:r>
        <w:rPr>
          <w:spacing w:val="-13"/>
        </w:rPr>
        <w:t xml:space="preserve"> </w:t>
      </w:r>
      <w:r>
        <w:t>exclusión</w:t>
      </w:r>
      <w:r>
        <w:rPr>
          <w:spacing w:val="-14"/>
        </w:rPr>
        <w:t xml:space="preserve"> </w:t>
      </w:r>
      <w:r>
        <w:t>social</w:t>
      </w:r>
      <w:r>
        <w:rPr>
          <w:spacing w:val="-13"/>
        </w:rPr>
        <w:t xml:space="preserve"> </w:t>
      </w:r>
      <w:r>
        <w:t>y</w:t>
      </w:r>
      <w:r>
        <w:rPr>
          <w:spacing w:val="-13"/>
        </w:rPr>
        <w:t xml:space="preserve"> </w:t>
      </w:r>
      <w:r>
        <w:t>la</w:t>
      </w:r>
      <w:r>
        <w:rPr>
          <w:spacing w:val="-13"/>
        </w:rPr>
        <w:t xml:space="preserve"> </w:t>
      </w:r>
      <w:r>
        <w:t>impunidad</w:t>
      </w:r>
      <w:r>
        <w:rPr>
          <w:spacing w:val="-13"/>
        </w:rPr>
        <w:t xml:space="preserve"> </w:t>
      </w:r>
      <w:r>
        <w:t>que</w:t>
      </w:r>
      <w:r>
        <w:rPr>
          <w:spacing w:val="-13"/>
        </w:rPr>
        <w:t xml:space="preserve"> </w:t>
      </w:r>
      <w:r>
        <w:t>han</w:t>
      </w:r>
      <w:r>
        <w:rPr>
          <w:spacing w:val="-13"/>
        </w:rPr>
        <w:t xml:space="preserve"> </w:t>
      </w:r>
      <w:r>
        <w:t>llevado</w:t>
      </w:r>
      <w:r>
        <w:rPr>
          <w:spacing w:val="-13"/>
        </w:rPr>
        <w:t xml:space="preserve"> </w:t>
      </w:r>
      <w:r>
        <w:t>a</w:t>
      </w:r>
      <w:r>
        <w:rPr>
          <w:spacing w:val="-13"/>
        </w:rPr>
        <w:t xml:space="preserve"> </w:t>
      </w:r>
      <w:r>
        <w:t>ello.</w:t>
      </w:r>
      <w:r>
        <w:rPr>
          <w:spacing w:val="-13"/>
        </w:rPr>
        <w:t xml:space="preserve"> </w:t>
      </w:r>
      <w:r>
        <w:t>Más</w:t>
      </w:r>
      <w:r>
        <w:rPr>
          <w:spacing w:val="-13"/>
        </w:rPr>
        <w:t xml:space="preserve"> </w:t>
      </w:r>
      <w:r>
        <w:t>allá</w:t>
      </w:r>
      <w:r>
        <w:rPr>
          <w:spacing w:val="-13"/>
        </w:rPr>
        <w:t xml:space="preserve"> </w:t>
      </w:r>
      <w:r>
        <w:t>de</w:t>
      </w:r>
      <w:r>
        <w:rPr>
          <w:spacing w:val="-13"/>
        </w:rPr>
        <w:t xml:space="preserve"> </w:t>
      </w:r>
      <w:r>
        <w:t>los</w:t>
      </w:r>
      <w:r>
        <w:rPr>
          <w:spacing w:val="-14"/>
        </w:rPr>
        <w:t xml:space="preserve"> </w:t>
      </w:r>
      <w:r>
        <w:t>hechos,</w:t>
      </w:r>
      <w:r>
        <w:rPr>
          <w:spacing w:val="-13"/>
        </w:rPr>
        <w:t xml:space="preserve"> </w:t>
      </w:r>
      <w:r>
        <w:t>la</w:t>
      </w:r>
      <w:r>
        <w:rPr>
          <w:spacing w:val="-13"/>
        </w:rPr>
        <w:t xml:space="preserve"> </w:t>
      </w:r>
      <w:r>
        <w:t>Comisión y</w:t>
      </w:r>
      <w:r>
        <w:rPr>
          <w:spacing w:val="-14"/>
        </w:rPr>
        <w:t xml:space="preserve"> </w:t>
      </w:r>
      <w:r>
        <w:t>quienes</w:t>
      </w:r>
      <w:r>
        <w:rPr>
          <w:spacing w:val="-14"/>
        </w:rPr>
        <w:t xml:space="preserve"> </w:t>
      </w:r>
      <w:r>
        <w:t>han</w:t>
      </w:r>
      <w:r>
        <w:rPr>
          <w:spacing w:val="-13"/>
        </w:rPr>
        <w:t xml:space="preserve"> </w:t>
      </w:r>
      <w:r>
        <w:t>participado</w:t>
      </w:r>
      <w:r>
        <w:rPr>
          <w:spacing w:val="-13"/>
        </w:rPr>
        <w:t xml:space="preserve"> </w:t>
      </w:r>
      <w:r>
        <w:t>de</w:t>
      </w:r>
      <w:r>
        <w:rPr>
          <w:spacing w:val="-13"/>
        </w:rPr>
        <w:t xml:space="preserve"> </w:t>
      </w:r>
      <w:r>
        <w:t>estos</w:t>
      </w:r>
      <w:r>
        <w:rPr>
          <w:spacing w:val="-13"/>
        </w:rPr>
        <w:t xml:space="preserve"> </w:t>
      </w:r>
      <w:r>
        <w:t>procesos</w:t>
      </w:r>
      <w:r>
        <w:rPr>
          <w:spacing w:val="-14"/>
        </w:rPr>
        <w:t xml:space="preserve"> </w:t>
      </w:r>
      <w:r>
        <w:t>trabajan</w:t>
      </w:r>
      <w:r>
        <w:rPr>
          <w:spacing w:val="-13"/>
        </w:rPr>
        <w:t xml:space="preserve"> </w:t>
      </w:r>
      <w:r>
        <w:t>con</w:t>
      </w:r>
      <w:r>
        <w:rPr>
          <w:spacing w:val="-14"/>
        </w:rPr>
        <w:t xml:space="preserve"> </w:t>
      </w:r>
      <w:r>
        <w:t>la</w:t>
      </w:r>
      <w:r>
        <w:rPr>
          <w:spacing w:val="-14"/>
        </w:rPr>
        <w:t xml:space="preserve"> </w:t>
      </w:r>
      <w:r>
        <w:t>convicción</w:t>
      </w:r>
      <w:r>
        <w:rPr>
          <w:spacing w:val="-14"/>
        </w:rPr>
        <w:t xml:space="preserve"> </w:t>
      </w:r>
      <w:r>
        <w:t>de</w:t>
      </w:r>
      <w:r>
        <w:rPr>
          <w:spacing w:val="-14"/>
        </w:rPr>
        <w:t xml:space="preserve"> </w:t>
      </w:r>
      <w:r>
        <w:t>que,</w:t>
      </w:r>
      <w:r>
        <w:rPr>
          <w:spacing w:val="-13"/>
        </w:rPr>
        <w:t xml:space="preserve"> </w:t>
      </w:r>
      <w:r>
        <w:t>si</w:t>
      </w:r>
      <w:r>
        <w:rPr>
          <w:spacing w:val="-14"/>
        </w:rPr>
        <w:t xml:space="preserve"> </w:t>
      </w:r>
      <w:r>
        <w:t>bien</w:t>
      </w:r>
      <w:r>
        <w:rPr>
          <w:spacing w:val="-15"/>
        </w:rPr>
        <w:t xml:space="preserve"> </w:t>
      </w:r>
      <w:r>
        <w:t>el</w:t>
      </w:r>
      <w:r>
        <w:rPr>
          <w:spacing w:val="-13"/>
        </w:rPr>
        <w:t xml:space="preserve"> </w:t>
      </w:r>
      <w:r>
        <w:t>dolor no puede compartirse, del esfuerzo por la sensibilidad nace algo nuevo, una forma de resistencia</w:t>
      </w:r>
      <w:r>
        <w:rPr>
          <w:spacing w:val="-12"/>
        </w:rPr>
        <w:t xml:space="preserve"> </w:t>
      </w:r>
      <w:r>
        <w:t>frente</w:t>
      </w:r>
      <w:r>
        <w:rPr>
          <w:spacing w:val="-12"/>
        </w:rPr>
        <w:t xml:space="preserve"> </w:t>
      </w:r>
      <w:r>
        <w:t>al</w:t>
      </w:r>
      <w:r>
        <w:rPr>
          <w:spacing w:val="-11"/>
        </w:rPr>
        <w:t xml:space="preserve"> </w:t>
      </w:r>
      <w:r>
        <w:t>horror</w:t>
      </w:r>
      <w:r>
        <w:rPr>
          <w:spacing w:val="-11"/>
        </w:rPr>
        <w:t xml:space="preserve"> </w:t>
      </w:r>
      <w:r>
        <w:t>vivido.</w:t>
      </w:r>
      <w:r>
        <w:rPr>
          <w:spacing w:val="-12"/>
        </w:rPr>
        <w:t xml:space="preserve"> </w:t>
      </w:r>
      <w:r>
        <w:t>Los</w:t>
      </w:r>
      <w:r>
        <w:rPr>
          <w:spacing w:val="-13"/>
        </w:rPr>
        <w:t xml:space="preserve"> </w:t>
      </w:r>
      <w:r>
        <w:t>procesos</w:t>
      </w:r>
      <w:r>
        <w:rPr>
          <w:spacing w:val="-12"/>
        </w:rPr>
        <w:t xml:space="preserve"> </w:t>
      </w:r>
      <w:r>
        <w:t>de</w:t>
      </w:r>
      <w:r>
        <w:rPr>
          <w:spacing w:val="-13"/>
        </w:rPr>
        <w:t xml:space="preserve"> </w:t>
      </w:r>
      <w:r>
        <w:t>reconocimiento</w:t>
      </w:r>
      <w:r>
        <w:rPr>
          <w:spacing w:val="-12"/>
        </w:rPr>
        <w:t xml:space="preserve"> </w:t>
      </w:r>
      <w:r>
        <w:t>hablan</w:t>
      </w:r>
      <w:r>
        <w:rPr>
          <w:spacing w:val="-12"/>
        </w:rPr>
        <w:t xml:space="preserve"> </w:t>
      </w:r>
      <w:r>
        <w:t>de</w:t>
      </w:r>
      <w:r>
        <w:rPr>
          <w:spacing w:val="-12"/>
        </w:rPr>
        <w:t xml:space="preserve"> </w:t>
      </w:r>
      <w:r>
        <w:t>una</w:t>
      </w:r>
      <w:r>
        <w:rPr>
          <w:spacing w:val="-12"/>
        </w:rPr>
        <w:t xml:space="preserve"> </w:t>
      </w:r>
      <w:r>
        <w:t>humanidad compartida,</w:t>
      </w:r>
      <w:r>
        <w:rPr>
          <w:spacing w:val="-1"/>
        </w:rPr>
        <w:t xml:space="preserve"> </w:t>
      </w:r>
      <w:r>
        <w:t>que Colombia ha olvidado en su trágico recorrido por la exclusión,</w:t>
      </w:r>
      <w:r>
        <w:rPr>
          <w:spacing w:val="-1"/>
        </w:rPr>
        <w:t xml:space="preserve"> </w:t>
      </w:r>
      <w:r>
        <w:t>el</w:t>
      </w:r>
      <w:r>
        <w:rPr>
          <w:spacing w:val="-1"/>
        </w:rPr>
        <w:t xml:space="preserve"> </w:t>
      </w:r>
      <w:r>
        <w:t>miedo,</w:t>
      </w:r>
      <w:r>
        <w:rPr>
          <w:spacing w:val="-1"/>
        </w:rPr>
        <w:t xml:space="preserve"> </w:t>
      </w:r>
      <w:r>
        <w:t>la guerra y los odios y rencores que vienen con ella. Constituyen ejemplos de construcción de nuevas formas éticas de relacionamiento, basadas en el respeto y la convicción de nunca volver a permitir que la vida y la dignidad de las personas sean pisoteadas.</w:t>
      </w:r>
    </w:p>
    <w:p w:rsidR="0011361F" w:rsidRDefault="00AF18A5" w:rsidP="004A6EF4">
      <w:pPr>
        <w:pStyle w:val="Ttulo3"/>
        <w:numPr>
          <w:ilvl w:val="1"/>
          <w:numId w:val="16"/>
        </w:numPr>
      </w:pPr>
      <w:bookmarkStart w:id="1429" w:name="11.1._Los_escenarios_de_un_diálogo_compa"/>
      <w:bookmarkStart w:id="1430" w:name="_Toc112399668"/>
      <w:bookmarkEnd w:id="1429"/>
      <w:r>
        <w:t>Los</w:t>
      </w:r>
      <w:r>
        <w:rPr>
          <w:spacing w:val="-1"/>
        </w:rPr>
        <w:t xml:space="preserve"> </w:t>
      </w:r>
      <w:r>
        <w:t>escenarios</w:t>
      </w:r>
      <w:r>
        <w:rPr>
          <w:spacing w:val="-2"/>
        </w:rPr>
        <w:t xml:space="preserve"> </w:t>
      </w:r>
      <w:r>
        <w:t>de</w:t>
      </w:r>
      <w:r>
        <w:rPr>
          <w:spacing w:val="-1"/>
        </w:rPr>
        <w:t xml:space="preserve"> </w:t>
      </w:r>
      <w:r>
        <w:t>un</w:t>
      </w:r>
      <w:r>
        <w:rPr>
          <w:spacing w:val="-2"/>
        </w:rPr>
        <w:t xml:space="preserve"> </w:t>
      </w:r>
      <w:r w:rsidRPr="00F071C9">
        <w:t>diálogo</w:t>
      </w:r>
      <w:r>
        <w:rPr>
          <w:spacing w:val="-1"/>
        </w:rPr>
        <w:t xml:space="preserve"> </w:t>
      </w:r>
      <w:r>
        <w:rPr>
          <w:spacing w:val="-2"/>
        </w:rPr>
        <w:t>compartido</w:t>
      </w:r>
      <w:bookmarkEnd w:id="1430"/>
    </w:p>
    <w:p w:rsidR="003804AC" w:rsidRDefault="00AF18A5" w:rsidP="007762E8">
      <w:r>
        <w:t xml:space="preserve">Uno de los impactos sociales causados por la prolongada guerra en Colombia ha sido el miedo y la desconfianza frente al otro, con el que se tienen diferencias políticas o sociales, frente a quienes se despliega el poder de las armas o el dinero, frente a guerrillas o paramilitares, frente al Estado y su participación en la guerra o porque no protegió a las víctimas. Hay además una dimensión de </w:t>
      </w:r>
      <w:proofErr w:type="spellStart"/>
      <w:r>
        <w:t>irreparabilidad</w:t>
      </w:r>
      <w:proofErr w:type="spellEnd"/>
      <w:r>
        <w:t xml:space="preserve"> y de falta de sentido. Con todo lo sucedido, ante la impunidad de los hechos, con diferentes visiones sobre las responsabilidades, la pregunta fue inevitable:</w:t>
      </w:r>
      <w:r>
        <w:rPr>
          <w:spacing w:val="-1"/>
        </w:rPr>
        <w:t xml:space="preserve"> </w:t>
      </w:r>
      <w:r>
        <w:t>¿para qué</w:t>
      </w:r>
      <w:r>
        <w:rPr>
          <w:spacing w:val="-1"/>
        </w:rPr>
        <w:t xml:space="preserve"> </w:t>
      </w:r>
      <w:r>
        <w:t>un espacio de diálogo social?</w:t>
      </w:r>
      <w:r>
        <w:rPr>
          <w:spacing w:val="-1"/>
        </w:rPr>
        <w:t xml:space="preserve"> </w:t>
      </w:r>
      <w:r>
        <w:t>Y ese diálogo,</w:t>
      </w:r>
      <w:r>
        <w:rPr>
          <w:spacing w:val="-7"/>
        </w:rPr>
        <w:t xml:space="preserve"> </w:t>
      </w:r>
      <w:r>
        <w:t>¿en</w:t>
      </w:r>
      <w:r>
        <w:rPr>
          <w:spacing w:val="-8"/>
        </w:rPr>
        <w:t xml:space="preserve"> </w:t>
      </w:r>
      <w:r>
        <w:t>qué</w:t>
      </w:r>
      <w:r>
        <w:rPr>
          <w:spacing w:val="-7"/>
        </w:rPr>
        <w:t xml:space="preserve"> </w:t>
      </w:r>
      <w:r>
        <w:t>puede</w:t>
      </w:r>
      <w:r>
        <w:rPr>
          <w:spacing w:val="-7"/>
        </w:rPr>
        <w:t xml:space="preserve"> </w:t>
      </w:r>
      <w:r>
        <w:t>ayudar</w:t>
      </w:r>
      <w:r>
        <w:rPr>
          <w:spacing w:val="-7"/>
        </w:rPr>
        <w:t xml:space="preserve"> </w:t>
      </w:r>
      <w:r>
        <w:t>a</w:t>
      </w:r>
      <w:r>
        <w:rPr>
          <w:spacing w:val="-7"/>
        </w:rPr>
        <w:t xml:space="preserve"> </w:t>
      </w:r>
      <w:r>
        <w:t>cambiar</w:t>
      </w:r>
      <w:r>
        <w:rPr>
          <w:spacing w:val="-8"/>
        </w:rPr>
        <w:t xml:space="preserve"> </w:t>
      </w:r>
      <w:r>
        <w:t>la</w:t>
      </w:r>
      <w:r>
        <w:rPr>
          <w:spacing w:val="-7"/>
        </w:rPr>
        <w:t xml:space="preserve"> </w:t>
      </w:r>
      <w:r>
        <w:t>situación?,</w:t>
      </w:r>
      <w:r>
        <w:rPr>
          <w:spacing w:val="-7"/>
        </w:rPr>
        <w:t xml:space="preserve"> </w:t>
      </w:r>
      <w:r>
        <w:t>¿para</w:t>
      </w:r>
      <w:r>
        <w:rPr>
          <w:spacing w:val="-7"/>
        </w:rPr>
        <w:t xml:space="preserve"> </w:t>
      </w:r>
      <w:r>
        <w:t>qué</w:t>
      </w:r>
      <w:r>
        <w:rPr>
          <w:spacing w:val="-7"/>
        </w:rPr>
        <w:t xml:space="preserve"> </w:t>
      </w:r>
      <w:r>
        <w:t>va</w:t>
      </w:r>
      <w:r>
        <w:rPr>
          <w:spacing w:val="-7"/>
        </w:rPr>
        <w:t xml:space="preserve"> </w:t>
      </w:r>
      <w:r>
        <w:t>a</w:t>
      </w:r>
      <w:r>
        <w:rPr>
          <w:spacing w:val="-7"/>
        </w:rPr>
        <w:t xml:space="preserve"> </w:t>
      </w:r>
      <w:r>
        <w:t>servir?</w:t>
      </w:r>
      <w:r>
        <w:rPr>
          <w:spacing w:val="-7"/>
        </w:rPr>
        <w:t xml:space="preserve"> </w:t>
      </w:r>
      <w:r>
        <w:t>Esas</w:t>
      </w:r>
      <w:r>
        <w:rPr>
          <w:spacing w:val="-8"/>
        </w:rPr>
        <w:t xml:space="preserve"> </w:t>
      </w:r>
      <w:r>
        <w:lastRenderedPageBreak/>
        <w:t>fueron</w:t>
      </w:r>
      <w:r>
        <w:rPr>
          <w:spacing w:val="-7"/>
        </w:rPr>
        <w:t xml:space="preserve"> </w:t>
      </w:r>
      <w:r>
        <w:t>las preguntas iniciales que se plantearon en los momentos preliminares de los primeros acercamientos hacia los procesos de reconocimiento de responsabilidades.</w:t>
      </w:r>
    </w:p>
    <w:p w:rsidR="003804AC" w:rsidRDefault="00AF18A5" w:rsidP="007762E8">
      <w:r>
        <w:t>Cuando la Comisión empezó a dar los primeros pasos para cumplir con ese componente de su mandato, se topó con la incredulidad de quienes podrían llegar a participar. A la falta de un ambiente favorable para poner en marcha este delicado proceso de escucha colectiva, se sumó la insensibilidad y la rigidez política que siguen dominando a buena parte de la sociedad</w:t>
      </w:r>
      <w:r>
        <w:rPr>
          <w:spacing w:val="-6"/>
        </w:rPr>
        <w:t xml:space="preserve"> </w:t>
      </w:r>
      <w:r>
        <w:t>colombiana.</w:t>
      </w:r>
      <w:r>
        <w:rPr>
          <w:spacing w:val="-6"/>
        </w:rPr>
        <w:t xml:space="preserve"> </w:t>
      </w:r>
      <w:r>
        <w:t>Para</w:t>
      </w:r>
      <w:r>
        <w:rPr>
          <w:spacing w:val="-4"/>
        </w:rPr>
        <w:t xml:space="preserve"> </w:t>
      </w:r>
      <w:r>
        <w:t>poder</w:t>
      </w:r>
      <w:r>
        <w:rPr>
          <w:spacing w:val="-4"/>
        </w:rPr>
        <w:t xml:space="preserve"> </w:t>
      </w:r>
      <w:r>
        <w:t>hacer</w:t>
      </w:r>
      <w:r>
        <w:rPr>
          <w:spacing w:val="-4"/>
        </w:rPr>
        <w:t xml:space="preserve"> </w:t>
      </w:r>
      <w:r>
        <w:t>un</w:t>
      </w:r>
      <w:r>
        <w:rPr>
          <w:spacing w:val="-6"/>
        </w:rPr>
        <w:t xml:space="preserve"> </w:t>
      </w:r>
      <w:r>
        <w:t>aporte</w:t>
      </w:r>
      <w:r>
        <w:rPr>
          <w:spacing w:val="-6"/>
        </w:rPr>
        <w:t xml:space="preserve"> </w:t>
      </w:r>
      <w:r>
        <w:t>significativo</w:t>
      </w:r>
      <w:r>
        <w:rPr>
          <w:spacing w:val="-6"/>
        </w:rPr>
        <w:t xml:space="preserve"> </w:t>
      </w:r>
      <w:r>
        <w:t>a</w:t>
      </w:r>
      <w:r>
        <w:rPr>
          <w:spacing w:val="-6"/>
        </w:rPr>
        <w:t xml:space="preserve"> </w:t>
      </w:r>
      <w:r>
        <w:t>la</w:t>
      </w:r>
      <w:r>
        <w:rPr>
          <w:spacing w:val="-6"/>
        </w:rPr>
        <w:t xml:space="preserve"> </w:t>
      </w:r>
      <w:r>
        <w:t>construcción</w:t>
      </w:r>
      <w:r>
        <w:rPr>
          <w:spacing w:val="-5"/>
        </w:rPr>
        <w:t xml:space="preserve"> </w:t>
      </w:r>
      <w:r>
        <w:t>de</w:t>
      </w:r>
      <w:r>
        <w:rPr>
          <w:spacing w:val="-6"/>
        </w:rPr>
        <w:t xml:space="preserve"> </w:t>
      </w:r>
      <w:r>
        <w:t>la</w:t>
      </w:r>
      <w:r>
        <w:rPr>
          <w:spacing w:val="-4"/>
        </w:rPr>
        <w:t xml:space="preserve"> </w:t>
      </w:r>
      <w:r>
        <w:t>paz,</w:t>
      </w:r>
      <w:r>
        <w:rPr>
          <w:spacing w:val="-5"/>
        </w:rPr>
        <w:t xml:space="preserve"> </w:t>
      </w:r>
      <w:r>
        <w:t>la verdad</w:t>
      </w:r>
      <w:r>
        <w:rPr>
          <w:spacing w:val="-15"/>
        </w:rPr>
        <w:t xml:space="preserve"> </w:t>
      </w:r>
      <w:r>
        <w:t>no</w:t>
      </w:r>
      <w:r>
        <w:rPr>
          <w:spacing w:val="-15"/>
        </w:rPr>
        <w:t xml:space="preserve"> </w:t>
      </w:r>
      <w:r>
        <w:t>puede</w:t>
      </w:r>
      <w:r>
        <w:rPr>
          <w:spacing w:val="-15"/>
        </w:rPr>
        <w:t xml:space="preserve"> </w:t>
      </w:r>
      <w:r>
        <w:t>ser</w:t>
      </w:r>
      <w:r>
        <w:rPr>
          <w:spacing w:val="-15"/>
        </w:rPr>
        <w:t xml:space="preserve"> </w:t>
      </w:r>
      <w:r>
        <w:t>solo</w:t>
      </w:r>
      <w:r>
        <w:rPr>
          <w:spacing w:val="-15"/>
        </w:rPr>
        <w:t xml:space="preserve"> </w:t>
      </w:r>
      <w:r>
        <w:t>una</w:t>
      </w:r>
      <w:r>
        <w:rPr>
          <w:spacing w:val="-15"/>
        </w:rPr>
        <w:t xml:space="preserve"> </w:t>
      </w:r>
      <w:r>
        <w:t>confirmación</w:t>
      </w:r>
      <w:r>
        <w:rPr>
          <w:spacing w:val="-15"/>
        </w:rPr>
        <w:t xml:space="preserve"> </w:t>
      </w:r>
      <w:r>
        <w:t>del</w:t>
      </w:r>
      <w:r>
        <w:rPr>
          <w:spacing w:val="-15"/>
        </w:rPr>
        <w:t xml:space="preserve"> </w:t>
      </w:r>
      <w:r>
        <w:t>horror</w:t>
      </w:r>
      <w:r>
        <w:rPr>
          <w:spacing w:val="-15"/>
        </w:rPr>
        <w:t xml:space="preserve"> </w:t>
      </w:r>
      <w:r>
        <w:t>vivido,</w:t>
      </w:r>
      <w:r>
        <w:rPr>
          <w:spacing w:val="-15"/>
        </w:rPr>
        <w:t xml:space="preserve"> </w:t>
      </w:r>
      <w:r>
        <w:t>sino</w:t>
      </w:r>
      <w:r>
        <w:rPr>
          <w:spacing w:val="-15"/>
        </w:rPr>
        <w:t xml:space="preserve"> </w:t>
      </w:r>
      <w:r>
        <w:t>también</w:t>
      </w:r>
      <w:r>
        <w:rPr>
          <w:spacing w:val="-15"/>
        </w:rPr>
        <w:t xml:space="preserve"> </w:t>
      </w:r>
      <w:r>
        <w:t>un</w:t>
      </w:r>
      <w:r>
        <w:rPr>
          <w:spacing w:val="-15"/>
        </w:rPr>
        <w:t xml:space="preserve"> </w:t>
      </w:r>
      <w:r>
        <w:t>reconocimiento que suponga una sanción social, jurídica y moral sobre lo sucedido.</w:t>
      </w:r>
    </w:p>
    <w:p w:rsidR="003804AC" w:rsidRDefault="00AF18A5" w:rsidP="007762E8">
      <w:r>
        <w:t>A partir de esta premisa, la Comisión avanzó con las víctimas de las diferentes regiones de Colombia y en el exilio en un proceso tanto de escucha y como de reconocimiento de responsabilidad</w:t>
      </w:r>
      <w:r>
        <w:rPr>
          <w:spacing w:val="-6"/>
        </w:rPr>
        <w:t xml:space="preserve"> </w:t>
      </w:r>
      <w:r>
        <w:t>que</w:t>
      </w:r>
      <w:r>
        <w:rPr>
          <w:spacing w:val="-6"/>
        </w:rPr>
        <w:t xml:space="preserve"> </w:t>
      </w:r>
      <w:r>
        <w:t>demostraron</w:t>
      </w:r>
      <w:r>
        <w:rPr>
          <w:spacing w:val="-6"/>
        </w:rPr>
        <w:t xml:space="preserve"> </w:t>
      </w:r>
      <w:r>
        <w:t>su</w:t>
      </w:r>
      <w:r>
        <w:rPr>
          <w:spacing w:val="-6"/>
        </w:rPr>
        <w:t xml:space="preserve"> </w:t>
      </w:r>
      <w:r>
        <w:t>eficacia.</w:t>
      </w:r>
      <w:r>
        <w:rPr>
          <w:spacing w:val="-6"/>
        </w:rPr>
        <w:t xml:space="preserve"> </w:t>
      </w:r>
      <w:r>
        <w:t>El</w:t>
      </w:r>
      <w:r>
        <w:rPr>
          <w:spacing w:val="-6"/>
        </w:rPr>
        <w:t xml:space="preserve"> </w:t>
      </w:r>
      <w:r>
        <w:t>valor</w:t>
      </w:r>
      <w:r>
        <w:rPr>
          <w:spacing w:val="-6"/>
        </w:rPr>
        <w:t xml:space="preserve"> </w:t>
      </w:r>
      <w:r>
        <w:t>y</w:t>
      </w:r>
      <w:r>
        <w:rPr>
          <w:spacing w:val="-6"/>
        </w:rPr>
        <w:t xml:space="preserve"> </w:t>
      </w:r>
      <w:r>
        <w:t>a</w:t>
      </w:r>
      <w:r>
        <w:rPr>
          <w:spacing w:val="-6"/>
        </w:rPr>
        <w:t xml:space="preserve"> </w:t>
      </w:r>
      <w:r>
        <w:t>la</w:t>
      </w:r>
      <w:r>
        <w:rPr>
          <w:spacing w:val="-6"/>
        </w:rPr>
        <w:t xml:space="preserve"> </w:t>
      </w:r>
      <w:r>
        <w:t>vez</w:t>
      </w:r>
      <w:r>
        <w:rPr>
          <w:spacing w:val="-6"/>
        </w:rPr>
        <w:t xml:space="preserve"> </w:t>
      </w:r>
      <w:r>
        <w:t>la</w:t>
      </w:r>
      <w:r>
        <w:rPr>
          <w:spacing w:val="-6"/>
        </w:rPr>
        <w:t xml:space="preserve"> </w:t>
      </w:r>
      <w:r>
        <w:t>dificultad</w:t>
      </w:r>
      <w:r>
        <w:rPr>
          <w:spacing w:val="-6"/>
        </w:rPr>
        <w:t xml:space="preserve"> </w:t>
      </w:r>
      <w:r>
        <w:t>que</w:t>
      </w:r>
      <w:r>
        <w:rPr>
          <w:spacing w:val="-6"/>
        </w:rPr>
        <w:t xml:space="preserve"> </w:t>
      </w:r>
      <w:r>
        <w:t>se</w:t>
      </w:r>
      <w:r>
        <w:rPr>
          <w:spacing w:val="-6"/>
        </w:rPr>
        <w:t xml:space="preserve"> </w:t>
      </w:r>
      <w:r>
        <w:t>sintieron en muchos de esos procesos fue escuchar testimonios desde el Estado, que también ha sido parte</w:t>
      </w:r>
      <w:r>
        <w:rPr>
          <w:spacing w:val="-11"/>
        </w:rPr>
        <w:t xml:space="preserve"> </w:t>
      </w:r>
      <w:r>
        <w:t>de</w:t>
      </w:r>
      <w:r>
        <w:rPr>
          <w:spacing w:val="-9"/>
        </w:rPr>
        <w:t xml:space="preserve"> </w:t>
      </w:r>
      <w:r>
        <w:t>la</w:t>
      </w:r>
      <w:r>
        <w:rPr>
          <w:spacing w:val="-9"/>
        </w:rPr>
        <w:t xml:space="preserve"> </w:t>
      </w:r>
      <w:r>
        <w:t>guerra</w:t>
      </w:r>
      <w:r>
        <w:rPr>
          <w:spacing w:val="-11"/>
        </w:rPr>
        <w:t xml:space="preserve"> </w:t>
      </w:r>
      <w:r>
        <w:t>y</w:t>
      </w:r>
      <w:r>
        <w:rPr>
          <w:spacing w:val="-10"/>
        </w:rPr>
        <w:t xml:space="preserve"> </w:t>
      </w:r>
      <w:r>
        <w:t>del</w:t>
      </w:r>
      <w:r>
        <w:rPr>
          <w:spacing w:val="-10"/>
        </w:rPr>
        <w:t xml:space="preserve"> </w:t>
      </w:r>
      <w:r>
        <w:t>sufrimiento</w:t>
      </w:r>
      <w:r>
        <w:rPr>
          <w:spacing w:val="-10"/>
        </w:rPr>
        <w:t xml:space="preserve"> </w:t>
      </w:r>
      <w:r>
        <w:t>vivido.</w:t>
      </w:r>
      <w:r>
        <w:rPr>
          <w:spacing w:val="-10"/>
        </w:rPr>
        <w:t xml:space="preserve"> </w:t>
      </w:r>
      <w:r>
        <w:t>Al</w:t>
      </w:r>
      <w:r>
        <w:rPr>
          <w:spacing w:val="-10"/>
        </w:rPr>
        <w:t xml:space="preserve"> </w:t>
      </w:r>
      <w:r>
        <w:t>mismo</w:t>
      </w:r>
      <w:r>
        <w:rPr>
          <w:spacing w:val="-10"/>
        </w:rPr>
        <w:t xml:space="preserve"> </w:t>
      </w:r>
      <w:r>
        <w:t>tiempo,</w:t>
      </w:r>
      <w:r>
        <w:rPr>
          <w:spacing w:val="-11"/>
        </w:rPr>
        <w:t xml:space="preserve"> </w:t>
      </w:r>
      <w:r>
        <w:t>el</w:t>
      </w:r>
      <w:r>
        <w:rPr>
          <w:spacing w:val="-9"/>
        </w:rPr>
        <w:t xml:space="preserve"> </w:t>
      </w:r>
      <w:r>
        <w:t>desafío</w:t>
      </w:r>
      <w:r>
        <w:rPr>
          <w:spacing w:val="-10"/>
        </w:rPr>
        <w:t xml:space="preserve"> </w:t>
      </w:r>
      <w:r>
        <w:t>para</w:t>
      </w:r>
      <w:r>
        <w:rPr>
          <w:spacing w:val="-11"/>
        </w:rPr>
        <w:t xml:space="preserve"> </w:t>
      </w:r>
      <w:r>
        <w:t>la</w:t>
      </w:r>
      <w:r>
        <w:rPr>
          <w:spacing w:val="-9"/>
        </w:rPr>
        <w:t xml:space="preserve"> </w:t>
      </w:r>
      <w:r>
        <w:t>Comisión</w:t>
      </w:r>
      <w:r>
        <w:rPr>
          <w:spacing w:val="-10"/>
        </w:rPr>
        <w:t xml:space="preserve"> </w:t>
      </w:r>
      <w:r>
        <w:t>fue construir</w:t>
      </w:r>
      <w:r>
        <w:rPr>
          <w:spacing w:val="-8"/>
        </w:rPr>
        <w:t xml:space="preserve"> </w:t>
      </w:r>
      <w:r>
        <w:t>institucionalidad</w:t>
      </w:r>
      <w:r>
        <w:rPr>
          <w:spacing w:val="-8"/>
        </w:rPr>
        <w:t xml:space="preserve"> </w:t>
      </w:r>
      <w:r>
        <w:t>cercana</w:t>
      </w:r>
      <w:r>
        <w:rPr>
          <w:spacing w:val="-8"/>
        </w:rPr>
        <w:t xml:space="preserve"> </w:t>
      </w:r>
      <w:r>
        <w:t>y</w:t>
      </w:r>
      <w:r>
        <w:rPr>
          <w:spacing w:val="-8"/>
        </w:rPr>
        <w:t xml:space="preserve"> </w:t>
      </w:r>
      <w:r>
        <w:t>respetuosa</w:t>
      </w:r>
      <w:r>
        <w:rPr>
          <w:spacing w:val="-8"/>
        </w:rPr>
        <w:t xml:space="preserve"> </w:t>
      </w:r>
      <w:r>
        <w:t>con</w:t>
      </w:r>
      <w:r>
        <w:rPr>
          <w:spacing w:val="-8"/>
        </w:rPr>
        <w:t xml:space="preserve"> </w:t>
      </w:r>
      <w:r>
        <w:t>las</w:t>
      </w:r>
      <w:r>
        <w:rPr>
          <w:spacing w:val="-8"/>
        </w:rPr>
        <w:t xml:space="preserve"> </w:t>
      </w:r>
      <w:r>
        <w:t>víctimas</w:t>
      </w:r>
      <w:r>
        <w:rPr>
          <w:spacing w:val="-8"/>
        </w:rPr>
        <w:t xml:space="preserve"> </w:t>
      </w:r>
      <w:r>
        <w:t>y</w:t>
      </w:r>
      <w:r>
        <w:rPr>
          <w:spacing w:val="-8"/>
        </w:rPr>
        <w:t xml:space="preserve"> </w:t>
      </w:r>
      <w:r>
        <w:t>acercar</w:t>
      </w:r>
      <w:r>
        <w:rPr>
          <w:spacing w:val="-8"/>
        </w:rPr>
        <w:t xml:space="preserve"> </w:t>
      </w:r>
      <w:r>
        <w:t>a</w:t>
      </w:r>
      <w:r>
        <w:rPr>
          <w:spacing w:val="-9"/>
        </w:rPr>
        <w:t xml:space="preserve"> </w:t>
      </w:r>
      <w:r>
        <w:t>los</w:t>
      </w:r>
      <w:r>
        <w:rPr>
          <w:spacing w:val="-8"/>
        </w:rPr>
        <w:t xml:space="preserve"> </w:t>
      </w:r>
      <w:r>
        <w:t>responsables para</w:t>
      </w:r>
      <w:r>
        <w:rPr>
          <w:spacing w:val="-11"/>
        </w:rPr>
        <w:t xml:space="preserve"> </w:t>
      </w:r>
      <w:r>
        <w:t>agregar</w:t>
      </w:r>
      <w:r>
        <w:rPr>
          <w:spacing w:val="-12"/>
        </w:rPr>
        <w:t xml:space="preserve"> </w:t>
      </w:r>
      <w:r>
        <w:t>su</w:t>
      </w:r>
      <w:r>
        <w:rPr>
          <w:spacing w:val="-11"/>
        </w:rPr>
        <w:t xml:space="preserve"> </w:t>
      </w:r>
      <w:r>
        <w:t>comprensión</w:t>
      </w:r>
      <w:r>
        <w:rPr>
          <w:spacing w:val="-11"/>
        </w:rPr>
        <w:t xml:space="preserve"> </w:t>
      </w:r>
      <w:r>
        <w:t>profunda</w:t>
      </w:r>
      <w:r>
        <w:rPr>
          <w:spacing w:val="-11"/>
        </w:rPr>
        <w:t xml:space="preserve"> </w:t>
      </w:r>
      <w:r>
        <w:t>de</w:t>
      </w:r>
      <w:r>
        <w:rPr>
          <w:spacing w:val="-11"/>
        </w:rPr>
        <w:t xml:space="preserve"> </w:t>
      </w:r>
      <w:r>
        <w:t>la</w:t>
      </w:r>
      <w:r>
        <w:rPr>
          <w:spacing w:val="-11"/>
        </w:rPr>
        <w:t xml:space="preserve"> </w:t>
      </w:r>
      <w:r>
        <w:t>guerra</w:t>
      </w:r>
      <w:r>
        <w:rPr>
          <w:spacing w:val="-11"/>
        </w:rPr>
        <w:t xml:space="preserve"> </w:t>
      </w:r>
      <w:r>
        <w:t>y</w:t>
      </w:r>
      <w:r>
        <w:rPr>
          <w:spacing w:val="-11"/>
        </w:rPr>
        <w:t xml:space="preserve"> </w:t>
      </w:r>
      <w:r>
        <w:t>sus</w:t>
      </w:r>
      <w:r>
        <w:rPr>
          <w:spacing w:val="-11"/>
        </w:rPr>
        <w:t xml:space="preserve"> </w:t>
      </w:r>
      <w:r>
        <w:t>esfuerzos</w:t>
      </w:r>
      <w:r>
        <w:rPr>
          <w:spacing w:val="-11"/>
        </w:rPr>
        <w:t xml:space="preserve"> </w:t>
      </w:r>
      <w:r>
        <w:t>por</w:t>
      </w:r>
      <w:r>
        <w:rPr>
          <w:spacing w:val="-10"/>
        </w:rPr>
        <w:t xml:space="preserve"> </w:t>
      </w:r>
      <w:r>
        <w:t>salir</w:t>
      </w:r>
      <w:r>
        <w:rPr>
          <w:spacing w:val="-10"/>
        </w:rPr>
        <w:t xml:space="preserve"> </w:t>
      </w:r>
      <w:r>
        <w:t>de</w:t>
      </w:r>
      <w:r>
        <w:rPr>
          <w:spacing w:val="-11"/>
        </w:rPr>
        <w:t xml:space="preserve"> </w:t>
      </w:r>
      <w:r>
        <w:t>ella.</w:t>
      </w:r>
      <w:r>
        <w:rPr>
          <w:spacing w:val="-11"/>
        </w:rPr>
        <w:t xml:space="preserve"> </w:t>
      </w:r>
      <w:r>
        <w:t>El</w:t>
      </w:r>
      <w:r>
        <w:rPr>
          <w:spacing w:val="-10"/>
        </w:rPr>
        <w:t xml:space="preserve"> </w:t>
      </w:r>
      <w:r>
        <w:t>diseño del sistema de verdad, justicia y reparación, ahora Sistema Integral de Paz, del Acuerdo de Paz, ayudó también a que los procesos de reconocimiento fueran posibles.</w:t>
      </w:r>
    </w:p>
    <w:p w:rsidR="003804AC" w:rsidRDefault="00AF18A5" w:rsidP="007762E8">
      <w:r>
        <w:t xml:space="preserve">En la mayor parte de los países, los responsables de graves violaciones de derechos humanos o infracciones al derecho internacional humanitario (DIH) tratan de mantenerse lejos de confrontar </w:t>
      </w:r>
      <w:r>
        <w:lastRenderedPageBreak/>
        <w:t>responsabilidades. Se amparan en la impunidad o eluden la justicia. No se</w:t>
      </w:r>
      <w:r>
        <w:rPr>
          <w:spacing w:val="-1"/>
        </w:rPr>
        <w:t xml:space="preserve"> </w:t>
      </w:r>
      <w:r>
        <w:t>ponen</w:t>
      </w:r>
      <w:r>
        <w:rPr>
          <w:spacing w:val="-1"/>
        </w:rPr>
        <w:t xml:space="preserve"> </w:t>
      </w:r>
      <w:r>
        <w:t>frente</w:t>
      </w:r>
      <w:r>
        <w:rPr>
          <w:spacing w:val="-1"/>
        </w:rPr>
        <w:t xml:space="preserve"> </w:t>
      </w:r>
      <w:r>
        <w:t>a</w:t>
      </w:r>
      <w:r>
        <w:rPr>
          <w:spacing w:val="-1"/>
        </w:rPr>
        <w:t xml:space="preserve"> </w:t>
      </w:r>
      <w:r>
        <w:t>las</w:t>
      </w:r>
      <w:r>
        <w:rPr>
          <w:spacing w:val="-1"/>
        </w:rPr>
        <w:t xml:space="preserve"> </w:t>
      </w:r>
      <w:r>
        <w:t>víctimas</w:t>
      </w:r>
      <w:r>
        <w:rPr>
          <w:spacing w:val="-1"/>
        </w:rPr>
        <w:t xml:space="preserve"> </w:t>
      </w:r>
      <w:r>
        <w:t>para</w:t>
      </w:r>
      <w:r>
        <w:rPr>
          <w:spacing w:val="-1"/>
        </w:rPr>
        <w:t xml:space="preserve"> </w:t>
      </w:r>
      <w:r>
        <w:t>dar</w:t>
      </w:r>
      <w:r>
        <w:rPr>
          <w:spacing w:val="-1"/>
        </w:rPr>
        <w:t xml:space="preserve"> </w:t>
      </w:r>
      <w:r>
        <w:t>cuenta</w:t>
      </w:r>
      <w:r>
        <w:rPr>
          <w:spacing w:val="-1"/>
        </w:rPr>
        <w:t xml:space="preserve"> </w:t>
      </w:r>
      <w:r>
        <w:t>de</w:t>
      </w:r>
      <w:r>
        <w:rPr>
          <w:spacing w:val="-1"/>
        </w:rPr>
        <w:t xml:space="preserve"> </w:t>
      </w:r>
      <w:r>
        <w:t>lo</w:t>
      </w:r>
      <w:r>
        <w:rPr>
          <w:spacing w:val="-1"/>
        </w:rPr>
        <w:t xml:space="preserve"> </w:t>
      </w:r>
      <w:r>
        <w:t>sucedido.</w:t>
      </w:r>
      <w:r>
        <w:rPr>
          <w:spacing w:val="-1"/>
        </w:rPr>
        <w:t xml:space="preserve"> </w:t>
      </w:r>
      <w:r>
        <w:t>En</w:t>
      </w:r>
      <w:r>
        <w:rPr>
          <w:spacing w:val="-1"/>
        </w:rPr>
        <w:t xml:space="preserve"> </w:t>
      </w:r>
      <w:r>
        <w:t>tal</w:t>
      </w:r>
      <w:r>
        <w:rPr>
          <w:spacing w:val="-1"/>
        </w:rPr>
        <w:t xml:space="preserve"> </w:t>
      </w:r>
      <w:r>
        <w:t>sentido,</w:t>
      </w:r>
      <w:r>
        <w:rPr>
          <w:spacing w:val="-1"/>
        </w:rPr>
        <w:t xml:space="preserve"> </w:t>
      </w:r>
      <w:r>
        <w:t>es</w:t>
      </w:r>
      <w:r>
        <w:rPr>
          <w:spacing w:val="-1"/>
        </w:rPr>
        <w:t xml:space="preserve"> </w:t>
      </w:r>
      <w:r>
        <w:t>significativa la contribución de quienes lo hicieron para Colombia, otros países y el mundo. La Jurisdicción Especial para la Paz (JEP) creó un marco jurídico para que los responsables puedan reconocer hechos y contribuir a su esclarecimiento a cambio de beneficios y penas restaurativas. Por parte de la Comisión, los escenarios de reconocimiento y de diálogo no tienen</w:t>
      </w:r>
      <w:r>
        <w:rPr>
          <w:spacing w:val="-11"/>
        </w:rPr>
        <w:t xml:space="preserve"> </w:t>
      </w:r>
      <w:r>
        <w:t>contrapartida</w:t>
      </w:r>
      <w:r>
        <w:rPr>
          <w:spacing w:val="-10"/>
        </w:rPr>
        <w:t xml:space="preserve"> </w:t>
      </w:r>
      <w:r>
        <w:t>judicial,</w:t>
      </w:r>
      <w:r>
        <w:rPr>
          <w:spacing w:val="-11"/>
        </w:rPr>
        <w:t xml:space="preserve"> </w:t>
      </w:r>
      <w:r>
        <w:t>pero</w:t>
      </w:r>
      <w:r>
        <w:rPr>
          <w:spacing w:val="-11"/>
        </w:rPr>
        <w:t xml:space="preserve"> </w:t>
      </w:r>
      <w:r>
        <w:t>contribuyen</w:t>
      </w:r>
      <w:r>
        <w:rPr>
          <w:spacing w:val="-9"/>
        </w:rPr>
        <w:t xml:space="preserve"> </w:t>
      </w:r>
      <w:r>
        <w:t>a</w:t>
      </w:r>
      <w:r>
        <w:rPr>
          <w:spacing w:val="-10"/>
        </w:rPr>
        <w:t xml:space="preserve"> </w:t>
      </w:r>
      <w:r>
        <w:t>la</w:t>
      </w:r>
      <w:r>
        <w:rPr>
          <w:spacing w:val="-9"/>
        </w:rPr>
        <w:t xml:space="preserve"> </w:t>
      </w:r>
      <w:r>
        <w:t>reconstrucción</w:t>
      </w:r>
      <w:r>
        <w:rPr>
          <w:spacing w:val="-9"/>
        </w:rPr>
        <w:t xml:space="preserve"> </w:t>
      </w:r>
      <w:r>
        <w:t>de</w:t>
      </w:r>
      <w:r>
        <w:rPr>
          <w:spacing w:val="-10"/>
        </w:rPr>
        <w:t xml:space="preserve"> </w:t>
      </w:r>
      <w:r>
        <w:t>la</w:t>
      </w:r>
      <w:r>
        <w:rPr>
          <w:spacing w:val="-10"/>
        </w:rPr>
        <w:t xml:space="preserve"> </w:t>
      </w:r>
      <w:r>
        <w:t>convivencia.</w:t>
      </w:r>
      <w:r>
        <w:rPr>
          <w:spacing w:val="-9"/>
        </w:rPr>
        <w:t xml:space="preserve"> </w:t>
      </w:r>
      <w:r>
        <w:t>A</w:t>
      </w:r>
      <w:r>
        <w:rPr>
          <w:spacing w:val="-11"/>
        </w:rPr>
        <w:t xml:space="preserve"> </w:t>
      </w:r>
      <w:r>
        <w:t>pesar de</w:t>
      </w:r>
      <w:r>
        <w:rPr>
          <w:spacing w:val="-2"/>
        </w:rPr>
        <w:t xml:space="preserve"> </w:t>
      </w:r>
      <w:r>
        <w:t>los</w:t>
      </w:r>
      <w:r>
        <w:rPr>
          <w:spacing w:val="-2"/>
        </w:rPr>
        <w:t xml:space="preserve"> </w:t>
      </w:r>
      <w:r>
        <w:t>obstáculos</w:t>
      </w:r>
      <w:r>
        <w:rPr>
          <w:spacing w:val="-2"/>
        </w:rPr>
        <w:t xml:space="preserve"> </w:t>
      </w:r>
      <w:r>
        <w:t>para</w:t>
      </w:r>
      <w:r>
        <w:rPr>
          <w:spacing w:val="-2"/>
        </w:rPr>
        <w:t xml:space="preserve"> </w:t>
      </w:r>
      <w:r>
        <w:t>hacer</w:t>
      </w:r>
      <w:r>
        <w:rPr>
          <w:spacing w:val="-2"/>
        </w:rPr>
        <w:t xml:space="preserve"> </w:t>
      </w:r>
      <w:r>
        <w:t>frente</w:t>
      </w:r>
      <w:r>
        <w:rPr>
          <w:spacing w:val="-2"/>
        </w:rPr>
        <w:t xml:space="preserve"> </w:t>
      </w:r>
      <w:r>
        <w:t>al</w:t>
      </w:r>
      <w:r>
        <w:rPr>
          <w:spacing w:val="-2"/>
        </w:rPr>
        <w:t xml:space="preserve"> </w:t>
      </w:r>
      <w:r>
        <w:t>dolor</w:t>
      </w:r>
      <w:r>
        <w:rPr>
          <w:spacing w:val="-2"/>
        </w:rPr>
        <w:t xml:space="preserve"> </w:t>
      </w:r>
      <w:r>
        <w:t>y</w:t>
      </w:r>
      <w:r>
        <w:rPr>
          <w:spacing w:val="-2"/>
        </w:rPr>
        <w:t xml:space="preserve"> </w:t>
      </w:r>
      <w:r>
        <w:t>el</w:t>
      </w:r>
      <w:r>
        <w:rPr>
          <w:spacing w:val="-2"/>
        </w:rPr>
        <w:t xml:space="preserve"> </w:t>
      </w:r>
      <w:r>
        <w:t>sufrimiento</w:t>
      </w:r>
      <w:r>
        <w:rPr>
          <w:spacing w:val="-2"/>
        </w:rPr>
        <w:t xml:space="preserve"> </w:t>
      </w:r>
      <w:r>
        <w:t>en</w:t>
      </w:r>
      <w:r>
        <w:rPr>
          <w:spacing w:val="-2"/>
        </w:rPr>
        <w:t xml:space="preserve"> </w:t>
      </w:r>
      <w:r>
        <w:t>un</w:t>
      </w:r>
      <w:r>
        <w:rPr>
          <w:spacing w:val="-2"/>
        </w:rPr>
        <w:t xml:space="preserve"> </w:t>
      </w:r>
      <w:r>
        <w:t>escenario</w:t>
      </w:r>
      <w:r>
        <w:rPr>
          <w:spacing w:val="-2"/>
        </w:rPr>
        <w:t xml:space="preserve"> </w:t>
      </w:r>
      <w:r>
        <w:t>político</w:t>
      </w:r>
      <w:r>
        <w:rPr>
          <w:spacing w:val="-2"/>
        </w:rPr>
        <w:t xml:space="preserve"> </w:t>
      </w:r>
      <w:r>
        <w:t>incierto y a veces negativo, la Comisión pudo propiciar muchos de esos espacios gracias a la generosidad de las víctimas y al compromiso de numerosos responsables con la verdad.</w:t>
      </w:r>
    </w:p>
    <w:p w:rsidR="003804AC" w:rsidRDefault="00AF18A5" w:rsidP="007762E8">
      <w:r>
        <w:t>Lo que queda de este camino iniciado es un largo proceso que requiere continuidad a través de instituciones como la JEP y la Unidad de Búsqueda de Personas dadas por Desaparecidas (UBPD). También con el conjunto de la institucionalidad que pueda crearse para las necesarias transformaciones que Colombia requiere. Lo primordial es dejar atrás la violencia y la exclusión social, y activar los procesos sociales de participación, con los que Colombia</w:t>
      </w:r>
      <w:r>
        <w:rPr>
          <w:spacing w:val="-12"/>
        </w:rPr>
        <w:t xml:space="preserve"> </w:t>
      </w:r>
      <w:r>
        <w:t>tiene</w:t>
      </w:r>
      <w:r>
        <w:rPr>
          <w:spacing w:val="-10"/>
        </w:rPr>
        <w:t xml:space="preserve"> </w:t>
      </w:r>
      <w:r>
        <w:t>una</w:t>
      </w:r>
      <w:r>
        <w:rPr>
          <w:spacing w:val="-10"/>
        </w:rPr>
        <w:t xml:space="preserve"> </w:t>
      </w:r>
      <w:r>
        <w:t>experiencia</w:t>
      </w:r>
      <w:r>
        <w:rPr>
          <w:spacing w:val="-12"/>
        </w:rPr>
        <w:t xml:space="preserve"> </w:t>
      </w:r>
      <w:r>
        <w:t>muy</w:t>
      </w:r>
      <w:r>
        <w:rPr>
          <w:spacing w:val="-11"/>
        </w:rPr>
        <w:t xml:space="preserve"> </w:t>
      </w:r>
      <w:r>
        <w:t>significativa,</w:t>
      </w:r>
      <w:r>
        <w:rPr>
          <w:spacing w:val="-11"/>
        </w:rPr>
        <w:t xml:space="preserve"> </w:t>
      </w:r>
      <w:r>
        <w:t>todo</w:t>
      </w:r>
      <w:r>
        <w:rPr>
          <w:spacing w:val="-11"/>
        </w:rPr>
        <w:t xml:space="preserve"> </w:t>
      </w:r>
      <w:r>
        <w:t>lo</w:t>
      </w:r>
      <w:r>
        <w:rPr>
          <w:spacing w:val="-11"/>
        </w:rPr>
        <w:t xml:space="preserve"> </w:t>
      </w:r>
      <w:r>
        <w:t>cual</w:t>
      </w:r>
      <w:r>
        <w:rPr>
          <w:spacing w:val="-10"/>
        </w:rPr>
        <w:t xml:space="preserve"> </w:t>
      </w:r>
      <w:r>
        <w:t>constituye</w:t>
      </w:r>
      <w:r>
        <w:rPr>
          <w:spacing w:val="-10"/>
        </w:rPr>
        <w:t xml:space="preserve"> </w:t>
      </w:r>
      <w:r>
        <w:t>el</w:t>
      </w:r>
      <w:r>
        <w:rPr>
          <w:spacing w:val="-10"/>
        </w:rPr>
        <w:t xml:space="preserve"> </w:t>
      </w:r>
      <w:r>
        <w:t>punto</w:t>
      </w:r>
      <w:r>
        <w:rPr>
          <w:spacing w:val="-11"/>
        </w:rPr>
        <w:t xml:space="preserve"> </w:t>
      </w:r>
      <w:r>
        <w:t>de</w:t>
      </w:r>
      <w:r>
        <w:rPr>
          <w:spacing w:val="-12"/>
        </w:rPr>
        <w:t xml:space="preserve"> </w:t>
      </w:r>
      <w:r>
        <w:t>partida de diálogo nacional que amerita tenerse en cuenta.</w:t>
      </w:r>
    </w:p>
    <w:p w:rsidR="0011361F" w:rsidRDefault="00AF18A5" w:rsidP="004A6EF4">
      <w:pPr>
        <w:pStyle w:val="Ttulo3"/>
        <w:numPr>
          <w:ilvl w:val="1"/>
          <w:numId w:val="16"/>
        </w:numPr>
      </w:pPr>
      <w:bookmarkStart w:id="1431" w:name="11.2._Complejidad_y_alcance_de_los_proce"/>
      <w:bookmarkStart w:id="1432" w:name="_Toc112399669"/>
      <w:bookmarkEnd w:id="1431"/>
      <w:r w:rsidRPr="007762E8">
        <w:t>Complejidad</w:t>
      </w:r>
      <w:r>
        <w:rPr>
          <w:spacing w:val="-3"/>
        </w:rPr>
        <w:t xml:space="preserve"> </w:t>
      </w:r>
      <w:r>
        <w:t>y</w:t>
      </w:r>
      <w:r>
        <w:rPr>
          <w:spacing w:val="-1"/>
        </w:rPr>
        <w:t xml:space="preserve"> </w:t>
      </w:r>
      <w:r>
        <w:t>alcance</w:t>
      </w:r>
      <w:r>
        <w:rPr>
          <w:spacing w:val="-2"/>
        </w:rPr>
        <w:t xml:space="preserve"> </w:t>
      </w:r>
      <w:r>
        <w:t>de</w:t>
      </w:r>
      <w:r>
        <w:rPr>
          <w:spacing w:val="-1"/>
        </w:rPr>
        <w:t xml:space="preserve"> </w:t>
      </w:r>
      <w:r>
        <w:t>los</w:t>
      </w:r>
      <w:r>
        <w:rPr>
          <w:spacing w:val="-3"/>
        </w:rPr>
        <w:t xml:space="preserve"> </w:t>
      </w:r>
      <w:r>
        <w:t>procesos</w:t>
      </w:r>
      <w:r>
        <w:rPr>
          <w:spacing w:val="-1"/>
        </w:rPr>
        <w:t xml:space="preserve"> </w:t>
      </w:r>
      <w:r>
        <w:t>de</w:t>
      </w:r>
      <w:r>
        <w:rPr>
          <w:spacing w:val="-1"/>
        </w:rPr>
        <w:t xml:space="preserve"> </w:t>
      </w:r>
      <w:r>
        <w:rPr>
          <w:spacing w:val="-2"/>
        </w:rPr>
        <w:t>reconocimiento</w:t>
      </w:r>
      <w:bookmarkEnd w:id="1432"/>
    </w:p>
    <w:p w:rsidR="003804AC" w:rsidRDefault="00AF18A5" w:rsidP="004A6EF4">
      <w:pPr>
        <w:pStyle w:val="Ttulo4"/>
        <w:numPr>
          <w:ilvl w:val="2"/>
          <w:numId w:val="16"/>
        </w:numPr>
      </w:pPr>
      <w:bookmarkStart w:id="1433" w:name="11.2.1._Para_conocer,_escuchar_y_compren"/>
      <w:bookmarkEnd w:id="1433"/>
      <w:r>
        <w:t xml:space="preserve">Para conocer, </w:t>
      </w:r>
      <w:r w:rsidRPr="007762E8">
        <w:t>escuchar</w:t>
      </w:r>
      <w:r>
        <w:t xml:space="preserve"> y comprender los impactos del conflicto armado es necesario activar una conversación nacional</w:t>
      </w:r>
    </w:p>
    <w:p w:rsidR="003804AC" w:rsidRDefault="00AF18A5" w:rsidP="00686BD1">
      <w:r>
        <w:t xml:space="preserve">Los reconocimientos de responsabilidad suponen oportunidades para </w:t>
      </w:r>
      <w:r>
        <w:lastRenderedPageBreak/>
        <w:t>develar verdades que muchas veces permanecen ocultas, espacios para preguntar y escuchar, para tratar de entender por qué y, a la vez, aportar experiencias desde diversos lados del conflicto armado y de sus protagonistas. No es un diálogo fácil. El solo hecho de permanecer en un mismo lugar</w:t>
      </w:r>
      <w:r>
        <w:rPr>
          <w:spacing w:val="-1"/>
        </w:rPr>
        <w:t xml:space="preserve"> </w:t>
      </w:r>
      <w:r>
        <w:t>víctimas</w:t>
      </w:r>
      <w:r>
        <w:rPr>
          <w:spacing w:val="-1"/>
        </w:rPr>
        <w:t xml:space="preserve"> </w:t>
      </w:r>
      <w:r>
        <w:t>y</w:t>
      </w:r>
      <w:r>
        <w:rPr>
          <w:spacing w:val="-1"/>
        </w:rPr>
        <w:t xml:space="preserve"> </w:t>
      </w:r>
      <w:r>
        <w:t>responsables,</w:t>
      </w:r>
      <w:r>
        <w:rPr>
          <w:spacing w:val="-1"/>
        </w:rPr>
        <w:t xml:space="preserve"> </w:t>
      </w:r>
      <w:r>
        <w:t>o</w:t>
      </w:r>
      <w:r>
        <w:rPr>
          <w:spacing w:val="-1"/>
        </w:rPr>
        <w:t xml:space="preserve"> </w:t>
      </w:r>
      <w:r>
        <w:t>de</w:t>
      </w:r>
      <w:r>
        <w:rPr>
          <w:spacing w:val="-1"/>
        </w:rPr>
        <w:t xml:space="preserve"> </w:t>
      </w:r>
      <w:r>
        <w:t>que</w:t>
      </w:r>
      <w:r>
        <w:rPr>
          <w:spacing w:val="-1"/>
        </w:rPr>
        <w:t xml:space="preserve"> </w:t>
      </w:r>
      <w:r>
        <w:t>puedan</w:t>
      </w:r>
      <w:r>
        <w:rPr>
          <w:spacing w:val="-1"/>
        </w:rPr>
        <w:t xml:space="preserve"> </w:t>
      </w:r>
      <w:r>
        <w:t>compartir</w:t>
      </w:r>
      <w:r>
        <w:rPr>
          <w:spacing w:val="-1"/>
        </w:rPr>
        <w:t xml:space="preserve"> </w:t>
      </w:r>
      <w:r>
        <w:t>un</w:t>
      </w:r>
      <w:r>
        <w:rPr>
          <w:spacing w:val="-2"/>
        </w:rPr>
        <w:t xml:space="preserve"> </w:t>
      </w:r>
      <w:r>
        <w:t>escenario</w:t>
      </w:r>
      <w:r>
        <w:rPr>
          <w:spacing w:val="-1"/>
        </w:rPr>
        <w:t xml:space="preserve"> </w:t>
      </w:r>
      <w:r>
        <w:t>social</w:t>
      </w:r>
      <w:r>
        <w:rPr>
          <w:spacing w:val="-1"/>
        </w:rPr>
        <w:t xml:space="preserve"> </w:t>
      </w:r>
      <w:r>
        <w:t>para</w:t>
      </w:r>
      <w:r>
        <w:rPr>
          <w:spacing w:val="-1"/>
        </w:rPr>
        <w:t xml:space="preserve"> </w:t>
      </w:r>
      <w:r>
        <w:t>hablar</w:t>
      </w:r>
      <w:r>
        <w:rPr>
          <w:spacing w:val="-1"/>
        </w:rPr>
        <w:t xml:space="preserve"> </w:t>
      </w:r>
      <w:r>
        <w:t>de lo</w:t>
      </w:r>
      <w:r>
        <w:rPr>
          <w:spacing w:val="54"/>
          <w:w w:val="150"/>
        </w:rPr>
        <w:t xml:space="preserve"> </w:t>
      </w:r>
      <w:r>
        <w:t>sucedido,</w:t>
      </w:r>
      <w:r>
        <w:rPr>
          <w:spacing w:val="56"/>
          <w:w w:val="150"/>
        </w:rPr>
        <w:t xml:space="preserve"> </w:t>
      </w:r>
      <w:r>
        <w:t>representan</w:t>
      </w:r>
      <w:r>
        <w:rPr>
          <w:spacing w:val="56"/>
          <w:w w:val="150"/>
        </w:rPr>
        <w:t xml:space="preserve"> </w:t>
      </w:r>
      <w:r>
        <w:t>una</w:t>
      </w:r>
      <w:r>
        <w:rPr>
          <w:spacing w:val="56"/>
          <w:w w:val="150"/>
        </w:rPr>
        <w:t xml:space="preserve"> </w:t>
      </w:r>
      <w:r>
        <w:t>experiencia</w:t>
      </w:r>
      <w:r>
        <w:rPr>
          <w:spacing w:val="56"/>
          <w:w w:val="150"/>
        </w:rPr>
        <w:t xml:space="preserve"> </w:t>
      </w:r>
      <w:r>
        <w:t>única</w:t>
      </w:r>
      <w:r>
        <w:rPr>
          <w:spacing w:val="56"/>
          <w:w w:val="150"/>
        </w:rPr>
        <w:t xml:space="preserve"> </w:t>
      </w:r>
      <w:r>
        <w:t>e</w:t>
      </w:r>
      <w:r>
        <w:rPr>
          <w:spacing w:val="56"/>
          <w:w w:val="150"/>
        </w:rPr>
        <w:t xml:space="preserve"> </w:t>
      </w:r>
      <w:r>
        <w:t>insólita.</w:t>
      </w:r>
      <w:r>
        <w:rPr>
          <w:spacing w:val="56"/>
          <w:w w:val="150"/>
        </w:rPr>
        <w:t xml:space="preserve"> </w:t>
      </w:r>
      <w:r>
        <w:t>También</w:t>
      </w:r>
      <w:r>
        <w:rPr>
          <w:spacing w:val="56"/>
          <w:w w:val="150"/>
        </w:rPr>
        <w:t xml:space="preserve"> </w:t>
      </w:r>
      <w:r>
        <w:t>una</w:t>
      </w:r>
      <w:r>
        <w:rPr>
          <w:spacing w:val="56"/>
          <w:w w:val="150"/>
        </w:rPr>
        <w:t xml:space="preserve"> </w:t>
      </w:r>
      <w:r>
        <w:rPr>
          <w:spacing w:val="-2"/>
        </w:rPr>
        <w:t>experiencia</w:t>
      </w:r>
      <w:r w:rsidR="00686BD1">
        <w:t xml:space="preserve"> </w:t>
      </w:r>
      <w:r>
        <w:t>estresante.</w:t>
      </w:r>
      <w:r>
        <w:rPr>
          <w:spacing w:val="-9"/>
        </w:rPr>
        <w:t xml:space="preserve"> </w:t>
      </w:r>
      <w:r>
        <w:t>Para</w:t>
      </w:r>
      <w:r>
        <w:rPr>
          <w:spacing w:val="-9"/>
        </w:rPr>
        <w:t xml:space="preserve"> </w:t>
      </w:r>
      <w:r>
        <w:t>las</w:t>
      </w:r>
      <w:r>
        <w:rPr>
          <w:spacing w:val="-9"/>
        </w:rPr>
        <w:t xml:space="preserve"> </w:t>
      </w:r>
      <w:r>
        <w:t>víctimas,</w:t>
      </w:r>
      <w:r>
        <w:rPr>
          <w:spacing w:val="-9"/>
        </w:rPr>
        <w:t xml:space="preserve"> </w:t>
      </w:r>
      <w:r>
        <w:t>por</w:t>
      </w:r>
      <w:r>
        <w:rPr>
          <w:spacing w:val="-10"/>
        </w:rPr>
        <w:t xml:space="preserve"> </w:t>
      </w:r>
      <w:r>
        <w:t>estar</w:t>
      </w:r>
      <w:r>
        <w:rPr>
          <w:spacing w:val="-9"/>
        </w:rPr>
        <w:t xml:space="preserve"> </w:t>
      </w:r>
      <w:r>
        <w:t>cerca</w:t>
      </w:r>
      <w:r>
        <w:rPr>
          <w:spacing w:val="-9"/>
        </w:rPr>
        <w:t xml:space="preserve"> </w:t>
      </w:r>
      <w:r>
        <w:t>de</w:t>
      </w:r>
      <w:r>
        <w:rPr>
          <w:spacing w:val="-9"/>
        </w:rPr>
        <w:t xml:space="preserve"> </w:t>
      </w:r>
      <w:r>
        <w:t>los</w:t>
      </w:r>
      <w:r>
        <w:rPr>
          <w:spacing w:val="-9"/>
        </w:rPr>
        <w:t xml:space="preserve"> </w:t>
      </w:r>
      <w:r>
        <w:t>responsables</w:t>
      </w:r>
      <w:r>
        <w:rPr>
          <w:spacing w:val="-9"/>
        </w:rPr>
        <w:t xml:space="preserve"> </w:t>
      </w:r>
      <w:r>
        <w:t>de</w:t>
      </w:r>
      <w:r>
        <w:rPr>
          <w:spacing w:val="-10"/>
        </w:rPr>
        <w:t xml:space="preserve"> </w:t>
      </w:r>
      <w:r>
        <w:t>los</w:t>
      </w:r>
      <w:r>
        <w:rPr>
          <w:spacing w:val="-9"/>
        </w:rPr>
        <w:t xml:space="preserve"> </w:t>
      </w:r>
      <w:r>
        <w:t>hechos,</w:t>
      </w:r>
      <w:r>
        <w:rPr>
          <w:spacing w:val="-10"/>
        </w:rPr>
        <w:t xml:space="preserve"> </w:t>
      </w:r>
      <w:r>
        <w:t>que</w:t>
      </w:r>
      <w:r>
        <w:rPr>
          <w:spacing w:val="-9"/>
        </w:rPr>
        <w:t xml:space="preserve"> </w:t>
      </w:r>
      <w:r>
        <w:t>tal</w:t>
      </w:r>
      <w:r>
        <w:rPr>
          <w:spacing w:val="-10"/>
        </w:rPr>
        <w:t xml:space="preserve"> </w:t>
      </w:r>
      <w:r>
        <w:t>vez</w:t>
      </w:r>
      <w:r>
        <w:rPr>
          <w:spacing w:val="-9"/>
        </w:rPr>
        <w:t xml:space="preserve"> </w:t>
      </w:r>
      <w:r>
        <w:t>no fueron directamente sufridos por ellas, pero esas personas sí formaron parte de los grupos armados</w:t>
      </w:r>
      <w:r>
        <w:rPr>
          <w:spacing w:val="-4"/>
        </w:rPr>
        <w:t xml:space="preserve"> </w:t>
      </w:r>
      <w:r>
        <w:t>o</w:t>
      </w:r>
      <w:r>
        <w:rPr>
          <w:spacing w:val="-5"/>
        </w:rPr>
        <w:t xml:space="preserve"> </w:t>
      </w:r>
      <w:r>
        <w:t>instituciones</w:t>
      </w:r>
      <w:r>
        <w:rPr>
          <w:spacing w:val="-5"/>
        </w:rPr>
        <w:t xml:space="preserve"> </w:t>
      </w:r>
      <w:r>
        <w:t>que</w:t>
      </w:r>
      <w:r>
        <w:rPr>
          <w:spacing w:val="-3"/>
        </w:rPr>
        <w:t xml:space="preserve"> </w:t>
      </w:r>
      <w:r>
        <w:t>les</w:t>
      </w:r>
      <w:r>
        <w:rPr>
          <w:spacing w:val="-4"/>
        </w:rPr>
        <w:t xml:space="preserve"> </w:t>
      </w:r>
      <w:r>
        <w:t>agredieron.</w:t>
      </w:r>
      <w:r>
        <w:rPr>
          <w:spacing w:val="-3"/>
        </w:rPr>
        <w:t xml:space="preserve"> </w:t>
      </w:r>
      <w:r>
        <w:t>Y</w:t>
      </w:r>
      <w:r>
        <w:rPr>
          <w:spacing w:val="-4"/>
        </w:rPr>
        <w:t xml:space="preserve"> </w:t>
      </w:r>
      <w:r>
        <w:t>para</w:t>
      </w:r>
      <w:r>
        <w:rPr>
          <w:spacing w:val="-3"/>
        </w:rPr>
        <w:t xml:space="preserve"> </w:t>
      </w:r>
      <w:r>
        <w:t>los</w:t>
      </w:r>
      <w:r>
        <w:rPr>
          <w:spacing w:val="-3"/>
        </w:rPr>
        <w:t xml:space="preserve"> </w:t>
      </w:r>
      <w:r>
        <w:t>responsables,</w:t>
      </w:r>
      <w:r>
        <w:rPr>
          <w:spacing w:val="-5"/>
        </w:rPr>
        <w:t xml:space="preserve"> </w:t>
      </w:r>
      <w:r>
        <w:t>porque</w:t>
      </w:r>
      <w:r>
        <w:rPr>
          <w:spacing w:val="-3"/>
        </w:rPr>
        <w:t xml:space="preserve"> </w:t>
      </w:r>
      <w:r>
        <w:t>situarse</w:t>
      </w:r>
      <w:r>
        <w:rPr>
          <w:spacing w:val="-3"/>
        </w:rPr>
        <w:t xml:space="preserve"> </w:t>
      </w:r>
      <w:r>
        <w:t>frente</w:t>
      </w:r>
      <w:r>
        <w:rPr>
          <w:spacing w:val="-4"/>
        </w:rPr>
        <w:t xml:space="preserve"> </w:t>
      </w:r>
      <w:r>
        <w:t>a las víctimas es, sin duda, su mayor miedo, por no saber qué decir o hacer, a la vez que el deseo de contribuir a reconocer los daños causados plantea una especie de desnudez del aparataje</w:t>
      </w:r>
      <w:r>
        <w:rPr>
          <w:spacing w:val="-9"/>
        </w:rPr>
        <w:t xml:space="preserve"> </w:t>
      </w:r>
      <w:r>
        <w:t>de</w:t>
      </w:r>
      <w:r>
        <w:rPr>
          <w:spacing w:val="-10"/>
        </w:rPr>
        <w:t xml:space="preserve"> </w:t>
      </w:r>
      <w:r>
        <w:t>la</w:t>
      </w:r>
      <w:r>
        <w:rPr>
          <w:spacing w:val="-9"/>
        </w:rPr>
        <w:t xml:space="preserve"> </w:t>
      </w:r>
      <w:r>
        <w:t>guerra</w:t>
      </w:r>
      <w:r>
        <w:rPr>
          <w:spacing w:val="-9"/>
        </w:rPr>
        <w:t xml:space="preserve"> </w:t>
      </w:r>
      <w:r>
        <w:t>para</w:t>
      </w:r>
      <w:r>
        <w:rPr>
          <w:spacing w:val="-9"/>
        </w:rPr>
        <w:t xml:space="preserve"> </w:t>
      </w:r>
      <w:r>
        <w:t>enfrentar</w:t>
      </w:r>
      <w:r>
        <w:rPr>
          <w:spacing w:val="-9"/>
        </w:rPr>
        <w:t xml:space="preserve"> </w:t>
      </w:r>
      <w:r>
        <w:t>los</w:t>
      </w:r>
      <w:r>
        <w:rPr>
          <w:spacing w:val="-9"/>
        </w:rPr>
        <w:t xml:space="preserve"> </w:t>
      </w:r>
      <w:r>
        <w:t>efectos</w:t>
      </w:r>
      <w:r>
        <w:rPr>
          <w:spacing w:val="-9"/>
        </w:rPr>
        <w:t xml:space="preserve"> </w:t>
      </w:r>
      <w:r>
        <w:t>del</w:t>
      </w:r>
      <w:r>
        <w:rPr>
          <w:spacing w:val="-9"/>
        </w:rPr>
        <w:t xml:space="preserve"> </w:t>
      </w:r>
      <w:r>
        <w:t>sufrimiento</w:t>
      </w:r>
      <w:r>
        <w:rPr>
          <w:spacing w:val="-11"/>
        </w:rPr>
        <w:t xml:space="preserve"> </w:t>
      </w:r>
      <w:r>
        <w:t>producido,</w:t>
      </w:r>
      <w:r>
        <w:rPr>
          <w:spacing w:val="-11"/>
        </w:rPr>
        <w:t xml:space="preserve"> </w:t>
      </w:r>
      <w:r>
        <w:t>con</w:t>
      </w:r>
      <w:r>
        <w:rPr>
          <w:spacing w:val="-9"/>
        </w:rPr>
        <w:t xml:space="preserve"> </w:t>
      </w:r>
      <w:r>
        <w:t>evidencias</w:t>
      </w:r>
      <w:r>
        <w:rPr>
          <w:spacing w:val="-9"/>
        </w:rPr>
        <w:t xml:space="preserve"> </w:t>
      </w:r>
      <w:r>
        <w:t>de cómo la obediencia debida, la división de tareas, el entrenamiento, la ideología o los estereotipos del enemigo ayudaron a incentivar la violencia.</w:t>
      </w:r>
    </w:p>
    <w:p w:rsidR="003804AC" w:rsidRDefault="00AF18A5" w:rsidP="00686BD1">
      <w:r>
        <w:t>Los reconocimientos de responsabilidad son espacios para generar confianza y explorar particularidades que para las víctimas tienen sentido y seguramente otro valor para los responsables. Son un escenario de incertidumbre, dilemas éticos, miedos, culpas o vergüenzas, pero también de posibilidades de cambiar el rumbo de la historia. Trabajar con las víctimas y responsables en torno al sufrimiento humano escapa a la búsqueda de resultados frecuente en</w:t>
      </w:r>
      <w:r>
        <w:rPr>
          <w:spacing w:val="-1"/>
        </w:rPr>
        <w:t xml:space="preserve"> </w:t>
      </w:r>
      <w:r>
        <w:t>muchas de las acciones promovidas por las instituciones del</w:t>
      </w:r>
      <w:r>
        <w:rPr>
          <w:spacing w:val="-1"/>
        </w:rPr>
        <w:t xml:space="preserve"> </w:t>
      </w:r>
      <w:r>
        <w:t>Estado. Una institucionalidad que se haga cargo de los reconocimientos de responsabilidad parte de incorporar las múltiples dimensiones que comprometen la dignidad humana en un contexto de</w:t>
      </w:r>
      <w:r>
        <w:rPr>
          <w:spacing w:val="-11"/>
        </w:rPr>
        <w:t xml:space="preserve"> </w:t>
      </w:r>
      <w:r>
        <w:t>guerra:</w:t>
      </w:r>
      <w:r>
        <w:rPr>
          <w:spacing w:val="-12"/>
        </w:rPr>
        <w:t xml:space="preserve"> </w:t>
      </w:r>
      <w:r>
        <w:t>las</w:t>
      </w:r>
      <w:r>
        <w:rPr>
          <w:spacing w:val="-11"/>
        </w:rPr>
        <w:t xml:space="preserve"> </w:t>
      </w:r>
      <w:r>
        <w:lastRenderedPageBreak/>
        <w:t>emociones</w:t>
      </w:r>
      <w:r>
        <w:rPr>
          <w:spacing w:val="-12"/>
        </w:rPr>
        <w:t xml:space="preserve"> </w:t>
      </w:r>
      <w:r>
        <w:t>e</w:t>
      </w:r>
      <w:r>
        <w:rPr>
          <w:spacing w:val="-11"/>
        </w:rPr>
        <w:t xml:space="preserve"> </w:t>
      </w:r>
      <w:r>
        <w:t>identidades,</w:t>
      </w:r>
      <w:r>
        <w:rPr>
          <w:spacing w:val="-11"/>
        </w:rPr>
        <w:t xml:space="preserve"> </w:t>
      </w:r>
      <w:r>
        <w:t>las</w:t>
      </w:r>
      <w:r>
        <w:rPr>
          <w:spacing w:val="-12"/>
        </w:rPr>
        <w:t xml:space="preserve"> </w:t>
      </w:r>
      <w:r>
        <w:t>comprensiones</w:t>
      </w:r>
      <w:r>
        <w:rPr>
          <w:spacing w:val="-11"/>
        </w:rPr>
        <w:t xml:space="preserve"> </w:t>
      </w:r>
      <w:r>
        <w:t>y</w:t>
      </w:r>
      <w:r>
        <w:rPr>
          <w:spacing w:val="-12"/>
        </w:rPr>
        <w:t xml:space="preserve"> </w:t>
      </w:r>
      <w:r>
        <w:t>valoraciones,</w:t>
      </w:r>
      <w:r>
        <w:rPr>
          <w:spacing w:val="-13"/>
        </w:rPr>
        <w:t xml:space="preserve"> </w:t>
      </w:r>
      <w:r>
        <w:t>las</w:t>
      </w:r>
      <w:r>
        <w:rPr>
          <w:spacing w:val="-11"/>
        </w:rPr>
        <w:t xml:space="preserve"> </w:t>
      </w:r>
      <w:r>
        <w:t>conductas</w:t>
      </w:r>
      <w:r>
        <w:rPr>
          <w:spacing w:val="-11"/>
        </w:rPr>
        <w:t xml:space="preserve"> </w:t>
      </w:r>
      <w:r>
        <w:t>y</w:t>
      </w:r>
      <w:r>
        <w:rPr>
          <w:spacing w:val="-11"/>
        </w:rPr>
        <w:t xml:space="preserve"> </w:t>
      </w:r>
      <w:r>
        <w:t xml:space="preserve">las </w:t>
      </w:r>
      <w:r>
        <w:rPr>
          <w:spacing w:val="-2"/>
        </w:rPr>
        <w:t>actitudes.</w:t>
      </w:r>
    </w:p>
    <w:p w:rsidR="003804AC" w:rsidRDefault="00AF18A5" w:rsidP="00686BD1">
      <w:r>
        <w:t>En este sentido, los procesos de reconocimiento de responsabilidades, con las víctimas situadas en el centro del derrotero ético y social de una democracia enfocada hacia la paz, constituyen</w:t>
      </w:r>
      <w:r>
        <w:rPr>
          <w:spacing w:val="-1"/>
        </w:rPr>
        <w:t xml:space="preserve"> </w:t>
      </w:r>
      <w:r>
        <w:t>un ejercicio</w:t>
      </w:r>
      <w:r>
        <w:rPr>
          <w:spacing w:val="-1"/>
        </w:rPr>
        <w:t xml:space="preserve"> </w:t>
      </w:r>
      <w:r>
        <w:t>de innovación para sumar aprendizajes y experiencias previas en el marco del proceso de paz o de los tribunales de Justicia y Paz</w:t>
      </w:r>
      <w:r>
        <w:rPr>
          <w:spacing w:val="-1"/>
        </w:rPr>
        <w:t xml:space="preserve"> </w:t>
      </w:r>
      <w:r>
        <w:t>tras la desmovilización</w:t>
      </w:r>
      <w:r>
        <w:rPr>
          <w:spacing w:val="-1"/>
        </w:rPr>
        <w:t xml:space="preserve"> </w:t>
      </w:r>
      <w:r>
        <w:t>de las Autodefensas Unidas de Colombia (AUC). Representan eslabones de transición hacia la comprensión</w:t>
      </w:r>
      <w:r>
        <w:rPr>
          <w:spacing w:val="-13"/>
        </w:rPr>
        <w:t xml:space="preserve"> </w:t>
      </w:r>
      <w:r>
        <w:t>de</w:t>
      </w:r>
      <w:r>
        <w:rPr>
          <w:spacing w:val="-13"/>
        </w:rPr>
        <w:t xml:space="preserve"> </w:t>
      </w:r>
      <w:r>
        <w:t>lo</w:t>
      </w:r>
      <w:r>
        <w:rPr>
          <w:spacing w:val="-13"/>
        </w:rPr>
        <w:t xml:space="preserve"> </w:t>
      </w:r>
      <w:r>
        <w:t>ocurrido.</w:t>
      </w:r>
      <w:r>
        <w:rPr>
          <w:spacing w:val="-13"/>
        </w:rPr>
        <w:t xml:space="preserve"> </w:t>
      </w:r>
      <w:r>
        <w:t>Un</w:t>
      </w:r>
      <w:r>
        <w:rPr>
          <w:spacing w:val="-13"/>
        </w:rPr>
        <w:t xml:space="preserve"> </w:t>
      </w:r>
      <w:r>
        <w:t>escenario</w:t>
      </w:r>
      <w:r>
        <w:rPr>
          <w:spacing w:val="-13"/>
        </w:rPr>
        <w:t xml:space="preserve"> </w:t>
      </w:r>
      <w:r>
        <w:t>en</w:t>
      </w:r>
      <w:r>
        <w:rPr>
          <w:spacing w:val="-14"/>
        </w:rPr>
        <w:t xml:space="preserve"> </w:t>
      </w:r>
      <w:r>
        <w:t>el</w:t>
      </w:r>
      <w:r>
        <w:rPr>
          <w:spacing w:val="-13"/>
        </w:rPr>
        <w:t xml:space="preserve"> </w:t>
      </w:r>
      <w:r>
        <w:t>que</w:t>
      </w:r>
      <w:r>
        <w:rPr>
          <w:spacing w:val="-13"/>
        </w:rPr>
        <w:t xml:space="preserve"> </w:t>
      </w:r>
      <w:r>
        <w:t>víctimas</w:t>
      </w:r>
      <w:r>
        <w:rPr>
          <w:spacing w:val="-14"/>
        </w:rPr>
        <w:t xml:space="preserve"> </w:t>
      </w:r>
      <w:r>
        <w:t>y</w:t>
      </w:r>
      <w:r>
        <w:rPr>
          <w:spacing w:val="-13"/>
        </w:rPr>
        <w:t xml:space="preserve"> </w:t>
      </w:r>
      <w:r>
        <w:t>responsables</w:t>
      </w:r>
      <w:r>
        <w:rPr>
          <w:spacing w:val="-13"/>
        </w:rPr>
        <w:t xml:space="preserve"> </w:t>
      </w:r>
      <w:r>
        <w:t>son</w:t>
      </w:r>
      <w:r>
        <w:rPr>
          <w:spacing w:val="-13"/>
        </w:rPr>
        <w:t xml:space="preserve"> </w:t>
      </w:r>
      <w:r>
        <w:t>reconocidos, no solo desde el lugar que tuvieron en la guerra, sino también como agentes de transformación.</w:t>
      </w:r>
      <w:r>
        <w:rPr>
          <w:spacing w:val="-7"/>
        </w:rPr>
        <w:t xml:space="preserve"> </w:t>
      </w:r>
      <w:r>
        <w:t>Escuchar</w:t>
      </w:r>
      <w:r>
        <w:rPr>
          <w:spacing w:val="-7"/>
        </w:rPr>
        <w:t xml:space="preserve"> </w:t>
      </w:r>
      <w:r>
        <w:t>genuinamente</w:t>
      </w:r>
      <w:r>
        <w:rPr>
          <w:spacing w:val="-7"/>
        </w:rPr>
        <w:t xml:space="preserve"> </w:t>
      </w:r>
      <w:r>
        <w:t>por</w:t>
      </w:r>
      <w:r>
        <w:rPr>
          <w:spacing w:val="-7"/>
        </w:rPr>
        <w:t xml:space="preserve"> </w:t>
      </w:r>
      <w:r>
        <w:t>encima</w:t>
      </w:r>
      <w:r>
        <w:rPr>
          <w:spacing w:val="-7"/>
        </w:rPr>
        <w:t xml:space="preserve"> </w:t>
      </w:r>
      <w:r>
        <w:t>de</w:t>
      </w:r>
      <w:r>
        <w:rPr>
          <w:spacing w:val="-7"/>
        </w:rPr>
        <w:t xml:space="preserve"> </w:t>
      </w:r>
      <w:r>
        <w:t>las</w:t>
      </w:r>
      <w:r>
        <w:rPr>
          <w:spacing w:val="-7"/>
        </w:rPr>
        <w:t xml:space="preserve"> </w:t>
      </w:r>
      <w:r>
        <w:t>formalidades</w:t>
      </w:r>
      <w:r>
        <w:rPr>
          <w:spacing w:val="-7"/>
        </w:rPr>
        <w:t xml:space="preserve"> </w:t>
      </w:r>
      <w:r>
        <w:t>burocráticas</w:t>
      </w:r>
      <w:r>
        <w:rPr>
          <w:spacing w:val="-8"/>
        </w:rPr>
        <w:t xml:space="preserve"> </w:t>
      </w:r>
      <w:r>
        <w:t>y</w:t>
      </w:r>
      <w:r>
        <w:rPr>
          <w:spacing w:val="-7"/>
        </w:rPr>
        <w:t xml:space="preserve"> </w:t>
      </w:r>
      <w:r>
        <w:t>dejar de lado el cumplimiento de metas e indicadores preestablecidos hace que sean posibles y eficaces</w:t>
      </w:r>
      <w:r>
        <w:rPr>
          <w:spacing w:val="22"/>
        </w:rPr>
        <w:t xml:space="preserve"> </w:t>
      </w:r>
      <w:r>
        <w:t>los</w:t>
      </w:r>
      <w:r>
        <w:rPr>
          <w:spacing w:val="25"/>
        </w:rPr>
        <w:t xml:space="preserve"> </w:t>
      </w:r>
      <w:r>
        <w:t>escenarios</w:t>
      </w:r>
      <w:r>
        <w:rPr>
          <w:spacing w:val="26"/>
        </w:rPr>
        <w:t xml:space="preserve"> </w:t>
      </w:r>
      <w:r>
        <w:t>de</w:t>
      </w:r>
      <w:r>
        <w:rPr>
          <w:spacing w:val="26"/>
        </w:rPr>
        <w:t xml:space="preserve"> </w:t>
      </w:r>
      <w:r>
        <w:t>diálogo</w:t>
      </w:r>
      <w:r>
        <w:rPr>
          <w:spacing w:val="25"/>
        </w:rPr>
        <w:t xml:space="preserve"> </w:t>
      </w:r>
      <w:r>
        <w:t>entre</w:t>
      </w:r>
      <w:r>
        <w:rPr>
          <w:spacing w:val="26"/>
        </w:rPr>
        <w:t xml:space="preserve"> </w:t>
      </w:r>
      <w:r>
        <w:t>diversas</w:t>
      </w:r>
      <w:r>
        <w:rPr>
          <w:spacing w:val="25"/>
        </w:rPr>
        <w:t xml:space="preserve"> </w:t>
      </w:r>
      <w:r>
        <w:t>experiencias,</w:t>
      </w:r>
      <w:r>
        <w:rPr>
          <w:spacing w:val="25"/>
        </w:rPr>
        <w:t xml:space="preserve"> </w:t>
      </w:r>
      <w:r>
        <w:t>con</w:t>
      </w:r>
      <w:r>
        <w:rPr>
          <w:spacing w:val="26"/>
        </w:rPr>
        <w:t xml:space="preserve"> </w:t>
      </w:r>
      <w:r>
        <w:t>voces</w:t>
      </w:r>
      <w:r>
        <w:rPr>
          <w:spacing w:val="24"/>
        </w:rPr>
        <w:t xml:space="preserve"> </w:t>
      </w:r>
      <w:r>
        <w:t>dispuestas</w:t>
      </w:r>
      <w:r>
        <w:rPr>
          <w:spacing w:val="26"/>
        </w:rPr>
        <w:t xml:space="preserve"> </w:t>
      </w:r>
      <w:r>
        <w:t>a</w:t>
      </w:r>
      <w:r>
        <w:rPr>
          <w:spacing w:val="25"/>
        </w:rPr>
        <w:t xml:space="preserve"> </w:t>
      </w:r>
      <w:r>
        <w:rPr>
          <w:spacing w:val="-5"/>
        </w:rPr>
        <w:t>ser</w:t>
      </w:r>
      <w:r w:rsidR="00686BD1">
        <w:t xml:space="preserve"> </w:t>
      </w:r>
      <w:r>
        <w:t xml:space="preserve">comprendidas o arropadas por el deseo colectivo de transformación que requerimos como </w:t>
      </w:r>
      <w:r>
        <w:rPr>
          <w:spacing w:val="-2"/>
        </w:rPr>
        <w:t>país.</w:t>
      </w:r>
    </w:p>
    <w:p w:rsidR="003804AC" w:rsidRDefault="00AF18A5" w:rsidP="00686BD1">
      <w:r>
        <w:t>Por</w:t>
      </w:r>
      <w:r>
        <w:rPr>
          <w:spacing w:val="-2"/>
        </w:rPr>
        <w:t xml:space="preserve"> </w:t>
      </w:r>
      <w:r>
        <w:t>eso,</w:t>
      </w:r>
      <w:r>
        <w:rPr>
          <w:spacing w:val="-3"/>
        </w:rPr>
        <w:t xml:space="preserve"> </w:t>
      </w:r>
      <w:r>
        <w:t>la</w:t>
      </w:r>
      <w:r>
        <w:rPr>
          <w:spacing w:val="-3"/>
        </w:rPr>
        <w:t xml:space="preserve"> </w:t>
      </w:r>
      <w:r>
        <w:t>Comisión</w:t>
      </w:r>
      <w:r>
        <w:rPr>
          <w:spacing w:val="-2"/>
        </w:rPr>
        <w:t xml:space="preserve"> </w:t>
      </w:r>
      <w:r>
        <w:t>generó</w:t>
      </w:r>
      <w:r>
        <w:rPr>
          <w:spacing w:val="-2"/>
        </w:rPr>
        <w:t xml:space="preserve"> </w:t>
      </w:r>
      <w:r>
        <w:t>condiciones</w:t>
      </w:r>
      <w:r>
        <w:rPr>
          <w:spacing w:val="-2"/>
        </w:rPr>
        <w:t xml:space="preserve"> </w:t>
      </w:r>
      <w:r>
        <w:t>para</w:t>
      </w:r>
      <w:r>
        <w:rPr>
          <w:spacing w:val="-2"/>
        </w:rPr>
        <w:t xml:space="preserve"> </w:t>
      </w:r>
      <w:r>
        <w:t>el</w:t>
      </w:r>
      <w:r>
        <w:rPr>
          <w:spacing w:val="-3"/>
        </w:rPr>
        <w:t xml:space="preserve"> </w:t>
      </w:r>
      <w:r>
        <w:t>reconocimiento</w:t>
      </w:r>
      <w:r>
        <w:rPr>
          <w:spacing w:val="-2"/>
        </w:rPr>
        <w:t xml:space="preserve"> </w:t>
      </w:r>
      <w:r>
        <w:t>a</w:t>
      </w:r>
      <w:r>
        <w:rPr>
          <w:spacing w:val="-3"/>
        </w:rPr>
        <w:t xml:space="preserve"> </w:t>
      </w:r>
      <w:r>
        <w:t>las</w:t>
      </w:r>
      <w:r>
        <w:rPr>
          <w:spacing w:val="-3"/>
        </w:rPr>
        <w:t xml:space="preserve"> </w:t>
      </w:r>
      <w:r>
        <w:t>víctimas</w:t>
      </w:r>
      <w:r>
        <w:rPr>
          <w:spacing w:val="-3"/>
        </w:rPr>
        <w:t xml:space="preserve"> </w:t>
      </w:r>
      <w:r>
        <w:t>y</w:t>
      </w:r>
      <w:r>
        <w:rPr>
          <w:spacing w:val="-2"/>
        </w:rPr>
        <w:t xml:space="preserve"> </w:t>
      </w:r>
      <w:r>
        <w:t>después para un diálogo con los responsables, a pesar del contexto de violencia y polarización que persiste en algunos territorios. Esos reconocimientos han girado en torno a hechos y formas de</w:t>
      </w:r>
      <w:r>
        <w:rPr>
          <w:spacing w:val="-12"/>
        </w:rPr>
        <w:t xml:space="preserve"> </w:t>
      </w:r>
      <w:r>
        <w:t>victimización</w:t>
      </w:r>
      <w:r>
        <w:rPr>
          <w:spacing w:val="-12"/>
        </w:rPr>
        <w:t xml:space="preserve"> </w:t>
      </w:r>
      <w:r>
        <w:t>históricamente</w:t>
      </w:r>
      <w:r>
        <w:rPr>
          <w:spacing w:val="-12"/>
        </w:rPr>
        <w:t xml:space="preserve"> </w:t>
      </w:r>
      <w:r>
        <w:t>silenciados</w:t>
      </w:r>
      <w:r>
        <w:rPr>
          <w:spacing w:val="-13"/>
        </w:rPr>
        <w:t xml:space="preserve"> </w:t>
      </w:r>
      <w:r>
        <w:t>en</w:t>
      </w:r>
      <w:r>
        <w:rPr>
          <w:spacing w:val="-13"/>
        </w:rPr>
        <w:t xml:space="preserve"> </w:t>
      </w:r>
      <w:r>
        <w:t>la</w:t>
      </w:r>
      <w:r>
        <w:rPr>
          <w:spacing w:val="-13"/>
        </w:rPr>
        <w:t xml:space="preserve"> </w:t>
      </w:r>
      <w:r>
        <w:t>narrativa</w:t>
      </w:r>
      <w:r>
        <w:rPr>
          <w:spacing w:val="-13"/>
        </w:rPr>
        <w:t xml:space="preserve"> </w:t>
      </w:r>
      <w:r>
        <w:t>del</w:t>
      </w:r>
      <w:r>
        <w:rPr>
          <w:spacing w:val="-13"/>
        </w:rPr>
        <w:t xml:space="preserve"> </w:t>
      </w:r>
      <w:r>
        <w:t>conflicto.</w:t>
      </w:r>
      <w:r>
        <w:rPr>
          <w:spacing w:val="-12"/>
        </w:rPr>
        <w:t xml:space="preserve"> </w:t>
      </w:r>
      <w:r>
        <w:t>La</w:t>
      </w:r>
      <w:r>
        <w:rPr>
          <w:spacing w:val="-12"/>
        </w:rPr>
        <w:t xml:space="preserve"> </w:t>
      </w:r>
      <w:r>
        <w:t>violencia</w:t>
      </w:r>
      <w:r>
        <w:rPr>
          <w:spacing w:val="-12"/>
        </w:rPr>
        <w:t xml:space="preserve"> </w:t>
      </w:r>
      <w:r>
        <w:t xml:space="preserve">sexual, el reclutamiento de menores, las mujeres buscadoras de sus familiares desaparecidos, el movimiento campesino o los pueblos étnicos y el exilio invisible, que muestran formas de violencia o poblaciones afectadas, con profundas heridas y cicatrices en el tejido social colombiano. Se trata de realidades subterráneas a la luz de la verdad, porque muchas veces fueron negadas o justificadas por los </w:t>
      </w:r>
      <w:r>
        <w:lastRenderedPageBreak/>
        <w:t>actores de la guerra, o subsumidas por las agendas mediáticas y la polarización política, hasta negar la existencia del conflicto armado o la dignidad de las víctimas. Tanto responsables como víctimas admiten que la barbarie sí ocurrió, que ocasionó profundas lesiones en personas, familias o comunidades, y que la reconstrucción no puede hacerse sobre la base de la mentira o del miedo.</w:t>
      </w:r>
    </w:p>
    <w:p w:rsidR="003804AC" w:rsidRDefault="00AF18A5" w:rsidP="00686BD1">
      <w:r>
        <w:t>Así,</w:t>
      </w:r>
      <w:r>
        <w:rPr>
          <w:spacing w:val="-15"/>
        </w:rPr>
        <w:t xml:space="preserve"> </w:t>
      </w:r>
      <w:r>
        <w:t>los</w:t>
      </w:r>
      <w:r>
        <w:rPr>
          <w:spacing w:val="-15"/>
        </w:rPr>
        <w:t xml:space="preserve"> </w:t>
      </w:r>
      <w:r>
        <w:t>reconocimientos</w:t>
      </w:r>
      <w:r>
        <w:rPr>
          <w:spacing w:val="-15"/>
        </w:rPr>
        <w:t xml:space="preserve"> </w:t>
      </w:r>
      <w:r>
        <w:t>de</w:t>
      </w:r>
      <w:r>
        <w:rPr>
          <w:spacing w:val="-15"/>
        </w:rPr>
        <w:t xml:space="preserve"> </w:t>
      </w:r>
      <w:r>
        <w:t>responsabilidad,</w:t>
      </w:r>
      <w:r>
        <w:rPr>
          <w:spacing w:val="-15"/>
        </w:rPr>
        <w:t xml:space="preserve"> </w:t>
      </w:r>
      <w:r>
        <w:t>además</w:t>
      </w:r>
      <w:r>
        <w:rPr>
          <w:spacing w:val="-15"/>
        </w:rPr>
        <w:t xml:space="preserve"> </w:t>
      </w:r>
      <w:r>
        <w:t>de</w:t>
      </w:r>
      <w:r>
        <w:rPr>
          <w:spacing w:val="-15"/>
        </w:rPr>
        <w:t xml:space="preserve"> </w:t>
      </w:r>
      <w:r>
        <w:t>involucrar</w:t>
      </w:r>
      <w:r>
        <w:rPr>
          <w:spacing w:val="-15"/>
        </w:rPr>
        <w:t xml:space="preserve"> </w:t>
      </w:r>
      <w:r>
        <w:t>factores</w:t>
      </w:r>
      <w:r>
        <w:rPr>
          <w:spacing w:val="-15"/>
        </w:rPr>
        <w:t xml:space="preserve"> </w:t>
      </w:r>
      <w:r>
        <w:t>diversos</w:t>
      </w:r>
      <w:r>
        <w:rPr>
          <w:spacing w:val="-15"/>
        </w:rPr>
        <w:t xml:space="preserve"> </w:t>
      </w:r>
      <w:r>
        <w:t>como el contexto de las violencias que persisten y avanzar en el esclarecimiento de los hechos sucedidos</w:t>
      </w:r>
      <w:r>
        <w:rPr>
          <w:spacing w:val="-11"/>
        </w:rPr>
        <w:t xml:space="preserve"> </w:t>
      </w:r>
      <w:r>
        <w:t>o</w:t>
      </w:r>
      <w:r>
        <w:rPr>
          <w:spacing w:val="-12"/>
        </w:rPr>
        <w:t xml:space="preserve"> </w:t>
      </w:r>
      <w:r>
        <w:t>en</w:t>
      </w:r>
      <w:r>
        <w:rPr>
          <w:spacing w:val="-11"/>
        </w:rPr>
        <w:t xml:space="preserve"> </w:t>
      </w:r>
      <w:r>
        <w:t>la</w:t>
      </w:r>
      <w:r>
        <w:rPr>
          <w:spacing w:val="-11"/>
        </w:rPr>
        <w:t xml:space="preserve"> </w:t>
      </w:r>
      <w:r>
        <w:t>evidencia</w:t>
      </w:r>
      <w:r>
        <w:rPr>
          <w:spacing w:val="-11"/>
        </w:rPr>
        <w:t xml:space="preserve"> </w:t>
      </w:r>
      <w:r>
        <w:t>de</w:t>
      </w:r>
      <w:r>
        <w:rPr>
          <w:spacing w:val="-11"/>
        </w:rPr>
        <w:t xml:space="preserve"> </w:t>
      </w:r>
      <w:r>
        <w:t>la</w:t>
      </w:r>
      <w:r>
        <w:rPr>
          <w:spacing w:val="-11"/>
        </w:rPr>
        <w:t xml:space="preserve"> </w:t>
      </w:r>
      <w:r>
        <w:t>población</w:t>
      </w:r>
      <w:r>
        <w:rPr>
          <w:spacing w:val="-11"/>
        </w:rPr>
        <w:t xml:space="preserve"> </w:t>
      </w:r>
      <w:r>
        <w:t>victimizada,</w:t>
      </w:r>
      <w:r>
        <w:rPr>
          <w:spacing w:val="-11"/>
        </w:rPr>
        <w:t xml:space="preserve"> </w:t>
      </w:r>
      <w:r>
        <w:t>están</w:t>
      </w:r>
      <w:r>
        <w:rPr>
          <w:spacing w:val="-11"/>
        </w:rPr>
        <w:t xml:space="preserve"> </w:t>
      </w:r>
      <w:r>
        <w:t>planteados</w:t>
      </w:r>
      <w:r>
        <w:rPr>
          <w:spacing w:val="-12"/>
        </w:rPr>
        <w:t xml:space="preserve"> </w:t>
      </w:r>
      <w:r>
        <w:t>para</w:t>
      </w:r>
      <w:r>
        <w:rPr>
          <w:spacing w:val="-11"/>
        </w:rPr>
        <w:t xml:space="preserve"> </w:t>
      </w:r>
      <w:r>
        <w:t>asumir</w:t>
      </w:r>
      <w:r>
        <w:rPr>
          <w:spacing w:val="-12"/>
        </w:rPr>
        <w:t xml:space="preserve"> </w:t>
      </w:r>
      <w:r>
        <w:t>hechos y</w:t>
      </w:r>
      <w:r>
        <w:rPr>
          <w:spacing w:val="-1"/>
        </w:rPr>
        <w:t xml:space="preserve"> </w:t>
      </w:r>
      <w:r>
        <w:t>sus</w:t>
      </w:r>
      <w:r>
        <w:rPr>
          <w:spacing w:val="-1"/>
        </w:rPr>
        <w:t xml:space="preserve"> </w:t>
      </w:r>
      <w:r>
        <w:t>consecuencias</w:t>
      </w:r>
      <w:r>
        <w:rPr>
          <w:spacing w:val="-2"/>
        </w:rPr>
        <w:t xml:space="preserve"> </w:t>
      </w:r>
      <w:r>
        <w:t>por</w:t>
      </w:r>
      <w:r>
        <w:rPr>
          <w:spacing w:val="-2"/>
        </w:rPr>
        <w:t xml:space="preserve"> </w:t>
      </w:r>
      <w:r>
        <w:t>parte</w:t>
      </w:r>
      <w:r>
        <w:rPr>
          <w:spacing w:val="-2"/>
        </w:rPr>
        <w:t xml:space="preserve"> </w:t>
      </w:r>
      <w:r>
        <w:t>de</w:t>
      </w:r>
      <w:r>
        <w:rPr>
          <w:spacing w:val="-1"/>
        </w:rPr>
        <w:t xml:space="preserve"> </w:t>
      </w:r>
      <w:r>
        <w:t>los</w:t>
      </w:r>
      <w:r>
        <w:rPr>
          <w:spacing w:val="-2"/>
        </w:rPr>
        <w:t xml:space="preserve"> </w:t>
      </w:r>
      <w:r>
        <w:t>actores</w:t>
      </w:r>
      <w:r>
        <w:rPr>
          <w:spacing w:val="-1"/>
        </w:rPr>
        <w:t xml:space="preserve"> </w:t>
      </w:r>
      <w:r>
        <w:t>responsables.</w:t>
      </w:r>
      <w:r>
        <w:rPr>
          <w:spacing w:val="-1"/>
        </w:rPr>
        <w:t xml:space="preserve"> </w:t>
      </w:r>
      <w:r>
        <w:t>La</w:t>
      </w:r>
      <w:r>
        <w:rPr>
          <w:spacing w:val="-2"/>
        </w:rPr>
        <w:t xml:space="preserve"> </w:t>
      </w:r>
      <w:r>
        <w:t>combinación</w:t>
      </w:r>
      <w:r>
        <w:rPr>
          <w:spacing w:val="-1"/>
        </w:rPr>
        <w:t xml:space="preserve"> </w:t>
      </w:r>
      <w:r>
        <w:t>de</w:t>
      </w:r>
      <w:r>
        <w:rPr>
          <w:spacing w:val="-1"/>
        </w:rPr>
        <w:t xml:space="preserve"> </w:t>
      </w:r>
      <w:r>
        <w:t>estos</w:t>
      </w:r>
      <w:r>
        <w:rPr>
          <w:spacing w:val="-1"/>
        </w:rPr>
        <w:t xml:space="preserve"> </w:t>
      </w:r>
      <w:r>
        <w:t>factores hace que cada proceso sea singular, es decir, que no se puedan reducir a procedimientos estándar, ni equiparar ni extrapolar, incluso a contextos similares. De una adecuada composición de esos factores depende su resultado y alcances. Dado el número de víctimas y la profundidad del sufrimiento que vivió cada una de ellas, así como la persistencia de la violencia</w:t>
      </w:r>
      <w:r>
        <w:rPr>
          <w:spacing w:val="-2"/>
        </w:rPr>
        <w:t xml:space="preserve"> </w:t>
      </w:r>
      <w:r>
        <w:t>asociada</w:t>
      </w:r>
      <w:r>
        <w:rPr>
          <w:spacing w:val="-2"/>
        </w:rPr>
        <w:t xml:space="preserve"> </w:t>
      </w:r>
      <w:r>
        <w:t>a</w:t>
      </w:r>
      <w:r>
        <w:rPr>
          <w:spacing w:val="-2"/>
        </w:rPr>
        <w:t xml:space="preserve"> </w:t>
      </w:r>
      <w:r>
        <w:t>la</w:t>
      </w:r>
      <w:r>
        <w:rPr>
          <w:spacing w:val="-2"/>
        </w:rPr>
        <w:t xml:space="preserve"> </w:t>
      </w:r>
      <w:r>
        <w:t>conflictividad,</w:t>
      </w:r>
      <w:r>
        <w:rPr>
          <w:spacing w:val="-2"/>
        </w:rPr>
        <w:t xml:space="preserve"> </w:t>
      </w:r>
      <w:r>
        <w:t>no</w:t>
      </w:r>
      <w:r>
        <w:rPr>
          <w:spacing w:val="-2"/>
        </w:rPr>
        <w:t xml:space="preserve"> </w:t>
      </w:r>
      <w:r>
        <w:t>cabe</w:t>
      </w:r>
      <w:r>
        <w:rPr>
          <w:spacing w:val="-2"/>
        </w:rPr>
        <w:t xml:space="preserve"> </w:t>
      </w:r>
      <w:r>
        <w:t>duda</w:t>
      </w:r>
      <w:r>
        <w:rPr>
          <w:spacing w:val="-2"/>
        </w:rPr>
        <w:t xml:space="preserve"> </w:t>
      </w:r>
      <w:r>
        <w:t>de</w:t>
      </w:r>
      <w:r>
        <w:rPr>
          <w:spacing w:val="-2"/>
        </w:rPr>
        <w:t xml:space="preserve"> </w:t>
      </w:r>
      <w:r>
        <w:t>que,</w:t>
      </w:r>
      <w:r>
        <w:rPr>
          <w:spacing w:val="-2"/>
        </w:rPr>
        <w:t xml:space="preserve"> </w:t>
      </w:r>
      <w:r>
        <w:t>en</w:t>
      </w:r>
      <w:r>
        <w:rPr>
          <w:spacing w:val="-2"/>
        </w:rPr>
        <w:t xml:space="preserve"> </w:t>
      </w:r>
      <w:r>
        <w:t>el</w:t>
      </w:r>
      <w:r>
        <w:rPr>
          <w:spacing w:val="-2"/>
        </w:rPr>
        <w:t xml:space="preserve"> </w:t>
      </w:r>
      <w:r>
        <w:t>horizonte</w:t>
      </w:r>
      <w:r>
        <w:rPr>
          <w:spacing w:val="-2"/>
        </w:rPr>
        <w:t xml:space="preserve"> </w:t>
      </w:r>
      <w:r>
        <w:t>de</w:t>
      </w:r>
      <w:r>
        <w:rPr>
          <w:spacing w:val="-2"/>
        </w:rPr>
        <w:t xml:space="preserve"> </w:t>
      </w:r>
      <w:r>
        <w:t>trabajo</w:t>
      </w:r>
      <w:r>
        <w:rPr>
          <w:spacing w:val="-2"/>
        </w:rPr>
        <w:t xml:space="preserve"> </w:t>
      </w:r>
      <w:r>
        <w:t>de</w:t>
      </w:r>
      <w:r>
        <w:rPr>
          <w:spacing w:val="-2"/>
        </w:rPr>
        <w:t xml:space="preserve"> </w:t>
      </w:r>
      <w:r>
        <w:t>los procesos de reconocimiento, la tarea apenas comienza. Saber que el cierre colectivo de las heridas que deja la guerra es cuestión de generaciones, en un contexto de seguridad y prevención de nuevas violaciones de derechos humanos, determina que los procesos de reconocimiento cuenten con la receptividad que sus protagonistas esperan de la sociedad.</w:t>
      </w:r>
    </w:p>
    <w:p w:rsidR="003804AC" w:rsidRDefault="00AF18A5" w:rsidP="00686BD1">
      <w:r>
        <w:t xml:space="preserve">Aunque el marco de la Comisión ofreció condiciones para iniciar ese encuentro entre las víctimas y los victimarios, la concurrencia de los responsables resultó ciertamente limitada. La continuidad del conflicto armado a través de diversos actores y la negativa a una implementación eficaz y comprometida del Acuerdo de Paz con las FARC-EP han </w:t>
      </w:r>
      <w:r>
        <w:lastRenderedPageBreak/>
        <w:t>condicionado el escenario político, social y comunitario en el que estos procesos de reconocimiento de responsabilidades se han dado. Entre los factores que limitan la participación de los responsables está el miedo ante las posibles retaliaciones por parte de otros</w:t>
      </w:r>
      <w:r>
        <w:rPr>
          <w:spacing w:val="-15"/>
        </w:rPr>
        <w:t xml:space="preserve"> </w:t>
      </w:r>
      <w:r>
        <w:t>responsables</w:t>
      </w:r>
      <w:r>
        <w:rPr>
          <w:spacing w:val="-15"/>
        </w:rPr>
        <w:t xml:space="preserve"> </w:t>
      </w:r>
      <w:r>
        <w:t>y</w:t>
      </w:r>
      <w:r>
        <w:rPr>
          <w:spacing w:val="-15"/>
        </w:rPr>
        <w:t xml:space="preserve"> </w:t>
      </w:r>
      <w:r>
        <w:t>de</w:t>
      </w:r>
      <w:r>
        <w:rPr>
          <w:spacing w:val="-15"/>
        </w:rPr>
        <w:t xml:space="preserve"> </w:t>
      </w:r>
      <w:r>
        <w:t>terceros</w:t>
      </w:r>
      <w:r>
        <w:rPr>
          <w:spacing w:val="-15"/>
        </w:rPr>
        <w:t xml:space="preserve"> </w:t>
      </w:r>
      <w:r>
        <w:t>que</w:t>
      </w:r>
      <w:r>
        <w:rPr>
          <w:spacing w:val="-15"/>
        </w:rPr>
        <w:t xml:space="preserve"> </w:t>
      </w:r>
      <w:r>
        <w:t>permanecen</w:t>
      </w:r>
      <w:r>
        <w:rPr>
          <w:spacing w:val="-15"/>
        </w:rPr>
        <w:t xml:space="preserve"> </w:t>
      </w:r>
      <w:r>
        <w:t>ocultos</w:t>
      </w:r>
      <w:r>
        <w:rPr>
          <w:spacing w:val="-15"/>
        </w:rPr>
        <w:t xml:space="preserve"> </w:t>
      </w:r>
      <w:r>
        <w:t>y</w:t>
      </w:r>
      <w:r>
        <w:rPr>
          <w:spacing w:val="-15"/>
        </w:rPr>
        <w:t xml:space="preserve"> </w:t>
      </w:r>
      <w:r>
        <w:t>que</w:t>
      </w:r>
      <w:r>
        <w:rPr>
          <w:spacing w:val="-15"/>
        </w:rPr>
        <w:t xml:space="preserve"> </w:t>
      </w:r>
      <w:r>
        <w:t>se</w:t>
      </w:r>
      <w:r>
        <w:rPr>
          <w:spacing w:val="-15"/>
        </w:rPr>
        <w:t xml:space="preserve"> </w:t>
      </w:r>
      <w:r>
        <w:t>resisten</w:t>
      </w:r>
      <w:r>
        <w:rPr>
          <w:spacing w:val="-15"/>
        </w:rPr>
        <w:t xml:space="preserve"> </w:t>
      </w:r>
      <w:r>
        <w:t>a</w:t>
      </w:r>
      <w:r>
        <w:rPr>
          <w:spacing w:val="-15"/>
        </w:rPr>
        <w:t xml:space="preserve"> </w:t>
      </w:r>
      <w:r>
        <w:t>que</w:t>
      </w:r>
      <w:r>
        <w:rPr>
          <w:spacing w:val="-15"/>
        </w:rPr>
        <w:t xml:space="preserve"> </w:t>
      </w:r>
      <w:r>
        <w:t>sus</w:t>
      </w:r>
      <w:r>
        <w:rPr>
          <w:spacing w:val="-15"/>
        </w:rPr>
        <w:t xml:space="preserve"> </w:t>
      </w:r>
      <w:r>
        <w:t>conductas y</w:t>
      </w:r>
      <w:r>
        <w:rPr>
          <w:spacing w:val="-7"/>
        </w:rPr>
        <w:t xml:space="preserve"> </w:t>
      </w:r>
      <w:r>
        <w:t>responsabilidad</w:t>
      </w:r>
      <w:r>
        <w:rPr>
          <w:spacing w:val="-8"/>
        </w:rPr>
        <w:t xml:space="preserve"> </w:t>
      </w:r>
      <w:r>
        <w:t>sean</w:t>
      </w:r>
      <w:r>
        <w:rPr>
          <w:spacing w:val="-7"/>
        </w:rPr>
        <w:t xml:space="preserve"> </w:t>
      </w:r>
      <w:r>
        <w:t>develadas.</w:t>
      </w:r>
      <w:r>
        <w:rPr>
          <w:spacing w:val="-7"/>
        </w:rPr>
        <w:t xml:space="preserve"> </w:t>
      </w:r>
      <w:r>
        <w:t>Esto</w:t>
      </w:r>
      <w:r>
        <w:rPr>
          <w:spacing w:val="-7"/>
        </w:rPr>
        <w:t xml:space="preserve"> </w:t>
      </w:r>
      <w:r>
        <w:t>se</w:t>
      </w:r>
      <w:r>
        <w:rPr>
          <w:spacing w:val="-8"/>
        </w:rPr>
        <w:t xml:space="preserve"> </w:t>
      </w:r>
      <w:r>
        <w:t>constata</w:t>
      </w:r>
      <w:r>
        <w:rPr>
          <w:spacing w:val="-7"/>
        </w:rPr>
        <w:t xml:space="preserve"> </w:t>
      </w:r>
      <w:r>
        <w:t>con</w:t>
      </w:r>
      <w:r>
        <w:rPr>
          <w:spacing w:val="-7"/>
        </w:rPr>
        <w:t xml:space="preserve"> </w:t>
      </w:r>
      <w:r>
        <w:t>una</w:t>
      </w:r>
      <w:r>
        <w:rPr>
          <w:spacing w:val="-8"/>
        </w:rPr>
        <w:t xml:space="preserve"> </w:t>
      </w:r>
      <w:r>
        <w:t>evidencia:</w:t>
      </w:r>
      <w:r>
        <w:rPr>
          <w:spacing w:val="-8"/>
        </w:rPr>
        <w:t xml:space="preserve"> </w:t>
      </w:r>
      <w:r>
        <w:t>miembros</w:t>
      </w:r>
      <w:r>
        <w:rPr>
          <w:spacing w:val="-7"/>
        </w:rPr>
        <w:t xml:space="preserve"> </w:t>
      </w:r>
      <w:r>
        <w:t>de</w:t>
      </w:r>
      <w:r>
        <w:rPr>
          <w:spacing w:val="-7"/>
        </w:rPr>
        <w:t xml:space="preserve"> </w:t>
      </w:r>
      <w:r>
        <w:t>la</w:t>
      </w:r>
      <w:r>
        <w:rPr>
          <w:spacing w:val="-8"/>
        </w:rPr>
        <w:t xml:space="preserve"> </w:t>
      </w:r>
      <w:r>
        <w:t>fuerza pública</w:t>
      </w:r>
      <w:r>
        <w:rPr>
          <w:spacing w:val="-1"/>
        </w:rPr>
        <w:t xml:space="preserve"> </w:t>
      </w:r>
      <w:r>
        <w:t>que</w:t>
      </w:r>
      <w:r>
        <w:rPr>
          <w:spacing w:val="-2"/>
        </w:rPr>
        <w:t xml:space="preserve"> </w:t>
      </w:r>
      <w:r>
        <w:t>han</w:t>
      </w:r>
      <w:r>
        <w:rPr>
          <w:spacing w:val="-1"/>
        </w:rPr>
        <w:t xml:space="preserve"> </w:t>
      </w:r>
      <w:r>
        <w:t>reconocido</w:t>
      </w:r>
      <w:r>
        <w:rPr>
          <w:spacing w:val="-1"/>
        </w:rPr>
        <w:t xml:space="preserve"> </w:t>
      </w:r>
      <w:r>
        <w:t>responsabilidades</w:t>
      </w:r>
      <w:r>
        <w:rPr>
          <w:spacing w:val="-1"/>
        </w:rPr>
        <w:t xml:space="preserve"> </w:t>
      </w:r>
      <w:r>
        <w:t>y</w:t>
      </w:r>
      <w:r>
        <w:rPr>
          <w:spacing w:val="-1"/>
        </w:rPr>
        <w:t xml:space="preserve"> </w:t>
      </w:r>
      <w:r>
        <w:t>que</w:t>
      </w:r>
      <w:r>
        <w:rPr>
          <w:spacing w:val="-1"/>
        </w:rPr>
        <w:t xml:space="preserve"> </w:t>
      </w:r>
      <w:r>
        <w:t>han</w:t>
      </w:r>
      <w:r>
        <w:rPr>
          <w:spacing w:val="-1"/>
        </w:rPr>
        <w:t xml:space="preserve"> </w:t>
      </w:r>
      <w:r>
        <w:t>señalado</w:t>
      </w:r>
      <w:r>
        <w:rPr>
          <w:spacing w:val="-1"/>
        </w:rPr>
        <w:t xml:space="preserve"> </w:t>
      </w:r>
      <w:r>
        <w:t>presiones</w:t>
      </w:r>
      <w:r>
        <w:rPr>
          <w:spacing w:val="-1"/>
        </w:rPr>
        <w:t xml:space="preserve"> </w:t>
      </w:r>
      <w:r>
        <w:t>y</w:t>
      </w:r>
      <w:r>
        <w:rPr>
          <w:spacing w:val="-1"/>
        </w:rPr>
        <w:t xml:space="preserve"> </w:t>
      </w:r>
      <w:r>
        <w:t>temor</w:t>
      </w:r>
      <w:r>
        <w:rPr>
          <w:spacing w:val="-2"/>
        </w:rPr>
        <w:t xml:space="preserve"> </w:t>
      </w:r>
      <w:r>
        <w:t>por</w:t>
      </w:r>
      <w:r>
        <w:rPr>
          <w:spacing w:val="-1"/>
        </w:rPr>
        <w:t xml:space="preserve"> </w:t>
      </w:r>
      <w:r>
        <w:t>sus vidas debieron recurrir a esquemas de seguridad. También hay un gran número de excombatientes</w:t>
      </w:r>
      <w:r>
        <w:rPr>
          <w:spacing w:val="-11"/>
        </w:rPr>
        <w:t xml:space="preserve"> </w:t>
      </w:r>
      <w:r>
        <w:t>de</w:t>
      </w:r>
      <w:r>
        <w:rPr>
          <w:spacing w:val="-11"/>
        </w:rPr>
        <w:t xml:space="preserve"> </w:t>
      </w:r>
      <w:r>
        <w:t>las</w:t>
      </w:r>
      <w:r>
        <w:rPr>
          <w:spacing w:val="-11"/>
        </w:rPr>
        <w:t xml:space="preserve"> </w:t>
      </w:r>
      <w:r>
        <w:t>AUC</w:t>
      </w:r>
      <w:r>
        <w:rPr>
          <w:spacing w:val="-11"/>
        </w:rPr>
        <w:t xml:space="preserve"> </w:t>
      </w:r>
      <w:r>
        <w:t>y</w:t>
      </w:r>
      <w:r>
        <w:rPr>
          <w:spacing w:val="-11"/>
        </w:rPr>
        <w:t xml:space="preserve"> </w:t>
      </w:r>
      <w:r>
        <w:t>de</w:t>
      </w:r>
      <w:r>
        <w:rPr>
          <w:spacing w:val="-11"/>
        </w:rPr>
        <w:t xml:space="preserve"> </w:t>
      </w:r>
      <w:r>
        <w:t>firmantes</w:t>
      </w:r>
      <w:r>
        <w:rPr>
          <w:spacing w:val="-11"/>
        </w:rPr>
        <w:t xml:space="preserve"> </w:t>
      </w:r>
      <w:r>
        <w:t>del</w:t>
      </w:r>
      <w:r>
        <w:rPr>
          <w:spacing w:val="-12"/>
        </w:rPr>
        <w:t xml:space="preserve"> </w:t>
      </w:r>
      <w:r>
        <w:t>Acuerdo</w:t>
      </w:r>
      <w:r>
        <w:rPr>
          <w:spacing w:val="-11"/>
        </w:rPr>
        <w:t xml:space="preserve"> </w:t>
      </w:r>
      <w:r>
        <w:t>de</w:t>
      </w:r>
      <w:r>
        <w:rPr>
          <w:spacing w:val="-12"/>
        </w:rPr>
        <w:t xml:space="preserve"> </w:t>
      </w:r>
      <w:r>
        <w:t>Paz</w:t>
      </w:r>
      <w:r>
        <w:rPr>
          <w:spacing w:val="-11"/>
        </w:rPr>
        <w:t xml:space="preserve"> </w:t>
      </w:r>
      <w:r>
        <w:t>de</w:t>
      </w:r>
      <w:r>
        <w:rPr>
          <w:spacing w:val="-11"/>
        </w:rPr>
        <w:t xml:space="preserve"> </w:t>
      </w:r>
      <w:r>
        <w:t>las</w:t>
      </w:r>
      <w:r>
        <w:rPr>
          <w:spacing w:val="-11"/>
        </w:rPr>
        <w:t xml:space="preserve"> </w:t>
      </w:r>
      <w:r>
        <w:t>FARC-EP</w:t>
      </w:r>
      <w:r>
        <w:rPr>
          <w:spacing w:val="-11"/>
        </w:rPr>
        <w:t xml:space="preserve"> </w:t>
      </w:r>
      <w:r>
        <w:t>que</w:t>
      </w:r>
      <w:r>
        <w:rPr>
          <w:spacing w:val="-11"/>
        </w:rPr>
        <w:t xml:space="preserve"> </w:t>
      </w:r>
      <w:r>
        <w:t>han</w:t>
      </w:r>
      <w:r>
        <w:rPr>
          <w:spacing w:val="-11"/>
        </w:rPr>
        <w:t xml:space="preserve"> </w:t>
      </w:r>
      <w:r>
        <w:t>sido asesinados desde su proceso de desmovilización.</w:t>
      </w:r>
    </w:p>
    <w:p w:rsidR="003804AC" w:rsidRDefault="00AF18A5" w:rsidP="00686BD1">
      <w:r>
        <w:t>En el caso de los pueblos étnicos, entender los reconocimientos puede hacer parte de sus luchas</w:t>
      </w:r>
      <w:r>
        <w:rPr>
          <w:spacing w:val="-15"/>
        </w:rPr>
        <w:t xml:space="preserve"> </w:t>
      </w:r>
      <w:r>
        <w:t>históricas,</w:t>
      </w:r>
      <w:r>
        <w:rPr>
          <w:spacing w:val="-15"/>
        </w:rPr>
        <w:t xml:space="preserve"> </w:t>
      </w:r>
      <w:r>
        <w:t>en</w:t>
      </w:r>
      <w:r>
        <w:rPr>
          <w:spacing w:val="-15"/>
        </w:rPr>
        <w:t xml:space="preserve"> </w:t>
      </w:r>
      <w:r>
        <w:t>una</w:t>
      </w:r>
      <w:r>
        <w:rPr>
          <w:spacing w:val="-15"/>
        </w:rPr>
        <w:t xml:space="preserve"> </w:t>
      </w:r>
      <w:r>
        <w:t>perspectiva</w:t>
      </w:r>
      <w:r>
        <w:rPr>
          <w:spacing w:val="-15"/>
        </w:rPr>
        <w:t xml:space="preserve"> </w:t>
      </w:r>
      <w:r>
        <w:t>de</w:t>
      </w:r>
      <w:r>
        <w:rPr>
          <w:spacing w:val="-15"/>
        </w:rPr>
        <w:t xml:space="preserve"> </w:t>
      </w:r>
      <w:r>
        <w:t>reivindicación</w:t>
      </w:r>
      <w:r>
        <w:rPr>
          <w:spacing w:val="-15"/>
        </w:rPr>
        <w:t xml:space="preserve"> </w:t>
      </w:r>
      <w:r>
        <w:t>de</w:t>
      </w:r>
      <w:r>
        <w:rPr>
          <w:spacing w:val="-15"/>
        </w:rPr>
        <w:t xml:space="preserve"> </w:t>
      </w:r>
      <w:r>
        <w:t>derechos</w:t>
      </w:r>
      <w:r>
        <w:rPr>
          <w:spacing w:val="-15"/>
        </w:rPr>
        <w:t xml:space="preserve"> </w:t>
      </w:r>
      <w:r>
        <w:t>colectivos,</w:t>
      </w:r>
      <w:r>
        <w:rPr>
          <w:spacing w:val="-15"/>
        </w:rPr>
        <w:t xml:space="preserve"> </w:t>
      </w:r>
      <w:r>
        <w:t>profundizando en cómo se integran a sus demandas históricas de dignidad frente al racismo y la exclusión, además de la guerra sufrida. Dada su naturaleza colectiva, organizada en cabildos y otras formas de gobierno indígena, así como en consejos comunitarios propios de los pueblos afrodescendientes, los reconocimientos se orientan desde su propia cosmovisión y criterios, desde su relación con los territorios, a través de una metodología contra el racismo y otras formas de discriminación y deshumanización. En otras palabras, pasa por la necesidad de considerar la dimensión del derecho y de la justicia restaurativa. Este último es un aspecto que emerge como particular en el reconocimiento de los pueblos étnicos y que exige de los responsables el reconocimiento de que han cometido violaciones contra otros que han reforzado expresiones colectivas e históricas de opresión, exclusión y discriminación.</w:t>
      </w:r>
    </w:p>
    <w:p w:rsidR="003804AC" w:rsidRDefault="00AF18A5" w:rsidP="00686BD1">
      <w:r>
        <w:t xml:space="preserve">Por otra parte, debido al abandono histórico, a la negación y a la misma </w:t>
      </w:r>
      <w:r>
        <w:lastRenderedPageBreak/>
        <w:t>violación de derechos</w:t>
      </w:r>
      <w:r>
        <w:rPr>
          <w:spacing w:val="-2"/>
        </w:rPr>
        <w:t xml:space="preserve"> </w:t>
      </w:r>
      <w:r>
        <w:t>por</w:t>
      </w:r>
      <w:r>
        <w:rPr>
          <w:spacing w:val="-2"/>
        </w:rPr>
        <w:t xml:space="preserve"> </w:t>
      </w:r>
      <w:r>
        <w:t>parte</w:t>
      </w:r>
      <w:r>
        <w:rPr>
          <w:spacing w:val="-2"/>
        </w:rPr>
        <w:t xml:space="preserve"> </w:t>
      </w:r>
      <w:r>
        <w:t>del</w:t>
      </w:r>
      <w:r>
        <w:rPr>
          <w:spacing w:val="-2"/>
        </w:rPr>
        <w:t xml:space="preserve"> </w:t>
      </w:r>
      <w:r>
        <w:t>Estado,</w:t>
      </w:r>
      <w:r>
        <w:rPr>
          <w:spacing w:val="-2"/>
        </w:rPr>
        <w:t xml:space="preserve"> </w:t>
      </w:r>
      <w:r>
        <w:t>los</w:t>
      </w:r>
      <w:r>
        <w:rPr>
          <w:spacing w:val="-2"/>
        </w:rPr>
        <w:t xml:space="preserve"> </w:t>
      </w:r>
      <w:r>
        <w:t>reconocimientos</w:t>
      </w:r>
      <w:r>
        <w:rPr>
          <w:spacing w:val="-2"/>
        </w:rPr>
        <w:t xml:space="preserve"> </w:t>
      </w:r>
      <w:r>
        <w:t>de</w:t>
      </w:r>
      <w:r>
        <w:rPr>
          <w:spacing w:val="-2"/>
        </w:rPr>
        <w:t xml:space="preserve"> </w:t>
      </w:r>
      <w:r>
        <w:t>responsabilidad,</w:t>
      </w:r>
      <w:r>
        <w:rPr>
          <w:spacing w:val="-2"/>
        </w:rPr>
        <w:t xml:space="preserve"> </w:t>
      </w:r>
      <w:r>
        <w:t>en</w:t>
      </w:r>
      <w:r>
        <w:rPr>
          <w:spacing w:val="-4"/>
        </w:rPr>
        <w:t xml:space="preserve"> </w:t>
      </w:r>
      <w:r>
        <w:t>el</w:t>
      </w:r>
      <w:r>
        <w:rPr>
          <w:spacing w:val="-2"/>
        </w:rPr>
        <w:t xml:space="preserve"> </w:t>
      </w:r>
      <w:r>
        <w:t>contexto</w:t>
      </w:r>
      <w:r>
        <w:rPr>
          <w:spacing w:val="-4"/>
        </w:rPr>
        <w:t xml:space="preserve"> </w:t>
      </w:r>
      <w:r>
        <w:t>de</w:t>
      </w:r>
      <w:r>
        <w:rPr>
          <w:spacing w:val="-2"/>
        </w:rPr>
        <w:t xml:space="preserve"> </w:t>
      </w:r>
      <w:r>
        <w:t>los pueblos étnicos, han sido esfuerzos de restitución de la confianza perdida frente a las instituciones.</w:t>
      </w:r>
      <w:r>
        <w:rPr>
          <w:spacing w:val="51"/>
        </w:rPr>
        <w:t xml:space="preserve"> </w:t>
      </w:r>
      <w:r>
        <w:t>Son</w:t>
      </w:r>
      <w:r>
        <w:rPr>
          <w:spacing w:val="54"/>
        </w:rPr>
        <w:t xml:space="preserve"> </w:t>
      </w:r>
      <w:r>
        <w:t>pueblos</w:t>
      </w:r>
      <w:r>
        <w:rPr>
          <w:spacing w:val="53"/>
        </w:rPr>
        <w:t xml:space="preserve"> </w:t>
      </w:r>
      <w:r>
        <w:t>y</w:t>
      </w:r>
      <w:r>
        <w:rPr>
          <w:spacing w:val="54"/>
        </w:rPr>
        <w:t xml:space="preserve"> </w:t>
      </w:r>
      <w:r>
        <w:t>comunidades</w:t>
      </w:r>
      <w:r>
        <w:rPr>
          <w:spacing w:val="53"/>
        </w:rPr>
        <w:t xml:space="preserve"> </w:t>
      </w:r>
      <w:r>
        <w:t>que</w:t>
      </w:r>
      <w:r>
        <w:rPr>
          <w:spacing w:val="52"/>
        </w:rPr>
        <w:t xml:space="preserve"> </w:t>
      </w:r>
      <w:r>
        <w:t>se</w:t>
      </w:r>
      <w:r>
        <w:rPr>
          <w:spacing w:val="53"/>
        </w:rPr>
        <w:t xml:space="preserve"> </w:t>
      </w:r>
      <w:r>
        <w:t>resisten</w:t>
      </w:r>
      <w:r>
        <w:rPr>
          <w:spacing w:val="53"/>
        </w:rPr>
        <w:t xml:space="preserve"> </w:t>
      </w:r>
      <w:r>
        <w:t>a</w:t>
      </w:r>
      <w:r>
        <w:rPr>
          <w:spacing w:val="53"/>
        </w:rPr>
        <w:t xml:space="preserve"> </w:t>
      </w:r>
      <w:r>
        <w:t>ser</w:t>
      </w:r>
      <w:r>
        <w:rPr>
          <w:spacing w:val="53"/>
        </w:rPr>
        <w:t xml:space="preserve"> </w:t>
      </w:r>
      <w:r>
        <w:t>instrumentalizados.</w:t>
      </w:r>
      <w:r>
        <w:rPr>
          <w:spacing w:val="54"/>
        </w:rPr>
        <w:t xml:space="preserve"> </w:t>
      </w:r>
      <w:r>
        <w:rPr>
          <w:spacing w:val="-5"/>
        </w:rPr>
        <w:t>Su</w:t>
      </w:r>
      <w:r w:rsidR="00686BD1">
        <w:t xml:space="preserve"> </w:t>
      </w:r>
      <w:r>
        <w:t>participación,</w:t>
      </w:r>
      <w:r>
        <w:rPr>
          <w:spacing w:val="-4"/>
        </w:rPr>
        <w:t xml:space="preserve"> </w:t>
      </w:r>
      <w:r>
        <w:t>más</w:t>
      </w:r>
      <w:r>
        <w:rPr>
          <w:spacing w:val="-3"/>
        </w:rPr>
        <w:t xml:space="preserve"> </w:t>
      </w:r>
      <w:r>
        <w:t>allá</w:t>
      </w:r>
      <w:r>
        <w:rPr>
          <w:spacing w:val="-3"/>
        </w:rPr>
        <w:t xml:space="preserve"> </w:t>
      </w:r>
      <w:r>
        <w:t>de</w:t>
      </w:r>
      <w:r>
        <w:rPr>
          <w:spacing w:val="-3"/>
        </w:rPr>
        <w:t xml:space="preserve"> </w:t>
      </w:r>
      <w:r>
        <w:t>un</w:t>
      </w:r>
      <w:r>
        <w:rPr>
          <w:spacing w:val="-4"/>
        </w:rPr>
        <w:t xml:space="preserve"> </w:t>
      </w:r>
      <w:r>
        <w:t>requisito</w:t>
      </w:r>
      <w:r>
        <w:rPr>
          <w:spacing w:val="-4"/>
        </w:rPr>
        <w:t xml:space="preserve"> </w:t>
      </w:r>
      <w:r>
        <w:t>consignado</w:t>
      </w:r>
      <w:r>
        <w:rPr>
          <w:spacing w:val="-4"/>
        </w:rPr>
        <w:t xml:space="preserve"> </w:t>
      </w:r>
      <w:r>
        <w:t>en</w:t>
      </w:r>
      <w:r>
        <w:rPr>
          <w:spacing w:val="-4"/>
        </w:rPr>
        <w:t xml:space="preserve"> </w:t>
      </w:r>
      <w:r>
        <w:t>un</w:t>
      </w:r>
      <w:r>
        <w:rPr>
          <w:spacing w:val="-4"/>
        </w:rPr>
        <w:t xml:space="preserve"> </w:t>
      </w:r>
      <w:r>
        <w:t>decreto</w:t>
      </w:r>
      <w:r>
        <w:rPr>
          <w:spacing w:val="-4"/>
        </w:rPr>
        <w:t xml:space="preserve"> </w:t>
      </w:r>
      <w:r>
        <w:t>o</w:t>
      </w:r>
      <w:r>
        <w:rPr>
          <w:spacing w:val="-4"/>
        </w:rPr>
        <w:t xml:space="preserve"> </w:t>
      </w:r>
      <w:r>
        <w:t>en</w:t>
      </w:r>
      <w:r>
        <w:rPr>
          <w:spacing w:val="-4"/>
        </w:rPr>
        <w:t xml:space="preserve"> </w:t>
      </w:r>
      <w:r>
        <w:t>el</w:t>
      </w:r>
      <w:r>
        <w:rPr>
          <w:spacing w:val="-3"/>
        </w:rPr>
        <w:t xml:space="preserve"> </w:t>
      </w:r>
      <w:r>
        <w:t>Acuerdo,</w:t>
      </w:r>
      <w:r>
        <w:rPr>
          <w:spacing w:val="-4"/>
        </w:rPr>
        <w:t xml:space="preserve"> </w:t>
      </w:r>
      <w:r>
        <w:t>debe</w:t>
      </w:r>
      <w:r>
        <w:rPr>
          <w:spacing w:val="-5"/>
        </w:rPr>
        <w:t xml:space="preserve"> </w:t>
      </w:r>
      <w:r>
        <w:t>tener una consecuencia en las condiciones de no repetición de la violencia histórica padecida.</w:t>
      </w:r>
    </w:p>
    <w:p w:rsidR="003804AC" w:rsidRDefault="00AF18A5" w:rsidP="00686BD1">
      <w:r>
        <w:t>Los miembros de la fuerza pública que han participado en procesos de reconocimiento asumieron responsabilidad individual pero no institucional. En pocas palabras, que las prácticas</w:t>
      </w:r>
      <w:r>
        <w:rPr>
          <w:spacing w:val="64"/>
        </w:rPr>
        <w:t xml:space="preserve"> </w:t>
      </w:r>
      <w:r>
        <w:t>obedecieron</w:t>
      </w:r>
      <w:r>
        <w:rPr>
          <w:spacing w:val="68"/>
        </w:rPr>
        <w:t xml:space="preserve"> </w:t>
      </w:r>
      <w:r>
        <w:t>a</w:t>
      </w:r>
      <w:r>
        <w:rPr>
          <w:spacing w:val="67"/>
        </w:rPr>
        <w:t xml:space="preserve"> </w:t>
      </w:r>
      <w:r>
        <w:t>decisiones</w:t>
      </w:r>
      <w:r>
        <w:rPr>
          <w:spacing w:val="67"/>
        </w:rPr>
        <w:t xml:space="preserve"> </w:t>
      </w:r>
      <w:r>
        <w:t>personales,</w:t>
      </w:r>
      <w:r>
        <w:rPr>
          <w:spacing w:val="67"/>
        </w:rPr>
        <w:t xml:space="preserve"> </w:t>
      </w:r>
      <w:r>
        <w:t>justificando</w:t>
      </w:r>
      <w:r>
        <w:rPr>
          <w:spacing w:val="68"/>
        </w:rPr>
        <w:t xml:space="preserve"> </w:t>
      </w:r>
      <w:r>
        <w:t>con</w:t>
      </w:r>
      <w:r>
        <w:rPr>
          <w:spacing w:val="68"/>
        </w:rPr>
        <w:t xml:space="preserve"> </w:t>
      </w:r>
      <w:r>
        <w:t>ello</w:t>
      </w:r>
      <w:r>
        <w:rPr>
          <w:spacing w:val="67"/>
        </w:rPr>
        <w:t xml:space="preserve"> </w:t>
      </w:r>
      <w:r>
        <w:t>la</w:t>
      </w:r>
      <w:r>
        <w:rPr>
          <w:spacing w:val="68"/>
        </w:rPr>
        <w:t xml:space="preserve"> </w:t>
      </w:r>
      <w:r>
        <w:t>versión</w:t>
      </w:r>
      <w:r>
        <w:rPr>
          <w:spacing w:val="66"/>
        </w:rPr>
        <w:t xml:space="preserve"> </w:t>
      </w:r>
      <w:r>
        <w:t>de</w:t>
      </w:r>
      <w:r>
        <w:rPr>
          <w:spacing w:val="68"/>
        </w:rPr>
        <w:t xml:space="preserve"> </w:t>
      </w:r>
      <w:r>
        <w:rPr>
          <w:spacing w:val="-5"/>
        </w:rPr>
        <w:t>las</w:t>
      </w:r>
      <w:r w:rsidR="00686BD1">
        <w:t xml:space="preserve"> </w:t>
      </w:r>
      <w:r>
        <w:t>«manzanas podridas». Sin embargo, persiste también una autocrítica que cuestiona la doctrina militar y, sobre todo, las prácticas «no formales» de violencia contra los derechos humanos. Para este grupo de responsables, reconocer responsabilidades supone asumir un quiebre con la institucionalidad que lo cobijaba. Muchos expresan sentimientos de soledad, de sensación</w:t>
      </w:r>
      <w:r>
        <w:rPr>
          <w:spacing w:val="-1"/>
        </w:rPr>
        <w:t xml:space="preserve"> </w:t>
      </w:r>
      <w:r>
        <w:t>de abandono de la</w:t>
      </w:r>
      <w:r>
        <w:rPr>
          <w:spacing w:val="-1"/>
        </w:rPr>
        <w:t xml:space="preserve"> </w:t>
      </w:r>
      <w:r>
        <w:t>institución en</w:t>
      </w:r>
      <w:r>
        <w:rPr>
          <w:spacing w:val="-1"/>
        </w:rPr>
        <w:t xml:space="preserve"> </w:t>
      </w:r>
      <w:r>
        <w:t>sus</w:t>
      </w:r>
      <w:r>
        <w:rPr>
          <w:spacing w:val="-1"/>
        </w:rPr>
        <w:t xml:space="preserve"> </w:t>
      </w:r>
      <w:r>
        <w:t>procesos</w:t>
      </w:r>
      <w:r>
        <w:rPr>
          <w:spacing w:val="-1"/>
        </w:rPr>
        <w:t xml:space="preserve"> </w:t>
      </w:r>
      <w:r>
        <w:t>de</w:t>
      </w:r>
      <w:r>
        <w:rPr>
          <w:spacing w:val="-1"/>
        </w:rPr>
        <w:t xml:space="preserve"> </w:t>
      </w:r>
      <w:r>
        <w:t>defensa, de</w:t>
      </w:r>
      <w:r>
        <w:rPr>
          <w:spacing w:val="-1"/>
        </w:rPr>
        <w:t xml:space="preserve"> </w:t>
      </w:r>
      <w:r>
        <w:t>asumir el peso de la responsabilidad desde el escarnio público. El deshonor sobre ellos y no sobre la institucionalidad que los ampara, la traición a la ética de la institución. No obstante, para la Comisión y las víctimas, el mérito de los reconocimientos es que son una forma de rehumanización de los responsables y muestran el valor de enfrentarlos a su negacionismo, a la existencia de las ejecuciones extrajudiciales o las relaciones con el paramilitarismo.</w:t>
      </w:r>
    </w:p>
    <w:p w:rsidR="003804AC" w:rsidRDefault="00AF18A5" w:rsidP="00686BD1">
      <w:r>
        <w:t>En</w:t>
      </w:r>
      <w:r>
        <w:rPr>
          <w:spacing w:val="-14"/>
        </w:rPr>
        <w:t xml:space="preserve"> </w:t>
      </w:r>
      <w:r>
        <w:t>cuanto</w:t>
      </w:r>
      <w:r>
        <w:rPr>
          <w:spacing w:val="-14"/>
        </w:rPr>
        <w:t xml:space="preserve"> </w:t>
      </w:r>
      <w:r>
        <w:t>a</w:t>
      </w:r>
      <w:r>
        <w:rPr>
          <w:spacing w:val="-15"/>
        </w:rPr>
        <w:t xml:space="preserve"> </w:t>
      </w:r>
      <w:r>
        <w:t>los</w:t>
      </w:r>
      <w:r>
        <w:rPr>
          <w:spacing w:val="-14"/>
        </w:rPr>
        <w:t xml:space="preserve"> </w:t>
      </w:r>
      <w:r>
        <w:t>exmiembros</w:t>
      </w:r>
      <w:r>
        <w:rPr>
          <w:spacing w:val="-14"/>
        </w:rPr>
        <w:t xml:space="preserve"> </w:t>
      </w:r>
      <w:r>
        <w:t>de</w:t>
      </w:r>
      <w:r>
        <w:rPr>
          <w:spacing w:val="-14"/>
        </w:rPr>
        <w:t xml:space="preserve"> </w:t>
      </w:r>
      <w:r>
        <w:t>las</w:t>
      </w:r>
      <w:r>
        <w:rPr>
          <w:spacing w:val="-14"/>
        </w:rPr>
        <w:t xml:space="preserve"> </w:t>
      </w:r>
      <w:r>
        <w:t>FARC-EP,</w:t>
      </w:r>
      <w:r>
        <w:rPr>
          <w:spacing w:val="-14"/>
        </w:rPr>
        <w:t xml:space="preserve"> </w:t>
      </w:r>
      <w:r>
        <w:t>los</w:t>
      </w:r>
      <w:r>
        <w:rPr>
          <w:spacing w:val="-14"/>
        </w:rPr>
        <w:t xml:space="preserve"> </w:t>
      </w:r>
      <w:r>
        <w:t>reconocimientos</w:t>
      </w:r>
      <w:r>
        <w:rPr>
          <w:spacing w:val="-14"/>
        </w:rPr>
        <w:t xml:space="preserve"> </w:t>
      </w:r>
      <w:r>
        <w:t>de</w:t>
      </w:r>
      <w:r>
        <w:rPr>
          <w:spacing w:val="-15"/>
        </w:rPr>
        <w:t xml:space="preserve"> </w:t>
      </w:r>
      <w:r>
        <w:t>responsabilidad</w:t>
      </w:r>
      <w:r>
        <w:rPr>
          <w:spacing w:val="-15"/>
        </w:rPr>
        <w:t xml:space="preserve"> </w:t>
      </w:r>
      <w:r>
        <w:t xml:space="preserve">han supuesto reconocer las consecuencias de sus acciones y cuestionar su supuesta legitimidad, su falta de visión y consideración con las víctimas, su rigidez ideológica. Más aún frente a </w:t>
      </w:r>
      <w:r>
        <w:lastRenderedPageBreak/>
        <w:t>las</w:t>
      </w:r>
      <w:r>
        <w:rPr>
          <w:spacing w:val="-13"/>
        </w:rPr>
        <w:t xml:space="preserve"> </w:t>
      </w:r>
      <w:r>
        <w:t>comunidades</w:t>
      </w:r>
      <w:r>
        <w:rPr>
          <w:spacing w:val="-10"/>
        </w:rPr>
        <w:t xml:space="preserve"> </w:t>
      </w:r>
      <w:r>
        <w:t>de</w:t>
      </w:r>
      <w:r>
        <w:rPr>
          <w:spacing w:val="-10"/>
        </w:rPr>
        <w:t xml:space="preserve"> </w:t>
      </w:r>
      <w:r>
        <w:t>las</w:t>
      </w:r>
      <w:r>
        <w:rPr>
          <w:spacing w:val="-11"/>
        </w:rPr>
        <w:t xml:space="preserve"> </w:t>
      </w:r>
      <w:r>
        <w:t>que</w:t>
      </w:r>
      <w:r>
        <w:rPr>
          <w:spacing w:val="-10"/>
        </w:rPr>
        <w:t xml:space="preserve"> </w:t>
      </w:r>
      <w:r>
        <w:t>surgieron</w:t>
      </w:r>
      <w:r>
        <w:rPr>
          <w:spacing w:val="-11"/>
        </w:rPr>
        <w:t xml:space="preserve"> </w:t>
      </w:r>
      <w:r>
        <w:t>o</w:t>
      </w:r>
      <w:r>
        <w:rPr>
          <w:spacing w:val="-11"/>
        </w:rPr>
        <w:t xml:space="preserve"> </w:t>
      </w:r>
      <w:r>
        <w:t>ante</w:t>
      </w:r>
      <w:r>
        <w:rPr>
          <w:spacing w:val="-10"/>
        </w:rPr>
        <w:t xml:space="preserve"> </w:t>
      </w:r>
      <w:r>
        <w:t>las</w:t>
      </w:r>
      <w:r>
        <w:rPr>
          <w:spacing w:val="-10"/>
        </w:rPr>
        <w:t xml:space="preserve"> </w:t>
      </w:r>
      <w:r>
        <w:t>cuales</w:t>
      </w:r>
      <w:r>
        <w:rPr>
          <w:spacing w:val="-11"/>
        </w:rPr>
        <w:t xml:space="preserve"> </w:t>
      </w:r>
      <w:r>
        <w:t>reconocieron</w:t>
      </w:r>
      <w:r>
        <w:rPr>
          <w:spacing w:val="-10"/>
        </w:rPr>
        <w:t xml:space="preserve"> </w:t>
      </w:r>
      <w:r>
        <w:t>directamente</w:t>
      </w:r>
      <w:r>
        <w:rPr>
          <w:spacing w:val="-11"/>
        </w:rPr>
        <w:t xml:space="preserve"> </w:t>
      </w:r>
      <w:r>
        <w:t>los</w:t>
      </w:r>
      <w:r>
        <w:rPr>
          <w:spacing w:val="-10"/>
        </w:rPr>
        <w:t xml:space="preserve"> </w:t>
      </w:r>
      <w:r>
        <w:rPr>
          <w:spacing w:val="-2"/>
        </w:rPr>
        <w:t>hechos.</w:t>
      </w:r>
    </w:p>
    <w:p w:rsidR="003804AC" w:rsidRDefault="00AF18A5" w:rsidP="00686BD1">
      <w:r>
        <w:t>Mirar a los ojos a las víctimas, escuchar su dolor y sus reclamos, confrontarse con cosas que nunca se vieron, afrontar los dilemas éticos de su propia responsabilidad y asumir el desafío</w:t>
      </w:r>
      <w:r>
        <w:rPr>
          <w:spacing w:val="-5"/>
        </w:rPr>
        <w:t xml:space="preserve"> </w:t>
      </w:r>
      <w:r>
        <w:t>de</w:t>
      </w:r>
      <w:r>
        <w:rPr>
          <w:spacing w:val="-5"/>
        </w:rPr>
        <w:t xml:space="preserve"> </w:t>
      </w:r>
      <w:r>
        <w:t>hacer</w:t>
      </w:r>
      <w:r>
        <w:rPr>
          <w:spacing w:val="-4"/>
        </w:rPr>
        <w:t xml:space="preserve"> </w:t>
      </w:r>
      <w:r>
        <w:t>con</w:t>
      </w:r>
      <w:r>
        <w:rPr>
          <w:spacing w:val="-5"/>
        </w:rPr>
        <w:t xml:space="preserve"> </w:t>
      </w:r>
      <w:r>
        <w:t>todo</w:t>
      </w:r>
      <w:r>
        <w:rPr>
          <w:spacing w:val="-5"/>
        </w:rPr>
        <w:t xml:space="preserve"> </w:t>
      </w:r>
      <w:r>
        <w:t>ello</w:t>
      </w:r>
      <w:r>
        <w:rPr>
          <w:spacing w:val="-5"/>
        </w:rPr>
        <w:t xml:space="preserve"> </w:t>
      </w:r>
      <w:r>
        <w:t>una</w:t>
      </w:r>
      <w:r>
        <w:rPr>
          <w:spacing w:val="-5"/>
        </w:rPr>
        <w:t xml:space="preserve"> </w:t>
      </w:r>
      <w:r>
        <w:t>contribución</w:t>
      </w:r>
      <w:r>
        <w:rPr>
          <w:spacing w:val="-5"/>
        </w:rPr>
        <w:t xml:space="preserve"> </w:t>
      </w:r>
      <w:r>
        <w:t>efectiva</w:t>
      </w:r>
      <w:r>
        <w:rPr>
          <w:spacing w:val="-5"/>
        </w:rPr>
        <w:t xml:space="preserve"> </w:t>
      </w:r>
      <w:r>
        <w:t>a</w:t>
      </w:r>
      <w:r>
        <w:rPr>
          <w:spacing w:val="-5"/>
        </w:rPr>
        <w:t xml:space="preserve"> </w:t>
      </w:r>
      <w:r>
        <w:t>la</w:t>
      </w:r>
      <w:r>
        <w:rPr>
          <w:spacing w:val="-5"/>
        </w:rPr>
        <w:t xml:space="preserve"> </w:t>
      </w:r>
      <w:r>
        <w:t>paz,</w:t>
      </w:r>
      <w:r>
        <w:rPr>
          <w:spacing w:val="-5"/>
        </w:rPr>
        <w:t xml:space="preserve"> </w:t>
      </w:r>
      <w:r>
        <w:t>son</w:t>
      </w:r>
      <w:r>
        <w:rPr>
          <w:spacing w:val="-5"/>
        </w:rPr>
        <w:t xml:space="preserve"> </w:t>
      </w:r>
      <w:r>
        <w:t>aspectos</w:t>
      </w:r>
      <w:r>
        <w:rPr>
          <w:spacing w:val="-5"/>
        </w:rPr>
        <w:t xml:space="preserve"> </w:t>
      </w:r>
      <w:r>
        <w:t>clave</w:t>
      </w:r>
      <w:r>
        <w:rPr>
          <w:spacing w:val="-5"/>
        </w:rPr>
        <w:t xml:space="preserve"> </w:t>
      </w:r>
      <w:r>
        <w:t>que</w:t>
      </w:r>
      <w:r>
        <w:rPr>
          <w:spacing w:val="-5"/>
        </w:rPr>
        <w:t xml:space="preserve"> </w:t>
      </w:r>
      <w:r>
        <w:t>dan sentido a los procesos de reconocimiento de responsabilidades. Escuchar lo que no se ha querido oír, o reconocer lo que se ha tratado de obviar, forman parte del diálogo difícil que se</w:t>
      </w:r>
      <w:r>
        <w:rPr>
          <w:spacing w:val="-10"/>
        </w:rPr>
        <w:t xml:space="preserve"> </w:t>
      </w:r>
      <w:r>
        <w:t>ha</w:t>
      </w:r>
      <w:r>
        <w:rPr>
          <w:spacing w:val="-10"/>
        </w:rPr>
        <w:t xml:space="preserve"> </w:t>
      </w:r>
      <w:r>
        <w:t>mostrado</w:t>
      </w:r>
      <w:r>
        <w:rPr>
          <w:spacing w:val="-11"/>
        </w:rPr>
        <w:t xml:space="preserve"> </w:t>
      </w:r>
      <w:r>
        <w:t>como</w:t>
      </w:r>
      <w:r>
        <w:rPr>
          <w:spacing w:val="-11"/>
        </w:rPr>
        <w:t xml:space="preserve"> </w:t>
      </w:r>
      <w:r>
        <w:t>intratable</w:t>
      </w:r>
      <w:r>
        <w:rPr>
          <w:spacing w:val="-10"/>
        </w:rPr>
        <w:t xml:space="preserve"> </w:t>
      </w:r>
      <w:r>
        <w:t>durante</w:t>
      </w:r>
      <w:r>
        <w:rPr>
          <w:spacing w:val="-10"/>
        </w:rPr>
        <w:t xml:space="preserve"> </w:t>
      </w:r>
      <w:r>
        <w:t>décadas,</w:t>
      </w:r>
      <w:r>
        <w:rPr>
          <w:spacing w:val="-11"/>
        </w:rPr>
        <w:t xml:space="preserve"> </w:t>
      </w:r>
      <w:r>
        <w:t>pero</w:t>
      </w:r>
      <w:r>
        <w:rPr>
          <w:spacing w:val="-11"/>
        </w:rPr>
        <w:t xml:space="preserve"> </w:t>
      </w:r>
      <w:r>
        <w:t>que</w:t>
      </w:r>
      <w:r>
        <w:rPr>
          <w:spacing w:val="-10"/>
        </w:rPr>
        <w:t xml:space="preserve"> </w:t>
      </w:r>
      <w:r>
        <w:t>constituye</w:t>
      </w:r>
      <w:r>
        <w:rPr>
          <w:spacing w:val="-10"/>
        </w:rPr>
        <w:t xml:space="preserve"> </w:t>
      </w:r>
      <w:r>
        <w:t>el</w:t>
      </w:r>
      <w:r>
        <w:rPr>
          <w:spacing w:val="-10"/>
        </w:rPr>
        <w:t xml:space="preserve"> </w:t>
      </w:r>
      <w:r>
        <w:t>paso</w:t>
      </w:r>
      <w:r>
        <w:rPr>
          <w:spacing w:val="-11"/>
        </w:rPr>
        <w:t xml:space="preserve"> </w:t>
      </w:r>
      <w:r>
        <w:t>franco</w:t>
      </w:r>
      <w:r>
        <w:rPr>
          <w:spacing w:val="-11"/>
        </w:rPr>
        <w:t xml:space="preserve"> </w:t>
      </w:r>
      <w:r>
        <w:t>y</w:t>
      </w:r>
      <w:r>
        <w:rPr>
          <w:spacing w:val="-11"/>
        </w:rPr>
        <w:t xml:space="preserve"> </w:t>
      </w:r>
      <w:r>
        <w:t>sincero para sembrar las semillas de un país en paz.</w:t>
      </w:r>
    </w:p>
    <w:p w:rsidR="0011361F" w:rsidRDefault="00AF18A5" w:rsidP="004A6EF4">
      <w:pPr>
        <w:pStyle w:val="Ttulo3"/>
        <w:numPr>
          <w:ilvl w:val="1"/>
          <w:numId w:val="16"/>
        </w:numPr>
      </w:pPr>
      <w:bookmarkStart w:id="1434" w:name="11.3._La_verdad_que_emerge_de_los_proces"/>
      <w:bookmarkStart w:id="1435" w:name="_Toc112399670"/>
      <w:bookmarkEnd w:id="1434"/>
      <w:r>
        <w:t>La</w:t>
      </w:r>
      <w:r>
        <w:rPr>
          <w:spacing w:val="-1"/>
        </w:rPr>
        <w:t xml:space="preserve"> </w:t>
      </w:r>
      <w:r>
        <w:t>verdad</w:t>
      </w:r>
      <w:r>
        <w:rPr>
          <w:spacing w:val="-2"/>
        </w:rPr>
        <w:t xml:space="preserve"> </w:t>
      </w:r>
      <w:r>
        <w:t>que</w:t>
      </w:r>
      <w:r>
        <w:rPr>
          <w:spacing w:val="-1"/>
        </w:rPr>
        <w:t xml:space="preserve"> </w:t>
      </w:r>
      <w:r>
        <w:t>emerge</w:t>
      </w:r>
      <w:r>
        <w:rPr>
          <w:spacing w:val="-1"/>
        </w:rPr>
        <w:t xml:space="preserve"> </w:t>
      </w:r>
      <w:r>
        <w:t>de</w:t>
      </w:r>
      <w:r>
        <w:rPr>
          <w:spacing w:val="-1"/>
        </w:rPr>
        <w:t xml:space="preserve"> </w:t>
      </w:r>
      <w:r>
        <w:t>los</w:t>
      </w:r>
      <w:r>
        <w:rPr>
          <w:spacing w:val="-3"/>
        </w:rPr>
        <w:t xml:space="preserve"> </w:t>
      </w:r>
      <w:r w:rsidRPr="009219EC">
        <w:t>procesos</w:t>
      </w:r>
      <w:r>
        <w:rPr>
          <w:spacing w:val="-1"/>
        </w:rPr>
        <w:t xml:space="preserve"> </w:t>
      </w:r>
      <w:r>
        <w:t>de</w:t>
      </w:r>
      <w:r>
        <w:rPr>
          <w:spacing w:val="-1"/>
        </w:rPr>
        <w:t xml:space="preserve"> </w:t>
      </w:r>
      <w:r>
        <w:rPr>
          <w:spacing w:val="-2"/>
        </w:rPr>
        <w:t>reconocimiento</w:t>
      </w:r>
      <w:bookmarkEnd w:id="1435"/>
    </w:p>
    <w:p w:rsidR="0011361F" w:rsidRDefault="00AF18A5" w:rsidP="004A6EF4">
      <w:pPr>
        <w:pStyle w:val="Ttulo4"/>
        <w:numPr>
          <w:ilvl w:val="2"/>
          <w:numId w:val="16"/>
        </w:numPr>
      </w:pPr>
      <w:bookmarkStart w:id="1436" w:name="11.3.1._El_valor_de_la_autenticidad"/>
      <w:bookmarkEnd w:id="1436"/>
      <w:r>
        <w:t>El</w:t>
      </w:r>
      <w:r>
        <w:rPr>
          <w:spacing w:val="-1"/>
        </w:rPr>
        <w:t xml:space="preserve"> </w:t>
      </w:r>
      <w:r>
        <w:t>valor de</w:t>
      </w:r>
      <w:r>
        <w:rPr>
          <w:spacing w:val="-1"/>
        </w:rPr>
        <w:t xml:space="preserve"> </w:t>
      </w:r>
      <w:r>
        <w:t xml:space="preserve">la </w:t>
      </w:r>
      <w:r w:rsidRPr="009219EC">
        <w:t>autenticidad</w:t>
      </w:r>
    </w:p>
    <w:p w:rsidR="003804AC" w:rsidRDefault="00AF18A5" w:rsidP="009219EC">
      <w:r>
        <w:t>Para algunas víctimas, no fue la primera vez que escucharon versiones de los responsables. Algunas</w:t>
      </w:r>
      <w:r>
        <w:rPr>
          <w:spacing w:val="-1"/>
        </w:rPr>
        <w:t xml:space="preserve"> </w:t>
      </w:r>
      <w:r>
        <w:t>tuvieron</w:t>
      </w:r>
      <w:r>
        <w:rPr>
          <w:spacing w:val="-1"/>
        </w:rPr>
        <w:t xml:space="preserve"> </w:t>
      </w:r>
      <w:r>
        <w:t>la</w:t>
      </w:r>
      <w:r>
        <w:rPr>
          <w:spacing w:val="-1"/>
        </w:rPr>
        <w:t xml:space="preserve"> </w:t>
      </w:r>
      <w:r>
        <w:t>oportunidad</w:t>
      </w:r>
      <w:r>
        <w:rPr>
          <w:spacing w:val="-1"/>
        </w:rPr>
        <w:t xml:space="preserve"> </w:t>
      </w:r>
      <w:r>
        <w:t>de</w:t>
      </w:r>
      <w:r>
        <w:rPr>
          <w:spacing w:val="-1"/>
        </w:rPr>
        <w:t xml:space="preserve"> </w:t>
      </w:r>
      <w:r>
        <w:t>escuchar</w:t>
      </w:r>
      <w:r>
        <w:rPr>
          <w:spacing w:val="-1"/>
        </w:rPr>
        <w:t xml:space="preserve"> </w:t>
      </w:r>
      <w:r>
        <w:t>a</w:t>
      </w:r>
      <w:r>
        <w:rPr>
          <w:spacing w:val="-1"/>
        </w:rPr>
        <w:t xml:space="preserve"> </w:t>
      </w:r>
      <w:proofErr w:type="spellStart"/>
      <w:r>
        <w:t>exparamilitares</w:t>
      </w:r>
      <w:proofErr w:type="spellEnd"/>
      <w:r>
        <w:rPr>
          <w:spacing w:val="-1"/>
        </w:rPr>
        <w:t xml:space="preserve"> </w:t>
      </w:r>
      <w:r>
        <w:t>en</w:t>
      </w:r>
      <w:r>
        <w:rPr>
          <w:spacing w:val="-1"/>
        </w:rPr>
        <w:t xml:space="preserve"> </w:t>
      </w:r>
      <w:r>
        <w:t>audiencias</w:t>
      </w:r>
      <w:r>
        <w:rPr>
          <w:spacing w:val="-1"/>
        </w:rPr>
        <w:t xml:space="preserve"> </w:t>
      </w:r>
      <w:r>
        <w:t>como</w:t>
      </w:r>
      <w:r>
        <w:rPr>
          <w:spacing w:val="-1"/>
        </w:rPr>
        <w:t xml:space="preserve"> </w:t>
      </w:r>
      <w:r>
        <w:t>las</w:t>
      </w:r>
      <w:r>
        <w:rPr>
          <w:spacing w:val="-1"/>
        </w:rPr>
        <w:t xml:space="preserve"> </w:t>
      </w:r>
      <w:r>
        <w:t>de</w:t>
      </w:r>
      <w:r>
        <w:rPr>
          <w:spacing w:val="-1"/>
        </w:rPr>
        <w:t xml:space="preserve"> </w:t>
      </w:r>
      <w:r>
        <w:t>la Ley</w:t>
      </w:r>
      <w:r>
        <w:rPr>
          <w:spacing w:val="-15"/>
        </w:rPr>
        <w:t xml:space="preserve"> </w:t>
      </w:r>
      <w:r>
        <w:t>de</w:t>
      </w:r>
      <w:r>
        <w:rPr>
          <w:spacing w:val="-15"/>
        </w:rPr>
        <w:t xml:space="preserve"> </w:t>
      </w:r>
      <w:r>
        <w:t>Justicia</w:t>
      </w:r>
      <w:r>
        <w:rPr>
          <w:spacing w:val="-14"/>
        </w:rPr>
        <w:t xml:space="preserve"> </w:t>
      </w:r>
      <w:r>
        <w:t>y</w:t>
      </w:r>
      <w:r>
        <w:rPr>
          <w:spacing w:val="-14"/>
        </w:rPr>
        <w:t xml:space="preserve"> </w:t>
      </w:r>
      <w:r>
        <w:t>Paz,</w:t>
      </w:r>
      <w:r>
        <w:rPr>
          <w:spacing w:val="-14"/>
        </w:rPr>
        <w:t xml:space="preserve"> </w:t>
      </w:r>
      <w:r>
        <w:t>en</w:t>
      </w:r>
      <w:r>
        <w:rPr>
          <w:spacing w:val="-15"/>
        </w:rPr>
        <w:t xml:space="preserve"> </w:t>
      </w:r>
      <w:r>
        <w:t>las</w:t>
      </w:r>
      <w:r>
        <w:rPr>
          <w:spacing w:val="-14"/>
        </w:rPr>
        <w:t xml:space="preserve"> </w:t>
      </w:r>
      <w:r>
        <w:t>que</w:t>
      </w:r>
      <w:r>
        <w:rPr>
          <w:spacing w:val="-14"/>
        </w:rPr>
        <w:t xml:space="preserve"> </w:t>
      </w:r>
      <w:r>
        <w:t>el</w:t>
      </w:r>
      <w:r>
        <w:rPr>
          <w:spacing w:val="-14"/>
        </w:rPr>
        <w:t xml:space="preserve"> </w:t>
      </w:r>
      <w:r>
        <w:t>reconocimiento</w:t>
      </w:r>
      <w:r>
        <w:rPr>
          <w:spacing w:val="-15"/>
        </w:rPr>
        <w:t xml:space="preserve"> </w:t>
      </w:r>
      <w:r>
        <w:t>estuvo</w:t>
      </w:r>
      <w:r>
        <w:rPr>
          <w:spacing w:val="-14"/>
        </w:rPr>
        <w:t xml:space="preserve"> </w:t>
      </w:r>
      <w:r>
        <w:t>asociado</w:t>
      </w:r>
      <w:r>
        <w:rPr>
          <w:spacing w:val="-14"/>
        </w:rPr>
        <w:t xml:space="preserve"> </w:t>
      </w:r>
      <w:r>
        <w:t>a</w:t>
      </w:r>
      <w:r>
        <w:rPr>
          <w:spacing w:val="-14"/>
        </w:rPr>
        <w:t xml:space="preserve"> </w:t>
      </w:r>
      <w:r>
        <w:t>una</w:t>
      </w:r>
      <w:r>
        <w:rPr>
          <w:spacing w:val="-14"/>
        </w:rPr>
        <w:t xml:space="preserve"> </w:t>
      </w:r>
      <w:r>
        <w:t>búsqueda</w:t>
      </w:r>
      <w:r>
        <w:rPr>
          <w:spacing w:val="-14"/>
        </w:rPr>
        <w:t xml:space="preserve"> </w:t>
      </w:r>
      <w:r>
        <w:t>de</w:t>
      </w:r>
      <w:r>
        <w:rPr>
          <w:spacing w:val="-14"/>
        </w:rPr>
        <w:t xml:space="preserve"> </w:t>
      </w:r>
      <w:r>
        <w:t>perdón público en el marco de medidas de reparación simbólica dentro de procesos judiciales. En ese momento escucharon verdades crudas y duras, para las que hubo muy poca o nula preparación,</w:t>
      </w:r>
      <w:r>
        <w:rPr>
          <w:spacing w:val="-15"/>
        </w:rPr>
        <w:t xml:space="preserve"> </w:t>
      </w:r>
      <w:r>
        <w:t>razón</w:t>
      </w:r>
      <w:r>
        <w:rPr>
          <w:spacing w:val="-15"/>
        </w:rPr>
        <w:t xml:space="preserve"> </w:t>
      </w:r>
      <w:r>
        <w:t>por</w:t>
      </w:r>
      <w:r>
        <w:rPr>
          <w:spacing w:val="-15"/>
        </w:rPr>
        <w:t xml:space="preserve"> </w:t>
      </w:r>
      <w:r>
        <w:t>la</w:t>
      </w:r>
      <w:r>
        <w:rPr>
          <w:spacing w:val="-15"/>
        </w:rPr>
        <w:t xml:space="preserve"> </w:t>
      </w:r>
      <w:r>
        <w:t>que,</w:t>
      </w:r>
      <w:r>
        <w:rPr>
          <w:spacing w:val="-14"/>
        </w:rPr>
        <w:t xml:space="preserve"> </w:t>
      </w:r>
      <w:r>
        <w:t>en</w:t>
      </w:r>
      <w:r>
        <w:rPr>
          <w:spacing w:val="-15"/>
        </w:rPr>
        <w:t xml:space="preserve"> </w:t>
      </w:r>
      <w:r>
        <w:t>muchas</w:t>
      </w:r>
      <w:r>
        <w:rPr>
          <w:spacing w:val="-14"/>
        </w:rPr>
        <w:t xml:space="preserve"> </w:t>
      </w:r>
      <w:r>
        <w:t>ocasiones,</w:t>
      </w:r>
      <w:r>
        <w:rPr>
          <w:spacing w:val="-15"/>
        </w:rPr>
        <w:t xml:space="preserve"> </w:t>
      </w:r>
      <w:r>
        <w:t>en</w:t>
      </w:r>
      <w:r>
        <w:rPr>
          <w:spacing w:val="-14"/>
        </w:rPr>
        <w:t xml:space="preserve"> </w:t>
      </w:r>
      <w:r>
        <w:t>el</w:t>
      </w:r>
      <w:r>
        <w:rPr>
          <w:spacing w:val="-15"/>
        </w:rPr>
        <w:t xml:space="preserve"> </w:t>
      </w:r>
      <w:r>
        <w:t>marco</w:t>
      </w:r>
      <w:r>
        <w:rPr>
          <w:spacing w:val="-14"/>
        </w:rPr>
        <w:t xml:space="preserve"> </w:t>
      </w:r>
      <w:r>
        <w:t>de</w:t>
      </w:r>
      <w:r>
        <w:rPr>
          <w:spacing w:val="-15"/>
        </w:rPr>
        <w:t xml:space="preserve"> </w:t>
      </w:r>
      <w:r>
        <w:t>actuación</w:t>
      </w:r>
      <w:r>
        <w:rPr>
          <w:spacing w:val="-14"/>
        </w:rPr>
        <w:t xml:space="preserve"> </w:t>
      </w:r>
      <w:r>
        <w:t>de</w:t>
      </w:r>
      <w:r>
        <w:rPr>
          <w:spacing w:val="-15"/>
        </w:rPr>
        <w:t xml:space="preserve"> </w:t>
      </w:r>
      <w:r>
        <w:t>la</w:t>
      </w:r>
      <w:r>
        <w:rPr>
          <w:spacing w:val="-14"/>
        </w:rPr>
        <w:t xml:space="preserve"> </w:t>
      </w:r>
      <w:r>
        <w:t>Comisión, el</w:t>
      </w:r>
      <w:r>
        <w:rPr>
          <w:spacing w:val="-15"/>
        </w:rPr>
        <w:t xml:space="preserve"> </w:t>
      </w:r>
      <w:r>
        <w:t>sentido</w:t>
      </w:r>
      <w:r>
        <w:rPr>
          <w:spacing w:val="-15"/>
        </w:rPr>
        <w:t xml:space="preserve"> </w:t>
      </w:r>
      <w:r>
        <w:t>para</w:t>
      </w:r>
      <w:r>
        <w:rPr>
          <w:spacing w:val="-15"/>
        </w:rPr>
        <w:t xml:space="preserve"> </w:t>
      </w:r>
      <w:r>
        <w:t>las</w:t>
      </w:r>
      <w:r>
        <w:rPr>
          <w:spacing w:val="-15"/>
        </w:rPr>
        <w:t xml:space="preserve"> </w:t>
      </w:r>
      <w:r>
        <w:t>víctimas</w:t>
      </w:r>
      <w:r>
        <w:rPr>
          <w:spacing w:val="-15"/>
        </w:rPr>
        <w:t xml:space="preserve"> </w:t>
      </w:r>
      <w:r>
        <w:t>nacía</w:t>
      </w:r>
      <w:r>
        <w:rPr>
          <w:spacing w:val="-15"/>
        </w:rPr>
        <w:t xml:space="preserve"> </w:t>
      </w:r>
      <w:r>
        <w:t>de</w:t>
      </w:r>
      <w:r>
        <w:rPr>
          <w:spacing w:val="-15"/>
        </w:rPr>
        <w:t xml:space="preserve"> </w:t>
      </w:r>
      <w:r>
        <w:t>la</w:t>
      </w:r>
      <w:r>
        <w:rPr>
          <w:spacing w:val="-15"/>
        </w:rPr>
        <w:t xml:space="preserve"> </w:t>
      </w:r>
      <w:r>
        <w:t>posibilidad</w:t>
      </w:r>
      <w:r>
        <w:rPr>
          <w:spacing w:val="-15"/>
        </w:rPr>
        <w:t xml:space="preserve"> </w:t>
      </w:r>
      <w:r>
        <w:t>de</w:t>
      </w:r>
      <w:r>
        <w:rPr>
          <w:spacing w:val="-15"/>
        </w:rPr>
        <w:t xml:space="preserve"> </w:t>
      </w:r>
      <w:r>
        <w:t>escuchar</w:t>
      </w:r>
      <w:r>
        <w:rPr>
          <w:spacing w:val="-15"/>
        </w:rPr>
        <w:t xml:space="preserve"> </w:t>
      </w:r>
      <w:r>
        <w:t>algo</w:t>
      </w:r>
      <w:r>
        <w:rPr>
          <w:spacing w:val="-15"/>
        </w:rPr>
        <w:t xml:space="preserve"> </w:t>
      </w:r>
      <w:r>
        <w:t>distinto</w:t>
      </w:r>
      <w:r>
        <w:rPr>
          <w:spacing w:val="-15"/>
        </w:rPr>
        <w:t xml:space="preserve"> </w:t>
      </w:r>
      <w:r>
        <w:t>que</w:t>
      </w:r>
      <w:r>
        <w:rPr>
          <w:spacing w:val="-15"/>
        </w:rPr>
        <w:t xml:space="preserve"> </w:t>
      </w:r>
      <w:r>
        <w:t>les</w:t>
      </w:r>
      <w:r>
        <w:rPr>
          <w:spacing w:val="-15"/>
        </w:rPr>
        <w:t xml:space="preserve"> </w:t>
      </w:r>
      <w:r>
        <w:t>permitiera encontrar tranquilidad y alivio, o tal vez escuchar desde otra actitud y un nuevo momento. Así lo expresó una familiar de una víctima, participante del reconocimiento de responsabilidades por parte de las FARC-EP en San Adolfo, Huila:</w:t>
      </w:r>
    </w:p>
    <w:p w:rsidR="003804AC" w:rsidRDefault="00AF18A5" w:rsidP="00851612">
      <w:r>
        <w:lastRenderedPageBreak/>
        <w:t>«Mi</w:t>
      </w:r>
      <w:r>
        <w:rPr>
          <w:spacing w:val="-2"/>
        </w:rPr>
        <w:t xml:space="preserve"> </w:t>
      </w:r>
      <w:r>
        <w:t>corazón</w:t>
      </w:r>
      <w:r>
        <w:rPr>
          <w:spacing w:val="-3"/>
        </w:rPr>
        <w:t xml:space="preserve"> </w:t>
      </w:r>
      <w:r>
        <w:t>está</w:t>
      </w:r>
      <w:r>
        <w:rPr>
          <w:spacing w:val="-2"/>
        </w:rPr>
        <w:t xml:space="preserve"> </w:t>
      </w:r>
      <w:r>
        <w:t>más</w:t>
      </w:r>
      <w:r>
        <w:rPr>
          <w:spacing w:val="-3"/>
        </w:rPr>
        <w:t xml:space="preserve"> </w:t>
      </w:r>
      <w:r>
        <w:t>tranquilo,</w:t>
      </w:r>
      <w:r>
        <w:rPr>
          <w:spacing w:val="-2"/>
        </w:rPr>
        <w:t xml:space="preserve"> </w:t>
      </w:r>
      <w:r>
        <w:t>no</w:t>
      </w:r>
      <w:r>
        <w:rPr>
          <w:spacing w:val="-3"/>
        </w:rPr>
        <w:t xml:space="preserve"> </w:t>
      </w:r>
      <w:r>
        <w:t>por</w:t>
      </w:r>
      <w:r>
        <w:rPr>
          <w:spacing w:val="-2"/>
        </w:rPr>
        <w:t xml:space="preserve"> </w:t>
      </w:r>
      <w:r>
        <w:t>las</w:t>
      </w:r>
      <w:r>
        <w:rPr>
          <w:spacing w:val="-3"/>
        </w:rPr>
        <w:t xml:space="preserve"> </w:t>
      </w:r>
      <w:r>
        <w:t>respuestas</w:t>
      </w:r>
      <w:r>
        <w:rPr>
          <w:spacing w:val="-2"/>
        </w:rPr>
        <w:t xml:space="preserve"> </w:t>
      </w:r>
      <w:r>
        <w:t>que</w:t>
      </w:r>
      <w:r>
        <w:rPr>
          <w:spacing w:val="-2"/>
        </w:rPr>
        <w:t xml:space="preserve"> </w:t>
      </w:r>
      <w:r>
        <w:t>nos</w:t>
      </w:r>
      <w:r>
        <w:rPr>
          <w:spacing w:val="-4"/>
        </w:rPr>
        <w:t xml:space="preserve"> </w:t>
      </w:r>
      <w:r>
        <w:t>dieron,</w:t>
      </w:r>
      <w:r>
        <w:rPr>
          <w:spacing w:val="-3"/>
        </w:rPr>
        <w:t xml:space="preserve"> </w:t>
      </w:r>
      <w:r>
        <w:t>porque</w:t>
      </w:r>
      <w:r>
        <w:rPr>
          <w:spacing w:val="-2"/>
        </w:rPr>
        <w:t xml:space="preserve"> </w:t>
      </w:r>
      <w:r>
        <w:t>sigo</w:t>
      </w:r>
      <w:r>
        <w:rPr>
          <w:spacing w:val="-3"/>
        </w:rPr>
        <w:t xml:space="preserve"> </w:t>
      </w:r>
      <w:r>
        <w:t>siendo enfática,</w:t>
      </w:r>
      <w:r>
        <w:rPr>
          <w:spacing w:val="-7"/>
        </w:rPr>
        <w:t xml:space="preserve"> </w:t>
      </w:r>
      <w:r>
        <w:t>no</w:t>
      </w:r>
      <w:r>
        <w:rPr>
          <w:spacing w:val="-7"/>
        </w:rPr>
        <w:t xml:space="preserve"> </w:t>
      </w:r>
      <w:r>
        <w:t>era</w:t>
      </w:r>
      <w:r>
        <w:rPr>
          <w:spacing w:val="-7"/>
        </w:rPr>
        <w:t xml:space="preserve"> </w:t>
      </w:r>
      <w:r>
        <w:t>lo</w:t>
      </w:r>
      <w:r>
        <w:rPr>
          <w:spacing w:val="-6"/>
        </w:rPr>
        <w:t xml:space="preserve"> </w:t>
      </w:r>
      <w:r>
        <w:t>que</w:t>
      </w:r>
      <w:r>
        <w:rPr>
          <w:spacing w:val="-6"/>
        </w:rPr>
        <w:t xml:space="preserve"> </w:t>
      </w:r>
      <w:r>
        <w:t>nosotros</w:t>
      </w:r>
      <w:r>
        <w:rPr>
          <w:spacing w:val="-7"/>
        </w:rPr>
        <w:t xml:space="preserve"> </w:t>
      </w:r>
      <w:r>
        <w:t>esperábamos,</w:t>
      </w:r>
      <w:r>
        <w:rPr>
          <w:spacing w:val="-7"/>
        </w:rPr>
        <w:t xml:space="preserve"> </w:t>
      </w:r>
      <w:r>
        <w:t>porque</w:t>
      </w:r>
      <w:r>
        <w:rPr>
          <w:spacing w:val="-6"/>
        </w:rPr>
        <w:t xml:space="preserve"> </w:t>
      </w:r>
      <w:r>
        <w:t>en</w:t>
      </w:r>
      <w:r>
        <w:rPr>
          <w:spacing w:val="-7"/>
        </w:rPr>
        <w:t xml:space="preserve"> </w:t>
      </w:r>
      <w:r>
        <w:t>resumen</w:t>
      </w:r>
      <w:r>
        <w:rPr>
          <w:spacing w:val="-6"/>
        </w:rPr>
        <w:t xml:space="preserve"> </w:t>
      </w:r>
      <w:r>
        <w:t>a</w:t>
      </w:r>
      <w:r>
        <w:rPr>
          <w:spacing w:val="-7"/>
        </w:rPr>
        <w:t xml:space="preserve"> </w:t>
      </w:r>
      <w:r>
        <w:t>todos</w:t>
      </w:r>
      <w:r>
        <w:rPr>
          <w:spacing w:val="-7"/>
        </w:rPr>
        <w:t xml:space="preserve"> </w:t>
      </w:r>
      <w:r>
        <w:t>nos</w:t>
      </w:r>
      <w:r>
        <w:rPr>
          <w:spacing w:val="-6"/>
        </w:rPr>
        <w:t xml:space="preserve"> </w:t>
      </w:r>
      <w:r>
        <w:t>dijeron</w:t>
      </w:r>
      <w:r>
        <w:rPr>
          <w:spacing w:val="-7"/>
        </w:rPr>
        <w:t xml:space="preserve"> </w:t>
      </w:r>
      <w:r>
        <w:t>que</w:t>
      </w:r>
      <w:r>
        <w:rPr>
          <w:spacing w:val="-6"/>
        </w:rPr>
        <w:t xml:space="preserve"> </w:t>
      </w:r>
      <w:r>
        <w:t>fue un</w:t>
      </w:r>
      <w:r>
        <w:rPr>
          <w:spacing w:val="-2"/>
        </w:rPr>
        <w:t xml:space="preserve"> </w:t>
      </w:r>
      <w:r>
        <w:t>error</w:t>
      </w:r>
      <w:r>
        <w:rPr>
          <w:spacing w:val="-2"/>
        </w:rPr>
        <w:t xml:space="preserve"> </w:t>
      </w:r>
      <w:r>
        <w:t>y</w:t>
      </w:r>
      <w:r>
        <w:rPr>
          <w:spacing w:val="-2"/>
        </w:rPr>
        <w:t xml:space="preserve"> </w:t>
      </w:r>
      <w:r>
        <w:t>eso</w:t>
      </w:r>
      <w:r>
        <w:rPr>
          <w:spacing w:val="-2"/>
        </w:rPr>
        <w:t xml:space="preserve"> </w:t>
      </w:r>
      <w:r>
        <w:t>nosotros</w:t>
      </w:r>
      <w:r>
        <w:rPr>
          <w:spacing w:val="-2"/>
        </w:rPr>
        <w:t xml:space="preserve"> </w:t>
      </w:r>
      <w:r>
        <w:t>lo</w:t>
      </w:r>
      <w:r>
        <w:rPr>
          <w:spacing w:val="-2"/>
        </w:rPr>
        <w:t xml:space="preserve"> </w:t>
      </w:r>
      <w:r>
        <w:t>teníamos</w:t>
      </w:r>
      <w:r>
        <w:rPr>
          <w:spacing w:val="-2"/>
        </w:rPr>
        <w:t xml:space="preserve"> </w:t>
      </w:r>
      <w:r>
        <w:t>claro.</w:t>
      </w:r>
      <w:r>
        <w:rPr>
          <w:spacing w:val="-2"/>
        </w:rPr>
        <w:t xml:space="preserve"> </w:t>
      </w:r>
      <w:r>
        <w:t>Sí</w:t>
      </w:r>
      <w:r>
        <w:rPr>
          <w:spacing w:val="-2"/>
        </w:rPr>
        <w:t xml:space="preserve"> </w:t>
      </w:r>
      <w:r>
        <w:t>considero</w:t>
      </w:r>
      <w:r>
        <w:rPr>
          <w:spacing w:val="-2"/>
        </w:rPr>
        <w:t xml:space="preserve"> </w:t>
      </w:r>
      <w:r>
        <w:t>que</w:t>
      </w:r>
      <w:r>
        <w:rPr>
          <w:spacing w:val="-2"/>
        </w:rPr>
        <w:t xml:space="preserve"> </w:t>
      </w:r>
      <w:r>
        <w:t>las</w:t>
      </w:r>
      <w:r>
        <w:rPr>
          <w:spacing w:val="-3"/>
        </w:rPr>
        <w:t xml:space="preserve"> </w:t>
      </w:r>
      <w:r>
        <w:t>manifestaciones</w:t>
      </w:r>
      <w:r>
        <w:rPr>
          <w:spacing w:val="-2"/>
        </w:rPr>
        <w:t xml:space="preserve"> </w:t>
      </w:r>
      <w:r>
        <w:t>que</w:t>
      </w:r>
      <w:r>
        <w:rPr>
          <w:spacing w:val="-2"/>
        </w:rPr>
        <w:t xml:space="preserve"> </w:t>
      </w:r>
      <w:r>
        <w:t xml:space="preserve">tuvieron en este acto es que fueron más sentidas, que fue más de corazón, más de adentro y de seres </w:t>
      </w:r>
      <w:r>
        <w:rPr>
          <w:spacing w:val="-2"/>
        </w:rPr>
        <w:t>humanos»</w:t>
      </w:r>
      <w:r w:rsidR="00851612">
        <w:rPr>
          <w:rStyle w:val="Refdenotaalpie"/>
          <w:spacing w:val="-2"/>
        </w:rPr>
        <w:footnoteReference w:id="1143"/>
      </w:r>
      <w:r>
        <w:rPr>
          <w:spacing w:val="-2"/>
        </w:rPr>
        <w:t>.</w:t>
      </w:r>
    </w:p>
    <w:p w:rsidR="003804AC" w:rsidRDefault="00AF18A5" w:rsidP="00851612">
      <w:r>
        <w:t>La aceptación de la verdad requiere autenticidad, el signo más tangible de voluntad y además el más valorado por las víctimas. Es importante porque para los responsables, especialmente para los exmiembros de las AUC, el hecho de repetir una y otra vez su testimonio</w:t>
      </w:r>
      <w:r>
        <w:rPr>
          <w:spacing w:val="-11"/>
        </w:rPr>
        <w:t xml:space="preserve"> </w:t>
      </w:r>
      <w:r>
        <w:t>en</w:t>
      </w:r>
      <w:r>
        <w:rPr>
          <w:spacing w:val="-11"/>
        </w:rPr>
        <w:t xml:space="preserve"> </w:t>
      </w:r>
      <w:r>
        <w:t>diferentes</w:t>
      </w:r>
      <w:r>
        <w:rPr>
          <w:spacing w:val="-12"/>
        </w:rPr>
        <w:t xml:space="preserve"> </w:t>
      </w:r>
      <w:r>
        <w:t>escenarios</w:t>
      </w:r>
      <w:r>
        <w:rPr>
          <w:spacing w:val="-12"/>
        </w:rPr>
        <w:t xml:space="preserve"> </w:t>
      </w:r>
      <w:r>
        <w:t>judiciales</w:t>
      </w:r>
      <w:r>
        <w:rPr>
          <w:spacing w:val="-12"/>
        </w:rPr>
        <w:t xml:space="preserve"> </w:t>
      </w:r>
      <w:r>
        <w:t>y</w:t>
      </w:r>
      <w:r>
        <w:rPr>
          <w:spacing w:val="-11"/>
        </w:rPr>
        <w:t xml:space="preserve"> </w:t>
      </w:r>
      <w:r>
        <w:t>no</w:t>
      </w:r>
      <w:r>
        <w:rPr>
          <w:spacing w:val="-11"/>
        </w:rPr>
        <w:t xml:space="preserve"> </w:t>
      </w:r>
      <w:r>
        <w:t>judiciales</w:t>
      </w:r>
      <w:r>
        <w:rPr>
          <w:spacing w:val="-12"/>
        </w:rPr>
        <w:t xml:space="preserve"> </w:t>
      </w:r>
      <w:r>
        <w:t>corre</w:t>
      </w:r>
      <w:r>
        <w:rPr>
          <w:spacing w:val="-12"/>
        </w:rPr>
        <w:t xml:space="preserve"> </w:t>
      </w:r>
      <w:r>
        <w:t>el</w:t>
      </w:r>
      <w:r>
        <w:rPr>
          <w:spacing w:val="-11"/>
        </w:rPr>
        <w:t xml:space="preserve"> </w:t>
      </w:r>
      <w:r>
        <w:t>riesgo</w:t>
      </w:r>
      <w:r>
        <w:rPr>
          <w:spacing w:val="-11"/>
        </w:rPr>
        <w:t xml:space="preserve"> </w:t>
      </w:r>
      <w:r>
        <w:t>de</w:t>
      </w:r>
      <w:r>
        <w:rPr>
          <w:spacing w:val="-10"/>
        </w:rPr>
        <w:t xml:space="preserve"> </w:t>
      </w:r>
      <w:r>
        <w:t>convertirse</w:t>
      </w:r>
      <w:r>
        <w:rPr>
          <w:spacing w:val="-10"/>
        </w:rPr>
        <w:t xml:space="preserve"> </w:t>
      </w:r>
      <w:r>
        <w:t>en un formato predeterminado, con efecto negativo sobre las víctimas y el propio reconocimiento de responsabilidad. Para favorecer procesos reales y no formales, la Comisión evaluó condiciones y expectativas, disposición y motivaciones, pero también la opción</w:t>
      </w:r>
      <w:r>
        <w:rPr>
          <w:spacing w:val="6"/>
        </w:rPr>
        <w:t xml:space="preserve"> </w:t>
      </w:r>
      <w:r>
        <w:t>de</w:t>
      </w:r>
      <w:r>
        <w:rPr>
          <w:spacing w:val="8"/>
        </w:rPr>
        <w:t xml:space="preserve"> </w:t>
      </w:r>
      <w:r>
        <w:t>propiciar</w:t>
      </w:r>
      <w:r>
        <w:rPr>
          <w:spacing w:val="9"/>
        </w:rPr>
        <w:t xml:space="preserve"> </w:t>
      </w:r>
      <w:r>
        <w:t>espacios</w:t>
      </w:r>
      <w:r>
        <w:rPr>
          <w:spacing w:val="8"/>
        </w:rPr>
        <w:t xml:space="preserve"> </w:t>
      </w:r>
      <w:r>
        <w:t>privados</w:t>
      </w:r>
      <w:r>
        <w:rPr>
          <w:spacing w:val="8"/>
        </w:rPr>
        <w:t xml:space="preserve"> </w:t>
      </w:r>
      <w:r>
        <w:t>en</w:t>
      </w:r>
      <w:r>
        <w:rPr>
          <w:spacing w:val="8"/>
        </w:rPr>
        <w:t xml:space="preserve"> </w:t>
      </w:r>
      <w:r>
        <w:t>los</w:t>
      </w:r>
      <w:r>
        <w:rPr>
          <w:spacing w:val="8"/>
        </w:rPr>
        <w:t xml:space="preserve"> </w:t>
      </w:r>
      <w:r>
        <w:t>que</w:t>
      </w:r>
      <w:r>
        <w:rPr>
          <w:spacing w:val="7"/>
        </w:rPr>
        <w:t xml:space="preserve"> </w:t>
      </w:r>
      <w:r>
        <w:t>el</w:t>
      </w:r>
      <w:r>
        <w:rPr>
          <w:spacing w:val="9"/>
        </w:rPr>
        <w:t xml:space="preserve"> </w:t>
      </w:r>
      <w:r>
        <w:t>componente</w:t>
      </w:r>
      <w:r>
        <w:rPr>
          <w:spacing w:val="8"/>
        </w:rPr>
        <w:t xml:space="preserve"> </w:t>
      </w:r>
      <w:r>
        <w:t>de</w:t>
      </w:r>
      <w:r>
        <w:rPr>
          <w:spacing w:val="8"/>
        </w:rPr>
        <w:t xml:space="preserve"> </w:t>
      </w:r>
      <w:r>
        <w:t>exposición</w:t>
      </w:r>
      <w:r>
        <w:rPr>
          <w:spacing w:val="8"/>
        </w:rPr>
        <w:t xml:space="preserve"> </w:t>
      </w:r>
      <w:r>
        <w:t>pública</w:t>
      </w:r>
      <w:r>
        <w:rPr>
          <w:spacing w:val="8"/>
        </w:rPr>
        <w:t xml:space="preserve"> </w:t>
      </w:r>
      <w:r>
        <w:t>o</w:t>
      </w:r>
      <w:r>
        <w:rPr>
          <w:spacing w:val="9"/>
        </w:rPr>
        <w:t xml:space="preserve"> </w:t>
      </w:r>
      <w:r>
        <w:rPr>
          <w:spacing w:val="-5"/>
        </w:rPr>
        <w:t>lo</w:t>
      </w:r>
      <w:bookmarkStart w:id="1437" w:name="_bookmark1267"/>
      <w:bookmarkEnd w:id="1437"/>
      <w:r w:rsidR="00851612">
        <w:t xml:space="preserve"> </w:t>
      </w:r>
      <w:r>
        <w:t>que</w:t>
      </w:r>
      <w:r>
        <w:rPr>
          <w:spacing w:val="-15"/>
        </w:rPr>
        <w:t xml:space="preserve"> </w:t>
      </w:r>
      <w:r>
        <w:t>pudiera</w:t>
      </w:r>
      <w:r>
        <w:rPr>
          <w:spacing w:val="-15"/>
        </w:rPr>
        <w:t xml:space="preserve"> </w:t>
      </w:r>
      <w:r>
        <w:t>expresarse</w:t>
      </w:r>
      <w:r>
        <w:rPr>
          <w:spacing w:val="-15"/>
        </w:rPr>
        <w:t xml:space="preserve"> </w:t>
      </w:r>
      <w:r>
        <w:t>quedó</w:t>
      </w:r>
      <w:r>
        <w:rPr>
          <w:spacing w:val="-15"/>
        </w:rPr>
        <w:t xml:space="preserve"> </w:t>
      </w:r>
      <w:r>
        <w:t>protegido</w:t>
      </w:r>
      <w:r>
        <w:rPr>
          <w:spacing w:val="-15"/>
        </w:rPr>
        <w:t xml:space="preserve"> </w:t>
      </w:r>
      <w:r>
        <w:t>en</w:t>
      </w:r>
      <w:r>
        <w:rPr>
          <w:spacing w:val="-15"/>
        </w:rPr>
        <w:t xml:space="preserve"> </w:t>
      </w:r>
      <w:r>
        <w:t>un</w:t>
      </w:r>
      <w:r>
        <w:rPr>
          <w:spacing w:val="-15"/>
        </w:rPr>
        <w:t xml:space="preserve"> </w:t>
      </w:r>
      <w:r>
        <w:t>marco</w:t>
      </w:r>
      <w:r>
        <w:rPr>
          <w:spacing w:val="-15"/>
        </w:rPr>
        <w:t xml:space="preserve"> </w:t>
      </w:r>
      <w:r>
        <w:t>de</w:t>
      </w:r>
      <w:r>
        <w:rPr>
          <w:spacing w:val="-15"/>
        </w:rPr>
        <w:t xml:space="preserve"> </w:t>
      </w:r>
      <w:r>
        <w:t>confidencialidad</w:t>
      </w:r>
      <w:r>
        <w:rPr>
          <w:spacing w:val="-15"/>
        </w:rPr>
        <w:t xml:space="preserve"> </w:t>
      </w:r>
      <w:r>
        <w:t>que</w:t>
      </w:r>
      <w:r>
        <w:rPr>
          <w:spacing w:val="-15"/>
        </w:rPr>
        <w:t xml:space="preserve"> </w:t>
      </w:r>
      <w:r>
        <w:t>permite</w:t>
      </w:r>
      <w:r>
        <w:rPr>
          <w:spacing w:val="-15"/>
        </w:rPr>
        <w:t xml:space="preserve"> </w:t>
      </w:r>
      <w:r>
        <w:t xml:space="preserve">superar miedos e incertidumbres. Por eso, es importante la diferencia entre una declaración judicial y el diálogo con las víctimas en espacios privados o públicos para responder a expectativas </w:t>
      </w:r>
      <w:r>
        <w:rPr>
          <w:spacing w:val="-2"/>
        </w:rPr>
        <w:t>concretas.</w:t>
      </w:r>
    </w:p>
    <w:p w:rsidR="003804AC" w:rsidRDefault="00AF18A5" w:rsidP="00851612">
      <w:r>
        <w:t>Otro</w:t>
      </w:r>
      <w:r>
        <w:rPr>
          <w:spacing w:val="-15"/>
        </w:rPr>
        <w:t xml:space="preserve"> </w:t>
      </w:r>
      <w:r>
        <w:t>aspecto</w:t>
      </w:r>
      <w:r>
        <w:rPr>
          <w:spacing w:val="-15"/>
        </w:rPr>
        <w:t xml:space="preserve"> </w:t>
      </w:r>
      <w:r>
        <w:t>que</w:t>
      </w:r>
      <w:r>
        <w:rPr>
          <w:spacing w:val="-15"/>
        </w:rPr>
        <w:t xml:space="preserve"> </w:t>
      </w:r>
      <w:r>
        <w:t>determina</w:t>
      </w:r>
      <w:r>
        <w:rPr>
          <w:spacing w:val="-15"/>
        </w:rPr>
        <w:t xml:space="preserve"> </w:t>
      </w:r>
      <w:r>
        <w:t>sensiblemente</w:t>
      </w:r>
      <w:r>
        <w:rPr>
          <w:spacing w:val="-15"/>
        </w:rPr>
        <w:t xml:space="preserve"> </w:t>
      </w:r>
      <w:r>
        <w:t>el</w:t>
      </w:r>
      <w:r>
        <w:rPr>
          <w:spacing w:val="-15"/>
        </w:rPr>
        <w:t xml:space="preserve"> </w:t>
      </w:r>
      <w:r>
        <w:t>reconocimiento</w:t>
      </w:r>
      <w:r>
        <w:rPr>
          <w:spacing w:val="-15"/>
        </w:rPr>
        <w:t xml:space="preserve"> </w:t>
      </w:r>
      <w:r>
        <w:t>por</w:t>
      </w:r>
      <w:r>
        <w:rPr>
          <w:spacing w:val="-15"/>
        </w:rPr>
        <w:t xml:space="preserve"> </w:t>
      </w:r>
      <w:r>
        <w:t>parte</w:t>
      </w:r>
      <w:r>
        <w:rPr>
          <w:spacing w:val="-15"/>
        </w:rPr>
        <w:t xml:space="preserve"> </w:t>
      </w:r>
      <w:r>
        <w:t>de</w:t>
      </w:r>
      <w:r>
        <w:rPr>
          <w:spacing w:val="-15"/>
        </w:rPr>
        <w:t xml:space="preserve"> </w:t>
      </w:r>
      <w:r>
        <w:t>los</w:t>
      </w:r>
      <w:r>
        <w:rPr>
          <w:spacing w:val="-15"/>
        </w:rPr>
        <w:t xml:space="preserve"> </w:t>
      </w:r>
      <w:r>
        <w:t>responsables es la manera en que el proceso incide en su identidad política pasada, presente y futura. En lo</w:t>
      </w:r>
      <w:r>
        <w:rPr>
          <w:spacing w:val="-15"/>
        </w:rPr>
        <w:t xml:space="preserve"> </w:t>
      </w:r>
      <w:r>
        <w:t>privado</w:t>
      </w:r>
      <w:r>
        <w:rPr>
          <w:spacing w:val="-15"/>
        </w:rPr>
        <w:t xml:space="preserve"> </w:t>
      </w:r>
      <w:r>
        <w:t>hay</w:t>
      </w:r>
      <w:r>
        <w:rPr>
          <w:spacing w:val="-15"/>
        </w:rPr>
        <w:t xml:space="preserve"> </w:t>
      </w:r>
      <w:r>
        <w:t>mayor</w:t>
      </w:r>
      <w:r>
        <w:rPr>
          <w:spacing w:val="-15"/>
        </w:rPr>
        <w:t xml:space="preserve"> </w:t>
      </w:r>
      <w:r>
        <w:t>garantía</w:t>
      </w:r>
      <w:r>
        <w:rPr>
          <w:spacing w:val="-15"/>
        </w:rPr>
        <w:t xml:space="preserve"> </w:t>
      </w:r>
      <w:r>
        <w:t>de</w:t>
      </w:r>
      <w:r>
        <w:rPr>
          <w:spacing w:val="-15"/>
        </w:rPr>
        <w:t xml:space="preserve"> </w:t>
      </w:r>
      <w:r>
        <w:t>autenticidad</w:t>
      </w:r>
      <w:r>
        <w:rPr>
          <w:spacing w:val="-15"/>
        </w:rPr>
        <w:t xml:space="preserve"> </w:t>
      </w:r>
      <w:r>
        <w:t>que</w:t>
      </w:r>
      <w:r>
        <w:rPr>
          <w:spacing w:val="-15"/>
        </w:rPr>
        <w:t xml:space="preserve"> </w:t>
      </w:r>
      <w:r>
        <w:t>en</w:t>
      </w:r>
      <w:r>
        <w:rPr>
          <w:spacing w:val="-15"/>
        </w:rPr>
        <w:t xml:space="preserve"> </w:t>
      </w:r>
      <w:r>
        <w:t>los</w:t>
      </w:r>
      <w:r>
        <w:rPr>
          <w:spacing w:val="-15"/>
        </w:rPr>
        <w:t xml:space="preserve"> </w:t>
      </w:r>
      <w:r>
        <w:t>escenarios</w:t>
      </w:r>
      <w:r>
        <w:rPr>
          <w:spacing w:val="-15"/>
        </w:rPr>
        <w:t xml:space="preserve"> </w:t>
      </w:r>
      <w:r>
        <w:t>públicos,</w:t>
      </w:r>
      <w:r>
        <w:rPr>
          <w:spacing w:val="-15"/>
        </w:rPr>
        <w:t xml:space="preserve"> </w:t>
      </w:r>
      <w:r>
        <w:t>aunque</w:t>
      </w:r>
      <w:r>
        <w:rPr>
          <w:spacing w:val="-15"/>
        </w:rPr>
        <w:t xml:space="preserve"> </w:t>
      </w:r>
      <w:r>
        <w:t>en</w:t>
      </w:r>
      <w:r>
        <w:rPr>
          <w:spacing w:val="-15"/>
        </w:rPr>
        <w:t xml:space="preserve"> </w:t>
      </w:r>
      <w:r>
        <w:t xml:space="preserve">estos se juega la posibilidad de ocupar espacios sociales con verdades que </w:t>
      </w:r>
      <w:r>
        <w:lastRenderedPageBreak/>
        <w:t>han sido negadas. Además, en los espacios públicos se expone una imagen, una posición en la sociedad, unas identidades. En ese contexto, las expresiones de verdad sobre lo realizado pueden ser vistas como amenazas.</w:t>
      </w:r>
    </w:p>
    <w:p w:rsidR="003804AC" w:rsidRDefault="00AF18A5" w:rsidP="00851612">
      <w:r>
        <w:t>Por</w:t>
      </w:r>
      <w:r>
        <w:rPr>
          <w:spacing w:val="-10"/>
        </w:rPr>
        <w:t xml:space="preserve"> </w:t>
      </w:r>
      <w:r>
        <w:t>otra</w:t>
      </w:r>
      <w:r>
        <w:rPr>
          <w:spacing w:val="-11"/>
        </w:rPr>
        <w:t xml:space="preserve"> </w:t>
      </w:r>
      <w:r>
        <w:t>parte,</w:t>
      </w:r>
      <w:r>
        <w:rPr>
          <w:spacing w:val="-11"/>
        </w:rPr>
        <w:t xml:space="preserve"> </w:t>
      </w:r>
      <w:r>
        <w:t>se</w:t>
      </w:r>
      <w:r>
        <w:rPr>
          <w:spacing w:val="-11"/>
        </w:rPr>
        <w:t xml:space="preserve"> </w:t>
      </w:r>
      <w:r>
        <w:t>ha</w:t>
      </w:r>
      <w:r>
        <w:rPr>
          <w:spacing w:val="-11"/>
        </w:rPr>
        <w:t xml:space="preserve"> </w:t>
      </w:r>
      <w:r>
        <w:t>constatado</w:t>
      </w:r>
      <w:r>
        <w:rPr>
          <w:spacing w:val="-12"/>
        </w:rPr>
        <w:t xml:space="preserve"> </w:t>
      </w:r>
      <w:r>
        <w:t>la</w:t>
      </w:r>
      <w:r>
        <w:rPr>
          <w:spacing w:val="-11"/>
        </w:rPr>
        <w:t xml:space="preserve"> </w:t>
      </w:r>
      <w:r>
        <w:t>diferencia</w:t>
      </w:r>
      <w:r>
        <w:rPr>
          <w:spacing w:val="-11"/>
        </w:rPr>
        <w:t xml:space="preserve"> </w:t>
      </w:r>
      <w:r>
        <w:t>narrativa</w:t>
      </w:r>
      <w:r>
        <w:rPr>
          <w:spacing w:val="-11"/>
        </w:rPr>
        <w:t xml:space="preserve"> </w:t>
      </w:r>
      <w:r>
        <w:t>entre</w:t>
      </w:r>
      <w:r>
        <w:rPr>
          <w:spacing w:val="-11"/>
        </w:rPr>
        <w:t xml:space="preserve"> </w:t>
      </w:r>
      <w:r>
        <w:t>los</w:t>
      </w:r>
      <w:r>
        <w:rPr>
          <w:spacing w:val="-11"/>
        </w:rPr>
        <w:t xml:space="preserve"> </w:t>
      </w:r>
      <w:r>
        <w:t>excombatientes</w:t>
      </w:r>
      <w:r>
        <w:rPr>
          <w:spacing w:val="-11"/>
        </w:rPr>
        <w:t xml:space="preserve"> </w:t>
      </w:r>
      <w:r>
        <w:t>rasos</w:t>
      </w:r>
      <w:r>
        <w:rPr>
          <w:spacing w:val="-12"/>
        </w:rPr>
        <w:t xml:space="preserve"> </w:t>
      </w:r>
      <w:r>
        <w:t>y</w:t>
      </w:r>
      <w:r>
        <w:rPr>
          <w:spacing w:val="-11"/>
        </w:rPr>
        <w:t xml:space="preserve"> </w:t>
      </w:r>
      <w:r>
        <w:t>los altos mandos. En general, los primeros tienden a profundizar más en los hechos en la forma como sucedieron, lo que contribuye en gran medida a la expectativa de esclarecimiento y reconocimiento que tienen las víctimas. En el caso de los altos mandos, la tendencia es a centrarse en las lecturas políticas y las explicaciones, y menos en los hechos y en sus consecuencias. Dejarse tocar por la experiencia de las víctimas y hablar de sí mismos y no solo de las órdenes o ideologías, muestran una autenticidad que ha sido valorada por las víctimas, frente a discursos políticos que son vistos muchas veces no como formas de explicación de lo sucedido, sino de autojustificación.</w:t>
      </w:r>
    </w:p>
    <w:p w:rsidR="0011361F" w:rsidRDefault="00AF18A5" w:rsidP="004A6EF4">
      <w:pPr>
        <w:pStyle w:val="Ttulo4"/>
        <w:numPr>
          <w:ilvl w:val="2"/>
          <w:numId w:val="16"/>
        </w:numPr>
      </w:pPr>
      <w:bookmarkStart w:id="1438" w:name="11.3.2._Reconocimiento_y_buen_nombre"/>
      <w:bookmarkEnd w:id="1438"/>
      <w:r w:rsidRPr="00851612">
        <w:t>Reconocimiento</w:t>
      </w:r>
      <w:r>
        <w:rPr>
          <w:spacing w:val="-4"/>
        </w:rPr>
        <w:t xml:space="preserve"> </w:t>
      </w:r>
      <w:r>
        <w:t>y</w:t>
      </w:r>
      <w:r>
        <w:rPr>
          <w:spacing w:val="-2"/>
        </w:rPr>
        <w:t xml:space="preserve"> </w:t>
      </w:r>
      <w:r>
        <w:t>buen</w:t>
      </w:r>
      <w:r>
        <w:rPr>
          <w:spacing w:val="-3"/>
        </w:rPr>
        <w:t xml:space="preserve"> </w:t>
      </w:r>
      <w:r>
        <w:rPr>
          <w:spacing w:val="-2"/>
        </w:rPr>
        <w:t>nombre</w:t>
      </w:r>
    </w:p>
    <w:p w:rsidR="003804AC" w:rsidRDefault="00AF18A5" w:rsidP="000246F5">
      <w:r>
        <w:t>El reconocimiento público para las víctimas contribuye a la disminución del sufrimiento ocasionado por la estigmatización que durante años cargaron al haber sido señalados de ser parte o colaborar con el grupo armado opuesto, y al tiempo a restituir o limpiar el buen nombre</w:t>
      </w:r>
      <w:r>
        <w:rPr>
          <w:spacing w:val="-12"/>
        </w:rPr>
        <w:t xml:space="preserve"> </w:t>
      </w:r>
      <w:r>
        <w:t>de</w:t>
      </w:r>
      <w:r>
        <w:rPr>
          <w:spacing w:val="-12"/>
        </w:rPr>
        <w:t xml:space="preserve"> </w:t>
      </w:r>
      <w:r>
        <w:t>los</w:t>
      </w:r>
      <w:r>
        <w:rPr>
          <w:spacing w:val="-12"/>
        </w:rPr>
        <w:t xml:space="preserve"> </w:t>
      </w:r>
      <w:r>
        <w:t>familiares</w:t>
      </w:r>
      <w:r>
        <w:rPr>
          <w:spacing w:val="-13"/>
        </w:rPr>
        <w:t xml:space="preserve"> </w:t>
      </w:r>
      <w:r>
        <w:t>asesinados</w:t>
      </w:r>
      <w:r>
        <w:rPr>
          <w:spacing w:val="-13"/>
        </w:rPr>
        <w:t xml:space="preserve"> </w:t>
      </w:r>
      <w:r>
        <w:t>o</w:t>
      </w:r>
      <w:r>
        <w:rPr>
          <w:spacing w:val="-12"/>
        </w:rPr>
        <w:t xml:space="preserve"> </w:t>
      </w:r>
      <w:r>
        <w:t>desaparecidos</w:t>
      </w:r>
      <w:r>
        <w:rPr>
          <w:spacing w:val="-12"/>
        </w:rPr>
        <w:t xml:space="preserve"> </w:t>
      </w:r>
      <w:r>
        <w:t>por</w:t>
      </w:r>
      <w:r>
        <w:rPr>
          <w:spacing w:val="-12"/>
        </w:rPr>
        <w:t xml:space="preserve"> </w:t>
      </w:r>
      <w:r>
        <w:t>esa</w:t>
      </w:r>
      <w:r>
        <w:rPr>
          <w:spacing w:val="-12"/>
        </w:rPr>
        <w:t xml:space="preserve"> </w:t>
      </w:r>
      <w:r>
        <w:t>causa.</w:t>
      </w:r>
      <w:r>
        <w:rPr>
          <w:spacing w:val="-12"/>
        </w:rPr>
        <w:t xml:space="preserve"> </w:t>
      </w:r>
      <w:r>
        <w:t>Una</w:t>
      </w:r>
      <w:r>
        <w:rPr>
          <w:spacing w:val="-12"/>
        </w:rPr>
        <w:t xml:space="preserve"> </w:t>
      </w:r>
      <w:r>
        <w:t>mujer</w:t>
      </w:r>
      <w:r>
        <w:rPr>
          <w:spacing w:val="-12"/>
        </w:rPr>
        <w:t xml:space="preserve"> </w:t>
      </w:r>
      <w:r>
        <w:t>campesina</w:t>
      </w:r>
      <w:r>
        <w:rPr>
          <w:spacing w:val="-12"/>
        </w:rPr>
        <w:t xml:space="preserve"> </w:t>
      </w:r>
      <w:r>
        <w:t>del Cauca narró así la forma como su hija y un compañero de ella fueron señalados después de haber sido asesinados:</w:t>
      </w:r>
    </w:p>
    <w:p w:rsidR="003804AC" w:rsidRDefault="00AF18A5" w:rsidP="000246F5">
      <w:r>
        <w:t xml:space="preserve">«Le colocaron esa manta verde que usa el Ejército, ese camuflado verde, y a mi hija le colocaron una granada en la mano y a Manuel también le colocaron un revólver, y los fotografiaron y pasaron el titular </w:t>
      </w:r>
      <w:r>
        <w:lastRenderedPageBreak/>
        <w:t xml:space="preserve">“Guerrilleros abatidos en combate”, eso dice el </w:t>
      </w:r>
      <w:r>
        <w:rPr>
          <w:i/>
        </w:rPr>
        <w:t>Diario del Huila</w:t>
      </w:r>
      <w:r>
        <w:t>, espero que ellos algún día rectifiquen»</w:t>
      </w:r>
      <w:r w:rsidR="000246F5">
        <w:rPr>
          <w:rStyle w:val="Refdenotaalpie"/>
        </w:rPr>
        <w:footnoteReference w:id="1144"/>
      </w:r>
      <w:r>
        <w:t>.</w:t>
      </w:r>
    </w:p>
    <w:p w:rsidR="003804AC" w:rsidRDefault="00AF18A5" w:rsidP="000246F5">
      <w:r>
        <w:t>Igualmente, una mujer madre de una víctima de las FARC-EP, en el municipio de Palestina, Huila, expresó su deseo de que con estos procesos de reconocimiento se pueda limpiar el nombre de su hijo acusado de ser informante del Ejército.</w:t>
      </w:r>
    </w:p>
    <w:p w:rsidR="003804AC" w:rsidRDefault="00AF18A5" w:rsidP="000246F5">
      <w:r>
        <w:t>«Mi</w:t>
      </w:r>
      <w:r>
        <w:rPr>
          <w:spacing w:val="-3"/>
        </w:rPr>
        <w:t xml:space="preserve"> </w:t>
      </w:r>
      <w:r>
        <w:t>hijo</w:t>
      </w:r>
      <w:r>
        <w:rPr>
          <w:spacing w:val="-4"/>
        </w:rPr>
        <w:t xml:space="preserve"> </w:t>
      </w:r>
      <w:r>
        <w:t>no</w:t>
      </w:r>
      <w:r>
        <w:rPr>
          <w:spacing w:val="-5"/>
        </w:rPr>
        <w:t xml:space="preserve"> </w:t>
      </w:r>
      <w:r>
        <w:t>era</w:t>
      </w:r>
      <w:r>
        <w:rPr>
          <w:spacing w:val="-3"/>
        </w:rPr>
        <w:t xml:space="preserve"> </w:t>
      </w:r>
      <w:r>
        <w:t>un</w:t>
      </w:r>
      <w:r>
        <w:rPr>
          <w:spacing w:val="-5"/>
        </w:rPr>
        <w:t xml:space="preserve"> </w:t>
      </w:r>
      <w:r>
        <w:t>informante</w:t>
      </w:r>
      <w:r>
        <w:rPr>
          <w:spacing w:val="-5"/>
        </w:rPr>
        <w:t xml:space="preserve"> </w:t>
      </w:r>
      <w:r>
        <w:t>y</w:t>
      </w:r>
      <w:r>
        <w:rPr>
          <w:spacing w:val="-4"/>
        </w:rPr>
        <w:t xml:space="preserve"> </w:t>
      </w:r>
      <w:r>
        <w:t>quiero</w:t>
      </w:r>
      <w:r>
        <w:rPr>
          <w:spacing w:val="-4"/>
        </w:rPr>
        <w:t xml:space="preserve"> </w:t>
      </w:r>
      <w:r>
        <w:t>decirlo</w:t>
      </w:r>
      <w:r>
        <w:rPr>
          <w:spacing w:val="-4"/>
        </w:rPr>
        <w:t xml:space="preserve"> </w:t>
      </w:r>
      <w:r>
        <w:t>públicamente.</w:t>
      </w:r>
      <w:r>
        <w:rPr>
          <w:spacing w:val="-4"/>
        </w:rPr>
        <w:t xml:space="preserve"> </w:t>
      </w:r>
      <w:r>
        <w:t>El</w:t>
      </w:r>
      <w:r>
        <w:rPr>
          <w:spacing w:val="-3"/>
        </w:rPr>
        <w:t xml:space="preserve"> </w:t>
      </w:r>
      <w:r>
        <w:t>día</w:t>
      </w:r>
      <w:r>
        <w:rPr>
          <w:spacing w:val="-5"/>
        </w:rPr>
        <w:t xml:space="preserve"> </w:t>
      </w:r>
      <w:r>
        <w:t>que</w:t>
      </w:r>
      <w:r>
        <w:rPr>
          <w:spacing w:val="-5"/>
        </w:rPr>
        <w:t xml:space="preserve"> </w:t>
      </w:r>
      <w:r>
        <w:t>se</w:t>
      </w:r>
      <w:r>
        <w:rPr>
          <w:spacing w:val="-3"/>
        </w:rPr>
        <w:t xml:space="preserve"> </w:t>
      </w:r>
      <w:r>
        <w:t>lo</w:t>
      </w:r>
      <w:r>
        <w:rPr>
          <w:spacing w:val="-5"/>
        </w:rPr>
        <w:t xml:space="preserve"> </w:t>
      </w:r>
      <w:r>
        <w:t>llevaron</w:t>
      </w:r>
      <w:r>
        <w:rPr>
          <w:spacing w:val="-4"/>
        </w:rPr>
        <w:t xml:space="preserve"> </w:t>
      </w:r>
      <w:r>
        <w:t>yo no</w:t>
      </w:r>
      <w:r>
        <w:rPr>
          <w:spacing w:val="-10"/>
        </w:rPr>
        <w:t xml:space="preserve"> </w:t>
      </w:r>
      <w:r>
        <w:t>estaba</w:t>
      </w:r>
      <w:r>
        <w:rPr>
          <w:spacing w:val="-9"/>
        </w:rPr>
        <w:t xml:space="preserve"> </w:t>
      </w:r>
      <w:r>
        <w:t>en</w:t>
      </w:r>
      <w:r>
        <w:rPr>
          <w:spacing w:val="-11"/>
        </w:rPr>
        <w:t xml:space="preserve"> </w:t>
      </w:r>
      <w:r>
        <w:t>la</w:t>
      </w:r>
      <w:r>
        <w:rPr>
          <w:spacing w:val="-9"/>
        </w:rPr>
        <w:t xml:space="preserve"> </w:t>
      </w:r>
      <w:r>
        <w:t>casa,</w:t>
      </w:r>
      <w:r>
        <w:rPr>
          <w:spacing w:val="-10"/>
        </w:rPr>
        <w:t xml:space="preserve"> </w:t>
      </w:r>
      <w:r>
        <w:t>me</w:t>
      </w:r>
      <w:r>
        <w:rPr>
          <w:spacing w:val="-9"/>
        </w:rPr>
        <w:t xml:space="preserve"> </w:t>
      </w:r>
      <w:r>
        <w:t>había</w:t>
      </w:r>
      <w:r>
        <w:rPr>
          <w:spacing w:val="-9"/>
        </w:rPr>
        <w:t xml:space="preserve"> </w:t>
      </w:r>
      <w:r>
        <w:t>ido</w:t>
      </w:r>
      <w:r>
        <w:rPr>
          <w:spacing w:val="-10"/>
        </w:rPr>
        <w:t xml:space="preserve"> </w:t>
      </w:r>
      <w:r>
        <w:t>de</w:t>
      </w:r>
      <w:r>
        <w:rPr>
          <w:spacing w:val="-9"/>
        </w:rPr>
        <w:t xml:space="preserve"> </w:t>
      </w:r>
      <w:r>
        <w:t>viaje</w:t>
      </w:r>
      <w:r>
        <w:rPr>
          <w:spacing w:val="-9"/>
        </w:rPr>
        <w:t xml:space="preserve"> </w:t>
      </w:r>
      <w:r>
        <w:t>a</w:t>
      </w:r>
      <w:r>
        <w:rPr>
          <w:spacing w:val="-9"/>
        </w:rPr>
        <w:t xml:space="preserve"> </w:t>
      </w:r>
      <w:r>
        <w:t>hacer</w:t>
      </w:r>
      <w:r>
        <w:rPr>
          <w:spacing w:val="-10"/>
        </w:rPr>
        <w:t xml:space="preserve"> </w:t>
      </w:r>
      <w:r>
        <w:t>una</w:t>
      </w:r>
      <w:r>
        <w:rPr>
          <w:spacing w:val="-9"/>
        </w:rPr>
        <w:t xml:space="preserve"> </w:t>
      </w:r>
      <w:r>
        <w:t>vuelta</w:t>
      </w:r>
      <w:r>
        <w:rPr>
          <w:spacing w:val="-9"/>
        </w:rPr>
        <w:t xml:space="preserve"> </w:t>
      </w:r>
      <w:r>
        <w:t>para</w:t>
      </w:r>
      <w:r>
        <w:rPr>
          <w:spacing w:val="-9"/>
        </w:rPr>
        <w:t xml:space="preserve"> </w:t>
      </w:r>
      <w:r>
        <w:t>los</w:t>
      </w:r>
      <w:r>
        <w:rPr>
          <w:spacing w:val="-10"/>
        </w:rPr>
        <w:t xml:space="preserve"> </w:t>
      </w:r>
      <w:r>
        <w:t>papeles</w:t>
      </w:r>
      <w:r>
        <w:rPr>
          <w:spacing w:val="-9"/>
        </w:rPr>
        <w:t xml:space="preserve"> </w:t>
      </w:r>
      <w:r>
        <w:t>de</w:t>
      </w:r>
      <w:r>
        <w:rPr>
          <w:spacing w:val="-9"/>
        </w:rPr>
        <w:t xml:space="preserve"> </w:t>
      </w:r>
      <w:r>
        <w:t>una</w:t>
      </w:r>
      <w:r>
        <w:rPr>
          <w:spacing w:val="-9"/>
        </w:rPr>
        <w:t xml:space="preserve"> </w:t>
      </w:r>
      <w:r>
        <w:t>hija</w:t>
      </w:r>
      <w:r>
        <w:rPr>
          <w:spacing w:val="-9"/>
        </w:rPr>
        <w:t xml:space="preserve"> </w:t>
      </w:r>
      <w:r>
        <w:t>que iba a entrar a estudiar. Siempre supe que ese señor [su exmarido], estaba detrás de esto, ese señor fue maltratador, malo, pero quiero que se limpie el nombre de mi hijo y que se sepa que no era ningún informante»</w:t>
      </w:r>
      <w:r w:rsidR="000246F5">
        <w:rPr>
          <w:rStyle w:val="Refdenotaalpie"/>
        </w:rPr>
        <w:footnoteReference w:id="1145"/>
      </w:r>
      <w:r>
        <w:t>.</w:t>
      </w:r>
    </w:p>
    <w:p w:rsidR="0011361F" w:rsidRDefault="00AF18A5" w:rsidP="000246F5">
      <w:r>
        <w:t>Si bien los encuentros privados han proporcionado muchas veces contextos protegidos para poder encontrarse, el hecho de que las declaraciones y reconocimientos sean públicos se</w:t>
      </w:r>
      <w:r>
        <w:rPr>
          <w:spacing w:val="-9"/>
        </w:rPr>
        <w:t xml:space="preserve"> </w:t>
      </w:r>
      <w:r>
        <w:t>asocia</w:t>
      </w:r>
      <w:r>
        <w:rPr>
          <w:spacing w:val="-9"/>
        </w:rPr>
        <w:t xml:space="preserve"> </w:t>
      </w:r>
      <w:r>
        <w:t>a</w:t>
      </w:r>
      <w:r>
        <w:rPr>
          <w:spacing w:val="-9"/>
        </w:rPr>
        <w:t xml:space="preserve"> </w:t>
      </w:r>
      <w:r>
        <w:t>la</w:t>
      </w:r>
      <w:r>
        <w:rPr>
          <w:spacing w:val="-9"/>
        </w:rPr>
        <w:t xml:space="preserve"> </w:t>
      </w:r>
      <w:r>
        <w:t>reivindicación</w:t>
      </w:r>
      <w:r>
        <w:rPr>
          <w:spacing w:val="-10"/>
        </w:rPr>
        <w:t xml:space="preserve"> </w:t>
      </w:r>
      <w:r>
        <w:t>de</w:t>
      </w:r>
      <w:r>
        <w:rPr>
          <w:spacing w:val="-9"/>
        </w:rPr>
        <w:t xml:space="preserve"> </w:t>
      </w:r>
      <w:r>
        <w:t>una</w:t>
      </w:r>
      <w:r>
        <w:rPr>
          <w:spacing w:val="-9"/>
        </w:rPr>
        <w:t xml:space="preserve"> </w:t>
      </w:r>
      <w:r>
        <w:t>identidad</w:t>
      </w:r>
      <w:r>
        <w:rPr>
          <w:spacing w:val="-10"/>
        </w:rPr>
        <w:t xml:space="preserve"> </w:t>
      </w:r>
      <w:r>
        <w:t>positiva</w:t>
      </w:r>
      <w:r>
        <w:rPr>
          <w:spacing w:val="-9"/>
        </w:rPr>
        <w:t xml:space="preserve"> </w:t>
      </w:r>
      <w:r>
        <w:t>y</w:t>
      </w:r>
      <w:r>
        <w:rPr>
          <w:spacing w:val="-10"/>
        </w:rPr>
        <w:t xml:space="preserve"> </w:t>
      </w:r>
      <w:r>
        <w:t>de</w:t>
      </w:r>
      <w:r>
        <w:rPr>
          <w:spacing w:val="-9"/>
        </w:rPr>
        <w:t xml:space="preserve"> </w:t>
      </w:r>
      <w:r>
        <w:t>buen</w:t>
      </w:r>
      <w:r>
        <w:rPr>
          <w:spacing w:val="-10"/>
        </w:rPr>
        <w:t xml:space="preserve"> </w:t>
      </w:r>
      <w:r>
        <w:t>nombre</w:t>
      </w:r>
      <w:r>
        <w:rPr>
          <w:spacing w:val="-9"/>
        </w:rPr>
        <w:t xml:space="preserve"> </w:t>
      </w:r>
      <w:r>
        <w:t>de</w:t>
      </w:r>
      <w:r>
        <w:rPr>
          <w:spacing w:val="-11"/>
        </w:rPr>
        <w:t xml:space="preserve"> </w:t>
      </w:r>
      <w:r>
        <w:t>las</w:t>
      </w:r>
      <w:r>
        <w:rPr>
          <w:spacing w:val="-9"/>
        </w:rPr>
        <w:t xml:space="preserve"> </w:t>
      </w:r>
      <w:r>
        <w:t>víctimas.</w:t>
      </w:r>
      <w:r>
        <w:rPr>
          <w:spacing w:val="-10"/>
        </w:rPr>
        <w:t xml:space="preserve"> </w:t>
      </w:r>
      <w:r>
        <w:t>Hay que</w:t>
      </w:r>
      <w:r>
        <w:rPr>
          <w:spacing w:val="-8"/>
        </w:rPr>
        <w:t xml:space="preserve"> </w:t>
      </w:r>
      <w:r>
        <w:t>considerar</w:t>
      </w:r>
      <w:r>
        <w:rPr>
          <w:spacing w:val="-8"/>
        </w:rPr>
        <w:t xml:space="preserve"> </w:t>
      </w:r>
      <w:r>
        <w:t>que</w:t>
      </w:r>
      <w:r>
        <w:rPr>
          <w:spacing w:val="-9"/>
        </w:rPr>
        <w:t xml:space="preserve"> </w:t>
      </w:r>
      <w:r>
        <w:t>los</w:t>
      </w:r>
      <w:r>
        <w:rPr>
          <w:spacing w:val="-9"/>
        </w:rPr>
        <w:t xml:space="preserve"> </w:t>
      </w:r>
      <w:r>
        <w:t>hechos</w:t>
      </w:r>
      <w:r>
        <w:rPr>
          <w:spacing w:val="-8"/>
        </w:rPr>
        <w:t xml:space="preserve"> </w:t>
      </w:r>
      <w:r>
        <w:t>tuvieron</w:t>
      </w:r>
      <w:r>
        <w:rPr>
          <w:spacing w:val="-8"/>
        </w:rPr>
        <w:t xml:space="preserve"> </w:t>
      </w:r>
      <w:r>
        <w:t>un</w:t>
      </w:r>
      <w:r>
        <w:rPr>
          <w:spacing w:val="-8"/>
        </w:rPr>
        <w:t xml:space="preserve"> </w:t>
      </w:r>
      <w:r>
        <w:t>carácter</w:t>
      </w:r>
      <w:r>
        <w:rPr>
          <w:spacing w:val="-8"/>
        </w:rPr>
        <w:t xml:space="preserve"> </w:t>
      </w:r>
      <w:r>
        <w:t>social</w:t>
      </w:r>
      <w:r>
        <w:rPr>
          <w:spacing w:val="-9"/>
        </w:rPr>
        <w:t xml:space="preserve"> </w:t>
      </w:r>
      <w:r>
        <w:t>y</w:t>
      </w:r>
      <w:r>
        <w:rPr>
          <w:spacing w:val="-8"/>
        </w:rPr>
        <w:t xml:space="preserve"> </w:t>
      </w:r>
      <w:r>
        <w:t>político,</w:t>
      </w:r>
      <w:r>
        <w:rPr>
          <w:spacing w:val="-8"/>
        </w:rPr>
        <w:t xml:space="preserve"> </w:t>
      </w:r>
      <w:r>
        <w:t>y</w:t>
      </w:r>
      <w:r>
        <w:rPr>
          <w:spacing w:val="-9"/>
        </w:rPr>
        <w:t xml:space="preserve"> </w:t>
      </w:r>
      <w:r>
        <w:t>que</w:t>
      </w:r>
      <w:r>
        <w:rPr>
          <w:spacing w:val="-9"/>
        </w:rPr>
        <w:t xml:space="preserve"> </w:t>
      </w:r>
      <w:r>
        <w:t>la</w:t>
      </w:r>
      <w:r>
        <w:rPr>
          <w:spacing w:val="-8"/>
        </w:rPr>
        <w:t xml:space="preserve"> </w:t>
      </w:r>
      <w:r>
        <w:t>reparación</w:t>
      </w:r>
      <w:r>
        <w:rPr>
          <w:spacing w:val="-8"/>
        </w:rPr>
        <w:t xml:space="preserve"> </w:t>
      </w:r>
      <w:r>
        <w:t>debe tenerlo también. De igual manera, algunos responsables valoran que la importancia de los reconocimientos radica en resarcir el buen nombre de las víctimas y comunidades que han sido sometidas a la estigmatización, no solo de los actores armados, sino también por parte de</w:t>
      </w:r>
      <w:r>
        <w:rPr>
          <w:spacing w:val="-15"/>
        </w:rPr>
        <w:t xml:space="preserve"> </w:t>
      </w:r>
      <w:r>
        <w:t>sectores</w:t>
      </w:r>
      <w:r>
        <w:rPr>
          <w:spacing w:val="-15"/>
        </w:rPr>
        <w:t xml:space="preserve"> </w:t>
      </w:r>
      <w:r>
        <w:t>de</w:t>
      </w:r>
      <w:r>
        <w:rPr>
          <w:spacing w:val="-15"/>
        </w:rPr>
        <w:t xml:space="preserve"> </w:t>
      </w:r>
      <w:r>
        <w:t>la</w:t>
      </w:r>
      <w:r>
        <w:rPr>
          <w:spacing w:val="-15"/>
        </w:rPr>
        <w:t xml:space="preserve"> </w:t>
      </w:r>
      <w:r>
        <w:t>sociedad</w:t>
      </w:r>
      <w:r>
        <w:rPr>
          <w:spacing w:val="-15"/>
        </w:rPr>
        <w:t xml:space="preserve"> </w:t>
      </w:r>
      <w:r>
        <w:t>que</w:t>
      </w:r>
      <w:r>
        <w:rPr>
          <w:spacing w:val="-15"/>
        </w:rPr>
        <w:t xml:space="preserve"> </w:t>
      </w:r>
      <w:r>
        <w:t>les</w:t>
      </w:r>
      <w:r>
        <w:rPr>
          <w:spacing w:val="-15"/>
        </w:rPr>
        <w:t xml:space="preserve"> </w:t>
      </w:r>
      <w:r>
        <w:t>endilgan</w:t>
      </w:r>
      <w:r>
        <w:rPr>
          <w:spacing w:val="-15"/>
        </w:rPr>
        <w:t xml:space="preserve"> </w:t>
      </w:r>
      <w:r>
        <w:t>parte</w:t>
      </w:r>
      <w:r>
        <w:rPr>
          <w:spacing w:val="-15"/>
        </w:rPr>
        <w:t xml:space="preserve"> </w:t>
      </w:r>
      <w:r>
        <w:t>de</w:t>
      </w:r>
      <w:r>
        <w:rPr>
          <w:spacing w:val="-15"/>
        </w:rPr>
        <w:t xml:space="preserve"> </w:t>
      </w:r>
      <w:r>
        <w:t>la</w:t>
      </w:r>
      <w:r>
        <w:rPr>
          <w:spacing w:val="-15"/>
        </w:rPr>
        <w:t xml:space="preserve"> </w:t>
      </w:r>
      <w:r>
        <w:t>responsabilidad</w:t>
      </w:r>
      <w:r>
        <w:rPr>
          <w:spacing w:val="-15"/>
        </w:rPr>
        <w:t xml:space="preserve"> </w:t>
      </w:r>
      <w:r>
        <w:t>por</w:t>
      </w:r>
      <w:r>
        <w:rPr>
          <w:spacing w:val="-15"/>
        </w:rPr>
        <w:t xml:space="preserve"> </w:t>
      </w:r>
      <w:r>
        <w:t>habitar</w:t>
      </w:r>
      <w:r>
        <w:rPr>
          <w:spacing w:val="-15"/>
        </w:rPr>
        <w:t xml:space="preserve"> </w:t>
      </w:r>
      <w:r>
        <w:t>un</w:t>
      </w:r>
      <w:r>
        <w:rPr>
          <w:spacing w:val="-15"/>
        </w:rPr>
        <w:t xml:space="preserve"> </w:t>
      </w:r>
      <w:r>
        <w:t>territorio en</w:t>
      </w:r>
      <w:r>
        <w:rPr>
          <w:spacing w:val="-11"/>
        </w:rPr>
        <w:t xml:space="preserve"> </w:t>
      </w:r>
      <w:r>
        <w:t>particular,</w:t>
      </w:r>
      <w:r>
        <w:rPr>
          <w:spacing w:val="-11"/>
        </w:rPr>
        <w:t xml:space="preserve"> </w:t>
      </w:r>
      <w:r>
        <w:t>pertenecer</w:t>
      </w:r>
      <w:r>
        <w:rPr>
          <w:spacing w:val="-11"/>
        </w:rPr>
        <w:t xml:space="preserve"> </w:t>
      </w:r>
      <w:r>
        <w:t>a</w:t>
      </w:r>
      <w:r>
        <w:rPr>
          <w:spacing w:val="-10"/>
        </w:rPr>
        <w:t xml:space="preserve"> </w:t>
      </w:r>
      <w:r>
        <w:lastRenderedPageBreak/>
        <w:t>determinada</w:t>
      </w:r>
      <w:r>
        <w:rPr>
          <w:spacing w:val="-10"/>
        </w:rPr>
        <w:t xml:space="preserve"> </w:t>
      </w:r>
      <w:r>
        <w:t>etnia</w:t>
      </w:r>
      <w:r>
        <w:rPr>
          <w:spacing w:val="-10"/>
        </w:rPr>
        <w:t xml:space="preserve"> </w:t>
      </w:r>
      <w:r>
        <w:t>o</w:t>
      </w:r>
      <w:r>
        <w:rPr>
          <w:spacing w:val="-12"/>
        </w:rPr>
        <w:t xml:space="preserve"> </w:t>
      </w:r>
      <w:r>
        <w:t>tener</w:t>
      </w:r>
      <w:r>
        <w:rPr>
          <w:spacing w:val="-10"/>
        </w:rPr>
        <w:t xml:space="preserve"> </w:t>
      </w:r>
      <w:r>
        <w:t>una</w:t>
      </w:r>
      <w:r>
        <w:rPr>
          <w:spacing w:val="-10"/>
        </w:rPr>
        <w:t xml:space="preserve"> </w:t>
      </w:r>
      <w:r>
        <w:t>participación</w:t>
      </w:r>
      <w:r>
        <w:rPr>
          <w:spacing w:val="-11"/>
        </w:rPr>
        <w:t xml:space="preserve"> </w:t>
      </w:r>
      <w:r>
        <w:t>en</w:t>
      </w:r>
      <w:r>
        <w:rPr>
          <w:spacing w:val="-11"/>
        </w:rPr>
        <w:t xml:space="preserve"> </w:t>
      </w:r>
      <w:r>
        <w:t>liderazgos</w:t>
      </w:r>
      <w:r>
        <w:rPr>
          <w:spacing w:val="-11"/>
        </w:rPr>
        <w:t xml:space="preserve"> </w:t>
      </w:r>
      <w:r>
        <w:t>políticos u organizaciones sociales. En tal sentido, reconocer públicamente la responsabilidad posee un efecto liberador frente al estigma.</w:t>
      </w:r>
    </w:p>
    <w:p w:rsidR="0011361F" w:rsidRDefault="00AF18A5" w:rsidP="004A6EF4">
      <w:pPr>
        <w:pStyle w:val="Ttulo4"/>
        <w:numPr>
          <w:ilvl w:val="2"/>
          <w:numId w:val="16"/>
        </w:numPr>
      </w:pPr>
      <w:bookmarkStart w:id="1439" w:name="_bookmark1268"/>
      <w:bookmarkStart w:id="1440" w:name="_bookmark1269"/>
      <w:bookmarkStart w:id="1441" w:name="11.3.3._Ponerle_rostro_a_la_verdad"/>
      <w:bookmarkEnd w:id="1439"/>
      <w:bookmarkEnd w:id="1440"/>
      <w:bookmarkEnd w:id="1441"/>
      <w:r>
        <w:t>Ponerle</w:t>
      </w:r>
      <w:r>
        <w:rPr>
          <w:spacing w:val="-1"/>
        </w:rPr>
        <w:t xml:space="preserve"> </w:t>
      </w:r>
      <w:r>
        <w:t>rostro</w:t>
      </w:r>
      <w:r>
        <w:rPr>
          <w:spacing w:val="-1"/>
        </w:rPr>
        <w:t xml:space="preserve"> </w:t>
      </w:r>
      <w:r>
        <w:t>a</w:t>
      </w:r>
      <w:r>
        <w:rPr>
          <w:spacing w:val="-3"/>
        </w:rPr>
        <w:t xml:space="preserve"> </w:t>
      </w:r>
      <w:r>
        <w:t xml:space="preserve">la </w:t>
      </w:r>
      <w:r>
        <w:rPr>
          <w:spacing w:val="-2"/>
        </w:rPr>
        <w:t>verdad</w:t>
      </w:r>
    </w:p>
    <w:p w:rsidR="003804AC" w:rsidRDefault="00AF18A5" w:rsidP="00332EF8">
      <w:r>
        <w:t>En el caso de las víctimas, su participación en los reconocimientos de responsabilidad se encuentra vinculada a la necesidad imperiosa de saber la verdad o de esclarecer hechos que durante muchos años han sido silenciados, o se entiende como un acto de validación de una verdad</w:t>
      </w:r>
      <w:r>
        <w:rPr>
          <w:spacing w:val="-12"/>
        </w:rPr>
        <w:t xml:space="preserve"> </w:t>
      </w:r>
      <w:r>
        <w:t>que</w:t>
      </w:r>
      <w:r>
        <w:rPr>
          <w:spacing w:val="-12"/>
        </w:rPr>
        <w:t xml:space="preserve"> </w:t>
      </w:r>
      <w:r>
        <w:t>han</w:t>
      </w:r>
      <w:r>
        <w:rPr>
          <w:spacing w:val="-12"/>
        </w:rPr>
        <w:t xml:space="preserve"> </w:t>
      </w:r>
      <w:r>
        <w:t>conocido</w:t>
      </w:r>
      <w:r>
        <w:rPr>
          <w:spacing w:val="-13"/>
        </w:rPr>
        <w:t xml:space="preserve"> </w:t>
      </w:r>
      <w:r>
        <w:t>desde</w:t>
      </w:r>
      <w:r>
        <w:rPr>
          <w:spacing w:val="-12"/>
        </w:rPr>
        <w:t xml:space="preserve"> </w:t>
      </w:r>
      <w:r>
        <w:t>siempre</w:t>
      </w:r>
      <w:r>
        <w:rPr>
          <w:spacing w:val="-12"/>
        </w:rPr>
        <w:t xml:space="preserve"> </w:t>
      </w:r>
      <w:r>
        <w:t>y</w:t>
      </w:r>
      <w:r>
        <w:rPr>
          <w:spacing w:val="-12"/>
        </w:rPr>
        <w:t xml:space="preserve"> </w:t>
      </w:r>
      <w:r>
        <w:t>a</w:t>
      </w:r>
      <w:r>
        <w:rPr>
          <w:spacing w:val="-12"/>
        </w:rPr>
        <w:t xml:space="preserve"> </w:t>
      </w:r>
      <w:r>
        <w:t>la</w:t>
      </w:r>
      <w:r>
        <w:rPr>
          <w:spacing w:val="-12"/>
        </w:rPr>
        <w:t xml:space="preserve"> </w:t>
      </w:r>
      <w:r>
        <w:t>que</w:t>
      </w:r>
      <w:r>
        <w:rPr>
          <w:spacing w:val="-13"/>
        </w:rPr>
        <w:t xml:space="preserve"> </w:t>
      </w:r>
      <w:r>
        <w:t>ahora</w:t>
      </w:r>
      <w:r>
        <w:rPr>
          <w:spacing w:val="-12"/>
        </w:rPr>
        <w:t xml:space="preserve"> </w:t>
      </w:r>
      <w:r>
        <w:t>le</w:t>
      </w:r>
      <w:r>
        <w:rPr>
          <w:spacing w:val="-12"/>
        </w:rPr>
        <w:t xml:space="preserve"> </w:t>
      </w:r>
      <w:r>
        <w:t>pueden</w:t>
      </w:r>
      <w:r>
        <w:rPr>
          <w:spacing w:val="-12"/>
        </w:rPr>
        <w:t xml:space="preserve"> </w:t>
      </w:r>
      <w:r>
        <w:t>poner</w:t>
      </w:r>
      <w:r>
        <w:rPr>
          <w:spacing w:val="-12"/>
        </w:rPr>
        <w:t xml:space="preserve"> </w:t>
      </w:r>
      <w:r>
        <w:t>voz</w:t>
      </w:r>
      <w:r>
        <w:rPr>
          <w:spacing w:val="-12"/>
        </w:rPr>
        <w:t xml:space="preserve"> </w:t>
      </w:r>
      <w:r>
        <w:t>y</w:t>
      </w:r>
      <w:r>
        <w:rPr>
          <w:spacing w:val="-12"/>
        </w:rPr>
        <w:t xml:space="preserve"> </w:t>
      </w:r>
      <w:r>
        <w:t>rostro</w:t>
      </w:r>
      <w:r>
        <w:rPr>
          <w:spacing w:val="-12"/>
        </w:rPr>
        <w:t xml:space="preserve"> </w:t>
      </w:r>
      <w:r>
        <w:t>a</w:t>
      </w:r>
      <w:r>
        <w:rPr>
          <w:spacing w:val="-13"/>
        </w:rPr>
        <w:t xml:space="preserve"> </w:t>
      </w:r>
      <w:r>
        <w:t>través del encuentro con los responsables y, en el caso público, frente a la sociedad. Escuchar la verdad por parte de los responsables de los hechos de violencia que tanto daño les han causado</w:t>
      </w:r>
      <w:r>
        <w:rPr>
          <w:spacing w:val="-5"/>
        </w:rPr>
        <w:t xml:space="preserve"> </w:t>
      </w:r>
      <w:r>
        <w:t>resulta</w:t>
      </w:r>
      <w:r>
        <w:rPr>
          <w:spacing w:val="-4"/>
        </w:rPr>
        <w:t xml:space="preserve"> </w:t>
      </w:r>
      <w:r>
        <w:t>una</w:t>
      </w:r>
      <w:r>
        <w:rPr>
          <w:spacing w:val="-4"/>
        </w:rPr>
        <w:t xml:space="preserve"> </w:t>
      </w:r>
      <w:r>
        <w:t>tarea</w:t>
      </w:r>
      <w:r>
        <w:rPr>
          <w:spacing w:val="-4"/>
        </w:rPr>
        <w:t xml:space="preserve"> </w:t>
      </w:r>
      <w:r>
        <w:t>compleja</w:t>
      </w:r>
      <w:r>
        <w:rPr>
          <w:spacing w:val="-4"/>
        </w:rPr>
        <w:t xml:space="preserve"> </w:t>
      </w:r>
      <w:r>
        <w:t>porque</w:t>
      </w:r>
      <w:r>
        <w:rPr>
          <w:spacing w:val="-4"/>
        </w:rPr>
        <w:t xml:space="preserve"> </w:t>
      </w:r>
      <w:r>
        <w:t>implica</w:t>
      </w:r>
      <w:r>
        <w:rPr>
          <w:spacing w:val="-4"/>
        </w:rPr>
        <w:t xml:space="preserve"> </w:t>
      </w:r>
      <w:r>
        <w:t>revivir</w:t>
      </w:r>
      <w:r>
        <w:rPr>
          <w:spacing w:val="-4"/>
        </w:rPr>
        <w:t xml:space="preserve"> </w:t>
      </w:r>
      <w:r>
        <w:t>el</w:t>
      </w:r>
      <w:r>
        <w:rPr>
          <w:spacing w:val="-4"/>
        </w:rPr>
        <w:t xml:space="preserve"> </w:t>
      </w:r>
      <w:r>
        <w:t>dolor,</w:t>
      </w:r>
      <w:r>
        <w:rPr>
          <w:spacing w:val="-5"/>
        </w:rPr>
        <w:t xml:space="preserve"> </w:t>
      </w:r>
      <w:r>
        <w:t>la</w:t>
      </w:r>
      <w:r>
        <w:rPr>
          <w:spacing w:val="-4"/>
        </w:rPr>
        <w:t xml:space="preserve"> </w:t>
      </w:r>
      <w:r>
        <w:t>tristeza,</w:t>
      </w:r>
      <w:r>
        <w:rPr>
          <w:spacing w:val="-5"/>
        </w:rPr>
        <w:t xml:space="preserve"> </w:t>
      </w:r>
      <w:r>
        <w:t>la</w:t>
      </w:r>
      <w:r>
        <w:rPr>
          <w:spacing w:val="-4"/>
        </w:rPr>
        <w:t xml:space="preserve"> </w:t>
      </w:r>
      <w:r>
        <w:t>frustración, la impotencia que han sobrellevado por tantos años. Pero, entre la ambivalencia del dolor y el</w:t>
      </w:r>
      <w:r>
        <w:rPr>
          <w:spacing w:val="-7"/>
        </w:rPr>
        <w:t xml:space="preserve"> </w:t>
      </w:r>
      <w:r>
        <w:t>balance</w:t>
      </w:r>
      <w:r>
        <w:rPr>
          <w:spacing w:val="-7"/>
        </w:rPr>
        <w:t xml:space="preserve"> </w:t>
      </w:r>
      <w:r>
        <w:t>de</w:t>
      </w:r>
      <w:r>
        <w:rPr>
          <w:spacing w:val="-7"/>
        </w:rPr>
        <w:t xml:space="preserve"> </w:t>
      </w:r>
      <w:r>
        <w:t>lo</w:t>
      </w:r>
      <w:r>
        <w:rPr>
          <w:spacing w:val="-7"/>
        </w:rPr>
        <w:t xml:space="preserve"> </w:t>
      </w:r>
      <w:r>
        <w:t>que</w:t>
      </w:r>
      <w:r>
        <w:rPr>
          <w:spacing w:val="-7"/>
        </w:rPr>
        <w:t xml:space="preserve"> </w:t>
      </w:r>
      <w:r>
        <w:t>pueda</w:t>
      </w:r>
      <w:r>
        <w:rPr>
          <w:spacing w:val="-7"/>
        </w:rPr>
        <w:t xml:space="preserve"> </w:t>
      </w:r>
      <w:r>
        <w:t>surgir</w:t>
      </w:r>
      <w:r>
        <w:rPr>
          <w:spacing w:val="-7"/>
        </w:rPr>
        <w:t xml:space="preserve"> </w:t>
      </w:r>
      <w:r>
        <w:t>de</w:t>
      </w:r>
      <w:r>
        <w:rPr>
          <w:spacing w:val="-7"/>
        </w:rPr>
        <w:t xml:space="preserve"> </w:t>
      </w:r>
      <w:r>
        <w:t>los</w:t>
      </w:r>
      <w:r>
        <w:rPr>
          <w:spacing w:val="-7"/>
        </w:rPr>
        <w:t xml:space="preserve"> </w:t>
      </w:r>
      <w:r>
        <w:t>procesos</w:t>
      </w:r>
      <w:r>
        <w:rPr>
          <w:spacing w:val="-8"/>
        </w:rPr>
        <w:t xml:space="preserve"> </w:t>
      </w:r>
      <w:r>
        <w:t>de</w:t>
      </w:r>
      <w:r>
        <w:rPr>
          <w:spacing w:val="-7"/>
        </w:rPr>
        <w:t xml:space="preserve"> </w:t>
      </w:r>
      <w:r>
        <w:t>reconocimiento</w:t>
      </w:r>
      <w:r>
        <w:rPr>
          <w:spacing w:val="-7"/>
        </w:rPr>
        <w:t xml:space="preserve"> </w:t>
      </w:r>
      <w:r>
        <w:t>de</w:t>
      </w:r>
      <w:r>
        <w:rPr>
          <w:spacing w:val="-7"/>
        </w:rPr>
        <w:t xml:space="preserve"> </w:t>
      </w:r>
      <w:r>
        <w:t>responsabilidades,</w:t>
      </w:r>
      <w:r>
        <w:rPr>
          <w:spacing w:val="-7"/>
        </w:rPr>
        <w:t xml:space="preserve"> </w:t>
      </w:r>
      <w:r>
        <w:t>se concreta</w:t>
      </w:r>
      <w:r>
        <w:rPr>
          <w:spacing w:val="-3"/>
        </w:rPr>
        <w:t xml:space="preserve"> </w:t>
      </w:r>
      <w:r>
        <w:t>la</w:t>
      </w:r>
      <w:r>
        <w:rPr>
          <w:spacing w:val="-2"/>
        </w:rPr>
        <w:t xml:space="preserve"> </w:t>
      </w:r>
      <w:r>
        <w:t>posibilidad</w:t>
      </w:r>
      <w:r>
        <w:rPr>
          <w:spacing w:val="-3"/>
        </w:rPr>
        <w:t xml:space="preserve"> </w:t>
      </w:r>
      <w:r>
        <w:t>de</w:t>
      </w:r>
      <w:r>
        <w:rPr>
          <w:spacing w:val="-2"/>
        </w:rPr>
        <w:t xml:space="preserve"> </w:t>
      </w:r>
      <w:r>
        <w:t>empezar</w:t>
      </w:r>
      <w:r>
        <w:rPr>
          <w:spacing w:val="-3"/>
        </w:rPr>
        <w:t xml:space="preserve"> </w:t>
      </w:r>
      <w:r>
        <w:t>a</w:t>
      </w:r>
      <w:r>
        <w:rPr>
          <w:spacing w:val="-4"/>
        </w:rPr>
        <w:t xml:space="preserve"> </w:t>
      </w:r>
      <w:r>
        <w:t>resignificar</w:t>
      </w:r>
      <w:r>
        <w:rPr>
          <w:spacing w:val="-3"/>
        </w:rPr>
        <w:t xml:space="preserve"> </w:t>
      </w:r>
      <w:r>
        <w:t>la</w:t>
      </w:r>
      <w:r>
        <w:rPr>
          <w:spacing w:val="-2"/>
        </w:rPr>
        <w:t xml:space="preserve"> </w:t>
      </w:r>
      <w:r>
        <w:t>historia</w:t>
      </w:r>
      <w:r>
        <w:rPr>
          <w:spacing w:val="-2"/>
        </w:rPr>
        <w:t xml:space="preserve"> </w:t>
      </w:r>
      <w:r>
        <w:t>o</w:t>
      </w:r>
      <w:r>
        <w:rPr>
          <w:spacing w:val="-5"/>
        </w:rPr>
        <w:t xml:space="preserve"> </w:t>
      </w:r>
      <w:r>
        <w:t>de</w:t>
      </w:r>
      <w:r>
        <w:rPr>
          <w:spacing w:val="-2"/>
        </w:rPr>
        <w:t xml:space="preserve"> </w:t>
      </w:r>
      <w:r>
        <w:t>tener</w:t>
      </w:r>
      <w:r>
        <w:rPr>
          <w:spacing w:val="-2"/>
        </w:rPr>
        <w:t xml:space="preserve"> </w:t>
      </w:r>
      <w:r>
        <w:t>nuevas</w:t>
      </w:r>
      <w:r>
        <w:rPr>
          <w:spacing w:val="-2"/>
        </w:rPr>
        <w:t xml:space="preserve"> </w:t>
      </w:r>
      <w:r>
        <w:t>informaciones que ayuden a completarla, y, por lo tanto, guardar la esperanza de asimilar mejor.</w:t>
      </w:r>
    </w:p>
    <w:p w:rsidR="003804AC" w:rsidRDefault="00AF18A5" w:rsidP="00332EF8">
      <w:r>
        <w:t>Los</w:t>
      </w:r>
      <w:r>
        <w:rPr>
          <w:spacing w:val="-6"/>
        </w:rPr>
        <w:t xml:space="preserve"> </w:t>
      </w:r>
      <w:r>
        <w:t>responsables</w:t>
      </w:r>
      <w:r>
        <w:rPr>
          <w:spacing w:val="-6"/>
        </w:rPr>
        <w:t xml:space="preserve"> </w:t>
      </w:r>
      <w:r>
        <w:t>de</w:t>
      </w:r>
      <w:r>
        <w:rPr>
          <w:spacing w:val="-7"/>
        </w:rPr>
        <w:t xml:space="preserve"> </w:t>
      </w:r>
      <w:r>
        <w:t>las</w:t>
      </w:r>
      <w:r>
        <w:rPr>
          <w:spacing w:val="-7"/>
        </w:rPr>
        <w:t xml:space="preserve"> </w:t>
      </w:r>
      <w:r>
        <w:t>FARC-EP</w:t>
      </w:r>
      <w:r>
        <w:rPr>
          <w:spacing w:val="-6"/>
        </w:rPr>
        <w:t xml:space="preserve"> </w:t>
      </w:r>
      <w:r>
        <w:t>y</w:t>
      </w:r>
      <w:r>
        <w:rPr>
          <w:spacing w:val="-3"/>
        </w:rPr>
        <w:t xml:space="preserve"> </w:t>
      </w:r>
      <w:r>
        <w:t>del</w:t>
      </w:r>
      <w:r>
        <w:rPr>
          <w:spacing w:val="-5"/>
        </w:rPr>
        <w:t xml:space="preserve"> </w:t>
      </w:r>
      <w:r>
        <w:t>Ejército</w:t>
      </w:r>
      <w:r>
        <w:rPr>
          <w:spacing w:val="-7"/>
        </w:rPr>
        <w:t xml:space="preserve"> </w:t>
      </w:r>
      <w:r>
        <w:t>Nacional,</w:t>
      </w:r>
      <w:r>
        <w:rPr>
          <w:spacing w:val="-6"/>
        </w:rPr>
        <w:t xml:space="preserve"> </w:t>
      </w:r>
      <w:r>
        <w:t>en</w:t>
      </w:r>
      <w:r>
        <w:rPr>
          <w:spacing w:val="-7"/>
        </w:rPr>
        <w:t xml:space="preserve"> </w:t>
      </w:r>
      <w:r>
        <w:t>el</w:t>
      </w:r>
      <w:r>
        <w:rPr>
          <w:spacing w:val="-5"/>
        </w:rPr>
        <w:t xml:space="preserve"> </w:t>
      </w:r>
      <w:r>
        <w:t>transcurso</w:t>
      </w:r>
      <w:r>
        <w:rPr>
          <w:spacing w:val="-6"/>
        </w:rPr>
        <w:t xml:space="preserve"> </w:t>
      </w:r>
      <w:r>
        <w:t>del</w:t>
      </w:r>
      <w:r>
        <w:rPr>
          <w:spacing w:val="-5"/>
        </w:rPr>
        <w:t xml:space="preserve"> </w:t>
      </w:r>
      <w:r>
        <w:t>desarrollo de</w:t>
      </w:r>
      <w:r>
        <w:rPr>
          <w:spacing w:val="-15"/>
        </w:rPr>
        <w:t xml:space="preserve"> </w:t>
      </w:r>
      <w:r>
        <w:t>los</w:t>
      </w:r>
      <w:r>
        <w:rPr>
          <w:spacing w:val="-15"/>
        </w:rPr>
        <w:t xml:space="preserve"> </w:t>
      </w:r>
      <w:r>
        <w:t>reconocimientos,</w:t>
      </w:r>
      <w:r>
        <w:rPr>
          <w:spacing w:val="-15"/>
        </w:rPr>
        <w:t xml:space="preserve"> </w:t>
      </w:r>
      <w:r>
        <w:t>han</w:t>
      </w:r>
      <w:r>
        <w:rPr>
          <w:spacing w:val="-15"/>
        </w:rPr>
        <w:t xml:space="preserve"> </w:t>
      </w:r>
      <w:r>
        <w:t>identificado</w:t>
      </w:r>
      <w:r>
        <w:rPr>
          <w:spacing w:val="-15"/>
        </w:rPr>
        <w:t xml:space="preserve"> </w:t>
      </w:r>
      <w:r>
        <w:t>lo</w:t>
      </w:r>
      <w:r>
        <w:rPr>
          <w:spacing w:val="-15"/>
        </w:rPr>
        <w:t xml:space="preserve"> </w:t>
      </w:r>
      <w:r>
        <w:t>importante</w:t>
      </w:r>
      <w:r>
        <w:rPr>
          <w:spacing w:val="-15"/>
        </w:rPr>
        <w:t xml:space="preserve"> </w:t>
      </w:r>
      <w:r>
        <w:t>que</w:t>
      </w:r>
      <w:r>
        <w:rPr>
          <w:spacing w:val="-15"/>
        </w:rPr>
        <w:t xml:space="preserve"> </w:t>
      </w:r>
      <w:r>
        <w:t>resulta</w:t>
      </w:r>
      <w:r>
        <w:rPr>
          <w:spacing w:val="-15"/>
        </w:rPr>
        <w:t xml:space="preserve"> </w:t>
      </w:r>
      <w:r>
        <w:t>aportar</w:t>
      </w:r>
      <w:r>
        <w:rPr>
          <w:spacing w:val="-15"/>
        </w:rPr>
        <w:t xml:space="preserve"> </w:t>
      </w:r>
      <w:r>
        <w:t>verdad</w:t>
      </w:r>
      <w:r>
        <w:rPr>
          <w:spacing w:val="-15"/>
        </w:rPr>
        <w:t xml:space="preserve"> </w:t>
      </w:r>
      <w:r>
        <w:t>para</w:t>
      </w:r>
      <w:r>
        <w:rPr>
          <w:spacing w:val="-15"/>
        </w:rPr>
        <w:t xml:space="preserve"> </w:t>
      </w:r>
      <w:r>
        <w:t>aliviar, hacer algo frente a lo irreparable de lo vivido, como lo manifiesta una participante firmante del Acuerdo de Paz en el reconocimiento de responsabilidades por parte de FARC-EP en Palestina, Huila.</w:t>
      </w:r>
    </w:p>
    <w:p w:rsidR="0011361F" w:rsidRDefault="00AF18A5" w:rsidP="00332EF8">
      <w:r>
        <w:t xml:space="preserve">«Mientras no haya una verdad efectiva, no hay tampoco reparación, o sea, poder reparar a las víctimas a través de la verdad. Uno queda </w:t>
      </w:r>
      <w:r>
        <w:lastRenderedPageBreak/>
        <w:t>marcado, ver a la familia, sus hermanos, padres, uno ve la emoción, el dolor, sus gestos. Queda marcada en la sensibilidad, porque percibir</w:t>
      </w:r>
      <w:r>
        <w:rPr>
          <w:spacing w:val="-2"/>
        </w:rPr>
        <w:t xml:space="preserve"> </w:t>
      </w:r>
      <w:r>
        <w:t>el</w:t>
      </w:r>
      <w:r>
        <w:rPr>
          <w:spacing w:val="-2"/>
        </w:rPr>
        <w:t xml:space="preserve"> </w:t>
      </w:r>
      <w:r>
        <w:t>dolor</w:t>
      </w:r>
      <w:r>
        <w:rPr>
          <w:spacing w:val="-2"/>
        </w:rPr>
        <w:t xml:space="preserve"> </w:t>
      </w:r>
      <w:r>
        <w:t>que</w:t>
      </w:r>
      <w:r>
        <w:rPr>
          <w:spacing w:val="-2"/>
        </w:rPr>
        <w:t xml:space="preserve"> </w:t>
      </w:r>
      <w:r>
        <w:t>ha</w:t>
      </w:r>
      <w:r>
        <w:rPr>
          <w:spacing w:val="-2"/>
        </w:rPr>
        <w:t xml:space="preserve"> </w:t>
      </w:r>
      <w:r>
        <w:t>afectado</w:t>
      </w:r>
      <w:r>
        <w:rPr>
          <w:spacing w:val="-2"/>
        </w:rPr>
        <w:t xml:space="preserve"> </w:t>
      </w:r>
      <w:r>
        <w:t>a</w:t>
      </w:r>
      <w:r>
        <w:rPr>
          <w:spacing w:val="-2"/>
        </w:rPr>
        <w:t xml:space="preserve"> </w:t>
      </w:r>
      <w:r>
        <w:t>las</w:t>
      </w:r>
      <w:r>
        <w:rPr>
          <w:spacing w:val="-2"/>
        </w:rPr>
        <w:t xml:space="preserve"> </w:t>
      </w:r>
      <w:r>
        <w:t>familias</w:t>
      </w:r>
      <w:r>
        <w:rPr>
          <w:spacing w:val="-2"/>
        </w:rPr>
        <w:t xml:space="preserve"> </w:t>
      </w:r>
      <w:r>
        <w:t>la</w:t>
      </w:r>
      <w:r>
        <w:rPr>
          <w:spacing w:val="-2"/>
        </w:rPr>
        <w:t xml:space="preserve"> </w:t>
      </w:r>
      <w:r>
        <w:t>hace</w:t>
      </w:r>
      <w:r>
        <w:rPr>
          <w:spacing w:val="-2"/>
        </w:rPr>
        <w:t xml:space="preserve"> </w:t>
      </w:r>
      <w:r>
        <w:t>a</w:t>
      </w:r>
      <w:r>
        <w:rPr>
          <w:spacing w:val="-2"/>
        </w:rPr>
        <w:t xml:space="preserve"> </w:t>
      </w:r>
      <w:r>
        <w:t>una</w:t>
      </w:r>
      <w:r>
        <w:rPr>
          <w:spacing w:val="-2"/>
        </w:rPr>
        <w:t xml:space="preserve"> </w:t>
      </w:r>
      <w:r>
        <w:t>más</w:t>
      </w:r>
      <w:r>
        <w:rPr>
          <w:spacing w:val="-2"/>
        </w:rPr>
        <w:t xml:space="preserve"> </w:t>
      </w:r>
      <w:r>
        <w:t>sensible,</w:t>
      </w:r>
      <w:r>
        <w:rPr>
          <w:spacing w:val="-2"/>
        </w:rPr>
        <w:t xml:space="preserve"> </w:t>
      </w:r>
      <w:r>
        <w:t>empática.</w:t>
      </w:r>
      <w:r>
        <w:rPr>
          <w:spacing w:val="-2"/>
        </w:rPr>
        <w:t xml:space="preserve"> </w:t>
      </w:r>
      <w:r>
        <w:t>Uno</w:t>
      </w:r>
      <w:r>
        <w:rPr>
          <w:spacing w:val="-2"/>
        </w:rPr>
        <w:t xml:space="preserve"> </w:t>
      </w:r>
      <w:r>
        <w:t>en armas no percibía ese dolor, pero ahora hemos sabido comprender el dolor»</w:t>
      </w:r>
      <w:r w:rsidR="00332EF8">
        <w:rPr>
          <w:rStyle w:val="Refdenotaalpie"/>
        </w:rPr>
        <w:footnoteReference w:id="1146"/>
      </w:r>
      <w:r>
        <w:t>.</w:t>
      </w:r>
    </w:p>
    <w:p w:rsidR="0011361F" w:rsidRDefault="00AF18A5" w:rsidP="004A6EF4">
      <w:pPr>
        <w:pStyle w:val="Ttulo3"/>
        <w:numPr>
          <w:ilvl w:val="1"/>
          <w:numId w:val="16"/>
        </w:numPr>
      </w:pPr>
      <w:bookmarkStart w:id="1442" w:name="_bookmark1270"/>
      <w:bookmarkStart w:id="1443" w:name="11.4._Emocionalidad_que_dispone_para_el_"/>
      <w:bookmarkStart w:id="1444" w:name="_Toc112399671"/>
      <w:bookmarkEnd w:id="1442"/>
      <w:bookmarkEnd w:id="1443"/>
      <w:r>
        <w:t>Emocionalidad</w:t>
      </w:r>
      <w:r>
        <w:rPr>
          <w:spacing w:val="-4"/>
        </w:rPr>
        <w:t xml:space="preserve"> </w:t>
      </w:r>
      <w:r>
        <w:t>que</w:t>
      </w:r>
      <w:r>
        <w:rPr>
          <w:spacing w:val="-3"/>
        </w:rPr>
        <w:t xml:space="preserve"> </w:t>
      </w:r>
      <w:r>
        <w:t>dispone</w:t>
      </w:r>
      <w:r>
        <w:rPr>
          <w:spacing w:val="-3"/>
        </w:rPr>
        <w:t xml:space="preserve"> </w:t>
      </w:r>
      <w:r>
        <w:t>para</w:t>
      </w:r>
      <w:r>
        <w:rPr>
          <w:spacing w:val="-3"/>
        </w:rPr>
        <w:t xml:space="preserve"> </w:t>
      </w:r>
      <w:r>
        <w:t>el</w:t>
      </w:r>
      <w:r>
        <w:rPr>
          <w:spacing w:val="-2"/>
        </w:rPr>
        <w:t xml:space="preserve"> reconocimiento</w:t>
      </w:r>
      <w:bookmarkEnd w:id="1444"/>
    </w:p>
    <w:p w:rsidR="0011361F" w:rsidRDefault="00AF18A5" w:rsidP="004A6EF4">
      <w:pPr>
        <w:pStyle w:val="Ttulo4"/>
        <w:numPr>
          <w:ilvl w:val="2"/>
          <w:numId w:val="16"/>
        </w:numPr>
      </w:pPr>
      <w:bookmarkStart w:id="1445" w:name="11.4.1._Entre_la_motivación,_el_miedo_y_"/>
      <w:bookmarkEnd w:id="1445"/>
      <w:r>
        <w:t>Entre</w:t>
      </w:r>
      <w:r>
        <w:rPr>
          <w:spacing w:val="-2"/>
        </w:rPr>
        <w:t xml:space="preserve"> </w:t>
      </w:r>
      <w:r>
        <w:t>la</w:t>
      </w:r>
      <w:r>
        <w:rPr>
          <w:spacing w:val="-1"/>
        </w:rPr>
        <w:t xml:space="preserve"> </w:t>
      </w:r>
      <w:r>
        <w:t>motivación,</w:t>
      </w:r>
      <w:r>
        <w:rPr>
          <w:spacing w:val="-1"/>
        </w:rPr>
        <w:t xml:space="preserve"> </w:t>
      </w:r>
      <w:r>
        <w:t>el</w:t>
      </w:r>
      <w:r>
        <w:rPr>
          <w:spacing w:val="-1"/>
        </w:rPr>
        <w:t xml:space="preserve"> </w:t>
      </w:r>
      <w:r>
        <w:t>miedo</w:t>
      </w:r>
      <w:r>
        <w:rPr>
          <w:spacing w:val="-1"/>
        </w:rPr>
        <w:t xml:space="preserve"> </w:t>
      </w:r>
      <w:r>
        <w:t>y</w:t>
      </w:r>
      <w:r>
        <w:rPr>
          <w:spacing w:val="-1"/>
        </w:rPr>
        <w:t xml:space="preserve"> </w:t>
      </w:r>
      <w:r>
        <w:t>el</w:t>
      </w:r>
      <w:r>
        <w:rPr>
          <w:spacing w:val="-1"/>
        </w:rPr>
        <w:t xml:space="preserve"> </w:t>
      </w:r>
      <w:r w:rsidRPr="00332EF8">
        <w:t>cuestionamiento</w:t>
      </w:r>
    </w:p>
    <w:p w:rsidR="003804AC" w:rsidRDefault="00AF18A5" w:rsidP="00332EF8">
      <w:r>
        <w:t>La motivación entre los responsables los enfrenta al miedo de exponerse a las víctimas y al público,</w:t>
      </w:r>
      <w:r>
        <w:rPr>
          <w:spacing w:val="-2"/>
        </w:rPr>
        <w:t xml:space="preserve"> </w:t>
      </w:r>
      <w:r>
        <w:t>porque</w:t>
      </w:r>
      <w:r>
        <w:rPr>
          <w:spacing w:val="-2"/>
        </w:rPr>
        <w:t xml:space="preserve"> </w:t>
      </w:r>
      <w:r>
        <w:t>se</w:t>
      </w:r>
      <w:r>
        <w:rPr>
          <w:spacing w:val="-2"/>
        </w:rPr>
        <w:t xml:space="preserve"> </w:t>
      </w:r>
      <w:r>
        <w:t>ven</w:t>
      </w:r>
      <w:r>
        <w:rPr>
          <w:spacing w:val="-2"/>
        </w:rPr>
        <w:t xml:space="preserve"> </w:t>
      </w:r>
      <w:r>
        <w:t>cuestionados</w:t>
      </w:r>
      <w:r>
        <w:rPr>
          <w:spacing w:val="-2"/>
        </w:rPr>
        <w:t xml:space="preserve"> </w:t>
      </w:r>
      <w:r>
        <w:t>por</w:t>
      </w:r>
      <w:r>
        <w:rPr>
          <w:spacing w:val="-2"/>
        </w:rPr>
        <w:t xml:space="preserve"> </w:t>
      </w:r>
      <w:r>
        <w:t>la</w:t>
      </w:r>
      <w:r>
        <w:rPr>
          <w:spacing w:val="-2"/>
        </w:rPr>
        <w:t xml:space="preserve"> </w:t>
      </w:r>
      <w:r>
        <w:t>dimensión</w:t>
      </w:r>
      <w:r>
        <w:rPr>
          <w:spacing w:val="-2"/>
        </w:rPr>
        <w:t xml:space="preserve"> </w:t>
      </w:r>
      <w:r>
        <w:t>de</w:t>
      </w:r>
      <w:r>
        <w:rPr>
          <w:spacing w:val="-2"/>
        </w:rPr>
        <w:t xml:space="preserve"> </w:t>
      </w:r>
      <w:r>
        <w:t>sus</w:t>
      </w:r>
      <w:r>
        <w:rPr>
          <w:spacing w:val="-2"/>
        </w:rPr>
        <w:t xml:space="preserve"> </w:t>
      </w:r>
      <w:r>
        <w:t>actos,</w:t>
      </w:r>
      <w:r>
        <w:rPr>
          <w:spacing w:val="-2"/>
        </w:rPr>
        <w:t xml:space="preserve"> </w:t>
      </w:r>
      <w:r>
        <w:t>o</w:t>
      </w:r>
      <w:r>
        <w:rPr>
          <w:spacing w:val="-2"/>
        </w:rPr>
        <w:t xml:space="preserve"> </w:t>
      </w:r>
      <w:r>
        <w:t>porque</w:t>
      </w:r>
      <w:r>
        <w:rPr>
          <w:spacing w:val="-2"/>
        </w:rPr>
        <w:t xml:space="preserve"> </w:t>
      </w:r>
      <w:r>
        <w:t>les</w:t>
      </w:r>
      <w:r>
        <w:rPr>
          <w:spacing w:val="-2"/>
        </w:rPr>
        <w:t xml:space="preserve"> </w:t>
      </w:r>
      <w:r>
        <w:t>interpela</w:t>
      </w:r>
      <w:r>
        <w:rPr>
          <w:spacing w:val="-2"/>
        </w:rPr>
        <w:t xml:space="preserve"> </w:t>
      </w:r>
      <w:r>
        <w:t>su propia humanidad. Porque terminan reconociendo, comprendiendo y aceptando las consecuencias de lo que hicieron. El miedo, en muchas ocasiones, puede presentarse desde lugares distintos. Por un lado, alejado del arrepentimiento, se teme más por «lo que voy a recibir, lo que me van a decir o cómo me voy a sentir»; es decir, se centra más en el yo. En contraposición, los declarantes pueden experimentar miedo a la vergüenza o a la culpa que confrontan su propia identidad y su sentido de responsabilidad. En muchas ocasiones, los propios</w:t>
      </w:r>
      <w:r>
        <w:rPr>
          <w:spacing w:val="-14"/>
        </w:rPr>
        <w:t xml:space="preserve"> </w:t>
      </w:r>
      <w:r>
        <w:t>responsables</w:t>
      </w:r>
      <w:r>
        <w:rPr>
          <w:spacing w:val="-14"/>
        </w:rPr>
        <w:t xml:space="preserve"> </w:t>
      </w:r>
      <w:r>
        <w:t>han</w:t>
      </w:r>
      <w:r>
        <w:rPr>
          <w:spacing w:val="-15"/>
        </w:rPr>
        <w:t xml:space="preserve"> </w:t>
      </w:r>
      <w:r>
        <w:t>señalado</w:t>
      </w:r>
      <w:r>
        <w:rPr>
          <w:spacing w:val="-14"/>
        </w:rPr>
        <w:t xml:space="preserve"> </w:t>
      </w:r>
      <w:r>
        <w:t>que</w:t>
      </w:r>
      <w:r>
        <w:rPr>
          <w:spacing w:val="-14"/>
        </w:rPr>
        <w:t xml:space="preserve"> </w:t>
      </w:r>
      <w:r>
        <w:t>ante</w:t>
      </w:r>
      <w:r>
        <w:rPr>
          <w:spacing w:val="-14"/>
        </w:rPr>
        <w:t xml:space="preserve"> </w:t>
      </w:r>
      <w:r>
        <w:t>lo</w:t>
      </w:r>
      <w:r>
        <w:rPr>
          <w:spacing w:val="-14"/>
        </w:rPr>
        <w:t xml:space="preserve"> </w:t>
      </w:r>
      <w:r>
        <w:t>sucedido</w:t>
      </w:r>
      <w:r>
        <w:rPr>
          <w:spacing w:val="-14"/>
        </w:rPr>
        <w:t xml:space="preserve"> </w:t>
      </w:r>
      <w:r>
        <w:t>se</w:t>
      </w:r>
      <w:r>
        <w:rPr>
          <w:spacing w:val="-14"/>
        </w:rPr>
        <w:t xml:space="preserve"> </w:t>
      </w:r>
      <w:r>
        <w:t>justifica</w:t>
      </w:r>
      <w:r>
        <w:rPr>
          <w:spacing w:val="-14"/>
        </w:rPr>
        <w:t xml:space="preserve"> </w:t>
      </w:r>
      <w:r>
        <w:t>cualquier</w:t>
      </w:r>
      <w:r>
        <w:rPr>
          <w:spacing w:val="-14"/>
        </w:rPr>
        <w:t xml:space="preserve"> </w:t>
      </w:r>
      <w:r>
        <w:t>tipo</w:t>
      </w:r>
      <w:r>
        <w:rPr>
          <w:spacing w:val="-14"/>
        </w:rPr>
        <w:t xml:space="preserve"> </w:t>
      </w:r>
      <w:r>
        <w:t>de</w:t>
      </w:r>
      <w:r>
        <w:rPr>
          <w:spacing w:val="-14"/>
        </w:rPr>
        <w:t xml:space="preserve"> </w:t>
      </w:r>
      <w:r>
        <w:t>reacción por parte de las víctimas. Es decir, es un miedo centrado en el otro. Así lo manifestó una excombatiente de las FARC-EP en una entrevista de reflexión y evaluación posterior a los reconocimientos donde participó:</w:t>
      </w:r>
    </w:p>
    <w:p w:rsidR="003804AC" w:rsidRDefault="00AF18A5" w:rsidP="005300B1">
      <w:r>
        <w:t xml:space="preserve">«Yo me sentía con una responsabilidad muy grande en mis hombros, sentía que yo tenía que utilizar las mejores palabras para no revictimizar </w:t>
      </w:r>
      <w:r>
        <w:lastRenderedPageBreak/>
        <w:t>a las víctimas, para no causarles más dolor, sentí miedo también de no usar de pronto las mejores palabras»</w:t>
      </w:r>
      <w:r w:rsidR="005300B1">
        <w:rPr>
          <w:rStyle w:val="Refdenotaalpie"/>
        </w:rPr>
        <w:footnoteReference w:id="1147"/>
      </w:r>
      <w:r>
        <w:t>.</w:t>
      </w:r>
    </w:p>
    <w:p w:rsidR="0011361F" w:rsidRDefault="00AF18A5" w:rsidP="004A6EF4">
      <w:pPr>
        <w:pStyle w:val="Ttulo4"/>
        <w:numPr>
          <w:ilvl w:val="2"/>
          <w:numId w:val="16"/>
        </w:numPr>
      </w:pPr>
      <w:bookmarkStart w:id="1446" w:name="11.4.2._Vergüenza_reintegrativa"/>
      <w:bookmarkEnd w:id="1446"/>
      <w:r>
        <w:t>Vergüenza</w:t>
      </w:r>
      <w:r>
        <w:rPr>
          <w:spacing w:val="-4"/>
        </w:rPr>
        <w:t xml:space="preserve"> </w:t>
      </w:r>
      <w:proofErr w:type="spellStart"/>
      <w:r>
        <w:t>reintegrativa</w:t>
      </w:r>
      <w:proofErr w:type="spellEnd"/>
    </w:p>
    <w:p w:rsidR="003804AC" w:rsidRDefault="00AF18A5" w:rsidP="005300B1">
      <w:r>
        <w:t>Entre los responsables miembros del Ejército Nacional, como lo constató la Comisión, se evidencia vergüenza y sentimientos de arrepentimiento. En principio, con sus familiares y con</w:t>
      </w:r>
      <w:r>
        <w:rPr>
          <w:spacing w:val="-13"/>
        </w:rPr>
        <w:t xml:space="preserve"> </w:t>
      </w:r>
      <w:r>
        <w:t>ellos</w:t>
      </w:r>
      <w:r>
        <w:rPr>
          <w:spacing w:val="-13"/>
        </w:rPr>
        <w:t xml:space="preserve"> </w:t>
      </w:r>
      <w:r>
        <w:t>mismos,</w:t>
      </w:r>
      <w:r>
        <w:rPr>
          <w:spacing w:val="-13"/>
        </w:rPr>
        <w:t xml:space="preserve"> </w:t>
      </w:r>
      <w:r>
        <w:t>porque</w:t>
      </w:r>
      <w:r>
        <w:rPr>
          <w:spacing w:val="-13"/>
        </w:rPr>
        <w:t xml:space="preserve"> </w:t>
      </w:r>
      <w:r>
        <w:t>se</w:t>
      </w:r>
      <w:r>
        <w:rPr>
          <w:spacing w:val="-13"/>
        </w:rPr>
        <w:t xml:space="preserve"> </w:t>
      </w:r>
      <w:r>
        <w:t>enfrentan</w:t>
      </w:r>
      <w:r>
        <w:rPr>
          <w:spacing w:val="-13"/>
        </w:rPr>
        <w:t xml:space="preserve"> </w:t>
      </w:r>
      <w:r>
        <w:t>a</w:t>
      </w:r>
      <w:r>
        <w:rPr>
          <w:spacing w:val="-13"/>
        </w:rPr>
        <w:t xml:space="preserve"> </w:t>
      </w:r>
      <w:r>
        <w:t>la</w:t>
      </w:r>
      <w:r>
        <w:rPr>
          <w:spacing w:val="-13"/>
        </w:rPr>
        <w:t xml:space="preserve"> </w:t>
      </w:r>
      <w:r>
        <w:t>disyuntiva</w:t>
      </w:r>
      <w:r>
        <w:rPr>
          <w:spacing w:val="-13"/>
        </w:rPr>
        <w:t xml:space="preserve"> </w:t>
      </w:r>
      <w:r>
        <w:t>de</w:t>
      </w:r>
      <w:r>
        <w:rPr>
          <w:spacing w:val="-13"/>
        </w:rPr>
        <w:t xml:space="preserve"> </w:t>
      </w:r>
      <w:r>
        <w:t>mantener</w:t>
      </w:r>
      <w:r>
        <w:rPr>
          <w:spacing w:val="-13"/>
        </w:rPr>
        <w:t xml:space="preserve"> </w:t>
      </w:r>
      <w:r>
        <w:t>la</w:t>
      </w:r>
      <w:r>
        <w:rPr>
          <w:spacing w:val="-13"/>
        </w:rPr>
        <w:t xml:space="preserve"> </w:t>
      </w:r>
      <w:r>
        <w:t>negación</w:t>
      </w:r>
      <w:r>
        <w:rPr>
          <w:spacing w:val="-13"/>
        </w:rPr>
        <w:t xml:space="preserve"> </w:t>
      </w:r>
      <w:r>
        <w:t>de</w:t>
      </w:r>
      <w:r>
        <w:rPr>
          <w:spacing w:val="-13"/>
        </w:rPr>
        <w:t xml:space="preserve"> </w:t>
      </w:r>
      <w:r>
        <w:t>lo</w:t>
      </w:r>
      <w:r>
        <w:rPr>
          <w:spacing w:val="-13"/>
        </w:rPr>
        <w:t xml:space="preserve"> </w:t>
      </w:r>
      <w:r>
        <w:t>sucedido y tratar de sostener el arquetipo de héroe que media en la construcción de la identidad en la formación militar o aceptar lo que terminaron siendo al asumir la responsabilidad de sus acciones como crímenes de guerra. El valor en estos casos no es el ocultamiento, sino el reconocimiento</w:t>
      </w:r>
      <w:r>
        <w:rPr>
          <w:spacing w:val="54"/>
        </w:rPr>
        <w:t xml:space="preserve"> </w:t>
      </w:r>
      <w:r>
        <w:t>de</w:t>
      </w:r>
      <w:r>
        <w:rPr>
          <w:spacing w:val="58"/>
        </w:rPr>
        <w:t xml:space="preserve"> </w:t>
      </w:r>
      <w:r>
        <w:t>responsabilidad</w:t>
      </w:r>
      <w:r>
        <w:rPr>
          <w:spacing w:val="56"/>
        </w:rPr>
        <w:t xml:space="preserve"> </w:t>
      </w:r>
      <w:r>
        <w:t>que</w:t>
      </w:r>
      <w:r>
        <w:rPr>
          <w:spacing w:val="58"/>
        </w:rPr>
        <w:t xml:space="preserve"> </w:t>
      </w:r>
      <w:r>
        <w:t>desploma</w:t>
      </w:r>
      <w:r>
        <w:rPr>
          <w:spacing w:val="58"/>
        </w:rPr>
        <w:t xml:space="preserve"> </w:t>
      </w:r>
      <w:r>
        <w:t>el</w:t>
      </w:r>
      <w:r>
        <w:rPr>
          <w:spacing w:val="57"/>
        </w:rPr>
        <w:t xml:space="preserve"> </w:t>
      </w:r>
      <w:r>
        <w:t>andamiaje</w:t>
      </w:r>
      <w:r>
        <w:rPr>
          <w:spacing w:val="58"/>
        </w:rPr>
        <w:t xml:space="preserve"> </w:t>
      </w:r>
      <w:r>
        <w:t>sobre</w:t>
      </w:r>
      <w:r>
        <w:rPr>
          <w:spacing w:val="56"/>
        </w:rPr>
        <w:t xml:space="preserve"> </w:t>
      </w:r>
      <w:r>
        <w:t>el</w:t>
      </w:r>
      <w:r>
        <w:rPr>
          <w:spacing w:val="58"/>
        </w:rPr>
        <w:t xml:space="preserve"> </w:t>
      </w:r>
      <w:r>
        <w:t>que</w:t>
      </w:r>
      <w:r>
        <w:rPr>
          <w:spacing w:val="58"/>
        </w:rPr>
        <w:t xml:space="preserve"> </w:t>
      </w:r>
      <w:r>
        <w:t>se</w:t>
      </w:r>
      <w:r>
        <w:rPr>
          <w:spacing w:val="56"/>
        </w:rPr>
        <w:t xml:space="preserve"> </w:t>
      </w:r>
      <w:r>
        <w:rPr>
          <w:spacing w:val="-2"/>
        </w:rPr>
        <w:t>habían</w:t>
      </w:r>
      <w:bookmarkStart w:id="1447" w:name="_bookmark1272"/>
      <w:bookmarkEnd w:id="1447"/>
      <w:r w:rsidR="005300B1">
        <w:t xml:space="preserve"> </w:t>
      </w:r>
      <w:r>
        <w:t>edificado</w:t>
      </w:r>
      <w:r>
        <w:rPr>
          <w:spacing w:val="-8"/>
        </w:rPr>
        <w:t xml:space="preserve"> </w:t>
      </w:r>
      <w:r>
        <w:t>valores</w:t>
      </w:r>
      <w:r>
        <w:rPr>
          <w:spacing w:val="-9"/>
        </w:rPr>
        <w:t xml:space="preserve"> </w:t>
      </w:r>
      <w:r>
        <w:t>como</w:t>
      </w:r>
      <w:r>
        <w:rPr>
          <w:spacing w:val="-9"/>
        </w:rPr>
        <w:t xml:space="preserve"> </w:t>
      </w:r>
      <w:r>
        <w:t>el</w:t>
      </w:r>
      <w:r>
        <w:rPr>
          <w:spacing w:val="-8"/>
        </w:rPr>
        <w:t xml:space="preserve"> </w:t>
      </w:r>
      <w:r>
        <w:t>honor,</w:t>
      </w:r>
      <w:r>
        <w:rPr>
          <w:spacing w:val="-9"/>
        </w:rPr>
        <w:t xml:space="preserve"> </w:t>
      </w:r>
      <w:r>
        <w:t>el</w:t>
      </w:r>
      <w:r>
        <w:rPr>
          <w:spacing w:val="-9"/>
        </w:rPr>
        <w:t xml:space="preserve"> </w:t>
      </w:r>
      <w:r>
        <w:t>coraje,</w:t>
      </w:r>
      <w:r>
        <w:rPr>
          <w:spacing w:val="-9"/>
        </w:rPr>
        <w:t xml:space="preserve"> </w:t>
      </w:r>
      <w:r>
        <w:t>la</w:t>
      </w:r>
      <w:r>
        <w:rPr>
          <w:spacing w:val="-9"/>
        </w:rPr>
        <w:t xml:space="preserve"> </w:t>
      </w:r>
      <w:r>
        <w:t>disciplina</w:t>
      </w:r>
      <w:r>
        <w:rPr>
          <w:spacing w:val="-8"/>
        </w:rPr>
        <w:t xml:space="preserve"> </w:t>
      </w:r>
      <w:r>
        <w:t>y</w:t>
      </w:r>
      <w:r>
        <w:rPr>
          <w:spacing w:val="-8"/>
        </w:rPr>
        <w:t xml:space="preserve"> </w:t>
      </w:r>
      <w:r>
        <w:t>el</w:t>
      </w:r>
      <w:r>
        <w:rPr>
          <w:spacing w:val="-8"/>
        </w:rPr>
        <w:t xml:space="preserve"> </w:t>
      </w:r>
      <w:r>
        <w:t>servicio,</w:t>
      </w:r>
      <w:r>
        <w:rPr>
          <w:spacing w:val="-8"/>
        </w:rPr>
        <w:t xml:space="preserve"> </w:t>
      </w:r>
      <w:r>
        <w:t>recobrados</w:t>
      </w:r>
      <w:r>
        <w:rPr>
          <w:spacing w:val="-8"/>
        </w:rPr>
        <w:t xml:space="preserve"> </w:t>
      </w:r>
      <w:r>
        <w:t>ahora</w:t>
      </w:r>
      <w:r>
        <w:rPr>
          <w:spacing w:val="-9"/>
        </w:rPr>
        <w:t xml:space="preserve"> </w:t>
      </w:r>
      <w:r>
        <w:t>como personas en procesos de reconstrucción.</w:t>
      </w:r>
    </w:p>
    <w:p w:rsidR="003804AC" w:rsidRDefault="00AF18A5" w:rsidP="005300B1">
      <w:r>
        <w:t>«Con</w:t>
      </w:r>
      <w:r>
        <w:rPr>
          <w:spacing w:val="-1"/>
        </w:rPr>
        <w:t xml:space="preserve"> </w:t>
      </w:r>
      <w:r>
        <w:t>esto</w:t>
      </w:r>
      <w:r>
        <w:rPr>
          <w:spacing w:val="-1"/>
        </w:rPr>
        <w:t xml:space="preserve"> </w:t>
      </w:r>
      <w:r>
        <w:t>pude</w:t>
      </w:r>
      <w:r>
        <w:rPr>
          <w:spacing w:val="-1"/>
        </w:rPr>
        <w:t xml:space="preserve"> </w:t>
      </w:r>
      <w:r>
        <w:t>soltar</w:t>
      </w:r>
      <w:r>
        <w:rPr>
          <w:spacing w:val="-1"/>
        </w:rPr>
        <w:t xml:space="preserve"> </w:t>
      </w:r>
      <w:r>
        <w:t>una</w:t>
      </w:r>
      <w:r>
        <w:rPr>
          <w:spacing w:val="-1"/>
        </w:rPr>
        <w:t xml:space="preserve"> </w:t>
      </w:r>
      <w:r>
        <w:t>carga,</w:t>
      </w:r>
      <w:r>
        <w:rPr>
          <w:spacing w:val="-1"/>
        </w:rPr>
        <w:t xml:space="preserve"> </w:t>
      </w:r>
      <w:r>
        <w:t>yo</w:t>
      </w:r>
      <w:r>
        <w:rPr>
          <w:spacing w:val="-2"/>
        </w:rPr>
        <w:t xml:space="preserve"> </w:t>
      </w:r>
      <w:r>
        <w:t>fallé</w:t>
      </w:r>
      <w:r>
        <w:rPr>
          <w:spacing w:val="-1"/>
        </w:rPr>
        <w:t xml:space="preserve"> </w:t>
      </w:r>
      <w:r>
        <w:t>por</w:t>
      </w:r>
      <w:r>
        <w:rPr>
          <w:spacing w:val="-1"/>
        </w:rPr>
        <w:t xml:space="preserve"> </w:t>
      </w:r>
      <w:r>
        <w:t>acción</w:t>
      </w:r>
      <w:r>
        <w:rPr>
          <w:spacing w:val="-1"/>
        </w:rPr>
        <w:t xml:space="preserve"> </w:t>
      </w:r>
      <w:r>
        <w:t>y</w:t>
      </w:r>
      <w:r>
        <w:rPr>
          <w:spacing w:val="-1"/>
        </w:rPr>
        <w:t xml:space="preserve"> </w:t>
      </w:r>
      <w:r>
        <w:t>omisión,</w:t>
      </w:r>
      <w:r>
        <w:rPr>
          <w:spacing w:val="-1"/>
        </w:rPr>
        <w:t xml:space="preserve"> </w:t>
      </w:r>
      <w:r>
        <w:t>como</w:t>
      </w:r>
      <w:r>
        <w:rPr>
          <w:spacing w:val="-1"/>
        </w:rPr>
        <w:t xml:space="preserve"> </w:t>
      </w:r>
      <w:r>
        <w:t>estábamos</w:t>
      </w:r>
      <w:r>
        <w:rPr>
          <w:spacing w:val="-1"/>
        </w:rPr>
        <w:t xml:space="preserve"> </w:t>
      </w:r>
      <w:r>
        <w:t>metidos en un sistema que nos obligaba a actuar como se imponía, pero en el fondo había cosas con las</w:t>
      </w:r>
      <w:r>
        <w:rPr>
          <w:spacing w:val="-13"/>
        </w:rPr>
        <w:t xml:space="preserve"> </w:t>
      </w:r>
      <w:r>
        <w:t>que</w:t>
      </w:r>
      <w:r>
        <w:rPr>
          <w:spacing w:val="-13"/>
        </w:rPr>
        <w:t xml:space="preserve"> </w:t>
      </w:r>
      <w:r>
        <w:t>uno</w:t>
      </w:r>
      <w:r>
        <w:rPr>
          <w:spacing w:val="-13"/>
        </w:rPr>
        <w:t xml:space="preserve"> </w:t>
      </w:r>
      <w:r>
        <w:t>no</w:t>
      </w:r>
      <w:r>
        <w:rPr>
          <w:spacing w:val="-13"/>
        </w:rPr>
        <w:t xml:space="preserve"> </w:t>
      </w:r>
      <w:r>
        <w:t>se</w:t>
      </w:r>
      <w:r>
        <w:rPr>
          <w:spacing w:val="-13"/>
        </w:rPr>
        <w:t xml:space="preserve"> </w:t>
      </w:r>
      <w:r>
        <w:t>sentía</w:t>
      </w:r>
      <w:r>
        <w:rPr>
          <w:spacing w:val="-14"/>
        </w:rPr>
        <w:t xml:space="preserve"> </w:t>
      </w:r>
      <w:r>
        <w:t>bien.</w:t>
      </w:r>
      <w:r>
        <w:rPr>
          <w:spacing w:val="-13"/>
        </w:rPr>
        <w:t xml:space="preserve"> </w:t>
      </w:r>
      <w:r>
        <w:t>Desligarse</w:t>
      </w:r>
      <w:r>
        <w:rPr>
          <w:spacing w:val="-13"/>
        </w:rPr>
        <w:t xml:space="preserve"> </w:t>
      </w:r>
      <w:r>
        <w:t>de</w:t>
      </w:r>
      <w:r>
        <w:rPr>
          <w:spacing w:val="-13"/>
        </w:rPr>
        <w:t xml:space="preserve"> </w:t>
      </w:r>
      <w:r>
        <w:t>lo</w:t>
      </w:r>
      <w:r>
        <w:rPr>
          <w:spacing w:val="-13"/>
        </w:rPr>
        <w:t xml:space="preserve"> </w:t>
      </w:r>
      <w:r>
        <w:t>militar</w:t>
      </w:r>
      <w:r>
        <w:rPr>
          <w:spacing w:val="-13"/>
        </w:rPr>
        <w:t xml:space="preserve"> </w:t>
      </w:r>
      <w:r>
        <w:t>ha</w:t>
      </w:r>
      <w:r>
        <w:rPr>
          <w:spacing w:val="-13"/>
        </w:rPr>
        <w:t xml:space="preserve"> </w:t>
      </w:r>
      <w:r>
        <w:t>sido</w:t>
      </w:r>
      <w:r>
        <w:rPr>
          <w:spacing w:val="-14"/>
        </w:rPr>
        <w:t xml:space="preserve"> </w:t>
      </w:r>
      <w:r>
        <w:t>difícil.</w:t>
      </w:r>
      <w:r>
        <w:rPr>
          <w:spacing w:val="-13"/>
        </w:rPr>
        <w:t xml:space="preserve"> </w:t>
      </w:r>
      <w:r>
        <w:t>El</w:t>
      </w:r>
      <w:r>
        <w:rPr>
          <w:spacing w:val="-13"/>
        </w:rPr>
        <w:t xml:space="preserve"> </w:t>
      </w:r>
      <w:r>
        <w:t>día</w:t>
      </w:r>
      <w:r>
        <w:rPr>
          <w:spacing w:val="-13"/>
        </w:rPr>
        <w:t xml:space="preserve"> </w:t>
      </w:r>
      <w:r>
        <w:t>que</w:t>
      </w:r>
      <w:r>
        <w:rPr>
          <w:spacing w:val="-13"/>
        </w:rPr>
        <w:t xml:space="preserve"> </w:t>
      </w:r>
      <w:r>
        <w:t>me</w:t>
      </w:r>
      <w:r>
        <w:rPr>
          <w:spacing w:val="-13"/>
        </w:rPr>
        <w:t xml:space="preserve"> </w:t>
      </w:r>
      <w:r>
        <w:t>detuvieron era</w:t>
      </w:r>
      <w:r>
        <w:rPr>
          <w:spacing w:val="-15"/>
        </w:rPr>
        <w:t xml:space="preserve"> </w:t>
      </w:r>
      <w:r>
        <w:t>mi</w:t>
      </w:r>
      <w:r>
        <w:rPr>
          <w:spacing w:val="-15"/>
        </w:rPr>
        <w:t xml:space="preserve"> </w:t>
      </w:r>
      <w:r>
        <w:t>ascenso,</w:t>
      </w:r>
      <w:r>
        <w:rPr>
          <w:spacing w:val="-15"/>
        </w:rPr>
        <w:t xml:space="preserve"> </w:t>
      </w:r>
      <w:r>
        <w:t>yo</w:t>
      </w:r>
      <w:r>
        <w:rPr>
          <w:spacing w:val="-15"/>
        </w:rPr>
        <w:t xml:space="preserve"> </w:t>
      </w:r>
      <w:r>
        <w:t>no</w:t>
      </w:r>
      <w:r>
        <w:rPr>
          <w:spacing w:val="-15"/>
        </w:rPr>
        <w:t xml:space="preserve"> </w:t>
      </w:r>
      <w:r>
        <w:t>me</w:t>
      </w:r>
      <w:r>
        <w:rPr>
          <w:spacing w:val="-15"/>
        </w:rPr>
        <w:t xml:space="preserve"> </w:t>
      </w:r>
      <w:r>
        <w:t>imaginaba</w:t>
      </w:r>
      <w:r>
        <w:rPr>
          <w:spacing w:val="-15"/>
        </w:rPr>
        <w:t xml:space="preserve"> </w:t>
      </w:r>
      <w:r>
        <w:t>nunca</w:t>
      </w:r>
      <w:r>
        <w:rPr>
          <w:spacing w:val="-15"/>
        </w:rPr>
        <w:t xml:space="preserve"> </w:t>
      </w:r>
      <w:r>
        <w:t>que</w:t>
      </w:r>
      <w:r>
        <w:rPr>
          <w:spacing w:val="-15"/>
        </w:rPr>
        <w:t xml:space="preserve"> </w:t>
      </w:r>
      <w:r>
        <w:t>iba</w:t>
      </w:r>
      <w:r>
        <w:rPr>
          <w:spacing w:val="-15"/>
        </w:rPr>
        <w:t xml:space="preserve"> </w:t>
      </w:r>
      <w:r>
        <w:t>a</w:t>
      </w:r>
      <w:r>
        <w:rPr>
          <w:spacing w:val="-15"/>
        </w:rPr>
        <w:t xml:space="preserve"> </w:t>
      </w:r>
      <w:r>
        <w:t>ir</w:t>
      </w:r>
      <w:r>
        <w:rPr>
          <w:spacing w:val="-14"/>
        </w:rPr>
        <w:t xml:space="preserve"> </w:t>
      </w:r>
      <w:r>
        <w:t>a</w:t>
      </w:r>
      <w:r>
        <w:rPr>
          <w:spacing w:val="-15"/>
        </w:rPr>
        <w:t xml:space="preserve"> </w:t>
      </w:r>
      <w:r>
        <w:t>la</w:t>
      </w:r>
      <w:r>
        <w:rPr>
          <w:spacing w:val="-15"/>
        </w:rPr>
        <w:t xml:space="preserve"> </w:t>
      </w:r>
      <w:r>
        <w:t>cárcel.</w:t>
      </w:r>
      <w:r>
        <w:rPr>
          <w:spacing w:val="-15"/>
        </w:rPr>
        <w:t xml:space="preserve"> </w:t>
      </w:r>
      <w:r>
        <w:t>Se</w:t>
      </w:r>
      <w:r>
        <w:rPr>
          <w:spacing w:val="-14"/>
        </w:rPr>
        <w:t xml:space="preserve"> </w:t>
      </w:r>
      <w:r>
        <w:t>me</w:t>
      </w:r>
      <w:r>
        <w:rPr>
          <w:spacing w:val="-15"/>
        </w:rPr>
        <w:t xml:space="preserve"> </w:t>
      </w:r>
      <w:r>
        <w:t>acabó</w:t>
      </w:r>
      <w:r>
        <w:rPr>
          <w:spacing w:val="-15"/>
        </w:rPr>
        <w:t xml:space="preserve"> </w:t>
      </w:r>
      <w:r>
        <w:t>mi</w:t>
      </w:r>
      <w:r>
        <w:rPr>
          <w:spacing w:val="-15"/>
        </w:rPr>
        <w:t xml:space="preserve"> </w:t>
      </w:r>
      <w:r>
        <w:t>perspectiva de vida»</w:t>
      </w:r>
      <w:r w:rsidR="005300B1">
        <w:rPr>
          <w:rStyle w:val="Refdenotaalpie"/>
        </w:rPr>
        <w:footnoteReference w:id="1148"/>
      </w:r>
      <w:r>
        <w:t>.</w:t>
      </w:r>
    </w:p>
    <w:p w:rsidR="003804AC" w:rsidRDefault="00AF18A5" w:rsidP="005300B1">
      <w:r>
        <w:t>Las</w:t>
      </w:r>
      <w:r>
        <w:rPr>
          <w:spacing w:val="-4"/>
        </w:rPr>
        <w:t xml:space="preserve"> </w:t>
      </w:r>
      <w:r>
        <w:t>víctimas</w:t>
      </w:r>
      <w:r>
        <w:rPr>
          <w:spacing w:val="-6"/>
        </w:rPr>
        <w:t xml:space="preserve"> </w:t>
      </w:r>
      <w:r>
        <w:t>rechazan</w:t>
      </w:r>
      <w:r>
        <w:rPr>
          <w:spacing w:val="-5"/>
        </w:rPr>
        <w:t xml:space="preserve"> </w:t>
      </w:r>
      <w:r>
        <w:t>con</w:t>
      </w:r>
      <w:r>
        <w:rPr>
          <w:spacing w:val="-5"/>
        </w:rPr>
        <w:t xml:space="preserve"> </w:t>
      </w:r>
      <w:r>
        <w:t>vehemencia</w:t>
      </w:r>
      <w:r>
        <w:rPr>
          <w:spacing w:val="-4"/>
        </w:rPr>
        <w:t xml:space="preserve"> </w:t>
      </w:r>
      <w:r>
        <w:t>los</w:t>
      </w:r>
      <w:r>
        <w:rPr>
          <w:spacing w:val="-5"/>
        </w:rPr>
        <w:t xml:space="preserve"> </w:t>
      </w:r>
      <w:r>
        <w:t>actos</w:t>
      </w:r>
      <w:r>
        <w:rPr>
          <w:spacing w:val="-6"/>
        </w:rPr>
        <w:t xml:space="preserve"> </w:t>
      </w:r>
      <w:r>
        <w:t>cometidos</w:t>
      </w:r>
      <w:r>
        <w:rPr>
          <w:spacing w:val="-5"/>
        </w:rPr>
        <w:t xml:space="preserve"> </w:t>
      </w:r>
      <w:r>
        <w:t>y</w:t>
      </w:r>
      <w:r>
        <w:rPr>
          <w:spacing w:val="-5"/>
        </w:rPr>
        <w:t xml:space="preserve"> </w:t>
      </w:r>
      <w:r>
        <w:t>algunas</w:t>
      </w:r>
      <w:r>
        <w:rPr>
          <w:spacing w:val="-4"/>
        </w:rPr>
        <w:t xml:space="preserve"> </w:t>
      </w:r>
      <w:r>
        <w:lastRenderedPageBreak/>
        <w:t>transitan</w:t>
      </w:r>
      <w:r>
        <w:rPr>
          <w:spacing w:val="-5"/>
        </w:rPr>
        <w:t xml:space="preserve"> </w:t>
      </w:r>
      <w:r>
        <w:t>o</w:t>
      </w:r>
      <w:r>
        <w:rPr>
          <w:spacing w:val="-5"/>
        </w:rPr>
        <w:t xml:space="preserve"> </w:t>
      </w:r>
      <w:r>
        <w:t>avanzan hacia el reconocimiento de la humanidad del responsable, a una imagen más flexible y real. En un intento de humanización,</w:t>
      </w:r>
      <w:r>
        <w:rPr>
          <w:spacing w:val="-1"/>
        </w:rPr>
        <w:t xml:space="preserve"> </w:t>
      </w:r>
      <w:r>
        <w:t>las</w:t>
      </w:r>
      <w:r>
        <w:rPr>
          <w:spacing w:val="-1"/>
        </w:rPr>
        <w:t xml:space="preserve"> </w:t>
      </w:r>
      <w:r>
        <w:t>víctimas</w:t>
      </w:r>
      <w:r>
        <w:rPr>
          <w:spacing w:val="-1"/>
        </w:rPr>
        <w:t xml:space="preserve"> </w:t>
      </w:r>
      <w:r>
        <w:t>pasan por repudiar los hechos y lo que los hizo posible, incluyendo la responsabilidad individual, seguida de gestos de aceptación del responsable</w:t>
      </w:r>
      <w:r>
        <w:rPr>
          <w:spacing w:val="-1"/>
        </w:rPr>
        <w:t xml:space="preserve"> </w:t>
      </w:r>
      <w:r>
        <w:t>y comprensión de</w:t>
      </w:r>
      <w:r>
        <w:rPr>
          <w:spacing w:val="-1"/>
        </w:rPr>
        <w:t xml:space="preserve"> </w:t>
      </w:r>
      <w:r>
        <w:t>lo que</w:t>
      </w:r>
      <w:r>
        <w:rPr>
          <w:spacing w:val="-1"/>
        </w:rPr>
        <w:t xml:space="preserve"> </w:t>
      </w:r>
      <w:r>
        <w:t>les</w:t>
      </w:r>
      <w:r>
        <w:rPr>
          <w:spacing w:val="-1"/>
        </w:rPr>
        <w:t xml:space="preserve"> </w:t>
      </w:r>
      <w:r>
        <w:t>ha</w:t>
      </w:r>
      <w:r>
        <w:rPr>
          <w:spacing w:val="-1"/>
        </w:rPr>
        <w:t xml:space="preserve"> </w:t>
      </w:r>
      <w:r>
        <w:t>ocurrido a</w:t>
      </w:r>
      <w:r>
        <w:rPr>
          <w:spacing w:val="-1"/>
        </w:rPr>
        <w:t xml:space="preserve"> </w:t>
      </w:r>
      <w:r>
        <w:t>nivel personal</w:t>
      </w:r>
      <w:r>
        <w:rPr>
          <w:spacing w:val="-1"/>
        </w:rPr>
        <w:t xml:space="preserve"> </w:t>
      </w:r>
      <w:r>
        <w:t>y</w:t>
      </w:r>
      <w:r>
        <w:rPr>
          <w:spacing w:val="-1"/>
        </w:rPr>
        <w:t xml:space="preserve"> </w:t>
      </w:r>
      <w:r>
        <w:t>familiar,</w:t>
      </w:r>
      <w:r>
        <w:rPr>
          <w:spacing w:val="-1"/>
        </w:rPr>
        <w:t xml:space="preserve"> </w:t>
      </w:r>
      <w:r>
        <w:t>a</w:t>
      </w:r>
      <w:r>
        <w:rPr>
          <w:spacing w:val="-1"/>
        </w:rPr>
        <w:t xml:space="preserve"> </w:t>
      </w:r>
      <w:r>
        <w:t>propósito de su contribución a la verdad. Si bien estos procesos se han dado en numerosas ocasiones, no suponen el horizonte de lo que se pide a las víctimas o en torno a lo cual se evalúa el sentido del reconocimiento.</w:t>
      </w:r>
    </w:p>
    <w:p w:rsidR="0011361F" w:rsidRDefault="00AF18A5" w:rsidP="005300B1">
      <w:r>
        <w:t>Los responsables han pasado por situaciones críticas que los han llevado a cuestionar su participación y a ubicarse en el lugar de aportar a la verdad.</w:t>
      </w:r>
      <w:r>
        <w:rPr>
          <w:spacing w:val="-1"/>
        </w:rPr>
        <w:t xml:space="preserve"> </w:t>
      </w:r>
      <w:r>
        <w:t>La exposición a la respuesta de la justicia ha sido en general un factor de apertura y de crisis saludable para el reconocimiento. También un fuerte contraste con procesos penales en los que muchos estuvieron inmersos y en donde predominaron la negación y el ocultamiento. Para los militares también la experiencia de haber estado privados de la libertad les ha permitido avanzar en reflexiones internas para cuestionar los hechos cometidos, su responsabilidad y la</w:t>
      </w:r>
      <w:r>
        <w:rPr>
          <w:spacing w:val="-11"/>
        </w:rPr>
        <w:t xml:space="preserve"> </w:t>
      </w:r>
      <w:r>
        <w:t>dinámica</w:t>
      </w:r>
      <w:r>
        <w:rPr>
          <w:spacing w:val="-13"/>
        </w:rPr>
        <w:t xml:space="preserve"> </w:t>
      </w:r>
      <w:r>
        <w:t>misma</w:t>
      </w:r>
      <w:r>
        <w:rPr>
          <w:spacing w:val="-11"/>
        </w:rPr>
        <w:t xml:space="preserve"> </w:t>
      </w:r>
      <w:r>
        <w:t>de</w:t>
      </w:r>
      <w:r>
        <w:rPr>
          <w:spacing w:val="-12"/>
        </w:rPr>
        <w:t xml:space="preserve"> </w:t>
      </w:r>
      <w:r>
        <w:t>la</w:t>
      </w:r>
      <w:r>
        <w:rPr>
          <w:spacing w:val="-12"/>
        </w:rPr>
        <w:t xml:space="preserve"> </w:t>
      </w:r>
      <w:r>
        <w:t>guerra.</w:t>
      </w:r>
      <w:r>
        <w:rPr>
          <w:spacing w:val="-12"/>
        </w:rPr>
        <w:t xml:space="preserve"> </w:t>
      </w:r>
      <w:r>
        <w:t>Así</w:t>
      </w:r>
      <w:r>
        <w:rPr>
          <w:spacing w:val="-12"/>
        </w:rPr>
        <w:t xml:space="preserve"> </w:t>
      </w:r>
      <w:r>
        <w:t>lo</w:t>
      </w:r>
      <w:r>
        <w:rPr>
          <w:spacing w:val="-11"/>
        </w:rPr>
        <w:t xml:space="preserve"> </w:t>
      </w:r>
      <w:r>
        <w:t>planteó</w:t>
      </w:r>
      <w:r>
        <w:rPr>
          <w:spacing w:val="-11"/>
        </w:rPr>
        <w:t xml:space="preserve"> </w:t>
      </w:r>
      <w:r>
        <w:t>un</w:t>
      </w:r>
      <w:r>
        <w:rPr>
          <w:spacing w:val="-13"/>
        </w:rPr>
        <w:t xml:space="preserve"> </w:t>
      </w:r>
      <w:r>
        <w:t>exmilitar</w:t>
      </w:r>
      <w:r>
        <w:rPr>
          <w:spacing w:val="-12"/>
        </w:rPr>
        <w:t xml:space="preserve"> </w:t>
      </w:r>
      <w:r>
        <w:t>participante</w:t>
      </w:r>
      <w:r>
        <w:rPr>
          <w:spacing w:val="-12"/>
        </w:rPr>
        <w:t xml:space="preserve"> </w:t>
      </w:r>
      <w:r>
        <w:t>en</w:t>
      </w:r>
      <w:r>
        <w:rPr>
          <w:spacing w:val="-13"/>
        </w:rPr>
        <w:t xml:space="preserve"> </w:t>
      </w:r>
      <w:r>
        <w:t>el</w:t>
      </w:r>
      <w:r>
        <w:rPr>
          <w:spacing w:val="-12"/>
        </w:rPr>
        <w:t xml:space="preserve"> </w:t>
      </w:r>
      <w:r>
        <w:t>reconocimiento de ejecuciones extrajudiciales:</w:t>
      </w:r>
    </w:p>
    <w:p w:rsidR="003804AC" w:rsidRDefault="00AF18A5" w:rsidP="005300B1">
      <w:bookmarkStart w:id="1448" w:name="_bookmark1273"/>
      <w:bookmarkEnd w:id="1448"/>
      <w:r>
        <w:t>«Ya después analizando</w:t>
      </w:r>
      <w:r>
        <w:rPr>
          <w:spacing w:val="-1"/>
        </w:rPr>
        <w:t xml:space="preserve"> </w:t>
      </w:r>
      <w:r>
        <w:t>todo lo que se había hecho, el tiempo que se transcurrió privado de la libertad, tener ese tiempo para reflexionar todos los días, para usted poder decir: “¡Hombre!, yo por qué me dejé guiar por donde no era, por qué yo me dejé convencer o… me dejé, digamos, enredar en todo esto”, y que yo en algún momento pude haber dicho no. Pero ya, a lo hecho pecho, como se dice, y no queda más sino como hombre, como ser humano y como padre; como hijo, como hermano, tratar de decirle a las personas que les hicimos</w:t>
      </w:r>
      <w:r>
        <w:rPr>
          <w:spacing w:val="-8"/>
        </w:rPr>
        <w:t xml:space="preserve"> </w:t>
      </w:r>
      <w:r>
        <w:t>tanto</w:t>
      </w:r>
      <w:r>
        <w:rPr>
          <w:spacing w:val="-8"/>
        </w:rPr>
        <w:t xml:space="preserve"> </w:t>
      </w:r>
      <w:r>
        <w:lastRenderedPageBreak/>
        <w:t>daño</w:t>
      </w:r>
      <w:r>
        <w:rPr>
          <w:spacing w:val="-8"/>
        </w:rPr>
        <w:t xml:space="preserve"> </w:t>
      </w:r>
      <w:r>
        <w:t>y</w:t>
      </w:r>
      <w:r>
        <w:rPr>
          <w:spacing w:val="-8"/>
        </w:rPr>
        <w:t xml:space="preserve"> </w:t>
      </w:r>
      <w:r>
        <w:t>todo</w:t>
      </w:r>
      <w:r>
        <w:rPr>
          <w:spacing w:val="-8"/>
        </w:rPr>
        <w:t xml:space="preserve"> </w:t>
      </w:r>
      <w:r>
        <w:t>ese</w:t>
      </w:r>
      <w:r>
        <w:rPr>
          <w:spacing w:val="-8"/>
        </w:rPr>
        <w:t xml:space="preserve"> </w:t>
      </w:r>
      <w:r>
        <w:t>terror</w:t>
      </w:r>
      <w:r>
        <w:rPr>
          <w:spacing w:val="-8"/>
        </w:rPr>
        <w:t xml:space="preserve"> </w:t>
      </w:r>
      <w:r>
        <w:t>que</w:t>
      </w:r>
      <w:r>
        <w:rPr>
          <w:spacing w:val="-8"/>
        </w:rPr>
        <w:t xml:space="preserve"> </w:t>
      </w:r>
      <w:r>
        <w:t>se</w:t>
      </w:r>
      <w:r>
        <w:rPr>
          <w:spacing w:val="-8"/>
        </w:rPr>
        <w:t xml:space="preserve"> </w:t>
      </w:r>
      <w:r>
        <w:t>les</w:t>
      </w:r>
      <w:r>
        <w:rPr>
          <w:spacing w:val="-8"/>
        </w:rPr>
        <w:t xml:space="preserve"> </w:t>
      </w:r>
      <w:r>
        <w:t>sembró,</w:t>
      </w:r>
      <w:r>
        <w:rPr>
          <w:spacing w:val="-8"/>
        </w:rPr>
        <w:t xml:space="preserve"> </w:t>
      </w:r>
      <w:r>
        <w:t>decirles:</w:t>
      </w:r>
      <w:r>
        <w:rPr>
          <w:spacing w:val="-8"/>
        </w:rPr>
        <w:t xml:space="preserve"> </w:t>
      </w:r>
      <w:r>
        <w:t>Acá</w:t>
      </w:r>
      <w:r>
        <w:rPr>
          <w:spacing w:val="-8"/>
        </w:rPr>
        <w:t xml:space="preserve"> </w:t>
      </w:r>
      <w:r>
        <w:t>estoy”;</w:t>
      </w:r>
      <w:r>
        <w:rPr>
          <w:spacing w:val="-8"/>
        </w:rPr>
        <w:t xml:space="preserve"> </w:t>
      </w:r>
      <w:r>
        <w:t>no</w:t>
      </w:r>
      <w:r>
        <w:rPr>
          <w:spacing w:val="-8"/>
        </w:rPr>
        <w:t xml:space="preserve"> </w:t>
      </w:r>
      <w:r>
        <w:t>con</w:t>
      </w:r>
      <w:r>
        <w:rPr>
          <w:spacing w:val="-8"/>
        </w:rPr>
        <w:t xml:space="preserve"> </w:t>
      </w:r>
      <w:r>
        <w:t>el</w:t>
      </w:r>
      <w:r>
        <w:rPr>
          <w:spacing w:val="-8"/>
        </w:rPr>
        <w:t xml:space="preserve"> </w:t>
      </w:r>
      <w:r>
        <w:t>ánimo de ofender, sino más con el ánimo de aportar algo que ellos quieren saber y es mi forma de reparar un poquito ese daño»</w:t>
      </w:r>
      <w:r w:rsidR="005300B1">
        <w:rPr>
          <w:rStyle w:val="Refdenotaalpie"/>
        </w:rPr>
        <w:footnoteReference w:id="1149"/>
      </w:r>
      <w:r>
        <w:t>.</w:t>
      </w:r>
    </w:p>
    <w:p w:rsidR="003804AC" w:rsidRDefault="00AF18A5" w:rsidP="005300B1">
      <w:r>
        <w:t>En algunos casos, prevalece un sentimiento de rechazo y de rabia hacia sí mismos por lo que</w:t>
      </w:r>
      <w:r>
        <w:rPr>
          <w:spacing w:val="-2"/>
        </w:rPr>
        <w:t xml:space="preserve"> </w:t>
      </w:r>
      <w:r>
        <w:t>hicieron,</w:t>
      </w:r>
      <w:r>
        <w:rPr>
          <w:spacing w:val="-2"/>
        </w:rPr>
        <w:t xml:space="preserve"> </w:t>
      </w:r>
      <w:r>
        <w:t>o</w:t>
      </w:r>
      <w:r>
        <w:rPr>
          <w:spacing w:val="-2"/>
        </w:rPr>
        <w:t xml:space="preserve"> </w:t>
      </w:r>
      <w:r>
        <w:t>en</w:t>
      </w:r>
      <w:r>
        <w:rPr>
          <w:spacing w:val="-2"/>
        </w:rPr>
        <w:t xml:space="preserve"> </w:t>
      </w:r>
      <w:r>
        <w:t>lo</w:t>
      </w:r>
      <w:r>
        <w:rPr>
          <w:spacing w:val="-2"/>
        </w:rPr>
        <w:t xml:space="preserve"> </w:t>
      </w:r>
      <w:r>
        <w:t>que</w:t>
      </w:r>
      <w:r>
        <w:rPr>
          <w:spacing w:val="-3"/>
        </w:rPr>
        <w:t xml:space="preserve"> </w:t>
      </w:r>
      <w:r>
        <w:t>se</w:t>
      </w:r>
      <w:r>
        <w:rPr>
          <w:spacing w:val="-2"/>
        </w:rPr>
        <w:t xml:space="preserve"> </w:t>
      </w:r>
      <w:r>
        <w:t>convirtieron,</w:t>
      </w:r>
      <w:r>
        <w:rPr>
          <w:spacing w:val="-2"/>
        </w:rPr>
        <w:t xml:space="preserve"> </w:t>
      </w:r>
      <w:r>
        <w:t>pero,</w:t>
      </w:r>
      <w:r>
        <w:rPr>
          <w:spacing w:val="-3"/>
        </w:rPr>
        <w:t xml:space="preserve"> </w:t>
      </w:r>
      <w:r>
        <w:t>además,</w:t>
      </w:r>
      <w:r>
        <w:rPr>
          <w:spacing w:val="-2"/>
        </w:rPr>
        <w:t xml:space="preserve"> </w:t>
      </w:r>
      <w:r>
        <w:t>por</w:t>
      </w:r>
      <w:r>
        <w:rPr>
          <w:spacing w:val="-2"/>
        </w:rPr>
        <w:t xml:space="preserve"> </w:t>
      </w:r>
      <w:r>
        <w:t>la</w:t>
      </w:r>
      <w:r>
        <w:rPr>
          <w:spacing w:val="-3"/>
        </w:rPr>
        <w:t xml:space="preserve"> </w:t>
      </w:r>
      <w:r>
        <w:t>confusión</w:t>
      </w:r>
      <w:r>
        <w:rPr>
          <w:spacing w:val="-2"/>
        </w:rPr>
        <w:t xml:space="preserve"> </w:t>
      </w:r>
      <w:r>
        <w:t>y</w:t>
      </w:r>
      <w:r>
        <w:rPr>
          <w:spacing w:val="-3"/>
        </w:rPr>
        <w:t xml:space="preserve"> </w:t>
      </w:r>
      <w:r>
        <w:t>la</w:t>
      </w:r>
      <w:r>
        <w:rPr>
          <w:spacing w:val="-3"/>
        </w:rPr>
        <w:t xml:space="preserve"> </w:t>
      </w:r>
      <w:r>
        <w:t>indignación</w:t>
      </w:r>
      <w:r>
        <w:rPr>
          <w:spacing w:val="-2"/>
        </w:rPr>
        <w:t xml:space="preserve"> </w:t>
      </w:r>
      <w:r>
        <w:t>de haber tenido la opción de actuar diferente y no haberlo hecho. «Nunca supe quiénes eran ni de</w:t>
      </w:r>
      <w:r>
        <w:rPr>
          <w:spacing w:val="-15"/>
        </w:rPr>
        <w:t xml:space="preserve"> </w:t>
      </w:r>
      <w:r>
        <w:t>dónde;</w:t>
      </w:r>
      <w:r>
        <w:rPr>
          <w:spacing w:val="-15"/>
        </w:rPr>
        <w:t xml:space="preserve"> </w:t>
      </w:r>
      <w:r>
        <w:t>solo</w:t>
      </w:r>
      <w:r>
        <w:rPr>
          <w:spacing w:val="-15"/>
        </w:rPr>
        <w:t xml:space="preserve"> </w:t>
      </w:r>
      <w:r>
        <w:t>pienso</w:t>
      </w:r>
      <w:r>
        <w:rPr>
          <w:spacing w:val="-15"/>
        </w:rPr>
        <w:t xml:space="preserve"> </w:t>
      </w:r>
      <w:r>
        <w:t>que</w:t>
      </w:r>
      <w:r>
        <w:rPr>
          <w:spacing w:val="-15"/>
        </w:rPr>
        <w:t xml:space="preserve"> </w:t>
      </w:r>
      <w:r>
        <w:t>pude</w:t>
      </w:r>
      <w:r>
        <w:rPr>
          <w:spacing w:val="-15"/>
        </w:rPr>
        <w:t xml:space="preserve"> </w:t>
      </w:r>
      <w:r>
        <w:t>evitarlo»:</w:t>
      </w:r>
      <w:r>
        <w:rPr>
          <w:spacing w:val="-15"/>
        </w:rPr>
        <w:t xml:space="preserve"> </w:t>
      </w:r>
      <w:r>
        <w:t>estas</w:t>
      </w:r>
      <w:r>
        <w:rPr>
          <w:spacing w:val="-15"/>
        </w:rPr>
        <w:t xml:space="preserve"> </w:t>
      </w:r>
      <w:r>
        <w:t>reflexiones</w:t>
      </w:r>
      <w:r>
        <w:rPr>
          <w:spacing w:val="-15"/>
        </w:rPr>
        <w:t xml:space="preserve"> </w:t>
      </w:r>
      <w:r>
        <w:t>evidencian</w:t>
      </w:r>
      <w:r>
        <w:rPr>
          <w:spacing w:val="-15"/>
        </w:rPr>
        <w:t xml:space="preserve"> </w:t>
      </w:r>
      <w:r>
        <w:t>el</w:t>
      </w:r>
      <w:r>
        <w:rPr>
          <w:spacing w:val="-15"/>
        </w:rPr>
        <w:t xml:space="preserve"> </w:t>
      </w:r>
      <w:r>
        <w:t>contraste</w:t>
      </w:r>
      <w:r>
        <w:rPr>
          <w:spacing w:val="-15"/>
        </w:rPr>
        <w:t xml:space="preserve"> </w:t>
      </w:r>
      <w:r>
        <w:t>de</w:t>
      </w:r>
      <w:r>
        <w:rPr>
          <w:spacing w:val="-15"/>
        </w:rPr>
        <w:t xml:space="preserve"> </w:t>
      </w:r>
      <w:r>
        <w:t>sentirse parte</w:t>
      </w:r>
      <w:r>
        <w:rPr>
          <w:spacing w:val="-5"/>
        </w:rPr>
        <w:t xml:space="preserve"> </w:t>
      </w:r>
      <w:r>
        <w:t>de</w:t>
      </w:r>
      <w:r>
        <w:rPr>
          <w:spacing w:val="-3"/>
        </w:rPr>
        <w:t xml:space="preserve"> </w:t>
      </w:r>
      <w:r>
        <w:t>una</w:t>
      </w:r>
      <w:r>
        <w:rPr>
          <w:spacing w:val="-6"/>
        </w:rPr>
        <w:t xml:space="preserve"> </w:t>
      </w:r>
      <w:r>
        <w:t>institucionalidad</w:t>
      </w:r>
      <w:r>
        <w:rPr>
          <w:spacing w:val="-4"/>
        </w:rPr>
        <w:t xml:space="preserve"> </w:t>
      </w:r>
      <w:r>
        <w:t>o</w:t>
      </w:r>
      <w:r>
        <w:rPr>
          <w:spacing w:val="-4"/>
        </w:rPr>
        <w:t xml:space="preserve"> </w:t>
      </w:r>
      <w:r>
        <w:t>un</w:t>
      </w:r>
      <w:r>
        <w:rPr>
          <w:spacing w:val="-5"/>
        </w:rPr>
        <w:t xml:space="preserve"> </w:t>
      </w:r>
      <w:r>
        <w:t>conflicto</w:t>
      </w:r>
      <w:r>
        <w:rPr>
          <w:spacing w:val="-5"/>
        </w:rPr>
        <w:t xml:space="preserve"> </w:t>
      </w:r>
      <w:r>
        <w:t>armado</w:t>
      </w:r>
      <w:r>
        <w:rPr>
          <w:spacing w:val="-4"/>
        </w:rPr>
        <w:t xml:space="preserve"> </w:t>
      </w:r>
      <w:r>
        <w:t>que</w:t>
      </w:r>
      <w:r>
        <w:rPr>
          <w:spacing w:val="-3"/>
        </w:rPr>
        <w:t xml:space="preserve"> </w:t>
      </w:r>
      <w:r>
        <w:t>iba</w:t>
      </w:r>
      <w:r>
        <w:rPr>
          <w:spacing w:val="-3"/>
        </w:rPr>
        <w:t xml:space="preserve"> </w:t>
      </w:r>
      <w:r>
        <w:t>en</w:t>
      </w:r>
      <w:r>
        <w:rPr>
          <w:spacing w:val="-4"/>
        </w:rPr>
        <w:t xml:space="preserve"> </w:t>
      </w:r>
      <w:r>
        <w:t>contra</w:t>
      </w:r>
      <w:r>
        <w:rPr>
          <w:spacing w:val="-3"/>
        </w:rPr>
        <w:t xml:space="preserve"> </w:t>
      </w:r>
      <w:r>
        <w:t>de</w:t>
      </w:r>
      <w:r>
        <w:rPr>
          <w:spacing w:val="-5"/>
        </w:rPr>
        <w:t xml:space="preserve"> </w:t>
      </w:r>
      <w:r>
        <w:t>sus</w:t>
      </w:r>
      <w:r>
        <w:rPr>
          <w:spacing w:val="-3"/>
        </w:rPr>
        <w:t xml:space="preserve"> </w:t>
      </w:r>
      <w:r>
        <w:t>propias</w:t>
      </w:r>
      <w:r>
        <w:rPr>
          <w:spacing w:val="-5"/>
        </w:rPr>
        <w:t xml:space="preserve"> </w:t>
      </w:r>
      <w:r>
        <w:t>ideas</w:t>
      </w:r>
      <w:r>
        <w:rPr>
          <w:spacing w:val="-3"/>
        </w:rPr>
        <w:t xml:space="preserve"> </w:t>
      </w:r>
      <w:r>
        <w:t xml:space="preserve">y </w:t>
      </w:r>
      <w:r>
        <w:rPr>
          <w:spacing w:val="-2"/>
        </w:rPr>
        <w:t>valores.</w:t>
      </w:r>
    </w:p>
    <w:p w:rsidR="003804AC" w:rsidRDefault="00AF18A5" w:rsidP="005300B1">
      <w:r>
        <w:t>«En</w:t>
      </w:r>
      <w:r>
        <w:rPr>
          <w:spacing w:val="-3"/>
        </w:rPr>
        <w:t xml:space="preserve"> </w:t>
      </w:r>
      <w:r>
        <w:t>mi</w:t>
      </w:r>
      <w:r>
        <w:rPr>
          <w:spacing w:val="-4"/>
        </w:rPr>
        <w:t xml:space="preserve"> </w:t>
      </w:r>
      <w:r>
        <w:t>casa</w:t>
      </w:r>
      <w:r>
        <w:rPr>
          <w:spacing w:val="-4"/>
        </w:rPr>
        <w:t xml:space="preserve"> </w:t>
      </w:r>
      <w:r>
        <w:t>siempre</w:t>
      </w:r>
      <w:r>
        <w:rPr>
          <w:spacing w:val="-4"/>
        </w:rPr>
        <w:t xml:space="preserve"> </w:t>
      </w:r>
      <w:r>
        <w:t>nos</w:t>
      </w:r>
      <w:r>
        <w:rPr>
          <w:spacing w:val="-4"/>
        </w:rPr>
        <w:t xml:space="preserve"> </w:t>
      </w:r>
      <w:r>
        <w:t>acostumbraron</w:t>
      </w:r>
      <w:r>
        <w:rPr>
          <w:spacing w:val="-3"/>
        </w:rPr>
        <w:t xml:space="preserve"> </w:t>
      </w:r>
      <w:r>
        <w:t>a</w:t>
      </w:r>
      <w:r>
        <w:rPr>
          <w:spacing w:val="-4"/>
        </w:rPr>
        <w:t xml:space="preserve"> </w:t>
      </w:r>
      <w:r>
        <w:t>hacer</w:t>
      </w:r>
      <w:r>
        <w:rPr>
          <w:spacing w:val="-4"/>
        </w:rPr>
        <w:t xml:space="preserve"> </w:t>
      </w:r>
      <w:r>
        <w:t>las</w:t>
      </w:r>
      <w:r>
        <w:rPr>
          <w:spacing w:val="-3"/>
        </w:rPr>
        <w:t xml:space="preserve"> </w:t>
      </w:r>
      <w:r>
        <w:t>cosas</w:t>
      </w:r>
      <w:r>
        <w:rPr>
          <w:spacing w:val="-3"/>
        </w:rPr>
        <w:t xml:space="preserve"> </w:t>
      </w:r>
      <w:r>
        <w:t>bien,</w:t>
      </w:r>
      <w:r>
        <w:rPr>
          <w:spacing w:val="-4"/>
        </w:rPr>
        <w:t xml:space="preserve"> </w:t>
      </w:r>
      <w:r>
        <w:t>a</w:t>
      </w:r>
      <w:r>
        <w:rPr>
          <w:spacing w:val="-3"/>
        </w:rPr>
        <w:t xml:space="preserve"> </w:t>
      </w:r>
      <w:r>
        <w:t>hacer</w:t>
      </w:r>
      <w:r>
        <w:rPr>
          <w:spacing w:val="-4"/>
        </w:rPr>
        <w:t xml:space="preserve"> </w:t>
      </w:r>
      <w:r>
        <w:t>las</w:t>
      </w:r>
      <w:r>
        <w:rPr>
          <w:spacing w:val="-3"/>
        </w:rPr>
        <w:t xml:space="preserve"> </w:t>
      </w:r>
      <w:r>
        <w:t>cosas</w:t>
      </w:r>
      <w:r>
        <w:rPr>
          <w:spacing w:val="-4"/>
        </w:rPr>
        <w:t xml:space="preserve"> </w:t>
      </w:r>
      <w:r>
        <w:t>como</w:t>
      </w:r>
      <w:r>
        <w:rPr>
          <w:spacing w:val="-3"/>
        </w:rPr>
        <w:t xml:space="preserve"> </w:t>
      </w:r>
      <w:r>
        <w:t>se deben de hacer. Todo tiene un derecho y, una vez, estando detenido hablando con mi</w:t>
      </w:r>
      <w:r>
        <w:rPr>
          <w:spacing w:val="-1"/>
        </w:rPr>
        <w:t xml:space="preserve"> </w:t>
      </w:r>
      <w:r>
        <w:t>mamá me decía eso: “Mijo, si usted tiene la oportunidad de pedir perdón, de resarcir todo el daño que</w:t>
      </w:r>
      <w:r>
        <w:rPr>
          <w:spacing w:val="-15"/>
        </w:rPr>
        <w:t xml:space="preserve"> </w:t>
      </w:r>
      <w:r>
        <w:t>usted</w:t>
      </w:r>
      <w:r>
        <w:rPr>
          <w:spacing w:val="-14"/>
        </w:rPr>
        <w:t xml:space="preserve"> </w:t>
      </w:r>
      <w:r>
        <w:t>alguna</w:t>
      </w:r>
      <w:r>
        <w:rPr>
          <w:spacing w:val="-14"/>
        </w:rPr>
        <w:t xml:space="preserve"> </w:t>
      </w:r>
      <w:r>
        <w:t>vez</w:t>
      </w:r>
      <w:r>
        <w:rPr>
          <w:spacing w:val="-14"/>
        </w:rPr>
        <w:t xml:space="preserve"> </w:t>
      </w:r>
      <w:r>
        <w:t>hizo,</w:t>
      </w:r>
      <w:r>
        <w:rPr>
          <w:spacing w:val="-14"/>
        </w:rPr>
        <w:t xml:space="preserve"> </w:t>
      </w:r>
      <w:r>
        <w:t>eso</w:t>
      </w:r>
      <w:r>
        <w:rPr>
          <w:spacing w:val="-14"/>
        </w:rPr>
        <w:t xml:space="preserve"> </w:t>
      </w:r>
      <w:r>
        <w:t>es</w:t>
      </w:r>
      <w:r>
        <w:rPr>
          <w:spacing w:val="-14"/>
        </w:rPr>
        <w:t xml:space="preserve"> </w:t>
      </w:r>
      <w:r>
        <w:t>muy</w:t>
      </w:r>
      <w:r>
        <w:rPr>
          <w:spacing w:val="-14"/>
        </w:rPr>
        <w:t xml:space="preserve"> </w:t>
      </w:r>
      <w:r>
        <w:t>importante;</w:t>
      </w:r>
      <w:r>
        <w:rPr>
          <w:spacing w:val="-14"/>
        </w:rPr>
        <w:t xml:space="preserve"> </w:t>
      </w:r>
      <w:r>
        <w:t>no</w:t>
      </w:r>
      <w:r>
        <w:rPr>
          <w:spacing w:val="-14"/>
        </w:rPr>
        <w:t xml:space="preserve"> </w:t>
      </w:r>
      <w:r>
        <w:t>solamente</w:t>
      </w:r>
      <w:r>
        <w:rPr>
          <w:spacing w:val="-14"/>
        </w:rPr>
        <w:t xml:space="preserve"> </w:t>
      </w:r>
      <w:r>
        <w:t>para</w:t>
      </w:r>
      <w:r>
        <w:rPr>
          <w:spacing w:val="-14"/>
        </w:rPr>
        <w:t xml:space="preserve"> </w:t>
      </w:r>
      <w:r>
        <w:t>usted</w:t>
      </w:r>
      <w:r>
        <w:rPr>
          <w:spacing w:val="-15"/>
        </w:rPr>
        <w:t xml:space="preserve"> </w:t>
      </w:r>
      <w:r>
        <w:t>sino</w:t>
      </w:r>
      <w:r>
        <w:rPr>
          <w:spacing w:val="-14"/>
        </w:rPr>
        <w:t xml:space="preserve"> </w:t>
      </w:r>
      <w:r>
        <w:t>para</w:t>
      </w:r>
      <w:r>
        <w:rPr>
          <w:spacing w:val="-14"/>
        </w:rPr>
        <w:t xml:space="preserve"> </w:t>
      </w:r>
      <w:r>
        <w:t>nosotros también porque significa que lo que hicimos, lo hicimos bien hecho y es en últimas lo que trato de enseñarle a usted»</w:t>
      </w:r>
      <w:r w:rsidR="005300B1">
        <w:rPr>
          <w:rStyle w:val="Refdenotaalpie"/>
        </w:rPr>
        <w:footnoteReference w:id="1150"/>
      </w:r>
      <w:r>
        <w:t>.</w:t>
      </w:r>
    </w:p>
    <w:p w:rsidR="003804AC" w:rsidRDefault="00AF18A5" w:rsidP="005300B1">
      <w:r>
        <w:t>Los procesos familiares han sido determinantes en las actitudes hacia el reconocimiento. Para un responsable, contarle a la familia lo sucedido es probablemente una de las experiencias más difíciles, junto con hablar a las víctimas. Pero, como puede verse en el testimonio</w:t>
      </w:r>
      <w:r>
        <w:rPr>
          <w:spacing w:val="-6"/>
        </w:rPr>
        <w:t xml:space="preserve"> </w:t>
      </w:r>
      <w:r>
        <w:t>anterior,</w:t>
      </w:r>
      <w:r>
        <w:rPr>
          <w:spacing w:val="-3"/>
        </w:rPr>
        <w:t xml:space="preserve"> </w:t>
      </w:r>
      <w:r>
        <w:t>el</w:t>
      </w:r>
      <w:r>
        <w:rPr>
          <w:spacing w:val="-3"/>
        </w:rPr>
        <w:t xml:space="preserve"> </w:t>
      </w:r>
      <w:r>
        <w:t>reconocimiento</w:t>
      </w:r>
      <w:r>
        <w:rPr>
          <w:spacing w:val="-3"/>
        </w:rPr>
        <w:t xml:space="preserve"> </w:t>
      </w:r>
      <w:r>
        <w:t>puede</w:t>
      </w:r>
      <w:r>
        <w:rPr>
          <w:spacing w:val="-2"/>
        </w:rPr>
        <w:t xml:space="preserve"> </w:t>
      </w:r>
      <w:r>
        <w:t>tener</w:t>
      </w:r>
      <w:r>
        <w:rPr>
          <w:spacing w:val="-3"/>
        </w:rPr>
        <w:t xml:space="preserve"> </w:t>
      </w:r>
      <w:r>
        <w:t>un</w:t>
      </w:r>
      <w:r>
        <w:rPr>
          <w:spacing w:val="-3"/>
        </w:rPr>
        <w:t xml:space="preserve"> </w:t>
      </w:r>
      <w:r>
        <w:t>efecto</w:t>
      </w:r>
      <w:r>
        <w:rPr>
          <w:spacing w:val="-3"/>
        </w:rPr>
        <w:t xml:space="preserve"> </w:t>
      </w:r>
      <w:r>
        <w:t>positivo</w:t>
      </w:r>
      <w:r>
        <w:rPr>
          <w:spacing w:val="-3"/>
        </w:rPr>
        <w:t xml:space="preserve"> </w:t>
      </w:r>
      <w:r>
        <w:t>para</w:t>
      </w:r>
      <w:r>
        <w:rPr>
          <w:spacing w:val="-4"/>
        </w:rPr>
        <w:t xml:space="preserve"> </w:t>
      </w:r>
      <w:r>
        <w:t>la</w:t>
      </w:r>
      <w:r>
        <w:rPr>
          <w:spacing w:val="-2"/>
        </w:rPr>
        <w:t xml:space="preserve"> </w:t>
      </w:r>
      <w:r>
        <w:t>familia,</w:t>
      </w:r>
      <w:r>
        <w:rPr>
          <w:spacing w:val="-3"/>
        </w:rPr>
        <w:t xml:space="preserve"> </w:t>
      </w:r>
      <w:r>
        <w:rPr>
          <w:spacing w:val="-2"/>
        </w:rPr>
        <w:t>porque</w:t>
      </w:r>
      <w:bookmarkStart w:id="1449" w:name="_bookmark1274"/>
      <w:bookmarkStart w:id="1450" w:name="_bookmark1275"/>
      <w:bookmarkEnd w:id="1449"/>
      <w:bookmarkEnd w:id="1450"/>
      <w:r w:rsidR="005300B1">
        <w:t xml:space="preserve"> </w:t>
      </w:r>
      <w:r>
        <w:t>se</w:t>
      </w:r>
      <w:r>
        <w:rPr>
          <w:spacing w:val="-8"/>
        </w:rPr>
        <w:t xml:space="preserve"> </w:t>
      </w:r>
      <w:r>
        <w:t>desliga</w:t>
      </w:r>
      <w:r>
        <w:rPr>
          <w:spacing w:val="-8"/>
        </w:rPr>
        <w:t xml:space="preserve"> </w:t>
      </w:r>
      <w:r>
        <w:t>así</w:t>
      </w:r>
      <w:r>
        <w:rPr>
          <w:spacing w:val="-8"/>
        </w:rPr>
        <w:t xml:space="preserve"> </w:t>
      </w:r>
      <w:r>
        <w:t>de</w:t>
      </w:r>
      <w:r>
        <w:rPr>
          <w:spacing w:val="-8"/>
        </w:rPr>
        <w:t xml:space="preserve"> </w:t>
      </w:r>
      <w:r>
        <w:t>la</w:t>
      </w:r>
      <w:r>
        <w:rPr>
          <w:spacing w:val="-8"/>
        </w:rPr>
        <w:t xml:space="preserve"> </w:t>
      </w:r>
      <w:r>
        <w:t>responsabilidad</w:t>
      </w:r>
      <w:r>
        <w:rPr>
          <w:spacing w:val="-8"/>
        </w:rPr>
        <w:t xml:space="preserve"> </w:t>
      </w:r>
      <w:r>
        <w:t>de</w:t>
      </w:r>
      <w:r>
        <w:rPr>
          <w:spacing w:val="-8"/>
        </w:rPr>
        <w:t xml:space="preserve"> </w:t>
      </w:r>
      <w:r>
        <w:t>los</w:t>
      </w:r>
      <w:r>
        <w:rPr>
          <w:spacing w:val="-8"/>
        </w:rPr>
        <w:t xml:space="preserve"> </w:t>
      </w:r>
      <w:r>
        <w:t>hechos,</w:t>
      </w:r>
      <w:r>
        <w:rPr>
          <w:spacing w:val="-10"/>
        </w:rPr>
        <w:t xml:space="preserve"> </w:t>
      </w:r>
      <w:r>
        <w:t>así</w:t>
      </w:r>
      <w:r>
        <w:rPr>
          <w:spacing w:val="-8"/>
        </w:rPr>
        <w:t xml:space="preserve"> </w:t>
      </w:r>
      <w:r>
        <w:t>como</w:t>
      </w:r>
      <w:r>
        <w:rPr>
          <w:spacing w:val="-8"/>
        </w:rPr>
        <w:t xml:space="preserve"> </w:t>
      </w:r>
      <w:r>
        <w:t>de</w:t>
      </w:r>
      <w:r>
        <w:rPr>
          <w:spacing w:val="-9"/>
        </w:rPr>
        <w:t xml:space="preserve"> </w:t>
      </w:r>
      <w:r>
        <w:t>su</w:t>
      </w:r>
      <w:r>
        <w:rPr>
          <w:spacing w:val="-8"/>
        </w:rPr>
        <w:t xml:space="preserve"> </w:t>
      </w:r>
      <w:r>
        <w:t>formación</w:t>
      </w:r>
      <w:r>
        <w:rPr>
          <w:spacing w:val="-8"/>
        </w:rPr>
        <w:t xml:space="preserve"> </w:t>
      </w:r>
      <w:r>
        <w:lastRenderedPageBreak/>
        <w:t>o</w:t>
      </w:r>
      <w:r>
        <w:rPr>
          <w:spacing w:val="-8"/>
        </w:rPr>
        <w:t xml:space="preserve"> </w:t>
      </w:r>
      <w:r>
        <w:t>de</w:t>
      </w:r>
      <w:r>
        <w:rPr>
          <w:spacing w:val="-8"/>
        </w:rPr>
        <w:t xml:space="preserve"> </w:t>
      </w:r>
      <w:r>
        <w:t>sus</w:t>
      </w:r>
      <w:r>
        <w:rPr>
          <w:spacing w:val="-8"/>
        </w:rPr>
        <w:t xml:space="preserve"> </w:t>
      </w:r>
      <w:r>
        <w:t>valores. Las</w:t>
      </w:r>
      <w:r>
        <w:rPr>
          <w:spacing w:val="-9"/>
        </w:rPr>
        <w:t xml:space="preserve"> </w:t>
      </w:r>
      <w:r>
        <w:t>reacciones</w:t>
      </w:r>
      <w:r>
        <w:rPr>
          <w:spacing w:val="-9"/>
        </w:rPr>
        <w:t xml:space="preserve"> </w:t>
      </w:r>
      <w:r>
        <w:t>de</w:t>
      </w:r>
      <w:r>
        <w:rPr>
          <w:spacing w:val="-9"/>
        </w:rPr>
        <w:t xml:space="preserve"> </w:t>
      </w:r>
      <w:r>
        <w:t>las</w:t>
      </w:r>
      <w:r>
        <w:rPr>
          <w:spacing w:val="-9"/>
        </w:rPr>
        <w:t xml:space="preserve"> </w:t>
      </w:r>
      <w:r>
        <w:t>familias</w:t>
      </w:r>
      <w:r>
        <w:rPr>
          <w:spacing w:val="-9"/>
        </w:rPr>
        <w:t xml:space="preserve"> </w:t>
      </w:r>
      <w:r>
        <w:t>constituyen</w:t>
      </w:r>
      <w:r>
        <w:rPr>
          <w:spacing w:val="-9"/>
        </w:rPr>
        <w:t xml:space="preserve"> </w:t>
      </w:r>
      <w:r>
        <w:t>un</w:t>
      </w:r>
      <w:r>
        <w:rPr>
          <w:spacing w:val="-9"/>
        </w:rPr>
        <w:t xml:space="preserve"> </w:t>
      </w:r>
      <w:r>
        <w:t>factor</w:t>
      </w:r>
      <w:r>
        <w:rPr>
          <w:spacing w:val="-9"/>
        </w:rPr>
        <w:t xml:space="preserve"> </w:t>
      </w:r>
      <w:r>
        <w:t>de</w:t>
      </w:r>
      <w:r>
        <w:rPr>
          <w:spacing w:val="-9"/>
        </w:rPr>
        <w:t xml:space="preserve"> </w:t>
      </w:r>
      <w:r>
        <w:t>crisis</w:t>
      </w:r>
      <w:r>
        <w:rPr>
          <w:spacing w:val="-10"/>
        </w:rPr>
        <w:t xml:space="preserve"> </w:t>
      </w:r>
      <w:r>
        <w:t>porque</w:t>
      </w:r>
      <w:r>
        <w:rPr>
          <w:spacing w:val="-9"/>
        </w:rPr>
        <w:t xml:space="preserve"> </w:t>
      </w:r>
      <w:r>
        <w:t>interpelan,</w:t>
      </w:r>
      <w:r>
        <w:rPr>
          <w:spacing w:val="-9"/>
        </w:rPr>
        <w:t xml:space="preserve"> </w:t>
      </w:r>
      <w:r>
        <w:t>una</w:t>
      </w:r>
      <w:r>
        <w:rPr>
          <w:spacing w:val="-9"/>
        </w:rPr>
        <w:t xml:space="preserve"> </w:t>
      </w:r>
      <w:r>
        <w:t>vez</w:t>
      </w:r>
      <w:r>
        <w:rPr>
          <w:spacing w:val="-9"/>
        </w:rPr>
        <w:t xml:space="preserve"> </w:t>
      </w:r>
      <w:r>
        <w:t>más, en este caso, sus identidades como militares. Contar la experiencia a la familia ante la cual se</w:t>
      </w:r>
      <w:r>
        <w:rPr>
          <w:spacing w:val="-1"/>
        </w:rPr>
        <w:t xml:space="preserve"> </w:t>
      </w:r>
      <w:r>
        <w:t>habían</w:t>
      </w:r>
      <w:r>
        <w:rPr>
          <w:spacing w:val="-2"/>
        </w:rPr>
        <w:t xml:space="preserve"> </w:t>
      </w:r>
      <w:r>
        <w:t>negado</w:t>
      </w:r>
      <w:r>
        <w:rPr>
          <w:spacing w:val="-1"/>
        </w:rPr>
        <w:t xml:space="preserve"> </w:t>
      </w:r>
      <w:r>
        <w:t>hechos</w:t>
      </w:r>
      <w:r>
        <w:rPr>
          <w:spacing w:val="-2"/>
        </w:rPr>
        <w:t xml:space="preserve"> </w:t>
      </w:r>
      <w:r>
        <w:t>o</w:t>
      </w:r>
      <w:r>
        <w:rPr>
          <w:spacing w:val="-1"/>
        </w:rPr>
        <w:t xml:space="preserve"> </w:t>
      </w:r>
      <w:r>
        <w:t>responsabilidades</w:t>
      </w:r>
      <w:r>
        <w:rPr>
          <w:spacing w:val="-1"/>
        </w:rPr>
        <w:t xml:space="preserve"> </w:t>
      </w:r>
      <w:r>
        <w:t>representa</w:t>
      </w:r>
      <w:r>
        <w:rPr>
          <w:spacing w:val="-1"/>
        </w:rPr>
        <w:t xml:space="preserve"> </w:t>
      </w:r>
      <w:r>
        <w:t>un</w:t>
      </w:r>
      <w:r>
        <w:rPr>
          <w:spacing w:val="-2"/>
        </w:rPr>
        <w:t xml:space="preserve"> </w:t>
      </w:r>
      <w:r>
        <w:t>momento</w:t>
      </w:r>
      <w:r>
        <w:rPr>
          <w:spacing w:val="-1"/>
        </w:rPr>
        <w:t xml:space="preserve"> </w:t>
      </w:r>
      <w:r>
        <w:t>de</w:t>
      </w:r>
      <w:r>
        <w:rPr>
          <w:spacing w:val="-2"/>
        </w:rPr>
        <w:t xml:space="preserve"> </w:t>
      </w:r>
      <w:r>
        <w:t>impacto</w:t>
      </w:r>
      <w:r>
        <w:rPr>
          <w:spacing w:val="-1"/>
        </w:rPr>
        <w:t xml:space="preserve"> </w:t>
      </w:r>
      <w:r>
        <w:t>personal</w:t>
      </w:r>
      <w:r>
        <w:rPr>
          <w:spacing w:val="-1"/>
        </w:rPr>
        <w:t xml:space="preserve"> </w:t>
      </w:r>
      <w:r>
        <w:t xml:space="preserve">y </w:t>
      </w:r>
      <w:r>
        <w:rPr>
          <w:spacing w:val="-2"/>
        </w:rPr>
        <w:t>colectivo.</w:t>
      </w:r>
    </w:p>
    <w:p w:rsidR="003804AC" w:rsidRDefault="00AF18A5" w:rsidP="00CC3C78">
      <w:r>
        <w:t>Hay</w:t>
      </w:r>
      <w:r>
        <w:rPr>
          <w:spacing w:val="-5"/>
        </w:rPr>
        <w:t xml:space="preserve"> </w:t>
      </w:r>
      <w:r>
        <w:t>una</w:t>
      </w:r>
      <w:r>
        <w:rPr>
          <w:spacing w:val="-4"/>
        </w:rPr>
        <w:t xml:space="preserve"> </w:t>
      </w:r>
      <w:r>
        <w:t>separación</w:t>
      </w:r>
      <w:r>
        <w:rPr>
          <w:spacing w:val="-5"/>
        </w:rPr>
        <w:t xml:space="preserve"> </w:t>
      </w:r>
      <w:r>
        <w:t>en</w:t>
      </w:r>
      <w:r>
        <w:rPr>
          <w:spacing w:val="-5"/>
        </w:rPr>
        <w:t xml:space="preserve"> </w:t>
      </w:r>
      <w:r>
        <w:t>su</w:t>
      </w:r>
      <w:r>
        <w:rPr>
          <w:spacing w:val="-5"/>
        </w:rPr>
        <w:t xml:space="preserve"> </w:t>
      </w:r>
      <w:r>
        <w:t>identidad,</w:t>
      </w:r>
      <w:r>
        <w:rPr>
          <w:spacing w:val="-6"/>
        </w:rPr>
        <w:t xml:space="preserve"> </w:t>
      </w:r>
      <w:r>
        <w:t>entre</w:t>
      </w:r>
      <w:r>
        <w:rPr>
          <w:spacing w:val="-4"/>
        </w:rPr>
        <w:t xml:space="preserve"> </w:t>
      </w:r>
      <w:r>
        <w:t>su</w:t>
      </w:r>
      <w:r>
        <w:rPr>
          <w:spacing w:val="-5"/>
        </w:rPr>
        <w:t xml:space="preserve"> </w:t>
      </w:r>
      <w:r>
        <w:t>autorreconocimiento</w:t>
      </w:r>
      <w:r>
        <w:rPr>
          <w:spacing w:val="-5"/>
        </w:rPr>
        <w:t xml:space="preserve"> </w:t>
      </w:r>
      <w:r>
        <w:t>como</w:t>
      </w:r>
      <w:r>
        <w:rPr>
          <w:spacing w:val="-5"/>
        </w:rPr>
        <w:t xml:space="preserve"> </w:t>
      </w:r>
      <w:r>
        <w:t>seres</w:t>
      </w:r>
      <w:r>
        <w:rPr>
          <w:spacing w:val="-4"/>
        </w:rPr>
        <w:t xml:space="preserve"> </w:t>
      </w:r>
      <w:r>
        <w:t>humanos</w:t>
      </w:r>
      <w:r>
        <w:rPr>
          <w:spacing w:val="-4"/>
        </w:rPr>
        <w:t xml:space="preserve"> </w:t>
      </w:r>
      <w:r>
        <w:t>y como militares o guerrilleros (lo que eran) y su autorreconocimiento como responsables de graves crímenes hacia personas inocentes (lo que hicieron). En el caso de los militares también</w:t>
      </w:r>
      <w:r>
        <w:rPr>
          <w:spacing w:val="-11"/>
        </w:rPr>
        <w:t xml:space="preserve"> </w:t>
      </w:r>
      <w:r>
        <w:t>se</w:t>
      </w:r>
      <w:r>
        <w:rPr>
          <w:spacing w:val="-11"/>
        </w:rPr>
        <w:t xml:space="preserve"> </w:t>
      </w:r>
      <w:r>
        <w:t>une</w:t>
      </w:r>
      <w:r>
        <w:rPr>
          <w:spacing w:val="-11"/>
        </w:rPr>
        <w:t xml:space="preserve"> </w:t>
      </w:r>
      <w:r>
        <w:t>la</w:t>
      </w:r>
      <w:r>
        <w:rPr>
          <w:spacing w:val="-12"/>
        </w:rPr>
        <w:t xml:space="preserve"> </w:t>
      </w:r>
      <w:r>
        <w:t>responsabilidad</w:t>
      </w:r>
      <w:r>
        <w:rPr>
          <w:spacing w:val="-11"/>
        </w:rPr>
        <w:t xml:space="preserve"> </w:t>
      </w:r>
      <w:r>
        <w:t>que</w:t>
      </w:r>
      <w:r>
        <w:rPr>
          <w:spacing w:val="-11"/>
        </w:rPr>
        <w:t xml:space="preserve"> </w:t>
      </w:r>
      <w:r>
        <w:t>tenían</w:t>
      </w:r>
      <w:r>
        <w:rPr>
          <w:spacing w:val="-11"/>
        </w:rPr>
        <w:t xml:space="preserve"> </w:t>
      </w:r>
      <w:r>
        <w:t>como</w:t>
      </w:r>
      <w:r>
        <w:rPr>
          <w:spacing w:val="-11"/>
        </w:rPr>
        <w:t xml:space="preserve"> </w:t>
      </w:r>
      <w:r>
        <w:t>servidores</w:t>
      </w:r>
      <w:r>
        <w:rPr>
          <w:spacing w:val="-12"/>
        </w:rPr>
        <w:t xml:space="preserve"> </w:t>
      </w:r>
      <w:r>
        <w:t>públicos</w:t>
      </w:r>
      <w:r>
        <w:rPr>
          <w:spacing w:val="-11"/>
        </w:rPr>
        <w:t xml:space="preserve"> </w:t>
      </w:r>
      <w:r>
        <w:t>y</w:t>
      </w:r>
      <w:r>
        <w:rPr>
          <w:spacing w:val="-12"/>
        </w:rPr>
        <w:t xml:space="preserve"> </w:t>
      </w:r>
      <w:r>
        <w:t>su</w:t>
      </w:r>
      <w:r>
        <w:rPr>
          <w:spacing w:val="-11"/>
        </w:rPr>
        <w:t xml:space="preserve"> </w:t>
      </w:r>
      <w:r>
        <w:t>labor</w:t>
      </w:r>
      <w:r>
        <w:rPr>
          <w:spacing w:val="-11"/>
        </w:rPr>
        <w:t xml:space="preserve"> </w:t>
      </w:r>
      <w:r>
        <w:t>de</w:t>
      </w:r>
      <w:r>
        <w:rPr>
          <w:spacing w:val="-11"/>
        </w:rPr>
        <w:t xml:space="preserve"> </w:t>
      </w:r>
      <w:r>
        <w:t>proteger a la población civil. En el de los exguerrilleros aparece el contraste con la ideología o el sentido que le atribuían a su lucha.</w:t>
      </w:r>
    </w:p>
    <w:p w:rsidR="003804AC" w:rsidRDefault="00AF18A5" w:rsidP="00CC3C78">
      <w:r>
        <w:t>Para</w:t>
      </w:r>
      <w:r>
        <w:rPr>
          <w:spacing w:val="-3"/>
        </w:rPr>
        <w:t xml:space="preserve"> </w:t>
      </w:r>
      <w:r>
        <w:t>los</w:t>
      </w:r>
      <w:r>
        <w:rPr>
          <w:spacing w:val="-5"/>
        </w:rPr>
        <w:t xml:space="preserve"> </w:t>
      </w:r>
      <w:r>
        <w:t>exmiembros</w:t>
      </w:r>
      <w:r>
        <w:rPr>
          <w:spacing w:val="-3"/>
        </w:rPr>
        <w:t xml:space="preserve"> </w:t>
      </w:r>
      <w:r>
        <w:t>de</w:t>
      </w:r>
      <w:r>
        <w:rPr>
          <w:spacing w:val="-3"/>
        </w:rPr>
        <w:t xml:space="preserve"> </w:t>
      </w:r>
      <w:r>
        <w:t>las</w:t>
      </w:r>
      <w:r>
        <w:rPr>
          <w:spacing w:val="-5"/>
        </w:rPr>
        <w:t xml:space="preserve"> </w:t>
      </w:r>
      <w:r>
        <w:t>AUC,</w:t>
      </w:r>
      <w:r>
        <w:rPr>
          <w:spacing w:val="-4"/>
        </w:rPr>
        <w:t xml:space="preserve"> </w:t>
      </w:r>
      <w:r>
        <w:t>también</w:t>
      </w:r>
      <w:r>
        <w:rPr>
          <w:spacing w:val="-5"/>
        </w:rPr>
        <w:t xml:space="preserve"> </w:t>
      </w:r>
      <w:r>
        <w:t>el</w:t>
      </w:r>
      <w:r>
        <w:rPr>
          <w:spacing w:val="-4"/>
        </w:rPr>
        <w:t xml:space="preserve"> </w:t>
      </w:r>
      <w:r>
        <w:t>paso</w:t>
      </w:r>
      <w:r>
        <w:rPr>
          <w:spacing w:val="-4"/>
        </w:rPr>
        <w:t xml:space="preserve"> </w:t>
      </w:r>
      <w:r>
        <w:t>por</w:t>
      </w:r>
      <w:r>
        <w:rPr>
          <w:spacing w:val="-4"/>
        </w:rPr>
        <w:t xml:space="preserve"> </w:t>
      </w:r>
      <w:r>
        <w:t>la</w:t>
      </w:r>
      <w:r>
        <w:rPr>
          <w:spacing w:val="-3"/>
        </w:rPr>
        <w:t xml:space="preserve"> </w:t>
      </w:r>
      <w:r>
        <w:t>cárcel</w:t>
      </w:r>
      <w:r>
        <w:rPr>
          <w:spacing w:val="-3"/>
        </w:rPr>
        <w:t xml:space="preserve"> </w:t>
      </w:r>
      <w:r>
        <w:t>se</w:t>
      </w:r>
      <w:r>
        <w:rPr>
          <w:spacing w:val="-3"/>
        </w:rPr>
        <w:t xml:space="preserve"> </w:t>
      </w:r>
      <w:r>
        <w:t>constituyó</w:t>
      </w:r>
      <w:r>
        <w:rPr>
          <w:spacing w:val="-4"/>
        </w:rPr>
        <w:t xml:space="preserve"> </w:t>
      </w:r>
      <w:r>
        <w:t>en</w:t>
      </w:r>
      <w:r>
        <w:rPr>
          <w:spacing w:val="-4"/>
        </w:rPr>
        <w:t xml:space="preserve"> </w:t>
      </w:r>
      <w:r>
        <w:t>un</w:t>
      </w:r>
      <w:r>
        <w:rPr>
          <w:spacing w:val="-4"/>
        </w:rPr>
        <w:t xml:space="preserve"> </w:t>
      </w:r>
      <w:r>
        <w:t>punto de</w:t>
      </w:r>
      <w:r>
        <w:rPr>
          <w:spacing w:val="-2"/>
        </w:rPr>
        <w:t xml:space="preserve"> </w:t>
      </w:r>
      <w:r>
        <w:t>quiebre,</w:t>
      </w:r>
      <w:r>
        <w:rPr>
          <w:spacing w:val="-4"/>
        </w:rPr>
        <w:t xml:space="preserve"> </w:t>
      </w:r>
      <w:r>
        <w:t>que</w:t>
      </w:r>
      <w:r>
        <w:rPr>
          <w:spacing w:val="-2"/>
        </w:rPr>
        <w:t xml:space="preserve"> </w:t>
      </w:r>
      <w:r>
        <w:t>les</w:t>
      </w:r>
      <w:r>
        <w:rPr>
          <w:spacing w:val="-2"/>
        </w:rPr>
        <w:t xml:space="preserve"> </w:t>
      </w:r>
      <w:r>
        <w:t>permitió</w:t>
      </w:r>
      <w:r>
        <w:rPr>
          <w:spacing w:val="-2"/>
        </w:rPr>
        <w:t xml:space="preserve"> </w:t>
      </w:r>
      <w:r>
        <w:t>reflexionar</w:t>
      </w:r>
      <w:r>
        <w:rPr>
          <w:spacing w:val="-2"/>
        </w:rPr>
        <w:t xml:space="preserve"> </w:t>
      </w:r>
      <w:r>
        <w:t>sobre</w:t>
      </w:r>
      <w:r>
        <w:rPr>
          <w:spacing w:val="-2"/>
        </w:rPr>
        <w:t xml:space="preserve"> </w:t>
      </w:r>
      <w:r>
        <w:t>su</w:t>
      </w:r>
      <w:r>
        <w:rPr>
          <w:spacing w:val="-3"/>
        </w:rPr>
        <w:t xml:space="preserve"> </w:t>
      </w:r>
      <w:r>
        <w:t>experiencia</w:t>
      </w:r>
      <w:r>
        <w:rPr>
          <w:spacing w:val="-3"/>
        </w:rPr>
        <w:t xml:space="preserve"> </w:t>
      </w:r>
      <w:r>
        <w:t>y</w:t>
      </w:r>
      <w:r>
        <w:rPr>
          <w:spacing w:val="-2"/>
        </w:rPr>
        <w:t xml:space="preserve"> </w:t>
      </w:r>
      <w:r>
        <w:t>el</w:t>
      </w:r>
      <w:r>
        <w:rPr>
          <w:spacing w:val="-2"/>
        </w:rPr>
        <w:t xml:space="preserve"> </w:t>
      </w:r>
      <w:r>
        <w:t>costo</w:t>
      </w:r>
      <w:r>
        <w:rPr>
          <w:spacing w:val="-2"/>
        </w:rPr>
        <w:t xml:space="preserve"> </w:t>
      </w:r>
      <w:r>
        <w:t>en</w:t>
      </w:r>
      <w:r>
        <w:rPr>
          <w:spacing w:val="-4"/>
        </w:rPr>
        <w:t xml:space="preserve"> </w:t>
      </w:r>
      <w:r>
        <w:t>sus</w:t>
      </w:r>
      <w:r>
        <w:rPr>
          <w:spacing w:val="-2"/>
        </w:rPr>
        <w:t xml:space="preserve"> </w:t>
      </w:r>
      <w:r>
        <w:t>propias</w:t>
      </w:r>
      <w:r>
        <w:rPr>
          <w:spacing w:val="-2"/>
        </w:rPr>
        <w:t xml:space="preserve"> </w:t>
      </w:r>
      <w:r>
        <w:t>vidas, unido a la necesidad de sentir alivio al contar su verdad desde un lugar y espacio distinto al de las audiencias de Justicia y Paz. Así lo relata un excomandante participante en el reconocimiento</w:t>
      </w:r>
      <w:r>
        <w:rPr>
          <w:spacing w:val="-8"/>
        </w:rPr>
        <w:t xml:space="preserve"> </w:t>
      </w:r>
      <w:r>
        <w:t>de</w:t>
      </w:r>
      <w:r>
        <w:rPr>
          <w:spacing w:val="-9"/>
        </w:rPr>
        <w:t xml:space="preserve"> </w:t>
      </w:r>
      <w:r>
        <w:t>responsabilidades</w:t>
      </w:r>
      <w:r>
        <w:rPr>
          <w:spacing w:val="-9"/>
        </w:rPr>
        <w:t xml:space="preserve"> </w:t>
      </w:r>
      <w:r>
        <w:t>del</w:t>
      </w:r>
      <w:r>
        <w:rPr>
          <w:spacing w:val="-9"/>
        </w:rPr>
        <w:t xml:space="preserve"> </w:t>
      </w:r>
      <w:r>
        <w:t>asesinato</w:t>
      </w:r>
      <w:r>
        <w:rPr>
          <w:spacing w:val="-8"/>
        </w:rPr>
        <w:t xml:space="preserve"> </w:t>
      </w:r>
      <w:r>
        <w:t>de</w:t>
      </w:r>
      <w:r>
        <w:rPr>
          <w:spacing w:val="-9"/>
        </w:rPr>
        <w:t xml:space="preserve"> </w:t>
      </w:r>
      <w:r>
        <w:t>la</w:t>
      </w:r>
      <w:r>
        <w:rPr>
          <w:spacing w:val="-9"/>
        </w:rPr>
        <w:t xml:space="preserve"> </w:t>
      </w:r>
      <w:r>
        <w:t>religiosa</w:t>
      </w:r>
      <w:r>
        <w:rPr>
          <w:spacing w:val="-8"/>
        </w:rPr>
        <w:t xml:space="preserve"> </w:t>
      </w:r>
      <w:r>
        <w:t>Yolanda</w:t>
      </w:r>
      <w:r>
        <w:rPr>
          <w:spacing w:val="-9"/>
        </w:rPr>
        <w:t xml:space="preserve"> </w:t>
      </w:r>
      <w:r>
        <w:t>Cerón</w:t>
      </w:r>
      <w:r>
        <w:rPr>
          <w:spacing w:val="-8"/>
        </w:rPr>
        <w:t xml:space="preserve"> </w:t>
      </w:r>
      <w:r>
        <w:t>en</w:t>
      </w:r>
      <w:r>
        <w:rPr>
          <w:spacing w:val="-9"/>
        </w:rPr>
        <w:t xml:space="preserve"> </w:t>
      </w:r>
      <w:r>
        <w:t>Tumaco en septiembre de 2001:</w:t>
      </w:r>
    </w:p>
    <w:p w:rsidR="003804AC" w:rsidRDefault="00AF18A5" w:rsidP="00CC3C78">
      <w:r>
        <w:t>«Fueron</w:t>
      </w:r>
      <w:r>
        <w:rPr>
          <w:spacing w:val="-10"/>
        </w:rPr>
        <w:t xml:space="preserve"> </w:t>
      </w:r>
      <w:r>
        <w:t>muchas</w:t>
      </w:r>
      <w:r>
        <w:rPr>
          <w:spacing w:val="-9"/>
        </w:rPr>
        <w:t xml:space="preserve"> </w:t>
      </w:r>
      <w:r>
        <w:t>las</w:t>
      </w:r>
      <w:r>
        <w:rPr>
          <w:spacing w:val="-9"/>
        </w:rPr>
        <w:t xml:space="preserve"> </w:t>
      </w:r>
      <w:r>
        <w:t>noches</w:t>
      </w:r>
      <w:r>
        <w:rPr>
          <w:spacing w:val="-9"/>
        </w:rPr>
        <w:t xml:space="preserve"> </w:t>
      </w:r>
      <w:r>
        <w:t>en</w:t>
      </w:r>
      <w:r>
        <w:rPr>
          <w:spacing w:val="-10"/>
        </w:rPr>
        <w:t xml:space="preserve"> </w:t>
      </w:r>
      <w:r>
        <w:t>que</w:t>
      </w:r>
      <w:r>
        <w:rPr>
          <w:spacing w:val="-9"/>
        </w:rPr>
        <w:t xml:space="preserve"> </w:t>
      </w:r>
      <w:r>
        <w:t>traté</w:t>
      </w:r>
      <w:r>
        <w:rPr>
          <w:spacing w:val="-9"/>
        </w:rPr>
        <w:t xml:space="preserve"> </w:t>
      </w:r>
      <w:r>
        <w:t>de</w:t>
      </w:r>
      <w:r>
        <w:rPr>
          <w:spacing w:val="-9"/>
        </w:rPr>
        <w:t xml:space="preserve"> </w:t>
      </w:r>
      <w:r>
        <w:t>evadir</w:t>
      </w:r>
      <w:r>
        <w:rPr>
          <w:spacing w:val="-10"/>
        </w:rPr>
        <w:t xml:space="preserve"> </w:t>
      </w:r>
      <w:r>
        <w:t>el</w:t>
      </w:r>
      <w:r>
        <w:rPr>
          <w:spacing w:val="-9"/>
        </w:rPr>
        <w:t xml:space="preserve"> </w:t>
      </w:r>
      <w:r>
        <w:t>encierro</w:t>
      </w:r>
      <w:r>
        <w:rPr>
          <w:spacing w:val="-10"/>
        </w:rPr>
        <w:t xml:space="preserve"> </w:t>
      </w:r>
      <w:r>
        <w:t>imaginando</w:t>
      </w:r>
      <w:r>
        <w:rPr>
          <w:spacing w:val="-11"/>
        </w:rPr>
        <w:t xml:space="preserve"> </w:t>
      </w:r>
      <w:r>
        <w:t>que</w:t>
      </w:r>
      <w:r>
        <w:rPr>
          <w:spacing w:val="-9"/>
        </w:rPr>
        <w:t xml:space="preserve"> </w:t>
      </w:r>
      <w:r>
        <w:t>producto</w:t>
      </w:r>
      <w:r>
        <w:rPr>
          <w:spacing w:val="-10"/>
        </w:rPr>
        <w:t xml:space="preserve"> </w:t>
      </w:r>
      <w:r>
        <w:t>de mi arrepentimiento y los años pasados en prisión algún día tendría la oportunidad de estar frente a los familiares de las víctimas para aceptar mi responsabilidad por todo el daño que les causé y pedirles perdón, especialmente en la forma que estoy haciéndolo y que me avergüenza.</w:t>
      </w:r>
      <w:r>
        <w:rPr>
          <w:spacing w:val="-1"/>
        </w:rPr>
        <w:t xml:space="preserve"> </w:t>
      </w:r>
      <w:r>
        <w:t>Hoy ante ustedes manifiesto mi sentimiento de</w:t>
      </w:r>
      <w:r>
        <w:rPr>
          <w:spacing w:val="-1"/>
        </w:rPr>
        <w:t xml:space="preserve"> </w:t>
      </w:r>
      <w:r>
        <w:t>vergüenza</w:t>
      </w:r>
      <w:r>
        <w:rPr>
          <w:spacing w:val="-1"/>
        </w:rPr>
        <w:t xml:space="preserve"> </w:t>
      </w:r>
      <w:r>
        <w:t>y</w:t>
      </w:r>
      <w:r>
        <w:rPr>
          <w:spacing w:val="-1"/>
        </w:rPr>
        <w:t xml:space="preserve"> </w:t>
      </w:r>
      <w:r>
        <w:t>dolor y</w:t>
      </w:r>
      <w:r>
        <w:rPr>
          <w:spacing w:val="-1"/>
        </w:rPr>
        <w:t xml:space="preserve"> </w:t>
      </w:r>
      <w:r>
        <w:t>entiendo el repudio que deben sentir conmigo. En mi caso, soy consciente de la deuda eterna que tengo con</w:t>
      </w:r>
      <w:r>
        <w:rPr>
          <w:spacing w:val="-8"/>
        </w:rPr>
        <w:t xml:space="preserve"> </w:t>
      </w:r>
      <w:r>
        <w:lastRenderedPageBreak/>
        <w:t>mi</w:t>
      </w:r>
      <w:r>
        <w:rPr>
          <w:spacing w:val="-9"/>
        </w:rPr>
        <w:t xml:space="preserve"> </w:t>
      </w:r>
      <w:r>
        <w:t>país,</w:t>
      </w:r>
      <w:r>
        <w:rPr>
          <w:spacing w:val="-10"/>
        </w:rPr>
        <w:t xml:space="preserve"> </w:t>
      </w:r>
      <w:r>
        <w:t>con</w:t>
      </w:r>
      <w:r>
        <w:rPr>
          <w:spacing w:val="-8"/>
        </w:rPr>
        <w:t xml:space="preserve"> </w:t>
      </w:r>
      <w:r>
        <w:t>las</w:t>
      </w:r>
      <w:r>
        <w:rPr>
          <w:spacing w:val="-9"/>
        </w:rPr>
        <w:t xml:space="preserve"> </w:t>
      </w:r>
      <w:r>
        <w:t>víctimas,</w:t>
      </w:r>
      <w:r>
        <w:rPr>
          <w:spacing w:val="-8"/>
        </w:rPr>
        <w:t xml:space="preserve"> </w:t>
      </w:r>
      <w:r>
        <w:t>especialmente</w:t>
      </w:r>
      <w:r>
        <w:rPr>
          <w:spacing w:val="-8"/>
        </w:rPr>
        <w:t xml:space="preserve"> </w:t>
      </w:r>
      <w:r>
        <w:t>con</w:t>
      </w:r>
      <w:r>
        <w:rPr>
          <w:spacing w:val="-9"/>
        </w:rPr>
        <w:t xml:space="preserve"> </w:t>
      </w:r>
      <w:r>
        <w:t>los</w:t>
      </w:r>
      <w:r>
        <w:rPr>
          <w:spacing w:val="-8"/>
        </w:rPr>
        <w:t xml:space="preserve"> </w:t>
      </w:r>
      <w:r>
        <w:t>familiares</w:t>
      </w:r>
      <w:r>
        <w:rPr>
          <w:spacing w:val="-9"/>
        </w:rPr>
        <w:t xml:space="preserve"> </w:t>
      </w:r>
      <w:r>
        <w:t>de</w:t>
      </w:r>
      <w:r>
        <w:rPr>
          <w:spacing w:val="-8"/>
        </w:rPr>
        <w:t xml:space="preserve"> </w:t>
      </w:r>
      <w:r>
        <w:t>la</w:t>
      </w:r>
      <w:r>
        <w:rPr>
          <w:spacing w:val="-8"/>
        </w:rPr>
        <w:t xml:space="preserve"> </w:t>
      </w:r>
      <w:r>
        <w:t>hermana</w:t>
      </w:r>
      <w:r>
        <w:rPr>
          <w:spacing w:val="-8"/>
        </w:rPr>
        <w:t xml:space="preserve"> </w:t>
      </w:r>
      <w:r>
        <w:t>Yolanda.</w:t>
      </w:r>
      <w:r>
        <w:rPr>
          <w:spacing w:val="-9"/>
        </w:rPr>
        <w:t xml:space="preserve"> </w:t>
      </w:r>
      <w:r>
        <w:t>Estar frente</w:t>
      </w:r>
      <w:r>
        <w:rPr>
          <w:spacing w:val="5"/>
        </w:rPr>
        <w:t xml:space="preserve"> </w:t>
      </w:r>
      <w:r>
        <w:t>a</w:t>
      </w:r>
      <w:r>
        <w:rPr>
          <w:spacing w:val="6"/>
        </w:rPr>
        <w:t xml:space="preserve"> </w:t>
      </w:r>
      <w:r>
        <w:t>las</w:t>
      </w:r>
      <w:r>
        <w:rPr>
          <w:spacing w:val="6"/>
        </w:rPr>
        <w:t xml:space="preserve"> </w:t>
      </w:r>
      <w:r>
        <w:t>víctimas</w:t>
      </w:r>
      <w:r>
        <w:rPr>
          <w:spacing w:val="6"/>
        </w:rPr>
        <w:t xml:space="preserve"> </w:t>
      </w:r>
      <w:r>
        <w:t>me</w:t>
      </w:r>
      <w:r>
        <w:rPr>
          <w:spacing w:val="7"/>
        </w:rPr>
        <w:t xml:space="preserve"> </w:t>
      </w:r>
      <w:r>
        <w:t>hizo</w:t>
      </w:r>
      <w:r>
        <w:rPr>
          <w:spacing w:val="7"/>
        </w:rPr>
        <w:t xml:space="preserve"> </w:t>
      </w:r>
      <w:r>
        <w:t>entender</w:t>
      </w:r>
      <w:r>
        <w:rPr>
          <w:spacing w:val="7"/>
        </w:rPr>
        <w:t xml:space="preserve"> </w:t>
      </w:r>
      <w:r>
        <w:t>la</w:t>
      </w:r>
      <w:r>
        <w:rPr>
          <w:spacing w:val="6"/>
        </w:rPr>
        <w:t xml:space="preserve"> </w:t>
      </w:r>
      <w:r>
        <w:t>dimensión</w:t>
      </w:r>
      <w:r>
        <w:rPr>
          <w:spacing w:val="7"/>
        </w:rPr>
        <w:t xml:space="preserve"> </w:t>
      </w:r>
      <w:r>
        <w:t>del</w:t>
      </w:r>
      <w:r>
        <w:rPr>
          <w:spacing w:val="7"/>
        </w:rPr>
        <w:t xml:space="preserve"> </w:t>
      </w:r>
      <w:r>
        <w:t>daño</w:t>
      </w:r>
      <w:r>
        <w:rPr>
          <w:spacing w:val="6"/>
        </w:rPr>
        <w:t xml:space="preserve"> </w:t>
      </w:r>
      <w:r>
        <w:t>que</w:t>
      </w:r>
      <w:r>
        <w:rPr>
          <w:spacing w:val="7"/>
        </w:rPr>
        <w:t xml:space="preserve"> </w:t>
      </w:r>
      <w:r>
        <w:t>había</w:t>
      </w:r>
      <w:r>
        <w:rPr>
          <w:spacing w:val="7"/>
        </w:rPr>
        <w:t xml:space="preserve"> </w:t>
      </w:r>
      <w:r>
        <w:t>ocasionado,</w:t>
      </w:r>
      <w:r>
        <w:rPr>
          <w:spacing w:val="7"/>
        </w:rPr>
        <w:t xml:space="preserve"> </w:t>
      </w:r>
      <w:r>
        <w:rPr>
          <w:spacing w:val="-2"/>
        </w:rPr>
        <w:t>porque</w:t>
      </w:r>
    </w:p>
    <w:p w:rsidR="003804AC" w:rsidRDefault="00AF18A5" w:rsidP="00CC3C78">
      <w:r>
        <w:t>como lo dijo Íngrid Betancourt pocos días después de recuperar la libertad, el despeñadero de la deshumanización algunas veces no es obvio para el que lo vive»</w:t>
      </w:r>
      <w:r w:rsidR="00CC3C78">
        <w:rPr>
          <w:rStyle w:val="Refdenotaalpie"/>
        </w:rPr>
        <w:footnoteReference w:id="1151"/>
      </w:r>
      <w:r>
        <w:t>.</w:t>
      </w:r>
    </w:p>
    <w:p w:rsidR="003804AC" w:rsidRDefault="00AF18A5" w:rsidP="00CC3C78">
      <w:r>
        <w:t>La exposición a hechos de violencia, por ejemplo, que en principio resultan ser un factor determinante</w:t>
      </w:r>
      <w:r>
        <w:rPr>
          <w:spacing w:val="-9"/>
        </w:rPr>
        <w:t xml:space="preserve"> </w:t>
      </w:r>
      <w:r>
        <w:t>en</w:t>
      </w:r>
      <w:r>
        <w:rPr>
          <w:spacing w:val="-10"/>
        </w:rPr>
        <w:t xml:space="preserve"> </w:t>
      </w:r>
      <w:r>
        <w:t>muchos</w:t>
      </w:r>
      <w:r>
        <w:rPr>
          <w:spacing w:val="-11"/>
        </w:rPr>
        <w:t xml:space="preserve"> </w:t>
      </w:r>
      <w:r>
        <w:t>casos</w:t>
      </w:r>
      <w:r>
        <w:rPr>
          <w:spacing w:val="-9"/>
        </w:rPr>
        <w:t xml:space="preserve"> </w:t>
      </w:r>
      <w:r>
        <w:t>ante</w:t>
      </w:r>
      <w:r>
        <w:rPr>
          <w:spacing w:val="-9"/>
        </w:rPr>
        <w:t xml:space="preserve"> </w:t>
      </w:r>
      <w:r>
        <w:t>la</w:t>
      </w:r>
      <w:r>
        <w:rPr>
          <w:spacing w:val="-9"/>
        </w:rPr>
        <w:t xml:space="preserve"> </w:t>
      </w:r>
      <w:r>
        <w:t>decisión</w:t>
      </w:r>
      <w:r>
        <w:rPr>
          <w:spacing w:val="-10"/>
        </w:rPr>
        <w:t xml:space="preserve"> </w:t>
      </w:r>
      <w:r>
        <w:t>de</w:t>
      </w:r>
      <w:r>
        <w:rPr>
          <w:spacing w:val="-9"/>
        </w:rPr>
        <w:t xml:space="preserve"> </w:t>
      </w:r>
      <w:r>
        <w:t>ingresar</w:t>
      </w:r>
      <w:r>
        <w:rPr>
          <w:spacing w:val="-9"/>
        </w:rPr>
        <w:t xml:space="preserve"> </w:t>
      </w:r>
      <w:r>
        <w:t>a</w:t>
      </w:r>
      <w:r>
        <w:rPr>
          <w:spacing w:val="-11"/>
        </w:rPr>
        <w:t xml:space="preserve"> </w:t>
      </w:r>
      <w:r>
        <w:t>un</w:t>
      </w:r>
      <w:r>
        <w:rPr>
          <w:spacing w:val="-10"/>
        </w:rPr>
        <w:t xml:space="preserve"> </w:t>
      </w:r>
      <w:r>
        <w:t>grupo</w:t>
      </w:r>
      <w:r>
        <w:rPr>
          <w:spacing w:val="-10"/>
        </w:rPr>
        <w:t xml:space="preserve"> </w:t>
      </w:r>
      <w:r>
        <w:t>armado,</w:t>
      </w:r>
      <w:r>
        <w:rPr>
          <w:spacing w:val="-10"/>
        </w:rPr>
        <w:t xml:space="preserve"> </w:t>
      </w:r>
      <w:r>
        <w:t>pueden</w:t>
      </w:r>
      <w:r>
        <w:rPr>
          <w:spacing w:val="-10"/>
        </w:rPr>
        <w:t xml:space="preserve"> </w:t>
      </w:r>
      <w:r>
        <w:t>influir con la misma fuerza en la capacidad autorreflexiva de los perpetradores al momento de reconocer su responsabilidad, como se describe en el siguiente relato:</w:t>
      </w:r>
    </w:p>
    <w:p w:rsidR="003804AC" w:rsidRDefault="00AF18A5" w:rsidP="00CC3C78">
      <w:r>
        <w:t>«Los</w:t>
      </w:r>
      <w:r>
        <w:rPr>
          <w:spacing w:val="-5"/>
        </w:rPr>
        <w:t xml:space="preserve"> </w:t>
      </w:r>
      <w:r>
        <w:t>oficiales</w:t>
      </w:r>
      <w:r>
        <w:rPr>
          <w:spacing w:val="-5"/>
        </w:rPr>
        <w:t xml:space="preserve"> </w:t>
      </w:r>
      <w:r>
        <w:t>de</w:t>
      </w:r>
      <w:r>
        <w:rPr>
          <w:spacing w:val="-5"/>
        </w:rPr>
        <w:t xml:space="preserve"> </w:t>
      </w:r>
      <w:r>
        <w:t>alto</w:t>
      </w:r>
      <w:r>
        <w:rPr>
          <w:spacing w:val="-5"/>
        </w:rPr>
        <w:t xml:space="preserve"> </w:t>
      </w:r>
      <w:r>
        <w:t>grado</w:t>
      </w:r>
      <w:r>
        <w:rPr>
          <w:spacing w:val="-5"/>
        </w:rPr>
        <w:t xml:space="preserve"> </w:t>
      </w:r>
      <w:r>
        <w:t>vivíamos</w:t>
      </w:r>
      <w:r>
        <w:rPr>
          <w:spacing w:val="-5"/>
        </w:rPr>
        <w:t xml:space="preserve"> </w:t>
      </w:r>
      <w:r>
        <w:t>en</w:t>
      </w:r>
      <w:r>
        <w:rPr>
          <w:spacing w:val="-5"/>
        </w:rPr>
        <w:t xml:space="preserve"> </w:t>
      </w:r>
      <w:r>
        <w:t>una</w:t>
      </w:r>
      <w:r>
        <w:rPr>
          <w:spacing w:val="-5"/>
        </w:rPr>
        <w:t xml:space="preserve"> </w:t>
      </w:r>
      <w:r>
        <w:t>burbujita,</w:t>
      </w:r>
      <w:r>
        <w:rPr>
          <w:spacing w:val="-5"/>
        </w:rPr>
        <w:t xml:space="preserve"> </w:t>
      </w:r>
      <w:r>
        <w:t>una</w:t>
      </w:r>
      <w:r>
        <w:rPr>
          <w:spacing w:val="-5"/>
        </w:rPr>
        <w:t xml:space="preserve"> </w:t>
      </w:r>
      <w:r>
        <w:t>zona</w:t>
      </w:r>
      <w:r>
        <w:rPr>
          <w:spacing w:val="-5"/>
        </w:rPr>
        <w:t xml:space="preserve"> </w:t>
      </w:r>
      <w:r>
        <w:t>de</w:t>
      </w:r>
      <w:r>
        <w:rPr>
          <w:spacing w:val="-5"/>
        </w:rPr>
        <w:t xml:space="preserve"> </w:t>
      </w:r>
      <w:r>
        <w:t>confort</w:t>
      </w:r>
      <w:r>
        <w:rPr>
          <w:spacing w:val="-4"/>
        </w:rPr>
        <w:t xml:space="preserve"> </w:t>
      </w:r>
      <w:r>
        <w:t>buena,</w:t>
      </w:r>
      <w:r>
        <w:rPr>
          <w:spacing w:val="-5"/>
        </w:rPr>
        <w:t xml:space="preserve"> </w:t>
      </w:r>
      <w:r>
        <w:t>donde teníamos</w:t>
      </w:r>
      <w:r>
        <w:rPr>
          <w:spacing w:val="-15"/>
        </w:rPr>
        <w:t xml:space="preserve"> </w:t>
      </w:r>
      <w:r>
        <w:t>la</w:t>
      </w:r>
      <w:r>
        <w:rPr>
          <w:spacing w:val="-15"/>
        </w:rPr>
        <w:t xml:space="preserve"> </w:t>
      </w:r>
      <w:r>
        <w:t>razón;</w:t>
      </w:r>
      <w:r>
        <w:rPr>
          <w:spacing w:val="-15"/>
        </w:rPr>
        <w:t xml:space="preserve"> </w:t>
      </w:r>
      <w:r>
        <w:t>nos</w:t>
      </w:r>
      <w:r>
        <w:rPr>
          <w:spacing w:val="-15"/>
        </w:rPr>
        <w:t xml:space="preserve"> </w:t>
      </w:r>
      <w:r>
        <w:t>fueron</w:t>
      </w:r>
      <w:r>
        <w:rPr>
          <w:spacing w:val="-15"/>
        </w:rPr>
        <w:t xml:space="preserve"> </w:t>
      </w:r>
      <w:r>
        <w:t>inculcando</w:t>
      </w:r>
      <w:r>
        <w:rPr>
          <w:spacing w:val="-15"/>
        </w:rPr>
        <w:t xml:space="preserve"> </w:t>
      </w:r>
      <w:r>
        <w:t>esta</w:t>
      </w:r>
      <w:r>
        <w:rPr>
          <w:spacing w:val="-15"/>
        </w:rPr>
        <w:t xml:space="preserve"> </w:t>
      </w:r>
      <w:r>
        <w:t>forma</w:t>
      </w:r>
      <w:r>
        <w:rPr>
          <w:spacing w:val="-15"/>
        </w:rPr>
        <w:t xml:space="preserve"> </w:t>
      </w:r>
      <w:r>
        <w:t>de</w:t>
      </w:r>
      <w:r>
        <w:rPr>
          <w:spacing w:val="-15"/>
        </w:rPr>
        <w:t xml:space="preserve"> </w:t>
      </w:r>
      <w:r>
        <w:t>ser</w:t>
      </w:r>
      <w:r>
        <w:rPr>
          <w:spacing w:val="-15"/>
        </w:rPr>
        <w:t xml:space="preserve"> </w:t>
      </w:r>
      <w:r>
        <w:t>donde</w:t>
      </w:r>
      <w:r>
        <w:rPr>
          <w:spacing w:val="-15"/>
        </w:rPr>
        <w:t xml:space="preserve"> </w:t>
      </w:r>
      <w:r>
        <w:t>las</w:t>
      </w:r>
      <w:r>
        <w:rPr>
          <w:spacing w:val="-15"/>
        </w:rPr>
        <w:t xml:space="preserve"> </w:t>
      </w:r>
      <w:r>
        <w:t>cosas</w:t>
      </w:r>
      <w:r>
        <w:rPr>
          <w:spacing w:val="-15"/>
        </w:rPr>
        <w:t xml:space="preserve"> </w:t>
      </w:r>
      <w:r>
        <w:t>son</w:t>
      </w:r>
      <w:r>
        <w:rPr>
          <w:spacing w:val="-15"/>
        </w:rPr>
        <w:t xml:space="preserve"> </w:t>
      </w:r>
      <w:r>
        <w:t>como</w:t>
      </w:r>
      <w:r>
        <w:rPr>
          <w:spacing w:val="-15"/>
        </w:rPr>
        <w:t xml:space="preserve"> </w:t>
      </w:r>
      <w:r>
        <w:t>nosotros decimos y somos los mejores. Cuando a ti te sacan de ese camino y te toca enfrentarte a las cosas más duras, entre esas estar privado de la libertad, tuve ocho años para pensar si valió la pena haber estado en la cárcel por una institución y un Gobierno. Todo eso tan difícil te pone a pensar, al primer año no, pero con el tiempo te va doblegando hasta un punto donde reaccionas o reaccionas: ¿yo por qué me tenía que matar con unas personas que al final sufrieron</w:t>
      </w:r>
      <w:r>
        <w:rPr>
          <w:spacing w:val="-4"/>
        </w:rPr>
        <w:t xml:space="preserve"> </w:t>
      </w:r>
      <w:r>
        <w:t>lo</w:t>
      </w:r>
      <w:r>
        <w:rPr>
          <w:spacing w:val="-5"/>
        </w:rPr>
        <w:t xml:space="preserve"> </w:t>
      </w:r>
      <w:r>
        <w:t>mismo</w:t>
      </w:r>
      <w:r>
        <w:rPr>
          <w:spacing w:val="-4"/>
        </w:rPr>
        <w:t xml:space="preserve"> </w:t>
      </w:r>
      <w:r>
        <w:t>que</w:t>
      </w:r>
      <w:r>
        <w:rPr>
          <w:spacing w:val="-5"/>
        </w:rPr>
        <w:t xml:space="preserve"> </w:t>
      </w:r>
      <w:r>
        <w:t>yo</w:t>
      </w:r>
      <w:r>
        <w:rPr>
          <w:spacing w:val="-4"/>
        </w:rPr>
        <w:t xml:space="preserve"> </w:t>
      </w:r>
      <w:r>
        <w:t>sufrí?</w:t>
      </w:r>
      <w:r>
        <w:rPr>
          <w:spacing w:val="-3"/>
        </w:rPr>
        <w:t xml:space="preserve"> </w:t>
      </w:r>
      <w:r>
        <w:t>En</w:t>
      </w:r>
      <w:r>
        <w:rPr>
          <w:spacing w:val="-5"/>
        </w:rPr>
        <w:t xml:space="preserve"> </w:t>
      </w:r>
      <w:r>
        <w:t>el</w:t>
      </w:r>
      <w:r>
        <w:rPr>
          <w:spacing w:val="-3"/>
        </w:rPr>
        <w:t xml:space="preserve"> </w:t>
      </w:r>
      <w:r>
        <w:t>monte</w:t>
      </w:r>
      <w:r>
        <w:rPr>
          <w:spacing w:val="-3"/>
        </w:rPr>
        <w:t xml:space="preserve"> </w:t>
      </w:r>
      <w:r>
        <w:t>sufríamos</w:t>
      </w:r>
      <w:r>
        <w:rPr>
          <w:spacing w:val="-3"/>
        </w:rPr>
        <w:t xml:space="preserve"> </w:t>
      </w:r>
      <w:r>
        <w:t>todos.</w:t>
      </w:r>
      <w:r>
        <w:rPr>
          <w:spacing w:val="-4"/>
        </w:rPr>
        <w:t xml:space="preserve"> </w:t>
      </w:r>
      <w:r>
        <w:t>No</w:t>
      </w:r>
      <w:r>
        <w:rPr>
          <w:spacing w:val="-4"/>
        </w:rPr>
        <w:t xml:space="preserve"> </w:t>
      </w:r>
      <w:r>
        <w:t>podemos</w:t>
      </w:r>
      <w:r>
        <w:rPr>
          <w:spacing w:val="-3"/>
        </w:rPr>
        <w:t xml:space="preserve"> </w:t>
      </w:r>
      <w:r>
        <w:t>echar</w:t>
      </w:r>
      <w:r>
        <w:rPr>
          <w:spacing w:val="-3"/>
        </w:rPr>
        <w:t xml:space="preserve"> </w:t>
      </w:r>
      <w:r>
        <w:t>para</w:t>
      </w:r>
      <w:r>
        <w:rPr>
          <w:spacing w:val="-3"/>
        </w:rPr>
        <w:t xml:space="preserve"> </w:t>
      </w:r>
      <w:r>
        <w:t>atrás el reloj, tenemos que afrontar y salir adelante con lo que ya pasó y lo que viene»</w:t>
      </w:r>
      <w:r w:rsidR="00CC3C78">
        <w:rPr>
          <w:rStyle w:val="Refdenotaalpie"/>
        </w:rPr>
        <w:footnoteReference w:id="1152"/>
      </w:r>
      <w:r>
        <w:t>.</w:t>
      </w:r>
    </w:p>
    <w:p w:rsidR="003804AC" w:rsidRDefault="00AF18A5" w:rsidP="00CC3C78">
      <w:r>
        <w:lastRenderedPageBreak/>
        <w:t>Un factor de crisis en los militares, que ha permitido avanzar en los reconocimientos, es la aceptación de la fortaleza de la fragilidad. Los militares participantes de los procesos de reconocimiento han transitado en la deconstrucción de las identidades sexistas, mantenidas y fortalecidas por la formación y honor militar, como lo resume este testimonio de un exmilitar responsable de ejecuciones extrajudiciales:</w:t>
      </w:r>
    </w:p>
    <w:p w:rsidR="003804AC" w:rsidRDefault="00AF18A5" w:rsidP="00CC3C78">
      <w:r>
        <w:t>«No,</w:t>
      </w:r>
      <w:r>
        <w:rPr>
          <w:spacing w:val="-2"/>
        </w:rPr>
        <w:t xml:space="preserve"> </w:t>
      </w:r>
      <w:r>
        <w:t>pues</w:t>
      </w:r>
      <w:r>
        <w:rPr>
          <w:spacing w:val="-2"/>
        </w:rPr>
        <w:t xml:space="preserve"> </w:t>
      </w:r>
      <w:r>
        <w:t>allá</w:t>
      </w:r>
      <w:r>
        <w:rPr>
          <w:spacing w:val="-2"/>
        </w:rPr>
        <w:t xml:space="preserve"> </w:t>
      </w:r>
      <w:r>
        <w:t>es</w:t>
      </w:r>
      <w:r>
        <w:rPr>
          <w:spacing w:val="-2"/>
        </w:rPr>
        <w:t xml:space="preserve"> </w:t>
      </w:r>
      <w:r>
        <w:t>berraco</w:t>
      </w:r>
      <w:r>
        <w:rPr>
          <w:spacing w:val="-4"/>
        </w:rPr>
        <w:t xml:space="preserve"> </w:t>
      </w:r>
      <w:r>
        <w:t>y</w:t>
      </w:r>
      <w:r>
        <w:rPr>
          <w:spacing w:val="-3"/>
        </w:rPr>
        <w:t xml:space="preserve"> </w:t>
      </w:r>
      <w:r>
        <w:t>si</w:t>
      </w:r>
      <w:r>
        <w:rPr>
          <w:spacing w:val="-2"/>
        </w:rPr>
        <w:t xml:space="preserve"> </w:t>
      </w:r>
      <w:r>
        <w:t>usted</w:t>
      </w:r>
      <w:r>
        <w:rPr>
          <w:spacing w:val="-2"/>
        </w:rPr>
        <w:t xml:space="preserve"> </w:t>
      </w:r>
      <w:r>
        <w:t>llora,</w:t>
      </w:r>
      <w:r>
        <w:rPr>
          <w:spacing w:val="-2"/>
        </w:rPr>
        <w:t xml:space="preserve"> </w:t>
      </w:r>
      <w:r>
        <w:t>lloré</w:t>
      </w:r>
      <w:r>
        <w:rPr>
          <w:spacing w:val="-2"/>
        </w:rPr>
        <w:t xml:space="preserve"> </w:t>
      </w:r>
      <w:r>
        <w:t>solito</w:t>
      </w:r>
      <w:r>
        <w:rPr>
          <w:spacing w:val="-2"/>
        </w:rPr>
        <w:t xml:space="preserve"> </w:t>
      </w:r>
      <w:r>
        <w:t>por</w:t>
      </w:r>
      <w:r>
        <w:rPr>
          <w:spacing w:val="-2"/>
        </w:rPr>
        <w:t xml:space="preserve"> </w:t>
      </w:r>
      <w:r>
        <w:t>allá,</w:t>
      </w:r>
      <w:r>
        <w:rPr>
          <w:spacing w:val="-4"/>
        </w:rPr>
        <w:t xml:space="preserve"> </w:t>
      </w:r>
      <w:r>
        <w:t>y</w:t>
      </w:r>
      <w:r>
        <w:rPr>
          <w:spacing w:val="-2"/>
        </w:rPr>
        <w:t xml:space="preserve"> </w:t>
      </w:r>
      <w:r>
        <w:t>muchas</w:t>
      </w:r>
      <w:r>
        <w:rPr>
          <w:spacing w:val="-2"/>
        </w:rPr>
        <w:t xml:space="preserve"> </w:t>
      </w:r>
      <w:r>
        <w:t>veces</w:t>
      </w:r>
      <w:r>
        <w:rPr>
          <w:spacing w:val="-2"/>
        </w:rPr>
        <w:t xml:space="preserve"> </w:t>
      </w:r>
      <w:r>
        <w:t>uno</w:t>
      </w:r>
      <w:r>
        <w:rPr>
          <w:spacing w:val="-2"/>
        </w:rPr>
        <w:t xml:space="preserve"> </w:t>
      </w:r>
      <w:r>
        <w:t>llora</w:t>
      </w:r>
      <w:r>
        <w:rPr>
          <w:spacing w:val="-3"/>
        </w:rPr>
        <w:t xml:space="preserve"> </w:t>
      </w:r>
      <w:r>
        <w:t>y muchas</w:t>
      </w:r>
      <w:r>
        <w:rPr>
          <w:spacing w:val="-3"/>
        </w:rPr>
        <w:t xml:space="preserve"> </w:t>
      </w:r>
      <w:r>
        <w:t>veces</w:t>
      </w:r>
      <w:r>
        <w:rPr>
          <w:spacing w:val="-3"/>
        </w:rPr>
        <w:t xml:space="preserve"> </w:t>
      </w:r>
      <w:r>
        <w:t>uno</w:t>
      </w:r>
      <w:r>
        <w:rPr>
          <w:spacing w:val="-4"/>
        </w:rPr>
        <w:t xml:space="preserve"> </w:t>
      </w:r>
      <w:r>
        <w:t>dice</w:t>
      </w:r>
      <w:r>
        <w:rPr>
          <w:spacing w:val="-3"/>
        </w:rPr>
        <w:t xml:space="preserve"> </w:t>
      </w:r>
      <w:r>
        <w:t>no</w:t>
      </w:r>
      <w:r>
        <w:rPr>
          <w:spacing w:val="-4"/>
        </w:rPr>
        <w:t xml:space="preserve"> </w:t>
      </w:r>
      <w:r>
        <w:t>puedo.</w:t>
      </w:r>
      <w:r>
        <w:rPr>
          <w:spacing w:val="-4"/>
        </w:rPr>
        <w:t xml:space="preserve"> </w:t>
      </w:r>
      <w:r>
        <w:t>Pero</w:t>
      </w:r>
      <w:r>
        <w:rPr>
          <w:spacing w:val="-4"/>
        </w:rPr>
        <w:t xml:space="preserve"> </w:t>
      </w:r>
      <w:r>
        <w:t>entonces</w:t>
      </w:r>
      <w:r>
        <w:rPr>
          <w:spacing w:val="-5"/>
        </w:rPr>
        <w:t xml:space="preserve"> </w:t>
      </w:r>
      <w:r>
        <w:t>a</w:t>
      </w:r>
      <w:r>
        <w:rPr>
          <w:spacing w:val="-3"/>
        </w:rPr>
        <w:t xml:space="preserve"> </w:t>
      </w:r>
      <w:r>
        <w:t>mí</w:t>
      </w:r>
      <w:r>
        <w:rPr>
          <w:spacing w:val="-3"/>
        </w:rPr>
        <w:t xml:space="preserve"> </w:t>
      </w:r>
      <w:r>
        <w:t>me</w:t>
      </w:r>
      <w:r>
        <w:rPr>
          <w:spacing w:val="-3"/>
        </w:rPr>
        <w:t xml:space="preserve"> </w:t>
      </w:r>
      <w:r>
        <w:t>enseñaron</w:t>
      </w:r>
      <w:r>
        <w:rPr>
          <w:spacing w:val="-4"/>
        </w:rPr>
        <w:t xml:space="preserve"> </w:t>
      </w:r>
      <w:r>
        <w:t>desde</w:t>
      </w:r>
      <w:r>
        <w:rPr>
          <w:spacing w:val="-3"/>
        </w:rPr>
        <w:t xml:space="preserve"> </w:t>
      </w:r>
      <w:r>
        <w:t>la</w:t>
      </w:r>
      <w:r>
        <w:rPr>
          <w:spacing w:val="-3"/>
        </w:rPr>
        <w:t xml:space="preserve"> </w:t>
      </w:r>
      <w:r>
        <w:t>Escuela</w:t>
      </w:r>
      <w:r>
        <w:rPr>
          <w:spacing w:val="-5"/>
        </w:rPr>
        <w:t xml:space="preserve"> </w:t>
      </w:r>
      <w:r>
        <w:t>Militar que</w:t>
      </w:r>
      <w:r>
        <w:rPr>
          <w:spacing w:val="-5"/>
        </w:rPr>
        <w:t xml:space="preserve"> </w:t>
      </w:r>
      <w:r>
        <w:t>uno</w:t>
      </w:r>
      <w:r>
        <w:rPr>
          <w:spacing w:val="-5"/>
        </w:rPr>
        <w:t xml:space="preserve"> </w:t>
      </w:r>
      <w:r>
        <w:t>no</w:t>
      </w:r>
      <w:r>
        <w:rPr>
          <w:spacing w:val="-6"/>
        </w:rPr>
        <w:t xml:space="preserve"> </w:t>
      </w:r>
      <w:r>
        <w:t>puede</w:t>
      </w:r>
      <w:r>
        <w:rPr>
          <w:spacing w:val="-5"/>
        </w:rPr>
        <w:t xml:space="preserve"> </w:t>
      </w:r>
      <w:r>
        <w:t>doblegarse</w:t>
      </w:r>
      <w:r>
        <w:rPr>
          <w:spacing w:val="-5"/>
        </w:rPr>
        <w:t xml:space="preserve"> </w:t>
      </w:r>
      <w:r>
        <w:t>y</w:t>
      </w:r>
      <w:r>
        <w:rPr>
          <w:spacing w:val="-6"/>
        </w:rPr>
        <w:t xml:space="preserve"> </w:t>
      </w:r>
      <w:r>
        <w:t>no</w:t>
      </w:r>
      <w:r>
        <w:rPr>
          <w:spacing w:val="-5"/>
        </w:rPr>
        <w:t xml:space="preserve"> </w:t>
      </w:r>
      <w:r>
        <w:t>puede</w:t>
      </w:r>
      <w:r>
        <w:rPr>
          <w:spacing w:val="-5"/>
        </w:rPr>
        <w:t xml:space="preserve"> </w:t>
      </w:r>
      <w:r>
        <w:t>mostrar</w:t>
      </w:r>
      <w:r>
        <w:rPr>
          <w:spacing w:val="-4"/>
        </w:rPr>
        <w:t xml:space="preserve"> </w:t>
      </w:r>
      <w:r>
        <w:t>ese</w:t>
      </w:r>
      <w:r>
        <w:rPr>
          <w:spacing w:val="-6"/>
        </w:rPr>
        <w:t xml:space="preserve"> </w:t>
      </w:r>
      <w:r>
        <w:t>lado</w:t>
      </w:r>
      <w:r>
        <w:rPr>
          <w:spacing w:val="-5"/>
        </w:rPr>
        <w:t xml:space="preserve"> </w:t>
      </w:r>
      <w:r>
        <w:t>frágil,</w:t>
      </w:r>
      <w:r>
        <w:rPr>
          <w:spacing w:val="-6"/>
        </w:rPr>
        <w:t xml:space="preserve"> </w:t>
      </w:r>
      <w:r>
        <w:t>porque</w:t>
      </w:r>
      <w:r>
        <w:rPr>
          <w:spacing w:val="-7"/>
        </w:rPr>
        <w:t xml:space="preserve"> </w:t>
      </w:r>
      <w:r>
        <w:t>si</w:t>
      </w:r>
      <w:r>
        <w:rPr>
          <w:spacing w:val="-4"/>
        </w:rPr>
        <w:t xml:space="preserve"> </w:t>
      </w:r>
      <w:r>
        <w:t>usted</w:t>
      </w:r>
      <w:r>
        <w:rPr>
          <w:spacing w:val="-6"/>
        </w:rPr>
        <w:t xml:space="preserve"> </w:t>
      </w:r>
      <w:r>
        <w:t>muestra</w:t>
      </w:r>
      <w:r>
        <w:rPr>
          <w:spacing w:val="-6"/>
        </w:rPr>
        <w:t xml:space="preserve"> </w:t>
      </w:r>
      <w:r>
        <w:t>esa fragilidad</w:t>
      </w:r>
      <w:r>
        <w:rPr>
          <w:spacing w:val="-11"/>
        </w:rPr>
        <w:t xml:space="preserve"> </w:t>
      </w:r>
      <w:r>
        <w:t>se</w:t>
      </w:r>
      <w:r>
        <w:rPr>
          <w:spacing w:val="-10"/>
        </w:rPr>
        <w:t xml:space="preserve"> </w:t>
      </w:r>
      <w:r>
        <w:t>prende</w:t>
      </w:r>
      <w:r>
        <w:rPr>
          <w:spacing w:val="-7"/>
        </w:rPr>
        <w:t xml:space="preserve"> </w:t>
      </w:r>
      <w:r>
        <w:t>para</w:t>
      </w:r>
      <w:r>
        <w:rPr>
          <w:spacing w:val="-10"/>
        </w:rPr>
        <w:t xml:space="preserve"> </w:t>
      </w:r>
      <w:r>
        <w:t>todo</w:t>
      </w:r>
      <w:r>
        <w:rPr>
          <w:spacing w:val="-9"/>
        </w:rPr>
        <w:t xml:space="preserve"> </w:t>
      </w:r>
      <w:r>
        <w:t>mundo</w:t>
      </w:r>
      <w:r>
        <w:rPr>
          <w:spacing w:val="-9"/>
        </w:rPr>
        <w:t xml:space="preserve"> </w:t>
      </w:r>
      <w:r>
        <w:t>y</w:t>
      </w:r>
      <w:r>
        <w:rPr>
          <w:spacing w:val="-9"/>
        </w:rPr>
        <w:t xml:space="preserve"> </w:t>
      </w:r>
      <w:r>
        <w:t>eso</w:t>
      </w:r>
      <w:r>
        <w:rPr>
          <w:spacing w:val="-8"/>
        </w:rPr>
        <w:t xml:space="preserve"> </w:t>
      </w:r>
      <w:r>
        <w:t>era</w:t>
      </w:r>
      <w:r>
        <w:rPr>
          <w:spacing w:val="-8"/>
        </w:rPr>
        <w:t xml:space="preserve"> </w:t>
      </w:r>
      <w:r>
        <w:t>lo</w:t>
      </w:r>
      <w:r>
        <w:rPr>
          <w:spacing w:val="-10"/>
        </w:rPr>
        <w:t xml:space="preserve"> </w:t>
      </w:r>
      <w:r>
        <w:t>que</w:t>
      </w:r>
      <w:r>
        <w:rPr>
          <w:spacing w:val="-7"/>
        </w:rPr>
        <w:t xml:space="preserve"> </w:t>
      </w:r>
      <w:r>
        <w:t>nos</w:t>
      </w:r>
      <w:r>
        <w:rPr>
          <w:spacing w:val="-8"/>
        </w:rPr>
        <w:t xml:space="preserve"> </w:t>
      </w:r>
      <w:r>
        <w:t>decían:</w:t>
      </w:r>
      <w:r>
        <w:rPr>
          <w:spacing w:val="-7"/>
        </w:rPr>
        <w:t xml:space="preserve"> </w:t>
      </w:r>
      <w:r>
        <w:t>“Usted</w:t>
      </w:r>
      <w:r>
        <w:rPr>
          <w:spacing w:val="-10"/>
        </w:rPr>
        <w:t xml:space="preserve"> </w:t>
      </w:r>
      <w:r>
        <w:t>tiene</w:t>
      </w:r>
      <w:r>
        <w:rPr>
          <w:spacing w:val="-8"/>
        </w:rPr>
        <w:t xml:space="preserve"> </w:t>
      </w:r>
      <w:r>
        <w:t>que</w:t>
      </w:r>
      <w:r>
        <w:rPr>
          <w:spacing w:val="-7"/>
        </w:rPr>
        <w:t xml:space="preserve"> </w:t>
      </w:r>
      <w:r>
        <w:t>ser</w:t>
      </w:r>
      <w:r>
        <w:rPr>
          <w:spacing w:val="-8"/>
        </w:rPr>
        <w:t xml:space="preserve"> </w:t>
      </w:r>
      <w:r>
        <w:t>el</w:t>
      </w:r>
      <w:r>
        <w:rPr>
          <w:spacing w:val="-7"/>
        </w:rPr>
        <w:t xml:space="preserve"> </w:t>
      </w:r>
      <w:r>
        <w:rPr>
          <w:spacing w:val="-4"/>
        </w:rPr>
        <w:t>tipo</w:t>
      </w:r>
      <w:bookmarkStart w:id="1451" w:name="_bookmark1276"/>
      <w:bookmarkStart w:id="1452" w:name="_bookmark1277"/>
      <w:bookmarkEnd w:id="1451"/>
      <w:bookmarkEnd w:id="1452"/>
      <w:r w:rsidR="00CC3C78">
        <w:t xml:space="preserve"> </w:t>
      </w:r>
      <w:r>
        <w:t>fuerte</w:t>
      </w:r>
      <w:r>
        <w:rPr>
          <w:spacing w:val="-3"/>
        </w:rPr>
        <w:t xml:space="preserve"> </w:t>
      </w:r>
      <w:r>
        <w:t>que</w:t>
      </w:r>
      <w:r>
        <w:rPr>
          <w:spacing w:val="-3"/>
        </w:rPr>
        <w:t xml:space="preserve"> </w:t>
      </w:r>
      <w:r>
        <w:t>da</w:t>
      </w:r>
      <w:r>
        <w:rPr>
          <w:spacing w:val="-3"/>
        </w:rPr>
        <w:t xml:space="preserve"> </w:t>
      </w:r>
      <w:r>
        <w:t>ejemplo”,</w:t>
      </w:r>
      <w:r>
        <w:rPr>
          <w:spacing w:val="-5"/>
        </w:rPr>
        <w:t xml:space="preserve"> </w:t>
      </w:r>
      <w:r>
        <w:t>pero</w:t>
      </w:r>
      <w:r>
        <w:rPr>
          <w:spacing w:val="-4"/>
        </w:rPr>
        <w:t xml:space="preserve"> </w:t>
      </w:r>
      <w:r>
        <w:t>si</w:t>
      </w:r>
      <w:r>
        <w:rPr>
          <w:spacing w:val="-3"/>
        </w:rPr>
        <w:t xml:space="preserve"> </w:t>
      </w:r>
      <w:r>
        <w:t>usted</w:t>
      </w:r>
      <w:r>
        <w:rPr>
          <w:spacing w:val="-5"/>
        </w:rPr>
        <w:t xml:space="preserve"> </w:t>
      </w:r>
      <w:r>
        <w:t>era</w:t>
      </w:r>
      <w:r>
        <w:rPr>
          <w:spacing w:val="-3"/>
        </w:rPr>
        <w:t xml:space="preserve"> </w:t>
      </w:r>
      <w:r>
        <w:t>el</w:t>
      </w:r>
      <w:r>
        <w:rPr>
          <w:spacing w:val="-3"/>
        </w:rPr>
        <w:t xml:space="preserve"> </w:t>
      </w:r>
      <w:r>
        <w:t>tipo</w:t>
      </w:r>
      <w:r>
        <w:rPr>
          <w:spacing w:val="-5"/>
        </w:rPr>
        <w:t xml:space="preserve"> </w:t>
      </w:r>
      <w:r>
        <w:t>frágil,</w:t>
      </w:r>
      <w:r>
        <w:rPr>
          <w:spacing w:val="-4"/>
        </w:rPr>
        <w:t xml:space="preserve"> </w:t>
      </w:r>
      <w:r>
        <w:t>usted</w:t>
      </w:r>
      <w:r>
        <w:rPr>
          <w:spacing w:val="-5"/>
        </w:rPr>
        <w:t xml:space="preserve"> </w:t>
      </w:r>
      <w:r>
        <w:t>como</w:t>
      </w:r>
      <w:r>
        <w:rPr>
          <w:spacing w:val="-4"/>
        </w:rPr>
        <w:t xml:space="preserve"> </w:t>
      </w:r>
      <w:r>
        <w:t>que</w:t>
      </w:r>
      <w:r>
        <w:rPr>
          <w:spacing w:val="-3"/>
        </w:rPr>
        <w:t xml:space="preserve"> </w:t>
      </w:r>
      <w:r>
        <w:t>contagiaba</w:t>
      </w:r>
      <w:r>
        <w:rPr>
          <w:spacing w:val="-3"/>
        </w:rPr>
        <w:t xml:space="preserve"> </w:t>
      </w:r>
      <w:r>
        <w:t>e</w:t>
      </w:r>
      <w:r>
        <w:rPr>
          <w:spacing w:val="-3"/>
        </w:rPr>
        <w:t xml:space="preserve"> </w:t>
      </w:r>
      <w:r>
        <w:t>instruía, entonces</w:t>
      </w:r>
      <w:r>
        <w:rPr>
          <w:spacing w:val="-9"/>
        </w:rPr>
        <w:t xml:space="preserve"> </w:t>
      </w:r>
      <w:r>
        <w:t>uno</w:t>
      </w:r>
      <w:r>
        <w:rPr>
          <w:spacing w:val="-10"/>
        </w:rPr>
        <w:t xml:space="preserve"> </w:t>
      </w:r>
      <w:r>
        <w:t>muchas</w:t>
      </w:r>
      <w:r>
        <w:rPr>
          <w:spacing w:val="-9"/>
        </w:rPr>
        <w:t xml:space="preserve"> </w:t>
      </w:r>
      <w:r>
        <w:t>veces</w:t>
      </w:r>
      <w:r>
        <w:rPr>
          <w:spacing w:val="-9"/>
        </w:rPr>
        <w:t xml:space="preserve"> </w:t>
      </w:r>
      <w:r>
        <w:t>pasaban</w:t>
      </w:r>
      <w:r>
        <w:rPr>
          <w:spacing w:val="-11"/>
        </w:rPr>
        <w:t xml:space="preserve"> </w:t>
      </w:r>
      <w:r>
        <w:t>muchas</w:t>
      </w:r>
      <w:r>
        <w:rPr>
          <w:spacing w:val="-9"/>
        </w:rPr>
        <w:t xml:space="preserve"> </w:t>
      </w:r>
      <w:r>
        <w:t>cosas</w:t>
      </w:r>
      <w:r>
        <w:rPr>
          <w:spacing w:val="-10"/>
        </w:rPr>
        <w:t xml:space="preserve"> </w:t>
      </w:r>
      <w:r>
        <w:t>y</w:t>
      </w:r>
      <w:r>
        <w:rPr>
          <w:spacing w:val="-10"/>
        </w:rPr>
        <w:t xml:space="preserve"> </w:t>
      </w:r>
      <w:r>
        <w:t>usted</w:t>
      </w:r>
      <w:r>
        <w:rPr>
          <w:spacing w:val="-10"/>
        </w:rPr>
        <w:t xml:space="preserve"> </w:t>
      </w:r>
      <w:r>
        <w:t>batallaba</w:t>
      </w:r>
      <w:r>
        <w:rPr>
          <w:spacing w:val="-9"/>
        </w:rPr>
        <w:t xml:space="preserve"> </w:t>
      </w:r>
      <w:r>
        <w:t>todo</w:t>
      </w:r>
      <w:r>
        <w:rPr>
          <w:spacing w:val="-10"/>
        </w:rPr>
        <w:t xml:space="preserve"> </w:t>
      </w:r>
      <w:r>
        <w:t>el</w:t>
      </w:r>
      <w:r>
        <w:rPr>
          <w:spacing w:val="-9"/>
        </w:rPr>
        <w:t xml:space="preserve"> </w:t>
      </w:r>
      <w:r>
        <w:t>día</w:t>
      </w:r>
      <w:r>
        <w:rPr>
          <w:spacing w:val="-9"/>
        </w:rPr>
        <w:t xml:space="preserve"> </w:t>
      </w:r>
      <w:r>
        <w:t>y</w:t>
      </w:r>
      <w:r>
        <w:rPr>
          <w:spacing w:val="-10"/>
        </w:rPr>
        <w:t xml:space="preserve"> </w:t>
      </w:r>
      <w:r>
        <w:t>usted</w:t>
      </w:r>
      <w:r>
        <w:rPr>
          <w:spacing w:val="-10"/>
        </w:rPr>
        <w:t xml:space="preserve"> </w:t>
      </w:r>
      <w:r>
        <w:t>como a las cuatro de la tarde, usted ya se metía a su cambuche, o uno se metía y lloraba solo»</w:t>
      </w:r>
      <w:r w:rsidR="00CC3C78">
        <w:rPr>
          <w:rStyle w:val="Refdenotaalpie"/>
        </w:rPr>
        <w:footnoteReference w:id="1153"/>
      </w:r>
      <w:r>
        <w:t>.</w:t>
      </w:r>
    </w:p>
    <w:p w:rsidR="003804AC" w:rsidRDefault="00AF18A5" w:rsidP="00CC3C78">
      <w:r>
        <w:t>Para algunos exmilitares, el cuestionamiento de valores como el honor, la lealtad y el heroísmo han sido un camino que conduce a reflexiones éticas significativas. En principio, el reconocimiento de que la decisión vital de hacer parte de las Fuerzas Armadas está inspirada principalmente en dichos valores, o, en segundo lugar, que el temor a perder o renunciar a los mismos como ejes centrales de su identidad determinó en gran medida la participación en hechos atroces, pasando por alto los cuestionamientos que en su momento se hicieron frente a lo que estaba ocurriendo. Y finalmente darse cuenta que al reconocer responsabilidad se reivindican esos valores dándoles otro lugar.</w:t>
      </w:r>
    </w:p>
    <w:p w:rsidR="0011361F" w:rsidRDefault="00AF18A5" w:rsidP="004A6EF4">
      <w:pPr>
        <w:pStyle w:val="Ttulo4"/>
        <w:numPr>
          <w:ilvl w:val="2"/>
          <w:numId w:val="16"/>
        </w:numPr>
      </w:pPr>
      <w:bookmarkStart w:id="1453" w:name="11.4.3._El_poder_y_sentido_de_lo_simbóli"/>
      <w:bookmarkEnd w:id="1453"/>
      <w:r>
        <w:lastRenderedPageBreak/>
        <w:t>El</w:t>
      </w:r>
      <w:r>
        <w:rPr>
          <w:spacing w:val="-4"/>
        </w:rPr>
        <w:t xml:space="preserve"> </w:t>
      </w:r>
      <w:r>
        <w:t>poder</w:t>
      </w:r>
      <w:r>
        <w:rPr>
          <w:spacing w:val="-1"/>
        </w:rPr>
        <w:t xml:space="preserve"> </w:t>
      </w:r>
      <w:r>
        <w:t>y</w:t>
      </w:r>
      <w:r>
        <w:rPr>
          <w:spacing w:val="-1"/>
        </w:rPr>
        <w:t xml:space="preserve"> </w:t>
      </w:r>
      <w:r w:rsidRPr="00CC3C78">
        <w:t>sentido</w:t>
      </w:r>
      <w:r>
        <w:rPr>
          <w:spacing w:val="-1"/>
        </w:rPr>
        <w:t xml:space="preserve"> </w:t>
      </w:r>
      <w:r>
        <w:t>de</w:t>
      </w:r>
      <w:r>
        <w:rPr>
          <w:spacing w:val="-1"/>
        </w:rPr>
        <w:t xml:space="preserve"> </w:t>
      </w:r>
      <w:r>
        <w:t>lo</w:t>
      </w:r>
      <w:r>
        <w:rPr>
          <w:spacing w:val="-1"/>
        </w:rPr>
        <w:t xml:space="preserve"> </w:t>
      </w:r>
      <w:r>
        <w:rPr>
          <w:spacing w:val="-2"/>
        </w:rPr>
        <w:t>simbólico</w:t>
      </w:r>
    </w:p>
    <w:p w:rsidR="0011361F" w:rsidRDefault="00AF18A5" w:rsidP="00CC3C78">
      <w:r>
        <w:t>En los procesos de reconocimiento, los símbolos son medios a través de los cuales se expresan</w:t>
      </w:r>
      <w:r>
        <w:rPr>
          <w:spacing w:val="-6"/>
        </w:rPr>
        <w:t xml:space="preserve"> </w:t>
      </w:r>
      <w:r>
        <w:t>sentimientos</w:t>
      </w:r>
      <w:r>
        <w:rPr>
          <w:spacing w:val="-6"/>
        </w:rPr>
        <w:t xml:space="preserve"> </w:t>
      </w:r>
      <w:r>
        <w:t>y</w:t>
      </w:r>
      <w:r>
        <w:rPr>
          <w:spacing w:val="-6"/>
        </w:rPr>
        <w:t xml:space="preserve"> </w:t>
      </w:r>
      <w:r>
        <w:t>experiencias</w:t>
      </w:r>
      <w:r>
        <w:rPr>
          <w:spacing w:val="-6"/>
        </w:rPr>
        <w:t xml:space="preserve"> </w:t>
      </w:r>
      <w:r>
        <w:t>con</w:t>
      </w:r>
      <w:r>
        <w:rPr>
          <w:spacing w:val="-6"/>
        </w:rPr>
        <w:t xml:space="preserve"> </w:t>
      </w:r>
      <w:r>
        <w:t>un</w:t>
      </w:r>
      <w:r>
        <w:rPr>
          <w:spacing w:val="-6"/>
        </w:rPr>
        <w:t xml:space="preserve"> </w:t>
      </w:r>
      <w:r>
        <w:t>lenguaje</w:t>
      </w:r>
      <w:r>
        <w:rPr>
          <w:spacing w:val="-6"/>
        </w:rPr>
        <w:t xml:space="preserve"> </w:t>
      </w:r>
      <w:r>
        <w:t>en</w:t>
      </w:r>
      <w:r>
        <w:rPr>
          <w:spacing w:val="-6"/>
        </w:rPr>
        <w:t xml:space="preserve"> </w:t>
      </w:r>
      <w:r>
        <w:t>el</w:t>
      </w:r>
      <w:r>
        <w:rPr>
          <w:spacing w:val="-6"/>
        </w:rPr>
        <w:t xml:space="preserve"> </w:t>
      </w:r>
      <w:r>
        <w:t>que</w:t>
      </w:r>
      <w:r>
        <w:rPr>
          <w:spacing w:val="-6"/>
        </w:rPr>
        <w:t xml:space="preserve"> </w:t>
      </w:r>
      <w:r>
        <w:t>reconocerse:</w:t>
      </w:r>
      <w:r>
        <w:rPr>
          <w:spacing w:val="-6"/>
        </w:rPr>
        <w:t xml:space="preserve"> </w:t>
      </w:r>
      <w:r>
        <w:t>el</w:t>
      </w:r>
      <w:r>
        <w:rPr>
          <w:spacing w:val="-6"/>
        </w:rPr>
        <w:t xml:space="preserve"> </w:t>
      </w:r>
      <w:r>
        <w:t>del</w:t>
      </w:r>
      <w:r>
        <w:rPr>
          <w:spacing w:val="-6"/>
        </w:rPr>
        <w:t xml:space="preserve"> </w:t>
      </w:r>
      <w:r>
        <w:t>miedo,</w:t>
      </w:r>
      <w:r>
        <w:rPr>
          <w:spacing w:val="-6"/>
        </w:rPr>
        <w:t xml:space="preserve"> </w:t>
      </w:r>
      <w:r>
        <w:t>el temor</w:t>
      </w:r>
      <w:r>
        <w:rPr>
          <w:spacing w:val="-4"/>
        </w:rPr>
        <w:t xml:space="preserve"> </w:t>
      </w:r>
      <w:r>
        <w:t>y</w:t>
      </w:r>
      <w:r>
        <w:rPr>
          <w:spacing w:val="-5"/>
        </w:rPr>
        <w:t xml:space="preserve"> </w:t>
      </w:r>
      <w:r>
        <w:t>la</w:t>
      </w:r>
      <w:r>
        <w:rPr>
          <w:spacing w:val="-5"/>
        </w:rPr>
        <w:t xml:space="preserve"> </w:t>
      </w:r>
      <w:r>
        <w:t>zozobra</w:t>
      </w:r>
      <w:r>
        <w:rPr>
          <w:spacing w:val="-5"/>
        </w:rPr>
        <w:t xml:space="preserve"> </w:t>
      </w:r>
      <w:r>
        <w:t>en</w:t>
      </w:r>
      <w:r>
        <w:rPr>
          <w:spacing w:val="-5"/>
        </w:rPr>
        <w:t xml:space="preserve"> </w:t>
      </w:r>
      <w:r>
        <w:t>el</w:t>
      </w:r>
      <w:r>
        <w:rPr>
          <w:spacing w:val="-6"/>
        </w:rPr>
        <w:t xml:space="preserve"> </w:t>
      </w:r>
      <w:r>
        <w:t>que</w:t>
      </w:r>
      <w:r>
        <w:rPr>
          <w:spacing w:val="-5"/>
        </w:rPr>
        <w:t xml:space="preserve"> </w:t>
      </w:r>
      <w:r>
        <w:t>han</w:t>
      </w:r>
      <w:r>
        <w:rPr>
          <w:spacing w:val="-5"/>
        </w:rPr>
        <w:t xml:space="preserve"> </w:t>
      </w:r>
      <w:r>
        <w:t>vivido</w:t>
      </w:r>
      <w:r>
        <w:rPr>
          <w:spacing w:val="-5"/>
        </w:rPr>
        <w:t xml:space="preserve"> </w:t>
      </w:r>
      <w:r>
        <w:t>muchas</w:t>
      </w:r>
      <w:r>
        <w:rPr>
          <w:spacing w:val="-5"/>
        </w:rPr>
        <w:t xml:space="preserve"> </w:t>
      </w:r>
      <w:r>
        <w:t>comunidades</w:t>
      </w:r>
      <w:r>
        <w:rPr>
          <w:spacing w:val="-6"/>
        </w:rPr>
        <w:t xml:space="preserve"> </w:t>
      </w:r>
      <w:r>
        <w:t>en</w:t>
      </w:r>
      <w:r>
        <w:rPr>
          <w:spacing w:val="-5"/>
        </w:rPr>
        <w:t xml:space="preserve"> </w:t>
      </w:r>
      <w:r>
        <w:t>las</w:t>
      </w:r>
      <w:r>
        <w:rPr>
          <w:spacing w:val="-5"/>
        </w:rPr>
        <w:t xml:space="preserve"> </w:t>
      </w:r>
      <w:r>
        <w:t>que</w:t>
      </w:r>
      <w:r>
        <w:rPr>
          <w:spacing w:val="-6"/>
        </w:rPr>
        <w:t xml:space="preserve"> </w:t>
      </w:r>
      <w:r>
        <w:t>la</w:t>
      </w:r>
      <w:r>
        <w:rPr>
          <w:spacing w:val="-6"/>
        </w:rPr>
        <w:t xml:space="preserve"> </w:t>
      </w:r>
      <w:r>
        <w:t>violencia</w:t>
      </w:r>
      <w:r>
        <w:rPr>
          <w:spacing w:val="-5"/>
        </w:rPr>
        <w:t xml:space="preserve"> </w:t>
      </w:r>
      <w:r>
        <w:t>armada no cesa, pero también se mantiene el propósito, el sentido. En los encuentros entre responsables y víctimas, no solo el cuerpo y las palabras tienen un lugar central en la experiencia. Lo simbólico cobra sentido cuando las palabras no son suficientes y permiten sacar</w:t>
      </w:r>
      <w:r>
        <w:rPr>
          <w:spacing w:val="-6"/>
        </w:rPr>
        <w:t xml:space="preserve"> </w:t>
      </w:r>
      <w:r>
        <w:t>a</w:t>
      </w:r>
      <w:r>
        <w:rPr>
          <w:spacing w:val="-5"/>
        </w:rPr>
        <w:t xml:space="preserve"> </w:t>
      </w:r>
      <w:r>
        <w:t>quienes</w:t>
      </w:r>
      <w:r>
        <w:rPr>
          <w:spacing w:val="-5"/>
        </w:rPr>
        <w:t xml:space="preserve"> </w:t>
      </w:r>
      <w:r>
        <w:t>participan</w:t>
      </w:r>
      <w:r>
        <w:rPr>
          <w:spacing w:val="-5"/>
        </w:rPr>
        <w:t xml:space="preserve"> </w:t>
      </w:r>
      <w:r>
        <w:t>de</w:t>
      </w:r>
      <w:r>
        <w:rPr>
          <w:spacing w:val="-5"/>
        </w:rPr>
        <w:t xml:space="preserve"> </w:t>
      </w:r>
      <w:r>
        <w:t>los</w:t>
      </w:r>
      <w:r>
        <w:rPr>
          <w:spacing w:val="-6"/>
        </w:rPr>
        <w:t xml:space="preserve"> </w:t>
      </w:r>
      <w:r>
        <w:t>lugares</w:t>
      </w:r>
      <w:r>
        <w:rPr>
          <w:spacing w:val="-5"/>
        </w:rPr>
        <w:t xml:space="preserve"> </w:t>
      </w:r>
      <w:r>
        <w:t>comunes,</w:t>
      </w:r>
      <w:r>
        <w:rPr>
          <w:spacing w:val="-5"/>
        </w:rPr>
        <w:t xml:space="preserve"> </w:t>
      </w:r>
      <w:r>
        <w:t>invitando</w:t>
      </w:r>
      <w:r>
        <w:rPr>
          <w:spacing w:val="-5"/>
        </w:rPr>
        <w:t xml:space="preserve"> </w:t>
      </w:r>
      <w:r>
        <w:t>a</w:t>
      </w:r>
      <w:r>
        <w:rPr>
          <w:spacing w:val="-6"/>
        </w:rPr>
        <w:t xml:space="preserve"> </w:t>
      </w:r>
      <w:r>
        <w:t>la</w:t>
      </w:r>
      <w:r>
        <w:rPr>
          <w:spacing w:val="-5"/>
        </w:rPr>
        <w:t xml:space="preserve"> </w:t>
      </w:r>
      <w:r>
        <w:t>exploración</w:t>
      </w:r>
      <w:r>
        <w:rPr>
          <w:spacing w:val="-5"/>
        </w:rPr>
        <w:t xml:space="preserve"> </w:t>
      </w:r>
      <w:r>
        <w:t>de</w:t>
      </w:r>
      <w:r>
        <w:rPr>
          <w:spacing w:val="-5"/>
        </w:rPr>
        <w:t xml:space="preserve"> </w:t>
      </w:r>
      <w:r>
        <w:t>sí</w:t>
      </w:r>
      <w:r>
        <w:rPr>
          <w:spacing w:val="-6"/>
        </w:rPr>
        <w:t xml:space="preserve"> </w:t>
      </w:r>
      <w:r>
        <w:t>mismos</w:t>
      </w:r>
      <w:r>
        <w:rPr>
          <w:spacing w:val="-5"/>
        </w:rPr>
        <w:t xml:space="preserve"> </w:t>
      </w:r>
      <w:r>
        <w:t>y de los otros, sus vidas, sus trayectos, sus emociones y reivindicaciones, así como a la contribución a crear espacios favorables a dichos procesos. Lo simbólico es una forma de responder</w:t>
      </w:r>
      <w:r>
        <w:rPr>
          <w:spacing w:val="-1"/>
        </w:rPr>
        <w:t xml:space="preserve"> </w:t>
      </w:r>
      <w:r>
        <w:t>a</w:t>
      </w:r>
      <w:r>
        <w:rPr>
          <w:spacing w:val="-2"/>
        </w:rPr>
        <w:t xml:space="preserve"> </w:t>
      </w:r>
      <w:r>
        <w:t>preguntas</w:t>
      </w:r>
      <w:r>
        <w:rPr>
          <w:spacing w:val="-1"/>
        </w:rPr>
        <w:t xml:space="preserve"> </w:t>
      </w:r>
      <w:r>
        <w:t>como:</w:t>
      </w:r>
      <w:r>
        <w:rPr>
          <w:spacing w:val="-1"/>
        </w:rPr>
        <w:t xml:space="preserve"> </w:t>
      </w:r>
      <w:r>
        <w:t>¿qué nos convoca</w:t>
      </w:r>
      <w:r>
        <w:rPr>
          <w:spacing w:val="-1"/>
        </w:rPr>
        <w:t xml:space="preserve"> </w:t>
      </w:r>
      <w:r>
        <w:t>a</w:t>
      </w:r>
      <w:r>
        <w:rPr>
          <w:spacing w:val="-1"/>
        </w:rPr>
        <w:t xml:space="preserve"> </w:t>
      </w:r>
      <w:r>
        <w:t>estar</w:t>
      </w:r>
      <w:r>
        <w:rPr>
          <w:spacing w:val="-1"/>
        </w:rPr>
        <w:t xml:space="preserve"> </w:t>
      </w:r>
      <w:r>
        <w:t>acá? A</w:t>
      </w:r>
      <w:r>
        <w:rPr>
          <w:spacing w:val="-2"/>
        </w:rPr>
        <w:t xml:space="preserve"> </w:t>
      </w:r>
      <w:r>
        <w:t>ello aportaron los</w:t>
      </w:r>
      <w:r>
        <w:rPr>
          <w:spacing w:val="-1"/>
        </w:rPr>
        <w:t xml:space="preserve"> </w:t>
      </w:r>
      <w:r>
        <w:t xml:space="preserve">objetos, las figuras, el arte, la escritura, el dibujo y diferentes elementos que se dotaron de nuevos significados en medio del recuerdo doloroso que significó vivir, y en otros casos, hacer la </w:t>
      </w:r>
      <w:r>
        <w:rPr>
          <w:spacing w:val="-2"/>
        </w:rPr>
        <w:t>guerra.</w:t>
      </w:r>
    </w:p>
    <w:p w:rsidR="003804AC" w:rsidRDefault="00AF18A5" w:rsidP="00CC3C78">
      <w:bookmarkStart w:id="1454" w:name="_bookmark1278"/>
      <w:bookmarkEnd w:id="1454"/>
      <w:r>
        <w:t>Los</w:t>
      </w:r>
      <w:r>
        <w:rPr>
          <w:spacing w:val="-3"/>
        </w:rPr>
        <w:t xml:space="preserve"> </w:t>
      </w:r>
      <w:r>
        <w:t>encuentros</w:t>
      </w:r>
      <w:r>
        <w:rPr>
          <w:spacing w:val="-3"/>
        </w:rPr>
        <w:t xml:space="preserve"> </w:t>
      </w:r>
      <w:r>
        <w:t>entre</w:t>
      </w:r>
      <w:r>
        <w:rPr>
          <w:spacing w:val="-3"/>
        </w:rPr>
        <w:t xml:space="preserve"> </w:t>
      </w:r>
      <w:r>
        <w:t>responsables</w:t>
      </w:r>
      <w:r>
        <w:rPr>
          <w:spacing w:val="-3"/>
        </w:rPr>
        <w:t xml:space="preserve"> </w:t>
      </w:r>
      <w:r>
        <w:t>y</w:t>
      </w:r>
      <w:r>
        <w:rPr>
          <w:spacing w:val="-5"/>
        </w:rPr>
        <w:t xml:space="preserve"> </w:t>
      </w:r>
      <w:r>
        <w:t>víctimas</w:t>
      </w:r>
      <w:r>
        <w:rPr>
          <w:spacing w:val="-4"/>
        </w:rPr>
        <w:t xml:space="preserve"> </w:t>
      </w:r>
      <w:r>
        <w:t>involucran</w:t>
      </w:r>
      <w:r>
        <w:rPr>
          <w:spacing w:val="-3"/>
        </w:rPr>
        <w:t xml:space="preserve"> </w:t>
      </w:r>
      <w:r>
        <w:t>de</w:t>
      </w:r>
      <w:r>
        <w:rPr>
          <w:spacing w:val="-4"/>
        </w:rPr>
        <w:t xml:space="preserve"> </w:t>
      </w:r>
      <w:r>
        <w:t>manera</w:t>
      </w:r>
      <w:r>
        <w:rPr>
          <w:spacing w:val="-3"/>
        </w:rPr>
        <w:t xml:space="preserve"> </w:t>
      </w:r>
      <w:r>
        <w:t>integral</w:t>
      </w:r>
      <w:r>
        <w:rPr>
          <w:spacing w:val="-3"/>
        </w:rPr>
        <w:t xml:space="preserve"> </w:t>
      </w:r>
      <w:r>
        <w:t>al</w:t>
      </w:r>
      <w:r>
        <w:rPr>
          <w:spacing w:val="-3"/>
        </w:rPr>
        <w:t xml:space="preserve"> </w:t>
      </w:r>
      <w:r>
        <w:t>ser,</w:t>
      </w:r>
      <w:r>
        <w:rPr>
          <w:spacing w:val="-3"/>
        </w:rPr>
        <w:t xml:space="preserve"> </w:t>
      </w:r>
      <w:r>
        <w:t>dando un lugar importante al cuerpo y sus emociones. Muchas de las personas participantes somatizan</w:t>
      </w:r>
      <w:r>
        <w:rPr>
          <w:spacing w:val="-11"/>
        </w:rPr>
        <w:t xml:space="preserve"> </w:t>
      </w:r>
      <w:r>
        <w:t>el</w:t>
      </w:r>
      <w:r>
        <w:rPr>
          <w:spacing w:val="-12"/>
        </w:rPr>
        <w:t xml:space="preserve"> </w:t>
      </w:r>
      <w:r>
        <w:t>espacio</w:t>
      </w:r>
      <w:r>
        <w:rPr>
          <w:spacing w:val="-11"/>
        </w:rPr>
        <w:t xml:space="preserve"> </w:t>
      </w:r>
      <w:r>
        <w:t>con</w:t>
      </w:r>
      <w:r>
        <w:rPr>
          <w:spacing w:val="-12"/>
        </w:rPr>
        <w:t xml:space="preserve"> </w:t>
      </w:r>
      <w:r>
        <w:t>dolores</w:t>
      </w:r>
      <w:r>
        <w:rPr>
          <w:spacing w:val="-11"/>
        </w:rPr>
        <w:t xml:space="preserve"> </w:t>
      </w:r>
      <w:r>
        <w:t>de</w:t>
      </w:r>
      <w:r>
        <w:rPr>
          <w:spacing w:val="-11"/>
        </w:rPr>
        <w:t xml:space="preserve"> </w:t>
      </w:r>
      <w:r>
        <w:t>cabeza,</w:t>
      </w:r>
      <w:r>
        <w:rPr>
          <w:spacing w:val="-11"/>
        </w:rPr>
        <w:t xml:space="preserve"> </w:t>
      </w:r>
      <w:r>
        <w:t>náuseas</w:t>
      </w:r>
      <w:r>
        <w:rPr>
          <w:spacing w:val="-11"/>
        </w:rPr>
        <w:t xml:space="preserve"> </w:t>
      </w:r>
      <w:r>
        <w:t>y</w:t>
      </w:r>
      <w:r>
        <w:rPr>
          <w:spacing w:val="-11"/>
        </w:rPr>
        <w:t xml:space="preserve"> </w:t>
      </w:r>
      <w:r>
        <w:t>llanto,</w:t>
      </w:r>
      <w:r>
        <w:rPr>
          <w:spacing w:val="-11"/>
        </w:rPr>
        <w:t xml:space="preserve"> </w:t>
      </w:r>
      <w:r>
        <w:t>siempre</w:t>
      </w:r>
      <w:r>
        <w:rPr>
          <w:spacing w:val="-11"/>
        </w:rPr>
        <w:t xml:space="preserve"> </w:t>
      </w:r>
      <w:r>
        <w:t>presente,</w:t>
      </w:r>
      <w:r>
        <w:rPr>
          <w:spacing w:val="-11"/>
        </w:rPr>
        <w:t xml:space="preserve"> </w:t>
      </w:r>
      <w:r>
        <w:t>dando</w:t>
      </w:r>
      <w:r>
        <w:rPr>
          <w:spacing w:val="-11"/>
        </w:rPr>
        <w:t xml:space="preserve"> </w:t>
      </w:r>
      <w:r>
        <w:t>cuenta de la impotencia, el dolor, la tristeza, el miedo y hasta el odio. En estos ejercicios, muchas veces las palabras no son suficientes para lo que se quiere transmitir y es allí donde lo simbólico</w:t>
      </w:r>
      <w:r>
        <w:rPr>
          <w:spacing w:val="-7"/>
        </w:rPr>
        <w:t xml:space="preserve"> </w:t>
      </w:r>
      <w:r>
        <w:t>cobra</w:t>
      </w:r>
      <w:r>
        <w:rPr>
          <w:spacing w:val="-6"/>
        </w:rPr>
        <w:t xml:space="preserve"> </w:t>
      </w:r>
      <w:r>
        <w:t>sentido,</w:t>
      </w:r>
      <w:r>
        <w:rPr>
          <w:spacing w:val="-6"/>
        </w:rPr>
        <w:t xml:space="preserve"> </w:t>
      </w:r>
      <w:r>
        <w:t>incluso</w:t>
      </w:r>
      <w:r>
        <w:rPr>
          <w:spacing w:val="-7"/>
        </w:rPr>
        <w:t xml:space="preserve"> </w:t>
      </w:r>
      <w:r>
        <w:t>el</w:t>
      </w:r>
      <w:r>
        <w:rPr>
          <w:spacing w:val="-5"/>
        </w:rPr>
        <w:t xml:space="preserve"> </w:t>
      </w:r>
      <w:r>
        <w:t>poder</w:t>
      </w:r>
      <w:r>
        <w:rPr>
          <w:spacing w:val="-5"/>
        </w:rPr>
        <w:t xml:space="preserve"> </w:t>
      </w:r>
      <w:r>
        <w:t>del</w:t>
      </w:r>
      <w:r>
        <w:rPr>
          <w:spacing w:val="-7"/>
        </w:rPr>
        <w:t xml:space="preserve"> </w:t>
      </w:r>
      <w:r>
        <w:t>silencio.</w:t>
      </w:r>
      <w:r>
        <w:rPr>
          <w:spacing w:val="-6"/>
        </w:rPr>
        <w:t xml:space="preserve"> </w:t>
      </w:r>
      <w:r>
        <w:t>También</w:t>
      </w:r>
      <w:r>
        <w:rPr>
          <w:spacing w:val="-6"/>
        </w:rPr>
        <w:t xml:space="preserve"> </w:t>
      </w:r>
      <w:r>
        <w:t>los</w:t>
      </w:r>
      <w:r>
        <w:rPr>
          <w:spacing w:val="-6"/>
        </w:rPr>
        <w:t xml:space="preserve"> </w:t>
      </w:r>
      <w:r>
        <w:t>símbolos</w:t>
      </w:r>
      <w:r>
        <w:rPr>
          <w:spacing w:val="-6"/>
        </w:rPr>
        <w:t xml:space="preserve"> </w:t>
      </w:r>
      <w:r>
        <w:t>han</w:t>
      </w:r>
      <w:r>
        <w:rPr>
          <w:spacing w:val="-6"/>
        </w:rPr>
        <w:t xml:space="preserve"> </w:t>
      </w:r>
      <w:r>
        <w:t>operado</w:t>
      </w:r>
      <w:r>
        <w:rPr>
          <w:spacing w:val="-6"/>
        </w:rPr>
        <w:t xml:space="preserve"> </w:t>
      </w:r>
      <w:r>
        <w:t xml:space="preserve">en ocasiones como parte de la expresión de esa experiencia colectiva que supone el </w:t>
      </w:r>
      <w:r>
        <w:rPr>
          <w:spacing w:val="-2"/>
        </w:rPr>
        <w:t>reconocimiento.</w:t>
      </w:r>
    </w:p>
    <w:p w:rsidR="003804AC" w:rsidRDefault="00AF18A5" w:rsidP="002770EA">
      <w:r>
        <w:lastRenderedPageBreak/>
        <w:t>La</w:t>
      </w:r>
      <w:r>
        <w:rPr>
          <w:spacing w:val="-9"/>
        </w:rPr>
        <w:t xml:space="preserve"> </w:t>
      </w:r>
      <w:r>
        <w:t>potencia</w:t>
      </w:r>
      <w:r>
        <w:rPr>
          <w:spacing w:val="-11"/>
        </w:rPr>
        <w:t xml:space="preserve"> </w:t>
      </w:r>
      <w:r>
        <w:t>de</w:t>
      </w:r>
      <w:r>
        <w:rPr>
          <w:spacing w:val="-9"/>
        </w:rPr>
        <w:t xml:space="preserve"> </w:t>
      </w:r>
      <w:r>
        <w:t>los</w:t>
      </w:r>
      <w:r>
        <w:rPr>
          <w:spacing w:val="-10"/>
        </w:rPr>
        <w:t xml:space="preserve"> </w:t>
      </w:r>
      <w:r>
        <w:t>símbolos</w:t>
      </w:r>
      <w:r>
        <w:rPr>
          <w:spacing w:val="-10"/>
        </w:rPr>
        <w:t xml:space="preserve"> </w:t>
      </w:r>
      <w:r>
        <w:t>radica</w:t>
      </w:r>
      <w:r>
        <w:rPr>
          <w:spacing w:val="-9"/>
        </w:rPr>
        <w:t xml:space="preserve"> </w:t>
      </w:r>
      <w:r>
        <w:t>asimismo</w:t>
      </w:r>
      <w:r>
        <w:rPr>
          <w:spacing w:val="-10"/>
        </w:rPr>
        <w:t xml:space="preserve"> </w:t>
      </w:r>
      <w:r>
        <w:t>en</w:t>
      </w:r>
      <w:r>
        <w:rPr>
          <w:spacing w:val="-10"/>
        </w:rPr>
        <w:t xml:space="preserve"> </w:t>
      </w:r>
      <w:r>
        <w:t>la</w:t>
      </w:r>
      <w:r>
        <w:rPr>
          <w:spacing w:val="-11"/>
        </w:rPr>
        <w:t xml:space="preserve"> </w:t>
      </w:r>
      <w:r>
        <w:t>posibilidad</w:t>
      </w:r>
      <w:r>
        <w:rPr>
          <w:spacing w:val="-11"/>
        </w:rPr>
        <w:t xml:space="preserve"> </w:t>
      </w:r>
      <w:r>
        <w:t>de</w:t>
      </w:r>
      <w:r>
        <w:rPr>
          <w:spacing w:val="-9"/>
        </w:rPr>
        <w:t xml:space="preserve"> </w:t>
      </w:r>
      <w:r>
        <w:t>ritualizar</w:t>
      </w:r>
      <w:r>
        <w:rPr>
          <w:spacing w:val="-10"/>
        </w:rPr>
        <w:t xml:space="preserve"> </w:t>
      </w:r>
      <w:r>
        <w:t>un</w:t>
      </w:r>
      <w:r>
        <w:rPr>
          <w:spacing w:val="-10"/>
        </w:rPr>
        <w:t xml:space="preserve"> </w:t>
      </w:r>
      <w:r>
        <w:t>espacio</w:t>
      </w:r>
      <w:r>
        <w:rPr>
          <w:spacing w:val="-10"/>
        </w:rPr>
        <w:t xml:space="preserve"> </w:t>
      </w:r>
      <w:r>
        <w:t>que tiene enormes desafíos, pero también significados para elaborar procesos individuales y colectivos por los que han venido atravesando las víctimas en Colombia. Los símbolos han permitido</w:t>
      </w:r>
      <w:r>
        <w:rPr>
          <w:spacing w:val="-5"/>
        </w:rPr>
        <w:t xml:space="preserve"> </w:t>
      </w:r>
      <w:r>
        <w:t>traer</w:t>
      </w:r>
      <w:r>
        <w:rPr>
          <w:spacing w:val="-4"/>
        </w:rPr>
        <w:t xml:space="preserve"> </w:t>
      </w:r>
      <w:r>
        <w:t>a</w:t>
      </w:r>
      <w:r>
        <w:rPr>
          <w:spacing w:val="-5"/>
        </w:rPr>
        <w:t xml:space="preserve"> </w:t>
      </w:r>
      <w:r>
        <w:t>la</w:t>
      </w:r>
      <w:r>
        <w:rPr>
          <w:spacing w:val="-5"/>
        </w:rPr>
        <w:t xml:space="preserve"> </w:t>
      </w:r>
      <w:r>
        <w:t>memoria,</w:t>
      </w:r>
      <w:r>
        <w:rPr>
          <w:spacing w:val="-5"/>
        </w:rPr>
        <w:t xml:space="preserve"> </w:t>
      </w:r>
      <w:r>
        <w:t>la</w:t>
      </w:r>
      <w:r>
        <w:rPr>
          <w:spacing w:val="-5"/>
        </w:rPr>
        <w:t xml:space="preserve"> </w:t>
      </w:r>
      <w:r>
        <w:t>palabra</w:t>
      </w:r>
      <w:r>
        <w:rPr>
          <w:spacing w:val="-5"/>
        </w:rPr>
        <w:t xml:space="preserve"> </w:t>
      </w:r>
      <w:r>
        <w:t>y</w:t>
      </w:r>
      <w:r>
        <w:rPr>
          <w:spacing w:val="-5"/>
        </w:rPr>
        <w:t xml:space="preserve"> </w:t>
      </w:r>
      <w:r>
        <w:t>el</w:t>
      </w:r>
      <w:r>
        <w:rPr>
          <w:spacing w:val="-4"/>
        </w:rPr>
        <w:t xml:space="preserve"> </w:t>
      </w:r>
      <w:r>
        <w:t>espacio</w:t>
      </w:r>
      <w:r>
        <w:rPr>
          <w:spacing w:val="-5"/>
        </w:rPr>
        <w:t xml:space="preserve"> </w:t>
      </w:r>
      <w:r>
        <w:t>a</w:t>
      </w:r>
      <w:r>
        <w:rPr>
          <w:spacing w:val="-5"/>
        </w:rPr>
        <w:t xml:space="preserve"> </w:t>
      </w:r>
      <w:r>
        <w:t>quienes</w:t>
      </w:r>
      <w:r>
        <w:rPr>
          <w:spacing w:val="-5"/>
        </w:rPr>
        <w:t xml:space="preserve"> </w:t>
      </w:r>
      <w:r>
        <w:t>no</w:t>
      </w:r>
      <w:r>
        <w:rPr>
          <w:spacing w:val="-5"/>
        </w:rPr>
        <w:t xml:space="preserve"> </w:t>
      </w:r>
      <w:r>
        <w:t>se</w:t>
      </w:r>
      <w:r>
        <w:rPr>
          <w:spacing w:val="-5"/>
        </w:rPr>
        <w:t xml:space="preserve"> </w:t>
      </w:r>
      <w:r>
        <w:t>encuentran</w:t>
      </w:r>
      <w:r>
        <w:rPr>
          <w:spacing w:val="-5"/>
        </w:rPr>
        <w:t xml:space="preserve"> </w:t>
      </w:r>
      <w:r>
        <w:t>presentes</w:t>
      </w:r>
      <w:r>
        <w:rPr>
          <w:spacing w:val="-5"/>
        </w:rPr>
        <w:t xml:space="preserve"> </w:t>
      </w:r>
      <w:r>
        <w:t>en lo físico, pero sí en lo afectivo y en lo espiritual, como las personas desaparecidas. Si bien los</w:t>
      </w:r>
      <w:r>
        <w:rPr>
          <w:spacing w:val="-11"/>
        </w:rPr>
        <w:t xml:space="preserve"> </w:t>
      </w:r>
      <w:r>
        <w:t>espacios</w:t>
      </w:r>
      <w:r>
        <w:rPr>
          <w:spacing w:val="-13"/>
        </w:rPr>
        <w:t xml:space="preserve"> </w:t>
      </w:r>
      <w:r>
        <w:t>de</w:t>
      </w:r>
      <w:r>
        <w:rPr>
          <w:spacing w:val="-10"/>
        </w:rPr>
        <w:t xml:space="preserve"> </w:t>
      </w:r>
      <w:r>
        <w:t>reconocimiento</w:t>
      </w:r>
      <w:r>
        <w:rPr>
          <w:spacing w:val="-11"/>
        </w:rPr>
        <w:t xml:space="preserve"> </w:t>
      </w:r>
      <w:r>
        <w:t>no</w:t>
      </w:r>
      <w:r>
        <w:rPr>
          <w:spacing w:val="-12"/>
        </w:rPr>
        <w:t xml:space="preserve"> </w:t>
      </w:r>
      <w:r>
        <w:t>son</w:t>
      </w:r>
      <w:r>
        <w:rPr>
          <w:spacing w:val="-11"/>
        </w:rPr>
        <w:t xml:space="preserve"> </w:t>
      </w:r>
      <w:r>
        <w:t>en</w:t>
      </w:r>
      <w:r>
        <w:rPr>
          <w:spacing w:val="-11"/>
        </w:rPr>
        <w:t xml:space="preserve"> </w:t>
      </w:r>
      <w:r>
        <w:t>sí</w:t>
      </w:r>
      <w:r>
        <w:rPr>
          <w:spacing w:val="-10"/>
        </w:rPr>
        <w:t xml:space="preserve"> </w:t>
      </w:r>
      <w:r>
        <w:t>mismos</w:t>
      </w:r>
      <w:r>
        <w:rPr>
          <w:spacing w:val="-11"/>
        </w:rPr>
        <w:t xml:space="preserve"> </w:t>
      </w:r>
      <w:r>
        <w:t>terapéuticos</w:t>
      </w:r>
      <w:r>
        <w:rPr>
          <w:spacing w:val="-10"/>
        </w:rPr>
        <w:t xml:space="preserve"> </w:t>
      </w:r>
      <w:r>
        <w:t>y</w:t>
      </w:r>
      <w:r>
        <w:rPr>
          <w:spacing w:val="-11"/>
        </w:rPr>
        <w:t xml:space="preserve"> </w:t>
      </w:r>
      <w:r>
        <w:t>pueden</w:t>
      </w:r>
      <w:r>
        <w:rPr>
          <w:spacing w:val="-13"/>
        </w:rPr>
        <w:t xml:space="preserve"> </w:t>
      </w:r>
      <w:r>
        <w:t>aumentar</w:t>
      </w:r>
      <w:r>
        <w:rPr>
          <w:spacing w:val="-11"/>
        </w:rPr>
        <w:t xml:space="preserve"> </w:t>
      </w:r>
      <w:r>
        <w:t>también las</w:t>
      </w:r>
      <w:r>
        <w:rPr>
          <w:spacing w:val="-3"/>
        </w:rPr>
        <w:t xml:space="preserve"> </w:t>
      </w:r>
      <w:r>
        <w:t>emociones</w:t>
      </w:r>
      <w:r>
        <w:rPr>
          <w:spacing w:val="-3"/>
        </w:rPr>
        <w:t xml:space="preserve"> </w:t>
      </w:r>
      <w:r>
        <w:t>como</w:t>
      </w:r>
      <w:r>
        <w:rPr>
          <w:spacing w:val="-3"/>
        </w:rPr>
        <w:t xml:space="preserve"> </w:t>
      </w:r>
      <w:r>
        <w:t>la</w:t>
      </w:r>
      <w:r>
        <w:rPr>
          <w:spacing w:val="-3"/>
        </w:rPr>
        <w:t xml:space="preserve"> </w:t>
      </w:r>
      <w:r>
        <w:t>rabia</w:t>
      </w:r>
      <w:r>
        <w:rPr>
          <w:spacing w:val="-3"/>
        </w:rPr>
        <w:t xml:space="preserve"> </w:t>
      </w:r>
      <w:r>
        <w:t>o</w:t>
      </w:r>
      <w:r>
        <w:rPr>
          <w:spacing w:val="-3"/>
        </w:rPr>
        <w:t xml:space="preserve"> </w:t>
      </w:r>
      <w:r>
        <w:t>la</w:t>
      </w:r>
      <w:r>
        <w:rPr>
          <w:spacing w:val="-4"/>
        </w:rPr>
        <w:t xml:space="preserve"> </w:t>
      </w:r>
      <w:r>
        <w:t>tristeza</w:t>
      </w:r>
      <w:r>
        <w:rPr>
          <w:spacing w:val="-3"/>
        </w:rPr>
        <w:t xml:space="preserve"> </w:t>
      </w:r>
      <w:r>
        <w:t>–normales,</w:t>
      </w:r>
      <w:r>
        <w:rPr>
          <w:spacing w:val="-3"/>
        </w:rPr>
        <w:t xml:space="preserve"> </w:t>
      </w:r>
      <w:r>
        <w:t>por</w:t>
      </w:r>
      <w:r>
        <w:rPr>
          <w:spacing w:val="-3"/>
        </w:rPr>
        <w:t xml:space="preserve"> </w:t>
      </w:r>
      <w:r>
        <w:t>otra</w:t>
      </w:r>
      <w:r>
        <w:rPr>
          <w:spacing w:val="-4"/>
        </w:rPr>
        <w:t xml:space="preserve"> </w:t>
      </w:r>
      <w:r>
        <w:t>parte–,</w:t>
      </w:r>
      <w:r>
        <w:rPr>
          <w:spacing w:val="-5"/>
        </w:rPr>
        <w:t xml:space="preserve"> </w:t>
      </w:r>
      <w:r>
        <w:t>también</w:t>
      </w:r>
      <w:r>
        <w:rPr>
          <w:spacing w:val="-3"/>
        </w:rPr>
        <w:t xml:space="preserve"> </w:t>
      </w:r>
      <w:r>
        <w:t>pueden</w:t>
      </w:r>
      <w:r>
        <w:rPr>
          <w:spacing w:val="-3"/>
        </w:rPr>
        <w:t xml:space="preserve"> </w:t>
      </w:r>
      <w:r>
        <w:t>ayudar como ritos simbólicos donde el recuerdo de los que ya no están es una forma de reivindicación de su identidad positiva.</w:t>
      </w:r>
    </w:p>
    <w:p w:rsidR="003804AC" w:rsidRDefault="00AF18A5" w:rsidP="002770EA">
      <w:r>
        <w:t>«Nuestras vidas fueron tomadas</w:t>
      </w:r>
      <w:r>
        <w:rPr>
          <w:spacing w:val="-1"/>
        </w:rPr>
        <w:t xml:space="preserve"> </w:t>
      </w:r>
      <w:r>
        <w:t>como mercancías para</w:t>
      </w:r>
      <w:r>
        <w:rPr>
          <w:spacing w:val="-1"/>
        </w:rPr>
        <w:t xml:space="preserve"> </w:t>
      </w:r>
      <w:r>
        <w:t>ser</w:t>
      </w:r>
      <w:r>
        <w:rPr>
          <w:spacing w:val="-1"/>
        </w:rPr>
        <w:t xml:space="preserve"> </w:t>
      </w:r>
      <w:r>
        <w:t>cambiadas. Honramos</w:t>
      </w:r>
      <w:r>
        <w:rPr>
          <w:spacing w:val="-1"/>
        </w:rPr>
        <w:t xml:space="preserve"> </w:t>
      </w:r>
      <w:r>
        <w:t>la vida de quienes partieron sin pedirlo, pero también de quienes partieron al escogerlo. Aquí se honra</w:t>
      </w:r>
      <w:r>
        <w:rPr>
          <w:spacing w:val="-9"/>
        </w:rPr>
        <w:t xml:space="preserve"> </w:t>
      </w:r>
      <w:r>
        <w:t>la</w:t>
      </w:r>
      <w:r>
        <w:rPr>
          <w:spacing w:val="-9"/>
        </w:rPr>
        <w:t xml:space="preserve"> </w:t>
      </w:r>
      <w:r>
        <w:t>palabra</w:t>
      </w:r>
      <w:r>
        <w:rPr>
          <w:spacing w:val="-9"/>
        </w:rPr>
        <w:t xml:space="preserve"> </w:t>
      </w:r>
      <w:r>
        <w:t>de</w:t>
      </w:r>
      <w:r>
        <w:rPr>
          <w:spacing w:val="-9"/>
        </w:rPr>
        <w:t xml:space="preserve"> </w:t>
      </w:r>
      <w:r>
        <w:t>hombres</w:t>
      </w:r>
      <w:r>
        <w:rPr>
          <w:spacing w:val="-9"/>
        </w:rPr>
        <w:t xml:space="preserve"> </w:t>
      </w:r>
      <w:r>
        <w:t>y</w:t>
      </w:r>
      <w:r>
        <w:rPr>
          <w:spacing w:val="-10"/>
        </w:rPr>
        <w:t xml:space="preserve"> </w:t>
      </w:r>
      <w:r>
        <w:t>mujeres</w:t>
      </w:r>
      <w:r>
        <w:rPr>
          <w:spacing w:val="-9"/>
        </w:rPr>
        <w:t xml:space="preserve"> </w:t>
      </w:r>
      <w:r>
        <w:t>que</w:t>
      </w:r>
      <w:r>
        <w:rPr>
          <w:spacing w:val="-9"/>
        </w:rPr>
        <w:t xml:space="preserve"> </w:t>
      </w:r>
      <w:r>
        <w:t>convencidos</w:t>
      </w:r>
      <w:r>
        <w:rPr>
          <w:spacing w:val="-9"/>
        </w:rPr>
        <w:t xml:space="preserve"> </w:t>
      </w:r>
      <w:r>
        <w:t>de</w:t>
      </w:r>
      <w:r>
        <w:rPr>
          <w:spacing w:val="-9"/>
        </w:rPr>
        <w:t xml:space="preserve"> </w:t>
      </w:r>
      <w:r>
        <w:t>su</w:t>
      </w:r>
      <w:r>
        <w:rPr>
          <w:spacing w:val="-11"/>
        </w:rPr>
        <w:t xml:space="preserve"> </w:t>
      </w:r>
      <w:r>
        <w:t>tarea</w:t>
      </w:r>
      <w:r>
        <w:rPr>
          <w:spacing w:val="-9"/>
        </w:rPr>
        <w:t xml:space="preserve"> </w:t>
      </w:r>
      <w:r>
        <w:t>o</w:t>
      </w:r>
      <w:r>
        <w:rPr>
          <w:spacing w:val="-10"/>
        </w:rPr>
        <w:t xml:space="preserve"> </w:t>
      </w:r>
      <w:r>
        <w:t>no,</w:t>
      </w:r>
      <w:r>
        <w:rPr>
          <w:spacing w:val="-10"/>
        </w:rPr>
        <w:t xml:space="preserve"> </w:t>
      </w:r>
      <w:r>
        <w:t>salimos</w:t>
      </w:r>
      <w:r>
        <w:rPr>
          <w:spacing w:val="-9"/>
        </w:rPr>
        <w:t xml:space="preserve"> </w:t>
      </w:r>
      <w:r>
        <w:t>de</w:t>
      </w:r>
      <w:r>
        <w:rPr>
          <w:spacing w:val="-9"/>
        </w:rPr>
        <w:t xml:space="preserve"> </w:t>
      </w:r>
      <w:r>
        <w:t>la</w:t>
      </w:r>
      <w:r>
        <w:rPr>
          <w:spacing w:val="-11"/>
        </w:rPr>
        <w:t xml:space="preserve"> </w:t>
      </w:r>
      <w:r>
        <w:t>noche oscura. Aquí está su pueblo, profundamente campesino, indígena y popular sentado con las cicatrices,</w:t>
      </w:r>
      <w:r>
        <w:rPr>
          <w:spacing w:val="-9"/>
        </w:rPr>
        <w:t xml:space="preserve"> </w:t>
      </w:r>
      <w:r>
        <w:t>pero</w:t>
      </w:r>
      <w:r>
        <w:rPr>
          <w:spacing w:val="-9"/>
        </w:rPr>
        <w:t xml:space="preserve"> </w:t>
      </w:r>
      <w:r>
        <w:t>dispuesto</w:t>
      </w:r>
      <w:r>
        <w:rPr>
          <w:spacing w:val="-9"/>
        </w:rPr>
        <w:t xml:space="preserve"> </w:t>
      </w:r>
      <w:r>
        <w:t>a</w:t>
      </w:r>
      <w:r>
        <w:rPr>
          <w:spacing w:val="-9"/>
        </w:rPr>
        <w:t xml:space="preserve"> </w:t>
      </w:r>
      <w:r>
        <w:t>liberar.</w:t>
      </w:r>
      <w:r>
        <w:rPr>
          <w:spacing w:val="-9"/>
        </w:rPr>
        <w:t xml:space="preserve"> </w:t>
      </w:r>
      <w:r>
        <w:t>En</w:t>
      </w:r>
      <w:r>
        <w:rPr>
          <w:spacing w:val="-9"/>
        </w:rPr>
        <w:t xml:space="preserve"> </w:t>
      </w:r>
      <w:r>
        <w:t>lo</w:t>
      </w:r>
      <w:r>
        <w:rPr>
          <w:spacing w:val="-9"/>
        </w:rPr>
        <w:t xml:space="preserve"> </w:t>
      </w:r>
      <w:r>
        <w:t>profundo</w:t>
      </w:r>
      <w:r>
        <w:rPr>
          <w:spacing w:val="-9"/>
        </w:rPr>
        <w:t xml:space="preserve"> </w:t>
      </w:r>
      <w:r>
        <w:t>de</w:t>
      </w:r>
      <w:r>
        <w:rPr>
          <w:spacing w:val="-9"/>
        </w:rPr>
        <w:t xml:space="preserve"> </w:t>
      </w:r>
      <w:r>
        <w:t>la</w:t>
      </w:r>
      <w:r>
        <w:rPr>
          <w:spacing w:val="-10"/>
        </w:rPr>
        <w:t xml:space="preserve"> </w:t>
      </w:r>
      <w:r>
        <w:t>manigua,</w:t>
      </w:r>
      <w:r>
        <w:rPr>
          <w:spacing w:val="-9"/>
        </w:rPr>
        <w:t xml:space="preserve"> </w:t>
      </w:r>
      <w:r>
        <w:t>la</w:t>
      </w:r>
      <w:r>
        <w:rPr>
          <w:spacing w:val="-9"/>
        </w:rPr>
        <w:t xml:space="preserve"> </w:t>
      </w:r>
      <w:r>
        <w:t>selva</w:t>
      </w:r>
      <w:r>
        <w:rPr>
          <w:spacing w:val="-10"/>
        </w:rPr>
        <w:t xml:space="preserve"> </w:t>
      </w:r>
      <w:r>
        <w:t>nos</w:t>
      </w:r>
      <w:r>
        <w:rPr>
          <w:spacing w:val="-9"/>
        </w:rPr>
        <w:t xml:space="preserve"> </w:t>
      </w:r>
      <w:r>
        <w:t>protegió</w:t>
      </w:r>
      <w:r>
        <w:rPr>
          <w:spacing w:val="-9"/>
        </w:rPr>
        <w:t xml:space="preserve"> </w:t>
      </w:r>
      <w:r>
        <w:t>y</w:t>
      </w:r>
      <w:r>
        <w:rPr>
          <w:spacing w:val="-9"/>
        </w:rPr>
        <w:t xml:space="preserve"> </w:t>
      </w:r>
      <w:r>
        <w:t>aún nos protege a los territorios ancestrales, hemos pedido permiso para sembrar un guayacán amarillo</w:t>
      </w:r>
      <w:r>
        <w:rPr>
          <w:spacing w:val="-5"/>
        </w:rPr>
        <w:t xml:space="preserve"> </w:t>
      </w:r>
      <w:r>
        <w:t>que</w:t>
      </w:r>
      <w:r>
        <w:rPr>
          <w:spacing w:val="-6"/>
        </w:rPr>
        <w:t xml:space="preserve"> </w:t>
      </w:r>
      <w:r>
        <w:t>sobrevivirá</w:t>
      </w:r>
      <w:r>
        <w:rPr>
          <w:spacing w:val="-6"/>
        </w:rPr>
        <w:t xml:space="preserve"> </w:t>
      </w:r>
      <w:r>
        <w:t>a</w:t>
      </w:r>
      <w:r>
        <w:rPr>
          <w:spacing w:val="-4"/>
        </w:rPr>
        <w:t xml:space="preserve"> </w:t>
      </w:r>
      <w:r>
        <w:t>nuestras</w:t>
      </w:r>
      <w:r>
        <w:rPr>
          <w:spacing w:val="-4"/>
        </w:rPr>
        <w:t xml:space="preserve"> </w:t>
      </w:r>
      <w:r>
        <w:t>vidas</w:t>
      </w:r>
      <w:r>
        <w:rPr>
          <w:spacing w:val="-4"/>
        </w:rPr>
        <w:t xml:space="preserve"> </w:t>
      </w:r>
      <w:r>
        <w:t>y</w:t>
      </w:r>
      <w:r>
        <w:rPr>
          <w:spacing w:val="-5"/>
        </w:rPr>
        <w:t xml:space="preserve"> </w:t>
      </w:r>
      <w:r>
        <w:t>florecerá</w:t>
      </w:r>
      <w:r>
        <w:rPr>
          <w:spacing w:val="-4"/>
        </w:rPr>
        <w:t xml:space="preserve"> </w:t>
      </w:r>
      <w:r>
        <w:t>cuando</w:t>
      </w:r>
      <w:r>
        <w:rPr>
          <w:spacing w:val="-6"/>
        </w:rPr>
        <w:t xml:space="preserve"> </w:t>
      </w:r>
      <w:r>
        <w:t>no</w:t>
      </w:r>
      <w:r>
        <w:rPr>
          <w:spacing w:val="-5"/>
        </w:rPr>
        <w:t xml:space="preserve"> </w:t>
      </w:r>
      <w:r>
        <w:t>estemos</w:t>
      </w:r>
      <w:r>
        <w:rPr>
          <w:spacing w:val="-5"/>
        </w:rPr>
        <w:t xml:space="preserve"> </w:t>
      </w:r>
      <w:r>
        <w:t>presentes</w:t>
      </w:r>
      <w:r>
        <w:rPr>
          <w:spacing w:val="-6"/>
        </w:rPr>
        <w:t xml:space="preserve"> </w:t>
      </w:r>
      <w:r>
        <w:t>y</w:t>
      </w:r>
      <w:r>
        <w:rPr>
          <w:spacing w:val="-5"/>
        </w:rPr>
        <w:t xml:space="preserve"> </w:t>
      </w:r>
      <w:r>
        <w:t>quedará en</w:t>
      </w:r>
      <w:r>
        <w:rPr>
          <w:spacing w:val="29"/>
        </w:rPr>
        <w:t xml:space="preserve"> </w:t>
      </w:r>
      <w:r>
        <w:t>su</w:t>
      </w:r>
      <w:r>
        <w:rPr>
          <w:spacing w:val="28"/>
        </w:rPr>
        <w:t xml:space="preserve"> </w:t>
      </w:r>
      <w:r>
        <w:t>memoria</w:t>
      </w:r>
      <w:r>
        <w:rPr>
          <w:spacing w:val="29"/>
        </w:rPr>
        <w:t xml:space="preserve"> </w:t>
      </w:r>
      <w:r>
        <w:t>oral.</w:t>
      </w:r>
      <w:r>
        <w:rPr>
          <w:spacing w:val="30"/>
        </w:rPr>
        <w:t xml:space="preserve"> </w:t>
      </w:r>
      <w:r>
        <w:t>Hoy</w:t>
      </w:r>
      <w:r>
        <w:rPr>
          <w:spacing w:val="29"/>
        </w:rPr>
        <w:t xml:space="preserve"> </w:t>
      </w:r>
      <w:r>
        <w:t>se</w:t>
      </w:r>
      <w:r>
        <w:rPr>
          <w:spacing w:val="30"/>
        </w:rPr>
        <w:t xml:space="preserve"> </w:t>
      </w:r>
      <w:r>
        <w:t>encuentran</w:t>
      </w:r>
      <w:r>
        <w:rPr>
          <w:spacing w:val="28"/>
        </w:rPr>
        <w:t xml:space="preserve"> </w:t>
      </w:r>
      <w:r>
        <w:t>en</w:t>
      </w:r>
      <w:r>
        <w:rPr>
          <w:spacing w:val="29"/>
        </w:rPr>
        <w:t xml:space="preserve"> </w:t>
      </w:r>
      <w:r>
        <w:t>medio</w:t>
      </w:r>
      <w:r>
        <w:rPr>
          <w:spacing w:val="29"/>
        </w:rPr>
        <w:t xml:space="preserve"> </w:t>
      </w:r>
      <w:r>
        <w:t>de</w:t>
      </w:r>
      <w:r>
        <w:rPr>
          <w:spacing w:val="30"/>
        </w:rPr>
        <w:t xml:space="preserve"> </w:t>
      </w:r>
      <w:r>
        <w:t>una</w:t>
      </w:r>
      <w:r>
        <w:rPr>
          <w:spacing w:val="29"/>
        </w:rPr>
        <w:t xml:space="preserve"> </w:t>
      </w:r>
      <w:r>
        <w:t>verdad</w:t>
      </w:r>
      <w:r>
        <w:rPr>
          <w:spacing w:val="29"/>
        </w:rPr>
        <w:t xml:space="preserve"> </w:t>
      </w:r>
      <w:r>
        <w:t>incompleta,</w:t>
      </w:r>
      <w:r>
        <w:rPr>
          <w:spacing w:val="28"/>
        </w:rPr>
        <w:t xml:space="preserve"> </w:t>
      </w:r>
      <w:r>
        <w:t>a</w:t>
      </w:r>
      <w:r>
        <w:rPr>
          <w:spacing w:val="29"/>
        </w:rPr>
        <w:t xml:space="preserve"> </w:t>
      </w:r>
      <w:r>
        <w:t>medias</w:t>
      </w:r>
      <w:r>
        <w:rPr>
          <w:spacing w:val="30"/>
        </w:rPr>
        <w:t xml:space="preserve"> </w:t>
      </w:r>
      <w:r>
        <w:rPr>
          <w:spacing w:val="-10"/>
        </w:rPr>
        <w:t>y</w:t>
      </w:r>
      <w:r w:rsidR="002770EA">
        <w:t xml:space="preserve"> </w:t>
      </w:r>
      <w:r>
        <w:t xml:space="preserve">absurda. En la grandeza de los espíritus que se han forjado desde el dolor, honramos este </w:t>
      </w:r>
      <w:r>
        <w:rPr>
          <w:spacing w:val="-2"/>
        </w:rPr>
        <w:t>ritual»</w:t>
      </w:r>
      <w:r w:rsidR="002770EA">
        <w:rPr>
          <w:rStyle w:val="Refdenotaalpie"/>
          <w:spacing w:val="-2"/>
        </w:rPr>
        <w:footnoteReference w:id="1154"/>
      </w:r>
      <w:r>
        <w:rPr>
          <w:spacing w:val="-2"/>
        </w:rPr>
        <w:t>.</w:t>
      </w:r>
    </w:p>
    <w:p w:rsidR="003804AC" w:rsidRDefault="00AF18A5" w:rsidP="002770EA">
      <w:r>
        <w:t>La</w:t>
      </w:r>
      <w:r>
        <w:rPr>
          <w:spacing w:val="-1"/>
        </w:rPr>
        <w:t xml:space="preserve"> </w:t>
      </w:r>
      <w:r>
        <w:t>ritualidad</w:t>
      </w:r>
      <w:r>
        <w:rPr>
          <w:spacing w:val="-1"/>
        </w:rPr>
        <w:t xml:space="preserve"> </w:t>
      </w:r>
      <w:r>
        <w:t>juega</w:t>
      </w:r>
      <w:r>
        <w:rPr>
          <w:spacing w:val="-1"/>
        </w:rPr>
        <w:t xml:space="preserve"> </w:t>
      </w:r>
      <w:r>
        <w:t>un</w:t>
      </w:r>
      <w:r>
        <w:rPr>
          <w:spacing w:val="-1"/>
        </w:rPr>
        <w:t xml:space="preserve"> </w:t>
      </w:r>
      <w:r>
        <w:t>papel</w:t>
      </w:r>
      <w:r>
        <w:rPr>
          <w:spacing w:val="-1"/>
        </w:rPr>
        <w:t xml:space="preserve"> </w:t>
      </w:r>
      <w:r>
        <w:t>central</w:t>
      </w:r>
      <w:r>
        <w:rPr>
          <w:spacing w:val="-2"/>
        </w:rPr>
        <w:t xml:space="preserve"> </w:t>
      </w:r>
      <w:r>
        <w:t>porque</w:t>
      </w:r>
      <w:r>
        <w:rPr>
          <w:spacing w:val="-1"/>
        </w:rPr>
        <w:t xml:space="preserve"> </w:t>
      </w:r>
      <w:r>
        <w:t>carga</w:t>
      </w:r>
      <w:r>
        <w:rPr>
          <w:spacing w:val="-1"/>
        </w:rPr>
        <w:t xml:space="preserve"> </w:t>
      </w:r>
      <w:r>
        <w:t>de</w:t>
      </w:r>
      <w:r>
        <w:rPr>
          <w:spacing w:val="-1"/>
        </w:rPr>
        <w:t xml:space="preserve"> </w:t>
      </w:r>
      <w:r>
        <w:t>sentido</w:t>
      </w:r>
      <w:r>
        <w:rPr>
          <w:spacing w:val="-1"/>
        </w:rPr>
        <w:t xml:space="preserve"> </w:t>
      </w:r>
      <w:r>
        <w:t>un</w:t>
      </w:r>
      <w:r>
        <w:rPr>
          <w:spacing w:val="-1"/>
        </w:rPr>
        <w:t xml:space="preserve"> </w:t>
      </w:r>
      <w:r>
        <w:t>momento</w:t>
      </w:r>
      <w:r>
        <w:rPr>
          <w:spacing w:val="-3"/>
        </w:rPr>
        <w:t xml:space="preserve"> </w:t>
      </w:r>
      <w:r>
        <w:t>crucial</w:t>
      </w:r>
      <w:r>
        <w:rPr>
          <w:spacing w:val="-1"/>
        </w:rPr>
        <w:t xml:space="preserve"> </w:t>
      </w:r>
      <w:r>
        <w:t>para</w:t>
      </w:r>
      <w:r>
        <w:rPr>
          <w:spacing w:val="-2"/>
        </w:rPr>
        <w:t xml:space="preserve"> </w:t>
      </w:r>
      <w:r>
        <w:t xml:space="preserve">las víctimas y los responsables y marca el punto </w:t>
      </w:r>
      <w:r>
        <w:lastRenderedPageBreak/>
        <w:t>de contacto entre el pasado y el presente. Pero la dimensión ritual y simbólica no solo aplica para la «composición» que requiere un acto privado o público, es parte también de todo el proceso de preparación, la ubicación de las personas, el ambiente, la luz, el orden de las intervenciones, aspectos cargados de intención y de efecto en las personas.</w:t>
      </w:r>
    </w:p>
    <w:p w:rsidR="003804AC" w:rsidRDefault="00AF18A5" w:rsidP="002770EA">
      <w:r>
        <w:t>«Este</w:t>
      </w:r>
      <w:r>
        <w:rPr>
          <w:spacing w:val="-7"/>
        </w:rPr>
        <w:t xml:space="preserve"> </w:t>
      </w:r>
      <w:r>
        <w:t>es</w:t>
      </w:r>
      <w:r>
        <w:rPr>
          <w:spacing w:val="-7"/>
        </w:rPr>
        <w:t xml:space="preserve"> </w:t>
      </w:r>
      <w:r>
        <w:t>un</w:t>
      </w:r>
      <w:r>
        <w:rPr>
          <w:spacing w:val="-7"/>
        </w:rPr>
        <w:t xml:space="preserve"> </w:t>
      </w:r>
      <w:r>
        <w:t>centro</w:t>
      </w:r>
      <w:r>
        <w:rPr>
          <w:spacing w:val="-7"/>
        </w:rPr>
        <w:t xml:space="preserve"> </w:t>
      </w:r>
      <w:r>
        <w:t>de</w:t>
      </w:r>
      <w:r>
        <w:rPr>
          <w:spacing w:val="-7"/>
        </w:rPr>
        <w:t xml:space="preserve"> </w:t>
      </w:r>
      <w:r>
        <w:t>pensamiento</w:t>
      </w:r>
      <w:r>
        <w:rPr>
          <w:spacing w:val="-7"/>
        </w:rPr>
        <w:t xml:space="preserve"> </w:t>
      </w:r>
      <w:r>
        <w:t>el</w:t>
      </w:r>
      <w:r>
        <w:rPr>
          <w:spacing w:val="-8"/>
        </w:rPr>
        <w:t xml:space="preserve"> </w:t>
      </w:r>
      <w:r>
        <w:t>cual</w:t>
      </w:r>
      <w:r>
        <w:rPr>
          <w:spacing w:val="-7"/>
        </w:rPr>
        <w:t xml:space="preserve"> </w:t>
      </w:r>
      <w:r>
        <w:t>hemos</w:t>
      </w:r>
      <w:r>
        <w:rPr>
          <w:spacing w:val="-7"/>
        </w:rPr>
        <w:t xml:space="preserve"> </w:t>
      </w:r>
      <w:r>
        <w:t>construido</w:t>
      </w:r>
      <w:r>
        <w:rPr>
          <w:spacing w:val="-7"/>
        </w:rPr>
        <w:t xml:space="preserve"> </w:t>
      </w:r>
      <w:r>
        <w:t>para</w:t>
      </w:r>
      <w:r>
        <w:rPr>
          <w:spacing w:val="-7"/>
        </w:rPr>
        <w:t xml:space="preserve"> </w:t>
      </w:r>
      <w:r>
        <w:t>el</w:t>
      </w:r>
      <w:r>
        <w:rPr>
          <w:spacing w:val="-7"/>
        </w:rPr>
        <w:t xml:space="preserve"> </w:t>
      </w:r>
      <w:r>
        <w:t>diálogo</w:t>
      </w:r>
      <w:r>
        <w:rPr>
          <w:spacing w:val="-7"/>
        </w:rPr>
        <w:t xml:space="preserve"> </w:t>
      </w:r>
      <w:r>
        <w:t>y</w:t>
      </w:r>
      <w:r>
        <w:rPr>
          <w:spacing w:val="-7"/>
        </w:rPr>
        <w:t xml:space="preserve"> </w:t>
      </w:r>
      <w:r>
        <w:t>voluntad</w:t>
      </w:r>
      <w:r>
        <w:rPr>
          <w:spacing w:val="-7"/>
        </w:rPr>
        <w:t xml:space="preserve"> </w:t>
      </w:r>
      <w:r>
        <w:t>de todos,</w:t>
      </w:r>
      <w:r>
        <w:rPr>
          <w:spacing w:val="-4"/>
        </w:rPr>
        <w:t xml:space="preserve"> </w:t>
      </w:r>
      <w:r>
        <w:t>ahora</w:t>
      </w:r>
      <w:r>
        <w:rPr>
          <w:spacing w:val="-5"/>
        </w:rPr>
        <w:t xml:space="preserve"> </w:t>
      </w:r>
      <w:r>
        <w:t>voy</w:t>
      </w:r>
      <w:r>
        <w:rPr>
          <w:spacing w:val="-4"/>
        </w:rPr>
        <w:t xml:space="preserve"> </w:t>
      </w:r>
      <w:r>
        <w:t>a</w:t>
      </w:r>
      <w:r>
        <w:rPr>
          <w:spacing w:val="-3"/>
        </w:rPr>
        <w:t xml:space="preserve"> </w:t>
      </w:r>
      <w:r>
        <w:t>colocar</w:t>
      </w:r>
      <w:r>
        <w:rPr>
          <w:spacing w:val="-3"/>
        </w:rPr>
        <w:t xml:space="preserve"> </w:t>
      </w:r>
      <w:r>
        <w:t>cuatro</w:t>
      </w:r>
      <w:r>
        <w:rPr>
          <w:spacing w:val="-4"/>
        </w:rPr>
        <w:t xml:space="preserve"> </w:t>
      </w:r>
      <w:r>
        <w:t>velas,</w:t>
      </w:r>
      <w:r>
        <w:rPr>
          <w:spacing w:val="-4"/>
        </w:rPr>
        <w:t xml:space="preserve"> </w:t>
      </w:r>
      <w:r>
        <w:t>cada</w:t>
      </w:r>
      <w:r>
        <w:rPr>
          <w:spacing w:val="-3"/>
        </w:rPr>
        <w:t xml:space="preserve"> </w:t>
      </w:r>
      <w:r>
        <w:t>una</w:t>
      </w:r>
      <w:r>
        <w:rPr>
          <w:spacing w:val="-3"/>
        </w:rPr>
        <w:t xml:space="preserve"> </w:t>
      </w:r>
      <w:r>
        <w:t>de</w:t>
      </w:r>
      <w:r>
        <w:rPr>
          <w:spacing w:val="-3"/>
        </w:rPr>
        <w:t xml:space="preserve"> </w:t>
      </w:r>
      <w:r>
        <w:t>ellas</w:t>
      </w:r>
      <w:r>
        <w:rPr>
          <w:spacing w:val="-3"/>
        </w:rPr>
        <w:t xml:space="preserve"> </w:t>
      </w:r>
      <w:r>
        <w:t>representa</w:t>
      </w:r>
      <w:r>
        <w:rPr>
          <w:spacing w:val="-3"/>
        </w:rPr>
        <w:t xml:space="preserve"> </w:t>
      </w:r>
      <w:r>
        <w:t>algo,</w:t>
      </w:r>
      <w:r>
        <w:rPr>
          <w:spacing w:val="-4"/>
        </w:rPr>
        <w:t xml:space="preserve"> </w:t>
      </w:r>
      <w:r>
        <w:t>una</w:t>
      </w:r>
      <w:r>
        <w:rPr>
          <w:spacing w:val="-3"/>
        </w:rPr>
        <w:t xml:space="preserve"> </w:t>
      </w:r>
      <w:r>
        <w:t>por</w:t>
      </w:r>
      <w:r>
        <w:rPr>
          <w:spacing w:val="-3"/>
        </w:rPr>
        <w:t xml:space="preserve"> </w:t>
      </w:r>
      <w:r>
        <w:t>la</w:t>
      </w:r>
      <w:r>
        <w:rPr>
          <w:spacing w:val="-3"/>
        </w:rPr>
        <w:t xml:space="preserve"> </w:t>
      </w:r>
      <w:r>
        <w:t>vida</w:t>
      </w:r>
      <w:r>
        <w:rPr>
          <w:spacing w:val="-3"/>
        </w:rPr>
        <w:t xml:space="preserve"> </w:t>
      </w:r>
      <w:r>
        <w:t>de cada</w:t>
      </w:r>
      <w:r>
        <w:rPr>
          <w:spacing w:val="-9"/>
        </w:rPr>
        <w:t xml:space="preserve"> </w:t>
      </w:r>
      <w:r>
        <w:t>uno</w:t>
      </w:r>
      <w:r>
        <w:rPr>
          <w:spacing w:val="-10"/>
        </w:rPr>
        <w:t xml:space="preserve"> </w:t>
      </w:r>
      <w:r>
        <w:t>de</w:t>
      </w:r>
      <w:r>
        <w:rPr>
          <w:spacing w:val="-11"/>
        </w:rPr>
        <w:t xml:space="preserve"> </w:t>
      </w:r>
      <w:r>
        <w:t>los</w:t>
      </w:r>
      <w:r>
        <w:rPr>
          <w:spacing w:val="-9"/>
        </w:rPr>
        <w:t xml:space="preserve"> </w:t>
      </w:r>
      <w:r>
        <w:t>que</w:t>
      </w:r>
      <w:r>
        <w:rPr>
          <w:spacing w:val="-9"/>
        </w:rPr>
        <w:t xml:space="preserve"> </w:t>
      </w:r>
      <w:r>
        <w:t>estamos</w:t>
      </w:r>
      <w:r>
        <w:rPr>
          <w:spacing w:val="-9"/>
        </w:rPr>
        <w:t xml:space="preserve"> </w:t>
      </w:r>
      <w:r>
        <w:t>aquí,</w:t>
      </w:r>
      <w:r>
        <w:rPr>
          <w:spacing w:val="-11"/>
        </w:rPr>
        <w:t xml:space="preserve"> </w:t>
      </w:r>
      <w:r>
        <w:t>otra</w:t>
      </w:r>
      <w:r>
        <w:rPr>
          <w:spacing w:val="-9"/>
        </w:rPr>
        <w:t xml:space="preserve"> </w:t>
      </w:r>
      <w:r>
        <w:t>para</w:t>
      </w:r>
      <w:r>
        <w:rPr>
          <w:spacing w:val="-9"/>
        </w:rPr>
        <w:t xml:space="preserve"> </w:t>
      </w:r>
      <w:r>
        <w:t>la</w:t>
      </w:r>
      <w:r>
        <w:rPr>
          <w:spacing w:val="-11"/>
        </w:rPr>
        <w:t xml:space="preserve"> </w:t>
      </w:r>
      <w:r>
        <w:t>unidad</w:t>
      </w:r>
      <w:r>
        <w:rPr>
          <w:spacing w:val="-10"/>
        </w:rPr>
        <w:t xml:space="preserve"> </w:t>
      </w:r>
      <w:r>
        <w:t>y</w:t>
      </w:r>
      <w:r>
        <w:rPr>
          <w:spacing w:val="-10"/>
        </w:rPr>
        <w:t xml:space="preserve"> </w:t>
      </w:r>
      <w:r>
        <w:t>equidad</w:t>
      </w:r>
      <w:r>
        <w:rPr>
          <w:spacing w:val="-10"/>
        </w:rPr>
        <w:t xml:space="preserve"> </w:t>
      </w:r>
      <w:r>
        <w:t>de</w:t>
      </w:r>
      <w:r>
        <w:rPr>
          <w:spacing w:val="-9"/>
        </w:rPr>
        <w:t xml:space="preserve"> </w:t>
      </w:r>
      <w:r>
        <w:t>cada</w:t>
      </w:r>
      <w:r>
        <w:rPr>
          <w:spacing w:val="-11"/>
        </w:rPr>
        <w:t xml:space="preserve"> </w:t>
      </w:r>
      <w:r>
        <w:t>uno</w:t>
      </w:r>
      <w:r>
        <w:rPr>
          <w:spacing w:val="-10"/>
        </w:rPr>
        <w:t xml:space="preserve"> </w:t>
      </w:r>
      <w:r>
        <w:t>de</w:t>
      </w:r>
      <w:r>
        <w:rPr>
          <w:spacing w:val="-9"/>
        </w:rPr>
        <w:t xml:space="preserve"> </w:t>
      </w:r>
      <w:r>
        <w:t>nosotros,</w:t>
      </w:r>
      <w:r>
        <w:rPr>
          <w:spacing w:val="-10"/>
        </w:rPr>
        <w:t xml:space="preserve"> </w:t>
      </w:r>
      <w:r>
        <w:t>otra para el respeto de cada uno de los que estamos aquí, y otra por todos los que han partido de este mundo. En el símbolo que construimos hay cosas que para nosotros significan mucho, hay</w:t>
      </w:r>
      <w:r>
        <w:rPr>
          <w:spacing w:val="-14"/>
        </w:rPr>
        <w:t xml:space="preserve"> </w:t>
      </w:r>
      <w:r>
        <w:t>elementos</w:t>
      </w:r>
      <w:r>
        <w:rPr>
          <w:spacing w:val="-14"/>
        </w:rPr>
        <w:t xml:space="preserve"> </w:t>
      </w:r>
      <w:r>
        <w:t>importantes</w:t>
      </w:r>
      <w:r>
        <w:rPr>
          <w:spacing w:val="-14"/>
        </w:rPr>
        <w:t xml:space="preserve"> </w:t>
      </w:r>
      <w:r>
        <w:t>que</w:t>
      </w:r>
      <w:r>
        <w:rPr>
          <w:spacing w:val="-14"/>
        </w:rPr>
        <w:t xml:space="preserve"> </w:t>
      </w:r>
      <w:r>
        <w:t>hay</w:t>
      </w:r>
      <w:r>
        <w:rPr>
          <w:spacing w:val="-15"/>
        </w:rPr>
        <w:t xml:space="preserve"> </w:t>
      </w:r>
      <w:r>
        <w:t>en</w:t>
      </w:r>
      <w:r>
        <w:rPr>
          <w:spacing w:val="-14"/>
        </w:rPr>
        <w:t xml:space="preserve"> </w:t>
      </w:r>
      <w:r>
        <w:t>el</w:t>
      </w:r>
      <w:r>
        <w:rPr>
          <w:spacing w:val="-15"/>
        </w:rPr>
        <w:t xml:space="preserve"> </w:t>
      </w:r>
      <w:r>
        <w:t>territorio,</w:t>
      </w:r>
      <w:r>
        <w:rPr>
          <w:spacing w:val="-14"/>
        </w:rPr>
        <w:t xml:space="preserve"> </w:t>
      </w:r>
      <w:r>
        <w:t>dentro</w:t>
      </w:r>
      <w:r>
        <w:rPr>
          <w:spacing w:val="-14"/>
        </w:rPr>
        <w:t xml:space="preserve"> </w:t>
      </w:r>
      <w:r>
        <w:t>de</w:t>
      </w:r>
      <w:r>
        <w:rPr>
          <w:spacing w:val="-15"/>
        </w:rPr>
        <w:t xml:space="preserve"> </w:t>
      </w:r>
      <w:r>
        <w:t>nuestra</w:t>
      </w:r>
      <w:r>
        <w:rPr>
          <w:spacing w:val="-15"/>
        </w:rPr>
        <w:t xml:space="preserve"> </w:t>
      </w:r>
      <w:r>
        <w:t>cosmovisión,</w:t>
      </w:r>
      <w:r>
        <w:rPr>
          <w:spacing w:val="-15"/>
        </w:rPr>
        <w:t xml:space="preserve"> </w:t>
      </w:r>
      <w:r>
        <w:t>representa quiénes somos y para dónde vamos»</w:t>
      </w:r>
      <w:r w:rsidR="002770EA">
        <w:rPr>
          <w:rStyle w:val="Refdenotaalpie"/>
        </w:rPr>
        <w:footnoteReference w:id="1155"/>
      </w:r>
      <w:r>
        <w:t>.</w:t>
      </w:r>
    </w:p>
    <w:p w:rsidR="0011361F" w:rsidRDefault="00AF18A5" w:rsidP="004A6EF4">
      <w:pPr>
        <w:pStyle w:val="Ttulo3"/>
        <w:numPr>
          <w:ilvl w:val="1"/>
          <w:numId w:val="16"/>
        </w:numPr>
      </w:pPr>
      <w:bookmarkStart w:id="1455" w:name="11.5._Un_diálogo_desde_la_humanidad_para"/>
      <w:bookmarkStart w:id="1456" w:name="_Toc112399672"/>
      <w:bookmarkEnd w:id="1455"/>
      <w:r>
        <w:t>Un</w:t>
      </w:r>
      <w:r>
        <w:rPr>
          <w:spacing w:val="-3"/>
        </w:rPr>
        <w:t xml:space="preserve"> </w:t>
      </w:r>
      <w:r>
        <w:t>diálogo</w:t>
      </w:r>
      <w:r>
        <w:rPr>
          <w:spacing w:val="-2"/>
        </w:rPr>
        <w:t xml:space="preserve"> </w:t>
      </w:r>
      <w:r>
        <w:t>desde</w:t>
      </w:r>
      <w:r>
        <w:rPr>
          <w:spacing w:val="-2"/>
        </w:rPr>
        <w:t xml:space="preserve"> </w:t>
      </w:r>
      <w:r>
        <w:t>la</w:t>
      </w:r>
      <w:r>
        <w:rPr>
          <w:spacing w:val="-1"/>
        </w:rPr>
        <w:t xml:space="preserve"> </w:t>
      </w:r>
      <w:r w:rsidRPr="002770EA">
        <w:t>humanidad</w:t>
      </w:r>
      <w:r>
        <w:rPr>
          <w:spacing w:val="-3"/>
        </w:rPr>
        <w:t xml:space="preserve"> </w:t>
      </w:r>
      <w:r>
        <w:t>para</w:t>
      </w:r>
      <w:r>
        <w:rPr>
          <w:spacing w:val="-2"/>
        </w:rPr>
        <w:t xml:space="preserve"> </w:t>
      </w:r>
      <w:r>
        <w:t>la</w:t>
      </w:r>
      <w:r>
        <w:rPr>
          <w:spacing w:val="-1"/>
        </w:rPr>
        <w:t xml:space="preserve"> </w:t>
      </w:r>
      <w:r>
        <w:rPr>
          <w:spacing w:val="-2"/>
        </w:rPr>
        <w:t>humanidad</w:t>
      </w:r>
      <w:bookmarkEnd w:id="1456"/>
    </w:p>
    <w:p w:rsidR="003804AC" w:rsidRDefault="00AF18A5" w:rsidP="006F55B4">
      <w:r>
        <w:t>El reconocimiento de responsabilidad es esencialmente un proceso de diálogo sobre la restauración de la dignidad humana violentada. Para muchas víctimas en la búsqueda de la verdad, puede ser determinante la descripción detallada de un hecho o la exposición de las motivaciones</w:t>
      </w:r>
      <w:r>
        <w:rPr>
          <w:spacing w:val="-7"/>
        </w:rPr>
        <w:t xml:space="preserve"> </w:t>
      </w:r>
      <w:r>
        <w:t>y</w:t>
      </w:r>
      <w:r>
        <w:rPr>
          <w:spacing w:val="-5"/>
        </w:rPr>
        <w:t xml:space="preserve"> </w:t>
      </w:r>
      <w:r>
        <w:t>razones</w:t>
      </w:r>
      <w:r>
        <w:rPr>
          <w:spacing w:val="-6"/>
        </w:rPr>
        <w:t xml:space="preserve"> </w:t>
      </w:r>
      <w:r>
        <w:t>de</w:t>
      </w:r>
      <w:r>
        <w:rPr>
          <w:spacing w:val="-5"/>
        </w:rPr>
        <w:t xml:space="preserve"> </w:t>
      </w:r>
      <w:r>
        <w:t>lo</w:t>
      </w:r>
      <w:r>
        <w:rPr>
          <w:spacing w:val="-6"/>
        </w:rPr>
        <w:t xml:space="preserve"> </w:t>
      </w:r>
      <w:r>
        <w:t>sucedido.</w:t>
      </w:r>
      <w:r>
        <w:rPr>
          <w:spacing w:val="-5"/>
        </w:rPr>
        <w:t xml:space="preserve"> </w:t>
      </w:r>
      <w:r>
        <w:t>También</w:t>
      </w:r>
      <w:r>
        <w:rPr>
          <w:spacing w:val="-6"/>
        </w:rPr>
        <w:t xml:space="preserve"> </w:t>
      </w:r>
      <w:r>
        <w:t>hay</w:t>
      </w:r>
      <w:r>
        <w:rPr>
          <w:spacing w:val="-5"/>
        </w:rPr>
        <w:t xml:space="preserve"> </w:t>
      </w:r>
      <w:r>
        <w:t>una</w:t>
      </w:r>
      <w:r>
        <w:rPr>
          <w:spacing w:val="-6"/>
        </w:rPr>
        <w:t xml:space="preserve"> </w:t>
      </w:r>
      <w:r>
        <w:t>pregunta</w:t>
      </w:r>
      <w:r>
        <w:rPr>
          <w:spacing w:val="-5"/>
        </w:rPr>
        <w:t xml:space="preserve"> </w:t>
      </w:r>
      <w:r>
        <w:t>frecuente</w:t>
      </w:r>
      <w:r>
        <w:rPr>
          <w:spacing w:val="-5"/>
        </w:rPr>
        <w:t xml:space="preserve"> </w:t>
      </w:r>
      <w:r>
        <w:t>en</w:t>
      </w:r>
      <w:r>
        <w:rPr>
          <w:spacing w:val="-6"/>
        </w:rPr>
        <w:t xml:space="preserve"> </w:t>
      </w:r>
      <w:r>
        <w:t>las</w:t>
      </w:r>
      <w:r>
        <w:rPr>
          <w:spacing w:val="-5"/>
        </w:rPr>
        <w:t xml:space="preserve"> </w:t>
      </w:r>
      <w:r>
        <w:rPr>
          <w:spacing w:val="-2"/>
        </w:rPr>
        <w:t>víctimas:</w:t>
      </w:r>
    </w:p>
    <w:p w:rsidR="0011361F" w:rsidRDefault="00AF18A5" w:rsidP="006F55B4">
      <w:r>
        <w:t>¿por</w:t>
      </w:r>
      <w:r>
        <w:rPr>
          <w:spacing w:val="-1"/>
        </w:rPr>
        <w:t xml:space="preserve"> </w:t>
      </w:r>
      <w:r>
        <w:t>qué a</w:t>
      </w:r>
      <w:r>
        <w:rPr>
          <w:spacing w:val="-2"/>
        </w:rPr>
        <w:t xml:space="preserve"> </w:t>
      </w:r>
      <w:r>
        <w:t>mí? o</w:t>
      </w:r>
      <w:r>
        <w:rPr>
          <w:spacing w:val="-1"/>
        </w:rPr>
        <w:t xml:space="preserve"> </w:t>
      </w:r>
      <w:r>
        <w:t>¿por qué</w:t>
      </w:r>
      <w:r>
        <w:rPr>
          <w:spacing w:val="-1"/>
        </w:rPr>
        <w:t xml:space="preserve"> </w:t>
      </w:r>
      <w:r>
        <w:t xml:space="preserve">mi </w:t>
      </w:r>
      <w:r>
        <w:rPr>
          <w:spacing w:val="-2"/>
        </w:rPr>
        <w:t>hijo?</w:t>
      </w:r>
    </w:p>
    <w:p w:rsidR="003804AC" w:rsidRDefault="00AF18A5" w:rsidP="006F55B4">
      <w:r>
        <w:lastRenderedPageBreak/>
        <w:t>El diálogo permite confrontar, escuchar y reconocerse en el presente como personas que han</w:t>
      </w:r>
      <w:r>
        <w:rPr>
          <w:spacing w:val="-10"/>
        </w:rPr>
        <w:t xml:space="preserve"> </w:t>
      </w:r>
      <w:r>
        <w:t>pasado</w:t>
      </w:r>
      <w:r>
        <w:rPr>
          <w:spacing w:val="-10"/>
        </w:rPr>
        <w:t xml:space="preserve"> </w:t>
      </w:r>
      <w:r>
        <w:t>por</w:t>
      </w:r>
      <w:r>
        <w:rPr>
          <w:spacing w:val="-7"/>
        </w:rPr>
        <w:t xml:space="preserve"> </w:t>
      </w:r>
      <w:r>
        <w:t>circunstancias</w:t>
      </w:r>
      <w:r>
        <w:rPr>
          <w:spacing w:val="-8"/>
        </w:rPr>
        <w:t xml:space="preserve"> </w:t>
      </w:r>
      <w:r>
        <w:t>dolorosas,</w:t>
      </w:r>
      <w:r>
        <w:rPr>
          <w:spacing w:val="-8"/>
        </w:rPr>
        <w:t xml:space="preserve"> </w:t>
      </w:r>
      <w:r>
        <w:t>pero</w:t>
      </w:r>
      <w:r>
        <w:rPr>
          <w:spacing w:val="-8"/>
        </w:rPr>
        <w:t xml:space="preserve"> </w:t>
      </w:r>
      <w:r>
        <w:t>necesitan</w:t>
      </w:r>
      <w:r>
        <w:rPr>
          <w:spacing w:val="-8"/>
        </w:rPr>
        <w:t xml:space="preserve"> </w:t>
      </w:r>
      <w:r>
        <w:t>reivindicar</w:t>
      </w:r>
      <w:r>
        <w:rPr>
          <w:spacing w:val="-7"/>
        </w:rPr>
        <w:t xml:space="preserve"> </w:t>
      </w:r>
      <w:r>
        <w:t>la</w:t>
      </w:r>
      <w:r>
        <w:rPr>
          <w:spacing w:val="-8"/>
        </w:rPr>
        <w:t xml:space="preserve"> </w:t>
      </w:r>
      <w:r>
        <w:t>necesidad</w:t>
      </w:r>
      <w:r>
        <w:rPr>
          <w:spacing w:val="-7"/>
        </w:rPr>
        <w:t xml:space="preserve"> </w:t>
      </w:r>
      <w:r>
        <w:t>de</w:t>
      </w:r>
      <w:r>
        <w:rPr>
          <w:spacing w:val="-8"/>
        </w:rPr>
        <w:t xml:space="preserve"> </w:t>
      </w:r>
      <w:r>
        <w:t>poner</w:t>
      </w:r>
      <w:r>
        <w:rPr>
          <w:spacing w:val="-7"/>
        </w:rPr>
        <w:t xml:space="preserve"> </w:t>
      </w:r>
      <w:r>
        <w:rPr>
          <w:spacing w:val="-5"/>
        </w:rPr>
        <w:t>fin</w:t>
      </w:r>
      <w:bookmarkStart w:id="1457" w:name="_bookmark1280"/>
      <w:bookmarkStart w:id="1458" w:name="_bookmark1281"/>
      <w:bookmarkEnd w:id="1457"/>
      <w:bookmarkEnd w:id="1458"/>
      <w:r w:rsidR="006F55B4">
        <w:t xml:space="preserve"> </w:t>
      </w:r>
      <w:r>
        <w:t>al</w:t>
      </w:r>
      <w:r>
        <w:rPr>
          <w:spacing w:val="-2"/>
        </w:rPr>
        <w:t xml:space="preserve"> </w:t>
      </w:r>
      <w:r>
        <w:t>sufrimiento,</w:t>
      </w:r>
      <w:r>
        <w:rPr>
          <w:spacing w:val="-2"/>
        </w:rPr>
        <w:t xml:space="preserve"> </w:t>
      </w:r>
      <w:r>
        <w:t>una</w:t>
      </w:r>
      <w:r>
        <w:rPr>
          <w:spacing w:val="-2"/>
        </w:rPr>
        <w:t xml:space="preserve"> </w:t>
      </w:r>
      <w:r>
        <w:t>clara</w:t>
      </w:r>
      <w:r>
        <w:rPr>
          <w:spacing w:val="-3"/>
        </w:rPr>
        <w:t xml:space="preserve"> </w:t>
      </w:r>
      <w:r>
        <w:t>afirmación</w:t>
      </w:r>
      <w:r>
        <w:rPr>
          <w:spacing w:val="-2"/>
        </w:rPr>
        <w:t xml:space="preserve"> </w:t>
      </w:r>
      <w:r>
        <w:t>de</w:t>
      </w:r>
      <w:r>
        <w:rPr>
          <w:spacing w:val="-2"/>
        </w:rPr>
        <w:t xml:space="preserve"> </w:t>
      </w:r>
      <w:r>
        <w:t>la</w:t>
      </w:r>
      <w:r>
        <w:rPr>
          <w:spacing w:val="-3"/>
        </w:rPr>
        <w:t xml:space="preserve"> </w:t>
      </w:r>
      <w:r>
        <w:t>posibilidad</w:t>
      </w:r>
      <w:r>
        <w:rPr>
          <w:spacing w:val="-2"/>
        </w:rPr>
        <w:t xml:space="preserve"> </w:t>
      </w:r>
      <w:r>
        <w:t>de</w:t>
      </w:r>
      <w:r>
        <w:rPr>
          <w:spacing w:val="-3"/>
        </w:rPr>
        <w:t xml:space="preserve"> </w:t>
      </w:r>
      <w:r>
        <w:t>construir</w:t>
      </w:r>
      <w:r>
        <w:rPr>
          <w:spacing w:val="-3"/>
        </w:rPr>
        <w:t xml:space="preserve"> </w:t>
      </w:r>
      <w:r>
        <w:t>una</w:t>
      </w:r>
      <w:r>
        <w:rPr>
          <w:spacing w:val="-3"/>
        </w:rPr>
        <w:t xml:space="preserve"> </w:t>
      </w:r>
      <w:r>
        <w:t>realidad</w:t>
      </w:r>
      <w:r>
        <w:rPr>
          <w:spacing w:val="-2"/>
        </w:rPr>
        <w:t xml:space="preserve"> </w:t>
      </w:r>
      <w:r>
        <w:t>diferente,</w:t>
      </w:r>
      <w:r>
        <w:rPr>
          <w:spacing w:val="-2"/>
        </w:rPr>
        <w:t xml:space="preserve"> </w:t>
      </w:r>
      <w:r>
        <w:t>sin guerra. Muchas de las víctimas y responsables que han participado en estos procesos de reconocimiento de responsabilidad señalan la importancia de la continuidad. Si bien estas acciones no son «actos de reconocimiento» sino procesos personales o colectivos, tampoco constituyen el punto final de un camino. Dar un sentido colectivo, poder compartir nuevos pasos para el esclarecimiento o el reconocimiento, o convertir estas acciones en lecciones para</w:t>
      </w:r>
      <w:r>
        <w:rPr>
          <w:spacing w:val="-2"/>
        </w:rPr>
        <w:t xml:space="preserve"> </w:t>
      </w:r>
      <w:r>
        <w:t>la</w:t>
      </w:r>
      <w:r>
        <w:rPr>
          <w:spacing w:val="-2"/>
        </w:rPr>
        <w:t xml:space="preserve"> </w:t>
      </w:r>
      <w:r>
        <w:t>sociedad</w:t>
      </w:r>
      <w:r>
        <w:rPr>
          <w:spacing w:val="-2"/>
        </w:rPr>
        <w:t xml:space="preserve"> </w:t>
      </w:r>
      <w:r>
        <w:t>o</w:t>
      </w:r>
      <w:r>
        <w:rPr>
          <w:spacing w:val="-2"/>
        </w:rPr>
        <w:t xml:space="preserve"> </w:t>
      </w:r>
      <w:r>
        <w:t>en</w:t>
      </w:r>
      <w:r>
        <w:rPr>
          <w:spacing w:val="-3"/>
        </w:rPr>
        <w:t xml:space="preserve"> </w:t>
      </w:r>
      <w:r>
        <w:t>oportunidades</w:t>
      </w:r>
      <w:r>
        <w:rPr>
          <w:spacing w:val="-3"/>
        </w:rPr>
        <w:t xml:space="preserve"> </w:t>
      </w:r>
      <w:r>
        <w:t>de</w:t>
      </w:r>
      <w:r>
        <w:rPr>
          <w:spacing w:val="-2"/>
        </w:rPr>
        <w:t xml:space="preserve"> </w:t>
      </w:r>
      <w:r>
        <w:t>diálogo</w:t>
      </w:r>
      <w:r>
        <w:rPr>
          <w:spacing w:val="-2"/>
        </w:rPr>
        <w:t xml:space="preserve"> </w:t>
      </w:r>
      <w:r>
        <w:t>con</w:t>
      </w:r>
      <w:r>
        <w:rPr>
          <w:spacing w:val="-2"/>
        </w:rPr>
        <w:t xml:space="preserve"> </w:t>
      </w:r>
      <w:r>
        <w:t>las</w:t>
      </w:r>
      <w:r>
        <w:rPr>
          <w:spacing w:val="-2"/>
        </w:rPr>
        <w:t xml:space="preserve"> </w:t>
      </w:r>
      <w:r>
        <w:t>nuevas</w:t>
      </w:r>
      <w:r>
        <w:rPr>
          <w:spacing w:val="-2"/>
        </w:rPr>
        <w:t xml:space="preserve"> </w:t>
      </w:r>
      <w:r>
        <w:t>generaciones</w:t>
      </w:r>
      <w:r>
        <w:rPr>
          <w:spacing w:val="-2"/>
        </w:rPr>
        <w:t xml:space="preserve"> </w:t>
      </w:r>
      <w:r>
        <w:t>son</w:t>
      </w:r>
      <w:r>
        <w:rPr>
          <w:spacing w:val="-2"/>
        </w:rPr>
        <w:t xml:space="preserve"> </w:t>
      </w:r>
      <w:r>
        <w:t>parte</w:t>
      </w:r>
      <w:r>
        <w:rPr>
          <w:spacing w:val="-3"/>
        </w:rPr>
        <w:t xml:space="preserve"> </w:t>
      </w:r>
      <w:r>
        <w:t>de</w:t>
      </w:r>
      <w:r>
        <w:rPr>
          <w:spacing w:val="-2"/>
        </w:rPr>
        <w:t xml:space="preserve"> </w:t>
      </w:r>
      <w:r>
        <w:t>los pasos a dar en el futuro de Colombia.</w:t>
      </w:r>
    </w:p>
    <w:p w:rsidR="003804AC" w:rsidRDefault="00AF18A5" w:rsidP="006F55B4">
      <w:r>
        <w:t>Los diálogos profundos entre víctimas y responsables suelen darse cuando se logran construir espacios de intimidad. La relación entre víctimas y responsables, y de estos con la Comisión, surgió del diálogo, no fue una transacción de narrativas. Esto significa que el proceso</w:t>
      </w:r>
      <w:r>
        <w:rPr>
          <w:spacing w:val="-9"/>
        </w:rPr>
        <w:t xml:space="preserve"> </w:t>
      </w:r>
      <w:r>
        <w:t>de</w:t>
      </w:r>
      <w:r>
        <w:rPr>
          <w:spacing w:val="-10"/>
        </w:rPr>
        <w:t xml:space="preserve"> </w:t>
      </w:r>
      <w:r>
        <w:t>reconocimiento</w:t>
      </w:r>
      <w:r>
        <w:rPr>
          <w:spacing w:val="-9"/>
        </w:rPr>
        <w:t xml:space="preserve"> </w:t>
      </w:r>
      <w:r>
        <w:t>no</w:t>
      </w:r>
      <w:r>
        <w:rPr>
          <w:spacing w:val="-9"/>
        </w:rPr>
        <w:t xml:space="preserve"> </w:t>
      </w:r>
      <w:r>
        <w:t>ha</w:t>
      </w:r>
      <w:r>
        <w:rPr>
          <w:spacing w:val="-9"/>
        </w:rPr>
        <w:t xml:space="preserve"> </w:t>
      </w:r>
      <w:r>
        <w:t>buscado</w:t>
      </w:r>
      <w:r>
        <w:rPr>
          <w:spacing w:val="-9"/>
        </w:rPr>
        <w:t xml:space="preserve"> </w:t>
      </w:r>
      <w:r>
        <w:t>resolver</w:t>
      </w:r>
      <w:r>
        <w:rPr>
          <w:spacing w:val="-9"/>
        </w:rPr>
        <w:t xml:space="preserve"> </w:t>
      </w:r>
      <w:r>
        <w:t>o</w:t>
      </w:r>
      <w:r>
        <w:rPr>
          <w:spacing w:val="-9"/>
        </w:rPr>
        <w:t xml:space="preserve"> </w:t>
      </w:r>
      <w:r>
        <w:t>negociar</w:t>
      </w:r>
      <w:r>
        <w:rPr>
          <w:spacing w:val="-10"/>
        </w:rPr>
        <w:t xml:space="preserve"> </w:t>
      </w:r>
      <w:r>
        <w:t>el</w:t>
      </w:r>
      <w:r>
        <w:rPr>
          <w:spacing w:val="-9"/>
        </w:rPr>
        <w:t xml:space="preserve"> </w:t>
      </w:r>
      <w:r>
        <w:t>relato</w:t>
      </w:r>
      <w:r>
        <w:rPr>
          <w:spacing w:val="-9"/>
        </w:rPr>
        <w:t xml:space="preserve"> </w:t>
      </w:r>
      <w:r>
        <w:t>sobre</w:t>
      </w:r>
      <w:r>
        <w:rPr>
          <w:spacing w:val="-9"/>
        </w:rPr>
        <w:t xml:space="preserve"> </w:t>
      </w:r>
      <w:r>
        <w:t>los</w:t>
      </w:r>
      <w:r>
        <w:rPr>
          <w:spacing w:val="-9"/>
        </w:rPr>
        <w:t xml:space="preserve"> </w:t>
      </w:r>
      <w:r>
        <w:t>hechos,</w:t>
      </w:r>
      <w:r>
        <w:rPr>
          <w:spacing w:val="-9"/>
        </w:rPr>
        <w:t xml:space="preserve"> </w:t>
      </w:r>
      <w:r>
        <w:t>sino trabajar</w:t>
      </w:r>
      <w:r>
        <w:rPr>
          <w:spacing w:val="-8"/>
        </w:rPr>
        <w:t xml:space="preserve"> </w:t>
      </w:r>
      <w:r>
        <w:t>en</w:t>
      </w:r>
      <w:r>
        <w:rPr>
          <w:spacing w:val="-10"/>
        </w:rPr>
        <w:t xml:space="preserve"> </w:t>
      </w:r>
      <w:r>
        <w:t>la</w:t>
      </w:r>
      <w:r>
        <w:rPr>
          <w:spacing w:val="-8"/>
        </w:rPr>
        <w:t xml:space="preserve"> </w:t>
      </w:r>
      <w:r>
        <w:t>reconstrucción</w:t>
      </w:r>
      <w:r>
        <w:rPr>
          <w:spacing w:val="-8"/>
        </w:rPr>
        <w:t xml:space="preserve"> </w:t>
      </w:r>
      <w:r>
        <w:t>de</w:t>
      </w:r>
      <w:r>
        <w:rPr>
          <w:spacing w:val="-8"/>
        </w:rPr>
        <w:t xml:space="preserve"> </w:t>
      </w:r>
      <w:r>
        <w:t>una</w:t>
      </w:r>
      <w:r>
        <w:rPr>
          <w:spacing w:val="-8"/>
        </w:rPr>
        <w:t xml:space="preserve"> </w:t>
      </w:r>
      <w:r>
        <w:t>relación</w:t>
      </w:r>
      <w:r>
        <w:rPr>
          <w:spacing w:val="-8"/>
        </w:rPr>
        <w:t xml:space="preserve"> </w:t>
      </w:r>
      <w:r>
        <w:t>fracturada,</w:t>
      </w:r>
      <w:r>
        <w:rPr>
          <w:spacing w:val="-8"/>
        </w:rPr>
        <w:t xml:space="preserve"> </w:t>
      </w:r>
      <w:r>
        <w:t>con</w:t>
      </w:r>
      <w:r>
        <w:rPr>
          <w:spacing w:val="-8"/>
        </w:rPr>
        <w:t xml:space="preserve"> </w:t>
      </w:r>
      <w:r>
        <w:t>todo</w:t>
      </w:r>
      <w:r>
        <w:rPr>
          <w:spacing w:val="-8"/>
        </w:rPr>
        <w:t xml:space="preserve"> </w:t>
      </w:r>
      <w:r>
        <w:t>lo</w:t>
      </w:r>
      <w:r>
        <w:rPr>
          <w:spacing w:val="-8"/>
        </w:rPr>
        <w:t xml:space="preserve"> </w:t>
      </w:r>
      <w:r>
        <w:t>que</w:t>
      </w:r>
      <w:r>
        <w:rPr>
          <w:spacing w:val="-8"/>
        </w:rPr>
        <w:t xml:space="preserve"> </w:t>
      </w:r>
      <w:r>
        <w:t>ello</w:t>
      </w:r>
      <w:r>
        <w:rPr>
          <w:spacing w:val="-8"/>
        </w:rPr>
        <w:t xml:space="preserve"> </w:t>
      </w:r>
      <w:r>
        <w:t>implica.</w:t>
      </w:r>
      <w:r>
        <w:rPr>
          <w:spacing w:val="-10"/>
        </w:rPr>
        <w:t xml:space="preserve"> </w:t>
      </w:r>
      <w:r>
        <w:t>Por</w:t>
      </w:r>
      <w:r>
        <w:rPr>
          <w:spacing w:val="-8"/>
        </w:rPr>
        <w:t xml:space="preserve"> </w:t>
      </w:r>
      <w:r>
        <w:t>eso el diálogo aborda múltiples posibilidades de interacción, más allá de la relación víctima/responsable. Hablar de otros aspectos de la vida como familia, hijos, entre otros, posibilita</w:t>
      </w:r>
      <w:r>
        <w:rPr>
          <w:spacing w:val="-6"/>
        </w:rPr>
        <w:t xml:space="preserve"> </w:t>
      </w:r>
      <w:r>
        <w:t>formas</w:t>
      </w:r>
      <w:r>
        <w:rPr>
          <w:spacing w:val="-7"/>
        </w:rPr>
        <w:t xml:space="preserve"> </w:t>
      </w:r>
      <w:r>
        <w:t>de</w:t>
      </w:r>
      <w:r>
        <w:rPr>
          <w:spacing w:val="-7"/>
        </w:rPr>
        <w:t xml:space="preserve"> </w:t>
      </w:r>
      <w:r>
        <w:t>comunicación</w:t>
      </w:r>
      <w:r>
        <w:rPr>
          <w:spacing w:val="-6"/>
        </w:rPr>
        <w:t xml:space="preserve"> </w:t>
      </w:r>
      <w:r>
        <w:t>distintas</w:t>
      </w:r>
      <w:r>
        <w:rPr>
          <w:spacing w:val="-6"/>
        </w:rPr>
        <w:t xml:space="preserve"> </w:t>
      </w:r>
      <w:r>
        <w:t>que</w:t>
      </w:r>
      <w:r>
        <w:rPr>
          <w:spacing w:val="-6"/>
        </w:rPr>
        <w:t xml:space="preserve"> </w:t>
      </w:r>
      <w:r>
        <w:t>pueden</w:t>
      </w:r>
      <w:r>
        <w:rPr>
          <w:spacing w:val="-6"/>
        </w:rPr>
        <w:t xml:space="preserve"> </w:t>
      </w:r>
      <w:r>
        <w:t>llevar</w:t>
      </w:r>
      <w:r>
        <w:rPr>
          <w:spacing w:val="-7"/>
        </w:rPr>
        <w:t xml:space="preserve"> </w:t>
      </w:r>
      <w:r>
        <w:t>a</w:t>
      </w:r>
      <w:r>
        <w:rPr>
          <w:spacing w:val="-6"/>
        </w:rPr>
        <w:t xml:space="preserve"> </w:t>
      </w:r>
      <w:r>
        <w:t>desactivar</w:t>
      </w:r>
      <w:r>
        <w:rPr>
          <w:spacing w:val="-7"/>
        </w:rPr>
        <w:t xml:space="preserve"> </w:t>
      </w:r>
      <w:r>
        <w:t>posturas</w:t>
      </w:r>
      <w:r>
        <w:rPr>
          <w:spacing w:val="-6"/>
        </w:rPr>
        <w:t xml:space="preserve"> </w:t>
      </w:r>
      <w:r>
        <w:t>políticas o ideológicas que trae consigo el responsable o la víctima.</w:t>
      </w:r>
    </w:p>
    <w:p w:rsidR="003804AC" w:rsidRDefault="00AF18A5" w:rsidP="006F55B4">
      <w:r>
        <w:t xml:space="preserve">Si bien los participantes tienen creencias sociales o ideologías diferentes, el proceso de diálogo y encuentro no se da sobre la discusión de las opciones políticas, sino sobre las experiencias humanas </w:t>
      </w:r>
      <w:r>
        <w:lastRenderedPageBreak/>
        <w:t>compartidas. La base ética de estos procesos es el rechazo a lo sucedido</w:t>
      </w:r>
      <w:r>
        <w:rPr>
          <w:spacing w:val="-15"/>
        </w:rPr>
        <w:t xml:space="preserve"> </w:t>
      </w:r>
      <w:r>
        <w:t>y</w:t>
      </w:r>
      <w:r>
        <w:rPr>
          <w:spacing w:val="-15"/>
        </w:rPr>
        <w:t xml:space="preserve"> </w:t>
      </w:r>
      <w:r>
        <w:t>un</w:t>
      </w:r>
      <w:r>
        <w:rPr>
          <w:spacing w:val="-15"/>
        </w:rPr>
        <w:t xml:space="preserve"> </w:t>
      </w:r>
      <w:r>
        <w:t>examen</w:t>
      </w:r>
      <w:r>
        <w:rPr>
          <w:spacing w:val="-15"/>
        </w:rPr>
        <w:t xml:space="preserve"> </w:t>
      </w:r>
      <w:r>
        <w:t>crítico</w:t>
      </w:r>
      <w:r>
        <w:rPr>
          <w:spacing w:val="-15"/>
        </w:rPr>
        <w:t xml:space="preserve"> </w:t>
      </w:r>
      <w:r>
        <w:t>de</w:t>
      </w:r>
      <w:r>
        <w:rPr>
          <w:spacing w:val="-15"/>
        </w:rPr>
        <w:t xml:space="preserve"> </w:t>
      </w:r>
      <w:r>
        <w:t>los</w:t>
      </w:r>
      <w:r>
        <w:rPr>
          <w:spacing w:val="-15"/>
        </w:rPr>
        <w:t xml:space="preserve"> </w:t>
      </w:r>
      <w:r>
        <w:t>responsables.</w:t>
      </w:r>
      <w:r>
        <w:rPr>
          <w:spacing w:val="-15"/>
        </w:rPr>
        <w:t xml:space="preserve"> </w:t>
      </w:r>
      <w:r>
        <w:t>Los</w:t>
      </w:r>
      <w:r>
        <w:rPr>
          <w:spacing w:val="-15"/>
        </w:rPr>
        <w:t xml:space="preserve"> </w:t>
      </w:r>
      <w:r>
        <w:t>reconocimientos</w:t>
      </w:r>
      <w:r>
        <w:rPr>
          <w:spacing w:val="-15"/>
        </w:rPr>
        <w:t xml:space="preserve"> </w:t>
      </w:r>
      <w:r>
        <w:t>y</w:t>
      </w:r>
      <w:r>
        <w:rPr>
          <w:spacing w:val="-15"/>
        </w:rPr>
        <w:t xml:space="preserve"> </w:t>
      </w:r>
      <w:r>
        <w:t>procesos</w:t>
      </w:r>
      <w:r>
        <w:rPr>
          <w:spacing w:val="-15"/>
        </w:rPr>
        <w:t xml:space="preserve"> </w:t>
      </w:r>
      <w:r>
        <w:t>de</w:t>
      </w:r>
      <w:r>
        <w:rPr>
          <w:spacing w:val="-15"/>
        </w:rPr>
        <w:t xml:space="preserve"> </w:t>
      </w:r>
      <w:r>
        <w:t xml:space="preserve">diálogo no se dan sobre la base de una neutralidad, sino sobre una base del respeto a los derechos </w:t>
      </w:r>
      <w:r>
        <w:rPr>
          <w:spacing w:val="-2"/>
        </w:rPr>
        <w:t>humanos.</w:t>
      </w:r>
    </w:p>
    <w:p w:rsidR="003804AC" w:rsidRDefault="00AF18A5" w:rsidP="006F55B4">
      <w:r>
        <w:t>La toma de conciencia, en vez de respuestas habituales en la guerra para diluir responsabilidad, atribuirla a circunstancias, refugiarse en la obediencia o minimizar los hechos,</w:t>
      </w:r>
      <w:r>
        <w:rPr>
          <w:spacing w:val="9"/>
        </w:rPr>
        <w:t xml:space="preserve"> </w:t>
      </w:r>
      <w:r>
        <w:t>representa</w:t>
      </w:r>
      <w:r>
        <w:rPr>
          <w:spacing w:val="11"/>
        </w:rPr>
        <w:t xml:space="preserve"> </w:t>
      </w:r>
      <w:r>
        <w:t>un</w:t>
      </w:r>
      <w:r>
        <w:rPr>
          <w:spacing w:val="9"/>
        </w:rPr>
        <w:t xml:space="preserve"> </w:t>
      </w:r>
      <w:r>
        <w:t>giro</w:t>
      </w:r>
      <w:r>
        <w:rPr>
          <w:spacing w:val="10"/>
        </w:rPr>
        <w:t xml:space="preserve"> </w:t>
      </w:r>
      <w:r>
        <w:t>de</w:t>
      </w:r>
      <w:r>
        <w:rPr>
          <w:spacing w:val="11"/>
        </w:rPr>
        <w:t xml:space="preserve"> </w:t>
      </w:r>
      <w:r>
        <w:t>los</w:t>
      </w:r>
      <w:r>
        <w:rPr>
          <w:spacing w:val="10"/>
        </w:rPr>
        <w:t xml:space="preserve"> </w:t>
      </w:r>
      <w:r>
        <w:t>responsables</w:t>
      </w:r>
      <w:r>
        <w:rPr>
          <w:spacing w:val="11"/>
        </w:rPr>
        <w:t xml:space="preserve"> </w:t>
      </w:r>
      <w:r>
        <w:t>cuando</w:t>
      </w:r>
      <w:r>
        <w:rPr>
          <w:spacing w:val="9"/>
        </w:rPr>
        <w:t xml:space="preserve"> </w:t>
      </w:r>
      <w:r>
        <w:t>entienden</w:t>
      </w:r>
      <w:r>
        <w:rPr>
          <w:spacing w:val="10"/>
        </w:rPr>
        <w:t xml:space="preserve"> </w:t>
      </w:r>
      <w:r>
        <w:t>que</w:t>
      </w:r>
      <w:r>
        <w:rPr>
          <w:spacing w:val="11"/>
        </w:rPr>
        <w:t xml:space="preserve"> </w:t>
      </w:r>
      <w:r>
        <w:t>un</w:t>
      </w:r>
      <w:r>
        <w:rPr>
          <w:spacing w:val="9"/>
        </w:rPr>
        <w:t xml:space="preserve"> </w:t>
      </w:r>
      <w:r>
        <w:t>suceso</w:t>
      </w:r>
      <w:r>
        <w:rPr>
          <w:spacing w:val="10"/>
        </w:rPr>
        <w:t xml:space="preserve"> </w:t>
      </w:r>
      <w:r>
        <w:t>de</w:t>
      </w:r>
      <w:r>
        <w:rPr>
          <w:spacing w:val="11"/>
        </w:rPr>
        <w:t xml:space="preserve"> </w:t>
      </w:r>
      <w:r>
        <w:rPr>
          <w:spacing w:val="-2"/>
        </w:rPr>
        <w:t>carácter</w:t>
      </w:r>
      <w:r w:rsidR="006F55B4">
        <w:t xml:space="preserve"> </w:t>
      </w:r>
      <w:r>
        <w:t>«militar» dañó a civiles, con efectos devastadores, como en el caso de las sucesivas tomas guerrilleras llevadas a cabo por las antiguas FARC-EP. Por ejemplo, en el acto de reconocimiento</w:t>
      </w:r>
      <w:r>
        <w:rPr>
          <w:spacing w:val="-5"/>
        </w:rPr>
        <w:t xml:space="preserve"> </w:t>
      </w:r>
      <w:r>
        <w:t>de</w:t>
      </w:r>
      <w:r>
        <w:rPr>
          <w:spacing w:val="-4"/>
        </w:rPr>
        <w:t xml:space="preserve"> </w:t>
      </w:r>
      <w:r>
        <w:t>responsabilidad</w:t>
      </w:r>
      <w:r>
        <w:rPr>
          <w:spacing w:val="-4"/>
        </w:rPr>
        <w:t xml:space="preserve"> </w:t>
      </w:r>
      <w:r>
        <w:t>del</w:t>
      </w:r>
      <w:r>
        <w:rPr>
          <w:spacing w:val="-4"/>
        </w:rPr>
        <w:t xml:space="preserve"> </w:t>
      </w:r>
      <w:r>
        <w:t>ataque</w:t>
      </w:r>
      <w:r>
        <w:rPr>
          <w:spacing w:val="-4"/>
        </w:rPr>
        <w:t xml:space="preserve"> </w:t>
      </w:r>
      <w:r>
        <w:t>al</w:t>
      </w:r>
      <w:r>
        <w:rPr>
          <w:spacing w:val="-6"/>
        </w:rPr>
        <w:t xml:space="preserve"> </w:t>
      </w:r>
      <w:r>
        <w:t>municipio</w:t>
      </w:r>
      <w:r>
        <w:rPr>
          <w:spacing w:val="-4"/>
        </w:rPr>
        <w:t xml:space="preserve"> </w:t>
      </w:r>
      <w:r>
        <w:t>de</w:t>
      </w:r>
      <w:r>
        <w:rPr>
          <w:spacing w:val="-4"/>
        </w:rPr>
        <w:t xml:space="preserve"> </w:t>
      </w:r>
      <w:r>
        <w:t>Carmen</w:t>
      </w:r>
      <w:r>
        <w:rPr>
          <w:spacing w:val="-5"/>
        </w:rPr>
        <w:t xml:space="preserve"> </w:t>
      </w:r>
      <w:r>
        <w:t>de</w:t>
      </w:r>
      <w:r>
        <w:rPr>
          <w:spacing w:val="-5"/>
        </w:rPr>
        <w:t xml:space="preserve"> </w:t>
      </w:r>
      <w:r>
        <w:t>Atrato,</w:t>
      </w:r>
      <w:r>
        <w:rPr>
          <w:spacing w:val="-4"/>
        </w:rPr>
        <w:t xml:space="preserve"> </w:t>
      </w:r>
      <w:r>
        <w:t>Chocó,</w:t>
      </w:r>
      <w:r>
        <w:rPr>
          <w:spacing w:val="-4"/>
        </w:rPr>
        <w:t xml:space="preserve"> </w:t>
      </w:r>
      <w:r>
        <w:rPr>
          <w:spacing w:val="-5"/>
        </w:rPr>
        <w:t>los</w:t>
      </w:r>
    </w:p>
    <w:p w:rsidR="003804AC" w:rsidRDefault="00AF18A5" w:rsidP="006F55B4">
      <w:r>
        <w:t>participantes en calidad de responsables expresaron cómo las afectaciones y el dolor generado entre las víctimas, o las graves afectaciones que ocasionaron, son evidencias de haber</w:t>
      </w:r>
      <w:r>
        <w:rPr>
          <w:spacing w:val="-8"/>
        </w:rPr>
        <w:t xml:space="preserve"> </w:t>
      </w:r>
      <w:r>
        <w:t>pasado</w:t>
      </w:r>
      <w:r>
        <w:rPr>
          <w:spacing w:val="-8"/>
        </w:rPr>
        <w:t xml:space="preserve"> </w:t>
      </w:r>
      <w:r>
        <w:t>por</w:t>
      </w:r>
      <w:r>
        <w:rPr>
          <w:spacing w:val="-8"/>
        </w:rPr>
        <w:t xml:space="preserve"> </w:t>
      </w:r>
      <w:r>
        <w:t>alto</w:t>
      </w:r>
      <w:r>
        <w:rPr>
          <w:spacing w:val="-9"/>
        </w:rPr>
        <w:t xml:space="preserve"> </w:t>
      </w:r>
      <w:r>
        <w:t>las</w:t>
      </w:r>
      <w:r>
        <w:rPr>
          <w:spacing w:val="-8"/>
        </w:rPr>
        <w:t xml:space="preserve"> </w:t>
      </w:r>
      <w:r>
        <w:t>consecuencias</w:t>
      </w:r>
      <w:r>
        <w:rPr>
          <w:spacing w:val="-8"/>
        </w:rPr>
        <w:t xml:space="preserve"> </w:t>
      </w:r>
      <w:r>
        <w:t>de</w:t>
      </w:r>
      <w:r>
        <w:rPr>
          <w:spacing w:val="-8"/>
        </w:rPr>
        <w:t xml:space="preserve"> </w:t>
      </w:r>
      <w:r>
        <w:t>sus</w:t>
      </w:r>
      <w:r>
        <w:rPr>
          <w:spacing w:val="-9"/>
        </w:rPr>
        <w:t xml:space="preserve"> </w:t>
      </w:r>
      <w:r>
        <w:t>acciones</w:t>
      </w:r>
      <w:r>
        <w:rPr>
          <w:spacing w:val="-9"/>
        </w:rPr>
        <w:t xml:space="preserve"> </w:t>
      </w:r>
      <w:r>
        <w:t>militares,</w:t>
      </w:r>
      <w:r>
        <w:rPr>
          <w:spacing w:val="-8"/>
        </w:rPr>
        <w:t xml:space="preserve"> </w:t>
      </w:r>
      <w:r>
        <w:t>no</w:t>
      </w:r>
      <w:r>
        <w:rPr>
          <w:spacing w:val="-9"/>
        </w:rPr>
        <w:t xml:space="preserve"> </w:t>
      </w:r>
      <w:r>
        <w:t>solo</w:t>
      </w:r>
      <w:r>
        <w:rPr>
          <w:spacing w:val="-9"/>
        </w:rPr>
        <w:t xml:space="preserve"> </w:t>
      </w:r>
      <w:r>
        <w:t>en</w:t>
      </w:r>
      <w:r>
        <w:rPr>
          <w:spacing w:val="-8"/>
        </w:rPr>
        <w:t xml:space="preserve"> </w:t>
      </w:r>
      <w:r>
        <w:t>lo</w:t>
      </w:r>
      <w:r>
        <w:rPr>
          <w:spacing w:val="-9"/>
        </w:rPr>
        <w:t xml:space="preserve"> </w:t>
      </w:r>
      <w:r>
        <w:t>material</w:t>
      </w:r>
      <w:r>
        <w:rPr>
          <w:spacing w:val="-8"/>
        </w:rPr>
        <w:t xml:space="preserve"> </w:t>
      </w:r>
      <w:r>
        <w:t>sino psicológicamente, con sus efectos adversos e impactos negativos entre la población civil.</w:t>
      </w:r>
    </w:p>
    <w:p w:rsidR="003804AC" w:rsidRDefault="00AF18A5" w:rsidP="006F55B4">
      <w:r>
        <w:t>Los intercambios profundos de verdades en los actos de reconocimiento de responsabilidades</w:t>
      </w:r>
      <w:r>
        <w:rPr>
          <w:spacing w:val="-3"/>
        </w:rPr>
        <w:t xml:space="preserve"> </w:t>
      </w:r>
      <w:r>
        <w:t>tienen</w:t>
      </w:r>
      <w:r>
        <w:rPr>
          <w:spacing w:val="-3"/>
        </w:rPr>
        <w:t xml:space="preserve"> </w:t>
      </w:r>
      <w:r>
        <w:t>posibilidad</w:t>
      </w:r>
      <w:r>
        <w:rPr>
          <w:spacing w:val="-3"/>
        </w:rPr>
        <w:t xml:space="preserve"> </w:t>
      </w:r>
      <w:r>
        <w:t>de</w:t>
      </w:r>
      <w:r>
        <w:rPr>
          <w:spacing w:val="-3"/>
        </w:rPr>
        <w:t xml:space="preserve"> </w:t>
      </w:r>
      <w:r>
        <w:t>prosperar</w:t>
      </w:r>
      <w:r>
        <w:rPr>
          <w:spacing w:val="-3"/>
        </w:rPr>
        <w:t xml:space="preserve"> </w:t>
      </w:r>
      <w:r>
        <w:t>en</w:t>
      </w:r>
      <w:r>
        <w:rPr>
          <w:spacing w:val="-3"/>
        </w:rPr>
        <w:t xml:space="preserve"> </w:t>
      </w:r>
      <w:r>
        <w:t>ambientes</w:t>
      </w:r>
      <w:r>
        <w:rPr>
          <w:spacing w:val="-3"/>
        </w:rPr>
        <w:t xml:space="preserve"> </w:t>
      </w:r>
      <w:r>
        <w:t>de</w:t>
      </w:r>
      <w:r>
        <w:rPr>
          <w:spacing w:val="-3"/>
        </w:rPr>
        <w:t xml:space="preserve"> </w:t>
      </w:r>
      <w:r>
        <w:t>intimidad,</w:t>
      </w:r>
      <w:r>
        <w:rPr>
          <w:spacing w:val="-3"/>
        </w:rPr>
        <w:t xml:space="preserve"> </w:t>
      </w:r>
      <w:r>
        <w:t>de</w:t>
      </w:r>
      <w:r>
        <w:rPr>
          <w:spacing w:val="-3"/>
        </w:rPr>
        <w:t xml:space="preserve"> </w:t>
      </w:r>
      <w:r>
        <w:t>cuidado,</w:t>
      </w:r>
      <w:r>
        <w:rPr>
          <w:spacing w:val="-3"/>
        </w:rPr>
        <w:t xml:space="preserve"> </w:t>
      </w:r>
      <w:r>
        <w:t>de seguridad, de menor exposición. Sin embargo, el lugar público resulta importante porque permite completar el proceso. Por ejemplo, en los casos en que las víctimas pidieron que se reivindicara el nombre de sus familiares víctimas, y que dicha reivindicación se hiciera pública,</w:t>
      </w:r>
      <w:r>
        <w:rPr>
          <w:spacing w:val="-1"/>
        </w:rPr>
        <w:t xml:space="preserve"> </w:t>
      </w:r>
      <w:r>
        <w:t>la</w:t>
      </w:r>
      <w:r>
        <w:rPr>
          <w:spacing w:val="-1"/>
        </w:rPr>
        <w:t xml:space="preserve"> </w:t>
      </w:r>
      <w:r>
        <w:t>realidad es que ese</w:t>
      </w:r>
      <w:r>
        <w:rPr>
          <w:spacing w:val="-1"/>
        </w:rPr>
        <w:t xml:space="preserve"> </w:t>
      </w:r>
      <w:r>
        <w:t>reclamo necesita</w:t>
      </w:r>
      <w:r>
        <w:rPr>
          <w:spacing w:val="-1"/>
        </w:rPr>
        <w:t xml:space="preserve"> </w:t>
      </w:r>
      <w:r>
        <w:t>un tercero,</w:t>
      </w:r>
      <w:r>
        <w:rPr>
          <w:spacing w:val="-1"/>
        </w:rPr>
        <w:t xml:space="preserve"> </w:t>
      </w:r>
      <w:r>
        <w:t>la sociedad,</w:t>
      </w:r>
      <w:r>
        <w:rPr>
          <w:spacing w:val="-1"/>
        </w:rPr>
        <w:t xml:space="preserve"> </w:t>
      </w:r>
      <w:r>
        <w:t>que sea</w:t>
      </w:r>
      <w:r>
        <w:rPr>
          <w:spacing w:val="-1"/>
        </w:rPr>
        <w:t xml:space="preserve"> </w:t>
      </w:r>
      <w:r>
        <w:t>testigo de la restitución</w:t>
      </w:r>
      <w:r>
        <w:rPr>
          <w:spacing w:val="-4"/>
        </w:rPr>
        <w:t xml:space="preserve"> </w:t>
      </w:r>
      <w:r>
        <w:t>del</w:t>
      </w:r>
      <w:r>
        <w:rPr>
          <w:spacing w:val="-3"/>
        </w:rPr>
        <w:t xml:space="preserve"> </w:t>
      </w:r>
      <w:r>
        <w:t>buen</w:t>
      </w:r>
      <w:r>
        <w:rPr>
          <w:spacing w:val="-4"/>
        </w:rPr>
        <w:t xml:space="preserve"> </w:t>
      </w:r>
      <w:r>
        <w:t>nombre</w:t>
      </w:r>
      <w:r>
        <w:rPr>
          <w:spacing w:val="-3"/>
        </w:rPr>
        <w:t xml:space="preserve"> </w:t>
      </w:r>
      <w:r>
        <w:t>de</w:t>
      </w:r>
      <w:r>
        <w:rPr>
          <w:spacing w:val="-3"/>
        </w:rPr>
        <w:t xml:space="preserve"> </w:t>
      </w:r>
      <w:r>
        <w:t>sus</w:t>
      </w:r>
      <w:r>
        <w:rPr>
          <w:spacing w:val="-3"/>
        </w:rPr>
        <w:t xml:space="preserve"> </w:t>
      </w:r>
      <w:r>
        <w:t>seres</w:t>
      </w:r>
      <w:r>
        <w:rPr>
          <w:spacing w:val="-3"/>
        </w:rPr>
        <w:t xml:space="preserve"> </w:t>
      </w:r>
      <w:r>
        <w:t>queridos,</w:t>
      </w:r>
      <w:r>
        <w:rPr>
          <w:spacing w:val="-5"/>
        </w:rPr>
        <w:t xml:space="preserve"> </w:t>
      </w:r>
      <w:r>
        <w:t>o</w:t>
      </w:r>
      <w:r>
        <w:rPr>
          <w:spacing w:val="-4"/>
        </w:rPr>
        <w:t xml:space="preserve"> </w:t>
      </w:r>
      <w:r>
        <w:t>de</w:t>
      </w:r>
      <w:r>
        <w:rPr>
          <w:spacing w:val="-3"/>
        </w:rPr>
        <w:t xml:space="preserve"> </w:t>
      </w:r>
      <w:r>
        <w:t>su</w:t>
      </w:r>
      <w:r>
        <w:rPr>
          <w:spacing w:val="-4"/>
        </w:rPr>
        <w:t xml:space="preserve"> </w:t>
      </w:r>
      <w:r>
        <w:t>organización</w:t>
      </w:r>
      <w:r>
        <w:rPr>
          <w:spacing w:val="-4"/>
        </w:rPr>
        <w:t xml:space="preserve"> </w:t>
      </w:r>
      <w:r>
        <w:t>o</w:t>
      </w:r>
      <w:r>
        <w:rPr>
          <w:spacing w:val="-4"/>
        </w:rPr>
        <w:t xml:space="preserve"> </w:t>
      </w:r>
      <w:r>
        <w:t>de</w:t>
      </w:r>
      <w:r>
        <w:rPr>
          <w:spacing w:val="-3"/>
        </w:rPr>
        <w:t xml:space="preserve"> </w:t>
      </w:r>
      <w:r>
        <w:t>sus</w:t>
      </w:r>
      <w:r>
        <w:rPr>
          <w:spacing w:val="-3"/>
        </w:rPr>
        <w:t xml:space="preserve"> </w:t>
      </w:r>
      <w:r>
        <w:t>pueblos,</w:t>
      </w:r>
      <w:r>
        <w:rPr>
          <w:spacing w:val="-4"/>
        </w:rPr>
        <w:t xml:space="preserve"> </w:t>
      </w:r>
      <w:r>
        <w:t xml:space="preserve">en </w:t>
      </w:r>
      <w:r>
        <w:lastRenderedPageBreak/>
        <w:t>casos particulares de los grupos étnicos.</w:t>
      </w:r>
    </w:p>
    <w:p w:rsidR="003804AC" w:rsidRDefault="00AF18A5" w:rsidP="006F55B4">
      <w:r>
        <w:t>Los actos públicos muestran el poder que tiene la voz de víctimas y responsables en la tarea</w:t>
      </w:r>
      <w:r>
        <w:rPr>
          <w:spacing w:val="-6"/>
        </w:rPr>
        <w:t xml:space="preserve"> </w:t>
      </w:r>
      <w:r>
        <w:t>de</w:t>
      </w:r>
      <w:r>
        <w:rPr>
          <w:spacing w:val="-6"/>
        </w:rPr>
        <w:t xml:space="preserve"> </w:t>
      </w:r>
      <w:r>
        <w:t>movilizar</w:t>
      </w:r>
      <w:r>
        <w:rPr>
          <w:spacing w:val="-6"/>
        </w:rPr>
        <w:t xml:space="preserve"> </w:t>
      </w:r>
      <w:r>
        <w:t>a</w:t>
      </w:r>
      <w:r>
        <w:rPr>
          <w:spacing w:val="-6"/>
        </w:rPr>
        <w:t xml:space="preserve"> </w:t>
      </w:r>
      <w:r>
        <w:t>la</w:t>
      </w:r>
      <w:r>
        <w:rPr>
          <w:spacing w:val="-6"/>
        </w:rPr>
        <w:t xml:space="preserve"> </w:t>
      </w:r>
      <w:r>
        <w:t>sociedad</w:t>
      </w:r>
      <w:r>
        <w:rPr>
          <w:spacing w:val="-6"/>
        </w:rPr>
        <w:t xml:space="preserve"> </w:t>
      </w:r>
      <w:r>
        <w:t>hacia</w:t>
      </w:r>
      <w:r>
        <w:rPr>
          <w:spacing w:val="-6"/>
        </w:rPr>
        <w:t xml:space="preserve"> </w:t>
      </w:r>
      <w:r>
        <w:t>una</w:t>
      </w:r>
      <w:r>
        <w:rPr>
          <w:spacing w:val="-6"/>
        </w:rPr>
        <w:t xml:space="preserve"> </w:t>
      </w:r>
      <w:r>
        <w:t>conciencia</w:t>
      </w:r>
      <w:r>
        <w:rPr>
          <w:spacing w:val="-6"/>
        </w:rPr>
        <w:t xml:space="preserve"> </w:t>
      </w:r>
      <w:r>
        <w:t>sobre</w:t>
      </w:r>
      <w:r>
        <w:rPr>
          <w:spacing w:val="-6"/>
        </w:rPr>
        <w:t xml:space="preserve"> </w:t>
      </w:r>
      <w:r>
        <w:t>el</w:t>
      </w:r>
      <w:r>
        <w:rPr>
          <w:spacing w:val="-7"/>
        </w:rPr>
        <w:t xml:space="preserve"> </w:t>
      </w:r>
      <w:r>
        <w:t>daño</w:t>
      </w:r>
      <w:r>
        <w:rPr>
          <w:spacing w:val="-6"/>
        </w:rPr>
        <w:t xml:space="preserve"> </w:t>
      </w:r>
      <w:r>
        <w:t>colectivo.</w:t>
      </w:r>
      <w:r>
        <w:rPr>
          <w:spacing w:val="-6"/>
        </w:rPr>
        <w:t xml:space="preserve"> </w:t>
      </w:r>
      <w:r>
        <w:t>Estos</w:t>
      </w:r>
      <w:r>
        <w:rPr>
          <w:spacing w:val="-6"/>
        </w:rPr>
        <w:t xml:space="preserve"> </w:t>
      </w:r>
      <w:r>
        <w:t>espacios permiten ponerle rostro al conflicto armado, el de las víctimas y el de los responsables. Además, interpela a diversos sectores para que asuman como propia la tragedia y, a la vez, la responsabilidad de hacer parte de la transformación, partiendo de la idea fundamental y compartida de rechazar lo ocurrido. Para la Comisión, y para muchos que, en directo, o a través de las redes, han podido asistir, escuchar y dejarse tocar por estas experiencias, la pregunta que queda es qué vamos a hacer ahora que hemos sido testigos. Los procesos de reconocimiento no son solamente entre responsables y víctimas, tienen una profunda dimensión colectiva, en la que la propia sociedad tiene un papel fundamental.</w:t>
      </w:r>
    </w:p>
    <w:p w:rsidR="003804AC" w:rsidRDefault="00AF18A5" w:rsidP="006F55B4">
      <w:r>
        <w:t>Es</w:t>
      </w:r>
      <w:r>
        <w:rPr>
          <w:spacing w:val="-13"/>
        </w:rPr>
        <w:t xml:space="preserve"> </w:t>
      </w:r>
      <w:r>
        <w:t>importante</w:t>
      </w:r>
      <w:r>
        <w:rPr>
          <w:spacing w:val="-13"/>
        </w:rPr>
        <w:t xml:space="preserve"> </w:t>
      </w:r>
      <w:r>
        <w:t>considerar</w:t>
      </w:r>
      <w:r>
        <w:rPr>
          <w:spacing w:val="-14"/>
        </w:rPr>
        <w:t xml:space="preserve"> </w:t>
      </w:r>
      <w:r>
        <w:t>que</w:t>
      </w:r>
      <w:r>
        <w:rPr>
          <w:spacing w:val="-13"/>
        </w:rPr>
        <w:t xml:space="preserve"> </w:t>
      </w:r>
      <w:r>
        <w:t>la</w:t>
      </w:r>
      <w:r>
        <w:rPr>
          <w:spacing w:val="-13"/>
        </w:rPr>
        <w:t xml:space="preserve"> </w:t>
      </w:r>
      <w:r>
        <w:t>exposición</w:t>
      </w:r>
      <w:r>
        <w:rPr>
          <w:spacing w:val="-13"/>
        </w:rPr>
        <w:t xml:space="preserve"> </w:t>
      </w:r>
      <w:r>
        <w:t>pública</w:t>
      </w:r>
      <w:r>
        <w:rPr>
          <w:spacing w:val="-13"/>
        </w:rPr>
        <w:t xml:space="preserve"> </w:t>
      </w:r>
      <w:r>
        <w:t>del</w:t>
      </w:r>
      <w:r>
        <w:rPr>
          <w:spacing w:val="-13"/>
        </w:rPr>
        <w:t xml:space="preserve"> </w:t>
      </w:r>
      <w:r>
        <w:t>reconocimiento</w:t>
      </w:r>
      <w:r>
        <w:rPr>
          <w:spacing w:val="-13"/>
        </w:rPr>
        <w:t xml:space="preserve"> </w:t>
      </w:r>
      <w:r>
        <w:t>tiene</w:t>
      </w:r>
      <w:r>
        <w:rPr>
          <w:spacing w:val="-13"/>
        </w:rPr>
        <w:t xml:space="preserve"> </w:t>
      </w:r>
      <w:r>
        <w:t>efectos</w:t>
      </w:r>
      <w:r>
        <w:rPr>
          <w:spacing w:val="-13"/>
        </w:rPr>
        <w:t xml:space="preserve"> </w:t>
      </w:r>
      <w:r>
        <w:t>sobre la reconstrucción de las identidades de las víctimas y de quienes lo realizan. En el caso de los exmiembros de las FARC-EP, firmantes del Acuerdo, el encuentro público de responsabilidad tiene clara incidencia en su imagen política. Aceptar ciertos hechos, o narrarlos</w:t>
      </w:r>
      <w:r>
        <w:rPr>
          <w:spacing w:val="-7"/>
        </w:rPr>
        <w:t xml:space="preserve"> </w:t>
      </w:r>
      <w:r>
        <w:t>de</w:t>
      </w:r>
      <w:r>
        <w:rPr>
          <w:spacing w:val="-7"/>
        </w:rPr>
        <w:t xml:space="preserve"> </w:t>
      </w:r>
      <w:r>
        <w:t>cierta</w:t>
      </w:r>
      <w:r>
        <w:rPr>
          <w:spacing w:val="-7"/>
        </w:rPr>
        <w:t xml:space="preserve"> </w:t>
      </w:r>
      <w:r>
        <w:t>manera,</w:t>
      </w:r>
      <w:r>
        <w:rPr>
          <w:spacing w:val="-6"/>
        </w:rPr>
        <w:t xml:space="preserve"> </w:t>
      </w:r>
      <w:r>
        <w:t>disminuye</w:t>
      </w:r>
      <w:r>
        <w:rPr>
          <w:spacing w:val="-7"/>
        </w:rPr>
        <w:t xml:space="preserve"> </w:t>
      </w:r>
      <w:r>
        <w:t>su</w:t>
      </w:r>
      <w:r>
        <w:rPr>
          <w:spacing w:val="-7"/>
        </w:rPr>
        <w:t xml:space="preserve"> </w:t>
      </w:r>
      <w:r>
        <w:t>reputación</w:t>
      </w:r>
      <w:r>
        <w:rPr>
          <w:spacing w:val="-6"/>
        </w:rPr>
        <w:t xml:space="preserve"> </w:t>
      </w:r>
      <w:r>
        <w:t>y</w:t>
      </w:r>
      <w:r>
        <w:rPr>
          <w:spacing w:val="-6"/>
        </w:rPr>
        <w:t xml:space="preserve"> </w:t>
      </w:r>
      <w:r>
        <w:t>tiene</w:t>
      </w:r>
      <w:r>
        <w:rPr>
          <w:spacing w:val="-7"/>
        </w:rPr>
        <w:t xml:space="preserve"> </w:t>
      </w:r>
      <w:r>
        <w:t>efecto</w:t>
      </w:r>
      <w:r>
        <w:rPr>
          <w:spacing w:val="-6"/>
        </w:rPr>
        <w:t xml:space="preserve"> </w:t>
      </w:r>
      <w:r>
        <w:t>adverso</w:t>
      </w:r>
      <w:r>
        <w:rPr>
          <w:spacing w:val="-7"/>
        </w:rPr>
        <w:t xml:space="preserve"> </w:t>
      </w:r>
      <w:r>
        <w:t>sobre</w:t>
      </w:r>
      <w:r>
        <w:rPr>
          <w:spacing w:val="-6"/>
        </w:rPr>
        <w:t xml:space="preserve"> </w:t>
      </w:r>
      <w:r>
        <w:t>su</w:t>
      </w:r>
      <w:r>
        <w:rPr>
          <w:spacing w:val="-7"/>
        </w:rPr>
        <w:t xml:space="preserve"> </w:t>
      </w:r>
      <w:r>
        <w:t>proyecto futuro.</w:t>
      </w:r>
      <w:r>
        <w:rPr>
          <w:spacing w:val="8"/>
        </w:rPr>
        <w:t xml:space="preserve"> </w:t>
      </w:r>
      <w:r>
        <w:t>El</w:t>
      </w:r>
      <w:r>
        <w:rPr>
          <w:spacing w:val="9"/>
        </w:rPr>
        <w:t xml:space="preserve"> </w:t>
      </w:r>
      <w:r>
        <w:t>reto</w:t>
      </w:r>
      <w:r>
        <w:rPr>
          <w:spacing w:val="10"/>
        </w:rPr>
        <w:t xml:space="preserve"> </w:t>
      </w:r>
      <w:r>
        <w:t>de</w:t>
      </w:r>
      <w:r>
        <w:rPr>
          <w:spacing w:val="10"/>
        </w:rPr>
        <w:t xml:space="preserve"> </w:t>
      </w:r>
      <w:r>
        <w:t>transformar</w:t>
      </w:r>
      <w:r>
        <w:rPr>
          <w:spacing w:val="10"/>
        </w:rPr>
        <w:t xml:space="preserve"> </w:t>
      </w:r>
      <w:r>
        <w:t>esta</w:t>
      </w:r>
      <w:r>
        <w:rPr>
          <w:spacing w:val="9"/>
        </w:rPr>
        <w:t xml:space="preserve"> </w:t>
      </w:r>
      <w:r>
        <w:t>lectura</w:t>
      </w:r>
      <w:r>
        <w:rPr>
          <w:spacing w:val="10"/>
        </w:rPr>
        <w:t xml:space="preserve"> </w:t>
      </w:r>
      <w:r>
        <w:t>negativa</w:t>
      </w:r>
      <w:r>
        <w:rPr>
          <w:spacing w:val="10"/>
        </w:rPr>
        <w:t xml:space="preserve"> </w:t>
      </w:r>
      <w:r>
        <w:t>de</w:t>
      </w:r>
      <w:r>
        <w:rPr>
          <w:spacing w:val="10"/>
        </w:rPr>
        <w:t xml:space="preserve"> </w:t>
      </w:r>
      <w:r>
        <w:t>reconocer</w:t>
      </w:r>
      <w:r>
        <w:rPr>
          <w:spacing w:val="10"/>
        </w:rPr>
        <w:t xml:space="preserve"> </w:t>
      </w:r>
      <w:r>
        <w:t>la</w:t>
      </w:r>
      <w:r>
        <w:rPr>
          <w:spacing w:val="10"/>
        </w:rPr>
        <w:t xml:space="preserve"> </w:t>
      </w:r>
      <w:r>
        <w:t>responsabilidad</w:t>
      </w:r>
      <w:r>
        <w:rPr>
          <w:spacing w:val="9"/>
        </w:rPr>
        <w:t xml:space="preserve"> </w:t>
      </w:r>
      <w:r>
        <w:rPr>
          <w:spacing w:val="-2"/>
        </w:rPr>
        <w:t>pública</w:t>
      </w:r>
      <w:r w:rsidR="006F55B4">
        <w:rPr>
          <w:spacing w:val="-2"/>
        </w:rPr>
        <w:t xml:space="preserve"> </w:t>
      </w:r>
      <w:r>
        <w:t>es parte del trabajo de preparación, para que las víctimas no solo acusen y exijan, sino también acojan a los responsables, dándole un lugar a su testimonio.</w:t>
      </w:r>
    </w:p>
    <w:p w:rsidR="003804AC" w:rsidRDefault="00AF18A5" w:rsidP="006F55B4">
      <w:r>
        <w:t>El</w:t>
      </w:r>
      <w:r>
        <w:rPr>
          <w:spacing w:val="-15"/>
        </w:rPr>
        <w:t xml:space="preserve"> </w:t>
      </w:r>
      <w:r>
        <w:t>reconocimiento</w:t>
      </w:r>
      <w:r>
        <w:rPr>
          <w:spacing w:val="-15"/>
        </w:rPr>
        <w:t xml:space="preserve"> </w:t>
      </w:r>
      <w:r>
        <w:t>de</w:t>
      </w:r>
      <w:r>
        <w:rPr>
          <w:spacing w:val="-15"/>
        </w:rPr>
        <w:t xml:space="preserve"> </w:t>
      </w:r>
      <w:r>
        <w:t>responsabilidades</w:t>
      </w:r>
      <w:r>
        <w:rPr>
          <w:spacing w:val="-15"/>
        </w:rPr>
        <w:t xml:space="preserve"> </w:t>
      </w:r>
      <w:r>
        <w:t>de</w:t>
      </w:r>
      <w:r>
        <w:rPr>
          <w:spacing w:val="-15"/>
        </w:rPr>
        <w:t xml:space="preserve"> </w:t>
      </w:r>
      <w:r>
        <w:t>las</w:t>
      </w:r>
      <w:r>
        <w:rPr>
          <w:spacing w:val="-15"/>
        </w:rPr>
        <w:t xml:space="preserve"> </w:t>
      </w:r>
      <w:r>
        <w:t>FARC-EP</w:t>
      </w:r>
      <w:r>
        <w:rPr>
          <w:spacing w:val="-15"/>
        </w:rPr>
        <w:t xml:space="preserve"> </w:t>
      </w:r>
      <w:r>
        <w:t>sobre</w:t>
      </w:r>
      <w:r>
        <w:rPr>
          <w:spacing w:val="-15"/>
        </w:rPr>
        <w:t xml:space="preserve"> </w:t>
      </w:r>
      <w:r>
        <w:t>los</w:t>
      </w:r>
      <w:r>
        <w:rPr>
          <w:spacing w:val="-15"/>
        </w:rPr>
        <w:t xml:space="preserve"> </w:t>
      </w:r>
      <w:r>
        <w:t>impactos</w:t>
      </w:r>
      <w:r>
        <w:rPr>
          <w:spacing w:val="-15"/>
        </w:rPr>
        <w:t xml:space="preserve"> </w:t>
      </w:r>
      <w:r>
        <w:t>del</w:t>
      </w:r>
      <w:r>
        <w:rPr>
          <w:spacing w:val="-15"/>
        </w:rPr>
        <w:t xml:space="preserve"> </w:t>
      </w:r>
      <w:r>
        <w:t xml:space="preserve">secuestro, por ejemplo, da cuenta de dicha transformación. En este proceso resultó fundamental que decidieran hablar de secuestro </w:t>
      </w:r>
      <w:r>
        <w:lastRenderedPageBreak/>
        <w:t>y no de toma de rehenes, superando las definiciones enmarcadas en el ámbito jurídico. Esto era determinante para las víctimas directas y sus familiares en términos de su dignificación y como demostración de la voluntad de resarcimiento. Durante los encuentros preparatorios y en espacios de evaluación, tanto víctimas como responsables manifestaron que este paso fue esencial en la reafirmación de voluntades, así como en</w:t>
      </w:r>
      <w:r>
        <w:rPr>
          <w:spacing w:val="-1"/>
        </w:rPr>
        <w:t xml:space="preserve"> </w:t>
      </w:r>
      <w:r>
        <w:t>la generación de condiciones para el encuentro entre las víctimas y los responsables.</w:t>
      </w:r>
    </w:p>
    <w:p w:rsidR="0011361F" w:rsidRDefault="00AF18A5" w:rsidP="004A6EF4">
      <w:pPr>
        <w:pStyle w:val="Ttulo4"/>
        <w:numPr>
          <w:ilvl w:val="2"/>
          <w:numId w:val="16"/>
        </w:numPr>
      </w:pPr>
      <w:bookmarkStart w:id="1459" w:name="11.5.1._El_lugar_individual_y_colectivo_"/>
      <w:bookmarkEnd w:id="1459"/>
      <w:r>
        <w:t>El</w:t>
      </w:r>
      <w:r>
        <w:rPr>
          <w:spacing w:val="-5"/>
        </w:rPr>
        <w:t xml:space="preserve"> </w:t>
      </w:r>
      <w:r>
        <w:t>lugar</w:t>
      </w:r>
      <w:r>
        <w:rPr>
          <w:spacing w:val="-3"/>
        </w:rPr>
        <w:t xml:space="preserve"> </w:t>
      </w:r>
      <w:r>
        <w:t>individual</w:t>
      </w:r>
      <w:r>
        <w:rPr>
          <w:spacing w:val="-2"/>
        </w:rPr>
        <w:t xml:space="preserve"> </w:t>
      </w:r>
      <w:r>
        <w:t>y</w:t>
      </w:r>
      <w:r>
        <w:rPr>
          <w:spacing w:val="-4"/>
        </w:rPr>
        <w:t xml:space="preserve"> </w:t>
      </w:r>
      <w:r>
        <w:t>colectivo</w:t>
      </w:r>
      <w:r>
        <w:rPr>
          <w:spacing w:val="-3"/>
        </w:rPr>
        <w:t xml:space="preserve"> </w:t>
      </w:r>
      <w:r>
        <w:t>de</w:t>
      </w:r>
      <w:r>
        <w:rPr>
          <w:spacing w:val="-3"/>
        </w:rPr>
        <w:t xml:space="preserve"> </w:t>
      </w:r>
      <w:r>
        <w:t>las</w:t>
      </w:r>
      <w:r>
        <w:rPr>
          <w:spacing w:val="-3"/>
        </w:rPr>
        <w:t xml:space="preserve"> </w:t>
      </w:r>
      <w:r>
        <w:t>víctimas</w:t>
      </w:r>
      <w:r>
        <w:rPr>
          <w:spacing w:val="-4"/>
        </w:rPr>
        <w:t xml:space="preserve"> </w:t>
      </w:r>
      <w:r>
        <w:t>en</w:t>
      </w:r>
      <w:r>
        <w:rPr>
          <w:spacing w:val="-3"/>
        </w:rPr>
        <w:t xml:space="preserve"> </w:t>
      </w:r>
      <w:r>
        <w:t>los</w:t>
      </w:r>
      <w:r>
        <w:rPr>
          <w:spacing w:val="-3"/>
        </w:rPr>
        <w:t xml:space="preserve"> </w:t>
      </w:r>
      <w:r>
        <w:t>procesos</w:t>
      </w:r>
      <w:r>
        <w:rPr>
          <w:spacing w:val="-4"/>
        </w:rPr>
        <w:t xml:space="preserve"> </w:t>
      </w:r>
      <w:r>
        <w:t>de</w:t>
      </w:r>
      <w:r>
        <w:rPr>
          <w:spacing w:val="-2"/>
        </w:rPr>
        <w:t xml:space="preserve"> reconocimiento</w:t>
      </w:r>
    </w:p>
    <w:p w:rsidR="003804AC" w:rsidRDefault="00AF18A5" w:rsidP="00655D3E">
      <w:r>
        <w:t>Las</w:t>
      </w:r>
      <w:r>
        <w:rPr>
          <w:spacing w:val="-3"/>
        </w:rPr>
        <w:t xml:space="preserve"> </w:t>
      </w:r>
      <w:r>
        <w:t>víctimas</w:t>
      </w:r>
      <w:r>
        <w:rPr>
          <w:spacing w:val="-5"/>
        </w:rPr>
        <w:t xml:space="preserve"> </w:t>
      </w:r>
      <w:r>
        <w:t>representan</w:t>
      </w:r>
      <w:r>
        <w:rPr>
          <w:spacing w:val="-5"/>
        </w:rPr>
        <w:t xml:space="preserve"> </w:t>
      </w:r>
      <w:r>
        <w:t>diferentes</w:t>
      </w:r>
      <w:r>
        <w:rPr>
          <w:spacing w:val="-4"/>
        </w:rPr>
        <w:t xml:space="preserve"> </w:t>
      </w:r>
      <w:r>
        <w:t>maneras</w:t>
      </w:r>
      <w:r>
        <w:rPr>
          <w:spacing w:val="-3"/>
        </w:rPr>
        <w:t xml:space="preserve"> </w:t>
      </w:r>
      <w:r>
        <w:t>de</w:t>
      </w:r>
      <w:r>
        <w:rPr>
          <w:spacing w:val="-3"/>
        </w:rPr>
        <w:t xml:space="preserve"> </w:t>
      </w:r>
      <w:r>
        <w:t>pensar,</w:t>
      </w:r>
      <w:r>
        <w:rPr>
          <w:spacing w:val="-4"/>
        </w:rPr>
        <w:t xml:space="preserve"> </w:t>
      </w:r>
      <w:r>
        <w:t>sentir</w:t>
      </w:r>
      <w:r>
        <w:rPr>
          <w:spacing w:val="-4"/>
        </w:rPr>
        <w:t xml:space="preserve"> </w:t>
      </w:r>
      <w:r>
        <w:t>y</w:t>
      </w:r>
      <w:r>
        <w:rPr>
          <w:spacing w:val="-4"/>
        </w:rPr>
        <w:t xml:space="preserve"> </w:t>
      </w:r>
      <w:r>
        <w:t>actuar</w:t>
      </w:r>
      <w:r>
        <w:rPr>
          <w:spacing w:val="-3"/>
        </w:rPr>
        <w:t xml:space="preserve"> </w:t>
      </w:r>
      <w:r>
        <w:t>en</w:t>
      </w:r>
      <w:r>
        <w:rPr>
          <w:spacing w:val="-4"/>
        </w:rPr>
        <w:t xml:space="preserve"> </w:t>
      </w:r>
      <w:r>
        <w:t>torno</w:t>
      </w:r>
      <w:r>
        <w:rPr>
          <w:spacing w:val="-4"/>
        </w:rPr>
        <w:t xml:space="preserve"> </w:t>
      </w:r>
      <w:r>
        <w:t>a</w:t>
      </w:r>
      <w:r>
        <w:rPr>
          <w:spacing w:val="-3"/>
        </w:rPr>
        <w:t xml:space="preserve"> </w:t>
      </w:r>
      <w:r>
        <w:t>la</w:t>
      </w:r>
      <w:r>
        <w:rPr>
          <w:spacing w:val="-3"/>
        </w:rPr>
        <w:t xml:space="preserve"> </w:t>
      </w:r>
      <w:r>
        <w:t>verdad</w:t>
      </w:r>
      <w:r>
        <w:rPr>
          <w:spacing w:val="-4"/>
        </w:rPr>
        <w:t xml:space="preserve"> </w:t>
      </w:r>
      <w:r>
        <w:t>o a</w:t>
      </w:r>
      <w:r>
        <w:rPr>
          <w:spacing w:val="-4"/>
        </w:rPr>
        <w:t xml:space="preserve"> </w:t>
      </w:r>
      <w:r>
        <w:t>los</w:t>
      </w:r>
      <w:r>
        <w:rPr>
          <w:spacing w:val="-4"/>
        </w:rPr>
        <w:t xml:space="preserve"> </w:t>
      </w:r>
      <w:r>
        <w:t>responsables.</w:t>
      </w:r>
      <w:r>
        <w:rPr>
          <w:spacing w:val="-4"/>
        </w:rPr>
        <w:t xml:space="preserve"> </w:t>
      </w:r>
      <w:r>
        <w:t>Sus</w:t>
      </w:r>
      <w:r>
        <w:rPr>
          <w:spacing w:val="-4"/>
        </w:rPr>
        <w:t xml:space="preserve"> </w:t>
      </w:r>
      <w:r>
        <w:t>concepciones,</w:t>
      </w:r>
      <w:r>
        <w:rPr>
          <w:spacing w:val="-4"/>
        </w:rPr>
        <w:t xml:space="preserve"> </w:t>
      </w:r>
      <w:r>
        <w:t>perspectivas</w:t>
      </w:r>
      <w:r>
        <w:rPr>
          <w:spacing w:val="-4"/>
        </w:rPr>
        <w:t xml:space="preserve"> </w:t>
      </w:r>
      <w:r>
        <w:t>y</w:t>
      </w:r>
      <w:r>
        <w:rPr>
          <w:spacing w:val="-4"/>
        </w:rPr>
        <w:t xml:space="preserve"> </w:t>
      </w:r>
      <w:r>
        <w:t>formas</w:t>
      </w:r>
      <w:r>
        <w:rPr>
          <w:spacing w:val="-4"/>
        </w:rPr>
        <w:t xml:space="preserve"> </w:t>
      </w:r>
      <w:r>
        <w:t>de</w:t>
      </w:r>
      <w:r>
        <w:rPr>
          <w:spacing w:val="-4"/>
        </w:rPr>
        <w:t xml:space="preserve"> </w:t>
      </w:r>
      <w:r>
        <w:t>participación,</w:t>
      </w:r>
      <w:r>
        <w:rPr>
          <w:spacing w:val="-4"/>
        </w:rPr>
        <w:t xml:space="preserve"> </w:t>
      </w:r>
      <w:r>
        <w:t>individuales</w:t>
      </w:r>
      <w:r>
        <w:rPr>
          <w:spacing w:val="-4"/>
        </w:rPr>
        <w:t xml:space="preserve"> </w:t>
      </w:r>
      <w:r>
        <w:t>o colectivas (como en el caso de los pueblos étnicos), no son homogéneas. Los diferentes encuentros realizados por la Comisión muestran esas perspectivas diversas y distintas proyecciones en el futuro.</w:t>
      </w:r>
    </w:p>
    <w:p w:rsidR="003804AC" w:rsidRDefault="00AF18A5" w:rsidP="00655D3E">
      <w:r>
        <w:t>La Comisión resalta que las víctimas han tenido disposición y generosidad para volver a enfrentarse</w:t>
      </w:r>
      <w:r>
        <w:rPr>
          <w:spacing w:val="-3"/>
        </w:rPr>
        <w:t xml:space="preserve"> </w:t>
      </w:r>
      <w:r>
        <w:t>a</w:t>
      </w:r>
      <w:r>
        <w:rPr>
          <w:spacing w:val="-2"/>
        </w:rPr>
        <w:t xml:space="preserve"> </w:t>
      </w:r>
      <w:r>
        <w:t>su</w:t>
      </w:r>
      <w:r>
        <w:rPr>
          <w:spacing w:val="-2"/>
        </w:rPr>
        <w:t xml:space="preserve"> </w:t>
      </w:r>
      <w:r>
        <w:t>sufrimiento</w:t>
      </w:r>
      <w:r>
        <w:rPr>
          <w:spacing w:val="-2"/>
        </w:rPr>
        <w:t xml:space="preserve"> </w:t>
      </w:r>
      <w:r>
        <w:t>y</w:t>
      </w:r>
      <w:r>
        <w:rPr>
          <w:spacing w:val="-2"/>
        </w:rPr>
        <w:t xml:space="preserve"> </w:t>
      </w:r>
      <w:r>
        <w:t>aceptar</w:t>
      </w:r>
      <w:r>
        <w:rPr>
          <w:spacing w:val="-2"/>
        </w:rPr>
        <w:t xml:space="preserve"> </w:t>
      </w:r>
      <w:r>
        <w:t>el</w:t>
      </w:r>
      <w:r>
        <w:rPr>
          <w:spacing w:val="-3"/>
        </w:rPr>
        <w:t xml:space="preserve"> </w:t>
      </w:r>
      <w:r>
        <w:t>encuentro</w:t>
      </w:r>
      <w:r>
        <w:rPr>
          <w:spacing w:val="-2"/>
        </w:rPr>
        <w:t xml:space="preserve"> </w:t>
      </w:r>
      <w:r>
        <w:t>con</w:t>
      </w:r>
      <w:r>
        <w:rPr>
          <w:spacing w:val="-2"/>
        </w:rPr>
        <w:t xml:space="preserve"> </w:t>
      </w:r>
      <w:r>
        <w:t>los</w:t>
      </w:r>
      <w:r>
        <w:rPr>
          <w:spacing w:val="-3"/>
        </w:rPr>
        <w:t xml:space="preserve"> </w:t>
      </w:r>
      <w:r>
        <w:t>responsables.</w:t>
      </w:r>
      <w:r>
        <w:rPr>
          <w:spacing w:val="-5"/>
        </w:rPr>
        <w:t xml:space="preserve"> </w:t>
      </w:r>
      <w:r>
        <w:t>Esta</w:t>
      </w:r>
      <w:r>
        <w:rPr>
          <w:spacing w:val="-2"/>
        </w:rPr>
        <w:t xml:space="preserve"> </w:t>
      </w:r>
      <w:r>
        <w:t>disposición</w:t>
      </w:r>
      <w:r>
        <w:rPr>
          <w:spacing w:val="-2"/>
        </w:rPr>
        <w:t xml:space="preserve"> </w:t>
      </w:r>
      <w:r>
        <w:t>se inscribe en el marco de unas identidades y apuestas políticas de las víctimas. El encuentro con los responsables es la posibilidad de posicionarse de otra forma frente a ellos, reconfigurando lugares y ejercicios de poder que facilitaron la vulneración y ocurrencia de los hechos de violencia. Varias mujeres que participaron en los procesos de reconocimiento de responsabilidades en casos de ejecuciones extrajudiciales mencionaron la importancia y significado</w:t>
      </w:r>
      <w:r>
        <w:rPr>
          <w:spacing w:val="-3"/>
        </w:rPr>
        <w:t xml:space="preserve"> </w:t>
      </w:r>
      <w:r>
        <w:t>de tener a</w:t>
      </w:r>
      <w:r>
        <w:rPr>
          <w:spacing w:val="-1"/>
        </w:rPr>
        <w:t xml:space="preserve"> </w:t>
      </w:r>
      <w:r>
        <w:t>los responsables frente</w:t>
      </w:r>
      <w:r>
        <w:rPr>
          <w:spacing w:val="-1"/>
        </w:rPr>
        <w:t xml:space="preserve"> </w:t>
      </w:r>
      <w:r>
        <w:t>a frente y</w:t>
      </w:r>
      <w:r>
        <w:rPr>
          <w:spacing w:val="-1"/>
        </w:rPr>
        <w:t xml:space="preserve"> </w:t>
      </w:r>
      <w:r>
        <w:t>mirarlos a</w:t>
      </w:r>
      <w:r>
        <w:rPr>
          <w:spacing w:val="-1"/>
        </w:rPr>
        <w:t xml:space="preserve"> </w:t>
      </w:r>
      <w:r>
        <w:t xml:space="preserve">los ojos. Un encuentro en igualdad de condiciones desde una </w:t>
      </w:r>
      <w:r>
        <w:lastRenderedPageBreak/>
        <w:t>horizontalidad para encontrarse cara a cara con el dolor causado.</w:t>
      </w:r>
      <w:r>
        <w:rPr>
          <w:spacing w:val="-10"/>
        </w:rPr>
        <w:t xml:space="preserve"> </w:t>
      </w:r>
      <w:r>
        <w:t>Las</w:t>
      </w:r>
      <w:r>
        <w:rPr>
          <w:spacing w:val="-9"/>
        </w:rPr>
        <w:t xml:space="preserve"> </w:t>
      </w:r>
      <w:r>
        <w:t>víctimas</w:t>
      </w:r>
      <w:r>
        <w:rPr>
          <w:spacing w:val="-9"/>
        </w:rPr>
        <w:t xml:space="preserve"> </w:t>
      </w:r>
      <w:r>
        <w:t>dispuestas</w:t>
      </w:r>
      <w:r>
        <w:rPr>
          <w:spacing w:val="-10"/>
        </w:rPr>
        <w:t xml:space="preserve"> </w:t>
      </w:r>
      <w:r>
        <w:t>a</w:t>
      </w:r>
      <w:r>
        <w:rPr>
          <w:spacing w:val="-9"/>
        </w:rPr>
        <w:t xml:space="preserve"> </w:t>
      </w:r>
      <w:r>
        <w:t>apelar</w:t>
      </w:r>
      <w:r>
        <w:rPr>
          <w:spacing w:val="-10"/>
        </w:rPr>
        <w:t xml:space="preserve"> </w:t>
      </w:r>
      <w:r>
        <w:t>a</w:t>
      </w:r>
      <w:r>
        <w:rPr>
          <w:spacing w:val="-9"/>
        </w:rPr>
        <w:t xml:space="preserve"> </w:t>
      </w:r>
      <w:r>
        <w:t>su</w:t>
      </w:r>
      <w:r>
        <w:rPr>
          <w:spacing w:val="-10"/>
        </w:rPr>
        <w:t xml:space="preserve"> </w:t>
      </w:r>
      <w:r>
        <w:t>derecho</w:t>
      </w:r>
      <w:r>
        <w:rPr>
          <w:spacing w:val="-9"/>
        </w:rPr>
        <w:t xml:space="preserve"> </w:t>
      </w:r>
      <w:r>
        <w:t>de</w:t>
      </w:r>
      <w:r>
        <w:rPr>
          <w:spacing w:val="-10"/>
        </w:rPr>
        <w:t xml:space="preserve"> </w:t>
      </w:r>
      <w:r>
        <w:t>interpelación</w:t>
      </w:r>
      <w:r>
        <w:rPr>
          <w:spacing w:val="-9"/>
        </w:rPr>
        <w:t xml:space="preserve"> </w:t>
      </w:r>
      <w:r>
        <w:t>frente</w:t>
      </w:r>
      <w:r>
        <w:rPr>
          <w:spacing w:val="-9"/>
        </w:rPr>
        <w:t xml:space="preserve"> </w:t>
      </w:r>
      <w:r>
        <w:t>a</w:t>
      </w:r>
      <w:r>
        <w:rPr>
          <w:spacing w:val="-10"/>
        </w:rPr>
        <w:t xml:space="preserve"> </w:t>
      </w:r>
      <w:r>
        <w:t>la</w:t>
      </w:r>
      <w:r>
        <w:rPr>
          <w:spacing w:val="-9"/>
        </w:rPr>
        <w:t xml:space="preserve"> </w:t>
      </w:r>
      <w:r>
        <w:t>infamia</w:t>
      </w:r>
      <w:r>
        <w:rPr>
          <w:spacing w:val="-9"/>
        </w:rPr>
        <w:t xml:space="preserve"> </w:t>
      </w:r>
      <w:r>
        <w:t>de los actos cometidos.</w:t>
      </w:r>
    </w:p>
    <w:p w:rsidR="003804AC" w:rsidRDefault="00AF18A5" w:rsidP="00655D3E">
      <w:r>
        <w:t xml:space="preserve">La cuestión de los encuentros no ha sido fácil. Se gesta en el marco del proceso de reconocimiento mismo y como resultado de los acercamientos paulatinos, escalonados y progresivos que van teniendo lugar, a lo largo de los cuales las víctimas hacen valoraciones respecto a la voluntad y disposición de los responsables para atender a sus demandas y expectativas. Esta disposición se explica en parte por la confianza que les ha ofrecido la Comisión como institución. La continuidad de estos procesos de reconocimiento necesita independencia y compromiso con los diferentes participantes y un marco que le dé sentido, no solo desde la esfera judicial como está contemplado en la JEP. Si bien las sentencias restaurativas que surjan de esos procesos judiciales podrán tener a corto plazo un papel </w:t>
      </w:r>
      <w:r>
        <w:rPr>
          <w:spacing w:val="-2"/>
        </w:rPr>
        <w:t>fundamental.</w:t>
      </w:r>
    </w:p>
    <w:p w:rsidR="003804AC" w:rsidRDefault="00AF18A5" w:rsidP="00655D3E">
      <w:r>
        <w:t>La</w:t>
      </w:r>
      <w:r>
        <w:rPr>
          <w:spacing w:val="-6"/>
        </w:rPr>
        <w:t xml:space="preserve"> </w:t>
      </w:r>
      <w:r>
        <w:t>centralidad</w:t>
      </w:r>
      <w:r>
        <w:rPr>
          <w:spacing w:val="-6"/>
        </w:rPr>
        <w:t xml:space="preserve"> </w:t>
      </w:r>
      <w:r>
        <w:t>de</w:t>
      </w:r>
      <w:r>
        <w:rPr>
          <w:spacing w:val="-6"/>
        </w:rPr>
        <w:t xml:space="preserve"> </w:t>
      </w:r>
      <w:r>
        <w:t>las</w:t>
      </w:r>
      <w:r>
        <w:rPr>
          <w:spacing w:val="-6"/>
        </w:rPr>
        <w:t xml:space="preserve"> </w:t>
      </w:r>
      <w:r>
        <w:t>víctimas,</w:t>
      </w:r>
      <w:r>
        <w:rPr>
          <w:spacing w:val="-6"/>
        </w:rPr>
        <w:t xml:space="preserve"> </w:t>
      </w:r>
      <w:r>
        <w:t>la</w:t>
      </w:r>
      <w:r>
        <w:rPr>
          <w:spacing w:val="-6"/>
        </w:rPr>
        <w:t xml:space="preserve"> </w:t>
      </w:r>
      <w:r>
        <w:t>atención</w:t>
      </w:r>
      <w:r>
        <w:rPr>
          <w:spacing w:val="-6"/>
        </w:rPr>
        <w:t xml:space="preserve"> </w:t>
      </w:r>
      <w:r>
        <w:t>de</w:t>
      </w:r>
      <w:r>
        <w:rPr>
          <w:spacing w:val="-6"/>
        </w:rPr>
        <w:t xml:space="preserve"> </w:t>
      </w:r>
      <w:r>
        <w:t>sus</w:t>
      </w:r>
      <w:r>
        <w:rPr>
          <w:spacing w:val="-6"/>
        </w:rPr>
        <w:t xml:space="preserve"> </w:t>
      </w:r>
      <w:r>
        <w:t>expectativas</w:t>
      </w:r>
      <w:r>
        <w:rPr>
          <w:spacing w:val="-6"/>
        </w:rPr>
        <w:t xml:space="preserve"> </w:t>
      </w:r>
      <w:r>
        <w:t>y</w:t>
      </w:r>
      <w:r>
        <w:rPr>
          <w:spacing w:val="-6"/>
        </w:rPr>
        <w:t xml:space="preserve"> </w:t>
      </w:r>
      <w:r>
        <w:t>demandas,</w:t>
      </w:r>
      <w:r>
        <w:rPr>
          <w:spacing w:val="-6"/>
        </w:rPr>
        <w:t xml:space="preserve"> </w:t>
      </w:r>
      <w:r>
        <w:t>el</w:t>
      </w:r>
      <w:r>
        <w:rPr>
          <w:spacing w:val="-6"/>
        </w:rPr>
        <w:t xml:space="preserve"> </w:t>
      </w:r>
      <w:r>
        <w:t>cuidado</w:t>
      </w:r>
      <w:r>
        <w:rPr>
          <w:spacing w:val="-7"/>
        </w:rPr>
        <w:t xml:space="preserve"> </w:t>
      </w:r>
      <w:r>
        <w:t>del proceso de acompañamiento implican visiones individuales y significados políticos y colectivos que requieren reconocimiento frente a sus luchas, frente a la memoria de los que ya no están y la sociedad. ¿Qué significa colectivamente que las FARC-EP reconozcan el sufrimiento</w:t>
      </w:r>
      <w:r>
        <w:rPr>
          <w:spacing w:val="-15"/>
        </w:rPr>
        <w:t xml:space="preserve"> </w:t>
      </w:r>
      <w:r>
        <w:t>ocasionado</w:t>
      </w:r>
      <w:r>
        <w:rPr>
          <w:spacing w:val="-15"/>
        </w:rPr>
        <w:t xml:space="preserve"> </w:t>
      </w:r>
      <w:r>
        <w:t>por</w:t>
      </w:r>
      <w:r>
        <w:rPr>
          <w:spacing w:val="-15"/>
        </w:rPr>
        <w:t xml:space="preserve"> </w:t>
      </w:r>
      <w:r>
        <w:t>el</w:t>
      </w:r>
      <w:r>
        <w:rPr>
          <w:spacing w:val="-15"/>
        </w:rPr>
        <w:t xml:space="preserve"> </w:t>
      </w:r>
      <w:r>
        <w:t>reclutamiento</w:t>
      </w:r>
      <w:r>
        <w:rPr>
          <w:spacing w:val="-15"/>
        </w:rPr>
        <w:t xml:space="preserve"> </w:t>
      </w:r>
      <w:r>
        <w:t>de</w:t>
      </w:r>
      <w:r>
        <w:rPr>
          <w:spacing w:val="-15"/>
        </w:rPr>
        <w:t xml:space="preserve"> </w:t>
      </w:r>
      <w:r>
        <w:t>una</w:t>
      </w:r>
      <w:r>
        <w:rPr>
          <w:spacing w:val="-14"/>
        </w:rPr>
        <w:t xml:space="preserve"> </w:t>
      </w:r>
      <w:r>
        <w:t>generación</w:t>
      </w:r>
      <w:r>
        <w:rPr>
          <w:spacing w:val="-15"/>
        </w:rPr>
        <w:t xml:space="preserve"> </w:t>
      </w:r>
      <w:r>
        <w:t>de</w:t>
      </w:r>
      <w:r>
        <w:rPr>
          <w:spacing w:val="-14"/>
        </w:rPr>
        <w:t xml:space="preserve"> </w:t>
      </w:r>
      <w:r>
        <w:t>jóvenes</w:t>
      </w:r>
      <w:r>
        <w:rPr>
          <w:spacing w:val="-15"/>
        </w:rPr>
        <w:t xml:space="preserve"> </w:t>
      </w:r>
      <w:r>
        <w:t>indígenas</w:t>
      </w:r>
      <w:r>
        <w:rPr>
          <w:spacing w:val="-14"/>
        </w:rPr>
        <w:t xml:space="preserve"> </w:t>
      </w:r>
      <w:r>
        <w:t>en</w:t>
      </w:r>
      <w:r>
        <w:rPr>
          <w:spacing w:val="-15"/>
        </w:rPr>
        <w:t xml:space="preserve"> </w:t>
      </w:r>
      <w:r>
        <w:t>Mitú, que cortó la transmisión cultural e indujo a formas de aculturación forzada mediada por las armas?</w:t>
      </w:r>
      <w:r>
        <w:rPr>
          <w:spacing w:val="-11"/>
        </w:rPr>
        <w:t xml:space="preserve"> </w:t>
      </w:r>
      <w:r>
        <w:t>¿Qué</w:t>
      </w:r>
      <w:r>
        <w:rPr>
          <w:spacing w:val="-11"/>
        </w:rPr>
        <w:t xml:space="preserve"> </w:t>
      </w:r>
      <w:r>
        <w:t>supone</w:t>
      </w:r>
      <w:r>
        <w:rPr>
          <w:spacing w:val="-13"/>
        </w:rPr>
        <w:t xml:space="preserve"> </w:t>
      </w:r>
      <w:r>
        <w:t>para</w:t>
      </w:r>
      <w:r>
        <w:rPr>
          <w:spacing w:val="-11"/>
        </w:rPr>
        <w:t xml:space="preserve"> </w:t>
      </w:r>
      <w:r>
        <w:t>las</w:t>
      </w:r>
      <w:r>
        <w:rPr>
          <w:spacing w:val="-12"/>
        </w:rPr>
        <w:t xml:space="preserve"> </w:t>
      </w:r>
      <w:r>
        <w:t>mujeres</w:t>
      </w:r>
      <w:r>
        <w:rPr>
          <w:spacing w:val="-12"/>
        </w:rPr>
        <w:t xml:space="preserve"> </w:t>
      </w:r>
      <w:r>
        <w:t>buscadoras</w:t>
      </w:r>
      <w:r>
        <w:rPr>
          <w:spacing w:val="-13"/>
        </w:rPr>
        <w:t xml:space="preserve"> </w:t>
      </w:r>
      <w:r>
        <w:t>de</w:t>
      </w:r>
      <w:r>
        <w:rPr>
          <w:spacing w:val="-11"/>
        </w:rPr>
        <w:t xml:space="preserve"> </w:t>
      </w:r>
      <w:r>
        <w:t>desaparecidos</w:t>
      </w:r>
      <w:r>
        <w:rPr>
          <w:spacing w:val="-12"/>
        </w:rPr>
        <w:t xml:space="preserve"> </w:t>
      </w:r>
      <w:r>
        <w:t>que</w:t>
      </w:r>
      <w:r>
        <w:rPr>
          <w:spacing w:val="-11"/>
        </w:rPr>
        <w:t xml:space="preserve"> </w:t>
      </w:r>
      <w:r>
        <w:t>algunos</w:t>
      </w:r>
      <w:r>
        <w:rPr>
          <w:spacing w:val="-12"/>
        </w:rPr>
        <w:t xml:space="preserve"> </w:t>
      </w:r>
      <w:r>
        <w:t xml:space="preserve">responsables de las Fuerzas Militares pidan perdón si no hay colaboración institucional en la búsqueda? Estas preguntas suscitan reacciones emocionales y dilemas éticos y necesitan acción sostenida en el tiempo que muestre cambios en la relación de estos grupos y los </w:t>
      </w:r>
      <w:r>
        <w:lastRenderedPageBreak/>
        <w:t>actores institucionales con las víctimas y la sociedad. Es decir, precisan reivindicaciones colectivas para</w:t>
      </w:r>
      <w:r>
        <w:rPr>
          <w:spacing w:val="-8"/>
        </w:rPr>
        <w:t xml:space="preserve"> </w:t>
      </w:r>
      <w:r>
        <w:t>los</w:t>
      </w:r>
      <w:r>
        <w:rPr>
          <w:spacing w:val="-7"/>
        </w:rPr>
        <w:t xml:space="preserve"> </w:t>
      </w:r>
      <w:r>
        <w:t>pueblos</w:t>
      </w:r>
      <w:r>
        <w:rPr>
          <w:spacing w:val="-7"/>
        </w:rPr>
        <w:t xml:space="preserve"> </w:t>
      </w:r>
      <w:r>
        <w:t>étnicos</w:t>
      </w:r>
      <w:r>
        <w:rPr>
          <w:spacing w:val="-8"/>
        </w:rPr>
        <w:t xml:space="preserve"> </w:t>
      </w:r>
      <w:r>
        <w:t>en</w:t>
      </w:r>
      <w:r>
        <w:rPr>
          <w:spacing w:val="-7"/>
        </w:rPr>
        <w:t xml:space="preserve"> </w:t>
      </w:r>
      <w:r>
        <w:t>sus</w:t>
      </w:r>
      <w:r>
        <w:rPr>
          <w:spacing w:val="-7"/>
        </w:rPr>
        <w:t xml:space="preserve"> </w:t>
      </w:r>
      <w:r>
        <w:t>demandas</w:t>
      </w:r>
      <w:r>
        <w:rPr>
          <w:spacing w:val="-7"/>
        </w:rPr>
        <w:t xml:space="preserve"> </w:t>
      </w:r>
      <w:r>
        <w:t>de</w:t>
      </w:r>
      <w:r>
        <w:rPr>
          <w:spacing w:val="-8"/>
        </w:rPr>
        <w:t xml:space="preserve"> </w:t>
      </w:r>
      <w:r>
        <w:t>reconocimiento</w:t>
      </w:r>
      <w:r>
        <w:rPr>
          <w:spacing w:val="-9"/>
        </w:rPr>
        <w:t xml:space="preserve"> </w:t>
      </w:r>
      <w:r>
        <w:t>de</w:t>
      </w:r>
      <w:r>
        <w:rPr>
          <w:spacing w:val="-7"/>
        </w:rPr>
        <w:t xml:space="preserve"> </w:t>
      </w:r>
      <w:r>
        <w:t>territorios,</w:t>
      </w:r>
      <w:r>
        <w:rPr>
          <w:spacing w:val="-7"/>
        </w:rPr>
        <w:t xml:space="preserve"> </w:t>
      </w:r>
      <w:r>
        <w:t>culturas</w:t>
      </w:r>
      <w:r>
        <w:rPr>
          <w:spacing w:val="-8"/>
        </w:rPr>
        <w:t xml:space="preserve"> </w:t>
      </w:r>
      <w:r>
        <w:t>y</w:t>
      </w:r>
      <w:r>
        <w:rPr>
          <w:spacing w:val="-8"/>
        </w:rPr>
        <w:t xml:space="preserve"> </w:t>
      </w:r>
      <w:r>
        <w:t>formas de vida, y con dimensión política familiar en la lucha contra la desaparición forzada.</w:t>
      </w:r>
    </w:p>
    <w:p w:rsidR="003804AC" w:rsidRDefault="00AF18A5" w:rsidP="00655D3E">
      <w:r>
        <w:t>Los reconocimientos también suponen momentos de diálogo y escucha para saber de reivindicaciones y malestares sociales que las víctimas han debido enfrentar. Son una oportunidad para expresar que, si bien hay diferencias importantes en cuanto a las posturas políticas, es fundamental que se reconozca que las víctimas son tales, independientemente del</w:t>
      </w:r>
      <w:r>
        <w:rPr>
          <w:spacing w:val="-3"/>
        </w:rPr>
        <w:t xml:space="preserve"> </w:t>
      </w:r>
      <w:r>
        <w:t>lugar</w:t>
      </w:r>
      <w:r>
        <w:rPr>
          <w:spacing w:val="-3"/>
        </w:rPr>
        <w:t xml:space="preserve"> </w:t>
      </w:r>
      <w:r>
        <w:t>en</w:t>
      </w:r>
      <w:r>
        <w:rPr>
          <w:spacing w:val="-5"/>
        </w:rPr>
        <w:t xml:space="preserve"> </w:t>
      </w:r>
      <w:r>
        <w:t>el</w:t>
      </w:r>
      <w:r>
        <w:rPr>
          <w:spacing w:val="-3"/>
        </w:rPr>
        <w:t xml:space="preserve"> </w:t>
      </w:r>
      <w:r>
        <w:t>espectro</w:t>
      </w:r>
      <w:r>
        <w:rPr>
          <w:spacing w:val="-4"/>
        </w:rPr>
        <w:t xml:space="preserve"> </w:t>
      </w:r>
      <w:r>
        <w:t>político</w:t>
      </w:r>
      <w:r>
        <w:rPr>
          <w:spacing w:val="-4"/>
        </w:rPr>
        <w:t xml:space="preserve"> </w:t>
      </w:r>
      <w:r>
        <w:t>(izquierda</w:t>
      </w:r>
      <w:r>
        <w:rPr>
          <w:spacing w:val="-5"/>
        </w:rPr>
        <w:t xml:space="preserve"> </w:t>
      </w:r>
      <w:r>
        <w:t>-</w:t>
      </w:r>
      <w:r>
        <w:rPr>
          <w:spacing w:val="-3"/>
        </w:rPr>
        <w:t xml:space="preserve"> </w:t>
      </w:r>
      <w:r>
        <w:t>derecha).</w:t>
      </w:r>
      <w:r>
        <w:rPr>
          <w:spacing w:val="-4"/>
        </w:rPr>
        <w:t xml:space="preserve"> </w:t>
      </w:r>
      <w:r>
        <w:t>No</w:t>
      </w:r>
      <w:r>
        <w:rPr>
          <w:spacing w:val="-4"/>
        </w:rPr>
        <w:t xml:space="preserve"> </w:t>
      </w:r>
      <w:r>
        <w:t>hay</w:t>
      </w:r>
      <w:r>
        <w:rPr>
          <w:spacing w:val="-5"/>
        </w:rPr>
        <w:t xml:space="preserve"> </w:t>
      </w:r>
      <w:r>
        <w:t>víctimas</w:t>
      </w:r>
      <w:r>
        <w:rPr>
          <w:spacing w:val="-5"/>
        </w:rPr>
        <w:t xml:space="preserve"> </w:t>
      </w:r>
      <w:r>
        <w:t>mejores</w:t>
      </w:r>
      <w:r>
        <w:rPr>
          <w:spacing w:val="-3"/>
        </w:rPr>
        <w:t xml:space="preserve"> </w:t>
      </w:r>
      <w:r>
        <w:t>ni</w:t>
      </w:r>
      <w:r>
        <w:rPr>
          <w:spacing w:val="-3"/>
        </w:rPr>
        <w:t xml:space="preserve"> </w:t>
      </w:r>
      <w:r>
        <w:t>peores.</w:t>
      </w:r>
      <w:r>
        <w:rPr>
          <w:spacing w:val="-4"/>
        </w:rPr>
        <w:t xml:space="preserve"> </w:t>
      </w:r>
      <w:r>
        <w:t>El conflicto</w:t>
      </w:r>
      <w:r>
        <w:rPr>
          <w:spacing w:val="-15"/>
        </w:rPr>
        <w:t xml:space="preserve"> </w:t>
      </w:r>
      <w:r>
        <w:t>colombiano</w:t>
      </w:r>
      <w:r>
        <w:rPr>
          <w:spacing w:val="-15"/>
        </w:rPr>
        <w:t xml:space="preserve"> </w:t>
      </w:r>
      <w:r>
        <w:t>tiene</w:t>
      </w:r>
      <w:r>
        <w:rPr>
          <w:spacing w:val="-14"/>
        </w:rPr>
        <w:t xml:space="preserve"> </w:t>
      </w:r>
      <w:r>
        <w:t>complejidad</w:t>
      </w:r>
      <w:r>
        <w:rPr>
          <w:spacing w:val="-14"/>
        </w:rPr>
        <w:t xml:space="preserve"> </w:t>
      </w:r>
      <w:r>
        <w:t>en</w:t>
      </w:r>
      <w:r>
        <w:rPr>
          <w:spacing w:val="-15"/>
        </w:rPr>
        <w:t xml:space="preserve"> </w:t>
      </w:r>
      <w:r>
        <w:t>los</w:t>
      </w:r>
      <w:r>
        <w:rPr>
          <w:spacing w:val="-14"/>
        </w:rPr>
        <w:t xml:space="preserve"> </w:t>
      </w:r>
      <w:r>
        <w:t>hechos,</w:t>
      </w:r>
      <w:r>
        <w:rPr>
          <w:spacing w:val="-15"/>
        </w:rPr>
        <w:t xml:space="preserve"> </w:t>
      </w:r>
      <w:r>
        <w:t>en</w:t>
      </w:r>
      <w:r>
        <w:rPr>
          <w:spacing w:val="-14"/>
        </w:rPr>
        <w:t xml:space="preserve"> </w:t>
      </w:r>
      <w:r>
        <w:t>las</w:t>
      </w:r>
      <w:r>
        <w:rPr>
          <w:spacing w:val="-14"/>
        </w:rPr>
        <w:t xml:space="preserve"> </w:t>
      </w:r>
      <w:r>
        <w:t>identidades,</w:t>
      </w:r>
      <w:r>
        <w:rPr>
          <w:spacing w:val="-15"/>
        </w:rPr>
        <w:t xml:space="preserve"> </w:t>
      </w:r>
      <w:r>
        <w:t>en</w:t>
      </w:r>
      <w:r>
        <w:rPr>
          <w:spacing w:val="-15"/>
        </w:rPr>
        <w:t xml:space="preserve"> </w:t>
      </w:r>
      <w:r>
        <w:t>las</w:t>
      </w:r>
      <w:r>
        <w:rPr>
          <w:spacing w:val="-13"/>
        </w:rPr>
        <w:t xml:space="preserve"> </w:t>
      </w:r>
      <w:r>
        <w:rPr>
          <w:spacing w:val="-2"/>
        </w:rPr>
        <w:t>experiencias.</w:t>
      </w:r>
    </w:p>
    <w:p w:rsidR="003804AC" w:rsidRDefault="00AF18A5" w:rsidP="00655D3E">
      <w:r>
        <w:t>Conviene</w:t>
      </w:r>
      <w:r>
        <w:rPr>
          <w:spacing w:val="-13"/>
        </w:rPr>
        <w:t xml:space="preserve"> </w:t>
      </w:r>
      <w:r>
        <w:t>no</w:t>
      </w:r>
      <w:r>
        <w:rPr>
          <w:spacing w:val="-13"/>
        </w:rPr>
        <w:t xml:space="preserve"> </w:t>
      </w:r>
      <w:r>
        <w:t>perder</w:t>
      </w:r>
      <w:r>
        <w:rPr>
          <w:spacing w:val="-13"/>
        </w:rPr>
        <w:t xml:space="preserve"> </w:t>
      </w:r>
      <w:r>
        <w:t>el</w:t>
      </w:r>
      <w:r>
        <w:rPr>
          <w:spacing w:val="-13"/>
        </w:rPr>
        <w:t xml:space="preserve"> </w:t>
      </w:r>
      <w:r>
        <w:t>foco</w:t>
      </w:r>
      <w:r>
        <w:rPr>
          <w:spacing w:val="-13"/>
        </w:rPr>
        <w:t xml:space="preserve"> </w:t>
      </w:r>
      <w:r>
        <w:t>y</w:t>
      </w:r>
      <w:r>
        <w:rPr>
          <w:spacing w:val="-13"/>
        </w:rPr>
        <w:t xml:space="preserve"> </w:t>
      </w:r>
      <w:r>
        <w:t>ampliar</w:t>
      </w:r>
      <w:r>
        <w:rPr>
          <w:spacing w:val="-14"/>
        </w:rPr>
        <w:t xml:space="preserve"> </w:t>
      </w:r>
      <w:r>
        <w:t>la</w:t>
      </w:r>
      <w:r>
        <w:rPr>
          <w:spacing w:val="-13"/>
        </w:rPr>
        <w:t xml:space="preserve"> </w:t>
      </w:r>
      <w:r>
        <w:t>visión</w:t>
      </w:r>
      <w:r>
        <w:rPr>
          <w:spacing w:val="-13"/>
        </w:rPr>
        <w:t xml:space="preserve"> </w:t>
      </w:r>
      <w:r>
        <w:t>del</w:t>
      </w:r>
      <w:r>
        <w:rPr>
          <w:spacing w:val="-14"/>
        </w:rPr>
        <w:t xml:space="preserve"> </w:t>
      </w:r>
      <w:r>
        <w:t>conflicto</w:t>
      </w:r>
      <w:r>
        <w:rPr>
          <w:spacing w:val="-13"/>
        </w:rPr>
        <w:t xml:space="preserve"> </w:t>
      </w:r>
      <w:r>
        <w:t>de</w:t>
      </w:r>
      <w:r>
        <w:rPr>
          <w:spacing w:val="-14"/>
        </w:rPr>
        <w:t xml:space="preserve"> </w:t>
      </w:r>
      <w:r>
        <w:t>forma</w:t>
      </w:r>
      <w:r>
        <w:rPr>
          <w:spacing w:val="-14"/>
        </w:rPr>
        <w:t xml:space="preserve"> </w:t>
      </w:r>
      <w:r>
        <w:t>más</w:t>
      </w:r>
      <w:r>
        <w:rPr>
          <w:spacing w:val="-13"/>
        </w:rPr>
        <w:t xml:space="preserve"> </w:t>
      </w:r>
      <w:r>
        <w:t>profunda.</w:t>
      </w:r>
      <w:r>
        <w:rPr>
          <w:spacing w:val="-13"/>
        </w:rPr>
        <w:t xml:space="preserve"> </w:t>
      </w:r>
      <w:r>
        <w:t>También flexibilizar las identidades y la visión del otro, por ejemplo, en el reconocimiento de los impactos del conflicto armado colombiano en niños, niñas y adolescentes. Un exintegrante de</w:t>
      </w:r>
      <w:r>
        <w:rPr>
          <w:spacing w:val="-2"/>
        </w:rPr>
        <w:t xml:space="preserve"> </w:t>
      </w:r>
      <w:r>
        <w:t>las</w:t>
      </w:r>
      <w:r>
        <w:rPr>
          <w:spacing w:val="-3"/>
        </w:rPr>
        <w:t xml:space="preserve"> </w:t>
      </w:r>
      <w:r>
        <w:t>AUC</w:t>
      </w:r>
      <w:r>
        <w:rPr>
          <w:spacing w:val="-3"/>
        </w:rPr>
        <w:t xml:space="preserve"> </w:t>
      </w:r>
      <w:r>
        <w:t>y</w:t>
      </w:r>
      <w:r>
        <w:rPr>
          <w:spacing w:val="-2"/>
        </w:rPr>
        <w:t xml:space="preserve"> </w:t>
      </w:r>
      <w:r>
        <w:t>una</w:t>
      </w:r>
      <w:r>
        <w:rPr>
          <w:spacing w:val="-2"/>
        </w:rPr>
        <w:t xml:space="preserve"> </w:t>
      </w:r>
      <w:r>
        <w:t>mujer</w:t>
      </w:r>
      <w:r>
        <w:rPr>
          <w:spacing w:val="-4"/>
        </w:rPr>
        <w:t xml:space="preserve"> </w:t>
      </w:r>
      <w:r>
        <w:t>que</w:t>
      </w:r>
      <w:r>
        <w:rPr>
          <w:spacing w:val="-2"/>
        </w:rPr>
        <w:t xml:space="preserve"> </w:t>
      </w:r>
      <w:r>
        <w:t>hizo</w:t>
      </w:r>
      <w:r>
        <w:rPr>
          <w:spacing w:val="-4"/>
        </w:rPr>
        <w:t xml:space="preserve"> </w:t>
      </w:r>
      <w:r>
        <w:t>parte</w:t>
      </w:r>
      <w:r>
        <w:rPr>
          <w:spacing w:val="-2"/>
        </w:rPr>
        <w:t xml:space="preserve"> </w:t>
      </w:r>
      <w:r>
        <w:t>de</w:t>
      </w:r>
      <w:r>
        <w:rPr>
          <w:spacing w:val="-3"/>
        </w:rPr>
        <w:t xml:space="preserve"> </w:t>
      </w:r>
      <w:r>
        <w:t>las</w:t>
      </w:r>
      <w:r>
        <w:rPr>
          <w:spacing w:val="-3"/>
        </w:rPr>
        <w:t xml:space="preserve"> </w:t>
      </w:r>
      <w:r>
        <w:t>filas</w:t>
      </w:r>
      <w:r>
        <w:rPr>
          <w:spacing w:val="-2"/>
        </w:rPr>
        <w:t xml:space="preserve"> </w:t>
      </w:r>
      <w:r>
        <w:t>de</w:t>
      </w:r>
      <w:r>
        <w:rPr>
          <w:spacing w:val="-2"/>
        </w:rPr>
        <w:t xml:space="preserve"> </w:t>
      </w:r>
      <w:r>
        <w:t>las</w:t>
      </w:r>
      <w:r>
        <w:rPr>
          <w:spacing w:val="-2"/>
        </w:rPr>
        <w:t xml:space="preserve"> </w:t>
      </w:r>
      <w:r>
        <w:t>FARC-EP</w:t>
      </w:r>
      <w:r>
        <w:rPr>
          <w:spacing w:val="-3"/>
        </w:rPr>
        <w:t xml:space="preserve"> </w:t>
      </w:r>
      <w:r>
        <w:t>compartieron</w:t>
      </w:r>
      <w:r>
        <w:rPr>
          <w:spacing w:val="-2"/>
        </w:rPr>
        <w:t xml:space="preserve"> </w:t>
      </w:r>
      <w:r>
        <w:t>hechos</w:t>
      </w:r>
      <w:r>
        <w:rPr>
          <w:spacing w:val="-2"/>
        </w:rPr>
        <w:t xml:space="preserve"> </w:t>
      </w:r>
      <w:r>
        <w:t>de violencia de los cuales fueron víctimas siendo niños y que antecedieron a su ingreso a los grupos armados. Adentrarse en la historia profunda de la gente ayuda a comprender los porqués más allá de los señalamientos y de las etiquetas. Bajo la urdimbre de las historias subyace la explicación a la persistencia de un conflicto que no logramos superar.</w:t>
      </w:r>
    </w:p>
    <w:p w:rsidR="0011361F" w:rsidRDefault="00AF18A5" w:rsidP="004A6EF4">
      <w:pPr>
        <w:pStyle w:val="Ttulo4"/>
        <w:numPr>
          <w:ilvl w:val="2"/>
          <w:numId w:val="16"/>
        </w:numPr>
      </w:pPr>
      <w:bookmarkStart w:id="1460" w:name="11.5.2._El_lugar_de_los_responsables_y_s"/>
      <w:bookmarkEnd w:id="1460"/>
      <w:r>
        <w:t>El</w:t>
      </w:r>
      <w:r>
        <w:rPr>
          <w:spacing w:val="-2"/>
        </w:rPr>
        <w:t xml:space="preserve"> </w:t>
      </w:r>
      <w:r>
        <w:t>lugar</w:t>
      </w:r>
      <w:r>
        <w:rPr>
          <w:spacing w:val="-1"/>
        </w:rPr>
        <w:t xml:space="preserve"> </w:t>
      </w:r>
      <w:r>
        <w:t>de</w:t>
      </w:r>
      <w:r>
        <w:rPr>
          <w:spacing w:val="-1"/>
        </w:rPr>
        <w:t xml:space="preserve"> </w:t>
      </w:r>
      <w:r>
        <w:t>los</w:t>
      </w:r>
      <w:r>
        <w:rPr>
          <w:spacing w:val="-1"/>
        </w:rPr>
        <w:t xml:space="preserve"> </w:t>
      </w:r>
      <w:r>
        <w:t>responsables</w:t>
      </w:r>
      <w:r>
        <w:rPr>
          <w:spacing w:val="-2"/>
        </w:rPr>
        <w:t xml:space="preserve"> </w:t>
      </w:r>
      <w:r>
        <w:t>y</w:t>
      </w:r>
      <w:r>
        <w:rPr>
          <w:spacing w:val="-1"/>
        </w:rPr>
        <w:t xml:space="preserve"> </w:t>
      </w:r>
      <w:r>
        <w:t>sus</w:t>
      </w:r>
      <w:r>
        <w:rPr>
          <w:spacing w:val="-1"/>
        </w:rPr>
        <w:t xml:space="preserve"> </w:t>
      </w:r>
      <w:r>
        <w:rPr>
          <w:spacing w:val="-2"/>
        </w:rPr>
        <w:t>narrativas</w:t>
      </w:r>
    </w:p>
    <w:p w:rsidR="003804AC" w:rsidRDefault="00AF18A5" w:rsidP="00914D42">
      <w:r>
        <w:t>La</w:t>
      </w:r>
      <w:r>
        <w:rPr>
          <w:spacing w:val="-10"/>
        </w:rPr>
        <w:t xml:space="preserve"> </w:t>
      </w:r>
      <w:r>
        <w:t>participación</w:t>
      </w:r>
      <w:r>
        <w:rPr>
          <w:spacing w:val="-11"/>
        </w:rPr>
        <w:t xml:space="preserve"> </w:t>
      </w:r>
      <w:r>
        <w:t>voluntaria</w:t>
      </w:r>
      <w:r>
        <w:rPr>
          <w:spacing w:val="-10"/>
        </w:rPr>
        <w:t xml:space="preserve"> </w:t>
      </w:r>
      <w:r>
        <w:t>de</w:t>
      </w:r>
      <w:r>
        <w:rPr>
          <w:spacing w:val="-12"/>
        </w:rPr>
        <w:t xml:space="preserve"> </w:t>
      </w:r>
      <w:r>
        <w:t>los</w:t>
      </w:r>
      <w:r>
        <w:rPr>
          <w:spacing w:val="-10"/>
        </w:rPr>
        <w:t xml:space="preserve"> </w:t>
      </w:r>
      <w:r>
        <w:t>responsables</w:t>
      </w:r>
      <w:r>
        <w:rPr>
          <w:spacing w:val="-10"/>
        </w:rPr>
        <w:t xml:space="preserve"> </w:t>
      </w:r>
      <w:r>
        <w:t>es</w:t>
      </w:r>
      <w:r>
        <w:rPr>
          <w:spacing w:val="-12"/>
        </w:rPr>
        <w:t xml:space="preserve"> </w:t>
      </w:r>
      <w:r>
        <w:t>una</w:t>
      </w:r>
      <w:r>
        <w:rPr>
          <w:spacing w:val="-10"/>
        </w:rPr>
        <w:t xml:space="preserve"> </w:t>
      </w:r>
      <w:r>
        <w:t>parte</w:t>
      </w:r>
      <w:r>
        <w:rPr>
          <w:spacing w:val="-10"/>
        </w:rPr>
        <w:t xml:space="preserve"> </w:t>
      </w:r>
      <w:r>
        <w:t>clave</w:t>
      </w:r>
      <w:r>
        <w:rPr>
          <w:spacing w:val="-10"/>
        </w:rPr>
        <w:t xml:space="preserve"> </w:t>
      </w:r>
      <w:r>
        <w:t>de</w:t>
      </w:r>
      <w:r>
        <w:rPr>
          <w:spacing w:val="-10"/>
        </w:rPr>
        <w:t xml:space="preserve"> </w:t>
      </w:r>
      <w:r>
        <w:t>los</w:t>
      </w:r>
      <w:r>
        <w:rPr>
          <w:spacing w:val="-10"/>
        </w:rPr>
        <w:t xml:space="preserve"> </w:t>
      </w:r>
      <w:r>
        <w:t>reconocimientos.</w:t>
      </w:r>
      <w:r>
        <w:rPr>
          <w:spacing w:val="-11"/>
        </w:rPr>
        <w:t xml:space="preserve"> </w:t>
      </w:r>
      <w:r>
        <w:t xml:space="preserve">La verdad «desde el otro lado», desde el que tantas veces se han negado los hechos, que tiene un valor clave porque revela </w:t>
      </w:r>
      <w:r>
        <w:lastRenderedPageBreak/>
        <w:t>informaciones sensibles, detalles significativos o atmósferas que ayudan a entender o a aproximarse de forma directa a lo vivido. Una verdad que ayuda a tener respuestas, aunque sea parciales, a preguntas que han acompañado a la sociedad y a la historia.</w:t>
      </w:r>
    </w:p>
    <w:p w:rsidR="003804AC" w:rsidRDefault="00AF18A5" w:rsidP="00914D42">
      <w:r>
        <w:t>Para algunos exmiembros de las FARC-EP, el reconocimiento supone</w:t>
      </w:r>
      <w:r>
        <w:rPr>
          <w:spacing w:val="-1"/>
        </w:rPr>
        <w:t xml:space="preserve"> </w:t>
      </w:r>
      <w:r>
        <w:t>moverse del lugar en</w:t>
      </w:r>
      <w:r>
        <w:rPr>
          <w:spacing w:val="-4"/>
        </w:rPr>
        <w:t xml:space="preserve"> </w:t>
      </w:r>
      <w:r>
        <w:t>la</w:t>
      </w:r>
      <w:r>
        <w:rPr>
          <w:spacing w:val="-3"/>
        </w:rPr>
        <w:t xml:space="preserve"> </w:t>
      </w:r>
      <w:r>
        <w:t>cadena</w:t>
      </w:r>
      <w:r>
        <w:rPr>
          <w:spacing w:val="-5"/>
        </w:rPr>
        <w:t xml:space="preserve"> </w:t>
      </w:r>
      <w:r>
        <w:t>de</w:t>
      </w:r>
      <w:r>
        <w:rPr>
          <w:spacing w:val="-3"/>
        </w:rPr>
        <w:t xml:space="preserve"> </w:t>
      </w:r>
      <w:r>
        <w:t>mando</w:t>
      </w:r>
      <w:r>
        <w:rPr>
          <w:spacing w:val="-4"/>
        </w:rPr>
        <w:t xml:space="preserve"> </w:t>
      </w:r>
      <w:r>
        <w:t>donde</w:t>
      </w:r>
      <w:r>
        <w:rPr>
          <w:spacing w:val="-3"/>
        </w:rPr>
        <w:t xml:space="preserve"> </w:t>
      </w:r>
      <w:r>
        <w:t>estuvieron</w:t>
      </w:r>
      <w:r>
        <w:rPr>
          <w:spacing w:val="-4"/>
        </w:rPr>
        <w:t xml:space="preserve"> </w:t>
      </w:r>
      <w:r>
        <w:t>y</w:t>
      </w:r>
      <w:r>
        <w:rPr>
          <w:spacing w:val="-4"/>
        </w:rPr>
        <w:t xml:space="preserve"> </w:t>
      </w:r>
      <w:r>
        <w:t>no</w:t>
      </w:r>
      <w:r>
        <w:rPr>
          <w:spacing w:val="-4"/>
        </w:rPr>
        <w:t xml:space="preserve"> </w:t>
      </w:r>
      <w:r>
        <w:t>dejarse</w:t>
      </w:r>
      <w:r>
        <w:rPr>
          <w:spacing w:val="-3"/>
        </w:rPr>
        <w:t xml:space="preserve"> </w:t>
      </w:r>
      <w:r>
        <w:t>llevar</w:t>
      </w:r>
      <w:r>
        <w:rPr>
          <w:spacing w:val="-3"/>
        </w:rPr>
        <w:t xml:space="preserve"> </w:t>
      </w:r>
      <w:r>
        <w:t>por</w:t>
      </w:r>
      <w:r>
        <w:rPr>
          <w:spacing w:val="-3"/>
        </w:rPr>
        <w:t xml:space="preserve"> </w:t>
      </w:r>
      <w:r>
        <w:t>una</w:t>
      </w:r>
      <w:r>
        <w:rPr>
          <w:spacing w:val="-3"/>
        </w:rPr>
        <w:t xml:space="preserve"> </w:t>
      </w:r>
      <w:r>
        <w:t>narrativa</w:t>
      </w:r>
      <w:r>
        <w:rPr>
          <w:spacing w:val="-3"/>
        </w:rPr>
        <w:t xml:space="preserve"> </w:t>
      </w:r>
      <w:r>
        <w:t>preestablecida o</w:t>
      </w:r>
      <w:r>
        <w:rPr>
          <w:spacing w:val="-8"/>
        </w:rPr>
        <w:t xml:space="preserve"> </w:t>
      </w:r>
      <w:r>
        <w:t>politizada</w:t>
      </w:r>
      <w:r>
        <w:rPr>
          <w:spacing w:val="-9"/>
        </w:rPr>
        <w:t xml:space="preserve"> </w:t>
      </w:r>
      <w:r>
        <w:t>que</w:t>
      </w:r>
      <w:r>
        <w:rPr>
          <w:spacing w:val="-8"/>
        </w:rPr>
        <w:t xml:space="preserve"> </w:t>
      </w:r>
      <w:r>
        <w:t>no</w:t>
      </w:r>
      <w:r>
        <w:rPr>
          <w:spacing w:val="-8"/>
        </w:rPr>
        <w:t xml:space="preserve"> </w:t>
      </w:r>
      <w:r>
        <w:t>hable</w:t>
      </w:r>
      <w:r>
        <w:rPr>
          <w:spacing w:val="-8"/>
        </w:rPr>
        <w:t xml:space="preserve"> </w:t>
      </w:r>
      <w:r>
        <w:t>al</w:t>
      </w:r>
      <w:r>
        <w:rPr>
          <w:spacing w:val="-8"/>
        </w:rPr>
        <w:t xml:space="preserve"> </w:t>
      </w:r>
      <w:r>
        <w:t>corazón</w:t>
      </w:r>
      <w:r>
        <w:rPr>
          <w:spacing w:val="-9"/>
        </w:rPr>
        <w:t xml:space="preserve"> </w:t>
      </w:r>
      <w:r>
        <w:t>y</w:t>
      </w:r>
      <w:r>
        <w:rPr>
          <w:spacing w:val="-8"/>
        </w:rPr>
        <w:t xml:space="preserve"> </w:t>
      </w:r>
      <w:r>
        <w:t>el</w:t>
      </w:r>
      <w:r>
        <w:rPr>
          <w:spacing w:val="-8"/>
        </w:rPr>
        <w:t xml:space="preserve"> </w:t>
      </w:r>
      <w:r>
        <w:t>sentir</w:t>
      </w:r>
      <w:r>
        <w:rPr>
          <w:spacing w:val="-8"/>
        </w:rPr>
        <w:t xml:space="preserve"> </w:t>
      </w:r>
      <w:r>
        <w:t>de</w:t>
      </w:r>
      <w:r>
        <w:rPr>
          <w:spacing w:val="-8"/>
        </w:rPr>
        <w:t xml:space="preserve"> </w:t>
      </w:r>
      <w:r>
        <w:t>la</w:t>
      </w:r>
      <w:r>
        <w:rPr>
          <w:spacing w:val="-8"/>
        </w:rPr>
        <w:t xml:space="preserve"> </w:t>
      </w:r>
      <w:r>
        <w:t>gente.</w:t>
      </w:r>
      <w:r>
        <w:rPr>
          <w:spacing w:val="-8"/>
        </w:rPr>
        <w:t xml:space="preserve"> </w:t>
      </w:r>
      <w:r>
        <w:t>Para</w:t>
      </w:r>
      <w:r>
        <w:rPr>
          <w:spacing w:val="-9"/>
        </w:rPr>
        <w:t xml:space="preserve"> </w:t>
      </w:r>
      <w:r>
        <w:t>los</w:t>
      </w:r>
      <w:r>
        <w:rPr>
          <w:spacing w:val="-8"/>
        </w:rPr>
        <w:t xml:space="preserve"> </w:t>
      </w:r>
      <w:r>
        <w:t>militares</w:t>
      </w:r>
      <w:r>
        <w:rPr>
          <w:spacing w:val="-8"/>
        </w:rPr>
        <w:t xml:space="preserve"> </w:t>
      </w:r>
      <w:r>
        <w:t>responsables</w:t>
      </w:r>
      <w:r>
        <w:rPr>
          <w:spacing w:val="-8"/>
        </w:rPr>
        <w:t xml:space="preserve"> </w:t>
      </w:r>
      <w:r>
        <w:t>de violaciones de derechos humanos supone tomar distancia de sus mandos o de la institución de la cual formaron parte, con valores y prácticas que llevaron a atrocidades. Todo ello los pone</w:t>
      </w:r>
      <w:r>
        <w:rPr>
          <w:spacing w:val="-6"/>
        </w:rPr>
        <w:t xml:space="preserve"> </w:t>
      </w:r>
      <w:r>
        <w:t>en</w:t>
      </w:r>
      <w:r>
        <w:rPr>
          <w:spacing w:val="-6"/>
        </w:rPr>
        <w:t xml:space="preserve"> </w:t>
      </w:r>
      <w:r>
        <w:t>un</w:t>
      </w:r>
      <w:r>
        <w:rPr>
          <w:spacing w:val="-6"/>
        </w:rPr>
        <w:t xml:space="preserve"> </w:t>
      </w:r>
      <w:r>
        <w:t>lugar</w:t>
      </w:r>
      <w:r>
        <w:rPr>
          <w:spacing w:val="-6"/>
        </w:rPr>
        <w:t xml:space="preserve"> </w:t>
      </w:r>
      <w:r>
        <w:t>difícil</w:t>
      </w:r>
      <w:r>
        <w:rPr>
          <w:spacing w:val="-6"/>
        </w:rPr>
        <w:t xml:space="preserve"> </w:t>
      </w:r>
      <w:r>
        <w:t>e</w:t>
      </w:r>
      <w:r>
        <w:rPr>
          <w:spacing w:val="-7"/>
        </w:rPr>
        <w:t xml:space="preserve"> </w:t>
      </w:r>
      <w:r>
        <w:t>implica</w:t>
      </w:r>
      <w:r>
        <w:rPr>
          <w:spacing w:val="-6"/>
        </w:rPr>
        <w:t xml:space="preserve"> </w:t>
      </w:r>
      <w:r>
        <w:t>cambios</w:t>
      </w:r>
      <w:r>
        <w:rPr>
          <w:spacing w:val="-6"/>
        </w:rPr>
        <w:t xml:space="preserve"> </w:t>
      </w:r>
      <w:r>
        <w:t>al</w:t>
      </w:r>
      <w:r>
        <w:rPr>
          <w:spacing w:val="-6"/>
        </w:rPr>
        <w:t xml:space="preserve"> </w:t>
      </w:r>
      <w:r>
        <w:t>interior</w:t>
      </w:r>
      <w:r>
        <w:rPr>
          <w:spacing w:val="-6"/>
        </w:rPr>
        <w:t xml:space="preserve"> </w:t>
      </w:r>
      <w:r>
        <w:t>del</w:t>
      </w:r>
      <w:r>
        <w:rPr>
          <w:spacing w:val="-6"/>
        </w:rPr>
        <w:t xml:space="preserve"> </w:t>
      </w:r>
      <w:r>
        <w:t>«bando»</w:t>
      </w:r>
      <w:r>
        <w:rPr>
          <w:spacing w:val="-6"/>
        </w:rPr>
        <w:t xml:space="preserve"> </w:t>
      </w:r>
      <w:r>
        <w:t>no</w:t>
      </w:r>
      <w:r>
        <w:rPr>
          <w:spacing w:val="-6"/>
        </w:rPr>
        <w:t xml:space="preserve"> </w:t>
      </w:r>
      <w:r>
        <w:t>solo</w:t>
      </w:r>
      <w:r>
        <w:rPr>
          <w:spacing w:val="-6"/>
        </w:rPr>
        <w:t xml:space="preserve"> </w:t>
      </w:r>
      <w:r>
        <w:t>en</w:t>
      </w:r>
      <w:r>
        <w:rPr>
          <w:spacing w:val="-6"/>
        </w:rPr>
        <w:t xml:space="preserve"> </w:t>
      </w:r>
      <w:r>
        <w:t>relación</w:t>
      </w:r>
      <w:r>
        <w:rPr>
          <w:spacing w:val="-6"/>
        </w:rPr>
        <w:t xml:space="preserve"> </w:t>
      </w:r>
      <w:r>
        <w:t>con</w:t>
      </w:r>
      <w:r>
        <w:rPr>
          <w:spacing w:val="-6"/>
        </w:rPr>
        <w:t xml:space="preserve"> </w:t>
      </w:r>
      <w:r>
        <w:t>las víctimas sino frente a ellos.</w:t>
      </w:r>
    </w:p>
    <w:p w:rsidR="003804AC" w:rsidRDefault="00AF18A5" w:rsidP="00914D42">
      <w:r>
        <w:t>El</w:t>
      </w:r>
      <w:r>
        <w:rPr>
          <w:spacing w:val="-6"/>
        </w:rPr>
        <w:t xml:space="preserve"> </w:t>
      </w:r>
      <w:r>
        <w:t>hecho</w:t>
      </w:r>
      <w:r>
        <w:rPr>
          <w:spacing w:val="-6"/>
        </w:rPr>
        <w:t xml:space="preserve"> </w:t>
      </w:r>
      <w:r>
        <w:t>de</w:t>
      </w:r>
      <w:r>
        <w:rPr>
          <w:spacing w:val="-6"/>
        </w:rPr>
        <w:t xml:space="preserve"> </w:t>
      </w:r>
      <w:r>
        <w:t>que</w:t>
      </w:r>
      <w:r>
        <w:rPr>
          <w:spacing w:val="-6"/>
        </w:rPr>
        <w:t xml:space="preserve"> </w:t>
      </w:r>
      <w:r>
        <w:t>la</w:t>
      </w:r>
      <w:r>
        <w:rPr>
          <w:spacing w:val="-6"/>
        </w:rPr>
        <w:t xml:space="preserve"> </w:t>
      </w:r>
      <w:r>
        <w:t>Comisión</w:t>
      </w:r>
      <w:r>
        <w:rPr>
          <w:spacing w:val="-6"/>
        </w:rPr>
        <w:t xml:space="preserve"> </w:t>
      </w:r>
      <w:r>
        <w:t>haya</w:t>
      </w:r>
      <w:r>
        <w:rPr>
          <w:spacing w:val="-6"/>
        </w:rPr>
        <w:t xml:space="preserve"> </w:t>
      </w:r>
      <w:r>
        <w:t>activado</w:t>
      </w:r>
      <w:r>
        <w:rPr>
          <w:spacing w:val="-6"/>
        </w:rPr>
        <w:t xml:space="preserve"> </w:t>
      </w:r>
      <w:r>
        <w:t>estos</w:t>
      </w:r>
      <w:r>
        <w:rPr>
          <w:spacing w:val="-6"/>
        </w:rPr>
        <w:t xml:space="preserve"> </w:t>
      </w:r>
      <w:r>
        <w:t>procesos</w:t>
      </w:r>
      <w:r>
        <w:rPr>
          <w:spacing w:val="-6"/>
        </w:rPr>
        <w:t xml:space="preserve"> </w:t>
      </w:r>
      <w:r>
        <w:t>en</w:t>
      </w:r>
      <w:r>
        <w:rPr>
          <w:spacing w:val="-7"/>
        </w:rPr>
        <w:t xml:space="preserve"> </w:t>
      </w:r>
      <w:r>
        <w:t>simultánea</w:t>
      </w:r>
      <w:r>
        <w:rPr>
          <w:spacing w:val="-6"/>
        </w:rPr>
        <w:t xml:space="preserve"> </w:t>
      </w:r>
      <w:r>
        <w:t>con</w:t>
      </w:r>
      <w:r>
        <w:rPr>
          <w:spacing w:val="-6"/>
        </w:rPr>
        <w:t xml:space="preserve"> </w:t>
      </w:r>
      <w:r>
        <w:t>las</w:t>
      </w:r>
      <w:r>
        <w:rPr>
          <w:spacing w:val="-6"/>
        </w:rPr>
        <w:t xml:space="preserve"> </w:t>
      </w:r>
      <w:r>
        <w:t>acciones judiciales ante la JEP –esta con la obligación legal de reconocer y proporcionar verdades sobre lo sucedido– condiciona también las actitudes de las víctimas: «Ellos hablan aquí porque</w:t>
      </w:r>
      <w:r>
        <w:rPr>
          <w:spacing w:val="-3"/>
        </w:rPr>
        <w:t xml:space="preserve"> </w:t>
      </w:r>
      <w:r>
        <w:t>les</w:t>
      </w:r>
      <w:r>
        <w:rPr>
          <w:spacing w:val="-3"/>
        </w:rPr>
        <w:t xml:space="preserve"> </w:t>
      </w:r>
      <w:r>
        <w:t>conviene,</w:t>
      </w:r>
      <w:r>
        <w:rPr>
          <w:spacing w:val="-4"/>
        </w:rPr>
        <w:t xml:space="preserve"> </w:t>
      </w:r>
      <w:r>
        <w:t>o</w:t>
      </w:r>
      <w:r>
        <w:rPr>
          <w:spacing w:val="-4"/>
        </w:rPr>
        <w:t xml:space="preserve"> </w:t>
      </w:r>
      <w:r>
        <w:t>si</w:t>
      </w:r>
      <w:r>
        <w:rPr>
          <w:spacing w:val="-4"/>
        </w:rPr>
        <w:t xml:space="preserve"> </w:t>
      </w:r>
      <w:r>
        <w:t>no,</w:t>
      </w:r>
      <w:r>
        <w:rPr>
          <w:spacing w:val="-4"/>
        </w:rPr>
        <w:t xml:space="preserve"> </w:t>
      </w:r>
      <w:r>
        <w:t>no</w:t>
      </w:r>
      <w:r>
        <w:rPr>
          <w:spacing w:val="-4"/>
        </w:rPr>
        <w:t xml:space="preserve"> </w:t>
      </w:r>
      <w:r>
        <w:t>hablarían»</w:t>
      </w:r>
      <w:r>
        <w:rPr>
          <w:spacing w:val="-4"/>
        </w:rPr>
        <w:t xml:space="preserve"> </w:t>
      </w:r>
      <w:r>
        <w:t>Las</w:t>
      </w:r>
      <w:r>
        <w:rPr>
          <w:spacing w:val="-3"/>
        </w:rPr>
        <w:t xml:space="preserve"> </w:t>
      </w:r>
      <w:r>
        <w:t>víctimas</w:t>
      </w:r>
      <w:r>
        <w:rPr>
          <w:spacing w:val="-3"/>
        </w:rPr>
        <w:t xml:space="preserve"> </w:t>
      </w:r>
      <w:r>
        <w:t>esperan</w:t>
      </w:r>
      <w:r>
        <w:rPr>
          <w:spacing w:val="-4"/>
        </w:rPr>
        <w:t xml:space="preserve"> </w:t>
      </w:r>
      <w:r>
        <w:t>una</w:t>
      </w:r>
      <w:r>
        <w:rPr>
          <w:spacing w:val="-3"/>
        </w:rPr>
        <w:t xml:space="preserve"> </w:t>
      </w:r>
      <w:r>
        <w:t>revelación</w:t>
      </w:r>
      <w:r>
        <w:rPr>
          <w:spacing w:val="-4"/>
        </w:rPr>
        <w:t xml:space="preserve"> </w:t>
      </w:r>
      <w:r>
        <w:t>de</w:t>
      </w:r>
      <w:r>
        <w:rPr>
          <w:spacing w:val="-3"/>
        </w:rPr>
        <w:t xml:space="preserve"> </w:t>
      </w:r>
      <w:r>
        <w:t>verdades que</w:t>
      </w:r>
      <w:r>
        <w:rPr>
          <w:spacing w:val="-5"/>
        </w:rPr>
        <w:t xml:space="preserve"> </w:t>
      </w:r>
      <w:r>
        <w:t>no</w:t>
      </w:r>
      <w:r>
        <w:rPr>
          <w:spacing w:val="-5"/>
        </w:rPr>
        <w:t xml:space="preserve"> </w:t>
      </w:r>
      <w:r>
        <w:t>esté</w:t>
      </w:r>
      <w:r>
        <w:rPr>
          <w:spacing w:val="-7"/>
        </w:rPr>
        <w:t xml:space="preserve"> </w:t>
      </w:r>
      <w:r>
        <w:t>calculada</w:t>
      </w:r>
      <w:r>
        <w:rPr>
          <w:spacing w:val="-6"/>
        </w:rPr>
        <w:t xml:space="preserve"> </w:t>
      </w:r>
      <w:r>
        <w:t>en</w:t>
      </w:r>
      <w:r>
        <w:rPr>
          <w:spacing w:val="-6"/>
        </w:rPr>
        <w:t xml:space="preserve"> </w:t>
      </w:r>
      <w:r>
        <w:t>función</w:t>
      </w:r>
      <w:r>
        <w:rPr>
          <w:spacing w:val="-5"/>
        </w:rPr>
        <w:t xml:space="preserve"> </w:t>
      </w:r>
      <w:r>
        <w:t>de</w:t>
      </w:r>
      <w:r>
        <w:rPr>
          <w:spacing w:val="-7"/>
        </w:rPr>
        <w:t xml:space="preserve"> </w:t>
      </w:r>
      <w:r>
        <w:t>ciertos</w:t>
      </w:r>
      <w:r>
        <w:rPr>
          <w:spacing w:val="-5"/>
        </w:rPr>
        <w:t xml:space="preserve"> </w:t>
      </w:r>
      <w:r>
        <w:t>beneficios</w:t>
      </w:r>
      <w:r>
        <w:rPr>
          <w:spacing w:val="-6"/>
        </w:rPr>
        <w:t xml:space="preserve"> </w:t>
      </w:r>
      <w:r>
        <w:t>judiciales.</w:t>
      </w:r>
      <w:r>
        <w:rPr>
          <w:spacing w:val="-6"/>
        </w:rPr>
        <w:t xml:space="preserve"> </w:t>
      </w:r>
      <w:r>
        <w:t>Este</w:t>
      </w:r>
      <w:r>
        <w:rPr>
          <w:spacing w:val="-6"/>
        </w:rPr>
        <w:t xml:space="preserve"> </w:t>
      </w:r>
      <w:r>
        <w:t>diseño</w:t>
      </w:r>
      <w:r>
        <w:rPr>
          <w:spacing w:val="-5"/>
        </w:rPr>
        <w:t xml:space="preserve"> </w:t>
      </w:r>
      <w:r>
        <w:t>judicial</w:t>
      </w:r>
      <w:r>
        <w:rPr>
          <w:spacing w:val="-6"/>
        </w:rPr>
        <w:t xml:space="preserve"> </w:t>
      </w:r>
      <w:r>
        <w:t>supone un</w:t>
      </w:r>
      <w:r>
        <w:rPr>
          <w:spacing w:val="7"/>
        </w:rPr>
        <w:t xml:space="preserve"> </w:t>
      </w:r>
      <w:r>
        <w:t>aliciente</w:t>
      </w:r>
      <w:r>
        <w:rPr>
          <w:spacing w:val="7"/>
        </w:rPr>
        <w:t xml:space="preserve"> </w:t>
      </w:r>
      <w:r>
        <w:t>y</w:t>
      </w:r>
      <w:r>
        <w:rPr>
          <w:spacing w:val="8"/>
        </w:rPr>
        <w:t xml:space="preserve"> </w:t>
      </w:r>
      <w:r>
        <w:t>un</w:t>
      </w:r>
      <w:r>
        <w:rPr>
          <w:spacing w:val="8"/>
        </w:rPr>
        <w:t xml:space="preserve"> </w:t>
      </w:r>
      <w:r>
        <w:t>incentivo</w:t>
      </w:r>
      <w:r>
        <w:rPr>
          <w:spacing w:val="8"/>
        </w:rPr>
        <w:t xml:space="preserve"> </w:t>
      </w:r>
      <w:r>
        <w:t>importante</w:t>
      </w:r>
      <w:r>
        <w:rPr>
          <w:spacing w:val="8"/>
        </w:rPr>
        <w:t xml:space="preserve"> </w:t>
      </w:r>
      <w:r>
        <w:t>para</w:t>
      </w:r>
      <w:r>
        <w:rPr>
          <w:spacing w:val="8"/>
        </w:rPr>
        <w:t xml:space="preserve"> </w:t>
      </w:r>
      <w:r>
        <w:t>romper</w:t>
      </w:r>
      <w:r>
        <w:rPr>
          <w:spacing w:val="9"/>
        </w:rPr>
        <w:t xml:space="preserve"> </w:t>
      </w:r>
      <w:r>
        <w:t>los</w:t>
      </w:r>
      <w:r>
        <w:rPr>
          <w:spacing w:val="8"/>
        </w:rPr>
        <w:t xml:space="preserve"> </w:t>
      </w:r>
      <w:r>
        <w:t>pactos</w:t>
      </w:r>
      <w:r>
        <w:rPr>
          <w:spacing w:val="8"/>
        </w:rPr>
        <w:t xml:space="preserve"> </w:t>
      </w:r>
      <w:r>
        <w:t>de</w:t>
      </w:r>
      <w:r>
        <w:rPr>
          <w:spacing w:val="8"/>
        </w:rPr>
        <w:t xml:space="preserve"> </w:t>
      </w:r>
      <w:r>
        <w:t>silencio</w:t>
      </w:r>
      <w:r>
        <w:rPr>
          <w:spacing w:val="8"/>
        </w:rPr>
        <w:t xml:space="preserve"> </w:t>
      </w:r>
      <w:r>
        <w:t>que</w:t>
      </w:r>
      <w:r>
        <w:rPr>
          <w:spacing w:val="8"/>
        </w:rPr>
        <w:t xml:space="preserve"> </w:t>
      </w:r>
      <w:r>
        <w:t>acompañan</w:t>
      </w:r>
      <w:r>
        <w:rPr>
          <w:spacing w:val="8"/>
        </w:rPr>
        <w:t xml:space="preserve"> </w:t>
      </w:r>
      <w:r>
        <w:rPr>
          <w:spacing w:val="-10"/>
        </w:rPr>
        <w:t>a</w:t>
      </w:r>
    </w:p>
    <w:p w:rsidR="003804AC" w:rsidRDefault="00AF18A5" w:rsidP="00914D42">
      <w:r>
        <w:t>la</w:t>
      </w:r>
      <w:r>
        <w:rPr>
          <w:spacing w:val="-4"/>
        </w:rPr>
        <w:t xml:space="preserve"> </w:t>
      </w:r>
      <w:r>
        <w:t>guerra.</w:t>
      </w:r>
      <w:r>
        <w:rPr>
          <w:spacing w:val="-5"/>
        </w:rPr>
        <w:t xml:space="preserve"> </w:t>
      </w:r>
      <w:r>
        <w:t>Las</w:t>
      </w:r>
      <w:r>
        <w:rPr>
          <w:spacing w:val="-5"/>
        </w:rPr>
        <w:t xml:space="preserve"> </w:t>
      </w:r>
      <w:r>
        <w:t>diferentes</w:t>
      </w:r>
      <w:r>
        <w:rPr>
          <w:spacing w:val="-6"/>
        </w:rPr>
        <w:t xml:space="preserve"> </w:t>
      </w:r>
      <w:r>
        <w:t>situaciones</w:t>
      </w:r>
      <w:r>
        <w:rPr>
          <w:spacing w:val="-6"/>
        </w:rPr>
        <w:t xml:space="preserve"> </w:t>
      </w:r>
      <w:r>
        <w:t>prácticas</w:t>
      </w:r>
      <w:r>
        <w:rPr>
          <w:spacing w:val="-6"/>
        </w:rPr>
        <w:t xml:space="preserve"> </w:t>
      </w:r>
      <w:r>
        <w:t>y</w:t>
      </w:r>
      <w:r>
        <w:rPr>
          <w:spacing w:val="-5"/>
        </w:rPr>
        <w:t xml:space="preserve"> </w:t>
      </w:r>
      <w:r>
        <w:t>legales</w:t>
      </w:r>
      <w:r>
        <w:rPr>
          <w:spacing w:val="-6"/>
        </w:rPr>
        <w:t xml:space="preserve"> </w:t>
      </w:r>
      <w:r>
        <w:t>de</w:t>
      </w:r>
      <w:r>
        <w:rPr>
          <w:spacing w:val="-4"/>
        </w:rPr>
        <w:t xml:space="preserve"> </w:t>
      </w:r>
      <w:r>
        <w:t>los</w:t>
      </w:r>
      <w:r>
        <w:rPr>
          <w:spacing w:val="-6"/>
        </w:rPr>
        <w:t xml:space="preserve"> </w:t>
      </w:r>
      <w:r>
        <w:t>exmiembros</w:t>
      </w:r>
      <w:r>
        <w:rPr>
          <w:spacing w:val="-5"/>
        </w:rPr>
        <w:t xml:space="preserve"> </w:t>
      </w:r>
      <w:r>
        <w:t>de</w:t>
      </w:r>
      <w:r>
        <w:rPr>
          <w:spacing w:val="-4"/>
        </w:rPr>
        <w:t xml:space="preserve"> </w:t>
      </w:r>
      <w:r>
        <w:t>las</w:t>
      </w:r>
      <w:r>
        <w:rPr>
          <w:spacing w:val="-4"/>
        </w:rPr>
        <w:t xml:space="preserve"> </w:t>
      </w:r>
      <w:r>
        <w:t>FARC-EP, firmantes del Acuerdo de Paz, exintegrantes de las AUC o miembros de la fuerza pública determinan también las formas de narrar y reconocer.</w:t>
      </w:r>
    </w:p>
    <w:p w:rsidR="003804AC" w:rsidRDefault="00AF18A5" w:rsidP="00914D42">
      <w:r>
        <w:t>Hay</w:t>
      </w:r>
      <w:r>
        <w:rPr>
          <w:spacing w:val="-7"/>
        </w:rPr>
        <w:t xml:space="preserve"> </w:t>
      </w:r>
      <w:r>
        <w:t>voluntad</w:t>
      </w:r>
      <w:r>
        <w:rPr>
          <w:spacing w:val="-7"/>
        </w:rPr>
        <w:t xml:space="preserve"> </w:t>
      </w:r>
      <w:r>
        <w:t>de</w:t>
      </w:r>
      <w:r>
        <w:rPr>
          <w:spacing w:val="-7"/>
        </w:rPr>
        <w:t xml:space="preserve"> </w:t>
      </w:r>
      <w:r>
        <w:t>los</w:t>
      </w:r>
      <w:r>
        <w:rPr>
          <w:spacing w:val="-8"/>
        </w:rPr>
        <w:t xml:space="preserve"> </w:t>
      </w:r>
      <w:r>
        <w:t>responsables,</w:t>
      </w:r>
      <w:r>
        <w:rPr>
          <w:spacing w:val="-8"/>
        </w:rPr>
        <w:t xml:space="preserve"> </w:t>
      </w:r>
      <w:r>
        <w:t>acompañada</w:t>
      </w:r>
      <w:r>
        <w:rPr>
          <w:spacing w:val="-7"/>
        </w:rPr>
        <w:t xml:space="preserve"> </w:t>
      </w:r>
      <w:r>
        <w:t>por</w:t>
      </w:r>
      <w:r>
        <w:rPr>
          <w:spacing w:val="-7"/>
        </w:rPr>
        <w:t xml:space="preserve"> </w:t>
      </w:r>
      <w:r>
        <w:t>la</w:t>
      </w:r>
      <w:r>
        <w:rPr>
          <w:spacing w:val="-8"/>
        </w:rPr>
        <w:t xml:space="preserve"> </w:t>
      </w:r>
      <w:r>
        <w:t>Comisión,</w:t>
      </w:r>
      <w:r>
        <w:rPr>
          <w:spacing w:val="-7"/>
        </w:rPr>
        <w:t xml:space="preserve"> </w:t>
      </w:r>
      <w:r>
        <w:t>pero</w:t>
      </w:r>
      <w:r>
        <w:rPr>
          <w:spacing w:val="-7"/>
        </w:rPr>
        <w:t xml:space="preserve"> </w:t>
      </w:r>
      <w:r>
        <w:t>en</w:t>
      </w:r>
      <w:r>
        <w:rPr>
          <w:spacing w:val="-8"/>
        </w:rPr>
        <w:t xml:space="preserve"> </w:t>
      </w:r>
      <w:r>
        <w:t>casi</w:t>
      </w:r>
      <w:r>
        <w:rPr>
          <w:spacing w:val="-8"/>
        </w:rPr>
        <w:t xml:space="preserve"> </w:t>
      </w:r>
      <w:r>
        <w:t>todos</w:t>
      </w:r>
      <w:r>
        <w:rPr>
          <w:spacing w:val="-7"/>
        </w:rPr>
        <w:t xml:space="preserve"> </w:t>
      </w:r>
      <w:r>
        <w:t>existe el temor a</w:t>
      </w:r>
      <w:r>
        <w:rPr>
          <w:spacing w:val="-1"/>
        </w:rPr>
        <w:t xml:space="preserve"> </w:t>
      </w:r>
      <w:r>
        <w:t>las consecuencias sociales</w:t>
      </w:r>
      <w:r>
        <w:rPr>
          <w:spacing w:val="-1"/>
        </w:rPr>
        <w:t xml:space="preserve"> </w:t>
      </w:r>
      <w:r>
        <w:t>y políticas,</w:t>
      </w:r>
      <w:r>
        <w:rPr>
          <w:spacing w:val="-1"/>
        </w:rPr>
        <w:t xml:space="preserve"> </w:t>
      </w:r>
      <w:r>
        <w:t xml:space="preserve">así </w:t>
      </w:r>
      <w:r>
        <w:lastRenderedPageBreak/>
        <w:t>como</w:t>
      </w:r>
      <w:r>
        <w:rPr>
          <w:spacing w:val="-1"/>
        </w:rPr>
        <w:t xml:space="preserve"> </w:t>
      </w:r>
      <w:r>
        <w:t>las</w:t>
      </w:r>
      <w:r>
        <w:rPr>
          <w:spacing w:val="-1"/>
        </w:rPr>
        <w:t xml:space="preserve"> </w:t>
      </w:r>
      <w:r>
        <w:t>posibles</w:t>
      </w:r>
      <w:r>
        <w:rPr>
          <w:spacing w:val="-1"/>
        </w:rPr>
        <w:t xml:space="preserve"> </w:t>
      </w:r>
      <w:r>
        <w:t>represalias por</w:t>
      </w:r>
      <w:r>
        <w:rPr>
          <w:spacing w:val="-1"/>
        </w:rPr>
        <w:t xml:space="preserve"> </w:t>
      </w:r>
      <w:r>
        <w:t>haber hablado.</w:t>
      </w:r>
      <w:r>
        <w:rPr>
          <w:spacing w:val="-6"/>
        </w:rPr>
        <w:t xml:space="preserve"> </w:t>
      </w:r>
      <w:r>
        <w:t>La</w:t>
      </w:r>
      <w:r>
        <w:rPr>
          <w:spacing w:val="-8"/>
        </w:rPr>
        <w:t xml:space="preserve"> </w:t>
      </w:r>
      <w:r>
        <w:t>Comisión</w:t>
      </w:r>
      <w:r>
        <w:rPr>
          <w:spacing w:val="-7"/>
        </w:rPr>
        <w:t xml:space="preserve"> </w:t>
      </w:r>
      <w:r>
        <w:t>aclara</w:t>
      </w:r>
      <w:r>
        <w:rPr>
          <w:spacing w:val="-7"/>
        </w:rPr>
        <w:t xml:space="preserve"> </w:t>
      </w:r>
      <w:r>
        <w:t>que</w:t>
      </w:r>
      <w:r>
        <w:rPr>
          <w:spacing w:val="-6"/>
        </w:rPr>
        <w:t xml:space="preserve"> </w:t>
      </w:r>
      <w:r>
        <w:t>solo</w:t>
      </w:r>
      <w:r>
        <w:rPr>
          <w:spacing w:val="-7"/>
        </w:rPr>
        <w:t xml:space="preserve"> </w:t>
      </w:r>
      <w:r>
        <w:t>acompañó</w:t>
      </w:r>
      <w:r>
        <w:rPr>
          <w:spacing w:val="-7"/>
        </w:rPr>
        <w:t xml:space="preserve"> </w:t>
      </w:r>
      <w:r>
        <w:t>procesos</w:t>
      </w:r>
      <w:r>
        <w:rPr>
          <w:spacing w:val="-7"/>
        </w:rPr>
        <w:t xml:space="preserve"> </w:t>
      </w:r>
      <w:r>
        <w:t>cuando</w:t>
      </w:r>
      <w:r>
        <w:rPr>
          <w:spacing w:val="-6"/>
        </w:rPr>
        <w:t xml:space="preserve"> </w:t>
      </w:r>
      <w:r>
        <w:t>las</w:t>
      </w:r>
      <w:r>
        <w:rPr>
          <w:spacing w:val="-6"/>
        </w:rPr>
        <w:t xml:space="preserve"> </w:t>
      </w:r>
      <w:r>
        <w:t>víctimas</w:t>
      </w:r>
      <w:r>
        <w:rPr>
          <w:spacing w:val="-6"/>
        </w:rPr>
        <w:t xml:space="preserve"> </w:t>
      </w:r>
      <w:r>
        <w:t>estuvieron</w:t>
      </w:r>
      <w:r>
        <w:rPr>
          <w:spacing w:val="-6"/>
        </w:rPr>
        <w:t xml:space="preserve"> </w:t>
      </w:r>
      <w:r>
        <w:t>de acuerdo, cuando los responsables se declararon dispuestos a responder a las expectativas de verdad y esclarecimiento que estas tienen, y, en su gran mayoría, se dieron aportes significativos a la verdad que contribuyen a la paz.</w:t>
      </w:r>
    </w:p>
    <w:p w:rsidR="003804AC" w:rsidRDefault="00AF18A5" w:rsidP="00914D42">
      <w:r>
        <w:t>Todo ello no ha estado exento de tensiones. Muchas víctimas se preguntan: ¿hasta qué punto los responsables son honestos y hablan con el corazón? ¿Qué significa que me pidan perdón? ¿A qué están dispuestos? Desde el punto de vista de quien ha acompañado estos procesos,</w:t>
      </w:r>
      <w:r>
        <w:rPr>
          <w:spacing w:val="-11"/>
        </w:rPr>
        <w:t xml:space="preserve"> </w:t>
      </w:r>
      <w:r>
        <w:t>las</w:t>
      </w:r>
      <w:r>
        <w:rPr>
          <w:spacing w:val="-11"/>
        </w:rPr>
        <w:t xml:space="preserve"> </w:t>
      </w:r>
      <w:r>
        <w:t>respuestas</w:t>
      </w:r>
      <w:r>
        <w:rPr>
          <w:spacing w:val="-9"/>
        </w:rPr>
        <w:t xml:space="preserve"> </w:t>
      </w:r>
      <w:r>
        <w:t>a</w:t>
      </w:r>
      <w:r>
        <w:rPr>
          <w:spacing w:val="-11"/>
        </w:rPr>
        <w:t xml:space="preserve"> </w:t>
      </w:r>
      <w:r>
        <w:t>estas</w:t>
      </w:r>
      <w:r>
        <w:rPr>
          <w:spacing w:val="-9"/>
        </w:rPr>
        <w:t xml:space="preserve"> </w:t>
      </w:r>
      <w:r>
        <w:t>y</w:t>
      </w:r>
      <w:r>
        <w:rPr>
          <w:spacing w:val="-10"/>
        </w:rPr>
        <w:t xml:space="preserve"> </w:t>
      </w:r>
      <w:r>
        <w:t>a</w:t>
      </w:r>
      <w:r>
        <w:rPr>
          <w:spacing w:val="-9"/>
        </w:rPr>
        <w:t xml:space="preserve"> </w:t>
      </w:r>
      <w:r>
        <w:t>otras</w:t>
      </w:r>
      <w:r>
        <w:rPr>
          <w:spacing w:val="-9"/>
        </w:rPr>
        <w:t xml:space="preserve"> </w:t>
      </w:r>
      <w:r>
        <w:t>preguntas</w:t>
      </w:r>
      <w:r>
        <w:rPr>
          <w:spacing w:val="-11"/>
        </w:rPr>
        <w:t xml:space="preserve"> </w:t>
      </w:r>
      <w:r>
        <w:t>no</w:t>
      </w:r>
      <w:r>
        <w:rPr>
          <w:spacing w:val="-10"/>
        </w:rPr>
        <w:t xml:space="preserve"> </w:t>
      </w:r>
      <w:r>
        <w:t>son</w:t>
      </w:r>
      <w:r>
        <w:rPr>
          <w:spacing w:val="-10"/>
        </w:rPr>
        <w:t xml:space="preserve"> </w:t>
      </w:r>
      <w:r>
        <w:t>unívocas</w:t>
      </w:r>
      <w:r>
        <w:rPr>
          <w:spacing w:val="-9"/>
        </w:rPr>
        <w:t xml:space="preserve"> </w:t>
      </w:r>
      <w:r>
        <w:t>y</w:t>
      </w:r>
      <w:r>
        <w:rPr>
          <w:spacing w:val="-10"/>
        </w:rPr>
        <w:t xml:space="preserve"> </w:t>
      </w:r>
      <w:r>
        <w:t>forman</w:t>
      </w:r>
      <w:r>
        <w:rPr>
          <w:spacing w:val="-10"/>
        </w:rPr>
        <w:t xml:space="preserve"> </w:t>
      </w:r>
      <w:r>
        <w:t>parte</w:t>
      </w:r>
      <w:r>
        <w:rPr>
          <w:spacing w:val="-9"/>
        </w:rPr>
        <w:t xml:space="preserve"> </w:t>
      </w:r>
      <w:r>
        <w:t>del</w:t>
      </w:r>
      <w:r>
        <w:rPr>
          <w:spacing w:val="-9"/>
        </w:rPr>
        <w:t xml:space="preserve"> </w:t>
      </w:r>
      <w:r>
        <w:t>propio proceso</w:t>
      </w:r>
      <w:r>
        <w:rPr>
          <w:spacing w:val="-9"/>
        </w:rPr>
        <w:t xml:space="preserve"> </w:t>
      </w:r>
      <w:r>
        <w:t>en</w:t>
      </w:r>
      <w:r>
        <w:rPr>
          <w:spacing w:val="-8"/>
        </w:rPr>
        <w:t xml:space="preserve"> </w:t>
      </w:r>
      <w:r>
        <w:t>el</w:t>
      </w:r>
      <w:r>
        <w:rPr>
          <w:spacing w:val="-8"/>
        </w:rPr>
        <w:t xml:space="preserve"> </w:t>
      </w:r>
      <w:r>
        <w:t>que</w:t>
      </w:r>
      <w:r>
        <w:rPr>
          <w:spacing w:val="-9"/>
        </w:rPr>
        <w:t xml:space="preserve"> </w:t>
      </w:r>
      <w:r>
        <w:t>sucesivos</w:t>
      </w:r>
      <w:r>
        <w:rPr>
          <w:spacing w:val="-8"/>
        </w:rPr>
        <w:t xml:space="preserve"> </w:t>
      </w:r>
      <w:r>
        <w:t>encuentros</w:t>
      </w:r>
      <w:r>
        <w:rPr>
          <w:spacing w:val="-8"/>
        </w:rPr>
        <w:t xml:space="preserve"> </w:t>
      </w:r>
      <w:r>
        <w:t>han</w:t>
      </w:r>
      <w:r>
        <w:rPr>
          <w:spacing w:val="-9"/>
        </w:rPr>
        <w:t xml:space="preserve"> </w:t>
      </w:r>
      <w:r>
        <w:t>ido</w:t>
      </w:r>
      <w:r>
        <w:rPr>
          <w:spacing w:val="-8"/>
        </w:rPr>
        <w:t xml:space="preserve"> </w:t>
      </w:r>
      <w:r>
        <w:t>proporcionando</w:t>
      </w:r>
      <w:r>
        <w:rPr>
          <w:spacing w:val="-8"/>
        </w:rPr>
        <w:t xml:space="preserve"> </w:t>
      </w:r>
      <w:r>
        <w:t>experiencias</w:t>
      </w:r>
      <w:r>
        <w:rPr>
          <w:spacing w:val="-9"/>
        </w:rPr>
        <w:t xml:space="preserve"> </w:t>
      </w:r>
      <w:r>
        <w:t>compartidas</w:t>
      </w:r>
      <w:r>
        <w:rPr>
          <w:spacing w:val="-8"/>
        </w:rPr>
        <w:t xml:space="preserve"> </w:t>
      </w:r>
      <w:r>
        <w:t>de expectativas y posiciones hacia delante.</w:t>
      </w:r>
    </w:p>
    <w:p w:rsidR="003804AC" w:rsidRDefault="00AF18A5" w:rsidP="00914D42">
      <w:r>
        <w:t>Otra</w:t>
      </w:r>
      <w:r>
        <w:rPr>
          <w:spacing w:val="-15"/>
        </w:rPr>
        <w:t xml:space="preserve"> </w:t>
      </w:r>
      <w:r>
        <w:t>cuestión</w:t>
      </w:r>
      <w:r>
        <w:rPr>
          <w:spacing w:val="-15"/>
        </w:rPr>
        <w:t xml:space="preserve"> </w:t>
      </w:r>
      <w:r>
        <w:t>ha</w:t>
      </w:r>
      <w:r>
        <w:rPr>
          <w:spacing w:val="-15"/>
        </w:rPr>
        <w:t xml:space="preserve"> </w:t>
      </w:r>
      <w:r>
        <w:t>sido,</w:t>
      </w:r>
      <w:r>
        <w:rPr>
          <w:spacing w:val="-15"/>
        </w:rPr>
        <w:t xml:space="preserve"> </w:t>
      </w:r>
      <w:r>
        <w:t>¿cómo</w:t>
      </w:r>
      <w:r>
        <w:rPr>
          <w:spacing w:val="-15"/>
        </w:rPr>
        <w:t xml:space="preserve"> </w:t>
      </w:r>
      <w:r>
        <w:t>asimilar</w:t>
      </w:r>
      <w:r>
        <w:rPr>
          <w:spacing w:val="-15"/>
        </w:rPr>
        <w:t xml:space="preserve"> </w:t>
      </w:r>
      <w:r>
        <w:t>o</w:t>
      </w:r>
      <w:r>
        <w:rPr>
          <w:spacing w:val="-15"/>
        </w:rPr>
        <w:t xml:space="preserve"> </w:t>
      </w:r>
      <w:r>
        <w:t>integrar</w:t>
      </w:r>
      <w:r>
        <w:rPr>
          <w:spacing w:val="-15"/>
        </w:rPr>
        <w:t xml:space="preserve"> </w:t>
      </w:r>
      <w:r>
        <w:t>adecuadamente</w:t>
      </w:r>
      <w:r>
        <w:rPr>
          <w:spacing w:val="-15"/>
        </w:rPr>
        <w:t xml:space="preserve"> </w:t>
      </w:r>
      <w:r>
        <w:t>las</w:t>
      </w:r>
      <w:r>
        <w:rPr>
          <w:spacing w:val="-15"/>
        </w:rPr>
        <w:t xml:space="preserve"> </w:t>
      </w:r>
      <w:r>
        <w:t>narrativas</w:t>
      </w:r>
      <w:r>
        <w:rPr>
          <w:spacing w:val="-15"/>
        </w:rPr>
        <w:t xml:space="preserve"> </w:t>
      </w:r>
      <w:r>
        <w:t>explicativas de los responsables, especialmente aquellas que se centran en los móviles de la guerra y las justificaciones de tipo ideológico?</w:t>
      </w:r>
    </w:p>
    <w:p w:rsidR="003804AC" w:rsidRDefault="00AF18A5" w:rsidP="00914D42">
      <w:r>
        <w:t>Las narrativas explicativas del responsable que se centran en las condiciones políticas pueden ser fácilmente vistas como desvíos de la responsabilidad. Un responsable de las antiguas FARC-EP, participante del Reconocimiento de Roncesvalles, Tolima, expresó que en</w:t>
      </w:r>
      <w:r>
        <w:rPr>
          <w:spacing w:val="-4"/>
        </w:rPr>
        <w:t xml:space="preserve"> </w:t>
      </w:r>
      <w:r>
        <w:t>la</w:t>
      </w:r>
      <w:r>
        <w:rPr>
          <w:spacing w:val="-3"/>
        </w:rPr>
        <w:t xml:space="preserve"> </w:t>
      </w:r>
      <w:r>
        <w:t>guerra</w:t>
      </w:r>
      <w:r>
        <w:rPr>
          <w:spacing w:val="-5"/>
        </w:rPr>
        <w:t xml:space="preserve"> </w:t>
      </w:r>
      <w:r>
        <w:t>era</w:t>
      </w:r>
      <w:r>
        <w:rPr>
          <w:spacing w:val="-3"/>
        </w:rPr>
        <w:t xml:space="preserve"> </w:t>
      </w:r>
      <w:r>
        <w:t>normal</w:t>
      </w:r>
      <w:r>
        <w:rPr>
          <w:spacing w:val="-3"/>
        </w:rPr>
        <w:t xml:space="preserve"> </w:t>
      </w:r>
      <w:r>
        <w:t>invitar</w:t>
      </w:r>
      <w:r>
        <w:rPr>
          <w:spacing w:val="-3"/>
        </w:rPr>
        <w:t xml:space="preserve"> </w:t>
      </w:r>
      <w:r>
        <w:t>a</w:t>
      </w:r>
      <w:r>
        <w:rPr>
          <w:spacing w:val="-3"/>
        </w:rPr>
        <w:t xml:space="preserve"> </w:t>
      </w:r>
      <w:r>
        <w:t>los</w:t>
      </w:r>
      <w:r>
        <w:rPr>
          <w:spacing w:val="-3"/>
        </w:rPr>
        <w:t xml:space="preserve"> </w:t>
      </w:r>
      <w:r>
        <w:t>hijos</w:t>
      </w:r>
      <w:r>
        <w:rPr>
          <w:spacing w:val="-3"/>
        </w:rPr>
        <w:t xml:space="preserve"> </w:t>
      </w:r>
      <w:r>
        <w:t>de</w:t>
      </w:r>
      <w:r>
        <w:rPr>
          <w:spacing w:val="-3"/>
        </w:rPr>
        <w:t xml:space="preserve"> </w:t>
      </w:r>
      <w:r>
        <w:t>los</w:t>
      </w:r>
      <w:r>
        <w:rPr>
          <w:spacing w:val="-5"/>
        </w:rPr>
        <w:t xml:space="preserve"> </w:t>
      </w:r>
      <w:r>
        <w:t>campesinos</w:t>
      </w:r>
      <w:r>
        <w:rPr>
          <w:spacing w:val="-5"/>
        </w:rPr>
        <w:t xml:space="preserve"> </w:t>
      </w:r>
      <w:r>
        <w:t>a</w:t>
      </w:r>
      <w:r>
        <w:rPr>
          <w:spacing w:val="-3"/>
        </w:rPr>
        <w:t xml:space="preserve"> </w:t>
      </w:r>
      <w:r>
        <w:t>hacer</w:t>
      </w:r>
      <w:r>
        <w:rPr>
          <w:spacing w:val="-3"/>
        </w:rPr>
        <w:t xml:space="preserve"> </w:t>
      </w:r>
      <w:r>
        <w:t>parte</w:t>
      </w:r>
      <w:r>
        <w:rPr>
          <w:spacing w:val="-5"/>
        </w:rPr>
        <w:t xml:space="preserve"> </w:t>
      </w:r>
      <w:r>
        <w:t>del</w:t>
      </w:r>
      <w:r>
        <w:rPr>
          <w:spacing w:val="-3"/>
        </w:rPr>
        <w:t xml:space="preserve"> </w:t>
      </w:r>
      <w:r>
        <w:t>grupo</w:t>
      </w:r>
      <w:r>
        <w:rPr>
          <w:spacing w:val="-4"/>
        </w:rPr>
        <w:t xml:space="preserve"> </w:t>
      </w:r>
      <w:r>
        <w:t>armado. Ahora reflexiona sobre el daño que eso causó a los familiares, pero la expresión de las motivaciones</w:t>
      </w:r>
      <w:r>
        <w:rPr>
          <w:spacing w:val="-5"/>
        </w:rPr>
        <w:t xml:space="preserve"> </w:t>
      </w:r>
      <w:r>
        <w:t>personales</w:t>
      </w:r>
      <w:r>
        <w:rPr>
          <w:spacing w:val="-6"/>
        </w:rPr>
        <w:t xml:space="preserve"> </w:t>
      </w:r>
      <w:r>
        <w:t>de</w:t>
      </w:r>
      <w:r>
        <w:rPr>
          <w:spacing w:val="-5"/>
        </w:rPr>
        <w:t xml:space="preserve"> </w:t>
      </w:r>
      <w:r>
        <w:t>sus</w:t>
      </w:r>
      <w:r>
        <w:rPr>
          <w:spacing w:val="-5"/>
        </w:rPr>
        <w:t xml:space="preserve"> </w:t>
      </w:r>
      <w:r>
        <w:t>decisiones</w:t>
      </w:r>
      <w:r>
        <w:rPr>
          <w:spacing w:val="-5"/>
        </w:rPr>
        <w:t xml:space="preserve"> </w:t>
      </w:r>
      <w:r>
        <w:t>en</w:t>
      </w:r>
      <w:r>
        <w:rPr>
          <w:spacing w:val="-5"/>
        </w:rPr>
        <w:t xml:space="preserve"> </w:t>
      </w:r>
      <w:r>
        <w:t>la</w:t>
      </w:r>
      <w:r>
        <w:rPr>
          <w:spacing w:val="-5"/>
        </w:rPr>
        <w:t xml:space="preserve"> </w:t>
      </w:r>
      <w:r>
        <w:t>guerra</w:t>
      </w:r>
      <w:r>
        <w:rPr>
          <w:spacing w:val="-5"/>
        </w:rPr>
        <w:t xml:space="preserve"> </w:t>
      </w:r>
      <w:r>
        <w:t>ayuda</w:t>
      </w:r>
      <w:r>
        <w:rPr>
          <w:spacing w:val="-5"/>
        </w:rPr>
        <w:t xml:space="preserve"> </w:t>
      </w:r>
      <w:r>
        <w:t>a</w:t>
      </w:r>
      <w:r>
        <w:rPr>
          <w:spacing w:val="-5"/>
        </w:rPr>
        <w:t xml:space="preserve"> </w:t>
      </w:r>
      <w:r>
        <w:t>reconocer</w:t>
      </w:r>
      <w:r>
        <w:rPr>
          <w:spacing w:val="-6"/>
        </w:rPr>
        <w:t xml:space="preserve"> </w:t>
      </w:r>
      <w:r>
        <w:t>la</w:t>
      </w:r>
      <w:r>
        <w:rPr>
          <w:spacing w:val="-5"/>
        </w:rPr>
        <w:t xml:space="preserve"> </w:t>
      </w:r>
      <w:r>
        <w:t>responsabilidad y también a rescatar un lugar de humanidad en el que se describen condiciones de vida personal</w:t>
      </w:r>
      <w:r>
        <w:rPr>
          <w:spacing w:val="-1"/>
        </w:rPr>
        <w:t xml:space="preserve"> </w:t>
      </w:r>
      <w:r>
        <w:lastRenderedPageBreak/>
        <w:t>y</w:t>
      </w:r>
      <w:r>
        <w:rPr>
          <w:spacing w:val="-1"/>
        </w:rPr>
        <w:t xml:space="preserve"> </w:t>
      </w:r>
      <w:r>
        <w:t>razones</w:t>
      </w:r>
      <w:r>
        <w:rPr>
          <w:spacing w:val="-1"/>
        </w:rPr>
        <w:t xml:space="preserve"> </w:t>
      </w:r>
      <w:r>
        <w:t>para</w:t>
      </w:r>
      <w:r>
        <w:rPr>
          <w:spacing w:val="-1"/>
        </w:rPr>
        <w:t xml:space="preserve"> </w:t>
      </w:r>
      <w:r>
        <w:t>actuar.</w:t>
      </w:r>
      <w:r>
        <w:rPr>
          <w:spacing w:val="-1"/>
        </w:rPr>
        <w:t xml:space="preserve"> </w:t>
      </w:r>
      <w:r>
        <w:t>De</w:t>
      </w:r>
      <w:r>
        <w:rPr>
          <w:spacing w:val="-1"/>
        </w:rPr>
        <w:t xml:space="preserve"> </w:t>
      </w:r>
      <w:r>
        <w:t>otra</w:t>
      </w:r>
      <w:r>
        <w:rPr>
          <w:spacing w:val="-1"/>
        </w:rPr>
        <w:t xml:space="preserve"> </w:t>
      </w:r>
      <w:r>
        <w:t>parte,</w:t>
      </w:r>
      <w:r>
        <w:rPr>
          <w:spacing w:val="-1"/>
        </w:rPr>
        <w:t xml:space="preserve"> </w:t>
      </w:r>
      <w:r>
        <w:t>la</w:t>
      </w:r>
      <w:r>
        <w:rPr>
          <w:spacing w:val="-1"/>
        </w:rPr>
        <w:t xml:space="preserve"> </w:t>
      </w:r>
      <w:r>
        <w:t>distancia</w:t>
      </w:r>
      <w:r>
        <w:rPr>
          <w:spacing w:val="-1"/>
        </w:rPr>
        <w:t xml:space="preserve"> </w:t>
      </w:r>
      <w:r>
        <w:t>temporal</w:t>
      </w:r>
      <w:r>
        <w:rPr>
          <w:spacing w:val="-1"/>
        </w:rPr>
        <w:t xml:space="preserve"> </w:t>
      </w:r>
      <w:r>
        <w:t>sirve</w:t>
      </w:r>
      <w:r>
        <w:rPr>
          <w:spacing w:val="-1"/>
        </w:rPr>
        <w:t xml:space="preserve"> </w:t>
      </w:r>
      <w:r>
        <w:t>para</w:t>
      </w:r>
      <w:r>
        <w:rPr>
          <w:spacing w:val="-1"/>
        </w:rPr>
        <w:t xml:space="preserve"> </w:t>
      </w:r>
      <w:r>
        <w:t>reconocer</w:t>
      </w:r>
      <w:r>
        <w:rPr>
          <w:spacing w:val="-1"/>
        </w:rPr>
        <w:t xml:space="preserve"> </w:t>
      </w:r>
      <w:r>
        <w:t>que ya no es la misma persona de antes.</w:t>
      </w:r>
    </w:p>
    <w:p w:rsidR="003804AC" w:rsidRDefault="00AF18A5" w:rsidP="00914D42">
      <w:r>
        <w:t>Esta dimensión de lo personal no supone una individualización de las responsabilidades que miran hacia el pasado solamente, que tienen siempre también un carácter colectivo porque hablan del grupo o institución de la que formaban parte, sino que constituye un compromiso de contribuir a la verdad. Este tránsito supone una forma de ruptura con el pasado, aunque no implique dejar a un lado su lugar en la colectividad o el reconocimiento de la responsabilidad como organización armada, ni la renuncia a sus ideas políticas, como ha sucedido, por ejemplo, en el caso de miembros de las FARC-EP.</w:t>
      </w:r>
    </w:p>
    <w:p w:rsidR="003804AC" w:rsidRDefault="00AF18A5" w:rsidP="00914D42">
      <w:r>
        <w:t>Para</w:t>
      </w:r>
      <w:r>
        <w:rPr>
          <w:spacing w:val="-2"/>
        </w:rPr>
        <w:t xml:space="preserve"> </w:t>
      </w:r>
      <w:r>
        <w:t>los</w:t>
      </w:r>
      <w:r>
        <w:rPr>
          <w:spacing w:val="-3"/>
        </w:rPr>
        <w:t xml:space="preserve"> </w:t>
      </w:r>
      <w:r>
        <w:t>responsables</w:t>
      </w:r>
      <w:r>
        <w:rPr>
          <w:spacing w:val="-2"/>
        </w:rPr>
        <w:t xml:space="preserve"> </w:t>
      </w:r>
      <w:r>
        <w:t>ha</w:t>
      </w:r>
      <w:r>
        <w:rPr>
          <w:spacing w:val="-2"/>
        </w:rPr>
        <w:t xml:space="preserve"> </w:t>
      </w:r>
      <w:r>
        <w:t>sido</w:t>
      </w:r>
      <w:r>
        <w:rPr>
          <w:spacing w:val="-2"/>
        </w:rPr>
        <w:t xml:space="preserve"> </w:t>
      </w:r>
      <w:r>
        <w:t>difícil</w:t>
      </w:r>
      <w:r>
        <w:rPr>
          <w:spacing w:val="-3"/>
        </w:rPr>
        <w:t xml:space="preserve"> </w:t>
      </w:r>
      <w:r>
        <w:t>responder</w:t>
      </w:r>
      <w:r>
        <w:rPr>
          <w:spacing w:val="-3"/>
        </w:rPr>
        <w:t xml:space="preserve"> </w:t>
      </w:r>
      <w:r>
        <w:t>a</w:t>
      </w:r>
      <w:r>
        <w:rPr>
          <w:spacing w:val="-3"/>
        </w:rPr>
        <w:t xml:space="preserve"> </w:t>
      </w:r>
      <w:r>
        <w:t>algunas</w:t>
      </w:r>
      <w:r>
        <w:rPr>
          <w:spacing w:val="-2"/>
        </w:rPr>
        <w:t xml:space="preserve"> </w:t>
      </w:r>
      <w:r>
        <w:t>expectativas</w:t>
      </w:r>
      <w:r>
        <w:rPr>
          <w:spacing w:val="-2"/>
        </w:rPr>
        <w:t xml:space="preserve"> </w:t>
      </w:r>
      <w:r>
        <w:t>de</w:t>
      </w:r>
      <w:r>
        <w:rPr>
          <w:spacing w:val="-3"/>
        </w:rPr>
        <w:t xml:space="preserve"> </w:t>
      </w:r>
      <w:r>
        <w:t>las</w:t>
      </w:r>
      <w:r>
        <w:rPr>
          <w:spacing w:val="-2"/>
        </w:rPr>
        <w:t xml:space="preserve"> </w:t>
      </w:r>
      <w:r>
        <w:t>víctimas</w:t>
      </w:r>
      <w:r>
        <w:rPr>
          <w:spacing w:val="-3"/>
        </w:rPr>
        <w:t xml:space="preserve"> </w:t>
      </w:r>
      <w:r>
        <w:t>que esperan saber concretamente qué ocurrió, cómo y por qué. Como lo expresan muchos firmantes del Acuerdo de Paz, en muchos casos no es posible dar esas respuestas porque muchos</w:t>
      </w:r>
      <w:r>
        <w:rPr>
          <w:spacing w:val="-9"/>
        </w:rPr>
        <w:t xml:space="preserve"> </w:t>
      </w:r>
      <w:r>
        <w:t>de</w:t>
      </w:r>
      <w:r>
        <w:rPr>
          <w:spacing w:val="-9"/>
        </w:rPr>
        <w:t xml:space="preserve"> </w:t>
      </w:r>
      <w:r>
        <w:t>quienes</w:t>
      </w:r>
      <w:r>
        <w:rPr>
          <w:spacing w:val="-10"/>
        </w:rPr>
        <w:t xml:space="preserve"> </w:t>
      </w:r>
      <w:r>
        <w:t>estuvieron</w:t>
      </w:r>
      <w:r>
        <w:rPr>
          <w:spacing w:val="-11"/>
        </w:rPr>
        <w:t xml:space="preserve"> </w:t>
      </w:r>
      <w:r>
        <w:t>directamente</w:t>
      </w:r>
      <w:r>
        <w:rPr>
          <w:spacing w:val="-10"/>
        </w:rPr>
        <w:t xml:space="preserve"> </w:t>
      </w:r>
      <w:r>
        <w:t>implicados</w:t>
      </w:r>
      <w:r>
        <w:rPr>
          <w:spacing w:val="-9"/>
        </w:rPr>
        <w:t xml:space="preserve"> </w:t>
      </w:r>
      <w:r>
        <w:t>en</w:t>
      </w:r>
      <w:r>
        <w:rPr>
          <w:spacing w:val="-11"/>
        </w:rPr>
        <w:t xml:space="preserve"> </w:t>
      </w:r>
      <w:r>
        <w:t>esos</w:t>
      </w:r>
      <w:r>
        <w:rPr>
          <w:spacing w:val="-9"/>
        </w:rPr>
        <w:t xml:space="preserve"> </w:t>
      </w:r>
      <w:r>
        <w:t>hechos</w:t>
      </w:r>
      <w:r>
        <w:rPr>
          <w:spacing w:val="-10"/>
        </w:rPr>
        <w:t xml:space="preserve"> </w:t>
      </w:r>
      <w:r>
        <w:t>murieron</w:t>
      </w:r>
      <w:r>
        <w:rPr>
          <w:spacing w:val="-11"/>
        </w:rPr>
        <w:t xml:space="preserve"> </w:t>
      </w:r>
      <w:r>
        <w:t>en</w:t>
      </w:r>
      <w:r>
        <w:rPr>
          <w:spacing w:val="-11"/>
        </w:rPr>
        <w:t xml:space="preserve"> </w:t>
      </w:r>
      <w:r>
        <w:t>la</w:t>
      </w:r>
      <w:r>
        <w:rPr>
          <w:spacing w:val="-12"/>
        </w:rPr>
        <w:t xml:space="preserve"> </w:t>
      </w:r>
      <w:r>
        <w:t>guerra o</w:t>
      </w:r>
      <w:r>
        <w:rPr>
          <w:spacing w:val="-15"/>
        </w:rPr>
        <w:t xml:space="preserve"> </w:t>
      </w:r>
      <w:r>
        <w:t>fueron</w:t>
      </w:r>
      <w:r>
        <w:rPr>
          <w:spacing w:val="-15"/>
        </w:rPr>
        <w:t xml:space="preserve"> </w:t>
      </w:r>
      <w:r>
        <w:t>asesinados.</w:t>
      </w:r>
      <w:r>
        <w:rPr>
          <w:spacing w:val="-15"/>
        </w:rPr>
        <w:t xml:space="preserve"> </w:t>
      </w:r>
      <w:r>
        <w:t>Como</w:t>
      </w:r>
      <w:r>
        <w:rPr>
          <w:spacing w:val="-15"/>
        </w:rPr>
        <w:t xml:space="preserve"> </w:t>
      </w:r>
      <w:r>
        <w:t>lo</w:t>
      </w:r>
      <w:r>
        <w:rPr>
          <w:spacing w:val="-15"/>
        </w:rPr>
        <w:t xml:space="preserve"> </w:t>
      </w:r>
      <w:r>
        <w:t>manifestaron</w:t>
      </w:r>
      <w:r>
        <w:rPr>
          <w:spacing w:val="-15"/>
        </w:rPr>
        <w:t xml:space="preserve"> </w:t>
      </w:r>
      <w:r>
        <w:t>también</w:t>
      </w:r>
      <w:r>
        <w:rPr>
          <w:spacing w:val="-15"/>
        </w:rPr>
        <w:t xml:space="preserve"> </w:t>
      </w:r>
      <w:r>
        <w:t>exintegrantes</w:t>
      </w:r>
      <w:r>
        <w:rPr>
          <w:spacing w:val="-15"/>
        </w:rPr>
        <w:t xml:space="preserve"> </w:t>
      </w:r>
      <w:r>
        <w:t>de</w:t>
      </w:r>
      <w:r>
        <w:rPr>
          <w:spacing w:val="-15"/>
        </w:rPr>
        <w:t xml:space="preserve"> </w:t>
      </w:r>
      <w:r>
        <w:t>las</w:t>
      </w:r>
      <w:r>
        <w:rPr>
          <w:spacing w:val="-15"/>
        </w:rPr>
        <w:t xml:space="preserve"> </w:t>
      </w:r>
      <w:r>
        <w:t>AUC,</w:t>
      </w:r>
      <w:r>
        <w:rPr>
          <w:spacing w:val="-15"/>
        </w:rPr>
        <w:t xml:space="preserve"> </w:t>
      </w:r>
      <w:r>
        <w:t>de</w:t>
      </w:r>
      <w:r>
        <w:rPr>
          <w:spacing w:val="-15"/>
        </w:rPr>
        <w:t xml:space="preserve"> </w:t>
      </w:r>
      <w:r>
        <w:t>los</w:t>
      </w:r>
      <w:r>
        <w:rPr>
          <w:spacing w:val="-15"/>
        </w:rPr>
        <w:t xml:space="preserve"> </w:t>
      </w:r>
      <w:r>
        <w:t>bloques Catatumbo</w:t>
      </w:r>
      <w:r>
        <w:rPr>
          <w:spacing w:val="-9"/>
        </w:rPr>
        <w:t xml:space="preserve"> </w:t>
      </w:r>
      <w:r>
        <w:t>y</w:t>
      </w:r>
      <w:r>
        <w:rPr>
          <w:spacing w:val="-9"/>
        </w:rPr>
        <w:t xml:space="preserve"> </w:t>
      </w:r>
      <w:r>
        <w:t>Fronteras,</w:t>
      </w:r>
      <w:r>
        <w:rPr>
          <w:spacing w:val="-8"/>
        </w:rPr>
        <w:t xml:space="preserve"> </w:t>
      </w:r>
      <w:r>
        <w:t>no</w:t>
      </w:r>
      <w:r>
        <w:rPr>
          <w:spacing w:val="-8"/>
        </w:rPr>
        <w:t xml:space="preserve"> </w:t>
      </w:r>
      <w:r>
        <w:t>es</w:t>
      </w:r>
      <w:r>
        <w:rPr>
          <w:spacing w:val="-8"/>
        </w:rPr>
        <w:t xml:space="preserve"> </w:t>
      </w:r>
      <w:r>
        <w:t>posible</w:t>
      </w:r>
      <w:r>
        <w:rPr>
          <w:spacing w:val="-10"/>
        </w:rPr>
        <w:t xml:space="preserve"> </w:t>
      </w:r>
      <w:r>
        <w:t>ahora</w:t>
      </w:r>
      <w:r>
        <w:rPr>
          <w:spacing w:val="-8"/>
        </w:rPr>
        <w:t xml:space="preserve"> </w:t>
      </w:r>
      <w:r>
        <w:t>decirle</w:t>
      </w:r>
      <w:r>
        <w:rPr>
          <w:spacing w:val="-8"/>
        </w:rPr>
        <w:t xml:space="preserve"> </w:t>
      </w:r>
      <w:r>
        <w:t>a</w:t>
      </w:r>
      <w:r>
        <w:rPr>
          <w:spacing w:val="-9"/>
        </w:rPr>
        <w:t xml:space="preserve"> </w:t>
      </w:r>
      <w:r>
        <w:t>las</w:t>
      </w:r>
      <w:r>
        <w:rPr>
          <w:spacing w:val="-9"/>
        </w:rPr>
        <w:t xml:space="preserve"> </w:t>
      </w:r>
      <w:r>
        <w:t>familias</w:t>
      </w:r>
      <w:r>
        <w:rPr>
          <w:spacing w:val="-8"/>
        </w:rPr>
        <w:t xml:space="preserve"> </w:t>
      </w:r>
      <w:r>
        <w:t>dónde</w:t>
      </w:r>
      <w:r>
        <w:rPr>
          <w:spacing w:val="-8"/>
        </w:rPr>
        <w:t xml:space="preserve"> </w:t>
      </w:r>
      <w:r>
        <w:t>pueden</w:t>
      </w:r>
      <w:r>
        <w:rPr>
          <w:spacing w:val="-8"/>
        </w:rPr>
        <w:t xml:space="preserve"> </w:t>
      </w:r>
      <w:r>
        <w:t>encontrar</w:t>
      </w:r>
      <w:r>
        <w:rPr>
          <w:spacing w:val="-8"/>
        </w:rPr>
        <w:t xml:space="preserve"> </w:t>
      </w:r>
      <w:r>
        <w:t>los restos</w:t>
      </w:r>
      <w:r>
        <w:rPr>
          <w:spacing w:val="-3"/>
        </w:rPr>
        <w:t xml:space="preserve"> </w:t>
      </w:r>
      <w:r>
        <w:t>de</w:t>
      </w:r>
      <w:r>
        <w:rPr>
          <w:spacing w:val="-3"/>
        </w:rPr>
        <w:t xml:space="preserve"> </w:t>
      </w:r>
      <w:r>
        <w:t>sus</w:t>
      </w:r>
      <w:r>
        <w:rPr>
          <w:spacing w:val="-3"/>
        </w:rPr>
        <w:t xml:space="preserve"> </w:t>
      </w:r>
      <w:r>
        <w:t>familiares</w:t>
      </w:r>
      <w:r>
        <w:rPr>
          <w:spacing w:val="-2"/>
        </w:rPr>
        <w:t xml:space="preserve"> </w:t>
      </w:r>
      <w:r>
        <w:t>porque,</w:t>
      </w:r>
      <w:r>
        <w:rPr>
          <w:spacing w:val="-3"/>
        </w:rPr>
        <w:t xml:space="preserve"> </w:t>
      </w:r>
      <w:r>
        <w:t>lamentablemente,</w:t>
      </w:r>
      <w:r>
        <w:rPr>
          <w:spacing w:val="-2"/>
        </w:rPr>
        <w:t xml:space="preserve"> </w:t>
      </w:r>
      <w:r>
        <w:t>una</w:t>
      </w:r>
      <w:r>
        <w:rPr>
          <w:spacing w:val="-2"/>
        </w:rPr>
        <w:t xml:space="preserve"> </w:t>
      </w:r>
      <w:r>
        <w:t>de</w:t>
      </w:r>
      <w:r>
        <w:rPr>
          <w:spacing w:val="-3"/>
        </w:rPr>
        <w:t xml:space="preserve"> </w:t>
      </w:r>
      <w:r>
        <w:t>las</w:t>
      </w:r>
      <w:r>
        <w:rPr>
          <w:spacing w:val="-3"/>
        </w:rPr>
        <w:t xml:space="preserve"> </w:t>
      </w:r>
      <w:r>
        <w:t>prácticas</w:t>
      </w:r>
      <w:r>
        <w:rPr>
          <w:spacing w:val="-3"/>
        </w:rPr>
        <w:t xml:space="preserve"> </w:t>
      </w:r>
      <w:r>
        <w:t>que</w:t>
      </w:r>
      <w:r>
        <w:rPr>
          <w:spacing w:val="-2"/>
        </w:rPr>
        <w:t xml:space="preserve"> </w:t>
      </w:r>
      <w:r>
        <w:t>se</w:t>
      </w:r>
      <w:r>
        <w:rPr>
          <w:spacing w:val="-3"/>
        </w:rPr>
        <w:t xml:space="preserve"> </w:t>
      </w:r>
      <w:r>
        <w:t>utilizaron</w:t>
      </w:r>
      <w:r>
        <w:rPr>
          <w:spacing w:val="-2"/>
        </w:rPr>
        <w:t xml:space="preserve"> </w:t>
      </w:r>
      <w:r>
        <w:t>para desaparecer</w:t>
      </w:r>
      <w:r>
        <w:rPr>
          <w:spacing w:val="-10"/>
        </w:rPr>
        <w:t xml:space="preserve"> </w:t>
      </w:r>
      <w:r>
        <w:t>los</w:t>
      </w:r>
      <w:r>
        <w:rPr>
          <w:spacing w:val="-9"/>
        </w:rPr>
        <w:t xml:space="preserve"> </w:t>
      </w:r>
      <w:r>
        <w:t>cuerpos</w:t>
      </w:r>
      <w:r>
        <w:rPr>
          <w:spacing w:val="-9"/>
        </w:rPr>
        <w:t xml:space="preserve"> </w:t>
      </w:r>
      <w:r>
        <w:t>fue</w:t>
      </w:r>
      <w:r>
        <w:rPr>
          <w:spacing w:val="-9"/>
        </w:rPr>
        <w:t xml:space="preserve"> </w:t>
      </w:r>
      <w:r>
        <w:t>no</w:t>
      </w:r>
      <w:r>
        <w:rPr>
          <w:spacing w:val="-9"/>
        </w:rPr>
        <w:t xml:space="preserve"> </w:t>
      </w:r>
      <w:r>
        <w:t>dejar</w:t>
      </w:r>
      <w:r>
        <w:rPr>
          <w:spacing w:val="-9"/>
        </w:rPr>
        <w:t xml:space="preserve"> </w:t>
      </w:r>
      <w:r>
        <w:t>rastros,</w:t>
      </w:r>
      <w:r>
        <w:rPr>
          <w:spacing w:val="-9"/>
        </w:rPr>
        <w:t xml:space="preserve"> </w:t>
      </w:r>
      <w:r>
        <w:t>por</w:t>
      </w:r>
      <w:r>
        <w:rPr>
          <w:spacing w:val="-9"/>
        </w:rPr>
        <w:t xml:space="preserve"> </w:t>
      </w:r>
      <w:r>
        <w:t>ejemplo,</w:t>
      </w:r>
      <w:r>
        <w:rPr>
          <w:spacing w:val="-9"/>
        </w:rPr>
        <w:t xml:space="preserve"> </w:t>
      </w:r>
      <w:r>
        <w:t>incinerarlos</w:t>
      </w:r>
      <w:r>
        <w:rPr>
          <w:spacing w:val="-9"/>
        </w:rPr>
        <w:t xml:space="preserve"> </w:t>
      </w:r>
      <w:r>
        <w:t>en</w:t>
      </w:r>
      <w:r>
        <w:rPr>
          <w:spacing w:val="-9"/>
        </w:rPr>
        <w:t xml:space="preserve"> </w:t>
      </w:r>
      <w:r>
        <w:t>hornos</w:t>
      </w:r>
      <w:r>
        <w:rPr>
          <w:spacing w:val="-9"/>
        </w:rPr>
        <w:t xml:space="preserve"> </w:t>
      </w:r>
      <w:r>
        <w:t xml:space="preserve">crematorios que fueron construidos o adaptados para este fin, como ocurrió en Juan Frío, en Norte de Santander muy cerca de la frontera con Venezuela, y en el Catatumbo. </w:t>
      </w:r>
      <w:r>
        <w:rPr>
          <w:sz w:val="22"/>
        </w:rPr>
        <w:t xml:space="preserve">La búsqueda de los desaparecidos es una </w:t>
      </w:r>
      <w:r>
        <w:t>tarea pendiente en un país que necesita compromisos con la verdad.</w:t>
      </w:r>
    </w:p>
    <w:p w:rsidR="003804AC" w:rsidRDefault="00AF18A5" w:rsidP="00914D42">
      <w:r>
        <w:t>Los</w:t>
      </w:r>
      <w:r>
        <w:rPr>
          <w:spacing w:val="-15"/>
        </w:rPr>
        <w:t xml:space="preserve"> </w:t>
      </w:r>
      <w:r>
        <w:t>exmiembros</w:t>
      </w:r>
      <w:r>
        <w:rPr>
          <w:spacing w:val="-15"/>
        </w:rPr>
        <w:t xml:space="preserve"> </w:t>
      </w:r>
      <w:r>
        <w:t>de</w:t>
      </w:r>
      <w:r>
        <w:rPr>
          <w:spacing w:val="-15"/>
        </w:rPr>
        <w:t xml:space="preserve"> </w:t>
      </w:r>
      <w:r>
        <w:t>las</w:t>
      </w:r>
      <w:r>
        <w:rPr>
          <w:spacing w:val="-15"/>
        </w:rPr>
        <w:t xml:space="preserve"> </w:t>
      </w:r>
      <w:r>
        <w:t>antiguas</w:t>
      </w:r>
      <w:r>
        <w:rPr>
          <w:spacing w:val="-15"/>
        </w:rPr>
        <w:t xml:space="preserve"> </w:t>
      </w:r>
      <w:r>
        <w:t>FARC-EP</w:t>
      </w:r>
      <w:r>
        <w:rPr>
          <w:spacing w:val="-15"/>
        </w:rPr>
        <w:t xml:space="preserve"> </w:t>
      </w:r>
      <w:r>
        <w:t>han</w:t>
      </w:r>
      <w:r>
        <w:rPr>
          <w:spacing w:val="-15"/>
        </w:rPr>
        <w:t xml:space="preserve"> </w:t>
      </w:r>
      <w:r>
        <w:t>proporcionado</w:t>
      </w:r>
      <w:r>
        <w:rPr>
          <w:spacing w:val="-15"/>
        </w:rPr>
        <w:t xml:space="preserve"> </w:t>
      </w:r>
      <w:r>
        <w:t>diferentes</w:t>
      </w:r>
      <w:r>
        <w:rPr>
          <w:spacing w:val="-15"/>
        </w:rPr>
        <w:t xml:space="preserve"> </w:t>
      </w:r>
      <w:r>
        <w:lastRenderedPageBreak/>
        <w:t>grados</w:t>
      </w:r>
      <w:r>
        <w:rPr>
          <w:spacing w:val="-15"/>
        </w:rPr>
        <w:t xml:space="preserve"> </w:t>
      </w:r>
      <w:r>
        <w:t>de</w:t>
      </w:r>
      <w:r>
        <w:rPr>
          <w:spacing w:val="-15"/>
        </w:rPr>
        <w:t xml:space="preserve"> </w:t>
      </w:r>
      <w:r>
        <w:t>verdad y reconocimiento, dependiendo de los hechos, su relación con las víctimas y comunidades, así como su papel en la cadena de mando. Para favorecer estos reconocimientos, si bien la dimensión jurídica es una exigencia en el marco de la JEP, en los procesos activados con la Comisión se busca reconfigurar su identidad no solo como exguerrilleros, sino como firmantes</w:t>
      </w:r>
      <w:r>
        <w:rPr>
          <w:spacing w:val="-11"/>
        </w:rPr>
        <w:t xml:space="preserve"> </w:t>
      </w:r>
      <w:r>
        <w:t>del</w:t>
      </w:r>
      <w:r>
        <w:rPr>
          <w:spacing w:val="-10"/>
        </w:rPr>
        <w:t xml:space="preserve"> </w:t>
      </w:r>
      <w:r>
        <w:t>Acuerdo</w:t>
      </w:r>
      <w:r>
        <w:rPr>
          <w:spacing w:val="-11"/>
        </w:rPr>
        <w:t xml:space="preserve"> </w:t>
      </w:r>
      <w:r>
        <w:t>de</w:t>
      </w:r>
      <w:r>
        <w:rPr>
          <w:spacing w:val="-12"/>
        </w:rPr>
        <w:t xml:space="preserve"> </w:t>
      </w:r>
      <w:r>
        <w:t>Paz.</w:t>
      </w:r>
      <w:r>
        <w:rPr>
          <w:spacing w:val="-11"/>
        </w:rPr>
        <w:t xml:space="preserve"> </w:t>
      </w:r>
      <w:r>
        <w:t>Para</w:t>
      </w:r>
      <w:r>
        <w:rPr>
          <w:spacing w:val="-11"/>
        </w:rPr>
        <w:t xml:space="preserve"> </w:t>
      </w:r>
      <w:r>
        <w:t>ellas</w:t>
      </w:r>
      <w:r>
        <w:rPr>
          <w:spacing w:val="-11"/>
        </w:rPr>
        <w:t xml:space="preserve"> </w:t>
      </w:r>
      <w:r>
        <w:t>y</w:t>
      </w:r>
      <w:r>
        <w:rPr>
          <w:spacing w:val="-11"/>
        </w:rPr>
        <w:t xml:space="preserve"> </w:t>
      </w:r>
      <w:r>
        <w:t>ellos,</w:t>
      </w:r>
      <w:r>
        <w:rPr>
          <w:spacing w:val="-11"/>
        </w:rPr>
        <w:t xml:space="preserve"> </w:t>
      </w:r>
      <w:r>
        <w:t>el</w:t>
      </w:r>
      <w:r>
        <w:rPr>
          <w:spacing w:val="-12"/>
        </w:rPr>
        <w:t xml:space="preserve"> </w:t>
      </w:r>
      <w:r>
        <w:t>principal</w:t>
      </w:r>
      <w:r>
        <w:rPr>
          <w:spacing w:val="-12"/>
        </w:rPr>
        <w:t xml:space="preserve"> </w:t>
      </w:r>
      <w:r>
        <w:t>referente</w:t>
      </w:r>
      <w:r>
        <w:rPr>
          <w:spacing w:val="-11"/>
        </w:rPr>
        <w:t xml:space="preserve"> </w:t>
      </w:r>
      <w:r>
        <w:t>para</w:t>
      </w:r>
      <w:r>
        <w:rPr>
          <w:spacing w:val="-12"/>
        </w:rPr>
        <w:t xml:space="preserve"> </w:t>
      </w:r>
      <w:r>
        <w:t>el</w:t>
      </w:r>
      <w:r>
        <w:rPr>
          <w:spacing w:val="-10"/>
        </w:rPr>
        <w:t xml:space="preserve"> </w:t>
      </w:r>
      <w:r>
        <w:t>reconocimiento de responsabilidad es el Acuerdo, ligado a su proyecto político en el marco de la legalidad. Para algunos es parte de enfrentar lo sucedido y su participación con distancia de su propia organización, para otros sectores es la propuesta de cambio a través de un proyecto político sin</w:t>
      </w:r>
      <w:r>
        <w:rPr>
          <w:spacing w:val="-9"/>
        </w:rPr>
        <w:t xml:space="preserve"> </w:t>
      </w:r>
      <w:r>
        <w:t>armas.</w:t>
      </w:r>
      <w:r>
        <w:rPr>
          <w:spacing w:val="-9"/>
        </w:rPr>
        <w:t xml:space="preserve"> </w:t>
      </w:r>
      <w:r>
        <w:t>Esta</w:t>
      </w:r>
      <w:r>
        <w:rPr>
          <w:spacing w:val="-9"/>
        </w:rPr>
        <w:t xml:space="preserve"> </w:t>
      </w:r>
      <w:r>
        <w:t>circunstancia</w:t>
      </w:r>
      <w:r>
        <w:rPr>
          <w:spacing w:val="-9"/>
        </w:rPr>
        <w:t xml:space="preserve"> </w:t>
      </w:r>
      <w:r>
        <w:t>ha</w:t>
      </w:r>
      <w:r>
        <w:rPr>
          <w:spacing w:val="-10"/>
        </w:rPr>
        <w:t xml:space="preserve"> </w:t>
      </w:r>
      <w:r>
        <w:t>incidido</w:t>
      </w:r>
      <w:r>
        <w:rPr>
          <w:spacing w:val="-9"/>
        </w:rPr>
        <w:t xml:space="preserve"> </w:t>
      </w:r>
      <w:r>
        <w:t>especialmente</w:t>
      </w:r>
      <w:r>
        <w:rPr>
          <w:spacing w:val="-10"/>
        </w:rPr>
        <w:t xml:space="preserve"> </w:t>
      </w:r>
      <w:r>
        <w:t>a</w:t>
      </w:r>
      <w:r>
        <w:rPr>
          <w:spacing w:val="-9"/>
        </w:rPr>
        <w:t xml:space="preserve"> </w:t>
      </w:r>
      <w:r>
        <w:t>nivel</w:t>
      </w:r>
      <w:r>
        <w:rPr>
          <w:spacing w:val="-9"/>
        </w:rPr>
        <w:t xml:space="preserve"> </w:t>
      </w:r>
      <w:r>
        <w:t>territorial</w:t>
      </w:r>
      <w:r>
        <w:rPr>
          <w:spacing w:val="-10"/>
        </w:rPr>
        <w:t xml:space="preserve"> </w:t>
      </w:r>
      <w:r>
        <w:t>en</w:t>
      </w:r>
      <w:r>
        <w:rPr>
          <w:spacing w:val="-9"/>
        </w:rPr>
        <w:t xml:space="preserve"> </w:t>
      </w:r>
      <w:r>
        <w:t>el</w:t>
      </w:r>
      <w:r>
        <w:rPr>
          <w:spacing w:val="-9"/>
        </w:rPr>
        <w:t xml:space="preserve"> </w:t>
      </w:r>
      <w:r>
        <w:t>alcance</w:t>
      </w:r>
      <w:r>
        <w:rPr>
          <w:spacing w:val="-10"/>
        </w:rPr>
        <w:t xml:space="preserve"> </w:t>
      </w:r>
      <w:r>
        <w:t>de</w:t>
      </w:r>
      <w:r>
        <w:rPr>
          <w:spacing w:val="-9"/>
        </w:rPr>
        <w:t xml:space="preserve"> </w:t>
      </w:r>
      <w:r>
        <w:t>los procesos de reconocimiento.</w:t>
      </w:r>
    </w:p>
    <w:p w:rsidR="003804AC" w:rsidRDefault="00AF18A5" w:rsidP="00914D42">
      <w:r>
        <w:t>A diferencia de los responsables de la fuerza pública y ex-AUC, los ex-FARC-EP firmantes del Acuerdo de Paz afirman su carácter político-militar, por lo cual hacen referencia al marco en el cual hacen los reconocimientos de responsabilidad y es el cumplimiento del Acuerdo, esto debido a la naturaleza política que viene de sus orígenes como</w:t>
      </w:r>
      <w:r>
        <w:rPr>
          <w:spacing w:val="-6"/>
        </w:rPr>
        <w:t xml:space="preserve"> </w:t>
      </w:r>
      <w:r>
        <w:t>agrupación</w:t>
      </w:r>
      <w:r>
        <w:rPr>
          <w:spacing w:val="-6"/>
        </w:rPr>
        <w:t xml:space="preserve"> </w:t>
      </w:r>
      <w:r>
        <w:t>guerrillera.</w:t>
      </w:r>
      <w:r>
        <w:rPr>
          <w:spacing w:val="-6"/>
        </w:rPr>
        <w:t xml:space="preserve"> </w:t>
      </w:r>
      <w:r>
        <w:t>Los</w:t>
      </w:r>
      <w:r>
        <w:rPr>
          <w:spacing w:val="-6"/>
        </w:rPr>
        <w:t xml:space="preserve"> </w:t>
      </w:r>
      <w:r>
        <w:t>reconocimientos</w:t>
      </w:r>
      <w:r>
        <w:rPr>
          <w:spacing w:val="-6"/>
        </w:rPr>
        <w:t xml:space="preserve"> </w:t>
      </w:r>
      <w:r>
        <w:t>sirven</w:t>
      </w:r>
      <w:r>
        <w:rPr>
          <w:spacing w:val="-6"/>
        </w:rPr>
        <w:t xml:space="preserve"> </w:t>
      </w:r>
      <w:r>
        <w:t>para</w:t>
      </w:r>
      <w:r>
        <w:rPr>
          <w:spacing w:val="-7"/>
        </w:rPr>
        <w:t xml:space="preserve"> </w:t>
      </w:r>
      <w:r>
        <w:t>reflexionar</w:t>
      </w:r>
      <w:r>
        <w:rPr>
          <w:spacing w:val="-7"/>
        </w:rPr>
        <w:t xml:space="preserve"> </w:t>
      </w:r>
      <w:r>
        <w:t>sobre</w:t>
      </w:r>
      <w:r>
        <w:rPr>
          <w:spacing w:val="-6"/>
        </w:rPr>
        <w:t xml:space="preserve"> </w:t>
      </w:r>
      <w:r>
        <w:t>su</w:t>
      </w:r>
      <w:r>
        <w:rPr>
          <w:spacing w:val="-6"/>
        </w:rPr>
        <w:t xml:space="preserve"> </w:t>
      </w:r>
      <w:r>
        <w:t>impronta ideológica</w:t>
      </w:r>
      <w:r>
        <w:rPr>
          <w:spacing w:val="-7"/>
        </w:rPr>
        <w:t xml:space="preserve"> </w:t>
      </w:r>
      <w:r>
        <w:t>y</w:t>
      </w:r>
      <w:r>
        <w:rPr>
          <w:spacing w:val="-8"/>
        </w:rPr>
        <w:t xml:space="preserve"> </w:t>
      </w:r>
      <w:r>
        <w:t>confrontar</w:t>
      </w:r>
      <w:r>
        <w:rPr>
          <w:spacing w:val="-7"/>
        </w:rPr>
        <w:t xml:space="preserve"> </w:t>
      </w:r>
      <w:r>
        <w:t>las</w:t>
      </w:r>
      <w:r>
        <w:rPr>
          <w:spacing w:val="-7"/>
        </w:rPr>
        <w:t xml:space="preserve"> </w:t>
      </w:r>
      <w:r>
        <w:t>decisiones</w:t>
      </w:r>
      <w:r>
        <w:rPr>
          <w:spacing w:val="-7"/>
        </w:rPr>
        <w:t xml:space="preserve"> </w:t>
      </w:r>
      <w:r>
        <w:t>y</w:t>
      </w:r>
      <w:r>
        <w:rPr>
          <w:spacing w:val="-7"/>
        </w:rPr>
        <w:t xml:space="preserve"> </w:t>
      </w:r>
      <w:r>
        <w:t>acciones</w:t>
      </w:r>
      <w:r>
        <w:rPr>
          <w:spacing w:val="-8"/>
        </w:rPr>
        <w:t xml:space="preserve"> </w:t>
      </w:r>
      <w:r>
        <w:t>que</w:t>
      </w:r>
      <w:r>
        <w:rPr>
          <w:spacing w:val="-7"/>
        </w:rPr>
        <w:t xml:space="preserve"> </w:t>
      </w:r>
      <w:r>
        <w:t>llevaron</w:t>
      </w:r>
      <w:r>
        <w:rPr>
          <w:spacing w:val="-8"/>
        </w:rPr>
        <w:t xml:space="preserve"> </w:t>
      </w:r>
      <w:r>
        <w:t>a</w:t>
      </w:r>
      <w:r>
        <w:rPr>
          <w:spacing w:val="-7"/>
        </w:rPr>
        <w:t xml:space="preserve"> </w:t>
      </w:r>
      <w:r>
        <w:t>cometer</w:t>
      </w:r>
      <w:r>
        <w:rPr>
          <w:spacing w:val="-7"/>
        </w:rPr>
        <w:t xml:space="preserve"> </w:t>
      </w:r>
      <w:r>
        <w:t>infracciones</w:t>
      </w:r>
      <w:r>
        <w:rPr>
          <w:spacing w:val="-8"/>
        </w:rPr>
        <w:t xml:space="preserve"> </w:t>
      </w:r>
      <w:r>
        <w:t>al</w:t>
      </w:r>
      <w:r>
        <w:rPr>
          <w:spacing w:val="-7"/>
        </w:rPr>
        <w:t xml:space="preserve"> </w:t>
      </w:r>
      <w:r>
        <w:t>DIH y</w:t>
      </w:r>
      <w:r>
        <w:rPr>
          <w:spacing w:val="-2"/>
        </w:rPr>
        <w:t xml:space="preserve"> </w:t>
      </w:r>
      <w:r>
        <w:t>crímenes</w:t>
      </w:r>
      <w:r>
        <w:rPr>
          <w:spacing w:val="-3"/>
        </w:rPr>
        <w:t xml:space="preserve"> </w:t>
      </w:r>
      <w:r>
        <w:t>en</w:t>
      </w:r>
      <w:r>
        <w:rPr>
          <w:spacing w:val="-2"/>
        </w:rPr>
        <w:t xml:space="preserve"> </w:t>
      </w:r>
      <w:r>
        <w:t>el</w:t>
      </w:r>
      <w:r>
        <w:rPr>
          <w:spacing w:val="-2"/>
        </w:rPr>
        <w:t xml:space="preserve"> </w:t>
      </w:r>
      <w:r>
        <w:t>marco</w:t>
      </w:r>
      <w:r>
        <w:rPr>
          <w:spacing w:val="-3"/>
        </w:rPr>
        <w:t xml:space="preserve"> </w:t>
      </w:r>
      <w:r>
        <w:t>de</w:t>
      </w:r>
      <w:r>
        <w:rPr>
          <w:spacing w:val="-2"/>
        </w:rPr>
        <w:t xml:space="preserve"> </w:t>
      </w:r>
      <w:r>
        <w:t>la</w:t>
      </w:r>
      <w:r>
        <w:rPr>
          <w:spacing w:val="-2"/>
        </w:rPr>
        <w:t xml:space="preserve"> </w:t>
      </w:r>
      <w:r>
        <w:t>guerra.</w:t>
      </w:r>
      <w:r>
        <w:rPr>
          <w:spacing w:val="-3"/>
        </w:rPr>
        <w:t xml:space="preserve"> </w:t>
      </w:r>
      <w:r>
        <w:t>Para</w:t>
      </w:r>
      <w:r>
        <w:rPr>
          <w:spacing w:val="-2"/>
        </w:rPr>
        <w:t xml:space="preserve"> </w:t>
      </w:r>
      <w:r>
        <w:t>tomar</w:t>
      </w:r>
      <w:r>
        <w:rPr>
          <w:spacing w:val="-3"/>
        </w:rPr>
        <w:t xml:space="preserve"> </w:t>
      </w:r>
      <w:r>
        <w:t>conciencia</w:t>
      </w:r>
      <w:r>
        <w:rPr>
          <w:spacing w:val="-2"/>
        </w:rPr>
        <w:t xml:space="preserve"> </w:t>
      </w:r>
      <w:r>
        <w:t>del</w:t>
      </w:r>
      <w:r>
        <w:rPr>
          <w:spacing w:val="-2"/>
        </w:rPr>
        <w:t xml:space="preserve"> </w:t>
      </w:r>
      <w:r>
        <w:t>daño</w:t>
      </w:r>
      <w:r>
        <w:rPr>
          <w:spacing w:val="-2"/>
        </w:rPr>
        <w:t xml:space="preserve"> </w:t>
      </w:r>
      <w:r>
        <w:t>y</w:t>
      </w:r>
      <w:r>
        <w:rPr>
          <w:spacing w:val="-2"/>
        </w:rPr>
        <w:t xml:space="preserve"> </w:t>
      </w:r>
      <w:r>
        <w:t>sufrimiento</w:t>
      </w:r>
      <w:r>
        <w:rPr>
          <w:spacing w:val="-2"/>
        </w:rPr>
        <w:t xml:space="preserve"> </w:t>
      </w:r>
      <w:r>
        <w:t>causados a</w:t>
      </w:r>
      <w:r>
        <w:rPr>
          <w:spacing w:val="-15"/>
        </w:rPr>
        <w:t xml:space="preserve"> </w:t>
      </w:r>
      <w:r>
        <w:t>la</w:t>
      </w:r>
      <w:r>
        <w:rPr>
          <w:spacing w:val="-15"/>
        </w:rPr>
        <w:t xml:space="preserve"> </w:t>
      </w:r>
      <w:r>
        <w:t>sociedad,</w:t>
      </w:r>
      <w:r>
        <w:rPr>
          <w:spacing w:val="-15"/>
        </w:rPr>
        <w:t xml:space="preserve"> </w:t>
      </w:r>
      <w:r>
        <w:t>mirando</w:t>
      </w:r>
      <w:r>
        <w:rPr>
          <w:spacing w:val="-15"/>
        </w:rPr>
        <w:t xml:space="preserve"> </w:t>
      </w:r>
      <w:r>
        <w:t>los</w:t>
      </w:r>
      <w:r>
        <w:rPr>
          <w:spacing w:val="-15"/>
        </w:rPr>
        <w:t xml:space="preserve"> </w:t>
      </w:r>
      <w:r>
        <w:t>rostros</w:t>
      </w:r>
      <w:r>
        <w:rPr>
          <w:spacing w:val="-15"/>
        </w:rPr>
        <w:t xml:space="preserve"> </w:t>
      </w:r>
      <w:r>
        <w:t>y</w:t>
      </w:r>
      <w:r>
        <w:rPr>
          <w:spacing w:val="-14"/>
        </w:rPr>
        <w:t xml:space="preserve"> </w:t>
      </w:r>
      <w:r>
        <w:t>las</w:t>
      </w:r>
      <w:r>
        <w:rPr>
          <w:spacing w:val="-15"/>
        </w:rPr>
        <w:t xml:space="preserve"> </w:t>
      </w:r>
      <w:r>
        <w:t>experiencias</w:t>
      </w:r>
      <w:r>
        <w:rPr>
          <w:spacing w:val="-14"/>
        </w:rPr>
        <w:t xml:space="preserve"> </w:t>
      </w:r>
      <w:r>
        <w:t>de</w:t>
      </w:r>
      <w:r>
        <w:rPr>
          <w:spacing w:val="-15"/>
        </w:rPr>
        <w:t xml:space="preserve"> </w:t>
      </w:r>
      <w:r>
        <w:t>las</w:t>
      </w:r>
      <w:r>
        <w:rPr>
          <w:spacing w:val="-15"/>
        </w:rPr>
        <w:t xml:space="preserve"> </w:t>
      </w:r>
      <w:r>
        <w:t>víctimas,</w:t>
      </w:r>
      <w:r>
        <w:rPr>
          <w:spacing w:val="-15"/>
        </w:rPr>
        <w:t xml:space="preserve"> </w:t>
      </w:r>
      <w:r>
        <w:t>tanto</w:t>
      </w:r>
      <w:r>
        <w:rPr>
          <w:spacing w:val="-14"/>
        </w:rPr>
        <w:t xml:space="preserve"> </w:t>
      </w:r>
      <w:r>
        <w:t>de</w:t>
      </w:r>
      <w:r>
        <w:rPr>
          <w:spacing w:val="-15"/>
        </w:rPr>
        <w:t xml:space="preserve"> </w:t>
      </w:r>
      <w:r>
        <w:t>las</w:t>
      </w:r>
      <w:r>
        <w:rPr>
          <w:spacing w:val="-15"/>
        </w:rPr>
        <w:t xml:space="preserve"> </w:t>
      </w:r>
      <w:r>
        <w:t>que</w:t>
      </w:r>
      <w:r>
        <w:rPr>
          <w:spacing w:val="-15"/>
        </w:rPr>
        <w:t xml:space="preserve"> </w:t>
      </w:r>
      <w:r>
        <w:t>formaron parte</w:t>
      </w:r>
      <w:r>
        <w:rPr>
          <w:spacing w:val="-15"/>
        </w:rPr>
        <w:t xml:space="preserve"> </w:t>
      </w:r>
      <w:r>
        <w:t>de</w:t>
      </w:r>
      <w:r>
        <w:rPr>
          <w:spacing w:val="-15"/>
        </w:rPr>
        <w:t xml:space="preserve"> </w:t>
      </w:r>
      <w:r>
        <w:t>las</w:t>
      </w:r>
      <w:r>
        <w:rPr>
          <w:spacing w:val="-15"/>
        </w:rPr>
        <w:t xml:space="preserve"> </w:t>
      </w:r>
      <w:r>
        <w:t>comunidades</w:t>
      </w:r>
      <w:r>
        <w:rPr>
          <w:spacing w:val="-15"/>
        </w:rPr>
        <w:t xml:space="preserve"> </w:t>
      </w:r>
      <w:r>
        <w:t>como</w:t>
      </w:r>
      <w:r>
        <w:rPr>
          <w:spacing w:val="-15"/>
        </w:rPr>
        <w:t xml:space="preserve"> </w:t>
      </w:r>
      <w:r>
        <w:t>las</w:t>
      </w:r>
      <w:r>
        <w:rPr>
          <w:spacing w:val="-15"/>
        </w:rPr>
        <w:t xml:space="preserve"> </w:t>
      </w:r>
      <w:r>
        <w:t>de</w:t>
      </w:r>
      <w:r>
        <w:rPr>
          <w:spacing w:val="-15"/>
        </w:rPr>
        <w:t xml:space="preserve"> </w:t>
      </w:r>
      <w:r>
        <w:t>los</w:t>
      </w:r>
      <w:r>
        <w:rPr>
          <w:spacing w:val="-15"/>
        </w:rPr>
        <w:t xml:space="preserve"> </w:t>
      </w:r>
      <w:r>
        <w:t>sectores</w:t>
      </w:r>
      <w:r>
        <w:rPr>
          <w:spacing w:val="-15"/>
        </w:rPr>
        <w:t xml:space="preserve"> </w:t>
      </w:r>
      <w:r>
        <w:t>que</w:t>
      </w:r>
      <w:r>
        <w:rPr>
          <w:spacing w:val="-15"/>
        </w:rPr>
        <w:t xml:space="preserve"> </w:t>
      </w:r>
      <w:r>
        <w:t>fueron</w:t>
      </w:r>
      <w:r>
        <w:rPr>
          <w:spacing w:val="-15"/>
        </w:rPr>
        <w:t xml:space="preserve"> </w:t>
      </w:r>
      <w:r>
        <w:t>considerados</w:t>
      </w:r>
      <w:r>
        <w:rPr>
          <w:spacing w:val="-15"/>
        </w:rPr>
        <w:t xml:space="preserve"> </w:t>
      </w:r>
      <w:r>
        <w:t>«enemigos»,</w:t>
      </w:r>
      <w:r>
        <w:rPr>
          <w:spacing w:val="-15"/>
        </w:rPr>
        <w:t xml:space="preserve"> </w:t>
      </w:r>
      <w:r>
        <w:t>cuya humanización y reconocimiento ha sido muy importante en varios momentos.</w:t>
      </w:r>
    </w:p>
    <w:p w:rsidR="003804AC" w:rsidRDefault="00AF18A5" w:rsidP="00914D42">
      <w:r>
        <w:t>En algunos de los espacios preparatorios de responsables del proceso de reconocimiento a</w:t>
      </w:r>
      <w:r>
        <w:rPr>
          <w:spacing w:val="-12"/>
        </w:rPr>
        <w:t xml:space="preserve"> </w:t>
      </w:r>
      <w:r>
        <w:t>los</w:t>
      </w:r>
      <w:r>
        <w:rPr>
          <w:spacing w:val="-12"/>
        </w:rPr>
        <w:t xml:space="preserve"> </w:t>
      </w:r>
      <w:r>
        <w:t>impactos</w:t>
      </w:r>
      <w:r>
        <w:rPr>
          <w:spacing w:val="-12"/>
        </w:rPr>
        <w:t xml:space="preserve"> </w:t>
      </w:r>
      <w:r>
        <w:t>colectivos</w:t>
      </w:r>
      <w:r>
        <w:rPr>
          <w:spacing w:val="-12"/>
        </w:rPr>
        <w:t xml:space="preserve"> </w:t>
      </w:r>
      <w:r>
        <w:t>por</w:t>
      </w:r>
      <w:r>
        <w:rPr>
          <w:spacing w:val="-12"/>
        </w:rPr>
        <w:t xml:space="preserve"> </w:t>
      </w:r>
      <w:r>
        <w:t>la</w:t>
      </w:r>
      <w:r>
        <w:rPr>
          <w:spacing w:val="-12"/>
        </w:rPr>
        <w:t xml:space="preserve"> </w:t>
      </w:r>
      <w:r>
        <w:t>presencia</w:t>
      </w:r>
      <w:r>
        <w:rPr>
          <w:spacing w:val="-12"/>
        </w:rPr>
        <w:t xml:space="preserve"> </w:t>
      </w:r>
      <w:r>
        <w:t>de</w:t>
      </w:r>
      <w:r>
        <w:rPr>
          <w:spacing w:val="-12"/>
        </w:rPr>
        <w:t xml:space="preserve"> </w:t>
      </w:r>
      <w:r>
        <w:t>FARC-EP</w:t>
      </w:r>
      <w:r>
        <w:rPr>
          <w:spacing w:val="-12"/>
        </w:rPr>
        <w:t xml:space="preserve"> </w:t>
      </w:r>
      <w:r>
        <w:t>en</w:t>
      </w:r>
      <w:r>
        <w:rPr>
          <w:spacing w:val="-12"/>
        </w:rPr>
        <w:t xml:space="preserve"> </w:t>
      </w:r>
      <w:r>
        <w:lastRenderedPageBreak/>
        <w:t>el</w:t>
      </w:r>
      <w:r>
        <w:rPr>
          <w:spacing w:val="-10"/>
        </w:rPr>
        <w:t xml:space="preserve"> </w:t>
      </w:r>
      <w:r>
        <w:t>Bajo</w:t>
      </w:r>
      <w:r>
        <w:rPr>
          <w:spacing w:val="-12"/>
        </w:rPr>
        <w:t xml:space="preserve"> </w:t>
      </w:r>
      <w:r>
        <w:t>Atrato,</w:t>
      </w:r>
      <w:r>
        <w:rPr>
          <w:spacing w:val="-12"/>
        </w:rPr>
        <w:t xml:space="preserve"> </w:t>
      </w:r>
      <w:r>
        <w:t>fueron</w:t>
      </w:r>
      <w:r>
        <w:rPr>
          <w:spacing w:val="-12"/>
        </w:rPr>
        <w:t xml:space="preserve"> </w:t>
      </w:r>
      <w:r>
        <w:t>importantes las reflexiones de los</w:t>
      </w:r>
      <w:r>
        <w:rPr>
          <w:spacing w:val="-1"/>
        </w:rPr>
        <w:t xml:space="preserve"> </w:t>
      </w:r>
      <w:r>
        <w:t>responsables</w:t>
      </w:r>
      <w:r>
        <w:rPr>
          <w:spacing w:val="-1"/>
        </w:rPr>
        <w:t xml:space="preserve"> </w:t>
      </w:r>
      <w:r>
        <w:t>en torno a</w:t>
      </w:r>
      <w:r>
        <w:rPr>
          <w:spacing w:val="-1"/>
        </w:rPr>
        <w:t xml:space="preserve"> </w:t>
      </w:r>
      <w:r>
        <w:t>la</w:t>
      </w:r>
      <w:r>
        <w:rPr>
          <w:spacing w:val="-1"/>
        </w:rPr>
        <w:t xml:space="preserve"> </w:t>
      </w:r>
      <w:r>
        <w:t>relevancia</w:t>
      </w:r>
      <w:r>
        <w:rPr>
          <w:spacing w:val="-1"/>
        </w:rPr>
        <w:t xml:space="preserve"> </w:t>
      </w:r>
      <w:r>
        <w:t>de reconocer</w:t>
      </w:r>
      <w:r>
        <w:rPr>
          <w:spacing w:val="-1"/>
        </w:rPr>
        <w:t xml:space="preserve"> </w:t>
      </w:r>
      <w:r>
        <w:t>la dimensión de las afectaciones colectivas generadas al territorio. A pesar de los dilemas éticos y políticos que esta</w:t>
      </w:r>
      <w:r>
        <w:rPr>
          <w:spacing w:val="-15"/>
        </w:rPr>
        <w:t xml:space="preserve"> </w:t>
      </w:r>
      <w:r>
        <w:t>reflexión</w:t>
      </w:r>
      <w:r>
        <w:rPr>
          <w:spacing w:val="-15"/>
        </w:rPr>
        <w:t xml:space="preserve"> </w:t>
      </w:r>
      <w:r>
        <w:t>supone,</w:t>
      </w:r>
      <w:r>
        <w:rPr>
          <w:spacing w:val="-15"/>
        </w:rPr>
        <w:t xml:space="preserve"> </w:t>
      </w:r>
      <w:r>
        <w:t>toca</w:t>
      </w:r>
      <w:r>
        <w:rPr>
          <w:spacing w:val="-15"/>
        </w:rPr>
        <w:t xml:space="preserve"> </w:t>
      </w:r>
      <w:r>
        <w:t>las</w:t>
      </w:r>
      <w:r>
        <w:rPr>
          <w:spacing w:val="-15"/>
        </w:rPr>
        <w:t xml:space="preserve"> </w:t>
      </w:r>
      <w:r>
        <w:t>fibras</w:t>
      </w:r>
      <w:r>
        <w:rPr>
          <w:spacing w:val="-15"/>
        </w:rPr>
        <w:t xml:space="preserve"> </w:t>
      </w:r>
      <w:r>
        <w:t>de</w:t>
      </w:r>
      <w:r>
        <w:rPr>
          <w:spacing w:val="-15"/>
        </w:rPr>
        <w:t xml:space="preserve"> </w:t>
      </w:r>
      <w:r>
        <w:t>la</w:t>
      </w:r>
      <w:r>
        <w:rPr>
          <w:spacing w:val="-15"/>
        </w:rPr>
        <w:t xml:space="preserve"> </w:t>
      </w:r>
      <w:r>
        <w:t>causa</w:t>
      </w:r>
      <w:r>
        <w:rPr>
          <w:spacing w:val="-15"/>
        </w:rPr>
        <w:t xml:space="preserve"> </w:t>
      </w:r>
      <w:r>
        <w:t>fundacional</w:t>
      </w:r>
      <w:r>
        <w:rPr>
          <w:spacing w:val="-14"/>
        </w:rPr>
        <w:t xml:space="preserve"> </w:t>
      </w:r>
      <w:r>
        <w:t>de</w:t>
      </w:r>
      <w:r>
        <w:rPr>
          <w:spacing w:val="-15"/>
        </w:rPr>
        <w:t xml:space="preserve"> </w:t>
      </w:r>
      <w:r>
        <w:t>las</w:t>
      </w:r>
      <w:r>
        <w:rPr>
          <w:spacing w:val="-15"/>
        </w:rPr>
        <w:t xml:space="preserve"> </w:t>
      </w:r>
      <w:r>
        <w:t>comunidades,</w:t>
      </w:r>
      <w:r>
        <w:rPr>
          <w:spacing w:val="-14"/>
        </w:rPr>
        <w:t xml:space="preserve"> </w:t>
      </w:r>
      <w:r>
        <w:t>en</w:t>
      </w:r>
      <w:r>
        <w:rPr>
          <w:spacing w:val="-15"/>
        </w:rPr>
        <w:t xml:space="preserve"> </w:t>
      </w:r>
      <w:r>
        <w:t>contraste con los costos de la lucha armada y su relación con el territorio. Es el reconocimiento de responsabilidades colectivas ligadas a la actuación de una organización armada decidida a firmar la paz. La importancia del reconocimiento de responsabilidades en estos casos es también</w:t>
      </w:r>
      <w:r>
        <w:rPr>
          <w:spacing w:val="-5"/>
        </w:rPr>
        <w:t xml:space="preserve"> </w:t>
      </w:r>
      <w:r>
        <w:t>la</w:t>
      </w:r>
      <w:r>
        <w:rPr>
          <w:spacing w:val="-6"/>
        </w:rPr>
        <w:t xml:space="preserve"> </w:t>
      </w:r>
      <w:r>
        <w:t>de</w:t>
      </w:r>
      <w:r>
        <w:rPr>
          <w:spacing w:val="-5"/>
        </w:rPr>
        <w:t xml:space="preserve"> </w:t>
      </w:r>
      <w:r>
        <w:t>incorporar</w:t>
      </w:r>
      <w:r>
        <w:rPr>
          <w:spacing w:val="-6"/>
        </w:rPr>
        <w:t xml:space="preserve"> </w:t>
      </w:r>
      <w:r>
        <w:t>una</w:t>
      </w:r>
      <w:r>
        <w:rPr>
          <w:spacing w:val="-5"/>
        </w:rPr>
        <w:t xml:space="preserve"> </w:t>
      </w:r>
      <w:r>
        <w:t>autocrítica</w:t>
      </w:r>
      <w:r>
        <w:rPr>
          <w:spacing w:val="-5"/>
        </w:rPr>
        <w:t xml:space="preserve"> </w:t>
      </w:r>
      <w:r>
        <w:t>humana</w:t>
      </w:r>
      <w:r>
        <w:rPr>
          <w:spacing w:val="-5"/>
        </w:rPr>
        <w:t xml:space="preserve"> </w:t>
      </w:r>
      <w:r>
        <w:t>y</w:t>
      </w:r>
      <w:r>
        <w:rPr>
          <w:spacing w:val="-6"/>
        </w:rPr>
        <w:t xml:space="preserve"> </w:t>
      </w:r>
      <w:r>
        <w:t>política</w:t>
      </w:r>
      <w:r>
        <w:rPr>
          <w:spacing w:val="-6"/>
        </w:rPr>
        <w:t xml:space="preserve"> </w:t>
      </w:r>
      <w:r>
        <w:t>como</w:t>
      </w:r>
      <w:r>
        <w:rPr>
          <w:spacing w:val="-5"/>
        </w:rPr>
        <w:t xml:space="preserve"> </w:t>
      </w:r>
      <w:r>
        <w:t>base</w:t>
      </w:r>
      <w:r>
        <w:rPr>
          <w:spacing w:val="-5"/>
        </w:rPr>
        <w:t xml:space="preserve"> </w:t>
      </w:r>
      <w:r>
        <w:t>para</w:t>
      </w:r>
      <w:r>
        <w:rPr>
          <w:spacing w:val="-5"/>
        </w:rPr>
        <w:t xml:space="preserve"> </w:t>
      </w:r>
      <w:r>
        <w:t>la</w:t>
      </w:r>
      <w:r>
        <w:rPr>
          <w:spacing w:val="-5"/>
        </w:rPr>
        <w:t xml:space="preserve"> </w:t>
      </w:r>
      <w:r>
        <w:t>reconstrucción de su propia identidad colectiva.</w:t>
      </w:r>
    </w:p>
    <w:p w:rsidR="003804AC" w:rsidRDefault="00AF18A5" w:rsidP="00914D42">
      <w:r>
        <w:t>Un aspecto particularmente significativo en la narrativa de los firmantes del Acuerdo es el</w:t>
      </w:r>
      <w:r>
        <w:rPr>
          <w:spacing w:val="-13"/>
        </w:rPr>
        <w:t xml:space="preserve"> </w:t>
      </w:r>
      <w:r>
        <w:t>constante</w:t>
      </w:r>
      <w:r>
        <w:rPr>
          <w:spacing w:val="-14"/>
        </w:rPr>
        <w:t xml:space="preserve"> </w:t>
      </w:r>
      <w:r>
        <w:t>señalamiento</w:t>
      </w:r>
      <w:r>
        <w:rPr>
          <w:spacing w:val="-13"/>
        </w:rPr>
        <w:t xml:space="preserve"> </w:t>
      </w:r>
      <w:r>
        <w:t>de</w:t>
      </w:r>
      <w:r>
        <w:rPr>
          <w:spacing w:val="-13"/>
        </w:rPr>
        <w:t xml:space="preserve"> </w:t>
      </w:r>
      <w:r>
        <w:t>un</w:t>
      </w:r>
      <w:r>
        <w:rPr>
          <w:spacing w:val="-13"/>
        </w:rPr>
        <w:t xml:space="preserve"> </w:t>
      </w:r>
      <w:r>
        <w:t>desbalance</w:t>
      </w:r>
      <w:r>
        <w:rPr>
          <w:spacing w:val="-13"/>
        </w:rPr>
        <w:t xml:space="preserve"> </w:t>
      </w:r>
      <w:r>
        <w:t>en</w:t>
      </w:r>
      <w:r>
        <w:rPr>
          <w:spacing w:val="-13"/>
        </w:rPr>
        <w:t xml:space="preserve"> </w:t>
      </w:r>
      <w:r>
        <w:t>cuanto</w:t>
      </w:r>
      <w:r>
        <w:rPr>
          <w:spacing w:val="-13"/>
        </w:rPr>
        <w:t xml:space="preserve"> </w:t>
      </w:r>
      <w:r>
        <w:t>al</w:t>
      </w:r>
      <w:r>
        <w:rPr>
          <w:spacing w:val="-13"/>
        </w:rPr>
        <w:t xml:space="preserve"> </w:t>
      </w:r>
      <w:r>
        <w:t>no</w:t>
      </w:r>
      <w:r>
        <w:rPr>
          <w:spacing w:val="-13"/>
        </w:rPr>
        <w:t xml:space="preserve"> </w:t>
      </w:r>
      <w:r>
        <w:t>reconocimiento</w:t>
      </w:r>
      <w:r>
        <w:rPr>
          <w:spacing w:val="-13"/>
        </w:rPr>
        <w:t xml:space="preserve"> </w:t>
      </w:r>
      <w:r>
        <w:t>por</w:t>
      </w:r>
      <w:r>
        <w:rPr>
          <w:spacing w:val="-13"/>
        </w:rPr>
        <w:t xml:space="preserve"> </w:t>
      </w:r>
      <w:r>
        <w:t>parte</w:t>
      </w:r>
      <w:r>
        <w:rPr>
          <w:spacing w:val="-13"/>
        </w:rPr>
        <w:t xml:space="preserve"> </w:t>
      </w:r>
      <w:r>
        <w:t>de</w:t>
      </w:r>
      <w:r>
        <w:rPr>
          <w:spacing w:val="-13"/>
        </w:rPr>
        <w:t xml:space="preserve"> </w:t>
      </w:r>
      <w:r>
        <w:t>otros actores del conflicto, como la fuerza pública, o los ex-AUC. Dado que los reconocimientos han tenido dimensión pública, para ellos se corre el riesgo de mostrar que quienes más reconocen sean vistos como los únicos responsables y que no mostraron suficiente disposición a la construcción de la paz. En los 36 procesos de reconocimiento de responsabilidad han participado 86 excombatientes de las FARC-EP, 31 exmiembros de las AUC</w:t>
      </w:r>
      <w:r>
        <w:rPr>
          <w:spacing w:val="8"/>
        </w:rPr>
        <w:t xml:space="preserve"> </w:t>
      </w:r>
      <w:r>
        <w:t>y</w:t>
      </w:r>
      <w:r>
        <w:rPr>
          <w:spacing w:val="12"/>
        </w:rPr>
        <w:t xml:space="preserve"> </w:t>
      </w:r>
      <w:r>
        <w:t>23</w:t>
      </w:r>
      <w:r>
        <w:rPr>
          <w:spacing w:val="13"/>
        </w:rPr>
        <w:t xml:space="preserve"> </w:t>
      </w:r>
      <w:r>
        <w:t>miembros</w:t>
      </w:r>
      <w:r>
        <w:rPr>
          <w:spacing w:val="11"/>
        </w:rPr>
        <w:t xml:space="preserve"> </w:t>
      </w:r>
      <w:r>
        <w:t>activos</w:t>
      </w:r>
      <w:r>
        <w:rPr>
          <w:spacing w:val="11"/>
        </w:rPr>
        <w:t xml:space="preserve"> </w:t>
      </w:r>
      <w:r>
        <w:t>y</w:t>
      </w:r>
      <w:r>
        <w:rPr>
          <w:spacing w:val="12"/>
        </w:rPr>
        <w:t xml:space="preserve"> </w:t>
      </w:r>
      <w:r>
        <w:t>retirados</w:t>
      </w:r>
      <w:r>
        <w:rPr>
          <w:spacing w:val="12"/>
        </w:rPr>
        <w:t xml:space="preserve"> </w:t>
      </w:r>
      <w:r>
        <w:t>de</w:t>
      </w:r>
      <w:r>
        <w:rPr>
          <w:spacing w:val="11"/>
        </w:rPr>
        <w:t xml:space="preserve"> </w:t>
      </w:r>
      <w:r>
        <w:t>la</w:t>
      </w:r>
      <w:r>
        <w:rPr>
          <w:spacing w:val="11"/>
        </w:rPr>
        <w:t xml:space="preserve"> </w:t>
      </w:r>
      <w:r>
        <w:t>fuerza</w:t>
      </w:r>
      <w:r>
        <w:rPr>
          <w:spacing w:val="12"/>
        </w:rPr>
        <w:t xml:space="preserve"> </w:t>
      </w:r>
      <w:r>
        <w:t>pública.</w:t>
      </w:r>
      <w:r>
        <w:rPr>
          <w:spacing w:val="12"/>
        </w:rPr>
        <w:t xml:space="preserve"> </w:t>
      </w:r>
      <w:r>
        <w:t>En</w:t>
      </w:r>
      <w:r>
        <w:rPr>
          <w:spacing w:val="12"/>
        </w:rPr>
        <w:t xml:space="preserve"> </w:t>
      </w:r>
      <w:r>
        <w:t>general,</w:t>
      </w:r>
      <w:r>
        <w:rPr>
          <w:spacing w:val="12"/>
        </w:rPr>
        <w:t xml:space="preserve"> </w:t>
      </w:r>
      <w:r>
        <w:t>los</w:t>
      </w:r>
      <w:r>
        <w:rPr>
          <w:spacing w:val="11"/>
        </w:rPr>
        <w:t xml:space="preserve"> </w:t>
      </w:r>
      <w:r>
        <w:t>firmantes</w:t>
      </w:r>
      <w:r>
        <w:rPr>
          <w:spacing w:val="12"/>
        </w:rPr>
        <w:t xml:space="preserve"> </w:t>
      </w:r>
      <w:r>
        <w:rPr>
          <w:spacing w:val="-5"/>
        </w:rPr>
        <w:t>del</w:t>
      </w:r>
      <w:r w:rsidR="00914D42">
        <w:rPr>
          <w:spacing w:val="-5"/>
        </w:rPr>
        <w:t xml:space="preserve"> </w:t>
      </w:r>
      <w:r>
        <w:t>Acuerdo los han asumido de forma individual, aunque privilegian su participación desde lo colectivo, especialmente quienes pertenecen a un proyecto político.</w:t>
      </w:r>
    </w:p>
    <w:p w:rsidR="003804AC" w:rsidRDefault="00AF18A5" w:rsidP="00914D42">
      <w:r>
        <w:t>La perspectiva de reconocimiento de responsabilidades por parte de los firmantes del Acuerdo de Paz se desarrolla en estrecha relación con la implementación del mismo y el avance</w:t>
      </w:r>
      <w:r>
        <w:rPr>
          <w:spacing w:val="-8"/>
        </w:rPr>
        <w:t xml:space="preserve"> </w:t>
      </w:r>
      <w:r>
        <w:t>de</w:t>
      </w:r>
      <w:r>
        <w:rPr>
          <w:spacing w:val="-8"/>
        </w:rPr>
        <w:t xml:space="preserve"> </w:t>
      </w:r>
      <w:r>
        <w:t>los</w:t>
      </w:r>
      <w:r>
        <w:rPr>
          <w:spacing w:val="-8"/>
        </w:rPr>
        <w:t xml:space="preserve"> </w:t>
      </w:r>
      <w:r>
        <w:t>procesos</w:t>
      </w:r>
      <w:r>
        <w:rPr>
          <w:spacing w:val="-8"/>
        </w:rPr>
        <w:t xml:space="preserve"> </w:t>
      </w:r>
      <w:r>
        <w:t>y</w:t>
      </w:r>
      <w:r>
        <w:rPr>
          <w:spacing w:val="-10"/>
        </w:rPr>
        <w:t xml:space="preserve"> </w:t>
      </w:r>
      <w:r>
        <w:t>sentencias</w:t>
      </w:r>
      <w:r>
        <w:rPr>
          <w:spacing w:val="-8"/>
        </w:rPr>
        <w:t xml:space="preserve"> </w:t>
      </w:r>
      <w:r>
        <w:t>que</w:t>
      </w:r>
      <w:r>
        <w:rPr>
          <w:spacing w:val="-8"/>
        </w:rPr>
        <w:t xml:space="preserve"> </w:t>
      </w:r>
      <w:r>
        <w:t>profiera</w:t>
      </w:r>
      <w:r>
        <w:rPr>
          <w:spacing w:val="-8"/>
        </w:rPr>
        <w:t xml:space="preserve"> </w:t>
      </w:r>
      <w:r>
        <w:t>la</w:t>
      </w:r>
      <w:r>
        <w:rPr>
          <w:spacing w:val="-8"/>
        </w:rPr>
        <w:t xml:space="preserve"> </w:t>
      </w:r>
      <w:r>
        <w:t>Justicia</w:t>
      </w:r>
      <w:r>
        <w:rPr>
          <w:spacing w:val="-8"/>
        </w:rPr>
        <w:t xml:space="preserve"> </w:t>
      </w:r>
      <w:r>
        <w:t>Especial</w:t>
      </w:r>
      <w:r>
        <w:rPr>
          <w:spacing w:val="-8"/>
        </w:rPr>
        <w:t xml:space="preserve"> </w:t>
      </w:r>
      <w:r>
        <w:t>para</w:t>
      </w:r>
      <w:r>
        <w:rPr>
          <w:spacing w:val="-8"/>
        </w:rPr>
        <w:t xml:space="preserve"> </w:t>
      </w:r>
      <w:r>
        <w:t>la</w:t>
      </w:r>
      <w:r>
        <w:rPr>
          <w:spacing w:val="-8"/>
        </w:rPr>
        <w:t xml:space="preserve"> </w:t>
      </w:r>
      <w:r>
        <w:t>Paz.</w:t>
      </w:r>
      <w:r>
        <w:rPr>
          <w:spacing w:val="-8"/>
        </w:rPr>
        <w:t xml:space="preserve"> </w:t>
      </w:r>
      <w:r>
        <w:t>Al</w:t>
      </w:r>
      <w:r>
        <w:rPr>
          <w:spacing w:val="-8"/>
        </w:rPr>
        <w:t xml:space="preserve"> </w:t>
      </w:r>
      <w:r>
        <w:t xml:space="preserve">respecto, el alcance y </w:t>
      </w:r>
      <w:r>
        <w:lastRenderedPageBreak/>
        <w:t>continuidad de los reconocimientos dependerá de las dinámicas de institucionalidad que se asuman y de la interlocución de la sociedad para efectos de la exigencia de reconocimiento público de responsabilidad. Es importante un acercamiento de la dimensión judicial y extrajudicial, que no se vean como opuestas o excluyentes, sino complementarias. Por otra parte, hay que considerar el interés genuino de muchos responsables</w:t>
      </w:r>
      <w:r>
        <w:rPr>
          <w:spacing w:val="-15"/>
        </w:rPr>
        <w:t xml:space="preserve"> </w:t>
      </w:r>
      <w:r>
        <w:t>de</w:t>
      </w:r>
      <w:r>
        <w:rPr>
          <w:spacing w:val="-14"/>
        </w:rPr>
        <w:t xml:space="preserve"> </w:t>
      </w:r>
      <w:r>
        <w:t>establecer</w:t>
      </w:r>
      <w:r>
        <w:rPr>
          <w:spacing w:val="-14"/>
        </w:rPr>
        <w:t xml:space="preserve"> </w:t>
      </w:r>
      <w:r>
        <w:t>relaciones</w:t>
      </w:r>
      <w:r>
        <w:rPr>
          <w:spacing w:val="-15"/>
        </w:rPr>
        <w:t xml:space="preserve"> </w:t>
      </w:r>
      <w:r>
        <w:t>con</w:t>
      </w:r>
      <w:r>
        <w:rPr>
          <w:spacing w:val="-14"/>
        </w:rPr>
        <w:t xml:space="preserve"> </w:t>
      </w:r>
      <w:r>
        <w:t>las</w:t>
      </w:r>
      <w:r>
        <w:rPr>
          <w:spacing w:val="-15"/>
        </w:rPr>
        <w:t xml:space="preserve"> </w:t>
      </w:r>
      <w:r>
        <w:t>comunidades</w:t>
      </w:r>
      <w:r>
        <w:rPr>
          <w:spacing w:val="-14"/>
        </w:rPr>
        <w:t xml:space="preserve"> </w:t>
      </w:r>
      <w:r>
        <w:t>con</w:t>
      </w:r>
      <w:r>
        <w:rPr>
          <w:spacing w:val="-14"/>
        </w:rPr>
        <w:t xml:space="preserve"> </w:t>
      </w:r>
      <w:r>
        <w:t>el</w:t>
      </w:r>
      <w:r>
        <w:rPr>
          <w:spacing w:val="-14"/>
        </w:rPr>
        <w:t xml:space="preserve"> </w:t>
      </w:r>
      <w:r>
        <w:t>propósito</w:t>
      </w:r>
      <w:r>
        <w:rPr>
          <w:spacing w:val="-14"/>
        </w:rPr>
        <w:t xml:space="preserve"> </w:t>
      </w:r>
      <w:r>
        <w:t>de</w:t>
      </w:r>
      <w:r>
        <w:rPr>
          <w:spacing w:val="-14"/>
        </w:rPr>
        <w:t xml:space="preserve"> </w:t>
      </w:r>
      <w:r>
        <w:t>ofrecer</w:t>
      </w:r>
      <w:r>
        <w:rPr>
          <w:spacing w:val="-15"/>
        </w:rPr>
        <w:t xml:space="preserve"> </w:t>
      </w:r>
      <w:r>
        <w:t>verdad a las víctimas. Dado que hablamos de procesos de transición en lo humano y lo social, se necesita</w:t>
      </w:r>
      <w:r>
        <w:rPr>
          <w:spacing w:val="-7"/>
        </w:rPr>
        <w:t xml:space="preserve"> </w:t>
      </w:r>
      <w:r>
        <w:t>acompañar</w:t>
      </w:r>
      <w:r>
        <w:rPr>
          <w:spacing w:val="-7"/>
        </w:rPr>
        <w:t xml:space="preserve"> </w:t>
      </w:r>
      <w:r>
        <w:t>y</w:t>
      </w:r>
      <w:r>
        <w:rPr>
          <w:spacing w:val="-7"/>
        </w:rPr>
        <w:t xml:space="preserve"> </w:t>
      </w:r>
      <w:r>
        <w:t>facilitar</w:t>
      </w:r>
      <w:r>
        <w:rPr>
          <w:spacing w:val="-7"/>
        </w:rPr>
        <w:t xml:space="preserve"> </w:t>
      </w:r>
      <w:r>
        <w:t>que</w:t>
      </w:r>
      <w:r>
        <w:rPr>
          <w:spacing w:val="-7"/>
        </w:rPr>
        <w:t xml:space="preserve"> </w:t>
      </w:r>
      <w:r>
        <w:t>estos</w:t>
      </w:r>
      <w:r>
        <w:rPr>
          <w:spacing w:val="-7"/>
        </w:rPr>
        <w:t xml:space="preserve"> </w:t>
      </w:r>
      <w:r>
        <w:t>caminos</w:t>
      </w:r>
      <w:r>
        <w:rPr>
          <w:spacing w:val="-8"/>
        </w:rPr>
        <w:t xml:space="preserve"> </w:t>
      </w:r>
      <w:r>
        <w:t>sigan</w:t>
      </w:r>
      <w:r>
        <w:rPr>
          <w:spacing w:val="-7"/>
        </w:rPr>
        <w:t xml:space="preserve"> </w:t>
      </w:r>
      <w:r>
        <w:t>siendo</w:t>
      </w:r>
      <w:r>
        <w:rPr>
          <w:spacing w:val="-8"/>
        </w:rPr>
        <w:t xml:space="preserve"> </w:t>
      </w:r>
      <w:r>
        <w:t>posibles</w:t>
      </w:r>
      <w:r>
        <w:rPr>
          <w:spacing w:val="-7"/>
        </w:rPr>
        <w:t xml:space="preserve"> </w:t>
      </w:r>
      <w:r>
        <w:t>para</w:t>
      </w:r>
      <w:r>
        <w:rPr>
          <w:spacing w:val="-7"/>
        </w:rPr>
        <w:t xml:space="preserve"> </w:t>
      </w:r>
      <w:r>
        <w:t>los</w:t>
      </w:r>
      <w:r>
        <w:rPr>
          <w:spacing w:val="-7"/>
        </w:rPr>
        <w:t xml:space="preserve"> </w:t>
      </w:r>
      <w:r>
        <w:t>responsables y las víctimas y comunidades, con condiciones de seguridad y de apoyo.</w:t>
      </w:r>
    </w:p>
    <w:p w:rsidR="003804AC" w:rsidRDefault="00AF18A5" w:rsidP="00914D42">
      <w:r>
        <w:t>Desde</w:t>
      </w:r>
      <w:r>
        <w:rPr>
          <w:spacing w:val="-2"/>
        </w:rPr>
        <w:t xml:space="preserve"> </w:t>
      </w:r>
      <w:r>
        <w:t>el</w:t>
      </w:r>
      <w:r>
        <w:rPr>
          <w:spacing w:val="-2"/>
        </w:rPr>
        <w:t xml:space="preserve"> </w:t>
      </w:r>
      <w:r>
        <w:t>punto</w:t>
      </w:r>
      <w:r>
        <w:rPr>
          <w:spacing w:val="-2"/>
        </w:rPr>
        <w:t xml:space="preserve"> </w:t>
      </w:r>
      <w:r>
        <w:t>de</w:t>
      </w:r>
      <w:r>
        <w:rPr>
          <w:spacing w:val="-2"/>
        </w:rPr>
        <w:t xml:space="preserve"> </w:t>
      </w:r>
      <w:r>
        <w:t>vista</w:t>
      </w:r>
      <w:r>
        <w:rPr>
          <w:spacing w:val="-3"/>
        </w:rPr>
        <w:t xml:space="preserve"> </w:t>
      </w:r>
      <w:r>
        <w:t>del</w:t>
      </w:r>
      <w:r>
        <w:rPr>
          <w:spacing w:val="-2"/>
        </w:rPr>
        <w:t xml:space="preserve"> </w:t>
      </w:r>
      <w:r>
        <w:t>discurso,</w:t>
      </w:r>
      <w:r>
        <w:rPr>
          <w:spacing w:val="-3"/>
        </w:rPr>
        <w:t xml:space="preserve"> </w:t>
      </w:r>
      <w:r>
        <w:t>los</w:t>
      </w:r>
      <w:r>
        <w:rPr>
          <w:spacing w:val="-2"/>
        </w:rPr>
        <w:t xml:space="preserve"> </w:t>
      </w:r>
      <w:r>
        <w:t>diferentes</w:t>
      </w:r>
      <w:r>
        <w:rPr>
          <w:spacing w:val="-2"/>
        </w:rPr>
        <w:t xml:space="preserve"> </w:t>
      </w:r>
      <w:r>
        <w:t>actores</w:t>
      </w:r>
      <w:r>
        <w:rPr>
          <w:spacing w:val="-2"/>
        </w:rPr>
        <w:t xml:space="preserve"> </w:t>
      </w:r>
      <w:r>
        <w:t>se</w:t>
      </w:r>
      <w:r>
        <w:rPr>
          <w:spacing w:val="-3"/>
        </w:rPr>
        <w:t xml:space="preserve"> </w:t>
      </w:r>
      <w:r>
        <w:t>mueven</w:t>
      </w:r>
      <w:r>
        <w:rPr>
          <w:spacing w:val="-2"/>
        </w:rPr>
        <w:t xml:space="preserve"> </w:t>
      </w:r>
      <w:r>
        <w:t>entre</w:t>
      </w:r>
      <w:r>
        <w:rPr>
          <w:spacing w:val="-2"/>
        </w:rPr>
        <w:t xml:space="preserve"> </w:t>
      </w:r>
      <w:r>
        <w:t>una</w:t>
      </w:r>
      <w:r>
        <w:rPr>
          <w:spacing w:val="-2"/>
        </w:rPr>
        <w:t xml:space="preserve"> </w:t>
      </w:r>
      <w:r>
        <w:t>narrativa político-militar circunscrita a la explicación sobre las razones de la guerra, la identidad del grupo</w:t>
      </w:r>
      <w:r>
        <w:rPr>
          <w:spacing w:val="-4"/>
        </w:rPr>
        <w:t xml:space="preserve"> </w:t>
      </w:r>
      <w:r>
        <w:t>armado</w:t>
      </w:r>
      <w:r>
        <w:rPr>
          <w:spacing w:val="-4"/>
        </w:rPr>
        <w:t xml:space="preserve"> </w:t>
      </w:r>
      <w:r>
        <w:t>y</w:t>
      </w:r>
      <w:r>
        <w:rPr>
          <w:spacing w:val="-4"/>
        </w:rPr>
        <w:t xml:space="preserve"> </w:t>
      </w:r>
      <w:r>
        <w:t>las</w:t>
      </w:r>
      <w:r>
        <w:rPr>
          <w:spacing w:val="-3"/>
        </w:rPr>
        <w:t xml:space="preserve"> </w:t>
      </w:r>
      <w:r>
        <w:t>finalidades</w:t>
      </w:r>
      <w:r>
        <w:rPr>
          <w:spacing w:val="-3"/>
        </w:rPr>
        <w:t xml:space="preserve"> </w:t>
      </w:r>
      <w:r>
        <w:t>y</w:t>
      </w:r>
      <w:r>
        <w:rPr>
          <w:spacing w:val="-4"/>
        </w:rPr>
        <w:t xml:space="preserve"> </w:t>
      </w:r>
      <w:r>
        <w:t>los</w:t>
      </w:r>
      <w:r>
        <w:rPr>
          <w:spacing w:val="-5"/>
        </w:rPr>
        <w:t xml:space="preserve"> </w:t>
      </w:r>
      <w:r>
        <w:t>procedimientos.</w:t>
      </w:r>
      <w:r>
        <w:rPr>
          <w:spacing w:val="-4"/>
        </w:rPr>
        <w:t xml:space="preserve"> </w:t>
      </w:r>
      <w:r>
        <w:t>Es</w:t>
      </w:r>
      <w:r>
        <w:rPr>
          <w:spacing w:val="-3"/>
        </w:rPr>
        <w:t xml:space="preserve"> </w:t>
      </w:r>
      <w:r>
        <w:t>decir,</w:t>
      </w:r>
      <w:r>
        <w:rPr>
          <w:spacing w:val="-4"/>
        </w:rPr>
        <w:t xml:space="preserve"> </w:t>
      </w:r>
      <w:r>
        <w:t>se</w:t>
      </w:r>
      <w:r>
        <w:rPr>
          <w:spacing w:val="-3"/>
        </w:rPr>
        <w:t xml:space="preserve"> </w:t>
      </w:r>
      <w:r>
        <w:t>centra</w:t>
      </w:r>
      <w:r>
        <w:rPr>
          <w:spacing w:val="-3"/>
        </w:rPr>
        <w:t xml:space="preserve"> </w:t>
      </w:r>
      <w:r>
        <w:t>en</w:t>
      </w:r>
      <w:r>
        <w:rPr>
          <w:spacing w:val="-4"/>
        </w:rPr>
        <w:t xml:space="preserve"> </w:t>
      </w:r>
      <w:r>
        <w:t>la</w:t>
      </w:r>
      <w:r>
        <w:rPr>
          <w:spacing w:val="-3"/>
        </w:rPr>
        <w:t xml:space="preserve"> </w:t>
      </w:r>
      <w:r>
        <w:t>descripción</w:t>
      </w:r>
      <w:r>
        <w:rPr>
          <w:spacing w:val="-4"/>
        </w:rPr>
        <w:t xml:space="preserve"> </w:t>
      </w:r>
      <w:r>
        <w:t>de cómo las decisiones se convirtieron en terreno en las operaciones táctico-estratégicas para vencer</w:t>
      </w:r>
      <w:r>
        <w:rPr>
          <w:spacing w:val="-14"/>
        </w:rPr>
        <w:t xml:space="preserve"> </w:t>
      </w:r>
      <w:r>
        <w:t>al</w:t>
      </w:r>
      <w:r>
        <w:rPr>
          <w:spacing w:val="-14"/>
        </w:rPr>
        <w:t xml:space="preserve"> </w:t>
      </w:r>
      <w:r>
        <w:t>enemigo.</w:t>
      </w:r>
      <w:r>
        <w:rPr>
          <w:spacing w:val="-14"/>
        </w:rPr>
        <w:t xml:space="preserve"> </w:t>
      </w:r>
      <w:r>
        <w:t>En</w:t>
      </w:r>
      <w:r>
        <w:rPr>
          <w:spacing w:val="-14"/>
        </w:rPr>
        <w:t xml:space="preserve"> </w:t>
      </w:r>
      <w:r>
        <w:t>los</w:t>
      </w:r>
      <w:r>
        <w:rPr>
          <w:spacing w:val="-14"/>
        </w:rPr>
        <w:t xml:space="preserve"> </w:t>
      </w:r>
      <w:r>
        <w:t>reconocimientos</w:t>
      </w:r>
      <w:r>
        <w:rPr>
          <w:spacing w:val="-14"/>
        </w:rPr>
        <w:t xml:space="preserve"> </w:t>
      </w:r>
      <w:r>
        <w:t>de</w:t>
      </w:r>
      <w:r>
        <w:rPr>
          <w:spacing w:val="-14"/>
        </w:rPr>
        <w:t xml:space="preserve"> </w:t>
      </w:r>
      <w:r>
        <w:t>responsabilidad</w:t>
      </w:r>
      <w:r>
        <w:rPr>
          <w:spacing w:val="-15"/>
        </w:rPr>
        <w:t xml:space="preserve"> </w:t>
      </w:r>
      <w:r>
        <w:t>en</w:t>
      </w:r>
      <w:r>
        <w:rPr>
          <w:spacing w:val="-14"/>
        </w:rPr>
        <w:t xml:space="preserve"> </w:t>
      </w:r>
      <w:r>
        <w:t>Caldono</w:t>
      </w:r>
      <w:r>
        <w:rPr>
          <w:spacing w:val="-14"/>
        </w:rPr>
        <w:t xml:space="preserve"> </w:t>
      </w:r>
      <w:r>
        <w:t>(Cauca)</w:t>
      </w:r>
      <w:r>
        <w:rPr>
          <w:spacing w:val="-14"/>
        </w:rPr>
        <w:t xml:space="preserve"> </w:t>
      </w:r>
      <w:r>
        <w:t>y</w:t>
      </w:r>
      <w:r>
        <w:rPr>
          <w:spacing w:val="-14"/>
        </w:rPr>
        <w:t xml:space="preserve"> </w:t>
      </w:r>
      <w:r>
        <w:t>Carmen de</w:t>
      </w:r>
      <w:r>
        <w:rPr>
          <w:spacing w:val="-15"/>
        </w:rPr>
        <w:t xml:space="preserve"> </w:t>
      </w:r>
      <w:r>
        <w:t>Atrato</w:t>
      </w:r>
      <w:r>
        <w:rPr>
          <w:spacing w:val="-15"/>
        </w:rPr>
        <w:t xml:space="preserve"> </w:t>
      </w:r>
      <w:r>
        <w:t>(Chocó),</w:t>
      </w:r>
      <w:r>
        <w:rPr>
          <w:spacing w:val="-15"/>
        </w:rPr>
        <w:t xml:space="preserve"> </w:t>
      </w:r>
      <w:r>
        <w:t>los</w:t>
      </w:r>
      <w:r>
        <w:rPr>
          <w:spacing w:val="-15"/>
        </w:rPr>
        <w:t xml:space="preserve"> </w:t>
      </w:r>
      <w:r>
        <w:t>firmantes</w:t>
      </w:r>
      <w:r>
        <w:rPr>
          <w:spacing w:val="-15"/>
        </w:rPr>
        <w:t xml:space="preserve"> </w:t>
      </w:r>
      <w:r>
        <w:t>mencionaron</w:t>
      </w:r>
      <w:r>
        <w:rPr>
          <w:spacing w:val="-15"/>
        </w:rPr>
        <w:t xml:space="preserve"> </w:t>
      </w:r>
      <w:r>
        <w:t>que</w:t>
      </w:r>
      <w:r>
        <w:rPr>
          <w:spacing w:val="-15"/>
        </w:rPr>
        <w:t xml:space="preserve"> </w:t>
      </w:r>
      <w:r>
        <w:t>desde</w:t>
      </w:r>
      <w:r>
        <w:rPr>
          <w:spacing w:val="-15"/>
        </w:rPr>
        <w:t xml:space="preserve"> </w:t>
      </w:r>
      <w:r>
        <w:t>la</w:t>
      </w:r>
      <w:r>
        <w:rPr>
          <w:spacing w:val="-15"/>
        </w:rPr>
        <w:t xml:space="preserve"> </w:t>
      </w:r>
      <w:r>
        <w:t>lógica</w:t>
      </w:r>
      <w:r>
        <w:rPr>
          <w:spacing w:val="-15"/>
        </w:rPr>
        <w:t xml:space="preserve"> </w:t>
      </w:r>
      <w:r>
        <w:t>de</w:t>
      </w:r>
      <w:r>
        <w:rPr>
          <w:spacing w:val="-15"/>
        </w:rPr>
        <w:t xml:space="preserve"> </w:t>
      </w:r>
      <w:r>
        <w:t>la</w:t>
      </w:r>
      <w:r>
        <w:rPr>
          <w:spacing w:val="-15"/>
        </w:rPr>
        <w:t xml:space="preserve"> </w:t>
      </w:r>
      <w:r>
        <w:t>guerra</w:t>
      </w:r>
      <w:r>
        <w:rPr>
          <w:spacing w:val="-15"/>
        </w:rPr>
        <w:t xml:space="preserve"> </w:t>
      </w:r>
      <w:r>
        <w:t>hay</w:t>
      </w:r>
      <w:r>
        <w:rPr>
          <w:spacing w:val="-15"/>
        </w:rPr>
        <w:t xml:space="preserve"> </w:t>
      </w:r>
      <w:r>
        <w:t>percepción distinta del territorio. Cuando pertenecían a las FARC-EP, ubicaban únicamente los lugares estratégicos</w:t>
      </w:r>
      <w:r>
        <w:rPr>
          <w:spacing w:val="-15"/>
        </w:rPr>
        <w:t xml:space="preserve"> </w:t>
      </w:r>
      <w:r>
        <w:t>en</w:t>
      </w:r>
      <w:r>
        <w:rPr>
          <w:spacing w:val="-15"/>
        </w:rPr>
        <w:t xml:space="preserve"> </w:t>
      </w:r>
      <w:r>
        <w:t>lo</w:t>
      </w:r>
      <w:r>
        <w:rPr>
          <w:spacing w:val="-15"/>
        </w:rPr>
        <w:t xml:space="preserve"> </w:t>
      </w:r>
      <w:r>
        <w:t>que</w:t>
      </w:r>
      <w:r>
        <w:rPr>
          <w:spacing w:val="-15"/>
        </w:rPr>
        <w:t xml:space="preserve"> </w:t>
      </w:r>
      <w:r>
        <w:t>se</w:t>
      </w:r>
      <w:r>
        <w:rPr>
          <w:spacing w:val="-15"/>
        </w:rPr>
        <w:t xml:space="preserve"> </w:t>
      </w:r>
      <w:r>
        <w:t>ubicaba</w:t>
      </w:r>
      <w:r>
        <w:rPr>
          <w:spacing w:val="-15"/>
        </w:rPr>
        <w:t xml:space="preserve"> </w:t>
      </w:r>
      <w:r>
        <w:t>la</w:t>
      </w:r>
      <w:r>
        <w:rPr>
          <w:spacing w:val="-15"/>
        </w:rPr>
        <w:t xml:space="preserve"> </w:t>
      </w:r>
      <w:r>
        <w:t>fuerza</w:t>
      </w:r>
      <w:r>
        <w:rPr>
          <w:spacing w:val="-15"/>
        </w:rPr>
        <w:t xml:space="preserve"> </w:t>
      </w:r>
      <w:r>
        <w:t>pública.</w:t>
      </w:r>
      <w:r>
        <w:rPr>
          <w:spacing w:val="-15"/>
        </w:rPr>
        <w:t xml:space="preserve"> </w:t>
      </w:r>
      <w:r>
        <w:t>El</w:t>
      </w:r>
      <w:r>
        <w:rPr>
          <w:spacing w:val="-15"/>
        </w:rPr>
        <w:t xml:space="preserve"> </w:t>
      </w:r>
      <w:r>
        <w:t>puesto</w:t>
      </w:r>
      <w:r>
        <w:rPr>
          <w:spacing w:val="-15"/>
        </w:rPr>
        <w:t xml:space="preserve"> </w:t>
      </w:r>
      <w:r>
        <w:t>de</w:t>
      </w:r>
      <w:r>
        <w:rPr>
          <w:spacing w:val="-15"/>
        </w:rPr>
        <w:t xml:space="preserve"> </w:t>
      </w:r>
      <w:r>
        <w:t>Policía,</w:t>
      </w:r>
      <w:r>
        <w:rPr>
          <w:spacing w:val="-15"/>
        </w:rPr>
        <w:t xml:space="preserve"> </w:t>
      </w:r>
      <w:r>
        <w:t>las</w:t>
      </w:r>
      <w:r>
        <w:rPr>
          <w:spacing w:val="-15"/>
        </w:rPr>
        <w:t xml:space="preserve"> </w:t>
      </w:r>
      <w:r>
        <w:t>unidades</w:t>
      </w:r>
      <w:r>
        <w:rPr>
          <w:spacing w:val="-15"/>
        </w:rPr>
        <w:t xml:space="preserve"> </w:t>
      </w:r>
      <w:r>
        <w:t>militares y otros como las alcaldías. Estos lugares fueron objetivo militar, sin tener en cuenta que estaban cerca de casas, colegios, mercados, puestos de salud, iglesias, una población civil expuesta a la confrontación armada.</w:t>
      </w:r>
    </w:p>
    <w:p w:rsidR="003804AC" w:rsidRDefault="00AF18A5" w:rsidP="00914D42">
      <w:r>
        <w:t>Los miembros de la fuerza pública que han participado en reconocimientos de responsabilidad</w:t>
      </w:r>
      <w:r>
        <w:rPr>
          <w:spacing w:val="-9"/>
        </w:rPr>
        <w:t xml:space="preserve"> </w:t>
      </w:r>
      <w:r>
        <w:t>han</w:t>
      </w:r>
      <w:r>
        <w:rPr>
          <w:spacing w:val="-9"/>
        </w:rPr>
        <w:t xml:space="preserve"> </w:t>
      </w:r>
      <w:r>
        <w:t>requerido</w:t>
      </w:r>
      <w:r>
        <w:rPr>
          <w:spacing w:val="-9"/>
        </w:rPr>
        <w:t xml:space="preserve"> </w:t>
      </w:r>
      <w:r>
        <w:t>que</w:t>
      </w:r>
      <w:r>
        <w:rPr>
          <w:spacing w:val="-10"/>
        </w:rPr>
        <w:t xml:space="preserve"> </w:t>
      </w:r>
      <w:r>
        <w:t>los</w:t>
      </w:r>
      <w:r>
        <w:rPr>
          <w:spacing w:val="-10"/>
        </w:rPr>
        <w:t xml:space="preserve"> </w:t>
      </w:r>
      <w:r>
        <w:t>procesos</w:t>
      </w:r>
      <w:r>
        <w:rPr>
          <w:spacing w:val="-10"/>
        </w:rPr>
        <w:t xml:space="preserve"> </w:t>
      </w:r>
      <w:r>
        <w:t>tengan</w:t>
      </w:r>
      <w:r>
        <w:rPr>
          <w:spacing w:val="-9"/>
        </w:rPr>
        <w:t xml:space="preserve"> </w:t>
      </w:r>
      <w:r>
        <w:t>alto</w:t>
      </w:r>
      <w:r>
        <w:rPr>
          <w:spacing w:val="-9"/>
        </w:rPr>
        <w:t xml:space="preserve"> </w:t>
      </w:r>
      <w:r>
        <w:t>nivel</w:t>
      </w:r>
      <w:r>
        <w:rPr>
          <w:spacing w:val="-9"/>
        </w:rPr>
        <w:t xml:space="preserve"> </w:t>
      </w:r>
      <w:r>
        <w:t>de</w:t>
      </w:r>
      <w:r>
        <w:rPr>
          <w:spacing w:val="-9"/>
        </w:rPr>
        <w:t xml:space="preserve"> </w:t>
      </w:r>
      <w:r>
        <w:t>formalidad</w:t>
      </w:r>
      <w:r>
        <w:rPr>
          <w:spacing w:val="-11"/>
        </w:rPr>
        <w:t xml:space="preserve"> </w:t>
      </w:r>
      <w:r>
        <w:t xml:space="preserve">institucional. Ha sido fundamental </w:t>
      </w:r>
      <w:r>
        <w:lastRenderedPageBreak/>
        <w:t>garantizar las condiciones y tiempo suficiente para conocer y comprender</w:t>
      </w:r>
      <w:r>
        <w:rPr>
          <w:spacing w:val="3"/>
        </w:rPr>
        <w:t xml:space="preserve"> </w:t>
      </w:r>
      <w:r>
        <w:t>el</w:t>
      </w:r>
      <w:r>
        <w:rPr>
          <w:spacing w:val="6"/>
        </w:rPr>
        <w:t xml:space="preserve"> </w:t>
      </w:r>
      <w:r>
        <w:t>propósito</w:t>
      </w:r>
      <w:r>
        <w:rPr>
          <w:spacing w:val="5"/>
        </w:rPr>
        <w:t xml:space="preserve"> </w:t>
      </w:r>
      <w:r>
        <w:t>y</w:t>
      </w:r>
      <w:r>
        <w:rPr>
          <w:spacing w:val="6"/>
        </w:rPr>
        <w:t xml:space="preserve"> </w:t>
      </w:r>
      <w:r>
        <w:t>los</w:t>
      </w:r>
      <w:r>
        <w:rPr>
          <w:spacing w:val="6"/>
        </w:rPr>
        <w:t xml:space="preserve"> </w:t>
      </w:r>
      <w:r>
        <w:t>alcances.</w:t>
      </w:r>
      <w:r>
        <w:rPr>
          <w:spacing w:val="6"/>
        </w:rPr>
        <w:t xml:space="preserve"> </w:t>
      </w:r>
      <w:r>
        <w:t>Esto</w:t>
      </w:r>
      <w:r>
        <w:rPr>
          <w:spacing w:val="6"/>
        </w:rPr>
        <w:t xml:space="preserve"> </w:t>
      </w:r>
      <w:r>
        <w:t>ha</w:t>
      </w:r>
      <w:r>
        <w:rPr>
          <w:spacing w:val="6"/>
        </w:rPr>
        <w:t xml:space="preserve"> </w:t>
      </w:r>
      <w:r>
        <w:t>significado</w:t>
      </w:r>
      <w:r>
        <w:rPr>
          <w:spacing w:val="6"/>
        </w:rPr>
        <w:t xml:space="preserve"> </w:t>
      </w:r>
      <w:r>
        <w:t>un</w:t>
      </w:r>
      <w:r>
        <w:rPr>
          <w:spacing w:val="6"/>
        </w:rPr>
        <w:t xml:space="preserve"> </w:t>
      </w:r>
      <w:r>
        <w:t>proceso</w:t>
      </w:r>
      <w:r>
        <w:rPr>
          <w:spacing w:val="6"/>
        </w:rPr>
        <w:t xml:space="preserve"> </w:t>
      </w:r>
      <w:r>
        <w:t>lento</w:t>
      </w:r>
      <w:r>
        <w:rPr>
          <w:spacing w:val="6"/>
        </w:rPr>
        <w:t xml:space="preserve"> </w:t>
      </w:r>
      <w:r>
        <w:t>de</w:t>
      </w:r>
      <w:r>
        <w:rPr>
          <w:spacing w:val="7"/>
        </w:rPr>
        <w:t xml:space="preserve"> </w:t>
      </w:r>
      <w:r>
        <w:rPr>
          <w:spacing w:val="-2"/>
        </w:rPr>
        <w:t>generación</w:t>
      </w:r>
      <w:r w:rsidR="00914D42">
        <w:t xml:space="preserve"> </w:t>
      </w:r>
      <w:r>
        <w:t>de confianza, que a la larga le ha dado solidez. La Comisión ha acompañado estos procesos desde el inicio de su trabajo, a pesar de que muchas acciones solo hayan sido visibles socialmente con casos de impacto nacional, como el de las ejecuciones extrajudiciales, llamadas comúnmente falsos positivos. El contexto institucional de falta de reconocimiento de</w:t>
      </w:r>
      <w:r>
        <w:rPr>
          <w:spacing w:val="-15"/>
        </w:rPr>
        <w:t xml:space="preserve"> </w:t>
      </w:r>
      <w:r>
        <w:t>estos</w:t>
      </w:r>
      <w:r>
        <w:rPr>
          <w:spacing w:val="-15"/>
        </w:rPr>
        <w:t xml:space="preserve"> </w:t>
      </w:r>
      <w:r>
        <w:t>hechos</w:t>
      </w:r>
      <w:r>
        <w:rPr>
          <w:spacing w:val="-15"/>
        </w:rPr>
        <w:t xml:space="preserve"> </w:t>
      </w:r>
      <w:r>
        <w:t>supone</w:t>
      </w:r>
      <w:r>
        <w:rPr>
          <w:spacing w:val="-14"/>
        </w:rPr>
        <w:t xml:space="preserve"> </w:t>
      </w:r>
      <w:r>
        <w:t>un</w:t>
      </w:r>
      <w:r>
        <w:rPr>
          <w:spacing w:val="-15"/>
        </w:rPr>
        <w:t xml:space="preserve"> </w:t>
      </w:r>
      <w:r>
        <w:t>factor</w:t>
      </w:r>
      <w:r>
        <w:rPr>
          <w:spacing w:val="-15"/>
        </w:rPr>
        <w:t xml:space="preserve"> </w:t>
      </w:r>
      <w:r>
        <w:t>negativo</w:t>
      </w:r>
      <w:r>
        <w:rPr>
          <w:spacing w:val="-14"/>
        </w:rPr>
        <w:t xml:space="preserve"> </w:t>
      </w:r>
      <w:r>
        <w:t>añadido</w:t>
      </w:r>
      <w:r>
        <w:rPr>
          <w:spacing w:val="-15"/>
        </w:rPr>
        <w:t xml:space="preserve"> </w:t>
      </w:r>
      <w:r>
        <w:t>a</w:t>
      </w:r>
      <w:r>
        <w:rPr>
          <w:spacing w:val="-15"/>
        </w:rPr>
        <w:t xml:space="preserve"> </w:t>
      </w:r>
      <w:r>
        <w:t>la</w:t>
      </w:r>
      <w:r>
        <w:rPr>
          <w:spacing w:val="-14"/>
        </w:rPr>
        <w:t xml:space="preserve"> </w:t>
      </w:r>
      <w:r>
        <w:t>dificultad</w:t>
      </w:r>
      <w:r>
        <w:rPr>
          <w:spacing w:val="-15"/>
        </w:rPr>
        <w:t xml:space="preserve"> </w:t>
      </w:r>
      <w:r>
        <w:t>inherente</w:t>
      </w:r>
      <w:r>
        <w:rPr>
          <w:spacing w:val="-15"/>
        </w:rPr>
        <w:t xml:space="preserve"> </w:t>
      </w:r>
      <w:r>
        <w:t>que</w:t>
      </w:r>
      <w:r>
        <w:rPr>
          <w:spacing w:val="-14"/>
        </w:rPr>
        <w:t xml:space="preserve"> </w:t>
      </w:r>
      <w:r>
        <w:t>tienen.</w:t>
      </w:r>
      <w:r>
        <w:rPr>
          <w:spacing w:val="-15"/>
        </w:rPr>
        <w:t xml:space="preserve"> </w:t>
      </w:r>
      <w:r>
        <w:t>Varios de los exmilitares que han participado han sufrido amenazas e incluso atentados, lo que muestra un intento de silenciar estas verdades que no puede ser tolerado. Con los reclamos de protección, aumentan las resistencias al reconocimiento de verdad.</w:t>
      </w:r>
    </w:p>
    <w:p w:rsidR="003804AC" w:rsidRDefault="00AF18A5" w:rsidP="00914D42">
      <w:r>
        <w:t xml:space="preserve">Los procesos de reconocimiento de responsabilidad se han dado también como parte de </w:t>
      </w:r>
      <w:r>
        <w:rPr>
          <w:spacing w:val="-2"/>
        </w:rPr>
        <w:t>otros</w:t>
      </w:r>
      <w:r>
        <w:rPr>
          <w:spacing w:val="-6"/>
        </w:rPr>
        <w:t xml:space="preserve"> </w:t>
      </w:r>
      <w:r>
        <w:rPr>
          <w:spacing w:val="-2"/>
        </w:rPr>
        <w:t>testimonios</w:t>
      </w:r>
      <w:r>
        <w:rPr>
          <w:spacing w:val="-5"/>
        </w:rPr>
        <w:t xml:space="preserve"> </w:t>
      </w:r>
      <w:r>
        <w:rPr>
          <w:spacing w:val="-2"/>
        </w:rPr>
        <w:t>y</w:t>
      </w:r>
      <w:r>
        <w:rPr>
          <w:spacing w:val="-6"/>
        </w:rPr>
        <w:t xml:space="preserve"> </w:t>
      </w:r>
      <w:r>
        <w:rPr>
          <w:spacing w:val="-2"/>
        </w:rPr>
        <w:t>contribuciones</w:t>
      </w:r>
      <w:r>
        <w:rPr>
          <w:spacing w:val="-5"/>
        </w:rPr>
        <w:t xml:space="preserve"> </w:t>
      </w:r>
      <w:r>
        <w:rPr>
          <w:spacing w:val="-2"/>
        </w:rPr>
        <w:t>a</w:t>
      </w:r>
      <w:r>
        <w:rPr>
          <w:spacing w:val="-6"/>
        </w:rPr>
        <w:t xml:space="preserve"> </w:t>
      </w:r>
      <w:r>
        <w:rPr>
          <w:spacing w:val="-2"/>
        </w:rPr>
        <w:t>la</w:t>
      </w:r>
      <w:r>
        <w:rPr>
          <w:spacing w:val="-5"/>
        </w:rPr>
        <w:t xml:space="preserve"> </w:t>
      </w:r>
      <w:r>
        <w:rPr>
          <w:spacing w:val="-2"/>
        </w:rPr>
        <w:t>verdad</w:t>
      </w:r>
      <w:r>
        <w:rPr>
          <w:spacing w:val="-5"/>
        </w:rPr>
        <w:t xml:space="preserve"> </w:t>
      </w:r>
      <w:r>
        <w:rPr>
          <w:spacing w:val="-2"/>
        </w:rPr>
        <w:t>de</w:t>
      </w:r>
      <w:r>
        <w:rPr>
          <w:spacing w:val="-6"/>
        </w:rPr>
        <w:t xml:space="preserve"> </w:t>
      </w:r>
      <w:r>
        <w:rPr>
          <w:spacing w:val="-2"/>
        </w:rPr>
        <w:t>los</w:t>
      </w:r>
      <w:r>
        <w:rPr>
          <w:spacing w:val="-5"/>
        </w:rPr>
        <w:t xml:space="preserve"> </w:t>
      </w:r>
      <w:r>
        <w:rPr>
          <w:spacing w:val="-2"/>
        </w:rPr>
        <w:t>responsables.</w:t>
      </w:r>
      <w:r>
        <w:rPr>
          <w:spacing w:val="-5"/>
        </w:rPr>
        <w:t xml:space="preserve"> </w:t>
      </w:r>
      <w:r>
        <w:rPr>
          <w:spacing w:val="-2"/>
        </w:rPr>
        <w:t>Por</w:t>
      </w:r>
      <w:r>
        <w:rPr>
          <w:spacing w:val="-6"/>
        </w:rPr>
        <w:t xml:space="preserve"> </w:t>
      </w:r>
      <w:r>
        <w:rPr>
          <w:spacing w:val="-2"/>
        </w:rPr>
        <w:t>ejemplo,</w:t>
      </w:r>
      <w:r>
        <w:rPr>
          <w:spacing w:val="-5"/>
        </w:rPr>
        <w:t xml:space="preserve"> </w:t>
      </w:r>
      <w:r>
        <w:rPr>
          <w:spacing w:val="-2"/>
        </w:rPr>
        <w:t>los</w:t>
      </w:r>
      <w:r>
        <w:rPr>
          <w:spacing w:val="-6"/>
        </w:rPr>
        <w:t xml:space="preserve"> </w:t>
      </w:r>
      <w:r>
        <w:rPr>
          <w:spacing w:val="-2"/>
        </w:rPr>
        <w:t xml:space="preserve">miembros </w:t>
      </w:r>
      <w:r>
        <w:t>de</w:t>
      </w:r>
      <w:r>
        <w:rPr>
          <w:spacing w:val="-4"/>
        </w:rPr>
        <w:t xml:space="preserve"> </w:t>
      </w:r>
      <w:r>
        <w:t>la</w:t>
      </w:r>
      <w:r>
        <w:rPr>
          <w:spacing w:val="-6"/>
        </w:rPr>
        <w:t xml:space="preserve"> </w:t>
      </w:r>
      <w:r>
        <w:t>fuerza</w:t>
      </w:r>
      <w:r>
        <w:rPr>
          <w:spacing w:val="-6"/>
        </w:rPr>
        <w:t xml:space="preserve"> </w:t>
      </w:r>
      <w:r>
        <w:t>pública</w:t>
      </w:r>
      <w:r>
        <w:rPr>
          <w:spacing w:val="-6"/>
        </w:rPr>
        <w:t xml:space="preserve"> </w:t>
      </w:r>
      <w:r>
        <w:t>reconocieron</w:t>
      </w:r>
      <w:r>
        <w:rPr>
          <w:spacing w:val="-6"/>
        </w:rPr>
        <w:t xml:space="preserve"> </w:t>
      </w:r>
      <w:r>
        <w:t>la</w:t>
      </w:r>
      <w:r>
        <w:rPr>
          <w:spacing w:val="-6"/>
        </w:rPr>
        <w:t xml:space="preserve"> </w:t>
      </w:r>
      <w:r>
        <w:t>existencia</w:t>
      </w:r>
      <w:r>
        <w:rPr>
          <w:spacing w:val="-6"/>
        </w:rPr>
        <w:t xml:space="preserve"> </w:t>
      </w:r>
      <w:r>
        <w:t>de</w:t>
      </w:r>
      <w:r>
        <w:rPr>
          <w:spacing w:val="-4"/>
        </w:rPr>
        <w:t xml:space="preserve"> </w:t>
      </w:r>
      <w:r>
        <w:t>factores</w:t>
      </w:r>
      <w:r>
        <w:rPr>
          <w:spacing w:val="-4"/>
        </w:rPr>
        <w:t xml:space="preserve"> </w:t>
      </w:r>
      <w:r>
        <w:t>que</w:t>
      </w:r>
      <w:r>
        <w:rPr>
          <w:spacing w:val="-4"/>
        </w:rPr>
        <w:t xml:space="preserve"> </w:t>
      </w:r>
      <w:r>
        <w:t>han</w:t>
      </w:r>
      <w:r>
        <w:rPr>
          <w:spacing w:val="-5"/>
        </w:rPr>
        <w:t xml:space="preserve"> </w:t>
      </w:r>
      <w:r>
        <w:t>propiciado</w:t>
      </w:r>
      <w:r>
        <w:rPr>
          <w:spacing w:val="-5"/>
        </w:rPr>
        <w:t xml:space="preserve"> </w:t>
      </w:r>
      <w:r>
        <w:t>el</w:t>
      </w:r>
      <w:r>
        <w:rPr>
          <w:spacing w:val="-4"/>
        </w:rPr>
        <w:t xml:space="preserve"> </w:t>
      </w:r>
      <w:r>
        <w:t>aumento</w:t>
      </w:r>
      <w:r>
        <w:rPr>
          <w:spacing w:val="-5"/>
        </w:rPr>
        <w:t xml:space="preserve"> </w:t>
      </w:r>
      <w:r>
        <w:t>de acciones</w:t>
      </w:r>
      <w:r>
        <w:rPr>
          <w:spacing w:val="-3"/>
        </w:rPr>
        <w:t xml:space="preserve"> </w:t>
      </w:r>
      <w:r>
        <w:t>delictivas</w:t>
      </w:r>
      <w:r>
        <w:rPr>
          <w:spacing w:val="-3"/>
        </w:rPr>
        <w:t xml:space="preserve"> </w:t>
      </w:r>
      <w:r>
        <w:t>por</w:t>
      </w:r>
      <w:r>
        <w:rPr>
          <w:spacing w:val="-3"/>
        </w:rPr>
        <w:t xml:space="preserve"> </w:t>
      </w:r>
      <w:r>
        <w:t>parte</w:t>
      </w:r>
      <w:r>
        <w:rPr>
          <w:spacing w:val="-3"/>
        </w:rPr>
        <w:t xml:space="preserve"> </w:t>
      </w:r>
      <w:r>
        <w:t>de</w:t>
      </w:r>
      <w:r>
        <w:rPr>
          <w:spacing w:val="-4"/>
        </w:rPr>
        <w:t xml:space="preserve"> </w:t>
      </w:r>
      <w:r>
        <w:t>sus</w:t>
      </w:r>
      <w:r>
        <w:rPr>
          <w:spacing w:val="-3"/>
        </w:rPr>
        <w:t xml:space="preserve"> </w:t>
      </w:r>
      <w:r>
        <w:t>instituciones,</w:t>
      </w:r>
      <w:r>
        <w:rPr>
          <w:spacing w:val="-5"/>
        </w:rPr>
        <w:t xml:space="preserve"> </w:t>
      </w:r>
      <w:r>
        <w:t>como</w:t>
      </w:r>
      <w:r>
        <w:rPr>
          <w:spacing w:val="-3"/>
        </w:rPr>
        <w:t xml:space="preserve"> </w:t>
      </w:r>
      <w:r>
        <w:t>el</w:t>
      </w:r>
      <w:r>
        <w:rPr>
          <w:spacing w:val="-3"/>
        </w:rPr>
        <w:t xml:space="preserve"> </w:t>
      </w:r>
      <w:r>
        <w:t>enriquecimiento</w:t>
      </w:r>
      <w:r>
        <w:rPr>
          <w:spacing w:val="-3"/>
        </w:rPr>
        <w:t xml:space="preserve"> </w:t>
      </w:r>
      <w:r>
        <w:t>fácil,</w:t>
      </w:r>
      <w:r>
        <w:rPr>
          <w:spacing w:val="-3"/>
        </w:rPr>
        <w:t xml:space="preserve"> </w:t>
      </w:r>
      <w:r>
        <w:t>las</w:t>
      </w:r>
      <w:r>
        <w:rPr>
          <w:spacing w:val="-3"/>
        </w:rPr>
        <w:t xml:space="preserve"> </w:t>
      </w:r>
      <w:r>
        <w:t>órdenes de</w:t>
      </w:r>
      <w:r>
        <w:rPr>
          <w:spacing w:val="-15"/>
        </w:rPr>
        <w:t xml:space="preserve"> </w:t>
      </w:r>
      <w:r>
        <w:t>dar</w:t>
      </w:r>
      <w:r>
        <w:rPr>
          <w:spacing w:val="-15"/>
        </w:rPr>
        <w:t xml:space="preserve"> </w:t>
      </w:r>
      <w:r>
        <w:t>«resultados»</w:t>
      </w:r>
      <w:r>
        <w:rPr>
          <w:spacing w:val="-15"/>
        </w:rPr>
        <w:t xml:space="preserve"> </w:t>
      </w:r>
      <w:r>
        <w:t>en</w:t>
      </w:r>
      <w:r>
        <w:rPr>
          <w:spacing w:val="-15"/>
        </w:rPr>
        <w:t xml:space="preserve"> </w:t>
      </w:r>
      <w:r>
        <w:t>términos</w:t>
      </w:r>
      <w:r>
        <w:rPr>
          <w:spacing w:val="-15"/>
        </w:rPr>
        <w:t xml:space="preserve"> </w:t>
      </w:r>
      <w:r>
        <w:t>de</w:t>
      </w:r>
      <w:r>
        <w:rPr>
          <w:spacing w:val="-15"/>
        </w:rPr>
        <w:t xml:space="preserve"> </w:t>
      </w:r>
      <w:r>
        <w:t>«guerrilleros</w:t>
      </w:r>
      <w:r>
        <w:rPr>
          <w:spacing w:val="-15"/>
        </w:rPr>
        <w:t xml:space="preserve"> </w:t>
      </w:r>
      <w:r>
        <w:t>muertos»</w:t>
      </w:r>
      <w:r>
        <w:rPr>
          <w:spacing w:val="-15"/>
        </w:rPr>
        <w:t xml:space="preserve"> </w:t>
      </w:r>
      <w:r>
        <w:t>o</w:t>
      </w:r>
      <w:r>
        <w:rPr>
          <w:spacing w:val="-15"/>
        </w:rPr>
        <w:t xml:space="preserve"> </w:t>
      </w:r>
      <w:r>
        <w:t>las</w:t>
      </w:r>
      <w:r>
        <w:rPr>
          <w:spacing w:val="-15"/>
        </w:rPr>
        <w:t xml:space="preserve"> </w:t>
      </w:r>
      <w:r>
        <w:t>presiones</w:t>
      </w:r>
      <w:r>
        <w:rPr>
          <w:spacing w:val="-15"/>
        </w:rPr>
        <w:t xml:space="preserve"> </w:t>
      </w:r>
      <w:r>
        <w:t>de</w:t>
      </w:r>
      <w:r>
        <w:rPr>
          <w:spacing w:val="-15"/>
        </w:rPr>
        <w:t xml:space="preserve"> </w:t>
      </w:r>
      <w:r>
        <w:t>mandos</w:t>
      </w:r>
      <w:r>
        <w:rPr>
          <w:spacing w:val="-15"/>
        </w:rPr>
        <w:t xml:space="preserve"> </w:t>
      </w:r>
      <w:r>
        <w:t>o</w:t>
      </w:r>
      <w:r>
        <w:rPr>
          <w:spacing w:val="-15"/>
        </w:rPr>
        <w:t xml:space="preserve"> </w:t>
      </w:r>
      <w:r>
        <w:t>grupos de</w:t>
      </w:r>
      <w:r>
        <w:rPr>
          <w:spacing w:val="-6"/>
        </w:rPr>
        <w:t xml:space="preserve"> </w:t>
      </w:r>
      <w:r>
        <w:t>poder</w:t>
      </w:r>
      <w:r>
        <w:rPr>
          <w:spacing w:val="-6"/>
        </w:rPr>
        <w:t xml:space="preserve"> </w:t>
      </w:r>
      <w:r>
        <w:t>al</w:t>
      </w:r>
      <w:r>
        <w:rPr>
          <w:spacing w:val="-6"/>
        </w:rPr>
        <w:t xml:space="preserve"> </w:t>
      </w:r>
      <w:r>
        <w:t>interior</w:t>
      </w:r>
      <w:r>
        <w:rPr>
          <w:spacing w:val="-6"/>
        </w:rPr>
        <w:t xml:space="preserve"> </w:t>
      </w:r>
      <w:r>
        <w:t>de</w:t>
      </w:r>
      <w:r>
        <w:rPr>
          <w:spacing w:val="-6"/>
        </w:rPr>
        <w:t xml:space="preserve"> </w:t>
      </w:r>
      <w:r>
        <w:t>las</w:t>
      </w:r>
      <w:r>
        <w:rPr>
          <w:spacing w:val="-6"/>
        </w:rPr>
        <w:t xml:space="preserve"> </w:t>
      </w:r>
      <w:r>
        <w:t>instituciones.</w:t>
      </w:r>
      <w:r>
        <w:rPr>
          <w:spacing w:val="-6"/>
        </w:rPr>
        <w:t xml:space="preserve"> </w:t>
      </w:r>
      <w:r>
        <w:t>Estos</w:t>
      </w:r>
      <w:r>
        <w:rPr>
          <w:spacing w:val="-6"/>
        </w:rPr>
        <w:t xml:space="preserve"> </w:t>
      </w:r>
      <w:r>
        <w:t>factores</w:t>
      </w:r>
      <w:r>
        <w:rPr>
          <w:spacing w:val="-6"/>
        </w:rPr>
        <w:t xml:space="preserve"> </w:t>
      </w:r>
      <w:r>
        <w:t>han</w:t>
      </w:r>
      <w:r>
        <w:rPr>
          <w:spacing w:val="-6"/>
        </w:rPr>
        <w:t xml:space="preserve"> </w:t>
      </w:r>
      <w:r>
        <w:t>afectado</w:t>
      </w:r>
      <w:r>
        <w:rPr>
          <w:spacing w:val="-6"/>
        </w:rPr>
        <w:t xml:space="preserve"> </w:t>
      </w:r>
      <w:r>
        <w:t>directamente</w:t>
      </w:r>
      <w:r>
        <w:rPr>
          <w:spacing w:val="-6"/>
        </w:rPr>
        <w:t xml:space="preserve"> </w:t>
      </w:r>
      <w:r>
        <w:t>lo</w:t>
      </w:r>
      <w:r>
        <w:rPr>
          <w:spacing w:val="-6"/>
        </w:rPr>
        <w:t xml:space="preserve"> </w:t>
      </w:r>
      <w:r>
        <w:t>que</w:t>
      </w:r>
      <w:r>
        <w:rPr>
          <w:spacing w:val="-6"/>
        </w:rPr>
        <w:t xml:space="preserve"> </w:t>
      </w:r>
      <w:r>
        <w:t>para ellos</w:t>
      </w:r>
      <w:r>
        <w:rPr>
          <w:spacing w:val="-2"/>
        </w:rPr>
        <w:t xml:space="preserve"> </w:t>
      </w:r>
      <w:r>
        <w:t>significa</w:t>
      </w:r>
      <w:r>
        <w:rPr>
          <w:spacing w:val="-2"/>
        </w:rPr>
        <w:t xml:space="preserve"> </w:t>
      </w:r>
      <w:r>
        <w:t>el</w:t>
      </w:r>
      <w:r>
        <w:rPr>
          <w:spacing w:val="-2"/>
        </w:rPr>
        <w:t xml:space="preserve"> </w:t>
      </w:r>
      <w:r>
        <w:t>«honor</w:t>
      </w:r>
      <w:r>
        <w:rPr>
          <w:spacing w:val="-2"/>
        </w:rPr>
        <w:t xml:space="preserve"> </w:t>
      </w:r>
      <w:r>
        <w:t>militar»</w:t>
      </w:r>
      <w:r>
        <w:rPr>
          <w:spacing w:val="-3"/>
        </w:rPr>
        <w:t xml:space="preserve"> </w:t>
      </w:r>
      <w:r>
        <w:t>y</w:t>
      </w:r>
      <w:r>
        <w:rPr>
          <w:spacing w:val="-3"/>
        </w:rPr>
        <w:t xml:space="preserve"> </w:t>
      </w:r>
      <w:r>
        <w:t>los</w:t>
      </w:r>
      <w:r>
        <w:rPr>
          <w:spacing w:val="-1"/>
        </w:rPr>
        <w:t xml:space="preserve"> </w:t>
      </w:r>
      <w:r>
        <w:t>principios</w:t>
      </w:r>
      <w:r>
        <w:rPr>
          <w:spacing w:val="-2"/>
        </w:rPr>
        <w:t xml:space="preserve"> </w:t>
      </w:r>
      <w:r>
        <w:t>y</w:t>
      </w:r>
      <w:r>
        <w:rPr>
          <w:spacing w:val="-3"/>
        </w:rPr>
        <w:t xml:space="preserve"> </w:t>
      </w:r>
      <w:r>
        <w:t>objetivos</w:t>
      </w:r>
      <w:r>
        <w:rPr>
          <w:spacing w:val="-3"/>
        </w:rPr>
        <w:t xml:space="preserve"> </w:t>
      </w:r>
      <w:r>
        <w:t>de</w:t>
      </w:r>
      <w:r>
        <w:rPr>
          <w:spacing w:val="-2"/>
        </w:rPr>
        <w:t xml:space="preserve"> </w:t>
      </w:r>
      <w:r>
        <w:t>la</w:t>
      </w:r>
      <w:r>
        <w:rPr>
          <w:spacing w:val="-2"/>
        </w:rPr>
        <w:t xml:space="preserve"> </w:t>
      </w:r>
      <w:r>
        <w:t>fuerza</w:t>
      </w:r>
      <w:r>
        <w:rPr>
          <w:spacing w:val="-3"/>
        </w:rPr>
        <w:t xml:space="preserve"> </w:t>
      </w:r>
      <w:r>
        <w:t>pública</w:t>
      </w:r>
      <w:r>
        <w:rPr>
          <w:spacing w:val="-2"/>
        </w:rPr>
        <w:t xml:space="preserve"> </w:t>
      </w:r>
      <w:r>
        <w:t>en</w:t>
      </w:r>
      <w:r>
        <w:rPr>
          <w:spacing w:val="-3"/>
        </w:rPr>
        <w:t xml:space="preserve"> </w:t>
      </w:r>
      <w:r>
        <w:rPr>
          <w:spacing w:val="-2"/>
        </w:rPr>
        <w:t>general.</w:t>
      </w:r>
    </w:p>
    <w:p w:rsidR="003804AC" w:rsidRDefault="00AF18A5" w:rsidP="00914D42">
      <w:r>
        <w:rPr>
          <w:i/>
        </w:rPr>
        <w:t>«</w:t>
      </w:r>
      <w:r>
        <w:t>En las escuelas de formación se empezó a degradar nuestra guerra, nuestros principios [...] nos volvimos un Ejército de cuidadores de terratenientes, de empresarios, un Ejército que</w:t>
      </w:r>
      <w:r>
        <w:rPr>
          <w:spacing w:val="-15"/>
        </w:rPr>
        <w:t xml:space="preserve"> </w:t>
      </w:r>
      <w:r>
        <w:t>perdió</w:t>
      </w:r>
      <w:r>
        <w:rPr>
          <w:spacing w:val="-15"/>
        </w:rPr>
        <w:t xml:space="preserve"> </w:t>
      </w:r>
      <w:r>
        <w:t>su</w:t>
      </w:r>
      <w:r>
        <w:rPr>
          <w:spacing w:val="-15"/>
        </w:rPr>
        <w:t xml:space="preserve"> </w:t>
      </w:r>
      <w:r>
        <w:t>destino</w:t>
      </w:r>
      <w:r>
        <w:rPr>
          <w:spacing w:val="-15"/>
        </w:rPr>
        <w:t xml:space="preserve"> </w:t>
      </w:r>
      <w:r>
        <w:t>[...]</w:t>
      </w:r>
      <w:r>
        <w:rPr>
          <w:spacing w:val="-15"/>
        </w:rPr>
        <w:t xml:space="preserve"> </w:t>
      </w:r>
      <w:r>
        <w:t>el</w:t>
      </w:r>
      <w:r>
        <w:rPr>
          <w:spacing w:val="-15"/>
        </w:rPr>
        <w:t xml:space="preserve"> </w:t>
      </w:r>
      <w:r>
        <w:t>dinero</w:t>
      </w:r>
      <w:r>
        <w:rPr>
          <w:spacing w:val="-15"/>
        </w:rPr>
        <w:t xml:space="preserve"> </w:t>
      </w:r>
      <w:r>
        <w:t>y</w:t>
      </w:r>
      <w:r>
        <w:rPr>
          <w:spacing w:val="-15"/>
        </w:rPr>
        <w:t xml:space="preserve"> </w:t>
      </w:r>
      <w:r>
        <w:t>el</w:t>
      </w:r>
      <w:r>
        <w:rPr>
          <w:spacing w:val="-15"/>
        </w:rPr>
        <w:t xml:space="preserve"> </w:t>
      </w:r>
      <w:r>
        <w:t>narcotráfico</w:t>
      </w:r>
      <w:r>
        <w:rPr>
          <w:spacing w:val="-15"/>
        </w:rPr>
        <w:t xml:space="preserve"> </w:t>
      </w:r>
      <w:r>
        <w:t>como</w:t>
      </w:r>
      <w:r>
        <w:rPr>
          <w:spacing w:val="-15"/>
        </w:rPr>
        <w:t xml:space="preserve"> </w:t>
      </w:r>
      <w:r>
        <w:t>a</w:t>
      </w:r>
      <w:r>
        <w:rPr>
          <w:spacing w:val="-15"/>
        </w:rPr>
        <w:t xml:space="preserve"> </w:t>
      </w:r>
      <w:r>
        <w:t>todas</w:t>
      </w:r>
      <w:r>
        <w:rPr>
          <w:spacing w:val="-15"/>
        </w:rPr>
        <w:t xml:space="preserve"> </w:t>
      </w:r>
      <w:r>
        <w:t>las</w:t>
      </w:r>
      <w:r>
        <w:rPr>
          <w:spacing w:val="-15"/>
        </w:rPr>
        <w:t xml:space="preserve"> </w:t>
      </w:r>
      <w:r>
        <w:t>instituciones</w:t>
      </w:r>
      <w:r>
        <w:rPr>
          <w:spacing w:val="-15"/>
        </w:rPr>
        <w:t xml:space="preserve"> </w:t>
      </w:r>
      <w:r>
        <w:t xml:space="preserve">corrompió, no </w:t>
      </w:r>
      <w:r>
        <w:lastRenderedPageBreak/>
        <w:t>podemos decir que eso no existió»</w:t>
      </w:r>
      <w:r w:rsidR="00914D42">
        <w:rPr>
          <w:rStyle w:val="Refdenotaalpie"/>
        </w:rPr>
        <w:footnoteReference w:id="1156"/>
      </w:r>
      <w:r>
        <w:t>.</w:t>
      </w:r>
    </w:p>
    <w:p w:rsidR="0011361F" w:rsidRDefault="00AF18A5" w:rsidP="00914D42">
      <w:r>
        <w:t>Entre</w:t>
      </w:r>
      <w:r>
        <w:rPr>
          <w:spacing w:val="-6"/>
        </w:rPr>
        <w:t xml:space="preserve"> </w:t>
      </w:r>
      <w:r>
        <w:t>los</w:t>
      </w:r>
      <w:r>
        <w:rPr>
          <w:spacing w:val="-6"/>
        </w:rPr>
        <w:t xml:space="preserve"> </w:t>
      </w:r>
      <w:r>
        <w:t>miembros</w:t>
      </w:r>
      <w:r>
        <w:rPr>
          <w:spacing w:val="-6"/>
        </w:rPr>
        <w:t xml:space="preserve"> </w:t>
      </w:r>
      <w:r>
        <w:t>de</w:t>
      </w:r>
      <w:r>
        <w:rPr>
          <w:spacing w:val="-6"/>
        </w:rPr>
        <w:t xml:space="preserve"> </w:t>
      </w:r>
      <w:r>
        <w:t>la</w:t>
      </w:r>
      <w:r>
        <w:rPr>
          <w:spacing w:val="-7"/>
        </w:rPr>
        <w:t xml:space="preserve"> </w:t>
      </w:r>
      <w:r>
        <w:t>fuerza</w:t>
      </w:r>
      <w:r>
        <w:rPr>
          <w:spacing w:val="-6"/>
        </w:rPr>
        <w:t xml:space="preserve"> </w:t>
      </w:r>
      <w:r>
        <w:t>pública</w:t>
      </w:r>
      <w:r>
        <w:rPr>
          <w:spacing w:val="-6"/>
        </w:rPr>
        <w:t xml:space="preserve"> </w:t>
      </w:r>
      <w:r>
        <w:t>pesan</w:t>
      </w:r>
      <w:r>
        <w:rPr>
          <w:spacing w:val="-6"/>
        </w:rPr>
        <w:t xml:space="preserve"> </w:t>
      </w:r>
      <w:r>
        <w:t>dos</w:t>
      </w:r>
      <w:r>
        <w:rPr>
          <w:spacing w:val="-6"/>
        </w:rPr>
        <w:t xml:space="preserve"> </w:t>
      </w:r>
      <w:r>
        <w:t>factores</w:t>
      </w:r>
      <w:r>
        <w:rPr>
          <w:spacing w:val="-6"/>
        </w:rPr>
        <w:t xml:space="preserve"> </w:t>
      </w:r>
      <w:r>
        <w:t>importantes</w:t>
      </w:r>
      <w:r>
        <w:rPr>
          <w:spacing w:val="-6"/>
        </w:rPr>
        <w:t xml:space="preserve"> </w:t>
      </w:r>
      <w:r>
        <w:t>que</w:t>
      </w:r>
      <w:r>
        <w:rPr>
          <w:spacing w:val="-6"/>
        </w:rPr>
        <w:t xml:space="preserve"> </w:t>
      </w:r>
      <w:r>
        <w:t>los</w:t>
      </w:r>
      <w:r>
        <w:rPr>
          <w:spacing w:val="-6"/>
        </w:rPr>
        <w:t xml:space="preserve"> </w:t>
      </w:r>
      <w:r>
        <w:t>motivan</w:t>
      </w:r>
      <w:r>
        <w:rPr>
          <w:spacing w:val="-6"/>
        </w:rPr>
        <w:t xml:space="preserve"> </w:t>
      </w:r>
      <w:r>
        <w:t>a reconocer.</w:t>
      </w:r>
      <w:r>
        <w:rPr>
          <w:spacing w:val="-5"/>
        </w:rPr>
        <w:t xml:space="preserve"> </w:t>
      </w:r>
      <w:r>
        <w:t>Por</w:t>
      </w:r>
      <w:r>
        <w:rPr>
          <w:spacing w:val="-4"/>
        </w:rPr>
        <w:t xml:space="preserve"> </w:t>
      </w:r>
      <w:r>
        <w:t>una</w:t>
      </w:r>
      <w:r>
        <w:rPr>
          <w:spacing w:val="-5"/>
        </w:rPr>
        <w:t xml:space="preserve"> </w:t>
      </w:r>
      <w:r>
        <w:t>parte,</w:t>
      </w:r>
      <w:r>
        <w:rPr>
          <w:spacing w:val="-6"/>
        </w:rPr>
        <w:t xml:space="preserve"> </w:t>
      </w:r>
      <w:r>
        <w:t>haber</w:t>
      </w:r>
      <w:r>
        <w:rPr>
          <w:spacing w:val="-4"/>
        </w:rPr>
        <w:t xml:space="preserve"> </w:t>
      </w:r>
      <w:r>
        <w:t>estado</w:t>
      </w:r>
      <w:r>
        <w:rPr>
          <w:spacing w:val="-5"/>
        </w:rPr>
        <w:t xml:space="preserve"> </w:t>
      </w:r>
      <w:r>
        <w:t>privados</w:t>
      </w:r>
      <w:r>
        <w:rPr>
          <w:spacing w:val="-5"/>
        </w:rPr>
        <w:t xml:space="preserve"> </w:t>
      </w:r>
      <w:r>
        <w:t>de</w:t>
      </w:r>
      <w:r>
        <w:rPr>
          <w:spacing w:val="-5"/>
        </w:rPr>
        <w:t xml:space="preserve"> </w:t>
      </w:r>
      <w:r>
        <w:t>la</w:t>
      </w:r>
      <w:r>
        <w:rPr>
          <w:spacing w:val="-5"/>
        </w:rPr>
        <w:t xml:space="preserve"> </w:t>
      </w:r>
      <w:r>
        <w:t>libertad</w:t>
      </w:r>
      <w:r>
        <w:rPr>
          <w:spacing w:val="-6"/>
        </w:rPr>
        <w:t xml:space="preserve"> </w:t>
      </w:r>
      <w:r>
        <w:t>y</w:t>
      </w:r>
      <w:r>
        <w:rPr>
          <w:spacing w:val="-5"/>
        </w:rPr>
        <w:t xml:space="preserve"> </w:t>
      </w:r>
      <w:r>
        <w:t>las</w:t>
      </w:r>
      <w:r>
        <w:rPr>
          <w:spacing w:val="-5"/>
        </w:rPr>
        <w:t xml:space="preserve"> </w:t>
      </w:r>
      <w:r>
        <w:t>condiciones</w:t>
      </w:r>
      <w:r>
        <w:rPr>
          <w:spacing w:val="-5"/>
        </w:rPr>
        <w:t xml:space="preserve"> </w:t>
      </w:r>
      <w:r>
        <w:t>de</w:t>
      </w:r>
      <w:r>
        <w:rPr>
          <w:spacing w:val="-5"/>
        </w:rPr>
        <w:t xml:space="preserve"> </w:t>
      </w:r>
      <w:r>
        <w:t>reclusión. El</w:t>
      </w:r>
      <w:r>
        <w:rPr>
          <w:spacing w:val="-13"/>
        </w:rPr>
        <w:t xml:space="preserve"> </w:t>
      </w:r>
      <w:r>
        <w:t>subsecuente</w:t>
      </w:r>
      <w:r>
        <w:rPr>
          <w:spacing w:val="-13"/>
        </w:rPr>
        <w:t xml:space="preserve"> </w:t>
      </w:r>
      <w:r>
        <w:t>abandono,</w:t>
      </w:r>
      <w:r>
        <w:rPr>
          <w:spacing w:val="-13"/>
        </w:rPr>
        <w:t xml:space="preserve"> </w:t>
      </w:r>
      <w:r>
        <w:t>la</w:t>
      </w:r>
      <w:r>
        <w:rPr>
          <w:spacing w:val="-13"/>
        </w:rPr>
        <w:t xml:space="preserve"> </w:t>
      </w:r>
      <w:r>
        <w:t>crisis</w:t>
      </w:r>
      <w:r>
        <w:rPr>
          <w:spacing w:val="-13"/>
        </w:rPr>
        <w:t xml:space="preserve"> </w:t>
      </w:r>
      <w:r>
        <w:t>económica</w:t>
      </w:r>
      <w:r>
        <w:rPr>
          <w:spacing w:val="-13"/>
        </w:rPr>
        <w:t xml:space="preserve"> </w:t>
      </w:r>
      <w:r>
        <w:t>o</w:t>
      </w:r>
      <w:r>
        <w:rPr>
          <w:spacing w:val="-13"/>
        </w:rPr>
        <w:t xml:space="preserve"> </w:t>
      </w:r>
      <w:r>
        <w:t>el</w:t>
      </w:r>
      <w:r>
        <w:rPr>
          <w:spacing w:val="-14"/>
        </w:rPr>
        <w:t xml:space="preserve"> </w:t>
      </w:r>
      <w:r>
        <w:t>sentimiento</w:t>
      </w:r>
      <w:r>
        <w:rPr>
          <w:spacing w:val="-14"/>
        </w:rPr>
        <w:t xml:space="preserve"> </w:t>
      </w:r>
      <w:r>
        <w:t>de</w:t>
      </w:r>
      <w:r>
        <w:rPr>
          <w:spacing w:val="-13"/>
        </w:rPr>
        <w:t xml:space="preserve"> </w:t>
      </w:r>
      <w:r>
        <w:t>soledad</w:t>
      </w:r>
      <w:r>
        <w:rPr>
          <w:spacing w:val="-13"/>
        </w:rPr>
        <w:t xml:space="preserve"> </w:t>
      </w:r>
      <w:r>
        <w:t>por</w:t>
      </w:r>
      <w:r>
        <w:rPr>
          <w:spacing w:val="-13"/>
        </w:rPr>
        <w:t xml:space="preserve"> </w:t>
      </w:r>
      <w:r>
        <w:t>largos</w:t>
      </w:r>
      <w:r>
        <w:rPr>
          <w:spacing w:val="-13"/>
        </w:rPr>
        <w:t xml:space="preserve"> </w:t>
      </w:r>
      <w:r>
        <w:t>periodos hacen que afloren sentimientos de vergüenza y reflexiones sobre la conducta. Por otro</w:t>
      </w:r>
      <w:r>
        <w:rPr>
          <w:spacing w:val="-1"/>
        </w:rPr>
        <w:t xml:space="preserve"> </w:t>
      </w:r>
      <w:r>
        <w:t>lado, la necesidad de «quitarse un peso de encima», de descargar y aliviar por un deber moral, antes que por convicciones políticas.</w:t>
      </w:r>
    </w:p>
    <w:p w:rsidR="003804AC" w:rsidRDefault="00AF18A5" w:rsidP="00914D42">
      <w:bookmarkStart w:id="1461" w:name="_bookmark1282"/>
      <w:bookmarkEnd w:id="1461"/>
      <w:r>
        <w:t>Para muchos, reconocer es una reivindicación con su propia conciencia y una deuda con sus seres queridos. Implica vencer uno de los más grandes temores, que es romper con su identidad como «héroes» frente a la</w:t>
      </w:r>
      <w:r>
        <w:rPr>
          <w:spacing w:val="-1"/>
        </w:rPr>
        <w:t xml:space="preserve"> </w:t>
      </w:r>
      <w:r>
        <w:t>sociedad y el imaginario</w:t>
      </w:r>
      <w:r>
        <w:rPr>
          <w:spacing w:val="-1"/>
        </w:rPr>
        <w:t xml:space="preserve"> </w:t>
      </w:r>
      <w:r>
        <w:t>de «hombre correcto» frente a su propia</w:t>
      </w:r>
      <w:r>
        <w:rPr>
          <w:spacing w:val="-1"/>
        </w:rPr>
        <w:t xml:space="preserve"> </w:t>
      </w:r>
      <w:r>
        <w:t>familia. Han tenido que confrontarse</w:t>
      </w:r>
      <w:r>
        <w:rPr>
          <w:spacing w:val="-1"/>
        </w:rPr>
        <w:t xml:space="preserve"> </w:t>
      </w:r>
      <w:r>
        <w:t>con el sentido del «ser militar» y</w:t>
      </w:r>
      <w:r>
        <w:rPr>
          <w:spacing w:val="-1"/>
        </w:rPr>
        <w:t xml:space="preserve"> </w:t>
      </w:r>
      <w:r>
        <w:t>su rol en la sociedad, con las violaciones que ellos cometieron, siendo parte de la institución de las Fuerzas Militares, donde los mecanismos colectivos y organizativos funcionaron como un contexto que favoreció o encubrió las violaciones. Decir la verdad después de muchos años permite</w:t>
      </w:r>
      <w:r>
        <w:rPr>
          <w:spacing w:val="-8"/>
        </w:rPr>
        <w:t xml:space="preserve"> </w:t>
      </w:r>
      <w:r>
        <w:t>recobrar</w:t>
      </w:r>
      <w:r>
        <w:rPr>
          <w:spacing w:val="-7"/>
        </w:rPr>
        <w:t xml:space="preserve"> </w:t>
      </w:r>
      <w:r>
        <w:t>un</w:t>
      </w:r>
      <w:r>
        <w:rPr>
          <w:spacing w:val="-8"/>
        </w:rPr>
        <w:t xml:space="preserve"> </w:t>
      </w:r>
      <w:r>
        <w:t>lugar</w:t>
      </w:r>
      <w:r>
        <w:rPr>
          <w:spacing w:val="-7"/>
        </w:rPr>
        <w:t xml:space="preserve"> </w:t>
      </w:r>
      <w:r>
        <w:t>ético</w:t>
      </w:r>
      <w:r>
        <w:rPr>
          <w:spacing w:val="-7"/>
        </w:rPr>
        <w:t xml:space="preserve"> </w:t>
      </w:r>
      <w:r>
        <w:t>y</w:t>
      </w:r>
      <w:r>
        <w:rPr>
          <w:spacing w:val="-7"/>
        </w:rPr>
        <w:t xml:space="preserve"> </w:t>
      </w:r>
      <w:r>
        <w:t>hacer</w:t>
      </w:r>
      <w:r>
        <w:rPr>
          <w:spacing w:val="-7"/>
        </w:rPr>
        <w:t xml:space="preserve"> </w:t>
      </w:r>
      <w:r>
        <w:t>una</w:t>
      </w:r>
      <w:r>
        <w:rPr>
          <w:spacing w:val="-7"/>
        </w:rPr>
        <w:t xml:space="preserve"> </w:t>
      </w:r>
      <w:r>
        <w:t>reflexión</w:t>
      </w:r>
      <w:r>
        <w:rPr>
          <w:spacing w:val="-7"/>
        </w:rPr>
        <w:t xml:space="preserve"> </w:t>
      </w:r>
      <w:r>
        <w:t>distinta</w:t>
      </w:r>
      <w:r>
        <w:rPr>
          <w:spacing w:val="-7"/>
        </w:rPr>
        <w:t xml:space="preserve"> </w:t>
      </w:r>
      <w:r>
        <w:t>sobre</w:t>
      </w:r>
      <w:r>
        <w:rPr>
          <w:spacing w:val="-7"/>
        </w:rPr>
        <w:t xml:space="preserve"> </w:t>
      </w:r>
      <w:r>
        <w:t>la</w:t>
      </w:r>
      <w:r>
        <w:rPr>
          <w:spacing w:val="-7"/>
        </w:rPr>
        <w:t xml:space="preserve"> </w:t>
      </w:r>
      <w:r>
        <w:t>«verdadera»</w:t>
      </w:r>
      <w:r>
        <w:rPr>
          <w:spacing w:val="-7"/>
        </w:rPr>
        <w:t xml:space="preserve"> </w:t>
      </w:r>
      <w:r>
        <w:t>valentía</w:t>
      </w:r>
      <w:r>
        <w:rPr>
          <w:spacing w:val="-7"/>
        </w:rPr>
        <w:t xml:space="preserve"> </w:t>
      </w:r>
      <w:r>
        <w:t>y el</w:t>
      </w:r>
      <w:r>
        <w:rPr>
          <w:spacing w:val="-6"/>
        </w:rPr>
        <w:t xml:space="preserve"> </w:t>
      </w:r>
      <w:r>
        <w:t>honor</w:t>
      </w:r>
      <w:r>
        <w:rPr>
          <w:spacing w:val="-6"/>
        </w:rPr>
        <w:t xml:space="preserve"> </w:t>
      </w:r>
      <w:r>
        <w:t>perdido</w:t>
      </w:r>
      <w:r>
        <w:rPr>
          <w:spacing w:val="-6"/>
        </w:rPr>
        <w:t xml:space="preserve"> </w:t>
      </w:r>
      <w:r>
        <w:t>cuando</w:t>
      </w:r>
      <w:r>
        <w:rPr>
          <w:spacing w:val="-7"/>
        </w:rPr>
        <w:t xml:space="preserve"> </w:t>
      </w:r>
      <w:r>
        <w:t>no</w:t>
      </w:r>
      <w:r>
        <w:rPr>
          <w:spacing w:val="-6"/>
        </w:rPr>
        <w:t xml:space="preserve"> </w:t>
      </w:r>
      <w:r>
        <w:t>fueron</w:t>
      </w:r>
      <w:r>
        <w:rPr>
          <w:spacing w:val="-6"/>
        </w:rPr>
        <w:t xml:space="preserve"> </w:t>
      </w:r>
      <w:r>
        <w:t>capaces</w:t>
      </w:r>
      <w:r>
        <w:rPr>
          <w:spacing w:val="-6"/>
        </w:rPr>
        <w:t xml:space="preserve"> </w:t>
      </w:r>
      <w:r>
        <w:t>de</w:t>
      </w:r>
      <w:r>
        <w:rPr>
          <w:spacing w:val="-6"/>
        </w:rPr>
        <w:t xml:space="preserve"> </w:t>
      </w:r>
      <w:r>
        <w:t>negarse</w:t>
      </w:r>
      <w:r>
        <w:rPr>
          <w:spacing w:val="-6"/>
        </w:rPr>
        <w:t xml:space="preserve"> </w:t>
      </w:r>
      <w:r>
        <w:t>a</w:t>
      </w:r>
      <w:r>
        <w:rPr>
          <w:spacing w:val="-6"/>
        </w:rPr>
        <w:t xml:space="preserve"> </w:t>
      </w:r>
      <w:r>
        <w:t>hacer</w:t>
      </w:r>
      <w:r>
        <w:rPr>
          <w:spacing w:val="-6"/>
        </w:rPr>
        <w:t xml:space="preserve"> </w:t>
      </w:r>
      <w:r>
        <w:t>algo</w:t>
      </w:r>
      <w:r>
        <w:rPr>
          <w:spacing w:val="-6"/>
        </w:rPr>
        <w:t xml:space="preserve"> </w:t>
      </w:r>
      <w:r>
        <w:t>en</w:t>
      </w:r>
      <w:r>
        <w:rPr>
          <w:spacing w:val="-7"/>
        </w:rPr>
        <w:t xml:space="preserve"> </w:t>
      </w:r>
      <w:r>
        <w:t>contra</w:t>
      </w:r>
      <w:r>
        <w:rPr>
          <w:spacing w:val="-6"/>
        </w:rPr>
        <w:t xml:space="preserve"> </w:t>
      </w:r>
      <w:r>
        <w:t>de</w:t>
      </w:r>
      <w:r>
        <w:rPr>
          <w:spacing w:val="-7"/>
        </w:rPr>
        <w:t xml:space="preserve"> </w:t>
      </w:r>
      <w:r>
        <w:t>su</w:t>
      </w:r>
      <w:r>
        <w:rPr>
          <w:spacing w:val="-6"/>
        </w:rPr>
        <w:t xml:space="preserve"> </w:t>
      </w:r>
      <w:r>
        <w:t>voluntad, o cuando accedieron a hacerlo buscando beneficios.</w:t>
      </w:r>
    </w:p>
    <w:p w:rsidR="003804AC" w:rsidRDefault="00AF18A5" w:rsidP="009E689E">
      <w:r>
        <w:t>Sin</w:t>
      </w:r>
      <w:r>
        <w:rPr>
          <w:spacing w:val="-6"/>
        </w:rPr>
        <w:t xml:space="preserve"> </w:t>
      </w:r>
      <w:r>
        <w:t>embargo,</w:t>
      </w:r>
      <w:r>
        <w:rPr>
          <w:spacing w:val="-6"/>
        </w:rPr>
        <w:t xml:space="preserve"> </w:t>
      </w:r>
      <w:r>
        <w:t>ha</w:t>
      </w:r>
      <w:r>
        <w:rPr>
          <w:spacing w:val="-6"/>
        </w:rPr>
        <w:t xml:space="preserve"> </w:t>
      </w:r>
      <w:r>
        <w:t>existido</w:t>
      </w:r>
      <w:r>
        <w:rPr>
          <w:spacing w:val="-7"/>
        </w:rPr>
        <w:t xml:space="preserve"> </w:t>
      </w:r>
      <w:r>
        <w:t>una</w:t>
      </w:r>
      <w:r>
        <w:rPr>
          <w:spacing w:val="-6"/>
        </w:rPr>
        <w:t xml:space="preserve"> </w:t>
      </w:r>
      <w:r>
        <w:t>mayor</w:t>
      </w:r>
      <w:r>
        <w:rPr>
          <w:spacing w:val="-6"/>
        </w:rPr>
        <w:t xml:space="preserve"> </w:t>
      </w:r>
      <w:r>
        <w:t>dificultad</w:t>
      </w:r>
      <w:r>
        <w:rPr>
          <w:spacing w:val="-6"/>
        </w:rPr>
        <w:t xml:space="preserve"> </w:t>
      </w:r>
      <w:r>
        <w:t>para</w:t>
      </w:r>
      <w:r>
        <w:rPr>
          <w:spacing w:val="-6"/>
        </w:rPr>
        <w:t xml:space="preserve"> </w:t>
      </w:r>
      <w:r>
        <w:t>el</w:t>
      </w:r>
      <w:r>
        <w:rPr>
          <w:spacing w:val="-6"/>
        </w:rPr>
        <w:t xml:space="preserve"> </w:t>
      </w:r>
      <w:r>
        <w:t>reconocimiento</w:t>
      </w:r>
      <w:r>
        <w:rPr>
          <w:spacing w:val="-6"/>
        </w:rPr>
        <w:t xml:space="preserve"> </w:t>
      </w:r>
      <w:r>
        <w:t>según</w:t>
      </w:r>
      <w:r>
        <w:rPr>
          <w:spacing w:val="-6"/>
        </w:rPr>
        <w:t xml:space="preserve"> </w:t>
      </w:r>
      <w:r>
        <w:t>se</w:t>
      </w:r>
      <w:r>
        <w:rPr>
          <w:spacing w:val="-6"/>
        </w:rPr>
        <w:t xml:space="preserve"> </w:t>
      </w:r>
      <w:r>
        <w:t>avanza</w:t>
      </w:r>
      <w:r>
        <w:rPr>
          <w:spacing w:val="-7"/>
        </w:rPr>
        <w:t xml:space="preserve"> </w:t>
      </w:r>
      <w:r>
        <w:t xml:space="preserve">en escala de rango en la jerarquía militar, aunque algunos altos mandos han participado. A la vez que ha sido una exigencia de las víctimas, que ven así reconocidos los mecanismos que </w:t>
      </w:r>
      <w:r>
        <w:lastRenderedPageBreak/>
        <w:t>hicieron eso posible. La pregunta que muchos de ellos hicieron públicamente sobre cómo restablecer la confianza de la sociedad y de las víctimas necesita también una respuesta institucional y colectiva. La continuidad de los procesos de reconocimiento por parte de miembros</w:t>
      </w:r>
      <w:r>
        <w:rPr>
          <w:spacing w:val="-7"/>
        </w:rPr>
        <w:t xml:space="preserve"> </w:t>
      </w:r>
      <w:r>
        <w:t>de</w:t>
      </w:r>
      <w:r>
        <w:rPr>
          <w:spacing w:val="-7"/>
        </w:rPr>
        <w:t xml:space="preserve"> </w:t>
      </w:r>
      <w:r>
        <w:t>la</w:t>
      </w:r>
      <w:r>
        <w:rPr>
          <w:spacing w:val="-7"/>
        </w:rPr>
        <w:t xml:space="preserve"> </w:t>
      </w:r>
      <w:r>
        <w:t>fuerza</w:t>
      </w:r>
      <w:r>
        <w:rPr>
          <w:spacing w:val="-7"/>
        </w:rPr>
        <w:t xml:space="preserve"> </w:t>
      </w:r>
      <w:r>
        <w:t>pública</w:t>
      </w:r>
      <w:r>
        <w:rPr>
          <w:spacing w:val="-7"/>
        </w:rPr>
        <w:t xml:space="preserve"> </w:t>
      </w:r>
      <w:r>
        <w:t>depende</w:t>
      </w:r>
      <w:r>
        <w:rPr>
          <w:spacing w:val="-7"/>
        </w:rPr>
        <w:t xml:space="preserve"> </w:t>
      </w:r>
      <w:r>
        <w:t>en</w:t>
      </w:r>
      <w:r>
        <w:rPr>
          <w:spacing w:val="-7"/>
        </w:rPr>
        <w:t xml:space="preserve"> </w:t>
      </w:r>
      <w:r>
        <w:t>gran</w:t>
      </w:r>
      <w:r>
        <w:rPr>
          <w:spacing w:val="-7"/>
        </w:rPr>
        <w:t xml:space="preserve"> </w:t>
      </w:r>
      <w:r>
        <w:t>medida</w:t>
      </w:r>
      <w:r>
        <w:rPr>
          <w:spacing w:val="-7"/>
        </w:rPr>
        <w:t xml:space="preserve"> </w:t>
      </w:r>
      <w:r>
        <w:t>de</w:t>
      </w:r>
      <w:r>
        <w:rPr>
          <w:spacing w:val="-7"/>
        </w:rPr>
        <w:t xml:space="preserve"> </w:t>
      </w:r>
      <w:r>
        <w:t>la</w:t>
      </w:r>
      <w:r>
        <w:rPr>
          <w:spacing w:val="-7"/>
        </w:rPr>
        <w:t xml:space="preserve"> </w:t>
      </w:r>
      <w:r>
        <w:t>legitimidad</w:t>
      </w:r>
      <w:r>
        <w:rPr>
          <w:spacing w:val="-7"/>
        </w:rPr>
        <w:t xml:space="preserve"> </w:t>
      </w:r>
      <w:r>
        <w:t>y</w:t>
      </w:r>
      <w:r>
        <w:rPr>
          <w:spacing w:val="-7"/>
        </w:rPr>
        <w:t xml:space="preserve"> </w:t>
      </w:r>
      <w:r>
        <w:t>confiabilidad</w:t>
      </w:r>
      <w:r>
        <w:rPr>
          <w:spacing w:val="-7"/>
        </w:rPr>
        <w:t xml:space="preserve"> </w:t>
      </w:r>
      <w:r>
        <w:t xml:space="preserve">que les ofrezca la entidad que los agencie, así como de las actitudes institucionales hacia el </w:t>
      </w:r>
      <w:r>
        <w:rPr>
          <w:spacing w:val="-2"/>
        </w:rPr>
        <w:t>reconocimiento.</w:t>
      </w:r>
    </w:p>
    <w:p w:rsidR="003804AC" w:rsidRPr="009E689E" w:rsidRDefault="00AF18A5" w:rsidP="009E689E">
      <w:r>
        <w:t>El</w:t>
      </w:r>
      <w:r>
        <w:rPr>
          <w:spacing w:val="-7"/>
        </w:rPr>
        <w:t xml:space="preserve"> </w:t>
      </w:r>
      <w:r>
        <w:t>paso</w:t>
      </w:r>
      <w:r>
        <w:rPr>
          <w:spacing w:val="-7"/>
        </w:rPr>
        <w:t xml:space="preserve"> </w:t>
      </w:r>
      <w:r>
        <w:t>de</w:t>
      </w:r>
      <w:r>
        <w:rPr>
          <w:spacing w:val="-7"/>
        </w:rPr>
        <w:t xml:space="preserve"> </w:t>
      </w:r>
      <w:r>
        <w:t>los</w:t>
      </w:r>
      <w:r>
        <w:rPr>
          <w:spacing w:val="-7"/>
        </w:rPr>
        <w:t xml:space="preserve"> </w:t>
      </w:r>
      <w:r>
        <w:t>exmiembros</w:t>
      </w:r>
      <w:r>
        <w:rPr>
          <w:spacing w:val="-7"/>
        </w:rPr>
        <w:t xml:space="preserve"> </w:t>
      </w:r>
      <w:r>
        <w:t>de</w:t>
      </w:r>
      <w:r>
        <w:rPr>
          <w:spacing w:val="-7"/>
        </w:rPr>
        <w:t xml:space="preserve"> </w:t>
      </w:r>
      <w:r>
        <w:t>las</w:t>
      </w:r>
      <w:r>
        <w:rPr>
          <w:spacing w:val="-7"/>
        </w:rPr>
        <w:t xml:space="preserve"> </w:t>
      </w:r>
      <w:r>
        <w:t>AUC</w:t>
      </w:r>
      <w:r>
        <w:rPr>
          <w:spacing w:val="-8"/>
        </w:rPr>
        <w:t xml:space="preserve"> </w:t>
      </w:r>
      <w:r>
        <w:t>por</w:t>
      </w:r>
      <w:r>
        <w:rPr>
          <w:spacing w:val="-7"/>
        </w:rPr>
        <w:t xml:space="preserve"> </w:t>
      </w:r>
      <w:r>
        <w:t>la</w:t>
      </w:r>
      <w:r>
        <w:rPr>
          <w:spacing w:val="-7"/>
        </w:rPr>
        <w:t xml:space="preserve"> </w:t>
      </w:r>
      <w:r>
        <w:t>Ley</w:t>
      </w:r>
      <w:r>
        <w:rPr>
          <w:spacing w:val="-7"/>
        </w:rPr>
        <w:t xml:space="preserve"> </w:t>
      </w:r>
      <w:r>
        <w:t>de</w:t>
      </w:r>
      <w:r>
        <w:rPr>
          <w:spacing w:val="-7"/>
        </w:rPr>
        <w:t xml:space="preserve"> </w:t>
      </w:r>
      <w:r>
        <w:t>Justicia</w:t>
      </w:r>
      <w:r>
        <w:rPr>
          <w:spacing w:val="-7"/>
        </w:rPr>
        <w:t xml:space="preserve"> </w:t>
      </w:r>
      <w:r>
        <w:t>y</w:t>
      </w:r>
      <w:r>
        <w:rPr>
          <w:spacing w:val="-7"/>
        </w:rPr>
        <w:t xml:space="preserve"> </w:t>
      </w:r>
      <w:r>
        <w:t>Paz</w:t>
      </w:r>
      <w:r>
        <w:rPr>
          <w:spacing w:val="-7"/>
        </w:rPr>
        <w:t xml:space="preserve"> </w:t>
      </w:r>
      <w:r>
        <w:t>continúa</w:t>
      </w:r>
      <w:r>
        <w:rPr>
          <w:spacing w:val="-7"/>
        </w:rPr>
        <w:t xml:space="preserve"> </w:t>
      </w:r>
      <w:r>
        <w:t>marcando</w:t>
      </w:r>
      <w:r>
        <w:rPr>
          <w:spacing w:val="-7"/>
        </w:rPr>
        <w:t xml:space="preserve"> </w:t>
      </w:r>
      <w:r>
        <w:t>su forma de participación en los procesos de reconocimiento, aunque tener la posibilidad de estar hoy en un escenario de justicia transicional reviste otro sentido, otra intención. Los responsables</w:t>
      </w:r>
      <w:r>
        <w:rPr>
          <w:spacing w:val="-6"/>
        </w:rPr>
        <w:t xml:space="preserve"> </w:t>
      </w:r>
      <w:r>
        <w:t>exmiembros</w:t>
      </w:r>
      <w:r>
        <w:rPr>
          <w:spacing w:val="-5"/>
        </w:rPr>
        <w:t xml:space="preserve"> </w:t>
      </w:r>
      <w:r>
        <w:t>de</w:t>
      </w:r>
      <w:r>
        <w:rPr>
          <w:spacing w:val="-4"/>
        </w:rPr>
        <w:t xml:space="preserve"> </w:t>
      </w:r>
      <w:r>
        <w:t>las</w:t>
      </w:r>
      <w:r>
        <w:rPr>
          <w:spacing w:val="-4"/>
        </w:rPr>
        <w:t xml:space="preserve"> </w:t>
      </w:r>
      <w:r>
        <w:t>AUC</w:t>
      </w:r>
      <w:r>
        <w:rPr>
          <w:spacing w:val="-5"/>
        </w:rPr>
        <w:t xml:space="preserve"> </w:t>
      </w:r>
      <w:r>
        <w:t>han</w:t>
      </w:r>
      <w:r>
        <w:rPr>
          <w:spacing w:val="-5"/>
        </w:rPr>
        <w:t xml:space="preserve"> </w:t>
      </w:r>
      <w:r>
        <w:t>transitado</w:t>
      </w:r>
      <w:r>
        <w:rPr>
          <w:spacing w:val="-5"/>
        </w:rPr>
        <w:t xml:space="preserve"> </w:t>
      </w:r>
      <w:r>
        <w:t>por</w:t>
      </w:r>
      <w:r>
        <w:rPr>
          <w:spacing w:val="-5"/>
        </w:rPr>
        <w:t xml:space="preserve"> </w:t>
      </w:r>
      <w:r>
        <w:t>lugares</w:t>
      </w:r>
      <w:r>
        <w:rPr>
          <w:spacing w:val="-4"/>
        </w:rPr>
        <w:t xml:space="preserve"> </w:t>
      </w:r>
      <w:r>
        <w:t>distintos</w:t>
      </w:r>
      <w:r>
        <w:rPr>
          <w:spacing w:val="-6"/>
        </w:rPr>
        <w:t xml:space="preserve"> </w:t>
      </w:r>
      <w:r>
        <w:t>a</w:t>
      </w:r>
      <w:r>
        <w:rPr>
          <w:spacing w:val="-4"/>
        </w:rPr>
        <w:t xml:space="preserve"> </w:t>
      </w:r>
      <w:r>
        <w:t>los</w:t>
      </w:r>
      <w:r>
        <w:rPr>
          <w:spacing w:val="-4"/>
        </w:rPr>
        <w:t xml:space="preserve"> </w:t>
      </w:r>
      <w:r>
        <w:t>otros</w:t>
      </w:r>
      <w:r>
        <w:rPr>
          <w:spacing w:val="-6"/>
        </w:rPr>
        <w:t xml:space="preserve"> </w:t>
      </w:r>
      <w:r>
        <w:t>actores responsables, debido a la forma jurídica que tomaron sus procesos en el marco de la Ley de Justicia</w:t>
      </w:r>
      <w:r>
        <w:rPr>
          <w:spacing w:val="-4"/>
        </w:rPr>
        <w:t xml:space="preserve"> </w:t>
      </w:r>
      <w:r>
        <w:t>y</w:t>
      </w:r>
      <w:r>
        <w:rPr>
          <w:spacing w:val="-4"/>
        </w:rPr>
        <w:t xml:space="preserve"> </w:t>
      </w:r>
      <w:r>
        <w:t>Paz</w:t>
      </w:r>
      <w:r w:rsidR="009E689E">
        <w:rPr>
          <w:rStyle w:val="Refdenotaalpie"/>
        </w:rPr>
        <w:footnoteReference w:id="1157"/>
      </w:r>
      <w:r>
        <w:t>.</w:t>
      </w:r>
      <w:r>
        <w:rPr>
          <w:spacing w:val="-4"/>
        </w:rPr>
        <w:t xml:space="preserve"> </w:t>
      </w:r>
      <w:r>
        <w:t>Los</w:t>
      </w:r>
      <w:r>
        <w:rPr>
          <w:spacing w:val="-4"/>
        </w:rPr>
        <w:t xml:space="preserve"> </w:t>
      </w:r>
      <w:r>
        <w:t>crímenes</w:t>
      </w:r>
      <w:r>
        <w:rPr>
          <w:spacing w:val="-4"/>
        </w:rPr>
        <w:t xml:space="preserve"> </w:t>
      </w:r>
      <w:r>
        <w:t>y</w:t>
      </w:r>
      <w:r>
        <w:rPr>
          <w:spacing w:val="-4"/>
        </w:rPr>
        <w:t xml:space="preserve"> </w:t>
      </w:r>
      <w:r>
        <w:t>violaciones</w:t>
      </w:r>
      <w:r>
        <w:rPr>
          <w:spacing w:val="-4"/>
        </w:rPr>
        <w:t xml:space="preserve"> </w:t>
      </w:r>
      <w:r>
        <w:t>cometidos</w:t>
      </w:r>
      <w:r>
        <w:rPr>
          <w:spacing w:val="-4"/>
        </w:rPr>
        <w:t xml:space="preserve"> </w:t>
      </w:r>
      <w:r>
        <w:t>por</w:t>
      </w:r>
      <w:r>
        <w:rPr>
          <w:spacing w:val="-4"/>
        </w:rPr>
        <w:t xml:space="preserve"> </w:t>
      </w:r>
      <w:r>
        <w:t>las</w:t>
      </w:r>
      <w:r>
        <w:rPr>
          <w:spacing w:val="-5"/>
        </w:rPr>
        <w:t xml:space="preserve"> </w:t>
      </w:r>
      <w:r>
        <w:t>AUC</w:t>
      </w:r>
      <w:r>
        <w:rPr>
          <w:spacing w:val="-5"/>
        </w:rPr>
        <w:t xml:space="preserve"> </w:t>
      </w:r>
      <w:r>
        <w:t>han</w:t>
      </w:r>
      <w:r>
        <w:rPr>
          <w:spacing w:val="-4"/>
        </w:rPr>
        <w:t xml:space="preserve"> </w:t>
      </w:r>
      <w:r>
        <w:t>sido</w:t>
      </w:r>
      <w:r>
        <w:rPr>
          <w:spacing w:val="-4"/>
        </w:rPr>
        <w:t xml:space="preserve"> </w:t>
      </w:r>
      <w:r>
        <w:t>expuestos</w:t>
      </w:r>
      <w:r>
        <w:rPr>
          <w:spacing w:val="-4"/>
        </w:rPr>
        <w:t xml:space="preserve"> </w:t>
      </w:r>
      <w:r>
        <w:t>en el</w:t>
      </w:r>
      <w:r>
        <w:rPr>
          <w:spacing w:val="-6"/>
        </w:rPr>
        <w:t xml:space="preserve"> </w:t>
      </w:r>
      <w:r>
        <w:t>marco</w:t>
      </w:r>
      <w:r>
        <w:rPr>
          <w:spacing w:val="-5"/>
        </w:rPr>
        <w:t xml:space="preserve"> </w:t>
      </w:r>
      <w:r>
        <w:t>de</w:t>
      </w:r>
      <w:r>
        <w:rPr>
          <w:spacing w:val="-5"/>
        </w:rPr>
        <w:t xml:space="preserve"> </w:t>
      </w:r>
      <w:r>
        <w:t>las</w:t>
      </w:r>
      <w:r>
        <w:rPr>
          <w:spacing w:val="-5"/>
        </w:rPr>
        <w:t xml:space="preserve"> </w:t>
      </w:r>
      <w:r>
        <w:t>audiencias</w:t>
      </w:r>
      <w:r>
        <w:rPr>
          <w:spacing w:val="-4"/>
        </w:rPr>
        <w:t xml:space="preserve"> </w:t>
      </w:r>
      <w:r>
        <w:t>de</w:t>
      </w:r>
      <w:r>
        <w:rPr>
          <w:spacing w:val="-5"/>
        </w:rPr>
        <w:t xml:space="preserve"> </w:t>
      </w:r>
      <w:r>
        <w:t>Justicia</w:t>
      </w:r>
      <w:r>
        <w:rPr>
          <w:spacing w:val="-4"/>
        </w:rPr>
        <w:t xml:space="preserve"> </w:t>
      </w:r>
      <w:r>
        <w:t>y</w:t>
      </w:r>
      <w:r>
        <w:rPr>
          <w:spacing w:val="-5"/>
        </w:rPr>
        <w:t xml:space="preserve"> </w:t>
      </w:r>
      <w:r>
        <w:t>Paz.</w:t>
      </w:r>
      <w:r>
        <w:rPr>
          <w:spacing w:val="-4"/>
        </w:rPr>
        <w:t xml:space="preserve"> </w:t>
      </w:r>
      <w:r>
        <w:t>La</w:t>
      </w:r>
      <w:r>
        <w:rPr>
          <w:spacing w:val="-6"/>
        </w:rPr>
        <w:t xml:space="preserve"> </w:t>
      </w:r>
      <w:r>
        <w:t>diferencia</w:t>
      </w:r>
      <w:r>
        <w:rPr>
          <w:spacing w:val="-4"/>
        </w:rPr>
        <w:t xml:space="preserve"> </w:t>
      </w:r>
      <w:r>
        <w:t>fundamental</w:t>
      </w:r>
      <w:r>
        <w:rPr>
          <w:spacing w:val="-4"/>
        </w:rPr>
        <w:t xml:space="preserve"> </w:t>
      </w:r>
      <w:r>
        <w:t>con</w:t>
      </w:r>
      <w:r>
        <w:rPr>
          <w:spacing w:val="-4"/>
        </w:rPr>
        <w:t xml:space="preserve"> </w:t>
      </w:r>
      <w:r>
        <w:t>los</w:t>
      </w:r>
      <w:r>
        <w:rPr>
          <w:spacing w:val="-5"/>
        </w:rPr>
        <w:t xml:space="preserve"> </w:t>
      </w:r>
      <w:r>
        <w:t>procesos</w:t>
      </w:r>
      <w:r>
        <w:rPr>
          <w:spacing w:val="-4"/>
        </w:rPr>
        <w:t xml:space="preserve"> </w:t>
      </w:r>
      <w:r>
        <w:rPr>
          <w:spacing w:val="-5"/>
        </w:rPr>
        <w:t>que</w:t>
      </w:r>
      <w:bookmarkStart w:id="1462" w:name="_bookmark1283"/>
      <w:bookmarkEnd w:id="1462"/>
      <w:r w:rsidR="009E689E">
        <w:rPr>
          <w:spacing w:val="-5"/>
        </w:rPr>
        <w:t xml:space="preserve"> </w:t>
      </w:r>
      <w:r>
        <w:t>ha</w:t>
      </w:r>
      <w:r>
        <w:rPr>
          <w:spacing w:val="-7"/>
        </w:rPr>
        <w:t xml:space="preserve"> </w:t>
      </w:r>
      <w:r>
        <w:t>adelantado</w:t>
      </w:r>
      <w:r>
        <w:rPr>
          <w:spacing w:val="-7"/>
        </w:rPr>
        <w:t xml:space="preserve"> </w:t>
      </w:r>
      <w:r>
        <w:t>la</w:t>
      </w:r>
      <w:r>
        <w:rPr>
          <w:spacing w:val="-7"/>
        </w:rPr>
        <w:t xml:space="preserve"> </w:t>
      </w:r>
      <w:r>
        <w:t>Comisión</w:t>
      </w:r>
      <w:r>
        <w:rPr>
          <w:spacing w:val="-7"/>
        </w:rPr>
        <w:t xml:space="preserve"> </w:t>
      </w:r>
      <w:r>
        <w:t>radica</w:t>
      </w:r>
      <w:r>
        <w:rPr>
          <w:spacing w:val="-7"/>
        </w:rPr>
        <w:t xml:space="preserve"> </w:t>
      </w:r>
      <w:r>
        <w:t>en</w:t>
      </w:r>
      <w:r>
        <w:rPr>
          <w:spacing w:val="-8"/>
        </w:rPr>
        <w:t xml:space="preserve"> </w:t>
      </w:r>
      <w:r>
        <w:t>la</w:t>
      </w:r>
      <w:r>
        <w:rPr>
          <w:spacing w:val="-7"/>
        </w:rPr>
        <w:t xml:space="preserve"> </w:t>
      </w:r>
      <w:r>
        <w:t>posibilidad</w:t>
      </w:r>
      <w:r>
        <w:rPr>
          <w:spacing w:val="-7"/>
        </w:rPr>
        <w:t xml:space="preserve"> </w:t>
      </w:r>
      <w:r>
        <w:t>que</w:t>
      </w:r>
      <w:r>
        <w:rPr>
          <w:spacing w:val="-7"/>
        </w:rPr>
        <w:t xml:space="preserve"> </w:t>
      </w:r>
      <w:r>
        <w:t>han</w:t>
      </w:r>
      <w:r>
        <w:rPr>
          <w:spacing w:val="-7"/>
        </w:rPr>
        <w:t xml:space="preserve"> </w:t>
      </w:r>
      <w:r>
        <w:t>tenido</w:t>
      </w:r>
      <w:r>
        <w:rPr>
          <w:spacing w:val="-7"/>
        </w:rPr>
        <w:t xml:space="preserve"> </w:t>
      </w:r>
      <w:r>
        <w:t>los</w:t>
      </w:r>
      <w:r>
        <w:rPr>
          <w:spacing w:val="-8"/>
        </w:rPr>
        <w:t xml:space="preserve"> </w:t>
      </w:r>
      <w:r>
        <w:t>responsables</w:t>
      </w:r>
      <w:r>
        <w:rPr>
          <w:spacing w:val="-7"/>
        </w:rPr>
        <w:t xml:space="preserve"> </w:t>
      </w:r>
      <w:r>
        <w:t>de</w:t>
      </w:r>
      <w:r>
        <w:rPr>
          <w:spacing w:val="-8"/>
        </w:rPr>
        <w:t xml:space="preserve"> </w:t>
      </w:r>
      <w:r>
        <w:t>hablar de</w:t>
      </w:r>
      <w:r>
        <w:rPr>
          <w:spacing w:val="-6"/>
        </w:rPr>
        <w:t xml:space="preserve"> </w:t>
      </w:r>
      <w:r>
        <w:t>sus</w:t>
      </w:r>
      <w:r>
        <w:rPr>
          <w:spacing w:val="-6"/>
        </w:rPr>
        <w:t xml:space="preserve"> </w:t>
      </w:r>
      <w:r>
        <w:t>acciones</w:t>
      </w:r>
      <w:r>
        <w:rPr>
          <w:spacing w:val="-6"/>
        </w:rPr>
        <w:t xml:space="preserve"> </w:t>
      </w:r>
      <w:r>
        <w:t>desde</w:t>
      </w:r>
      <w:r>
        <w:rPr>
          <w:spacing w:val="-6"/>
        </w:rPr>
        <w:t xml:space="preserve"> </w:t>
      </w:r>
      <w:r>
        <w:t>un</w:t>
      </w:r>
      <w:r>
        <w:rPr>
          <w:spacing w:val="-7"/>
        </w:rPr>
        <w:t xml:space="preserve"> </w:t>
      </w:r>
      <w:r>
        <w:t>lugar</w:t>
      </w:r>
      <w:r>
        <w:rPr>
          <w:spacing w:val="-6"/>
        </w:rPr>
        <w:t xml:space="preserve"> </w:t>
      </w:r>
      <w:r>
        <w:t>distinto</w:t>
      </w:r>
      <w:r>
        <w:rPr>
          <w:spacing w:val="-6"/>
        </w:rPr>
        <w:t xml:space="preserve"> </w:t>
      </w:r>
      <w:r>
        <w:t>al</w:t>
      </w:r>
      <w:r>
        <w:rPr>
          <w:spacing w:val="-6"/>
        </w:rPr>
        <w:t xml:space="preserve"> </w:t>
      </w:r>
      <w:r>
        <w:t>jurídico.</w:t>
      </w:r>
      <w:r>
        <w:rPr>
          <w:spacing w:val="-7"/>
        </w:rPr>
        <w:t xml:space="preserve"> </w:t>
      </w:r>
      <w:r>
        <w:t>Sus</w:t>
      </w:r>
      <w:r>
        <w:rPr>
          <w:spacing w:val="-6"/>
        </w:rPr>
        <w:t xml:space="preserve"> </w:t>
      </w:r>
      <w:r>
        <w:t>testimonios</w:t>
      </w:r>
      <w:r>
        <w:rPr>
          <w:spacing w:val="-6"/>
        </w:rPr>
        <w:t xml:space="preserve"> </w:t>
      </w:r>
      <w:r>
        <w:t>iniciaron</w:t>
      </w:r>
      <w:r>
        <w:rPr>
          <w:spacing w:val="-6"/>
        </w:rPr>
        <w:t xml:space="preserve"> </w:t>
      </w:r>
      <w:r>
        <w:t>hace</w:t>
      </w:r>
      <w:r>
        <w:rPr>
          <w:spacing w:val="-6"/>
        </w:rPr>
        <w:t xml:space="preserve"> </w:t>
      </w:r>
      <w:r>
        <w:t>años</w:t>
      </w:r>
      <w:r>
        <w:rPr>
          <w:spacing w:val="-7"/>
        </w:rPr>
        <w:t xml:space="preserve"> </w:t>
      </w:r>
      <w:r>
        <w:t>en</w:t>
      </w:r>
      <w:r>
        <w:rPr>
          <w:spacing w:val="-6"/>
        </w:rPr>
        <w:t xml:space="preserve"> </w:t>
      </w:r>
      <w:r>
        <w:t xml:space="preserve">un contexto de tratar de evitar largas condenas, pero también entre el miedo a reconocer las complicidades con las Fuerzas Militares y de Policía, así como con sectores económicos y políticos, es decir, la responsabilidad en un contexto más amplio de actores, sobre todo </w:t>
      </w:r>
      <w:r>
        <w:rPr>
          <w:spacing w:val="-2"/>
        </w:rPr>
        <w:t>institucionales.</w:t>
      </w:r>
    </w:p>
    <w:p w:rsidR="003804AC" w:rsidRDefault="00AF18A5" w:rsidP="009E689E">
      <w:r>
        <w:t>El problema en estos casos no es reconocer el número de hechos cometidos según rango y</w:t>
      </w:r>
      <w:r>
        <w:rPr>
          <w:spacing w:val="-1"/>
        </w:rPr>
        <w:t xml:space="preserve"> </w:t>
      </w:r>
      <w:r>
        <w:t>estructura</w:t>
      </w:r>
      <w:r>
        <w:rPr>
          <w:spacing w:val="-2"/>
        </w:rPr>
        <w:t xml:space="preserve"> </w:t>
      </w:r>
      <w:r>
        <w:t>jerárquica,</w:t>
      </w:r>
      <w:r>
        <w:rPr>
          <w:spacing w:val="-1"/>
        </w:rPr>
        <w:t xml:space="preserve"> </w:t>
      </w:r>
      <w:r>
        <w:t>sino</w:t>
      </w:r>
      <w:r>
        <w:rPr>
          <w:spacing w:val="-1"/>
        </w:rPr>
        <w:t xml:space="preserve"> </w:t>
      </w:r>
      <w:r>
        <w:t>hacerlo</w:t>
      </w:r>
      <w:r>
        <w:rPr>
          <w:spacing w:val="-3"/>
        </w:rPr>
        <w:t xml:space="preserve"> </w:t>
      </w:r>
      <w:r>
        <w:t>desde</w:t>
      </w:r>
      <w:r>
        <w:rPr>
          <w:spacing w:val="-1"/>
        </w:rPr>
        <w:t xml:space="preserve"> </w:t>
      </w:r>
      <w:r>
        <w:t>el</w:t>
      </w:r>
      <w:r>
        <w:rPr>
          <w:spacing w:val="-1"/>
        </w:rPr>
        <w:t xml:space="preserve"> </w:t>
      </w:r>
      <w:r>
        <w:lastRenderedPageBreak/>
        <w:t>aporte</w:t>
      </w:r>
      <w:r>
        <w:rPr>
          <w:spacing w:val="-1"/>
        </w:rPr>
        <w:t xml:space="preserve"> </w:t>
      </w:r>
      <w:r>
        <w:t>de</w:t>
      </w:r>
      <w:r>
        <w:rPr>
          <w:spacing w:val="-1"/>
        </w:rPr>
        <w:t xml:space="preserve"> </w:t>
      </w:r>
      <w:r>
        <w:t>la</w:t>
      </w:r>
      <w:r>
        <w:rPr>
          <w:spacing w:val="-1"/>
        </w:rPr>
        <w:t xml:space="preserve"> </w:t>
      </w:r>
      <w:r>
        <w:t>justicia</w:t>
      </w:r>
      <w:r>
        <w:rPr>
          <w:spacing w:val="-2"/>
        </w:rPr>
        <w:t xml:space="preserve"> </w:t>
      </w:r>
      <w:r>
        <w:t>transicional.</w:t>
      </w:r>
      <w:r>
        <w:rPr>
          <w:spacing w:val="-1"/>
        </w:rPr>
        <w:t xml:space="preserve"> </w:t>
      </w:r>
      <w:r>
        <w:t>En</w:t>
      </w:r>
      <w:r>
        <w:rPr>
          <w:spacing w:val="-1"/>
        </w:rPr>
        <w:t xml:space="preserve"> </w:t>
      </w:r>
      <w:r>
        <w:t>el</w:t>
      </w:r>
      <w:r>
        <w:rPr>
          <w:spacing w:val="-1"/>
        </w:rPr>
        <w:t xml:space="preserve"> </w:t>
      </w:r>
      <w:r>
        <w:t>proceso de Justicia y Paz se revelaron muchas verdades que trascendieron en el ámbito de los tribunales de justicia o de algunas informaciones periodísticas, pero no llevaron al conocimiento ni a la difusión masiva. Ni siquiera a una investigación de las complicidades que</w:t>
      </w:r>
      <w:r>
        <w:rPr>
          <w:spacing w:val="-9"/>
        </w:rPr>
        <w:t xml:space="preserve"> </w:t>
      </w:r>
      <w:r>
        <w:t>se</w:t>
      </w:r>
      <w:r>
        <w:rPr>
          <w:spacing w:val="-10"/>
        </w:rPr>
        <w:t xml:space="preserve"> </w:t>
      </w:r>
      <w:r>
        <w:t>revelaron</w:t>
      </w:r>
      <w:r>
        <w:rPr>
          <w:spacing w:val="-10"/>
        </w:rPr>
        <w:t xml:space="preserve"> </w:t>
      </w:r>
      <w:r>
        <w:t>en</w:t>
      </w:r>
      <w:r>
        <w:rPr>
          <w:spacing w:val="-10"/>
        </w:rPr>
        <w:t xml:space="preserve"> </w:t>
      </w:r>
      <w:r>
        <w:t>los</w:t>
      </w:r>
      <w:r>
        <w:rPr>
          <w:spacing w:val="-10"/>
        </w:rPr>
        <w:t xml:space="preserve"> </w:t>
      </w:r>
      <w:r>
        <w:t>procesos.</w:t>
      </w:r>
      <w:r>
        <w:rPr>
          <w:spacing w:val="-10"/>
        </w:rPr>
        <w:t xml:space="preserve"> </w:t>
      </w:r>
      <w:r>
        <w:t>Muchas</w:t>
      </w:r>
      <w:r>
        <w:rPr>
          <w:spacing w:val="-9"/>
        </w:rPr>
        <w:t xml:space="preserve"> </w:t>
      </w:r>
      <w:r>
        <w:t>veces</w:t>
      </w:r>
      <w:r>
        <w:rPr>
          <w:spacing w:val="-11"/>
        </w:rPr>
        <w:t xml:space="preserve"> </w:t>
      </w:r>
      <w:r>
        <w:t>la</w:t>
      </w:r>
      <w:r>
        <w:rPr>
          <w:spacing w:val="-9"/>
        </w:rPr>
        <w:t xml:space="preserve"> </w:t>
      </w:r>
      <w:r>
        <w:t>Comisión</w:t>
      </w:r>
      <w:r>
        <w:rPr>
          <w:spacing w:val="-11"/>
        </w:rPr>
        <w:t xml:space="preserve"> </w:t>
      </w:r>
      <w:r>
        <w:t>y</w:t>
      </w:r>
      <w:r>
        <w:rPr>
          <w:spacing w:val="-10"/>
        </w:rPr>
        <w:t xml:space="preserve"> </w:t>
      </w:r>
      <w:r>
        <w:t>las</w:t>
      </w:r>
      <w:r>
        <w:rPr>
          <w:spacing w:val="-9"/>
        </w:rPr>
        <w:t xml:space="preserve"> </w:t>
      </w:r>
      <w:r>
        <w:t>víctimas</w:t>
      </w:r>
      <w:r>
        <w:rPr>
          <w:spacing w:val="-10"/>
        </w:rPr>
        <w:t xml:space="preserve"> </w:t>
      </w:r>
      <w:r>
        <w:t>escucharon</w:t>
      </w:r>
      <w:r>
        <w:rPr>
          <w:spacing w:val="-11"/>
        </w:rPr>
        <w:t xml:space="preserve"> </w:t>
      </w:r>
      <w:r>
        <w:t>de</w:t>
      </w:r>
      <w:r>
        <w:rPr>
          <w:spacing w:val="-9"/>
        </w:rPr>
        <w:t xml:space="preserve"> </w:t>
      </w:r>
      <w:r>
        <w:t>los responsables del paramilitarismo decir: «Eso ya lo contamos en Justicia y Paz».</w:t>
      </w:r>
    </w:p>
    <w:p w:rsidR="003804AC" w:rsidRDefault="00AF18A5" w:rsidP="00644009">
      <w:r>
        <w:t>En este contexto, sus motivaciones para participar en los procesos de reconocimiento de responsabilidad</w:t>
      </w:r>
      <w:r>
        <w:rPr>
          <w:spacing w:val="45"/>
        </w:rPr>
        <w:t xml:space="preserve"> </w:t>
      </w:r>
      <w:r>
        <w:t>auspiciados</w:t>
      </w:r>
      <w:r>
        <w:rPr>
          <w:spacing w:val="46"/>
        </w:rPr>
        <w:t xml:space="preserve"> </w:t>
      </w:r>
      <w:r>
        <w:t>por</w:t>
      </w:r>
      <w:r>
        <w:rPr>
          <w:spacing w:val="46"/>
        </w:rPr>
        <w:t xml:space="preserve"> </w:t>
      </w:r>
      <w:r>
        <w:t>la</w:t>
      </w:r>
      <w:r>
        <w:rPr>
          <w:spacing w:val="44"/>
        </w:rPr>
        <w:t xml:space="preserve"> </w:t>
      </w:r>
      <w:r>
        <w:t>Comisión</w:t>
      </w:r>
      <w:r>
        <w:rPr>
          <w:spacing w:val="45"/>
        </w:rPr>
        <w:t xml:space="preserve"> </w:t>
      </w:r>
      <w:r>
        <w:t>pasan</w:t>
      </w:r>
      <w:r>
        <w:rPr>
          <w:spacing w:val="45"/>
        </w:rPr>
        <w:t xml:space="preserve"> </w:t>
      </w:r>
      <w:r>
        <w:t>por</w:t>
      </w:r>
      <w:r>
        <w:rPr>
          <w:spacing w:val="46"/>
        </w:rPr>
        <w:t xml:space="preserve"> </w:t>
      </w:r>
      <w:r>
        <w:t>recobrar</w:t>
      </w:r>
      <w:r>
        <w:rPr>
          <w:spacing w:val="46"/>
        </w:rPr>
        <w:t xml:space="preserve"> </w:t>
      </w:r>
      <w:r>
        <w:t>su</w:t>
      </w:r>
      <w:r>
        <w:rPr>
          <w:spacing w:val="45"/>
        </w:rPr>
        <w:t xml:space="preserve"> </w:t>
      </w:r>
      <w:r>
        <w:t>identidad,</w:t>
      </w:r>
      <w:r>
        <w:rPr>
          <w:spacing w:val="45"/>
        </w:rPr>
        <w:t xml:space="preserve"> </w:t>
      </w:r>
      <w:r>
        <w:t>no</w:t>
      </w:r>
      <w:r>
        <w:rPr>
          <w:spacing w:val="46"/>
        </w:rPr>
        <w:t xml:space="preserve"> </w:t>
      </w:r>
      <w:r>
        <w:rPr>
          <w:spacing w:val="-4"/>
        </w:rPr>
        <w:t>como</w:t>
      </w:r>
      <w:r w:rsidR="00644009">
        <w:t xml:space="preserve"> </w:t>
      </w:r>
      <w:r>
        <w:t>«paramilitares»,</w:t>
      </w:r>
      <w:r>
        <w:rPr>
          <w:spacing w:val="-11"/>
        </w:rPr>
        <w:t xml:space="preserve"> </w:t>
      </w:r>
      <w:r>
        <w:t>sino</w:t>
      </w:r>
      <w:r>
        <w:rPr>
          <w:spacing w:val="-12"/>
        </w:rPr>
        <w:t xml:space="preserve"> </w:t>
      </w:r>
      <w:r>
        <w:t>como</w:t>
      </w:r>
      <w:r>
        <w:rPr>
          <w:spacing w:val="-11"/>
        </w:rPr>
        <w:t xml:space="preserve"> </w:t>
      </w:r>
      <w:r>
        <w:t>ciudadanos</w:t>
      </w:r>
      <w:r>
        <w:rPr>
          <w:spacing w:val="-10"/>
        </w:rPr>
        <w:t xml:space="preserve"> </w:t>
      </w:r>
      <w:r>
        <w:t>y</w:t>
      </w:r>
      <w:r>
        <w:rPr>
          <w:spacing w:val="-11"/>
        </w:rPr>
        <w:t xml:space="preserve"> </w:t>
      </w:r>
      <w:r>
        <w:t>colombianos.</w:t>
      </w:r>
      <w:r>
        <w:rPr>
          <w:spacing w:val="-11"/>
        </w:rPr>
        <w:t xml:space="preserve"> </w:t>
      </w:r>
      <w:r>
        <w:t>Más</w:t>
      </w:r>
      <w:r>
        <w:rPr>
          <w:spacing w:val="-12"/>
        </w:rPr>
        <w:t xml:space="preserve"> </w:t>
      </w:r>
      <w:r>
        <w:t>que</w:t>
      </w:r>
      <w:r>
        <w:rPr>
          <w:spacing w:val="-10"/>
        </w:rPr>
        <w:t xml:space="preserve"> </w:t>
      </w:r>
      <w:r>
        <w:t>la</w:t>
      </w:r>
      <w:r>
        <w:rPr>
          <w:spacing w:val="-12"/>
        </w:rPr>
        <w:t xml:space="preserve"> </w:t>
      </w:r>
      <w:r>
        <w:t>confesión</w:t>
      </w:r>
      <w:r>
        <w:rPr>
          <w:spacing w:val="-11"/>
        </w:rPr>
        <w:t xml:space="preserve"> </w:t>
      </w:r>
      <w:r>
        <w:t>de</w:t>
      </w:r>
      <w:r>
        <w:rPr>
          <w:spacing w:val="-12"/>
        </w:rPr>
        <w:t xml:space="preserve"> </w:t>
      </w:r>
      <w:r>
        <w:t>los</w:t>
      </w:r>
      <w:r>
        <w:rPr>
          <w:spacing w:val="-10"/>
        </w:rPr>
        <w:t xml:space="preserve"> </w:t>
      </w:r>
      <w:r>
        <w:t>crímenes para</w:t>
      </w:r>
      <w:r>
        <w:rPr>
          <w:spacing w:val="-15"/>
        </w:rPr>
        <w:t xml:space="preserve"> </w:t>
      </w:r>
      <w:r>
        <w:t>obtener</w:t>
      </w:r>
      <w:r>
        <w:rPr>
          <w:spacing w:val="-15"/>
        </w:rPr>
        <w:t xml:space="preserve"> </w:t>
      </w:r>
      <w:r>
        <w:t>beneficios,</w:t>
      </w:r>
      <w:r>
        <w:rPr>
          <w:spacing w:val="-15"/>
        </w:rPr>
        <w:t xml:space="preserve"> </w:t>
      </w:r>
      <w:r>
        <w:t>se</w:t>
      </w:r>
      <w:r>
        <w:rPr>
          <w:spacing w:val="-15"/>
        </w:rPr>
        <w:t xml:space="preserve"> </w:t>
      </w:r>
      <w:r>
        <w:t>toma</w:t>
      </w:r>
      <w:r>
        <w:rPr>
          <w:spacing w:val="-15"/>
        </w:rPr>
        <w:t xml:space="preserve"> </w:t>
      </w:r>
      <w:r>
        <w:t>la</w:t>
      </w:r>
      <w:r>
        <w:rPr>
          <w:spacing w:val="-15"/>
        </w:rPr>
        <w:t xml:space="preserve"> </w:t>
      </w:r>
      <w:r>
        <w:t>opción</w:t>
      </w:r>
      <w:r>
        <w:rPr>
          <w:spacing w:val="-15"/>
        </w:rPr>
        <w:t xml:space="preserve"> </w:t>
      </w:r>
      <w:r>
        <w:t>de</w:t>
      </w:r>
      <w:r>
        <w:rPr>
          <w:spacing w:val="-15"/>
        </w:rPr>
        <w:t xml:space="preserve"> </w:t>
      </w:r>
      <w:r>
        <w:t>explicar</w:t>
      </w:r>
      <w:r>
        <w:rPr>
          <w:spacing w:val="-15"/>
        </w:rPr>
        <w:t xml:space="preserve"> </w:t>
      </w:r>
      <w:r>
        <w:t>verdades</w:t>
      </w:r>
      <w:r>
        <w:rPr>
          <w:spacing w:val="-15"/>
        </w:rPr>
        <w:t xml:space="preserve"> </w:t>
      </w:r>
      <w:r>
        <w:t>frente</w:t>
      </w:r>
      <w:r>
        <w:rPr>
          <w:spacing w:val="-15"/>
        </w:rPr>
        <w:t xml:space="preserve"> </w:t>
      </w:r>
      <w:r>
        <w:t>a</w:t>
      </w:r>
      <w:r>
        <w:rPr>
          <w:spacing w:val="-15"/>
        </w:rPr>
        <w:t xml:space="preserve"> </w:t>
      </w:r>
      <w:r>
        <w:t>las</w:t>
      </w:r>
      <w:r>
        <w:rPr>
          <w:spacing w:val="-15"/>
        </w:rPr>
        <w:t xml:space="preserve"> </w:t>
      </w:r>
      <w:r>
        <w:t>víctimas,</w:t>
      </w:r>
      <w:r>
        <w:rPr>
          <w:spacing w:val="-15"/>
        </w:rPr>
        <w:t xml:space="preserve"> </w:t>
      </w:r>
      <w:r>
        <w:t>de</w:t>
      </w:r>
      <w:r>
        <w:rPr>
          <w:spacing w:val="-15"/>
        </w:rPr>
        <w:t xml:space="preserve"> </w:t>
      </w:r>
      <w:r>
        <w:t>forma individual y no por la línea de mando. Se trata de la posibilidad de reincorporarse a la sociedad y, al mismo tiempo, superar el estigma de «paramilitares» como una identidad de la que no pueden salir. Eso no les ha permitido tener seguridad jurídica para ejercer sus derechos y los ha dejado expuestos ante las amenazas y el asesinato de muchos de sus excombatientes.</w:t>
      </w:r>
      <w:r>
        <w:rPr>
          <w:spacing w:val="-6"/>
        </w:rPr>
        <w:t xml:space="preserve"> </w:t>
      </w:r>
      <w:r>
        <w:t>Las</w:t>
      </w:r>
      <w:r>
        <w:rPr>
          <w:spacing w:val="-6"/>
        </w:rPr>
        <w:t xml:space="preserve"> </w:t>
      </w:r>
      <w:r>
        <w:t>amenazas</w:t>
      </w:r>
      <w:r>
        <w:rPr>
          <w:spacing w:val="-6"/>
        </w:rPr>
        <w:t xml:space="preserve"> </w:t>
      </w:r>
      <w:r>
        <w:t>provienen</w:t>
      </w:r>
      <w:r>
        <w:rPr>
          <w:spacing w:val="-6"/>
        </w:rPr>
        <w:t xml:space="preserve"> </w:t>
      </w:r>
      <w:r>
        <w:t>de</w:t>
      </w:r>
      <w:r>
        <w:rPr>
          <w:spacing w:val="-6"/>
        </w:rPr>
        <w:t xml:space="preserve"> </w:t>
      </w:r>
      <w:r>
        <w:t>nuevos</w:t>
      </w:r>
      <w:r>
        <w:rPr>
          <w:spacing w:val="-6"/>
        </w:rPr>
        <w:t xml:space="preserve"> </w:t>
      </w:r>
      <w:r>
        <w:t>grupos</w:t>
      </w:r>
      <w:r>
        <w:rPr>
          <w:spacing w:val="-6"/>
        </w:rPr>
        <w:t xml:space="preserve"> </w:t>
      </w:r>
      <w:proofErr w:type="spellStart"/>
      <w:r>
        <w:t>posdesmovilización</w:t>
      </w:r>
      <w:proofErr w:type="spellEnd"/>
      <w:r>
        <w:rPr>
          <w:spacing w:val="-6"/>
        </w:rPr>
        <w:t xml:space="preserve"> </w:t>
      </w:r>
      <w:r>
        <w:t>de</w:t>
      </w:r>
      <w:r>
        <w:rPr>
          <w:spacing w:val="-6"/>
        </w:rPr>
        <w:t xml:space="preserve"> </w:t>
      </w:r>
      <w:r>
        <w:t>las</w:t>
      </w:r>
      <w:r>
        <w:rPr>
          <w:spacing w:val="-7"/>
        </w:rPr>
        <w:t xml:space="preserve"> </w:t>
      </w:r>
      <w:r>
        <w:t xml:space="preserve">AUC que siguen teniendo control territorial y quieren limitar esas revelaciones. Para algunos </w:t>
      </w:r>
      <w:proofErr w:type="spellStart"/>
      <w:r>
        <w:t>exaltos</w:t>
      </w:r>
      <w:proofErr w:type="spellEnd"/>
      <w:r>
        <w:t xml:space="preserve"> mandos de las AUC, la búsqueda de una salida jurídica que cierre sus casos y el señalamiento de responsabilidades por parte de instituciones o sectores económicos y políticos es a la vez contribución a una verdad velada parcialmente y una posibilidad de acceder</w:t>
      </w:r>
      <w:r>
        <w:rPr>
          <w:spacing w:val="-12"/>
        </w:rPr>
        <w:t xml:space="preserve"> </w:t>
      </w:r>
      <w:r>
        <w:t>a</w:t>
      </w:r>
      <w:r>
        <w:rPr>
          <w:spacing w:val="-12"/>
        </w:rPr>
        <w:t xml:space="preserve"> </w:t>
      </w:r>
      <w:r>
        <w:t>la</w:t>
      </w:r>
      <w:r>
        <w:rPr>
          <w:spacing w:val="-13"/>
        </w:rPr>
        <w:t xml:space="preserve"> </w:t>
      </w:r>
      <w:r>
        <w:t>JEP</w:t>
      </w:r>
      <w:r>
        <w:rPr>
          <w:spacing w:val="-12"/>
        </w:rPr>
        <w:t xml:space="preserve"> </w:t>
      </w:r>
      <w:r>
        <w:t>para</w:t>
      </w:r>
      <w:r>
        <w:rPr>
          <w:spacing w:val="-12"/>
        </w:rPr>
        <w:t xml:space="preserve"> </w:t>
      </w:r>
      <w:r>
        <w:t>salir</w:t>
      </w:r>
      <w:r>
        <w:rPr>
          <w:spacing w:val="-12"/>
        </w:rPr>
        <w:t xml:space="preserve"> </w:t>
      </w:r>
      <w:r>
        <w:t>de</w:t>
      </w:r>
      <w:r>
        <w:rPr>
          <w:spacing w:val="-12"/>
        </w:rPr>
        <w:t xml:space="preserve"> </w:t>
      </w:r>
      <w:r>
        <w:t>la</w:t>
      </w:r>
      <w:r>
        <w:rPr>
          <w:spacing w:val="-13"/>
        </w:rPr>
        <w:t xml:space="preserve"> </w:t>
      </w:r>
      <w:r>
        <w:t>situación</w:t>
      </w:r>
      <w:r>
        <w:rPr>
          <w:spacing w:val="-12"/>
        </w:rPr>
        <w:t xml:space="preserve"> </w:t>
      </w:r>
      <w:r>
        <w:t>de</w:t>
      </w:r>
      <w:r>
        <w:rPr>
          <w:spacing w:val="-12"/>
        </w:rPr>
        <w:t xml:space="preserve"> </w:t>
      </w:r>
      <w:r>
        <w:t>desgaste</w:t>
      </w:r>
      <w:r>
        <w:rPr>
          <w:spacing w:val="-12"/>
        </w:rPr>
        <w:t xml:space="preserve"> </w:t>
      </w:r>
      <w:r>
        <w:t>y</w:t>
      </w:r>
      <w:r>
        <w:rPr>
          <w:spacing w:val="-12"/>
        </w:rPr>
        <w:t xml:space="preserve"> </w:t>
      </w:r>
      <w:r>
        <w:t>agotamiento</w:t>
      </w:r>
      <w:r>
        <w:rPr>
          <w:spacing w:val="-12"/>
        </w:rPr>
        <w:t xml:space="preserve"> </w:t>
      </w:r>
      <w:r>
        <w:t>y</w:t>
      </w:r>
      <w:r>
        <w:rPr>
          <w:spacing w:val="-12"/>
        </w:rPr>
        <w:t xml:space="preserve"> </w:t>
      </w:r>
      <w:r>
        <w:t>avanzar</w:t>
      </w:r>
      <w:r>
        <w:rPr>
          <w:spacing w:val="-12"/>
        </w:rPr>
        <w:t xml:space="preserve"> </w:t>
      </w:r>
      <w:r>
        <w:t>hacia</w:t>
      </w:r>
      <w:r>
        <w:rPr>
          <w:spacing w:val="-12"/>
        </w:rPr>
        <w:t xml:space="preserve"> </w:t>
      </w:r>
      <w:r>
        <w:t>un</w:t>
      </w:r>
      <w:r>
        <w:rPr>
          <w:spacing w:val="-13"/>
        </w:rPr>
        <w:t xml:space="preserve"> </w:t>
      </w:r>
      <w:r>
        <w:t xml:space="preserve">cierre </w:t>
      </w:r>
      <w:r>
        <w:rPr>
          <w:spacing w:val="-2"/>
        </w:rPr>
        <w:t>judicial.</w:t>
      </w:r>
    </w:p>
    <w:p w:rsidR="003804AC" w:rsidRDefault="00AF18A5" w:rsidP="00644009">
      <w:r>
        <w:t>Debido al carácter judicial de los procesos que han tenido los ex-AUC, no han recibido otro trato que como imputados por crímenes cometidos y su reconocimiento frente a las víctimas</w:t>
      </w:r>
      <w:r>
        <w:rPr>
          <w:spacing w:val="-6"/>
        </w:rPr>
        <w:t xml:space="preserve"> </w:t>
      </w:r>
      <w:r>
        <w:t>se</w:t>
      </w:r>
      <w:r>
        <w:rPr>
          <w:spacing w:val="-7"/>
        </w:rPr>
        <w:t xml:space="preserve"> </w:t>
      </w:r>
      <w:r>
        <w:t>ha</w:t>
      </w:r>
      <w:r>
        <w:rPr>
          <w:spacing w:val="-5"/>
        </w:rPr>
        <w:t xml:space="preserve"> </w:t>
      </w:r>
      <w:r>
        <w:t>dado</w:t>
      </w:r>
      <w:r>
        <w:rPr>
          <w:spacing w:val="-5"/>
        </w:rPr>
        <w:t xml:space="preserve"> </w:t>
      </w:r>
      <w:r>
        <w:t>en</w:t>
      </w:r>
      <w:r>
        <w:rPr>
          <w:spacing w:val="-6"/>
        </w:rPr>
        <w:t xml:space="preserve"> </w:t>
      </w:r>
      <w:r>
        <w:t>clave</w:t>
      </w:r>
      <w:r>
        <w:rPr>
          <w:spacing w:val="-5"/>
        </w:rPr>
        <w:t xml:space="preserve"> </w:t>
      </w:r>
      <w:r>
        <w:t>de</w:t>
      </w:r>
      <w:r>
        <w:rPr>
          <w:spacing w:val="-5"/>
        </w:rPr>
        <w:t xml:space="preserve"> </w:t>
      </w:r>
      <w:r>
        <w:t>pedido</w:t>
      </w:r>
      <w:r>
        <w:rPr>
          <w:spacing w:val="-5"/>
        </w:rPr>
        <w:t xml:space="preserve"> </w:t>
      </w:r>
      <w:r>
        <w:lastRenderedPageBreak/>
        <w:t>de</w:t>
      </w:r>
      <w:r>
        <w:rPr>
          <w:spacing w:val="-5"/>
        </w:rPr>
        <w:t xml:space="preserve"> </w:t>
      </w:r>
      <w:r>
        <w:t>perdón</w:t>
      </w:r>
      <w:r>
        <w:rPr>
          <w:spacing w:val="-5"/>
        </w:rPr>
        <w:t xml:space="preserve"> </w:t>
      </w:r>
      <w:r>
        <w:t>en</w:t>
      </w:r>
      <w:r>
        <w:rPr>
          <w:spacing w:val="-5"/>
        </w:rPr>
        <w:t xml:space="preserve"> </w:t>
      </w:r>
      <w:r>
        <w:t>audiencias</w:t>
      </w:r>
      <w:r>
        <w:rPr>
          <w:spacing w:val="-5"/>
        </w:rPr>
        <w:t xml:space="preserve"> </w:t>
      </w:r>
      <w:r>
        <w:t>públicas.</w:t>
      </w:r>
      <w:r>
        <w:rPr>
          <w:spacing w:val="-6"/>
        </w:rPr>
        <w:t xml:space="preserve"> </w:t>
      </w:r>
      <w:r>
        <w:t>En</w:t>
      </w:r>
      <w:r>
        <w:rPr>
          <w:spacing w:val="-5"/>
        </w:rPr>
        <w:t xml:space="preserve"> </w:t>
      </w:r>
      <w:r>
        <w:t>los</w:t>
      </w:r>
      <w:r>
        <w:rPr>
          <w:spacing w:val="-6"/>
        </w:rPr>
        <w:t xml:space="preserve"> </w:t>
      </w:r>
      <w:r>
        <w:t>procesos</w:t>
      </w:r>
      <w:r>
        <w:rPr>
          <w:spacing w:val="-5"/>
        </w:rPr>
        <w:t xml:space="preserve"> </w:t>
      </w:r>
      <w:r>
        <w:t>de reconocimiento adelantados por la Comisión de la Verdad, los responsables de este grupo han tenido un espacio para el encuentro con las víctimas, durante el cual el reconocimiento no solo aportó a la verdad, sino que creó un espacio para aliviar cargas de culpabilidad y expresar arrepentimiento como forma de reincorporación a la sociedad.</w:t>
      </w:r>
    </w:p>
    <w:p w:rsidR="003804AC" w:rsidRDefault="00AF18A5" w:rsidP="00644009">
      <w:r>
        <w:t>Los responsables exmiembros de las AUC que han reconocido los hechos y sus responsabilidades, en general tienen una postura crítica respecto del Estado. Por una parte, porque con el desarrollo de la Ley de Justicia y Paz se sienten traicionados respecto de los acuerdos realizados con los jefes paramilitares en Santa Fe de Ralito. Por otra, porque a medida</w:t>
      </w:r>
      <w:r>
        <w:rPr>
          <w:spacing w:val="-12"/>
        </w:rPr>
        <w:t xml:space="preserve"> </w:t>
      </w:r>
      <w:r>
        <w:t>que</w:t>
      </w:r>
      <w:r>
        <w:rPr>
          <w:spacing w:val="-13"/>
        </w:rPr>
        <w:t xml:space="preserve"> </w:t>
      </w:r>
      <w:r>
        <w:t>ha</w:t>
      </w:r>
      <w:r>
        <w:rPr>
          <w:spacing w:val="-12"/>
        </w:rPr>
        <w:t xml:space="preserve"> </w:t>
      </w:r>
      <w:r>
        <w:t>aumentado</w:t>
      </w:r>
      <w:r>
        <w:rPr>
          <w:spacing w:val="-12"/>
        </w:rPr>
        <w:t xml:space="preserve"> </w:t>
      </w:r>
      <w:r>
        <w:t>su</w:t>
      </w:r>
      <w:r>
        <w:rPr>
          <w:spacing w:val="-12"/>
        </w:rPr>
        <w:t xml:space="preserve"> </w:t>
      </w:r>
      <w:r>
        <w:t>comprensión</w:t>
      </w:r>
      <w:r>
        <w:rPr>
          <w:spacing w:val="-12"/>
        </w:rPr>
        <w:t xml:space="preserve"> </w:t>
      </w:r>
      <w:r>
        <w:t>de</w:t>
      </w:r>
      <w:r>
        <w:rPr>
          <w:spacing w:val="-12"/>
        </w:rPr>
        <w:t xml:space="preserve"> </w:t>
      </w:r>
      <w:r>
        <w:t>las</w:t>
      </w:r>
      <w:r>
        <w:rPr>
          <w:spacing w:val="-13"/>
        </w:rPr>
        <w:t xml:space="preserve"> </w:t>
      </w:r>
      <w:r>
        <w:t>dinámicas</w:t>
      </w:r>
      <w:r>
        <w:rPr>
          <w:spacing w:val="-12"/>
        </w:rPr>
        <w:t xml:space="preserve"> </w:t>
      </w:r>
      <w:r>
        <w:t>del</w:t>
      </w:r>
      <w:r>
        <w:rPr>
          <w:spacing w:val="-11"/>
        </w:rPr>
        <w:t xml:space="preserve"> </w:t>
      </w:r>
      <w:r>
        <w:t>conflicto</w:t>
      </w:r>
      <w:r>
        <w:rPr>
          <w:spacing w:val="-13"/>
        </w:rPr>
        <w:t xml:space="preserve"> </w:t>
      </w:r>
      <w:r>
        <w:t>armado,</w:t>
      </w:r>
      <w:r>
        <w:rPr>
          <w:spacing w:val="-12"/>
        </w:rPr>
        <w:t xml:space="preserve"> </w:t>
      </w:r>
      <w:r>
        <w:t>consideran que</w:t>
      </w:r>
      <w:r>
        <w:rPr>
          <w:spacing w:val="-8"/>
        </w:rPr>
        <w:t xml:space="preserve"> </w:t>
      </w:r>
      <w:r>
        <w:t>fueron</w:t>
      </w:r>
      <w:r>
        <w:rPr>
          <w:spacing w:val="-8"/>
        </w:rPr>
        <w:t xml:space="preserve"> </w:t>
      </w:r>
      <w:r>
        <w:t>utilizados</w:t>
      </w:r>
      <w:r>
        <w:rPr>
          <w:spacing w:val="-8"/>
        </w:rPr>
        <w:t xml:space="preserve"> </w:t>
      </w:r>
      <w:r>
        <w:t>por</w:t>
      </w:r>
      <w:r>
        <w:rPr>
          <w:spacing w:val="-9"/>
        </w:rPr>
        <w:t xml:space="preserve"> </w:t>
      </w:r>
      <w:r>
        <w:t>sectores</w:t>
      </w:r>
      <w:r>
        <w:rPr>
          <w:spacing w:val="-8"/>
        </w:rPr>
        <w:t xml:space="preserve"> </w:t>
      </w:r>
      <w:r>
        <w:t>poderosos</w:t>
      </w:r>
      <w:r>
        <w:rPr>
          <w:spacing w:val="-8"/>
        </w:rPr>
        <w:t xml:space="preserve"> </w:t>
      </w:r>
      <w:r>
        <w:t>y</w:t>
      </w:r>
      <w:r>
        <w:rPr>
          <w:spacing w:val="-8"/>
        </w:rPr>
        <w:t xml:space="preserve"> </w:t>
      </w:r>
      <w:r>
        <w:t>del</w:t>
      </w:r>
      <w:r>
        <w:rPr>
          <w:spacing w:val="-8"/>
        </w:rPr>
        <w:t xml:space="preserve"> </w:t>
      </w:r>
      <w:r>
        <w:t>mismo</w:t>
      </w:r>
      <w:r>
        <w:rPr>
          <w:spacing w:val="-8"/>
        </w:rPr>
        <w:t xml:space="preserve"> </w:t>
      </w:r>
      <w:r>
        <w:t>establecimiento</w:t>
      </w:r>
      <w:r>
        <w:rPr>
          <w:spacing w:val="-9"/>
        </w:rPr>
        <w:t xml:space="preserve"> </w:t>
      </w:r>
      <w:r>
        <w:t>para</w:t>
      </w:r>
      <w:r>
        <w:rPr>
          <w:spacing w:val="-8"/>
        </w:rPr>
        <w:t xml:space="preserve"> </w:t>
      </w:r>
      <w:r>
        <w:t>consolidar</w:t>
      </w:r>
      <w:r>
        <w:rPr>
          <w:spacing w:val="-8"/>
        </w:rPr>
        <w:t xml:space="preserve"> </w:t>
      </w:r>
      <w:r>
        <w:t>su poder y sus proyectos económicos y políticos. En general, han limitado su reconocimiento de implicación en el narcotráfico o en las redes que se han mantenido luego de su desmovilización. Su contribución para comprender y desmantelar los entramados que hicieron posible el horror a gran escala y que se mantienen parcialmente después de su desmovilización es parte de a lo que la justicia transicional tiene que dar seguimiento.</w:t>
      </w:r>
    </w:p>
    <w:p w:rsidR="003804AC" w:rsidRDefault="00AF18A5" w:rsidP="00644009">
      <w:r>
        <w:t>Los reconocimientos de responsabilidad por parte de los ex-AUC dejan a la luz una narrativa de ser de grupo armado con trayectoria propia que, en el marco de la ilegalidad, trazó agendas paralelas y de colaboración estrecha con la fuerza pública en la lucha contrainsurgente, sobre la base de intereses concomitantes. Al igual que con responsables miembros de la fuerza pública, las motivaciones de los exmiembros de las AUC para participar en</w:t>
      </w:r>
      <w:r>
        <w:rPr>
          <w:spacing w:val="-1"/>
        </w:rPr>
        <w:t xml:space="preserve"> </w:t>
      </w:r>
      <w:r>
        <w:t>procesos de</w:t>
      </w:r>
      <w:r>
        <w:rPr>
          <w:spacing w:val="-1"/>
        </w:rPr>
        <w:t xml:space="preserve"> </w:t>
      </w:r>
      <w:r>
        <w:t>reconocimiento están relacionadas con su experiencia en</w:t>
      </w:r>
      <w:r>
        <w:rPr>
          <w:spacing w:val="-1"/>
        </w:rPr>
        <w:t xml:space="preserve"> </w:t>
      </w:r>
      <w:r>
        <w:t xml:space="preserve">prisión y con su necesidad de alivio. </w:t>
      </w:r>
      <w:r>
        <w:lastRenderedPageBreak/>
        <w:t>Ambas cuestiones les han permitido desencadenar reflexiones éticas y, en algunos casos, reflexiones políticas sobre la importancia que tiene para la sociedad</w:t>
      </w:r>
      <w:r>
        <w:rPr>
          <w:spacing w:val="-7"/>
        </w:rPr>
        <w:t xml:space="preserve"> </w:t>
      </w:r>
      <w:r>
        <w:t>avanzar</w:t>
      </w:r>
      <w:r>
        <w:rPr>
          <w:spacing w:val="-7"/>
        </w:rPr>
        <w:t xml:space="preserve"> </w:t>
      </w:r>
      <w:r>
        <w:t>en</w:t>
      </w:r>
      <w:r>
        <w:rPr>
          <w:spacing w:val="-7"/>
        </w:rPr>
        <w:t xml:space="preserve"> </w:t>
      </w:r>
      <w:r>
        <w:t>este</w:t>
      </w:r>
      <w:r>
        <w:rPr>
          <w:spacing w:val="-6"/>
        </w:rPr>
        <w:t xml:space="preserve"> </w:t>
      </w:r>
      <w:r>
        <w:t>camino.</w:t>
      </w:r>
      <w:r>
        <w:rPr>
          <w:spacing w:val="-7"/>
        </w:rPr>
        <w:t xml:space="preserve"> </w:t>
      </w:r>
      <w:r>
        <w:t>La</w:t>
      </w:r>
      <w:r>
        <w:rPr>
          <w:spacing w:val="-6"/>
        </w:rPr>
        <w:t xml:space="preserve"> </w:t>
      </w:r>
      <w:r>
        <w:t>investigación</w:t>
      </w:r>
      <w:r>
        <w:rPr>
          <w:spacing w:val="-6"/>
        </w:rPr>
        <w:t xml:space="preserve"> </w:t>
      </w:r>
      <w:r>
        <w:t>y</w:t>
      </w:r>
      <w:r>
        <w:rPr>
          <w:spacing w:val="-6"/>
        </w:rPr>
        <w:t xml:space="preserve"> </w:t>
      </w:r>
      <w:r>
        <w:t>búsqueda</w:t>
      </w:r>
      <w:r>
        <w:rPr>
          <w:spacing w:val="-6"/>
        </w:rPr>
        <w:t xml:space="preserve"> </w:t>
      </w:r>
      <w:r>
        <w:t>de</w:t>
      </w:r>
      <w:r>
        <w:rPr>
          <w:spacing w:val="-7"/>
        </w:rPr>
        <w:t xml:space="preserve"> </w:t>
      </w:r>
      <w:r>
        <w:t>salidas</w:t>
      </w:r>
      <w:r>
        <w:rPr>
          <w:spacing w:val="-7"/>
        </w:rPr>
        <w:t xml:space="preserve"> </w:t>
      </w:r>
      <w:r>
        <w:t>jurídicas</w:t>
      </w:r>
      <w:r>
        <w:rPr>
          <w:spacing w:val="-6"/>
        </w:rPr>
        <w:t xml:space="preserve"> </w:t>
      </w:r>
      <w:r>
        <w:t>y</w:t>
      </w:r>
      <w:r>
        <w:rPr>
          <w:spacing w:val="-7"/>
        </w:rPr>
        <w:t xml:space="preserve"> </w:t>
      </w:r>
      <w:r>
        <w:t>sociales a</w:t>
      </w:r>
      <w:r>
        <w:rPr>
          <w:spacing w:val="11"/>
        </w:rPr>
        <w:t xml:space="preserve"> </w:t>
      </w:r>
      <w:r>
        <w:t>estas</w:t>
      </w:r>
      <w:r>
        <w:rPr>
          <w:spacing w:val="11"/>
        </w:rPr>
        <w:t xml:space="preserve"> </w:t>
      </w:r>
      <w:r>
        <w:t>responsabilidades</w:t>
      </w:r>
      <w:r>
        <w:rPr>
          <w:spacing w:val="12"/>
        </w:rPr>
        <w:t xml:space="preserve"> </w:t>
      </w:r>
      <w:r>
        <w:t>y</w:t>
      </w:r>
      <w:r>
        <w:rPr>
          <w:spacing w:val="12"/>
        </w:rPr>
        <w:t xml:space="preserve"> </w:t>
      </w:r>
      <w:r>
        <w:t>redes</w:t>
      </w:r>
      <w:r>
        <w:rPr>
          <w:spacing w:val="11"/>
        </w:rPr>
        <w:t xml:space="preserve"> </w:t>
      </w:r>
      <w:r>
        <w:t>y</w:t>
      </w:r>
      <w:r>
        <w:rPr>
          <w:spacing w:val="10"/>
        </w:rPr>
        <w:t xml:space="preserve"> </w:t>
      </w:r>
      <w:r>
        <w:t>entramados</w:t>
      </w:r>
      <w:r>
        <w:rPr>
          <w:spacing w:val="10"/>
        </w:rPr>
        <w:t xml:space="preserve"> </w:t>
      </w:r>
      <w:r>
        <w:t>que</w:t>
      </w:r>
      <w:r>
        <w:rPr>
          <w:spacing w:val="11"/>
        </w:rPr>
        <w:t xml:space="preserve"> </w:t>
      </w:r>
      <w:r>
        <w:t>han</w:t>
      </w:r>
      <w:r>
        <w:rPr>
          <w:spacing w:val="12"/>
        </w:rPr>
        <w:t xml:space="preserve"> </w:t>
      </w:r>
      <w:r>
        <w:t>hecho</w:t>
      </w:r>
      <w:r>
        <w:rPr>
          <w:spacing w:val="11"/>
        </w:rPr>
        <w:t xml:space="preserve"> </w:t>
      </w:r>
      <w:r>
        <w:t>posible</w:t>
      </w:r>
      <w:r>
        <w:rPr>
          <w:spacing w:val="11"/>
        </w:rPr>
        <w:t xml:space="preserve"> </w:t>
      </w:r>
      <w:r>
        <w:t>la</w:t>
      </w:r>
      <w:r>
        <w:rPr>
          <w:spacing w:val="12"/>
        </w:rPr>
        <w:t xml:space="preserve"> </w:t>
      </w:r>
      <w:r>
        <w:t>violencia</w:t>
      </w:r>
      <w:r>
        <w:rPr>
          <w:spacing w:val="10"/>
        </w:rPr>
        <w:t xml:space="preserve"> </w:t>
      </w:r>
      <w:r>
        <w:t>es</w:t>
      </w:r>
      <w:r>
        <w:rPr>
          <w:spacing w:val="12"/>
        </w:rPr>
        <w:t xml:space="preserve"> </w:t>
      </w:r>
      <w:r>
        <w:rPr>
          <w:spacing w:val="-2"/>
        </w:rPr>
        <w:t>parte</w:t>
      </w:r>
      <w:r w:rsidR="00644009">
        <w:t xml:space="preserve"> </w:t>
      </w:r>
      <w:r>
        <w:t>de la agenda de justicia transicional que la Comisión considera necesario abordar tanto con la JEP como con nuevos mecanismos en la investigación del narcotráfico.</w:t>
      </w:r>
    </w:p>
    <w:p w:rsidR="003804AC" w:rsidRDefault="00AF18A5" w:rsidP="00644009">
      <w:r>
        <w:t>Finalmente, en la narrativa de los actores armados –exintegrantes de las FARC-EP, exintegrantes de las AUC y miembros de la fuerza pública–, también existe como lugar común el señalamiento del Estado, y, en concordancia con las víctimas, los responsables llegan</w:t>
      </w:r>
      <w:r>
        <w:rPr>
          <w:spacing w:val="-11"/>
        </w:rPr>
        <w:t xml:space="preserve"> </w:t>
      </w:r>
      <w:r>
        <w:t>a</w:t>
      </w:r>
      <w:r>
        <w:rPr>
          <w:spacing w:val="-9"/>
        </w:rPr>
        <w:t xml:space="preserve"> </w:t>
      </w:r>
      <w:r>
        <w:t>la</w:t>
      </w:r>
      <w:r>
        <w:rPr>
          <w:spacing w:val="-9"/>
        </w:rPr>
        <w:t xml:space="preserve"> </w:t>
      </w:r>
      <w:r>
        <w:t>necesidad</w:t>
      </w:r>
      <w:r>
        <w:rPr>
          <w:spacing w:val="-9"/>
        </w:rPr>
        <w:t xml:space="preserve"> </w:t>
      </w:r>
      <w:r>
        <w:t>de</w:t>
      </w:r>
      <w:r>
        <w:rPr>
          <w:spacing w:val="-10"/>
        </w:rPr>
        <w:t xml:space="preserve"> </w:t>
      </w:r>
      <w:r>
        <w:t>avanzar</w:t>
      </w:r>
      <w:r>
        <w:rPr>
          <w:spacing w:val="-10"/>
        </w:rPr>
        <w:t xml:space="preserve"> </w:t>
      </w:r>
      <w:r>
        <w:t>en</w:t>
      </w:r>
      <w:r>
        <w:rPr>
          <w:spacing w:val="-9"/>
        </w:rPr>
        <w:t xml:space="preserve"> </w:t>
      </w:r>
      <w:r>
        <w:t>transformaciones</w:t>
      </w:r>
      <w:r>
        <w:rPr>
          <w:spacing w:val="-9"/>
        </w:rPr>
        <w:t xml:space="preserve"> </w:t>
      </w:r>
      <w:r>
        <w:t>profundas,</w:t>
      </w:r>
      <w:r>
        <w:rPr>
          <w:spacing w:val="-9"/>
        </w:rPr>
        <w:t xml:space="preserve"> </w:t>
      </w:r>
      <w:r>
        <w:t>aunque</w:t>
      </w:r>
      <w:r>
        <w:rPr>
          <w:spacing w:val="-9"/>
        </w:rPr>
        <w:t xml:space="preserve"> </w:t>
      </w:r>
      <w:r>
        <w:t>a</w:t>
      </w:r>
      <w:r>
        <w:rPr>
          <w:spacing w:val="-10"/>
        </w:rPr>
        <w:t xml:space="preserve"> </w:t>
      </w:r>
      <w:r>
        <w:t>veces</w:t>
      </w:r>
      <w:r>
        <w:rPr>
          <w:spacing w:val="-9"/>
        </w:rPr>
        <w:t xml:space="preserve"> </w:t>
      </w:r>
      <w:r>
        <w:t>también</w:t>
      </w:r>
      <w:r>
        <w:rPr>
          <w:spacing w:val="-9"/>
        </w:rPr>
        <w:t xml:space="preserve"> </w:t>
      </w:r>
      <w:r>
        <w:t>hay un</w:t>
      </w:r>
      <w:r>
        <w:rPr>
          <w:spacing w:val="-2"/>
        </w:rPr>
        <w:t xml:space="preserve"> </w:t>
      </w:r>
      <w:r>
        <w:t>escepticismo</w:t>
      </w:r>
      <w:r>
        <w:rPr>
          <w:spacing w:val="-2"/>
        </w:rPr>
        <w:t xml:space="preserve"> </w:t>
      </w:r>
      <w:r>
        <w:t>frente</w:t>
      </w:r>
      <w:r>
        <w:rPr>
          <w:spacing w:val="-2"/>
        </w:rPr>
        <w:t xml:space="preserve"> </w:t>
      </w:r>
      <w:r>
        <w:t>a</w:t>
      </w:r>
      <w:r>
        <w:rPr>
          <w:spacing w:val="-3"/>
        </w:rPr>
        <w:t xml:space="preserve"> </w:t>
      </w:r>
      <w:r>
        <w:t>la</w:t>
      </w:r>
      <w:r>
        <w:rPr>
          <w:spacing w:val="-2"/>
        </w:rPr>
        <w:t xml:space="preserve"> </w:t>
      </w:r>
      <w:r>
        <w:t>posibilidad</w:t>
      </w:r>
      <w:r>
        <w:rPr>
          <w:spacing w:val="-2"/>
        </w:rPr>
        <w:t xml:space="preserve"> </w:t>
      </w:r>
      <w:r>
        <w:t>de</w:t>
      </w:r>
      <w:r>
        <w:rPr>
          <w:spacing w:val="-2"/>
        </w:rPr>
        <w:t xml:space="preserve"> </w:t>
      </w:r>
      <w:r>
        <w:t>que</w:t>
      </w:r>
      <w:r>
        <w:rPr>
          <w:spacing w:val="-2"/>
        </w:rPr>
        <w:t xml:space="preserve"> </w:t>
      </w:r>
      <w:r>
        <w:t>estas</w:t>
      </w:r>
      <w:r>
        <w:rPr>
          <w:spacing w:val="-2"/>
        </w:rPr>
        <w:t xml:space="preserve"> </w:t>
      </w:r>
      <w:r>
        <w:t>se</w:t>
      </w:r>
      <w:r>
        <w:rPr>
          <w:spacing w:val="-2"/>
        </w:rPr>
        <w:t xml:space="preserve"> </w:t>
      </w:r>
      <w:r>
        <w:t>den,</w:t>
      </w:r>
      <w:r>
        <w:rPr>
          <w:spacing w:val="-2"/>
        </w:rPr>
        <w:t xml:space="preserve"> </w:t>
      </w:r>
      <w:r>
        <w:t>debido</w:t>
      </w:r>
      <w:r>
        <w:rPr>
          <w:spacing w:val="-2"/>
        </w:rPr>
        <w:t xml:space="preserve"> </w:t>
      </w:r>
      <w:r>
        <w:t>a</w:t>
      </w:r>
      <w:r>
        <w:rPr>
          <w:spacing w:val="-2"/>
        </w:rPr>
        <w:t xml:space="preserve"> </w:t>
      </w:r>
      <w:r>
        <w:t>que</w:t>
      </w:r>
      <w:r>
        <w:rPr>
          <w:spacing w:val="-2"/>
        </w:rPr>
        <w:t xml:space="preserve"> </w:t>
      </w:r>
      <w:r>
        <w:t>consideran</w:t>
      </w:r>
      <w:r>
        <w:rPr>
          <w:spacing w:val="-2"/>
        </w:rPr>
        <w:t xml:space="preserve"> </w:t>
      </w:r>
      <w:r>
        <w:t>que</w:t>
      </w:r>
      <w:r>
        <w:rPr>
          <w:spacing w:val="-2"/>
        </w:rPr>
        <w:t xml:space="preserve"> </w:t>
      </w:r>
      <w:r>
        <w:t>hay estructuras</w:t>
      </w:r>
      <w:r>
        <w:rPr>
          <w:spacing w:val="-4"/>
        </w:rPr>
        <w:t xml:space="preserve"> </w:t>
      </w:r>
      <w:r>
        <w:t>y</w:t>
      </w:r>
      <w:r>
        <w:rPr>
          <w:spacing w:val="-6"/>
        </w:rPr>
        <w:t xml:space="preserve"> </w:t>
      </w:r>
      <w:r>
        <w:t>mentalidades</w:t>
      </w:r>
      <w:r>
        <w:rPr>
          <w:spacing w:val="-4"/>
        </w:rPr>
        <w:t xml:space="preserve"> </w:t>
      </w:r>
      <w:r>
        <w:t>que</w:t>
      </w:r>
      <w:r>
        <w:rPr>
          <w:spacing w:val="-4"/>
        </w:rPr>
        <w:t xml:space="preserve"> </w:t>
      </w:r>
      <w:r>
        <w:t>están</w:t>
      </w:r>
      <w:r>
        <w:rPr>
          <w:spacing w:val="-6"/>
        </w:rPr>
        <w:t xml:space="preserve"> </w:t>
      </w:r>
      <w:r>
        <w:t>a</w:t>
      </w:r>
      <w:r>
        <w:rPr>
          <w:spacing w:val="-4"/>
        </w:rPr>
        <w:t xml:space="preserve"> </w:t>
      </w:r>
      <w:r>
        <w:t>la</w:t>
      </w:r>
      <w:r>
        <w:rPr>
          <w:spacing w:val="-4"/>
        </w:rPr>
        <w:t xml:space="preserve"> </w:t>
      </w:r>
      <w:r>
        <w:t>base</w:t>
      </w:r>
      <w:r>
        <w:rPr>
          <w:spacing w:val="-4"/>
        </w:rPr>
        <w:t xml:space="preserve"> </w:t>
      </w:r>
      <w:r>
        <w:t>del</w:t>
      </w:r>
      <w:r>
        <w:rPr>
          <w:spacing w:val="-5"/>
        </w:rPr>
        <w:t xml:space="preserve"> </w:t>
      </w:r>
      <w:r>
        <w:t>conflicto</w:t>
      </w:r>
      <w:r>
        <w:rPr>
          <w:spacing w:val="-5"/>
        </w:rPr>
        <w:t xml:space="preserve"> </w:t>
      </w:r>
      <w:r>
        <w:t>que</w:t>
      </w:r>
      <w:r>
        <w:rPr>
          <w:spacing w:val="-4"/>
        </w:rPr>
        <w:t xml:space="preserve"> </w:t>
      </w:r>
      <w:r>
        <w:t>permanecen</w:t>
      </w:r>
      <w:r>
        <w:rPr>
          <w:spacing w:val="-5"/>
        </w:rPr>
        <w:t xml:space="preserve"> </w:t>
      </w:r>
      <w:r>
        <w:t>intactas.</w:t>
      </w:r>
      <w:r>
        <w:rPr>
          <w:spacing w:val="-5"/>
        </w:rPr>
        <w:t xml:space="preserve"> </w:t>
      </w:r>
      <w:r>
        <w:t>Para</w:t>
      </w:r>
      <w:r>
        <w:rPr>
          <w:spacing w:val="-4"/>
        </w:rPr>
        <w:t xml:space="preserve"> </w:t>
      </w:r>
      <w:r>
        <w:t>la Comisión, los obstáculos y dificultades de estos procesos son parte de lo que los diferentes actores</w:t>
      </w:r>
      <w:r>
        <w:rPr>
          <w:spacing w:val="-15"/>
        </w:rPr>
        <w:t xml:space="preserve"> </w:t>
      </w:r>
      <w:r>
        <w:t>políticos,</w:t>
      </w:r>
      <w:r>
        <w:rPr>
          <w:spacing w:val="-15"/>
        </w:rPr>
        <w:t xml:space="preserve"> </w:t>
      </w:r>
      <w:r>
        <w:t>económicos</w:t>
      </w:r>
      <w:r>
        <w:rPr>
          <w:spacing w:val="-15"/>
        </w:rPr>
        <w:t xml:space="preserve"> </w:t>
      </w:r>
      <w:r>
        <w:t>y</w:t>
      </w:r>
      <w:r>
        <w:rPr>
          <w:spacing w:val="-15"/>
        </w:rPr>
        <w:t xml:space="preserve"> </w:t>
      </w:r>
      <w:r>
        <w:t>culturales</w:t>
      </w:r>
      <w:r>
        <w:rPr>
          <w:spacing w:val="-15"/>
        </w:rPr>
        <w:t xml:space="preserve"> </w:t>
      </w:r>
      <w:r>
        <w:t>deben</w:t>
      </w:r>
      <w:r>
        <w:rPr>
          <w:spacing w:val="-15"/>
        </w:rPr>
        <w:t xml:space="preserve"> </w:t>
      </w:r>
      <w:r>
        <w:t>trabajar</w:t>
      </w:r>
      <w:r>
        <w:rPr>
          <w:spacing w:val="-15"/>
        </w:rPr>
        <w:t xml:space="preserve"> </w:t>
      </w:r>
      <w:r>
        <w:t>para</w:t>
      </w:r>
      <w:r>
        <w:rPr>
          <w:spacing w:val="-15"/>
        </w:rPr>
        <w:t xml:space="preserve"> </w:t>
      </w:r>
      <w:r>
        <w:t>acompañar</w:t>
      </w:r>
      <w:r>
        <w:rPr>
          <w:spacing w:val="-15"/>
        </w:rPr>
        <w:t xml:space="preserve"> </w:t>
      </w:r>
      <w:r>
        <w:t>e</w:t>
      </w:r>
      <w:r>
        <w:rPr>
          <w:spacing w:val="-15"/>
        </w:rPr>
        <w:t xml:space="preserve"> </w:t>
      </w:r>
      <w:r>
        <w:t>impulsar</w:t>
      </w:r>
      <w:r>
        <w:rPr>
          <w:spacing w:val="-15"/>
        </w:rPr>
        <w:t xml:space="preserve"> </w:t>
      </w:r>
      <w:r>
        <w:t>procesos en</w:t>
      </w:r>
      <w:r>
        <w:rPr>
          <w:spacing w:val="-5"/>
        </w:rPr>
        <w:t xml:space="preserve"> </w:t>
      </w:r>
      <w:r>
        <w:t>el</w:t>
      </w:r>
      <w:r>
        <w:rPr>
          <w:spacing w:val="-4"/>
        </w:rPr>
        <w:t xml:space="preserve"> </w:t>
      </w:r>
      <w:r>
        <w:t>futuro,</w:t>
      </w:r>
      <w:r>
        <w:rPr>
          <w:spacing w:val="-6"/>
        </w:rPr>
        <w:t xml:space="preserve"> </w:t>
      </w:r>
      <w:r>
        <w:t>de</w:t>
      </w:r>
      <w:r>
        <w:rPr>
          <w:spacing w:val="-5"/>
        </w:rPr>
        <w:t xml:space="preserve"> </w:t>
      </w:r>
      <w:r>
        <w:t>forma</w:t>
      </w:r>
      <w:r>
        <w:rPr>
          <w:spacing w:val="-5"/>
        </w:rPr>
        <w:t xml:space="preserve"> </w:t>
      </w:r>
      <w:r>
        <w:t>que</w:t>
      </w:r>
      <w:r>
        <w:rPr>
          <w:spacing w:val="-5"/>
        </w:rPr>
        <w:t xml:space="preserve"> </w:t>
      </w:r>
      <w:r>
        <w:t>no</w:t>
      </w:r>
      <w:r>
        <w:rPr>
          <w:spacing w:val="-5"/>
        </w:rPr>
        <w:t xml:space="preserve"> </w:t>
      </w:r>
      <w:r>
        <w:t>se</w:t>
      </w:r>
      <w:r>
        <w:rPr>
          <w:spacing w:val="-5"/>
        </w:rPr>
        <w:t xml:space="preserve"> </w:t>
      </w:r>
      <w:r>
        <w:t>den</w:t>
      </w:r>
      <w:r>
        <w:rPr>
          <w:spacing w:val="-5"/>
        </w:rPr>
        <w:t xml:space="preserve"> </w:t>
      </w:r>
      <w:r>
        <w:t>solo</w:t>
      </w:r>
      <w:r>
        <w:rPr>
          <w:spacing w:val="-5"/>
        </w:rPr>
        <w:t xml:space="preserve"> </w:t>
      </w:r>
      <w:r>
        <w:t>en</w:t>
      </w:r>
      <w:r>
        <w:rPr>
          <w:spacing w:val="-5"/>
        </w:rPr>
        <w:t xml:space="preserve"> </w:t>
      </w:r>
      <w:r>
        <w:t>un</w:t>
      </w:r>
      <w:r>
        <w:rPr>
          <w:spacing w:val="-5"/>
        </w:rPr>
        <w:t xml:space="preserve"> </w:t>
      </w:r>
      <w:r>
        <w:t>marco</w:t>
      </w:r>
      <w:r>
        <w:rPr>
          <w:spacing w:val="-5"/>
        </w:rPr>
        <w:t xml:space="preserve"> </w:t>
      </w:r>
      <w:r>
        <w:t>de</w:t>
      </w:r>
      <w:r>
        <w:rPr>
          <w:spacing w:val="-5"/>
        </w:rPr>
        <w:t xml:space="preserve"> </w:t>
      </w:r>
      <w:r>
        <w:t>instituciones</w:t>
      </w:r>
      <w:r>
        <w:rPr>
          <w:spacing w:val="-5"/>
        </w:rPr>
        <w:t xml:space="preserve"> </w:t>
      </w:r>
      <w:r>
        <w:t>específicas</w:t>
      </w:r>
      <w:r>
        <w:rPr>
          <w:spacing w:val="-5"/>
        </w:rPr>
        <w:t xml:space="preserve"> </w:t>
      </w:r>
      <w:r>
        <w:t>de</w:t>
      </w:r>
      <w:r>
        <w:rPr>
          <w:spacing w:val="-5"/>
        </w:rPr>
        <w:t xml:space="preserve"> </w:t>
      </w:r>
      <w:r>
        <w:t>justicia transicional sino ante toda la sociedad.</w:t>
      </w:r>
    </w:p>
    <w:p w:rsidR="0011361F" w:rsidRDefault="00AF18A5" w:rsidP="00644009">
      <w:pPr>
        <w:pStyle w:val="Ttulo5"/>
      </w:pPr>
      <w:r>
        <w:t>Algunos</w:t>
      </w:r>
      <w:r>
        <w:rPr>
          <w:spacing w:val="-4"/>
        </w:rPr>
        <w:t xml:space="preserve"> </w:t>
      </w:r>
      <w:r>
        <w:t>aspectos</w:t>
      </w:r>
      <w:r>
        <w:rPr>
          <w:spacing w:val="-2"/>
        </w:rPr>
        <w:t xml:space="preserve"> </w:t>
      </w:r>
      <w:r>
        <w:t>a</w:t>
      </w:r>
      <w:r>
        <w:rPr>
          <w:spacing w:val="-2"/>
        </w:rPr>
        <w:t xml:space="preserve"> </w:t>
      </w:r>
      <w:r>
        <w:t>considerar</w:t>
      </w:r>
      <w:r>
        <w:rPr>
          <w:spacing w:val="-2"/>
        </w:rPr>
        <w:t xml:space="preserve"> </w:t>
      </w:r>
      <w:r>
        <w:t>para</w:t>
      </w:r>
      <w:r>
        <w:rPr>
          <w:spacing w:val="-2"/>
        </w:rPr>
        <w:t xml:space="preserve"> </w:t>
      </w:r>
      <w:r>
        <w:t>los</w:t>
      </w:r>
      <w:r>
        <w:rPr>
          <w:spacing w:val="-2"/>
        </w:rPr>
        <w:t xml:space="preserve"> reconocimientos</w:t>
      </w:r>
    </w:p>
    <w:p w:rsidR="003804AC" w:rsidRDefault="00AF18A5" w:rsidP="004A6EF4">
      <w:pPr>
        <w:pStyle w:val="Prrafodelista"/>
        <w:numPr>
          <w:ilvl w:val="0"/>
          <w:numId w:val="25"/>
        </w:numPr>
      </w:pPr>
      <w:r>
        <w:t>El</w:t>
      </w:r>
      <w:r w:rsidRPr="00ED4AB5">
        <w:rPr>
          <w:spacing w:val="-1"/>
        </w:rPr>
        <w:t xml:space="preserve"> </w:t>
      </w:r>
      <w:r>
        <w:t>estatus</w:t>
      </w:r>
      <w:r w:rsidRPr="00ED4AB5">
        <w:rPr>
          <w:spacing w:val="-2"/>
        </w:rPr>
        <w:t xml:space="preserve"> </w:t>
      </w:r>
      <w:r>
        <w:t>de</w:t>
      </w:r>
      <w:r w:rsidRPr="00ED4AB5">
        <w:rPr>
          <w:spacing w:val="-1"/>
        </w:rPr>
        <w:t xml:space="preserve"> </w:t>
      </w:r>
      <w:r>
        <w:t>autoridad</w:t>
      </w:r>
      <w:r w:rsidRPr="00ED4AB5">
        <w:rPr>
          <w:spacing w:val="-1"/>
        </w:rPr>
        <w:t xml:space="preserve"> </w:t>
      </w:r>
      <w:r>
        <w:t>que</w:t>
      </w:r>
      <w:r w:rsidRPr="00ED4AB5">
        <w:rPr>
          <w:spacing w:val="-1"/>
        </w:rPr>
        <w:t xml:space="preserve"> </w:t>
      </w:r>
      <w:r>
        <w:t>tiene</w:t>
      </w:r>
      <w:r w:rsidRPr="00ED4AB5">
        <w:rPr>
          <w:spacing w:val="-1"/>
        </w:rPr>
        <w:t xml:space="preserve"> </w:t>
      </w:r>
      <w:r>
        <w:t>la</w:t>
      </w:r>
      <w:r w:rsidRPr="00ED4AB5">
        <w:rPr>
          <w:spacing w:val="-1"/>
        </w:rPr>
        <w:t xml:space="preserve"> </w:t>
      </w:r>
      <w:r>
        <w:t>entidad</w:t>
      </w:r>
      <w:r w:rsidRPr="00ED4AB5">
        <w:rPr>
          <w:spacing w:val="-1"/>
        </w:rPr>
        <w:t xml:space="preserve"> </w:t>
      </w:r>
      <w:r>
        <w:t>que</w:t>
      </w:r>
      <w:r w:rsidRPr="00ED4AB5">
        <w:rPr>
          <w:spacing w:val="-1"/>
        </w:rPr>
        <w:t xml:space="preserve"> </w:t>
      </w:r>
      <w:r>
        <w:t>los</w:t>
      </w:r>
      <w:r w:rsidRPr="00ED4AB5">
        <w:rPr>
          <w:spacing w:val="-1"/>
        </w:rPr>
        <w:t xml:space="preserve"> </w:t>
      </w:r>
      <w:r>
        <w:t>facilita.</w:t>
      </w:r>
      <w:r w:rsidRPr="00ED4AB5">
        <w:rPr>
          <w:spacing w:val="-1"/>
        </w:rPr>
        <w:t xml:space="preserve"> </w:t>
      </w:r>
      <w:r>
        <w:t>En</w:t>
      </w:r>
      <w:r w:rsidRPr="00ED4AB5">
        <w:rPr>
          <w:spacing w:val="-1"/>
        </w:rPr>
        <w:t xml:space="preserve"> </w:t>
      </w:r>
      <w:r>
        <w:t>el</w:t>
      </w:r>
      <w:r w:rsidRPr="00ED4AB5">
        <w:rPr>
          <w:spacing w:val="-1"/>
        </w:rPr>
        <w:t xml:space="preserve"> </w:t>
      </w:r>
      <w:r>
        <w:t>caso de</w:t>
      </w:r>
      <w:r w:rsidRPr="00ED4AB5">
        <w:rPr>
          <w:spacing w:val="-1"/>
        </w:rPr>
        <w:t xml:space="preserve"> </w:t>
      </w:r>
      <w:r>
        <w:t>la</w:t>
      </w:r>
      <w:r w:rsidRPr="00ED4AB5">
        <w:rPr>
          <w:spacing w:val="-1"/>
        </w:rPr>
        <w:t xml:space="preserve"> </w:t>
      </w:r>
      <w:r>
        <w:t>Comisión, la carga de legitimidad que le confiere su origen y la naturaleza de su mandato son una garantía de confiabilidad para quienes participan, y deberá considerarse en el futuro.</w:t>
      </w:r>
    </w:p>
    <w:p w:rsidR="003804AC" w:rsidRDefault="00AF18A5" w:rsidP="004A6EF4">
      <w:pPr>
        <w:pStyle w:val="Prrafodelista"/>
        <w:numPr>
          <w:ilvl w:val="0"/>
          <w:numId w:val="25"/>
        </w:numPr>
      </w:pPr>
      <w:r>
        <w:lastRenderedPageBreak/>
        <w:t>La preparación psicosocial y testimonial, que ha sido fundamental en los procesos realizados por la Comisión. Es una preparación dialógica entre víctimas, responsables y la entidad que los facilita.</w:t>
      </w:r>
    </w:p>
    <w:p w:rsidR="003804AC" w:rsidRDefault="00AF18A5" w:rsidP="004A6EF4">
      <w:pPr>
        <w:pStyle w:val="Prrafodelista"/>
        <w:numPr>
          <w:ilvl w:val="0"/>
          <w:numId w:val="25"/>
        </w:numPr>
      </w:pPr>
      <w:r>
        <w:t>La</w:t>
      </w:r>
      <w:r w:rsidRPr="00ED4AB5">
        <w:rPr>
          <w:spacing w:val="-5"/>
        </w:rPr>
        <w:t xml:space="preserve"> </w:t>
      </w:r>
      <w:r>
        <w:t>disposición</w:t>
      </w:r>
      <w:r w:rsidRPr="00ED4AB5">
        <w:rPr>
          <w:spacing w:val="-5"/>
        </w:rPr>
        <w:t xml:space="preserve"> </w:t>
      </w:r>
      <w:r>
        <w:t>de</w:t>
      </w:r>
      <w:r w:rsidRPr="00ED4AB5">
        <w:rPr>
          <w:spacing w:val="-6"/>
        </w:rPr>
        <w:t xml:space="preserve"> </w:t>
      </w:r>
      <w:r>
        <w:t>condiciones</w:t>
      </w:r>
      <w:r w:rsidRPr="00ED4AB5">
        <w:rPr>
          <w:spacing w:val="-5"/>
        </w:rPr>
        <w:t xml:space="preserve"> </w:t>
      </w:r>
      <w:r>
        <w:t>adecuadas</w:t>
      </w:r>
      <w:r w:rsidRPr="00ED4AB5">
        <w:rPr>
          <w:spacing w:val="-5"/>
        </w:rPr>
        <w:t xml:space="preserve"> </w:t>
      </w:r>
      <w:r>
        <w:t>para</w:t>
      </w:r>
      <w:r w:rsidRPr="00ED4AB5">
        <w:rPr>
          <w:spacing w:val="-6"/>
        </w:rPr>
        <w:t xml:space="preserve"> </w:t>
      </w:r>
      <w:r>
        <w:t>que</w:t>
      </w:r>
      <w:r w:rsidRPr="00ED4AB5">
        <w:rPr>
          <w:spacing w:val="-5"/>
        </w:rPr>
        <w:t xml:space="preserve"> </w:t>
      </w:r>
      <w:r>
        <w:t>se</w:t>
      </w:r>
      <w:r w:rsidRPr="00ED4AB5">
        <w:rPr>
          <w:spacing w:val="-5"/>
        </w:rPr>
        <w:t xml:space="preserve"> </w:t>
      </w:r>
      <w:r>
        <w:t>dé</w:t>
      </w:r>
      <w:r w:rsidRPr="00ED4AB5">
        <w:rPr>
          <w:spacing w:val="-5"/>
        </w:rPr>
        <w:t xml:space="preserve"> </w:t>
      </w:r>
      <w:r>
        <w:t>una</w:t>
      </w:r>
      <w:r w:rsidRPr="00ED4AB5">
        <w:rPr>
          <w:spacing w:val="-5"/>
        </w:rPr>
        <w:t xml:space="preserve"> </w:t>
      </w:r>
      <w:r>
        <w:t>interacción</w:t>
      </w:r>
      <w:r w:rsidRPr="00ED4AB5">
        <w:rPr>
          <w:spacing w:val="-5"/>
        </w:rPr>
        <w:t xml:space="preserve"> </w:t>
      </w:r>
      <w:r>
        <w:t>ya</w:t>
      </w:r>
      <w:r w:rsidRPr="00ED4AB5">
        <w:rPr>
          <w:spacing w:val="-5"/>
        </w:rPr>
        <w:t xml:space="preserve"> </w:t>
      </w:r>
      <w:r>
        <w:t>sea</w:t>
      </w:r>
      <w:r w:rsidRPr="00ED4AB5">
        <w:rPr>
          <w:spacing w:val="-5"/>
        </w:rPr>
        <w:t xml:space="preserve"> </w:t>
      </w:r>
      <w:r>
        <w:t>entre</w:t>
      </w:r>
      <w:r w:rsidRPr="00ED4AB5">
        <w:rPr>
          <w:spacing w:val="-5"/>
        </w:rPr>
        <w:t xml:space="preserve"> </w:t>
      </w:r>
      <w:r>
        <w:t>la víctima, el responsable y la entidad que los facilita, o entre víctimas y responsables. Son imprescindibles condiciones de seguridad, confianza, respeto, etc.</w:t>
      </w:r>
    </w:p>
    <w:p w:rsidR="003804AC" w:rsidRDefault="00AF18A5" w:rsidP="004A6EF4">
      <w:pPr>
        <w:pStyle w:val="Prrafodelista"/>
        <w:numPr>
          <w:ilvl w:val="0"/>
          <w:numId w:val="25"/>
        </w:numPr>
      </w:pPr>
      <w:r>
        <w:t xml:space="preserve">Escuchar no solo se refiere al testimonio sobre lo ocurrido, sino que a propósito de lo ocurrido la escucha se traslada a otras dimensiones: necesidades humanas profundas, los miedos que sienten las víctimas y los responsables de encontrarse con el otro. Cuando hay condiciones para que suceda la interacción y se puedan expresar esas necesidades y miedos es posible reconstruir o </w:t>
      </w:r>
      <w:proofErr w:type="spellStart"/>
      <w:r>
        <w:t>re-construir</w:t>
      </w:r>
      <w:proofErr w:type="spellEnd"/>
      <w:r>
        <w:t xml:space="preserve"> otra cosa.</w:t>
      </w:r>
    </w:p>
    <w:p w:rsidR="003804AC" w:rsidRDefault="00AF18A5" w:rsidP="004A6EF4">
      <w:pPr>
        <w:pStyle w:val="Prrafodelista"/>
        <w:numPr>
          <w:ilvl w:val="0"/>
          <w:numId w:val="25"/>
        </w:numPr>
      </w:pPr>
      <w:r>
        <w:t>Las interacciones no solo pasan por la relación víctima-responsable, sino que las personas se</w:t>
      </w:r>
      <w:r w:rsidRPr="00ED4AB5">
        <w:rPr>
          <w:spacing w:val="-1"/>
        </w:rPr>
        <w:t xml:space="preserve"> </w:t>
      </w:r>
      <w:r>
        <w:t>conectan de</w:t>
      </w:r>
      <w:r w:rsidRPr="00ED4AB5">
        <w:rPr>
          <w:spacing w:val="-1"/>
        </w:rPr>
        <w:t xml:space="preserve"> </w:t>
      </w:r>
      <w:r>
        <w:t>muchas otras formas y se descubren</w:t>
      </w:r>
      <w:r w:rsidRPr="00ED4AB5">
        <w:rPr>
          <w:spacing w:val="-1"/>
        </w:rPr>
        <w:t xml:space="preserve"> </w:t>
      </w:r>
      <w:r>
        <w:t>en un mismo lado: lo humano, la familia, la esperanza de aportar a una salida.</w:t>
      </w:r>
    </w:p>
    <w:p w:rsidR="003804AC" w:rsidRDefault="00AF18A5" w:rsidP="004A6EF4">
      <w:pPr>
        <w:pStyle w:val="Prrafodelista"/>
        <w:numPr>
          <w:ilvl w:val="0"/>
          <w:numId w:val="25"/>
        </w:numPr>
      </w:pPr>
      <w:r>
        <w:t>La capacidad de ponerse al otro en un nuevo lugar, y se reconfigura la imagen que se tenía:</w:t>
      </w:r>
      <w:r w:rsidRPr="00ED4AB5">
        <w:rPr>
          <w:spacing w:val="-10"/>
        </w:rPr>
        <w:t xml:space="preserve"> </w:t>
      </w:r>
      <w:r>
        <w:t>«lo</w:t>
      </w:r>
      <w:r w:rsidRPr="00ED4AB5">
        <w:rPr>
          <w:spacing w:val="-11"/>
        </w:rPr>
        <w:t xml:space="preserve"> </w:t>
      </w:r>
      <w:r>
        <w:t>vi</w:t>
      </w:r>
      <w:r w:rsidRPr="00ED4AB5">
        <w:rPr>
          <w:spacing w:val="-12"/>
        </w:rPr>
        <w:t xml:space="preserve"> </w:t>
      </w:r>
      <w:r>
        <w:t>como</w:t>
      </w:r>
      <w:r w:rsidRPr="00ED4AB5">
        <w:rPr>
          <w:spacing w:val="-11"/>
        </w:rPr>
        <w:t xml:space="preserve"> </w:t>
      </w:r>
      <w:r>
        <w:t>humano»,</w:t>
      </w:r>
      <w:r w:rsidRPr="00ED4AB5">
        <w:rPr>
          <w:spacing w:val="-11"/>
        </w:rPr>
        <w:t xml:space="preserve"> </w:t>
      </w:r>
      <w:r>
        <w:t>«me</w:t>
      </w:r>
      <w:r w:rsidRPr="00ED4AB5">
        <w:rPr>
          <w:spacing w:val="-12"/>
        </w:rPr>
        <w:t xml:space="preserve"> </w:t>
      </w:r>
      <w:r>
        <w:t>di</w:t>
      </w:r>
      <w:r w:rsidRPr="00ED4AB5">
        <w:rPr>
          <w:spacing w:val="-13"/>
        </w:rPr>
        <w:t xml:space="preserve"> </w:t>
      </w:r>
      <w:r>
        <w:t>cuenta</w:t>
      </w:r>
      <w:r w:rsidRPr="00ED4AB5">
        <w:rPr>
          <w:spacing w:val="-12"/>
        </w:rPr>
        <w:t xml:space="preserve"> </w:t>
      </w:r>
      <w:r>
        <w:t>que</w:t>
      </w:r>
      <w:r w:rsidRPr="00ED4AB5">
        <w:rPr>
          <w:spacing w:val="-12"/>
        </w:rPr>
        <w:t xml:space="preserve"> </w:t>
      </w:r>
      <w:r>
        <w:t>era</w:t>
      </w:r>
      <w:r w:rsidRPr="00ED4AB5">
        <w:rPr>
          <w:spacing w:val="-11"/>
        </w:rPr>
        <w:t xml:space="preserve"> </w:t>
      </w:r>
      <w:r>
        <w:t>una</w:t>
      </w:r>
      <w:r w:rsidRPr="00ED4AB5">
        <w:rPr>
          <w:spacing w:val="-12"/>
        </w:rPr>
        <w:t xml:space="preserve"> </w:t>
      </w:r>
      <w:r>
        <w:t>persona</w:t>
      </w:r>
      <w:r w:rsidRPr="00ED4AB5">
        <w:rPr>
          <w:spacing w:val="-11"/>
        </w:rPr>
        <w:t xml:space="preserve"> </w:t>
      </w:r>
      <w:r>
        <w:t>como</w:t>
      </w:r>
      <w:r w:rsidRPr="00ED4AB5">
        <w:rPr>
          <w:spacing w:val="-12"/>
        </w:rPr>
        <w:t xml:space="preserve"> </w:t>
      </w:r>
      <w:r>
        <w:t>yo…</w:t>
      </w:r>
      <w:r w:rsidRPr="00ED4AB5">
        <w:rPr>
          <w:spacing w:val="-11"/>
        </w:rPr>
        <w:t xml:space="preserve"> </w:t>
      </w:r>
      <w:r>
        <w:t>de</w:t>
      </w:r>
      <w:r w:rsidRPr="00ED4AB5">
        <w:rPr>
          <w:spacing w:val="-11"/>
        </w:rPr>
        <w:t xml:space="preserve"> </w:t>
      </w:r>
      <w:r>
        <w:t>carne</w:t>
      </w:r>
      <w:r w:rsidRPr="00ED4AB5">
        <w:rPr>
          <w:spacing w:val="-13"/>
        </w:rPr>
        <w:t xml:space="preserve"> </w:t>
      </w:r>
      <w:r>
        <w:t>y</w:t>
      </w:r>
      <w:r w:rsidRPr="00ED4AB5">
        <w:rPr>
          <w:spacing w:val="-11"/>
        </w:rPr>
        <w:t xml:space="preserve"> </w:t>
      </w:r>
      <w:r>
        <w:t>hueso, que se ríe, que tiene familia…».</w:t>
      </w:r>
    </w:p>
    <w:p w:rsidR="003804AC" w:rsidRDefault="00AF18A5" w:rsidP="004A6EF4">
      <w:pPr>
        <w:pStyle w:val="Prrafodelista"/>
        <w:numPr>
          <w:ilvl w:val="0"/>
          <w:numId w:val="25"/>
        </w:numPr>
      </w:pPr>
      <w:r>
        <w:t>En cuanto a lo testimonial, es fundamental la referencia a los hechos de forma clara; nombrar las cosas por su nombre: «fue una masacre», «yo participé». Es posible que no se requiera un</w:t>
      </w:r>
      <w:r w:rsidRPr="00ED4AB5">
        <w:rPr>
          <w:spacing w:val="-2"/>
        </w:rPr>
        <w:t xml:space="preserve"> </w:t>
      </w:r>
      <w:r>
        <w:t>nivel</w:t>
      </w:r>
      <w:r w:rsidRPr="00ED4AB5">
        <w:rPr>
          <w:spacing w:val="-1"/>
        </w:rPr>
        <w:t xml:space="preserve"> </w:t>
      </w:r>
      <w:r>
        <w:t>de detalle</w:t>
      </w:r>
      <w:r w:rsidRPr="00ED4AB5">
        <w:rPr>
          <w:spacing w:val="-1"/>
        </w:rPr>
        <w:t xml:space="preserve"> </w:t>
      </w:r>
      <w:r>
        <w:t>frente</w:t>
      </w:r>
      <w:r w:rsidRPr="00ED4AB5">
        <w:rPr>
          <w:spacing w:val="-1"/>
        </w:rPr>
        <w:t xml:space="preserve"> </w:t>
      </w:r>
      <w:r>
        <w:t>a</w:t>
      </w:r>
      <w:r w:rsidRPr="00ED4AB5">
        <w:rPr>
          <w:spacing w:val="-2"/>
        </w:rPr>
        <w:t xml:space="preserve"> </w:t>
      </w:r>
      <w:r>
        <w:t>lo ocurrido,</w:t>
      </w:r>
      <w:r w:rsidRPr="00ED4AB5">
        <w:rPr>
          <w:spacing w:val="-2"/>
        </w:rPr>
        <w:t xml:space="preserve"> </w:t>
      </w:r>
      <w:r>
        <w:t>incluso</w:t>
      </w:r>
      <w:r w:rsidRPr="00ED4AB5">
        <w:rPr>
          <w:spacing w:val="-1"/>
        </w:rPr>
        <w:t xml:space="preserve"> </w:t>
      </w:r>
      <w:r>
        <w:t>que</w:t>
      </w:r>
      <w:r w:rsidRPr="00ED4AB5">
        <w:rPr>
          <w:spacing w:val="-1"/>
        </w:rPr>
        <w:t xml:space="preserve"> </w:t>
      </w:r>
      <w:r>
        <w:t>las víctimas</w:t>
      </w:r>
      <w:r w:rsidRPr="00ED4AB5">
        <w:rPr>
          <w:spacing w:val="-1"/>
        </w:rPr>
        <w:t xml:space="preserve"> </w:t>
      </w:r>
      <w:r>
        <w:t>esclarezcan</w:t>
      </w:r>
      <w:r w:rsidRPr="00ED4AB5">
        <w:rPr>
          <w:spacing w:val="-1"/>
        </w:rPr>
        <w:t xml:space="preserve"> </w:t>
      </w:r>
      <w:r>
        <w:t xml:space="preserve">poco o nada. En algunos casos, lo que puede pesar y mover a un giro es la actitud del responsable. Lo que hace posible el giro puede ser solo el encuentro auténtico de esas expectativas, </w:t>
      </w:r>
      <w:r>
        <w:lastRenderedPageBreak/>
        <w:t>que pasa por la expresión franca de los miedos, de los dolores.</w:t>
      </w:r>
    </w:p>
    <w:p w:rsidR="003804AC" w:rsidRDefault="00AF18A5" w:rsidP="004A6EF4">
      <w:pPr>
        <w:pStyle w:val="Prrafodelista"/>
        <w:numPr>
          <w:ilvl w:val="0"/>
          <w:numId w:val="25"/>
        </w:numPr>
      </w:pPr>
      <w:r>
        <w:t>Debe</w:t>
      </w:r>
      <w:r w:rsidRPr="00ED4AB5">
        <w:rPr>
          <w:spacing w:val="-8"/>
        </w:rPr>
        <w:t xml:space="preserve"> </w:t>
      </w:r>
      <w:r>
        <w:t>estar</w:t>
      </w:r>
      <w:r w:rsidRPr="00ED4AB5">
        <w:rPr>
          <w:spacing w:val="-8"/>
        </w:rPr>
        <w:t xml:space="preserve"> </w:t>
      </w:r>
      <w:r>
        <w:t>la</w:t>
      </w:r>
      <w:r w:rsidRPr="00ED4AB5">
        <w:rPr>
          <w:spacing w:val="-8"/>
        </w:rPr>
        <w:t xml:space="preserve"> </w:t>
      </w:r>
      <w:r>
        <w:t>posibilidad</w:t>
      </w:r>
      <w:r w:rsidRPr="00ED4AB5">
        <w:rPr>
          <w:spacing w:val="-8"/>
        </w:rPr>
        <w:t xml:space="preserve"> </w:t>
      </w:r>
      <w:r>
        <w:t>de</w:t>
      </w:r>
      <w:r w:rsidRPr="00ED4AB5">
        <w:rPr>
          <w:spacing w:val="-8"/>
        </w:rPr>
        <w:t xml:space="preserve"> </w:t>
      </w:r>
      <w:r>
        <w:t>exponer</w:t>
      </w:r>
      <w:r w:rsidRPr="00ED4AB5">
        <w:rPr>
          <w:spacing w:val="-8"/>
        </w:rPr>
        <w:t xml:space="preserve"> </w:t>
      </w:r>
      <w:r>
        <w:t>las</w:t>
      </w:r>
      <w:r w:rsidRPr="00ED4AB5">
        <w:rPr>
          <w:spacing w:val="-9"/>
        </w:rPr>
        <w:t xml:space="preserve"> </w:t>
      </w:r>
      <w:r>
        <w:t>propias</w:t>
      </w:r>
      <w:r w:rsidRPr="00ED4AB5">
        <w:rPr>
          <w:spacing w:val="-8"/>
        </w:rPr>
        <w:t xml:space="preserve"> </w:t>
      </w:r>
      <w:r>
        <w:t>contradicciones:</w:t>
      </w:r>
      <w:r w:rsidRPr="00ED4AB5">
        <w:rPr>
          <w:spacing w:val="-8"/>
        </w:rPr>
        <w:t xml:space="preserve"> </w:t>
      </w:r>
      <w:r>
        <w:t>«nunca</w:t>
      </w:r>
      <w:r w:rsidRPr="00ED4AB5">
        <w:rPr>
          <w:spacing w:val="-8"/>
        </w:rPr>
        <w:t xml:space="preserve"> </w:t>
      </w:r>
      <w:r>
        <w:t>creí</w:t>
      </w:r>
      <w:r w:rsidRPr="00ED4AB5">
        <w:rPr>
          <w:spacing w:val="-8"/>
        </w:rPr>
        <w:t xml:space="preserve"> </w:t>
      </w:r>
      <w:r>
        <w:t>que</w:t>
      </w:r>
      <w:r w:rsidRPr="00ED4AB5">
        <w:rPr>
          <w:spacing w:val="-8"/>
        </w:rPr>
        <w:t xml:space="preserve"> </w:t>
      </w:r>
      <w:r>
        <w:t>fuera capaz de encontrarme y hablar con un paramilitar», «no quería verla, pero ahora que lo veo necesito saber más de ella», «sentía culpa por no poder perdonar», «no sabía cómo iban a reaccionar</w:t>
      </w:r>
      <w:r w:rsidRPr="00ED4AB5">
        <w:rPr>
          <w:spacing w:val="-12"/>
        </w:rPr>
        <w:t xml:space="preserve"> </w:t>
      </w:r>
      <w:r>
        <w:t>las</w:t>
      </w:r>
      <w:r w:rsidRPr="00ED4AB5">
        <w:rPr>
          <w:spacing w:val="-11"/>
        </w:rPr>
        <w:t xml:space="preserve"> </w:t>
      </w:r>
      <w:r>
        <w:t>víctimas</w:t>
      </w:r>
      <w:r w:rsidRPr="00ED4AB5">
        <w:rPr>
          <w:spacing w:val="-11"/>
        </w:rPr>
        <w:t xml:space="preserve"> </w:t>
      </w:r>
      <w:r>
        <w:t>si</w:t>
      </w:r>
      <w:r w:rsidRPr="00ED4AB5">
        <w:rPr>
          <w:spacing w:val="-12"/>
        </w:rPr>
        <w:t xml:space="preserve"> </w:t>
      </w:r>
      <w:r>
        <w:t>me</w:t>
      </w:r>
      <w:r w:rsidRPr="00ED4AB5">
        <w:rPr>
          <w:spacing w:val="-11"/>
        </w:rPr>
        <w:t xml:space="preserve"> </w:t>
      </w:r>
      <w:r>
        <w:t>veían</w:t>
      </w:r>
      <w:r w:rsidRPr="00ED4AB5">
        <w:rPr>
          <w:spacing w:val="-11"/>
        </w:rPr>
        <w:t xml:space="preserve"> </w:t>
      </w:r>
      <w:r>
        <w:t>hablando</w:t>
      </w:r>
      <w:r w:rsidRPr="00ED4AB5">
        <w:rPr>
          <w:spacing w:val="-11"/>
        </w:rPr>
        <w:t xml:space="preserve"> </w:t>
      </w:r>
      <w:r>
        <w:t>o</w:t>
      </w:r>
      <w:r w:rsidRPr="00ED4AB5">
        <w:rPr>
          <w:spacing w:val="-11"/>
        </w:rPr>
        <w:t xml:space="preserve"> </w:t>
      </w:r>
      <w:r>
        <w:t>riéndome</w:t>
      </w:r>
      <w:r w:rsidRPr="00ED4AB5">
        <w:rPr>
          <w:spacing w:val="-11"/>
        </w:rPr>
        <w:t xml:space="preserve"> </w:t>
      </w:r>
      <w:r>
        <w:t>con</w:t>
      </w:r>
      <w:r w:rsidRPr="00ED4AB5">
        <w:rPr>
          <w:spacing w:val="-11"/>
        </w:rPr>
        <w:t xml:space="preserve"> </w:t>
      </w:r>
      <w:r>
        <w:t>esa</w:t>
      </w:r>
      <w:r w:rsidRPr="00ED4AB5">
        <w:rPr>
          <w:spacing w:val="-11"/>
        </w:rPr>
        <w:t xml:space="preserve"> </w:t>
      </w:r>
      <w:r>
        <w:t>persona</w:t>
      </w:r>
      <w:r w:rsidRPr="00ED4AB5">
        <w:rPr>
          <w:spacing w:val="-11"/>
        </w:rPr>
        <w:t xml:space="preserve"> </w:t>
      </w:r>
      <w:r>
        <w:t>que</w:t>
      </w:r>
      <w:r w:rsidRPr="00ED4AB5">
        <w:rPr>
          <w:spacing w:val="-11"/>
        </w:rPr>
        <w:t xml:space="preserve"> </w:t>
      </w:r>
      <w:r>
        <w:t>les</w:t>
      </w:r>
      <w:r w:rsidRPr="00ED4AB5">
        <w:rPr>
          <w:spacing w:val="-11"/>
        </w:rPr>
        <w:t xml:space="preserve"> </w:t>
      </w:r>
      <w:r>
        <w:t>había</w:t>
      </w:r>
      <w:r w:rsidRPr="00ED4AB5">
        <w:rPr>
          <w:spacing w:val="-12"/>
        </w:rPr>
        <w:t xml:space="preserve"> </w:t>
      </w:r>
      <w:r>
        <w:t>hecho tanto daño».</w:t>
      </w:r>
    </w:p>
    <w:p w:rsidR="003804AC" w:rsidRDefault="00AF18A5" w:rsidP="004A6EF4">
      <w:pPr>
        <w:pStyle w:val="Prrafodelista"/>
        <w:numPr>
          <w:ilvl w:val="0"/>
          <w:numId w:val="25"/>
        </w:numPr>
      </w:pPr>
      <w:r>
        <w:t xml:space="preserve">El cuidado de la identidad es indispensable. Brindar cuidado las condiciones para el legítimo relato que reconozca lo sucedido o la acción, pero proteja los elementos de su </w:t>
      </w:r>
      <w:r w:rsidRPr="00ED4AB5">
        <w:rPr>
          <w:spacing w:val="-2"/>
        </w:rPr>
        <w:t>identidad.</w:t>
      </w:r>
    </w:p>
    <w:p w:rsidR="003804AC" w:rsidRDefault="00AF18A5" w:rsidP="004A6EF4">
      <w:pPr>
        <w:pStyle w:val="Prrafodelista"/>
        <w:numPr>
          <w:ilvl w:val="0"/>
          <w:numId w:val="25"/>
        </w:numPr>
      </w:pPr>
      <w:r>
        <w:t>Las personas, sean víctimas o responsables, se confrontan con quienes han tenido experiencias</w:t>
      </w:r>
      <w:r w:rsidRPr="00ED4AB5">
        <w:rPr>
          <w:spacing w:val="-5"/>
        </w:rPr>
        <w:t xml:space="preserve"> </w:t>
      </w:r>
      <w:r>
        <w:t>similares,</w:t>
      </w:r>
      <w:r w:rsidRPr="00ED4AB5">
        <w:rPr>
          <w:spacing w:val="-4"/>
        </w:rPr>
        <w:t xml:space="preserve"> </w:t>
      </w:r>
      <w:r>
        <w:t>que</w:t>
      </w:r>
      <w:r w:rsidRPr="00ED4AB5">
        <w:rPr>
          <w:spacing w:val="-3"/>
        </w:rPr>
        <w:t xml:space="preserve"> </w:t>
      </w:r>
      <w:r>
        <w:t>les</w:t>
      </w:r>
      <w:r w:rsidRPr="00ED4AB5">
        <w:rPr>
          <w:spacing w:val="-3"/>
        </w:rPr>
        <w:t xml:space="preserve"> </w:t>
      </w:r>
      <w:r>
        <w:t>hacen</w:t>
      </w:r>
      <w:r w:rsidRPr="00ED4AB5">
        <w:rPr>
          <w:spacing w:val="-5"/>
        </w:rPr>
        <w:t xml:space="preserve"> </w:t>
      </w:r>
      <w:r>
        <w:t>ver,</w:t>
      </w:r>
      <w:r w:rsidRPr="00ED4AB5">
        <w:rPr>
          <w:spacing w:val="-4"/>
        </w:rPr>
        <w:t xml:space="preserve"> </w:t>
      </w:r>
      <w:r>
        <w:t>o</w:t>
      </w:r>
      <w:r w:rsidRPr="00ED4AB5">
        <w:rPr>
          <w:spacing w:val="-4"/>
        </w:rPr>
        <w:t xml:space="preserve"> </w:t>
      </w:r>
      <w:r>
        <w:t>les</w:t>
      </w:r>
      <w:r w:rsidRPr="00ED4AB5">
        <w:rPr>
          <w:spacing w:val="-3"/>
        </w:rPr>
        <w:t xml:space="preserve"> </w:t>
      </w:r>
      <w:r>
        <w:t>reflejan</w:t>
      </w:r>
      <w:r w:rsidRPr="00ED4AB5">
        <w:rPr>
          <w:spacing w:val="-4"/>
        </w:rPr>
        <w:t xml:space="preserve"> </w:t>
      </w:r>
      <w:r>
        <w:t>otros</w:t>
      </w:r>
      <w:r w:rsidRPr="00ED4AB5">
        <w:rPr>
          <w:spacing w:val="-5"/>
        </w:rPr>
        <w:t xml:space="preserve"> </w:t>
      </w:r>
      <w:r>
        <w:t>puntos</w:t>
      </w:r>
      <w:r w:rsidRPr="00ED4AB5">
        <w:rPr>
          <w:spacing w:val="-4"/>
        </w:rPr>
        <w:t xml:space="preserve"> </w:t>
      </w:r>
      <w:r>
        <w:t>de</w:t>
      </w:r>
      <w:r w:rsidRPr="00ED4AB5">
        <w:rPr>
          <w:spacing w:val="-3"/>
        </w:rPr>
        <w:t xml:space="preserve"> </w:t>
      </w:r>
      <w:r>
        <w:t>vista.</w:t>
      </w:r>
      <w:r w:rsidRPr="00ED4AB5">
        <w:rPr>
          <w:spacing w:val="-4"/>
        </w:rPr>
        <w:t xml:space="preserve"> </w:t>
      </w:r>
      <w:r>
        <w:t>Esto</w:t>
      </w:r>
      <w:r w:rsidRPr="00ED4AB5">
        <w:rPr>
          <w:spacing w:val="-4"/>
        </w:rPr>
        <w:t xml:space="preserve"> </w:t>
      </w:r>
      <w:r>
        <w:t>sucede</w:t>
      </w:r>
      <w:r w:rsidRPr="00ED4AB5">
        <w:rPr>
          <w:spacing w:val="-3"/>
        </w:rPr>
        <w:t xml:space="preserve"> </w:t>
      </w:r>
      <w:r>
        <w:t>en encuentros entre responsables y en encuentros entre víctimas.</w:t>
      </w:r>
    </w:p>
    <w:p w:rsidR="0011361F" w:rsidRDefault="00AF18A5" w:rsidP="004A6EF4">
      <w:pPr>
        <w:pStyle w:val="Ttulo3"/>
        <w:numPr>
          <w:ilvl w:val="1"/>
          <w:numId w:val="16"/>
        </w:numPr>
      </w:pPr>
      <w:bookmarkStart w:id="1463" w:name="11.6._Las_lecciones_y_aprendizajes_para_"/>
      <w:bookmarkStart w:id="1464" w:name="_Toc112399673"/>
      <w:bookmarkEnd w:id="1463"/>
      <w:r>
        <w:t>Las</w:t>
      </w:r>
      <w:r>
        <w:rPr>
          <w:spacing w:val="-2"/>
        </w:rPr>
        <w:t xml:space="preserve"> </w:t>
      </w:r>
      <w:r>
        <w:t>lecciones</w:t>
      </w:r>
      <w:r>
        <w:rPr>
          <w:spacing w:val="-1"/>
        </w:rPr>
        <w:t xml:space="preserve"> </w:t>
      </w:r>
      <w:r>
        <w:t>y</w:t>
      </w:r>
      <w:r>
        <w:rPr>
          <w:spacing w:val="-1"/>
        </w:rPr>
        <w:t xml:space="preserve"> </w:t>
      </w:r>
      <w:r>
        <w:t>aprendizajes</w:t>
      </w:r>
      <w:r>
        <w:rPr>
          <w:spacing w:val="-2"/>
        </w:rPr>
        <w:t xml:space="preserve"> </w:t>
      </w:r>
      <w:r>
        <w:t>para</w:t>
      </w:r>
      <w:r>
        <w:rPr>
          <w:spacing w:val="-1"/>
        </w:rPr>
        <w:t xml:space="preserve"> </w:t>
      </w:r>
      <w:r>
        <w:t>la</w:t>
      </w:r>
      <w:r>
        <w:rPr>
          <w:spacing w:val="-1"/>
        </w:rPr>
        <w:t xml:space="preserve"> </w:t>
      </w:r>
      <w:r>
        <w:rPr>
          <w:spacing w:val="-2"/>
        </w:rPr>
        <w:t>sociedad</w:t>
      </w:r>
      <w:bookmarkEnd w:id="1464"/>
    </w:p>
    <w:p w:rsidR="0011361F" w:rsidRDefault="00AF18A5" w:rsidP="004A6EF4">
      <w:pPr>
        <w:pStyle w:val="Ttulo4"/>
        <w:numPr>
          <w:ilvl w:val="2"/>
          <w:numId w:val="16"/>
        </w:numPr>
      </w:pPr>
      <w:bookmarkStart w:id="1465" w:name="11.6.1._Quiebres_y_giros_éticos"/>
      <w:bookmarkEnd w:id="1465"/>
      <w:r>
        <w:t>Quiebres</w:t>
      </w:r>
      <w:r>
        <w:rPr>
          <w:spacing w:val="-1"/>
        </w:rPr>
        <w:t xml:space="preserve"> </w:t>
      </w:r>
      <w:r>
        <w:t>y</w:t>
      </w:r>
      <w:r>
        <w:rPr>
          <w:spacing w:val="-2"/>
        </w:rPr>
        <w:t xml:space="preserve"> </w:t>
      </w:r>
      <w:r>
        <w:t>giros</w:t>
      </w:r>
      <w:r>
        <w:rPr>
          <w:spacing w:val="-1"/>
        </w:rPr>
        <w:t xml:space="preserve"> </w:t>
      </w:r>
      <w:r>
        <w:rPr>
          <w:spacing w:val="-2"/>
        </w:rPr>
        <w:t>éticos</w:t>
      </w:r>
    </w:p>
    <w:p w:rsidR="003804AC" w:rsidRDefault="00AF18A5" w:rsidP="00130A31">
      <w:r>
        <w:t>En los reconocimientos están en juego dos dimensiones. La dimensión ética de lo ocurrido, que</w:t>
      </w:r>
      <w:r>
        <w:rPr>
          <w:spacing w:val="50"/>
        </w:rPr>
        <w:t xml:space="preserve"> </w:t>
      </w:r>
      <w:r>
        <w:t>se</w:t>
      </w:r>
      <w:r>
        <w:rPr>
          <w:spacing w:val="53"/>
        </w:rPr>
        <w:t xml:space="preserve"> </w:t>
      </w:r>
      <w:r>
        <w:t>centra</w:t>
      </w:r>
      <w:r>
        <w:rPr>
          <w:spacing w:val="53"/>
        </w:rPr>
        <w:t xml:space="preserve"> </w:t>
      </w:r>
      <w:r>
        <w:t>en</w:t>
      </w:r>
      <w:r>
        <w:rPr>
          <w:spacing w:val="51"/>
        </w:rPr>
        <w:t xml:space="preserve"> </w:t>
      </w:r>
      <w:r>
        <w:t>la</w:t>
      </w:r>
      <w:r>
        <w:rPr>
          <w:spacing w:val="53"/>
        </w:rPr>
        <w:t xml:space="preserve"> </w:t>
      </w:r>
      <w:r>
        <w:t>experiencia,</w:t>
      </w:r>
      <w:r>
        <w:rPr>
          <w:spacing w:val="51"/>
        </w:rPr>
        <w:t xml:space="preserve"> </w:t>
      </w:r>
      <w:r>
        <w:t>los</w:t>
      </w:r>
      <w:r>
        <w:rPr>
          <w:spacing w:val="53"/>
        </w:rPr>
        <w:t xml:space="preserve"> </w:t>
      </w:r>
      <w:r>
        <w:t>valores</w:t>
      </w:r>
      <w:r>
        <w:rPr>
          <w:spacing w:val="53"/>
        </w:rPr>
        <w:t xml:space="preserve"> </w:t>
      </w:r>
      <w:r>
        <w:t>sobre</w:t>
      </w:r>
      <w:r>
        <w:rPr>
          <w:spacing w:val="53"/>
        </w:rPr>
        <w:t xml:space="preserve"> </w:t>
      </w:r>
      <w:r>
        <w:t>la</w:t>
      </w:r>
      <w:r>
        <w:rPr>
          <w:spacing w:val="52"/>
        </w:rPr>
        <w:t xml:space="preserve"> </w:t>
      </w:r>
      <w:r>
        <w:t>vida,</w:t>
      </w:r>
      <w:r>
        <w:rPr>
          <w:spacing w:val="53"/>
        </w:rPr>
        <w:t xml:space="preserve"> </w:t>
      </w:r>
      <w:r>
        <w:t>los</w:t>
      </w:r>
      <w:r>
        <w:rPr>
          <w:spacing w:val="53"/>
        </w:rPr>
        <w:t xml:space="preserve"> </w:t>
      </w:r>
      <w:r>
        <w:t>derechos</w:t>
      </w:r>
      <w:r>
        <w:rPr>
          <w:spacing w:val="53"/>
        </w:rPr>
        <w:t xml:space="preserve"> </w:t>
      </w:r>
      <w:r>
        <w:t>humanos</w:t>
      </w:r>
      <w:r>
        <w:rPr>
          <w:spacing w:val="53"/>
        </w:rPr>
        <w:t xml:space="preserve"> </w:t>
      </w:r>
      <w:r>
        <w:t>y</w:t>
      </w:r>
      <w:r>
        <w:rPr>
          <w:spacing w:val="53"/>
        </w:rPr>
        <w:t xml:space="preserve"> </w:t>
      </w:r>
      <w:r>
        <w:rPr>
          <w:spacing w:val="-5"/>
        </w:rPr>
        <w:t>la</w:t>
      </w:r>
      <w:r w:rsidR="00130A31">
        <w:t xml:space="preserve"> </w:t>
      </w:r>
      <w:r>
        <w:t>humanidad. Y, de otro lado, la dimensión política, que se relaciona con aspectos como las relaciones de poder, las jerarquías, y también las convicciones, las visiones de mundo y las identidades construidas alrededor de las mismas. El trabajo de la Comisión toca esas dos dimensiones. Con una aproximación desde la ética, evitando ceder a la mera racionalidad política en</w:t>
      </w:r>
      <w:r>
        <w:rPr>
          <w:spacing w:val="-1"/>
        </w:rPr>
        <w:t xml:space="preserve"> </w:t>
      </w:r>
      <w:r>
        <w:t>la cual es</w:t>
      </w:r>
      <w:r>
        <w:rPr>
          <w:spacing w:val="-1"/>
        </w:rPr>
        <w:t xml:space="preserve"> </w:t>
      </w:r>
      <w:r>
        <w:t>frecuente el discurso de la justificación,</w:t>
      </w:r>
      <w:r>
        <w:rPr>
          <w:spacing w:val="-1"/>
        </w:rPr>
        <w:t xml:space="preserve"> </w:t>
      </w:r>
      <w:r>
        <w:t>sin desconocer la</w:t>
      </w:r>
      <w:r>
        <w:rPr>
          <w:spacing w:val="-1"/>
        </w:rPr>
        <w:t xml:space="preserve"> </w:t>
      </w:r>
      <w:r>
        <w:t>reciprocidad entre estas dos dimensiones</w:t>
      </w:r>
      <w:r>
        <w:rPr>
          <w:b/>
        </w:rPr>
        <w:t xml:space="preserve">. </w:t>
      </w:r>
      <w:r>
        <w:t>Por ello, estos procesos de reconocimiento no solo hablan de víctimas</w:t>
      </w:r>
      <w:r>
        <w:rPr>
          <w:spacing w:val="-13"/>
        </w:rPr>
        <w:t xml:space="preserve"> </w:t>
      </w:r>
      <w:r>
        <w:t>y</w:t>
      </w:r>
      <w:r>
        <w:rPr>
          <w:spacing w:val="-13"/>
        </w:rPr>
        <w:t xml:space="preserve"> </w:t>
      </w:r>
      <w:r>
        <w:t>responsables,</w:t>
      </w:r>
      <w:r>
        <w:rPr>
          <w:spacing w:val="-14"/>
        </w:rPr>
        <w:t xml:space="preserve"> </w:t>
      </w:r>
      <w:r>
        <w:t>sino</w:t>
      </w:r>
      <w:r>
        <w:rPr>
          <w:spacing w:val="-13"/>
        </w:rPr>
        <w:t xml:space="preserve"> </w:t>
      </w:r>
      <w:r>
        <w:t>de</w:t>
      </w:r>
      <w:r>
        <w:rPr>
          <w:spacing w:val="-13"/>
        </w:rPr>
        <w:t xml:space="preserve"> </w:t>
      </w:r>
      <w:r>
        <w:t>los</w:t>
      </w:r>
      <w:r>
        <w:rPr>
          <w:spacing w:val="-13"/>
        </w:rPr>
        <w:t xml:space="preserve"> </w:t>
      </w:r>
      <w:r>
        <w:t>marcos</w:t>
      </w:r>
      <w:r>
        <w:rPr>
          <w:spacing w:val="-13"/>
        </w:rPr>
        <w:t xml:space="preserve"> </w:t>
      </w:r>
      <w:r>
        <w:t>sociales</w:t>
      </w:r>
      <w:r>
        <w:rPr>
          <w:spacing w:val="-13"/>
        </w:rPr>
        <w:t xml:space="preserve"> </w:t>
      </w:r>
      <w:r>
        <w:t>y</w:t>
      </w:r>
      <w:r>
        <w:rPr>
          <w:spacing w:val="-13"/>
        </w:rPr>
        <w:t xml:space="preserve"> </w:t>
      </w:r>
      <w:r>
        <w:lastRenderedPageBreak/>
        <w:t>culturales,</w:t>
      </w:r>
      <w:r>
        <w:rPr>
          <w:spacing w:val="-13"/>
        </w:rPr>
        <w:t xml:space="preserve"> </w:t>
      </w:r>
      <w:r>
        <w:t>políticos</w:t>
      </w:r>
      <w:r>
        <w:rPr>
          <w:spacing w:val="-13"/>
        </w:rPr>
        <w:t xml:space="preserve"> </w:t>
      </w:r>
      <w:r>
        <w:t>y</w:t>
      </w:r>
      <w:r>
        <w:rPr>
          <w:spacing w:val="-13"/>
        </w:rPr>
        <w:t xml:space="preserve"> </w:t>
      </w:r>
      <w:r>
        <w:t>económicos,</w:t>
      </w:r>
      <w:r>
        <w:rPr>
          <w:spacing w:val="-13"/>
        </w:rPr>
        <w:t xml:space="preserve"> </w:t>
      </w:r>
      <w:r>
        <w:t>que hicieron posible el horror a gran escala vivido en Colombia, y constituyen un tipo de «giro ético» para la sociedad.</w:t>
      </w:r>
    </w:p>
    <w:p w:rsidR="003804AC" w:rsidRDefault="00AF18A5" w:rsidP="00130A31">
      <w:r>
        <w:t>Los reconocimientos de responsabilidad buscan construir espacios donde no quepa la lógica de la guerra, presente en las mentalidades de muchos sectores sociales. Eso exige escuchar</w:t>
      </w:r>
      <w:r>
        <w:rPr>
          <w:spacing w:val="-15"/>
        </w:rPr>
        <w:t xml:space="preserve"> </w:t>
      </w:r>
      <w:r>
        <w:t>y</w:t>
      </w:r>
      <w:r>
        <w:rPr>
          <w:spacing w:val="-15"/>
        </w:rPr>
        <w:t xml:space="preserve"> </w:t>
      </w:r>
      <w:r>
        <w:t>reconocer</w:t>
      </w:r>
      <w:r>
        <w:rPr>
          <w:spacing w:val="-15"/>
        </w:rPr>
        <w:t xml:space="preserve"> </w:t>
      </w:r>
      <w:r>
        <w:t>al</w:t>
      </w:r>
      <w:r>
        <w:rPr>
          <w:spacing w:val="-15"/>
        </w:rPr>
        <w:t xml:space="preserve"> </w:t>
      </w:r>
      <w:r>
        <w:t>otro</w:t>
      </w:r>
      <w:r>
        <w:rPr>
          <w:spacing w:val="-15"/>
        </w:rPr>
        <w:t xml:space="preserve"> </w:t>
      </w:r>
      <w:r>
        <w:t>en</w:t>
      </w:r>
      <w:r>
        <w:rPr>
          <w:spacing w:val="-15"/>
        </w:rPr>
        <w:t xml:space="preserve"> </w:t>
      </w:r>
      <w:r>
        <w:t>diálogo</w:t>
      </w:r>
      <w:r>
        <w:rPr>
          <w:spacing w:val="-15"/>
        </w:rPr>
        <w:t xml:space="preserve"> </w:t>
      </w:r>
      <w:r>
        <w:t>desde</w:t>
      </w:r>
      <w:r>
        <w:rPr>
          <w:spacing w:val="-15"/>
        </w:rPr>
        <w:t xml:space="preserve"> </w:t>
      </w:r>
      <w:r>
        <w:t>la</w:t>
      </w:r>
      <w:r>
        <w:rPr>
          <w:spacing w:val="-15"/>
        </w:rPr>
        <w:t xml:space="preserve"> </w:t>
      </w:r>
      <w:r>
        <w:t>humanidad.</w:t>
      </w:r>
      <w:r>
        <w:rPr>
          <w:spacing w:val="-15"/>
        </w:rPr>
        <w:t xml:space="preserve"> </w:t>
      </w:r>
      <w:r>
        <w:t>Los</w:t>
      </w:r>
      <w:r>
        <w:rPr>
          <w:spacing w:val="-15"/>
        </w:rPr>
        <w:t xml:space="preserve"> </w:t>
      </w:r>
      <w:r>
        <w:t>giros</w:t>
      </w:r>
      <w:r>
        <w:rPr>
          <w:spacing w:val="-15"/>
        </w:rPr>
        <w:t xml:space="preserve"> </w:t>
      </w:r>
      <w:r>
        <w:t>éticos</w:t>
      </w:r>
      <w:r>
        <w:rPr>
          <w:spacing w:val="-15"/>
        </w:rPr>
        <w:t xml:space="preserve"> </w:t>
      </w:r>
      <w:r>
        <w:t>hacen</w:t>
      </w:r>
      <w:r>
        <w:rPr>
          <w:spacing w:val="-15"/>
        </w:rPr>
        <w:t xml:space="preserve"> </w:t>
      </w:r>
      <w:r>
        <w:t>referencia a</w:t>
      </w:r>
      <w:r>
        <w:rPr>
          <w:spacing w:val="-7"/>
        </w:rPr>
        <w:t xml:space="preserve"> </w:t>
      </w:r>
      <w:r>
        <w:t>un</w:t>
      </w:r>
      <w:r>
        <w:rPr>
          <w:spacing w:val="-7"/>
        </w:rPr>
        <w:t xml:space="preserve"> </w:t>
      </w:r>
      <w:r>
        <w:t>examen</w:t>
      </w:r>
      <w:r>
        <w:rPr>
          <w:spacing w:val="-8"/>
        </w:rPr>
        <w:t xml:space="preserve"> </w:t>
      </w:r>
      <w:r>
        <w:t>crítico</w:t>
      </w:r>
      <w:r>
        <w:rPr>
          <w:spacing w:val="-7"/>
        </w:rPr>
        <w:t xml:space="preserve"> </w:t>
      </w:r>
      <w:r>
        <w:t>de</w:t>
      </w:r>
      <w:r>
        <w:rPr>
          <w:spacing w:val="-8"/>
        </w:rPr>
        <w:t xml:space="preserve"> </w:t>
      </w:r>
      <w:r>
        <w:t>lo</w:t>
      </w:r>
      <w:r>
        <w:rPr>
          <w:spacing w:val="-8"/>
        </w:rPr>
        <w:t xml:space="preserve"> </w:t>
      </w:r>
      <w:r>
        <w:t>vivido,</w:t>
      </w:r>
      <w:r>
        <w:rPr>
          <w:spacing w:val="-8"/>
        </w:rPr>
        <w:t xml:space="preserve"> </w:t>
      </w:r>
      <w:r>
        <w:t>de</w:t>
      </w:r>
      <w:r>
        <w:rPr>
          <w:spacing w:val="-8"/>
        </w:rPr>
        <w:t xml:space="preserve"> </w:t>
      </w:r>
      <w:r>
        <w:t>lo</w:t>
      </w:r>
      <w:r>
        <w:rPr>
          <w:spacing w:val="-7"/>
        </w:rPr>
        <w:t xml:space="preserve"> </w:t>
      </w:r>
      <w:r>
        <w:t>adoptado</w:t>
      </w:r>
      <w:r>
        <w:rPr>
          <w:spacing w:val="-8"/>
        </w:rPr>
        <w:t xml:space="preserve"> </w:t>
      </w:r>
      <w:r>
        <w:t>en</w:t>
      </w:r>
      <w:r>
        <w:rPr>
          <w:spacing w:val="-7"/>
        </w:rPr>
        <w:t xml:space="preserve"> </w:t>
      </w:r>
      <w:r>
        <w:t>torno</w:t>
      </w:r>
      <w:r>
        <w:rPr>
          <w:spacing w:val="-8"/>
        </w:rPr>
        <w:t xml:space="preserve"> </w:t>
      </w:r>
      <w:r>
        <w:t>a</w:t>
      </w:r>
      <w:r>
        <w:rPr>
          <w:spacing w:val="-8"/>
        </w:rPr>
        <w:t xml:space="preserve"> </w:t>
      </w:r>
      <w:r>
        <w:t>las</w:t>
      </w:r>
      <w:r>
        <w:rPr>
          <w:spacing w:val="-9"/>
        </w:rPr>
        <w:t xml:space="preserve"> </w:t>
      </w:r>
      <w:r>
        <w:t>decisiones</w:t>
      </w:r>
      <w:r>
        <w:rPr>
          <w:spacing w:val="-8"/>
        </w:rPr>
        <w:t xml:space="preserve"> </w:t>
      </w:r>
      <w:r>
        <w:t>tomadas</w:t>
      </w:r>
      <w:r>
        <w:rPr>
          <w:spacing w:val="-8"/>
        </w:rPr>
        <w:t xml:space="preserve"> </w:t>
      </w:r>
      <w:r>
        <w:t>individual y</w:t>
      </w:r>
      <w:r>
        <w:rPr>
          <w:spacing w:val="-8"/>
        </w:rPr>
        <w:t xml:space="preserve"> </w:t>
      </w:r>
      <w:r>
        <w:t>colectivamente</w:t>
      </w:r>
      <w:r>
        <w:rPr>
          <w:spacing w:val="-8"/>
        </w:rPr>
        <w:t xml:space="preserve"> </w:t>
      </w:r>
      <w:r>
        <w:t>en</w:t>
      </w:r>
      <w:r>
        <w:rPr>
          <w:spacing w:val="-9"/>
        </w:rPr>
        <w:t xml:space="preserve"> </w:t>
      </w:r>
      <w:r>
        <w:t>el</w:t>
      </w:r>
      <w:r>
        <w:rPr>
          <w:spacing w:val="-9"/>
        </w:rPr>
        <w:t xml:space="preserve"> </w:t>
      </w:r>
      <w:r>
        <w:t>marco</w:t>
      </w:r>
      <w:r>
        <w:rPr>
          <w:spacing w:val="-8"/>
        </w:rPr>
        <w:t xml:space="preserve"> </w:t>
      </w:r>
      <w:r>
        <w:t>del</w:t>
      </w:r>
      <w:r>
        <w:rPr>
          <w:spacing w:val="-8"/>
        </w:rPr>
        <w:t xml:space="preserve"> </w:t>
      </w:r>
      <w:r>
        <w:t>conflicto.</w:t>
      </w:r>
      <w:r>
        <w:rPr>
          <w:spacing w:val="-8"/>
        </w:rPr>
        <w:t xml:space="preserve"> </w:t>
      </w:r>
      <w:r>
        <w:t>Son</w:t>
      </w:r>
      <w:r>
        <w:rPr>
          <w:spacing w:val="-10"/>
        </w:rPr>
        <w:t xml:space="preserve"> </w:t>
      </w:r>
      <w:r>
        <w:t>el</w:t>
      </w:r>
      <w:r>
        <w:rPr>
          <w:spacing w:val="-9"/>
        </w:rPr>
        <w:t xml:space="preserve"> </w:t>
      </w:r>
      <w:r>
        <w:t>producto</w:t>
      </w:r>
      <w:r>
        <w:rPr>
          <w:spacing w:val="-9"/>
        </w:rPr>
        <w:t xml:space="preserve"> </w:t>
      </w:r>
      <w:r>
        <w:t>de</w:t>
      </w:r>
      <w:r>
        <w:rPr>
          <w:spacing w:val="-9"/>
        </w:rPr>
        <w:t xml:space="preserve"> </w:t>
      </w:r>
      <w:r>
        <w:t>las</w:t>
      </w:r>
      <w:r>
        <w:rPr>
          <w:spacing w:val="-9"/>
        </w:rPr>
        <w:t xml:space="preserve"> </w:t>
      </w:r>
      <w:r>
        <w:t>reflexiones</w:t>
      </w:r>
      <w:r>
        <w:rPr>
          <w:spacing w:val="-8"/>
        </w:rPr>
        <w:t xml:space="preserve"> </w:t>
      </w:r>
      <w:r>
        <w:t>conscientes</w:t>
      </w:r>
      <w:r>
        <w:rPr>
          <w:spacing w:val="-8"/>
        </w:rPr>
        <w:t xml:space="preserve"> </w:t>
      </w:r>
      <w:r>
        <w:t>en torno a los hechos de violencia de los que fueron perpetradores y sus implicaciones en las víctimas, en la propia vida y en la dinámica misma del conflicto armado.</w:t>
      </w:r>
    </w:p>
    <w:p w:rsidR="003804AC" w:rsidRDefault="00AF18A5" w:rsidP="00130A31">
      <w:r>
        <w:t>Para los responsables supone además la posibilidad de encuentro con su propia deshumanización, particularmente con la parte que generó sufrimiento y su disociación de los hechos y de su propia humanidad. Además de ello, permite el encuentro con otros integrantes de los grupos armados a los cuales pertenecieron y con las víctimas. En estos escenarios, los responsables han logrado confrontar sus propias valoraciones e integrar nuevas comprensiones respecto a su proceder, aportando elementos de lo que ello significa como aporte a un camino para la construcción de la paz. No se trata solo de ejemplos individuales o experiencias creadas en el marco de la Comisión, sino de aprendizajes y lecciones para toda la sociedad.</w:t>
      </w:r>
    </w:p>
    <w:p w:rsidR="0011361F" w:rsidRDefault="00AF18A5" w:rsidP="004A6EF4">
      <w:pPr>
        <w:pStyle w:val="Ttulo4"/>
        <w:numPr>
          <w:ilvl w:val="2"/>
          <w:numId w:val="16"/>
        </w:numPr>
      </w:pPr>
      <w:bookmarkStart w:id="1466" w:name="11.6.2._Del_diálogo_entre_los_excombatie"/>
      <w:bookmarkEnd w:id="1466"/>
      <w:r>
        <w:t>Del</w:t>
      </w:r>
      <w:r>
        <w:rPr>
          <w:spacing w:val="-4"/>
        </w:rPr>
        <w:t xml:space="preserve"> </w:t>
      </w:r>
      <w:r>
        <w:t>diálogo</w:t>
      </w:r>
      <w:r>
        <w:rPr>
          <w:spacing w:val="-2"/>
        </w:rPr>
        <w:t xml:space="preserve"> </w:t>
      </w:r>
      <w:r>
        <w:t>entre</w:t>
      </w:r>
      <w:r>
        <w:rPr>
          <w:spacing w:val="-2"/>
        </w:rPr>
        <w:t xml:space="preserve"> </w:t>
      </w:r>
      <w:r>
        <w:t>los</w:t>
      </w:r>
      <w:r>
        <w:rPr>
          <w:spacing w:val="-2"/>
        </w:rPr>
        <w:t xml:space="preserve"> </w:t>
      </w:r>
      <w:r w:rsidRPr="00130A31">
        <w:t>excombatientes</w:t>
      </w:r>
      <w:r>
        <w:rPr>
          <w:spacing w:val="-3"/>
        </w:rPr>
        <w:t xml:space="preserve"> </w:t>
      </w:r>
      <w:r>
        <w:t>a</w:t>
      </w:r>
      <w:r>
        <w:rPr>
          <w:spacing w:val="-2"/>
        </w:rPr>
        <w:t xml:space="preserve"> </w:t>
      </w:r>
      <w:r>
        <w:t>una</w:t>
      </w:r>
      <w:r>
        <w:rPr>
          <w:spacing w:val="-2"/>
        </w:rPr>
        <w:t xml:space="preserve"> </w:t>
      </w:r>
      <w:r>
        <w:t>revalorización</w:t>
      </w:r>
      <w:r>
        <w:rPr>
          <w:spacing w:val="-3"/>
        </w:rPr>
        <w:t xml:space="preserve"> </w:t>
      </w:r>
      <w:r>
        <w:t>de</w:t>
      </w:r>
      <w:r>
        <w:rPr>
          <w:spacing w:val="-2"/>
        </w:rPr>
        <w:t xml:space="preserve"> </w:t>
      </w:r>
      <w:r>
        <w:t>la</w:t>
      </w:r>
      <w:r>
        <w:rPr>
          <w:spacing w:val="-2"/>
        </w:rPr>
        <w:t xml:space="preserve"> </w:t>
      </w:r>
      <w:r>
        <w:t>sociedad</w:t>
      </w:r>
      <w:r>
        <w:rPr>
          <w:spacing w:val="-2"/>
        </w:rPr>
        <w:t xml:space="preserve"> civil</w:t>
      </w:r>
    </w:p>
    <w:p w:rsidR="003804AC" w:rsidRDefault="00AF18A5" w:rsidP="00130A31">
      <w:r>
        <w:t>La</w:t>
      </w:r>
      <w:r>
        <w:rPr>
          <w:spacing w:val="-13"/>
        </w:rPr>
        <w:t xml:space="preserve"> </w:t>
      </w:r>
      <w:r>
        <w:t>Comisión</w:t>
      </w:r>
      <w:r>
        <w:rPr>
          <w:spacing w:val="-13"/>
        </w:rPr>
        <w:t xml:space="preserve"> </w:t>
      </w:r>
      <w:r>
        <w:t>no</w:t>
      </w:r>
      <w:r>
        <w:rPr>
          <w:spacing w:val="-13"/>
        </w:rPr>
        <w:t xml:space="preserve"> </w:t>
      </w:r>
      <w:r>
        <w:t>ha</w:t>
      </w:r>
      <w:r>
        <w:rPr>
          <w:spacing w:val="-14"/>
        </w:rPr>
        <w:t xml:space="preserve"> </w:t>
      </w:r>
      <w:r>
        <w:t>tratado</w:t>
      </w:r>
      <w:r>
        <w:rPr>
          <w:spacing w:val="-13"/>
        </w:rPr>
        <w:t xml:space="preserve"> </w:t>
      </w:r>
      <w:r>
        <w:t>de</w:t>
      </w:r>
      <w:r>
        <w:rPr>
          <w:spacing w:val="-13"/>
        </w:rPr>
        <w:t xml:space="preserve"> </w:t>
      </w:r>
      <w:r>
        <w:t>activar</w:t>
      </w:r>
      <w:r>
        <w:rPr>
          <w:spacing w:val="-14"/>
        </w:rPr>
        <w:t xml:space="preserve"> </w:t>
      </w:r>
      <w:r>
        <w:t>diálogos</w:t>
      </w:r>
      <w:r>
        <w:rPr>
          <w:spacing w:val="-14"/>
        </w:rPr>
        <w:t xml:space="preserve"> </w:t>
      </w:r>
      <w:r>
        <w:t>entre</w:t>
      </w:r>
      <w:r>
        <w:rPr>
          <w:spacing w:val="-13"/>
        </w:rPr>
        <w:t xml:space="preserve"> </w:t>
      </w:r>
      <w:r>
        <w:t>«los</w:t>
      </w:r>
      <w:r>
        <w:rPr>
          <w:spacing w:val="-13"/>
        </w:rPr>
        <w:t xml:space="preserve"> </w:t>
      </w:r>
      <w:r>
        <w:t>guerreros»,</w:t>
      </w:r>
      <w:r>
        <w:rPr>
          <w:spacing w:val="-14"/>
        </w:rPr>
        <w:t xml:space="preserve"> </w:t>
      </w:r>
      <w:r>
        <w:t>entre</w:t>
      </w:r>
      <w:r>
        <w:rPr>
          <w:spacing w:val="-14"/>
        </w:rPr>
        <w:t xml:space="preserve"> </w:t>
      </w:r>
      <w:r>
        <w:t>quienes</w:t>
      </w:r>
      <w:r>
        <w:rPr>
          <w:spacing w:val="-14"/>
        </w:rPr>
        <w:t xml:space="preserve"> </w:t>
      </w:r>
      <w:r>
        <w:t>estuvieron más</w:t>
      </w:r>
      <w:r>
        <w:rPr>
          <w:spacing w:val="30"/>
        </w:rPr>
        <w:t xml:space="preserve"> </w:t>
      </w:r>
      <w:r>
        <w:t>implicados</w:t>
      </w:r>
      <w:r>
        <w:rPr>
          <w:spacing w:val="30"/>
        </w:rPr>
        <w:t xml:space="preserve"> </w:t>
      </w:r>
      <w:r>
        <w:t>en</w:t>
      </w:r>
      <w:r>
        <w:rPr>
          <w:spacing w:val="30"/>
        </w:rPr>
        <w:t xml:space="preserve"> </w:t>
      </w:r>
      <w:r>
        <w:t>la</w:t>
      </w:r>
      <w:r>
        <w:rPr>
          <w:spacing w:val="30"/>
        </w:rPr>
        <w:t xml:space="preserve"> </w:t>
      </w:r>
      <w:r>
        <w:t>guerra,</w:t>
      </w:r>
      <w:r>
        <w:rPr>
          <w:spacing w:val="30"/>
        </w:rPr>
        <w:t xml:space="preserve"> </w:t>
      </w:r>
      <w:r>
        <w:t>como</w:t>
      </w:r>
      <w:r>
        <w:rPr>
          <w:spacing w:val="30"/>
        </w:rPr>
        <w:t xml:space="preserve"> </w:t>
      </w:r>
      <w:r>
        <w:t>si</w:t>
      </w:r>
      <w:r>
        <w:rPr>
          <w:spacing w:val="30"/>
        </w:rPr>
        <w:t xml:space="preserve"> </w:t>
      </w:r>
      <w:r>
        <w:t>fuese</w:t>
      </w:r>
      <w:r>
        <w:rPr>
          <w:spacing w:val="30"/>
        </w:rPr>
        <w:t xml:space="preserve"> </w:t>
      </w:r>
      <w:r>
        <w:lastRenderedPageBreak/>
        <w:t>un</w:t>
      </w:r>
      <w:r>
        <w:rPr>
          <w:spacing w:val="29"/>
        </w:rPr>
        <w:t xml:space="preserve"> </w:t>
      </w:r>
      <w:r>
        <w:t>espacio</w:t>
      </w:r>
      <w:r>
        <w:rPr>
          <w:spacing w:val="30"/>
        </w:rPr>
        <w:t xml:space="preserve"> </w:t>
      </w:r>
      <w:r>
        <w:t>separado</w:t>
      </w:r>
      <w:r>
        <w:rPr>
          <w:spacing w:val="31"/>
        </w:rPr>
        <w:t xml:space="preserve"> </w:t>
      </w:r>
      <w:r>
        <w:t>de</w:t>
      </w:r>
      <w:r>
        <w:rPr>
          <w:spacing w:val="30"/>
        </w:rPr>
        <w:t xml:space="preserve"> </w:t>
      </w:r>
      <w:r>
        <w:t>la</w:t>
      </w:r>
      <w:r>
        <w:rPr>
          <w:spacing w:val="29"/>
        </w:rPr>
        <w:t xml:space="preserve"> </w:t>
      </w:r>
      <w:r>
        <w:t>sociedad</w:t>
      </w:r>
      <w:r>
        <w:rPr>
          <w:spacing w:val="30"/>
        </w:rPr>
        <w:t xml:space="preserve"> </w:t>
      </w:r>
      <w:r>
        <w:t>o</w:t>
      </w:r>
      <w:r>
        <w:rPr>
          <w:spacing w:val="29"/>
        </w:rPr>
        <w:t xml:space="preserve"> </w:t>
      </w:r>
      <w:r>
        <w:t>de</w:t>
      </w:r>
      <w:r>
        <w:rPr>
          <w:spacing w:val="31"/>
        </w:rPr>
        <w:t xml:space="preserve"> </w:t>
      </w:r>
      <w:r>
        <w:rPr>
          <w:spacing w:val="-5"/>
        </w:rPr>
        <w:t>las</w:t>
      </w:r>
      <w:r w:rsidR="00130A31">
        <w:t xml:space="preserve"> </w:t>
      </w:r>
      <w:r>
        <w:t>víctimas. Los diálogos entre los excombatientes generan efectos que contribuyen a sus reflexiones y giros éticos compartidos.</w:t>
      </w:r>
    </w:p>
    <w:p w:rsidR="003804AC" w:rsidRDefault="00AF18A5" w:rsidP="00130A31">
      <w:r>
        <w:t>«¿Por qué la confrontación la estábamos llevando a municipios donde la población es indígena,</w:t>
      </w:r>
      <w:r>
        <w:rPr>
          <w:spacing w:val="-5"/>
        </w:rPr>
        <w:t xml:space="preserve"> </w:t>
      </w:r>
      <w:r>
        <w:t>humilde,</w:t>
      </w:r>
      <w:r>
        <w:rPr>
          <w:spacing w:val="-5"/>
        </w:rPr>
        <w:t xml:space="preserve"> </w:t>
      </w:r>
      <w:r>
        <w:t>no</w:t>
      </w:r>
      <w:r>
        <w:rPr>
          <w:spacing w:val="-5"/>
        </w:rPr>
        <w:t xml:space="preserve"> </w:t>
      </w:r>
      <w:r>
        <w:t>poseedora</w:t>
      </w:r>
      <w:r>
        <w:rPr>
          <w:spacing w:val="-4"/>
        </w:rPr>
        <w:t xml:space="preserve"> </w:t>
      </w:r>
      <w:r>
        <w:t>de</w:t>
      </w:r>
      <w:r>
        <w:rPr>
          <w:spacing w:val="-6"/>
        </w:rPr>
        <w:t xml:space="preserve"> </w:t>
      </w:r>
      <w:r>
        <w:t>los</w:t>
      </w:r>
      <w:r>
        <w:rPr>
          <w:spacing w:val="-4"/>
        </w:rPr>
        <w:t xml:space="preserve"> </w:t>
      </w:r>
      <w:r>
        <w:t>medios</w:t>
      </w:r>
      <w:r>
        <w:rPr>
          <w:spacing w:val="-4"/>
        </w:rPr>
        <w:t xml:space="preserve"> </w:t>
      </w:r>
      <w:r>
        <w:t>de</w:t>
      </w:r>
      <w:r>
        <w:rPr>
          <w:spacing w:val="-4"/>
        </w:rPr>
        <w:t xml:space="preserve"> </w:t>
      </w:r>
      <w:r>
        <w:t>producción?</w:t>
      </w:r>
      <w:r>
        <w:rPr>
          <w:spacing w:val="-4"/>
        </w:rPr>
        <w:t xml:space="preserve"> </w:t>
      </w:r>
      <w:r>
        <w:t>¿Por</w:t>
      </w:r>
      <w:r>
        <w:rPr>
          <w:spacing w:val="-4"/>
        </w:rPr>
        <w:t xml:space="preserve"> </w:t>
      </w:r>
      <w:r>
        <w:t>qué?</w:t>
      </w:r>
      <w:r>
        <w:rPr>
          <w:spacing w:val="-4"/>
        </w:rPr>
        <w:t xml:space="preserve"> </w:t>
      </w:r>
      <w:r>
        <w:t>Era</w:t>
      </w:r>
      <w:r>
        <w:rPr>
          <w:spacing w:val="-4"/>
        </w:rPr>
        <w:t xml:space="preserve"> </w:t>
      </w:r>
      <w:r>
        <w:t>contradictorio a</w:t>
      </w:r>
      <w:r>
        <w:rPr>
          <w:spacing w:val="-12"/>
        </w:rPr>
        <w:t xml:space="preserve"> </w:t>
      </w:r>
      <w:r>
        <w:t>nuestros</w:t>
      </w:r>
      <w:r>
        <w:rPr>
          <w:spacing w:val="-12"/>
        </w:rPr>
        <w:t xml:space="preserve"> </w:t>
      </w:r>
      <w:r>
        <w:t>ideales</w:t>
      </w:r>
      <w:r>
        <w:rPr>
          <w:spacing w:val="-13"/>
        </w:rPr>
        <w:t xml:space="preserve"> </w:t>
      </w:r>
      <w:r>
        <w:t>revolucionarios</w:t>
      </w:r>
      <w:r>
        <w:rPr>
          <w:spacing w:val="-12"/>
        </w:rPr>
        <w:t xml:space="preserve"> </w:t>
      </w:r>
      <w:r>
        <w:t>[...]</w:t>
      </w:r>
      <w:r>
        <w:rPr>
          <w:spacing w:val="-12"/>
        </w:rPr>
        <w:t xml:space="preserve"> </w:t>
      </w:r>
      <w:r>
        <w:t>lamentablemente</w:t>
      </w:r>
      <w:r>
        <w:rPr>
          <w:spacing w:val="-12"/>
        </w:rPr>
        <w:t xml:space="preserve"> </w:t>
      </w:r>
      <w:r>
        <w:t>no</w:t>
      </w:r>
      <w:r>
        <w:rPr>
          <w:spacing w:val="-13"/>
        </w:rPr>
        <w:t xml:space="preserve"> </w:t>
      </w:r>
      <w:r>
        <w:t>escuchamos</w:t>
      </w:r>
      <w:r>
        <w:rPr>
          <w:spacing w:val="-13"/>
        </w:rPr>
        <w:t xml:space="preserve"> </w:t>
      </w:r>
      <w:r>
        <w:t>esta</w:t>
      </w:r>
      <w:r>
        <w:rPr>
          <w:spacing w:val="-12"/>
        </w:rPr>
        <w:t xml:space="preserve"> </w:t>
      </w:r>
      <w:r>
        <w:t>observación</w:t>
      </w:r>
      <w:r>
        <w:rPr>
          <w:spacing w:val="-12"/>
        </w:rPr>
        <w:t xml:space="preserve"> </w:t>
      </w:r>
      <w:r>
        <w:t>que en las FARC se hizo, afectamos a gente que no teníamos por qué, me refiero a los niños, cegamos vidas, cegamos sueños, todo eso es cierto y lo aceptamos y lo asumimos»</w:t>
      </w:r>
      <w:r w:rsidR="00130A31">
        <w:rPr>
          <w:rStyle w:val="Refdenotaalpie"/>
        </w:rPr>
        <w:footnoteReference w:id="1158"/>
      </w:r>
      <w:r>
        <w:t>.</w:t>
      </w:r>
    </w:p>
    <w:p w:rsidR="003804AC" w:rsidRDefault="00AF18A5" w:rsidP="00130A31">
      <w:r>
        <w:t>La visión solamente «militar» o unívoca de la realidad de comunidades, movimientos sociales o dinámicas comunitarias ha sido un facilitador de las violaciones de derechos humanos e infracciones al DIH. En un escenario de reincorporación, ese territorio ahora compartido a partir de una experiencia de convivencia cobra legitimidad y otorga una distancia del «modo guerra» bajo el que se actuó durante décadas.</w:t>
      </w:r>
    </w:p>
    <w:p w:rsidR="003804AC" w:rsidRDefault="00AF18A5" w:rsidP="00130A31">
      <w:r>
        <w:t>Es por ello que resulta indispensable dar un lugar al efecto que se deriva del diálogo y el encuentro directo con las víctimas. La posibilidad de ver y escuchar directamente a quienes encarnan los efectos más atroces del conflicto necesariamente moviliza en los responsables otras valoraciones y comprensiones que antes no habían sido posibles. También esta visibilidad de las víctimas, de escucha de su historia y de sus demandas, constituye un aprendizaje para la sociedad.</w:t>
      </w:r>
    </w:p>
    <w:p w:rsidR="0011361F" w:rsidRDefault="00AF18A5" w:rsidP="004A6EF4">
      <w:pPr>
        <w:pStyle w:val="Ttulo4"/>
        <w:numPr>
          <w:ilvl w:val="2"/>
          <w:numId w:val="16"/>
        </w:numPr>
      </w:pPr>
      <w:bookmarkStart w:id="1467" w:name="11.6.3._La_restauración_de_la_convivenci"/>
      <w:bookmarkEnd w:id="1467"/>
      <w:r>
        <w:t>La</w:t>
      </w:r>
      <w:r>
        <w:rPr>
          <w:spacing w:val="-1"/>
        </w:rPr>
        <w:t xml:space="preserve"> </w:t>
      </w:r>
      <w:r w:rsidRPr="00130A31">
        <w:t>restauración</w:t>
      </w:r>
      <w:r>
        <w:rPr>
          <w:spacing w:val="-3"/>
        </w:rPr>
        <w:t xml:space="preserve"> </w:t>
      </w:r>
      <w:r>
        <w:t>de</w:t>
      </w:r>
      <w:r>
        <w:rPr>
          <w:spacing w:val="-1"/>
        </w:rPr>
        <w:t xml:space="preserve"> </w:t>
      </w:r>
      <w:r>
        <w:t xml:space="preserve">la </w:t>
      </w:r>
      <w:r>
        <w:rPr>
          <w:spacing w:val="-2"/>
        </w:rPr>
        <w:t>convivencia</w:t>
      </w:r>
    </w:p>
    <w:p w:rsidR="003804AC" w:rsidRDefault="00AF18A5" w:rsidP="00B96EBC">
      <w:r>
        <w:rPr>
          <w:spacing w:val="-2"/>
        </w:rPr>
        <w:lastRenderedPageBreak/>
        <w:t>En</w:t>
      </w:r>
      <w:r>
        <w:rPr>
          <w:spacing w:val="-6"/>
        </w:rPr>
        <w:t xml:space="preserve"> </w:t>
      </w:r>
      <w:r>
        <w:rPr>
          <w:spacing w:val="-2"/>
        </w:rPr>
        <w:t>los</w:t>
      </w:r>
      <w:r>
        <w:rPr>
          <w:spacing w:val="-6"/>
        </w:rPr>
        <w:t xml:space="preserve"> </w:t>
      </w:r>
      <w:r>
        <w:rPr>
          <w:spacing w:val="-2"/>
        </w:rPr>
        <w:t>procesos</w:t>
      </w:r>
      <w:r>
        <w:rPr>
          <w:spacing w:val="-6"/>
        </w:rPr>
        <w:t xml:space="preserve"> </w:t>
      </w:r>
      <w:r>
        <w:rPr>
          <w:spacing w:val="-2"/>
        </w:rPr>
        <w:t>de</w:t>
      </w:r>
      <w:r>
        <w:rPr>
          <w:spacing w:val="-6"/>
        </w:rPr>
        <w:t xml:space="preserve"> </w:t>
      </w:r>
      <w:r>
        <w:rPr>
          <w:spacing w:val="-2"/>
        </w:rPr>
        <w:t>desmovilización</w:t>
      </w:r>
      <w:r>
        <w:rPr>
          <w:spacing w:val="-8"/>
        </w:rPr>
        <w:t xml:space="preserve"> </w:t>
      </w:r>
      <w:r>
        <w:rPr>
          <w:spacing w:val="-2"/>
        </w:rPr>
        <w:t>y</w:t>
      </w:r>
      <w:r>
        <w:rPr>
          <w:spacing w:val="-6"/>
        </w:rPr>
        <w:t xml:space="preserve"> </w:t>
      </w:r>
      <w:r>
        <w:rPr>
          <w:spacing w:val="-2"/>
        </w:rPr>
        <w:t>construcción</w:t>
      </w:r>
      <w:r>
        <w:rPr>
          <w:spacing w:val="-6"/>
        </w:rPr>
        <w:t xml:space="preserve"> </w:t>
      </w:r>
      <w:r>
        <w:rPr>
          <w:spacing w:val="-2"/>
        </w:rPr>
        <w:t>de</w:t>
      </w:r>
      <w:r>
        <w:rPr>
          <w:spacing w:val="-6"/>
        </w:rPr>
        <w:t xml:space="preserve"> </w:t>
      </w:r>
      <w:r>
        <w:rPr>
          <w:spacing w:val="-2"/>
        </w:rPr>
        <w:t>la</w:t>
      </w:r>
      <w:r>
        <w:rPr>
          <w:spacing w:val="-7"/>
        </w:rPr>
        <w:t xml:space="preserve"> </w:t>
      </w:r>
      <w:r>
        <w:rPr>
          <w:spacing w:val="-2"/>
        </w:rPr>
        <w:t>paz,</w:t>
      </w:r>
      <w:r>
        <w:rPr>
          <w:spacing w:val="-7"/>
        </w:rPr>
        <w:t xml:space="preserve"> </w:t>
      </w:r>
      <w:r>
        <w:rPr>
          <w:spacing w:val="-2"/>
        </w:rPr>
        <w:t>se</w:t>
      </w:r>
      <w:r>
        <w:rPr>
          <w:spacing w:val="-6"/>
        </w:rPr>
        <w:t xml:space="preserve"> </w:t>
      </w:r>
      <w:r>
        <w:rPr>
          <w:spacing w:val="-2"/>
        </w:rPr>
        <w:t>necesitan</w:t>
      </w:r>
      <w:r>
        <w:rPr>
          <w:spacing w:val="-7"/>
        </w:rPr>
        <w:t xml:space="preserve"> </w:t>
      </w:r>
      <w:r>
        <w:rPr>
          <w:spacing w:val="-2"/>
        </w:rPr>
        <w:t>pasos</w:t>
      </w:r>
      <w:r>
        <w:rPr>
          <w:spacing w:val="-6"/>
        </w:rPr>
        <w:t xml:space="preserve"> </w:t>
      </w:r>
      <w:r>
        <w:rPr>
          <w:spacing w:val="-2"/>
        </w:rPr>
        <w:t>para</w:t>
      </w:r>
      <w:r>
        <w:rPr>
          <w:spacing w:val="-6"/>
        </w:rPr>
        <w:t xml:space="preserve"> </w:t>
      </w:r>
      <w:r>
        <w:rPr>
          <w:spacing w:val="-2"/>
        </w:rPr>
        <w:t xml:space="preserve">restaurar </w:t>
      </w:r>
      <w:r>
        <w:t>la convivencia. El tránsito de una forma de vida a otra no es igual para todas las personas. Depende en gran medida de la manera como se haya dado el</w:t>
      </w:r>
      <w:r>
        <w:rPr>
          <w:spacing w:val="-1"/>
        </w:rPr>
        <w:t xml:space="preserve"> </w:t>
      </w:r>
      <w:r>
        <w:t>ingreso al grupo de referencia, de la transformación en los valores individuales y colectivos que tuvieron lugar al interior del</w:t>
      </w:r>
      <w:r>
        <w:rPr>
          <w:spacing w:val="-13"/>
        </w:rPr>
        <w:t xml:space="preserve"> </w:t>
      </w:r>
      <w:r>
        <w:t>mismo</w:t>
      </w:r>
      <w:r>
        <w:rPr>
          <w:spacing w:val="-10"/>
        </w:rPr>
        <w:t xml:space="preserve"> </w:t>
      </w:r>
      <w:r>
        <w:t>y</w:t>
      </w:r>
      <w:r>
        <w:rPr>
          <w:spacing w:val="-11"/>
        </w:rPr>
        <w:t xml:space="preserve"> </w:t>
      </w:r>
      <w:r>
        <w:t>de</w:t>
      </w:r>
      <w:r>
        <w:rPr>
          <w:spacing w:val="-10"/>
        </w:rPr>
        <w:t xml:space="preserve"> </w:t>
      </w:r>
      <w:r>
        <w:t>la</w:t>
      </w:r>
      <w:r>
        <w:rPr>
          <w:spacing w:val="-10"/>
        </w:rPr>
        <w:t xml:space="preserve"> </w:t>
      </w:r>
      <w:r>
        <w:t>forma</w:t>
      </w:r>
      <w:r>
        <w:rPr>
          <w:spacing w:val="-12"/>
        </w:rPr>
        <w:t xml:space="preserve"> </w:t>
      </w:r>
      <w:r>
        <w:t>como</w:t>
      </w:r>
      <w:r>
        <w:rPr>
          <w:spacing w:val="-10"/>
        </w:rPr>
        <w:t xml:space="preserve"> </w:t>
      </w:r>
      <w:r>
        <w:t>se</w:t>
      </w:r>
      <w:r>
        <w:rPr>
          <w:spacing w:val="-11"/>
        </w:rPr>
        <w:t xml:space="preserve"> </w:t>
      </w:r>
      <w:r>
        <w:t>haya</w:t>
      </w:r>
      <w:r>
        <w:rPr>
          <w:spacing w:val="-10"/>
        </w:rPr>
        <w:t xml:space="preserve"> </w:t>
      </w:r>
      <w:r>
        <w:t>producido</w:t>
      </w:r>
      <w:r>
        <w:rPr>
          <w:spacing w:val="-10"/>
        </w:rPr>
        <w:t xml:space="preserve"> </w:t>
      </w:r>
      <w:r>
        <w:t>el</w:t>
      </w:r>
      <w:r>
        <w:rPr>
          <w:spacing w:val="-11"/>
        </w:rPr>
        <w:t xml:space="preserve"> </w:t>
      </w:r>
      <w:r>
        <w:t>proceso</w:t>
      </w:r>
      <w:r>
        <w:rPr>
          <w:spacing w:val="-10"/>
        </w:rPr>
        <w:t xml:space="preserve"> </w:t>
      </w:r>
      <w:r>
        <w:t>de</w:t>
      </w:r>
      <w:r>
        <w:rPr>
          <w:spacing w:val="-11"/>
        </w:rPr>
        <w:t xml:space="preserve"> </w:t>
      </w:r>
      <w:r>
        <w:t>desvinculación. Sin</w:t>
      </w:r>
      <w:r>
        <w:rPr>
          <w:spacing w:val="-10"/>
        </w:rPr>
        <w:t xml:space="preserve"> </w:t>
      </w:r>
      <w:r>
        <w:rPr>
          <w:spacing w:val="-2"/>
        </w:rPr>
        <w:t>embargo,</w:t>
      </w:r>
      <w:bookmarkStart w:id="1468" w:name="_bookmark1285"/>
      <w:bookmarkEnd w:id="1468"/>
      <w:r w:rsidR="00B96EBC">
        <w:t xml:space="preserve"> </w:t>
      </w:r>
      <w:r>
        <w:t>en todos los casos se necesita una actitud social favorable y un contexto de seguridad y compromiso institucional para guiar estos procesos.</w:t>
      </w:r>
    </w:p>
    <w:p w:rsidR="003804AC" w:rsidRDefault="00AF18A5" w:rsidP="00B96EBC">
      <w:r>
        <w:t>La restauración de la convivencia en el ámbito local, cuando los responsables se han desmovilizado y tienen presencia en las comunidades, lleva a un cambio en el sistema de jerarquías y poder, que ya no está mediatizado por las armas. Un firmante del Acuerdo de Paz señala:</w:t>
      </w:r>
    </w:p>
    <w:p w:rsidR="003804AC" w:rsidRDefault="00AF18A5" w:rsidP="00B96EBC">
      <w:r>
        <w:t>«Cuando</w:t>
      </w:r>
      <w:r>
        <w:rPr>
          <w:spacing w:val="-8"/>
        </w:rPr>
        <w:t xml:space="preserve"> </w:t>
      </w:r>
      <w:r>
        <w:t>nosotros,</w:t>
      </w:r>
      <w:r>
        <w:rPr>
          <w:spacing w:val="-10"/>
        </w:rPr>
        <w:t xml:space="preserve"> </w:t>
      </w:r>
      <w:r>
        <w:t>por</w:t>
      </w:r>
      <w:r>
        <w:rPr>
          <w:spacing w:val="-8"/>
        </w:rPr>
        <w:t xml:space="preserve"> </w:t>
      </w:r>
      <w:r>
        <w:t>x</w:t>
      </w:r>
      <w:r>
        <w:rPr>
          <w:spacing w:val="-10"/>
        </w:rPr>
        <w:t xml:space="preserve"> </w:t>
      </w:r>
      <w:r>
        <w:t>o</w:t>
      </w:r>
      <w:r>
        <w:rPr>
          <w:spacing w:val="-8"/>
        </w:rPr>
        <w:t xml:space="preserve"> </w:t>
      </w:r>
      <w:r>
        <w:t>y</w:t>
      </w:r>
      <w:r>
        <w:rPr>
          <w:spacing w:val="-10"/>
        </w:rPr>
        <w:t xml:space="preserve"> </w:t>
      </w:r>
      <w:r>
        <w:t>motivo,</w:t>
      </w:r>
      <w:r>
        <w:rPr>
          <w:spacing w:val="-10"/>
        </w:rPr>
        <w:t xml:space="preserve"> </w:t>
      </w:r>
      <w:r>
        <w:t>se</w:t>
      </w:r>
      <w:r>
        <w:rPr>
          <w:spacing w:val="-8"/>
        </w:rPr>
        <w:t xml:space="preserve"> </w:t>
      </w:r>
      <w:r>
        <w:t>lanzaba</w:t>
      </w:r>
      <w:r>
        <w:rPr>
          <w:spacing w:val="-9"/>
        </w:rPr>
        <w:t xml:space="preserve"> </w:t>
      </w:r>
      <w:r>
        <w:t>un</w:t>
      </w:r>
      <w:r>
        <w:rPr>
          <w:spacing w:val="-8"/>
        </w:rPr>
        <w:t xml:space="preserve"> </w:t>
      </w:r>
      <w:r>
        <w:t>cilindro,</w:t>
      </w:r>
      <w:r>
        <w:rPr>
          <w:spacing w:val="-10"/>
        </w:rPr>
        <w:t xml:space="preserve"> </w:t>
      </w:r>
      <w:r>
        <w:t>y</w:t>
      </w:r>
      <w:r>
        <w:rPr>
          <w:spacing w:val="-10"/>
        </w:rPr>
        <w:t xml:space="preserve"> </w:t>
      </w:r>
      <w:r>
        <w:t>hoy</w:t>
      </w:r>
      <w:r>
        <w:rPr>
          <w:spacing w:val="-8"/>
        </w:rPr>
        <w:t xml:space="preserve"> </w:t>
      </w:r>
      <w:r>
        <w:t>uno</w:t>
      </w:r>
      <w:r>
        <w:rPr>
          <w:spacing w:val="-8"/>
        </w:rPr>
        <w:t xml:space="preserve"> </w:t>
      </w:r>
      <w:r>
        <w:t>parado</w:t>
      </w:r>
      <w:r>
        <w:rPr>
          <w:spacing w:val="-8"/>
        </w:rPr>
        <w:t xml:space="preserve"> </w:t>
      </w:r>
      <w:r>
        <w:t>aquí</w:t>
      </w:r>
      <w:r>
        <w:rPr>
          <w:spacing w:val="-9"/>
        </w:rPr>
        <w:t xml:space="preserve"> </w:t>
      </w:r>
      <w:r>
        <w:t>en</w:t>
      </w:r>
      <w:r>
        <w:rPr>
          <w:spacing w:val="-10"/>
        </w:rPr>
        <w:t xml:space="preserve"> </w:t>
      </w:r>
      <w:r>
        <w:t>este sitio, uno dice aquí había una escuela, estaba la casa de las monjas y ahora volteaba yo a mirar</w:t>
      </w:r>
      <w:r>
        <w:rPr>
          <w:spacing w:val="-9"/>
        </w:rPr>
        <w:t xml:space="preserve"> </w:t>
      </w:r>
      <w:r>
        <w:t>hacia</w:t>
      </w:r>
      <w:r>
        <w:rPr>
          <w:spacing w:val="-11"/>
        </w:rPr>
        <w:t xml:space="preserve"> </w:t>
      </w:r>
      <w:r>
        <w:t>atrás</w:t>
      </w:r>
      <w:r>
        <w:rPr>
          <w:spacing w:val="-11"/>
        </w:rPr>
        <w:t xml:space="preserve"> </w:t>
      </w:r>
      <w:r>
        <w:t>el</w:t>
      </w:r>
      <w:r>
        <w:rPr>
          <w:spacing w:val="-10"/>
        </w:rPr>
        <w:t xml:space="preserve"> </w:t>
      </w:r>
      <w:r>
        <w:t>puesto</w:t>
      </w:r>
      <w:r>
        <w:rPr>
          <w:spacing w:val="-10"/>
        </w:rPr>
        <w:t xml:space="preserve"> </w:t>
      </w:r>
      <w:r>
        <w:t>de</w:t>
      </w:r>
      <w:r>
        <w:rPr>
          <w:spacing w:val="-9"/>
        </w:rPr>
        <w:t xml:space="preserve"> </w:t>
      </w:r>
      <w:r>
        <w:t>Policía,</w:t>
      </w:r>
      <w:r>
        <w:rPr>
          <w:spacing w:val="-10"/>
        </w:rPr>
        <w:t xml:space="preserve"> </w:t>
      </w:r>
      <w:r>
        <w:t>y</w:t>
      </w:r>
      <w:r>
        <w:rPr>
          <w:spacing w:val="-10"/>
        </w:rPr>
        <w:t xml:space="preserve"> </w:t>
      </w:r>
      <w:r>
        <w:t>yo</w:t>
      </w:r>
      <w:r>
        <w:rPr>
          <w:spacing w:val="-10"/>
        </w:rPr>
        <w:t xml:space="preserve"> </w:t>
      </w:r>
      <w:r>
        <w:t>decía</w:t>
      </w:r>
      <w:r>
        <w:rPr>
          <w:spacing w:val="-11"/>
        </w:rPr>
        <w:t xml:space="preserve"> </w:t>
      </w:r>
      <w:r>
        <w:t>mire</w:t>
      </w:r>
      <w:r>
        <w:rPr>
          <w:spacing w:val="-9"/>
        </w:rPr>
        <w:t xml:space="preserve"> </w:t>
      </w:r>
      <w:r>
        <w:t>los</w:t>
      </w:r>
      <w:r>
        <w:rPr>
          <w:spacing w:val="-11"/>
        </w:rPr>
        <w:t xml:space="preserve"> </w:t>
      </w:r>
      <w:r>
        <w:t>errores</w:t>
      </w:r>
      <w:r>
        <w:rPr>
          <w:spacing w:val="-9"/>
        </w:rPr>
        <w:t xml:space="preserve"> </w:t>
      </w:r>
      <w:r>
        <w:t>tan</w:t>
      </w:r>
      <w:r>
        <w:rPr>
          <w:spacing w:val="-10"/>
        </w:rPr>
        <w:t xml:space="preserve"> </w:t>
      </w:r>
      <w:r>
        <w:t>grandes,</w:t>
      </w:r>
      <w:r>
        <w:rPr>
          <w:spacing w:val="-10"/>
        </w:rPr>
        <w:t xml:space="preserve"> </w:t>
      </w:r>
      <w:r>
        <w:t>estas</w:t>
      </w:r>
      <w:r>
        <w:rPr>
          <w:spacing w:val="-9"/>
        </w:rPr>
        <w:t xml:space="preserve"> </w:t>
      </w:r>
      <w:r>
        <w:t>distancias nosotros no las alcanzamos a tener en cuenta, y por eso pedimos perdón, porque verdaderamente causamos daño. Y más hoy, cuando ya llevamos cuatro años de lo que fue la dejación de armas, les quiero decir con toda sinceridad que nunca, cuando estábamos en armas, alcanzamos a analizar lo que era construir una casa. Hoy, que ya a nosotros nos ha tocado, desde la vida civil, comprar</w:t>
      </w:r>
      <w:r>
        <w:rPr>
          <w:spacing w:val="-1"/>
        </w:rPr>
        <w:t xml:space="preserve"> </w:t>
      </w:r>
      <w:r>
        <w:t>un bulto de</w:t>
      </w:r>
      <w:r>
        <w:rPr>
          <w:spacing w:val="-1"/>
        </w:rPr>
        <w:t xml:space="preserve"> </w:t>
      </w:r>
      <w:r>
        <w:t>cemento, una varilla, un</w:t>
      </w:r>
      <w:r>
        <w:rPr>
          <w:spacing w:val="-1"/>
        </w:rPr>
        <w:t xml:space="preserve"> </w:t>
      </w:r>
      <w:r>
        <w:t>bulto de</w:t>
      </w:r>
      <w:r>
        <w:rPr>
          <w:spacing w:val="-1"/>
        </w:rPr>
        <w:t xml:space="preserve"> </w:t>
      </w:r>
      <w:r>
        <w:t>arena, nos ponemos en</w:t>
      </w:r>
      <w:r>
        <w:rPr>
          <w:spacing w:val="-1"/>
        </w:rPr>
        <w:t xml:space="preserve"> </w:t>
      </w:r>
      <w:r>
        <w:t xml:space="preserve">los zapatos de esos compañeros que perdieron sus viviendas, cómo fue de duro tener que levantar nuevamente su casa y después volver otra vez, y otra vez, y otra vez a </w:t>
      </w:r>
      <w:r>
        <w:lastRenderedPageBreak/>
        <w:t>levantar su casa, hoy somos conscientes de eso»</w:t>
      </w:r>
      <w:r w:rsidR="00B96EBC">
        <w:rPr>
          <w:rStyle w:val="Refdenotaalpie"/>
        </w:rPr>
        <w:footnoteReference w:id="1159"/>
      </w:r>
      <w:r>
        <w:t>.</w:t>
      </w:r>
    </w:p>
    <w:p w:rsidR="003804AC" w:rsidRDefault="00AF18A5" w:rsidP="00B96EBC">
      <w:pPr>
        <w:pStyle w:val="Textoindependiente"/>
        <w:spacing w:before="120"/>
        <w:ind w:left="221" w:right="1337" w:firstLine="284"/>
        <w:jc w:val="both"/>
      </w:pPr>
      <w:r>
        <w:t>Sin</w:t>
      </w:r>
      <w:r>
        <w:rPr>
          <w:spacing w:val="-15"/>
        </w:rPr>
        <w:t xml:space="preserve"> </w:t>
      </w:r>
      <w:r>
        <w:t>embargo,</w:t>
      </w:r>
      <w:r>
        <w:rPr>
          <w:spacing w:val="-15"/>
        </w:rPr>
        <w:t xml:space="preserve"> </w:t>
      </w:r>
      <w:r>
        <w:t>existen</w:t>
      </w:r>
      <w:r>
        <w:rPr>
          <w:spacing w:val="-15"/>
        </w:rPr>
        <w:t xml:space="preserve"> </w:t>
      </w:r>
      <w:r>
        <w:t>distinciones</w:t>
      </w:r>
      <w:r>
        <w:rPr>
          <w:spacing w:val="-15"/>
        </w:rPr>
        <w:t xml:space="preserve"> </w:t>
      </w:r>
      <w:r>
        <w:t>significativas</w:t>
      </w:r>
      <w:r>
        <w:rPr>
          <w:spacing w:val="-15"/>
        </w:rPr>
        <w:t xml:space="preserve"> </w:t>
      </w:r>
      <w:r>
        <w:t>relacionadas</w:t>
      </w:r>
      <w:r>
        <w:rPr>
          <w:spacing w:val="-15"/>
        </w:rPr>
        <w:t xml:space="preserve"> </w:t>
      </w:r>
      <w:r>
        <w:t>con</w:t>
      </w:r>
      <w:r>
        <w:rPr>
          <w:spacing w:val="-15"/>
        </w:rPr>
        <w:t xml:space="preserve"> </w:t>
      </w:r>
      <w:r>
        <w:t>el</w:t>
      </w:r>
      <w:r>
        <w:rPr>
          <w:spacing w:val="-15"/>
        </w:rPr>
        <w:t xml:space="preserve"> </w:t>
      </w:r>
      <w:r>
        <w:t>sentido</w:t>
      </w:r>
      <w:r>
        <w:rPr>
          <w:spacing w:val="-15"/>
        </w:rPr>
        <w:t xml:space="preserve"> </w:t>
      </w:r>
      <w:r>
        <w:t>de</w:t>
      </w:r>
      <w:r>
        <w:rPr>
          <w:spacing w:val="-15"/>
        </w:rPr>
        <w:t xml:space="preserve"> </w:t>
      </w:r>
      <w:r>
        <w:t>pertenencia al territorio. Los exintegrantes de grupos armados, particularmente los exmiembros de las FARC-EP, que realizan procesos de reincorporación en lugares donde operaron, suelen lograr un mayor nivel de empatía con las víctimas a quienes afectaron, en comparación con otras</w:t>
      </w:r>
      <w:r>
        <w:rPr>
          <w:spacing w:val="-12"/>
        </w:rPr>
        <w:t xml:space="preserve"> </w:t>
      </w:r>
      <w:r>
        <w:t>víctimas</w:t>
      </w:r>
      <w:r>
        <w:rPr>
          <w:spacing w:val="-12"/>
        </w:rPr>
        <w:t xml:space="preserve"> </w:t>
      </w:r>
      <w:r>
        <w:t>y</w:t>
      </w:r>
      <w:r>
        <w:rPr>
          <w:spacing w:val="-11"/>
        </w:rPr>
        <w:t xml:space="preserve"> </w:t>
      </w:r>
      <w:r>
        <w:t>sectores</w:t>
      </w:r>
      <w:r>
        <w:rPr>
          <w:spacing w:val="-13"/>
        </w:rPr>
        <w:t xml:space="preserve"> </w:t>
      </w:r>
      <w:r>
        <w:t>que</w:t>
      </w:r>
      <w:r>
        <w:rPr>
          <w:spacing w:val="-11"/>
        </w:rPr>
        <w:t xml:space="preserve"> </w:t>
      </w:r>
      <w:r>
        <w:t>se</w:t>
      </w:r>
      <w:r>
        <w:rPr>
          <w:spacing w:val="-12"/>
        </w:rPr>
        <w:t xml:space="preserve"> </w:t>
      </w:r>
      <w:r>
        <w:t>encuentran</w:t>
      </w:r>
      <w:r>
        <w:rPr>
          <w:spacing w:val="-12"/>
        </w:rPr>
        <w:t xml:space="preserve"> </w:t>
      </w:r>
      <w:r>
        <w:t>ubicados</w:t>
      </w:r>
      <w:r>
        <w:rPr>
          <w:spacing w:val="-11"/>
        </w:rPr>
        <w:t xml:space="preserve"> </w:t>
      </w:r>
      <w:r>
        <w:t>en</w:t>
      </w:r>
      <w:r>
        <w:rPr>
          <w:spacing w:val="-12"/>
        </w:rPr>
        <w:t xml:space="preserve"> </w:t>
      </w:r>
      <w:r>
        <w:t>espacios</w:t>
      </w:r>
      <w:r>
        <w:rPr>
          <w:spacing w:val="-11"/>
        </w:rPr>
        <w:t xml:space="preserve"> </w:t>
      </w:r>
      <w:r>
        <w:t>y</w:t>
      </w:r>
      <w:r>
        <w:rPr>
          <w:spacing w:val="-12"/>
        </w:rPr>
        <w:t xml:space="preserve"> </w:t>
      </w:r>
      <w:r>
        <w:t>lugares</w:t>
      </w:r>
      <w:r>
        <w:rPr>
          <w:spacing w:val="-12"/>
        </w:rPr>
        <w:t xml:space="preserve"> </w:t>
      </w:r>
      <w:r>
        <w:t>de</w:t>
      </w:r>
      <w:r>
        <w:rPr>
          <w:spacing w:val="-12"/>
        </w:rPr>
        <w:t xml:space="preserve"> </w:t>
      </w:r>
      <w:r>
        <w:t>poder</w:t>
      </w:r>
      <w:r>
        <w:rPr>
          <w:spacing w:val="-12"/>
        </w:rPr>
        <w:t xml:space="preserve"> </w:t>
      </w:r>
      <w:r>
        <w:t>distintos. El</w:t>
      </w:r>
      <w:r>
        <w:rPr>
          <w:spacing w:val="-10"/>
        </w:rPr>
        <w:t xml:space="preserve"> </w:t>
      </w:r>
      <w:r>
        <w:t>tipo</w:t>
      </w:r>
      <w:r>
        <w:rPr>
          <w:spacing w:val="-11"/>
        </w:rPr>
        <w:t xml:space="preserve"> </w:t>
      </w:r>
      <w:r>
        <w:t>de</w:t>
      </w:r>
      <w:r>
        <w:rPr>
          <w:spacing w:val="-11"/>
        </w:rPr>
        <w:t xml:space="preserve"> </w:t>
      </w:r>
      <w:r>
        <w:t>fracturas</w:t>
      </w:r>
      <w:r>
        <w:rPr>
          <w:spacing w:val="-11"/>
        </w:rPr>
        <w:t xml:space="preserve"> </w:t>
      </w:r>
      <w:r>
        <w:t>comunitarias</w:t>
      </w:r>
      <w:r>
        <w:rPr>
          <w:spacing w:val="-11"/>
        </w:rPr>
        <w:t xml:space="preserve"> </w:t>
      </w:r>
      <w:r>
        <w:t>que</w:t>
      </w:r>
      <w:r>
        <w:rPr>
          <w:spacing w:val="-12"/>
        </w:rPr>
        <w:t xml:space="preserve"> </w:t>
      </w:r>
      <w:r>
        <w:t>se</w:t>
      </w:r>
      <w:r>
        <w:rPr>
          <w:spacing w:val="-11"/>
        </w:rPr>
        <w:t xml:space="preserve"> </w:t>
      </w:r>
      <w:r>
        <w:t>dieron</w:t>
      </w:r>
      <w:r>
        <w:rPr>
          <w:spacing w:val="-11"/>
        </w:rPr>
        <w:t xml:space="preserve"> </w:t>
      </w:r>
      <w:r>
        <w:t>como</w:t>
      </w:r>
      <w:r>
        <w:rPr>
          <w:spacing w:val="-11"/>
        </w:rPr>
        <w:t xml:space="preserve"> </w:t>
      </w:r>
      <w:r>
        <w:t>consecuencia</w:t>
      </w:r>
      <w:r>
        <w:rPr>
          <w:spacing w:val="-11"/>
        </w:rPr>
        <w:t xml:space="preserve"> </w:t>
      </w:r>
      <w:r>
        <w:t>de</w:t>
      </w:r>
      <w:r>
        <w:rPr>
          <w:spacing w:val="-11"/>
        </w:rPr>
        <w:t xml:space="preserve"> </w:t>
      </w:r>
      <w:r>
        <w:t>una</w:t>
      </w:r>
      <w:r>
        <w:rPr>
          <w:spacing w:val="-12"/>
        </w:rPr>
        <w:t xml:space="preserve"> </w:t>
      </w:r>
      <w:r>
        <w:t>masacre,</w:t>
      </w:r>
      <w:r>
        <w:rPr>
          <w:spacing w:val="-11"/>
        </w:rPr>
        <w:t xml:space="preserve"> </w:t>
      </w:r>
      <w:r>
        <w:t>una</w:t>
      </w:r>
      <w:r>
        <w:rPr>
          <w:spacing w:val="-11"/>
        </w:rPr>
        <w:t xml:space="preserve"> </w:t>
      </w:r>
      <w:r>
        <w:t>toma guerrillera o la desaparición de personas, es una cuestión de contexto a tener en cuenta en términos</w:t>
      </w:r>
      <w:r>
        <w:rPr>
          <w:spacing w:val="-1"/>
        </w:rPr>
        <w:t xml:space="preserve"> </w:t>
      </w:r>
      <w:r>
        <w:t>de</w:t>
      </w:r>
      <w:r>
        <w:rPr>
          <w:spacing w:val="-2"/>
        </w:rPr>
        <w:t xml:space="preserve"> </w:t>
      </w:r>
      <w:r>
        <w:t>desafíos</w:t>
      </w:r>
      <w:r>
        <w:rPr>
          <w:spacing w:val="-1"/>
        </w:rPr>
        <w:t xml:space="preserve"> </w:t>
      </w:r>
      <w:r>
        <w:t>de</w:t>
      </w:r>
      <w:r>
        <w:rPr>
          <w:spacing w:val="-2"/>
        </w:rPr>
        <w:t xml:space="preserve"> </w:t>
      </w:r>
      <w:r>
        <w:t>reconstrucción</w:t>
      </w:r>
      <w:r>
        <w:rPr>
          <w:spacing w:val="-1"/>
        </w:rPr>
        <w:t xml:space="preserve"> </w:t>
      </w:r>
      <w:r>
        <w:t>de</w:t>
      </w:r>
      <w:r>
        <w:rPr>
          <w:spacing w:val="-1"/>
        </w:rPr>
        <w:t xml:space="preserve"> </w:t>
      </w:r>
      <w:r>
        <w:t>la</w:t>
      </w:r>
      <w:r>
        <w:rPr>
          <w:spacing w:val="-2"/>
        </w:rPr>
        <w:t xml:space="preserve"> </w:t>
      </w:r>
      <w:r>
        <w:t>convivencia</w:t>
      </w:r>
      <w:r>
        <w:rPr>
          <w:spacing w:val="-1"/>
        </w:rPr>
        <w:t xml:space="preserve"> </w:t>
      </w:r>
      <w:r>
        <w:t>en</w:t>
      </w:r>
      <w:r>
        <w:rPr>
          <w:spacing w:val="-1"/>
        </w:rPr>
        <w:t xml:space="preserve"> </w:t>
      </w:r>
      <w:r>
        <w:t>el</w:t>
      </w:r>
      <w:r>
        <w:rPr>
          <w:spacing w:val="-2"/>
        </w:rPr>
        <w:t xml:space="preserve"> </w:t>
      </w:r>
      <w:r>
        <w:t>ámbito</w:t>
      </w:r>
      <w:r>
        <w:rPr>
          <w:spacing w:val="-1"/>
        </w:rPr>
        <w:t xml:space="preserve"> </w:t>
      </w:r>
      <w:r>
        <w:t>local.</w:t>
      </w:r>
      <w:r>
        <w:rPr>
          <w:spacing w:val="-1"/>
        </w:rPr>
        <w:t xml:space="preserve"> </w:t>
      </w:r>
      <w:r>
        <w:t>La</w:t>
      </w:r>
      <w:r>
        <w:rPr>
          <w:spacing w:val="-1"/>
        </w:rPr>
        <w:t xml:space="preserve"> </w:t>
      </w:r>
      <w:r>
        <w:t>persistencia del</w:t>
      </w:r>
      <w:r>
        <w:rPr>
          <w:spacing w:val="16"/>
        </w:rPr>
        <w:t xml:space="preserve"> </w:t>
      </w:r>
      <w:r>
        <w:t>conflicto</w:t>
      </w:r>
      <w:r>
        <w:rPr>
          <w:spacing w:val="17"/>
        </w:rPr>
        <w:t xml:space="preserve"> </w:t>
      </w:r>
      <w:r>
        <w:t>en</w:t>
      </w:r>
      <w:r>
        <w:rPr>
          <w:spacing w:val="18"/>
        </w:rPr>
        <w:t xml:space="preserve"> </w:t>
      </w:r>
      <w:r>
        <w:t>algunas</w:t>
      </w:r>
      <w:r>
        <w:rPr>
          <w:spacing w:val="16"/>
        </w:rPr>
        <w:t xml:space="preserve"> </w:t>
      </w:r>
      <w:r>
        <w:t>regiones</w:t>
      </w:r>
      <w:r>
        <w:rPr>
          <w:spacing w:val="17"/>
        </w:rPr>
        <w:t xml:space="preserve"> </w:t>
      </w:r>
      <w:r>
        <w:t>del</w:t>
      </w:r>
      <w:r>
        <w:rPr>
          <w:spacing w:val="17"/>
        </w:rPr>
        <w:t xml:space="preserve"> </w:t>
      </w:r>
      <w:r>
        <w:t>país</w:t>
      </w:r>
      <w:r>
        <w:rPr>
          <w:spacing w:val="18"/>
        </w:rPr>
        <w:t xml:space="preserve"> </w:t>
      </w:r>
      <w:r>
        <w:t>hace</w:t>
      </w:r>
      <w:r>
        <w:rPr>
          <w:spacing w:val="18"/>
        </w:rPr>
        <w:t xml:space="preserve"> </w:t>
      </w:r>
      <w:r>
        <w:t>que</w:t>
      </w:r>
      <w:r>
        <w:rPr>
          <w:spacing w:val="18"/>
        </w:rPr>
        <w:t xml:space="preserve"> </w:t>
      </w:r>
      <w:r>
        <w:t>estos</w:t>
      </w:r>
      <w:r>
        <w:rPr>
          <w:spacing w:val="18"/>
        </w:rPr>
        <w:t xml:space="preserve"> </w:t>
      </w:r>
      <w:r>
        <w:t>procesos</w:t>
      </w:r>
      <w:r>
        <w:rPr>
          <w:spacing w:val="18"/>
        </w:rPr>
        <w:t xml:space="preserve"> </w:t>
      </w:r>
      <w:r>
        <w:t>y</w:t>
      </w:r>
      <w:r>
        <w:rPr>
          <w:spacing w:val="18"/>
        </w:rPr>
        <w:t xml:space="preserve"> </w:t>
      </w:r>
      <w:r>
        <w:t>reflexiones</w:t>
      </w:r>
      <w:r>
        <w:rPr>
          <w:spacing w:val="18"/>
        </w:rPr>
        <w:t xml:space="preserve"> </w:t>
      </w:r>
      <w:r>
        <w:t>estén</w:t>
      </w:r>
      <w:r>
        <w:rPr>
          <w:spacing w:val="19"/>
        </w:rPr>
        <w:t xml:space="preserve"> </w:t>
      </w:r>
      <w:r>
        <w:rPr>
          <w:spacing w:val="-5"/>
        </w:rPr>
        <w:t>aún</w:t>
      </w:r>
      <w:bookmarkStart w:id="1469" w:name="_bookmark1286"/>
      <w:bookmarkEnd w:id="1469"/>
      <w:r w:rsidR="00B96EBC">
        <w:rPr>
          <w:spacing w:val="-5"/>
        </w:rPr>
        <w:t xml:space="preserve"> </w:t>
      </w:r>
      <w:r>
        <w:t>mediatizados</w:t>
      </w:r>
      <w:r>
        <w:rPr>
          <w:spacing w:val="-15"/>
        </w:rPr>
        <w:t xml:space="preserve"> </w:t>
      </w:r>
      <w:r>
        <w:t>por</w:t>
      </w:r>
      <w:r>
        <w:rPr>
          <w:spacing w:val="-15"/>
        </w:rPr>
        <w:t xml:space="preserve"> </w:t>
      </w:r>
      <w:r>
        <w:t>la</w:t>
      </w:r>
      <w:r>
        <w:rPr>
          <w:spacing w:val="-15"/>
        </w:rPr>
        <w:t xml:space="preserve"> </w:t>
      </w:r>
      <w:r>
        <w:t>continuidad</w:t>
      </w:r>
      <w:r>
        <w:rPr>
          <w:spacing w:val="-15"/>
        </w:rPr>
        <w:t xml:space="preserve"> </w:t>
      </w:r>
      <w:r>
        <w:t>del</w:t>
      </w:r>
      <w:r>
        <w:rPr>
          <w:spacing w:val="-15"/>
        </w:rPr>
        <w:t xml:space="preserve"> </w:t>
      </w:r>
      <w:r>
        <w:t>conflicto</w:t>
      </w:r>
      <w:r>
        <w:rPr>
          <w:spacing w:val="-15"/>
        </w:rPr>
        <w:t xml:space="preserve"> </w:t>
      </w:r>
      <w:r>
        <w:t>y</w:t>
      </w:r>
      <w:r>
        <w:rPr>
          <w:spacing w:val="-15"/>
        </w:rPr>
        <w:t xml:space="preserve"> </w:t>
      </w:r>
      <w:r>
        <w:t>que</w:t>
      </w:r>
      <w:r>
        <w:rPr>
          <w:spacing w:val="-15"/>
        </w:rPr>
        <w:t xml:space="preserve"> </w:t>
      </w:r>
      <w:r>
        <w:t>haya</w:t>
      </w:r>
      <w:r>
        <w:rPr>
          <w:spacing w:val="-15"/>
        </w:rPr>
        <w:t xml:space="preserve"> </w:t>
      </w:r>
      <w:r>
        <w:t>necesidad</w:t>
      </w:r>
      <w:r>
        <w:rPr>
          <w:spacing w:val="-15"/>
        </w:rPr>
        <w:t xml:space="preserve"> </w:t>
      </w:r>
      <w:r>
        <w:t>de</w:t>
      </w:r>
      <w:r>
        <w:rPr>
          <w:spacing w:val="-15"/>
        </w:rPr>
        <w:t xml:space="preserve"> </w:t>
      </w:r>
      <w:r>
        <w:t>garantías</w:t>
      </w:r>
      <w:r>
        <w:rPr>
          <w:spacing w:val="-15"/>
        </w:rPr>
        <w:t xml:space="preserve"> </w:t>
      </w:r>
      <w:r>
        <w:t>para</w:t>
      </w:r>
      <w:r>
        <w:rPr>
          <w:spacing w:val="-15"/>
        </w:rPr>
        <w:t xml:space="preserve"> </w:t>
      </w:r>
      <w:r>
        <w:t>llevarlos a cabo.</w:t>
      </w:r>
    </w:p>
    <w:p w:rsidR="0011361F" w:rsidRDefault="00AF18A5" w:rsidP="004A6EF4">
      <w:pPr>
        <w:pStyle w:val="Ttulo4"/>
        <w:numPr>
          <w:ilvl w:val="2"/>
          <w:numId w:val="16"/>
        </w:numPr>
      </w:pPr>
      <w:bookmarkStart w:id="1470" w:name="11.6.4._La_construcción_de_una_nueva_cul"/>
      <w:bookmarkEnd w:id="1470"/>
      <w:r>
        <w:t>La</w:t>
      </w:r>
      <w:r>
        <w:rPr>
          <w:spacing w:val="-2"/>
        </w:rPr>
        <w:t xml:space="preserve"> </w:t>
      </w:r>
      <w:r>
        <w:t>construcción</w:t>
      </w:r>
      <w:r>
        <w:rPr>
          <w:spacing w:val="-3"/>
        </w:rPr>
        <w:t xml:space="preserve"> </w:t>
      </w:r>
      <w:r>
        <w:t>de</w:t>
      </w:r>
      <w:r>
        <w:rPr>
          <w:spacing w:val="-2"/>
        </w:rPr>
        <w:t xml:space="preserve"> </w:t>
      </w:r>
      <w:r>
        <w:t>una</w:t>
      </w:r>
      <w:r>
        <w:rPr>
          <w:spacing w:val="-2"/>
        </w:rPr>
        <w:t xml:space="preserve"> </w:t>
      </w:r>
      <w:r>
        <w:t>nueva</w:t>
      </w:r>
      <w:r>
        <w:rPr>
          <w:spacing w:val="-1"/>
        </w:rPr>
        <w:t xml:space="preserve"> </w:t>
      </w:r>
      <w:r>
        <w:t>cultura</w:t>
      </w:r>
      <w:r>
        <w:rPr>
          <w:spacing w:val="-3"/>
        </w:rPr>
        <w:t xml:space="preserve"> </w:t>
      </w:r>
      <w:r>
        <w:rPr>
          <w:spacing w:val="-2"/>
        </w:rPr>
        <w:t>política</w:t>
      </w:r>
    </w:p>
    <w:p w:rsidR="003804AC" w:rsidRDefault="00AF18A5" w:rsidP="00B96EBC">
      <w:r>
        <w:t>La contraposición entre la postura individual y la colectiva ha dejado de ser paradójica y problemática cuando ambas tienen cabida en la narrativa de reconocimiento de responsabilidad. Un ejemplo es la posibilidad de seguir compartiendo valores políticos o ideológicos,</w:t>
      </w:r>
      <w:r>
        <w:rPr>
          <w:spacing w:val="-7"/>
        </w:rPr>
        <w:t xml:space="preserve"> </w:t>
      </w:r>
      <w:r>
        <w:t>pero</w:t>
      </w:r>
      <w:r>
        <w:rPr>
          <w:spacing w:val="-6"/>
        </w:rPr>
        <w:t xml:space="preserve"> </w:t>
      </w:r>
      <w:r>
        <w:t>reconociendo</w:t>
      </w:r>
      <w:r>
        <w:rPr>
          <w:spacing w:val="-6"/>
        </w:rPr>
        <w:t xml:space="preserve"> </w:t>
      </w:r>
      <w:r>
        <w:t>formas</w:t>
      </w:r>
      <w:r>
        <w:rPr>
          <w:spacing w:val="-6"/>
        </w:rPr>
        <w:t xml:space="preserve"> </w:t>
      </w:r>
      <w:r>
        <w:t>distintas</w:t>
      </w:r>
      <w:r>
        <w:rPr>
          <w:spacing w:val="-7"/>
        </w:rPr>
        <w:t xml:space="preserve"> </w:t>
      </w:r>
      <w:r>
        <w:t>de</w:t>
      </w:r>
      <w:r>
        <w:rPr>
          <w:spacing w:val="-6"/>
        </w:rPr>
        <w:t xml:space="preserve"> </w:t>
      </w:r>
      <w:r>
        <w:t>alcanzarlos.</w:t>
      </w:r>
      <w:r>
        <w:rPr>
          <w:spacing w:val="-4"/>
        </w:rPr>
        <w:t xml:space="preserve"> </w:t>
      </w:r>
      <w:r>
        <w:t>Al</w:t>
      </w:r>
      <w:r>
        <w:rPr>
          <w:spacing w:val="-5"/>
        </w:rPr>
        <w:t xml:space="preserve"> </w:t>
      </w:r>
      <w:r>
        <w:t>respecto</w:t>
      </w:r>
      <w:r>
        <w:rPr>
          <w:spacing w:val="-6"/>
        </w:rPr>
        <w:t xml:space="preserve"> </w:t>
      </w:r>
      <w:r>
        <w:t>esto</w:t>
      </w:r>
      <w:r>
        <w:rPr>
          <w:spacing w:val="-6"/>
        </w:rPr>
        <w:t xml:space="preserve"> </w:t>
      </w:r>
      <w:r>
        <w:t>comenta</w:t>
      </w:r>
      <w:r>
        <w:rPr>
          <w:spacing w:val="-6"/>
        </w:rPr>
        <w:t xml:space="preserve"> </w:t>
      </w:r>
      <w:r>
        <w:t>un firmante del Acuerdo de Paz:</w:t>
      </w:r>
    </w:p>
    <w:p w:rsidR="003804AC" w:rsidRDefault="00AF18A5" w:rsidP="00B96EBC">
      <w:r>
        <w:lastRenderedPageBreak/>
        <w:t xml:space="preserve">«Yo soy uno de los que a veces discrepo con el partido [Comunes], y eso no es malo, considero que es bueno que se abra el debate interno, que haya discusión y mostrar que no puede haber consenso siempre, que hay muchas posiciones que se deben aceptar. Si somos consecuentes con lo que soñamos para el país, por el camino nos iremos encontrando de </w:t>
      </w:r>
      <w:r>
        <w:rPr>
          <w:spacing w:val="-2"/>
        </w:rPr>
        <w:t>nuevo»</w:t>
      </w:r>
      <w:r w:rsidR="00B96EBC">
        <w:rPr>
          <w:rStyle w:val="Refdenotaalpie"/>
          <w:spacing w:val="-2"/>
        </w:rPr>
        <w:footnoteReference w:id="1160"/>
      </w:r>
      <w:r>
        <w:rPr>
          <w:spacing w:val="-2"/>
        </w:rPr>
        <w:t>.</w:t>
      </w:r>
    </w:p>
    <w:p w:rsidR="003804AC" w:rsidRDefault="00AF18A5" w:rsidP="00B96EBC">
      <w:r>
        <w:t>Estas reflexiones brindan una oportunidad para</w:t>
      </w:r>
      <w:r>
        <w:rPr>
          <w:spacing w:val="-1"/>
        </w:rPr>
        <w:t xml:space="preserve"> </w:t>
      </w:r>
      <w:r>
        <w:t>conocer la</w:t>
      </w:r>
      <w:r>
        <w:rPr>
          <w:spacing w:val="-1"/>
        </w:rPr>
        <w:t xml:space="preserve"> </w:t>
      </w:r>
      <w:r>
        <w:t>experiencia y</w:t>
      </w:r>
      <w:r>
        <w:rPr>
          <w:spacing w:val="-1"/>
        </w:rPr>
        <w:t xml:space="preserve"> </w:t>
      </w:r>
      <w:r>
        <w:t>consideraciones éticas también de exmilitares que participaron en ejercicios de contribución a la verdad o reconocieron responsabilidad en</w:t>
      </w:r>
      <w:r>
        <w:rPr>
          <w:spacing w:val="-3"/>
        </w:rPr>
        <w:t xml:space="preserve"> </w:t>
      </w:r>
      <w:r>
        <w:t>ejecuciones extrajudiciales. En contraste con lo señalado, en</w:t>
      </w:r>
      <w:r>
        <w:rPr>
          <w:spacing w:val="-6"/>
        </w:rPr>
        <w:t xml:space="preserve"> </w:t>
      </w:r>
      <w:r>
        <w:t>el</w:t>
      </w:r>
      <w:r>
        <w:rPr>
          <w:spacing w:val="-6"/>
        </w:rPr>
        <w:t xml:space="preserve"> </w:t>
      </w:r>
      <w:r>
        <w:t>caso</w:t>
      </w:r>
      <w:r>
        <w:rPr>
          <w:spacing w:val="-6"/>
        </w:rPr>
        <w:t xml:space="preserve"> </w:t>
      </w:r>
      <w:r>
        <w:t>de</w:t>
      </w:r>
      <w:r>
        <w:rPr>
          <w:spacing w:val="-6"/>
        </w:rPr>
        <w:t xml:space="preserve"> </w:t>
      </w:r>
      <w:r>
        <w:t>exintegrantes</w:t>
      </w:r>
      <w:r>
        <w:rPr>
          <w:spacing w:val="-6"/>
        </w:rPr>
        <w:t xml:space="preserve"> </w:t>
      </w:r>
      <w:r>
        <w:t>de</w:t>
      </w:r>
      <w:r>
        <w:rPr>
          <w:spacing w:val="-6"/>
        </w:rPr>
        <w:t xml:space="preserve"> </w:t>
      </w:r>
      <w:r>
        <w:t>las</w:t>
      </w:r>
      <w:r>
        <w:rPr>
          <w:spacing w:val="-6"/>
        </w:rPr>
        <w:t xml:space="preserve"> </w:t>
      </w:r>
      <w:r>
        <w:t>FARC-EP,</w:t>
      </w:r>
      <w:r>
        <w:rPr>
          <w:spacing w:val="-6"/>
        </w:rPr>
        <w:t xml:space="preserve"> </w:t>
      </w:r>
      <w:r>
        <w:t>el</w:t>
      </w:r>
      <w:r>
        <w:rPr>
          <w:spacing w:val="-6"/>
        </w:rPr>
        <w:t xml:space="preserve"> </w:t>
      </w:r>
      <w:r>
        <w:t>reconocimiento</w:t>
      </w:r>
      <w:r>
        <w:rPr>
          <w:spacing w:val="-6"/>
        </w:rPr>
        <w:t xml:space="preserve"> </w:t>
      </w:r>
      <w:r>
        <w:t>de</w:t>
      </w:r>
      <w:r>
        <w:rPr>
          <w:spacing w:val="-6"/>
        </w:rPr>
        <w:t xml:space="preserve"> </w:t>
      </w:r>
      <w:r>
        <w:t>responsabilidades</w:t>
      </w:r>
      <w:r>
        <w:rPr>
          <w:spacing w:val="-6"/>
        </w:rPr>
        <w:t xml:space="preserve"> </w:t>
      </w:r>
      <w:r>
        <w:t>ha</w:t>
      </w:r>
      <w:r>
        <w:rPr>
          <w:spacing w:val="-6"/>
        </w:rPr>
        <w:t xml:space="preserve"> </w:t>
      </w:r>
      <w:r>
        <w:t>sido un camino emprendido en solitario. En estos casos no se cuenta con respaldo ni validación de la organización a la cual pertenecieron, incluso ni de compañeros cercanos que tuvieron la misma</w:t>
      </w:r>
      <w:r>
        <w:rPr>
          <w:spacing w:val="-1"/>
        </w:rPr>
        <w:t xml:space="preserve"> </w:t>
      </w:r>
      <w:r>
        <w:t>experiencia. Los giros éticos son motivados desde</w:t>
      </w:r>
      <w:r>
        <w:rPr>
          <w:spacing w:val="-1"/>
        </w:rPr>
        <w:t xml:space="preserve"> </w:t>
      </w:r>
      <w:r>
        <w:t>un lugar de</w:t>
      </w:r>
      <w:r>
        <w:rPr>
          <w:spacing w:val="-1"/>
        </w:rPr>
        <w:t xml:space="preserve"> </w:t>
      </w:r>
      <w:r>
        <w:t>autonomía distinto, validado y compartido con quienes decidieron mirar críticamente el pasado en el que participaron</w:t>
      </w:r>
      <w:r>
        <w:rPr>
          <w:spacing w:val="-4"/>
        </w:rPr>
        <w:t xml:space="preserve"> </w:t>
      </w:r>
      <w:r>
        <w:t>y que contaron para ello con un escenario propicio,</w:t>
      </w:r>
      <w:r w:rsidR="00B96EBC">
        <w:t xml:space="preserve"> </w:t>
      </w:r>
      <w:r>
        <w:t>como la JEP y la Comisión de la Verdad.</w:t>
      </w:r>
    </w:p>
    <w:p w:rsidR="003804AC" w:rsidRDefault="00AF18A5" w:rsidP="00B96EBC">
      <w:r>
        <w:t>En todo caso, estos pasos de reconocimiento serán activadores en el futuro de otros reconocimientos políticos e institucionales que ayuden a construir una cultura política democrática,</w:t>
      </w:r>
      <w:r>
        <w:rPr>
          <w:spacing w:val="34"/>
        </w:rPr>
        <w:t xml:space="preserve"> </w:t>
      </w:r>
      <w:r>
        <w:t>no</w:t>
      </w:r>
      <w:r>
        <w:rPr>
          <w:spacing w:val="36"/>
        </w:rPr>
        <w:t xml:space="preserve"> </w:t>
      </w:r>
      <w:r>
        <w:t>basada</w:t>
      </w:r>
      <w:r>
        <w:rPr>
          <w:spacing w:val="35"/>
        </w:rPr>
        <w:t xml:space="preserve"> </w:t>
      </w:r>
      <w:r>
        <w:t>en</w:t>
      </w:r>
      <w:r>
        <w:rPr>
          <w:spacing w:val="36"/>
        </w:rPr>
        <w:t xml:space="preserve"> </w:t>
      </w:r>
      <w:r>
        <w:t>los</w:t>
      </w:r>
      <w:r>
        <w:rPr>
          <w:spacing w:val="35"/>
        </w:rPr>
        <w:t xml:space="preserve"> </w:t>
      </w:r>
      <w:r>
        <w:t>estereotipos</w:t>
      </w:r>
      <w:r>
        <w:rPr>
          <w:spacing w:val="36"/>
        </w:rPr>
        <w:t xml:space="preserve"> </w:t>
      </w:r>
      <w:r>
        <w:t>del</w:t>
      </w:r>
      <w:r>
        <w:rPr>
          <w:spacing w:val="35"/>
        </w:rPr>
        <w:t xml:space="preserve"> </w:t>
      </w:r>
      <w:r>
        <w:t>enemigo</w:t>
      </w:r>
      <w:r>
        <w:rPr>
          <w:spacing w:val="36"/>
        </w:rPr>
        <w:t xml:space="preserve"> </w:t>
      </w:r>
      <w:r>
        <w:t>o</w:t>
      </w:r>
      <w:r>
        <w:rPr>
          <w:spacing w:val="35"/>
        </w:rPr>
        <w:t xml:space="preserve"> </w:t>
      </w:r>
      <w:r>
        <w:t>la</w:t>
      </w:r>
      <w:r>
        <w:rPr>
          <w:spacing w:val="36"/>
        </w:rPr>
        <w:t xml:space="preserve"> </w:t>
      </w:r>
      <w:r>
        <w:t>justificación</w:t>
      </w:r>
      <w:r>
        <w:rPr>
          <w:spacing w:val="36"/>
        </w:rPr>
        <w:t xml:space="preserve"> </w:t>
      </w:r>
      <w:r>
        <w:t>de</w:t>
      </w:r>
      <w:r>
        <w:rPr>
          <w:spacing w:val="35"/>
        </w:rPr>
        <w:t xml:space="preserve"> </w:t>
      </w:r>
      <w:r>
        <w:t>las</w:t>
      </w:r>
      <w:r>
        <w:rPr>
          <w:spacing w:val="36"/>
        </w:rPr>
        <w:t xml:space="preserve"> </w:t>
      </w:r>
      <w:r>
        <w:rPr>
          <w:spacing w:val="-2"/>
        </w:rPr>
        <w:t>propias</w:t>
      </w:r>
      <w:bookmarkStart w:id="1471" w:name="_bookmark1287"/>
      <w:bookmarkEnd w:id="1471"/>
      <w:r w:rsidR="00B96EBC">
        <w:t xml:space="preserve"> </w:t>
      </w:r>
      <w:r>
        <w:t>acciones. Un examen crítico del pasado por parte de líderes de instituciones del Estado, gremios económicos y sectores políticos es importante para poner las bases de una construcción</w:t>
      </w:r>
      <w:r>
        <w:rPr>
          <w:spacing w:val="-15"/>
        </w:rPr>
        <w:t xml:space="preserve"> </w:t>
      </w:r>
      <w:r>
        <w:t>de</w:t>
      </w:r>
      <w:r>
        <w:rPr>
          <w:spacing w:val="-15"/>
        </w:rPr>
        <w:t xml:space="preserve"> </w:t>
      </w:r>
      <w:r>
        <w:t>democracia</w:t>
      </w:r>
      <w:r>
        <w:rPr>
          <w:spacing w:val="-15"/>
        </w:rPr>
        <w:t xml:space="preserve"> </w:t>
      </w:r>
      <w:r>
        <w:t>sin</w:t>
      </w:r>
      <w:r>
        <w:rPr>
          <w:spacing w:val="-15"/>
        </w:rPr>
        <w:t xml:space="preserve"> </w:t>
      </w:r>
      <w:r>
        <w:t>el</w:t>
      </w:r>
      <w:r>
        <w:rPr>
          <w:spacing w:val="-15"/>
        </w:rPr>
        <w:t xml:space="preserve"> </w:t>
      </w:r>
      <w:r>
        <w:t>lastre</w:t>
      </w:r>
      <w:r>
        <w:rPr>
          <w:spacing w:val="-15"/>
        </w:rPr>
        <w:t xml:space="preserve"> </w:t>
      </w:r>
      <w:r>
        <w:t>de</w:t>
      </w:r>
      <w:r>
        <w:rPr>
          <w:spacing w:val="-15"/>
        </w:rPr>
        <w:t xml:space="preserve"> </w:t>
      </w:r>
      <w:r>
        <w:t>la</w:t>
      </w:r>
      <w:r>
        <w:rPr>
          <w:spacing w:val="-15"/>
        </w:rPr>
        <w:t xml:space="preserve"> </w:t>
      </w:r>
      <w:r>
        <w:t>guerra</w:t>
      </w:r>
      <w:r>
        <w:rPr>
          <w:spacing w:val="-15"/>
        </w:rPr>
        <w:t xml:space="preserve"> </w:t>
      </w:r>
      <w:r>
        <w:t>y</w:t>
      </w:r>
      <w:r>
        <w:rPr>
          <w:spacing w:val="-15"/>
        </w:rPr>
        <w:t xml:space="preserve"> </w:t>
      </w:r>
      <w:r>
        <w:t>las</w:t>
      </w:r>
      <w:r>
        <w:rPr>
          <w:spacing w:val="-15"/>
        </w:rPr>
        <w:t xml:space="preserve"> </w:t>
      </w:r>
      <w:r>
        <w:t>mentalidades</w:t>
      </w:r>
      <w:r>
        <w:rPr>
          <w:spacing w:val="-15"/>
        </w:rPr>
        <w:t xml:space="preserve"> </w:t>
      </w:r>
      <w:r>
        <w:t>que</w:t>
      </w:r>
      <w:r>
        <w:rPr>
          <w:spacing w:val="-15"/>
        </w:rPr>
        <w:t xml:space="preserve"> </w:t>
      </w:r>
      <w:r>
        <w:t>la</w:t>
      </w:r>
      <w:r>
        <w:rPr>
          <w:spacing w:val="-15"/>
        </w:rPr>
        <w:t xml:space="preserve"> </w:t>
      </w:r>
      <w:r>
        <w:t>han</w:t>
      </w:r>
      <w:r>
        <w:rPr>
          <w:spacing w:val="-15"/>
        </w:rPr>
        <w:t xml:space="preserve"> </w:t>
      </w:r>
      <w:r>
        <w:t>alimentado durante décadas.</w:t>
      </w:r>
    </w:p>
    <w:p w:rsidR="0011361F" w:rsidRDefault="00AF18A5" w:rsidP="004A6EF4">
      <w:pPr>
        <w:pStyle w:val="Ttulo4"/>
        <w:numPr>
          <w:ilvl w:val="2"/>
          <w:numId w:val="16"/>
        </w:numPr>
      </w:pPr>
      <w:bookmarkStart w:id="1472" w:name="11.6.3._Deconstruyendo_las_ideas_sobre_l"/>
      <w:bookmarkEnd w:id="1472"/>
      <w:r>
        <w:lastRenderedPageBreak/>
        <w:t>Deconstruyendo</w:t>
      </w:r>
      <w:r>
        <w:rPr>
          <w:spacing w:val="-4"/>
        </w:rPr>
        <w:t xml:space="preserve"> </w:t>
      </w:r>
      <w:r>
        <w:t>las</w:t>
      </w:r>
      <w:r>
        <w:rPr>
          <w:spacing w:val="-1"/>
        </w:rPr>
        <w:t xml:space="preserve"> </w:t>
      </w:r>
      <w:r>
        <w:t>ideas</w:t>
      </w:r>
      <w:r>
        <w:rPr>
          <w:spacing w:val="-1"/>
        </w:rPr>
        <w:t xml:space="preserve"> </w:t>
      </w:r>
      <w:r>
        <w:t>sobre</w:t>
      </w:r>
      <w:r>
        <w:rPr>
          <w:spacing w:val="-2"/>
        </w:rPr>
        <w:t xml:space="preserve"> </w:t>
      </w:r>
      <w:r>
        <w:t>la</w:t>
      </w:r>
      <w:r>
        <w:rPr>
          <w:spacing w:val="-1"/>
        </w:rPr>
        <w:t xml:space="preserve"> </w:t>
      </w:r>
      <w:r>
        <w:t>relación</w:t>
      </w:r>
      <w:r>
        <w:rPr>
          <w:spacing w:val="-2"/>
        </w:rPr>
        <w:t xml:space="preserve"> </w:t>
      </w:r>
      <w:r>
        <w:t>con</w:t>
      </w:r>
      <w:r>
        <w:rPr>
          <w:spacing w:val="-2"/>
        </w:rPr>
        <w:t xml:space="preserve"> </w:t>
      </w:r>
      <w:r>
        <w:t>la</w:t>
      </w:r>
      <w:r>
        <w:rPr>
          <w:spacing w:val="-2"/>
        </w:rPr>
        <w:t xml:space="preserve"> </w:t>
      </w:r>
      <w:r>
        <w:t>población</w:t>
      </w:r>
      <w:r>
        <w:rPr>
          <w:spacing w:val="-2"/>
        </w:rPr>
        <w:t xml:space="preserve"> </w:t>
      </w:r>
      <w:r>
        <w:t>y</w:t>
      </w:r>
      <w:r>
        <w:rPr>
          <w:spacing w:val="-1"/>
        </w:rPr>
        <w:t xml:space="preserve"> </w:t>
      </w:r>
      <w:r>
        <w:t>el</w:t>
      </w:r>
      <w:r>
        <w:rPr>
          <w:spacing w:val="-1"/>
        </w:rPr>
        <w:t xml:space="preserve"> </w:t>
      </w:r>
      <w:r>
        <w:rPr>
          <w:spacing w:val="-2"/>
        </w:rPr>
        <w:t>enemigo.</w:t>
      </w:r>
    </w:p>
    <w:p w:rsidR="003804AC" w:rsidRDefault="00AF18A5" w:rsidP="00F34A53">
      <w:r>
        <w:t>El quiebre ético está dado por la posibilidad de ampliar en términos narrativos las distintas formas</w:t>
      </w:r>
      <w:r>
        <w:rPr>
          <w:spacing w:val="-10"/>
        </w:rPr>
        <w:t xml:space="preserve"> </w:t>
      </w:r>
      <w:r>
        <w:t>de</w:t>
      </w:r>
      <w:r>
        <w:rPr>
          <w:spacing w:val="-9"/>
        </w:rPr>
        <w:t xml:space="preserve"> </w:t>
      </w:r>
      <w:r>
        <w:t>relación,</w:t>
      </w:r>
      <w:r>
        <w:rPr>
          <w:spacing w:val="-10"/>
        </w:rPr>
        <w:t xml:space="preserve"> </w:t>
      </w:r>
      <w:r>
        <w:t>en</w:t>
      </w:r>
      <w:r>
        <w:rPr>
          <w:spacing w:val="-10"/>
        </w:rPr>
        <w:t xml:space="preserve"> </w:t>
      </w:r>
      <w:r>
        <w:t>este</w:t>
      </w:r>
      <w:r>
        <w:rPr>
          <w:spacing w:val="-9"/>
        </w:rPr>
        <w:t xml:space="preserve"> </w:t>
      </w:r>
      <w:r>
        <w:t>caso,</w:t>
      </w:r>
      <w:r>
        <w:rPr>
          <w:spacing w:val="-10"/>
        </w:rPr>
        <w:t xml:space="preserve"> </w:t>
      </w:r>
      <w:r>
        <w:t>entre</w:t>
      </w:r>
      <w:r>
        <w:rPr>
          <w:spacing w:val="-9"/>
        </w:rPr>
        <w:t xml:space="preserve"> </w:t>
      </w:r>
      <w:r>
        <w:t>las</w:t>
      </w:r>
      <w:r>
        <w:rPr>
          <w:spacing w:val="-9"/>
        </w:rPr>
        <w:t xml:space="preserve"> </w:t>
      </w:r>
      <w:r>
        <w:t>antiguas</w:t>
      </w:r>
      <w:r>
        <w:rPr>
          <w:spacing w:val="-10"/>
        </w:rPr>
        <w:t xml:space="preserve"> </w:t>
      </w:r>
      <w:r>
        <w:t>FARC-EP</w:t>
      </w:r>
      <w:r>
        <w:rPr>
          <w:spacing w:val="-9"/>
        </w:rPr>
        <w:t xml:space="preserve"> </w:t>
      </w:r>
      <w:r>
        <w:t>y</w:t>
      </w:r>
      <w:r>
        <w:rPr>
          <w:spacing w:val="-10"/>
        </w:rPr>
        <w:t xml:space="preserve"> </w:t>
      </w:r>
      <w:r>
        <w:t>los</w:t>
      </w:r>
      <w:r>
        <w:rPr>
          <w:spacing w:val="-9"/>
        </w:rPr>
        <w:t xml:space="preserve"> </w:t>
      </w:r>
      <w:r>
        <w:t>habitantes</w:t>
      </w:r>
      <w:r>
        <w:rPr>
          <w:spacing w:val="-9"/>
        </w:rPr>
        <w:t xml:space="preserve"> </w:t>
      </w:r>
      <w:r>
        <w:t>de</w:t>
      </w:r>
      <w:r>
        <w:rPr>
          <w:spacing w:val="-9"/>
        </w:rPr>
        <w:t xml:space="preserve"> </w:t>
      </w:r>
      <w:r>
        <w:t>un</w:t>
      </w:r>
      <w:r>
        <w:rPr>
          <w:spacing w:val="-10"/>
        </w:rPr>
        <w:t xml:space="preserve"> </w:t>
      </w:r>
      <w:r>
        <w:t>territorio particular donde hubo presencia sostenida del grupo armado durante un periodo de tiempo significativo del conflicto. Reconocer dichas experiencias no mediatizadas por una visión ideológica rígida, que considera al otro como «amigo» o «enemigo», se contrapone a la estigmatización y rompe además con la dicotomía. Por ejemplo, en uno de los reconocimientos</w:t>
      </w:r>
      <w:r>
        <w:rPr>
          <w:spacing w:val="-10"/>
        </w:rPr>
        <w:t xml:space="preserve"> </w:t>
      </w:r>
      <w:r>
        <w:t>se</w:t>
      </w:r>
      <w:r>
        <w:rPr>
          <w:spacing w:val="-10"/>
        </w:rPr>
        <w:t xml:space="preserve"> </w:t>
      </w:r>
      <w:r>
        <w:t>hacía</w:t>
      </w:r>
      <w:r>
        <w:rPr>
          <w:spacing w:val="-11"/>
        </w:rPr>
        <w:t xml:space="preserve"> </w:t>
      </w:r>
      <w:r>
        <w:t>mención</w:t>
      </w:r>
      <w:r>
        <w:rPr>
          <w:spacing w:val="-11"/>
        </w:rPr>
        <w:t xml:space="preserve"> </w:t>
      </w:r>
      <w:r>
        <w:t>al</w:t>
      </w:r>
      <w:r>
        <w:rPr>
          <w:spacing w:val="-10"/>
        </w:rPr>
        <w:t xml:space="preserve"> </w:t>
      </w:r>
      <w:r>
        <w:t>hecho</w:t>
      </w:r>
      <w:r>
        <w:rPr>
          <w:spacing w:val="-10"/>
        </w:rPr>
        <w:t xml:space="preserve"> </w:t>
      </w:r>
      <w:r>
        <w:t>de</w:t>
      </w:r>
      <w:r>
        <w:rPr>
          <w:spacing w:val="-9"/>
        </w:rPr>
        <w:t xml:space="preserve"> </w:t>
      </w:r>
      <w:r>
        <w:t>que</w:t>
      </w:r>
      <w:r>
        <w:rPr>
          <w:spacing w:val="-9"/>
        </w:rPr>
        <w:t xml:space="preserve"> </w:t>
      </w:r>
      <w:r>
        <w:t>tener</w:t>
      </w:r>
      <w:r>
        <w:rPr>
          <w:spacing w:val="-9"/>
        </w:rPr>
        <w:t xml:space="preserve"> </w:t>
      </w:r>
      <w:r>
        <w:t>un</w:t>
      </w:r>
      <w:r>
        <w:rPr>
          <w:spacing w:val="-10"/>
        </w:rPr>
        <w:t xml:space="preserve"> </w:t>
      </w:r>
      <w:r>
        <w:t>fusil,</w:t>
      </w:r>
      <w:r>
        <w:rPr>
          <w:spacing w:val="-10"/>
        </w:rPr>
        <w:t xml:space="preserve"> </w:t>
      </w:r>
      <w:r>
        <w:t>así</w:t>
      </w:r>
      <w:r>
        <w:rPr>
          <w:spacing w:val="-10"/>
        </w:rPr>
        <w:t xml:space="preserve"> </w:t>
      </w:r>
      <w:r>
        <w:t>fuera</w:t>
      </w:r>
      <w:r>
        <w:rPr>
          <w:spacing w:val="-12"/>
        </w:rPr>
        <w:t xml:space="preserve"> </w:t>
      </w:r>
      <w:r>
        <w:t>no</w:t>
      </w:r>
      <w:r>
        <w:rPr>
          <w:spacing w:val="-10"/>
        </w:rPr>
        <w:t xml:space="preserve"> </w:t>
      </w:r>
      <w:r>
        <w:t>fuera</w:t>
      </w:r>
      <w:r>
        <w:rPr>
          <w:spacing w:val="-11"/>
        </w:rPr>
        <w:t xml:space="preserve"> </w:t>
      </w:r>
      <w:r>
        <w:t>tan</w:t>
      </w:r>
      <w:r>
        <w:rPr>
          <w:spacing w:val="-11"/>
        </w:rPr>
        <w:t xml:space="preserve"> </w:t>
      </w:r>
      <w:r>
        <w:t>cerca, ya</w:t>
      </w:r>
      <w:r>
        <w:rPr>
          <w:spacing w:val="-3"/>
        </w:rPr>
        <w:t xml:space="preserve"> </w:t>
      </w:r>
      <w:r>
        <w:t>generaba</w:t>
      </w:r>
      <w:r>
        <w:rPr>
          <w:spacing w:val="-3"/>
        </w:rPr>
        <w:t xml:space="preserve"> </w:t>
      </w:r>
      <w:r>
        <w:t>miedo</w:t>
      </w:r>
      <w:r>
        <w:rPr>
          <w:spacing w:val="-3"/>
        </w:rPr>
        <w:t xml:space="preserve"> </w:t>
      </w:r>
      <w:r>
        <w:t>en</w:t>
      </w:r>
      <w:r>
        <w:rPr>
          <w:spacing w:val="-5"/>
        </w:rPr>
        <w:t xml:space="preserve"> </w:t>
      </w:r>
      <w:r>
        <w:t>la</w:t>
      </w:r>
      <w:r>
        <w:rPr>
          <w:spacing w:val="-4"/>
        </w:rPr>
        <w:t xml:space="preserve"> </w:t>
      </w:r>
      <w:r>
        <w:t>población,</w:t>
      </w:r>
      <w:r>
        <w:rPr>
          <w:spacing w:val="-3"/>
        </w:rPr>
        <w:t xml:space="preserve"> </w:t>
      </w:r>
      <w:r>
        <w:t>pero</w:t>
      </w:r>
      <w:r>
        <w:rPr>
          <w:spacing w:val="-3"/>
        </w:rPr>
        <w:t xml:space="preserve"> </w:t>
      </w:r>
      <w:r>
        <w:t>las</w:t>
      </w:r>
      <w:r>
        <w:rPr>
          <w:spacing w:val="-3"/>
        </w:rPr>
        <w:t xml:space="preserve"> </w:t>
      </w:r>
      <w:r>
        <w:t>personas</w:t>
      </w:r>
      <w:r>
        <w:rPr>
          <w:spacing w:val="-3"/>
        </w:rPr>
        <w:t xml:space="preserve"> </w:t>
      </w:r>
      <w:r>
        <w:t>intentaban</w:t>
      </w:r>
      <w:r>
        <w:rPr>
          <w:spacing w:val="-3"/>
        </w:rPr>
        <w:t xml:space="preserve"> </w:t>
      </w:r>
      <w:r>
        <w:t>no</w:t>
      </w:r>
      <w:r>
        <w:rPr>
          <w:spacing w:val="-3"/>
        </w:rPr>
        <w:t xml:space="preserve"> </w:t>
      </w:r>
      <w:r>
        <w:t>expresarlo;</w:t>
      </w:r>
      <w:r>
        <w:rPr>
          <w:spacing w:val="-3"/>
        </w:rPr>
        <w:t xml:space="preserve"> </w:t>
      </w:r>
      <w:r>
        <w:t>la</w:t>
      </w:r>
      <w:r>
        <w:rPr>
          <w:spacing w:val="-3"/>
        </w:rPr>
        <w:t xml:space="preserve"> </w:t>
      </w:r>
      <w:r>
        <w:t>población actuaba «como si fuesen amigos», en muchas ocasiones como una manera de protegerse y preservar su vida y la de sus familiares.</w:t>
      </w:r>
    </w:p>
    <w:p w:rsidR="003804AC" w:rsidRDefault="00AF18A5" w:rsidP="00F34A53">
      <w:r>
        <w:t>En</w:t>
      </w:r>
      <w:r>
        <w:rPr>
          <w:spacing w:val="-12"/>
        </w:rPr>
        <w:t xml:space="preserve"> </w:t>
      </w:r>
      <w:r>
        <w:t>este</w:t>
      </w:r>
      <w:r>
        <w:rPr>
          <w:spacing w:val="-13"/>
        </w:rPr>
        <w:t xml:space="preserve"> </w:t>
      </w:r>
      <w:r>
        <w:t>mismo</w:t>
      </w:r>
      <w:r>
        <w:rPr>
          <w:spacing w:val="-12"/>
        </w:rPr>
        <w:t xml:space="preserve"> </w:t>
      </w:r>
      <w:r>
        <w:t>sentido,</w:t>
      </w:r>
      <w:r>
        <w:rPr>
          <w:spacing w:val="-13"/>
        </w:rPr>
        <w:t xml:space="preserve"> </w:t>
      </w:r>
      <w:r>
        <w:t>miembros</w:t>
      </w:r>
      <w:r>
        <w:rPr>
          <w:spacing w:val="-12"/>
        </w:rPr>
        <w:t xml:space="preserve"> </w:t>
      </w:r>
      <w:r>
        <w:t>del</w:t>
      </w:r>
      <w:r>
        <w:rPr>
          <w:spacing w:val="-11"/>
        </w:rPr>
        <w:t xml:space="preserve"> </w:t>
      </w:r>
      <w:r>
        <w:t>Ejército</w:t>
      </w:r>
      <w:r>
        <w:rPr>
          <w:spacing w:val="-12"/>
        </w:rPr>
        <w:t xml:space="preserve"> </w:t>
      </w:r>
      <w:r>
        <w:t>Nacional</w:t>
      </w:r>
      <w:r>
        <w:rPr>
          <w:spacing w:val="-11"/>
        </w:rPr>
        <w:t xml:space="preserve"> </w:t>
      </w:r>
      <w:r>
        <w:t>que</w:t>
      </w:r>
      <w:r>
        <w:rPr>
          <w:spacing w:val="-13"/>
        </w:rPr>
        <w:t xml:space="preserve"> </w:t>
      </w:r>
      <w:r>
        <w:t>reconocieron</w:t>
      </w:r>
      <w:r>
        <w:rPr>
          <w:spacing w:val="-13"/>
        </w:rPr>
        <w:t xml:space="preserve"> </w:t>
      </w:r>
      <w:r>
        <w:t>su</w:t>
      </w:r>
      <w:r>
        <w:rPr>
          <w:spacing w:val="-12"/>
        </w:rPr>
        <w:t xml:space="preserve"> </w:t>
      </w:r>
      <w:r>
        <w:t>participación en hechos de violencia muestran un mayor nivel de empatía hacia las familias en los casos de</w:t>
      </w:r>
      <w:r>
        <w:rPr>
          <w:spacing w:val="-15"/>
        </w:rPr>
        <w:t xml:space="preserve"> </w:t>
      </w:r>
      <w:r>
        <w:t>los</w:t>
      </w:r>
      <w:r>
        <w:rPr>
          <w:spacing w:val="-15"/>
        </w:rPr>
        <w:t xml:space="preserve"> </w:t>
      </w:r>
      <w:r>
        <w:t>denominados</w:t>
      </w:r>
      <w:r>
        <w:rPr>
          <w:spacing w:val="-15"/>
        </w:rPr>
        <w:t xml:space="preserve"> </w:t>
      </w:r>
      <w:r>
        <w:t>falsos</w:t>
      </w:r>
      <w:r>
        <w:rPr>
          <w:spacing w:val="-15"/>
        </w:rPr>
        <w:t xml:space="preserve"> </w:t>
      </w:r>
      <w:r>
        <w:t>positivos.</w:t>
      </w:r>
      <w:r>
        <w:rPr>
          <w:spacing w:val="-15"/>
        </w:rPr>
        <w:t xml:space="preserve"> </w:t>
      </w:r>
      <w:r>
        <w:t>El</w:t>
      </w:r>
      <w:r>
        <w:rPr>
          <w:spacing w:val="-15"/>
        </w:rPr>
        <w:t xml:space="preserve"> </w:t>
      </w:r>
      <w:r>
        <w:t>reconocimiento</w:t>
      </w:r>
      <w:r>
        <w:rPr>
          <w:spacing w:val="-15"/>
        </w:rPr>
        <w:t xml:space="preserve"> </w:t>
      </w:r>
      <w:r>
        <w:t>de</w:t>
      </w:r>
      <w:r>
        <w:rPr>
          <w:spacing w:val="-15"/>
        </w:rPr>
        <w:t xml:space="preserve"> </w:t>
      </w:r>
      <w:r>
        <w:t>los</w:t>
      </w:r>
      <w:r>
        <w:rPr>
          <w:spacing w:val="-15"/>
        </w:rPr>
        <w:t xml:space="preserve"> </w:t>
      </w:r>
      <w:r>
        <w:t>lugares,</w:t>
      </w:r>
      <w:r>
        <w:rPr>
          <w:spacing w:val="-15"/>
        </w:rPr>
        <w:t xml:space="preserve"> </w:t>
      </w:r>
      <w:r>
        <w:t>de</w:t>
      </w:r>
      <w:r>
        <w:rPr>
          <w:spacing w:val="-15"/>
        </w:rPr>
        <w:t xml:space="preserve"> </w:t>
      </w:r>
      <w:r>
        <w:t>personas</w:t>
      </w:r>
      <w:r>
        <w:rPr>
          <w:spacing w:val="-15"/>
        </w:rPr>
        <w:t xml:space="preserve"> </w:t>
      </w:r>
      <w:r>
        <w:t>conocidas de las comunidades, genera una atmósfera de proximidad que se pone a disposición del espacio de diálogo en las dos vías. Al respecto, una víctima participante en diálogos con exmilitares</w:t>
      </w:r>
      <w:r>
        <w:rPr>
          <w:spacing w:val="-3"/>
        </w:rPr>
        <w:t xml:space="preserve"> </w:t>
      </w:r>
      <w:r>
        <w:t>señaló</w:t>
      </w:r>
      <w:r>
        <w:rPr>
          <w:spacing w:val="-2"/>
        </w:rPr>
        <w:t xml:space="preserve"> </w:t>
      </w:r>
      <w:r>
        <w:t>que</w:t>
      </w:r>
      <w:r>
        <w:rPr>
          <w:spacing w:val="-3"/>
        </w:rPr>
        <w:t xml:space="preserve"> </w:t>
      </w:r>
      <w:r>
        <w:t>su</w:t>
      </w:r>
      <w:r>
        <w:rPr>
          <w:spacing w:val="-4"/>
        </w:rPr>
        <w:t xml:space="preserve"> </w:t>
      </w:r>
      <w:r>
        <w:t>experiencia</w:t>
      </w:r>
      <w:r>
        <w:rPr>
          <w:spacing w:val="-3"/>
        </w:rPr>
        <w:t xml:space="preserve"> </w:t>
      </w:r>
      <w:r>
        <w:t>en</w:t>
      </w:r>
      <w:r>
        <w:rPr>
          <w:spacing w:val="-2"/>
        </w:rPr>
        <w:t xml:space="preserve"> </w:t>
      </w:r>
      <w:r>
        <w:t>el</w:t>
      </w:r>
      <w:r>
        <w:rPr>
          <w:spacing w:val="-2"/>
        </w:rPr>
        <w:t xml:space="preserve"> </w:t>
      </w:r>
      <w:r>
        <w:t>servicio</w:t>
      </w:r>
      <w:r>
        <w:rPr>
          <w:spacing w:val="-2"/>
        </w:rPr>
        <w:t xml:space="preserve"> </w:t>
      </w:r>
      <w:r>
        <w:t>militar</w:t>
      </w:r>
      <w:r>
        <w:rPr>
          <w:spacing w:val="-2"/>
        </w:rPr>
        <w:t xml:space="preserve"> </w:t>
      </w:r>
      <w:r>
        <w:t>ayudó</w:t>
      </w:r>
      <w:r>
        <w:rPr>
          <w:spacing w:val="-2"/>
        </w:rPr>
        <w:t xml:space="preserve"> </w:t>
      </w:r>
      <w:r>
        <w:t>a</w:t>
      </w:r>
      <w:r>
        <w:rPr>
          <w:spacing w:val="-2"/>
        </w:rPr>
        <w:t xml:space="preserve"> </w:t>
      </w:r>
      <w:r>
        <w:t>comprender</w:t>
      </w:r>
      <w:r>
        <w:rPr>
          <w:spacing w:val="-2"/>
        </w:rPr>
        <w:t xml:space="preserve"> </w:t>
      </w:r>
      <w:r>
        <w:t>cómo</w:t>
      </w:r>
      <w:r>
        <w:rPr>
          <w:spacing w:val="-3"/>
        </w:rPr>
        <w:t xml:space="preserve"> </w:t>
      </w:r>
      <w:r>
        <w:t>era</w:t>
      </w:r>
      <w:r>
        <w:rPr>
          <w:spacing w:val="-2"/>
        </w:rPr>
        <w:t xml:space="preserve"> </w:t>
      </w:r>
      <w:r>
        <w:t>la vida al interior de la institución, generando gracias a esto conversaciones más horizontales que contribuyen en los dos sentidos. En el caso de los responsables, a desmontar el adoctrinamiento</w:t>
      </w:r>
      <w:r>
        <w:rPr>
          <w:spacing w:val="-7"/>
        </w:rPr>
        <w:t xml:space="preserve"> </w:t>
      </w:r>
      <w:r>
        <w:t>basado</w:t>
      </w:r>
      <w:r>
        <w:rPr>
          <w:spacing w:val="-8"/>
        </w:rPr>
        <w:t xml:space="preserve"> </w:t>
      </w:r>
      <w:r>
        <w:t>en</w:t>
      </w:r>
      <w:r>
        <w:rPr>
          <w:spacing w:val="-7"/>
        </w:rPr>
        <w:t xml:space="preserve"> </w:t>
      </w:r>
      <w:r>
        <w:t>el</w:t>
      </w:r>
      <w:r>
        <w:rPr>
          <w:spacing w:val="-7"/>
        </w:rPr>
        <w:t xml:space="preserve"> </w:t>
      </w:r>
      <w:r>
        <w:t>reconocimiento</w:t>
      </w:r>
      <w:r>
        <w:rPr>
          <w:spacing w:val="-7"/>
        </w:rPr>
        <w:t xml:space="preserve"> </w:t>
      </w:r>
      <w:r>
        <w:t>del</w:t>
      </w:r>
      <w:r>
        <w:rPr>
          <w:spacing w:val="-8"/>
        </w:rPr>
        <w:t xml:space="preserve"> </w:t>
      </w:r>
      <w:r>
        <w:t>otro</w:t>
      </w:r>
      <w:r>
        <w:rPr>
          <w:spacing w:val="-7"/>
        </w:rPr>
        <w:t xml:space="preserve"> </w:t>
      </w:r>
      <w:r>
        <w:t>desde</w:t>
      </w:r>
      <w:r>
        <w:rPr>
          <w:spacing w:val="-7"/>
        </w:rPr>
        <w:t xml:space="preserve"> </w:t>
      </w:r>
      <w:r>
        <w:t>un</w:t>
      </w:r>
      <w:r>
        <w:rPr>
          <w:spacing w:val="-7"/>
        </w:rPr>
        <w:t xml:space="preserve"> </w:t>
      </w:r>
      <w:r>
        <w:t>lugar</w:t>
      </w:r>
      <w:r>
        <w:rPr>
          <w:spacing w:val="-7"/>
        </w:rPr>
        <w:t xml:space="preserve"> </w:t>
      </w:r>
      <w:r>
        <w:t>de</w:t>
      </w:r>
      <w:r>
        <w:rPr>
          <w:spacing w:val="-7"/>
        </w:rPr>
        <w:t xml:space="preserve"> </w:t>
      </w:r>
      <w:r>
        <w:t>superioridad;</w:t>
      </w:r>
      <w:r>
        <w:rPr>
          <w:spacing w:val="-8"/>
        </w:rPr>
        <w:t xml:space="preserve"> </w:t>
      </w:r>
      <w:r>
        <w:t>y</w:t>
      </w:r>
      <w:r>
        <w:rPr>
          <w:spacing w:val="-7"/>
        </w:rPr>
        <w:t xml:space="preserve"> </w:t>
      </w:r>
      <w:r>
        <w:t xml:space="preserve">para las víctimas, ver la humanidad del responsable más allá de que fuera el </w:t>
      </w:r>
      <w:r>
        <w:lastRenderedPageBreak/>
        <w:t xml:space="preserve">perpetrador de la </w:t>
      </w:r>
      <w:r>
        <w:rPr>
          <w:spacing w:val="-2"/>
        </w:rPr>
        <w:t>violencia.</w:t>
      </w:r>
    </w:p>
    <w:p w:rsidR="003804AC" w:rsidRDefault="00AF18A5" w:rsidP="00E27A60">
      <w:r>
        <w:t>Algunos miembros del Ejército también manifiestan cómo el proceso de paz y los reconocimientos</w:t>
      </w:r>
      <w:r>
        <w:rPr>
          <w:spacing w:val="-2"/>
        </w:rPr>
        <w:t xml:space="preserve"> </w:t>
      </w:r>
      <w:r>
        <w:t>los</w:t>
      </w:r>
      <w:r>
        <w:rPr>
          <w:spacing w:val="-2"/>
        </w:rPr>
        <w:t xml:space="preserve"> </w:t>
      </w:r>
      <w:r>
        <w:t>han</w:t>
      </w:r>
      <w:r>
        <w:rPr>
          <w:spacing w:val="-3"/>
        </w:rPr>
        <w:t xml:space="preserve"> </w:t>
      </w:r>
      <w:r>
        <w:t>acercado</w:t>
      </w:r>
      <w:r>
        <w:rPr>
          <w:spacing w:val="-2"/>
        </w:rPr>
        <w:t xml:space="preserve"> </w:t>
      </w:r>
      <w:r>
        <w:t>a</w:t>
      </w:r>
      <w:r>
        <w:rPr>
          <w:spacing w:val="-2"/>
        </w:rPr>
        <w:t xml:space="preserve"> </w:t>
      </w:r>
      <w:r>
        <w:t>quienes</w:t>
      </w:r>
      <w:r>
        <w:rPr>
          <w:spacing w:val="-2"/>
        </w:rPr>
        <w:t xml:space="preserve"> </w:t>
      </w:r>
      <w:r>
        <w:t>en</w:t>
      </w:r>
      <w:r>
        <w:rPr>
          <w:spacing w:val="-3"/>
        </w:rPr>
        <w:t xml:space="preserve"> </w:t>
      </w:r>
      <w:r>
        <w:t>el</w:t>
      </w:r>
      <w:r>
        <w:rPr>
          <w:spacing w:val="-3"/>
        </w:rPr>
        <w:t xml:space="preserve"> </w:t>
      </w:r>
      <w:r>
        <w:t>pasado</w:t>
      </w:r>
      <w:r>
        <w:rPr>
          <w:spacing w:val="-2"/>
        </w:rPr>
        <w:t xml:space="preserve"> </w:t>
      </w:r>
      <w:r>
        <w:t>consideraban</w:t>
      </w:r>
      <w:r>
        <w:rPr>
          <w:spacing w:val="-2"/>
        </w:rPr>
        <w:t xml:space="preserve"> </w:t>
      </w:r>
      <w:r>
        <w:t>sus</w:t>
      </w:r>
      <w:r>
        <w:rPr>
          <w:spacing w:val="-3"/>
        </w:rPr>
        <w:t xml:space="preserve"> </w:t>
      </w:r>
      <w:r>
        <w:t>enemigos.</w:t>
      </w:r>
      <w:r>
        <w:rPr>
          <w:spacing w:val="-4"/>
        </w:rPr>
        <w:t xml:space="preserve"> </w:t>
      </w:r>
      <w:r>
        <w:t>Así</w:t>
      </w:r>
      <w:r>
        <w:rPr>
          <w:spacing w:val="-2"/>
        </w:rPr>
        <w:t xml:space="preserve"> </w:t>
      </w:r>
      <w:r>
        <w:t>lo manifiesta un militar participante de un reconocimiento de ejecuciones extrajudiciales:</w:t>
      </w:r>
    </w:p>
    <w:p w:rsidR="003804AC" w:rsidRDefault="00AF18A5" w:rsidP="00E27A60">
      <w:r>
        <w:t>«Hoy en día tengo una amiga que fue de las FARC, yo decía que somos hermanos de patria, si ella y yo logramos ser amigos, ¿por qué no? La solución para este país es la reconciliación. Había un teniente al que le escuché decir: “El guerrillero en el fondo no es malo,</w:t>
      </w:r>
      <w:r>
        <w:rPr>
          <w:spacing w:val="-15"/>
        </w:rPr>
        <w:t xml:space="preserve"> </w:t>
      </w:r>
      <w:r>
        <w:t>el</w:t>
      </w:r>
      <w:r>
        <w:rPr>
          <w:spacing w:val="-15"/>
        </w:rPr>
        <w:t xml:space="preserve"> </w:t>
      </w:r>
      <w:r>
        <w:t>guerrillero</w:t>
      </w:r>
      <w:r>
        <w:rPr>
          <w:spacing w:val="-14"/>
        </w:rPr>
        <w:t xml:space="preserve"> </w:t>
      </w:r>
      <w:r>
        <w:t>en</w:t>
      </w:r>
      <w:r>
        <w:rPr>
          <w:spacing w:val="-14"/>
        </w:rPr>
        <w:t xml:space="preserve"> </w:t>
      </w:r>
      <w:r>
        <w:t>el</w:t>
      </w:r>
      <w:r>
        <w:rPr>
          <w:spacing w:val="-15"/>
        </w:rPr>
        <w:t xml:space="preserve"> </w:t>
      </w:r>
      <w:r>
        <w:t>fondo</w:t>
      </w:r>
      <w:r>
        <w:rPr>
          <w:spacing w:val="-14"/>
        </w:rPr>
        <w:t xml:space="preserve"> </w:t>
      </w:r>
      <w:r>
        <w:t>quiere</w:t>
      </w:r>
      <w:r>
        <w:rPr>
          <w:spacing w:val="-15"/>
        </w:rPr>
        <w:t xml:space="preserve"> </w:t>
      </w:r>
      <w:r>
        <w:t>un</w:t>
      </w:r>
      <w:r>
        <w:rPr>
          <w:spacing w:val="-14"/>
        </w:rPr>
        <w:t xml:space="preserve"> </w:t>
      </w:r>
      <w:r>
        <w:t>país</w:t>
      </w:r>
      <w:r>
        <w:rPr>
          <w:spacing w:val="-14"/>
        </w:rPr>
        <w:t xml:space="preserve"> </w:t>
      </w:r>
      <w:r>
        <w:t>mejor,</w:t>
      </w:r>
      <w:r>
        <w:rPr>
          <w:spacing w:val="-14"/>
        </w:rPr>
        <w:t xml:space="preserve"> </w:t>
      </w:r>
      <w:r>
        <w:t>como</w:t>
      </w:r>
      <w:r>
        <w:rPr>
          <w:spacing w:val="-14"/>
        </w:rPr>
        <w:t xml:space="preserve"> </w:t>
      </w:r>
      <w:r>
        <w:t>yo</w:t>
      </w:r>
      <w:r>
        <w:rPr>
          <w:spacing w:val="-15"/>
        </w:rPr>
        <w:t xml:space="preserve"> </w:t>
      </w:r>
      <w:r>
        <w:t>también</w:t>
      </w:r>
      <w:r>
        <w:rPr>
          <w:spacing w:val="-14"/>
        </w:rPr>
        <w:t xml:space="preserve"> </w:t>
      </w:r>
      <w:r>
        <w:t>lo</w:t>
      </w:r>
      <w:r>
        <w:rPr>
          <w:spacing w:val="-14"/>
        </w:rPr>
        <w:t xml:space="preserve"> </w:t>
      </w:r>
      <w:r>
        <w:t>quiero,</w:t>
      </w:r>
      <w:r>
        <w:rPr>
          <w:spacing w:val="-15"/>
        </w:rPr>
        <w:t xml:space="preserve"> </w:t>
      </w:r>
      <w:r>
        <w:t>la</w:t>
      </w:r>
      <w:r>
        <w:rPr>
          <w:spacing w:val="-14"/>
        </w:rPr>
        <w:t xml:space="preserve"> </w:t>
      </w:r>
      <w:r>
        <w:t>diferencia entre</w:t>
      </w:r>
      <w:r>
        <w:rPr>
          <w:spacing w:val="-12"/>
        </w:rPr>
        <w:t xml:space="preserve"> </w:t>
      </w:r>
      <w:r>
        <w:t>el</w:t>
      </w:r>
      <w:r>
        <w:rPr>
          <w:spacing w:val="-10"/>
        </w:rPr>
        <w:t xml:space="preserve"> </w:t>
      </w:r>
      <w:r>
        <w:t>guerrillero</w:t>
      </w:r>
      <w:r>
        <w:rPr>
          <w:spacing w:val="-12"/>
        </w:rPr>
        <w:t xml:space="preserve"> </w:t>
      </w:r>
      <w:r>
        <w:t>y</w:t>
      </w:r>
      <w:r>
        <w:rPr>
          <w:spacing w:val="-11"/>
        </w:rPr>
        <w:t xml:space="preserve"> </w:t>
      </w:r>
      <w:r>
        <w:t>yo</w:t>
      </w:r>
      <w:r>
        <w:rPr>
          <w:spacing w:val="-11"/>
        </w:rPr>
        <w:t xml:space="preserve"> </w:t>
      </w:r>
      <w:r>
        <w:t>es</w:t>
      </w:r>
      <w:r>
        <w:rPr>
          <w:spacing w:val="-11"/>
        </w:rPr>
        <w:t xml:space="preserve"> </w:t>
      </w:r>
      <w:r>
        <w:t>que</w:t>
      </w:r>
      <w:r>
        <w:rPr>
          <w:spacing w:val="-11"/>
        </w:rPr>
        <w:t xml:space="preserve"> </w:t>
      </w:r>
      <w:r>
        <w:t>hemos</w:t>
      </w:r>
      <w:r>
        <w:rPr>
          <w:spacing w:val="-12"/>
        </w:rPr>
        <w:t xml:space="preserve"> </w:t>
      </w:r>
      <w:r>
        <w:t>tenido</w:t>
      </w:r>
      <w:r>
        <w:rPr>
          <w:spacing w:val="-11"/>
        </w:rPr>
        <w:t xml:space="preserve"> </w:t>
      </w:r>
      <w:r>
        <w:t>oportunidades</w:t>
      </w:r>
      <w:r>
        <w:rPr>
          <w:spacing w:val="-11"/>
        </w:rPr>
        <w:t xml:space="preserve"> </w:t>
      </w:r>
      <w:r>
        <w:t>diferentes”,</w:t>
      </w:r>
      <w:r>
        <w:rPr>
          <w:spacing w:val="-11"/>
        </w:rPr>
        <w:t xml:space="preserve"> </w:t>
      </w:r>
      <w:r>
        <w:t>y</w:t>
      </w:r>
      <w:r>
        <w:rPr>
          <w:spacing w:val="-12"/>
        </w:rPr>
        <w:t xml:space="preserve"> </w:t>
      </w:r>
      <w:r>
        <w:t>eso</w:t>
      </w:r>
      <w:r>
        <w:rPr>
          <w:spacing w:val="-11"/>
        </w:rPr>
        <w:t xml:space="preserve"> </w:t>
      </w:r>
      <w:r>
        <w:t>para</w:t>
      </w:r>
      <w:r>
        <w:rPr>
          <w:spacing w:val="-12"/>
        </w:rPr>
        <w:t xml:space="preserve"> </w:t>
      </w:r>
      <w:r>
        <w:t>mí</w:t>
      </w:r>
      <w:r>
        <w:rPr>
          <w:spacing w:val="-12"/>
        </w:rPr>
        <w:t xml:space="preserve"> </w:t>
      </w:r>
      <w:r>
        <w:t>era</w:t>
      </w:r>
      <w:r>
        <w:rPr>
          <w:spacing w:val="-11"/>
        </w:rPr>
        <w:t xml:space="preserve"> </w:t>
      </w:r>
      <w:r>
        <w:t>una revelación en ese momento»</w:t>
      </w:r>
      <w:r w:rsidR="00E27A60">
        <w:rPr>
          <w:rStyle w:val="Refdenotaalpie"/>
        </w:rPr>
        <w:footnoteReference w:id="1161"/>
      </w:r>
      <w:r>
        <w:t>.</w:t>
      </w:r>
    </w:p>
    <w:p w:rsidR="0011361F" w:rsidRDefault="00AF18A5" w:rsidP="004A6EF4">
      <w:pPr>
        <w:pStyle w:val="Ttulo4"/>
        <w:numPr>
          <w:ilvl w:val="2"/>
          <w:numId w:val="16"/>
        </w:numPr>
      </w:pPr>
      <w:bookmarkStart w:id="1473" w:name="11.6.4._Reconocer_que_la_población_civil"/>
      <w:bookmarkEnd w:id="1473"/>
      <w:r>
        <w:t>Reconocer</w:t>
      </w:r>
      <w:r>
        <w:rPr>
          <w:spacing w:val="-4"/>
        </w:rPr>
        <w:t xml:space="preserve"> </w:t>
      </w:r>
      <w:r>
        <w:t>que</w:t>
      </w:r>
      <w:r>
        <w:rPr>
          <w:spacing w:val="-1"/>
        </w:rPr>
        <w:t xml:space="preserve"> </w:t>
      </w:r>
      <w:r>
        <w:t>la</w:t>
      </w:r>
      <w:r>
        <w:rPr>
          <w:spacing w:val="-1"/>
        </w:rPr>
        <w:t xml:space="preserve"> </w:t>
      </w:r>
      <w:r>
        <w:t>población</w:t>
      </w:r>
      <w:r>
        <w:rPr>
          <w:spacing w:val="-2"/>
        </w:rPr>
        <w:t xml:space="preserve"> </w:t>
      </w:r>
      <w:r>
        <w:t>civil</w:t>
      </w:r>
      <w:r>
        <w:rPr>
          <w:spacing w:val="-1"/>
        </w:rPr>
        <w:t xml:space="preserve"> </w:t>
      </w:r>
      <w:r>
        <w:t>fue</w:t>
      </w:r>
      <w:r>
        <w:rPr>
          <w:spacing w:val="-1"/>
        </w:rPr>
        <w:t xml:space="preserve"> </w:t>
      </w:r>
      <w:r>
        <w:t>la</w:t>
      </w:r>
      <w:r>
        <w:rPr>
          <w:spacing w:val="-3"/>
        </w:rPr>
        <w:t xml:space="preserve"> </w:t>
      </w:r>
      <w:r>
        <w:t>más</w:t>
      </w:r>
      <w:r>
        <w:rPr>
          <w:spacing w:val="-1"/>
        </w:rPr>
        <w:t xml:space="preserve"> </w:t>
      </w:r>
      <w:r>
        <w:t>afectada</w:t>
      </w:r>
      <w:r>
        <w:rPr>
          <w:spacing w:val="-1"/>
        </w:rPr>
        <w:t xml:space="preserve"> </w:t>
      </w:r>
      <w:r>
        <w:t>en</w:t>
      </w:r>
      <w:r>
        <w:rPr>
          <w:spacing w:val="-2"/>
        </w:rPr>
        <w:t xml:space="preserve"> </w:t>
      </w:r>
      <w:r>
        <w:t>la</w:t>
      </w:r>
      <w:r>
        <w:rPr>
          <w:spacing w:val="-1"/>
        </w:rPr>
        <w:t xml:space="preserve"> </w:t>
      </w:r>
      <w:r>
        <w:rPr>
          <w:spacing w:val="-2"/>
        </w:rPr>
        <w:t>guerra</w:t>
      </w:r>
    </w:p>
    <w:p w:rsidR="003804AC" w:rsidRDefault="00AF18A5" w:rsidP="00E27A60">
      <w:r>
        <w:t>El</w:t>
      </w:r>
      <w:r>
        <w:rPr>
          <w:spacing w:val="-15"/>
        </w:rPr>
        <w:t xml:space="preserve"> </w:t>
      </w:r>
      <w:r>
        <w:t>reconocimiento</w:t>
      </w:r>
      <w:r>
        <w:rPr>
          <w:spacing w:val="-15"/>
        </w:rPr>
        <w:t xml:space="preserve"> </w:t>
      </w:r>
      <w:r>
        <w:t>de</w:t>
      </w:r>
      <w:r>
        <w:rPr>
          <w:spacing w:val="-15"/>
        </w:rPr>
        <w:t xml:space="preserve"> </w:t>
      </w:r>
      <w:r>
        <w:t>los</w:t>
      </w:r>
      <w:r>
        <w:rPr>
          <w:spacing w:val="-15"/>
        </w:rPr>
        <w:t xml:space="preserve"> </w:t>
      </w:r>
      <w:r>
        <w:t>impactos</w:t>
      </w:r>
      <w:r>
        <w:rPr>
          <w:spacing w:val="-15"/>
        </w:rPr>
        <w:t xml:space="preserve"> </w:t>
      </w:r>
      <w:r>
        <w:t>y</w:t>
      </w:r>
      <w:r>
        <w:rPr>
          <w:spacing w:val="-15"/>
        </w:rPr>
        <w:t xml:space="preserve"> </w:t>
      </w:r>
      <w:r>
        <w:t>las</w:t>
      </w:r>
      <w:r>
        <w:rPr>
          <w:spacing w:val="-15"/>
        </w:rPr>
        <w:t xml:space="preserve"> </w:t>
      </w:r>
      <w:r>
        <w:t>afectaciones</w:t>
      </w:r>
      <w:r>
        <w:rPr>
          <w:spacing w:val="-15"/>
        </w:rPr>
        <w:t xml:space="preserve"> </w:t>
      </w:r>
      <w:r>
        <w:t>adquiere</w:t>
      </w:r>
      <w:r>
        <w:rPr>
          <w:spacing w:val="-15"/>
        </w:rPr>
        <w:t xml:space="preserve"> </w:t>
      </w:r>
      <w:r>
        <w:t>un</w:t>
      </w:r>
      <w:r>
        <w:rPr>
          <w:spacing w:val="-15"/>
        </w:rPr>
        <w:t xml:space="preserve"> </w:t>
      </w:r>
      <w:r>
        <w:t>lugar</w:t>
      </w:r>
      <w:r>
        <w:rPr>
          <w:spacing w:val="-15"/>
        </w:rPr>
        <w:t xml:space="preserve"> </w:t>
      </w:r>
      <w:r>
        <w:t>relevante</w:t>
      </w:r>
      <w:r>
        <w:rPr>
          <w:spacing w:val="-15"/>
        </w:rPr>
        <w:t xml:space="preserve"> </w:t>
      </w:r>
      <w:r>
        <w:t>en</w:t>
      </w:r>
      <w:r>
        <w:rPr>
          <w:spacing w:val="-15"/>
        </w:rPr>
        <w:t xml:space="preserve"> </w:t>
      </w:r>
      <w:r>
        <w:t>la</w:t>
      </w:r>
      <w:r>
        <w:rPr>
          <w:spacing w:val="-15"/>
        </w:rPr>
        <w:t xml:space="preserve"> </w:t>
      </w:r>
      <w:r>
        <w:t>medida en que no solo implica aceptación de responsabilidad sobre lo sucedido, sino que ayuda a entender un sufrimiento social más amplio por parte de la sociedad, y estimula una conversación colectiva más allá de quienes participan en los reconocimientos.</w:t>
      </w:r>
    </w:p>
    <w:p w:rsidR="0011361F" w:rsidRDefault="00AF18A5" w:rsidP="00E27A60">
      <w:r>
        <w:t>Muchos</w:t>
      </w:r>
      <w:r>
        <w:rPr>
          <w:spacing w:val="-3"/>
        </w:rPr>
        <w:t xml:space="preserve"> </w:t>
      </w:r>
      <w:r>
        <w:t>de</w:t>
      </w:r>
      <w:r>
        <w:rPr>
          <w:spacing w:val="-3"/>
        </w:rPr>
        <w:t xml:space="preserve"> </w:t>
      </w:r>
      <w:r>
        <w:t>estos</w:t>
      </w:r>
      <w:r>
        <w:rPr>
          <w:spacing w:val="-3"/>
        </w:rPr>
        <w:t xml:space="preserve"> </w:t>
      </w:r>
      <w:r>
        <w:t>procesos</w:t>
      </w:r>
      <w:r>
        <w:rPr>
          <w:spacing w:val="-3"/>
        </w:rPr>
        <w:t xml:space="preserve"> </w:t>
      </w:r>
      <w:r>
        <w:t>han</w:t>
      </w:r>
      <w:r>
        <w:rPr>
          <w:spacing w:val="-3"/>
        </w:rPr>
        <w:t xml:space="preserve"> </w:t>
      </w:r>
      <w:r>
        <w:t>sido</w:t>
      </w:r>
      <w:r>
        <w:rPr>
          <w:spacing w:val="-3"/>
        </w:rPr>
        <w:t xml:space="preserve"> </w:t>
      </w:r>
      <w:r>
        <w:t>transmitidos</w:t>
      </w:r>
      <w:r>
        <w:rPr>
          <w:spacing w:val="-3"/>
        </w:rPr>
        <w:t xml:space="preserve"> </w:t>
      </w:r>
      <w:r>
        <w:t>por</w:t>
      </w:r>
      <w:r>
        <w:rPr>
          <w:spacing w:val="-3"/>
        </w:rPr>
        <w:t xml:space="preserve"> </w:t>
      </w:r>
      <w:r>
        <w:t>medios</w:t>
      </w:r>
      <w:r>
        <w:rPr>
          <w:spacing w:val="-3"/>
        </w:rPr>
        <w:t xml:space="preserve"> </w:t>
      </w:r>
      <w:r>
        <w:t>de</w:t>
      </w:r>
      <w:r>
        <w:rPr>
          <w:spacing w:val="-3"/>
        </w:rPr>
        <w:t xml:space="preserve"> </w:t>
      </w:r>
      <w:r>
        <w:t>comunicación,</w:t>
      </w:r>
      <w:r>
        <w:rPr>
          <w:spacing w:val="-3"/>
        </w:rPr>
        <w:t xml:space="preserve"> </w:t>
      </w:r>
      <w:r>
        <w:t>Facebook, vistos por decenas de miles de personas que han expresado su sorpresa, indignación, frustración, rabia, expresiones que refuerzan posiciones ideológicas, que desvirtúan lo escuchado,</w:t>
      </w:r>
      <w:r>
        <w:rPr>
          <w:spacing w:val="-7"/>
        </w:rPr>
        <w:t xml:space="preserve"> </w:t>
      </w:r>
      <w:r>
        <w:t>que</w:t>
      </w:r>
      <w:r>
        <w:rPr>
          <w:spacing w:val="-6"/>
        </w:rPr>
        <w:t xml:space="preserve"> </w:t>
      </w:r>
      <w:r>
        <w:lastRenderedPageBreak/>
        <w:t>cuestionan</w:t>
      </w:r>
      <w:r>
        <w:rPr>
          <w:spacing w:val="-6"/>
        </w:rPr>
        <w:t xml:space="preserve"> </w:t>
      </w:r>
      <w:r>
        <w:t>la</w:t>
      </w:r>
      <w:r>
        <w:rPr>
          <w:spacing w:val="-6"/>
        </w:rPr>
        <w:t xml:space="preserve"> </w:t>
      </w:r>
      <w:r>
        <w:t>verdad,</w:t>
      </w:r>
      <w:r>
        <w:rPr>
          <w:spacing w:val="-7"/>
        </w:rPr>
        <w:t xml:space="preserve"> </w:t>
      </w:r>
      <w:r>
        <w:t>así</w:t>
      </w:r>
      <w:r>
        <w:rPr>
          <w:spacing w:val="-5"/>
        </w:rPr>
        <w:t xml:space="preserve"> </w:t>
      </w:r>
      <w:r>
        <w:t>como</w:t>
      </w:r>
      <w:r>
        <w:rPr>
          <w:spacing w:val="-6"/>
        </w:rPr>
        <w:t xml:space="preserve"> </w:t>
      </w:r>
      <w:r>
        <w:t>que</w:t>
      </w:r>
      <w:r>
        <w:rPr>
          <w:spacing w:val="-6"/>
        </w:rPr>
        <w:t xml:space="preserve"> </w:t>
      </w:r>
      <w:r>
        <w:t>valoran</w:t>
      </w:r>
      <w:r>
        <w:rPr>
          <w:spacing w:val="-6"/>
        </w:rPr>
        <w:t xml:space="preserve"> </w:t>
      </w:r>
      <w:r>
        <w:t>que</w:t>
      </w:r>
      <w:r>
        <w:rPr>
          <w:spacing w:val="-6"/>
        </w:rPr>
        <w:t xml:space="preserve"> </w:t>
      </w:r>
      <w:r>
        <w:t>son</w:t>
      </w:r>
      <w:r>
        <w:rPr>
          <w:spacing w:val="-6"/>
        </w:rPr>
        <w:t xml:space="preserve"> </w:t>
      </w:r>
      <w:r>
        <w:t>espacios</w:t>
      </w:r>
      <w:r>
        <w:rPr>
          <w:spacing w:val="-6"/>
        </w:rPr>
        <w:t xml:space="preserve"> </w:t>
      </w:r>
      <w:r>
        <w:t>necesarios</w:t>
      </w:r>
      <w:r>
        <w:rPr>
          <w:spacing w:val="-6"/>
        </w:rPr>
        <w:t xml:space="preserve"> </w:t>
      </w:r>
      <w:r>
        <w:t>para aliviar, para aprendernos a escuchar, para develar verdades, para el necesario encuentro de los</w:t>
      </w:r>
      <w:r>
        <w:rPr>
          <w:spacing w:val="-2"/>
        </w:rPr>
        <w:t xml:space="preserve"> </w:t>
      </w:r>
      <w:r>
        <w:t>distintos</w:t>
      </w:r>
      <w:r>
        <w:rPr>
          <w:spacing w:val="-3"/>
        </w:rPr>
        <w:t xml:space="preserve"> </w:t>
      </w:r>
      <w:r>
        <w:t>rostros</w:t>
      </w:r>
      <w:r>
        <w:rPr>
          <w:spacing w:val="-2"/>
        </w:rPr>
        <w:t xml:space="preserve"> </w:t>
      </w:r>
      <w:r>
        <w:t>del</w:t>
      </w:r>
      <w:r>
        <w:rPr>
          <w:spacing w:val="-2"/>
        </w:rPr>
        <w:t xml:space="preserve"> </w:t>
      </w:r>
      <w:r>
        <w:t>conflicto</w:t>
      </w:r>
      <w:r>
        <w:rPr>
          <w:spacing w:val="-2"/>
        </w:rPr>
        <w:t xml:space="preserve"> </w:t>
      </w:r>
      <w:r>
        <w:t>armado</w:t>
      </w:r>
      <w:r>
        <w:rPr>
          <w:spacing w:val="-2"/>
        </w:rPr>
        <w:t xml:space="preserve"> </w:t>
      </w:r>
      <w:r>
        <w:t>y</w:t>
      </w:r>
      <w:r>
        <w:rPr>
          <w:spacing w:val="-2"/>
        </w:rPr>
        <w:t xml:space="preserve"> </w:t>
      </w:r>
      <w:r>
        <w:t>con</w:t>
      </w:r>
      <w:r>
        <w:rPr>
          <w:spacing w:val="-2"/>
        </w:rPr>
        <w:t xml:space="preserve"> </w:t>
      </w:r>
      <w:r>
        <w:t>esto</w:t>
      </w:r>
      <w:r>
        <w:rPr>
          <w:spacing w:val="-2"/>
        </w:rPr>
        <w:t xml:space="preserve"> </w:t>
      </w:r>
      <w:r>
        <w:t>lograr</w:t>
      </w:r>
      <w:r>
        <w:rPr>
          <w:spacing w:val="-2"/>
        </w:rPr>
        <w:t xml:space="preserve"> </w:t>
      </w:r>
      <w:r>
        <w:t>la</w:t>
      </w:r>
      <w:r>
        <w:rPr>
          <w:spacing w:val="-2"/>
        </w:rPr>
        <w:t xml:space="preserve"> </w:t>
      </w:r>
      <w:r>
        <w:t>comprensión</w:t>
      </w:r>
      <w:r>
        <w:rPr>
          <w:spacing w:val="-2"/>
        </w:rPr>
        <w:t xml:space="preserve"> </w:t>
      </w:r>
      <w:r>
        <w:t>de</w:t>
      </w:r>
      <w:r>
        <w:rPr>
          <w:spacing w:val="-2"/>
        </w:rPr>
        <w:t xml:space="preserve"> </w:t>
      </w:r>
      <w:r>
        <w:t>un</w:t>
      </w:r>
      <w:r>
        <w:rPr>
          <w:spacing w:val="-2"/>
        </w:rPr>
        <w:t xml:space="preserve"> </w:t>
      </w:r>
      <w:r>
        <w:t>pasado</w:t>
      </w:r>
      <w:r>
        <w:rPr>
          <w:spacing w:val="-2"/>
        </w:rPr>
        <w:t xml:space="preserve"> </w:t>
      </w:r>
      <w:r>
        <w:t>que es necesario revisar y apropiárnoslo para no volver hacia atrás.</w:t>
      </w:r>
    </w:p>
    <w:p w:rsidR="003804AC" w:rsidRDefault="00AF18A5" w:rsidP="00E27A60">
      <w:bookmarkStart w:id="1474" w:name="_bookmark1288"/>
      <w:bookmarkEnd w:id="1474"/>
      <w:r>
        <w:t>«Tantos años de sufrimiento en soledad. Estos valiosos espacios rompen el silencio y permiten</w:t>
      </w:r>
      <w:r>
        <w:rPr>
          <w:spacing w:val="-7"/>
        </w:rPr>
        <w:t xml:space="preserve"> </w:t>
      </w:r>
      <w:r>
        <w:t>duelos</w:t>
      </w:r>
      <w:r>
        <w:rPr>
          <w:spacing w:val="-7"/>
        </w:rPr>
        <w:t xml:space="preserve"> </w:t>
      </w:r>
      <w:r>
        <w:t>dignos,</w:t>
      </w:r>
      <w:r>
        <w:rPr>
          <w:spacing w:val="-8"/>
        </w:rPr>
        <w:t xml:space="preserve"> </w:t>
      </w:r>
      <w:r>
        <w:t>hacer</w:t>
      </w:r>
      <w:r>
        <w:rPr>
          <w:spacing w:val="-7"/>
        </w:rPr>
        <w:t xml:space="preserve"> </w:t>
      </w:r>
      <w:r>
        <w:t>memoria</w:t>
      </w:r>
      <w:r>
        <w:rPr>
          <w:spacing w:val="-7"/>
        </w:rPr>
        <w:t xml:space="preserve"> </w:t>
      </w:r>
      <w:r>
        <w:t>de</w:t>
      </w:r>
      <w:r>
        <w:rPr>
          <w:spacing w:val="-7"/>
        </w:rPr>
        <w:t xml:space="preserve"> </w:t>
      </w:r>
      <w:r>
        <w:t>quienes</w:t>
      </w:r>
      <w:r>
        <w:rPr>
          <w:spacing w:val="-7"/>
        </w:rPr>
        <w:t xml:space="preserve"> </w:t>
      </w:r>
      <w:r>
        <w:t>ya</w:t>
      </w:r>
      <w:r>
        <w:rPr>
          <w:spacing w:val="-7"/>
        </w:rPr>
        <w:t xml:space="preserve"> </w:t>
      </w:r>
      <w:r>
        <w:t>no</w:t>
      </w:r>
      <w:r>
        <w:rPr>
          <w:spacing w:val="-7"/>
        </w:rPr>
        <w:t xml:space="preserve"> </w:t>
      </w:r>
      <w:r>
        <w:t>están</w:t>
      </w:r>
      <w:r>
        <w:rPr>
          <w:spacing w:val="-7"/>
        </w:rPr>
        <w:t xml:space="preserve"> </w:t>
      </w:r>
      <w:r>
        <w:t>y</w:t>
      </w:r>
      <w:r>
        <w:rPr>
          <w:spacing w:val="-7"/>
        </w:rPr>
        <w:t xml:space="preserve"> </w:t>
      </w:r>
      <w:r>
        <w:t>por</w:t>
      </w:r>
      <w:r>
        <w:rPr>
          <w:spacing w:val="-7"/>
        </w:rPr>
        <w:t xml:space="preserve"> </w:t>
      </w:r>
      <w:r>
        <w:t>fin</w:t>
      </w:r>
      <w:r>
        <w:rPr>
          <w:spacing w:val="-7"/>
        </w:rPr>
        <w:t xml:space="preserve"> </w:t>
      </w:r>
      <w:r>
        <w:t>ver</w:t>
      </w:r>
      <w:r>
        <w:rPr>
          <w:spacing w:val="-7"/>
        </w:rPr>
        <w:t xml:space="preserve"> </w:t>
      </w:r>
      <w:r>
        <w:t>la</w:t>
      </w:r>
      <w:r>
        <w:rPr>
          <w:spacing w:val="-7"/>
        </w:rPr>
        <w:t xml:space="preserve"> </w:t>
      </w:r>
      <w:r>
        <w:t>posibilidad</w:t>
      </w:r>
      <w:r>
        <w:rPr>
          <w:spacing w:val="-7"/>
        </w:rPr>
        <w:t xml:space="preserve"> </w:t>
      </w:r>
      <w:r>
        <w:t>de la reconciliación»</w:t>
      </w:r>
      <w:r w:rsidR="00E27A60">
        <w:rPr>
          <w:rStyle w:val="Refdenotaalpie"/>
        </w:rPr>
        <w:footnoteReference w:id="1162"/>
      </w:r>
      <w:r>
        <w:t>.</w:t>
      </w:r>
    </w:p>
    <w:p w:rsidR="003804AC" w:rsidRDefault="00AF18A5" w:rsidP="00E27A60">
      <w:r>
        <w:t>«CEV, cuando habla una víctima se está escuchando realmente el sentir de toda una sociedad, por ello son importantes estos espacios en los territorios»</w:t>
      </w:r>
      <w:r w:rsidR="00E27A60">
        <w:rPr>
          <w:rStyle w:val="Refdenotaalpie"/>
          <w:color w:val="030303"/>
        </w:rPr>
        <w:footnoteReference w:id="1163"/>
      </w:r>
      <w:r>
        <w:t>.</w:t>
      </w:r>
    </w:p>
    <w:p w:rsidR="003804AC" w:rsidRDefault="00AF18A5" w:rsidP="00E27A60">
      <w:r>
        <w:t>Esta</w:t>
      </w:r>
      <w:r>
        <w:rPr>
          <w:spacing w:val="-6"/>
        </w:rPr>
        <w:t xml:space="preserve"> </w:t>
      </w:r>
      <w:r>
        <w:t>parte</w:t>
      </w:r>
      <w:r>
        <w:rPr>
          <w:spacing w:val="-6"/>
        </w:rPr>
        <w:t xml:space="preserve"> </w:t>
      </w:r>
      <w:r>
        <w:t>del</w:t>
      </w:r>
      <w:r>
        <w:rPr>
          <w:spacing w:val="-5"/>
        </w:rPr>
        <w:t xml:space="preserve"> </w:t>
      </w:r>
      <w:r>
        <w:t>reconocimiento</w:t>
      </w:r>
      <w:r>
        <w:rPr>
          <w:spacing w:val="-6"/>
        </w:rPr>
        <w:t xml:space="preserve"> </w:t>
      </w:r>
      <w:r>
        <w:t>de</w:t>
      </w:r>
      <w:r>
        <w:rPr>
          <w:spacing w:val="-6"/>
        </w:rPr>
        <w:t xml:space="preserve"> </w:t>
      </w:r>
      <w:r>
        <w:t>responsabilidad</w:t>
      </w:r>
      <w:r>
        <w:rPr>
          <w:spacing w:val="-6"/>
        </w:rPr>
        <w:t xml:space="preserve"> </w:t>
      </w:r>
      <w:r>
        <w:t>resulta</w:t>
      </w:r>
      <w:r>
        <w:rPr>
          <w:spacing w:val="-6"/>
        </w:rPr>
        <w:t xml:space="preserve"> </w:t>
      </w:r>
      <w:r>
        <w:t>ser</w:t>
      </w:r>
      <w:r>
        <w:rPr>
          <w:spacing w:val="-7"/>
        </w:rPr>
        <w:t xml:space="preserve"> </w:t>
      </w:r>
      <w:r>
        <w:t>de</w:t>
      </w:r>
      <w:r>
        <w:rPr>
          <w:spacing w:val="-6"/>
        </w:rPr>
        <w:t xml:space="preserve"> </w:t>
      </w:r>
      <w:r>
        <w:t>gran</w:t>
      </w:r>
      <w:r>
        <w:rPr>
          <w:spacing w:val="-6"/>
        </w:rPr>
        <w:t xml:space="preserve"> </w:t>
      </w:r>
      <w:r>
        <w:t>complejidad</w:t>
      </w:r>
      <w:r>
        <w:rPr>
          <w:spacing w:val="-6"/>
        </w:rPr>
        <w:t xml:space="preserve"> </w:t>
      </w:r>
      <w:r>
        <w:t>para</w:t>
      </w:r>
      <w:r>
        <w:rPr>
          <w:spacing w:val="-6"/>
        </w:rPr>
        <w:t xml:space="preserve"> </w:t>
      </w:r>
      <w:r>
        <w:t>los participantes</w:t>
      </w:r>
      <w:r>
        <w:rPr>
          <w:spacing w:val="-13"/>
        </w:rPr>
        <w:t xml:space="preserve"> </w:t>
      </w:r>
      <w:r>
        <w:t>por</w:t>
      </w:r>
      <w:r>
        <w:rPr>
          <w:spacing w:val="-11"/>
        </w:rPr>
        <w:t xml:space="preserve"> </w:t>
      </w:r>
      <w:r>
        <w:t>el</w:t>
      </w:r>
      <w:r>
        <w:rPr>
          <w:spacing w:val="-13"/>
        </w:rPr>
        <w:t xml:space="preserve"> </w:t>
      </w:r>
      <w:r>
        <w:t>impacto</w:t>
      </w:r>
      <w:r>
        <w:rPr>
          <w:spacing w:val="-12"/>
        </w:rPr>
        <w:t xml:space="preserve"> </w:t>
      </w:r>
      <w:r>
        <w:t>emocional</w:t>
      </w:r>
      <w:r>
        <w:rPr>
          <w:spacing w:val="-11"/>
        </w:rPr>
        <w:t xml:space="preserve"> </w:t>
      </w:r>
      <w:r>
        <w:t>que</w:t>
      </w:r>
      <w:r>
        <w:rPr>
          <w:spacing w:val="-12"/>
        </w:rPr>
        <w:t xml:space="preserve"> </w:t>
      </w:r>
      <w:r>
        <w:t>puede</w:t>
      </w:r>
      <w:r>
        <w:rPr>
          <w:spacing w:val="-13"/>
        </w:rPr>
        <w:t xml:space="preserve"> </w:t>
      </w:r>
      <w:r>
        <w:t>darse</w:t>
      </w:r>
      <w:r>
        <w:rPr>
          <w:spacing w:val="-13"/>
        </w:rPr>
        <w:t xml:space="preserve"> </w:t>
      </w:r>
      <w:r>
        <w:t>al</w:t>
      </w:r>
      <w:r>
        <w:rPr>
          <w:spacing w:val="-11"/>
        </w:rPr>
        <w:t xml:space="preserve"> </w:t>
      </w:r>
      <w:r>
        <w:t>confrontarse</w:t>
      </w:r>
      <w:r>
        <w:rPr>
          <w:spacing w:val="-13"/>
        </w:rPr>
        <w:t xml:space="preserve"> </w:t>
      </w:r>
      <w:r>
        <w:t>con</w:t>
      </w:r>
      <w:r>
        <w:rPr>
          <w:spacing w:val="-12"/>
        </w:rPr>
        <w:t xml:space="preserve"> </w:t>
      </w:r>
      <w:r>
        <w:t>la</w:t>
      </w:r>
      <w:r>
        <w:rPr>
          <w:spacing w:val="-12"/>
        </w:rPr>
        <w:t xml:space="preserve"> </w:t>
      </w:r>
      <w:r>
        <w:t>dimensión</w:t>
      </w:r>
      <w:r>
        <w:rPr>
          <w:spacing w:val="-12"/>
        </w:rPr>
        <w:t xml:space="preserve"> </w:t>
      </w:r>
      <w:r>
        <w:t>real del daño causado. Para los responsables ha resultado más fácil reconocer daños objetivos a las víctimas directas. Sin embargo, otras dimensiones de las afectaciones, como los daños individuales con impacto colectivo o las afectaciones en clave étnica, resultan más difíciles de</w:t>
      </w:r>
      <w:r>
        <w:rPr>
          <w:spacing w:val="-2"/>
        </w:rPr>
        <w:t xml:space="preserve"> </w:t>
      </w:r>
      <w:r>
        <w:t>identificar</w:t>
      </w:r>
      <w:r>
        <w:rPr>
          <w:spacing w:val="-2"/>
        </w:rPr>
        <w:t xml:space="preserve"> </w:t>
      </w:r>
      <w:r>
        <w:t>y</w:t>
      </w:r>
      <w:r>
        <w:rPr>
          <w:spacing w:val="-2"/>
        </w:rPr>
        <w:t xml:space="preserve"> </w:t>
      </w:r>
      <w:r>
        <w:t>de</w:t>
      </w:r>
      <w:r>
        <w:rPr>
          <w:spacing w:val="-2"/>
        </w:rPr>
        <w:t xml:space="preserve"> </w:t>
      </w:r>
      <w:r>
        <w:t>dimensionar.</w:t>
      </w:r>
      <w:r>
        <w:rPr>
          <w:spacing w:val="-2"/>
        </w:rPr>
        <w:t xml:space="preserve"> </w:t>
      </w:r>
      <w:r>
        <w:t>El</w:t>
      </w:r>
      <w:r>
        <w:rPr>
          <w:spacing w:val="-2"/>
        </w:rPr>
        <w:t xml:space="preserve"> </w:t>
      </w:r>
      <w:r>
        <w:t>fragmento</w:t>
      </w:r>
      <w:r>
        <w:rPr>
          <w:spacing w:val="-2"/>
        </w:rPr>
        <w:t xml:space="preserve"> </w:t>
      </w:r>
      <w:r>
        <w:t>que</w:t>
      </w:r>
      <w:r>
        <w:rPr>
          <w:spacing w:val="-2"/>
        </w:rPr>
        <w:t xml:space="preserve"> </w:t>
      </w:r>
      <w:r>
        <w:t>se</w:t>
      </w:r>
      <w:r>
        <w:rPr>
          <w:spacing w:val="-2"/>
        </w:rPr>
        <w:t xml:space="preserve"> </w:t>
      </w:r>
      <w:r>
        <w:t>presenta</w:t>
      </w:r>
      <w:r>
        <w:rPr>
          <w:spacing w:val="-2"/>
        </w:rPr>
        <w:t xml:space="preserve"> </w:t>
      </w:r>
      <w:r>
        <w:t>a</w:t>
      </w:r>
      <w:r>
        <w:rPr>
          <w:spacing w:val="-2"/>
        </w:rPr>
        <w:t xml:space="preserve"> </w:t>
      </w:r>
      <w:r>
        <w:t>continuación</w:t>
      </w:r>
      <w:r>
        <w:rPr>
          <w:spacing w:val="-2"/>
        </w:rPr>
        <w:t xml:space="preserve"> </w:t>
      </w:r>
      <w:r>
        <w:t>corresponde</w:t>
      </w:r>
      <w:r>
        <w:rPr>
          <w:spacing w:val="-2"/>
        </w:rPr>
        <w:t xml:space="preserve"> </w:t>
      </w:r>
      <w:r>
        <w:t>al reconocimiento</w:t>
      </w:r>
      <w:r>
        <w:rPr>
          <w:spacing w:val="-3"/>
        </w:rPr>
        <w:t xml:space="preserve"> </w:t>
      </w:r>
      <w:r>
        <w:t>de</w:t>
      </w:r>
      <w:r>
        <w:rPr>
          <w:spacing w:val="-4"/>
        </w:rPr>
        <w:t xml:space="preserve"> </w:t>
      </w:r>
      <w:r>
        <w:t>responsabilidad</w:t>
      </w:r>
      <w:r>
        <w:rPr>
          <w:spacing w:val="-5"/>
        </w:rPr>
        <w:t xml:space="preserve"> </w:t>
      </w:r>
      <w:r>
        <w:t>realizado</w:t>
      </w:r>
      <w:r>
        <w:rPr>
          <w:spacing w:val="-3"/>
        </w:rPr>
        <w:t xml:space="preserve"> </w:t>
      </w:r>
      <w:r>
        <w:t>por</w:t>
      </w:r>
      <w:r>
        <w:rPr>
          <w:spacing w:val="-4"/>
        </w:rPr>
        <w:t xml:space="preserve"> </w:t>
      </w:r>
      <w:r>
        <w:t>un</w:t>
      </w:r>
      <w:r>
        <w:rPr>
          <w:spacing w:val="-3"/>
        </w:rPr>
        <w:t xml:space="preserve"> </w:t>
      </w:r>
      <w:r>
        <w:t>firmante</w:t>
      </w:r>
      <w:r>
        <w:rPr>
          <w:spacing w:val="-4"/>
        </w:rPr>
        <w:t xml:space="preserve"> </w:t>
      </w:r>
      <w:r>
        <w:t>del</w:t>
      </w:r>
      <w:r>
        <w:rPr>
          <w:spacing w:val="-3"/>
        </w:rPr>
        <w:t xml:space="preserve"> </w:t>
      </w:r>
      <w:r>
        <w:t>Acuerdo</w:t>
      </w:r>
      <w:r>
        <w:rPr>
          <w:spacing w:val="-3"/>
        </w:rPr>
        <w:t xml:space="preserve"> </w:t>
      </w:r>
      <w:r>
        <w:t>de</w:t>
      </w:r>
      <w:r>
        <w:rPr>
          <w:spacing w:val="-3"/>
        </w:rPr>
        <w:t xml:space="preserve"> </w:t>
      </w:r>
      <w:r>
        <w:t>Paz,</w:t>
      </w:r>
      <w:r>
        <w:rPr>
          <w:spacing w:val="-5"/>
        </w:rPr>
        <w:t xml:space="preserve"> </w:t>
      </w:r>
      <w:r>
        <w:t>durante</w:t>
      </w:r>
      <w:r>
        <w:rPr>
          <w:spacing w:val="-4"/>
        </w:rPr>
        <w:t xml:space="preserve"> </w:t>
      </w:r>
      <w:r>
        <w:t xml:space="preserve">el primer diálogo privado entre víctimas y responsables en el marco del reconocimiento en </w:t>
      </w:r>
      <w:r>
        <w:rPr>
          <w:spacing w:val="-2"/>
        </w:rPr>
        <w:t>Caldono:</w:t>
      </w:r>
    </w:p>
    <w:p w:rsidR="003804AC" w:rsidRDefault="00AF18A5" w:rsidP="00E27A60">
      <w:r>
        <w:t>«Cuando</w:t>
      </w:r>
      <w:r>
        <w:rPr>
          <w:spacing w:val="-2"/>
        </w:rPr>
        <w:t xml:space="preserve"> </w:t>
      </w:r>
      <w:r>
        <w:t>realizábamos</w:t>
      </w:r>
      <w:r>
        <w:rPr>
          <w:spacing w:val="-3"/>
        </w:rPr>
        <w:t xml:space="preserve"> </w:t>
      </w:r>
      <w:r>
        <w:t>marchas</w:t>
      </w:r>
      <w:r>
        <w:rPr>
          <w:spacing w:val="-2"/>
        </w:rPr>
        <w:t xml:space="preserve"> </w:t>
      </w:r>
      <w:r>
        <w:t>y</w:t>
      </w:r>
      <w:r>
        <w:rPr>
          <w:spacing w:val="-2"/>
        </w:rPr>
        <w:t xml:space="preserve"> </w:t>
      </w:r>
      <w:r>
        <w:t>nos</w:t>
      </w:r>
      <w:r>
        <w:rPr>
          <w:spacing w:val="-3"/>
        </w:rPr>
        <w:t xml:space="preserve"> </w:t>
      </w:r>
      <w:r>
        <w:t>encontrábamos</w:t>
      </w:r>
      <w:r>
        <w:rPr>
          <w:spacing w:val="-2"/>
        </w:rPr>
        <w:t xml:space="preserve"> </w:t>
      </w:r>
      <w:r>
        <w:t>con</w:t>
      </w:r>
      <w:r>
        <w:rPr>
          <w:spacing w:val="-2"/>
        </w:rPr>
        <w:t xml:space="preserve"> </w:t>
      </w:r>
      <w:r>
        <w:t>cultivos</w:t>
      </w:r>
      <w:r>
        <w:rPr>
          <w:spacing w:val="-2"/>
        </w:rPr>
        <w:t xml:space="preserve"> </w:t>
      </w:r>
      <w:r>
        <w:t>de</w:t>
      </w:r>
      <w:r>
        <w:rPr>
          <w:spacing w:val="-3"/>
        </w:rPr>
        <w:t xml:space="preserve"> </w:t>
      </w:r>
      <w:r>
        <w:lastRenderedPageBreak/>
        <w:t>maíz,</w:t>
      </w:r>
      <w:r>
        <w:rPr>
          <w:spacing w:val="-2"/>
        </w:rPr>
        <w:t xml:space="preserve"> </w:t>
      </w:r>
      <w:r>
        <w:t>de</w:t>
      </w:r>
      <w:r>
        <w:rPr>
          <w:spacing w:val="-2"/>
        </w:rPr>
        <w:t xml:space="preserve"> </w:t>
      </w:r>
      <w:r>
        <w:t>papa,</w:t>
      </w:r>
      <w:r>
        <w:rPr>
          <w:spacing w:val="-2"/>
        </w:rPr>
        <w:t xml:space="preserve"> </w:t>
      </w:r>
      <w:r>
        <w:t>y</w:t>
      </w:r>
      <w:r>
        <w:rPr>
          <w:spacing w:val="-3"/>
        </w:rPr>
        <w:t xml:space="preserve"> </w:t>
      </w:r>
      <w:r>
        <w:t>se maltrataban aquellos cultivos, entonces reconocemos esa afectación. Igualmente reconocemos</w:t>
      </w:r>
      <w:r>
        <w:rPr>
          <w:spacing w:val="-15"/>
        </w:rPr>
        <w:t xml:space="preserve"> </w:t>
      </w:r>
      <w:r>
        <w:t>la</w:t>
      </w:r>
      <w:r>
        <w:rPr>
          <w:spacing w:val="-15"/>
        </w:rPr>
        <w:t xml:space="preserve"> </w:t>
      </w:r>
      <w:r>
        <w:t>afectación</w:t>
      </w:r>
      <w:r>
        <w:rPr>
          <w:spacing w:val="-15"/>
        </w:rPr>
        <w:t xml:space="preserve"> </w:t>
      </w:r>
      <w:r>
        <w:t>cuando</w:t>
      </w:r>
      <w:r>
        <w:rPr>
          <w:spacing w:val="-15"/>
        </w:rPr>
        <w:t xml:space="preserve"> </w:t>
      </w:r>
      <w:r>
        <w:t>pernoctábamos</w:t>
      </w:r>
      <w:r>
        <w:rPr>
          <w:spacing w:val="-15"/>
        </w:rPr>
        <w:t xml:space="preserve"> </w:t>
      </w:r>
      <w:r>
        <w:t>cerca</w:t>
      </w:r>
      <w:r>
        <w:rPr>
          <w:spacing w:val="-15"/>
        </w:rPr>
        <w:t xml:space="preserve"> </w:t>
      </w:r>
      <w:r>
        <w:t>de</w:t>
      </w:r>
      <w:r>
        <w:rPr>
          <w:spacing w:val="-15"/>
        </w:rPr>
        <w:t xml:space="preserve"> </w:t>
      </w:r>
      <w:r>
        <w:t>una</w:t>
      </w:r>
      <w:r>
        <w:rPr>
          <w:spacing w:val="-15"/>
        </w:rPr>
        <w:t xml:space="preserve"> </w:t>
      </w:r>
      <w:r>
        <w:t>casa</w:t>
      </w:r>
      <w:r>
        <w:rPr>
          <w:spacing w:val="-15"/>
        </w:rPr>
        <w:t xml:space="preserve"> </w:t>
      </w:r>
      <w:r>
        <w:t>y</w:t>
      </w:r>
      <w:r>
        <w:rPr>
          <w:spacing w:val="-15"/>
        </w:rPr>
        <w:t xml:space="preserve"> </w:t>
      </w:r>
      <w:r>
        <w:t>le</w:t>
      </w:r>
      <w:r>
        <w:rPr>
          <w:spacing w:val="-15"/>
        </w:rPr>
        <w:t xml:space="preserve"> </w:t>
      </w:r>
      <w:r>
        <w:t>dañábamos</w:t>
      </w:r>
      <w:r>
        <w:rPr>
          <w:spacing w:val="-15"/>
        </w:rPr>
        <w:t xml:space="preserve"> </w:t>
      </w:r>
      <w:r>
        <w:t>jardines, cercas, y a todos ustedes les costó sudor, trabajo, lágrimas […] para la gente es sagrado lo que tiene porque sabe lo que le costó, lo que luchó por tenerlo […]. Afectamos con la presencia la inversión social, porque los grupos armados causan miedo, entonces proyectos e</w:t>
      </w:r>
      <w:r>
        <w:rPr>
          <w:spacing w:val="-3"/>
        </w:rPr>
        <w:t xml:space="preserve"> </w:t>
      </w:r>
      <w:r>
        <w:t>inversiones</w:t>
      </w:r>
      <w:r>
        <w:rPr>
          <w:spacing w:val="-3"/>
        </w:rPr>
        <w:t xml:space="preserve"> </w:t>
      </w:r>
      <w:r>
        <w:t>se</w:t>
      </w:r>
      <w:r>
        <w:rPr>
          <w:spacing w:val="-5"/>
        </w:rPr>
        <w:t xml:space="preserve"> </w:t>
      </w:r>
      <w:r>
        <w:t>atrasan.</w:t>
      </w:r>
      <w:r>
        <w:rPr>
          <w:spacing w:val="-5"/>
        </w:rPr>
        <w:t xml:space="preserve"> </w:t>
      </w:r>
      <w:r>
        <w:t>[…]</w:t>
      </w:r>
      <w:r>
        <w:rPr>
          <w:spacing w:val="-3"/>
        </w:rPr>
        <w:t xml:space="preserve"> </w:t>
      </w:r>
      <w:r>
        <w:t>Cometimos</w:t>
      </w:r>
      <w:r>
        <w:rPr>
          <w:spacing w:val="-3"/>
        </w:rPr>
        <w:t xml:space="preserve"> </w:t>
      </w:r>
      <w:r>
        <w:t>la</w:t>
      </w:r>
      <w:r>
        <w:rPr>
          <w:spacing w:val="-3"/>
        </w:rPr>
        <w:t xml:space="preserve"> </w:t>
      </w:r>
      <w:r>
        <w:t>brutalidad</w:t>
      </w:r>
      <w:r>
        <w:rPr>
          <w:spacing w:val="-3"/>
        </w:rPr>
        <w:t xml:space="preserve"> </w:t>
      </w:r>
      <w:r>
        <w:t>de</w:t>
      </w:r>
      <w:r>
        <w:rPr>
          <w:spacing w:val="-3"/>
        </w:rPr>
        <w:t xml:space="preserve"> </w:t>
      </w:r>
      <w:r>
        <w:t>escoger</w:t>
      </w:r>
      <w:r>
        <w:rPr>
          <w:spacing w:val="-3"/>
        </w:rPr>
        <w:t xml:space="preserve"> </w:t>
      </w:r>
      <w:r>
        <w:t>los</w:t>
      </w:r>
      <w:r>
        <w:rPr>
          <w:spacing w:val="-3"/>
        </w:rPr>
        <w:t xml:space="preserve"> </w:t>
      </w:r>
      <w:r>
        <w:t>días</w:t>
      </w:r>
      <w:r>
        <w:rPr>
          <w:spacing w:val="-4"/>
        </w:rPr>
        <w:t xml:space="preserve"> </w:t>
      </w:r>
      <w:r>
        <w:t>de</w:t>
      </w:r>
      <w:r>
        <w:rPr>
          <w:spacing w:val="-3"/>
        </w:rPr>
        <w:t xml:space="preserve"> </w:t>
      </w:r>
      <w:r>
        <w:t>mercado</w:t>
      </w:r>
      <w:r>
        <w:rPr>
          <w:spacing w:val="-5"/>
        </w:rPr>
        <w:t xml:space="preserve"> </w:t>
      </w:r>
      <w:r>
        <w:t>como táctica porque era más fácil camuflarnos y acercarnos a la Policía o al Ejército; no tuvimos en cuenta que eran días donde todos ustedes bajan de la parte rural a mercar, intercambiar, vender sus productos, y en una acción todos los productos quedan volando en la plaza de mercado,</w:t>
      </w:r>
      <w:r>
        <w:rPr>
          <w:spacing w:val="18"/>
        </w:rPr>
        <w:t xml:space="preserve"> </w:t>
      </w:r>
      <w:r>
        <w:t>de</w:t>
      </w:r>
      <w:r>
        <w:rPr>
          <w:spacing w:val="20"/>
        </w:rPr>
        <w:t xml:space="preserve"> </w:t>
      </w:r>
      <w:r>
        <w:t>ahí</w:t>
      </w:r>
      <w:r>
        <w:rPr>
          <w:spacing w:val="22"/>
        </w:rPr>
        <w:t xml:space="preserve"> </w:t>
      </w:r>
      <w:r>
        <w:t>se</w:t>
      </w:r>
      <w:r>
        <w:rPr>
          <w:spacing w:val="20"/>
        </w:rPr>
        <w:t xml:space="preserve"> </w:t>
      </w:r>
      <w:r>
        <w:t>daña</w:t>
      </w:r>
      <w:r>
        <w:rPr>
          <w:spacing w:val="20"/>
        </w:rPr>
        <w:t xml:space="preserve"> </w:t>
      </w:r>
      <w:r>
        <w:t>todo,</w:t>
      </w:r>
      <w:r>
        <w:rPr>
          <w:spacing w:val="21"/>
        </w:rPr>
        <w:t xml:space="preserve"> </w:t>
      </w:r>
      <w:r>
        <w:t>el</w:t>
      </w:r>
      <w:r>
        <w:rPr>
          <w:spacing w:val="21"/>
        </w:rPr>
        <w:t xml:space="preserve"> </w:t>
      </w:r>
      <w:r>
        <w:t>comercio,</w:t>
      </w:r>
      <w:r>
        <w:rPr>
          <w:spacing w:val="21"/>
        </w:rPr>
        <w:t xml:space="preserve"> </w:t>
      </w:r>
      <w:r>
        <w:t>el</w:t>
      </w:r>
      <w:r>
        <w:rPr>
          <w:spacing w:val="21"/>
        </w:rPr>
        <w:t xml:space="preserve"> </w:t>
      </w:r>
      <w:r>
        <w:t>hambre.</w:t>
      </w:r>
      <w:r>
        <w:rPr>
          <w:spacing w:val="20"/>
        </w:rPr>
        <w:t xml:space="preserve"> </w:t>
      </w:r>
      <w:r>
        <w:t>[…]</w:t>
      </w:r>
      <w:r>
        <w:rPr>
          <w:spacing w:val="22"/>
        </w:rPr>
        <w:t xml:space="preserve"> </w:t>
      </w:r>
      <w:r>
        <w:t>El</w:t>
      </w:r>
      <w:r>
        <w:rPr>
          <w:spacing w:val="21"/>
        </w:rPr>
        <w:t xml:space="preserve"> </w:t>
      </w:r>
      <w:r>
        <w:t>turismo</w:t>
      </w:r>
      <w:r>
        <w:rPr>
          <w:spacing w:val="20"/>
        </w:rPr>
        <w:t xml:space="preserve"> </w:t>
      </w:r>
      <w:r>
        <w:t>es</w:t>
      </w:r>
      <w:r>
        <w:rPr>
          <w:spacing w:val="21"/>
        </w:rPr>
        <w:t xml:space="preserve"> </w:t>
      </w:r>
      <w:r>
        <w:t>una</w:t>
      </w:r>
      <w:r>
        <w:rPr>
          <w:spacing w:val="20"/>
        </w:rPr>
        <w:t xml:space="preserve"> </w:t>
      </w:r>
      <w:r>
        <w:t>entrada,</w:t>
      </w:r>
      <w:r>
        <w:rPr>
          <w:spacing w:val="21"/>
        </w:rPr>
        <w:t xml:space="preserve"> </w:t>
      </w:r>
      <w:r>
        <w:rPr>
          <w:spacing w:val="-5"/>
        </w:rPr>
        <w:t>un</w:t>
      </w:r>
      <w:bookmarkStart w:id="1475" w:name="_bookmark1289"/>
      <w:bookmarkStart w:id="1476" w:name="_bookmark1290"/>
      <w:bookmarkEnd w:id="1475"/>
      <w:bookmarkEnd w:id="1476"/>
      <w:r w:rsidR="00E27A60">
        <w:t xml:space="preserve"> </w:t>
      </w:r>
      <w:r>
        <w:t>espacio para</w:t>
      </w:r>
      <w:r>
        <w:rPr>
          <w:spacing w:val="-1"/>
        </w:rPr>
        <w:t xml:space="preserve"> </w:t>
      </w:r>
      <w:r>
        <w:t>mostrar la cultura de las</w:t>
      </w:r>
      <w:r>
        <w:rPr>
          <w:spacing w:val="-1"/>
        </w:rPr>
        <w:t xml:space="preserve"> </w:t>
      </w:r>
      <w:r>
        <w:t>comunidades, las tradiciones, con la</w:t>
      </w:r>
      <w:r>
        <w:rPr>
          <w:spacing w:val="-1"/>
        </w:rPr>
        <w:t xml:space="preserve"> </w:t>
      </w:r>
      <w:r>
        <w:t>presencia nuestra se dañaron esos espacios de turismo. Afectamos la economía, el desarrollo»</w:t>
      </w:r>
      <w:r w:rsidR="00E27A60">
        <w:rPr>
          <w:rStyle w:val="Refdenotaalpie"/>
        </w:rPr>
        <w:footnoteReference w:id="1164"/>
      </w:r>
      <w:r>
        <w:t>.</w:t>
      </w:r>
    </w:p>
    <w:p w:rsidR="0011361F" w:rsidRDefault="00AF18A5" w:rsidP="004A6EF4">
      <w:pPr>
        <w:pStyle w:val="Ttulo4"/>
        <w:numPr>
          <w:ilvl w:val="2"/>
          <w:numId w:val="16"/>
        </w:numPr>
      </w:pPr>
      <w:bookmarkStart w:id="1477" w:name="11.6.5._Dejar_atrás_la_guerra:_perdón,_c"/>
      <w:bookmarkEnd w:id="1477"/>
      <w:r>
        <w:t>Dejar</w:t>
      </w:r>
      <w:r>
        <w:rPr>
          <w:spacing w:val="-2"/>
        </w:rPr>
        <w:t xml:space="preserve"> </w:t>
      </w:r>
      <w:r>
        <w:t>atrás</w:t>
      </w:r>
      <w:r>
        <w:rPr>
          <w:spacing w:val="-1"/>
        </w:rPr>
        <w:t xml:space="preserve"> </w:t>
      </w:r>
      <w:r>
        <w:t>la</w:t>
      </w:r>
      <w:r>
        <w:rPr>
          <w:spacing w:val="-2"/>
        </w:rPr>
        <w:t xml:space="preserve"> </w:t>
      </w:r>
      <w:r>
        <w:t>guerra:</w:t>
      </w:r>
      <w:r>
        <w:rPr>
          <w:spacing w:val="-1"/>
        </w:rPr>
        <w:t xml:space="preserve"> </w:t>
      </w:r>
      <w:r>
        <w:t>perdón,</w:t>
      </w:r>
      <w:r>
        <w:rPr>
          <w:spacing w:val="-2"/>
        </w:rPr>
        <w:t xml:space="preserve"> </w:t>
      </w:r>
      <w:r w:rsidRPr="00E27A60">
        <w:t>convivencia</w:t>
      </w:r>
      <w:r>
        <w:rPr>
          <w:spacing w:val="-1"/>
        </w:rPr>
        <w:t xml:space="preserve"> </w:t>
      </w:r>
      <w:r>
        <w:t>y</w:t>
      </w:r>
      <w:r>
        <w:rPr>
          <w:spacing w:val="-1"/>
        </w:rPr>
        <w:t xml:space="preserve"> </w:t>
      </w:r>
      <w:r>
        <w:rPr>
          <w:spacing w:val="-2"/>
        </w:rPr>
        <w:t>reconciliación</w:t>
      </w:r>
    </w:p>
    <w:p w:rsidR="003804AC" w:rsidRDefault="00AF18A5" w:rsidP="00EE1881">
      <w:r>
        <w:t>El reconocimiento de responsabilidad es una fuerza sanadora que reta las imágenes que tenemos sobre el perdón o la reconciliación. También es una oportunidad de reflexionar en conjunto</w:t>
      </w:r>
      <w:r>
        <w:rPr>
          <w:spacing w:val="-2"/>
        </w:rPr>
        <w:t xml:space="preserve"> </w:t>
      </w:r>
      <w:r>
        <w:t>como</w:t>
      </w:r>
      <w:r>
        <w:rPr>
          <w:spacing w:val="-2"/>
        </w:rPr>
        <w:t xml:space="preserve"> </w:t>
      </w:r>
      <w:r>
        <w:t>sociedad,</w:t>
      </w:r>
      <w:r>
        <w:rPr>
          <w:spacing w:val="-2"/>
        </w:rPr>
        <w:t xml:space="preserve"> </w:t>
      </w:r>
      <w:r>
        <w:t>colectivos,</w:t>
      </w:r>
      <w:r>
        <w:rPr>
          <w:spacing w:val="-3"/>
        </w:rPr>
        <w:t xml:space="preserve"> </w:t>
      </w:r>
      <w:r>
        <w:t>movimientos,</w:t>
      </w:r>
      <w:r>
        <w:rPr>
          <w:spacing w:val="-2"/>
        </w:rPr>
        <w:t xml:space="preserve"> </w:t>
      </w:r>
      <w:r>
        <w:t>gremios</w:t>
      </w:r>
      <w:r>
        <w:rPr>
          <w:spacing w:val="-2"/>
        </w:rPr>
        <w:t xml:space="preserve"> </w:t>
      </w:r>
      <w:r>
        <w:t>y</w:t>
      </w:r>
      <w:r>
        <w:rPr>
          <w:spacing w:val="-3"/>
        </w:rPr>
        <w:t xml:space="preserve"> </w:t>
      </w:r>
      <w:r>
        <w:t>partidos</w:t>
      </w:r>
      <w:r>
        <w:rPr>
          <w:spacing w:val="-2"/>
        </w:rPr>
        <w:t xml:space="preserve"> </w:t>
      </w:r>
      <w:r>
        <w:t>políticos</w:t>
      </w:r>
      <w:r>
        <w:rPr>
          <w:spacing w:val="-2"/>
        </w:rPr>
        <w:t xml:space="preserve"> </w:t>
      </w:r>
      <w:r>
        <w:t>sobre</w:t>
      </w:r>
      <w:r>
        <w:rPr>
          <w:spacing w:val="-3"/>
        </w:rPr>
        <w:t xml:space="preserve"> </w:t>
      </w:r>
      <w:r>
        <w:t>lo</w:t>
      </w:r>
      <w:r>
        <w:rPr>
          <w:spacing w:val="-2"/>
        </w:rPr>
        <w:t xml:space="preserve"> </w:t>
      </w:r>
      <w:r>
        <w:t xml:space="preserve">que este proceso supone para Colombia. Los reconocimientos de responsabilidad no tienen que ver con obtener imágenes de abrazos, que en muchos casos están en el imaginario de la reconciliación o en las narrativas del </w:t>
      </w:r>
      <w:r>
        <w:lastRenderedPageBreak/>
        <w:t>perdón. Para las víctimas y responsables, los reconocimientos más bien han supuesto un desgarramiento que libera.</w:t>
      </w:r>
    </w:p>
    <w:p w:rsidR="003804AC" w:rsidRDefault="00AF18A5" w:rsidP="00EE1881">
      <w:r>
        <w:rPr>
          <w:spacing w:val="-2"/>
        </w:rPr>
        <w:t>Estar</w:t>
      </w:r>
      <w:r>
        <w:rPr>
          <w:spacing w:val="-8"/>
        </w:rPr>
        <w:t xml:space="preserve"> </w:t>
      </w:r>
      <w:r>
        <w:rPr>
          <w:spacing w:val="-2"/>
        </w:rPr>
        <w:t>frente</w:t>
      </w:r>
      <w:r>
        <w:rPr>
          <w:spacing w:val="-8"/>
        </w:rPr>
        <w:t xml:space="preserve"> </w:t>
      </w:r>
      <w:r>
        <w:rPr>
          <w:spacing w:val="-2"/>
        </w:rPr>
        <w:t>a</w:t>
      </w:r>
      <w:r>
        <w:rPr>
          <w:spacing w:val="-7"/>
        </w:rPr>
        <w:t xml:space="preserve"> </w:t>
      </w:r>
      <w:r>
        <w:rPr>
          <w:spacing w:val="-2"/>
        </w:rPr>
        <w:t>frente,</w:t>
      </w:r>
      <w:r>
        <w:rPr>
          <w:spacing w:val="-8"/>
        </w:rPr>
        <w:t xml:space="preserve"> </w:t>
      </w:r>
      <w:r>
        <w:rPr>
          <w:spacing w:val="-2"/>
        </w:rPr>
        <w:t>evocar</w:t>
      </w:r>
      <w:r>
        <w:rPr>
          <w:spacing w:val="-6"/>
        </w:rPr>
        <w:t xml:space="preserve"> </w:t>
      </w:r>
      <w:r>
        <w:rPr>
          <w:spacing w:val="-2"/>
        </w:rPr>
        <w:t>y</w:t>
      </w:r>
      <w:r>
        <w:rPr>
          <w:spacing w:val="-8"/>
        </w:rPr>
        <w:t xml:space="preserve"> </w:t>
      </w:r>
      <w:r>
        <w:rPr>
          <w:spacing w:val="-2"/>
        </w:rPr>
        <w:t>revivir</w:t>
      </w:r>
      <w:r>
        <w:rPr>
          <w:spacing w:val="-9"/>
        </w:rPr>
        <w:t xml:space="preserve"> </w:t>
      </w:r>
      <w:r>
        <w:rPr>
          <w:spacing w:val="-2"/>
        </w:rPr>
        <w:t>el</w:t>
      </w:r>
      <w:r>
        <w:rPr>
          <w:spacing w:val="-6"/>
        </w:rPr>
        <w:t xml:space="preserve"> </w:t>
      </w:r>
      <w:r>
        <w:rPr>
          <w:spacing w:val="-2"/>
        </w:rPr>
        <w:t>daño</w:t>
      </w:r>
      <w:r>
        <w:rPr>
          <w:spacing w:val="-8"/>
        </w:rPr>
        <w:t xml:space="preserve"> </w:t>
      </w:r>
      <w:r>
        <w:rPr>
          <w:spacing w:val="-2"/>
        </w:rPr>
        <w:t>profundo</w:t>
      </w:r>
      <w:r>
        <w:rPr>
          <w:spacing w:val="-7"/>
        </w:rPr>
        <w:t xml:space="preserve"> </w:t>
      </w:r>
      <w:r>
        <w:rPr>
          <w:spacing w:val="-2"/>
        </w:rPr>
        <w:t>a</w:t>
      </w:r>
      <w:r>
        <w:rPr>
          <w:spacing w:val="-7"/>
        </w:rPr>
        <w:t xml:space="preserve"> </w:t>
      </w:r>
      <w:r>
        <w:rPr>
          <w:spacing w:val="-2"/>
        </w:rPr>
        <w:t>la</w:t>
      </w:r>
      <w:r>
        <w:rPr>
          <w:spacing w:val="-7"/>
        </w:rPr>
        <w:t xml:space="preserve"> </w:t>
      </w:r>
      <w:r>
        <w:rPr>
          <w:spacing w:val="-2"/>
        </w:rPr>
        <w:t>dignidad,</w:t>
      </w:r>
      <w:r>
        <w:rPr>
          <w:spacing w:val="-7"/>
        </w:rPr>
        <w:t xml:space="preserve"> </w:t>
      </w:r>
      <w:r>
        <w:rPr>
          <w:spacing w:val="-2"/>
        </w:rPr>
        <w:t>es</w:t>
      </w:r>
      <w:r>
        <w:rPr>
          <w:spacing w:val="-8"/>
        </w:rPr>
        <w:t xml:space="preserve"> </w:t>
      </w:r>
      <w:r>
        <w:rPr>
          <w:spacing w:val="-2"/>
        </w:rPr>
        <w:t>desgarrador</w:t>
      </w:r>
      <w:r>
        <w:rPr>
          <w:spacing w:val="-6"/>
        </w:rPr>
        <w:t xml:space="preserve"> </w:t>
      </w:r>
      <w:r>
        <w:rPr>
          <w:spacing w:val="-2"/>
        </w:rPr>
        <w:t xml:space="preserve">porque </w:t>
      </w:r>
      <w:r>
        <w:t>enfrenta a los participantes y a la sociedad a buscar una explicación que en lo profundo es absurda o banal y muchas veces</w:t>
      </w:r>
      <w:r>
        <w:rPr>
          <w:spacing w:val="-1"/>
        </w:rPr>
        <w:t xml:space="preserve"> </w:t>
      </w:r>
      <w:r>
        <w:t>insoportable. Es</w:t>
      </w:r>
      <w:r>
        <w:rPr>
          <w:spacing w:val="-1"/>
        </w:rPr>
        <w:t xml:space="preserve"> </w:t>
      </w:r>
      <w:r>
        <w:t>un proceso</w:t>
      </w:r>
      <w:r>
        <w:rPr>
          <w:spacing w:val="-1"/>
        </w:rPr>
        <w:t xml:space="preserve"> </w:t>
      </w:r>
      <w:r>
        <w:t>doloroso, pero no en el sentido de reproducir los valores de la violencia, sino en el sentido de restaurar la dignidad y la convivencia. Muchos actos públicos de reconocimiento han sido vistos como acontecimientos colectivos, a veces en una misma comunidad, a veces para un determinado colectivo de víctimas, pero también han contado siempre con una dimensión social y, en parte, un sentido de catarsis colectiva. En la dimensión pública de los reconocimientos se vincula</w:t>
      </w:r>
      <w:r>
        <w:rPr>
          <w:spacing w:val="-15"/>
        </w:rPr>
        <w:t xml:space="preserve"> </w:t>
      </w:r>
      <w:r>
        <w:t>el</w:t>
      </w:r>
      <w:r>
        <w:rPr>
          <w:spacing w:val="-15"/>
        </w:rPr>
        <w:t xml:space="preserve"> </w:t>
      </w:r>
      <w:r>
        <w:t>dolor</w:t>
      </w:r>
      <w:r>
        <w:rPr>
          <w:spacing w:val="-15"/>
        </w:rPr>
        <w:t xml:space="preserve"> </w:t>
      </w:r>
      <w:r>
        <w:t>de</w:t>
      </w:r>
      <w:r>
        <w:rPr>
          <w:spacing w:val="-15"/>
        </w:rPr>
        <w:t xml:space="preserve"> </w:t>
      </w:r>
      <w:r>
        <w:t>las</w:t>
      </w:r>
      <w:r>
        <w:rPr>
          <w:spacing w:val="-15"/>
        </w:rPr>
        <w:t xml:space="preserve"> </w:t>
      </w:r>
      <w:r>
        <w:t>víctimas</w:t>
      </w:r>
      <w:r>
        <w:rPr>
          <w:spacing w:val="-15"/>
        </w:rPr>
        <w:t xml:space="preserve"> </w:t>
      </w:r>
      <w:r>
        <w:t>y</w:t>
      </w:r>
      <w:r>
        <w:rPr>
          <w:spacing w:val="-15"/>
        </w:rPr>
        <w:t xml:space="preserve"> </w:t>
      </w:r>
      <w:r>
        <w:t>la</w:t>
      </w:r>
      <w:r>
        <w:rPr>
          <w:spacing w:val="-15"/>
        </w:rPr>
        <w:t xml:space="preserve"> </w:t>
      </w:r>
      <w:r>
        <w:t>vergüenza</w:t>
      </w:r>
      <w:r>
        <w:rPr>
          <w:spacing w:val="-15"/>
        </w:rPr>
        <w:t xml:space="preserve"> </w:t>
      </w:r>
      <w:r>
        <w:t>de</w:t>
      </w:r>
      <w:r>
        <w:rPr>
          <w:spacing w:val="-15"/>
        </w:rPr>
        <w:t xml:space="preserve"> </w:t>
      </w:r>
      <w:r>
        <w:t>los</w:t>
      </w:r>
      <w:r>
        <w:rPr>
          <w:spacing w:val="-15"/>
        </w:rPr>
        <w:t xml:space="preserve"> </w:t>
      </w:r>
      <w:r>
        <w:t>responsables,</w:t>
      </w:r>
      <w:r>
        <w:rPr>
          <w:spacing w:val="-15"/>
        </w:rPr>
        <w:t xml:space="preserve"> </w:t>
      </w:r>
      <w:r>
        <w:t>y</w:t>
      </w:r>
      <w:r>
        <w:rPr>
          <w:spacing w:val="-15"/>
        </w:rPr>
        <w:t xml:space="preserve"> </w:t>
      </w:r>
      <w:r>
        <w:t>se</w:t>
      </w:r>
      <w:r>
        <w:rPr>
          <w:spacing w:val="-15"/>
        </w:rPr>
        <w:t xml:space="preserve"> </w:t>
      </w:r>
      <w:r>
        <w:t>interpela</w:t>
      </w:r>
      <w:r>
        <w:rPr>
          <w:spacing w:val="-15"/>
        </w:rPr>
        <w:t xml:space="preserve"> </w:t>
      </w:r>
      <w:r>
        <w:t>a</w:t>
      </w:r>
      <w:r>
        <w:rPr>
          <w:spacing w:val="-15"/>
        </w:rPr>
        <w:t xml:space="preserve"> </w:t>
      </w:r>
      <w:r>
        <w:t>la</w:t>
      </w:r>
      <w:r>
        <w:rPr>
          <w:spacing w:val="-15"/>
        </w:rPr>
        <w:t xml:space="preserve"> </w:t>
      </w:r>
      <w:r>
        <w:t>sociedad en su conjunto sobre por qué se permitió que tantas cosas sucedieran.</w:t>
      </w:r>
    </w:p>
    <w:p w:rsidR="003804AC" w:rsidRDefault="00AF18A5" w:rsidP="00EE1881">
      <w:r>
        <w:t>El trabajo de los reconocimientos se ha dado en un contexto social donde se trata de separarse</w:t>
      </w:r>
      <w:r>
        <w:rPr>
          <w:spacing w:val="-15"/>
        </w:rPr>
        <w:t xml:space="preserve"> </w:t>
      </w:r>
      <w:r>
        <w:t>de</w:t>
      </w:r>
      <w:r>
        <w:rPr>
          <w:spacing w:val="-15"/>
        </w:rPr>
        <w:t xml:space="preserve"> </w:t>
      </w:r>
      <w:r>
        <w:t>un</w:t>
      </w:r>
      <w:r>
        <w:rPr>
          <w:spacing w:val="-15"/>
        </w:rPr>
        <w:t xml:space="preserve"> </w:t>
      </w:r>
      <w:r>
        <w:t>pasado</w:t>
      </w:r>
      <w:r>
        <w:rPr>
          <w:spacing w:val="-15"/>
        </w:rPr>
        <w:t xml:space="preserve"> </w:t>
      </w:r>
      <w:r>
        <w:t>traumático</w:t>
      </w:r>
      <w:r>
        <w:rPr>
          <w:spacing w:val="-15"/>
        </w:rPr>
        <w:t xml:space="preserve"> </w:t>
      </w:r>
      <w:r>
        <w:t>que</w:t>
      </w:r>
      <w:r>
        <w:rPr>
          <w:spacing w:val="-15"/>
        </w:rPr>
        <w:t xml:space="preserve"> </w:t>
      </w:r>
      <w:r>
        <w:t>ha</w:t>
      </w:r>
      <w:r>
        <w:rPr>
          <w:spacing w:val="-15"/>
        </w:rPr>
        <w:t xml:space="preserve"> </w:t>
      </w:r>
      <w:r>
        <w:t>dejado</w:t>
      </w:r>
      <w:r>
        <w:rPr>
          <w:spacing w:val="-15"/>
        </w:rPr>
        <w:t xml:space="preserve"> </w:t>
      </w:r>
      <w:r>
        <w:t>muchas</w:t>
      </w:r>
      <w:r>
        <w:rPr>
          <w:spacing w:val="-15"/>
        </w:rPr>
        <w:t xml:space="preserve"> </w:t>
      </w:r>
      <w:r>
        <w:t>heridas</w:t>
      </w:r>
      <w:r>
        <w:rPr>
          <w:spacing w:val="-14"/>
        </w:rPr>
        <w:t xml:space="preserve"> </w:t>
      </w:r>
      <w:r>
        <w:t>y</w:t>
      </w:r>
      <w:r>
        <w:rPr>
          <w:spacing w:val="-15"/>
        </w:rPr>
        <w:t xml:space="preserve"> </w:t>
      </w:r>
      <w:r>
        <w:t>cicatrices</w:t>
      </w:r>
      <w:r>
        <w:rPr>
          <w:spacing w:val="-15"/>
        </w:rPr>
        <w:t xml:space="preserve"> </w:t>
      </w:r>
      <w:r>
        <w:t>en</w:t>
      </w:r>
      <w:r>
        <w:rPr>
          <w:spacing w:val="-15"/>
        </w:rPr>
        <w:t xml:space="preserve"> </w:t>
      </w:r>
      <w:r>
        <w:t>las</w:t>
      </w:r>
      <w:r>
        <w:rPr>
          <w:spacing w:val="-14"/>
        </w:rPr>
        <w:t xml:space="preserve"> </w:t>
      </w:r>
      <w:r>
        <w:t>biografías y el tejido social. Para varios pueblos indígenas que han participado en estos procesos, la palabra</w:t>
      </w:r>
      <w:r>
        <w:rPr>
          <w:spacing w:val="65"/>
        </w:rPr>
        <w:t xml:space="preserve"> </w:t>
      </w:r>
      <w:r>
        <w:t>perdón</w:t>
      </w:r>
      <w:r>
        <w:rPr>
          <w:spacing w:val="67"/>
        </w:rPr>
        <w:t xml:space="preserve"> </w:t>
      </w:r>
      <w:r>
        <w:t>no</w:t>
      </w:r>
      <w:r>
        <w:rPr>
          <w:spacing w:val="67"/>
        </w:rPr>
        <w:t xml:space="preserve"> </w:t>
      </w:r>
      <w:r>
        <w:t>está</w:t>
      </w:r>
      <w:r>
        <w:rPr>
          <w:spacing w:val="67"/>
        </w:rPr>
        <w:t xml:space="preserve"> </w:t>
      </w:r>
      <w:r>
        <w:t>en</w:t>
      </w:r>
      <w:r>
        <w:rPr>
          <w:spacing w:val="67"/>
        </w:rPr>
        <w:t xml:space="preserve"> </w:t>
      </w:r>
      <w:r>
        <w:t>su</w:t>
      </w:r>
      <w:r>
        <w:rPr>
          <w:spacing w:val="66"/>
        </w:rPr>
        <w:t xml:space="preserve"> </w:t>
      </w:r>
      <w:r>
        <w:t>lengua</w:t>
      </w:r>
      <w:r>
        <w:rPr>
          <w:spacing w:val="67"/>
        </w:rPr>
        <w:t xml:space="preserve"> </w:t>
      </w:r>
      <w:r>
        <w:t>y</w:t>
      </w:r>
      <w:r>
        <w:rPr>
          <w:spacing w:val="67"/>
        </w:rPr>
        <w:t xml:space="preserve"> </w:t>
      </w:r>
      <w:r>
        <w:t>no</w:t>
      </w:r>
      <w:r>
        <w:rPr>
          <w:spacing w:val="66"/>
        </w:rPr>
        <w:t xml:space="preserve"> </w:t>
      </w:r>
      <w:r>
        <w:t>lo</w:t>
      </w:r>
      <w:r>
        <w:rPr>
          <w:spacing w:val="67"/>
        </w:rPr>
        <w:t xml:space="preserve"> </w:t>
      </w:r>
      <w:r>
        <w:t>manifiestan</w:t>
      </w:r>
      <w:r>
        <w:rPr>
          <w:spacing w:val="67"/>
        </w:rPr>
        <w:t xml:space="preserve"> </w:t>
      </w:r>
      <w:r>
        <w:t>como</w:t>
      </w:r>
      <w:r>
        <w:rPr>
          <w:spacing w:val="66"/>
        </w:rPr>
        <w:t xml:space="preserve"> </w:t>
      </w:r>
      <w:r>
        <w:t>un</w:t>
      </w:r>
      <w:r>
        <w:rPr>
          <w:spacing w:val="67"/>
        </w:rPr>
        <w:t xml:space="preserve"> </w:t>
      </w:r>
      <w:r>
        <w:t>propósito</w:t>
      </w:r>
      <w:r>
        <w:rPr>
          <w:spacing w:val="66"/>
        </w:rPr>
        <w:t xml:space="preserve"> </w:t>
      </w:r>
      <w:r>
        <w:t>de</w:t>
      </w:r>
      <w:r>
        <w:rPr>
          <w:spacing w:val="68"/>
        </w:rPr>
        <w:t xml:space="preserve"> </w:t>
      </w:r>
      <w:r>
        <w:rPr>
          <w:spacing w:val="-5"/>
        </w:rPr>
        <w:t>los</w:t>
      </w:r>
      <w:bookmarkStart w:id="1478" w:name="_bookmark1291"/>
      <w:bookmarkEnd w:id="1478"/>
      <w:r w:rsidR="00EE1881">
        <w:t xml:space="preserve"> </w:t>
      </w:r>
      <w:r>
        <w:t xml:space="preserve">reconocimientos. Hablan más de sanar los corazones. Esta es también una lección para la </w:t>
      </w:r>
      <w:r>
        <w:rPr>
          <w:spacing w:val="-2"/>
        </w:rPr>
        <w:t>sociedad.</w:t>
      </w:r>
    </w:p>
    <w:p w:rsidR="003804AC" w:rsidRDefault="00AF18A5" w:rsidP="00EE1881">
      <w:r>
        <w:t>En términos generales, el perdón, como la dignificación, hacen parte de un proceso que implica múltiples factores y temporalidades. Es un proceso individual de las víctimas. Hay víctimas que prefieren tener distancia o, como han señalado públicamente, «yo les entiendo más</w:t>
      </w:r>
      <w:r>
        <w:rPr>
          <w:spacing w:val="-9"/>
        </w:rPr>
        <w:t xml:space="preserve"> </w:t>
      </w:r>
      <w:r>
        <w:t>ahora,</w:t>
      </w:r>
      <w:r>
        <w:rPr>
          <w:spacing w:val="-9"/>
        </w:rPr>
        <w:t xml:space="preserve"> </w:t>
      </w:r>
      <w:r>
        <w:t>pero</w:t>
      </w:r>
      <w:r>
        <w:rPr>
          <w:spacing w:val="-9"/>
        </w:rPr>
        <w:t xml:space="preserve"> </w:t>
      </w:r>
      <w:r>
        <w:t>será</w:t>
      </w:r>
      <w:r>
        <w:rPr>
          <w:spacing w:val="-9"/>
        </w:rPr>
        <w:t xml:space="preserve"> </w:t>
      </w:r>
      <w:r>
        <w:t>Dios</w:t>
      </w:r>
      <w:r>
        <w:rPr>
          <w:spacing w:val="-9"/>
        </w:rPr>
        <w:t xml:space="preserve"> </w:t>
      </w:r>
      <w:r>
        <w:t>quien</w:t>
      </w:r>
      <w:r>
        <w:rPr>
          <w:spacing w:val="-11"/>
        </w:rPr>
        <w:t xml:space="preserve"> </w:t>
      </w:r>
      <w:r>
        <w:t>les</w:t>
      </w:r>
      <w:r>
        <w:rPr>
          <w:spacing w:val="-9"/>
        </w:rPr>
        <w:t xml:space="preserve"> </w:t>
      </w:r>
      <w:r>
        <w:t>perdone».</w:t>
      </w:r>
      <w:r>
        <w:rPr>
          <w:spacing w:val="-9"/>
        </w:rPr>
        <w:t xml:space="preserve"> </w:t>
      </w:r>
      <w:r>
        <w:t>Si</w:t>
      </w:r>
      <w:r>
        <w:rPr>
          <w:spacing w:val="-10"/>
        </w:rPr>
        <w:t xml:space="preserve"> </w:t>
      </w:r>
      <w:r>
        <w:t>bien</w:t>
      </w:r>
      <w:r>
        <w:rPr>
          <w:spacing w:val="-9"/>
        </w:rPr>
        <w:t xml:space="preserve"> </w:t>
      </w:r>
      <w:r>
        <w:t>la</w:t>
      </w:r>
      <w:r>
        <w:rPr>
          <w:spacing w:val="-9"/>
        </w:rPr>
        <w:t xml:space="preserve"> </w:t>
      </w:r>
      <w:r>
        <w:t>Comisión</w:t>
      </w:r>
      <w:r>
        <w:rPr>
          <w:spacing w:val="-9"/>
        </w:rPr>
        <w:t xml:space="preserve"> </w:t>
      </w:r>
      <w:r>
        <w:t>es</w:t>
      </w:r>
      <w:r>
        <w:rPr>
          <w:spacing w:val="-9"/>
        </w:rPr>
        <w:t xml:space="preserve"> </w:t>
      </w:r>
      <w:r>
        <w:t>una</w:t>
      </w:r>
      <w:r>
        <w:rPr>
          <w:spacing w:val="-9"/>
        </w:rPr>
        <w:t xml:space="preserve"> </w:t>
      </w:r>
      <w:r>
        <w:lastRenderedPageBreak/>
        <w:t>institución</w:t>
      </w:r>
      <w:r>
        <w:rPr>
          <w:spacing w:val="-9"/>
        </w:rPr>
        <w:t xml:space="preserve"> </w:t>
      </w:r>
      <w:r>
        <w:t>«laica», la</w:t>
      </w:r>
      <w:r>
        <w:rPr>
          <w:spacing w:val="-2"/>
        </w:rPr>
        <w:t xml:space="preserve"> </w:t>
      </w:r>
      <w:r>
        <w:t>dimensión</w:t>
      </w:r>
      <w:r>
        <w:rPr>
          <w:spacing w:val="-2"/>
        </w:rPr>
        <w:t xml:space="preserve"> </w:t>
      </w:r>
      <w:r>
        <w:t>religiosa</w:t>
      </w:r>
      <w:r>
        <w:rPr>
          <w:spacing w:val="-2"/>
        </w:rPr>
        <w:t xml:space="preserve"> </w:t>
      </w:r>
      <w:r>
        <w:t>y</w:t>
      </w:r>
      <w:r>
        <w:rPr>
          <w:spacing w:val="-3"/>
        </w:rPr>
        <w:t xml:space="preserve"> </w:t>
      </w:r>
      <w:r>
        <w:t>espiritual</w:t>
      </w:r>
      <w:r>
        <w:rPr>
          <w:spacing w:val="-2"/>
        </w:rPr>
        <w:t xml:space="preserve"> </w:t>
      </w:r>
      <w:r>
        <w:t>está</w:t>
      </w:r>
      <w:r>
        <w:rPr>
          <w:spacing w:val="-2"/>
        </w:rPr>
        <w:t xml:space="preserve"> </w:t>
      </w:r>
      <w:r>
        <w:t>también</w:t>
      </w:r>
      <w:r>
        <w:rPr>
          <w:spacing w:val="-2"/>
        </w:rPr>
        <w:t xml:space="preserve"> </w:t>
      </w:r>
      <w:r>
        <w:t>en</w:t>
      </w:r>
      <w:r>
        <w:rPr>
          <w:spacing w:val="-2"/>
        </w:rPr>
        <w:t xml:space="preserve"> </w:t>
      </w:r>
      <w:r>
        <w:t>medio</w:t>
      </w:r>
      <w:r>
        <w:rPr>
          <w:spacing w:val="-3"/>
        </w:rPr>
        <w:t xml:space="preserve"> </w:t>
      </w:r>
      <w:r>
        <w:t>de</w:t>
      </w:r>
      <w:r>
        <w:rPr>
          <w:spacing w:val="-3"/>
        </w:rPr>
        <w:t xml:space="preserve"> </w:t>
      </w:r>
      <w:r>
        <w:t>estos</w:t>
      </w:r>
      <w:r>
        <w:rPr>
          <w:spacing w:val="-2"/>
        </w:rPr>
        <w:t xml:space="preserve"> </w:t>
      </w:r>
      <w:r>
        <w:t>procesos.</w:t>
      </w:r>
      <w:r>
        <w:rPr>
          <w:spacing w:val="-2"/>
        </w:rPr>
        <w:t xml:space="preserve"> </w:t>
      </w:r>
      <w:r>
        <w:t>Sin</w:t>
      </w:r>
      <w:r>
        <w:rPr>
          <w:spacing w:val="-2"/>
        </w:rPr>
        <w:t xml:space="preserve"> </w:t>
      </w:r>
      <w:r>
        <w:t>embargo,</w:t>
      </w:r>
      <w:r>
        <w:rPr>
          <w:spacing w:val="-2"/>
        </w:rPr>
        <w:t xml:space="preserve"> </w:t>
      </w:r>
      <w:r>
        <w:t>el perdón no se trata en ningún caso de un nuevo peso sobre las víctimas, ni es una obligación moral.</w:t>
      </w:r>
      <w:r>
        <w:rPr>
          <w:spacing w:val="-5"/>
        </w:rPr>
        <w:t xml:space="preserve"> </w:t>
      </w:r>
      <w:r>
        <w:t>Muchas</w:t>
      </w:r>
      <w:r>
        <w:rPr>
          <w:spacing w:val="-5"/>
        </w:rPr>
        <w:t xml:space="preserve"> </w:t>
      </w:r>
      <w:r>
        <w:t>víctimas</w:t>
      </w:r>
      <w:r>
        <w:rPr>
          <w:spacing w:val="-6"/>
        </w:rPr>
        <w:t xml:space="preserve"> </w:t>
      </w:r>
      <w:r>
        <w:t>se</w:t>
      </w:r>
      <w:r>
        <w:rPr>
          <w:spacing w:val="-5"/>
        </w:rPr>
        <w:t xml:space="preserve"> </w:t>
      </w:r>
      <w:r>
        <w:t>sienten</w:t>
      </w:r>
      <w:r>
        <w:rPr>
          <w:spacing w:val="-5"/>
        </w:rPr>
        <w:t xml:space="preserve"> </w:t>
      </w:r>
      <w:r>
        <w:t>culpables</w:t>
      </w:r>
      <w:r>
        <w:rPr>
          <w:spacing w:val="-5"/>
        </w:rPr>
        <w:t xml:space="preserve"> </w:t>
      </w:r>
      <w:r>
        <w:t>por</w:t>
      </w:r>
      <w:r>
        <w:rPr>
          <w:spacing w:val="-6"/>
        </w:rPr>
        <w:t xml:space="preserve"> </w:t>
      </w:r>
      <w:r>
        <w:t>el</w:t>
      </w:r>
      <w:r>
        <w:rPr>
          <w:spacing w:val="-4"/>
        </w:rPr>
        <w:t xml:space="preserve"> </w:t>
      </w:r>
      <w:r>
        <w:t>hecho</w:t>
      </w:r>
      <w:r>
        <w:rPr>
          <w:spacing w:val="-5"/>
        </w:rPr>
        <w:t xml:space="preserve"> </w:t>
      </w:r>
      <w:r>
        <w:t>de</w:t>
      </w:r>
      <w:r>
        <w:rPr>
          <w:spacing w:val="-6"/>
        </w:rPr>
        <w:t xml:space="preserve"> </w:t>
      </w:r>
      <w:r>
        <w:t>no</w:t>
      </w:r>
      <w:r>
        <w:rPr>
          <w:spacing w:val="-5"/>
        </w:rPr>
        <w:t xml:space="preserve"> </w:t>
      </w:r>
      <w:r>
        <w:t>poder</w:t>
      </w:r>
      <w:r>
        <w:rPr>
          <w:spacing w:val="-4"/>
        </w:rPr>
        <w:t xml:space="preserve"> </w:t>
      </w:r>
      <w:r>
        <w:t>perdonar,</w:t>
      </w:r>
      <w:r>
        <w:rPr>
          <w:spacing w:val="-5"/>
        </w:rPr>
        <w:t xml:space="preserve"> </w:t>
      </w:r>
      <w:r>
        <w:t>sienten</w:t>
      </w:r>
      <w:r>
        <w:rPr>
          <w:spacing w:val="-5"/>
        </w:rPr>
        <w:t xml:space="preserve"> </w:t>
      </w:r>
      <w:r>
        <w:t>a</w:t>
      </w:r>
      <w:r>
        <w:rPr>
          <w:spacing w:val="-5"/>
        </w:rPr>
        <w:t xml:space="preserve"> </w:t>
      </w:r>
      <w:r>
        <w:t>su alrededor una presión moral y emocional que no les corresponde. Hay víctimas que no perdonan,</w:t>
      </w:r>
      <w:r>
        <w:rPr>
          <w:spacing w:val="-13"/>
        </w:rPr>
        <w:t xml:space="preserve"> </w:t>
      </w:r>
      <w:r>
        <w:t>lo</w:t>
      </w:r>
      <w:r>
        <w:rPr>
          <w:spacing w:val="-14"/>
        </w:rPr>
        <w:t xml:space="preserve"> </w:t>
      </w:r>
      <w:r>
        <w:t>que</w:t>
      </w:r>
      <w:r>
        <w:rPr>
          <w:spacing w:val="-13"/>
        </w:rPr>
        <w:t xml:space="preserve"> </w:t>
      </w:r>
      <w:r>
        <w:t>no</w:t>
      </w:r>
      <w:r>
        <w:rPr>
          <w:spacing w:val="-13"/>
        </w:rPr>
        <w:t xml:space="preserve"> </w:t>
      </w:r>
      <w:r>
        <w:t>significa</w:t>
      </w:r>
      <w:r>
        <w:rPr>
          <w:spacing w:val="-13"/>
        </w:rPr>
        <w:t xml:space="preserve"> </w:t>
      </w:r>
      <w:r>
        <w:t>que</w:t>
      </w:r>
      <w:r>
        <w:rPr>
          <w:spacing w:val="-13"/>
        </w:rPr>
        <w:t xml:space="preserve"> </w:t>
      </w:r>
      <w:r>
        <w:t>no</w:t>
      </w:r>
      <w:r>
        <w:rPr>
          <w:spacing w:val="-13"/>
        </w:rPr>
        <w:t xml:space="preserve"> </w:t>
      </w:r>
      <w:r>
        <w:t>busquen</w:t>
      </w:r>
      <w:r>
        <w:rPr>
          <w:spacing w:val="-13"/>
        </w:rPr>
        <w:t xml:space="preserve"> </w:t>
      </w:r>
      <w:r>
        <w:t>otras</w:t>
      </w:r>
      <w:r>
        <w:rPr>
          <w:spacing w:val="-14"/>
        </w:rPr>
        <w:t xml:space="preserve"> </w:t>
      </w:r>
      <w:r>
        <w:t>maneras</w:t>
      </w:r>
      <w:r>
        <w:rPr>
          <w:spacing w:val="-13"/>
        </w:rPr>
        <w:t xml:space="preserve"> </w:t>
      </w:r>
      <w:r>
        <w:t>de</w:t>
      </w:r>
      <w:r>
        <w:rPr>
          <w:spacing w:val="-14"/>
        </w:rPr>
        <w:t xml:space="preserve"> </w:t>
      </w:r>
      <w:r>
        <w:t>dejar</w:t>
      </w:r>
      <w:r>
        <w:rPr>
          <w:spacing w:val="-14"/>
        </w:rPr>
        <w:t xml:space="preserve"> </w:t>
      </w:r>
      <w:r>
        <w:t>atrás</w:t>
      </w:r>
      <w:r>
        <w:rPr>
          <w:spacing w:val="-13"/>
        </w:rPr>
        <w:t xml:space="preserve"> </w:t>
      </w:r>
      <w:r>
        <w:t>el</w:t>
      </w:r>
      <w:r>
        <w:rPr>
          <w:spacing w:val="-14"/>
        </w:rPr>
        <w:t xml:space="preserve"> </w:t>
      </w:r>
      <w:r>
        <w:t>dolor</w:t>
      </w:r>
      <w:r>
        <w:rPr>
          <w:spacing w:val="-13"/>
        </w:rPr>
        <w:t xml:space="preserve"> </w:t>
      </w:r>
      <w:r>
        <w:t>o</w:t>
      </w:r>
      <w:r>
        <w:rPr>
          <w:spacing w:val="-13"/>
        </w:rPr>
        <w:t xml:space="preserve"> </w:t>
      </w:r>
      <w:r>
        <w:t>que</w:t>
      </w:r>
      <w:r>
        <w:rPr>
          <w:spacing w:val="-15"/>
        </w:rPr>
        <w:t xml:space="preserve"> </w:t>
      </w:r>
      <w:r>
        <w:t>estén en contra de la paz.</w:t>
      </w:r>
    </w:p>
    <w:p w:rsidR="003804AC" w:rsidRDefault="00AF18A5" w:rsidP="00EE1881">
      <w:r>
        <w:t>Un ejemplo de ello tiene que ver con el riesgo que se genera cuando los responsables apresuran</w:t>
      </w:r>
      <w:r>
        <w:rPr>
          <w:spacing w:val="-13"/>
        </w:rPr>
        <w:t xml:space="preserve"> </w:t>
      </w:r>
      <w:r>
        <w:t>la</w:t>
      </w:r>
      <w:r>
        <w:rPr>
          <w:spacing w:val="-14"/>
        </w:rPr>
        <w:t xml:space="preserve"> </w:t>
      </w:r>
      <w:r>
        <w:t>solicitud</w:t>
      </w:r>
      <w:r>
        <w:rPr>
          <w:spacing w:val="-13"/>
        </w:rPr>
        <w:t xml:space="preserve"> </w:t>
      </w:r>
      <w:r>
        <w:t>de</w:t>
      </w:r>
      <w:r>
        <w:rPr>
          <w:spacing w:val="-14"/>
        </w:rPr>
        <w:t xml:space="preserve"> </w:t>
      </w:r>
      <w:r>
        <w:t>perdón,</w:t>
      </w:r>
      <w:r>
        <w:rPr>
          <w:spacing w:val="-13"/>
        </w:rPr>
        <w:t xml:space="preserve"> </w:t>
      </w:r>
      <w:r>
        <w:t>que</w:t>
      </w:r>
      <w:r>
        <w:rPr>
          <w:spacing w:val="-14"/>
        </w:rPr>
        <w:t xml:space="preserve"> </w:t>
      </w:r>
      <w:r>
        <w:t>pone</w:t>
      </w:r>
      <w:r>
        <w:rPr>
          <w:spacing w:val="-13"/>
        </w:rPr>
        <w:t xml:space="preserve"> </w:t>
      </w:r>
      <w:r>
        <w:t>sobre</w:t>
      </w:r>
      <w:r>
        <w:rPr>
          <w:spacing w:val="-13"/>
        </w:rPr>
        <w:t xml:space="preserve"> </w:t>
      </w:r>
      <w:r>
        <w:t>las</w:t>
      </w:r>
      <w:r>
        <w:rPr>
          <w:spacing w:val="-13"/>
        </w:rPr>
        <w:t xml:space="preserve"> </w:t>
      </w:r>
      <w:r>
        <w:t>víctimas</w:t>
      </w:r>
      <w:r>
        <w:rPr>
          <w:spacing w:val="-13"/>
        </w:rPr>
        <w:t xml:space="preserve"> </w:t>
      </w:r>
      <w:r>
        <w:t>la</w:t>
      </w:r>
      <w:r>
        <w:rPr>
          <w:spacing w:val="-13"/>
        </w:rPr>
        <w:t xml:space="preserve"> </w:t>
      </w:r>
      <w:r>
        <w:t>presión</w:t>
      </w:r>
      <w:r>
        <w:rPr>
          <w:spacing w:val="-13"/>
        </w:rPr>
        <w:t xml:space="preserve"> </w:t>
      </w:r>
      <w:r>
        <w:t>de</w:t>
      </w:r>
      <w:r>
        <w:rPr>
          <w:spacing w:val="-14"/>
        </w:rPr>
        <w:t xml:space="preserve"> </w:t>
      </w:r>
      <w:r>
        <w:t>recibir</w:t>
      </w:r>
      <w:r>
        <w:rPr>
          <w:spacing w:val="-13"/>
        </w:rPr>
        <w:t xml:space="preserve"> </w:t>
      </w:r>
      <w:r>
        <w:t>y</w:t>
      </w:r>
      <w:r>
        <w:rPr>
          <w:spacing w:val="-13"/>
        </w:rPr>
        <w:t xml:space="preserve"> </w:t>
      </w:r>
      <w:r>
        <w:t>responder a una petición que no tiene en cuenta sus necesidades. Cuando los participantes de ambos lados comprenden que el perdón no es un prerrequisito para el diálogo, se ponen las bases para que el proceso se pueda realizar. Lo mismo sucede en el ámbito social. Más que tener una receta para estos procesos, la Comisión ha tratado de activar estas conversaciones y escuchas</w:t>
      </w:r>
      <w:r>
        <w:rPr>
          <w:spacing w:val="-7"/>
        </w:rPr>
        <w:t xml:space="preserve"> </w:t>
      </w:r>
      <w:r>
        <w:t>como</w:t>
      </w:r>
      <w:r>
        <w:rPr>
          <w:spacing w:val="-6"/>
        </w:rPr>
        <w:t xml:space="preserve"> </w:t>
      </w:r>
      <w:r>
        <w:t>parte</w:t>
      </w:r>
      <w:r>
        <w:rPr>
          <w:spacing w:val="-7"/>
        </w:rPr>
        <w:t xml:space="preserve"> </w:t>
      </w:r>
      <w:r>
        <w:t>del</w:t>
      </w:r>
      <w:r>
        <w:rPr>
          <w:spacing w:val="-7"/>
        </w:rPr>
        <w:t xml:space="preserve"> </w:t>
      </w:r>
      <w:r>
        <w:t>camino</w:t>
      </w:r>
      <w:r>
        <w:rPr>
          <w:spacing w:val="-6"/>
        </w:rPr>
        <w:t xml:space="preserve"> </w:t>
      </w:r>
      <w:r>
        <w:t>de</w:t>
      </w:r>
      <w:r>
        <w:rPr>
          <w:spacing w:val="-7"/>
        </w:rPr>
        <w:t xml:space="preserve"> </w:t>
      </w:r>
      <w:r>
        <w:t>salida</w:t>
      </w:r>
      <w:r>
        <w:rPr>
          <w:spacing w:val="-7"/>
        </w:rPr>
        <w:t xml:space="preserve"> </w:t>
      </w:r>
      <w:r>
        <w:t>de</w:t>
      </w:r>
      <w:r>
        <w:rPr>
          <w:spacing w:val="-7"/>
        </w:rPr>
        <w:t xml:space="preserve"> </w:t>
      </w:r>
      <w:r>
        <w:t>la</w:t>
      </w:r>
      <w:r>
        <w:rPr>
          <w:spacing w:val="-6"/>
        </w:rPr>
        <w:t xml:space="preserve"> </w:t>
      </w:r>
      <w:r>
        <w:t>guerra,</w:t>
      </w:r>
      <w:r>
        <w:rPr>
          <w:spacing w:val="-7"/>
        </w:rPr>
        <w:t xml:space="preserve"> </w:t>
      </w:r>
      <w:r>
        <w:t>que</w:t>
      </w:r>
      <w:r>
        <w:rPr>
          <w:spacing w:val="-6"/>
        </w:rPr>
        <w:t xml:space="preserve"> </w:t>
      </w:r>
      <w:r>
        <w:t>no</w:t>
      </w:r>
      <w:r>
        <w:rPr>
          <w:spacing w:val="-6"/>
        </w:rPr>
        <w:t xml:space="preserve"> </w:t>
      </w:r>
      <w:r>
        <w:t>puede</w:t>
      </w:r>
      <w:r>
        <w:rPr>
          <w:spacing w:val="-6"/>
        </w:rPr>
        <w:t xml:space="preserve"> </w:t>
      </w:r>
      <w:r>
        <w:t>darse,</w:t>
      </w:r>
      <w:r>
        <w:rPr>
          <w:spacing w:val="-6"/>
        </w:rPr>
        <w:t xml:space="preserve"> </w:t>
      </w:r>
      <w:r>
        <w:t>como</w:t>
      </w:r>
      <w:r>
        <w:rPr>
          <w:spacing w:val="-7"/>
        </w:rPr>
        <w:t xml:space="preserve"> </w:t>
      </w:r>
      <w:r>
        <w:t>sucedió</w:t>
      </w:r>
      <w:r>
        <w:rPr>
          <w:spacing w:val="-6"/>
        </w:rPr>
        <w:t xml:space="preserve"> </w:t>
      </w:r>
      <w:r>
        <w:t>en otros ciclos de violencia del país, con impunidad y olvido.</w:t>
      </w:r>
    </w:p>
    <w:p w:rsidR="003804AC" w:rsidRDefault="00AF18A5" w:rsidP="001A1378">
      <w:r>
        <w:t>Los procesos de reconocimiento no tienen como objetivo directo la reconciliación de las partes ni de la sociedad. La reconciliación en sus diferentes significados, de afrontar las fracturas que dejó la guerra en el tejido social, hacer cuentas con el pasado por parte de los responsables,</w:t>
      </w:r>
      <w:r>
        <w:rPr>
          <w:spacing w:val="-6"/>
        </w:rPr>
        <w:t xml:space="preserve"> </w:t>
      </w:r>
      <w:r>
        <w:t>poner</w:t>
      </w:r>
      <w:r>
        <w:rPr>
          <w:spacing w:val="-5"/>
        </w:rPr>
        <w:t xml:space="preserve"> </w:t>
      </w:r>
      <w:r>
        <w:t>las</w:t>
      </w:r>
      <w:r>
        <w:rPr>
          <w:spacing w:val="-6"/>
        </w:rPr>
        <w:t xml:space="preserve"> </w:t>
      </w:r>
      <w:r>
        <w:t>bases</w:t>
      </w:r>
      <w:r>
        <w:rPr>
          <w:spacing w:val="-6"/>
        </w:rPr>
        <w:t xml:space="preserve"> </w:t>
      </w:r>
      <w:r>
        <w:t>políticas</w:t>
      </w:r>
      <w:r>
        <w:rPr>
          <w:spacing w:val="-6"/>
        </w:rPr>
        <w:t xml:space="preserve"> </w:t>
      </w:r>
      <w:r>
        <w:t>para</w:t>
      </w:r>
      <w:r>
        <w:rPr>
          <w:spacing w:val="-7"/>
        </w:rPr>
        <w:t xml:space="preserve"> </w:t>
      </w:r>
      <w:r>
        <w:t>la</w:t>
      </w:r>
      <w:r>
        <w:rPr>
          <w:spacing w:val="-7"/>
        </w:rPr>
        <w:t xml:space="preserve"> </w:t>
      </w:r>
      <w:r>
        <w:t>reconstrucción</w:t>
      </w:r>
      <w:r>
        <w:rPr>
          <w:spacing w:val="-7"/>
        </w:rPr>
        <w:t xml:space="preserve"> </w:t>
      </w:r>
      <w:r>
        <w:t>de</w:t>
      </w:r>
      <w:r>
        <w:rPr>
          <w:spacing w:val="-6"/>
        </w:rPr>
        <w:t xml:space="preserve"> </w:t>
      </w:r>
      <w:r>
        <w:t>la</w:t>
      </w:r>
      <w:r>
        <w:rPr>
          <w:spacing w:val="-7"/>
        </w:rPr>
        <w:t xml:space="preserve"> </w:t>
      </w:r>
      <w:r>
        <w:t>convivencia</w:t>
      </w:r>
      <w:r>
        <w:rPr>
          <w:spacing w:val="-6"/>
        </w:rPr>
        <w:t xml:space="preserve"> </w:t>
      </w:r>
      <w:r>
        <w:t>o</w:t>
      </w:r>
      <w:r>
        <w:rPr>
          <w:spacing w:val="-7"/>
        </w:rPr>
        <w:t xml:space="preserve"> </w:t>
      </w:r>
      <w:r>
        <w:t>restablecer relaciones rotas por la violencia y la exclusión histórica asociada a ella, forma parte del camino</w:t>
      </w:r>
      <w:r>
        <w:rPr>
          <w:spacing w:val="-10"/>
        </w:rPr>
        <w:t xml:space="preserve"> </w:t>
      </w:r>
      <w:r>
        <w:t>que</w:t>
      </w:r>
      <w:r>
        <w:rPr>
          <w:spacing w:val="-9"/>
        </w:rPr>
        <w:t xml:space="preserve"> </w:t>
      </w:r>
      <w:r>
        <w:t>Colombia</w:t>
      </w:r>
      <w:r>
        <w:rPr>
          <w:spacing w:val="-9"/>
        </w:rPr>
        <w:t xml:space="preserve"> </w:t>
      </w:r>
      <w:r>
        <w:t>está</w:t>
      </w:r>
      <w:r>
        <w:rPr>
          <w:spacing w:val="-9"/>
        </w:rPr>
        <w:t xml:space="preserve"> </w:t>
      </w:r>
      <w:r>
        <w:t>recorriendo,</w:t>
      </w:r>
      <w:r>
        <w:rPr>
          <w:spacing w:val="-9"/>
        </w:rPr>
        <w:t xml:space="preserve"> </w:t>
      </w:r>
      <w:r>
        <w:t>y</w:t>
      </w:r>
      <w:r>
        <w:rPr>
          <w:spacing w:val="-9"/>
        </w:rPr>
        <w:t xml:space="preserve"> </w:t>
      </w:r>
      <w:r>
        <w:t>el</w:t>
      </w:r>
      <w:r>
        <w:rPr>
          <w:spacing w:val="-9"/>
        </w:rPr>
        <w:t xml:space="preserve"> </w:t>
      </w:r>
      <w:r>
        <w:t>trabajo</w:t>
      </w:r>
      <w:r>
        <w:rPr>
          <w:spacing w:val="-9"/>
        </w:rPr>
        <w:t xml:space="preserve"> </w:t>
      </w:r>
      <w:r>
        <w:t>de</w:t>
      </w:r>
      <w:r>
        <w:rPr>
          <w:spacing w:val="-9"/>
        </w:rPr>
        <w:t xml:space="preserve"> </w:t>
      </w:r>
      <w:r>
        <w:t>la</w:t>
      </w:r>
      <w:r>
        <w:rPr>
          <w:spacing w:val="-9"/>
        </w:rPr>
        <w:t xml:space="preserve"> </w:t>
      </w:r>
      <w:r>
        <w:t>Comisión</w:t>
      </w:r>
      <w:r>
        <w:rPr>
          <w:spacing w:val="-9"/>
        </w:rPr>
        <w:t xml:space="preserve"> </w:t>
      </w:r>
      <w:r>
        <w:t>ha</w:t>
      </w:r>
      <w:r>
        <w:rPr>
          <w:spacing w:val="-9"/>
        </w:rPr>
        <w:t xml:space="preserve"> </w:t>
      </w:r>
      <w:r>
        <w:t>sido</w:t>
      </w:r>
      <w:r>
        <w:rPr>
          <w:spacing w:val="-10"/>
        </w:rPr>
        <w:t xml:space="preserve"> </w:t>
      </w:r>
      <w:r>
        <w:t>un</w:t>
      </w:r>
      <w:r>
        <w:rPr>
          <w:spacing w:val="-9"/>
        </w:rPr>
        <w:t xml:space="preserve"> </w:t>
      </w:r>
      <w:r>
        <w:t>fuerte</w:t>
      </w:r>
      <w:r>
        <w:rPr>
          <w:spacing w:val="-9"/>
        </w:rPr>
        <w:t xml:space="preserve"> </w:t>
      </w:r>
      <w:r>
        <w:t>impulso para conseguirla.</w:t>
      </w:r>
    </w:p>
    <w:p w:rsidR="003804AC" w:rsidRDefault="00AF18A5" w:rsidP="001A1378">
      <w:r>
        <w:t>La</w:t>
      </w:r>
      <w:r>
        <w:rPr>
          <w:spacing w:val="-9"/>
        </w:rPr>
        <w:t xml:space="preserve"> </w:t>
      </w:r>
      <w:r>
        <w:t>reparación</w:t>
      </w:r>
      <w:r>
        <w:rPr>
          <w:spacing w:val="-9"/>
        </w:rPr>
        <w:t xml:space="preserve"> </w:t>
      </w:r>
      <w:r>
        <w:t>para</w:t>
      </w:r>
      <w:r>
        <w:rPr>
          <w:spacing w:val="-9"/>
        </w:rPr>
        <w:t xml:space="preserve"> </w:t>
      </w:r>
      <w:r>
        <w:t>las</w:t>
      </w:r>
      <w:r>
        <w:rPr>
          <w:spacing w:val="-10"/>
        </w:rPr>
        <w:t xml:space="preserve"> </w:t>
      </w:r>
      <w:r>
        <w:t>víctimas</w:t>
      </w:r>
      <w:r>
        <w:rPr>
          <w:spacing w:val="-9"/>
        </w:rPr>
        <w:t xml:space="preserve"> </w:t>
      </w:r>
      <w:r>
        <w:t>es</w:t>
      </w:r>
      <w:r>
        <w:rPr>
          <w:spacing w:val="-9"/>
        </w:rPr>
        <w:t xml:space="preserve"> </w:t>
      </w:r>
      <w:r>
        <w:t>una</w:t>
      </w:r>
      <w:r>
        <w:rPr>
          <w:spacing w:val="-9"/>
        </w:rPr>
        <w:t xml:space="preserve"> </w:t>
      </w:r>
      <w:r>
        <w:t>forma</w:t>
      </w:r>
      <w:r>
        <w:rPr>
          <w:spacing w:val="-9"/>
        </w:rPr>
        <w:t xml:space="preserve"> </w:t>
      </w:r>
      <w:r>
        <w:t>de</w:t>
      </w:r>
      <w:r>
        <w:rPr>
          <w:spacing w:val="-9"/>
        </w:rPr>
        <w:t xml:space="preserve"> </w:t>
      </w:r>
      <w:r>
        <w:t>no</w:t>
      </w:r>
      <w:r>
        <w:rPr>
          <w:spacing w:val="-9"/>
        </w:rPr>
        <w:t xml:space="preserve"> </w:t>
      </w:r>
      <w:r>
        <w:t>dejarlas</w:t>
      </w:r>
      <w:r>
        <w:rPr>
          <w:spacing w:val="-9"/>
        </w:rPr>
        <w:t xml:space="preserve"> </w:t>
      </w:r>
      <w:r>
        <w:t>en</w:t>
      </w:r>
      <w:r>
        <w:rPr>
          <w:spacing w:val="-10"/>
        </w:rPr>
        <w:t xml:space="preserve"> </w:t>
      </w:r>
      <w:r>
        <w:t>la</w:t>
      </w:r>
      <w:r>
        <w:rPr>
          <w:spacing w:val="-9"/>
        </w:rPr>
        <w:t xml:space="preserve"> </w:t>
      </w:r>
      <w:r>
        <w:t>cuneta</w:t>
      </w:r>
      <w:r>
        <w:rPr>
          <w:spacing w:val="-9"/>
        </w:rPr>
        <w:t xml:space="preserve"> </w:t>
      </w:r>
      <w:r>
        <w:lastRenderedPageBreak/>
        <w:t>de</w:t>
      </w:r>
      <w:r>
        <w:rPr>
          <w:spacing w:val="-9"/>
        </w:rPr>
        <w:t xml:space="preserve"> </w:t>
      </w:r>
      <w:r>
        <w:t>la</w:t>
      </w:r>
      <w:r>
        <w:rPr>
          <w:spacing w:val="-9"/>
        </w:rPr>
        <w:t xml:space="preserve"> </w:t>
      </w:r>
      <w:r>
        <w:t>historia.</w:t>
      </w:r>
      <w:r>
        <w:rPr>
          <w:spacing w:val="-10"/>
        </w:rPr>
        <w:t xml:space="preserve"> </w:t>
      </w:r>
      <w:r>
        <w:t>Sus verdades, sufrimientos y formas de resistencia y agenda política son una de las bases más sólidas</w:t>
      </w:r>
      <w:r>
        <w:rPr>
          <w:spacing w:val="-1"/>
        </w:rPr>
        <w:t xml:space="preserve"> </w:t>
      </w:r>
      <w:r>
        <w:t>para</w:t>
      </w:r>
      <w:r>
        <w:rPr>
          <w:spacing w:val="-2"/>
        </w:rPr>
        <w:t xml:space="preserve"> </w:t>
      </w:r>
      <w:r>
        <w:t>cualquier</w:t>
      </w:r>
      <w:r>
        <w:rPr>
          <w:spacing w:val="-1"/>
        </w:rPr>
        <w:t xml:space="preserve"> </w:t>
      </w:r>
      <w:r>
        <w:t>proceso</w:t>
      </w:r>
      <w:r>
        <w:rPr>
          <w:spacing w:val="-1"/>
        </w:rPr>
        <w:t xml:space="preserve"> </w:t>
      </w:r>
      <w:r>
        <w:t>de</w:t>
      </w:r>
      <w:r>
        <w:rPr>
          <w:spacing w:val="-1"/>
        </w:rPr>
        <w:t xml:space="preserve"> </w:t>
      </w:r>
      <w:r>
        <w:t>reconstrucción</w:t>
      </w:r>
      <w:r>
        <w:rPr>
          <w:spacing w:val="-2"/>
        </w:rPr>
        <w:t xml:space="preserve"> </w:t>
      </w:r>
      <w:r>
        <w:t>de</w:t>
      </w:r>
      <w:r>
        <w:rPr>
          <w:spacing w:val="-1"/>
        </w:rPr>
        <w:t xml:space="preserve"> </w:t>
      </w:r>
      <w:r>
        <w:t>la</w:t>
      </w:r>
      <w:r>
        <w:rPr>
          <w:spacing w:val="-1"/>
        </w:rPr>
        <w:t xml:space="preserve"> </w:t>
      </w:r>
      <w:r>
        <w:t>convivencia.</w:t>
      </w:r>
      <w:r>
        <w:rPr>
          <w:spacing w:val="-1"/>
        </w:rPr>
        <w:t xml:space="preserve"> </w:t>
      </w:r>
      <w:r>
        <w:t>Los</w:t>
      </w:r>
      <w:r>
        <w:rPr>
          <w:spacing w:val="-1"/>
        </w:rPr>
        <w:t xml:space="preserve"> </w:t>
      </w:r>
      <w:r>
        <w:t>reconocimientos</w:t>
      </w:r>
      <w:r>
        <w:rPr>
          <w:spacing w:val="-1"/>
        </w:rPr>
        <w:t xml:space="preserve"> </w:t>
      </w:r>
      <w:r>
        <w:t>de responsabilidad,</w:t>
      </w:r>
      <w:r>
        <w:rPr>
          <w:spacing w:val="-15"/>
        </w:rPr>
        <w:t xml:space="preserve"> </w:t>
      </w:r>
      <w:r>
        <w:t>más</w:t>
      </w:r>
      <w:r>
        <w:rPr>
          <w:spacing w:val="-15"/>
        </w:rPr>
        <w:t xml:space="preserve"> </w:t>
      </w:r>
      <w:r>
        <w:t>que</w:t>
      </w:r>
      <w:r>
        <w:rPr>
          <w:spacing w:val="-15"/>
        </w:rPr>
        <w:t xml:space="preserve"> </w:t>
      </w:r>
      <w:r>
        <w:t>una</w:t>
      </w:r>
      <w:r>
        <w:rPr>
          <w:spacing w:val="-15"/>
        </w:rPr>
        <w:t xml:space="preserve"> </w:t>
      </w:r>
      <w:r>
        <w:t>narrativa</w:t>
      </w:r>
      <w:r>
        <w:rPr>
          <w:spacing w:val="-15"/>
        </w:rPr>
        <w:t xml:space="preserve"> </w:t>
      </w:r>
      <w:r>
        <w:t>paralela</w:t>
      </w:r>
      <w:r>
        <w:rPr>
          <w:spacing w:val="-15"/>
        </w:rPr>
        <w:t xml:space="preserve"> </w:t>
      </w:r>
      <w:r>
        <w:t>de</w:t>
      </w:r>
      <w:r>
        <w:rPr>
          <w:spacing w:val="-15"/>
        </w:rPr>
        <w:t xml:space="preserve"> </w:t>
      </w:r>
      <w:r>
        <w:t>la</w:t>
      </w:r>
      <w:r>
        <w:rPr>
          <w:spacing w:val="-15"/>
        </w:rPr>
        <w:t xml:space="preserve"> </w:t>
      </w:r>
      <w:r>
        <w:t>reconciliación,</w:t>
      </w:r>
      <w:r>
        <w:rPr>
          <w:spacing w:val="-15"/>
        </w:rPr>
        <w:t xml:space="preserve"> </w:t>
      </w:r>
      <w:r>
        <w:t>construyen</w:t>
      </w:r>
      <w:r>
        <w:rPr>
          <w:spacing w:val="-15"/>
        </w:rPr>
        <w:t xml:space="preserve"> </w:t>
      </w:r>
      <w:r>
        <w:t>una</w:t>
      </w:r>
      <w:r>
        <w:rPr>
          <w:spacing w:val="-15"/>
        </w:rPr>
        <w:t xml:space="preserve"> </w:t>
      </w:r>
      <w:r>
        <w:t>narrativa de contradicciones, del conflicto, de la humanidad, pero sobre todo de la inutilidad de la violencia.</w:t>
      </w:r>
      <w:r>
        <w:rPr>
          <w:spacing w:val="-6"/>
        </w:rPr>
        <w:t xml:space="preserve"> </w:t>
      </w:r>
      <w:r>
        <w:t>Son</w:t>
      </w:r>
      <w:r>
        <w:rPr>
          <w:spacing w:val="-6"/>
        </w:rPr>
        <w:t xml:space="preserve"> </w:t>
      </w:r>
      <w:r>
        <w:t>también</w:t>
      </w:r>
      <w:r>
        <w:rPr>
          <w:spacing w:val="-7"/>
        </w:rPr>
        <w:t xml:space="preserve"> </w:t>
      </w:r>
      <w:r>
        <w:t>un</w:t>
      </w:r>
      <w:r>
        <w:rPr>
          <w:spacing w:val="-6"/>
        </w:rPr>
        <w:t xml:space="preserve"> </w:t>
      </w:r>
      <w:r>
        <w:t>llamado</w:t>
      </w:r>
      <w:r>
        <w:rPr>
          <w:spacing w:val="-7"/>
        </w:rPr>
        <w:t xml:space="preserve"> </w:t>
      </w:r>
      <w:r>
        <w:t>a</w:t>
      </w:r>
      <w:r>
        <w:rPr>
          <w:spacing w:val="-6"/>
        </w:rPr>
        <w:t xml:space="preserve"> </w:t>
      </w:r>
      <w:r>
        <w:t>la</w:t>
      </w:r>
      <w:r>
        <w:rPr>
          <w:spacing w:val="-6"/>
        </w:rPr>
        <w:t xml:space="preserve"> </w:t>
      </w:r>
      <w:r>
        <w:t>construcción</w:t>
      </w:r>
      <w:r>
        <w:rPr>
          <w:spacing w:val="-6"/>
        </w:rPr>
        <w:t xml:space="preserve"> </w:t>
      </w:r>
      <w:r>
        <w:t>de</w:t>
      </w:r>
      <w:r>
        <w:rPr>
          <w:spacing w:val="-6"/>
        </w:rPr>
        <w:t xml:space="preserve"> </w:t>
      </w:r>
      <w:r>
        <w:t>paz</w:t>
      </w:r>
      <w:r>
        <w:rPr>
          <w:spacing w:val="-7"/>
        </w:rPr>
        <w:t xml:space="preserve"> </w:t>
      </w:r>
      <w:r>
        <w:t>desde</w:t>
      </w:r>
      <w:r>
        <w:rPr>
          <w:spacing w:val="-6"/>
        </w:rPr>
        <w:t xml:space="preserve"> </w:t>
      </w:r>
      <w:r>
        <w:t>abajo</w:t>
      </w:r>
      <w:r>
        <w:rPr>
          <w:spacing w:val="-6"/>
        </w:rPr>
        <w:t xml:space="preserve"> </w:t>
      </w:r>
      <w:r>
        <w:t>y</w:t>
      </w:r>
      <w:r>
        <w:rPr>
          <w:spacing w:val="-6"/>
        </w:rPr>
        <w:t xml:space="preserve"> </w:t>
      </w:r>
      <w:r>
        <w:t>desde</w:t>
      </w:r>
      <w:r>
        <w:rPr>
          <w:spacing w:val="-6"/>
        </w:rPr>
        <w:t xml:space="preserve"> </w:t>
      </w:r>
      <w:r>
        <w:t>los</w:t>
      </w:r>
      <w:r>
        <w:rPr>
          <w:spacing w:val="-7"/>
        </w:rPr>
        <w:t xml:space="preserve"> </w:t>
      </w:r>
      <w:r>
        <w:t>distintos sectores sociales convocados para la superación de la guerra, el cumplimiento del Acuerdo de Paz y su extensión a otros actores que aún están en la confrontación. Las lecciones que surgen de estos procesos de reconocimiento por parte de los responsables, lo son también para la sociedad y sus instituciones.</w:t>
      </w:r>
    </w:p>
    <w:p w:rsidR="001A1378" w:rsidRDefault="00AF18A5" w:rsidP="001A1378">
      <w:r>
        <w:t xml:space="preserve">Los reconocimientos de responsabilidad son un mecanismo idóneo para </w:t>
      </w:r>
      <w:proofErr w:type="spellStart"/>
      <w:r>
        <w:t>desescalar</w:t>
      </w:r>
      <w:proofErr w:type="spellEnd"/>
      <w:r>
        <w:t xml:space="preserve"> la violencia y sentar las bases de la transformación. La finalidad de los reconocimientos, en términos más amplios, es constituirse en un fundamento ético de la transformación social hacia la paz.</w:t>
      </w:r>
    </w:p>
    <w:p w:rsidR="001A1378" w:rsidRDefault="001A1378">
      <w:pPr>
        <w:spacing w:before="0" w:after="0" w:line="240" w:lineRule="auto"/>
      </w:pPr>
      <w:r>
        <w:br w:type="page"/>
      </w:r>
    </w:p>
    <w:p w:rsidR="0011361F" w:rsidRDefault="00AF18A5" w:rsidP="001A1378">
      <w:pPr>
        <w:pStyle w:val="Ttulo3"/>
      </w:pPr>
      <w:bookmarkStart w:id="1479" w:name="_Toc112399674"/>
      <w:r>
        <w:lastRenderedPageBreak/>
        <w:t>Bibliografía</w:t>
      </w:r>
      <w:bookmarkEnd w:id="1479"/>
    </w:p>
    <w:p w:rsidR="003804AC" w:rsidRDefault="00AF18A5" w:rsidP="001A1378">
      <w:r>
        <w:t xml:space="preserve">Comisión de la Verdad. «Construyendo caminos de dignificación y no repetición en Acevedo, Huila». 17 de septiembre de 2021. Video. </w:t>
      </w:r>
      <w:r>
        <w:rPr>
          <w:spacing w:val="-2"/>
        </w:rPr>
        <w:t>https://</w:t>
      </w:r>
      <w:r w:rsidR="00E27A60" w:rsidRPr="001A1378">
        <w:rPr>
          <w:spacing w:val="-2"/>
        </w:rPr>
        <w:t>www.youtube.com/watch?v=fI5atd36NoA</w:t>
      </w:r>
    </w:p>
    <w:p w:rsidR="003804AC" w:rsidRDefault="00AF18A5" w:rsidP="001A1378">
      <w:r>
        <w:t>———.</w:t>
      </w:r>
      <w:r>
        <w:rPr>
          <w:spacing w:val="-7"/>
        </w:rPr>
        <w:t xml:space="preserve"> </w:t>
      </w:r>
      <w:r>
        <w:t>«Contribución</w:t>
      </w:r>
      <w:r>
        <w:rPr>
          <w:spacing w:val="-8"/>
        </w:rPr>
        <w:t xml:space="preserve"> </w:t>
      </w:r>
      <w:r>
        <w:t>a</w:t>
      </w:r>
      <w:r>
        <w:rPr>
          <w:spacing w:val="-7"/>
        </w:rPr>
        <w:t xml:space="preserve"> </w:t>
      </w:r>
      <w:r>
        <w:t>la</w:t>
      </w:r>
      <w:r>
        <w:rPr>
          <w:spacing w:val="-7"/>
        </w:rPr>
        <w:t xml:space="preserve"> </w:t>
      </w:r>
      <w:r>
        <w:t>verdad</w:t>
      </w:r>
      <w:r>
        <w:rPr>
          <w:spacing w:val="-7"/>
        </w:rPr>
        <w:t xml:space="preserve"> </w:t>
      </w:r>
      <w:r>
        <w:t>y</w:t>
      </w:r>
      <w:r>
        <w:rPr>
          <w:spacing w:val="-8"/>
        </w:rPr>
        <w:t xml:space="preserve"> </w:t>
      </w:r>
      <w:r>
        <w:t>reconocimiento</w:t>
      </w:r>
      <w:r>
        <w:rPr>
          <w:spacing w:val="-7"/>
        </w:rPr>
        <w:t xml:space="preserve"> </w:t>
      </w:r>
      <w:r>
        <w:t>de</w:t>
      </w:r>
      <w:r>
        <w:rPr>
          <w:spacing w:val="-7"/>
        </w:rPr>
        <w:t xml:space="preserve"> </w:t>
      </w:r>
      <w:r>
        <w:t>responsabilidades</w:t>
      </w:r>
      <w:r>
        <w:rPr>
          <w:spacing w:val="-7"/>
        </w:rPr>
        <w:t xml:space="preserve"> </w:t>
      </w:r>
      <w:r>
        <w:t>de</w:t>
      </w:r>
      <w:r>
        <w:rPr>
          <w:spacing w:val="-7"/>
        </w:rPr>
        <w:t xml:space="preserve"> </w:t>
      </w:r>
      <w:r>
        <w:t>integrantes</w:t>
      </w:r>
      <w:r>
        <w:rPr>
          <w:spacing w:val="-7"/>
        </w:rPr>
        <w:t xml:space="preserve"> </w:t>
      </w:r>
      <w:r>
        <w:t xml:space="preserve">del </w:t>
      </w:r>
      <w:r>
        <w:rPr>
          <w:spacing w:val="-2"/>
        </w:rPr>
        <w:t>Ejército».</w:t>
      </w:r>
      <w:r>
        <w:tab/>
      </w:r>
      <w:r>
        <w:rPr>
          <w:spacing w:val="-10"/>
        </w:rPr>
        <w:t>1</w:t>
      </w:r>
      <w:r>
        <w:tab/>
      </w:r>
      <w:r>
        <w:rPr>
          <w:spacing w:val="-6"/>
        </w:rPr>
        <w:t>de</w:t>
      </w:r>
      <w:r>
        <w:tab/>
      </w:r>
      <w:r>
        <w:rPr>
          <w:spacing w:val="-2"/>
        </w:rPr>
        <w:t>diciembre</w:t>
      </w:r>
      <w:r>
        <w:tab/>
      </w:r>
      <w:r>
        <w:rPr>
          <w:spacing w:val="-6"/>
        </w:rPr>
        <w:t>de</w:t>
      </w:r>
      <w:r>
        <w:tab/>
      </w:r>
      <w:r>
        <w:rPr>
          <w:spacing w:val="-2"/>
        </w:rPr>
        <w:t>2021.</w:t>
      </w:r>
      <w:r>
        <w:tab/>
      </w:r>
      <w:r>
        <w:rPr>
          <w:spacing w:val="-2"/>
        </w:rPr>
        <w:t>Video. https://</w:t>
      </w:r>
      <w:hyperlink r:id="rId210">
        <w:r>
          <w:rPr>
            <w:spacing w:val="-2"/>
          </w:rPr>
          <w:t>www.youtube.com/watch?v=btImBC0QlSQ</w:t>
        </w:r>
      </w:hyperlink>
    </w:p>
    <w:p w:rsidR="003804AC" w:rsidRPr="00F9308F" w:rsidRDefault="00AF18A5" w:rsidP="001A1378">
      <w:pPr>
        <w:rPr>
          <w:lang w:val="pt-BR"/>
        </w:rPr>
      </w:pPr>
      <w:r>
        <w:t>———.</w:t>
      </w:r>
      <w:r>
        <w:rPr>
          <w:spacing w:val="-9"/>
        </w:rPr>
        <w:t xml:space="preserve"> </w:t>
      </w:r>
      <w:r>
        <w:t>«Encuentro</w:t>
      </w:r>
      <w:r>
        <w:rPr>
          <w:spacing w:val="-9"/>
        </w:rPr>
        <w:t xml:space="preserve"> </w:t>
      </w:r>
      <w:r>
        <w:t>por</w:t>
      </w:r>
      <w:r>
        <w:rPr>
          <w:spacing w:val="-9"/>
        </w:rPr>
        <w:t xml:space="preserve"> </w:t>
      </w:r>
      <w:r>
        <w:t>la</w:t>
      </w:r>
      <w:r>
        <w:rPr>
          <w:spacing w:val="-9"/>
        </w:rPr>
        <w:t xml:space="preserve"> </w:t>
      </w:r>
      <w:r>
        <w:t>Verdad</w:t>
      </w:r>
      <w:r>
        <w:rPr>
          <w:spacing w:val="-9"/>
        </w:rPr>
        <w:t xml:space="preserve"> </w:t>
      </w:r>
      <w:r>
        <w:t>‘El</w:t>
      </w:r>
      <w:r>
        <w:rPr>
          <w:spacing w:val="-10"/>
        </w:rPr>
        <w:t xml:space="preserve"> </w:t>
      </w:r>
      <w:r>
        <w:t>valor</w:t>
      </w:r>
      <w:r>
        <w:rPr>
          <w:spacing w:val="-9"/>
        </w:rPr>
        <w:t xml:space="preserve"> </w:t>
      </w:r>
      <w:r>
        <w:t>de</w:t>
      </w:r>
      <w:r>
        <w:rPr>
          <w:spacing w:val="-9"/>
        </w:rPr>
        <w:t xml:space="preserve"> </w:t>
      </w:r>
      <w:r>
        <w:t>la</w:t>
      </w:r>
      <w:r>
        <w:rPr>
          <w:spacing w:val="-10"/>
        </w:rPr>
        <w:t xml:space="preserve"> </w:t>
      </w:r>
      <w:r>
        <w:t>verdad</w:t>
      </w:r>
      <w:r>
        <w:rPr>
          <w:spacing w:val="-9"/>
        </w:rPr>
        <w:t xml:space="preserve"> </w:t>
      </w:r>
      <w:r>
        <w:t>en</w:t>
      </w:r>
      <w:r>
        <w:rPr>
          <w:spacing w:val="-11"/>
        </w:rPr>
        <w:t xml:space="preserve"> </w:t>
      </w:r>
      <w:r>
        <w:t>la</w:t>
      </w:r>
      <w:r>
        <w:rPr>
          <w:spacing w:val="-10"/>
        </w:rPr>
        <w:t xml:space="preserve"> </w:t>
      </w:r>
      <w:r>
        <w:t>búsqueda</w:t>
      </w:r>
      <w:r>
        <w:rPr>
          <w:spacing w:val="-9"/>
        </w:rPr>
        <w:t xml:space="preserve"> </w:t>
      </w:r>
      <w:r>
        <w:t>de</w:t>
      </w:r>
      <w:r>
        <w:rPr>
          <w:spacing w:val="-10"/>
        </w:rPr>
        <w:t xml:space="preserve"> </w:t>
      </w:r>
      <w:r>
        <w:t>desaparecidos</w:t>
      </w:r>
      <w:r>
        <w:rPr>
          <w:spacing w:val="-9"/>
        </w:rPr>
        <w:t xml:space="preserve"> </w:t>
      </w:r>
      <w:r>
        <w:t xml:space="preserve">en Palestina, Huila’». </w:t>
      </w:r>
      <w:r w:rsidRPr="00F9308F">
        <w:rPr>
          <w:lang w:val="pt-BR"/>
        </w:rPr>
        <w:t xml:space="preserve">15 de agosto de 2021. </w:t>
      </w:r>
      <w:proofErr w:type="spellStart"/>
      <w:r w:rsidRPr="00F9308F">
        <w:rPr>
          <w:lang w:val="pt-BR"/>
        </w:rPr>
        <w:t>Video</w:t>
      </w:r>
      <w:proofErr w:type="spellEnd"/>
      <w:r w:rsidRPr="00F9308F">
        <w:rPr>
          <w:lang w:val="pt-BR"/>
        </w:rPr>
        <w:t xml:space="preserve">. </w:t>
      </w:r>
      <w:r w:rsidRPr="00F9308F">
        <w:rPr>
          <w:spacing w:val="-2"/>
          <w:lang w:val="pt-BR"/>
        </w:rPr>
        <w:t>https://</w:t>
      </w:r>
      <w:hyperlink r:id="rId211">
        <w:r w:rsidRPr="00F9308F">
          <w:rPr>
            <w:spacing w:val="-2"/>
            <w:lang w:val="pt-BR"/>
          </w:rPr>
          <w:t>www.youtube.com/watch?v=hQL1pIUBScI</w:t>
        </w:r>
      </w:hyperlink>
    </w:p>
    <w:p w:rsidR="003804AC" w:rsidRDefault="00AF18A5" w:rsidP="001A1378">
      <w:r>
        <w:t>———.</w:t>
      </w:r>
      <w:r>
        <w:rPr>
          <w:spacing w:val="-15"/>
        </w:rPr>
        <w:t xml:space="preserve"> </w:t>
      </w:r>
      <w:r>
        <w:t>«Encuentro</w:t>
      </w:r>
      <w:r>
        <w:rPr>
          <w:spacing w:val="-15"/>
        </w:rPr>
        <w:t xml:space="preserve"> </w:t>
      </w:r>
      <w:r>
        <w:t>por</w:t>
      </w:r>
      <w:r>
        <w:rPr>
          <w:spacing w:val="-15"/>
        </w:rPr>
        <w:t xml:space="preserve"> </w:t>
      </w:r>
      <w:r>
        <w:t>la</w:t>
      </w:r>
      <w:r>
        <w:rPr>
          <w:spacing w:val="-15"/>
        </w:rPr>
        <w:t xml:space="preserve"> </w:t>
      </w:r>
      <w:r>
        <w:t>Verdad</w:t>
      </w:r>
      <w:r>
        <w:rPr>
          <w:spacing w:val="-15"/>
        </w:rPr>
        <w:t xml:space="preserve"> </w:t>
      </w:r>
      <w:r>
        <w:t>‘Reconocimiento</w:t>
      </w:r>
      <w:r>
        <w:rPr>
          <w:spacing w:val="-15"/>
        </w:rPr>
        <w:t xml:space="preserve"> </w:t>
      </w:r>
      <w:r>
        <w:t>por</w:t>
      </w:r>
      <w:r>
        <w:rPr>
          <w:spacing w:val="-15"/>
        </w:rPr>
        <w:t xml:space="preserve"> </w:t>
      </w:r>
      <w:r>
        <w:t>la</w:t>
      </w:r>
      <w:r>
        <w:rPr>
          <w:spacing w:val="-15"/>
        </w:rPr>
        <w:t xml:space="preserve"> </w:t>
      </w:r>
      <w:r>
        <w:t>vida:</w:t>
      </w:r>
      <w:r>
        <w:rPr>
          <w:spacing w:val="-15"/>
        </w:rPr>
        <w:t xml:space="preserve"> </w:t>
      </w:r>
      <w:r>
        <w:t>Caldono</w:t>
      </w:r>
      <w:r>
        <w:rPr>
          <w:spacing w:val="-15"/>
        </w:rPr>
        <w:t xml:space="preserve"> </w:t>
      </w:r>
      <w:r>
        <w:t>cuenta</w:t>
      </w:r>
      <w:r>
        <w:rPr>
          <w:spacing w:val="-15"/>
        </w:rPr>
        <w:t xml:space="preserve"> </w:t>
      </w:r>
      <w:r>
        <w:t>la</w:t>
      </w:r>
      <w:r>
        <w:rPr>
          <w:spacing w:val="-15"/>
        </w:rPr>
        <w:t xml:space="preserve"> </w:t>
      </w:r>
      <w:r>
        <w:t>Verdad’». 20 de marzo de 2021. Video. https://</w:t>
      </w:r>
      <w:hyperlink r:id="rId212">
        <w:r>
          <w:t>www.youtube.com/watch?v=yXDkNwyDkto</w:t>
        </w:r>
      </w:hyperlink>
    </w:p>
    <w:p w:rsidR="003804AC" w:rsidRDefault="00AF18A5" w:rsidP="001A1378">
      <w:r>
        <w:t>———.</w:t>
      </w:r>
      <w:r>
        <w:rPr>
          <w:spacing w:val="-1"/>
        </w:rPr>
        <w:t xml:space="preserve"> </w:t>
      </w:r>
      <w:r>
        <w:t>«Reconocimiento</w:t>
      </w:r>
      <w:r>
        <w:rPr>
          <w:spacing w:val="2"/>
        </w:rPr>
        <w:t xml:space="preserve"> </w:t>
      </w:r>
      <w:r>
        <w:t>de</w:t>
      </w:r>
      <w:r>
        <w:rPr>
          <w:spacing w:val="1"/>
        </w:rPr>
        <w:t xml:space="preserve"> </w:t>
      </w:r>
      <w:r>
        <w:t>responsabilidades en</w:t>
      </w:r>
      <w:r>
        <w:rPr>
          <w:spacing w:val="2"/>
        </w:rPr>
        <w:t xml:space="preserve"> </w:t>
      </w:r>
      <w:r>
        <w:t>el</w:t>
      </w:r>
      <w:r>
        <w:rPr>
          <w:spacing w:val="1"/>
        </w:rPr>
        <w:t xml:space="preserve"> </w:t>
      </w:r>
      <w:r>
        <w:t>caso</w:t>
      </w:r>
      <w:r>
        <w:rPr>
          <w:spacing w:val="1"/>
        </w:rPr>
        <w:t xml:space="preserve"> </w:t>
      </w:r>
      <w:r>
        <w:t>de</w:t>
      </w:r>
      <w:r>
        <w:rPr>
          <w:spacing w:val="2"/>
        </w:rPr>
        <w:t xml:space="preserve"> </w:t>
      </w:r>
      <w:r>
        <w:t>asesinato</w:t>
      </w:r>
      <w:r>
        <w:rPr>
          <w:spacing w:val="1"/>
        </w:rPr>
        <w:t xml:space="preserve"> </w:t>
      </w:r>
      <w:r>
        <w:t>de</w:t>
      </w:r>
      <w:r>
        <w:rPr>
          <w:spacing w:val="2"/>
        </w:rPr>
        <w:t xml:space="preserve"> </w:t>
      </w:r>
      <w:r>
        <w:t xml:space="preserve">Yolanda </w:t>
      </w:r>
      <w:r>
        <w:rPr>
          <w:spacing w:val="-2"/>
        </w:rPr>
        <w:t>Cerón».</w:t>
      </w:r>
      <w:r w:rsidR="001A1378">
        <w:t xml:space="preserve"> </w:t>
      </w:r>
      <w:r>
        <w:t>25</w:t>
      </w:r>
      <w:r>
        <w:rPr>
          <w:spacing w:val="-3"/>
        </w:rPr>
        <w:t xml:space="preserve"> </w:t>
      </w:r>
      <w:r>
        <w:t>de junio</w:t>
      </w:r>
      <w:r>
        <w:rPr>
          <w:spacing w:val="-2"/>
        </w:rPr>
        <w:t xml:space="preserve"> </w:t>
      </w:r>
      <w:r>
        <w:t xml:space="preserve">de 2021. Vídeo. </w:t>
      </w:r>
      <w:r>
        <w:rPr>
          <w:spacing w:val="-2"/>
        </w:rPr>
        <w:t>https://</w:t>
      </w:r>
      <w:hyperlink r:id="rId213">
        <w:r>
          <w:rPr>
            <w:spacing w:val="-2"/>
          </w:rPr>
          <w:t>www.youtube.com/watch?v=jpURX5vIzf4</w:t>
        </w:r>
      </w:hyperlink>
    </w:p>
    <w:p w:rsidR="003804AC" w:rsidRDefault="00AF18A5" w:rsidP="001A1378">
      <w:r>
        <w:t xml:space="preserve">———. «Reconocimiento de responsabilidades sobre las ejecuciones extrajudiciales en Bogotá y Soacha». 10 de mayo de 2022. Video. </w:t>
      </w:r>
      <w:r>
        <w:rPr>
          <w:spacing w:val="-2"/>
        </w:rPr>
        <w:t>https://</w:t>
      </w:r>
      <w:hyperlink r:id="rId214">
        <w:r>
          <w:rPr>
            <w:spacing w:val="-2"/>
          </w:rPr>
          <w:t>www.youtube.com/watch?v=C-pUsQJVl9E</w:t>
        </w:r>
      </w:hyperlink>
    </w:p>
    <w:p w:rsidR="003804AC" w:rsidRDefault="00AF18A5" w:rsidP="001A1378">
      <w:r>
        <w:t>Módulo de Catalogación Colaborativa 29-OI-623b69b94fbc441b4622dc26. «Entrevista experiencia de reconocimientos: Hombre, exmilitar, responsable de ejecuciones extrajudiciales». Comisión para el Esclarecimiento de la Verdad (CEV). buscador.comisiondelaverdad.co, 2022.</w:t>
      </w:r>
    </w:p>
    <w:p w:rsidR="003804AC" w:rsidRDefault="00AF18A5" w:rsidP="001A1378">
      <w:r>
        <w:lastRenderedPageBreak/>
        <w:t>Módulo de Catalogación Colaborativa 29-OI-623b69004fbc441b4622dc22. «Entrevista experiencia de reconocimientos: Hombre, exmilitar, responsable de ejecuciones extrajudiciales». Comisión para el Esclarecimiento de la Verdad (CEV). buscador.comisiondelaverdad.co, 2022.</w:t>
      </w:r>
    </w:p>
    <w:p w:rsidR="003804AC" w:rsidRDefault="00AF18A5" w:rsidP="001A1378">
      <w:r>
        <w:t>Módulo de Catalogación Colaborativa 29-OI-623b6bde4fbc441b4622dc2c. «Entrevista experiencia de reconocimientos: Hombre, exmilitar, responsable de ejecuciones extrajudiciales». Comisión para el Esclarecimiento de la Verdad (CEV). buscador.comisiondelaverdad.co, 2022.</w:t>
      </w:r>
    </w:p>
    <w:p w:rsidR="003804AC" w:rsidRDefault="00AF18A5" w:rsidP="001A1378">
      <w:r>
        <w:t>Módulo de Catalogación Colaborativa 29-OI-623b69634fbc441b4622dc24. «Entrevista experiencia de reconocimientos: Hombre, exmilitar, responsable de ejecuciones extrajudiciales». Comisión para el Esclarecimiento de la Verdad (CEV). buscador.comisiondelaverdad.co, 2022.</w:t>
      </w:r>
    </w:p>
    <w:p w:rsidR="003804AC" w:rsidRDefault="00AF18A5" w:rsidP="001A1378">
      <w:r>
        <w:t>Módulo de Catalogación Colaborativa 29-OI-6239ec5d4fbc441b4622d942. «Entrevista experiencia</w:t>
      </w:r>
      <w:r>
        <w:rPr>
          <w:spacing w:val="-8"/>
        </w:rPr>
        <w:t xml:space="preserve"> </w:t>
      </w:r>
      <w:r>
        <w:t>de</w:t>
      </w:r>
      <w:r>
        <w:rPr>
          <w:spacing w:val="-6"/>
        </w:rPr>
        <w:t xml:space="preserve"> </w:t>
      </w:r>
      <w:r>
        <w:t>reconocimientos:</w:t>
      </w:r>
      <w:r>
        <w:rPr>
          <w:spacing w:val="-7"/>
        </w:rPr>
        <w:t xml:space="preserve"> </w:t>
      </w:r>
      <w:r>
        <w:t>Mujer</w:t>
      </w:r>
      <w:r>
        <w:rPr>
          <w:spacing w:val="-7"/>
        </w:rPr>
        <w:t xml:space="preserve"> </w:t>
      </w:r>
      <w:r>
        <w:t>firmante</w:t>
      </w:r>
      <w:r>
        <w:rPr>
          <w:spacing w:val="-8"/>
        </w:rPr>
        <w:t xml:space="preserve"> </w:t>
      </w:r>
      <w:r>
        <w:t>del</w:t>
      </w:r>
      <w:r>
        <w:rPr>
          <w:spacing w:val="-5"/>
        </w:rPr>
        <w:t xml:space="preserve"> </w:t>
      </w:r>
      <w:r>
        <w:t>acuerdo</w:t>
      </w:r>
      <w:r>
        <w:rPr>
          <w:spacing w:val="-8"/>
        </w:rPr>
        <w:t xml:space="preserve"> </w:t>
      </w:r>
      <w:r>
        <w:t>de</w:t>
      </w:r>
      <w:r>
        <w:rPr>
          <w:spacing w:val="-6"/>
        </w:rPr>
        <w:t xml:space="preserve"> </w:t>
      </w:r>
      <w:r>
        <w:t>paz,</w:t>
      </w:r>
      <w:r>
        <w:rPr>
          <w:spacing w:val="-7"/>
        </w:rPr>
        <w:t xml:space="preserve"> </w:t>
      </w:r>
      <w:r>
        <w:t>participante</w:t>
      </w:r>
      <w:r>
        <w:rPr>
          <w:spacing w:val="-6"/>
        </w:rPr>
        <w:t xml:space="preserve"> </w:t>
      </w:r>
      <w:r>
        <w:t>de proceso</w:t>
      </w:r>
      <w:r>
        <w:rPr>
          <w:spacing w:val="-15"/>
        </w:rPr>
        <w:t xml:space="preserve"> </w:t>
      </w:r>
      <w:r>
        <w:t>de</w:t>
      </w:r>
      <w:r>
        <w:rPr>
          <w:spacing w:val="-15"/>
        </w:rPr>
        <w:t xml:space="preserve"> </w:t>
      </w:r>
      <w:r>
        <w:t>reconocimiento».</w:t>
      </w:r>
      <w:r>
        <w:rPr>
          <w:spacing w:val="-15"/>
        </w:rPr>
        <w:t xml:space="preserve"> </w:t>
      </w:r>
      <w:r>
        <w:t>Comisión</w:t>
      </w:r>
      <w:r>
        <w:rPr>
          <w:spacing w:val="-15"/>
        </w:rPr>
        <w:t xml:space="preserve"> </w:t>
      </w:r>
      <w:r>
        <w:t>para</w:t>
      </w:r>
      <w:r>
        <w:rPr>
          <w:spacing w:val="-15"/>
        </w:rPr>
        <w:t xml:space="preserve"> </w:t>
      </w:r>
      <w:r>
        <w:t>el</w:t>
      </w:r>
      <w:r>
        <w:rPr>
          <w:spacing w:val="-15"/>
        </w:rPr>
        <w:t xml:space="preserve"> </w:t>
      </w:r>
      <w:r>
        <w:t>Esclarecimiento</w:t>
      </w:r>
      <w:r>
        <w:rPr>
          <w:spacing w:val="-15"/>
        </w:rPr>
        <w:t xml:space="preserve"> </w:t>
      </w:r>
      <w:r>
        <w:t>de</w:t>
      </w:r>
      <w:r>
        <w:rPr>
          <w:spacing w:val="-15"/>
        </w:rPr>
        <w:t xml:space="preserve"> </w:t>
      </w:r>
      <w:r>
        <w:t>la</w:t>
      </w:r>
      <w:r>
        <w:rPr>
          <w:spacing w:val="-15"/>
        </w:rPr>
        <w:t xml:space="preserve"> </w:t>
      </w:r>
      <w:r>
        <w:t>Verdad</w:t>
      </w:r>
      <w:r>
        <w:rPr>
          <w:spacing w:val="-15"/>
        </w:rPr>
        <w:t xml:space="preserve"> </w:t>
      </w:r>
      <w:r>
        <w:t>(CEV). buscador.comisiondelaverdad.co, 2022.</w:t>
      </w:r>
    </w:p>
    <w:p w:rsidR="003804AC" w:rsidRDefault="00AF18A5" w:rsidP="001A1378">
      <w:r>
        <w:t>Módulo de Catalogación Colaborativa 29-OI-6239e4184fbc441b4622d91d. «Entrevista experiencia</w:t>
      </w:r>
      <w:r>
        <w:rPr>
          <w:spacing w:val="-8"/>
        </w:rPr>
        <w:t xml:space="preserve"> </w:t>
      </w:r>
      <w:r>
        <w:t>de</w:t>
      </w:r>
      <w:r>
        <w:rPr>
          <w:spacing w:val="-6"/>
        </w:rPr>
        <w:t xml:space="preserve"> </w:t>
      </w:r>
      <w:r>
        <w:t>reconocimientos:</w:t>
      </w:r>
      <w:r>
        <w:rPr>
          <w:spacing w:val="-7"/>
        </w:rPr>
        <w:t xml:space="preserve"> </w:t>
      </w:r>
      <w:r>
        <w:t>Mujer</w:t>
      </w:r>
      <w:r>
        <w:rPr>
          <w:spacing w:val="-7"/>
        </w:rPr>
        <w:t xml:space="preserve"> </w:t>
      </w:r>
      <w:r>
        <w:t>firmante</w:t>
      </w:r>
      <w:r>
        <w:rPr>
          <w:spacing w:val="-8"/>
        </w:rPr>
        <w:t xml:space="preserve"> </w:t>
      </w:r>
      <w:r>
        <w:t>del</w:t>
      </w:r>
      <w:r>
        <w:rPr>
          <w:spacing w:val="-5"/>
        </w:rPr>
        <w:t xml:space="preserve"> </w:t>
      </w:r>
      <w:r>
        <w:t>acuerdo</w:t>
      </w:r>
      <w:r>
        <w:rPr>
          <w:spacing w:val="-8"/>
        </w:rPr>
        <w:t xml:space="preserve"> </w:t>
      </w:r>
      <w:r>
        <w:t>de</w:t>
      </w:r>
      <w:r>
        <w:rPr>
          <w:spacing w:val="-6"/>
        </w:rPr>
        <w:t xml:space="preserve"> </w:t>
      </w:r>
      <w:r>
        <w:t>paz,</w:t>
      </w:r>
      <w:r>
        <w:rPr>
          <w:spacing w:val="-7"/>
        </w:rPr>
        <w:t xml:space="preserve"> </w:t>
      </w:r>
      <w:r>
        <w:t>participante</w:t>
      </w:r>
      <w:r>
        <w:rPr>
          <w:spacing w:val="-6"/>
        </w:rPr>
        <w:t xml:space="preserve"> </w:t>
      </w:r>
      <w:r>
        <w:t>de proceso</w:t>
      </w:r>
      <w:r>
        <w:rPr>
          <w:spacing w:val="-15"/>
        </w:rPr>
        <w:t xml:space="preserve"> </w:t>
      </w:r>
      <w:r>
        <w:t>de</w:t>
      </w:r>
      <w:r>
        <w:rPr>
          <w:spacing w:val="-15"/>
        </w:rPr>
        <w:t xml:space="preserve"> </w:t>
      </w:r>
      <w:r>
        <w:t>reconocimiento».</w:t>
      </w:r>
      <w:r>
        <w:rPr>
          <w:spacing w:val="-15"/>
        </w:rPr>
        <w:t xml:space="preserve"> </w:t>
      </w:r>
      <w:r>
        <w:t>Comisión</w:t>
      </w:r>
      <w:r>
        <w:rPr>
          <w:spacing w:val="-15"/>
        </w:rPr>
        <w:t xml:space="preserve"> </w:t>
      </w:r>
      <w:r>
        <w:t>para</w:t>
      </w:r>
      <w:r>
        <w:rPr>
          <w:spacing w:val="-15"/>
        </w:rPr>
        <w:t xml:space="preserve"> </w:t>
      </w:r>
      <w:r>
        <w:t>el</w:t>
      </w:r>
      <w:r>
        <w:rPr>
          <w:spacing w:val="-15"/>
        </w:rPr>
        <w:t xml:space="preserve"> </w:t>
      </w:r>
      <w:r>
        <w:t>Esclarecimiento</w:t>
      </w:r>
      <w:r>
        <w:rPr>
          <w:spacing w:val="-15"/>
        </w:rPr>
        <w:t xml:space="preserve"> </w:t>
      </w:r>
      <w:r>
        <w:t>de</w:t>
      </w:r>
      <w:r>
        <w:rPr>
          <w:spacing w:val="-15"/>
        </w:rPr>
        <w:t xml:space="preserve"> </w:t>
      </w:r>
      <w:r>
        <w:t>la</w:t>
      </w:r>
      <w:r>
        <w:rPr>
          <w:spacing w:val="-15"/>
        </w:rPr>
        <w:t xml:space="preserve"> </w:t>
      </w:r>
      <w:r>
        <w:t>Verdad</w:t>
      </w:r>
      <w:r>
        <w:rPr>
          <w:spacing w:val="-15"/>
        </w:rPr>
        <w:t xml:space="preserve"> </w:t>
      </w:r>
      <w:r>
        <w:t>(CEV). buscador.comisiondelaverdad.co, 2022.</w:t>
      </w:r>
    </w:p>
    <w:p w:rsidR="003804AC" w:rsidRDefault="00AF18A5" w:rsidP="001A1378">
      <w:r>
        <w:t>Módulo</w:t>
      </w:r>
      <w:r>
        <w:rPr>
          <w:spacing w:val="56"/>
          <w:w w:val="150"/>
        </w:rPr>
        <w:t xml:space="preserve"> </w:t>
      </w:r>
      <w:r>
        <w:t>de</w:t>
      </w:r>
      <w:r>
        <w:rPr>
          <w:spacing w:val="58"/>
          <w:w w:val="150"/>
        </w:rPr>
        <w:t xml:space="preserve"> </w:t>
      </w:r>
      <w:r>
        <w:t>Catalogación</w:t>
      </w:r>
      <w:r>
        <w:rPr>
          <w:spacing w:val="59"/>
          <w:w w:val="150"/>
        </w:rPr>
        <w:t xml:space="preserve"> </w:t>
      </w:r>
      <w:r>
        <w:t>Colaborativa</w:t>
      </w:r>
      <w:r>
        <w:rPr>
          <w:spacing w:val="59"/>
          <w:w w:val="150"/>
        </w:rPr>
        <w:t xml:space="preserve"> </w:t>
      </w:r>
      <w:r>
        <w:t>1000050-OIMBMB-</w:t>
      </w:r>
      <w:r>
        <w:rPr>
          <w:spacing w:val="-2"/>
        </w:rPr>
        <w:lastRenderedPageBreak/>
        <w:t>61313c8fbfd4c44dfe1f869d.</w:t>
      </w:r>
    </w:p>
    <w:p w:rsidR="003804AC" w:rsidRDefault="00AF18A5" w:rsidP="001A1378">
      <w:r>
        <w:t>«Memoria reconocimiento voluntario de responsabilidades entre responsables Fuerzas</w:t>
      </w:r>
      <w:r>
        <w:rPr>
          <w:spacing w:val="-8"/>
        </w:rPr>
        <w:t xml:space="preserve"> </w:t>
      </w:r>
      <w:r>
        <w:t>Armadas</w:t>
      </w:r>
      <w:r>
        <w:rPr>
          <w:spacing w:val="-8"/>
        </w:rPr>
        <w:t xml:space="preserve"> </w:t>
      </w:r>
      <w:r>
        <w:t>Revolucionarias</w:t>
      </w:r>
      <w:r>
        <w:rPr>
          <w:spacing w:val="-9"/>
        </w:rPr>
        <w:t xml:space="preserve"> </w:t>
      </w:r>
      <w:r>
        <w:t>de</w:t>
      </w:r>
      <w:r>
        <w:rPr>
          <w:spacing w:val="-8"/>
        </w:rPr>
        <w:t xml:space="preserve"> </w:t>
      </w:r>
      <w:r>
        <w:t>Colombia</w:t>
      </w:r>
      <w:r>
        <w:rPr>
          <w:spacing w:val="-8"/>
        </w:rPr>
        <w:t xml:space="preserve"> </w:t>
      </w:r>
      <w:r>
        <w:t>-</w:t>
      </w:r>
      <w:r>
        <w:rPr>
          <w:spacing w:val="-8"/>
        </w:rPr>
        <w:t xml:space="preserve"> </w:t>
      </w:r>
      <w:r>
        <w:t>FARC</w:t>
      </w:r>
      <w:r>
        <w:rPr>
          <w:spacing w:val="-9"/>
        </w:rPr>
        <w:t xml:space="preserve"> </w:t>
      </w:r>
      <w:r>
        <w:t>y</w:t>
      </w:r>
      <w:r>
        <w:rPr>
          <w:spacing w:val="-8"/>
        </w:rPr>
        <w:t xml:space="preserve"> </w:t>
      </w:r>
      <w:r>
        <w:t>liderazgos</w:t>
      </w:r>
      <w:r>
        <w:rPr>
          <w:spacing w:val="-8"/>
        </w:rPr>
        <w:t xml:space="preserve"> </w:t>
      </w:r>
      <w:r>
        <w:t>del</w:t>
      </w:r>
      <w:r>
        <w:rPr>
          <w:spacing w:val="-8"/>
        </w:rPr>
        <w:t xml:space="preserve"> </w:t>
      </w:r>
      <w:r>
        <w:t xml:space="preserve">municipio de Caldono», Memoria del reconocimiento temprano de responsabilidades entre </w:t>
      </w:r>
      <w:proofErr w:type="spellStart"/>
      <w:r>
        <w:t>entre</w:t>
      </w:r>
      <w:proofErr w:type="spellEnd"/>
      <w:r>
        <w:t xml:space="preserve"> responsables Fuerzas Armadas Revolucionarias de Colombia - FARC y liderazgos del municipio de Caldono, el cual fue propiciado por el Equipo de Reconocimiento</w:t>
      </w:r>
      <w:r>
        <w:rPr>
          <w:spacing w:val="-11"/>
        </w:rPr>
        <w:t xml:space="preserve"> </w:t>
      </w:r>
      <w:r>
        <w:t>y</w:t>
      </w:r>
      <w:r>
        <w:rPr>
          <w:spacing w:val="-12"/>
        </w:rPr>
        <w:t xml:space="preserve"> </w:t>
      </w:r>
      <w:r>
        <w:t>la</w:t>
      </w:r>
      <w:r>
        <w:rPr>
          <w:spacing w:val="-12"/>
        </w:rPr>
        <w:t xml:space="preserve"> </w:t>
      </w:r>
      <w:proofErr w:type="spellStart"/>
      <w:r>
        <w:t>Macroterritorial</w:t>
      </w:r>
      <w:proofErr w:type="spellEnd"/>
      <w:r>
        <w:rPr>
          <w:spacing w:val="-11"/>
        </w:rPr>
        <w:t xml:space="preserve"> </w:t>
      </w:r>
      <w:r>
        <w:t>Cauca</w:t>
      </w:r>
      <w:r>
        <w:rPr>
          <w:spacing w:val="-11"/>
        </w:rPr>
        <w:t xml:space="preserve"> </w:t>
      </w:r>
      <w:r>
        <w:t>de</w:t>
      </w:r>
      <w:r>
        <w:rPr>
          <w:spacing w:val="-12"/>
        </w:rPr>
        <w:t xml:space="preserve"> </w:t>
      </w:r>
      <w:r>
        <w:t>la</w:t>
      </w:r>
      <w:r>
        <w:rPr>
          <w:spacing w:val="-13"/>
        </w:rPr>
        <w:t xml:space="preserve"> </w:t>
      </w:r>
      <w:r>
        <w:t>Comisión</w:t>
      </w:r>
      <w:r>
        <w:rPr>
          <w:spacing w:val="-11"/>
        </w:rPr>
        <w:t xml:space="preserve"> </w:t>
      </w:r>
      <w:r>
        <w:t>para</w:t>
      </w:r>
      <w:r>
        <w:rPr>
          <w:spacing w:val="-11"/>
        </w:rPr>
        <w:t xml:space="preserve"> </w:t>
      </w:r>
      <w:r>
        <w:t>el</w:t>
      </w:r>
      <w:r>
        <w:rPr>
          <w:spacing w:val="-11"/>
        </w:rPr>
        <w:t xml:space="preserve"> </w:t>
      </w:r>
      <w:r>
        <w:t>Esclarecimiento de la Verdad, la Convivencia y la No Repetición - CEV. En esta memoria se narra el</w:t>
      </w:r>
      <w:r>
        <w:rPr>
          <w:spacing w:val="-6"/>
        </w:rPr>
        <w:t xml:space="preserve"> </w:t>
      </w:r>
      <w:r>
        <w:t>desarrollo</w:t>
      </w:r>
      <w:r>
        <w:rPr>
          <w:spacing w:val="-7"/>
        </w:rPr>
        <w:t xml:space="preserve"> </w:t>
      </w:r>
      <w:r>
        <w:t>del</w:t>
      </w:r>
      <w:r>
        <w:rPr>
          <w:spacing w:val="-6"/>
        </w:rPr>
        <w:t xml:space="preserve"> </w:t>
      </w:r>
      <w:r>
        <w:t>encuentro</w:t>
      </w:r>
      <w:r>
        <w:rPr>
          <w:spacing w:val="-6"/>
        </w:rPr>
        <w:t xml:space="preserve"> </w:t>
      </w:r>
      <w:r>
        <w:t>privado</w:t>
      </w:r>
      <w:r>
        <w:rPr>
          <w:spacing w:val="-6"/>
        </w:rPr>
        <w:t xml:space="preserve"> </w:t>
      </w:r>
      <w:r>
        <w:t>y</w:t>
      </w:r>
      <w:r>
        <w:rPr>
          <w:spacing w:val="-6"/>
        </w:rPr>
        <w:t xml:space="preserve"> </w:t>
      </w:r>
      <w:r>
        <w:t>de</w:t>
      </w:r>
      <w:r>
        <w:rPr>
          <w:spacing w:val="-6"/>
        </w:rPr>
        <w:t xml:space="preserve"> </w:t>
      </w:r>
      <w:r>
        <w:t>carácter</w:t>
      </w:r>
      <w:r>
        <w:rPr>
          <w:spacing w:val="-6"/>
        </w:rPr>
        <w:t xml:space="preserve"> </w:t>
      </w:r>
      <w:r>
        <w:t>confidencial</w:t>
      </w:r>
      <w:r>
        <w:rPr>
          <w:spacing w:val="-7"/>
        </w:rPr>
        <w:t xml:space="preserve"> </w:t>
      </w:r>
      <w:r>
        <w:t>que</w:t>
      </w:r>
      <w:r>
        <w:rPr>
          <w:spacing w:val="-6"/>
        </w:rPr>
        <w:t xml:space="preserve"> </w:t>
      </w:r>
      <w:r>
        <w:t>tuvo</w:t>
      </w:r>
      <w:r>
        <w:rPr>
          <w:spacing w:val="-6"/>
        </w:rPr>
        <w:t xml:space="preserve"> </w:t>
      </w:r>
      <w:r>
        <w:t>como</w:t>
      </w:r>
      <w:r>
        <w:rPr>
          <w:spacing w:val="-6"/>
        </w:rPr>
        <w:t xml:space="preserve"> </w:t>
      </w:r>
      <w:r>
        <w:t>centro las tres dimensiones de afectación de la sistematicidad de las incursiones armadas, que</w:t>
      </w:r>
      <w:r>
        <w:rPr>
          <w:spacing w:val="-4"/>
        </w:rPr>
        <w:t xml:space="preserve"> </w:t>
      </w:r>
      <w:r>
        <w:t>fueron</w:t>
      </w:r>
      <w:r>
        <w:rPr>
          <w:spacing w:val="-5"/>
        </w:rPr>
        <w:t xml:space="preserve"> </w:t>
      </w:r>
      <w:r>
        <w:t>las</w:t>
      </w:r>
      <w:r>
        <w:rPr>
          <w:spacing w:val="-4"/>
        </w:rPr>
        <w:t xml:space="preserve"> </w:t>
      </w:r>
      <w:r>
        <w:t>afectaciones</w:t>
      </w:r>
      <w:r>
        <w:rPr>
          <w:spacing w:val="-5"/>
        </w:rPr>
        <w:t xml:space="preserve"> </w:t>
      </w:r>
      <w:r>
        <w:t>económicas,</w:t>
      </w:r>
      <w:r>
        <w:rPr>
          <w:spacing w:val="-4"/>
        </w:rPr>
        <w:t xml:space="preserve"> </w:t>
      </w:r>
      <w:r>
        <w:t>las</w:t>
      </w:r>
      <w:r>
        <w:rPr>
          <w:spacing w:val="-5"/>
        </w:rPr>
        <w:t xml:space="preserve"> </w:t>
      </w:r>
      <w:r>
        <w:t>afectaciones</w:t>
      </w:r>
      <w:r>
        <w:rPr>
          <w:spacing w:val="-5"/>
        </w:rPr>
        <w:t xml:space="preserve"> </w:t>
      </w:r>
      <w:r>
        <w:t>comunitarias</w:t>
      </w:r>
      <w:r>
        <w:rPr>
          <w:spacing w:val="-5"/>
        </w:rPr>
        <w:t xml:space="preserve"> </w:t>
      </w:r>
      <w:r>
        <w:t>y</w:t>
      </w:r>
      <w:r>
        <w:rPr>
          <w:spacing w:val="-4"/>
        </w:rPr>
        <w:t xml:space="preserve"> </w:t>
      </w:r>
      <w:r>
        <w:t>colectivas, y las afectaciones a la niñez y juventud. Comisión para el Esclarecimiento de la Verdad (CEV). 2021.</w:t>
      </w:r>
    </w:p>
    <w:p w:rsidR="003804AC" w:rsidRDefault="00AF18A5" w:rsidP="001A1378">
      <w:r>
        <w:t>Módulo</w:t>
      </w:r>
      <w:r w:rsidR="001A1378">
        <w:t xml:space="preserve"> </w:t>
      </w:r>
      <w:r>
        <w:t>de</w:t>
      </w:r>
      <w:r w:rsidR="001A1378">
        <w:t xml:space="preserve"> </w:t>
      </w:r>
      <w:r>
        <w:t>Catalogación</w:t>
      </w:r>
      <w:r w:rsidR="001A1378">
        <w:t xml:space="preserve"> </w:t>
      </w:r>
      <w:r>
        <w:t>Colaborativa</w:t>
      </w:r>
      <w:r w:rsidR="001A1378">
        <w:t xml:space="preserve"> </w:t>
      </w:r>
      <w:r>
        <w:t>29-OI-</w:t>
      </w:r>
      <w:r>
        <w:rPr>
          <w:spacing w:val="-2"/>
        </w:rPr>
        <w:t>6239fa744fbc441b4622d985.</w:t>
      </w:r>
    </w:p>
    <w:p w:rsidR="003804AC" w:rsidRDefault="00AF18A5" w:rsidP="001A1378">
      <w:r>
        <w:t>«Reconocimiento de las afectaciones e impactos individuales y colectivos del municipio</w:t>
      </w:r>
      <w:r>
        <w:rPr>
          <w:spacing w:val="-12"/>
        </w:rPr>
        <w:t xml:space="preserve"> </w:t>
      </w:r>
      <w:r>
        <w:t>de</w:t>
      </w:r>
      <w:r>
        <w:rPr>
          <w:spacing w:val="-11"/>
        </w:rPr>
        <w:t xml:space="preserve"> </w:t>
      </w:r>
      <w:r>
        <w:t>Palestina</w:t>
      </w:r>
      <w:r>
        <w:rPr>
          <w:spacing w:val="-11"/>
        </w:rPr>
        <w:t xml:space="preserve"> </w:t>
      </w:r>
      <w:r>
        <w:t>en</w:t>
      </w:r>
      <w:r>
        <w:rPr>
          <w:spacing w:val="-12"/>
        </w:rPr>
        <w:t xml:space="preserve"> </w:t>
      </w:r>
      <w:r>
        <w:t>el</w:t>
      </w:r>
      <w:r>
        <w:rPr>
          <w:spacing w:val="-11"/>
        </w:rPr>
        <w:t xml:space="preserve"> </w:t>
      </w:r>
      <w:r>
        <w:t>departamento</w:t>
      </w:r>
      <w:r>
        <w:rPr>
          <w:spacing w:val="-12"/>
        </w:rPr>
        <w:t xml:space="preserve"> </w:t>
      </w:r>
      <w:r>
        <w:t>del</w:t>
      </w:r>
      <w:r>
        <w:rPr>
          <w:spacing w:val="-12"/>
        </w:rPr>
        <w:t xml:space="preserve"> </w:t>
      </w:r>
      <w:r>
        <w:t>Huila»,</w:t>
      </w:r>
      <w:r>
        <w:rPr>
          <w:spacing w:val="-12"/>
        </w:rPr>
        <w:t xml:space="preserve"> </w:t>
      </w:r>
      <w:r>
        <w:t>Informe</w:t>
      </w:r>
      <w:r>
        <w:rPr>
          <w:spacing w:val="-11"/>
        </w:rPr>
        <w:t xml:space="preserve"> </w:t>
      </w:r>
      <w:r>
        <w:t>de</w:t>
      </w:r>
      <w:r>
        <w:rPr>
          <w:spacing w:val="-12"/>
        </w:rPr>
        <w:t xml:space="preserve"> </w:t>
      </w:r>
      <w:r>
        <w:t>evento.</w:t>
      </w:r>
      <w:r>
        <w:rPr>
          <w:spacing w:val="-12"/>
        </w:rPr>
        <w:t xml:space="preserve"> </w:t>
      </w:r>
      <w:r>
        <w:t xml:space="preserve">Comisión para el Esclarecimiento de la Verdad (CEV). buscador.comisiondelaverdad.co, </w:t>
      </w:r>
      <w:r>
        <w:rPr>
          <w:spacing w:val="-2"/>
        </w:rPr>
        <w:t>2021.</w:t>
      </w:r>
    </w:p>
    <w:p w:rsidR="003804AC" w:rsidRDefault="00AF18A5" w:rsidP="001A1378">
      <w:r>
        <w:t>Módulo de Catalogación Colaborativa 29-OI-623a2ea44fbc441b4622da34. «Relatoría jornada de seguimiento reconocimiento San Adolfo Huila. 2021», Formato de seguimiento del reconocimiento Encuentro por la Verdad: reconocimiento de responsabilidades “el valor de la verdad en la búsqueda de los desaparecidos” en Palestina,</w:t>
      </w:r>
      <w:r>
        <w:rPr>
          <w:spacing w:val="-9"/>
        </w:rPr>
        <w:t xml:space="preserve"> </w:t>
      </w:r>
      <w:r>
        <w:t>Huila,</w:t>
      </w:r>
      <w:r>
        <w:rPr>
          <w:spacing w:val="-9"/>
        </w:rPr>
        <w:t xml:space="preserve"> </w:t>
      </w:r>
      <w:r>
        <w:t>que</w:t>
      </w:r>
      <w:r>
        <w:rPr>
          <w:spacing w:val="-9"/>
        </w:rPr>
        <w:t xml:space="preserve"> </w:t>
      </w:r>
      <w:r>
        <w:t>tiene</w:t>
      </w:r>
      <w:r>
        <w:rPr>
          <w:spacing w:val="-9"/>
        </w:rPr>
        <w:t xml:space="preserve"> </w:t>
      </w:r>
      <w:r>
        <w:t>como</w:t>
      </w:r>
      <w:r>
        <w:rPr>
          <w:spacing w:val="-11"/>
        </w:rPr>
        <w:t xml:space="preserve"> </w:t>
      </w:r>
      <w:r>
        <w:t>finalidad</w:t>
      </w:r>
      <w:r>
        <w:rPr>
          <w:spacing w:val="-11"/>
        </w:rPr>
        <w:t xml:space="preserve"> </w:t>
      </w:r>
      <w:r>
        <w:t>realizar</w:t>
      </w:r>
      <w:r>
        <w:rPr>
          <w:spacing w:val="-9"/>
        </w:rPr>
        <w:t xml:space="preserve"> </w:t>
      </w:r>
      <w:r>
        <w:t>el</w:t>
      </w:r>
      <w:r>
        <w:rPr>
          <w:spacing w:val="-9"/>
        </w:rPr>
        <w:t xml:space="preserve"> </w:t>
      </w:r>
      <w:r>
        <w:t>seguimiento</w:t>
      </w:r>
      <w:r>
        <w:rPr>
          <w:spacing w:val="-9"/>
        </w:rPr>
        <w:t xml:space="preserve"> </w:t>
      </w:r>
      <w:r>
        <w:t>a</w:t>
      </w:r>
      <w:r>
        <w:rPr>
          <w:spacing w:val="-10"/>
        </w:rPr>
        <w:t xml:space="preserve"> </w:t>
      </w:r>
      <w:r>
        <w:t>las</w:t>
      </w:r>
      <w:r>
        <w:rPr>
          <w:spacing w:val="-10"/>
        </w:rPr>
        <w:t xml:space="preserve"> </w:t>
      </w:r>
      <w:r>
        <w:t>personas</w:t>
      </w:r>
      <w:r>
        <w:rPr>
          <w:spacing w:val="-9"/>
        </w:rPr>
        <w:t xml:space="preserve"> </w:t>
      </w:r>
      <w:r>
        <w:t xml:space="preserve">que participan de forma directa de los </w:t>
      </w:r>
      <w:r>
        <w:lastRenderedPageBreak/>
        <w:t>reconocimientos y ofrecen su testimonio dentro de estos en un acto de reconocimiento público y/o privado de forma presencial, semipresencial y/o virtual en el marco del objetivo misional de promoción y contribución al reconocimiento de la Comisión para el Esclarecimiento de la Verdad,</w:t>
      </w:r>
      <w:r>
        <w:rPr>
          <w:spacing w:val="-1"/>
        </w:rPr>
        <w:t xml:space="preserve"> </w:t>
      </w:r>
      <w:r>
        <w:t>la</w:t>
      </w:r>
      <w:r>
        <w:rPr>
          <w:spacing w:val="-2"/>
        </w:rPr>
        <w:t xml:space="preserve"> </w:t>
      </w:r>
      <w:r>
        <w:t>Convivencia</w:t>
      </w:r>
      <w:r>
        <w:rPr>
          <w:spacing w:val="-2"/>
        </w:rPr>
        <w:t xml:space="preserve"> </w:t>
      </w:r>
      <w:r>
        <w:t>y</w:t>
      </w:r>
      <w:r>
        <w:rPr>
          <w:spacing w:val="-1"/>
        </w:rPr>
        <w:t xml:space="preserve"> </w:t>
      </w:r>
      <w:r>
        <w:t>la</w:t>
      </w:r>
      <w:r>
        <w:rPr>
          <w:spacing w:val="-1"/>
        </w:rPr>
        <w:t xml:space="preserve"> </w:t>
      </w:r>
      <w:r>
        <w:t>No</w:t>
      </w:r>
      <w:r>
        <w:rPr>
          <w:spacing w:val="-1"/>
        </w:rPr>
        <w:t xml:space="preserve"> </w:t>
      </w:r>
      <w:r>
        <w:t>Repetición</w:t>
      </w:r>
      <w:r>
        <w:rPr>
          <w:spacing w:val="-1"/>
        </w:rPr>
        <w:t xml:space="preserve"> </w:t>
      </w:r>
      <w:r>
        <w:t>–</w:t>
      </w:r>
      <w:r>
        <w:rPr>
          <w:spacing w:val="-1"/>
        </w:rPr>
        <w:t xml:space="preserve"> </w:t>
      </w:r>
      <w:proofErr w:type="spellStart"/>
      <w:r>
        <w:t>CEV.En</w:t>
      </w:r>
      <w:proofErr w:type="spellEnd"/>
      <w:r>
        <w:rPr>
          <w:spacing w:val="-1"/>
        </w:rPr>
        <w:t xml:space="preserve"> </w:t>
      </w:r>
      <w:r>
        <w:t>este</w:t>
      </w:r>
      <w:r>
        <w:rPr>
          <w:spacing w:val="-1"/>
        </w:rPr>
        <w:t xml:space="preserve"> </w:t>
      </w:r>
      <w:r>
        <w:t>se</w:t>
      </w:r>
      <w:r>
        <w:rPr>
          <w:spacing w:val="-2"/>
        </w:rPr>
        <w:t xml:space="preserve"> </w:t>
      </w:r>
      <w:r>
        <w:t>incluye</w:t>
      </w:r>
      <w:r>
        <w:rPr>
          <w:spacing w:val="-1"/>
        </w:rPr>
        <w:t xml:space="preserve"> </w:t>
      </w:r>
      <w:r>
        <w:t>el</w:t>
      </w:r>
      <w:r>
        <w:rPr>
          <w:spacing w:val="-1"/>
        </w:rPr>
        <w:t xml:space="preserve"> </w:t>
      </w:r>
      <w:r>
        <w:t>nombre</w:t>
      </w:r>
      <w:r>
        <w:rPr>
          <w:spacing w:val="-1"/>
        </w:rPr>
        <w:t xml:space="preserve"> </w:t>
      </w:r>
      <w:r>
        <w:t>de los</w:t>
      </w:r>
      <w:r>
        <w:rPr>
          <w:spacing w:val="16"/>
        </w:rPr>
        <w:t xml:space="preserve"> </w:t>
      </w:r>
      <w:r>
        <w:t>responsables</w:t>
      </w:r>
      <w:r>
        <w:rPr>
          <w:spacing w:val="18"/>
        </w:rPr>
        <w:t xml:space="preserve"> </w:t>
      </w:r>
      <w:r>
        <w:t>que</w:t>
      </w:r>
      <w:r>
        <w:rPr>
          <w:spacing w:val="18"/>
        </w:rPr>
        <w:t xml:space="preserve"> </w:t>
      </w:r>
      <w:r>
        <w:t>ofrecieron</w:t>
      </w:r>
      <w:r>
        <w:rPr>
          <w:spacing w:val="19"/>
        </w:rPr>
        <w:t xml:space="preserve"> </w:t>
      </w:r>
      <w:r>
        <w:t>su</w:t>
      </w:r>
      <w:r>
        <w:rPr>
          <w:spacing w:val="18"/>
        </w:rPr>
        <w:t xml:space="preserve"> </w:t>
      </w:r>
      <w:r>
        <w:t>testimonio</w:t>
      </w:r>
      <w:r>
        <w:rPr>
          <w:spacing w:val="18"/>
        </w:rPr>
        <w:t xml:space="preserve"> </w:t>
      </w:r>
      <w:r>
        <w:t>para</w:t>
      </w:r>
      <w:r>
        <w:rPr>
          <w:spacing w:val="18"/>
        </w:rPr>
        <w:t xml:space="preserve"> </w:t>
      </w:r>
      <w:r>
        <w:t>el</w:t>
      </w:r>
      <w:r>
        <w:rPr>
          <w:spacing w:val="19"/>
        </w:rPr>
        <w:t xml:space="preserve"> </w:t>
      </w:r>
      <w:r>
        <w:t>encuentro,</w:t>
      </w:r>
      <w:r>
        <w:rPr>
          <w:spacing w:val="18"/>
        </w:rPr>
        <w:t xml:space="preserve"> </w:t>
      </w:r>
      <w:r>
        <w:t>las</w:t>
      </w:r>
      <w:r>
        <w:rPr>
          <w:spacing w:val="18"/>
        </w:rPr>
        <w:t xml:space="preserve"> </w:t>
      </w:r>
      <w:r>
        <w:t>fechas</w:t>
      </w:r>
      <w:r>
        <w:rPr>
          <w:spacing w:val="18"/>
        </w:rPr>
        <w:t xml:space="preserve"> </w:t>
      </w:r>
      <w:r>
        <w:t>en</w:t>
      </w:r>
      <w:r>
        <w:rPr>
          <w:spacing w:val="19"/>
        </w:rPr>
        <w:t xml:space="preserve"> </w:t>
      </w:r>
      <w:r>
        <w:rPr>
          <w:spacing w:val="-5"/>
        </w:rPr>
        <w:t>las</w:t>
      </w:r>
      <w:r w:rsidR="001A1378">
        <w:t xml:space="preserve"> </w:t>
      </w:r>
      <w:r>
        <w:t>que llevó a cabo, y las preguntas orientadoras del seguimiento y las respectivas respuestas de los participantes. Así mismo, se incluye el registro fotográfico de la reunión</w:t>
      </w:r>
      <w:r>
        <w:rPr>
          <w:spacing w:val="-9"/>
        </w:rPr>
        <w:t xml:space="preserve"> </w:t>
      </w:r>
      <w:r>
        <w:t>realizada</w:t>
      </w:r>
      <w:r>
        <w:rPr>
          <w:spacing w:val="-9"/>
        </w:rPr>
        <w:t xml:space="preserve"> </w:t>
      </w:r>
      <w:r>
        <w:t>de</w:t>
      </w:r>
      <w:r>
        <w:rPr>
          <w:spacing w:val="-9"/>
        </w:rPr>
        <w:t xml:space="preserve"> </w:t>
      </w:r>
      <w:r>
        <w:t>manera</w:t>
      </w:r>
      <w:r>
        <w:rPr>
          <w:spacing w:val="-9"/>
        </w:rPr>
        <w:t xml:space="preserve"> </w:t>
      </w:r>
      <w:r>
        <w:t>virtual.</w:t>
      </w:r>
      <w:r>
        <w:rPr>
          <w:spacing w:val="-9"/>
        </w:rPr>
        <w:t xml:space="preserve"> </w:t>
      </w:r>
      <w:r>
        <w:t>Comisión</w:t>
      </w:r>
      <w:r>
        <w:rPr>
          <w:spacing w:val="-9"/>
        </w:rPr>
        <w:t xml:space="preserve"> </w:t>
      </w:r>
      <w:r>
        <w:t>para</w:t>
      </w:r>
      <w:r>
        <w:rPr>
          <w:spacing w:val="-9"/>
        </w:rPr>
        <w:t xml:space="preserve"> </w:t>
      </w:r>
      <w:r>
        <w:t>el</w:t>
      </w:r>
      <w:r>
        <w:rPr>
          <w:spacing w:val="-9"/>
        </w:rPr>
        <w:t xml:space="preserve"> </w:t>
      </w:r>
      <w:r>
        <w:t>Esclarecimiento</w:t>
      </w:r>
      <w:r>
        <w:rPr>
          <w:spacing w:val="-9"/>
        </w:rPr>
        <w:t xml:space="preserve"> </w:t>
      </w:r>
      <w:r>
        <w:t>de</w:t>
      </w:r>
      <w:r>
        <w:rPr>
          <w:spacing w:val="-10"/>
        </w:rPr>
        <w:t xml:space="preserve"> </w:t>
      </w:r>
      <w:r>
        <w:t>la</w:t>
      </w:r>
      <w:r>
        <w:rPr>
          <w:spacing w:val="-9"/>
        </w:rPr>
        <w:t xml:space="preserve"> </w:t>
      </w:r>
      <w:r>
        <w:t>Verdad (CEV). 2021.</w:t>
      </w:r>
    </w:p>
    <w:p w:rsidR="003804AC" w:rsidRDefault="00AF18A5" w:rsidP="001A1378">
      <w:r>
        <w:t>Módulo de Catalogación Colaborativa 29-OI-623a271f4fbc441b4622da23. «Seguimiento a participantes de los reconocimientos que ofrecen su testimonio en el acto público y/o privado: víctimas Palestina, Huila». Comisión para el Esclarecimiento de la Verdad (CEV). buscador.comisiondelaverdad.co, 2021.</w:t>
      </w:r>
    </w:p>
    <w:p w:rsidR="003804AC" w:rsidRDefault="00AF18A5" w:rsidP="001A1378">
      <w:r>
        <w:t>Entrevista 001-VI-00026. Exfiscal de DD. HH. en el exilio. Tomada por Comisión para el Esclarecimiento de la Verdad, la Convivencia y la No Repetición - CEV.</w:t>
      </w:r>
    </w:p>
    <w:p w:rsidR="0011361F" w:rsidRDefault="00AF18A5" w:rsidP="001A1378">
      <w:r>
        <w:t>Entrevista 837-AA-00010. Hombre, responsable, excomandante FARC. Tomada por Comisión</w:t>
      </w:r>
      <w:r>
        <w:rPr>
          <w:spacing w:val="-1"/>
        </w:rPr>
        <w:t xml:space="preserve"> </w:t>
      </w:r>
      <w:r>
        <w:t>para</w:t>
      </w:r>
      <w:r>
        <w:rPr>
          <w:spacing w:val="1"/>
        </w:rPr>
        <w:t xml:space="preserve"> </w:t>
      </w:r>
      <w:r>
        <w:t>el</w:t>
      </w:r>
      <w:r>
        <w:rPr>
          <w:spacing w:val="1"/>
        </w:rPr>
        <w:t xml:space="preserve"> </w:t>
      </w:r>
      <w:r>
        <w:t>Esclarecimiento de</w:t>
      </w:r>
      <w:r>
        <w:rPr>
          <w:spacing w:val="-1"/>
        </w:rPr>
        <w:t xml:space="preserve"> </w:t>
      </w:r>
      <w:r>
        <w:t>la</w:t>
      </w:r>
      <w:r>
        <w:rPr>
          <w:spacing w:val="1"/>
        </w:rPr>
        <w:t xml:space="preserve"> </w:t>
      </w:r>
      <w:r>
        <w:t>Verdad,</w:t>
      </w:r>
      <w:r>
        <w:rPr>
          <w:spacing w:val="1"/>
        </w:rPr>
        <w:t xml:space="preserve"> </w:t>
      </w:r>
      <w:r>
        <w:t>la</w:t>
      </w:r>
      <w:r>
        <w:rPr>
          <w:spacing w:val="1"/>
        </w:rPr>
        <w:t xml:space="preserve"> </w:t>
      </w:r>
      <w:r>
        <w:t>Convivencia y la No</w:t>
      </w:r>
      <w:r>
        <w:rPr>
          <w:spacing w:val="1"/>
        </w:rPr>
        <w:t xml:space="preserve"> </w:t>
      </w:r>
      <w:r>
        <w:rPr>
          <w:spacing w:val="-2"/>
        </w:rPr>
        <w:t>Repetición</w:t>
      </w:r>
      <w:r w:rsidR="001A1378">
        <w:t xml:space="preserve"> </w:t>
      </w:r>
      <w:r>
        <w:t>-</w:t>
      </w:r>
      <w:r>
        <w:rPr>
          <w:spacing w:val="-2"/>
        </w:rPr>
        <w:t xml:space="preserve"> </w:t>
      </w:r>
      <w:r>
        <w:t>CEV.</w:t>
      </w:r>
      <w:r>
        <w:rPr>
          <w:spacing w:val="-1"/>
        </w:rPr>
        <w:t xml:space="preserve"> </w:t>
      </w:r>
      <w:r>
        <w:rPr>
          <w:spacing w:val="-2"/>
        </w:rPr>
        <w:t>2020.</w:t>
      </w:r>
    </w:p>
    <w:p w:rsidR="003804AC" w:rsidRDefault="00AF18A5" w:rsidP="001A1378">
      <w:r>
        <w:t xml:space="preserve">Entrevista 142-PR-00225. Hombre, teniente retirado, responsable de </w:t>
      </w:r>
      <w:proofErr w:type="spellStart"/>
      <w:r>
        <w:t>ejcuciones</w:t>
      </w:r>
      <w:proofErr w:type="spellEnd"/>
      <w:r>
        <w:t xml:space="preserve"> extrajudiciales. Tomada por Comisión para el Esclarecimiento de la Verdad, la Convivencia y la No Repetición - CEV. 2019.</w:t>
      </w:r>
    </w:p>
    <w:p w:rsidR="001A1378" w:rsidRDefault="00AF18A5" w:rsidP="001A1378">
      <w:r>
        <w:t xml:space="preserve">Entrevista 056-VI-00050. Mujer, campesina, madre de víctima de </w:t>
      </w:r>
      <w:r>
        <w:lastRenderedPageBreak/>
        <w:t>ejecución extrajudicial. Tomada</w:t>
      </w:r>
      <w:r>
        <w:rPr>
          <w:spacing w:val="-11"/>
        </w:rPr>
        <w:t xml:space="preserve"> </w:t>
      </w:r>
      <w:r>
        <w:t>por</w:t>
      </w:r>
      <w:r>
        <w:rPr>
          <w:spacing w:val="-10"/>
        </w:rPr>
        <w:t xml:space="preserve"> </w:t>
      </w:r>
      <w:r>
        <w:t>Comisión</w:t>
      </w:r>
      <w:r>
        <w:rPr>
          <w:spacing w:val="-11"/>
        </w:rPr>
        <w:t xml:space="preserve"> </w:t>
      </w:r>
      <w:r>
        <w:t>para</w:t>
      </w:r>
      <w:r>
        <w:rPr>
          <w:spacing w:val="-11"/>
        </w:rPr>
        <w:t xml:space="preserve"> </w:t>
      </w:r>
      <w:r>
        <w:t>el</w:t>
      </w:r>
      <w:r>
        <w:rPr>
          <w:spacing w:val="-10"/>
        </w:rPr>
        <w:t xml:space="preserve"> </w:t>
      </w:r>
      <w:r>
        <w:t>Esclarecimiento</w:t>
      </w:r>
      <w:r>
        <w:rPr>
          <w:spacing w:val="-11"/>
        </w:rPr>
        <w:t xml:space="preserve"> </w:t>
      </w:r>
      <w:r>
        <w:t>de</w:t>
      </w:r>
      <w:r>
        <w:rPr>
          <w:spacing w:val="-12"/>
        </w:rPr>
        <w:t xml:space="preserve"> </w:t>
      </w:r>
      <w:r>
        <w:t>la</w:t>
      </w:r>
      <w:r>
        <w:rPr>
          <w:spacing w:val="-11"/>
        </w:rPr>
        <w:t xml:space="preserve"> </w:t>
      </w:r>
      <w:r>
        <w:t>Verdad,</w:t>
      </w:r>
      <w:r>
        <w:rPr>
          <w:spacing w:val="-11"/>
        </w:rPr>
        <w:t xml:space="preserve"> </w:t>
      </w:r>
      <w:r>
        <w:t>la</w:t>
      </w:r>
      <w:r>
        <w:rPr>
          <w:spacing w:val="-12"/>
        </w:rPr>
        <w:t xml:space="preserve"> </w:t>
      </w:r>
      <w:r>
        <w:t>Convivencia</w:t>
      </w:r>
      <w:r>
        <w:rPr>
          <w:spacing w:val="-11"/>
        </w:rPr>
        <w:t xml:space="preserve"> </w:t>
      </w:r>
      <w:r>
        <w:t>y</w:t>
      </w:r>
      <w:r>
        <w:rPr>
          <w:spacing w:val="-11"/>
        </w:rPr>
        <w:t xml:space="preserve"> </w:t>
      </w:r>
      <w:r>
        <w:t>la</w:t>
      </w:r>
      <w:r>
        <w:rPr>
          <w:spacing w:val="-11"/>
        </w:rPr>
        <w:t xml:space="preserve"> </w:t>
      </w:r>
      <w:r>
        <w:t>No Repetición - CEV. 2019.</w:t>
      </w:r>
    </w:p>
    <w:p w:rsidR="001A1378" w:rsidRDefault="001A1378">
      <w:pPr>
        <w:spacing w:before="0" w:after="0" w:line="240" w:lineRule="auto"/>
      </w:pPr>
      <w:r>
        <w:br w:type="page"/>
      </w:r>
    </w:p>
    <w:p w:rsidR="003804AC" w:rsidRDefault="00AF18A5" w:rsidP="004A6EF4">
      <w:pPr>
        <w:pStyle w:val="Ttulo2"/>
        <w:numPr>
          <w:ilvl w:val="0"/>
          <w:numId w:val="16"/>
        </w:numPr>
      </w:pPr>
      <w:bookmarkStart w:id="1480" w:name="12._EPÍLOGO._DIMENSIONES_INTERNACIONALES"/>
      <w:bookmarkStart w:id="1481" w:name="_Toc112399675"/>
      <w:bookmarkEnd w:id="1480"/>
      <w:r>
        <w:rPr>
          <w:spacing w:val="-2"/>
        </w:rPr>
        <w:lastRenderedPageBreak/>
        <w:t>EPÍLOGO.</w:t>
      </w:r>
      <w:r w:rsidR="00941DAF">
        <w:rPr>
          <w:spacing w:val="-2"/>
        </w:rPr>
        <w:t xml:space="preserve"> </w:t>
      </w:r>
      <w:r w:rsidRPr="00941DAF">
        <w:t>DIMENSIONES</w:t>
      </w:r>
      <w:r w:rsidR="00941DAF">
        <w:t xml:space="preserve"> </w:t>
      </w:r>
      <w:r>
        <w:rPr>
          <w:spacing w:val="-2"/>
        </w:rPr>
        <w:t>INTERNACIONALES</w:t>
      </w:r>
      <w:r w:rsidR="00941DAF">
        <w:rPr>
          <w:spacing w:val="-2"/>
        </w:rPr>
        <w:t xml:space="preserve"> </w:t>
      </w:r>
      <w:r>
        <w:rPr>
          <w:spacing w:val="-6"/>
        </w:rPr>
        <w:t>DE</w:t>
      </w:r>
      <w:r w:rsidR="00941DAF">
        <w:rPr>
          <w:spacing w:val="-6"/>
        </w:rPr>
        <w:t xml:space="preserve"> </w:t>
      </w:r>
      <w:r>
        <w:rPr>
          <w:spacing w:val="-6"/>
        </w:rPr>
        <w:t xml:space="preserve">LA </w:t>
      </w:r>
      <w:r>
        <w:t>CONSTRUCCIÓN DE LA PAZ EN COLOMBIA</w:t>
      </w:r>
      <w:bookmarkEnd w:id="1481"/>
    </w:p>
    <w:p w:rsidR="003804AC" w:rsidRDefault="00AF18A5" w:rsidP="00012CBA">
      <w:r>
        <w:t>La</w:t>
      </w:r>
      <w:r>
        <w:rPr>
          <w:spacing w:val="-3"/>
        </w:rPr>
        <w:t xml:space="preserve"> </w:t>
      </w:r>
      <w:r>
        <w:t>construcción</w:t>
      </w:r>
      <w:r>
        <w:rPr>
          <w:spacing w:val="-3"/>
        </w:rPr>
        <w:t xml:space="preserve"> </w:t>
      </w:r>
      <w:r>
        <w:t>de</w:t>
      </w:r>
      <w:r>
        <w:rPr>
          <w:spacing w:val="-4"/>
        </w:rPr>
        <w:t xml:space="preserve"> </w:t>
      </w:r>
      <w:r>
        <w:t>la</w:t>
      </w:r>
      <w:r>
        <w:rPr>
          <w:spacing w:val="-4"/>
        </w:rPr>
        <w:t xml:space="preserve"> </w:t>
      </w:r>
      <w:r>
        <w:t>paz</w:t>
      </w:r>
      <w:r>
        <w:rPr>
          <w:spacing w:val="-3"/>
        </w:rPr>
        <w:t xml:space="preserve"> </w:t>
      </w:r>
      <w:r>
        <w:t>en</w:t>
      </w:r>
      <w:r>
        <w:rPr>
          <w:spacing w:val="-3"/>
        </w:rPr>
        <w:t xml:space="preserve"> </w:t>
      </w:r>
      <w:r>
        <w:t>Colombia</w:t>
      </w:r>
      <w:r>
        <w:rPr>
          <w:spacing w:val="-3"/>
        </w:rPr>
        <w:t xml:space="preserve"> </w:t>
      </w:r>
      <w:r>
        <w:t>ha</w:t>
      </w:r>
      <w:r>
        <w:rPr>
          <w:spacing w:val="-4"/>
        </w:rPr>
        <w:t xml:space="preserve"> </w:t>
      </w:r>
      <w:r>
        <w:t>estado</w:t>
      </w:r>
      <w:r>
        <w:rPr>
          <w:spacing w:val="-5"/>
        </w:rPr>
        <w:t xml:space="preserve"> </w:t>
      </w:r>
      <w:r>
        <w:t>esperando</w:t>
      </w:r>
      <w:r>
        <w:rPr>
          <w:spacing w:val="-5"/>
        </w:rPr>
        <w:t xml:space="preserve"> </w:t>
      </w:r>
      <w:r>
        <w:t>su</w:t>
      </w:r>
      <w:r>
        <w:rPr>
          <w:spacing w:val="-3"/>
        </w:rPr>
        <w:t xml:space="preserve"> </w:t>
      </w:r>
      <w:r>
        <w:t>camino</w:t>
      </w:r>
      <w:r>
        <w:rPr>
          <w:spacing w:val="-3"/>
        </w:rPr>
        <w:t xml:space="preserve"> </w:t>
      </w:r>
      <w:r>
        <w:t>durante</w:t>
      </w:r>
      <w:r>
        <w:rPr>
          <w:spacing w:val="-4"/>
        </w:rPr>
        <w:t xml:space="preserve"> </w:t>
      </w:r>
      <w:r>
        <w:t>décadas.</w:t>
      </w:r>
      <w:r>
        <w:rPr>
          <w:spacing w:val="-3"/>
        </w:rPr>
        <w:t xml:space="preserve"> </w:t>
      </w:r>
      <w:r>
        <w:t>Las víctimas del conflicto armado son a la vez el rostro del sufrimiento y el testimonio del compromiso</w:t>
      </w:r>
      <w:r>
        <w:rPr>
          <w:spacing w:val="-2"/>
        </w:rPr>
        <w:t xml:space="preserve"> </w:t>
      </w:r>
      <w:r>
        <w:t>por</w:t>
      </w:r>
      <w:r>
        <w:rPr>
          <w:spacing w:val="-1"/>
        </w:rPr>
        <w:t xml:space="preserve"> </w:t>
      </w:r>
      <w:r>
        <w:t>la</w:t>
      </w:r>
      <w:r>
        <w:rPr>
          <w:spacing w:val="-1"/>
        </w:rPr>
        <w:t xml:space="preserve"> </w:t>
      </w:r>
      <w:r>
        <w:t>no</w:t>
      </w:r>
      <w:r>
        <w:rPr>
          <w:spacing w:val="-1"/>
        </w:rPr>
        <w:t xml:space="preserve"> </w:t>
      </w:r>
      <w:r>
        <w:t>repetición.</w:t>
      </w:r>
      <w:r>
        <w:rPr>
          <w:spacing w:val="-1"/>
        </w:rPr>
        <w:t xml:space="preserve"> </w:t>
      </w:r>
      <w:r>
        <w:t>Han</w:t>
      </w:r>
      <w:r>
        <w:rPr>
          <w:spacing w:val="-1"/>
        </w:rPr>
        <w:t xml:space="preserve"> </w:t>
      </w:r>
      <w:r>
        <w:t>sido</w:t>
      </w:r>
      <w:r>
        <w:rPr>
          <w:spacing w:val="-1"/>
        </w:rPr>
        <w:t xml:space="preserve"> </w:t>
      </w:r>
      <w:r>
        <w:t>quienes</w:t>
      </w:r>
      <w:r>
        <w:rPr>
          <w:spacing w:val="-1"/>
        </w:rPr>
        <w:t xml:space="preserve"> </w:t>
      </w:r>
      <w:r>
        <w:t>ha</w:t>
      </w:r>
      <w:r>
        <w:rPr>
          <w:spacing w:val="-1"/>
        </w:rPr>
        <w:t xml:space="preserve"> </w:t>
      </w:r>
      <w:r>
        <w:t>empujado</w:t>
      </w:r>
      <w:r>
        <w:rPr>
          <w:spacing w:val="-1"/>
        </w:rPr>
        <w:t xml:space="preserve"> </w:t>
      </w:r>
      <w:r>
        <w:t>este</w:t>
      </w:r>
      <w:r>
        <w:rPr>
          <w:spacing w:val="-1"/>
        </w:rPr>
        <w:t xml:space="preserve"> </w:t>
      </w:r>
      <w:r>
        <w:t>proceso</w:t>
      </w:r>
      <w:r>
        <w:rPr>
          <w:spacing w:val="-1"/>
        </w:rPr>
        <w:t xml:space="preserve"> </w:t>
      </w:r>
      <w:r>
        <w:t>y</w:t>
      </w:r>
      <w:r>
        <w:rPr>
          <w:spacing w:val="-1"/>
        </w:rPr>
        <w:t xml:space="preserve"> </w:t>
      </w:r>
      <w:r>
        <w:t>quienes</w:t>
      </w:r>
      <w:r>
        <w:rPr>
          <w:spacing w:val="-1"/>
        </w:rPr>
        <w:t xml:space="preserve"> </w:t>
      </w:r>
      <w:r>
        <w:t>han mantenido la resistencia en muchos territorios del país en los momentos más difíciles, en defensa de la vida. La paz desde arriba es parte del Acuerdo de Paz logrado y de esa paz extensa</w:t>
      </w:r>
      <w:r>
        <w:rPr>
          <w:spacing w:val="-6"/>
        </w:rPr>
        <w:t xml:space="preserve"> </w:t>
      </w:r>
      <w:r>
        <w:t>que</w:t>
      </w:r>
      <w:r>
        <w:rPr>
          <w:spacing w:val="-6"/>
        </w:rPr>
        <w:t xml:space="preserve"> </w:t>
      </w:r>
      <w:r>
        <w:t>Colombia</w:t>
      </w:r>
      <w:r>
        <w:rPr>
          <w:spacing w:val="-6"/>
        </w:rPr>
        <w:t xml:space="preserve"> </w:t>
      </w:r>
      <w:r>
        <w:t>anhela,</w:t>
      </w:r>
      <w:r>
        <w:rPr>
          <w:spacing w:val="-6"/>
        </w:rPr>
        <w:t xml:space="preserve"> </w:t>
      </w:r>
      <w:r>
        <w:t>exige</w:t>
      </w:r>
      <w:r>
        <w:rPr>
          <w:spacing w:val="-7"/>
        </w:rPr>
        <w:t xml:space="preserve"> </w:t>
      </w:r>
      <w:r>
        <w:t>y</w:t>
      </w:r>
      <w:r>
        <w:rPr>
          <w:spacing w:val="-5"/>
        </w:rPr>
        <w:t xml:space="preserve"> </w:t>
      </w:r>
      <w:r>
        <w:t>necesita</w:t>
      </w:r>
      <w:r>
        <w:rPr>
          <w:spacing w:val="-6"/>
        </w:rPr>
        <w:t xml:space="preserve"> </w:t>
      </w:r>
      <w:r>
        <w:t>todavía</w:t>
      </w:r>
      <w:r>
        <w:rPr>
          <w:spacing w:val="-6"/>
        </w:rPr>
        <w:t xml:space="preserve"> </w:t>
      </w:r>
      <w:r>
        <w:t>completar.</w:t>
      </w:r>
      <w:r>
        <w:rPr>
          <w:spacing w:val="-6"/>
        </w:rPr>
        <w:t xml:space="preserve"> </w:t>
      </w:r>
      <w:r>
        <w:t>La</w:t>
      </w:r>
      <w:r>
        <w:rPr>
          <w:spacing w:val="-5"/>
        </w:rPr>
        <w:t xml:space="preserve"> </w:t>
      </w:r>
      <w:r>
        <w:t>paz</w:t>
      </w:r>
      <w:r>
        <w:rPr>
          <w:spacing w:val="-6"/>
        </w:rPr>
        <w:t xml:space="preserve"> </w:t>
      </w:r>
      <w:r>
        <w:t>desde</w:t>
      </w:r>
      <w:r>
        <w:rPr>
          <w:spacing w:val="-5"/>
        </w:rPr>
        <w:t xml:space="preserve"> </w:t>
      </w:r>
      <w:r>
        <w:t>abajo,</w:t>
      </w:r>
      <w:r>
        <w:rPr>
          <w:spacing w:val="-6"/>
        </w:rPr>
        <w:t xml:space="preserve"> </w:t>
      </w:r>
      <w:r>
        <w:t>desde los territorios del olvido, es la energía transformadora en la que se basa la experiencia de la Comisión de la Verdad. Las dinámicas de la guerra y la búsqueda de la paz han tejido la historia de Colombia.</w:t>
      </w:r>
    </w:p>
    <w:p w:rsidR="003804AC" w:rsidRDefault="00AF18A5" w:rsidP="00012CBA">
      <w:r>
        <w:t>La</w:t>
      </w:r>
      <w:r>
        <w:rPr>
          <w:spacing w:val="-8"/>
        </w:rPr>
        <w:t xml:space="preserve"> </w:t>
      </w:r>
      <w:r>
        <w:t>injerencia</w:t>
      </w:r>
      <w:r>
        <w:rPr>
          <w:spacing w:val="-8"/>
        </w:rPr>
        <w:t xml:space="preserve"> </w:t>
      </w:r>
      <w:r>
        <w:t>e</w:t>
      </w:r>
      <w:r>
        <w:rPr>
          <w:spacing w:val="-8"/>
        </w:rPr>
        <w:t xml:space="preserve"> </w:t>
      </w:r>
      <w:r>
        <w:t>influencia</w:t>
      </w:r>
      <w:r>
        <w:rPr>
          <w:spacing w:val="-8"/>
        </w:rPr>
        <w:t xml:space="preserve"> </w:t>
      </w:r>
      <w:r>
        <w:t>de</w:t>
      </w:r>
      <w:r>
        <w:rPr>
          <w:spacing w:val="-8"/>
        </w:rPr>
        <w:t xml:space="preserve"> </w:t>
      </w:r>
      <w:r>
        <w:t>los</w:t>
      </w:r>
      <w:r>
        <w:rPr>
          <w:spacing w:val="-9"/>
        </w:rPr>
        <w:t xml:space="preserve"> </w:t>
      </w:r>
      <w:r>
        <w:t>actores</w:t>
      </w:r>
      <w:r>
        <w:rPr>
          <w:spacing w:val="-8"/>
        </w:rPr>
        <w:t xml:space="preserve"> </w:t>
      </w:r>
      <w:r>
        <w:t>extranjeros</w:t>
      </w:r>
      <w:r>
        <w:rPr>
          <w:spacing w:val="-8"/>
        </w:rPr>
        <w:t xml:space="preserve"> </w:t>
      </w:r>
      <w:r>
        <w:t>ha</w:t>
      </w:r>
      <w:r>
        <w:rPr>
          <w:spacing w:val="-8"/>
        </w:rPr>
        <w:t xml:space="preserve"> </w:t>
      </w:r>
      <w:r>
        <w:t>sido</w:t>
      </w:r>
      <w:r>
        <w:rPr>
          <w:spacing w:val="-9"/>
        </w:rPr>
        <w:t xml:space="preserve"> </w:t>
      </w:r>
      <w:r>
        <w:t>constante</w:t>
      </w:r>
      <w:r>
        <w:rPr>
          <w:spacing w:val="-8"/>
        </w:rPr>
        <w:t xml:space="preserve"> </w:t>
      </w:r>
      <w:r>
        <w:t>en</w:t>
      </w:r>
      <w:r>
        <w:rPr>
          <w:spacing w:val="-8"/>
        </w:rPr>
        <w:t xml:space="preserve"> </w:t>
      </w:r>
      <w:r>
        <w:t>los</w:t>
      </w:r>
      <w:r>
        <w:rPr>
          <w:spacing w:val="-8"/>
        </w:rPr>
        <w:t xml:space="preserve"> </w:t>
      </w:r>
      <w:r>
        <w:t>escenarios</w:t>
      </w:r>
      <w:r>
        <w:rPr>
          <w:spacing w:val="-8"/>
        </w:rPr>
        <w:t xml:space="preserve"> </w:t>
      </w:r>
      <w:r>
        <w:t>de la guerra colombiana en el pasado, pero es innegable la centralidad de la Comunidad Internacional en las negociaciones políticas que han dado lugar a este proceso y en la construcción de la paz. Esto obedece a que ha habido actores claves que fueron soportes ideológicos o militares de los actores del conflicto, que, sin embargo, concentraron sus esfuerzos para facilitar la negociación con las FARC-EP y el posterior escenario de facilitación de diálogos con el ELN, primero en Ecuador y luego en Cuba.</w:t>
      </w:r>
    </w:p>
    <w:p w:rsidR="003804AC" w:rsidRDefault="00AF18A5" w:rsidP="00012CBA">
      <w:r>
        <w:t>El</w:t>
      </w:r>
      <w:r>
        <w:rPr>
          <w:spacing w:val="-8"/>
        </w:rPr>
        <w:t xml:space="preserve"> </w:t>
      </w:r>
      <w:r>
        <w:t>conflicto</w:t>
      </w:r>
      <w:r>
        <w:rPr>
          <w:spacing w:val="-9"/>
        </w:rPr>
        <w:t xml:space="preserve"> </w:t>
      </w:r>
      <w:r>
        <w:t>armado</w:t>
      </w:r>
      <w:r>
        <w:rPr>
          <w:spacing w:val="-9"/>
        </w:rPr>
        <w:t xml:space="preserve"> </w:t>
      </w:r>
      <w:r>
        <w:t>ha</w:t>
      </w:r>
      <w:r>
        <w:rPr>
          <w:spacing w:val="-9"/>
        </w:rPr>
        <w:t xml:space="preserve"> </w:t>
      </w:r>
      <w:r>
        <w:t>tenido</w:t>
      </w:r>
      <w:r>
        <w:rPr>
          <w:spacing w:val="-8"/>
        </w:rPr>
        <w:t xml:space="preserve"> </w:t>
      </w:r>
      <w:r>
        <w:t>afectación</w:t>
      </w:r>
      <w:r>
        <w:rPr>
          <w:spacing w:val="-9"/>
        </w:rPr>
        <w:t xml:space="preserve"> </w:t>
      </w:r>
      <w:r>
        <w:t>regional</w:t>
      </w:r>
      <w:r>
        <w:rPr>
          <w:spacing w:val="-8"/>
        </w:rPr>
        <w:t xml:space="preserve"> </w:t>
      </w:r>
      <w:r>
        <w:t>y</w:t>
      </w:r>
      <w:r>
        <w:rPr>
          <w:spacing w:val="-9"/>
        </w:rPr>
        <w:t xml:space="preserve"> </w:t>
      </w:r>
      <w:r>
        <w:t>en</w:t>
      </w:r>
      <w:r>
        <w:rPr>
          <w:spacing w:val="-8"/>
        </w:rPr>
        <w:t xml:space="preserve"> </w:t>
      </w:r>
      <w:r>
        <w:t>toda</w:t>
      </w:r>
      <w:r>
        <w:rPr>
          <w:spacing w:val="-8"/>
        </w:rPr>
        <w:t xml:space="preserve"> </w:t>
      </w:r>
      <w:r>
        <w:t>América</w:t>
      </w:r>
      <w:r>
        <w:rPr>
          <w:spacing w:val="-8"/>
        </w:rPr>
        <w:t xml:space="preserve"> </w:t>
      </w:r>
      <w:r>
        <w:t>Latina,</w:t>
      </w:r>
      <w:r>
        <w:rPr>
          <w:spacing w:val="-8"/>
        </w:rPr>
        <w:t xml:space="preserve"> </w:t>
      </w:r>
      <w:r>
        <w:t>pero</w:t>
      </w:r>
      <w:r>
        <w:rPr>
          <w:spacing w:val="-9"/>
        </w:rPr>
        <w:t xml:space="preserve"> </w:t>
      </w:r>
      <w:r>
        <w:t>también superarlo</w:t>
      </w:r>
      <w:r>
        <w:rPr>
          <w:spacing w:val="-2"/>
        </w:rPr>
        <w:t xml:space="preserve"> </w:t>
      </w:r>
      <w:r>
        <w:t>pasa</w:t>
      </w:r>
      <w:r>
        <w:rPr>
          <w:spacing w:val="-2"/>
        </w:rPr>
        <w:t xml:space="preserve"> </w:t>
      </w:r>
      <w:r>
        <w:t>por</w:t>
      </w:r>
      <w:r>
        <w:rPr>
          <w:spacing w:val="-2"/>
        </w:rPr>
        <w:t xml:space="preserve"> </w:t>
      </w:r>
      <w:r>
        <w:t>políticas</w:t>
      </w:r>
      <w:r>
        <w:rPr>
          <w:spacing w:val="-2"/>
        </w:rPr>
        <w:t xml:space="preserve"> </w:t>
      </w:r>
      <w:r>
        <w:t>regionales</w:t>
      </w:r>
      <w:r>
        <w:rPr>
          <w:spacing w:val="-2"/>
        </w:rPr>
        <w:t xml:space="preserve"> </w:t>
      </w:r>
      <w:r>
        <w:t>y</w:t>
      </w:r>
      <w:r>
        <w:rPr>
          <w:spacing w:val="-2"/>
        </w:rPr>
        <w:t xml:space="preserve"> </w:t>
      </w:r>
      <w:r>
        <w:t>de</w:t>
      </w:r>
      <w:r>
        <w:rPr>
          <w:spacing w:val="-2"/>
        </w:rPr>
        <w:t xml:space="preserve"> </w:t>
      </w:r>
      <w:r>
        <w:t>apoyo</w:t>
      </w:r>
      <w:r>
        <w:rPr>
          <w:spacing w:val="-2"/>
        </w:rPr>
        <w:t xml:space="preserve"> </w:t>
      </w:r>
      <w:r>
        <w:t>internacional</w:t>
      </w:r>
      <w:r>
        <w:rPr>
          <w:spacing w:val="-2"/>
        </w:rPr>
        <w:t xml:space="preserve"> </w:t>
      </w:r>
      <w:r>
        <w:t>coordinadas</w:t>
      </w:r>
      <w:r>
        <w:rPr>
          <w:spacing w:val="-2"/>
        </w:rPr>
        <w:t xml:space="preserve"> </w:t>
      </w:r>
      <w:r>
        <w:t>para</w:t>
      </w:r>
      <w:r>
        <w:rPr>
          <w:spacing w:val="-2"/>
        </w:rPr>
        <w:t xml:space="preserve"> </w:t>
      </w:r>
      <w:r>
        <w:t>una</w:t>
      </w:r>
      <w:r>
        <w:rPr>
          <w:spacing w:val="-3"/>
        </w:rPr>
        <w:t xml:space="preserve"> </w:t>
      </w:r>
      <w:r>
        <w:t>salida política al conflicto aún pendiente de completar, así como la promoción de derechos y seguridad</w:t>
      </w:r>
      <w:r>
        <w:rPr>
          <w:spacing w:val="-8"/>
        </w:rPr>
        <w:t xml:space="preserve"> </w:t>
      </w:r>
      <w:r>
        <w:t>humana</w:t>
      </w:r>
      <w:r>
        <w:rPr>
          <w:spacing w:val="-8"/>
        </w:rPr>
        <w:t xml:space="preserve"> </w:t>
      </w:r>
      <w:r>
        <w:t>en</w:t>
      </w:r>
      <w:r>
        <w:rPr>
          <w:spacing w:val="-7"/>
        </w:rPr>
        <w:t xml:space="preserve"> </w:t>
      </w:r>
      <w:r>
        <w:t>las</w:t>
      </w:r>
      <w:r>
        <w:rPr>
          <w:spacing w:val="-8"/>
        </w:rPr>
        <w:t xml:space="preserve"> </w:t>
      </w:r>
      <w:r>
        <w:t>zonas</w:t>
      </w:r>
      <w:r>
        <w:rPr>
          <w:spacing w:val="-7"/>
        </w:rPr>
        <w:t xml:space="preserve"> </w:t>
      </w:r>
      <w:r>
        <w:t>de</w:t>
      </w:r>
      <w:r>
        <w:rPr>
          <w:spacing w:val="-8"/>
        </w:rPr>
        <w:t xml:space="preserve"> </w:t>
      </w:r>
      <w:r>
        <w:t>frontera.</w:t>
      </w:r>
      <w:r>
        <w:rPr>
          <w:spacing w:val="-8"/>
        </w:rPr>
        <w:t xml:space="preserve"> </w:t>
      </w:r>
      <w:r>
        <w:t>El</w:t>
      </w:r>
      <w:r>
        <w:rPr>
          <w:spacing w:val="-8"/>
        </w:rPr>
        <w:t xml:space="preserve"> </w:t>
      </w:r>
      <w:r>
        <w:t>acuerdo</w:t>
      </w:r>
      <w:r>
        <w:rPr>
          <w:spacing w:val="-7"/>
        </w:rPr>
        <w:t xml:space="preserve"> </w:t>
      </w:r>
      <w:r>
        <w:t>y</w:t>
      </w:r>
      <w:r>
        <w:rPr>
          <w:spacing w:val="-8"/>
        </w:rPr>
        <w:t xml:space="preserve"> </w:t>
      </w:r>
      <w:r>
        <w:t>el</w:t>
      </w:r>
      <w:r>
        <w:rPr>
          <w:spacing w:val="-8"/>
        </w:rPr>
        <w:t xml:space="preserve"> </w:t>
      </w:r>
      <w:r>
        <w:t>anhelo</w:t>
      </w:r>
      <w:r>
        <w:rPr>
          <w:spacing w:val="-7"/>
        </w:rPr>
        <w:t xml:space="preserve"> </w:t>
      </w:r>
      <w:r>
        <w:t>de</w:t>
      </w:r>
      <w:r>
        <w:rPr>
          <w:spacing w:val="-8"/>
        </w:rPr>
        <w:t xml:space="preserve"> </w:t>
      </w:r>
      <w:r>
        <w:t>paz</w:t>
      </w:r>
      <w:r>
        <w:rPr>
          <w:spacing w:val="-9"/>
        </w:rPr>
        <w:t xml:space="preserve"> </w:t>
      </w:r>
      <w:r>
        <w:t>en</w:t>
      </w:r>
      <w:r>
        <w:rPr>
          <w:spacing w:val="-7"/>
        </w:rPr>
        <w:t xml:space="preserve"> </w:t>
      </w:r>
      <w:r>
        <w:lastRenderedPageBreak/>
        <w:t>Colombia</w:t>
      </w:r>
      <w:r>
        <w:rPr>
          <w:spacing w:val="-8"/>
        </w:rPr>
        <w:t xml:space="preserve"> </w:t>
      </w:r>
      <w:r>
        <w:t>pasan por la paz territorial. Mientras el conflicto se desplazó hacia las fronteras en el marco de la guerra, hoy los territorios de fronteras muestran que la paz tiene también una necesaria dimensión</w:t>
      </w:r>
      <w:r>
        <w:rPr>
          <w:spacing w:val="-8"/>
        </w:rPr>
        <w:t xml:space="preserve"> </w:t>
      </w:r>
      <w:r>
        <w:t>regional.</w:t>
      </w:r>
      <w:r>
        <w:rPr>
          <w:spacing w:val="-9"/>
        </w:rPr>
        <w:t xml:space="preserve"> </w:t>
      </w:r>
      <w:r>
        <w:t>Además</w:t>
      </w:r>
      <w:r>
        <w:rPr>
          <w:spacing w:val="-8"/>
        </w:rPr>
        <w:t xml:space="preserve"> </w:t>
      </w:r>
      <w:r>
        <w:t>de</w:t>
      </w:r>
      <w:r>
        <w:rPr>
          <w:spacing w:val="-8"/>
        </w:rPr>
        <w:t xml:space="preserve"> </w:t>
      </w:r>
      <w:r>
        <w:t>Colombia,</w:t>
      </w:r>
      <w:r>
        <w:rPr>
          <w:spacing w:val="-9"/>
        </w:rPr>
        <w:t xml:space="preserve"> </w:t>
      </w:r>
      <w:r>
        <w:t>los</w:t>
      </w:r>
      <w:r>
        <w:rPr>
          <w:spacing w:val="-8"/>
        </w:rPr>
        <w:t xml:space="preserve"> </w:t>
      </w:r>
      <w:r>
        <w:t>países</w:t>
      </w:r>
      <w:r>
        <w:rPr>
          <w:spacing w:val="-8"/>
        </w:rPr>
        <w:t xml:space="preserve"> </w:t>
      </w:r>
      <w:r>
        <w:t>de</w:t>
      </w:r>
      <w:r>
        <w:rPr>
          <w:spacing w:val="-9"/>
        </w:rPr>
        <w:t xml:space="preserve"> </w:t>
      </w:r>
      <w:r>
        <w:t>la</w:t>
      </w:r>
      <w:r>
        <w:rPr>
          <w:spacing w:val="-8"/>
        </w:rPr>
        <w:t xml:space="preserve"> </w:t>
      </w:r>
      <w:r>
        <w:t>región,</w:t>
      </w:r>
      <w:r>
        <w:rPr>
          <w:spacing w:val="-8"/>
        </w:rPr>
        <w:t xml:space="preserve"> </w:t>
      </w:r>
      <w:r>
        <w:t>especialmente</w:t>
      </w:r>
      <w:r>
        <w:rPr>
          <w:spacing w:val="-9"/>
        </w:rPr>
        <w:t xml:space="preserve"> </w:t>
      </w:r>
      <w:r>
        <w:t>los</w:t>
      </w:r>
      <w:r>
        <w:rPr>
          <w:spacing w:val="-8"/>
        </w:rPr>
        <w:t xml:space="preserve"> </w:t>
      </w:r>
      <w:r>
        <w:t>vecinos que se vieron afectados por el conflicto armado necesitan que el Acuerdo de Paz se cumpla y</w:t>
      </w:r>
      <w:r>
        <w:rPr>
          <w:spacing w:val="-14"/>
        </w:rPr>
        <w:t xml:space="preserve"> </w:t>
      </w:r>
      <w:r>
        <w:t>que</w:t>
      </w:r>
      <w:r>
        <w:rPr>
          <w:spacing w:val="-14"/>
        </w:rPr>
        <w:t xml:space="preserve"> </w:t>
      </w:r>
      <w:r>
        <w:t>la</w:t>
      </w:r>
      <w:r>
        <w:rPr>
          <w:spacing w:val="-14"/>
        </w:rPr>
        <w:t xml:space="preserve"> </w:t>
      </w:r>
      <w:r>
        <w:t>paz</w:t>
      </w:r>
      <w:r>
        <w:rPr>
          <w:spacing w:val="-15"/>
        </w:rPr>
        <w:t xml:space="preserve"> </w:t>
      </w:r>
      <w:r>
        <w:t>se</w:t>
      </w:r>
      <w:r>
        <w:rPr>
          <w:spacing w:val="-14"/>
        </w:rPr>
        <w:t xml:space="preserve"> </w:t>
      </w:r>
      <w:r>
        <w:t>extienda</w:t>
      </w:r>
      <w:r>
        <w:rPr>
          <w:spacing w:val="-14"/>
        </w:rPr>
        <w:t xml:space="preserve"> </w:t>
      </w:r>
      <w:r>
        <w:t>a</w:t>
      </w:r>
      <w:r>
        <w:rPr>
          <w:spacing w:val="-15"/>
        </w:rPr>
        <w:t xml:space="preserve"> </w:t>
      </w:r>
      <w:r>
        <w:t>otros</w:t>
      </w:r>
      <w:r>
        <w:rPr>
          <w:spacing w:val="-14"/>
        </w:rPr>
        <w:t xml:space="preserve"> </w:t>
      </w:r>
      <w:r>
        <w:t>actores.</w:t>
      </w:r>
      <w:r>
        <w:rPr>
          <w:spacing w:val="-15"/>
        </w:rPr>
        <w:t xml:space="preserve"> </w:t>
      </w:r>
      <w:r>
        <w:t>De</w:t>
      </w:r>
      <w:r>
        <w:rPr>
          <w:spacing w:val="-14"/>
        </w:rPr>
        <w:t xml:space="preserve"> </w:t>
      </w:r>
      <w:r>
        <w:t>la</w:t>
      </w:r>
      <w:r>
        <w:rPr>
          <w:spacing w:val="-14"/>
        </w:rPr>
        <w:t xml:space="preserve"> </w:t>
      </w:r>
      <w:r>
        <w:t>misma</w:t>
      </w:r>
      <w:r>
        <w:rPr>
          <w:spacing w:val="-14"/>
        </w:rPr>
        <w:t xml:space="preserve"> </w:t>
      </w:r>
      <w:r>
        <w:t>forma,</w:t>
      </w:r>
      <w:r>
        <w:rPr>
          <w:spacing w:val="-14"/>
        </w:rPr>
        <w:t xml:space="preserve"> </w:t>
      </w:r>
      <w:r>
        <w:t>se</w:t>
      </w:r>
      <w:r>
        <w:rPr>
          <w:spacing w:val="-15"/>
        </w:rPr>
        <w:t xml:space="preserve"> </w:t>
      </w:r>
      <w:r>
        <w:t>requiere</w:t>
      </w:r>
      <w:r>
        <w:rPr>
          <w:spacing w:val="-14"/>
        </w:rPr>
        <w:t xml:space="preserve"> </w:t>
      </w:r>
      <w:r>
        <w:t>coordinar</w:t>
      </w:r>
      <w:r>
        <w:rPr>
          <w:spacing w:val="-15"/>
        </w:rPr>
        <w:t xml:space="preserve"> </w:t>
      </w:r>
      <w:r>
        <w:t>las</w:t>
      </w:r>
      <w:r>
        <w:rPr>
          <w:spacing w:val="-14"/>
        </w:rPr>
        <w:t xml:space="preserve"> </w:t>
      </w:r>
      <w:r>
        <w:t>políticas en las zonas</w:t>
      </w:r>
      <w:r>
        <w:rPr>
          <w:spacing w:val="-1"/>
        </w:rPr>
        <w:t xml:space="preserve"> </w:t>
      </w:r>
      <w:r>
        <w:t>de frontera</w:t>
      </w:r>
      <w:r>
        <w:rPr>
          <w:spacing w:val="-1"/>
        </w:rPr>
        <w:t xml:space="preserve"> </w:t>
      </w:r>
      <w:r>
        <w:t>desde un enfoque de promoción de derechos, construcción de</w:t>
      </w:r>
      <w:r>
        <w:rPr>
          <w:spacing w:val="-1"/>
        </w:rPr>
        <w:t xml:space="preserve"> </w:t>
      </w:r>
      <w:r>
        <w:t>paz y seguridad humana. Los pueblos indígenas y afrodescendientes, así como las comunidades binacionales que tienen vínculos y territorios compartidos deben ser considerados en esa construcción de la paz.</w:t>
      </w:r>
    </w:p>
    <w:p w:rsidR="003804AC" w:rsidRDefault="00AF18A5" w:rsidP="00012CBA">
      <w:r>
        <w:t>Entre los factores que han llevado a las afectaciones tanto a las poblaciones de frontera como en las dinámicas del conflicto armado y la influencia en dichos países, están algunos que deben dejar de ser parte del problema y convertirse en soluciones: la baja presencia institucional que posibilitó la desprotección de las comunidades; el abandono que ha conllevado</w:t>
      </w:r>
      <w:r>
        <w:rPr>
          <w:spacing w:val="-6"/>
        </w:rPr>
        <w:t xml:space="preserve"> </w:t>
      </w:r>
      <w:r>
        <w:t>a</w:t>
      </w:r>
      <w:r>
        <w:rPr>
          <w:spacing w:val="-7"/>
        </w:rPr>
        <w:t xml:space="preserve"> </w:t>
      </w:r>
      <w:r>
        <w:t>constantes</w:t>
      </w:r>
      <w:r>
        <w:rPr>
          <w:spacing w:val="-6"/>
        </w:rPr>
        <w:t xml:space="preserve"> </w:t>
      </w:r>
      <w:r>
        <w:t>abusos</w:t>
      </w:r>
      <w:r>
        <w:rPr>
          <w:spacing w:val="-6"/>
        </w:rPr>
        <w:t xml:space="preserve"> </w:t>
      </w:r>
      <w:r>
        <w:t>de</w:t>
      </w:r>
      <w:r>
        <w:rPr>
          <w:spacing w:val="-6"/>
        </w:rPr>
        <w:t xml:space="preserve"> </w:t>
      </w:r>
      <w:r>
        <w:t>autoridad</w:t>
      </w:r>
      <w:r>
        <w:rPr>
          <w:spacing w:val="-6"/>
        </w:rPr>
        <w:t xml:space="preserve"> </w:t>
      </w:r>
      <w:r>
        <w:t>por</w:t>
      </w:r>
      <w:r>
        <w:rPr>
          <w:spacing w:val="-5"/>
        </w:rPr>
        <w:t xml:space="preserve"> </w:t>
      </w:r>
      <w:r>
        <w:t>parte</w:t>
      </w:r>
      <w:r>
        <w:rPr>
          <w:spacing w:val="-6"/>
        </w:rPr>
        <w:t xml:space="preserve"> </w:t>
      </w:r>
      <w:r>
        <w:t>de</w:t>
      </w:r>
      <w:r>
        <w:rPr>
          <w:spacing w:val="-6"/>
        </w:rPr>
        <w:t xml:space="preserve"> </w:t>
      </w:r>
      <w:r>
        <w:t>los</w:t>
      </w:r>
      <w:r>
        <w:rPr>
          <w:spacing w:val="-7"/>
        </w:rPr>
        <w:t xml:space="preserve"> </w:t>
      </w:r>
      <w:r>
        <w:t>ejércitos</w:t>
      </w:r>
      <w:r>
        <w:rPr>
          <w:spacing w:val="-6"/>
        </w:rPr>
        <w:t xml:space="preserve"> </w:t>
      </w:r>
      <w:r>
        <w:t>o</w:t>
      </w:r>
      <w:r>
        <w:rPr>
          <w:spacing w:val="-6"/>
        </w:rPr>
        <w:t xml:space="preserve"> </w:t>
      </w:r>
      <w:r>
        <w:t>grupos</w:t>
      </w:r>
      <w:r>
        <w:rPr>
          <w:spacing w:val="-6"/>
        </w:rPr>
        <w:t xml:space="preserve"> </w:t>
      </w:r>
      <w:r>
        <w:t>paramilitares y del narcotráfico; los grupos guerrilleros que han implicado la instauración de nuevos órdenes y formas de violencia contra pobladores y comunidades; el control de los negocios ilegales en la frontera; la llegada de la fuerza pública a las fronteras con una visión contrainsurgente que reproduce los mismos problemas que se han dado históricamente.</w:t>
      </w:r>
    </w:p>
    <w:p w:rsidR="003804AC" w:rsidRDefault="00AF18A5" w:rsidP="00012CBA">
      <w:r>
        <w:t>En</w:t>
      </w:r>
      <w:r>
        <w:rPr>
          <w:spacing w:val="-6"/>
        </w:rPr>
        <w:t xml:space="preserve"> </w:t>
      </w:r>
      <w:r>
        <w:t>el</w:t>
      </w:r>
      <w:r>
        <w:rPr>
          <w:spacing w:val="-5"/>
        </w:rPr>
        <w:t xml:space="preserve"> </w:t>
      </w:r>
      <w:r>
        <w:t>proceso</w:t>
      </w:r>
      <w:r>
        <w:rPr>
          <w:spacing w:val="-6"/>
        </w:rPr>
        <w:t xml:space="preserve"> </w:t>
      </w:r>
      <w:r>
        <w:t>de</w:t>
      </w:r>
      <w:r>
        <w:rPr>
          <w:spacing w:val="-6"/>
        </w:rPr>
        <w:t xml:space="preserve"> </w:t>
      </w:r>
      <w:r>
        <w:t>paz</w:t>
      </w:r>
      <w:r>
        <w:rPr>
          <w:spacing w:val="-6"/>
        </w:rPr>
        <w:t xml:space="preserve"> </w:t>
      </w:r>
      <w:r>
        <w:t>con</w:t>
      </w:r>
      <w:r>
        <w:rPr>
          <w:spacing w:val="-7"/>
        </w:rPr>
        <w:t xml:space="preserve"> </w:t>
      </w:r>
      <w:r>
        <w:t>las</w:t>
      </w:r>
      <w:r>
        <w:rPr>
          <w:spacing w:val="-7"/>
        </w:rPr>
        <w:t xml:space="preserve"> </w:t>
      </w:r>
      <w:r>
        <w:t>FARC-EP,</w:t>
      </w:r>
      <w:r>
        <w:rPr>
          <w:spacing w:val="-6"/>
        </w:rPr>
        <w:t xml:space="preserve"> </w:t>
      </w:r>
      <w:r>
        <w:t>los</w:t>
      </w:r>
      <w:r>
        <w:rPr>
          <w:spacing w:val="-6"/>
        </w:rPr>
        <w:t xml:space="preserve"> </w:t>
      </w:r>
      <w:r>
        <w:t>soportes</w:t>
      </w:r>
      <w:r>
        <w:rPr>
          <w:spacing w:val="-7"/>
        </w:rPr>
        <w:t xml:space="preserve"> </w:t>
      </w:r>
      <w:r>
        <w:t>internacionales</w:t>
      </w:r>
      <w:r>
        <w:rPr>
          <w:spacing w:val="-6"/>
        </w:rPr>
        <w:t xml:space="preserve"> </w:t>
      </w:r>
      <w:r>
        <w:t>del</w:t>
      </w:r>
      <w:r>
        <w:rPr>
          <w:spacing w:val="-5"/>
        </w:rPr>
        <w:t xml:space="preserve"> </w:t>
      </w:r>
      <w:r>
        <w:t>gobierno</w:t>
      </w:r>
      <w:r>
        <w:rPr>
          <w:spacing w:val="-7"/>
        </w:rPr>
        <w:t xml:space="preserve"> </w:t>
      </w:r>
      <w:r>
        <w:t>y</w:t>
      </w:r>
      <w:r>
        <w:rPr>
          <w:spacing w:val="-6"/>
        </w:rPr>
        <w:t xml:space="preserve"> </w:t>
      </w:r>
      <w:r>
        <w:t>de</w:t>
      </w:r>
      <w:r>
        <w:rPr>
          <w:spacing w:val="-7"/>
        </w:rPr>
        <w:t xml:space="preserve"> </w:t>
      </w:r>
      <w:r>
        <w:t>las guerrillas han sido un apoyo fundamental y la Comisión espera que lo sigan siendo en la negociación con el ELN y la salida global de sometimiento a la justicia de otros grupos, iniciada por</w:t>
      </w:r>
      <w:r>
        <w:rPr>
          <w:spacing w:val="-1"/>
        </w:rPr>
        <w:t xml:space="preserve"> </w:t>
      </w:r>
      <w:r>
        <w:t>el gobierno</w:t>
      </w:r>
      <w:r>
        <w:rPr>
          <w:spacing w:val="-1"/>
        </w:rPr>
        <w:t xml:space="preserve"> </w:t>
      </w:r>
      <w:r>
        <w:t>Santos. La</w:t>
      </w:r>
      <w:r>
        <w:rPr>
          <w:spacing w:val="-1"/>
        </w:rPr>
        <w:t xml:space="preserve"> </w:t>
      </w:r>
      <w:r>
        <w:t>mediación de actores</w:t>
      </w:r>
      <w:r>
        <w:rPr>
          <w:spacing w:val="-1"/>
        </w:rPr>
        <w:t xml:space="preserve"> </w:t>
      </w:r>
      <w:r>
        <w:t>internacionales</w:t>
      </w:r>
      <w:r>
        <w:rPr>
          <w:spacing w:val="-1"/>
        </w:rPr>
        <w:t xml:space="preserve"> </w:t>
      </w:r>
      <w:r>
        <w:t>y la</w:t>
      </w:r>
      <w:r>
        <w:rPr>
          <w:spacing w:val="-1"/>
        </w:rPr>
        <w:t xml:space="preserve"> </w:t>
      </w:r>
      <w:r>
        <w:lastRenderedPageBreak/>
        <w:t>protección del espacio de esas negociaciones han sido fundamentales. Así, tanto Cuba como EEUU cumplieron un rol clave para que el proceso de paz en la Habana llegara a la concreción del Acuerdo</w:t>
      </w:r>
      <w:r>
        <w:rPr>
          <w:spacing w:val="70"/>
        </w:rPr>
        <w:t xml:space="preserve"> </w:t>
      </w:r>
      <w:r>
        <w:t>de</w:t>
      </w:r>
      <w:r>
        <w:rPr>
          <w:spacing w:val="72"/>
        </w:rPr>
        <w:t xml:space="preserve"> </w:t>
      </w:r>
      <w:r>
        <w:t>Paz.</w:t>
      </w:r>
      <w:r>
        <w:rPr>
          <w:spacing w:val="73"/>
        </w:rPr>
        <w:t xml:space="preserve"> </w:t>
      </w:r>
      <w:r>
        <w:t>Pero</w:t>
      </w:r>
      <w:r>
        <w:rPr>
          <w:spacing w:val="72"/>
        </w:rPr>
        <w:t xml:space="preserve"> </w:t>
      </w:r>
      <w:r>
        <w:t>también</w:t>
      </w:r>
      <w:r>
        <w:rPr>
          <w:spacing w:val="71"/>
        </w:rPr>
        <w:t xml:space="preserve"> </w:t>
      </w:r>
      <w:r>
        <w:t>lo</w:t>
      </w:r>
      <w:r>
        <w:rPr>
          <w:spacing w:val="72"/>
        </w:rPr>
        <w:t xml:space="preserve"> </w:t>
      </w:r>
      <w:r>
        <w:t>fueron</w:t>
      </w:r>
      <w:r>
        <w:rPr>
          <w:spacing w:val="72"/>
        </w:rPr>
        <w:t xml:space="preserve"> </w:t>
      </w:r>
      <w:r>
        <w:t>países</w:t>
      </w:r>
      <w:r>
        <w:rPr>
          <w:spacing w:val="73"/>
        </w:rPr>
        <w:t xml:space="preserve"> </w:t>
      </w:r>
      <w:r>
        <w:t>percibidos</w:t>
      </w:r>
      <w:r>
        <w:rPr>
          <w:spacing w:val="72"/>
        </w:rPr>
        <w:t xml:space="preserve"> </w:t>
      </w:r>
      <w:r>
        <w:t>por</w:t>
      </w:r>
      <w:r>
        <w:rPr>
          <w:spacing w:val="72"/>
        </w:rPr>
        <w:t xml:space="preserve"> </w:t>
      </w:r>
      <w:r>
        <w:t>ambos</w:t>
      </w:r>
      <w:r>
        <w:rPr>
          <w:spacing w:val="73"/>
        </w:rPr>
        <w:t xml:space="preserve"> </w:t>
      </w:r>
      <w:r>
        <w:t>actores</w:t>
      </w:r>
      <w:r>
        <w:rPr>
          <w:spacing w:val="71"/>
        </w:rPr>
        <w:t xml:space="preserve"> </w:t>
      </w:r>
      <w:r>
        <w:rPr>
          <w:spacing w:val="-4"/>
        </w:rPr>
        <w:t>como</w:t>
      </w:r>
      <w:r w:rsidR="00012CBA">
        <w:t xml:space="preserve"> </w:t>
      </w:r>
      <w:r>
        <w:t>imparciales,</w:t>
      </w:r>
      <w:r>
        <w:rPr>
          <w:spacing w:val="-14"/>
        </w:rPr>
        <w:t xml:space="preserve"> </w:t>
      </w:r>
      <w:r>
        <w:t>como</w:t>
      </w:r>
      <w:r>
        <w:rPr>
          <w:spacing w:val="-13"/>
        </w:rPr>
        <w:t xml:space="preserve"> </w:t>
      </w:r>
      <w:r>
        <w:t>Noruega.</w:t>
      </w:r>
      <w:r>
        <w:rPr>
          <w:spacing w:val="-13"/>
        </w:rPr>
        <w:t xml:space="preserve"> </w:t>
      </w:r>
      <w:r>
        <w:t>En</w:t>
      </w:r>
      <w:r>
        <w:rPr>
          <w:spacing w:val="-13"/>
        </w:rPr>
        <w:t xml:space="preserve"> </w:t>
      </w:r>
      <w:r>
        <w:t>distintos</w:t>
      </w:r>
      <w:r>
        <w:rPr>
          <w:spacing w:val="-13"/>
        </w:rPr>
        <w:t xml:space="preserve"> </w:t>
      </w:r>
      <w:r>
        <w:t>momentos,</w:t>
      </w:r>
      <w:r>
        <w:rPr>
          <w:spacing w:val="-13"/>
        </w:rPr>
        <w:t xml:space="preserve"> </w:t>
      </w:r>
      <w:r>
        <w:t>los</w:t>
      </w:r>
      <w:r>
        <w:rPr>
          <w:spacing w:val="-13"/>
        </w:rPr>
        <w:t xml:space="preserve"> </w:t>
      </w:r>
      <w:r>
        <w:t>intentos</w:t>
      </w:r>
      <w:r>
        <w:rPr>
          <w:spacing w:val="-13"/>
        </w:rPr>
        <w:t xml:space="preserve"> </w:t>
      </w:r>
      <w:r>
        <w:t>de</w:t>
      </w:r>
      <w:r>
        <w:rPr>
          <w:spacing w:val="-13"/>
        </w:rPr>
        <w:t xml:space="preserve"> </w:t>
      </w:r>
      <w:r>
        <w:t>procesos</w:t>
      </w:r>
      <w:r>
        <w:rPr>
          <w:spacing w:val="-13"/>
        </w:rPr>
        <w:t xml:space="preserve"> </w:t>
      </w:r>
      <w:r>
        <w:t>de</w:t>
      </w:r>
      <w:r>
        <w:rPr>
          <w:spacing w:val="-13"/>
        </w:rPr>
        <w:t xml:space="preserve"> </w:t>
      </w:r>
      <w:r>
        <w:t>paz</w:t>
      </w:r>
      <w:r>
        <w:rPr>
          <w:spacing w:val="-13"/>
        </w:rPr>
        <w:t xml:space="preserve"> </w:t>
      </w:r>
      <w:r>
        <w:t>contaron con apoyo</w:t>
      </w:r>
      <w:r>
        <w:rPr>
          <w:spacing w:val="-1"/>
        </w:rPr>
        <w:t xml:space="preserve"> </w:t>
      </w:r>
      <w:r>
        <w:t>de países</w:t>
      </w:r>
      <w:r>
        <w:rPr>
          <w:spacing w:val="-1"/>
        </w:rPr>
        <w:t xml:space="preserve"> </w:t>
      </w:r>
      <w:r>
        <w:t>como Chile,</w:t>
      </w:r>
      <w:r>
        <w:rPr>
          <w:spacing w:val="-1"/>
        </w:rPr>
        <w:t xml:space="preserve"> </w:t>
      </w:r>
      <w:r>
        <w:t>México, Brasil,</w:t>
      </w:r>
      <w:r>
        <w:rPr>
          <w:spacing w:val="-1"/>
        </w:rPr>
        <w:t xml:space="preserve"> </w:t>
      </w:r>
      <w:r>
        <w:t>Venezuela,</w:t>
      </w:r>
      <w:r>
        <w:rPr>
          <w:spacing w:val="-1"/>
        </w:rPr>
        <w:t xml:space="preserve"> </w:t>
      </w:r>
      <w:r>
        <w:t>España, Suecia,</w:t>
      </w:r>
      <w:r>
        <w:rPr>
          <w:spacing w:val="-1"/>
        </w:rPr>
        <w:t xml:space="preserve"> </w:t>
      </w:r>
      <w:r>
        <w:t>Suiza,</w:t>
      </w:r>
      <w:r>
        <w:rPr>
          <w:spacing w:val="-1"/>
        </w:rPr>
        <w:t xml:space="preserve"> </w:t>
      </w:r>
      <w:r>
        <w:t>Irlanda y</w:t>
      </w:r>
      <w:r>
        <w:rPr>
          <w:spacing w:val="-5"/>
        </w:rPr>
        <w:t xml:space="preserve"> </w:t>
      </w:r>
      <w:r>
        <w:t>el</w:t>
      </w:r>
      <w:r>
        <w:rPr>
          <w:spacing w:val="-4"/>
        </w:rPr>
        <w:t xml:space="preserve"> </w:t>
      </w:r>
      <w:r>
        <w:t>Reino</w:t>
      </w:r>
      <w:r>
        <w:rPr>
          <w:spacing w:val="-6"/>
        </w:rPr>
        <w:t xml:space="preserve"> </w:t>
      </w:r>
      <w:r>
        <w:t>Unido</w:t>
      </w:r>
      <w:r>
        <w:rPr>
          <w:spacing w:val="-5"/>
        </w:rPr>
        <w:t xml:space="preserve"> </w:t>
      </w:r>
      <w:r>
        <w:t>o</w:t>
      </w:r>
      <w:r>
        <w:rPr>
          <w:spacing w:val="-5"/>
        </w:rPr>
        <w:t xml:space="preserve"> </w:t>
      </w:r>
      <w:r>
        <w:t>la</w:t>
      </w:r>
      <w:r>
        <w:rPr>
          <w:spacing w:val="-5"/>
        </w:rPr>
        <w:t xml:space="preserve"> </w:t>
      </w:r>
      <w:r>
        <w:t>propia</w:t>
      </w:r>
      <w:r>
        <w:rPr>
          <w:spacing w:val="-5"/>
        </w:rPr>
        <w:t xml:space="preserve"> </w:t>
      </w:r>
      <w:r>
        <w:t>UE,</w:t>
      </w:r>
      <w:r>
        <w:rPr>
          <w:spacing w:val="-5"/>
        </w:rPr>
        <w:t xml:space="preserve"> </w:t>
      </w:r>
      <w:r>
        <w:t>donde</w:t>
      </w:r>
      <w:r>
        <w:rPr>
          <w:spacing w:val="-5"/>
        </w:rPr>
        <w:t xml:space="preserve"> </w:t>
      </w:r>
      <w:r>
        <w:t>los</w:t>
      </w:r>
      <w:r>
        <w:rPr>
          <w:spacing w:val="-5"/>
        </w:rPr>
        <w:t xml:space="preserve"> </w:t>
      </w:r>
      <w:r>
        <w:t>países</w:t>
      </w:r>
      <w:r>
        <w:rPr>
          <w:spacing w:val="-6"/>
        </w:rPr>
        <w:t xml:space="preserve"> </w:t>
      </w:r>
      <w:r>
        <w:t>europeos</w:t>
      </w:r>
      <w:r>
        <w:rPr>
          <w:spacing w:val="-6"/>
        </w:rPr>
        <w:t xml:space="preserve"> </w:t>
      </w:r>
      <w:r>
        <w:t>acompañaron</w:t>
      </w:r>
      <w:r>
        <w:rPr>
          <w:spacing w:val="-6"/>
        </w:rPr>
        <w:t xml:space="preserve"> </w:t>
      </w:r>
      <w:r>
        <w:t>también</w:t>
      </w:r>
      <w:r>
        <w:rPr>
          <w:spacing w:val="-6"/>
        </w:rPr>
        <w:t xml:space="preserve"> </w:t>
      </w:r>
      <w:r>
        <w:t>el</w:t>
      </w:r>
      <w:r>
        <w:rPr>
          <w:spacing w:val="-6"/>
        </w:rPr>
        <w:t xml:space="preserve"> </w:t>
      </w:r>
      <w:r>
        <w:t>intento de</w:t>
      </w:r>
      <w:r>
        <w:rPr>
          <w:spacing w:val="-1"/>
        </w:rPr>
        <w:t xml:space="preserve"> </w:t>
      </w:r>
      <w:r>
        <w:t>negociación</w:t>
      </w:r>
      <w:r>
        <w:rPr>
          <w:spacing w:val="-1"/>
        </w:rPr>
        <w:t xml:space="preserve"> </w:t>
      </w:r>
      <w:r>
        <w:t>en</w:t>
      </w:r>
      <w:r>
        <w:rPr>
          <w:spacing w:val="-1"/>
        </w:rPr>
        <w:t xml:space="preserve"> </w:t>
      </w:r>
      <w:r>
        <w:t>el</w:t>
      </w:r>
      <w:r>
        <w:rPr>
          <w:spacing w:val="-1"/>
        </w:rPr>
        <w:t xml:space="preserve"> </w:t>
      </w:r>
      <w:r>
        <w:t>proceso</w:t>
      </w:r>
      <w:r>
        <w:rPr>
          <w:spacing w:val="-1"/>
        </w:rPr>
        <w:t xml:space="preserve"> </w:t>
      </w:r>
      <w:r>
        <w:t>del</w:t>
      </w:r>
      <w:r>
        <w:rPr>
          <w:spacing w:val="-1"/>
        </w:rPr>
        <w:t xml:space="preserve"> </w:t>
      </w:r>
      <w:r>
        <w:t>Caguán,</w:t>
      </w:r>
      <w:r>
        <w:rPr>
          <w:spacing w:val="-1"/>
        </w:rPr>
        <w:t xml:space="preserve"> </w:t>
      </w:r>
      <w:r>
        <w:t>con</w:t>
      </w:r>
      <w:r>
        <w:rPr>
          <w:spacing w:val="-1"/>
        </w:rPr>
        <w:t xml:space="preserve"> </w:t>
      </w:r>
      <w:r>
        <w:t>protagonismo</w:t>
      </w:r>
      <w:r>
        <w:rPr>
          <w:spacing w:val="-1"/>
        </w:rPr>
        <w:t xml:space="preserve"> </w:t>
      </w:r>
      <w:r>
        <w:t>del</w:t>
      </w:r>
      <w:r>
        <w:rPr>
          <w:spacing w:val="-1"/>
        </w:rPr>
        <w:t xml:space="preserve"> </w:t>
      </w:r>
      <w:r>
        <w:t>grupo</w:t>
      </w:r>
      <w:r>
        <w:rPr>
          <w:spacing w:val="-1"/>
        </w:rPr>
        <w:t xml:space="preserve"> </w:t>
      </w:r>
      <w:r>
        <w:t>de</w:t>
      </w:r>
      <w:r>
        <w:rPr>
          <w:spacing w:val="-2"/>
        </w:rPr>
        <w:t xml:space="preserve"> </w:t>
      </w:r>
      <w:r>
        <w:t>países</w:t>
      </w:r>
      <w:r>
        <w:rPr>
          <w:spacing w:val="-1"/>
        </w:rPr>
        <w:t xml:space="preserve"> </w:t>
      </w:r>
      <w:r>
        <w:t>amigos</w:t>
      </w:r>
      <w:r w:rsidR="00012CBA">
        <w:rPr>
          <w:rStyle w:val="Refdenotaalpie"/>
        </w:rPr>
        <w:footnoteReference w:id="1165"/>
      </w:r>
      <w:r>
        <w:t>.</w:t>
      </w:r>
    </w:p>
    <w:p w:rsidR="003804AC" w:rsidRDefault="00AF18A5" w:rsidP="00012CBA">
      <w:r>
        <w:t>Estos países fueron especialmente centrales al inicio del proceso entre FARC-EP y el gobierno Santos para mantener a las partes sentadas y dialogando</w:t>
      </w:r>
      <w:r w:rsidR="00012CBA">
        <w:rPr>
          <w:rStyle w:val="Refdenotaalpie"/>
        </w:rPr>
        <w:footnoteReference w:id="1166"/>
      </w:r>
      <w:r>
        <w:t>, resultado del trabajo diplomático adelantado durante años por el Estado colombiano en torno a la guerra y a la paz, así como el de la diplomacia de las FARC-EP que se desplegó por toda la región latinoamericana desde finales de los años ochenta</w:t>
      </w:r>
      <w:r w:rsidR="00012CBA">
        <w:rPr>
          <w:rStyle w:val="Refdenotaalpie"/>
        </w:rPr>
        <w:footnoteReference w:id="1167"/>
      </w:r>
      <w:r>
        <w:t>. En definitiva, el trabajo internacional que hicieron para legitimar sus luchas dejó en un momento de ser importante para justificar la guerra y se convirtió en impulso para construir la paz.</w:t>
      </w:r>
    </w:p>
    <w:p w:rsidR="003804AC" w:rsidRDefault="00AF18A5" w:rsidP="00012CBA">
      <w:r>
        <w:t xml:space="preserve">De manera especial, el rol que jugó Estados Unidos fue central. Como lo manifestó un excanciller colombiano en entrevista con la Comisión: </w:t>
      </w:r>
      <w:r>
        <w:lastRenderedPageBreak/>
        <w:t>“Obama, pienso que, de verdad, se puso la camiseta enviando un enviado especial, se jugó con dinero, se jugó con apoyo político”</w:t>
      </w:r>
      <w:r w:rsidR="00012CBA">
        <w:rPr>
          <w:rStyle w:val="Refdenotaalpie"/>
        </w:rPr>
        <w:footnoteReference w:id="1168"/>
      </w:r>
      <w:r>
        <w:t>. Pero no solo fue EEUU, también Cuba fue fundamental, no solo porque en su territorio</w:t>
      </w:r>
      <w:r>
        <w:rPr>
          <w:spacing w:val="-10"/>
        </w:rPr>
        <w:t xml:space="preserve"> </w:t>
      </w:r>
      <w:r>
        <w:t>se</w:t>
      </w:r>
      <w:r>
        <w:rPr>
          <w:spacing w:val="-11"/>
        </w:rPr>
        <w:t xml:space="preserve"> </w:t>
      </w:r>
      <w:r>
        <w:t>adelantaron</w:t>
      </w:r>
      <w:r>
        <w:rPr>
          <w:spacing w:val="-11"/>
        </w:rPr>
        <w:t xml:space="preserve"> </w:t>
      </w:r>
      <w:r>
        <w:t>las</w:t>
      </w:r>
      <w:r>
        <w:rPr>
          <w:spacing w:val="-9"/>
        </w:rPr>
        <w:t xml:space="preserve"> </w:t>
      </w:r>
      <w:r>
        <w:t>negociaciones,</w:t>
      </w:r>
      <w:r>
        <w:rPr>
          <w:spacing w:val="-10"/>
        </w:rPr>
        <w:t xml:space="preserve"> </w:t>
      </w:r>
      <w:r>
        <w:t>lo</w:t>
      </w:r>
      <w:r>
        <w:rPr>
          <w:spacing w:val="-10"/>
        </w:rPr>
        <w:t xml:space="preserve"> </w:t>
      </w:r>
      <w:r>
        <w:t>que</w:t>
      </w:r>
      <w:r>
        <w:rPr>
          <w:spacing w:val="-11"/>
        </w:rPr>
        <w:t xml:space="preserve"> </w:t>
      </w:r>
      <w:r>
        <w:t>permitió</w:t>
      </w:r>
      <w:r>
        <w:rPr>
          <w:spacing w:val="-10"/>
        </w:rPr>
        <w:t xml:space="preserve"> </w:t>
      </w:r>
      <w:r>
        <w:t>crear</w:t>
      </w:r>
      <w:r>
        <w:rPr>
          <w:spacing w:val="-9"/>
        </w:rPr>
        <w:t xml:space="preserve"> </w:t>
      </w:r>
      <w:r>
        <w:t>un</w:t>
      </w:r>
      <w:r>
        <w:rPr>
          <w:spacing w:val="-10"/>
        </w:rPr>
        <w:t xml:space="preserve"> </w:t>
      </w:r>
      <w:r>
        <w:t>espacio</w:t>
      </w:r>
      <w:r>
        <w:rPr>
          <w:spacing w:val="-10"/>
        </w:rPr>
        <w:t xml:space="preserve"> </w:t>
      </w:r>
      <w:r>
        <w:t>de</w:t>
      </w:r>
      <w:r>
        <w:rPr>
          <w:spacing w:val="-9"/>
        </w:rPr>
        <w:t xml:space="preserve"> </w:t>
      </w:r>
      <w:r>
        <w:t>confianza</w:t>
      </w:r>
      <w:r>
        <w:rPr>
          <w:spacing w:val="-9"/>
        </w:rPr>
        <w:t xml:space="preserve"> </w:t>
      </w:r>
      <w:r>
        <w:t>con garantías para las partes, sino también porque Cuba, desde los años noventa, le apostó a la paz en Colombia, y desde años atrás había dejado de creer en la posibilidad de la lucha armada en Colombia.</w:t>
      </w:r>
    </w:p>
    <w:p w:rsidR="003804AC" w:rsidRDefault="00AF18A5" w:rsidP="001A3528">
      <w:r>
        <w:t>«La verdad era que había una influencia, y tal vez una presión no indebida, una presión benéfica</w:t>
      </w:r>
      <w:r>
        <w:rPr>
          <w:spacing w:val="-10"/>
        </w:rPr>
        <w:t xml:space="preserve"> </w:t>
      </w:r>
      <w:r>
        <w:t>para</w:t>
      </w:r>
      <w:r>
        <w:rPr>
          <w:spacing w:val="-10"/>
        </w:rPr>
        <w:t xml:space="preserve"> </w:t>
      </w:r>
      <w:r>
        <w:t>el</w:t>
      </w:r>
      <w:r>
        <w:rPr>
          <w:spacing w:val="-9"/>
        </w:rPr>
        <w:t xml:space="preserve"> </w:t>
      </w:r>
      <w:r>
        <w:t>tema</w:t>
      </w:r>
      <w:r>
        <w:rPr>
          <w:spacing w:val="-10"/>
        </w:rPr>
        <w:t xml:space="preserve"> </w:t>
      </w:r>
      <w:r>
        <w:t>de</w:t>
      </w:r>
      <w:r>
        <w:rPr>
          <w:spacing w:val="-11"/>
        </w:rPr>
        <w:t xml:space="preserve"> </w:t>
      </w:r>
      <w:r>
        <w:t>la</w:t>
      </w:r>
      <w:r>
        <w:rPr>
          <w:spacing w:val="-10"/>
        </w:rPr>
        <w:t xml:space="preserve"> </w:t>
      </w:r>
      <w:r>
        <w:t>paz,</w:t>
      </w:r>
      <w:r>
        <w:rPr>
          <w:spacing w:val="-10"/>
        </w:rPr>
        <w:t xml:space="preserve"> </w:t>
      </w:r>
      <w:r>
        <w:t>los</w:t>
      </w:r>
      <w:r>
        <w:rPr>
          <w:spacing w:val="-10"/>
        </w:rPr>
        <w:t xml:space="preserve"> </w:t>
      </w:r>
      <w:r>
        <w:t>países</w:t>
      </w:r>
      <w:r>
        <w:rPr>
          <w:spacing w:val="-10"/>
        </w:rPr>
        <w:t xml:space="preserve"> </w:t>
      </w:r>
      <w:r>
        <w:t>amigos</w:t>
      </w:r>
      <w:r>
        <w:rPr>
          <w:spacing w:val="-11"/>
        </w:rPr>
        <w:t xml:space="preserve"> </w:t>
      </w:r>
      <w:r>
        <w:t>nuestros,</w:t>
      </w:r>
      <w:r>
        <w:rPr>
          <w:spacing w:val="-10"/>
        </w:rPr>
        <w:t xml:space="preserve"> </w:t>
      </w:r>
      <w:r>
        <w:t>ellos</w:t>
      </w:r>
      <w:r>
        <w:rPr>
          <w:spacing w:val="-10"/>
        </w:rPr>
        <w:t xml:space="preserve"> </w:t>
      </w:r>
      <w:r>
        <w:t>lo</w:t>
      </w:r>
      <w:r>
        <w:rPr>
          <w:spacing w:val="-10"/>
        </w:rPr>
        <w:t xml:space="preserve"> </w:t>
      </w:r>
      <w:r>
        <w:t>que</w:t>
      </w:r>
      <w:r>
        <w:rPr>
          <w:spacing w:val="-10"/>
        </w:rPr>
        <w:t xml:space="preserve"> </w:t>
      </w:r>
      <w:r>
        <w:t>estaban</w:t>
      </w:r>
      <w:r>
        <w:rPr>
          <w:spacing w:val="-10"/>
        </w:rPr>
        <w:t xml:space="preserve"> </w:t>
      </w:r>
      <w:r>
        <w:t>haciendo</w:t>
      </w:r>
      <w:r>
        <w:rPr>
          <w:spacing w:val="-10"/>
        </w:rPr>
        <w:t xml:space="preserve"> </w:t>
      </w:r>
      <w:r>
        <w:t>era, más</w:t>
      </w:r>
      <w:r>
        <w:rPr>
          <w:spacing w:val="1"/>
        </w:rPr>
        <w:t xml:space="preserve"> </w:t>
      </w:r>
      <w:r>
        <w:t>o menos</w:t>
      </w:r>
      <w:r>
        <w:rPr>
          <w:spacing w:val="1"/>
        </w:rPr>
        <w:t xml:space="preserve"> </w:t>
      </w:r>
      <w:r>
        <w:t>la consigna</w:t>
      </w:r>
      <w:r>
        <w:rPr>
          <w:spacing w:val="1"/>
        </w:rPr>
        <w:t xml:space="preserve"> </w:t>
      </w:r>
      <w:r>
        <w:t>era “todo para la</w:t>
      </w:r>
      <w:r>
        <w:rPr>
          <w:spacing w:val="2"/>
        </w:rPr>
        <w:t xml:space="preserve"> </w:t>
      </w:r>
      <w:r>
        <w:t>paz, nada</w:t>
      </w:r>
      <w:r>
        <w:rPr>
          <w:spacing w:val="1"/>
        </w:rPr>
        <w:t xml:space="preserve"> </w:t>
      </w:r>
      <w:r>
        <w:t>para la guerra”,</w:t>
      </w:r>
      <w:r>
        <w:rPr>
          <w:spacing w:val="1"/>
        </w:rPr>
        <w:t xml:space="preserve"> </w:t>
      </w:r>
      <w:r>
        <w:t>o</w:t>
      </w:r>
      <w:r>
        <w:rPr>
          <w:spacing w:val="1"/>
        </w:rPr>
        <w:t xml:space="preserve"> </w:t>
      </w:r>
      <w:r>
        <w:t>sea,</w:t>
      </w:r>
      <w:r>
        <w:rPr>
          <w:spacing w:val="1"/>
        </w:rPr>
        <w:t xml:space="preserve"> </w:t>
      </w:r>
      <w:r>
        <w:t>“les</w:t>
      </w:r>
      <w:r>
        <w:rPr>
          <w:spacing w:val="1"/>
        </w:rPr>
        <w:t xml:space="preserve"> </w:t>
      </w:r>
      <w:r>
        <w:t>ayudamos</w:t>
      </w:r>
      <w:r>
        <w:rPr>
          <w:spacing w:val="1"/>
        </w:rPr>
        <w:t xml:space="preserve"> </w:t>
      </w:r>
      <w:r>
        <w:rPr>
          <w:spacing w:val="-10"/>
        </w:rPr>
        <w:t>a</w:t>
      </w:r>
      <w:bookmarkStart w:id="1482" w:name="_bookmark1294"/>
      <w:bookmarkStart w:id="1483" w:name="_bookmark1295"/>
      <w:bookmarkStart w:id="1484" w:name="_bookmark1296"/>
      <w:bookmarkStart w:id="1485" w:name="_bookmark1297"/>
      <w:bookmarkEnd w:id="1482"/>
      <w:bookmarkEnd w:id="1483"/>
      <w:bookmarkEnd w:id="1484"/>
      <w:bookmarkEnd w:id="1485"/>
      <w:r w:rsidR="001A3528">
        <w:t xml:space="preserve"> </w:t>
      </w:r>
      <w:r>
        <w:t>ustedes para el diálogo, para la paz, pero no les ayudamos para la guerra”. [...] Había un gobierno de los Estados Unidos que estaba de acuerdo con la paz, el Gobierno Obama, que avanzó</w:t>
      </w:r>
      <w:r>
        <w:rPr>
          <w:spacing w:val="-10"/>
        </w:rPr>
        <w:t xml:space="preserve"> </w:t>
      </w:r>
      <w:r>
        <w:t>no</w:t>
      </w:r>
      <w:r>
        <w:rPr>
          <w:spacing w:val="-10"/>
        </w:rPr>
        <w:t xml:space="preserve"> </w:t>
      </w:r>
      <w:r>
        <w:t>solamente</w:t>
      </w:r>
      <w:r>
        <w:rPr>
          <w:spacing w:val="-9"/>
        </w:rPr>
        <w:t xml:space="preserve"> </w:t>
      </w:r>
      <w:r>
        <w:t>con</w:t>
      </w:r>
      <w:r>
        <w:rPr>
          <w:spacing w:val="-10"/>
        </w:rPr>
        <w:t xml:space="preserve"> </w:t>
      </w:r>
      <w:r>
        <w:t>el</w:t>
      </w:r>
      <w:r>
        <w:rPr>
          <w:spacing w:val="-9"/>
        </w:rPr>
        <w:t xml:space="preserve"> </w:t>
      </w:r>
      <w:r>
        <w:t>proceso</w:t>
      </w:r>
      <w:r>
        <w:rPr>
          <w:spacing w:val="-11"/>
        </w:rPr>
        <w:t xml:space="preserve"> </w:t>
      </w:r>
      <w:r>
        <w:t>nuestro,</w:t>
      </w:r>
      <w:r>
        <w:rPr>
          <w:spacing w:val="-10"/>
        </w:rPr>
        <w:t xml:space="preserve"> </w:t>
      </w:r>
      <w:r>
        <w:t>sino</w:t>
      </w:r>
      <w:r>
        <w:rPr>
          <w:spacing w:val="-11"/>
        </w:rPr>
        <w:t xml:space="preserve"> </w:t>
      </w:r>
      <w:r>
        <w:t>que</w:t>
      </w:r>
      <w:r>
        <w:rPr>
          <w:spacing w:val="-9"/>
        </w:rPr>
        <w:t xml:space="preserve"> </w:t>
      </w:r>
      <w:r>
        <w:t>avanzó</w:t>
      </w:r>
      <w:r>
        <w:rPr>
          <w:spacing w:val="-11"/>
        </w:rPr>
        <w:t xml:space="preserve"> </w:t>
      </w:r>
      <w:r>
        <w:t>también,</w:t>
      </w:r>
      <w:r>
        <w:rPr>
          <w:spacing w:val="-10"/>
        </w:rPr>
        <w:t xml:space="preserve"> </w:t>
      </w:r>
      <w:r>
        <w:t>eso</w:t>
      </w:r>
      <w:r>
        <w:rPr>
          <w:spacing w:val="-11"/>
        </w:rPr>
        <w:t xml:space="preserve"> </w:t>
      </w:r>
      <w:r>
        <w:t>es</w:t>
      </w:r>
      <w:r>
        <w:rPr>
          <w:spacing w:val="-9"/>
        </w:rPr>
        <w:t xml:space="preserve"> </w:t>
      </w:r>
      <w:r>
        <w:t>otro</w:t>
      </w:r>
      <w:r>
        <w:rPr>
          <w:spacing w:val="-10"/>
        </w:rPr>
        <w:t xml:space="preserve"> </w:t>
      </w:r>
      <w:r>
        <w:t>tema,</w:t>
      </w:r>
      <w:r>
        <w:rPr>
          <w:spacing w:val="-10"/>
        </w:rPr>
        <w:t xml:space="preserve"> </w:t>
      </w:r>
      <w:r>
        <w:t>pero avanzó también con la relación con Cuba, había ese influjo benéfico»</w:t>
      </w:r>
      <w:r w:rsidR="001A3528">
        <w:rPr>
          <w:rStyle w:val="Refdenotaalpie"/>
        </w:rPr>
        <w:footnoteReference w:id="1169"/>
      </w:r>
      <w:r>
        <w:t>.</w:t>
      </w:r>
    </w:p>
    <w:p w:rsidR="003804AC" w:rsidRDefault="00AF18A5" w:rsidP="001A3528">
      <w:r>
        <w:t>Por</w:t>
      </w:r>
      <w:r>
        <w:rPr>
          <w:spacing w:val="-3"/>
        </w:rPr>
        <w:t xml:space="preserve"> </w:t>
      </w:r>
      <w:r>
        <w:t>otra</w:t>
      </w:r>
      <w:r>
        <w:rPr>
          <w:spacing w:val="-3"/>
        </w:rPr>
        <w:t xml:space="preserve"> </w:t>
      </w:r>
      <w:r>
        <w:t>parte,</w:t>
      </w:r>
      <w:r>
        <w:rPr>
          <w:spacing w:val="-4"/>
        </w:rPr>
        <w:t xml:space="preserve"> </w:t>
      </w:r>
      <w:r>
        <w:t>el</w:t>
      </w:r>
      <w:r>
        <w:rPr>
          <w:spacing w:val="-3"/>
        </w:rPr>
        <w:t xml:space="preserve"> </w:t>
      </w:r>
      <w:r>
        <w:t>Acuerdo</w:t>
      </w:r>
      <w:r>
        <w:rPr>
          <w:spacing w:val="-4"/>
        </w:rPr>
        <w:t xml:space="preserve"> </w:t>
      </w:r>
      <w:r>
        <w:t>de</w:t>
      </w:r>
      <w:r>
        <w:rPr>
          <w:spacing w:val="-3"/>
        </w:rPr>
        <w:t xml:space="preserve"> </w:t>
      </w:r>
      <w:r>
        <w:t>paz</w:t>
      </w:r>
      <w:r>
        <w:rPr>
          <w:spacing w:val="-3"/>
        </w:rPr>
        <w:t xml:space="preserve"> </w:t>
      </w:r>
      <w:r>
        <w:t>de</w:t>
      </w:r>
      <w:r>
        <w:rPr>
          <w:spacing w:val="-5"/>
        </w:rPr>
        <w:t xml:space="preserve"> </w:t>
      </w:r>
      <w:r>
        <w:t>Colombia</w:t>
      </w:r>
      <w:r>
        <w:rPr>
          <w:spacing w:val="-3"/>
        </w:rPr>
        <w:t xml:space="preserve"> </w:t>
      </w:r>
      <w:r>
        <w:t>fue</w:t>
      </w:r>
      <w:r>
        <w:rPr>
          <w:spacing w:val="-3"/>
        </w:rPr>
        <w:t xml:space="preserve"> </w:t>
      </w:r>
      <w:r>
        <w:t>presentado</w:t>
      </w:r>
      <w:r>
        <w:rPr>
          <w:spacing w:val="-5"/>
        </w:rPr>
        <w:t xml:space="preserve"> </w:t>
      </w:r>
      <w:r>
        <w:t>y</w:t>
      </w:r>
      <w:r>
        <w:rPr>
          <w:spacing w:val="-4"/>
        </w:rPr>
        <w:t xml:space="preserve"> </w:t>
      </w:r>
      <w:r>
        <w:t>depositado</w:t>
      </w:r>
      <w:r>
        <w:rPr>
          <w:spacing w:val="-4"/>
        </w:rPr>
        <w:t xml:space="preserve"> </w:t>
      </w:r>
      <w:r>
        <w:t>en</w:t>
      </w:r>
      <w:r>
        <w:rPr>
          <w:spacing w:val="-4"/>
        </w:rPr>
        <w:t xml:space="preserve"> </w:t>
      </w:r>
      <w:r>
        <w:t>el</w:t>
      </w:r>
      <w:r>
        <w:rPr>
          <w:spacing w:val="-3"/>
        </w:rPr>
        <w:t xml:space="preserve"> </w:t>
      </w:r>
      <w:r>
        <w:t>Consejo de Seguridad de Naciones Unidas y ante el Consejo Federal suizo como depositario de las Convenciones</w:t>
      </w:r>
      <w:r>
        <w:rPr>
          <w:spacing w:val="-9"/>
        </w:rPr>
        <w:t xml:space="preserve"> </w:t>
      </w:r>
      <w:r>
        <w:t>de</w:t>
      </w:r>
      <w:r>
        <w:rPr>
          <w:spacing w:val="-10"/>
        </w:rPr>
        <w:t xml:space="preserve"> </w:t>
      </w:r>
      <w:r>
        <w:t>Ginebra,</w:t>
      </w:r>
      <w:r>
        <w:rPr>
          <w:spacing w:val="-9"/>
        </w:rPr>
        <w:t xml:space="preserve"> </w:t>
      </w:r>
      <w:r>
        <w:t>como</w:t>
      </w:r>
      <w:r>
        <w:rPr>
          <w:spacing w:val="-10"/>
        </w:rPr>
        <w:t xml:space="preserve"> </w:t>
      </w:r>
      <w:r>
        <w:t>testigos</w:t>
      </w:r>
      <w:r>
        <w:rPr>
          <w:spacing w:val="-9"/>
        </w:rPr>
        <w:t xml:space="preserve"> </w:t>
      </w:r>
      <w:r>
        <w:t>y</w:t>
      </w:r>
      <w:r>
        <w:rPr>
          <w:spacing w:val="-9"/>
        </w:rPr>
        <w:t xml:space="preserve"> </w:t>
      </w:r>
      <w:r>
        <w:t>acompañantes</w:t>
      </w:r>
      <w:r>
        <w:rPr>
          <w:spacing w:val="-10"/>
        </w:rPr>
        <w:t xml:space="preserve"> </w:t>
      </w:r>
      <w:r>
        <w:t>internacionales</w:t>
      </w:r>
      <w:r>
        <w:rPr>
          <w:spacing w:val="-9"/>
        </w:rPr>
        <w:t xml:space="preserve"> </w:t>
      </w:r>
      <w:r>
        <w:t>de</w:t>
      </w:r>
      <w:r>
        <w:rPr>
          <w:spacing w:val="-9"/>
        </w:rPr>
        <w:t xml:space="preserve"> </w:t>
      </w:r>
      <w:r>
        <w:t>este</w:t>
      </w:r>
      <w:r>
        <w:rPr>
          <w:spacing w:val="-9"/>
        </w:rPr>
        <w:t xml:space="preserve"> </w:t>
      </w:r>
      <w:r>
        <w:t>proceso.</w:t>
      </w:r>
      <w:r>
        <w:rPr>
          <w:spacing w:val="-9"/>
        </w:rPr>
        <w:t xml:space="preserve"> </w:t>
      </w:r>
      <w:r>
        <w:t>El rol de la Comunidad Internacional no solo se circunscribió a acompañar el acuerdo sino en la construcción de la paz</w:t>
      </w:r>
      <w:r>
        <w:rPr>
          <w:spacing w:val="-1"/>
        </w:rPr>
        <w:t xml:space="preserve"> </w:t>
      </w:r>
      <w:r>
        <w:t>en el posconflicto. La cooperación de los países</w:t>
      </w:r>
      <w:r>
        <w:rPr>
          <w:spacing w:val="-1"/>
        </w:rPr>
        <w:t xml:space="preserve"> </w:t>
      </w:r>
      <w:r>
        <w:t>europeos, a</w:t>
      </w:r>
      <w:r>
        <w:rPr>
          <w:spacing w:val="-1"/>
        </w:rPr>
        <w:t xml:space="preserve"> </w:t>
      </w:r>
      <w:r>
        <w:t>través de</w:t>
      </w:r>
      <w:r>
        <w:rPr>
          <w:spacing w:val="-12"/>
        </w:rPr>
        <w:t xml:space="preserve"> </w:t>
      </w:r>
      <w:r>
        <w:t>sus</w:t>
      </w:r>
      <w:r>
        <w:rPr>
          <w:spacing w:val="-12"/>
        </w:rPr>
        <w:t xml:space="preserve"> </w:t>
      </w:r>
      <w:r>
        <w:t>agencias</w:t>
      </w:r>
      <w:r>
        <w:rPr>
          <w:spacing w:val="-12"/>
        </w:rPr>
        <w:t xml:space="preserve"> </w:t>
      </w:r>
      <w:r>
        <w:t>de</w:t>
      </w:r>
      <w:r>
        <w:rPr>
          <w:spacing w:val="-12"/>
        </w:rPr>
        <w:t xml:space="preserve"> </w:t>
      </w:r>
      <w:r>
        <w:lastRenderedPageBreak/>
        <w:t>cooperación</w:t>
      </w:r>
      <w:r>
        <w:rPr>
          <w:spacing w:val="-12"/>
        </w:rPr>
        <w:t xml:space="preserve"> </w:t>
      </w:r>
      <w:r>
        <w:t>nacional</w:t>
      </w:r>
      <w:r>
        <w:rPr>
          <w:spacing w:val="-12"/>
        </w:rPr>
        <w:t xml:space="preserve"> </w:t>
      </w:r>
      <w:r>
        <w:t>o</w:t>
      </w:r>
      <w:r>
        <w:rPr>
          <w:spacing w:val="-12"/>
        </w:rPr>
        <w:t xml:space="preserve"> </w:t>
      </w:r>
      <w:r>
        <w:t>a</w:t>
      </w:r>
      <w:r>
        <w:rPr>
          <w:spacing w:val="-12"/>
        </w:rPr>
        <w:t xml:space="preserve"> </w:t>
      </w:r>
      <w:r>
        <w:t>través</w:t>
      </w:r>
      <w:r>
        <w:rPr>
          <w:spacing w:val="-12"/>
        </w:rPr>
        <w:t xml:space="preserve"> </w:t>
      </w:r>
      <w:r>
        <w:t>de</w:t>
      </w:r>
      <w:r>
        <w:rPr>
          <w:spacing w:val="-12"/>
        </w:rPr>
        <w:t xml:space="preserve"> </w:t>
      </w:r>
      <w:r>
        <w:t>la</w:t>
      </w:r>
      <w:r>
        <w:rPr>
          <w:spacing w:val="-12"/>
        </w:rPr>
        <w:t xml:space="preserve"> </w:t>
      </w:r>
      <w:r>
        <w:t>Unión</w:t>
      </w:r>
      <w:r>
        <w:rPr>
          <w:spacing w:val="-12"/>
        </w:rPr>
        <w:t xml:space="preserve"> </w:t>
      </w:r>
      <w:r>
        <w:t>Europea,</w:t>
      </w:r>
      <w:r>
        <w:rPr>
          <w:spacing w:val="-12"/>
        </w:rPr>
        <w:t xml:space="preserve"> </w:t>
      </w:r>
      <w:r>
        <w:t>han</w:t>
      </w:r>
      <w:r>
        <w:rPr>
          <w:spacing w:val="-12"/>
        </w:rPr>
        <w:t xml:space="preserve"> </w:t>
      </w:r>
      <w:r>
        <w:t>sido</w:t>
      </w:r>
      <w:r>
        <w:rPr>
          <w:spacing w:val="-12"/>
        </w:rPr>
        <w:t xml:space="preserve"> </w:t>
      </w:r>
      <w:r>
        <w:t>clave</w:t>
      </w:r>
      <w:r>
        <w:rPr>
          <w:spacing w:val="-12"/>
        </w:rPr>
        <w:t xml:space="preserve"> </w:t>
      </w:r>
      <w:r>
        <w:t>desde los</w:t>
      </w:r>
      <w:r>
        <w:rPr>
          <w:spacing w:val="-1"/>
        </w:rPr>
        <w:t xml:space="preserve"> </w:t>
      </w:r>
      <w:r>
        <w:t>años</w:t>
      </w:r>
      <w:r>
        <w:rPr>
          <w:spacing w:val="-1"/>
        </w:rPr>
        <w:t xml:space="preserve"> </w:t>
      </w:r>
      <w:r>
        <w:t>noventa.</w:t>
      </w:r>
      <w:r>
        <w:rPr>
          <w:spacing w:val="-1"/>
        </w:rPr>
        <w:t xml:space="preserve"> </w:t>
      </w:r>
      <w:r>
        <w:t>La</w:t>
      </w:r>
      <w:r>
        <w:rPr>
          <w:spacing w:val="-2"/>
        </w:rPr>
        <w:t xml:space="preserve"> </w:t>
      </w:r>
      <w:r>
        <w:t>asistencia</w:t>
      </w:r>
      <w:r>
        <w:rPr>
          <w:spacing w:val="-1"/>
        </w:rPr>
        <w:t xml:space="preserve"> </w:t>
      </w:r>
      <w:r>
        <w:t>de</w:t>
      </w:r>
      <w:r>
        <w:rPr>
          <w:spacing w:val="-1"/>
        </w:rPr>
        <w:t xml:space="preserve"> </w:t>
      </w:r>
      <w:r>
        <w:t>USAID</w:t>
      </w:r>
      <w:r>
        <w:rPr>
          <w:spacing w:val="-2"/>
        </w:rPr>
        <w:t xml:space="preserve"> </w:t>
      </w:r>
      <w:r>
        <w:t>para</w:t>
      </w:r>
      <w:r>
        <w:rPr>
          <w:spacing w:val="-1"/>
        </w:rPr>
        <w:t xml:space="preserve"> </w:t>
      </w:r>
      <w:r>
        <w:t>la</w:t>
      </w:r>
      <w:r>
        <w:rPr>
          <w:spacing w:val="-3"/>
        </w:rPr>
        <w:t xml:space="preserve"> </w:t>
      </w:r>
      <w:r>
        <w:t>paz</w:t>
      </w:r>
      <w:r>
        <w:rPr>
          <w:spacing w:val="-1"/>
        </w:rPr>
        <w:t xml:space="preserve"> </w:t>
      </w:r>
      <w:r>
        <w:t>ha</w:t>
      </w:r>
      <w:r>
        <w:rPr>
          <w:spacing w:val="-1"/>
        </w:rPr>
        <w:t xml:space="preserve"> </w:t>
      </w:r>
      <w:r>
        <w:t>sido</w:t>
      </w:r>
      <w:r>
        <w:rPr>
          <w:spacing w:val="-2"/>
        </w:rPr>
        <w:t xml:space="preserve"> </w:t>
      </w:r>
      <w:r>
        <w:t>amplia</w:t>
      </w:r>
      <w:r>
        <w:rPr>
          <w:spacing w:val="-1"/>
        </w:rPr>
        <w:t xml:space="preserve"> </w:t>
      </w:r>
      <w:r>
        <w:t>en</w:t>
      </w:r>
      <w:r>
        <w:rPr>
          <w:spacing w:val="-2"/>
        </w:rPr>
        <w:t xml:space="preserve"> </w:t>
      </w:r>
      <w:r>
        <w:t>el</w:t>
      </w:r>
      <w:r>
        <w:rPr>
          <w:spacing w:val="-2"/>
        </w:rPr>
        <w:t xml:space="preserve"> </w:t>
      </w:r>
      <w:r>
        <w:t>acompañamiento y el apoyo económico de iniciativas de las instituciones de la justicia transicional. Los procesos de reconciliación y fortalecimiento institucional y organizacional en regiones que han</w:t>
      </w:r>
      <w:r>
        <w:rPr>
          <w:spacing w:val="-8"/>
        </w:rPr>
        <w:t xml:space="preserve"> </w:t>
      </w:r>
      <w:r>
        <w:t>vivido</w:t>
      </w:r>
      <w:r>
        <w:rPr>
          <w:spacing w:val="-8"/>
        </w:rPr>
        <w:t xml:space="preserve"> </w:t>
      </w:r>
      <w:r>
        <w:t>la</w:t>
      </w:r>
      <w:r>
        <w:rPr>
          <w:spacing w:val="-8"/>
        </w:rPr>
        <w:t xml:space="preserve"> </w:t>
      </w:r>
      <w:r>
        <w:t>violencia</w:t>
      </w:r>
      <w:r>
        <w:rPr>
          <w:spacing w:val="-8"/>
        </w:rPr>
        <w:t xml:space="preserve"> </w:t>
      </w:r>
      <w:r>
        <w:t>del</w:t>
      </w:r>
      <w:r>
        <w:rPr>
          <w:spacing w:val="-8"/>
        </w:rPr>
        <w:t xml:space="preserve"> </w:t>
      </w:r>
      <w:r>
        <w:t>conflicto</w:t>
      </w:r>
      <w:r>
        <w:rPr>
          <w:spacing w:val="-8"/>
        </w:rPr>
        <w:t xml:space="preserve"> </w:t>
      </w:r>
      <w:r>
        <w:t>armado</w:t>
      </w:r>
      <w:r>
        <w:rPr>
          <w:spacing w:val="-8"/>
        </w:rPr>
        <w:t xml:space="preserve"> </w:t>
      </w:r>
      <w:r>
        <w:t>han</w:t>
      </w:r>
      <w:r>
        <w:rPr>
          <w:spacing w:val="-10"/>
        </w:rPr>
        <w:t xml:space="preserve"> </w:t>
      </w:r>
      <w:r>
        <w:t>sido</w:t>
      </w:r>
      <w:r>
        <w:rPr>
          <w:spacing w:val="-8"/>
        </w:rPr>
        <w:t xml:space="preserve"> </w:t>
      </w:r>
      <w:r>
        <w:t>mantenidos</w:t>
      </w:r>
      <w:r>
        <w:rPr>
          <w:spacing w:val="-8"/>
        </w:rPr>
        <w:t xml:space="preserve"> </w:t>
      </w:r>
      <w:r>
        <w:t>por</w:t>
      </w:r>
      <w:r>
        <w:rPr>
          <w:spacing w:val="-8"/>
        </w:rPr>
        <w:t xml:space="preserve"> </w:t>
      </w:r>
      <w:r>
        <w:t>esa</w:t>
      </w:r>
      <w:r>
        <w:rPr>
          <w:spacing w:val="-8"/>
        </w:rPr>
        <w:t xml:space="preserve"> </w:t>
      </w:r>
      <w:r>
        <w:t>cooperación</w:t>
      </w:r>
      <w:r>
        <w:rPr>
          <w:spacing w:val="-10"/>
        </w:rPr>
        <w:t xml:space="preserve"> </w:t>
      </w:r>
      <w:r>
        <w:t>que</w:t>
      </w:r>
      <w:r>
        <w:rPr>
          <w:spacing w:val="-8"/>
        </w:rPr>
        <w:t xml:space="preserve"> </w:t>
      </w:r>
      <w:r>
        <w:t>es necesaria como apuesta por la paz y no centrada en intereses económicos, políticos o militares. Privilegiar las políticas sociales y de desarrollo como medidas para generar alternativas</w:t>
      </w:r>
      <w:r>
        <w:rPr>
          <w:spacing w:val="-6"/>
        </w:rPr>
        <w:t xml:space="preserve"> </w:t>
      </w:r>
      <w:r>
        <w:t>a</w:t>
      </w:r>
      <w:r>
        <w:rPr>
          <w:spacing w:val="-5"/>
        </w:rPr>
        <w:t xml:space="preserve"> </w:t>
      </w:r>
      <w:r>
        <w:t>la</w:t>
      </w:r>
      <w:r>
        <w:rPr>
          <w:spacing w:val="-5"/>
        </w:rPr>
        <w:t xml:space="preserve"> </w:t>
      </w:r>
      <w:r>
        <w:t>violencia</w:t>
      </w:r>
      <w:r>
        <w:rPr>
          <w:spacing w:val="-5"/>
        </w:rPr>
        <w:t xml:space="preserve"> </w:t>
      </w:r>
      <w:r>
        <w:t>y</w:t>
      </w:r>
      <w:r>
        <w:rPr>
          <w:spacing w:val="-5"/>
        </w:rPr>
        <w:t xml:space="preserve"> </w:t>
      </w:r>
      <w:r>
        <w:t>al</w:t>
      </w:r>
      <w:r>
        <w:rPr>
          <w:spacing w:val="-4"/>
        </w:rPr>
        <w:t xml:space="preserve"> </w:t>
      </w:r>
      <w:r>
        <w:t>conflicto</w:t>
      </w:r>
      <w:r>
        <w:rPr>
          <w:spacing w:val="-5"/>
        </w:rPr>
        <w:t xml:space="preserve"> </w:t>
      </w:r>
      <w:r>
        <w:t>mediante</w:t>
      </w:r>
      <w:r>
        <w:rPr>
          <w:spacing w:val="-5"/>
        </w:rPr>
        <w:t xml:space="preserve"> </w:t>
      </w:r>
      <w:r>
        <w:t>la</w:t>
      </w:r>
      <w:r>
        <w:rPr>
          <w:spacing w:val="-5"/>
        </w:rPr>
        <w:t xml:space="preserve"> </w:t>
      </w:r>
      <w:r>
        <w:t>cooperación</w:t>
      </w:r>
      <w:r>
        <w:rPr>
          <w:spacing w:val="-5"/>
        </w:rPr>
        <w:t xml:space="preserve"> </w:t>
      </w:r>
      <w:r>
        <w:t>internacional,</w:t>
      </w:r>
      <w:r>
        <w:rPr>
          <w:spacing w:val="-5"/>
        </w:rPr>
        <w:t xml:space="preserve"> </w:t>
      </w:r>
      <w:r>
        <w:t>es</w:t>
      </w:r>
      <w:r>
        <w:rPr>
          <w:spacing w:val="-5"/>
        </w:rPr>
        <w:t xml:space="preserve"> </w:t>
      </w:r>
      <w:r>
        <w:t>parte</w:t>
      </w:r>
      <w:r>
        <w:rPr>
          <w:spacing w:val="-5"/>
        </w:rPr>
        <w:t xml:space="preserve"> </w:t>
      </w:r>
      <w:r>
        <w:t>de</w:t>
      </w:r>
      <w:r>
        <w:rPr>
          <w:spacing w:val="-5"/>
        </w:rPr>
        <w:t xml:space="preserve"> </w:t>
      </w:r>
      <w:r>
        <w:t>la salida política al conflicto armado, el apoyo a las iniciativas de fortalecimiento del tejido social y la consolidación de la paz.</w:t>
      </w:r>
    </w:p>
    <w:p w:rsidR="0011361F" w:rsidRDefault="00AF18A5" w:rsidP="001A3528">
      <w:r>
        <w:t>Pero la comunidad internacional no ha sido importante solo para consolidar la paz, también ha sido clave para apoyar a organizaciones derechos humanos y de muchas comunidades afectadas por diversos actores del conflicto, acompañar los esfuerzos de organizaciones de derechos humanos y de la sociedad civil, así como ayudar a mitigar los impactos</w:t>
      </w:r>
      <w:r>
        <w:rPr>
          <w:spacing w:val="-1"/>
        </w:rPr>
        <w:t xml:space="preserve"> </w:t>
      </w:r>
      <w:r>
        <w:t>de</w:t>
      </w:r>
      <w:r>
        <w:rPr>
          <w:spacing w:val="-2"/>
        </w:rPr>
        <w:t xml:space="preserve"> </w:t>
      </w:r>
      <w:r>
        <w:t>la</w:t>
      </w:r>
      <w:r>
        <w:rPr>
          <w:spacing w:val="-1"/>
        </w:rPr>
        <w:t xml:space="preserve"> </w:t>
      </w:r>
      <w:r>
        <w:t>violencia,</w:t>
      </w:r>
      <w:r>
        <w:rPr>
          <w:spacing w:val="-2"/>
        </w:rPr>
        <w:t xml:space="preserve"> </w:t>
      </w:r>
      <w:r>
        <w:t>apoyando</w:t>
      </w:r>
      <w:r>
        <w:rPr>
          <w:spacing w:val="-2"/>
        </w:rPr>
        <w:t xml:space="preserve"> </w:t>
      </w:r>
      <w:r>
        <w:t>sus</w:t>
      </w:r>
      <w:r>
        <w:rPr>
          <w:spacing w:val="-1"/>
        </w:rPr>
        <w:t xml:space="preserve"> </w:t>
      </w:r>
      <w:r>
        <w:t>procesos</w:t>
      </w:r>
      <w:r>
        <w:rPr>
          <w:spacing w:val="-2"/>
        </w:rPr>
        <w:t xml:space="preserve"> </w:t>
      </w:r>
      <w:r>
        <w:t>comunitarios,</w:t>
      </w:r>
      <w:r>
        <w:rPr>
          <w:spacing w:val="-1"/>
        </w:rPr>
        <w:t xml:space="preserve"> </w:t>
      </w:r>
      <w:r>
        <w:t>proporcionando</w:t>
      </w:r>
      <w:r>
        <w:rPr>
          <w:spacing w:val="-1"/>
        </w:rPr>
        <w:t xml:space="preserve"> </w:t>
      </w:r>
      <w:r>
        <w:t>asilo</w:t>
      </w:r>
      <w:r>
        <w:rPr>
          <w:spacing w:val="-2"/>
        </w:rPr>
        <w:t xml:space="preserve"> </w:t>
      </w:r>
      <w:r>
        <w:t>para</w:t>
      </w:r>
      <w:r>
        <w:rPr>
          <w:spacing w:val="-2"/>
        </w:rPr>
        <w:t xml:space="preserve"> </w:t>
      </w:r>
      <w:r>
        <w:t>el exilio colombiano o haciendo acompañamiento a proyectos colectivos en el marco de las difíciles situaciones a las que se vieron sometidas por la confrontación armada.</w:t>
      </w:r>
    </w:p>
    <w:p w:rsidR="003804AC" w:rsidRDefault="00AF18A5" w:rsidP="001A3528">
      <w:bookmarkStart w:id="1486" w:name="_bookmark1298"/>
      <w:bookmarkEnd w:id="1486"/>
      <w:r>
        <w:t>El acompañamiento de instituciones multilaterales</w:t>
      </w:r>
      <w:r w:rsidR="001A3528">
        <w:rPr>
          <w:rStyle w:val="Refdenotaalpie"/>
        </w:rPr>
        <w:footnoteReference w:id="1170"/>
      </w:r>
      <w:r>
        <w:t xml:space="preserve">, la financiación de países a programas para el fortalecimiento comunitario, así como el apoyo a la defensa de los derechos humanos, contribuyeron en </w:t>
      </w:r>
      <w:r>
        <w:lastRenderedPageBreak/>
        <w:t>situaciones donde la población se vio obligada al desplazamiento o cuando un actor armado intimidó a una comunidad. También, los organismos</w:t>
      </w:r>
      <w:r>
        <w:rPr>
          <w:spacing w:val="-15"/>
        </w:rPr>
        <w:t xml:space="preserve"> </w:t>
      </w:r>
      <w:r>
        <w:t>multilaterales</w:t>
      </w:r>
      <w:r>
        <w:rPr>
          <w:spacing w:val="-14"/>
        </w:rPr>
        <w:t xml:space="preserve"> </w:t>
      </w:r>
      <w:r>
        <w:t>como</w:t>
      </w:r>
      <w:r>
        <w:rPr>
          <w:spacing w:val="-14"/>
        </w:rPr>
        <w:t xml:space="preserve"> </w:t>
      </w:r>
      <w:r>
        <w:t>la</w:t>
      </w:r>
      <w:r>
        <w:rPr>
          <w:spacing w:val="-15"/>
        </w:rPr>
        <w:t xml:space="preserve"> </w:t>
      </w:r>
      <w:r>
        <w:t>MAPP-OEA</w:t>
      </w:r>
      <w:r>
        <w:rPr>
          <w:spacing w:val="-14"/>
        </w:rPr>
        <w:t xml:space="preserve"> </w:t>
      </w:r>
      <w:r>
        <w:t>y</w:t>
      </w:r>
      <w:r>
        <w:rPr>
          <w:spacing w:val="-13"/>
        </w:rPr>
        <w:t xml:space="preserve"> </w:t>
      </w:r>
      <w:r>
        <w:t>la</w:t>
      </w:r>
      <w:r>
        <w:rPr>
          <w:spacing w:val="-14"/>
        </w:rPr>
        <w:t xml:space="preserve"> </w:t>
      </w:r>
      <w:r>
        <w:t>Oficina</w:t>
      </w:r>
      <w:r>
        <w:rPr>
          <w:spacing w:val="-14"/>
        </w:rPr>
        <w:t xml:space="preserve"> </w:t>
      </w:r>
      <w:r>
        <w:t>de</w:t>
      </w:r>
      <w:r>
        <w:rPr>
          <w:spacing w:val="-14"/>
        </w:rPr>
        <w:t xml:space="preserve"> </w:t>
      </w:r>
      <w:r>
        <w:t>DD.</w:t>
      </w:r>
      <w:r>
        <w:rPr>
          <w:spacing w:val="-14"/>
        </w:rPr>
        <w:t xml:space="preserve"> </w:t>
      </w:r>
      <w:r>
        <w:t>HH.</w:t>
      </w:r>
      <w:r>
        <w:rPr>
          <w:spacing w:val="-14"/>
        </w:rPr>
        <w:t xml:space="preserve"> </w:t>
      </w:r>
      <w:r>
        <w:t>de</w:t>
      </w:r>
      <w:r>
        <w:rPr>
          <w:spacing w:val="-14"/>
        </w:rPr>
        <w:t xml:space="preserve"> </w:t>
      </w:r>
      <w:r>
        <w:t>Naciones</w:t>
      </w:r>
      <w:r>
        <w:rPr>
          <w:spacing w:val="-15"/>
        </w:rPr>
        <w:t xml:space="preserve"> </w:t>
      </w:r>
      <w:r>
        <w:t>Unidas y países de la comunidad internacional ayudaron en los procesos de retorno y resistencia en el territorio; y también a escuchar y atender las denuncias de las víctimas del conflicto, incluyendo</w:t>
      </w:r>
      <w:r>
        <w:rPr>
          <w:spacing w:val="-12"/>
        </w:rPr>
        <w:t xml:space="preserve"> </w:t>
      </w:r>
      <w:r>
        <w:t>el</w:t>
      </w:r>
      <w:r>
        <w:rPr>
          <w:spacing w:val="-12"/>
        </w:rPr>
        <w:t xml:space="preserve"> </w:t>
      </w:r>
      <w:r>
        <w:t>sistema</w:t>
      </w:r>
      <w:r>
        <w:rPr>
          <w:spacing w:val="-12"/>
        </w:rPr>
        <w:t xml:space="preserve"> </w:t>
      </w:r>
      <w:r>
        <w:t>interamericano,</w:t>
      </w:r>
      <w:r>
        <w:rPr>
          <w:spacing w:val="-12"/>
        </w:rPr>
        <w:t xml:space="preserve"> </w:t>
      </w:r>
      <w:r>
        <w:t>así</w:t>
      </w:r>
      <w:r>
        <w:rPr>
          <w:spacing w:val="-12"/>
        </w:rPr>
        <w:t xml:space="preserve"> </w:t>
      </w:r>
      <w:r>
        <w:t>como</w:t>
      </w:r>
      <w:r>
        <w:rPr>
          <w:spacing w:val="-12"/>
        </w:rPr>
        <w:t xml:space="preserve"> </w:t>
      </w:r>
      <w:r>
        <w:t>servir</w:t>
      </w:r>
      <w:r>
        <w:rPr>
          <w:spacing w:val="-12"/>
        </w:rPr>
        <w:t xml:space="preserve"> </w:t>
      </w:r>
      <w:r>
        <w:t>de</w:t>
      </w:r>
      <w:r>
        <w:rPr>
          <w:spacing w:val="-12"/>
        </w:rPr>
        <w:t xml:space="preserve"> </w:t>
      </w:r>
      <w:r>
        <w:t>intermediario</w:t>
      </w:r>
      <w:r>
        <w:rPr>
          <w:spacing w:val="-12"/>
        </w:rPr>
        <w:t xml:space="preserve"> </w:t>
      </w:r>
      <w:r>
        <w:t>entre</w:t>
      </w:r>
      <w:r>
        <w:rPr>
          <w:spacing w:val="-12"/>
        </w:rPr>
        <w:t xml:space="preserve"> </w:t>
      </w:r>
      <w:r>
        <w:t>estas</w:t>
      </w:r>
      <w:r>
        <w:rPr>
          <w:spacing w:val="-12"/>
        </w:rPr>
        <w:t xml:space="preserve"> </w:t>
      </w:r>
      <w:r>
        <w:t>y</w:t>
      </w:r>
      <w:r>
        <w:rPr>
          <w:spacing w:val="-12"/>
        </w:rPr>
        <w:t xml:space="preserve"> </w:t>
      </w:r>
      <w:r>
        <w:t>el</w:t>
      </w:r>
      <w:r>
        <w:rPr>
          <w:spacing w:val="-13"/>
        </w:rPr>
        <w:t xml:space="preserve"> </w:t>
      </w:r>
      <w:r>
        <w:t>estado en momentos de</w:t>
      </w:r>
      <w:r>
        <w:rPr>
          <w:spacing w:val="-1"/>
        </w:rPr>
        <w:t xml:space="preserve"> </w:t>
      </w:r>
      <w:r>
        <w:t>tensión.</w:t>
      </w:r>
      <w:r>
        <w:rPr>
          <w:spacing w:val="-1"/>
        </w:rPr>
        <w:t xml:space="preserve"> </w:t>
      </w:r>
      <w:r>
        <w:t>La Comisión Interamericana de</w:t>
      </w:r>
      <w:r>
        <w:rPr>
          <w:spacing w:val="-1"/>
        </w:rPr>
        <w:t xml:space="preserve"> </w:t>
      </w:r>
      <w:r>
        <w:t>DDHH desde su primer</w:t>
      </w:r>
      <w:r>
        <w:rPr>
          <w:spacing w:val="-1"/>
        </w:rPr>
        <w:t xml:space="preserve"> </w:t>
      </w:r>
      <w:r>
        <w:t>informe</w:t>
      </w:r>
      <w:r>
        <w:rPr>
          <w:spacing w:val="-1"/>
        </w:rPr>
        <w:t xml:space="preserve"> </w:t>
      </w:r>
      <w:r>
        <w:t>a inicios</w:t>
      </w:r>
      <w:r>
        <w:rPr>
          <w:spacing w:val="-15"/>
        </w:rPr>
        <w:t xml:space="preserve"> </w:t>
      </w:r>
      <w:r>
        <w:t>de</w:t>
      </w:r>
      <w:r>
        <w:rPr>
          <w:spacing w:val="-15"/>
        </w:rPr>
        <w:t xml:space="preserve"> </w:t>
      </w:r>
      <w:r>
        <w:t>los</w:t>
      </w:r>
      <w:r>
        <w:rPr>
          <w:spacing w:val="-15"/>
        </w:rPr>
        <w:t xml:space="preserve"> </w:t>
      </w:r>
      <w:r>
        <w:t>años</w:t>
      </w:r>
      <w:r>
        <w:rPr>
          <w:spacing w:val="-15"/>
        </w:rPr>
        <w:t xml:space="preserve"> </w:t>
      </w:r>
      <w:r>
        <w:t>80</w:t>
      </w:r>
      <w:r>
        <w:rPr>
          <w:spacing w:val="-15"/>
        </w:rPr>
        <w:t xml:space="preserve"> </w:t>
      </w:r>
      <w:r>
        <w:t>y</w:t>
      </w:r>
      <w:r>
        <w:rPr>
          <w:spacing w:val="-15"/>
        </w:rPr>
        <w:t xml:space="preserve"> </w:t>
      </w:r>
      <w:r>
        <w:t>las</w:t>
      </w:r>
      <w:r>
        <w:rPr>
          <w:spacing w:val="-15"/>
        </w:rPr>
        <w:t xml:space="preserve"> </w:t>
      </w:r>
      <w:r>
        <w:t>sentencias</w:t>
      </w:r>
      <w:r>
        <w:rPr>
          <w:spacing w:val="-15"/>
        </w:rPr>
        <w:t xml:space="preserve"> </w:t>
      </w:r>
      <w:r>
        <w:t>de</w:t>
      </w:r>
      <w:r>
        <w:rPr>
          <w:spacing w:val="-15"/>
        </w:rPr>
        <w:t xml:space="preserve"> </w:t>
      </w:r>
      <w:r>
        <w:t>la</w:t>
      </w:r>
      <w:r>
        <w:rPr>
          <w:spacing w:val="-15"/>
        </w:rPr>
        <w:t xml:space="preserve"> </w:t>
      </w:r>
      <w:r>
        <w:t>Corte</w:t>
      </w:r>
      <w:r>
        <w:rPr>
          <w:spacing w:val="-15"/>
        </w:rPr>
        <w:t xml:space="preserve"> </w:t>
      </w:r>
      <w:r>
        <w:t>Interamericana</w:t>
      </w:r>
      <w:r>
        <w:rPr>
          <w:spacing w:val="-15"/>
        </w:rPr>
        <w:t xml:space="preserve"> </w:t>
      </w:r>
      <w:r>
        <w:t>de</w:t>
      </w:r>
      <w:r>
        <w:rPr>
          <w:spacing w:val="-15"/>
        </w:rPr>
        <w:t xml:space="preserve"> </w:t>
      </w:r>
      <w:r>
        <w:t>DD.</w:t>
      </w:r>
      <w:r>
        <w:rPr>
          <w:spacing w:val="-15"/>
        </w:rPr>
        <w:t xml:space="preserve"> </w:t>
      </w:r>
      <w:r>
        <w:t>HH.</w:t>
      </w:r>
      <w:r>
        <w:rPr>
          <w:spacing w:val="-15"/>
        </w:rPr>
        <w:t xml:space="preserve"> </w:t>
      </w:r>
      <w:r>
        <w:t>han</w:t>
      </w:r>
      <w:r>
        <w:rPr>
          <w:spacing w:val="-15"/>
        </w:rPr>
        <w:t xml:space="preserve"> </w:t>
      </w:r>
      <w:r>
        <w:t>sido</w:t>
      </w:r>
      <w:r>
        <w:rPr>
          <w:spacing w:val="-15"/>
        </w:rPr>
        <w:t xml:space="preserve"> </w:t>
      </w:r>
      <w:r>
        <w:t>apoyos fundamentales para las víctimas, la democracia y la lucha contra la impunidad.</w:t>
      </w:r>
    </w:p>
    <w:p w:rsidR="003804AC" w:rsidRDefault="00AF18A5" w:rsidP="001A3528">
      <w:r>
        <w:t>Del mismo modo, fue de vital importancia la acogida que brindaron diferentes países a más de un millón de personas que se vieron forzadas a salir fuera de Colombia durante 60 años, ya sea en situación de exilio, refugio o bajo otras modalidades de migración forzada como señala el estudio de la Comisión y el ACNUR.</w:t>
      </w:r>
      <w:r w:rsidR="001A3528">
        <w:rPr>
          <w:rStyle w:val="Refdenotaalpie"/>
        </w:rPr>
        <w:footnoteReference w:id="1171"/>
      </w:r>
      <w:r>
        <w:t xml:space="preserve"> Países como Ecuador, Venezuela, Brasil,</w:t>
      </w:r>
      <w:r>
        <w:rPr>
          <w:spacing w:val="-5"/>
        </w:rPr>
        <w:t xml:space="preserve"> </w:t>
      </w:r>
      <w:r>
        <w:t>Canadá,</w:t>
      </w:r>
      <w:r>
        <w:rPr>
          <w:spacing w:val="-5"/>
        </w:rPr>
        <w:t xml:space="preserve"> </w:t>
      </w:r>
      <w:r>
        <w:t>México,</w:t>
      </w:r>
      <w:r>
        <w:rPr>
          <w:spacing w:val="-6"/>
        </w:rPr>
        <w:t xml:space="preserve"> </w:t>
      </w:r>
      <w:r>
        <w:t>Costa</w:t>
      </w:r>
      <w:r>
        <w:rPr>
          <w:spacing w:val="-5"/>
        </w:rPr>
        <w:t xml:space="preserve"> </w:t>
      </w:r>
      <w:r>
        <w:t>Rica,</w:t>
      </w:r>
      <w:r>
        <w:rPr>
          <w:spacing w:val="-5"/>
        </w:rPr>
        <w:t xml:space="preserve"> </w:t>
      </w:r>
      <w:r>
        <w:t>Argentina,</w:t>
      </w:r>
      <w:r>
        <w:rPr>
          <w:spacing w:val="-5"/>
        </w:rPr>
        <w:t xml:space="preserve"> </w:t>
      </w:r>
      <w:r>
        <w:t>EE.</w:t>
      </w:r>
      <w:r>
        <w:rPr>
          <w:spacing w:val="-5"/>
        </w:rPr>
        <w:t xml:space="preserve"> </w:t>
      </w:r>
      <w:r>
        <w:t>UU.,</w:t>
      </w:r>
      <w:r>
        <w:rPr>
          <w:spacing w:val="-4"/>
        </w:rPr>
        <w:t xml:space="preserve"> </w:t>
      </w:r>
      <w:r>
        <w:t>Chile</w:t>
      </w:r>
      <w:r>
        <w:rPr>
          <w:spacing w:val="-5"/>
        </w:rPr>
        <w:t xml:space="preserve"> </w:t>
      </w:r>
      <w:r>
        <w:t>entre</w:t>
      </w:r>
      <w:r>
        <w:rPr>
          <w:spacing w:val="-5"/>
        </w:rPr>
        <w:t xml:space="preserve"> </w:t>
      </w:r>
      <w:r>
        <w:t>otros</w:t>
      </w:r>
      <w:r>
        <w:rPr>
          <w:spacing w:val="-6"/>
        </w:rPr>
        <w:t xml:space="preserve"> </w:t>
      </w:r>
      <w:r>
        <w:t>muchos,</w:t>
      </w:r>
      <w:r>
        <w:rPr>
          <w:spacing w:val="-5"/>
        </w:rPr>
        <w:t xml:space="preserve"> </w:t>
      </w:r>
      <w:r>
        <w:t>o</w:t>
      </w:r>
      <w:r>
        <w:rPr>
          <w:spacing w:val="-5"/>
        </w:rPr>
        <w:t xml:space="preserve"> </w:t>
      </w:r>
      <w:r>
        <w:t>países de</w:t>
      </w:r>
      <w:r>
        <w:rPr>
          <w:spacing w:val="-8"/>
        </w:rPr>
        <w:t xml:space="preserve"> </w:t>
      </w:r>
      <w:r>
        <w:t>la</w:t>
      </w:r>
      <w:r>
        <w:rPr>
          <w:spacing w:val="-8"/>
        </w:rPr>
        <w:t xml:space="preserve"> </w:t>
      </w:r>
      <w:r>
        <w:t>Unión</w:t>
      </w:r>
      <w:r>
        <w:rPr>
          <w:spacing w:val="-11"/>
        </w:rPr>
        <w:t xml:space="preserve"> </w:t>
      </w:r>
      <w:r>
        <w:t>Europea</w:t>
      </w:r>
      <w:r>
        <w:rPr>
          <w:spacing w:val="-8"/>
        </w:rPr>
        <w:t xml:space="preserve"> </w:t>
      </w:r>
      <w:r>
        <w:t>como</w:t>
      </w:r>
      <w:r>
        <w:rPr>
          <w:spacing w:val="-8"/>
        </w:rPr>
        <w:t xml:space="preserve"> </w:t>
      </w:r>
      <w:r>
        <w:t>Reino</w:t>
      </w:r>
      <w:r>
        <w:rPr>
          <w:spacing w:val="-8"/>
        </w:rPr>
        <w:t xml:space="preserve"> </w:t>
      </w:r>
      <w:r>
        <w:t>Unido,</w:t>
      </w:r>
      <w:r>
        <w:rPr>
          <w:spacing w:val="-8"/>
        </w:rPr>
        <w:t xml:space="preserve"> </w:t>
      </w:r>
      <w:r>
        <w:t>España,</w:t>
      </w:r>
      <w:r>
        <w:rPr>
          <w:spacing w:val="-8"/>
        </w:rPr>
        <w:t xml:space="preserve"> </w:t>
      </w:r>
      <w:r>
        <w:t>Noruega,</w:t>
      </w:r>
      <w:r>
        <w:rPr>
          <w:spacing w:val="-9"/>
        </w:rPr>
        <w:t xml:space="preserve"> </w:t>
      </w:r>
      <w:r>
        <w:t>Suecia,</w:t>
      </w:r>
      <w:r>
        <w:rPr>
          <w:spacing w:val="-8"/>
        </w:rPr>
        <w:t xml:space="preserve"> </w:t>
      </w:r>
      <w:r>
        <w:t>Bélgica,</w:t>
      </w:r>
      <w:r>
        <w:rPr>
          <w:spacing w:val="-8"/>
        </w:rPr>
        <w:t xml:space="preserve"> </w:t>
      </w:r>
      <w:r>
        <w:t>Francia</w:t>
      </w:r>
      <w:r>
        <w:rPr>
          <w:spacing w:val="-10"/>
        </w:rPr>
        <w:t xml:space="preserve"> </w:t>
      </w:r>
      <w:r>
        <w:t>y</w:t>
      </w:r>
      <w:r>
        <w:rPr>
          <w:spacing w:val="-8"/>
        </w:rPr>
        <w:t xml:space="preserve"> </w:t>
      </w:r>
      <w:r>
        <w:t>varios más,</w:t>
      </w:r>
      <w:r>
        <w:rPr>
          <w:spacing w:val="-1"/>
        </w:rPr>
        <w:t xml:space="preserve"> </w:t>
      </w:r>
      <w:r>
        <w:t>así</w:t>
      </w:r>
      <w:r>
        <w:rPr>
          <w:spacing w:val="-1"/>
        </w:rPr>
        <w:t xml:space="preserve"> </w:t>
      </w:r>
      <w:r>
        <w:t>como</w:t>
      </w:r>
      <w:r>
        <w:rPr>
          <w:spacing w:val="-1"/>
        </w:rPr>
        <w:t xml:space="preserve"> </w:t>
      </w:r>
      <w:r>
        <w:t>otros</w:t>
      </w:r>
      <w:r>
        <w:rPr>
          <w:spacing w:val="-1"/>
        </w:rPr>
        <w:t xml:space="preserve"> </w:t>
      </w:r>
      <w:r>
        <w:t>gobiernos</w:t>
      </w:r>
      <w:r>
        <w:rPr>
          <w:spacing w:val="-1"/>
        </w:rPr>
        <w:t xml:space="preserve"> </w:t>
      </w:r>
      <w:r>
        <w:t>regionales</w:t>
      </w:r>
      <w:r>
        <w:rPr>
          <w:spacing w:val="-1"/>
        </w:rPr>
        <w:t xml:space="preserve"> </w:t>
      </w:r>
      <w:r>
        <w:t>o</w:t>
      </w:r>
      <w:r>
        <w:rPr>
          <w:spacing w:val="-1"/>
        </w:rPr>
        <w:t xml:space="preserve"> </w:t>
      </w:r>
      <w:r>
        <w:t>autónomos,</w:t>
      </w:r>
      <w:r>
        <w:rPr>
          <w:spacing w:val="-1"/>
        </w:rPr>
        <w:t xml:space="preserve"> </w:t>
      </w:r>
      <w:r>
        <w:t>con</w:t>
      </w:r>
      <w:r>
        <w:rPr>
          <w:spacing w:val="-1"/>
        </w:rPr>
        <w:t xml:space="preserve"> </w:t>
      </w:r>
      <w:r>
        <w:t>papel</w:t>
      </w:r>
      <w:r>
        <w:rPr>
          <w:spacing w:val="-1"/>
        </w:rPr>
        <w:t xml:space="preserve"> </w:t>
      </w:r>
      <w:r>
        <w:t>fundamental</w:t>
      </w:r>
      <w:r>
        <w:rPr>
          <w:spacing w:val="-1"/>
        </w:rPr>
        <w:t xml:space="preserve"> </w:t>
      </w:r>
      <w:r>
        <w:t>de</w:t>
      </w:r>
      <w:r>
        <w:rPr>
          <w:spacing w:val="-2"/>
        </w:rPr>
        <w:t xml:space="preserve"> </w:t>
      </w:r>
      <w:r>
        <w:t>ACNUR, recibieron refugiados colombianos y otros flujos migratorios internacionales bajo el estatus de refugio o reubicación familiar a un tercer país, lo que facilitó que muchas personas desplazadas por el conflicto por fuera de las fronteras colombianas, encontraran algún tipo de</w:t>
      </w:r>
      <w:r>
        <w:rPr>
          <w:spacing w:val="-1"/>
        </w:rPr>
        <w:t xml:space="preserve"> </w:t>
      </w:r>
      <w:r>
        <w:t>apoyo,</w:t>
      </w:r>
      <w:r>
        <w:rPr>
          <w:spacing w:val="2"/>
        </w:rPr>
        <w:t xml:space="preserve"> </w:t>
      </w:r>
      <w:r>
        <w:t>incluso</w:t>
      </w:r>
      <w:r>
        <w:rPr>
          <w:spacing w:val="1"/>
        </w:rPr>
        <w:t xml:space="preserve"> </w:t>
      </w:r>
      <w:r>
        <w:t>en</w:t>
      </w:r>
      <w:r>
        <w:rPr>
          <w:spacing w:val="2"/>
        </w:rPr>
        <w:t xml:space="preserve"> </w:t>
      </w:r>
      <w:r>
        <w:t>medio</w:t>
      </w:r>
      <w:r>
        <w:rPr>
          <w:spacing w:val="2"/>
        </w:rPr>
        <w:t xml:space="preserve"> </w:t>
      </w:r>
      <w:r>
        <w:t>de</w:t>
      </w:r>
      <w:r>
        <w:rPr>
          <w:spacing w:val="1"/>
        </w:rPr>
        <w:t xml:space="preserve"> </w:t>
      </w:r>
      <w:r>
        <w:t>difíciles</w:t>
      </w:r>
      <w:r>
        <w:rPr>
          <w:spacing w:val="2"/>
        </w:rPr>
        <w:t xml:space="preserve"> </w:t>
      </w:r>
      <w:r>
        <w:t>condiciones</w:t>
      </w:r>
      <w:r>
        <w:rPr>
          <w:spacing w:val="1"/>
        </w:rPr>
        <w:t xml:space="preserve"> </w:t>
      </w:r>
      <w:r>
        <w:t>y</w:t>
      </w:r>
      <w:r>
        <w:rPr>
          <w:spacing w:val="2"/>
        </w:rPr>
        <w:t xml:space="preserve"> </w:t>
      </w:r>
      <w:r>
        <w:t>restricciones</w:t>
      </w:r>
      <w:r>
        <w:rPr>
          <w:spacing w:val="2"/>
        </w:rPr>
        <w:t xml:space="preserve"> </w:t>
      </w:r>
      <w:r>
        <w:t>en los</w:t>
      </w:r>
      <w:r>
        <w:rPr>
          <w:spacing w:val="2"/>
        </w:rPr>
        <w:t xml:space="preserve"> </w:t>
      </w:r>
      <w:r>
        <w:t>países</w:t>
      </w:r>
      <w:r>
        <w:rPr>
          <w:spacing w:val="1"/>
        </w:rPr>
        <w:t xml:space="preserve"> </w:t>
      </w:r>
      <w:r>
        <w:rPr>
          <w:spacing w:val="-2"/>
        </w:rPr>
        <w:t>receptores,</w:t>
      </w:r>
      <w:bookmarkStart w:id="1487" w:name="_bookmark1299"/>
      <w:bookmarkStart w:id="1488" w:name="_bookmark1300"/>
      <w:bookmarkEnd w:id="1487"/>
      <w:bookmarkEnd w:id="1488"/>
      <w:r w:rsidR="001A3528">
        <w:t xml:space="preserve"> </w:t>
      </w:r>
      <w:r>
        <w:lastRenderedPageBreak/>
        <w:t>para</w:t>
      </w:r>
      <w:r>
        <w:rPr>
          <w:spacing w:val="-7"/>
        </w:rPr>
        <w:t xml:space="preserve"> </w:t>
      </w:r>
      <w:r>
        <w:t>sobrellevar</w:t>
      </w:r>
      <w:r>
        <w:rPr>
          <w:spacing w:val="-7"/>
        </w:rPr>
        <w:t xml:space="preserve"> </w:t>
      </w:r>
      <w:r>
        <w:t>una</w:t>
      </w:r>
      <w:r>
        <w:rPr>
          <w:spacing w:val="-8"/>
        </w:rPr>
        <w:t xml:space="preserve"> </w:t>
      </w:r>
      <w:r>
        <w:t>situación</w:t>
      </w:r>
      <w:r>
        <w:rPr>
          <w:spacing w:val="-8"/>
        </w:rPr>
        <w:t xml:space="preserve"> </w:t>
      </w:r>
      <w:r>
        <w:t>invisibilizada</w:t>
      </w:r>
      <w:r>
        <w:rPr>
          <w:spacing w:val="-7"/>
        </w:rPr>
        <w:t xml:space="preserve"> </w:t>
      </w:r>
      <w:r>
        <w:t>durante</w:t>
      </w:r>
      <w:r>
        <w:rPr>
          <w:spacing w:val="-8"/>
        </w:rPr>
        <w:t xml:space="preserve"> </w:t>
      </w:r>
      <w:r>
        <w:t>mucho</w:t>
      </w:r>
      <w:r>
        <w:rPr>
          <w:spacing w:val="-8"/>
        </w:rPr>
        <w:t xml:space="preserve"> </w:t>
      </w:r>
      <w:r>
        <w:t>tiempo</w:t>
      </w:r>
      <w:r>
        <w:rPr>
          <w:spacing w:val="-7"/>
        </w:rPr>
        <w:t xml:space="preserve"> </w:t>
      </w:r>
      <w:r>
        <w:t>en</w:t>
      </w:r>
      <w:r>
        <w:rPr>
          <w:spacing w:val="-7"/>
        </w:rPr>
        <w:t xml:space="preserve"> </w:t>
      </w:r>
      <w:r>
        <w:t>Colombia.</w:t>
      </w:r>
      <w:r>
        <w:rPr>
          <w:spacing w:val="-7"/>
        </w:rPr>
        <w:t xml:space="preserve"> </w:t>
      </w:r>
      <w:r>
        <w:t>El</w:t>
      </w:r>
      <w:r>
        <w:rPr>
          <w:spacing w:val="-8"/>
        </w:rPr>
        <w:t xml:space="preserve"> </w:t>
      </w:r>
      <w:r>
        <w:t>apoyo</w:t>
      </w:r>
      <w:r>
        <w:rPr>
          <w:spacing w:val="-7"/>
        </w:rPr>
        <w:t xml:space="preserve"> </w:t>
      </w:r>
      <w:r>
        <w:t>a las personas refugiadas hoy es también un aporte a la construcción de paz.</w:t>
      </w:r>
    </w:p>
    <w:p w:rsidR="003804AC" w:rsidRDefault="00AF18A5" w:rsidP="001A3528">
      <w:r>
        <w:t>También</w:t>
      </w:r>
      <w:r>
        <w:rPr>
          <w:spacing w:val="-13"/>
        </w:rPr>
        <w:t xml:space="preserve"> </w:t>
      </w:r>
      <w:r>
        <w:t>hay</w:t>
      </w:r>
      <w:r>
        <w:rPr>
          <w:spacing w:val="-13"/>
        </w:rPr>
        <w:t xml:space="preserve"> </w:t>
      </w:r>
      <w:r>
        <w:t>una</w:t>
      </w:r>
      <w:r>
        <w:rPr>
          <w:spacing w:val="-13"/>
        </w:rPr>
        <w:t xml:space="preserve"> </w:t>
      </w:r>
      <w:r>
        <w:t>comunidad</w:t>
      </w:r>
      <w:r>
        <w:rPr>
          <w:spacing w:val="-13"/>
        </w:rPr>
        <w:t xml:space="preserve"> </w:t>
      </w:r>
      <w:r>
        <w:t>internacional</w:t>
      </w:r>
      <w:r>
        <w:rPr>
          <w:spacing w:val="-13"/>
        </w:rPr>
        <w:t xml:space="preserve"> </w:t>
      </w:r>
      <w:r>
        <w:t>que</w:t>
      </w:r>
      <w:r>
        <w:rPr>
          <w:spacing w:val="-13"/>
        </w:rPr>
        <w:t xml:space="preserve"> </w:t>
      </w:r>
      <w:r>
        <w:t>no</w:t>
      </w:r>
      <w:r>
        <w:rPr>
          <w:spacing w:val="-13"/>
        </w:rPr>
        <w:t xml:space="preserve"> </w:t>
      </w:r>
      <w:r>
        <w:t>son</w:t>
      </w:r>
      <w:r>
        <w:rPr>
          <w:spacing w:val="-13"/>
        </w:rPr>
        <w:t xml:space="preserve"> </w:t>
      </w:r>
      <w:r>
        <w:t>los</w:t>
      </w:r>
      <w:r>
        <w:rPr>
          <w:spacing w:val="-13"/>
        </w:rPr>
        <w:t xml:space="preserve"> </w:t>
      </w:r>
      <w:r>
        <w:t>Estados.</w:t>
      </w:r>
      <w:r>
        <w:rPr>
          <w:spacing w:val="-13"/>
        </w:rPr>
        <w:t xml:space="preserve"> </w:t>
      </w:r>
      <w:r>
        <w:t>Son</w:t>
      </w:r>
      <w:r>
        <w:rPr>
          <w:spacing w:val="-13"/>
        </w:rPr>
        <w:t xml:space="preserve"> </w:t>
      </w:r>
      <w:r>
        <w:t>las</w:t>
      </w:r>
      <w:r>
        <w:rPr>
          <w:spacing w:val="-13"/>
        </w:rPr>
        <w:t xml:space="preserve"> </w:t>
      </w:r>
      <w:r>
        <w:t>organizaciones internacionales solidarias, ONG, los partidos políticos o movimientos sociales, las organizaciones de ayuda humanitaria, de defensa de los derechos humanos o atención a refugiados, fundamentales tanto para dar a conocer y poner atención internacional sobre Colombia, como para apoyar o acoger a personas exiliadas en los países receptores. La Comisión ha trabajado con buena parte de ellas y reconoce su aporte a la construcción de la paz,</w:t>
      </w:r>
      <w:r>
        <w:rPr>
          <w:spacing w:val="-6"/>
        </w:rPr>
        <w:t xml:space="preserve"> </w:t>
      </w:r>
      <w:r>
        <w:t>incluyendo</w:t>
      </w:r>
      <w:r>
        <w:rPr>
          <w:spacing w:val="-3"/>
        </w:rPr>
        <w:t xml:space="preserve"> </w:t>
      </w:r>
      <w:r>
        <w:t>visibilidad</w:t>
      </w:r>
      <w:r>
        <w:rPr>
          <w:spacing w:val="-3"/>
        </w:rPr>
        <w:t xml:space="preserve"> </w:t>
      </w:r>
      <w:r>
        <w:t>y</w:t>
      </w:r>
      <w:r>
        <w:rPr>
          <w:spacing w:val="-4"/>
        </w:rPr>
        <w:t xml:space="preserve"> </w:t>
      </w:r>
      <w:r>
        <w:t>la</w:t>
      </w:r>
      <w:r>
        <w:rPr>
          <w:spacing w:val="-4"/>
        </w:rPr>
        <w:t xml:space="preserve"> </w:t>
      </w:r>
      <w:r>
        <w:t>incidencia</w:t>
      </w:r>
      <w:r>
        <w:rPr>
          <w:spacing w:val="-2"/>
        </w:rPr>
        <w:t xml:space="preserve"> </w:t>
      </w:r>
      <w:r>
        <w:t>política</w:t>
      </w:r>
      <w:r>
        <w:rPr>
          <w:spacing w:val="-3"/>
        </w:rPr>
        <w:t xml:space="preserve"> </w:t>
      </w:r>
      <w:r>
        <w:t>para</w:t>
      </w:r>
      <w:r>
        <w:rPr>
          <w:spacing w:val="-4"/>
        </w:rPr>
        <w:t xml:space="preserve"> </w:t>
      </w:r>
      <w:r>
        <w:t>la</w:t>
      </w:r>
      <w:r>
        <w:rPr>
          <w:spacing w:val="-2"/>
        </w:rPr>
        <w:t xml:space="preserve"> </w:t>
      </w:r>
      <w:r>
        <w:t>defensa</w:t>
      </w:r>
      <w:r>
        <w:rPr>
          <w:spacing w:val="-3"/>
        </w:rPr>
        <w:t xml:space="preserve"> </w:t>
      </w:r>
      <w:r>
        <w:t>de</w:t>
      </w:r>
      <w:r>
        <w:rPr>
          <w:spacing w:val="-4"/>
        </w:rPr>
        <w:t xml:space="preserve"> </w:t>
      </w:r>
      <w:r>
        <w:t>los</w:t>
      </w:r>
      <w:r>
        <w:rPr>
          <w:spacing w:val="-4"/>
        </w:rPr>
        <w:t xml:space="preserve"> </w:t>
      </w:r>
      <w:r>
        <w:t>derechos</w:t>
      </w:r>
      <w:r>
        <w:rPr>
          <w:spacing w:val="-4"/>
        </w:rPr>
        <w:t xml:space="preserve"> </w:t>
      </w:r>
      <w:r>
        <w:rPr>
          <w:spacing w:val="-2"/>
        </w:rPr>
        <w:t>humanos.</w:t>
      </w:r>
    </w:p>
    <w:p w:rsidR="001A3528" w:rsidRDefault="00AF18A5" w:rsidP="001A3528">
      <w:pPr>
        <w:rPr>
          <w:spacing w:val="-2"/>
        </w:rPr>
      </w:pPr>
      <w:r>
        <w:t>Si bien el conflicto armado de Colombia es interno, ha tenido también fuerte incidencia regional e implicaciones internacionales evidentes, tanto en la guerra como en la paz. Colombia</w:t>
      </w:r>
      <w:r>
        <w:rPr>
          <w:spacing w:val="-11"/>
        </w:rPr>
        <w:t xml:space="preserve"> </w:t>
      </w:r>
      <w:r>
        <w:t>requiere</w:t>
      </w:r>
      <w:r>
        <w:rPr>
          <w:spacing w:val="-11"/>
        </w:rPr>
        <w:t xml:space="preserve"> </w:t>
      </w:r>
      <w:r>
        <w:t>que</w:t>
      </w:r>
      <w:r>
        <w:rPr>
          <w:spacing w:val="-9"/>
        </w:rPr>
        <w:t xml:space="preserve"> </w:t>
      </w:r>
      <w:r>
        <w:t>la</w:t>
      </w:r>
      <w:r>
        <w:rPr>
          <w:spacing w:val="-11"/>
        </w:rPr>
        <w:t xml:space="preserve"> </w:t>
      </w:r>
      <w:r>
        <w:t>extensión</w:t>
      </w:r>
      <w:r>
        <w:rPr>
          <w:spacing w:val="-10"/>
        </w:rPr>
        <w:t xml:space="preserve"> </w:t>
      </w:r>
      <w:r>
        <w:t>y</w:t>
      </w:r>
      <w:r>
        <w:rPr>
          <w:spacing w:val="-11"/>
        </w:rPr>
        <w:t xml:space="preserve"> </w:t>
      </w:r>
      <w:r>
        <w:t>la</w:t>
      </w:r>
      <w:r>
        <w:rPr>
          <w:spacing w:val="-9"/>
        </w:rPr>
        <w:t xml:space="preserve"> </w:t>
      </w:r>
      <w:r>
        <w:t>consolidación</w:t>
      </w:r>
      <w:r>
        <w:rPr>
          <w:spacing w:val="-10"/>
        </w:rPr>
        <w:t xml:space="preserve"> </w:t>
      </w:r>
      <w:r>
        <w:t>de</w:t>
      </w:r>
      <w:r>
        <w:rPr>
          <w:spacing w:val="-11"/>
        </w:rPr>
        <w:t xml:space="preserve"> </w:t>
      </w:r>
      <w:r>
        <w:t>la</w:t>
      </w:r>
      <w:r>
        <w:rPr>
          <w:spacing w:val="-9"/>
        </w:rPr>
        <w:t xml:space="preserve"> </w:t>
      </w:r>
      <w:r>
        <w:t>paz</w:t>
      </w:r>
      <w:r>
        <w:rPr>
          <w:spacing w:val="-9"/>
        </w:rPr>
        <w:t xml:space="preserve"> </w:t>
      </w:r>
      <w:r>
        <w:t>cuente</w:t>
      </w:r>
      <w:r>
        <w:rPr>
          <w:spacing w:val="-9"/>
        </w:rPr>
        <w:t xml:space="preserve"> </w:t>
      </w:r>
      <w:r>
        <w:t>tanto</w:t>
      </w:r>
      <w:r>
        <w:rPr>
          <w:spacing w:val="-10"/>
        </w:rPr>
        <w:t xml:space="preserve"> </w:t>
      </w:r>
      <w:r>
        <w:t>con</w:t>
      </w:r>
      <w:r>
        <w:rPr>
          <w:spacing w:val="-10"/>
        </w:rPr>
        <w:t xml:space="preserve"> </w:t>
      </w:r>
      <w:r>
        <w:t>una</w:t>
      </w:r>
      <w:r>
        <w:rPr>
          <w:spacing w:val="-9"/>
        </w:rPr>
        <w:t xml:space="preserve"> </w:t>
      </w:r>
      <w:r>
        <w:t>política del Estado colombiano como del acompañamiento y el apoyo internacional que le siga apostando</w:t>
      </w:r>
      <w:r>
        <w:rPr>
          <w:spacing w:val="-4"/>
        </w:rPr>
        <w:t xml:space="preserve"> </w:t>
      </w:r>
      <w:r>
        <w:t>a</w:t>
      </w:r>
      <w:r>
        <w:rPr>
          <w:spacing w:val="-5"/>
        </w:rPr>
        <w:t xml:space="preserve"> </w:t>
      </w:r>
      <w:r>
        <w:t>la</w:t>
      </w:r>
      <w:r>
        <w:rPr>
          <w:spacing w:val="-3"/>
        </w:rPr>
        <w:t xml:space="preserve"> </w:t>
      </w:r>
      <w:r>
        <w:t>paz</w:t>
      </w:r>
      <w:r>
        <w:rPr>
          <w:spacing w:val="-3"/>
        </w:rPr>
        <w:t xml:space="preserve"> </w:t>
      </w:r>
      <w:r>
        <w:t>con</w:t>
      </w:r>
      <w:r>
        <w:rPr>
          <w:spacing w:val="-4"/>
        </w:rPr>
        <w:t xml:space="preserve"> </w:t>
      </w:r>
      <w:r>
        <w:t>esfuerzos</w:t>
      </w:r>
      <w:r>
        <w:rPr>
          <w:spacing w:val="-4"/>
        </w:rPr>
        <w:t xml:space="preserve"> </w:t>
      </w:r>
      <w:r>
        <w:t>decididos</w:t>
      </w:r>
      <w:r>
        <w:rPr>
          <w:spacing w:val="-4"/>
        </w:rPr>
        <w:t xml:space="preserve"> </w:t>
      </w:r>
      <w:r>
        <w:t>como</w:t>
      </w:r>
      <w:r>
        <w:rPr>
          <w:spacing w:val="-5"/>
        </w:rPr>
        <w:t xml:space="preserve"> </w:t>
      </w:r>
      <w:r>
        <w:t>los</w:t>
      </w:r>
      <w:r>
        <w:rPr>
          <w:spacing w:val="-4"/>
        </w:rPr>
        <w:t xml:space="preserve"> </w:t>
      </w:r>
      <w:r>
        <w:t>que</w:t>
      </w:r>
      <w:r>
        <w:rPr>
          <w:spacing w:val="-3"/>
        </w:rPr>
        <w:t xml:space="preserve"> </w:t>
      </w:r>
      <w:r>
        <w:t>llevaron</w:t>
      </w:r>
      <w:r>
        <w:rPr>
          <w:spacing w:val="-4"/>
        </w:rPr>
        <w:t xml:space="preserve"> </w:t>
      </w:r>
      <w:r>
        <w:t>al</w:t>
      </w:r>
      <w:r>
        <w:rPr>
          <w:spacing w:val="-3"/>
        </w:rPr>
        <w:t xml:space="preserve"> </w:t>
      </w:r>
      <w:r>
        <w:t>Acuerdo</w:t>
      </w:r>
      <w:r>
        <w:rPr>
          <w:spacing w:val="-4"/>
        </w:rPr>
        <w:t xml:space="preserve"> </w:t>
      </w:r>
      <w:r>
        <w:t>de</w:t>
      </w:r>
      <w:r>
        <w:rPr>
          <w:spacing w:val="-3"/>
        </w:rPr>
        <w:t xml:space="preserve"> </w:t>
      </w:r>
      <w:r>
        <w:t>Paz</w:t>
      </w:r>
      <w:r>
        <w:rPr>
          <w:spacing w:val="-3"/>
        </w:rPr>
        <w:t xml:space="preserve"> </w:t>
      </w:r>
      <w:r>
        <w:t>con</w:t>
      </w:r>
      <w:r>
        <w:rPr>
          <w:spacing w:val="-4"/>
        </w:rPr>
        <w:t xml:space="preserve"> </w:t>
      </w:r>
      <w:r>
        <w:t>las FARC-EP</w:t>
      </w:r>
      <w:r>
        <w:rPr>
          <w:spacing w:val="-5"/>
        </w:rPr>
        <w:t xml:space="preserve"> </w:t>
      </w:r>
      <w:r>
        <w:t>y,</w:t>
      </w:r>
      <w:r>
        <w:rPr>
          <w:spacing w:val="-3"/>
        </w:rPr>
        <w:t xml:space="preserve"> </w:t>
      </w:r>
      <w:r>
        <w:t>de</w:t>
      </w:r>
      <w:r>
        <w:rPr>
          <w:spacing w:val="-5"/>
        </w:rPr>
        <w:t xml:space="preserve"> </w:t>
      </w:r>
      <w:r>
        <w:t>manera</w:t>
      </w:r>
      <w:r>
        <w:rPr>
          <w:spacing w:val="-5"/>
        </w:rPr>
        <w:t xml:space="preserve"> </w:t>
      </w:r>
      <w:r>
        <w:t>simultánea,</w:t>
      </w:r>
      <w:r>
        <w:rPr>
          <w:spacing w:val="-6"/>
        </w:rPr>
        <w:t xml:space="preserve"> </w:t>
      </w:r>
      <w:r>
        <w:t>para</w:t>
      </w:r>
      <w:r>
        <w:rPr>
          <w:spacing w:val="-4"/>
        </w:rPr>
        <w:t xml:space="preserve"> </w:t>
      </w:r>
      <w:r>
        <w:t>el</w:t>
      </w:r>
      <w:r>
        <w:rPr>
          <w:spacing w:val="-4"/>
        </w:rPr>
        <w:t xml:space="preserve"> </w:t>
      </w:r>
      <w:r>
        <w:t>apoyo</w:t>
      </w:r>
      <w:r>
        <w:rPr>
          <w:spacing w:val="-5"/>
        </w:rPr>
        <w:t xml:space="preserve"> </w:t>
      </w:r>
      <w:r>
        <w:t>a</w:t>
      </w:r>
      <w:r>
        <w:rPr>
          <w:spacing w:val="-5"/>
        </w:rPr>
        <w:t xml:space="preserve"> </w:t>
      </w:r>
      <w:r>
        <w:t>las</w:t>
      </w:r>
      <w:r>
        <w:rPr>
          <w:spacing w:val="-4"/>
        </w:rPr>
        <w:t xml:space="preserve"> </w:t>
      </w:r>
      <w:r>
        <w:t>víctimas</w:t>
      </w:r>
      <w:r>
        <w:rPr>
          <w:spacing w:val="-5"/>
        </w:rPr>
        <w:t xml:space="preserve"> </w:t>
      </w:r>
      <w:r>
        <w:t>y</w:t>
      </w:r>
      <w:r>
        <w:rPr>
          <w:spacing w:val="-4"/>
        </w:rPr>
        <w:t xml:space="preserve"> </w:t>
      </w:r>
      <w:r>
        <w:t>a</w:t>
      </w:r>
      <w:r>
        <w:rPr>
          <w:spacing w:val="-5"/>
        </w:rPr>
        <w:t xml:space="preserve"> </w:t>
      </w:r>
      <w:r>
        <w:t>la</w:t>
      </w:r>
      <w:r>
        <w:rPr>
          <w:spacing w:val="-4"/>
        </w:rPr>
        <w:t xml:space="preserve"> </w:t>
      </w:r>
      <w:r>
        <w:t>sociedad</w:t>
      </w:r>
      <w:r>
        <w:rPr>
          <w:spacing w:val="-4"/>
        </w:rPr>
        <w:t xml:space="preserve"> </w:t>
      </w:r>
      <w:r>
        <w:rPr>
          <w:spacing w:val="-2"/>
        </w:rPr>
        <w:t>colombiana.</w:t>
      </w:r>
    </w:p>
    <w:p w:rsidR="001A3528" w:rsidRDefault="001A3528">
      <w:pPr>
        <w:spacing w:before="0" w:after="0" w:line="240" w:lineRule="auto"/>
        <w:rPr>
          <w:spacing w:val="-2"/>
        </w:rPr>
      </w:pPr>
      <w:r>
        <w:rPr>
          <w:spacing w:val="-2"/>
        </w:rPr>
        <w:br w:type="page"/>
      </w:r>
    </w:p>
    <w:p w:rsidR="0011361F" w:rsidRDefault="00AF18A5" w:rsidP="004A6EF4">
      <w:pPr>
        <w:pStyle w:val="Ttulo1"/>
        <w:numPr>
          <w:ilvl w:val="0"/>
          <w:numId w:val="15"/>
        </w:numPr>
      </w:pPr>
      <w:bookmarkStart w:id="1489" w:name="II._RECOMENDACIONES"/>
      <w:bookmarkStart w:id="1490" w:name="_Toc112399676"/>
      <w:bookmarkEnd w:id="1489"/>
      <w:r>
        <w:lastRenderedPageBreak/>
        <w:t>RECOMENDACIONES</w:t>
      </w:r>
      <w:bookmarkEnd w:id="1490"/>
    </w:p>
    <w:p w:rsidR="0011361F" w:rsidRDefault="00AF18A5" w:rsidP="003C7E43">
      <w:pPr>
        <w:pStyle w:val="Ttulo2"/>
      </w:pPr>
      <w:bookmarkStart w:id="1491" w:name="Introducción"/>
      <w:bookmarkStart w:id="1492" w:name="_Toc112399677"/>
      <w:bookmarkEnd w:id="1491"/>
      <w:r>
        <w:t>INTRODUCCIÓN</w:t>
      </w:r>
      <w:bookmarkEnd w:id="1492"/>
    </w:p>
    <w:p w:rsidR="003804AC" w:rsidRDefault="00AF18A5" w:rsidP="003C7E43">
      <w:r>
        <w:t>La paz que pone en el centro el respeto por la vida y la dignidad y logra el buen vivir para todos y todas debe ser la principal prioridad para Colombia. El objetivo de las recomendaciones de la Comisión es contribuir a definir una agenda de futuro para avanzar en un diálogo sobre las transformaciones necesarias en el país y para poner fin a las confrontaciones armadas que persisten, superar los factores de persistencia y contribuir a la reconstrucción de confianza entre la sociedad y las instituciones para avanzar hacia la reconciliación y garantizar la no repetición del conflicto armado.</w:t>
      </w:r>
    </w:p>
    <w:p w:rsidR="003804AC" w:rsidRDefault="00AF18A5" w:rsidP="001C2EF7">
      <w:r>
        <w:t>La</w:t>
      </w:r>
      <w:r>
        <w:rPr>
          <w:spacing w:val="-7"/>
        </w:rPr>
        <w:t xml:space="preserve"> </w:t>
      </w:r>
      <w:r>
        <w:t>firma</w:t>
      </w:r>
      <w:r>
        <w:rPr>
          <w:spacing w:val="-7"/>
        </w:rPr>
        <w:t xml:space="preserve"> </w:t>
      </w:r>
      <w:r>
        <w:t>del</w:t>
      </w:r>
      <w:r>
        <w:rPr>
          <w:spacing w:val="-8"/>
        </w:rPr>
        <w:t xml:space="preserve"> </w:t>
      </w:r>
      <w:r>
        <w:t>Acuerdo</w:t>
      </w:r>
      <w:r>
        <w:rPr>
          <w:spacing w:val="-7"/>
        </w:rPr>
        <w:t xml:space="preserve"> </w:t>
      </w:r>
      <w:r>
        <w:t>de</w:t>
      </w:r>
      <w:r>
        <w:rPr>
          <w:spacing w:val="-6"/>
        </w:rPr>
        <w:t xml:space="preserve"> </w:t>
      </w:r>
      <w:r>
        <w:t>Paz</w:t>
      </w:r>
      <w:r>
        <w:rPr>
          <w:spacing w:val="-7"/>
        </w:rPr>
        <w:t xml:space="preserve"> </w:t>
      </w:r>
      <w:r>
        <w:t>con</w:t>
      </w:r>
      <w:r>
        <w:rPr>
          <w:spacing w:val="-7"/>
        </w:rPr>
        <w:t xml:space="preserve"> </w:t>
      </w:r>
      <w:r>
        <w:t>las</w:t>
      </w:r>
      <w:r>
        <w:rPr>
          <w:spacing w:val="-7"/>
        </w:rPr>
        <w:t xml:space="preserve"> </w:t>
      </w:r>
      <w:r>
        <w:t>FARC-EP,</w:t>
      </w:r>
      <w:r>
        <w:rPr>
          <w:spacing w:val="-6"/>
        </w:rPr>
        <w:t xml:space="preserve"> </w:t>
      </w:r>
      <w:r>
        <w:t>con</w:t>
      </w:r>
      <w:r>
        <w:rPr>
          <w:spacing w:val="-7"/>
        </w:rPr>
        <w:t xml:space="preserve"> </w:t>
      </w:r>
      <w:r>
        <w:t>el</w:t>
      </w:r>
      <w:r>
        <w:rPr>
          <w:spacing w:val="-7"/>
        </w:rPr>
        <w:t xml:space="preserve"> </w:t>
      </w:r>
      <w:r>
        <w:t>que</w:t>
      </w:r>
      <w:r>
        <w:rPr>
          <w:spacing w:val="-7"/>
        </w:rPr>
        <w:t xml:space="preserve"> </w:t>
      </w:r>
      <w:r>
        <w:t>se</w:t>
      </w:r>
      <w:r>
        <w:rPr>
          <w:spacing w:val="-7"/>
        </w:rPr>
        <w:t xml:space="preserve"> </w:t>
      </w:r>
      <w:r>
        <w:t>puso</w:t>
      </w:r>
      <w:r>
        <w:rPr>
          <w:spacing w:val="-7"/>
        </w:rPr>
        <w:t xml:space="preserve"> </w:t>
      </w:r>
      <w:r>
        <w:t>fin</w:t>
      </w:r>
      <w:r>
        <w:rPr>
          <w:spacing w:val="-7"/>
        </w:rPr>
        <w:t xml:space="preserve"> </w:t>
      </w:r>
      <w:r>
        <w:t>al</w:t>
      </w:r>
      <w:r>
        <w:rPr>
          <w:spacing w:val="-7"/>
        </w:rPr>
        <w:t xml:space="preserve"> </w:t>
      </w:r>
      <w:r>
        <w:t>conflicto</w:t>
      </w:r>
      <w:r>
        <w:rPr>
          <w:spacing w:val="-7"/>
        </w:rPr>
        <w:t xml:space="preserve"> </w:t>
      </w:r>
      <w:r>
        <w:t>de</w:t>
      </w:r>
      <w:r>
        <w:rPr>
          <w:spacing w:val="-7"/>
        </w:rPr>
        <w:t xml:space="preserve"> </w:t>
      </w:r>
      <w:r>
        <w:t>más de</w:t>
      </w:r>
      <w:r>
        <w:rPr>
          <w:spacing w:val="-9"/>
        </w:rPr>
        <w:t xml:space="preserve"> </w:t>
      </w:r>
      <w:r>
        <w:t>50</w:t>
      </w:r>
      <w:r>
        <w:rPr>
          <w:spacing w:val="-9"/>
        </w:rPr>
        <w:t xml:space="preserve"> </w:t>
      </w:r>
      <w:r>
        <w:t>años</w:t>
      </w:r>
      <w:r>
        <w:rPr>
          <w:spacing w:val="-9"/>
        </w:rPr>
        <w:t xml:space="preserve"> </w:t>
      </w:r>
      <w:r>
        <w:t>con</w:t>
      </w:r>
      <w:r>
        <w:rPr>
          <w:spacing w:val="-9"/>
        </w:rPr>
        <w:t xml:space="preserve"> </w:t>
      </w:r>
      <w:r>
        <w:t>esa</w:t>
      </w:r>
      <w:r>
        <w:rPr>
          <w:spacing w:val="-9"/>
        </w:rPr>
        <w:t xml:space="preserve"> </w:t>
      </w:r>
      <w:r>
        <w:t>guerrilla,</w:t>
      </w:r>
      <w:r>
        <w:rPr>
          <w:spacing w:val="-9"/>
        </w:rPr>
        <w:t xml:space="preserve"> </w:t>
      </w:r>
      <w:r>
        <w:t>abrió</w:t>
      </w:r>
      <w:r>
        <w:rPr>
          <w:spacing w:val="-9"/>
        </w:rPr>
        <w:t xml:space="preserve"> </w:t>
      </w:r>
      <w:r>
        <w:t>una</w:t>
      </w:r>
      <w:r>
        <w:rPr>
          <w:spacing w:val="-9"/>
        </w:rPr>
        <w:t xml:space="preserve"> </w:t>
      </w:r>
      <w:r>
        <w:t>nueva</w:t>
      </w:r>
      <w:r>
        <w:rPr>
          <w:spacing w:val="-9"/>
        </w:rPr>
        <w:t xml:space="preserve"> </w:t>
      </w:r>
      <w:r>
        <w:t>oportunidad</w:t>
      </w:r>
      <w:r>
        <w:rPr>
          <w:spacing w:val="-9"/>
        </w:rPr>
        <w:t xml:space="preserve"> </w:t>
      </w:r>
      <w:r>
        <w:t>para</w:t>
      </w:r>
      <w:r>
        <w:rPr>
          <w:spacing w:val="-10"/>
        </w:rPr>
        <w:t xml:space="preserve"> </w:t>
      </w:r>
      <w:r>
        <w:t>emprender</w:t>
      </w:r>
      <w:r>
        <w:rPr>
          <w:spacing w:val="-10"/>
        </w:rPr>
        <w:t xml:space="preserve"> </w:t>
      </w:r>
      <w:r>
        <w:t>como</w:t>
      </w:r>
      <w:r>
        <w:rPr>
          <w:spacing w:val="-9"/>
        </w:rPr>
        <w:t xml:space="preserve"> </w:t>
      </w:r>
      <w:r>
        <w:t>sociedad</w:t>
      </w:r>
      <w:r>
        <w:rPr>
          <w:spacing w:val="-9"/>
        </w:rPr>
        <w:t xml:space="preserve"> </w:t>
      </w:r>
      <w:r>
        <w:t>las transformaciones que son necesarias para superar los factores que han permitido que la violencia persista y sus actores se reciclen una y otra vez en el país.</w:t>
      </w:r>
    </w:p>
    <w:p w:rsidR="003804AC" w:rsidRDefault="00AF18A5" w:rsidP="001C2EF7">
      <w:r>
        <w:t>No</w:t>
      </w:r>
      <w:r>
        <w:rPr>
          <w:spacing w:val="-5"/>
        </w:rPr>
        <w:t xml:space="preserve"> </w:t>
      </w:r>
      <w:r>
        <w:t>obstante,</w:t>
      </w:r>
      <w:r>
        <w:rPr>
          <w:spacing w:val="-6"/>
        </w:rPr>
        <w:t xml:space="preserve"> </w:t>
      </w:r>
      <w:r>
        <w:t>cinco</w:t>
      </w:r>
      <w:r>
        <w:rPr>
          <w:spacing w:val="-6"/>
        </w:rPr>
        <w:t xml:space="preserve"> </w:t>
      </w:r>
      <w:r>
        <w:t>años</w:t>
      </w:r>
      <w:r>
        <w:rPr>
          <w:spacing w:val="-6"/>
        </w:rPr>
        <w:t xml:space="preserve"> </w:t>
      </w:r>
      <w:r>
        <w:t>después</w:t>
      </w:r>
      <w:r>
        <w:rPr>
          <w:spacing w:val="-5"/>
        </w:rPr>
        <w:t xml:space="preserve"> </w:t>
      </w:r>
      <w:r>
        <w:t>de</w:t>
      </w:r>
      <w:r>
        <w:rPr>
          <w:spacing w:val="-6"/>
        </w:rPr>
        <w:t xml:space="preserve"> </w:t>
      </w:r>
      <w:r>
        <w:t>la</w:t>
      </w:r>
      <w:r>
        <w:rPr>
          <w:spacing w:val="-5"/>
        </w:rPr>
        <w:t xml:space="preserve"> </w:t>
      </w:r>
      <w:r>
        <w:t>firma</w:t>
      </w:r>
      <w:r>
        <w:rPr>
          <w:spacing w:val="-6"/>
        </w:rPr>
        <w:t xml:space="preserve"> </w:t>
      </w:r>
      <w:r>
        <w:t>del</w:t>
      </w:r>
      <w:r>
        <w:rPr>
          <w:spacing w:val="-7"/>
        </w:rPr>
        <w:t xml:space="preserve"> </w:t>
      </w:r>
      <w:r>
        <w:t>Acuerdo</w:t>
      </w:r>
      <w:r>
        <w:rPr>
          <w:spacing w:val="-5"/>
        </w:rPr>
        <w:t xml:space="preserve"> </w:t>
      </w:r>
      <w:r>
        <w:t>Final</w:t>
      </w:r>
      <w:r>
        <w:rPr>
          <w:spacing w:val="-4"/>
        </w:rPr>
        <w:t xml:space="preserve"> </w:t>
      </w:r>
      <w:r>
        <w:t>de</w:t>
      </w:r>
      <w:r>
        <w:rPr>
          <w:spacing w:val="-6"/>
        </w:rPr>
        <w:t xml:space="preserve"> </w:t>
      </w:r>
      <w:r>
        <w:t>Paz</w:t>
      </w:r>
      <w:r>
        <w:rPr>
          <w:spacing w:val="-5"/>
        </w:rPr>
        <w:t xml:space="preserve"> </w:t>
      </w:r>
      <w:r>
        <w:t>y</w:t>
      </w:r>
      <w:r>
        <w:rPr>
          <w:spacing w:val="-5"/>
        </w:rPr>
        <w:t xml:space="preserve"> </w:t>
      </w:r>
      <w:r>
        <w:t>de</w:t>
      </w:r>
      <w:r>
        <w:rPr>
          <w:spacing w:val="-5"/>
        </w:rPr>
        <w:t xml:space="preserve"> </w:t>
      </w:r>
      <w:r>
        <w:t>que</w:t>
      </w:r>
      <w:r>
        <w:rPr>
          <w:spacing w:val="-6"/>
        </w:rPr>
        <w:t xml:space="preserve"> </w:t>
      </w:r>
      <w:r>
        <w:t>más</w:t>
      </w:r>
      <w:r>
        <w:rPr>
          <w:spacing w:val="-5"/>
        </w:rPr>
        <w:t xml:space="preserve"> </w:t>
      </w:r>
      <w:r>
        <w:t>de</w:t>
      </w:r>
      <w:r>
        <w:rPr>
          <w:spacing w:val="-5"/>
        </w:rPr>
        <w:t xml:space="preserve"> </w:t>
      </w:r>
      <w:r>
        <w:t>12 mil hombres y mujeres decidieran abandonar la lucha armada y apostar por la democracia, enfrentamos un escenario de recrudecimiento de la violencia en algunas zonas del país. Adicionalmente, el balance de la implementación del Acuerdo muestra que, a pesar de avances significativos en algunos compromisos, los desafíos y los pendientes siguen siendo enormes.</w:t>
      </w:r>
      <w:r>
        <w:rPr>
          <w:spacing w:val="-15"/>
        </w:rPr>
        <w:t xml:space="preserve"> </w:t>
      </w:r>
      <w:r>
        <w:t>Por</w:t>
      </w:r>
      <w:r>
        <w:rPr>
          <w:spacing w:val="-15"/>
        </w:rPr>
        <w:t xml:space="preserve"> </w:t>
      </w:r>
      <w:r>
        <w:t>otra</w:t>
      </w:r>
      <w:r>
        <w:rPr>
          <w:spacing w:val="-15"/>
        </w:rPr>
        <w:t xml:space="preserve"> </w:t>
      </w:r>
      <w:r>
        <w:t>parte,</w:t>
      </w:r>
      <w:r>
        <w:rPr>
          <w:spacing w:val="-15"/>
        </w:rPr>
        <w:t xml:space="preserve"> </w:t>
      </w:r>
      <w:r>
        <w:t>el</w:t>
      </w:r>
      <w:r>
        <w:rPr>
          <w:spacing w:val="-15"/>
        </w:rPr>
        <w:t xml:space="preserve"> </w:t>
      </w:r>
      <w:r>
        <w:t>trabajo</w:t>
      </w:r>
      <w:r>
        <w:rPr>
          <w:spacing w:val="-15"/>
        </w:rPr>
        <w:t xml:space="preserve"> </w:t>
      </w:r>
      <w:r>
        <w:t>de</w:t>
      </w:r>
      <w:r>
        <w:rPr>
          <w:spacing w:val="-15"/>
        </w:rPr>
        <w:t xml:space="preserve"> </w:t>
      </w:r>
      <w:r>
        <w:t>la</w:t>
      </w:r>
      <w:r>
        <w:rPr>
          <w:spacing w:val="-15"/>
        </w:rPr>
        <w:t xml:space="preserve"> </w:t>
      </w:r>
      <w:r>
        <w:t>Comisión</w:t>
      </w:r>
      <w:r>
        <w:rPr>
          <w:spacing w:val="-15"/>
        </w:rPr>
        <w:t xml:space="preserve"> </w:t>
      </w:r>
      <w:r>
        <w:t>de</w:t>
      </w:r>
      <w:r>
        <w:rPr>
          <w:spacing w:val="-15"/>
        </w:rPr>
        <w:t xml:space="preserve"> </w:t>
      </w:r>
      <w:r>
        <w:t>la</w:t>
      </w:r>
      <w:r>
        <w:rPr>
          <w:spacing w:val="-15"/>
        </w:rPr>
        <w:t xml:space="preserve"> </w:t>
      </w:r>
      <w:r>
        <w:t>Verdad</w:t>
      </w:r>
      <w:r>
        <w:rPr>
          <w:spacing w:val="-15"/>
        </w:rPr>
        <w:t xml:space="preserve"> </w:t>
      </w:r>
      <w:r>
        <w:t>muestra</w:t>
      </w:r>
      <w:r>
        <w:rPr>
          <w:spacing w:val="-15"/>
        </w:rPr>
        <w:t xml:space="preserve"> </w:t>
      </w:r>
      <w:r>
        <w:t>aspectos</w:t>
      </w:r>
      <w:r>
        <w:rPr>
          <w:spacing w:val="-15"/>
        </w:rPr>
        <w:t xml:space="preserve"> </w:t>
      </w:r>
      <w:r>
        <w:t>estructurales que hay que cambiar para lograr un país incluyente y enfrentar las consecuencias que ha dejado el conflicto armado interno.</w:t>
      </w:r>
    </w:p>
    <w:p w:rsidR="003804AC" w:rsidRDefault="00AF18A5" w:rsidP="001C2EF7">
      <w:r>
        <w:lastRenderedPageBreak/>
        <w:t>La</w:t>
      </w:r>
      <w:r>
        <w:rPr>
          <w:spacing w:val="-10"/>
        </w:rPr>
        <w:t xml:space="preserve"> </w:t>
      </w:r>
      <w:r>
        <w:t>oportunidad</w:t>
      </w:r>
      <w:r>
        <w:rPr>
          <w:spacing w:val="-11"/>
        </w:rPr>
        <w:t xml:space="preserve"> </w:t>
      </w:r>
      <w:r>
        <w:t>de</w:t>
      </w:r>
      <w:r>
        <w:rPr>
          <w:spacing w:val="-10"/>
        </w:rPr>
        <w:t xml:space="preserve"> </w:t>
      </w:r>
      <w:r>
        <w:t>avanzar</w:t>
      </w:r>
      <w:r>
        <w:rPr>
          <w:spacing w:val="-10"/>
        </w:rPr>
        <w:t xml:space="preserve"> </w:t>
      </w:r>
      <w:r>
        <w:t>hacia</w:t>
      </w:r>
      <w:r>
        <w:rPr>
          <w:spacing w:val="-10"/>
        </w:rPr>
        <w:t xml:space="preserve"> </w:t>
      </w:r>
      <w:r>
        <w:t>una</w:t>
      </w:r>
      <w:r>
        <w:rPr>
          <w:spacing w:val="-10"/>
        </w:rPr>
        <w:t xml:space="preserve"> </w:t>
      </w:r>
      <w:r>
        <w:t>paz</w:t>
      </w:r>
      <w:r>
        <w:rPr>
          <w:spacing w:val="-10"/>
        </w:rPr>
        <w:t xml:space="preserve"> </w:t>
      </w:r>
      <w:r>
        <w:t>grande,</w:t>
      </w:r>
      <w:r>
        <w:rPr>
          <w:spacing w:val="-11"/>
        </w:rPr>
        <w:t xml:space="preserve"> </w:t>
      </w:r>
      <w:r>
        <w:t>hacia</w:t>
      </w:r>
      <w:r>
        <w:rPr>
          <w:spacing w:val="-12"/>
        </w:rPr>
        <w:t xml:space="preserve"> </w:t>
      </w:r>
      <w:r>
        <w:t>la</w:t>
      </w:r>
      <w:r>
        <w:rPr>
          <w:spacing w:val="-10"/>
        </w:rPr>
        <w:t xml:space="preserve"> </w:t>
      </w:r>
      <w:r>
        <w:t>paz</w:t>
      </w:r>
      <w:r>
        <w:rPr>
          <w:spacing w:val="-10"/>
        </w:rPr>
        <w:t xml:space="preserve"> </w:t>
      </w:r>
      <w:r>
        <w:t>estable</w:t>
      </w:r>
      <w:r>
        <w:rPr>
          <w:spacing w:val="-10"/>
        </w:rPr>
        <w:t xml:space="preserve"> </w:t>
      </w:r>
      <w:r>
        <w:t>y</w:t>
      </w:r>
      <w:r>
        <w:rPr>
          <w:spacing w:val="-11"/>
        </w:rPr>
        <w:t xml:space="preserve"> </w:t>
      </w:r>
      <w:r>
        <w:t>duradera</w:t>
      </w:r>
      <w:r>
        <w:rPr>
          <w:spacing w:val="-10"/>
        </w:rPr>
        <w:t xml:space="preserve"> </w:t>
      </w:r>
      <w:r>
        <w:t>que</w:t>
      </w:r>
      <w:r>
        <w:rPr>
          <w:spacing w:val="-12"/>
        </w:rPr>
        <w:t xml:space="preserve"> </w:t>
      </w:r>
      <w:r>
        <w:t>abrió la</w:t>
      </w:r>
      <w:r>
        <w:rPr>
          <w:spacing w:val="-3"/>
        </w:rPr>
        <w:t xml:space="preserve"> </w:t>
      </w:r>
      <w:r>
        <w:t>firma</w:t>
      </w:r>
      <w:r>
        <w:rPr>
          <w:spacing w:val="-3"/>
        </w:rPr>
        <w:t xml:space="preserve"> </w:t>
      </w:r>
      <w:r>
        <w:t>del</w:t>
      </w:r>
      <w:r>
        <w:rPr>
          <w:spacing w:val="-4"/>
        </w:rPr>
        <w:t xml:space="preserve"> </w:t>
      </w:r>
      <w:r>
        <w:t>Acuerdo</w:t>
      </w:r>
      <w:r>
        <w:rPr>
          <w:spacing w:val="-4"/>
        </w:rPr>
        <w:t xml:space="preserve"> </w:t>
      </w:r>
      <w:r>
        <w:t>Final</w:t>
      </w:r>
      <w:r>
        <w:rPr>
          <w:spacing w:val="-3"/>
        </w:rPr>
        <w:t xml:space="preserve"> </w:t>
      </w:r>
      <w:r>
        <w:t>de</w:t>
      </w:r>
      <w:r>
        <w:rPr>
          <w:spacing w:val="-3"/>
        </w:rPr>
        <w:t xml:space="preserve"> </w:t>
      </w:r>
      <w:r>
        <w:t>Paz,</w:t>
      </w:r>
      <w:r>
        <w:rPr>
          <w:spacing w:val="-4"/>
        </w:rPr>
        <w:t xml:space="preserve"> </w:t>
      </w:r>
      <w:r>
        <w:t>está</w:t>
      </w:r>
      <w:r>
        <w:rPr>
          <w:spacing w:val="-3"/>
        </w:rPr>
        <w:t xml:space="preserve"> </w:t>
      </w:r>
      <w:r>
        <w:t>en</w:t>
      </w:r>
      <w:r>
        <w:rPr>
          <w:spacing w:val="-5"/>
        </w:rPr>
        <w:t xml:space="preserve"> </w:t>
      </w:r>
      <w:r>
        <w:t>riesgo.</w:t>
      </w:r>
      <w:r>
        <w:rPr>
          <w:spacing w:val="-5"/>
        </w:rPr>
        <w:t xml:space="preserve"> </w:t>
      </w:r>
      <w:r>
        <w:t>Si</w:t>
      </w:r>
      <w:r>
        <w:rPr>
          <w:spacing w:val="-3"/>
        </w:rPr>
        <w:t xml:space="preserve"> </w:t>
      </w:r>
      <w:r>
        <w:t>bien</w:t>
      </w:r>
      <w:r>
        <w:rPr>
          <w:spacing w:val="-4"/>
        </w:rPr>
        <w:t xml:space="preserve"> </w:t>
      </w:r>
      <w:r>
        <w:t>no</w:t>
      </w:r>
      <w:r>
        <w:rPr>
          <w:spacing w:val="-5"/>
        </w:rPr>
        <w:t xml:space="preserve"> </w:t>
      </w:r>
      <w:r>
        <w:t>es</w:t>
      </w:r>
      <w:r>
        <w:rPr>
          <w:spacing w:val="-3"/>
        </w:rPr>
        <w:t xml:space="preserve"> </w:t>
      </w:r>
      <w:r>
        <w:t>posible</w:t>
      </w:r>
      <w:r>
        <w:rPr>
          <w:spacing w:val="-3"/>
        </w:rPr>
        <w:t xml:space="preserve"> </w:t>
      </w:r>
      <w:r>
        <w:t>decir</w:t>
      </w:r>
      <w:r>
        <w:rPr>
          <w:spacing w:val="-3"/>
        </w:rPr>
        <w:t xml:space="preserve"> </w:t>
      </w:r>
      <w:r>
        <w:t>que</w:t>
      </w:r>
      <w:r>
        <w:rPr>
          <w:spacing w:val="-3"/>
        </w:rPr>
        <w:t xml:space="preserve"> </w:t>
      </w:r>
      <w:r>
        <w:t>el</w:t>
      </w:r>
      <w:r>
        <w:rPr>
          <w:spacing w:val="-4"/>
        </w:rPr>
        <w:t xml:space="preserve"> </w:t>
      </w:r>
      <w:r>
        <w:t>conflicto que</w:t>
      </w:r>
      <w:r>
        <w:rPr>
          <w:spacing w:val="-14"/>
        </w:rPr>
        <w:t xml:space="preserve"> </w:t>
      </w:r>
      <w:r>
        <w:t>vivimos</w:t>
      </w:r>
      <w:r>
        <w:rPr>
          <w:spacing w:val="-13"/>
        </w:rPr>
        <w:t xml:space="preserve"> </w:t>
      </w:r>
      <w:r>
        <w:t>hasta</w:t>
      </w:r>
      <w:r>
        <w:rPr>
          <w:spacing w:val="-12"/>
        </w:rPr>
        <w:t xml:space="preserve"> </w:t>
      </w:r>
      <w:r>
        <w:t>antes</w:t>
      </w:r>
      <w:r>
        <w:rPr>
          <w:spacing w:val="-11"/>
        </w:rPr>
        <w:t xml:space="preserve"> </w:t>
      </w:r>
      <w:r>
        <w:t>de</w:t>
      </w:r>
      <w:r>
        <w:rPr>
          <w:spacing w:val="-12"/>
        </w:rPr>
        <w:t xml:space="preserve"> </w:t>
      </w:r>
      <w:r>
        <w:t>la</w:t>
      </w:r>
      <w:r>
        <w:rPr>
          <w:spacing w:val="-12"/>
        </w:rPr>
        <w:t xml:space="preserve"> </w:t>
      </w:r>
      <w:r>
        <w:t>firma</w:t>
      </w:r>
      <w:r>
        <w:rPr>
          <w:spacing w:val="-12"/>
        </w:rPr>
        <w:t xml:space="preserve"> </w:t>
      </w:r>
      <w:r>
        <w:t>del</w:t>
      </w:r>
      <w:r>
        <w:rPr>
          <w:spacing w:val="-11"/>
        </w:rPr>
        <w:t xml:space="preserve"> </w:t>
      </w:r>
      <w:r>
        <w:t>Acuerdo</w:t>
      </w:r>
      <w:r>
        <w:rPr>
          <w:spacing w:val="-12"/>
        </w:rPr>
        <w:t xml:space="preserve"> </w:t>
      </w:r>
      <w:r>
        <w:t>con</w:t>
      </w:r>
      <w:r>
        <w:rPr>
          <w:spacing w:val="-12"/>
        </w:rPr>
        <w:t xml:space="preserve"> </w:t>
      </w:r>
      <w:r>
        <w:t>las</w:t>
      </w:r>
      <w:r>
        <w:rPr>
          <w:spacing w:val="-12"/>
        </w:rPr>
        <w:t xml:space="preserve"> </w:t>
      </w:r>
      <w:r>
        <w:t>FARC-EP</w:t>
      </w:r>
      <w:r>
        <w:rPr>
          <w:spacing w:val="-12"/>
        </w:rPr>
        <w:t xml:space="preserve"> </w:t>
      </w:r>
      <w:r>
        <w:t>persiste</w:t>
      </w:r>
      <w:r>
        <w:rPr>
          <w:spacing w:val="-12"/>
        </w:rPr>
        <w:t xml:space="preserve"> </w:t>
      </w:r>
      <w:r>
        <w:t>como</w:t>
      </w:r>
      <w:r>
        <w:rPr>
          <w:spacing w:val="-12"/>
        </w:rPr>
        <w:t xml:space="preserve"> </w:t>
      </w:r>
      <w:r>
        <w:t>tal,</w:t>
      </w:r>
      <w:r>
        <w:rPr>
          <w:spacing w:val="-12"/>
        </w:rPr>
        <w:t xml:space="preserve"> </w:t>
      </w:r>
      <w:r>
        <w:t>lo</w:t>
      </w:r>
      <w:r>
        <w:rPr>
          <w:spacing w:val="-11"/>
        </w:rPr>
        <w:t xml:space="preserve"> </w:t>
      </w:r>
      <w:r>
        <w:rPr>
          <w:spacing w:val="-2"/>
        </w:rPr>
        <w:t>cierto</w:t>
      </w:r>
      <w:r w:rsidR="001C2EF7">
        <w:t xml:space="preserve"> </w:t>
      </w:r>
      <w:r>
        <w:t>es que la violencia y la confrontación armada en algunos territorios se ha traducido en el aumento de desplazamientos, confinamientos, reclutamientos, incidentes por minas y asesinatos de líderes sociales, defensores de derechos humanos y personas en proceso de reincorporación.</w:t>
      </w:r>
      <w:r>
        <w:rPr>
          <w:spacing w:val="-1"/>
        </w:rPr>
        <w:t xml:space="preserve"> </w:t>
      </w:r>
      <w:r>
        <w:t>A</w:t>
      </w:r>
      <w:r>
        <w:rPr>
          <w:spacing w:val="-2"/>
        </w:rPr>
        <w:t xml:space="preserve"> </w:t>
      </w:r>
      <w:r>
        <w:t>esto</w:t>
      </w:r>
      <w:r>
        <w:rPr>
          <w:spacing w:val="-1"/>
        </w:rPr>
        <w:t xml:space="preserve"> </w:t>
      </w:r>
      <w:r>
        <w:t>se</w:t>
      </w:r>
      <w:r>
        <w:rPr>
          <w:spacing w:val="-1"/>
        </w:rPr>
        <w:t xml:space="preserve"> </w:t>
      </w:r>
      <w:r>
        <w:t>suma</w:t>
      </w:r>
      <w:r>
        <w:rPr>
          <w:spacing w:val="-1"/>
        </w:rPr>
        <w:t xml:space="preserve"> </w:t>
      </w:r>
      <w:r>
        <w:t>el</w:t>
      </w:r>
      <w:r>
        <w:rPr>
          <w:spacing w:val="-1"/>
        </w:rPr>
        <w:t xml:space="preserve"> </w:t>
      </w:r>
      <w:r>
        <w:t>bloqueo</w:t>
      </w:r>
      <w:r>
        <w:rPr>
          <w:spacing w:val="-1"/>
        </w:rPr>
        <w:t xml:space="preserve"> </w:t>
      </w:r>
      <w:r>
        <w:t>de</w:t>
      </w:r>
      <w:r>
        <w:rPr>
          <w:spacing w:val="-1"/>
        </w:rPr>
        <w:t xml:space="preserve"> </w:t>
      </w:r>
      <w:r>
        <w:t>los</w:t>
      </w:r>
      <w:r>
        <w:rPr>
          <w:spacing w:val="-1"/>
        </w:rPr>
        <w:t xml:space="preserve"> </w:t>
      </w:r>
      <w:r>
        <w:t>diálogos</w:t>
      </w:r>
      <w:r>
        <w:rPr>
          <w:spacing w:val="-1"/>
        </w:rPr>
        <w:t xml:space="preserve"> </w:t>
      </w:r>
      <w:r>
        <w:t>con</w:t>
      </w:r>
      <w:r>
        <w:rPr>
          <w:spacing w:val="-1"/>
        </w:rPr>
        <w:t xml:space="preserve"> </w:t>
      </w:r>
      <w:r>
        <w:t>el</w:t>
      </w:r>
      <w:r>
        <w:rPr>
          <w:spacing w:val="-1"/>
        </w:rPr>
        <w:t xml:space="preserve"> </w:t>
      </w:r>
      <w:r>
        <w:t>ELN</w:t>
      </w:r>
      <w:r>
        <w:rPr>
          <w:spacing w:val="-2"/>
        </w:rPr>
        <w:t xml:space="preserve"> </w:t>
      </w:r>
      <w:r>
        <w:t>y</w:t>
      </w:r>
      <w:r>
        <w:rPr>
          <w:spacing w:val="-1"/>
        </w:rPr>
        <w:t xml:space="preserve"> </w:t>
      </w:r>
      <w:r>
        <w:t>la</w:t>
      </w:r>
      <w:r>
        <w:rPr>
          <w:spacing w:val="-1"/>
        </w:rPr>
        <w:t xml:space="preserve"> </w:t>
      </w:r>
      <w:r>
        <w:t>ausencia</w:t>
      </w:r>
      <w:r>
        <w:rPr>
          <w:spacing w:val="-1"/>
        </w:rPr>
        <w:t xml:space="preserve"> </w:t>
      </w:r>
      <w:r>
        <w:t>de</w:t>
      </w:r>
      <w:r>
        <w:rPr>
          <w:spacing w:val="-1"/>
        </w:rPr>
        <w:t xml:space="preserve"> </w:t>
      </w:r>
      <w:r>
        <w:t>una estrategia</w:t>
      </w:r>
      <w:r>
        <w:rPr>
          <w:spacing w:val="-1"/>
        </w:rPr>
        <w:t xml:space="preserve"> </w:t>
      </w:r>
      <w:r>
        <w:t>de</w:t>
      </w:r>
      <w:r>
        <w:rPr>
          <w:spacing w:val="-2"/>
        </w:rPr>
        <w:t xml:space="preserve"> </w:t>
      </w:r>
      <w:r>
        <w:t>seguridad</w:t>
      </w:r>
      <w:r>
        <w:rPr>
          <w:spacing w:val="-1"/>
        </w:rPr>
        <w:t xml:space="preserve"> </w:t>
      </w:r>
      <w:r>
        <w:t>adecuada</w:t>
      </w:r>
      <w:r>
        <w:rPr>
          <w:spacing w:val="-1"/>
        </w:rPr>
        <w:t xml:space="preserve"> </w:t>
      </w:r>
      <w:r>
        <w:t>al</w:t>
      </w:r>
      <w:r>
        <w:rPr>
          <w:spacing w:val="-1"/>
        </w:rPr>
        <w:t xml:space="preserve"> </w:t>
      </w:r>
      <w:r>
        <w:t>contexto</w:t>
      </w:r>
      <w:r>
        <w:rPr>
          <w:spacing w:val="-1"/>
        </w:rPr>
        <w:t xml:space="preserve"> </w:t>
      </w:r>
      <w:r>
        <w:t>y</w:t>
      </w:r>
      <w:r>
        <w:rPr>
          <w:spacing w:val="-1"/>
        </w:rPr>
        <w:t xml:space="preserve"> </w:t>
      </w:r>
      <w:r>
        <w:t>centrada</w:t>
      </w:r>
      <w:r>
        <w:rPr>
          <w:spacing w:val="-1"/>
        </w:rPr>
        <w:t xml:space="preserve"> </w:t>
      </w:r>
      <w:r>
        <w:t>en</w:t>
      </w:r>
      <w:r>
        <w:rPr>
          <w:spacing w:val="-1"/>
        </w:rPr>
        <w:t xml:space="preserve"> </w:t>
      </w:r>
      <w:r>
        <w:t>la</w:t>
      </w:r>
      <w:r>
        <w:rPr>
          <w:spacing w:val="-1"/>
        </w:rPr>
        <w:t xml:space="preserve"> </w:t>
      </w:r>
      <w:r>
        <w:t>protección</w:t>
      </w:r>
      <w:r>
        <w:rPr>
          <w:spacing w:val="-1"/>
        </w:rPr>
        <w:t xml:space="preserve"> </w:t>
      </w:r>
      <w:r>
        <w:t>de</w:t>
      </w:r>
      <w:r>
        <w:rPr>
          <w:spacing w:val="-1"/>
        </w:rPr>
        <w:t xml:space="preserve"> </w:t>
      </w:r>
      <w:r>
        <w:t>las</w:t>
      </w:r>
      <w:r>
        <w:rPr>
          <w:spacing w:val="-1"/>
        </w:rPr>
        <w:t xml:space="preserve"> </w:t>
      </w:r>
      <w:r>
        <w:t>personas.</w:t>
      </w:r>
      <w:r>
        <w:rPr>
          <w:spacing w:val="-1"/>
        </w:rPr>
        <w:t xml:space="preserve"> </w:t>
      </w:r>
      <w:r>
        <w:t>En conjunto, lo anterior supone un riesgo de volver a vivir un ciclo de violencia que se creía superado</w:t>
      </w:r>
      <w:r>
        <w:rPr>
          <w:spacing w:val="-15"/>
        </w:rPr>
        <w:t xml:space="preserve"> </w:t>
      </w:r>
      <w:r>
        <w:t>y</w:t>
      </w:r>
      <w:r>
        <w:rPr>
          <w:spacing w:val="-14"/>
        </w:rPr>
        <w:t xml:space="preserve"> </w:t>
      </w:r>
      <w:r>
        <w:t>nos</w:t>
      </w:r>
      <w:r>
        <w:rPr>
          <w:spacing w:val="-14"/>
        </w:rPr>
        <w:t xml:space="preserve"> </w:t>
      </w:r>
      <w:r>
        <w:t>aleja</w:t>
      </w:r>
      <w:r>
        <w:rPr>
          <w:spacing w:val="-14"/>
        </w:rPr>
        <w:t xml:space="preserve"> </w:t>
      </w:r>
      <w:r>
        <w:t>de</w:t>
      </w:r>
      <w:r>
        <w:rPr>
          <w:spacing w:val="-14"/>
        </w:rPr>
        <w:t xml:space="preserve"> </w:t>
      </w:r>
      <w:r>
        <w:t>la</w:t>
      </w:r>
      <w:r>
        <w:rPr>
          <w:spacing w:val="-15"/>
        </w:rPr>
        <w:t xml:space="preserve"> </w:t>
      </w:r>
      <w:r>
        <w:t>anhelada</w:t>
      </w:r>
      <w:r>
        <w:rPr>
          <w:spacing w:val="-14"/>
        </w:rPr>
        <w:t xml:space="preserve"> </w:t>
      </w:r>
      <w:r>
        <w:t>paz</w:t>
      </w:r>
      <w:r>
        <w:rPr>
          <w:spacing w:val="-14"/>
        </w:rPr>
        <w:t xml:space="preserve"> </w:t>
      </w:r>
      <w:r>
        <w:t>territorial.</w:t>
      </w:r>
      <w:r>
        <w:rPr>
          <w:spacing w:val="-14"/>
        </w:rPr>
        <w:t xml:space="preserve"> </w:t>
      </w:r>
      <w:r>
        <w:t>Superar</w:t>
      </w:r>
      <w:r>
        <w:rPr>
          <w:spacing w:val="-14"/>
        </w:rPr>
        <w:t xml:space="preserve"> </w:t>
      </w:r>
      <w:r>
        <w:t>los</w:t>
      </w:r>
      <w:r>
        <w:rPr>
          <w:spacing w:val="-14"/>
        </w:rPr>
        <w:t xml:space="preserve"> </w:t>
      </w:r>
      <w:r>
        <w:t>factores</w:t>
      </w:r>
      <w:r>
        <w:rPr>
          <w:spacing w:val="-14"/>
        </w:rPr>
        <w:t xml:space="preserve"> </w:t>
      </w:r>
      <w:r>
        <w:t>de</w:t>
      </w:r>
      <w:r>
        <w:rPr>
          <w:spacing w:val="-14"/>
        </w:rPr>
        <w:t xml:space="preserve"> </w:t>
      </w:r>
      <w:r>
        <w:t>persistencia</w:t>
      </w:r>
      <w:r>
        <w:rPr>
          <w:spacing w:val="-14"/>
        </w:rPr>
        <w:t xml:space="preserve"> </w:t>
      </w:r>
      <w:r>
        <w:t>y</w:t>
      </w:r>
      <w:r>
        <w:rPr>
          <w:spacing w:val="-15"/>
        </w:rPr>
        <w:t xml:space="preserve"> </w:t>
      </w:r>
      <w:r>
        <w:t>hacer frente</w:t>
      </w:r>
      <w:r>
        <w:rPr>
          <w:spacing w:val="-15"/>
        </w:rPr>
        <w:t xml:space="preserve"> </w:t>
      </w:r>
      <w:r>
        <w:t>a</w:t>
      </w:r>
      <w:r>
        <w:rPr>
          <w:spacing w:val="-15"/>
        </w:rPr>
        <w:t xml:space="preserve"> </w:t>
      </w:r>
      <w:r>
        <w:t>las</w:t>
      </w:r>
      <w:r>
        <w:rPr>
          <w:spacing w:val="-15"/>
        </w:rPr>
        <w:t xml:space="preserve"> </w:t>
      </w:r>
      <w:r>
        <w:t>violencias</w:t>
      </w:r>
      <w:r>
        <w:rPr>
          <w:spacing w:val="-15"/>
        </w:rPr>
        <w:t xml:space="preserve"> </w:t>
      </w:r>
      <w:r>
        <w:t>estructurales</w:t>
      </w:r>
      <w:r>
        <w:rPr>
          <w:spacing w:val="-15"/>
        </w:rPr>
        <w:t xml:space="preserve"> </w:t>
      </w:r>
      <w:r>
        <w:t>y</w:t>
      </w:r>
      <w:r>
        <w:rPr>
          <w:spacing w:val="-15"/>
        </w:rPr>
        <w:t xml:space="preserve"> </w:t>
      </w:r>
      <w:r>
        <w:t>a</w:t>
      </w:r>
      <w:r>
        <w:rPr>
          <w:spacing w:val="-15"/>
        </w:rPr>
        <w:t xml:space="preserve"> </w:t>
      </w:r>
      <w:r>
        <w:t>las</w:t>
      </w:r>
      <w:r>
        <w:rPr>
          <w:spacing w:val="-15"/>
        </w:rPr>
        <w:t xml:space="preserve"> </w:t>
      </w:r>
      <w:r>
        <w:t>exclusiones</w:t>
      </w:r>
      <w:r>
        <w:rPr>
          <w:spacing w:val="-15"/>
        </w:rPr>
        <w:t xml:space="preserve"> </w:t>
      </w:r>
      <w:r>
        <w:t>históricas,</w:t>
      </w:r>
      <w:r>
        <w:rPr>
          <w:spacing w:val="-15"/>
        </w:rPr>
        <w:t xml:space="preserve"> </w:t>
      </w:r>
      <w:r>
        <w:t>profundizadas</w:t>
      </w:r>
      <w:r>
        <w:rPr>
          <w:spacing w:val="-15"/>
        </w:rPr>
        <w:t xml:space="preserve"> </w:t>
      </w:r>
      <w:r>
        <w:t>por</w:t>
      </w:r>
      <w:r>
        <w:rPr>
          <w:spacing w:val="-15"/>
        </w:rPr>
        <w:t xml:space="preserve"> </w:t>
      </w:r>
      <w:r>
        <w:t>la</w:t>
      </w:r>
      <w:r>
        <w:rPr>
          <w:spacing w:val="-15"/>
        </w:rPr>
        <w:t xml:space="preserve"> </w:t>
      </w:r>
      <w:r>
        <w:t>guerra, de territorios y comunidades, es parte del fortalecimiento de la democracia y de la construcción de un país para todos.</w:t>
      </w:r>
    </w:p>
    <w:p w:rsidR="003804AC" w:rsidRDefault="00AF18A5" w:rsidP="001C2EF7">
      <w:r>
        <w:t>Para la elaboración de estas recomendaciones, la Comisión tuvo en cuenta no solo los avances y desafíos en la implementación del Acuerdo Final de Paz, sino más de diez mil propuestas</w:t>
      </w:r>
      <w:r w:rsidR="001C2EF7">
        <w:rPr>
          <w:rStyle w:val="Refdenotaalpie"/>
        </w:rPr>
        <w:footnoteReference w:id="1172"/>
      </w:r>
      <w:r>
        <w:t xml:space="preserve"> que recibimos a lo largo de estos más de tres años de trabajo en los espacios de diálogo públicos y privados, y en informes y casos que nos fueron entregados.</w:t>
      </w:r>
    </w:p>
    <w:p w:rsidR="0011361F" w:rsidRDefault="00AF18A5" w:rsidP="001C2EF7">
      <w:r>
        <w:t>Las recomendaciones analizadas fueron propuestas por víctimas, organizaciones de la sociedad</w:t>
      </w:r>
      <w:r>
        <w:rPr>
          <w:spacing w:val="-5"/>
        </w:rPr>
        <w:t xml:space="preserve"> </w:t>
      </w:r>
      <w:r>
        <w:t>civil,</w:t>
      </w:r>
      <w:r>
        <w:rPr>
          <w:spacing w:val="-3"/>
        </w:rPr>
        <w:t xml:space="preserve"> </w:t>
      </w:r>
      <w:r>
        <w:t>organizaciones</w:t>
      </w:r>
      <w:r>
        <w:rPr>
          <w:spacing w:val="-3"/>
        </w:rPr>
        <w:t xml:space="preserve"> </w:t>
      </w:r>
      <w:r>
        <w:t>de</w:t>
      </w:r>
      <w:r>
        <w:rPr>
          <w:spacing w:val="-4"/>
        </w:rPr>
        <w:t xml:space="preserve"> </w:t>
      </w:r>
      <w:r>
        <w:t>mujeres,</w:t>
      </w:r>
      <w:r>
        <w:rPr>
          <w:spacing w:val="-3"/>
        </w:rPr>
        <w:t xml:space="preserve"> </w:t>
      </w:r>
      <w:r>
        <w:t>de</w:t>
      </w:r>
      <w:r>
        <w:rPr>
          <w:spacing w:val="-3"/>
        </w:rPr>
        <w:t xml:space="preserve"> </w:t>
      </w:r>
      <w:r>
        <w:t>disidencias</w:t>
      </w:r>
      <w:r>
        <w:rPr>
          <w:spacing w:val="-4"/>
        </w:rPr>
        <w:t xml:space="preserve"> </w:t>
      </w:r>
      <w:r>
        <w:t>sexuales</w:t>
      </w:r>
      <w:r>
        <w:rPr>
          <w:spacing w:val="-3"/>
        </w:rPr>
        <w:t xml:space="preserve"> </w:t>
      </w:r>
      <w:r>
        <w:t>y</w:t>
      </w:r>
      <w:r>
        <w:rPr>
          <w:spacing w:val="-5"/>
        </w:rPr>
        <w:t xml:space="preserve"> </w:t>
      </w:r>
      <w:r>
        <w:t>de</w:t>
      </w:r>
      <w:r>
        <w:rPr>
          <w:spacing w:val="-4"/>
        </w:rPr>
        <w:t xml:space="preserve"> </w:t>
      </w:r>
      <w:r>
        <w:t>género,</w:t>
      </w:r>
      <w:r>
        <w:rPr>
          <w:spacing w:val="-3"/>
        </w:rPr>
        <w:t xml:space="preserve"> </w:t>
      </w:r>
      <w:r>
        <w:t>niños,</w:t>
      </w:r>
      <w:r>
        <w:rPr>
          <w:spacing w:val="-5"/>
        </w:rPr>
        <w:t xml:space="preserve"> </w:t>
      </w:r>
      <w:r>
        <w:t xml:space="preserve">niñas, adolescentes y jóvenes, pueblos étnicos, excombatientes de todos los grupos, iglesias, </w:t>
      </w:r>
      <w:r>
        <w:lastRenderedPageBreak/>
        <w:t>integrantes de la fuerza pública, empresarios y empresarias, periodistas e instituciones del Estado de todo el territorio nacional. Esta recolección fue posible gracias a que, desde el inicio</w:t>
      </w:r>
      <w:r>
        <w:rPr>
          <w:spacing w:val="-5"/>
        </w:rPr>
        <w:t xml:space="preserve"> </w:t>
      </w:r>
      <w:r>
        <w:t>de</w:t>
      </w:r>
      <w:r>
        <w:rPr>
          <w:spacing w:val="-6"/>
        </w:rPr>
        <w:t xml:space="preserve"> </w:t>
      </w:r>
      <w:r>
        <w:t>su</w:t>
      </w:r>
      <w:r>
        <w:rPr>
          <w:spacing w:val="-6"/>
        </w:rPr>
        <w:t xml:space="preserve"> </w:t>
      </w:r>
      <w:r>
        <w:t>mandato,</w:t>
      </w:r>
      <w:r>
        <w:rPr>
          <w:spacing w:val="-6"/>
        </w:rPr>
        <w:t xml:space="preserve"> </w:t>
      </w:r>
      <w:r>
        <w:t>la</w:t>
      </w:r>
      <w:r>
        <w:rPr>
          <w:spacing w:val="-7"/>
        </w:rPr>
        <w:t xml:space="preserve"> </w:t>
      </w:r>
      <w:r>
        <w:t>Comisión</w:t>
      </w:r>
      <w:r>
        <w:rPr>
          <w:spacing w:val="-6"/>
        </w:rPr>
        <w:t xml:space="preserve"> </w:t>
      </w:r>
      <w:r>
        <w:t>incluyó</w:t>
      </w:r>
      <w:r>
        <w:rPr>
          <w:spacing w:val="-5"/>
        </w:rPr>
        <w:t xml:space="preserve"> </w:t>
      </w:r>
      <w:r>
        <w:t>en</w:t>
      </w:r>
      <w:r>
        <w:rPr>
          <w:spacing w:val="-6"/>
        </w:rPr>
        <w:t xml:space="preserve"> </w:t>
      </w:r>
      <w:r>
        <w:t>su</w:t>
      </w:r>
      <w:r>
        <w:rPr>
          <w:spacing w:val="-6"/>
        </w:rPr>
        <w:t xml:space="preserve"> </w:t>
      </w:r>
      <w:r>
        <w:t>estrategia</w:t>
      </w:r>
      <w:r>
        <w:rPr>
          <w:spacing w:val="-5"/>
        </w:rPr>
        <w:t xml:space="preserve"> </w:t>
      </w:r>
      <w:r>
        <w:t>de</w:t>
      </w:r>
      <w:r>
        <w:rPr>
          <w:spacing w:val="-6"/>
        </w:rPr>
        <w:t xml:space="preserve"> </w:t>
      </w:r>
      <w:r>
        <w:t>diálogo</w:t>
      </w:r>
      <w:r>
        <w:rPr>
          <w:spacing w:val="-5"/>
        </w:rPr>
        <w:t xml:space="preserve"> </w:t>
      </w:r>
      <w:r>
        <w:t>social</w:t>
      </w:r>
      <w:r>
        <w:rPr>
          <w:spacing w:val="-4"/>
        </w:rPr>
        <w:t xml:space="preserve"> </w:t>
      </w:r>
      <w:r>
        <w:t>el</w:t>
      </w:r>
      <w:r>
        <w:rPr>
          <w:spacing w:val="-4"/>
        </w:rPr>
        <w:t xml:space="preserve"> </w:t>
      </w:r>
      <w:r>
        <w:t>objetivo</w:t>
      </w:r>
      <w:r>
        <w:rPr>
          <w:spacing w:val="-5"/>
        </w:rPr>
        <w:t xml:space="preserve"> </w:t>
      </w:r>
      <w:r>
        <w:t>de</w:t>
      </w:r>
      <w:r>
        <w:rPr>
          <w:spacing w:val="-6"/>
        </w:rPr>
        <w:t xml:space="preserve"> </w:t>
      </w:r>
      <w:r>
        <w:t>la no repetición del conflicto, lo que facilitó una conversación amplia sobre las transformaciones que se requieren para poner fin al conflicto y superar los problemas estructurales que lo han alimentado</w:t>
      </w:r>
      <w:r w:rsidR="001C2EF7">
        <w:rPr>
          <w:rStyle w:val="Refdenotaalpie"/>
        </w:rPr>
        <w:footnoteReference w:id="1173"/>
      </w:r>
      <w:r>
        <w:t>.</w:t>
      </w:r>
    </w:p>
    <w:p w:rsidR="003804AC" w:rsidRDefault="00AF18A5" w:rsidP="001C2EF7">
      <w:bookmarkStart w:id="1493" w:name="_bookmark1303"/>
      <w:bookmarkStart w:id="1494" w:name="_bookmark1304"/>
      <w:bookmarkEnd w:id="1493"/>
      <w:bookmarkEnd w:id="1494"/>
      <w:r>
        <w:t>Las recomendaciones que entregamos al país son una nueva apuesta por una paz grande, una paz completa, que permita que todos y todas tengamos garantizados nuestros derechos, seamos</w:t>
      </w:r>
      <w:r>
        <w:rPr>
          <w:spacing w:val="-11"/>
        </w:rPr>
        <w:t xml:space="preserve"> </w:t>
      </w:r>
      <w:r>
        <w:t>reconocidos</w:t>
      </w:r>
      <w:r>
        <w:rPr>
          <w:spacing w:val="-9"/>
        </w:rPr>
        <w:t xml:space="preserve"> </w:t>
      </w:r>
      <w:r>
        <w:t>en</w:t>
      </w:r>
      <w:r>
        <w:rPr>
          <w:spacing w:val="-9"/>
        </w:rPr>
        <w:t xml:space="preserve"> </w:t>
      </w:r>
      <w:r>
        <w:t>nuestra</w:t>
      </w:r>
      <w:r>
        <w:rPr>
          <w:spacing w:val="-10"/>
        </w:rPr>
        <w:t xml:space="preserve"> </w:t>
      </w:r>
      <w:r>
        <w:t>diversidad,</w:t>
      </w:r>
      <w:r>
        <w:rPr>
          <w:spacing w:val="-9"/>
        </w:rPr>
        <w:t xml:space="preserve"> </w:t>
      </w:r>
      <w:r>
        <w:t>y</w:t>
      </w:r>
      <w:r>
        <w:rPr>
          <w:spacing w:val="-9"/>
        </w:rPr>
        <w:t xml:space="preserve"> </w:t>
      </w:r>
      <w:r>
        <w:t>en</w:t>
      </w:r>
      <w:r>
        <w:rPr>
          <w:spacing w:val="-11"/>
        </w:rPr>
        <w:t xml:space="preserve"> </w:t>
      </w:r>
      <w:r>
        <w:t>la</w:t>
      </w:r>
      <w:r>
        <w:rPr>
          <w:spacing w:val="-10"/>
        </w:rPr>
        <w:t xml:space="preserve"> </w:t>
      </w:r>
      <w:r>
        <w:t>que</w:t>
      </w:r>
      <w:r>
        <w:rPr>
          <w:spacing w:val="-9"/>
        </w:rPr>
        <w:t xml:space="preserve"> </w:t>
      </w:r>
      <w:r>
        <w:t>el</w:t>
      </w:r>
      <w:r>
        <w:rPr>
          <w:spacing w:val="-9"/>
        </w:rPr>
        <w:t xml:space="preserve"> </w:t>
      </w:r>
      <w:r>
        <w:t>diálogo</w:t>
      </w:r>
      <w:r>
        <w:rPr>
          <w:spacing w:val="-9"/>
        </w:rPr>
        <w:t xml:space="preserve"> </w:t>
      </w:r>
      <w:r>
        <w:t>sea</w:t>
      </w:r>
      <w:r>
        <w:rPr>
          <w:spacing w:val="-9"/>
        </w:rPr>
        <w:t xml:space="preserve"> </w:t>
      </w:r>
      <w:r>
        <w:t>la</w:t>
      </w:r>
      <w:r>
        <w:rPr>
          <w:spacing w:val="-10"/>
        </w:rPr>
        <w:t xml:space="preserve"> </w:t>
      </w:r>
      <w:r>
        <w:t>herramienta</w:t>
      </w:r>
      <w:r>
        <w:rPr>
          <w:spacing w:val="-9"/>
        </w:rPr>
        <w:t xml:space="preserve"> </w:t>
      </w:r>
      <w:r>
        <w:t>principal para</w:t>
      </w:r>
      <w:r>
        <w:rPr>
          <w:spacing w:val="-5"/>
        </w:rPr>
        <w:t xml:space="preserve"> </w:t>
      </w:r>
      <w:r>
        <w:t>tramitar</w:t>
      </w:r>
      <w:r>
        <w:rPr>
          <w:spacing w:val="-4"/>
        </w:rPr>
        <w:t xml:space="preserve"> </w:t>
      </w:r>
      <w:r>
        <w:t>las</w:t>
      </w:r>
      <w:r>
        <w:rPr>
          <w:spacing w:val="-5"/>
        </w:rPr>
        <w:t xml:space="preserve"> </w:t>
      </w:r>
      <w:r>
        <w:t>diferencias</w:t>
      </w:r>
      <w:r>
        <w:rPr>
          <w:spacing w:val="-5"/>
        </w:rPr>
        <w:t xml:space="preserve"> </w:t>
      </w:r>
      <w:r>
        <w:t>y</w:t>
      </w:r>
      <w:r>
        <w:rPr>
          <w:spacing w:val="-5"/>
        </w:rPr>
        <w:t xml:space="preserve"> </w:t>
      </w:r>
      <w:r>
        <w:t>resolver</w:t>
      </w:r>
      <w:r>
        <w:rPr>
          <w:spacing w:val="-4"/>
        </w:rPr>
        <w:t xml:space="preserve"> </w:t>
      </w:r>
      <w:r>
        <w:t>los</w:t>
      </w:r>
      <w:r>
        <w:rPr>
          <w:spacing w:val="-5"/>
        </w:rPr>
        <w:t xml:space="preserve"> </w:t>
      </w:r>
      <w:r>
        <w:t>conflictos.</w:t>
      </w:r>
      <w:r>
        <w:rPr>
          <w:spacing w:val="-5"/>
        </w:rPr>
        <w:t xml:space="preserve"> </w:t>
      </w:r>
      <w:r>
        <w:t>Necesitamos</w:t>
      </w:r>
      <w:r>
        <w:rPr>
          <w:spacing w:val="-5"/>
        </w:rPr>
        <w:t xml:space="preserve"> </w:t>
      </w:r>
      <w:r>
        <w:t>una</w:t>
      </w:r>
      <w:r>
        <w:rPr>
          <w:spacing w:val="-5"/>
        </w:rPr>
        <w:t xml:space="preserve"> </w:t>
      </w:r>
      <w:r>
        <w:t>paz</w:t>
      </w:r>
      <w:r>
        <w:rPr>
          <w:spacing w:val="-5"/>
        </w:rPr>
        <w:t xml:space="preserve"> </w:t>
      </w:r>
      <w:r>
        <w:t>que</w:t>
      </w:r>
      <w:r>
        <w:rPr>
          <w:spacing w:val="-5"/>
        </w:rPr>
        <w:t xml:space="preserve"> </w:t>
      </w:r>
      <w:r>
        <w:t>dignifique</w:t>
      </w:r>
      <w:r>
        <w:rPr>
          <w:spacing w:val="-5"/>
        </w:rPr>
        <w:t xml:space="preserve"> </w:t>
      </w:r>
      <w:r>
        <w:t>la vida y permita la vida digna a todos sin distinción. Pero esa paz no se construye desde el centro</w:t>
      </w:r>
      <w:r>
        <w:rPr>
          <w:spacing w:val="-6"/>
        </w:rPr>
        <w:t xml:space="preserve"> </w:t>
      </w:r>
      <w:r>
        <w:t>del</w:t>
      </w:r>
      <w:r>
        <w:rPr>
          <w:spacing w:val="-5"/>
        </w:rPr>
        <w:t xml:space="preserve"> </w:t>
      </w:r>
      <w:r>
        <w:t>país.</w:t>
      </w:r>
      <w:r>
        <w:rPr>
          <w:spacing w:val="-6"/>
        </w:rPr>
        <w:t xml:space="preserve"> </w:t>
      </w:r>
      <w:r>
        <w:t>Requiere</w:t>
      </w:r>
      <w:r>
        <w:rPr>
          <w:spacing w:val="-6"/>
        </w:rPr>
        <w:t xml:space="preserve"> </w:t>
      </w:r>
      <w:r>
        <w:t>transformaciones</w:t>
      </w:r>
      <w:r>
        <w:rPr>
          <w:spacing w:val="-6"/>
        </w:rPr>
        <w:t xml:space="preserve"> </w:t>
      </w:r>
      <w:r>
        <w:t>profundas</w:t>
      </w:r>
      <w:r>
        <w:rPr>
          <w:spacing w:val="-6"/>
        </w:rPr>
        <w:t xml:space="preserve"> </w:t>
      </w:r>
      <w:r>
        <w:t>en</w:t>
      </w:r>
      <w:r>
        <w:rPr>
          <w:spacing w:val="-6"/>
        </w:rPr>
        <w:t xml:space="preserve"> </w:t>
      </w:r>
      <w:r>
        <w:t>las</w:t>
      </w:r>
      <w:r>
        <w:rPr>
          <w:spacing w:val="-7"/>
        </w:rPr>
        <w:t xml:space="preserve"> </w:t>
      </w:r>
      <w:r>
        <w:t>instituciones</w:t>
      </w:r>
      <w:r>
        <w:rPr>
          <w:spacing w:val="-7"/>
        </w:rPr>
        <w:t xml:space="preserve"> </w:t>
      </w:r>
      <w:r>
        <w:t>y</w:t>
      </w:r>
      <w:r>
        <w:rPr>
          <w:spacing w:val="-6"/>
        </w:rPr>
        <w:t xml:space="preserve"> </w:t>
      </w:r>
      <w:r>
        <w:t>voluntad</w:t>
      </w:r>
      <w:r>
        <w:rPr>
          <w:spacing w:val="-6"/>
        </w:rPr>
        <w:t xml:space="preserve"> </w:t>
      </w:r>
      <w:r>
        <w:t>política para materializarse como una paz construida desde el territorio, entre todos y todas. Es la apuesta del Acuerdo de La Habana por una paz territorial, una paz que requiere del compromiso de toda la sociedad, rural y urbana, así como el de los gobiernos y las demás instituciones del Estado para garantizar derechos y construir un Estado social e incluyente desde los territorios, con la participación amplia e incidente de la ciudadanía.</w:t>
      </w:r>
    </w:p>
    <w:p w:rsidR="0011361F" w:rsidRDefault="00AF18A5" w:rsidP="001C2EF7">
      <w:r>
        <w:t>Con</w:t>
      </w:r>
      <w:r>
        <w:rPr>
          <w:spacing w:val="-12"/>
        </w:rPr>
        <w:t xml:space="preserve"> </w:t>
      </w:r>
      <w:r>
        <w:t>este</w:t>
      </w:r>
      <w:r>
        <w:rPr>
          <w:spacing w:val="-8"/>
        </w:rPr>
        <w:t xml:space="preserve"> </w:t>
      </w:r>
      <w:r>
        <w:t>enfoque</w:t>
      </w:r>
      <w:r>
        <w:rPr>
          <w:spacing w:val="-9"/>
        </w:rPr>
        <w:t xml:space="preserve"> </w:t>
      </w:r>
      <w:r>
        <w:t>se</w:t>
      </w:r>
      <w:r>
        <w:rPr>
          <w:spacing w:val="-9"/>
        </w:rPr>
        <w:t xml:space="preserve"> </w:t>
      </w:r>
      <w:r>
        <w:t>priorizaron</w:t>
      </w:r>
      <w:r>
        <w:rPr>
          <w:spacing w:val="-9"/>
        </w:rPr>
        <w:t xml:space="preserve"> </w:t>
      </w:r>
      <w:r>
        <w:t>ocho</w:t>
      </w:r>
      <w:r>
        <w:rPr>
          <w:spacing w:val="-11"/>
        </w:rPr>
        <w:t xml:space="preserve"> </w:t>
      </w:r>
      <w:r>
        <w:t>temas</w:t>
      </w:r>
      <w:r>
        <w:rPr>
          <w:spacing w:val="-9"/>
        </w:rPr>
        <w:t xml:space="preserve"> </w:t>
      </w:r>
      <w:r>
        <w:t>a</w:t>
      </w:r>
      <w:r>
        <w:rPr>
          <w:spacing w:val="-9"/>
        </w:rPr>
        <w:t xml:space="preserve"> </w:t>
      </w:r>
      <w:r>
        <w:t>desarrollar</w:t>
      </w:r>
      <w:r>
        <w:rPr>
          <w:spacing w:val="-8"/>
        </w:rPr>
        <w:t xml:space="preserve"> </w:t>
      </w:r>
      <w:r>
        <w:t>en</w:t>
      </w:r>
      <w:r>
        <w:rPr>
          <w:spacing w:val="-9"/>
        </w:rPr>
        <w:t xml:space="preserve"> </w:t>
      </w:r>
      <w:r>
        <w:t>las</w:t>
      </w:r>
      <w:r>
        <w:rPr>
          <w:spacing w:val="-10"/>
        </w:rPr>
        <w:t xml:space="preserve"> </w:t>
      </w:r>
      <w:r>
        <w:t>recomendaciones,</w:t>
      </w:r>
      <w:r>
        <w:rPr>
          <w:spacing w:val="-9"/>
        </w:rPr>
        <w:t xml:space="preserve"> </w:t>
      </w:r>
      <w:r>
        <w:t>a</w:t>
      </w:r>
      <w:r>
        <w:rPr>
          <w:spacing w:val="-10"/>
        </w:rPr>
        <w:t xml:space="preserve"> </w:t>
      </w:r>
      <w:r>
        <w:rPr>
          <w:spacing w:val="-2"/>
        </w:rPr>
        <w:t>saber:</w:t>
      </w:r>
    </w:p>
    <w:p w:rsidR="003804AC" w:rsidRDefault="00AF18A5" w:rsidP="001C2EF7">
      <w:r>
        <w:lastRenderedPageBreak/>
        <w:t>1. Construcción de paz como proyecto nacional. 2. Víctimas, 3. Régimen político y participación, 4. Narcotráfico. 5. Impunidad. 6. Seguridad. 7. Paz territorial. 8. Cultura para la paz y educación. Adicionalmente, se construyó una recomendación relacionada con la difusión y continuidad del legado de la Comisión.</w:t>
      </w:r>
    </w:p>
    <w:p w:rsidR="003804AC" w:rsidRDefault="00AF18A5" w:rsidP="001C2EF7">
      <w:r>
        <w:t>La</w:t>
      </w:r>
      <w:r>
        <w:rPr>
          <w:spacing w:val="-12"/>
        </w:rPr>
        <w:t xml:space="preserve"> </w:t>
      </w:r>
      <w:r>
        <w:t>Comisión</w:t>
      </w:r>
      <w:r>
        <w:rPr>
          <w:spacing w:val="-12"/>
        </w:rPr>
        <w:t xml:space="preserve"> </w:t>
      </w:r>
      <w:r>
        <w:t>reconoce</w:t>
      </w:r>
      <w:r>
        <w:rPr>
          <w:spacing w:val="-12"/>
        </w:rPr>
        <w:t xml:space="preserve"> </w:t>
      </w:r>
      <w:r>
        <w:t>que</w:t>
      </w:r>
      <w:r>
        <w:rPr>
          <w:spacing w:val="-12"/>
        </w:rPr>
        <w:t xml:space="preserve"> </w:t>
      </w:r>
      <w:r>
        <w:t>para</w:t>
      </w:r>
      <w:r>
        <w:rPr>
          <w:spacing w:val="-12"/>
        </w:rPr>
        <w:t xml:space="preserve"> </w:t>
      </w:r>
      <w:r>
        <w:t>avanzar</w:t>
      </w:r>
      <w:r>
        <w:rPr>
          <w:spacing w:val="-13"/>
        </w:rPr>
        <w:t xml:space="preserve"> </w:t>
      </w:r>
      <w:r>
        <w:t>en</w:t>
      </w:r>
      <w:r>
        <w:rPr>
          <w:spacing w:val="-12"/>
        </w:rPr>
        <w:t xml:space="preserve"> </w:t>
      </w:r>
      <w:r>
        <w:t>la</w:t>
      </w:r>
      <w:r>
        <w:rPr>
          <w:spacing w:val="-12"/>
        </w:rPr>
        <w:t xml:space="preserve"> </w:t>
      </w:r>
      <w:r>
        <w:t>construcción</w:t>
      </w:r>
      <w:r>
        <w:rPr>
          <w:spacing w:val="-12"/>
        </w:rPr>
        <w:t xml:space="preserve"> </w:t>
      </w:r>
      <w:r>
        <w:t>de</w:t>
      </w:r>
      <w:r>
        <w:rPr>
          <w:spacing w:val="-13"/>
        </w:rPr>
        <w:t xml:space="preserve"> </w:t>
      </w:r>
      <w:r>
        <w:t>paz</w:t>
      </w:r>
      <w:r>
        <w:rPr>
          <w:spacing w:val="-12"/>
        </w:rPr>
        <w:t xml:space="preserve"> </w:t>
      </w:r>
      <w:r>
        <w:t>es</w:t>
      </w:r>
      <w:r>
        <w:rPr>
          <w:spacing w:val="-13"/>
        </w:rPr>
        <w:t xml:space="preserve"> </w:t>
      </w:r>
      <w:r>
        <w:t>fundamental</w:t>
      </w:r>
      <w:r>
        <w:rPr>
          <w:spacing w:val="-11"/>
        </w:rPr>
        <w:t xml:space="preserve"> </w:t>
      </w:r>
      <w:r>
        <w:t>cumplir los compromisos asumidos en el marco del Acuerdo Final de paz, por lo que, más allá de hacer</w:t>
      </w:r>
      <w:r>
        <w:rPr>
          <w:spacing w:val="-7"/>
        </w:rPr>
        <w:t xml:space="preserve"> </w:t>
      </w:r>
      <w:r>
        <w:t>un</w:t>
      </w:r>
      <w:r>
        <w:rPr>
          <w:spacing w:val="-8"/>
        </w:rPr>
        <w:t xml:space="preserve"> </w:t>
      </w:r>
      <w:r>
        <w:t>llamado</w:t>
      </w:r>
      <w:r>
        <w:rPr>
          <w:spacing w:val="-7"/>
        </w:rPr>
        <w:t xml:space="preserve"> </w:t>
      </w:r>
      <w:r>
        <w:t>para</w:t>
      </w:r>
      <w:r>
        <w:rPr>
          <w:spacing w:val="-7"/>
        </w:rPr>
        <w:t xml:space="preserve"> </w:t>
      </w:r>
      <w:r>
        <w:t>su</w:t>
      </w:r>
      <w:r>
        <w:rPr>
          <w:spacing w:val="-7"/>
        </w:rPr>
        <w:t xml:space="preserve"> </w:t>
      </w:r>
      <w:r>
        <w:t>cumplimiento</w:t>
      </w:r>
      <w:r>
        <w:rPr>
          <w:spacing w:val="-7"/>
        </w:rPr>
        <w:t xml:space="preserve"> </w:t>
      </w:r>
      <w:r>
        <w:t>integral,</w:t>
      </w:r>
      <w:r>
        <w:rPr>
          <w:spacing w:val="-8"/>
        </w:rPr>
        <w:t xml:space="preserve"> </w:t>
      </w:r>
      <w:r>
        <w:t>se</w:t>
      </w:r>
      <w:r>
        <w:rPr>
          <w:spacing w:val="-7"/>
        </w:rPr>
        <w:t xml:space="preserve"> </w:t>
      </w:r>
      <w:r>
        <w:t>relacionan</w:t>
      </w:r>
      <w:r>
        <w:rPr>
          <w:spacing w:val="-7"/>
        </w:rPr>
        <w:t xml:space="preserve"> </w:t>
      </w:r>
      <w:r>
        <w:t>las</w:t>
      </w:r>
      <w:r>
        <w:rPr>
          <w:spacing w:val="-7"/>
        </w:rPr>
        <w:t xml:space="preserve"> </w:t>
      </w:r>
      <w:r>
        <w:t>disposiciones</w:t>
      </w:r>
      <w:r>
        <w:rPr>
          <w:spacing w:val="-7"/>
        </w:rPr>
        <w:t xml:space="preserve"> </w:t>
      </w:r>
      <w:r>
        <w:t>del</w:t>
      </w:r>
      <w:r>
        <w:rPr>
          <w:spacing w:val="-7"/>
        </w:rPr>
        <w:t xml:space="preserve"> </w:t>
      </w:r>
      <w:r>
        <w:t>Acuerdo Final en los temas pertinentes y se tienen en cuenta los avances que, a la fecha, han sido reportados desde las diferentes instancias que realizan de seguimiento. Sin embargo, estas también apuntan a transformaciones que no fueron objeto de discusión en el Acuerdo Final de</w:t>
      </w:r>
      <w:r>
        <w:rPr>
          <w:spacing w:val="-9"/>
        </w:rPr>
        <w:t xml:space="preserve"> </w:t>
      </w:r>
      <w:r>
        <w:t>Paz,</w:t>
      </w:r>
      <w:r>
        <w:rPr>
          <w:spacing w:val="-10"/>
        </w:rPr>
        <w:t xml:space="preserve"> </w:t>
      </w:r>
      <w:r>
        <w:t>pero</w:t>
      </w:r>
      <w:r>
        <w:rPr>
          <w:spacing w:val="-12"/>
        </w:rPr>
        <w:t xml:space="preserve"> </w:t>
      </w:r>
      <w:r>
        <w:t>que</w:t>
      </w:r>
      <w:r>
        <w:rPr>
          <w:spacing w:val="-9"/>
        </w:rPr>
        <w:t xml:space="preserve"> </w:t>
      </w:r>
      <w:r>
        <w:t>son</w:t>
      </w:r>
      <w:r>
        <w:rPr>
          <w:spacing w:val="-10"/>
        </w:rPr>
        <w:t xml:space="preserve"> </w:t>
      </w:r>
      <w:r>
        <w:t>necesarias</w:t>
      </w:r>
      <w:r>
        <w:rPr>
          <w:spacing w:val="-10"/>
        </w:rPr>
        <w:t xml:space="preserve"> </w:t>
      </w:r>
      <w:r>
        <w:t>para</w:t>
      </w:r>
      <w:r>
        <w:rPr>
          <w:spacing w:val="-9"/>
        </w:rPr>
        <w:t xml:space="preserve"> </w:t>
      </w:r>
      <w:r>
        <w:t>superar</w:t>
      </w:r>
      <w:r>
        <w:rPr>
          <w:spacing w:val="-10"/>
        </w:rPr>
        <w:t xml:space="preserve"> </w:t>
      </w:r>
      <w:r>
        <w:t>la</w:t>
      </w:r>
      <w:r>
        <w:rPr>
          <w:spacing w:val="-9"/>
        </w:rPr>
        <w:t xml:space="preserve"> </w:t>
      </w:r>
      <w:r>
        <w:t>guerra</w:t>
      </w:r>
      <w:r>
        <w:rPr>
          <w:spacing w:val="-9"/>
        </w:rPr>
        <w:t xml:space="preserve"> </w:t>
      </w:r>
      <w:r>
        <w:t>y</w:t>
      </w:r>
      <w:r>
        <w:rPr>
          <w:spacing w:val="-11"/>
        </w:rPr>
        <w:t xml:space="preserve"> </w:t>
      </w:r>
      <w:r>
        <w:t>su</w:t>
      </w:r>
      <w:r>
        <w:rPr>
          <w:spacing w:val="-10"/>
        </w:rPr>
        <w:t xml:space="preserve"> </w:t>
      </w:r>
      <w:r>
        <w:t>legado</w:t>
      </w:r>
      <w:r>
        <w:rPr>
          <w:spacing w:val="-10"/>
        </w:rPr>
        <w:t xml:space="preserve"> </w:t>
      </w:r>
      <w:r>
        <w:t>en</w:t>
      </w:r>
      <w:r>
        <w:rPr>
          <w:spacing w:val="-10"/>
        </w:rPr>
        <w:t xml:space="preserve"> </w:t>
      </w:r>
      <w:r>
        <w:t>las</w:t>
      </w:r>
      <w:r>
        <w:rPr>
          <w:spacing w:val="-10"/>
        </w:rPr>
        <w:t xml:space="preserve"> </w:t>
      </w:r>
      <w:r>
        <w:t>instituciones.</w:t>
      </w:r>
      <w:r>
        <w:rPr>
          <w:spacing w:val="-11"/>
        </w:rPr>
        <w:t xml:space="preserve"> </w:t>
      </w:r>
      <w:r>
        <w:t>En</w:t>
      </w:r>
      <w:r>
        <w:rPr>
          <w:spacing w:val="-10"/>
        </w:rPr>
        <w:t xml:space="preserve"> </w:t>
      </w:r>
      <w:r>
        <w:t>esa medida,</w:t>
      </w:r>
      <w:r>
        <w:rPr>
          <w:spacing w:val="-15"/>
        </w:rPr>
        <w:t xml:space="preserve"> </w:t>
      </w:r>
      <w:r>
        <w:t>las</w:t>
      </w:r>
      <w:r>
        <w:rPr>
          <w:spacing w:val="-15"/>
        </w:rPr>
        <w:t xml:space="preserve"> </w:t>
      </w:r>
      <w:r>
        <w:t>recomendaciones</w:t>
      </w:r>
      <w:r>
        <w:rPr>
          <w:spacing w:val="-15"/>
        </w:rPr>
        <w:t xml:space="preserve"> </w:t>
      </w:r>
      <w:r>
        <w:t>de</w:t>
      </w:r>
      <w:r>
        <w:rPr>
          <w:spacing w:val="-15"/>
        </w:rPr>
        <w:t xml:space="preserve"> </w:t>
      </w:r>
      <w:r>
        <w:t>la</w:t>
      </w:r>
      <w:r>
        <w:rPr>
          <w:spacing w:val="-15"/>
        </w:rPr>
        <w:t xml:space="preserve"> </w:t>
      </w:r>
      <w:r>
        <w:t>Comisión</w:t>
      </w:r>
      <w:r>
        <w:rPr>
          <w:spacing w:val="-15"/>
        </w:rPr>
        <w:t xml:space="preserve"> </w:t>
      </w:r>
      <w:r>
        <w:t>reconocen</w:t>
      </w:r>
      <w:r>
        <w:rPr>
          <w:spacing w:val="-15"/>
        </w:rPr>
        <w:t xml:space="preserve"> </w:t>
      </w:r>
      <w:r>
        <w:t>la</w:t>
      </w:r>
      <w:r>
        <w:rPr>
          <w:spacing w:val="-15"/>
        </w:rPr>
        <w:t xml:space="preserve"> </w:t>
      </w:r>
      <w:r>
        <w:t>tensión</w:t>
      </w:r>
      <w:r>
        <w:rPr>
          <w:spacing w:val="-15"/>
        </w:rPr>
        <w:t xml:space="preserve"> </w:t>
      </w:r>
      <w:r>
        <w:t>que</w:t>
      </w:r>
      <w:r>
        <w:rPr>
          <w:spacing w:val="-15"/>
        </w:rPr>
        <w:t xml:space="preserve"> </w:t>
      </w:r>
      <w:r>
        <w:t>implica,</w:t>
      </w:r>
      <w:r>
        <w:rPr>
          <w:spacing w:val="-15"/>
        </w:rPr>
        <w:t xml:space="preserve"> </w:t>
      </w:r>
      <w:r>
        <w:t>por</w:t>
      </w:r>
      <w:r>
        <w:rPr>
          <w:spacing w:val="-15"/>
        </w:rPr>
        <w:t xml:space="preserve"> </w:t>
      </w:r>
      <w:r>
        <w:t>una</w:t>
      </w:r>
      <w:r>
        <w:rPr>
          <w:spacing w:val="-15"/>
        </w:rPr>
        <w:t xml:space="preserve"> </w:t>
      </w:r>
      <w:r>
        <w:t>parte, haber logrado un acuerdo de paz que puso fin al conflicto con las FARC-EP y, por otra, la persistencia de la violencia. No son recomendaciones para un país en paz todavía, pero incluyen recomendaciones para la no repetición y la cesación definitiva de las confrontaciones</w:t>
      </w:r>
      <w:r>
        <w:rPr>
          <w:spacing w:val="-8"/>
        </w:rPr>
        <w:t xml:space="preserve"> </w:t>
      </w:r>
      <w:r>
        <w:t>armadas,</w:t>
      </w:r>
      <w:r>
        <w:rPr>
          <w:spacing w:val="-8"/>
        </w:rPr>
        <w:t xml:space="preserve"> </w:t>
      </w:r>
      <w:r>
        <w:t>para</w:t>
      </w:r>
      <w:r>
        <w:rPr>
          <w:spacing w:val="-9"/>
        </w:rPr>
        <w:t xml:space="preserve"> </w:t>
      </w:r>
      <w:r>
        <w:t>avanzar</w:t>
      </w:r>
      <w:r>
        <w:rPr>
          <w:spacing w:val="-8"/>
        </w:rPr>
        <w:t xml:space="preserve"> </w:t>
      </w:r>
      <w:r>
        <w:t>en</w:t>
      </w:r>
      <w:r>
        <w:rPr>
          <w:spacing w:val="-9"/>
        </w:rPr>
        <w:t xml:space="preserve"> </w:t>
      </w:r>
      <w:r>
        <w:t>la</w:t>
      </w:r>
      <w:r>
        <w:rPr>
          <w:spacing w:val="-8"/>
        </w:rPr>
        <w:t xml:space="preserve"> </w:t>
      </w:r>
      <w:r>
        <w:t>construcción</w:t>
      </w:r>
      <w:r>
        <w:rPr>
          <w:spacing w:val="-8"/>
        </w:rPr>
        <w:t xml:space="preserve"> </w:t>
      </w:r>
      <w:r>
        <w:t>de</w:t>
      </w:r>
      <w:r>
        <w:rPr>
          <w:spacing w:val="-9"/>
        </w:rPr>
        <w:t xml:space="preserve"> </w:t>
      </w:r>
      <w:r>
        <w:t>la</w:t>
      </w:r>
      <w:r>
        <w:rPr>
          <w:spacing w:val="-8"/>
        </w:rPr>
        <w:t xml:space="preserve"> </w:t>
      </w:r>
      <w:r>
        <w:t>paz</w:t>
      </w:r>
      <w:r>
        <w:rPr>
          <w:spacing w:val="-8"/>
        </w:rPr>
        <w:t xml:space="preserve"> </w:t>
      </w:r>
      <w:r>
        <w:t>y</w:t>
      </w:r>
      <w:r>
        <w:rPr>
          <w:spacing w:val="-9"/>
        </w:rPr>
        <w:t xml:space="preserve"> </w:t>
      </w:r>
      <w:r>
        <w:t>el</w:t>
      </w:r>
      <w:r>
        <w:rPr>
          <w:spacing w:val="-9"/>
        </w:rPr>
        <w:t xml:space="preserve"> </w:t>
      </w:r>
      <w:r>
        <w:t>fortalecimiento</w:t>
      </w:r>
      <w:r>
        <w:rPr>
          <w:spacing w:val="-8"/>
        </w:rPr>
        <w:t xml:space="preserve"> </w:t>
      </w:r>
      <w:r>
        <w:t>de</w:t>
      </w:r>
      <w:r>
        <w:rPr>
          <w:spacing w:val="-8"/>
        </w:rPr>
        <w:t xml:space="preserve"> </w:t>
      </w:r>
      <w:r>
        <w:t>la democracia y una sociedad incluyente.</w:t>
      </w:r>
    </w:p>
    <w:p w:rsidR="003804AC" w:rsidRDefault="00AF18A5" w:rsidP="001C2EF7">
      <w:r>
        <w:t>En cada tema se parte de una serie de reconocimientos y llamados que se derivan de los hallazgos de la Comisión e invitan al Estado y a la sociedad a comprometerse con las transformaciones profundas que requerimos como país. Posteriormente, se relacionan las recomendaciones</w:t>
      </w:r>
      <w:r>
        <w:rPr>
          <w:spacing w:val="-6"/>
        </w:rPr>
        <w:t xml:space="preserve"> </w:t>
      </w:r>
      <w:r>
        <w:t>específicas</w:t>
      </w:r>
      <w:r>
        <w:rPr>
          <w:spacing w:val="-6"/>
        </w:rPr>
        <w:t xml:space="preserve"> </w:t>
      </w:r>
      <w:r>
        <w:t>en</w:t>
      </w:r>
      <w:r>
        <w:rPr>
          <w:spacing w:val="-6"/>
        </w:rPr>
        <w:t xml:space="preserve"> </w:t>
      </w:r>
      <w:r>
        <w:t>las</w:t>
      </w:r>
      <w:r>
        <w:rPr>
          <w:spacing w:val="-6"/>
        </w:rPr>
        <w:t xml:space="preserve"> </w:t>
      </w:r>
      <w:r>
        <w:t>que</w:t>
      </w:r>
      <w:r>
        <w:rPr>
          <w:spacing w:val="-6"/>
        </w:rPr>
        <w:t xml:space="preserve"> </w:t>
      </w:r>
      <w:r>
        <w:t>consideramos</w:t>
      </w:r>
      <w:r>
        <w:rPr>
          <w:spacing w:val="-6"/>
        </w:rPr>
        <w:t xml:space="preserve"> </w:t>
      </w:r>
      <w:r>
        <w:t>que</w:t>
      </w:r>
      <w:r>
        <w:rPr>
          <w:spacing w:val="-6"/>
        </w:rPr>
        <w:t xml:space="preserve"> </w:t>
      </w:r>
      <w:r>
        <w:t>la</w:t>
      </w:r>
      <w:r>
        <w:rPr>
          <w:spacing w:val="-6"/>
        </w:rPr>
        <w:t xml:space="preserve"> </w:t>
      </w:r>
      <w:r>
        <w:t>voluntad</w:t>
      </w:r>
      <w:r>
        <w:rPr>
          <w:spacing w:val="-6"/>
        </w:rPr>
        <w:t xml:space="preserve"> </w:t>
      </w:r>
      <w:r>
        <w:t>política,</w:t>
      </w:r>
      <w:r>
        <w:rPr>
          <w:spacing w:val="-6"/>
        </w:rPr>
        <w:t xml:space="preserve"> </w:t>
      </w:r>
      <w:r>
        <w:t>el</w:t>
      </w:r>
      <w:r>
        <w:rPr>
          <w:spacing w:val="-5"/>
        </w:rPr>
        <w:t xml:space="preserve"> </w:t>
      </w:r>
      <w:r>
        <w:t>diálogo,</w:t>
      </w:r>
      <w:r>
        <w:rPr>
          <w:spacing w:val="-6"/>
        </w:rPr>
        <w:t xml:space="preserve"> </w:t>
      </w:r>
      <w:r>
        <w:t xml:space="preserve">la participación y la búsqueda de consensos debe ser </w:t>
      </w:r>
      <w:r>
        <w:lastRenderedPageBreak/>
        <w:t>el principio general que guíe su implementación para avanzar en la construcción de paz. En todos los casos, siguiendo las lecciones</w:t>
      </w:r>
      <w:r>
        <w:rPr>
          <w:spacing w:val="-2"/>
        </w:rPr>
        <w:t xml:space="preserve"> </w:t>
      </w:r>
      <w:r>
        <w:t>aprendidas</w:t>
      </w:r>
      <w:r>
        <w:rPr>
          <w:spacing w:val="-3"/>
        </w:rPr>
        <w:t xml:space="preserve"> </w:t>
      </w:r>
      <w:r>
        <w:t>de</w:t>
      </w:r>
      <w:r>
        <w:rPr>
          <w:spacing w:val="-3"/>
        </w:rPr>
        <w:t xml:space="preserve"> </w:t>
      </w:r>
      <w:r>
        <w:t>otras</w:t>
      </w:r>
      <w:r>
        <w:rPr>
          <w:spacing w:val="-3"/>
        </w:rPr>
        <w:t xml:space="preserve"> </w:t>
      </w:r>
      <w:r>
        <w:t>comisiones</w:t>
      </w:r>
      <w:r>
        <w:rPr>
          <w:spacing w:val="-2"/>
        </w:rPr>
        <w:t xml:space="preserve"> </w:t>
      </w:r>
      <w:r>
        <w:t>de</w:t>
      </w:r>
      <w:r>
        <w:rPr>
          <w:spacing w:val="-2"/>
        </w:rPr>
        <w:t xml:space="preserve"> </w:t>
      </w:r>
      <w:r>
        <w:t>la</w:t>
      </w:r>
      <w:r>
        <w:rPr>
          <w:spacing w:val="-2"/>
        </w:rPr>
        <w:t xml:space="preserve"> </w:t>
      </w:r>
      <w:r>
        <w:t>verdad</w:t>
      </w:r>
      <w:r>
        <w:rPr>
          <w:spacing w:val="-2"/>
        </w:rPr>
        <w:t xml:space="preserve"> </w:t>
      </w:r>
      <w:r>
        <w:t>en</w:t>
      </w:r>
      <w:r>
        <w:rPr>
          <w:spacing w:val="-2"/>
        </w:rPr>
        <w:t xml:space="preserve"> </w:t>
      </w:r>
      <w:r>
        <w:t>el</w:t>
      </w:r>
      <w:r>
        <w:rPr>
          <w:spacing w:val="-3"/>
        </w:rPr>
        <w:t xml:space="preserve"> </w:t>
      </w:r>
      <w:r>
        <w:t>mundo,</w:t>
      </w:r>
      <w:r>
        <w:rPr>
          <w:spacing w:val="-2"/>
        </w:rPr>
        <w:t xml:space="preserve"> </w:t>
      </w:r>
      <w:r>
        <w:t>se</w:t>
      </w:r>
      <w:r>
        <w:rPr>
          <w:spacing w:val="-2"/>
        </w:rPr>
        <w:t xml:space="preserve"> </w:t>
      </w:r>
      <w:r>
        <w:t>identifica</w:t>
      </w:r>
      <w:r>
        <w:rPr>
          <w:spacing w:val="-3"/>
        </w:rPr>
        <w:t xml:space="preserve"> </w:t>
      </w:r>
      <w:r>
        <w:t>claramente a cada responsable de la implementación y lo que se espera de esta para facilitar el trabajo del</w:t>
      </w:r>
      <w:r>
        <w:rPr>
          <w:spacing w:val="-8"/>
        </w:rPr>
        <w:t xml:space="preserve"> </w:t>
      </w:r>
      <w:r>
        <w:t>Comité</w:t>
      </w:r>
      <w:r>
        <w:rPr>
          <w:spacing w:val="-8"/>
        </w:rPr>
        <w:t xml:space="preserve"> </w:t>
      </w:r>
      <w:r>
        <w:t>de</w:t>
      </w:r>
      <w:r>
        <w:rPr>
          <w:spacing w:val="-8"/>
        </w:rPr>
        <w:t xml:space="preserve"> </w:t>
      </w:r>
      <w:r>
        <w:t>Seguimiento</w:t>
      </w:r>
      <w:r>
        <w:rPr>
          <w:spacing w:val="-8"/>
        </w:rPr>
        <w:t xml:space="preserve"> </w:t>
      </w:r>
      <w:r>
        <w:t>y</w:t>
      </w:r>
      <w:r>
        <w:rPr>
          <w:spacing w:val="-8"/>
        </w:rPr>
        <w:t xml:space="preserve"> </w:t>
      </w:r>
      <w:r>
        <w:t>Monitoreo</w:t>
      </w:r>
      <w:r>
        <w:rPr>
          <w:spacing w:val="-8"/>
        </w:rPr>
        <w:t xml:space="preserve"> </w:t>
      </w:r>
      <w:r>
        <w:t>y</w:t>
      </w:r>
      <w:r>
        <w:rPr>
          <w:spacing w:val="-8"/>
        </w:rPr>
        <w:t xml:space="preserve"> </w:t>
      </w:r>
      <w:r>
        <w:t>la</w:t>
      </w:r>
      <w:r>
        <w:rPr>
          <w:spacing w:val="-8"/>
        </w:rPr>
        <w:t xml:space="preserve"> </w:t>
      </w:r>
      <w:r>
        <w:t>apropiación</w:t>
      </w:r>
      <w:r>
        <w:rPr>
          <w:spacing w:val="-8"/>
        </w:rPr>
        <w:t xml:space="preserve"> </w:t>
      </w:r>
      <w:r>
        <w:t>por</w:t>
      </w:r>
      <w:r>
        <w:rPr>
          <w:spacing w:val="-9"/>
        </w:rPr>
        <w:t xml:space="preserve"> </w:t>
      </w:r>
      <w:r>
        <w:t>parte</w:t>
      </w:r>
      <w:r>
        <w:rPr>
          <w:spacing w:val="-8"/>
        </w:rPr>
        <w:t xml:space="preserve"> </w:t>
      </w:r>
      <w:r>
        <w:t>de</w:t>
      </w:r>
      <w:r>
        <w:rPr>
          <w:spacing w:val="-8"/>
        </w:rPr>
        <w:t xml:space="preserve"> </w:t>
      </w:r>
      <w:r>
        <w:t>los</w:t>
      </w:r>
      <w:r>
        <w:rPr>
          <w:spacing w:val="-8"/>
        </w:rPr>
        <w:t xml:space="preserve"> </w:t>
      </w:r>
      <w:r>
        <w:t>actores</w:t>
      </w:r>
      <w:r>
        <w:rPr>
          <w:spacing w:val="-8"/>
        </w:rPr>
        <w:t xml:space="preserve"> </w:t>
      </w:r>
      <w:r>
        <w:t>que</w:t>
      </w:r>
      <w:r>
        <w:rPr>
          <w:spacing w:val="-9"/>
        </w:rPr>
        <w:t xml:space="preserve"> </w:t>
      </w:r>
      <w:r>
        <w:t>puedan tener responsabilidad o aportes en su promoción e implementación. Los enfoques diferenciales de territorio, género, derechos de las mujeres, étnico, curso de vida y discapacidad son fundamentales en las recomendaciones, pues partimos del hecho de que, solo</w:t>
      </w:r>
      <w:r>
        <w:rPr>
          <w:spacing w:val="-10"/>
        </w:rPr>
        <w:t xml:space="preserve"> </w:t>
      </w:r>
      <w:r>
        <w:t>si</w:t>
      </w:r>
      <w:r>
        <w:rPr>
          <w:spacing w:val="-10"/>
        </w:rPr>
        <w:t xml:space="preserve"> </w:t>
      </w:r>
      <w:r>
        <w:t>se</w:t>
      </w:r>
      <w:r>
        <w:rPr>
          <w:spacing w:val="-11"/>
        </w:rPr>
        <w:t xml:space="preserve"> </w:t>
      </w:r>
      <w:r>
        <w:t>reconocen</w:t>
      </w:r>
      <w:r>
        <w:rPr>
          <w:spacing w:val="-10"/>
        </w:rPr>
        <w:t xml:space="preserve"> </w:t>
      </w:r>
      <w:r>
        <w:t>y</w:t>
      </w:r>
      <w:r>
        <w:rPr>
          <w:spacing w:val="-10"/>
        </w:rPr>
        <w:t xml:space="preserve"> </w:t>
      </w:r>
      <w:r>
        <w:t>atienden</w:t>
      </w:r>
      <w:r>
        <w:rPr>
          <w:spacing w:val="-10"/>
        </w:rPr>
        <w:t xml:space="preserve"> </w:t>
      </w:r>
      <w:r>
        <w:t>los</w:t>
      </w:r>
      <w:r>
        <w:rPr>
          <w:spacing w:val="-11"/>
        </w:rPr>
        <w:t xml:space="preserve"> </w:t>
      </w:r>
      <w:r>
        <w:t>impactos</w:t>
      </w:r>
      <w:r>
        <w:rPr>
          <w:spacing w:val="-9"/>
        </w:rPr>
        <w:t xml:space="preserve"> </w:t>
      </w:r>
      <w:r>
        <w:t>diferenciados</w:t>
      </w:r>
      <w:r>
        <w:rPr>
          <w:spacing w:val="-9"/>
        </w:rPr>
        <w:t xml:space="preserve"> </w:t>
      </w:r>
      <w:r>
        <w:t>del</w:t>
      </w:r>
      <w:r>
        <w:rPr>
          <w:spacing w:val="-10"/>
        </w:rPr>
        <w:t xml:space="preserve"> </w:t>
      </w:r>
      <w:r>
        <w:t>conflicto</w:t>
      </w:r>
      <w:r>
        <w:rPr>
          <w:spacing w:val="-10"/>
        </w:rPr>
        <w:t xml:space="preserve"> </w:t>
      </w:r>
      <w:r>
        <w:t>y</w:t>
      </w:r>
      <w:r>
        <w:rPr>
          <w:spacing w:val="-11"/>
        </w:rPr>
        <w:t xml:space="preserve"> </w:t>
      </w:r>
      <w:r>
        <w:t>se</w:t>
      </w:r>
      <w:r>
        <w:rPr>
          <w:spacing w:val="-9"/>
        </w:rPr>
        <w:t xml:space="preserve"> </w:t>
      </w:r>
      <w:r>
        <w:t>da</w:t>
      </w:r>
      <w:r>
        <w:rPr>
          <w:spacing w:val="-9"/>
        </w:rPr>
        <w:t xml:space="preserve"> </w:t>
      </w:r>
      <w:r>
        <w:t>una</w:t>
      </w:r>
      <w:r>
        <w:rPr>
          <w:spacing w:val="-11"/>
        </w:rPr>
        <w:t xml:space="preserve"> </w:t>
      </w:r>
      <w:r>
        <w:t xml:space="preserve">respuesta integral a las violencias estructurales subyacentes, es posible realmente construir paz en </w:t>
      </w:r>
      <w:r>
        <w:rPr>
          <w:spacing w:val="-2"/>
        </w:rPr>
        <w:t>Colombia.</w:t>
      </w:r>
    </w:p>
    <w:p w:rsidR="0011361F" w:rsidRDefault="00AF18A5" w:rsidP="001C2EF7">
      <w:pPr>
        <w:pStyle w:val="Ttulo3"/>
      </w:pPr>
      <w:bookmarkStart w:id="1495" w:name="_Toc112399678"/>
      <w:r>
        <w:t>Síntesis de las</w:t>
      </w:r>
      <w:r>
        <w:rPr>
          <w:spacing w:val="-1"/>
        </w:rPr>
        <w:t xml:space="preserve"> </w:t>
      </w:r>
      <w:r w:rsidRPr="001C2EF7">
        <w:t>recomendaciones</w:t>
      </w:r>
      <w:bookmarkEnd w:id="1495"/>
    </w:p>
    <w:p w:rsidR="003804AC" w:rsidRDefault="00AF18A5" w:rsidP="001C2EF7">
      <w:r>
        <w:t>A continuación, se encuentran sintetizadas algunas de las recomendaciones que desarrollaremos de manera exhaustiva.</w:t>
      </w:r>
    </w:p>
    <w:p w:rsidR="003804AC" w:rsidRDefault="00AF18A5" w:rsidP="004A6EF4">
      <w:pPr>
        <w:pStyle w:val="Prrafodelista"/>
        <w:numPr>
          <w:ilvl w:val="0"/>
          <w:numId w:val="26"/>
        </w:numPr>
      </w:pPr>
      <w:r>
        <w:t>Avanzar</w:t>
      </w:r>
      <w:r w:rsidRPr="001C2EF7">
        <w:rPr>
          <w:spacing w:val="-8"/>
        </w:rPr>
        <w:t xml:space="preserve"> </w:t>
      </w:r>
      <w:r>
        <w:t>en</w:t>
      </w:r>
      <w:r w:rsidRPr="001C2EF7">
        <w:rPr>
          <w:spacing w:val="-11"/>
        </w:rPr>
        <w:t xml:space="preserve"> </w:t>
      </w:r>
      <w:r>
        <w:t>un</w:t>
      </w:r>
      <w:r w:rsidRPr="001C2EF7">
        <w:rPr>
          <w:spacing w:val="-8"/>
        </w:rPr>
        <w:t xml:space="preserve"> </w:t>
      </w:r>
      <w:r>
        <w:t>consenso</w:t>
      </w:r>
      <w:r w:rsidRPr="001C2EF7">
        <w:rPr>
          <w:spacing w:val="-10"/>
        </w:rPr>
        <w:t xml:space="preserve"> </w:t>
      </w:r>
      <w:r>
        <w:t>como</w:t>
      </w:r>
      <w:r w:rsidRPr="001C2EF7">
        <w:rPr>
          <w:spacing w:val="-9"/>
        </w:rPr>
        <w:t xml:space="preserve"> </w:t>
      </w:r>
      <w:r>
        <w:t>sociedad</w:t>
      </w:r>
      <w:r w:rsidRPr="001C2EF7">
        <w:rPr>
          <w:spacing w:val="-8"/>
        </w:rPr>
        <w:t xml:space="preserve"> </w:t>
      </w:r>
      <w:r>
        <w:t>sobre</w:t>
      </w:r>
      <w:r w:rsidRPr="001C2EF7">
        <w:rPr>
          <w:spacing w:val="-8"/>
        </w:rPr>
        <w:t xml:space="preserve"> </w:t>
      </w:r>
      <w:r>
        <w:t>las</w:t>
      </w:r>
      <w:r w:rsidRPr="001C2EF7">
        <w:rPr>
          <w:spacing w:val="-8"/>
        </w:rPr>
        <w:t xml:space="preserve"> </w:t>
      </w:r>
      <w:r>
        <w:t>transformaciones</w:t>
      </w:r>
      <w:r w:rsidRPr="001C2EF7">
        <w:rPr>
          <w:spacing w:val="-9"/>
        </w:rPr>
        <w:t xml:space="preserve"> </w:t>
      </w:r>
      <w:r>
        <w:t>a</w:t>
      </w:r>
      <w:r w:rsidRPr="001C2EF7">
        <w:rPr>
          <w:spacing w:val="-8"/>
        </w:rPr>
        <w:t xml:space="preserve"> </w:t>
      </w:r>
      <w:r>
        <w:t>emprender</w:t>
      </w:r>
      <w:r w:rsidRPr="001C2EF7">
        <w:rPr>
          <w:spacing w:val="-9"/>
        </w:rPr>
        <w:t xml:space="preserve"> </w:t>
      </w:r>
      <w:r>
        <w:t>para superar</w:t>
      </w:r>
      <w:r w:rsidRPr="001C2EF7">
        <w:rPr>
          <w:spacing w:val="-1"/>
        </w:rPr>
        <w:t xml:space="preserve"> </w:t>
      </w:r>
      <w:r>
        <w:t>los</w:t>
      </w:r>
      <w:r w:rsidRPr="001C2EF7">
        <w:rPr>
          <w:spacing w:val="-1"/>
        </w:rPr>
        <w:t xml:space="preserve"> </w:t>
      </w:r>
      <w:r>
        <w:t>factores que</w:t>
      </w:r>
      <w:r w:rsidRPr="001C2EF7">
        <w:rPr>
          <w:spacing w:val="-1"/>
        </w:rPr>
        <w:t xml:space="preserve"> </w:t>
      </w:r>
      <w:r>
        <w:t>han facilitado la persistencia del conflicto y</w:t>
      </w:r>
      <w:r w:rsidRPr="001C2EF7">
        <w:rPr>
          <w:spacing w:val="-1"/>
        </w:rPr>
        <w:t xml:space="preserve"> </w:t>
      </w:r>
      <w:r>
        <w:t>la reproducción de los ciclos de violencia. La paz grande como una prioridad de largo plazo debe convertirse</w:t>
      </w:r>
      <w:r w:rsidRPr="001C2EF7">
        <w:rPr>
          <w:spacing w:val="-5"/>
        </w:rPr>
        <w:t xml:space="preserve"> </w:t>
      </w:r>
      <w:r>
        <w:t>en</w:t>
      </w:r>
      <w:r w:rsidRPr="001C2EF7">
        <w:rPr>
          <w:spacing w:val="-4"/>
        </w:rPr>
        <w:t xml:space="preserve"> </w:t>
      </w:r>
      <w:r>
        <w:t>un</w:t>
      </w:r>
      <w:r w:rsidRPr="001C2EF7">
        <w:rPr>
          <w:spacing w:val="-4"/>
        </w:rPr>
        <w:t xml:space="preserve"> </w:t>
      </w:r>
      <w:r>
        <w:t>proyecto</w:t>
      </w:r>
      <w:r w:rsidRPr="001C2EF7">
        <w:rPr>
          <w:spacing w:val="-4"/>
        </w:rPr>
        <w:t xml:space="preserve"> </w:t>
      </w:r>
      <w:r>
        <w:t>nacional</w:t>
      </w:r>
      <w:r w:rsidRPr="001C2EF7">
        <w:rPr>
          <w:spacing w:val="-4"/>
        </w:rPr>
        <w:t xml:space="preserve"> </w:t>
      </w:r>
      <w:r>
        <w:t>que</w:t>
      </w:r>
      <w:r w:rsidRPr="001C2EF7">
        <w:rPr>
          <w:spacing w:val="-3"/>
        </w:rPr>
        <w:t xml:space="preserve"> </w:t>
      </w:r>
      <w:r>
        <w:t>ponga</w:t>
      </w:r>
      <w:r w:rsidRPr="001C2EF7">
        <w:rPr>
          <w:spacing w:val="-3"/>
        </w:rPr>
        <w:t xml:space="preserve"> </w:t>
      </w:r>
      <w:r>
        <w:t>en</w:t>
      </w:r>
      <w:r w:rsidRPr="001C2EF7">
        <w:rPr>
          <w:spacing w:val="-4"/>
        </w:rPr>
        <w:t xml:space="preserve"> </w:t>
      </w:r>
      <w:r>
        <w:t>el</w:t>
      </w:r>
      <w:r w:rsidRPr="001C2EF7">
        <w:rPr>
          <w:spacing w:val="-4"/>
        </w:rPr>
        <w:t xml:space="preserve"> </w:t>
      </w:r>
      <w:r>
        <w:t>centro</w:t>
      </w:r>
      <w:r w:rsidRPr="001C2EF7">
        <w:rPr>
          <w:spacing w:val="-4"/>
        </w:rPr>
        <w:t xml:space="preserve"> </w:t>
      </w:r>
      <w:r>
        <w:t>el</w:t>
      </w:r>
      <w:r w:rsidRPr="001C2EF7">
        <w:rPr>
          <w:spacing w:val="-3"/>
        </w:rPr>
        <w:t xml:space="preserve"> </w:t>
      </w:r>
      <w:r>
        <w:t>respeto</w:t>
      </w:r>
      <w:r w:rsidRPr="001C2EF7">
        <w:rPr>
          <w:spacing w:val="-5"/>
        </w:rPr>
        <w:t xml:space="preserve"> </w:t>
      </w:r>
      <w:r>
        <w:t>por</w:t>
      </w:r>
      <w:r w:rsidRPr="001C2EF7">
        <w:rPr>
          <w:spacing w:val="-4"/>
        </w:rPr>
        <w:t xml:space="preserve"> </w:t>
      </w:r>
      <w:r>
        <w:t>la</w:t>
      </w:r>
      <w:r w:rsidRPr="001C2EF7">
        <w:rPr>
          <w:spacing w:val="-3"/>
        </w:rPr>
        <w:t xml:space="preserve"> </w:t>
      </w:r>
      <w:r>
        <w:t>vida</w:t>
      </w:r>
      <w:r w:rsidRPr="001C2EF7">
        <w:rPr>
          <w:spacing w:val="-3"/>
        </w:rPr>
        <w:t xml:space="preserve"> </w:t>
      </w:r>
      <w:r>
        <w:t>y</w:t>
      </w:r>
      <w:r w:rsidRPr="001C2EF7">
        <w:rPr>
          <w:spacing w:val="-5"/>
        </w:rPr>
        <w:t xml:space="preserve"> </w:t>
      </w:r>
      <w:r>
        <w:t>la dignidad, que garantice derechos a todas y todos por igual, que reconozca y respete la diversidad, una paz que se construye desde el territorio y con las comunidades, y en</w:t>
      </w:r>
      <w:r w:rsidRPr="001C2EF7">
        <w:rPr>
          <w:spacing w:val="-11"/>
        </w:rPr>
        <w:t xml:space="preserve"> </w:t>
      </w:r>
      <w:r>
        <w:t>la</w:t>
      </w:r>
      <w:r w:rsidRPr="001C2EF7">
        <w:rPr>
          <w:spacing w:val="-11"/>
        </w:rPr>
        <w:t xml:space="preserve"> </w:t>
      </w:r>
      <w:r>
        <w:t>que</w:t>
      </w:r>
      <w:r w:rsidRPr="001C2EF7">
        <w:rPr>
          <w:spacing w:val="-12"/>
        </w:rPr>
        <w:t xml:space="preserve"> </w:t>
      </w:r>
      <w:r>
        <w:t>el</w:t>
      </w:r>
      <w:r w:rsidRPr="001C2EF7">
        <w:rPr>
          <w:spacing w:val="-12"/>
        </w:rPr>
        <w:t xml:space="preserve"> </w:t>
      </w:r>
      <w:r>
        <w:t>diálogo</w:t>
      </w:r>
      <w:r w:rsidRPr="001C2EF7">
        <w:rPr>
          <w:spacing w:val="-11"/>
        </w:rPr>
        <w:t xml:space="preserve"> </w:t>
      </w:r>
      <w:r>
        <w:t>es</w:t>
      </w:r>
      <w:r w:rsidRPr="001C2EF7">
        <w:rPr>
          <w:spacing w:val="-11"/>
        </w:rPr>
        <w:t xml:space="preserve"> </w:t>
      </w:r>
      <w:r>
        <w:t>la</w:t>
      </w:r>
      <w:r w:rsidRPr="001C2EF7">
        <w:rPr>
          <w:spacing w:val="-12"/>
        </w:rPr>
        <w:t xml:space="preserve"> </w:t>
      </w:r>
      <w:r>
        <w:t>herramienta</w:t>
      </w:r>
      <w:r w:rsidRPr="001C2EF7">
        <w:rPr>
          <w:spacing w:val="-12"/>
        </w:rPr>
        <w:t xml:space="preserve"> </w:t>
      </w:r>
      <w:r>
        <w:t>principal</w:t>
      </w:r>
      <w:r w:rsidRPr="001C2EF7">
        <w:rPr>
          <w:spacing w:val="-10"/>
        </w:rPr>
        <w:t xml:space="preserve"> </w:t>
      </w:r>
      <w:r>
        <w:t>para</w:t>
      </w:r>
      <w:r w:rsidRPr="001C2EF7">
        <w:rPr>
          <w:spacing w:val="-11"/>
        </w:rPr>
        <w:t xml:space="preserve"> </w:t>
      </w:r>
      <w:r>
        <w:t>tramitar</w:t>
      </w:r>
      <w:r w:rsidRPr="001C2EF7">
        <w:rPr>
          <w:spacing w:val="-10"/>
        </w:rPr>
        <w:t xml:space="preserve"> </w:t>
      </w:r>
      <w:r>
        <w:t>las</w:t>
      </w:r>
      <w:r w:rsidRPr="001C2EF7">
        <w:rPr>
          <w:spacing w:val="-11"/>
        </w:rPr>
        <w:t xml:space="preserve"> </w:t>
      </w:r>
      <w:r>
        <w:t>diferencias</w:t>
      </w:r>
      <w:r w:rsidRPr="001C2EF7">
        <w:rPr>
          <w:spacing w:val="-12"/>
        </w:rPr>
        <w:t xml:space="preserve"> </w:t>
      </w:r>
      <w:r>
        <w:t>y</w:t>
      </w:r>
      <w:r w:rsidRPr="001C2EF7">
        <w:rPr>
          <w:spacing w:val="-11"/>
        </w:rPr>
        <w:t xml:space="preserve"> </w:t>
      </w:r>
      <w:r>
        <w:t>resolver los conflictos. Una paz que permita la reconciliación y la reconstrucción de la confianza</w:t>
      </w:r>
      <w:r w:rsidRPr="001C2EF7">
        <w:rPr>
          <w:spacing w:val="-2"/>
        </w:rPr>
        <w:t xml:space="preserve"> </w:t>
      </w:r>
      <w:r>
        <w:t>de</w:t>
      </w:r>
      <w:r w:rsidRPr="001C2EF7">
        <w:rPr>
          <w:spacing w:val="-3"/>
        </w:rPr>
        <w:t xml:space="preserve"> </w:t>
      </w:r>
      <w:r>
        <w:t>los</w:t>
      </w:r>
      <w:r w:rsidRPr="001C2EF7">
        <w:rPr>
          <w:spacing w:val="-2"/>
        </w:rPr>
        <w:t xml:space="preserve"> </w:t>
      </w:r>
      <w:r>
        <w:t>ciudadanos</w:t>
      </w:r>
      <w:r w:rsidRPr="001C2EF7">
        <w:rPr>
          <w:spacing w:val="-2"/>
        </w:rPr>
        <w:t xml:space="preserve"> </w:t>
      </w:r>
      <w:r>
        <w:lastRenderedPageBreak/>
        <w:t>en</w:t>
      </w:r>
      <w:r w:rsidRPr="001C2EF7">
        <w:rPr>
          <w:spacing w:val="-2"/>
        </w:rPr>
        <w:t xml:space="preserve"> </w:t>
      </w:r>
      <w:r>
        <w:t>las</w:t>
      </w:r>
      <w:r w:rsidRPr="001C2EF7">
        <w:rPr>
          <w:spacing w:val="-2"/>
        </w:rPr>
        <w:t xml:space="preserve"> </w:t>
      </w:r>
      <w:r>
        <w:t>instituciones</w:t>
      </w:r>
      <w:r w:rsidRPr="001C2EF7">
        <w:rPr>
          <w:spacing w:val="-2"/>
        </w:rPr>
        <w:t xml:space="preserve"> </w:t>
      </w:r>
      <w:r>
        <w:t>y</w:t>
      </w:r>
      <w:r w:rsidRPr="001C2EF7">
        <w:rPr>
          <w:spacing w:val="-3"/>
        </w:rPr>
        <w:t xml:space="preserve"> </w:t>
      </w:r>
      <w:r>
        <w:t>entre</w:t>
      </w:r>
      <w:r w:rsidRPr="001C2EF7">
        <w:rPr>
          <w:spacing w:val="-2"/>
        </w:rPr>
        <w:t xml:space="preserve"> </w:t>
      </w:r>
      <w:r>
        <w:t>ellos</w:t>
      </w:r>
      <w:r w:rsidRPr="001C2EF7">
        <w:rPr>
          <w:spacing w:val="-3"/>
        </w:rPr>
        <w:t xml:space="preserve"> </w:t>
      </w:r>
      <w:r>
        <w:t>mismos:</w:t>
      </w:r>
      <w:r w:rsidRPr="001C2EF7">
        <w:rPr>
          <w:spacing w:val="-2"/>
        </w:rPr>
        <w:t xml:space="preserve"> </w:t>
      </w:r>
      <w:r>
        <w:t>de</w:t>
      </w:r>
      <w:r w:rsidRPr="001C2EF7">
        <w:rPr>
          <w:spacing w:val="-3"/>
        </w:rPr>
        <w:t xml:space="preserve"> </w:t>
      </w:r>
      <w:r>
        <w:t>eso</w:t>
      </w:r>
      <w:r w:rsidRPr="001C2EF7">
        <w:rPr>
          <w:spacing w:val="-2"/>
        </w:rPr>
        <w:t xml:space="preserve"> </w:t>
      </w:r>
      <w:r>
        <w:t>se</w:t>
      </w:r>
      <w:r w:rsidRPr="001C2EF7">
        <w:rPr>
          <w:spacing w:val="-3"/>
        </w:rPr>
        <w:t xml:space="preserve"> </w:t>
      </w:r>
      <w:r>
        <w:t>trata la paz territorial.</w:t>
      </w:r>
    </w:p>
    <w:p w:rsidR="003804AC" w:rsidRDefault="00AF18A5" w:rsidP="004A6EF4">
      <w:pPr>
        <w:pStyle w:val="Prrafodelista"/>
        <w:numPr>
          <w:ilvl w:val="0"/>
          <w:numId w:val="26"/>
        </w:numPr>
      </w:pPr>
      <w:r>
        <w:t>Reconocer a las víctimas del conflicto armado en su dolor, dignidad y resistencias, reconocer la injusticia de lo vivido, y el trauma colectivo que compartimos como sociedad. Ello nos debe llevar a comprometernos con la reparación integral y transformadora de las más de nueve millones de víctimas del conflicto armado interno.</w:t>
      </w:r>
      <w:r w:rsidRPr="005A6F73">
        <w:rPr>
          <w:spacing w:val="-11"/>
        </w:rPr>
        <w:t xml:space="preserve"> </w:t>
      </w:r>
      <w:r>
        <w:t>Incluyendo</w:t>
      </w:r>
      <w:r w:rsidRPr="005A6F73">
        <w:rPr>
          <w:spacing w:val="-11"/>
        </w:rPr>
        <w:t xml:space="preserve"> </w:t>
      </w:r>
      <w:r>
        <w:t>a</w:t>
      </w:r>
      <w:r w:rsidRPr="005A6F73">
        <w:rPr>
          <w:spacing w:val="-10"/>
        </w:rPr>
        <w:t xml:space="preserve"> </w:t>
      </w:r>
      <w:r>
        <w:t>quienes</w:t>
      </w:r>
      <w:r w:rsidRPr="005A6F73">
        <w:rPr>
          <w:spacing w:val="-10"/>
        </w:rPr>
        <w:t xml:space="preserve"> </w:t>
      </w:r>
      <w:r>
        <w:t>no</w:t>
      </w:r>
      <w:r w:rsidRPr="005A6F73">
        <w:rPr>
          <w:spacing w:val="-12"/>
        </w:rPr>
        <w:t xml:space="preserve"> </w:t>
      </w:r>
      <w:r>
        <w:t>han</w:t>
      </w:r>
      <w:r w:rsidRPr="005A6F73">
        <w:rPr>
          <w:spacing w:val="-12"/>
        </w:rPr>
        <w:t xml:space="preserve"> </w:t>
      </w:r>
      <w:r>
        <w:t>sido</w:t>
      </w:r>
      <w:r w:rsidRPr="005A6F73">
        <w:rPr>
          <w:spacing w:val="-11"/>
        </w:rPr>
        <w:t xml:space="preserve"> </w:t>
      </w:r>
      <w:r>
        <w:t>hasta</w:t>
      </w:r>
      <w:r w:rsidRPr="005A6F73">
        <w:rPr>
          <w:spacing w:val="-12"/>
        </w:rPr>
        <w:t xml:space="preserve"> </w:t>
      </w:r>
      <w:r>
        <w:t>ahora</w:t>
      </w:r>
      <w:r w:rsidRPr="005A6F73">
        <w:rPr>
          <w:spacing w:val="-10"/>
        </w:rPr>
        <w:t xml:space="preserve"> </w:t>
      </w:r>
      <w:r>
        <w:t>reconocidas,</w:t>
      </w:r>
      <w:r w:rsidRPr="005A6F73">
        <w:rPr>
          <w:spacing w:val="-11"/>
        </w:rPr>
        <w:t xml:space="preserve"> </w:t>
      </w:r>
      <w:r>
        <w:t>como</w:t>
      </w:r>
      <w:r w:rsidRPr="005A6F73">
        <w:rPr>
          <w:spacing w:val="-11"/>
        </w:rPr>
        <w:t xml:space="preserve"> </w:t>
      </w:r>
      <w:r>
        <w:t>las</w:t>
      </w:r>
      <w:r w:rsidRPr="005A6F73">
        <w:rPr>
          <w:spacing w:val="-10"/>
        </w:rPr>
        <w:t xml:space="preserve"> </w:t>
      </w:r>
      <w:r>
        <w:t>víctimas del</w:t>
      </w:r>
      <w:r w:rsidRPr="005A6F73">
        <w:rPr>
          <w:spacing w:val="-4"/>
        </w:rPr>
        <w:t xml:space="preserve"> </w:t>
      </w:r>
      <w:r>
        <w:t>exilio.</w:t>
      </w:r>
      <w:r w:rsidRPr="005A6F73">
        <w:rPr>
          <w:spacing w:val="-6"/>
        </w:rPr>
        <w:t xml:space="preserve"> </w:t>
      </w:r>
      <w:r>
        <w:t>Una</w:t>
      </w:r>
      <w:r w:rsidRPr="005A6F73">
        <w:rPr>
          <w:spacing w:val="-4"/>
        </w:rPr>
        <w:t xml:space="preserve"> </w:t>
      </w:r>
      <w:r>
        <w:t>reparación</w:t>
      </w:r>
      <w:r w:rsidRPr="005A6F73">
        <w:rPr>
          <w:spacing w:val="-5"/>
        </w:rPr>
        <w:t xml:space="preserve"> </w:t>
      </w:r>
      <w:r>
        <w:t>que</w:t>
      </w:r>
      <w:r w:rsidRPr="005A6F73">
        <w:rPr>
          <w:spacing w:val="-4"/>
        </w:rPr>
        <w:t xml:space="preserve"> </w:t>
      </w:r>
      <w:r>
        <w:t>atienda</w:t>
      </w:r>
      <w:r w:rsidRPr="005A6F73">
        <w:rPr>
          <w:spacing w:val="-4"/>
        </w:rPr>
        <w:t xml:space="preserve"> </w:t>
      </w:r>
      <w:r>
        <w:t>y</w:t>
      </w:r>
      <w:r w:rsidRPr="005A6F73">
        <w:rPr>
          <w:spacing w:val="-5"/>
        </w:rPr>
        <w:t xml:space="preserve"> </w:t>
      </w:r>
      <w:r>
        <w:t>repare</w:t>
      </w:r>
      <w:r w:rsidRPr="005A6F73">
        <w:rPr>
          <w:spacing w:val="-6"/>
        </w:rPr>
        <w:t xml:space="preserve"> </w:t>
      </w:r>
      <w:r>
        <w:t>los</w:t>
      </w:r>
      <w:r w:rsidRPr="005A6F73">
        <w:rPr>
          <w:spacing w:val="-5"/>
        </w:rPr>
        <w:t xml:space="preserve"> </w:t>
      </w:r>
      <w:r>
        <w:t>impactos</w:t>
      </w:r>
      <w:r w:rsidRPr="005A6F73">
        <w:rPr>
          <w:spacing w:val="-6"/>
        </w:rPr>
        <w:t xml:space="preserve"> </w:t>
      </w:r>
      <w:r>
        <w:t>diferenciados</w:t>
      </w:r>
      <w:r w:rsidRPr="005A6F73">
        <w:rPr>
          <w:spacing w:val="-6"/>
        </w:rPr>
        <w:t xml:space="preserve"> </w:t>
      </w:r>
      <w:r>
        <w:t>en</w:t>
      </w:r>
      <w:r w:rsidRPr="005A6F73">
        <w:rPr>
          <w:spacing w:val="-5"/>
        </w:rPr>
        <w:t xml:space="preserve"> </w:t>
      </w:r>
      <w:r>
        <w:t>ellas,</w:t>
      </w:r>
      <w:r w:rsidRPr="005A6F73">
        <w:rPr>
          <w:spacing w:val="-5"/>
        </w:rPr>
        <w:t xml:space="preserve"> </w:t>
      </w:r>
      <w:r>
        <w:t>y en</w:t>
      </w:r>
      <w:r w:rsidRPr="005A6F73">
        <w:rPr>
          <w:spacing w:val="-6"/>
        </w:rPr>
        <w:t xml:space="preserve"> </w:t>
      </w:r>
      <w:r>
        <w:t>cada</w:t>
      </w:r>
      <w:r w:rsidRPr="005A6F73">
        <w:rPr>
          <w:spacing w:val="-6"/>
        </w:rPr>
        <w:t xml:space="preserve"> </w:t>
      </w:r>
      <w:r>
        <w:t>sujeto</w:t>
      </w:r>
      <w:r w:rsidRPr="005A6F73">
        <w:rPr>
          <w:spacing w:val="-6"/>
        </w:rPr>
        <w:t xml:space="preserve"> </w:t>
      </w:r>
      <w:r>
        <w:t>colectivo;</w:t>
      </w:r>
      <w:r w:rsidRPr="005A6F73">
        <w:rPr>
          <w:spacing w:val="-7"/>
        </w:rPr>
        <w:t xml:space="preserve"> </w:t>
      </w:r>
      <w:r>
        <w:t>permita</w:t>
      </w:r>
      <w:r w:rsidRPr="005A6F73">
        <w:rPr>
          <w:spacing w:val="-6"/>
        </w:rPr>
        <w:t xml:space="preserve"> </w:t>
      </w:r>
      <w:r>
        <w:t>superar</w:t>
      </w:r>
      <w:r w:rsidRPr="005A6F73">
        <w:rPr>
          <w:spacing w:val="-5"/>
        </w:rPr>
        <w:t xml:space="preserve"> </w:t>
      </w:r>
      <w:r>
        <w:t>las</w:t>
      </w:r>
      <w:r w:rsidRPr="005A6F73">
        <w:rPr>
          <w:spacing w:val="-6"/>
        </w:rPr>
        <w:t xml:space="preserve"> </w:t>
      </w:r>
      <w:r>
        <w:t>condiciones</w:t>
      </w:r>
      <w:r w:rsidRPr="005A6F73">
        <w:rPr>
          <w:spacing w:val="-6"/>
        </w:rPr>
        <w:t xml:space="preserve"> </w:t>
      </w:r>
      <w:r>
        <w:t>de</w:t>
      </w:r>
      <w:r w:rsidRPr="005A6F73">
        <w:rPr>
          <w:spacing w:val="-6"/>
        </w:rPr>
        <w:t xml:space="preserve"> </w:t>
      </w:r>
      <w:r>
        <w:t>vulnerabilidad</w:t>
      </w:r>
      <w:r w:rsidRPr="005A6F73">
        <w:rPr>
          <w:spacing w:val="-6"/>
        </w:rPr>
        <w:t xml:space="preserve"> </w:t>
      </w:r>
      <w:r>
        <w:t>en</w:t>
      </w:r>
      <w:r w:rsidRPr="005A6F73">
        <w:rPr>
          <w:spacing w:val="-6"/>
        </w:rPr>
        <w:t xml:space="preserve"> </w:t>
      </w:r>
      <w:r>
        <w:t>que</w:t>
      </w:r>
      <w:r w:rsidRPr="005A6F73">
        <w:rPr>
          <w:spacing w:val="-6"/>
        </w:rPr>
        <w:t xml:space="preserve"> </w:t>
      </w:r>
      <w:r>
        <w:t>se encontraban</w:t>
      </w:r>
      <w:r w:rsidRPr="005A6F73">
        <w:rPr>
          <w:spacing w:val="-4"/>
        </w:rPr>
        <w:t xml:space="preserve"> </w:t>
      </w:r>
      <w:r>
        <w:t>al</w:t>
      </w:r>
      <w:r w:rsidRPr="005A6F73">
        <w:rPr>
          <w:spacing w:val="-2"/>
        </w:rPr>
        <w:t xml:space="preserve"> </w:t>
      </w:r>
      <w:r>
        <w:t>momento</w:t>
      </w:r>
      <w:r w:rsidRPr="005A6F73">
        <w:rPr>
          <w:spacing w:val="-4"/>
        </w:rPr>
        <w:t xml:space="preserve"> </w:t>
      </w:r>
      <w:r>
        <w:t>de</w:t>
      </w:r>
      <w:r w:rsidRPr="005A6F73">
        <w:rPr>
          <w:spacing w:val="-2"/>
        </w:rPr>
        <w:t xml:space="preserve"> </w:t>
      </w:r>
      <w:r>
        <w:t>la</w:t>
      </w:r>
      <w:r w:rsidRPr="005A6F73">
        <w:rPr>
          <w:spacing w:val="-2"/>
        </w:rPr>
        <w:t xml:space="preserve"> </w:t>
      </w:r>
      <w:r>
        <w:t>victimización</w:t>
      </w:r>
      <w:r w:rsidRPr="005A6F73">
        <w:rPr>
          <w:spacing w:val="-3"/>
        </w:rPr>
        <w:t xml:space="preserve"> </w:t>
      </w:r>
      <w:r>
        <w:t>y</w:t>
      </w:r>
      <w:r w:rsidRPr="005A6F73">
        <w:rPr>
          <w:spacing w:val="-2"/>
        </w:rPr>
        <w:t xml:space="preserve"> </w:t>
      </w:r>
      <w:r>
        <w:t>sanar</w:t>
      </w:r>
      <w:r w:rsidRPr="005A6F73">
        <w:rPr>
          <w:spacing w:val="-2"/>
        </w:rPr>
        <w:t xml:space="preserve"> </w:t>
      </w:r>
      <w:r>
        <w:t>las</w:t>
      </w:r>
      <w:r w:rsidRPr="005A6F73">
        <w:rPr>
          <w:spacing w:val="-2"/>
        </w:rPr>
        <w:t xml:space="preserve"> </w:t>
      </w:r>
      <w:r>
        <w:t>heridas</w:t>
      </w:r>
      <w:r w:rsidRPr="005A6F73">
        <w:rPr>
          <w:spacing w:val="-2"/>
        </w:rPr>
        <w:t xml:space="preserve"> </w:t>
      </w:r>
      <w:r>
        <w:t>individuales</w:t>
      </w:r>
      <w:r w:rsidRPr="005A6F73">
        <w:rPr>
          <w:spacing w:val="-2"/>
        </w:rPr>
        <w:t xml:space="preserve"> </w:t>
      </w:r>
      <w:r>
        <w:t>y</w:t>
      </w:r>
      <w:r w:rsidRPr="005A6F73">
        <w:rPr>
          <w:spacing w:val="-2"/>
        </w:rPr>
        <w:t xml:space="preserve"> </w:t>
      </w:r>
      <w:r>
        <w:t>las</w:t>
      </w:r>
      <w:r w:rsidRPr="005A6F73">
        <w:rPr>
          <w:spacing w:val="-2"/>
        </w:rPr>
        <w:t xml:space="preserve"> </w:t>
      </w:r>
      <w:r>
        <w:t>de las comunidades y territorios. Continuar con los reconocimientos de responsabilidades</w:t>
      </w:r>
      <w:r w:rsidRPr="005A6F73">
        <w:rPr>
          <w:spacing w:val="-4"/>
        </w:rPr>
        <w:t xml:space="preserve"> </w:t>
      </w:r>
      <w:r>
        <w:t>tanto</w:t>
      </w:r>
      <w:r w:rsidRPr="005A6F73">
        <w:rPr>
          <w:spacing w:val="-4"/>
        </w:rPr>
        <w:t xml:space="preserve"> </w:t>
      </w:r>
      <w:r>
        <w:t>individuales</w:t>
      </w:r>
      <w:r w:rsidRPr="005A6F73">
        <w:rPr>
          <w:spacing w:val="-5"/>
        </w:rPr>
        <w:t xml:space="preserve"> </w:t>
      </w:r>
      <w:r>
        <w:t>como</w:t>
      </w:r>
      <w:r w:rsidRPr="005A6F73">
        <w:rPr>
          <w:spacing w:val="-4"/>
        </w:rPr>
        <w:t xml:space="preserve"> </w:t>
      </w:r>
      <w:r>
        <w:t>institucionales</w:t>
      </w:r>
      <w:r w:rsidRPr="005A6F73">
        <w:rPr>
          <w:spacing w:val="-5"/>
        </w:rPr>
        <w:t xml:space="preserve"> </w:t>
      </w:r>
      <w:r>
        <w:t>iniciados</w:t>
      </w:r>
      <w:r w:rsidRPr="005A6F73">
        <w:rPr>
          <w:spacing w:val="-4"/>
        </w:rPr>
        <w:t xml:space="preserve"> </w:t>
      </w:r>
      <w:r>
        <w:t>por</w:t>
      </w:r>
      <w:r w:rsidRPr="005A6F73">
        <w:rPr>
          <w:spacing w:val="-4"/>
        </w:rPr>
        <w:t xml:space="preserve"> </w:t>
      </w:r>
      <w:r>
        <w:t>la</w:t>
      </w:r>
      <w:r w:rsidRPr="005A6F73">
        <w:rPr>
          <w:spacing w:val="-4"/>
        </w:rPr>
        <w:t xml:space="preserve"> </w:t>
      </w:r>
      <w:r>
        <w:t>Comisión, por parte de los principales responsables, es un elemento fundamental en el proceso de sanación individual y colectivo que debemos emprender como país para avanzar en la reconciliación.</w:t>
      </w:r>
    </w:p>
    <w:p w:rsidR="003804AC" w:rsidRDefault="00AF18A5" w:rsidP="004A6EF4">
      <w:pPr>
        <w:pStyle w:val="Prrafodelista"/>
        <w:numPr>
          <w:ilvl w:val="0"/>
          <w:numId w:val="26"/>
        </w:numPr>
      </w:pPr>
      <w:r>
        <w:t>Construir la paz sobre la base de la implementación integral del Acuerdo Final de Paz, honrando los compromisos asumidos desde el Estado y como una responsabilidad ética de la sociedad colombiana. Esto teniendo en cuenta identificación conjunta de desafíos y prioridades que permitan catapultar la implementación, garantizando el enfoque territorial, étnico y de género.</w:t>
      </w:r>
    </w:p>
    <w:p w:rsidR="003804AC" w:rsidRDefault="00AF18A5" w:rsidP="004A6EF4">
      <w:pPr>
        <w:pStyle w:val="Prrafodelista"/>
        <w:numPr>
          <w:ilvl w:val="0"/>
          <w:numId w:val="26"/>
        </w:numPr>
      </w:pPr>
      <w:r>
        <w:t>Priorizar la solución definitiva a las confrontaciones armadas que persisten a través del diálogo para la negociación y/o el sometimiento a la justicia de los grupos armados ilegales, y en particular retomar la negociación con el ELN de forma efectiva,</w:t>
      </w:r>
      <w:r w:rsidRPr="005A6F73">
        <w:rPr>
          <w:spacing w:val="-5"/>
        </w:rPr>
        <w:t xml:space="preserve"> </w:t>
      </w:r>
      <w:r>
        <w:t>para</w:t>
      </w:r>
      <w:r w:rsidRPr="005A6F73">
        <w:rPr>
          <w:spacing w:val="-4"/>
        </w:rPr>
        <w:t xml:space="preserve"> </w:t>
      </w:r>
      <w:r>
        <w:t>aliviar</w:t>
      </w:r>
      <w:r w:rsidRPr="005A6F73">
        <w:rPr>
          <w:spacing w:val="-4"/>
        </w:rPr>
        <w:t xml:space="preserve"> </w:t>
      </w:r>
      <w:r>
        <w:t>a</w:t>
      </w:r>
      <w:r w:rsidRPr="005A6F73">
        <w:rPr>
          <w:spacing w:val="-4"/>
        </w:rPr>
        <w:t xml:space="preserve"> </w:t>
      </w:r>
      <w:r>
        <w:t>las</w:t>
      </w:r>
      <w:r w:rsidRPr="005A6F73">
        <w:rPr>
          <w:spacing w:val="-4"/>
        </w:rPr>
        <w:t xml:space="preserve"> </w:t>
      </w:r>
      <w:r>
        <w:t>comunidades</w:t>
      </w:r>
      <w:r w:rsidRPr="005A6F73">
        <w:rPr>
          <w:spacing w:val="-4"/>
        </w:rPr>
        <w:t xml:space="preserve"> </w:t>
      </w:r>
      <w:r>
        <w:t>y</w:t>
      </w:r>
      <w:r w:rsidRPr="005A6F73">
        <w:rPr>
          <w:spacing w:val="-4"/>
        </w:rPr>
        <w:t xml:space="preserve"> </w:t>
      </w:r>
      <w:r>
        <w:t>poblaciones</w:t>
      </w:r>
      <w:r w:rsidRPr="005A6F73">
        <w:rPr>
          <w:spacing w:val="-4"/>
        </w:rPr>
        <w:t xml:space="preserve"> </w:t>
      </w:r>
      <w:r>
        <w:t>afectadas</w:t>
      </w:r>
      <w:r w:rsidRPr="005A6F73">
        <w:rPr>
          <w:spacing w:val="-4"/>
        </w:rPr>
        <w:t xml:space="preserve"> </w:t>
      </w:r>
      <w:r>
        <w:t>por</w:t>
      </w:r>
      <w:r w:rsidRPr="005A6F73">
        <w:rPr>
          <w:spacing w:val="-4"/>
        </w:rPr>
        <w:t xml:space="preserve"> </w:t>
      </w:r>
      <w:r>
        <w:t>un</w:t>
      </w:r>
      <w:r w:rsidRPr="005A6F73">
        <w:rPr>
          <w:spacing w:val="-4"/>
        </w:rPr>
        <w:t xml:space="preserve"> </w:t>
      </w:r>
      <w:r>
        <w:lastRenderedPageBreak/>
        <w:t>conflicto</w:t>
      </w:r>
      <w:r w:rsidRPr="005A6F73">
        <w:rPr>
          <w:spacing w:val="-4"/>
        </w:rPr>
        <w:t xml:space="preserve"> </w:t>
      </w:r>
      <w:r>
        <w:t>que se niega a quedar en el pasado y cuyo cese las comunidades y la sociedad reclaman.</w:t>
      </w:r>
    </w:p>
    <w:p w:rsidR="003804AC" w:rsidRDefault="00AF18A5" w:rsidP="004A6EF4">
      <w:pPr>
        <w:pStyle w:val="Prrafodelista"/>
        <w:numPr>
          <w:ilvl w:val="0"/>
          <w:numId w:val="26"/>
        </w:numPr>
      </w:pPr>
      <w:r>
        <w:t>Avanzar</w:t>
      </w:r>
      <w:r w:rsidRPr="005A6F73">
        <w:rPr>
          <w:spacing w:val="-1"/>
        </w:rPr>
        <w:t xml:space="preserve"> </w:t>
      </w:r>
      <w:r>
        <w:t>en</w:t>
      </w:r>
      <w:r w:rsidRPr="005A6F73">
        <w:rPr>
          <w:spacing w:val="-3"/>
        </w:rPr>
        <w:t xml:space="preserve"> </w:t>
      </w:r>
      <w:r>
        <w:t>un</w:t>
      </w:r>
      <w:r w:rsidRPr="005A6F73">
        <w:rPr>
          <w:spacing w:val="-1"/>
        </w:rPr>
        <w:t xml:space="preserve"> </w:t>
      </w:r>
      <w:r>
        <w:t>examen</w:t>
      </w:r>
      <w:r w:rsidRPr="005A6F73">
        <w:rPr>
          <w:spacing w:val="-1"/>
        </w:rPr>
        <w:t xml:space="preserve"> </w:t>
      </w:r>
      <w:r>
        <w:t>crítico</w:t>
      </w:r>
      <w:r w:rsidRPr="005A6F73">
        <w:rPr>
          <w:spacing w:val="-1"/>
        </w:rPr>
        <w:t xml:space="preserve"> </w:t>
      </w:r>
      <w:r>
        <w:t>de</w:t>
      </w:r>
      <w:r w:rsidRPr="005A6F73">
        <w:rPr>
          <w:spacing w:val="-1"/>
        </w:rPr>
        <w:t xml:space="preserve"> </w:t>
      </w:r>
      <w:r>
        <w:t>nuestro</w:t>
      </w:r>
      <w:r w:rsidRPr="005A6F73">
        <w:rPr>
          <w:spacing w:val="-1"/>
        </w:rPr>
        <w:t xml:space="preserve"> </w:t>
      </w:r>
      <w:r>
        <w:t>pasado</w:t>
      </w:r>
      <w:r w:rsidRPr="005A6F73">
        <w:rPr>
          <w:spacing w:val="-2"/>
        </w:rPr>
        <w:t xml:space="preserve"> </w:t>
      </w:r>
      <w:r>
        <w:t>para</w:t>
      </w:r>
      <w:r w:rsidRPr="005A6F73">
        <w:rPr>
          <w:spacing w:val="-1"/>
        </w:rPr>
        <w:t xml:space="preserve"> </w:t>
      </w:r>
      <w:r>
        <w:t>construir</w:t>
      </w:r>
      <w:r w:rsidRPr="005A6F73">
        <w:rPr>
          <w:spacing w:val="-1"/>
        </w:rPr>
        <w:t xml:space="preserve"> </w:t>
      </w:r>
      <w:r>
        <w:t>sobre</w:t>
      </w:r>
      <w:r w:rsidRPr="005A6F73">
        <w:rPr>
          <w:spacing w:val="-2"/>
        </w:rPr>
        <w:t xml:space="preserve"> </w:t>
      </w:r>
      <w:r>
        <w:t>él</w:t>
      </w:r>
      <w:r w:rsidRPr="005A6F73">
        <w:rPr>
          <w:spacing w:val="-1"/>
        </w:rPr>
        <w:t xml:space="preserve"> </w:t>
      </w:r>
      <w:r>
        <w:t>un</w:t>
      </w:r>
      <w:r w:rsidRPr="005A6F73">
        <w:rPr>
          <w:spacing w:val="-1"/>
        </w:rPr>
        <w:t xml:space="preserve"> </w:t>
      </w:r>
      <w:r>
        <w:t>futuro</w:t>
      </w:r>
      <w:r w:rsidRPr="005A6F73">
        <w:rPr>
          <w:spacing w:val="-1"/>
        </w:rPr>
        <w:t xml:space="preserve"> </w:t>
      </w:r>
      <w:r>
        <w:t>en paz.</w:t>
      </w:r>
      <w:r w:rsidRPr="005A6F73">
        <w:rPr>
          <w:spacing w:val="-1"/>
        </w:rPr>
        <w:t xml:space="preserve"> </w:t>
      </w:r>
      <w:r>
        <w:t>Por</w:t>
      </w:r>
      <w:r w:rsidRPr="005A6F73">
        <w:rPr>
          <w:spacing w:val="-1"/>
        </w:rPr>
        <w:t xml:space="preserve"> </w:t>
      </w:r>
      <w:r>
        <w:t>esto,</w:t>
      </w:r>
      <w:r w:rsidRPr="005A6F73">
        <w:rPr>
          <w:spacing w:val="-1"/>
        </w:rPr>
        <w:t xml:space="preserve"> </w:t>
      </w:r>
      <w:r>
        <w:t>necesitamos</w:t>
      </w:r>
      <w:r w:rsidRPr="005A6F73">
        <w:rPr>
          <w:spacing w:val="-1"/>
        </w:rPr>
        <w:t xml:space="preserve"> </w:t>
      </w:r>
      <w:r>
        <w:t>una</w:t>
      </w:r>
      <w:r w:rsidRPr="005A6F73">
        <w:rPr>
          <w:spacing w:val="-1"/>
        </w:rPr>
        <w:t xml:space="preserve"> </w:t>
      </w:r>
      <w:r>
        <w:t>política</w:t>
      </w:r>
      <w:r w:rsidRPr="005A6F73">
        <w:rPr>
          <w:spacing w:val="-1"/>
        </w:rPr>
        <w:t xml:space="preserve"> </w:t>
      </w:r>
      <w:r>
        <w:t>de</w:t>
      </w:r>
      <w:r w:rsidRPr="005A6F73">
        <w:rPr>
          <w:spacing w:val="-1"/>
        </w:rPr>
        <w:t xml:space="preserve"> </w:t>
      </w:r>
      <w:r>
        <w:t>memoria</w:t>
      </w:r>
      <w:r w:rsidRPr="005A6F73">
        <w:rPr>
          <w:spacing w:val="-1"/>
        </w:rPr>
        <w:t xml:space="preserve"> </w:t>
      </w:r>
      <w:r>
        <w:t>y</w:t>
      </w:r>
      <w:r w:rsidRPr="005A6F73">
        <w:rPr>
          <w:spacing w:val="-1"/>
        </w:rPr>
        <w:t xml:space="preserve"> </w:t>
      </w:r>
      <w:r>
        <w:t>verdad</w:t>
      </w:r>
      <w:r w:rsidRPr="005A6F73">
        <w:rPr>
          <w:spacing w:val="-1"/>
        </w:rPr>
        <w:t xml:space="preserve"> </w:t>
      </w:r>
      <w:r>
        <w:t>para</w:t>
      </w:r>
      <w:r w:rsidRPr="005A6F73">
        <w:rPr>
          <w:spacing w:val="-1"/>
        </w:rPr>
        <w:t xml:space="preserve"> </w:t>
      </w:r>
      <w:r>
        <w:t>la</w:t>
      </w:r>
      <w:r w:rsidRPr="005A6F73">
        <w:rPr>
          <w:spacing w:val="-1"/>
        </w:rPr>
        <w:t xml:space="preserve"> </w:t>
      </w:r>
      <w:r>
        <w:t>construcción</w:t>
      </w:r>
      <w:r w:rsidRPr="005A6F73">
        <w:rPr>
          <w:spacing w:val="-1"/>
        </w:rPr>
        <w:t xml:space="preserve"> </w:t>
      </w:r>
      <w:r>
        <w:t>de paz y la no repetición que comprometa al Estado y a la sociedad en su conjunto y aporte al fortalecimiento de valores democráticos. Además, que reconozca, apoye y promueva</w:t>
      </w:r>
      <w:r w:rsidRPr="005A6F73">
        <w:rPr>
          <w:spacing w:val="-1"/>
        </w:rPr>
        <w:t xml:space="preserve"> </w:t>
      </w:r>
      <w:r>
        <w:t>las iniciativas</w:t>
      </w:r>
      <w:r w:rsidRPr="005A6F73">
        <w:rPr>
          <w:spacing w:val="-2"/>
        </w:rPr>
        <w:t xml:space="preserve"> </w:t>
      </w:r>
      <w:r>
        <w:t>de memoria</w:t>
      </w:r>
      <w:r w:rsidRPr="005A6F73">
        <w:rPr>
          <w:spacing w:val="-1"/>
        </w:rPr>
        <w:t xml:space="preserve"> </w:t>
      </w:r>
      <w:r>
        <w:t>de la sociedad civil y</w:t>
      </w:r>
      <w:r w:rsidRPr="005A6F73">
        <w:rPr>
          <w:spacing w:val="-1"/>
        </w:rPr>
        <w:t xml:space="preserve"> </w:t>
      </w:r>
      <w:r>
        <w:t>sus organizaciones como esenciales</w:t>
      </w:r>
      <w:r w:rsidRPr="005A6F73">
        <w:rPr>
          <w:spacing w:val="-10"/>
        </w:rPr>
        <w:t xml:space="preserve"> </w:t>
      </w:r>
      <w:r>
        <w:t>para</w:t>
      </w:r>
      <w:r w:rsidRPr="005A6F73">
        <w:rPr>
          <w:spacing w:val="-10"/>
        </w:rPr>
        <w:t xml:space="preserve"> </w:t>
      </w:r>
      <w:r>
        <w:t>la</w:t>
      </w:r>
      <w:r w:rsidRPr="005A6F73">
        <w:rPr>
          <w:spacing w:val="-10"/>
        </w:rPr>
        <w:t xml:space="preserve"> </w:t>
      </w:r>
      <w:r>
        <w:t>construcción</w:t>
      </w:r>
      <w:r w:rsidRPr="005A6F73">
        <w:rPr>
          <w:spacing w:val="-10"/>
        </w:rPr>
        <w:t xml:space="preserve"> </w:t>
      </w:r>
      <w:r>
        <w:t>de</w:t>
      </w:r>
      <w:r w:rsidRPr="005A6F73">
        <w:rPr>
          <w:spacing w:val="-10"/>
        </w:rPr>
        <w:t xml:space="preserve"> </w:t>
      </w:r>
      <w:r>
        <w:t>una</w:t>
      </w:r>
      <w:r w:rsidRPr="005A6F73">
        <w:rPr>
          <w:spacing w:val="-10"/>
        </w:rPr>
        <w:t xml:space="preserve"> </w:t>
      </w:r>
      <w:r>
        <w:t>memoria</w:t>
      </w:r>
      <w:r w:rsidRPr="005A6F73">
        <w:rPr>
          <w:spacing w:val="-10"/>
        </w:rPr>
        <w:t xml:space="preserve"> </w:t>
      </w:r>
      <w:r>
        <w:t>plural</w:t>
      </w:r>
      <w:r w:rsidRPr="005A6F73">
        <w:rPr>
          <w:spacing w:val="-10"/>
        </w:rPr>
        <w:t xml:space="preserve"> </w:t>
      </w:r>
      <w:r>
        <w:t>y</w:t>
      </w:r>
      <w:r w:rsidRPr="005A6F73">
        <w:rPr>
          <w:spacing w:val="-10"/>
        </w:rPr>
        <w:t xml:space="preserve"> </w:t>
      </w:r>
      <w:r>
        <w:t>democrática;</w:t>
      </w:r>
      <w:r w:rsidRPr="005A6F73">
        <w:rPr>
          <w:spacing w:val="-10"/>
        </w:rPr>
        <w:t xml:space="preserve"> </w:t>
      </w:r>
      <w:r>
        <w:t>y</w:t>
      </w:r>
      <w:r w:rsidRPr="005A6F73">
        <w:rPr>
          <w:spacing w:val="-11"/>
        </w:rPr>
        <w:t xml:space="preserve"> </w:t>
      </w:r>
      <w:r>
        <w:t>que</w:t>
      </w:r>
      <w:r w:rsidRPr="005A6F73">
        <w:rPr>
          <w:spacing w:val="-10"/>
        </w:rPr>
        <w:t xml:space="preserve"> </w:t>
      </w:r>
      <w:r>
        <w:t>garantice</w:t>
      </w:r>
      <w:r w:rsidR="005A6F73">
        <w:t xml:space="preserve"> </w:t>
      </w:r>
      <w:r>
        <w:t>que la institucionalidad responsable tenga la independencia y autonomía necesaria para</w:t>
      </w:r>
      <w:r w:rsidRPr="005A6F73">
        <w:rPr>
          <w:spacing w:val="-1"/>
        </w:rPr>
        <w:t xml:space="preserve"> </w:t>
      </w:r>
      <w:r>
        <w:t>llevar</w:t>
      </w:r>
      <w:r w:rsidRPr="005A6F73">
        <w:rPr>
          <w:spacing w:val="-1"/>
        </w:rPr>
        <w:t xml:space="preserve"> </w:t>
      </w:r>
      <w:r>
        <w:t>a</w:t>
      </w:r>
      <w:r w:rsidRPr="005A6F73">
        <w:rPr>
          <w:spacing w:val="-2"/>
        </w:rPr>
        <w:t xml:space="preserve"> </w:t>
      </w:r>
      <w:r>
        <w:t>cabo</w:t>
      </w:r>
      <w:r w:rsidRPr="005A6F73">
        <w:rPr>
          <w:spacing w:val="-1"/>
        </w:rPr>
        <w:t xml:space="preserve"> </w:t>
      </w:r>
      <w:r>
        <w:t>una</w:t>
      </w:r>
      <w:r w:rsidRPr="005A6F73">
        <w:rPr>
          <w:spacing w:val="-1"/>
        </w:rPr>
        <w:t xml:space="preserve"> </w:t>
      </w:r>
      <w:r>
        <w:t>política</w:t>
      </w:r>
      <w:r w:rsidRPr="005A6F73">
        <w:rPr>
          <w:spacing w:val="-1"/>
        </w:rPr>
        <w:t xml:space="preserve"> </w:t>
      </w:r>
      <w:r>
        <w:t>y</w:t>
      </w:r>
      <w:r w:rsidRPr="005A6F73">
        <w:rPr>
          <w:spacing w:val="-1"/>
        </w:rPr>
        <w:t xml:space="preserve"> </w:t>
      </w:r>
      <w:r>
        <w:t>acción</w:t>
      </w:r>
      <w:r w:rsidRPr="005A6F73">
        <w:rPr>
          <w:spacing w:val="-1"/>
        </w:rPr>
        <w:t xml:space="preserve"> </w:t>
      </w:r>
      <w:r>
        <w:t>decidida</w:t>
      </w:r>
      <w:r w:rsidRPr="005A6F73">
        <w:rPr>
          <w:spacing w:val="-2"/>
        </w:rPr>
        <w:t xml:space="preserve"> </w:t>
      </w:r>
      <w:r>
        <w:t>para</w:t>
      </w:r>
      <w:r w:rsidRPr="005A6F73">
        <w:rPr>
          <w:spacing w:val="-1"/>
        </w:rPr>
        <w:t xml:space="preserve"> </w:t>
      </w:r>
      <w:r>
        <w:t>una</w:t>
      </w:r>
      <w:r w:rsidRPr="005A6F73">
        <w:rPr>
          <w:spacing w:val="-1"/>
        </w:rPr>
        <w:t xml:space="preserve"> </w:t>
      </w:r>
      <w:r>
        <w:t>memoria</w:t>
      </w:r>
      <w:r w:rsidRPr="005A6F73">
        <w:rPr>
          <w:spacing w:val="-1"/>
        </w:rPr>
        <w:t xml:space="preserve"> </w:t>
      </w:r>
      <w:r>
        <w:t>viva</w:t>
      </w:r>
      <w:r w:rsidRPr="005A6F73">
        <w:rPr>
          <w:spacing w:val="-1"/>
        </w:rPr>
        <w:t xml:space="preserve"> </w:t>
      </w:r>
      <w:r>
        <w:t>y</w:t>
      </w:r>
      <w:r w:rsidRPr="005A6F73">
        <w:rPr>
          <w:spacing w:val="-2"/>
        </w:rPr>
        <w:t xml:space="preserve"> </w:t>
      </w:r>
      <w:r>
        <w:t>plural</w:t>
      </w:r>
      <w:r w:rsidRPr="005A6F73">
        <w:rPr>
          <w:spacing w:val="-1"/>
        </w:rPr>
        <w:t xml:space="preserve"> </w:t>
      </w:r>
      <w:r>
        <w:t>que suponga</w:t>
      </w:r>
      <w:r w:rsidRPr="005A6F73">
        <w:rPr>
          <w:spacing w:val="-3"/>
        </w:rPr>
        <w:t xml:space="preserve"> </w:t>
      </w:r>
      <w:r>
        <w:t>una</w:t>
      </w:r>
      <w:r w:rsidRPr="005A6F73">
        <w:rPr>
          <w:spacing w:val="-2"/>
        </w:rPr>
        <w:t xml:space="preserve"> </w:t>
      </w:r>
      <w:r>
        <w:t>ruptura</w:t>
      </w:r>
      <w:r w:rsidRPr="005A6F73">
        <w:rPr>
          <w:spacing w:val="-2"/>
        </w:rPr>
        <w:t xml:space="preserve"> </w:t>
      </w:r>
      <w:r>
        <w:t>con</w:t>
      </w:r>
      <w:r w:rsidRPr="005A6F73">
        <w:rPr>
          <w:spacing w:val="-3"/>
        </w:rPr>
        <w:t xml:space="preserve"> </w:t>
      </w:r>
      <w:r>
        <w:t>el</w:t>
      </w:r>
      <w:r w:rsidRPr="005A6F73">
        <w:rPr>
          <w:spacing w:val="-1"/>
        </w:rPr>
        <w:t xml:space="preserve"> </w:t>
      </w:r>
      <w:r>
        <w:t>pasado</w:t>
      </w:r>
      <w:r w:rsidRPr="005A6F73">
        <w:rPr>
          <w:spacing w:val="-1"/>
        </w:rPr>
        <w:t xml:space="preserve"> </w:t>
      </w:r>
      <w:r>
        <w:t>de</w:t>
      </w:r>
      <w:r w:rsidRPr="005A6F73">
        <w:rPr>
          <w:spacing w:val="-2"/>
        </w:rPr>
        <w:t xml:space="preserve"> </w:t>
      </w:r>
      <w:r>
        <w:t>estigmatización,</w:t>
      </w:r>
      <w:r w:rsidRPr="005A6F73">
        <w:rPr>
          <w:spacing w:val="-1"/>
        </w:rPr>
        <w:t xml:space="preserve"> </w:t>
      </w:r>
      <w:r>
        <w:t>justificación</w:t>
      </w:r>
      <w:r w:rsidRPr="005A6F73">
        <w:rPr>
          <w:spacing w:val="-1"/>
        </w:rPr>
        <w:t xml:space="preserve"> </w:t>
      </w:r>
      <w:r>
        <w:t xml:space="preserve">o </w:t>
      </w:r>
      <w:r w:rsidRPr="005A6F73">
        <w:rPr>
          <w:spacing w:val="-2"/>
        </w:rPr>
        <w:t>negacionismo.</w:t>
      </w:r>
    </w:p>
    <w:p w:rsidR="003804AC" w:rsidRDefault="00AF18A5" w:rsidP="004A6EF4">
      <w:pPr>
        <w:pStyle w:val="Prrafodelista"/>
        <w:numPr>
          <w:ilvl w:val="0"/>
          <w:numId w:val="26"/>
        </w:numPr>
      </w:pPr>
      <w:r>
        <w:t>Replantear el problema del narcotráfico y encontrar los caminos políticos, económicos, éticos y jurídicos de salida en debates de fondo, tanto a nivel nacional como internacional, que permitan avanzar en la regulación del mercado de drogas y superar el prohibicionismo. Lo anterior sobre la base del reconocimiento de la penetración a todos los niveles de los cultura, la política y la economía que ha alcanzado el narcotráfico y de que la guerra contra las drogas y por las drogas ilegalizadas es uno de los principales y más relevantes factores que han facilitado la persistencia</w:t>
      </w:r>
      <w:r w:rsidRPr="005A6F73">
        <w:rPr>
          <w:spacing w:val="-4"/>
        </w:rPr>
        <w:t xml:space="preserve"> </w:t>
      </w:r>
      <w:r>
        <w:t>del</w:t>
      </w:r>
      <w:r w:rsidRPr="005A6F73">
        <w:rPr>
          <w:spacing w:val="-3"/>
        </w:rPr>
        <w:t xml:space="preserve"> </w:t>
      </w:r>
      <w:r>
        <w:t>conflicto</w:t>
      </w:r>
      <w:r w:rsidRPr="005A6F73">
        <w:rPr>
          <w:spacing w:val="-5"/>
        </w:rPr>
        <w:t xml:space="preserve"> </w:t>
      </w:r>
      <w:r>
        <w:t>y</w:t>
      </w:r>
      <w:r w:rsidRPr="005A6F73">
        <w:rPr>
          <w:spacing w:val="-3"/>
        </w:rPr>
        <w:t xml:space="preserve"> </w:t>
      </w:r>
      <w:r>
        <w:t>la</w:t>
      </w:r>
      <w:r w:rsidRPr="005A6F73">
        <w:rPr>
          <w:spacing w:val="-3"/>
        </w:rPr>
        <w:t xml:space="preserve"> </w:t>
      </w:r>
      <w:r>
        <w:t>violencia</w:t>
      </w:r>
      <w:r w:rsidRPr="005A6F73">
        <w:rPr>
          <w:spacing w:val="-3"/>
        </w:rPr>
        <w:t xml:space="preserve"> </w:t>
      </w:r>
      <w:r>
        <w:t>y</w:t>
      </w:r>
      <w:r w:rsidRPr="005A6F73">
        <w:rPr>
          <w:spacing w:val="-3"/>
        </w:rPr>
        <w:t xml:space="preserve"> </w:t>
      </w:r>
      <w:r>
        <w:t>que</w:t>
      </w:r>
      <w:r w:rsidRPr="005A6F73">
        <w:rPr>
          <w:spacing w:val="-3"/>
        </w:rPr>
        <w:t xml:space="preserve"> </w:t>
      </w:r>
      <w:r>
        <w:t>ha</w:t>
      </w:r>
      <w:r w:rsidRPr="005A6F73">
        <w:rPr>
          <w:spacing w:val="-4"/>
        </w:rPr>
        <w:t xml:space="preserve"> </w:t>
      </w:r>
      <w:r>
        <w:t>tenido</w:t>
      </w:r>
      <w:r w:rsidRPr="005A6F73">
        <w:rPr>
          <w:spacing w:val="-3"/>
        </w:rPr>
        <w:t xml:space="preserve"> </w:t>
      </w:r>
      <w:r>
        <w:t>altísimos</w:t>
      </w:r>
      <w:r w:rsidRPr="005A6F73">
        <w:rPr>
          <w:spacing w:val="-3"/>
        </w:rPr>
        <w:t xml:space="preserve"> </w:t>
      </w:r>
      <w:r>
        <w:t>impactos</w:t>
      </w:r>
      <w:r w:rsidRPr="005A6F73">
        <w:rPr>
          <w:spacing w:val="-3"/>
        </w:rPr>
        <w:t xml:space="preserve"> </w:t>
      </w:r>
      <w:r>
        <w:t>negativos a nivel político, económico, social y ambiental, así como frente a los derechos de personas, comunidades y territorios que debemos enfrentar. En lo inmediato, urge adoptar un enfoque de derechos humanos y de salud pública en la política frente al cultivo,</w:t>
      </w:r>
      <w:r w:rsidRPr="005A6F73">
        <w:rPr>
          <w:spacing w:val="-11"/>
        </w:rPr>
        <w:t xml:space="preserve"> </w:t>
      </w:r>
      <w:r>
        <w:t>el</w:t>
      </w:r>
      <w:r w:rsidRPr="005A6F73">
        <w:rPr>
          <w:spacing w:val="-10"/>
        </w:rPr>
        <w:t xml:space="preserve"> </w:t>
      </w:r>
      <w:r>
        <w:t>consumo</w:t>
      </w:r>
      <w:r w:rsidRPr="005A6F73">
        <w:rPr>
          <w:spacing w:val="-11"/>
        </w:rPr>
        <w:t xml:space="preserve"> </w:t>
      </w:r>
      <w:r>
        <w:t>y</w:t>
      </w:r>
      <w:r w:rsidRPr="005A6F73">
        <w:rPr>
          <w:spacing w:val="-11"/>
        </w:rPr>
        <w:t xml:space="preserve"> </w:t>
      </w:r>
      <w:r>
        <w:t>racionalizar</w:t>
      </w:r>
      <w:r w:rsidRPr="005A6F73">
        <w:rPr>
          <w:spacing w:val="-10"/>
        </w:rPr>
        <w:t xml:space="preserve"> </w:t>
      </w:r>
      <w:r>
        <w:t>el</w:t>
      </w:r>
      <w:r w:rsidRPr="005A6F73">
        <w:rPr>
          <w:spacing w:val="-12"/>
        </w:rPr>
        <w:t xml:space="preserve"> </w:t>
      </w:r>
      <w:r>
        <w:t>uso</w:t>
      </w:r>
      <w:r w:rsidRPr="005A6F73">
        <w:rPr>
          <w:spacing w:val="-11"/>
        </w:rPr>
        <w:t xml:space="preserve"> </w:t>
      </w:r>
      <w:r>
        <w:t>de</w:t>
      </w:r>
      <w:r w:rsidRPr="005A6F73">
        <w:rPr>
          <w:spacing w:val="-11"/>
        </w:rPr>
        <w:t xml:space="preserve"> </w:t>
      </w:r>
      <w:r>
        <w:t>la</w:t>
      </w:r>
      <w:r w:rsidRPr="005A6F73">
        <w:rPr>
          <w:spacing w:val="-11"/>
        </w:rPr>
        <w:t xml:space="preserve"> </w:t>
      </w:r>
      <w:r>
        <w:t>acción</w:t>
      </w:r>
      <w:r w:rsidRPr="005A6F73">
        <w:rPr>
          <w:spacing w:val="-11"/>
        </w:rPr>
        <w:t xml:space="preserve"> </w:t>
      </w:r>
      <w:r>
        <w:t>penal</w:t>
      </w:r>
      <w:r w:rsidRPr="005A6F73">
        <w:rPr>
          <w:spacing w:val="-10"/>
        </w:rPr>
        <w:t xml:space="preserve"> </w:t>
      </w:r>
      <w:r>
        <w:lastRenderedPageBreak/>
        <w:t>frente</w:t>
      </w:r>
      <w:r w:rsidRPr="005A6F73">
        <w:rPr>
          <w:spacing w:val="-11"/>
        </w:rPr>
        <w:t xml:space="preserve"> </w:t>
      </w:r>
      <w:r>
        <w:t>a</w:t>
      </w:r>
      <w:r w:rsidRPr="005A6F73">
        <w:rPr>
          <w:spacing w:val="-11"/>
        </w:rPr>
        <w:t xml:space="preserve"> </w:t>
      </w:r>
      <w:r>
        <w:t>los</w:t>
      </w:r>
      <w:r w:rsidRPr="005A6F73">
        <w:rPr>
          <w:spacing w:val="-11"/>
        </w:rPr>
        <w:t xml:space="preserve"> </w:t>
      </w:r>
      <w:r>
        <w:t>eslabones</w:t>
      </w:r>
      <w:r w:rsidRPr="005A6F73">
        <w:rPr>
          <w:spacing w:val="-11"/>
        </w:rPr>
        <w:t xml:space="preserve"> </w:t>
      </w:r>
      <w:r>
        <w:t>más débiles de la cadena que permita, entre otros, superar problemas estructurales de pobreza, exclusión y estigmatización. Y poner en marcha una propuesta hacia la regulación</w:t>
      </w:r>
      <w:r w:rsidRPr="005A6F73">
        <w:rPr>
          <w:spacing w:val="-1"/>
        </w:rPr>
        <w:t xml:space="preserve"> </w:t>
      </w:r>
      <w:r>
        <w:t>rigurosa</w:t>
      </w:r>
      <w:r w:rsidRPr="005A6F73">
        <w:rPr>
          <w:spacing w:val="-1"/>
        </w:rPr>
        <w:t xml:space="preserve"> </w:t>
      </w:r>
      <w:r>
        <w:t>del</w:t>
      </w:r>
      <w:r w:rsidRPr="005A6F73">
        <w:rPr>
          <w:spacing w:val="-2"/>
        </w:rPr>
        <w:t xml:space="preserve"> </w:t>
      </w:r>
      <w:r>
        <w:t>mercado</w:t>
      </w:r>
      <w:r w:rsidRPr="005A6F73">
        <w:rPr>
          <w:spacing w:val="-1"/>
        </w:rPr>
        <w:t xml:space="preserve"> </w:t>
      </w:r>
      <w:r>
        <w:t>y</w:t>
      </w:r>
      <w:r w:rsidRPr="005A6F73">
        <w:rPr>
          <w:spacing w:val="-1"/>
        </w:rPr>
        <w:t xml:space="preserve"> </w:t>
      </w:r>
      <w:r>
        <w:t>el</w:t>
      </w:r>
      <w:r w:rsidRPr="005A6F73">
        <w:rPr>
          <w:spacing w:val="-1"/>
        </w:rPr>
        <w:t xml:space="preserve"> </w:t>
      </w:r>
      <w:r>
        <w:t>consumo</w:t>
      </w:r>
      <w:r w:rsidRPr="005A6F73">
        <w:rPr>
          <w:spacing w:val="-1"/>
        </w:rPr>
        <w:t xml:space="preserve"> </w:t>
      </w:r>
      <w:r>
        <w:t>bajo</w:t>
      </w:r>
      <w:r w:rsidRPr="005A6F73">
        <w:rPr>
          <w:spacing w:val="-1"/>
        </w:rPr>
        <w:t xml:space="preserve"> </w:t>
      </w:r>
      <w:r>
        <w:t>control</w:t>
      </w:r>
      <w:r w:rsidRPr="005A6F73">
        <w:rPr>
          <w:spacing w:val="-2"/>
        </w:rPr>
        <w:t xml:space="preserve"> </w:t>
      </w:r>
      <w:r>
        <w:t>estatal</w:t>
      </w:r>
      <w:r w:rsidRPr="005A6F73">
        <w:rPr>
          <w:spacing w:val="-1"/>
        </w:rPr>
        <w:t xml:space="preserve"> </w:t>
      </w:r>
      <w:r>
        <w:t>e</w:t>
      </w:r>
      <w:r w:rsidRPr="005A6F73">
        <w:rPr>
          <w:spacing w:val="-2"/>
        </w:rPr>
        <w:t xml:space="preserve"> </w:t>
      </w:r>
      <w:r>
        <w:t>internacional</w:t>
      </w:r>
      <w:r w:rsidRPr="005A6F73">
        <w:rPr>
          <w:spacing w:val="-1"/>
        </w:rPr>
        <w:t xml:space="preserve"> </w:t>
      </w:r>
      <w:r>
        <w:t>en un</w:t>
      </w:r>
      <w:r w:rsidRPr="005A6F73">
        <w:rPr>
          <w:spacing w:val="-2"/>
        </w:rPr>
        <w:t xml:space="preserve"> </w:t>
      </w:r>
      <w:r>
        <w:t>proceso</w:t>
      </w:r>
      <w:r w:rsidRPr="005A6F73">
        <w:rPr>
          <w:spacing w:val="-2"/>
        </w:rPr>
        <w:t xml:space="preserve"> </w:t>
      </w:r>
      <w:r>
        <w:t>en</w:t>
      </w:r>
      <w:r w:rsidRPr="005A6F73">
        <w:rPr>
          <w:spacing w:val="-2"/>
        </w:rPr>
        <w:t xml:space="preserve"> </w:t>
      </w:r>
      <w:r>
        <w:t>que</w:t>
      </w:r>
      <w:r w:rsidRPr="005A6F73">
        <w:rPr>
          <w:spacing w:val="-2"/>
        </w:rPr>
        <w:t xml:space="preserve"> </w:t>
      </w:r>
      <w:r>
        <w:t>Colombia</w:t>
      </w:r>
      <w:r w:rsidRPr="005A6F73">
        <w:rPr>
          <w:spacing w:val="-2"/>
        </w:rPr>
        <w:t xml:space="preserve"> </w:t>
      </w:r>
      <w:r>
        <w:t>puede</w:t>
      </w:r>
      <w:r w:rsidRPr="005A6F73">
        <w:rPr>
          <w:spacing w:val="-3"/>
        </w:rPr>
        <w:t xml:space="preserve"> </w:t>
      </w:r>
      <w:r>
        <w:t>y</w:t>
      </w:r>
      <w:r w:rsidRPr="005A6F73">
        <w:rPr>
          <w:spacing w:val="-2"/>
        </w:rPr>
        <w:t xml:space="preserve"> </w:t>
      </w:r>
      <w:r>
        <w:t>debe</w:t>
      </w:r>
      <w:r w:rsidRPr="005A6F73">
        <w:rPr>
          <w:spacing w:val="-2"/>
        </w:rPr>
        <w:t xml:space="preserve"> </w:t>
      </w:r>
      <w:r>
        <w:t>jugar</w:t>
      </w:r>
      <w:r w:rsidRPr="005A6F73">
        <w:rPr>
          <w:spacing w:val="-3"/>
        </w:rPr>
        <w:t xml:space="preserve"> </w:t>
      </w:r>
      <w:r>
        <w:t>un</w:t>
      </w:r>
      <w:r w:rsidRPr="005A6F73">
        <w:rPr>
          <w:spacing w:val="-2"/>
        </w:rPr>
        <w:t xml:space="preserve"> </w:t>
      </w:r>
      <w:r>
        <w:t>papel</w:t>
      </w:r>
      <w:r w:rsidRPr="005A6F73">
        <w:rPr>
          <w:spacing w:val="-2"/>
        </w:rPr>
        <w:t xml:space="preserve"> </w:t>
      </w:r>
      <w:r>
        <w:t>de</w:t>
      </w:r>
      <w:r w:rsidRPr="005A6F73">
        <w:rPr>
          <w:spacing w:val="-3"/>
        </w:rPr>
        <w:t xml:space="preserve"> </w:t>
      </w:r>
      <w:r>
        <w:t>inspiración</w:t>
      </w:r>
      <w:r w:rsidRPr="005A6F73">
        <w:rPr>
          <w:spacing w:val="-4"/>
        </w:rPr>
        <w:t xml:space="preserve"> </w:t>
      </w:r>
      <w:r>
        <w:t>y</w:t>
      </w:r>
      <w:r w:rsidRPr="005A6F73">
        <w:rPr>
          <w:spacing w:val="-2"/>
        </w:rPr>
        <w:t xml:space="preserve"> </w:t>
      </w:r>
      <w:r>
        <w:t>liderazgo.</w:t>
      </w:r>
    </w:p>
    <w:p w:rsidR="003804AC" w:rsidRDefault="00AF18A5" w:rsidP="004A6EF4">
      <w:pPr>
        <w:pStyle w:val="Prrafodelista"/>
        <w:numPr>
          <w:ilvl w:val="0"/>
          <w:numId w:val="26"/>
        </w:numPr>
      </w:pPr>
      <w:r>
        <w:t>Fortalecer y desarrollar mecanismos de investigación que le permitan al Estado y la sociedad conocer a profundidad el sistema de relaciones, alianzas e intereses involucrados</w:t>
      </w:r>
      <w:r w:rsidRPr="005A6F73">
        <w:rPr>
          <w:spacing w:val="-15"/>
        </w:rPr>
        <w:t xml:space="preserve"> </w:t>
      </w:r>
      <w:r>
        <w:t>en</w:t>
      </w:r>
      <w:r w:rsidRPr="005A6F73">
        <w:rPr>
          <w:spacing w:val="-15"/>
        </w:rPr>
        <w:t xml:space="preserve"> </w:t>
      </w:r>
      <w:r>
        <w:t>el</w:t>
      </w:r>
      <w:r w:rsidRPr="005A6F73">
        <w:rPr>
          <w:spacing w:val="-15"/>
        </w:rPr>
        <w:t xml:space="preserve"> </w:t>
      </w:r>
      <w:r>
        <w:t>narcotráfico</w:t>
      </w:r>
      <w:r w:rsidRPr="005A6F73">
        <w:rPr>
          <w:spacing w:val="-15"/>
        </w:rPr>
        <w:t xml:space="preserve"> </w:t>
      </w:r>
      <w:r>
        <w:t>y</w:t>
      </w:r>
      <w:r w:rsidRPr="005A6F73">
        <w:rPr>
          <w:spacing w:val="-15"/>
        </w:rPr>
        <w:t xml:space="preserve"> </w:t>
      </w:r>
      <w:r>
        <w:t>entramados</w:t>
      </w:r>
      <w:r w:rsidRPr="005A6F73">
        <w:rPr>
          <w:spacing w:val="-15"/>
        </w:rPr>
        <w:t xml:space="preserve"> </w:t>
      </w:r>
      <w:r>
        <w:t>de</w:t>
      </w:r>
      <w:r w:rsidRPr="005A6F73">
        <w:rPr>
          <w:spacing w:val="-15"/>
        </w:rPr>
        <w:t xml:space="preserve"> </w:t>
      </w:r>
      <w:r>
        <w:t>la</w:t>
      </w:r>
      <w:r w:rsidRPr="005A6F73">
        <w:rPr>
          <w:spacing w:val="-15"/>
        </w:rPr>
        <w:t xml:space="preserve"> </w:t>
      </w:r>
      <w:r>
        <w:t>violencia.</w:t>
      </w:r>
      <w:r w:rsidRPr="005A6F73">
        <w:rPr>
          <w:spacing w:val="-15"/>
        </w:rPr>
        <w:t xml:space="preserve"> </w:t>
      </w:r>
      <w:r>
        <w:t>Estos</w:t>
      </w:r>
      <w:r w:rsidRPr="005A6F73">
        <w:rPr>
          <w:spacing w:val="-15"/>
        </w:rPr>
        <w:t xml:space="preserve"> </w:t>
      </w:r>
      <w:r>
        <w:t>mecanismos</w:t>
      </w:r>
      <w:r w:rsidRPr="005A6F73">
        <w:rPr>
          <w:spacing w:val="-15"/>
        </w:rPr>
        <w:t xml:space="preserve"> </w:t>
      </w:r>
      <w:r>
        <w:t>pasan por la investigación y judicialización de los entramados políticos, financieros y armados que lo hacen posible y por alternativas de sometimiento de las organizaciones armadas y sus redes de apoyo que faciliten su contribución a la verdad,</w:t>
      </w:r>
      <w:r w:rsidRPr="005A6F73">
        <w:rPr>
          <w:spacing w:val="-13"/>
        </w:rPr>
        <w:t xml:space="preserve"> </w:t>
      </w:r>
      <w:r>
        <w:t>la</w:t>
      </w:r>
      <w:r w:rsidRPr="005A6F73">
        <w:rPr>
          <w:spacing w:val="-13"/>
        </w:rPr>
        <w:t xml:space="preserve"> </w:t>
      </w:r>
      <w:r>
        <w:t>reparación</w:t>
      </w:r>
      <w:r w:rsidRPr="005A6F73">
        <w:rPr>
          <w:spacing w:val="-13"/>
        </w:rPr>
        <w:t xml:space="preserve"> </w:t>
      </w:r>
      <w:r>
        <w:t>y</w:t>
      </w:r>
      <w:r w:rsidRPr="005A6F73">
        <w:rPr>
          <w:spacing w:val="-13"/>
        </w:rPr>
        <w:t xml:space="preserve"> </w:t>
      </w:r>
      <w:r>
        <w:t>la</w:t>
      </w:r>
      <w:r w:rsidRPr="005A6F73">
        <w:rPr>
          <w:spacing w:val="-13"/>
        </w:rPr>
        <w:t xml:space="preserve"> </w:t>
      </w:r>
      <w:r>
        <w:t>no</w:t>
      </w:r>
      <w:r w:rsidRPr="005A6F73">
        <w:rPr>
          <w:spacing w:val="-13"/>
        </w:rPr>
        <w:t xml:space="preserve"> </w:t>
      </w:r>
      <w:r>
        <w:t>repetición.</w:t>
      </w:r>
      <w:r w:rsidRPr="005A6F73">
        <w:rPr>
          <w:spacing w:val="-13"/>
        </w:rPr>
        <w:t xml:space="preserve"> </w:t>
      </w:r>
      <w:r>
        <w:t>Para</w:t>
      </w:r>
      <w:r w:rsidRPr="005A6F73">
        <w:rPr>
          <w:spacing w:val="-13"/>
        </w:rPr>
        <w:t xml:space="preserve"> </w:t>
      </w:r>
      <w:r>
        <w:t>esto</w:t>
      </w:r>
      <w:r w:rsidRPr="005A6F73">
        <w:rPr>
          <w:spacing w:val="-13"/>
        </w:rPr>
        <w:t xml:space="preserve"> </w:t>
      </w:r>
      <w:r>
        <w:t>es</w:t>
      </w:r>
      <w:r w:rsidRPr="005A6F73">
        <w:rPr>
          <w:spacing w:val="-13"/>
        </w:rPr>
        <w:t xml:space="preserve"> </w:t>
      </w:r>
      <w:r>
        <w:t>fundamental</w:t>
      </w:r>
      <w:r w:rsidRPr="005A6F73">
        <w:rPr>
          <w:spacing w:val="-13"/>
        </w:rPr>
        <w:t xml:space="preserve"> </w:t>
      </w:r>
      <w:r>
        <w:t>fortalecer</w:t>
      </w:r>
      <w:r w:rsidRPr="005A6F73">
        <w:rPr>
          <w:spacing w:val="-13"/>
        </w:rPr>
        <w:t xml:space="preserve"> </w:t>
      </w:r>
      <w:r>
        <w:t>la</w:t>
      </w:r>
      <w:r w:rsidRPr="005A6F73">
        <w:rPr>
          <w:spacing w:val="-13"/>
        </w:rPr>
        <w:t xml:space="preserve"> </w:t>
      </w:r>
      <w:r>
        <w:t>Unidad Especial de Investigación (UEI) de la Fiscalía mediante un mecanismo mixto (nacional e internacional) que investigue y esclarezca la verdad del narcotráfico; y</w:t>
      </w:r>
      <w:r w:rsidR="00E96B85">
        <w:t xml:space="preserve"> </w:t>
      </w:r>
      <w:r>
        <w:t>garantizar</w:t>
      </w:r>
      <w:r w:rsidRPr="00E96B85">
        <w:rPr>
          <w:spacing w:val="-11"/>
        </w:rPr>
        <w:t xml:space="preserve"> </w:t>
      </w:r>
      <w:r>
        <w:t>la</w:t>
      </w:r>
      <w:r w:rsidRPr="00E96B85">
        <w:rPr>
          <w:spacing w:val="-11"/>
        </w:rPr>
        <w:t xml:space="preserve"> </w:t>
      </w:r>
      <w:r>
        <w:t>permanencia</w:t>
      </w:r>
      <w:r w:rsidRPr="00E96B85">
        <w:rPr>
          <w:spacing w:val="-10"/>
        </w:rPr>
        <w:t xml:space="preserve"> </w:t>
      </w:r>
      <w:r>
        <w:t>en</w:t>
      </w:r>
      <w:r w:rsidRPr="00E96B85">
        <w:rPr>
          <w:spacing w:val="-10"/>
        </w:rPr>
        <w:t xml:space="preserve"> </w:t>
      </w:r>
      <w:r>
        <w:t>Colombia</w:t>
      </w:r>
      <w:r w:rsidRPr="00E96B85">
        <w:rPr>
          <w:spacing w:val="-10"/>
        </w:rPr>
        <w:t xml:space="preserve"> </w:t>
      </w:r>
      <w:r>
        <w:t>de</w:t>
      </w:r>
      <w:r w:rsidRPr="00E96B85">
        <w:rPr>
          <w:spacing w:val="-11"/>
        </w:rPr>
        <w:t xml:space="preserve"> </w:t>
      </w:r>
      <w:r>
        <w:t>las</w:t>
      </w:r>
      <w:r w:rsidRPr="00E96B85">
        <w:rPr>
          <w:spacing w:val="-10"/>
        </w:rPr>
        <w:t xml:space="preserve"> </w:t>
      </w:r>
      <w:r>
        <w:t>personas</w:t>
      </w:r>
      <w:r w:rsidRPr="00E96B85">
        <w:rPr>
          <w:spacing w:val="-10"/>
        </w:rPr>
        <w:t xml:space="preserve"> </w:t>
      </w:r>
      <w:r>
        <w:t>solicitadas</w:t>
      </w:r>
      <w:r w:rsidRPr="00E96B85">
        <w:rPr>
          <w:spacing w:val="-10"/>
        </w:rPr>
        <w:t xml:space="preserve"> </w:t>
      </w:r>
      <w:r>
        <w:t>en</w:t>
      </w:r>
      <w:r w:rsidRPr="00E96B85">
        <w:rPr>
          <w:spacing w:val="-12"/>
        </w:rPr>
        <w:t xml:space="preserve"> </w:t>
      </w:r>
      <w:r>
        <w:t>extradición</w:t>
      </w:r>
      <w:r w:rsidRPr="00E96B85">
        <w:rPr>
          <w:spacing w:val="-12"/>
        </w:rPr>
        <w:t xml:space="preserve"> </w:t>
      </w:r>
      <w:r>
        <w:t>que puedan aportar verdad y contribuir a la satisfacción de los derechos de las víctimas.</w:t>
      </w:r>
    </w:p>
    <w:p w:rsidR="003804AC" w:rsidRDefault="00AF18A5" w:rsidP="004A6EF4">
      <w:pPr>
        <w:pStyle w:val="Prrafodelista"/>
        <w:numPr>
          <w:ilvl w:val="0"/>
          <w:numId w:val="26"/>
        </w:numPr>
      </w:pPr>
      <w:r w:rsidRPr="00E96B85">
        <w:rPr>
          <w:spacing w:val="-2"/>
        </w:rPr>
        <w:t>Recuperar</w:t>
      </w:r>
      <w:r w:rsidRPr="00E96B85">
        <w:rPr>
          <w:spacing w:val="-6"/>
        </w:rPr>
        <w:t xml:space="preserve"> </w:t>
      </w:r>
      <w:r w:rsidRPr="00E96B85">
        <w:rPr>
          <w:spacing w:val="-2"/>
        </w:rPr>
        <w:t>el</w:t>
      </w:r>
      <w:r w:rsidRPr="00E96B85">
        <w:rPr>
          <w:spacing w:val="-6"/>
        </w:rPr>
        <w:t xml:space="preserve"> </w:t>
      </w:r>
      <w:r w:rsidRPr="00E96B85">
        <w:rPr>
          <w:spacing w:val="-2"/>
        </w:rPr>
        <w:t>valor</w:t>
      </w:r>
      <w:r w:rsidRPr="00E96B85">
        <w:rPr>
          <w:spacing w:val="-6"/>
        </w:rPr>
        <w:t xml:space="preserve"> </w:t>
      </w:r>
      <w:r w:rsidRPr="00E96B85">
        <w:rPr>
          <w:spacing w:val="-2"/>
        </w:rPr>
        <w:t>de</w:t>
      </w:r>
      <w:r w:rsidRPr="00E96B85">
        <w:rPr>
          <w:spacing w:val="-6"/>
        </w:rPr>
        <w:t xml:space="preserve"> </w:t>
      </w:r>
      <w:r w:rsidRPr="00E96B85">
        <w:rPr>
          <w:spacing w:val="-2"/>
        </w:rPr>
        <w:t>la</w:t>
      </w:r>
      <w:r w:rsidRPr="00E96B85">
        <w:rPr>
          <w:spacing w:val="-6"/>
        </w:rPr>
        <w:t xml:space="preserve"> </w:t>
      </w:r>
      <w:r w:rsidRPr="00E96B85">
        <w:rPr>
          <w:spacing w:val="-2"/>
        </w:rPr>
        <w:t>justicia</w:t>
      </w:r>
      <w:r w:rsidRPr="00E96B85">
        <w:rPr>
          <w:spacing w:val="-5"/>
        </w:rPr>
        <w:t xml:space="preserve"> </w:t>
      </w:r>
      <w:r w:rsidRPr="00E96B85">
        <w:rPr>
          <w:spacing w:val="-2"/>
        </w:rPr>
        <w:t>para</w:t>
      </w:r>
      <w:r w:rsidRPr="00E96B85">
        <w:rPr>
          <w:spacing w:val="-6"/>
        </w:rPr>
        <w:t xml:space="preserve"> </w:t>
      </w:r>
      <w:r w:rsidRPr="00E96B85">
        <w:rPr>
          <w:spacing w:val="-2"/>
        </w:rPr>
        <w:t>reivindicar</w:t>
      </w:r>
      <w:r w:rsidRPr="00E96B85">
        <w:rPr>
          <w:spacing w:val="-6"/>
        </w:rPr>
        <w:t xml:space="preserve"> </w:t>
      </w:r>
      <w:r w:rsidRPr="00E96B85">
        <w:rPr>
          <w:spacing w:val="-2"/>
        </w:rPr>
        <w:t>la</w:t>
      </w:r>
      <w:r w:rsidRPr="00E96B85">
        <w:rPr>
          <w:spacing w:val="-7"/>
        </w:rPr>
        <w:t xml:space="preserve"> </w:t>
      </w:r>
      <w:r w:rsidRPr="00E96B85">
        <w:rPr>
          <w:spacing w:val="-2"/>
        </w:rPr>
        <w:t>legalidad,</w:t>
      </w:r>
      <w:r w:rsidRPr="00E96B85">
        <w:rPr>
          <w:spacing w:val="-5"/>
        </w:rPr>
        <w:t xml:space="preserve"> </w:t>
      </w:r>
      <w:r w:rsidRPr="00E96B85">
        <w:rPr>
          <w:spacing w:val="-2"/>
        </w:rPr>
        <w:t>promover</w:t>
      </w:r>
      <w:r w:rsidRPr="00E96B85">
        <w:rPr>
          <w:spacing w:val="-6"/>
        </w:rPr>
        <w:t xml:space="preserve"> </w:t>
      </w:r>
      <w:r w:rsidRPr="00E96B85">
        <w:rPr>
          <w:spacing w:val="-2"/>
        </w:rPr>
        <w:t>la</w:t>
      </w:r>
      <w:r w:rsidRPr="00E96B85">
        <w:rPr>
          <w:spacing w:val="-6"/>
        </w:rPr>
        <w:t xml:space="preserve"> </w:t>
      </w:r>
      <w:r w:rsidRPr="00E96B85">
        <w:rPr>
          <w:spacing w:val="-2"/>
        </w:rPr>
        <w:t xml:space="preserve">convivencia </w:t>
      </w:r>
      <w:r>
        <w:t>pacífica, contribuir a la satisfacción de los derechos de las víctimas y reconstruir la confianza en el Estado. En este sentido, ante la persistencia de la violencia causada por</w:t>
      </w:r>
      <w:r w:rsidRPr="00E96B85">
        <w:rPr>
          <w:spacing w:val="-15"/>
        </w:rPr>
        <w:t xml:space="preserve"> </w:t>
      </w:r>
      <w:r>
        <w:t>grupos</w:t>
      </w:r>
      <w:r w:rsidRPr="00E96B85">
        <w:rPr>
          <w:spacing w:val="-15"/>
        </w:rPr>
        <w:t xml:space="preserve"> </w:t>
      </w:r>
      <w:r>
        <w:t>armados</w:t>
      </w:r>
      <w:r w:rsidRPr="00E96B85">
        <w:rPr>
          <w:spacing w:val="-15"/>
        </w:rPr>
        <w:t xml:space="preserve"> </w:t>
      </w:r>
      <w:r>
        <w:t>y</w:t>
      </w:r>
      <w:r w:rsidRPr="00E96B85">
        <w:rPr>
          <w:spacing w:val="-15"/>
        </w:rPr>
        <w:t xml:space="preserve"> </w:t>
      </w:r>
      <w:r>
        <w:t>el</w:t>
      </w:r>
      <w:r w:rsidRPr="00E96B85">
        <w:rPr>
          <w:spacing w:val="-15"/>
        </w:rPr>
        <w:t xml:space="preserve"> </w:t>
      </w:r>
      <w:r>
        <w:t>impacto</w:t>
      </w:r>
      <w:r w:rsidRPr="00E96B85">
        <w:rPr>
          <w:spacing w:val="-15"/>
        </w:rPr>
        <w:t xml:space="preserve"> </w:t>
      </w:r>
      <w:r>
        <w:t>de</w:t>
      </w:r>
      <w:r w:rsidRPr="00E96B85">
        <w:rPr>
          <w:spacing w:val="-15"/>
        </w:rPr>
        <w:t xml:space="preserve"> </w:t>
      </w:r>
      <w:r>
        <w:t>la</w:t>
      </w:r>
      <w:r w:rsidRPr="00E96B85">
        <w:rPr>
          <w:spacing w:val="-15"/>
        </w:rPr>
        <w:t xml:space="preserve"> </w:t>
      </w:r>
      <w:r>
        <w:t>impunidad,</w:t>
      </w:r>
      <w:r w:rsidRPr="00E96B85">
        <w:rPr>
          <w:spacing w:val="-15"/>
        </w:rPr>
        <w:t xml:space="preserve"> </w:t>
      </w:r>
      <w:r>
        <w:t>se</w:t>
      </w:r>
      <w:r w:rsidRPr="00E96B85">
        <w:rPr>
          <w:spacing w:val="-15"/>
        </w:rPr>
        <w:t xml:space="preserve"> </w:t>
      </w:r>
      <w:r>
        <w:t>requiere</w:t>
      </w:r>
      <w:r w:rsidRPr="00E96B85">
        <w:rPr>
          <w:spacing w:val="-15"/>
        </w:rPr>
        <w:t xml:space="preserve"> </w:t>
      </w:r>
      <w:r>
        <w:t>mejorar</w:t>
      </w:r>
      <w:r w:rsidRPr="00E96B85">
        <w:rPr>
          <w:spacing w:val="-15"/>
        </w:rPr>
        <w:t xml:space="preserve"> </w:t>
      </w:r>
      <w:r>
        <w:t>las</w:t>
      </w:r>
      <w:r w:rsidRPr="00E96B85">
        <w:rPr>
          <w:spacing w:val="-15"/>
        </w:rPr>
        <w:t xml:space="preserve"> </w:t>
      </w:r>
      <w:r>
        <w:t>capacidades del Estado para: garantizar la imparcialidad e independencia de los entes de investigación y juzgamiento, así como de los organismos de control que deben ser garantía</w:t>
      </w:r>
      <w:r w:rsidRPr="00E96B85">
        <w:rPr>
          <w:spacing w:val="-8"/>
        </w:rPr>
        <w:t xml:space="preserve"> </w:t>
      </w:r>
      <w:r>
        <w:t>y</w:t>
      </w:r>
      <w:r w:rsidRPr="00E96B85">
        <w:rPr>
          <w:spacing w:val="-9"/>
        </w:rPr>
        <w:t xml:space="preserve"> </w:t>
      </w:r>
      <w:r>
        <w:lastRenderedPageBreak/>
        <w:t>compromiso</w:t>
      </w:r>
      <w:r w:rsidRPr="00E96B85">
        <w:rPr>
          <w:spacing w:val="-10"/>
        </w:rPr>
        <w:t xml:space="preserve"> </w:t>
      </w:r>
      <w:r>
        <w:t>con</w:t>
      </w:r>
      <w:r w:rsidRPr="00E96B85">
        <w:rPr>
          <w:spacing w:val="-8"/>
        </w:rPr>
        <w:t xml:space="preserve"> </w:t>
      </w:r>
      <w:r>
        <w:t>el</w:t>
      </w:r>
      <w:r w:rsidRPr="00E96B85">
        <w:rPr>
          <w:spacing w:val="-9"/>
        </w:rPr>
        <w:t xml:space="preserve"> </w:t>
      </w:r>
      <w:r>
        <w:t>necesario</w:t>
      </w:r>
      <w:r w:rsidRPr="00E96B85">
        <w:rPr>
          <w:spacing w:val="-9"/>
        </w:rPr>
        <w:t xml:space="preserve"> </w:t>
      </w:r>
      <w:r>
        <w:t>fortalecimiento</w:t>
      </w:r>
      <w:r w:rsidRPr="00E96B85">
        <w:rPr>
          <w:spacing w:val="-8"/>
        </w:rPr>
        <w:t xml:space="preserve"> </w:t>
      </w:r>
      <w:r>
        <w:t>la</w:t>
      </w:r>
      <w:r w:rsidRPr="00E96B85">
        <w:rPr>
          <w:spacing w:val="-9"/>
        </w:rPr>
        <w:t xml:space="preserve"> </w:t>
      </w:r>
      <w:r>
        <w:t>democracia;</w:t>
      </w:r>
      <w:r w:rsidRPr="00E96B85">
        <w:rPr>
          <w:spacing w:val="-8"/>
        </w:rPr>
        <w:t xml:space="preserve"> </w:t>
      </w:r>
      <w:r>
        <w:t>proteger</w:t>
      </w:r>
      <w:r w:rsidRPr="00E96B85">
        <w:rPr>
          <w:spacing w:val="-9"/>
        </w:rPr>
        <w:t xml:space="preserve"> </w:t>
      </w:r>
      <w:r>
        <w:t>a</w:t>
      </w:r>
      <w:r w:rsidRPr="00E96B85">
        <w:rPr>
          <w:spacing w:val="-9"/>
        </w:rPr>
        <w:t xml:space="preserve"> </w:t>
      </w:r>
      <w:r>
        <w:t>los funcionarios judiciales, a las víctimas y a quienes participen en los procesos; esclarecer la criminalidad organizada y sus entramados de alianzas con diferentes sectores</w:t>
      </w:r>
      <w:r w:rsidRPr="00E96B85">
        <w:rPr>
          <w:spacing w:val="-4"/>
        </w:rPr>
        <w:t xml:space="preserve"> </w:t>
      </w:r>
      <w:r>
        <w:t>económicos,</w:t>
      </w:r>
      <w:r w:rsidRPr="00E96B85">
        <w:rPr>
          <w:spacing w:val="-5"/>
        </w:rPr>
        <w:t xml:space="preserve"> </w:t>
      </w:r>
      <w:r>
        <w:t>políticos</w:t>
      </w:r>
      <w:r w:rsidRPr="00E96B85">
        <w:rPr>
          <w:spacing w:val="-5"/>
        </w:rPr>
        <w:t xml:space="preserve"> </w:t>
      </w:r>
      <w:r>
        <w:t>o</w:t>
      </w:r>
      <w:r w:rsidRPr="00E96B85">
        <w:rPr>
          <w:spacing w:val="-6"/>
        </w:rPr>
        <w:t xml:space="preserve"> </w:t>
      </w:r>
      <w:r>
        <w:t>militares</w:t>
      </w:r>
      <w:r w:rsidRPr="00E96B85">
        <w:rPr>
          <w:spacing w:val="-4"/>
        </w:rPr>
        <w:t xml:space="preserve"> </w:t>
      </w:r>
      <w:r>
        <w:t>que</w:t>
      </w:r>
      <w:r w:rsidRPr="00E96B85">
        <w:rPr>
          <w:spacing w:val="-4"/>
        </w:rPr>
        <w:t xml:space="preserve"> </w:t>
      </w:r>
      <w:r>
        <w:t>ocasiona</w:t>
      </w:r>
      <w:r w:rsidRPr="00E96B85">
        <w:rPr>
          <w:spacing w:val="-4"/>
        </w:rPr>
        <w:t xml:space="preserve"> </w:t>
      </w:r>
      <w:r>
        <w:t>y</w:t>
      </w:r>
      <w:r w:rsidRPr="00E96B85">
        <w:rPr>
          <w:spacing w:val="-5"/>
        </w:rPr>
        <w:t xml:space="preserve"> </w:t>
      </w:r>
      <w:r>
        <w:t>se</w:t>
      </w:r>
      <w:r w:rsidRPr="00E96B85">
        <w:rPr>
          <w:spacing w:val="-6"/>
        </w:rPr>
        <w:t xml:space="preserve"> </w:t>
      </w:r>
      <w:r>
        <w:t>beneficia</w:t>
      </w:r>
      <w:r w:rsidRPr="00E96B85">
        <w:rPr>
          <w:spacing w:val="-4"/>
        </w:rPr>
        <w:t xml:space="preserve"> </w:t>
      </w:r>
      <w:r>
        <w:t>de</w:t>
      </w:r>
      <w:r w:rsidRPr="00E96B85">
        <w:rPr>
          <w:spacing w:val="-6"/>
        </w:rPr>
        <w:t xml:space="preserve"> </w:t>
      </w:r>
      <w:r>
        <w:t>violaciones a los Derechos Humanos e infracciones al Derecho Internacional Humanitario; y sancionar</w:t>
      </w:r>
      <w:r w:rsidRPr="00E96B85">
        <w:rPr>
          <w:spacing w:val="-7"/>
        </w:rPr>
        <w:t xml:space="preserve"> </w:t>
      </w:r>
      <w:r>
        <w:t>a</w:t>
      </w:r>
      <w:r w:rsidRPr="00E96B85">
        <w:rPr>
          <w:spacing w:val="-8"/>
        </w:rPr>
        <w:t xml:space="preserve"> </w:t>
      </w:r>
      <w:r>
        <w:t>los</w:t>
      </w:r>
      <w:r w:rsidRPr="00E96B85">
        <w:rPr>
          <w:spacing w:val="-7"/>
        </w:rPr>
        <w:t xml:space="preserve"> </w:t>
      </w:r>
      <w:r>
        <w:t>responsables,</w:t>
      </w:r>
      <w:r w:rsidRPr="00E96B85">
        <w:rPr>
          <w:spacing w:val="-7"/>
        </w:rPr>
        <w:t xml:space="preserve"> </w:t>
      </w:r>
      <w:r>
        <w:t>sean</w:t>
      </w:r>
      <w:r w:rsidRPr="00E96B85">
        <w:rPr>
          <w:spacing w:val="-7"/>
        </w:rPr>
        <w:t xml:space="preserve"> </w:t>
      </w:r>
      <w:r>
        <w:t>estos</w:t>
      </w:r>
      <w:r w:rsidRPr="00E96B85">
        <w:rPr>
          <w:spacing w:val="-7"/>
        </w:rPr>
        <w:t xml:space="preserve"> </w:t>
      </w:r>
      <w:r>
        <w:t>actores</w:t>
      </w:r>
      <w:r w:rsidRPr="00E96B85">
        <w:rPr>
          <w:spacing w:val="-7"/>
        </w:rPr>
        <w:t xml:space="preserve"> </w:t>
      </w:r>
      <w:r>
        <w:t>privados</w:t>
      </w:r>
      <w:r w:rsidRPr="00E96B85">
        <w:rPr>
          <w:spacing w:val="-8"/>
        </w:rPr>
        <w:t xml:space="preserve"> </w:t>
      </w:r>
      <w:r>
        <w:t>o</w:t>
      </w:r>
      <w:r w:rsidRPr="00E96B85">
        <w:rPr>
          <w:spacing w:val="-7"/>
        </w:rPr>
        <w:t xml:space="preserve"> </w:t>
      </w:r>
      <w:r>
        <w:t>agentes</w:t>
      </w:r>
      <w:r w:rsidRPr="00E96B85">
        <w:rPr>
          <w:spacing w:val="-7"/>
        </w:rPr>
        <w:t xml:space="preserve"> </w:t>
      </w:r>
      <w:r>
        <w:t>del</w:t>
      </w:r>
      <w:r w:rsidRPr="00E96B85">
        <w:rPr>
          <w:spacing w:val="-8"/>
        </w:rPr>
        <w:t xml:space="preserve"> </w:t>
      </w:r>
      <w:r>
        <w:t>Estado;</w:t>
      </w:r>
      <w:r w:rsidRPr="00E96B85">
        <w:rPr>
          <w:spacing w:val="-7"/>
        </w:rPr>
        <w:t xml:space="preserve"> </w:t>
      </w:r>
      <w:r>
        <w:t>y</w:t>
      </w:r>
      <w:r w:rsidRPr="00E96B85">
        <w:rPr>
          <w:spacing w:val="-7"/>
        </w:rPr>
        <w:t xml:space="preserve"> </w:t>
      </w:r>
      <w:r>
        <w:t>para promover el sometimiento a la justicia de miembros de organizaciones criminales.</w:t>
      </w:r>
    </w:p>
    <w:p w:rsidR="003804AC" w:rsidRDefault="00AF18A5" w:rsidP="004A6EF4">
      <w:pPr>
        <w:pStyle w:val="Prrafodelista"/>
        <w:numPr>
          <w:ilvl w:val="0"/>
          <w:numId w:val="26"/>
        </w:numPr>
      </w:pPr>
      <w:r>
        <w:t>Establecer una nueva visión de la seguridad para la construcción de paz, como bien público centrado en las personas, que nos permita superar las lógicas del conflicto armado en el que hemos vivido, cambiar la manera como el Estado entiende y hace presencia en los territorios y reconstruir la confianza sobre la base de diálogos entre los ciudadanos y las</w:t>
      </w:r>
      <w:r w:rsidRPr="00E96B85">
        <w:rPr>
          <w:spacing w:val="-1"/>
        </w:rPr>
        <w:t xml:space="preserve"> </w:t>
      </w:r>
      <w:r>
        <w:t>instituciones, en</w:t>
      </w:r>
      <w:r w:rsidRPr="00E96B85">
        <w:rPr>
          <w:spacing w:val="-1"/>
        </w:rPr>
        <w:t xml:space="preserve"> </w:t>
      </w:r>
      <w:r>
        <w:t>particular la</w:t>
      </w:r>
      <w:r w:rsidRPr="00E96B85">
        <w:rPr>
          <w:spacing w:val="-1"/>
        </w:rPr>
        <w:t xml:space="preserve"> </w:t>
      </w:r>
      <w:r>
        <w:t>fuerza pública, como</w:t>
      </w:r>
      <w:r w:rsidRPr="00E96B85">
        <w:rPr>
          <w:spacing w:val="-1"/>
        </w:rPr>
        <w:t xml:space="preserve"> </w:t>
      </w:r>
      <w:r>
        <w:t>un</w:t>
      </w:r>
      <w:r w:rsidRPr="00E96B85">
        <w:rPr>
          <w:spacing w:val="-1"/>
        </w:rPr>
        <w:t xml:space="preserve"> </w:t>
      </w:r>
      <w:r>
        <w:t>elemento fundamental para la paz territorial y el fortalecimiento institucional. En este marco cobra</w:t>
      </w:r>
      <w:r w:rsidRPr="00E96B85">
        <w:rPr>
          <w:spacing w:val="-2"/>
        </w:rPr>
        <w:t xml:space="preserve"> </w:t>
      </w:r>
      <w:r>
        <w:t>relevancia</w:t>
      </w:r>
      <w:r w:rsidRPr="00E96B85">
        <w:rPr>
          <w:spacing w:val="-2"/>
        </w:rPr>
        <w:t xml:space="preserve"> </w:t>
      </w:r>
      <w:r>
        <w:t>la</w:t>
      </w:r>
      <w:r w:rsidRPr="00E96B85">
        <w:rPr>
          <w:spacing w:val="-2"/>
        </w:rPr>
        <w:t xml:space="preserve"> </w:t>
      </w:r>
      <w:r>
        <w:t>transformación</w:t>
      </w:r>
      <w:r w:rsidRPr="00E96B85">
        <w:rPr>
          <w:spacing w:val="-2"/>
        </w:rPr>
        <w:t xml:space="preserve"> </w:t>
      </w:r>
      <w:r>
        <w:t>del</w:t>
      </w:r>
      <w:r w:rsidRPr="00E96B85">
        <w:rPr>
          <w:spacing w:val="-1"/>
        </w:rPr>
        <w:t xml:space="preserve"> </w:t>
      </w:r>
      <w:r>
        <w:t>sector</w:t>
      </w:r>
      <w:r w:rsidRPr="00E96B85">
        <w:rPr>
          <w:spacing w:val="-1"/>
        </w:rPr>
        <w:t xml:space="preserve"> </w:t>
      </w:r>
      <w:r>
        <w:t>seguridad,</w:t>
      </w:r>
      <w:r w:rsidRPr="00E96B85">
        <w:rPr>
          <w:spacing w:val="-2"/>
        </w:rPr>
        <w:t xml:space="preserve"> </w:t>
      </w:r>
      <w:r>
        <w:t>y</w:t>
      </w:r>
      <w:r w:rsidRPr="00E96B85">
        <w:rPr>
          <w:spacing w:val="-1"/>
        </w:rPr>
        <w:t xml:space="preserve"> </w:t>
      </w:r>
      <w:r>
        <w:t>en</w:t>
      </w:r>
      <w:r w:rsidRPr="00E96B85">
        <w:rPr>
          <w:spacing w:val="-3"/>
        </w:rPr>
        <w:t xml:space="preserve"> </w:t>
      </w:r>
      <w:r>
        <w:t>particular</w:t>
      </w:r>
      <w:r w:rsidRPr="00E96B85">
        <w:rPr>
          <w:spacing w:val="-1"/>
        </w:rPr>
        <w:t xml:space="preserve"> </w:t>
      </w:r>
      <w:r>
        <w:t>del</w:t>
      </w:r>
      <w:r w:rsidRPr="00E96B85">
        <w:rPr>
          <w:spacing w:val="-1"/>
        </w:rPr>
        <w:t xml:space="preserve"> </w:t>
      </w:r>
      <w:r>
        <w:t>papel</w:t>
      </w:r>
      <w:r w:rsidRPr="00E96B85">
        <w:rPr>
          <w:spacing w:val="-1"/>
        </w:rPr>
        <w:t xml:space="preserve"> </w:t>
      </w:r>
      <w:r>
        <w:t>del lugar</w:t>
      </w:r>
      <w:r w:rsidRPr="00E96B85">
        <w:rPr>
          <w:spacing w:val="-1"/>
        </w:rPr>
        <w:t xml:space="preserve"> </w:t>
      </w:r>
      <w:r>
        <w:t>de</w:t>
      </w:r>
      <w:r w:rsidRPr="00E96B85">
        <w:rPr>
          <w:spacing w:val="-1"/>
        </w:rPr>
        <w:t xml:space="preserve"> </w:t>
      </w:r>
      <w:r>
        <w:t>la</w:t>
      </w:r>
      <w:r w:rsidRPr="00E96B85">
        <w:rPr>
          <w:spacing w:val="-1"/>
        </w:rPr>
        <w:t xml:space="preserve"> </w:t>
      </w:r>
      <w:r>
        <w:t>fuerza</w:t>
      </w:r>
      <w:r w:rsidRPr="00E96B85">
        <w:rPr>
          <w:spacing w:val="-1"/>
        </w:rPr>
        <w:t xml:space="preserve"> </w:t>
      </w:r>
      <w:r>
        <w:t>pública</w:t>
      </w:r>
      <w:r w:rsidRPr="00E96B85">
        <w:rPr>
          <w:spacing w:val="-1"/>
        </w:rPr>
        <w:t xml:space="preserve"> </w:t>
      </w:r>
      <w:r>
        <w:t>para</w:t>
      </w:r>
      <w:r w:rsidRPr="00E96B85">
        <w:rPr>
          <w:spacing w:val="-2"/>
        </w:rPr>
        <w:t xml:space="preserve"> </w:t>
      </w:r>
      <w:r>
        <w:t>asegurar</w:t>
      </w:r>
      <w:r w:rsidRPr="00E96B85">
        <w:rPr>
          <w:spacing w:val="-2"/>
        </w:rPr>
        <w:t xml:space="preserve"> </w:t>
      </w:r>
      <w:r>
        <w:t>la</w:t>
      </w:r>
      <w:r w:rsidRPr="00E96B85">
        <w:rPr>
          <w:spacing w:val="-1"/>
        </w:rPr>
        <w:t xml:space="preserve"> </w:t>
      </w:r>
      <w:r>
        <w:t>prevención</w:t>
      </w:r>
      <w:r w:rsidRPr="00E96B85">
        <w:rPr>
          <w:spacing w:val="-1"/>
        </w:rPr>
        <w:t xml:space="preserve"> </w:t>
      </w:r>
      <w:r>
        <w:t>del</w:t>
      </w:r>
      <w:r w:rsidRPr="00E96B85">
        <w:rPr>
          <w:spacing w:val="-1"/>
        </w:rPr>
        <w:t xml:space="preserve"> </w:t>
      </w:r>
      <w:r>
        <w:t>crimen</w:t>
      </w:r>
      <w:r w:rsidRPr="00E96B85">
        <w:rPr>
          <w:spacing w:val="-1"/>
        </w:rPr>
        <w:t xml:space="preserve"> </w:t>
      </w:r>
      <w:r>
        <w:t>y</w:t>
      </w:r>
      <w:r w:rsidRPr="00E96B85">
        <w:rPr>
          <w:spacing w:val="-2"/>
        </w:rPr>
        <w:t xml:space="preserve"> </w:t>
      </w:r>
      <w:r>
        <w:t>las</w:t>
      </w:r>
      <w:r w:rsidRPr="00E96B85">
        <w:rPr>
          <w:spacing w:val="-2"/>
        </w:rPr>
        <w:t xml:space="preserve"> </w:t>
      </w:r>
      <w:r>
        <w:t>exigencias</w:t>
      </w:r>
      <w:r w:rsidRPr="00E96B85">
        <w:rPr>
          <w:spacing w:val="-1"/>
        </w:rPr>
        <w:t xml:space="preserve"> </w:t>
      </w:r>
      <w:r>
        <w:t>de la ley en la protección de la vida y la tranquilidad de las personas empezando por quienes están más expuestos por causa de la pobreza y la exclusión; a partir de una discusión amplia y plural y que se enfoque en garantizar la buena gobernanza institucional de manera que se fortalezcan el direccionamiento y liderazgo civil diferenciando la seguridad y la defensa, los sistemas de supervisión y control tanto político</w:t>
      </w:r>
      <w:r w:rsidRPr="00E96B85">
        <w:rPr>
          <w:spacing w:val="66"/>
        </w:rPr>
        <w:t xml:space="preserve"> </w:t>
      </w:r>
      <w:r>
        <w:t>como</w:t>
      </w:r>
      <w:r w:rsidRPr="00E96B85">
        <w:rPr>
          <w:spacing w:val="68"/>
        </w:rPr>
        <w:t xml:space="preserve"> </w:t>
      </w:r>
      <w:r>
        <w:t>disciplinario</w:t>
      </w:r>
      <w:r w:rsidRPr="00E96B85">
        <w:rPr>
          <w:spacing w:val="66"/>
        </w:rPr>
        <w:t xml:space="preserve"> </w:t>
      </w:r>
      <w:r>
        <w:t>y</w:t>
      </w:r>
      <w:r w:rsidRPr="00E96B85">
        <w:rPr>
          <w:spacing w:val="68"/>
        </w:rPr>
        <w:t xml:space="preserve"> </w:t>
      </w:r>
      <w:r>
        <w:t>penal,</w:t>
      </w:r>
      <w:r w:rsidRPr="00E96B85">
        <w:rPr>
          <w:spacing w:val="66"/>
        </w:rPr>
        <w:t xml:space="preserve"> </w:t>
      </w:r>
      <w:r>
        <w:t>la</w:t>
      </w:r>
      <w:r w:rsidRPr="00E96B85">
        <w:rPr>
          <w:spacing w:val="67"/>
        </w:rPr>
        <w:t xml:space="preserve"> </w:t>
      </w:r>
      <w:r>
        <w:t>cultura</w:t>
      </w:r>
      <w:r w:rsidRPr="00E96B85">
        <w:rPr>
          <w:spacing w:val="68"/>
        </w:rPr>
        <w:t xml:space="preserve"> </w:t>
      </w:r>
      <w:r>
        <w:t>democrática</w:t>
      </w:r>
      <w:r w:rsidRPr="00E96B85">
        <w:rPr>
          <w:spacing w:val="68"/>
        </w:rPr>
        <w:t xml:space="preserve"> </w:t>
      </w:r>
      <w:r>
        <w:t>de</w:t>
      </w:r>
      <w:r w:rsidRPr="00E96B85">
        <w:rPr>
          <w:spacing w:val="67"/>
        </w:rPr>
        <w:t xml:space="preserve"> </w:t>
      </w:r>
      <w:r>
        <w:t>transparencia</w:t>
      </w:r>
      <w:r w:rsidRPr="00E96B85">
        <w:rPr>
          <w:spacing w:val="67"/>
        </w:rPr>
        <w:t xml:space="preserve"> </w:t>
      </w:r>
      <w:r>
        <w:t>y</w:t>
      </w:r>
      <w:r w:rsidR="00E96B85">
        <w:t xml:space="preserve"> </w:t>
      </w:r>
      <w:r>
        <w:t>rendición</w:t>
      </w:r>
      <w:r w:rsidRPr="00E96B85">
        <w:rPr>
          <w:spacing w:val="-12"/>
        </w:rPr>
        <w:t xml:space="preserve"> </w:t>
      </w:r>
      <w:r>
        <w:t>de</w:t>
      </w:r>
      <w:r w:rsidRPr="00E96B85">
        <w:rPr>
          <w:spacing w:val="-13"/>
        </w:rPr>
        <w:t xml:space="preserve"> </w:t>
      </w:r>
      <w:r>
        <w:t>cuentas,</w:t>
      </w:r>
      <w:r w:rsidRPr="00E96B85">
        <w:rPr>
          <w:spacing w:val="-12"/>
        </w:rPr>
        <w:t xml:space="preserve"> </w:t>
      </w:r>
      <w:r>
        <w:t>y</w:t>
      </w:r>
      <w:r w:rsidRPr="00E96B85">
        <w:rPr>
          <w:spacing w:val="-13"/>
        </w:rPr>
        <w:t xml:space="preserve"> </w:t>
      </w:r>
      <w:r>
        <w:t>en</w:t>
      </w:r>
      <w:r w:rsidRPr="00E96B85">
        <w:rPr>
          <w:spacing w:val="-12"/>
        </w:rPr>
        <w:t xml:space="preserve"> </w:t>
      </w:r>
      <w:r>
        <w:t>general</w:t>
      </w:r>
      <w:r w:rsidRPr="00E96B85">
        <w:rPr>
          <w:spacing w:val="-13"/>
        </w:rPr>
        <w:t xml:space="preserve"> </w:t>
      </w:r>
      <w:r>
        <w:t>se</w:t>
      </w:r>
      <w:r w:rsidRPr="00E96B85">
        <w:rPr>
          <w:spacing w:val="-13"/>
        </w:rPr>
        <w:t xml:space="preserve"> </w:t>
      </w:r>
      <w:r>
        <w:t>haga</w:t>
      </w:r>
      <w:r w:rsidRPr="00E96B85">
        <w:rPr>
          <w:spacing w:val="-12"/>
        </w:rPr>
        <w:t xml:space="preserve"> </w:t>
      </w:r>
      <w:r>
        <w:t>un</w:t>
      </w:r>
      <w:r w:rsidRPr="00E96B85">
        <w:rPr>
          <w:spacing w:val="-13"/>
        </w:rPr>
        <w:t xml:space="preserve"> </w:t>
      </w:r>
      <w:r>
        <w:t>ajuste</w:t>
      </w:r>
      <w:r w:rsidRPr="00E96B85">
        <w:rPr>
          <w:spacing w:val="-12"/>
        </w:rPr>
        <w:t xml:space="preserve"> </w:t>
      </w:r>
      <w:r>
        <w:t>en</w:t>
      </w:r>
      <w:r w:rsidRPr="00E96B85">
        <w:rPr>
          <w:spacing w:val="-13"/>
        </w:rPr>
        <w:t xml:space="preserve"> </w:t>
      </w:r>
      <w:r>
        <w:t>los</w:t>
      </w:r>
      <w:r w:rsidRPr="00E96B85">
        <w:rPr>
          <w:spacing w:val="-13"/>
        </w:rPr>
        <w:t xml:space="preserve"> </w:t>
      </w:r>
      <w:r>
        <w:t>roles,</w:t>
      </w:r>
      <w:r w:rsidRPr="00E96B85">
        <w:rPr>
          <w:spacing w:val="-12"/>
        </w:rPr>
        <w:t xml:space="preserve"> </w:t>
      </w:r>
      <w:r>
        <w:t>misiones</w:t>
      </w:r>
      <w:r w:rsidRPr="00E96B85">
        <w:rPr>
          <w:spacing w:val="-13"/>
        </w:rPr>
        <w:t xml:space="preserve"> </w:t>
      </w:r>
      <w:r>
        <w:t>y</w:t>
      </w:r>
      <w:r w:rsidRPr="00E96B85">
        <w:rPr>
          <w:spacing w:val="-13"/>
        </w:rPr>
        <w:t xml:space="preserve"> </w:t>
      </w:r>
      <w:r>
        <w:t xml:space="preserve">estructura </w:t>
      </w:r>
      <w:r>
        <w:lastRenderedPageBreak/>
        <w:t>que responda a los nuevos desafíos y a las necesidades de las comunidades y territorios. Finalmente, la recuperación de la confianza también supone que las instituciones del sector enfrenten el legado de las violaciones de los derechos humanos</w:t>
      </w:r>
      <w:r w:rsidRPr="00E96B85">
        <w:rPr>
          <w:spacing w:val="-9"/>
        </w:rPr>
        <w:t xml:space="preserve"> </w:t>
      </w:r>
      <w:r>
        <w:t>e</w:t>
      </w:r>
      <w:r w:rsidRPr="00E96B85">
        <w:rPr>
          <w:spacing w:val="-10"/>
        </w:rPr>
        <w:t xml:space="preserve"> </w:t>
      </w:r>
      <w:r>
        <w:t>infracciones</w:t>
      </w:r>
      <w:r w:rsidRPr="00E96B85">
        <w:rPr>
          <w:spacing w:val="-10"/>
        </w:rPr>
        <w:t xml:space="preserve"> </w:t>
      </w:r>
      <w:r>
        <w:t>al</w:t>
      </w:r>
      <w:r w:rsidRPr="00E96B85">
        <w:rPr>
          <w:spacing w:val="-9"/>
        </w:rPr>
        <w:t xml:space="preserve"> </w:t>
      </w:r>
      <w:r>
        <w:t>DIH</w:t>
      </w:r>
      <w:r w:rsidRPr="00E96B85">
        <w:rPr>
          <w:spacing w:val="-10"/>
        </w:rPr>
        <w:t xml:space="preserve"> </w:t>
      </w:r>
      <w:r>
        <w:t>en</w:t>
      </w:r>
      <w:r w:rsidRPr="00E96B85">
        <w:rPr>
          <w:spacing w:val="-9"/>
        </w:rPr>
        <w:t xml:space="preserve"> </w:t>
      </w:r>
      <w:r>
        <w:t>los</w:t>
      </w:r>
      <w:r w:rsidRPr="00E96B85">
        <w:rPr>
          <w:spacing w:val="-9"/>
        </w:rPr>
        <w:t xml:space="preserve"> </w:t>
      </w:r>
      <w:r>
        <w:t>que</w:t>
      </w:r>
      <w:r w:rsidRPr="00E96B85">
        <w:rPr>
          <w:spacing w:val="-9"/>
        </w:rPr>
        <w:t xml:space="preserve"> </w:t>
      </w:r>
      <w:r>
        <w:t>han</w:t>
      </w:r>
      <w:r w:rsidRPr="00E96B85">
        <w:rPr>
          <w:spacing w:val="-9"/>
        </w:rPr>
        <w:t xml:space="preserve"> </w:t>
      </w:r>
      <w:r>
        <w:t>tenido</w:t>
      </w:r>
      <w:r w:rsidRPr="00E96B85">
        <w:rPr>
          <w:spacing w:val="-9"/>
        </w:rPr>
        <w:t xml:space="preserve"> </w:t>
      </w:r>
      <w:r>
        <w:t>responsabilidad</w:t>
      </w:r>
      <w:r w:rsidRPr="00E96B85">
        <w:rPr>
          <w:spacing w:val="-9"/>
        </w:rPr>
        <w:t xml:space="preserve"> </w:t>
      </w:r>
      <w:r>
        <w:t>sus</w:t>
      </w:r>
      <w:r w:rsidRPr="00E96B85">
        <w:rPr>
          <w:spacing w:val="-10"/>
        </w:rPr>
        <w:t xml:space="preserve"> </w:t>
      </w:r>
      <w:r>
        <w:t>integrantes, y garanticen la no repetición de estos hechos.</w:t>
      </w:r>
    </w:p>
    <w:p w:rsidR="003804AC" w:rsidRDefault="00AF18A5" w:rsidP="004A6EF4">
      <w:pPr>
        <w:pStyle w:val="Prrafodelista"/>
        <w:numPr>
          <w:ilvl w:val="0"/>
          <w:numId w:val="26"/>
        </w:numPr>
      </w:pPr>
      <w:r>
        <w:t>Profundizar</w:t>
      </w:r>
      <w:r w:rsidRPr="00E96B85">
        <w:rPr>
          <w:spacing w:val="-6"/>
        </w:rPr>
        <w:t xml:space="preserve"> </w:t>
      </w:r>
      <w:r>
        <w:t>la</w:t>
      </w:r>
      <w:r w:rsidRPr="00E96B85">
        <w:rPr>
          <w:spacing w:val="-5"/>
        </w:rPr>
        <w:t xml:space="preserve"> </w:t>
      </w:r>
      <w:r>
        <w:t>democracia</w:t>
      </w:r>
      <w:r w:rsidRPr="00E96B85">
        <w:rPr>
          <w:spacing w:val="-5"/>
        </w:rPr>
        <w:t xml:space="preserve"> </w:t>
      </w:r>
      <w:r>
        <w:t>para</w:t>
      </w:r>
      <w:r w:rsidRPr="00E96B85">
        <w:rPr>
          <w:spacing w:val="-6"/>
        </w:rPr>
        <w:t xml:space="preserve"> </w:t>
      </w:r>
      <w:r>
        <w:t>la</w:t>
      </w:r>
      <w:r w:rsidRPr="00E96B85">
        <w:rPr>
          <w:spacing w:val="-5"/>
        </w:rPr>
        <w:t xml:space="preserve"> </w:t>
      </w:r>
      <w:r>
        <w:t>paz</w:t>
      </w:r>
      <w:r w:rsidRPr="00E96B85">
        <w:rPr>
          <w:spacing w:val="-5"/>
        </w:rPr>
        <w:t xml:space="preserve"> </w:t>
      </w:r>
      <w:r>
        <w:t>a</w:t>
      </w:r>
      <w:r w:rsidRPr="00E96B85">
        <w:rPr>
          <w:spacing w:val="-5"/>
        </w:rPr>
        <w:t xml:space="preserve"> </w:t>
      </w:r>
      <w:r>
        <w:t>través</w:t>
      </w:r>
      <w:r w:rsidRPr="00E96B85">
        <w:rPr>
          <w:spacing w:val="-5"/>
        </w:rPr>
        <w:t xml:space="preserve"> </w:t>
      </w:r>
      <w:r>
        <w:t>de</w:t>
      </w:r>
      <w:r w:rsidRPr="00E96B85">
        <w:rPr>
          <w:spacing w:val="-6"/>
        </w:rPr>
        <w:t xml:space="preserve"> </w:t>
      </w:r>
      <w:r>
        <w:t>la</w:t>
      </w:r>
      <w:r w:rsidRPr="00E96B85">
        <w:rPr>
          <w:spacing w:val="-5"/>
        </w:rPr>
        <w:t xml:space="preserve"> </w:t>
      </w:r>
      <w:r>
        <w:t>exclusión</w:t>
      </w:r>
      <w:r w:rsidRPr="00E96B85">
        <w:rPr>
          <w:spacing w:val="-6"/>
        </w:rPr>
        <w:t xml:space="preserve"> </w:t>
      </w:r>
      <w:r>
        <w:t>definitiva</w:t>
      </w:r>
      <w:r w:rsidRPr="00E96B85">
        <w:rPr>
          <w:spacing w:val="-5"/>
        </w:rPr>
        <w:t xml:space="preserve"> </w:t>
      </w:r>
      <w:r>
        <w:t>de</w:t>
      </w:r>
      <w:r w:rsidRPr="00E96B85">
        <w:rPr>
          <w:spacing w:val="-5"/>
        </w:rPr>
        <w:t xml:space="preserve"> </w:t>
      </w:r>
      <w:r>
        <w:t>las</w:t>
      </w:r>
      <w:r w:rsidRPr="00E96B85">
        <w:rPr>
          <w:spacing w:val="-6"/>
        </w:rPr>
        <w:t xml:space="preserve"> </w:t>
      </w:r>
      <w:r>
        <w:t>armas de la</w:t>
      </w:r>
      <w:r w:rsidRPr="00E96B85">
        <w:rPr>
          <w:spacing w:val="-1"/>
        </w:rPr>
        <w:t xml:space="preserve"> </w:t>
      </w:r>
      <w:r>
        <w:t>política, la</w:t>
      </w:r>
      <w:r w:rsidRPr="00E96B85">
        <w:rPr>
          <w:spacing w:val="-1"/>
        </w:rPr>
        <w:t xml:space="preserve"> </w:t>
      </w:r>
      <w:r>
        <w:t>superación de</w:t>
      </w:r>
      <w:r w:rsidRPr="00E96B85">
        <w:rPr>
          <w:spacing w:val="-1"/>
        </w:rPr>
        <w:t xml:space="preserve"> </w:t>
      </w:r>
      <w:r>
        <w:t>su</w:t>
      </w:r>
      <w:r w:rsidRPr="00E96B85">
        <w:rPr>
          <w:spacing w:val="-1"/>
        </w:rPr>
        <w:t xml:space="preserve"> </w:t>
      </w:r>
      <w:r>
        <w:t>relación</w:t>
      </w:r>
      <w:r w:rsidRPr="00E96B85">
        <w:rPr>
          <w:spacing w:val="-1"/>
        </w:rPr>
        <w:t xml:space="preserve"> </w:t>
      </w:r>
      <w:r>
        <w:t>con el</w:t>
      </w:r>
      <w:r w:rsidRPr="00E96B85">
        <w:rPr>
          <w:spacing w:val="-1"/>
        </w:rPr>
        <w:t xml:space="preserve"> </w:t>
      </w:r>
      <w:r>
        <w:t>entramado del conflicto</w:t>
      </w:r>
      <w:r w:rsidRPr="00E96B85">
        <w:rPr>
          <w:spacing w:val="-2"/>
        </w:rPr>
        <w:t xml:space="preserve"> </w:t>
      </w:r>
      <w:r>
        <w:t>y la</w:t>
      </w:r>
      <w:r w:rsidRPr="00E96B85">
        <w:rPr>
          <w:spacing w:val="-1"/>
        </w:rPr>
        <w:t xml:space="preserve"> </w:t>
      </w:r>
      <w:r>
        <w:t>puesta en marcha de una reforma que abra espacios para sectores y grupos excluidos y recupere</w:t>
      </w:r>
      <w:r w:rsidRPr="00E96B85">
        <w:rPr>
          <w:spacing w:val="-1"/>
        </w:rPr>
        <w:t xml:space="preserve"> </w:t>
      </w:r>
      <w:r>
        <w:t>la</w:t>
      </w:r>
      <w:r w:rsidRPr="00E96B85">
        <w:rPr>
          <w:spacing w:val="-2"/>
        </w:rPr>
        <w:t xml:space="preserve"> </w:t>
      </w:r>
      <w:r>
        <w:t>dignidad</w:t>
      </w:r>
      <w:r w:rsidRPr="00E96B85">
        <w:rPr>
          <w:spacing w:val="-1"/>
        </w:rPr>
        <w:t xml:space="preserve"> </w:t>
      </w:r>
      <w:r>
        <w:t>de</w:t>
      </w:r>
      <w:r w:rsidRPr="00E96B85">
        <w:rPr>
          <w:spacing w:val="-2"/>
        </w:rPr>
        <w:t xml:space="preserve"> </w:t>
      </w:r>
      <w:r>
        <w:t>la</w:t>
      </w:r>
      <w:r w:rsidRPr="00E96B85">
        <w:rPr>
          <w:spacing w:val="-1"/>
        </w:rPr>
        <w:t xml:space="preserve"> </w:t>
      </w:r>
      <w:r>
        <w:t>política.</w:t>
      </w:r>
      <w:r w:rsidRPr="00E96B85">
        <w:rPr>
          <w:spacing w:val="-1"/>
        </w:rPr>
        <w:t xml:space="preserve"> </w:t>
      </w:r>
      <w:r>
        <w:t>Lograr</w:t>
      </w:r>
      <w:r w:rsidRPr="00E96B85">
        <w:rPr>
          <w:spacing w:val="-1"/>
        </w:rPr>
        <w:t xml:space="preserve"> </w:t>
      </w:r>
      <w:r>
        <w:t>una</w:t>
      </w:r>
      <w:r w:rsidRPr="00E96B85">
        <w:rPr>
          <w:spacing w:val="-1"/>
        </w:rPr>
        <w:t xml:space="preserve"> </w:t>
      </w:r>
      <w:r>
        <w:t>democracia</w:t>
      </w:r>
      <w:r w:rsidRPr="00E96B85">
        <w:rPr>
          <w:spacing w:val="-1"/>
        </w:rPr>
        <w:t xml:space="preserve"> </w:t>
      </w:r>
      <w:r>
        <w:t>representativa</w:t>
      </w:r>
      <w:r w:rsidRPr="00E96B85">
        <w:rPr>
          <w:spacing w:val="-2"/>
        </w:rPr>
        <w:t xml:space="preserve"> </w:t>
      </w:r>
      <w:r>
        <w:t>que</w:t>
      </w:r>
      <w:r w:rsidRPr="00E96B85">
        <w:rPr>
          <w:spacing w:val="-1"/>
        </w:rPr>
        <w:t xml:space="preserve"> </w:t>
      </w:r>
      <w:r>
        <w:t>refleje la pluralidad del país y que tenga en el centro el diálogo deliberativo y reconozca la participación y la movilización ciudadana como herramientas fundamentales para lograr el avance en la garantía de derechos, el restablecimiento del tejido social, la construcción de confianza institucional y el rechazo definitivo a la violencia contra quienes piensan distinto.</w:t>
      </w:r>
    </w:p>
    <w:p w:rsidR="003804AC" w:rsidRDefault="00AF18A5" w:rsidP="004A6EF4">
      <w:pPr>
        <w:pStyle w:val="Prrafodelista"/>
        <w:numPr>
          <w:ilvl w:val="0"/>
          <w:numId w:val="26"/>
        </w:numPr>
      </w:pPr>
      <w:r>
        <w:t>Construir la paz necesita de nuevas herramientas y una ruptura con el pasado, una conmoción</w:t>
      </w:r>
      <w:r w:rsidRPr="00E96B85">
        <w:rPr>
          <w:spacing w:val="-7"/>
        </w:rPr>
        <w:t xml:space="preserve"> </w:t>
      </w:r>
      <w:r>
        <w:t>positiva,</w:t>
      </w:r>
      <w:r w:rsidRPr="00E96B85">
        <w:rPr>
          <w:spacing w:val="-5"/>
        </w:rPr>
        <w:t xml:space="preserve"> </w:t>
      </w:r>
      <w:r>
        <w:t>y</w:t>
      </w:r>
      <w:r w:rsidRPr="00E96B85">
        <w:rPr>
          <w:spacing w:val="-5"/>
        </w:rPr>
        <w:t xml:space="preserve"> </w:t>
      </w:r>
      <w:r>
        <w:t>no</w:t>
      </w:r>
      <w:r w:rsidRPr="00E96B85">
        <w:rPr>
          <w:spacing w:val="-5"/>
        </w:rPr>
        <w:t xml:space="preserve"> </w:t>
      </w:r>
      <w:r>
        <w:t>una</w:t>
      </w:r>
      <w:r w:rsidRPr="00E96B85">
        <w:rPr>
          <w:spacing w:val="-4"/>
        </w:rPr>
        <w:t xml:space="preserve"> </w:t>
      </w:r>
      <w:r>
        <w:t>visión</w:t>
      </w:r>
      <w:r w:rsidRPr="00E96B85">
        <w:rPr>
          <w:spacing w:val="-6"/>
        </w:rPr>
        <w:t xml:space="preserve"> </w:t>
      </w:r>
      <w:r>
        <w:t>fragmentada</w:t>
      </w:r>
      <w:r w:rsidRPr="00E96B85">
        <w:rPr>
          <w:spacing w:val="-4"/>
        </w:rPr>
        <w:t xml:space="preserve"> </w:t>
      </w:r>
      <w:r>
        <w:t>del</w:t>
      </w:r>
      <w:r w:rsidRPr="00E96B85">
        <w:rPr>
          <w:spacing w:val="-5"/>
        </w:rPr>
        <w:t xml:space="preserve"> </w:t>
      </w:r>
      <w:r>
        <w:t>camino</w:t>
      </w:r>
      <w:r w:rsidRPr="00E96B85">
        <w:rPr>
          <w:spacing w:val="-6"/>
        </w:rPr>
        <w:t xml:space="preserve"> </w:t>
      </w:r>
      <w:r>
        <w:t>de</w:t>
      </w:r>
      <w:r w:rsidRPr="00E96B85">
        <w:rPr>
          <w:spacing w:val="-4"/>
        </w:rPr>
        <w:t xml:space="preserve"> </w:t>
      </w:r>
      <w:r>
        <w:t>la</w:t>
      </w:r>
      <w:r w:rsidRPr="00E96B85">
        <w:rPr>
          <w:spacing w:val="-4"/>
        </w:rPr>
        <w:t xml:space="preserve"> </w:t>
      </w:r>
      <w:r>
        <w:t>reconstrucción</w:t>
      </w:r>
      <w:r w:rsidRPr="00E96B85">
        <w:rPr>
          <w:spacing w:val="-5"/>
        </w:rPr>
        <w:t xml:space="preserve"> </w:t>
      </w:r>
      <w:r>
        <w:t>de la</w:t>
      </w:r>
      <w:r w:rsidRPr="00E96B85">
        <w:rPr>
          <w:spacing w:val="-15"/>
        </w:rPr>
        <w:t xml:space="preserve"> </w:t>
      </w:r>
      <w:r>
        <w:t>convivencia.</w:t>
      </w:r>
      <w:r w:rsidRPr="00E96B85">
        <w:rPr>
          <w:spacing w:val="-15"/>
        </w:rPr>
        <w:t xml:space="preserve"> </w:t>
      </w:r>
      <w:r>
        <w:t>Una</w:t>
      </w:r>
      <w:r w:rsidRPr="00E96B85">
        <w:rPr>
          <w:spacing w:val="-15"/>
        </w:rPr>
        <w:t xml:space="preserve"> </w:t>
      </w:r>
      <w:r>
        <w:t>muestra</w:t>
      </w:r>
      <w:r w:rsidRPr="00E96B85">
        <w:rPr>
          <w:spacing w:val="-15"/>
        </w:rPr>
        <w:t xml:space="preserve"> </w:t>
      </w:r>
      <w:r>
        <w:t>de</w:t>
      </w:r>
      <w:r w:rsidRPr="00E96B85">
        <w:rPr>
          <w:spacing w:val="-15"/>
        </w:rPr>
        <w:t xml:space="preserve"> </w:t>
      </w:r>
      <w:r>
        <w:t>voluntad</w:t>
      </w:r>
      <w:r w:rsidRPr="00E96B85">
        <w:rPr>
          <w:spacing w:val="-15"/>
        </w:rPr>
        <w:t xml:space="preserve"> </w:t>
      </w:r>
      <w:r>
        <w:t>política</w:t>
      </w:r>
      <w:r w:rsidRPr="00E96B85">
        <w:rPr>
          <w:spacing w:val="-15"/>
        </w:rPr>
        <w:t xml:space="preserve"> </w:t>
      </w:r>
      <w:r>
        <w:t>y</w:t>
      </w:r>
      <w:r w:rsidRPr="00E96B85">
        <w:rPr>
          <w:spacing w:val="-15"/>
        </w:rPr>
        <w:t xml:space="preserve"> </w:t>
      </w:r>
      <w:r>
        <w:t>social</w:t>
      </w:r>
      <w:r w:rsidRPr="00E96B85">
        <w:rPr>
          <w:spacing w:val="-15"/>
        </w:rPr>
        <w:t xml:space="preserve"> </w:t>
      </w:r>
      <w:r>
        <w:t>que</w:t>
      </w:r>
      <w:r w:rsidRPr="00E96B85">
        <w:rPr>
          <w:spacing w:val="-15"/>
        </w:rPr>
        <w:t xml:space="preserve"> </w:t>
      </w:r>
      <w:r>
        <w:t>articule</w:t>
      </w:r>
      <w:r w:rsidRPr="00E96B85">
        <w:rPr>
          <w:spacing w:val="-15"/>
        </w:rPr>
        <w:t xml:space="preserve"> </w:t>
      </w:r>
      <w:r>
        <w:t>muchas</w:t>
      </w:r>
      <w:r w:rsidRPr="00E96B85">
        <w:rPr>
          <w:spacing w:val="-15"/>
        </w:rPr>
        <w:t xml:space="preserve"> </w:t>
      </w:r>
      <w:r>
        <w:t>de</w:t>
      </w:r>
      <w:r w:rsidRPr="00E96B85">
        <w:rPr>
          <w:spacing w:val="-15"/>
        </w:rPr>
        <w:t xml:space="preserve"> </w:t>
      </w:r>
      <w:r>
        <w:t>estas medidas</w:t>
      </w:r>
      <w:r w:rsidRPr="00E96B85">
        <w:rPr>
          <w:spacing w:val="-14"/>
        </w:rPr>
        <w:t xml:space="preserve"> </w:t>
      </w:r>
      <w:r>
        <w:t>con</w:t>
      </w:r>
      <w:r w:rsidRPr="00E96B85">
        <w:rPr>
          <w:spacing w:val="-15"/>
        </w:rPr>
        <w:t xml:space="preserve"> </w:t>
      </w:r>
      <w:r>
        <w:t>un</w:t>
      </w:r>
      <w:r w:rsidRPr="00E96B85">
        <w:rPr>
          <w:spacing w:val="-14"/>
        </w:rPr>
        <w:t xml:space="preserve"> </w:t>
      </w:r>
      <w:r>
        <w:t>Ente</w:t>
      </w:r>
      <w:r w:rsidRPr="00E96B85">
        <w:rPr>
          <w:spacing w:val="-14"/>
        </w:rPr>
        <w:t xml:space="preserve"> </w:t>
      </w:r>
      <w:r>
        <w:t>que</w:t>
      </w:r>
      <w:r w:rsidRPr="00E96B85">
        <w:rPr>
          <w:spacing w:val="-15"/>
        </w:rPr>
        <w:t xml:space="preserve"> </w:t>
      </w:r>
      <w:r>
        <w:t>nazca</w:t>
      </w:r>
      <w:r w:rsidRPr="00E96B85">
        <w:rPr>
          <w:spacing w:val="-14"/>
        </w:rPr>
        <w:t xml:space="preserve"> </w:t>
      </w:r>
      <w:r>
        <w:t>con</w:t>
      </w:r>
      <w:r w:rsidRPr="00E96B85">
        <w:rPr>
          <w:spacing w:val="-15"/>
        </w:rPr>
        <w:t xml:space="preserve"> </w:t>
      </w:r>
      <w:r>
        <w:t>la</w:t>
      </w:r>
      <w:r w:rsidRPr="00E96B85">
        <w:rPr>
          <w:spacing w:val="-15"/>
        </w:rPr>
        <w:t xml:space="preserve"> </w:t>
      </w:r>
      <w:r>
        <w:t>necesaria</w:t>
      </w:r>
      <w:r w:rsidRPr="00E96B85">
        <w:rPr>
          <w:spacing w:val="-15"/>
        </w:rPr>
        <w:t xml:space="preserve"> </w:t>
      </w:r>
      <w:r>
        <w:t>fortaleza,</w:t>
      </w:r>
      <w:r w:rsidRPr="00E96B85">
        <w:rPr>
          <w:spacing w:val="-14"/>
        </w:rPr>
        <w:t xml:space="preserve"> </w:t>
      </w:r>
      <w:r>
        <w:t>capacidad</w:t>
      </w:r>
      <w:r w:rsidRPr="00E96B85">
        <w:rPr>
          <w:spacing w:val="-14"/>
        </w:rPr>
        <w:t xml:space="preserve"> </w:t>
      </w:r>
      <w:r>
        <w:t>de</w:t>
      </w:r>
      <w:r w:rsidRPr="00E96B85">
        <w:rPr>
          <w:spacing w:val="-14"/>
        </w:rPr>
        <w:t xml:space="preserve"> </w:t>
      </w:r>
      <w:r>
        <w:t>coordinación, presupuesto</w:t>
      </w:r>
      <w:r w:rsidRPr="00E96B85">
        <w:rPr>
          <w:spacing w:val="-3"/>
        </w:rPr>
        <w:t xml:space="preserve"> </w:t>
      </w:r>
      <w:r>
        <w:t>e</w:t>
      </w:r>
      <w:r w:rsidRPr="00E96B85">
        <w:rPr>
          <w:spacing w:val="-2"/>
        </w:rPr>
        <w:t xml:space="preserve"> </w:t>
      </w:r>
      <w:r>
        <w:t>impulso</w:t>
      </w:r>
      <w:r w:rsidRPr="00E96B85">
        <w:rPr>
          <w:spacing w:val="-2"/>
        </w:rPr>
        <w:t xml:space="preserve"> </w:t>
      </w:r>
      <w:r>
        <w:t>político.</w:t>
      </w:r>
      <w:r w:rsidRPr="00E96B85">
        <w:rPr>
          <w:spacing w:val="-2"/>
        </w:rPr>
        <w:t xml:space="preserve"> </w:t>
      </w:r>
      <w:r>
        <w:t>Un</w:t>
      </w:r>
      <w:r w:rsidRPr="00E96B85">
        <w:rPr>
          <w:spacing w:val="-3"/>
        </w:rPr>
        <w:t xml:space="preserve"> </w:t>
      </w:r>
      <w:r>
        <w:t>ministerio</w:t>
      </w:r>
      <w:r w:rsidRPr="00E96B85">
        <w:rPr>
          <w:spacing w:val="-2"/>
        </w:rPr>
        <w:t xml:space="preserve"> </w:t>
      </w:r>
      <w:r>
        <w:t>o</w:t>
      </w:r>
      <w:r w:rsidRPr="00E96B85">
        <w:rPr>
          <w:spacing w:val="-3"/>
        </w:rPr>
        <w:t xml:space="preserve"> </w:t>
      </w:r>
      <w:r>
        <w:t>un</w:t>
      </w:r>
      <w:r w:rsidRPr="00E96B85">
        <w:rPr>
          <w:spacing w:val="-2"/>
        </w:rPr>
        <w:t xml:space="preserve"> </w:t>
      </w:r>
      <w:r>
        <w:t>ente</w:t>
      </w:r>
      <w:r w:rsidRPr="00E96B85">
        <w:rPr>
          <w:spacing w:val="-2"/>
        </w:rPr>
        <w:t xml:space="preserve"> </w:t>
      </w:r>
      <w:r>
        <w:t>que</w:t>
      </w:r>
      <w:r w:rsidRPr="00E96B85">
        <w:rPr>
          <w:spacing w:val="-3"/>
        </w:rPr>
        <w:t xml:space="preserve"> </w:t>
      </w:r>
      <w:r>
        <w:t>impulse</w:t>
      </w:r>
      <w:r w:rsidRPr="00E96B85">
        <w:rPr>
          <w:spacing w:val="-2"/>
        </w:rPr>
        <w:t xml:space="preserve"> </w:t>
      </w:r>
      <w:r>
        <w:t>las</w:t>
      </w:r>
      <w:r w:rsidRPr="00E96B85">
        <w:rPr>
          <w:spacing w:val="-3"/>
        </w:rPr>
        <w:t xml:space="preserve"> </w:t>
      </w:r>
      <w:r>
        <w:t>políticas</w:t>
      </w:r>
      <w:r w:rsidRPr="00E96B85">
        <w:rPr>
          <w:spacing w:val="-3"/>
        </w:rPr>
        <w:t xml:space="preserve"> </w:t>
      </w:r>
      <w:r>
        <w:t>del estado</w:t>
      </w:r>
      <w:r w:rsidRPr="00E96B85">
        <w:rPr>
          <w:spacing w:val="-9"/>
        </w:rPr>
        <w:t xml:space="preserve"> </w:t>
      </w:r>
      <w:r>
        <w:t>por</w:t>
      </w:r>
      <w:r w:rsidRPr="00E96B85">
        <w:rPr>
          <w:spacing w:val="-9"/>
        </w:rPr>
        <w:t xml:space="preserve"> </w:t>
      </w:r>
      <w:r>
        <w:t>la</w:t>
      </w:r>
      <w:r w:rsidRPr="00E96B85">
        <w:rPr>
          <w:spacing w:val="-10"/>
        </w:rPr>
        <w:t xml:space="preserve"> </w:t>
      </w:r>
      <w:r>
        <w:t>reconciliación</w:t>
      </w:r>
      <w:r w:rsidRPr="00E96B85">
        <w:rPr>
          <w:spacing w:val="-9"/>
        </w:rPr>
        <w:t xml:space="preserve"> </w:t>
      </w:r>
      <w:r>
        <w:t>y</w:t>
      </w:r>
      <w:r w:rsidRPr="00E96B85">
        <w:rPr>
          <w:spacing w:val="-9"/>
        </w:rPr>
        <w:t xml:space="preserve"> </w:t>
      </w:r>
      <w:r>
        <w:t>la</w:t>
      </w:r>
      <w:r w:rsidRPr="00E96B85">
        <w:rPr>
          <w:spacing w:val="-9"/>
        </w:rPr>
        <w:t xml:space="preserve"> </w:t>
      </w:r>
      <w:r>
        <w:t>construcción</w:t>
      </w:r>
      <w:r w:rsidRPr="00E96B85">
        <w:rPr>
          <w:spacing w:val="-9"/>
        </w:rPr>
        <w:t xml:space="preserve"> </w:t>
      </w:r>
      <w:r>
        <w:t>de</w:t>
      </w:r>
      <w:r w:rsidRPr="00E96B85">
        <w:rPr>
          <w:spacing w:val="-9"/>
        </w:rPr>
        <w:t xml:space="preserve"> </w:t>
      </w:r>
      <w:r>
        <w:t>paz,</w:t>
      </w:r>
      <w:r w:rsidRPr="00E96B85">
        <w:rPr>
          <w:spacing w:val="-9"/>
        </w:rPr>
        <w:t xml:space="preserve"> </w:t>
      </w:r>
      <w:r>
        <w:t>es</w:t>
      </w:r>
      <w:r w:rsidRPr="00E96B85">
        <w:rPr>
          <w:spacing w:val="-9"/>
        </w:rPr>
        <w:t xml:space="preserve"> </w:t>
      </w:r>
      <w:r>
        <w:t>una</w:t>
      </w:r>
      <w:r w:rsidRPr="00E96B85">
        <w:rPr>
          <w:spacing w:val="-9"/>
        </w:rPr>
        <w:t xml:space="preserve"> </w:t>
      </w:r>
      <w:r>
        <w:t>de</w:t>
      </w:r>
      <w:r w:rsidRPr="00E96B85">
        <w:rPr>
          <w:spacing w:val="-10"/>
        </w:rPr>
        <w:t xml:space="preserve"> </w:t>
      </w:r>
      <w:r>
        <w:t>esas</w:t>
      </w:r>
      <w:r w:rsidRPr="00E96B85">
        <w:rPr>
          <w:spacing w:val="-9"/>
        </w:rPr>
        <w:t xml:space="preserve"> </w:t>
      </w:r>
      <w:r>
        <w:t>herramientas</w:t>
      </w:r>
      <w:r w:rsidRPr="00E96B85">
        <w:rPr>
          <w:spacing w:val="-9"/>
        </w:rPr>
        <w:t xml:space="preserve"> </w:t>
      </w:r>
      <w:r>
        <w:t>que la Comisión propone. Muchas de estas recomendaciones se refieren a muy diversos actores,</w:t>
      </w:r>
      <w:r w:rsidRPr="00E96B85">
        <w:rPr>
          <w:spacing w:val="-11"/>
        </w:rPr>
        <w:t xml:space="preserve"> </w:t>
      </w:r>
      <w:r>
        <w:t>pero</w:t>
      </w:r>
      <w:r w:rsidRPr="00E96B85">
        <w:rPr>
          <w:spacing w:val="-12"/>
        </w:rPr>
        <w:t xml:space="preserve"> </w:t>
      </w:r>
      <w:r>
        <w:t>también</w:t>
      </w:r>
      <w:r w:rsidRPr="00E96B85">
        <w:rPr>
          <w:spacing w:val="-11"/>
        </w:rPr>
        <w:t xml:space="preserve"> </w:t>
      </w:r>
      <w:r>
        <w:t>debe</w:t>
      </w:r>
      <w:r w:rsidRPr="00E96B85">
        <w:rPr>
          <w:spacing w:val="-10"/>
        </w:rPr>
        <w:t xml:space="preserve"> </w:t>
      </w:r>
      <w:r>
        <w:t>haber</w:t>
      </w:r>
      <w:r w:rsidRPr="00E96B85">
        <w:rPr>
          <w:spacing w:val="-11"/>
        </w:rPr>
        <w:t xml:space="preserve"> </w:t>
      </w:r>
      <w:r>
        <w:t>mecanismos</w:t>
      </w:r>
      <w:r w:rsidRPr="00E96B85">
        <w:rPr>
          <w:spacing w:val="-12"/>
        </w:rPr>
        <w:t xml:space="preserve"> </w:t>
      </w:r>
      <w:r>
        <w:t>de</w:t>
      </w:r>
      <w:r w:rsidRPr="00E96B85">
        <w:rPr>
          <w:spacing w:val="-12"/>
        </w:rPr>
        <w:t xml:space="preserve"> </w:t>
      </w:r>
      <w:r>
        <w:t>profundo</w:t>
      </w:r>
      <w:r w:rsidRPr="00E96B85">
        <w:rPr>
          <w:spacing w:val="-11"/>
        </w:rPr>
        <w:t xml:space="preserve"> </w:t>
      </w:r>
      <w:r>
        <w:t>impulso</w:t>
      </w:r>
      <w:r w:rsidRPr="00E96B85">
        <w:rPr>
          <w:spacing w:val="-11"/>
        </w:rPr>
        <w:t xml:space="preserve"> </w:t>
      </w:r>
      <w:r>
        <w:t>institucional</w:t>
      </w:r>
      <w:r w:rsidRPr="00E96B85">
        <w:rPr>
          <w:spacing w:val="-10"/>
        </w:rPr>
        <w:t xml:space="preserve"> </w:t>
      </w:r>
      <w:r>
        <w:t>para la transformación que Colombia necesita.</w:t>
      </w:r>
    </w:p>
    <w:p w:rsidR="003804AC" w:rsidRDefault="00AF18A5" w:rsidP="004A6EF4">
      <w:pPr>
        <w:pStyle w:val="Prrafodelista"/>
        <w:numPr>
          <w:ilvl w:val="0"/>
          <w:numId w:val="26"/>
        </w:numPr>
      </w:pPr>
      <w:r>
        <w:lastRenderedPageBreak/>
        <w:t>Garantizar condiciones de bienestar y vida digna de las comunidades en los territorios,</w:t>
      </w:r>
      <w:r w:rsidRPr="00E96B85">
        <w:rPr>
          <w:spacing w:val="-3"/>
        </w:rPr>
        <w:t xml:space="preserve"> </w:t>
      </w:r>
      <w:r>
        <w:t>y</w:t>
      </w:r>
      <w:r w:rsidRPr="00E96B85">
        <w:rPr>
          <w:spacing w:val="-5"/>
        </w:rPr>
        <w:t xml:space="preserve"> </w:t>
      </w:r>
      <w:r>
        <w:t>construir</w:t>
      </w:r>
      <w:r w:rsidRPr="00E96B85">
        <w:rPr>
          <w:spacing w:val="-3"/>
        </w:rPr>
        <w:t xml:space="preserve"> </w:t>
      </w:r>
      <w:r>
        <w:t>una</w:t>
      </w:r>
      <w:r w:rsidRPr="00E96B85">
        <w:rPr>
          <w:spacing w:val="-3"/>
        </w:rPr>
        <w:t xml:space="preserve"> </w:t>
      </w:r>
      <w:r>
        <w:t>visión</w:t>
      </w:r>
      <w:r w:rsidRPr="00E96B85">
        <w:rPr>
          <w:spacing w:val="-5"/>
        </w:rPr>
        <w:t xml:space="preserve"> </w:t>
      </w:r>
      <w:r>
        <w:t>compartida</w:t>
      </w:r>
      <w:r w:rsidRPr="00E96B85">
        <w:rPr>
          <w:spacing w:val="-3"/>
        </w:rPr>
        <w:t xml:space="preserve"> </w:t>
      </w:r>
      <w:r>
        <w:t>de</w:t>
      </w:r>
      <w:r w:rsidRPr="00E96B85">
        <w:rPr>
          <w:spacing w:val="-3"/>
        </w:rPr>
        <w:t xml:space="preserve"> </w:t>
      </w:r>
      <w:r>
        <w:t>país</w:t>
      </w:r>
      <w:r w:rsidRPr="00E96B85">
        <w:rPr>
          <w:spacing w:val="-3"/>
        </w:rPr>
        <w:t xml:space="preserve"> </w:t>
      </w:r>
      <w:r>
        <w:t>que</w:t>
      </w:r>
      <w:r w:rsidRPr="00E96B85">
        <w:rPr>
          <w:spacing w:val="-4"/>
        </w:rPr>
        <w:t xml:space="preserve"> </w:t>
      </w:r>
      <w:r>
        <w:t>incluya</w:t>
      </w:r>
      <w:r w:rsidRPr="00E96B85">
        <w:rPr>
          <w:spacing w:val="-3"/>
        </w:rPr>
        <w:t xml:space="preserve"> </w:t>
      </w:r>
      <w:r>
        <w:t>a</w:t>
      </w:r>
      <w:r w:rsidRPr="00E96B85">
        <w:rPr>
          <w:spacing w:val="-3"/>
        </w:rPr>
        <w:t xml:space="preserve"> </w:t>
      </w:r>
      <w:r>
        <w:t>los</w:t>
      </w:r>
      <w:r w:rsidRPr="00E96B85">
        <w:rPr>
          <w:spacing w:val="-4"/>
        </w:rPr>
        <w:t xml:space="preserve"> </w:t>
      </w:r>
      <w:r>
        <w:t>territorios</w:t>
      </w:r>
      <w:r w:rsidRPr="00E96B85">
        <w:rPr>
          <w:spacing w:val="-3"/>
        </w:rPr>
        <w:t xml:space="preserve"> </w:t>
      </w:r>
      <w:r>
        <w:t>que han sido históricamente excluidos y un compromiso de futuro desde el respeto a la vida, las diferentes necesidades y perspectivas para superar las desigualdades estructurales</w:t>
      </w:r>
      <w:r w:rsidRPr="00E96B85">
        <w:rPr>
          <w:spacing w:val="-8"/>
        </w:rPr>
        <w:t xml:space="preserve"> </w:t>
      </w:r>
      <w:r>
        <w:t>del</w:t>
      </w:r>
      <w:r w:rsidRPr="00E96B85">
        <w:rPr>
          <w:spacing w:val="-8"/>
        </w:rPr>
        <w:t xml:space="preserve"> </w:t>
      </w:r>
      <w:r>
        <w:t>país</w:t>
      </w:r>
      <w:r w:rsidRPr="00E96B85">
        <w:rPr>
          <w:spacing w:val="-8"/>
        </w:rPr>
        <w:t xml:space="preserve"> </w:t>
      </w:r>
      <w:r>
        <w:t>que</w:t>
      </w:r>
      <w:r w:rsidRPr="00E96B85">
        <w:rPr>
          <w:spacing w:val="-8"/>
        </w:rPr>
        <w:t xml:space="preserve"> </w:t>
      </w:r>
      <w:r>
        <w:t>han</w:t>
      </w:r>
      <w:r w:rsidRPr="00E96B85">
        <w:rPr>
          <w:spacing w:val="-8"/>
        </w:rPr>
        <w:t xml:space="preserve"> </w:t>
      </w:r>
      <w:r>
        <w:t>sido</w:t>
      </w:r>
      <w:r w:rsidRPr="00E96B85">
        <w:rPr>
          <w:spacing w:val="-8"/>
        </w:rPr>
        <w:t xml:space="preserve"> </w:t>
      </w:r>
      <w:r>
        <w:t>profundizadas</w:t>
      </w:r>
      <w:r w:rsidRPr="00E96B85">
        <w:rPr>
          <w:spacing w:val="-8"/>
        </w:rPr>
        <w:t xml:space="preserve"> </w:t>
      </w:r>
      <w:r>
        <w:t>por</w:t>
      </w:r>
      <w:r w:rsidRPr="00E96B85">
        <w:rPr>
          <w:spacing w:val="-8"/>
        </w:rPr>
        <w:t xml:space="preserve"> </w:t>
      </w:r>
      <w:r>
        <w:t>el</w:t>
      </w:r>
      <w:r w:rsidRPr="00E96B85">
        <w:rPr>
          <w:spacing w:val="-8"/>
        </w:rPr>
        <w:t xml:space="preserve"> </w:t>
      </w:r>
      <w:r>
        <w:t>conflicto</w:t>
      </w:r>
      <w:r w:rsidRPr="00E96B85">
        <w:rPr>
          <w:spacing w:val="-8"/>
        </w:rPr>
        <w:t xml:space="preserve"> </w:t>
      </w:r>
      <w:r>
        <w:t>del</w:t>
      </w:r>
      <w:r w:rsidRPr="00E96B85">
        <w:rPr>
          <w:spacing w:val="-8"/>
        </w:rPr>
        <w:t xml:space="preserve"> </w:t>
      </w:r>
      <w:r>
        <w:t>que</w:t>
      </w:r>
      <w:r w:rsidRPr="00E96B85">
        <w:rPr>
          <w:spacing w:val="-8"/>
        </w:rPr>
        <w:t xml:space="preserve"> </w:t>
      </w:r>
      <w:r>
        <w:t>han</w:t>
      </w:r>
      <w:r w:rsidRPr="00E96B85">
        <w:rPr>
          <w:spacing w:val="-8"/>
        </w:rPr>
        <w:t xml:space="preserve"> </w:t>
      </w:r>
      <w:r>
        <w:t>sido</w:t>
      </w:r>
      <w:r w:rsidRPr="00E96B85">
        <w:rPr>
          <w:spacing w:val="-8"/>
        </w:rPr>
        <w:t xml:space="preserve"> </w:t>
      </w:r>
      <w:r>
        <w:t>las</w:t>
      </w:r>
      <w:r w:rsidR="00E96B85">
        <w:t xml:space="preserve"> </w:t>
      </w:r>
      <w:r>
        <w:t>principales víctimas el sector campesino y los pueblos étnicos. Esto requiere de un esfuerzo integral y de largo plazo, que compromete no solamente al Estado sino a la sociedad en su conjunto, basado en un proceso de ordenamiento territorial participativo, equitativo, sostenible y multicultural. Para ello,</w:t>
      </w:r>
      <w:r w:rsidRPr="00E96B85">
        <w:rPr>
          <w:spacing w:val="-1"/>
        </w:rPr>
        <w:t xml:space="preserve"> </w:t>
      </w:r>
      <w:r>
        <w:t>se debe garantizar una redistribución</w:t>
      </w:r>
      <w:r w:rsidRPr="00E96B85">
        <w:rPr>
          <w:spacing w:val="-5"/>
        </w:rPr>
        <w:t xml:space="preserve"> </w:t>
      </w:r>
      <w:r>
        <w:t>de</w:t>
      </w:r>
      <w:r w:rsidRPr="00E96B85">
        <w:rPr>
          <w:spacing w:val="-5"/>
        </w:rPr>
        <w:t xml:space="preserve"> </w:t>
      </w:r>
      <w:r>
        <w:t>la</w:t>
      </w:r>
      <w:r w:rsidRPr="00E96B85">
        <w:rPr>
          <w:spacing w:val="-5"/>
        </w:rPr>
        <w:t xml:space="preserve"> </w:t>
      </w:r>
      <w:r>
        <w:t>tierra,</w:t>
      </w:r>
      <w:r w:rsidRPr="00E96B85">
        <w:rPr>
          <w:spacing w:val="-5"/>
        </w:rPr>
        <w:t xml:space="preserve"> </w:t>
      </w:r>
      <w:r>
        <w:t>la</w:t>
      </w:r>
      <w:r w:rsidRPr="00E96B85">
        <w:rPr>
          <w:spacing w:val="-5"/>
        </w:rPr>
        <w:t xml:space="preserve"> </w:t>
      </w:r>
      <w:r>
        <w:t>prevención</w:t>
      </w:r>
      <w:r w:rsidRPr="00E96B85">
        <w:rPr>
          <w:spacing w:val="-5"/>
        </w:rPr>
        <w:t xml:space="preserve"> </w:t>
      </w:r>
      <w:r>
        <w:t>y</w:t>
      </w:r>
      <w:r w:rsidRPr="00E96B85">
        <w:rPr>
          <w:spacing w:val="-5"/>
        </w:rPr>
        <w:t xml:space="preserve"> </w:t>
      </w:r>
      <w:r>
        <w:t>reversión</w:t>
      </w:r>
      <w:r w:rsidRPr="00E96B85">
        <w:rPr>
          <w:spacing w:val="-5"/>
        </w:rPr>
        <w:t xml:space="preserve"> </w:t>
      </w:r>
      <w:r>
        <w:t>del</w:t>
      </w:r>
      <w:r w:rsidRPr="00E96B85">
        <w:rPr>
          <w:spacing w:val="-4"/>
        </w:rPr>
        <w:t xml:space="preserve"> </w:t>
      </w:r>
      <w:r>
        <w:t>despojo;</w:t>
      </w:r>
      <w:r w:rsidRPr="00E96B85">
        <w:rPr>
          <w:spacing w:val="-4"/>
        </w:rPr>
        <w:t xml:space="preserve"> </w:t>
      </w:r>
      <w:r>
        <w:t>el</w:t>
      </w:r>
      <w:r w:rsidRPr="00E96B85">
        <w:rPr>
          <w:spacing w:val="-6"/>
        </w:rPr>
        <w:t xml:space="preserve"> </w:t>
      </w:r>
      <w:r>
        <w:t>acceso</w:t>
      </w:r>
      <w:r w:rsidRPr="00E96B85">
        <w:rPr>
          <w:spacing w:val="-6"/>
        </w:rPr>
        <w:t xml:space="preserve"> </w:t>
      </w:r>
      <w:r>
        <w:t>a</w:t>
      </w:r>
      <w:r w:rsidRPr="00E96B85">
        <w:rPr>
          <w:spacing w:val="-5"/>
        </w:rPr>
        <w:t xml:space="preserve"> </w:t>
      </w:r>
      <w:r>
        <w:t>bienes</w:t>
      </w:r>
      <w:r w:rsidRPr="00E96B85">
        <w:rPr>
          <w:spacing w:val="-5"/>
        </w:rPr>
        <w:t xml:space="preserve"> </w:t>
      </w:r>
      <w:r>
        <w:t>y servicios públicos, incluidas la seguridad y la justicia; y oportunidades productivas (de capital financiero, vías terciarias, acceso a mercados) para los habitantes del campo que significa la para el país la seguridad y soberanía alimentarias el cuidado de</w:t>
      </w:r>
      <w:r w:rsidRPr="00E96B85">
        <w:rPr>
          <w:spacing w:val="-11"/>
        </w:rPr>
        <w:t xml:space="preserve"> </w:t>
      </w:r>
      <w:r>
        <w:t>los</w:t>
      </w:r>
      <w:r w:rsidRPr="00E96B85">
        <w:rPr>
          <w:spacing w:val="-11"/>
        </w:rPr>
        <w:t xml:space="preserve"> </w:t>
      </w:r>
      <w:r>
        <w:t>ecosistemas,</w:t>
      </w:r>
      <w:r w:rsidRPr="00E96B85">
        <w:rPr>
          <w:spacing w:val="-11"/>
        </w:rPr>
        <w:t xml:space="preserve"> </w:t>
      </w:r>
      <w:r>
        <w:t>del</w:t>
      </w:r>
      <w:r w:rsidRPr="00E96B85">
        <w:rPr>
          <w:spacing w:val="-10"/>
        </w:rPr>
        <w:t xml:space="preserve"> </w:t>
      </w:r>
      <w:r>
        <w:t>agua</w:t>
      </w:r>
      <w:r w:rsidRPr="00E96B85">
        <w:rPr>
          <w:spacing w:val="-11"/>
        </w:rPr>
        <w:t xml:space="preserve"> </w:t>
      </w:r>
      <w:r>
        <w:t>y</w:t>
      </w:r>
      <w:r w:rsidRPr="00E96B85">
        <w:rPr>
          <w:spacing w:val="-11"/>
        </w:rPr>
        <w:t xml:space="preserve"> </w:t>
      </w:r>
      <w:r>
        <w:t>de</w:t>
      </w:r>
      <w:r w:rsidRPr="00E96B85">
        <w:rPr>
          <w:spacing w:val="-11"/>
        </w:rPr>
        <w:t xml:space="preserve"> </w:t>
      </w:r>
      <w:r>
        <w:t>la</w:t>
      </w:r>
      <w:r w:rsidRPr="00E96B85">
        <w:rPr>
          <w:spacing w:val="-11"/>
        </w:rPr>
        <w:t xml:space="preserve"> </w:t>
      </w:r>
      <w:r>
        <w:t>tierra</w:t>
      </w:r>
      <w:r w:rsidRPr="00E96B85">
        <w:rPr>
          <w:spacing w:val="-11"/>
        </w:rPr>
        <w:t xml:space="preserve"> </w:t>
      </w:r>
      <w:r>
        <w:t>como</w:t>
      </w:r>
      <w:r w:rsidRPr="00E96B85">
        <w:rPr>
          <w:spacing w:val="-11"/>
        </w:rPr>
        <w:t xml:space="preserve"> </w:t>
      </w:r>
      <w:r>
        <w:t>elementos</w:t>
      </w:r>
      <w:r w:rsidRPr="00E96B85">
        <w:rPr>
          <w:spacing w:val="-11"/>
        </w:rPr>
        <w:t xml:space="preserve"> </w:t>
      </w:r>
      <w:r>
        <w:t>fundamentales</w:t>
      </w:r>
      <w:r w:rsidRPr="00E96B85">
        <w:rPr>
          <w:spacing w:val="-12"/>
        </w:rPr>
        <w:t xml:space="preserve"> </w:t>
      </w:r>
      <w:r>
        <w:t>para</w:t>
      </w:r>
      <w:r w:rsidRPr="00E96B85">
        <w:rPr>
          <w:spacing w:val="-11"/>
        </w:rPr>
        <w:t xml:space="preserve"> </w:t>
      </w:r>
      <w:r>
        <w:t>el</w:t>
      </w:r>
      <w:r w:rsidRPr="00E96B85">
        <w:rPr>
          <w:spacing w:val="-10"/>
        </w:rPr>
        <w:t xml:space="preserve"> </w:t>
      </w:r>
      <w:r>
        <w:t>bien común y el buen vivir nacional desde las comunidades locales.</w:t>
      </w:r>
    </w:p>
    <w:p w:rsidR="003804AC" w:rsidRDefault="00AF18A5" w:rsidP="004A6EF4">
      <w:pPr>
        <w:pStyle w:val="Prrafodelista"/>
        <w:numPr>
          <w:ilvl w:val="0"/>
          <w:numId w:val="26"/>
        </w:numPr>
      </w:pPr>
      <w:r>
        <w:t>Garantizar la aplicación del enfoque diferencial en la implementación de todas las recomendaciones</w:t>
      </w:r>
      <w:r w:rsidRPr="00E96B85">
        <w:rPr>
          <w:spacing w:val="-11"/>
        </w:rPr>
        <w:t xml:space="preserve"> </w:t>
      </w:r>
      <w:r>
        <w:t>de</w:t>
      </w:r>
      <w:r w:rsidRPr="00E96B85">
        <w:rPr>
          <w:spacing w:val="-11"/>
        </w:rPr>
        <w:t xml:space="preserve"> </w:t>
      </w:r>
      <w:r>
        <w:t>la</w:t>
      </w:r>
      <w:r w:rsidRPr="00E96B85">
        <w:rPr>
          <w:spacing w:val="-11"/>
        </w:rPr>
        <w:t xml:space="preserve"> </w:t>
      </w:r>
      <w:r>
        <w:t>Comisión</w:t>
      </w:r>
      <w:r w:rsidRPr="00E96B85">
        <w:rPr>
          <w:spacing w:val="-12"/>
        </w:rPr>
        <w:t xml:space="preserve"> </w:t>
      </w:r>
      <w:r>
        <w:t>y</w:t>
      </w:r>
      <w:r w:rsidRPr="00E96B85">
        <w:rPr>
          <w:spacing w:val="-11"/>
        </w:rPr>
        <w:t xml:space="preserve"> </w:t>
      </w:r>
      <w:r>
        <w:t>en</w:t>
      </w:r>
      <w:r w:rsidRPr="00E96B85">
        <w:rPr>
          <w:spacing w:val="-12"/>
        </w:rPr>
        <w:t xml:space="preserve"> </w:t>
      </w:r>
      <w:r>
        <w:t>el</w:t>
      </w:r>
      <w:r w:rsidRPr="00E96B85">
        <w:rPr>
          <w:spacing w:val="-11"/>
        </w:rPr>
        <w:t xml:space="preserve"> </w:t>
      </w:r>
      <w:r>
        <w:t>desarrollo</w:t>
      </w:r>
      <w:r w:rsidRPr="00E96B85">
        <w:rPr>
          <w:spacing w:val="-11"/>
        </w:rPr>
        <w:t xml:space="preserve"> </w:t>
      </w:r>
      <w:r>
        <w:t>de</w:t>
      </w:r>
      <w:r w:rsidRPr="00E96B85">
        <w:rPr>
          <w:spacing w:val="-11"/>
        </w:rPr>
        <w:t xml:space="preserve"> </w:t>
      </w:r>
      <w:r>
        <w:t>las</w:t>
      </w:r>
      <w:r w:rsidRPr="00E96B85">
        <w:rPr>
          <w:spacing w:val="-12"/>
        </w:rPr>
        <w:t xml:space="preserve"> </w:t>
      </w:r>
      <w:r>
        <w:t>funciones</w:t>
      </w:r>
      <w:r w:rsidRPr="00E96B85">
        <w:rPr>
          <w:spacing w:val="-11"/>
        </w:rPr>
        <w:t xml:space="preserve"> </w:t>
      </w:r>
      <w:r>
        <w:t>del</w:t>
      </w:r>
      <w:r w:rsidRPr="00E96B85">
        <w:rPr>
          <w:spacing w:val="-11"/>
        </w:rPr>
        <w:t xml:space="preserve"> </w:t>
      </w:r>
      <w:r>
        <w:t>Estado</w:t>
      </w:r>
      <w:r w:rsidRPr="00E96B85">
        <w:rPr>
          <w:spacing w:val="-11"/>
        </w:rPr>
        <w:t xml:space="preserve"> </w:t>
      </w:r>
      <w:r>
        <w:t>es</w:t>
      </w:r>
      <w:r w:rsidRPr="00E96B85">
        <w:rPr>
          <w:spacing w:val="-11"/>
        </w:rPr>
        <w:t xml:space="preserve"> </w:t>
      </w:r>
      <w:r>
        <w:t>una condición</w:t>
      </w:r>
      <w:r w:rsidRPr="00E96B85">
        <w:rPr>
          <w:spacing w:val="-5"/>
        </w:rPr>
        <w:t xml:space="preserve"> </w:t>
      </w:r>
      <w:r>
        <w:t>para</w:t>
      </w:r>
      <w:r w:rsidRPr="00E96B85">
        <w:rPr>
          <w:spacing w:val="-5"/>
        </w:rPr>
        <w:t xml:space="preserve"> </w:t>
      </w:r>
      <w:r>
        <w:t>lograr</w:t>
      </w:r>
      <w:r w:rsidRPr="00E96B85">
        <w:rPr>
          <w:spacing w:val="-6"/>
        </w:rPr>
        <w:t xml:space="preserve"> </w:t>
      </w:r>
      <w:r>
        <w:t>la</w:t>
      </w:r>
      <w:r w:rsidRPr="00E96B85">
        <w:rPr>
          <w:spacing w:val="-6"/>
        </w:rPr>
        <w:t xml:space="preserve"> </w:t>
      </w:r>
      <w:r>
        <w:t>paz</w:t>
      </w:r>
      <w:r w:rsidRPr="00E96B85">
        <w:rPr>
          <w:spacing w:val="-5"/>
        </w:rPr>
        <w:t xml:space="preserve"> </w:t>
      </w:r>
      <w:r>
        <w:t>total.</w:t>
      </w:r>
      <w:r w:rsidRPr="00E96B85">
        <w:rPr>
          <w:spacing w:val="-5"/>
        </w:rPr>
        <w:t xml:space="preserve"> </w:t>
      </w:r>
      <w:r>
        <w:t>No</w:t>
      </w:r>
      <w:r w:rsidRPr="00E96B85">
        <w:rPr>
          <w:spacing w:val="-5"/>
        </w:rPr>
        <w:t xml:space="preserve"> </w:t>
      </w:r>
      <w:r>
        <w:t>puede</w:t>
      </w:r>
      <w:r w:rsidRPr="00E96B85">
        <w:rPr>
          <w:spacing w:val="-5"/>
        </w:rPr>
        <w:t xml:space="preserve"> </w:t>
      </w:r>
      <w:r>
        <w:t>haber</w:t>
      </w:r>
      <w:r w:rsidRPr="00E96B85">
        <w:rPr>
          <w:spacing w:val="-4"/>
        </w:rPr>
        <w:t xml:space="preserve"> </w:t>
      </w:r>
      <w:r>
        <w:t>paz</w:t>
      </w:r>
      <w:r w:rsidRPr="00E96B85">
        <w:rPr>
          <w:spacing w:val="-5"/>
        </w:rPr>
        <w:t xml:space="preserve"> </w:t>
      </w:r>
      <w:r>
        <w:t>íntegra</w:t>
      </w:r>
      <w:r w:rsidRPr="00E96B85">
        <w:rPr>
          <w:spacing w:val="-5"/>
        </w:rPr>
        <w:t xml:space="preserve"> </w:t>
      </w:r>
      <w:r>
        <w:t>sin</w:t>
      </w:r>
      <w:r w:rsidRPr="00E96B85">
        <w:rPr>
          <w:spacing w:val="-5"/>
        </w:rPr>
        <w:t xml:space="preserve"> </w:t>
      </w:r>
      <w:r>
        <w:t>un</w:t>
      </w:r>
      <w:r w:rsidRPr="00E96B85">
        <w:rPr>
          <w:spacing w:val="-5"/>
        </w:rPr>
        <w:t xml:space="preserve"> </w:t>
      </w:r>
      <w:r>
        <w:t>trato</w:t>
      </w:r>
      <w:r w:rsidRPr="00E96B85">
        <w:rPr>
          <w:spacing w:val="-5"/>
        </w:rPr>
        <w:t xml:space="preserve"> </w:t>
      </w:r>
      <w:r>
        <w:t>diferencial hacia los grupos históricamente excluidos - pueblos étnicos, población campesina, mujeres, NNAJ, personas LGBTQ+, personas en situación de discapacidad o diversidad</w:t>
      </w:r>
      <w:r w:rsidRPr="00E96B85">
        <w:rPr>
          <w:spacing w:val="-7"/>
        </w:rPr>
        <w:t xml:space="preserve"> </w:t>
      </w:r>
      <w:r>
        <w:t>funcional</w:t>
      </w:r>
      <w:r w:rsidRPr="00E96B85">
        <w:rPr>
          <w:spacing w:val="-7"/>
        </w:rPr>
        <w:t xml:space="preserve"> </w:t>
      </w:r>
      <w:r>
        <w:t>y</w:t>
      </w:r>
      <w:r w:rsidRPr="00E96B85">
        <w:rPr>
          <w:spacing w:val="-6"/>
        </w:rPr>
        <w:t xml:space="preserve"> </w:t>
      </w:r>
      <w:r>
        <w:t>de</w:t>
      </w:r>
      <w:r w:rsidRPr="00E96B85">
        <w:rPr>
          <w:spacing w:val="-6"/>
        </w:rPr>
        <w:t xml:space="preserve"> </w:t>
      </w:r>
      <w:r>
        <w:t>la</w:t>
      </w:r>
      <w:r w:rsidRPr="00E96B85">
        <w:rPr>
          <w:spacing w:val="-7"/>
        </w:rPr>
        <w:t xml:space="preserve"> </w:t>
      </w:r>
      <w:r>
        <w:t>tercera</w:t>
      </w:r>
      <w:r w:rsidRPr="00E96B85">
        <w:rPr>
          <w:spacing w:val="-6"/>
        </w:rPr>
        <w:t xml:space="preserve"> </w:t>
      </w:r>
      <w:r>
        <w:t>edad</w:t>
      </w:r>
      <w:r w:rsidRPr="00E96B85">
        <w:rPr>
          <w:spacing w:val="-6"/>
        </w:rPr>
        <w:t xml:space="preserve"> </w:t>
      </w:r>
      <w:r>
        <w:t>-</w:t>
      </w:r>
      <w:r w:rsidRPr="00E96B85">
        <w:rPr>
          <w:spacing w:val="-5"/>
        </w:rPr>
        <w:t xml:space="preserve"> </w:t>
      </w:r>
      <w:r>
        <w:t>y</w:t>
      </w:r>
      <w:r w:rsidRPr="00E96B85">
        <w:rPr>
          <w:spacing w:val="-7"/>
        </w:rPr>
        <w:t xml:space="preserve"> </w:t>
      </w:r>
      <w:r>
        <w:t>si</w:t>
      </w:r>
      <w:r w:rsidRPr="00E96B85">
        <w:rPr>
          <w:spacing w:val="-6"/>
        </w:rPr>
        <w:t xml:space="preserve"> </w:t>
      </w:r>
      <w:r>
        <w:t>no</w:t>
      </w:r>
      <w:r w:rsidRPr="00E96B85">
        <w:rPr>
          <w:spacing w:val="-7"/>
        </w:rPr>
        <w:t xml:space="preserve"> </w:t>
      </w:r>
      <w:r>
        <w:t>se</w:t>
      </w:r>
      <w:r w:rsidRPr="00E96B85">
        <w:rPr>
          <w:spacing w:val="-6"/>
        </w:rPr>
        <w:t xml:space="preserve"> </w:t>
      </w:r>
      <w:r>
        <w:t>hacen</w:t>
      </w:r>
      <w:r w:rsidRPr="00E96B85">
        <w:rPr>
          <w:spacing w:val="-7"/>
        </w:rPr>
        <w:t xml:space="preserve"> </w:t>
      </w:r>
      <w:r>
        <w:t>esfuerzos</w:t>
      </w:r>
      <w:r w:rsidRPr="00E96B85">
        <w:rPr>
          <w:spacing w:val="-7"/>
        </w:rPr>
        <w:t xml:space="preserve"> </w:t>
      </w:r>
      <w:r>
        <w:t>específicos</w:t>
      </w:r>
      <w:r w:rsidRPr="00E96B85">
        <w:rPr>
          <w:spacing w:val="-6"/>
        </w:rPr>
        <w:t xml:space="preserve"> </w:t>
      </w:r>
      <w:r>
        <w:t xml:space="preserve">para transformar los factores por los que el conflicto armado causó </w:t>
      </w:r>
      <w:r>
        <w:lastRenderedPageBreak/>
        <w:t>impactos particularmente</w:t>
      </w:r>
      <w:r w:rsidRPr="00E96B85">
        <w:rPr>
          <w:spacing w:val="-15"/>
        </w:rPr>
        <w:t xml:space="preserve"> </w:t>
      </w:r>
      <w:r>
        <w:t>agravados</w:t>
      </w:r>
      <w:r w:rsidRPr="00E96B85">
        <w:rPr>
          <w:spacing w:val="-15"/>
        </w:rPr>
        <w:t xml:space="preserve"> </w:t>
      </w:r>
      <w:r>
        <w:t>sobre</w:t>
      </w:r>
      <w:r w:rsidRPr="00E96B85">
        <w:rPr>
          <w:spacing w:val="-15"/>
        </w:rPr>
        <w:t xml:space="preserve"> </w:t>
      </w:r>
      <w:r>
        <w:t>ellos.</w:t>
      </w:r>
      <w:r w:rsidRPr="00E96B85">
        <w:rPr>
          <w:spacing w:val="-15"/>
        </w:rPr>
        <w:t xml:space="preserve"> </w:t>
      </w:r>
      <w:r>
        <w:t>Esto</w:t>
      </w:r>
      <w:r w:rsidRPr="00E96B85">
        <w:rPr>
          <w:spacing w:val="-15"/>
        </w:rPr>
        <w:t xml:space="preserve"> </w:t>
      </w:r>
      <w:r>
        <w:t>implica</w:t>
      </w:r>
      <w:r w:rsidRPr="00E96B85">
        <w:rPr>
          <w:spacing w:val="-15"/>
        </w:rPr>
        <w:t xml:space="preserve"> </w:t>
      </w:r>
      <w:r>
        <w:t>que</w:t>
      </w:r>
      <w:r w:rsidRPr="00E96B85">
        <w:rPr>
          <w:spacing w:val="-15"/>
        </w:rPr>
        <w:t xml:space="preserve"> </w:t>
      </w:r>
      <w:r>
        <w:t>se</w:t>
      </w:r>
      <w:r w:rsidRPr="00E96B85">
        <w:rPr>
          <w:spacing w:val="-15"/>
        </w:rPr>
        <w:t xml:space="preserve"> </w:t>
      </w:r>
      <w:r>
        <w:t>debe</w:t>
      </w:r>
      <w:r w:rsidRPr="00E96B85">
        <w:rPr>
          <w:spacing w:val="-15"/>
        </w:rPr>
        <w:t xml:space="preserve"> </w:t>
      </w:r>
      <w:r>
        <w:t>garantizar</w:t>
      </w:r>
      <w:r w:rsidRPr="00E96B85">
        <w:rPr>
          <w:spacing w:val="-15"/>
        </w:rPr>
        <w:t xml:space="preserve"> </w:t>
      </w:r>
      <w:r>
        <w:t>su</w:t>
      </w:r>
      <w:r w:rsidRPr="00E96B85">
        <w:rPr>
          <w:spacing w:val="-15"/>
        </w:rPr>
        <w:t xml:space="preserve"> </w:t>
      </w:r>
      <w:r>
        <w:t>derecho a la participación en los procesos de ajustes normativos, institucionales, de políticas públicas y en los mecanismos que se establezcan para implementar las recomendaciones, reconociendo sus liderazgos y autoridades (en el caso de los pueblos étnicos). El enfoque diferencial deberá incluir tanto medidas afirmativas específicas para cada grupo poblacional, como la aplicación transversal del enfoque en</w:t>
      </w:r>
      <w:r w:rsidRPr="00E96B85">
        <w:rPr>
          <w:spacing w:val="-2"/>
        </w:rPr>
        <w:t xml:space="preserve"> </w:t>
      </w:r>
      <w:r>
        <w:t>todas</w:t>
      </w:r>
      <w:r w:rsidRPr="00E96B85">
        <w:rPr>
          <w:spacing w:val="-2"/>
        </w:rPr>
        <w:t xml:space="preserve"> </w:t>
      </w:r>
      <w:r>
        <w:t>las</w:t>
      </w:r>
      <w:r w:rsidRPr="00E96B85">
        <w:rPr>
          <w:spacing w:val="-3"/>
        </w:rPr>
        <w:t xml:space="preserve"> </w:t>
      </w:r>
      <w:r>
        <w:t>medidas</w:t>
      </w:r>
      <w:r w:rsidRPr="00E96B85">
        <w:rPr>
          <w:spacing w:val="-2"/>
        </w:rPr>
        <w:t xml:space="preserve"> </w:t>
      </w:r>
      <w:r>
        <w:t>que</w:t>
      </w:r>
      <w:r w:rsidRPr="00E96B85">
        <w:rPr>
          <w:spacing w:val="-3"/>
        </w:rPr>
        <w:t xml:space="preserve"> </w:t>
      </w:r>
      <w:r>
        <w:t>tienen</w:t>
      </w:r>
      <w:r w:rsidRPr="00E96B85">
        <w:rPr>
          <w:spacing w:val="-3"/>
        </w:rPr>
        <w:t xml:space="preserve"> </w:t>
      </w:r>
      <w:r>
        <w:t>especial</w:t>
      </w:r>
      <w:r w:rsidRPr="00E96B85">
        <w:rPr>
          <w:spacing w:val="-3"/>
        </w:rPr>
        <w:t xml:space="preserve"> </w:t>
      </w:r>
      <w:r>
        <w:t>efecto</w:t>
      </w:r>
      <w:r w:rsidRPr="00E96B85">
        <w:rPr>
          <w:spacing w:val="-3"/>
        </w:rPr>
        <w:t xml:space="preserve"> </w:t>
      </w:r>
      <w:r>
        <w:t>para</w:t>
      </w:r>
      <w:r w:rsidRPr="00E96B85">
        <w:rPr>
          <w:spacing w:val="-3"/>
        </w:rPr>
        <w:t xml:space="preserve"> </w:t>
      </w:r>
      <w:r>
        <w:t>la</w:t>
      </w:r>
      <w:r w:rsidRPr="00E96B85">
        <w:rPr>
          <w:spacing w:val="-3"/>
        </w:rPr>
        <w:t xml:space="preserve"> </w:t>
      </w:r>
      <w:r>
        <w:t>erradicación</w:t>
      </w:r>
      <w:r w:rsidRPr="00E96B85">
        <w:rPr>
          <w:spacing w:val="-4"/>
        </w:rPr>
        <w:t xml:space="preserve"> </w:t>
      </w:r>
      <w:r>
        <w:t>de</w:t>
      </w:r>
      <w:r w:rsidRPr="00E96B85">
        <w:rPr>
          <w:spacing w:val="-3"/>
        </w:rPr>
        <w:t xml:space="preserve"> </w:t>
      </w:r>
      <w:r>
        <w:t>las</w:t>
      </w:r>
      <w:r w:rsidRPr="00E96B85">
        <w:rPr>
          <w:spacing w:val="-2"/>
        </w:rPr>
        <w:t xml:space="preserve"> </w:t>
      </w:r>
      <w:r>
        <w:t>violencias históricas estructurales (racismo, patriarcado y clasismo).</w:t>
      </w:r>
    </w:p>
    <w:p w:rsidR="003804AC" w:rsidRDefault="00AF18A5" w:rsidP="004A6EF4">
      <w:pPr>
        <w:pStyle w:val="Prrafodelista"/>
        <w:numPr>
          <w:ilvl w:val="0"/>
          <w:numId w:val="26"/>
        </w:numPr>
      </w:pPr>
      <w:r>
        <w:t xml:space="preserve">Asumir como sociedad una ética ciudadana y pública compartida que nos permita transformar los valores, los principios y las narrativas que hacen parte de nuestra </w:t>
      </w:r>
      <w:r w:rsidRPr="00E96B85">
        <w:rPr>
          <w:spacing w:val="-2"/>
        </w:rPr>
        <w:t>cultura</w:t>
      </w:r>
      <w:r w:rsidRPr="00E96B85">
        <w:rPr>
          <w:spacing w:val="-7"/>
        </w:rPr>
        <w:t xml:space="preserve"> </w:t>
      </w:r>
      <w:r w:rsidRPr="00E96B85">
        <w:rPr>
          <w:spacing w:val="-2"/>
        </w:rPr>
        <w:t>y</w:t>
      </w:r>
      <w:r w:rsidRPr="00E96B85">
        <w:rPr>
          <w:spacing w:val="-7"/>
        </w:rPr>
        <w:t xml:space="preserve"> </w:t>
      </w:r>
      <w:r w:rsidRPr="00E96B85">
        <w:rPr>
          <w:spacing w:val="-2"/>
        </w:rPr>
        <w:t>que</w:t>
      </w:r>
      <w:r w:rsidRPr="00E96B85">
        <w:rPr>
          <w:spacing w:val="-8"/>
        </w:rPr>
        <w:t xml:space="preserve"> </w:t>
      </w:r>
      <w:r w:rsidRPr="00E96B85">
        <w:rPr>
          <w:spacing w:val="-2"/>
        </w:rPr>
        <w:t>han</w:t>
      </w:r>
      <w:r w:rsidRPr="00E96B85">
        <w:rPr>
          <w:spacing w:val="-7"/>
        </w:rPr>
        <w:t xml:space="preserve"> </w:t>
      </w:r>
      <w:r w:rsidRPr="00E96B85">
        <w:rPr>
          <w:spacing w:val="-2"/>
        </w:rPr>
        <w:t>contribuido</w:t>
      </w:r>
      <w:r w:rsidRPr="00E96B85">
        <w:rPr>
          <w:spacing w:val="-7"/>
        </w:rPr>
        <w:t xml:space="preserve"> </w:t>
      </w:r>
      <w:r w:rsidRPr="00E96B85">
        <w:rPr>
          <w:spacing w:val="-2"/>
        </w:rPr>
        <w:t>a</w:t>
      </w:r>
      <w:r w:rsidRPr="00E96B85">
        <w:rPr>
          <w:spacing w:val="-8"/>
        </w:rPr>
        <w:t xml:space="preserve"> </w:t>
      </w:r>
      <w:r w:rsidRPr="00E96B85">
        <w:rPr>
          <w:spacing w:val="-2"/>
        </w:rPr>
        <w:t>la</w:t>
      </w:r>
      <w:r w:rsidRPr="00E96B85">
        <w:rPr>
          <w:spacing w:val="-7"/>
        </w:rPr>
        <w:t xml:space="preserve"> </w:t>
      </w:r>
      <w:r w:rsidRPr="00E96B85">
        <w:rPr>
          <w:spacing w:val="-2"/>
        </w:rPr>
        <w:t>persistencia</w:t>
      </w:r>
      <w:r w:rsidRPr="00E96B85">
        <w:rPr>
          <w:spacing w:val="-8"/>
        </w:rPr>
        <w:t xml:space="preserve"> </w:t>
      </w:r>
      <w:r w:rsidRPr="00E96B85">
        <w:rPr>
          <w:spacing w:val="-2"/>
        </w:rPr>
        <w:t>de</w:t>
      </w:r>
      <w:r w:rsidRPr="00E96B85">
        <w:rPr>
          <w:spacing w:val="-8"/>
        </w:rPr>
        <w:t xml:space="preserve"> </w:t>
      </w:r>
      <w:r w:rsidRPr="00E96B85">
        <w:rPr>
          <w:spacing w:val="-2"/>
        </w:rPr>
        <w:t>la</w:t>
      </w:r>
      <w:r w:rsidRPr="00E96B85">
        <w:rPr>
          <w:spacing w:val="-7"/>
        </w:rPr>
        <w:t xml:space="preserve"> </w:t>
      </w:r>
      <w:r w:rsidRPr="00E96B85">
        <w:rPr>
          <w:spacing w:val="-2"/>
        </w:rPr>
        <w:t>violencia,</w:t>
      </w:r>
      <w:r w:rsidRPr="00E96B85">
        <w:rPr>
          <w:spacing w:val="-9"/>
        </w:rPr>
        <w:t xml:space="preserve"> </w:t>
      </w:r>
      <w:r w:rsidRPr="00E96B85">
        <w:rPr>
          <w:spacing w:val="-2"/>
        </w:rPr>
        <w:t>de</w:t>
      </w:r>
      <w:r w:rsidRPr="00E96B85">
        <w:rPr>
          <w:spacing w:val="-7"/>
        </w:rPr>
        <w:t xml:space="preserve"> </w:t>
      </w:r>
      <w:r w:rsidRPr="00E96B85">
        <w:rPr>
          <w:spacing w:val="-2"/>
        </w:rPr>
        <w:t>manera</w:t>
      </w:r>
      <w:r w:rsidRPr="00E96B85">
        <w:rPr>
          <w:spacing w:val="-7"/>
        </w:rPr>
        <w:t xml:space="preserve"> </w:t>
      </w:r>
      <w:r w:rsidRPr="00E96B85">
        <w:rPr>
          <w:spacing w:val="-2"/>
        </w:rPr>
        <w:t>que</w:t>
      </w:r>
      <w:r w:rsidRPr="00E96B85">
        <w:rPr>
          <w:spacing w:val="-7"/>
        </w:rPr>
        <w:t xml:space="preserve"> </w:t>
      </w:r>
      <w:r w:rsidRPr="00E96B85">
        <w:rPr>
          <w:spacing w:val="-2"/>
        </w:rPr>
        <w:t xml:space="preserve">podamos </w:t>
      </w:r>
      <w:r>
        <w:t>construir</w:t>
      </w:r>
      <w:r w:rsidRPr="00E96B85">
        <w:rPr>
          <w:spacing w:val="-8"/>
        </w:rPr>
        <w:t xml:space="preserve"> </w:t>
      </w:r>
      <w:r>
        <w:t>nuevas</w:t>
      </w:r>
      <w:r w:rsidRPr="00E96B85">
        <w:rPr>
          <w:spacing w:val="-8"/>
        </w:rPr>
        <w:t xml:space="preserve"> </w:t>
      </w:r>
      <w:r>
        <w:t>formas</w:t>
      </w:r>
      <w:r w:rsidRPr="00E96B85">
        <w:rPr>
          <w:spacing w:val="-9"/>
        </w:rPr>
        <w:t xml:space="preserve"> </w:t>
      </w:r>
      <w:r>
        <w:t>de</w:t>
      </w:r>
      <w:r w:rsidRPr="00E96B85">
        <w:rPr>
          <w:spacing w:val="-8"/>
        </w:rPr>
        <w:t xml:space="preserve"> </w:t>
      </w:r>
      <w:r>
        <w:t>vivir</w:t>
      </w:r>
      <w:r w:rsidRPr="00E96B85">
        <w:rPr>
          <w:spacing w:val="-8"/>
        </w:rPr>
        <w:t xml:space="preserve"> </w:t>
      </w:r>
      <w:r>
        <w:t>en</w:t>
      </w:r>
      <w:r w:rsidRPr="00E96B85">
        <w:rPr>
          <w:spacing w:val="-9"/>
        </w:rPr>
        <w:t xml:space="preserve"> </w:t>
      </w:r>
      <w:r>
        <w:t>sociedad</w:t>
      </w:r>
      <w:r w:rsidRPr="00E96B85">
        <w:rPr>
          <w:spacing w:val="-8"/>
        </w:rPr>
        <w:t xml:space="preserve"> </w:t>
      </w:r>
      <w:r>
        <w:t>basadas</w:t>
      </w:r>
      <w:r w:rsidRPr="00E96B85">
        <w:rPr>
          <w:spacing w:val="-8"/>
        </w:rPr>
        <w:t xml:space="preserve"> </w:t>
      </w:r>
      <w:r>
        <w:t>en</w:t>
      </w:r>
      <w:r w:rsidRPr="00E96B85">
        <w:rPr>
          <w:spacing w:val="-9"/>
        </w:rPr>
        <w:t xml:space="preserve"> </w:t>
      </w:r>
      <w:r>
        <w:t>la</w:t>
      </w:r>
      <w:r w:rsidRPr="00E96B85">
        <w:rPr>
          <w:spacing w:val="-8"/>
        </w:rPr>
        <w:t xml:space="preserve"> </w:t>
      </w:r>
      <w:r>
        <w:t>igualdad</w:t>
      </w:r>
      <w:r w:rsidRPr="00E96B85">
        <w:rPr>
          <w:spacing w:val="-8"/>
        </w:rPr>
        <w:t xml:space="preserve"> </w:t>
      </w:r>
      <w:r>
        <w:t>de</w:t>
      </w:r>
      <w:r w:rsidRPr="00E96B85">
        <w:rPr>
          <w:spacing w:val="-9"/>
        </w:rPr>
        <w:t xml:space="preserve"> </w:t>
      </w:r>
      <w:r>
        <w:t>dignidades,</w:t>
      </w:r>
      <w:r w:rsidRPr="00E96B85">
        <w:rPr>
          <w:spacing w:val="-9"/>
        </w:rPr>
        <w:t xml:space="preserve"> </w:t>
      </w:r>
      <w:r>
        <w:t>el</w:t>
      </w:r>
      <w:r w:rsidR="00E96B85">
        <w:t xml:space="preserve"> </w:t>
      </w:r>
      <w:r>
        <w:t>reconocimiento</w:t>
      </w:r>
      <w:r w:rsidRPr="00E96B85">
        <w:rPr>
          <w:spacing w:val="-10"/>
        </w:rPr>
        <w:t xml:space="preserve"> </w:t>
      </w:r>
      <w:r>
        <w:t>del</w:t>
      </w:r>
      <w:r w:rsidRPr="00E96B85">
        <w:rPr>
          <w:spacing w:val="-9"/>
        </w:rPr>
        <w:t xml:space="preserve"> </w:t>
      </w:r>
      <w:r>
        <w:t>otro</w:t>
      </w:r>
      <w:r w:rsidRPr="00E96B85">
        <w:rPr>
          <w:spacing w:val="-11"/>
        </w:rPr>
        <w:t xml:space="preserve"> </w:t>
      </w:r>
      <w:r>
        <w:t>en</w:t>
      </w:r>
      <w:r w:rsidRPr="00E96B85">
        <w:rPr>
          <w:spacing w:val="-10"/>
        </w:rPr>
        <w:t xml:space="preserve"> </w:t>
      </w:r>
      <w:r>
        <w:t>todas</w:t>
      </w:r>
      <w:r w:rsidRPr="00E96B85">
        <w:rPr>
          <w:spacing w:val="-9"/>
        </w:rPr>
        <w:t xml:space="preserve"> </w:t>
      </w:r>
      <w:r>
        <w:t>sus</w:t>
      </w:r>
      <w:r w:rsidRPr="00E96B85">
        <w:rPr>
          <w:spacing w:val="-9"/>
        </w:rPr>
        <w:t xml:space="preserve"> </w:t>
      </w:r>
      <w:r>
        <w:t>diversidades,</w:t>
      </w:r>
      <w:r w:rsidRPr="00E96B85">
        <w:rPr>
          <w:spacing w:val="-10"/>
        </w:rPr>
        <w:t xml:space="preserve"> </w:t>
      </w:r>
      <w:r>
        <w:t>el</w:t>
      </w:r>
      <w:r w:rsidRPr="00E96B85">
        <w:rPr>
          <w:spacing w:val="-9"/>
        </w:rPr>
        <w:t xml:space="preserve"> </w:t>
      </w:r>
      <w:r>
        <w:t>cuidado</w:t>
      </w:r>
      <w:r w:rsidRPr="00E96B85">
        <w:rPr>
          <w:spacing w:val="-10"/>
        </w:rPr>
        <w:t xml:space="preserve"> </w:t>
      </w:r>
      <w:r>
        <w:t>de</w:t>
      </w:r>
      <w:r w:rsidRPr="00E96B85">
        <w:rPr>
          <w:spacing w:val="-9"/>
        </w:rPr>
        <w:t xml:space="preserve"> </w:t>
      </w:r>
      <w:r>
        <w:t>la</w:t>
      </w:r>
      <w:r w:rsidRPr="00E96B85">
        <w:rPr>
          <w:spacing w:val="-9"/>
        </w:rPr>
        <w:t xml:space="preserve"> </w:t>
      </w:r>
      <w:r>
        <w:t>vida,</w:t>
      </w:r>
      <w:r w:rsidRPr="00E96B85">
        <w:rPr>
          <w:spacing w:val="-10"/>
        </w:rPr>
        <w:t xml:space="preserve"> </w:t>
      </w:r>
      <w:r>
        <w:t>el</w:t>
      </w:r>
      <w:r w:rsidRPr="00E96B85">
        <w:rPr>
          <w:spacing w:val="-10"/>
        </w:rPr>
        <w:t xml:space="preserve"> </w:t>
      </w:r>
      <w:r>
        <w:t>respeto</w:t>
      </w:r>
      <w:r w:rsidRPr="00E96B85">
        <w:rPr>
          <w:spacing w:val="-10"/>
        </w:rPr>
        <w:t xml:space="preserve"> </w:t>
      </w:r>
      <w:r>
        <w:t>de los derechos humanos y la capacidad de diálogo y deliberación argumentada. Colombia necesita acabar con la visión del enemigo que ha sido en buena parte el sustrato de la guerra y la política y que ha alterado incluso las relaciones sociales. Este cambio cultural, sustantivo, requiere de transformaciones en lo institucional, lo normativo, incluyendo una dimensión personal y cotidiana, por lo cual es necesario realizar</w:t>
      </w:r>
      <w:r w:rsidRPr="00E96B85">
        <w:rPr>
          <w:spacing w:val="-15"/>
        </w:rPr>
        <w:t xml:space="preserve"> </w:t>
      </w:r>
      <w:r>
        <w:t>transformaciones</w:t>
      </w:r>
      <w:r w:rsidRPr="00E96B85">
        <w:rPr>
          <w:spacing w:val="-15"/>
        </w:rPr>
        <w:t xml:space="preserve"> </w:t>
      </w:r>
      <w:r>
        <w:t>en</w:t>
      </w:r>
      <w:r w:rsidRPr="00E96B85">
        <w:rPr>
          <w:spacing w:val="-15"/>
        </w:rPr>
        <w:t xml:space="preserve"> </w:t>
      </w:r>
      <w:r>
        <w:t>el</w:t>
      </w:r>
      <w:r w:rsidRPr="00E96B85">
        <w:rPr>
          <w:spacing w:val="-15"/>
        </w:rPr>
        <w:t xml:space="preserve"> </w:t>
      </w:r>
      <w:r>
        <w:t>sistema</w:t>
      </w:r>
      <w:r w:rsidRPr="00E96B85">
        <w:rPr>
          <w:spacing w:val="-14"/>
        </w:rPr>
        <w:t xml:space="preserve"> </w:t>
      </w:r>
      <w:r>
        <w:t>educativo</w:t>
      </w:r>
      <w:r w:rsidRPr="00E96B85">
        <w:rPr>
          <w:spacing w:val="-15"/>
        </w:rPr>
        <w:t xml:space="preserve"> </w:t>
      </w:r>
      <w:r>
        <w:t>para</w:t>
      </w:r>
      <w:r w:rsidRPr="00E96B85">
        <w:rPr>
          <w:spacing w:val="-15"/>
        </w:rPr>
        <w:t xml:space="preserve"> </w:t>
      </w:r>
      <w:r>
        <w:t>formar</w:t>
      </w:r>
      <w:r w:rsidRPr="00E96B85">
        <w:rPr>
          <w:spacing w:val="-14"/>
        </w:rPr>
        <w:t xml:space="preserve"> </w:t>
      </w:r>
      <w:r>
        <w:t>sujetos</w:t>
      </w:r>
      <w:r w:rsidRPr="00E96B85">
        <w:rPr>
          <w:spacing w:val="-15"/>
        </w:rPr>
        <w:t xml:space="preserve"> </w:t>
      </w:r>
      <w:r>
        <w:t>capaces</w:t>
      </w:r>
      <w:r w:rsidRPr="00E96B85">
        <w:rPr>
          <w:spacing w:val="-15"/>
        </w:rPr>
        <w:t xml:space="preserve"> </w:t>
      </w:r>
      <w:r>
        <w:t>de</w:t>
      </w:r>
      <w:r w:rsidRPr="00E96B85">
        <w:rPr>
          <w:spacing w:val="-14"/>
        </w:rPr>
        <w:t xml:space="preserve"> </w:t>
      </w:r>
      <w:r>
        <w:t>vivir en paz y aprender las lecciones del pasado como parte de la historia compartida y memoria colectiva; llevar a cabo campañas, espacios de encuentro y promover la gestión</w:t>
      </w:r>
      <w:r w:rsidRPr="00E96B85">
        <w:rPr>
          <w:spacing w:val="-1"/>
        </w:rPr>
        <w:t xml:space="preserve"> </w:t>
      </w:r>
      <w:r>
        <w:t>cultural para</w:t>
      </w:r>
      <w:r w:rsidRPr="00E96B85">
        <w:rPr>
          <w:spacing w:val="-1"/>
        </w:rPr>
        <w:t xml:space="preserve"> </w:t>
      </w:r>
      <w:r>
        <w:t>que el</w:t>
      </w:r>
      <w:r w:rsidRPr="00E96B85">
        <w:rPr>
          <w:spacing w:val="-1"/>
        </w:rPr>
        <w:t xml:space="preserve"> </w:t>
      </w:r>
      <w:r>
        <w:t>respeto</w:t>
      </w:r>
      <w:r w:rsidRPr="00E96B85">
        <w:rPr>
          <w:spacing w:val="-2"/>
        </w:rPr>
        <w:t xml:space="preserve"> </w:t>
      </w:r>
      <w:r>
        <w:t>por la</w:t>
      </w:r>
      <w:r w:rsidRPr="00E96B85">
        <w:rPr>
          <w:spacing w:val="-1"/>
        </w:rPr>
        <w:t xml:space="preserve"> </w:t>
      </w:r>
      <w:r>
        <w:t>vida y</w:t>
      </w:r>
      <w:r w:rsidRPr="00E96B85">
        <w:rPr>
          <w:spacing w:val="-1"/>
        </w:rPr>
        <w:t xml:space="preserve"> </w:t>
      </w:r>
      <w:r>
        <w:t>la diversidad</w:t>
      </w:r>
      <w:r w:rsidRPr="00E96B85">
        <w:rPr>
          <w:spacing w:val="-1"/>
        </w:rPr>
        <w:t xml:space="preserve"> </w:t>
      </w:r>
      <w:r>
        <w:lastRenderedPageBreak/>
        <w:t>permee</w:t>
      </w:r>
      <w:r w:rsidRPr="00E96B85">
        <w:rPr>
          <w:spacing w:val="-1"/>
        </w:rPr>
        <w:t xml:space="preserve"> </w:t>
      </w:r>
      <w:r>
        <w:t>los territorios; e involucrar a los medios de comunicación, las iglesias y comunidades religiosas en la transformación de percepciones y la desinstalación de narrativas de odio, discriminación y estigmatización que permanecen enquistadas en nuestra cultura.</w:t>
      </w:r>
    </w:p>
    <w:p w:rsidR="00E96B85" w:rsidRDefault="00AF18A5" w:rsidP="004A6EF4">
      <w:pPr>
        <w:pStyle w:val="Prrafodelista"/>
        <w:numPr>
          <w:ilvl w:val="0"/>
          <w:numId w:val="26"/>
        </w:numPr>
      </w:pPr>
      <w:r>
        <w:t xml:space="preserve">Tomar el legado de la Comisión de la Verdad, que se materializa en sus hallazgos, recomendaciones y aprendizajes, como base de la reflexión y de la acción social y política respecto a asuntos fundamentales de la historia, del presente y de la posibilidad de la vida en comunidad hacia el futuro. Este legado permanecerá accesible en el Informe de la Comisión, su archivo, su </w:t>
      </w:r>
      <w:proofErr w:type="spellStart"/>
      <w:r>
        <w:t>transmedia</w:t>
      </w:r>
      <w:proofErr w:type="spellEnd"/>
      <w:r>
        <w:t xml:space="preserve"> y la exposición permanente en el Museo de Memoria de Colombia, y su vigencia dependerá de que los diferentes estamentos de la sociedad y las instituciones, las víctimas y movimientos sociales se apropien de él, para convertirlo en una energía de transformación colectiva, y para quienes en cumplimiento de sus deberes, objetivos y misiones, implementar las recomendaciones que se les ha hecho en el presente Informe sea una forma de explorar esas vías de transformación para una Colombia incluyente y en paz.</w:t>
      </w:r>
    </w:p>
    <w:p w:rsidR="00E96B85" w:rsidRDefault="00E96B85">
      <w:pPr>
        <w:spacing w:before="0" w:after="0" w:line="240" w:lineRule="auto"/>
      </w:pPr>
      <w:r>
        <w:br w:type="page"/>
      </w:r>
    </w:p>
    <w:p w:rsidR="003804AC" w:rsidRDefault="00AF18A5" w:rsidP="004A6EF4">
      <w:pPr>
        <w:pStyle w:val="Ttulo2"/>
        <w:numPr>
          <w:ilvl w:val="0"/>
          <w:numId w:val="27"/>
        </w:numPr>
      </w:pPr>
      <w:bookmarkStart w:id="1496" w:name="1._Para_avanzar_en_la_construcción_de_pa"/>
      <w:bookmarkStart w:id="1497" w:name="_Toc112399679"/>
      <w:bookmarkEnd w:id="1496"/>
      <w:r>
        <w:lastRenderedPageBreak/>
        <w:t>PARA</w:t>
      </w:r>
      <w:r>
        <w:rPr>
          <w:spacing w:val="80"/>
        </w:rPr>
        <w:t xml:space="preserve"> </w:t>
      </w:r>
      <w:r>
        <w:t>AVANZAR</w:t>
      </w:r>
      <w:r>
        <w:rPr>
          <w:spacing w:val="80"/>
        </w:rPr>
        <w:t xml:space="preserve"> </w:t>
      </w:r>
      <w:r>
        <w:t>EN</w:t>
      </w:r>
      <w:r>
        <w:rPr>
          <w:spacing w:val="80"/>
        </w:rPr>
        <w:t xml:space="preserve"> </w:t>
      </w:r>
      <w:r>
        <w:t>LA</w:t>
      </w:r>
      <w:r>
        <w:rPr>
          <w:spacing w:val="80"/>
        </w:rPr>
        <w:t xml:space="preserve"> </w:t>
      </w:r>
      <w:r>
        <w:t>CONSTRUCCIÓN</w:t>
      </w:r>
      <w:r>
        <w:rPr>
          <w:spacing w:val="80"/>
        </w:rPr>
        <w:t xml:space="preserve"> </w:t>
      </w:r>
      <w:r>
        <w:t>DE</w:t>
      </w:r>
      <w:r>
        <w:rPr>
          <w:spacing w:val="80"/>
        </w:rPr>
        <w:t xml:space="preserve"> </w:t>
      </w:r>
      <w:r>
        <w:t>PAZ</w:t>
      </w:r>
      <w:r>
        <w:rPr>
          <w:spacing w:val="80"/>
        </w:rPr>
        <w:t xml:space="preserve"> </w:t>
      </w:r>
      <w:r>
        <w:t>COMO</w:t>
      </w:r>
      <w:r>
        <w:rPr>
          <w:spacing w:val="80"/>
        </w:rPr>
        <w:t xml:space="preserve"> </w:t>
      </w:r>
      <w:r>
        <w:t>UN</w:t>
      </w:r>
      <w:r>
        <w:rPr>
          <w:spacing w:val="80"/>
        </w:rPr>
        <w:t xml:space="preserve"> </w:t>
      </w:r>
      <w:r>
        <w:t xml:space="preserve">PROYECTO </w:t>
      </w:r>
      <w:r>
        <w:rPr>
          <w:spacing w:val="-2"/>
        </w:rPr>
        <w:t>NACIONAL</w:t>
      </w:r>
      <w:bookmarkEnd w:id="1497"/>
    </w:p>
    <w:p w:rsidR="0011361F" w:rsidRDefault="00E96B85" w:rsidP="00E96B85">
      <w:r>
        <w:t>“</w:t>
      </w:r>
      <w:r w:rsidR="00AF18A5">
        <w:t>Creo</w:t>
      </w:r>
      <w:r w:rsidR="00AF18A5">
        <w:rPr>
          <w:spacing w:val="-3"/>
        </w:rPr>
        <w:t xml:space="preserve"> </w:t>
      </w:r>
      <w:r w:rsidR="00AF18A5">
        <w:t>que</w:t>
      </w:r>
      <w:r w:rsidR="00AF18A5">
        <w:rPr>
          <w:spacing w:val="-3"/>
        </w:rPr>
        <w:t xml:space="preserve"> </w:t>
      </w:r>
      <w:r w:rsidR="00AF18A5">
        <w:t>el</w:t>
      </w:r>
      <w:r w:rsidR="00AF18A5">
        <w:rPr>
          <w:spacing w:val="-4"/>
        </w:rPr>
        <w:t xml:space="preserve"> </w:t>
      </w:r>
      <w:r w:rsidR="00AF18A5">
        <w:t>primer</w:t>
      </w:r>
      <w:r w:rsidR="00AF18A5">
        <w:rPr>
          <w:spacing w:val="-3"/>
        </w:rPr>
        <w:t xml:space="preserve"> </w:t>
      </w:r>
      <w:r w:rsidR="00AF18A5">
        <w:t>ejercicio</w:t>
      </w:r>
      <w:r w:rsidR="00AF18A5">
        <w:rPr>
          <w:spacing w:val="-3"/>
        </w:rPr>
        <w:t xml:space="preserve"> </w:t>
      </w:r>
      <w:r w:rsidR="00AF18A5">
        <w:t>es</w:t>
      </w:r>
      <w:r w:rsidR="00AF18A5">
        <w:rPr>
          <w:spacing w:val="-3"/>
        </w:rPr>
        <w:t xml:space="preserve"> </w:t>
      </w:r>
      <w:r w:rsidR="00AF18A5">
        <w:t>que</w:t>
      </w:r>
      <w:r w:rsidR="00AF18A5">
        <w:rPr>
          <w:spacing w:val="-3"/>
        </w:rPr>
        <w:t xml:space="preserve"> </w:t>
      </w:r>
      <w:r w:rsidR="00AF18A5">
        <w:t>el</w:t>
      </w:r>
      <w:r w:rsidR="00AF18A5">
        <w:rPr>
          <w:spacing w:val="-3"/>
        </w:rPr>
        <w:t xml:space="preserve"> </w:t>
      </w:r>
      <w:r w:rsidR="00AF18A5">
        <w:t>gobierno</w:t>
      </w:r>
      <w:r w:rsidR="00AF18A5">
        <w:rPr>
          <w:spacing w:val="-3"/>
        </w:rPr>
        <w:t xml:space="preserve"> </w:t>
      </w:r>
      <w:r w:rsidR="00AF18A5">
        <w:t>respete</w:t>
      </w:r>
      <w:r w:rsidR="00AF18A5">
        <w:rPr>
          <w:spacing w:val="-4"/>
        </w:rPr>
        <w:t xml:space="preserve"> </w:t>
      </w:r>
      <w:r w:rsidR="00AF18A5">
        <w:t>lo</w:t>
      </w:r>
      <w:r w:rsidR="00AF18A5">
        <w:rPr>
          <w:spacing w:val="-3"/>
        </w:rPr>
        <w:t xml:space="preserve"> </w:t>
      </w:r>
      <w:r w:rsidR="00AF18A5">
        <w:t>firmado</w:t>
      </w:r>
      <w:r w:rsidR="00AF18A5">
        <w:rPr>
          <w:spacing w:val="-3"/>
        </w:rPr>
        <w:t xml:space="preserve"> </w:t>
      </w:r>
      <w:r w:rsidR="00AF18A5">
        <w:t>en</w:t>
      </w:r>
      <w:r w:rsidR="00AF18A5">
        <w:rPr>
          <w:spacing w:val="-3"/>
        </w:rPr>
        <w:t xml:space="preserve"> </w:t>
      </w:r>
      <w:r w:rsidR="00AF18A5">
        <w:t>los</w:t>
      </w:r>
      <w:r w:rsidR="00AF18A5">
        <w:rPr>
          <w:spacing w:val="-3"/>
        </w:rPr>
        <w:t xml:space="preserve"> </w:t>
      </w:r>
      <w:r w:rsidR="00AF18A5">
        <w:t>Acuerdos</w:t>
      </w:r>
      <w:r w:rsidR="00AF18A5">
        <w:rPr>
          <w:spacing w:val="-3"/>
        </w:rPr>
        <w:t xml:space="preserve"> </w:t>
      </w:r>
      <w:r w:rsidR="00AF18A5">
        <w:t>de</w:t>
      </w:r>
      <w:r w:rsidR="00AF18A5">
        <w:rPr>
          <w:spacing w:val="-4"/>
        </w:rPr>
        <w:t xml:space="preserve"> </w:t>
      </w:r>
      <w:r w:rsidR="00AF18A5">
        <w:t>la paz</w:t>
      </w:r>
      <w:r w:rsidR="00AF18A5">
        <w:rPr>
          <w:spacing w:val="-3"/>
        </w:rPr>
        <w:t xml:space="preserve"> </w:t>
      </w:r>
      <w:r w:rsidR="00AF18A5">
        <w:t>yo</w:t>
      </w:r>
      <w:r w:rsidR="00AF18A5">
        <w:rPr>
          <w:spacing w:val="-1"/>
        </w:rPr>
        <w:t xml:space="preserve"> </w:t>
      </w:r>
      <w:r w:rsidR="00AF18A5">
        <w:t>creo</w:t>
      </w:r>
      <w:r w:rsidR="00AF18A5">
        <w:rPr>
          <w:spacing w:val="-2"/>
        </w:rPr>
        <w:t xml:space="preserve"> </w:t>
      </w:r>
      <w:r w:rsidR="00AF18A5">
        <w:t>que</w:t>
      </w:r>
      <w:r w:rsidR="00AF18A5">
        <w:rPr>
          <w:spacing w:val="-1"/>
        </w:rPr>
        <w:t xml:space="preserve"> </w:t>
      </w:r>
      <w:r w:rsidR="00AF18A5">
        <w:t>eso</w:t>
      </w:r>
      <w:r w:rsidR="00AF18A5">
        <w:rPr>
          <w:spacing w:val="-1"/>
        </w:rPr>
        <w:t xml:space="preserve"> </w:t>
      </w:r>
      <w:r w:rsidR="00AF18A5">
        <w:t>es un</w:t>
      </w:r>
      <w:r w:rsidR="00AF18A5">
        <w:rPr>
          <w:spacing w:val="-1"/>
        </w:rPr>
        <w:t xml:space="preserve"> </w:t>
      </w:r>
      <w:r w:rsidR="00AF18A5">
        <w:t>primer</w:t>
      </w:r>
      <w:r w:rsidR="00AF18A5">
        <w:rPr>
          <w:spacing w:val="-1"/>
        </w:rPr>
        <w:t xml:space="preserve"> </w:t>
      </w:r>
      <w:r w:rsidR="00AF18A5">
        <w:t>ejercicio para</w:t>
      </w:r>
      <w:r w:rsidR="00AF18A5">
        <w:rPr>
          <w:spacing w:val="-3"/>
        </w:rPr>
        <w:t xml:space="preserve"> </w:t>
      </w:r>
      <w:r w:rsidR="00AF18A5">
        <w:t>promover</w:t>
      </w:r>
      <w:r w:rsidR="00AF18A5">
        <w:rPr>
          <w:spacing w:val="-1"/>
        </w:rPr>
        <w:t xml:space="preserve"> </w:t>
      </w:r>
      <w:r w:rsidR="00AF18A5">
        <w:t>que esto</w:t>
      </w:r>
      <w:r w:rsidR="00AF18A5">
        <w:rPr>
          <w:spacing w:val="-1"/>
        </w:rPr>
        <w:t xml:space="preserve"> </w:t>
      </w:r>
      <w:r w:rsidR="00AF18A5">
        <w:t>no</w:t>
      </w:r>
      <w:r w:rsidR="00AF18A5">
        <w:rPr>
          <w:spacing w:val="-1"/>
        </w:rPr>
        <w:t xml:space="preserve"> </w:t>
      </w:r>
      <w:r w:rsidR="00AF18A5">
        <w:t xml:space="preserve">se </w:t>
      </w:r>
      <w:r w:rsidR="00AF18A5">
        <w:rPr>
          <w:spacing w:val="-2"/>
        </w:rPr>
        <w:t>repita</w:t>
      </w:r>
      <w:r>
        <w:rPr>
          <w:rStyle w:val="Refdenotaalpie"/>
          <w:spacing w:val="-2"/>
        </w:rPr>
        <w:footnoteReference w:id="1174"/>
      </w:r>
      <w:r w:rsidR="00AF18A5">
        <w:rPr>
          <w:spacing w:val="-2"/>
        </w:rPr>
        <w:t>.</w:t>
      </w:r>
      <w:r>
        <w:rPr>
          <w:spacing w:val="-2"/>
        </w:rPr>
        <w:t>”</w:t>
      </w:r>
    </w:p>
    <w:p w:rsidR="003804AC" w:rsidRDefault="00AF18A5" w:rsidP="00E96B85">
      <w:r>
        <w:t>A pesar del avance que significó para el país la firma del Acuerdo Final de Paz, Colombia continúa inmersa en conflictos armados en diferentes territorios, que deben ser abordados y resueltos de fondo para avanzar hacia la paz completa. Luego de cinco años de la firma del Acuerdo</w:t>
      </w:r>
      <w:r>
        <w:rPr>
          <w:spacing w:val="-2"/>
        </w:rPr>
        <w:t xml:space="preserve"> </w:t>
      </w:r>
      <w:r>
        <w:t>Final</w:t>
      </w:r>
      <w:r>
        <w:rPr>
          <w:spacing w:val="-2"/>
        </w:rPr>
        <w:t xml:space="preserve"> </w:t>
      </w:r>
      <w:r>
        <w:t>de</w:t>
      </w:r>
      <w:r>
        <w:rPr>
          <w:spacing w:val="-2"/>
        </w:rPr>
        <w:t xml:space="preserve"> </w:t>
      </w:r>
      <w:r>
        <w:t>Paz</w:t>
      </w:r>
      <w:r>
        <w:rPr>
          <w:spacing w:val="-2"/>
        </w:rPr>
        <w:t xml:space="preserve"> </w:t>
      </w:r>
      <w:r>
        <w:t>entre</w:t>
      </w:r>
      <w:r>
        <w:rPr>
          <w:spacing w:val="-2"/>
        </w:rPr>
        <w:t xml:space="preserve"> </w:t>
      </w:r>
      <w:r>
        <w:t>el</w:t>
      </w:r>
      <w:r>
        <w:rPr>
          <w:spacing w:val="-2"/>
        </w:rPr>
        <w:t xml:space="preserve"> </w:t>
      </w:r>
      <w:r>
        <w:t>Estado</w:t>
      </w:r>
      <w:r>
        <w:rPr>
          <w:spacing w:val="-4"/>
        </w:rPr>
        <w:t xml:space="preserve"> </w:t>
      </w:r>
      <w:r>
        <w:t>colombiano</w:t>
      </w:r>
      <w:r>
        <w:rPr>
          <w:spacing w:val="-3"/>
        </w:rPr>
        <w:t xml:space="preserve"> </w:t>
      </w:r>
      <w:r>
        <w:t>y</w:t>
      </w:r>
      <w:r>
        <w:rPr>
          <w:spacing w:val="-2"/>
        </w:rPr>
        <w:t xml:space="preserve"> </w:t>
      </w:r>
      <w:r>
        <w:t>las</w:t>
      </w:r>
      <w:r>
        <w:rPr>
          <w:spacing w:val="-3"/>
        </w:rPr>
        <w:t xml:space="preserve"> </w:t>
      </w:r>
      <w:r>
        <w:t>extintas</w:t>
      </w:r>
      <w:r>
        <w:rPr>
          <w:spacing w:val="-2"/>
        </w:rPr>
        <w:t xml:space="preserve"> </w:t>
      </w:r>
      <w:r>
        <w:t>FARC-EP,</w:t>
      </w:r>
      <w:r>
        <w:rPr>
          <w:spacing w:val="-1"/>
        </w:rPr>
        <w:t xml:space="preserve"> </w:t>
      </w:r>
      <w:r>
        <w:t>la</w:t>
      </w:r>
      <w:r>
        <w:rPr>
          <w:spacing w:val="-3"/>
        </w:rPr>
        <w:t xml:space="preserve"> </w:t>
      </w:r>
      <w:r>
        <w:t>lenta</w:t>
      </w:r>
      <w:r>
        <w:rPr>
          <w:spacing w:val="-3"/>
        </w:rPr>
        <w:t xml:space="preserve"> </w:t>
      </w:r>
      <w:r>
        <w:t>y</w:t>
      </w:r>
      <w:r>
        <w:rPr>
          <w:spacing w:val="-2"/>
        </w:rPr>
        <w:t xml:space="preserve"> </w:t>
      </w:r>
      <w:r>
        <w:t>parcial implementación de</w:t>
      </w:r>
      <w:r>
        <w:rPr>
          <w:spacing w:val="-1"/>
        </w:rPr>
        <w:t xml:space="preserve"> </w:t>
      </w:r>
      <w:r>
        <w:t>lo pactado, sumada al</w:t>
      </w:r>
      <w:r>
        <w:rPr>
          <w:spacing w:val="-1"/>
        </w:rPr>
        <w:t xml:space="preserve"> </w:t>
      </w:r>
      <w:r>
        <w:t>recrudecimiento</w:t>
      </w:r>
      <w:r>
        <w:rPr>
          <w:spacing w:val="-2"/>
        </w:rPr>
        <w:t xml:space="preserve"> </w:t>
      </w:r>
      <w:r>
        <w:t>de la violencia en</w:t>
      </w:r>
      <w:r>
        <w:rPr>
          <w:spacing w:val="-1"/>
        </w:rPr>
        <w:t xml:space="preserve"> </w:t>
      </w:r>
      <w:r>
        <w:t>algunas zonas, han</w:t>
      </w:r>
      <w:r>
        <w:rPr>
          <w:spacing w:val="-5"/>
        </w:rPr>
        <w:t xml:space="preserve"> </w:t>
      </w:r>
      <w:r>
        <w:t>obstaculizado</w:t>
      </w:r>
      <w:r>
        <w:rPr>
          <w:spacing w:val="-6"/>
        </w:rPr>
        <w:t xml:space="preserve"> </w:t>
      </w:r>
      <w:r>
        <w:t>la</w:t>
      </w:r>
      <w:r>
        <w:rPr>
          <w:spacing w:val="-4"/>
        </w:rPr>
        <w:t xml:space="preserve"> </w:t>
      </w:r>
      <w:r>
        <w:t>posibilidad</w:t>
      </w:r>
      <w:r>
        <w:rPr>
          <w:spacing w:val="-5"/>
        </w:rPr>
        <w:t xml:space="preserve"> </w:t>
      </w:r>
      <w:r>
        <w:t>de</w:t>
      </w:r>
      <w:r>
        <w:rPr>
          <w:spacing w:val="-6"/>
        </w:rPr>
        <w:t xml:space="preserve"> </w:t>
      </w:r>
      <w:r>
        <w:t>avanzar</w:t>
      </w:r>
      <w:r>
        <w:rPr>
          <w:spacing w:val="-4"/>
        </w:rPr>
        <w:t xml:space="preserve"> </w:t>
      </w:r>
      <w:r>
        <w:t>decididamente</w:t>
      </w:r>
      <w:r>
        <w:rPr>
          <w:spacing w:val="-4"/>
        </w:rPr>
        <w:t xml:space="preserve"> </w:t>
      </w:r>
      <w:r>
        <w:t>hacia</w:t>
      </w:r>
      <w:r>
        <w:rPr>
          <w:spacing w:val="-6"/>
        </w:rPr>
        <w:t xml:space="preserve"> </w:t>
      </w:r>
      <w:r>
        <w:t>la</w:t>
      </w:r>
      <w:r>
        <w:rPr>
          <w:spacing w:val="-4"/>
        </w:rPr>
        <w:t xml:space="preserve"> </w:t>
      </w:r>
      <w:r>
        <w:t>construcción</w:t>
      </w:r>
      <w:r>
        <w:rPr>
          <w:spacing w:val="-5"/>
        </w:rPr>
        <w:t xml:space="preserve"> </w:t>
      </w:r>
      <w:r>
        <w:t>de</w:t>
      </w:r>
      <w:r>
        <w:rPr>
          <w:spacing w:val="-6"/>
        </w:rPr>
        <w:t xml:space="preserve"> </w:t>
      </w:r>
      <w:r>
        <w:t>paz.</w:t>
      </w:r>
      <w:r>
        <w:rPr>
          <w:spacing w:val="-5"/>
        </w:rPr>
        <w:t xml:space="preserve"> </w:t>
      </w:r>
      <w:r>
        <w:t>Por ello, las recomendaciones en este acápite hacen un llamado al Estado a honrar los compromisos asumidos en el Acuerdo Final de Paz, a poner un fin definitivo a la confrontación armada dada la persistencia y expansión de la violencia en ciertos territorios del</w:t>
      </w:r>
      <w:r>
        <w:rPr>
          <w:spacing w:val="-1"/>
        </w:rPr>
        <w:t xml:space="preserve"> </w:t>
      </w:r>
      <w:r>
        <w:t>país</w:t>
      </w:r>
      <w:r>
        <w:rPr>
          <w:spacing w:val="-1"/>
        </w:rPr>
        <w:t xml:space="preserve"> </w:t>
      </w:r>
      <w:r>
        <w:t>y,</w:t>
      </w:r>
      <w:r>
        <w:rPr>
          <w:spacing w:val="-1"/>
        </w:rPr>
        <w:t xml:space="preserve"> </w:t>
      </w:r>
      <w:r>
        <w:t>por</w:t>
      </w:r>
      <w:r>
        <w:rPr>
          <w:spacing w:val="-1"/>
        </w:rPr>
        <w:t xml:space="preserve"> </w:t>
      </w:r>
      <w:r>
        <w:t>tanto,</w:t>
      </w:r>
      <w:r>
        <w:rPr>
          <w:spacing w:val="-1"/>
        </w:rPr>
        <w:t xml:space="preserve"> </w:t>
      </w:r>
      <w:r>
        <w:t>a</w:t>
      </w:r>
      <w:r>
        <w:rPr>
          <w:spacing w:val="-1"/>
        </w:rPr>
        <w:t xml:space="preserve"> </w:t>
      </w:r>
      <w:r>
        <w:t>priorizar</w:t>
      </w:r>
      <w:r>
        <w:rPr>
          <w:spacing w:val="-1"/>
        </w:rPr>
        <w:t xml:space="preserve"> </w:t>
      </w:r>
      <w:r>
        <w:t>la</w:t>
      </w:r>
      <w:r>
        <w:rPr>
          <w:spacing w:val="-1"/>
        </w:rPr>
        <w:t xml:space="preserve"> </w:t>
      </w:r>
      <w:r>
        <w:t>vida</w:t>
      </w:r>
      <w:r>
        <w:rPr>
          <w:spacing w:val="-1"/>
        </w:rPr>
        <w:t xml:space="preserve"> </w:t>
      </w:r>
      <w:r>
        <w:t>y</w:t>
      </w:r>
      <w:r>
        <w:rPr>
          <w:spacing w:val="-1"/>
        </w:rPr>
        <w:t xml:space="preserve"> </w:t>
      </w:r>
      <w:r>
        <w:t>la</w:t>
      </w:r>
      <w:r>
        <w:rPr>
          <w:spacing w:val="-1"/>
        </w:rPr>
        <w:t xml:space="preserve"> </w:t>
      </w:r>
      <w:r>
        <w:t>construcción</w:t>
      </w:r>
      <w:r>
        <w:rPr>
          <w:spacing w:val="-1"/>
        </w:rPr>
        <w:t xml:space="preserve"> </w:t>
      </w:r>
      <w:r>
        <w:t>de</w:t>
      </w:r>
      <w:r>
        <w:rPr>
          <w:spacing w:val="-1"/>
        </w:rPr>
        <w:t xml:space="preserve"> </w:t>
      </w:r>
      <w:r>
        <w:t>paz</w:t>
      </w:r>
      <w:r>
        <w:rPr>
          <w:spacing w:val="-1"/>
        </w:rPr>
        <w:t xml:space="preserve"> </w:t>
      </w:r>
      <w:r>
        <w:t>dentro</w:t>
      </w:r>
      <w:r>
        <w:rPr>
          <w:spacing w:val="-1"/>
        </w:rPr>
        <w:t xml:space="preserve"> </w:t>
      </w:r>
      <w:r>
        <w:t>de</w:t>
      </w:r>
      <w:r>
        <w:rPr>
          <w:spacing w:val="-2"/>
        </w:rPr>
        <w:t xml:space="preserve"> </w:t>
      </w:r>
      <w:r>
        <w:t>la</w:t>
      </w:r>
      <w:r>
        <w:rPr>
          <w:spacing w:val="-1"/>
        </w:rPr>
        <w:t xml:space="preserve"> </w:t>
      </w:r>
      <w:r>
        <w:t>agenda</w:t>
      </w:r>
      <w:r>
        <w:rPr>
          <w:spacing w:val="-1"/>
        </w:rPr>
        <w:t xml:space="preserve"> </w:t>
      </w:r>
      <w:r>
        <w:t>política nacional. Esto implica la concurrencia de todos los poderes del Estado, de la comunidad internacional y de la sociedad civil –que históricamente ha jugado un rol fundamental en el impulso de la paz–, así como la convergencia de</w:t>
      </w:r>
      <w:r>
        <w:rPr>
          <w:spacing w:val="-1"/>
        </w:rPr>
        <w:t xml:space="preserve"> </w:t>
      </w:r>
      <w:r>
        <w:t>diversos esfuerzos y aprendizajes logrados a lo largo de la historia.</w:t>
      </w:r>
    </w:p>
    <w:p w:rsidR="003804AC" w:rsidRDefault="00AF18A5" w:rsidP="00E96B85">
      <w:r>
        <w:t>Si bien se reportan avances luego de los primeros cinco años de firma del Acuerdo Final de paz, el Instituto Kroc</w:t>
      </w:r>
      <w:r w:rsidR="00E96B85">
        <w:rPr>
          <w:rStyle w:val="Refdenotaalpie"/>
        </w:rPr>
        <w:footnoteReference w:id="1175"/>
      </w:r>
      <w:r>
        <w:t xml:space="preserve"> identifica que más de la </w:t>
      </w:r>
      <w:r>
        <w:lastRenderedPageBreak/>
        <w:t>mitad de las medidas acordadas no reportan avances significativos que garanticen su cumplimiento, según los tiempos establecidos. Incluso, se reporta una desaceleración en los porcentajes de ejecución, especialmente en el año 2021, en el que todas las medidas, excepto las relacionadas con el punto</w:t>
      </w:r>
      <w:r>
        <w:rPr>
          <w:spacing w:val="-15"/>
        </w:rPr>
        <w:t xml:space="preserve"> </w:t>
      </w:r>
      <w:r>
        <w:t>3,</w:t>
      </w:r>
      <w:r>
        <w:rPr>
          <w:spacing w:val="-15"/>
        </w:rPr>
        <w:t xml:space="preserve"> </w:t>
      </w:r>
      <w:r>
        <w:t>«Fin</w:t>
      </w:r>
      <w:r>
        <w:rPr>
          <w:spacing w:val="-15"/>
        </w:rPr>
        <w:t xml:space="preserve"> </w:t>
      </w:r>
      <w:r>
        <w:t>del</w:t>
      </w:r>
      <w:r>
        <w:rPr>
          <w:spacing w:val="-15"/>
        </w:rPr>
        <w:t xml:space="preserve"> </w:t>
      </w:r>
      <w:r>
        <w:t>conflicto»,</w:t>
      </w:r>
      <w:r>
        <w:rPr>
          <w:spacing w:val="-15"/>
        </w:rPr>
        <w:t xml:space="preserve"> </w:t>
      </w:r>
      <w:r>
        <w:t>reportaron</w:t>
      </w:r>
      <w:r>
        <w:rPr>
          <w:spacing w:val="-15"/>
        </w:rPr>
        <w:t xml:space="preserve"> </w:t>
      </w:r>
      <w:r>
        <w:t>un</w:t>
      </w:r>
      <w:r>
        <w:rPr>
          <w:spacing w:val="-15"/>
        </w:rPr>
        <w:t xml:space="preserve"> </w:t>
      </w:r>
      <w:r>
        <w:t>menor</w:t>
      </w:r>
      <w:r>
        <w:rPr>
          <w:spacing w:val="-15"/>
        </w:rPr>
        <w:t xml:space="preserve"> </w:t>
      </w:r>
      <w:r>
        <w:t>cumplimiento</w:t>
      </w:r>
      <w:r>
        <w:rPr>
          <w:spacing w:val="-15"/>
        </w:rPr>
        <w:t xml:space="preserve"> </w:t>
      </w:r>
      <w:r>
        <w:t>frente</w:t>
      </w:r>
      <w:r>
        <w:rPr>
          <w:spacing w:val="-15"/>
        </w:rPr>
        <w:t xml:space="preserve"> </w:t>
      </w:r>
      <w:r>
        <w:t>al</w:t>
      </w:r>
      <w:r>
        <w:rPr>
          <w:spacing w:val="-15"/>
        </w:rPr>
        <w:t xml:space="preserve"> </w:t>
      </w:r>
      <w:r>
        <w:t>año</w:t>
      </w:r>
      <w:r>
        <w:rPr>
          <w:spacing w:val="-15"/>
        </w:rPr>
        <w:t xml:space="preserve"> </w:t>
      </w:r>
      <w:r>
        <w:t>inmediatamente anterior,</w:t>
      </w:r>
      <w:r>
        <w:rPr>
          <w:spacing w:val="35"/>
        </w:rPr>
        <w:t xml:space="preserve"> </w:t>
      </w:r>
      <w:r>
        <w:t>con</w:t>
      </w:r>
      <w:r>
        <w:rPr>
          <w:spacing w:val="37"/>
        </w:rPr>
        <w:t xml:space="preserve"> </w:t>
      </w:r>
      <w:r>
        <w:t>retrocesos</w:t>
      </w:r>
      <w:r>
        <w:rPr>
          <w:spacing w:val="36"/>
        </w:rPr>
        <w:t xml:space="preserve"> </w:t>
      </w:r>
      <w:r>
        <w:t>preocupantes</w:t>
      </w:r>
      <w:r>
        <w:rPr>
          <w:spacing w:val="37"/>
        </w:rPr>
        <w:t xml:space="preserve"> </w:t>
      </w:r>
      <w:r>
        <w:t>en</w:t>
      </w:r>
      <w:r>
        <w:rPr>
          <w:spacing w:val="37"/>
        </w:rPr>
        <w:t xml:space="preserve"> </w:t>
      </w:r>
      <w:r>
        <w:t>materia</w:t>
      </w:r>
      <w:r>
        <w:rPr>
          <w:spacing w:val="37"/>
        </w:rPr>
        <w:t xml:space="preserve"> </w:t>
      </w:r>
      <w:r>
        <w:t>de</w:t>
      </w:r>
      <w:r>
        <w:rPr>
          <w:spacing w:val="37"/>
        </w:rPr>
        <w:t xml:space="preserve"> </w:t>
      </w:r>
      <w:r>
        <w:t>solución</w:t>
      </w:r>
      <w:r>
        <w:rPr>
          <w:spacing w:val="37"/>
        </w:rPr>
        <w:t xml:space="preserve"> </w:t>
      </w:r>
      <w:r>
        <w:t>al</w:t>
      </w:r>
      <w:r>
        <w:rPr>
          <w:spacing w:val="37"/>
        </w:rPr>
        <w:t xml:space="preserve"> </w:t>
      </w:r>
      <w:r>
        <w:t>problema</w:t>
      </w:r>
      <w:r>
        <w:rPr>
          <w:spacing w:val="37"/>
        </w:rPr>
        <w:t xml:space="preserve"> </w:t>
      </w:r>
      <w:r>
        <w:t>de</w:t>
      </w:r>
      <w:r>
        <w:rPr>
          <w:spacing w:val="37"/>
        </w:rPr>
        <w:t xml:space="preserve"> </w:t>
      </w:r>
      <w:r>
        <w:t>las</w:t>
      </w:r>
      <w:r>
        <w:rPr>
          <w:spacing w:val="38"/>
        </w:rPr>
        <w:t xml:space="preserve"> </w:t>
      </w:r>
      <w:r>
        <w:rPr>
          <w:spacing w:val="-2"/>
        </w:rPr>
        <w:t>drogas,</w:t>
      </w:r>
      <w:bookmarkStart w:id="1498" w:name="_bookmark1306"/>
      <w:bookmarkStart w:id="1499" w:name="_bookmark1307"/>
      <w:bookmarkEnd w:id="1498"/>
      <w:bookmarkEnd w:id="1499"/>
      <w:r w:rsidR="00E96B85">
        <w:t xml:space="preserve"> </w:t>
      </w:r>
      <w:r>
        <w:t>atención</w:t>
      </w:r>
      <w:r>
        <w:rPr>
          <w:spacing w:val="-5"/>
        </w:rPr>
        <w:t xml:space="preserve"> </w:t>
      </w:r>
      <w:r>
        <w:t>integral</w:t>
      </w:r>
      <w:r>
        <w:rPr>
          <w:spacing w:val="-6"/>
        </w:rPr>
        <w:t xml:space="preserve"> </w:t>
      </w:r>
      <w:r>
        <w:t>a</w:t>
      </w:r>
      <w:r>
        <w:rPr>
          <w:spacing w:val="-5"/>
        </w:rPr>
        <w:t xml:space="preserve"> </w:t>
      </w:r>
      <w:r>
        <w:t>víctimas</w:t>
      </w:r>
      <w:r>
        <w:rPr>
          <w:spacing w:val="-5"/>
        </w:rPr>
        <w:t xml:space="preserve"> </w:t>
      </w:r>
      <w:r>
        <w:t>y</w:t>
      </w:r>
      <w:r>
        <w:rPr>
          <w:spacing w:val="-6"/>
        </w:rPr>
        <w:t xml:space="preserve"> </w:t>
      </w:r>
      <w:r>
        <w:t>las</w:t>
      </w:r>
      <w:r>
        <w:rPr>
          <w:spacing w:val="-6"/>
        </w:rPr>
        <w:t xml:space="preserve"> </w:t>
      </w:r>
      <w:r>
        <w:t>medidas</w:t>
      </w:r>
      <w:r>
        <w:rPr>
          <w:spacing w:val="-5"/>
        </w:rPr>
        <w:t xml:space="preserve"> </w:t>
      </w:r>
      <w:r>
        <w:t>étnicas</w:t>
      </w:r>
      <w:r>
        <w:rPr>
          <w:spacing w:val="-5"/>
        </w:rPr>
        <w:t xml:space="preserve"> </w:t>
      </w:r>
      <w:r>
        <w:t>y</w:t>
      </w:r>
      <w:r>
        <w:rPr>
          <w:spacing w:val="-5"/>
        </w:rPr>
        <w:t xml:space="preserve"> </w:t>
      </w:r>
      <w:r>
        <w:t>de</w:t>
      </w:r>
      <w:r>
        <w:rPr>
          <w:spacing w:val="-5"/>
        </w:rPr>
        <w:t xml:space="preserve"> </w:t>
      </w:r>
      <w:r>
        <w:t>género</w:t>
      </w:r>
      <w:r w:rsidR="00E96B85">
        <w:rPr>
          <w:rStyle w:val="Refdenotaalpie"/>
        </w:rPr>
        <w:footnoteReference w:id="1176"/>
      </w:r>
      <w:r>
        <w:t>.</w:t>
      </w:r>
      <w:r>
        <w:rPr>
          <w:spacing w:val="-5"/>
        </w:rPr>
        <w:t xml:space="preserve"> </w:t>
      </w:r>
      <w:r>
        <w:t>De</w:t>
      </w:r>
      <w:r>
        <w:rPr>
          <w:spacing w:val="-5"/>
        </w:rPr>
        <w:t xml:space="preserve"> </w:t>
      </w:r>
      <w:r>
        <w:t>mantenerse</w:t>
      </w:r>
      <w:r>
        <w:rPr>
          <w:spacing w:val="-6"/>
        </w:rPr>
        <w:t xml:space="preserve"> </w:t>
      </w:r>
      <w:r>
        <w:t>este</w:t>
      </w:r>
      <w:r>
        <w:rPr>
          <w:spacing w:val="-6"/>
        </w:rPr>
        <w:t xml:space="preserve"> </w:t>
      </w:r>
      <w:r>
        <w:t>ritmo, es factible que un alto porcentaje de medidas del Acuerdo no se cumplan en los 15 años definidos para su implementación</w:t>
      </w:r>
      <w:r w:rsidR="00E96B85">
        <w:rPr>
          <w:rStyle w:val="Refdenotaalpie"/>
        </w:rPr>
        <w:footnoteReference w:id="1177"/>
      </w:r>
      <w:r>
        <w:t>. Y evitar que la energía de transformación que el acuerdo conlleva se pierda en una aplicación dilatada en el tiempo que no lleve al cambio que el acuerdo conlleva.</w:t>
      </w:r>
    </w:p>
    <w:p w:rsidR="003804AC" w:rsidRDefault="00AF18A5" w:rsidP="00E96B85">
      <w:r>
        <w:t>A lo anterior se suma el problema de la financiación. Desde la firma del Acuerdo, en ninguno de los años se han cumplido las metas de recursos planeadas, lo que resulta especialmente sensible en algunos de los puntos que requieren mayores inversiones, como los Programas de Desarrollo con Enfoque Territorial, el Programa Nacional Integral de Sustitución de Cultivos (PNIS) y la Atención y Reparación Integral a las Víctimas.</w:t>
      </w:r>
    </w:p>
    <w:p w:rsidR="003804AC" w:rsidRDefault="00AF18A5" w:rsidP="00E96B85">
      <w:r>
        <w:t>Quizás uno de los desafíos más importantes está en el tema de participación. La participación</w:t>
      </w:r>
      <w:r>
        <w:rPr>
          <w:spacing w:val="-6"/>
        </w:rPr>
        <w:t xml:space="preserve"> </w:t>
      </w:r>
      <w:r>
        <w:t>es</w:t>
      </w:r>
      <w:r>
        <w:rPr>
          <w:spacing w:val="-6"/>
        </w:rPr>
        <w:t xml:space="preserve"> </w:t>
      </w:r>
      <w:r>
        <w:t>un</w:t>
      </w:r>
      <w:r>
        <w:rPr>
          <w:spacing w:val="-7"/>
        </w:rPr>
        <w:t xml:space="preserve"> </w:t>
      </w:r>
      <w:r>
        <w:t>principio</w:t>
      </w:r>
      <w:r>
        <w:rPr>
          <w:spacing w:val="-6"/>
        </w:rPr>
        <w:t xml:space="preserve"> </w:t>
      </w:r>
      <w:r>
        <w:t>y</w:t>
      </w:r>
      <w:r>
        <w:rPr>
          <w:spacing w:val="-7"/>
        </w:rPr>
        <w:t xml:space="preserve"> </w:t>
      </w:r>
      <w:r>
        <w:t>un</w:t>
      </w:r>
      <w:r>
        <w:rPr>
          <w:spacing w:val="-6"/>
        </w:rPr>
        <w:t xml:space="preserve"> </w:t>
      </w:r>
      <w:r>
        <w:t>pilar</w:t>
      </w:r>
      <w:r>
        <w:rPr>
          <w:spacing w:val="-6"/>
        </w:rPr>
        <w:t xml:space="preserve"> </w:t>
      </w:r>
      <w:r>
        <w:t>del</w:t>
      </w:r>
      <w:r>
        <w:rPr>
          <w:spacing w:val="-6"/>
        </w:rPr>
        <w:t xml:space="preserve"> </w:t>
      </w:r>
      <w:r>
        <w:t>Acuerdo</w:t>
      </w:r>
      <w:r>
        <w:rPr>
          <w:spacing w:val="-6"/>
        </w:rPr>
        <w:t xml:space="preserve"> </w:t>
      </w:r>
      <w:r>
        <w:t>Final</w:t>
      </w:r>
      <w:r>
        <w:rPr>
          <w:spacing w:val="-7"/>
        </w:rPr>
        <w:t xml:space="preserve"> </w:t>
      </w:r>
      <w:r>
        <w:t>de</w:t>
      </w:r>
      <w:r>
        <w:rPr>
          <w:spacing w:val="-7"/>
        </w:rPr>
        <w:t xml:space="preserve"> </w:t>
      </w:r>
      <w:r>
        <w:t>Paz.</w:t>
      </w:r>
      <w:r>
        <w:rPr>
          <w:spacing w:val="-6"/>
        </w:rPr>
        <w:t xml:space="preserve"> </w:t>
      </w:r>
      <w:r>
        <w:t>No</w:t>
      </w:r>
      <w:r>
        <w:rPr>
          <w:spacing w:val="-6"/>
        </w:rPr>
        <w:t xml:space="preserve"> </w:t>
      </w:r>
      <w:r>
        <w:t>solo</w:t>
      </w:r>
      <w:r>
        <w:rPr>
          <w:spacing w:val="-7"/>
        </w:rPr>
        <w:t xml:space="preserve"> </w:t>
      </w:r>
      <w:r>
        <w:t>hay</w:t>
      </w:r>
      <w:r>
        <w:rPr>
          <w:spacing w:val="-6"/>
        </w:rPr>
        <w:t xml:space="preserve"> </w:t>
      </w:r>
      <w:r>
        <w:t>un</w:t>
      </w:r>
      <w:r>
        <w:rPr>
          <w:spacing w:val="-6"/>
        </w:rPr>
        <w:t xml:space="preserve"> </w:t>
      </w:r>
      <w:r>
        <w:t>punto</w:t>
      </w:r>
      <w:r>
        <w:rPr>
          <w:spacing w:val="-6"/>
        </w:rPr>
        <w:t xml:space="preserve"> </w:t>
      </w:r>
      <w:r>
        <w:t>en</w:t>
      </w:r>
      <w:r>
        <w:rPr>
          <w:spacing w:val="-6"/>
        </w:rPr>
        <w:t xml:space="preserve"> </w:t>
      </w:r>
      <w:r>
        <w:t>el Acuerdo</w:t>
      </w:r>
      <w:r>
        <w:rPr>
          <w:spacing w:val="-5"/>
        </w:rPr>
        <w:t xml:space="preserve"> </w:t>
      </w:r>
      <w:r>
        <w:t>que</w:t>
      </w:r>
      <w:r>
        <w:rPr>
          <w:spacing w:val="-4"/>
        </w:rPr>
        <w:t xml:space="preserve"> </w:t>
      </w:r>
      <w:r>
        <w:t>busca</w:t>
      </w:r>
      <w:r>
        <w:rPr>
          <w:spacing w:val="-4"/>
        </w:rPr>
        <w:t xml:space="preserve"> </w:t>
      </w:r>
      <w:r>
        <w:t>profundizar</w:t>
      </w:r>
      <w:r>
        <w:rPr>
          <w:spacing w:val="-5"/>
        </w:rPr>
        <w:t xml:space="preserve"> </w:t>
      </w:r>
      <w:r>
        <w:t>los</w:t>
      </w:r>
      <w:r>
        <w:rPr>
          <w:spacing w:val="-6"/>
        </w:rPr>
        <w:t xml:space="preserve"> </w:t>
      </w:r>
      <w:r>
        <w:t>mecanismos</w:t>
      </w:r>
      <w:r>
        <w:rPr>
          <w:spacing w:val="-6"/>
        </w:rPr>
        <w:t xml:space="preserve"> </w:t>
      </w:r>
      <w:r>
        <w:t>de</w:t>
      </w:r>
      <w:r>
        <w:rPr>
          <w:spacing w:val="-4"/>
        </w:rPr>
        <w:t xml:space="preserve"> </w:t>
      </w:r>
      <w:r>
        <w:t>participación</w:t>
      </w:r>
      <w:r>
        <w:rPr>
          <w:spacing w:val="-5"/>
        </w:rPr>
        <w:t xml:space="preserve"> </w:t>
      </w:r>
      <w:r>
        <w:t>ciudadana</w:t>
      </w:r>
      <w:r>
        <w:rPr>
          <w:spacing w:val="-4"/>
        </w:rPr>
        <w:t xml:space="preserve"> </w:t>
      </w:r>
      <w:r>
        <w:t>en</w:t>
      </w:r>
      <w:r>
        <w:rPr>
          <w:spacing w:val="-5"/>
        </w:rPr>
        <w:t xml:space="preserve"> </w:t>
      </w:r>
      <w:r>
        <w:t>la</w:t>
      </w:r>
      <w:r>
        <w:rPr>
          <w:spacing w:val="-4"/>
        </w:rPr>
        <w:t xml:space="preserve"> </w:t>
      </w:r>
      <w:r>
        <w:t xml:space="preserve">definición, implementación </w:t>
      </w:r>
      <w:r>
        <w:lastRenderedPageBreak/>
        <w:t>y seguimiento de las políticas públicas, sino que esta se halla en la esencia de</w:t>
      </w:r>
      <w:r>
        <w:rPr>
          <w:spacing w:val="-1"/>
        </w:rPr>
        <w:t xml:space="preserve"> </w:t>
      </w:r>
      <w:r>
        <w:t>lo</w:t>
      </w:r>
      <w:r>
        <w:rPr>
          <w:spacing w:val="-1"/>
        </w:rPr>
        <w:t xml:space="preserve"> </w:t>
      </w:r>
      <w:r>
        <w:t>que</w:t>
      </w:r>
      <w:r>
        <w:rPr>
          <w:spacing w:val="-2"/>
        </w:rPr>
        <w:t xml:space="preserve"> </w:t>
      </w:r>
      <w:r>
        <w:t>el</w:t>
      </w:r>
      <w:r>
        <w:rPr>
          <w:spacing w:val="-3"/>
        </w:rPr>
        <w:t xml:space="preserve"> </w:t>
      </w:r>
      <w:r>
        <w:t>Acuerdo</w:t>
      </w:r>
      <w:r>
        <w:rPr>
          <w:spacing w:val="-1"/>
        </w:rPr>
        <w:t xml:space="preserve"> </w:t>
      </w:r>
      <w:r>
        <w:t>plantea</w:t>
      </w:r>
      <w:r>
        <w:rPr>
          <w:spacing w:val="-1"/>
        </w:rPr>
        <w:t xml:space="preserve"> </w:t>
      </w:r>
      <w:r>
        <w:t>como</w:t>
      </w:r>
      <w:r>
        <w:rPr>
          <w:spacing w:val="-1"/>
        </w:rPr>
        <w:t xml:space="preserve"> </w:t>
      </w:r>
      <w:r>
        <w:t>construcción</w:t>
      </w:r>
      <w:r>
        <w:rPr>
          <w:spacing w:val="-2"/>
        </w:rPr>
        <w:t xml:space="preserve"> </w:t>
      </w:r>
      <w:r>
        <w:t>de</w:t>
      </w:r>
      <w:r>
        <w:rPr>
          <w:spacing w:val="-1"/>
        </w:rPr>
        <w:t xml:space="preserve"> </w:t>
      </w:r>
      <w:r>
        <w:t>paz.</w:t>
      </w:r>
      <w:r>
        <w:rPr>
          <w:spacing w:val="-1"/>
        </w:rPr>
        <w:t xml:space="preserve"> </w:t>
      </w:r>
      <w:r>
        <w:t>A</w:t>
      </w:r>
      <w:r>
        <w:rPr>
          <w:spacing w:val="-2"/>
        </w:rPr>
        <w:t xml:space="preserve"> </w:t>
      </w:r>
      <w:r>
        <w:t>pesar</w:t>
      </w:r>
      <w:r>
        <w:rPr>
          <w:spacing w:val="-1"/>
        </w:rPr>
        <w:t xml:space="preserve"> </w:t>
      </w:r>
      <w:r>
        <w:t>de</w:t>
      </w:r>
      <w:r>
        <w:rPr>
          <w:spacing w:val="-2"/>
        </w:rPr>
        <w:t xml:space="preserve"> </w:t>
      </w:r>
      <w:r>
        <w:t>lo</w:t>
      </w:r>
      <w:r>
        <w:rPr>
          <w:spacing w:val="-1"/>
        </w:rPr>
        <w:t xml:space="preserve"> </w:t>
      </w:r>
      <w:r>
        <w:t>anterior,</w:t>
      </w:r>
      <w:r>
        <w:rPr>
          <w:spacing w:val="-2"/>
        </w:rPr>
        <w:t xml:space="preserve"> </w:t>
      </w:r>
      <w:r>
        <w:t>las</w:t>
      </w:r>
      <w:r>
        <w:rPr>
          <w:spacing w:val="-1"/>
        </w:rPr>
        <w:t xml:space="preserve"> </w:t>
      </w:r>
      <w:r>
        <w:t>garantías contempladas en el punto 2 no han sido implementadas y, adicionalmente, las diferentes instancias y espacios creados en el Acuerdo para garantizar la participación incidente de las comunidades, incluyendo los pueblos étnicos, no han tenido el apoyo ni el impulso necesarios. Esto se agravó por las medidas de aislamiento que se implementaron dada la emergencia</w:t>
      </w:r>
      <w:r>
        <w:rPr>
          <w:spacing w:val="-4"/>
        </w:rPr>
        <w:t xml:space="preserve"> </w:t>
      </w:r>
      <w:r>
        <w:t>sanitaria</w:t>
      </w:r>
      <w:r>
        <w:rPr>
          <w:spacing w:val="-2"/>
        </w:rPr>
        <w:t xml:space="preserve"> </w:t>
      </w:r>
      <w:r>
        <w:t>causada</w:t>
      </w:r>
      <w:r>
        <w:rPr>
          <w:spacing w:val="-2"/>
        </w:rPr>
        <w:t xml:space="preserve"> </w:t>
      </w:r>
      <w:r>
        <w:t>por</w:t>
      </w:r>
      <w:r>
        <w:rPr>
          <w:spacing w:val="-2"/>
        </w:rPr>
        <w:t xml:space="preserve"> </w:t>
      </w:r>
      <w:r>
        <w:t>el</w:t>
      </w:r>
      <w:r>
        <w:rPr>
          <w:spacing w:val="-3"/>
        </w:rPr>
        <w:t xml:space="preserve"> </w:t>
      </w:r>
      <w:r>
        <w:t>Covid-19</w:t>
      </w:r>
      <w:r>
        <w:rPr>
          <w:spacing w:val="-2"/>
        </w:rPr>
        <w:t xml:space="preserve"> </w:t>
      </w:r>
      <w:r>
        <w:t>y</w:t>
      </w:r>
      <w:r>
        <w:rPr>
          <w:spacing w:val="-3"/>
        </w:rPr>
        <w:t xml:space="preserve"> </w:t>
      </w:r>
      <w:r>
        <w:t>por</w:t>
      </w:r>
      <w:r>
        <w:rPr>
          <w:spacing w:val="-2"/>
        </w:rPr>
        <w:t xml:space="preserve"> </w:t>
      </w:r>
      <w:r>
        <w:t>las</w:t>
      </w:r>
      <w:r>
        <w:rPr>
          <w:spacing w:val="-2"/>
        </w:rPr>
        <w:t xml:space="preserve"> </w:t>
      </w:r>
      <w:r>
        <w:t>condiciones</w:t>
      </w:r>
      <w:r>
        <w:rPr>
          <w:spacing w:val="-2"/>
        </w:rPr>
        <w:t xml:space="preserve"> </w:t>
      </w:r>
      <w:r>
        <w:t>de</w:t>
      </w:r>
      <w:r>
        <w:rPr>
          <w:spacing w:val="-3"/>
        </w:rPr>
        <w:t xml:space="preserve"> </w:t>
      </w:r>
      <w:r>
        <w:t>seguridad</w:t>
      </w:r>
      <w:r>
        <w:rPr>
          <w:spacing w:val="-3"/>
        </w:rPr>
        <w:t xml:space="preserve"> </w:t>
      </w:r>
      <w:r>
        <w:t>en</w:t>
      </w:r>
      <w:r>
        <w:rPr>
          <w:spacing w:val="-3"/>
        </w:rPr>
        <w:t xml:space="preserve"> </w:t>
      </w:r>
      <w:r>
        <w:t xml:space="preserve">algunas </w:t>
      </w:r>
      <w:r>
        <w:rPr>
          <w:spacing w:val="-2"/>
        </w:rPr>
        <w:t>regiones.</w:t>
      </w:r>
    </w:p>
    <w:p w:rsidR="003804AC" w:rsidRDefault="00AF18A5" w:rsidP="00E96B85">
      <w:r>
        <w:t>La</w:t>
      </w:r>
      <w:r>
        <w:rPr>
          <w:spacing w:val="-1"/>
        </w:rPr>
        <w:t xml:space="preserve"> </w:t>
      </w:r>
      <w:r>
        <w:t>falta</w:t>
      </w:r>
      <w:r>
        <w:rPr>
          <w:spacing w:val="-1"/>
        </w:rPr>
        <w:t xml:space="preserve"> </w:t>
      </w:r>
      <w:r>
        <w:t>de</w:t>
      </w:r>
      <w:r>
        <w:rPr>
          <w:spacing w:val="-2"/>
        </w:rPr>
        <w:t xml:space="preserve"> </w:t>
      </w:r>
      <w:r>
        <w:t>articulación</w:t>
      </w:r>
      <w:r w:rsidR="00E96B85">
        <w:rPr>
          <w:rStyle w:val="Refdenotaalpie"/>
        </w:rPr>
        <w:footnoteReference w:id="1178"/>
      </w:r>
      <w:r>
        <w:rPr>
          <w:spacing w:val="-1"/>
        </w:rPr>
        <w:t xml:space="preserve"> </w:t>
      </w:r>
      <w:r>
        <w:t>en</w:t>
      </w:r>
      <w:r>
        <w:rPr>
          <w:spacing w:val="-1"/>
        </w:rPr>
        <w:t xml:space="preserve"> </w:t>
      </w:r>
      <w:r>
        <w:t>la</w:t>
      </w:r>
      <w:r>
        <w:rPr>
          <w:spacing w:val="-2"/>
        </w:rPr>
        <w:t xml:space="preserve"> </w:t>
      </w:r>
      <w:r>
        <w:t>implementación</w:t>
      </w:r>
      <w:r>
        <w:rPr>
          <w:spacing w:val="-1"/>
        </w:rPr>
        <w:t xml:space="preserve"> </w:t>
      </w:r>
      <w:r>
        <w:t>de</w:t>
      </w:r>
      <w:r>
        <w:rPr>
          <w:spacing w:val="-2"/>
        </w:rPr>
        <w:t xml:space="preserve"> </w:t>
      </w:r>
      <w:r>
        <w:t>las</w:t>
      </w:r>
      <w:r>
        <w:rPr>
          <w:spacing w:val="-1"/>
        </w:rPr>
        <w:t xml:space="preserve"> </w:t>
      </w:r>
      <w:r>
        <w:t>medidas</w:t>
      </w:r>
      <w:r>
        <w:rPr>
          <w:spacing w:val="-2"/>
        </w:rPr>
        <w:t xml:space="preserve"> </w:t>
      </w:r>
      <w:r>
        <w:t>ha</w:t>
      </w:r>
      <w:r>
        <w:rPr>
          <w:spacing w:val="-1"/>
        </w:rPr>
        <w:t xml:space="preserve"> </w:t>
      </w:r>
      <w:r>
        <w:t>limitado</w:t>
      </w:r>
      <w:r>
        <w:rPr>
          <w:spacing w:val="-2"/>
        </w:rPr>
        <w:t xml:space="preserve"> </w:t>
      </w:r>
      <w:r>
        <w:t>el</w:t>
      </w:r>
      <w:r>
        <w:rPr>
          <w:spacing w:val="-1"/>
        </w:rPr>
        <w:t xml:space="preserve"> </w:t>
      </w:r>
      <w:r>
        <w:t>impacto</w:t>
      </w:r>
      <w:r>
        <w:rPr>
          <w:spacing w:val="-1"/>
        </w:rPr>
        <w:t xml:space="preserve"> </w:t>
      </w:r>
      <w:r>
        <w:t>y puesto</w:t>
      </w:r>
      <w:r>
        <w:rPr>
          <w:spacing w:val="-12"/>
        </w:rPr>
        <w:t xml:space="preserve"> </w:t>
      </w:r>
      <w:r>
        <w:t>en</w:t>
      </w:r>
      <w:r>
        <w:rPr>
          <w:spacing w:val="-10"/>
        </w:rPr>
        <w:t xml:space="preserve"> </w:t>
      </w:r>
      <w:r>
        <w:t>riesgo</w:t>
      </w:r>
      <w:r>
        <w:rPr>
          <w:spacing w:val="-9"/>
        </w:rPr>
        <w:t xml:space="preserve"> </w:t>
      </w:r>
      <w:r>
        <w:t>las</w:t>
      </w:r>
      <w:r>
        <w:rPr>
          <w:spacing w:val="-10"/>
        </w:rPr>
        <w:t xml:space="preserve"> </w:t>
      </w:r>
      <w:r>
        <w:t>transformaciones</w:t>
      </w:r>
      <w:r>
        <w:rPr>
          <w:spacing w:val="-10"/>
        </w:rPr>
        <w:t xml:space="preserve"> </w:t>
      </w:r>
      <w:r>
        <w:t>que</w:t>
      </w:r>
      <w:r>
        <w:rPr>
          <w:spacing w:val="-8"/>
        </w:rPr>
        <w:t xml:space="preserve"> </w:t>
      </w:r>
      <w:r>
        <w:t>se</w:t>
      </w:r>
      <w:r>
        <w:rPr>
          <w:spacing w:val="-10"/>
        </w:rPr>
        <w:t xml:space="preserve"> </w:t>
      </w:r>
      <w:r>
        <w:t>persiguen</w:t>
      </w:r>
      <w:r>
        <w:rPr>
          <w:spacing w:val="-9"/>
        </w:rPr>
        <w:t xml:space="preserve"> </w:t>
      </w:r>
      <w:r>
        <w:t>con</w:t>
      </w:r>
      <w:r>
        <w:rPr>
          <w:spacing w:val="-9"/>
        </w:rPr>
        <w:t xml:space="preserve"> </w:t>
      </w:r>
      <w:r>
        <w:t>el</w:t>
      </w:r>
      <w:r>
        <w:rPr>
          <w:spacing w:val="-9"/>
        </w:rPr>
        <w:t xml:space="preserve"> </w:t>
      </w:r>
      <w:r>
        <w:t>Acuerdo.</w:t>
      </w:r>
      <w:r>
        <w:rPr>
          <w:spacing w:val="-9"/>
        </w:rPr>
        <w:t xml:space="preserve"> </w:t>
      </w:r>
      <w:r>
        <w:t>Por</w:t>
      </w:r>
      <w:r>
        <w:rPr>
          <w:spacing w:val="-8"/>
        </w:rPr>
        <w:t xml:space="preserve"> </w:t>
      </w:r>
      <w:r>
        <w:t>ello,</w:t>
      </w:r>
      <w:r>
        <w:rPr>
          <w:spacing w:val="-9"/>
        </w:rPr>
        <w:t xml:space="preserve"> </w:t>
      </w:r>
      <w:r>
        <w:t>es</w:t>
      </w:r>
      <w:r>
        <w:rPr>
          <w:spacing w:val="-8"/>
        </w:rPr>
        <w:t xml:space="preserve"> </w:t>
      </w:r>
      <w:r>
        <w:rPr>
          <w:spacing w:val="-2"/>
        </w:rPr>
        <w:t>necesario</w:t>
      </w:r>
      <w:bookmarkStart w:id="1500" w:name="_bookmark1308"/>
      <w:bookmarkStart w:id="1501" w:name="_bookmark1309"/>
      <w:bookmarkStart w:id="1502" w:name="_bookmark1310"/>
      <w:bookmarkEnd w:id="1500"/>
      <w:bookmarkEnd w:id="1501"/>
      <w:bookmarkEnd w:id="1502"/>
      <w:r w:rsidR="00E96B85">
        <w:t xml:space="preserve"> </w:t>
      </w:r>
      <w:r>
        <w:t>que los ajustes en la planeación y ejecución que se realicen a futuro se desarrollen bajo una estrategia integral y no bajo el accionar aislado de cada una de las entidades responsables.</w:t>
      </w:r>
    </w:p>
    <w:p w:rsidR="003804AC" w:rsidRDefault="00AF18A5" w:rsidP="00E96B85">
      <w:r>
        <w:t>El</w:t>
      </w:r>
      <w:r>
        <w:rPr>
          <w:spacing w:val="-1"/>
        </w:rPr>
        <w:t xml:space="preserve"> </w:t>
      </w:r>
      <w:r>
        <w:t>rezago</w:t>
      </w:r>
      <w:r>
        <w:rPr>
          <w:spacing w:val="-2"/>
        </w:rPr>
        <w:t xml:space="preserve"> </w:t>
      </w:r>
      <w:r>
        <w:t>en</w:t>
      </w:r>
      <w:r>
        <w:rPr>
          <w:spacing w:val="-2"/>
        </w:rPr>
        <w:t xml:space="preserve"> </w:t>
      </w:r>
      <w:r>
        <w:t>la</w:t>
      </w:r>
      <w:r>
        <w:rPr>
          <w:spacing w:val="-1"/>
        </w:rPr>
        <w:t xml:space="preserve"> </w:t>
      </w:r>
      <w:r>
        <w:t>implementación</w:t>
      </w:r>
      <w:r>
        <w:rPr>
          <w:spacing w:val="-1"/>
        </w:rPr>
        <w:t xml:space="preserve"> </w:t>
      </w:r>
      <w:r>
        <w:t>del</w:t>
      </w:r>
      <w:r>
        <w:rPr>
          <w:spacing w:val="-2"/>
        </w:rPr>
        <w:t xml:space="preserve"> </w:t>
      </w:r>
      <w:r>
        <w:t>capítulo</w:t>
      </w:r>
      <w:r>
        <w:rPr>
          <w:spacing w:val="-1"/>
        </w:rPr>
        <w:t xml:space="preserve"> </w:t>
      </w:r>
      <w:r>
        <w:t>étnico,</w:t>
      </w:r>
      <w:r>
        <w:rPr>
          <w:spacing w:val="-1"/>
        </w:rPr>
        <w:t xml:space="preserve"> </w:t>
      </w:r>
      <w:r>
        <w:t>que</w:t>
      </w:r>
      <w:r>
        <w:rPr>
          <w:spacing w:val="-1"/>
        </w:rPr>
        <w:t xml:space="preserve"> </w:t>
      </w:r>
      <w:r>
        <w:t>solo</w:t>
      </w:r>
      <w:r>
        <w:rPr>
          <w:spacing w:val="-3"/>
        </w:rPr>
        <w:t xml:space="preserve"> </w:t>
      </w:r>
      <w:r>
        <w:t>reporta</w:t>
      </w:r>
      <w:r>
        <w:rPr>
          <w:spacing w:val="-1"/>
        </w:rPr>
        <w:t xml:space="preserve"> </w:t>
      </w:r>
      <w:r>
        <w:t>un</w:t>
      </w:r>
      <w:r>
        <w:rPr>
          <w:spacing w:val="-1"/>
        </w:rPr>
        <w:t xml:space="preserve"> </w:t>
      </w:r>
      <w:r>
        <w:t>avance</w:t>
      </w:r>
      <w:r>
        <w:rPr>
          <w:spacing w:val="-1"/>
        </w:rPr>
        <w:t xml:space="preserve"> </w:t>
      </w:r>
      <w:r>
        <w:t>del</w:t>
      </w:r>
      <w:r>
        <w:rPr>
          <w:spacing w:val="-1"/>
        </w:rPr>
        <w:t xml:space="preserve"> </w:t>
      </w:r>
      <w:r>
        <w:t>13</w:t>
      </w:r>
      <w:r>
        <w:rPr>
          <w:spacing w:val="-3"/>
        </w:rPr>
        <w:t xml:space="preserve"> </w:t>
      </w:r>
      <w:r>
        <w:t>%, y las medidas de género, que reportan un avance del 12</w:t>
      </w:r>
      <w:r>
        <w:rPr>
          <w:spacing w:val="-2"/>
        </w:rPr>
        <w:t xml:space="preserve"> </w:t>
      </w:r>
      <w:r>
        <w:t>%, es especialmente preocupante, pues hay una clara distancia del ritmo de implementación en las demás medidas, que se encuentran alrededor del 30</w:t>
      </w:r>
      <w:r>
        <w:rPr>
          <w:spacing w:val="-1"/>
        </w:rPr>
        <w:t xml:space="preserve"> </w:t>
      </w:r>
      <w:r>
        <w:t>%</w:t>
      </w:r>
      <w:r w:rsidR="00FE5623">
        <w:rPr>
          <w:rStyle w:val="Refdenotaalpie"/>
        </w:rPr>
        <w:footnoteReference w:id="1179"/>
      </w:r>
      <w:r>
        <w:t>. Esto, sin duda, es reflejo del desafío que tenemos para superar</w:t>
      </w:r>
      <w:r>
        <w:rPr>
          <w:spacing w:val="-6"/>
        </w:rPr>
        <w:t xml:space="preserve"> </w:t>
      </w:r>
      <w:r>
        <w:t>las</w:t>
      </w:r>
      <w:r>
        <w:rPr>
          <w:spacing w:val="-6"/>
        </w:rPr>
        <w:t xml:space="preserve"> </w:t>
      </w:r>
      <w:r>
        <w:t>violencias</w:t>
      </w:r>
      <w:r>
        <w:rPr>
          <w:spacing w:val="-6"/>
        </w:rPr>
        <w:t xml:space="preserve"> </w:t>
      </w:r>
      <w:r>
        <w:t>estructurales</w:t>
      </w:r>
      <w:r>
        <w:rPr>
          <w:spacing w:val="-6"/>
        </w:rPr>
        <w:t xml:space="preserve"> </w:t>
      </w:r>
      <w:r>
        <w:t>y</w:t>
      </w:r>
      <w:r>
        <w:rPr>
          <w:spacing w:val="-6"/>
        </w:rPr>
        <w:t xml:space="preserve"> </w:t>
      </w:r>
      <w:r>
        <w:t>las</w:t>
      </w:r>
      <w:r>
        <w:rPr>
          <w:spacing w:val="-6"/>
        </w:rPr>
        <w:t xml:space="preserve"> </w:t>
      </w:r>
      <w:r>
        <w:t>condiciones</w:t>
      </w:r>
      <w:r>
        <w:rPr>
          <w:spacing w:val="-6"/>
        </w:rPr>
        <w:t xml:space="preserve"> </w:t>
      </w:r>
      <w:r>
        <w:t>de</w:t>
      </w:r>
      <w:r>
        <w:rPr>
          <w:spacing w:val="-6"/>
        </w:rPr>
        <w:t xml:space="preserve"> </w:t>
      </w:r>
      <w:r>
        <w:t>exclusión</w:t>
      </w:r>
      <w:r>
        <w:rPr>
          <w:spacing w:val="-6"/>
        </w:rPr>
        <w:t xml:space="preserve"> </w:t>
      </w:r>
      <w:r>
        <w:t>de</w:t>
      </w:r>
      <w:r>
        <w:rPr>
          <w:spacing w:val="-6"/>
        </w:rPr>
        <w:t xml:space="preserve"> </w:t>
      </w:r>
      <w:r>
        <w:t>los</w:t>
      </w:r>
      <w:r>
        <w:rPr>
          <w:spacing w:val="-6"/>
        </w:rPr>
        <w:t xml:space="preserve"> </w:t>
      </w:r>
      <w:r>
        <w:t>pueblos</w:t>
      </w:r>
      <w:r>
        <w:rPr>
          <w:spacing w:val="-6"/>
        </w:rPr>
        <w:t xml:space="preserve"> </w:t>
      </w:r>
      <w:r>
        <w:t>étnicos,</w:t>
      </w:r>
      <w:r>
        <w:rPr>
          <w:spacing w:val="-6"/>
        </w:rPr>
        <w:t xml:space="preserve"> </w:t>
      </w:r>
      <w:r>
        <w:t>las mujeres y las personas LGBTIQ+.</w:t>
      </w:r>
    </w:p>
    <w:p w:rsidR="003804AC" w:rsidRDefault="00AF18A5" w:rsidP="00FE5623">
      <w:r>
        <w:t>En</w:t>
      </w:r>
      <w:r>
        <w:rPr>
          <w:spacing w:val="-6"/>
        </w:rPr>
        <w:t xml:space="preserve"> </w:t>
      </w:r>
      <w:r>
        <w:t>cuanto</w:t>
      </w:r>
      <w:r>
        <w:rPr>
          <w:spacing w:val="-7"/>
        </w:rPr>
        <w:t xml:space="preserve"> </w:t>
      </w:r>
      <w:r>
        <w:t>a</w:t>
      </w:r>
      <w:r>
        <w:rPr>
          <w:spacing w:val="-7"/>
        </w:rPr>
        <w:t xml:space="preserve"> </w:t>
      </w:r>
      <w:r>
        <w:t>la</w:t>
      </w:r>
      <w:r>
        <w:rPr>
          <w:spacing w:val="-6"/>
        </w:rPr>
        <w:t xml:space="preserve"> </w:t>
      </w:r>
      <w:r>
        <w:t>reincorporación</w:t>
      </w:r>
      <w:r>
        <w:rPr>
          <w:spacing w:val="-7"/>
        </w:rPr>
        <w:t xml:space="preserve"> </w:t>
      </w:r>
      <w:r>
        <w:t>de</w:t>
      </w:r>
      <w:r>
        <w:rPr>
          <w:spacing w:val="-6"/>
        </w:rPr>
        <w:t xml:space="preserve"> </w:t>
      </w:r>
      <w:r>
        <w:t>las</w:t>
      </w:r>
      <w:r>
        <w:rPr>
          <w:spacing w:val="-7"/>
        </w:rPr>
        <w:t xml:space="preserve"> </w:t>
      </w:r>
      <w:r>
        <w:t>FARC-EP,</w:t>
      </w:r>
      <w:r>
        <w:rPr>
          <w:spacing w:val="-6"/>
        </w:rPr>
        <w:t xml:space="preserve"> </w:t>
      </w:r>
      <w:r>
        <w:t>es</w:t>
      </w:r>
      <w:r>
        <w:rPr>
          <w:spacing w:val="-6"/>
        </w:rPr>
        <w:t xml:space="preserve"> </w:t>
      </w:r>
      <w:r>
        <w:t>importante</w:t>
      </w:r>
      <w:r>
        <w:rPr>
          <w:spacing w:val="-7"/>
        </w:rPr>
        <w:t xml:space="preserve"> </w:t>
      </w:r>
      <w:r>
        <w:t>resaltar</w:t>
      </w:r>
      <w:r>
        <w:rPr>
          <w:spacing w:val="-6"/>
        </w:rPr>
        <w:t xml:space="preserve"> </w:t>
      </w:r>
      <w:r>
        <w:t>que</w:t>
      </w:r>
      <w:r>
        <w:rPr>
          <w:spacing w:val="-7"/>
        </w:rPr>
        <w:t xml:space="preserve"> </w:t>
      </w:r>
      <w:r>
        <w:t>más</w:t>
      </w:r>
      <w:r>
        <w:rPr>
          <w:spacing w:val="-6"/>
        </w:rPr>
        <w:t xml:space="preserve"> </w:t>
      </w:r>
      <w:r>
        <w:t>de</w:t>
      </w:r>
      <w:r>
        <w:rPr>
          <w:spacing w:val="-7"/>
        </w:rPr>
        <w:t xml:space="preserve"> </w:t>
      </w:r>
      <w:r>
        <w:t>12</w:t>
      </w:r>
      <w:r>
        <w:rPr>
          <w:spacing w:val="-7"/>
        </w:rPr>
        <w:t xml:space="preserve"> </w:t>
      </w:r>
      <w:r>
        <w:t>mil excombatientes</w:t>
      </w:r>
      <w:r>
        <w:rPr>
          <w:spacing w:val="-1"/>
        </w:rPr>
        <w:t xml:space="preserve"> </w:t>
      </w:r>
      <w:r>
        <w:t>se</w:t>
      </w:r>
      <w:r>
        <w:rPr>
          <w:spacing w:val="-2"/>
        </w:rPr>
        <w:t xml:space="preserve"> </w:t>
      </w:r>
      <w:r>
        <w:t>encuentran</w:t>
      </w:r>
      <w:r>
        <w:rPr>
          <w:spacing w:val="-2"/>
        </w:rPr>
        <w:t xml:space="preserve"> </w:t>
      </w:r>
      <w:r>
        <w:t>en</w:t>
      </w:r>
      <w:r>
        <w:rPr>
          <w:spacing w:val="-1"/>
        </w:rPr>
        <w:t xml:space="preserve"> </w:t>
      </w:r>
      <w:r>
        <w:t>proceso</w:t>
      </w:r>
      <w:r>
        <w:rPr>
          <w:spacing w:val="-1"/>
        </w:rPr>
        <w:t xml:space="preserve"> </w:t>
      </w:r>
      <w:r>
        <w:t>de</w:t>
      </w:r>
      <w:r>
        <w:rPr>
          <w:spacing w:val="-2"/>
        </w:rPr>
        <w:t xml:space="preserve"> </w:t>
      </w:r>
      <w:r>
        <w:lastRenderedPageBreak/>
        <w:t>reincorporación,</w:t>
      </w:r>
      <w:r>
        <w:rPr>
          <w:spacing w:val="-2"/>
        </w:rPr>
        <w:t xml:space="preserve"> </w:t>
      </w:r>
      <w:r>
        <w:t>apostando</w:t>
      </w:r>
      <w:r>
        <w:rPr>
          <w:spacing w:val="-2"/>
        </w:rPr>
        <w:t xml:space="preserve"> </w:t>
      </w:r>
      <w:r>
        <w:t>por</w:t>
      </w:r>
      <w:r>
        <w:rPr>
          <w:spacing w:val="-1"/>
        </w:rPr>
        <w:t xml:space="preserve"> </w:t>
      </w:r>
      <w:r>
        <w:t>la</w:t>
      </w:r>
      <w:r>
        <w:rPr>
          <w:spacing w:val="-2"/>
        </w:rPr>
        <w:t xml:space="preserve"> </w:t>
      </w:r>
      <w:r>
        <w:t>construcción de paz. Hasta el momento, se ha cumplido con lo acordado en materia de garantías de participación política, el 60</w:t>
      </w:r>
      <w:r>
        <w:rPr>
          <w:spacing w:val="-2"/>
        </w:rPr>
        <w:t xml:space="preserve"> </w:t>
      </w:r>
      <w:r>
        <w:t>% de los excombatientes ya recibieron recursos para sus proyectos productivos y</w:t>
      </w:r>
      <w:r>
        <w:rPr>
          <w:spacing w:val="-1"/>
        </w:rPr>
        <w:t xml:space="preserve"> </w:t>
      </w:r>
      <w:r>
        <w:t>se han hecho</w:t>
      </w:r>
      <w:r>
        <w:rPr>
          <w:spacing w:val="-1"/>
        </w:rPr>
        <w:t xml:space="preserve"> </w:t>
      </w:r>
      <w:r>
        <w:t>esfuerzos por formalizar</w:t>
      </w:r>
      <w:r>
        <w:rPr>
          <w:spacing w:val="-1"/>
        </w:rPr>
        <w:t xml:space="preserve"> </w:t>
      </w:r>
      <w:r>
        <w:t>la propiedad de</w:t>
      </w:r>
      <w:r>
        <w:rPr>
          <w:spacing w:val="-1"/>
        </w:rPr>
        <w:t xml:space="preserve"> </w:t>
      </w:r>
      <w:r>
        <w:t>los Espacios Territoriales</w:t>
      </w:r>
      <w:r>
        <w:rPr>
          <w:spacing w:val="-2"/>
        </w:rPr>
        <w:t xml:space="preserve"> </w:t>
      </w:r>
      <w:r>
        <w:t>de</w:t>
      </w:r>
      <w:r>
        <w:rPr>
          <w:spacing w:val="-1"/>
        </w:rPr>
        <w:t xml:space="preserve"> </w:t>
      </w:r>
      <w:r>
        <w:t>Capacitación</w:t>
      </w:r>
      <w:r>
        <w:rPr>
          <w:spacing w:val="-1"/>
        </w:rPr>
        <w:t xml:space="preserve"> </w:t>
      </w:r>
      <w:r>
        <w:t>y</w:t>
      </w:r>
      <w:r>
        <w:rPr>
          <w:spacing w:val="-1"/>
        </w:rPr>
        <w:t xml:space="preserve"> </w:t>
      </w:r>
      <w:r>
        <w:t>Reincorporación</w:t>
      </w:r>
      <w:r w:rsidR="00FE5623">
        <w:rPr>
          <w:rStyle w:val="Refdenotaalpie"/>
        </w:rPr>
        <w:footnoteReference w:id="1180"/>
      </w:r>
      <w:r>
        <w:t>.</w:t>
      </w:r>
      <w:r>
        <w:rPr>
          <w:spacing w:val="-1"/>
        </w:rPr>
        <w:t xml:space="preserve"> </w:t>
      </w:r>
      <w:r>
        <w:t>A</w:t>
      </w:r>
      <w:r>
        <w:rPr>
          <w:spacing w:val="-2"/>
        </w:rPr>
        <w:t xml:space="preserve"> </w:t>
      </w:r>
      <w:r>
        <w:t>pesar</w:t>
      </w:r>
      <w:r>
        <w:rPr>
          <w:spacing w:val="-1"/>
        </w:rPr>
        <w:t xml:space="preserve"> </w:t>
      </w:r>
      <w:r>
        <w:t>de</w:t>
      </w:r>
      <w:r>
        <w:rPr>
          <w:spacing w:val="-2"/>
        </w:rPr>
        <w:t xml:space="preserve"> </w:t>
      </w:r>
      <w:r>
        <w:t>lo</w:t>
      </w:r>
      <w:r>
        <w:rPr>
          <w:spacing w:val="-1"/>
        </w:rPr>
        <w:t xml:space="preserve"> </w:t>
      </w:r>
      <w:r>
        <w:t>anterior,</w:t>
      </w:r>
      <w:r>
        <w:rPr>
          <w:spacing w:val="-2"/>
        </w:rPr>
        <w:t xml:space="preserve"> </w:t>
      </w:r>
      <w:r>
        <w:t>sigue</w:t>
      </w:r>
      <w:r>
        <w:rPr>
          <w:spacing w:val="-1"/>
        </w:rPr>
        <w:t xml:space="preserve"> </w:t>
      </w:r>
      <w:r>
        <w:t>existiendo un reto enorme. Más de 300 excombatientes han sido asesinados, hay una clara ausencia de condiciones de seguridad en los territorios, dificultades para aumentar la cobertura en el acceso</w:t>
      </w:r>
      <w:r>
        <w:rPr>
          <w:spacing w:val="-9"/>
        </w:rPr>
        <w:t xml:space="preserve"> </w:t>
      </w:r>
      <w:r>
        <w:t>a</w:t>
      </w:r>
      <w:r>
        <w:rPr>
          <w:spacing w:val="-10"/>
        </w:rPr>
        <w:t xml:space="preserve"> </w:t>
      </w:r>
      <w:r>
        <w:t>tierras</w:t>
      </w:r>
      <w:r>
        <w:rPr>
          <w:spacing w:val="-9"/>
        </w:rPr>
        <w:t xml:space="preserve"> </w:t>
      </w:r>
      <w:r>
        <w:t>y</w:t>
      </w:r>
      <w:r>
        <w:rPr>
          <w:spacing w:val="-9"/>
        </w:rPr>
        <w:t xml:space="preserve"> </w:t>
      </w:r>
      <w:r>
        <w:t>vivienda</w:t>
      </w:r>
      <w:r>
        <w:rPr>
          <w:spacing w:val="-9"/>
        </w:rPr>
        <w:t xml:space="preserve"> </w:t>
      </w:r>
      <w:r>
        <w:t>rural,</w:t>
      </w:r>
      <w:r>
        <w:rPr>
          <w:spacing w:val="-9"/>
        </w:rPr>
        <w:t xml:space="preserve"> </w:t>
      </w:r>
      <w:r>
        <w:t>y</w:t>
      </w:r>
      <w:r>
        <w:rPr>
          <w:spacing w:val="-10"/>
        </w:rPr>
        <w:t xml:space="preserve"> </w:t>
      </w:r>
      <w:r>
        <w:t>problemas</w:t>
      </w:r>
      <w:r>
        <w:rPr>
          <w:spacing w:val="-9"/>
        </w:rPr>
        <w:t xml:space="preserve"> </w:t>
      </w:r>
      <w:r>
        <w:t>de</w:t>
      </w:r>
      <w:r>
        <w:rPr>
          <w:spacing w:val="-9"/>
        </w:rPr>
        <w:t xml:space="preserve"> </w:t>
      </w:r>
      <w:r>
        <w:t>sostenibilidad</w:t>
      </w:r>
      <w:r>
        <w:rPr>
          <w:spacing w:val="-11"/>
        </w:rPr>
        <w:t xml:space="preserve"> </w:t>
      </w:r>
      <w:r>
        <w:t>económica</w:t>
      </w:r>
      <w:r>
        <w:rPr>
          <w:spacing w:val="-9"/>
        </w:rPr>
        <w:t xml:space="preserve"> </w:t>
      </w:r>
      <w:r>
        <w:t>de</w:t>
      </w:r>
      <w:r>
        <w:rPr>
          <w:spacing w:val="-9"/>
        </w:rPr>
        <w:t xml:space="preserve"> </w:t>
      </w:r>
      <w:r>
        <w:t>las</w:t>
      </w:r>
      <w:r>
        <w:rPr>
          <w:spacing w:val="-9"/>
        </w:rPr>
        <w:t xml:space="preserve"> </w:t>
      </w:r>
      <w:r>
        <w:t>personas</w:t>
      </w:r>
      <w:r>
        <w:rPr>
          <w:spacing w:val="-9"/>
        </w:rPr>
        <w:t xml:space="preserve"> </w:t>
      </w:r>
      <w:r>
        <w:t>en proceso de reincorporación. A estas dificultades se suma la no formalización del Sistema Nacional de Reincorporación, un elemento necesario para la articulación de la institucionalidad responsable de la implementación de este conjunto de medidas.</w:t>
      </w:r>
    </w:p>
    <w:p w:rsidR="003804AC" w:rsidRDefault="00AF18A5" w:rsidP="00FE5623">
      <w:r>
        <w:t>Por lo anterior, la Comisión de la Verdad con este conjunto de recomendaciones hace</w:t>
      </w:r>
      <w:r>
        <w:rPr>
          <w:spacing w:val="-1"/>
        </w:rPr>
        <w:t xml:space="preserve"> </w:t>
      </w:r>
      <w:r>
        <w:t>un llamado</w:t>
      </w:r>
      <w:r>
        <w:rPr>
          <w:spacing w:val="-3"/>
        </w:rPr>
        <w:t xml:space="preserve"> </w:t>
      </w:r>
      <w:r>
        <w:t>a</w:t>
      </w:r>
      <w:r>
        <w:rPr>
          <w:spacing w:val="-3"/>
        </w:rPr>
        <w:t xml:space="preserve"> </w:t>
      </w:r>
      <w:r>
        <w:t>la</w:t>
      </w:r>
      <w:r>
        <w:rPr>
          <w:spacing w:val="-3"/>
        </w:rPr>
        <w:t xml:space="preserve"> </w:t>
      </w:r>
      <w:r>
        <w:t>implementación</w:t>
      </w:r>
      <w:r>
        <w:rPr>
          <w:spacing w:val="-3"/>
        </w:rPr>
        <w:t xml:space="preserve"> </w:t>
      </w:r>
      <w:r>
        <w:t>integral</w:t>
      </w:r>
      <w:r>
        <w:rPr>
          <w:spacing w:val="-3"/>
        </w:rPr>
        <w:t xml:space="preserve"> </w:t>
      </w:r>
      <w:r>
        <w:t>de</w:t>
      </w:r>
      <w:r>
        <w:rPr>
          <w:spacing w:val="-3"/>
        </w:rPr>
        <w:t xml:space="preserve"> </w:t>
      </w:r>
      <w:r>
        <w:t>lo</w:t>
      </w:r>
      <w:r>
        <w:rPr>
          <w:spacing w:val="-4"/>
        </w:rPr>
        <w:t xml:space="preserve"> </w:t>
      </w:r>
      <w:r>
        <w:t>acordado</w:t>
      </w:r>
      <w:r>
        <w:rPr>
          <w:spacing w:val="-3"/>
        </w:rPr>
        <w:t xml:space="preserve"> </w:t>
      </w:r>
      <w:r>
        <w:t>sobre</w:t>
      </w:r>
      <w:r>
        <w:rPr>
          <w:spacing w:val="-3"/>
        </w:rPr>
        <w:t xml:space="preserve"> </w:t>
      </w:r>
      <w:r>
        <w:t>la</w:t>
      </w:r>
      <w:r>
        <w:rPr>
          <w:spacing w:val="-5"/>
        </w:rPr>
        <w:t xml:space="preserve"> </w:t>
      </w:r>
      <w:r>
        <w:t>base</w:t>
      </w:r>
      <w:r>
        <w:rPr>
          <w:spacing w:val="-3"/>
        </w:rPr>
        <w:t xml:space="preserve"> </w:t>
      </w:r>
      <w:r>
        <w:t>de</w:t>
      </w:r>
      <w:r>
        <w:rPr>
          <w:spacing w:val="-3"/>
        </w:rPr>
        <w:t xml:space="preserve"> </w:t>
      </w:r>
      <w:r>
        <w:t>un</w:t>
      </w:r>
      <w:r>
        <w:rPr>
          <w:spacing w:val="-3"/>
        </w:rPr>
        <w:t xml:space="preserve"> </w:t>
      </w:r>
      <w:r>
        <w:t>diálogo</w:t>
      </w:r>
      <w:r>
        <w:rPr>
          <w:spacing w:val="-4"/>
        </w:rPr>
        <w:t xml:space="preserve"> </w:t>
      </w:r>
      <w:r>
        <w:t>amplio</w:t>
      </w:r>
      <w:r>
        <w:rPr>
          <w:spacing w:val="-3"/>
        </w:rPr>
        <w:t xml:space="preserve"> </w:t>
      </w:r>
      <w:r>
        <w:t>con las instituciones, las instancias de género y étnicas creadas para el seguimiento, las autoridades territoriales y étnicas y las organizaciones de la sociedad civil nacionales y locales</w:t>
      </w:r>
      <w:r>
        <w:rPr>
          <w:spacing w:val="-3"/>
        </w:rPr>
        <w:t xml:space="preserve"> </w:t>
      </w:r>
      <w:r>
        <w:t>que</w:t>
      </w:r>
      <w:r>
        <w:rPr>
          <w:spacing w:val="-4"/>
        </w:rPr>
        <w:t xml:space="preserve"> </w:t>
      </w:r>
      <w:r>
        <w:t>han</w:t>
      </w:r>
      <w:r>
        <w:rPr>
          <w:spacing w:val="-1"/>
        </w:rPr>
        <w:t xml:space="preserve"> </w:t>
      </w:r>
      <w:r>
        <w:t>venido</w:t>
      </w:r>
      <w:r>
        <w:rPr>
          <w:spacing w:val="-4"/>
        </w:rPr>
        <w:t xml:space="preserve"> </w:t>
      </w:r>
      <w:r>
        <w:t>haciendo</w:t>
      </w:r>
      <w:r>
        <w:rPr>
          <w:spacing w:val="-3"/>
        </w:rPr>
        <w:t xml:space="preserve"> </w:t>
      </w:r>
      <w:r>
        <w:t>seguimiento</w:t>
      </w:r>
      <w:r>
        <w:rPr>
          <w:spacing w:val="-2"/>
        </w:rPr>
        <w:t xml:space="preserve"> </w:t>
      </w:r>
      <w:r>
        <w:t>a</w:t>
      </w:r>
      <w:r>
        <w:rPr>
          <w:spacing w:val="-2"/>
        </w:rPr>
        <w:t xml:space="preserve"> </w:t>
      </w:r>
      <w:r>
        <w:t>la</w:t>
      </w:r>
      <w:r>
        <w:rPr>
          <w:spacing w:val="-2"/>
        </w:rPr>
        <w:t xml:space="preserve"> </w:t>
      </w:r>
      <w:r>
        <w:t>implementación,</w:t>
      </w:r>
      <w:r>
        <w:rPr>
          <w:spacing w:val="-3"/>
        </w:rPr>
        <w:t xml:space="preserve"> </w:t>
      </w:r>
      <w:r>
        <w:t>para</w:t>
      </w:r>
      <w:r>
        <w:rPr>
          <w:spacing w:val="-2"/>
        </w:rPr>
        <w:t xml:space="preserve"> </w:t>
      </w:r>
      <w:r>
        <w:t>superar</w:t>
      </w:r>
      <w:r>
        <w:rPr>
          <w:spacing w:val="-2"/>
        </w:rPr>
        <w:t xml:space="preserve"> </w:t>
      </w:r>
      <w:r>
        <w:t>los</w:t>
      </w:r>
      <w:r>
        <w:rPr>
          <w:spacing w:val="-1"/>
        </w:rPr>
        <w:t xml:space="preserve"> </w:t>
      </w:r>
      <w:r>
        <w:rPr>
          <w:spacing w:val="-2"/>
        </w:rPr>
        <w:t>desafíos</w:t>
      </w:r>
      <w:bookmarkStart w:id="1503" w:name="_bookmark1311"/>
      <w:bookmarkStart w:id="1504" w:name="_bookmark1312"/>
      <w:bookmarkEnd w:id="1503"/>
      <w:bookmarkEnd w:id="1504"/>
      <w:r w:rsidR="00FE5623">
        <w:t xml:space="preserve"> </w:t>
      </w:r>
      <w:r>
        <w:t>que enfrenta la implementación. En especial, se recomienda avanzar en la reincorporación social y económica de los integrantes de las FARC-EP con garantías de seguridad, como lo ha exigido la JEP y la Corte Constitucional.</w:t>
      </w:r>
    </w:p>
    <w:p w:rsidR="003804AC" w:rsidRDefault="00AF18A5" w:rsidP="00FE5623">
      <w:r>
        <w:t>Este</w:t>
      </w:r>
      <w:r>
        <w:rPr>
          <w:spacing w:val="-12"/>
        </w:rPr>
        <w:t xml:space="preserve"> </w:t>
      </w:r>
      <w:r>
        <w:t>bloque</w:t>
      </w:r>
      <w:r>
        <w:rPr>
          <w:spacing w:val="-14"/>
        </w:rPr>
        <w:t xml:space="preserve"> </w:t>
      </w:r>
      <w:r>
        <w:t>de</w:t>
      </w:r>
      <w:r>
        <w:rPr>
          <w:spacing w:val="-12"/>
        </w:rPr>
        <w:t xml:space="preserve"> </w:t>
      </w:r>
      <w:r>
        <w:t>recomendaciones,</w:t>
      </w:r>
      <w:r>
        <w:rPr>
          <w:spacing w:val="-13"/>
        </w:rPr>
        <w:t xml:space="preserve"> </w:t>
      </w:r>
      <w:r>
        <w:t>resalta</w:t>
      </w:r>
      <w:r>
        <w:rPr>
          <w:spacing w:val="-13"/>
        </w:rPr>
        <w:t xml:space="preserve"> </w:t>
      </w:r>
      <w:r>
        <w:t>también</w:t>
      </w:r>
      <w:r>
        <w:rPr>
          <w:spacing w:val="-13"/>
        </w:rPr>
        <w:t xml:space="preserve"> </w:t>
      </w:r>
      <w:r>
        <w:t>la</w:t>
      </w:r>
      <w:r>
        <w:rPr>
          <w:spacing w:val="-12"/>
        </w:rPr>
        <w:t xml:space="preserve"> </w:t>
      </w:r>
      <w:r>
        <w:t>urgencia</w:t>
      </w:r>
      <w:r>
        <w:rPr>
          <w:spacing w:val="-12"/>
        </w:rPr>
        <w:t xml:space="preserve"> </w:t>
      </w:r>
      <w:r>
        <w:t>de</w:t>
      </w:r>
      <w:r>
        <w:rPr>
          <w:spacing w:val="-12"/>
        </w:rPr>
        <w:t xml:space="preserve"> </w:t>
      </w:r>
      <w:r>
        <w:t>crear</w:t>
      </w:r>
      <w:r>
        <w:rPr>
          <w:spacing w:val="-11"/>
        </w:rPr>
        <w:t xml:space="preserve"> </w:t>
      </w:r>
      <w:r>
        <w:lastRenderedPageBreak/>
        <w:t>dentro</w:t>
      </w:r>
      <w:r>
        <w:rPr>
          <w:spacing w:val="-12"/>
        </w:rPr>
        <w:t xml:space="preserve"> </w:t>
      </w:r>
      <w:r>
        <w:t>del</w:t>
      </w:r>
      <w:r>
        <w:rPr>
          <w:spacing w:val="-11"/>
        </w:rPr>
        <w:t xml:space="preserve"> </w:t>
      </w:r>
      <w:r>
        <w:t>Gobierno un ministerio que lidere los asuntos de paz, reconciliación, atención a víctimas y reintegración. Este debe tener un claro enfoque territorial, que adicionalmente articule las políticas, programas y proyectos que se encuentran dispersos en diferentes sectores y entidades, lo que ha limitado su alcance e impacto y dificultado la recuperación del tejido social afectado por el conflicto armado y el restablecimiento de la confianza en la institucionalidad y entre los ciudadanos.</w:t>
      </w:r>
    </w:p>
    <w:p w:rsidR="003804AC" w:rsidRDefault="00AF18A5" w:rsidP="00FE5623">
      <w:r>
        <w:t>La Comisión también invita al Gobierno, a los actores armados y a la sociedad a reconocer</w:t>
      </w:r>
      <w:r>
        <w:rPr>
          <w:spacing w:val="-2"/>
        </w:rPr>
        <w:t xml:space="preserve"> </w:t>
      </w:r>
      <w:r>
        <w:t>que</w:t>
      </w:r>
      <w:r>
        <w:rPr>
          <w:spacing w:val="-2"/>
        </w:rPr>
        <w:t xml:space="preserve"> </w:t>
      </w:r>
      <w:r>
        <w:t>el</w:t>
      </w:r>
      <w:r>
        <w:rPr>
          <w:spacing w:val="-2"/>
        </w:rPr>
        <w:t xml:space="preserve"> </w:t>
      </w:r>
      <w:r>
        <w:t>diálogo</w:t>
      </w:r>
      <w:r>
        <w:rPr>
          <w:spacing w:val="-2"/>
        </w:rPr>
        <w:t xml:space="preserve"> </w:t>
      </w:r>
      <w:r>
        <w:t>y</w:t>
      </w:r>
      <w:r>
        <w:rPr>
          <w:spacing w:val="-2"/>
        </w:rPr>
        <w:t xml:space="preserve"> </w:t>
      </w:r>
      <w:r>
        <w:t>la</w:t>
      </w:r>
      <w:r>
        <w:rPr>
          <w:spacing w:val="-2"/>
        </w:rPr>
        <w:t xml:space="preserve"> </w:t>
      </w:r>
      <w:r>
        <w:t>negociación</w:t>
      </w:r>
      <w:r>
        <w:rPr>
          <w:spacing w:val="-2"/>
        </w:rPr>
        <w:t xml:space="preserve"> </w:t>
      </w:r>
      <w:r>
        <w:t>son</w:t>
      </w:r>
      <w:r>
        <w:rPr>
          <w:spacing w:val="-2"/>
        </w:rPr>
        <w:t xml:space="preserve"> </w:t>
      </w:r>
      <w:r>
        <w:t>las</w:t>
      </w:r>
      <w:r>
        <w:rPr>
          <w:spacing w:val="-2"/>
        </w:rPr>
        <w:t xml:space="preserve"> </w:t>
      </w:r>
      <w:r>
        <w:t>principales</w:t>
      </w:r>
      <w:r>
        <w:rPr>
          <w:spacing w:val="-2"/>
        </w:rPr>
        <w:t xml:space="preserve"> </w:t>
      </w:r>
      <w:r>
        <w:t>herramientas</w:t>
      </w:r>
      <w:r>
        <w:rPr>
          <w:spacing w:val="-2"/>
        </w:rPr>
        <w:t xml:space="preserve"> </w:t>
      </w:r>
      <w:r>
        <w:t>para</w:t>
      </w:r>
      <w:r>
        <w:rPr>
          <w:spacing w:val="-2"/>
        </w:rPr>
        <w:t xml:space="preserve"> </w:t>
      </w:r>
      <w:r>
        <w:t>alcanzar</w:t>
      </w:r>
      <w:r>
        <w:rPr>
          <w:spacing w:val="-2"/>
        </w:rPr>
        <w:t xml:space="preserve"> </w:t>
      </w:r>
      <w:r>
        <w:t>la paz.</w:t>
      </w:r>
      <w:r>
        <w:rPr>
          <w:spacing w:val="-5"/>
        </w:rPr>
        <w:t xml:space="preserve"> </w:t>
      </w:r>
      <w:r>
        <w:t>Esto</w:t>
      </w:r>
      <w:r>
        <w:rPr>
          <w:spacing w:val="-5"/>
        </w:rPr>
        <w:t xml:space="preserve"> </w:t>
      </w:r>
      <w:r>
        <w:t>implica,</w:t>
      </w:r>
      <w:r>
        <w:rPr>
          <w:spacing w:val="-5"/>
        </w:rPr>
        <w:t xml:space="preserve"> </w:t>
      </w:r>
      <w:r>
        <w:t>por</w:t>
      </w:r>
      <w:r>
        <w:rPr>
          <w:spacing w:val="-4"/>
        </w:rPr>
        <w:t xml:space="preserve"> </w:t>
      </w:r>
      <w:r>
        <w:t>una</w:t>
      </w:r>
      <w:r>
        <w:rPr>
          <w:spacing w:val="-5"/>
        </w:rPr>
        <w:t xml:space="preserve"> </w:t>
      </w:r>
      <w:r>
        <w:t>parte,</w:t>
      </w:r>
      <w:r>
        <w:rPr>
          <w:spacing w:val="-5"/>
        </w:rPr>
        <w:t xml:space="preserve"> </w:t>
      </w:r>
      <w:r>
        <w:t>retomar</w:t>
      </w:r>
      <w:r>
        <w:rPr>
          <w:spacing w:val="-4"/>
        </w:rPr>
        <w:t xml:space="preserve"> </w:t>
      </w:r>
      <w:r>
        <w:t>las</w:t>
      </w:r>
      <w:r>
        <w:rPr>
          <w:spacing w:val="-5"/>
        </w:rPr>
        <w:t xml:space="preserve"> </w:t>
      </w:r>
      <w:r>
        <w:t>negociaciones</w:t>
      </w:r>
      <w:r>
        <w:rPr>
          <w:spacing w:val="-5"/>
        </w:rPr>
        <w:t xml:space="preserve"> </w:t>
      </w:r>
      <w:r>
        <w:t>con</w:t>
      </w:r>
      <w:r>
        <w:rPr>
          <w:spacing w:val="-5"/>
        </w:rPr>
        <w:t xml:space="preserve"> </w:t>
      </w:r>
      <w:r>
        <w:t>el</w:t>
      </w:r>
      <w:r>
        <w:rPr>
          <w:spacing w:val="-4"/>
        </w:rPr>
        <w:t xml:space="preserve"> </w:t>
      </w:r>
      <w:r>
        <w:t>ELN,</w:t>
      </w:r>
      <w:r>
        <w:rPr>
          <w:spacing w:val="-4"/>
        </w:rPr>
        <w:t xml:space="preserve"> </w:t>
      </w:r>
      <w:r>
        <w:t>teniendo</w:t>
      </w:r>
      <w:r>
        <w:rPr>
          <w:spacing w:val="-5"/>
        </w:rPr>
        <w:t xml:space="preserve"> </w:t>
      </w:r>
      <w:r>
        <w:t>en</w:t>
      </w:r>
      <w:r>
        <w:rPr>
          <w:spacing w:val="-5"/>
        </w:rPr>
        <w:t xml:space="preserve"> </w:t>
      </w:r>
      <w:r>
        <w:t>cuenta los</w:t>
      </w:r>
      <w:r>
        <w:rPr>
          <w:spacing w:val="-8"/>
        </w:rPr>
        <w:t xml:space="preserve"> </w:t>
      </w:r>
      <w:r>
        <w:t>avances</w:t>
      </w:r>
      <w:r>
        <w:rPr>
          <w:spacing w:val="-9"/>
        </w:rPr>
        <w:t xml:space="preserve"> </w:t>
      </w:r>
      <w:r>
        <w:t>alcanzados</w:t>
      </w:r>
      <w:r>
        <w:rPr>
          <w:spacing w:val="-9"/>
        </w:rPr>
        <w:t xml:space="preserve"> </w:t>
      </w:r>
      <w:r>
        <w:t>previamente</w:t>
      </w:r>
      <w:r>
        <w:rPr>
          <w:spacing w:val="-9"/>
        </w:rPr>
        <w:t xml:space="preserve"> </w:t>
      </w:r>
      <w:r>
        <w:t>–incluido</w:t>
      </w:r>
      <w:r>
        <w:rPr>
          <w:spacing w:val="-8"/>
        </w:rPr>
        <w:t xml:space="preserve"> </w:t>
      </w:r>
      <w:r>
        <w:t>el</w:t>
      </w:r>
      <w:r>
        <w:rPr>
          <w:spacing w:val="-9"/>
        </w:rPr>
        <w:t xml:space="preserve"> </w:t>
      </w:r>
      <w:r>
        <w:t>reconocimiento</w:t>
      </w:r>
      <w:r>
        <w:rPr>
          <w:spacing w:val="-8"/>
        </w:rPr>
        <w:t xml:space="preserve"> </w:t>
      </w:r>
      <w:r>
        <w:t>del</w:t>
      </w:r>
      <w:r>
        <w:rPr>
          <w:spacing w:val="-8"/>
        </w:rPr>
        <w:t xml:space="preserve"> </w:t>
      </w:r>
      <w:r>
        <w:t>protocolo</w:t>
      </w:r>
      <w:r>
        <w:rPr>
          <w:spacing w:val="-8"/>
        </w:rPr>
        <w:t xml:space="preserve"> </w:t>
      </w:r>
      <w:r>
        <w:t>suscrito</w:t>
      </w:r>
      <w:r>
        <w:rPr>
          <w:spacing w:val="-8"/>
        </w:rPr>
        <w:t xml:space="preserve"> </w:t>
      </w:r>
      <w:r>
        <w:t>con esta guerrilla en caso de ruptura de las conversaciones– y diálogos regionales para mitigar los impactos humanitarios de la confrontación y hacer frente a los factores de persistencia del conflicto</w:t>
      </w:r>
      <w:r w:rsidR="00FE5623">
        <w:rPr>
          <w:rStyle w:val="Refdenotaalpie"/>
        </w:rPr>
        <w:footnoteReference w:id="1181"/>
      </w:r>
      <w:r>
        <w:t>. Y, por otra parte, avanzar en la formulación e implementación de una política de sometimiento a la justicia</w:t>
      </w:r>
      <w:r w:rsidR="00FE5623">
        <w:rPr>
          <w:rStyle w:val="Refdenotaalpie"/>
        </w:rPr>
        <w:footnoteReference w:id="1182"/>
      </w:r>
      <w:r>
        <w:t>, tanto individual como colectiva, que ofrezca incentivos razonables, que ponga en el centro a las víctimas</w:t>
      </w:r>
      <w:r>
        <w:rPr>
          <w:spacing w:val="-12"/>
        </w:rPr>
        <w:t xml:space="preserve"> </w:t>
      </w:r>
      <w:r>
        <w:t>y garantice los derechos a la verdad, la justicia y la reparación, y que contribuya al desmantelamiento definitivo de las organizaciones criminales, incluyendo no solo su aparato armado, sino el entramado de actores que las apoyan. Esta política se debe complementar con el fortalecimiento de la independencia</w:t>
      </w:r>
      <w:r>
        <w:rPr>
          <w:spacing w:val="75"/>
        </w:rPr>
        <w:t xml:space="preserve"> </w:t>
      </w:r>
      <w:r>
        <w:t>y</w:t>
      </w:r>
      <w:r>
        <w:rPr>
          <w:spacing w:val="77"/>
        </w:rPr>
        <w:t xml:space="preserve"> </w:t>
      </w:r>
      <w:r>
        <w:t>las</w:t>
      </w:r>
      <w:r>
        <w:rPr>
          <w:spacing w:val="77"/>
        </w:rPr>
        <w:t xml:space="preserve"> </w:t>
      </w:r>
      <w:r>
        <w:t>capacidades</w:t>
      </w:r>
      <w:r>
        <w:rPr>
          <w:spacing w:val="77"/>
        </w:rPr>
        <w:t xml:space="preserve"> </w:t>
      </w:r>
      <w:r>
        <w:t>en</w:t>
      </w:r>
      <w:r>
        <w:rPr>
          <w:spacing w:val="78"/>
        </w:rPr>
        <w:t xml:space="preserve"> </w:t>
      </w:r>
      <w:r>
        <w:t>materia</w:t>
      </w:r>
      <w:r>
        <w:rPr>
          <w:spacing w:val="77"/>
        </w:rPr>
        <w:t xml:space="preserve"> </w:t>
      </w:r>
      <w:r>
        <w:t>de</w:t>
      </w:r>
      <w:r>
        <w:rPr>
          <w:spacing w:val="77"/>
        </w:rPr>
        <w:t xml:space="preserve"> </w:t>
      </w:r>
      <w:r>
        <w:lastRenderedPageBreak/>
        <w:t>investigación</w:t>
      </w:r>
      <w:r>
        <w:rPr>
          <w:spacing w:val="78"/>
        </w:rPr>
        <w:t xml:space="preserve"> </w:t>
      </w:r>
      <w:r>
        <w:t>y</w:t>
      </w:r>
      <w:r>
        <w:rPr>
          <w:spacing w:val="77"/>
        </w:rPr>
        <w:t xml:space="preserve"> </w:t>
      </w:r>
      <w:r>
        <w:t>judicialización</w:t>
      </w:r>
      <w:r>
        <w:rPr>
          <w:spacing w:val="77"/>
        </w:rPr>
        <w:t xml:space="preserve"> </w:t>
      </w:r>
      <w:r>
        <w:rPr>
          <w:spacing w:val="-4"/>
        </w:rPr>
        <w:t>para</w:t>
      </w:r>
      <w:bookmarkStart w:id="1505" w:name="_bookmark1313"/>
      <w:bookmarkStart w:id="1506" w:name="_bookmark1314"/>
      <w:bookmarkEnd w:id="1505"/>
      <w:bookmarkEnd w:id="1506"/>
      <w:r w:rsidR="00FE5623">
        <w:t xml:space="preserve"> </w:t>
      </w:r>
      <w:r>
        <w:t>garantizar la efectiva persecución del narcotráfico, las organizaciones criminales y la corrupción como se destaca en el apartado sobre impunidad de estas recomendaciones.</w:t>
      </w:r>
    </w:p>
    <w:p w:rsidR="003804AC" w:rsidRDefault="00AF18A5" w:rsidP="00FE5623">
      <w:r>
        <w:t>Como complemento de lo anterior, y teniendo en</w:t>
      </w:r>
      <w:r>
        <w:rPr>
          <w:spacing w:val="-1"/>
        </w:rPr>
        <w:t xml:space="preserve"> </w:t>
      </w:r>
      <w:r>
        <w:t>cuenta la grave crisis humanitaria que se vive en algunos territorios del país, dada la persistencia de la violencia, se hace un llamado a todos los actores armados al respeto de los derechos humanos y del Derecho Internacional Humanitario. Al Gobierno y las autoridades, se las invita, así mismo, a reconocer, respetar y apoyar las iniciativas, acuerdos y pactos humanitarios locales y regionales que vienen siendo impulsados desde las organizaciones sociales y comunitarias de los territorios más afectados por la confrontación armada.</w:t>
      </w:r>
    </w:p>
    <w:p w:rsidR="003804AC" w:rsidRDefault="00AF18A5" w:rsidP="00FE5623">
      <w:r>
        <w:t>Finalmente, entendiendo que la paz va más allá del silencio de los fusiles, conviene resaltar</w:t>
      </w:r>
      <w:r>
        <w:rPr>
          <w:spacing w:val="-8"/>
        </w:rPr>
        <w:t xml:space="preserve"> </w:t>
      </w:r>
      <w:r>
        <w:t>que</w:t>
      </w:r>
      <w:r>
        <w:rPr>
          <w:spacing w:val="-8"/>
        </w:rPr>
        <w:t xml:space="preserve"> </w:t>
      </w:r>
      <w:r>
        <w:t>su</w:t>
      </w:r>
      <w:r>
        <w:rPr>
          <w:spacing w:val="-8"/>
        </w:rPr>
        <w:t xml:space="preserve"> </w:t>
      </w:r>
      <w:r>
        <w:t>construcción</w:t>
      </w:r>
      <w:r>
        <w:rPr>
          <w:spacing w:val="-8"/>
        </w:rPr>
        <w:t xml:space="preserve"> </w:t>
      </w:r>
      <w:r>
        <w:t>y</w:t>
      </w:r>
      <w:r>
        <w:rPr>
          <w:spacing w:val="-8"/>
        </w:rPr>
        <w:t xml:space="preserve"> </w:t>
      </w:r>
      <w:r>
        <w:t>sostenibilidad</w:t>
      </w:r>
      <w:r>
        <w:rPr>
          <w:spacing w:val="-8"/>
        </w:rPr>
        <w:t xml:space="preserve"> </w:t>
      </w:r>
      <w:r>
        <w:t>dependerá</w:t>
      </w:r>
      <w:r>
        <w:rPr>
          <w:spacing w:val="-8"/>
        </w:rPr>
        <w:t xml:space="preserve"> </w:t>
      </w:r>
      <w:r>
        <w:t>no</w:t>
      </w:r>
      <w:r>
        <w:rPr>
          <w:spacing w:val="-8"/>
        </w:rPr>
        <w:t xml:space="preserve"> </w:t>
      </w:r>
      <w:r>
        <w:t>solo</w:t>
      </w:r>
      <w:r>
        <w:rPr>
          <w:spacing w:val="-8"/>
        </w:rPr>
        <w:t xml:space="preserve"> </w:t>
      </w:r>
      <w:r>
        <w:t>de</w:t>
      </w:r>
      <w:r>
        <w:rPr>
          <w:spacing w:val="-8"/>
        </w:rPr>
        <w:t xml:space="preserve"> </w:t>
      </w:r>
      <w:r>
        <w:t>la</w:t>
      </w:r>
      <w:r>
        <w:rPr>
          <w:spacing w:val="-8"/>
        </w:rPr>
        <w:t xml:space="preserve"> </w:t>
      </w:r>
      <w:r>
        <w:t>implementación</w:t>
      </w:r>
      <w:r>
        <w:rPr>
          <w:spacing w:val="-9"/>
        </w:rPr>
        <w:t xml:space="preserve"> </w:t>
      </w:r>
      <w:r>
        <w:t>de</w:t>
      </w:r>
      <w:r>
        <w:rPr>
          <w:spacing w:val="-8"/>
        </w:rPr>
        <w:t xml:space="preserve"> </w:t>
      </w:r>
      <w:r>
        <w:t>este bloque de recomendaciones, sino también de la puesta en marcha integral del conjunto de transformaciones</w:t>
      </w:r>
      <w:r>
        <w:rPr>
          <w:spacing w:val="-7"/>
        </w:rPr>
        <w:t xml:space="preserve"> </w:t>
      </w:r>
      <w:r>
        <w:t>que</w:t>
      </w:r>
      <w:r>
        <w:rPr>
          <w:spacing w:val="-7"/>
        </w:rPr>
        <w:t xml:space="preserve"> </w:t>
      </w:r>
      <w:r>
        <w:t>se</w:t>
      </w:r>
      <w:r>
        <w:rPr>
          <w:spacing w:val="-7"/>
        </w:rPr>
        <w:t xml:space="preserve"> </w:t>
      </w:r>
      <w:r>
        <w:t>requieren</w:t>
      </w:r>
      <w:r>
        <w:rPr>
          <w:spacing w:val="-7"/>
        </w:rPr>
        <w:t xml:space="preserve"> </w:t>
      </w:r>
      <w:r>
        <w:t>para</w:t>
      </w:r>
      <w:r>
        <w:rPr>
          <w:spacing w:val="-7"/>
        </w:rPr>
        <w:t xml:space="preserve"> </w:t>
      </w:r>
      <w:r>
        <w:t>superar</w:t>
      </w:r>
      <w:r>
        <w:rPr>
          <w:spacing w:val="-7"/>
        </w:rPr>
        <w:t xml:space="preserve"> </w:t>
      </w:r>
      <w:r>
        <w:t>los</w:t>
      </w:r>
      <w:r>
        <w:rPr>
          <w:spacing w:val="-7"/>
        </w:rPr>
        <w:t xml:space="preserve"> </w:t>
      </w:r>
      <w:r>
        <w:t>factores</w:t>
      </w:r>
      <w:r>
        <w:rPr>
          <w:spacing w:val="-7"/>
        </w:rPr>
        <w:t xml:space="preserve"> </w:t>
      </w:r>
      <w:r>
        <w:t>de</w:t>
      </w:r>
      <w:r>
        <w:rPr>
          <w:spacing w:val="-8"/>
        </w:rPr>
        <w:t xml:space="preserve"> </w:t>
      </w:r>
      <w:r>
        <w:t>persistencia</w:t>
      </w:r>
      <w:r>
        <w:rPr>
          <w:spacing w:val="-8"/>
        </w:rPr>
        <w:t xml:space="preserve"> </w:t>
      </w:r>
      <w:r>
        <w:t>y</w:t>
      </w:r>
      <w:r>
        <w:rPr>
          <w:spacing w:val="-7"/>
        </w:rPr>
        <w:t xml:space="preserve"> </w:t>
      </w:r>
      <w:r>
        <w:t>garantizar</w:t>
      </w:r>
      <w:r>
        <w:rPr>
          <w:spacing w:val="-8"/>
        </w:rPr>
        <w:t xml:space="preserve"> </w:t>
      </w:r>
      <w:r>
        <w:t>la</w:t>
      </w:r>
      <w:r>
        <w:rPr>
          <w:spacing w:val="-7"/>
        </w:rPr>
        <w:t xml:space="preserve"> </w:t>
      </w:r>
      <w:r>
        <w:t>no repetición del conflicto.</w:t>
      </w:r>
    </w:p>
    <w:p w:rsidR="0011361F" w:rsidRPr="00FE5623" w:rsidRDefault="00AF18A5" w:rsidP="00FE5623">
      <w:r w:rsidRPr="00FE5623">
        <w:t>Reconocimiento - llamado</w:t>
      </w:r>
    </w:p>
    <w:p w:rsidR="003804AC" w:rsidRDefault="00AF18A5" w:rsidP="00FE5623">
      <w:r>
        <w:t>Llamamos al Estado y a la sociedad en su conjunto, a reconocer que, a pesar de los avances logrados en materia de construcción de paz, no hemos logrado el necesario impulso</w:t>
      </w:r>
      <w:r>
        <w:rPr>
          <w:spacing w:val="-1"/>
        </w:rPr>
        <w:t xml:space="preserve"> </w:t>
      </w:r>
      <w:r>
        <w:t>sobre</w:t>
      </w:r>
      <w:r>
        <w:rPr>
          <w:spacing w:val="-1"/>
        </w:rPr>
        <w:t xml:space="preserve"> </w:t>
      </w:r>
      <w:r>
        <w:t>las</w:t>
      </w:r>
      <w:r>
        <w:rPr>
          <w:spacing w:val="-1"/>
        </w:rPr>
        <w:t xml:space="preserve"> </w:t>
      </w:r>
      <w:r>
        <w:t>transformaciones</w:t>
      </w:r>
      <w:r>
        <w:rPr>
          <w:spacing w:val="-1"/>
        </w:rPr>
        <w:t xml:space="preserve"> </w:t>
      </w:r>
      <w:r>
        <w:t>que</w:t>
      </w:r>
      <w:r>
        <w:rPr>
          <w:spacing w:val="-1"/>
        </w:rPr>
        <w:t xml:space="preserve"> </w:t>
      </w:r>
      <w:r>
        <w:t>es</w:t>
      </w:r>
      <w:r>
        <w:rPr>
          <w:spacing w:val="-1"/>
        </w:rPr>
        <w:t xml:space="preserve"> </w:t>
      </w:r>
      <w:r>
        <w:t>necesario</w:t>
      </w:r>
      <w:r>
        <w:rPr>
          <w:spacing w:val="-1"/>
        </w:rPr>
        <w:t xml:space="preserve"> </w:t>
      </w:r>
      <w:r>
        <w:t>emprender</w:t>
      </w:r>
      <w:r>
        <w:rPr>
          <w:spacing w:val="-1"/>
        </w:rPr>
        <w:t xml:space="preserve"> </w:t>
      </w:r>
      <w:r>
        <w:t>para</w:t>
      </w:r>
      <w:r>
        <w:rPr>
          <w:spacing w:val="-1"/>
        </w:rPr>
        <w:t xml:space="preserve"> </w:t>
      </w:r>
      <w:r>
        <w:t>superar</w:t>
      </w:r>
      <w:r>
        <w:rPr>
          <w:spacing w:val="-1"/>
        </w:rPr>
        <w:t xml:space="preserve"> </w:t>
      </w:r>
      <w:r>
        <w:t>los</w:t>
      </w:r>
      <w:r>
        <w:rPr>
          <w:spacing w:val="-1"/>
        </w:rPr>
        <w:t xml:space="preserve"> </w:t>
      </w:r>
      <w:r>
        <w:t>factores que</w:t>
      </w:r>
      <w:r>
        <w:rPr>
          <w:spacing w:val="-7"/>
        </w:rPr>
        <w:t xml:space="preserve"> </w:t>
      </w:r>
      <w:r>
        <w:t>han</w:t>
      </w:r>
      <w:r>
        <w:rPr>
          <w:spacing w:val="-7"/>
        </w:rPr>
        <w:t xml:space="preserve"> </w:t>
      </w:r>
      <w:r>
        <w:t>permitido</w:t>
      </w:r>
      <w:r>
        <w:rPr>
          <w:spacing w:val="-8"/>
        </w:rPr>
        <w:t xml:space="preserve"> </w:t>
      </w:r>
      <w:r>
        <w:t>la</w:t>
      </w:r>
      <w:r>
        <w:rPr>
          <w:spacing w:val="-7"/>
        </w:rPr>
        <w:t xml:space="preserve"> </w:t>
      </w:r>
      <w:r>
        <w:t>persistencia</w:t>
      </w:r>
      <w:r>
        <w:rPr>
          <w:spacing w:val="-8"/>
        </w:rPr>
        <w:t xml:space="preserve"> </w:t>
      </w:r>
      <w:r>
        <w:t>del</w:t>
      </w:r>
      <w:r>
        <w:rPr>
          <w:spacing w:val="-7"/>
        </w:rPr>
        <w:t xml:space="preserve"> </w:t>
      </w:r>
      <w:r>
        <w:t>conflicto</w:t>
      </w:r>
      <w:r>
        <w:rPr>
          <w:spacing w:val="-8"/>
        </w:rPr>
        <w:t xml:space="preserve"> </w:t>
      </w:r>
      <w:r>
        <w:t>armado</w:t>
      </w:r>
      <w:r>
        <w:rPr>
          <w:spacing w:val="-7"/>
        </w:rPr>
        <w:t xml:space="preserve"> </w:t>
      </w:r>
      <w:r>
        <w:t>y</w:t>
      </w:r>
      <w:r>
        <w:rPr>
          <w:spacing w:val="-7"/>
        </w:rPr>
        <w:t xml:space="preserve"> </w:t>
      </w:r>
      <w:r>
        <w:t>la</w:t>
      </w:r>
      <w:r>
        <w:rPr>
          <w:spacing w:val="-8"/>
        </w:rPr>
        <w:t xml:space="preserve"> </w:t>
      </w:r>
      <w:r>
        <w:t>violencia</w:t>
      </w:r>
      <w:r>
        <w:rPr>
          <w:spacing w:val="-7"/>
        </w:rPr>
        <w:t xml:space="preserve"> </w:t>
      </w:r>
      <w:r>
        <w:t>durante</w:t>
      </w:r>
      <w:r>
        <w:rPr>
          <w:spacing w:val="-7"/>
        </w:rPr>
        <w:t xml:space="preserve"> </w:t>
      </w:r>
      <w:r>
        <w:t>décadas.</w:t>
      </w:r>
      <w:r>
        <w:rPr>
          <w:spacing w:val="-7"/>
        </w:rPr>
        <w:t xml:space="preserve"> </w:t>
      </w:r>
      <w:r>
        <w:t>Por consiguiente, es necesario avanzar en un consenso alrededor de esas transformaciones y de la necesidad de adelantar las negociaciones o estrategias para desarticular los grupos armados</w:t>
      </w:r>
      <w:r>
        <w:rPr>
          <w:spacing w:val="-8"/>
        </w:rPr>
        <w:t xml:space="preserve"> </w:t>
      </w:r>
      <w:r>
        <w:t>persistentes.</w:t>
      </w:r>
      <w:r>
        <w:rPr>
          <w:spacing w:val="-9"/>
        </w:rPr>
        <w:t xml:space="preserve"> </w:t>
      </w:r>
      <w:r>
        <w:t>También</w:t>
      </w:r>
      <w:r>
        <w:rPr>
          <w:spacing w:val="-8"/>
        </w:rPr>
        <w:t xml:space="preserve"> </w:t>
      </w:r>
      <w:r>
        <w:lastRenderedPageBreak/>
        <w:t>es</w:t>
      </w:r>
      <w:r>
        <w:rPr>
          <w:spacing w:val="-8"/>
        </w:rPr>
        <w:t xml:space="preserve"> </w:t>
      </w:r>
      <w:r>
        <w:t>necesario</w:t>
      </w:r>
      <w:r>
        <w:rPr>
          <w:spacing w:val="-9"/>
        </w:rPr>
        <w:t xml:space="preserve"> </w:t>
      </w:r>
      <w:r>
        <w:t>continuar</w:t>
      </w:r>
      <w:r>
        <w:rPr>
          <w:spacing w:val="-8"/>
        </w:rPr>
        <w:t xml:space="preserve"> </w:t>
      </w:r>
      <w:r>
        <w:t>en</w:t>
      </w:r>
      <w:r>
        <w:rPr>
          <w:spacing w:val="-9"/>
        </w:rPr>
        <w:t xml:space="preserve"> </w:t>
      </w:r>
      <w:r>
        <w:t>la</w:t>
      </w:r>
      <w:r>
        <w:rPr>
          <w:spacing w:val="-8"/>
        </w:rPr>
        <w:t xml:space="preserve"> </w:t>
      </w:r>
      <w:r>
        <w:t>búsqueda</w:t>
      </w:r>
      <w:r>
        <w:rPr>
          <w:spacing w:val="-8"/>
        </w:rPr>
        <w:t xml:space="preserve"> </w:t>
      </w:r>
      <w:r>
        <w:t>de</w:t>
      </w:r>
      <w:r>
        <w:rPr>
          <w:spacing w:val="-9"/>
        </w:rPr>
        <w:t xml:space="preserve"> </w:t>
      </w:r>
      <w:r>
        <w:t>acuerdos</w:t>
      </w:r>
      <w:r>
        <w:rPr>
          <w:spacing w:val="-8"/>
        </w:rPr>
        <w:t xml:space="preserve"> </w:t>
      </w:r>
      <w:r>
        <w:t>que</w:t>
      </w:r>
      <w:r>
        <w:rPr>
          <w:spacing w:val="-8"/>
        </w:rPr>
        <w:t xml:space="preserve"> </w:t>
      </w:r>
      <w:r>
        <w:t>nos permitan llegar a un nuevo pacto por la paz para así dejar en el pasado de manera definitiva</w:t>
      </w:r>
      <w:r>
        <w:rPr>
          <w:spacing w:val="-6"/>
        </w:rPr>
        <w:t xml:space="preserve"> </w:t>
      </w:r>
      <w:r>
        <w:t>el</w:t>
      </w:r>
      <w:r>
        <w:rPr>
          <w:spacing w:val="-6"/>
        </w:rPr>
        <w:t xml:space="preserve"> </w:t>
      </w:r>
      <w:r>
        <w:t>legado</w:t>
      </w:r>
      <w:r>
        <w:rPr>
          <w:spacing w:val="-6"/>
        </w:rPr>
        <w:t xml:space="preserve"> </w:t>
      </w:r>
      <w:r>
        <w:t>de</w:t>
      </w:r>
      <w:r>
        <w:rPr>
          <w:spacing w:val="-6"/>
        </w:rPr>
        <w:t xml:space="preserve"> </w:t>
      </w:r>
      <w:r>
        <w:t>violencia,</w:t>
      </w:r>
      <w:r>
        <w:rPr>
          <w:spacing w:val="-6"/>
        </w:rPr>
        <w:t xml:space="preserve"> </w:t>
      </w:r>
      <w:r>
        <w:t>las</w:t>
      </w:r>
      <w:r>
        <w:rPr>
          <w:spacing w:val="-6"/>
        </w:rPr>
        <w:t xml:space="preserve"> </w:t>
      </w:r>
      <w:r>
        <w:t>violaciones</w:t>
      </w:r>
      <w:r>
        <w:rPr>
          <w:spacing w:val="-7"/>
        </w:rPr>
        <w:t xml:space="preserve"> </w:t>
      </w:r>
      <w:r>
        <w:t>a</w:t>
      </w:r>
      <w:r>
        <w:rPr>
          <w:spacing w:val="-6"/>
        </w:rPr>
        <w:t xml:space="preserve"> </w:t>
      </w:r>
      <w:r>
        <w:t>los</w:t>
      </w:r>
      <w:r>
        <w:rPr>
          <w:spacing w:val="-6"/>
        </w:rPr>
        <w:t xml:space="preserve"> </w:t>
      </w:r>
      <w:r>
        <w:t>derechos</w:t>
      </w:r>
      <w:r>
        <w:rPr>
          <w:spacing w:val="-6"/>
        </w:rPr>
        <w:t xml:space="preserve"> </w:t>
      </w:r>
      <w:r>
        <w:t>humanos</w:t>
      </w:r>
      <w:r>
        <w:rPr>
          <w:spacing w:val="-5"/>
        </w:rPr>
        <w:t xml:space="preserve"> </w:t>
      </w:r>
      <w:r>
        <w:t>y</w:t>
      </w:r>
      <w:r>
        <w:rPr>
          <w:spacing w:val="-6"/>
        </w:rPr>
        <w:t xml:space="preserve"> </w:t>
      </w:r>
      <w:r>
        <w:t>las</w:t>
      </w:r>
      <w:r>
        <w:rPr>
          <w:spacing w:val="-6"/>
        </w:rPr>
        <w:t xml:space="preserve"> </w:t>
      </w:r>
      <w:r>
        <w:t>infracciones al Derecho Internacional Humanitario.</w:t>
      </w:r>
    </w:p>
    <w:p w:rsidR="0011361F" w:rsidRPr="00065BA6" w:rsidRDefault="00AF18A5" w:rsidP="00065BA6">
      <w:r w:rsidRPr="00065BA6">
        <w:t xml:space="preserve">Por lo anterior </w:t>
      </w:r>
      <w:r w:rsidRPr="00065BA6">
        <w:rPr>
          <w:b/>
        </w:rPr>
        <w:t>RECOMENDAMOS</w:t>
      </w:r>
      <w:r w:rsidRPr="00065BA6">
        <w:t>:</w:t>
      </w:r>
    </w:p>
    <w:p w:rsidR="003804AC" w:rsidRDefault="00AF18A5" w:rsidP="004A6EF4">
      <w:pPr>
        <w:pStyle w:val="Ttulo3"/>
        <w:numPr>
          <w:ilvl w:val="1"/>
          <w:numId w:val="28"/>
        </w:numPr>
      </w:pPr>
      <w:bookmarkStart w:id="1507" w:name="1.1.__Implementación_integral_del_Acuerd"/>
      <w:bookmarkStart w:id="1508" w:name="_Toc112399680"/>
      <w:bookmarkEnd w:id="1507"/>
      <w:r w:rsidRPr="00065BA6">
        <w:t>Implementación integral del Acuerdo Final de Paz</w:t>
      </w:r>
      <w:r w:rsidR="00065BA6">
        <w:t xml:space="preserve"> </w:t>
      </w:r>
      <w:r>
        <w:t>Corto</w:t>
      </w:r>
      <w:r w:rsidRPr="00065BA6">
        <w:rPr>
          <w:spacing w:val="-1"/>
        </w:rPr>
        <w:t xml:space="preserve"> </w:t>
      </w:r>
      <w:r w:rsidRPr="00065BA6">
        <w:rPr>
          <w:spacing w:val="-2"/>
        </w:rPr>
        <w:t>plazo</w:t>
      </w:r>
      <w:bookmarkEnd w:id="1508"/>
    </w:p>
    <w:p w:rsidR="003804AC" w:rsidRPr="00065BA6" w:rsidRDefault="00AF18A5" w:rsidP="004A6EF4">
      <w:pPr>
        <w:pStyle w:val="Prrafodelista"/>
        <w:numPr>
          <w:ilvl w:val="0"/>
          <w:numId w:val="31"/>
        </w:numPr>
        <w:rPr>
          <w:b/>
        </w:rPr>
      </w:pPr>
      <w:r>
        <w:t>Al</w:t>
      </w:r>
      <w:r w:rsidRPr="00065BA6">
        <w:rPr>
          <w:spacing w:val="-4"/>
        </w:rPr>
        <w:t xml:space="preserve"> </w:t>
      </w:r>
      <w:r>
        <w:t>Gobierno</w:t>
      </w:r>
      <w:r w:rsidRPr="00065BA6">
        <w:rPr>
          <w:spacing w:val="-6"/>
        </w:rPr>
        <w:t xml:space="preserve"> </w:t>
      </w:r>
      <w:r>
        <w:t>Nacional,</w:t>
      </w:r>
      <w:r w:rsidRPr="00065BA6">
        <w:rPr>
          <w:spacing w:val="-5"/>
        </w:rPr>
        <w:t xml:space="preserve"> </w:t>
      </w:r>
      <w:r>
        <w:t>a</w:t>
      </w:r>
      <w:r w:rsidRPr="00065BA6">
        <w:rPr>
          <w:spacing w:val="-6"/>
        </w:rPr>
        <w:t xml:space="preserve"> </w:t>
      </w:r>
      <w:r>
        <w:t>las</w:t>
      </w:r>
      <w:r w:rsidRPr="00065BA6">
        <w:rPr>
          <w:spacing w:val="-4"/>
        </w:rPr>
        <w:t xml:space="preserve"> </w:t>
      </w:r>
      <w:r>
        <w:t>autoridades</w:t>
      </w:r>
      <w:r w:rsidRPr="00065BA6">
        <w:rPr>
          <w:spacing w:val="-4"/>
        </w:rPr>
        <w:t xml:space="preserve"> </w:t>
      </w:r>
      <w:r>
        <w:t>territoriales</w:t>
      </w:r>
      <w:r w:rsidRPr="00065BA6">
        <w:rPr>
          <w:spacing w:val="-4"/>
        </w:rPr>
        <w:t xml:space="preserve"> </w:t>
      </w:r>
      <w:r>
        <w:t>y</w:t>
      </w:r>
      <w:r w:rsidRPr="00065BA6">
        <w:rPr>
          <w:spacing w:val="-5"/>
        </w:rPr>
        <w:t xml:space="preserve"> </w:t>
      </w:r>
      <w:r>
        <w:t>al</w:t>
      </w:r>
      <w:r w:rsidRPr="00065BA6">
        <w:rPr>
          <w:spacing w:val="-4"/>
        </w:rPr>
        <w:t xml:space="preserve"> </w:t>
      </w:r>
      <w:r>
        <w:t>Congreso</w:t>
      </w:r>
      <w:r w:rsidRPr="00065BA6">
        <w:rPr>
          <w:spacing w:val="-5"/>
        </w:rPr>
        <w:t xml:space="preserve"> </w:t>
      </w:r>
      <w:r>
        <w:t>de</w:t>
      </w:r>
      <w:r w:rsidRPr="00065BA6">
        <w:rPr>
          <w:spacing w:val="-4"/>
        </w:rPr>
        <w:t xml:space="preserve"> </w:t>
      </w:r>
      <w:r>
        <w:t>la</w:t>
      </w:r>
      <w:r w:rsidRPr="00065BA6">
        <w:rPr>
          <w:spacing w:val="-6"/>
        </w:rPr>
        <w:t xml:space="preserve"> </w:t>
      </w:r>
      <w:r>
        <w:t xml:space="preserve">República, </w:t>
      </w:r>
      <w:r w:rsidRPr="00065BA6">
        <w:rPr>
          <w:b/>
        </w:rPr>
        <w:t>garantizar</w:t>
      </w:r>
      <w:r w:rsidRPr="00065BA6">
        <w:rPr>
          <w:b/>
          <w:spacing w:val="-10"/>
        </w:rPr>
        <w:t xml:space="preserve"> </w:t>
      </w:r>
      <w:r w:rsidRPr="00065BA6">
        <w:rPr>
          <w:b/>
        </w:rPr>
        <w:t>el</w:t>
      </w:r>
      <w:r w:rsidRPr="00065BA6">
        <w:rPr>
          <w:b/>
          <w:spacing w:val="-9"/>
        </w:rPr>
        <w:t xml:space="preserve"> </w:t>
      </w:r>
      <w:r w:rsidRPr="00065BA6">
        <w:rPr>
          <w:b/>
        </w:rPr>
        <w:t>cumplimiento</w:t>
      </w:r>
      <w:r w:rsidRPr="00065BA6">
        <w:rPr>
          <w:b/>
          <w:spacing w:val="-9"/>
        </w:rPr>
        <w:t xml:space="preserve"> </w:t>
      </w:r>
      <w:r w:rsidRPr="00065BA6">
        <w:rPr>
          <w:b/>
        </w:rPr>
        <w:t>pleno</w:t>
      </w:r>
      <w:r w:rsidRPr="00065BA6">
        <w:rPr>
          <w:b/>
          <w:spacing w:val="-10"/>
        </w:rPr>
        <w:t xml:space="preserve"> </w:t>
      </w:r>
      <w:r w:rsidRPr="00065BA6">
        <w:rPr>
          <w:b/>
        </w:rPr>
        <w:t>e</w:t>
      </w:r>
      <w:r w:rsidRPr="00065BA6">
        <w:rPr>
          <w:b/>
          <w:spacing w:val="-10"/>
        </w:rPr>
        <w:t xml:space="preserve"> </w:t>
      </w:r>
      <w:r w:rsidRPr="00065BA6">
        <w:rPr>
          <w:b/>
        </w:rPr>
        <w:t>integral</w:t>
      </w:r>
      <w:r w:rsidRPr="00065BA6">
        <w:rPr>
          <w:b/>
          <w:spacing w:val="-9"/>
        </w:rPr>
        <w:t xml:space="preserve"> </w:t>
      </w:r>
      <w:r w:rsidRPr="00065BA6">
        <w:rPr>
          <w:b/>
        </w:rPr>
        <w:t>del</w:t>
      </w:r>
      <w:r w:rsidRPr="00065BA6">
        <w:rPr>
          <w:b/>
          <w:spacing w:val="-10"/>
        </w:rPr>
        <w:t xml:space="preserve"> </w:t>
      </w:r>
      <w:r w:rsidRPr="00065BA6">
        <w:rPr>
          <w:b/>
        </w:rPr>
        <w:t>Acuerdo</w:t>
      </w:r>
      <w:r w:rsidRPr="00065BA6">
        <w:rPr>
          <w:b/>
          <w:spacing w:val="-10"/>
        </w:rPr>
        <w:t xml:space="preserve"> </w:t>
      </w:r>
      <w:r w:rsidRPr="00065BA6">
        <w:rPr>
          <w:b/>
        </w:rPr>
        <w:t>Final</w:t>
      </w:r>
      <w:r w:rsidRPr="00065BA6">
        <w:rPr>
          <w:b/>
          <w:spacing w:val="-9"/>
        </w:rPr>
        <w:t xml:space="preserve"> </w:t>
      </w:r>
      <w:r w:rsidRPr="00065BA6">
        <w:rPr>
          <w:b/>
        </w:rPr>
        <w:t>de</w:t>
      </w:r>
      <w:r w:rsidRPr="00065BA6">
        <w:rPr>
          <w:b/>
          <w:spacing w:val="-9"/>
        </w:rPr>
        <w:t xml:space="preserve"> </w:t>
      </w:r>
      <w:r w:rsidRPr="00065BA6">
        <w:rPr>
          <w:b/>
        </w:rPr>
        <w:t>Paz</w:t>
      </w:r>
      <w:r>
        <w:t>,</w:t>
      </w:r>
      <w:r w:rsidRPr="00065BA6">
        <w:rPr>
          <w:spacing w:val="-11"/>
        </w:rPr>
        <w:t xml:space="preserve"> </w:t>
      </w:r>
      <w:r>
        <w:t>desarrollando</w:t>
      </w:r>
      <w:r w:rsidRPr="00065BA6">
        <w:rPr>
          <w:spacing w:val="-9"/>
        </w:rPr>
        <w:t xml:space="preserve"> </w:t>
      </w:r>
      <w:r>
        <w:t>un plan de impulso a la implementación de todos los puntos del Acuerdo con enfoque territorial, étnico, de género y de derechos de las mujeres. Esto debe hacerse sobre la base de un diálogo amplio con las instituciones, las instancias de seguimiento creadas en virtud del Acuerdo</w:t>
      </w:r>
      <w:r w:rsidR="001E07AA">
        <w:rPr>
          <w:rStyle w:val="Refdenotaalpie"/>
        </w:rPr>
        <w:footnoteReference w:id="1183"/>
      </w:r>
      <w:r>
        <w:t>, con las autoridades territoriales y étnicas y las organizaciones de la sociedad civil nacionales y locales que han venido haciendo seguimiento a la implementación y que permita, entre otros:</w:t>
      </w:r>
    </w:p>
    <w:p w:rsidR="003804AC" w:rsidRDefault="00AF18A5" w:rsidP="004A6EF4">
      <w:pPr>
        <w:pStyle w:val="Prrafodelista"/>
        <w:numPr>
          <w:ilvl w:val="0"/>
          <w:numId w:val="29"/>
        </w:numPr>
      </w:pPr>
      <w:r>
        <w:t>Establecer</w:t>
      </w:r>
      <w:r w:rsidRPr="00065BA6">
        <w:rPr>
          <w:spacing w:val="-1"/>
        </w:rPr>
        <w:t xml:space="preserve"> </w:t>
      </w:r>
      <w:r w:rsidRPr="00065BA6">
        <w:rPr>
          <w:b/>
        </w:rPr>
        <w:t>tiempos,</w:t>
      </w:r>
      <w:r w:rsidRPr="00065BA6">
        <w:rPr>
          <w:b/>
          <w:spacing w:val="-1"/>
        </w:rPr>
        <w:t xml:space="preserve"> </w:t>
      </w:r>
      <w:r w:rsidRPr="00065BA6">
        <w:rPr>
          <w:b/>
        </w:rPr>
        <w:t>recursos</w:t>
      </w:r>
      <w:r w:rsidRPr="00065BA6">
        <w:rPr>
          <w:b/>
          <w:spacing w:val="-1"/>
        </w:rPr>
        <w:t xml:space="preserve"> </w:t>
      </w:r>
      <w:r w:rsidRPr="00065BA6">
        <w:rPr>
          <w:b/>
        </w:rPr>
        <w:t>y</w:t>
      </w:r>
      <w:r w:rsidRPr="00065BA6">
        <w:rPr>
          <w:b/>
          <w:spacing w:val="-1"/>
        </w:rPr>
        <w:t xml:space="preserve"> </w:t>
      </w:r>
      <w:r w:rsidRPr="00065BA6">
        <w:rPr>
          <w:b/>
        </w:rPr>
        <w:t>objetivos</w:t>
      </w:r>
      <w:r w:rsidRPr="00065BA6">
        <w:rPr>
          <w:b/>
          <w:spacing w:val="-1"/>
        </w:rPr>
        <w:t xml:space="preserve"> </w:t>
      </w:r>
      <w:r w:rsidRPr="00065BA6">
        <w:rPr>
          <w:b/>
        </w:rPr>
        <w:t>de</w:t>
      </w:r>
      <w:r w:rsidRPr="00065BA6">
        <w:rPr>
          <w:b/>
          <w:spacing w:val="-1"/>
        </w:rPr>
        <w:t xml:space="preserve"> </w:t>
      </w:r>
      <w:r w:rsidRPr="00065BA6">
        <w:rPr>
          <w:b/>
        </w:rPr>
        <w:t>corto,</w:t>
      </w:r>
      <w:r w:rsidRPr="00065BA6">
        <w:rPr>
          <w:b/>
          <w:spacing w:val="-1"/>
        </w:rPr>
        <w:t xml:space="preserve"> </w:t>
      </w:r>
      <w:r w:rsidRPr="00065BA6">
        <w:rPr>
          <w:b/>
        </w:rPr>
        <w:t>mediano</w:t>
      </w:r>
      <w:r w:rsidRPr="00065BA6">
        <w:rPr>
          <w:b/>
          <w:spacing w:val="-1"/>
        </w:rPr>
        <w:t xml:space="preserve"> </w:t>
      </w:r>
      <w:r w:rsidRPr="00065BA6">
        <w:rPr>
          <w:b/>
        </w:rPr>
        <w:t>y</w:t>
      </w:r>
      <w:r w:rsidRPr="00065BA6">
        <w:rPr>
          <w:b/>
          <w:spacing w:val="-1"/>
        </w:rPr>
        <w:t xml:space="preserve"> </w:t>
      </w:r>
      <w:r w:rsidRPr="00065BA6">
        <w:rPr>
          <w:b/>
        </w:rPr>
        <w:t>largo</w:t>
      </w:r>
      <w:r w:rsidRPr="00065BA6">
        <w:rPr>
          <w:b/>
          <w:spacing w:val="-1"/>
        </w:rPr>
        <w:t xml:space="preserve"> </w:t>
      </w:r>
      <w:r w:rsidRPr="00065BA6">
        <w:rPr>
          <w:b/>
        </w:rPr>
        <w:t xml:space="preserve">plazo que den claridad frente al horizonte de la implementación, </w:t>
      </w:r>
      <w:r>
        <w:t>y fortalecer el seguimiento con indicadores e informes públicos y periódicos con enfoque territorial, étnico, de género y de derechos de las mujeres.</w:t>
      </w:r>
    </w:p>
    <w:p w:rsidR="003804AC" w:rsidRDefault="00AF18A5" w:rsidP="004A6EF4">
      <w:pPr>
        <w:pStyle w:val="Prrafodelista"/>
        <w:numPr>
          <w:ilvl w:val="0"/>
          <w:numId w:val="29"/>
        </w:numPr>
      </w:pPr>
      <w:r>
        <w:lastRenderedPageBreak/>
        <w:t xml:space="preserve">Profundizar la </w:t>
      </w:r>
      <w:r w:rsidRPr="00065BA6">
        <w:rPr>
          <w:b/>
        </w:rPr>
        <w:t xml:space="preserve">participación informada e incidente de los diversos sectores sociales </w:t>
      </w:r>
      <w:r>
        <w:t>como principio transversal y condición necesaria en cada una de las etapas de la implementación para avanzar en la construcción de paz territorial.</w:t>
      </w:r>
    </w:p>
    <w:p w:rsidR="0011361F" w:rsidRPr="00065BA6" w:rsidRDefault="00AF18A5" w:rsidP="004A6EF4">
      <w:pPr>
        <w:pStyle w:val="Prrafodelista"/>
        <w:numPr>
          <w:ilvl w:val="0"/>
          <w:numId w:val="29"/>
        </w:numPr>
        <w:rPr>
          <w:b/>
        </w:rPr>
      </w:pPr>
      <w:r>
        <w:t>Avanzar con</w:t>
      </w:r>
      <w:r w:rsidRPr="00065BA6">
        <w:rPr>
          <w:spacing w:val="1"/>
        </w:rPr>
        <w:t xml:space="preserve"> </w:t>
      </w:r>
      <w:r>
        <w:t>mayor</w:t>
      </w:r>
      <w:r w:rsidRPr="00065BA6">
        <w:rPr>
          <w:spacing w:val="3"/>
        </w:rPr>
        <w:t xml:space="preserve"> </w:t>
      </w:r>
      <w:r>
        <w:t>celeridad</w:t>
      </w:r>
      <w:r w:rsidRPr="00065BA6">
        <w:rPr>
          <w:spacing w:val="1"/>
        </w:rPr>
        <w:t xml:space="preserve"> </w:t>
      </w:r>
      <w:r>
        <w:t>en</w:t>
      </w:r>
      <w:r w:rsidRPr="00065BA6">
        <w:rPr>
          <w:spacing w:val="1"/>
        </w:rPr>
        <w:t xml:space="preserve"> </w:t>
      </w:r>
      <w:r>
        <w:t>la</w:t>
      </w:r>
      <w:r w:rsidRPr="00065BA6">
        <w:rPr>
          <w:spacing w:val="1"/>
        </w:rPr>
        <w:t xml:space="preserve"> </w:t>
      </w:r>
      <w:r>
        <w:t>implementación</w:t>
      </w:r>
      <w:r w:rsidRPr="00065BA6">
        <w:rPr>
          <w:spacing w:val="1"/>
        </w:rPr>
        <w:t xml:space="preserve"> </w:t>
      </w:r>
      <w:r>
        <w:t>de</w:t>
      </w:r>
      <w:r w:rsidRPr="00065BA6">
        <w:rPr>
          <w:spacing w:val="1"/>
        </w:rPr>
        <w:t xml:space="preserve"> </w:t>
      </w:r>
      <w:r>
        <w:t>las</w:t>
      </w:r>
      <w:r w:rsidRPr="00065BA6">
        <w:rPr>
          <w:spacing w:val="1"/>
        </w:rPr>
        <w:t xml:space="preserve"> </w:t>
      </w:r>
      <w:r>
        <w:t>disposiciones</w:t>
      </w:r>
      <w:r w:rsidRPr="00065BA6">
        <w:rPr>
          <w:spacing w:val="1"/>
        </w:rPr>
        <w:t xml:space="preserve"> </w:t>
      </w:r>
      <w:r w:rsidRPr="00065BA6">
        <w:rPr>
          <w:spacing w:val="-5"/>
        </w:rPr>
        <w:t>del</w:t>
      </w:r>
      <w:r w:rsidR="00065BA6">
        <w:rPr>
          <w:spacing w:val="-5"/>
        </w:rPr>
        <w:t xml:space="preserve"> </w:t>
      </w:r>
      <w:r>
        <w:t>capítulo</w:t>
      </w:r>
      <w:r w:rsidRPr="00065BA6">
        <w:rPr>
          <w:spacing w:val="-3"/>
        </w:rPr>
        <w:t xml:space="preserve"> </w:t>
      </w:r>
      <w:r>
        <w:t>étnico</w:t>
      </w:r>
      <w:r w:rsidRPr="00065BA6">
        <w:rPr>
          <w:spacing w:val="-1"/>
        </w:rPr>
        <w:t xml:space="preserve"> </w:t>
      </w:r>
      <w:r>
        <w:t>y</w:t>
      </w:r>
      <w:r w:rsidRPr="00065BA6">
        <w:rPr>
          <w:spacing w:val="-1"/>
        </w:rPr>
        <w:t xml:space="preserve"> </w:t>
      </w:r>
      <w:r>
        <w:t>de</w:t>
      </w:r>
      <w:r w:rsidRPr="00065BA6">
        <w:rPr>
          <w:spacing w:val="-1"/>
        </w:rPr>
        <w:t xml:space="preserve"> </w:t>
      </w:r>
      <w:r>
        <w:t>las</w:t>
      </w:r>
      <w:r w:rsidRPr="00065BA6">
        <w:rPr>
          <w:spacing w:val="-3"/>
        </w:rPr>
        <w:t xml:space="preserve"> </w:t>
      </w:r>
      <w:r>
        <w:t>medidas</w:t>
      </w:r>
      <w:r w:rsidRPr="00065BA6">
        <w:rPr>
          <w:spacing w:val="-1"/>
        </w:rPr>
        <w:t xml:space="preserve"> </w:t>
      </w:r>
      <w:r>
        <w:t>de</w:t>
      </w:r>
      <w:r w:rsidRPr="00065BA6">
        <w:rPr>
          <w:spacing w:val="-2"/>
        </w:rPr>
        <w:t xml:space="preserve"> género</w:t>
      </w:r>
      <w:r w:rsidRPr="00065BA6">
        <w:rPr>
          <w:b/>
          <w:spacing w:val="-2"/>
        </w:rPr>
        <w:t>.</w:t>
      </w:r>
    </w:p>
    <w:p w:rsidR="003804AC" w:rsidRDefault="00AF18A5" w:rsidP="004A6EF4">
      <w:pPr>
        <w:pStyle w:val="Prrafodelista"/>
        <w:numPr>
          <w:ilvl w:val="0"/>
          <w:numId w:val="29"/>
        </w:numPr>
      </w:pPr>
      <w:r w:rsidRPr="00065BA6">
        <w:rPr>
          <w:b/>
        </w:rPr>
        <w:t>Incrementar</w:t>
      </w:r>
      <w:r w:rsidRPr="00065BA6">
        <w:rPr>
          <w:b/>
          <w:spacing w:val="40"/>
        </w:rPr>
        <w:t xml:space="preserve"> </w:t>
      </w:r>
      <w:r w:rsidRPr="00065BA6">
        <w:rPr>
          <w:b/>
        </w:rPr>
        <w:t>la</w:t>
      </w:r>
      <w:r w:rsidRPr="00065BA6">
        <w:rPr>
          <w:b/>
          <w:spacing w:val="40"/>
        </w:rPr>
        <w:t xml:space="preserve"> </w:t>
      </w:r>
      <w:r w:rsidRPr="00065BA6">
        <w:rPr>
          <w:b/>
        </w:rPr>
        <w:t>financiación</w:t>
      </w:r>
      <w:r w:rsidRPr="00065BA6">
        <w:rPr>
          <w:b/>
          <w:spacing w:val="40"/>
        </w:rPr>
        <w:t xml:space="preserve"> </w:t>
      </w:r>
      <w:r>
        <w:t>para</w:t>
      </w:r>
      <w:r w:rsidRPr="00065BA6">
        <w:rPr>
          <w:spacing w:val="40"/>
        </w:rPr>
        <w:t xml:space="preserve"> </w:t>
      </w:r>
      <w:r>
        <w:t>aumentar</w:t>
      </w:r>
      <w:r w:rsidRPr="00065BA6">
        <w:rPr>
          <w:spacing w:val="40"/>
        </w:rPr>
        <w:t xml:space="preserve"> </w:t>
      </w:r>
      <w:r>
        <w:t>la</w:t>
      </w:r>
      <w:r w:rsidRPr="00065BA6">
        <w:rPr>
          <w:spacing w:val="40"/>
        </w:rPr>
        <w:t xml:space="preserve"> </w:t>
      </w:r>
      <w:r>
        <w:t>cobertura</w:t>
      </w:r>
      <w:r w:rsidRPr="00065BA6">
        <w:rPr>
          <w:spacing w:val="40"/>
        </w:rPr>
        <w:t xml:space="preserve"> </w:t>
      </w:r>
      <w:r>
        <w:t>e</w:t>
      </w:r>
      <w:r w:rsidRPr="00065BA6">
        <w:rPr>
          <w:spacing w:val="40"/>
        </w:rPr>
        <w:t xml:space="preserve"> </w:t>
      </w:r>
      <w:r>
        <w:t>impacto</w:t>
      </w:r>
      <w:r w:rsidRPr="00065BA6">
        <w:rPr>
          <w:spacing w:val="40"/>
        </w:rPr>
        <w:t xml:space="preserve"> </w:t>
      </w:r>
      <w:r>
        <w:t>del conjunto de medidas del Acuerdo.</w:t>
      </w:r>
    </w:p>
    <w:p w:rsidR="003804AC" w:rsidRDefault="00AF18A5" w:rsidP="004A6EF4">
      <w:pPr>
        <w:pStyle w:val="Prrafodelista"/>
        <w:numPr>
          <w:ilvl w:val="0"/>
          <w:numId w:val="29"/>
        </w:numPr>
      </w:pPr>
      <w:r>
        <w:t>Garantizar</w:t>
      </w:r>
      <w:r w:rsidRPr="00065BA6">
        <w:rPr>
          <w:spacing w:val="40"/>
        </w:rPr>
        <w:t xml:space="preserve"> </w:t>
      </w:r>
      <w:r>
        <w:t>la</w:t>
      </w:r>
      <w:r w:rsidRPr="00065BA6">
        <w:rPr>
          <w:spacing w:val="40"/>
        </w:rPr>
        <w:t xml:space="preserve"> </w:t>
      </w:r>
      <w:r>
        <w:t>articulación</w:t>
      </w:r>
      <w:r w:rsidRPr="00065BA6">
        <w:rPr>
          <w:spacing w:val="40"/>
        </w:rPr>
        <w:t xml:space="preserve"> </w:t>
      </w:r>
      <w:r>
        <w:t>de</w:t>
      </w:r>
      <w:r w:rsidRPr="00065BA6">
        <w:rPr>
          <w:spacing w:val="40"/>
        </w:rPr>
        <w:t xml:space="preserve"> </w:t>
      </w:r>
      <w:r>
        <w:t>la</w:t>
      </w:r>
      <w:r w:rsidRPr="00065BA6">
        <w:rPr>
          <w:spacing w:val="40"/>
        </w:rPr>
        <w:t xml:space="preserve"> </w:t>
      </w:r>
      <w:r>
        <w:t>implementación</w:t>
      </w:r>
      <w:r w:rsidRPr="00065BA6">
        <w:rPr>
          <w:spacing w:val="40"/>
        </w:rPr>
        <w:t xml:space="preserve"> </w:t>
      </w:r>
      <w:r>
        <w:t>con</w:t>
      </w:r>
      <w:r w:rsidRPr="00065BA6">
        <w:rPr>
          <w:spacing w:val="40"/>
        </w:rPr>
        <w:t xml:space="preserve"> </w:t>
      </w:r>
      <w:r>
        <w:t>la</w:t>
      </w:r>
      <w:r w:rsidRPr="00065BA6">
        <w:rPr>
          <w:spacing w:val="40"/>
        </w:rPr>
        <w:t xml:space="preserve"> </w:t>
      </w:r>
      <w:r>
        <w:t>estrategia</w:t>
      </w:r>
      <w:r w:rsidRPr="00065BA6">
        <w:rPr>
          <w:spacing w:val="40"/>
        </w:rPr>
        <w:t xml:space="preserve"> </w:t>
      </w:r>
      <w:r>
        <w:t>de seguridad (ver recomendaciones seguridad).</w:t>
      </w:r>
    </w:p>
    <w:p w:rsidR="0011361F" w:rsidRDefault="00AF18A5" w:rsidP="00065BA6">
      <w:r w:rsidRPr="00065BA6">
        <w:t>Corto</w:t>
      </w:r>
      <w:r>
        <w:rPr>
          <w:spacing w:val="-1"/>
        </w:rPr>
        <w:t xml:space="preserve"> </w:t>
      </w:r>
      <w:r>
        <w:rPr>
          <w:spacing w:val="-2"/>
        </w:rPr>
        <w:t>plazo</w:t>
      </w:r>
    </w:p>
    <w:p w:rsidR="003804AC" w:rsidRPr="001E07AA" w:rsidRDefault="00AF18A5" w:rsidP="004A6EF4">
      <w:pPr>
        <w:pStyle w:val="Prrafodelista"/>
        <w:numPr>
          <w:ilvl w:val="0"/>
          <w:numId w:val="31"/>
        </w:numPr>
        <w:rPr>
          <w:b/>
        </w:rPr>
      </w:pPr>
      <w:bookmarkStart w:id="1509" w:name="_bookmark1316"/>
      <w:bookmarkEnd w:id="1509"/>
      <w:r>
        <w:t xml:space="preserve">Al Gobierno Nacional, </w:t>
      </w:r>
      <w:r w:rsidRPr="001E07AA">
        <w:rPr>
          <w:b/>
        </w:rPr>
        <w:t>garantizar la seguridad de las y los excombatientes de las FARC-EP</w:t>
      </w:r>
      <w:r>
        <w:t xml:space="preserve">, </w:t>
      </w:r>
      <w:r w:rsidRPr="001E07AA">
        <w:rPr>
          <w:b/>
        </w:rPr>
        <w:t>así como su reincorporación económica, social y política</w:t>
      </w:r>
      <w:r>
        <w:t>, dentro de una estrategia integral de protección de territorios inspirada en el concepto de seguridad humana, a través de, entre otras acciones:</w:t>
      </w:r>
    </w:p>
    <w:p w:rsidR="003804AC" w:rsidRDefault="00AF18A5" w:rsidP="004A6EF4">
      <w:pPr>
        <w:pStyle w:val="Prrafodelista"/>
        <w:numPr>
          <w:ilvl w:val="0"/>
          <w:numId w:val="30"/>
        </w:numPr>
      </w:pPr>
      <w:r>
        <w:t xml:space="preserve">Garantizar </w:t>
      </w:r>
      <w:r w:rsidRPr="001E07AA">
        <w:rPr>
          <w:b/>
        </w:rPr>
        <w:t>el cumplimiento integral de las medidas contempladas en el Acuerdo</w:t>
      </w:r>
      <w:r w:rsidRPr="001E07AA">
        <w:rPr>
          <w:b/>
          <w:spacing w:val="-5"/>
        </w:rPr>
        <w:t xml:space="preserve"> </w:t>
      </w:r>
      <w:r w:rsidRPr="001E07AA">
        <w:rPr>
          <w:b/>
        </w:rPr>
        <w:t>Final</w:t>
      </w:r>
      <w:r w:rsidRPr="001E07AA">
        <w:rPr>
          <w:b/>
          <w:spacing w:val="-5"/>
        </w:rPr>
        <w:t xml:space="preserve"> </w:t>
      </w:r>
      <w:r w:rsidRPr="001E07AA">
        <w:rPr>
          <w:b/>
        </w:rPr>
        <w:t>de</w:t>
      </w:r>
      <w:r w:rsidRPr="001E07AA">
        <w:rPr>
          <w:b/>
          <w:spacing w:val="-5"/>
        </w:rPr>
        <w:t xml:space="preserve"> </w:t>
      </w:r>
      <w:r w:rsidRPr="001E07AA">
        <w:rPr>
          <w:b/>
        </w:rPr>
        <w:t>Paz</w:t>
      </w:r>
      <w:r w:rsidRPr="001E07AA">
        <w:rPr>
          <w:b/>
          <w:spacing w:val="-5"/>
        </w:rPr>
        <w:t xml:space="preserve"> </w:t>
      </w:r>
      <w:r w:rsidRPr="001E07AA">
        <w:rPr>
          <w:b/>
        </w:rPr>
        <w:t>en</w:t>
      </w:r>
      <w:r w:rsidRPr="001E07AA">
        <w:rPr>
          <w:b/>
          <w:spacing w:val="-5"/>
        </w:rPr>
        <w:t xml:space="preserve"> </w:t>
      </w:r>
      <w:r w:rsidRPr="001E07AA">
        <w:rPr>
          <w:b/>
        </w:rPr>
        <w:t>materia</w:t>
      </w:r>
      <w:r w:rsidRPr="001E07AA">
        <w:rPr>
          <w:b/>
          <w:spacing w:val="-5"/>
        </w:rPr>
        <w:t xml:space="preserve"> </w:t>
      </w:r>
      <w:r w:rsidRPr="001E07AA">
        <w:rPr>
          <w:b/>
        </w:rPr>
        <w:t>de</w:t>
      </w:r>
      <w:r w:rsidRPr="001E07AA">
        <w:rPr>
          <w:b/>
          <w:spacing w:val="-5"/>
        </w:rPr>
        <w:t xml:space="preserve"> </w:t>
      </w:r>
      <w:r w:rsidRPr="001E07AA">
        <w:rPr>
          <w:b/>
        </w:rPr>
        <w:t>seguridad</w:t>
      </w:r>
      <w:r w:rsidR="001E07AA">
        <w:rPr>
          <w:rStyle w:val="Refdenotaalpie"/>
        </w:rPr>
        <w:footnoteReference w:id="1184"/>
      </w:r>
      <w:r w:rsidRPr="001E07AA">
        <w:rPr>
          <w:spacing w:val="-5"/>
        </w:rPr>
        <w:t xml:space="preserve"> </w:t>
      </w:r>
      <w:r w:rsidRPr="001E07AA">
        <w:rPr>
          <w:b/>
        </w:rPr>
        <w:t>y</w:t>
      </w:r>
      <w:r w:rsidRPr="001E07AA">
        <w:rPr>
          <w:b/>
          <w:spacing w:val="-5"/>
        </w:rPr>
        <w:t xml:space="preserve"> </w:t>
      </w:r>
      <w:r w:rsidRPr="001E07AA">
        <w:rPr>
          <w:b/>
        </w:rPr>
        <w:t>las</w:t>
      </w:r>
      <w:r w:rsidRPr="001E07AA">
        <w:rPr>
          <w:b/>
          <w:spacing w:val="-5"/>
        </w:rPr>
        <w:t xml:space="preserve"> </w:t>
      </w:r>
      <w:r w:rsidRPr="001E07AA">
        <w:rPr>
          <w:b/>
        </w:rPr>
        <w:t>órdenes</w:t>
      </w:r>
      <w:r w:rsidRPr="001E07AA">
        <w:rPr>
          <w:b/>
          <w:spacing w:val="-5"/>
        </w:rPr>
        <w:t xml:space="preserve"> </w:t>
      </w:r>
      <w:r w:rsidRPr="001E07AA">
        <w:rPr>
          <w:b/>
        </w:rPr>
        <w:t>emitidas</w:t>
      </w:r>
      <w:r w:rsidRPr="001E07AA">
        <w:rPr>
          <w:b/>
          <w:spacing w:val="-5"/>
        </w:rPr>
        <w:t xml:space="preserve"> </w:t>
      </w:r>
      <w:r w:rsidRPr="001E07AA">
        <w:rPr>
          <w:b/>
        </w:rPr>
        <w:t>por</w:t>
      </w:r>
      <w:r w:rsidRPr="001E07AA">
        <w:rPr>
          <w:b/>
          <w:spacing w:val="-5"/>
        </w:rPr>
        <w:t xml:space="preserve"> </w:t>
      </w:r>
      <w:r w:rsidRPr="001E07AA">
        <w:rPr>
          <w:b/>
        </w:rPr>
        <w:t>la JEP y la Corte Constitucional</w:t>
      </w:r>
      <w:r w:rsidR="001E07AA">
        <w:rPr>
          <w:rStyle w:val="Refdenotaalpie"/>
        </w:rPr>
        <w:footnoteReference w:id="1185"/>
      </w:r>
      <w:r>
        <w:t>, e implementar medidas para la atención a viudas, hijas e hijos de excombatientes asesinados.</w:t>
      </w:r>
    </w:p>
    <w:p w:rsidR="003804AC" w:rsidRDefault="00AF18A5" w:rsidP="004A6EF4">
      <w:pPr>
        <w:pStyle w:val="Prrafodelista"/>
        <w:numPr>
          <w:ilvl w:val="0"/>
          <w:numId w:val="30"/>
        </w:numPr>
      </w:pPr>
      <w:r w:rsidRPr="001E07AA">
        <w:rPr>
          <w:b/>
        </w:rPr>
        <w:t xml:space="preserve">Reglamentar y poner en marcha el Sistema Nacional de Reincorporación </w:t>
      </w:r>
      <w:r>
        <w:t xml:space="preserve">con una participación efectiva de los </w:t>
      </w:r>
      <w:r>
        <w:lastRenderedPageBreak/>
        <w:t>excombatientes, garantizando su implementación con enfoque diferencial, de género y étnico.</w:t>
      </w:r>
    </w:p>
    <w:p w:rsidR="003804AC" w:rsidRDefault="00AF18A5" w:rsidP="004A6EF4">
      <w:pPr>
        <w:pStyle w:val="Prrafodelista"/>
        <w:numPr>
          <w:ilvl w:val="0"/>
          <w:numId w:val="30"/>
        </w:numPr>
      </w:pPr>
      <w:r w:rsidRPr="001E07AA">
        <w:rPr>
          <w:b/>
        </w:rPr>
        <w:t>Dar celeridad al acceso a tierras, vivienda y proyectos productivos</w:t>
      </w:r>
      <w:r>
        <w:t xml:space="preserve">, y garantizar la y garantizar la sostenibilidad de estos últimos, ya sean individuales o </w:t>
      </w:r>
      <w:r w:rsidRPr="001E07AA">
        <w:rPr>
          <w:spacing w:val="-2"/>
        </w:rPr>
        <w:t>colectivos.</w:t>
      </w:r>
    </w:p>
    <w:p w:rsidR="0011361F" w:rsidRDefault="00AF18A5" w:rsidP="004A6EF4">
      <w:pPr>
        <w:pStyle w:val="Ttulo3"/>
        <w:numPr>
          <w:ilvl w:val="1"/>
          <w:numId w:val="28"/>
        </w:numPr>
      </w:pPr>
      <w:bookmarkStart w:id="1510" w:name="1.2.__Creación_de_un_Ministerio_para_la_"/>
      <w:bookmarkStart w:id="1511" w:name="_Toc112399681"/>
      <w:bookmarkEnd w:id="1510"/>
      <w:r>
        <w:t>Creación</w:t>
      </w:r>
      <w:r>
        <w:rPr>
          <w:spacing w:val="-2"/>
        </w:rPr>
        <w:t xml:space="preserve"> </w:t>
      </w:r>
      <w:r>
        <w:t>de</w:t>
      </w:r>
      <w:r>
        <w:rPr>
          <w:spacing w:val="-1"/>
        </w:rPr>
        <w:t xml:space="preserve"> </w:t>
      </w:r>
      <w:r>
        <w:t>un</w:t>
      </w:r>
      <w:r>
        <w:rPr>
          <w:spacing w:val="-2"/>
        </w:rPr>
        <w:t xml:space="preserve"> </w:t>
      </w:r>
      <w:r>
        <w:t>Ministerio</w:t>
      </w:r>
      <w:r>
        <w:rPr>
          <w:spacing w:val="-1"/>
        </w:rPr>
        <w:t xml:space="preserve"> </w:t>
      </w:r>
      <w:r>
        <w:t>para</w:t>
      </w:r>
      <w:r>
        <w:rPr>
          <w:spacing w:val="-1"/>
        </w:rPr>
        <w:t xml:space="preserve"> </w:t>
      </w:r>
      <w:r>
        <w:t>la</w:t>
      </w:r>
      <w:r>
        <w:rPr>
          <w:spacing w:val="-3"/>
        </w:rPr>
        <w:t xml:space="preserve"> </w:t>
      </w:r>
      <w:r>
        <w:t>Paz</w:t>
      </w:r>
      <w:r>
        <w:rPr>
          <w:spacing w:val="-1"/>
        </w:rPr>
        <w:t xml:space="preserve"> </w:t>
      </w:r>
      <w:r>
        <w:t>y</w:t>
      </w:r>
      <w:r>
        <w:rPr>
          <w:spacing w:val="-1"/>
        </w:rPr>
        <w:t xml:space="preserve"> </w:t>
      </w:r>
      <w:r>
        <w:t xml:space="preserve">la </w:t>
      </w:r>
      <w:r>
        <w:rPr>
          <w:spacing w:val="-2"/>
        </w:rPr>
        <w:t>Reconciliación</w:t>
      </w:r>
      <w:r w:rsidR="001E07AA">
        <w:rPr>
          <w:spacing w:val="-2"/>
        </w:rPr>
        <w:t xml:space="preserve"> </w:t>
      </w:r>
      <w:r>
        <w:t>Mediano</w:t>
      </w:r>
      <w:r w:rsidRPr="001E07AA">
        <w:rPr>
          <w:spacing w:val="-3"/>
        </w:rPr>
        <w:t xml:space="preserve"> </w:t>
      </w:r>
      <w:r w:rsidRPr="001E07AA">
        <w:rPr>
          <w:spacing w:val="-2"/>
        </w:rPr>
        <w:t>plazo</w:t>
      </w:r>
      <w:bookmarkEnd w:id="1511"/>
    </w:p>
    <w:p w:rsidR="003804AC" w:rsidRPr="001E07AA" w:rsidRDefault="00AF18A5" w:rsidP="004A6EF4">
      <w:pPr>
        <w:pStyle w:val="Prrafodelista"/>
        <w:numPr>
          <w:ilvl w:val="0"/>
          <w:numId w:val="31"/>
        </w:numPr>
        <w:rPr>
          <w:b/>
        </w:rPr>
      </w:pPr>
      <w:r>
        <w:t>Al</w:t>
      </w:r>
      <w:r w:rsidRPr="001E07AA">
        <w:rPr>
          <w:spacing w:val="-2"/>
        </w:rPr>
        <w:t xml:space="preserve"> </w:t>
      </w:r>
      <w:r>
        <w:t>Gobierno</w:t>
      </w:r>
      <w:r w:rsidRPr="001E07AA">
        <w:rPr>
          <w:spacing w:val="-2"/>
        </w:rPr>
        <w:t xml:space="preserve"> </w:t>
      </w:r>
      <w:r>
        <w:t>Nacional,</w:t>
      </w:r>
      <w:r w:rsidRPr="001E07AA">
        <w:rPr>
          <w:spacing w:val="-3"/>
        </w:rPr>
        <w:t xml:space="preserve"> </w:t>
      </w:r>
      <w:r w:rsidRPr="001E07AA">
        <w:rPr>
          <w:b/>
        </w:rPr>
        <w:t>crear</w:t>
      </w:r>
      <w:r w:rsidRPr="001E07AA">
        <w:rPr>
          <w:b/>
          <w:spacing w:val="-2"/>
        </w:rPr>
        <w:t xml:space="preserve"> </w:t>
      </w:r>
      <w:r w:rsidRPr="001E07AA">
        <w:rPr>
          <w:b/>
        </w:rPr>
        <w:t>un</w:t>
      </w:r>
      <w:r w:rsidRPr="001E07AA">
        <w:rPr>
          <w:b/>
          <w:spacing w:val="-3"/>
        </w:rPr>
        <w:t xml:space="preserve"> </w:t>
      </w:r>
      <w:r w:rsidRPr="001E07AA">
        <w:rPr>
          <w:b/>
        </w:rPr>
        <w:t>Ministerio</w:t>
      </w:r>
      <w:r w:rsidRPr="001E07AA">
        <w:rPr>
          <w:b/>
          <w:spacing w:val="-2"/>
        </w:rPr>
        <w:t xml:space="preserve"> </w:t>
      </w:r>
      <w:r w:rsidRPr="001E07AA">
        <w:rPr>
          <w:b/>
        </w:rPr>
        <w:t>para</w:t>
      </w:r>
      <w:r w:rsidRPr="001E07AA">
        <w:rPr>
          <w:b/>
          <w:spacing w:val="-2"/>
        </w:rPr>
        <w:t xml:space="preserve"> </w:t>
      </w:r>
      <w:r w:rsidRPr="001E07AA">
        <w:rPr>
          <w:b/>
        </w:rPr>
        <w:t>la</w:t>
      </w:r>
      <w:r w:rsidRPr="001E07AA">
        <w:rPr>
          <w:b/>
          <w:spacing w:val="-2"/>
        </w:rPr>
        <w:t xml:space="preserve"> </w:t>
      </w:r>
      <w:r w:rsidRPr="001E07AA">
        <w:rPr>
          <w:b/>
        </w:rPr>
        <w:t>Paz</w:t>
      </w:r>
      <w:r w:rsidRPr="001E07AA">
        <w:rPr>
          <w:b/>
          <w:spacing w:val="-2"/>
        </w:rPr>
        <w:t xml:space="preserve"> </w:t>
      </w:r>
      <w:r w:rsidRPr="001E07AA">
        <w:rPr>
          <w:b/>
        </w:rPr>
        <w:t>y</w:t>
      </w:r>
      <w:r w:rsidRPr="001E07AA">
        <w:rPr>
          <w:b/>
          <w:spacing w:val="-2"/>
        </w:rPr>
        <w:t xml:space="preserve"> </w:t>
      </w:r>
      <w:r w:rsidRPr="001E07AA">
        <w:rPr>
          <w:b/>
        </w:rPr>
        <w:t>la</w:t>
      </w:r>
      <w:r w:rsidRPr="001E07AA">
        <w:rPr>
          <w:b/>
          <w:spacing w:val="-2"/>
        </w:rPr>
        <w:t xml:space="preserve"> </w:t>
      </w:r>
      <w:r w:rsidRPr="001E07AA">
        <w:rPr>
          <w:b/>
        </w:rPr>
        <w:t>Reconciliación</w:t>
      </w:r>
      <w:r w:rsidRPr="001E07AA">
        <w:rPr>
          <w:b/>
          <w:spacing w:val="-3"/>
        </w:rPr>
        <w:t xml:space="preserve"> </w:t>
      </w:r>
      <w:r>
        <w:t>que</w:t>
      </w:r>
      <w:r w:rsidRPr="001E07AA">
        <w:rPr>
          <w:spacing w:val="-2"/>
        </w:rPr>
        <w:t xml:space="preserve"> </w:t>
      </w:r>
      <w:r>
        <w:t>lidere la implementación y articule las instituciones, programas y políticas orientadas al reconocimiento</w:t>
      </w:r>
      <w:r w:rsidRPr="001E07AA">
        <w:rPr>
          <w:spacing w:val="-13"/>
        </w:rPr>
        <w:t xml:space="preserve"> </w:t>
      </w:r>
      <w:r>
        <w:t>de</w:t>
      </w:r>
      <w:r w:rsidRPr="001E07AA">
        <w:rPr>
          <w:spacing w:val="-13"/>
        </w:rPr>
        <w:t xml:space="preserve"> </w:t>
      </w:r>
      <w:r>
        <w:t>las</w:t>
      </w:r>
      <w:r w:rsidRPr="001E07AA">
        <w:rPr>
          <w:spacing w:val="-13"/>
        </w:rPr>
        <w:t xml:space="preserve"> </w:t>
      </w:r>
      <w:r>
        <w:t>víctimas,</w:t>
      </w:r>
      <w:r w:rsidRPr="001E07AA">
        <w:rPr>
          <w:spacing w:val="-14"/>
        </w:rPr>
        <w:t xml:space="preserve"> </w:t>
      </w:r>
      <w:r>
        <w:t>la</w:t>
      </w:r>
      <w:r w:rsidRPr="001E07AA">
        <w:rPr>
          <w:spacing w:val="-13"/>
        </w:rPr>
        <w:t xml:space="preserve"> </w:t>
      </w:r>
      <w:r>
        <w:t>generación</w:t>
      </w:r>
      <w:r w:rsidRPr="001E07AA">
        <w:rPr>
          <w:spacing w:val="-13"/>
        </w:rPr>
        <w:t xml:space="preserve"> </w:t>
      </w:r>
      <w:r>
        <w:t>de</w:t>
      </w:r>
      <w:r w:rsidRPr="001E07AA">
        <w:rPr>
          <w:spacing w:val="-14"/>
        </w:rPr>
        <w:t xml:space="preserve"> </w:t>
      </w:r>
      <w:r>
        <w:t>condiciones</w:t>
      </w:r>
      <w:r w:rsidRPr="001E07AA">
        <w:rPr>
          <w:spacing w:val="-14"/>
        </w:rPr>
        <w:t xml:space="preserve"> </w:t>
      </w:r>
      <w:r>
        <w:t>de</w:t>
      </w:r>
      <w:r w:rsidRPr="001E07AA">
        <w:rPr>
          <w:spacing w:val="-13"/>
        </w:rPr>
        <w:t xml:space="preserve"> </w:t>
      </w:r>
      <w:r>
        <w:t>convivencia</w:t>
      </w:r>
      <w:r w:rsidRPr="001E07AA">
        <w:rPr>
          <w:spacing w:val="-13"/>
        </w:rPr>
        <w:t xml:space="preserve"> </w:t>
      </w:r>
      <w:r>
        <w:t>y</w:t>
      </w:r>
      <w:r w:rsidRPr="001E07AA">
        <w:rPr>
          <w:spacing w:val="-13"/>
        </w:rPr>
        <w:t xml:space="preserve"> </w:t>
      </w:r>
      <w:r>
        <w:t>de</w:t>
      </w:r>
      <w:r w:rsidRPr="001E07AA">
        <w:rPr>
          <w:spacing w:val="-14"/>
        </w:rPr>
        <w:t xml:space="preserve"> </w:t>
      </w:r>
      <w:r>
        <w:t>confianza entre la ciudadanía y de esta con el Estado, y, en general, a la reconciliación. El nuevo ministerio deberá contar con presupuesto y capacidades para coordinar, financiar y escalar las</w:t>
      </w:r>
      <w:r w:rsidRPr="001E07AA">
        <w:rPr>
          <w:spacing w:val="-8"/>
        </w:rPr>
        <w:t xml:space="preserve"> </w:t>
      </w:r>
      <w:r>
        <w:t>intervenciones</w:t>
      </w:r>
      <w:r w:rsidRPr="001E07AA">
        <w:rPr>
          <w:spacing w:val="-5"/>
        </w:rPr>
        <w:t xml:space="preserve"> </w:t>
      </w:r>
      <w:r>
        <w:t>en</w:t>
      </w:r>
      <w:r w:rsidRPr="001E07AA">
        <w:rPr>
          <w:spacing w:val="-5"/>
        </w:rPr>
        <w:t xml:space="preserve"> </w:t>
      </w:r>
      <w:r>
        <w:t>todo</w:t>
      </w:r>
      <w:r w:rsidRPr="001E07AA">
        <w:rPr>
          <w:spacing w:val="-5"/>
        </w:rPr>
        <w:t xml:space="preserve"> </w:t>
      </w:r>
      <w:r>
        <w:t>el</w:t>
      </w:r>
      <w:r w:rsidRPr="001E07AA">
        <w:rPr>
          <w:spacing w:val="-5"/>
        </w:rPr>
        <w:t xml:space="preserve"> </w:t>
      </w:r>
      <w:r>
        <w:t>territorio</w:t>
      </w:r>
      <w:r w:rsidRPr="001E07AA">
        <w:rPr>
          <w:spacing w:val="-4"/>
        </w:rPr>
        <w:t xml:space="preserve"> </w:t>
      </w:r>
      <w:r>
        <w:t>nacional</w:t>
      </w:r>
      <w:r w:rsidRPr="001E07AA">
        <w:rPr>
          <w:spacing w:val="-6"/>
        </w:rPr>
        <w:t xml:space="preserve"> </w:t>
      </w:r>
      <w:r>
        <w:t>y</w:t>
      </w:r>
      <w:r w:rsidRPr="001E07AA">
        <w:rPr>
          <w:spacing w:val="-5"/>
        </w:rPr>
        <w:t xml:space="preserve"> </w:t>
      </w:r>
      <w:r>
        <w:t>con</w:t>
      </w:r>
      <w:r w:rsidRPr="001E07AA">
        <w:rPr>
          <w:spacing w:val="-4"/>
        </w:rPr>
        <w:t xml:space="preserve"> </w:t>
      </w:r>
      <w:r>
        <w:t>otros</w:t>
      </w:r>
      <w:r w:rsidRPr="001E07AA">
        <w:rPr>
          <w:spacing w:val="-5"/>
        </w:rPr>
        <w:t xml:space="preserve"> </w:t>
      </w:r>
      <w:r>
        <w:t>entes</w:t>
      </w:r>
      <w:r w:rsidRPr="001E07AA">
        <w:rPr>
          <w:spacing w:val="-4"/>
        </w:rPr>
        <w:t xml:space="preserve"> </w:t>
      </w:r>
      <w:r>
        <w:t>del</w:t>
      </w:r>
      <w:r w:rsidRPr="001E07AA">
        <w:rPr>
          <w:spacing w:val="-3"/>
        </w:rPr>
        <w:t xml:space="preserve"> </w:t>
      </w:r>
      <w:r>
        <w:t>gobierno</w:t>
      </w:r>
      <w:r w:rsidRPr="001E07AA">
        <w:rPr>
          <w:spacing w:val="-5"/>
        </w:rPr>
        <w:t xml:space="preserve"> </w:t>
      </w:r>
      <w:r>
        <w:t>y</w:t>
      </w:r>
      <w:r w:rsidRPr="001E07AA">
        <w:rPr>
          <w:spacing w:val="-4"/>
        </w:rPr>
        <w:t xml:space="preserve"> </w:t>
      </w:r>
      <w:r>
        <w:t>del</w:t>
      </w:r>
      <w:r w:rsidRPr="001E07AA">
        <w:rPr>
          <w:spacing w:val="-4"/>
        </w:rPr>
        <w:t xml:space="preserve"> </w:t>
      </w:r>
      <w:r w:rsidRPr="001E07AA">
        <w:rPr>
          <w:spacing w:val="-2"/>
        </w:rPr>
        <w:t>Estado.</w:t>
      </w:r>
      <w:bookmarkStart w:id="1512" w:name="_bookmark1318"/>
      <w:bookmarkStart w:id="1513" w:name="_bookmark1319"/>
      <w:bookmarkEnd w:id="1512"/>
      <w:bookmarkEnd w:id="1513"/>
      <w:r w:rsidR="001E07AA">
        <w:rPr>
          <w:spacing w:val="-2"/>
        </w:rPr>
        <w:t xml:space="preserve"> </w:t>
      </w:r>
      <w:r>
        <w:t>Para lo anterior, se deberá fortalecer y garantizar el rol de asesoría y acompañamiento que cumple el Consejo Nacional de Paz y los Consejos Territoriales.</w:t>
      </w:r>
    </w:p>
    <w:p w:rsidR="0011361F" w:rsidRPr="001E07AA" w:rsidRDefault="00AF18A5" w:rsidP="004A6EF4">
      <w:pPr>
        <w:pStyle w:val="Ttulo3"/>
        <w:numPr>
          <w:ilvl w:val="1"/>
          <w:numId w:val="28"/>
        </w:numPr>
        <w:rPr>
          <w:b w:val="0"/>
        </w:rPr>
      </w:pPr>
      <w:bookmarkStart w:id="1514" w:name="1.3._Cooperación_internacional_para_la_p"/>
      <w:bookmarkStart w:id="1515" w:name="_Toc112399682"/>
      <w:bookmarkEnd w:id="1514"/>
      <w:r>
        <w:t>Cooperación</w:t>
      </w:r>
      <w:r>
        <w:rPr>
          <w:spacing w:val="-3"/>
        </w:rPr>
        <w:t xml:space="preserve"> </w:t>
      </w:r>
      <w:r>
        <w:t>internacional</w:t>
      </w:r>
      <w:r>
        <w:rPr>
          <w:spacing w:val="-2"/>
        </w:rPr>
        <w:t xml:space="preserve"> </w:t>
      </w:r>
      <w:r>
        <w:t>para</w:t>
      </w:r>
      <w:r>
        <w:rPr>
          <w:spacing w:val="-2"/>
        </w:rPr>
        <w:t xml:space="preserve"> </w:t>
      </w:r>
      <w:r>
        <w:t>la</w:t>
      </w:r>
      <w:r>
        <w:rPr>
          <w:spacing w:val="-2"/>
        </w:rPr>
        <w:t xml:space="preserve"> paz</w:t>
      </w:r>
      <w:r w:rsidR="001E07AA">
        <w:rPr>
          <w:rStyle w:val="Refdenotaalpie"/>
          <w:spacing w:val="-2"/>
        </w:rPr>
        <w:footnoteReference w:id="1186"/>
      </w:r>
      <w:r w:rsidR="001E07AA">
        <w:rPr>
          <w:spacing w:val="-2"/>
        </w:rPr>
        <w:t xml:space="preserve"> </w:t>
      </w:r>
      <w:r w:rsidRPr="001E07AA">
        <w:t>Mediano</w:t>
      </w:r>
      <w:r w:rsidRPr="001E07AA">
        <w:rPr>
          <w:spacing w:val="-3"/>
        </w:rPr>
        <w:t xml:space="preserve"> </w:t>
      </w:r>
      <w:r w:rsidRPr="001E07AA">
        <w:rPr>
          <w:spacing w:val="-2"/>
        </w:rPr>
        <w:t>plazo</w:t>
      </w:r>
      <w:bookmarkEnd w:id="1515"/>
    </w:p>
    <w:p w:rsidR="003804AC" w:rsidRPr="001E07AA" w:rsidRDefault="00AF18A5" w:rsidP="004A6EF4">
      <w:pPr>
        <w:pStyle w:val="Prrafodelista"/>
        <w:numPr>
          <w:ilvl w:val="0"/>
          <w:numId w:val="31"/>
        </w:numPr>
        <w:rPr>
          <w:b/>
        </w:rPr>
      </w:pPr>
      <w:r>
        <w:t xml:space="preserve">Al Gobierno Nacional </w:t>
      </w:r>
      <w:r w:rsidRPr="001E07AA">
        <w:rPr>
          <w:b/>
        </w:rPr>
        <w:t xml:space="preserve">formular una nueva política internacional </w:t>
      </w:r>
      <w:r>
        <w:t>que se base en las necesidades</w:t>
      </w:r>
      <w:r w:rsidRPr="001E07AA">
        <w:rPr>
          <w:spacing w:val="-6"/>
        </w:rPr>
        <w:t xml:space="preserve"> </w:t>
      </w:r>
      <w:r>
        <w:t>de</w:t>
      </w:r>
      <w:r w:rsidRPr="001E07AA">
        <w:rPr>
          <w:spacing w:val="-5"/>
        </w:rPr>
        <w:t xml:space="preserve"> </w:t>
      </w:r>
      <w:r>
        <w:t>superación</w:t>
      </w:r>
      <w:r w:rsidRPr="001E07AA">
        <w:rPr>
          <w:spacing w:val="-5"/>
        </w:rPr>
        <w:t xml:space="preserve"> </w:t>
      </w:r>
      <w:r>
        <w:t>del</w:t>
      </w:r>
      <w:r w:rsidRPr="001E07AA">
        <w:rPr>
          <w:spacing w:val="-4"/>
        </w:rPr>
        <w:t xml:space="preserve"> </w:t>
      </w:r>
      <w:r>
        <w:t>conflicto</w:t>
      </w:r>
      <w:r w:rsidRPr="001E07AA">
        <w:rPr>
          <w:spacing w:val="-5"/>
        </w:rPr>
        <w:t xml:space="preserve"> </w:t>
      </w:r>
      <w:r>
        <w:t>armado</w:t>
      </w:r>
      <w:r w:rsidRPr="001E07AA">
        <w:rPr>
          <w:spacing w:val="-5"/>
        </w:rPr>
        <w:t xml:space="preserve"> </w:t>
      </w:r>
      <w:r>
        <w:t>y</w:t>
      </w:r>
      <w:r w:rsidRPr="001E07AA">
        <w:rPr>
          <w:spacing w:val="-5"/>
        </w:rPr>
        <w:t xml:space="preserve"> </w:t>
      </w:r>
      <w:r>
        <w:t>la</w:t>
      </w:r>
      <w:r w:rsidRPr="001E07AA">
        <w:rPr>
          <w:spacing w:val="-5"/>
        </w:rPr>
        <w:t xml:space="preserve"> </w:t>
      </w:r>
      <w:r>
        <w:t>construcción</w:t>
      </w:r>
      <w:r w:rsidRPr="001E07AA">
        <w:rPr>
          <w:spacing w:val="-5"/>
        </w:rPr>
        <w:t xml:space="preserve"> </w:t>
      </w:r>
      <w:r>
        <w:t>de</w:t>
      </w:r>
      <w:r w:rsidRPr="001E07AA">
        <w:rPr>
          <w:spacing w:val="-5"/>
        </w:rPr>
        <w:t xml:space="preserve"> </w:t>
      </w:r>
      <w:r>
        <w:t>paz</w:t>
      </w:r>
      <w:r w:rsidRPr="001E07AA">
        <w:rPr>
          <w:spacing w:val="-5"/>
        </w:rPr>
        <w:t xml:space="preserve"> </w:t>
      </w:r>
      <w:r>
        <w:t>en</w:t>
      </w:r>
      <w:r w:rsidRPr="001E07AA">
        <w:rPr>
          <w:spacing w:val="-6"/>
        </w:rPr>
        <w:t xml:space="preserve"> </w:t>
      </w:r>
      <w:r>
        <w:t>Colombia.</w:t>
      </w:r>
      <w:r w:rsidRPr="001E07AA">
        <w:rPr>
          <w:spacing w:val="-6"/>
        </w:rPr>
        <w:t xml:space="preserve"> </w:t>
      </w:r>
      <w:r>
        <w:t>En</w:t>
      </w:r>
      <w:r w:rsidRPr="001E07AA">
        <w:rPr>
          <w:spacing w:val="-5"/>
        </w:rPr>
        <w:t xml:space="preserve"> </w:t>
      </w:r>
      <w:r>
        <w:t>el marco de esa política, es importante el restablecimiento de las relaciones con la República Bolivariana</w:t>
      </w:r>
      <w:r w:rsidRPr="001E07AA">
        <w:rPr>
          <w:spacing w:val="-1"/>
        </w:rPr>
        <w:t xml:space="preserve"> </w:t>
      </w:r>
      <w:r>
        <w:t xml:space="preserve">de Venezuela y el </w:t>
      </w:r>
      <w:r>
        <w:lastRenderedPageBreak/>
        <w:t>fortalecimiento</w:t>
      </w:r>
      <w:r w:rsidRPr="001E07AA">
        <w:rPr>
          <w:spacing w:val="-1"/>
        </w:rPr>
        <w:t xml:space="preserve"> </w:t>
      </w:r>
      <w:r>
        <w:t>de</w:t>
      </w:r>
      <w:r w:rsidRPr="001E07AA">
        <w:rPr>
          <w:spacing w:val="-1"/>
        </w:rPr>
        <w:t xml:space="preserve"> </w:t>
      </w:r>
      <w:r>
        <w:t>las</w:t>
      </w:r>
      <w:r w:rsidRPr="001E07AA">
        <w:rPr>
          <w:spacing w:val="-1"/>
        </w:rPr>
        <w:t xml:space="preserve"> </w:t>
      </w:r>
      <w:r>
        <w:t>relaciones con</w:t>
      </w:r>
      <w:r w:rsidRPr="001E07AA">
        <w:rPr>
          <w:spacing w:val="-1"/>
        </w:rPr>
        <w:t xml:space="preserve"> </w:t>
      </w:r>
      <w:r>
        <w:t>los países vecinos.</w:t>
      </w:r>
      <w:r w:rsidRPr="001E07AA">
        <w:rPr>
          <w:spacing w:val="-1"/>
        </w:rPr>
        <w:t xml:space="preserve"> </w:t>
      </w:r>
      <w:r>
        <w:t>Esto en</w:t>
      </w:r>
      <w:r w:rsidRPr="001E07AA">
        <w:rPr>
          <w:spacing w:val="-7"/>
        </w:rPr>
        <w:t xml:space="preserve"> </w:t>
      </w:r>
      <w:r>
        <w:t>aras</w:t>
      </w:r>
      <w:r w:rsidRPr="001E07AA">
        <w:rPr>
          <w:spacing w:val="-8"/>
        </w:rPr>
        <w:t xml:space="preserve"> </w:t>
      </w:r>
      <w:r>
        <w:t>de</w:t>
      </w:r>
      <w:r w:rsidRPr="001E07AA">
        <w:rPr>
          <w:spacing w:val="-7"/>
        </w:rPr>
        <w:t xml:space="preserve"> </w:t>
      </w:r>
      <w:r>
        <w:t>mejorar</w:t>
      </w:r>
      <w:r w:rsidRPr="001E07AA">
        <w:rPr>
          <w:spacing w:val="-8"/>
        </w:rPr>
        <w:t xml:space="preserve"> </w:t>
      </w:r>
      <w:r>
        <w:t>las</w:t>
      </w:r>
      <w:r w:rsidRPr="001E07AA">
        <w:rPr>
          <w:spacing w:val="-7"/>
        </w:rPr>
        <w:t xml:space="preserve"> </w:t>
      </w:r>
      <w:r>
        <w:t>condiciones</w:t>
      </w:r>
      <w:r w:rsidRPr="001E07AA">
        <w:rPr>
          <w:spacing w:val="-8"/>
        </w:rPr>
        <w:t xml:space="preserve"> </w:t>
      </w:r>
      <w:r>
        <w:t>de</w:t>
      </w:r>
      <w:r w:rsidRPr="001E07AA">
        <w:rPr>
          <w:spacing w:val="-8"/>
        </w:rPr>
        <w:t xml:space="preserve"> </w:t>
      </w:r>
      <w:r>
        <w:t>seguridad</w:t>
      </w:r>
      <w:r w:rsidRPr="001E07AA">
        <w:rPr>
          <w:spacing w:val="-7"/>
        </w:rPr>
        <w:t xml:space="preserve"> </w:t>
      </w:r>
      <w:r>
        <w:t>y</w:t>
      </w:r>
      <w:r w:rsidRPr="001E07AA">
        <w:rPr>
          <w:spacing w:val="-8"/>
        </w:rPr>
        <w:t xml:space="preserve"> </w:t>
      </w:r>
      <w:r>
        <w:t>de</w:t>
      </w:r>
      <w:r w:rsidRPr="001E07AA">
        <w:rPr>
          <w:spacing w:val="-7"/>
        </w:rPr>
        <w:t xml:space="preserve"> </w:t>
      </w:r>
      <w:r>
        <w:t>vida</w:t>
      </w:r>
      <w:r w:rsidRPr="001E07AA">
        <w:rPr>
          <w:spacing w:val="-8"/>
        </w:rPr>
        <w:t xml:space="preserve"> </w:t>
      </w:r>
      <w:r>
        <w:t>de</w:t>
      </w:r>
      <w:r w:rsidRPr="001E07AA">
        <w:rPr>
          <w:spacing w:val="-8"/>
        </w:rPr>
        <w:t xml:space="preserve"> </w:t>
      </w:r>
      <w:r>
        <w:t>las</w:t>
      </w:r>
      <w:r w:rsidRPr="001E07AA">
        <w:rPr>
          <w:spacing w:val="-7"/>
        </w:rPr>
        <w:t xml:space="preserve"> </w:t>
      </w:r>
      <w:r>
        <w:t>comunidades</w:t>
      </w:r>
      <w:r w:rsidRPr="001E07AA">
        <w:rPr>
          <w:spacing w:val="-8"/>
        </w:rPr>
        <w:t xml:space="preserve"> </w:t>
      </w:r>
      <w:r>
        <w:t>que</w:t>
      </w:r>
      <w:r w:rsidRPr="001E07AA">
        <w:rPr>
          <w:spacing w:val="-7"/>
        </w:rPr>
        <w:t xml:space="preserve"> </w:t>
      </w:r>
      <w:r>
        <w:t>habitan</w:t>
      </w:r>
      <w:r w:rsidRPr="001E07AA">
        <w:rPr>
          <w:spacing w:val="-8"/>
        </w:rPr>
        <w:t xml:space="preserve"> </w:t>
      </w:r>
      <w:r>
        <w:t>en las zonas de frontera y de la población migrante, en general.</w:t>
      </w:r>
    </w:p>
    <w:p w:rsidR="0011361F" w:rsidRDefault="00AF18A5" w:rsidP="004A6EF4">
      <w:pPr>
        <w:pStyle w:val="Ttulo3"/>
        <w:numPr>
          <w:ilvl w:val="1"/>
          <w:numId w:val="28"/>
        </w:numPr>
      </w:pPr>
      <w:bookmarkStart w:id="1516" w:name="1.4._Medidas_humanitarias"/>
      <w:bookmarkStart w:id="1517" w:name="_Toc112399683"/>
      <w:bookmarkEnd w:id="1516"/>
      <w:r>
        <w:t xml:space="preserve">Medidas </w:t>
      </w:r>
      <w:r w:rsidRPr="001E07AA">
        <w:t>humanitarias</w:t>
      </w:r>
      <w:r w:rsidR="001E07AA">
        <w:t xml:space="preserve">. </w:t>
      </w:r>
      <w:r>
        <w:t>Corto</w:t>
      </w:r>
      <w:r w:rsidRPr="001E07AA">
        <w:rPr>
          <w:spacing w:val="-1"/>
        </w:rPr>
        <w:t xml:space="preserve"> </w:t>
      </w:r>
      <w:r w:rsidRPr="001E07AA">
        <w:rPr>
          <w:spacing w:val="-2"/>
        </w:rPr>
        <w:t>plazo</w:t>
      </w:r>
      <w:bookmarkEnd w:id="1517"/>
    </w:p>
    <w:p w:rsidR="003804AC" w:rsidRPr="001E07AA" w:rsidRDefault="00AF18A5" w:rsidP="004A6EF4">
      <w:pPr>
        <w:pStyle w:val="Prrafodelista"/>
        <w:numPr>
          <w:ilvl w:val="0"/>
          <w:numId w:val="31"/>
        </w:numPr>
        <w:rPr>
          <w:b/>
        </w:rPr>
      </w:pPr>
      <w:r>
        <w:t>A</w:t>
      </w:r>
      <w:r w:rsidRPr="001E07AA">
        <w:rPr>
          <w:spacing w:val="-15"/>
        </w:rPr>
        <w:t xml:space="preserve"> </w:t>
      </w:r>
      <w:r>
        <w:t>todos</w:t>
      </w:r>
      <w:r w:rsidRPr="001E07AA">
        <w:rPr>
          <w:spacing w:val="-14"/>
        </w:rPr>
        <w:t xml:space="preserve"> </w:t>
      </w:r>
      <w:r>
        <w:t>los</w:t>
      </w:r>
      <w:r w:rsidRPr="001E07AA">
        <w:rPr>
          <w:spacing w:val="-14"/>
        </w:rPr>
        <w:t xml:space="preserve"> </w:t>
      </w:r>
      <w:r>
        <w:t>actores</w:t>
      </w:r>
      <w:r w:rsidRPr="001E07AA">
        <w:rPr>
          <w:spacing w:val="-14"/>
        </w:rPr>
        <w:t xml:space="preserve"> </w:t>
      </w:r>
      <w:r>
        <w:t>armados</w:t>
      </w:r>
      <w:r w:rsidR="00135240">
        <w:rPr>
          <w:rStyle w:val="Refdenotaalpie"/>
        </w:rPr>
        <w:footnoteReference w:id="1187"/>
      </w:r>
      <w:r>
        <w:t>,</w:t>
      </w:r>
      <w:r w:rsidRPr="001E07AA">
        <w:rPr>
          <w:spacing w:val="-14"/>
        </w:rPr>
        <w:t xml:space="preserve"> </w:t>
      </w:r>
      <w:r>
        <w:t>cumplir</w:t>
      </w:r>
      <w:r w:rsidRPr="001E07AA">
        <w:rPr>
          <w:spacing w:val="-15"/>
        </w:rPr>
        <w:t xml:space="preserve"> </w:t>
      </w:r>
      <w:r>
        <w:t>con</w:t>
      </w:r>
      <w:r w:rsidRPr="001E07AA">
        <w:rPr>
          <w:spacing w:val="-14"/>
        </w:rPr>
        <w:t xml:space="preserve"> </w:t>
      </w:r>
      <w:r>
        <w:t>su</w:t>
      </w:r>
      <w:r w:rsidRPr="001E07AA">
        <w:rPr>
          <w:spacing w:val="-14"/>
        </w:rPr>
        <w:t xml:space="preserve"> </w:t>
      </w:r>
      <w:r>
        <w:t>obligación</w:t>
      </w:r>
      <w:r w:rsidRPr="001E07AA">
        <w:rPr>
          <w:spacing w:val="-14"/>
        </w:rPr>
        <w:t xml:space="preserve"> </w:t>
      </w:r>
      <w:r>
        <w:t>estricta</w:t>
      </w:r>
      <w:r w:rsidRPr="001E07AA">
        <w:rPr>
          <w:spacing w:val="-14"/>
        </w:rPr>
        <w:t xml:space="preserve"> </w:t>
      </w:r>
      <w:r>
        <w:t>de</w:t>
      </w:r>
      <w:r w:rsidRPr="001E07AA">
        <w:rPr>
          <w:spacing w:val="-15"/>
        </w:rPr>
        <w:t xml:space="preserve"> </w:t>
      </w:r>
      <w:r>
        <w:t>respetar</w:t>
      </w:r>
      <w:r w:rsidRPr="001E07AA">
        <w:rPr>
          <w:spacing w:val="-15"/>
        </w:rPr>
        <w:t xml:space="preserve"> </w:t>
      </w:r>
      <w:r>
        <w:t>los</w:t>
      </w:r>
      <w:r w:rsidRPr="001E07AA">
        <w:rPr>
          <w:spacing w:val="-14"/>
        </w:rPr>
        <w:t xml:space="preserve"> </w:t>
      </w:r>
      <w:r>
        <w:t xml:space="preserve">derechos humanos y las normas del </w:t>
      </w:r>
      <w:r w:rsidRPr="001E07AA">
        <w:rPr>
          <w:b/>
        </w:rPr>
        <w:t>Derecho Internacional Humanitario</w:t>
      </w:r>
      <w:r>
        <w:t xml:space="preserve">, y a adoptar medidas de prevención para </w:t>
      </w:r>
      <w:r w:rsidRPr="001E07AA">
        <w:rPr>
          <w:b/>
        </w:rPr>
        <w:t xml:space="preserve">proteger a la población y a los bienes civiles </w:t>
      </w:r>
      <w:r>
        <w:t>de las hostilidades. Con ese fin, adicionalmente, se recomienda:</w:t>
      </w:r>
    </w:p>
    <w:p w:rsidR="003804AC" w:rsidRDefault="00AF18A5" w:rsidP="004A6EF4">
      <w:pPr>
        <w:pStyle w:val="Prrafodelista"/>
        <w:numPr>
          <w:ilvl w:val="0"/>
          <w:numId w:val="32"/>
        </w:numPr>
      </w:pPr>
      <w:r>
        <w:t>Al Gobierno Nacional y a las autoridades territoriales reconocer las iniciativas de acuerdos humanitarios lideradas por las organizaciones de la sociedad civil.</w:t>
      </w:r>
    </w:p>
    <w:p w:rsidR="0011361F" w:rsidRDefault="00AF18A5" w:rsidP="004A6EF4">
      <w:pPr>
        <w:pStyle w:val="Prrafodelista"/>
        <w:numPr>
          <w:ilvl w:val="0"/>
          <w:numId w:val="32"/>
        </w:numPr>
      </w:pPr>
      <w:r>
        <w:t xml:space="preserve">Al Gobierno y a las autoridades territoriales, promover la realización de </w:t>
      </w:r>
      <w:r w:rsidRPr="001E07AA">
        <w:rPr>
          <w:b/>
        </w:rPr>
        <w:t>acuerdos</w:t>
      </w:r>
      <w:r w:rsidRPr="001E07AA">
        <w:rPr>
          <w:b/>
          <w:spacing w:val="-6"/>
        </w:rPr>
        <w:t xml:space="preserve"> </w:t>
      </w:r>
      <w:r w:rsidRPr="001E07AA">
        <w:rPr>
          <w:b/>
        </w:rPr>
        <w:t>humanitarios</w:t>
      </w:r>
      <w:r w:rsidRPr="001E07AA">
        <w:rPr>
          <w:b/>
          <w:spacing w:val="-6"/>
        </w:rPr>
        <w:t xml:space="preserve"> </w:t>
      </w:r>
      <w:r w:rsidRPr="001E07AA">
        <w:rPr>
          <w:b/>
        </w:rPr>
        <w:t>en</w:t>
      </w:r>
      <w:r w:rsidRPr="001E07AA">
        <w:rPr>
          <w:b/>
          <w:spacing w:val="-6"/>
        </w:rPr>
        <w:t xml:space="preserve"> </w:t>
      </w:r>
      <w:r w:rsidRPr="001E07AA">
        <w:rPr>
          <w:b/>
        </w:rPr>
        <w:t>los</w:t>
      </w:r>
      <w:r w:rsidRPr="001E07AA">
        <w:rPr>
          <w:b/>
          <w:spacing w:val="-6"/>
        </w:rPr>
        <w:t xml:space="preserve"> </w:t>
      </w:r>
      <w:r w:rsidRPr="001E07AA">
        <w:rPr>
          <w:b/>
        </w:rPr>
        <w:t>territorios</w:t>
      </w:r>
      <w:r w:rsidRPr="001E07AA">
        <w:rPr>
          <w:b/>
          <w:spacing w:val="-6"/>
        </w:rPr>
        <w:t xml:space="preserve"> </w:t>
      </w:r>
      <w:r>
        <w:t>más</w:t>
      </w:r>
      <w:r w:rsidRPr="001E07AA">
        <w:rPr>
          <w:spacing w:val="-7"/>
        </w:rPr>
        <w:t xml:space="preserve"> </w:t>
      </w:r>
      <w:r>
        <w:t>afectados</w:t>
      </w:r>
      <w:r w:rsidRPr="001E07AA">
        <w:rPr>
          <w:spacing w:val="-6"/>
        </w:rPr>
        <w:t xml:space="preserve"> </w:t>
      </w:r>
      <w:r>
        <w:t>por</w:t>
      </w:r>
      <w:r w:rsidRPr="001E07AA">
        <w:rPr>
          <w:spacing w:val="-5"/>
        </w:rPr>
        <w:t xml:space="preserve"> </w:t>
      </w:r>
      <w:r>
        <w:t>el</w:t>
      </w:r>
      <w:r w:rsidRPr="001E07AA">
        <w:rPr>
          <w:spacing w:val="-5"/>
        </w:rPr>
        <w:t xml:space="preserve"> </w:t>
      </w:r>
      <w:r>
        <w:t>conflicto</w:t>
      </w:r>
      <w:r w:rsidRPr="001E07AA">
        <w:rPr>
          <w:spacing w:val="-7"/>
        </w:rPr>
        <w:t xml:space="preserve"> </w:t>
      </w:r>
      <w:r>
        <w:t>armado</w:t>
      </w:r>
      <w:r w:rsidRPr="001E07AA">
        <w:rPr>
          <w:spacing w:val="-6"/>
        </w:rPr>
        <w:t xml:space="preserve"> </w:t>
      </w:r>
      <w:r>
        <w:t>con la participación de las comunidades.</w:t>
      </w:r>
    </w:p>
    <w:p w:rsidR="003804AC" w:rsidRPr="00135240" w:rsidRDefault="00AF18A5" w:rsidP="004A6EF4">
      <w:pPr>
        <w:pStyle w:val="Prrafodelista"/>
        <w:numPr>
          <w:ilvl w:val="0"/>
          <w:numId w:val="32"/>
        </w:numPr>
        <w:rPr>
          <w:b/>
        </w:rPr>
      </w:pPr>
      <w:bookmarkStart w:id="1518" w:name="_bookmark1322"/>
      <w:bookmarkStart w:id="1519" w:name="_bookmark1323"/>
      <w:bookmarkEnd w:id="1518"/>
      <w:bookmarkEnd w:id="1519"/>
      <w:r w:rsidRPr="00135240">
        <w:rPr>
          <w:b/>
        </w:rPr>
        <w:t xml:space="preserve">A los actores armados </w:t>
      </w:r>
      <w:r>
        <w:t>respetar y garantizar la labor que desempeñan los organismos</w:t>
      </w:r>
      <w:r w:rsidRPr="00135240">
        <w:rPr>
          <w:spacing w:val="-3"/>
        </w:rPr>
        <w:t xml:space="preserve"> </w:t>
      </w:r>
      <w:r>
        <w:t>humanitarios</w:t>
      </w:r>
      <w:r w:rsidRPr="00135240">
        <w:rPr>
          <w:spacing w:val="-2"/>
        </w:rPr>
        <w:t xml:space="preserve"> </w:t>
      </w:r>
      <w:r>
        <w:t>nacionales</w:t>
      </w:r>
      <w:r w:rsidRPr="00135240">
        <w:rPr>
          <w:spacing w:val="-2"/>
        </w:rPr>
        <w:t xml:space="preserve"> </w:t>
      </w:r>
      <w:r>
        <w:t>e</w:t>
      </w:r>
      <w:r w:rsidRPr="00135240">
        <w:rPr>
          <w:spacing w:val="-2"/>
        </w:rPr>
        <w:t xml:space="preserve"> </w:t>
      </w:r>
      <w:r>
        <w:t>internacionales</w:t>
      </w:r>
      <w:r w:rsidRPr="00135240">
        <w:rPr>
          <w:spacing w:val="-2"/>
        </w:rPr>
        <w:t xml:space="preserve"> </w:t>
      </w:r>
      <w:r>
        <w:t>y</w:t>
      </w:r>
      <w:r w:rsidRPr="00135240">
        <w:rPr>
          <w:spacing w:val="-2"/>
        </w:rPr>
        <w:t xml:space="preserve"> </w:t>
      </w:r>
      <w:r>
        <w:t>a</w:t>
      </w:r>
      <w:r w:rsidRPr="00135240">
        <w:rPr>
          <w:spacing w:val="-3"/>
        </w:rPr>
        <w:t xml:space="preserve"> </w:t>
      </w:r>
      <w:r>
        <w:t>la</w:t>
      </w:r>
      <w:r w:rsidRPr="00135240">
        <w:rPr>
          <w:spacing w:val="-2"/>
        </w:rPr>
        <w:t xml:space="preserve"> </w:t>
      </w:r>
      <w:r>
        <w:t>misión</w:t>
      </w:r>
      <w:r w:rsidRPr="00135240">
        <w:rPr>
          <w:spacing w:val="-3"/>
        </w:rPr>
        <w:t xml:space="preserve"> </w:t>
      </w:r>
      <w:r>
        <w:t>médica</w:t>
      </w:r>
      <w:r w:rsidRPr="00135240">
        <w:rPr>
          <w:spacing w:val="-2"/>
        </w:rPr>
        <w:t xml:space="preserve"> </w:t>
      </w:r>
      <w:r>
        <w:t>en</w:t>
      </w:r>
      <w:r w:rsidRPr="00135240">
        <w:rPr>
          <w:spacing w:val="-3"/>
        </w:rPr>
        <w:t xml:space="preserve"> </w:t>
      </w:r>
      <w:r>
        <w:t xml:space="preserve">el </w:t>
      </w:r>
      <w:r w:rsidRPr="00135240">
        <w:rPr>
          <w:spacing w:val="-2"/>
        </w:rPr>
        <w:t>territorio</w:t>
      </w:r>
      <w:r w:rsidRPr="00135240">
        <w:rPr>
          <w:b/>
          <w:spacing w:val="-2"/>
        </w:rPr>
        <w:t>.</w:t>
      </w:r>
    </w:p>
    <w:p w:rsidR="003804AC" w:rsidRDefault="00AF18A5" w:rsidP="004A6EF4">
      <w:pPr>
        <w:pStyle w:val="Prrafodelista"/>
        <w:numPr>
          <w:ilvl w:val="0"/>
          <w:numId w:val="32"/>
        </w:numPr>
      </w:pPr>
      <w:r>
        <w:t xml:space="preserve">Al Gobierno Nacional, con el apoyo de las organizaciones civiles de desminado, </w:t>
      </w:r>
      <w:r w:rsidRPr="00135240">
        <w:rPr>
          <w:b/>
        </w:rPr>
        <w:t>avanzar en el desminado humanitario en cumplimiento de los compromisos internacionales</w:t>
      </w:r>
      <w:r>
        <w:t>, priorizando las zonas más afectadas por la presencia de minas antipersona y municiones sin explotar.</w:t>
      </w:r>
    </w:p>
    <w:p w:rsidR="003804AC" w:rsidRDefault="00AF18A5" w:rsidP="00135240">
      <w:r>
        <w:lastRenderedPageBreak/>
        <w:t xml:space="preserve">Exigimos a los grupos armados ilegales cesar las afectaciones a la población civil, las comunidades y los territorios y los invitamos a adoptar medidas y gestos unilaterales que contribuyan al </w:t>
      </w:r>
      <w:proofErr w:type="spellStart"/>
      <w:r>
        <w:t>desescalamiento</w:t>
      </w:r>
      <w:proofErr w:type="spellEnd"/>
      <w:r>
        <w:t xml:space="preserve"> de la confrontación armada.</w:t>
      </w:r>
    </w:p>
    <w:p w:rsidR="0011361F" w:rsidRDefault="00AF18A5" w:rsidP="004A6EF4">
      <w:pPr>
        <w:pStyle w:val="Ttulo3"/>
        <w:numPr>
          <w:ilvl w:val="1"/>
          <w:numId w:val="28"/>
        </w:numPr>
      </w:pPr>
      <w:bookmarkStart w:id="1520" w:name="1.5._Priorización_del_diálogo_para_poner"/>
      <w:bookmarkStart w:id="1521" w:name="_Toc112399684"/>
      <w:bookmarkEnd w:id="1520"/>
      <w:r w:rsidRPr="004264C2">
        <w:t>Priorización</w:t>
      </w:r>
      <w:r>
        <w:rPr>
          <w:spacing w:val="-5"/>
        </w:rPr>
        <w:t xml:space="preserve"> </w:t>
      </w:r>
      <w:r>
        <w:t>del</w:t>
      </w:r>
      <w:r>
        <w:rPr>
          <w:spacing w:val="-1"/>
        </w:rPr>
        <w:t xml:space="preserve"> </w:t>
      </w:r>
      <w:r>
        <w:t>diálogo</w:t>
      </w:r>
      <w:r>
        <w:rPr>
          <w:spacing w:val="-1"/>
        </w:rPr>
        <w:t xml:space="preserve"> </w:t>
      </w:r>
      <w:r>
        <w:t>para</w:t>
      </w:r>
      <w:r>
        <w:rPr>
          <w:spacing w:val="-1"/>
        </w:rPr>
        <w:t xml:space="preserve"> </w:t>
      </w:r>
      <w:r>
        <w:t>poner</w:t>
      </w:r>
      <w:r>
        <w:rPr>
          <w:spacing w:val="-2"/>
        </w:rPr>
        <w:t xml:space="preserve"> </w:t>
      </w:r>
      <w:r>
        <w:t>fin</w:t>
      </w:r>
      <w:r>
        <w:rPr>
          <w:spacing w:val="-2"/>
        </w:rPr>
        <w:t xml:space="preserve"> </w:t>
      </w:r>
      <w:r>
        <w:t>a</w:t>
      </w:r>
      <w:r>
        <w:rPr>
          <w:spacing w:val="-3"/>
        </w:rPr>
        <w:t xml:space="preserve"> </w:t>
      </w:r>
      <w:r>
        <w:t>la</w:t>
      </w:r>
      <w:r>
        <w:rPr>
          <w:spacing w:val="-1"/>
        </w:rPr>
        <w:t xml:space="preserve"> </w:t>
      </w:r>
      <w:r>
        <w:t>confrontación</w:t>
      </w:r>
      <w:r>
        <w:rPr>
          <w:spacing w:val="-2"/>
        </w:rPr>
        <w:t xml:space="preserve"> armada</w:t>
      </w:r>
      <w:r w:rsidR="004264C2">
        <w:rPr>
          <w:spacing w:val="-2"/>
        </w:rPr>
        <w:t xml:space="preserve">. </w:t>
      </w:r>
      <w:r>
        <w:t>Mediano</w:t>
      </w:r>
      <w:r w:rsidRPr="004264C2">
        <w:rPr>
          <w:spacing w:val="-3"/>
        </w:rPr>
        <w:t xml:space="preserve"> </w:t>
      </w:r>
      <w:r w:rsidRPr="004264C2">
        <w:rPr>
          <w:spacing w:val="-2"/>
        </w:rPr>
        <w:t>plazo</w:t>
      </w:r>
      <w:bookmarkEnd w:id="1521"/>
    </w:p>
    <w:p w:rsidR="003804AC" w:rsidRDefault="00AF18A5" w:rsidP="004A6EF4">
      <w:pPr>
        <w:pStyle w:val="Prrafodelista"/>
        <w:numPr>
          <w:ilvl w:val="0"/>
          <w:numId w:val="31"/>
        </w:numPr>
      </w:pPr>
      <w:r>
        <w:t>Al</w:t>
      </w:r>
      <w:r w:rsidRPr="004264C2">
        <w:rPr>
          <w:spacing w:val="-2"/>
        </w:rPr>
        <w:t xml:space="preserve"> </w:t>
      </w:r>
      <w:r>
        <w:t>Estado,</w:t>
      </w:r>
      <w:r w:rsidRPr="004264C2">
        <w:rPr>
          <w:spacing w:val="-2"/>
        </w:rPr>
        <w:t xml:space="preserve"> </w:t>
      </w:r>
      <w:r>
        <w:t>a</w:t>
      </w:r>
      <w:r w:rsidRPr="004264C2">
        <w:rPr>
          <w:spacing w:val="-2"/>
        </w:rPr>
        <w:t xml:space="preserve"> </w:t>
      </w:r>
      <w:r>
        <w:t>través</w:t>
      </w:r>
      <w:r w:rsidRPr="004264C2">
        <w:rPr>
          <w:spacing w:val="-2"/>
        </w:rPr>
        <w:t xml:space="preserve"> </w:t>
      </w:r>
      <w:r>
        <w:t>del</w:t>
      </w:r>
      <w:r w:rsidRPr="004264C2">
        <w:rPr>
          <w:spacing w:val="-3"/>
        </w:rPr>
        <w:t xml:space="preserve"> </w:t>
      </w:r>
      <w:r>
        <w:t>Gobierno</w:t>
      </w:r>
      <w:r w:rsidRPr="004264C2">
        <w:rPr>
          <w:spacing w:val="-2"/>
        </w:rPr>
        <w:t xml:space="preserve"> </w:t>
      </w:r>
      <w:r>
        <w:t>Nacional,</w:t>
      </w:r>
      <w:r w:rsidRPr="004264C2">
        <w:rPr>
          <w:spacing w:val="-2"/>
        </w:rPr>
        <w:t xml:space="preserve"> </w:t>
      </w:r>
      <w:r>
        <w:t>en</w:t>
      </w:r>
      <w:r w:rsidRPr="004264C2">
        <w:rPr>
          <w:spacing w:val="-3"/>
        </w:rPr>
        <w:t xml:space="preserve"> </w:t>
      </w:r>
      <w:r>
        <w:t>cabeza</w:t>
      </w:r>
      <w:r w:rsidRPr="004264C2">
        <w:rPr>
          <w:spacing w:val="-2"/>
        </w:rPr>
        <w:t xml:space="preserve"> </w:t>
      </w:r>
      <w:r>
        <w:t>del</w:t>
      </w:r>
      <w:r w:rsidRPr="004264C2">
        <w:rPr>
          <w:spacing w:val="-2"/>
        </w:rPr>
        <w:t xml:space="preserve"> </w:t>
      </w:r>
      <w:r>
        <w:t>Presidente</w:t>
      </w:r>
      <w:r w:rsidRPr="004264C2">
        <w:rPr>
          <w:spacing w:val="-2"/>
        </w:rPr>
        <w:t xml:space="preserve"> </w:t>
      </w:r>
      <w:r>
        <w:t>y</w:t>
      </w:r>
      <w:r w:rsidRPr="004264C2">
        <w:rPr>
          <w:spacing w:val="-4"/>
        </w:rPr>
        <w:t xml:space="preserve"> </w:t>
      </w:r>
      <w:r>
        <w:t>de</w:t>
      </w:r>
      <w:r w:rsidRPr="004264C2">
        <w:rPr>
          <w:spacing w:val="-2"/>
        </w:rPr>
        <w:t xml:space="preserve"> </w:t>
      </w:r>
      <w:r>
        <w:t>la</w:t>
      </w:r>
      <w:r w:rsidRPr="004264C2">
        <w:rPr>
          <w:spacing w:val="-2"/>
        </w:rPr>
        <w:t xml:space="preserve"> </w:t>
      </w:r>
      <w:r>
        <w:t>Oficina</w:t>
      </w:r>
      <w:r w:rsidRPr="004264C2">
        <w:rPr>
          <w:spacing w:val="-2"/>
        </w:rPr>
        <w:t xml:space="preserve"> </w:t>
      </w:r>
      <w:r>
        <w:t>del Alto Comisionado para la Paz, y a los grupos armados ilegales, priorizar el diálogo como herramienta para poner fin a la confrontación armada.</w:t>
      </w:r>
    </w:p>
    <w:p w:rsidR="0011361F" w:rsidRDefault="00AF18A5" w:rsidP="004264C2">
      <w:r>
        <w:t>Corto</w:t>
      </w:r>
      <w:r>
        <w:rPr>
          <w:spacing w:val="-1"/>
        </w:rPr>
        <w:t xml:space="preserve"> </w:t>
      </w:r>
      <w:r>
        <w:rPr>
          <w:spacing w:val="-2"/>
        </w:rPr>
        <w:t>plazo</w:t>
      </w:r>
    </w:p>
    <w:p w:rsidR="004264C2" w:rsidRDefault="003C626D" w:rsidP="003C626D">
      <w:pPr>
        <w:pStyle w:val="Ttulo4"/>
      </w:pPr>
      <w:r>
        <w:t xml:space="preserve">6.1. </w:t>
      </w:r>
    </w:p>
    <w:p w:rsidR="003804AC" w:rsidRDefault="00AF18A5" w:rsidP="004264C2">
      <w:r>
        <w:t xml:space="preserve">Al Estado, a través del Gobierno Nacional, en cabeza del Presidente y de la Oficina del Alto Comisionado para la Paz, y al ELN, en especial, comprometerse y avanzar en una </w:t>
      </w:r>
      <w:r>
        <w:rPr>
          <w:b/>
        </w:rPr>
        <w:t>salida negociada y definitiva al conflicto armado</w:t>
      </w:r>
      <w:r>
        <w:t>, teniendo en cuenta los avances de las últimas conversaciones (2017-2018). Para esto se recomienda:</w:t>
      </w:r>
    </w:p>
    <w:p w:rsidR="003804AC" w:rsidRDefault="00AF18A5" w:rsidP="004A6EF4">
      <w:pPr>
        <w:pStyle w:val="Prrafodelista"/>
        <w:numPr>
          <w:ilvl w:val="0"/>
          <w:numId w:val="33"/>
        </w:numPr>
      </w:pPr>
      <w:r>
        <w:t>Al Gobierno Nacional, facilitar la c</w:t>
      </w:r>
      <w:r w:rsidRPr="004264C2">
        <w:rPr>
          <w:b/>
        </w:rPr>
        <w:t xml:space="preserve">reación de las condiciones e incentivos necesarios para la negociación, </w:t>
      </w:r>
      <w:r>
        <w:t>teniendo en cuenta las lecciones aprendidas en intentos</w:t>
      </w:r>
      <w:r w:rsidRPr="004264C2">
        <w:rPr>
          <w:spacing w:val="-6"/>
        </w:rPr>
        <w:t xml:space="preserve"> </w:t>
      </w:r>
      <w:r>
        <w:t>pasados.</w:t>
      </w:r>
      <w:r w:rsidRPr="004264C2">
        <w:rPr>
          <w:spacing w:val="-6"/>
        </w:rPr>
        <w:t xml:space="preserve"> </w:t>
      </w:r>
      <w:r>
        <w:t>Específicamente,</w:t>
      </w:r>
      <w:r w:rsidRPr="004264C2">
        <w:rPr>
          <w:spacing w:val="-6"/>
        </w:rPr>
        <w:t xml:space="preserve"> </w:t>
      </w:r>
      <w:r>
        <w:t>se</w:t>
      </w:r>
      <w:r w:rsidRPr="004264C2">
        <w:rPr>
          <w:spacing w:val="-6"/>
        </w:rPr>
        <w:t xml:space="preserve"> </w:t>
      </w:r>
      <w:r>
        <w:t>sugiere</w:t>
      </w:r>
      <w:r w:rsidRPr="004264C2">
        <w:rPr>
          <w:spacing w:val="-7"/>
        </w:rPr>
        <w:t xml:space="preserve"> </w:t>
      </w:r>
      <w:r>
        <w:t>(i)</w:t>
      </w:r>
      <w:r w:rsidRPr="004264C2">
        <w:rPr>
          <w:spacing w:val="-7"/>
        </w:rPr>
        <w:t xml:space="preserve"> </w:t>
      </w:r>
      <w:r>
        <w:t>reconocer</w:t>
      </w:r>
      <w:r w:rsidRPr="004264C2">
        <w:rPr>
          <w:spacing w:val="-5"/>
        </w:rPr>
        <w:t xml:space="preserve"> </w:t>
      </w:r>
      <w:r>
        <w:t>el</w:t>
      </w:r>
      <w:r w:rsidRPr="004264C2">
        <w:rPr>
          <w:spacing w:val="-7"/>
        </w:rPr>
        <w:t xml:space="preserve"> </w:t>
      </w:r>
      <w:r>
        <w:t>«Protocolo</w:t>
      </w:r>
      <w:r w:rsidRPr="004264C2">
        <w:rPr>
          <w:spacing w:val="-7"/>
        </w:rPr>
        <w:t xml:space="preserve"> </w:t>
      </w:r>
      <w:r>
        <w:t>establecido en</w:t>
      </w:r>
      <w:r w:rsidRPr="004264C2">
        <w:rPr>
          <w:spacing w:val="-6"/>
        </w:rPr>
        <w:t xml:space="preserve"> </w:t>
      </w:r>
      <w:r>
        <w:t>caso</w:t>
      </w:r>
      <w:r w:rsidRPr="004264C2">
        <w:rPr>
          <w:spacing w:val="-6"/>
        </w:rPr>
        <w:t xml:space="preserve"> </w:t>
      </w:r>
      <w:r>
        <w:t>de</w:t>
      </w:r>
      <w:r w:rsidRPr="004264C2">
        <w:rPr>
          <w:spacing w:val="-6"/>
        </w:rPr>
        <w:t xml:space="preserve"> </w:t>
      </w:r>
      <w:r>
        <w:t>ruptura</w:t>
      </w:r>
      <w:r w:rsidRPr="004264C2">
        <w:rPr>
          <w:spacing w:val="-6"/>
        </w:rPr>
        <w:t xml:space="preserve"> </w:t>
      </w:r>
      <w:r>
        <w:t>de</w:t>
      </w:r>
      <w:r w:rsidRPr="004264C2">
        <w:rPr>
          <w:spacing w:val="-6"/>
        </w:rPr>
        <w:t xml:space="preserve"> </w:t>
      </w:r>
      <w:r>
        <w:t>la</w:t>
      </w:r>
      <w:r w:rsidRPr="004264C2">
        <w:rPr>
          <w:spacing w:val="-7"/>
        </w:rPr>
        <w:t xml:space="preserve"> </w:t>
      </w:r>
      <w:r>
        <w:t>negociación</w:t>
      </w:r>
      <w:r w:rsidRPr="004264C2">
        <w:rPr>
          <w:spacing w:val="-7"/>
        </w:rPr>
        <w:t xml:space="preserve"> </w:t>
      </w:r>
      <w:r>
        <w:t>de</w:t>
      </w:r>
      <w:r w:rsidRPr="004264C2">
        <w:rPr>
          <w:spacing w:val="-6"/>
        </w:rPr>
        <w:t xml:space="preserve"> </w:t>
      </w:r>
      <w:r>
        <w:t>diálogos</w:t>
      </w:r>
      <w:r w:rsidRPr="004264C2">
        <w:rPr>
          <w:spacing w:val="-7"/>
        </w:rPr>
        <w:t xml:space="preserve"> </w:t>
      </w:r>
      <w:r>
        <w:t>de</w:t>
      </w:r>
      <w:r w:rsidRPr="004264C2">
        <w:rPr>
          <w:spacing w:val="-6"/>
        </w:rPr>
        <w:t xml:space="preserve"> </w:t>
      </w:r>
      <w:r>
        <w:t>paz</w:t>
      </w:r>
      <w:r w:rsidRPr="004264C2">
        <w:rPr>
          <w:spacing w:val="-6"/>
        </w:rPr>
        <w:t xml:space="preserve"> </w:t>
      </w:r>
      <w:r>
        <w:t>Gobierno</w:t>
      </w:r>
      <w:r w:rsidRPr="004264C2">
        <w:rPr>
          <w:spacing w:val="-6"/>
        </w:rPr>
        <w:t xml:space="preserve"> </w:t>
      </w:r>
      <w:r>
        <w:t>colombiano-ELN» y (</w:t>
      </w:r>
      <w:proofErr w:type="spellStart"/>
      <w:r>
        <w:t>ii</w:t>
      </w:r>
      <w:proofErr w:type="spellEnd"/>
      <w:r>
        <w:t xml:space="preserve">) impulsar iniciativas y espacios regionales de diálogos enfocados en la mitigación de los impactos humanitarios de la confrontación y el abordaje de los factores estructurales de </w:t>
      </w:r>
      <w:r>
        <w:lastRenderedPageBreak/>
        <w:t>persistencia del conflicto armado.</w:t>
      </w:r>
    </w:p>
    <w:p w:rsidR="003804AC" w:rsidRPr="004264C2" w:rsidRDefault="00AF18A5" w:rsidP="004A6EF4">
      <w:pPr>
        <w:pStyle w:val="Prrafodelista"/>
        <w:numPr>
          <w:ilvl w:val="0"/>
          <w:numId w:val="33"/>
        </w:numPr>
        <w:rPr>
          <w:rFonts w:ascii="Calibri" w:hAnsi="Calibri"/>
        </w:rPr>
      </w:pPr>
      <w:r>
        <w:t>Al</w:t>
      </w:r>
      <w:r w:rsidRPr="004264C2">
        <w:rPr>
          <w:spacing w:val="-11"/>
        </w:rPr>
        <w:t xml:space="preserve"> </w:t>
      </w:r>
      <w:r>
        <w:t>ELN,</w:t>
      </w:r>
      <w:r w:rsidRPr="004264C2">
        <w:rPr>
          <w:spacing w:val="-12"/>
        </w:rPr>
        <w:t xml:space="preserve"> </w:t>
      </w:r>
      <w:r w:rsidRPr="004264C2">
        <w:rPr>
          <w:b/>
        </w:rPr>
        <w:t>respetar</w:t>
      </w:r>
      <w:r w:rsidRPr="004264C2">
        <w:rPr>
          <w:b/>
          <w:spacing w:val="-11"/>
        </w:rPr>
        <w:t xml:space="preserve"> </w:t>
      </w:r>
      <w:r w:rsidRPr="004264C2">
        <w:rPr>
          <w:b/>
        </w:rPr>
        <w:t>y</w:t>
      </w:r>
      <w:r w:rsidRPr="004264C2">
        <w:rPr>
          <w:b/>
          <w:spacing w:val="-12"/>
        </w:rPr>
        <w:t xml:space="preserve"> </w:t>
      </w:r>
      <w:r w:rsidRPr="004264C2">
        <w:rPr>
          <w:b/>
        </w:rPr>
        <w:t>garantizar</w:t>
      </w:r>
      <w:r w:rsidRPr="004264C2">
        <w:rPr>
          <w:b/>
          <w:spacing w:val="-12"/>
        </w:rPr>
        <w:t xml:space="preserve"> </w:t>
      </w:r>
      <w:r w:rsidRPr="004264C2">
        <w:rPr>
          <w:b/>
        </w:rPr>
        <w:t>la</w:t>
      </w:r>
      <w:r w:rsidRPr="004264C2">
        <w:rPr>
          <w:b/>
          <w:spacing w:val="-12"/>
        </w:rPr>
        <w:t xml:space="preserve"> </w:t>
      </w:r>
      <w:r w:rsidRPr="004264C2">
        <w:rPr>
          <w:b/>
        </w:rPr>
        <w:t>labor</w:t>
      </w:r>
      <w:r w:rsidRPr="004264C2">
        <w:rPr>
          <w:b/>
          <w:spacing w:val="-11"/>
        </w:rPr>
        <w:t xml:space="preserve"> </w:t>
      </w:r>
      <w:r w:rsidRPr="004264C2">
        <w:rPr>
          <w:b/>
        </w:rPr>
        <w:t>de</w:t>
      </w:r>
      <w:r w:rsidRPr="004264C2">
        <w:rPr>
          <w:b/>
          <w:spacing w:val="-11"/>
        </w:rPr>
        <w:t xml:space="preserve"> </w:t>
      </w:r>
      <w:r w:rsidRPr="004264C2">
        <w:rPr>
          <w:b/>
        </w:rPr>
        <w:t>los</w:t>
      </w:r>
      <w:r w:rsidRPr="004264C2">
        <w:rPr>
          <w:b/>
          <w:spacing w:val="-12"/>
        </w:rPr>
        <w:t xml:space="preserve"> </w:t>
      </w:r>
      <w:r w:rsidRPr="004264C2">
        <w:rPr>
          <w:b/>
        </w:rPr>
        <w:t>organismos</w:t>
      </w:r>
      <w:r w:rsidRPr="004264C2">
        <w:rPr>
          <w:b/>
          <w:spacing w:val="-13"/>
        </w:rPr>
        <w:t xml:space="preserve"> </w:t>
      </w:r>
      <w:r w:rsidRPr="004264C2">
        <w:rPr>
          <w:b/>
        </w:rPr>
        <w:t>humanitarios</w:t>
      </w:r>
      <w:r w:rsidRPr="004264C2">
        <w:rPr>
          <w:b/>
          <w:spacing w:val="-11"/>
        </w:rPr>
        <w:t xml:space="preserve"> </w:t>
      </w:r>
      <w:r>
        <w:t>en los</w:t>
      </w:r>
      <w:r w:rsidRPr="004264C2">
        <w:rPr>
          <w:spacing w:val="-5"/>
        </w:rPr>
        <w:t xml:space="preserve"> </w:t>
      </w:r>
      <w:r>
        <w:t>territorios</w:t>
      </w:r>
      <w:r w:rsidRPr="004264C2">
        <w:rPr>
          <w:spacing w:val="-5"/>
        </w:rPr>
        <w:t xml:space="preserve"> </w:t>
      </w:r>
      <w:r>
        <w:t>en</w:t>
      </w:r>
      <w:r w:rsidRPr="004264C2">
        <w:rPr>
          <w:spacing w:val="-5"/>
        </w:rPr>
        <w:t xml:space="preserve"> </w:t>
      </w:r>
      <w:r>
        <w:t>los</w:t>
      </w:r>
      <w:r w:rsidRPr="004264C2">
        <w:rPr>
          <w:spacing w:val="-5"/>
        </w:rPr>
        <w:t xml:space="preserve"> </w:t>
      </w:r>
      <w:r>
        <w:t>que</w:t>
      </w:r>
      <w:r w:rsidRPr="004264C2">
        <w:rPr>
          <w:spacing w:val="-6"/>
        </w:rPr>
        <w:t xml:space="preserve"> </w:t>
      </w:r>
      <w:r>
        <w:t>hacen</w:t>
      </w:r>
      <w:r w:rsidRPr="004264C2">
        <w:rPr>
          <w:spacing w:val="-5"/>
        </w:rPr>
        <w:t xml:space="preserve"> </w:t>
      </w:r>
      <w:r>
        <w:t>presencia</w:t>
      </w:r>
      <w:r w:rsidRPr="004264C2">
        <w:rPr>
          <w:spacing w:val="-4"/>
        </w:rPr>
        <w:t xml:space="preserve"> </w:t>
      </w:r>
      <w:r>
        <w:t>y</w:t>
      </w:r>
      <w:r w:rsidRPr="004264C2">
        <w:rPr>
          <w:spacing w:val="-6"/>
        </w:rPr>
        <w:t xml:space="preserve"> </w:t>
      </w:r>
      <w:r>
        <w:t>adoptar</w:t>
      </w:r>
      <w:r w:rsidRPr="004264C2">
        <w:rPr>
          <w:spacing w:val="-4"/>
        </w:rPr>
        <w:t xml:space="preserve"> </w:t>
      </w:r>
      <w:r>
        <w:t>medidas</w:t>
      </w:r>
      <w:r w:rsidRPr="004264C2">
        <w:rPr>
          <w:spacing w:val="-6"/>
        </w:rPr>
        <w:t xml:space="preserve"> </w:t>
      </w:r>
      <w:r>
        <w:t>y</w:t>
      </w:r>
      <w:r w:rsidRPr="004264C2">
        <w:rPr>
          <w:spacing w:val="-6"/>
        </w:rPr>
        <w:t xml:space="preserve"> </w:t>
      </w:r>
      <w:r>
        <w:t>gestos</w:t>
      </w:r>
      <w:r w:rsidRPr="004264C2">
        <w:rPr>
          <w:spacing w:val="-6"/>
        </w:rPr>
        <w:t xml:space="preserve"> </w:t>
      </w:r>
      <w:r>
        <w:t>unilaterales</w:t>
      </w:r>
      <w:r w:rsidRPr="004264C2">
        <w:rPr>
          <w:spacing w:val="-4"/>
        </w:rPr>
        <w:t xml:space="preserve"> </w:t>
      </w:r>
      <w:r>
        <w:t>que contribuyan</w:t>
      </w:r>
      <w:r w:rsidRPr="004264C2">
        <w:rPr>
          <w:spacing w:val="-15"/>
        </w:rPr>
        <w:t xml:space="preserve"> </w:t>
      </w:r>
      <w:r>
        <w:t>a</w:t>
      </w:r>
      <w:r w:rsidRPr="004264C2">
        <w:rPr>
          <w:spacing w:val="-15"/>
        </w:rPr>
        <w:t xml:space="preserve"> </w:t>
      </w:r>
      <w:r>
        <w:t>la</w:t>
      </w:r>
      <w:r w:rsidRPr="004264C2">
        <w:rPr>
          <w:spacing w:val="-15"/>
        </w:rPr>
        <w:t xml:space="preserve"> </w:t>
      </w:r>
      <w:r>
        <w:t>generación</w:t>
      </w:r>
      <w:r w:rsidRPr="004264C2">
        <w:rPr>
          <w:spacing w:val="-15"/>
        </w:rPr>
        <w:t xml:space="preserve"> </w:t>
      </w:r>
      <w:r>
        <w:t>de</w:t>
      </w:r>
      <w:r w:rsidRPr="004264C2">
        <w:rPr>
          <w:spacing w:val="-15"/>
        </w:rPr>
        <w:t xml:space="preserve"> </w:t>
      </w:r>
      <w:r>
        <w:t>confianza,</w:t>
      </w:r>
      <w:r w:rsidRPr="004264C2">
        <w:rPr>
          <w:spacing w:val="-15"/>
        </w:rPr>
        <w:t xml:space="preserve"> </w:t>
      </w:r>
      <w:r>
        <w:t>el</w:t>
      </w:r>
      <w:r w:rsidRPr="004264C2">
        <w:rPr>
          <w:spacing w:val="-15"/>
        </w:rPr>
        <w:t xml:space="preserve"> </w:t>
      </w:r>
      <w:proofErr w:type="spellStart"/>
      <w:r>
        <w:t>desescalamiento</w:t>
      </w:r>
      <w:proofErr w:type="spellEnd"/>
      <w:r w:rsidRPr="004264C2">
        <w:rPr>
          <w:spacing w:val="-15"/>
        </w:rPr>
        <w:t xml:space="preserve"> </w:t>
      </w:r>
      <w:r>
        <w:t>del</w:t>
      </w:r>
      <w:r w:rsidRPr="004264C2">
        <w:rPr>
          <w:spacing w:val="-15"/>
        </w:rPr>
        <w:t xml:space="preserve"> </w:t>
      </w:r>
      <w:r>
        <w:t>conflicto,</w:t>
      </w:r>
      <w:r w:rsidRPr="004264C2">
        <w:rPr>
          <w:spacing w:val="-15"/>
        </w:rPr>
        <w:t xml:space="preserve"> </w:t>
      </w:r>
      <w:r>
        <w:t>la</w:t>
      </w:r>
      <w:r w:rsidRPr="004264C2">
        <w:rPr>
          <w:spacing w:val="-15"/>
        </w:rPr>
        <w:t xml:space="preserve"> </w:t>
      </w:r>
      <w:r>
        <w:t>garantía de</w:t>
      </w:r>
      <w:r w:rsidRPr="004264C2">
        <w:rPr>
          <w:spacing w:val="-12"/>
        </w:rPr>
        <w:t xml:space="preserve"> </w:t>
      </w:r>
      <w:r>
        <w:t>los</w:t>
      </w:r>
      <w:r w:rsidRPr="004264C2">
        <w:rPr>
          <w:spacing w:val="-13"/>
        </w:rPr>
        <w:t xml:space="preserve"> </w:t>
      </w:r>
      <w:r>
        <w:t>derechos</w:t>
      </w:r>
      <w:r w:rsidRPr="004264C2">
        <w:rPr>
          <w:spacing w:val="-12"/>
        </w:rPr>
        <w:t xml:space="preserve"> </w:t>
      </w:r>
      <w:r>
        <w:t>de</w:t>
      </w:r>
      <w:r w:rsidRPr="004264C2">
        <w:rPr>
          <w:spacing w:val="-13"/>
        </w:rPr>
        <w:t xml:space="preserve"> </w:t>
      </w:r>
      <w:r>
        <w:t>la</w:t>
      </w:r>
      <w:r w:rsidRPr="004264C2">
        <w:rPr>
          <w:spacing w:val="-12"/>
        </w:rPr>
        <w:t xml:space="preserve"> </w:t>
      </w:r>
      <w:r>
        <w:t>población</w:t>
      </w:r>
      <w:r w:rsidRPr="004264C2">
        <w:rPr>
          <w:spacing w:val="-13"/>
        </w:rPr>
        <w:t xml:space="preserve"> </w:t>
      </w:r>
      <w:r>
        <w:t>civil</w:t>
      </w:r>
      <w:r w:rsidRPr="004264C2">
        <w:rPr>
          <w:spacing w:val="-13"/>
        </w:rPr>
        <w:t xml:space="preserve"> </w:t>
      </w:r>
      <w:r>
        <w:t>y</w:t>
      </w:r>
      <w:r w:rsidRPr="004264C2">
        <w:rPr>
          <w:spacing w:val="-12"/>
        </w:rPr>
        <w:t xml:space="preserve"> </w:t>
      </w:r>
      <w:r>
        <w:t>las</w:t>
      </w:r>
      <w:r w:rsidRPr="004264C2">
        <w:rPr>
          <w:spacing w:val="-12"/>
        </w:rPr>
        <w:t xml:space="preserve"> </w:t>
      </w:r>
      <w:r>
        <w:t>comunidades</w:t>
      </w:r>
      <w:r w:rsidRPr="004264C2">
        <w:rPr>
          <w:spacing w:val="-13"/>
        </w:rPr>
        <w:t xml:space="preserve"> </w:t>
      </w:r>
      <w:r>
        <w:t>y</w:t>
      </w:r>
      <w:r w:rsidRPr="004264C2">
        <w:rPr>
          <w:spacing w:val="-12"/>
        </w:rPr>
        <w:t xml:space="preserve"> </w:t>
      </w:r>
      <w:r>
        <w:t>a</w:t>
      </w:r>
      <w:r w:rsidRPr="004264C2">
        <w:rPr>
          <w:spacing w:val="-13"/>
        </w:rPr>
        <w:t xml:space="preserve"> </w:t>
      </w:r>
      <w:r>
        <w:t>la</w:t>
      </w:r>
      <w:r w:rsidRPr="004264C2">
        <w:rPr>
          <w:spacing w:val="-14"/>
        </w:rPr>
        <w:t xml:space="preserve"> </w:t>
      </w:r>
      <w:r>
        <w:t>creación</w:t>
      </w:r>
      <w:r w:rsidRPr="004264C2">
        <w:rPr>
          <w:spacing w:val="-12"/>
        </w:rPr>
        <w:t xml:space="preserve"> </w:t>
      </w:r>
      <w:r>
        <w:t>de</w:t>
      </w:r>
      <w:r w:rsidRPr="004264C2">
        <w:rPr>
          <w:spacing w:val="-14"/>
        </w:rPr>
        <w:t xml:space="preserve"> </w:t>
      </w:r>
      <w:r>
        <w:t>condiciones conducentes al diálogo.</w:t>
      </w:r>
    </w:p>
    <w:p w:rsidR="0011361F" w:rsidRDefault="00AF18A5" w:rsidP="004264C2">
      <w:pPr>
        <w:rPr>
          <w:spacing w:val="-2"/>
        </w:rPr>
      </w:pPr>
      <w:r w:rsidRPr="004264C2">
        <w:t>Corto</w:t>
      </w:r>
      <w:r>
        <w:rPr>
          <w:spacing w:val="-1"/>
        </w:rPr>
        <w:t xml:space="preserve"> </w:t>
      </w:r>
      <w:r>
        <w:rPr>
          <w:spacing w:val="-2"/>
        </w:rPr>
        <w:t>plazo</w:t>
      </w:r>
    </w:p>
    <w:p w:rsidR="004264C2" w:rsidRDefault="003C626D" w:rsidP="003C626D">
      <w:pPr>
        <w:pStyle w:val="Ttulo4"/>
      </w:pPr>
      <w:r>
        <w:t xml:space="preserve">6.2. </w:t>
      </w:r>
    </w:p>
    <w:p w:rsidR="003804AC" w:rsidRDefault="00AF18A5" w:rsidP="004264C2">
      <w:r>
        <w:t>Al Gobierno Nacional y al Congreso de la República, con el apoyo de la Comisión Nacional de Garantías de Seguridad (CNGS)</w:t>
      </w:r>
      <w:r w:rsidR="004264C2">
        <w:rPr>
          <w:rStyle w:val="Refdenotaalpie"/>
        </w:rPr>
        <w:footnoteReference w:id="1188"/>
      </w:r>
      <w:r>
        <w:t xml:space="preserve">, </w:t>
      </w:r>
      <w:r>
        <w:rPr>
          <w:b/>
        </w:rPr>
        <w:t>diseñar e implementar una estrategia integral de sometimiento</w:t>
      </w:r>
      <w:r w:rsidR="004264C2">
        <w:rPr>
          <w:rStyle w:val="Refdenotaalpie"/>
          <w:b/>
        </w:rPr>
        <w:footnoteReference w:id="1189"/>
      </w:r>
      <w:r>
        <w:t xml:space="preserve"> </w:t>
      </w:r>
      <w:r>
        <w:rPr>
          <w:b/>
        </w:rPr>
        <w:t>–individual y colectivo– como parte de la política pública de desmantelamiento</w:t>
      </w:r>
      <w:r w:rsidR="004264C2">
        <w:rPr>
          <w:rStyle w:val="Refdenotaalpie"/>
          <w:b/>
        </w:rPr>
        <w:footnoteReference w:id="1190"/>
      </w:r>
      <w:r>
        <w:t xml:space="preserve"> </w:t>
      </w:r>
      <w:r>
        <w:rPr>
          <w:b/>
        </w:rPr>
        <w:t xml:space="preserve">de las organizaciones criminales </w:t>
      </w:r>
      <w:r>
        <w:t xml:space="preserve">–entendidas como entramado de diferentes actores armados, políticos, sociales y económicos, incluyendo las organizaciones herederas del </w:t>
      </w:r>
      <w:r>
        <w:lastRenderedPageBreak/>
        <w:t>paramilitarismo–, que contribuya a garantizar los derechos de las</w:t>
      </w:r>
      <w:r>
        <w:rPr>
          <w:spacing w:val="-10"/>
        </w:rPr>
        <w:t xml:space="preserve"> </w:t>
      </w:r>
      <w:r>
        <w:t>víctimas</w:t>
      </w:r>
      <w:r>
        <w:rPr>
          <w:spacing w:val="-11"/>
        </w:rPr>
        <w:t xml:space="preserve"> </w:t>
      </w:r>
      <w:r>
        <w:t>a</w:t>
      </w:r>
      <w:r>
        <w:rPr>
          <w:spacing w:val="-8"/>
        </w:rPr>
        <w:t xml:space="preserve"> </w:t>
      </w:r>
      <w:r>
        <w:t>la</w:t>
      </w:r>
      <w:r>
        <w:rPr>
          <w:spacing w:val="-8"/>
        </w:rPr>
        <w:t xml:space="preserve"> </w:t>
      </w:r>
      <w:r>
        <w:t>verdad,</w:t>
      </w:r>
      <w:r>
        <w:rPr>
          <w:spacing w:val="-9"/>
        </w:rPr>
        <w:t xml:space="preserve"> </w:t>
      </w:r>
      <w:r>
        <w:t>la</w:t>
      </w:r>
      <w:r>
        <w:rPr>
          <w:spacing w:val="-8"/>
        </w:rPr>
        <w:t xml:space="preserve"> </w:t>
      </w:r>
      <w:r>
        <w:t>justicia,</w:t>
      </w:r>
      <w:r>
        <w:rPr>
          <w:spacing w:val="-9"/>
        </w:rPr>
        <w:t xml:space="preserve"> </w:t>
      </w:r>
      <w:r>
        <w:t>la</w:t>
      </w:r>
      <w:r>
        <w:rPr>
          <w:spacing w:val="-10"/>
        </w:rPr>
        <w:t xml:space="preserve"> </w:t>
      </w:r>
      <w:r>
        <w:t>reparación</w:t>
      </w:r>
      <w:r>
        <w:rPr>
          <w:spacing w:val="-8"/>
        </w:rPr>
        <w:t xml:space="preserve"> </w:t>
      </w:r>
      <w:r>
        <w:t>y</w:t>
      </w:r>
      <w:r>
        <w:rPr>
          <w:spacing w:val="-10"/>
        </w:rPr>
        <w:t xml:space="preserve"> </w:t>
      </w:r>
      <w:r>
        <w:t>la</w:t>
      </w:r>
      <w:r>
        <w:rPr>
          <w:spacing w:val="-8"/>
        </w:rPr>
        <w:t xml:space="preserve"> </w:t>
      </w:r>
      <w:r>
        <w:t>no</w:t>
      </w:r>
      <w:r>
        <w:rPr>
          <w:spacing w:val="-9"/>
        </w:rPr>
        <w:t xml:space="preserve"> </w:t>
      </w:r>
      <w:r>
        <w:t>repetición.</w:t>
      </w:r>
      <w:r>
        <w:rPr>
          <w:spacing w:val="-9"/>
        </w:rPr>
        <w:t xml:space="preserve"> </w:t>
      </w:r>
      <w:r>
        <w:t>Para</w:t>
      </w:r>
      <w:r>
        <w:rPr>
          <w:spacing w:val="-10"/>
        </w:rPr>
        <w:t xml:space="preserve"> </w:t>
      </w:r>
      <w:r>
        <w:t>esto,</w:t>
      </w:r>
      <w:r>
        <w:rPr>
          <w:spacing w:val="-9"/>
        </w:rPr>
        <w:t xml:space="preserve"> </w:t>
      </w:r>
      <w:r>
        <w:t>se</w:t>
      </w:r>
      <w:r>
        <w:rPr>
          <w:spacing w:val="-8"/>
        </w:rPr>
        <w:t xml:space="preserve"> </w:t>
      </w:r>
      <w:r>
        <w:rPr>
          <w:spacing w:val="-2"/>
        </w:rPr>
        <w:t>recomienda:</w:t>
      </w:r>
    </w:p>
    <w:p w:rsidR="0011361F" w:rsidRPr="004264C2" w:rsidRDefault="00AF18A5" w:rsidP="004A6EF4">
      <w:pPr>
        <w:pStyle w:val="Prrafodelista"/>
        <w:numPr>
          <w:ilvl w:val="0"/>
          <w:numId w:val="34"/>
        </w:numPr>
        <w:rPr>
          <w:rFonts w:ascii="Arial" w:hAnsi="Arial"/>
        </w:rPr>
      </w:pPr>
      <w:r>
        <w:t>Fortalecer</w:t>
      </w:r>
      <w:r w:rsidRPr="004264C2">
        <w:rPr>
          <w:spacing w:val="-8"/>
        </w:rPr>
        <w:t xml:space="preserve"> </w:t>
      </w:r>
      <w:r>
        <w:t>el</w:t>
      </w:r>
      <w:r w:rsidRPr="004264C2">
        <w:rPr>
          <w:spacing w:val="-8"/>
        </w:rPr>
        <w:t xml:space="preserve"> </w:t>
      </w:r>
      <w:r w:rsidRPr="004264C2">
        <w:rPr>
          <w:b/>
        </w:rPr>
        <w:t>análisis</w:t>
      </w:r>
      <w:r w:rsidRPr="004264C2">
        <w:rPr>
          <w:b/>
          <w:spacing w:val="-7"/>
        </w:rPr>
        <w:t xml:space="preserve"> </w:t>
      </w:r>
      <w:r w:rsidRPr="004264C2">
        <w:rPr>
          <w:b/>
        </w:rPr>
        <w:t>de</w:t>
      </w:r>
      <w:r w:rsidRPr="004264C2">
        <w:rPr>
          <w:b/>
          <w:spacing w:val="-8"/>
        </w:rPr>
        <w:t xml:space="preserve"> </w:t>
      </w:r>
      <w:r w:rsidRPr="004264C2">
        <w:rPr>
          <w:b/>
        </w:rPr>
        <w:t>contexto,</w:t>
      </w:r>
      <w:r w:rsidRPr="004264C2">
        <w:rPr>
          <w:b/>
          <w:spacing w:val="-8"/>
        </w:rPr>
        <w:t xml:space="preserve"> </w:t>
      </w:r>
      <w:r w:rsidRPr="004264C2">
        <w:rPr>
          <w:b/>
        </w:rPr>
        <w:t>la</w:t>
      </w:r>
      <w:r w:rsidRPr="004264C2">
        <w:rPr>
          <w:b/>
          <w:spacing w:val="-8"/>
        </w:rPr>
        <w:t xml:space="preserve"> </w:t>
      </w:r>
      <w:r w:rsidRPr="004264C2">
        <w:rPr>
          <w:b/>
        </w:rPr>
        <w:t>caracterización</w:t>
      </w:r>
      <w:r w:rsidRPr="004264C2">
        <w:rPr>
          <w:b/>
          <w:spacing w:val="-7"/>
        </w:rPr>
        <w:t xml:space="preserve"> </w:t>
      </w:r>
      <w:r w:rsidRPr="004264C2">
        <w:rPr>
          <w:b/>
        </w:rPr>
        <w:t>y</w:t>
      </w:r>
      <w:r w:rsidRPr="004264C2">
        <w:rPr>
          <w:b/>
          <w:spacing w:val="-7"/>
        </w:rPr>
        <w:t xml:space="preserve"> </w:t>
      </w:r>
      <w:r w:rsidRPr="004264C2">
        <w:rPr>
          <w:b/>
        </w:rPr>
        <w:t>el</w:t>
      </w:r>
      <w:r w:rsidRPr="004264C2">
        <w:rPr>
          <w:b/>
          <w:spacing w:val="-7"/>
        </w:rPr>
        <w:t xml:space="preserve"> </w:t>
      </w:r>
      <w:r w:rsidRPr="004264C2">
        <w:rPr>
          <w:b/>
        </w:rPr>
        <w:t>diagnóstico</w:t>
      </w:r>
      <w:r w:rsidRPr="004264C2">
        <w:rPr>
          <w:b/>
          <w:spacing w:val="-7"/>
        </w:rPr>
        <w:t xml:space="preserve"> </w:t>
      </w:r>
      <w:r w:rsidRPr="004264C2">
        <w:rPr>
          <w:b/>
        </w:rPr>
        <w:t>de</w:t>
      </w:r>
      <w:r w:rsidRPr="004264C2">
        <w:rPr>
          <w:b/>
          <w:spacing w:val="-9"/>
        </w:rPr>
        <w:t xml:space="preserve"> </w:t>
      </w:r>
      <w:r w:rsidRPr="004264C2">
        <w:rPr>
          <w:b/>
        </w:rPr>
        <w:t>los diferentes grupos</w:t>
      </w:r>
      <w:r>
        <w:t>, sus tipologías, su estructura, sus motivaciones y sus formas de financiación y objetivos, con el fin de responder a las particularidades de la criminalidad organizada.</w:t>
      </w:r>
    </w:p>
    <w:p w:rsidR="003804AC" w:rsidRPr="003C626D" w:rsidRDefault="00AF18A5" w:rsidP="004A6EF4">
      <w:pPr>
        <w:pStyle w:val="Prrafodelista"/>
        <w:numPr>
          <w:ilvl w:val="0"/>
          <w:numId w:val="34"/>
        </w:numPr>
        <w:rPr>
          <w:rFonts w:ascii="Arial" w:hAnsi="Arial"/>
        </w:rPr>
      </w:pPr>
      <w:bookmarkStart w:id="1522" w:name="_bookmark1325"/>
      <w:bookmarkStart w:id="1523" w:name="_bookmark1326"/>
      <w:bookmarkStart w:id="1524" w:name="_bookmark1327"/>
      <w:bookmarkEnd w:id="1522"/>
      <w:bookmarkEnd w:id="1523"/>
      <w:bookmarkEnd w:id="1524"/>
      <w:r>
        <w:t>Establecer una estructura de incentivos judiciales y en materia de saneamiento de bienes, y condiciones para acceder y mantener los beneficios que</w:t>
      </w:r>
      <w:r w:rsidRPr="003C626D">
        <w:rPr>
          <w:spacing w:val="-2"/>
        </w:rPr>
        <w:t xml:space="preserve"> </w:t>
      </w:r>
      <w:r>
        <w:t>se</w:t>
      </w:r>
      <w:r w:rsidRPr="003C626D">
        <w:rPr>
          <w:spacing w:val="-2"/>
        </w:rPr>
        <w:t xml:space="preserve"> </w:t>
      </w:r>
      <w:r>
        <w:t>relacionen</w:t>
      </w:r>
      <w:r w:rsidRPr="003C626D">
        <w:rPr>
          <w:spacing w:val="-2"/>
        </w:rPr>
        <w:t xml:space="preserve"> </w:t>
      </w:r>
      <w:r>
        <w:t>con</w:t>
      </w:r>
      <w:r w:rsidRPr="003C626D">
        <w:rPr>
          <w:spacing w:val="-2"/>
        </w:rPr>
        <w:t xml:space="preserve"> </w:t>
      </w:r>
      <w:r>
        <w:t>la</w:t>
      </w:r>
      <w:r w:rsidRPr="003C626D">
        <w:rPr>
          <w:spacing w:val="-2"/>
        </w:rPr>
        <w:t xml:space="preserve"> </w:t>
      </w:r>
      <w:r>
        <w:t>contribución</w:t>
      </w:r>
      <w:r w:rsidRPr="003C626D">
        <w:rPr>
          <w:spacing w:val="-2"/>
        </w:rPr>
        <w:t xml:space="preserve"> </w:t>
      </w:r>
      <w:r>
        <w:t>al</w:t>
      </w:r>
      <w:r w:rsidRPr="003C626D">
        <w:rPr>
          <w:spacing w:val="-2"/>
        </w:rPr>
        <w:t xml:space="preserve"> </w:t>
      </w:r>
      <w:r>
        <w:t>esclarecimiento</w:t>
      </w:r>
      <w:r w:rsidRPr="003C626D">
        <w:rPr>
          <w:spacing w:val="-4"/>
        </w:rPr>
        <w:t xml:space="preserve"> </w:t>
      </w:r>
      <w:r>
        <w:t>del</w:t>
      </w:r>
      <w:r w:rsidRPr="003C626D">
        <w:rPr>
          <w:spacing w:val="-2"/>
        </w:rPr>
        <w:t xml:space="preserve"> </w:t>
      </w:r>
      <w:r>
        <w:t>fenómeno</w:t>
      </w:r>
      <w:r w:rsidRPr="003C626D">
        <w:rPr>
          <w:spacing w:val="-2"/>
        </w:rPr>
        <w:t xml:space="preserve"> </w:t>
      </w:r>
      <w:r>
        <w:t>criminal y a la satisfacción de los derechos de las víctimas.</w:t>
      </w:r>
    </w:p>
    <w:p w:rsidR="003804AC" w:rsidRPr="003C626D" w:rsidRDefault="00AF18A5" w:rsidP="004A6EF4">
      <w:pPr>
        <w:pStyle w:val="Prrafodelista"/>
        <w:numPr>
          <w:ilvl w:val="0"/>
          <w:numId w:val="34"/>
        </w:numPr>
        <w:rPr>
          <w:rFonts w:ascii="Arial" w:hAnsi="Arial"/>
        </w:rPr>
      </w:pPr>
      <w:r>
        <w:t xml:space="preserve">Establecer como </w:t>
      </w:r>
      <w:r w:rsidRPr="003C626D">
        <w:rPr>
          <w:b/>
        </w:rPr>
        <w:t xml:space="preserve">prioridad en la investigación penal la violencia sistemática </w:t>
      </w:r>
      <w:r>
        <w:t>que ocasiona violaciones de los derechos humanos e infracciones al DIH, así como los actos de corrupción a gran escala vinculados con la criminalidad organizada y sus redes de apoyo.</w:t>
      </w:r>
    </w:p>
    <w:p w:rsidR="0011361F" w:rsidRPr="003C626D" w:rsidRDefault="00AF18A5" w:rsidP="004A6EF4">
      <w:pPr>
        <w:pStyle w:val="Prrafodelista"/>
        <w:numPr>
          <w:ilvl w:val="0"/>
          <w:numId w:val="34"/>
        </w:numPr>
        <w:rPr>
          <w:rFonts w:ascii="Arial" w:hAnsi="Arial"/>
        </w:rPr>
      </w:pPr>
      <w:r>
        <w:t>Garantizar</w:t>
      </w:r>
      <w:r w:rsidRPr="003C626D">
        <w:rPr>
          <w:spacing w:val="-5"/>
        </w:rPr>
        <w:t xml:space="preserve"> </w:t>
      </w:r>
      <w:r>
        <w:t>que</w:t>
      </w:r>
      <w:r w:rsidRPr="003C626D">
        <w:rPr>
          <w:spacing w:val="-3"/>
        </w:rPr>
        <w:t xml:space="preserve"> </w:t>
      </w:r>
      <w:r>
        <w:t>la</w:t>
      </w:r>
      <w:r w:rsidRPr="003C626D">
        <w:rPr>
          <w:spacing w:val="-2"/>
        </w:rPr>
        <w:t xml:space="preserve"> </w:t>
      </w:r>
      <w:r>
        <w:t>definición</w:t>
      </w:r>
      <w:r w:rsidRPr="003C626D">
        <w:rPr>
          <w:spacing w:val="-4"/>
        </w:rPr>
        <w:t xml:space="preserve"> </w:t>
      </w:r>
      <w:r>
        <w:t>de</w:t>
      </w:r>
      <w:r w:rsidRPr="003C626D">
        <w:rPr>
          <w:spacing w:val="-3"/>
        </w:rPr>
        <w:t xml:space="preserve"> </w:t>
      </w:r>
      <w:r>
        <w:t>la</w:t>
      </w:r>
      <w:r w:rsidRPr="003C626D">
        <w:rPr>
          <w:spacing w:val="-3"/>
        </w:rPr>
        <w:t xml:space="preserve"> </w:t>
      </w:r>
      <w:r>
        <w:t>situación</w:t>
      </w:r>
      <w:r w:rsidRPr="003C626D">
        <w:rPr>
          <w:spacing w:val="-4"/>
        </w:rPr>
        <w:t xml:space="preserve"> </w:t>
      </w:r>
      <w:r>
        <w:t>jurídica</w:t>
      </w:r>
      <w:r w:rsidRPr="003C626D">
        <w:rPr>
          <w:spacing w:val="-4"/>
        </w:rPr>
        <w:t xml:space="preserve"> </w:t>
      </w:r>
      <w:r>
        <w:t>de</w:t>
      </w:r>
      <w:r w:rsidRPr="003C626D">
        <w:rPr>
          <w:spacing w:val="-2"/>
        </w:rPr>
        <w:t xml:space="preserve"> </w:t>
      </w:r>
      <w:r>
        <w:t>quienes</w:t>
      </w:r>
      <w:r w:rsidRPr="003C626D">
        <w:rPr>
          <w:spacing w:val="-3"/>
        </w:rPr>
        <w:t xml:space="preserve"> </w:t>
      </w:r>
      <w:r>
        <w:t>se</w:t>
      </w:r>
      <w:r w:rsidRPr="003C626D">
        <w:rPr>
          <w:spacing w:val="-3"/>
        </w:rPr>
        <w:t xml:space="preserve"> </w:t>
      </w:r>
      <w:r w:rsidRPr="003C626D">
        <w:rPr>
          <w:spacing w:val="-2"/>
        </w:rPr>
        <w:t>sometan</w:t>
      </w:r>
      <w:r w:rsidR="003C626D">
        <w:rPr>
          <w:spacing w:val="-2"/>
        </w:rPr>
        <w:t xml:space="preserve"> </w:t>
      </w:r>
      <w:r>
        <w:t>ocurra</w:t>
      </w:r>
      <w:r w:rsidRPr="003C626D">
        <w:rPr>
          <w:spacing w:val="-2"/>
        </w:rPr>
        <w:t xml:space="preserve"> </w:t>
      </w:r>
      <w:r>
        <w:t>en un</w:t>
      </w:r>
      <w:r w:rsidRPr="003C626D">
        <w:rPr>
          <w:spacing w:val="-2"/>
        </w:rPr>
        <w:t xml:space="preserve"> </w:t>
      </w:r>
      <w:r>
        <w:t>periodo de</w:t>
      </w:r>
      <w:r w:rsidRPr="003C626D">
        <w:rPr>
          <w:spacing w:val="-1"/>
        </w:rPr>
        <w:t xml:space="preserve"> </w:t>
      </w:r>
      <w:r>
        <w:t>tiempo</w:t>
      </w:r>
      <w:r w:rsidRPr="003C626D">
        <w:rPr>
          <w:spacing w:val="-2"/>
        </w:rPr>
        <w:t xml:space="preserve"> razonable.</w:t>
      </w:r>
    </w:p>
    <w:p w:rsidR="003804AC" w:rsidRPr="003C626D" w:rsidRDefault="00AF18A5" w:rsidP="004A6EF4">
      <w:pPr>
        <w:pStyle w:val="Prrafodelista"/>
        <w:numPr>
          <w:ilvl w:val="0"/>
          <w:numId w:val="34"/>
        </w:numPr>
        <w:rPr>
          <w:rFonts w:ascii="Arial" w:hAnsi="Arial"/>
        </w:rPr>
      </w:pPr>
      <w:r>
        <w:t>Garantizar el restablecimiento de derechos de niños, niñas y adolescentes que hacen parte de los grupos armados ilegales y adoptar medidas efectivas que contribuyan a su desvinculación.</w:t>
      </w:r>
    </w:p>
    <w:p w:rsidR="0011361F" w:rsidRDefault="00AF18A5" w:rsidP="003C626D">
      <w:pPr>
        <w:rPr>
          <w:spacing w:val="-2"/>
        </w:rPr>
      </w:pPr>
      <w:r>
        <w:t>Corto</w:t>
      </w:r>
      <w:r>
        <w:rPr>
          <w:spacing w:val="-1"/>
        </w:rPr>
        <w:t xml:space="preserve"> </w:t>
      </w:r>
      <w:r>
        <w:rPr>
          <w:spacing w:val="-2"/>
        </w:rPr>
        <w:t>plazo</w:t>
      </w:r>
    </w:p>
    <w:p w:rsidR="003C626D" w:rsidRDefault="003C626D" w:rsidP="003C626D">
      <w:pPr>
        <w:pStyle w:val="Ttulo4"/>
      </w:pPr>
      <w:r>
        <w:t xml:space="preserve">6.3. </w:t>
      </w:r>
    </w:p>
    <w:p w:rsidR="003804AC" w:rsidRDefault="00AF18A5" w:rsidP="003C626D">
      <w:r>
        <w:t xml:space="preserve">A las organizaciones de la sociedad civil y a los movimientos sociales por la paz, a los empresarios y a los partidos políticos, a </w:t>
      </w:r>
      <w:r>
        <w:rPr>
          <w:b/>
        </w:rPr>
        <w:t xml:space="preserve">rechazar la lucha </w:t>
      </w:r>
      <w:r>
        <w:rPr>
          <w:b/>
        </w:rPr>
        <w:lastRenderedPageBreak/>
        <w:t xml:space="preserve">armada y exigir a los diferentes actores poner fin a la confrontación. </w:t>
      </w:r>
      <w:r>
        <w:t>También a perseverar en la promoción e impulso</w:t>
      </w:r>
      <w:r>
        <w:rPr>
          <w:spacing w:val="-15"/>
        </w:rPr>
        <w:t xml:space="preserve"> </w:t>
      </w:r>
      <w:r>
        <w:t>de</w:t>
      </w:r>
      <w:r>
        <w:rPr>
          <w:spacing w:val="-15"/>
        </w:rPr>
        <w:t xml:space="preserve"> </w:t>
      </w:r>
      <w:r>
        <w:t>iniciativas</w:t>
      </w:r>
      <w:r>
        <w:rPr>
          <w:spacing w:val="-15"/>
        </w:rPr>
        <w:t xml:space="preserve"> </w:t>
      </w:r>
      <w:r>
        <w:t>encaminadas</w:t>
      </w:r>
      <w:r>
        <w:rPr>
          <w:spacing w:val="-15"/>
        </w:rPr>
        <w:t xml:space="preserve"> </w:t>
      </w:r>
      <w:r>
        <w:t>al</w:t>
      </w:r>
      <w:r>
        <w:rPr>
          <w:spacing w:val="-15"/>
        </w:rPr>
        <w:t xml:space="preserve"> </w:t>
      </w:r>
      <w:proofErr w:type="spellStart"/>
      <w:r>
        <w:t>desescalamiento</w:t>
      </w:r>
      <w:proofErr w:type="spellEnd"/>
      <w:r>
        <w:rPr>
          <w:spacing w:val="-15"/>
        </w:rPr>
        <w:t xml:space="preserve"> </w:t>
      </w:r>
      <w:r>
        <w:t>del</w:t>
      </w:r>
      <w:r>
        <w:rPr>
          <w:spacing w:val="-15"/>
        </w:rPr>
        <w:t xml:space="preserve"> </w:t>
      </w:r>
      <w:r>
        <w:t>conflicto</w:t>
      </w:r>
      <w:r>
        <w:rPr>
          <w:spacing w:val="-15"/>
        </w:rPr>
        <w:t xml:space="preserve"> </w:t>
      </w:r>
      <w:r>
        <w:t>armado</w:t>
      </w:r>
      <w:r>
        <w:rPr>
          <w:spacing w:val="-15"/>
        </w:rPr>
        <w:t xml:space="preserve"> </w:t>
      </w:r>
      <w:r>
        <w:t>y</w:t>
      </w:r>
      <w:r>
        <w:rPr>
          <w:spacing w:val="-15"/>
        </w:rPr>
        <w:t xml:space="preserve"> </w:t>
      </w:r>
      <w:r>
        <w:t>a</w:t>
      </w:r>
      <w:r>
        <w:rPr>
          <w:spacing w:val="-15"/>
        </w:rPr>
        <w:t xml:space="preserve"> </w:t>
      </w:r>
      <w:r>
        <w:t>la</w:t>
      </w:r>
      <w:r>
        <w:rPr>
          <w:spacing w:val="-15"/>
        </w:rPr>
        <w:t xml:space="preserve"> </w:t>
      </w:r>
      <w:r>
        <w:t>mitigación de</w:t>
      </w:r>
      <w:r>
        <w:rPr>
          <w:spacing w:val="-1"/>
        </w:rPr>
        <w:t xml:space="preserve"> </w:t>
      </w:r>
      <w:r>
        <w:t>los</w:t>
      </w:r>
      <w:r>
        <w:rPr>
          <w:spacing w:val="-1"/>
        </w:rPr>
        <w:t xml:space="preserve"> </w:t>
      </w:r>
      <w:r>
        <w:t>impactos</w:t>
      </w:r>
      <w:r>
        <w:rPr>
          <w:spacing w:val="-1"/>
        </w:rPr>
        <w:t xml:space="preserve"> </w:t>
      </w:r>
      <w:r>
        <w:t>de</w:t>
      </w:r>
      <w:r>
        <w:rPr>
          <w:spacing w:val="-1"/>
        </w:rPr>
        <w:t xml:space="preserve"> </w:t>
      </w:r>
      <w:r>
        <w:t>la</w:t>
      </w:r>
      <w:r>
        <w:rPr>
          <w:spacing w:val="-1"/>
        </w:rPr>
        <w:t xml:space="preserve"> </w:t>
      </w:r>
      <w:r>
        <w:t>violencia</w:t>
      </w:r>
      <w:r>
        <w:rPr>
          <w:spacing w:val="-1"/>
        </w:rPr>
        <w:t xml:space="preserve"> </w:t>
      </w:r>
      <w:r>
        <w:t>en</w:t>
      </w:r>
      <w:r>
        <w:rPr>
          <w:spacing w:val="-1"/>
        </w:rPr>
        <w:t xml:space="preserve"> </w:t>
      </w:r>
      <w:r>
        <w:t>la</w:t>
      </w:r>
      <w:r>
        <w:rPr>
          <w:spacing w:val="-2"/>
        </w:rPr>
        <w:t xml:space="preserve"> </w:t>
      </w:r>
      <w:r>
        <w:t>población</w:t>
      </w:r>
      <w:r>
        <w:rPr>
          <w:spacing w:val="-2"/>
        </w:rPr>
        <w:t xml:space="preserve"> </w:t>
      </w:r>
      <w:r>
        <w:t>civil</w:t>
      </w:r>
      <w:r>
        <w:rPr>
          <w:spacing w:val="-1"/>
        </w:rPr>
        <w:t xml:space="preserve"> </w:t>
      </w:r>
      <w:r>
        <w:t>y</w:t>
      </w:r>
      <w:r>
        <w:rPr>
          <w:spacing w:val="-1"/>
        </w:rPr>
        <w:t xml:space="preserve"> </w:t>
      </w:r>
      <w:r>
        <w:t>en</w:t>
      </w:r>
      <w:r>
        <w:rPr>
          <w:spacing w:val="-2"/>
        </w:rPr>
        <w:t xml:space="preserve"> </w:t>
      </w:r>
      <w:r>
        <w:t>las</w:t>
      </w:r>
      <w:r>
        <w:rPr>
          <w:spacing w:val="-1"/>
        </w:rPr>
        <w:t xml:space="preserve"> </w:t>
      </w:r>
      <w:r>
        <w:t>comunidades</w:t>
      </w:r>
      <w:r>
        <w:rPr>
          <w:spacing w:val="-2"/>
        </w:rPr>
        <w:t xml:space="preserve"> </w:t>
      </w:r>
      <w:r>
        <w:t>a</w:t>
      </w:r>
      <w:r>
        <w:rPr>
          <w:spacing w:val="-1"/>
        </w:rPr>
        <w:t xml:space="preserve"> </w:t>
      </w:r>
      <w:r>
        <w:t>nivel</w:t>
      </w:r>
      <w:r>
        <w:rPr>
          <w:spacing w:val="-2"/>
        </w:rPr>
        <w:t xml:space="preserve"> </w:t>
      </w:r>
      <w:r>
        <w:t>regional</w:t>
      </w:r>
      <w:r>
        <w:rPr>
          <w:spacing w:val="-1"/>
        </w:rPr>
        <w:t xml:space="preserve"> </w:t>
      </w:r>
      <w:r>
        <w:t xml:space="preserve">y </w:t>
      </w:r>
      <w:r>
        <w:rPr>
          <w:spacing w:val="-2"/>
        </w:rPr>
        <w:t>local.</w:t>
      </w:r>
    </w:p>
    <w:p w:rsidR="0011361F" w:rsidRDefault="00AF18A5" w:rsidP="003C626D">
      <w:pPr>
        <w:rPr>
          <w:spacing w:val="-2"/>
        </w:rPr>
      </w:pPr>
      <w:r w:rsidRPr="003C626D">
        <w:t>Corto</w:t>
      </w:r>
      <w:r>
        <w:rPr>
          <w:spacing w:val="-1"/>
        </w:rPr>
        <w:t xml:space="preserve"> </w:t>
      </w:r>
      <w:r>
        <w:rPr>
          <w:spacing w:val="-2"/>
        </w:rPr>
        <w:t>plazo</w:t>
      </w:r>
    </w:p>
    <w:p w:rsidR="003C626D" w:rsidRDefault="003C626D" w:rsidP="003C626D">
      <w:pPr>
        <w:pStyle w:val="Ttulo4"/>
      </w:pPr>
      <w:r>
        <w:t xml:space="preserve">6.4. </w:t>
      </w:r>
    </w:p>
    <w:p w:rsidR="003804AC" w:rsidRDefault="00AF18A5" w:rsidP="003C626D">
      <w:r>
        <w:t xml:space="preserve">A la comunidad internacional y a las iglesias, a </w:t>
      </w:r>
      <w:r>
        <w:rPr>
          <w:b/>
        </w:rPr>
        <w:t xml:space="preserve">continuar sus esfuerzos por promover y apoyar acuerdos humanitarios y el diálogo </w:t>
      </w:r>
      <w:r>
        <w:t xml:space="preserve">como salida a la confrontación </w:t>
      </w:r>
      <w:r>
        <w:rPr>
          <w:spacing w:val="-2"/>
        </w:rPr>
        <w:t>armada.</w:t>
      </w:r>
    </w:p>
    <w:p w:rsidR="003804AC" w:rsidRPr="00A71E99" w:rsidRDefault="00AF18A5" w:rsidP="004A6EF4">
      <w:pPr>
        <w:pStyle w:val="Ttulo3"/>
        <w:numPr>
          <w:ilvl w:val="1"/>
          <w:numId w:val="28"/>
        </w:numPr>
      </w:pPr>
      <w:bookmarkStart w:id="1525" w:name="1.6._Garantías_para_la_reintegración_efe"/>
      <w:bookmarkStart w:id="1526" w:name="_Toc112399685"/>
      <w:bookmarkEnd w:id="1525"/>
      <w:r w:rsidRPr="00A71E99">
        <w:t>Garantías</w:t>
      </w:r>
      <w:r>
        <w:t xml:space="preserve"> para la reintegración efectiva de los excombatientes y para el restablecimiento de derechos de los niños, niñas y adolescentes desvinculados</w:t>
      </w:r>
      <w:r w:rsidR="00A71E99">
        <w:t xml:space="preserve">. </w:t>
      </w:r>
      <w:r w:rsidRPr="00A71E99">
        <w:t>Corto</w:t>
      </w:r>
      <w:r w:rsidRPr="00A71E99">
        <w:rPr>
          <w:spacing w:val="-1"/>
        </w:rPr>
        <w:t xml:space="preserve"> </w:t>
      </w:r>
      <w:r w:rsidRPr="00A71E99">
        <w:rPr>
          <w:spacing w:val="-2"/>
        </w:rPr>
        <w:t>plazo</w:t>
      </w:r>
      <w:bookmarkEnd w:id="1526"/>
    </w:p>
    <w:p w:rsidR="003804AC" w:rsidRPr="006D510C" w:rsidRDefault="00AF18A5" w:rsidP="004A6EF4">
      <w:pPr>
        <w:pStyle w:val="Prrafodelista"/>
        <w:numPr>
          <w:ilvl w:val="0"/>
          <w:numId w:val="31"/>
        </w:numPr>
        <w:rPr>
          <w:b/>
        </w:rPr>
      </w:pPr>
      <w:r>
        <w:t xml:space="preserve">Al Gobierno Nacional, revisar y realizar los ajustes necesarios a </w:t>
      </w:r>
      <w:r w:rsidRPr="006D510C">
        <w:rPr>
          <w:b/>
        </w:rPr>
        <w:t xml:space="preserve">la política de restablecimiento de derechos y de reintegración, </w:t>
      </w:r>
      <w:r>
        <w:t>teniendo en cuenta las lecciones aprendidas de otros procesos. Para esto, es fundamental:</w:t>
      </w:r>
    </w:p>
    <w:p w:rsidR="003804AC" w:rsidRDefault="00AF18A5" w:rsidP="004A6EF4">
      <w:pPr>
        <w:pStyle w:val="Prrafodelista"/>
        <w:numPr>
          <w:ilvl w:val="0"/>
          <w:numId w:val="35"/>
        </w:numPr>
      </w:pPr>
      <w:r>
        <w:t>Revisar</w:t>
      </w:r>
      <w:r w:rsidRPr="006D510C">
        <w:rPr>
          <w:spacing w:val="-1"/>
        </w:rPr>
        <w:t xml:space="preserve"> </w:t>
      </w:r>
      <w:r>
        <w:t>y</w:t>
      </w:r>
      <w:r w:rsidRPr="006D510C">
        <w:rPr>
          <w:spacing w:val="-2"/>
        </w:rPr>
        <w:t xml:space="preserve"> </w:t>
      </w:r>
      <w:r>
        <w:t>ajustar</w:t>
      </w:r>
      <w:r w:rsidRPr="006D510C">
        <w:rPr>
          <w:spacing w:val="-2"/>
        </w:rPr>
        <w:t xml:space="preserve"> </w:t>
      </w:r>
      <w:r>
        <w:t>la</w:t>
      </w:r>
      <w:r w:rsidRPr="006D510C">
        <w:rPr>
          <w:spacing w:val="-2"/>
        </w:rPr>
        <w:t xml:space="preserve"> </w:t>
      </w:r>
      <w:r>
        <w:t>ruta</w:t>
      </w:r>
      <w:r w:rsidRPr="006D510C">
        <w:rPr>
          <w:spacing w:val="-2"/>
        </w:rPr>
        <w:t xml:space="preserve"> </w:t>
      </w:r>
      <w:r>
        <w:t>para</w:t>
      </w:r>
      <w:r w:rsidRPr="006D510C">
        <w:rPr>
          <w:spacing w:val="-1"/>
        </w:rPr>
        <w:t xml:space="preserve"> </w:t>
      </w:r>
      <w:r>
        <w:t>el</w:t>
      </w:r>
      <w:r w:rsidRPr="006D510C">
        <w:rPr>
          <w:spacing w:val="-2"/>
        </w:rPr>
        <w:t xml:space="preserve"> </w:t>
      </w:r>
      <w:r>
        <w:t>restablecimiento</w:t>
      </w:r>
      <w:r w:rsidRPr="006D510C">
        <w:rPr>
          <w:spacing w:val="-1"/>
        </w:rPr>
        <w:t xml:space="preserve"> </w:t>
      </w:r>
      <w:r>
        <w:t>pleno</w:t>
      </w:r>
      <w:r w:rsidRPr="006D510C">
        <w:rPr>
          <w:spacing w:val="-1"/>
        </w:rPr>
        <w:t xml:space="preserve"> </w:t>
      </w:r>
      <w:r>
        <w:t>de</w:t>
      </w:r>
      <w:r w:rsidRPr="006D510C">
        <w:rPr>
          <w:spacing w:val="-2"/>
        </w:rPr>
        <w:t xml:space="preserve"> </w:t>
      </w:r>
      <w:r>
        <w:t>derechos</w:t>
      </w:r>
      <w:r w:rsidRPr="006D510C">
        <w:rPr>
          <w:spacing w:val="-1"/>
        </w:rPr>
        <w:t xml:space="preserve"> </w:t>
      </w:r>
      <w:r>
        <w:t>de</w:t>
      </w:r>
      <w:r w:rsidRPr="006D510C">
        <w:rPr>
          <w:spacing w:val="-2"/>
        </w:rPr>
        <w:t xml:space="preserve"> </w:t>
      </w:r>
      <w:r>
        <w:t>los niños, niñas y adolescentes desvinculados de los grupos armados ilegales, así como las condiciones necesarias para su efectiva reintegración a la vida civil, de manera tal que se atienda y responda a las particularidades de esta población.</w:t>
      </w:r>
    </w:p>
    <w:p w:rsidR="003804AC" w:rsidRDefault="00AF18A5" w:rsidP="004A6EF4">
      <w:pPr>
        <w:pStyle w:val="Prrafodelista"/>
        <w:numPr>
          <w:ilvl w:val="0"/>
          <w:numId w:val="35"/>
        </w:numPr>
      </w:pPr>
      <w:r w:rsidRPr="006D510C">
        <w:rPr>
          <w:b/>
        </w:rPr>
        <w:t>Garantizar que la reintegración responda de manera flexible a la naturaleza y características del grupo armado desmovilizado</w:t>
      </w:r>
      <w:r>
        <w:t xml:space="preserve">, que contemple medidas con enfoque territorial y </w:t>
      </w:r>
      <w:r>
        <w:lastRenderedPageBreak/>
        <w:t>diferencial incluyendo los enfoques etario, étnico, de género y de derechos de las mujeres, y que responda al perfil de los mandos medios, su rol e incidencia, según la organización.</w:t>
      </w:r>
    </w:p>
    <w:p w:rsidR="003804AC" w:rsidRDefault="00AF18A5" w:rsidP="004A6EF4">
      <w:pPr>
        <w:pStyle w:val="Prrafodelista"/>
        <w:numPr>
          <w:ilvl w:val="0"/>
          <w:numId w:val="35"/>
        </w:numPr>
      </w:pPr>
      <w:r w:rsidRPr="006D510C">
        <w:rPr>
          <w:b/>
        </w:rPr>
        <w:t>Garantizar</w:t>
      </w:r>
      <w:r w:rsidRPr="006D510C">
        <w:rPr>
          <w:b/>
          <w:spacing w:val="-3"/>
        </w:rPr>
        <w:t xml:space="preserve"> </w:t>
      </w:r>
      <w:r w:rsidRPr="006D510C">
        <w:rPr>
          <w:b/>
        </w:rPr>
        <w:t>la</w:t>
      </w:r>
      <w:r w:rsidRPr="006D510C">
        <w:rPr>
          <w:b/>
          <w:spacing w:val="-2"/>
        </w:rPr>
        <w:t xml:space="preserve"> </w:t>
      </w:r>
      <w:r>
        <w:t>seguridad</w:t>
      </w:r>
      <w:r w:rsidRPr="006D510C">
        <w:rPr>
          <w:spacing w:val="-4"/>
        </w:rPr>
        <w:t xml:space="preserve"> </w:t>
      </w:r>
      <w:r>
        <w:t>de</w:t>
      </w:r>
      <w:r w:rsidRPr="006D510C">
        <w:rPr>
          <w:spacing w:val="-2"/>
        </w:rPr>
        <w:t xml:space="preserve"> </w:t>
      </w:r>
      <w:r>
        <w:t>todas</w:t>
      </w:r>
      <w:r w:rsidRPr="006D510C">
        <w:rPr>
          <w:spacing w:val="-3"/>
        </w:rPr>
        <w:t xml:space="preserve"> </w:t>
      </w:r>
      <w:r>
        <w:t>las</w:t>
      </w:r>
      <w:r w:rsidRPr="006D510C">
        <w:rPr>
          <w:spacing w:val="-2"/>
        </w:rPr>
        <w:t xml:space="preserve"> </w:t>
      </w:r>
      <w:r>
        <w:t>personas</w:t>
      </w:r>
      <w:r w:rsidRPr="006D510C">
        <w:rPr>
          <w:spacing w:val="-3"/>
        </w:rPr>
        <w:t xml:space="preserve"> </w:t>
      </w:r>
      <w:r>
        <w:t>que</w:t>
      </w:r>
      <w:r w:rsidRPr="006D510C">
        <w:rPr>
          <w:spacing w:val="-2"/>
        </w:rPr>
        <w:t xml:space="preserve"> </w:t>
      </w:r>
      <w:r>
        <w:t>se</w:t>
      </w:r>
      <w:r w:rsidRPr="006D510C">
        <w:rPr>
          <w:spacing w:val="-2"/>
        </w:rPr>
        <w:t xml:space="preserve"> </w:t>
      </w:r>
      <w:r>
        <w:t>acogen</w:t>
      </w:r>
      <w:r w:rsidRPr="006D510C">
        <w:rPr>
          <w:spacing w:val="-2"/>
        </w:rPr>
        <w:t xml:space="preserve"> </w:t>
      </w:r>
      <w:r>
        <w:t>a</w:t>
      </w:r>
      <w:r w:rsidRPr="006D510C">
        <w:rPr>
          <w:spacing w:val="-2"/>
        </w:rPr>
        <w:t xml:space="preserve"> </w:t>
      </w:r>
      <w:r>
        <w:t>procesos</w:t>
      </w:r>
      <w:r w:rsidRPr="006D510C">
        <w:rPr>
          <w:spacing w:val="-2"/>
        </w:rPr>
        <w:t xml:space="preserve"> </w:t>
      </w:r>
      <w:r>
        <w:t xml:space="preserve">de </w:t>
      </w:r>
      <w:r w:rsidRPr="006D510C">
        <w:rPr>
          <w:spacing w:val="-2"/>
        </w:rPr>
        <w:t>reintegración.</w:t>
      </w:r>
    </w:p>
    <w:p w:rsidR="003804AC" w:rsidRDefault="00AF18A5" w:rsidP="004A6EF4">
      <w:pPr>
        <w:pStyle w:val="Prrafodelista"/>
        <w:numPr>
          <w:ilvl w:val="0"/>
          <w:numId w:val="35"/>
        </w:numPr>
      </w:pPr>
      <w:r>
        <w:t>Poner</w:t>
      </w:r>
      <w:r w:rsidRPr="006D510C">
        <w:rPr>
          <w:spacing w:val="-15"/>
        </w:rPr>
        <w:t xml:space="preserve"> </w:t>
      </w:r>
      <w:r>
        <w:t>en</w:t>
      </w:r>
      <w:r w:rsidRPr="006D510C">
        <w:rPr>
          <w:spacing w:val="-15"/>
        </w:rPr>
        <w:t xml:space="preserve"> </w:t>
      </w:r>
      <w:r>
        <w:t>marcha</w:t>
      </w:r>
      <w:r w:rsidRPr="006D510C">
        <w:rPr>
          <w:spacing w:val="-15"/>
        </w:rPr>
        <w:t xml:space="preserve"> </w:t>
      </w:r>
      <w:r w:rsidRPr="006D510C">
        <w:rPr>
          <w:b/>
        </w:rPr>
        <w:t>estrategias</w:t>
      </w:r>
      <w:r w:rsidRPr="006D510C">
        <w:rPr>
          <w:b/>
          <w:spacing w:val="-15"/>
        </w:rPr>
        <w:t xml:space="preserve"> </w:t>
      </w:r>
      <w:r w:rsidRPr="006D510C">
        <w:rPr>
          <w:b/>
        </w:rPr>
        <w:t>de</w:t>
      </w:r>
      <w:r w:rsidRPr="006D510C">
        <w:rPr>
          <w:b/>
          <w:spacing w:val="-14"/>
        </w:rPr>
        <w:t xml:space="preserve"> </w:t>
      </w:r>
      <w:r w:rsidRPr="006D510C">
        <w:rPr>
          <w:b/>
        </w:rPr>
        <w:t>contención</w:t>
      </w:r>
      <w:r w:rsidRPr="006D510C">
        <w:rPr>
          <w:b/>
          <w:spacing w:val="-15"/>
        </w:rPr>
        <w:t xml:space="preserve"> </w:t>
      </w:r>
      <w:r w:rsidRPr="006D510C">
        <w:rPr>
          <w:b/>
        </w:rPr>
        <w:t>temprana</w:t>
      </w:r>
      <w:r w:rsidRPr="006D510C">
        <w:rPr>
          <w:b/>
          <w:spacing w:val="-15"/>
        </w:rPr>
        <w:t xml:space="preserve"> </w:t>
      </w:r>
      <w:r w:rsidRPr="006D510C">
        <w:rPr>
          <w:b/>
        </w:rPr>
        <w:t>para</w:t>
      </w:r>
      <w:r w:rsidRPr="006D510C">
        <w:rPr>
          <w:b/>
          <w:spacing w:val="-15"/>
        </w:rPr>
        <w:t xml:space="preserve"> </w:t>
      </w:r>
      <w:r w:rsidRPr="006D510C">
        <w:rPr>
          <w:b/>
        </w:rPr>
        <w:t>evitar</w:t>
      </w:r>
      <w:r w:rsidRPr="006D510C">
        <w:rPr>
          <w:b/>
          <w:spacing w:val="-15"/>
        </w:rPr>
        <w:t xml:space="preserve"> </w:t>
      </w:r>
      <w:r w:rsidRPr="006D510C">
        <w:rPr>
          <w:b/>
        </w:rPr>
        <w:t>el</w:t>
      </w:r>
      <w:r w:rsidRPr="006D510C">
        <w:rPr>
          <w:b/>
          <w:spacing w:val="-15"/>
        </w:rPr>
        <w:t xml:space="preserve"> </w:t>
      </w:r>
      <w:r w:rsidRPr="006D510C">
        <w:rPr>
          <w:b/>
        </w:rPr>
        <w:t xml:space="preserve">rearme de mandos medios </w:t>
      </w:r>
      <w:r>
        <w:t>(con roles militares o políticos) susceptibles de perder ascendencia durante el proceso de reintegración.</w:t>
      </w:r>
    </w:p>
    <w:p w:rsidR="003804AC" w:rsidRDefault="00AF18A5" w:rsidP="004A6EF4">
      <w:pPr>
        <w:pStyle w:val="Prrafodelista"/>
        <w:numPr>
          <w:ilvl w:val="0"/>
          <w:numId w:val="35"/>
        </w:numPr>
      </w:pPr>
      <w:r>
        <w:t>Establecer mecanismos para que las comunidades y pueblos étnicos, a través de sus autoridades representativas, participen en la definición de los procesos de reintegración no sólo de sus miembros o integrantes, sino de aquellos excombatientes que buscan adelantar su proceso en estos territorios.</w:t>
      </w:r>
    </w:p>
    <w:p w:rsidR="006D510C" w:rsidRDefault="00AF18A5" w:rsidP="004A6EF4">
      <w:pPr>
        <w:pStyle w:val="Prrafodelista"/>
        <w:numPr>
          <w:ilvl w:val="0"/>
          <w:numId w:val="35"/>
        </w:numPr>
      </w:pPr>
      <w:r>
        <w:t>Hacer</w:t>
      </w:r>
      <w:r w:rsidRPr="006D510C">
        <w:rPr>
          <w:spacing w:val="-8"/>
        </w:rPr>
        <w:t xml:space="preserve"> </w:t>
      </w:r>
      <w:r>
        <w:t>una</w:t>
      </w:r>
      <w:r w:rsidRPr="006D510C">
        <w:rPr>
          <w:spacing w:val="-8"/>
        </w:rPr>
        <w:t xml:space="preserve"> </w:t>
      </w:r>
      <w:r w:rsidRPr="006D510C">
        <w:rPr>
          <w:b/>
        </w:rPr>
        <w:t>evaluación</w:t>
      </w:r>
      <w:r w:rsidRPr="006D510C">
        <w:rPr>
          <w:b/>
          <w:spacing w:val="-9"/>
        </w:rPr>
        <w:t xml:space="preserve"> </w:t>
      </w:r>
      <w:r w:rsidRPr="006D510C">
        <w:rPr>
          <w:b/>
        </w:rPr>
        <w:t>de</w:t>
      </w:r>
      <w:r w:rsidRPr="006D510C">
        <w:rPr>
          <w:b/>
          <w:spacing w:val="-8"/>
        </w:rPr>
        <w:t xml:space="preserve"> </w:t>
      </w:r>
      <w:r w:rsidRPr="006D510C">
        <w:rPr>
          <w:b/>
        </w:rPr>
        <w:t>la</w:t>
      </w:r>
      <w:r w:rsidRPr="006D510C">
        <w:rPr>
          <w:b/>
          <w:spacing w:val="-8"/>
        </w:rPr>
        <w:t xml:space="preserve"> </w:t>
      </w:r>
      <w:r w:rsidRPr="006D510C">
        <w:rPr>
          <w:b/>
        </w:rPr>
        <w:t>situación</w:t>
      </w:r>
      <w:r w:rsidRPr="006D510C">
        <w:rPr>
          <w:b/>
          <w:spacing w:val="-9"/>
        </w:rPr>
        <w:t xml:space="preserve"> </w:t>
      </w:r>
      <w:r w:rsidRPr="006D510C">
        <w:rPr>
          <w:b/>
        </w:rPr>
        <w:t>jurídica</w:t>
      </w:r>
      <w:r w:rsidRPr="006D510C">
        <w:rPr>
          <w:b/>
          <w:spacing w:val="-8"/>
        </w:rPr>
        <w:t xml:space="preserve"> </w:t>
      </w:r>
      <w:r w:rsidRPr="006D510C">
        <w:rPr>
          <w:b/>
        </w:rPr>
        <w:t>de</w:t>
      </w:r>
      <w:r w:rsidRPr="006D510C">
        <w:rPr>
          <w:b/>
          <w:spacing w:val="-8"/>
        </w:rPr>
        <w:t xml:space="preserve"> </w:t>
      </w:r>
      <w:r w:rsidRPr="006D510C">
        <w:rPr>
          <w:b/>
        </w:rPr>
        <w:t>los</w:t>
      </w:r>
      <w:r w:rsidRPr="006D510C">
        <w:rPr>
          <w:b/>
          <w:spacing w:val="-8"/>
        </w:rPr>
        <w:t xml:space="preserve"> </w:t>
      </w:r>
      <w:r w:rsidRPr="006D510C">
        <w:rPr>
          <w:b/>
        </w:rPr>
        <w:t>postulados</w:t>
      </w:r>
      <w:r w:rsidRPr="006D510C">
        <w:rPr>
          <w:b/>
          <w:spacing w:val="-8"/>
        </w:rPr>
        <w:t xml:space="preserve"> </w:t>
      </w:r>
      <w:r w:rsidRPr="006D510C">
        <w:rPr>
          <w:b/>
        </w:rPr>
        <w:t>de</w:t>
      </w:r>
      <w:r w:rsidRPr="006D510C">
        <w:rPr>
          <w:b/>
          <w:spacing w:val="-8"/>
        </w:rPr>
        <w:t xml:space="preserve"> </w:t>
      </w:r>
      <w:r w:rsidRPr="006D510C">
        <w:rPr>
          <w:b/>
        </w:rPr>
        <w:t>Justicia y</w:t>
      </w:r>
      <w:r w:rsidRPr="006D510C">
        <w:rPr>
          <w:b/>
          <w:spacing w:val="-14"/>
        </w:rPr>
        <w:t xml:space="preserve"> </w:t>
      </w:r>
      <w:r w:rsidRPr="006D510C">
        <w:rPr>
          <w:b/>
        </w:rPr>
        <w:t>Paz</w:t>
      </w:r>
      <w:r w:rsidRPr="006D510C">
        <w:rPr>
          <w:b/>
          <w:spacing w:val="-14"/>
        </w:rPr>
        <w:t xml:space="preserve"> </w:t>
      </w:r>
      <w:r>
        <w:t>que</w:t>
      </w:r>
      <w:r w:rsidRPr="006D510C">
        <w:rPr>
          <w:spacing w:val="-14"/>
        </w:rPr>
        <w:t xml:space="preserve"> </w:t>
      </w:r>
      <w:r>
        <w:t>están</w:t>
      </w:r>
      <w:r w:rsidRPr="006D510C">
        <w:rPr>
          <w:spacing w:val="-14"/>
        </w:rPr>
        <w:t xml:space="preserve"> </w:t>
      </w:r>
      <w:r>
        <w:t>en</w:t>
      </w:r>
      <w:r w:rsidRPr="006D510C">
        <w:rPr>
          <w:spacing w:val="-14"/>
        </w:rPr>
        <w:t xml:space="preserve"> </w:t>
      </w:r>
      <w:r>
        <w:t>espera</w:t>
      </w:r>
      <w:r w:rsidRPr="006D510C">
        <w:rPr>
          <w:spacing w:val="-14"/>
        </w:rPr>
        <w:t xml:space="preserve"> </w:t>
      </w:r>
      <w:r>
        <w:t>de</w:t>
      </w:r>
      <w:r w:rsidRPr="006D510C">
        <w:rPr>
          <w:spacing w:val="-14"/>
        </w:rPr>
        <w:t xml:space="preserve"> </w:t>
      </w:r>
      <w:r>
        <w:t>una</w:t>
      </w:r>
      <w:r w:rsidRPr="006D510C">
        <w:rPr>
          <w:spacing w:val="-14"/>
        </w:rPr>
        <w:t xml:space="preserve"> </w:t>
      </w:r>
      <w:r>
        <w:t>sentencia</w:t>
      </w:r>
      <w:r w:rsidRPr="006D510C">
        <w:rPr>
          <w:spacing w:val="-14"/>
        </w:rPr>
        <w:t xml:space="preserve"> </w:t>
      </w:r>
      <w:r>
        <w:t>condenatoria</w:t>
      </w:r>
      <w:r w:rsidRPr="006D510C">
        <w:rPr>
          <w:spacing w:val="-14"/>
        </w:rPr>
        <w:t xml:space="preserve"> </w:t>
      </w:r>
      <w:r>
        <w:t>con</w:t>
      </w:r>
      <w:r w:rsidRPr="006D510C">
        <w:rPr>
          <w:spacing w:val="-14"/>
        </w:rPr>
        <w:t xml:space="preserve"> </w:t>
      </w:r>
      <w:r>
        <w:t>el</w:t>
      </w:r>
      <w:r w:rsidRPr="006D510C">
        <w:rPr>
          <w:spacing w:val="-14"/>
        </w:rPr>
        <w:t xml:space="preserve"> </w:t>
      </w:r>
      <w:r>
        <w:t>fin</w:t>
      </w:r>
      <w:r w:rsidRPr="006D510C">
        <w:rPr>
          <w:spacing w:val="-14"/>
        </w:rPr>
        <w:t xml:space="preserve"> </w:t>
      </w:r>
      <w:r>
        <w:t>de</w:t>
      </w:r>
      <w:r w:rsidRPr="006D510C">
        <w:rPr>
          <w:spacing w:val="-14"/>
        </w:rPr>
        <w:t xml:space="preserve"> </w:t>
      </w:r>
      <w:r>
        <w:t>hacer</w:t>
      </w:r>
      <w:r w:rsidRPr="006D510C">
        <w:rPr>
          <w:spacing w:val="-15"/>
        </w:rPr>
        <w:t xml:space="preserve"> </w:t>
      </w:r>
      <w:r>
        <w:t>los</w:t>
      </w:r>
      <w:r w:rsidRPr="006D510C">
        <w:rPr>
          <w:spacing w:val="-14"/>
        </w:rPr>
        <w:t xml:space="preserve"> </w:t>
      </w:r>
      <w:r>
        <w:t>ajustes normativos y de política necesarios</w:t>
      </w:r>
      <w:r w:rsidRPr="006D510C">
        <w:rPr>
          <w:spacing w:val="-1"/>
        </w:rPr>
        <w:t xml:space="preserve"> </w:t>
      </w:r>
      <w:r>
        <w:t>para agilizar su contribución a la satisfacción de los derechos de las víctimas, la resolución de su situación jurídica y su participación en programas para la reintegración social y económica.</w:t>
      </w:r>
    </w:p>
    <w:p w:rsidR="006D510C" w:rsidRDefault="006D510C">
      <w:pPr>
        <w:spacing w:before="0" w:after="0" w:line="240" w:lineRule="auto"/>
      </w:pPr>
      <w:r>
        <w:br w:type="page"/>
      </w:r>
    </w:p>
    <w:p w:rsidR="003804AC" w:rsidRDefault="00AF18A5" w:rsidP="004A6EF4">
      <w:pPr>
        <w:pStyle w:val="Ttulo2"/>
        <w:numPr>
          <w:ilvl w:val="0"/>
          <w:numId w:val="28"/>
        </w:numPr>
      </w:pPr>
      <w:bookmarkStart w:id="1527" w:name="2._PARA_GARANTIZAR_LA_REPARACIÓN_INTEGRA"/>
      <w:bookmarkStart w:id="1528" w:name="_Toc112399686"/>
      <w:bookmarkEnd w:id="1527"/>
      <w:r>
        <w:lastRenderedPageBreak/>
        <w:t xml:space="preserve">PARA </w:t>
      </w:r>
      <w:r w:rsidRPr="004B5CC2">
        <w:t>GARANTIZAR</w:t>
      </w:r>
      <w:r>
        <w:t xml:space="preserve"> LA REPARACIÓN INTEGRAL, LA CONSTRUCCIÓN DE MEMORIA, LA REHABILITACIÓN Y EL RECONOCIMIENTO DE LA DIGNIDAD DE LAS VÍCTIMAS Y DE </w:t>
      </w:r>
      <w:r w:rsidRPr="004B5CC2">
        <w:rPr>
          <w:spacing w:val="-2"/>
        </w:rPr>
        <w:t>RESPONSABILIDADES</w:t>
      </w:r>
      <w:bookmarkEnd w:id="1528"/>
    </w:p>
    <w:p w:rsidR="003804AC" w:rsidRDefault="00AF18A5" w:rsidP="004B5CC2">
      <w:r>
        <w:t>Para</w:t>
      </w:r>
      <w:r>
        <w:rPr>
          <w:spacing w:val="-3"/>
        </w:rPr>
        <w:t xml:space="preserve"> </w:t>
      </w:r>
      <w:r>
        <w:t>que</w:t>
      </w:r>
      <w:r>
        <w:rPr>
          <w:spacing w:val="-3"/>
        </w:rPr>
        <w:t xml:space="preserve"> </w:t>
      </w:r>
      <w:r>
        <w:t>esto</w:t>
      </w:r>
      <w:r>
        <w:rPr>
          <w:spacing w:val="-3"/>
        </w:rPr>
        <w:t xml:space="preserve"> </w:t>
      </w:r>
      <w:r>
        <w:t>no</w:t>
      </w:r>
      <w:r>
        <w:rPr>
          <w:spacing w:val="-3"/>
        </w:rPr>
        <w:t xml:space="preserve"> </w:t>
      </w:r>
      <w:r>
        <w:t>se</w:t>
      </w:r>
      <w:r>
        <w:rPr>
          <w:spacing w:val="-3"/>
        </w:rPr>
        <w:t xml:space="preserve"> </w:t>
      </w:r>
      <w:r>
        <w:t>repita</w:t>
      </w:r>
      <w:r>
        <w:rPr>
          <w:spacing w:val="-3"/>
        </w:rPr>
        <w:t xml:space="preserve"> </w:t>
      </w:r>
      <w:r>
        <w:t>en</w:t>
      </w:r>
      <w:r>
        <w:rPr>
          <w:spacing w:val="-3"/>
        </w:rPr>
        <w:t xml:space="preserve"> </w:t>
      </w:r>
      <w:r>
        <w:t>Colombia</w:t>
      </w:r>
      <w:r>
        <w:rPr>
          <w:spacing w:val="-3"/>
        </w:rPr>
        <w:t xml:space="preserve"> </w:t>
      </w:r>
      <w:r>
        <w:t>y</w:t>
      </w:r>
      <w:r>
        <w:rPr>
          <w:spacing w:val="-3"/>
        </w:rPr>
        <w:t xml:space="preserve"> </w:t>
      </w:r>
      <w:r>
        <w:t>podamos</w:t>
      </w:r>
      <w:r>
        <w:rPr>
          <w:spacing w:val="-3"/>
        </w:rPr>
        <w:t xml:space="preserve"> </w:t>
      </w:r>
      <w:r>
        <w:t>avanzar,</w:t>
      </w:r>
      <w:r>
        <w:rPr>
          <w:spacing w:val="-3"/>
        </w:rPr>
        <w:t xml:space="preserve"> </w:t>
      </w:r>
      <w:r>
        <w:t>debemos</w:t>
      </w:r>
      <w:r>
        <w:rPr>
          <w:spacing w:val="-3"/>
        </w:rPr>
        <w:t xml:space="preserve"> </w:t>
      </w:r>
      <w:r>
        <w:t>de</w:t>
      </w:r>
      <w:r>
        <w:rPr>
          <w:spacing w:val="-3"/>
        </w:rPr>
        <w:t xml:space="preserve"> </w:t>
      </w:r>
      <w:r>
        <w:t>contarnos</w:t>
      </w:r>
      <w:r>
        <w:rPr>
          <w:spacing w:val="-3"/>
        </w:rPr>
        <w:t xml:space="preserve"> </w:t>
      </w:r>
      <w:r>
        <w:t>la verdad</w:t>
      </w:r>
      <w:r>
        <w:rPr>
          <w:spacing w:val="-3"/>
        </w:rPr>
        <w:t xml:space="preserve"> </w:t>
      </w:r>
      <w:r>
        <w:t>y</w:t>
      </w:r>
      <w:r>
        <w:rPr>
          <w:spacing w:val="-3"/>
        </w:rPr>
        <w:t xml:space="preserve"> </w:t>
      </w:r>
      <w:r>
        <w:t>reconciliarnos</w:t>
      </w:r>
      <w:r>
        <w:rPr>
          <w:spacing w:val="-4"/>
        </w:rPr>
        <w:t xml:space="preserve"> </w:t>
      </w:r>
      <w:r>
        <w:t>entre</w:t>
      </w:r>
      <w:r>
        <w:rPr>
          <w:spacing w:val="-4"/>
        </w:rPr>
        <w:t xml:space="preserve"> </w:t>
      </w:r>
      <w:r>
        <w:t>todos.</w:t>
      </w:r>
      <w:r>
        <w:rPr>
          <w:spacing w:val="-5"/>
        </w:rPr>
        <w:t xml:space="preserve"> </w:t>
      </w:r>
      <w:r>
        <w:t>No</w:t>
      </w:r>
      <w:r>
        <w:rPr>
          <w:spacing w:val="-3"/>
        </w:rPr>
        <w:t xml:space="preserve"> </w:t>
      </w:r>
      <w:r>
        <w:t>va</w:t>
      </w:r>
      <w:r>
        <w:rPr>
          <w:spacing w:val="-3"/>
        </w:rPr>
        <w:t xml:space="preserve"> </w:t>
      </w:r>
      <w:r>
        <w:t>a</w:t>
      </w:r>
      <w:r>
        <w:rPr>
          <w:spacing w:val="-3"/>
        </w:rPr>
        <w:t xml:space="preserve"> </w:t>
      </w:r>
      <w:r>
        <w:t>ser</w:t>
      </w:r>
      <w:r>
        <w:rPr>
          <w:spacing w:val="-3"/>
        </w:rPr>
        <w:t xml:space="preserve"> </w:t>
      </w:r>
      <w:r>
        <w:t>fácil</w:t>
      </w:r>
      <w:r>
        <w:rPr>
          <w:spacing w:val="-3"/>
        </w:rPr>
        <w:t xml:space="preserve"> </w:t>
      </w:r>
      <w:r>
        <w:t>perdonar</w:t>
      </w:r>
      <w:r>
        <w:rPr>
          <w:spacing w:val="-3"/>
        </w:rPr>
        <w:t xml:space="preserve"> </w:t>
      </w:r>
      <w:r>
        <w:t>porque</w:t>
      </w:r>
      <w:r>
        <w:rPr>
          <w:spacing w:val="-3"/>
        </w:rPr>
        <w:t xml:space="preserve"> </w:t>
      </w:r>
      <w:r>
        <w:t>no</w:t>
      </w:r>
      <w:r>
        <w:rPr>
          <w:spacing w:val="-5"/>
        </w:rPr>
        <w:t xml:space="preserve"> </w:t>
      </w:r>
      <w:r>
        <w:t>es</w:t>
      </w:r>
      <w:r>
        <w:rPr>
          <w:spacing w:val="-3"/>
        </w:rPr>
        <w:t xml:space="preserve"> </w:t>
      </w:r>
      <w:r>
        <w:t>fácil</w:t>
      </w:r>
      <w:r>
        <w:rPr>
          <w:spacing w:val="-3"/>
        </w:rPr>
        <w:t xml:space="preserve"> </w:t>
      </w:r>
      <w:r>
        <w:t>perdonar a alguien que a ti te mató un padre, un hermano, un hijo. No va a ser fácil. Pero debemos dar ese esfuerzo, de saber qué fue lo que pasó. De contar con una reparación integral.</w:t>
      </w:r>
    </w:p>
    <w:p w:rsidR="0011361F" w:rsidRPr="004B5CC2" w:rsidRDefault="00AF18A5" w:rsidP="009A2BF2">
      <w:r w:rsidRPr="004B5CC2">
        <w:t>Tanto de las FARC como del Estado, una reparación de verdad, para que así, tú digas, sí, de pronto, me tocó vivir esta situación. En mi caso, por ejemplo, sí, mi padre fue secuestrado, fue asesinado, pero miren, a mí me repararon de esta forma. Obvio, lo material o lo simbólico de pronto no va a recuperar a nuestro ser querido, pero sí ayuda a</w:t>
      </w:r>
      <w:r w:rsidR="004B5CC2" w:rsidRPr="004B5CC2">
        <w:t xml:space="preserve"> </w:t>
      </w:r>
      <w:r w:rsidRPr="004B5CC2">
        <w:t>mitigar un poco el dolor</w:t>
      </w:r>
      <w:r w:rsidR="004B5CC2">
        <w:rPr>
          <w:rStyle w:val="Refdenotaalpie"/>
        </w:rPr>
        <w:footnoteReference w:id="1191"/>
      </w:r>
      <w:r w:rsidRPr="004B5CC2">
        <w:t>.</w:t>
      </w:r>
    </w:p>
    <w:p w:rsidR="003804AC" w:rsidRDefault="00AF18A5" w:rsidP="009A2BF2">
      <w:r>
        <w:t>En</w:t>
      </w:r>
      <w:r>
        <w:rPr>
          <w:spacing w:val="-9"/>
        </w:rPr>
        <w:t xml:space="preserve"> </w:t>
      </w:r>
      <w:r>
        <w:t>Colombia</w:t>
      </w:r>
      <w:r>
        <w:rPr>
          <w:spacing w:val="-9"/>
        </w:rPr>
        <w:t xml:space="preserve"> </w:t>
      </w:r>
      <w:r>
        <w:t>hay</w:t>
      </w:r>
      <w:r>
        <w:rPr>
          <w:spacing w:val="-9"/>
        </w:rPr>
        <w:t xml:space="preserve"> </w:t>
      </w:r>
      <w:r>
        <w:t>más</w:t>
      </w:r>
      <w:r>
        <w:rPr>
          <w:spacing w:val="-9"/>
        </w:rPr>
        <w:t xml:space="preserve"> </w:t>
      </w:r>
      <w:r>
        <w:t>de</w:t>
      </w:r>
      <w:r>
        <w:rPr>
          <w:spacing w:val="-10"/>
        </w:rPr>
        <w:t xml:space="preserve"> </w:t>
      </w:r>
      <w:r>
        <w:t>nueve</w:t>
      </w:r>
      <w:r>
        <w:rPr>
          <w:spacing w:val="-9"/>
        </w:rPr>
        <w:t xml:space="preserve"> </w:t>
      </w:r>
      <w:r>
        <w:t>millones</w:t>
      </w:r>
      <w:r>
        <w:rPr>
          <w:spacing w:val="-9"/>
        </w:rPr>
        <w:t xml:space="preserve"> </w:t>
      </w:r>
      <w:r>
        <w:t>de</w:t>
      </w:r>
      <w:r>
        <w:rPr>
          <w:spacing w:val="-9"/>
        </w:rPr>
        <w:t xml:space="preserve"> </w:t>
      </w:r>
      <w:r>
        <w:t>víctimas</w:t>
      </w:r>
      <w:r>
        <w:rPr>
          <w:spacing w:val="-9"/>
        </w:rPr>
        <w:t xml:space="preserve"> </w:t>
      </w:r>
      <w:r>
        <w:t>del</w:t>
      </w:r>
      <w:r>
        <w:rPr>
          <w:spacing w:val="-9"/>
        </w:rPr>
        <w:t xml:space="preserve"> </w:t>
      </w:r>
      <w:r>
        <w:t>conflicto</w:t>
      </w:r>
      <w:r>
        <w:rPr>
          <w:spacing w:val="-9"/>
        </w:rPr>
        <w:t xml:space="preserve"> </w:t>
      </w:r>
      <w:r>
        <w:t>armado,</w:t>
      </w:r>
      <w:r>
        <w:rPr>
          <w:spacing w:val="-9"/>
        </w:rPr>
        <w:t xml:space="preserve"> </w:t>
      </w:r>
      <w:r>
        <w:t>según</w:t>
      </w:r>
      <w:r>
        <w:rPr>
          <w:spacing w:val="-9"/>
        </w:rPr>
        <w:t xml:space="preserve"> </w:t>
      </w:r>
      <w:r>
        <w:t>el</w:t>
      </w:r>
      <w:r>
        <w:rPr>
          <w:spacing w:val="-10"/>
        </w:rPr>
        <w:t xml:space="preserve"> </w:t>
      </w:r>
      <w:r>
        <w:t>Registro Único de Víctimas, lo que equivale aproximadamente al 20</w:t>
      </w:r>
      <w:r>
        <w:rPr>
          <w:spacing w:val="-2"/>
        </w:rPr>
        <w:t xml:space="preserve"> </w:t>
      </w:r>
      <w:r>
        <w:t>% de la población nacional. Si hiciéramos un minuto de silencio por cada víctima tendríamos que callar durante 17 años.</w:t>
      </w:r>
    </w:p>
    <w:p w:rsidR="0011361F" w:rsidRDefault="00AF18A5" w:rsidP="009A2BF2">
      <w:r>
        <w:t xml:space="preserve">La dimensión de la tragedia y el trauma colectivo no lo pueden captar las cifras ni los miles de testimonios que fueron entregados a la </w:t>
      </w:r>
      <w:r>
        <w:lastRenderedPageBreak/>
        <w:t>Comisión, sobre todo si tenemos en cuenta que nuestro trabajo se desarrolló todavía en muchos lugares en medio de la continuidad del miedo, el desplazamiento forzado de comunidades, de los asesinatos de líderes y lideresas, las amenazas, los confinamientos de comunidades étnicas y las múltiples violencias en su contra, los paros armados y la violencia política, pero también con la voluntad decidida de hablar.</w:t>
      </w:r>
      <w:r>
        <w:rPr>
          <w:spacing w:val="-10"/>
        </w:rPr>
        <w:t xml:space="preserve"> </w:t>
      </w:r>
      <w:r>
        <w:t>Las</w:t>
      </w:r>
      <w:r>
        <w:rPr>
          <w:spacing w:val="-11"/>
        </w:rPr>
        <w:t xml:space="preserve"> </w:t>
      </w:r>
      <w:r>
        <w:t>víctimas</w:t>
      </w:r>
      <w:r>
        <w:rPr>
          <w:spacing w:val="-9"/>
        </w:rPr>
        <w:t xml:space="preserve"> </w:t>
      </w:r>
      <w:r>
        <w:t>están</w:t>
      </w:r>
      <w:r>
        <w:rPr>
          <w:spacing w:val="-10"/>
        </w:rPr>
        <w:t xml:space="preserve"> </w:t>
      </w:r>
      <w:r>
        <w:t>en</w:t>
      </w:r>
      <w:r>
        <w:rPr>
          <w:spacing w:val="-10"/>
        </w:rPr>
        <w:t xml:space="preserve"> </w:t>
      </w:r>
      <w:r>
        <w:t>el</w:t>
      </w:r>
      <w:r>
        <w:rPr>
          <w:spacing w:val="-9"/>
        </w:rPr>
        <w:t xml:space="preserve"> </w:t>
      </w:r>
      <w:r>
        <w:t>centro</w:t>
      </w:r>
      <w:r>
        <w:rPr>
          <w:spacing w:val="-10"/>
        </w:rPr>
        <w:t xml:space="preserve"> </w:t>
      </w:r>
      <w:r>
        <w:t>del</w:t>
      </w:r>
      <w:r>
        <w:rPr>
          <w:spacing w:val="-9"/>
        </w:rPr>
        <w:t xml:space="preserve"> </w:t>
      </w:r>
      <w:r>
        <w:t>mandato</w:t>
      </w:r>
      <w:r>
        <w:rPr>
          <w:spacing w:val="-10"/>
        </w:rPr>
        <w:t xml:space="preserve"> </w:t>
      </w:r>
      <w:r>
        <w:t>de</w:t>
      </w:r>
      <w:r>
        <w:rPr>
          <w:spacing w:val="-9"/>
        </w:rPr>
        <w:t xml:space="preserve"> </w:t>
      </w:r>
      <w:r>
        <w:t>la</w:t>
      </w:r>
      <w:r>
        <w:rPr>
          <w:spacing w:val="-9"/>
        </w:rPr>
        <w:t xml:space="preserve"> </w:t>
      </w:r>
      <w:r>
        <w:t>Comisión,</w:t>
      </w:r>
      <w:r>
        <w:rPr>
          <w:spacing w:val="-10"/>
        </w:rPr>
        <w:t xml:space="preserve"> </w:t>
      </w:r>
      <w:r>
        <w:t>del</w:t>
      </w:r>
      <w:r>
        <w:rPr>
          <w:spacing w:val="-9"/>
        </w:rPr>
        <w:t xml:space="preserve"> </w:t>
      </w:r>
      <w:r>
        <w:t>Sistema</w:t>
      </w:r>
      <w:r>
        <w:rPr>
          <w:spacing w:val="-9"/>
        </w:rPr>
        <w:t xml:space="preserve"> </w:t>
      </w:r>
      <w:r>
        <w:t>Integral</w:t>
      </w:r>
      <w:r>
        <w:rPr>
          <w:spacing w:val="-9"/>
        </w:rPr>
        <w:t xml:space="preserve"> </w:t>
      </w:r>
      <w:r>
        <w:t>para la Paz y del Acuerdo Final de Paz, y sus testimonios son llamados a poner un fin definitivo a la violencia y la confrontación y a garantizar su no repetición. Por tanto, la reparación integral y transformadora y la preservación de su memoria deben ser un esfuerzo intergeneracional que sea una prioridad para el Estado entero, y que cuente con el apoyo y reconocimiento de la sociedad en su conjunto.</w:t>
      </w:r>
    </w:p>
    <w:p w:rsidR="003804AC" w:rsidRDefault="00AF18A5" w:rsidP="009A2BF2">
      <w:bookmarkStart w:id="1529" w:name="_bookmark1330"/>
      <w:bookmarkEnd w:id="1529"/>
      <w:r>
        <w:t>La</w:t>
      </w:r>
      <w:r>
        <w:rPr>
          <w:spacing w:val="-15"/>
        </w:rPr>
        <w:t xml:space="preserve"> </w:t>
      </w:r>
      <w:r>
        <w:t>Comisión</w:t>
      </w:r>
      <w:r>
        <w:rPr>
          <w:spacing w:val="-15"/>
        </w:rPr>
        <w:t xml:space="preserve"> </w:t>
      </w:r>
      <w:r>
        <w:t>reconoce</w:t>
      </w:r>
      <w:r>
        <w:rPr>
          <w:spacing w:val="-15"/>
        </w:rPr>
        <w:t xml:space="preserve"> </w:t>
      </w:r>
      <w:r>
        <w:t>los</w:t>
      </w:r>
      <w:r>
        <w:rPr>
          <w:spacing w:val="-15"/>
        </w:rPr>
        <w:t xml:space="preserve"> </w:t>
      </w:r>
      <w:r>
        <w:t>esfuerzos</w:t>
      </w:r>
      <w:r>
        <w:rPr>
          <w:spacing w:val="-15"/>
        </w:rPr>
        <w:t xml:space="preserve"> </w:t>
      </w:r>
      <w:r>
        <w:t>significativos</w:t>
      </w:r>
      <w:r>
        <w:rPr>
          <w:spacing w:val="-15"/>
        </w:rPr>
        <w:t xml:space="preserve"> </w:t>
      </w:r>
      <w:r>
        <w:t>que</w:t>
      </w:r>
      <w:r>
        <w:rPr>
          <w:spacing w:val="-15"/>
        </w:rPr>
        <w:t xml:space="preserve"> </w:t>
      </w:r>
      <w:r>
        <w:t>ha</w:t>
      </w:r>
      <w:r>
        <w:rPr>
          <w:spacing w:val="-15"/>
        </w:rPr>
        <w:t xml:space="preserve"> </w:t>
      </w:r>
      <w:r>
        <w:t>hecho</w:t>
      </w:r>
      <w:r>
        <w:rPr>
          <w:spacing w:val="-15"/>
        </w:rPr>
        <w:t xml:space="preserve"> </w:t>
      </w:r>
      <w:r>
        <w:t>el</w:t>
      </w:r>
      <w:r>
        <w:rPr>
          <w:spacing w:val="-15"/>
        </w:rPr>
        <w:t xml:space="preserve"> </w:t>
      </w:r>
      <w:r>
        <w:t>país</w:t>
      </w:r>
      <w:r>
        <w:rPr>
          <w:spacing w:val="-15"/>
        </w:rPr>
        <w:t xml:space="preserve"> </w:t>
      </w:r>
      <w:r>
        <w:t>para</w:t>
      </w:r>
      <w:r>
        <w:rPr>
          <w:spacing w:val="-15"/>
        </w:rPr>
        <w:t xml:space="preserve"> </w:t>
      </w:r>
      <w:r>
        <w:t>la</w:t>
      </w:r>
      <w:r>
        <w:rPr>
          <w:spacing w:val="-15"/>
        </w:rPr>
        <w:t xml:space="preserve"> </w:t>
      </w:r>
      <w:r>
        <w:t>satisfacción de</w:t>
      </w:r>
      <w:r>
        <w:rPr>
          <w:spacing w:val="-9"/>
        </w:rPr>
        <w:t xml:space="preserve"> </w:t>
      </w:r>
      <w:r>
        <w:t>los</w:t>
      </w:r>
      <w:r>
        <w:rPr>
          <w:spacing w:val="-9"/>
        </w:rPr>
        <w:t xml:space="preserve"> </w:t>
      </w:r>
      <w:r>
        <w:t>derechos</w:t>
      </w:r>
      <w:r>
        <w:rPr>
          <w:spacing w:val="-9"/>
        </w:rPr>
        <w:t xml:space="preserve"> </w:t>
      </w:r>
      <w:r>
        <w:t>de</w:t>
      </w:r>
      <w:r>
        <w:rPr>
          <w:spacing w:val="-9"/>
        </w:rPr>
        <w:t xml:space="preserve"> </w:t>
      </w:r>
      <w:r>
        <w:t>las</w:t>
      </w:r>
      <w:r>
        <w:rPr>
          <w:spacing w:val="-9"/>
        </w:rPr>
        <w:t xml:space="preserve"> </w:t>
      </w:r>
      <w:r>
        <w:t>víctimas:</w:t>
      </w:r>
      <w:r>
        <w:rPr>
          <w:spacing w:val="-9"/>
        </w:rPr>
        <w:t xml:space="preserve"> </w:t>
      </w:r>
      <w:r>
        <w:t>desde</w:t>
      </w:r>
      <w:r>
        <w:rPr>
          <w:spacing w:val="-9"/>
        </w:rPr>
        <w:t xml:space="preserve"> </w:t>
      </w:r>
      <w:r>
        <w:t>los</w:t>
      </w:r>
      <w:r>
        <w:rPr>
          <w:spacing w:val="-9"/>
        </w:rPr>
        <w:t xml:space="preserve"> </w:t>
      </w:r>
      <w:r>
        <w:t>esfuerzos</w:t>
      </w:r>
      <w:r>
        <w:rPr>
          <w:spacing w:val="-9"/>
        </w:rPr>
        <w:t xml:space="preserve"> </w:t>
      </w:r>
      <w:r>
        <w:t>por</w:t>
      </w:r>
      <w:r>
        <w:rPr>
          <w:spacing w:val="-9"/>
        </w:rPr>
        <w:t xml:space="preserve"> </w:t>
      </w:r>
      <w:r>
        <w:t>prevenir</w:t>
      </w:r>
      <w:r>
        <w:rPr>
          <w:spacing w:val="-9"/>
        </w:rPr>
        <w:t xml:space="preserve"> </w:t>
      </w:r>
      <w:r>
        <w:t>y</w:t>
      </w:r>
      <w:r>
        <w:rPr>
          <w:spacing w:val="-9"/>
        </w:rPr>
        <w:t xml:space="preserve"> </w:t>
      </w:r>
      <w:r>
        <w:t>atender</w:t>
      </w:r>
      <w:r>
        <w:rPr>
          <w:spacing w:val="-10"/>
        </w:rPr>
        <w:t xml:space="preserve"> </w:t>
      </w:r>
      <w:r>
        <w:t>el</w:t>
      </w:r>
      <w:r>
        <w:rPr>
          <w:spacing w:val="-9"/>
        </w:rPr>
        <w:t xml:space="preserve"> </w:t>
      </w:r>
      <w:r>
        <w:t>desplazamiento forzado con la Ley 387 de 1997; avances en memoria histórica y justicia con la Ley de Justicia y Paz; en la implementación</w:t>
      </w:r>
      <w:r>
        <w:rPr>
          <w:spacing w:val="-1"/>
        </w:rPr>
        <w:t xml:space="preserve"> </w:t>
      </w:r>
      <w:r>
        <w:t>de la Ley de Víctimas y Restitución</w:t>
      </w:r>
      <w:r>
        <w:rPr>
          <w:spacing w:val="-1"/>
        </w:rPr>
        <w:t xml:space="preserve"> </w:t>
      </w:r>
      <w:r>
        <w:t>de Tierras; y</w:t>
      </w:r>
      <w:r>
        <w:rPr>
          <w:spacing w:val="-1"/>
        </w:rPr>
        <w:t xml:space="preserve"> </w:t>
      </w:r>
      <w:r>
        <w:t xml:space="preserve">en la implementación del punto 5 del Acuerdo Final, en particular la puesta en marcha de los mecanismos judiciales y extrajudiciales del Sistema Integral para la Paz. A esto se suma la aprobación de la prórroga de la Ley de Víctimas y los Decretos Ley étnicos. Sin embargo, aún falta mucho. El lento avance de la reparación, la falta de articulación entre diferentes instrumentos, la continuidad de las afectaciones y, en general, las limitaciones para cumplir en tiempo razonable con la reparación son retos que el país debe priorizar. Por ello, la Comisión propone recomendaciones ambiciosas que buscan avanzar decididamente en la satisfacción de los derechos de los millones </w:t>
      </w:r>
      <w:r>
        <w:lastRenderedPageBreak/>
        <w:t>de víctimas</w:t>
      </w:r>
      <w:r w:rsidR="009A2BF2">
        <w:rPr>
          <w:rStyle w:val="Refdenotaalpie"/>
        </w:rPr>
        <w:footnoteReference w:id="1192"/>
      </w:r>
      <w:r>
        <w:t>.</w:t>
      </w:r>
    </w:p>
    <w:p w:rsidR="0011361F" w:rsidRDefault="00AF18A5" w:rsidP="009A2BF2">
      <w:r>
        <w:t>En</w:t>
      </w:r>
      <w:r>
        <w:rPr>
          <w:spacing w:val="-1"/>
        </w:rPr>
        <w:t xml:space="preserve"> </w:t>
      </w:r>
      <w:r>
        <w:t>este</w:t>
      </w:r>
      <w:r>
        <w:rPr>
          <w:spacing w:val="-2"/>
        </w:rPr>
        <w:t xml:space="preserve"> </w:t>
      </w:r>
      <w:r>
        <w:t>apartado,</w:t>
      </w:r>
      <w:r>
        <w:rPr>
          <w:spacing w:val="-1"/>
        </w:rPr>
        <w:t xml:space="preserve"> </w:t>
      </w:r>
      <w:r>
        <w:t>en</w:t>
      </w:r>
      <w:r>
        <w:rPr>
          <w:spacing w:val="-2"/>
        </w:rPr>
        <w:t xml:space="preserve"> </w:t>
      </w:r>
      <w:r>
        <w:t>un</w:t>
      </w:r>
      <w:r>
        <w:rPr>
          <w:spacing w:val="-2"/>
        </w:rPr>
        <w:t xml:space="preserve"> </w:t>
      </w:r>
      <w:r>
        <w:t>primer</w:t>
      </w:r>
      <w:r>
        <w:rPr>
          <w:spacing w:val="-2"/>
        </w:rPr>
        <w:t xml:space="preserve"> </w:t>
      </w:r>
      <w:r>
        <w:t>momento,</w:t>
      </w:r>
      <w:r>
        <w:rPr>
          <w:spacing w:val="-1"/>
        </w:rPr>
        <w:t xml:space="preserve"> </w:t>
      </w:r>
      <w:r>
        <w:t>se</w:t>
      </w:r>
      <w:r>
        <w:rPr>
          <w:spacing w:val="-2"/>
        </w:rPr>
        <w:t xml:space="preserve"> </w:t>
      </w:r>
      <w:r>
        <w:t>desarrollan</w:t>
      </w:r>
      <w:r>
        <w:rPr>
          <w:spacing w:val="-2"/>
        </w:rPr>
        <w:t xml:space="preserve"> </w:t>
      </w:r>
      <w:r>
        <w:t>recomendaciones</w:t>
      </w:r>
      <w:r>
        <w:rPr>
          <w:spacing w:val="-1"/>
        </w:rPr>
        <w:t xml:space="preserve"> </w:t>
      </w:r>
      <w:r>
        <w:t>que</w:t>
      </w:r>
      <w:r>
        <w:rPr>
          <w:spacing w:val="-1"/>
        </w:rPr>
        <w:t xml:space="preserve"> </w:t>
      </w:r>
      <w:r>
        <w:t>apuntan</w:t>
      </w:r>
      <w:r>
        <w:rPr>
          <w:spacing w:val="-1"/>
        </w:rPr>
        <w:t xml:space="preserve"> </w:t>
      </w:r>
      <w:r>
        <w:t>al reconocimiento de la dignidad de las víctimas, sus afrontamientos y resistencias, y al deber que</w:t>
      </w:r>
      <w:r>
        <w:rPr>
          <w:spacing w:val="-7"/>
        </w:rPr>
        <w:t xml:space="preserve"> </w:t>
      </w:r>
      <w:r>
        <w:t>tienen</w:t>
      </w:r>
      <w:r>
        <w:rPr>
          <w:spacing w:val="-8"/>
        </w:rPr>
        <w:t xml:space="preserve"> </w:t>
      </w:r>
      <w:r>
        <w:t>los</w:t>
      </w:r>
      <w:r>
        <w:rPr>
          <w:spacing w:val="-7"/>
        </w:rPr>
        <w:t xml:space="preserve"> </w:t>
      </w:r>
      <w:r>
        <w:t>responsables</w:t>
      </w:r>
      <w:r>
        <w:rPr>
          <w:spacing w:val="-7"/>
        </w:rPr>
        <w:t xml:space="preserve"> </w:t>
      </w:r>
      <w:r>
        <w:t>de</w:t>
      </w:r>
      <w:r>
        <w:rPr>
          <w:spacing w:val="-8"/>
        </w:rPr>
        <w:t xml:space="preserve"> </w:t>
      </w:r>
      <w:r>
        <w:t>reconocer</w:t>
      </w:r>
      <w:r>
        <w:rPr>
          <w:spacing w:val="-7"/>
        </w:rPr>
        <w:t xml:space="preserve"> </w:t>
      </w:r>
      <w:r>
        <w:t>ante</w:t>
      </w:r>
      <w:r>
        <w:rPr>
          <w:spacing w:val="-8"/>
        </w:rPr>
        <w:t xml:space="preserve"> </w:t>
      </w:r>
      <w:r>
        <w:t>ellas</w:t>
      </w:r>
      <w:r>
        <w:rPr>
          <w:spacing w:val="-8"/>
        </w:rPr>
        <w:t xml:space="preserve"> </w:t>
      </w:r>
      <w:r>
        <w:t>los</w:t>
      </w:r>
      <w:r>
        <w:rPr>
          <w:spacing w:val="-7"/>
        </w:rPr>
        <w:t xml:space="preserve"> </w:t>
      </w:r>
      <w:r>
        <w:t>crímenes,</w:t>
      </w:r>
      <w:r>
        <w:rPr>
          <w:spacing w:val="-7"/>
        </w:rPr>
        <w:t xml:space="preserve"> </w:t>
      </w:r>
      <w:r>
        <w:t>violaciones</w:t>
      </w:r>
      <w:r>
        <w:rPr>
          <w:spacing w:val="-7"/>
        </w:rPr>
        <w:t xml:space="preserve"> </w:t>
      </w:r>
      <w:r>
        <w:t>de</w:t>
      </w:r>
      <w:r>
        <w:rPr>
          <w:spacing w:val="-8"/>
        </w:rPr>
        <w:t xml:space="preserve"> </w:t>
      </w:r>
      <w:r>
        <w:t>los</w:t>
      </w:r>
      <w:r>
        <w:rPr>
          <w:spacing w:val="-7"/>
        </w:rPr>
        <w:t xml:space="preserve"> </w:t>
      </w:r>
      <w:r>
        <w:t>derechos humanos e infracciones al derecho internacional humanitario a los que las sometieron. Lo anterior, incluye la necesaria continuidad de procesos de reconocimiento iniciados por la Comisión, aprendiendo de la experiencia de la entidad en este tema. La empatía y el reconocimiento</w:t>
      </w:r>
      <w:r>
        <w:rPr>
          <w:spacing w:val="-7"/>
        </w:rPr>
        <w:t xml:space="preserve"> </w:t>
      </w:r>
      <w:r>
        <w:t>del</w:t>
      </w:r>
      <w:r>
        <w:rPr>
          <w:spacing w:val="-8"/>
        </w:rPr>
        <w:t xml:space="preserve"> </w:t>
      </w:r>
      <w:r>
        <w:t>sufrimiento</w:t>
      </w:r>
      <w:r>
        <w:rPr>
          <w:spacing w:val="-7"/>
        </w:rPr>
        <w:t xml:space="preserve"> </w:t>
      </w:r>
      <w:r>
        <w:t>son</w:t>
      </w:r>
      <w:r>
        <w:rPr>
          <w:spacing w:val="-8"/>
        </w:rPr>
        <w:t xml:space="preserve"> </w:t>
      </w:r>
      <w:r>
        <w:t>partes</w:t>
      </w:r>
      <w:r>
        <w:rPr>
          <w:spacing w:val="-8"/>
        </w:rPr>
        <w:t xml:space="preserve"> </w:t>
      </w:r>
      <w:r>
        <w:t>fundamentales</w:t>
      </w:r>
      <w:r>
        <w:rPr>
          <w:spacing w:val="-7"/>
        </w:rPr>
        <w:t xml:space="preserve"> </w:t>
      </w:r>
      <w:r>
        <w:t>del</w:t>
      </w:r>
      <w:r>
        <w:rPr>
          <w:spacing w:val="-8"/>
        </w:rPr>
        <w:t xml:space="preserve"> </w:t>
      </w:r>
      <w:r>
        <w:t>proceso</w:t>
      </w:r>
      <w:r>
        <w:rPr>
          <w:spacing w:val="-8"/>
        </w:rPr>
        <w:t xml:space="preserve"> </w:t>
      </w:r>
      <w:r>
        <w:t>de</w:t>
      </w:r>
      <w:r>
        <w:rPr>
          <w:spacing w:val="-8"/>
        </w:rPr>
        <w:t xml:space="preserve"> </w:t>
      </w:r>
      <w:r>
        <w:t>sanación</w:t>
      </w:r>
      <w:r>
        <w:rPr>
          <w:spacing w:val="-8"/>
        </w:rPr>
        <w:t xml:space="preserve"> </w:t>
      </w:r>
      <w:r>
        <w:t>individual y</w:t>
      </w:r>
      <w:r>
        <w:rPr>
          <w:spacing w:val="-15"/>
        </w:rPr>
        <w:t xml:space="preserve"> </w:t>
      </w:r>
      <w:r>
        <w:t>colectivo</w:t>
      </w:r>
      <w:r>
        <w:rPr>
          <w:spacing w:val="-15"/>
        </w:rPr>
        <w:t xml:space="preserve"> </w:t>
      </w:r>
      <w:r>
        <w:t>que</w:t>
      </w:r>
      <w:r>
        <w:rPr>
          <w:spacing w:val="-15"/>
        </w:rPr>
        <w:t xml:space="preserve"> </w:t>
      </w:r>
      <w:r>
        <w:t>debemos</w:t>
      </w:r>
      <w:r>
        <w:rPr>
          <w:spacing w:val="-15"/>
        </w:rPr>
        <w:t xml:space="preserve"> </w:t>
      </w:r>
      <w:r>
        <w:t>emprender</w:t>
      </w:r>
      <w:r>
        <w:rPr>
          <w:spacing w:val="-15"/>
        </w:rPr>
        <w:t xml:space="preserve"> </w:t>
      </w:r>
      <w:r>
        <w:t>como</w:t>
      </w:r>
      <w:r>
        <w:rPr>
          <w:spacing w:val="-15"/>
        </w:rPr>
        <w:t xml:space="preserve"> </w:t>
      </w:r>
      <w:r>
        <w:t>país.</w:t>
      </w:r>
      <w:r>
        <w:rPr>
          <w:spacing w:val="-15"/>
        </w:rPr>
        <w:t xml:space="preserve"> </w:t>
      </w:r>
      <w:r>
        <w:t>El</w:t>
      </w:r>
      <w:r>
        <w:rPr>
          <w:spacing w:val="-15"/>
        </w:rPr>
        <w:t xml:space="preserve"> </w:t>
      </w:r>
      <w:r>
        <w:t>reconocimiento</w:t>
      </w:r>
      <w:r>
        <w:rPr>
          <w:spacing w:val="-15"/>
        </w:rPr>
        <w:t xml:space="preserve"> </w:t>
      </w:r>
      <w:r>
        <w:t>tiene</w:t>
      </w:r>
      <w:r>
        <w:rPr>
          <w:spacing w:val="-15"/>
        </w:rPr>
        <w:t xml:space="preserve"> </w:t>
      </w:r>
      <w:r>
        <w:t>como</w:t>
      </w:r>
      <w:r>
        <w:rPr>
          <w:spacing w:val="-15"/>
        </w:rPr>
        <w:t xml:space="preserve"> </w:t>
      </w:r>
      <w:r>
        <w:t>horizonte</w:t>
      </w:r>
      <w:r>
        <w:rPr>
          <w:spacing w:val="-15"/>
        </w:rPr>
        <w:t xml:space="preserve"> </w:t>
      </w:r>
      <w:r>
        <w:t>ético y político contribuir a la convivencia, a la confianza y a la paz, y abrir el camino de la reconciliación sobre la base de la no repetición.</w:t>
      </w:r>
    </w:p>
    <w:p w:rsidR="003804AC" w:rsidRDefault="00AF18A5" w:rsidP="009A2BF2">
      <w:bookmarkStart w:id="1530" w:name="_bookmark1331"/>
      <w:bookmarkEnd w:id="1530"/>
      <w:r>
        <w:t>En un segundo momento, se desarrollan recomendaciones para garantizar el derecho de las</w:t>
      </w:r>
      <w:r>
        <w:rPr>
          <w:spacing w:val="-12"/>
        </w:rPr>
        <w:t xml:space="preserve"> </w:t>
      </w:r>
      <w:r>
        <w:t>víctimas</w:t>
      </w:r>
      <w:r>
        <w:rPr>
          <w:spacing w:val="-14"/>
        </w:rPr>
        <w:t xml:space="preserve"> </w:t>
      </w:r>
      <w:r>
        <w:t>a</w:t>
      </w:r>
      <w:r>
        <w:rPr>
          <w:spacing w:val="-12"/>
        </w:rPr>
        <w:t xml:space="preserve"> </w:t>
      </w:r>
      <w:r>
        <w:t>ser</w:t>
      </w:r>
      <w:r>
        <w:rPr>
          <w:spacing w:val="-13"/>
        </w:rPr>
        <w:t xml:space="preserve"> </w:t>
      </w:r>
      <w:r>
        <w:t>reparadas</w:t>
      </w:r>
      <w:r>
        <w:rPr>
          <w:spacing w:val="-12"/>
        </w:rPr>
        <w:t xml:space="preserve"> </w:t>
      </w:r>
      <w:r>
        <w:t>de</w:t>
      </w:r>
      <w:r>
        <w:rPr>
          <w:spacing w:val="-12"/>
        </w:rPr>
        <w:t xml:space="preserve"> </w:t>
      </w:r>
      <w:r>
        <w:t>manera</w:t>
      </w:r>
      <w:r>
        <w:rPr>
          <w:spacing w:val="-12"/>
        </w:rPr>
        <w:t xml:space="preserve"> </w:t>
      </w:r>
      <w:r>
        <w:t>integral</w:t>
      </w:r>
      <w:r>
        <w:rPr>
          <w:spacing w:val="-11"/>
        </w:rPr>
        <w:t xml:space="preserve"> </w:t>
      </w:r>
      <w:r>
        <w:t>y</w:t>
      </w:r>
      <w:r>
        <w:rPr>
          <w:spacing w:val="-12"/>
        </w:rPr>
        <w:t xml:space="preserve"> </w:t>
      </w:r>
      <w:r>
        <w:t>transformadora</w:t>
      </w:r>
      <w:r>
        <w:rPr>
          <w:spacing w:val="-12"/>
        </w:rPr>
        <w:t xml:space="preserve"> </w:t>
      </w:r>
      <w:r>
        <w:t>para</w:t>
      </w:r>
      <w:r>
        <w:rPr>
          <w:spacing w:val="-12"/>
        </w:rPr>
        <w:t xml:space="preserve"> </w:t>
      </w:r>
      <w:r>
        <w:t>superar</w:t>
      </w:r>
      <w:r>
        <w:rPr>
          <w:spacing w:val="-11"/>
        </w:rPr>
        <w:t xml:space="preserve"> </w:t>
      </w:r>
      <w:r>
        <w:t>las</w:t>
      </w:r>
      <w:r>
        <w:rPr>
          <w:spacing w:val="-12"/>
        </w:rPr>
        <w:t xml:space="preserve"> </w:t>
      </w:r>
      <w:r>
        <w:t>condiciones de pobreza en las que vivían en 2019, por ejemplo, cerca del 76</w:t>
      </w:r>
      <w:r>
        <w:rPr>
          <w:spacing w:val="-2"/>
        </w:rPr>
        <w:t xml:space="preserve"> </w:t>
      </w:r>
      <w:r>
        <w:t>% de las víctimas de desplazamiento forzado</w:t>
      </w:r>
      <w:r w:rsidR="003D4B92">
        <w:rPr>
          <w:rStyle w:val="Refdenotaalpie"/>
        </w:rPr>
        <w:footnoteReference w:id="1193"/>
      </w:r>
      <w:r>
        <w:t>. También se proponen recomendaciones para garantizar su derecho a acceder plena y preferencialmente a la oferta social del Estado en cuanto a salud, vivienda,</w:t>
      </w:r>
      <w:r>
        <w:rPr>
          <w:spacing w:val="-11"/>
        </w:rPr>
        <w:t xml:space="preserve"> </w:t>
      </w:r>
      <w:r>
        <w:t>educación</w:t>
      </w:r>
      <w:r>
        <w:rPr>
          <w:spacing w:val="-11"/>
        </w:rPr>
        <w:t xml:space="preserve"> </w:t>
      </w:r>
      <w:r>
        <w:t>y</w:t>
      </w:r>
      <w:r>
        <w:rPr>
          <w:spacing w:val="-9"/>
        </w:rPr>
        <w:t xml:space="preserve"> </w:t>
      </w:r>
      <w:r>
        <w:lastRenderedPageBreak/>
        <w:t>generación</w:t>
      </w:r>
      <w:r>
        <w:rPr>
          <w:spacing w:val="-9"/>
        </w:rPr>
        <w:t xml:space="preserve"> </w:t>
      </w:r>
      <w:r>
        <w:t>de</w:t>
      </w:r>
      <w:r>
        <w:rPr>
          <w:spacing w:val="-10"/>
        </w:rPr>
        <w:t xml:space="preserve"> </w:t>
      </w:r>
      <w:r>
        <w:t>ingresos.</w:t>
      </w:r>
      <w:r>
        <w:rPr>
          <w:spacing w:val="-9"/>
        </w:rPr>
        <w:t xml:space="preserve"> </w:t>
      </w:r>
      <w:r>
        <w:t>La</w:t>
      </w:r>
      <w:r>
        <w:rPr>
          <w:spacing w:val="-10"/>
        </w:rPr>
        <w:t xml:space="preserve"> </w:t>
      </w:r>
      <w:r>
        <w:t>dimensión</w:t>
      </w:r>
      <w:r>
        <w:rPr>
          <w:spacing w:val="-11"/>
        </w:rPr>
        <w:t xml:space="preserve"> </w:t>
      </w:r>
      <w:r>
        <w:t>transformadora</w:t>
      </w:r>
      <w:r>
        <w:rPr>
          <w:spacing w:val="-9"/>
        </w:rPr>
        <w:t xml:space="preserve"> </w:t>
      </w:r>
      <w:r>
        <w:t>de</w:t>
      </w:r>
      <w:r>
        <w:rPr>
          <w:spacing w:val="-10"/>
        </w:rPr>
        <w:t xml:space="preserve"> </w:t>
      </w:r>
      <w:r>
        <w:t>la</w:t>
      </w:r>
      <w:r>
        <w:rPr>
          <w:spacing w:val="-10"/>
        </w:rPr>
        <w:t xml:space="preserve"> </w:t>
      </w:r>
      <w:r>
        <w:t>reparación integral no solo permite la reparación del daño ocasionado por la victimización, sino que, adicionalmente, ataca las condiciones de exclusión y desigualdad que permitieron la vulneración de derechos. Garantizar una reparación bajo un enfoque transformador es, además, garantía de no repetición que impulsa el desarrollo social en términos de justicia distributiva</w:t>
      </w:r>
      <w:r w:rsidR="003D4B92">
        <w:rPr>
          <w:rStyle w:val="Refdenotaalpie"/>
        </w:rPr>
        <w:footnoteReference w:id="1194"/>
      </w:r>
      <w:r>
        <w:t>. Sin desconocer los esfuerzos presupuestales que se han realizado, los recursos</w:t>
      </w:r>
      <w:r>
        <w:rPr>
          <w:spacing w:val="-1"/>
        </w:rPr>
        <w:t xml:space="preserve"> </w:t>
      </w:r>
      <w:r>
        <w:t>asignados</w:t>
      </w:r>
      <w:r>
        <w:rPr>
          <w:spacing w:val="-1"/>
        </w:rPr>
        <w:t xml:space="preserve"> </w:t>
      </w:r>
      <w:r>
        <w:t>para</w:t>
      </w:r>
      <w:r>
        <w:rPr>
          <w:spacing w:val="-2"/>
        </w:rPr>
        <w:t xml:space="preserve"> </w:t>
      </w:r>
      <w:r>
        <w:t>la</w:t>
      </w:r>
      <w:r>
        <w:rPr>
          <w:spacing w:val="-1"/>
        </w:rPr>
        <w:t xml:space="preserve"> </w:t>
      </w:r>
      <w:r>
        <w:t>reparación</w:t>
      </w:r>
      <w:r>
        <w:rPr>
          <w:spacing w:val="-1"/>
        </w:rPr>
        <w:t xml:space="preserve"> </w:t>
      </w:r>
      <w:r>
        <w:t>integral</w:t>
      </w:r>
      <w:r>
        <w:rPr>
          <w:spacing w:val="-1"/>
        </w:rPr>
        <w:t xml:space="preserve"> </w:t>
      </w:r>
      <w:r>
        <w:t>en</w:t>
      </w:r>
      <w:r>
        <w:rPr>
          <w:spacing w:val="-2"/>
        </w:rPr>
        <w:t xml:space="preserve"> </w:t>
      </w:r>
      <w:r>
        <w:t>el</w:t>
      </w:r>
      <w:r>
        <w:rPr>
          <w:spacing w:val="-1"/>
        </w:rPr>
        <w:t xml:space="preserve"> </w:t>
      </w:r>
      <w:r>
        <w:t>marco</w:t>
      </w:r>
      <w:r>
        <w:rPr>
          <w:spacing w:val="-1"/>
        </w:rPr>
        <w:t xml:space="preserve"> </w:t>
      </w:r>
      <w:r>
        <w:t>de</w:t>
      </w:r>
      <w:r>
        <w:rPr>
          <w:spacing w:val="-2"/>
        </w:rPr>
        <w:t xml:space="preserve"> </w:t>
      </w:r>
      <w:r>
        <w:t>la</w:t>
      </w:r>
      <w:r>
        <w:rPr>
          <w:spacing w:val="-1"/>
        </w:rPr>
        <w:t xml:space="preserve"> </w:t>
      </w:r>
      <w:r>
        <w:t>Ley</w:t>
      </w:r>
      <w:r>
        <w:rPr>
          <w:spacing w:val="-1"/>
        </w:rPr>
        <w:t xml:space="preserve"> </w:t>
      </w:r>
      <w:r>
        <w:t>de</w:t>
      </w:r>
      <w:r>
        <w:rPr>
          <w:spacing w:val="-1"/>
        </w:rPr>
        <w:t xml:space="preserve"> </w:t>
      </w:r>
      <w:r>
        <w:t>Víctimas</w:t>
      </w:r>
      <w:r>
        <w:rPr>
          <w:spacing w:val="-1"/>
        </w:rPr>
        <w:t xml:space="preserve"> </w:t>
      </w:r>
      <w:r>
        <w:t>y</w:t>
      </w:r>
      <w:r>
        <w:rPr>
          <w:spacing w:val="-1"/>
        </w:rPr>
        <w:t xml:space="preserve"> </w:t>
      </w:r>
      <w:r>
        <w:t>Decretos Ley Étnicos han sido insuficientes frente al universo de víctimas. A pesar de la prórroga de la Ley y del nuevo CONPES 4031 de 2021, se mantiene la alerta de que, al ritmo actual, no parece posible cumplir en tiempo razonable con la garantía del derecho mencionado.</w:t>
      </w:r>
    </w:p>
    <w:p w:rsidR="003804AC" w:rsidRDefault="00AF18A5" w:rsidP="003D4B92">
      <w:r>
        <w:t>Por todo lo anterior, estas recomendaciones hacen énfasis en los ajustes de política, normativos</w:t>
      </w:r>
      <w:r>
        <w:rPr>
          <w:spacing w:val="-4"/>
        </w:rPr>
        <w:t xml:space="preserve"> </w:t>
      </w:r>
      <w:r>
        <w:t>e</w:t>
      </w:r>
      <w:r>
        <w:rPr>
          <w:spacing w:val="-3"/>
        </w:rPr>
        <w:t xml:space="preserve"> </w:t>
      </w:r>
      <w:r>
        <w:t>institucionales</w:t>
      </w:r>
      <w:r>
        <w:rPr>
          <w:spacing w:val="-3"/>
        </w:rPr>
        <w:t xml:space="preserve"> </w:t>
      </w:r>
      <w:r>
        <w:t>necesarios</w:t>
      </w:r>
      <w:r>
        <w:rPr>
          <w:spacing w:val="-3"/>
        </w:rPr>
        <w:t xml:space="preserve"> </w:t>
      </w:r>
      <w:r>
        <w:t>para</w:t>
      </w:r>
      <w:r>
        <w:rPr>
          <w:spacing w:val="-3"/>
        </w:rPr>
        <w:t xml:space="preserve"> </w:t>
      </w:r>
      <w:r>
        <w:t>garantizar</w:t>
      </w:r>
      <w:r>
        <w:rPr>
          <w:spacing w:val="-3"/>
        </w:rPr>
        <w:t xml:space="preserve"> </w:t>
      </w:r>
      <w:r>
        <w:t>una</w:t>
      </w:r>
      <w:r>
        <w:rPr>
          <w:spacing w:val="-3"/>
        </w:rPr>
        <w:t xml:space="preserve"> </w:t>
      </w:r>
      <w:r>
        <w:t>reparación</w:t>
      </w:r>
      <w:r>
        <w:rPr>
          <w:spacing w:val="-3"/>
        </w:rPr>
        <w:t xml:space="preserve"> </w:t>
      </w:r>
      <w:r>
        <w:t>integral,</w:t>
      </w:r>
      <w:r>
        <w:rPr>
          <w:spacing w:val="-3"/>
        </w:rPr>
        <w:t xml:space="preserve"> </w:t>
      </w:r>
      <w:r>
        <w:t>diferenciada y transformadora, bajo un principio de no regresividad. El ajuste de dicha normatividad es uno de los grandes pendientes del punto 5 del Acuerdo (5.1.3.7). Lo anterior, entre otras cosas,</w:t>
      </w:r>
      <w:r>
        <w:rPr>
          <w:spacing w:val="-4"/>
        </w:rPr>
        <w:t xml:space="preserve"> </w:t>
      </w:r>
      <w:r>
        <w:t>implica</w:t>
      </w:r>
      <w:r>
        <w:rPr>
          <w:spacing w:val="-2"/>
        </w:rPr>
        <w:t xml:space="preserve"> </w:t>
      </w:r>
      <w:r>
        <w:t>pensar</w:t>
      </w:r>
      <w:r>
        <w:rPr>
          <w:spacing w:val="-3"/>
        </w:rPr>
        <w:t xml:space="preserve"> </w:t>
      </w:r>
      <w:r>
        <w:t>en</w:t>
      </w:r>
      <w:r>
        <w:rPr>
          <w:spacing w:val="-3"/>
        </w:rPr>
        <w:t xml:space="preserve"> </w:t>
      </w:r>
      <w:r>
        <w:t>fuentes</w:t>
      </w:r>
      <w:r>
        <w:rPr>
          <w:spacing w:val="-2"/>
        </w:rPr>
        <w:t xml:space="preserve"> </w:t>
      </w:r>
      <w:r>
        <w:t>de</w:t>
      </w:r>
      <w:r>
        <w:rPr>
          <w:spacing w:val="-3"/>
        </w:rPr>
        <w:t xml:space="preserve"> </w:t>
      </w:r>
      <w:r>
        <w:t>recursos</w:t>
      </w:r>
      <w:r>
        <w:rPr>
          <w:spacing w:val="-3"/>
        </w:rPr>
        <w:t xml:space="preserve"> </w:t>
      </w:r>
      <w:r>
        <w:t>adicionales;</w:t>
      </w:r>
      <w:r>
        <w:rPr>
          <w:spacing w:val="-3"/>
        </w:rPr>
        <w:t xml:space="preserve"> </w:t>
      </w:r>
      <w:r>
        <w:t>fortalecer</w:t>
      </w:r>
      <w:r>
        <w:rPr>
          <w:spacing w:val="-3"/>
        </w:rPr>
        <w:t xml:space="preserve"> </w:t>
      </w:r>
      <w:r>
        <w:t>la</w:t>
      </w:r>
      <w:r>
        <w:rPr>
          <w:spacing w:val="-3"/>
        </w:rPr>
        <w:t xml:space="preserve"> </w:t>
      </w:r>
      <w:r>
        <w:t>reparación</w:t>
      </w:r>
      <w:r>
        <w:rPr>
          <w:spacing w:val="-2"/>
        </w:rPr>
        <w:t xml:space="preserve"> </w:t>
      </w:r>
      <w:r>
        <w:t>colectiva</w:t>
      </w:r>
      <w:r>
        <w:rPr>
          <w:spacing w:val="-3"/>
        </w:rPr>
        <w:t xml:space="preserve"> </w:t>
      </w:r>
      <w:r>
        <w:t>y la</w:t>
      </w:r>
      <w:r>
        <w:rPr>
          <w:spacing w:val="-8"/>
        </w:rPr>
        <w:t xml:space="preserve"> </w:t>
      </w:r>
      <w:r>
        <w:t>reparación</w:t>
      </w:r>
      <w:r>
        <w:rPr>
          <w:spacing w:val="-8"/>
        </w:rPr>
        <w:t xml:space="preserve"> </w:t>
      </w:r>
      <w:r>
        <w:t>de</w:t>
      </w:r>
      <w:r>
        <w:rPr>
          <w:spacing w:val="-8"/>
        </w:rPr>
        <w:t xml:space="preserve"> </w:t>
      </w:r>
      <w:r>
        <w:t>víctimas</w:t>
      </w:r>
      <w:r>
        <w:rPr>
          <w:spacing w:val="-8"/>
        </w:rPr>
        <w:t xml:space="preserve"> </w:t>
      </w:r>
      <w:r>
        <w:t>de</w:t>
      </w:r>
      <w:r>
        <w:rPr>
          <w:spacing w:val="-8"/>
        </w:rPr>
        <w:t xml:space="preserve"> </w:t>
      </w:r>
      <w:r>
        <w:t>la</w:t>
      </w:r>
      <w:r>
        <w:rPr>
          <w:spacing w:val="-8"/>
        </w:rPr>
        <w:t xml:space="preserve"> </w:t>
      </w:r>
      <w:r>
        <w:t>fuerza</w:t>
      </w:r>
      <w:r>
        <w:rPr>
          <w:spacing w:val="-8"/>
        </w:rPr>
        <w:t xml:space="preserve"> </w:t>
      </w:r>
      <w:r>
        <w:t>pública;</w:t>
      </w:r>
      <w:r>
        <w:rPr>
          <w:spacing w:val="-8"/>
        </w:rPr>
        <w:t xml:space="preserve"> </w:t>
      </w:r>
      <w:r>
        <w:t>reconocer</w:t>
      </w:r>
      <w:r>
        <w:rPr>
          <w:spacing w:val="-8"/>
        </w:rPr>
        <w:t xml:space="preserve"> </w:t>
      </w:r>
      <w:r>
        <w:t>como</w:t>
      </w:r>
      <w:r>
        <w:rPr>
          <w:spacing w:val="-8"/>
        </w:rPr>
        <w:t xml:space="preserve"> </w:t>
      </w:r>
      <w:r>
        <w:t>víctimas</w:t>
      </w:r>
      <w:r>
        <w:rPr>
          <w:spacing w:val="-8"/>
        </w:rPr>
        <w:t xml:space="preserve"> </w:t>
      </w:r>
      <w:r>
        <w:t>a</w:t>
      </w:r>
      <w:r>
        <w:rPr>
          <w:spacing w:val="-9"/>
        </w:rPr>
        <w:t xml:space="preserve"> </w:t>
      </w:r>
      <w:r>
        <w:t>excombatientes</w:t>
      </w:r>
      <w:r>
        <w:rPr>
          <w:spacing w:val="-8"/>
        </w:rPr>
        <w:t xml:space="preserve"> </w:t>
      </w:r>
      <w:r>
        <w:t>en proceso</w:t>
      </w:r>
      <w:r>
        <w:rPr>
          <w:spacing w:val="-13"/>
        </w:rPr>
        <w:t xml:space="preserve"> </w:t>
      </w:r>
      <w:r>
        <w:t>de</w:t>
      </w:r>
      <w:r>
        <w:rPr>
          <w:spacing w:val="-13"/>
        </w:rPr>
        <w:t xml:space="preserve"> </w:t>
      </w:r>
      <w:r>
        <w:t>reincorporación</w:t>
      </w:r>
      <w:r>
        <w:rPr>
          <w:spacing w:val="-13"/>
        </w:rPr>
        <w:t xml:space="preserve"> </w:t>
      </w:r>
      <w:r>
        <w:t>que</w:t>
      </w:r>
      <w:r>
        <w:rPr>
          <w:spacing w:val="-13"/>
        </w:rPr>
        <w:t xml:space="preserve"> </w:t>
      </w:r>
      <w:r>
        <w:t>hayan</w:t>
      </w:r>
      <w:r>
        <w:rPr>
          <w:spacing w:val="-13"/>
        </w:rPr>
        <w:t xml:space="preserve"> </w:t>
      </w:r>
      <w:r>
        <w:t>sufrido</w:t>
      </w:r>
      <w:r>
        <w:rPr>
          <w:spacing w:val="-13"/>
        </w:rPr>
        <w:t xml:space="preserve"> </w:t>
      </w:r>
      <w:r>
        <w:t>de</w:t>
      </w:r>
      <w:r>
        <w:rPr>
          <w:spacing w:val="-14"/>
        </w:rPr>
        <w:t xml:space="preserve"> </w:t>
      </w:r>
      <w:r>
        <w:t>graves</w:t>
      </w:r>
      <w:r>
        <w:rPr>
          <w:spacing w:val="-13"/>
        </w:rPr>
        <w:t xml:space="preserve"> </w:t>
      </w:r>
      <w:r>
        <w:t>violaciones</w:t>
      </w:r>
      <w:r>
        <w:rPr>
          <w:spacing w:val="-13"/>
        </w:rPr>
        <w:t xml:space="preserve"> </w:t>
      </w:r>
      <w:r>
        <w:t>de</w:t>
      </w:r>
      <w:r>
        <w:rPr>
          <w:spacing w:val="-13"/>
        </w:rPr>
        <w:t xml:space="preserve"> </w:t>
      </w:r>
      <w:r>
        <w:t>DDHH</w:t>
      </w:r>
      <w:r>
        <w:rPr>
          <w:spacing w:val="-14"/>
        </w:rPr>
        <w:t xml:space="preserve"> </w:t>
      </w:r>
      <w:r>
        <w:t>e</w:t>
      </w:r>
      <w:r>
        <w:rPr>
          <w:spacing w:val="-13"/>
        </w:rPr>
        <w:t xml:space="preserve"> </w:t>
      </w:r>
      <w:r>
        <w:t>infracciones al DIH; y reconocer el exilio como una grave violación a los derechos humanos. La masividad de la reparación debe hacerse compatible con la especificidad de los daños diferenciales</w:t>
      </w:r>
      <w:r>
        <w:rPr>
          <w:spacing w:val="-8"/>
        </w:rPr>
        <w:t xml:space="preserve"> </w:t>
      </w:r>
      <w:r>
        <w:t>que</w:t>
      </w:r>
      <w:r>
        <w:rPr>
          <w:spacing w:val="-4"/>
        </w:rPr>
        <w:t xml:space="preserve"> </w:t>
      </w:r>
      <w:r>
        <w:t>sufren</w:t>
      </w:r>
      <w:r>
        <w:rPr>
          <w:spacing w:val="-5"/>
        </w:rPr>
        <w:t xml:space="preserve"> </w:t>
      </w:r>
      <w:r>
        <w:t>las</w:t>
      </w:r>
      <w:r>
        <w:rPr>
          <w:spacing w:val="-5"/>
        </w:rPr>
        <w:t xml:space="preserve"> </w:t>
      </w:r>
      <w:r>
        <w:t>víctimas</w:t>
      </w:r>
      <w:r>
        <w:rPr>
          <w:spacing w:val="-5"/>
        </w:rPr>
        <w:t xml:space="preserve"> </w:t>
      </w:r>
      <w:r>
        <w:t>según</w:t>
      </w:r>
      <w:r>
        <w:rPr>
          <w:spacing w:val="-4"/>
        </w:rPr>
        <w:t xml:space="preserve"> </w:t>
      </w:r>
      <w:r>
        <w:t>el</w:t>
      </w:r>
      <w:r>
        <w:rPr>
          <w:spacing w:val="-6"/>
        </w:rPr>
        <w:t xml:space="preserve"> </w:t>
      </w:r>
      <w:r>
        <w:t>hecho</w:t>
      </w:r>
      <w:r>
        <w:rPr>
          <w:spacing w:val="-4"/>
        </w:rPr>
        <w:t xml:space="preserve"> </w:t>
      </w:r>
      <w:proofErr w:type="spellStart"/>
      <w:r>
        <w:t>victimizante</w:t>
      </w:r>
      <w:proofErr w:type="spellEnd"/>
      <w:r>
        <w:rPr>
          <w:spacing w:val="-4"/>
        </w:rPr>
        <w:t xml:space="preserve"> </w:t>
      </w:r>
      <w:r>
        <w:t>y</w:t>
      </w:r>
      <w:r>
        <w:rPr>
          <w:spacing w:val="-6"/>
        </w:rPr>
        <w:t xml:space="preserve"> </w:t>
      </w:r>
      <w:r>
        <w:t>el</w:t>
      </w:r>
      <w:r>
        <w:rPr>
          <w:spacing w:val="-5"/>
        </w:rPr>
        <w:t xml:space="preserve"> </w:t>
      </w:r>
      <w:r>
        <w:t>grupo</w:t>
      </w:r>
      <w:r>
        <w:rPr>
          <w:spacing w:val="-5"/>
        </w:rPr>
        <w:t xml:space="preserve"> </w:t>
      </w:r>
      <w:r>
        <w:t>poblacional,</w:t>
      </w:r>
      <w:r>
        <w:rPr>
          <w:spacing w:val="-4"/>
        </w:rPr>
        <w:t xml:space="preserve"> </w:t>
      </w:r>
      <w:r>
        <w:rPr>
          <w:spacing w:val="-5"/>
        </w:rPr>
        <w:t>por</w:t>
      </w:r>
      <w:bookmarkStart w:id="1531" w:name="_bookmark1332"/>
      <w:bookmarkStart w:id="1532" w:name="_bookmark1333"/>
      <w:bookmarkEnd w:id="1531"/>
      <w:bookmarkEnd w:id="1532"/>
      <w:r w:rsidR="003D4B92">
        <w:t xml:space="preserve"> </w:t>
      </w:r>
      <w:r>
        <w:t>lo</w:t>
      </w:r>
      <w:r>
        <w:rPr>
          <w:spacing w:val="-8"/>
        </w:rPr>
        <w:t xml:space="preserve"> </w:t>
      </w:r>
      <w:r>
        <w:t>que</w:t>
      </w:r>
      <w:r>
        <w:rPr>
          <w:spacing w:val="-8"/>
        </w:rPr>
        <w:t xml:space="preserve"> </w:t>
      </w:r>
      <w:r>
        <w:t>el</w:t>
      </w:r>
      <w:r>
        <w:rPr>
          <w:spacing w:val="-8"/>
        </w:rPr>
        <w:t xml:space="preserve"> </w:t>
      </w:r>
      <w:r>
        <w:lastRenderedPageBreak/>
        <w:t>Sistema</w:t>
      </w:r>
      <w:r>
        <w:rPr>
          <w:spacing w:val="-8"/>
        </w:rPr>
        <w:t xml:space="preserve"> </w:t>
      </w:r>
      <w:r>
        <w:t>de</w:t>
      </w:r>
      <w:r>
        <w:rPr>
          <w:spacing w:val="-8"/>
        </w:rPr>
        <w:t xml:space="preserve"> </w:t>
      </w:r>
      <w:r>
        <w:t>Reparación</w:t>
      </w:r>
      <w:r>
        <w:rPr>
          <w:spacing w:val="-8"/>
        </w:rPr>
        <w:t xml:space="preserve"> </w:t>
      </w:r>
      <w:r>
        <w:t>debe</w:t>
      </w:r>
      <w:r>
        <w:rPr>
          <w:spacing w:val="-9"/>
        </w:rPr>
        <w:t xml:space="preserve"> </w:t>
      </w:r>
      <w:r>
        <w:t>adecuarse</w:t>
      </w:r>
      <w:r>
        <w:rPr>
          <w:spacing w:val="-8"/>
        </w:rPr>
        <w:t xml:space="preserve"> </w:t>
      </w:r>
      <w:r>
        <w:t>para</w:t>
      </w:r>
      <w:r>
        <w:rPr>
          <w:spacing w:val="-8"/>
        </w:rPr>
        <w:t xml:space="preserve"> </w:t>
      </w:r>
      <w:r>
        <w:t>especializar</w:t>
      </w:r>
      <w:r>
        <w:rPr>
          <w:spacing w:val="-8"/>
        </w:rPr>
        <w:t xml:space="preserve"> </w:t>
      </w:r>
      <w:r>
        <w:t>su</w:t>
      </w:r>
      <w:r>
        <w:rPr>
          <w:spacing w:val="-9"/>
        </w:rPr>
        <w:t xml:space="preserve"> </w:t>
      </w:r>
      <w:r>
        <w:t>respuesta</w:t>
      </w:r>
      <w:r>
        <w:rPr>
          <w:spacing w:val="-8"/>
        </w:rPr>
        <w:t xml:space="preserve"> </w:t>
      </w:r>
      <w:r>
        <w:t>y</w:t>
      </w:r>
      <w:r>
        <w:rPr>
          <w:spacing w:val="-9"/>
        </w:rPr>
        <w:t xml:space="preserve"> </w:t>
      </w:r>
      <w:r>
        <w:t>para</w:t>
      </w:r>
      <w:r>
        <w:rPr>
          <w:spacing w:val="-8"/>
        </w:rPr>
        <w:t xml:space="preserve"> </w:t>
      </w:r>
      <w:r>
        <w:t>atender y reparar de manera diferencial los daños de las víctimas de delitos contra la libertad e integridad</w:t>
      </w:r>
      <w:r>
        <w:rPr>
          <w:spacing w:val="-15"/>
        </w:rPr>
        <w:t xml:space="preserve"> </w:t>
      </w:r>
      <w:r>
        <w:t>sexual,</w:t>
      </w:r>
      <w:r>
        <w:rPr>
          <w:spacing w:val="-15"/>
        </w:rPr>
        <w:t xml:space="preserve"> </w:t>
      </w:r>
      <w:r>
        <w:t>desaparición</w:t>
      </w:r>
      <w:r>
        <w:rPr>
          <w:spacing w:val="-15"/>
        </w:rPr>
        <w:t xml:space="preserve"> </w:t>
      </w:r>
      <w:r>
        <w:t>forzada,</w:t>
      </w:r>
      <w:r>
        <w:rPr>
          <w:spacing w:val="-15"/>
        </w:rPr>
        <w:t xml:space="preserve"> </w:t>
      </w:r>
      <w:r>
        <w:t>tortura,</w:t>
      </w:r>
      <w:r>
        <w:rPr>
          <w:spacing w:val="-15"/>
        </w:rPr>
        <w:t xml:space="preserve"> </w:t>
      </w:r>
      <w:r>
        <w:t>secuestro,</w:t>
      </w:r>
      <w:r>
        <w:rPr>
          <w:spacing w:val="-15"/>
        </w:rPr>
        <w:t xml:space="preserve"> </w:t>
      </w:r>
      <w:r>
        <w:t>lesiones</w:t>
      </w:r>
      <w:r>
        <w:rPr>
          <w:spacing w:val="-15"/>
        </w:rPr>
        <w:t xml:space="preserve"> </w:t>
      </w:r>
      <w:r>
        <w:t>que</w:t>
      </w:r>
      <w:r>
        <w:rPr>
          <w:spacing w:val="-15"/>
        </w:rPr>
        <w:t xml:space="preserve"> </w:t>
      </w:r>
      <w:r>
        <w:t>causaron</w:t>
      </w:r>
      <w:r>
        <w:rPr>
          <w:spacing w:val="-15"/>
        </w:rPr>
        <w:t xml:space="preserve"> </w:t>
      </w:r>
      <w:r>
        <w:t>incapacidad como aquellas producidas por minas antipersonal y municiones sin explotar, homicidio, exilio, desplazamiento forzado, y reclutamiento de niños, niñas y adolescentes.</w:t>
      </w:r>
    </w:p>
    <w:p w:rsidR="003804AC" w:rsidRDefault="00AF18A5" w:rsidP="003D4B92">
      <w:r>
        <w:t>En la actualidad, la Ley de Víctimas y sus Decretos Étnicos no reconocen el exilio y el refugio</w:t>
      </w:r>
      <w:r>
        <w:rPr>
          <w:spacing w:val="-6"/>
        </w:rPr>
        <w:t xml:space="preserve"> </w:t>
      </w:r>
      <w:r>
        <w:t>transfronterizo</w:t>
      </w:r>
      <w:r>
        <w:rPr>
          <w:spacing w:val="-5"/>
        </w:rPr>
        <w:t xml:space="preserve"> </w:t>
      </w:r>
      <w:r>
        <w:t>como</w:t>
      </w:r>
      <w:r>
        <w:rPr>
          <w:spacing w:val="-5"/>
        </w:rPr>
        <w:t xml:space="preserve"> </w:t>
      </w:r>
      <w:r>
        <w:t>un</w:t>
      </w:r>
      <w:r>
        <w:rPr>
          <w:spacing w:val="-5"/>
        </w:rPr>
        <w:t xml:space="preserve"> </w:t>
      </w:r>
      <w:r>
        <w:t>hecho</w:t>
      </w:r>
      <w:r>
        <w:rPr>
          <w:spacing w:val="-5"/>
        </w:rPr>
        <w:t xml:space="preserve"> </w:t>
      </w:r>
      <w:proofErr w:type="spellStart"/>
      <w:r>
        <w:t>victimizante</w:t>
      </w:r>
      <w:proofErr w:type="spellEnd"/>
      <w:r>
        <w:rPr>
          <w:spacing w:val="-4"/>
        </w:rPr>
        <w:t xml:space="preserve"> </w:t>
      </w:r>
      <w:r>
        <w:t>y</w:t>
      </w:r>
      <w:r>
        <w:rPr>
          <w:spacing w:val="-5"/>
        </w:rPr>
        <w:t xml:space="preserve"> </w:t>
      </w:r>
      <w:r>
        <w:t>no</w:t>
      </w:r>
      <w:r>
        <w:rPr>
          <w:spacing w:val="-5"/>
        </w:rPr>
        <w:t xml:space="preserve"> </w:t>
      </w:r>
      <w:r>
        <w:t>se</w:t>
      </w:r>
      <w:r>
        <w:rPr>
          <w:spacing w:val="-4"/>
        </w:rPr>
        <w:t xml:space="preserve"> </w:t>
      </w:r>
      <w:r>
        <w:t>ha</w:t>
      </w:r>
      <w:r>
        <w:rPr>
          <w:spacing w:val="-4"/>
        </w:rPr>
        <w:t xml:space="preserve"> </w:t>
      </w:r>
      <w:r>
        <w:t>avanzado</w:t>
      </w:r>
      <w:r>
        <w:rPr>
          <w:spacing w:val="-7"/>
        </w:rPr>
        <w:t xml:space="preserve"> </w:t>
      </w:r>
      <w:r>
        <w:t>de</w:t>
      </w:r>
      <w:r>
        <w:rPr>
          <w:spacing w:val="-4"/>
        </w:rPr>
        <w:t xml:space="preserve"> </w:t>
      </w:r>
      <w:r>
        <w:t>manera</w:t>
      </w:r>
      <w:r>
        <w:rPr>
          <w:spacing w:val="-4"/>
        </w:rPr>
        <w:t xml:space="preserve"> </w:t>
      </w:r>
      <w:r>
        <w:t>decidida con</w:t>
      </w:r>
      <w:r>
        <w:rPr>
          <w:spacing w:val="-15"/>
        </w:rPr>
        <w:t xml:space="preserve"> </w:t>
      </w:r>
      <w:r>
        <w:t>un</w:t>
      </w:r>
      <w:r>
        <w:rPr>
          <w:spacing w:val="-15"/>
        </w:rPr>
        <w:t xml:space="preserve"> </w:t>
      </w:r>
      <w:r>
        <w:t>programa</w:t>
      </w:r>
      <w:r>
        <w:rPr>
          <w:spacing w:val="-15"/>
        </w:rPr>
        <w:t xml:space="preserve"> </w:t>
      </w:r>
      <w:r>
        <w:t>para</w:t>
      </w:r>
      <w:r>
        <w:rPr>
          <w:spacing w:val="-15"/>
        </w:rPr>
        <w:t xml:space="preserve"> </w:t>
      </w:r>
      <w:r>
        <w:t>el</w:t>
      </w:r>
      <w:r>
        <w:rPr>
          <w:spacing w:val="-15"/>
        </w:rPr>
        <w:t xml:space="preserve"> </w:t>
      </w:r>
      <w:r>
        <w:t>retorno</w:t>
      </w:r>
      <w:r>
        <w:rPr>
          <w:spacing w:val="-15"/>
        </w:rPr>
        <w:t xml:space="preserve"> </w:t>
      </w:r>
      <w:r>
        <w:t>de</w:t>
      </w:r>
      <w:r>
        <w:rPr>
          <w:spacing w:val="-15"/>
        </w:rPr>
        <w:t xml:space="preserve"> </w:t>
      </w:r>
      <w:r>
        <w:t>las</w:t>
      </w:r>
      <w:r>
        <w:rPr>
          <w:spacing w:val="-15"/>
        </w:rPr>
        <w:t xml:space="preserve"> </w:t>
      </w:r>
      <w:r>
        <w:t>personas</w:t>
      </w:r>
      <w:r>
        <w:rPr>
          <w:spacing w:val="-15"/>
        </w:rPr>
        <w:t xml:space="preserve"> </w:t>
      </w:r>
      <w:r>
        <w:t>exiliadas,</w:t>
      </w:r>
      <w:r>
        <w:rPr>
          <w:spacing w:val="-15"/>
        </w:rPr>
        <w:t xml:space="preserve"> </w:t>
      </w:r>
      <w:r>
        <w:t>como</w:t>
      </w:r>
      <w:r>
        <w:rPr>
          <w:spacing w:val="-15"/>
        </w:rPr>
        <w:t xml:space="preserve"> </w:t>
      </w:r>
      <w:r>
        <w:t>se</w:t>
      </w:r>
      <w:r>
        <w:rPr>
          <w:spacing w:val="-15"/>
        </w:rPr>
        <w:t xml:space="preserve"> </w:t>
      </w:r>
      <w:r>
        <w:t>acordó</w:t>
      </w:r>
      <w:r>
        <w:rPr>
          <w:spacing w:val="-15"/>
        </w:rPr>
        <w:t xml:space="preserve"> </w:t>
      </w:r>
      <w:r>
        <w:t>en</w:t>
      </w:r>
      <w:r>
        <w:rPr>
          <w:spacing w:val="-15"/>
        </w:rPr>
        <w:t xml:space="preserve"> </w:t>
      </w:r>
      <w:r>
        <w:t>el</w:t>
      </w:r>
      <w:r>
        <w:rPr>
          <w:spacing w:val="-15"/>
        </w:rPr>
        <w:t xml:space="preserve"> </w:t>
      </w:r>
      <w:r>
        <w:t>Punto</w:t>
      </w:r>
      <w:r>
        <w:rPr>
          <w:spacing w:val="-15"/>
        </w:rPr>
        <w:t xml:space="preserve"> </w:t>
      </w:r>
      <w:r>
        <w:t>5.1.3.5. del</w:t>
      </w:r>
      <w:r>
        <w:rPr>
          <w:spacing w:val="-6"/>
        </w:rPr>
        <w:t xml:space="preserve"> </w:t>
      </w:r>
      <w:r>
        <w:t>Acuerdo</w:t>
      </w:r>
      <w:r>
        <w:rPr>
          <w:spacing w:val="-7"/>
        </w:rPr>
        <w:t xml:space="preserve"> </w:t>
      </w:r>
      <w:r>
        <w:t>Final</w:t>
      </w:r>
      <w:r>
        <w:rPr>
          <w:spacing w:val="-6"/>
        </w:rPr>
        <w:t xml:space="preserve"> </w:t>
      </w:r>
      <w:r>
        <w:t>de</w:t>
      </w:r>
      <w:r>
        <w:rPr>
          <w:spacing w:val="-6"/>
        </w:rPr>
        <w:t xml:space="preserve"> </w:t>
      </w:r>
      <w:r>
        <w:t>Paz.</w:t>
      </w:r>
      <w:r>
        <w:rPr>
          <w:spacing w:val="-6"/>
        </w:rPr>
        <w:t xml:space="preserve"> </w:t>
      </w:r>
      <w:r>
        <w:t>Este</w:t>
      </w:r>
      <w:r>
        <w:rPr>
          <w:spacing w:val="-6"/>
        </w:rPr>
        <w:t xml:space="preserve"> </w:t>
      </w:r>
      <w:r>
        <w:t>reconocimiento</w:t>
      </w:r>
      <w:r>
        <w:rPr>
          <w:spacing w:val="-6"/>
        </w:rPr>
        <w:t xml:space="preserve"> </w:t>
      </w:r>
      <w:r>
        <w:t>debe</w:t>
      </w:r>
      <w:r>
        <w:rPr>
          <w:spacing w:val="-6"/>
        </w:rPr>
        <w:t xml:space="preserve"> </w:t>
      </w:r>
      <w:r>
        <w:t>darse</w:t>
      </w:r>
      <w:r>
        <w:rPr>
          <w:spacing w:val="-6"/>
        </w:rPr>
        <w:t xml:space="preserve"> </w:t>
      </w:r>
      <w:r>
        <w:t>conforme</w:t>
      </w:r>
      <w:r>
        <w:rPr>
          <w:spacing w:val="-6"/>
        </w:rPr>
        <w:t xml:space="preserve"> </w:t>
      </w:r>
      <w:r>
        <w:t>a</w:t>
      </w:r>
      <w:r>
        <w:rPr>
          <w:spacing w:val="-7"/>
        </w:rPr>
        <w:t xml:space="preserve"> </w:t>
      </w:r>
      <w:r>
        <w:t>las</w:t>
      </w:r>
      <w:r>
        <w:rPr>
          <w:spacing w:val="-7"/>
        </w:rPr>
        <w:t xml:space="preserve"> </w:t>
      </w:r>
      <w:r>
        <w:t>guías</w:t>
      </w:r>
      <w:r>
        <w:rPr>
          <w:spacing w:val="-6"/>
        </w:rPr>
        <w:t xml:space="preserve"> </w:t>
      </w:r>
      <w:r>
        <w:t>y</w:t>
      </w:r>
      <w:r>
        <w:rPr>
          <w:spacing w:val="-6"/>
        </w:rPr>
        <w:t xml:space="preserve"> </w:t>
      </w:r>
      <w:r>
        <w:t>protocolos establecidos por el derecho internacional y, sobre todo, ser consultado con las víctimas en cuanto a su metodología, aspectos sustanciales y de fondo</w:t>
      </w:r>
      <w:r w:rsidR="003D4B92">
        <w:rPr>
          <w:rStyle w:val="Refdenotaalpie"/>
        </w:rPr>
        <w:footnoteReference w:id="1195"/>
      </w:r>
      <w:r>
        <w:t>. Dentro de estos aspectos, se deben</w:t>
      </w:r>
      <w:r>
        <w:rPr>
          <w:spacing w:val="-2"/>
        </w:rPr>
        <w:t xml:space="preserve"> </w:t>
      </w:r>
      <w:r>
        <w:t>propiciar</w:t>
      </w:r>
      <w:r>
        <w:rPr>
          <w:spacing w:val="-3"/>
        </w:rPr>
        <w:t xml:space="preserve"> </w:t>
      </w:r>
      <w:r>
        <w:t>articulaciones</w:t>
      </w:r>
      <w:r>
        <w:rPr>
          <w:spacing w:val="-3"/>
        </w:rPr>
        <w:t xml:space="preserve"> </w:t>
      </w:r>
      <w:r>
        <w:t>entre</w:t>
      </w:r>
      <w:r>
        <w:rPr>
          <w:spacing w:val="-3"/>
        </w:rPr>
        <w:t xml:space="preserve"> </w:t>
      </w:r>
      <w:r>
        <w:t>los</w:t>
      </w:r>
      <w:r>
        <w:rPr>
          <w:spacing w:val="-2"/>
        </w:rPr>
        <w:t xml:space="preserve"> </w:t>
      </w:r>
      <w:r>
        <w:t>entes</w:t>
      </w:r>
      <w:r>
        <w:rPr>
          <w:spacing w:val="-3"/>
        </w:rPr>
        <w:t xml:space="preserve"> </w:t>
      </w:r>
      <w:r>
        <w:t>que</w:t>
      </w:r>
      <w:r>
        <w:rPr>
          <w:spacing w:val="-2"/>
        </w:rPr>
        <w:t xml:space="preserve"> </w:t>
      </w:r>
      <w:r>
        <w:t>llevan</w:t>
      </w:r>
      <w:r>
        <w:rPr>
          <w:spacing w:val="-3"/>
        </w:rPr>
        <w:t xml:space="preserve"> </w:t>
      </w:r>
      <w:r>
        <w:t>el</w:t>
      </w:r>
      <w:r>
        <w:rPr>
          <w:spacing w:val="-3"/>
        </w:rPr>
        <w:t xml:space="preserve"> </w:t>
      </w:r>
      <w:r>
        <w:t>registro</w:t>
      </w:r>
      <w:r>
        <w:rPr>
          <w:spacing w:val="-2"/>
        </w:rPr>
        <w:t xml:space="preserve"> </w:t>
      </w:r>
      <w:r>
        <w:t>de</w:t>
      </w:r>
      <w:r>
        <w:rPr>
          <w:spacing w:val="-3"/>
        </w:rPr>
        <w:t xml:space="preserve"> </w:t>
      </w:r>
      <w:r>
        <w:t>las</w:t>
      </w:r>
      <w:r>
        <w:rPr>
          <w:spacing w:val="-2"/>
        </w:rPr>
        <w:t xml:space="preserve"> </w:t>
      </w:r>
      <w:r>
        <w:t>personas</w:t>
      </w:r>
      <w:r>
        <w:rPr>
          <w:spacing w:val="-3"/>
        </w:rPr>
        <w:t xml:space="preserve"> </w:t>
      </w:r>
      <w:r>
        <w:t xml:space="preserve">exiliadas y refugiadas: </w:t>
      </w:r>
      <w:proofErr w:type="spellStart"/>
      <w:r>
        <w:t>Acnur</w:t>
      </w:r>
      <w:proofErr w:type="spellEnd"/>
      <w:r>
        <w:t xml:space="preserve"> y el Registro Único de Víctimas.</w:t>
      </w:r>
    </w:p>
    <w:p w:rsidR="003804AC" w:rsidRDefault="00AF18A5" w:rsidP="003D4B92">
      <w:r>
        <w:t>En</w:t>
      </w:r>
      <w:r>
        <w:rPr>
          <w:spacing w:val="-15"/>
        </w:rPr>
        <w:t xml:space="preserve"> </w:t>
      </w:r>
      <w:r>
        <w:t>un</w:t>
      </w:r>
      <w:r>
        <w:rPr>
          <w:spacing w:val="-15"/>
        </w:rPr>
        <w:t xml:space="preserve"> </w:t>
      </w:r>
      <w:r>
        <w:t>tercer</w:t>
      </w:r>
      <w:r>
        <w:rPr>
          <w:spacing w:val="-15"/>
        </w:rPr>
        <w:t xml:space="preserve"> </w:t>
      </w:r>
      <w:r>
        <w:t>momento,</w:t>
      </w:r>
      <w:r>
        <w:rPr>
          <w:spacing w:val="-15"/>
        </w:rPr>
        <w:t xml:space="preserve"> </w:t>
      </w:r>
      <w:r>
        <w:t>se</w:t>
      </w:r>
      <w:r>
        <w:rPr>
          <w:spacing w:val="-15"/>
        </w:rPr>
        <w:t xml:space="preserve"> </w:t>
      </w:r>
      <w:r>
        <w:t>proponen</w:t>
      </w:r>
      <w:r>
        <w:rPr>
          <w:spacing w:val="-15"/>
        </w:rPr>
        <w:t xml:space="preserve"> </w:t>
      </w:r>
      <w:r>
        <w:t>recomendaciones</w:t>
      </w:r>
      <w:r>
        <w:rPr>
          <w:spacing w:val="-15"/>
        </w:rPr>
        <w:t xml:space="preserve"> </w:t>
      </w:r>
      <w:r>
        <w:t>encaminadas</w:t>
      </w:r>
      <w:r>
        <w:rPr>
          <w:spacing w:val="-15"/>
        </w:rPr>
        <w:t xml:space="preserve"> </w:t>
      </w:r>
      <w:r>
        <w:t>a</w:t>
      </w:r>
      <w:r>
        <w:rPr>
          <w:spacing w:val="-15"/>
        </w:rPr>
        <w:t xml:space="preserve"> </w:t>
      </w:r>
      <w:r>
        <w:t>garantizar</w:t>
      </w:r>
      <w:r>
        <w:rPr>
          <w:spacing w:val="-15"/>
        </w:rPr>
        <w:t xml:space="preserve"> </w:t>
      </w:r>
      <w:r>
        <w:t>el</w:t>
      </w:r>
      <w:r>
        <w:rPr>
          <w:spacing w:val="-15"/>
        </w:rPr>
        <w:t xml:space="preserve"> </w:t>
      </w:r>
      <w:r>
        <w:t xml:space="preserve">derecho a una atención integral en salud física y psicosocial continua, robusta y que responda a las particularidades propias de los diferentes hechos </w:t>
      </w:r>
      <w:proofErr w:type="spellStart"/>
      <w:r>
        <w:t>victimizantes</w:t>
      </w:r>
      <w:proofErr w:type="spellEnd"/>
      <w:r>
        <w:t>, así como de los enfoques diferenciales. Entre otras, se propone un énfasis especial en fortalecer el enfoque colectivo en la atención psicosocial para comunidades afectadas por el conflicto. Esto está muy relacionado</w:t>
      </w:r>
      <w:r>
        <w:rPr>
          <w:spacing w:val="-9"/>
        </w:rPr>
        <w:t xml:space="preserve"> </w:t>
      </w:r>
      <w:r>
        <w:t>con</w:t>
      </w:r>
      <w:r>
        <w:rPr>
          <w:spacing w:val="-8"/>
        </w:rPr>
        <w:t xml:space="preserve"> </w:t>
      </w:r>
      <w:r>
        <w:t>la</w:t>
      </w:r>
      <w:r>
        <w:rPr>
          <w:spacing w:val="-8"/>
        </w:rPr>
        <w:t xml:space="preserve"> </w:t>
      </w:r>
      <w:r>
        <w:t>implementación</w:t>
      </w:r>
      <w:r>
        <w:rPr>
          <w:spacing w:val="-8"/>
        </w:rPr>
        <w:t xml:space="preserve"> </w:t>
      </w:r>
      <w:r>
        <w:t>del</w:t>
      </w:r>
      <w:r>
        <w:rPr>
          <w:spacing w:val="-8"/>
        </w:rPr>
        <w:t xml:space="preserve"> </w:t>
      </w:r>
      <w:r>
        <w:t>Plan</w:t>
      </w:r>
      <w:r>
        <w:rPr>
          <w:spacing w:val="-8"/>
        </w:rPr>
        <w:t xml:space="preserve"> </w:t>
      </w:r>
      <w:r>
        <w:t>Nacional</w:t>
      </w:r>
      <w:r>
        <w:rPr>
          <w:spacing w:val="-8"/>
        </w:rPr>
        <w:t xml:space="preserve"> </w:t>
      </w:r>
      <w:r>
        <w:t>de</w:t>
      </w:r>
      <w:r>
        <w:rPr>
          <w:spacing w:val="-8"/>
        </w:rPr>
        <w:t xml:space="preserve"> </w:t>
      </w:r>
      <w:r>
        <w:t>Rehabilitación</w:t>
      </w:r>
      <w:r>
        <w:rPr>
          <w:spacing w:val="-8"/>
        </w:rPr>
        <w:t xml:space="preserve"> </w:t>
      </w:r>
      <w:r>
        <w:t>que</w:t>
      </w:r>
      <w:r>
        <w:rPr>
          <w:spacing w:val="-8"/>
        </w:rPr>
        <w:t xml:space="preserve"> </w:t>
      </w:r>
      <w:r>
        <w:t>se</w:t>
      </w:r>
      <w:r>
        <w:rPr>
          <w:spacing w:val="-8"/>
        </w:rPr>
        <w:t xml:space="preserve"> </w:t>
      </w:r>
      <w:r>
        <w:t>propuso</w:t>
      </w:r>
      <w:r>
        <w:rPr>
          <w:spacing w:val="-8"/>
        </w:rPr>
        <w:t xml:space="preserve"> </w:t>
      </w:r>
      <w:r>
        <w:t>en</w:t>
      </w:r>
      <w:r>
        <w:rPr>
          <w:spacing w:val="-8"/>
        </w:rPr>
        <w:t xml:space="preserve"> </w:t>
      </w:r>
      <w:r>
        <w:t>el Acuerdo</w:t>
      </w:r>
      <w:r>
        <w:rPr>
          <w:spacing w:val="-7"/>
        </w:rPr>
        <w:t xml:space="preserve"> </w:t>
      </w:r>
      <w:r>
        <w:t>Final</w:t>
      </w:r>
      <w:r>
        <w:rPr>
          <w:spacing w:val="-7"/>
        </w:rPr>
        <w:t xml:space="preserve"> </w:t>
      </w:r>
      <w:r>
        <w:t>de</w:t>
      </w:r>
      <w:r>
        <w:rPr>
          <w:spacing w:val="-7"/>
        </w:rPr>
        <w:t xml:space="preserve"> </w:t>
      </w:r>
      <w:r>
        <w:t>Paz</w:t>
      </w:r>
      <w:r>
        <w:rPr>
          <w:spacing w:val="-7"/>
        </w:rPr>
        <w:t xml:space="preserve"> </w:t>
      </w:r>
      <w:r>
        <w:t>y</w:t>
      </w:r>
      <w:r>
        <w:rPr>
          <w:spacing w:val="-7"/>
        </w:rPr>
        <w:t xml:space="preserve"> </w:t>
      </w:r>
      <w:r>
        <w:lastRenderedPageBreak/>
        <w:t>cuyo</w:t>
      </w:r>
      <w:r>
        <w:rPr>
          <w:spacing w:val="-7"/>
        </w:rPr>
        <w:t xml:space="preserve"> </w:t>
      </w:r>
      <w:r>
        <w:t>borrador</w:t>
      </w:r>
      <w:r>
        <w:rPr>
          <w:spacing w:val="-7"/>
        </w:rPr>
        <w:t xml:space="preserve"> </w:t>
      </w:r>
      <w:r>
        <w:t>aún</w:t>
      </w:r>
      <w:r>
        <w:rPr>
          <w:spacing w:val="-7"/>
        </w:rPr>
        <w:t xml:space="preserve"> </w:t>
      </w:r>
      <w:r>
        <w:t>no</w:t>
      </w:r>
      <w:r>
        <w:rPr>
          <w:spacing w:val="-7"/>
        </w:rPr>
        <w:t xml:space="preserve"> </w:t>
      </w:r>
      <w:r>
        <w:t>ha</w:t>
      </w:r>
      <w:r>
        <w:rPr>
          <w:spacing w:val="-7"/>
        </w:rPr>
        <w:t xml:space="preserve"> </w:t>
      </w:r>
      <w:r>
        <w:t>sido</w:t>
      </w:r>
      <w:r>
        <w:rPr>
          <w:spacing w:val="-7"/>
        </w:rPr>
        <w:t xml:space="preserve"> </w:t>
      </w:r>
      <w:r>
        <w:t>aprobado</w:t>
      </w:r>
      <w:r>
        <w:rPr>
          <w:spacing w:val="-7"/>
        </w:rPr>
        <w:t xml:space="preserve"> </w:t>
      </w:r>
      <w:r>
        <w:t>por</w:t>
      </w:r>
      <w:r>
        <w:rPr>
          <w:spacing w:val="-7"/>
        </w:rPr>
        <w:t xml:space="preserve"> </w:t>
      </w:r>
      <w:r>
        <w:t>el</w:t>
      </w:r>
      <w:r>
        <w:rPr>
          <w:spacing w:val="-7"/>
        </w:rPr>
        <w:t xml:space="preserve"> </w:t>
      </w:r>
      <w:r>
        <w:t>Gobierno</w:t>
      </w:r>
      <w:r>
        <w:rPr>
          <w:spacing w:val="-7"/>
        </w:rPr>
        <w:t xml:space="preserve"> </w:t>
      </w:r>
      <w:r>
        <w:t>Nacional.</w:t>
      </w:r>
      <w:r>
        <w:rPr>
          <w:spacing w:val="-7"/>
        </w:rPr>
        <w:t xml:space="preserve"> </w:t>
      </w:r>
      <w:r>
        <w:t>El año pasado este plan estaba en una nueva revisión por parte de la Dirección Jurídica del Ministerio</w:t>
      </w:r>
      <w:r>
        <w:rPr>
          <w:spacing w:val="-7"/>
        </w:rPr>
        <w:t xml:space="preserve"> </w:t>
      </w:r>
      <w:r>
        <w:t>de</w:t>
      </w:r>
      <w:r>
        <w:rPr>
          <w:spacing w:val="-7"/>
        </w:rPr>
        <w:t xml:space="preserve"> </w:t>
      </w:r>
      <w:r>
        <w:t>Salud,</w:t>
      </w:r>
      <w:r>
        <w:rPr>
          <w:spacing w:val="-7"/>
        </w:rPr>
        <w:t xml:space="preserve"> </w:t>
      </w:r>
      <w:r>
        <w:t>y,</w:t>
      </w:r>
      <w:r>
        <w:rPr>
          <w:spacing w:val="-7"/>
        </w:rPr>
        <w:t xml:space="preserve"> </w:t>
      </w:r>
      <w:r>
        <w:t>a</w:t>
      </w:r>
      <w:r>
        <w:rPr>
          <w:spacing w:val="-7"/>
        </w:rPr>
        <w:t xml:space="preserve"> </w:t>
      </w:r>
      <w:r>
        <w:t>la</w:t>
      </w:r>
      <w:r>
        <w:rPr>
          <w:spacing w:val="-7"/>
        </w:rPr>
        <w:t xml:space="preserve"> </w:t>
      </w:r>
      <w:r>
        <w:t>fecha,</w:t>
      </w:r>
      <w:r>
        <w:rPr>
          <w:spacing w:val="-7"/>
        </w:rPr>
        <w:t xml:space="preserve"> </w:t>
      </w:r>
      <w:r>
        <w:t>el</w:t>
      </w:r>
      <w:r>
        <w:rPr>
          <w:spacing w:val="-7"/>
        </w:rPr>
        <w:t xml:space="preserve"> </w:t>
      </w:r>
      <w:r>
        <w:t>Decreto</w:t>
      </w:r>
      <w:r>
        <w:rPr>
          <w:spacing w:val="-7"/>
        </w:rPr>
        <w:t xml:space="preserve"> </w:t>
      </w:r>
      <w:r>
        <w:t>que</w:t>
      </w:r>
      <w:r>
        <w:rPr>
          <w:spacing w:val="-8"/>
        </w:rPr>
        <w:t xml:space="preserve"> </w:t>
      </w:r>
      <w:r>
        <w:t>debe</w:t>
      </w:r>
      <w:r>
        <w:rPr>
          <w:spacing w:val="-7"/>
        </w:rPr>
        <w:t xml:space="preserve"> </w:t>
      </w:r>
      <w:r>
        <w:t>acoger</w:t>
      </w:r>
      <w:r>
        <w:rPr>
          <w:spacing w:val="-8"/>
        </w:rPr>
        <w:t xml:space="preserve"> </w:t>
      </w:r>
      <w:r>
        <w:t>el</w:t>
      </w:r>
      <w:r>
        <w:rPr>
          <w:spacing w:val="-7"/>
        </w:rPr>
        <w:t xml:space="preserve"> </w:t>
      </w:r>
      <w:r>
        <w:t>Plan</w:t>
      </w:r>
      <w:r>
        <w:rPr>
          <w:spacing w:val="-7"/>
        </w:rPr>
        <w:t xml:space="preserve"> </w:t>
      </w:r>
      <w:r>
        <w:t>no</w:t>
      </w:r>
      <w:r>
        <w:rPr>
          <w:spacing w:val="-7"/>
        </w:rPr>
        <w:t xml:space="preserve"> </w:t>
      </w:r>
      <w:r>
        <w:t>se</w:t>
      </w:r>
      <w:r>
        <w:rPr>
          <w:spacing w:val="-8"/>
        </w:rPr>
        <w:t xml:space="preserve"> </w:t>
      </w:r>
      <w:r>
        <w:t>ha</w:t>
      </w:r>
      <w:r>
        <w:rPr>
          <w:spacing w:val="-7"/>
        </w:rPr>
        <w:t xml:space="preserve"> </w:t>
      </w:r>
      <w:r>
        <w:t>publicado.</w:t>
      </w:r>
      <w:r>
        <w:rPr>
          <w:spacing w:val="-7"/>
        </w:rPr>
        <w:t xml:space="preserve"> </w:t>
      </w:r>
      <w:r>
        <w:t>Sin embargo, el Ministerio ha dicho que el borrador del Plan publicado en 2018 sí se está implementando. Más allá de esto, las recomendaciones apuntan a fortalecer la atención psicosocial</w:t>
      </w:r>
      <w:r>
        <w:rPr>
          <w:spacing w:val="1"/>
        </w:rPr>
        <w:t xml:space="preserve"> </w:t>
      </w:r>
      <w:r>
        <w:t>de</w:t>
      </w:r>
      <w:r>
        <w:rPr>
          <w:spacing w:val="6"/>
        </w:rPr>
        <w:t xml:space="preserve"> </w:t>
      </w:r>
      <w:r>
        <w:t>las</w:t>
      </w:r>
      <w:r>
        <w:rPr>
          <w:spacing w:val="5"/>
        </w:rPr>
        <w:t xml:space="preserve"> </w:t>
      </w:r>
      <w:r>
        <w:t>víctimas</w:t>
      </w:r>
      <w:r>
        <w:rPr>
          <w:spacing w:val="6"/>
        </w:rPr>
        <w:t xml:space="preserve"> </w:t>
      </w:r>
      <w:r>
        <w:t>del</w:t>
      </w:r>
      <w:r>
        <w:rPr>
          <w:spacing w:val="5"/>
        </w:rPr>
        <w:t xml:space="preserve"> </w:t>
      </w:r>
      <w:r>
        <w:t>conflicto</w:t>
      </w:r>
      <w:r>
        <w:rPr>
          <w:spacing w:val="5"/>
        </w:rPr>
        <w:t xml:space="preserve"> </w:t>
      </w:r>
      <w:r>
        <w:t>armado,</w:t>
      </w:r>
      <w:r>
        <w:rPr>
          <w:spacing w:val="6"/>
        </w:rPr>
        <w:t xml:space="preserve"> </w:t>
      </w:r>
      <w:r>
        <w:t>velando</w:t>
      </w:r>
      <w:r>
        <w:rPr>
          <w:spacing w:val="5"/>
        </w:rPr>
        <w:t xml:space="preserve"> </w:t>
      </w:r>
      <w:r>
        <w:t>por</w:t>
      </w:r>
      <w:r>
        <w:rPr>
          <w:spacing w:val="6"/>
        </w:rPr>
        <w:t xml:space="preserve"> </w:t>
      </w:r>
      <w:r>
        <w:t>su</w:t>
      </w:r>
      <w:r>
        <w:rPr>
          <w:spacing w:val="5"/>
        </w:rPr>
        <w:t xml:space="preserve"> </w:t>
      </w:r>
      <w:r>
        <w:t>continuidad,</w:t>
      </w:r>
      <w:r>
        <w:rPr>
          <w:spacing w:val="6"/>
        </w:rPr>
        <w:t xml:space="preserve"> </w:t>
      </w:r>
      <w:r>
        <w:t>y</w:t>
      </w:r>
      <w:r>
        <w:rPr>
          <w:spacing w:val="5"/>
        </w:rPr>
        <w:t xml:space="preserve"> </w:t>
      </w:r>
      <w:r>
        <w:t>a</w:t>
      </w:r>
      <w:r>
        <w:rPr>
          <w:spacing w:val="6"/>
        </w:rPr>
        <w:t xml:space="preserve"> </w:t>
      </w:r>
      <w:r>
        <w:rPr>
          <w:spacing w:val="-2"/>
        </w:rPr>
        <w:t>garantizar</w:t>
      </w:r>
      <w:bookmarkStart w:id="1533" w:name="_bookmark1334"/>
      <w:bookmarkEnd w:id="1533"/>
      <w:r w:rsidR="003D4B92">
        <w:t xml:space="preserve"> </w:t>
      </w:r>
      <w:r>
        <w:t>la atención a las víctimas acreditadas ante el Sistema Integral para la Paz que no están en el Registro Único de Víctimas.</w:t>
      </w:r>
    </w:p>
    <w:p w:rsidR="003804AC" w:rsidRDefault="00AF18A5" w:rsidP="003D4B92">
      <w:r>
        <w:t>En un cuarto momento, se desarrollan recomendaciones para garantizar el derecho a una memoria plural que reconozca las atrocidades del pasado, que contribuya a superar el dolor y el trauma y que haga frente a dinámicas de estigmatización, deshumanización y negacionismo que se estructuran como factores de persistencia. También se busca una memoria que proteja el derecho de toda la sociedad a saber lo ocurrido en el marco del conflicto</w:t>
      </w:r>
      <w:r>
        <w:rPr>
          <w:spacing w:val="-13"/>
        </w:rPr>
        <w:t xml:space="preserve"> </w:t>
      </w:r>
      <w:r>
        <w:t>armado.</w:t>
      </w:r>
      <w:r>
        <w:rPr>
          <w:spacing w:val="-12"/>
        </w:rPr>
        <w:t xml:space="preserve"> </w:t>
      </w:r>
      <w:r>
        <w:t>Entre</w:t>
      </w:r>
      <w:r>
        <w:rPr>
          <w:spacing w:val="-13"/>
        </w:rPr>
        <w:t xml:space="preserve"> </w:t>
      </w:r>
      <w:r>
        <w:t>otras,</w:t>
      </w:r>
      <w:r>
        <w:rPr>
          <w:spacing w:val="-13"/>
        </w:rPr>
        <w:t xml:space="preserve"> </w:t>
      </w:r>
      <w:r>
        <w:t>estas</w:t>
      </w:r>
      <w:r>
        <w:rPr>
          <w:spacing w:val="-12"/>
        </w:rPr>
        <w:t xml:space="preserve"> </w:t>
      </w:r>
      <w:r>
        <w:t>recomendaciones</w:t>
      </w:r>
      <w:r>
        <w:rPr>
          <w:spacing w:val="-12"/>
        </w:rPr>
        <w:t xml:space="preserve"> </w:t>
      </w:r>
      <w:r>
        <w:t>recogen</w:t>
      </w:r>
      <w:r>
        <w:rPr>
          <w:spacing w:val="-12"/>
        </w:rPr>
        <w:t xml:space="preserve"> </w:t>
      </w:r>
      <w:r>
        <w:t>la</w:t>
      </w:r>
      <w:r>
        <w:rPr>
          <w:spacing w:val="-12"/>
        </w:rPr>
        <w:t xml:space="preserve"> </w:t>
      </w:r>
      <w:r>
        <w:t>propuesta</w:t>
      </w:r>
      <w:r>
        <w:rPr>
          <w:spacing w:val="-12"/>
        </w:rPr>
        <w:t xml:space="preserve"> </w:t>
      </w:r>
      <w:r>
        <w:t>de</w:t>
      </w:r>
      <w:r>
        <w:rPr>
          <w:spacing w:val="-12"/>
        </w:rPr>
        <w:t xml:space="preserve"> </w:t>
      </w:r>
      <w:r>
        <w:t>avanzar</w:t>
      </w:r>
      <w:r>
        <w:rPr>
          <w:spacing w:val="-13"/>
        </w:rPr>
        <w:t xml:space="preserve"> </w:t>
      </w:r>
      <w:r>
        <w:t>en</w:t>
      </w:r>
      <w:r>
        <w:rPr>
          <w:spacing w:val="-12"/>
        </w:rPr>
        <w:t xml:space="preserve"> </w:t>
      </w:r>
      <w:r>
        <w:t>una política de memoria para la no repetición, construida de manera ampliamente participativa, que</w:t>
      </w:r>
      <w:r>
        <w:rPr>
          <w:spacing w:val="-13"/>
        </w:rPr>
        <w:t xml:space="preserve"> </w:t>
      </w:r>
      <w:r>
        <w:t>garantice</w:t>
      </w:r>
      <w:r>
        <w:rPr>
          <w:spacing w:val="-13"/>
        </w:rPr>
        <w:t xml:space="preserve"> </w:t>
      </w:r>
      <w:r>
        <w:t>la</w:t>
      </w:r>
      <w:r>
        <w:rPr>
          <w:spacing w:val="-13"/>
        </w:rPr>
        <w:t xml:space="preserve"> </w:t>
      </w:r>
      <w:r>
        <w:t>preservación,</w:t>
      </w:r>
      <w:r>
        <w:rPr>
          <w:spacing w:val="-13"/>
        </w:rPr>
        <w:t xml:space="preserve"> </w:t>
      </w:r>
      <w:r>
        <w:t>financiación</w:t>
      </w:r>
      <w:r>
        <w:rPr>
          <w:spacing w:val="-13"/>
        </w:rPr>
        <w:t xml:space="preserve"> </w:t>
      </w:r>
      <w:r>
        <w:t>y</w:t>
      </w:r>
      <w:r>
        <w:rPr>
          <w:spacing w:val="-14"/>
        </w:rPr>
        <w:t xml:space="preserve"> </w:t>
      </w:r>
      <w:r>
        <w:t>construcción</w:t>
      </w:r>
      <w:r>
        <w:rPr>
          <w:spacing w:val="-13"/>
        </w:rPr>
        <w:t xml:space="preserve"> </w:t>
      </w:r>
      <w:r>
        <w:t>de</w:t>
      </w:r>
      <w:r>
        <w:rPr>
          <w:spacing w:val="-14"/>
        </w:rPr>
        <w:t xml:space="preserve"> </w:t>
      </w:r>
      <w:r>
        <w:t>lugares</w:t>
      </w:r>
      <w:r>
        <w:rPr>
          <w:spacing w:val="-13"/>
        </w:rPr>
        <w:t xml:space="preserve"> </w:t>
      </w:r>
      <w:r>
        <w:t>de</w:t>
      </w:r>
      <w:r>
        <w:rPr>
          <w:spacing w:val="-14"/>
        </w:rPr>
        <w:t xml:space="preserve"> </w:t>
      </w:r>
      <w:r>
        <w:t>memoria</w:t>
      </w:r>
      <w:r>
        <w:rPr>
          <w:spacing w:val="-13"/>
        </w:rPr>
        <w:t xml:space="preserve"> </w:t>
      </w:r>
      <w:r>
        <w:t>para</w:t>
      </w:r>
      <w:r>
        <w:rPr>
          <w:spacing w:val="-14"/>
        </w:rPr>
        <w:t xml:space="preserve"> </w:t>
      </w:r>
      <w:r>
        <w:t>evitar, a</w:t>
      </w:r>
      <w:r>
        <w:rPr>
          <w:spacing w:val="-8"/>
        </w:rPr>
        <w:t xml:space="preserve"> </w:t>
      </w:r>
      <w:r>
        <w:t>manera</w:t>
      </w:r>
      <w:r>
        <w:rPr>
          <w:spacing w:val="-8"/>
        </w:rPr>
        <w:t xml:space="preserve"> </w:t>
      </w:r>
      <w:r>
        <w:t>de</w:t>
      </w:r>
      <w:r>
        <w:rPr>
          <w:spacing w:val="-11"/>
        </w:rPr>
        <w:t xml:space="preserve"> </w:t>
      </w:r>
      <w:r>
        <w:t>ejemplo,</w:t>
      </w:r>
      <w:r>
        <w:rPr>
          <w:spacing w:val="-8"/>
        </w:rPr>
        <w:t xml:space="preserve"> </w:t>
      </w:r>
      <w:r>
        <w:t>las</w:t>
      </w:r>
      <w:r>
        <w:rPr>
          <w:spacing w:val="-9"/>
        </w:rPr>
        <w:t xml:space="preserve"> </w:t>
      </w:r>
      <w:r>
        <w:t>situaciones</w:t>
      </w:r>
      <w:r>
        <w:rPr>
          <w:spacing w:val="-11"/>
        </w:rPr>
        <w:t xml:space="preserve"> </w:t>
      </w:r>
      <w:r>
        <w:t>que</w:t>
      </w:r>
      <w:r>
        <w:rPr>
          <w:spacing w:val="-8"/>
        </w:rPr>
        <w:t xml:space="preserve"> </w:t>
      </w:r>
      <w:r>
        <w:t>hemos</w:t>
      </w:r>
      <w:r>
        <w:rPr>
          <w:spacing w:val="-8"/>
        </w:rPr>
        <w:t xml:space="preserve"> </w:t>
      </w:r>
      <w:r>
        <w:t>visto</w:t>
      </w:r>
      <w:r>
        <w:rPr>
          <w:spacing w:val="-8"/>
        </w:rPr>
        <w:t xml:space="preserve"> </w:t>
      </w:r>
      <w:r>
        <w:t>en</w:t>
      </w:r>
      <w:r>
        <w:rPr>
          <w:spacing w:val="-10"/>
        </w:rPr>
        <w:t xml:space="preserve"> </w:t>
      </w:r>
      <w:r>
        <w:t>2022</w:t>
      </w:r>
      <w:r>
        <w:rPr>
          <w:spacing w:val="-10"/>
        </w:rPr>
        <w:t xml:space="preserve"> </w:t>
      </w:r>
      <w:r>
        <w:t>con</w:t>
      </w:r>
      <w:r>
        <w:rPr>
          <w:spacing w:val="-8"/>
        </w:rPr>
        <w:t xml:space="preserve"> </w:t>
      </w:r>
      <w:r>
        <w:t>los</w:t>
      </w:r>
      <w:r>
        <w:rPr>
          <w:spacing w:val="-10"/>
        </w:rPr>
        <w:t xml:space="preserve"> </w:t>
      </w:r>
      <w:r>
        <w:t>lugares</w:t>
      </w:r>
      <w:r>
        <w:rPr>
          <w:spacing w:val="-8"/>
        </w:rPr>
        <w:t xml:space="preserve"> </w:t>
      </w:r>
      <w:r>
        <w:t>de</w:t>
      </w:r>
      <w:r>
        <w:rPr>
          <w:spacing w:val="-8"/>
        </w:rPr>
        <w:t xml:space="preserve"> </w:t>
      </w:r>
      <w:r>
        <w:t>memoria</w:t>
      </w:r>
      <w:r>
        <w:rPr>
          <w:spacing w:val="-8"/>
        </w:rPr>
        <w:t xml:space="preserve"> </w:t>
      </w:r>
      <w:r>
        <w:t>de Tumaco</w:t>
      </w:r>
      <w:r w:rsidR="003D4B92">
        <w:rPr>
          <w:rStyle w:val="Refdenotaalpie"/>
        </w:rPr>
        <w:footnoteReference w:id="1196"/>
      </w:r>
      <w:r>
        <w:t xml:space="preserve"> y de San Carlos</w:t>
      </w:r>
      <w:r w:rsidR="003D4B92">
        <w:rPr>
          <w:rStyle w:val="Refdenotaalpie"/>
        </w:rPr>
        <w:footnoteReference w:id="1197"/>
      </w:r>
      <w:r>
        <w:t xml:space="preserve">, entre otros lugares. En el marco de esta política, se recomienda la creación y reglamentación del Museo de Memoria de Colombia como una entidad permanente e independiente del Gobierno, </w:t>
      </w:r>
      <w:r>
        <w:lastRenderedPageBreak/>
        <w:t>encargada de la preservación y construcción de memoria con énfasis en las memorias locales, territoriales y de los pueblos étnicos. El museo debe poder configurarse como un espacio para una memoria viva que permita las discusiones y preguntas difíciles sobre el pasado; que asuma la implementación de la política de archivos de derechos humanos; y cuente con un programa propio, robusto, de investigación en memoria e historia del conflicto armado y sus víctimas, de pedagogía, reparación simbólica y de divulgación.</w:t>
      </w:r>
    </w:p>
    <w:p w:rsidR="003804AC" w:rsidRPr="003D4B92" w:rsidRDefault="00AF18A5" w:rsidP="003D4B92">
      <w:r>
        <w:t>Finalmente, se desarrollan medidas específicas para promover los procesos de búsqueda de personas dadas por desaparecidas y apoyar la labor de la Unidad para la Búsqueda de Personas dadas por Desaparecidas (UBPD), de las organizaciones y de las buscadoras en todo</w:t>
      </w:r>
      <w:r>
        <w:rPr>
          <w:spacing w:val="-1"/>
        </w:rPr>
        <w:t xml:space="preserve"> </w:t>
      </w:r>
      <w:r>
        <w:t>el</w:t>
      </w:r>
      <w:r>
        <w:rPr>
          <w:spacing w:val="-1"/>
        </w:rPr>
        <w:t xml:space="preserve"> </w:t>
      </w:r>
      <w:r>
        <w:t>país.</w:t>
      </w:r>
      <w:r>
        <w:rPr>
          <w:spacing w:val="-2"/>
        </w:rPr>
        <w:t xml:space="preserve"> </w:t>
      </w:r>
      <w:r>
        <w:t>En</w:t>
      </w:r>
      <w:r>
        <w:rPr>
          <w:spacing w:val="-1"/>
        </w:rPr>
        <w:t xml:space="preserve"> </w:t>
      </w:r>
      <w:r>
        <w:t>el</w:t>
      </w:r>
      <w:r>
        <w:rPr>
          <w:spacing w:val="-1"/>
        </w:rPr>
        <w:t xml:space="preserve"> </w:t>
      </w:r>
      <w:r>
        <w:t>marco</w:t>
      </w:r>
      <w:r>
        <w:rPr>
          <w:spacing w:val="-2"/>
        </w:rPr>
        <w:t xml:space="preserve"> </w:t>
      </w:r>
      <w:r>
        <w:t>de</w:t>
      </w:r>
      <w:r>
        <w:rPr>
          <w:spacing w:val="-1"/>
        </w:rPr>
        <w:t xml:space="preserve"> </w:t>
      </w:r>
      <w:r>
        <w:t>una</w:t>
      </w:r>
      <w:r>
        <w:rPr>
          <w:spacing w:val="-1"/>
        </w:rPr>
        <w:t xml:space="preserve"> </w:t>
      </w:r>
      <w:r>
        <w:t>reparación</w:t>
      </w:r>
      <w:r>
        <w:rPr>
          <w:spacing w:val="-2"/>
        </w:rPr>
        <w:t xml:space="preserve"> </w:t>
      </w:r>
      <w:r>
        <w:t>integral,</w:t>
      </w:r>
      <w:r>
        <w:rPr>
          <w:spacing w:val="-1"/>
        </w:rPr>
        <w:t xml:space="preserve"> </w:t>
      </w:r>
      <w:r>
        <w:t>es</w:t>
      </w:r>
      <w:r>
        <w:rPr>
          <w:spacing w:val="-1"/>
        </w:rPr>
        <w:t xml:space="preserve"> </w:t>
      </w:r>
      <w:r>
        <w:t>fundamental</w:t>
      </w:r>
      <w:r>
        <w:rPr>
          <w:spacing w:val="-1"/>
        </w:rPr>
        <w:t xml:space="preserve"> </w:t>
      </w:r>
      <w:r>
        <w:t>seguir</w:t>
      </w:r>
      <w:r>
        <w:rPr>
          <w:spacing w:val="-1"/>
        </w:rPr>
        <w:t xml:space="preserve"> </w:t>
      </w:r>
      <w:r>
        <w:t>apostando</w:t>
      </w:r>
      <w:r>
        <w:rPr>
          <w:spacing w:val="-2"/>
        </w:rPr>
        <w:t xml:space="preserve"> </w:t>
      </w:r>
      <w:r>
        <w:t>por</w:t>
      </w:r>
      <w:r>
        <w:rPr>
          <w:spacing w:val="-1"/>
        </w:rPr>
        <w:t xml:space="preserve"> </w:t>
      </w:r>
      <w:r>
        <w:t>la búsqueda</w:t>
      </w:r>
      <w:r>
        <w:rPr>
          <w:spacing w:val="-14"/>
        </w:rPr>
        <w:t xml:space="preserve"> </w:t>
      </w:r>
      <w:r>
        <w:t>de</w:t>
      </w:r>
      <w:r>
        <w:rPr>
          <w:spacing w:val="-13"/>
        </w:rPr>
        <w:t xml:space="preserve"> </w:t>
      </w:r>
      <w:r>
        <w:t>las</w:t>
      </w:r>
      <w:r>
        <w:rPr>
          <w:spacing w:val="-12"/>
        </w:rPr>
        <w:t xml:space="preserve"> </w:t>
      </w:r>
      <w:r>
        <w:t>decenas</w:t>
      </w:r>
      <w:r>
        <w:rPr>
          <w:spacing w:val="-12"/>
        </w:rPr>
        <w:t xml:space="preserve"> </w:t>
      </w:r>
      <w:r>
        <w:t>de</w:t>
      </w:r>
      <w:r>
        <w:rPr>
          <w:spacing w:val="-12"/>
        </w:rPr>
        <w:t xml:space="preserve"> </w:t>
      </w:r>
      <w:r>
        <w:t>miles</w:t>
      </w:r>
      <w:r>
        <w:rPr>
          <w:spacing w:val="-12"/>
        </w:rPr>
        <w:t xml:space="preserve"> </w:t>
      </w:r>
      <w:r>
        <w:t>de</w:t>
      </w:r>
      <w:r>
        <w:rPr>
          <w:spacing w:val="-12"/>
        </w:rPr>
        <w:t xml:space="preserve"> </w:t>
      </w:r>
      <w:r>
        <w:t>personas</w:t>
      </w:r>
      <w:r>
        <w:rPr>
          <w:spacing w:val="-11"/>
        </w:rPr>
        <w:t xml:space="preserve"> </w:t>
      </w:r>
      <w:r>
        <w:t>dadas</w:t>
      </w:r>
      <w:r>
        <w:rPr>
          <w:spacing w:val="-12"/>
        </w:rPr>
        <w:t xml:space="preserve"> </w:t>
      </w:r>
      <w:r>
        <w:t>por</w:t>
      </w:r>
      <w:r>
        <w:rPr>
          <w:spacing w:val="-12"/>
        </w:rPr>
        <w:t xml:space="preserve"> </w:t>
      </w:r>
      <w:r>
        <w:t>desaparecidas.</w:t>
      </w:r>
      <w:r>
        <w:rPr>
          <w:spacing w:val="-12"/>
        </w:rPr>
        <w:t xml:space="preserve"> </w:t>
      </w:r>
      <w:r>
        <w:t>Las</w:t>
      </w:r>
      <w:r>
        <w:rPr>
          <w:spacing w:val="-11"/>
        </w:rPr>
        <w:t xml:space="preserve"> </w:t>
      </w:r>
      <w:r>
        <w:rPr>
          <w:spacing w:val="-2"/>
        </w:rPr>
        <w:t>recomendaciones</w:t>
      </w:r>
      <w:bookmarkStart w:id="1534" w:name="_bookmark1335"/>
      <w:bookmarkStart w:id="1535" w:name="_bookmark1336"/>
      <w:bookmarkEnd w:id="1534"/>
      <w:bookmarkEnd w:id="1535"/>
      <w:r w:rsidR="003D4B92">
        <w:rPr>
          <w:spacing w:val="-2"/>
        </w:rPr>
        <w:t xml:space="preserve"> </w:t>
      </w:r>
      <w:r>
        <w:t>se</w:t>
      </w:r>
      <w:r>
        <w:rPr>
          <w:spacing w:val="-8"/>
        </w:rPr>
        <w:t xml:space="preserve"> </w:t>
      </w:r>
      <w:r>
        <w:t>centran</w:t>
      </w:r>
      <w:r>
        <w:rPr>
          <w:spacing w:val="-8"/>
        </w:rPr>
        <w:t xml:space="preserve"> </w:t>
      </w:r>
      <w:r>
        <w:t>en</w:t>
      </w:r>
      <w:r>
        <w:rPr>
          <w:spacing w:val="-8"/>
        </w:rPr>
        <w:t xml:space="preserve"> </w:t>
      </w:r>
      <w:r>
        <w:t>promover</w:t>
      </w:r>
      <w:r>
        <w:rPr>
          <w:spacing w:val="-8"/>
        </w:rPr>
        <w:t xml:space="preserve"> </w:t>
      </w:r>
      <w:r>
        <w:t>los</w:t>
      </w:r>
      <w:r>
        <w:rPr>
          <w:spacing w:val="-8"/>
        </w:rPr>
        <w:t xml:space="preserve"> </w:t>
      </w:r>
      <w:r>
        <w:t>procesos</w:t>
      </w:r>
      <w:r>
        <w:rPr>
          <w:spacing w:val="-8"/>
        </w:rPr>
        <w:t xml:space="preserve"> </w:t>
      </w:r>
      <w:r>
        <w:t>de</w:t>
      </w:r>
      <w:r>
        <w:rPr>
          <w:spacing w:val="-8"/>
        </w:rPr>
        <w:t xml:space="preserve"> </w:t>
      </w:r>
      <w:r>
        <w:t>búsqueda</w:t>
      </w:r>
      <w:r>
        <w:rPr>
          <w:spacing w:val="-8"/>
        </w:rPr>
        <w:t xml:space="preserve"> </w:t>
      </w:r>
      <w:r>
        <w:t>a</w:t>
      </w:r>
      <w:r>
        <w:rPr>
          <w:spacing w:val="-8"/>
        </w:rPr>
        <w:t xml:space="preserve"> </w:t>
      </w:r>
      <w:r>
        <w:t>través</w:t>
      </w:r>
      <w:r>
        <w:rPr>
          <w:spacing w:val="-8"/>
        </w:rPr>
        <w:t xml:space="preserve"> </w:t>
      </w:r>
      <w:r>
        <w:t>de</w:t>
      </w:r>
      <w:r>
        <w:rPr>
          <w:spacing w:val="-8"/>
        </w:rPr>
        <w:t xml:space="preserve"> </w:t>
      </w:r>
      <w:r>
        <w:t>la</w:t>
      </w:r>
      <w:r>
        <w:rPr>
          <w:spacing w:val="-8"/>
        </w:rPr>
        <w:t xml:space="preserve"> </w:t>
      </w:r>
      <w:r>
        <w:t>articulación</w:t>
      </w:r>
      <w:r>
        <w:rPr>
          <w:spacing w:val="-8"/>
        </w:rPr>
        <w:t xml:space="preserve"> </w:t>
      </w:r>
      <w:r>
        <w:t>institucional</w:t>
      </w:r>
      <w:r>
        <w:rPr>
          <w:spacing w:val="-8"/>
        </w:rPr>
        <w:t xml:space="preserve"> </w:t>
      </w:r>
      <w:r>
        <w:t>y</w:t>
      </w:r>
      <w:r>
        <w:rPr>
          <w:spacing w:val="-8"/>
        </w:rPr>
        <w:t xml:space="preserve"> </w:t>
      </w:r>
      <w:r>
        <w:t>el fortalecimiento de las capacidades de investigación forense, así como la priorización en la identificación de cuerpos, las garantías de acceso a la información por parte de la UBPD, y la promoción de la participación. El compromiso del Estado y la sociedad con la reparación integral</w:t>
      </w:r>
      <w:r>
        <w:rPr>
          <w:spacing w:val="-6"/>
        </w:rPr>
        <w:t xml:space="preserve"> </w:t>
      </w:r>
      <w:r>
        <w:t>y</w:t>
      </w:r>
      <w:r>
        <w:rPr>
          <w:spacing w:val="-7"/>
        </w:rPr>
        <w:t xml:space="preserve"> </w:t>
      </w:r>
      <w:r>
        <w:t>transformadora</w:t>
      </w:r>
      <w:r>
        <w:rPr>
          <w:spacing w:val="-7"/>
        </w:rPr>
        <w:t xml:space="preserve"> </w:t>
      </w:r>
      <w:r>
        <w:t>implica</w:t>
      </w:r>
      <w:r>
        <w:rPr>
          <w:spacing w:val="-6"/>
        </w:rPr>
        <w:t xml:space="preserve"> </w:t>
      </w:r>
      <w:r>
        <w:t>un</w:t>
      </w:r>
      <w:r>
        <w:rPr>
          <w:spacing w:val="-7"/>
        </w:rPr>
        <w:t xml:space="preserve"> </w:t>
      </w:r>
      <w:r>
        <w:t>compromiso</w:t>
      </w:r>
      <w:r>
        <w:rPr>
          <w:spacing w:val="-7"/>
        </w:rPr>
        <w:t xml:space="preserve"> </w:t>
      </w:r>
      <w:r>
        <w:t>con</w:t>
      </w:r>
      <w:r>
        <w:rPr>
          <w:spacing w:val="-6"/>
        </w:rPr>
        <w:t xml:space="preserve"> </w:t>
      </w:r>
      <w:r>
        <w:t>la</w:t>
      </w:r>
      <w:r>
        <w:rPr>
          <w:spacing w:val="-6"/>
        </w:rPr>
        <w:t xml:space="preserve"> </w:t>
      </w:r>
      <w:r>
        <w:t>búsqueda</w:t>
      </w:r>
      <w:r>
        <w:rPr>
          <w:spacing w:val="-6"/>
        </w:rPr>
        <w:t xml:space="preserve"> </w:t>
      </w:r>
      <w:r>
        <w:t>de</w:t>
      </w:r>
      <w:r>
        <w:rPr>
          <w:spacing w:val="-6"/>
        </w:rPr>
        <w:t xml:space="preserve"> </w:t>
      </w:r>
      <w:r>
        <w:t>las</w:t>
      </w:r>
      <w:r>
        <w:rPr>
          <w:spacing w:val="-7"/>
        </w:rPr>
        <w:t xml:space="preserve"> </w:t>
      </w:r>
      <w:r>
        <w:t>personas</w:t>
      </w:r>
      <w:r>
        <w:rPr>
          <w:spacing w:val="-6"/>
        </w:rPr>
        <w:t xml:space="preserve"> </w:t>
      </w:r>
      <w:r>
        <w:t>dadas</w:t>
      </w:r>
      <w:r>
        <w:rPr>
          <w:spacing w:val="-6"/>
        </w:rPr>
        <w:t xml:space="preserve"> </w:t>
      </w:r>
      <w:r>
        <w:t>por desaparecidas y un reconocimiento social a la incansable labor de las buscadoras.</w:t>
      </w:r>
    </w:p>
    <w:p w:rsidR="003804AC" w:rsidRDefault="00AF18A5" w:rsidP="003D4B92">
      <w:r>
        <w:t>Además de la necesaria integralidad y conexión entre los reconocimientos planteados en este</w:t>
      </w:r>
      <w:r>
        <w:rPr>
          <w:spacing w:val="-13"/>
        </w:rPr>
        <w:t xml:space="preserve"> </w:t>
      </w:r>
      <w:r>
        <w:t>acápite</w:t>
      </w:r>
      <w:r>
        <w:rPr>
          <w:spacing w:val="-14"/>
        </w:rPr>
        <w:t xml:space="preserve"> </w:t>
      </w:r>
      <w:r>
        <w:t>y</w:t>
      </w:r>
      <w:r>
        <w:rPr>
          <w:spacing w:val="-13"/>
        </w:rPr>
        <w:t xml:space="preserve"> </w:t>
      </w:r>
      <w:r>
        <w:t>en</w:t>
      </w:r>
      <w:r>
        <w:rPr>
          <w:spacing w:val="-13"/>
        </w:rPr>
        <w:t xml:space="preserve"> </w:t>
      </w:r>
      <w:r>
        <w:t>los</w:t>
      </w:r>
      <w:r>
        <w:rPr>
          <w:spacing w:val="-13"/>
        </w:rPr>
        <w:t xml:space="preserve"> </w:t>
      </w:r>
      <w:r>
        <w:t>otros,</w:t>
      </w:r>
      <w:r>
        <w:rPr>
          <w:spacing w:val="-13"/>
        </w:rPr>
        <w:t xml:space="preserve"> </w:t>
      </w:r>
      <w:r>
        <w:t>es</w:t>
      </w:r>
      <w:r>
        <w:rPr>
          <w:spacing w:val="-13"/>
        </w:rPr>
        <w:t xml:space="preserve"> </w:t>
      </w:r>
      <w:r>
        <w:t>importante</w:t>
      </w:r>
      <w:r>
        <w:rPr>
          <w:spacing w:val="-13"/>
        </w:rPr>
        <w:t xml:space="preserve"> </w:t>
      </w:r>
      <w:r>
        <w:t>reflexionar</w:t>
      </w:r>
      <w:r>
        <w:rPr>
          <w:spacing w:val="-13"/>
        </w:rPr>
        <w:t xml:space="preserve"> </w:t>
      </w:r>
      <w:r>
        <w:t>sobre</w:t>
      </w:r>
      <w:r>
        <w:rPr>
          <w:spacing w:val="-13"/>
        </w:rPr>
        <w:t xml:space="preserve"> </w:t>
      </w:r>
      <w:r>
        <w:t>cómo</w:t>
      </w:r>
      <w:r>
        <w:rPr>
          <w:spacing w:val="-13"/>
        </w:rPr>
        <w:t xml:space="preserve"> </w:t>
      </w:r>
      <w:r>
        <w:t>pensar</w:t>
      </w:r>
      <w:r>
        <w:rPr>
          <w:spacing w:val="-13"/>
        </w:rPr>
        <w:t xml:space="preserve"> </w:t>
      </w:r>
      <w:r>
        <w:t>este</w:t>
      </w:r>
      <w:r>
        <w:rPr>
          <w:spacing w:val="-14"/>
        </w:rPr>
        <w:t xml:space="preserve"> </w:t>
      </w:r>
      <w:r>
        <w:t>tema</w:t>
      </w:r>
      <w:r>
        <w:rPr>
          <w:spacing w:val="-13"/>
        </w:rPr>
        <w:t xml:space="preserve"> </w:t>
      </w:r>
      <w:r>
        <w:t>en</w:t>
      </w:r>
      <w:r>
        <w:rPr>
          <w:spacing w:val="-13"/>
        </w:rPr>
        <w:t xml:space="preserve"> </w:t>
      </w:r>
      <w:r>
        <w:t>conjunto con</w:t>
      </w:r>
      <w:r>
        <w:rPr>
          <w:spacing w:val="-2"/>
        </w:rPr>
        <w:t xml:space="preserve"> </w:t>
      </w:r>
      <w:r>
        <w:t>la</w:t>
      </w:r>
      <w:r>
        <w:rPr>
          <w:spacing w:val="-2"/>
        </w:rPr>
        <w:t xml:space="preserve"> </w:t>
      </w:r>
      <w:r>
        <w:t>superación</w:t>
      </w:r>
      <w:r>
        <w:rPr>
          <w:spacing w:val="-2"/>
        </w:rPr>
        <w:t xml:space="preserve"> </w:t>
      </w:r>
      <w:r>
        <w:t>de</w:t>
      </w:r>
      <w:r>
        <w:rPr>
          <w:spacing w:val="-3"/>
        </w:rPr>
        <w:t xml:space="preserve"> </w:t>
      </w:r>
      <w:r>
        <w:t>la</w:t>
      </w:r>
      <w:r>
        <w:rPr>
          <w:spacing w:val="-2"/>
        </w:rPr>
        <w:t xml:space="preserve"> </w:t>
      </w:r>
      <w:r>
        <w:t>impunidad,</w:t>
      </w:r>
      <w:r>
        <w:rPr>
          <w:spacing w:val="-2"/>
        </w:rPr>
        <w:t xml:space="preserve"> </w:t>
      </w:r>
      <w:r>
        <w:t>dado</w:t>
      </w:r>
      <w:r>
        <w:rPr>
          <w:spacing w:val="-2"/>
        </w:rPr>
        <w:t xml:space="preserve"> </w:t>
      </w:r>
      <w:r>
        <w:t>que</w:t>
      </w:r>
      <w:r>
        <w:rPr>
          <w:spacing w:val="-2"/>
        </w:rPr>
        <w:t xml:space="preserve"> </w:t>
      </w:r>
      <w:r>
        <w:t>la</w:t>
      </w:r>
      <w:r>
        <w:rPr>
          <w:spacing w:val="-3"/>
        </w:rPr>
        <w:t xml:space="preserve"> </w:t>
      </w:r>
      <w:r>
        <w:t>justicia</w:t>
      </w:r>
      <w:r>
        <w:rPr>
          <w:spacing w:val="-2"/>
        </w:rPr>
        <w:t xml:space="preserve"> </w:t>
      </w:r>
      <w:r>
        <w:t>es</w:t>
      </w:r>
      <w:r>
        <w:rPr>
          <w:spacing w:val="-2"/>
        </w:rPr>
        <w:t xml:space="preserve"> </w:t>
      </w:r>
      <w:r>
        <w:t>otro</w:t>
      </w:r>
      <w:r>
        <w:rPr>
          <w:spacing w:val="-2"/>
        </w:rPr>
        <w:t xml:space="preserve"> </w:t>
      </w:r>
      <w:r>
        <w:t>de</w:t>
      </w:r>
      <w:r>
        <w:rPr>
          <w:spacing w:val="-2"/>
        </w:rPr>
        <w:t xml:space="preserve"> </w:t>
      </w:r>
      <w:r>
        <w:t>los</w:t>
      </w:r>
      <w:r>
        <w:rPr>
          <w:spacing w:val="-2"/>
        </w:rPr>
        <w:t xml:space="preserve"> </w:t>
      </w:r>
      <w:r>
        <w:t>pilares</w:t>
      </w:r>
      <w:r>
        <w:rPr>
          <w:spacing w:val="-2"/>
        </w:rPr>
        <w:t xml:space="preserve"> </w:t>
      </w:r>
      <w:r>
        <w:t>de</w:t>
      </w:r>
      <w:r>
        <w:rPr>
          <w:spacing w:val="-2"/>
        </w:rPr>
        <w:t xml:space="preserve"> </w:t>
      </w:r>
      <w:r>
        <w:t>los</w:t>
      </w:r>
      <w:r>
        <w:rPr>
          <w:spacing w:val="-2"/>
        </w:rPr>
        <w:t xml:space="preserve"> </w:t>
      </w:r>
      <w:r>
        <w:t xml:space="preserve">derechos de las víctimas. La garantía de los derechos de las víctimas </w:t>
      </w:r>
      <w:r>
        <w:lastRenderedPageBreak/>
        <w:t>debe ser integral y holística. La justicia, la verdad, la reparación y las garantías de no repetición son pilares fundamentales de todas las recomendaciones. Así, el apoyo a la tarea de las otras entidades del Sistema Integral –es</w:t>
      </w:r>
      <w:r>
        <w:rPr>
          <w:spacing w:val="-1"/>
        </w:rPr>
        <w:t xml:space="preserve"> </w:t>
      </w:r>
      <w:r>
        <w:t>decir, de la JEP y la UBPD– son elementos centrales para el</w:t>
      </w:r>
      <w:r>
        <w:rPr>
          <w:spacing w:val="-1"/>
        </w:rPr>
        <w:t xml:space="preserve"> </w:t>
      </w:r>
      <w:r>
        <w:t>buen desarrollo de las</w:t>
      </w:r>
      <w:r>
        <w:rPr>
          <w:spacing w:val="-12"/>
        </w:rPr>
        <w:t xml:space="preserve"> </w:t>
      </w:r>
      <w:r>
        <w:t>recomendaciones.</w:t>
      </w:r>
      <w:r>
        <w:rPr>
          <w:spacing w:val="-12"/>
        </w:rPr>
        <w:t xml:space="preserve"> </w:t>
      </w:r>
      <w:r>
        <w:t>Así</w:t>
      </w:r>
      <w:r>
        <w:rPr>
          <w:spacing w:val="-12"/>
        </w:rPr>
        <w:t xml:space="preserve"> </w:t>
      </w:r>
      <w:r>
        <w:t>mismo,</w:t>
      </w:r>
      <w:r>
        <w:rPr>
          <w:spacing w:val="-12"/>
        </w:rPr>
        <w:t xml:space="preserve"> </w:t>
      </w:r>
      <w:r>
        <w:t>en</w:t>
      </w:r>
      <w:r>
        <w:rPr>
          <w:spacing w:val="-12"/>
        </w:rPr>
        <w:t xml:space="preserve"> </w:t>
      </w:r>
      <w:r>
        <w:t>el</w:t>
      </w:r>
      <w:r>
        <w:rPr>
          <w:spacing w:val="-12"/>
        </w:rPr>
        <w:t xml:space="preserve"> </w:t>
      </w:r>
      <w:r>
        <w:t>tema</w:t>
      </w:r>
      <w:r>
        <w:rPr>
          <w:spacing w:val="-12"/>
        </w:rPr>
        <w:t xml:space="preserve"> </w:t>
      </w:r>
      <w:r>
        <w:t>de</w:t>
      </w:r>
      <w:r>
        <w:rPr>
          <w:spacing w:val="-12"/>
        </w:rPr>
        <w:t xml:space="preserve"> </w:t>
      </w:r>
      <w:r>
        <w:t>transformación</w:t>
      </w:r>
      <w:r>
        <w:rPr>
          <w:spacing w:val="-12"/>
        </w:rPr>
        <w:t xml:space="preserve"> </w:t>
      </w:r>
      <w:r>
        <w:t>integral</w:t>
      </w:r>
      <w:r>
        <w:rPr>
          <w:spacing w:val="-12"/>
        </w:rPr>
        <w:t xml:space="preserve"> </w:t>
      </w:r>
      <w:r>
        <w:t>de</w:t>
      </w:r>
      <w:r>
        <w:rPr>
          <w:spacing w:val="-13"/>
        </w:rPr>
        <w:t xml:space="preserve"> </w:t>
      </w:r>
      <w:r>
        <w:t>los</w:t>
      </w:r>
      <w:r>
        <w:rPr>
          <w:spacing w:val="-12"/>
        </w:rPr>
        <w:t xml:space="preserve"> </w:t>
      </w:r>
      <w:r>
        <w:t>territorios,</w:t>
      </w:r>
      <w:r>
        <w:rPr>
          <w:spacing w:val="-12"/>
        </w:rPr>
        <w:t xml:space="preserve"> </w:t>
      </w:r>
      <w:r>
        <w:t>hay recomendaciones sobre restitución de tierras y de derechos territoriales, acceso a bienes y servicios públicos y desarrollo territorial que son centrales para la satisfacción de los derechos de las víctimas del conflicto armado, esto en clave de fortalecer el enfoque transformador. También en el tema de régimen político hay reconocimientos y medidas de inclusión</w:t>
      </w:r>
      <w:r>
        <w:rPr>
          <w:spacing w:val="-8"/>
        </w:rPr>
        <w:t xml:space="preserve"> </w:t>
      </w:r>
      <w:r>
        <w:t>clave</w:t>
      </w:r>
      <w:r>
        <w:rPr>
          <w:spacing w:val="-8"/>
        </w:rPr>
        <w:t xml:space="preserve"> </w:t>
      </w:r>
      <w:r>
        <w:t>para</w:t>
      </w:r>
      <w:r>
        <w:rPr>
          <w:spacing w:val="-8"/>
        </w:rPr>
        <w:t xml:space="preserve"> </w:t>
      </w:r>
      <w:r>
        <w:t>enfrentar</w:t>
      </w:r>
      <w:r>
        <w:rPr>
          <w:spacing w:val="-9"/>
        </w:rPr>
        <w:t xml:space="preserve"> </w:t>
      </w:r>
      <w:r>
        <w:t>los</w:t>
      </w:r>
      <w:r>
        <w:rPr>
          <w:spacing w:val="-9"/>
        </w:rPr>
        <w:t xml:space="preserve"> </w:t>
      </w:r>
      <w:r>
        <w:t>fenómenos</w:t>
      </w:r>
      <w:r>
        <w:rPr>
          <w:spacing w:val="-8"/>
        </w:rPr>
        <w:t xml:space="preserve"> </w:t>
      </w:r>
      <w:r>
        <w:t>de</w:t>
      </w:r>
      <w:r>
        <w:rPr>
          <w:spacing w:val="-8"/>
        </w:rPr>
        <w:t xml:space="preserve"> </w:t>
      </w:r>
      <w:r>
        <w:t>estigmatización</w:t>
      </w:r>
      <w:r>
        <w:rPr>
          <w:spacing w:val="-8"/>
        </w:rPr>
        <w:t xml:space="preserve"> </w:t>
      </w:r>
      <w:r>
        <w:t>y</w:t>
      </w:r>
      <w:r>
        <w:rPr>
          <w:spacing w:val="-8"/>
        </w:rPr>
        <w:t xml:space="preserve"> </w:t>
      </w:r>
      <w:r>
        <w:t>negacionismo</w:t>
      </w:r>
      <w:r>
        <w:rPr>
          <w:spacing w:val="-8"/>
        </w:rPr>
        <w:t xml:space="preserve"> </w:t>
      </w:r>
      <w:r>
        <w:t>que</w:t>
      </w:r>
      <w:r>
        <w:rPr>
          <w:spacing w:val="-8"/>
        </w:rPr>
        <w:t xml:space="preserve"> </w:t>
      </w:r>
      <w:r>
        <w:t>afectan a las víctimas. En el aparte de transformaciones culturales, hay recomendaciones sobre memoria que se deben leer en conjunto con las de este acápite. Por último, las recomendaciones sobre la construcción de paz como proyecto nacional junto con las demás recomendaciones del Informe son la principal garantía de no repetición y la condición para avanzar en la construcción de una paz territorial estable y duradera. Cualquier esfuerzo de memoria y reparación será insuficiente mientras la violencia y la victimización persistan.</w:t>
      </w:r>
    </w:p>
    <w:p w:rsidR="0011361F" w:rsidRDefault="00AF18A5" w:rsidP="003D4B92">
      <w:r>
        <w:rPr>
          <w:w w:val="95"/>
        </w:rPr>
        <w:t>RECONOCIMIENTO</w:t>
      </w:r>
      <w:r>
        <w:rPr>
          <w:spacing w:val="34"/>
        </w:rPr>
        <w:t xml:space="preserve"> </w:t>
      </w:r>
      <w:r>
        <w:rPr>
          <w:w w:val="95"/>
        </w:rPr>
        <w:t>-</w:t>
      </w:r>
      <w:r>
        <w:rPr>
          <w:spacing w:val="23"/>
        </w:rPr>
        <w:t xml:space="preserve"> </w:t>
      </w:r>
      <w:r>
        <w:rPr>
          <w:spacing w:val="-2"/>
          <w:w w:val="95"/>
        </w:rPr>
        <w:t>LLAMADO</w:t>
      </w:r>
    </w:p>
    <w:p w:rsidR="003804AC" w:rsidRDefault="00AF18A5" w:rsidP="003D4B92">
      <w:r>
        <w:t>Convocamos a la sociedad en su conjunto a reconocer a las más de nueve millones de víctimas, los daños que sufrieron por causa del conflicto armado y las afectaciones desproporcionadas</w:t>
      </w:r>
      <w:r>
        <w:rPr>
          <w:spacing w:val="-7"/>
        </w:rPr>
        <w:t xml:space="preserve"> </w:t>
      </w:r>
      <w:r>
        <w:t>que</w:t>
      </w:r>
      <w:r>
        <w:rPr>
          <w:spacing w:val="-6"/>
        </w:rPr>
        <w:t xml:space="preserve"> </w:t>
      </w:r>
      <w:r>
        <w:t>han</w:t>
      </w:r>
      <w:r>
        <w:rPr>
          <w:spacing w:val="-5"/>
        </w:rPr>
        <w:t xml:space="preserve"> </w:t>
      </w:r>
      <w:r>
        <w:t>sufrido</w:t>
      </w:r>
      <w:r>
        <w:rPr>
          <w:spacing w:val="-7"/>
        </w:rPr>
        <w:t xml:space="preserve"> </w:t>
      </w:r>
      <w:r>
        <w:t>comunidades</w:t>
      </w:r>
      <w:r>
        <w:rPr>
          <w:spacing w:val="-5"/>
        </w:rPr>
        <w:t xml:space="preserve"> </w:t>
      </w:r>
      <w:r>
        <w:t>campesinas,</w:t>
      </w:r>
      <w:r>
        <w:rPr>
          <w:spacing w:val="-5"/>
        </w:rPr>
        <w:t xml:space="preserve"> </w:t>
      </w:r>
      <w:r>
        <w:t>pueblos</w:t>
      </w:r>
      <w:r>
        <w:rPr>
          <w:spacing w:val="-6"/>
        </w:rPr>
        <w:t xml:space="preserve"> </w:t>
      </w:r>
      <w:r>
        <w:t>étnicos,</w:t>
      </w:r>
      <w:r>
        <w:rPr>
          <w:spacing w:val="-5"/>
        </w:rPr>
        <w:t xml:space="preserve"> </w:t>
      </w:r>
      <w:r>
        <w:t>niños,</w:t>
      </w:r>
      <w:r>
        <w:rPr>
          <w:spacing w:val="-5"/>
        </w:rPr>
        <w:t xml:space="preserve"> </w:t>
      </w:r>
      <w:r>
        <w:rPr>
          <w:spacing w:val="-2"/>
        </w:rPr>
        <w:t>niñas,</w:t>
      </w:r>
      <w:r w:rsidR="003D4B92">
        <w:t xml:space="preserve"> </w:t>
      </w:r>
      <w:r>
        <w:t>adolescentes</w:t>
      </w:r>
      <w:r>
        <w:rPr>
          <w:spacing w:val="-1"/>
        </w:rPr>
        <w:t xml:space="preserve"> </w:t>
      </w:r>
      <w:r>
        <w:t>y</w:t>
      </w:r>
      <w:r>
        <w:rPr>
          <w:spacing w:val="-1"/>
        </w:rPr>
        <w:t xml:space="preserve"> </w:t>
      </w:r>
      <w:r>
        <w:t>jóvenes,</w:t>
      </w:r>
      <w:r>
        <w:rPr>
          <w:spacing w:val="-1"/>
        </w:rPr>
        <w:t xml:space="preserve"> </w:t>
      </w:r>
      <w:r>
        <w:t>huérfanos</w:t>
      </w:r>
      <w:r>
        <w:rPr>
          <w:spacing w:val="-1"/>
        </w:rPr>
        <w:t xml:space="preserve"> </w:t>
      </w:r>
      <w:r>
        <w:t>y huérfanas de</w:t>
      </w:r>
      <w:r>
        <w:rPr>
          <w:spacing w:val="-1"/>
        </w:rPr>
        <w:t xml:space="preserve"> </w:t>
      </w:r>
      <w:r>
        <w:t>la guerra,</w:t>
      </w:r>
      <w:r>
        <w:rPr>
          <w:spacing w:val="-1"/>
        </w:rPr>
        <w:t xml:space="preserve"> </w:t>
      </w:r>
      <w:r>
        <w:t>víctimas</w:t>
      </w:r>
      <w:r>
        <w:rPr>
          <w:spacing w:val="-1"/>
        </w:rPr>
        <w:t xml:space="preserve"> </w:t>
      </w:r>
      <w:r>
        <w:t>en el</w:t>
      </w:r>
      <w:r>
        <w:rPr>
          <w:spacing w:val="-1"/>
        </w:rPr>
        <w:t xml:space="preserve"> </w:t>
      </w:r>
      <w:r>
        <w:t xml:space="preserve">exilio, población con discapacidad, mujeres y personas LGBTIQ+. Es </w:t>
      </w:r>
      <w:r>
        <w:lastRenderedPageBreak/>
        <w:t>imperativo reconocer el trauma colectivo que ha dejado décadas de confrontación. También llamamos a reconocer las capacidades y la agencia de quienes han sido afectados por el conflicto armado; y la resistencia</w:t>
      </w:r>
      <w:r>
        <w:rPr>
          <w:spacing w:val="-5"/>
        </w:rPr>
        <w:t xml:space="preserve"> </w:t>
      </w:r>
      <w:r>
        <w:t>y</w:t>
      </w:r>
      <w:r>
        <w:rPr>
          <w:spacing w:val="-6"/>
        </w:rPr>
        <w:t xml:space="preserve"> </w:t>
      </w:r>
      <w:r>
        <w:t>afrontamientos</w:t>
      </w:r>
      <w:r>
        <w:rPr>
          <w:spacing w:val="-4"/>
        </w:rPr>
        <w:t xml:space="preserve"> </w:t>
      </w:r>
      <w:r>
        <w:t>de</w:t>
      </w:r>
      <w:r>
        <w:rPr>
          <w:spacing w:val="-4"/>
        </w:rPr>
        <w:t xml:space="preserve"> </w:t>
      </w:r>
      <w:r>
        <w:t>las</w:t>
      </w:r>
      <w:r>
        <w:rPr>
          <w:spacing w:val="-4"/>
        </w:rPr>
        <w:t xml:space="preserve"> </w:t>
      </w:r>
      <w:r>
        <w:t>víctimas</w:t>
      </w:r>
      <w:r>
        <w:rPr>
          <w:spacing w:val="-4"/>
        </w:rPr>
        <w:t xml:space="preserve"> </w:t>
      </w:r>
      <w:r>
        <w:t>y</w:t>
      </w:r>
      <w:r>
        <w:rPr>
          <w:spacing w:val="-4"/>
        </w:rPr>
        <w:t xml:space="preserve"> </w:t>
      </w:r>
      <w:r>
        <w:t>la</w:t>
      </w:r>
      <w:r>
        <w:rPr>
          <w:spacing w:val="-6"/>
        </w:rPr>
        <w:t xml:space="preserve"> </w:t>
      </w:r>
      <w:r>
        <w:t>sociedad</w:t>
      </w:r>
      <w:r>
        <w:rPr>
          <w:spacing w:val="-5"/>
        </w:rPr>
        <w:t xml:space="preserve"> </w:t>
      </w:r>
      <w:r>
        <w:t>durante</w:t>
      </w:r>
      <w:r>
        <w:rPr>
          <w:spacing w:val="-4"/>
        </w:rPr>
        <w:t xml:space="preserve"> </w:t>
      </w:r>
      <w:r>
        <w:t>décadas</w:t>
      </w:r>
      <w:r>
        <w:rPr>
          <w:spacing w:val="-4"/>
        </w:rPr>
        <w:t xml:space="preserve"> </w:t>
      </w:r>
      <w:r>
        <w:t>de</w:t>
      </w:r>
      <w:r>
        <w:rPr>
          <w:spacing w:val="-4"/>
        </w:rPr>
        <w:t xml:space="preserve"> </w:t>
      </w:r>
      <w:r>
        <w:t>conflicto.</w:t>
      </w:r>
      <w:r>
        <w:rPr>
          <w:spacing w:val="-5"/>
        </w:rPr>
        <w:t xml:space="preserve"> </w:t>
      </w:r>
      <w:r>
        <w:t>Por ello, es necesario realizar un examen crítico de nuestro pasado para construir sobre él un futuro</w:t>
      </w:r>
      <w:r>
        <w:rPr>
          <w:spacing w:val="-8"/>
        </w:rPr>
        <w:t xml:space="preserve"> </w:t>
      </w:r>
      <w:r>
        <w:t>común;</w:t>
      </w:r>
      <w:r>
        <w:rPr>
          <w:spacing w:val="-8"/>
        </w:rPr>
        <w:t xml:space="preserve"> </w:t>
      </w:r>
      <w:r>
        <w:t>rechazar</w:t>
      </w:r>
      <w:r>
        <w:rPr>
          <w:spacing w:val="-9"/>
        </w:rPr>
        <w:t xml:space="preserve"> </w:t>
      </w:r>
      <w:r>
        <w:t>los</w:t>
      </w:r>
      <w:r>
        <w:rPr>
          <w:spacing w:val="-8"/>
        </w:rPr>
        <w:t xml:space="preserve"> </w:t>
      </w:r>
      <w:r>
        <w:t>discursos</w:t>
      </w:r>
      <w:r>
        <w:rPr>
          <w:spacing w:val="-8"/>
        </w:rPr>
        <w:t xml:space="preserve"> </w:t>
      </w:r>
      <w:r>
        <w:t>negacionistas</w:t>
      </w:r>
      <w:r>
        <w:rPr>
          <w:spacing w:val="-8"/>
        </w:rPr>
        <w:t xml:space="preserve"> </w:t>
      </w:r>
      <w:r>
        <w:t>o</w:t>
      </w:r>
      <w:r>
        <w:rPr>
          <w:spacing w:val="-8"/>
        </w:rPr>
        <w:t xml:space="preserve"> </w:t>
      </w:r>
      <w:r>
        <w:t>justificantes</w:t>
      </w:r>
      <w:r>
        <w:rPr>
          <w:spacing w:val="-8"/>
        </w:rPr>
        <w:t xml:space="preserve"> </w:t>
      </w:r>
      <w:r>
        <w:t>de</w:t>
      </w:r>
      <w:r>
        <w:rPr>
          <w:spacing w:val="-8"/>
        </w:rPr>
        <w:t xml:space="preserve"> </w:t>
      </w:r>
      <w:r>
        <w:t>la</w:t>
      </w:r>
      <w:r>
        <w:rPr>
          <w:spacing w:val="-8"/>
        </w:rPr>
        <w:t xml:space="preserve"> </w:t>
      </w:r>
      <w:r>
        <w:t>violencia</w:t>
      </w:r>
      <w:r>
        <w:rPr>
          <w:spacing w:val="-8"/>
        </w:rPr>
        <w:t xml:space="preserve"> </w:t>
      </w:r>
      <w:r>
        <w:t>armada;</w:t>
      </w:r>
      <w:r>
        <w:rPr>
          <w:spacing w:val="-8"/>
        </w:rPr>
        <w:t xml:space="preserve"> </w:t>
      </w:r>
      <w:r>
        <w:t>y comprometernos con la satisfacción de los derechos de las víctimas y la no repetición.</w:t>
      </w:r>
    </w:p>
    <w:p w:rsidR="0011361F" w:rsidRDefault="00AF18A5" w:rsidP="003D4B92">
      <w:r>
        <w:t>Por</w:t>
      </w:r>
      <w:r>
        <w:rPr>
          <w:spacing w:val="-1"/>
        </w:rPr>
        <w:t xml:space="preserve"> </w:t>
      </w:r>
      <w:r>
        <w:t>lo</w:t>
      </w:r>
      <w:r>
        <w:rPr>
          <w:spacing w:val="-1"/>
        </w:rPr>
        <w:t xml:space="preserve"> </w:t>
      </w:r>
      <w:r>
        <w:t>anterior</w:t>
      </w:r>
      <w:r>
        <w:rPr>
          <w:spacing w:val="-1"/>
        </w:rPr>
        <w:t xml:space="preserve"> </w:t>
      </w:r>
      <w:r>
        <w:rPr>
          <w:b/>
          <w:spacing w:val="-2"/>
        </w:rPr>
        <w:t>RECOMENDAMOS</w:t>
      </w:r>
      <w:r>
        <w:rPr>
          <w:spacing w:val="-2"/>
        </w:rPr>
        <w:t>:</w:t>
      </w:r>
    </w:p>
    <w:p w:rsidR="0011361F" w:rsidRPr="003D4B92" w:rsidRDefault="00AF18A5" w:rsidP="004A6EF4">
      <w:pPr>
        <w:pStyle w:val="Ttulo3"/>
        <w:numPr>
          <w:ilvl w:val="1"/>
          <w:numId w:val="28"/>
        </w:numPr>
      </w:pPr>
      <w:bookmarkStart w:id="1536" w:name="2.1._Reconocimientos_de_responsabilidad_"/>
      <w:bookmarkStart w:id="1537" w:name="_Toc112399687"/>
      <w:bookmarkEnd w:id="1536"/>
      <w:r>
        <w:t>Reconocimientos</w:t>
      </w:r>
      <w:r>
        <w:rPr>
          <w:spacing w:val="-5"/>
        </w:rPr>
        <w:t xml:space="preserve"> </w:t>
      </w:r>
      <w:r>
        <w:t>de</w:t>
      </w:r>
      <w:r>
        <w:rPr>
          <w:spacing w:val="-2"/>
        </w:rPr>
        <w:t xml:space="preserve"> </w:t>
      </w:r>
      <w:r>
        <w:t>responsabilidad</w:t>
      </w:r>
      <w:r>
        <w:rPr>
          <w:spacing w:val="-3"/>
        </w:rPr>
        <w:t xml:space="preserve"> </w:t>
      </w:r>
      <w:r>
        <w:t>y</w:t>
      </w:r>
      <w:r>
        <w:rPr>
          <w:spacing w:val="-2"/>
        </w:rPr>
        <w:t xml:space="preserve"> </w:t>
      </w:r>
      <w:r>
        <w:t>de</w:t>
      </w:r>
      <w:r>
        <w:rPr>
          <w:spacing w:val="-3"/>
        </w:rPr>
        <w:t xml:space="preserve"> </w:t>
      </w:r>
      <w:r>
        <w:t>la</w:t>
      </w:r>
      <w:r>
        <w:rPr>
          <w:spacing w:val="-2"/>
        </w:rPr>
        <w:t xml:space="preserve"> </w:t>
      </w:r>
      <w:r>
        <w:t>dignidad</w:t>
      </w:r>
      <w:r>
        <w:rPr>
          <w:spacing w:val="-3"/>
        </w:rPr>
        <w:t xml:space="preserve"> </w:t>
      </w:r>
      <w:r>
        <w:t>de</w:t>
      </w:r>
      <w:r>
        <w:rPr>
          <w:spacing w:val="-2"/>
        </w:rPr>
        <w:t xml:space="preserve"> </w:t>
      </w:r>
      <w:r>
        <w:t>las</w:t>
      </w:r>
      <w:r>
        <w:rPr>
          <w:spacing w:val="-2"/>
        </w:rPr>
        <w:t xml:space="preserve"> víctimas</w:t>
      </w:r>
      <w:r w:rsidR="003D4B92">
        <w:rPr>
          <w:spacing w:val="-2"/>
        </w:rPr>
        <w:t xml:space="preserve">. </w:t>
      </w:r>
      <w:r>
        <w:rPr>
          <w:b w:val="0"/>
        </w:rPr>
        <w:t>Mediano</w:t>
      </w:r>
      <w:r>
        <w:rPr>
          <w:b w:val="0"/>
          <w:spacing w:val="-3"/>
        </w:rPr>
        <w:t xml:space="preserve"> </w:t>
      </w:r>
      <w:r>
        <w:rPr>
          <w:b w:val="0"/>
          <w:spacing w:val="-2"/>
        </w:rPr>
        <w:t>plazo</w:t>
      </w:r>
      <w:bookmarkEnd w:id="1537"/>
    </w:p>
    <w:p w:rsidR="003D4B92" w:rsidRPr="003D4B92" w:rsidRDefault="00AF18A5" w:rsidP="004A6EF4">
      <w:pPr>
        <w:pStyle w:val="Prrafodelista"/>
        <w:numPr>
          <w:ilvl w:val="0"/>
          <w:numId w:val="31"/>
        </w:numPr>
      </w:pPr>
      <w:r>
        <w:t>Al Gobierno Nacional</w:t>
      </w:r>
      <w:r w:rsidR="003D4B92">
        <w:rPr>
          <w:rStyle w:val="Refdenotaalpie"/>
        </w:rPr>
        <w:footnoteReference w:id="1198"/>
      </w:r>
      <w:r>
        <w:t xml:space="preserve">, asumir el compromiso de liderar los </w:t>
      </w:r>
      <w:r w:rsidRPr="003D4B92">
        <w:rPr>
          <w:b/>
        </w:rPr>
        <w:t xml:space="preserve">reconocimientos extrajudiciales de responsabilidad y de la dignidad de las víctimas </w:t>
      </w:r>
      <w:r>
        <w:t>sobre la base de los avances, experiencia y criterios de la Comisión</w:t>
      </w:r>
      <w:r w:rsidR="003D4B92">
        <w:rPr>
          <w:rStyle w:val="Refdenotaalpie"/>
        </w:rPr>
        <w:footnoteReference w:id="1199"/>
      </w:r>
      <w:r>
        <w:t>, dando prioridad a los reconocimientos de</w:t>
      </w:r>
      <w:r w:rsidRPr="003D4B92">
        <w:rPr>
          <w:spacing w:val="-14"/>
        </w:rPr>
        <w:t xml:space="preserve"> </w:t>
      </w:r>
      <w:r>
        <w:t>responsabilidad</w:t>
      </w:r>
      <w:r w:rsidRPr="003D4B92">
        <w:rPr>
          <w:spacing w:val="-14"/>
        </w:rPr>
        <w:t xml:space="preserve"> </w:t>
      </w:r>
      <w:r>
        <w:t>de</w:t>
      </w:r>
      <w:r w:rsidRPr="003D4B92">
        <w:rPr>
          <w:spacing w:val="-14"/>
        </w:rPr>
        <w:t xml:space="preserve"> </w:t>
      </w:r>
      <w:r>
        <w:t>hechos</w:t>
      </w:r>
      <w:r w:rsidRPr="003D4B92">
        <w:rPr>
          <w:spacing w:val="-14"/>
        </w:rPr>
        <w:t xml:space="preserve"> </w:t>
      </w:r>
      <w:r>
        <w:t>sufridos</w:t>
      </w:r>
      <w:r w:rsidRPr="003D4B92">
        <w:rPr>
          <w:spacing w:val="-14"/>
        </w:rPr>
        <w:t xml:space="preserve"> </w:t>
      </w:r>
      <w:r>
        <w:t>por</w:t>
      </w:r>
      <w:r w:rsidRPr="003D4B92">
        <w:rPr>
          <w:spacing w:val="-14"/>
        </w:rPr>
        <w:t xml:space="preserve"> </w:t>
      </w:r>
      <w:r>
        <w:t>sujetos</w:t>
      </w:r>
      <w:r w:rsidRPr="003D4B92">
        <w:rPr>
          <w:spacing w:val="-15"/>
        </w:rPr>
        <w:t xml:space="preserve"> </w:t>
      </w:r>
      <w:r>
        <w:t>de</w:t>
      </w:r>
      <w:r w:rsidRPr="003D4B92">
        <w:rPr>
          <w:spacing w:val="-14"/>
        </w:rPr>
        <w:t xml:space="preserve"> </w:t>
      </w:r>
      <w:r>
        <w:t>reparación</w:t>
      </w:r>
      <w:r w:rsidRPr="003D4B92">
        <w:rPr>
          <w:spacing w:val="-14"/>
        </w:rPr>
        <w:t xml:space="preserve"> </w:t>
      </w:r>
      <w:r>
        <w:t>colectiva.</w:t>
      </w:r>
      <w:r w:rsidRPr="003D4B92">
        <w:rPr>
          <w:spacing w:val="-15"/>
        </w:rPr>
        <w:t xml:space="preserve"> </w:t>
      </w:r>
      <w:r>
        <w:t>Estos</w:t>
      </w:r>
      <w:r w:rsidRPr="003D4B92">
        <w:rPr>
          <w:spacing w:val="-14"/>
        </w:rPr>
        <w:t xml:space="preserve"> </w:t>
      </w:r>
      <w:r>
        <w:t>deben</w:t>
      </w:r>
      <w:r w:rsidRPr="003D4B92">
        <w:rPr>
          <w:spacing w:val="-15"/>
        </w:rPr>
        <w:t xml:space="preserve"> </w:t>
      </w:r>
      <w:r>
        <w:t xml:space="preserve">contar con acompañamiento psicosocial a lo largo de todo el proceso, y deben retomar la metodología de la Comisión para que </w:t>
      </w:r>
      <w:r>
        <w:lastRenderedPageBreak/>
        <w:t>contribuyan al goce efectivo de los derechos de las víctimas y puedan configurarse como medidas de satisfacción. Para tal fin, es menester asignar los recursos necesarios a la entidad que los lidere. Dicho esquema debe garantizar una</w:t>
      </w:r>
      <w:r w:rsidRPr="003D4B92">
        <w:rPr>
          <w:spacing w:val="-2"/>
        </w:rPr>
        <w:t xml:space="preserve"> </w:t>
      </w:r>
      <w:r>
        <w:t>adecuada</w:t>
      </w:r>
      <w:r w:rsidRPr="003D4B92">
        <w:rPr>
          <w:spacing w:val="1"/>
        </w:rPr>
        <w:t xml:space="preserve"> </w:t>
      </w:r>
      <w:r>
        <w:t>articulación con</w:t>
      </w:r>
      <w:r w:rsidRPr="003D4B92">
        <w:rPr>
          <w:spacing w:val="1"/>
        </w:rPr>
        <w:t xml:space="preserve"> </w:t>
      </w:r>
      <w:r>
        <w:t>los procesos</w:t>
      </w:r>
      <w:r w:rsidRPr="003D4B92">
        <w:rPr>
          <w:spacing w:val="1"/>
        </w:rPr>
        <w:t xml:space="preserve"> </w:t>
      </w:r>
      <w:r>
        <w:t>judiciales (Justicia</w:t>
      </w:r>
      <w:r w:rsidRPr="003D4B92">
        <w:rPr>
          <w:spacing w:val="1"/>
        </w:rPr>
        <w:t xml:space="preserve"> </w:t>
      </w:r>
      <w:r>
        <w:t>Especial para</w:t>
      </w:r>
      <w:r w:rsidRPr="003D4B92">
        <w:rPr>
          <w:spacing w:val="1"/>
        </w:rPr>
        <w:t xml:space="preserve"> </w:t>
      </w:r>
      <w:r>
        <w:t>la Paz,</w:t>
      </w:r>
      <w:r w:rsidRPr="003D4B92">
        <w:rPr>
          <w:spacing w:val="1"/>
        </w:rPr>
        <w:t xml:space="preserve"> </w:t>
      </w:r>
      <w:r w:rsidRPr="003D4B92">
        <w:rPr>
          <w:spacing w:val="-2"/>
        </w:rPr>
        <w:t>Justicia</w:t>
      </w:r>
      <w:bookmarkStart w:id="1538" w:name="_bookmark1338"/>
      <w:bookmarkStart w:id="1539" w:name="_bookmark1339"/>
      <w:bookmarkEnd w:id="1538"/>
      <w:bookmarkEnd w:id="1539"/>
      <w:r w:rsidR="003D4B92">
        <w:rPr>
          <w:spacing w:val="-2"/>
        </w:rPr>
        <w:t xml:space="preserve"> </w:t>
      </w:r>
      <w:r>
        <w:t>y</w:t>
      </w:r>
      <w:r w:rsidRPr="003D4B92">
        <w:rPr>
          <w:spacing w:val="-9"/>
        </w:rPr>
        <w:t xml:space="preserve"> </w:t>
      </w:r>
      <w:r>
        <w:t>Paz</w:t>
      </w:r>
      <w:r w:rsidRPr="003D4B92">
        <w:rPr>
          <w:spacing w:val="-9"/>
        </w:rPr>
        <w:t xml:space="preserve"> </w:t>
      </w:r>
      <w:r>
        <w:t>y</w:t>
      </w:r>
      <w:r w:rsidRPr="003D4B92">
        <w:rPr>
          <w:spacing w:val="-9"/>
        </w:rPr>
        <w:t xml:space="preserve"> </w:t>
      </w:r>
      <w:r>
        <w:t>la</w:t>
      </w:r>
      <w:r w:rsidRPr="003D4B92">
        <w:rPr>
          <w:spacing w:val="-9"/>
        </w:rPr>
        <w:t xml:space="preserve"> </w:t>
      </w:r>
      <w:r>
        <w:t>política</w:t>
      </w:r>
      <w:r w:rsidRPr="003D4B92">
        <w:rPr>
          <w:spacing w:val="-9"/>
        </w:rPr>
        <w:t xml:space="preserve"> </w:t>
      </w:r>
      <w:r>
        <w:t>de</w:t>
      </w:r>
      <w:r w:rsidRPr="003D4B92">
        <w:rPr>
          <w:spacing w:val="-9"/>
        </w:rPr>
        <w:t xml:space="preserve"> </w:t>
      </w:r>
      <w:r>
        <w:t>sometimiento)</w:t>
      </w:r>
      <w:r w:rsidRPr="003D4B92">
        <w:rPr>
          <w:spacing w:val="-9"/>
        </w:rPr>
        <w:t xml:space="preserve"> </w:t>
      </w:r>
      <w:r>
        <w:t>para</w:t>
      </w:r>
      <w:r w:rsidRPr="003D4B92">
        <w:rPr>
          <w:spacing w:val="-9"/>
        </w:rPr>
        <w:t xml:space="preserve"> </w:t>
      </w:r>
      <w:r>
        <w:t>asegurar</w:t>
      </w:r>
      <w:r w:rsidRPr="003D4B92">
        <w:rPr>
          <w:spacing w:val="-10"/>
        </w:rPr>
        <w:t xml:space="preserve"> </w:t>
      </w:r>
      <w:r>
        <w:t>los</w:t>
      </w:r>
      <w:r w:rsidRPr="003D4B92">
        <w:rPr>
          <w:spacing w:val="-9"/>
        </w:rPr>
        <w:t xml:space="preserve"> </w:t>
      </w:r>
      <w:r>
        <w:t>incentivos</w:t>
      </w:r>
      <w:r w:rsidRPr="003D4B92">
        <w:rPr>
          <w:spacing w:val="-9"/>
        </w:rPr>
        <w:t xml:space="preserve"> </w:t>
      </w:r>
      <w:r>
        <w:t>necesarios.</w:t>
      </w:r>
      <w:r w:rsidRPr="003D4B92">
        <w:rPr>
          <w:spacing w:val="-11"/>
        </w:rPr>
        <w:t xml:space="preserve"> </w:t>
      </w:r>
      <w:r>
        <w:t>Todo</w:t>
      </w:r>
      <w:r w:rsidRPr="003D4B92">
        <w:rPr>
          <w:spacing w:val="-9"/>
        </w:rPr>
        <w:t xml:space="preserve"> </w:t>
      </w:r>
      <w:r>
        <w:t>lo</w:t>
      </w:r>
      <w:r w:rsidRPr="003D4B92">
        <w:rPr>
          <w:spacing w:val="-9"/>
        </w:rPr>
        <w:t xml:space="preserve"> </w:t>
      </w:r>
      <w:r>
        <w:t>anterior se</w:t>
      </w:r>
      <w:r w:rsidRPr="003D4B92">
        <w:rPr>
          <w:spacing w:val="-17"/>
        </w:rPr>
        <w:t xml:space="preserve"> </w:t>
      </w:r>
      <w:r>
        <w:t>deberá</w:t>
      </w:r>
      <w:r w:rsidRPr="003D4B92">
        <w:rPr>
          <w:spacing w:val="-14"/>
        </w:rPr>
        <w:t xml:space="preserve"> </w:t>
      </w:r>
      <w:r>
        <w:t>realizar</w:t>
      </w:r>
      <w:r w:rsidRPr="003D4B92">
        <w:rPr>
          <w:spacing w:val="-13"/>
        </w:rPr>
        <w:t xml:space="preserve"> </w:t>
      </w:r>
      <w:r>
        <w:t>con</w:t>
      </w:r>
      <w:r w:rsidRPr="003D4B92">
        <w:rPr>
          <w:spacing w:val="-15"/>
        </w:rPr>
        <w:t xml:space="preserve"> </w:t>
      </w:r>
      <w:r>
        <w:t>el</w:t>
      </w:r>
      <w:r w:rsidRPr="003D4B92">
        <w:rPr>
          <w:spacing w:val="-14"/>
        </w:rPr>
        <w:t xml:space="preserve"> </w:t>
      </w:r>
      <w:r>
        <w:t>acompañamiento</w:t>
      </w:r>
      <w:r w:rsidRPr="003D4B92">
        <w:rPr>
          <w:spacing w:val="-14"/>
        </w:rPr>
        <w:t xml:space="preserve"> </w:t>
      </w:r>
      <w:r>
        <w:t>de</w:t>
      </w:r>
      <w:r w:rsidRPr="003D4B92">
        <w:rPr>
          <w:spacing w:val="-14"/>
        </w:rPr>
        <w:t xml:space="preserve"> </w:t>
      </w:r>
      <w:r>
        <w:t>organizaciones</w:t>
      </w:r>
      <w:r w:rsidRPr="003D4B92">
        <w:rPr>
          <w:spacing w:val="-14"/>
        </w:rPr>
        <w:t xml:space="preserve"> </w:t>
      </w:r>
      <w:r>
        <w:t>sociales</w:t>
      </w:r>
      <w:r w:rsidRPr="003D4B92">
        <w:rPr>
          <w:spacing w:val="-14"/>
        </w:rPr>
        <w:t xml:space="preserve"> </w:t>
      </w:r>
      <w:r>
        <w:t>y</w:t>
      </w:r>
      <w:r w:rsidRPr="003D4B92">
        <w:rPr>
          <w:spacing w:val="-14"/>
        </w:rPr>
        <w:t xml:space="preserve"> </w:t>
      </w:r>
      <w:r>
        <w:t>de</w:t>
      </w:r>
      <w:r w:rsidRPr="003D4B92">
        <w:rPr>
          <w:spacing w:val="-14"/>
        </w:rPr>
        <w:t xml:space="preserve"> </w:t>
      </w:r>
      <w:r>
        <w:t>derechos</w:t>
      </w:r>
      <w:r w:rsidRPr="003D4B92">
        <w:rPr>
          <w:spacing w:val="-14"/>
        </w:rPr>
        <w:t xml:space="preserve"> </w:t>
      </w:r>
      <w:r w:rsidRPr="003D4B92">
        <w:rPr>
          <w:spacing w:val="-2"/>
        </w:rPr>
        <w:t>humanos.</w:t>
      </w:r>
    </w:p>
    <w:p w:rsidR="003D4B92" w:rsidRDefault="00AF18A5" w:rsidP="003D4B92">
      <w:pPr>
        <w:pStyle w:val="Prrafodelista"/>
        <w:ind w:left="1080"/>
      </w:pPr>
      <w:r>
        <w:t>Entre estos reconocimientos por parte del Estado, está el reconocimiento de la responsabilidad en las ejecuciones de personas presentadas como muertas en combate, llamadas “falsos positivos”, la dignidad de las víctimas y el derecho al buen nombre. El reconocimiento de la responsabilidad del Estado en el paramilitarismo durante décadas del conflicto armado, como parte del derecho a la verdad de sus víctimas y del necesario compromiso</w:t>
      </w:r>
      <w:r w:rsidRPr="003D4B92">
        <w:rPr>
          <w:spacing w:val="-3"/>
        </w:rPr>
        <w:t xml:space="preserve"> </w:t>
      </w:r>
      <w:r>
        <w:t>en</w:t>
      </w:r>
      <w:r w:rsidRPr="003D4B92">
        <w:rPr>
          <w:spacing w:val="-3"/>
        </w:rPr>
        <w:t xml:space="preserve"> </w:t>
      </w:r>
      <w:r>
        <w:t>la</w:t>
      </w:r>
      <w:r w:rsidRPr="003D4B92">
        <w:rPr>
          <w:spacing w:val="-2"/>
        </w:rPr>
        <w:t xml:space="preserve"> </w:t>
      </w:r>
      <w:r>
        <w:t>no</w:t>
      </w:r>
      <w:r w:rsidRPr="003D4B92">
        <w:rPr>
          <w:spacing w:val="-3"/>
        </w:rPr>
        <w:t xml:space="preserve"> </w:t>
      </w:r>
      <w:r>
        <w:t>repetición.</w:t>
      </w:r>
      <w:r w:rsidRPr="003D4B92">
        <w:rPr>
          <w:spacing w:val="-3"/>
        </w:rPr>
        <w:t xml:space="preserve"> </w:t>
      </w:r>
      <w:r>
        <w:t>Igualmente</w:t>
      </w:r>
      <w:r w:rsidRPr="003D4B92">
        <w:rPr>
          <w:spacing w:val="-2"/>
        </w:rPr>
        <w:t xml:space="preserve"> </w:t>
      </w:r>
      <w:r>
        <w:t>el</w:t>
      </w:r>
      <w:r w:rsidRPr="003D4B92">
        <w:rPr>
          <w:spacing w:val="-2"/>
        </w:rPr>
        <w:t xml:space="preserve"> </w:t>
      </w:r>
      <w:r>
        <w:t>Estado</w:t>
      </w:r>
      <w:r w:rsidRPr="003D4B92">
        <w:rPr>
          <w:spacing w:val="-2"/>
        </w:rPr>
        <w:t xml:space="preserve"> </w:t>
      </w:r>
      <w:r>
        <w:t>debe</w:t>
      </w:r>
      <w:r w:rsidRPr="003D4B92">
        <w:rPr>
          <w:spacing w:val="-2"/>
        </w:rPr>
        <w:t xml:space="preserve"> </w:t>
      </w:r>
      <w:r>
        <w:t>reconocer</w:t>
      </w:r>
      <w:r w:rsidRPr="003D4B92">
        <w:rPr>
          <w:spacing w:val="-3"/>
        </w:rPr>
        <w:t xml:space="preserve"> </w:t>
      </w:r>
      <w:r>
        <w:t>su</w:t>
      </w:r>
      <w:r w:rsidRPr="003D4B92">
        <w:rPr>
          <w:spacing w:val="-3"/>
        </w:rPr>
        <w:t xml:space="preserve"> </w:t>
      </w:r>
      <w:r>
        <w:t>responsabilidad</w:t>
      </w:r>
      <w:r w:rsidRPr="003D4B92">
        <w:rPr>
          <w:spacing w:val="-2"/>
        </w:rPr>
        <w:t xml:space="preserve"> </w:t>
      </w:r>
      <w:r>
        <w:t>en casos masivos como en el genocidio de la Unión Patriótica, que conllevaron un enorme impacto al pluralismo político y la democracia.</w:t>
      </w:r>
    </w:p>
    <w:p w:rsidR="003804AC" w:rsidRDefault="00AF18A5" w:rsidP="003D4B92">
      <w:pPr>
        <w:pStyle w:val="Prrafodelista"/>
        <w:ind w:left="1080"/>
      </w:pPr>
      <w:r>
        <w:t>El</w:t>
      </w:r>
      <w:r>
        <w:rPr>
          <w:spacing w:val="-15"/>
        </w:rPr>
        <w:t xml:space="preserve"> </w:t>
      </w:r>
      <w:r>
        <w:t>reconocimiento</w:t>
      </w:r>
      <w:r>
        <w:rPr>
          <w:spacing w:val="-15"/>
        </w:rPr>
        <w:t xml:space="preserve"> </w:t>
      </w:r>
      <w:r>
        <w:t>a</w:t>
      </w:r>
      <w:r>
        <w:rPr>
          <w:spacing w:val="-15"/>
        </w:rPr>
        <w:t xml:space="preserve"> </w:t>
      </w:r>
      <w:r>
        <w:t>víctimas</w:t>
      </w:r>
      <w:r>
        <w:rPr>
          <w:spacing w:val="-15"/>
        </w:rPr>
        <w:t xml:space="preserve"> </w:t>
      </w:r>
      <w:r>
        <w:t>que</w:t>
      </w:r>
      <w:r>
        <w:rPr>
          <w:spacing w:val="-15"/>
        </w:rPr>
        <w:t xml:space="preserve"> </w:t>
      </w:r>
      <w:r>
        <w:t>han</w:t>
      </w:r>
      <w:r>
        <w:rPr>
          <w:spacing w:val="-15"/>
        </w:rPr>
        <w:t xml:space="preserve"> </w:t>
      </w:r>
      <w:r>
        <w:t>sido</w:t>
      </w:r>
      <w:r>
        <w:rPr>
          <w:spacing w:val="-14"/>
        </w:rPr>
        <w:t xml:space="preserve"> </w:t>
      </w:r>
      <w:r>
        <w:t>invisibles</w:t>
      </w:r>
      <w:r>
        <w:rPr>
          <w:spacing w:val="-15"/>
        </w:rPr>
        <w:t xml:space="preserve"> </w:t>
      </w:r>
      <w:r>
        <w:t>o</w:t>
      </w:r>
      <w:r>
        <w:rPr>
          <w:spacing w:val="-15"/>
        </w:rPr>
        <w:t xml:space="preserve"> </w:t>
      </w:r>
      <w:r>
        <w:t>han</w:t>
      </w:r>
      <w:r>
        <w:rPr>
          <w:spacing w:val="-15"/>
        </w:rPr>
        <w:t xml:space="preserve"> </w:t>
      </w:r>
      <w:r>
        <w:t>estado</w:t>
      </w:r>
      <w:r>
        <w:rPr>
          <w:spacing w:val="-15"/>
        </w:rPr>
        <w:t xml:space="preserve"> </w:t>
      </w:r>
      <w:r>
        <w:t>por</w:t>
      </w:r>
      <w:r>
        <w:rPr>
          <w:spacing w:val="-15"/>
        </w:rPr>
        <w:t xml:space="preserve"> </w:t>
      </w:r>
      <w:r>
        <w:t>fuera</w:t>
      </w:r>
      <w:r>
        <w:rPr>
          <w:spacing w:val="-14"/>
        </w:rPr>
        <w:t xml:space="preserve"> </w:t>
      </w:r>
      <w:r>
        <w:t>de</w:t>
      </w:r>
      <w:r>
        <w:rPr>
          <w:spacing w:val="-15"/>
        </w:rPr>
        <w:t xml:space="preserve"> </w:t>
      </w:r>
      <w:r>
        <w:t>las</w:t>
      </w:r>
      <w:r>
        <w:rPr>
          <w:spacing w:val="-15"/>
        </w:rPr>
        <w:t xml:space="preserve"> </w:t>
      </w:r>
      <w:r>
        <w:t>políticas de</w:t>
      </w:r>
      <w:r>
        <w:rPr>
          <w:spacing w:val="-6"/>
        </w:rPr>
        <w:t xml:space="preserve"> </w:t>
      </w:r>
      <w:r>
        <w:t>atención,</w:t>
      </w:r>
      <w:r>
        <w:rPr>
          <w:spacing w:val="-7"/>
        </w:rPr>
        <w:t xml:space="preserve"> </w:t>
      </w:r>
      <w:r>
        <w:t>como</w:t>
      </w:r>
      <w:r>
        <w:rPr>
          <w:spacing w:val="-6"/>
        </w:rPr>
        <w:t xml:space="preserve"> </w:t>
      </w:r>
      <w:r>
        <w:t>la</w:t>
      </w:r>
      <w:r>
        <w:rPr>
          <w:spacing w:val="-6"/>
        </w:rPr>
        <w:t xml:space="preserve"> </w:t>
      </w:r>
      <w:r>
        <w:t>Colombia</w:t>
      </w:r>
      <w:r>
        <w:rPr>
          <w:spacing w:val="-6"/>
        </w:rPr>
        <w:t xml:space="preserve"> </w:t>
      </w:r>
      <w:r>
        <w:t>que</w:t>
      </w:r>
      <w:r>
        <w:rPr>
          <w:spacing w:val="-6"/>
        </w:rPr>
        <w:t xml:space="preserve"> </w:t>
      </w:r>
      <w:r>
        <w:t>tuvo</w:t>
      </w:r>
      <w:r>
        <w:rPr>
          <w:spacing w:val="-6"/>
        </w:rPr>
        <w:t xml:space="preserve"> </w:t>
      </w:r>
      <w:r>
        <w:t>que</w:t>
      </w:r>
      <w:r>
        <w:rPr>
          <w:spacing w:val="-6"/>
        </w:rPr>
        <w:t xml:space="preserve"> </w:t>
      </w:r>
      <w:r>
        <w:t>salir</w:t>
      </w:r>
      <w:r>
        <w:rPr>
          <w:spacing w:val="-6"/>
        </w:rPr>
        <w:t xml:space="preserve"> </w:t>
      </w:r>
      <w:r>
        <w:t>del</w:t>
      </w:r>
      <w:r>
        <w:rPr>
          <w:spacing w:val="-6"/>
        </w:rPr>
        <w:t xml:space="preserve"> </w:t>
      </w:r>
      <w:r>
        <w:t>país</w:t>
      </w:r>
      <w:r>
        <w:rPr>
          <w:spacing w:val="-6"/>
        </w:rPr>
        <w:t xml:space="preserve"> </w:t>
      </w:r>
      <w:r>
        <w:t>por</w:t>
      </w:r>
      <w:r>
        <w:rPr>
          <w:spacing w:val="-6"/>
        </w:rPr>
        <w:t xml:space="preserve"> </w:t>
      </w:r>
      <w:r>
        <w:t>motivos</w:t>
      </w:r>
      <w:r>
        <w:rPr>
          <w:spacing w:val="-6"/>
        </w:rPr>
        <w:t xml:space="preserve"> </w:t>
      </w:r>
      <w:r>
        <w:t>del</w:t>
      </w:r>
      <w:r>
        <w:rPr>
          <w:spacing w:val="-6"/>
        </w:rPr>
        <w:t xml:space="preserve"> </w:t>
      </w:r>
      <w:r>
        <w:t>conflicto</w:t>
      </w:r>
      <w:r>
        <w:rPr>
          <w:spacing w:val="-6"/>
        </w:rPr>
        <w:t xml:space="preserve"> </w:t>
      </w:r>
      <w:r>
        <w:t>armado, los</w:t>
      </w:r>
      <w:r>
        <w:rPr>
          <w:spacing w:val="-11"/>
        </w:rPr>
        <w:t xml:space="preserve"> </w:t>
      </w:r>
      <w:r>
        <w:t>funcionarios</w:t>
      </w:r>
      <w:r>
        <w:rPr>
          <w:spacing w:val="-11"/>
        </w:rPr>
        <w:t xml:space="preserve"> </w:t>
      </w:r>
      <w:r>
        <w:t>de</w:t>
      </w:r>
      <w:r>
        <w:rPr>
          <w:spacing w:val="-11"/>
        </w:rPr>
        <w:t xml:space="preserve"> </w:t>
      </w:r>
      <w:r>
        <w:t>justicia</w:t>
      </w:r>
      <w:r>
        <w:rPr>
          <w:spacing w:val="-11"/>
        </w:rPr>
        <w:t xml:space="preserve"> </w:t>
      </w:r>
      <w:r>
        <w:t>que</w:t>
      </w:r>
      <w:r>
        <w:rPr>
          <w:spacing w:val="-11"/>
        </w:rPr>
        <w:t xml:space="preserve"> </w:t>
      </w:r>
      <w:r>
        <w:t>fueron</w:t>
      </w:r>
      <w:r>
        <w:rPr>
          <w:spacing w:val="-11"/>
        </w:rPr>
        <w:t xml:space="preserve"> </w:t>
      </w:r>
      <w:r>
        <w:t>víctimas</w:t>
      </w:r>
      <w:r>
        <w:rPr>
          <w:spacing w:val="-11"/>
        </w:rPr>
        <w:t xml:space="preserve"> </w:t>
      </w:r>
      <w:r>
        <w:t>del</w:t>
      </w:r>
      <w:r>
        <w:rPr>
          <w:spacing w:val="-10"/>
        </w:rPr>
        <w:t xml:space="preserve"> </w:t>
      </w:r>
      <w:r>
        <w:t>conflicto</w:t>
      </w:r>
      <w:r>
        <w:rPr>
          <w:spacing w:val="-11"/>
        </w:rPr>
        <w:t xml:space="preserve"> </w:t>
      </w:r>
      <w:r>
        <w:t>armado,</w:t>
      </w:r>
      <w:r>
        <w:rPr>
          <w:spacing w:val="-11"/>
        </w:rPr>
        <w:t xml:space="preserve"> </w:t>
      </w:r>
      <w:r>
        <w:t>así</w:t>
      </w:r>
      <w:r>
        <w:rPr>
          <w:spacing w:val="-12"/>
        </w:rPr>
        <w:t xml:space="preserve"> </w:t>
      </w:r>
      <w:r>
        <w:t>como</w:t>
      </w:r>
      <w:r>
        <w:rPr>
          <w:spacing w:val="-11"/>
        </w:rPr>
        <w:t xml:space="preserve"> </w:t>
      </w:r>
      <w:r>
        <w:t>otros</w:t>
      </w:r>
      <w:r>
        <w:rPr>
          <w:spacing w:val="-11"/>
        </w:rPr>
        <w:t xml:space="preserve"> </w:t>
      </w:r>
      <w:r>
        <w:t>sectores y comunidades colombianas, debe ser parte de la nueva institucionalidad propuesta por la Comisión</w:t>
      </w:r>
      <w:r>
        <w:rPr>
          <w:spacing w:val="-7"/>
        </w:rPr>
        <w:t xml:space="preserve"> </w:t>
      </w:r>
      <w:r>
        <w:t>y</w:t>
      </w:r>
      <w:r>
        <w:rPr>
          <w:spacing w:val="-7"/>
        </w:rPr>
        <w:t xml:space="preserve"> </w:t>
      </w:r>
      <w:r>
        <w:t>debe</w:t>
      </w:r>
      <w:r>
        <w:rPr>
          <w:spacing w:val="-7"/>
        </w:rPr>
        <w:t xml:space="preserve"> </w:t>
      </w:r>
      <w:r>
        <w:t>contar</w:t>
      </w:r>
      <w:r>
        <w:rPr>
          <w:spacing w:val="-8"/>
        </w:rPr>
        <w:t xml:space="preserve"> </w:t>
      </w:r>
      <w:r>
        <w:t>con</w:t>
      </w:r>
      <w:r>
        <w:rPr>
          <w:spacing w:val="-7"/>
        </w:rPr>
        <w:t xml:space="preserve"> </w:t>
      </w:r>
      <w:r>
        <w:t>la</w:t>
      </w:r>
      <w:r>
        <w:rPr>
          <w:spacing w:val="-7"/>
        </w:rPr>
        <w:t xml:space="preserve"> </w:t>
      </w:r>
      <w:r>
        <w:t>necesaria</w:t>
      </w:r>
      <w:r>
        <w:rPr>
          <w:spacing w:val="-7"/>
        </w:rPr>
        <w:t xml:space="preserve"> </w:t>
      </w:r>
      <w:r>
        <w:t>voluntad</w:t>
      </w:r>
      <w:r>
        <w:rPr>
          <w:spacing w:val="-7"/>
        </w:rPr>
        <w:t xml:space="preserve"> </w:t>
      </w:r>
      <w:r>
        <w:t>política</w:t>
      </w:r>
      <w:r>
        <w:rPr>
          <w:spacing w:val="-7"/>
        </w:rPr>
        <w:t xml:space="preserve"> </w:t>
      </w:r>
      <w:r>
        <w:t>de</w:t>
      </w:r>
      <w:r>
        <w:rPr>
          <w:spacing w:val="-7"/>
        </w:rPr>
        <w:t xml:space="preserve"> </w:t>
      </w:r>
      <w:r>
        <w:t>las</w:t>
      </w:r>
      <w:r>
        <w:rPr>
          <w:spacing w:val="-7"/>
        </w:rPr>
        <w:t xml:space="preserve"> </w:t>
      </w:r>
      <w:r>
        <w:t>autoridades.</w:t>
      </w:r>
      <w:r>
        <w:rPr>
          <w:spacing w:val="-7"/>
        </w:rPr>
        <w:t xml:space="preserve"> </w:t>
      </w:r>
      <w:r>
        <w:t>El</w:t>
      </w:r>
      <w:r>
        <w:rPr>
          <w:spacing w:val="-7"/>
        </w:rPr>
        <w:t xml:space="preserve"> </w:t>
      </w:r>
      <w:r>
        <w:t>Estado</w:t>
      </w:r>
      <w:r>
        <w:rPr>
          <w:spacing w:val="-7"/>
        </w:rPr>
        <w:t xml:space="preserve"> </w:t>
      </w:r>
      <w:r>
        <w:t xml:space="preserve">debe estar dispuesto en el marco del trabajo de reconciliación a favorecer e impulsar el </w:t>
      </w:r>
      <w:r>
        <w:lastRenderedPageBreak/>
        <w:t>reconocimiento</w:t>
      </w:r>
      <w:r>
        <w:rPr>
          <w:spacing w:val="-6"/>
        </w:rPr>
        <w:t xml:space="preserve"> </w:t>
      </w:r>
      <w:r>
        <w:t>de</w:t>
      </w:r>
      <w:r>
        <w:rPr>
          <w:spacing w:val="-7"/>
        </w:rPr>
        <w:t xml:space="preserve"> </w:t>
      </w:r>
      <w:r>
        <w:t>entidades</w:t>
      </w:r>
      <w:r>
        <w:rPr>
          <w:spacing w:val="-6"/>
        </w:rPr>
        <w:t xml:space="preserve"> </w:t>
      </w:r>
      <w:r>
        <w:t>públicas</w:t>
      </w:r>
      <w:r>
        <w:rPr>
          <w:spacing w:val="-6"/>
        </w:rPr>
        <w:t xml:space="preserve"> </w:t>
      </w:r>
      <w:r>
        <w:t>o</w:t>
      </w:r>
      <w:r>
        <w:rPr>
          <w:spacing w:val="-6"/>
        </w:rPr>
        <w:t xml:space="preserve"> </w:t>
      </w:r>
      <w:r>
        <w:t>privadas</w:t>
      </w:r>
      <w:r>
        <w:rPr>
          <w:spacing w:val="-7"/>
        </w:rPr>
        <w:t xml:space="preserve"> </w:t>
      </w:r>
      <w:r>
        <w:t>que</w:t>
      </w:r>
      <w:r>
        <w:rPr>
          <w:spacing w:val="-6"/>
        </w:rPr>
        <w:t xml:space="preserve"> </w:t>
      </w:r>
      <w:r>
        <w:t>han</w:t>
      </w:r>
      <w:r>
        <w:rPr>
          <w:spacing w:val="-7"/>
        </w:rPr>
        <w:t xml:space="preserve"> </w:t>
      </w:r>
      <w:r>
        <w:t>tenido</w:t>
      </w:r>
      <w:r>
        <w:rPr>
          <w:spacing w:val="-6"/>
        </w:rPr>
        <w:t xml:space="preserve"> </w:t>
      </w:r>
      <w:r>
        <w:t>graves</w:t>
      </w:r>
      <w:r>
        <w:rPr>
          <w:spacing w:val="-6"/>
        </w:rPr>
        <w:t xml:space="preserve"> </w:t>
      </w:r>
      <w:r>
        <w:t>responsabilidades</w:t>
      </w:r>
      <w:r>
        <w:rPr>
          <w:spacing w:val="-6"/>
        </w:rPr>
        <w:t xml:space="preserve"> </w:t>
      </w:r>
      <w:r>
        <w:t>en el conflicto armado interno, como una muestra de ruptura con el pasado de violencia y un compromiso con la defensa de los derechos humanos.</w:t>
      </w:r>
    </w:p>
    <w:p w:rsidR="0011361F" w:rsidRDefault="00AF18A5" w:rsidP="004A6EF4">
      <w:pPr>
        <w:pStyle w:val="Ttulo3"/>
        <w:numPr>
          <w:ilvl w:val="1"/>
          <w:numId w:val="28"/>
        </w:numPr>
      </w:pPr>
      <w:bookmarkStart w:id="1540" w:name="2.2._Reparación_integral"/>
      <w:bookmarkStart w:id="1541" w:name="_Toc112399688"/>
      <w:bookmarkEnd w:id="1540"/>
      <w:r w:rsidRPr="003D4B92">
        <w:t>Reparación</w:t>
      </w:r>
      <w:r>
        <w:rPr>
          <w:spacing w:val="-3"/>
        </w:rPr>
        <w:t xml:space="preserve"> </w:t>
      </w:r>
      <w:r>
        <w:rPr>
          <w:spacing w:val="-2"/>
        </w:rPr>
        <w:t>integral</w:t>
      </w:r>
      <w:r w:rsidR="003D4B92">
        <w:rPr>
          <w:spacing w:val="-2"/>
        </w:rPr>
        <w:t xml:space="preserve">. </w:t>
      </w:r>
      <w:r>
        <w:t>Mediano</w:t>
      </w:r>
      <w:r w:rsidRPr="003D4B92">
        <w:rPr>
          <w:spacing w:val="-3"/>
        </w:rPr>
        <w:t xml:space="preserve"> </w:t>
      </w:r>
      <w:r w:rsidRPr="003D4B92">
        <w:rPr>
          <w:spacing w:val="-2"/>
        </w:rPr>
        <w:t>plazo</w:t>
      </w:r>
      <w:bookmarkEnd w:id="1541"/>
    </w:p>
    <w:p w:rsidR="003804AC" w:rsidRDefault="00AF18A5" w:rsidP="004A6EF4">
      <w:pPr>
        <w:pStyle w:val="Prrafodelista"/>
        <w:numPr>
          <w:ilvl w:val="0"/>
          <w:numId w:val="31"/>
        </w:numPr>
      </w:pPr>
      <w:r>
        <w:t>Al Estado colombiano, a través del Gobierno Nacional, las autoridades territoriales, y el Congreso</w:t>
      </w:r>
      <w:r w:rsidRPr="00077CE5">
        <w:rPr>
          <w:spacing w:val="-9"/>
        </w:rPr>
        <w:t xml:space="preserve"> </w:t>
      </w:r>
      <w:r>
        <w:t>de</w:t>
      </w:r>
      <w:r w:rsidRPr="00077CE5">
        <w:rPr>
          <w:spacing w:val="-10"/>
        </w:rPr>
        <w:t xml:space="preserve"> </w:t>
      </w:r>
      <w:r>
        <w:t>la</w:t>
      </w:r>
      <w:r w:rsidRPr="00077CE5">
        <w:rPr>
          <w:spacing w:val="-9"/>
        </w:rPr>
        <w:t xml:space="preserve"> </w:t>
      </w:r>
      <w:r>
        <w:t>República,</w:t>
      </w:r>
      <w:r w:rsidRPr="00077CE5">
        <w:rPr>
          <w:spacing w:val="-9"/>
        </w:rPr>
        <w:t xml:space="preserve"> </w:t>
      </w:r>
      <w:r>
        <w:t>mediante</w:t>
      </w:r>
      <w:r w:rsidRPr="00077CE5">
        <w:rPr>
          <w:spacing w:val="-10"/>
        </w:rPr>
        <w:t xml:space="preserve"> </w:t>
      </w:r>
      <w:r>
        <w:t>un</w:t>
      </w:r>
      <w:r w:rsidRPr="00077CE5">
        <w:rPr>
          <w:spacing w:val="-9"/>
        </w:rPr>
        <w:t xml:space="preserve"> </w:t>
      </w:r>
      <w:r>
        <w:t>debate</w:t>
      </w:r>
      <w:r w:rsidRPr="00077CE5">
        <w:rPr>
          <w:spacing w:val="-9"/>
        </w:rPr>
        <w:t xml:space="preserve"> </w:t>
      </w:r>
      <w:r>
        <w:t>amplio</w:t>
      </w:r>
      <w:r w:rsidRPr="00077CE5">
        <w:rPr>
          <w:spacing w:val="-11"/>
        </w:rPr>
        <w:t xml:space="preserve"> </w:t>
      </w:r>
      <w:r>
        <w:t>con</w:t>
      </w:r>
      <w:r w:rsidRPr="00077CE5">
        <w:rPr>
          <w:spacing w:val="-9"/>
        </w:rPr>
        <w:t xml:space="preserve"> </w:t>
      </w:r>
      <w:r>
        <w:t>garantías</w:t>
      </w:r>
      <w:r w:rsidRPr="00077CE5">
        <w:rPr>
          <w:spacing w:val="-9"/>
        </w:rPr>
        <w:t xml:space="preserve"> </w:t>
      </w:r>
      <w:r>
        <w:t>de</w:t>
      </w:r>
      <w:r w:rsidRPr="00077CE5">
        <w:rPr>
          <w:spacing w:val="-9"/>
        </w:rPr>
        <w:t xml:space="preserve"> </w:t>
      </w:r>
      <w:r>
        <w:t>participación</w:t>
      </w:r>
      <w:r w:rsidRPr="00077CE5">
        <w:rPr>
          <w:spacing w:val="-11"/>
        </w:rPr>
        <w:t xml:space="preserve"> </w:t>
      </w:r>
      <w:r>
        <w:t>para</w:t>
      </w:r>
      <w:r w:rsidRPr="00077CE5">
        <w:rPr>
          <w:spacing w:val="-9"/>
        </w:rPr>
        <w:t xml:space="preserve"> </w:t>
      </w:r>
      <w:r>
        <w:t>las víctimas</w:t>
      </w:r>
      <w:r w:rsidRPr="00077CE5">
        <w:rPr>
          <w:spacing w:val="-6"/>
        </w:rPr>
        <w:t xml:space="preserve"> </w:t>
      </w:r>
      <w:r>
        <w:t>y</w:t>
      </w:r>
      <w:r w:rsidRPr="00077CE5">
        <w:rPr>
          <w:spacing w:val="-6"/>
        </w:rPr>
        <w:t xml:space="preserve"> </w:t>
      </w:r>
      <w:r>
        <w:t>sus</w:t>
      </w:r>
      <w:r w:rsidRPr="00077CE5">
        <w:rPr>
          <w:spacing w:val="-6"/>
        </w:rPr>
        <w:t xml:space="preserve"> </w:t>
      </w:r>
      <w:r>
        <w:t>organizaciones,</w:t>
      </w:r>
      <w:r w:rsidRPr="00077CE5">
        <w:rPr>
          <w:spacing w:val="-6"/>
        </w:rPr>
        <w:t xml:space="preserve"> </w:t>
      </w:r>
      <w:r>
        <w:t>realizar,</w:t>
      </w:r>
      <w:r w:rsidRPr="00077CE5">
        <w:rPr>
          <w:spacing w:val="-6"/>
        </w:rPr>
        <w:t xml:space="preserve"> </w:t>
      </w:r>
      <w:r>
        <w:t>bajo</w:t>
      </w:r>
      <w:r w:rsidRPr="00077CE5">
        <w:rPr>
          <w:spacing w:val="-6"/>
        </w:rPr>
        <w:t xml:space="preserve"> </w:t>
      </w:r>
      <w:r>
        <w:t>el</w:t>
      </w:r>
      <w:r w:rsidRPr="00077CE5">
        <w:rPr>
          <w:spacing w:val="-6"/>
        </w:rPr>
        <w:t xml:space="preserve"> </w:t>
      </w:r>
      <w:r w:rsidRPr="00077CE5">
        <w:rPr>
          <w:b/>
        </w:rPr>
        <w:t>principio</w:t>
      </w:r>
      <w:r w:rsidRPr="00077CE5">
        <w:rPr>
          <w:b/>
          <w:spacing w:val="-6"/>
        </w:rPr>
        <w:t xml:space="preserve"> </w:t>
      </w:r>
      <w:r w:rsidRPr="00077CE5">
        <w:rPr>
          <w:b/>
        </w:rPr>
        <w:t>de</w:t>
      </w:r>
      <w:r w:rsidRPr="00077CE5">
        <w:rPr>
          <w:b/>
          <w:spacing w:val="-7"/>
        </w:rPr>
        <w:t xml:space="preserve"> </w:t>
      </w:r>
      <w:r w:rsidRPr="00077CE5">
        <w:rPr>
          <w:b/>
        </w:rPr>
        <w:t>no</w:t>
      </w:r>
      <w:r w:rsidRPr="00077CE5">
        <w:rPr>
          <w:b/>
          <w:spacing w:val="-6"/>
        </w:rPr>
        <w:t xml:space="preserve"> </w:t>
      </w:r>
      <w:r w:rsidRPr="00077CE5">
        <w:rPr>
          <w:b/>
        </w:rPr>
        <w:t>regresividad,</w:t>
      </w:r>
      <w:r w:rsidRPr="00077CE5">
        <w:rPr>
          <w:b/>
          <w:spacing w:val="-6"/>
        </w:rPr>
        <w:t xml:space="preserve"> </w:t>
      </w:r>
      <w:r>
        <w:t>los</w:t>
      </w:r>
      <w:r w:rsidRPr="00077CE5">
        <w:rPr>
          <w:spacing w:val="-6"/>
        </w:rPr>
        <w:t xml:space="preserve"> </w:t>
      </w:r>
      <w:r w:rsidRPr="00077CE5">
        <w:rPr>
          <w:b/>
        </w:rPr>
        <w:t>ajustes</w:t>
      </w:r>
      <w:r w:rsidRPr="00077CE5">
        <w:rPr>
          <w:b/>
          <w:spacing w:val="-6"/>
        </w:rPr>
        <w:t xml:space="preserve"> </w:t>
      </w:r>
      <w:r w:rsidRPr="00077CE5">
        <w:rPr>
          <w:b/>
        </w:rPr>
        <w:t>de política,</w:t>
      </w:r>
      <w:r w:rsidRPr="00077CE5">
        <w:rPr>
          <w:b/>
          <w:spacing w:val="16"/>
        </w:rPr>
        <w:t xml:space="preserve"> </w:t>
      </w:r>
      <w:r w:rsidRPr="00077CE5">
        <w:rPr>
          <w:b/>
        </w:rPr>
        <w:t>normativos</w:t>
      </w:r>
      <w:r w:rsidRPr="00077CE5">
        <w:rPr>
          <w:b/>
          <w:spacing w:val="18"/>
        </w:rPr>
        <w:t xml:space="preserve"> </w:t>
      </w:r>
      <w:r w:rsidRPr="00077CE5">
        <w:rPr>
          <w:b/>
        </w:rPr>
        <w:t>e</w:t>
      </w:r>
      <w:r w:rsidRPr="00077CE5">
        <w:rPr>
          <w:b/>
          <w:spacing w:val="17"/>
        </w:rPr>
        <w:t xml:space="preserve"> </w:t>
      </w:r>
      <w:r w:rsidRPr="00077CE5">
        <w:rPr>
          <w:b/>
        </w:rPr>
        <w:t>institucionales</w:t>
      </w:r>
      <w:r w:rsidRPr="00077CE5">
        <w:rPr>
          <w:b/>
          <w:spacing w:val="18"/>
        </w:rPr>
        <w:t xml:space="preserve"> </w:t>
      </w:r>
      <w:r w:rsidRPr="00077CE5">
        <w:rPr>
          <w:b/>
        </w:rPr>
        <w:t>necesarios</w:t>
      </w:r>
      <w:r w:rsidRPr="00077CE5">
        <w:rPr>
          <w:b/>
          <w:spacing w:val="18"/>
        </w:rPr>
        <w:t xml:space="preserve"> </w:t>
      </w:r>
      <w:r>
        <w:t>–especialmente</w:t>
      </w:r>
      <w:r w:rsidRPr="00077CE5">
        <w:rPr>
          <w:spacing w:val="19"/>
        </w:rPr>
        <w:t xml:space="preserve"> </w:t>
      </w:r>
      <w:r>
        <w:t>a</w:t>
      </w:r>
      <w:r w:rsidRPr="00077CE5">
        <w:rPr>
          <w:spacing w:val="17"/>
        </w:rPr>
        <w:t xml:space="preserve"> </w:t>
      </w:r>
      <w:r>
        <w:t>la</w:t>
      </w:r>
      <w:r w:rsidRPr="00077CE5">
        <w:rPr>
          <w:spacing w:val="17"/>
        </w:rPr>
        <w:t xml:space="preserve"> </w:t>
      </w:r>
      <w:r>
        <w:t>Ley</w:t>
      </w:r>
      <w:r w:rsidRPr="00077CE5">
        <w:rPr>
          <w:spacing w:val="18"/>
        </w:rPr>
        <w:t xml:space="preserve"> </w:t>
      </w:r>
      <w:r>
        <w:t>de</w:t>
      </w:r>
      <w:r w:rsidRPr="00077CE5">
        <w:rPr>
          <w:spacing w:val="18"/>
        </w:rPr>
        <w:t xml:space="preserve"> </w:t>
      </w:r>
      <w:r>
        <w:t>Víctimas</w:t>
      </w:r>
      <w:r w:rsidRPr="00077CE5">
        <w:rPr>
          <w:spacing w:val="19"/>
        </w:rPr>
        <w:t xml:space="preserve"> </w:t>
      </w:r>
      <w:r w:rsidRPr="00077CE5">
        <w:rPr>
          <w:spacing w:val="-10"/>
        </w:rPr>
        <w:t>y</w:t>
      </w:r>
      <w:r w:rsidR="00077CE5">
        <w:rPr>
          <w:spacing w:val="-10"/>
        </w:rPr>
        <w:t xml:space="preserve"> </w:t>
      </w:r>
      <w:r>
        <w:t>Restitución de Tierras y los Decretos Ley Étnicos</w:t>
      </w:r>
      <w:r w:rsidR="00077CE5">
        <w:rPr>
          <w:rStyle w:val="Refdenotaalpie"/>
        </w:rPr>
        <w:footnoteReference w:id="1200"/>
      </w:r>
      <w:r>
        <w:t>– para garantizar una reparación integral,</w:t>
      </w:r>
      <w:r w:rsidRPr="00077CE5">
        <w:rPr>
          <w:spacing w:val="-11"/>
        </w:rPr>
        <w:t xml:space="preserve"> </w:t>
      </w:r>
      <w:r>
        <w:t>diferenciada</w:t>
      </w:r>
      <w:r w:rsidRPr="00077CE5">
        <w:rPr>
          <w:spacing w:val="-10"/>
        </w:rPr>
        <w:t xml:space="preserve"> </w:t>
      </w:r>
      <w:r>
        <w:t>y</w:t>
      </w:r>
      <w:r w:rsidRPr="00077CE5">
        <w:rPr>
          <w:spacing w:val="-11"/>
        </w:rPr>
        <w:t xml:space="preserve"> </w:t>
      </w:r>
      <w:r>
        <w:t>transformadora</w:t>
      </w:r>
      <w:r w:rsidRPr="00077CE5">
        <w:rPr>
          <w:spacing w:val="-10"/>
        </w:rPr>
        <w:t xml:space="preserve"> </w:t>
      </w:r>
      <w:r>
        <w:t>de</w:t>
      </w:r>
      <w:r w:rsidRPr="00077CE5">
        <w:rPr>
          <w:spacing w:val="-10"/>
        </w:rPr>
        <w:t xml:space="preserve"> </w:t>
      </w:r>
      <w:r>
        <w:t>las</w:t>
      </w:r>
      <w:r w:rsidRPr="00077CE5">
        <w:rPr>
          <w:spacing w:val="-10"/>
        </w:rPr>
        <w:t xml:space="preserve"> </w:t>
      </w:r>
      <w:r>
        <w:t>víctimas</w:t>
      </w:r>
      <w:r w:rsidRPr="00077CE5">
        <w:rPr>
          <w:spacing w:val="-10"/>
        </w:rPr>
        <w:t xml:space="preserve"> </w:t>
      </w:r>
      <w:r>
        <w:t>del</w:t>
      </w:r>
      <w:r w:rsidRPr="00077CE5">
        <w:rPr>
          <w:spacing w:val="-11"/>
        </w:rPr>
        <w:t xml:space="preserve"> </w:t>
      </w:r>
      <w:r>
        <w:t>conflicto,</w:t>
      </w:r>
      <w:r w:rsidRPr="00077CE5">
        <w:rPr>
          <w:spacing w:val="-11"/>
        </w:rPr>
        <w:t xml:space="preserve"> </w:t>
      </w:r>
      <w:r>
        <w:t>en</w:t>
      </w:r>
      <w:r w:rsidRPr="00077CE5">
        <w:rPr>
          <w:spacing w:val="-11"/>
        </w:rPr>
        <w:t xml:space="preserve"> </w:t>
      </w:r>
      <w:r>
        <w:t>un</w:t>
      </w:r>
      <w:r w:rsidRPr="00077CE5">
        <w:rPr>
          <w:spacing w:val="-11"/>
        </w:rPr>
        <w:t xml:space="preserve"> </w:t>
      </w:r>
      <w:r>
        <w:t>tiempo</w:t>
      </w:r>
      <w:r w:rsidRPr="00077CE5">
        <w:rPr>
          <w:spacing w:val="-11"/>
        </w:rPr>
        <w:t xml:space="preserve"> </w:t>
      </w:r>
      <w:r>
        <w:t>razonable, y superar los escenarios de exclusión, pobreza y desigualdad histórica de la población víctima. Los ajustes deberán incluir, como mínimo:</w:t>
      </w:r>
    </w:p>
    <w:p w:rsidR="003804AC" w:rsidRDefault="00AF18A5" w:rsidP="004A6EF4">
      <w:pPr>
        <w:pStyle w:val="Prrafodelista"/>
        <w:numPr>
          <w:ilvl w:val="0"/>
          <w:numId w:val="36"/>
        </w:numPr>
      </w:pPr>
      <w:r>
        <w:t>Adoptar</w:t>
      </w:r>
      <w:r w:rsidRPr="00077CE5">
        <w:rPr>
          <w:spacing w:val="-8"/>
        </w:rPr>
        <w:t xml:space="preserve"> </w:t>
      </w:r>
      <w:r>
        <w:t>las</w:t>
      </w:r>
      <w:r w:rsidRPr="00077CE5">
        <w:rPr>
          <w:spacing w:val="-9"/>
        </w:rPr>
        <w:t xml:space="preserve"> </w:t>
      </w:r>
      <w:r>
        <w:t>medidas</w:t>
      </w:r>
      <w:r w:rsidRPr="00077CE5">
        <w:rPr>
          <w:spacing w:val="-8"/>
        </w:rPr>
        <w:t xml:space="preserve"> </w:t>
      </w:r>
      <w:r>
        <w:t>necesarias</w:t>
      </w:r>
      <w:r w:rsidRPr="00077CE5">
        <w:rPr>
          <w:spacing w:val="-8"/>
        </w:rPr>
        <w:t xml:space="preserve"> </w:t>
      </w:r>
      <w:r>
        <w:t>para</w:t>
      </w:r>
      <w:r w:rsidRPr="00077CE5">
        <w:rPr>
          <w:spacing w:val="-9"/>
        </w:rPr>
        <w:t xml:space="preserve"> </w:t>
      </w:r>
      <w:r>
        <w:t>garantizar</w:t>
      </w:r>
      <w:r w:rsidRPr="00077CE5">
        <w:rPr>
          <w:spacing w:val="-8"/>
        </w:rPr>
        <w:t xml:space="preserve"> </w:t>
      </w:r>
      <w:r w:rsidRPr="00077CE5">
        <w:rPr>
          <w:b/>
        </w:rPr>
        <w:t>recursos</w:t>
      </w:r>
      <w:r w:rsidRPr="00077CE5">
        <w:rPr>
          <w:b/>
          <w:spacing w:val="-8"/>
        </w:rPr>
        <w:t xml:space="preserve"> </w:t>
      </w:r>
      <w:r w:rsidRPr="00077CE5">
        <w:rPr>
          <w:b/>
        </w:rPr>
        <w:t>adicionales</w:t>
      </w:r>
      <w:r w:rsidR="00077CE5">
        <w:rPr>
          <w:rStyle w:val="Refdenotaalpie"/>
          <w:b/>
        </w:rPr>
        <w:footnoteReference w:id="1201"/>
      </w:r>
      <w:r w:rsidRPr="00077CE5">
        <w:rPr>
          <w:spacing w:val="-8"/>
        </w:rPr>
        <w:t xml:space="preserve"> </w:t>
      </w:r>
      <w:r>
        <w:t>a</w:t>
      </w:r>
      <w:r w:rsidRPr="00077CE5">
        <w:rPr>
          <w:spacing w:val="-8"/>
        </w:rPr>
        <w:t xml:space="preserve"> </w:t>
      </w:r>
      <w:r>
        <w:t>los que se vienen destinando para la implementación de la Política de Víctimas y de Restitución de Tierras.</w:t>
      </w:r>
      <w:r w:rsidRPr="00077CE5">
        <w:rPr>
          <w:spacing w:val="-1"/>
        </w:rPr>
        <w:t xml:space="preserve"> </w:t>
      </w:r>
      <w:r>
        <w:t>Esto sobre la base de una discusión acerca de los criterios de priorización</w:t>
      </w:r>
      <w:r w:rsidRPr="00077CE5">
        <w:rPr>
          <w:spacing w:val="-11"/>
        </w:rPr>
        <w:t xml:space="preserve"> </w:t>
      </w:r>
      <w:r>
        <w:t>de</w:t>
      </w:r>
      <w:r w:rsidRPr="00077CE5">
        <w:rPr>
          <w:spacing w:val="-9"/>
        </w:rPr>
        <w:t xml:space="preserve"> </w:t>
      </w:r>
      <w:r>
        <w:t>medidas</w:t>
      </w:r>
      <w:r w:rsidRPr="00077CE5">
        <w:rPr>
          <w:spacing w:val="-10"/>
        </w:rPr>
        <w:t xml:space="preserve"> </w:t>
      </w:r>
      <w:r>
        <w:t>y</w:t>
      </w:r>
      <w:r w:rsidRPr="00077CE5">
        <w:rPr>
          <w:spacing w:val="-9"/>
        </w:rPr>
        <w:t xml:space="preserve"> </w:t>
      </w:r>
      <w:r>
        <w:t>poblaciones,</w:t>
      </w:r>
      <w:r w:rsidRPr="00077CE5">
        <w:rPr>
          <w:spacing w:val="-9"/>
        </w:rPr>
        <w:t xml:space="preserve"> </w:t>
      </w:r>
      <w:r>
        <w:t>teniendo</w:t>
      </w:r>
      <w:r w:rsidRPr="00077CE5">
        <w:rPr>
          <w:spacing w:val="-9"/>
        </w:rPr>
        <w:t xml:space="preserve"> </w:t>
      </w:r>
      <w:r>
        <w:t>en</w:t>
      </w:r>
      <w:r w:rsidRPr="00077CE5">
        <w:rPr>
          <w:spacing w:val="-9"/>
        </w:rPr>
        <w:t xml:space="preserve"> </w:t>
      </w:r>
      <w:r>
        <w:t>cuenta</w:t>
      </w:r>
      <w:r w:rsidRPr="00077CE5">
        <w:rPr>
          <w:spacing w:val="-10"/>
        </w:rPr>
        <w:t xml:space="preserve"> </w:t>
      </w:r>
      <w:r>
        <w:t>las</w:t>
      </w:r>
      <w:r w:rsidRPr="00077CE5">
        <w:rPr>
          <w:spacing w:val="-10"/>
        </w:rPr>
        <w:t xml:space="preserve"> </w:t>
      </w:r>
      <w:r>
        <w:lastRenderedPageBreak/>
        <w:t>proyecciones</w:t>
      </w:r>
      <w:r w:rsidRPr="00077CE5">
        <w:rPr>
          <w:spacing w:val="-9"/>
        </w:rPr>
        <w:t xml:space="preserve"> </w:t>
      </w:r>
      <w:r>
        <w:t>del</w:t>
      </w:r>
      <w:r w:rsidRPr="00077CE5">
        <w:rPr>
          <w:spacing w:val="-9"/>
        </w:rPr>
        <w:t xml:space="preserve"> </w:t>
      </w:r>
      <w:r>
        <w:t>costo de su implementación</w:t>
      </w:r>
      <w:r w:rsidR="00077CE5">
        <w:rPr>
          <w:rStyle w:val="Refdenotaalpie"/>
        </w:rPr>
        <w:footnoteReference w:id="1202"/>
      </w:r>
      <w:r>
        <w:t>.</w:t>
      </w:r>
    </w:p>
    <w:p w:rsidR="003804AC" w:rsidRDefault="00AF18A5" w:rsidP="004A6EF4">
      <w:pPr>
        <w:pStyle w:val="Prrafodelista"/>
        <w:numPr>
          <w:ilvl w:val="0"/>
          <w:numId w:val="36"/>
        </w:numPr>
      </w:pPr>
      <w:r>
        <w:t xml:space="preserve">Realizar la </w:t>
      </w:r>
      <w:r w:rsidRPr="00077CE5">
        <w:rPr>
          <w:b/>
        </w:rPr>
        <w:t>adecuación normativa</w:t>
      </w:r>
      <w:r w:rsidR="00077CE5">
        <w:rPr>
          <w:rStyle w:val="Refdenotaalpie"/>
          <w:b/>
        </w:rPr>
        <w:footnoteReference w:id="1203"/>
      </w:r>
      <w:r>
        <w:t xml:space="preserve"> de la Ley de Víctimas y los Decretos Étnicos para que se ajusten a las necesidades y oportunidades del Sistema Integral para la Paz, teniendo en cuenta lo establecido en el Acuerdo Final de Paz</w:t>
      </w:r>
      <w:r w:rsidR="00077CE5">
        <w:rPr>
          <w:rStyle w:val="Refdenotaalpie"/>
        </w:rPr>
        <w:footnoteReference w:id="1204"/>
      </w:r>
      <w:r>
        <w:t xml:space="preserve"> y los desafíos identificados en su implementación.</w:t>
      </w:r>
    </w:p>
    <w:p w:rsidR="003804AC" w:rsidRDefault="00AF18A5" w:rsidP="004A6EF4">
      <w:pPr>
        <w:pStyle w:val="Prrafodelista"/>
        <w:numPr>
          <w:ilvl w:val="0"/>
          <w:numId w:val="36"/>
        </w:numPr>
      </w:pPr>
      <w:r>
        <w:t>Implementar</w:t>
      </w:r>
      <w:r w:rsidRPr="00077CE5">
        <w:rPr>
          <w:spacing w:val="-10"/>
        </w:rPr>
        <w:t xml:space="preserve"> </w:t>
      </w:r>
      <w:r>
        <w:t>programas</w:t>
      </w:r>
      <w:r w:rsidRPr="00077CE5">
        <w:rPr>
          <w:spacing w:val="-11"/>
        </w:rPr>
        <w:t xml:space="preserve"> </w:t>
      </w:r>
      <w:r>
        <w:t>y</w:t>
      </w:r>
      <w:r w:rsidRPr="00077CE5">
        <w:rPr>
          <w:spacing w:val="-9"/>
        </w:rPr>
        <w:t xml:space="preserve"> </w:t>
      </w:r>
      <w:r>
        <w:t>estrategias</w:t>
      </w:r>
      <w:r w:rsidRPr="00077CE5">
        <w:rPr>
          <w:spacing w:val="-10"/>
        </w:rPr>
        <w:t xml:space="preserve"> </w:t>
      </w:r>
      <w:r>
        <w:t>sectoriales</w:t>
      </w:r>
      <w:r w:rsidRPr="00077CE5">
        <w:rPr>
          <w:spacing w:val="-11"/>
        </w:rPr>
        <w:t xml:space="preserve"> </w:t>
      </w:r>
      <w:r>
        <w:t>con</w:t>
      </w:r>
      <w:r w:rsidRPr="00077CE5">
        <w:rPr>
          <w:spacing w:val="-9"/>
        </w:rPr>
        <w:t xml:space="preserve"> </w:t>
      </w:r>
      <w:r>
        <w:t>recursos</w:t>
      </w:r>
      <w:r w:rsidRPr="00077CE5">
        <w:rPr>
          <w:spacing w:val="-10"/>
        </w:rPr>
        <w:t xml:space="preserve"> </w:t>
      </w:r>
      <w:r>
        <w:t>y</w:t>
      </w:r>
      <w:r w:rsidRPr="00077CE5">
        <w:rPr>
          <w:spacing w:val="-9"/>
        </w:rPr>
        <w:t xml:space="preserve"> </w:t>
      </w:r>
      <w:r>
        <w:t>metas</w:t>
      </w:r>
      <w:r w:rsidRPr="00077CE5">
        <w:rPr>
          <w:spacing w:val="-10"/>
        </w:rPr>
        <w:t xml:space="preserve"> </w:t>
      </w:r>
      <w:r>
        <w:t xml:space="preserve">anuales específicas, que incluyan el enfoque diferencial. Estas deben apuntar a </w:t>
      </w:r>
      <w:r w:rsidRPr="00077CE5">
        <w:rPr>
          <w:b/>
        </w:rPr>
        <w:t>superar las barreras de acceso a la oferta social del Estado</w:t>
      </w:r>
      <w:r>
        <w:t>, para garantizar la estabilización social</w:t>
      </w:r>
      <w:r w:rsidRPr="00077CE5">
        <w:rPr>
          <w:spacing w:val="-11"/>
        </w:rPr>
        <w:t xml:space="preserve"> </w:t>
      </w:r>
      <w:r>
        <w:t>y</w:t>
      </w:r>
      <w:r w:rsidRPr="00077CE5">
        <w:rPr>
          <w:spacing w:val="-13"/>
        </w:rPr>
        <w:t xml:space="preserve"> </w:t>
      </w:r>
      <w:r>
        <w:t>económica</w:t>
      </w:r>
      <w:r w:rsidRPr="00077CE5">
        <w:rPr>
          <w:spacing w:val="-13"/>
        </w:rPr>
        <w:t xml:space="preserve"> </w:t>
      </w:r>
      <w:r>
        <w:t>de</w:t>
      </w:r>
      <w:r w:rsidRPr="00077CE5">
        <w:rPr>
          <w:spacing w:val="-13"/>
        </w:rPr>
        <w:t xml:space="preserve"> </w:t>
      </w:r>
      <w:r>
        <w:t>las</w:t>
      </w:r>
      <w:r w:rsidRPr="00077CE5">
        <w:rPr>
          <w:spacing w:val="-12"/>
        </w:rPr>
        <w:t xml:space="preserve"> </w:t>
      </w:r>
      <w:r>
        <w:t>víctimas,</w:t>
      </w:r>
      <w:r w:rsidRPr="00077CE5">
        <w:rPr>
          <w:spacing w:val="-12"/>
        </w:rPr>
        <w:t xml:space="preserve"> </w:t>
      </w:r>
      <w:r>
        <w:t>y</w:t>
      </w:r>
      <w:r w:rsidRPr="00077CE5">
        <w:rPr>
          <w:spacing w:val="-13"/>
        </w:rPr>
        <w:t xml:space="preserve"> </w:t>
      </w:r>
      <w:r>
        <w:t>lograr</w:t>
      </w:r>
      <w:r w:rsidRPr="00077CE5">
        <w:rPr>
          <w:spacing w:val="-13"/>
        </w:rPr>
        <w:t xml:space="preserve"> </w:t>
      </w:r>
      <w:r>
        <w:t>el</w:t>
      </w:r>
      <w:r w:rsidRPr="00077CE5">
        <w:rPr>
          <w:spacing w:val="-11"/>
        </w:rPr>
        <w:t xml:space="preserve"> </w:t>
      </w:r>
      <w:r>
        <w:t>goce</w:t>
      </w:r>
      <w:r w:rsidRPr="00077CE5">
        <w:rPr>
          <w:spacing w:val="-12"/>
        </w:rPr>
        <w:t xml:space="preserve"> </w:t>
      </w:r>
      <w:r>
        <w:t>efectivo</w:t>
      </w:r>
      <w:r w:rsidRPr="00077CE5">
        <w:rPr>
          <w:spacing w:val="-12"/>
        </w:rPr>
        <w:t xml:space="preserve"> </w:t>
      </w:r>
      <w:r>
        <w:t>de</w:t>
      </w:r>
      <w:r w:rsidRPr="00077CE5">
        <w:rPr>
          <w:spacing w:val="-12"/>
        </w:rPr>
        <w:t xml:space="preserve"> </w:t>
      </w:r>
      <w:r>
        <w:t>derechos</w:t>
      </w:r>
      <w:r w:rsidRPr="00077CE5">
        <w:rPr>
          <w:spacing w:val="-13"/>
        </w:rPr>
        <w:t xml:space="preserve"> </w:t>
      </w:r>
      <w:r>
        <w:t>en</w:t>
      </w:r>
      <w:r w:rsidRPr="00077CE5">
        <w:rPr>
          <w:spacing w:val="-12"/>
        </w:rPr>
        <w:t xml:space="preserve"> </w:t>
      </w:r>
      <w:r>
        <w:t>particular de las de desplazamiento forzado, en el marco de procesos de retorno o reubicación. Lo</w:t>
      </w:r>
      <w:r w:rsidRPr="00077CE5">
        <w:rPr>
          <w:spacing w:val="5"/>
        </w:rPr>
        <w:t xml:space="preserve"> </w:t>
      </w:r>
      <w:r>
        <w:t>anterior,</w:t>
      </w:r>
      <w:r w:rsidRPr="00077CE5">
        <w:rPr>
          <w:spacing w:val="7"/>
        </w:rPr>
        <w:t xml:space="preserve"> </w:t>
      </w:r>
      <w:r>
        <w:t>se</w:t>
      </w:r>
      <w:r w:rsidRPr="00077CE5">
        <w:rPr>
          <w:spacing w:val="8"/>
        </w:rPr>
        <w:t xml:space="preserve"> </w:t>
      </w:r>
      <w:r>
        <w:t>debe</w:t>
      </w:r>
      <w:r w:rsidRPr="00077CE5">
        <w:rPr>
          <w:spacing w:val="8"/>
        </w:rPr>
        <w:t xml:space="preserve"> </w:t>
      </w:r>
      <w:r>
        <w:t>hacer</w:t>
      </w:r>
      <w:r w:rsidRPr="00077CE5">
        <w:rPr>
          <w:spacing w:val="9"/>
        </w:rPr>
        <w:t xml:space="preserve"> </w:t>
      </w:r>
      <w:r>
        <w:t>teniendo</w:t>
      </w:r>
      <w:r w:rsidRPr="00077CE5">
        <w:rPr>
          <w:spacing w:val="7"/>
        </w:rPr>
        <w:t xml:space="preserve"> </w:t>
      </w:r>
      <w:r>
        <w:t>en</w:t>
      </w:r>
      <w:r w:rsidRPr="00077CE5">
        <w:rPr>
          <w:spacing w:val="8"/>
        </w:rPr>
        <w:t xml:space="preserve"> </w:t>
      </w:r>
      <w:r>
        <w:t>cuenta</w:t>
      </w:r>
      <w:r w:rsidRPr="00077CE5">
        <w:rPr>
          <w:spacing w:val="8"/>
        </w:rPr>
        <w:t xml:space="preserve"> </w:t>
      </w:r>
      <w:r>
        <w:t>las</w:t>
      </w:r>
      <w:r w:rsidRPr="00077CE5">
        <w:rPr>
          <w:spacing w:val="8"/>
        </w:rPr>
        <w:t xml:space="preserve"> </w:t>
      </w:r>
      <w:r>
        <w:t>diversas</w:t>
      </w:r>
      <w:r w:rsidRPr="00077CE5">
        <w:rPr>
          <w:spacing w:val="8"/>
        </w:rPr>
        <w:t xml:space="preserve"> </w:t>
      </w:r>
      <w:r>
        <w:t>barreras</w:t>
      </w:r>
      <w:r w:rsidRPr="00077CE5">
        <w:rPr>
          <w:spacing w:val="8"/>
        </w:rPr>
        <w:t xml:space="preserve"> </w:t>
      </w:r>
      <w:r>
        <w:t>para</w:t>
      </w:r>
      <w:r w:rsidRPr="00077CE5">
        <w:rPr>
          <w:spacing w:val="7"/>
        </w:rPr>
        <w:t xml:space="preserve"> </w:t>
      </w:r>
      <w:r>
        <w:t>la</w:t>
      </w:r>
      <w:r w:rsidRPr="00077CE5">
        <w:rPr>
          <w:spacing w:val="8"/>
        </w:rPr>
        <w:t xml:space="preserve"> </w:t>
      </w:r>
      <w:r w:rsidRPr="00077CE5">
        <w:rPr>
          <w:spacing w:val="-2"/>
        </w:rPr>
        <w:t>inclusión</w:t>
      </w:r>
      <w:bookmarkStart w:id="1542" w:name="_bookmark1341"/>
      <w:bookmarkStart w:id="1543" w:name="_bookmark1342"/>
      <w:bookmarkStart w:id="1544" w:name="_bookmark1343"/>
      <w:bookmarkStart w:id="1545" w:name="_bookmark1344"/>
      <w:bookmarkStart w:id="1546" w:name="_bookmark1345"/>
      <w:bookmarkEnd w:id="1542"/>
      <w:bookmarkEnd w:id="1543"/>
      <w:bookmarkEnd w:id="1544"/>
      <w:bookmarkEnd w:id="1545"/>
      <w:bookmarkEnd w:id="1546"/>
      <w:r w:rsidR="00077CE5">
        <w:rPr>
          <w:spacing w:val="-2"/>
        </w:rPr>
        <w:t xml:space="preserve"> </w:t>
      </w:r>
      <w:r>
        <w:t>productiva y social que las mujeres, especialmente rurales, han enfrentado históricamente y aquellas que se han acentuado por el conflicto armado.</w:t>
      </w:r>
    </w:p>
    <w:p w:rsidR="003804AC" w:rsidRDefault="00AF18A5" w:rsidP="004A6EF4">
      <w:pPr>
        <w:pStyle w:val="Prrafodelista"/>
        <w:numPr>
          <w:ilvl w:val="0"/>
          <w:numId w:val="36"/>
        </w:numPr>
      </w:pPr>
      <w:r>
        <w:t xml:space="preserve">Fortalecer la </w:t>
      </w:r>
      <w:r w:rsidRPr="004766A1">
        <w:rPr>
          <w:b/>
        </w:rPr>
        <w:t>reparación colectiva</w:t>
      </w:r>
      <w:r>
        <w:t>, especialmente la de los pueblos étnicos, para garantizar su sostenibilidad y enfoque transformador con metas, compromisos humanos</w:t>
      </w:r>
      <w:r w:rsidRPr="004766A1">
        <w:rPr>
          <w:spacing w:val="-11"/>
        </w:rPr>
        <w:t xml:space="preserve"> </w:t>
      </w:r>
      <w:r>
        <w:t>y</w:t>
      </w:r>
      <w:r w:rsidRPr="004766A1">
        <w:rPr>
          <w:spacing w:val="-12"/>
        </w:rPr>
        <w:t xml:space="preserve"> </w:t>
      </w:r>
      <w:r>
        <w:t>presupuestales</w:t>
      </w:r>
      <w:r w:rsidRPr="004766A1">
        <w:rPr>
          <w:spacing w:val="-11"/>
        </w:rPr>
        <w:t xml:space="preserve"> </w:t>
      </w:r>
      <w:r>
        <w:t>que</w:t>
      </w:r>
      <w:r w:rsidRPr="004766A1">
        <w:rPr>
          <w:spacing w:val="-10"/>
        </w:rPr>
        <w:t xml:space="preserve"> </w:t>
      </w:r>
      <w:r>
        <w:t>vinculen</w:t>
      </w:r>
      <w:r w:rsidRPr="004766A1">
        <w:rPr>
          <w:spacing w:val="-11"/>
        </w:rPr>
        <w:t xml:space="preserve"> </w:t>
      </w:r>
      <w:r>
        <w:t>a</w:t>
      </w:r>
      <w:r w:rsidRPr="004766A1">
        <w:rPr>
          <w:spacing w:val="-12"/>
        </w:rPr>
        <w:t xml:space="preserve"> </w:t>
      </w:r>
      <w:r>
        <w:t>todas</w:t>
      </w:r>
      <w:r w:rsidRPr="004766A1">
        <w:rPr>
          <w:spacing w:val="-12"/>
        </w:rPr>
        <w:t xml:space="preserve"> </w:t>
      </w:r>
      <w:r>
        <w:t>las</w:t>
      </w:r>
      <w:r w:rsidRPr="004766A1">
        <w:rPr>
          <w:spacing w:val="-11"/>
        </w:rPr>
        <w:t xml:space="preserve"> </w:t>
      </w:r>
      <w:r>
        <w:t>entidades</w:t>
      </w:r>
      <w:r w:rsidRPr="004766A1">
        <w:rPr>
          <w:spacing w:val="-12"/>
        </w:rPr>
        <w:t xml:space="preserve"> </w:t>
      </w:r>
      <w:r>
        <w:t>del</w:t>
      </w:r>
      <w:r w:rsidRPr="004766A1">
        <w:rPr>
          <w:spacing w:val="-10"/>
        </w:rPr>
        <w:t xml:space="preserve"> </w:t>
      </w:r>
      <w:r>
        <w:t>Sistema</w:t>
      </w:r>
      <w:r w:rsidRPr="004766A1">
        <w:rPr>
          <w:spacing w:val="-10"/>
        </w:rPr>
        <w:t xml:space="preserve"> </w:t>
      </w:r>
      <w:r>
        <w:t>Nacional</w:t>
      </w:r>
      <w:r w:rsidRPr="004766A1">
        <w:rPr>
          <w:spacing w:val="-10"/>
        </w:rPr>
        <w:t xml:space="preserve"> </w:t>
      </w:r>
      <w:r>
        <w:t>de Atención</w:t>
      </w:r>
      <w:r w:rsidRPr="004766A1">
        <w:rPr>
          <w:spacing w:val="-9"/>
        </w:rPr>
        <w:t xml:space="preserve"> </w:t>
      </w:r>
      <w:r>
        <w:t>y</w:t>
      </w:r>
      <w:r w:rsidRPr="004766A1">
        <w:rPr>
          <w:spacing w:val="-9"/>
        </w:rPr>
        <w:t xml:space="preserve"> </w:t>
      </w:r>
      <w:r>
        <w:t>Reparación</w:t>
      </w:r>
      <w:r w:rsidRPr="004766A1">
        <w:rPr>
          <w:spacing w:val="-10"/>
        </w:rPr>
        <w:t xml:space="preserve"> </w:t>
      </w:r>
      <w:r>
        <w:t>Integral</w:t>
      </w:r>
      <w:r w:rsidRPr="004766A1">
        <w:rPr>
          <w:spacing w:val="-9"/>
        </w:rPr>
        <w:t xml:space="preserve"> </w:t>
      </w:r>
      <w:r>
        <w:t>a</w:t>
      </w:r>
      <w:r w:rsidRPr="004766A1">
        <w:rPr>
          <w:spacing w:val="-9"/>
        </w:rPr>
        <w:t xml:space="preserve"> </w:t>
      </w:r>
      <w:r>
        <w:t>las</w:t>
      </w:r>
      <w:r w:rsidRPr="004766A1">
        <w:rPr>
          <w:spacing w:val="-10"/>
        </w:rPr>
        <w:t xml:space="preserve"> </w:t>
      </w:r>
      <w:r>
        <w:t>Víctimas</w:t>
      </w:r>
      <w:r w:rsidRPr="004766A1">
        <w:rPr>
          <w:spacing w:val="-9"/>
        </w:rPr>
        <w:t xml:space="preserve"> </w:t>
      </w:r>
      <w:r>
        <w:t>(SNARIV).</w:t>
      </w:r>
      <w:r w:rsidRPr="004766A1">
        <w:rPr>
          <w:spacing w:val="-9"/>
        </w:rPr>
        <w:t xml:space="preserve"> </w:t>
      </w:r>
      <w:r>
        <w:t>En</w:t>
      </w:r>
      <w:r w:rsidRPr="004766A1">
        <w:rPr>
          <w:spacing w:val="-8"/>
        </w:rPr>
        <w:t xml:space="preserve"> </w:t>
      </w:r>
      <w:r>
        <w:t>este</w:t>
      </w:r>
      <w:r w:rsidRPr="004766A1">
        <w:rPr>
          <w:spacing w:val="-9"/>
        </w:rPr>
        <w:t xml:space="preserve"> </w:t>
      </w:r>
      <w:r>
        <w:t>marco,</w:t>
      </w:r>
      <w:r w:rsidRPr="004766A1">
        <w:rPr>
          <w:spacing w:val="-9"/>
        </w:rPr>
        <w:t xml:space="preserve"> </w:t>
      </w:r>
      <w:r>
        <w:t>se</w:t>
      </w:r>
      <w:r w:rsidRPr="004766A1">
        <w:rPr>
          <w:spacing w:val="-9"/>
        </w:rPr>
        <w:t xml:space="preserve"> </w:t>
      </w:r>
      <w:r>
        <w:t>debe</w:t>
      </w:r>
      <w:r w:rsidRPr="004766A1">
        <w:rPr>
          <w:spacing w:val="-9"/>
        </w:rPr>
        <w:t xml:space="preserve"> </w:t>
      </w:r>
      <w:r>
        <w:t xml:space="preserve">así </w:t>
      </w:r>
      <w:r w:rsidRPr="004766A1">
        <w:rPr>
          <w:spacing w:val="-2"/>
        </w:rPr>
        <w:t>mismo:</w:t>
      </w:r>
    </w:p>
    <w:p w:rsidR="003804AC" w:rsidRDefault="00AF18A5" w:rsidP="004766A1">
      <w:pPr>
        <w:ind w:left="720"/>
      </w:pPr>
      <w:r>
        <w:lastRenderedPageBreak/>
        <w:t>Garantizar</w:t>
      </w:r>
      <w:r>
        <w:rPr>
          <w:spacing w:val="-13"/>
        </w:rPr>
        <w:t xml:space="preserve"> </w:t>
      </w:r>
      <w:r>
        <w:t>el</w:t>
      </w:r>
      <w:r>
        <w:rPr>
          <w:spacing w:val="-13"/>
        </w:rPr>
        <w:t xml:space="preserve"> </w:t>
      </w:r>
      <w:r>
        <w:t>acceso</w:t>
      </w:r>
      <w:r>
        <w:rPr>
          <w:spacing w:val="-13"/>
        </w:rPr>
        <w:t xml:space="preserve"> </w:t>
      </w:r>
      <w:r>
        <w:t>a</w:t>
      </w:r>
      <w:r>
        <w:rPr>
          <w:spacing w:val="-13"/>
        </w:rPr>
        <w:t xml:space="preserve"> </w:t>
      </w:r>
      <w:r>
        <w:t>bienes</w:t>
      </w:r>
      <w:r>
        <w:rPr>
          <w:spacing w:val="-13"/>
        </w:rPr>
        <w:t xml:space="preserve"> </w:t>
      </w:r>
      <w:r>
        <w:t>y</w:t>
      </w:r>
      <w:r>
        <w:rPr>
          <w:spacing w:val="-13"/>
        </w:rPr>
        <w:t xml:space="preserve"> </w:t>
      </w:r>
      <w:r>
        <w:t>servicios</w:t>
      </w:r>
      <w:r>
        <w:rPr>
          <w:spacing w:val="-13"/>
        </w:rPr>
        <w:t xml:space="preserve"> </w:t>
      </w:r>
      <w:r>
        <w:t>públicos</w:t>
      </w:r>
      <w:r>
        <w:rPr>
          <w:spacing w:val="-14"/>
        </w:rPr>
        <w:t xml:space="preserve"> </w:t>
      </w:r>
      <w:r>
        <w:t>y</w:t>
      </w:r>
      <w:r>
        <w:rPr>
          <w:spacing w:val="-13"/>
        </w:rPr>
        <w:t xml:space="preserve"> </w:t>
      </w:r>
      <w:r>
        <w:t>alternativas de generación de ingresos para los sujetos de reparación colectiva, a través</w:t>
      </w:r>
      <w:r>
        <w:rPr>
          <w:spacing w:val="-2"/>
        </w:rPr>
        <w:t xml:space="preserve"> </w:t>
      </w:r>
      <w:r>
        <w:t>de</w:t>
      </w:r>
      <w:r>
        <w:rPr>
          <w:spacing w:val="-2"/>
        </w:rPr>
        <w:t xml:space="preserve"> </w:t>
      </w:r>
      <w:r>
        <w:t>la</w:t>
      </w:r>
      <w:r>
        <w:rPr>
          <w:spacing w:val="-3"/>
        </w:rPr>
        <w:t xml:space="preserve"> </w:t>
      </w:r>
      <w:r>
        <w:t>articulación</w:t>
      </w:r>
      <w:r>
        <w:rPr>
          <w:spacing w:val="-3"/>
        </w:rPr>
        <w:t xml:space="preserve"> </w:t>
      </w:r>
      <w:r>
        <w:t>de</w:t>
      </w:r>
      <w:r>
        <w:rPr>
          <w:spacing w:val="-1"/>
        </w:rPr>
        <w:t xml:space="preserve"> </w:t>
      </w:r>
      <w:r>
        <w:t>los</w:t>
      </w:r>
      <w:r>
        <w:rPr>
          <w:spacing w:val="-2"/>
        </w:rPr>
        <w:t xml:space="preserve"> </w:t>
      </w:r>
      <w:r>
        <w:t>Planes</w:t>
      </w:r>
      <w:r>
        <w:rPr>
          <w:spacing w:val="-1"/>
        </w:rPr>
        <w:t xml:space="preserve"> </w:t>
      </w:r>
      <w:r>
        <w:t>de</w:t>
      </w:r>
      <w:r>
        <w:rPr>
          <w:spacing w:val="-1"/>
        </w:rPr>
        <w:t xml:space="preserve"> </w:t>
      </w:r>
      <w:r>
        <w:t>Reparación</w:t>
      </w:r>
      <w:r>
        <w:rPr>
          <w:spacing w:val="-1"/>
        </w:rPr>
        <w:t xml:space="preserve"> </w:t>
      </w:r>
      <w:r>
        <w:t>Colectiva</w:t>
      </w:r>
      <w:r>
        <w:rPr>
          <w:spacing w:val="-1"/>
        </w:rPr>
        <w:t xml:space="preserve"> </w:t>
      </w:r>
      <w:r>
        <w:t>con</w:t>
      </w:r>
      <w:r>
        <w:rPr>
          <w:spacing w:val="-2"/>
        </w:rPr>
        <w:t xml:space="preserve"> </w:t>
      </w:r>
      <w:r>
        <w:t>la oferta social del Estado, incluyendo los Planes de Desarrollo con Enfoque</w:t>
      </w:r>
      <w:r>
        <w:rPr>
          <w:spacing w:val="-15"/>
        </w:rPr>
        <w:t xml:space="preserve"> </w:t>
      </w:r>
      <w:r>
        <w:t>Territorial</w:t>
      </w:r>
      <w:r>
        <w:rPr>
          <w:spacing w:val="-15"/>
        </w:rPr>
        <w:t xml:space="preserve"> </w:t>
      </w:r>
      <w:r>
        <w:t>y,</w:t>
      </w:r>
      <w:r>
        <w:rPr>
          <w:spacing w:val="-15"/>
        </w:rPr>
        <w:t xml:space="preserve"> </w:t>
      </w:r>
      <w:r>
        <w:t>en</w:t>
      </w:r>
      <w:r>
        <w:rPr>
          <w:spacing w:val="-15"/>
        </w:rPr>
        <w:t xml:space="preserve"> </w:t>
      </w:r>
      <w:r>
        <w:t>general,</w:t>
      </w:r>
      <w:r>
        <w:rPr>
          <w:spacing w:val="-15"/>
        </w:rPr>
        <w:t xml:space="preserve"> </w:t>
      </w:r>
      <w:r>
        <w:t>los</w:t>
      </w:r>
      <w:r>
        <w:rPr>
          <w:spacing w:val="-15"/>
        </w:rPr>
        <w:t xml:space="preserve"> </w:t>
      </w:r>
      <w:r>
        <w:t>planes</w:t>
      </w:r>
      <w:r>
        <w:rPr>
          <w:spacing w:val="-15"/>
        </w:rPr>
        <w:t xml:space="preserve"> </w:t>
      </w:r>
      <w:r>
        <w:t>en</w:t>
      </w:r>
      <w:r>
        <w:rPr>
          <w:spacing w:val="-15"/>
        </w:rPr>
        <w:t xml:space="preserve"> </w:t>
      </w:r>
      <w:r>
        <w:t>el</w:t>
      </w:r>
      <w:r>
        <w:rPr>
          <w:spacing w:val="-15"/>
        </w:rPr>
        <w:t xml:space="preserve"> </w:t>
      </w:r>
      <w:r>
        <w:t>marco</w:t>
      </w:r>
      <w:r>
        <w:rPr>
          <w:spacing w:val="-15"/>
        </w:rPr>
        <w:t xml:space="preserve"> </w:t>
      </w:r>
      <w:r>
        <w:t>de</w:t>
      </w:r>
      <w:r>
        <w:rPr>
          <w:spacing w:val="-15"/>
        </w:rPr>
        <w:t xml:space="preserve"> </w:t>
      </w:r>
      <w:r>
        <w:t>la</w:t>
      </w:r>
      <w:r>
        <w:rPr>
          <w:spacing w:val="-15"/>
        </w:rPr>
        <w:t xml:space="preserve"> </w:t>
      </w:r>
      <w:r>
        <w:t>Reforma Rural Integral.</w:t>
      </w:r>
    </w:p>
    <w:p w:rsidR="003804AC" w:rsidRDefault="00AF18A5" w:rsidP="004766A1">
      <w:pPr>
        <w:ind w:left="720"/>
      </w:pPr>
      <w:r>
        <w:t>Implementar medidas específicas que atiendan los daños causados</w:t>
      </w:r>
      <w:r>
        <w:rPr>
          <w:spacing w:val="-11"/>
        </w:rPr>
        <w:t xml:space="preserve"> </w:t>
      </w:r>
      <w:r>
        <w:t>por</w:t>
      </w:r>
      <w:r>
        <w:rPr>
          <w:spacing w:val="-11"/>
        </w:rPr>
        <w:t xml:space="preserve"> </w:t>
      </w:r>
      <w:r>
        <w:t>el</w:t>
      </w:r>
      <w:r>
        <w:rPr>
          <w:spacing w:val="-12"/>
        </w:rPr>
        <w:t xml:space="preserve"> </w:t>
      </w:r>
      <w:r>
        <w:t>reclutamiento</w:t>
      </w:r>
      <w:r>
        <w:rPr>
          <w:spacing w:val="-13"/>
        </w:rPr>
        <w:t xml:space="preserve"> </w:t>
      </w:r>
      <w:r>
        <w:t>forzado,</w:t>
      </w:r>
      <w:r>
        <w:rPr>
          <w:spacing w:val="-12"/>
        </w:rPr>
        <w:t xml:space="preserve"> </w:t>
      </w:r>
      <w:r>
        <w:t>asesinato</w:t>
      </w:r>
      <w:r>
        <w:rPr>
          <w:spacing w:val="-13"/>
        </w:rPr>
        <w:t xml:space="preserve"> </w:t>
      </w:r>
      <w:r>
        <w:t>y</w:t>
      </w:r>
      <w:r>
        <w:rPr>
          <w:spacing w:val="-12"/>
        </w:rPr>
        <w:t xml:space="preserve"> </w:t>
      </w:r>
      <w:r>
        <w:t>adoctrinamiento</w:t>
      </w:r>
      <w:r>
        <w:rPr>
          <w:spacing w:val="-12"/>
        </w:rPr>
        <w:t xml:space="preserve"> </w:t>
      </w:r>
      <w:r>
        <w:t>de niños, niñas, adolescentes y jóvenes sobre las condiciones de supervivencia cultural de los pueblos étnicos.</w:t>
      </w:r>
    </w:p>
    <w:p w:rsidR="003804AC" w:rsidRDefault="00AF18A5" w:rsidP="004A6EF4">
      <w:pPr>
        <w:pStyle w:val="Prrafodelista"/>
        <w:numPr>
          <w:ilvl w:val="0"/>
          <w:numId w:val="36"/>
        </w:numPr>
      </w:pPr>
      <w:r>
        <w:t xml:space="preserve">Diseñar, en articulación con las víctimas y sus organizaciones, medidas especializadas en el marco de la política que permitan atender y reparar los daños específicos según el hecho </w:t>
      </w:r>
      <w:proofErr w:type="spellStart"/>
      <w:r>
        <w:t>victimizante</w:t>
      </w:r>
      <w:proofErr w:type="spellEnd"/>
      <w:r>
        <w:t>, garantizando el fortalecimiento de los enfoques diferenciales de género, étnico, discapacidad y curso de vida.</w:t>
      </w:r>
    </w:p>
    <w:p w:rsidR="0011361F" w:rsidRDefault="00AF18A5" w:rsidP="004766A1">
      <w:r>
        <w:t>Corto</w:t>
      </w:r>
      <w:r>
        <w:rPr>
          <w:spacing w:val="-1"/>
        </w:rPr>
        <w:t xml:space="preserve"> </w:t>
      </w:r>
      <w:r>
        <w:rPr>
          <w:spacing w:val="-2"/>
        </w:rPr>
        <w:t>plazo</w:t>
      </w:r>
    </w:p>
    <w:p w:rsidR="003804AC" w:rsidRDefault="00AF18A5" w:rsidP="004A6EF4">
      <w:pPr>
        <w:pStyle w:val="Prrafodelista"/>
        <w:numPr>
          <w:ilvl w:val="0"/>
          <w:numId w:val="36"/>
        </w:numPr>
        <w:spacing w:before="62"/>
        <w:ind w:left="929" w:right="1338"/>
      </w:pPr>
      <w:r>
        <w:t>Reconocer</w:t>
      </w:r>
      <w:r w:rsidRPr="004766A1">
        <w:rPr>
          <w:spacing w:val="-2"/>
        </w:rPr>
        <w:t xml:space="preserve"> </w:t>
      </w:r>
      <w:r>
        <w:t>el</w:t>
      </w:r>
      <w:r w:rsidRPr="004766A1">
        <w:rPr>
          <w:spacing w:val="-2"/>
        </w:rPr>
        <w:t xml:space="preserve"> </w:t>
      </w:r>
      <w:r w:rsidRPr="004766A1">
        <w:rPr>
          <w:b/>
        </w:rPr>
        <w:t>exilio</w:t>
      </w:r>
      <w:r w:rsidRPr="004766A1">
        <w:rPr>
          <w:b/>
          <w:spacing w:val="-2"/>
        </w:rPr>
        <w:t xml:space="preserve"> </w:t>
      </w:r>
      <w:r w:rsidRPr="004766A1">
        <w:rPr>
          <w:b/>
        </w:rPr>
        <w:t>y</w:t>
      </w:r>
      <w:r w:rsidRPr="004766A1">
        <w:rPr>
          <w:b/>
          <w:spacing w:val="-2"/>
        </w:rPr>
        <w:t xml:space="preserve"> </w:t>
      </w:r>
      <w:r w:rsidRPr="004766A1">
        <w:rPr>
          <w:b/>
        </w:rPr>
        <w:t>el</w:t>
      </w:r>
      <w:r w:rsidRPr="004766A1">
        <w:rPr>
          <w:b/>
          <w:spacing w:val="-2"/>
        </w:rPr>
        <w:t xml:space="preserve"> </w:t>
      </w:r>
      <w:r w:rsidRPr="004766A1">
        <w:rPr>
          <w:b/>
        </w:rPr>
        <w:t>refugio</w:t>
      </w:r>
      <w:r w:rsidRPr="004766A1">
        <w:rPr>
          <w:b/>
          <w:spacing w:val="-2"/>
        </w:rPr>
        <w:t xml:space="preserve"> </w:t>
      </w:r>
      <w:r w:rsidRPr="004766A1">
        <w:rPr>
          <w:b/>
        </w:rPr>
        <w:t>transfronterizo</w:t>
      </w:r>
      <w:r w:rsidRPr="004766A1">
        <w:rPr>
          <w:b/>
          <w:spacing w:val="-2"/>
        </w:rPr>
        <w:t xml:space="preserve"> </w:t>
      </w:r>
      <w:r>
        <w:t>como</w:t>
      </w:r>
      <w:r w:rsidRPr="004766A1">
        <w:rPr>
          <w:spacing w:val="-2"/>
        </w:rPr>
        <w:t xml:space="preserve"> </w:t>
      </w:r>
      <w:r>
        <w:t>una</w:t>
      </w:r>
      <w:r w:rsidRPr="004766A1">
        <w:rPr>
          <w:spacing w:val="-2"/>
        </w:rPr>
        <w:t xml:space="preserve"> </w:t>
      </w:r>
      <w:r>
        <w:t>grave</w:t>
      </w:r>
      <w:r w:rsidRPr="004766A1">
        <w:rPr>
          <w:spacing w:val="-2"/>
        </w:rPr>
        <w:t xml:space="preserve"> </w:t>
      </w:r>
      <w:r>
        <w:t>violación</w:t>
      </w:r>
      <w:r w:rsidRPr="004766A1">
        <w:rPr>
          <w:spacing w:val="-2"/>
        </w:rPr>
        <w:t xml:space="preserve"> </w:t>
      </w:r>
      <w:r>
        <w:t>a los</w:t>
      </w:r>
      <w:r w:rsidRPr="004766A1">
        <w:rPr>
          <w:spacing w:val="-14"/>
        </w:rPr>
        <w:t xml:space="preserve"> </w:t>
      </w:r>
      <w:r>
        <w:t>derechos</w:t>
      </w:r>
      <w:r w:rsidRPr="004766A1">
        <w:rPr>
          <w:spacing w:val="-15"/>
        </w:rPr>
        <w:t xml:space="preserve"> </w:t>
      </w:r>
      <w:r>
        <w:t>humanos</w:t>
      </w:r>
      <w:r w:rsidRPr="004766A1">
        <w:rPr>
          <w:spacing w:val="-14"/>
        </w:rPr>
        <w:t xml:space="preserve"> </w:t>
      </w:r>
      <w:r>
        <w:t>y</w:t>
      </w:r>
      <w:r w:rsidRPr="004766A1">
        <w:rPr>
          <w:spacing w:val="-14"/>
        </w:rPr>
        <w:t xml:space="preserve"> </w:t>
      </w:r>
      <w:r>
        <w:t>establecer</w:t>
      </w:r>
      <w:r w:rsidRPr="004766A1">
        <w:rPr>
          <w:spacing w:val="-14"/>
        </w:rPr>
        <w:t xml:space="preserve"> </w:t>
      </w:r>
      <w:r>
        <w:t>medidas</w:t>
      </w:r>
      <w:r w:rsidRPr="004766A1">
        <w:rPr>
          <w:spacing w:val="-14"/>
        </w:rPr>
        <w:t xml:space="preserve"> </w:t>
      </w:r>
      <w:r>
        <w:t>específicas</w:t>
      </w:r>
      <w:r w:rsidRPr="004766A1">
        <w:rPr>
          <w:spacing w:val="-14"/>
        </w:rPr>
        <w:t xml:space="preserve"> </w:t>
      </w:r>
      <w:r>
        <w:t>para</w:t>
      </w:r>
      <w:r w:rsidRPr="004766A1">
        <w:rPr>
          <w:spacing w:val="-14"/>
        </w:rPr>
        <w:t xml:space="preserve"> </w:t>
      </w:r>
      <w:r>
        <w:t>la</w:t>
      </w:r>
      <w:r w:rsidRPr="004766A1">
        <w:rPr>
          <w:spacing w:val="-15"/>
        </w:rPr>
        <w:t xml:space="preserve"> </w:t>
      </w:r>
      <w:r>
        <w:t>asistencia</w:t>
      </w:r>
      <w:r w:rsidRPr="004766A1">
        <w:rPr>
          <w:spacing w:val="-14"/>
        </w:rPr>
        <w:t xml:space="preserve"> </w:t>
      </w:r>
      <w:r>
        <w:t>y</w:t>
      </w:r>
      <w:r w:rsidRPr="004766A1">
        <w:rPr>
          <w:spacing w:val="-14"/>
        </w:rPr>
        <w:t xml:space="preserve"> </w:t>
      </w:r>
      <w:r>
        <w:t>reparación integral que le asiste a las víctimas mientras permanezcan por fuera del territorio nacional.</w:t>
      </w:r>
      <w:r w:rsidRPr="004766A1">
        <w:rPr>
          <w:spacing w:val="-3"/>
        </w:rPr>
        <w:t xml:space="preserve"> </w:t>
      </w:r>
      <w:r>
        <w:t>Adicionalmente,</w:t>
      </w:r>
      <w:r w:rsidRPr="004766A1">
        <w:rPr>
          <w:spacing w:val="-3"/>
        </w:rPr>
        <w:t xml:space="preserve"> </w:t>
      </w:r>
      <w:r>
        <w:t>es</w:t>
      </w:r>
      <w:r w:rsidRPr="004766A1">
        <w:rPr>
          <w:spacing w:val="-3"/>
        </w:rPr>
        <w:t xml:space="preserve"> </w:t>
      </w:r>
      <w:r>
        <w:t>necesario</w:t>
      </w:r>
      <w:r w:rsidRPr="004766A1">
        <w:rPr>
          <w:spacing w:val="-3"/>
        </w:rPr>
        <w:t xml:space="preserve"> </w:t>
      </w:r>
      <w:r>
        <w:t>diseñar</w:t>
      </w:r>
      <w:r w:rsidRPr="004766A1">
        <w:rPr>
          <w:spacing w:val="-3"/>
        </w:rPr>
        <w:t xml:space="preserve"> </w:t>
      </w:r>
      <w:r>
        <w:t>un</w:t>
      </w:r>
      <w:r w:rsidRPr="004766A1">
        <w:rPr>
          <w:spacing w:val="-3"/>
        </w:rPr>
        <w:t xml:space="preserve"> </w:t>
      </w:r>
      <w:r>
        <w:t>programa</w:t>
      </w:r>
      <w:r w:rsidRPr="004766A1">
        <w:rPr>
          <w:spacing w:val="-3"/>
        </w:rPr>
        <w:t xml:space="preserve"> </w:t>
      </w:r>
      <w:r>
        <w:t>que</w:t>
      </w:r>
      <w:r w:rsidRPr="004766A1">
        <w:rPr>
          <w:spacing w:val="-3"/>
        </w:rPr>
        <w:t xml:space="preserve"> </w:t>
      </w:r>
      <w:r>
        <w:t>garantice</w:t>
      </w:r>
      <w:r w:rsidRPr="004766A1">
        <w:rPr>
          <w:spacing w:val="-3"/>
        </w:rPr>
        <w:t xml:space="preserve"> </w:t>
      </w:r>
      <w:r>
        <w:t>el</w:t>
      </w:r>
      <w:r w:rsidRPr="004766A1">
        <w:rPr>
          <w:spacing w:val="-3"/>
        </w:rPr>
        <w:t xml:space="preserve"> </w:t>
      </w:r>
      <w:r>
        <w:t>retorno o</w:t>
      </w:r>
      <w:r w:rsidRPr="004766A1">
        <w:rPr>
          <w:spacing w:val="3"/>
        </w:rPr>
        <w:t xml:space="preserve"> </w:t>
      </w:r>
      <w:r>
        <w:t>reubicación</w:t>
      </w:r>
      <w:r w:rsidRPr="004766A1">
        <w:rPr>
          <w:spacing w:val="6"/>
        </w:rPr>
        <w:t xml:space="preserve"> </w:t>
      </w:r>
      <w:r>
        <w:t>con</w:t>
      </w:r>
      <w:r w:rsidRPr="004766A1">
        <w:rPr>
          <w:spacing w:val="6"/>
        </w:rPr>
        <w:t xml:space="preserve"> </w:t>
      </w:r>
      <w:r>
        <w:t>acompañamiento</w:t>
      </w:r>
      <w:r w:rsidRPr="004766A1">
        <w:rPr>
          <w:spacing w:val="5"/>
        </w:rPr>
        <w:t xml:space="preserve"> </w:t>
      </w:r>
      <w:r>
        <w:t>de</w:t>
      </w:r>
      <w:r w:rsidRPr="004766A1">
        <w:rPr>
          <w:spacing w:val="6"/>
        </w:rPr>
        <w:t xml:space="preserve"> </w:t>
      </w:r>
      <w:r>
        <w:t>las</w:t>
      </w:r>
      <w:r w:rsidRPr="004766A1">
        <w:rPr>
          <w:spacing w:val="6"/>
        </w:rPr>
        <w:t xml:space="preserve"> </w:t>
      </w:r>
      <w:r>
        <w:t>víctimas.</w:t>
      </w:r>
      <w:r w:rsidRPr="004766A1">
        <w:rPr>
          <w:spacing w:val="5"/>
        </w:rPr>
        <w:t xml:space="preserve"> </w:t>
      </w:r>
      <w:r>
        <w:t>Este</w:t>
      </w:r>
      <w:r w:rsidRPr="004766A1">
        <w:rPr>
          <w:spacing w:val="6"/>
        </w:rPr>
        <w:t xml:space="preserve"> </w:t>
      </w:r>
      <w:r>
        <w:t>debe</w:t>
      </w:r>
      <w:r w:rsidRPr="004766A1">
        <w:rPr>
          <w:spacing w:val="6"/>
        </w:rPr>
        <w:t xml:space="preserve"> </w:t>
      </w:r>
      <w:r>
        <w:t>incluir</w:t>
      </w:r>
      <w:r w:rsidRPr="004766A1">
        <w:rPr>
          <w:spacing w:val="6"/>
        </w:rPr>
        <w:t xml:space="preserve"> </w:t>
      </w:r>
      <w:r>
        <w:t>un</w:t>
      </w:r>
      <w:r w:rsidRPr="004766A1">
        <w:rPr>
          <w:spacing w:val="5"/>
        </w:rPr>
        <w:t xml:space="preserve"> </w:t>
      </w:r>
      <w:r>
        <w:t>enfoque</w:t>
      </w:r>
      <w:r w:rsidRPr="004766A1">
        <w:rPr>
          <w:spacing w:val="6"/>
        </w:rPr>
        <w:t xml:space="preserve"> </w:t>
      </w:r>
      <w:r w:rsidRPr="004766A1">
        <w:rPr>
          <w:spacing w:val="-5"/>
        </w:rPr>
        <w:t>de</w:t>
      </w:r>
      <w:r w:rsidR="004766A1">
        <w:rPr>
          <w:spacing w:val="-5"/>
        </w:rPr>
        <w:t xml:space="preserve"> </w:t>
      </w:r>
      <w:r>
        <w:t xml:space="preserve">derechos humanos siguiendo los criterios planteados por la Comisión en el capítulo de exilio y </w:t>
      </w:r>
      <w:r>
        <w:lastRenderedPageBreak/>
        <w:t>refugio del Informe Final</w:t>
      </w:r>
      <w:r w:rsidR="004766A1">
        <w:rPr>
          <w:rStyle w:val="Refdenotaalpie"/>
        </w:rPr>
        <w:footnoteReference w:id="1205"/>
      </w:r>
      <w:r>
        <w:t>.</w:t>
      </w:r>
    </w:p>
    <w:p w:rsidR="0011361F" w:rsidRDefault="00AF18A5" w:rsidP="004766A1">
      <w:r>
        <w:t>Corto</w:t>
      </w:r>
      <w:r>
        <w:rPr>
          <w:spacing w:val="-1"/>
        </w:rPr>
        <w:t xml:space="preserve"> </w:t>
      </w:r>
      <w:r>
        <w:rPr>
          <w:spacing w:val="-2"/>
        </w:rPr>
        <w:t>plazo</w:t>
      </w:r>
    </w:p>
    <w:p w:rsidR="003804AC" w:rsidRDefault="00AF18A5" w:rsidP="004A6EF4">
      <w:pPr>
        <w:pStyle w:val="Prrafodelista"/>
        <w:numPr>
          <w:ilvl w:val="0"/>
          <w:numId w:val="36"/>
        </w:numPr>
      </w:pPr>
      <w:r>
        <w:t xml:space="preserve">Fortalecer y adecuar los programas de rehabilitación e indemnización de </w:t>
      </w:r>
      <w:r w:rsidRPr="004766A1">
        <w:rPr>
          <w:b/>
        </w:rPr>
        <w:t>víctimas</w:t>
      </w:r>
      <w:r w:rsidRPr="004766A1">
        <w:rPr>
          <w:b/>
          <w:spacing w:val="-3"/>
        </w:rPr>
        <w:t xml:space="preserve"> </w:t>
      </w:r>
      <w:r w:rsidRPr="004766A1">
        <w:rPr>
          <w:b/>
        </w:rPr>
        <w:t>miembros</w:t>
      </w:r>
      <w:r w:rsidRPr="004766A1">
        <w:rPr>
          <w:b/>
          <w:spacing w:val="-3"/>
        </w:rPr>
        <w:t xml:space="preserve"> </w:t>
      </w:r>
      <w:r w:rsidRPr="004766A1">
        <w:rPr>
          <w:b/>
        </w:rPr>
        <w:t>de</w:t>
      </w:r>
      <w:r w:rsidRPr="004766A1">
        <w:rPr>
          <w:b/>
          <w:spacing w:val="-3"/>
        </w:rPr>
        <w:t xml:space="preserve"> </w:t>
      </w:r>
      <w:r w:rsidRPr="004766A1">
        <w:rPr>
          <w:b/>
        </w:rPr>
        <w:t>la</w:t>
      </w:r>
      <w:r w:rsidRPr="004766A1">
        <w:rPr>
          <w:b/>
          <w:spacing w:val="-3"/>
        </w:rPr>
        <w:t xml:space="preserve"> </w:t>
      </w:r>
      <w:r w:rsidRPr="004766A1">
        <w:rPr>
          <w:b/>
        </w:rPr>
        <w:t>fuerza</w:t>
      </w:r>
      <w:r w:rsidRPr="004766A1">
        <w:rPr>
          <w:b/>
          <w:spacing w:val="-3"/>
        </w:rPr>
        <w:t xml:space="preserve"> </w:t>
      </w:r>
      <w:r w:rsidRPr="004766A1">
        <w:rPr>
          <w:b/>
        </w:rPr>
        <w:t>pública</w:t>
      </w:r>
      <w:r w:rsidRPr="004766A1">
        <w:rPr>
          <w:b/>
          <w:spacing w:val="-4"/>
        </w:rPr>
        <w:t xml:space="preserve"> </w:t>
      </w:r>
      <w:r>
        <w:t>con</w:t>
      </w:r>
      <w:r w:rsidRPr="004766A1">
        <w:rPr>
          <w:spacing w:val="-3"/>
        </w:rPr>
        <w:t xml:space="preserve"> </w:t>
      </w:r>
      <w:r>
        <w:t>la</w:t>
      </w:r>
      <w:r w:rsidRPr="004766A1">
        <w:rPr>
          <w:spacing w:val="-4"/>
        </w:rPr>
        <w:t xml:space="preserve"> </w:t>
      </w:r>
      <w:r>
        <w:t>participación</w:t>
      </w:r>
      <w:r w:rsidRPr="004766A1">
        <w:rPr>
          <w:spacing w:val="-3"/>
        </w:rPr>
        <w:t xml:space="preserve"> </w:t>
      </w:r>
      <w:r>
        <w:t>de</w:t>
      </w:r>
      <w:r w:rsidRPr="004766A1">
        <w:rPr>
          <w:spacing w:val="-3"/>
        </w:rPr>
        <w:t xml:space="preserve"> </w:t>
      </w:r>
      <w:r>
        <w:t>sus</w:t>
      </w:r>
      <w:r w:rsidRPr="004766A1">
        <w:rPr>
          <w:spacing w:val="-3"/>
        </w:rPr>
        <w:t xml:space="preserve"> </w:t>
      </w:r>
      <w:r>
        <w:t>organizaciones y garantizando su implementación de forma integral e idónea</w:t>
      </w:r>
      <w:r w:rsidR="004766A1">
        <w:rPr>
          <w:rStyle w:val="Refdenotaalpie"/>
        </w:rPr>
        <w:footnoteReference w:id="1206"/>
      </w:r>
      <w:r>
        <w:t>.</w:t>
      </w:r>
    </w:p>
    <w:p w:rsidR="0011361F" w:rsidRDefault="00AF18A5" w:rsidP="004766A1">
      <w:r>
        <w:t>Corto</w:t>
      </w:r>
      <w:r>
        <w:rPr>
          <w:spacing w:val="-1"/>
        </w:rPr>
        <w:t xml:space="preserve"> </w:t>
      </w:r>
      <w:r>
        <w:rPr>
          <w:spacing w:val="-2"/>
        </w:rPr>
        <w:t>plazo</w:t>
      </w:r>
    </w:p>
    <w:p w:rsidR="0011361F" w:rsidRDefault="00AF18A5" w:rsidP="004A6EF4">
      <w:pPr>
        <w:pStyle w:val="Prrafodelista"/>
        <w:numPr>
          <w:ilvl w:val="0"/>
          <w:numId w:val="36"/>
        </w:numPr>
      </w:pPr>
      <w:r>
        <w:t>Reconocer</w:t>
      </w:r>
      <w:r w:rsidRPr="004766A1">
        <w:rPr>
          <w:spacing w:val="-15"/>
        </w:rPr>
        <w:t xml:space="preserve"> </w:t>
      </w:r>
      <w:r>
        <w:t>como</w:t>
      </w:r>
      <w:r w:rsidRPr="004766A1">
        <w:rPr>
          <w:spacing w:val="-14"/>
        </w:rPr>
        <w:t xml:space="preserve"> </w:t>
      </w:r>
      <w:r>
        <w:t>víctimas</w:t>
      </w:r>
      <w:r w:rsidRPr="004766A1">
        <w:rPr>
          <w:spacing w:val="-14"/>
        </w:rPr>
        <w:t xml:space="preserve"> </w:t>
      </w:r>
      <w:r>
        <w:t>a</w:t>
      </w:r>
      <w:r w:rsidRPr="004766A1">
        <w:rPr>
          <w:spacing w:val="-14"/>
        </w:rPr>
        <w:t xml:space="preserve"> </w:t>
      </w:r>
      <w:r>
        <w:t>los</w:t>
      </w:r>
      <w:r w:rsidRPr="004766A1">
        <w:rPr>
          <w:spacing w:val="-15"/>
        </w:rPr>
        <w:t xml:space="preserve"> </w:t>
      </w:r>
      <w:r>
        <w:t>excombatientes</w:t>
      </w:r>
      <w:r w:rsidRPr="004766A1">
        <w:rPr>
          <w:spacing w:val="-15"/>
        </w:rPr>
        <w:t xml:space="preserve"> </w:t>
      </w:r>
      <w:r>
        <w:t>de</w:t>
      </w:r>
      <w:r w:rsidRPr="004766A1">
        <w:rPr>
          <w:spacing w:val="-14"/>
        </w:rPr>
        <w:t xml:space="preserve"> </w:t>
      </w:r>
      <w:r>
        <w:t>grupos</w:t>
      </w:r>
      <w:r w:rsidRPr="004766A1">
        <w:rPr>
          <w:spacing w:val="-14"/>
        </w:rPr>
        <w:t xml:space="preserve"> </w:t>
      </w:r>
      <w:r>
        <w:t>armados</w:t>
      </w:r>
      <w:r w:rsidRPr="004766A1">
        <w:rPr>
          <w:spacing w:val="-14"/>
        </w:rPr>
        <w:t xml:space="preserve"> </w:t>
      </w:r>
      <w:r>
        <w:t>ilegales que hayan sufrido graves violaciones a los derechos humanos o infracciones al DIH, incluyendo a las víctimas de</w:t>
      </w:r>
      <w:r w:rsidRPr="004766A1">
        <w:rPr>
          <w:spacing w:val="-1"/>
        </w:rPr>
        <w:t xml:space="preserve"> </w:t>
      </w:r>
      <w:r>
        <w:t>violencias sexuales y</w:t>
      </w:r>
      <w:r w:rsidRPr="004766A1">
        <w:rPr>
          <w:spacing w:val="-1"/>
        </w:rPr>
        <w:t xml:space="preserve"> </w:t>
      </w:r>
      <w:r>
        <w:t>reproductivas, y</w:t>
      </w:r>
      <w:r w:rsidRPr="004766A1">
        <w:rPr>
          <w:spacing w:val="-1"/>
        </w:rPr>
        <w:t xml:space="preserve"> </w:t>
      </w:r>
      <w:r>
        <w:t>acordar las medidas para su reparación con enfoque diferencial en el marco del proceso de reincorporación o reintegración</w:t>
      </w:r>
      <w:r w:rsidR="004766A1">
        <w:rPr>
          <w:rStyle w:val="Refdenotaalpie"/>
        </w:rPr>
        <w:footnoteReference w:id="1207"/>
      </w:r>
      <w:r>
        <w:t>.</w:t>
      </w:r>
    </w:p>
    <w:p w:rsidR="0011361F" w:rsidRDefault="00AF18A5" w:rsidP="004766A1">
      <w:bookmarkStart w:id="1547" w:name="_bookmark1346"/>
      <w:bookmarkStart w:id="1548" w:name="_bookmark1347"/>
      <w:bookmarkStart w:id="1549" w:name="_bookmark1348"/>
      <w:bookmarkEnd w:id="1547"/>
      <w:bookmarkEnd w:id="1548"/>
      <w:bookmarkEnd w:id="1549"/>
      <w:r>
        <w:t>Corto</w:t>
      </w:r>
      <w:r>
        <w:rPr>
          <w:spacing w:val="-1"/>
        </w:rPr>
        <w:t xml:space="preserve"> </w:t>
      </w:r>
      <w:r>
        <w:rPr>
          <w:spacing w:val="-2"/>
        </w:rPr>
        <w:t>plazo</w:t>
      </w:r>
    </w:p>
    <w:p w:rsidR="003804AC" w:rsidRDefault="00AF18A5" w:rsidP="004A6EF4">
      <w:pPr>
        <w:pStyle w:val="Prrafodelista"/>
        <w:numPr>
          <w:ilvl w:val="0"/>
          <w:numId w:val="31"/>
        </w:numPr>
      </w:pPr>
      <w:r>
        <w:t xml:space="preserve">Al Gobierno Nacional, en coordinación con el Ministerio de Relaciones Exteriores y </w:t>
      </w:r>
      <w:r w:rsidRPr="000D0123">
        <w:rPr>
          <w:spacing w:val="-2"/>
        </w:rPr>
        <w:t>la</w:t>
      </w:r>
      <w:r w:rsidRPr="000D0123">
        <w:rPr>
          <w:spacing w:val="-7"/>
        </w:rPr>
        <w:t xml:space="preserve"> </w:t>
      </w:r>
      <w:r w:rsidRPr="000D0123">
        <w:rPr>
          <w:spacing w:val="-2"/>
        </w:rPr>
        <w:t>Unidad</w:t>
      </w:r>
      <w:r w:rsidRPr="000D0123">
        <w:rPr>
          <w:spacing w:val="-8"/>
        </w:rPr>
        <w:t xml:space="preserve"> </w:t>
      </w:r>
      <w:r w:rsidRPr="000D0123">
        <w:rPr>
          <w:spacing w:val="-2"/>
        </w:rPr>
        <w:t>para</w:t>
      </w:r>
      <w:r w:rsidRPr="000D0123">
        <w:rPr>
          <w:spacing w:val="-8"/>
        </w:rPr>
        <w:t xml:space="preserve"> </w:t>
      </w:r>
      <w:r w:rsidRPr="000D0123">
        <w:rPr>
          <w:spacing w:val="-2"/>
        </w:rPr>
        <w:t>las</w:t>
      </w:r>
      <w:r w:rsidRPr="000D0123">
        <w:rPr>
          <w:spacing w:val="-7"/>
        </w:rPr>
        <w:t xml:space="preserve"> </w:t>
      </w:r>
      <w:r w:rsidRPr="000D0123">
        <w:rPr>
          <w:spacing w:val="-2"/>
        </w:rPr>
        <w:t>Víctimas,</w:t>
      </w:r>
      <w:r w:rsidRPr="000D0123">
        <w:rPr>
          <w:spacing w:val="-7"/>
        </w:rPr>
        <w:t xml:space="preserve"> </w:t>
      </w:r>
      <w:r w:rsidRPr="000D0123">
        <w:rPr>
          <w:spacing w:val="-2"/>
        </w:rPr>
        <w:t>avanzar</w:t>
      </w:r>
      <w:r w:rsidRPr="000D0123">
        <w:rPr>
          <w:spacing w:val="-8"/>
        </w:rPr>
        <w:t xml:space="preserve"> </w:t>
      </w:r>
      <w:r w:rsidRPr="000D0123">
        <w:rPr>
          <w:spacing w:val="-2"/>
        </w:rPr>
        <w:t>en</w:t>
      </w:r>
      <w:r w:rsidRPr="000D0123">
        <w:rPr>
          <w:spacing w:val="-7"/>
        </w:rPr>
        <w:t xml:space="preserve"> </w:t>
      </w:r>
      <w:r w:rsidRPr="000D0123">
        <w:rPr>
          <w:spacing w:val="-2"/>
        </w:rPr>
        <w:t>un</w:t>
      </w:r>
      <w:r w:rsidRPr="000D0123">
        <w:rPr>
          <w:spacing w:val="-7"/>
        </w:rPr>
        <w:t xml:space="preserve"> </w:t>
      </w:r>
      <w:r w:rsidRPr="000D0123">
        <w:rPr>
          <w:spacing w:val="-2"/>
        </w:rPr>
        <w:t>plan</w:t>
      </w:r>
      <w:r w:rsidRPr="000D0123">
        <w:rPr>
          <w:spacing w:val="-7"/>
        </w:rPr>
        <w:t xml:space="preserve"> </w:t>
      </w:r>
      <w:r w:rsidRPr="000D0123">
        <w:rPr>
          <w:spacing w:val="-2"/>
        </w:rPr>
        <w:t>de</w:t>
      </w:r>
      <w:r w:rsidRPr="000D0123">
        <w:rPr>
          <w:spacing w:val="-9"/>
        </w:rPr>
        <w:t xml:space="preserve"> </w:t>
      </w:r>
      <w:r w:rsidRPr="000D0123">
        <w:rPr>
          <w:spacing w:val="-2"/>
        </w:rPr>
        <w:t>choque</w:t>
      </w:r>
      <w:r w:rsidRPr="000D0123">
        <w:rPr>
          <w:spacing w:val="-7"/>
        </w:rPr>
        <w:t xml:space="preserve"> </w:t>
      </w:r>
      <w:r w:rsidRPr="000D0123">
        <w:rPr>
          <w:spacing w:val="-2"/>
        </w:rPr>
        <w:t>para</w:t>
      </w:r>
      <w:r w:rsidRPr="000D0123">
        <w:rPr>
          <w:spacing w:val="-8"/>
        </w:rPr>
        <w:t xml:space="preserve"> </w:t>
      </w:r>
      <w:r w:rsidRPr="000D0123">
        <w:rPr>
          <w:spacing w:val="-2"/>
        </w:rPr>
        <w:t>garantizar</w:t>
      </w:r>
      <w:r w:rsidRPr="000D0123">
        <w:rPr>
          <w:spacing w:val="-6"/>
        </w:rPr>
        <w:t xml:space="preserve"> </w:t>
      </w:r>
      <w:r w:rsidRPr="000D0123">
        <w:rPr>
          <w:spacing w:val="-2"/>
        </w:rPr>
        <w:t>de</w:t>
      </w:r>
      <w:r w:rsidRPr="000D0123">
        <w:rPr>
          <w:spacing w:val="-7"/>
        </w:rPr>
        <w:t xml:space="preserve"> </w:t>
      </w:r>
      <w:r w:rsidRPr="000D0123">
        <w:rPr>
          <w:spacing w:val="-2"/>
        </w:rPr>
        <w:t>forma</w:t>
      </w:r>
      <w:r w:rsidRPr="000D0123">
        <w:rPr>
          <w:spacing w:val="-8"/>
        </w:rPr>
        <w:t xml:space="preserve"> </w:t>
      </w:r>
      <w:r w:rsidRPr="000D0123">
        <w:rPr>
          <w:spacing w:val="-2"/>
        </w:rPr>
        <w:t xml:space="preserve">prioritaria </w:t>
      </w:r>
      <w:r>
        <w:t xml:space="preserve">el cumplimiento de las </w:t>
      </w:r>
      <w:r w:rsidRPr="000D0123">
        <w:rPr>
          <w:b/>
        </w:rPr>
        <w:t>órdenes sobre reparación integral de las víctimas del conflicto armado contenidas en sentencias de órganos internacionales</w:t>
      </w:r>
      <w:r>
        <w:t xml:space="preserve">. En particular, en lo relacionado con actos conmemorativos, reconocimientos de </w:t>
      </w:r>
      <w:r>
        <w:lastRenderedPageBreak/>
        <w:t xml:space="preserve">responsabilidad, atención en salud física y psicosocial y las garantías de no repetición. Lo anterior, debe hacerse en concertación con las víctimas y sus organizaciones, aplicando el principio </w:t>
      </w:r>
      <w:proofErr w:type="spellStart"/>
      <w:r>
        <w:t>pro-víctima</w:t>
      </w:r>
      <w:proofErr w:type="spellEnd"/>
      <w:r>
        <w:t xml:space="preserve"> y los enfoques diferenciales.</w:t>
      </w:r>
    </w:p>
    <w:p w:rsidR="0011361F" w:rsidRDefault="00AF18A5" w:rsidP="004A6EF4">
      <w:pPr>
        <w:pStyle w:val="Ttulo3"/>
        <w:numPr>
          <w:ilvl w:val="1"/>
          <w:numId w:val="28"/>
        </w:numPr>
      </w:pPr>
      <w:bookmarkStart w:id="1550" w:name="2.3._Salud_integral_y_atención_psicosoci"/>
      <w:bookmarkStart w:id="1551" w:name="_Toc112399689"/>
      <w:bookmarkEnd w:id="1550"/>
      <w:r>
        <w:t>Salud</w:t>
      </w:r>
      <w:r>
        <w:rPr>
          <w:spacing w:val="-5"/>
        </w:rPr>
        <w:t xml:space="preserve"> </w:t>
      </w:r>
      <w:r>
        <w:t>integral</w:t>
      </w:r>
      <w:r>
        <w:rPr>
          <w:spacing w:val="-1"/>
        </w:rPr>
        <w:t xml:space="preserve"> </w:t>
      </w:r>
      <w:r>
        <w:t>y</w:t>
      </w:r>
      <w:r>
        <w:rPr>
          <w:spacing w:val="-2"/>
        </w:rPr>
        <w:t xml:space="preserve"> </w:t>
      </w:r>
      <w:r>
        <w:t>atención</w:t>
      </w:r>
      <w:r>
        <w:rPr>
          <w:spacing w:val="-2"/>
        </w:rPr>
        <w:t xml:space="preserve"> </w:t>
      </w:r>
      <w:r>
        <w:t>psicosocial</w:t>
      </w:r>
      <w:r>
        <w:rPr>
          <w:spacing w:val="-2"/>
        </w:rPr>
        <w:t xml:space="preserve"> </w:t>
      </w:r>
      <w:r>
        <w:t>como</w:t>
      </w:r>
      <w:r>
        <w:rPr>
          <w:spacing w:val="-2"/>
        </w:rPr>
        <w:t xml:space="preserve"> </w:t>
      </w:r>
      <w:r>
        <w:t>medida</w:t>
      </w:r>
      <w:r>
        <w:rPr>
          <w:spacing w:val="-1"/>
        </w:rPr>
        <w:t xml:space="preserve"> </w:t>
      </w:r>
      <w:r>
        <w:t>de</w:t>
      </w:r>
      <w:r>
        <w:rPr>
          <w:spacing w:val="-1"/>
        </w:rPr>
        <w:t xml:space="preserve"> </w:t>
      </w:r>
      <w:r>
        <w:rPr>
          <w:spacing w:val="-2"/>
        </w:rPr>
        <w:t>reparación</w:t>
      </w:r>
      <w:r w:rsidR="000D0123">
        <w:rPr>
          <w:spacing w:val="-2"/>
        </w:rPr>
        <w:t xml:space="preserve">. </w:t>
      </w:r>
      <w:r w:rsidRPr="000D0123">
        <w:t>Corto</w:t>
      </w:r>
      <w:r w:rsidRPr="000D0123">
        <w:rPr>
          <w:spacing w:val="-1"/>
        </w:rPr>
        <w:t xml:space="preserve"> </w:t>
      </w:r>
      <w:r w:rsidRPr="000D0123">
        <w:rPr>
          <w:spacing w:val="-2"/>
        </w:rPr>
        <w:t>plazo</w:t>
      </w:r>
      <w:bookmarkEnd w:id="1551"/>
    </w:p>
    <w:p w:rsidR="003804AC" w:rsidRDefault="00AF18A5" w:rsidP="004A6EF4">
      <w:pPr>
        <w:pStyle w:val="Prrafodelista"/>
        <w:numPr>
          <w:ilvl w:val="0"/>
          <w:numId w:val="31"/>
        </w:numPr>
        <w:tabs>
          <w:tab w:val="left" w:pos="601"/>
        </w:tabs>
        <w:ind w:right="1336" w:firstLine="0"/>
        <w:jc w:val="both"/>
      </w:pPr>
      <w:r>
        <w:t>Al Gobierno Nacional, a través del Ministerio de Salud, la Unidad para la Atención y Reparación</w:t>
      </w:r>
      <w:r>
        <w:rPr>
          <w:spacing w:val="-5"/>
        </w:rPr>
        <w:t xml:space="preserve"> </w:t>
      </w:r>
      <w:r>
        <w:t>Integral</w:t>
      </w:r>
      <w:r>
        <w:rPr>
          <w:spacing w:val="-3"/>
        </w:rPr>
        <w:t xml:space="preserve"> </w:t>
      </w:r>
      <w:r>
        <w:t>a</w:t>
      </w:r>
      <w:r>
        <w:rPr>
          <w:spacing w:val="-3"/>
        </w:rPr>
        <w:t xml:space="preserve"> </w:t>
      </w:r>
      <w:r>
        <w:t>las</w:t>
      </w:r>
      <w:r>
        <w:rPr>
          <w:spacing w:val="-2"/>
        </w:rPr>
        <w:t xml:space="preserve"> </w:t>
      </w:r>
      <w:r>
        <w:t>Víctimas</w:t>
      </w:r>
      <w:r>
        <w:rPr>
          <w:spacing w:val="-2"/>
        </w:rPr>
        <w:t xml:space="preserve"> </w:t>
      </w:r>
      <w:r>
        <w:t>y</w:t>
      </w:r>
      <w:r>
        <w:rPr>
          <w:spacing w:val="-3"/>
        </w:rPr>
        <w:t xml:space="preserve"> </w:t>
      </w:r>
      <w:r>
        <w:t>las</w:t>
      </w:r>
      <w:r>
        <w:rPr>
          <w:spacing w:val="-3"/>
        </w:rPr>
        <w:t xml:space="preserve"> </w:t>
      </w:r>
      <w:r>
        <w:t>secretarías</w:t>
      </w:r>
      <w:r>
        <w:rPr>
          <w:spacing w:val="-2"/>
        </w:rPr>
        <w:t xml:space="preserve"> </w:t>
      </w:r>
      <w:r>
        <w:t>municipales</w:t>
      </w:r>
      <w:r>
        <w:rPr>
          <w:spacing w:val="-2"/>
        </w:rPr>
        <w:t xml:space="preserve"> </w:t>
      </w:r>
      <w:r>
        <w:t>y</w:t>
      </w:r>
      <w:r>
        <w:rPr>
          <w:spacing w:val="-2"/>
        </w:rPr>
        <w:t xml:space="preserve"> </w:t>
      </w:r>
      <w:r>
        <w:t>departamentales</w:t>
      </w:r>
      <w:r>
        <w:rPr>
          <w:spacing w:val="-3"/>
        </w:rPr>
        <w:t xml:space="preserve"> </w:t>
      </w:r>
      <w:r>
        <w:t>de</w:t>
      </w:r>
      <w:r>
        <w:rPr>
          <w:spacing w:val="-3"/>
        </w:rPr>
        <w:t xml:space="preserve"> </w:t>
      </w:r>
      <w:r>
        <w:t xml:space="preserve">salud, </w:t>
      </w:r>
      <w:r>
        <w:rPr>
          <w:b/>
        </w:rPr>
        <w:t>fortalecer los programas de atención en salud integral (física y mental) y psicosocial</w:t>
      </w:r>
      <w:r>
        <w:t>, partiendo</w:t>
      </w:r>
      <w:r>
        <w:rPr>
          <w:spacing w:val="-6"/>
        </w:rPr>
        <w:t xml:space="preserve"> </w:t>
      </w:r>
      <w:r>
        <w:t>del</w:t>
      </w:r>
      <w:r>
        <w:rPr>
          <w:spacing w:val="-5"/>
        </w:rPr>
        <w:t xml:space="preserve"> </w:t>
      </w:r>
      <w:r>
        <w:t>reconocimiento</w:t>
      </w:r>
      <w:r>
        <w:rPr>
          <w:spacing w:val="-6"/>
        </w:rPr>
        <w:t xml:space="preserve"> </w:t>
      </w:r>
      <w:r>
        <w:t>y</w:t>
      </w:r>
      <w:r>
        <w:rPr>
          <w:spacing w:val="-7"/>
        </w:rPr>
        <w:t xml:space="preserve"> </w:t>
      </w:r>
      <w:r>
        <w:t>valoración</w:t>
      </w:r>
      <w:r>
        <w:rPr>
          <w:spacing w:val="-6"/>
        </w:rPr>
        <w:t xml:space="preserve"> </w:t>
      </w:r>
      <w:r>
        <w:t>de</w:t>
      </w:r>
      <w:r>
        <w:rPr>
          <w:spacing w:val="-6"/>
        </w:rPr>
        <w:t xml:space="preserve"> </w:t>
      </w:r>
      <w:r>
        <w:t>las</w:t>
      </w:r>
      <w:r>
        <w:rPr>
          <w:spacing w:val="-7"/>
        </w:rPr>
        <w:t xml:space="preserve"> </w:t>
      </w:r>
      <w:r>
        <w:t>necesidades</w:t>
      </w:r>
      <w:r>
        <w:rPr>
          <w:spacing w:val="-7"/>
        </w:rPr>
        <w:t xml:space="preserve"> </w:t>
      </w:r>
      <w:r>
        <w:t>de</w:t>
      </w:r>
      <w:r>
        <w:rPr>
          <w:spacing w:val="-6"/>
        </w:rPr>
        <w:t xml:space="preserve"> </w:t>
      </w:r>
      <w:r>
        <w:t>cada</w:t>
      </w:r>
      <w:r>
        <w:rPr>
          <w:spacing w:val="-7"/>
        </w:rPr>
        <w:t xml:space="preserve"> </w:t>
      </w:r>
      <w:r>
        <w:t>región,</w:t>
      </w:r>
      <w:r>
        <w:rPr>
          <w:spacing w:val="-6"/>
        </w:rPr>
        <w:t xml:space="preserve"> </w:t>
      </w:r>
      <w:r>
        <w:t>para</w:t>
      </w:r>
      <w:r>
        <w:rPr>
          <w:spacing w:val="-7"/>
        </w:rPr>
        <w:t xml:space="preserve"> </w:t>
      </w:r>
      <w:r>
        <w:t>atender</w:t>
      </w:r>
      <w:r>
        <w:rPr>
          <w:spacing w:val="-5"/>
        </w:rPr>
        <w:t xml:space="preserve"> </w:t>
      </w:r>
      <w:r>
        <w:t>el trauma social individual y colectivo dejado por la guerra</w:t>
      </w:r>
      <w:r w:rsidR="00236842">
        <w:rPr>
          <w:rStyle w:val="Refdenotaalpie"/>
        </w:rPr>
        <w:footnoteReference w:id="1208"/>
      </w:r>
      <w:r>
        <w:t>, orientado hacia:</w:t>
      </w:r>
    </w:p>
    <w:p w:rsidR="0011361F" w:rsidRDefault="00AF18A5" w:rsidP="004A6EF4">
      <w:pPr>
        <w:pStyle w:val="Prrafodelista"/>
        <w:numPr>
          <w:ilvl w:val="0"/>
          <w:numId w:val="36"/>
        </w:numPr>
      </w:pPr>
      <w:r>
        <w:t xml:space="preserve">Garantizar el acceso a la atención psicosocial con énfasis en un </w:t>
      </w:r>
      <w:r w:rsidRPr="00236842">
        <w:rPr>
          <w:b/>
        </w:rPr>
        <w:t xml:space="preserve">enfoque colectivo y territorial </w:t>
      </w:r>
      <w:r>
        <w:t>que incluya a víctimas, personas en proceso de reincorporación y reintegración, funcionarios públicos, miembros de la fuerza pública, trabajadores de la salud, comunidades educativas, comunidades de fe y, en general comunidades, afectadas por el conflicto armado</w:t>
      </w:r>
      <w:r w:rsidR="00236842">
        <w:rPr>
          <w:rStyle w:val="Refdenotaalpie"/>
        </w:rPr>
        <w:footnoteReference w:id="1209"/>
      </w:r>
      <w:r>
        <w:t>.</w:t>
      </w:r>
    </w:p>
    <w:p w:rsidR="003804AC" w:rsidRDefault="00AF18A5" w:rsidP="004A6EF4">
      <w:pPr>
        <w:pStyle w:val="Prrafodelista"/>
        <w:numPr>
          <w:ilvl w:val="0"/>
          <w:numId w:val="36"/>
        </w:numPr>
      </w:pPr>
      <w:bookmarkStart w:id="1552" w:name="_bookmark1350"/>
      <w:bookmarkStart w:id="1553" w:name="_bookmark1351"/>
      <w:bookmarkEnd w:id="1552"/>
      <w:bookmarkEnd w:id="1553"/>
      <w:r>
        <w:t xml:space="preserve">Fortalecer la atención en salud integral y psicosocial para las </w:t>
      </w:r>
      <w:r w:rsidRPr="00236842">
        <w:rPr>
          <w:b/>
        </w:rPr>
        <w:t xml:space="preserve">víctimas </w:t>
      </w:r>
      <w:r>
        <w:t>del conflicto</w:t>
      </w:r>
      <w:r w:rsidRPr="00236842">
        <w:rPr>
          <w:spacing w:val="-14"/>
        </w:rPr>
        <w:t xml:space="preserve"> </w:t>
      </w:r>
      <w:r>
        <w:t>armado,</w:t>
      </w:r>
      <w:r w:rsidRPr="00236842">
        <w:rPr>
          <w:spacing w:val="-14"/>
        </w:rPr>
        <w:t xml:space="preserve"> </w:t>
      </w:r>
      <w:r>
        <w:t>garantizando</w:t>
      </w:r>
      <w:r w:rsidRPr="00236842">
        <w:rPr>
          <w:spacing w:val="-14"/>
        </w:rPr>
        <w:t xml:space="preserve"> </w:t>
      </w:r>
      <w:r>
        <w:t>la</w:t>
      </w:r>
      <w:r w:rsidRPr="00236842">
        <w:rPr>
          <w:spacing w:val="-14"/>
        </w:rPr>
        <w:t xml:space="preserve"> </w:t>
      </w:r>
      <w:r>
        <w:t>continuidad</w:t>
      </w:r>
      <w:r w:rsidRPr="00236842">
        <w:rPr>
          <w:spacing w:val="-14"/>
        </w:rPr>
        <w:t xml:space="preserve"> </w:t>
      </w:r>
      <w:r>
        <w:t>del</w:t>
      </w:r>
      <w:r w:rsidRPr="00236842">
        <w:rPr>
          <w:spacing w:val="-14"/>
        </w:rPr>
        <w:t xml:space="preserve"> </w:t>
      </w:r>
      <w:r>
        <w:lastRenderedPageBreak/>
        <w:t>servicio,</w:t>
      </w:r>
      <w:r w:rsidRPr="00236842">
        <w:rPr>
          <w:spacing w:val="-14"/>
        </w:rPr>
        <w:t xml:space="preserve"> </w:t>
      </w:r>
      <w:r>
        <w:t>la</w:t>
      </w:r>
      <w:r w:rsidRPr="00236842">
        <w:rPr>
          <w:spacing w:val="-14"/>
        </w:rPr>
        <w:t xml:space="preserve"> </w:t>
      </w:r>
      <w:r>
        <w:t>formación</w:t>
      </w:r>
      <w:r w:rsidRPr="00236842">
        <w:rPr>
          <w:spacing w:val="-14"/>
        </w:rPr>
        <w:t xml:space="preserve"> </w:t>
      </w:r>
      <w:r>
        <w:t>del</w:t>
      </w:r>
      <w:r w:rsidRPr="00236842">
        <w:rPr>
          <w:spacing w:val="-14"/>
        </w:rPr>
        <w:t xml:space="preserve"> </w:t>
      </w:r>
      <w:r>
        <w:t>personal, la sostenibilidad de los procesos y</w:t>
      </w:r>
      <w:r w:rsidRPr="00236842">
        <w:rPr>
          <w:spacing w:val="-1"/>
        </w:rPr>
        <w:t xml:space="preserve"> </w:t>
      </w:r>
      <w:r>
        <w:t>la</w:t>
      </w:r>
      <w:r w:rsidRPr="00236842">
        <w:rPr>
          <w:spacing w:val="-1"/>
        </w:rPr>
        <w:t xml:space="preserve"> </w:t>
      </w:r>
      <w:r>
        <w:t>ampliación</w:t>
      </w:r>
      <w:r w:rsidRPr="00236842">
        <w:rPr>
          <w:spacing w:val="-1"/>
        </w:rPr>
        <w:t xml:space="preserve"> </w:t>
      </w:r>
      <w:r>
        <w:t>de cobertura</w:t>
      </w:r>
      <w:r w:rsidRPr="00236842">
        <w:rPr>
          <w:spacing w:val="-1"/>
        </w:rPr>
        <w:t xml:space="preserve"> </w:t>
      </w:r>
      <w:r>
        <w:t>en general a</w:t>
      </w:r>
      <w:r w:rsidRPr="00236842">
        <w:rPr>
          <w:spacing w:val="-1"/>
        </w:rPr>
        <w:t xml:space="preserve"> </w:t>
      </w:r>
      <w:r>
        <w:t>través de, entre otras, la puesta en marcha de estrategias móviles en zonas rurales.</w:t>
      </w:r>
    </w:p>
    <w:p w:rsidR="003804AC" w:rsidRDefault="00AF18A5" w:rsidP="004A6EF4">
      <w:pPr>
        <w:pStyle w:val="Prrafodelista"/>
        <w:numPr>
          <w:ilvl w:val="0"/>
          <w:numId w:val="36"/>
        </w:numPr>
      </w:pPr>
      <w:r>
        <w:t xml:space="preserve">Promover el reconocimiento y articulación con sistemas y prácticas de salud propios de los </w:t>
      </w:r>
      <w:r w:rsidRPr="00236842">
        <w:rPr>
          <w:b/>
        </w:rPr>
        <w:t>pueblos étnicos</w:t>
      </w:r>
      <w:r>
        <w:t>.</w:t>
      </w:r>
    </w:p>
    <w:p w:rsidR="003804AC" w:rsidRDefault="00AF18A5" w:rsidP="004A6EF4">
      <w:pPr>
        <w:pStyle w:val="Prrafodelista"/>
        <w:numPr>
          <w:ilvl w:val="0"/>
          <w:numId w:val="36"/>
        </w:numPr>
      </w:pPr>
      <w:r>
        <w:t xml:space="preserve">Crear y fortalecer capacidades (protocolos y formación) para atender </w:t>
      </w:r>
      <w:r w:rsidRPr="00236842">
        <w:rPr>
          <w:b/>
        </w:rPr>
        <w:t xml:space="preserve">impactos particulares y desproporcionados </w:t>
      </w:r>
      <w:r>
        <w:t xml:space="preserve">de ciertos hechos </w:t>
      </w:r>
      <w:proofErr w:type="spellStart"/>
      <w:r>
        <w:t>victimizantes</w:t>
      </w:r>
      <w:proofErr w:type="spellEnd"/>
      <w:r>
        <w:t xml:space="preserve"> como tortura, desaparición forzada, secuestro, exilio, orfandad, violencias sexuales y reproductivas, de género y reclutamiento de niños, niñas, adolescentes y jóvenes.</w:t>
      </w:r>
    </w:p>
    <w:p w:rsidR="003804AC" w:rsidRDefault="00AF18A5" w:rsidP="004A6EF4">
      <w:pPr>
        <w:pStyle w:val="Prrafodelista"/>
        <w:numPr>
          <w:ilvl w:val="0"/>
          <w:numId w:val="36"/>
        </w:numPr>
      </w:pPr>
      <w:r>
        <w:t xml:space="preserve">Garantizar la atención a todas las víctimas que estén adelantando procesos o se encuentren acreditadas ante instituciones del </w:t>
      </w:r>
      <w:r w:rsidRPr="00236842">
        <w:rPr>
          <w:b/>
        </w:rPr>
        <w:t>Sistema Integral para la Paz</w:t>
      </w:r>
      <w:r>
        <w:t>, independientemente de su inclusión en el Registro Único de Víctimas.</w:t>
      </w:r>
    </w:p>
    <w:p w:rsidR="0011361F" w:rsidRDefault="00AF18A5" w:rsidP="004A6EF4">
      <w:pPr>
        <w:pStyle w:val="Ttulo3"/>
        <w:numPr>
          <w:ilvl w:val="1"/>
          <w:numId w:val="28"/>
        </w:numPr>
      </w:pPr>
      <w:bookmarkStart w:id="1554" w:name="2.4._Memoria"/>
      <w:bookmarkStart w:id="1555" w:name="_Toc112399690"/>
      <w:bookmarkEnd w:id="1554"/>
      <w:r w:rsidRPr="00236842">
        <w:t>Memoria</w:t>
      </w:r>
      <w:r w:rsidR="00236842">
        <w:t xml:space="preserve">. </w:t>
      </w:r>
      <w:r>
        <w:t>Corto</w:t>
      </w:r>
      <w:r w:rsidRPr="00236842">
        <w:rPr>
          <w:spacing w:val="-1"/>
        </w:rPr>
        <w:t xml:space="preserve"> </w:t>
      </w:r>
      <w:r w:rsidRPr="00236842">
        <w:rPr>
          <w:spacing w:val="-2"/>
        </w:rPr>
        <w:t>plazo</w:t>
      </w:r>
      <w:bookmarkEnd w:id="1555"/>
    </w:p>
    <w:p w:rsidR="003804AC" w:rsidRDefault="00AF18A5" w:rsidP="004A6EF4">
      <w:pPr>
        <w:pStyle w:val="Prrafodelista"/>
        <w:numPr>
          <w:ilvl w:val="0"/>
          <w:numId w:val="31"/>
        </w:numPr>
      </w:pPr>
      <w:r>
        <w:t>Al</w:t>
      </w:r>
      <w:r w:rsidRPr="00236842">
        <w:rPr>
          <w:spacing w:val="-8"/>
        </w:rPr>
        <w:t xml:space="preserve"> </w:t>
      </w:r>
      <w:r>
        <w:t>Gobierno</w:t>
      </w:r>
      <w:r w:rsidRPr="00236842">
        <w:rPr>
          <w:spacing w:val="-8"/>
        </w:rPr>
        <w:t xml:space="preserve"> </w:t>
      </w:r>
      <w:r>
        <w:t>Nacional</w:t>
      </w:r>
      <w:r w:rsidRPr="00236842">
        <w:rPr>
          <w:spacing w:val="-8"/>
        </w:rPr>
        <w:t xml:space="preserve"> </w:t>
      </w:r>
      <w:r>
        <w:t>y</w:t>
      </w:r>
      <w:r w:rsidRPr="00236842">
        <w:rPr>
          <w:spacing w:val="-8"/>
        </w:rPr>
        <w:t xml:space="preserve"> </w:t>
      </w:r>
      <w:r>
        <w:t>al</w:t>
      </w:r>
      <w:r w:rsidRPr="00236842">
        <w:rPr>
          <w:spacing w:val="-8"/>
        </w:rPr>
        <w:t xml:space="preserve"> </w:t>
      </w:r>
      <w:r>
        <w:t>Congreso</w:t>
      </w:r>
      <w:r w:rsidRPr="00236842">
        <w:rPr>
          <w:spacing w:val="-8"/>
        </w:rPr>
        <w:t xml:space="preserve"> </w:t>
      </w:r>
      <w:r>
        <w:t>de</w:t>
      </w:r>
      <w:r w:rsidRPr="00236842">
        <w:rPr>
          <w:spacing w:val="-8"/>
        </w:rPr>
        <w:t xml:space="preserve"> </w:t>
      </w:r>
      <w:r>
        <w:t>la</w:t>
      </w:r>
      <w:r w:rsidRPr="00236842">
        <w:rPr>
          <w:spacing w:val="-8"/>
        </w:rPr>
        <w:t xml:space="preserve"> </w:t>
      </w:r>
      <w:r>
        <w:t>República,</w:t>
      </w:r>
      <w:r w:rsidRPr="00236842">
        <w:rPr>
          <w:spacing w:val="-8"/>
        </w:rPr>
        <w:t xml:space="preserve"> </w:t>
      </w:r>
      <w:r>
        <w:t>con</w:t>
      </w:r>
      <w:r w:rsidRPr="00236842">
        <w:rPr>
          <w:spacing w:val="-8"/>
        </w:rPr>
        <w:t xml:space="preserve"> </w:t>
      </w:r>
      <w:r>
        <w:t>la</w:t>
      </w:r>
      <w:r w:rsidRPr="00236842">
        <w:rPr>
          <w:spacing w:val="-8"/>
        </w:rPr>
        <w:t xml:space="preserve"> </w:t>
      </w:r>
      <w:r>
        <w:t>participación</w:t>
      </w:r>
      <w:r w:rsidRPr="00236842">
        <w:rPr>
          <w:spacing w:val="-8"/>
        </w:rPr>
        <w:t xml:space="preserve"> </w:t>
      </w:r>
      <w:r>
        <w:t>de</w:t>
      </w:r>
      <w:r w:rsidRPr="00236842">
        <w:rPr>
          <w:spacing w:val="-8"/>
        </w:rPr>
        <w:t xml:space="preserve"> </w:t>
      </w:r>
      <w:r>
        <w:t xml:space="preserve">autoridades territoriales, incluyendo autoridades étnicas, la academia, medios de comunicación y, en especial, las organizaciones de víctimas, discutir, concertar y poner en marcha una </w:t>
      </w:r>
      <w:r w:rsidRPr="00236842">
        <w:rPr>
          <w:b/>
        </w:rPr>
        <w:t>política de</w:t>
      </w:r>
      <w:r w:rsidRPr="00236842">
        <w:rPr>
          <w:b/>
          <w:spacing w:val="-15"/>
        </w:rPr>
        <w:t xml:space="preserve"> </w:t>
      </w:r>
      <w:r w:rsidRPr="00236842">
        <w:rPr>
          <w:b/>
        </w:rPr>
        <w:t>memoria</w:t>
      </w:r>
      <w:r w:rsidRPr="00236842">
        <w:rPr>
          <w:b/>
          <w:spacing w:val="-15"/>
        </w:rPr>
        <w:t xml:space="preserve"> </w:t>
      </w:r>
      <w:r w:rsidRPr="00236842">
        <w:rPr>
          <w:b/>
        </w:rPr>
        <w:t>y</w:t>
      </w:r>
      <w:r w:rsidRPr="00236842">
        <w:rPr>
          <w:b/>
          <w:spacing w:val="-15"/>
        </w:rPr>
        <w:t xml:space="preserve"> </w:t>
      </w:r>
      <w:r w:rsidRPr="00236842">
        <w:rPr>
          <w:b/>
        </w:rPr>
        <w:t>verdad</w:t>
      </w:r>
      <w:r w:rsidRPr="00236842">
        <w:rPr>
          <w:b/>
          <w:spacing w:val="-15"/>
        </w:rPr>
        <w:t xml:space="preserve"> </w:t>
      </w:r>
      <w:r w:rsidRPr="00236842">
        <w:rPr>
          <w:b/>
        </w:rPr>
        <w:t>para</w:t>
      </w:r>
      <w:r w:rsidRPr="00236842">
        <w:rPr>
          <w:b/>
          <w:spacing w:val="-15"/>
        </w:rPr>
        <w:t xml:space="preserve"> </w:t>
      </w:r>
      <w:r w:rsidRPr="00236842">
        <w:rPr>
          <w:b/>
        </w:rPr>
        <w:t>la</w:t>
      </w:r>
      <w:r w:rsidRPr="00236842">
        <w:rPr>
          <w:b/>
          <w:spacing w:val="-15"/>
        </w:rPr>
        <w:t xml:space="preserve"> </w:t>
      </w:r>
      <w:r w:rsidRPr="00236842">
        <w:rPr>
          <w:b/>
        </w:rPr>
        <w:t>construcción</w:t>
      </w:r>
      <w:r w:rsidRPr="00236842">
        <w:rPr>
          <w:b/>
          <w:spacing w:val="-15"/>
        </w:rPr>
        <w:t xml:space="preserve"> </w:t>
      </w:r>
      <w:r w:rsidRPr="00236842">
        <w:rPr>
          <w:b/>
        </w:rPr>
        <w:t>de</w:t>
      </w:r>
      <w:r w:rsidRPr="00236842">
        <w:rPr>
          <w:b/>
          <w:spacing w:val="-15"/>
        </w:rPr>
        <w:t xml:space="preserve"> </w:t>
      </w:r>
      <w:r w:rsidRPr="00236842">
        <w:rPr>
          <w:b/>
        </w:rPr>
        <w:t>paz</w:t>
      </w:r>
      <w:r w:rsidRPr="00236842">
        <w:rPr>
          <w:b/>
          <w:spacing w:val="-15"/>
        </w:rPr>
        <w:t xml:space="preserve"> </w:t>
      </w:r>
      <w:r w:rsidRPr="00236842">
        <w:rPr>
          <w:b/>
        </w:rPr>
        <w:t>y</w:t>
      </w:r>
      <w:r w:rsidRPr="00236842">
        <w:rPr>
          <w:b/>
          <w:spacing w:val="-15"/>
        </w:rPr>
        <w:t xml:space="preserve"> </w:t>
      </w:r>
      <w:r w:rsidRPr="00236842">
        <w:rPr>
          <w:b/>
        </w:rPr>
        <w:t>la</w:t>
      </w:r>
      <w:r w:rsidRPr="00236842">
        <w:rPr>
          <w:b/>
          <w:spacing w:val="-15"/>
        </w:rPr>
        <w:t xml:space="preserve"> </w:t>
      </w:r>
      <w:r w:rsidRPr="00236842">
        <w:rPr>
          <w:b/>
        </w:rPr>
        <w:t>no</w:t>
      </w:r>
      <w:r w:rsidRPr="00236842">
        <w:rPr>
          <w:b/>
          <w:spacing w:val="-15"/>
        </w:rPr>
        <w:t xml:space="preserve"> </w:t>
      </w:r>
      <w:r w:rsidRPr="00236842">
        <w:rPr>
          <w:b/>
        </w:rPr>
        <w:t>repetición</w:t>
      </w:r>
      <w:r>
        <w:t>.</w:t>
      </w:r>
      <w:r w:rsidRPr="00236842">
        <w:rPr>
          <w:spacing w:val="-15"/>
        </w:rPr>
        <w:t xml:space="preserve"> </w:t>
      </w:r>
      <w:r>
        <w:t>Esta</w:t>
      </w:r>
      <w:r w:rsidRPr="00236842">
        <w:rPr>
          <w:spacing w:val="-15"/>
        </w:rPr>
        <w:t xml:space="preserve"> </w:t>
      </w:r>
      <w:r>
        <w:t>debe</w:t>
      </w:r>
      <w:r w:rsidRPr="00236842">
        <w:rPr>
          <w:spacing w:val="-15"/>
        </w:rPr>
        <w:t xml:space="preserve"> </w:t>
      </w:r>
      <w:r>
        <w:t>construirse con un enfoque diferencial y territorial que contribuya a superar el trauma individual y colectivo</w:t>
      </w:r>
      <w:r w:rsidRPr="00236842">
        <w:rPr>
          <w:spacing w:val="-5"/>
        </w:rPr>
        <w:t xml:space="preserve"> </w:t>
      </w:r>
      <w:r>
        <w:t>y</w:t>
      </w:r>
      <w:r w:rsidRPr="00236842">
        <w:rPr>
          <w:spacing w:val="-5"/>
        </w:rPr>
        <w:t xml:space="preserve"> </w:t>
      </w:r>
      <w:r>
        <w:t>a</w:t>
      </w:r>
      <w:r w:rsidRPr="00236842">
        <w:rPr>
          <w:spacing w:val="-6"/>
        </w:rPr>
        <w:t xml:space="preserve"> </w:t>
      </w:r>
      <w:r>
        <w:t>enfrentar</w:t>
      </w:r>
      <w:r w:rsidRPr="00236842">
        <w:rPr>
          <w:spacing w:val="-6"/>
        </w:rPr>
        <w:t xml:space="preserve"> </w:t>
      </w:r>
      <w:r>
        <w:t>la</w:t>
      </w:r>
      <w:r w:rsidRPr="00236842">
        <w:rPr>
          <w:spacing w:val="-6"/>
        </w:rPr>
        <w:t xml:space="preserve"> </w:t>
      </w:r>
      <w:r>
        <w:t>estigmatización</w:t>
      </w:r>
      <w:r w:rsidRPr="00236842">
        <w:rPr>
          <w:spacing w:val="-5"/>
        </w:rPr>
        <w:t xml:space="preserve"> </w:t>
      </w:r>
      <w:r>
        <w:t>y</w:t>
      </w:r>
      <w:r w:rsidRPr="00236842">
        <w:rPr>
          <w:spacing w:val="-5"/>
        </w:rPr>
        <w:t xml:space="preserve"> </w:t>
      </w:r>
      <w:r>
        <w:t>el</w:t>
      </w:r>
      <w:r w:rsidRPr="00236842">
        <w:rPr>
          <w:spacing w:val="-4"/>
        </w:rPr>
        <w:t xml:space="preserve"> </w:t>
      </w:r>
      <w:r>
        <w:t>negacionismo.</w:t>
      </w:r>
      <w:r w:rsidRPr="00236842">
        <w:rPr>
          <w:spacing w:val="-5"/>
        </w:rPr>
        <w:t xml:space="preserve"> </w:t>
      </w:r>
      <w:r>
        <w:t>Esta</w:t>
      </w:r>
      <w:r w:rsidRPr="00236842">
        <w:rPr>
          <w:spacing w:val="-5"/>
        </w:rPr>
        <w:t xml:space="preserve"> </w:t>
      </w:r>
      <w:r>
        <w:t>política</w:t>
      </w:r>
      <w:r w:rsidRPr="00236842">
        <w:rPr>
          <w:spacing w:val="-5"/>
        </w:rPr>
        <w:t xml:space="preserve"> </w:t>
      </w:r>
      <w:r>
        <w:t>debe</w:t>
      </w:r>
      <w:r w:rsidRPr="00236842">
        <w:rPr>
          <w:spacing w:val="-5"/>
        </w:rPr>
        <w:t xml:space="preserve"> </w:t>
      </w:r>
      <w:r>
        <w:t>incluir,</w:t>
      </w:r>
      <w:r w:rsidRPr="00236842">
        <w:rPr>
          <w:spacing w:val="-7"/>
        </w:rPr>
        <w:t xml:space="preserve"> </w:t>
      </w:r>
      <w:r>
        <w:t>entre otras acciones:</w:t>
      </w:r>
    </w:p>
    <w:p w:rsidR="003804AC" w:rsidRPr="00DE62B1" w:rsidRDefault="00AF18A5" w:rsidP="004A6EF4">
      <w:pPr>
        <w:pStyle w:val="Prrafodelista"/>
        <w:numPr>
          <w:ilvl w:val="0"/>
          <w:numId w:val="37"/>
        </w:numPr>
        <w:rPr>
          <w:rFonts w:ascii="Calibri" w:hAnsi="Calibri"/>
        </w:rPr>
      </w:pPr>
      <w:r>
        <w:t>Medidas para garantizar la preservación, financiación, construcción y fortalecimiento</w:t>
      </w:r>
      <w:r w:rsidRPr="00DE62B1">
        <w:rPr>
          <w:spacing w:val="2"/>
        </w:rPr>
        <w:t xml:space="preserve"> </w:t>
      </w:r>
      <w:r>
        <w:t>de</w:t>
      </w:r>
      <w:r w:rsidRPr="00DE62B1">
        <w:rPr>
          <w:spacing w:val="4"/>
        </w:rPr>
        <w:t xml:space="preserve"> </w:t>
      </w:r>
      <w:r>
        <w:t>los</w:t>
      </w:r>
      <w:r w:rsidRPr="00DE62B1">
        <w:rPr>
          <w:spacing w:val="4"/>
        </w:rPr>
        <w:t xml:space="preserve"> </w:t>
      </w:r>
      <w:r w:rsidRPr="00DE62B1">
        <w:rPr>
          <w:b/>
        </w:rPr>
        <w:t>lugares</w:t>
      </w:r>
      <w:r w:rsidRPr="00DE62B1">
        <w:rPr>
          <w:b/>
          <w:spacing w:val="5"/>
        </w:rPr>
        <w:t xml:space="preserve"> </w:t>
      </w:r>
      <w:r w:rsidRPr="00DE62B1">
        <w:rPr>
          <w:b/>
        </w:rPr>
        <w:t>e</w:t>
      </w:r>
      <w:r w:rsidRPr="00DE62B1">
        <w:rPr>
          <w:b/>
          <w:spacing w:val="4"/>
        </w:rPr>
        <w:t xml:space="preserve"> </w:t>
      </w:r>
      <w:r w:rsidRPr="00DE62B1">
        <w:rPr>
          <w:b/>
        </w:rPr>
        <w:t>iniciativas</w:t>
      </w:r>
      <w:r w:rsidRPr="00DE62B1">
        <w:rPr>
          <w:b/>
          <w:spacing w:val="5"/>
        </w:rPr>
        <w:t xml:space="preserve"> </w:t>
      </w:r>
      <w:r w:rsidRPr="00DE62B1">
        <w:rPr>
          <w:b/>
        </w:rPr>
        <w:t>de</w:t>
      </w:r>
      <w:r w:rsidRPr="00DE62B1">
        <w:rPr>
          <w:b/>
          <w:spacing w:val="4"/>
        </w:rPr>
        <w:t xml:space="preserve"> </w:t>
      </w:r>
      <w:r w:rsidRPr="00DE62B1">
        <w:rPr>
          <w:b/>
        </w:rPr>
        <w:t>memoria</w:t>
      </w:r>
      <w:r w:rsidRPr="00DE62B1">
        <w:rPr>
          <w:b/>
          <w:spacing w:val="3"/>
        </w:rPr>
        <w:t xml:space="preserve"> </w:t>
      </w:r>
      <w:r>
        <w:t>y</w:t>
      </w:r>
      <w:r w:rsidRPr="00DE62B1">
        <w:rPr>
          <w:spacing w:val="5"/>
        </w:rPr>
        <w:t xml:space="preserve"> </w:t>
      </w:r>
      <w:r>
        <w:t>la</w:t>
      </w:r>
      <w:r w:rsidRPr="00DE62B1">
        <w:rPr>
          <w:spacing w:val="4"/>
        </w:rPr>
        <w:t xml:space="preserve"> </w:t>
      </w:r>
      <w:r>
        <w:lastRenderedPageBreak/>
        <w:t>declaración</w:t>
      </w:r>
      <w:r w:rsidRPr="00DE62B1">
        <w:rPr>
          <w:spacing w:val="2"/>
        </w:rPr>
        <w:t xml:space="preserve"> </w:t>
      </w:r>
      <w:r>
        <w:t>de</w:t>
      </w:r>
      <w:r w:rsidRPr="00DE62B1">
        <w:rPr>
          <w:spacing w:val="5"/>
        </w:rPr>
        <w:t xml:space="preserve"> </w:t>
      </w:r>
      <w:r w:rsidRPr="00DE62B1">
        <w:rPr>
          <w:spacing w:val="-2"/>
        </w:rPr>
        <w:t>nuevos</w:t>
      </w:r>
      <w:r w:rsidR="00DE62B1">
        <w:rPr>
          <w:spacing w:val="-2"/>
        </w:rPr>
        <w:t xml:space="preserve"> </w:t>
      </w:r>
      <w:r>
        <w:t>lugares,</w:t>
      </w:r>
      <w:r w:rsidRPr="00DE62B1">
        <w:rPr>
          <w:spacing w:val="-15"/>
        </w:rPr>
        <w:t xml:space="preserve"> </w:t>
      </w:r>
      <w:r>
        <w:t>especialmente</w:t>
      </w:r>
      <w:r w:rsidRPr="00DE62B1">
        <w:rPr>
          <w:spacing w:val="-14"/>
        </w:rPr>
        <w:t xml:space="preserve"> </w:t>
      </w:r>
      <w:r>
        <w:t>en</w:t>
      </w:r>
      <w:r w:rsidRPr="00DE62B1">
        <w:rPr>
          <w:spacing w:val="-14"/>
        </w:rPr>
        <w:t xml:space="preserve"> </w:t>
      </w:r>
      <w:r>
        <w:t>sitios</w:t>
      </w:r>
      <w:r w:rsidRPr="00DE62B1">
        <w:rPr>
          <w:spacing w:val="-14"/>
        </w:rPr>
        <w:t xml:space="preserve"> </w:t>
      </w:r>
      <w:r>
        <w:t>donde</w:t>
      </w:r>
      <w:r w:rsidRPr="00DE62B1">
        <w:rPr>
          <w:spacing w:val="-14"/>
        </w:rPr>
        <w:t xml:space="preserve"> </w:t>
      </w:r>
      <w:r>
        <w:t>hayan</w:t>
      </w:r>
      <w:r w:rsidRPr="00DE62B1">
        <w:rPr>
          <w:spacing w:val="-14"/>
        </w:rPr>
        <w:t xml:space="preserve"> </w:t>
      </w:r>
      <w:r>
        <w:t>ocurrido</w:t>
      </w:r>
      <w:r w:rsidRPr="00DE62B1">
        <w:rPr>
          <w:spacing w:val="-14"/>
        </w:rPr>
        <w:t xml:space="preserve"> </w:t>
      </w:r>
      <w:r>
        <w:t>graves</w:t>
      </w:r>
      <w:r w:rsidRPr="00DE62B1">
        <w:rPr>
          <w:spacing w:val="-15"/>
        </w:rPr>
        <w:t xml:space="preserve"> </w:t>
      </w:r>
      <w:r>
        <w:t>violaciones</w:t>
      </w:r>
      <w:r w:rsidRPr="00DE62B1">
        <w:rPr>
          <w:spacing w:val="-15"/>
        </w:rPr>
        <w:t xml:space="preserve"> </w:t>
      </w:r>
      <w:r>
        <w:t>de</w:t>
      </w:r>
      <w:r w:rsidRPr="00DE62B1">
        <w:rPr>
          <w:spacing w:val="-14"/>
        </w:rPr>
        <w:t xml:space="preserve"> </w:t>
      </w:r>
      <w:r>
        <w:t>derechos humanos e infracciones al derecho internacional humanitario</w:t>
      </w:r>
      <w:r w:rsidR="008A2C80">
        <w:rPr>
          <w:rStyle w:val="Refdenotaalpie"/>
        </w:rPr>
        <w:footnoteReference w:id="1210"/>
      </w:r>
      <w:r>
        <w:t>.</w:t>
      </w:r>
    </w:p>
    <w:p w:rsidR="003804AC" w:rsidRDefault="00AF18A5" w:rsidP="004A6EF4">
      <w:pPr>
        <w:pStyle w:val="Prrafodelista"/>
        <w:numPr>
          <w:ilvl w:val="0"/>
          <w:numId w:val="37"/>
        </w:numPr>
      </w:pPr>
      <w:r>
        <w:t xml:space="preserve">La creación y reglamentación del </w:t>
      </w:r>
      <w:r w:rsidRPr="008A2C80">
        <w:rPr>
          <w:b/>
        </w:rPr>
        <w:t xml:space="preserve">Museo de Memoria de Colombia </w:t>
      </w:r>
      <w:r>
        <w:t>como una</w:t>
      </w:r>
      <w:r w:rsidRPr="008A2C80">
        <w:rPr>
          <w:spacing w:val="-4"/>
        </w:rPr>
        <w:t xml:space="preserve"> </w:t>
      </w:r>
      <w:r>
        <w:t>entidad</w:t>
      </w:r>
      <w:r w:rsidRPr="008A2C80">
        <w:rPr>
          <w:spacing w:val="-6"/>
        </w:rPr>
        <w:t xml:space="preserve"> </w:t>
      </w:r>
      <w:r>
        <w:t>pública</w:t>
      </w:r>
      <w:r w:rsidRPr="008A2C80">
        <w:rPr>
          <w:spacing w:val="-5"/>
        </w:rPr>
        <w:t xml:space="preserve"> </w:t>
      </w:r>
      <w:r>
        <w:t>de</w:t>
      </w:r>
      <w:r w:rsidRPr="008A2C80">
        <w:rPr>
          <w:spacing w:val="-5"/>
        </w:rPr>
        <w:t xml:space="preserve"> </w:t>
      </w:r>
      <w:r>
        <w:t>carácter</w:t>
      </w:r>
      <w:r w:rsidRPr="008A2C80">
        <w:rPr>
          <w:spacing w:val="-5"/>
        </w:rPr>
        <w:t xml:space="preserve"> </w:t>
      </w:r>
      <w:r>
        <w:t>permanente</w:t>
      </w:r>
      <w:r w:rsidRPr="008A2C80">
        <w:rPr>
          <w:spacing w:val="-5"/>
        </w:rPr>
        <w:t xml:space="preserve"> </w:t>
      </w:r>
      <w:r>
        <w:t>autónoma</w:t>
      </w:r>
      <w:r w:rsidRPr="008A2C80">
        <w:rPr>
          <w:spacing w:val="-4"/>
        </w:rPr>
        <w:t xml:space="preserve"> </w:t>
      </w:r>
      <w:r>
        <w:t>e</w:t>
      </w:r>
      <w:r w:rsidRPr="008A2C80">
        <w:rPr>
          <w:spacing w:val="-5"/>
        </w:rPr>
        <w:t xml:space="preserve"> </w:t>
      </w:r>
      <w:r>
        <w:t>independiente,</w:t>
      </w:r>
      <w:r w:rsidRPr="008A2C80">
        <w:rPr>
          <w:spacing w:val="-4"/>
        </w:rPr>
        <w:t xml:space="preserve"> </w:t>
      </w:r>
      <w:r>
        <w:t>encargada</w:t>
      </w:r>
      <w:r w:rsidRPr="008A2C80">
        <w:rPr>
          <w:spacing w:val="-5"/>
        </w:rPr>
        <w:t xml:space="preserve"> </w:t>
      </w:r>
      <w:r>
        <w:t>de construir, preservar, apropiar y difundir las memorias del conflicto y de los afrontamientos y resistencias desde una perspectiva plural</w:t>
      </w:r>
      <w:r w:rsidR="008A2C80">
        <w:rPr>
          <w:rStyle w:val="Refdenotaalpie"/>
        </w:rPr>
        <w:footnoteReference w:id="1211"/>
      </w:r>
      <w:r>
        <w:t>. Esto implica, como mínimo, contar con un mecanismo de selección del director/a que no dependa exclusivamente del Gobierno</w:t>
      </w:r>
      <w:r w:rsidR="008A2C80">
        <w:rPr>
          <w:rStyle w:val="Refdenotaalpie"/>
        </w:rPr>
        <w:footnoteReference w:id="1212"/>
      </w:r>
      <w:r>
        <w:t>.</w:t>
      </w:r>
    </w:p>
    <w:p w:rsidR="003804AC" w:rsidRDefault="00AF18A5" w:rsidP="004A6EF4">
      <w:pPr>
        <w:pStyle w:val="Prrafodelista"/>
        <w:numPr>
          <w:ilvl w:val="0"/>
          <w:numId w:val="37"/>
        </w:numPr>
      </w:pPr>
      <w:r>
        <w:t xml:space="preserve">Medidas específicas para la construcción, preservación y apropiación de la </w:t>
      </w:r>
      <w:r w:rsidRPr="008A2C80">
        <w:rPr>
          <w:b/>
        </w:rPr>
        <w:t xml:space="preserve">memoria de los pueblos indígenas, afro, negro, palenquero, raizal y </w:t>
      </w:r>
      <w:proofErr w:type="spellStart"/>
      <w:r w:rsidRPr="008A2C80">
        <w:rPr>
          <w:b/>
        </w:rPr>
        <w:t>rrom</w:t>
      </w:r>
      <w:proofErr w:type="spellEnd"/>
      <w:r w:rsidRPr="008A2C80">
        <w:rPr>
          <w:b/>
        </w:rPr>
        <w:t xml:space="preserve"> </w:t>
      </w:r>
      <w:r>
        <w:t>concertadas con las comunidades.</w:t>
      </w:r>
    </w:p>
    <w:p w:rsidR="003804AC" w:rsidRDefault="00AF18A5" w:rsidP="004A6EF4">
      <w:pPr>
        <w:pStyle w:val="Prrafodelista"/>
        <w:numPr>
          <w:ilvl w:val="0"/>
          <w:numId w:val="37"/>
        </w:numPr>
      </w:pPr>
      <w:r>
        <w:t xml:space="preserve">Medidas para fortalecer el proceso del </w:t>
      </w:r>
      <w:r w:rsidRPr="008A2C80">
        <w:rPr>
          <w:b/>
        </w:rPr>
        <w:t>mapa de victimización individual y colectivo</w:t>
      </w:r>
      <w:r w:rsidR="008A2C80">
        <w:rPr>
          <w:rStyle w:val="Refdenotaalpie"/>
          <w:b/>
        </w:rPr>
        <w:footnoteReference w:id="1213"/>
      </w:r>
      <w:r>
        <w:t>, para el reconocimiento y memoria del universo de víctimas del conflicto</w:t>
      </w:r>
      <w:r w:rsidRPr="008A2C80">
        <w:rPr>
          <w:spacing w:val="-12"/>
        </w:rPr>
        <w:t xml:space="preserve"> </w:t>
      </w:r>
      <w:r>
        <w:t>armado</w:t>
      </w:r>
      <w:r w:rsidRPr="008A2C80">
        <w:rPr>
          <w:spacing w:val="-12"/>
        </w:rPr>
        <w:t xml:space="preserve"> </w:t>
      </w:r>
      <w:r>
        <w:t>con</w:t>
      </w:r>
      <w:r w:rsidRPr="008A2C80">
        <w:rPr>
          <w:spacing w:val="-12"/>
        </w:rPr>
        <w:t xml:space="preserve"> </w:t>
      </w:r>
      <w:r>
        <w:t>énfasis</w:t>
      </w:r>
      <w:r w:rsidRPr="008A2C80">
        <w:rPr>
          <w:spacing w:val="-12"/>
        </w:rPr>
        <w:t xml:space="preserve"> </w:t>
      </w:r>
      <w:r>
        <w:t>en</w:t>
      </w:r>
      <w:r w:rsidRPr="008A2C80">
        <w:rPr>
          <w:spacing w:val="-12"/>
        </w:rPr>
        <w:t xml:space="preserve"> </w:t>
      </w:r>
      <w:r>
        <w:t>la</w:t>
      </w:r>
      <w:r w:rsidRPr="008A2C80">
        <w:rPr>
          <w:spacing w:val="-12"/>
        </w:rPr>
        <w:t xml:space="preserve"> </w:t>
      </w:r>
      <w:r>
        <w:t>identificación</w:t>
      </w:r>
      <w:r w:rsidRPr="008A2C80">
        <w:rPr>
          <w:spacing w:val="-12"/>
        </w:rPr>
        <w:t xml:space="preserve"> </w:t>
      </w:r>
      <w:r>
        <w:t>de</w:t>
      </w:r>
      <w:r w:rsidRPr="008A2C80">
        <w:rPr>
          <w:spacing w:val="-12"/>
        </w:rPr>
        <w:t xml:space="preserve"> </w:t>
      </w:r>
      <w:r>
        <w:t>víctimas</w:t>
      </w:r>
      <w:r w:rsidRPr="008A2C80">
        <w:rPr>
          <w:spacing w:val="-12"/>
        </w:rPr>
        <w:t xml:space="preserve"> </w:t>
      </w:r>
      <w:r>
        <w:t>con</w:t>
      </w:r>
      <w:r w:rsidRPr="008A2C80">
        <w:rPr>
          <w:spacing w:val="-12"/>
        </w:rPr>
        <w:t xml:space="preserve"> </w:t>
      </w:r>
      <w:r>
        <w:t>discapacidad,</w:t>
      </w:r>
      <w:r w:rsidRPr="008A2C80">
        <w:rPr>
          <w:spacing w:val="-12"/>
        </w:rPr>
        <w:t xml:space="preserve"> </w:t>
      </w:r>
      <w:r>
        <w:t>de</w:t>
      </w:r>
      <w:r w:rsidRPr="008A2C80">
        <w:rPr>
          <w:spacing w:val="-12"/>
        </w:rPr>
        <w:t xml:space="preserve"> </w:t>
      </w:r>
      <w:r>
        <w:t xml:space="preserve">los pueblos étnicos, en el exilio, huérfanos y huérfanas del conflicto armado interno y, en general, aquellas de hechos </w:t>
      </w:r>
      <w:proofErr w:type="spellStart"/>
      <w:r>
        <w:t>victimizantes</w:t>
      </w:r>
      <w:proofErr w:type="spellEnd"/>
      <w:r>
        <w:t xml:space="preserve"> no incluidos en la Ley de Víctimas.</w:t>
      </w:r>
    </w:p>
    <w:p w:rsidR="003804AC" w:rsidRDefault="00AF18A5" w:rsidP="004A6EF4">
      <w:pPr>
        <w:pStyle w:val="Prrafodelista"/>
        <w:numPr>
          <w:ilvl w:val="0"/>
          <w:numId w:val="37"/>
        </w:numPr>
      </w:pPr>
      <w:r>
        <w:lastRenderedPageBreak/>
        <w:t xml:space="preserve">Un plan de actualización constante de las principales </w:t>
      </w:r>
      <w:r w:rsidRPr="008A2C80">
        <w:rPr>
          <w:b/>
        </w:rPr>
        <w:t>bases de datos sobre las</w:t>
      </w:r>
      <w:r w:rsidRPr="008A2C80">
        <w:rPr>
          <w:b/>
          <w:spacing w:val="-15"/>
        </w:rPr>
        <w:t xml:space="preserve"> </w:t>
      </w:r>
      <w:r w:rsidRPr="008A2C80">
        <w:rPr>
          <w:b/>
        </w:rPr>
        <w:t>víctimas</w:t>
      </w:r>
      <w:r w:rsidRPr="008A2C80">
        <w:rPr>
          <w:b/>
          <w:spacing w:val="-15"/>
        </w:rPr>
        <w:t xml:space="preserve"> </w:t>
      </w:r>
      <w:r w:rsidRPr="008A2C80">
        <w:rPr>
          <w:b/>
        </w:rPr>
        <w:t>del</w:t>
      </w:r>
      <w:r w:rsidRPr="008A2C80">
        <w:rPr>
          <w:b/>
          <w:spacing w:val="-14"/>
        </w:rPr>
        <w:t xml:space="preserve"> </w:t>
      </w:r>
      <w:r w:rsidRPr="008A2C80">
        <w:rPr>
          <w:b/>
        </w:rPr>
        <w:t>conflicto</w:t>
      </w:r>
      <w:r w:rsidRPr="008A2C80">
        <w:rPr>
          <w:b/>
          <w:spacing w:val="-14"/>
        </w:rPr>
        <w:t xml:space="preserve"> </w:t>
      </w:r>
      <w:r w:rsidRPr="008A2C80">
        <w:rPr>
          <w:b/>
        </w:rPr>
        <w:t>armado,</w:t>
      </w:r>
      <w:r w:rsidRPr="008A2C80">
        <w:rPr>
          <w:b/>
          <w:spacing w:val="-14"/>
        </w:rPr>
        <w:t xml:space="preserve"> </w:t>
      </w:r>
      <w:r>
        <w:t>que</w:t>
      </w:r>
      <w:r w:rsidRPr="008A2C80">
        <w:rPr>
          <w:spacing w:val="-14"/>
        </w:rPr>
        <w:t xml:space="preserve"> </w:t>
      </w:r>
      <w:r>
        <w:t>de</w:t>
      </w:r>
      <w:r w:rsidRPr="008A2C80">
        <w:rPr>
          <w:spacing w:val="-14"/>
        </w:rPr>
        <w:t xml:space="preserve"> </w:t>
      </w:r>
      <w:r>
        <w:t>forma</w:t>
      </w:r>
      <w:r w:rsidRPr="008A2C80">
        <w:rPr>
          <w:spacing w:val="-15"/>
        </w:rPr>
        <w:t xml:space="preserve"> </w:t>
      </w:r>
      <w:r>
        <w:t>respetuosa</w:t>
      </w:r>
      <w:r w:rsidRPr="008A2C80">
        <w:rPr>
          <w:spacing w:val="-14"/>
        </w:rPr>
        <w:t xml:space="preserve"> </w:t>
      </w:r>
      <w:r>
        <w:t>y</w:t>
      </w:r>
      <w:r w:rsidRPr="008A2C80">
        <w:rPr>
          <w:spacing w:val="-15"/>
        </w:rPr>
        <w:t xml:space="preserve"> </w:t>
      </w:r>
      <w:r>
        <w:t>sin</w:t>
      </w:r>
      <w:r w:rsidRPr="008A2C80">
        <w:rPr>
          <w:spacing w:val="-14"/>
        </w:rPr>
        <w:t xml:space="preserve"> </w:t>
      </w:r>
      <w:r>
        <w:t>revictimizar,</w:t>
      </w:r>
      <w:r w:rsidRPr="008A2C80">
        <w:rPr>
          <w:spacing w:val="-15"/>
        </w:rPr>
        <w:t xml:space="preserve"> </w:t>
      </w:r>
      <w:r>
        <w:t>pueda mejorar</w:t>
      </w:r>
      <w:r w:rsidRPr="008A2C80">
        <w:rPr>
          <w:spacing w:val="-11"/>
        </w:rPr>
        <w:t xml:space="preserve"> </w:t>
      </w:r>
      <w:r>
        <w:t>su</w:t>
      </w:r>
      <w:r w:rsidRPr="008A2C80">
        <w:rPr>
          <w:spacing w:val="-11"/>
        </w:rPr>
        <w:t xml:space="preserve"> </w:t>
      </w:r>
      <w:r>
        <w:t>caracterización</w:t>
      </w:r>
      <w:r w:rsidRPr="008A2C80">
        <w:rPr>
          <w:spacing w:val="-10"/>
        </w:rPr>
        <w:t xml:space="preserve"> </w:t>
      </w:r>
      <w:r>
        <w:t>en</w:t>
      </w:r>
      <w:r w:rsidRPr="008A2C80">
        <w:rPr>
          <w:spacing w:val="-10"/>
        </w:rPr>
        <w:t xml:space="preserve"> </w:t>
      </w:r>
      <w:r>
        <w:t>cuanto</w:t>
      </w:r>
      <w:r w:rsidRPr="008A2C80">
        <w:rPr>
          <w:spacing w:val="-12"/>
        </w:rPr>
        <w:t xml:space="preserve"> </w:t>
      </w:r>
      <w:r>
        <w:t>a</w:t>
      </w:r>
      <w:r w:rsidRPr="008A2C80">
        <w:rPr>
          <w:spacing w:val="-10"/>
        </w:rPr>
        <w:t xml:space="preserve"> </w:t>
      </w:r>
      <w:r>
        <w:t>pertenencia</w:t>
      </w:r>
      <w:r w:rsidRPr="008A2C80">
        <w:rPr>
          <w:spacing w:val="-10"/>
        </w:rPr>
        <w:t xml:space="preserve"> </w:t>
      </w:r>
      <w:r>
        <w:t>a</w:t>
      </w:r>
      <w:r w:rsidRPr="008A2C80">
        <w:rPr>
          <w:spacing w:val="-10"/>
        </w:rPr>
        <w:t xml:space="preserve"> </w:t>
      </w:r>
      <w:r>
        <w:t>pueblos</w:t>
      </w:r>
      <w:r w:rsidRPr="008A2C80">
        <w:rPr>
          <w:spacing w:val="-12"/>
        </w:rPr>
        <w:t xml:space="preserve"> </w:t>
      </w:r>
      <w:r>
        <w:t>étnicos,</w:t>
      </w:r>
      <w:r w:rsidRPr="008A2C80">
        <w:rPr>
          <w:spacing w:val="-12"/>
        </w:rPr>
        <w:t xml:space="preserve"> </w:t>
      </w:r>
      <w:r>
        <w:t>discapacidades, orientación</w:t>
      </w:r>
      <w:r w:rsidRPr="008A2C80">
        <w:rPr>
          <w:spacing w:val="52"/>
        </w:rPr>
        <w:t xml:space="preserve"> </w:t>
      </w:r>
      <w:r>
        <w:t>sexual,</w:t>
      </w:r>
      <w:r w:rsidRPr="008A2C80">
        <w:rPr>
          <w:spacing w:val="53"/>
        </w:rPr>
        <w:t xml:space="preserve"> </w:t>
      </w:r>
      <w:r>
        <w:t>identidad</w:t>
      </w:r>
      <w:r w:rsidRPr="008A2C80">
        <w:rPr>
          <w:spacing w:val="54"/>
        </w:rPr>
        <w:t xml:space="preserve"> </w:t>
      </w:r>
      <w:r>
        <w:t>de</w:t>
      </w:r>
      <w:r w:rsidRPr="008A2C80">
        <w:rPr>
          <w:spacing w:val="53"/>
        </w:rPr>
        <w:t xml:space="preserve"> </w:t>
      </w:r>
      <w:r>
        <w:t>género,</w:t>
      </w:r>
      <w:r w:rsidRPr="008A2C80">
        <w:rPr>
          <w:spacing w:val="54"/>
        </w:rPr>
        <w:t xml:space="preserve"> </w:t>
      </w:r>
      <w:r>
        <w:t>situación</w:t>
      </w:r>
      <w:r w:rsidRPr="008A2C80">
        <w:rPr>
          <w:spacing w:val="54"/>
        </w:rPr>
        <w:t xml:space="preserve"> </w:t>
      </w:r>
      <w:r>
        <w:t>de</w:t>
      </w:r>
      <w:r w:rsidRPr="008A2C80">
        <w:rPr>
          <w:spacing w:val="54"/>
        </w:rPr>
        <w:t xml:space="preserve"> </w:t>
      </w:r>
      <w:r>
        <w:t>orfandad</w:t>
      </w:r>
      <w:r w:rsidRPr="008A2C80">
        <w:rPr>
          <w:spacing w:val="53"/>
        </w:rPr>
        <w:t xml:space="preserve"> </w:t>
      </w:r>
      <w:r>
        <w:t>y</w:t>
      </w:r>
      <w:r w:rsidRPr="008A2C80">
        <w:rPr>
          <w:spacing w:val="54"/>
        </w:rPr>
        <w:t xml:space="preserve"> </w:t>
      </w:r>
      <w:r>
        <w:t>avances</w:t>
      </w:r>
      <w:r w:rsidRPr="008A2C80">
        <w:rPr>
          <w:spacing w:val="54"/>
        </w:rPr>
        <w:t xml:space="preserve"> </w:t>
      </w:r>
      <w:r>
        <w:t>en</w:t>
      </w:r>
      <w:r w:rsidRPr="008A2C80">
        <w:rPr>
          <w:spacing w:val="54"/>
        </w:rPr>
        <w:t xml:space="preserve"> </w:t>
      </w:r>
      <w:r w:rsidRPr="008A2C80">
        <w:rPr>
          <w:spacing w:val="-5"/>
        </w:rPr>
        <w:t>su</w:t>
      </w:r>
      <w:r w:rsidR="008A2C80">
        <w:rPr>
          <w:spacing w:val="-5"/>
        </w:rPr>
        <w:t xml:space="preserve"> </w:t>
      </w:r>
      <w:r>
        <w:t xml:space="preserve">reparación integral. Adicionalmente, consolidar una base de datos sobre víctimas de violaciones de DDHH e infracciones al DIH, que contenga, en los posible, una mínima narración de los hechos, al menos, en cuanto el modo, tiempo, lugar y presunto responsable sobre la base del legado que en este sentido entrega la </w:t>
      </w:r>
      <w:r w:rsidRPr="008A2C80">
        <w:rPr>
          <w:spacing w:val="-2"/>
        </w:rPr>
        <w:t>Comisión.</w:t>
      </w:r>
      <w:r w:rsidR="008A2C80">
        <w:rPr>
          <w:rStyle w:val="Refdenotaalpie"/>
          <w:spacing w:val="-2"/>
        </w:rPr>
        <w:footnoteReference w:id="1214"/>
      </w:r>
      <w:r w:rsidRPr="008A2C80">
        <w:rPr>
          <w:spacing w:val="-2"/>
        </w:rPr>
        <w:t>.</w:t>
      </w:r>
    </w:p>
    <w:p w:rsidR="0011361F" w:rsidRDefault="00AF18A5" w:rsidP="008A2C80">
      <w:r>
        <w:t>Corto</w:t>
      </w:r>
      <w:r>
        <w:rPr>
          <w:spacing w:val="-1"/>
        </w:rPr>
        <w:t xml:space="preserve"> </w:t>
      </w:r>
      <w:r>
        <w:rPr>
          <w:spacing w:val="-2"/>
        </w:rPr>
        <w:t>plazo</w:t>
      </w:r>
    </w:p>
    <w:p w:rsidR="003804AC" w:rsidRDefault="00AF18A5" w:rsidP="004A6EF4">
      <w:pPr>
        <w:pStyle w:val="Prrafodelista"/>
        <w:numPr>
          <w:ilvl w:val="0"/>
          <w:numId w:val="31"/>
        </w:numPr>
      </w:pPr>
      <w:r>
        <w:t>Al Gobierno Nacional y al Congreso de la República, asignar al Museo de Memoria de Colombia o a una institución con autonomía e independencia a que lidere la política pública</w:t>
      </w:r>
      <w:r w:rsidRPr="008A2C80">
        <w:rPr>
          <w:spacing w:val="-5"/>
        </w:rPr>
        <w:t xml:space="preserve"> </w:t>
      </w:r>
      <w:r>
        <w:t>de</w:t>
      </w:r>
      <w:r w:rsidRPr="008A2C80">
        <w:rPr>
          <w:spacing w:val="-5"/>
        </w:rPr>
        <w:t xml:space="preserve"> </w:t>
      </w:r>
      <w:r w:rsidRPr="008A2C80">
        <w:rPr>
          <w:b/>
        </w:rPr>
        <w:t>archivos</w:t>
      </w:r>
      <w:r w:rsidRPr="008A2C80">
        <w:rPr>
          <w:b/>
          <w:spacing w:val="-5"/>
        </w:rPr>
        <w:t xml:space="preserve"> </w:t>
      </w:r>
      <w:r w:rsidRPr="008A2C80">
        <w:rPr>
          <w:b/>
        </w:rPr>
        <w:t>de</w:t>
      </w:r>
      <w:r w:rsidRPr="008A2C80">
        <w:rPr>
          <w:b/>
          <w:spacing w:val="-6"/>
        </w:rPr>
        <w:t xml:space="preserve"> </w:t>
      </w:r>
      <w:r w:rsidRPr="008A2C80">
        <w:rPr>
          <w:b/>
        </w:rPr>
        <w:t>derechos</w:t>
      </w:r>
      <w:r w:rsidRPr="008A2C80">
        <w:rPr>
          <w:b/>
          <w:spacing w:val="-5"/>
        </w:rPr>
        <w:t xml:space="preserve"> </w:t>
      </w:r>
      <w:r w:rsidRPr="008A2C80">
        <w:rPr>
          <w:b/>
        </w:rPr>
        <w:t>humanos</w:t>
      </w:r>
      <w:r w:rsidR="008A2C80">
        <w:rPr>
          <w:rStyle w:val="Refdenotaalpie"/>
          <w:b/>
        </w:rPr>
        <w:footnoteReference w:id="1215"/>
      </w:r>
      <w:r w:rsidRPr="008A2C80">
        <w:rPr>
          <w:spacing w:val="-4"/>
        </w:rPr>
        <w:t xml:space="preserve"> </w:t>
      </w:r>
      <w:r>
        <w:t>y</w:t>
      </w:r>
      <w:r w:rsidRPr="008A2C80">
        <w:rPr>
          <w:spacing w:val="-5"/>
        </w:rPr>
        <w:t xml:space="preserve"> </w:t>
      </w:r>
      <w:r>
        <w:t>el</w:t>
      </w:r>
      <w:r w:rsidRPr="008A2C80">
        <w:rPr>
          <w:spacing w:val="-4"/>
        </w:rPr>
        <w:t xml:space="preserve"> </w:t>
      </w:r>
      <w:r>
        <w:t>Protocolo</w:t>
      </w:r>
      <w:r w:rsidRPr="008A2C80">
        <w:rPr>
          <w:spacing w:val="-5"/>
        </w:rPr>
        <w:t xml:space="preserve"> </w:t>
      </w:r>
      <w:r>
        <w:t>de</w:t>
      </w:r>
      <w:r w:rsidRPr="008A2C80">
        <w:rPr>
          <w:spacing w:val="-5"/>
        </w:rPr>
        <w:t xml:space="preserve"> </w:t>
      </w:r>
      <w:r>
        <w:t>Gestión</w:t>
      </w:r>
      <w:r w:rsidRPr="008A2C80">
        <w:rPr>
          <w:spacing w:val="-5"/>
        </w:rPr>
        <w:t xml:space="preserve"> </w:t>
      </w:r>
      <w:r>
        <w:t>Documental</w:t>
      </w:r>
      <w:r w:rsidRPr="008A2C80">
        <w:rPr>
          <w:spacing w:val="-4"/>
        </w:rPr>
        <w:t xml:space="preserve"> </w:t>
      </w:r>
      <w:r>
        <w:t>de</w:t>
      </w:r>
      <w:r w:rsidRPr="008A2C80">
        <w:rPr>
          <w:spacing w:val="-5"/>
        </w:rPr>
        <w:t xml:space="preserve"> </w:t>
      </w:r>
      <w:r>
        <w:t>los Archivos referidos a graves violaciones a los DDHH e infracciones al DIH</w:t>
      </w:r>
      <w:r w:rsidR="008A2C80">
        <w:rPr>
          <w:rStyle w:val="Refdenotaalpie"/>
        </w:rPr>
        <w:footnoteReference w:id="1216"/>
      </w:r>
      <w:r>
        <w:t xml:space="preserve">, incluyendo la coordinación de la implementación del </w:t>
      </w:r>
      <w:r w:rsidRPr="008A2C80">
        <w:rPr>
          <w:b/>
        </w:rPr>
        <w:t>Registro Especial de Archivos de Derechos Humanos</w:t>
      </w:r>
      <w:r>
        <w:t xml:space="preserve">, para así fortalecer la protección, </w:t>
      </w:r>
      <w:r>
        <w:lastRenderedPageBreak/>
        <w:t xml:space="preserve">conformación, apropiación y uso social del </w:t>
      </w:r>
      <w:r w:rsidRPr="008A2C80">
        <w:rPr>
          <w:spacing w:val="-2"/>
        </w:rPr>
        <w:t>archivo</w:t>
      </w:r>
      <w:r w:rsidR="008A2C80">
        <w:rPr>
          <w:rStyle w:val="Refdenotaalpie"/>
          <w:spacing w:val="-2"/>
        </w:rPr>
        <w:footnoteReference w:id="1217"/>
      </w:r>
      <w:r w:rsidRPr="008A2C80">
        <w:rPr>
          <w:spacing w:val="-2"/>
        </w:rPr>
        <w:t>.</w:t>
      </w:r>
    </w:p>
    <w:p w:rsidR="0011361F" w:rsidRDefault="00AF18A5" w:rsidP="004A6EF4">
      <w:pPr>
        <w:pStyle w:val="Ttulo3"/>
        <w:numPr>
          <w:ilvl w:val="1"/>
          <w:numId w:val="28"/>
        </w:numPr>
      </w:pPr>
      <w:bookmarkStart w:id="1556" w:name="2.5._Desaparición_forzada"/>
      <w:bookmarkStart w:id="1557" w:name="_Toc112399691"/>
      <w:bookmarkEnd w:id="1556"/>
      <w:r w:rsidRPr="0066703C">
        <w:t>Desaparición</w:t>
      </w:r>
      <w:r>
        <w:rPr>
          <w:spacing w:val="-4"/>
        </w:rPr>
        <w:t xml:space="preserve"> </w:t>
      </w:r>
      <w:r>
        <w:rPr>
          <w:spacing w:val="-2"/>
        </w:rPr>
        <w:t>forzada</w:t>
      </w:r>
      <w:r w:rsidR="0066703C">
        <w:rPr>
          <w:spacing w:val="-2"/>
        </w:rPr>
        <w:t xml:space="preserve">. </w:t>
      </w:r>
      <w:r w:rsidRPr="0066703C">
        <w:t>Mediano</w:t>
      </w:r>
      <w:r w:rsidRPr="0066703C">
        <w:rPr>
          <w:spacing w:val="-3"/>
        </w:rPr>
        <w:t xml:space="preserve"> </w:t>
      </w:r>
      <w:r w:rsidRPr="0066703C">
        <w:rPr>
          <w:spacing w:val="-2"/>
        </w:rPr>
        <w:t>plazo</w:t>
      </w:r>
      <w:bookmarkEnd w:id="1557"/>
    </w:p>
    <w:p w:rsidR="003804AC" w:rsidRDefault="00AF18A5" w:rsidP="004A6EF4">
      <w:pPr>
        <w:pStyle w:val="Prrafodelista"/>
        <w:numPr>
          <w:ilvl w:val="0"/>
          <w:numId w:val="31"/>
        </w:numPr>
      </w:pPr>
      <w:r>
        <w:t>Al Estado en su conjunto y en particular al Gobierno Nacional, a través del Ministerio del</w:t>
      </w:r>
      <w:r w:rsidRPr="0066703C">
        <w:rPr>
          <w:spacing w:val="-1"/>
        </w:rPr>
        <w:t xml:space="preserve"> </w:t>
      </w:r>
      <w:r>
        <w:t>Interior</w:t>
      </w:r>
      <w:r w:rsidRPr="0066703C">
        <w:rPr>
          <w:spacing w:val="-2"/>
        </w:rPr>
        <w:t xml:space="preserve"> </w:t>
      </w:r>
      <w:r>
        <w:t>y</w:t>
      </w:r>
      <w:r w:rsidRPr="0066703C">
        <w:rPr>
          <w:spacing w:val="-1"/>
        </w:rPr>
        <w:t xml:space="preserve"> </w:t>
      </w:r>
      <w:r>
        <w:t>el</w:t>
      </w:r>
      <w:r w:rsidRPr="0066703C">
        <w:rPr>
          <w:spacing w:val="-1"/>
        </w:rPr>
        <w:t xml:space="preserve"> </w:t>
      </w:r>
      <w:r>
        <w:t>Departamento</w:t>
      </w:r>
      <w:r w:rsidRPr="0066703C">
        <w:rPr>
          <w:spacing w:val="-1"/>
        </w:rPr>
        <w:t xml:space="preserve"> </w:t>
      </w:r>
      <w:r>
        <w:t>Nacional</w:t>
      </w:r>
      <w:r w:rsidRPr="0066703C">
        <w:rPr>
          <w:spacing w:val="-1"/>
        </w:rPr>
        <w:t xml:space="preserve"> </w:t>
      </w:r>
      <w:r>
        <w:t>de</w:t>
      </w:r>
      <w:r w:rsidRPr="0066703C">
        <w:rPr>
          <w:spacing w:val="-1"/>
        </w:rPr>
        <w:t xml:space="preserve"> </w:t>
      </w:r>
      <w:r>
        <w:t>Planeación,</w:t>
      </w:r>
      <w:r w:rsidRPr="0066703C">
        <w:rPr>
          <w:spacing w:val="-1"/>
        </w:rPr>
        <w:t xml:space="preserve"> </w:t>
      </w:r>
      <w:r>
        <w:t>a</w:t>
      </w:r>
      <w:r w:rsidRPr="0066703C">
        <w:rPr>
          <w:spacing w:val="-1"/>
        </w:rPr>
        <w:t xml:space="preserve"> </w:t>
      </w:r>
      <w:r>
        <w:t>la</w:t>
      </w:r>
      <w:r w:rsidRPr="0066703C">
        <w:rPr>
          <w:spacing w:val="-1"/>
        </w:rPr>
        <w:t xml:space="preserve"> </w:t>
      </w:r>
      <w:r>
        <w:t>Fiscalía</w:t>
      </w:r>
      <w:r w:rsidRPr="0066703C">
        <w:rPr>
          <w:spacing w:val="-1"/>
        </w:rPr>
        <w:t xml:space="preserve"> </w:t>
      </w:r>
      <w:r>
        <w:t>General</w:t>
      </w:r>
      <w:r w:rsidRPr="0066703C">
        <w:rPr>
          <w:spacing w:val="-1"/>
        </w:rPr>
        <w:t xml:space="preserve"> </w:t>
      </w:r>
      <w:r>
        <w:t>de</w:t>
      </w:r>
      <w:r w:rsidRPr="0066703C">
        <w:rPr>
          <w:spacing w:val="-2"/>
        </w:rPr>
        <w:t xml:space="preserve"> </w:t>
      </w:r>
      <w:r>
        <w:t>la</w:t>
      </w:r>
      <w:r w:rsidRPr="0066703C">
        <w:rPr>
          <w:spacing w:val="-1"/>
        </w:rPr>
        <w:t xml:space="preserve"> </w:t>
      </w:r>
      <w:r>
        <w:t>Nación,</w:t>
      </w:r>
      <w:r w:rsidRPr="0066703C">
        <w:rPr>
          <w:spacing w:val="-1"/>
        </w:rPr>
        <w:t xml:space="preserve"> </w:t>
      </w:r>
      <w:r>
        <w:t>a la</w:t>
      </w:r>
      <w:r w:rsidRPr="0066703C">
        <w:rPr>
          <w:spacing w:val="25"/>
        </w:rPr>
        <w:t xml:space="preserve"> </w:t>
      </w:r>
      <w:r>
        <w:t>Procuraduría</w:t>
      </w:r>
      <w:r w:rsidRPr="0066703C">
        <w:rPr>
          <w:spacing w:val="25"/>
        </w:rPr>
        <w:t xml:space="preserve"> </w:t>
      </w:r>
      <w:r>
        <w:t>General</w:t>
      </w:r>
      <w:r w:rsidRPr="0066703C">
        <w:rPr>
          <w:spacing w:val="24"/>
        </w:rPr>
        <w:t xml:space="preserve"> </w:t>
      </w:r>
      <w:r>
        <w:t>de</w:t>
      </w:r>
      <w:r w:rsidRPr="0066703C">
        <w:rPr>
          <w:spacing w:val="25"/>
        </w:rPr>
        <w:t xml:space="preserve"> </w:t>
      </w:r>
      <w:r>
        <w:t>la</w:t>
      </w:r>
      <w:r w:rsidRPr="0066703C">
        <w:rPr>
          <w:spacing w:val="25"/>
        </w:rPr>
        <w:t xml:space="preserve"> </w:t>
      </w:r>
      <w:r>
        <w:t>Nación,</w:t>
      </w:r>
      <w:r w:rsidRPr="0066703C">
        <w:rPr>
          <w:spacing w:val="25"/>
        </w:rPr>
        <w:t xml:space="preserve"> </w:t>
      </w:r>
      <w:r>
        <w:t>las</w:t>
      </w:r>
      <w:r w:rsidRPr="0066703C">
        <w:rPr>
          <w:spacing w:val="25"/>
        </w:rPr>
        <w:t xml:space="preserve"> </w:t>
      </w:r>
      <w:r>
        <w:t>entidades</w:t>
      </w:r>
      <w:r w:rsidRPr="0066703C">
        <w:rPr>
          <w:spacing w:val="25"/>
        </w:rPr>
        <w:t xml:space="preserve"> </w:t>
      </w:r>
      <w:r>
        <w:t>del</w:t>
      </w:r>
      <w:r w:rsidRPr="0066703C">
        <w:rPr>
          <w:spacing w:val="26"/>
        </w:rPr>
        <w:t xml:space="preserve"> </w:t>
      </w:r>
      <w:r>
        <w:t>Sistema</w:t>
      </w:r>
      <w:r w:rsidRPr="0066703C">
        <w:rPr>
          <w:spacing w:val="24"/>
        </w:rPr>
        <w:t xml:space="preserve"> </w:t>
      </w:r>
      <w:r>
        <w:t>Integral</w:t>
      </w:r>
      <w:r w:rsidRPr="0066703C">
        <w:rPr>
          <w:spacing w:val="26"/>
        </w:rPr>
        <w:t xml:space="preserve"> </w:t>
      </w:r>
      <w:r>
        <w:t>para</w:t>
      </w:r>
      <w:r w:rsidRPr="0066703C">
        <w:rPr>
          <w:spacing w:val="25"/>
        </w:rPr>
        <w:t xml:space="preserve"> </w:t>
      </w:r>
      <w:r>
        <w:t>la</w:t>
      </w:r>
      <w:r w:rsidRPr="0066703C">
        <w:rPr>
          <w:spacing w:val="25"/>
        </w:rPr>
        <w:t xml:space="preserve"> </w:t>
      </w:r>
      <w:r>
        <w:t>Paz</w:t>
      </w:r>
      <w:r w:rsidRPr="0066703C">
        <w:rPr>
          <w:spacing w:val="25"/>
        </w:rPr>
        <w:t xml:space="preserve"> </w:t>
      </w:r>
      <w:r>
        <w:t>y</w:t>
      </w:r>
      <w:r w:rsidRPr="0066703C">
        <w:rPr>
          <w:spacing w:val="25"/>
        </w:rPr>
        <w:t xml:space="preserve"> </w:t>
      </w:r>
      <w:r>
        <w:t>el</w:t>
      </w:r>
      <w:bookmarkStart w:id="1558" w:name="_bookmark1358"/>
      <w:bookmarkStart w:id="1559" w:name="_bookmark1359"/>
      <w:bookmarkStart w:id="1560" w:name="_bookmark1360"/>
      <w:bookmarkEnd w:id="1558"/>
      <w:bookmarkEnd w:id="1559"/>
      <w:bookmarkEnd w:id="1560"/>
      <w:r w:rsidR="00621EFA">
        <w:t xml:space="preserve"> </w:t>
      </w:r>
      <w:r>
        <w:t>Congreso</w:t>
      </w:r>
      <w:r w:rsidRPr="00621EFA">
        <w:rPr>
          <w:spacing w:val="-1"/>
        </w:rPr>
        <w:t xml:space="preserve"> </w:t>
      </w:r>
      <w:r>
        <w:t>de</w:t>
      </w:r>
      <w:r w:rsidRPr="00621EFA">
        <w:rPr>
          <w:spacing w:val="-2"/>
        </w:rPr>
        <w:t xml:space="preserve"> </w:t>
      </w:r>
      <w:r>
        <w:t>la</w:t>
      </w:r>
      <w:r w:rsidRPr="00621EFA">
        <w:rPr>
          <w:spacing w:val="-1"/>
        </w:rPr>
        <w:t xml:space="preserve"> </w:t>
      </w:r>
      <w:r>
        <w:t>República,</w:t>
      </w:r>
      <w:r w:rsidRPr="00621EFA">
        <w:rPr>
          <w:spacing w:val="-1"/>
        </w:rPr>
        <w:t xml:space="preserve"> </w:t>
      </w:r>
      <w:r>
        <w:t>con</w:t>
      </w:r>
      <w:r w:rsidRPr="00621EFA">
        <w:rPr>
          <w:spacing w:val="-1"/>
        </w:rPr>
        <w:t xml:space="preserve"> </w:t>
      </w:r>
      <w:r>
        <w:t>la</w:t>
      </w:r>
      <w:r w:rsidRPr="00621EFA">
        <w:rPr>
          <w:spacing w:val="-1"/>
        </w:rPr>
        <w:t xml:space="preserve"> </w:t>
      </w:r>
      <w:r>
        <w:t>participación</w:t>
      </w:r>
      <w:r w:rsidRPr="00621EFA">
        <w:rPr>
          <w:spacing w:val="-2"/>
        </w:rPr>
        <w:t xml:space="preserve"> </w:t>
      </w:r>
      <w:r>
        <w:t>de</w:t>
      </w:r>
      <w:r w:rsidRPr="00621EFA">
        <w:rPr>
          <w:spacing w:val="-1"/>
        </w:rPr>
        <w:t xml:space="preserve"> </w:t>
      </w:r>
      <w:r>
        <w:t>la</w:t>
      </w:r>
      <w:r w:rsidRPr="00621EFA">
        <w:rPr>
          <w:spacing w:val="-1"/>
        </w:rPr>
        <w:t xml:space="preserve"> </w:t>
      </w:r>
      <w:r>
        <w:t>organizaciones</w:t>
      </w:r>
      <w:r w:rsidRPr="00621EFA">
        <w:rPr>
          <w:spacing w:val="-2"/>
        </w:rPr>
        <w:t xml:space="preserve"> </w:t>
      </w:r>
      <w:r>
        <w:t>de</w:t>
      </w:r>
      <w:r w:rsidRPr="00621EFA">
        <w:rPr>
          <w:spacing w:val="-1"/>
        </w:rPr>
        <w:t xml:space="preserve"> </w:t>
      </w:r>
      <w:r>
        <w:t>derechos</w:t>
      </w:r>
      <w:r w:rsidRPr="00621EFA">
        <w:rPr>
          <w:spacing w:val="-2"/>
        </w:rPr>
        <w:t xml:space="preserve"> </w:t>
      </w:r>
      <w:r>
        <w:t>humanos</w:t>
      </w:r>
      <w:r w:rsidRPr="00621EFA">
        <w:rPr>
          <w:spacing w:val="-1"/>
        </w:rPr>
        <w:t xml:space="preserve"> </w:t>
      </w:r>
      <w:r>
        <w:t xml:space="preserve">y de víctimas, realizar los ajustes institucionales, de política pública y normativos que sean necesarios para </w:t>
      </w:r>
      <w:r w:rsidRPr="00621EFA">
        <w:rPr>
          <w:b/>
        </w:rPr>
        <w:t xml:space="preserve">promover los procesos de búsqueda de personas dadas por desaparecidas, </w:t>
      </w:r>
      <w:r>
        <w:t>en el contexto y con ocasión del conflicto armado, con el fin de garantizar que la búsqueda sea una prioridad que compromete al Estado en su conjunto. Lo anterior teniendo en cuenta que el proceso de búsqueda es fundamental en el proceso de reparación integral de los familiares y en la garantía de sus derechos, y que los desaparecidos con también parte de Colombia. Para ello, se sugiere:</w:t>
      </w:r>
    </w:p>
    <w:p w:rsidR="003804AC" w:rsidRPr="00621EFA" w:rsidRDefault="00AF18A5" w:rsidP="004A6EF4">
      <w:pPr>
        <w:pStyle w:val="Prrafodelista"/>
        <w:numPr>
          <w:ilvl w:val="0"/>
          <w:numId w:val="38"/>
        </w:numPr>
        <w:rPr>
          <w:rFonts w:ascii="Calibri" w:hAnsi="Calibri"/>
        </w:rPr>
      </w:pPr>
      <w:r>
        <w:t>Mejorar</w:t>
      </w:r>
      <w:r w:rsidRPr="00621EFA">
        <w:rPr>
          <w:spacing w:val="-6"/>
        </w:rPr>
        <w:t xml:space="preserve"> </w:t>
      </w:r>
      <w:r>
        <w:t>la</w:t>
      </w:r>
      <w:r w:rsidRPr="00621EFA">
        <w:rPr>
          <w:spacing w:val="-6"/>
        </w:rPr>
        <w:t xml:space="preserve"> </w:t>
      </w:r>
      <w:r w:rsidRPr="00621EFA">
        <w:rPr>
          <w:b/>
        </w:rPr>
        <w:t>articulación</w:t>
      </w:r>
      <w:r w:rsidRPr="00621EFA">
        <w:rPr>
          <w:b/>
          <w:spacing w:val="-7"/>
        </w:rPr>
        <w:t xml:space="preserve"> </w:t>
      </w:r>
      <w:r w:rsidRPr="00621EFA">
        <w:rPr>
          <w:b/>
        </w:rPr>
        <w:t>y</w:t>
      </w:r>
      <w:r w:rsidRPr="00621EFA">
        <w:rPr>
          <w:b/>
          <w:spacing w:val="-6"/>
        </w:rPr>
        <w:t xml:space="preserve"> </w:t>
      </w:r>
      <w:r w:rsidRPr="00621EFA">
        <w:rPr>
          <w:b/>
        </w:rPr>
        <w:t>la</w:t>
      </w:r>
      <w:r w:rsidRPr="00621EFA">
        <w:rPr>
          <w:b/>
          <w:spacing w:val="-6"/>
        </w:rPr>
        <w:t xml:space="preserve"> </w:t>
      </w:r>
      <w:r w:rsidRPr="00621EFA">
        <w:rPr>
          <w:b/>
        </w:rPr>
        <w:t>coordinación</w:t>
      </w:r>
      <w:r w:rsidRPr="00621EFA">
        <w:rPr>
          <w:b/>
          <w:spacing w:val="-6"/>
        </w:rPr>
        <w:t xml:space="preserve"> </w:t>
      </w:r>
      <w:r>
        <w:t>entre</w:t>
      </w:r>
      <w:r w:rsidRPr="00621EFA">
        <w:rPr>
          <w:spacing w:val="-6"/>
        </w:rPr>
        <w:t xml:space="preserve"> </w:t>
      </w:r>
      <w:r>
        <w:t>la</w:t>
      </w:r>
      <w:r w:rsidRPr="00621EFA">
        <w:rPr>
          <w:spacing w:val="-6"/>
        </w:rPr>
        <w:t xml:space="preserve"> </w:t>
      </w:r>
      <w:r>
        <w:t>UBPD,</w:t>
      </w:r>
      <w:r w:rsidRPr="00621EFA">
        <w:rPr>
          <w:spacing w:val="-6"/>
        </w:rPr>
        <w:t xml:space="preserve"> </w:t>
      </w:r>
      <w:r>
        <w:t>entidad</w:t>
      </w:r>
      <w:r w:rsidRPr="00621EFA">
        <w:rPr>
          <w:spacing w:val="-6"/>
        </w:rPr>
        <w:t xml:space="preserve"> </w:t>
      </w:r>
      <w:r>
        <w:t>encargada en el Acuerdo de Paz de esta tarea, la Fiscalía General, el Instituto Nacional de Medicina Legal (INMLCF) y la Jurisdicción para la Paz a través de canales institucionales dispuestos exclusivamente para ese fin, con el fin de evitar la fragmentación de acciones que comprometan el resultado.</w:t>
      </w:r>
    </w:p>
    <w:p w:rsidR="003804AC" w:rsidRPr="00621EFA" w:rsidRDefault="00AF18A5" w:rsidP="004A6EF4">
      <w:pPr>
        <w:pStyle w:val="Prrafodelista"/>
        <w:numPr>
          <w:ilvl w:val="0"/>
          <w:numId w:val="38"/>
        </w:numPr>
        <w:rPr>
          <w:rFonts w:ascii="Calibri" w:hAnsi="Calibri"/>
        </w:rPr>
      </w:pPr>
      <w:r>
        <w:lastRenderedPageBreak/>
        <w:t xml:space="preserve">Mejorar las capacidades de </w:t>
      </w:r>
      <w:r w:rsidRPr="00621EFA">
        <w:rPr>
          <w:b/>
        </w:rPr>
        <w:t xml:space="preserve">investigación forense </w:t>
      </w:r>
      <w:r>
        <w:t>para la identificación a través del fortalecimiento institucional del INMLCF en cuanto a su cobertura territorial y su infraestructura física, humana y tecnológica.</w:t>
      </w:r>
    </w:p>
    <w:p w:rsidR="003804AC" w:rsidRPr="00621EFA" w:rsidRDefault="00AF18A5" w:rsidP="004A6EF4">
      <w:pPr>
        <w:pStyle w:val="Prrafodelista"/>
        <w:numPr>
          <w:ilvl w:val="0"/>
          <w:numId w:val="38"/>
        </w:numPr>
        <w:rPr>
          <w:rFonts w:ascii="Calibri" w:hAnsi="Calibri"/>
        </w:rPr>
      </w:pPr>
      <w:r>
        <w:t xml:space="preserve">Priorizar la identificación de los aproximadamente </w:t>
      </w:r>
      <w:r w:rsidRPr="00621EFA">
        <w:rPr>
          <w:b/>
        </w:rPr>
        <w:t>25 mil cuerpos no identificados</w:t>
      </w:r>
      <w:r w:rsidRPr="00621EFA">
        <w:rPr>
          <w:b/>
          <w:spacing w:val="-7"/>
        </w:rPr>
        <w:t xml:space="preserve"> </w:t>
      </w:r>
      <w:r>
        <w:t>distribuidos</w:t>
      </w:r>
      <w:r w:rsidRPr="00621EFA">
        <w:rPr>
          <w:spacing w:val="-7"/>
        </w:rPr>
        <w:t xml:space="preserve"> </w:t>
      </w:r>
      <w:r>
        <w:t>en</w:t>
      </w:r>
      <w:r w:rsidRPr="00621EFA">
        <w:rPr>
          <w:spacing w:val="-7"/>
        </w:rPr>
        <w:t xml:space="preserve"> </w:t>
      </w:r>
      <w:r>
        <w:t>diferentes</w:t>
      </w:r>
      <w:r w:rsidRPr="00621EFA">
        <w:rPr>
          <w:spacing w:val="-7"/>
        </w:rPr>
        <w:t xml:space="preserve"> </w:t>
      </w:r>
      <w:r>
        <w:t>lugares</w:t>
      </w:r>
      <w:r w:rsidRPr="00621EFA">
        <w:rPr>
          <w:spacing w:val="-7"/>
        </w:rPr>
        <w:t xml:space="preserve"> </w:t>
      </w:r>
      <w:r>
        <w:t>del</w:t>
      </w:r>
      <w:r w:rsidRPr="00621EFA">
        <w:rPr>
          <w:spacing w:val="-6"/>
        </w:rPr>
        <w:t xml:space="preserve"> </w:t>
      </w:r>
      <w:r>
        <w:t>país,</w:t>
      </w:r>
      <w:r w:rsidRPr="00621EFA">
        <w:rPr>
          <w:spacing w:val="-7"/>
        </w:rPr>
        <w:t xml:space="preserve"> </w:t>
      </w:r>
      <w:r>
        <w:t>incluidos</w:t>
      </w:r>
      <w:r w:rsidRPr="00621EFA">
        <w:rPr>
          <w:spacing w:val="-7"/>
        </w:rPr>
        <w:t xml:space="preserve"> </w:t>
      </w:r>
      <w:r>
        <w:t>los</w:t>
      </w:r>
      <w:r w:rsidRPr="00621EFA">
        <w:rPr>
          <w:spacing w:val="-8"/>
        </w:rPr>
        <w:t xml:space="preserve"> </w:t>
      </w:r>
      <w:r>
        <w:t>cementerios,</w:t>
      </w:r>
      <w:r w:rsidRPr="00621EFA">
        <w:rPr>
          <w:spacing w:val="-7"/>
        </w:rPr>
        <w:t xml:space="preserve"> </w:t>
      </w:r>
      <w:r>
        <w:t>y garantizar la participación de la UBPD en el Comité Interinstitucional de Genética.</w:t>
      </w:r>
    </w:p>
    <w:p w:rsidR="003804AC" w:rsidRPr="00621EFA" w:rsidRDefault="00AF18A5" w:rsidP="004A6EF4">
      <w:pPr>
        <w:pStyle w:val="Prrafodelista"/>
        <w:numPr>
          <w:ilvl w:val="0"/>
          <w:numId w:val="38"/>
        </w:numPr>
        <w:rPr>
          <w:rFonts w:ascii="Calibri" w:hAnsi="Calibri"/>
        </w:rPr>
      </w:pPr>
      <w:r>
        <w:t xml:space="preserve">Garantizar políticas a nivel territorial y nacional para la </w:t>
      </w:r>
      <w:r w:rsidRPr="00621EFA">
        <w:rPr>
          <w:b/>
        </w:rPr>
        <w:t xml:space="preserve">custodia, preservación y dignificación de los cuerpos no identificados </w:t>
      </w:r>
      <w:r>
        <w:t>o identificados no entregados en los distintos cementerios del país.</w:t>
      </w:r>
    </w:p>
    <w:p w:rsidR="003804AC" w:rsidRDefault="00AF18A5" w:rsidP="004A6EF4">
      <w:pPr>
        <w:pStyle w:val="Prrafodelista"/>
        <w:numPr>
          <w:ilvl w:val="0"/>
          <w:numId w:val="38"/>
        </w:numPr>
      </w:pPr>
      <w:r>
        <w:t xml:space="preserve">Hacer efectivo para la UBPD el </w:t>
      </w:r>
      <w:r w:rsidRPr="00621EFA">
        <w:rPr>
          <w:b/>
        </w:rPr>
        <w:t xml:space="preserve">acceso a la información </w:t>
      </w:r>
      <w:r>
        <w:t>que reposa en entidades públicas que pueda conducir a facilitar los procesos de búsqueda extrajudicial</w:t>
      </w:r>
      <w:r w:rsidRPr="00621EFA">
        <w:rPr>
          <w:spacing w:val="-8"/>
        </w:rPr>
        <w:t xml:space="preserve"> </w:t>
      </w:r>
      <w:r>
        <w:t>y</w:t>
      </w:r>
      <w:r w:rsidRPr="00621EFA">
        <w:rPr>
          <w:spacing w:val="-7"/>
        </w:rPr>
        <w:t xml:space="preserve"> </w:t>
      </w:r>
      <w:r>
        <w:t>humanitaria</w:t>
      </w:r>
      <w:r w:rsidRPr="00621EFA">
        <w:rPr>
          <w:spacing w:val="-7"/>
        </w:rPr>
        <w:t xml:space="preserve"> </w:t>
      </w:r>
      <w:r>
        <w:t>que</w:t>
      </w:r>
      <w:r w:rsidRPr="00621EFA">
        <w:rPr>
          <w:spacing w:val="-8"/>
        </w:rPr>
        <w:t xml:space="preserve"> </w:t>
      </w:r>
      <w:r>
        <w:t>lleva</w:t>
      </w:r>
      <w:r w:rsidRPr="00621EFA">
        <w:rPr>
          <w:spacing w:val="-8"/>
        </w:rPr>
        <w:t xml:space="preserve"> </w:t>
      </w:r>
      <w:r>
        <w:t>a</w:t>
      </w:r>
      <w:r w:rsidRPr="00621EFA">
        <w:rPr>
          <w:spacing w:val="-7"/>
        </w:rPr>
        <w:t xml:space="preserve"> </w:t>
      </w:r>
      <w:r>
        <w:t>cabo.</w:t>
      </w:r>
      <w:r w:rsidRPr="00621EFA">
        <w:rPr>
          <w:spacing w:val="-7"/>
        </w:rPr>
        <w:t xml:space="preserve"> </w:t>
      </w:r>
      <w:r>
        <w:t>Como</w:t>
      </w:r>
      <w:r w:rsidRPr="00621EFA">
        <w:rPr>
          <w:spacing w:val="-7"/>
        </w:rPr>
        <w:t xml:space="preserve"> </w:t>
      </w:r>
      <w:r>
        <w:t>complemento,</w:t>
      </w:r>
      <w:r w:rsidRPr="00621EFA">
        <w:rPr>
          <w:spacing w:val="-7"/>
        </w:rPr>
        <w:t xml:space="preserve"> </w:t>
      </w:r>
      <w:r>
        <w:t>hacer</w:t>
      </w:r>
      <w:r w:rsidRPr="00621EFA">
        <w:rPr>
          <w:spacing w:val="-6"/>
        </w:rPr>
        <w:t xml:space="preserve"> </w:t>
      </w:r>
      <w:r>
        <w:t>seguimiento a la denegación de información por parte de funcionarios públicos o entidades.</w:t>
      </w:r>
    </w:p>
    <w:p w:rsidR="00621EFA" w:rsidRPr="00621EFA" w:rsidRDefault="00AF18A5" w:rsidP="004A6EF4">
      <w:pPr>
        <w:pStyle w:val="Prrafodelista"/>
        <w:numPr>
          <w:ilvl w:val="0"/>
          <w:numId w:val="38"/>
        </w:numPr>
        <w:rPr>
          <w:spacing w:val="-2"/>
        </w:rPr>
      </w:pPr>
      <w:r>
        <w:t xml:space="preserve">Garantizar la </w:t>
      </w:r>
      <w:r w:rsidRPr="00621EFA">
        <w:rPr>
          <w:b/>
        </w:rPr>
        <w:t>participación de los familiares de las personas dadas por desaparecidas</w:t>
      </w:r>
      <w:r w:rsidRPr="00621EFA">
        <w:rPr>
          <w:b/>
          <w:spacing w:val="64"/>
        </w:rPr>
        <w:t xml:space="preserve"> </w:t>
      </w:r>
      <w:r>
        <w:t>en</w:t>
      </w:r>
      <w:r w:rsidRPr="00621EFA">
        <w:rPr>
          <w:spacing w:val="64"/>
        </w:rPr>
        <w:t xml:space="preserve"> </w:t>
      </w:r>
      <w:r>
        <w:t>el</w:t>
      </w:r>
      <w:r w:rsidRPr="00621EFA">
        <w:rPr>
          <w:spacing w:val="65"/>
        </w:rPr>
        <w:t xml:space="preserve"> </w:t>
      </w:r>
      <w:r>
        <w:t>proceso</w:t>
      </w:r>
      <w:r w:rsidRPr="00621EFA">
        <w:rPr>
          <w:spacing w:val="64"/>
        </w:rPr>
        <w:t xml:space="preserve"> </w:t>
      </w:r>
      <w:r>
        <w:t>de</w:t>
      </w:r>
      <w:r w:rsidRPr="00621EFA">
        <w:rPr>
          <w:spacing w:val="64"/>
        </w:rPr>
        <w:t xml:space="preserve"> </w:t>
      </w:r>
      <w:r>
        <w:t>búsqueda,</w:t>
      </w:r>
      <w:r w:rsidRPr="00621EFA">
        <w:rPr>
          <w:spacing w:val="65"/>
        </w:rPr>
        <w:t xml:space="preserve"> </w:t>
      </w:r>
      <w:r>
        <w:t>incluidos</w:t>
      </w:r>
      <w:r w:rsidRPr="00621EFA">
        <w:rPr>
          <w:spacing w:val="62"/>
        </w:rPr>
        <w:t xml:space="preserve"> </w:t>
      </w:r>
      <w:r>
        <w:t>los</w:t>
      </w:r>
      <w:r w:rsidRPr="00621EFA">
        <w:rPr>
          <w:spacing w:val="63"/>
        </w:rPr>
        <w:t xml:space="preserve"> </w:t>
      </w:r>
      <w:r>
        <w:t>Planes</w:t>
      </w:r>
      <w:r w:rsidRPr="00621EFA">
        <w:rPr>
          <w:spacing w:val="64"/>
        </w:rPr>
        <w:t xml:space="preserve"> </w:t>
      </w:r>
      <w:r>
        <w:t>Regionales</w:t>
      </w:r>
      <w:r w:rsidRPr="00621EFA">
        <w:rPr>
          <w:spacing w:val="65"/>
        </w:rPr>
        <w:t xml:space="preserve"> </w:t>
      </w:r>
      <w:r w:rsidRPr="00621EFA">
        <w:rPr>
          <w:spacing w:val="-5"/>
        </w:rPr>
        <w:t>de</w:t>
      </w:r>
      <w:r w:rsidR="00621EFA">
        <w:rPr>
          <w:spacing w:val="-5"/>
        </w:rPr>
        <w:t xml:space="preserve"> </w:t>
      </w:r>
      <w:r>
        <w:t xml:space="preserve">Búsqueda, con el fin de contribuir a que el proceso de búsqueda sea reparador en sí </w:t>
      </w:r>
      <w:r w:rsidRPr="00621EFA">
        <w:rPr>
          <w:spacing w:val="-2"/>
        </w:rPr>
        <w:t>mismo.</w:t>
      </w:r>
    </w:p>
    <w:p w:rsidR="00621EFA" w:rsidRDefault="00621EFA">
      <w:pPr>
        <w:spacing w:before="0" w:after="0" w:line="240" w:lineRule="auto"/>
        <w:rPr>
          <w:spacing w:val="-2"/>
          <w:szCs w:val="24"/>
          <w:lang w:val="es-CO"/>
        </w:rPr>
      </w:pPr>
      <w:r>
        <w:rPr>
          <w:spacing w:val="-2"/>
        </w:rPr>
        <w:br w:type="page"/>
      </w:r>
    </w:p>
    <w:p w:rsidR="0011361F" w:rsidRDefault="00AF18A5" w:rsidP="004A6EF4">
      <w:pPr>
        <w:pStyle w:val="Ttulo2"/>
        <w:numPr>
          <w:ilvl w:val="0"/>
          <w:numId w:val="28"/>
        </w:numPr>
      </w:pPr>
      <w:bookmarkStart w:id="1561" w:name="3._Para_consolidar_democracia_incluyente"/>
      <w:bookmarkStart w:id="1562" w:name="_Toc112399692"/>
      <w:bookmarkEnd w:id="1561"/>
      <w:r>
        <w:lastRenderedPageBreak/>
        <w:t>PARA CONSOLIDAR</w:t>
      </w:r>
      <w:r>
        <w:rPr>
          <w:spacing w:val="1"/>
        </w:rPr>
        <w:t xml:space="preserve"> </w:t>
      </w:r>
      <w:r>
        <w:t>DEMOCRACIA</w:t>
      </w:r>
      <w:r>
        <w:rPr>
          <w:spacing w:val="1"/>
        </w:rPr>
        <w:t xml:space="preserve"> </w:t>
      </w:r>
      <w:r>
        <w:t>INCLUYENTE,</w:t>
      </w:r>
      <w:r>
        <w:rPr>
          <w:spacing w:val="-12"/>
        </w:rPr>
        <w:t xml:space="preserve"> </w:t>
      </w:r>
      <w:r>
        <w:t>AMPLIA</w:t>
      </w:r>
      <w:r>
        <w:rPr>
          <w:spacing w:val="1"/>
        </w:rPr>
        <w:t xml:space="preserve"> </w:t>
      </w:r>
      <w:r>
        <w:t>Y</w:t>
      </w:r>
      <w:r>
        <w:rPr>
          <w:spacing w:val="1"/>
        </w:rPr>
        <w:t xml:space="preserve"> </w:t>
      </w:r>
      <w:r>
        <w:t>DELIBERATIVA</w:t>
      </w:r>
      <w:bookmarkEnd w:id="1562"/>
    </w:p>
    <w:p w:rsidR="0011361F" w:rsidRDefault="00AF18A5" w:rsidP="00680360">
      <w:r>
        <w:t>El</w:t>
      </w:r>
      <w:r>
        <w:rPr>
          <w:spacing w:val="-3"/>
        </w:rPr>
        <w:t xml:space="preserve"> </w:t>
      </w:r>
      <w:r>
        <w:t>país</w:t>
      </w:r>
      <w:r>
        <w:rPr>
          <w:spacing w:val="-3"/>
        </w:rPr>
        <w:t xml:space="preserve"> </w:t>
      </w:r>
      <w:r>
        <w:t>sí</w:t>
      </w:r>
      <w:r>
        <w:rPr>
          <w:spacing w:val="-4"/>
        </w:rPr>
        <w:t xml:space="preserve"> </w:t>
      </w:r>
      <w:r>
        <w:t>requiere</w:t>
      </w:r>
      <w:r>
        <w:rPr>
          <w:spacing w:val="-3"/>
        </w:rPr>
        <w:t xml:space="preserve"> </w:t>
      </w:r>
      <w:r>
        <w:t>de</w:t>
      </w:r>
      <w:r>
        <w:rPr>
          <w:spacing w:val="-3"/>
        </w:rPr>
        <w:t xml:space="preserve"> </w:t>
      </w:r>
      <w:r>
        <w:t>una</w:t>
      </w:r>
      <w:r>
        <w:rPr>
          <w:spacing w:val="-3"/>
        </w:rPr>
        <w:t xml:space="preserve"> </w:t>
      </w:r>
      <w:r>
        <w:t>modificación;</w:t>
      </w:r>
      <w:r>
        <w:rPr>
          <w:spacing w:val="-3"/>
        </w:rPr>
        <w:t xml:space="preserve"> </w:t>
      </w:r>
      <w:r>
        <w:t>requiere</w:t>
      </w:r>
      <w:r>
        <w:rPr>
          <w:spacing w:val="-4"/>
        </w:rPr>
        <w:t xml:space="preserve"> </w:t>
      </w:r>
      <w:r>
        <w:t>ser</w:t>
      </w:r>
      <w:r>
        <w:rPr>
          <w:spacing w:val="-3"/>
        </w:rPr>
        <w:t xml:space="preserve"> </w:t>
      </w:r>
      <w:r>
        <w:t>un</w:t>
      </w:r>
      <w:r>
        <w:rPr>
          <w:spacing w:val="-3"/>
        </w:rPr>
        <w:t xml:space="preserve"> </w:t>
      </w:r>
      <w:r>
        <w:t>país</w:t>
      </w:r>
      <w:r>
        <w:rPr>
          <w:spacing w:val="-4"/>
        </w:rPr>
        <w:t xml:space="preserve"> </w:t>
      </w:r>
      <w:r>
        <w:t>con</w:t>
      </w:r>
      <w:r>
        <w:rPr>
          <w:spacing w:val="-3"/>
        </w:rPr>
        <w:t xml:space="preserve"> </w:t>
      </w:r>
      <w:r>
        <w:t>más</w:t>
      </w:r>
      <w:r>
        <w:rPr>
          <w:spacing w:val="-3"/>
        </w:rPr>
        <w:t xml:space="preserve"> </w:t>
      </w:r>
      <w:r>
        <w:t>equidad,</w:t>
      </w:r>
      <w:r>
        <w:rPr>
          <w:spacing w:val="-3"/>
        </w:rPr>
        <w:t xml:space="preserve"> </w:t>
      </w:r>
      <w:r>
        <w:t>con</w:t>
      </w:r>
      <w:r>
        <w:rPr>
          <w:spacing w:val="-3"/>
        </w:rPr>
        <w:t xml:space="preserve"> </w:t>
      </w:r>
      <w:r>
        <w:t>más participación,</w:t>
      </w:r>
      <w:r>
        <w:rPr>
          <w:spacing w:val="-3"/>
        </w:rPr>
        <w:t xml:space="preserve"> </w:t>
      </w:r>
      <w:r>
        <w:t>pero</w:t>
      </w:r>
      <w:r>
        <w:rPr>
          <w:spacing w:val="-1"/>
        </w:rPr>
        <w:t xml:space="preserve"> </w:t>
      </w:r>
      <w:r>
        <w:t>por</w:t>
      </w:r>
      <w:r>
        <w:rPr>
          <w:spacing w:val="-1"/>
        </w:rPr>
        <w:t xml:space="preserve"> </w:t>
      </w:r>
      <w:r>
        <w:t>el</w:t>
      </w:r>
      <w:r>
        <w:rPr>
          <w:spacing w:val="-1"/>
        </w:rPr>
        <w:t xml:space="preserve"> </w:t>
      </w:r>
      <w:r>
        <w:t>medio</w:t>
      </w:r>
      <w:r>
        <w:rPr>
          <w:spacing w:val="-1"/>
        </w:rPr>
        <w:t xml:space="preserve"> </w:t>
      </w:r>
      <w:r>
        <w:t>de</w:t>
      </w:r>
      <w:r>
        <w:rPr>
          <w:spacing w:val="-1"/>
        </w:rPr>
        <w:t xml:space="preserve"> </w:t>
      </w:r>
      <w:r>
        <w:t>la</w:t>
      </w:r>
      <w:r>
        <w:rPr>
          <w:spacing w:val="-1"/>
        </w:rPr>
        <w:t xml:space="preserve"> </w:t>
      </w:r>
      <w:r>
        <w:t>democracia, por</w:t>
      </w:r>
      <w:r>
        <w:rPr>
          <w:spacing w:val="-1"/>
        </w:rPr>
        <w:t xml:space="preserve"> </w:t>
      </w:r>
      <w:r>
        <w:t>el</w:t>
      </w:r>
      <w:r>
        <w:rPr>
          <w:spacing w:val="-1"/>
        </w:rPr>
        <w:t xml:space="preserve"> </w:t>
      </w:r>
      <w:r>
        <w:t>medio de</w:t>
      </w:r>
      <w:r>
        <w:rPr>
          <w:spacing w:val="-1"/>
        </w:rPr>
        <w:t xml:space="preserve"> </w:t>
      </w:r>
      <w:r>
        <w:t>las</w:t>
      </w:r>
      <w:r>
        <w:rPr>
          <w:spacing w:val="-1"/>
        </w:rPr>
        <w:t xml:space="preserve"> </w:t>
      </w:r>
      <w:r>
        <w:rPr>
          <w:spacing w:val="-2"/>
        </w:rPr>
        <w:t>ideas</w:t>
      </w:r>
      <w:r w:rsidR="00680360">
        <w:rPr>
          <w:rStyle w:val="Refdenotaalpie"/>
          <w:spacing w:val="-2"/>
        </w:rPr>
        <w:footnoteReference w:id="1218"/>
      </w:r>
      <w:r>
        <w:rPr>
          <w:spacing w:val="-2"/>
        </w:rPr>
        <w:t>.</w:t>
      </w:r>
    </w:p>
    <w:p w:rsidR="003804AC" w:rsidRDefault="00AF18A5" w:rsidP="00680360">
      <w:bookmarkStart w:id="1563" w:name="_bookmark1363"/>
      <w:bookmarkEnd w:id="1563"/>
      <w:r>
        <w:t xml:space="preserve">La democracia amplia, plural y garantista de derechos es una de las principales herramientas para lograr la paz. Colombia se ha movido históricamente entre momentos de </w:t>
      </w:r>
      <w:r>
        <w:rPr>
          <w:spacing w:val="-2"/>
        </w:rPr>
        <w:t>apertura</w:t>
      </w:r>
      <w:r>
        <w:rPr>
          <w:spacing w:val="-6"/>
        </w:rPr>
        <w:t xml:space="preserve"> </w:t>
      </w:r>
      <w:r>
        <w:rPr>
          <w:spacing w:val="-2"/>
        </w:rPr>
        <w:t>y</w:t>
      </w:r>
      <w:r>
        <w:rPr>
          <w:spacing w:val="-7"/>
        </w:rPr>
        <w:t xml:space="preserve"> </w:t>
      </w:r>
      <w:r>
        <w:rPr>
          <w:spacing w:val="-2"/>
        </w:rPr>
        <w:t>cierre</w:t>
      </w:r>
      <w:r>
        <w:rPr>
          <w:spacing w:val="-6"/>
        </w:rPr>
        <w:t xml:space="preserve"> </w:t>
      </w:r>
      <w:r>
        <w:rPr>
          <w:spacing w:val="-2"/>
        </w:rPr>
        <w:t>democrático</w:t>
      </w:r>
      <w:r>
        <w:rPr>
          <w:spacing w:val="-7"/>
        </w:rPr>
        <w:t xml:space="preserve"> </w:t>
      </w:r>
      <w:r>
        <w:rPr>
          <w:spacing w:val="-2"/>
        </w:rPr>
        <w:t>cruzados</w:t>
      </w:r>
      <w:r>
        <w:rPr>
          <w:spacing w:val="-6"/>
        </w:rPr>
        <w:t xml:space="preserve"> </w:t>
      </w:r>
      <w:r>
        <w:rPr>
          <w:spacing w:val="-2"/>
        </w:rPr>
        <w:t>por</w:t>
      </w:r>
      <w:r>
        <w:rPr>
          <w:spacing w:val="-5"/>
        </w:rPr>
        <w:t xml:space="preserve"> </w:t>
      </w:r>
      <w:r>
        <w:rPr>
          <w:spacing w:val="-2"/>
        </w:rPr>
        <w:t>la</w:t>
      </w:r>
      <w:r>
        <w:rPr>
          <w:spacing w:val="-6"/>
        </w:rPr>
        <w:t xml:space="preserve"> </w:t>
      </w:r>
      <w:r>
        <w:rPr>
          <w:spacing w:val="-2"/>
        </w:rPr>
        <w:t>violencia.</w:t>
      </w:r>
      <w:r>
        <w:rPr>
          <w:spacing w:val="-6"/>
        </w:rPr>
        <w:t xml:space="preserve"> </w:t>
      </w:r>
      <w:r>
        <w:rPr>
          <w:spacing w:val="-2"/>
        </w:rPr>
        <w:t>Los</w:t>
      </w:r>
      <w:r>
        <w:rPr>
          <w:spacing w:val="-7"/>
        </w:rPr>
        <w:t xml:space="preserve"> </w:t>
      </w:r>
      <w:r>
        <w:rPr>
          <w:spacing w:val="-2"/>
        </w:rPr>
        <w:t>procesos</w:t>
      </w:r>
      <w:r>
        <w:rPr>
          <w:spacing w:val="-6"/>
        </w:rPr>
        <w:t xml:space="preserve"> </w:t>
      </w:r>
      <w:r>
        <w:rPr>
          <w:spacing w:val="-2"/>
        </w:rPr>
        <w:t>de</w:t>
      </w:r>
      <w:r>
        <w:rPr>
          <w:spacing w:val="-6"/>
        </w:rPr>
        <w:t xml:space="preserve"> </w:t>
      </w:r>
      <w:r>
        <w:rPr>
          <w:spacing w:val="-2"/>
        </w:rPr>
        <w:t>paz</w:t>
      </w:r>
      <w:r>
        <w:rPr>
          <w:spacing w:val="-6"/>
        </w:rPr>
        <w:t xml:space="preserve"> </w:t>
      </w:r>
      <w:r>
        <w:rPr>
          <w:spacing w:val="-2"/>
        </w:rPr>
        <w:t>y</w:t>
      </w:r>
      <w:r>
        <w:rPr>
          <w:spacing w:val="-6"/>
        </w:rPr>
        <w:t xml:space="preserve"> </w:t>
      </w:r>
      <w:r>
        <w:rPr>
          <w:spacing w:val="-2"/>
        </w:rPr>
        <w:t>la</w:t>
      </w:r>
      <w:r>
        <w:rPr>
          <w:spacing w:val="-7"/>
        </w:rPr>
        <w:t xml:space="preserve"> </w:t>
      </w:r>
      <w:r>
        <w:rPr>
          <w:spacing w:val="-2"/>
        </w:rPr>
        <w:t xml:space="preserve">Constitución </w:t>
      </w:r>
      <w:r>
        <w:t xml:space="preserve">de 1991 han propiciado la apertura democrática. Sin embargo, la persistencia del conflicto armado y su relación con la exclusión política han restringido la posibilidad de avance. Si bien el Acuerdo Final de Paz suscrito con las FARC-EP representó un avance fundamental al incluir a esa guerrilla en la vida democrática del país, los desafíos en su implementación, sumados a la reorganización de grupos armados ilegales y la persistencia de expresiones de violencia sociopolítica en el territorio, siguen siendo retos que nuestra democracia debe </w:t>
      </w:r>
      <w:r>
        <w:rPr>
          <w:spacing w:val="-2"/>
        </w:rPr>
        <w:t>enfrentar.</w:t>
      </w:r>
    </w:p>
    <w:p w:rsidR="003804AC" w:rsidRDefault="00AF18A5" w:rsidP="00680360">
      <w:r>
        <w:t>Por</w:t>
      </w:r>
      <w:r>
        <w:rPr>
          <w:spacing w:val="-3"/>
        </w:rPr>
        <w:t xml:space="preserve"> </w:t>
      </w:r>
      <w:r>
        <w:t>ello,</w:t>
      </w:r>
      <w:r>
        <w:rPr>
          <w:spacing w:val="-4"/>
        </w:rPr>
        <w:t xml:space="preserve"> </w:t>
      </w:r>
      <w:r>
        <w:t>las</w:t>
      </w:r>
      <w:r>
        <w:rPr>
          <w:spacing w:val="-5"/>
        </w:rPr>
        <w:t xml:space="preserve"> </w:t>
      </w:r>
      <w:r>
        <w:t>recomendaciones</w:t>
      </w:r>
      <w:r>
        <w:rPr>
          <w:spacing w:val="-3"/>
        </w:rPr>
        <w:t xml:space="preserve"> </w:t>
      </w:r>
      <w:r>
        <w:t>de</w:t>
      </w:r>
      <w:r>
        <w:rPr>
          <w:spacing w:val="-3"/>
        </w:rPr>
        <w:t xml:space="preserve"> </w:t>
      </w:r>
      <w:r>
        <w:t>este</w:t>
      </w:r>
      <w:r>
        <w:rPr>
          <w:spacing w:val="-5"/>
        </w:rPr>
        <w:t xml:space="preserve"> </w:t>
      </w:r>
      <w:r>
        <w:t>apartado</w:t>
      </w:r>
      <w:r>
        <w:rPr>
          <w:spacing w:val="-4"/>
        </w:rPr>
        <w:t xml:space="preserve"> </w:t>
      </w:r>
      <w:r>
        <w:t>proponen</w:t>
      </w:r>
      <w:r>
        <w:rPr>
          <w:spacing w:val="-4"/>
        </w:rPr>
        <w:t xml:space="preserve"> </w:t>
      </w:r>
      <w:r>
        <w:t>acciones</w:t>
      </w:r>
      <w:r>
        <w:rPr>
          <w:spacing w:val="-3"/>
        </w:rPr>
        <w:t xml:space="preserve"> </w:t>
      </w:r>
      <w:r>
        <w:t>enfocadas</w:t>
      </w:r>
      <w:r>
        <w:rPr>
          <w:spacing w:val="-3"/>
        </w:rPr>
        <w:t xml:space="preserve"> </w:t>
      </w:r>
      <w:r>
        <w:t>en</w:t>
      </w:r>
      <w:r>
        <w:rPr>
          <w:spacing w:val="-4"/>
        </w:rPr>
        <w:t xml:space="preserve"> </w:t>
      </w:r>
      <w:r>
        <w:t>lograr</w:t>
      </w:r>
      <w:r>
        <w:rPr>
          <w:spacing w:val="-4"/>
        </w:rPr>
        <w:t xml:space="preserve"> </w:t>
      </w:r>
      <w:r>
        <w:t>un régimen político incluyente de los territorios que responda y represente las demandas ciudadanas, que reivindique y garantice la participación ciudadana como un mecanismo fundamental para la garantía de derechos, que respete el pluralismo y la diversidad, y en el que haya cero agresiones contra quienes piensan diferente y defienden sus derechos. Para esto</w:t>
      </w:r>
      <w:r>
        <w:rPr>
          <w:spacing w:val="-4"/>
        </w:rPr>
        <w:t xml:space="preserve"> </w:t>
      </w:r>
      <w:r>
        <w:t>se</w:t>
      </w:r>
      <w:r>
        <w:rPr>
          <w:spacing w:val="-4"/>
        </w:rPr>
        <w:t xml:space="preserve"> </w:t>
      </w:r>
      <w:r>
        <w:t>abordan</w:t>
      </w:r>
      <w:r>
        <w:rPr>
          <w:spacing w:val="-4"/>
        </w:rPr>
        <w:t xml:space="preserve"> </w:t>
      </w:r>
      <w:r>
        <w:t>aspectos</w:t>
      </w:r>
      <w:r>
        <w:rPr>
          <w:spacing w:val="-5"/>
        </w:rPr>
        <w:t xml:space="preserve"> </w:t>
      </w:r>
      <w:r>
        <w:t>formales</w:t>
      </w:r>
      <w:r>
        <w:rPr>
          <w:spacing w:val="-3"/>
        </w:rPr>
        <w:t xml:space="preserve"> </w:t>
      </w:r>
      <w:r>
        <w:t>e</w:t>
      </w:r>
      <w:r>
        <w:rPr>
          <w:spacing w:val="-3"/>
        </w:rPr>
        <w:t xml:space="preserve"> </w:t>
      </w:r>
      <w:r>
        <w:t>informales</w:t>
      </w:r>
      <w:r>
        <w:rPr>
          <w:spacing w:val="-3"/>
        </w:rPr>
        <w:t xml:space="preserve"> </w:t>
      </w:r>
      <w:r>
        <w:t>del</w:t>
      </w:r>
      <w:r>
        <w:rPr>
          <w:spacing w:val="-3"/>
        </w:rPr>
        <w:t xml:space="preserve"> </w:t>
      </w:r>
      <w:r>
        <w:t>régimen,</w:t>
      </w:r>
      <w:r>
        <w:rPr>
          <w:spacing w:val="-5"/>
        </w:rPr>
        <w:t xml:space="preserve"> </w:t>
      </w:r>
      <w:r>
        <w:t>es</w:t>
      </w:r>
      <w:r>
        <w:rPr>
          <w:spacing w:val="-3"/>
        </w:rPr>
        <w:t xml:space="preserve"> </w:t>
      </w:r>
      <w:r>
        <w:t>decir,</w:t>
      </w:r>
      <w:r>
        <w:rPr>
          <w:spacing w:val="-4"/>
        </w:rPr>
        <w:t xml:space="preserve"> </w:t>
      </w:r>
      <w:r>
        <w:t>no</w:t>
      </w:r>
      <w:r>
        <w:rPr>
          <w:spacing w:val="-5"/>
        </w:rPr>
        <w:t xml:space="preserve"> </w:t>
      </w:r>
      <w:r>
        <w:t>sólo</w:t>
      </w:r>
      <w:r>
        <w:rPr>
          <w:spacing w:val="-4"/>
        </w:rPr>
        <w:t xml:space="preserve"> </w:t>
      </w:r>
      <w:r>
        <w:t>sus</w:t>
      </w:r>
      <w:r>
        <w:rPr>
          <w:spacing w:val="-4"/>
        </w:rPr>
        <w:t xml:space="preserve"> </w:t>
      </w:r>
      <w:r>
        <w:t xml:space="preserve">estructuras e instituciones, sino también las relaciones entre los actores que hacen parte de este, </w:t>
      </w:r>
      <w:r>
        <w:lastRenderedPageBreak/>
        <w:t>como los partidos políticos, élites regionales y locales, actores de la sociedad civil, movimientos sociales y organizaciones cívicas, entre otros.</w:t>
      </w:r>
    </w:p>
    <w:p w:rsidR="003804AC" w:rsidRDefault="00AF18A5" w:rsidP="00680360">
      <w:r>
        <w:t>El Punto 2 del Acuerdo Final de Paz, sumado a los demás compromisos asumidos en el Acuerdo,</w:t>
      </w:r>
      <w:r>
        <w:rPr>
          <w:spacing w:val="-9"/>
        </w:rPr>
        <w:t xml:space="preserve"> </w:t>
      </w:r>
      <w:r>
        <w:t>tenía</w:t>
      </w:r>
      <w:r>
        <w:rPr>
          <w:spacing w:val="-9"/>
        </w:rPr>
        <w:t xml:space="preserve"> </w:t>
      </w:r>
      <w:r>
        <w:t>como</w:t>
      </w:r>
      <w:r>
        <w:rPr>
          <w:spacing w:val="-9"/>
        </w:rPr>
        <w:t xml:space="preserve"> </w:t>
      </w:r>
      <w:r>
        <w:t>objetivo</w:t>
      </w:r>
      <w:r>
        <w:rPr>
          <w:spacing w:val="-9"/>
        </w:rPr>
        <w:t xml:space="preserve"> </w:t>
      </w:r>
      <w:r>
        <w:t>sacar</w:t>
      </w:r>
      <w:r>
        <w:rPr>
          <w:spacing w:val="-9"/>
        </w:rPr>
        <w:t xml:space="preserve"> </w:t>
      </w:r>
      <w:r>
        <w:t>las</w:t>
      </w:r>
      <w:r>
        <w:rPr>
          <w:spacing w:val="-9"/>
        </w:rPr>
        <w:t xml:space="preserve"> </w:t>
      </w:r>
      <w:r>
        <w:t>armas</w:t>
      </w:r>
      <w:r>
        <w:rPr>
          <w:spacing w:val="-9"/>
        </w:rPr>
        <w:t xml:space="preserve"> </w:t>
      </w:r>
      <w:r>
        <w:t>definitivamente</w:t>
      </w:r>
      <w:r>
        <w:rPr>
          <w:spacing w:val="-9"/>
        </w:rPr>
        <w:t xml:space="preserve"> </w:t>
      </w:r>
      <w:r>
        <w:t>de</w:t>
      </w:r>
      <w:r>
        <w:rPr>
          <w:spacing w:val="-9"/>
        </w:rPr>
        <w:t xml:space="preserve"> </w:t>
      </w:r>
      <w:r>
        <w:t>la</w:t>
      </w:r>
      <w:r>
        <w:rPr>
          <w:spacing w:val="-9"/>
        </w:rPr>
        <w:t xml:space="preserve"> </w:t>
      </w:r>
      <w:r>
        <w:t>política</w:t>
      </w:r>
      <w:r>
        <w:rPr>
          <w:spacing w:val="-9"/>
        </w:rPr>
        <w:t xml:space="preserve"> </w:t>
      </w:r>
      <w:r>
        <w:t>a</w:t>
      </w:r>
      <w:r>
        <w:rPr>
          <w:spacing w:val="-9"/>
        </w:rPr>
        <w:t xml:space="preserve"> </w:t>
      </w:r>
      <w:r>
        <w:t>través</w:t>
      </w:r>
      <w:r>
        <w:rPr>
          <w:spacing w:val="-9"/>
        </w:rPr>
        <w:t xml:space="preserve"> </w:t>
      </w:r>
      <w:r>
        <w:t>de,</w:t>
      </w:r>
      <w:r>
        <w:rPr>
          <w:spacing w:val="-9"/>
        </w:rPr>
        <w:t xml:space="preserve"> </w:t>
      </w:r>
      <w:r>
        <w:t>entre otras</w:t>
      </w:r>
      <w:r>
        <w:rPr>
          <w:spacing w:val="-5"/>
        </w:rPr>
        <w:t xml:space="preserve"> </w:t>
      </w:r>
      <w:r>
        <w:t>acciones,</w:t>
      </w:r>
      <w:r>
        <w:rPr>
          <w:spacing w:val="-5"/>
        </w:rPr>
        <w:t xml:space="preserve"> </w:t>
      </w:r>
      <w:r>
        <w:t>una</w:t>
      </w:r>
      <w:r>
        <w:rPr>
          <w:spacing w:val="-5"/>
        </w:rPr>
        <w:t xml:space="preserve"> </w:t>
      </w:r>
      <w:r>
        <w:t>apertura</w:t>
      </w:r>
      <w:r>
        <w:rPr>
          <w:spacing w:val="-5"/>
        </w:rPr>
        <w:t xml:space="preserve"> </w:t>
      </w:r>
      <w:r>
        <w:t>de</w:t>
      </w:r>
      <w:r>
        <w:rPr>
          <w:spacing w:val="-5"/>
        </w:rPr>
        <w:t xml:space="preserve"> </w:t>
      </w:r>
      <w:r>
        <w:t>la</w:t>
      </w:r>
      <w:r>
        <w:rPr>
          <w:spacing w:val="-5"/>
        </w:rPr>
        <w:t xml:space="preserve"> </w:t>
      </w:r>
      <w:r>
        <w:t>democracia</w:t>
      </w:r>
      <w:r>
        <w:rPr>
          <w:spacing w:val="-5"/>
        </w:rPr>
        <w:t xml:space="preserve"> </w:t>
      </w:r>
      <w:r>
        <w:t>para</w:t>
      </w:r>
      <w:r>
        <w:rPr>
          <w:spacing w:val="-5"/>
        </w:rPr>
        <w:t xml:space="preserve"> </w:t>
      </w:r>
      <w:r>
        <w:t>permitir</w:t>
      </w:r>
      <w:r>
        <w:rPr>
          <w:spacing w:val="-4"/>
        </w:rPr>
        <w:t xml:space="preserve"> </w:t>
      </w:r>
      <w:r>
        <w:t>el</w:t>
      </w:r>
      <w:r>
        <w:rPr>
          <w:spacing w:val="-4"/>
        </w:rPr>
        <w:t xml:space="preserve"> </w:t>
      </w:r>
      <w:r>
        <w:t>surgimiento</w:t>
      </w:r>
      <w:r>
        <w:rPr>
          <w:spacing w:val="-5"/>
        </w:rPr>
        <w:t xml:space="preserve"> </w:t>
      </w:r>
      <w:r>
        <w:t>de</w:t>
      </w:r>
      <w:r>
        <w:rPr>
          <w:spacing w:val="-5"/>
        </w:rPr>
        <w:t xml:space="preserve"> </w:t>
      </w:r>
      <w:r>
        <w:t>nuevas</w:t>
      </w:r>
      <w:r>
        <w:rPr>
          <w:spacing w:val="-5"/>
        </w:rPr>
        <w:t xml:space="preserve"> </w:t>
      </w:r>
      <w:r>
        <w:t>fuerzas en la política y garantizar la participación amplia e incidente de los ciudadanos como condición para la construcción de la paz territorial. Los avances en su implementación han sido pobres.</w:t>
      </w:r>
    </w:p>
    <w:p w:rsidR="003804AC" w:rsidRDefault="00AF18A5" w:rsidP="00680360">
      <w:r>
        <w:t>Se destaca la aprobación del estatuto de la oposición, que era una deuda en materia de cumplimiento de la Constitución de 1991, la aprobación y puesta en marcha de las Circunscripciones Transitorias Especiales de Paz, a pesar de las enormes resistencias y obstáculos,</w:t>
      </w:r>
      <w:r>
        <w:rPr>
          <w:spacing w:val="1"/>
        </w:rPr>
        <w:t xml:space="preserve"> </w:t>
      </w:r>
      <w:r>
        <w:t>y</w:t>
      </w:r>
      <w:r>
        <w:rPr>
          <w:spacing w:val="6"/>
        </w:rPr>
        <w:t xml:space="preserve"> </w:t>
      </w:r>
      <w:r>
        <w:t>la</w:t>
      </w:r>
      <w:r>
        <w:rPr>
          <w:spacing w:val="6"/>
        </w:rPr>
        <w:t xml:space="preserve"> </w:t>
      </w:r>
      <w:r>
        <w:t>puesta</w:t>
      </w:r>
      <w:r>
        <w:rPr>
          <w:spacing w:val="5"/>
        </w:rPr>
        <w:t xml:space="preserve"> </w:t>
      </w:r>
      <w:r>
        <w:t>en</w:t>
      </w:r>
      <w:r>
        <w:rPr>
          <w:spacing w:val="6"/>
        </w:rPr>
        <w:t xml:space="preserve"> </w:t>
      </w:r>
      <w:r>
        <w:t>marcha</w:t>
      </w:r>
      <w:r>
        <w:rPr>
          <w:spacing w:val="6"/>
        </w:rPr>
        <w:t xml:space="preserve"> </w:t>
      </w:r>
      <w:r>
        <w:t>del</w:t>
      </w:r>
      <w:r>
        <w:rPr>
          <w:spacing w:val="6"/>
        </w:rPr>
        <w:t xml:space="preserve"> </w:t>
      </w:r>
      <w:r>
        <w:t>Consejo</w:t>
      </w:r>
      <w:r>
        <w:rPr>
          <w:spacing w:val="5"/>
        </w:rPr>
        <w:t xml:space="preserve"> </w:t>
      </w:r>
      <w:r>
        <w:t>Nacional</w:t>
      </w:r>
      <w:r>
        <w:rPr>
          <w:spacing w:val="6"/>
        </w:rPr>
        <w:t xml:space="preserve"> </w:t>
      </w:r>
      <w:r>
        <w:t>de</w:t>
      </w:r>
      <w:r>
        <w:rPr>
          <w:spacing w:val="6"/>
        </w:rPr>
        <w:t xml:space="preserve"> </w:t>
      </w:r>
      <w:r>
        <w:t>Paz</w:t>
      </w:r>
      <w:r>
        <w:rPr>
          <w:spacing w:val="5"/>
        </w:rPr>
        <w:t xml:space="preserve"> </w:t>
      </w:r>
      <w:r>
        <w:t>y</w:t>
      </w:r>
      <w:r>
        <w:rPr>
          <w:spacing w:val="6"/>
        </w:rPr>
        <w:t xml:space="preserve"> </w:t>
      </w:r>
      <w:r>
        <w:t>los</w:t>
      </w:r>
      <w:r>
        <w:rPr>
          <w:spacing w:val="6"/>
        </w:rPr>
        <w:t xml:space="preserve"> </w:t>
      </w:r>
      <w:r>
        <w:t>Consejos</w:t>
      </w:r>
      <w:r>
        <w:rPr>
          <w:spacing w:val="6"/>
        </w:rPr>
        <w:t xml:space="preserve"> </w:t>
      </w:r>
      <w:r>
        <w:rPr>
          <w:spacing w:val="-2"/>
        </w:rPr>
        <w:t>Territoriales</w:t>
      </w:r>
      <w:r w:rsidR="00680360">
        <w:t xml:space="preserve"> </w:t>
      </w:r>
      <w:r>
        <w:t xml:space="preserve">de </w:t>
      </w:r>
      <w:proofErr w:type="spellStart"/>
      <w:r>
        <w:t>Paz.Sin</w:t>
      </w:r>
      <w:proofErr w:type="spellEnd"/>
      <w:r>
        <w:t xml:space="preserve"> embargo, la reforma política y electoral, la Política Pública de Convivencia, Reconciliación, Tolerancia y no Estigmatización, así como el conjunto de medidas contempladas para la garantizar y fortalecer la participación ciudadana, incluidas aquellas sobre la movilización y la protesta, han tenido pobres avances. En general, las dimensiones de este punto del Acuerdo evidenciaron un progreso importante durante el primer año de implementación, pero luego se estancaron en los cuatro años siguientes</w:t>
      </w:r>
      <w:r w:rsidR="00CB1BB1">
        <w:rPr>
          <w:rStyle w:val="Refdenotaalpie"/>
        </w:rPr>
        <w:footnoteReference w:id="1219"/>
      </w:r>
      <w:r>
        <w:rPr>
          <w:spacing w:val="80"/>
          <w:w w:val="150"/>
        </w:rPr>
        <w:t xml:space="preserve"> </w:t>
      </w:r>
      <w:r>
        <w:t>. Ni las recomendaciones de la Misión Especial Electoral se tradujeron en una reforma al sistema político y al sistema electoral, ni las conclusiones del espacio de diálogo liderado por el Consejo</w:t>
      </w:r>
      <w:r>
        <w:rPr>
          <w:spacing w:val="-3"/>
        </w:rPr>
        <w:t xml:space="preserve"> </w:t>
      </w:r>
      <w:r>
        <w:t>Nacional</w:t>
      </w:r>
      <w:r>
        <w:rPr>
          <w:spacing w:val="-3"/>
        </w:rPr>
        <w:t xml:space="preserve"> </w:t>
      </w:r>
      <w:r>
        <w:t>de</w:t>
      </w:r>
      <w:r>
        <w:rPr>
          <w:spacing w:val="-3"/>
        </w:rPr>
        <w:t xml:space="preserve"> </w:t>
      </w:r>
      <w:r>
        <w:t>Participación,</w:t>
      </w:r>
      <w:r>
        <w:rPr>
          <w:spacing w:val="-3"/>
        </w:rPr>
        <w:t xml:space="preserve"> </w:t>
      </w:r>
      <w:r>
        <w:t>con</w:t>
      </w:r>
      <w:r>
        <w:rPr>
          <w:spacing w:val="-3"/>
        </w:rPr>
        <w:t xml:space="preserve"> </w:t>
      </w:r>
      <w:r>
        <w:lastRenderedPageBreak/>
        <w:t>el</w:t>
      </w:r>
      <w:r>
        <w:rPr>
          <w:spacing w:val="-3"/>
        </w:rPr>
        <w:t xml:space="preserve"> </w:t>
      </w:r>
      <w:r>
        <w:t>apoyo</w:t>
      </w:r>
      <w:r>
        <w:rPr>
          <w:spacing w:val="-3"/>
        </w:rPr>
        <w:t xml:space="preserve"> </w:t>
      </w:r>
      <w:r>
        <w:t>de</w:t>
      </w:r>
      <w:r>
        <w:rPr>
          <w:spacing w:val="-3"/>
        </w:rPr>
        <w:t xml:space="preserve"> </w:t>
      </w:r>
      <w:r>
        <w:t>Viva</w:t>
      </w:r>
      <w:r>
        <w:rPr>
          <w:spacing w:val="-3"/>
        </w:rPr>
        <w:t xml:space="preserve"> </w:t>
      </w:r>
      <w:r>
        <w:t>la</w:t>
      </w:r>
      <w:r>
        <w:rPr>
          <w:spacing w:val="-2"/>
        </w:rPr>
        <w:t xml:space="preserve"> </w:t>
      </w:r>
      <w:r>
        <w:t>Ciudadanía,</w:t>
      </w:r>
      <w:r>
        <w:rPr>
          <w:spacing w:val="-5"/>
        </w:rPr>
        <w:t xml:space="preserve"> </w:t>
      </w:r>
      <w:r>
        <w:t>Foro</w:t>
      </w:r>
      <w:r>
        <w:rPr>
          <w:spacing w:val="-3"/>
        </w:rPr>
        <w:t xml:space="preserve"> </w:t>
      </w:r>
      <w:r>
        <w:t>por</w:t>
      </w:r>
      <w:r>
        <w:rPr>
          <w:spacing w:val="-3"/>
        </w:rPr>
        <w:t xml:space="preserve"> </w:t>
      </w:r>
      <w:r>
        <w:t>Colombia y CINEP, se tradujeron en garantías para las organizaciones sociales y para la movilización y la protesta</w:t>
      </w:r>
      <w:r w:rsidR="00CB1BB1">
        <w:rPr>
          <w:rStyle w:val="Refdenotaalpie"/>
        </w:rPr>
        <w:footnoteReference w:id="1220"/>
      </w:r>
      <w:r>
        <w:t>.</w:t>
      </w:r>
    </w:p>
    <w:p w:rsidR="003804AC" w:rsidRDefault="00AF18A5" w:rsidP="00CB1BB1">
      <w:r>
        <w:t>A</w:t>
      </w:r>
      <w:r>
        <w:rPr>
          <w:spacing w:val="-14"/>
        </w:rPr>
        <w:t xml:space="preserve"> </w:t>
      </w:r>
      <w:r>
        <w:t>partir</w:t>
      </w:r>
      <w:r>
        <w:rPr>
          <w:spacing w:val="-13"/>
        </w:rPr>
        <w:t xml:space="preserve"> </w:t>
      </w:r>
      <w:r>
        <w:t>de</w:t>
      </w:r>
      <w:r>
        <w:rPr>
          <w:spacing w:val="-14"/>
        </w:rPr>
        <w:t xml:space="preserve"> </w:t>
      </w:r>
      <w:r>
        <w:t>estos</w:t>
      </w:r>
      <w:r>
        <w:rPr>
          <w:spacing w:val="-13"/>
        </w:rPr>
        <w:t xml:space="preserve"> </w:t>
      </w:r>
      <w:r>
        <w:t>avances</w:t>
      </w:r>
      <w:r>
        <w:rPr>
          <w:spacing w:val="-14"/>
        </w:rPr>
        <w:t xml:space="preserve"> </w:t>
      </w:r>
      <w:r>
        <w:t>y</w:t>
      </w:r>
      <w:r>
        <w:rPr>
          <w:spacing w:val="-13"/>
        </w:rPr>
        <w:t xml:space="preserve"> </w:t>
      </w:r>
      <w:r>
        <w:t>desafíos,</w:t>
      </w:r>
      <w:r>
        <w:rPr>
          <w:spacing w:val="-14"/>
        </w:rPr>
        <w:t xml:space="preserve"> </w:t>
      </w:r>
      <w:r>
        <w:t>se</w:t>
      </w:r>
      <w:r>
        <w:rPr>
          <w:spacing w:val="-13"/>
        </w:rPr>
        <w:t xml:space="preserve"> </w:t>
      </w:r>
      <w:r>
        <w:t>recomiendan</w:t>
      </w:r>
      <w:r>
        <w:rPr>
          <w:spacing w:val="-13"/>
        </w:rPr>
        <w:t xml:space="preserve"> </w:t>
      </w:r>
      <w:r>
        <w:t>cinco</w:t>
      </w:r>
      <w:r>
        <w:rPr>
          <w:spacing w:val="-14"/>
        </w:rPr>
        <w:t xml:space="preserve"> </w:t>
      </w:r>
      <w:r>
        <w:t>bloques</w:t>
      </w:r>
      <w:r>
        <w:rPr>
          <w:spacing w:val="-13"/>
        </w:rPr>
        <w:t xml:space="preserve"> </w:t>
      </w:r>
      <w:r>
        <w:t>de</w:t>
      </w:r>
      <w:r>
        <w:rPr>
          <w:spacing w:val="-14"/>
        </w:rPr>
        <w:t xml:space="preserve"> </w:t>
      </w:r>
      <w:r>
        <w:t>medidas,</w:t>
      </w:r>
      <w:r>
        <w:rPr>
          <w:spacing w:val="-13"/>
        </w:rPr>
        <w:t xml:space="preserve"> </w:t>
      </w:r>
      <w:r>
        <w:t>necesarias para profundizar</w:t>
      </w:r>
      <w:r>
        <w:rPr>
          <w:spacing w:val="-1"/>
        </w:rPr>
        <w:t xml:space="preserve"> </w:t>
      </w:r>
      <w:r>
        <w:t>la democracia que</w:t>
      </w:r>
      <w:r>
        <w:rPr>
          <w:spacing w:val="-1"/>
        </w:rPr>
        <w:t xml:space="preserve"> </w:t>
      </w:r>
      <w:r>
        <w:t>buscan: 1. la</w:t>
      </w:r>
      <w:r>
        <w:rPr>
          <w:spacing w:val="-1"/>
        </w:rPr>
        <w:t xml:space="preserve"> </w:t>
      </w:r>
      <w:r>
        <w:t>exclusión de las armas</w:t>
      </w:r>
      <w:r>
        <w:rPr>
          <w:spacing w:val="-1"/>
        </w:rPr>
        <w:t xml:space="preserve"> </w:t>
      </w:r>
      <w:r>
        <w:t>de la política; 2. un sistema político amplio desde las bases sociales, equitativo e incluyente de todos los territorios;</w:t>
      </w:r>
      <w:r>
        <w:rPr>
          <w:spacing w:val="-7"/>
        </w:rPr>
        <w:t xml:space="preserve"> </w:t>
      </w:r>
      <w:r>
        <w:t>3.</w:t>
      </w:r>
      <w:r>
        <w:rPr>
          <w:spacing w:val="-7"/>
        </w:rPr>
        <w:t xml:space="preserve"> </w:t>
      </w:r>
      <w:r>
        <w:t>un</w:t>
      </w:r>
      <w:r>
        <w:rPr>
          <w:spacing w:val="-7"/>
        </w:rPr>
        <w:t xml:space="preserve"> </w:t>
      </w:r>
      <w:r>
        <w:t>sistema</w:t>
      </w:r>
      <w:r>
        <w:rPr>
          <w:spacing w:val="-7"/>
        </w:rPr>
        <w:t xml:space="preserve"> </w:t>
      </w:r>
      <w:r>
        <w:t>político</w:t>
      </w:r>
      <w:r>
        <w:rPr>
          <w:spacing w:val="-7"/>
        </w:rPr>
        <w:t xml:space="preserve"> </w:t>
      </w:r>
      <w:r>
        <w:t>con</w:t>
      </w:r>
      <w:r>
        <w:rPr>
          <w:spacing w:val="-8"/>
        </w:rPr>
        <w:t xml:space="preserve"> </w:t>
      </w:r>
      <w:r>
        <w:t>garantías</w:t>
      </w:r>
      <w:r>
        <w:rPr>
          <w:spacing w:val="-7"/>
        </w:rPr>
        <w:t xml:space="preserve"> </w:t>
      </w:r>
      <w:r>
        <w:t>de</w:t>
      </w:r>
      <w:r>
        <w:rPr>
          <w:spacing w:val="-8"/>
        </w:rPr>
        <w:t xml:space="preserve"> </w:t>
      </w:r>
      <w:r>
        <w:t>participación</w:t>
      </w:r>
      <w:r>
        <w:rPr>
          <w:spacing w:val="-7"/>
        </w:rPr>
        <w:t xml:space="preserve"> </w:t>
      </w:r>
      <w:r>
        <w:t>para</w:t>
      </w:r>
      <w:r>
        <w:rPr>
          <w:spacing w:val="-7"/>
        </w:rPr>
        <w:t xml:space="preserve"> </w:t>
      </w:r>
      <w:r>
        <w:t>los</w:t>
      </w:r>
      <w:r>
        <w:rPr>
          <w:spacing w:val="-7"/>
        </w:rPr>
        <w:t xml:space="preserve"> </w:t>
      </w:r>
      <w:r>
        <w:t>grupos</w:t>
      </w:r>
      <w:r>
        <w:rPr>
          <w:spacing w:val="-7"/>
        </w:rPr>
        <w:t xml:space="preserve"> </w:t>
      </w:r>
      <w:r>
        <w:t>minoritarios, la movilización y la protesta social; 4. un sistema político garantías para líderes y lideresas sociales,</w:t>
      </w:r>
      <w:r>
        <w:rPr>
          <w:spacing w:val="-14"/>
        </w:rPr>
        <w:t xml:space="preserve"> </w:t>
      </w:r>
      <w:r>
        <w:t>defensores</w:t>
      </w:r>
      <w:r>
        <w:rPr>
          <w:spacing w:val="-14"/>
        </w:rPr>
        <w:t xml:space="preserve"> </w:t>
      </w:r>
      <w:r>
        <w:t>y</w:t>
      </w:r>
      <w:r>
        <w:rPr>
          <w:spacing w:val="-14"/>
        </w:rPr>
        <w:t xml:space="preserve"> </w:t>
      </w:r>
      <w:r>
        <w:t>defensoras</w:t>
      </w:r>
      <w:r>
        <w:rPr>
          <w:spacing w:val="-14"/>
        </w:rPr>
        <w:t xml:space="preserve"> </w:t>
      </w:r>
      <w:r>
        <w:t>de</w:t>
      </w:r>
      <w:r>
        <w:rPr>
          <w:spacing w:val="-15"/>
        </w:rPr>
        <w:t xml:space="preserve"> </w:t>
      </w:r>
      <w:r>
        <w:t>derechos</w:t>
      </w:r>
      <w:r>
        <w:rPr>
          <w:spacing w:val="-14"/>
        </w:rPr>
        <w:t xml:space="preserve"> </w:t>
      </w:r>
      <w:r>
        <w:t>humanos</w:t>
      </w:r>
      <w:r>
        <w:rPr>
          <w:spacing w:val="-14"/>
        </w:rPr>
        <w:t xml:space="preserve"> </w:t>
      </w:r>
      <w:r>
        <w:t>y</w:t>
      </w:r>
      <w:r>
        <w:rPr>
          <w:spacing w:val="-14"/>
        </w:rPr>
        <w:t xml:space="preserve"> </w:t>
      </w:r>
      <w:r>
        <w:t>opositores</w:t>
      </w:r>
      <w:r>
        <w:rPr>
          <w:spacing w:val="-14"/>
        </w:rPr>
        <w:t xml:space="preserve"> </w:t>
      </w:r>
      <w:r>
        <w:t>políticos;</w:t>
      </w:r>
      <w:r>
        <w:rPr>
          <w:spacing w:val="-14"/>
        </w:rPr>
        <w:t xml:space="preserve"> </w:t>
      </w:r>
      <w:r>
        <w:t>y</w:t>
      </w:r>
      <w:r>
        <w:rPr>
          <w:spacing w:val="-14"/>
        </w:rPr>
        <w:t xml:space="preserve"> </w:t>
      </w:r>
      <w:r>
        <w:t>5.</w:t>
      </w:r>
      <w:r>
        <w:rPr>
          <w:spacing w:val="-14"/>
        </w:rPr>
        <w:t xml:space="preserve"> </w:t>
      </w:r>
      <w:r>
        <w:t>un</w:t>
      </w:r>
      <w:r>
        <w:rPr>
          <w:spacing w:val="-14"/>
        </w:rPr>
        <w:t xml:space="preserve"> </w:t>
      </w:r>
      <w:r>
        <w:t xml:space="preserve">sistema que promueva medidas de inclusión de campesinos y campesinas como sujeto político, de las mujeres (con la desestructuración del patriarcado) y de los pueblos étnicos (indígenas, negros, afrocolombianos, palenqueros, raizales y </w:t>
      </w:r>
      <w:proofErr w:type="spellStart"/>
      <w:r>
        <w:t>rom</w:t>
      </w:r>
      <w:proofErr w:type="spellEnd"/>
      <w:r>
        <w:t>).</w:t>
      </w:r>
    </w:p>
    <w:p w:rsidR="003804AC" w:rsidRDefault="00AF18A5" w:rsidP="00CB1BB1">
      <w:r>
        <w:t>La Comisión le apuesta al diálogo y la participación como herramienta central para resolver conflictos y garantizar los derechos fundamentales. Hacemos, también, un llamado al</w:t>
      </w:r>
      <w:r>
        <w:rPr>
          <w:spacing w:val="-1"/>
        </w:rPr>
        <w:t xml:space="preserve"> </w:t>
      </w:r>
      <w:r>
        <w:t>respeto</w:t>
      </w:r>
      <w:r>
        <w:rPr>
          <w:spacing w:val="-2"/>
        </w:rPr>
        <w:t xml:space="preserve"> </w:t>
      </w:r>
      <w:r>
        <w:t>y</w:t>
      </w:r>
      <w:r>
        <w:rPr>
          <w:spacing w:val="-2"/>
        </w:rPr>
        <w:t xml:space="preserve"> </w:t>
      </w:r>
      <w:r>
        <w:t>la</w:t>
      </w:r>
      <w:r>
        <w:rPr>
          <w:spacing w:val="-1"/>
        </w:rPr>
        <w:t xml:space="preserve"> </w:t>
      </w:r>
      <w:r>
        <w:t>valoración</w:t>
      </w:r>
      <w:r>
        <w:rPr>
          <w:spacing w:val="-1"/>
        </w:rPr>
        <w:t xml:space="preserve"> </w:t>
      </w:r>
      <w:r>
        <w:t>de</w:t>
      </w:r>
      <w:r>
        <w:rPr>
          <w:spacing w:val="-1"/>
        </w:rPr>
        <w:t xml:space="preserve"> </w:t>
      </w:r>
      <w:r>
        <w:t>la</w:t>
      </w:r>
      <w:r>
        <w:rPr>
          <w:spacing w:val="-2"/>
        </w:rPr>
        <w:t xml:space="preserve"> </w:t>
      </w:r>
      <w:r>
        <w:t>movilización</w:t>
      </w:r>
      <w:r>
        <w:rPr>
          <w:spacing w:val="-1"/>
        </w:rPr>
        <w:t xml:space="preserve"> </w:t>
      </w:r>
      <w:r>
        <w:t>social</w:t>
      </w:r>
      <w:r>
        <w:rPr>
          <w:spacing w:val="-1"/>
        </w:rPr>
        <w:t xml:space="preserve"> </w:t>
      </w:r>
      <w:r>
        <w:t>y</w:t>
      </w:r>
      <w:r>
        <w:rPr>
          <w:spacing w:val="-2"/>
        </w:rPr>
        <w:t xml:space="preserve"> </w:t>
      </w:r>
      <w:r>
        <w:t>la</w:t>
      </w:r>
      <w:r>
        <w:rPr>
          <w:spacing w:val="-1"/>
        </w:rPr>
        <w:t xml:space="preserve"> </w:t>
      </w:r>
      <w:r>
        <w:t>protesta</w:t>
      </w:r>
      <w:r>
        <w:rPr>
          <w:spacing w:val="-1"/>
        </w:rPr>
        <w:t xml:space="preserve"> </w:t>
      </w:r>
      <w:r>
        <w:t>por</w:t>
      </w:r>
      <w:r>
        <w:rPr>
          <w:spacing w:val="-1"/>
        </w:rPr>
        <w:t xml:space="preserve"> </w:t>
      </w:r>
      <w:r>
        <w:t>parte</w:t>
      </w:r>
      <w:r>
        <w:rPr>
          <w:spacing w:val="-2"/>
        </w:rPr>
        <w:t xml:space="preserve"> </w:t>
      </w:r>
      <w:r>
        <w:t>de</w:t>
      </w:r>
      <w:r>
        <w:rPr>
          <w:spacing w:val="-1"/>
        </w:rPr>
        <w:t xml:space="preserve"> </w:t>
      </w:r>
      <w:r>
        <w:t>la</w:t>
      </w:r>
      <w:r>
        <w:rPr>
          <w:spacing w:val="-2"/>
        </w:rPr>
        <w:t xml:space="preserve"> </w:t>
      </w:r>
      <w:r>
        <w:t>sociedad,</w:t>
      </w:r>
      <w:r>
        <w:rPr>
          <w:spacing w:val="-1"/>
        </w:rPr>
        <w:t xml:space="preserve"> </w:t>
      </w:r>
      <w:r>
        <w:t>así como</w:t>
      </w:r>
      <w:r>
        <w:rPr>
          <w:spacing w:val="-1"/>
        </w:rPr>
        <w:t xml:space="preserve"> </w:t>
      </w:r>
      <w:r>
        <w:t>un</w:t>
      </w:r>
      <w:r>
        <w:rPr>
          <w:spacing w:val="-2"/>
        </w:rPr>
        <w:t xml:space="preserve"> </w:t>
      </w:r>
      <w:r>
        <w:t>reconocimiento</w:t>
      </w:r>
      <w:r>
        <w:rPr>
          <w:spacing w:val="-2"/>
        </w:rPr>
        <w:t xml:space="preserve"> </w:t>
      </w:r>
      <w:r>
        <w:t>de</w:t>
      </w:r>
      <w:r>
        <w:rPr>
          <w:spacing w:val="-1"/>
        </w:rPr>
        <w:t xml:space="preserve"> </w:t>
      </w:r>
      <w:r>
        <w:t>que</w:t>
      </w:r>
      <w:r>
        <w:rPr>
          <w:spacing w:val="-2"/>
        </w:rPr>
        <w:t xml:space="preserve"> </w:t>
      </w:r>
      <w:r>
        <w:t>la</w:t>
      </w:r>
      <w:r>
        <w:rPr>
          <w:spacing w:val="-2"/>
        </w:rPr>
        <w:t xml:space="preserve"> </w:t>
      </w:r>
      <w:r>
        <w:t>violencia</w:t>
      </w:r>
      <w:r>
        <w:rPr>
          <w:spacing w:val="-1"/>
        </w:rPr>
        <w:t xml:space="preserve"> </w:t>
      </w:r>
      <w:r>
        <w:t>y</w:t>
      </w:r>
      <w:r>
        <w:rPr>
          <w:spacing w:val="-2"/>
        </w:rPr>
        <w:t xml:space="preserve"> </w:t>
      </w:r>
      <w:r>
        <w:t>la</w:t>
      </w:r>
      <w:r>
        <w:rPr>
          <w:spacing w:val="-2"/>
        </w:rPr>
        <w:t xml:space="preserve"> </w:t>
      </w:r>
      <w:r>
        <w:t>represión</w:t>
      </w:r>
      <w:r>
        <w:rPr>
          <w:spacing w:val="-1"/>
        </w:rPr>
        <w:t xml:space="preserve"> </w:t>
      </w:r>
      <w:r>
        <w:t>han</w:t>
      </w:r>
      <w:r>
        <w:rPr>
          <w:spacing w:val="-1"/>
        </w:rPr>
        <w:t xml:space="preserve"> </w:t>
      </w:r>
      <w:r>
        <w:t>sido</w:t>
      </w:r>
      <w:r>
        <w:rPr>
          <w:spacing w:val="-1"/>
        </w:rPr>
        <w:t xml:space="preserve"> </w:t>
      </w:r>
      <w:r>
        <w:t>una</w:t>
      </w:r>
      <w:r>
        <w:rPr>
          <w:spacing w:val="-1"/>
        </w:rPr>
        <w:t xml:space="preserve"> </w:t>
      </w:r>
      <w:r>
        <w:t>respuesta</w:t>
      </w:r>
      <w:r>
        <w:rPr>
          <w:spacing w:val="-2"/>
        </w:rPr>
        <w:t xml:space="preserve"> </w:t>
      </w:r>
      <w:r>
        <w:t>constante a</w:t>
      </w:r>
      <w:r>
        <w:rPr>
          <w:spacing w:val="19"/>
        </w:rPr>
        <w:t xml:space="preserve"> </w:t>
      </w:r>
      <w:r>
        <w:t>la</w:t>
      </w:r>
      <w:r>
        <w:rPr>
          <w:spacing w:val="20"/>
        </w:rPr>
        <w:t xml:space="preserve"> </w:t>
      </w:r>
      <w:r>
        <w:t>defensa</w:t>
      </w:r>
      <w:r>
        <w:rPr>
          <w:spacing w:val="19"/>
        </w:rPr>
        <w:t xml:space="preserve"> </w:t>
      </w:r>
      <w:r>
        <w:t>de</w:t>
      </w:r>
      <w:r>
        <w:rPr>
          <w:spacing w:val="20"/>
        </w:rPr>
        <w:t xml:space="preserve"> </w:t>
      </w:r>
      <w:r>
        <w:t>los</w:t>
      </w:r>
      <w:r>
        <w:rPr>
          <w:spacing w:val="20"/>
        </w:rPr>
        <w:t xml:space="preserve"> </w:t>
      </w:r>
      <w:r>
        <w:t>derechos</w:t>
      </w:r>
      <w:r>
        <w:rPr>
          <w:spacing w:val="19"/>
        </w:rPr>
        <w:t xml:space="preserve"> </w:t>
      </w:r>
      <w:r>
        <w:t>en</w:t>
      </w:r>
      <w:r>
        <w:rPr>
          <w:spacing w:val="20"/>
        </w:rPr>
        <w:t xml:space="preserve"> </w:t>
      </w:r>
      <w:r>
        <w:t>el</w:t>
      </w:r>
      <w:r>
        <w:rPr>
          <w:spacing w:val="21"/>
        </w:rPr>
        <w:t xml:space="preserve"> </w:t>
      </w:r>
      <w:r>
        <w:t>país.</w:t>
      </w:r>
      <w:r>
        <w:rPr>
          <w:spacing w:val="20"/>
        </w:rPr>
        <w:t xml:space="preserve"> </w:t>
      </w:r>
      <w:r>
        <w:t>Por</w:t>
      </w:r>
      <w:r>
        <w:rPr>
          <w:spacing w:val="21"/>
        </w:rPr>
        <w:t xml:space="preserve"> </w:t>
      </w:r>
      <w:r>
        <w:t>esto,</w:t>
      </w:r>
      <w:r>
        <w:rPr>
          <w:spacing w:val="19"/>
        </w:rPr>
        <w:t xml:space="preserve"> </w:t>
      </w:r>
      <w:r>
        <w:t>la</w:t>
      </w:r>
      <w:r>
        <w:rPr>
          <w:spacing w:val="20"/>
        </w:rPr>
        <w:t xml:space="preserve"> </w:t>
      </w:r>
      <w:r>
        <w:t>participación</w:t>
      </w:r>
      <w:r>
        <w:rPr>
          <w:spacing w:val="20"/>
        </w:rPr>
        <w:t xml:space="preserve"> </w:t>
      </w:r>
      <w:r>
        <w:t>ciudadana</w:t>
      </w:r>
      <w:r>
        <w:rPr>
          <w:spacing w:val="20"/>
        </w:rPr>
        <w:t xml:space="preserve"> </w:t>
      </w:r>
      <w:r>
        <w:t>se</w:t>
      </w:r>
      <w:r>
        <w:rPr>
          <w:spacing w:val="20"/>
        </w:rPr>
        <w:t xml:space="preserve"> </w:t>
      </w:r>
      <w:r>
        <w:t>incluye</w:t>
      </w:r>
      <w:r>
        <w:rPr>
          <w:spacing w:val="20"/>
        </w:rPr>
        <w:t xml:space="preserve"> </w:t>
      </w:r>
      <w:r>
        <w:rPr>
          <w:spacing w:val="-5"/>
        </w:rPr>
        <w:t>de</w:t>
      </w:r>
      <w:bookmarkStart w:id="1564" w:name="_bookmark1364"/>
      <w:bookmarkStart w:id="1565" w:name="_bookmark1365"/>
      <w:bookmarkEnd w:id="1564"/>
      <w:bookmarkEnd w:id="1565"/>
      <w:r w:rsidR="00CB1BB1">
        <w:rPr>
          <w:spacing w:val="-5"/>
        </w:rPr>
        <w:t xml:space="preserve"> </w:t>
      </w:r>
      <w:r>
        <w:t>manera</w:t>
      </w:r>
      <w:r>
        <w:rPr>
          <w:spacing w:val="-9"/>
        </w:rPr>
        <w:t xml:space="preserve"> </w:t>
      </w:r>
      <w:r>
        <w:t>transversal</w:t>
      </w:r>
      <w:r>
        <w:rPr>
          <w:spacing w:val="-10"/>
        </w:rPr>
        <w:t xml:space="preserve"> </w:t>
      </w:r>
      <w:r>
        <w:t>en</w:t>
      </w:r>
      <w:r>
        <w:rPr>
          <w:spacing w:val="-11"/>
        </w:rPr>
        <w:t xml:space="preserve"> </w:t>
      </w:r>
      <w:r>
        <w:t>todos</w:t>
      </w:r>
      <w:r>
        <w:rPr>
          <w:spacing w:val="-9"/>
        </w:rPr>
        <w:t xml:space="preserve"> </w:t>
      </w:r>
      <w:r>
        <w:t>los</w:t>
      </w:r>
      <w:r>
        <w:rPr>
          <w:spacing w:val="-10"/>
        </w:rPr>
        <w:t xml:space="preserve"> </w:t>
      </w:r>
      <w:r>
        <w:t>temas</w:t>
      </w:r>
      <w:r>
        <w:rPr>
          <w:spacing w:val="-12"/>
        </w:rPr>
        <w:t xml:space="preserve"> </w:t>
      </w:r>
      <w:r>
        <w:t>de</w:t>
      </w:r>
      <w:r>
        <w:rPr>
          <w:spacing w:val="-9"/>
        </w:rPr>
        <w:t xml:space="preserve"> </w:t>
      </w:r>
      <w:r>
        <w:t>las</w:t>
      </w:r>
      <w:r>
        <w:rPr>
          <w:spacing w:val="-9"/>
        </w:rPr>
        <w:t xml:space="preserve"> </w:t>
      </w:r>
      <w:r>
        <w:t>recomendaciones</w:t>
      </w:r>
      <w:r>
        <w:rPr>
          <w:spacing w:val="-9"/>
        </w:rPr>
        <w:t xml:space="preserve"> </w:t>
      </w:r>
      <w:r>
        <w:t>como</w:t>
      </w:r>
      <w:r>
        <w:rPr>
          <w:spacing w:val="-9"/>
        </w:rPr>
        <w:t xml:space="preserve"> </w:t>
      </w:r>
      <w:r>
        <w:t>la</w:t>
      </w:r>
      <w:r>
        <w:rPr>
          <w:spacing w:val="-9"/>
        </w:rPr>
        <w:t xml:space="preserve"> </w:t>
      </w:r>
      <w:r>
        <w:t>principal</w:t>
      </w:r>
      <w:r>
        <w:rPr>
          <w:spacing w:val="-10"/>
        </w:rPr>
        <w:t xml:space="preserve"> </w:t>
      </w:r>
      <w:r>
        <w:t>herramienta para restablecer el tejido social y la confianza entre ciudadanos e instituciones.</w:t>
      </w:r>
    </w:p>
    <w:p w:rsidR="003804AC" w:rsidRDefault="00AF18A5" w:rsidP="007B11B8">
      <w:r>
        <w:lastRenderedPageBreak/>
        <w:t>Así,</w:t>
      </w:r>
      <w:r>
        <w:rPr>
          <w:spacing w:val="-15"/>
        </w:rPr>
        <w:t xml:space="preserve"> </w:t>
      </w:r>
      <w:r>
        <w:t>en</w:t>
      </w:r>
      <w:r>
        <w:rPr>
          <w:spacing w:val="-15"/>
        </w:rPr>
        <w:t xml:space="preserve"> </w:t>
      </w:r>
      <w:r>
        <w:t>primer</w:t>
      </w:r>
      <w:r>
        <w:rPr>
          <w:spacing w:val="-15"/>
        </w:rPr>
        <w:t xml:space="preserve"> </w:t>
      </w:r>
      <w:r>
        <w:t>lugar,</w:t>
      </w:r>
      <w:r>
        <w:rPr>
          <w:spacing w:val="-15"/>
        </w:rPr>
        <w:t xml:space="preserve"> </w:t>
      </w:r>
      <w:r>
        <w:t>se</w:t>
      </w:r>
      <w:r>
        <w:rPr>
          <w:spacing w:val="-15"/>
        </w:rPr>
        <w:t xml:space="preserve"> </w:t>
      </w:r>
      <w:r>
        <w:t>propone</w:t>
      </w:r>
      <w:r>
        <w:rPr>
          <w:spacing w:val="-15"/>
        </w:rPr>
        <w:t xml:space="preserve"> </w:t>
      </w:r>
      <w:r>
        <w:t>reconocer</w:t>
      </w:r>
      <w:r>
        <w:rPr>
          <w:spacing w:val="-15"/>
        </w:rPr>
        <w:t xml:space="preserve"> </w:t>
      </w:r>
      <w:r>
        <w:t>los</w:t>
      </w:r>
      <w:r>
        <w:rPr>
          <w:spacing w:val="-15"/>
        </w:rPr>
        <w:t xml:space="preserve"> </w:t>
      </w:r>
      <w:r>
        <w:t>déficits</w:t>
      </w:r>
      <w:r>
        <w:rPr>
          <w:spacing w:val="-15"/>
        </w:rPr>
        <w:t xml:space="preserve"> </w:t>
      </w:r>
      <w:r>
        <w:t>que</w:t>
      </w:r>
      <w:r>
        <w:rPr>
          <w:spacing w:val="-15"/>
        </w:rPr>
        <w:t xml:space="preserve"> </w:t>
      </w:r>
      <w:r>
        <w:t>persisten</w:t>
      </w:r>
      <w:r>
        <w:rPr>
          <w:spacing w:val="-15"/>
        </w:rPr>
        <w:t xml:space="preserve"> </w:t>
      </w:r>
      <w:r>
        <w:t>en</w:t>
      </w:r>
      <w:r>
        <w:rPr>
          <w:spacing w:val="-15"/>
        </w:rPr>
        <w:t xml:space="preserve"> </w:t>
      </w:r>
      <w:r>
        <w:t>nuestra</w:t>
      </w:r>
      <w:r>
        <w:rPr>
          <w:spacing w:val="-15"/>
        </w:rPr>
        <w:t xml:space="preserve"> </w:t>
      </w:r>
      <w:r>
        <w:t>democracia y</w:t>
      </w:r>
      <w:r>
        <w:rPr>
          <w:spacing w:val="-4"/>
        </w:rPr>
        <w:t xml:space="preserve"> </w:t>
      </w:r>
      <w:r>
        <w:t>valorar</w:t>
      </w:r>
      <w:r>
        <w:rPr>
          <w:spacing w:val="-3"/>
        </w:rPr>
        <w:t xml:space="preserve"> </w:t>
      </w:r>
      <w:r>
        <w:t>y</w:t>
      </w:r>
      <w:r>
        <w:rPr>
          <w:spacing w:val="-4"/>
        </w:rPr>
        <w:t xml:space="preserve"> </w:t>
      </w:r>
      <w:r>
        <w:t>promover</w:t>
      </w:r>
      <w:r>
        <w:rPr>
          <w:spacing w:val="-3"/>
        </w:rPr>
        <w:t xml:space="preserve"> </w:t>
      </w:r>
      <w:r>
        <w:t>el</w:t>
      </w:r>
      <w:r>
        <w:rPr>
          <w:spacing w:val="-3"/>
        </w:rPr>
        <w:t xml:space="preserve"> </w:t>
      </w:r>
      <w:r>
        <w:t>diálogo</w:t>
      </w:r>
      <w:r>
        <w:rPr>
          <w:spacing w:val="-4"/>
        </w:rPr>
        <w:t xml:space="preserve"> </w:t>
      </w:r>
      <w:r>
        <w:t>y</w:t>
      </w:r>
      <w:r>
        <w:rPr>
          <w:spacing w:val="-4"/>
        </w:rPr>
        <w:t xml:space="preserve"> </w:t>
      </w:r>
      <w:r>
        <w:t>la</w:t>
      </w:r>
      <w:r>
        <w:rPr>
          <w:spacing w:val="-3"/>
        </w:rPr>
        <w:t xml:space="preserve"> </w:t>
      </w:r>
      <w:r>
        <w:t>participación</w:t>
      </w:r>
      <w:r>
        <w:rPr>
          <w:spacing w:val="-5"/>
        </w:rPr>
        <w:t xml:space="preserve"> </w:t>
      </w:r>
      <w:r>
        <w:t>ciudadana</w:t>
      </w:r>
      <w:r>
        <w:rPr>
          <w:spacing w:val="-3"/>
        </w:rPr>
        <w:t xml:space="preserve"> </w:t>
      </w:r>
      <w:r>
        <w:t>para</w:t>
      </w:r>
      <w:r>
        <w:rPr>
          <w:spacing w:val="-3"/>
        </w:rPr>
        <w:t xml:space="preserve"> </w:t>
      </w:r>
      <w:r>
        <w:t>lograr</w:t>
      </w:r>
      <w:r>
        <w:rPr>
          <w:spacing w:val="-3"/>
        </w:rPr>
        <w:t xml:space="preserve"> </w:t>
      </w:r>
      <w:r>
        <w:t>restablecer</w:t>
      </w:r>
      <w:r>
        <w:rPr>
          <w:spacing w:val="-3"/>
        </w:rPr>
        <w:t xml:space="preserve"> </w:t>
      </w:r>
      <w:r>
        <w:t>el</w:t>
      </w:r>
      <w:r>
        <w:rPr>
          <w:spacing w:val="-3"/>
        </w:rPr>
        <w:t xml:space="preserve"> </w:t>
      </w:r>
      <w:r>
        <w:t>tejido social y la construcción de paz. Junto a este llamado, se propone avanzar con un Pacto Nacional de rechazo a la violencia y a la combinación de armas y política –un compromiso incumplido del Acuerdo Final de Paz– a través de diálogos que contribuyan a poner fin a la violencia política desde lo local hasta lo nacional.</w:t>
      </w:r>
    </w:p>
    <w:p w:rsidR="003804AC" w:rsidRDefault="00AF18A5" w:rsidP="007B11B8">
      <w:r>
        <w:t>En segundo lugar, se proponen reformas al régimen político y electoral dirigidas a fortalecer la democracia, los partidos y su veeduría como un proceso de democratización territorial al interior de las regiones, en el que se garantice mayor representación de los sectores tradicionalmente excluidos. Al mismo tiempo, se proponen cambios en pro de una democratización nacional que</w:t>
      </w:r>
      <w:r>
        <w:rPr>
          <w:spacing w:val="-1"/>
        </w:rPr>
        <w:t xml:space="preserve"> </w:t>
      </w:r>
      <w:r>
        <w:t>revierta la</w:t>
      </w:r>
      <w:r>
        <w:rPr>
          <w:spacing w:val="-1"/>
        </w:rPr>
        <w:t xml:space="preserve"> </w:t>
      </w:r>
      <w:r>
        <w:t>subrepresentación de los</w:t>
      </w:r>
      <w:r>
        <w:rPr>
          <w:spacing w:val="-1"/>
        </w:rPr>
        <w:t xml:space="preserve"> </w:t>
      </w:r>
      <w:r>
        <w:t>territorios que</w:t>
      </w:r>
      <w:r>
        <w:rPr>
          <w:spacing w:val="-1"/>
        </w:rPr>
        <w:t xml:space="preserve"> </w:t>
      </w:r>
      <w:r>
        <w:t>han</w:t>
      </w:r>
      <w:r>
        <w:rPr>
          <w:spacing w:val="-1"/>
        </w:rPr>
        <w:t xml:space="preserve"> </w:t>
      </w:r>
      <w:r>
        <w:t xml:space="preserve">estado históricamente en la periferia y que tienen los indicadores más altos de pobreza </w:t>
      </w:r>
      <w:r>
        <w:rPr>
          <w:spacing w:val="-2"/>
        </w:rPr>
        <w:t>multidimensional.</w:t>
      </w:r>
    </w:p>
    <w:p w:rsidR="003804AC" w:rsidRDefault="00AF18A5" w:rsidP="002C253D">
      <w:r>
        <w:t>En tercer lugar, se recomiendan medidas para fortalecer la participación y el diálogo deliberativo de la ciudadanía con las autoridades, partiendo del cumplimiento de los compromisos adquiridos por el Estado en espacios con distintos grupos y sectores y con garantías para mujeres, personas LGBTIQ+ y comunidades.</w:t>
      </w:r>
    </w:p>
    <w:p w:rsidR="003804AC" w:rsidRDefault="00AF18A5" w:rsidP="002C253D">
      <w:r>
        <w:t xml:space="preserve">En cuarto lugar, se proponen ajustes institucionales, políticos, sociales y culturales necesarios para garantizar el derecho a la protesta y a la movilización, como parte esencial de una sociedad democrática que avanza en la protección de derechos. Estos buscan acabar con la represión violenta y su estigmatización, que están conectadas con medidas de limitación y definición de roles de la fuerza pública, y hacen </w:t>
      </w:r>
      <w:r>
        <w:lastRenderedPageBreak/>
        <w:t xml:space="preserve">énfasis en el rol de la Policía como garante del derecho a la protesta. Estas recomendaciones tienen en cuenta las implicaciones del estallido social que se dio en 2019, los estándares internacionales y regionales, las recomendaciones de Human </w:t>
      </w:r>
      <w:proofErr w:type="spellStart"/>
      <w:r>
        <w:t>Rights</w:t>
      </w:r>
      <w:proofErr w:type="spellEnd"/>
      <w:r>
        <w:t xml:space="preserve"> </w:t>
      </w:r>
      <w:proofErr w:type="spellStart"/>
      <w:r>
        <w:t>Watch</w:t>
      </w:r>
      <w:proofErr w:type="spellEnd"/>
      <w:r>
        <w:t>, las órdenes de las cortes y las respuestas</w:t>
      </w:r>
      <w:r>
        <w:rPr>
          <w:spacing w:val="-7"/>
        </w:rPr>
        <w:t xml:space="preserve"> </w:t>
      </w:r>
      <w:r>
        <w:t>que</w:t>
      </w:r>
      <w:r>
        <w:rPr>
          <w:spacing w:val="-4"/>
        </w:rPr>
        <w:t xml:space="preserve"> </w:t>
      </w:r>
      <w:r>
        <w:t>el</w:t>
      </w:r>
      <w:r>
        <w:rPr>
          <w:spacing w:val="-5"/>
        </w:rPr>
        <w:t xml:space="preserve"> </w:t>
      </w:r>
      <w:r>
        <w:t>Gobierno</w:t>
      </w:r>
      <w:r>
        <w:rPr>
          <w:spacing w:val="-4"/>
        </w:rPr>
        <w:t xml:space="preserve"> </w:t>
      </w:r>
      <w:r>
        <w:t>y</w:t>
      </w:r>
      <w:r>
        <w:rPr>
          <w:spacing w:val="-4"/>
        </w:rPr>
        <w:t xml:space="preserve"> </w:t>
      </w:r>
      <w:r>
        <w:t>entidades</w:t>
      </w:r>
      <w:r>
        <w:rPr>
          <w:spacing w:val="-4"/>
        </w:rPr>
        <w:t xml:space="preserve"> </w:t>
      </w:r>
      <w:r>
        <w:t>del</w:t>
      </w:r>
      <w:r>
        <w:rPr>
          <w:spacing w:val="-5"/>
        </w:rPr>
        <w:t xml:space="preserve"> </w:t>
      </w:r>
      <w:r>
        <w:t>estado</w:t>
      </w:r>
      <w:r>
        <w:rPr>
          <w:spacing w:val="-5"/>
        </w:rPr>
        <w:t xml:space="preserve"> </w:t>
      </w:r>
      <w:r>
        <w:t>han</w:t>
      </w:r>
      <w:r>
        <w:rPr>
          <w:spacing w:val="-4"/>
        </w:rPr>
        <w:t xml:space="preserve"> </w:t>
      </w:r>
      <w:r>
        <w:t>realizado</w:t>
      </w:r>
      <w:r>
        <w:rPr>
          <w:spacing w:val="-4"/>
        </w:rPr>
        <w:t xml:space="preserve"> </w:t>
      </w:r>
      <w:r>
        <w:t>hasta</w:t>
      </w:r>
      <w:r>
        <w:rPr>
          <w:spacing w:val="-5"/>
        </w:rPr>
        <w:t xml:space="preserve"> </w:t>
      </w:r>
      <w:r>
        <w:t>la</w:t>
      </w:r>
      <w:r>
        <w:rPr>
          <w:spacing w:val="-5"/>
        </w:rPr>
        <w:t xml:space="preserve"> </w:t>
      </w:r>
      <w:r>
        <w:t>fecha.</w:t>
      </w:r>
      <w:r>
        <w:rPr>
          <w:spacing w:val="-4"/>
        </w:rPr>
        <w:t xml:space="preserve"> </w:t>
      </w:r>
      <w:r>
        <w:t>Sin</w:t>
      </w:r>
      <w:r>
        <w:rPr>
          <w:spacing w:val="-5"/>
        </w:rPr>
        <w:t xml:space="preserve"> </w:t>
      </w:r>
      <w:r>
        <w:rPr>
          <w:spacing w:val="-2"/>
        </w:rPr>
        <w:t>embargo,</w:t>
      </w:r>
      <w:r w:rsidR="002C253D">
        <w:t xml:space="preserve"> </w:t>
      </w:r>
      <w:r>
        <w:t>más allá de normas que cumplan con estos estándares, se llama a una profunda transformación social en la que la protesta y la manifestación sean respetadas y valoradas.</w:t>
      </w:r>
    </w:p>
    <w:p w:rsidR="003804AC" w:rsidRDefault="00AF18A5" w:rsidP="002C253D">
      <w:r>
        <w:t>En quinto</w:t>
      </w:r>
      <w:r>
        <w:rPr>
          <w:spacing w:val="-1"/>
        </w:rPr>
        <w:t xml:space="preserve"> </w:t>
      </w:r>
      <w:r>
        <w:t>lugar, se</w:t>
      </w:r>
      <w:r>
        <w:rPr>
          <w:spacing w:val="-1"/>
        </w:rPr>
        <w:t xml:space="preserve"> </w:t>
      </w:r>
      <w:r>
        <w:t>proponen medidas para garantizar el ejercicio</w:t>
      </w:r>
      <w:r>
        <w:rPr>
          <w:spacing w:val="-1"/>
        </w:rPr>
        <w:t xml:space="preserve"> </w:t>
      </w:r>
      <w:r>
        <w:t>de una</w:t>
      </w:r>
      <w:r>
        <w:rPr>
          <w:spacing w:val="-1"/>
        </w:rPr>
        <w:t xml:space="preserve"> </w:t>
      </w:r>
      <w:r>
        <w:t>política libre de violencia, en especial para líderes y lideresas sociales, defensores y defensoras de derechos humanos, personas en proceso de reincorporación y los llamados opositores políticos y sociales.</w:t>
      </w:r>
      <w:r>
        <w:rPr>
          <w:spacing w:val="-9"/>
        </w:rPr>
        <w:t xml:space="preserve"> </w:t>
      </w:r>
      <w:r>
        <w:t>Estas</w:t>
      </w:r>
      <w:r>
        <w:rPr>
          <w:spacing w:val="-9"/>
        </w:rPr>
        <w:t xml:space="preserve"> </w:t>
      </w:r>
      <w:r>
        <w:t>garantías</w:t>
      </w:r>
      <w:r>
        <w:rPr>
          <w:spacing w:val="-9"/>
        </w:rPr>
        <w:t xml:space="preserve"> </w:t>
      </w:r>
      <w:r>
        <w:t>se</w:t>
      </w:r>
      <w:r>
        <w:rPr>
          <w:spacing w:val="-9"/>
        </w:rPr>
        <w:t xml:space="preserve"> </w:t>
      </w:r>
      <w:r>
        <w:t>complementan</w:t>
      </w:r>
      <w:r>
        <w:rPr>
          <w:spacing w:val="-9"/>
        </w:rPr>
        <w:t xml:space="preserve"> </w:t>
      </w:r>
      <w:r>
        <w:t>con</w:t>
      </w:r>
      <w:r>
        <w:rPr>
          <w:spacing w:val="-10"/>
        </w:rPr>
        <w:t xml:space="preserve"> </w:t>
      </w:r>
      <w:r>
        <w:t>medidas</w:t>
      </w:r>
      <w:r>
        <w:rPr>
          <w:spacing w:val="-9"/>
        </w:rPr>
        <w:t xml:space="preserve"> </w:t>
      </w:r>
      <w:r>
        <w:t>de</w:t>
      </w:r>
      <w:r>
        <w:rPr>
          <w:spacing w:val="-9"/>
        </w:rPr>
        <w:t xml:space="preserve"> </w:t>
      </w:r>
      <w:r>
        <w:t>acceso</w:t>
      </w:r>
      <w:r>
        <w:rPr>
          <w:spacing w:val="-9"/>
        </w:rPr>
        <w:t xml:space="preserve"> </w:t>
      </w:r>
      <w:r>
        <w:t>a</w:t>
      </w:r>
      <w:r>
        <w:rPr>
          <w:spacing w:val="-9"/>
        </w:rPr>
        <w:t xml:space="preserve"> </w:t>
      </w:r>
      <w:r>
        <w:t>la</w:t>
      </w:r>
      <w:r>
        <w:rPr>
          <w:spacing w:val="-9"/>
        </w:rPr>
        <w:t xml:space="preserve"> </w:t>
      </w:r>
      <w:r>
        <w:t>justicia</w:t>
      </w:r>
      <w:r>
        <w:rPr>
          <w:spacing w:val="-9"/>
        </w:rPr>
        <w:t xml:space="preserve"> </w:t>
      </w:r>
      <w:r>
        <w:t>y</w:t>
      </w:r>
      <w:r>
        <w:rPr>
          <w:spacing w:val="-10"/>
        </w:rPr>
        <w:t xml:space="preserve"> </w:t>
      </w:r>
      <w:r>
        <w:t>de</w:t>
      </w:r>
      <w:r>
        <w:rPr>
          <w:spacing w:val="-9"/>
        </w:rPr>
        <w:t xml:space="preserve"> </w:t>
      </w:r>
      <w:r>
        <w:t>la</w:t>
      </w:r>
      <w:r>
        <w:rPr>
          <w:spacing w:val="-9"/>
        </w:rPr>
        <w:t xml:space="preserve"> </w:t>
      </w:r>
      <w:r>
        <w:t>política de desmantelamiento y sometimiento.</w:t>
      </w:r>
    </w:p>
    <w:p w:rsidR="003804AC" w:rsidRDefault="00AF18A5" w:rsidP="002C253D">
      <w:r>
        <w:t>Por</w:t>
      </w:r>
      <w:r>
        <w:rPr>
          <w:spacing w:val="-15"/>
        </w:rPr>
        <w:t xml:space="preserve"> </w:t>
      </w:r>
      <w:r>
        <w:t>último,</w:t>
      </w:r>
      <w:r>
        <w:rPr>
          <w:spacing w:val="-15"/>
        </w:rPr>
        <w:t xml:space="preserve"> </w:t>
      </w:r>
      <w:r>
        <w:t>se</w:t>
      </w:r>
      <w:r>
        <w:rPr>
          <w:spacing w:val="-15"/>
        </w:rPr>
        <w:t xml:space="preserve"> </w:t>
      </w:r>
      <w:r>
        <w:t>establecen</w:t>
      </w:r>
      <w:r>
        <w:rPr>
          <w:spacing w:val="-15"/>
        </w:rPr>
        <w:t xml:space="preserve"> </w:t>
      </w:r>
      <w:r>
        <w:t>medidas</w:t>
      </w:r>
      <w:r>
        <w:rPr>
          <w:spacing w:val="-15"/>
        </w:rPr>
        <w:t xml:space="preserve"> </w:t>
      </w:r>
      <w:r>
        <w:t>que</w:t>
      </w:r>
      <w:r>
        <w:rPr>
          <w:spacing w:val="-15"/>
        </w:rPr>
        <w:t xml:space="preserve"> </w:t>
      </w:r>
      <w:r>
        <w:t>reconozcan</w:t>
      </w:r>
      <w:r>
        <w:rPr>
          <w:spacing w:val="-15"/>
        </w:rPr>
        <w:t xml:space="preserve"> </w:t>
      </w:r>
      <w:r>
        <w:t>como</w:t>
      </w:r>
      <w:r>
        <w:rPr>
          <w:spacing w:val="-15"/>
        </w:rPr>
        <w:t xml:space="preserve"> </w:t>
      </w:r>
      <w:r>
        <w:t>sujetos</w:t>
      </w:r>
      <w:r>
        <w:rPr>
          <w:spacing w:val="-15"/>
        </w:rPr>
        <w:t xml:space="preserve"> </w:t>
      </w:r>
      <w:r>
        <w:t>políticos</w:t>
      </w:r>
      <w:r>
        <w:rPr>
          <w:spacing w:val="-15"/>
        </w:rPr>
        <w:t xml:space="preserve"> </w:t>
      </w:r>
      <w:r>
        <w:t>con</w:t>
      </w:r>
      <w:r>
        <w:rPr>
          <w:spacing w:val="-15"/>
        </w:rPr>
        <w:t xml:space="preserve"> </w:t>
      </w:r>
      <w:r>
        <w:t>sus</w:t>
      </w:r>
      <w:r>
        <w:rPr>
          <w:spacing w:val="-15"/>
        </w:rPr>
        <w:t xml:space="preserve"> </w:t>
      </w:r>
      <w:r>
        <w:t>derechos a grupos históricamente excluidos como campesinos y campesinas,</w:t>
      </w:r>
      <w:r>
        <w:rPr>
          <w:spacing w:val="40"/>
        </w:rPr>
        <w:t xml:space="preserve">  </w:t>
      </w:r>
      <w:r>
        <w:t xml:space="preserve">las mujeres y los pueblos étnicos (indígenas, negros, palenqueros, afrocolombianos y </w:t>
      </w:r>
      <w:proofErr w:type="spellStart"/>
      <w:r>
        <w:t>rrom</w:t>
      </w:r>
      <w:proofErr w:type="spellEnd"/>
      <w:r>
        <w:t>). Estas se complementan con medidas de reconocimiento jurídico y material de sus derechos territoriales y sus autoridades.</w:t>
      </w:r>
    </w:p>
    <w:p w:rsidR="0011361F" w:rsidRDefault="00AF18A5" w:rsidP="002C253D">
      <w:r>
        <w:rPr>
          <w:w w:val="95"/>
        </w:rPr>
        <w:t>RECONOCIMIENTO</w:t>
      </w:r>
      <w:r>
        <w:rPr>
          <w:spacing w:val="34"/>
        </w:rPr>
        <w:t xml:space="preserve"> </w:t>
      </w:r>
      <w:r>
        <w:rPr>
          <w:w w:val="95"/>
        </w:rPr>
        <w:t>-</w:t>
      </w:r>
      <w:r>
        <w:rPr>
          <w:spacing w:val="23"/>
        </w:rPr>
        <w:t xml:space="preserve"> </w:t>
      </w:r>
      <w:r>
        <w:rPr>
          <w:spacing w:val="-2"/>
          <w:w w:val="95"/>
        </w:rPr>
        <w:t>LLAMADO</w:t>
      </w:r>
    </w:p>
    <w:p w:rsidR="003804AC" w:rsidRDefault="00AF18A5" w:rsidP="002C253D">
      <w:r>
        <w:t xml:space="preserve">Llamamos a la sociedad en su conjunto a reconocer que, a pesar de los avances y aperturas que ha tenido la democracia en Colombia, la persistencia de insuficientes garantías de participación, representación y reconocimiento de comunidades y territorios históricamente excluidos, y el uso de la violencia y las armas en la política, por parte tanto de grupos armados ilegales como de partidos en la legalidad, han afectado </w:t>
      </w:r>
      <w:r>
        <w:lastRenderedPageBreak/>
        <w:t xml:space="preserve">nuestra </w:t>
      </w:r>
      <w:r>
        <w:rPr>
          <w:spacing w:val="-2"/>
        </w:rPr>
        <w:t>democracia</w:t>
      </w:r>
    </w:p>
    <w:p w:rsidR="003804AC" w:rsidRDefault="00AF18A5" w:rsidP="002C253D">
      <w:r>
        <w:t>Apelamos a la sociedad, a los partidos y a las organizaciones sociales a exigir y promover una política basada en el</w:t>
      </w:r>
      <w:r>
        <w:rPr>
          <w:spacing w:val="-1"/>
        </w:rPr>
        <w:t xml:space="preserve"> </w:t>
      </w:r>
      <w:r>
        <w:t>pluralismo democrático,</w:t>
      </w:r>
      <w:r>
        <w:rPr>
          <w:spacing w:val="-1"/>
        </w:rPr>
        <w:t xml:space="preserve"> </w:t>
      </w:r>
      <w:r>
        <w:t>en la participación ciudadana amplia e incidente, y en el respeto por el opositor, por la diferencia, por el otro como condición necesaria para la construcción de paz.</w:t>
      </w:r>
    </w:p>
    <w:p w:rsidR="0011361F" w:rsidRDefault="00AF18A5" w:rsidP="002C253D">
      <w:r>
        <w:t>Por</w:t>
      </w:r>
      <w:r>
        <w:rPr>
          <w:spacing w:val="-1"/>
        </w:rPr>
        <w:t xml:space="preserve"> </w:t>
      </w:r>
      <w:r>
        <w:t>lo</w:t>
      </w:r>
      <w:r>
        <w:rPr>
          <w:spacing w:val="-1"/>
        </w:rPr>
        <w:t xml:space="preserve"> </w:t>
      </w:r>
      <w:r>
        <w:t>anterior</w:t>
      </w:r>
      <w:r>
        <w:rPr>
          <w:spacing w:val="-1"/>
        </w:rPr>
        <w:t xml:space="preserve"> </w:t>
      </w:r>
      <w:r>
        <w:rPr>
          <w:b/>
          <w:spacing w:val="-2"/>
        </w:rPr>
        <w:t>RECOMENDAMOS</w:t>
      </w:r>
      <w:r>
        <w:rPr>
          <w:spacing w:val="-2"/>
        </w:rPr>
        <w:t>:</w:t>
      </w:r>
    </w:p>
    <w:p w:rsidR="003804AC" w:rsidRDefault="00AF18A5" w:rsidP="004A6EF4">
      <w:pPr>
        <w:pStyle w:val="Ttulo3"/>
        <w:numPr>
          <w:ilvl w:val="1"/>
          <w:numId w:val="28"/>
        </w:numPr>
      </w:pPr>
      <w:bookmarkStart w:id="1566" w:name="3.1._Pacto_político_nacional"/>
      <w:bookmarkStart w:id="1567" w:name="_Toc112399693"/>
      <w:bookmarkEnd w:id="1566"/>
      <w:r>
        <w:t>Pacto</w:t>
      </w:r>
      <w:r>
        <w:rPr>
          <w:spacing w:val="-2"/>
        </w:rPr>
        <w:t xml:space="preserve"> </w:t>
      </w:r>
      <w:r w:rsidRPr="002C253D">
        <w:t>político</w:t>
      </w:r>
      <w:r>
        <w:rPr>
          <w:spacing w:val="-1"/>
        </w:rPr>
        <w:t xml:space="preserve"> </w:t>
      </w:r>
      <w:r>
        <w:rPr>
          <w:spacing w:val="-2"/>
        </w:rPr>
        <w:t>nacional</w:t>
      </w:r>
      <w:r w:rsidR="001361D3">
        <w:rPr>
          <w:spacing w:val="-2"/>
        </w:rPr>
        <w:t xml:space="preserve">. </w:t>
      </w:r>
      <w:r>
        <w:t>Corto</w:t>
      </w:r>
      <w:r w:rsidRPr="001361D3">
        <w:rPr>
          <w:spacing w:val="-1"/>
        </w:rPr>
        <w:t xml:space="preserve"> </w:t>
      </w:r>
      <w:r w:rsidRPr="001361D3">
        <w:rPr>
          <w:spacing w:val="-2"/>
        </w:rPr>
        <w:t>plazo</w:t>
      </w:r>
      <w:bookmarkEnd w:id="1567"/>
    </w:p>
    <w:p w:rsidR="003804AC" w:rsidRDefault="00AF18A5" w:rsidP="004A6EF4">
      <w:pPr>
        <w:pStyle w:val="Prrafodelista"/>
        <w:numPr>
          <w:ilvl w:val="0"/>
          <w:numId w:val="31"/>
        </w:numPr>
      </w:pPr>
      <w:r>
        <w:t xml:space="preserve">Al Estado colombiano, la sociedad en general, Gobierno Nacional, a las autoridades territoriales incluyendo las autoridades étnicas, al Consejo Nacional de Paz, a los Consejos Territoriales de paz, a los partidos políticos y, a las organizaciones sociales, con acompañamiento del Ministerio Público, </w:t>
      </w:r>
      <w:r w:rsidRPr="008317B6">
        <w:rPr>
          <w:b/>
        </w:rPr>
        <w:t xml:space="preserve">promover diálogos locales y regionales </w:t>
      </w:r>
      <w:r>
        <w:t>que incentiven la participación de los diversos sectores sobre los intereses y el rol que estos han desempeñado</w:t>
      </w:r>
      <w:r w:rsidRPr="008317B6">
        <w:rPr>
          <w:spacing w:val="-9"/>
        </w:rPr>
        <w:t xml:space="preserve"> </w:t>
      </w:r>
      <w:r>
        <w:t>en</w:t>
      </w:r>
      <w:r w:rsidRPr="008317B6">
        <w:rPr>
          <w:spacing w:val="-9"/>
        </w:rPr>
        <w:t xml:space="preserve"> </w:t>
      </w:r>
      <w:r>
        <w:t>el</w:t>
      </w:r>
      <w:r w:rsidRPr="008317B6">
        <w:rPr>
          <w:spacing w:val="-9"/>
        </w:rPr>
        <w:t xml:space="preserve"> </w:t>
      </w:r>
      <w:r>
        <w:t>conflicto</w:t>
      </w:r>
      <w:r w:rsidRPr="008317B6">
        <w:rPr>
          <w:spacing w:val="-9"/>
        </w:rPr>
        <w:t xml:space="preserve"> </w:t>
      </w:r>
      <w:r>
        <w:t>armado,</w:t>
      </w:r>
      <w:r w:rsidRPr="008317B6">
        <w:rPr>
          <w:spacing w:val="-11"/>
        </w:rPr>
        <w:t xml:space="preserve"> </w:t>
      </w:r>
      <w:r>
        <w:t>y</w:t>
      </w:r>
      <w:r w:rsidRPr="008317B6">
        <w:rPr>
          <w:spacing w:val="-10"/>
        </w:rPr>
        <w:t xml:space="preserve"> </w:t>
      </w:r>
      <w:r>
        <w:t>rechazar</w:t>
      </w:r>
      <w:r w:rsidRPr="008317B6">
        <w:rPr>
          <w:spacing w:val="-9"/>
        </w:rPr>
        <w:t xml:space="preserve"> </w:t>
      </w:r>
      <w:r>
        <w:t>definitivamente</w:t>
      </w:r>
      <w:r w:rsidRPr="008317B6">
        <w:rPr>
          <w:spacing w:val="-9"/>
        </w:rPr>
        <w:t xml:space="preserve"> </w:t>
      </w:r>
      <w:r>
        <w:t>la</w:t>
      </w:r>
      <w:r w:rsidRPr="008317B6">
        <w:rPr>
          <w:spacing w:val="-9"/>
        </w:rPr>
        <w:t xml:space="preserve"> </w:t>
      </w:r>
      <w:r>
        <w:t>violencia</w:t>
      </w:r>
      <w:r w:rsidRPr="008317B6">
        <w:rPr>
          <w:spacing w:val="-9"/>
        </w:rPr>
        <w:t xml:space="preserve"> </w:t>
      </w:r>
      <w:r>
        <w:t>como</w:t>
      </w:r>
      <w:r w:rsidRPr="008317B6">
        <w:rPr>
          <w:spacing w:val="-9"/>
        </w:rPr>
        <w:t xml:space="preserve"> </w:t>
      </w:r>
      <w:r>
        <w:t>medio</w:t>
      </w:r>
      <w:r w:rsidRPr="008317B6">
        <w:rPr>
          <w:spacing w:val="-9"/>
        </w:rPr>
        <w:t xml:space="preserve"> </w:t>
      </w:r>
      <w:r>
        <w:t xml:space="preserve">de resolución de conflictos, Lo anterior, en el marco de la construcción de un </w:t>
      </w:r>
      <w:r w:rsidRPr="008317B6">
        <w:rPr>
          <w:b/>
        </w:rPr>
        <w:t>Pacto Nacional de rechazo a la violencia y un compromiso de exclusión de las armas de la política</w:t>
      </w:r>
      <w:r w:rsidR="008317B6">
        <w:rPr>
          <w:rStyle w:val="Refdenotaalpie"/>
          <w:b/>
        </w:rPr>
        <w:footnoteReference w:id="1221"/>
      </w:r>
      <w:r>
        <w:t>.</w:t>
      </w:r>
    </w:p>
    <w:p w:rsidR="0011361F" w:rsidRDefault="00AF18A5" w:rsidP="004A6EF4">
      <w:pPr>
        <w:pStyle w:val="Ttulo3"/>
        <w:numPr>
          <w:ilvl w:val="1"/>
          <w:numId w:val="28"/>
        </w:numPr>
      </w:pPr>
      <w:bookmarkStart w:id="1568" w:name="3.2._Reforma_política"/>
      <w:bookmarkStart w:id="1569" w:name="_Toc112399694"/>
      <w:bookmarkEnd w:id="1568"/>
      <w:r w:rsidRPr="008317B6">
        <w:t>Reforma</w:t>
      </w:r>
      <w:r>
        <w:t xml:space="preserve"> política</w:t>
      </w:r>
      <w:r w:rsidR="008317B6">
        <w:t xml:space="preserve">. </w:t>
      </w:r>
      <w:r>
        <w:t>Mediano</w:t>
      </w:r>
      <w:r w:rsidRPr="008317B6">
        <w:rPr>
          <w:spacing w:val="-3"/>
        </w:rPr>
        <w:t xml:space="preserve"> </w:t>
      </w:r>
      <w:r w:rsidRPr="008317B6">
        <w:t>plazo</w:t>
      </w:r>
      <w:bookmarkEnd w:id="1569"/>
    </w:p>
    <w:p w:rsidR="003804AC" w:rsidRDefault="00AF18A5" w:rsidP="004A6EF4">
      <w:pPr>
        <w:pStyle w:val="Prrafodelista"/>
        <w:numPr>
          <w:ilvl w:val="0"/>
          <w:numId w:val="31"/>
        </w:numPr>
      </w:pPr>
      <w:r>
        <w:t>Al</w:t>
      </w:r>
      <w:r w:rsidRPr="008317B6">
        <w:rPr>
          <w:spacing w:val="-10"/>
        </w:rPr>
        <w:t xml:space="preserve"> </w:t>
      </w:r>
      <w:r>
        <w:t>Gobierno</w:t>
      </w:r>
      <w:r w:rsidRPr="008317B6">
        <w:rPr>
          <w:spacing w:val="-11"/>
        </w:rPr>
        <w:t xml:space="preserve"> </w:t>
      </w:r>
      <w:r>
        <w:t>Nacional,</w:t>
      </w:r>
      <w:r w:rsidRPr="008317B6">
        <w:rPr>
          <w:spacing w:val="-11"/>
        </w:rPr>
        <w:t xml:space="preserve"> </w:t>
      </w:r>
      <w:r>
        <w:t>el</w:t>
      </w:r>
      <w:r w:rsidRPr="008317B6">
        <w:rPr>
          <w:spacing w:val="-10"/>
        </w:rPr>
        <w:t xml:space="preserve"> </w:t>
      </w:r>
      <w:r>
        <w:t>Congreso</w:t>
      </w:r>
      <w:r w:rsidRPr="008317B6">
        <w:rPr>
          <w:spacing w:val="-11"/>
        </w:rPr>
        <w:t xml:space="preserve"> </w:t>
      </w:r>
      <w:r>
        <w:t>de</w:t>
      </w:r>
      <w:r w:rsidRPr="008317B6">
        <w:rPr>
          <w:spacing w:val="-10"/>
        </w:rPr>
        <w:t xml:space="preserve"> </w:t>
      </w:r>
      <w:r>
        <w:t>la</w:t>
      </w:r>
      <w:r w:rsidRPr="008317B6">
        <w:rPr>
          <w:spacing w:val="-10"/>
        </w:rPr>
        <w:t xml:space="preserve"> </w:t>
      </w:r>
      <w:r>
        <w:t>República,</w:t>
      </w:r>
      <w:r w:rsidRPr="008317B6">
        <w:rPr>
          <w:spacing w:val="-12"/>
        </w:rPr>
        <w:t xml:space="preserve"> </w:t>
      </w:r>
      <w:r>
        <w:t>los</w:t>
      </w:r>
      <w:r w:rsidRPr="008317B6">
        <w:rPr>
          <w:spacing w:val="-10"/>
        </w:rPr>
        <w:t xml:space="preserve"> </w:t>
      </w:r>
      <w:r>
        <w:t>partidos</w:t>
      </w:r>
      <w:r w:rsidRPr="008317B6">
        <w:rPr>
          <w:spacing w:val="-10"/>
        </w:rPr>
        <w:t xml:space="preserve"> </w:t>
      </w:r>
      <w:r>
        <w:t>y</w:t>
      </w:r>
      <w:r w:rsidRPr="008317B6">
        <w:rPr>
          <w:spacing w:val="-11"/>
        </w:rPr>
        <w:t xml:space="preserve"> </w:t>
      </w:r>
      <w:r>
        <w:t>movimientos</w:t>
      </w:r>
      <w:r w:rsidRPr="008317B6">
        <w:rPr>
          <w:spacing w:val="-10"/>
        </w:rPr>
        <w:t xml:space="preserve"> </w:t>
      </w:r>
      <w:r>
        <w:t>políticos avanzar</w:t>
      </w:r>
      <w:r w:rsidRPr="008317B6">
        <w:rPr>
          <w:spacing w:val="-4"/>
        </w:rPr>
        <w:t xml:space="preserve"> </w:t>
      </w:r>
      <w:r>
        <w:t>en</w:t>
      </w:r>
      <w:r w:rsidRPr="008317B6">
        <w:rPr>
          <w:spacing w:val="-4"/>
        </w:rPr>
        <w:t xml:space="preserve"> </w:t>
      </w:r>
      <w:r>
        <w:t>una</w:t>
      </w:r>
      <w:r w:rsidRPr="008317B6">
        <w:rPr>
          <w:spacing w:val="-4"/>
        </w:rPr>
        <w:t xml:space="preserve"> </w:t>
      </w:r>
      <w:r w:rsidRPr="008317B6">
        <w:rPr>
          <w:b/>
        </w:rPr>
        <w:t>reforma</w:t>
      </w:r>
      <w:r w:rsidRPr="008317B6">
        <w:rPr>
          <w:b/>
          <w:spacing w:val="-5"/>
        </w:rPr>
        <w:t xml:space="preserve"> </w:t>
      </w:r>
      <w:r w:rsidRPr="008317B6">
        <w:rPr>
          <w:b/>
        </w:rPr>
        <w:t>al</w:t>
      </w:r>
      <w:r w:rsidRPr="008317B6">
        <w:rPr>
          <w:b/>
          <w:spacing w:val="-3"/>
        </w:rPr>
        <w:t xml:space="preserve"> </w:t>
      </w:r>
      <w:r w:rsidRPr="008317B6">
        <w:rPr>
          <w:b/>
        </w:rPr>
        <w:lastRenderedPageBreak/>
        <w:t>régimen</w:t>
      </w:r>
      <w:r w:rsidRPr="008317B6">
        <w:rPr>
          <w:b/>
          <w:spacing w:val="-5"/>
        </w:rPr>
        <w:t xml:space="preserve"> </w:t>
      </w:r>
      <w:r w:rsidRPr="008317B6">
        <w:rPr>
          <w:b/>
        </w:rPr>
        <w:t>político</w:t>
      </w:r>
      <w:r w:rsidRPr="008317B6">
        <w:rPr>
          <w:b/>
          <w:spacing w:val="-4"/>
        </w:rPr>
        <w:t xml:space="preserve"> </w:t>
      </w:r>
      <w:r w:rsidRPr="008317B6">
        <w:rPr>
          <w:b/>
        </w:rPr>
        <w:t>y</w:t>
      </w:r>
      <w:r w:rsidRPr="008317B6">
        <w:rPr>
          <w:b/>
          <w:spacing w:val="-4"/>
        </w:rPr>
        <w:t xml:space="preserve"> </w:t>
      </w:r>
      <w:r w:rsidRPr="008317B6">
        <w:rPr>
          <w:b/>
        </w:rPr>
        <w:t>electoral</w:t>
      </w:r>
      <w:r>
        <w:t>,</w:t>
      </w:r>
      <w:r w:rsidRPr="008317B6">
        <w:rPr>
          <w:spacing w:val="-4"/>
        </w:rPr>
        <w:t xml:space="preserve"> </w:t>
      </w:r>
      <w:r>
        <w:t>que</w:t>
      </w:r>
      <w:r w:rsidRPr="008317B6">
        <w:rPr>
          <w:spacing w:val="-5"/>
        </w:rPr>
        <w:t xml:space="preserve"> </w:t>
      </w:r>
      <w:r>
        <w:t>tenga</w:t>
      </w:r>
      <w:r w:rsidRPr="008317B6">
        <w:rPr>
          <w:spacing w:val="-3"/>
        </w:rPr>
        <w:t xml:space="preserve"> </w:t>
      </w:r>
      <w:r>
        <w:t>en</w:t>
      </w:r>
      <w:r w:rsidRPr="008317B6">
        <w:rPr>
          <w:spacing w:val="-5"/>
        </w:rPr>
        <w:t xml:space="preserve"> </w:t>
      </w:r>
      <w:r>
        <w:t>cuenta</w:t>
      </w:r>
      <w:r w:rsidRPr="008317B6">
        <w:rPr>
          <w:spacing w:val="-3"/>
        </w:rPr>
        <w:t xml:space="preserve"> </w:t>
      </w:r>
      <w:r>
        <w:t>las</w:t>
      </w:r>
      <w:r w:rsidRPr="008317B6">
        <w:rPr>
          <w:spacing w:val="-3"/>
        </w:rPr>
        <w:t xml:space="preserve"> </w:t>
      </w:r>
      <w:r>
        <w:t>propuestas realizadas por la Misión Especial Electoral creada en el marco de la implementación del Acuerdo de Paz, a través de un discusión amplia y plural para la búsqueda de consensos alrededor</w:t>
      </w:r>
      <w:r w:rsidRPr="008317B6">
        <w:rPr>
          <w:spacing w:val="-14"/>
        </w:rPr>
        <w:t xml:space="preserve"> </w:t>
      </w:r>
      <w:r>
        <w:t>de</w:t>
      </w:r>
      <w:r w:rsidRPr="008317B6">
        <w:rPr>
          <w:spacing w:val="-15"/>
        </w:rPr>
        <w:t xml:space="preserve"> </w:t>
      </w:r>
      <w:r>
        <w:t>las</w:t>
      </w:r>
      <w:r w:rsidRPr="008317B6">
        <w:rPr>
          <w:spacing w:val="-14"/>
        </w:rPr>
        <w:t xml:space="preserve"> </w:t>
      </w:r>
      <w:r>
        <w:t>garantías</w:t>
      </w:r>
      <w:r w:rsidRPr="008317B6">
        <w:rPr>
          <w:spacing w:val="-14"/>
        </w:rPr>
        <w:t xml:space="preserve"> </w:t>
      </w:r>
      <w:r>
        <w:t>para</w:t>
      </w:r>
      <w:r w:rsidRPr="008317B6">
        <w:rPr>
          <w:spacing w:val="-14"/>
        </w:rPr>
        <w:t xml:space="preserve"> </w:t>
      </w:r>
      <w:r>
        <w:t>un</w:t>
      </w:r>
      <w:r w:rsidRPr="008317B6">
        <w:rPr>
          <w:spacing w:val="-15"/>
        </w:rPr>
        <w:t xml:space="preserve"> </w:t>
      </w:r>
      <w:r>
        <w:t>régimen</w:t>
      </w:r>
      <w:r w:rsidRPr="008317B6">
        <w:rPr>
          <w:spacing w:val="-14"/>
        </w:rPr>
        <w:t xml:space="preserve"> </w:t>
      </w:r>
      <w:r>
        <w:t>pluralista,</w:t>
      </w:r>
      <w:r w:rsidRPr="008317B6">
        <w:rPr>
          <w:spacing w:val="-14"/>
        </w:rPr>
        <w:t xml:space="preserve"> </w:t>
      </w:r>
      <w:r>
        <w:t>democrático</w:t>
      </w:r>
      <w:r w:rsidRPr="008317B6">
        <w:rPr>
          <w:spacing w:val="-14"/>
        </w:rPr>
        <w:t xml:space="preserve"> </w:t>
      </w:r>
      <w:r>
        <w:t>y</w:t>
      </w:r>
      <w:r w:rsidRPr="008317B6">
        <w:rPr>
          <w:spacing w:val="-14"/>
        </w:rPr>
        <w:t xml:space="preserve"> </w:t>
      </w:r>
      <w:r>
        <w:t>deliberativo,</w:t>
      </w:r>
      <w:r w:rsidRPr="008317B6">
        <w:rPr>
          <w:spacing w:val="-14"/>
        </w:rPr>
        <w:t xml:space="preserve"> </w:t>
      </w:r>
      <w:r>
        <w:t>que</w:t>
      </w:r>
      <w:r w:rsidRPr="008317B6">
        <w:rPr>
          <w:spacing w:val="-14"/>
        </w:rPr>
        <w:t xml:space="preserve"> </w:t>
      </w:r>
      <w:r>
        <w:t>permita dignificar el ejercicio de la política. Esta debe incluir, cuando menos, medidas para:</w:t>
      </w:r>
    </w:p>
    <w:p w:rsidR="003804AC" w:rsidRDefault="00AF18A5" w:rsidP="004A6EF4">
      <w:pPr>
        <w:pStyle w:val="Prrafodelista"/>
        <w:numPr>
          <w:ilvl w:val="0"/>
          <w:numId w:val="39"/>
        </w:numPr>
      </w:pPr>
      <w:r>
        <w:t xml:space="preserve">Garantizar la </w:t>
      </w:r>
      <w:r w:rsidRPr="008317B6">
        <w:rPr>
          <w:b/>
        </w:rPr>
        <w:t xml:space="preserve">representatividad de la diversidad regional </w:t>
      </w:r>
      <w:r>
        <w:t>y, en particular, de</w:t>
      </w:r>
      <w:r w:rsidRPr="008317B6">
        <w:rPr>
          <w:spacing w:val="-7"/>
        </w:rPr>
        <w:t xml:space="preserve"> </w:t>
      </w:r>
      <w:r>
        <w:t>la</w:t>
      </w:r>
      <w:r w:rsidRPr="008317B6">
        <w:rPr>
          <w:spacing w:val="-7"/>
        </w:rPr>
        <w:t xml:space="preserve"> </w:t>
      </w:r>
      <w:r>
        <w:t>ruralidad</w:t>
      </w:r>
      <w:r w:rsidRPr="008317B6">
        <w:rPr>
          <w:spacing w:val="-7"/>
        </w:rPr>
        <w:t xml:space="preserve"> </w:t>
      </w:r>
      <w:r>
        <w:t>sobre</w:t>
      </w:r>
      <w:r w:rsidRPr="008317B6">
        <w:rPr>
          <w:spacing w:val="-7"/>
        </w:rPr>
        <w:t xml:space="preserve"> </w:t>
      </w:r>
      <w:r>
        <w:t>la</w:t>
      </w:r>
      <w:r w:rsidRPr="008317B6">
        <w:rPr>
          <w:spacing w:val="-7"/>
        </w:rPr>
        <w:t xml:space="preserve"> </w:t>
      </w:r>
      <w:r>
        <w:t>base</w:t>
      </w:r>
      <w:r w:rsidRPr="008317B6">
        <w:rPr>
          <w:spacing w:val="-7"/>
        </w:rPr>
        <w:t xml:space="preserve"> </w:t>
      </w:r>
      <w:r>
        <w:t>de</w:t>
      </w:r>
      <w:r w:rsidRPr="008317B6">
        <w:rPr>
          <w:spacing w:val="-7"/>
        </w:rPr>
        <w:t xml:space="preserve"> </w:t>
      </w:r>
      <w:r>
        <w:t>una</w:t>
      </w:r>
      <w:r w:rsidRPr="008317B6">
        <w:rPr>
          <w:spacing w:val="-7"/>
        </w:rPr>
        <w:t xml:space="preserve"> </w:t>
      </w:r>
      <w:r>
        <w:t>revisión</w:t>
      </w:r>
      <w:r w:rsidRPr="008317B6">
        <w:rPr>
          <w:spacing w:val="-7"/>
        </w:rPr>
        <w:t xml:space="preserve"> </w:t>
      </w:r>
      <w:r>
        <w:t>y</w:t>
      </w:r>
      <w:r w:rsidRPr="008317B6">
        <w:rPr>
          <w:spacing w:val="-7"/>
        </w:rPr>
        <w:t xml:space="preserve"> </w:t>
      </w:r>
      <w:r>
        <w:t>ajuste</w:t>
      </w:r>
      <w:r w:rsidRPr="008317B6">
        <w:rPr>
          <w:spacing w:val="-7"/>
        </w:rPr>
        <w:t xml:space="preserve"> </w:t>
      </w:r>
      <w:r>
        <w:t>del</w:t>
      </w:r>
      <w:r w:rsidRPr="008317B6">
        <w:rPr>
          <w:spacing w:val="-7"/>
        </w:rPr>
        <w:t xml:space="preserve"> </w:t>
      </w:r>
      <w:r>
        <w:t>sistema</w:t>
      </w:r>
      <w:r w:rsidRPr="008317B6">
        <w:rPr>
          <w:spacing w:val="-7"/>
        </w:rPr>
        <w:t xml:space="preserve"> </w:t>
      </w:r>
      <w:r>
        <w:t>de</w:t>
      </w:r>
      <w:r w:rsidRPr="008317B6">
        <w:rPr>
          <w:spacing w:val="-7"/>
        </w:rPr>
        <w:t xml:space="preserve"> </w:t>
      </w:r>
      <w:r>
        <w:t>representación</w:t>
      </w:r>
      <w:r w:rsidRPr="008317B6">
        <w:rPr>
          <w:spacing w:val="-7"/>
        </w:rPr>
        <w:t xml:space="preserve"> </w:t>
      </w:r>
      <w:r>
        <w:t>en el Congreso de la República.</w:t>
      </w:r>
    </w:p>
    <w:p w:rsidR="003804AC" w:rsidRDefault="00AF18A5" w:rsidP="004A6EF4">
      <w:pPr>
        <w:pStyle w:val="Prrafodelista"/>
        <w:numPr>
          <w:ilvl w:val="0"/>
          <w:numId w:val="39"/>
        </w:numPr>
      </w:pPr>
      <w:r>
        <w:t xml:space="preserve">Establecer garantías necesarias para la implementación </w:t>
      </w:r>
      <w:r w:rsidRPr="008317B6">
        <w:rPr>
          <w:b/>
        </w:rPr>
        <w:t xml:space="preserve">de las Circunscripciones Especiales Transitorias para la paz </w:t>
      </w:r>
      <w:r>
        <w:t>a partir de una evaluación de los desafíos y lecciones aprendidas en las pasadas elecciones.</w:t>
      </w:r>
    </w:p>
    <w:p w:rsidR="0011361F" w:rsidRDefault="00AF18A5" w:rsidP="004A6EF4">
      <w:pPr>
        <w:pStyle w:val="Prrafodelista"/>
        <w:numPr>
          <w:ilvl w:val="0"/>
          <w:numId w:val="39"/>
        </w:numPr>
      </w:pPr>
      <w:r>
        <w:t xml:space="preserve">Fortalecer la </w:t>
      </w:r>
      <w:r w:rsidRPr="008317B6">
        <w:rPr>
          <w:b/>
        </w:rPr>
        <w:t xml:space="preserve">democracia interna de los partidos </w:t>
      </w:r>
      <w:r>
        <w:t>a través de procesos inclusivos, participativos</w:t>
      </w:r>
      <w:r w:rsidRPr="008317B6">
        <w:rPr>
          <w:spacing w:val="-1"/>
        </w:rPr>
        <w:t xml:space="preserve"> </w:t>
      </w:r>
      <w:r>
        <w:t>y democráticos con garantías</w:t>
      </w:r>
      <w:r w:rsidRPr="008317B6">
        <w:rPr>
          <w:spacing w:val="-1"/>
        </w:rPr>
        <w:t xml:space="preserve"> </w:t>
      </w:r>
      <w:r>
        <w:t>de paridad de género, para</w:t>
      </w:r>
      <w:r w:rsidRPr="008317B6">
        <w:rPr>
          <w:spacing w:val="-1"/>
        </w:rPr>
        <w:t xml:space="preserve"> </w:t>
      </w:r>
      <w:r>
        <w:t>la elección de candidatos, definición de agenda y directivos.</w:t>
      </w:r>
    </w:p>
    <w:p w:rsidR="003804AC" w:rsidRDefault="00AF18A5" w:rsidP="004A6EF4">
      <w:pPr>
        <w:pStyle w:val="Prrafodelista"/>
        <w:numPr>
          <w:ilvl w:val="0"/>
          <w:numId w:val="39"/>
        </w:numPr>
      </w:pPr>
      <w:bookmarkStart w:id="1570" w:name="_bookmark1368"/>
      <w:bookmarkEnd w:id="1570"/>
      <w:r>
        <w:t>Avanzar hacia un sistema de listas cerradas y bloqueadas, con paridad de género</w:t>
      </w:r>
      <w:r w:rsidRPr="008317B6">
        <w:rPr>
          <w:spacing w:val="-7"/>
        </w:rPr>
        <w:t xml:space="preserve"> </w:t>
      </w:r>
      <w:r>
        <w:t>(lista</w:t>
      </w:r>
      <w:r w:rsidRPr="008317B6">
        <w:rPr>
          <w:spacing w:val="-8"/>
        </w:rPr>
        <w:t xml:space="preserve"> </w:t>
      </w:r>
      <w:r>
        <w:t>cremallera)</w:t>
      </w:r>
      <w:r w:rsidRPr="008317B6">
        <w:rPr>
          <w:spacing w:val="-8"/>
        </w:rPr>
        <w:t xml:space="preserve"> </w:t>
      </w:r>
      <w:r>
        <w:t>que</w:t>
      </w:r>
      <w:r w:rsidRPr="008317B6">
        <w:rPr>
          <w:spacing w:val="-7"/>
        </w:rPr>
        <w:t xml:space="preserve"> </w:t>
      </w:r>
      <w:r>
        <w:t>reemplace</w:t>
      </w:r>
      <w:r w:rsidRPr="008317B6">
        <w:rPr>
          <w:spacing w:val="-7"/>
        </w:rPr>
        <w:t xml:space="preserve"> </w:t>
      </w:r>
      <w:r>
        <w:t>el</w:t>
      </w:r>
      <w:r w:rsidRPr="008317B6">
        <w:rPr>
          <w:spacing w:val="-7"/>
        </w:rPr>
        <w:t xml:space="preserve"> </w:t>
      </w:r>
      <w:r>
        <w:t>voto</w:t>
      </w:r>
      <w:r w:rsidRPr="008317B6">
        <w:rPr>
          <w:spacing w:val="-7"/>
        </w:rPr>
        <w:t xml:space="preserve"> </w:t>
      </w:r>
      <w:r>
        <w:t>preferente</w:t>
      </w:r>
      <w:r w:rsidR="008317B6">
        <w:rPr>
          <w:rStyle w:val="Refdenotaalpie"/>
        </w:rPr>
        <w:footnoteReference w:id="1222"/>
      </w:r>
      <w:r>
        <w:t>,</w:t>
      </w:r>
      <w:r w:rsidRPr="008317B6">
        <w:rPr>
          <w:spacing w:val="-7"/>
        </w:rPr>
        <w:t xml:space="preserve"> </w:t>
      </w:r>
      <w:r>
        <w:t>mediante</w:t>
      </w:r>
      <w:r w:rsidRPr="008317B6">
        <w:rPr>
          <w:spacing w:val="-7"/>
        </w:rPr>
        <w:t xml:space="preserve"> </w:t>
      </w:r>
      <w:r>
        <w:t>la</w:t>
      </w:r>
      <w:r w:rsidRPr="008317B6">
        <w:rPr>
          <w:spacing w:val="-7"/>
        </w:rPr>
        <w:t xml:space="preserve"> </w:t>
      </w:r>
      <w:r>
        <w:t>entrega</w:t>
      </w:r>
      <w:r w:rsidRPr="008317B6">
        <w:rPr>
          <w:spacing w:val="-7"/>
        </w:rPr>
        <w:t xml:space="preserve"> </w:t>
      </w:r>
      <w:r>
        <w:t>de incentivos de recursos adicionales para la organización partidaria o para gastos de campaña a aquellos partidos que decidan cerrar sus listas.</w:t>
      </w:r>
    </w:p>
    <w:p w:rsidR="003804AC" w:rsidRDefault="00AF18A5" w:rsidP="004A6EF4">
      <w:pPr>
        <w:pStyle w:val="Prrafodelista"/>
        <w:numPr>
          <w:ilvl w:val="0"/>
          <w:numId w:val="39"/>
        </w:numPr>
      </w:pPr>
      <w:r>
        <w:t xml:space="preserve">Fortalecer la </w:t>
      </w:r>
      <w:r w:rsidRPr="008317B6">
        <w:rPr>
          <w:b/>
        </w:rPr>
        <w:t xml:space="preserve">regulación de la financiación a los partidos políticos </w:t>
      </w:r>
      <w:r>
        <w:t xml:space="preserve">y las campañas, incluyendo la revisión de topes y mayores controles; y avanzar hacia una financiación </w:t>
      </w:r>
      <w:r>
        <w:lastRenderedPageBreak/>
        <w:t>predominantemente estatal.</w:t>
      </w:r>
    </w:p>
    <w:p w:rsidR="003804AC" w:rsidRDefault="00AF18A5" w:rsidP="004A6EF4">
      <w:pPr>
        <w:pStyle w:val="Prrafodelista"/>
        <w:numPr>
          <w:ilvl w:val="0"/>
          <w:numId w:val="39"/>
        </w:numPr>
      </w:pPr>
      <w:r>
        <w:t xml:space="preserve">Revisar y fortalecer el régimen de sanción a los partidos y movimientos </w:t>
      </w:r>
      <w:r w:rsidRPr="008317B6">
        <w:rPr>
          <w:spacing w:val="-2"/>
        </w:rPr>
        <w:t>políticos.</w:t>
      </w:r>
    </w:p>
    <w:p w:rsidR="003804AC" w:rsidRDefault="00AF18A5" w:rsidP="004A6EF4">
      <w:pPr>
        <w:pStyle w:val="Prrafodelista"/>
        <w:numPr>
          <w:ilvl w:val="0"/>
          <w:numId w:val="39"/>
        </w:numPr>
      </w:pPr>
      <w:r>
        <w:t>Garantizar</w:t>
      </w:r>
      <w:r w:rsidRPr="008317B6">
        <w:rPr>
          <w:spacing w:val="-10"/>
        </w:rPr>
        <w:t xml:space="preserve"> </w:t>
      </w:r>
      <w:r>
        <w:t>la</w:t>
      </w:r>
      <w:r w:rsidRPr="008317B6">
        <w:rPr>
          <w:spacing w:val="-9"/>
        </w:rPr>
        <w:t xml:space="preserve"> </w:t>
      </w:r>
      <w:r w:rsidRPr="008317B6">
        <w:rPr>
          <w:b/>
        </w:rPr>
        <w:t>participación</w:t>
      </w:r>
      <w:r w:rsidRPr="008317B6">
        <w:rPr>
          <w:b/>
          <w:spacing w:val="-10"/>
        </w:rPr>
        <w:t xml:space="preserve"> </w:t>
      </w:r>
      <w:r w:rsidRPr="008317B6">
        <w:rPr>
          <w:b/>
        </w:rPr>
        <w:t>de</w:t>
      </w:r>
      <w:r w:rsidRPr="008317B6">
        <w:rPr>
          <w:b/>
          <w:spacing w:val="-9"/>
        </w:rPr>
        <w:t xml:space="preserve"> </w:t>
      </w:r>
      <w:r w:rsidRPr="008317B6">
        <w:rPr>
          <w:b/>
        </w:rPr>
        <w:t>la</w:t>
      </w:r>
      <w:r w:rsidRPr="008317B6">
        <w:rPr>
          <w:b/>
          <w:spacing w:val="-10"/>
        </w:rPr>
        <w:t xml:space="preserve"> </w:t>
      </w:r>
      <w:r w:rsidRPr="008317B6">
        <w:rPr>
          <w:b/>
        </w:rPr>
        <w:t>ciudadanía</w:t>
      </w:r>
      <w:r w:rsidRPr="008317B6">
        <w:rPr>
          <w:b/>
          <w:spacing w:val="-9"/>
        </w:rPr>
        <w:t xml:space="preserve"> </w:t>
      </w:r>
      <w:r w:rsidRPr="008317B6">
        <w:rPr>
          <w:b/>
        </w:rPr>
        <w:t>en</w:t>
      </w:r>
      <w:r w:rsidRPr="008317B6">
        <w:rPr>
          <w:b/>
          <w:spacing w:val="-10"/>
        </w:rPr>
        <w:t xml:space="preserve"> </w:t>
      </w:r>
      <w:r w:rsidRPr="008317B6">
        <w:rPr>
          <w:b/>
        </w:rPr>
        <w:t>los</w:t>
      </w:r>
      <w:r w:rsidRPr="008317B6">
        <w:rPr>
          <w:b/>
          <w:spacing w:val="-9"/>
        </w:rPr>
        <w:t xml:space="preserve"> </w:t>
      </w:r>
      <w:r w:rsidRPr="008317B6">
        <w:rPr>
          <w:b/>
        </w:rPr>
        <w:t>procesos</w:t>
      </w:r>
      <w:r w:rsidRPr="008317B6">
        <w:rPr>
          <w:b/>
          <w:spacing w:val="-10"/>
        </w:rPr>
        <w:t xml:space="preserve"> </w:t>
      </w:r>
      <w:r w:rsidRPr="008317B6">
        <w:rPr>
          <w:b/>
        </w:rPr>
        <w:t>de</w:t>
      </w:r>
      <w:r w:rsidRPr="008317B6">
        <w:rPr>
          <w:b/>
          <w:spacing w:val="-9"/>
        </w:rPr>
        <w:t xml:space="preserve"> </w:t>
      </w:r>
      <w:r w:rsidRPr="008317B6">
        <w:rPr>
          <w:b/>
        </w:rPr>
        <w:t xml:space="preserve">inspección, vigilancia y control </w:t>
      </w:r>
      <w:r>
        <w:t>de los recursos empleados en los procesos electorales</w:t>
      </w:r>
      <w:r w:rsidR="008317B6">
        <w:rPr>
          <w:rStyle w:val="Refdenotaalpie"/>
        </w:rPr>
        <w:footnoteReference w:id="1223"/>
      </w:r>
      <w:r w:rsidRPr="008317B6">
        <w:rPr>
          <w:spacing w:val="80"/>
        </w:rPr>
        <w:t xml:space="preserve">  </w:t>
      </w:r>
      <w:r>
        <w:t>.</w:t>
      </w:r>
    </w:p>
    <w:p w:rsidR="003804AC" w:rsidRDefault="00AF18A5" w:rsidP="004A6EF4">
      <w:pPr>
        <w:pStyle w:val="Prrafodelista"/>
        <w:numPr>
          <w:ilvl w:val="0"/>
          <w:numId w:val="39"/>
        </w:numPr>
      </w:pPr>
      <w:r>
        <w:t xml:space="preserve">Hacer ajustes institucionales para garantizar la </w:t>
      </w:r>
      <w:r w:rsidRPr="008317B6">
        <w:rPr>
          <w:b/>
        </w:rPr>
        <w:t>independencia y capacidad de</w:t>
      </w:r>
      <w:r w:rsidRPr="008317B6">
        <w:rPr>
          <w:b/>
          <w:spacing w:val="-1"/>
        </w:rPr>
        <w:t xml:space="preserve"> </w:t>
      </w:r>
      <w:r w:rsidRPr="008317B6">
        <w:rPr>
          <w:b/>
        </w:rPr>
        <w:t>autoridades</w:t>
      </w:r>
      <w:r w:rsidRPr="008317B6">
        <w:rPr>
          <w:b/>
          <w:spacing w:val="-1"/>
        </w:rPr>
        <w:t xml:space="preserve"> </w:t>
      </w:r>
      <w:r w:rsidRPr="008317B6">
        <w:rPr>
          <w:b/>
        </w:rPr>
        <w:t>electorales</w:t>
      </w:r>
      <w:r>
        <w:t>,</w:t>
      </w:r>
      <w:r w:rsidRPr="008317B6">
        <w:rPr>
          <w:spacing w:val="-1"/>
        </w:rPr>
        <w:t xml:space="preserve"> </w:t>
      </w:r>
      <w:r>
        <w:t>la</w:t>
      </w:r>
      <w:r w:rsidRPr="008317B6">
        <w:rPr>
          <w:spacing w:val="-1"/>
        </w:rPr>
        <w:t xml:space="preserve"> </w:t>
      </w:r>
      <w:r>
        <w:t>Registraduría</w:t>
      </w:r>
      <w:r w:rsidRPr="008317B6">
        <w:rPr>
          <w:spacing w:val="-1"/>
        </w:rPr>
        <w:t xml:space="preserve"> </w:t>
      </w:r>
      <w:r>
        <w:t>Nacional</w:t>
      </w:r>
      <w:r w:rsidRPr="008317B6">
        <w:rPr>
          <w:spacing w:val="-1"/>
        </w:rPr>
        <w:t xml:space="preserve"> </w:t>
      </w:r>
      <w:r>
        <w:t>del</w:t>
      </w:r>
      <w:r w:rsidRPr="008317B6">
        <w:rPr>
          <w:spacing w:val="-1"/>
        </w:rPr>
        <w:t xml:space="preserve"> </w:t>
      </w:r>
      <w:r>
        <w:t>Estado</w:t>
      </w:r>
      <w:r w:rsidRPr="008317B6">
        <w:rPr>
          <w:spacing w:val="-1"/>
        </w:rPr>
        <w:t xml:space="preserve"> </w:t>
      </w:r>
      <w:r>
        <w:t>Civil</w:t>
      </w:r>
      <w:r w:rsidRPr="008317B6">
        <w:rPr>
          <w:spacing w:val="-1"/>
        </w:rPr>
        <w:t xml:space="preserve"> </w:t>
      </w:r>
      <w:r>
        <w:t>y</w:t>
      </w:r>
      <w:r w:rsidRPr="008317B6">
        <w:rPr>
          <w:spacing w:val="-2"/>
        </w:rPr>
        <w:t xml:space="preserve"> </w:t>
      </w:r>
      <w:r>
        <w:t>el</w:t>
      </w:r>
      <w:r w:rsidRPr="008317B6">
        <w:rPr>
          <w:spacing w:val="-1"/>
        </w:rPr>
        <w:t xml:space="preserve"> </w:t>
      </w:r>
      <w:r>
        <w:t>Consejo Nacional Electoral, en lo que se refiere a su eficacia y oportunidad. Es necesario fortalecer su presencia territorial y establecer concursos públicos de mérito para la elección de sus integrantes, entre otras acciones.</w:t>
      </w:r>
    </w:p>
    <w:p w:rsidR="0011361F" w:rsidRDefault="00AF18A5" w:rsidP="004A6EF4">
      <w:pPr>
        <w:pStyle w:val="Ttulo3"/>
        <w:numPr>
          <w:ilvl w:val="1"/>
          <w:numId w:val="28"/>
        </w:numPr>
      </w:pPr>
      <w:bookmarkStart w:id="1571" w:name="3.3._Participación_ciudadana"/>
      <w:bookmarkStart w:id="1572" w:name="_Toc112399695"/>
      <w:bookmarkEnd w:id="1571"/>
      <w:r>
        <w:t>Participación</w:t>
      </w:r>
      <w:r>
        <w:rPr>
          <w:spacing w:val="-6"/>
        </w:rPr>
        <w:t xml:space="preserve"> </w:t>
      </w:r>
      <w:r w:rsidRPr="008317B6">
        <w:t>ciudadana</w:t>
      </w:r>
      <w:r w:rsidR="008317B6">
        <w:t xml:space="preserve">. </w:t>
      </w:r>
      <w:r>
        <w:t>Corto</w:t>
      </w:r>
      <w:r w:rsidRPr="008317B6">
        <w:rPr>
          <w:spacing w:val="-1"/>
        </w:rPr>
        <w:t xml:space="preserve"> </w:t>
      </w:r>
      <w:r w:rsidRPr="008317B6">
        <w:rPr>
          <w:spacing w:val="-2"/>
        </w:rPr>
        <w:t>plazo</w:t>
      </w:r>
      <w:bookmarkEnd w:id="1572"/>
    </w:p>
    <w:p w:rsidR="003804AC" w:rsidRDefault="00AF18A5" w:rsidP="004A6EF4">
      <w:pPr>
        <w:pStyle w:val="Prrafodelista"/>
        <w:numPr>
          <w:ilvl w:val="0"/>
          <w:numId w:val="31"/>
        </w:numPr>
      </w:pPr>
      <w:r>
        <w:t xml:space="preserve">Al Gobierno Nacional y autoridades territoriales, promover espacios de </w:t>
      </w:r>
      <w:r w:rsidRPr="00665D28">
        <w:rPr>
          <w:b/>
        </w:rPr>
        <w:t xml:space="preserve">diálogo deliberativo </w:t>
      </w:r>
      <w:r>
        <w:t>que garanticen que las políticas públicas respondan a las necesidades ciudadanas, fortalezcan la legitimidad y la confianza institucional.</w:t>
      </w:r>
    </w:p>
    <w:p w:rsidR="0011361F" w:rsidRDefault="00AF18A5" w:rsidP="00665D28">
      <w:r w:rsidRPr="00665D28">
        <w:t>Mediano</w:t>
      </w:r>
      <w:r>
        <w:rPr>
          <w:spacing w:val="-3"/>
        </w:rPr>
        <w:t xml:space="preserve"> </w:t>
      </w:r>
      <w:r w:rsidRPr="00665D28">
        <w:t>plazo</w:t>
      </w:r>
    </w:p>
    <w:p w:rsidR="003804AC" w:rsidRDefault="00AF18A5" w:rsidP="004A6EF4">
      <w:pPr>
        <w:pStyle w:val="Prrafodelista"/>
        <w:numPr>
          <w:ilvl w:val="0"/>
          <w:numId w:val="31"/>
        </w:numPr>
      </w:pPr>
      <w:bookmarkStart w:id="1573" w:name="_bookmark1370"/>
      <w:bookmarkStart w:id="1574" w:name="_bookmark1371"/>
      <w:bookmarkEnd w:id="1573"/>
      <w:bookmarkEnd w:id="1574"/>
      <w:r>
        <w:t xml:space="preserve">Al Gobierno Nacional y al Congreso de la República, avanzar en un </w:t>
      </w:r>
      <w:r w:rsidRPr="005863D3">
        <w:rPr>
          <w:b/>
        </w:rPr>
        <w:t xml:space="preserve">Estatuto de derechos y garantías para las organizaciones y movimientos sociales </w:t>
      </w:r>
      <w:r>
        <w:t>–en particular las organizaciones de base de grupos históricamente marginalizados (mujeres, personas LGBTIQ+, pueblos étnicos, campesinos y campesinas)–, que permita reconocer</w:t>
      </w:r>
      <w:r w:rsidR="001525EB">
        <w:rPr>
          <w:rStyle w:val="Refdenotaalpie"/>
        </w:rPr>
        <w:footnoteReference w:id="1224"/>
      </w:r>
      <w:r>
        <w:t xml:space="preserve">, </w:t>
      </w:r>
      <w:r>
        <w:lastRenderedPageBreak/>
        <w:t>fortalecer y garantizar su incidencia en asuntos públicos</w:t>
      </w:r>
      <w:r w:rsidR="001525EB">
        <w:rPr>
          <w:rStyle w:val="Refdenotaalpie"/>
        </w:rPr>
        <w:footnoteReference w:id="1225"/>
      </w:r>
      <w:r>
        <w:t>.</w:t>
      </w:r>
    </w:p>
    <w:p w:rsidR="0011361F" w:rsidRDefault="00AF18A5" w:rsidP="005863D3">
      <w:r>
        <w:t>Corto</w:t>
      </w:r>
      <w:r>
        <w:rPr>
          <w:spacing w:val="-1"/>
        </w:rPr>
        <w:t xml:space="preserve"> </w:t>
      </w:r>
      <w:r>
        <w:rPr>
          <w:spacing w:val="-2"/>
        </w:rPr>
        <w:t>plazo</w:t>
      </w:r>
    </w:p>
    <w:p w:rsidR="003804AC" w:rsidRDefault="00AF18A5" w:rsidP="004A6EF4">
      <w:pPr>
        <w:pStyle w:val="Prrafodelista"/>
        <w:numPr>
          <w:ilvl w:val="0"/>
          <w:numId w:val="31"/>
        </w:numPr>
      </w:pPr>
      <w:r>
        <w:t xml:space="preserve">Al Estado Colombiano y al Gobierno Nacional, con acompañamiento del Ministerio Público, garantizar el </w:t>
      </w:r>
      <w:r w:rsidRPr="005863D3">
        <w:rPr>
          <w:b/>
        </w:rPr>
        <w:t xml:space="preserve">cumplimiento de los compromisos derivados de los procesos de diálogo e interlocución con la ciudadanía </w:t>
      </w:r>
      <w:r>
        <w:t>y adoptar mecanismos para el seguimiento y la rendición pública y periódica de cuentas sobre su avance y sus dificultades.</w:t>
      </w:r>
    </w:p>
    <w:p w:rsidR="0011361F" w:rsidRDefault="00AF18A5" w:rsidP="005863D3">
      <w:r>
        <w:t>Mediano</w:t>
      </w:r>
      <w:r>
        <w:rPr>
          <w:spacing w:val="-4"/>
        </w:rPr>
        <w:t xml:space="preserve"> </w:t>
      </w:r>
      <w:r>
        <w:rPr>
          <w:spacing w:val="-2"/>
        </w:rPr>
        <w:t>plazo</w:t>
      </w:r>
    </w:p>
    <w:p w:rsidR="003804AC" w:rsidRDefault="00AF18A5" w:rsidP="004A6EF4">
      <w:pPr>
        <w:pStyle w:val="Prrafodelista"/>
        <w:numPr>
          <w:ilvl w:val="0"/>
          <w:numId w:val="31"/>
        </w:numPr>
      </w:pPr>
      <w:r>
        <w:t xml:space="preserve">Al Gobierno Nacional y al Congreso de la República impulsar un </w:t>
      </w:r>
      <w:r w:rsidRPr="005863D3">
        <w:rPr>
          <w:b/>
        </w:rPr>
        <w:t xml:space="preserve">Estatuto para la Participación de las Mujeres y personas LGBTIQ+ </w:t>
      </w:r>
      <w:r>
        <w:t>que promueva el fortalecimiento de las</w:t>
      </w:r>
      <w:r w:rsidRPr="005863D3">
        <w:rPr>
          <w:spacing w:val="-13"/>
        </w:rPr>
        <w:t xml:space="preserve"> </w:t>
      </w:r>
      <w:r>
        <w:t>capacidades</w:t>
      </w:r>
      <w:r w:rsidRPr="005863D3">
        <w:rPr>
          <w:spacing w:val="-13"/>
        </w:rPr>
        <w:t xml:space="preserve"> </w:t>
      </w:r>
      <w:r>
        <w:t>individuales</w:t>
      </w:r>
      <w:r w:rsidRPr="005863D3">
        <w:rPr>
          <w:spacing w:val="-13"/>
        </w:rPr>
        <w:t xml:space="preserve"> </w:t>
      </w:r>
      <w:r>
        <w:t>y</w:t>
      </w:r>
      <w:r w:rsidRPr="005863D3">
        <w:rPr>
          <w:spacing w:val="-13"/>
        </w:rPr>
        <w:t xml:space="preserve"> </w:t>
      </w:r>
      <w:r>
        <w:t>organizativas</w:t>
      </w:r>
      <w:r w:rsidRPr="005863D3">
        <w:rPr>
          <w:spacing w:val="-13"/>
        </w:rPr>
        <w:t xml:space="preserve"> </w:t>
      </w:r>
      <w:r>
        <w:t>en</w:t>
      </w:r>
      <w:r w:rsidRPr="005863D3">
        <w:rPr>
          <w:spacing w:val="-13"/>
        </w:rPr>
        <w:t xml:space="preserve"> </w:t>
      </w:r>
      <w:r>
        <w:t>los</w:t>
      </w:r>
      <w:r w:rsidRPr="005863D3">
        <w:rPr>
          <w:spacing w:val="-13"/>
        </w:rPr>
        <w:t xml:space="preserve"> </w:t>
      </w:r>
      <w:r>
        <w:t>procesos</w:t>
      </w:r>
      <w:r w:rsidRPr="005863D3">
        <w:rPr>
          <w:spacing w:val="-13"/>
        </w:rPr>
        <w:t xml:space="preserve"> </w:t>
      </w:r>
      <w:r>
        <w:t>de</w:t>
      </w:r>
      <w:r w:rsidRPr="005863D3">
        <w:rPr>
          <w:spacing w:val="-13"/>
        </w:rPr>
        <w:t xml:space="preserve"> </w:t>
      </w:r>
      <w:r>
        <w:t>participación,</w:t>
      </w:r>
      <w:r w:rsidRPr="005863D3">
        <w:rPr>
          <w:spacing w:val="-13"/>
        </w:rPr>
        <w:t xml:space="preserve"> </w:t>
      </w:r>
      <w:r>
        <w:t>y</w:t>
      </w:r>
      <w:r w:rsidRPr="005863D3">
        <w:rPr>
          <w:spacing w:val="-13"/>
        </w:rPr>
        <w:t xml:space="preserve"> </w:t>
      </w:r>
      <w:r>
        <w:t>que</w:t>
      </w:r>
      <w:r w:rsidRPr="005863D3">
        <w:rPr>
          <w:spacing w:val="-13"/>
        </w:rPr>
        <w:t xml:space="preserve"> </w:t>
      </w:r>
      <w:r>
        <w:t>garantice la participación mínimamente paritaria en las diferentes instancias y mecanismos de participación ciudadana, política, incluyendo los escenarios de construcción de paz.</w:t>
      </w:r>
    </w:p>
    <w:p w:rsidR="0011361F" w:rsidRDefault="00AF18A5" w:rsidP="004A6EF4">
      <w:pPr>
        <w:pStyle w:val="Ttulo3"/>
        <w:numPr>
          <w:ilvl w:val="1"/>
          <w:numId w:val="28"/>
        </w:numPr>
      </w:pPr>
      <w:bookmarkStart w:id="1575" w:name="3.4._Protesta_social_y_movilización"/>
      <w:bookmarkStart w:id="1576" w:name="_Toc112399696"/>
      <w:bookmarkEnd w:id="1575"/>
      <w:r w:rsidRPr="005863D3">
        <w:t>Protesta</w:t>
      </w:r>
      <w:r>
        <w:rPr>
          <w:spacing w:val="-1"/>
        </w:rPr>
        <w:t xml:space="preserve"> </w:t>
      </w:r>
      <w:r>
        <w:t>social</w:t>
      </w:r>
      <w:r>
        <w:rPr>
          <w:spacing w:val="-1"/>
        </w:rPr>
        <w:t xml:space="preserve"> </w:t>
      </w:r>
      <w:r>
        <w:t>y</w:t>
      </w:r>
      <w:r>
        <w:rPr>
          <w:spacing w:val="-2"/>
        </w:rPr>
        <w:t xml:space="preserve"> movilización</w:t>
      </w:r>
      <w:bookmarkEnd w:id="1576"/>
    </w:p>
    <w:p w:rsidR="0011361F" w:rsidRDefault="00AF18A5" w:rsidP="005863D3">
      <w:r>
        <w:t>Largo</w:t>
      </w:r>
      <w:r>
        <w:rPr>
          <w:spacing w:val="-1"/>
        </w:rPr>
        <w:t xml:space="preserve"> </w:t>
      </w:r>
      <w:r>
        <w:rPr>
          <w:spacing w:val="-2"/>
        </w:rPr>
        <w:t>plazo</w:t>
      </w:r>
    </w:p>
    <w:p w:rsidR="003804AC" w:rsidRPr="001525EB" w:rsidRDefault="00AF18A5" w:rsidP="004A6EF4">
      <w:pPr>
        <w:pStyle w:val="Prrafodelista"/>
        <w:numPr>
          <w:ilvl w:val="0"/>
          <w:numId w:val="31"/>
        </w:numPr>
      </w:pPr>
      <w:r>
        <w:t xml:space="preserve">Al Estado colombiano, bajo el liderazgo del Gobierno </w:t>
      </w:r>
      <w:r>
        <w:lastRenderedPageBreak/>
        <w:t>Nacional, y del Congreso de la República realizar los ajustes normativos, institucionales, culturales y políticos necesarios para</w:t>
      </w:r>
      <w:r w:rsidRPr="001525EB">
        <w:rPr>
          <w:spacing w:val="35"/>
        </w:rPr>
        <w:t xml:space="preserve"> </w:t>
      </w:r>
      <w:r>
        <w:t>dar</w:t>
      </w:r>
      <w:r w:rsidRPr="001525EB">
        <w:rPr>
          <w:spacing w:val="37"/>
        </w:rPr>
        <w:t xml:space="preserve"> </w:t>
      </w:r>
      <w:r w:rsidRPr="001525EB">
        <w:rPr>
          <w:b/>
        </w:rPr>
        <w:t>garantías</w:t>
      </w:r>
      <w:r w:rsidRPr="001525EB">
        <w:rPr>
          <w:b/>
          <w:spacing w:val="37"/>
        </w:rPr>
        <w:t xml:space="preserve"> </w:t>
      </w:r>
      <w:r w:rsidRPr="001525EB">
        <w:rPr>
          <w:b/>
        </w:rPr>
        <w:t>al</w:t>
      </w:r>
      <w:r w:rsidRPr="001525EB">
        <w:rPr>
          <w:b/>
          <w:spacing w:val="37"/>
        </w:rPr>
        <w:t xml:space="preserve"> </w:t>
      </w:r>
      <w:r w:rsidRPr="001525EB">
        <w:rPr>
          <w:b/>
        </w:rPr>
        <w:t>ejercicio</w:t>
      </w:r>
      <w:r w:rsidRPr="001525EB">
        <w:rPr>
          <w:b/>
          <w:spacing w:val="37"/>
        </w:rPr>
        <w:t xml:space="preserve"> </w:t>
      </w:r>
      <w:r w:rsidRPr="001525EB">
        <w:rPr>
          <w:b/>
        </w:rPr>
        <w:t>de</w:t>
      </w:r>
      <w:r w:rsidRPr="001525EB">
        <w:rPr>
          <w:b/>
          <w:spacing w:val="36"/>
        </w:rPr>
        <w:t xml:space="preserve"> </w:t>
      </w:r>
      <w:r w:rsidRPr="001525EB">
        <w:rPr>
          <w:b/>
        </w:rPr>
        <w:t>la</w:t>
      </w:r>
      <w:r w:rsidRPr="001525EB">
        <w:rPr>
          <w:b/>
          <w:spacing w:val="37"/>
        </w:rPr>
        <w:t xml:space="preserve"> </w:t>
      </w:r>
      <w:r w:rsidRPr="001525EB">
        <w:rPr>
          <w:b/>
        </w:rPr>
        <w:t>movilización</w:t>
      </w:r>
      <w:r w:rsidRPr="001525EB">
        <w:rPr>
          <w:b/>
          <w:spacing w:val="37"/>
        </w:rPr>
        <w:t xml:space="preserve"> </w:t>
      </w:r>
      <w:r w:rsidRPr="001525EB">
        <w:rPr>
          <w:b/>
        </w:rPr>
        <w:t>y</w:t>
      </w:r>
      <w:r w:rsidRPr="001525EB">
        <w:rPr>
          <w:b/>
          <w:spacing w:val="37"/>
        </w:rPr>
        <w:t xml:space="preserve"> </w:t>
      </w:r>
      <w:r w:rsidRPr="001525EB">
        <w:rPr>
          <w:b/>
        </w:rPr>
        <w:t>la</w:t>
      </w:r>
      <w:r w:rsidRPr="001525EB">
        <w:rPr>
          <w:b/>
          <w:spacing w:val="37"/>
        </w:rPr>
        <w:t xml:space="preserve"> </w:t>
      </w:r>
      <w:r w:rsidRPr="001525EB">
        <w:rPr>
          <w:b/>
        </w:rPr>
        <w:t>protesta</w:t>
      </w:r>
      <w:r w:rsidRPr="001525EB">
        <w:rPr>
          <w:b/>
          <w:spacing w:val="37"/>
        </w:rPr>
        <w:t xml:space="preserve"> </w:t>
      </w:r>
      <w:r w:rsidRPr="001525EB">
        <w:rPr>
          <w:b/>
        </w:rPr>
        <w:t>como</w:t>
      </w:r>
      <w:r w:rsidRPr="001525EB">
        <w:rPr>
          <w:b/>
          <w:spacing w:val="37"/>
        </w:rPr>
        <w:t xml:space="preserve"> </w:t>
      </w:r>
      <w:r w:rsidRPr="001525EB">
        <w:rPr>
          <w:b/>
        </w:rPr>
        <w:t>derecho</w:t>
      </w:r>
      <w:r w:rsidRPr="001525EB">
        <w:rPr>
          <w:b/>
          <w:spacing w:val="37"/>
        </w:rPr>
        <w:t xml:space="preserve"> </w:t>
      </w:r>
      <w:r>
        <w:t>y</w:t>
      </w:r>
      <w:r w:rsidRPr="001525EB">
        <w:rPr>
          <w:spacing w:val="37"/>
        </w:rPr>
        <w:t xml:space="preserve"> </w:t>
      </w:r>
      <w:r>
        <w:t>a</w:t>
      </w:r>
      <w:r w:rsidRPr="001525EB">
        <w:rPr>
          <w:spacing w:val="37"/>
        </w:rPr>
        <w:t xml:space="preserve"> </w:t>
      </w:r>
      <w:r w:rsidRPr="001525EB">
        <w:rPr>
          <w:spacing w:val="-5"/>
        </w:rPr>
        <w:t>la</w:t>
      </w:r>
      <w:bookmarkStart w:id="1577" w:name="_bookmark1373"/>
      <w:bookmarkStart w:id="1578" w:name="_bookmark1374"/>
      <w:bookmarkEnd w:id="1577"/>
      <w:bookmarkEnd w:id="1578"/>
      <w:r w:rsidR="001525EB">
        <w:rPr>
          <w:spacing w:val="-5"/>
        </w:rPr>
        <w:t xml:space="preserve"> </w:t>
      </w:r>
      <w:r>
        <w:t>primacía del diálogo amplio y plural como respuesta a la misma</w:t>
      </w:r>
      <w:r w:rsidR="001525EB">
        <w:rPr>
          <w:rStyle w:val="Refdenotaalpie"/>
        </w:rPr>
        <w:footnoteReference w:id="1226"/>
      </w:r>
      <w:r>
        <w:t>. Lo anterior, sobre la base de un diálogo que promueva en la sociedad en su conjunto una comprensión de la conflictividad social y las manifestaciones derivadas de la misma, como una dinámica legítima y propia de la democracia y que permita concertar las medidas necesarias teniendo en cuenta los avances y recomendaciones realizadas por las Cortes, organizaciones de derechos humanos y organismos intergubernamentales y el espacio de diálogo nacional llevado a cabo en cumplimiento del Acuerdo Final de Paz. Las garantías deberán incluir, entre otras:</w:t>
      </w:r>
    </w:p>
    <w:p w:rsidR="0011361F" w:rsidRDefault="00AF18A5" w:rsidP="001525EB">
      <w:r>
        <w:t>Corto</w:t>
      </w:r>
      <w:r>
        <w:rPr>
          <w:spacing w:val="-1"/>
        </w:rPr>
        <w:t xml:space="preserve"> </w:t>
      </w:r>
      <w:r>
        <w:rPr>
          <w:spacing w:val="-2"/>
        </w:rPr>
        <w:t>plazo</w:t>
      </w:r>
    </w:p>
    <w:p w:rsidR="003804AC" w:rsidRDefault="00AF18A5" w:rsidP="004A6EF4">
      <w:pPr>
        <w:pStyle w:val="Prrafodelista"/>
        <w:numPr>
          <w:ilvl w:val="0"/>
          <w:numId w:val="40"/>
        </w:numPr>
      </w:pPr>
      <w:r w:rsidRPr="001525EB">
        <w:rPr>
          <w:b/>
        </w:rPr>
        <w:t>La creación de capacidades e instancias formales e informales de participación</w:t>
      </w:r>
      <w:r w:rsidRPr="001525EB">
        <w:rPr>
          <w:b/>
          <w:spacing w:val="-15"/>
        </w:rPr>
        <w:t xml:space="preserve"> </w:t>
      </w:r>
      <w:r w:rsidRPr="001525EB">
        <w:rPr>
          <w:b/>
        </w:rPr>
        <w:t>y</w:t>
      </w:r>
      <w:r w:rsidRPr="001525EB">
        <w:rPr>
          <w:b/>
          <w:spacing w:val="-14"/>
        </w:rPr>
        <w:t xml:space="preserve"> </w:t>
      </w:r>
      <w:r w:rsidRPr="001525EB">
        <w:rPr>
          <w:b/>
        </w:rPr>
        <w:t>diálogo</w:t>
      </w:r>
      <w:r w:rsidRPr="001525EB">
        <w:rPr>
          <w:b/>
          <w:spacing w:val="-14"/>
        </w:rPr>
        <w:t xml:space="preserve"> </w:t>
      </w:r>
      <w:r w:rsidRPr="001525EB">
        <w:rPr>
          <w:b/>
        </w:rPr>
        <w:t>en</w:t>
      </w:r>
      <w:r w:rsidRPr="001525EB">
        <w:rPr>
          <w:b/>
          <w:spacing w:val="-15"/>
        </w:rPr>
        <w:t xml:space="preserve"> </w:t>
      </w:r>
      <w:r w:rsidRPr="001525EB">
        <w:rPr>
          <w:b/>
        </w:rPr>
        <w:t>todas</w:t>
      </w:r>
      <w:r w:rsidRPr="001525EB">
        <w:rPr>
          <w:b/>
          <w:spacing w:val="-14"/>
        </w:rPr>
        <w:t xml:space="preserve"> </w:t>
      </w:r>
      <w:r w:rsidRPr="001525EB">
        <w:rPr>
          <w:b/>
        </w:rPr>
        <w:t>las</w:t>
      </w:r>
      <w:r w:rsidRPr="001525EB">
        <w:rPr>
          <w:b/>
          <w:spacing w:val="-14"/>
        </w:rPr>
        <w:t xml:space="preserve"> </w:t>
      </w:r>
      <w:r w:rsidRPr="001525EB">
        <w:rPr>
          <w:b/>
        </w:rPr>
        <w:t>instituciones</w:t>
      </w:r>
      <w:r w:rsidRPr="001525EB">
        <w:rPr>
          <w:spacing w:val="-14"/>
        </w:rPr>
        <w:t xml:space="preserve"> </w:t>
      </w:r>
      <w:r>
        <w:t>como</w:t>
      </w:r>
      <w:r w:rsidRPr="001525EB">
        <w:rPr>
          <w:spacing w:val="-14"/>
        </w:rPr>
        <w:t xml:space="preserve"> </w:t>
      </w:r>
      <w:r>
        <w:t>mecanismo</w:t>
      </w:r>
      <w:r w:rsidRPr="001525EB">
        <w:rPr>
          <w:spacing w:val="-14"/>
        </w:rPr>
        <w:t xml:space="preserve"> </w:t>
      </w:r>
      <w:r>
        <w:t>de</w:t>
      </w:r>
      <w:r w:rsidRPr="001525EB">
        <w:rPr>
          <w:spacing w:val="-14"/>
        </w:rPr>
        <w:t xml:space="preserve"> </w:t>
      </w:r>
      <w:r>
        <w:t>prevención y manejo de la conflictividad social.</w:t>
      </w:r>
    </w:p>
    <w:p w:rsidR="0011361F" w:rsidRDefault="00AF18A5" w:rsidP="001525EB">
      <w:r>
        <w:t>Corto</w:t>
      </w:r>
      <w:r>
        <w:rPr>
          <w:spacing w:val="-1"/>
        </w:rPr>
        <w:t xml:space="preserve"> </w:t>
      </w:r>
      <w:r>
        <w:rPr>
          <w:spacing w:val="-2"/>
        </w:rPr>
        <w:t>plazo</w:t>
      </w:r>
    </w:p>
    <w:p w:rsidR="003804AC" w:rsidRDefault="00AF18A5" w:rsidP="004A6EF4">
      <w:pPr>
        <w:pStyle w:val="Prrafodelista"/>
        <w:numPr>
          <w:ilvl w:val="0"/>
          <w:numId w:val="40"/>
        </w:numPr>
      </w:pPr>
      <w:r w:rsidRPr="001525EB">
        <w:rPr>
          <w:b/>
        </w:rPr>
        <w:t>Mensajes</w:t>
      </w:r>
      <w:r w:rsidRPr="001525EB">
        <w:rPr>
          <w:b/>
          <w:spacing w:val="-15"/>
        </w:rPr>
        <w:t xml:space="preserve"> </w:t>
      </w:r>
      <w:r w:rsidRPr="001525EB">
        <w:rPr>
          <w:b/>
        </w:rPr>
        <w:t>públicos</w:t>
      </w:r>
      <w:r w:rsidRPr="001525EB">
        <w:rPr>
          <w:b/>
          <w:spacing w:val="-15"/>
        </w:rPr>
        <w:t xml:space="preserve"> </w:t>
      </w:r>
      <w:r>
        <w:t>de</w:t>
      </w:r>
      <w:r w:rsidRPr="001525EB">
        <w:rPr>
          <w:spacing w:val="-15"/>
        </w:rPr>
        <w:t xml:space="preserve"> </w:t>
      </w:r>
      <w:r>
        <w:t>las</w:t>
      </w:r>
      <w:r w:rsidRPr="001525EB">
        <w:rPr>
          <w:spacing w:val="-15"/>
        </w:rPr>
        <w:t xml:space="preserve"> </w:t>
      </w:r>
      <w:r>
        <w:t>autoridades</w:t>
      </w:r>
      <w:r w:rsidRPr="001525EB">
        <w:rPr>
          <w:spacing w:val="-15"/>
        </w:rPr>
        <w:t xml:space="preserve"> </w:t>
      </w:r>
      <w:r>
        <w:t>del</w:t>
      </w:r>
      <w:r w:rsidRPr="001525EB">
        <w:rPr>
          <w:spacing w:val="-15"/>
        </w:rPr>
        <w:t xml:space="preserve"> </w:t>
      </w:r>
      <w:r>
        <w:t>Estado</w:t>
      </w:r>
      <w:r w:rsidRPr="001525EB">
        <w:rPr>
          <w:spacing w:val="-15"/>
        </w:rPr>
        <w:t xml:space="preserve"> </w:t>
      </w:r>
      <w:r>
        <w:t>del</w:t>
      </w:r>
      <w:r w:rsidRPr="001525EB">
        <w:rPr>
          <w:spacing w:val="-15"/>
        </w:rPr>
        <w:t xml:space="preserve"> </w:t>
      </w:r>
      <w:r>
        <w:t>más</w:t>
      </w:r>
      <w:r w:rsidRPr="001525EB">
        <w:rPr>
          <w:spacing w:val="-15"/>
        </w:rPr>
        <w:t xml:space="preserve"> </w:t>
      </w:r>
      <w:r>
        <w:t>alto</w:t>
      </w:r>
      <w:r w:rsidRPr="001525EB">
        <w:rPr>
          <w:spacing w:val="-15"/>
        </w:rPr>
        <w:t xml:space="preserve"> </w:t>
      </w:r>
      <w:r>
        <w:t>nivel</w:t>
      </w:r>
      <w:r w:rsidRPr="001525EB">
        <w:rPr>
          <w:spacing w:val="-15"/>
        </w:rPr>
        <w:t xml:space="preserve"> </w:t>
      </w:r>
      <w:r>
        <w:t>de</w:t>
      </w:r>
      <w:r w:rsidRPr="001525EB">
        <w:rPr>
          <w:spacing w:val="-15"/>
        </w:rPr>
        <w:t xml:space="preserve"> </w:t>
      </w:r>
      <w:r w:rsidRPr="001525EB">
        <w:rPr>
          <w:b/>
        </w:rPr>
        <w:t>respeto y respaldo a las manifestaciones legítimas de protesta social</w:t>
      </w:r>
      <w:r>
        <w:t>, y de rechazo a la violencia como medio de resolución de la conflictividad social.</w:t>
      </w:r>
    </w:p>
    <w:p w:rsidR="0011361F" w:rsidRDefault="00AF18A5" w:rsidP="001525EB">
      <w:r w:rsidRPr="001525EB">
        <w:lastRenderedPageBreak/>
        <w:t>Corto</w:t>
      </w:r>
      <w:r>
        <w:rPr>
          <w:spacing w:val="-1"/>
        </w:rPr>
        <w:t xml:space="preserve"> </w:t>
      </w:r>
      <w:r>
        <w:rPr>
          <w:spacing w:val="-2"/>
        </w:rPr>
        <w:t>plazo</w:t>
      </w:r>
    </w:p>
    <w:p w:rsidR="0011361F" w:rsidRDefault="00AF18A5" w:rsidP="004A6EF4">
      <w:pPr>
        <w:pStyle w:val="Prrafodelista"/>
        <w:numPr>
          <w:ilvl w:val="0"/>
          <w:numId w:val="40"/>
        </w:numPr>
      </w:pPr>
      <w:r>
        <w:t>Medidas</w:t>
      </w:r>
      <w:r w:rsidRPr="001525EB">
        <w:rPr>
          <w:spacing w:val="-14"/>
        </w:rPr>
        <w:t xml:space="preserve"> </w:t>
      </w:r>
      <w:r>
        <w:t>para</w:t>
      </w:r>
      <w:r w:rsidRPr="001525EB">
        <w:rPr>
          <w:spacing w:val="-13"/>
        </w:rPr>
        <w:t xml:space="preserve"> </w:t>
      </w:r>
      <w:r w:rsidRPr="001525EB">
        <w:rPr>
          <w:b/>
        </w:rPr>
        <w:t>evitar</w:t>
      </w:r>
      <w:r w:rsidRPr="001525EB">
        <w:rPr>
          <w:b/>
          <w:spacing w:val="-13"/>
        </w:rPr>
        <w:t xml:space="preserve"> </w:t>
      </w:r>
      <w:r w:rsidRPr="001525EB">
        <w:rPr>
          <w:b/>
        </w:rPr>
        <w:t>el</w:t>
      </w:r>
      <w:r w:rsidRPr="001525EB">
        <w:rPr>
          <w:b/>
          <w:spacing w:val="-13"/>
        </w:rPr>
        <w:t xml:space="preserve"> </w:t>
      </w:r>
      <w:r w:rsidRPr="001525EB">
        <w:rPr>
          <w:b/>
        </w:rPr>
        <w:t>uso</w:t>
      </w:r>
      <w:r w:rsidRPr="001525EB">
        <w:rPr>
          <w:b/>
          <w:spacing w:val="-13"/>
        </w:rPr>
        <w:t xml:space="preserve"> </w:t>
      </w:r>
      <w:r w:rsidRPr="001525EB">
        <w:rPr>
          <w:b/>
        </w:rPr>
        <w:t>del</w:t>
      </w:r>
      <w:r w:rsidRPr="001525EB">
        <w:rPr>
          <w:b/>
          <w:spacing w:val="-14"/>
        </w:rPr>
        <w:t xml:space="preserve"> </w:t>
      </w:r>
      <w:r w:rsidRPr="001525EB">
        <w:rPr>
          <w:b/>
        </w:rPr>
        <w:t>sistema</w:t>
      </w:r>
      <w:r w:rsidRPr="001525EB">
        <w:rPr>
          <w:b/>
          <w:spacing w:val="-13"/>
        </w:rPr>
        <w:t xml:space="preserve"> </w:t>
      </w:r>
      <w:r w:rsidRPr="001525EB">
        <w:rPr>
          <w:b/>
        </w:rPr>
        <w:t>penal</w:t>
      </w:r>
      <w:r w:rsidRPr="001525EB">
        <w:rPr>
          <w:b/>
          <w:spacing w:val="-13"/>
        </w:rPr>
        <w:t xml:space="preserve"> </w:t>
      </w:r>
      <w:r w:rsidRPr="001525EB">
        <w:rPr>
          <w:b/>
        </w:rPr>
        <w:t>y</w:t>
      </w:r>
      <w:r w:rsidRPr="001525EB">
        <w:rPr>
          <w:b/>
          <w:spacing w:val="-14"/>
        </w:rPr>
        <w:t xml:space="preserve"> </w:t>
      </w:r>
      <w:r w:rsidRPr="001525EB">
        <w:rPr>
          <w:b/>
        </w:rPr>
        <w:t>las</w:t>
      </w:r>
      <w:r w:rsidRPr="001525EB">
        <w:rPr>
          <w:b/>
          <w:spacing w:val="-13"/>
        </w:rPr>
        <w:t xml:space="preserve"> </w:t>
      </w:r>
      <w:r w:rsidRPr="001525EB">
        <w:rPr>
          <w:b/>
        </w:rPr>
        <w:t>acciones</w:t>
      </w:r>
      <w:r w:rsidRPr="001525EB">
        <w:rPr>
          <w:b/>
          <w:spacing w:val="-14"/>
        </w:rPr>
        <w:t xml:space="preserve"> </w:t>
      </w:r>
      <w:r w:rsidRPr="001525EB">
        <w:rPr>
          <w:b/>
        </w:rPr>
        <w:t>policivas</w:t>
      </w:r>
      <w:r w:rsidRPr="001525EB">
        <w:rPr>
          <w:b/>
          <w:spacing w:val="-14"/>
        </w:rPr>
        <w:t xml:space="preserve"> </w:t>
      </w:r>
      <w:r w:rsidRPr="001525EB">
        <w:rPr>
          <w:b/>
        </w:rPr>
        <w:t>y</w:t>
      </w:r>
      <w:r w:rsidRPr="001525EB">
        <w:rPr>
          <w:b/>
          <w:spacing w:val="-14"/>
        </w:rPr>
        <w:t xml:space="preserve"> </w:t>
      </w:r>
      <w:r w:rsidRPr="001525EB">
        <w:rPr>
          <w:b/>
        </w:rPr>
        <w:t xml:space="preserve">otras normativas como mecanismos de represión </w:t>
      </w:r>
      <w:r>
        <w:t>de las movilizaciones y protestas sociales pacíficas y legítimas, y de la labor de las personas y medios de comunicación que ejercen la libertad de expresión y de prensa. Se debe garantizar, así mismo, el derecho a la información a través de capacitaciones, entrenamientos, sensibilización y pedagogía sobre el acompañamiento y la garantía de la protesta social como derecho. Estos deben incorporar un enfoque étnico, de género y de derechos de las mujeres.</w:t>
      </w:r>
    </w:p>
    <w:p w:rsidR="0011361F" w:rsidRDefault="00AF18A5" w:rsidP="001525EB">
      <w:bookmarkStart w:id="1579" w:name="_bookmark1375"/>
      <w:bookmarkEnd w:id="1579"/>
      <w:r>
        <w:t>Corto</w:t>
      </w:r>
      <w:r>
        <w:rPr>
          <w:spacing w:val="-1"/>
        </w:rPr>
        <w:t xml:space="preserve"> </w:t>
      </w:r>
      <w:r>
        <w:rPr>
          <w:spacing w:val="-2"/>
        </w:rPr>
        <w:t>plazo</w:t>
      </w:r>
    </w:p>
    <w:p w:rsidR="003804AC" w:rsidRDefault="00AF18A5" w:rsidP="004A6EF4">
      <w:pPr>
        <w:pStyle w:val="Prrafodelista"/>
        <w:numPr>
          <w:ilvl w:val="0"/>
          <w:numId w:val="40"/>
        </w:numPr>
      </w:pPr>
      <w:r>
        <w:t xml:space="preserve">Acompañamiento permanente de la Defensoría del Pueblo, la Procuraduría General de la Nación y las Personerías Municipales y el reconocimiento y facilitación de mecanismos de acompañamiento y supervisión </w:t>
      </w:r>
      <w:r w:rsidRPr="001525EB">
        <w:rPr>
          <w:spacing w:val="-2"/>
        </w:rPr>
        <w:t>provenientes</w:t>
      </w:r>
      <w:r>
        <w:tab/>
        <w:t>de las organizaciones y movimientos sociales.</w:t>
      </w:r>
    </w:p>
    <w:p w:rsidR="0011361F" w:rsidRDefault="00AF18A5" w:rsidP="001525EB">
      <w:r>
        <w:t>Mediano</w:t>
      </w:r>
      <w:r>
        <w:rPr>
          <w:spacing w:val="-3"/>
        </w:rPr>
        <w:t xml:space="preserve"> </w:t>
      </w:r>
      <w:r>
        <w:rPr>
          <w:spacing w:val="-2"/>
        </w:rPr>
        <w:t>plazo</w:t>
      </w:r>
    </w:p>
    <w:p w:rsidR="003804AC" w:rsidRPr="001525EB" w:rsidRDefault="00AF18A5" w:rsidP="004A6EF4">
      <w:pPr>
        <w:pStyle w:val="Prrafodelista"/>
        <w:numPr>
          <w:ilvl w:val="0"/>
          <w:numId w:val="40"/>
        </w:numPr>
        <w:rPr>
          <w:rFonts w:ascii="Calibri" w:hAnsi="Calibri"/>
        </w:rPr>
      </w:pPr>
      <w:r w:rsidRPr="001525EB">
        <w:rPr>
          <w:b/>
        </w:rPr>
        <w:t xml:space="preserve">La reducción a cero </w:t>
      </w:r>
      <w:r>
        <w:t xml:space="preserve">de homicidios, lesiones con arma de fuego o por uso desproporcionado o innecesario de la fuerza, tratos crueles e inhumanos, torturas, detenciones ilegales o arbitrarias, violencia sexual y de género, y otras </w:t>
      </w:r>
      <w:r w:rsidRPr="001525EB">
        <w:rPr>
          <w:b/>
        </w:rPr>
        <w:t>graves violaciones a los derechos humanos que puedan ser de responsabilidad de miembros</w:t>
      </w:r>
      <w:r w:rsidRPr="001525EB">
        <w:rPr>
          <w:b/>
          <w:spacing w:val="-15"/>
        </w:rPr>
        <w:t xml:space="preserve"> </w:t>
      </w:r>
      <w:r w:rsidRPr="001525EB">
        <w:rPr>
          <w:b/>
        </w:rPr>
        <w:t>de</w:t>
      </w:r>
      <w:r w:rsidRPr="001525EB">
        <w:rPr>
          <w:b/>
          <w:spacing w:val="-15"/>
        </w:rPr>
        <w:t xml:space="preserve"> </w:t>
      </w:r>
      <w:r w:rsidRPr="001525EB">
        <w:rPr>
          <w:b/>
        </w:rPr>
        <w:t>la</w:t>
      </w:r>
      <w:r w:rsidRPr="001525EB">
        <w:rPr>
          <w:b/>
          <w:spacing w:val="-15"/>
        </w:rPr>
        <w:t xml:space="preserve"> </w:t>
      </w:r>
      <w:r w:rsidRPr="001525EB">
        <w:rPr>
          <w:b/>
        </w:rPr>
        <w:t>Policía</w:t>
      </w:r>
      <w:r w:rsidRPr="001525EB">
        <w:rPr>
          <w:b/>
          <w:spacing w:val="-15"/>
        </w:rPr>
        <w:t xml:space="preserve"> </w:t>
      </w:r>
      <w:r w:rsidRPr="001525EB">
        <w:rPr>
          <w:b/>
        </w:rPr>
        <w:t>Nacional</w:t>
      </w:r>
      <w:r>
        <w:t>.</w:t>
      </w:r>
      <w:r w:rsidRPr="001525EB">
        <w:rPr>
          <w:spacing w:val="-15"/>
        </w:rPr>
        <w:t xml:space="preserve"> </w:t>
      </w:r>
      <w:r>
        <w:t>Esto</w:t>
      </w:r>
      <w:r w:rsidRPr="001525EB">
        <w:rPr>
          <w:spacing w:val="-15"/>
        </w:rPr>
        <w:t xml:space="preserve"> </w:t>
      </w:r>
      <w:r>
        <w:t>se</w:t>
      </w:r>
      <w:r w:rsidRPr="001525EB">
        <w:rPr>
          <w:spacing w:val="-15"/>
        </w:rPr>
        <w:t xml:space="preserve"> </w:t>
      </w:r>
      <w:r>
        <w:t>puede</w:t>
      </w:r>
      <w:r w:rsidRPr="001525EB">
        <w:rPr>
          <w:spacing w:val="-15"/>
        </w:rPr>
        <w:t xml:space="preserve"> </w:t>
      </w:r>
      <w:r>
        <w:t>lograr</w:t>
      </w:r>
      <w:r w:rsidRPr="001525EB">
        <w:rPr>
          <w:spacing w:val="-15"/>
        </w:rPr>
        <w:t xml:space="preserve"> </w:t>
      </w:r>
      <w:r>
        <w:t>mediante</w:t>
      </w:r>
      <w:r w:rsidRPr="001525EB">
        <w:rPr>
          <w:spacing w:val="-15"/>
        </w:rPr>
        <w:t xml:space="preserve"> </w:t>
      </w:r>
      <w:r>
        <w:t>la</w:t>
      </w:r>
      <w:r w:rsidRPr="001525EB">
        <w:rPr>
          <w:spacing w:val="-15"/>
        </w:rPr>
        <w:t xml:space="preserve"> </w:t>
      </w:r>
      <w:r>
        <w:t xml:space="preserve">implementación de, entre otras: i) la aplicación estricta de los principios de excepcionalidad, necesidad y proporcionalidad en el </w:t>
      </w:r>
      <w:r>
        <w:lastRenderedPageBreak/>
        <w:t>uso de la fuerza para el control y la contención de disturbios en protesta social; (</w:t>
      </w:r>
      <w:proofErr w:type="spellStart"/>
      <w:r>
        <w:t>ii</w:t>
      </w:r>
      <w:proofErr w:type="spellEnd"/>
      <w:r>
        <w:t>) la trazabilidad del mando de las autoridades durante la contención y control de los disturbios que se presenten en el ámbito de protestas sociales; (</w:t>
      </w:r>
      <w:proofErr w:type="spellStart"/>
      <w:r>
        <w:t>iii</w:t>
      </w:r>
      <w:proofErr w:type="spellEnd"/>
      <w:r>
        <w:t xml:space="preserve">) la neutralidad de la fuerza pública, incluso cuando las manifestaciones se dirijan contra el Estado o el Gobierno; y </w:t>
      </w:r>
      <w:proofErr w:type="spellStart"/>
      <w:r>
        <w:t>iv</w:t>
      </w:r>
      <w:proofErr w:type="spellEnd"/>
      <w:r>
        <w:t>) el control efectivo de los funcionarios de la policía teniendo en cuenta las recomendaciones sobre el fortalecimiento de los controles de la fuerza pública contenidas en el numeral 32 fortalecimiento de los controles de la fuerza pública.</w:t>
      </w:r>
    </w:p>
    <w:p w:rsidR="0011361F" w:rsidRDefault="00AF18A5" w:rsidP="001525EB">
      <w:r>
        <w:t>Corto</w:t>
      </w:r>
      <w:r>
        <w:rPr>
          <w:spacing w:val="-1"/>
        </w:rPr>
        <w:t xml:space="preserve"> </w:t>
      </w:r>
      <w:r>
        <w:rPr>
          <w:spacing w:val="-2"/>
        </w:rPr>
        <w:t>plazo</w:t>
      </w:r>
    </w:p>
    <w:p w:rsidR="003804AC" w:rsidRDefault="00AF18A5" w:rsidP="004A6EF4">
      <w:pPr>
        <w:pStyle w:val="Prrafodelista"/>
        <w:numPr>
          <w:ilvl w:val="0"/>
          <w:numId w:val="40"/>
        </w:numPr>
      </w:pPr>
      <w:r>
        <w:t xml:space="preserve">La </w:t>
      </w:r>
      <w:r w:rsidRPr="001525EB">
        <w:rPr>
          <w:b/>
        </w:rPr>
        <w:t>prohibición de la intervención militar en operativos de control y contención</w:t>
      </w:r>
      <w:r w:rsidRPr="001525EB">
        <w:rPr>
          <w:b/>
          <w:spacing w:val="-1"/>
        </w:rPr>
        <w:t xml:space="preserve"> </w:t>
      </w:r>
      <w:r w:rsidRPr="001525EB">
        <w:rPr>
          <w:b/>
        </w:rPr>
        <w:t xml:space="preserve">de los disturbios </w:t>
      </w:r>
      <w:r>
        <w:t>surgidos en situaciones de protesta y</w:t>
      </w:r>
      <w:r w:rsidRPr="001525EB">
        <w:rPr>
          <w:spacing w:val="-1"/>
        </w:rPr>
        <w:t xml:space="preserve"> </w:t>
      </w:r>
      <w:r>
        <w:t>la</w:t>
      </w:r>
      <w:r w:rsidRPr="001525EB">
        <w:rPr>
          <w:spacing w:val="-1"/>
        </w:rPr>
        <w:t xml:space="preserve"> </w:t>
      </w:r>
      <w:r>
        <w:t>movilización social</w:t>
      </w:r>
      <w:r w:rsidR="001525EB">
        <w:rPr>
          <w:rStyle w:val="Refdenotaalpie"/>
        </w:rPr>
        <w:footnoteReference w:id="1227"/>
      </w:r>
      <w:r w:rsidRPr="001525EB">
        <w:rPr>
          <w:spacing w:val="40"/>
        </w:rPr>
        <w:t xml:space="preserve">  </w:t>
      </w:r>
      <w:r>
        <w:t>.</w:t>
      </w:r>
    </w:p>
    <w:p w:rsidR="0011361F" w:rsidRDefault="00AF18A5" w:rsidP="001525EB">
      <w:r>
        <w:t>Mediano</w:t>
      </w:r>
      <w:r>
        <w:rPr>
          <w:spacing w:val="-3"/>
        </w:rPr>
        <w:t xml:space="preserve"> </w:t>
      </w:r>
      <w:r>
        <w:rPr>
          <w:spacing w:val="-2"/>
        </w:rPr>
        <w:t>plazo</w:t>
      </w:r>
    </w:p>
    <w:p w:rsidR="003804AC" w:rsidRDefault="00AF18A5" w:rsidP="004A6EF4">
      <w:pPr>
        <w:pStyle w:val="Prrafodelista"/>
        <w:numPr>
          <w:ilvl w:val="0"/>
          <w:numId w:val="40"/>
        </w:numPr>
      </w:pPr>
      <w:bookmarkStart w:id="1580" w:name="_bookmark1376"/>
      <w:bookmarkEnd w:id="1580"/>
      <w:r w:rsidRPr="00FC63DC">
        <w:rPr>
          <w:b/>
        </w:rPr>
        <w:t xml:space="preserve">La reforma o eliminación del ESMAD </w:t>
      </w:r>
      <w:r>
        <w:t>e incorporación de procesos de formación</w:t>
      </w:r>
      <w:r w:rsidRPr="00FC63DC">
        <w:rPr>
          <w:spacing w:val="-3"/>
        </w:rPr>
        <w:t xml:space="preserve"> </w:t>
      </w:r>
      <w:r>
        <w:t>públicos</w:t>
      </w:r>
      <w:r w:rsidRPr="00FC63DC">
        <w:rPr>
          <w:spacing w:val="-3"/>
        </w:rPr>
        <w:t xml:space="preserve"> </w:t>
      </w:r>
      <w:r>
        <w:t>y</w:t>
      </w:r>
      <w:r w:rsidRPr="00FC63DC">
        <w:rPr>
          <w:spacing w:val="-3"/>
        </w:rPr>
        <w:t xml:space="preserve"> </w:t>
      </w:r>
      <w:r>
        <w:t>evaluables</w:t>
      </w:r>
      <w:r w:rsidRPr="00FC63DC">
        <w:rPr>
          <w:spacing w:val="-3"/>
        </w:rPr>
        <w:t xml:space="preserve"> </w:t>
      </w:r>
      <w:r>
        <w:t>para</w:t>
      </w:r>
      <w:r w:rsidRPr="00FC63DC">
        <w:rPr>
          <w:spacing w:val="-3"/>
        </w:rPr>
        <w:t xml:space="preserve"> </w:t>
      </w:r>
      <w:r>
        <w:t>prevenir</w:t>
      </w:r>
      <w:r w:rsidRPr="00FC63DC">
        <w:rPr>
          <w:spacing w:val="-3"/>
        </w:rPr>
        <w:t xml:space="preserve"> </w:t>
      </w:r>
      <w:r>
        <w:t>la</w:t>
      </w:r>
      <w:r w:rsidRPr="00FC63DC">
        <w:rPr>
          <w:spacing w:val="-4"/>
        </w:rPr>
        <w:t xml:space="preserve"> </w:t>
      </w:r>
      <w:r>
        <w:t>estigmatización</w:t>
      </w:r>
      <w:r w:rsidRPr="00FC63DC">
        <w:rPr>
          <w:spacing w:val="-3"/>
        </w:rPr>
        <w:t xml:space="preserve"> </w:t>
      </w:r>
      <w:r>
        <w:t>y</w:t>
      </w:r>
      <w:r w:rsidRPr="00FC63DC">
        <w:rPr>
          <w:spacing w:val="-3"/>
        </w:rPr>
        <w:t xml:space="preserve"> </w:t>
      </w:r>
      <w:r>
        <w:t xml:space="preserve">criminalización de movimientos y organizaciones sociales. Es necesario, igualmente, garantizar el cumplimiento de los estándares sobre uso de la fuerza por parte de instituciones </w:t>
      </w:r>
      <w:r w:rsidRPr="00FC63DC">
        <w:rPr>
          <w:spacing w:val="-2"/>
        </w:rPr>
        <w:t>policiales.</w:t>
      </w:r>
    </w:p>
    <w:p w:rsidR="0011361F" w:rsidRDefault="00AF18A5" w:rsidP="00FC63DC">
      <w:r>
        <w:t>Corto</w:t>
      </w:r>
      <w:r>
        <w:rPr>
          <w:spacing w:val="-1"/>
        </w:rPr>
        <w:t xml:space="preserve"> </w:t>
      </w:r>
      <w:r>
        <w:rPr>
          <w:spacing w:val="-2"/>
        </w:rPr>
        <w:t>plazo</w:t>
      </w:r>
    </w:p>
    <w:p w:rsidR="003804AC" w:rsidRDefault="00AF18A5" w:rsidP="004A6EF4">
      <w:pPr>
        <w:pStyle w:val="Prrafodelista"/>
        <w:numPr>
          <w:ilvl w:val="0"/>
          <w:numId w:val="31"/>
        </w:numPr>
      </w:pPr>
      <w:r>
        <w:t xml:space="preserve">A los servidores públicos, </w:t>
      </w:r>
      <w:r w:rsidRPr="00FC63DC">
        <w:rPr>
          <w:b/>
        </w:rPr>
        <w:t xml:space="preserve">abstenerse de realizar conductas que deslegitimen, descalifiquen, hostiguen o estigmaticen </w:t>
      </w:r>
      <w:r>
        <w:t xml:space="preserve">la labor de defensores y defensoras de derechos </w:t>
      </w:r>
      <w:r>
        <w:lastRenderedPageBreak/>
        <w:t>humanos, integrantes de movimientos sociales y de líderes y lideresas sociales. También es importante que se abstengan de hacer falsas imputaciones o acusaciones que comprometan su seguridad, honra y buen nombre</w:t>
      </w:r>
      <w:r w:rsidR="00FC63DC">
        <w:rPr>
          <w:rStyle w:val="Refdenotaalpie"/>
        </w:rPr>
        <w:footnoteReference w:id="1228"/>
      </w:r>
      <w:r>
        <w:t>.</w:t>
      </w:r>
    </w:p>
    <w:p w:rsidR="0011361F" w:rsidRDefault="00AF18A5" w:rsidP="004A6EF4">
      <w:pPr>
        <w:pStyle w:val="Ttulo3"/>
        <w:numPr>
          <w:ilvl w:val="1"/>
          <w:numId w:val="28"/>
        </w:numPr>
      </w:pPr>
      <w:bookmarkStart w:id="1581" w:name="3.5._Ejercicio_de_la_política_libre_de_v"/>
      <w:bookmarkStart w:id="1582" w:name="_Toc112399697"/>
      <w:bookmarkEnd w:id="1581"/>
      <w:r>
        <w:t>Ejercicio</w:t>
      </w:r>
      <w:r>
        <w:rPr>
          <w:spacing w:val="-2"/>
        </w:rPr>
        <w:t xml:space="preserve"> </w:t>
      </w:r>
      <w:r>
        <w:t>de</w:t>
      </w:r>
      <w:r>
        <w:rPr>
          <w:spacing w:val="-2"/>
        </w:rPr>
        <w:t xml:space="preserve"> </w:t>
      </w:r>
      <w:r>
        <w:t>la</w:t>
      </w:r>
      <w:r>
        <w:rPr>
          <w:spacing w:val="-2"/>
        </w:rPr>
        <w:t xml:space="preserve"> </w:t>
      </w:r>
      <w:r>
        <w:t>política</w:t>
      </w:r>
      <w:r>
        <w:rPr>
          <w:spacing w:val="-1"/>
        </w:rPr>
        <w:t xml:space="preserve"> </w:t>
      </w:r>
      <w:r>
        <w:t>libre</w:t>
      </w:r>
      <w:r>
        <w:rPr>
          <w:spacing w:val="-2"/>
        </w:rPr>
        <w:t xml:space="preserve"> </w:t>
      </w:r>
      <w:r>
        <w:t>de</w:t>
      </w:r>
      <w:r>
        <w:rPr>
          <w:spacing w:val="-2"/>
        </w:rPr>
        <w:t xml:space="preserve"> </w:t>
      </w:r>
      <w:r w:rsidRPr="00FC63DC">
        <w:t>violencia</w:t>
      </w:r>
      <w:bookmarkEnd w:id="1582"/>
    </w:p>
    <w:p w:rsidR="0011361F" w:rsidRDefault="00AF18A5" w:rsidP="00FC63DC">
      <w:r>
        <w:t>Corto</w:t>
      </w:r>
      <w:r>
        <w:rPr>
          <w:spacing w:val="-1"/>
        </w:rPr>
        <w:t xml:space="preserve"> </w:t>
      </w:r>
      <w:r>
        <w:rPr>
          <w:spacing w:val="-2"/>
        </w:rPr>
        <w:t>plazo</w:t>
      </w:r>
    </w:p>
    <w:p w:rsidR="003804AC" w:rsidRDefault="00AF18A5" w:rsidP="004A6EF4">
      <w:pPr>
        <w:pStyle w:val="Prrafodelista"/>
        <w:numPr>
          <w:ilvl w:val="0"/>
          <w:numId w:val="31"/>
        </w:numPr>
      </w:pPr>
      <w:r>
        <w:t>Al Gobierno Nacional en cabeza del Ministerio del Interior adoptar las medidas necesarias para brindar garantías con enfoque diferencial para los líderes y lideresas, defensores y defensoras de derechos humanos, excombatientes, así como la oposición política</w:t>
      </w:r>
      <w:r w:rsidRPr="00FC63DC">
        <w:rPr>
          <w:spacing w:val="-2"/>
        </w:rPr>
        <w:t xml:space="preserve"> </w:t>
      </w:r>
      <w:r>
        <w:t>y</w:t>
      </w:r>
      <w:r w:rsidRPr="00FC63DC">
        <w:rPr>
          <w:spacing w:val="-2"/>
        </w:rPr>
        <w:t xml:space="preserve"> </w:t>
      </w:r>
      <w:r>
        <w:t>social,</w:t>
      </w:r>
      <w:r w:rsidRPr="00FC63DC">
        <w:rPr>
          <w:spacing w:val="-2"/>
        </w:rPr>
        <w:t xml:space="preserve"> </w:t>
      </w:r>
      <w:r>
        <w:t>sobre</w:t>
      </w:r>
      <w:r w:rsidRPr="00FC63DC">
        <w:rPr>
          <w:spacing w:val="-2"/>
        </w:rPr>
        <w:t xml:space="preserve"> </w:t>
      </w:r>
      <w:r>
        <w:t>la</w:t>
      </w:r>
      <w:r w:rsidRPr="00FC63DC">
        <w:rPr>
          <w:spacing w:val="-2"/>
        </w:rPr>
        <w:t xml:space="preserve"> </w:t>
      </w:r>
      <w:r>
        <w:t>base</w:t>
      </w:r>
      <w:r w:rsidRPr="00FC63DC">
        <w:rPr>
          <w:spacing w:val="-2"/>
        </w:rPr>
        <w:t xml:space="preserve"> </w:t>
      </w:r>
      <w:r>
        <w:t>del</w:t>
      </w:r>
      <w:r w:rsidRPr="00FC63DC">
        <w:rPr>
          <w:spacing w:val="-2"/>
        </w:rPr>
        <w:t xml:space="preserve"> </w:t>
      </w:r>
      <w:r>
        <w:t>diálogo</w:t>
      </w:r>
      <w:r w:rsidRPr="00FC63DC">
        <w:rPr>
          <w:spacing w:val="-2"/>
        </w:rPr>
        <w:t xml:space="preserve"> </w:t>
      </w:r>
      <w:r>
        <w:t>y</w:t>
      </w:r>
      <w:r w:rsidRPr="00FC63DC">
        <w:rPr>
          <w:spacing w:val="-2"/>
        </w:rPr>
        <w:t xml:space="preserve"> </w:t>
      </w:r>
      <w:r>
        <w:t>consenso</w:t>
      </w:r>
      <w:r w:rsidRPr="00FC63DC">
        <w:rPr>
          <w:spacing w:val="-2"/>
        </w:rPr>
        <w:t xml:space="preserve"> </w:t>
      </w:r>
      <w:r>
        <w:t>con</w:t>
      </w:r>
      <w:r w:rsidRPr="00FC63DC">
        <w:rPr>
          <w:spacing w:val="-2"/>
        </w:rPr>
        <w:t xml:space="preserve"> </w:t>
      </w:r>
      <w:r>
        <w:t>los</w:t>
      </w:r>
      <w:r w:rsidRPr="00FC63DC">
        <w:rPr>
          <w:spacing w:val="-3"/>
        </w:rPr>
        <w:t xml:space="preserve"> </w:t>
      </w:r>
      <w:r>
        <w:t>diferentes</w:t>
      </w:r>
      <w:r w:rsidRPr="00FC63DC">
        <w:rPr>
          <w:spacing w:val="-2"/>
        </w:rPr>
        <w:t xml:space="preserve"> </w:t>
      </w:r>
      <w:r>
        <w:t>sectores</w:t>
      </w:r>
      <w:r w:rsidRPr="00FC63DC">
        <w:rPr>
          <w:spacing w:val="-2"/>
        </w:rPr>
        <w:t xml:space="preserve"> </w:t>
      </w:r>
      <w:r>
        <w:t>o</w:t>
      </w:r>
      <w:r w:rsidRPr="00FC63DC">
        <w:rPr>
          <w:spacing w:val="-2"/>
        </w:rPr>
        <w:t xml:space="preserve"> </w:t>
      </w:r>
      <w:r>
        <w:t>grupos</w:t>
      </w:r>
      <w:r w:rsidRPr="00FC63DC">
        <w:rPr>
          <w:spacing w:val="-2"/>
        </w:rPr>
        <w:t xml:space="preserve"> </w:t>
      </w:r>
      <w:r>
        <w:t>a través de mecanismos existentes o nuevos. Para ello, se sugiere:</w:t>
      </w:r>
    </w:p>
    <w:p w:rsidR="0011361F" w:rsidRDefault="00AF18A5" w:rsidP="004A6EF4">
      <w:pPr>
        <w:pStyle w:val="Prrafodelista"/>
        <w:numPr>
          <w:ilvl w:val="0"/>
          <w:numId w:val="40"/>
        </w:numPr>
      </w:pPr>
      <w:r>
        <w:t xml:space="preserve">Fortalecer las capacidades del </w:t>
      </w:r>
      <w:r w:rsidRPr="00FC63DC">
        <w:rPr>
          <w:b/>
        </w:rPr>
        <w:t>Sistema de Alertas Tempranas</w:t>
      </w:r>
      <w:r w:rsidR="00FC63DC">
        <w:rPr>
          <w:rStyle w:val="Refdenotaalpie"/>
          <w:b/>
        </w:rPr>
        <w:footnoteReference w:id="1229"/>
      </w:r>
      <w:r>
        <w:t xml:space="preserve"> de la Defensoría del Pueblo y los mecanismos que garanticen el seguimiento, atención y rendición periódica de cuentas sobre sus recomendaciones.</w:t>
      </w:r>
    </w:p>
    <w:p w:rsidR="003804AC" w:rsidRDefault="00AF18A5" w:rsidP="004A6EF4">
      <w:pPr>
        <w:pStyle w:val="Prrafodelista"/>
        <w:numPr>
          <w:ilvl w:val="0"/>
          <w:numId w:val="40"/>
        </w:numPr>
      </w:pPr>
      <w:bookmarkStart w:id="1583" w:name="_bookmark1378"/>
      <w:bookmarkStart w:id="1584" w:name="_bookmark1379"/>
      <w:bookmarkEnd w:id="1583"/>
      <w:bookmarkEnd w:id="1584"/>
      <w:r>
        <w:t xml:space="preserve">Fortalecer las capacidades de la </w:t>
      </w:r>
      <w:r w:rsidRPr="008229D2">
        <w:rPr>
          <w:b/>
        </w:rPr>
        <w:t xml:space="preserve">Unidad Especial de Investigación de la Fiscalía </w:t>
      </w:r>
      <w:r>
        <w:t>a nivel territorial para lograr un análisis contextual de las agresiones contra líderes y lideresas y excombatientes por región.</w:t>
      </w:r>
    </w:p>
    <w:p w:rsidR="003804AC" w:rsidRDefault="00AF18A5" w:rsidP="004A6EF4">
      <w:pPr>
        <w:pStyle w:val="Prrafodelista"/>
        <w:numPr>
          <w:ilvl w:val="0"/>
          <w:numId w:val="40"/>
        </w:numPr>
      </w:pPr>
      <w:r>
        <w:t xml:space="preserve">Garantizar una respuesta efectiva por parte de la </w:t>
      </w:r>
      <w:r w:rsidRPr="008229D2">
        <w:rPr>
          <w:b/>
        </w:rPr>
        <w:t>Unidad Nacional de Protección</w:t>
      </w:r>
      <w:r w:rsidRPr="008229D2">
        <w:rPr>
          <w:b/>
          <w:spacing w:val="-11"/>
        </w:rPr>
        <w:t xml:space="preserve"> </w:t>
      </w:r>
      <w:r>
        <w:t>a</w:t>
      </w:r>
      <w:r w:rsidRPr="008229D2">
        <w:rPr>
          <w:spacing w:val="-9"/>
        </w:rPr>
        <w:t xml:space="preserve"> </w:t>
      </w:r>
      <w:r>
        <w:t>las</w:t>
      </w:r>
      <w:r w:rsidRPr="008229D2">
        <w:rPr>
          <w:spacing w:val="-10"/>
        </w:rPr>
        <w:t xml:space="preserve"> </w:t>
      </w:r>
      <w:r>
        <w:t>solicitudes</w:t>
      </w:r>
      <w:r w:rsidRPr="008229D2">
        <w:rPr>
          <w:spacing w:val="-9"/>
        </w:rPr>
        <w:t xml:space="preserve"> </w:t>
      </w:r>
      <w:r>
        <w:t>de</w:t>
      </w:r>
      <w:r w:rsidRPr="008229D2">
        <w:rPr>
          <w:spacing w:val="-9"/>
        </w:rPr>
        <w:t xml:space="preserve"> </w:t>
      </w:r>
      <w:r>
        <w:t>protección</w:t>
      </w:r>
      <w:r w:rsidRPr="008229D2">
        <w:rPr>
          <w:spacing w:val="-10"/>
        </w:rPr>
        <w:t xml:space="preserve"> </w:t>
      </w:r>
      <w:r>
        <w:lastRenderedPageBreak/>
        <w:t>individuales</w:t>
      </w:r>
      <w:r w:rsidRPr="008229D2">
        <w:rPr>
          <w:spacing w:val="-9"/>
        </w:rPr>
        <w:t xml:space="preserve"> </w:t>
      </w:r>
      <w:r>
        <w:t>y</w:t>
      </w:r>
      <w:r w:rsidRPr="008229D2">
        <w:rPr>
          <w:spacing w:val="-11"/>
        </w:rPr>
        <w:t xml:space="preserve"> </w:t>
      </w:r>
      <w:r>
        <w:t>colectivas.</w:t>
      </w:r>
      <w:r w:rsidRPr="008229D2">
        <w:rPr>
          <w:spacing w:val="-9"/>
        </w:rPr>
        <w:t xml:space="preserve"> </w:t>
      </w:r>
      <w:r>
        <w:t>Adicionalmente, fortalecer la participación de mujeres en los esquemas y garantizar sanciones ejemplares en casos de violencias sexuales contra protegidas.</w:t>
      </w:r>
    </w:p>
    <w:p w:rsidR="003804AC" w:rsidRDefault="00AF18A5" w:rsidP="004A6EF4">
      <w:pPr>
        <w:pStyle w:val="Prrafodelista"/>
        <w:numPr>
          <w:ilvl w:val="0"/>
          <w:numId w:val="40"/>
        </w:numPr>
      </w:pPr>
      <w:r>
        <w:t xml:space="preserve">Implementar con suficientes recursos el </w:t>
      </w:r>
      <w:r w:rsidRPr="008229D2">
        <w:rPr>
          <w:b/>
        </w:rPr>
        <w:t xml:space="preserve">programa de protección colectiva </w:t>
      </w:r>
      <w:r>
        <w:t>de comunidades rurales, cumplir sus objetivos a cabalidad, activar instancias territoriales del programa y dar resultados a partir de comités técnicos</w:t>
      </w:r>
      <w:r w:rsidR="008229D2">
        <w:rPr>
          <w:rStyle w:val="Refdenotaalpie"/>
        </w:rPr>
        <w:footnoteReference w:id="1230"/>
      </w:r>
      <w:r w:rsidRPr="008229D2">
        <w:rPr>
          <w:spacing w:val="40"/>
        </w:rPr>
        <w:t xml:space="preserve">  </w:t>
      </w:r>
      <w:r>
        <w:t xml:space="preserve">. Garantizar recursos y capacidades para implementar el </w:t>
      </w:r>
      <w:r w:rsidRPr="008229D2">
        <w:rPr>
          <w:b/>
        </w:rPr>
        <w:t>Programa Integral de Garantías</w:t>
      </w:r>
      <w:r w:rsidRPr="008229D2">
        <w:rPr>
          <w:b/>
          <w:spacing w:val="-13"/>
        </w:rPr>
        <w:t xml:space="preserve"> </w:t>
      </w:r>
      <w:r w:rsidRPr="008229D2">
        <w:rPr>
          <w:b/>
        </w:rPr>
        <w:t>para</w:t>
      </w:r>
      <w:r w:rsidRPr="008229D2">
        <w:rPr>
          <w:b/>
          <w:spacing w:val="-13"/>
        </w:rPr>
        <w:t xml:space="preserve"> </w:t>
      </w:r>
      <w:r w:rsidRPr="008229D2">
        <w:rPr>
          <w:b/>
        </w:rPr>
        <w:t>Mujeres</w:t>
      </w:r>
      <w:r w:rsidRPr="008229D2">
        <w:rPr>
          <w:b/>
          <w:spacing w:val="-13"/>
        </w:rPr>
        <w:t xml:space="preserve"> </w:t>
      </w:r>
      <w:r w:rsidRPr="008229D2">
        <w:rPr>
          <w:b/>
        </w:rPr>
        <w:t>Lideresas</w:t>
      </w:r>
      <w:r w:rsidRPr="008229D2">
        <w:rPr>
          <w:b/>
          <w:spacing w:val="-13"/>
        </w:rPr>
        <w:t xml:space="preserve"> </w:t>
      </w:r>
      <w:r>
        <w:t>y</w:t>
      </w:r>
      <w:r w:rsidRPr="008229D2">
        <w:rPr>
          <w:spacing w:val="-13"/>
        </w:rPr>
        <w:t xml:space="preserve"> </w:t>
      </w:r>
      <w:r>
        <w:t>defensoras</w:t>
      </w:r>
      <w:r w:rsidRPr="008229D2">
        <w:rPr>
          <w:spacing w:val="-14"/>
        </w:rPr>
        <w:t xml:space="preserve"> </w:t>
      </w:r>
      <w:r>
        <w:t>de</w:t>
      </w:r>
      <w:r w:rsidRPr="008229D2">
        <w:rPr>
          <w:spacing w:val="-13"/>
        </w:rPr>
        <w:t xml:space="preserve"> </w:t>
      </w:r>
      <w:r>
        <w:t>derechos</w:t>
      </w:r>
      <w:r w:rsidRPr="008229D2">
        <w:rPr>
          <w:spacing w:val="-14"/>
        </w:rPr>
        <w:t xml:space="preserve"> </w:t>
      </w:r>
      <w:r>
        <w:t>humanos,</w:t>
      </w:r>
      <w:r w:rsidRPr="008229D2">
        <w:rPr>
          <w:spacing w:val="-13"/>
        </w:rPr>
        <w:t xml:space="preserve"> </w:t>
      </w:r>
      <w:r>
        <w:t>aumentando su cobertura territorial</w:t>
      </w:r>
      <w:r w:rsidR="008229D2">
        <w:rPr>
          <w:rStyle w:val="Refdenotaalpie"/>
        </w:rPr>
        <w:footnoteReference w:id="1231"/>
      </w:r>
      <w:r w:rsidRPr="008229D2">
        <w:rPr>
          <w:spacing w:val="80"/>
        </w:rPr>
        <w:t xml:space="preserve">  </w:t>
      </w:r>
      <w:r>
        <w:t>.</w:t>
      </w:r>
    </w:p>
    <w:p w:rsidR="0011361F" w:rsidRDefault="00AF18A5" w:rsidP="004A6EF4">
      <w:pPr>
        <w:pStyle w:val="Ttulo3"/>
        <w:numPr>
          <w:ilvl w:val="1"/>
          <w:numId w:val="28"/>
        </w:numPr>
      </w:pPr>
      <w:bookmarkStart w:id="1585" w:name="3.6._Inclusión_de_grupos_históricamente_"/>
      <w:bookmarkStart w:id="1586" w:name="_Toc112399698"/>
      <w:bookmarkEnd w:id="1585"/>
      <w:r w:rsidRPr="008229D2">
        <w:t>Inclusión</w:t>
      </w:r>
      <w:r>
        <w:rPr>
          <w:spacing w:val="-4"/>
        </w:rPr>
        <w:t xml:space="preserve"> </w:t>
      </w:r>
      <w:r>
        <w:t>de</w:t>
      </w:r>
      <w:r>
        <w:rPr>
          <w:spacing w:val="-3"/>
        </w:rPr>
        <w:t xml:space="preserve"> </w:t>
      </w:r>
      <w:r>
        <w:t>grupos</w:t>
      </w:r>
      <w:r>
        <w:rPr>
          <w:spacing w:val="-3"/>
        </w:rPr>
        <w:t xml:space="preserve"> </w:t>
      </w:r>
      <w:r>
        <w:t>históricamente</w:t>
      </w:r>
      <w:r>
        <w:rPr>
          <w:spacing w:val="-2"/>
        </w:rPr>
        <w:t xml:space="preserve"> excluidos</w:t>
      </w:r>
      <w:bookmarkEnd w:id="1586"/>
    </w:p>
    <w:p w:rsidR="0011361F" w:rsidRDefault="00AF18A5" w:rsidP="008229D2">
      <w:r>
        <w:t>Mediano</w:t>
      </w:r>
      <w:r>
        <w:rPr>
          <w:spacing w:val="-3"/>
        </w:rPr>
        <w:t xml:space="preserve"> </w:t>
      </w:r>
      <w:r>
        <w:rPr>
          <w:spacing w:val="-2"/>
        </w:rPr>
        <w:t>plazo</w:t>
      </w:r>
    </w:p>
    <w:p w:rsidR="003804AC" w:rsidRDefault="00AF18A5" w:rsidP="004A6EF4">
      <w:pPr>
        <w:pStyle w:val="Prrafodelista"/>
        <w:numPr>
          <w:ilvl w:val="0"/>
          <w:numId w:val="31"/>
        </w:numPr>
      </w:pPr>
      <w:r>
        <w:t>Al Gobierno Nacional, establecer un espacio de diálogo y concertación con las organizaciones campesinas para acordar las reformas normativas e institucionales que se consideren</w:t>
      </w:r>
      <w:r w:rsidRPr="00776243">
        <w:rPr>
          <w:spacing w:val="-15"/>
        </w:rPr>
        <w:t xml:space="preserve"> </w:t>
      </w:r>
      <w:r>
        <w:t>necesarias</w:t>
      </w:r>
      <w:r w:rsidRPr="00776243">
        <w:rPr>
          <w:spacing w:val="-15"/>
        </w:rPr>
        <w:t xml:space="preserve"> </w:t>
      </w:r>
      <w:r>
        <w:t>para</w:t>
      </w:r>
      <w:r w:rsidRPr="00776243">
        <w:rPr>
          <w:spacing w:val="-15"/>
        </w:rPr>
        <w:t xml:space="preserve"> </w:t>
      </w:r>
      <w:r w:rsidRPr="00776243">
        <w:rPr>
          <w:b/>
        </w:rPr>
        <w:t>garantizar</w:t>
      </w:r>
      <w:r w:rsidRPr="00776243">
        <w:rPr>
          <w:b/>
          <w:spacing w:val="-15"/>
        </w:rPr>
        <w:t xml:space="preserve"> </w:t>
      </w:r>
      <w:r w:rsidRPr="00776243">
        <w:rPr>
          <w:b/>
        </w:rPr>
        <w:t>el</w:t>
      </w:r>
      <w:r w:rsidRPr="00776243">
        <w:rPr>
          <w:b/>
          <w:spacing w:val="-15"/>
        </w:rPr>
        <w:t xml:space="preserve"> </w:t>
      </w:r>
      <w:r w:rsidRPr="00776243">
        <w:rPr>
          <w:b/>
        </w:rPr>
        <w:t>reconocimiento</w:t>
      </w:r>
      <w:r w:rsidRPr="00776243">
        <w:rPr>
          <w:b/>
          <w:spacing w:val="-15"/>
        </w:rPr>
        <w:t xml:space="preserve"> </w:t>
      </w:r>
      <w:r w:rsidRPr="00776243">
        <w:rPr>
          <w:b/>
        </w:rPr>
        <w:t>del</w:t>
      </w:r>
      <w:r w:rsidRPr="00776243">
        <w:rPr>
          <w:b/>
          <w:spacing w:val="-15"/>
        </w:rPr>
        <w:t xml:space="preserve"> </w:t>
      </w:r>
      <w:r w:rsidRPr="00776243">
        <w:rPr>
          <w:b/>
        </w:rPr>
        <w:t>sujeto</w:t>
      </w:r>
      <w:r w:rsidRPr="00776243">
        <w:rPr>
          <w:b/>
          <w:spacing w:val="-15"/>
        </w:rPr>
        <w:t xml:space="preserve"> </w:t>
      </w:r>
      <w:r w:rsidRPr="00776243">
        <w:rPr>
          <w:b/>
        </w:rPr>
        <w:t>campesino</w:t>
      </w:r>
      <w:r>
        <w:t>,</w:t>
      </w:r>
      <w:r w:rsidRPr="00776243">
        <w:rPr>
          <w:spacing w:val="-15"/>
        </w:rPr>
        <w:t xml:space="preserve"> </w:t>
      </w:r>
      <w:r>
        <w:t>su</w:t>
      </w:r>
      <w:r w:rsidRPr="00776243">
        <w:rPr>
          <w:spacing w:val="-15"/>
        </w:rPr>
        <w:t xml:space="preserve"> </w:t>
      </w:r>
      <w:r>
        <w:t>igualdad material y su participación activa y efectiva en los asuntos que les afectan. Estas reformas incluyen, entre otras, la adopción de la Declaración de la ONU sobre los Derechos de los Campesinos, medidas para el fortalecimiento político del movimiento campesino, y campañas contra la estigmatización de sus liderazgos y organizaciones.</w:t>
      </w:r>
    </w:p>
    <w:p w:rsidR="0011361F" w:rsidRDefault="00AF18A5" w:rsidP="00776243">
      <w:r>
        <w:t>Mediano</w:t>
      </w:r>
      <w:r>
        <w:rPr>
          <w:spacing w:val="-3"/>
        </w:rPr>
        <w:t xml:space="preserve"> </w:t>
      </w:r>
      <w:r>
        <w:rPr>
          <w:spacing w:val="-2"/>
        </w:rPr>
        <w:t>plazo</w:t>
      </w:r>
    </w:p>
    <w:p w:rsidR="003804AC" w:rsidRDefault="00AF18A5" w:rsidP="004A6EF4">
      <w:pPr>
        <w:pStyle w:val="Prrafodelista"/>
        <w:numPr>
          <w:ilvl w:val="0"/>
          <w:numId w:val="31"/>
        </w:numPr>
      </w:pPr>
      <w:bookmarkStart w:id="1587" w:name="_bookmark1381"/>
      <w:bookmarkStart w:id="1588" w:name="_bookmark1382"/>
      <w:bookmarkEnd w:id="1587"/>
      <w:bookmarkEnd w:id="1588"/>
      <w:r>
        <w:t xml:space="preserve">Al Congreso de la República y al Gobierno Nacional, con </w:t>
      </w:r>
      <w:r>
        <w:lastRenderedPageBreak/>
        <w:t>participación activa y efectiva de organizaciones de mujeres, acordar los ajustes institucionales y normativos necesarios</w:t>
      </w:r>
      <w:r w:rsidRPr="00A35E2D">
        <w:rPr>
          <w:spacing w:val="-15"/>
        </w:rPr>
        <w:t xml:space="preserve"> </w:t>
      </w:r>
      <w:r>
        <w:t>para</w:t>
      </w:r>
      <w:r w:rsidRPr="00A35E2D">
        <w:rPr>
          <w:spacing w:val="-15"/>
        </w:rPr>
        <w:t xml:space="preserve"> </w:t>
      </w:r>
      <w:r>
        <w:t>hacer</w:t>
      </w:r>
      <w:r w:rsidRPr="00A35E2D">
        <w:rPr>
          <w:spacing w:val="-15"/>
        </w:rPr>
        <w:t xml:space="preserve"> </w:t>
      </w:r>
      <w:r>
        <w:t>frente</w:t>
      </w:r>
      <w:r w:rsidRPr="00A35E2D">
        <w:rPr>
          <w:spacing w:val="-15"/>
        </w:rPr>
        <w:t xml:space="preserve"> </w:t>
      </w:r>
      <w:r>
        <w:t>a</w:t>
      </w:r>
      <w:r w:rsidRPr="00A35E2D">
        <w:rPr>
          <w:spacing w:val="-15"/>
        </w:rPr>
        <w:t xml:space="preserve"> </w:t>
      </w:r>
      <w:r>
        <w:t>la</w:t>
      </w:r>
      <w:r w:rsidRPr="00A35E2D">
        <w:rPr>
          <w:spacing w:val="-15"/>
        </w:rPr>
        <w:t xml:space="preserve"> </w:t>
      </w:r>
      <w:r>
        <w:t>discriminación</w:t>
      </w:r>
      <w:r w:rsidRPr="00A35E2D">
        <w:rPr>
          <w:spacing w:val="-15"/>
        </w:rPr>
        <w:t xml:space="preserve"> </w:t>
      </w:r>
      <w:r>
        <w:t>en</w:t>
      </w:r>
      <w:r w:rsidRPr="00A35E2D">
        <w:rPr>
          <w:spacing w:val="-15"/>
        </w:rPr>
        <w:t xml:space="preserve"> </w:t>
      </w:r>
      <w:r>
        <w:t>razón</w:t>
      </w:r>
      <w:r w:rsidRPr="00A35E2D">
        <w:rPr>
          <w:spacing w:val="-15"/>
        </w:rPr>
        <w:t xml:space="preserve"> </w:t>
      </w:r>
      <w:r>
        <w:t>del</w:t>
      </w:r>
      <w:r w:rsidRPr="00A35E2D">
        <w:rPr>
          <w:spacing w:val="-15"/>
        </w:rPr>
        <w:t xml:space="preserve"> </w:t>
      </w:r>
      <w:r>
        <w:t>género</w:t>
      </w:r>
      <w:r w:rsidRPr="00A35E2D">
        <w:rPr>
          <w:spacing w:val="-15"/>
        </w:rPr>
        <w:t xml:space="preserve"> </w:t>
      </w:r>
      <w:r>
        <w:t>y</w:t>
      </w:r>
      <w:r w:rsidRPr="00A35E2D">
        <w:rPr>
          <w:spacing w:val="-15"/>
        </w:rPr>
        <w:t xml:space="preserve"> </w:t>
      </w:r>
      <w:r w:rsidRPr="00A35E2D">
        <w:rPr>
          <w:b/>
        </w:rPr>
        <w:t>garantizar</w:t>
      </w:r>
      <w:r w:rsidRPr="00A35E2D">
        <w:rPr>
          <w:b/>
          <w:spacing w:val="-15"/>
        </w:rPr>
        <w:t xml:space="preserve"> </w:t>
      </w:r>
      <w:r w:rsidRPr="00A35E2D">
        <w:rPr>
          <w:b/>
        </w:rPr>
        <w:t>la</w:t>
      </w:r>
      <w:r w:rsidRPr="00A35E2D">
        <w:rPr>
          <w:b/>
          <w:spacing w:val="-15"/>
        </w:rPr>
        <w:t xml:space="preserve"> </w:t>
      </w:r>
      <w:r w:rsidRPr="00A35E2D">
        <w:rPr>
          <w:b/>
        </w:rPr>
        <w:t xml:space="preserve">igualdad de género, la seguridad y la vida libre de violencias para las mujeres </w:t>
      </w:r>
      <w:r>
        <w:t xml:space="preserve">y las personas </w:t>
      </w:r>
      <w:r w:rsidRPr="00A35E2D">
        <w:rPr>
          <w:spacing w:val="-2"/>
        </w:rPr>
        <w:t>LGBTIQ+.</w:t>
      </w:r>
    </w:p>
    <w:p w:rsidR="0011361F" w:rsidRDefault="00AF18A5" w:rsidP="00A35E2D">
      <w:r>
        <w:t>Mediano</w:t>
      </w:r>
      <w:r>
        <w:rPr>
          <w:spacing w:val="-3"/>
        </w:rPr>
        <w:t xml:space="preserve"> </w:t>
      </w:r>
      <w:r>
        <w:rPr>
          <w:spacing w:val="-2"/>
        </w:rPr>
        <w:t>plazo</w:t>
      </w:r>
    </w:p>
    <w:p w:rsidR="003804AC" w:rsidRDefault="00AF18A5" w:rsidP="004A6EF4">
      <w:pPr>
        <w:pStyle w:val="Prrafodelista"/>
        <w:numPr>
          <w:ilvl w:val="0"/>
          <w:numId w:val="31"/>
        </w:numPr>
      </w:pPr>
      <w:r>
        <w:t>Al</w:t>
      </w:r>
      <w:r w:rsidRPr="00A35E2D">
        <w:rPr>
          <w:spacing w:val="-15"/>
        </w:rPr>
        <w:t xml:space="preserve"> </w:t>
      </w:r>
      <w:r>
        <w:t>Estado</w:t>
      </w:r>
      <w:r w:rsidRPr="00A35E2D">
        <w:rPr>
          <w:spacing w:val="-15"/>
        </w:rPr>
        <w:t xml:space="preserve"> </w:t>
      </w:r>
      <w:r>
        <w:t>Colombiano,</w:t>
      </w:r>
      <w:r w:rsidRPr="00A35E2D">
        <w:rPr>
          <w:spacing w:val="-15"/>
        </w:rPr>
        <w:t xml:space="preserve"> </w:t>
      </w:r>
      <w:r>
        <w:t>en</w:t>
      </w:r>
      <w:r w:rsidRPr="00A35E2D">
        <w:rPr>
          <w:spacing w:val="-15"/>
        </w:rPr>
        <w:t xml:space="preserve"> </w:t>
      </w:r>
      <w:r>
        <w:t>cabeza</w:t>
      </w:r>
      <w:r w:rsidRPr="00A35E2D">
        <w:rPr>
          <w:spacing w:val="-15"/>
        </w:rPr>
        <w:t xml:space="preserve"> </w:t>
      </w:r>
      <w:r>
        <w:t>del</w:t>
      </w:r>
      <w:r w:rsidRPr="00A35E2D">
        <w:rPr>
          <w:spacing w:val="-15"/>
        </w:rPr>
        <w:t xml:space="preserve"> </w:t>
      </w:r>
      <w:r>
        <w:t>Gobierno</w:t>
      </w:r>
      <w:r w:rsidRPr="00A35E2D">
        <w:rPr>
          <w:spacing w:val="-15"/>
        </w:rPr>
        <w:t xml:space="preserve"> </w:t>
      </w:r>
      <w:r>
        <w:t>Nacional</w:t>
      </w:r>
      <w:r w:rsidRPr="00A35E2D">
        <w:rPr>
          <w:spacing w:val="-15"/>
        </w:rPr>
        <w:t xml:space="preserve"> </w:t>
      </w:r>
      <w:r>
        <w:t>y</w:t>
      </w:r>
      <w:r w:rsidRPr="00A35E2D">
        <w:rPr>
          <w:spacing w:val="-15"/>
        </w:rPr>
        <w:t xml:space="preserve"> </w:t>
      </w:r>
      <w:r>
        <w:t>las</w:t>
      </w:r>
      <w:r w:rsidRPr="00A35E2D">
        <w:rPr>
          <w:spacing w:val="-15"/>
        </w:rPr>
        <w:t xml:space="preserve"> </w:t>
      </w:r>
      <w:r>
        <w:t>autoridades</w:t>
      </w:r>
      <w:r w:rsidRPr="00A35E2D">
        <w:rPr>
          <w:spacing w:val="-15"/>
        </w:rPr>
        <w:t xml:space="preserve"> </w:t>
      </w:r>
      <w:r>
        <w:t xml:space="preserve">territoriales incluyendo las autoridades étnicas, suscribir </w:t>
      </w:r>
      <w:r w:rsidRPr="00A35E2D">
        <w:rPr>
          <w:b/>
        </w:rPr>
        <w:t>pactos por la igualdad para las mujeres y la desestructuración del patriarcado para cimentar la paz</w:t>
      </w:r>
      <w:r>
        <w:t>.</w:t>
      </w:r>
    </w:p>
    <w:p w:rsidR="0011361F" w:rsidRDefault="00AF18A5" w:rsidP="00A35E2D">
      <w:r>
        <w:t>Mediano</w:t>
      </w:r>
      <w:r>
        <w:rPr>
          <w:spacing w:val="-3"/>
        </w:rPr>
        <w:t xml:space="preserve"> </w:t>
      </w:r>
      <w:r>
        <w:rPr>
          <w:spacing w:val="-2"/>
        </w:rPr>
        <w:t>plazo</w:t>
      </w:r>
    </w:p>
    <w:p w:rsidR="003804AC" w:rsidRDefault="00AF18A5" w:rsidP="004A6EF4">
      <w:pPr>
        <w:pStyle w:val="Prrafodelista"/>
        <w:numPr>
          <w:ilvl w:val="0"/>
          <w:numId w:val="31"/>
        </w:numPr>
      </w:pPr>
      <w:r>
        <w:t>Al Gobierno Nacional y el Congreso de la República, concertar y priorizar con los pueblos étnicos los ajustes normativos e institucionales para garantizar los derechos consagrados</w:t>
      </w:r>
      <w:r w:rsidRPr="00A35E2D">
        <w:rPr>
          <w:spacing w:val="-13"/>
        </w:rPr>
        <w:t xml:space="preserve"> </w:t>
      </w:r>
      <w:r>
        <w:t>en</w:t>
      </w:r>
      <w:r w:rsidRPr="00A35E2D">
        <w:rPr>
          <w:spacing w:val="-14"/>
        </w:rPr>
        <w:t xml:space="preserve"> </w:t>
      </w:r>
      <w:r>
        <w:t>la</w:t>
      </w:r>
      <w:r w:rsidRPr="00A35E2D">
        <w:rPr>
          <w:spacing w:val="-13"/>
        </w:rPr>
        <w:t xml:space="preserve"> </w:t>
      </w:r>
      <w:r>
        <w:t>Constitución</w:t>
      </w:r>
      <w:r w:rsidRPr="00A35E2D">
        <w:rPr>
          <w:spacing w:val="-14"/>
        </w:rPr>
        <w:t xml:space="preserve"> </w:t>
      </w:r>
      <w:r>
        <w:t>Política</w:t>
      </w:r>
      <w:r w:rsidRPr="00A35E2D">
        <w:rPr>
          <w:spacing w:val="-13"/>
        </w:rPr>
        <w:t xml:space="preserve"> </w:t>
      </w:r>
      <w:r>
        <w:t>de</w:t>
      </w:r>
      <w:r w:rsidRPr="00A35E2D">
        <w:rPr>
          <w:spacing w:val="-13"/>
        </w:rPr>
        <w:t xml:space="preserve"> </w:t>
      </w:r>
      <w:r>
        <w:t>1991.</w:t>
      </w:r>
      <w:r w:rsidRPr="00A35E2D">
        <w:rPr>
          <w:spacing w:val="-13"/>
        </w:rPr>
        <w:t xml:space="preserve"> </w:t>
      </w:r>
      <w:r>
        <w:t>Para</w:t>
      </w:r>
      <w:r w:rsidRPr="00A35E2D">
        <w:rPr>
          <w:spacing w:val="-13"/>
        </w:rPr>
        <w:t xml:space="preserve"> </w:t>
      </w:r>
      <w:r>
        <w:t>avanzar</w:t>
      </w:r>
      <w:r w:rsidRPr="00A35E2D">
        <w:rPr>
          <w:spacing w:val="-13"/>
        </w:rPr>
        <w:t xml:space="preserve"> </w:t>
      </w:r>
      <w:r>
        <w:t>en</w:t>
      </w:r>
      <w:r w:rsidRPr="00A35E2D">
        <w:rPr>
          <w:spacing w:val="-13"/>
        </w:rPr>
        <w:t xml:space="preserve"> </w:t>
      </w:r>
      <w:r>
        <w:t>esto</w:t>
      </w:r>
      <w:r w:rsidRPr="00A35E2D">
        <w:rPr>
          <w:spacing w:val="-13"/>
        </w:rPr>
        <w:t xml:space="preserve"> </w:t>
      </w:r>
      <w:r>
        <w:t>se</w:t>
      </w:r>
      <w:r w:rsidRPr="00A35E2D">
        <w:rPr>
          <w:spacing w:val="-13"/>
        </w:rPr>
        <w:t xml:space="preserve"> </w:t>
      </w:r>
      <w:r>
        <w:t>requiere,</w:t>
      </w:r>
      <w:r w:rsidRPr="00A35E2D">
        <w:rPr>
          <w:spacing w:val="-13"/>
        </w:rPr>
        <w:t xml:space="preserve"> </w:t>
      </w:r>
      <w:r>
        <w:t>por</w:t>
      </w:r>
      <w:r w:rsidRPr="00A35E2D">
        <w:rPr>
          <w:spacing w:val="-13"/>
        </w:rPr>
        <w:t xml:space="preserve"> </w:t>
      </w:r>
      <w:r>
        <w:t xml:space="preserve">cada </w:t>
      </w:r>
      <w:r w:rsidRPr="00A35E2D">
        <w:rPr>
          <w:spacing w:val="-2"/>
        </w:rPr>
        <w:t>pueblo:</w:t>
      </w:r>
    </w:p>
    <w:p w:rsidR="003804AC" w:rsidRDefault="00AF18A5" w:rsidP="004A6EF4">
      <w:pPr>
        <w:pStyle w:val="Prrafodelista"/>
        <w:numPr>
          <w:ilvl w:val="0"/>
          <w:numId w:val="41"/>
        </w:numPr>
      </w:pPr>
      <w:r w:rsidRPr="00A35E2D">
        <w:rPr>
          <w:b/>
        </w:rPr>
        <w:t>Pueblos</w:t>
      </w:r>
      <w:r w:rsidRPr="00A35E2D">
        <w:rPr>
          <w:b/>
          <w:spacing w:val="-9"/>
        </w:rPr>
        <w:t xml:space="preserve"> </w:t>
      </w:r>
      <w:r w:rsidRPr="00A35E2D">
        <w:rPr>
          <w:b/>
        </w:rPr>
        <w:t>indígenas</w:t>
      </w:r>
      <w:r>
        <w:t>:</w:t>
      </w:r>
      <w:r w:rsidRPr="00A35E2D">
        <w:rPr>
          <w:spacing w:val="-9"/>
        </w:rPr>
        <w:t xml:space="preserve"> </w:t>
      </w:r>
      <w:r>
        <w:t>desarrollo</w:t>
      </w:r>
      <w:r w:rsidRPr="00A35E2D">
        <w:rPr>
          <w:spacing w:val="-9"/>
        </w:rPr>
        <w:t xml:space="preserve"> </w:t>
      </w:r>
      <w:r>
        <w:t>de</w:t>
      </w:r>
      <w:r w:rsidRPr="00A35E2D">
        <w:rPr>
          <w:spacing w:val="-9"/>
        </w:rPr>
        <w:t xml:space="preserve"> </w:t>
      </w:r>
      <w:r>
        <w:t>los</w:t>
      </w:r>
      <w:r w:rsidRPr="00A35E2D">
        <w:rPr>
          <w:spacing w:val="-9"/>
        </w:rPr>
        <w:t xml:space="preserve"> </w:t>
      </w:r>
      <w:r>
        <w:t>artículos</w:t>
      </w:r>
      <w:r w:rsidRPr="00A35E2D">
        <w:rPr>
          <w:spacing w:val="-9"/>
        </w:rPr>
        <w:t xml:space="preserve"> </w:t>
      </w:r>
      <w:r>
        <w:t>2,</w:t>
      </w:r>
      <w:r w:rsidRPr="00A35E2D">
        <w:rPr>
          <w:spacing w:val="-9"/>
        </w:rPr>
        <w:t xml:space="preserve"> </w:t>
      </w:r>
      <w:r>
        <w:t>7,</w:t>
      </w:r>
      <w:r w:rsidRPr="00A35E2D">
        <w:rPr>
          <w:spacing w:val="-9"/>
        </w:rPr>
        <w:t xml:space="preserve"> </w:t>
      </w:r>
      <w:r>
        <w:t>10,</w:t>
      </w:r>
      <w:r w:rsidRPr="00A35E2D">
        <w:rPr>
          <w:spacing w:val="-9"/>
        </w:rPr>
        <w:t xml:space="preserve"> </w:t>
      </w:r>
      <w:r>
        <w:t>40,</w:t>
      </w:r>
      <w:r w:rsidRPr="00A35E2D">
        <w:rPr>
          <w:spacing w:val="-9"/>
        </w:rPr>
        <w:t xml:space="preserve"> </w:t>
      </w:r>
      <w:r>
        <w:t>246,</w:t>
      </w:r>
      <w:r w:rsidRPr="00A35E2D">
        <w:rPr>
          <w:spacing w:val="-9"/>
        </w:rPr>
        <w:t xml:space="preserve"> </w:t>
      </w:r>
      <w:r>
        <w:t>286,</w:t>
      </w:r>
      <w:r w:rsidRPr="00A35E2D">
        <w:rPr>
          <w:spacing w:val="-9"/>
        </w:rPr>
        <w:t xml:space="preserve"> </w:t>
      </w:r>
      <w:r>
        <w:t>287,</w:t>
      </w:r>
      <w:r w:rsidRPr="00A35E2D">
        <w:rPr>
          <w:spacing w:val="-8"/>
        </w:rPr>
        <w:t xml:space="preserve"> </w:t>
      </w:r>
      <w:r>
        <w:t>329 y</w:t>
      </w:r>
      <w:r w:rsidRPr="00A35E2D">
        <w:rPr>
          <w:spacing w:val="-7"/>
        </w:rPr>
        <w:t xml:space="preserve"> </w:t>
      </w:r>
      <w:r>
        <w:t>330</w:t>
      </w:r>
      <w:r w:rsidRPr="00A35E2D">
        <w:rPr>
          <w:spacing w:val="-7"/>
        </w:rPr>
        <w:t xml:space="preserve"> </w:t>
      </w:r>
      <w:r>
        <w:t>de</w:t>
      </w:r>
      <w:r w:rsidRPr="00A35E2D">
        <w:rPr>
          <w:spacing w:val="-7"/>
        </w:rPr>
        <w:t xml:space="preserve"> </w:t>
      </w:r>
      <w:r>
        <w:t>la</w:t>
      </w:r>
      <w:r w:rsidRPr="00A35E2D">
        <w:rPr>
          <w:spacing w:val="-6"/>
        </w:rPr>
        <w:t xml:space="preserve"> </w:t>
      </w:r>
      <w:r>
        <w:t>Constitución</w:t>
      </w:r>
      <w:r w:rsidRPr="00A35E2D">
        <w:rPr>
          <w:spacing w:val="-8"/>
        </w:rPr>
        <w:t xml:space="preserve"> </w:t>
      </w:r>
      <w:r>
        <w:t>de</w:t>
      </w:r>
      <w:r w:rsidRPr="00A35E2D">
        <w:rPr>
          <w:spacing w:val="-7"/>
        </w:rPr>
        <w:t xml:space="preserve"> </w:t>
      </w:r>
      <w:r>
        <w:t>1991,</w:t>
      </w:r>
      <w:r w:rsidRPr="00A35E2D">
        <w:rPr>
          <w:spacing w:val="-7"/>
        </w:rPr>
        <w:t xml:space="preserve"> </w:t>
      </w:r>
      <w:r>
        <w:t>el</w:t>
      </w:r>
      <w:r w:rsidRPr="00A35E2D">
        <w:rPr>
          <w:spacing w:val="-6"/>
        </w:rPr>
        <w:t xml:space="preserve"> </w:t>
      </w:r>
      <w:r>
        <w:t>bloque</w:t>
      </w:r>
      <w:r w:rsidRPr="00A35E2D">
        <w:rPr>
          <w:spacing w:val="-7"/>
        </w:rPr>
        <w:t xml:space="preserve"> </w:t>
      </w:r>
      <w:r>
        <w:t>de</w:t>
      </w:r>
      <w:r w:rsidRPr="00A35E2D">
        <w:rPr>
          <w:spacing w:val="-7"/>
        </w:rPr>
        <w:t xml:space="preserve"> </w:t>
      </w:r>
      <w:r>
        <w:t>constitucionalidad</w:t>
      </w:r>
      <w:r w:rsidRPr="00A35E2D">
        <w:rPr>
          <w:spacing w:val="-7"/>
        </w:rPr>
        <w:t xml:space="preserve"> </w:t>
      </w:r>
      <w:r>
        <w:t>y</w:t>
      </w:r>
      <w:r w:rsidRPr="00A35E2D">
        <w:rPr>
          <w:spacing w:val="-7"/>
        </w:rPr>
        <w:t xml:space="preserve"> </w:t>
      </w:r>
      <w:r>
        <w:t>el</w:t>
      </w:r>
      <w:r w:rsidRPr="00A35E2D">
        <w:rPr>
          <w:spacing w:val="-7"/>
        </w:rPr>
        <w:t xml:space="preserve"> </w:t>
      </w:r>
      <w:r>
        <w:t>capítulo</w:t>
      </w:r>
      <w:r w:rsidRPr="00A35E2D">
        <w:rPr>
          <w:spacing w:val="-7"/>
        </w:rPr>
        <w:t xml:space="preserve"> </w:t>
      </w:r>
      <w:r>
        <w:t>étnico del Acuerdo Final de Paz, de tal forma que se garanticen los derechos relacionados con las Entidades Territoriales Indígenas, la participación política y la Jurisdicción Especial Indígena, entre otros.</w:t>
      </w:r>
    </w:p>
    <w:p w:rsidR="003804AC" w:rsidRDefault="00AF18A5" w:rsidP="004A6EF4">
      <w:pPr>
        <w:pStyle w:val="Prrafodelista"/>
        <w:numPr>
          <w:ilvl w:val="0"/>
          <w:numId w:val="41"/>
        </w:numPr>
      </w:pPr>
      <w:r w:rsidRPr="00A35E2D">
        <w:rPr>
          <w:b/>
        </w:rPr>
        <w:t>Pueblo negro, afrocolombiano</w:t>
      </w:r>
      <w:r>
        <w:t>: en cumplimiento de los artículos 2, 7 y artículo transitorio 55 de la Constitución de 1991, el bloque de constitucionalidad y el</w:t>
      </w:r>
      <w:r w:rsidRPr="00A35E2D">
        <w:rPr>
          <w:spacing w:val="-11"/>
        </w:rPr>
        <w:t xml:space="preserve"> </w:t>
      </w:r>
      <w:r>
        <w:t>capítulo</w:t>
      </w:r>
      <w:r w:rsidRPr="00A35E2D">
        <w:rPr>
          <w:spacing w:val="-12"/>
        </w:rPr>
        <w:t xml:space="preserve"> </w:t>
      </w:r>
      <w:r>
        <w:t>étnico</w:t>
      </w:r>
      <w:r w:rsidRPr="00A35E2D">
        <w:rPr>
          <w:spacing w:val="-12"/>
        </w:rPr>
        <w:t xml:space="preserve"> </w:t>
      </w:r>
      <w:r>
        <w:t>del</w:t>
      </w:r>
      <w:r w:rsidRPr="00A35E2D">
        <w:rPr>
          <w:spacing w:val="-11"/>
        </w:rPr>
        <w:t xml:space="preserve"> </w:t>
      </w:r>
      <w:r>
        <w:t>Acuerdo</w:t>
      </w:r>
      <w:r w:rsidRPr="00A35E2D">
        <w:rPr>
          <w:spacing w:val="-12"/>
        </w:rPr>
        <w:t xml:space="preserve"> </w:t>
      </w:r>
      <w:r>
        <w:t>Final</w:t>
      </w:r>
      <w:r w:rsidRPr="00A35E2D">
        <w:rPr>
          <w:spacing w:val="-11"/>
        </w:rPr>
        <w:t xml:space="preserve"> </w:t>
      </w:r>
      <w:r>
        <w:t>de</w:t>
      </w:r>
      <w:r w:rsidRPr="00A35E2D">
        <w:rPr>
          <w:spacing w:val="-12"/>
        </w:rPr>
        <w:t xml:space="preserve"> </w:t>
      </w:r>
      <w:r>
        <w:t>Paz,</w:t>
      </w:r>
      <w:r w:rsidRPr="00A35E2D">
        <w:rPr>
          <w:spacing w:val="-12"/>
        </w:rPr>
        <w:t xml:space="preserve"> </w:t>
      </w:r>
      <w:r>
        <w:t>garantizar</w:t>
      </w:r>
      <w:r w:rsidRPr="00A35E2D">
        <w:rPr>
          <w:spacing w:val="-13"/>
        </w:rPr>
        <w:t xml:space="preserve"> </w:t>
      </w:r>
      <w:r>
        <w:t>la</w:t>
      </w:r>
      <w:r w:rsidRPr="00A35E2D">
        <w:rPr>
          <w:spacing w:val="-12"/>
        </w:rPr>
        <w:t xml:space="preserve"> </w:t>
      </w:r>
      <w:r>
        <w:t>reglamentación</w:t>
      </w:r>
      <w:r w:rsidRPr="00A35E2D">
        <w:rPr>
          <w:spacing w:val="-12"/>
        </w:rPr>
        <w:t xml:space="preserve"> </w:t>
      </w:r>
      <w:r>
        <w:t>completa</w:t>
      </w:r>
      <w:r w:rsidRPr="00A35E2D">
        <w:rPr>
          <w:spacing w:val="-12"/>
        </w:rPr>
        <w:t xml:space="preserve"> </w:t>
      </w:r>
      <w:r>
        <w:t>de la</w:t>
      </w:r>
      <w:r w:rsidRPr="00A35E2D">
        <w:rPr>
          <w:spacing w:val="-4"/>
        </w:rPr>
        <w:t xml:space="preserve"> </w:t>
      </w:r>
      <w:r>
        <w:t>ley</w:t>
      </w:r>
      <w:r w:rsidRPr="00A35E2D">
        <w:rPr>
          <w:spacing w:val="-5"/>
        </w:rPr>
        <w:t xml:space="preserve"> </w:t>
      </w:r>
      <w:r>
        <w:t>70</w:t>
      </w:r>
      <w:r w:rsidRPr="00A35E2D">
        <w:rPr>
          <w:spacing w:val="-5"/>
        </w:rPr>
        <w:t xml:space="preserve"> </w:t>
      </w:r>
      <w:r>
        <w:t>de</w:t>
      </w:r>
      <w:r w:rsidRPr="00A35E2D">
        <w:rPr>
          <w:spacing w:val="-7"/>
        </w:rPr>
        <w:t xml:space="preserve"> </w:t>
      </w:r>
      <w:r>
        <w:lastRenderedPageBreak/>
        <w:t>1993,</w:t>
      </w:r>
      <w:r w:rsidRPr="00A35E2D">
        <w:rPr>
          <w:spacing w:val="-5"/>
        </w:rPr>
        <w:t xml:space="preserve"> </w:t>
      </w:r>
      <w:r>
        <w:t>el</w:t>
      </w:r>
      <w:r w:rsidRPr="00A35E2D">
        <w:rPr>
          <w:spacing w:val="-4"/>
        </w:rPr>
        <w:t xml:space="preserve"> </w:t>
      </w:r>
      <w:r>
        <w:t>cumplimiento</w:t>
      </w:r>
      <w:r w:rsidRPr="00A35E2D">
        <w:rPr>
          <w:spacing w:val="-6"/>
        </w:rPr>
        <w:t xml:space="preserve"> </w:t>
      </w:r>
      <w:r>
        <w:t>en</w:t>
      </w:r>
      <w:r w:rsidRPr="00A35E2D">
        <w:rPr>
          <w:spacing w:val="-5"/>
        </w:rPr>
        <w:t xml:space="preserve"> </w:t>
      </w:r>
      <w:r>
        <w:t>materia</w:t>
      </w:r>
      <w:r w:rsidRPr="00A35E2D">
        <w:rPr>
          <w:spacing w:val="-4"/>
        </w:rPr>
        <w:t xml:space="preserve"> </w:t>
      </w:r>
      <w:r>
        <w:t>de</w:t>
      </w:r>
      <w:r w:rsidRPr="00A35E2D">
        <w:rPr>
          <w:spacing w:val="-4"/>
        </w:rPr>
        <w:t xml:space="preserve"> </w:t>
      </w:r>
      <w:r>
        <w:t>entidades</w:t>
      </w:r>
      <w:r w:rsidRPr="00A35E2D">
        <w:rPr>
          <w:spacing w:val="-6"/>
        </w:rPr>
        <w:t xml:space="preserve"> </w:t>
      </w:r>
      <w:r>
        <w:t>territoriales,</w:t>
      </w:r>
      <w:r w:rsidRPr="00A35E2D">
        <w:rPr>
          <w:spacing w:val="-6"/>
        </w:rPr>
        <w:t xml:space="preserve"> </w:t>
      </w:r>
      <w:r>
        <w:t>autonomía</w:t>
      </w:r>
      <w:r w:rsidRPr="00A35E2D">
        <w:rPr>
          <w:spacing w:val="-4"/>
        </w:rPr>
        <w:t xml:space="preserve"> </w:t>
      </w:r>
      <w:r>
        <w:t>y protección de los territorios colectivos de comunidades negras, y el desarrollo diferenciado de ciudades y municipios de mayor presencia afrocolombiana y negra del país.</w:t>
      </w:r>
    </w:p>
    <w:p w:rsidR="003804AC" w:rsidRDefault="00AF18A5" w:rsidP="004A6EF4">
      <w:pPr>
        <w:pStyle w:val="Prrafodelista"/>
        <w:numPr>
          <w:ilvl w:val="0"/>
          <w:numId w:val="41"/>
        </w:numPr>
      </w:pPr>
      <w:r w:rsidRPr="00A35E2D">
        <w:rPr>
          <w:b/>
        </w:rPr>
        <w:t>Pueblo raizal</w:t>
      </w:r>
      <w:r>
        <w:t>: en cumplimiento de los artículos 2, 7 y artículo transitorio 55 de la Constitución de 1991, la Ley 70 de 1993, el bloque de constitucionalidad y el</w:t>
      </w:r>
      <w:r w:rsidR="00A35E2D">
        <w:t xml:space="preserve"> </w:t>
      </w:r>
      <w:r>
        <w:t>capítulo étnico del Acuerdo Final de Paz, avanzar en la aprobación del Estatuto de Autonomía del Pueblo Raizal para garantizar la institucionalidad, las competencias, las curules y los procesos de coordinación interinstitucional, que reconocen el territorio ancestral raizal y la protección de sus tierras.</w:t>
      </w:r>
    </w:p>
    <w:p w:rsidR="003804AC" w:rsidRDefault="00AF18A5" w:rsidP="004A6EF4">
      <w:pPr>
        <w:pStyle w:val="Prrafodelista"/>
        <w:numPr>
          <w:ilvl w:val="0"/>
          <w:numId w:val="41"/>
        </w:numPr>
      </w:pPr>
      <w:r w:rsidRPr="00A35E2D">
        <w:rPr>
          <w:b/>
        </w:rPr>
        <w:t>Pueblo palenquero</w:t>
      </w:r>
      <w:r>
        <w:t xml:space="preserve">: en cumplimiento de los artículos 2, 7 y artículo transitorio 55 de la Constitución de 1991, la Ley 70 de 1993, el bloque de constitucionalidad y el capítulo étnico del Acuerdo Final de Paz, desarrollar la normatividad para la creación de la entidad territorial palenquera. Esta debe garantizar la institucionalidad, las competencias y los procesos de coordinación </w:t>
      </w:r>
      <w:r w:rsidRPr="00A35E2D">
        <w:rPr>
          <w:spacing w:val="-2"/>
        </w:rPr>
        <w:t>interinstitucional.</w:t>
      </w:r>
    </w:p>
    <w:p w:rsidR="00A35E2D" w:rsidRDefault="00AF18A5" w:rsidP="004A6EF4">
      <w:pPr>
        <w:pStyle w:val="Prrafodelista"/>
        <w:numPr>
          <w:ilvl w:val="0"/>
          <w:numId w:val="41"/>
        </w:numPr>
      </w:pPr>
      <w:r w:rsidRPr="00A35E2D">
        <w:rPr>
          <w:b/>
        </w:rPr>
        <w:t xml:space="preserve">Pueblo </w:t>
      </w:r>
      <w:proofErr w:type="spellStart"/>
      <w:r w:rsidRPr="00A35E2D">
        <w:rPr>
          <w:b/>
        </w:rPr>
        <w:t>rrom</w:t>
      </w:r>
      <w:proofErr w:type="spellEnd"/>
      <w:r>
        <w:t xml:space="preserve">: en cumplimiento de los artículos 2 y 7 de la Constitución de 1991 y el bloque de constitucionalidad, se debe desarrollar el catálogo de derechos del pueblo </w:t>
      </w:r>
      <w:proofErr w:type="spellStart"/>
      <w:r>
        <w:t>Rrom</w:t>
      </w:r>
      <w:proofErr w:type="spellEnd"/>
      <w:r>
        <w:t xml:space="preserve"> en materia de protección. Este debe garantizar la institucionalidad, las competencias, y los procesos de coordinación interinstitucional.</w:t>
      </w:r>
    </w:p>
    <w:p w:rsidR="00A35E2D" w:rsidRDefault="00A35E2D">
      <w:pPr>
        <w:spacing w:before="0" w:after="0" w:line="240" w:lineRule="auto"/>
      </w:pPr>
      <w:r>
        <w:br w:type="page"/>
      </w:r>
    </w:p>
    <w:p w:rsidR="003804AC" w:rsidRDefault="00AF18A5" w:rsidP="004A6EF4">
      <w:pPr>
        <w:pStyle w:val="Ttulo2"/>
        <w:numPr>
          <w:ilvl w:val="0"/>
          <w:numId w:val="28"/>
        </w:numPr>
      </w:pPr>
      <w:bookmarkStart w:id="1589" w:name="4._PARA_ENFRENTAR_LOS_IMPACTOS_DEL_NARCO"/>
      <w:bookmarkStart w:id="1590" w:name="_Toc112399699"/>
      <w:bookmarkEnd w:id="1589"/>
      <w:r>
        <w:lastRenderedPageBreak/>
        <w:t>PARA</w:t>
      </w:r>
      <w:r>
        <w:rPr>
          <w:spacing w:val="-7"/>
        </w:rPr>
        <w:t xml:space="preserve"> </w:t>
      </w:r>
      <w:r>
        <w:t>ENFRENTAR</w:t>
      </w:r>
      <w:r>
        <w:rPr>
          <w:spacing w:val="-7"/>
        </w:rPr>
        <w:t xml:space="preserve"> </w:t>
      </w:r>
      <w:r>
        <w:t>LOS</w:t>
      </w:r>
      <w:r>
        <w:rPr>
          <w:spacing w:val="-6"/>
        </w:rPr>
        <w:t xml:space="preserve"> </w:t>
      </w:r>
      <w:r>
        <w:t>IMPACTOS</w:t>
      </w:r>
      <w:r>
        <w:rPr>
          <w:spacing w:val="-7"/>
        </w:rPr>
        <w:t xml:space="preserve"> </w:t>
      </w:r>
      <w:r>
        <w:t>DEL</w:t>
      </w:r>
      <w:r>
        <w:rPr>
          <w:spacing w:val="-7"/>
        </w:rPr>
        <w:t xml:space="preserve"> </w:t>
      </w:r>
      <w:r>
        <w:t>NARCOTRÁFICO</w:t>
      </w:r>
      <w:r>
        <w:rPr>
          <w:spacing w:val="-7"/>
        </w:rPr>
        <w:t xml:space="preserve"> </w:t>
      </w:r>
      <w:r>
        <w:t>Y</w:t>
      </w:r>
      <w:r>
        <w:rPr>
          <w:spacing w:val="-7"/>
        </w:rPr>
        <w:t xml:space="preserve"> </w:t>
      </w:r>
      <w:r>
        <w:t>DE LA POLÍTICA DE DROGAS</w:t>
      </w:r>
      <w:bookmarkEnd w:id="1590"/>
    </w:p>
    <w:p w:rsidR="0011361F" w:rsidRDefault="00C77F4D" w:rsidP="00C77F4D">
      <w:pPr>
        <w:spacing w:line="480" w:lineRule="auto"/>
      </w:pPr>
      <w:r>
        <w:t>“</w:t>
      </w:r>
      <w:r w:rsidR="00AF18A5">
        <w:t>Yo</w:t>
      </w:r>
      <w:r w:rsidR="00AF18A5">
        <w:rPr>
          <w:spacing w:val="-3"/>
        </w:rPr>
        <w:t xml:space="preserve"> </w:t>
      </w:r>
      <w:r w:rsidR="00AF18A5">
        <w:t>pienso</w:t>
      </w:r>
      <w:r w:rsidR="00AF18A5">
        <w:rPr>
          <w:spacing w:val="-3"/>
        </w:rPr>
        <w:t xml:space="preserve"> </w:t>
      </w:r>
      <w:r w:rsidR="00AF18A5">
        <w:t>que</w:t>
      </w:r>
      <w:r w:rsidR="00AF18A5">
        <w:rPr>
          <w:spacing w:val="-3"/>
        </w:rPr>
        <w:t xml:space="preserve"> </w:t>
      </w:r>
      <w:r w:rsidR="00AF18A5">
        <w:t>para</w:t>
      </w:r>
      <w:r w:rsidR="00AF18A5">
        <w:rPr>
          <w:spacing w:val="-3"/>
        </w:rPr>
        <w:t xml:space="preserve"> </w:t>
      </w:r>
      <w:r w:rsidR="00AF18A5">
        <w:t>que</w:t>
      </w:r>
      <w:r w:rsidR="00AF18A5">
        <w:rPr>
          <w:spacing w:val="-2"/>
        </w:rPr>
        <w:t xml:space="preserve"> </w:t>
      </w:r>
      <w:r w:rsidR="00AF18A5">
        <w:t>esto</w:t>
      </w:r>
      <w:r w:rsidR="00AF18A5">
        <w:rPr>
          <w:spacing w:val="-3"/>
        </w:rPr>
        <w:t xml:space="preserve"> </w:t>
      </w:r>
      <w:r w:rsidR="00AF18A5">
        <w:t>no</w:t>
      </w:r>
      <w:r w:rsidR="00AF18A5">
        <w:rPr>
          <w:spacing w:val="-3"/>
        </w:rPr>
        <w:t xml:space="preserve"> </w:t>
      </w:r>
      <w:r w:rsidR="00AF18A5">
        <w:t>se</w:t>
      </w:r>
      <w:r w:rsidR="00AF18A5">
        <w:rPr>
          <w:spacing w:val="-2"/>
        </w:rPr>
        <w:t xml:space="preserve"> </w:t>
      </w:r>
      <w:r w:rsidR="00AF18A5">
        <w:t>vuelva</w:t>
      </w:r>
      <w:r w:rsidR="00AF18A5">
        <w:rPr>
          <w:spacing w:val="-3"/>
        </w:rPr>
        <w:t xml:space="preserve"> </w:t>
      </w:r>
      <w:r w:rsidR="00AF18A5">
        <w:t>repetir</w:t>
      </w:r>
      <w:r w:rsidR="00AF18A5">
        <w:rPr>
          <w:spacing w:val="-2"/>
        </w:rPr>
        <w:t xml:space="preserve"> </w:t>
      </w:r>
      <w:r w:rsidR="00AF18A5">
        <w:t>hay</w:t>
      </w:r>
      <w:r w:rsidR="00AF18A5">
        <w:rPr>
          <w:spacing w:val="-3"/>
        </w:rPr>
        <w:t xml:space="preserve"> </w:t>
      </w:r>
      <w:r w:rsidR="00AF18A5">
        <w:t>que</w:t>
      </w:r>
      <w:r w:rsidR="00AF18A5">
        <w:rPr>
          <w:spacing w:val="-2"/>
        </w:rPr>
        <w:t xml:space="preserve"> </w:t>
      </w:r>
      <w:r w:rsidR="00AF18A5">
        <w:t>empezar</w:t>
      </w:r>
      <w:r w:rsidR="00AF18A5">
        <w:rPr>
          <w:spacing w:val="-3"/>
        </w:rPr>
        <w:t xml:space="preserve"> </w:t>
      </w:r>
      <w:r w:rsidR="00AF18A5">
        <w:t>con</w:t>
      </w:r>
      <w:r w:rsidR="00AF18A5">
        <w:rPr>
          <w:spacing w:val="-1"/>
        </w:rPr>
        <w:t xml:space="preserve"> </w:t>
      </w:r>
      <w:r w:rsidR="00AF18A5">
        <w:t>los</w:t>
      </w:r>
      <w:r w:rsidR="00AF18A5">
        <w:rPr>
          <w:spacing w:val="-3"/>
        </w:rPr>
        <w:t xml:space="preserve"> </w:t>
      </w:r>
      <w:r w:rsidR="00AF18A5">
        <w:t>cultivos</w:t>
      </w:r>
      <w:r w:rsidR="00AF18A5">
        <w:rPr>
          <w:spacing w:val="-2"/>
        </w:rPr>
        <w:t xml:space="preserve"> </w:t>
      </w:r>
      <w:r w:rsidR="00AF18A5">
        <w:t>ilícitos,</w:t>
      </w:r>
      <w:r w:rsidR="00AF18A5">
        <w:rPr>
          <w:spacing w:val="-2"/>
        </w:rPr>
        <w:t xml:space="preserve"> </w:t>
      </w:r>
      <w:r w:rsidR="00AF18A5">
        <w:t>hay</w:t>
      </w:r>
      <w:r w:rsidR="00AF18A5">
        <w:rPr>
          <w:spacing w:val="-3"/>
        </w:rPr>
        <w:t xml:space="preserve"> </w:t>
      </w:r>
      <w:r w:rsidR="00AF18A5">
        <w:t>que empezar con que el campesino colombiano cambie su objetivo económico de los cultivos ilícitos y que el gobierno</w:t>
      </w:r>
      <w:r w:rsidR="00AF18A5">
        <w:rPr>
          <w:spacing w:val="-3"/>
        </w:rPr>
        <w:t xml:space="preserve"> </w:t>
      </w:r>
      <w:r w:rsidR="00AF18A5">
        <w:t>lo</w:t>
      </w:r>
      <w:r w:rsidR="00AF18A5">
        <w:rPr>
          <w:spacing w:val="-1"/>
        </w:rPr>
        <w:t xml:space="preserve"> </w:t>
      </w:r>
      <w:r w:rsidR="00AF18A5">
        <w:t>capacite</w:t>
      </w:r>
      <w:r w:rsidR="00AF18A5">
        <w:rPr>
          <w:spacing w:val="-3"/>
        </w:rPr>
        <w:t xml:space="preserve"> </w:t>
      </w:r>
      <w:r w:rsidR="00AF18A5">
        <w:t>al</w:t>
      </w:r>
      <w:r w:rsidR="00AF18A5">
        <w:rPr>
          <w:spacing w:val="-3"/>
        </w:rPr>
        <w:t xml:space="preserve"> </w:t>
      </w:r>
      <w:r w:rsidR="00AF18A5">
        <w:t>campesino</w:t>
      </w:r>
      <w:r w:rsidR="00AF18A5">
        <w:rPr>
          <w:spacing w:val="-3"/>
        </w:rPr>
        <w:t xml:space="preserve"> </w:t>
      </w:r>
      <w:r w:rsidR="00AF18A5">
        <w:t>en</w:t>
      </w:r>
      <w:r w:rsidR="00AF18A5">
        <w:rPr>
          <w:spacing w:val="-3"/>
        </w:rPr>
        <w:t xml:space="preserve"> </w:t>
      </w:r>
      <w:r w:rsidR="00AF18A5">
        <w:t>que</w:t>
      </w:r>
      <w:r w:rsidR="00AF18A5">
        <w:rPr>
          <w:spacing w:val="-3"/>
        </w:rPr>
        <w:t xml:space="preserve"> </w:t>
      </w:r>
      <w:r w:rsidR="00AF18A5">
        <w:t>hay</w:t>
      </w:r>
      <w:r w:rsidR="00AF18A5">
        <w:rPr>
          <w:spacing w:val="-3"/>
        </w:rPr>
        <w:t xml:space="preserve"> </w:t>
      </w:r>
      <w:r w:rsidR="00AF18A5">
        <w:t>otras</w:t>
      </w:r>
      <w:r w:rsidR="00AF18A5">
        <w:rPr>
          <w:spacing w:val="-3"/>
        </w:rPr>
        <w:t xml:space="preserve"> </w:t>
      </w:r>
      <w:r w:rsidR="00AF18A5">
        <w:t>alternativas</w:t>
      </w:r>
      <w:r w:rsidR="00AF18A5">
        <w:rPr>
          <w:spacing w:val="-3"/>
        </w:rPr>
        <w:t xml:space="preserve"> </w:t>
      </w:r>
      <w:r w:rsidR="00AF18A5">
        <w:t>para</w:t>
      </w:r>
      <w:r w:rsidR="00AF18A5">
        <w:rPr>
          <w:spacing w:val="-3"/>
        </w:rPr>
        <w:t xml:space="preserve"> </w:t>
      </w:r>
      <w:r w:rsidR="00AF18A5">
        <w:t>sobrevivir</w:t>
      </w:r>
      <w:r w:rsidR="00AF18A5">
        <w:rPr>
          <w:spacing w:val="-2"/>
        </w:rPr>
        <w:t xml:space="preserve"> </w:t>
      </w:r>
      <w:r w:rsidR="00AF18A5">
        <w:t>y</w:t>
      </w:r>
      <w:r w:rsidR="00AF18A5">
        <w:rPr>
          <w:spacing w:val="-3"/>
        </w:rPr>
        <w:t xml:space="preserve"> </w:t>
      </w:r>
      <w:r w:rsidR="00AF18A5">
        <w:t>que</w:t>
      </w:r>
      <w:r w:rsidR="00AF18A5">
        <w:rPr>
          <w:spacing w:val="-5"/>
        </w:rPr>
        <w:t xml:space="preserve"> </w:t>
      </w:r>
      <w:r w:rsidR="00AF18A5">
        <w:t>no</w:t>
      </w:r>
      <w:r w:rsidR="00AF18A5">
        <w:rPr>
          <w:spacing w:val="-3"/>
        </w:rPr>
        <w:t xml:space="preserve"> </w:t>
      </w:r>
      <w:r w:rsidR="00AF18A5">
        <w:t>simplemente</w:t>
      </w:r>
      <w:r w:rsidR="00AF18A5">
        <w:rPr>
          <w:spacing w:val="-2"/>
        </w:rPr>
        <w:t xml:space="preserve"> </w:t>
      </w:r>
      <w:r w:rsidR="00AF18A5">
        <w:t>hay que llenarse de dinero para uno ser feliz, sino que, aunque sea poco lo que uno consiga económicamente,</w:t>
      </w:r>
      <w:r>
        <w:t xml:space="preserve"> </w:t>
      </w:r>
      <w:r w:rsidR="00AF18A5">
        <w:t>pero</w:t>
      </w:r>
      <w:r w:rsidR="00AF18A5">
        <w:rPr>
          <w:spacing w:val="-2"/>
        </w:rPr>
        <w:t xml:space="preserve"> </w:t>
      </w:r>
      <w:r w:rsidR="00AF18A5">
        <w:t>vivir</w:t>
      </w:r>
      <w:r w:rsidR="00AF18A5">
        <w:rPr>
          <w:spacing w:val="-3"/>
        </w:rPr>
        <w:t xml:space="preserve"> </w:t>
      </w:r>
      <w:r w:rsidR="00AF18A5">
        <w:t>en</w:t>
      </w:r>
      <w:r w:rsidR="00AF18A5">
        <w:rPr>
          <w:spacing w:val="-3"/>
        </w:rPr>
        <w:t xml:space="preserve"> </w:t>
      </w:r>
      <w:r w:rsidR="00AF18A5">
        <w:rPr>
          <w:spacing w:val="-2"/>
        </w:rPr>
        <w:t>paz</w:t>
      </w:r>
      <w:r>
        <w:rPr>
          <w:rStyle w:val="Refdenotaalpie"/>
          <w:spacing w:val="-2"/>
        </w:rPr>
        <w:footnoteReference w:id="1232"/>
      </w:r>
      <w:r w:rsidR="00AF18A5">
        <w:rPr>
          <w:spacing w:val="-2"/>
        </w:rPr>
        <w:t>.</w:t>
      </w:r>
      <w:r>
        <w:rPr>
          <w:spacing w:val="-2"/>
        </w:rPr>
        <w:t>”</w:t>
      </w:r>
    </w:p>
    <w:p w:rsidR="003804AC" w:rsidRDefault="00AF18A5" w:rsidP="00C77F4D">
      <w:bookmarkStart w:id="1591" w:name="_bookmark1384"/>
      <w:bookmarkEnd w:id="1591"/>
      <w:r>
        <w:t>La política de lucha contra las drogas y el narcotráfico ha sido un factor de persistencia del</w:t>
      </w:r>
      <w:r>
        <w:rPr>
          <w:spacing w:val="-10"/>
        </w:rPr>
        <w:t xml:space="preserve"> </w:t>
      </w:r>
      <w:r>
        <w:t>conflicto</w:t>
      </w:r>
      <w:r>
        <w:rPr>
          <w:spacing w:val="-12"/>
        </w:rPr>
        <w:t xml:space="preserve"> </w:t>
      </w:r>
      <w:r>
        <w:t>y</w:t>
      </w:r>
      <w:r>
        <w:rPr>
          <w:spacing w:val="-11"/>
        </w:rPr>
        <w:t xml:space="preserve"> </w:t>
      </w:r>
      <w:r>
        <w:t>de</w:t>
      </w:r>
      <w:r>
        <w:rPr>
          <w:spacing w:val="-11"/>
        </w:rPr>
        <w:t xml:space="preserve"> </w:t>
      </w:r>
      <w:r>
        <w:t>la</w:t>
      </w:r>
      <w:r>
        <w:rPr>
          <w:spacing w:val="-11"/>
        </w:rPr>
        <w:t xml:space="preserve"> </w:t>
      </w:r>
      <w:r>
        <w:t>violencia</w:t>
      </w:r>
      <w:r>
        <w:rPr>
          <w:spacing w:val="-11"/>
        </w:rPr>
        <w:t xml:space="preserve"> </w:t>
      </w:r>
      <w:r>
        <w:t>en</w:t>
      </w:r>
      <w:r>
        <w:rPr>
          <w:spacing w:val="-11"/>
        </w:rPr>
        <w:t xml:space="preserve"> </w:t>
      </w:r>
      <w:r>
        <w:t>Colombia</w:t>
      </w:r>
      <w:r>
        <w:rPr>
          <w:spacing w:val="-11"/>
        </w:rPr>
        <w:t xml:space="preserve"> </w:t>
      </w:r>
      <w:r>
        <w:t>que</w:t>
      </w:r>
      <w:r>
        <w:rPr>
          <w:spacing w:val="-11"/>
        </w:rPr>
        <w:t xml:space="preserve"> </w:t>
      </w:r>
      <w:r>
        <w:t>ha</w:t>
      </w:r>
      <w:r>
        <w:rPr>
          <w:spacing w:val="-12"/>
        </w:rPr>
        <w:t xml:space="preserve"> </w:t>
      </w:r>
      <w:r>
        <w:t>tenido</w:t>
      </w:r>
      <w:r>
        <w:rPr>
          <w:spacing w:val="-11"/>
        </w:rPr>
        <w:t xml:space="preserve"> </w:t>
      </w:r>
      <w:r>
        <w:t>impactos</w:t>
      </w:r>
      <w:r>
        <w:rPr>
          <w:spacing w:val="-11"/>
        </w:rPr>
        <w:t xml:space="preserve"> </w:t>
      </w:r>
      <w:r>
        <w:t>negativos</w:t>
      </w:r>
      <w:r>
        <w:rPr>
          <w:spacing w:val="-11"/>
        </w:rPr>
        <w:t xml:space="preserve"> </w:t>
      </w:r>
      <w:r>
        <w:t>a</w:t>
      </w:r>
      <w:r>
        <w:rPr>
          <w:spacing w:val="-11"/>
        </w:rPr>
        <w:t xml:space="preserve"> </w:t>
      </w:r>
      <w:r>
        <w:t>nivel</w:t>
      </w:r>
      <w:r>
        <w:rPr>
          <w:spacing w:val="-10"/>
        </w:rPr>
        <w:t xml:space="preserve"> </w:t>
      </w:r>
      <w:r>
        <w:t xml:space="preserve">político, económico, social y ambiental, así como en los derechos de personas, comunidades y territorios. Este ha sido, quizás, el más grande obstáculo para avanzar en la construcción de </w:t>
      </w:r>
      <w:r>
        <w:rPr>
          <w:spacing w:val="-4"/>
        </w:rPr>
        <w:t>paz.</w:t>
      </w:r>
    </w:p>
    <w:p w:rsidR="003804AC" w:rsidRDefault="00AF18A5" w:rsidP="00C77F4D">
      <w:r>
        <w:t>Por lo anterior, es necesario un cambio sustancial en la política en el mediano plazo (regulación del mercado de drogas). Este debe estar acompañado de medidas inmediatas, basadas</w:t>
      </w:r>
      <w:r>
        <w:rPr>
          <w:spacing w:val="-9"/>
        </w:rPr>
        <w:t xml:space="preserve"> </w:t>
      </w:r>
      <w:r>
        <w:t>en</w:t>
      </w:r>
      <w:r>
        <w:rPr>
          <w:spacing w:val="-10"/>
        </w:rPr>
        <w:t xml:space="preserve"> </w:t>
      </w:r>
      <w:r>
        <w:t>un</w:t>
      </w:r>
      <w:r>
        <w:rPr>
          <w:spacing w:val="-10"/>
        </w:rPr>
        <w:t xml:space="preserve"> </w:t>
      </w:r>
      <w:r>
        <w:t>enfoque</w:t>
      </w:r>
      <w:r>
        <w:rPr>
          <w:spacing w:val="-9"/>
        </w:rPr>
        <w:t xml:space="preserve"> </w:t>
      </w:r>
      <w:r>
        <w:t>de</w:t>
      </w:r>
      <w:r>
        <w:rPr>
          <w:spacing w:val="-9"/>
        </w:rPr>
        <w:t xml:space="preserve"> </w:t>
      </w:r>
      <w:r>
        <w:t>derechos</w:t>
      </w:r>
      <w:r>
        <w:rPr>
          <w:spacing w:val="-9"/>
        </w:rPr>
        <w:t xml:space="preserve"> </w:t>
      </w:r>
      <w:r>
        <w:t>humanos,</w:t>
      </w:r>
      <w:r>
        <w:rPr>
          <w:spacing w:val="-10"/>
        </w:rPr>
        <w:t xml:space="preserve"> </w:t>
      </w:r>
      <w:r>
        <w:t>desarrollo</w:t>
      </w:r>
      <w:r>
        <w:rPr>
          <w:spacing w:val="-10"/>
        </w:rPr>
        <w:t xml:space="preserve"> </w:t>
      </w:r>
      <w:r>
        <w:t>sostenible</w:t>
      </w:r>
      <w:r>
        <w:rPr>
          <w:spacing w:val="-9"/>
        </w:rPr>
        <w:t xml:space="preserve"> </w:t>
      </w:r>
      <w:r>
        <w:t>y</w:t>
      </w:r>
      <w:r>
        <w:rPr>
          <w:spacing w:val="-10"/>
        </w:rPr>
        <w:t xml:space="preserve"> </w:t>
      </w:r>
      <w:r>
        <w:t>reducción</w:t>
      </w:r>
      <w:r>
        <w:rPr>
          <w:spacing w:val="-10"/>
        </w:rPr>
        <w:t xml:space="preserve"> </w:t>
      </w:r>
      <w:r>
        <w:t>del</w:t>
      </w:r>
      <w:r>
        <w:rPr>
          <w:spacing w:val="-9"/>
        </w:rPr>
        <w:t xml:space="preserve"> </w:t>
      </w:r>
      <w:r>
        <w:t>daño,</w:t>
      </w:r>
      <w:r>
        <w:rPr>
          <w:spacing w:val="-10"/>
        </w:rPr>
        <w:t xml:space="preserve"> </w:t>
      </w:r>
      <w:r>
        <w:t xml:space="preserve">que permitan enfrentar problemas estructurales como la desigualdad rural o el problema agrario y mitigar la violencia asociada al narcotráfico y a la política implementada para hacerle </w:t>
      </w:r>
      <w:r>
        <w:rPr>
          <w:spacing w:val="-2"/>
        </w:rPr>
        <w:t>frente.</w:t>
      </w:r>
    </w:p>
    <w:p w:rsidR="003804AC" w:rsidRDefault="00AF18A5" w:rsidP="00C77F4D">
      <w:r>
        <w:t xml:space="preserve">La política de lucha contra las drogas en Colombia se enmarca en el </w:t>
      </w:r>
      <w:r>
        <w:lastRenderedPageBreak/>
        <w:t>sistema prohibicionista imperante a nivel mundial, que ha demostrado ser ineficaz para cumplir sus metas</w:t>
      </w:r>
      <w:r>
        <w:rPr>
          <w:spacing w:val="-8"/>
        </w:rPr>
        <w:t xml:space="preserve"> </w:t>
      </w:r>
      <w:r>
        <w:t>y</w:t>
      </w:r>
      <w:r>
        <w:rPr>
          <w:spacing w:val="-8"/>
        </w:rPr>
        <w:t xml:space="preserve"> </w:t>
      </w:r>
      <w:r>
        <w:t>profundamente</w:t>
      </w:r>
      <w:r>
        <w:rPr>
          <w:spacing w:val="-8"/>
        </w:rPr>
        <w:t xml:space="preserve"> </w:t>
      </w:r>
      <w:r>
        <w:t>nocivo</w:t>
      </w:r>
      <w:r>
        <w:rPr>
          <w:spacing w:val="-8"/>
        </w:rPr>
        <w:t xml:space="preserve"> </w:t>
      </w:r>
      <w:r>
        <w:t>en</w:t>
      </w:r>
      <w:r>
        <w:rPr>
          <w:spacing w:val="-9"/>
        </w:rPr>
        <w:t xml:space="preserve"> </w:t>
      </w:r>
      <w:r>
        <w:t>los</w:t>
      </w:r>
      <w:r>
        <w:rPr>
          <w:spacing w:val="-9"/>
        </w:rPr>
        <w:t xml:space="preserve"> </w:t>
      </w:r>
      <w:r>
        <w:t>efectos</w:t>
      </w:r>
      <w:r>
        <w:rPr>
          <w:spacing w:val="-8"/>
        </w:rPr>
        <w:t xml:space="preserve"> </w:t>
      </w:r>
      <w:r>
        <w:t>colaterales</w:t>
      </w:r>
      <w:r>
        <w:rPr>
          <w:spacing w:val="-8"/>
        </w:rPr>
        <w:t xml:space="preserve"> </w:t>
      </w:r>
      <w:r>
        <w:t>de</w:t>
      </w:r>
      <w:r>
        <w:rPr>
          <w:spacing w:val="-9"/>
        </w:rPr>
        <w:t xml:space="preserve"> </w:t>
      </w:r>
      <w:r>
        <w:t>su</w:t>
      </w:r>
      <w:r>
        <w:rPr>
          <w:spacing w:val="-10"/>
        </w:rPr>
        <w:t xml:space="preserve"> </w:t>
      </w:r>
      <w:r>
        <w:t>aplicación.</w:t>
      </w:r>
      <w:r>
        <w:rPr>
          <w:spacing w:val="-9"/>
        </w:rPr>
        <w:t xml:space="preserve"> </w:t>
      </w:r>
      <w:r>
        <w:t>Juzgado</w:t>
      </w:r>
      <w:r>
        <w:rPr>
          <w:spacing w:val="-8"/>
        </w:rPr>
        <w:t xml:space="preserve"> </w:t>
      </w:r>
      <w:r>
        <w:t>desde</w:t>
      </w:r>
      <w:r>
        <w:rPr>
          <w:spacing w:val="-8"/>
        </w:rPr>
        <w:t xml:space="preserve"> </w:t>
      </w:r>
      <w:r>
        <w:t>sus propios objetivos, hoy hay en el mundo más consumidores, más diversidad, potencia y productividad</w:t>
      </w:r>
      <w:r>
        <w:rPr>
          <w:spacing w:val="-11"/>
        </w:rPr>
        <w:t xml:space="preserve"> </w:t>
      </w:r>
      <w:r>
        <w:t>de</w:t>
      </w:r>
      <w:r>
        <w:rPr>
          <w:spacing w:val="-11"/>
        </w:rPr>
        <w:t xml:space="preserve"> </w:t>
      </w:r>
      <w:r>
        <w:t>drogas</w:t>
      </w:r>
      <w:r>
        <w:rPr>
          <w:spacing w:val="-11"/>
        </w:rPr>
        <w:t xml:space="preserve"> </w:t>
      </w:r>
      <w:r>
        <w:t>ilícitas,</w:t>
      </w:r>
      <w:r>
        <w:rPr>
          <w:spacing w:val="-12"/>
        </w:rPr>
        <w:t xml:space="preserve"> </w:t>
      </w:r>
      <w:r>
        <w:t>tanto</w:t>
      </w:r>
      <w:r>
        <w:rPr>
          <w:spacing w:val="-12"/>
        </w:rPr>
        <w:t xml:space="preserve"> </w:t>
      </w:r>
      <w:r>
        <w:t>derivadas</w:t>
      </w:r>
      <w:r>
        <w:rPr>
          <w:spacing w:val="-11"/>
        </w:rPr>
        <w:t xml:space="preserve"> </w:t>
      </w:r>
      <w:r>
        <w:t>de</w:t>
      </w:r>
      <w:r>
        <w:rPr>
          <w:spacing w:val="-12"/>
        </w:rPr>
        <w:t xml:space="preserve"> </w:t>
      </w:r>
      <w:r>
        <w:t>plantas</w:t>
      </w:r>
      <w:r>
        <w:rPr>
          <w:spacing w:val="-11"/>
        </w:rPr>
        <w:t xml:space="preserve"> </w:t>
      </w:r>
      <w:r>
        <w:t>como</w:t>
      </w:r>
      <w:r>
        <w:rPr>
          <w:spacing w:val="-11"/>
        </w:rPr>
        <w:t xml:space="preserve"> </w:t>
      </w:r>
      <w:r>
        <w:t>sintéticas.</w:t>
      </w:r>
      <w:r>
        <w:rPr>
          <w:spacing w:val="-11"/>
        </w:rPr>
        <w:t xml:space="preserve"> </w:t>
      </w:r>
      <w:r>
        <w:t>Su</w:t>
      </w:r>
      <w:r>
        <w:rPr>
          <w:spacing w:val="-11"/>
        </w:rPr>
        <w:t xml:space="preserve"> </w:t>
      </w:r>
      <w:r>
        <w:t>precio,</w:t>
      </w:r>
      <w:r>
        <w:rPr>
          <w:spacing w:val="-11"/>
        </w:rPr>
        <w:t xml:space="preserve"> </w:t>
      </w:r>
      <w:r>
        <w:t>en</w:t>
      </w:r>
      <w:r>
        <w:rPr>
          <w:spacing w:val="-11"/>
        </w:rPr>
        <w:t xml:space="preserve"> </w:t>
      </w:r>
      <w:r>
        <w:t>vez de</w:t>
      </w:r>
      <w:r>
        <w:rPr>
          <w:spacing w:val="-8"/>
        </w:rPr>
        <w:t xml:space="preserve"> </w:t>
      </w:r>
      <w:r>
        <w:t>elevarse,</w:t>
      </w:r>
      <w:r>
        <w:rPr>
          <w:spacing w:val="-10"/>
        </w:rPr>
        <w:t xml:space="preserve"> </w:t>
      </w:r>
      <w:r>
        <w:t>ha</w:t>
      </w:r>
      <w:r>
        <w:rPr>
          <w:spacing w:val="-8"/>
        </w:rPr>
        <w:t xml:space="preserve"> </w:t>
      </w:r>
      <w:r>
        <w:t>tendido</w:t>
      </w:r>
      <w:r>
        <w:rPr>
          <w:spacing w:val="-9"/>
        </w:rPr>
        <w:t xml:space="preserve"> </w:t>
      </w:r>
      <w:r>
        <w:t>a</w:t>
      </w:r>
      <w:r>
        <w:rPr>
          <w:spacing w:val="-9"/>
        </w:rPr>
        <w:t xml:space="preserve"> </w:t>
      </w:r>
      <w:r>
        <w:t>reducirse.</w:t>
      </w:r>
      <w:r>
        <w:rPr>
          <w:spacing w:val="-9"/>
        </w:rPr>
        <w:t xml:space="preserve"> </w:t>
      </w:r>
      <w:r>
        <w:t>Se</w:t>
      </w:r>
      <w:r>
        <w:rPr>
          <w:spacing w:val="-8"/>
        </w:rPr>
        <w:t xml:space="preserve"> </w:t>
      </w:r>
      <w:r>
        <w:t>trata</w:t>
      </w:r>
      <w:r>
        <w:rPr>
          <w:spacing w:val="-8"/>
        </w:rPr>
        <w:t xml:space="preserve"> </w:t>
      </w:r>
      <w:r>
        <w:t>entonces</w:t>
      </w:r>
      <w:r>
        <w:rPr>
          <w:spacing w:val="-8"/>
        </w:rPr>
        <w:t xml:space="preserve"> </w:t>
      </w:r>
      <w:r>
        <w:t>de</w:t>
      </w:r>
      <w:r>
        <w:rPr>
          <w:spacing w:val="-8"/>
        </w:rPr>
        <w:t xml:space="preserve"> </w:t>
      </w:r>
      <w:r>
        <w:t>una</w:t>
      </w:r>
      <w:r>
        <w:rPr>
          <w:spacing w:val="-8"/>
        </w:rPr>
        <w:t xml:space="preserve"> </w:t>
      </w:r>
      <w:r>
        <w:t>política</w:t>
      </w:r>
      <w:r>
        <w:rPr>
          <w:spacing w:val="-8"/>
        </w:rPr>
        <w:t xml:space="preserve"> </w:t>
      </w:r>
      <w:r>
        <w:t>fracasada</w:t>
      </w:r>
      <w:r>
        <w:rPr>
          <w:spacing w:val="-8"/>
        </w:rPr>
        <w:t xml:space="preserve"> </w:t>
      </w:r>
      <w:r>
        <w:t>en</w:t>
      </w:r>
      <w:r>
        <w:rPr>
          <w:spacing w:val="-8"/>
        </w:rPr>
        <w:t xml:space="preserve"> </w:t>
      </w:r>
      <w:r>
        <w:t>sus</w:t>
      </w:r>
      <w:r>
        <w:rPr>
          <w:spacing w:val="-8"/>
        </w:rPr>
        <w:t xml:space="preserve"> </w:t>
      </w:r>
      <w:r>
        <w:t>propios términos.</w:t>
      </w:r>
      <w:r>
        <w:rPr>
          <w:spacing w:val="-7"/>
        </w:rPr>
        <w:t xml:space="preserve"> </w:t>
      </w:r>
      <w:r>
        <w:t>Por</w:t>
      </w:r>
      <w:r>
        <w:rPr>
          <w:spacing w:val="-7"/>
        </w:rPr>
        <w:t xml:space="preserve"> </w:t>
      </w:r>
      <w:r>
        <w:t>otro</w:t>
      </w:r>
      <w:r>
        <w:rPr>
          <w:spacing w:val="-7"/>
        </w:rPr>
        <w:t xml:space="preserve"> </w:t>
      </w:r>
      <w:r>
        <w:t>lado,</w:t>
      </w:r>
      <w:r>
        <w:rPr>
          <w:spacing w:val="-7"/>
        </w:rPr>
        <w:t xml:space="preserve"> </w:t>
      </w:r>
      <w:r>
        <w:t>en</w:t>
      </w:r>
      <w:r>
        <w:rPr>
          <w:spacing w:val="-7"/>
        </w:rPr>
        <w:t xml:space="preserve"> </w:t>
      </w:r>
      <w:r>
        <w:t>la</w:t>
      </w:r>
      <w:r>
        <w:rPr>
          <w:spacing w:val="-7"/>
        </w:rPr>
        <w:t xml:space="preserve"> </w:t>
      </w:r>
      <w:r>
        <w:t>búsqueda</w:t>
      </w:r>
      <w:r>
        <w:rPr>
          <w:spacing w:val="-7"/>
        </w:rPr>
        <w:t xml:space="preserve"> </w:t>
      </w:r>
      <w:r>
        <w:t>de</w:t>
      </w:r>
      <w:r>
        <w:rPr>
          <w:spacing w:val="-7"/>
        </w:rPr>
        <w:t xml:space="preserve"> </w:t>
      </w:r>
      <w:r>
        <w:t>las</w:t>
      </w:r>
      <w:r>
        <w:rPr>
          <w:spacing w:val="-7"/>
        </w:rPr>
        <w:t xml:space="preserve"> </w:t>
      </w:r>
      <w:r>
        <w:t>metas</w:t>
      </w:r>
      <w:r>
        <w:rPr>
          <w:spacing w:val="-7"/>
        </w:rPr>
        <w:t xml:space="preserve"> </w:t>
      </w:r>
      <w:r>
        <w:t>establecidas,</w:t>
      </w:r>
      <w:r>
        <w:rPr>
          <w:spacing w:val="-7"/>
        </w:rPr>
        <w:t xml:space="preserve"> </w:t>
      </w:r>
      <w:r>
        <w:t>el</w:t>
      </w:r>
      <w:r>
        <w:rPr>
          <w:spacing w:val="-7"/>
        </w:rPr>
        <w:t xml:space="preserve"> </w:t>
      </w:r>
      <w:r>
        <w:t>crimen</w:t>
      </w:r>
      <w:r>
        <w:rPr>
          <w:spacing w:val="-8"/>
        </w:rPr>
        <w:t xml:space="preserve"> </w:t>
      </w:r>
      <w:r>
        <w:t>organizado</w:t>
      </w:r>
      <w:r>
        <w:rPr>
          <w:spacing w:val="-8"/>
        </w:rPr>
        <w:t xml:space="preserve"> </w:t>
      </w:r>
      <w:r>
        <w:t>se</w:t>
      </w:r>
      <w:r>
        <w:rPr>
          <w:spacing w:val="-7"/>
        </w:rPr>
        <w:t xml:space="preserve"> </w:t>
      </w:r>
      <w:r>
        <w:t xml:space="preserve">ha fortalecido, la población carcelaria por delitos menores no violentos ha aumentado, las </w:t>
      </w:r>
      <w:r>
        <w:rPr>
          <w:spacing w:val="-2"/>
        </w:rPr>
        <w:t>muertes</w:t>
      </w:r>
      <w:r>
        <w:rPr>
          <w:spacing w:val="-6"/>
        </w:rPr>
        <w:t xml:space="preserve"> </w:t>
      </w:r>
      <w:r>
        <w:rPr>
          <w:spacing w:val="-2"/>
        </w:rPr>
        <w:t>e</w:t>
      </w:r>
      <w:r>
        <w:rPr>
          <w:spacing w:val="-4"/>
        </w:rPr>
        <w:t xml:space="preserve"> </w:t>
      </w:r>
      <w:r>
        <w:rPr>
          <w:spacing w:val="-2"/>
        </w:rPr>
        <w:t>infecciones</w:t>
      </w:r>
      <w:r>
        <w:rPr>
          <w:spacing w:val="-4"/>
        </w:rPr>
        <w:t xml:space="preserve"> </w:t>
      </w:r>
      <w:r>
        <w:rPr>
          <w:spacing w:val="-2"/>
        </w:rPr>
        <w:t>graves</w:t>
      </w:r>
      <w:r>
        <w:rPr>
          <w:spacing w:val="-4"/>
        </w:rPr>
        <w:t xml:space="preserve"> </w:t>
      </w:r>
      <w:r>
        <w:rPr>
          <w:spacing w:val="-2"/>
        </w:rPr>
        <w:t>asociadas</w:t>
      </w:r>
      <w:r>
        <w:rPr>
          <w:spacing w:val="-4"/>
        </w:rPr>
        <w:t xml:space="preserve"> </w:t>
      </w:r>
      <w:r>
        <w:rPr>
          <w:spacing w:val="-2"/>
        </w:rPr>
        <w:t>al</w:t>
      </w:r>
      <w:r>
        <w:rPr>
          <w:spacing w:val="-6"/>
        </w:rPr>
        <w:t xml:space="preserve"> </w:t>
      </w:r>
      <w:r>
        <w:rPr>
          <w:spacing w:val="-2"/>
        </w:rPr>
        <w:t>consumo</w:t>
      </w:r>
      <w:r>
        <w:rPr>
          <w:spacing w:val="-6"/>
        </w:rPr>
        <w:t xml:space="preserve"> </w:t>
      </w:r>
      <w:r>
        <w:rPr>
          <w:spacing w:val="-2"/>
        </w:rPr>
        <w:t>de</w:t>
      </w:r>
      <w:r>
        <w:rPr>
          <w:spacing w:val="-4"/>
        </w:rPr>
        <w:t xml:space="preserve"> </w:t>
      </w:r>
      <w:r>
        <w:rPr>
          <w:spacing w:val="-2"/>
        </w:rPr>
        <w:t>sustancias</w:t>
      </w:r>
      <w:r>
        <w:rPr>
          <w:spacing w:val="-4"/>
        </w:rPr>
        <w:t xml:space="preserve"> </w:t>
      </w:r>
      <w:r>
        <w:rPr>
          <w:spacing w:val="-2"/>
        </w:rPr>
        <w:t>ilícitas</w:t>
      </w:r>
      <w:r>
        <w:rPr>
          <w:spacing w:val="-6"/>
        </w:rPr>
        <w:t xml:space="preserve"> </w:t>
      </w:r>
      <w:r>
        <w:rPr>
          <w:spacing w:val="-2"/>
        </w:rPr>
        <w:t>se</w:t>
      </w:r>
      <w:r>
        <w:rPr>
          <w:spacing w:val="-6"/>
        </w:rPr>
        <w:t xml:space="preserve"> </w:t>
      </w:r>
      <w:r>
        <w:rPr>
          <w:spacing w:val="-2"/>
        </w:rPr>
        <w:t>han</w:t>
      </w:r>
      <w:r>
        <w:rPr>
          <w:spacing w:val="-4"/>
        </w:rPr>
        <w:t xml:space="preserve"> </w:t>
      </w:r>
      <w:r>
        <w:rPr>
          <w:spacing w:val="-2"/>
        </w:rPr>
        <w:t xml:space="preserve">incrementado, </w:t>
      </w:r>
      <w:r>
        <w:t>y</w:t>
      </w:r>
      <w:r>
        <w:rPr>
          <w:spacing w:val="-2"/>
        </w:rPr>
        <w:t xml:space="preserve"> </w:t>
      </w:r>
      <w:r>
        <w:t>las</w:t>
      </w:r>
      <w:r>
        <w:rPr>
          <w:spacing w:val="-2"/>
        </w:rPr>
        <w:t xml:space="preserve"> </w:t>
      </w:r>
      <w:r>
        <w:t>poblaciones</w:t>
      </w:r>
      <w:r>
        <w:rPr>
          <w:spacing w:val="-2"/>
        </w:rPr>
        <w:t xml:space="preserve"> </w:t>
      </w:r>
      <w:r>
        <w:t>que</w:t>
      </w:r>
      <w:r>
        <w:rPr>
          <w:spacing w:val="-2"/>
        </w:rPr>
        <w:t xml:space="preserve"> </w:t>
      </w:r>
      <w:r>
        <w:t>subsisten</w:t>
      </w:r>
      <w:r>
        <w:rPr>
          <w:spacing w:val="-2"/>
        </w:rPr>
        <w:t xml:space="preserve"> </w:t>
      </w:r>
      <w:r>
        <w:t>del</w:t>
      </w:r>
      <w:r>
        <w:rPr>
          <w:spacing w:val="-2"/>
        </w:rPr>
        <w:t xml:space="preserve"> </w:t>
      </w:r>
      <w:r>
        <w:t>cultivo</w:t>
      </w:r>
      <w:r>
        <w:rPr>
          <w:spacing w:val="-2"/>
        </w:rPr>
        <w:t xml:space="preserve"> </w:t>
      </w:r>
      <w:r>
        <w:t>de</w:t>
      </w:r>
      <w:r>
        <w:rPr>
          <w:spacing w:val="-2"/>
        </w:rPr>
        <w:t xml:space="preserve"> </w:t>
      </w:r>
      <w:r>
        <w:t>coca,</w:t>
      </w:r>
      <w:r>
        <w:rPr>
          <w:spacing w:val="-2"/>
        </w:rPr>
        <w:t xml:space="preserve"> </w:t>
      </w:r>
      <w:r>
        <w:t>amapola,</w:t>
      </w:r>
      <w:r>
        <w:rPr>
          <w:spacing w:val="-2"/>
        </w:rPr>
        <w:t xml:space="preserve"> </w:t>
      </w:r>
      <w:r>
        <w:t>y</w:t>
      </w:r>
      <w:r>
        <w:rPr>
          <w:spacing w:val="-2"/>
        </w:rPr>
        <w:t xml:space="preserve"> </w:t>
      </w:r>
      <w:r>
        <w:t>marihuana</w:t>
      </w:r>
      <w:r>
        <w:rPr>
          <w:spacing w:val="-2"/>
        </w:rPr>
        <w:t xml:space="preserve"> </w:t>
      </w:r>
      <w:r>
        <w:t>han</w:t>
      </w:r>
      <w:r>
        <w:rPr>
          <w:spacing w:val="-2"/>
        </w:rPr>
        <w:t xml:space="preserve"> </w:t>
      </w:r>
      <w:r>
        <w:t>permanecido en la pobreza. En palabras de la Comisión Global de Políticas de Drogas:</w:t>
      </w:r>
    </w:p>
    <w:p w:rsidR="0011361F" w:rsidRDefault="00AF18A5" w:rsidP="00C77F4D">
      <w:r>
        <w:t>El fracaso es fácil de probar. En lugar de cumplir los objetivos de las tres convenciones internacionales sobre drogas, las políticas actuales sobre drogas no están reduciendo ni la demanda</w:t>
      </w:r>
      <w:r>
        <w:rPr>
          <w:spacing w:val="-5"/>
        </w:rPr>
        <w:t xml:space="preserve"> </w:t>
      </w:r>
      <w:r>
        <w:t>ni</w:t>
      </w:r>
      <w:r>
        <w:rPr>
          <w:spacing w:val="-5"/>
        </w:rPr>
        <w:t xml:space="preserve"> </w:t>
      </w:r>
      <w:r>
        <w:t>el</w:t>
      </w:r>
      <w:r>
        <w:rPr>
          <w:spacing w:val="-5"/>
        </w:rPr>
        <w:t xml:space="preserve"> </w:t>
      </w:r>
      <w:r>
        <w:t>suministro</w:t>
      </w:r>
      <w:r>
        <w:rPr>
          <w:spacing w:val="-5"/>
        </w:rPr>
        <w:t xml:space="preserve"> </w:t>
      </w:r>
      <w:r>
        <w:t>de</w:t>
      </w:r>
      <w:r>
        <w:rPr>
          <w:spacing w:val="-5"/>
        </w:rPr>
        <w:t xml:space="preserve"> </w:t>
      </w:r>
      <w:r>
        <w:t>drogas</w:t>
      </w:r>
      <w:r>
        <w:rPr>
          <w:spacing w:val="-5"/>
        </w:rPr>
        <w:t xml:space="preserve"> </w:t>
      </w:r>
      <w:r>
        <w:t>ilegales,</w:t>
      </w:r>
      <w:r>
        <w:rPr>
          <w:spacing w:val="-5"/>
        </w:rPr>
        <w:t xml:space="preserve"> </w:t>
      </w:r>
      <w:r>
        <w:t>sino</w:t>
      </w:r>
      <w:r>
        <w:rPr>
          <w:spacing w:val="-5"/>
        </w:rPr>
        <w:t xml:space="preserve"> </w:t>
      </w:r>
      <w:r>
        <w:t>todo</w:t>
      </w:r>
      <w:r>
        <w:rPr>
          <w:spacing w:val="-5"/>
        </w:rPr>
        <w:t xml:space="preserve"> </w:t>
      </w:r>
      <w:r>
        <w:t>lo</w:t>
      </w:r>
      <w:r>
        <w:rPr>
          <w:spacing w:val="-5"/>
        </w:rPr>
        <w:t xml:space="preserve"> </w:t>
      </w:r>
      <w:r>
        <w:t>contrario,</w:t>
      </w:r>
      <w:r>
        <w:rPr>
          <w:spacing w:val="-6"/>
        </w:rPr>
        <w:t xml:space="preserve"> </w:t>
      </w:r>
      <w:r>
        <w:t>mientras</w:t>
      </w:r>
      <w:r>
        <w:rPr>
          <w:spacing w:val="-5"/>
        </w:rPr>
        <w:t xml:space="preserve"> </w:t>
      </w:r>
      <w:r>
        <w:t>que</w:t>
      </w:r>
      <w:r>
        <w:rPr>
          <w:spacing w:val="-5"/>
        </w:rPr>
        <w:t xml:space="preserve"> </w:t>
      </w:r>
      <w:r>
        <w:t>el</w:t>
      </w:r>
      <w:r>
        <w:rPr>
          <w:spacing w:val="-5"/>
        </w:rPr>
        <w:t xml:space="preserve"> </w:t>
      </w:r>
      <w:r>
        <w:t>creciente poder del crimen organizado es una triste realidad</w:t>
      </w:r>
      <w:r w:rsidR="00C77F4D">
        <w:rPr>
          <w:rStyle w:val="Refdenotaalpie"/>
        </w:rPr>
        <w:footnoteReference w:id="1233"/>
      </w:r>
      <w:r>
        <w:rPr>
          <w:spacing w:val="80"/>
        </w:rPr>
        <w:t xml:space="preserve">  </w:t>
      </w:r>
      <w:r>
        <w:t>.</w:t>
      </w:r>
    </w:p>
    <w:p w:rsidR="003804AC" w:rsidRDefault="00AF18A5" w:rsidP="00C77F4D">
      <w:bookmarkStart w:id="1592" w:name="_bookmark1385"/>
      <w:bookmarkEnd w:id="1592"/>
      <w:r>
        <w:t>En Colombia, los impactos han sido devastadores, no solo por el número de víctimas del narcotráfico y la violencia de las organizaciones ilegales, sino por los efectos y daños que han generado las políticas que los gobiernos han decidido priorizar para hacerle frente.</w:t>
      </w:r>
    </w:p>
    <w:p w:rsidR="003804AC" w:rsidRDefault="00AF18A5" w:rsidP="00C77F4D">
      <w:r>
        <w:t xml:space="preserve">Sin embargo, el consenso prohibicionista ha empezado a romperse y varios países han avanzado en la legalización de la producción y consumo recreativo de la marihuana. Al mismo tiempo, existe un </w:t>
      </w:r>
      <w:r>
        <w:lastRenderedPageBreak/>
        <w:t xml:space="preserve">consenso internacional acerca de la necesidad de que las políticas nacionales frente a las drogas respeten plenamente los derechos humanos y las libertades </w:t>
      </w:r>
      <w:r>
        <w:rPr>
          <w:spacing w:val="-2"/>
        </w:rPr>
        <w:t>fundamentales.</w:t>
      </w:r>
    </w:p>
    <w:p w:rsidR="003804AC" w:rsidRDefault="00AF18A5" w:rsidP="00C77F4D">
      <w:r>
        <w:t>El Acuerdo Final de Paz dio un primer paso en ese sentido. Basado en la evidencia, el Gobierno se comprometió a un cambio en la visión del problema con un claro enfoque de derechos humanos, salud pública y territorial, con un tratamiento distinto y diferenciado al consumo, los cultivos de uso ilícito, la criminalidad organizada y el lavado de activos. No obstante, para la Comisión es necesario avanzar hacia la superación definitiva del prohibicionismo,</w:t>
      </w:r>
      <w:r>
        <w:rPr>
          <w:spacing w:val="-13"/>
        </w:rPr>
        <w:t xml:space="preserve"> </w:t>
      </w:r>
      <w:r>
        <w:t>para</w:t>
      </w:r>
      <w:r>
        <w:rPr>
          <w:spacing w:val="-13"/>
        </w:rPr>
        <w:t xml:space="preserve"> </w:t>
      </w:r>
      <w:r>
        <w:t>lo</w:t>
      </w:r>
      <w:r>
        <w:rPr>
          <w:spacing w:val="-13"/>
        </w:rPr>
        <w:t xml:space="preserve"> </w:t>
      </w:r>
      <w:r>
        <w:t>cual</w:t>
      </w:r>
      <w:r>
        <w:rPr>
          <w:spacing w:val="-13"/>
        </w:rPr>
        <w:t xml:space="preserve"> </w:t>
      </w:r>
      <w:r>
        <w:t>el</w:t>
      </w:r>
      <w:r>
        <w:rPr>
          <w:spacing w:val="-13"/>
        </w:rPr>
        <w:t xml:space="preserve"> </w:t>
      </w:r>
      <w:r>
        <w:t>Acuerdo</w:t>
      </w:r>
      <w:r>
        <w:rPr>
          <w:spacing w:val="-13"/>
        </w:rPr>
        <w:t xml:space="preserve"> </w:t>
      </w:r>
      <w:r>
        <w:t>Final</w:t>
      </w:r>
      <w:r>
        <w:rPr>
          <w:spacing w:val="-13"/>
        </w:rPr>
        <w:t xml:space="preserve"> </w:t>
      </w:r>
      <w:r>
        <w:t>de</w:t>
      </w:r>
      <w:r>
        <w:rPr>
          <w:spacing w:val="-13"/>
        </w:rPr>
        <w:t xml:space="preserve"> </w:t>
      </w:r>
      <w:r>
        <w:t>Paz</w:t>
      </w:r>
      <w:r>
        <w:rPr>
          <w:spacing w:val="-13"/>
        </w:rPr>
        <w:t xml:space="preserve"> </w:t>
      </w:r>
      <w:r>
        <w:t>estableció</w:t>
      </w:r>
      <w:r>
        <w:rPr>
          <w:spacing w:val="-13"/>
        </w:rPr>
        <w:t xml:space="preserve"> </w:t>
      </w:r>
      <w:r>
        <w:t>el</w:t>
      </w:r>
      <w:r>
        <w:rPr>
          <w:spacing w:val="-13"/>
        </w:rPr>
        <w:t xml:space="preserve"> </w:t>
      </w:r>
      <w:r>
        <w:t>compromiso</w:t>
      </w:r>
      <w:r>
        <w:rPr>
          <w:spacing w:val="-13"/>
        </w:rPr>
        <w:t xml:space="preserve"> </w:t>
      </w:r>
      <w:r>
        <w:t>de</w:t>
      </w:r>
      <w:r>
        <w:rPr>
          <w:spacing w:val="-13"/>
        </w:rPr>
        <w:t xml:space="preserve"> </w:t>
      </w:r>
      <w:r>
        <w:t>promover espacios de diálogo regionales y una gran conferencia internacional para hacer una evaluación objetiva de la lucha contra las drogas y avanzar en la construcción de consensos en torno a los ajustes que sea necesario emprender</w:t>
      </w:r>
      <w:r w:rsidR="00C77F4D">
        <w:rPr>
          <w:rStyle w:val="Refdenotaalpie"/>
        </w:rPr>
        <w:footnoteReference w:id="1234"/>
      </w:r>
      <w:r>
        <w:t>.</w:t>
      </w:r>
    </w:p>
    <w:p w:rsidR="003804AC" w:rsidRDefault="00AF18A5" w:rsidP="00C77F4D">
      <w:r>
        <w:t>Sin embargo, más allá de esto, es imperativo que Colombia lidere ese cambio de paradigma</w:t>
      </w:r>
      <w:r>
        <w:rPr>
          <w:spacing w:val="-6"/>
        </w:rPr>
        <w:t xml:space="preserve"> </w:t>
      </w:r>
      <w:r>
        <w:t>a</w:t>
      </w:r>
      <w:r>
        <w:rPr>
          <w:spacing w:val="-6"/>
        </w:rPr>
        <w:t xml:space="preserve"> </w:t>
      </w:r>
      <w:r>
        <w:t>nivel</w:t>
      </w:r>
      <w:r>
        <w:rPr>
          <w:spacing w:val="-4"/>
        </w:rPr>
        <w:t xml:space="preserve"> </w:t>
      </w:r>
      <w:r>
        <w:t>mundial</w:t>
      </w:r>
      <w:r>
        <w:rPr>
          <w:spacing w:val="-4"/>
        </w:rPr>
        <w:t xml:space="preserve"> </w:t>
      </w:r>
      <w:r>
        <w:t>con</w:t>
      </w:r>
      <w:r>
        <w:rPr>
          <w:spacing w:val="-6"/>
        </w:rPr>
        <w:t xml:space="preserve"> </w:t>
      </w:r>
      <w:r>
        <w:t>la</w:t>
      </w:r>
      <w:r>
        <w:rPr>
          <w:spacing w:val="-6"/>
        </w:rPr>
        <w:t xml:space="preserve"> </w:t>
      </w:r>
      <w:r>
        <w:t>legitimidad</w:t>
      </w:r>
      <w:r>
        <w:rPr>
          <w:spacing w:val="-5"/>
        </w:rPr>
        <w:t xml:space="preserve"> </w:t>
      </w:r>
      <w:r>
        <w:t>y</w:t>
      </w:r>
      <w:r>
        <w:rPr>
          <w:spacing w:val="-6"/>
        </w:rPr>
        <w:t xml:space="preserve"> </w:t>
      </w:r>
      <w:r>
        <w:t>fuerza</w:t>
      </w:r>
      <w:r>
        <w:rPr>
          <w:spacing w:val="-6"/>
        </w:rPr>
        <w:t xml:space="preserve"> </w:t>
      </w:r>
      <w:r>
        <w:t>que</w:t>
      </w:r>
      <w:r>
        <w:rPr>
          <w:spacing w:val="-6"/>
        </w:rPr>
        <w:t xml:space="preserve"> </w:t>
      </w:r>
      <w:r>
        <w:t>le</w:t>
      </w:r>
      <w:r>
        <w:rPr>
          <w:spacing w:val="-5"/>
        </w:rPr>
        <w:t xml:space="preserve"> </w:t>
      </w:r>
      <w:r>
        <w:t>da</w:t>
      </w:r>
      <w:r>
        <w:rPr>
          <w:spacing w:val="-5"/>
        </w:rPr>
        <w:t xml:space="preserve"> </w:t>
      </w:r>
      <w:r>
        <w:t>a</w:t>
      </w:r>
      <w:r>
        <w:rPr>
          <w:spacing w:val="-5"/>
        </w:rPr>
        <w:t xml:space="preserve"> </w:t>
      </w:r>
      <w:r>
        <w:t>nuestro</w:t>
      </w:r>
      <w:r>
        <w:rPr>
          <w:spacing w:val="-5"/>
        </w:rPr>
        <w:t xml:space="preserve"> </w:t>
      </w:r>
      <w:r>
        <w:t>país</w:t>
      </w:r>
      <w:r>
        <w:rPr>
          <w:spacing w:val="-5"/>
        </w:rPr>
        <w:t xml:space="preserve"> </w:t>
      </w:r>
      <w:r>
        <w:t>ser</w:t>
      </w:r>
      <w:r>
        <w:rPr>
          <w:spacing w:val="-6"/>
        </w:rPr>
        <w:t xml:space="preserve"> </w:t>
      </w:r>
      <w:r>
        <w:t>uno</w:t>
      </w:r>
      <w:r>
        <w:rPr>
          <w:spacing w:val="-5"/>
        </w:rPr>
        <w:t xml:space="preserve"> </w:t>
      </w:r>
      <w:r>
        <w:t>de</w:t>
      </w:r>
      <w:r>
        <w:rPr>
          <w:spacing w:val="-5"/>
        </w:rPr>
        <w:t xml:space="preserve"> </w:t>
      </w:r>
      <w:r>
        <w:t>los que más ha sufrido las consecuencias de la violencia y la guerra contra las drogas.</w:t>
      </w:r>
    </w:p>
    <w:p w:rsidR="003804AC" w:rsidRDefault="00AF18A5" w:rsidP="00C77F4D">
      <w:r>
        <w:t>Mientras se avanza urgentemente en el cambio de paradigma del prohibicionismo a la regulación legal responsable, hay medidas inmediatas que no se pueden postergar. Frente a los cultivos, el Estado se comprometió en el Acuerdo Final de Paz a priorizar la sustitución frente a cualquier otra forma de erradicación con la creación de un programa enmarcado en la</w:t>
      </w:r>
      <w:r>
        <w:rPr>
          <w:spacing w:val="5"/>
        </w:rPr>
        <w:t xml:space="preserve"> </w:t>
      </w:r>
      <w:r>
        <w:t>Reforma</w:t>
      </w:r>
      <w:r>
        <w:rPr>
          <w:spacing w:val="4"/>
        </w:rPr>
        <w:t xml:space="preserve"> </w:t>
      </w:r>
      <w:r>
        <w:t>Rural</w:t>
      </w:r>
      <w:r>
        <w:rPr>
          <w:spacing w:val="6"/>
        </w:rPr>
        <w:t xml:space="preserve"> </w:t>
      </w:r>
      <w:r>
        <w:t>Integral,</w:t>
      </w:r>
      <w:r>
        <w:rPr>
          <w:spacing w:val="5"/>
        </w:rPr>
        <w:t xml:space="preserve"> </w:t>
      </w:r>
      <w:r>
        <w:t>que</w:t>
      </w:r>
      <w:r>
        <w:rPr>
          <w:spacing w:val="5"/>
        </w:rPr>
        <w:t xml:space="preserve"> </w:t>
      </w:r>
      <w:r>
        <w:t>debía</w:t>
      </w:r>
      <w:r>
        <w:rPr>
          <w:spacing w:val="6"/>
        </w:rPr>
        <w:t xml:space="preserve"> </w:t>
      </w:r>
      <w:r>
        <w:lastRenderedPageBreak/>
        <w:t>implementarse</w:t>
      </w:r>
      <w:r>
        <w:rPr>
          <w:spacing w:val="5"/>
        </w:rPr>
        <w:t xml:space="preserve"> </w:t>
      </w:r>
      <w:r>
        <w:t>sobre</w:t>
      </w:r>
      <w:r>
        <w:rPr>
          <w:spacing w:val="5"/>
        </w:rPr>
        <w:t xml:space="preserve"> </w:t>
      </w:r>
      <w:r>
        <w:t>la</w:t>
      </w:r>
      <w:r>
        <w:rPr>
          <w:spacing w:val="5"/>
        </w:rPr>
        <w:t xml:space="preserve"> </w:t>
      </w:r>
      <w:r>
        <w:t>base</w:t>
      </w:r>
      <w:r>
        <w:rPr>
          <w:spacing w:val="5"/>
        </w:rPr>
        <w:t xml:space="preserve"> </w:t>
      </w:r>
      <w:r>
        <w:t>de</w:t>
      </w:r>
      <w:r>
        <w:rPr>
          <w:spacing w:val="5"/>
        </w:rPr>
        <w:t xml:space="preserve"> </w:t>
      </w:r>
      <w:r>
        <w:t>la</w:t>
      </w:r>
      <w:r>
        <w:rPr>
          <w:spacing w:val="6"/>
        </w:rPr>
        <w:t xml:space="preserve"> </w:t>
      </w:r>
      <w:r>
        <w:t>participación</w:t>
      </w:r>
      <w:r>
        <w:rPr>
          <w:spacing w:val="4"/>
        </w:rPr>
        <w:t xml:space="preserve"> </w:t>
      </w:r>
      <w:r>
        <w:t>de</w:t>
      </w:r>
      <w:r>
        <w:rPr>
          <w:spacing w:val="6"/>
        </w:rPr>
        <w:t xml:space="preserve"> </w:t>
      </w:r>
      <w:r>
        <w:rPr>
          <w:spacing w:val="-5"/>
        </w:rPr>
        <w:t>las</w:t>
      </w:r>
      <w:bookmarkStart w:id="1593" w:name="_bookmark1386"/>
      <w:bookmarkEnd w:id="1593"/>
      <w:r w:rsidR="00C77F4D">
        <w:t xml:space="preserve"> </w:t>
      </w:r>
      <w:r>
        <w:t>comunidades</w:t>
      </w:r>
      <w:r w:rsidR="00C77F4D">
        <w:rPr>
          <w:rStyle w:val="Refdenotaalpie"/>
        </w:rPr>
        <w:footnoteReference w:id="1235"/>
      </w:r>
      <w:r>
        <w:t>. Sin embargo, el PNIS ha tenido pocos avances, errores en su diseño y planeación,</w:t>
      </w:r>
      <w:r>
        <w:rPr>
          <w:spacing w:val="-3"/>
        </w:rPr>
        <w:t xml:space="preserve"> </w:t>
      </w:r>
      <w:r>
        <w:t>problemas</w:t>
      </w:r>
      <w:r>
        <w:rPr>
          <w:spacing w:val="-2"/>
        </w:rPr>
        <w:t xml:space="preserve"> </w:t>
      </w:r>
      <w:r>
        <w:t>de</w:t>
      </w:r>
      <w:r>
        <w:rPr>
          <w:spacing w:val="-2"/>
        </w:rPr>
        <w:t xml:space="preserve"> </w:t>
      </w:r>
      <w:r>
        <w:t>seguridad</w:t>
      </w:r>
      <w:r>
        <w:rPr>
          <w:spacing w:val="-5"/>
        </w:rPr>
        <w:t xml:space="preserve"> </w:t>
      </w:r>
      <w:r>
        <w:t>y</w:t>
      </w:r>
      <w:r>
        <w:rPr>
          <w:spacing w:val="-2"/>
        </w:rPr>
        <w:t xml:space="preserve"> </w:t>
      </w:r>
      <w:r>
        <w:t>falta</w:t>
      </w:r>
      <w:r>
        <w:rPr>
          <w:spacing w:val="-3"/>
        </w:rPr>
        <w:t xml:space="preserve"> </w:t>
      </w:r>
      <w:r>
        <w:t>de</w:t>
      </w:r>
      <w:r>
        <w:rPr>
          <w:spacing w:val="-3"/>
        </w:rPr>
        <w:t xml:space="preserve"> </w:t>
      </w:r>
      <w:r>
        <w:t>articulación</w:t>
      </w:r>
      <w:r>
        <w:rPr>
          <w:spacing w:val="-3"/>
        </w:rPr>
        <w:t xml:space="preserve"> </w:t>
      </w:r>
      <w:r>
        <w:t>con</w:t>
      </w:r>
      <w:r>
        <w:rPr>
          <w:spacing w:val="-2"/>
        </w:rPr>
        <w:t xml:space="preserve"> </w:t>
      </w:r>
      <w:r>
        <w:t>la</w:t>
      </w:r>
      <w:r>
        <w:rPr>
          <w:spacing w:val="-3"/>
        </w:rPr>
        <w:t xml:space="preserve"> </w:t>
      </w:r>
      <w:r>
        <w:t>reforma</w:t>
      </w:r>
      <w:r>
        <w:rPr>
          <w:spacing w:val="-3"/>
        </w:rPr>
        <w:t xml:space="preserve"> </w:t>
      </w:r>
      <w:r>
        <w:t>Rural</w:t>
      </w:r>
      <w:r>
        <w:rPr>
          <w:spacing w:val="-3"/>
        </w:rPr>
        <w:t xml:space="preserve"> </w:t>
      </w:r>
      <w:r>
        <w:t>Integral,</w:t>
      </w:r>
      <w:r>
        <w:rPr>
          <w:spacing w:val="-2"/>
        </w:rPr>
        <w:t xml:space="preserve"> </w:t>
      </w:r>
      <w:r>
        <w:t>así como</w:t>
      </w:r>
      <w:r>
        <w:rPr>
          <w:spacing w:val="-5"/>
        </w:rPr>
        <w:t xml:space="preserve"> </w:t>
      </w:r>
      <w:r>
        <w:t>demoras</w:t>
      </w:r>
      <w:r>
        <w:rPr>
          <w:spacing w:val="-5"/>
        </w:rPr>
        <w:t xml:space="preserve"> </w:t>
      </w:r>
      <w:r>
        <w:t>e</w:t>
      </w:r>
      <w:r>
        <w:rPr>
          <w:spacing w:val="-5"/>
        </w:rPr>
        <w:t xml:space="preserve"> </w:t>
      </w:r>
      <w:r>
        <w:t>incumplimientos</w:t>
      </w:r>
      <w:r>
        <w:rPr>
          <w:spacing w:val="-5"/>
        </w:rPr>
        <w:t xml:space="preserve"> </w:t>
      </w:r>
      <w:r>
        <w:t>en</w:t>
      </w:r>
      <w:r>
        <w:rPr>
          <w:spacing w:val="-6"/>
        </w:rPr>
        <w:t xml:space="preserve"> </w:t>
      </w:r>
      <w:r>
        <w:t>su</w:t>
      </w:r>
      <w:r>
        <w:rPr>
          <w:spacing w:val="-5"/>
        </w:rPr>
        <w:t xml:space="preserve"> </w:t>
      </w:r>
      <w:r>
        <w:t>implementación.</w:t>
      </w:r>
      <w:r>
        <w:rPr>
          <w:spacing w:val="-5"/>
        </w:rPr>
        <w:t xml:space="preserve"> </w:t>
      </w:r>
      <w:r>
        <w:t>Esto</w:t>
      </w:r>
      <w:r>
        <w:rPr>
          <w:spacing w:val="-5"/>
        </w:rPr>
        <w:t xml:space="preserve"> </w:t>
      </w:r>
      <w:r>
        <w:t>sumado</w:t>
      </w:r>
      <w:r>
        <w:rPr>
          <w:spacing w:val="-5"/>
        </w:rPr>
        <w:t xml:space="preserve"> </w:t>
      </w:r>
      <w:r>
        <w:t>a</w:t>
      </w:r>
      <w:r>
        <w:rPr>
          <w:spacing w:val="-5"/>
        </w:rPr>
        <w:t xml:space="preserve"> </w:t>
      </w:r>
      <w:r>
        <w:t>la</w:t>
      </w:r>
      <w:r>
        <w:rPr>
          <w:spacing w:val="-5"/>
        </w:rPr>
        <w:t xml:space="preserve"> </w:t>
      </w:r>
      <w:r>
        <w:t>falta</w:t>
      </w:r>
      <w:r>
        <w:rPr>
          <w:spacing w:val="-5"/>
        </w:rPr>
        <w:t xml:space="preserve"> </w:t>
      </w:r>
      <w:r>
        <w:t>de</w:t>
      </w:r>
      <w:r>
        <w:rPr>
          <w:spacing w:val="-5"/>
        </w:rPr>
        <w:t xml:space="preserve"> </w:t>
      </w:r>
      <w:r>
        <w:t>garantías de participación ha generado malestar e insatisfacción. Adicionalmente, la política de erradicación forzosa implementada de manera paralela por el Gobierno y los intentos de reactivar la aspersión aérea, en contravía de la evidencia científica y sin cumplir con lo requerido</w:t>
      </w:r>
      <w:r>
        <w:rPr>
          <w:spacing w:val="-6"/>
        </w:rPr>
        <w:t xml:space="preserve"> </w:t>
      </w:r>
      <w:r>
        <w:t>por</w:t>
      </w:r>
      <w:r>
        <w:rPr>
          <w:spacing w:val="-6"/>
        </w:rPr>
        <w:t xml:space="preserve"> </w:t>
      </w:r>
      <w:r>
        <w:t>la</w:t>
      </w:r>
      <w:r>
        <w:rPr>
          <w:spacing w:val="-6"/>
        </w:rPr>
        <w:t xml:space="preserve"> </w:t>
      </w:r>
      <w:r>
        <w:t>Corte</w:t>
      </w:r>
      <w:r>
        <w:rPr>
          <w:spacing w:val="-6"/>
        </w:rPr>
        <w:t xml:space="preserve"> </w:t>
      </w:r>
      <w:r>
        <w:t>Constitucional,</w:t>
      </w:r>
      <w:r>
        <w:rPr>
          <w:spacing w:val="-6"/>
        </w:rPr>
        <w:t xml:space="preserve"> </w:t>
      </w:r>
      <w:r>
        <w:t>han</w:t>
      </w:r>
      <w:r>
        <w:rPr>
          <w:spacing w:val="-6"/>
        </w:rPr>
        <w:t xml:space="preserve"> </w:t>
      </w:r>
      <w:r>
        <w:t>opacado</w:t>
      </w:r>
      <w:r>
        <w:rPr>
          <w:spacing w:val="-6"/>
        </w:rPr>
        <w:t xml:space="preserve"> </w:t>
      </w:r>
      <w:r>
        <w:t>los</w:t>
      </w:r>
      <w:r>
        <w:rPr>
          <w:spacing w:val="-6"/>
        </w:rPr>
        <w:t xml:space="preserve"> </w:t>
      </w:r>
      <w:r>
        <w:t>pocos</w:t>
      </w:r>
      <w:r>
        <w:rPr>
          <w:spacing w:val="-6"/>
        </w:rPr>
        <w:t xml:space="preserve"> </w:t>
      </w:r>
      <w:r>
        <w:t>avances</w:t>
      </w:r>
      <w:r>
        <w:rPr>
          <w:spacing w:val="-6"/>
        </w:rPr>
        <w:t xml:space="preserve"> </w:t>
      </w:r>
      <w:r>
        <w:t>logrados</w:t>
      </w:r>
      <w:r>
        <w:rPr>
          <w:spacing w:val="-6"/>
        </w:rPr>
        <w:t xml:space="preserve"> </w:t>
      </w:r>
      <w:r>
        <w:t>y</w:t>
      </w:r>
      <w:r>
        <w:rPr>
          <w:spacing w:val="-6"/>
        </w:rPr>
        <w:t xml:space="preserve"> </w:t>
      </w:r>
      <w:r>
        <w:t>dejan</w:t>
      </w:r>
      <w:r>
        <w:rPr>
          <w:spacing w:val="-6"/>
        </w:rPr>
        <w:t xml:space="preserve"> </w:t>
      </w:r>
      <w:r>
        <w:t>claro que</w:t>
      </w:r>
      <w:r>
        <w:rPr>
          <w:spacing w:val="-6"/>
        </w:rPr>
        <w:t xml:space="preserve"> </w:t>
      </w:r>
      <w:r>
        <w:t>persiste</w:t>
      </w:r>
      <w:r>
        <w:rPr>
          <w:spacing w:val="-7"/>
        </w:rPr>
        <w:t xml:space="preserve"> </w:t>
      </w:r>
      <w:r>
        <w:t>la</w:t>
      </w:r>
      <w:r>
        <w:rPr>
          <w:spacing w:val="-6"/>
        </w:rPr>
        <w:t xml:space="preserve"> </w:t>
      </w:r>
      <w:r>
        <w:t>necesidad</w:t>
      </w:r>
      <w:r>
        <w:rPr>
          <w:spacing w:val="-7"/>
        </w:rPr>
        <w:t xml:space="preserve"> </w:t>
      </w:r>
      <w:r>
        <w:t>de</w:t>
      </w:r>
      <w:r>
        <w:rPr>
          <w:spacing w:val="-6"/>
        </w:rPr>
        <w:t xml:space="preserve"> </w:t>
      </w:r>
      <w:r>
        <w:t>un</w:t>
      </w:r>
      <w:r>
        <w:rPr>
          <w:spacing w:val="-6"/>
        </w:rPr>
        <w:t xml:space="preserve"> </w:t>
      </w:r>
      <w:r>
        <w:t>nuevo</w:t>
      </w:r>
      <w:r>
        <w:rPr>
          <w:spacing w:val="-7"/>
        </w:rPr>
        <w:t xml:space="preserve"> </w:t>
      </w:r>
      <w:r>
        <w:t>enfoque</w:t>
      </w:r>
      <w:r>
        <w:rPr>
          <w:spacing w:val="-6"/>
        </w:rPr>
        <w:t xml:space="preserve"> </w:t>
      </w:r>
      <w:r>
        <w:t>frente</w:t>
      </w:r>
      <w:r>
        <w:rPr>
          <w:spacing w:val="-6"/>
        </w:rPr>
        <w:t xml:space="preserve"> </w:t>
      </w:r>
      <w:r>
        <w:t>a</w:t>
      </w:r>
      <w:r>
        <w:rPr>
          <w:spacing w:val="-6"/>
        </w:rPr>
        <w:t xml:space="preserve"> </w:t>
      </w:r>
      <w:r>
        <w:t>los</w:t>
      </w:r>
      <w:r>
        <w:rPr>
          <w:spacing w:val="-6"/>
        </w:rPr>
        <w:t xml:space="preserve"> </w:t>
      </w:r>
      <w:r>
        <w:t>cultivos,</w:t>
      </w:r>
      <w:r>
        <w:rPr>
          <w:spacing w:val="-6"/>
        </w:rPr>
        <w:t xml:space="preserve"> </w:t>
      </w:r>
      <w:r>
        <w:t>que</w:t>
      </w:r>
      <w:r>
        <w:rPr>
          <w:spacing w:val="-6"/>
        </w:rPr>
        <w:t xml:space="preserve"> </w:t>
      </w:r>
      <w:r>
        <w:t>debe</w:t>
      </w:r>
      <w:r>
        <w:rPr>
          <w:spacing w:val="-6"/>
        </w:rPr>
        <w:t xml:space="preserve"> </w:t>
      </w:r>
      <w:r>
        <w:t>estar</w:t>
      </w:r>
      <w:r>
        <w:rPr>
          <w:spacing w:val="-6"/>
        </w:rPr>
        <w:t xml:space="preserve"> </w:t>
      </w:r>
      <w:r>
        <w:t>basado</w:t>
      </w:r>
      <w:r>
        <w:rPr>
          <w:spacing w:val="-6"/>
        </w:rPr>
        <w:t xml:space="preserve"> </w:t>
      </w:r>
      <w:r>
        <w:t>en los derechos humanos y el desarrollo sostenible para superar problemas históricos de exclusión, marginalidad y pobreza.</w:t>
      </w:r>
    </w:p>
    <w:p w:rsidR="003804AC" w:rsidRDefault="00AF18A5" w:rsidP="00C77F4D">
      <w:r>
        <w:t>En cuanto al consumo, el Gobierno se comprometió a abordar el tema exclusivamente desde una perspectiva de salud pública y reducción del daño, convirtiendo esta política en una</w:t>
      </w:r>
      <w:r>
        <w:rPr>
          <w:spacing w:val="-5"/>
        </w:rPr>
        <w:t xml:space="preserve"> </w:t>
      </w:r>
      <w:r>
        <w:t>prioridad.</w:t>
      </w:r>
      <w:r>
        <w:rPr>
          <w:spacing w:val="-5"/>
        </w:rPr>
        <w:t xml:space="preserve"> </w:t>
      </w:r>
      <w:r>
        <w:t>Aunque</w:t>
      </w:r>
      <w:r>
        <w:rPr>
          <w:spacing w:val="-5"/>
        </w:rPr>
        <w:t xml:space="preserve"> </w:t>
      </w:r>
      <w:r>
        <w:t>ha</w:t>
      </w:r>
      <w:r>
        <w:rPr>
          <w:spacing w:val="-5"/>
        </w:rPr>
        <w:t xml:space="preserve"> </w:t>
      </w:r>
      <w:r>
        <w:t>habido</w:t>
      </w:r>
      <w:r>
        <w:rPr>
          <w:spacing w:val="-5"/>
        </w:rPr>
        <w:t xml:space="preserve"> </w:t>
      </w:r>
      <w:r>
        <w:t>avances</w:t>
      </w:r>
      <w:r>
        <w:rPr>
          <w:spacing w:val="-5"/>
        </w:rPr>
        <w:t xml:space="preserve"> </w:t>
      </w:r>
      <w:r>
        <w:t>como</w:t>
      </w:r>
      <w:r>
        <w:rPr>
          <w:spacing w:val="-6"/>
        </w:rPr>
        <w:t xml:space="preserve"> </w:t>
      </w:r>
      <w:r>
        <w:t>la</w:t>
      </w:r>
      <w:r>
        <w:rPr>
          <w:spacing w:val="-5"/>
        </w:rPr>
        <w:t xml:space="preserve"> </w:t>
      </w:r>
      <w:r>
        <w:t>formulación</w:t>
      </w:r>
      <w:r>
        <w:rPr>
          <w:spacing w:val="-5"/>
        </w:rPr>
        <w:t xml:space="preserve"> </w:t>
      </w:r>
      <w:r>
        <w:t>de</w:t>
      </w:r>
      <w:r>
        <w:rPr>
          <w:spacing w:val="-5"/>
        </w:rPr>
        <w:t xml:space="preserve"> </w:t>
      </w:r>
      <w:r>
        <w:t>la</w:t>
      </w:r>
      <w:r>
        <w:rPr>
          <w:spacing w:val="-5"/>
        </w:rPr>
        <w:t xml:space="preserve"> </w:t>
      </w:r>
      <w:r>
        <w:t>Política</w:t>
      </w:r>
      <w:r>
        <w:rPr>
          <w:spacing w:val="-5"/>
        </w:rPr>
        <w:t xml:space="preserve"> </w:t>
      </w:r>
      <w:r>
        <w:t>Integral</w:t>
      </w:r>
      <w:r>
        <w:rPr>
          <w:spacing w:val="-4"/>
        </w:rPr>
        <w:t xml:space="preserve"> </w:t>
      </w:r>
      <w:r>
        <w:t>para</w:t>
      </w:r>
      <w:r>
        <w:rPr>
          <w:spacing w:val="-5"/>
        </w:rPr>
        <w:t xml:space="preserve"> </w:t>
      </w:r>
      <w:r>
        <w:t>la Prevención y Atención del Consumo de Sustancias Psicoactivas</w:t>
      </w:r>
      <w:r w:rsidR="00C77F4D">
        <w:rPr>
          <w:rStyle w:val="Refdenotaalpie"/>
        </w:rPr>
        <w:footnoteReference w:id="1236"/>
      </w:r>
      <w:r>
        <w:rPr>
          <w:spacing w:val="80"/>
        </w:rPr>
        <w:t xml:space="preserve">  </w:t>
      </w:r>
      <w:r>
        <w:t>–que incorpora medidas para fortalecer la prevención, tratamiento, rehabilitación e inclusión social–, las limitaciones</w:t>
      </w:r>
      <w:r>
        <w:rPr>
          <w:spacing w:val="-6"/>
        </w:rPr>
        <w:t xml:space="preserve"> </w:t>
      </w:r>
      <w:r>
        <w:t>en</w:t>
      </w:r>
      <w:r>
        <w:rPr>
          <w:spacing w:val="-5"/>
        </w:rPr>
        <w:t xml:space="preserve"> </w:t>
      </w:r>
      <w:r>
        <w:t>su</w:t>
      </w:r>
      <w:r>
        <w:rPr>
          <w:spacing w:val="-5"/>
        </w:rPr>
        <w:t xml:space="preserve"> </w:t>
      </w:r>
      <w:r>
        <w:t>alcance</w:t>
      </w:r>
      <w:r>
        <w:rPr>
          <w:spacing w:val="-5"/>
        </w:rPr>
        <w:t xml:space="preserve"> </w:t>
      </w:r>
      <w:r>
        <w:t>territorial</w:t>
      </w:r>
      <w:r>
        <w:rPr>
          <w:spacing w:val="-6"/>
        </w:rPr>
        <w:t xml:space="preserve"> </w:t>
      </w:r>
      <w:r>
        <w:t>y</w:t>
      </w:r>
      <w:r>
        <w:rPr>
          <w:spacing w:val="-5"/>
        </w:rPr>
        <w:t xml:space="preserve"> </w:t>
      </w:r>
      <w:r>
        <w:t>la</w:t>
      </w:r>
      <w:r>
        <w:rPr>
          <w:spacing w:val="-5"/>
        </w:rPr>
        <w:t xml:space="preserve"> </w:t>
      </w:r>
      <w:r>
        <w:t>estigmatización</w:t>
      </w:r>
      <w:r>
        <w:rPr>
          <w:spacing w:val="-5"/>
        </w:rPr>
        <w:t xml:space="preserve"> </w:t>
      </w:r>
      <w:r>
        <w:t>y</w:t>
      </w:r>
      <w:r>
        <w:rPr>
          <w:spacing w:val="-5"/>
        </w:rPr>
        <w:t xml:space="preserve"> </w:t>
      </w:r>
      <w:r>
        <w:t>persecución</w:t>
      </w:r>
      <w:r>
        <w:rPr>
          <w:spacing w:val="-5"/>
        </w:rPr>
        <w:t xml:space="preserve"> </w:t>
      </w:r>
      <w:r>
        <w:t>de</w:t>
      </w:r>
      <w:r>
        <w:rPr>
          <w:spacing w:val="-6"/>
        </w:rPr>
        <w:t xml:space="preserve"> </w:t>
      </w:r>
      <w:r>
        <w:t>los</w:t>
      </w:r>
      <w:r>
        <w:rPr>
          <w:spacing w:val="-5"/>
        </w:rPr>
        <w:t xml:space="preserve"> </w:t>
      </w:r>
      <w:r>
        <w:t>consumidores continúan siendo un desafío.</w:t>
      </w:r>
    </w:p>
    <w:p w:rsidR="0011361F" w:rsidRDefault="00AF18A5" w:rsidP="00AE7681">
      <w:r>
        <w:t>Por</w:t>
      </w:r>
      <w:r>
        <w:rPr>
          <w:spacing w:val="-9"/>
        </w:rPr>
        <w:t xml:space="preserve"> </w:t>
      </w:r>
      <w:r>
        <w:t>último,</w:t>
      </w:r>
      <w:r>
        <w:rPr>
          <w:spacing w:val="-11"/>
        </w:rPr>
        <w:t xml:space="preserve"> </w:t>
      </w:r>
      <w:r>
        <w:t>es</w:t>
      </w:r>
      <w:r>
        <w:rPr>
          <w:spacing w:val="-9"/>
        </w:rPr>
        <w:t xml:space="preserve"> </w:t>
      </w:r>
      <w:r>
        <w:t>importante</w:t>
      </w:r>
      <w:r>
        <w:rPr>
          <w:spacing w:val="-9"/>
        </w:rPr>
        <w:t xml:space="preserve"> </w:t>
      </w:r>
      <w:r>
        <w:t>notar</w:t>
      </w:r>
      <w:r>
        <w:rPr>
          <w:spacing w:val="-9"/>
        </w:rPr>
        <w:t xml:space="preserve"> </w:t>
      </w:r>
      <w:r>
        <w:t>que</w:t>
      </w:r>
      <w:r>
        <w:rPr>
          <w:spacing w:val="-10"/>
        </w:rPr>
        <w:t xml:space="preserve"> </w:t>
      </w:r>
      <w:r>
        <w:t>ha</w:t>
      </w:r>
      <w:r>
        <w:rPr>
          <w:spacing w:val="-9"/>
        </w:rPr>
        <w:t xml:space="preserve"> </w:t>
      </w:r>
      <w:r>
        <w:t>habido</w:t>
      </w:r>
      <w:r>
        <w:rPr>
          <w:spacing w:val="-11"/>
        </w:rPr>
        <w:t xml:space="preserve"> </w:t>
      </w:r>
      <w:r>
        <w:t>resultados</w:t>
      </w:r>
      <w:r>
        <w:rPr>
          <w:spacing w:val="-10"/>
        </w:rPr>
        <w:t xml:space="preserve"> </w:t>
      </w:r>
      <w:r>
        <w:t>en</w:t>
      </w:r>
      <w:r>
        <w:rPr>
          <w:spacing w:val="-11"/>
        </w:rPr>
        <w:t xml:space="preserve"> </w:t>
      </w:r>
      <w:r>
        <w:t>la</w:t>
      </w:r>
      <w:r>
        <w:rPr>
          <w:spacing w:val="-10"/>
        </w:rPr>
        <w:t xml:space="preserve"> </w:t>
      </w:r>
      <w:r>
        <w:t>lucha</w:t>
      </w:r>
      <w:r>
        <w:rPr>
          <w:spacing w:val="-10"/>
        </w:rPr>
        <w:t xml:space="preserve"> </w:t>
      </w:r>
      <w:r>
        <w:lastRenderedPageBreak/>
        <w:t>contra</w:t>
      </w:r>
      <w:r>
        <w:rPr>
          <w:spacing w:val="-10"/>
        </w:rPr>
        <w:t xml:space="preserve"> </w:t>
      </w:r>
      <w:r>
        <w:t>el</w:t>
      </w:r>
      <w:r>
        <w:rPr>
          <w:spacing w:val="-9"/>
        </w:rPr>
        <w:t xml:space="preserve"> </w:t>
      </w:r>
      <w:r>
        <w:t>narcotráfico y</w:t>
      </w:r>
      <w:r>
        <w:rPr>
          <w:spacing w:val="-7"/>
        </w:rPr>
        <w:t xml:space="preserve"> </w:t>
      </w:r>
      <w:r>
        <w:t>que</w:t>
      </w:r>
      <w:r>
        <w:rPr>
          <w:spacing w:val="-7"/>
        </w:rPr>
        <w:t xml:space="preserve"> </w:t>
      </w:r>
      <w:r>
        <w:t>se</w:t>
      </w:r>
      <w:r>
        <w:rPr>
          <w:spacing w:val="-7"/>
        </w:rPr>
        <w:t xml:space="preserve"> </w:t>
      </w:r>
      <w:r>
        <w:t>creó</w:t>
      </w:r>
      <w:r>
        <w:rPr>
          <w:spacing w:val="-7"/>
        </w:rPr>
        <w:t xml:space="preserve"> </w:t>
      </w:r>
      <w:r>
        <w:t>la</w:t>
      </w:r>
      <w:r>
        <w:rPr>
          <w:spacing w:val="-8"/>
        </w:rPr>
        <w:t xml:space="preserve"> </w:t>
      </w:r>
      <w:r>
        <w:t>Unidad</w:t>
      </w:r>
      <w:r>
        <w:rPr>
          <w:spacing w:val="-8"/>
        </w:rPr>
        <w:t xml:space="preserve"> </w:t>
      </w:r>
      <w:r>
        <w:t>Especial</w:t>
      </w:r>
      <w:r>
        <w:rPr>
          <w:spacing w:val="-7"/>
        </w:rPr>
        <w:t xml:space="preserve"> </w:t>
      </w:r>
      <w:r>
        <w:t>de</w:t>
      </w:r>
      <w:r>
        <w:rPr>
          <w:spacing w:val="-9"/>
        </w:rPr>
        <w:t xml:space="preserve"> </w:t>
      </w:r>
      <w:r>
        <w:t>Investigación</w:t>
      </w:r>
      <w:r>
        <w:rPr>
          <w:spacing w:val="-7"/>
        </w:rPr>
        <w:t xml:space="preserve"> </w:t>
      </w:r>
      <w:r>
        <w:t>y</w:t>
      </w:r>
      <w:r>
        <w:rPr>
          <w:spacing w:val="-7"/>
        </w:rPr>
        <w:t xml:space="preserve"> </w:t>
      </w:r>
      <w:r>
        <w:t>Acusación</w:t>
      </w:r>
      <w:r>
        <w:rPr>
          <w:spacing w:val="-7"/>
        </w:rPr>
        <w:t xml:space="preserve"> </w:t>
      </w:r>
      <w:r>
        <w:t>que</w:t>
      </w:r>
      <w:r>
        <w:rPr>
          <w:spacing w:val="-7"/>
        </w:rPr>
        <w:t xml:space="preserve"> </w:t>
      </w:r>
      <w:r>
        <w:t>contemplaba</w:t>
      </w:r>
      <w:r>
        <w:rPr>
          <w:spacing w:val="-8"/>
        </w:rPr>
        <w:t xml:space="preserve"> </w:t>
      </w:r>
      <w:r>
        <w:t>el</w:t>
      </w:r>
      <w:r>
        <w:rPr>
          <w:spacing w:val="-7"/>
        </w:rPr>
        <w:t xml:space="preserve"> </w:t>
      </w:r>
      <w:r>
        <w:t>Acuerdo. No obstante, las limitaciones en sus capacidades, la ausencia de un compromiso real para erradicar la corrupción asociada al narcotráfico y la falta de una estrategia de seguridad acorde al contexto actual, siguen siendo un problema y una deuda de la implementación del Acuerdo Final de Paz.</w:t>
      </w:r>
    </w:p>
    <w:p w:rsidR="003804AC" w:rsidRDefault="00AF18A5" w:rsidP="00AE7681">
      <w:bookmarkStart w:id="1594" w:name="_bookmark1387"/>
      <w:bookmarkStart w:id="1595" w:name="_bookmark1388"/>
      <w:bookmarkEnd w:id="1594"/>
      <w:bookmarkEnd w:id="1595"/>
      <w:r>
        <w:t>Las</w:t>
      </w:r>
      <w:r>
        <w:rPr>
          <w:spacing w:val="-9"/>
        </w:rPr>
        <w:t xml:space="preserve"> </w:t>
      </w:r>
      <w:r>
        <w:t>recomendaciones</w:t>
      </w:r>
      <w:r>
        <w:rPr>
          <w:spacing w:val="-10"/>
        </w:rPr>
        <w:t xml:space="preserve"> </w:t>
      </w:r>
      <w:r>
        <w:t>planteadas</w:t>
      </w:r>
      <w:r>
        <w:rPr>
          <w:spacing w:val="-10"/>
        </w:rPr>
        <w:t xml:space="preserve"> </w:t>
      </w:r>
      <w:r>
        <w:t>tienen</w:t>
      </w:r>
      <w:r>
        <w:rPr>
          <w:spacing w:val="-9"/>
        </w:rPr>
        <w:t xml:space="preserve"> </w:t>
      </w:r>
      <w:r>
        <w:t>en</w:t>
      </w:r>
      <w:r>
        <w:rPr>
          <w:spacing w:val="-9"/>
        </w:rPr>
        <w:t xml:space="preserve"> </w:t>
      </w:r>
      <w:r>
        <w:t>cuenta</w:t>
      </w:r>
      <w:r>
        <w:rPr>
          <w:spacing w:val="-10"/>
        </w:rPr>
        <w:t xml:space="preserve"> </w:t>
      </w:r>
      <w:r>
        <w:t>los</w:t>
      </w:r>
      <w:r>
        <w:rPr>
          <w:spacing w:val="-9"/>
        </w:rPr>
        <w:t xml:space="preserve"> </w:t>
      </w:r>
      <w:r>
        <w:t>avances</w:t>
      </w:r>
      <w:r>
        <w:rPr>
          <w:spacing w:val="-10"/>
        </w:rPr>
        <w:t xml:space="preserve"> </w:t>
      </w:r>
      <w:r>
        <w:t>mencionados,</w:t>
      </w:r>
      <w:r>
        <w:rPr>
          <w:spacing w:val="-10"/>
        </w:rPr>
        <w:t xml:space="preserve"> </w:t>
      </w:r>
      <w:r>
        <w:t>se</w:t>
      </w:r>
      <w:r>
        <w:rPr>
          <w:spacing w:val="-9"/>
        </w:rPr>
        <w:t xml:space="preserve"> </w:t>
      </w:r>
      <w:r>
        <w:t>centran</w:t>
      </w:r>
      <w:r>
        <w:rPr>
          <w:spacing w:val="-11"/>
        </w:rPr>
        <w:t xml:space="preserve"> </w:t>
      </w:r>
      <w:r>
        <w:t>en los</w:t>
      </w:r>
      <w:r>
        <w:rPr>
          <w:spacing w:val="-10"/>
        </w:rPr>
        <w:t xml:space="preserve"> </w:t>
      </w:r>
      <w:r>
        <w:t>desafíos</w:t>
      </w:r>
      <w:r>
        <w:rPr>
          <w:spacing w:val="-10"/>
        </w:rPr>
        <w:t xml:space="preserve"> </w:t>
      </w:r>
      <w:r>
        <w:t>que</w:t>
      </w:r>
      <w:r>
        <w:rPr>
          <w:spacing w:val="-10"/>
        </w:rPr>
        <w:t xml:space="preserve"> </w:t>
      </w:r>
      <w:r>
        <w:t>persisten</w:t>
      </w:r>
      <w:r>
        <w:rPr>
          <w:spacing w:val="-11"/>
        </w:rPr>
        <w:t xml:space="preserve"> </w:t>
      </w:r>
      <w:r>
        <w:t>en</w:t>
      </w:r>
      <w:r>
        <w:rPr>
          <w:spacing w:val="-11"/>
        </w:rPr>
        <w:t xml:space="preserve"> </w:t>
      </w:r>
      <w:r>
        <w:t>la</w:t>
      </w:r>
      <w:r>
        <w:rPr>
          <w:spacing w:val="-10"/>
        </w:rPr>
        <w:t xml:space="preserve"> </w:t>
      </w:r>
      <w:r>
        <w:t>implementación</w:t>
      </w:r>
      <w:r>
        <w:rPr>
          <w:spacing w:val="-11"/>
        </w:rPr>
        <w:t xml:space="preserve"> </w:t>
      </w:r>
      <w:r>
        <w:t>y</w:t>
      </w:r>
      <w:r>
        <w:rPr>
          <w:spacing w:val="-11"/>
        </w:rPr>
        <w:t xml:space="preserve"> </w:t>
      </w:r>
      <w:r>
        <w:t>pretenden</w:t>
      </w:r>
      <w:r>
        <w:rPr>
          <w:spacing w:val="-11"/>
        </w:rPr>
        <w:t xml:space="preserve"> </w:t>
      </w:r>
      <w:r>
        <w:t>impulsar</w:t>
      </w:r>
      <w:r>
        <w:rPr>
          <w:spacing w:val="-10"/>
        </w:rPr>
        <w:t xml:space="preserve"> </w:t>
      </w:r>
      <w:r>
        <w:t>una</w:t>
      </w:r>
      <w:r>
        <w:rPr>
          <w:spacing w:val="-10"/>
        </w:rPr>
        <w:t xml:space="preserve"> </w:t>
      </w:r>
      <w:r>
        <w:t>solución</w:t>
      </w:r>
      <w:r>
        <w:rPr>
          <w:spacing w:val="-11"/>
        </w:rPr>
        <w:t xml:space="preserve"> </w:t>
      </w:r>
      <w:r>
        <w:t>definitiva al narcotráfico. Por eso se propone avanzar hacia la regulación responsable, y así dar una respuesta</w:t>
      </w:r>
      <w:r>
        <w:rPr>
          <w:spacing w:val="-8"/>
        </w:rPr>
        <w:t xml:space="preserve"> </w:t>
      </w:r>
      <w:r>
        <w:t>más</w:t>
      </w:r>
      <w:r>
        <w:rPr>
          <w:spacing w:val="-8"/>
        </w:rPr>
        <w:t xml:space="preserve"> </w:t>
      </w:r>
      <w:r>
        <w:t>democrática</w:t>
      </w:r>
      <w:r>
        <w:rPr>
          <w:spacing w:val="-8"/>
        </w:rPr>
        <w:t xml:space="preserve"> </w:t>
      </w:r>
      <w:r>
        <w:t>al</w:t>
      </w:r>
      <w:r>
        <w:rPr>
          <w:spacing w:val="-8"/>
        </w:rPr>
        <w:t xml:space="preserve"> </w:t>
      </w:r>
      <w:r>
        <w:t>problema</w:t>
      </w:r>
      <w:r>
        <w:rPr>
          <w:spacing w:val="-8"/>
        </w:rPr>
        <w:t xml:space="preserve"> </w:t>
      </w:r>
      <w:r>
        <w:t>de</w:t>
      </w:r>
      <w:r>
        <w:rPr>
          <w:spacing w:val="-9"/>
        </w:rPr>
        <w:t xml:space="preserve"> </w:t>
      </w:r>
      <w:r>
        <w:t>las</w:t>
      </w:r>
      <w:r>
        <w:rPr>
          <w:spacing w:val="-8"/>
        </w:rPr>
        <w:t xml:space="preserve"> </w:t>
      </w:r>
      <w:r>
        <w:t>drogas,</w:t>
      </w:r>
      <w:r>
        <w:rPr>
          <w:spacing w:val="-8"/>
        </w:rPr>
        <w:t xml:space="preserve"> </w:t>
      </w:r>
      <w:r>
        <w:t>y</w:t>
      </w:r>
      <w:r>
        <w:rPr>
          <w:spacing w:val="-8"/>
        </w:rPr>
        <w:t xml:space="preserve"> </w:t>
      </w:r>
      <w:r>
        <w:t>liderar</w:t>
      </w:r>
      <w:r>
        <w:rPr>
          <w:spacing w:val="-8"/>
        </w:rPr>
        <w:t xml:space="preserve"> </w:t>
      </w:r>
      <w:r>
        <w:t>el</w:t>
      </w:r>
      <w:r>
        <w:rPr>
          <w:spacing w:val="-9"/>
        </w:rPr>
        <w:t xml:space="preserve"> </w:t>
      </w:r>
      <w:r>
        <w:t>debate</w:t>
      </w:r>
      <w:r>
        <w:rPr>
          <w:spacing w:val="-8"/>
        </w:rPr>
        <w:t xml:space="preserve"> </w:t>
      </w:r>
      <w:r>
        <w:t>internacional</w:t>
      </w:r>
      <w:r>
        <w:rPr>
          <w:spacing w:val="-9"/>
        </w:rPr>
        <w:t xml:space="preserve"> </w:t>
      </w:r>
      <w:r>
        <w:t>contra el</w:t>
      </w:r>
      <w:r>
        <w:rPr>
          <w:spacing w:val="-10"/>
        </w:rPr>
        <w:t xml:space="preserve"> </w:t>
      </w:r>
      <w:r>
        <w:t>prohibicionismo</w:t>
      </w:r>
      <w:r>
        <w:rPr>
          <w:spacing w:val="-11"/>
        </w:rPr>
        <w:t xml:space="preserve"> </w:t>
      </w:r>
      <w:r>
        <w:t>a</w:t>
      </w:r>
      <w:r>
        <w:rPr>
          <w:spacing w:val="-12"/>
        </w:rPr>
        <w:t xml:space="preserve"> </w:t>
      </w:r>
      <w:r>
        <w:t>la</w:t>
      </w:r>
      <w:r>
        <w:rPr>
          <w:spacing w:val="-11"/>
        </w:rPr>
        <w:t xml:space="preserve"> </w:t>
      </w:r>
      <w:r>
        <w:t>vez</w:t>
      </w:r>
      <w:r>
        <w:rPr>
          <w:spacing w:val="-11"/>
        </w:rPr>
        <w:t xml:space="preserve"> </w:t>
      </w:r>
      <w:r>
        <w:t>que,</w:t>
      </w:r>
      <w:r>
        <w:rPr>
          <w:spacing w:val="-11"/>
        </w:rPr>
        <w:t xml:space="preserve"> </w:t>
      </w:r>
      <w:r>
        <w:t>conscientes</w:t>
      </w:r>
      <w:r>
        <w:rPr>
          <w:spacing w:val="-11"/>
        </w:rPr>
        <w:t xml:space="preserve"> </w:t>
      </w:r>
      <w:r>
        <w:t>de</w:t>
      </w:r>
      <w:r>
        <w:rPr>
          <w:spacing w:val="-11"/>
        </w:rPr>
        <w:t xml:space="preserve"> </w:t>
      </w:r>
      <w:r>
        <w:t>que</w:t>
      </w:r>
      <w:r>
        <w:rPr>
          <w:spacing w:val="-11"/>
        </w:rPr>
        <w:t xml:space="preserve"> </w:t>
      </w:r>
      <w:r>
        <w:t>se</w:t>
      </w:r>
      <w:r>
        <w:rPr>
          <w:spacing w:val="-11"/>
        </w:rPr>
        <w:t xml:space="preserve"> </w:t>
      </w:r>
      <w:r>
        <w:t>trata</w:t>
      </w:r>
      <w:r>
        <w:rPr>
          <w:spacing w:val="-11"/>
        </w:rPr>
        <w:t xml:space="preserve"> </w:t>
      </w:r>
      <w:r>
        <w:t>de</w:t>
      </w:r>
      <w:r>
        <w:rPr>
          <w:spacing w:val="-11"/>
        </w:rPr>
        <w:t xml:space="preserve"> </w:t>
      </w:r>
      <w:r>
        <w:t>un</w:t>
      </w:r>
      <w:r>
        <w:rPr>
          <w:spacing w:val="-11"/>
        </w:rPr>
        <w:t xml:space="preserve"> </w:t>
      </w:r>
      <w:r>
        <w:t>proceso,</w:t>
      </w:r>
      <w:r>
        <w:rPr>
          <w:spacing w:val="-11"/>
        </w:rPr>
        <w:t xml:space="preserve"> </w:t>
      </w:r>
      <w:r>
        <w:t>se</w:t>
      </w:r>
      <w:r>
        <w:rPr>
          <w:spacing w:val="-11"/>
        </w:rPr>
        <w:t xml:space="preserve"> </w:t>
      </w:r>
      <w:r>
        <w:t>sugieren</w:t>
      </w:r>
      <w:r>
        <w:rPr>
          <w:spacing w:val="-12"/>
        </w:rPr>
        <w:t xml:space="preserve"> </w:t>
      </w:r>
      <w:r>
        <w:t>ajustes inmediatos a la política actual, que, para la Comisión, son indispensables para adoptar una política</w:t>
      </w:r>
      <w:r>
        <w:rPr>
          <w:spacing w:val="-15"/>
        </w:rPr>
        <w:t xml:space="preserve"> </w:t>
      </w:r>
      <w:r>
        <w:t>de</w:t>
      </w:r>
      <w:r>
        <w:rPr>
          <w:spacing w:val="-15"/>
        </w:rPr>
        <w:t xml:space="preserve"> </w:t>
      </w:r>
      <w:r>
        <w:t>drogas</w:t>
      </w:r>
      <w:r>
        <w:rPr>
          <w:spacing w:val="-15"/>
        </w:rPr>
        <w:t xml:space="preserve"> </w:t>
      </w:r>
      <w:r>
        <w:t>que</w:t>
      </w:r>
      <w:r>
        <w:rPr>
          <w:spacing w:val="-15"/>
        </w:rPr>
        <w:t xml:space="preserve"> </w:t>
      </w:r>
      <w:r>
        <w:t>contribuya</w:t>
      </w:r>
      <w:r>
        <w:rPr>
          <w:spacing w:val="-15"/>
        </w:rPr>
        <w:t xml:space="preserve"> </w:t>
      </w:r>
      <w:r>
        <w:t>a</w:t>
      </w:r>
      <w:r>
        <w:rPr>
          <w:spacing w:val="-15"/>
        </w:rPr>
        <w:t xml:space="preserve"> </w:t>
      </w:r>
      <w:r>
        <w:t>la</w:t>
      </w:r>
      <w:r>
        <w:rPr>
          <w:spacing w:val="-15"/>
        </w:rPr>
        <w:t xml:space="preserve"> </w:t>
      </w:r>
      <w:r>
        <w:t>protección</w:t>
      </w:r>
      <w:r>
        <w:rPr>
          <w:spacing w:val="-15"/>
        </w:rPr>
        <w:t xml:space="preserve"> </w:t>
      </w:r>
      <w:r>
        <w:t>de</w:t>
      </w:r>
      <w:r>
        <w:rPr>
          <w:spacing w:val="-14"/>
        </w:rPr>
        <w:t xml:space="preserve"> </w:t>
      </w:r>
      <w:r>
        <w:t>los</w:t>
      </w:r>
      <w:r>
        <w:rPr>
          <w:spacing w:val="-15"/>
        </w:rPr>
        <w:t xml:space="preserve"> </w:t>
      </w:r>
      <w:r>
        <w:t>derechos</w:t>
      </w:r>
      <w:r>
        <w:rPr>
          <w:spacing w:val="-14"/>
        </w:rPr>
        <w:t xml:space="preserve"> </w:t>
      </w:r>
      <w:r>
        <w:t>humanos</w:t>
      </w:r>
      <w:r>
        <w:rPr>
          <w:spacing w:val="-15"/>
        </w:rPr>
        <w:t xml:space="preserve"> </w:t>
      </w:r>
      <w:r>
        <w:t>y</w:t>
      </w:r>
      <w:r>
        <w:rPr>
          <w:spacing w:val="-14"/>
        </w:rPr>
        <w:t xml:space="preserve"> </w:t>
      </w:r>
      <w:r>
        <w:t>a</w:t>
      </w:r>
      <w:r>
        <w:rPr>
          <w:spacing w:val="-14"/>
        </w:rPr>
        <w:t xml:space="preserve"> </w:t>
      </w:r>
      <w:r>
        <w:t>la</w:t>
      </w:r>
      <w:r>
        <w:rPr>
          <w:spacing w:val="-14"/>
        </w:rPr>
        <w:t xml:space="preserve"> </w:t>
      </w:r>
      <w:r>
        <w:t>no</w:t>
      </w:r>
      <w:r>
        <w:rPr>
          <w:spacing w:val="-15"/>
        </w:rPr>
        <w:t xml:space="preserve"> </w:t>
      </w:r>
      <w:r>
        <w:t xml:space="preserve">repetición que no es otra cosa que buscar una respuesta democrática al problema en el marco del </w:t>
      </w:r>
      <w:r>
        <w:rPr>
          <w:spacing w:val="-2"/>
        </w:rPr>
        <w:t>prohibicionismo.</w:t>
      </w:r>
    </w:p>
    <w:p w:rsidR="003804AC" w:rsidRDefault="00AF18A5" w:rsidP="00AE7681">
      <w:r>
        <w:t>La base para desarrollar estos dos niveles de acción es el reconocimiento y un consenso que ha de ser común al Estado y a la sociedad colombiana: la política actual de drogas es ineficaz para prevenir el consumo, es un factor de persistencia del conflicto armado y ha generado profundos daños a los derechos humanos, la seguridad y el desarrollo.</w:t>
      </w:r>
    </w:p>
    <w:p w:rsidR="003804AC" w:rsidRDefault="00AF18A5" w:rsidP="00AE7681">
      <w:r>
        <w:t xml:space="preserve">Se propone, entonces, enfrentar el tema de los cultivos desde un enfoque de desarrollo sostenible que deje atrás la visión del problema como un asunto de seguridad nacional, renunciando definitivamente a la aspersión sobre la base de la evidencia. Esto se complementa con </w:t>
      </w:r>
      <w:r>
        <w:lastRenderedPageBreak/>
        <w:t>recomendaciones para fortalecer la investigación de usos alternativos de la hoja de coca y la marihuana, así como el respeto y reconocimiento de sus usos por parte de pueblos étnicos y comunidades campesinas y la participación de estas en los beneficios derivados</w:t>
      </w:r>
      <w:r>
        <w:rPr>
          <w:spacing w:val="-5"/>
        </w:rPr>
        <w:t xml:space="preserve"> </w:t>
      </w:r>
      <w:r>
        <w:t>del</w:t>
      </w:r>
      <w:r>
        <w:rPr>
          <w:spacing w:val="-4"/>
        </w:rPr>
        <w:t xml:space="preserve"> </w:t>
      </w:r>
      <w:r>
        <w:t>acceso</w:t>
      </w:r>
      <w:r>
        <w:rPr>
          <w:spacing w:val="-5"/>
        </w:rPr>
        <w:t xml:space="preserve"> </w:t>
      </w:r>
      <w:r>
        <w:t>a</w:t>
      </w:r>
      <w:r>
        <w:rPr>
          <w:spacing w:val="-4"/>
        </w:rPr>
        <w:t xml:space="preserve"> </w:t>
      </w:r>
      <w:r>
        <w:t>estas</w:t>
      </w:r>
      <w:r>
        <w:rPr>
          <w:spacing w:val="-4"/>
        </w:rPr>
        <w:t xml:space="preserve"> </w:t>
      </w:r>
      <w:r>
        <w:t>plantas.</w:t>
      </w:r>
      <w:r>
        <w:rPr>
          <w:spacing w:val="-6"/>
        </w:rPr>
        <w:t xml:space="preserve"> </w:t>
      </w:r>
      <w:r>
        <w:t>Adicionalmente,</w:t>
      </w:r>
      <w:r>
        <w:rPr>
          <w:spacing w:val="-5"/>
        </w:rPr>
        <w:t xml:space="preserve"> </w:t>
      </w:r>
      <w:r>
        <w:t>se</w:t>
      </w:r>
      <w:r>
        <w:rPr>
          <w:spacing w:val="-5"/>
        </w:rPr>
        <w:t xml:space="preserve"> </w:t>
      </w:r>
      <w:r>
        <w:t>propone</w:t>
      </w:r>
      <w:r>
        <w:rPr>
          <w:spacing w:val="-4"/>
        </w:rPr>
        <w:t xml:space="preserve"> </w:t>
      </w:r>
      <w:r>
        <w:t>fortalecer</w:t>
      </w:r>
      <w:r>
        <w:rPr>
          <w:spacing w:val="-4"/>
        </w:rPr>
        <w:t xml:space="preserve"> </w:t>
      </w:r>
      <w:r>
        <w:t>la</w:t>
      </w:r>
      <w:r>
        <w:rPr>
          <w:spacing w:val="-4"/>
        </w:rPr>
        <w:t xml:space="preserve"> </w:t>
      </w:r>
      <w:r>
        <w:t>política</w:t>
      </w:r>
      <w:r>
        <w:rPr>
          <w:spacing w:val="-6"/>
        </w:rPr>
        <w:t xml:space="preserve"> </w:t>
      </w:r>
      <w:r>
        <w:t>frente al</w:t>
      </w:r>
      <w:r>
        <w:rPr>
          <w:spacing w:val="-2"/>
        </w:rPr>
        <w:t xml:space="preserve"> </w:t>
      </w:r>
      <w:r>
        <w:t>consumo</w:t>
      </w:r>
      <w:r>
        <w:rPr>
          <w:spacing w:val="-3"/>
        </w:rPr>
        <w:t xml:space="preserve"> </w:t>
      </w:r>
      <w:r>
        <w:t>bajo</w:t>
      </w:r>
      <w:r>
        <w:rPr>
          <w:spacing w:val="-2"/>
        </w:rPr>
        <w:t xml:space="preserve"> </w:t>
      </w:r>
      <w:r>
        <w:t>un</w:t>
      </w:r>
      <w:r>
        <w:rPr>
          <w:spacing w:val="-2"/>
        </w:rPr>
        <w:t xml:space="preserve"> </w:t>
      </w:r>
      <w:r>
        <w:t>enfoque</w:t>
      </w:r>
      <w:r>
        <w:rPr>
          <w:spacing w:val="-2"/>
        </w:rPr>
        <w:t xml:space="preserve"> </w:t>
      </w:r>
      <w:r>
        <w:t>de</w:t>
      </w:r>
      <w:r>
        <w:rPr>
          <w:spacing w:val="-2"/>
        </w:rPr>
        <w:t xml:space="preserve"> </w:t>
      </w:r>
      <w:r>
        <w:t>derechos</w:t>
      </w:r>
      <w:r>
        <w:rPr>
          <w:spacing w:val="-2"/>
        </w:rPr>
        <w:t xml:space="preserve"> </w:t>
      </w:r>
      <w:r>
        <w:t>humanos,</w:t>
      </w:r>
      <w:r>
        <w:rPr>
          <w:spacing w:val="-2"/>
        </w:rPr>
        <w:t xml:space="preserve"> </w:t>
      </w:r>
      <w:r>
        <w:t>salud</w:t>
      </w:r>
      <w:r>
        <w:rPr>
          <w:spacing w:val="-2"/>
        </w:rPr>
        <w:t xml:space="preserve"> </w:t>
      </w:r>
      <w:r>
        <w:t>pública</w:t>
      </w:r>
      <w:r>
        <w:rPr>
          <w:spacing w:val="-2"/>
        </w:rPr>
        <w:t xml:space="preserve"> </w:t>
      </w:r>
      <w:r>
        <w:t>y</w:t>
      </w:r>
      <w:r>
        <w:rPr>
          <w:spacing w:val="-3"/>
        </w:rPr>
        <w:t xml:space="preserve"> </w:t>
      </w:r>
      <w:r>
        <w:t>reducción</w:t>
      </w:r>
      <w:r>
        <w:rPr>
          <w:spacing w:val="-2"/>
        </w:rPr>
        <w:t xml:space="preserve"> </w:t>
      </w:r>
      <w:r>
        <w:t>del</w:t>
      </w:r>
      <w:r>
        <w:rPr>
          <w:spacing w:val="-2"/>
        </w:rPr>
        <w:t xml:space="preserve"> </w:t>
      </w:r>
      <w:r>
        <w:t>daño.</w:t>
      </w:r>
      <w:r>
        <w:rPr>
          <w:spacing w:val="-3"/>
        </w:rPr>
        <w:t xml:space="preserve"> </w:t>
      </w:r>
      <w:r>
        <w:t>Esta debe</w:t>
      </w:r>
      <w:r>
        <w:rPr>
          <w:spacing w:val="-4"/>
        </w:rPr>
        <w:t xml:space="preserve"> </w:t>
      </w:r>
      <w:r>
        <w:t>contribuir</w:t>
      </w:r>
      <w:r>
        <w:rPr>
          <w:spacing w:val="-5"/>
        </w:rPr>
        <w:t xml:space="preserve"> </w:t>
      </w:r>
      <w:r>
        <w:t>a</w:t>
      </w:r>
      <w:r>
        <w:rPr>
          <w:spacing w:val="-4"/>
        </w:rPr>
        <w:t xml:space="preserve"> </w:t>
      </w:r>
      <w:r>
        <w:t>superar</w:t>
      </w:r>
      <w:r>
        <w:rPr>
          <w:spacing w:val="-5"/>
        </w:rPr>
        <w:t xml:space="preserve"> </w:t>
      </w:r>
      <w:r>
        <w:t>definitivamente</w:t>
      </w:r>
      <w:r>
        <w:rPr>
          <w:spacing w:val="-5"/>
        </w:rPr>
        <w:t xml:space="preserve"> </w:t>
      </w:r>
      <w:r>
        <w:t>su</w:t>
      </w:r>
      <w:r>
        <w:rPr>
          <w:spacing w:val="-4"/>
        </w:rPr>
        <w:t xml:space="preserve"> </w:t>
      </w:r>
      <w:r>
        <w:t>criminalización</w:t>
      </w:r>
      <w:r>
        <w:rPr>
          <w:spacing w:val="-6"/>
        </w:rPr>
        <w:t xml:space="preserve"> </w:t>
      </w:r>
      <w:r>
        <w:t>y</w:t>
      </w:r>
      <w:r>
        <w:rPr>
          <w:spacing w:val="-4"/>
        </w:rPr>
        <w:t xml:space="preserve"> </w:t>
      </w:r>
      <w:r>
        <w:t>persecución</w:t>
      </w:r>
      <w:r>
        <w:rPr>
          <w:spacing w:val="-4"/>
        </w:rPr>
        <w:t xml:space="preserve"> </w:t>
      </w:r>
      <w:r>
        <w:t>administrativa,</w:t>
      </w:r>
      <w:r>
        <w:rPr>
          <w:spacing w:val="-6"/>
        </w:rPr>
        <w:t xml:space="preserve"> </w:t>
      </w:r>
      <w:r>
        <w:t>y a racionalizar el uso de la acción penal para concentrar la investigación y judicialización en los</w:t>
      </w:r>
      <w:r>
        <w:rPr>
          <w:spacing w:val="-15"/>
        </w:rPr>
        <w:t xml:space="preserve"> </w:t>
      </w:r>
      <w:r>
        <w:t>eslabones</w:t>
      </w:r>
      <w:r>
        <w:rPr>
          <w:spacing w:val="-15"/>
        </w:rPr>
        <w:t xml:space="preserve"> </w:t>
      </w:r>
      <w:r>
        <w:t>más</w:t>
      </w:r>
      <w:r>
        <w:rPr>
          <w:spacing w:val="-15"/>
        </w:rPr>
        <w:t xml:space="preserve"> </w:t>
      </w:r>
      <w:r>
        <w:t>grandes</w:t>
      </w:r>
      <w:r>
        <w:rPr>
          <w:spacing w:val="-15"/>
        </w:rPr>
        <w:t xml:space="preserve"> </w:t>
      </w:r>
      <w:r>
        <w:t>de</w:t>
      </w:r>
      <w:r>
        <w:rPr>
          <w:spacing w:val="-15"/>
        </w:rPr>
        <w:t xml:space="preserve"> </w:t>
      </w:r>
      <w:r>
        <w:t>la</w:t>
      </w:r>
      <w:r>
        <w:rPr>
          <w:spacing w:val="-15"/>
        </w:rPr>
        <w:t xml:space="preserve"> </w:t>
      </w:r>
      <w:r>
        <w:t>cadena</w:t>
      </w:r>
      <w:r>
        <w:rPr>
          <w:spacing w:val="-15"/>
        </w:rPr>
        <w:t xml:space="preserve"> </w:t>
      </w:r>
      <w:r>
        <w:t>del</w:t>
      </w:r>
      <w:r>
        <w:rPr>
          <w:spacing w:val="-15"/>
        </w:rPr>
        <w:t xml:space="preserve"> </w:t>
      </w:r>
      <w:r>
        <w:t>narcotráfico.</w:t>
      </w:r>
      <w:r>
        <w:rPr>
          <w:spacing w:val="-15"/>
        </w:rPr>
        <w:t xml:space="preserve"> </w:t>
      </w:r>
      <w:r>
        <w:t>Frente</w:t>
      </w:r>
      <w:r>
        <w:rPr>
          <w:spacing w:val="-15"/>
        </w:rPr>
        <w:t xml:space="preserve"> </w:t>
      </w:r>
      <w:r>
        <w:t>al</w:t>
      </w:r>
      <w:r>
        <w:rPr>
          <w:spacing w:val="-15"/>
        </w:rPr>
        <w:t xml:space="preserve"> </w:t>
      </w:r>
      <w:r>
        <w:t>narcotráfico</w:t>
      </w:r>
      <w:r>
        <w:rPr>
          <w:spacing w:val="-15"/>
        </w:rPr>
        <w:t xml:space="preserve"> </w:t>
      </w:r>
      <w:r>
        <w:t>y</w:t>
      </w:r>
      <w:r>
        <w:rPr>
          <w:spacing w:val="-15"/>
        </w:rPr>
        <w:t xml:space="preserve"> </w:t>
      </w:r>
      <w:r>
        <w:t>el</w:t>
      </w:r>
      <w:r>
        <w:rPr>
          <w:spacing w:val="-15"/>
        </w:rPr>
        <w:t xml:space="preserve"> </w:t>
      </w:r>
      <w:r>
        <w:t>entramado de actores que se benefician de él, en el punto de impunidad se propone una estrategia de judicialización que se complementa con la recomendación sobre sometimiento a la justicia incluida en el punto de construcción de paz como proyecto nacional.</w:t>
      </w:r>
    </w:p>
    <w:p w:rsidR="003804AC" w:rsidRDefault="00AF18A5" w:rsidP="00AE7681">
      <w:r>
        <w:t>Sin</w:t>
      </w:r>
      <w:r>
        <w:rPr>
          <w:spacing w:val="-7"/>
        </w:rPr>
        <w:t xml:space="preserve"> </w:t>
      </w:r>
      <w:r>
        <w:t>duda,</w:t>
      </w:r>
      <w:r>
        <w:rPr>
          <w:spacing w:val="-7"/>
        </w:rPr>
        <w:t xml:space="preserve"> </w:t>
      </w:r>
      <w:r>
        <w:t>hacer</w:t>
      </w:r>
      <w:r>
        <w:rPr>
          <w:spacing w:val="-7"/>
        </w:rPr>
        <w:t xml:space="preserve"> </w:t>
      </w:r>
      <w:r>
        <w:t>frente</w:t>
      </w:r>
      <w:r>
        <w:rPr>
          <w:spacing w:val="-8"/>
        </w:rPr>
        <w:t xml:space="preserve"> </w:t>
      </w:r>
      <w:r>
        <w:t>a</w:t>
      </w:r>
      <w:r>
        <w:rPr>
          <w:spacing w:val="-7"/>
        </w:rPr>
        <w:t xml:space="preserve"> </w:t>
      </w:r>
      <w:r>
        <w:t>los</w:t>
      </w:r>
      <w:r>
        <w:rPr>
          <w:spacing w:val="-7"/>
        </w:rPr>
        <w:t xml:space="preserve"> </w:t>
      </w:r>
      <w:r>
        <w:t>problemas</w:t>
      </w:r>
      <w:r>
        <w:rPr>
          <w:spacing w:val="-7"/>
        </w:rPr>
        <w:t xml:space="preserve"> </w:t>
      </w:r>
      <w:r>
        <w:t>que</w:t>
      </w:r>
      <w:r>
        <w:rPr>
          <w:spacing w:val="-7"/>
        </w:rPr>
        <w:t xml:space="preserve"> </w:t>
      </w:r>
      <w:r>
        <w:t>han</w:t>
      </w:r>
      <w:r>
        <w:rPr>
          <w:spacing w:val="-7"/>
        </w:rPr>
        <w:t xml:space="preserve"> </w:t>
      </w:r>
      <w:r>
        <w:t>permitido</w:t>
      </w:r>
      <w:r>
        <w:rPr>
          <w:spacing w:val="-7"/>
        </w:rPr>
        <w:t xml:space="preserve"> </w:t>
      </w:r>
      <w:r>
        <w:t>el</w:t>
      </w:r>
      <w:r>
        <w:rPr>
          <w:spacing w:val="-7"/>
        </w:rPr>
        <w:t xml:space="preserve"> </w:t>
      </w:r>
      <w:r>
        <w:t>estado</w:t>
      </w:r>
      <w:r>
        <w:rPr>
          <w:spacing w:val="-7"/>
        </w:rPr>
        <w:t xml:space="preserve"> </w:t>
      </w:r>
      <w:r>
        <w:t>actual</w:t>
      </w:r>
      <w:r>
        <w:rPr>
          <w:spacing w:val="-7"/>
        </w:rPr>
        <w:t xml:space="preserve"> </w:t>
      </w:r>
      <w:r>
        <w:t>del</w:t>
      </w:r>
      <w:r>
        <w:rPr>
          <w:spacing w:val="-7"/>
        </w:rPr>
        <w:t xml:space="preserve"> </w:t>
      </w:r>
      <w:r>
        <w:t>problema</w:t>
      </w:r>
      <w:r>
        <w:rPr>
          <w:spacing w:val="-8"/>
        </w:rPr>
        <w:t xml:space="preserve"> </w:t>
      </w:r>
      <w:r>
        <w:t>de las</w:t>
      </w:r>
      <w:r>
        <w:rPr>
          <w:spacing w:val="23"/>
        </w:rPr>
        <w:t xml:space="preserve"> </w:t>
      </w:r>
      <w:r>
        <w:t>drogas</w:t>
      </w:r>
      <w:r>
        <w:rPr>
          <w:spacing w:val="24"/>
        </w:rPr>
        <w:t xml:space="preserve"> </w:t>
      </w:r>
      <w:r>
        <w:t>en</w:t>
      </w:r>
      <w:r>
        <w:rPr>
          <w:spacing w:val="24"/>
        </w:rPr>
        <w:t xml:space="preserve"> </w:t>
      </w:r>
      <w:r>
        <w:t>Colombia</w:t>
      </w:r>
      <w:r>
        <w:rPr>
          <w:spacing w:val="23"/>
        </w:rPr>
        <w:t xml:space="preserve"> </w:t>
      </w:r>
      <w:r>
        <w:t>implica,</w:t>
      </w:r>
      <w:r>
        <w:rPr>
          <w:spacing w:val="24"/>
        </w:rPr>
        <w:t xml:space="preserve"> </w:t>
      </w:r>
      <w:r>
        <w:t>además,</w:t>
      </w:r>
      <w:r>
        <w:rPr>
          <w:spacing w:val="24"/>
        </w:rPr>
        <w:t xml:space="preserve"> </w:t>
      </w:r>
      <w:r>
        <w:t>una</w:t>
      </w:r>
      <w:r>
        <w:rPr>
          <w:spacing w:val="22"/>
        </w:rPr>
        <w:t xml:space="preserve"> </w:t>
      </w:r>
      <w:r>
        <w:t>reforma</w:t>
      </w:r>
      <w:r>
        <w:rPr>
          <w:spacing w:val="24"/>
        </w:rPr>
        <w:t xml:space="preserve"> </w:t>
      </w:r>
      <w:r>
        <w:t>al</w:t>
      </w:r>
      <w:r>
        <w:rPr>
          <w:spacing w:val="23"/>
        </w:rPr>
        <w:t xml:space="preserve"> </w:t>
      </w:r>
      <w:r>
        <w:t>régimen</w:t>
      </w:r>
      <w:r>
        <w:rPr>
          <w:spacing w:val="24"/>
        </w:rPr>
        <w:t xml:space="preserve"> </w:t>
      </w:r>
      <w:r>
        <w:t>político</w:t>
      </w:r>
      <w:r>
        <w:rPr>
          <w:spacing w:val="24"/>
        </w:rPr>
        <w:t xml:space="preserve"> </w:t>
      </w:r>
      <w:r>
        <w:t>y</w:t>
      </w:r>
      <w:r>
        <w:rPr>
          <w:spacing w:val="24"/>
        </w:rPr>
        <w:t xml:space="preserve"> </w:t>
      </w:r>
      <w:r>
        <w:t>electoral</w:t>
      </w:r>
      <w:r>
        <w:rPr>
          <w:spacing w:val="24"/>
        </w:rPr>
        <w:t xml:space="preserve"> </w:t>
      </w:r>
      <w:r>
        <w:rPr>
          <w:spacing w:val="-5"/>
        </w:rPr>
        <w:t>con</w:t>
      </w:r>
      <w:r w:rsidR="00AE7681">
        <w:t xml:space="preserve"> </w:t>
      </w:r>
      <w:r>
        <w:t>sanciones para quienes estén vinculados al crimen organizado. Se requiere transparencia en la financiación y una estrategia de transformación territorial que garantice la inclusión productiva</w:t>
      </w:r>
      <w:r>
        <w:rPr>
          <w:spacing w:val="-12"/>
        </w:rPr>
        <w:t xml:space="preserve"> </w:t>
      </w:r>
      <w:r>
        <w:t>de</w:t>
      </w:r>
      <w:r>
        <w:rPr>
          <w:spacing w:val="-12"/>
        </w:rPr>
        <w:t xml:space="preserve"> </w:t>
      </w:r>
      <w:r>
        <w:t>territorios</w:t>
      </w:r>
      <w:r>
        <w:rPr>
          <w:spacing w:val="-13"/>
        </w:rPr>
        <w:t xml:space="preserve"> </w:t>
      </w:r>
      <w:r>
        <w:t>y</w:t>
      </w:r>
      <w:r>
        <w:rPr>
          <w:spacing w:val="-12"/>
        </w:rPr>
        <w:t xml:space="preserve"> </w:t>
      </w:r>
      <w:r>
        <w:t>comunidades,</w:t>
      </w:r>
      <w:r>
        <w:rPr>
          <w:spacing w:val="-12"/>
        </w:rPr>
        <w:t xml:space="preserve"> </w:t>
      </w:r>
      <w:r>
        <w:t>incluyendo</w:t>
      </w:r>
      <w:r>
        <w:rPr>
          <w:spacing w:val="-12"/>
        </w:rPr>
        <w:t xml:space="preserve"> </w:t>
      </w:r>
      <w:r>
        <w:t>las</w:t>
      </w:r>
      <w:r>
        <w:rPr>
          <w:spacing w:val="-13"/>
        </w:rPr>
        <w:t xml:space="preserve"> </w:t>
      </w:r>
      <w:r>
        <w:t>comunidades</w:t>
      </w:r>
      <w:r>
        <w:rPr>
          <w:spacing w:val="-13"/>
        </w:rPr>
        <w:t xml:space="preserve"> </w:t>
      </w:r>
      <w:r>
        <w:t>étnicas,</w:t>
      </w:r>
      <w:r>
        <w:rPr>
          <w:spacing w:val="-12"/>
        </w:rPr>
        <w:t xml:space="preserve"> </w:t>
      </w:r>
      <w:r>
        <w:t>y</w:t>
      </w:r>
      <w:r>
        <w:rPr>
          <w:spacing w:val="-13"/>
        </w:rPr>
        <w:t xml:space="preserve"> </w:t>
      </w:r>
      <w:r>
        <w:t>que,</w:t>
      </w:r>
      <w:r>
        <w:rPr>
          <w:spacing w:val="-12"/>
        </w:rPr>
        <w:t xml:space="preserve"> </w:t>
      </w:r>
      <w:r>
        <w:t>a</w:t>
      </w:r>
      <w:r>
        <w:rPr>
          <w:spacing w:val="-13"/>
        </w:rPr>
        <w:t xml:space="preserve"> </w:t>
      </w:r>
      <w:r>
        <w:t>la</w:t>
      </w:r>
      <w:r>
        <w:rPr>
          <w:spacing w:val="-12"/>
        </w:rPr>
        <w:t xml:space="preserve"> </w:t>
      </w:r>
      <w:r>
        <w:t>vez, contribuya al cierre definitivo de la frontera agrícola y ofrezca reconocimiento y garantías para el campesinado como sujeto de derechos de especial protección constitucional.</w:t>
      </w:r>
    </w:p>
    <w:p w:rsidR="0011361F" w:rsidRDefault="00AF18A5" w:rsidP="00AE7681">
      <w:r>
        <w:rPr>
          <w:w w:val="95"/>
        </w:rPr>
        <w:t>RECONOCIMIENTO</w:t>
      </w:r>
      <w:r>
        <w:rPr>
          <w:spacing w:val="34"/>
        </w:rPr>
        <w:t xml:space="preserve"> </w:t>
      </w:r>
      <w:r>
        <w:rPr>
          <w:w w:val="95"/>
        </w:rPr>
        <w:t>-</w:t>
      </w:r>
      <w:r>
        <w:rPr>
          <w:spacing w:val="23"/>
        </w:rPr>
        <w:t xml:space="preserve"> </w:t>
      </w:r>
      <w:r>
        <w:rPr>
          <w:spacing w:val="-2"/>
          <w:w w:val="95"/>
        </w:rPr>
        <w:t>LLAMADO</w:t>
      </w:r>
    </w:p>
    <w:p w:rsidR="003804AC" w:rsidRDefault="00AF18A5" w:rsidP="00AE7681">
      <w:r>
        <w:t xml:space="preserve">Emplazamos al Estado colombiano y a la sociedad en su conjunto, a reconocer que el narcotráfico es un actor que no solo ha sido parte del </w:t>
      </w:r>
      <w:r>
        <w:lastRenderedPageBreak/>
        <w:t>conflicto armado y ha facilitado su persistencia causando profundos daños en territorios y comunidades, sino que también ha estado y está imbricado en los grupos armados ilegales, las instituciones, la sociedad, la política, la economía y la cultura. También llamamos a reconocer que el enfoque prohibicionista</w:t>
      </w:r>
      <w:r>
        <w:rPr>
          <w:spacing w:val="-1"/>
        </w:rPr>
        <w:t xml:space="preserve"> </w:t>
      </w:r>
      <w:r>
        <w:t>de</w:t>
      </w:r>
      <w:r>
        <w:rPr>
          <w:spacing w:val="-1"/>
        </w:rPr>
        <w:t xml:space="preserve"> </w:t>
      </w:r>
      <w:r>
        <w:t>la</w:t>
      </w:r>
      <w:r>
        <w:rPr>
          <w:spacing w:val="-1"/>
        </w:rPr>
        <w:t xml:space="preserve"> </w:t>
      </w:r>
      <w:r>
        <w:t>política</w:t>
      </w:r>
      <w:r>
        <w:rPr>
          <w:spacing w:val="-1"/>
        </w:rPr>
        <w:t xml:space="preserve"> </w:t>
      </w:r>
      <w:r>
        <w:t>de</w:t>
      </w:r>
      <w:r>
        <w:rPr>
          <w:spacing w:val="-1"/>
        </w:rPr>
        <w:t xml:space="preserve"> </w:t>
      </w:r>
      <w:r>
        <w:t>lucha</w:t>
      </w:r>
      <w:r>
        <w:rPr>
          <w:spacing w:val="-1"/>
        </w:rPr>
        <w:t xml:space="preserve"> </w:t>
      </w:r>
      <w:r>
        <w:t>contra</w:t>
      </w:r>
      <w:r>
        <w:rPr>
          <w:spacing w:val="-1"/>
        </w:rPr>
        <w:t xml:space="preserve"> </w:t>
      </w:r>
      <w:r>
        <w:t>las</w:t>
      </w:r>
      <w:r>
        <w:rPr>
          <w:spacing w:val="-1"/>
        </w:rPr>
        <w:t xml:space="preserve"> </w:t>
      </w:r>
      <w:r>
        <w:t>drogas</w:t>
      </w:r>
      <w:r>
        <w:rPr>
          <w:spacing w:val="-1"/>
        </w:rPr>
        <w:t xml:space="preserve"> </w:t>
      </w:r>
      <w:r>
        <w:t>a</w:t>
      </w:r>
      <w:r>
        <w:rPr>
          <w:spacing w:val="-1"/>
        </w:rPr>
        <w:t xml:space="preserve"> </w:t>
      </w:r>
      <w:r>
        <w:t>nivel</w:t>
      </w:r>
      <w:r>
        <w:rPr>
          <w:spacing w:val="-1"/>
        </w:rPr>
        <w:t xml:space="preserve"> </w:t>
      </w:r>
      <w:r>
        <w:t>mundial,</w:t>
      </w:r>
      <w:r>
        <w:rPr>
          <w:spacing w:val="-1"/>
        </w:rPr>
        <w:t xml:space="preserve"> </w:t>
      </w:r>
      <w:r>
        <w:t>y</w:t>
      </w:r>
      <w:r>
        <w:rPr>
          <w:spacing w:val="-1"/>
        </w:rPr>
        <w:t xml:space="preserve"> </w:t>
      </w:r>
      <w:r>
        <w:t>en</w:t>
      </w:r>
      <w:r>
        <w:rPr>
          <w:spacing w:val="-1"/>
        </w:rPr>
        <w:t xml:space="preserve"> </w:t>
      </w:r>
      <w:r>
        <w:t>particular</w:t>
      </w:r>
      <w:r>
        <w:rPr>
          <w:spacing w:val="-1"/>
        </w:rPr>
        <w:t xml:space="preserve"> </w:t>
      </w:r>
      <w:r>
        <w:t>en Colombia, se ha convertido en uno de los principales factores de persistencia del conflicto, ha fortalecido las organizaciones criminales, ha provocado el incremento de los niveles de violencia</w:t>
      </w:r>
      <w:r w:rsidR="00AE7681">
        <w:rPr>
          <w:rStyle w:val="Refdenotaalpie"/>
        </w:rPr>
        <w:footnoteReference w:id="1237"/>
      </w:r>
      <w:r>
        <w:t>, ha promovido incentivos perversos enfocados en indicadores (hectáreas erradicadas, capturas) que no miden el bienestar socioeconómico de las personas y ha generado impactos políticos, económicos, sociales, ambientales y en los derechos de personas</w:t>
      </w:r>
      <w:r>
        <w:rPr>
          <w:spacing w:val="-6"/>
        </w:rPr>
        <w:t xml:space="preserve"> </w:t>
      </w:r>
      <w:r>
        <w:t>–incluidos</w:t>
      </w:r>
      <w:r>
        <w:rPr>
          <w:spacing w:val="-7"/>
        </w:rPr>
        <w:t xml:space="preserve"> </w:t>
      </w:r>
      <w:r>
        <w:t>los</w:t>
      </w:r>
      <w:r>
        <w:rPr>
          <w:spacing w:val="-8"/>
        </w:rPr>
        <w:t xml:space="preserve"> </w:t>
      </w:r>
      <w:r>
        <w:t>eslabones</w:t>
      </w:r>
      <w:r>
        <w:rPr>
          <w:spacing w:val="-7"/>
        </w:rPr>
        <w:t xml:space="preserve"> </w:t>
      </w:r>
      <w:r>
        <w:t>más</w:t>
      </w:r>
      <w:r>
        <w:rPr>
          <w:spacing w:val="-6"/>
        </w:rPr>
        <w:t xml:space="preserve"> </w:t>
      </w:r>
      <w:r>
        <w:t>débiles</w:t>
      </w:r>
      <w:r>
        <w:rPr>
          <w:spacing w:val="-6"/>
        </w:rPr>
        <w:t xml:space="preserve"> </w:t>
      </w:r>
      <w:r>
        <w:t>de</w:t>
      </w:r>
      <w:r>
        <w:rPr>
          <w:spacing w:val="-6"/>
        </w:rPr>
        <w:t xml:space="preserve"> </w:t>
      </w:r>
      <w:r>
        <w:t>la</w:t>
      </w:r>
      <w:r>
        <w:rPr>
          <w:spacing w:val="-7"/>
        </w:rPr>
        <w:t xml:space="preserve"> </w:t>
      </w:r>
      <w:r>
        <w:t>cadena–,</w:t>
      </w:r>
      <w:r>
        <w:rPr>
          <w:spacing w:val="-6"/>
        </w:rPr>
        <w:t xml:space="preserve"> </w:t>
      </w:r>
      <w:r>
        <w:t>comunidades</w:t>
      </w:r>
      <w:r>
        <w:rPr>
          <w:spacing w:val="-6"/>
        </w:rPr>
        <w:t xml:space="preserve"> </w:t>
      </w:r>
      <w:r>
        <w:t>y</w:t>
      </w:r>
      <w:r>
        <w:rPr>
          <w:spacing w:val="-7"/>
        </w:rPr>
        <w:t xml:space="preserve"> </w:t>
      </w:r>
      <w:r>
        <w:t>territorios</w:t>
      </w:r>
      <w:r>
        <w:rPr>
          <w:spacing w:val="-6"/>
        </w:rPr>
        <w:t xml:space="preserve"> </w:t>
      </w:r>
      <w:r>
        <w:t>que es prioritario atender.</w:t>
      </w:r>
    </w:p>
    <w:p w:rsidR="0011361F" w:rsidRDefault="00AF18A5" w:rsidP="00AE7681">
      <w:pPr>
        <w:rPr>
          <w:b/>
        </w:rPr>
      </w:pPr>
      <w:r>
        <w:t>Por</w:t>
      </w:r>
      <w:r>
        <w:rPr>
          <w:spacing w:val="-1"/>
        </w:rPr>
        <w:t xml:space="preserve"> </w:t>
      </w:r>
      <w:r>
        <w:t>lo</w:t>
      </w:r>
      <w:r>
        <w:rPr>
          <w:spacing w:val="-1"/>
        </w:rPr>
        <w:t xml:space="preserve"> </w:t>
      </w:r>
      <w:r>
        <w:t>anterior</w:t>
      </w:r>
      <w:r>
        <w:rPr>
          <w:spacing w:val="-1"/>
        </w:rPr>
        <w:t xml:space="preserve"> </w:t>
      </w:r>
      <w:r>
        <w:rPr>
          <w:b/>
          <w:spacing w:val="-2"/>
        </w:rPr>
        <w:t>RECOMENDAMOS:</w:t>
      </w:r>
    </w:p>
    <w:p w:rsidR="0011361F" w:rsidRDefault="00AF18A5" w:rsidP="004A6EF4">
      <w:pPr>
        <w:pStyle w:val="Ttulo3"/>
        <w:numPr>
          <w:ilvl w:val="1"/>
          <w:numId w:val="28"/>
        </w:numPr>
      </w:pPr>
      <w:bookmarkStart w:id="1596" w:name="4.1._Transitar_hacia_la_regulación_legal"/>
      <w:bookmarkStart w:id="1597" w:name="_Toc112399700"/>
      <w:bookmarkEnd w:id="1596"/>
      <w:r w:rsidRPr="00AE7681">
        <w:t>Transitar</w:t>
      </w:r>
      <w:r>
        <w:rPr>
          <w:spacing w:val="-2"/>
        </w:rPr>
        <w:t xml:space="preserve"> </w:t>
      </w:r>
      <w:r>
        <w:t>hacia</w:t>
      </w:r>
      <w:r>
        <w:rPr>
          <w:spacing w:val="-1"/>
        </w:rPr>
        <w:t xml:space="preserve"> </w:t>
      </w:r>
      <w:r>
        <w:t>la</w:t>
      </w:r>
      <w:r>
        <w:rPr>
          <w:spacing w:val="-4"/>
        </w:rPr>
        <w:t xml:space="preserve"> </w:t>
      </w:r>
      <w:r>
        <w:t>regulación</w:t>
      </w:r>
      <w:r>
        <w:rPr>
          <w:spacing w:val="-3"/>
        </w:rPr>
        <w:t xml:space="preserve"> </w:t>
      </w:r>
      <w:r>
        <w:t>legal</w:t>
      </w:r>
      <w:r>
        <w:rPr>
          <w:spacing w:val="-1"/>
        </w:rPr>
        <w:t xml:space="preserve"> </w:t>
      </w:r>
      <w:r>
        <w:rPr>
          <w:spacing w:val="-2"/>
        </w:rPr>
        <w:t>estricta</w:t>
      </w:r>
      <w:bookmarkEnd w:id="1597"/>
    </w:p>
    <w:p w:rsidR="0011361F" w:rsidRDefault="00AF18A5" w:rsidP="00AE7681">
      <w:r>
        <w:t>Corto</w:t>
      </w:r>
      <w:r>
        <w:rPr>
          <w:spacing w:val="-1"/>
        </w:rPr>
        <w:t xml:space="preserve"> </w:t>
      </w:r>
      <w:r>
        <w:rPr>
          <w:spacing w:val="-2"/>
        </w:rPr>
        <w:t>plazo</w:t>
      </w:r>
    </w:p>
    <w:p w:rsidR="00AE7681" w:rsidRDefault="00AF18A5" w:rsidP="004A6EF4">
      <w:pPr>
        <w:pStyle w:val="Prrafodelista"/>
        <w:numPr>
          <w:ilvl w:val="0"/>
          <w:numId w:val="31"/>
        </w:numPr>
      </w:pPr>
      <w:r>
        <w:t>Al Estado colombiano, a través del Gobierno Nacional y el Congreso de la República, a la Fiscalía General de la Nación y a la Rama Judicial, incluyendo al Consejo Superior de la Judicatura,</w:t>
      </w:r>
      <w:r w:rsidRPr="00AE7681">
        <w:rPr>
          <w:spacing w:val="-6"/>
        </w:rPr>
        <w:t xml:space="preserve"> </w:t>
      </w:r>
      <w:r>
        <w:t>implementar</w:t>
      </w:r>
      <w:r w:rsidRPr="00AE7681">
        <w:rPr>
          <w:spacing w:val="-2"/>
        </w:rPr>
        <w:t xml:space="preserve"> </w:t>
      </w:r>
      <w:r>
        <w:t>un</w:t>
      </w:r>
      <w:r w:rsidRPr="00AE7681">
        <w:rPr>
          <w:spacing w:val="-1"/>
        </w:rPr>
        <w:t xml:space="preserve"> </w:t>
      </w:r>
      <w:r w:rsidRPr="00AE7681">
        <w:rPr>
          <w:b/>
        </w:rPr>
        <w:t>cambio</w:t>
      </w:r>
      <w:r w:rsidRPr="00AE7681">
        <w:rPr>
          <w:b/>
          <w:spacing w:val="-1"/>
        </w:rPr>
        <w:t xml:space="preserve"> </w:t>
      </w:r>
      <w:r w:rsidRPr="00AE7681">
        <w:rPr>
          <w:b/>
        </w:rPr>
        <w:t>sustancial</w:t>
      </w:r>
      <w:r w:rsidRPr="00AE7681">
        <w:rPr>
          <w:b/>
          <w:spacing w:val="-2"/>
        </w:rPr>
        <w:t xml:space="preserve"> </w:t>
      </w:r>
      <w:r w:rsidRPr="00AE7681">
        <w:rPr>
          <w:b/>
        </w:rPr>
        <w:t>en</w:t>
      </w:r>
      <w:r w:rsidRPr="00AE7681">
        <w:rPr>
          <w:b/>
          <w:spacing w:val="-2"/>
        </w:rPr>
        <w:t xml:space="preserve"> </w:t>
      </w:r>
      <w:r w:rsidRPr="00AE7681">
        <w:rPr>
          <w:b/>
        </w:rPr>
        <w:t>la</w:t>
      </w:r>
      <w:r w:rsidRPr="00AE7681">
        <w:rPr>
          <w:b/>
          <w:spacing w:val="-1"/>
        </w:rPr>
        <w:t xml:space="preserve"> </w:t>
      </w:r>
      <w:r w:rsidRPr="00AE7681">
        <w:rPr>
          <w:b/>
        </w:rPr>
        <w:t>política</w:t>
      </w:r>
      <w:r w:rsidRPr="00AE7681">
        <w:rPr>
          <w:b/>
          <w:spacing w:val="-3"/>
        </w:rPr>
        <w:t xml:space="preserve"> </w:t>
      </w:r>
      <w:r w:rsidRPr="00AE7681">
        <w:rPr>
          <w:b/>
        </w:rPr>
        <w:t>de</w:t>
      </w:r>
      <w:r w:rsidRPr="00AE7681">
        <w:rPr>
          <w:b/>
          <w:spacing w:val="-1"/>
        </w:rPr>
        <w:t xml:space="preserve"> </w:t>
      </w:r>
      <w:r w:rsidRPr="00AE7681">
        <w:rPr>
          <w:b/>
        </w:rPr>
        <w:t>drogas</w:t>
      </w:r>
      <w:r>
        <w:t>,</w:t>
      </w:r>
      <w:r w:rsidRPr="00AE7681">
        <w:rPr>
          <w:spacing w:val="-1"/>
        </w:rPr>
        <w:t xml:space="preserve"> </w:t>
      </w:r>
      <w:r>
        <w:t>teniendo</w:t>
      </w:r>
      <w:r w:rsidRPr="00AE7681">
        <w:rPr>
          <w:spacing w:val="-1"/>
        </w:rPr>
        <w:t xml:space="preserve"> </w:t>
      </w:r>
      <w:r>
        <w:t>en</w:t>
      </w:r>
      <w:r w:rsidRPr="00AE7681">
        <w:rPr>
          <w:spacing w:val="-1"/>
        </w:rPr>
        <w:t xml:space="preserve"> </w:t>
      </w:r>
      <w:r w:rsidRPr="00AE7681">
        <w:rPr>
          <w:spacing w:val="-2"/>
        </w:rPr>
        <w:t>cuenta</w:t>
      </w:r>
      <w:bookmarkStart w:id="1598" w:name="_bookmark1390"/>
      <w:bookmarkEnd w:id="1598"/>
      <w:r w:rsidR="00AE7681">
        <w:t xml:space="preserve"> </w:t>
      </w:r>
      <w:r>
        <w:t>la evidencia, que incluya superar el prohibicionismo y transitar a la regulación de los mercados</w:t>
      </w:r>
      <w:r w:rsidRPr="00AE7681">
        <w:rPr>
          <w:spacing w:val="-15"/>
        </w:rPr>
        <w:t xml:space="preserve"> </w:t>
      </w:r>
      <w:r>
        <w:t>de</w:t>
      </w:r>
      <w:r w:rsidRPr="00AE7681">
        <w:rPr>
          <w:spacing w:val="-15"/>
        </w:rPr>
        <w:t xml:space="preserve"> </w:t>
      </w:r>
      <w:r>
        <w:t>droga.</w:t>
      </w:r>
      <w:r w:rsidRPr="00AE7681">
        <w:rPr>
          <w:spacing w:val="-15"/>
        </w:rPr>
        <w:t xml:space="preserve"> </w:t>
      </w:r>
      <w:r>
        <w:t>Este</w:t>
      </w:r>
      <w:r w:rsidRPr="00AE7681">
        <w:rPr>
          <w:spacing w:val="-15"/>
        </w:rPr>
        <w:t xml:space="preserve"> </w:t>
      </w:r>
      <w:r>
        <w:t>cambio</w:t>
      </w:r>
      <w:r w:rsidRPr="00AE7681">
        <w:rPr>
          <w:spacing w:val="-15"/>
        </w:rPr>
        <w:t xml:space="preserve"> </w:t>
      </w:r>
      <w:r>
        <w:t>debe</w:t>
      </w:r>
      <w:r w:rsidRPr="00AE7681">
        <w:rPr>
          <w:spacing w:val="-15"/>
        </w:rPr>
        <w:t xml:space="preserve"> </w:t>
      </w:r>
      <w:r>
        <w:t>dejar</w:t>
      </w:r>
      <w:r w:rsidRPr="00AE7681">
        <w:rPr>
          <w:spacing w:val="-15"/>
        </w:rPr>
        <w:t xml:space="preserve"> </w:t>
      </w:r>
      <w:r>
        <w:t>atrás</w:t>
      </w:r>
      <w:r w:rsidRPr="00AE7681">
        <w:rPr>
          <w:spacing w:val="-15"/>
        </w:rPr>
        <w:t xml:space="preserve"> </w:t>
      </w:r>
      <w:r>
        <w:t>el</w:t>
      </w:r>
      <w:r w:rsidRPr="00AE7681">
        <w:rPr>
          <w:spacing w:val="-14"/>
        </w:rPr>
        <w:t xml:space="preserve"> </w:t>
      </w:r>
      <w:r>
        <w:t>abordaje</w:t>
      </w:r>
      <w:r w:rsidRPr="00AE7681">
        <w:rPr>
          <w:spacing w:val="-15"/>
        </w:rPr>
        <w:t xml:space="preserve"> </w:t>
      </w:r>
      <w:r>
        <w:t>del</w:t>
      </w:r>
      <w:r w:rsidRPr="00AE7681">
        <w:rPr>
          <w:spacing w:val="-14"/>
        </w:rPr>
        <w:t xml:space="preserve"> </w:t>
      </w:r>
      <w:r>
        <w:t>problema</w:t>
      </w:r>
      <w:r w:rsidRPr="00AE7681">
        <w:rPr>
          <w:spacing w:val="-15"/>
        </w:rPr>
        <w:t xml:space="preserve"> </w:t>
      </w:r>
      <w:r>
        <w:t>de</w:t>
      </w:r>
      <w:r w:rsidRPr="00AE7681">
        <w:rPr>
          <w:spacing w:val="-14"/>
        </w:rPr>
        <w:t xml:space="preserve"> </w:t>
      </w:r>
      <w:r>
        <w:t>las</w:t>
      </w:r>
      <w:r w:rsidRPr="00AE7681">
        <w:rPr>
          <w:spacing w:val="-15"/>
        </w:rPr>
        <w:t xml:space="preserve"> </w:t>
      </w:r>
      <w:r>
        <w:t>drogas</w:t>
      </w:r>
      <w:r w:rsidRPr="00AE7681">
        <w:rPr>
          <w:spacing w:val="-15"/>
        </w:rPr>
        <w:t xml:space="preserve"> </w:t>
      </w:r>
      <w:r>
        <w:t>como un</w:t>
      </w:r>
      <w:r w:rsidRPr="00AE7681">
        <w:rPr>
          <w:spacing w:val="-6"/>
        </w:rPr>
        <w:t xml:space="preserve"> </w:t>
      </w:r>
      <w:r>
        <w:t>asunto</w:t>
      </w:r>
      <w:r w:rsidRPr="00AE7681">
        <w:rPr>
          <w:spacing w:val="-6"/>
        </w:rPr>
        <w:t xml:space="preserve"> </w:t>
      </w:r>
      <w:r>
        <w:t>de</w:t>
      </w:r>
      <w:r w:rsidRPr="00AE7681">
        <w:rPr>
          <w:spacing w:val="-7"/>
        </w:rPr>
        <w:t xml:space="preserve"> </w:t>
      </w:r>
      <w:r>
        <w:t>seguridad</w:t>
      </w:r>
      <w:r w:rsidRPr="00AE7681">
        <w:rPr>
          <w:spacing w:val="-6"/>
        </w:rPr>
        <w:t xml:space="preserve"> </w:t>
      </w:r>
      <w:r>
        <w:t>nacional</w:t>
      </w:r>
      <w:r w:rsidRPr="00AE7681">
        <w:rPr>
          <w:spacing w:val="-5"/>
        </w:rPr>
        <w:t xml:space="preserve"> </w:t>
      </w:r>
      <w:r>
        <w:t>y</w:t>
      </w:r>
      <w:r w:rsidRPr="00AE7681">
        <w:rPr>
          <w:spacing w:val="-6"/>
        </w:rPr>
        <w:t xml:space="preserve"> </w:t>
      </w:r>
      <w:r>
        <w:lastRenderedPageBreak/>
        <w:t>debe</w:t>
      </w:r>
      <w:r w:rsidRPr="00AE7681">
        <w:rPr>
          <w:spacing w:val="-6"/>
        </w:rPr>
        <w:t xml:space="preserve"> </w:t>
      </w:r>
      <w:r>
        <w:t>contribuir</w:t>
      </w:r>
      <w:r w:rsidRPr="00AE7681">
        <w:rPr>
          <w:spacing w:val="-5"/>
        </w:rPr>
        <w:t xml:space="preserve"> </w:t>
      </w:r>
      <w:r>
        <w:t>a</w:t>
      </w:r>
      <w:r w:rsidRPr="00AE7681">
        <w:rPr>
          <w:spacing w:val="-6"/>
        </w:rPr>
        <w:t xml:space="preserve"> </w:t>
      </w:r>
      <w:r>
        <w:t>desmilitarizar</w:t>
      </w:r>
      <w:r w:rsidRPr="00AE7681">
        <w:rPr>
          <w:spacing w:val="-5"/>
        </w:rPr>
        <w:t xml:space="preserve"> </w:t>
      </w:r>
      <w:r>
        <w:t>la</w:t>
      </w:r>
      <w:r w:rsidRPr="00AE7681">
        <w:rPr>
          <w:spacing w:val="-6"/>
        </w:rPr>
        <w:t xml:space="preserve"> </w:t>
      </w:r>
      <w:r>
        <w:t>relación</w:t>
      </w:r>
      <w:r w:rsidRPr="00AE7681">
        <w:rPr>
          <w:spacing w:val="-6"/>
        </w:rPr>
        <w:t xml:space="preserve"> </w:t>
      </w:r>
      <w:r>
        <w:t>entre</w:t>
      </w:r>
      <w:r w:rsidRPr="00AE7681">
        <w:rPr>
          <w:spacing w:val="-7"/>
        </w:rPr>
        <w:t xml:space="preserve"> </w:t>
      </w:r>
      <w:r>
        <w:t>el</w:t>
      </w:r>
      <w:r w:rsidRPr="00AE7681">
        <w:rPr>
          <w:spacing w:val="-7"/>
        </w:rPr>
        <w:t xml:space="preserve"> </w:t>
      </w:r>
      <w:r>
        <w:t>Estado y la ciudadanía.</w:t>
      </w:r>
    </w:p>
    <w:p w:rsidR="003804AC" w:rsidRDefault="00AF18A5" w:rsidP="00AE7681">
      <w:pPr>
        <w:pStyle w:val="Prrafodelista"/>
        <w:ind w:left="1080"/>
      </w:pPr>
      <w:r>
        <w:t>Lo anterior debe darse sobre la base del respeto a los principios constitucionales y de las obligaciones</w:t>
      </w:r>
      <w:r w:rsidRPr="00AE7681">
        <w:rPr>
          <w:spacing w:val="-10"/>
        </w:rPr>
        <w:t xml:space="preserve"> </w:t>
      </w:r>
      <w:r>
        <w:t>adquiridas</w:t>
      </w:r>
      <w:r w:rsidRPr="00AE7681">
        <w:rPr>
          <w:spacing w:val="-10"/>
        </w:rPr>
        <w:t xml:space="preserve"> </w:t>
      </w:r>
      <w:r>
        <w:t>por</w:t>
      </w:r>
      <w:r w:rsidRPr="00AE7681">
        <w:rPr>
          <w:spacing w:val="-9"/>
        </w:rPr>
        <w:t xml:space="preserve"> </w:t>
      </w:r>
      <w:r>
        <w:t>el</w:t>
      </w:r>
      <w:r w:rsidRPr="00AE7681">
        <w:rPr>
          <w:spacing w:val="-9"/>
        </w:rPr>
        <w:t xml:space="preserve"> </w:t>
      </w:r>
      <w:r>
        <w:t>Estado</w:t>
      </w:r>
      <w:r w:rsidRPr="00AE7681">
        <w:rPr>
          <w:spacing w:val="-11"/>
        </w:rPr>
        <w:t xml:space="preserve"> </w:t>
      </w:r>
      <w:r>
        <w:t>en</w:t>
      </w:r>
      <w:r w:rsidRPr="00AE7681">
        <w:rPr>
          <w:spacing w:val="-9"/>
        </w:rPr>
        <w:t xml:space="preserve"> </w:t>
      </w:r>
      <w:r>
        <w:t>el</w:t>
      </w:r>
      <w:r w:rsidRPr="00AE7681">
        <w:rPr>
          <w:spacing w:val="-10"/>
        </w:rPr>
        <w:t xml:space="preserve"> </w:t>
      </w:r>
      <w:r>
        <w:t>marco</w:t>
      </w:r>
      <w:r w:rsidRPr="00AE7681">
        <w:rPr>
          <w:spacing w:val="-12"/>
        </w:rPr>
        <w:t xml:space="preserve"> </w:t>
      </w:r>
      <w:r>
        <w:t>del</w:t>
      </w:r>
      <w:r w:rsidRPr="00AE7681">
        <w:rPr>
          <w:spacing w:val="-9"/>
        </w:rPr>
        <w:t xml:space="preserve"> </w:t>
      </w:r>
      <w:r>
        <w:t>Derecho</w:t>
      </w:r>
      <w:r w:rsidRPr="00AE7681">
        <w:rPr>
          <w:spacing w:val="-11"/>
        </w:rPr>
        <w:t xml:space="preserve"> </w:t>
      </w:r>
      <w:r>
        <w:t>Internacional</w:t>
      </w:r>
      <w:r w:rsidRPr="00AE7681">
        <w:rPr>
          <w:spacing w:val="-9"/>
        </w:rPr>
        <w:t xml:space="preserve"> </w:t>
      </w:r>
      <w:r>
        <w:t>de</w:t>
      </w:r>
      <w:r w:rsidRPr="00AE7681">
        <w:rPr>
          <w:spacing w:val="-10"/>
        </w:rPr>
        <w:t xml:space="preserve"> </w:t>
      </w:r>
      <w:r>
        <w:t>los</w:t>
      </w:r>
      <w:r w:rsidRPr="00AE7681">
        <w:rPr>
          <w:spacing w:val="-10"/>
        </w:rPr>
        <w:t xml:space="preserve"> </w:t>
      </w:r>
      <w:r>
        <w:t xml:space="preserve">Derechos Humanos. Además, debe basarse en </w:t>
      </w:r>
      <w:r w:rsidRPr="00AE7681">
        <w:rPr>
          <w:b/>
        </w:rPr>
        <w:t>principios como la reducción de riesgos y daños, la salud</w:t>
      </w:r>
      <w:r w:rsidRPr="00AE7681">
        <w:rPr>
          <w:b/>
          <w:spacing w:val="-6"/>
        </w:rPr>
        <w:t xml:space="preserve"> </w:t>
      </w:r>
      <w:r w:rsidRPr="00AE7681">
        <w:rPr>
          <w:b/>
        </w:rPr>
        <w:t>pública,</w:t>
      </w:r>
      <w:r w:rsidRPr="00AE7681">
        <w:rPr>
          <w:b/>
          <w:spacing w:val="-6"/>
        </w:rPr>
        <w:t xml:space="preserve"> </w:t>
      </w:r>
      <w:r w:rsidRPr="00AE7681">
        <w:rPr>
          <w:b/>
        </w:rPr>
        <w:t>el</w:t>
      </w:r>
      <w:r w:rsidRPr="00AE7681">
        <w:rPr>
          <w:b/>
          <w:spacing w:val="-5"/>
        </w:rPr>
        <w:t xml:space="preserve"> </w:t>
      </w:r>
      <w:r w:rsidRPr="00AE7681">
        <w:rPr>
          <w:b/>
        </w:rPr>
        <w:t>desarrollo</w:t>
      </w:r>
      <w:r w:rsidRPr="00AE7681">
        <w:rPr>
          <w:b/>
          <w:spacing w:val="-6"/>
        </w:rPr>
        <w:t xml:space="preserve"> </w:t>
      </w:r>
      <w:r w:rsidRPr="00AE7681">
        <w:rPr>
          <w:b/>
        </w:rPr>
        <w:t>sostenible,</w:t>
      </w:r>
      <w:r w:rsidRPr="00AE7681">
        <w:rPr>
          <w:b/>
          <w:spacing w:val="-6"/>
        </w:rPr>
        <w:t xml:space="preserve"> </w:t>
      </w:r>
      <w:r w:rsidRPr="00AE7681">
        <w:rPr>
          <w:b/>
        </w:rPr>
        <w:t>la</w:t>
      </w:r>
      <w:r w:rsidRPr="00AE7681">
        <w:rPr>
          <w:b/>
          <w:spacing w:val="-6"/>
        </w:rPr>
        <w:t xml:space="preserve"> </w:t>
      </w:r>
      <w:r w:rsidRPr="00AE7681">
        <w:rPr>
          <w:b/>
        </w:rPr>
        <w:t>participación,</w:t>
      </w:r>
      <w:r w:rsidRPr="00AE7681">
        <w:rPr>
          <w:b/>
          <w:spacing w:val="-6"/>
        </w:rPr>
        <w:t xml:space="preserve"> </w:t>
      </w:r>
      <w:r w:rsidRPr="00AE7681">
        <w:rPr>
          <w:b/>
        </w:rPr>
        <w:t>la</w:t>
      </w:r>
      <w:r w:rsidRPr="00AE7681">
        <w:rPr>
          <w:b/>
          <w:spacing w:val="-6"/>
        </w:rPr>
        <w:t xml:space="preserve"> </w:t>
      </w:r>
      <w:r w:rsidRPr="00AE7681">
        <w:rPr>
          <w:b/>
        </w:rPr>
        <w:t>descentralización,</w:t>
      </w:r>
      <w:r w:rsidRPr="00AE7681">
        <w:rPr>
          <w:b/>
          <w:spacing w:val="-6"/>
        </w:rPr>
        <w:t xml:space="preserve"> </w:t>
      </w:r>
      <w:r w:rsidRPr="00AE7681">
        <w:rPr>
          <w:b/>
        </w:rPr>
        <w:t>el</w:t>
      </w:r>
      <w:r w:rsidRPr="00AE7681">
        <w:rPr>
          <w:b/>
          <w:spacing w:val="-5"/>
        </w:rPr>
        <w:t xml:space="preserve"> </w:t>
      </w:r>
      <w:r w:rsidRPr="00AE7681">
        <w:rPr>
          <w:b/>
        </w:rPr>
        <w:t>enfoque territorial/regional y el enfoque diferencial</w:t>
      </w:r>
      <w:r>
        <w:t>. Para tal fin, en concreto, se recomienda:</w:t>
      </w:r>
    </w:p>
    <w:p w:rsidR="003804AC" w:rsidRDefault="00AF18A5" w:rsidP="004A6EF4">
      <w:pPr>
        <w:pStyle w:val="Prrafodelista"/>
        <w:numPr>
          <w:ilvl w:val="0"/>
          <w:numId w:val="42"/>
        </w:numPr>
      </w:pPr>
      <w:r>
        <w:t>Liderar y promover un debate internacional para la modificación del régimen global basado en la prohibición de las drogas y así avanzar hacia un régimen regulatorio</w:t>
      </w:r>
      <w:r w:rsidR="00AE7681">
        <w:rPr>
          <w:rStyle w:val="Refdenotaalpie"/>
        </w:rPr>
        <w:footnoteReference w:id="1238"/>
      </w:r>
      <w:r>
        <w:t>. Realizar la Conferencia Internacional propuesta en el Acuerdo Final de Paz es un primer paso en este sentido.</w:t>
      </w:r>
    </w:p>
    <w:p w:rsidR="003804AC" w:rsidRDefault="00AF18A5" w:rsidP="004A6EF4">
      <w:pPr>
        <w:pStyle w:val="Prrafodelista"/>
        <w:numPr>
          <w:ilvl w:val="0"/>
          <w:numId w:val="42"/>
        </w:numPr>
      </w:pPr>
      <w:r>
        <w:t xml:space="preserve">Garantizar espacios de interlocución, diálogo y concertación con las autoridades territoriales y étnicas, las comunidades, sus organizaciones, la academia y las organizaciones de derechos humanos y especializadas, frente al </w:t>
      </w:r>
      <w:r w:rsidRPr="00AE7681">
        <w:rPr>
          <w:b/>
        </w:rPr>
        <w:t>diseño, la implementación</w:t>
      </w:r>
      <w:r w:rsidRPr="00AE7681">
        <w:rPr>
          <w:b/>
          <w:spacing w:val="-6"/>
        </w:rPr>
        <w:t xml:space="preserve"> </w:t>
      </w:r>
      <w:r w:rsidRPr="00AE7681">
        <w:rPr>
          <w:b/>
        </w:rPr>
        <w:t>y</w:t>
      </w:r>
      <w:r w:rsidRPr="00AE7681">
        <w:rPr>
          <w:b/>
          <w:spacing w:val="-6"/>
        </w:rPr>
        <w:t xml:space="preserve"> </w:t>
      </w:r>
      <w:r w:rsidRPr="00AE7681">
        <w:rPr>
          <w:b/>
        </w:rPr>
        <w:t>el</w:t>
      </w:r>
      <w:r w:rsidRPr="00AE7681">
        <w:rPr>
          <w:b/>
          <w:spacing w:val="-5"/>
        </w:rPr>
        <w:t xml:space="preserve"> </w:t>
      </w:r>
      <w:r w:rsidRPr="00AE7681">
        <w:rPr>
          <w:b/>
        </w:rPr>
        <w:t>seguimiento</w:t>
      </w:r>
      <w:r w:rsidRPr="00AE7681">
        <w:rPr>
          <w:b/>
          <w:spacing w:val="-7"/>
        </w:rPr>
        <w:t xml:space="preserve"> </w:t>
      </w:r>
      <w:r w:rsidRPr="00AE7681">
        <w:rPr>
          <w:b/>
        </w:rPr>
        <w:t>de</w:t>
      </w:r>
      <w:r w:rsidRPr="00AE7681">
        <w:rPr>
          <w:b/>
          <w:spacing w:val="-7"/>
        </w:rPr>
        <w:t xml:space="preserve"> </w:t>
      </w:r>
      <w:r w:rsidRPr="00AE7681">
        <w:rPr>
          <w:b/>
        </w:rPr>
        <w:t>la</w:t>
      </w:r>
      <w:r w:rsidRPr="00AE7681">
        <w:rPr>
          <w:b/>
          <w:spacing w:val="-6"/>
        </w:rPr>
        <w:t xml:space="preserve"> </w:t>
      </w:r>
      <w:r w:rsidRPr="00AE7681">
        <w:rPr>
          <w:b/>
        </w:rPr>
        <w:t>política</w:t>
      </w:r>
      <w:r w:rsidRPr="00AE7681">
        <w:rPr>
          <w:b/>
          <w:spacing w:val="-7"/>
        </w:rPr>
        <w:t xml:space="preserve"> </w:t>
      </w:r>
      <w:r w:rsidRPr="00AE7681">
        <w:rPr>
          <w:b/>
        </w:rPr>
        <w:t>de</w:t>
      </w:r>
      <w:r w:rsidRPr="00AE7681">
        <w:rPr>
          <w:b/>
          <w:spacing w:val="-6"/>
        </w:rPr>
        <w:t xml:space="preserve"> </w:t>
      </w:r>
      <w:r w:rsidRPr="00AE7681">
        <w:rPr>
          <w:b/>
        </w:rPr>
        <w:t>drogas</w:t>
      </w:r>
      <w:r w:rsidRPr="00AE7681">
        <w:rPr>
          <w:b/>
          <w:spacing w:val="-6"/>
        </w:rPr>
        <w:t xml:space="preserve"> </w:t>
      </w:r>
      <w:r w:rsidRPr="00AE7681">
        <w:rPr>
          <w:b/>
        </w:rPr>
        <w:t>en</w:t>
      </w:r>
      <w:r w:rsidRPr="00AE7681">
        <w:rPr>
          <w:b/>
          <w:spacing w:val="-6"/>
        </w:rPr>
        <w:t xml:space="preserve"> </w:t>
      </w:r>
      <w:r w:rsidRPr="00AE7681">
        <w:rPr>
          <w:b/>
        </w:rPr>
        <w:t>los</w:t>
      </w:r>
      <w:r w:rsidRPr="00AE7681">
        <w:rPr>
          <w:b/>
          <w:spacing w:val="-7"/>
        </w:rPr>
        <w:t xml:space="preserve"> </w:t>
      </w:r>
      <w:r w:rsidRPr="00AE7681">
        <w:rPr>
          <w:b/>
        </w:rPr>
        <w:t>territorios</w:t>
      </w:r>
      <w:r>
        <w:t>.</w:t>
      </w:r>
      <w:r w:rsidRPr="00AE7681">
        <w:rPr>
          <w:spacing w:val="-6"/>
        </w:rPr>
        <w:t xml:space="preserve"> </w:t>
      </w:r>
      <w:r>
        <w:t>Estos espacios también deben servir para identificar y compartir propuestas que permitan avanzar hacia la regulación.</w:t>
      </w:r>
    </w:p>
    <w:p w:rsidR="0011361F" w:rsidRDefault="00AF18A5" w:rsidP="004A6EF4">
      <w:pPr>
        <w:pStyle w:val="Prrafodelista"/>
        <w:numPr>
          <w:ilvl w:val="0"/>
          <w:numId w:val="42"/>
        </w:numPr>
      </w:pPr>
      <w:r>
        <w:t xml:space="preserve">Crear espacios de reconocimiento y diálogo con las personas y comunidades de manera que puedan compartir sus testimonios y así </w:t>
      </w:r>
      <w:r w:rsidRPr="00AE7681">
        <w:rPr>
          <w:b/>
        </w:rPr>
        <w:t xml:space="preserve">visibilizar impactos ambientales, sociales, culturales y </w:t>
      </w:r>
      <w:r w:rsidRPr="00AE7681">
        <w:rPr>
          <w:b/>
        </w:rPr>
        <w:lastRenderedPageBreak/>
        <w:t>políticos del narcotráfico y la política prohibicionista</w:t>
      </w:r>
      <w:r>
        <w:t>, y las diferentes formas para atenderlos y superarlos.</w:t>
      </w:r>
    </w:p>
    <w:p w:rsidR="003804AC" w:rsidRDefault="00AF18A5" w:rsidP="004A6EF4">
      <w:pPr>
        <w:pStyle w:val="Prrafodelista"/>
        <w:numPr>
          <w:ilvl w:val="0"/>
          <w:numId w:val="42"/>
        </w:numPr>
      </w:pPr>
      <w:bookmarkStart w:id="1599" w:name="_bookmark1391"/>
      <w:bookmarkEnd w:id="1599"/>
      <w:r>
        <w:t xml:space="preserve">Abordar los cultivos de coca y los procesamientos primarios exclusivamente desde un </w:t>
      </w:r>
      <w:r w:rsidRPr="00AE7681">
        <w:rPr>
          <w:b/>
        </w:rPr>
        <w:t xml:space="preserve">enfoque de derechos humanos y desarrollo </w:t>
      </w:r>
      <w:r>
        <w:t>y no como un problema de seguridad nacional. Esto implica:</w:t>
      </w:r>
    </w:p>
    <w:p w:rsidR="003804AC" w:rsidRDefault="00AF18A5" w:rsidP="00AE7681">
      <w:pPr>
        <w:pStyle w:val="Prrafodelista"/>
        <w:ind w:left="720"/>
      </w:pPr>
      <w:r w:rsidRPr="00AE7681">
        <w:rPr>
          <w:b/>
        </w:rPr>
        <w:t xml:space="preserve">Desmilitarizar la respuesta del Estado </w:t>
      </w:r>
      <w:r>
        <w:t>frente a los cultivos, los territorios y las poblaciones afectadas</w:t>
      </w:r>
      <w:r w:rsidR="00AE7681">
        <w:rPr>
          <w:rStyle w:val="Refdenotaalpie"/>
        </w:rPr>
        <w:footnoteReference w:id="1239"/>
      </w:r>
      <w:r>
        <w:t xml:space="preserve"> y renunciar definitivamente, sobre la base de la evidencia, a la aspersión con glifosato.</w:t>
      </w:r>
    </w:p>
    <w:p w:rsidR="003804AC" w:rsidRDefault="00AF18A5" w:rsidP="00AE7681">
      <w:pPr>
        <w:pStyle w:val="Prrafodelista"/>
        <w:ind w:left="720"/>
      </w:pPr>
      <w:r>
        <w:t>Rediseñar con la participación de las comunidades campesinas y los</w:t>
      </w:r>
      <w:r w:rsidRPr="00AE7681">
        <w:rPr>
          <w:spacing w:val="-9"/>
        </w:rPr>
        <w:t xml:space="preserve"> </w:t>
      </w:r>
      <w:r>
        <w:t>pueblos</w:t>
      </w:r>
      <w:r w:rsidRPr="00AE7681">
        <w:rPr>
          <w:spacing w:val="-11"/>
        </w:rPr>
        <w:t xml:space="preserve"> </w:t>
      </w:r>
      <w:r>
        <w:t>étnicos</w:t>
      </w:r>
      <w:r w:rsidRPr="00AE7681">
        <w:rPr>
          <w:spacing w:val="-11"/>
        </w:rPr>
        <w:t xml:space="preserve"> </w:t>
      </w:r>
      <w:r>
        <w:t>las</w:t>
      </w:r>
      <w:r w:rsidRPr="00AE7681">
        <w:rPr>
          <w:spacing w:val="-9"/>
        </w:rPr>
        <w:t xml:space="preserve"> </w:t>
      </w:r>
      <w:r>
        <w:t>estrategias</w:t>
      </w:r>
      <w:r w:rsidRPr="00AE7681">
        <w:rPr>
          <w:spacing w:val="-9"/>
        </w:rPr>
        <w:t xml:space="preserve"> </w:t>
      </w:r>
      <w:r>
        <w:t>para</w:t>
      </w:r>
      <w:r w:rsidRPr="00AE7681">
        <w:rPr>
          <w:spacing w:val="-9"/>
        </w:rPr>
        <w:t xml:space="preserve"> </w:t>
      </w:r>
      <w:r>
        <w:t>hacer</w:t>
      </w:r>
      <w:r w:rsidRPr="00AE7681">
        <w:rPr>
          <w:spacing w:val="-9"/>
        </w:rPr>
        <w:t xml:space="preserve"> </w:t>
      </w:r>
      <w:r>
        <w:t>frente</w:t>
      </w:r>
      <w:r w:rsidRPr="00AE7681">
        <w:rPr>
          <w:spacing w:val="-9"/>
        </w:rPr>
        <w:t xml:space="preserve"> </w:t>
      </w:r>
      <w:r>
        <w:t>a</w:t>
      </w:r>
      <w:r w:rsidRPr="00AE7681">
        <w:rPr>
          <w:spacing w:val="-10"/>
        </w:rPr>
        <w:t xml:space="preserve"> </w:t>
      </w:r>
      <w:r>
        <w:t>los</w:t>
      </w:r>
      <w:r w:rsidRPr="00AE7681">
        <w:rPr>
          <w:spacing w:val="-9"/>
        </w:rPr>
        <w:t xml:space="preserve"> </w:t>
      </w:r>
      <w:r>
        <w:t>cultivos</w:t>
      </w:r>
      <w:r w:rsidRPr="00AE7681">
        <w:rPr>
          <w:spacing w:val="-10"/>
        </w:rPr>
        <w:t xml:space="preserve"> </w:t>
      </w:r>
      <w:r>
        <w:t>de</w:t>
      </w:r>
      <w:r w:rsidRPr="00AE7681">
        <w:rPr>
          <w:spacing w:val="-9"/>
        </w:rPr>
        <w:t xml:space="preserve"> </w:t>
      </w:r>
      <w:r>
        <w:t>coca, marihuana</w:t>
      </w:r>
      <w:r w:rsidRPr="00AE7681">
        <w:rPr>
          <w:spacing w:val="-8"/>
        </w:rPr>
        <w:t xml:space="preserve"> </w:t>
      </w:r>
      <w:r>
        <w:t>y</w:t>
      </w:r>
      <w:r w:rsidRPr="00AE7681">
        <w:rPr>
          <w:spacing w:val="-8"/>
        </w:rPr>
        <w:t xml:space="preserve"> </w:t>
      </w:r>
      <w:r>
        <w:t>amapola</w:t>
      </w:r>
      <w:r w:rsidRPr="00AE7681">
        <w:rPr>
          <w:spacing w:val="-8"/>
        </w:rPr>
        <w:t xml:space="preserve"> </w:t>
      </w:r>
      <w:r>
        <w:t>para</w:t>
      </w:r>
      <w:r w:rsidRPr="00AE7681">
        <w:rPr>
          <w:spacing w:val="-8"/>
        </w:rPr>
        <w:t xml:space="preserve"> </w:t>
      </w:r>
      <w:r>
        <w:t>garantizar</w:t>
      </w:r>
      <w:r w:rsidRPr="00AE7681">
        <w:rPr>
          <w:spacing w:val="-8"/>
        </w:rPr>
        <w:t xml:space="preserve"> </w:t>
      </w:r>
      <w:r>
        <w:t>la</w:t>
      </w:r>
      <w:r w:rsidRPr="00AE7681">
        <w:rPr>
          <w:spacing w:val="-8"/>
        </w:rPr>
        <w:t xml:space="preserve"> </w:t>
      </w:r>
      <w:r>
        <w:t>inclusión</w:t>
      </w:r>
      <w:r w:rsidRPr="00AE7681">
        <w:rPr>
          <w:spacing w:val="-8"/>
        </w:rPr>
        <w:t xml:space="preserve"> </w:t>
      </w:r>
      <w:r>
        <w:t>social</w:t>
      </w:r>
      <w:r w:rsidRPr="00AE7681">
        <w:rPr>
          <w:spacing w:val="-8"/>
        </w:rPr>
        <w:t xml:space="preserve"> </w:t>
      </w:r>
      <w:r>
        <w:t>y</w:t>
      </w:r>
      <w:r w:rsidRPr="00AE7681">
        <w:rPr>
          <w:spacing w:val="-8"/>
        </w:rPr>
        <w:t xml:space="preserve"> </w:t>
      </w:r>
      <w:r>
        <w:t>económica</w:t>
      </w:r>
      <w:r w:rsidRPr="00AE7681">
        <w:rPr>
          <w:spacing w:val="-8"/>
        </w:rPr>
        <w:t xml:space="preserve"> </w:t>
      </w:r>
      <w:r>
        <w:t>de</w:t>
      </w:r>
      <w:r w:rsidRPr="00AE7681">
        <w:rPr>
          <w:spacing w:val="-8"/>
        </w:rPr>
        <w:t xml:space="preserve"> </w:t>
      </w:r>
      <w:r>
        <w:t>los diferentes territorios con presencia de cultivos</w:t>
      </w:r>
      <w:r w:rsidR="00AE7681">
        <w:rPr>
          <w:rStyle w:val="Refdenotaalpie"/>
        </w:rPr>
        <w:footnoteReference w:id="1240"/>
      </w:r>
      <w:r>
        <w:t>, con un enfoque étnico, etario, de género, de derechos de las mujeres y de acción sin daño. De igual modo, mientras que se avanza en la regulación, es imperativo garantizar una asignación</w:t>
      </w:r>
      <w:r w:rsidRPr="00AE7681">
        <w:rPr>
          <w:spacing w:val="-15"/>
        </w:rPr>
        <w:t xml:space="preserve"> </w:t>
      </w:r>
      <w:r>
        <w:t>de</w:t>
      </w:r>
      <w:r w:rsidRPr="00AE7681">
        <w:rPr>
          <w:spacing w:val="-15"/>
        </w:rPr>
        <w:t xml:space="preserve"> </w:t>
      </w:r>
      <w:r>
        <w:t>recursos</w:t>
      </w:r>
      <w:r w:rsidRPr="00AE7681">
        <w:rPr>
          <w:spacing w:val="-15"/>
        </w:rPr>
        <w:t xml:space="preserve"> </w:t>
      </w:r>
      <w:r>
        <w:t>coherente</w:t>
      </w:r>
      <w:r w:rsidRPr="00AE7681">
        <w:rPr>
          <w:spacing w:val="-15"/>
        </w:rPr>
        <w:t xml:space="preserve"> </w:t>
      </w:r>
      <w:r>
        <w:t>con</w:t>
      </w:r>
      <w:r w:rsidRPr="00AE7681">
        <w:rPr>
          <w:spacing w:val="-15"/>
        </w:rPr>
        <w:t xml:space="preserve"> </w:t>
      </w:r>
      <w:r>
        <w:t>esa</w:t>
      </w:r>
      <w:r w:rsidRPr="00AE7681">
        <w:rPr>
          <w:spacing w:val="-15"/>
        </w:rPr>
        <w:t xml:space="preserve"> </w:t>
      </w:r>
      <w:r>
        <w:t>inclusión,</w:t>
      </w:r>
      <w:r w:rsidRPr="00AE7681">
        <w:rPr>
          <w:spacing w:val="-15"/>
        </w:rPr>
        <w:t xml:space="preserve"> </w:t>
      </w:r>
      <w:r>
        <w:t>sin</w:t>
      </w:r>
      <w:r w:rsidRPr="00AE7681">
        <w:rPr>
          <w:spacing w:val="-14"/>
        </w:rPr>
        <w:t xml:space="preserve"> </w:t>
      </w:r>
      <w:r>
        <w:t>perjuicio</w:t>
      </w:r>
      <w:r w:rsidRPr="00AE7681">
        <w:rPr>
          <w:spacing w:val="-15"/>
        </w:rPr>
        <w:t xml:space="preserve"> </w:t>
      </w:r>
      <w:r>
        <w:t>del</w:t>
      </w:r>
      <w:r w:rsidRPr="00AE7681">
        <w:rPr>
          <w:spacing w:val="-15"/>
        </w:rPr>
        <w:t xml:space="preserve"> </w:t>
      </w:r>
      <w:r>
        <w:t>necesario cumplimiento de los compromisos asumidos en el marco del Programa Nacional de Sustitución de cultivos (PNIS).</w:t>
      </w:r>
    </w:p>
    <w:p w:rsidR="0011361F" w:rsidRDefault="00AF18A5" w:rsidP="004A6EF4">
      <w:pPr>
        <w:pStyle w:val="Prrafodelista"/>
        <w:numPr>
          <w:ilvl w:val="0"/>
          <w:numId w:val="42"/>
        </w:numPr>
      </w:pPr>
      <w:r>
        <w:t>Realizar los ajustes institucionales, normativos y presupuestales necesarios para garantizar la implementación de la política frente al consumo basada exclusivamente en la prevención y atención</w:t>
      </w:r>
      <w:r w:rsidR="00AE7681">
        <w:rPr>
          <w:rStyle w:val="Refdenotaalpie"/>
        </w:rPr>
        <w:footnoteReference w:id="1241"/>
      </w:r>
      <w:r>
        <w:t xml:space="preserve">, con un enfoque de salud pública, derechos humanos </w:t>
      </w:r>
      <w:r>
        <w:lastRenderedPageBreak/>
        <w:t>y reducción del daño, dejando atrás la persecución policial y criminalización del consumidor y fortaleciendo la atención al consumo problemático en territorios urbanos y rurales</w:t>
      </w:r>
      <w:r w:rsidR="00AE7681">
        <w:rPr>
          <w:rStyle w:val="Refdenotaalpie"/>
        </w:rPr>
        <w:footnoteReference w:id="1242"/>
      </w:r>
      <w:r>
        <w:t>.</w:t>
      </w:r>
    </w:p>
    <w:p w:rsidR="003804AC" w:rsidRDefault="00AF18A5" w:rsidP="004A6EF4">
      <w:pPr>
        <w:pStyle w:val="Prrafodelista"/>
        <w:numPr>
          <w:ilvl w:val="0"/>
          <w:numId w:val="42"/>
        </w:numPr>
      </w:pPr>
      <w:bookmarkStart w:id="1600" w:name="_bookmark1392"/>
      <w:bookmarkStart w:id="1601" w:name="_bookmark1393"/>
      <w:bookmarkStart w:id="1602" w:name="_bookmark1394"/>
      <w:bookmarkStart w:id="1603" w:name="_bookmark1395"/>
      <w:bookmarkEnd w:id="1600"/>
      <w:bookmarkEnd w:id="1601"/>
      <w:bookmarkEnd w:id="1602"/>
      <w:bookmarkEnd w:id="1603"/>
      <w:r w:rsidRPr="00AE7681">
        <w:rPr>
          <w:b/>
        </w:rPr>
        <w:t>Revisar</w:t>
      </w:r>
      <w:r w:rsidRPr="00AE7681">
        <w:rPr>
          <w:b/>
          <w:spacing w:val="-4"/>
        </w:rPr>
        <w:t xml:space="preserve"> </w:t>
      </w:r>
      <w:r w:rsidRPr="00AE7681">
        <w:rPr>
          <w:b/>
        </w:rPr>
        <w:t>los</w:t>
      </w:r>
      <w:r w:rsidRPr="00AE7681">
        <w:rPr>
          <w:b/>
          <w:spacing w:val="-5"/>
        </w:rPr>
        <w:t xml:space="preserve"> </w:t>
      </w:r>
      <w:r w:rsidRPr="00AE7681">
        <w:rPr>
          <w:b/>
        </w:rPr>
        <w:t>indicadores</w:t>
      </w:r>
      <w:r w:rsidRPr="00AE7681">
        <w:rPr>
          <w:b/>
          <w:spacing w:val="-6"/>
        </w:rPr>
        <w:t xml:space="preserve"> </w:t>
      </w:r>
      <w:r w:rsidRPr="00AE7681">
        <w:rPr>
          <w:b/>
        </w:rPr>
        <w:t>para</w:t>
      </w:r>
      <w:r w:rsidRPr="00AE7681">
        <w:rPr>
          <w:b/>
          <w:spacing w:val="-5"/>
        </w:rPr>
        <w:t xml:space="preserve"> </w:t>
      </w:r>
      <w:r w:rsidRPr="00AE7681">
        <w:rPr>
          <w:b/>
        </w:rPr>
        <w:t>medir</w:t>
      </w:r>
      <w:r w:rsidRPr="00AE7681">
        <w:rPr>
          <w:b/>
          <w:spacing w:val="-4"/>
        </w:rPr>
        <w:t xml:space="preserve"> </w:t>
      </w:r>
      <w:r w:rsidRPr="00AE7681">
        <w:rPr>
          <w:b/>
        </w:rPr>
        <w:t>el</w:t>
      </w:r>
      <w:r w:rsidRPr="00AE7681">
        <w:rPr>
          <w:b/>
          <w:spacing w:val="-4"/>
        </w:rPr>
        <w:t xml:space="preserve"> </w:t>
      </w:r>
      <w:r w:rsidRPr="00AE7681">
        <w:rPr>
          <w:b/>
        </w:rPr>
        <w:t>éxito</w:t>
      </w:r>
      <w:r w:rsidRPr="00AE7681">
        <w:rPr>
          <w:b/>
          <w:spacing w:val="-5"/>
        </w:rPr>
        <w:t xml:space="preserve"> </w:t>
      </w:r>
      <w:r w:rsidRPr="00AE7681">
        <w:rPr>
          <w:b/>
        </w:rPr>
        <w:t>de</w:t>
      </w:r>
      <w:r w:rsidRPr="00AE7681">
        <w:rPr>
          <w:b/>
          <w:spacing w:val="-4"/>
        </w:rPr>
        <w:t xml:space="preserve"> </w:t>
      </w:r>
      <w:r w:rsidRPr="00AE7681">
        <w:rPr>
          <w:b/>
        </w:rPr>
        <w:t>la</w:t>
      </w:r>
      <w:r w:rsidRPr="00AE7681">
        <w:rPr>
          <w:b/>
          <w:spacing w:val="-5"/>
        </w:rPr>
        <w:t xml:space="preserve"> </w:t>
      </w:r>
      <w:r w:rsidRPr="00AE7681">
        <w:rPr>
          <w:b/>
        </w:rPr>
        <w:t>política</w:t>
      </w:r>
      <w:r w:rsidRPr="00AE7681">
        <w:rPr>
          <w:b/>
          <w:spacing w:val="-5"/>
        </w:rPr>
        <w:t xml:space="preserve"> </w:t>
      </w:r>
      <w:r w:rsidRPr="00AE7681">
        <w:rPr>
          <w:b/>
        </w:rPr>
        <w:t>de</w:t>
      </w:r>
      <w:r w:rsidRPr="00AE7681">
        <w:rPr>
          <w:b/>
          <w:spacing w:val="-4"/>
        </w:rPr>
        <w:t xml:space="preserve"> </w:t>
      </w:r>
      <w:r w:rsidRPr="00AE7681">
        <w:rPr>
          <w:b/>
        </w:rPr>
        <w:t>drogas</w:t>
      </w:r>
      <w:r w:rsidRPr="00AE7681">
        <w:rPr>
          <w:b/>
          <w:spacing w:val="-4"/>
        </w:rPr>
        <w:t xml:space="preserve"> </w:t>
      </w:r>
      <w:r>
        <w:t>con</w:t>
      </w:r>
      <w:r w:rsidRPr="00AE7681">
        <w:rPr>
          <w:spacing w:val="-5"/>
        </w:rPr>
        <w:t xml:space="preserve"> </w:t>
      </w:r>
      <w:r>
        <w:t>el fin</w:t>
      </w:r>
      <w:r w:rsidRPr="00AE7681">
        <w:rPr>
          <w:spacing w:val="-7"/>
        </w:rPr>
        <w:t xml:space="preserve"> </w:t>
      </w:r>
      <w:r>
        <w:t>de</w:t>
      </w:r>
      <w:r w:rsidRPr="00AE7681">
        <w:rPr>
          <w:spacing w:val="-7"/>
        </w:rPr>
        <w:t xml:space="preserve"> </w:t>
      </w:r>
      <w:r>
        <w:t>que</w:t>
      </w:r>
      <w:r w:rsidRPr="00AE7681">
        <w:rPr>
          <w:spacing w:val="-7"/>
        </w:rPr>
        <w:t xml:space="preserve"> </w:t>
      </w:r>
      <w:r>
        <w:t>permita</w:t>
      </w:r>
      <w:r w:rsidRPr="00AE7681">
        <w:rPr>
          <w:spacing w:val="-7"/>
        </w:rPr>
        <w:t xml:space="preserve"> </w:t>
      </w:r>
      <w:r>
        <w:t>realmente</w:t>
      </w:r>
      <w:r w:rsidRPr="00AE7681">
        <w:rPr>
          <w:spacing w:val="-7"/>
        </w:rPr>
        <w:t xml:space="preserve"> </w:t>
      </w:r>
      <w:r>
        <w:t>medir</w:t>
      </w:r>
      <w:r w:rsidRPr="00AE7681">
        <w:rPr>
          <w:spacing w:val="-7"/>
        </w:rPr>
        <w:t xml:space="preserve"> </w:t>
      </w:r>
      <w:r>
        <w:t>sus</w:t>
      </w:r>
      <w:r w:rsidRPr="00AE7681">
        <w:rPr>
          <w:spacing w:val="-7"/>
        </w:rPr>
        <w:t xml:space="preserve"> </w:t>
      </w:r>
      <w:r>
        <w:t>impactos</w:t>
      </w:r>
      <w:r w:rsidRPr="00AE7681">
        <w:rPr>
          <w:spacing w:val="-8"/>
        </w:rPr>
        <w:t xml:space="preserve"> </w:t>
      </w:r>
      <w:r>
        <w:t>de</w:t>
      </w:r>
      <w:r w:rsidRPr="00AE7681">
        <w:rPr>
          <w:spacing w:val="-7"/>
        </w:rPr>
        <w:t xml:space="preserve"> </w:t>
      </w:r>
      <w:r>
        <w:t>largo</w:t>
      </w:r>
      <w:r w:rsidRPr="00AE7681">
        <w:rPr>
          <w:spacing w:val="-7"/>
        </w:rPr>
        <w:t xml:space="preserve"> </w:t>
      </w:r>
      <w:r>
        <w:t>plazo</w:t>
      </w:r>
      <w:r w:rsidRPr="00AE7681">
        <w:rPr>
          <w:spacing w:val="-7"/>
        </w:rPr>
        <w:t xml:space="preserve"> </w:t>
      </w:r>
      <w:r>
        <w:t>y</w:t>
      </w:r>
      <w:r w:rsidRPr="00AE7681">
        <w:rPr>
          <w:spacing w:val="-7"/>
        </w:rPr>
        <w:t xml:space="preserve"> </w:t>
      </w:r>
      <w:r>
        <w:t>tengan</w:t>
      </w:r>
      <w:r w:rsidRPr="00AE7681">
        <w:rPr>
          <w:spacing w:val="-7"/>
        </w:rPr>
        <w:t xml:space="preserve"> </w:t>
      </w:r>
      <w:r>
        <w:t>en</w:t>
      </w:r>
      <w:r w:rsidRPr="00AE7681">
        <w:rPr>
          <w:spacing w:val="-7"/>
        </w:rPr>
        <w:t xml:space="preserve"> </w:t>
      </w:r>
      <w:r>
        <w:t>cuenta</w:t>
      </w:r>
      <w:r w:rsidRPr="00AE7681">
        <w:rPr>
          <w:spacing w:val="-7"/>
        </w:rPr>
        <w:t xml:space="preserve"> </w:t>
      </w:r>
      <w:r>
        <w:t>la necesidad de un nuevo enfoque basado en los derechos humanos, la salud pública y el desarrollo sostenible.</w:t>
      </w:r>
    </w:p>
    <w:p w:rsidR="003804AC" w:rsidRDefault="00AF18A5" w:rsidP="004A6EF4">
      <w:pPr>
        <w:pStyle w:val="Prrafodelista"/>
        <w:numPr>
          <w:ilvl w:val="0"/>
          <w:numId w:val="42"/>
        </w:numPr>
      </w:pPr>
      <w:r>
        <w:t>Respetar, preservar y mantener los conocimientos tradicionales de comunidades indígenas, afrodescendientes y campesinas, promover su aplicación y prever condiciones para una participación justa y equitativa en los beneficios</w:t>
      </w:r>
      <w:r w:rsidRPr="00AE7681">
        <w:rPr>
          <w:spacing w:val="-1"/>
        </w:rPr>
        <w:t xml:space="preserve"> </w:t>
      </w:r>
      <w:r>
        <w:t>derivados</w:t>
      </w:r>
      <w:r w:rsidRPr="00AE7681">
        <w:rPr>
          <w:spacing w:val="-2"/>
        </w:rPr>
        <w:t xml:space="preserve"> </w:t>
      </w:r>
      <w:r>
        <w:t>del</w:t>
      </w:r>
      <w:r w:rsidRPr="00AE7681">
        <w:rPr>
          <w:spacing w:val="-2"/>
        </w:rPr>
        <w:t xml:space="preserve"> </w:t>
      </w:r>
      <w:r>
        <w:t>acceso,</w:t>
      </w:r>
      <w:r w:rsidRPr="00AE7681">
        <w:rPr>
          <w:spacing w:val="-2"/>
        </w:rPr>
        <w:t xml:space="preserve"> </w:t>
      </w:r>
      <w:r>
        <w:t>evitando</w:t>
      </w:r>
      <w:r w:rsidRPr="00AE7681">
        <w:rPr>
          <w:spacing w:val="-1"/>
        </w:rPr>
        <w:t xml:space="preserve"> </w:t>
      </w:r>
      <w:r>
        <w:t>que</w:t>
      </w:r>
      <w:r w:rsidRPr="00AE7681">
        <w:rPr>
          <w:spacing w:val="-1"/>
        </w:rPr>
        <w:t xml:space="preserve"> </w:t>
      </w:r>
      <w:r>
        <w:t>existan</w:t>
      </w:r>
      <w:r w:rsidRPr="00AE7681">
        <w:rPr>
          <w:spacing w:val="-2"/>
        </w:rPr>
        <w:t xml:space="preserve"> </w:t>
      </w:r>
      <w:r>
        <w:t>apropiaciones</w:t>
      </w:r>
      <w:r w:rsidRPr="00AE7681">
        <w:rPr>
          <w:spacing w:val="-2"/>
        </w:rPr>
        <w:t xml:space="preserve"> </w:t>
      </w:r>
      <w:r>
        <w:t>sobre</w:t>
      </w:r>
      <w:r w:rsidRPr="00AE7681">
        <w:rPr>
          <w:spacing w:val="-1"/>
        </w:rPr>
        <w:t xml:space="preserve"> </w:t>
      </w:r>
      <w:r>
        <w:t>el</w:t>
      </w:r>
      <w:r w:rsidRPr="00AE7681">
        <w:rPr>
          <w:spacing w:val="-2"/>
        </w:rPr>
        <w:t xml:space="preserve"> </w:t>
      </w:r>
      <w:r>
        <w:t>recurso genético a través de patentes o figuras similares.</w:t>
      </w:r>
    </w:p>
    <w:p w:rsidR="003804AC" w:rsidRDefault="00AF18A5" w:rsidP="004A6EF4">
      <w:pPr>
        <w:pStyle w:val="Prrafodelista"/>
        <w:numPr>
          <w:ilvl w:val="0"/>
          <w:numId w:val="42"/>
        </w:numPr>
      </w:pPr>
      <w:r>
        <w:t>Garantizar apoyo y financiación para la investigación interdisciplinaria de los usos medicinales, agroindustriales, nutricionales y otros usos alternativos de la hoja de coca y la marihuana.</w:t>
      </w:r>
    </w:p>
    <w:p w:rsidR="003804AC" w:rsidRDefault="00AF18A5" w:rsidP="004A6EF4">
      <w:pPr>
        <w:pStyle w:val="Prrafodelista"/>
        <w:numPr>
          <w:ilvl w:val="0"/>
          <w:numId w:val="42"/>
        </w:numPr>
      </w:pPr>
      <w:r>
        <w:t xml:space="preserve">Mientras que se avanza a la regulación, es necesario </w:t>
      </w:r>
      <w:r w:rsidRPr="00AE7681">
        <w:rPr>
          <w:b/>
        </w:rPr>
        <w:t>racionalizar la acción penal</w:t>
      </w:r>
      <w:r>
        <w:t>, aplicando el principio de proporcionalidad de la respuesta penal frente a la gravedad</w:t>
      </w:r>
      <w:r w:rsidRPr="00AE7681">
        <w:rPr>
          <w:spacing w:val="-14"/>
        </w:rPr>
        <w:t xml:space="preserve"> </w:t>
      </w:r>
      <w:r>
        <w:t>del</w:t>
      </w:r>
      <w:r w:rsidRPr="00AE7681">
        <w:rPr>
          <w:spacing w:val="-14"/>
        </w:rPr>
        <w:t xml:space="preserve"> </w:t>
      </w:r>
      <w:r>
        <w:t>delito,</w:t>
      </w:r>
      <w:r w:rsidRPr="00AE7681">
        <w:rPr>
          <w:spacing w:val="-14"/>
        </w:rPr>
        <w:t xml:space="preserve"> </w:t>
      </w:r>
      <w:r>
        <w:t>concentrando</w:t>
      </w:r>
      <w:r w:rsidRPr="00AE7681">
        <w:rPr>
          <w:spacing w:val="-14"/>
        </w:rPr>
        <w:t xml:space="preserve"> </w:t>
      </w:r>
      <w:r>
        <w:t>su</w:t>
      </w:r>
      <w:r w:rsidRPr="00AE7681">
        <w:rPr>
          <w:spacing w:val="-14"/>
        </w:rPr>
        <w:t xml:space="preserve"> </w:t>
      </w:r>
      <w:r>
        <w:t>ejercicio</w:t>
      </w:r>
      <w:r w:rsidRPr="00AE7681">
        <w:rPr>
          <w:spacing w:val="-13"/>
        </w:rPr>
        <w:t xml:space="preserve"> </w:t>
      </w:r>
      <w:r>
        <w:t>en</w:t>
      </w:r>
      <w:r w:rsidRPr="00AE7681">
        <w:rPr>
          <w:spacing w:val="-14"/>
        </w:rPr>
        <w:t xml:space="preserve"> </w:t>
      </w:r>
      <w:r>
        <w:t>los</w:t>
      </w:r>
      <w:r w:rsidRPr="00AE7681">
        <w:rPr>
          <w:spacing w:val="-13"/>
        </w:rPr>
        <w:t xml:space="preserve"> </w:t>
      </w:r>
      <w:r>
        <w:t>actores</w:t>
      </w:r>
      <w:r w:rsidRPr="00AE7681">
        <w:rPr>
          <w:spacing w:val="-14"/>
        </w:rPr>
        <w:t xml:space="preserve"> </w:t>
      </w:r>
      <w:r>
        <w:t>de</w:t>
      </w:r>
      <w:r w:rsidRPr="00AE7681">
        <w:rPr>
          <w:spacing w:val="-14"/>
        </w:rPr>
        <w:t xml:space="preserve"> </w:t>
      </w:r>
      <w:r>
        <w:t>la</w:t>
      </w:r>
      <w:r w:rsidRPr="00AE7681">
        <w:rPr>
          <w:spacing w:val="-14"/>
        </w:rPr>
        <w:t xml:space="preserve"> </w:t>
      </w:r>
      <w:r>
        <w:t>cadena</w:t>
      </w:r>
      <w:r w:rsidRPr="00AE7681">
        <w:rPr>
          <w:spacing w:val="-14"/>
        </w:rPr>
        <w:t xml:space="preserve"> </w:t>
      </w:r>
      <w:r>
        <w:t>que</w:t>
      </w:r>
      <w:r w:rsidRPr="00AE7681">
        <w:rPr>
          <w:spacing w:val="-13"/>
        </w:rPr>
        <w:t xml:space="preserve"> </w:t>
      </w:r>
      <w:r>
        <w:t>generan violencia, lavan dinero y se lucran de las actividades ilegales</w:t>
      </w:r>
      <w:r w:rsidR="00AE7681">
        <w:rPr>
          <w:rStyle w:val="Refdenotaalpie"/>
        </w:rPr>
        <w:footnoteReference w:id="1243"/>
      </w:r>
      <w:r>
        <w:t>. También es necesario</w:t>
      </w:r>
      <w:r w:rsidRPr="00AE7681">
        <w:rPr>
          <w:spacing w:val="-5"/>
        </w:rPr>
        <w:t xml:space="preserve"> </w:t>
      </w:r>
      <w:r>
        <w:t>aplicar</w:t>
      </w:r>
      <w:r w:rsidRPr="00AE7681">
        <w:rPr>
          <w:spacing w:val="-4"/>
        </w:rPr>
        <w:t xml:space="preserve"> </w:t>
      </w:r>
      <w:r w:rsidRPr="00AE7681">
        <w:rPr>
          <w:b/>
        </w:rPr>
        <w:t>medidas</w:t>
      </w:r>
      <w:r w:rsidRPr="00AE7681">
        <w:rPr>
          <w:b/>
          <w:spacing w:val="-5"/>
        </w:rPr>
        <w:t xml:space="preserve"> </w:t>
      </w:r>
      <w:r w:rsidRPr="00AE7681">
        <w:rPr>
          <w:b/>
        </w:rPr>
        <w:t>alternativas</w:t>
      </w:r>
      <w:r w:rsidRPr="00AE7681">
        <w:rPr>
          <w:b/>
          <w:spacing w:val="-5"/>
        </w:rPr>
        <w:t xml:space="preserve"> </w:t>
      </w:r>
      <w:r w:rsidRPr="00AE7681">
        <w:rPr>
          <w:b/>
        </w:rPr>
        <w:t>a</w:t>
      </w:r>
      <w:r w:rsidRPr="00AE7681">
        <w:rPr>
          <w:b/>
          <w:spacing w:val="-5"/>
        </w:rPr>
        <w:t xml:space="preserve"> </w:t>
      </w:r>
      <w:r w:rsidRPr="00AE7681">
        <w:rPr>
          <w:b/>
        </w:rPr>
        <w:t>la</w:t>
      </w:r>
      <w:r w:rsidRPr="00AE7681">
        <w:rPr>
          <w:b/>
          <w:spacing w:val="-5"/>
        </w:rPr>
        <w:t xml:space="preserve"> </w:t>
      </w:r>
      <w:r w:rsidRPr="00AE7681">
        <w:rPr>
          <w:b/>
        </w:rPr>
        <w:t>privación</w:t>
      </w:r>
      <w:r w:rsidRPr="00AE7681">
        <w:rPr>
          <w:b/>
          <w:spacing w:val="-5"/>
        </w:rPr>
        <w:t xml:space="preserve"> </w:t>
      </w:r>
      <w:r w:rsidRPr="00AE7681">
        <w:rPr>
          <w:b/>
        </w:rPr>
        <w:t>de</w:t>
      </w:r>
      <w:r w:rsidRPr="00AE7681">
        <w:rPr>
          <w:b/>
          <w:spacing w:val="-5"/>
        </w:rPr>
        <w:t xml:space="preserve"> </w:t>
      </w:r>
      <w:r w:rsidRPr="00AE7681">
        <w:rPr>
          <w:b/>
        </w:rPr>
        <w:t>la</w:t>
      </w:r>
      <w:r w:rsidRPr="00AE7681">
        <w:rPr>
          <w:b/>
          <w:spacing w:val="-6"/>
        </w:rPr>
        <w:t xml:space="preserve"> </w:t>
      </w:r>
      <w:r w:rsidRPr="00AE7681">
        <w:rPr>
          <w:b/>
        </w:rPr>
        <w:lastRenderedPageBreak/>
        <w:t>libertad</w:t>
      </w:r>
      <w:r w:rsidR="00AE7681">
        <w:rPr>
          <w:rStyle w:val="Refdenotaalpie"/>
          <w:b/>
        </w:rPr>
        <w:footnoteReference w:id="1244"/>
      </w:r>
      <w:r>
        <w:t>,</w:t>
      </w:r>
      <w:r w:rsidRPr="00AE7681">
        <w:rPr>
          <w:spacing w:val="-5"/>
        </w:rPr>
        <w:t xml:space="preserve"> </w:t>
      </w:r>
      <w:r>
        <w:t>e</w:t>
      </w:r>
      <w:r w:rsidRPr="00AE7681">
        <w:rPr>
          <w:spacing w:val="-5"/>
        </w:rPr>
        <w:t xml:space="preserve"> </w:t>
      </w:r>
      <w:r>
        <w:t>impulsar la excarcelación y otras medidas para la inclusión social y productiva y la atención psicosocial de personas privadas de la libertad por delitos menores.</w:t>
      </w:r>
    </w:p>
    <w:p w:rsidR="0011361F" w:rsidRDefault="00AF18A5" w:rsidP="004A6EF4">
      <w:pPr>
        <w:pStyle w:val="Ttulo3"/>
        <w:numPr>
          <w:ilvl w:val="1"/>
          <w:numId w:val="28"/>
        </w:numPr>
      </w:pPr>
      <w:bookmarkStart w:id="1604" w:name="4.2._Cooperación_internacional_sobre_pol"/>
      <w:bookmarkStart w:id="1605" w:name="_Toc112399701"/>
      <w:bookmarkEnd w:id="1604"/>
      <w:r w:rsidRPr="00AE7681">
        <w:t>Cooperación</w:t>
      </w:r>
      <w:r>
        <w:rPr>
          <w:spacing w:val="-6"/>
        </w:rPr>
        <w:t xml:space="preserve"> </w:t>
      </w:r>
      <w:r>
        <w:t>internacional</w:t>
      </w:r>
      <w:r>
        <w:rPr>
          <w:spacing w:val="-3"/>
        </w:rPr>
        <w:t xml:space="preserve"> </w:t>
      </w:r>
      <w:r>
        <w:t>sobre</w:t>
      </w:r>
      <w:r>
        <w:rPr>
          <w:spacing w:val="-2"/>
        </w:rPr>
        <w:t xml:space="preserve"> </w:t>
      </w:r>
      <w:r>
        <w:t>política</w:t>
      </w:r>
      <w:r>
        <w:rPr>
          <w:spacing w:val="-5"/>
        </w:rPr>
        <w:t xml:space="preserve"> </w:t>
      </w:r>
      <w:r>
        <w:t>de</w:t>
      </w:r>
      <w:r>
        <w:rPr>
          <w:spacing w:val="-2"/>
        </w:rPr>
        <w:t xml:space="preserve"> droga</w:t>
      </w:r>
      <w:bookmarkEnd w:id="1605"/>
    </w:p>
    <w:p w:rsidR="0011361F" w:rsidRDefault="00AF18A5" w:rsidP="00AE7681">
      <w:r>
        <w:t>Mediano</w:t>
      </w:r>
      <w:r>
        <w:rPr>
          <w:spacing w:val="-3"/>
        </w:rPr>
        <w:t xml:space="preserve"> </w:t>
      </w:r>
      <w:r>
        <w:rPr>
          <w:spacing w:val="-2"/>
        </w:rPr>
        <w:t>plazo</w:t>
      </w:r>
    </w:p>
    <w:p w:rsidR="00AE7681" w:rsidRDefault="00AF18A5" w:rsidP="004A6EF4">
      <w:pPr>
        <w:pStyle w:val="Prrafodelista"/>
        <w:numPr>
          <w:ilvl w:val="0"/>
          <w:numId w:val="31"/>
        </w:numPr>
        <w:ind w:right="1338"/>
        <w:jc w:val="both"/>
      </w:pPr>
      <w:r>
        <w:t xml:space="preserve">Al Gobierno Nacional, a través del Ministerio de Relaciones Exteriores, </w:t>
      </w:r>
      <w:r w:rsidRPr="00AE7681">
        <w:rPr>
          <w:b/>
        </w:rPr>
        <w:t>reformular su política</w:t>
      </w:r>
      <w:r w:rsidRPr="00AE7681">
        <w:rPr>
          <w:b/>
          <w:spacing w:val="25"/>
        </w:rPr>
        <w:t xml:space="preserve"> </w:t>
      </w:r>
      <w:r w:rsidRPr="00AE7681">
        <w:rPr>
          <w:b/>
        </w:rPr>
        <w:t>internacional</w:t>
      </w:r>
      <w:r w:rsidRPr="00AE7681">
        <w:rPr>
          <w:b/>
          <w:spacing w:val="24"/>
        </w:rPr>
        <w:t xml:space="preserve"> </w:t>
      </w:r>
      <w:r w:rsidRPr="00AE7681">
        <w:rPr>
          <w:b/>
        </w:rPr>
        <w:t>frente</w:t>
      </w:r>
      <w:r w:rsidRPr="00AE7681">
        <w:rPr>
          <w:b/>
          <w:spacing w:val="25"/>
        </w:rPr>
        <w:t xml:space="preserve"> </w:t>
      </w:r>
      <w:r w:rsidRPr="00AE7681">
        <w:rPr>
          <w:b/>
        </w:rPr>
        <w:t>a</w:t>
      </w:r>
      <w:r w:rsidRPr="00AE7681">
        <w:rPr>
          <w:b/>
          <w:spacing w:val="25"/>
        </w:rPr>
        <w:t xml:space="preserve"> </w:t>
      </w:r>
      <w:r w:rsidRPr="00AE7681">
        <w:rPr>
          <w:b/>
        </w:rPr>
        <w:t>las</w:t>
      </w:r>
      <w:r w:rsidRPr="00AE7681">
        <w:rPr>
          <w:b/>
          <w:spacing w:val="24"/>
        </w:rPr>
        <w:t xml:space="preserve"> </w:t>
      </w:r>
      <w:r w:rsidRPr="00AE7681">
        <w:rPr>
          <w:b/>
        </w:rPr>
        <w:t>drogas</w:t>
      </w:r>
      <w:r>
        <w:t>,</w:t>
      </w:r>
      <w:r w:rsidRPr="00AE7681">
        <w:rPr>
          <w:spacing w:val="25"/>
        </w:rPr>
        <w:t xml:space="preserve"> </w:t>
      </w:r>
      <w:r>
        <w:t>en</w:t>
      </w:r>
      <w:r w:rsidRPr="00AE7681">
        <w:rPr>
          <w:spacing w:val="25"/>
        </w:rPr>
        <w:t xml:space="preserve"> </w:t>
      </w:r>
      <w:r>
        <w:t>particular</w:t>
      </w:r>
      <w:r w:rsidRPr="00AE7681">
        <w:rPr>
          <w:spacing w:val="25"/>
        </w:rPr>
        <w:t xml:space="preserve"> </w:t>
      </w:r>
      <w:r>
        <w:t>con</w:t>
      </w:r>
      <w:r w:rsidRPr="00AE7681">
        <w:rPr>
          <w:spacing w:val="25"/>
        </w:rPr>
        <w:t xml:space="preserve"> </w:t>
      </w:r>
      <w:r>
        <w:t>el</w:t>
      </w:r>
      <w:r w:rsidRPr="00AE7681">
        <w:rPr>
          <w:spacing w:val="25"/>
        </w:rPr>
        <w:t xml:space="preserve"> </w:t>
      </w:r>
      <w:r>
        <w:t>Gobierno</w:t>
      </w:r>
      <w:r w:rsidRPr="00AE7681">
        <w:rPr>
          <w:spacing w:val="25"/>
        </w:rPr>
        <w:t xml:space="preserve"> </w:t>
      </w:r>
      <w:r>
        <w:t>de</w:t>
      </w:r>
      <w:r w:rsidRPr="00AE7681">
        <w:rPr>
          <w:spacing w:val="25"/>
        </w:rPr>
        <w:t xml:space="preserve"> </w:t>
      </w:r>
      <w:r>
        <w:t>los</w:t>
      </w:r>
      <w:r w:rsidRPr="00AE7681">
        <w:rPr>
          <w:spacing w:val="24"/>
        </w:rPr>
        <w:t xml:space="preserve"> </w:t>
      </w:r>
      <w:r w:rsidRPr="00AE7681">
        <w:rPr>
          <w:spacing w:val="-2"/>
        </w:rPr>
        <w:t>Estados</w:t>
      </w:r>
      <w:bookmarkStart w:id="1606" w:name="_bookmark1397"/>
      <w:bookmarkStart w:id="1607" w:name="_bookmark1398"/>
      <w:bookmarkEnd w:id="1606"/>
      <w:bookmarkEnd w:id="1607"/>
      <w:r w:rsidR="00AE7681" w:rsidRPr="00AE7681">
        <w:rPr>
          <w:spacing w:val="-2"/>
        </w:rPr>
        <w:t xml:space="preserve"> </w:t>
      </w:r>
      <w:r>
        <w:t>Unidos, para ajustarla a una nueva visión que permita avanzar hacia la regulación legal y</w:t>
      </w:r>
      <w:r w:rsidRPr="00AE7681">
        <w:rPr>
          <w:spacing w:val="80"/>
        </w:rPr>
        <w:t xml:space="preserve"> </w:t>
      </w:r>
      <w:r>
        <w:t>hacer más transparente el campo de acción de las agencias extranjeras en Colombia.</w:t>
      </w:r>
    </w:p>
    <w:p w:rsidR="00AE7681" w:rsidRDefault="00AE7681">
      <w:pPr>
        <w:spacing w:before="0" w:after="0" w:line="240" w:lineRule="auto"/>
      </w:pPr>
      <w:r>
        <w:br w:type="page"/>
      </w:r>
    </w:p>
    <w:p w:rsidR="003804AC" w:rsidRDefault="00AF18A5" w:rsidP="004A6EF4">
      <w:pPr>
        <w:pStyle w:val="Ttulo2"/>
        <w:numPr>
          <w:ilvl w:val="0"/>
          <w:numId w:val="28"/>
        </w:numPr>
      </w:pPr>
      <w:bookmarkStart w:id="1608" w:name="5._PARA_SUPERAR_LA_IMPUNIDAD_DE_GRAVES_V"/>
      <w:bookmarkStart w:id="1609" w:name="_Toc112399702"/>
      <w:bookmarkEnd w:id="1608"/>
      <w:r>
        <w:lastRenderedPageBreak/>
        <w:t>PARA</w:t>
      </w:r>
      <w:r>
        <w:rPr>
          <w:spacing w:val="-7"/>
        </w:rPr>
        <w:t xml:space="preserve"> </w:t>
      </w:r>
      <w:r>
        <w:t>SUPERAR</w:t>
      </w:r>
      <w:r>
        <w:rPr>
          <w:spacing w:val="-9"/>
        </w:rPr>
        <w:t xml:space="preserve"> </w:t>
      </w:r>
      <w:r>
        <w:t>LA</w:t>
      </w:r>
      <w:r>
        <w:rPr>
          <w:spacing w:val="-9"/>
        </w:rPr>
        <w:t xml:space="preserve"> </w:t>
      </w:r>
      <w:r>
        <w:t>IMPUNIDAD</w:t>
      </w:r>
      <w:r>
        <w:rPr>
          <w:spacing w:val="-9"/>
        </w:rPr>
        <w:t xml:space="preserve"> </w:t>
      </w:r>
      <w:r>
        <w:t>DE</w:t>
      </w:r>
      <w:r>
        <w:rPr>
          <w:spacing w:val="-9"/>
        </w:rPr>
        <w:t xml:space="preserve"> </w:t>
      </w:r>
      <w:r>
        <w:t>GRAVES</w:t>
      </w:r>
      <w:r>
        <w:rPr>
          <w:spacing w:val="-8"/>
        </w:rPr>
        <w:t xml:space="preserve"> </w:t>
      </w:r>
      <w:r>
        <w:t>VIOLACIONES</w:t>
      </w:r>
      <w:r>
        <w:rPr>
          <w:spacing w:val="-8"/>
        </w:rPr>
        <w:t xml:space="preserve"> </w:t>
      </w:r>
      <w:r>
        <w:t>DE LOS DERECHOS HUMANOS E INFRACCIONES AL DIH, JUDICIALIZAR LOS ENTRAMADOS DE CRIMINALIDAD ORGANIZADA Y CORRUPCIÓN, Y MEJORAR EL ACCESO A LA JUSTICIA</w:t>
      </w:r>
      <w:r>
        <w:rPr>
          <w:spacing w:val="-3"/>
        </w:rPr>
        <w:t xml:space="preserve"> </w:t>
      </w:r>
      <w:r>
        <w:t>LOCAL</w:t>
      </w:r>
      <w:bookmarkEnd w:id="1609"/>
    </w:p>
    <w:p w:rsidR="0011361F" w:rsidRDefault="00AF18A5" w:rsidP="00F527EF">
      <w:r>
        <w:t>¿Qué</w:t>
      </w:r>
      <w:r>
        <w:rPr>
          <w:spacing w:val="-3"/>
        </w:rPr>
        <w:t xml:space="preserve"> </w:t>
      </w:r>
      <w:r>
        <w:t>habría</w:t>
      </w:r>
      <w:r>
        <w:rPr>
          <w:spacing w:val="-3"/>
        </w:rPr>
        <w:t xml:space="preserve"> </w:t>
      </w:r>
      <w:r>
        <w:t>que</w:t>
      </w:r>
      <w:r>
        <w:rPr>
          <w:spacing w:val="-3"/>
        </w:rPr>
        <w:t xml:space="preserve"> </w:t>
      </w:r>
      <w:r>
        <w:t>hacer?</w:t>
      </w:r>
      <w:r>
        <w:rPr>
          <w:spacing w:val="-2"/>
        </w:rPr>
        <w:t xml:space="preserve"> </w:t>
      </w:r>
      <w:r>
        <w:t>Que</w:t>
      </w:r>
      <w:r>
        <w:rPr>
          <w:spacing w:val="-3"/>
        </w:rPr>
        <w:t xml:space="preserve"> </w:t>
      </w:r>
      <w:r>
        <w:t>esto</w:t>
      </w:r>
      <w:r>
        <w:rPr>
          <w:spacing w:val="-2"/>
        </w:rPr>
        <w:t xml:space="preserve"> </w:t>
      </w:r>
      <w:r>
        <w:t>no</w:t>
      </w:r>
      <w:r>
        <w:rPr>
          <w:spacing w:val="-2"/>
        </w:rPr>
        <w:t xml:space="preserve"> </w:t>
      </w:r>
      <w:r>
        <w:t>se</w:t>
      </w:r>
      <w:r>
        <w:rPr>
          <w:spacing w:val="-3"/>
        </w:rPr>
        <w:t xml:space="preserve"> </w:t>
      </w:r>
      <w:r>
        <w:t>vuelva</w:t>
      </w:r>
      <w:r>
        <w:rPr>
          <w:spacing w:val="-2"/>
        </w:rPr>
        <w:t xml:space="preserve"> </w:t>
      </w:r>
      <w:r>
        <w:t>a</w:t>
      </w:r>
      <w:r>
        <w:rPr>
          <w:spacing w:val="-2"/>
        </w:rPr>
        <w:t xml:space="preserve"> </w:t>
      </w:r>
      <w:r>
        <w:t>repetir,</w:t>
      </w:r>
      <w:r>
        <w:rPr>
          <w:spacing w:val="-2"/>
        </w:rPr>
        <w:t xml:space="preserve"> </w:t>
      </w:r>
      <w:r>
        <w:t>que</w:t>
      </w:r>
      <w:r>
        <w:rPr>
          <w:spacing w:val="-3"/>
        </w:rPr>
        <w:t xml:space="preserve"> </w:t>
      </w:r>
      <w:r>
        <w:t>se</w:t>
      </w:r>
      <w:r>
        <w:rPr>
          <w:spacing w:val="-3"/>
        </w:rPr>
        <w:t xml:space="preserve"> </w:t>
      </w:r>
      <w:r>
        <w:t>haga</w:t>
      </w:r>
      <w:r>
        <w:rPr>
          <w:spacing w:val="-2"/>
        </w:rPr>
        <w:t xml:space="preserve"> </w:t>
      </w:r>
      <w:r>
        <w:t>justicia,</w:t>
      </w:r>
      <w:r>
        <w:rPr>
          <w:spacing w:val="-3"/>
        </w:rPr>
        <w:t xml:space="preserve"> </w:t>
      </w:r>
      <w:r>
        <w:t>pues</w:t>
      </w:r>
      <w:r>
        <w:rPr>
          <w:spacing w:val="-3"/>
        </w:rPr>
        <w:t xml:space="preserve"> </w:t>
      </w:r>
      <w:r>
        <w:t>y</w:t>
      </w:r>
      <w:r>
        <w:rPr>
          <w:spacing w:val="-3"/>
        </w:rPr>
        <w:t xml:space="preserve"> </w:t>
      </w:r>
      <w:r>
        <w:t>que vivamos.</w:t>
      </w:r>
      <w:r>
        <w:rPr>
          <w:spacing w:val="-6"/>
        </w:rPr>
        <w:t xml:space="preserve"> </w:t>
      </w:r>
      <w:r>
        <w:t>Sí,</w:t>
      </w:r>
      <w:r>
        <w:rPr>
          <w:spacing w:val="-6"/>
        </w:rPr>
        <w:t xml:space="preserve"> </w:t>
      </w:r>
      <w:r>
        <w:t>que</w:t>
      </w:r>
      <w:r>
        <w:rPr>
          <w:spacing w:val="-7"/>
        </w:rPr>
        <w:t xml:space="preserve"> </w:t>
      </w:r>
      <w:r>
        <w:t>se</w:t>
      </w:r>
      <w:r>
        <w:rPr>
          <w:spacing w:val="-7"/>
        </w:rPr>
        <w:t xml:space="preserve"> </w:t>
      </w:r>
      <w:r>
        <w:t>haga</w:t>
      </w:r>
      <w:r>
        <w:rPr>
          <w:spacing w:val="-6"/>
        </w:rPr>
        <w:t xml:space="preserve"> </w:t>
      </w:r>
      <w:r>
        <w:t>justicia,</w:t>
      </w:r>
      <w:r>
        <w:rPr>
          <w:spacing w:val="-5"/>
        </w:rPr>
        <w:t xml:space="preserve"> </w:t>
      </w:r>
      <w:r>
        <w:t>y</w:t>
      </w:r>
      <w:r>
        <w:rPr>
          <w:spacing w:val="-7"/>
        </w:rPr>
        <w:t xml:space="preserve"> </w:t>
      </w:r>
      <w:r>
        <w:t>que</w:t>
      </w:r>
      <w:r>
        <w:rPr>
          <w:spacing w:val="-7"/>
        </w:rPr>
        <w:t xml:space="preserve"> </w:t>
      </w:r>
      <w:r>
        <w:t>haya</w:t>
      </w:r>
      <w:r>
        <w:rPr>
          <w:spacing w:val="-6"/>
        </w:rPr>
        <w:t xml:space="preserve"> </w:t>
      </w:r>
      <w:r>
        <w:t>más,</w:t>
      </w:r>
      <w:r>
        <w:rPr>
          <w:spacing w:val="-6"/>
        </w:rPr>
        <w:t xml:space="preserve"> </w:t>
      </w:r>
      <w:r>
        <w:t>que</w:t>
      </w:r>
      <w:r>
        <w:rPr>
          <w:spacing w:val="-7"/>
        </w:rPr>
        <w:t xml:space="preserve"> </w:t>
      </w:r>
      <w:r>
        <w:t>acaben</w:t>
      </w:r>
      <w:r>
        <w:rPr>
          <w:spacing w:val="-6"/>
        </w:rPr>
        <w:t xml:space="preserve"> </w:t>
      </w:r>
      <w:r>
        <w:t>con</w:t>
      </w:r>
      <w:r>
        <w:rPr>
          <w:spacing w:val="-6"/>
        </w:rPr>
        <w:t xml:space="preserve"> </w:t>
      </w:r>
      <w:r>
        <w:t>la</w:t>
      </w:r>
      <w:r>
        <w:rPr>
          <w:spacing w:val="-6"/>
        </w:rPr>
        <w:t xml:space="preserve"> </w:t>
      </w:r>
      <w:r>
        <w:t>impunidad,</w:t>
      </w:r>
      <w:r>
        <w:rPr>
          <w:spacing w:val="-7"/>
        </w:rPr>
        <w:t xml:space="preserve"> </w:t>
      </w:r>
      <w:r>
        <w:t>porque</w:t>
      </w:r>
      <w:r>
        <w:rPr>
          <w:spacing w:val="-7"/>
        </w:rPr>
        <w:t xml:space="preserve"> </w:t>
      </w:r>
      <w:r>
        <w:rPr>
          <w:spacing w:val="-2"/>
        </w:rPr>
        <w:t>mientras</w:t>
      </w:r>
      <w:r w:rsidR="00F527EF">
        <w:rPr>
          <w:spacing w:val="-2"/>
        </w:rPr>
        <w:t xml:space="preserve"> </w:t>
      </w:r>
      <w:r>
        <w:t>haya</w:t>
      </w:r>
      <w:r>
        <w:rPr>
          <w:spacing w:val="-8"/>
        </w:rPr>
        <w:t xml:space="preserve"> </w:t>
      </w:r>
      <w:r>
        <w:t>tanta</w:t>
      </w:r>
      <w:r>
        <w:rPr>
          <w:spacing w:val="-7"/>
        </w:rPr>
        <w:t xml:space="preserve"> </w:t>
      </w:r>
      <w:r>
        <w:t>impunidad</w:t>
      </w:r>
      <w:r>
        <w:rPr>
          <w:spacing w:val="-7"/>
        </w:rPr>
        <w:t xml:space="preserve"> </w:t>
      </w:r>
      <w:r>
        <w:t>van</w:t>
      </w:r>
      <w:r>
        <w:rPr>
          <w:spacing w:val="-8"/>
        </w:rPr>
        <w:t xml:space="preserve"> </w:t>
      </w:r>
      <w:r>
        <w:t>a</w:t>
      </w:r>
      <w:r>
        <w:rPr>
          <w:spacing w:val="-7"/>
        </w:rPr>
        <w:t xml:space="preserve"> </w:t>
      </w:r>
      <w:r>
        <w:t>seguir</w:t>
      </w:r>
      <w:r>
        <w:rPr>
          <w:spacing w:val="-8"/>
        </w:rPr>
        <w:t xml:space="preserve"> </w:t>
      </w:r>
      <w:r>
        <w:t>ocurriendo</w:t>
      </w:r>
      <w:r>
        <w:rPr>
          <w:spacing w:val="-8"/>
        </w:rPr>
        <w:t xml:space="preserve"> </w:t>
      </w:r>
      <w:r>
        <w:t>estos</w:t>
      </w:r>
      <w:r>
        <w:rPr>
          <w:spacing w:val="-8"/>
        </w:rPr>
        <w:t xml:space="preserve"> </w:t>
      </w:r>
      <w:r>
        <w:rPr>
          <w:spacing w:val="-2"/>
        </w:rPr>
        <w:t>hechos</w:t>
      </w:r>
      <w:r w:rsidR="00661BC3">
        <w:rPr>
          <w:rStyle w:val="Refdenotaalpie"/>
          <w:spacing w:val="-2"/>
        </w:rPr>
        <w:footnoteReference w:id="1245"/>
      </w:r>
      <w:r>
        <w:rPr>
          <w:spacing w:val="-2"/>
        </w:rPr>
        <w:t>.</w:t>
      </w:r>
    </w:p>
    <w:p w:rsidR="003804AC" w:rsidRDefault="00AF18A5" w:rsidP="00661BC3">
      <w:r>
        <w:t>Mejorar</w:t>
      </w:r>
      <w:r>
        <w:rPr>
          <w:spacing w:val="-15"/>
        </w:rPr>
        <w:t xml:space="preserve"> </w:t>
      </w:r>
      <w:r>
        <w:t>la</w:t>
      </w:r>
      <w:r>
        <w:rPr>
          <w:spacing w:val="-15"/>
        </w:rPr>
        <w:t xml:space="preserve"> </w:t>
      </w:r>
      <w:r>
        <w:t>respuesta</w:t>
      </w:r>
      <w:r>
        <w:rPr>
          <w:spacing w:val="-15"/>
        </w:rPr>
        <w:t xml:space="preserve"> </w:t>
      </w:r>
      <w:r>
        <w:t>del</w:t>
      </w:r>
      <w:r>
        <w:rPr>
          <w:spacing w:val="-15"/>
        </w:rPr>
        <w:t xml:space="preserve"> </w:t>
      </w:r>
      <w:r>
        <w:t>Estado</w:t>
      </w:r>
      <w:r>
        <w:rPr>
          <w:spacing w:val="-15"/>
        </w:rPr>
        <w:t xml:space="preserve"> </w:t>
      </w:r>
      <w:r>
        <w:t>ante</w:t>
      </w:r>
      <w:r>
        <w:rPr>
          <w:spacing w:val="-15"/>
        </w:rPr>
        <w:t xml:space="preserve"> </w:t>
      </w:r>
      <w:r>
        <w:t>las</w:t>
      </w:r>
      <w:r>
        <w:rPr>
          <w:spacing w:val="-15"/>
        </w:rPr>
        <w:t xml:space="preserve"> </w:t>
      </w:r>
      <w:r>
        <w:t>violaciones</w:t>
      </w:r>
      <w:r>
        <w:rPr>
          <w:spacing w:val="-15"/>
        </w:rPr>
        <w:t xml:space="preserve"> </w:t>
      </w:r>
      <w:r>
        <w:t>de</w:t>
      </w:r>
      <w:r>
        <w:rPr>
          <w:spacing w:val="-15"/>
        </w:rPr>
        <w:t xml:space="preserve"> </w:t>
      </w:r>
      <w:r>
        <w:t>los</w:t>
      </w:r>
      <w:r>
        <w:rPr>
          <w:spacing w:val="-15"/>
        </w:rPr>
        <w:t xml:space="preserve"> </w:t>
      </w:r>
      <w:r>
        <w:t>derechos</w:t>
      </w:r>
      <w:r>
        <w:rPr>
          <w:spacing w:val="-15"/>
        </w:rPr>
        <w:t xml:space="preserve"> </w:t>
      </w:r>
      <w:r>
        <w:t>humanos,</w:t>
      </w:r>
      <w:r>
        <w:rPr>
          <w:spacing w:val="-15"/>
        </w:rPr>
        <w:t xml:space="preserve"> </w:t>
      </w:r>
      <w:r>
        <w:t>la</w:t>
      </w:r>
      <w:r>
        <w:rPr>
          <w:spacing w:val="-15"/>
        </w:rPr>
        <w:t xml:space="preserve"> </w:t>
      </w:r>
      <w:r>
        <w:t>criminalidad organizada</w:t>
      </w:r>
      <w:r>
        <w:rPr>
          <w:spacing w:val="47"/>
        </w:rPr>
        <w:t xml:space="preserve"> </w:t>
      </w:r>
      <w:r>
        <w:t>y</w:t>
      </w:r>
      <w:r>
        <w:rPr>
          <w:spacing w:val="50"/>
        </w:rPr>
        <w:t xml:space="preserve"> </w:t>
      </w:r>
      <w:r>
        <w:t>las</w:t>
      </w:r>
      <w:r>
        <w:rPr>
          <w:spacing w:val="49"/>
        </w:rPr>
        <w:t xml:space="preserve"> </w:t>
      </w:r>
      <w:r>
        <w:t>necesidades</w:t>
      </w:r>
      <w:r>
        <w:rPr>
          <w:spacing w:val="50"/>
        </w:rPr>
        <w:t xml:space="preserve"> </w:t>
      </w:r>
      <w:r>
        <w:t>de</w:t>
      </w:r>
      <w:r>
        <w:rPr>
          <w:spacing w:val="50"/>
        </w:rPr>
        <w:t xml:space="preserve"> </w:t>
      </w:r>
      <w:r>
        <w:t>la</w:t>
      </w:r>
      <w:r>
        <w:rPr>
          <w:spacing w:val="48"/>
        </w:rPr>
        <w:t xml:space="preserve"> </w:t>
      </w:r>
      <w:r>
        <w:t>ciudadanía</w:t>
      </w:r>
      <w:r>
        <w:rPr>
          <w:spacing w:val="49"/>
        </w:rPr>
        <w:t xml:space="preserve"> </w:t>
      </w:r>
      <w:r>
        <w:t>de</w:t>
      </w:r>
      <w:r>
        <w:rPr>
          <w:spacing w:val="49"/>
        </w:rPr>
        <w:t xml:space="preserve"> </w:t>
      </w:r>
      <w:r>
        <w:t>resolver</w:t>
      </w:r>
      <w:r>
        <w:rPr>
          <w:spacing w:val="49"/>
        </w:rPr>
        <w:t xml:space="preserve"> </w:t>
      </w:r>
      <w:r>
        <w:t>sus</w:t>
      </w:r>
      <w:r>
        <w:rPr>
          <w:spacing w:val="50"/>
        </w:rPr>
        <w:t xml:space="preserve"> </w:t>
      </w:r>
      <w:r>
        <w:t>conflictos</w:t>
      </w:r>
      <w:r>
        <w:rPr>
          <w:spacing w:val="49"/>
        </w:rPr>
        <w:t xml:space="preserve"> </w:t>
      </w:r>
      <w:r>
        <w:t>es</w:t>
      </w:r>
      <w:r>
        <w:rPr>
          <w:spacing w:val="50"/>
        </w:rPr>
        <w:t xml:space="preserve"> </w:t>
      </w:r>
      <w:r>
        <w:t>una</w:t>
      </w:r>
      <w:r>
        <w:rPr>
          <w:spacing w:val="50"/>
        </w:rPr>
        <w:t xml:space="preserve"> </w:t>
      </w:r>
      <w:r>
        <w:rPr>
          <w:spacing w:val="-2"/>
        </w:rPr>
        <w:t>deuda</w:t>
      </w:r>
      <w:bookmarkStart w:id="1610" w:name="_bookmark1400"/>
      <w:bookmarkEnd w:id="1610"/>
      <w:r w:rsidR="00661BC3">
        <w:t xml:space="preserve"> </w:t>
      </w:r>
      <w:r>
        <w:t>inaplazable. Si bien el Gobierno y la Rama Judicial han hecho esfuerzos importantes para superar la impunidad y fortalecer la oferta y el acceso a la justicia, no se ha logrado la judicialización efectiva</w:t>
      </w:r>
      <w:r>
        <w:rPr>
          <w:spacing w:val="-1"/>
        </w:rPr>
        <w:t xml:space="preserve"> </w:t>
      </w:r>
      <w:r>
        <w:t>de graves crímenes y tampoco ha sido posible consolidar una oferta efectiva de justicia en todo el territorio nacional.</w:t>
      </w:r>
    </w:p>
    <w:p w:rsidR="003804AC" w:rsidRDefault="00AF18A5" w:rsidP="00661BC3">
      <w:r>
        <w:t xml:space="preserve">La persecución de los responsables de violaciones a los derechos humanos y de infracciones al DIH y de quienes son parte de redes de criminalidad organizada ha sido obstaculizada por diversos factores. Estos incluyen el tamaño desproporcionado de la criminalidad; la falta de independencia producto de los diseños institucionales y de la cooptación de algunos funcionarios de la justicia por parte de actores legales e ilegales; la violencia que han enfrentado los funcionarios al </w:t>
      </w:r>
      <w:r>
        <w:lastRenderedPageBreak/>
        <w:t>ejercer labores de investigación y juzgamiento; la aplicación desigual de la justicia, producto de la estigmatización a ciertos sectores</w:t>
      </w:r>
      <w:r>
        <w:rPr>
          <w:spacing w:val="-9"/>
        </w:rPr>
        <w:t xml:space="preserve"> </w:t>
      </w:r>
      <w:r>
        <w:t>sociales;</w:t>
      </w:r>
      <w:r>
        <w:rPr>
          <w:spacing w:val="-9"/>
        </w:rPr>
        <w:t xml:space="preserve"> </w:t>
      </w:r>
      <w:r>
        <w:t>y</w:t>
      </w:r>
      <w:r>
        <w:rPr>
          <w:spacing w:val="-9"/>
        </w:rPr>
        <w:t xml:space="preserve"> </w:t>
      </w:r>
      <w:r>
        <w:t>la</w:t>
      </w:r>
      <w:r>
        <w:rPr>
          <w:spacing w:val="-9"/>
        </w:rPr>
        <w:t xml:space="preserve"> </w:t>
      </w:r>
      <w:r>
        <w:t>subordinación</w:t>
      </w:r>
      <w:r>
        <w:rPr>
          <w:spacing w:val="-9"/>
        </w:rPr>
        <w:t xml:space="preserve"> </w:t>
      </w:r>
      <w:r>
        <w:t>de</w:t>
      </w:r>
      <w:r>
        <w:rPr>
          <w:spacing w:val="-9"/>
        </w:rPr>
        <w:t xml:space="preserve"> </w:t>
      </w:r>
      <w:r>
        <w:t>la</w:t>
      </w:r>
      <w:r>
        <w:rPr>
          <w:spacing w:val="-9"/>
        </w:rPr>
        <w:t xml:space="preserve"> </w:t>
      </w:r>
      <w:r>
        <w:t>política</w:t>
      </w:r>
      <w:r>
        <w:rPr>
          <w:spacing w:val="-9"/>
        </w:rPr>
        <w:t xml:space="preserve"> </w:t>
      </w:r>
      <w:r>
        <w:t>criminal</w:t>
      </w:r>
      <w:r>
        <w:rPr>
          <w:spacing w:val="-9"/>
        </w:rPr>
        <w:t xml:space="preserve"> </w:t>
      </w:r>
      <w:r>
        <w:t>a</w:t>
      </w:r>
      <w:r>
        <w:rPr>
          <w:spacing w:val="-9"/>
        </w:rPr>
        <w:t xml:space="preserve"> </w:t>
      </w:r>
      <w:r>
        <w:t>las</w:t>
      </w:r>
      <w:r>
        <w:rPr>
          <w:spacing w:val="-9"/>
        </w:rPr>
        <w:t xml:space="preserve"> </w:t>
      </w:r>
      <w:r>
        <w:t>prioridades</w:t>
      </w:r>
      <w:r>
        <w:rPr>
          <w:spacing w:val="-9"/>
        </w:rPr>
        <w:t xml:space="preserve"> </w:t>
      </w:r>
      <w:r>
        <w:t>de</w:t>
      </w:r>
      <w:r>
        <w:rPr>
          <w:spacing w:val="-9"/>
        </w:rPr>
        <w:t xml:space="preserve"> </w:t>
      </w:r>
      <w:r>
        <w:t>seguridad</w:t>
      </w:r>
      <w:r>
        <w:rPr>
          <w:spacing w:val="-9"/>
        </w:rPr>
        <w:t xml:space="preserve"> </w:t>
      </w:r>
      <w:r>
        <w:t>del Gobierno. Y la corrupción,</w:t>
      </w:r>
    </w:p>
    <w:p w:rsidR="003804AC" w:rsidRDefault="00AF18A5" w:rsidP="00661BC3">
      <w:r>
        <w:t>Las recomendaciones propuestas en</w:t>
      </w:r>
      <w:r>
        <w:rPr>
          <w:spacing w:val="-1"/>
        </w:rPr>
        <w:t xml:space="preserve"> </w:t>
      </w:r>
      <w:r>
        <w:t>materia de justicia tienen como propósito mejorar</w:t>
      </w:r>
      <w:r>
        <w:rPr>
          <w:spacing w:val="-1"/>
        </w:rPr>
        <w:t xml:space="preserve"> </w:t>
      </w:r>
      <w:r>
        <w:t>la respuesta del Estado para combatir la impunidad, contribuir al desmantelamiento de organizaciones criminales, los entramados que las soportan</w:t>
      </w:r>
      <w:r>
        <w:rPr>
          <w:spacing w:val="40"/>
        </w:rPr>
        <w:t xml:space="preserve"> </w:t>
      </w:r>
      <w:r>
        <w:t>y garantizar el acceso a mecanismos</w:t>
      </w:r>
      <w:r>
        <w:rPr>
          <w:spacing w:val="-3"/>
        </w:rPr>
        <w:t xml:space="preserve"> </w:t>
      </w:r>
      <w:r>
        <w:t>para</w:t>
      </w:r>
      <w:r>
        <w:rPr>
          <w:spacing w:val="-2"/>
        </w:rPr>
        <w:t xml:space="preserve"> </w:t>
      </w:r>
      <w:r>
        <w:t>la</w:t>
      </w:r>
      <w:r>
        <w:rPr>
          <w:spacing w:val="-3"/>
        </w:rPr>
        <w:t xml:space="preserve"> </w:t>
      </w:r>
      <w:r>
        <w:t>resolución</w:t>
      </w:r>
      <w:r>
        <w:rPr>
          <w:spacing w:val="-2"/>
        </w:rPr>
        <w:t xml:space="preserve"> </w:t>
      </w:r>
      <w:r>
        <w:t>de</w:t>
      </w:r>
      <w:r>
        <w:rPr>
          <w:spacing w:val="-2"/>
        </w:rPr>
        <w:t xml:space="preserve"> </w:t>
      </w:r>
      <w:r>
        <w:t>conflictos.</w:t>
      </w:r>
      <w:r>
        <w:rPr>
          <w:spacing w:val="-3"/>
        </w:rPr>
        <w:t xml:space="preserve"> </w:t>
      </w:r>
      <w:r>
        <w:t>Lo</w:t>
      </w:r>
      <w:r>
        <w:rPr>
          <w:spacing w:val="-4"/>
        </w:rPr>
        <w:t xml:space="preserve"> </w:t>
      </w:r>
      <w:r>
        <w:t>anterior</w:t>
      </w:r>
      <w:r>
        <w:rPr>
          <w:spacing w:val="80"/>
        </w:rPr>
        <w:t xml:space="preserve"> </w:t>
      </w:r>
      <w:r>
        <w:t>parte</w:t>
      </w:r>
      <w:r>
        <w:rPr>
          <w:spacing w:val="-2"/>
        </w:rPr>
        <w:t xml:space="preserve"> </w:t>
      </w:r>
      <w:r>
        <w:t>de</w:t>
      </w:r>
      <w:r>
        <w:rPr>
          <w:spacing w:val="-3"/>
        </w:rPr>
        <w:t xml:space="preserve"> </w:t>
      </w:r>
      <w:r>
        <w:t>los</w:t>
      </w:r>
      <w:r>
        <w:rPr>
          <w:spacing w:val="-2"/>
        </w:rPr>
        <w:t xml:space="preserve"> </w:t>
      </w:r>
      <w:r>
        <w:t>reconocimientos</w:t>
      </w:r>
      <w:r>
        <w:rPr>
          <w:spacing w:val="-2"/>
        </w:rPr>
        <w:t xml:space="preserve"> </w:t>
      </w:r>
      <w:r>
        <w:t>de la importancia de la justicia como un motor en la reconstrucción de la confianza de la ciudadanía en el Estado y como un elemento clave para combatir la ilegalidad.</w:t>
      </w:r>
    </w:p>
    <w:p w:rsidR="003804AC" w:rsidRDefault="00AF18A5" w:rsidP="00661BC3">
      <w:r>
        <w:t xml:space="preserve">Las recomendaciones sobre </w:t>
      </w:r>
      <w:r>
        <w:rPr>
          <w:b/>
        </w:rPr>
        <w:t xml:space="preserve">lucha contra la impunidad </w:t>
      </w:r>
      <w:r>
        <w:t>buscan mejorar la administración de justicia, como garantía para las víctimas y como contribución al esclarecimiento y desmantelamiento de fenómenos criminales, teniendo en cuenta la masividad y persistencia de este tipo de conductas. Las recomendaciones se concentran en cuatro aspectos fundamentales para luchar contra la impunidad de las violaciones a los DDHH e infracciones al DIH y del esclarecimiento de entramados de criminalidad: (i) la independencia de los entes encargados del esclarecimiento judicial; (</w:t>
      </w:r>
      <w:proofErr w:type="spellStart"/>
      <w:r>
        <w:t>ii</w:t>
      </w:r>
      <w:proofErr w:type="spellEnd"/>
      <w:r>
        <w:t>) los ajustes de las metodologías de investigación; (</w:t>
      </w:r>
      <w:proofErr w:type="spellStart"/>
      <w:r>
        <w:t>iii</w:t>
      </w:r>
      <w:proofErr w:type="spellEnd"/>
      <w:r>
        <w:t>) la creación de un mecanismo independiente de apoyo a la investigación; y (</w:t>
      </w:r>
      <w:proofErr w:type="spellStart"/>
      <w:r>
        <w:t>iv</w:t>
      </w:r>
      <w:proofErr w:type="spellEnd"/>
      <w:r>
        <w:t>) la limitación de la extradición para garantizar la satisfacción de los derechos de las víctimas.</w:t>
      </w:r>
    </w:p>
    <w:p w:rsidR="003804AC" w:rsidRDefault="00AF18A5" w:rsidP="00661BC3">
      <w:r>
        <w:t>En</w:t>
      </w:r>
      <w:r>
        <w:rPr>
          <w:spacing w:val="-11"/>
        </w:rPr>
        <w:t xml:space="preserve"> </w:t>
      </w:r>
      <w:r>
        <w:t>el</w:t>
      </w:r>
      <w:r>
        <w:rPr>
          <w:spacing w:val="-10"/>
        </w:rPr>
        <w:t xml:space="preserve"> </w:t>
      </w:r>
      <w:r>
        <w:t>primer</w:t>
      </w:r>
      <w:r>
        <w:rPr>
          <w:spacing w:val="-11"/>
        </w:rPr>
        <w:t xml:space="preserve"> </w:t>
      </w:r>
      <w:r>
        <w:t>grupo</w:t>
      </w:r>
      <w:r>
        <w:rPr>
          <w:spacing w:val="-11"/>
        </w:rPr>
        <w:t xml:space="preserve"> </w:t>
      </w:r>
      <w:r>
        <w:t>de</w:t>
      </w:r>
      <w:r>
        <w:rPr>
          <w:spacing w:val="-10"/>
        </w:rPr>
        <w:t xml:space="preserve"> </w:t>
      </w:r>
      <w:r>
        <w:t>recomendaciones</w:t>
      </w:r>
      <w:r>
        <w:rPr>
          <w:spacing w:val="-10"/>
        </w:rPr>
        <w:t xml:space="preserve"> </w:t>
      </w:r>
      <w:r>
        <w:t>sobre</w:t>
      </w:r>
      <w:r>
        <w:rPr>
          <w:spacing w:val="-10"/>
        </w:rPr>
        <w:t xml:space="preserve"> </w:t>
      </w:r>
      <w:r>
        <w:t>independencia</w:t>
      </w:r>
      <w:r>
        <w:rPr>
          <w:spacing w:val="-12"/>
        </w:rPr>
        <w:t xml:space="preserve"> </w:t>
      </w:r>
      <w:r>
        <w:t>e</w:t>
      </w:r>
      <w:r>
        <w:rPr>
          <w:spacing w:val="-10"/>
        </w:rPr>
        <w:t xml:space="preserve"> </w:t>
      </w:r>
      <w:r>
        <w:t>imparcialidad</w:t>
      </w:r>
      <w:r>
        <w:rPr>
          <w:spacing w:val="-11"/>
        </w:rPr>
        <w:t xml:space="preserve"> </w:t>
      </w:r>
      <w:r>
        <w:t>se</w:t>
      </w:r>
      <w:r>
        <w:rPr>
          <w:spacing w:val="-10"/>
        </w:rPr>
        <w:t xml:space="preserve"> </w:t>
      </w:r>
      <w:r>
        <w:t>proponen reformas institucionales.</w:t>
      </w:r>
      <w:r>
        <w:rPr>
          <w:spacing w:val="-1"/>
        </w:rPr>
        <w:t xml:space="preserve"> </w:t>
      </w:r>
      <w:r>
        <w:t>La primera</w:t>
      </w:r>
      <w:r>
        <w:rPr>
          <w:spacing w:val="-1"/>
        </w:rPr>
        <w:t xml:space="preserve"> </w:t>
      </w:r>
      <w:r>
        <w:t>de ellas está</w:t>
      </w:r>
      <w:r>
        <w:rPr>
          <w:spacing w:val="-1"/>
        </w:rPr>
        <w:t xml:space="preserve"> </w:t>
      </w:r>
      <w:r>
        <w:t>relacionada</w:t>
      </w:r>
      <w:r>
        <w:rPr>
          <w:spacing w:val="-1"/>
        </w:rPr>
        <w:t xml:space="preserve"> </w:t>
      </w:r>
      <w:r>
        <w:t xml:space="preserve">con el mecanismo de elección del Fiscal General, en la </w:t>
      </w:r>
      <w:r>
        <w:lastRenderedPageBreak/>
        <w:t>que el Ejecutivo no debería tener injerencia, para fortalecer la independencia</w:t>
      </w:r>
      <w:r>
        <w:rPr>
          <w:spacing w:val="-3"/>
        </w:rPr>
        <w:t xml:space="preserve"> </w:t>
      </w:r>
      <w:r>
        <w:t>desde</w:t>
      </w:r>
      <w:r>
        <w:rPr>
          <w:spacing w:val="-3"/>
        </w:rPr>
        <w:t xml:space="preserve"> </w:t>
      </w:r>
      <w:r>
        <w:t>el</w:t>
      </w:r>
      <w:r>
        <w:rPr>
          <w:spacing w:val="-3"/>
        </w:rPr>
        <w:t xml:space="preserve"> </w:t>
      </w:r>
      <w:r>
        <w:t>diseño</w:t>
      </w:r>
      <w:r>
        <w:rPr>
          <w:spacing w:val="-3"/>
        </w:rPr>
        <w:t xml:space="preserve"> </w:t>
      </w:r>
      <w:r>
        <w:t>institucional.</w:t>
      </w:r>
      <w:r>
        <w:rPr>
          <w:spacing w:val="-3"/>
        </w:rPr>
        <w:t xml:space="preserve"> </w:t>
      </w:r>
      <w:r>
        <w:t>La</w:t>
      </w:r>
      <w:r>
        <w:rPr>
          <w:spacing w:val="-3"/>
        </w:rPr>
        <w:t xml:space="preserve"> </w:t>
      </w:r>
      <w:r>
        <w:t>segunda,</w:t>
      </w:r>
      <w:r>
        <w:rPr>
          <w:spacing w:val="-3"/>
        </w:rPr>
        <w:t xml:space="preserve"> </w:t>
      </w:r>
      <w:r>
        <w:t>se</w:t>
      </w:r>
      <w:r>
        <w:rPr>
          <w:spacing w:val="-3"/>
        </w:rPr>
        <w:t xml:space="preserve"> </w:t>
      </w:r>
      <w:r>
        <w:t>refiere</w:t>
      </w:r>
      <w:r>
        <w:rPr>
          <w:spacing w:val="-3"/>
        </w:rPr>
        <w:t xml:space="preserve"> </w:t>
      </w:r>
      <w:r>
        <w:t>el</w:t>
      </w:r>
      <w:r>
        <w:rPr>
          <w:spacing w:val="-3"/>
        </w:rPr>
        <w:t xml:space="preserve"> </w:t>
      </w:r>
      <w:r>
        <w:t>diseño,</w:t>
      </w:r>
      <w:r>
        <w:rPr>
          <w:spacing w:val="-3"/>
        </w:rPr>
        <w:t xml:space="preserve"> </w:t>
      </w:r>
      <w:r>
        <w:t>y</w:t>
      </w:r>
      <w:r>
        <w:rPr>
          <w:spacing w:val="-3"/>
        </w:rPr>
        <w:t xml:space="preserve"> </w:t>
      </w:r>
      <w:r>
        <w:t>controles</w:t>
      </w:r>
      <w:r>
        <w:rPr>
          <w:spacing w:val="-3"/>
        </w:rPr>
        <w:t xml:space="preserve"> </w:t>
      </w:r>
      <w:r>
        <w:t xml:space="preserve">del proceso de investigación y judicialización de los aforados </w:t>
      </w:r>
      <w:proofErr w:type="gramStart"/>
      <w:r>
        <w:t>para</w:t>
      </w:r>
      <w:r>
        <w:rPr>
          <w:spacing w:val="40"/>
        </w:rPr>
        <w:t xml:space="preserve">  </w:t>
      </w:r>
      <w:r>
        <w:t>abrir</w:t>
      </w:r>
      <w:proofErr w:type="gramEnd"/>
      <w:r>
        <w:t xml:space="preserve"> una discusión democrática en el Legislativo</w:t>
      </w:r>
      <w:r>
        <w:rPr>
          <w:spacing w:val="80"/>
          <w:w w:val="150"/>
        </w:rPr>
        <w:t xml:space="preserve">  </w:t>
      </w:r>
      <w:r>
        <w:t>y hacer los ajustes normativos sobre cómo se lleva a cabo la</w:t>
      </w:r>
      <w:r>
        <w:rPr>
          <w:spacing w:val="-8"/>
        </w:rPr>
        <w:t xml:space="preserve"> </w:t>
      </w:r>
      <w:r>
        <w:t>investigación</w:t>
      </w:r>
      <w:r>
        <w:rPr>
          <w:spacing w:val="-8"/>
        </w:rPr>
        <w:t xml:space="preserve"> </w:t>
      </w:r>
      <w:r>
        <w:t>y</w:t>
      </w:r>
      <w:r>
        <w:rPr>
          <w:spacing w:val="-8"/>
        </w:rPr>
        <w:t xml:space="preserve"> </w:t>
      </w:r>
      <w:r>
        <w:t>judicialización</w:t>
      </w:r>
      <w:r>
        <w:rPr>
          <w:spacing w:val="-8"/>
        </w:rPr>
        <w:t xml:space="preserve"> </w:t>
      </w:r>
      <w:r>
        <w:t>de</w:t>
      </w:r>
      <w:r>
        <w:rPr>
          <w:spacing w:val="-9"/>
        </w:rPr>
        <w:t xml:space="preserve"> </w:t>
      </w:r>
      <w:r>
        <w:t>los</w:t>
      </w:r>
      <w:r>
        <w:rPr>
          <w:spacing w:val="-8"/>
        </w:rPr>
        <w:t xml:space="preserve"> </w:t>
      </w:r>
      <w:r>
        <w:t>aforados</w:t>
      </w:r>
      <w:r>
        <w:rPr>
          <w:spacing w:val="-9"/>
        </w:rPr>
        <w:t xml:space="preserve"> </w:t>
      </w:r>
      <w:r>
        <w:t>constitucionales.</w:t>
      </w:r>
      <w:r>
        <w:rPr>
          <w:spacing w:val="-8"/>
        </w:rPr>
        <w:t xml:space="preserve"> </w:t>
      </w:r>
      <w:r>
        <w:t>Esto</w:t>
      </w:r>
      <w:r>
        <w:rPr>
          <w:spacing w:val="-8"/>
        </w:rPr>
        <w:t xml:space="preserve"> </w:t>
      </w:r>
      <w:r>
        <w:t>se</w:t>
      </w:r>
      <w:r>
        <w:rPr>
          <w:spacing w:val="-10"/>
        </w:rPr>
        <w:t xml:space="preserve"> </w:t>
      </w:r>
      <w:r>
        <w:t>propone</w:t>
      </w:r>
      <w:r>
        <w:rPr>
          <w:spacing w:val="-8"/>
        </w:rPr>
        <w:t xml:space="preserve"> </w:t>
      </w:r>
      <w:r>
        <w:t>con</w:t>
      </w:r>
      <w:r>
        <w:rPr>
          <w:spacing w:val="-9"/>
        </w:rPr>
        <w:t xml:space="preserve"> </w:t>
      </w:r>
      <w:r>
        <w:t>el</w:t>
      </w:r>
      <w:r>
        <w:rPr>
          <w:spacing w:val="-9"/>
        </w:rPr>
        <w:t xml:space="preserve"> </w:t>
      </w:r>
      <w:r>
        <w:t>fin de garantizar la independencia, la transparencia, el debido proceso y la eficacia de las investigaciones. En relación con la función investigativa, se recomienda que una comisión independiente, que tenga en cuenta la voz de los funcionarios, realice un diagnóstico para evaluar los riesgos de cooptación y de corrupción de la Fiscalía y que, a partir de eso, proponga reformas.</w:t>
      </w:r>
    </w:p>
    <w:p w:rsidR="003804AC" w:rsidRDefault="00AF18A5" w:rsidP="00661BC3">
      <w:r>
        <w:t>Por último, partiendo del reconocimiento de las dificultades para investigar delitos cometidos</w:t>
      </w:r>
      <w:r>
        <w:rPr>
          <w:spacing w:val="-2"/>
        </w:rPr>
        <w:t xml:space="preserve"> </w:t>
      </w:r>
      <w:r>
        <w:t>por</w:t>
      </w:r>
      <w:r>
        <w:rPr>
          <w:spacing w:val="-2"/>
        </w:rPr>
        <w:t xml:space="preserve"> </w:t>
      </w:r>
      <w:r>
        <w:t>los</w:t>
      </w:r>
      <w:r>
        <w:rPr>
          <w:spacing w:val="-2"/>
        </w:rPr>
        <w:t xml:space="preserve"> </w:t>
      </w:r>
      <w:r>
        <w:t>miembros</w:t>
      </w:r>
      <w:r>
        <w:rPr>
          <w:spacing w:val="-2"/>
        </w:rPr>
        <w:t xml:space="preserve"> </w:t>
      </w:r>
      <w:r>
        <w:t>de</w:t>
      </w:r>
      <w:r>
        <w:rPr>
          <w:spacing w:val="-2"/>
        </w:rPr>
        <w:t xml:space="preserve"> </w:t>
      </w:r>
      <w:r>
        <w:t>la</w:t>
      </w:r>
      <w:r>
        <w:rPr>
          <w:spacing w:val="-2"/>
        </w:rPr>
        <w:t xml:space="preserve"> </w:t>
      </w:r>
      <w:r>
        <w:t>fuerza</w:t>
      </w:r>
      <w:r>
        <w:rPr>
          <w:spacing w:val="-2"/>
        </w:rPr>
        <w:t xml:space="preserve"> </w:t>
      </w:r>
      <w:r>
        <w:t>pública,</w:t>
      </w:r>
      <w:r>
        <w:rPr>
          <w:spacing w:val="-2"/>
        </w:rPr>
        <w:t xml:space="preserve"> </w:t>
      </w:r>
      <w:r>
        <w:t>se</w:t>
      </w:r>
      <w:r>
        <w:rPr>
          <w:spacing w:val="-2"/>
        </w:rPr>
        <w:t xml:space="preserve"> </w:t>
      </w:r>
      <w:r>
        <w:t>propone,</w:t>
      </w:r>
      <w:r>
        <w:rPr>
          <w:spacing w:val="-2"/>
        </w:rPr>
        <w:t xml:space="preserve"> </w:t>
      </w:r>
      <w:r>
        <w:t>en</w:t>
      </w:r>
      <w:r>
        <w:rPr>
          <w:spacing w:val="-2"/>
        </w:rPr>
        <w:t xml:space="preserve"> </w:t>
      </w:r>
      <w:r>
        <w:t>las</w:t>
      </w:r>
      <w:r>
        <w:rPr>
          <w:spacing w:val="-2"/>
        </w:rPr>
        <w:t xml:space="preserve"> </w:t>
      </w:r>
      <w:r>
        <w:t>recomendaciones</w:t>
      </w:r>
      <w:r>
        <w:rPr>
          <w:spacing w:val="-2"/>
        </w:rPr>
        <w:t xml:space="preserve"> </w:t>
      </w:r>
      <w:r>
        <w:t>sobre seguridad,</w:t>
      </w:r>
      <w:r>
        <w:rPr>
          <w:spacing w:val="-3"/>
        </w:rPr>
        <w:t xml:space="preserve"> </w:t>
      </w:r>
      <w:r>
        <w:t>que</w:t>
      </w:r>
      <w:r>
        <w:rPr>
          <w:spacing w:val="-3"/>
        </w:rPr>
        <w:t xml:space="preserve"> </w:t>
      </w:r>
      <w:r>
        <w:t>la</w:t>
      </w:r>
      <w:r>
        <w:rPr>
          <w:spacing w:val="-3"/>
        </w:rPr>
        <w:t xml:space="preserve"> </w:t>
      </w:r>
      <w:r>
        <w:t>Fiscalía</w:t>
      </w:r>
      <w:r>
        <w:rPr>
          <w:spacing w:val="-3"/>
        </w:rPr>
        <w:t xml:space="preserve"> </w:t>
      </w:r>
      <w:r>
        <w:t>General</w:t>
      </w:r>
      <w:r>
        <w:rPr>
          <w:spacing w:val="-4"/>
        </w:rPr>
        <w:t xml:space="preserve"> </w:t>
      </w:r>
      <w:r>
        <w:t>asuma</w:t>
      </w:r>
      <w:r>
        <w:rPr>
          <w:spacing w:val="-3"/>
        </w:rPr>
        <w:t xml:space="preserve"> </w:t>
      </w:r>
      <w:r>
        <w:t>la</w:t>
      </w:r>
      <w:r>
        <w:rPr>
          <w:spacing w:val="-4"/>
        </w:rPr>
        <w:t xml:space="preserve"> </w:t>
      </w:r>
      <w:r>
        <w:t>investigación</w:t>
      </w:r>
      <w:r>
        <w:rPr>
          <w:spacing w:val="-3"/>
        </w:rPr>
        <w:t xml:space="preserve"> </w:t>
      </w:r>
      <w:r>
        <w:t>de</w:t>
      </w:r>
      <w:r>
        <w:rPr>
          <w:spacing w:val="-3"/>
        </w:rPr>
        <w:t xml:space="preserve"> </w:t>
      </w:r>
      <w:r>
        <w:t>todos</w:t>
      </w:r>
      <w:r>
        <w:rPr>
          <w:spacing w:val="-3"/>
        </w:rPr>
        <w:t xml:space="preserve"> </w:t>
      </w:r>
      <w:r>
        <w:t>los</w:t>
      </w:r>
      <w:r>
        <w:rPr>
          <w:spacing w:val="-3"/>
        </w:rPr>
        <w:t xml:space="preserve"> </w:t>
      </w:r>
      <w:r>
        <w:t>delitos</w:t>
      </w:r>
      <w:r>
        <w:rPr>
          <w:spacing w:val="-3"/>
        </w:rPr>
        <w:t xml:space="preserve"> </w:t>
      </w:r>
      <w:r>
        <w:t>cometidos</w:t>
      </w:r>
      <w:r>
        <w:rPr>
          <w:spacing w:val="-3"/>
        </w:rPr>
        <w:t xml:space="preserve"> </w:t>
      </w:r>
      <w:r>
        <w:t>por miembros</w:t>
      </w:r>
      <w:r>
        <w:rPr>
          <w:spacing w:val="-10"/>
        </w:rPr>
        <w:t xml:space="preserve"> </w:t>
      </w:r>
      <w:r>
        <w:t>de</w:t>
      </w:r>
      <w:r>
        <w:rPr>
          <w:spacing w:val="-9"/>
        </w:rPr>
        <w:t xml:space="preserve"> </w:t>
      </w:r>
      <w:r>
        <w:t>las</w:t>
      </w:r>
      <w:r>
        <w:rPr>
          <w:spacing w:val="-9"/>
        </w:rPr>
        <w:t xml:space="preserve"> </w:t>
      </w:r>
      <w:r>
        <w:t>Fuerzas</w:t>
      </w:r>
      <w:r>
        <w:rPr>
          <w:spacing w:val="-11"/>
        </w:rPr>
        <w:t xml:space="preserve"> </w:t>
      </w:r>
      <w:r>
        <w:t>Militares</w:t>
      </w:r>
      <w:r>
        <w:rPr>
          <w:spacing w:val="-9"/>
        </w:rPr>
        <w:t xml:space="preserve"> </w:t>
      </w:r>
      <w:r>
        <w:t>y</w:t>
      </w:r>
      <w:r>
        <w:rPr>
          <w:spacing w:val="-11"/>
        </w:rPr>
        <w:t xml:space="preserve"> </w:t>
      </w:r>
      <w:r>
        <w:t>que</w:t>
      </w:r>
      <w:r>
        <w:rPr>
          <w:spacing w:val="-9"/>
        </w:rPr>
        <w:t xml:space="preserve"> </w:t>
      </w:r>
      <w:r>
        <w:t>estos</w:t>
      </w:r>
      <w:r>
        <w:rPr>
          <w:spacing w:val="-10"/>
        </w:rPr>
        <w:t xml:space="preserve"> </w:t>
      </w:r>
      <w:r>
        <w:t>sean</w:t>
      </w:r>
      <w:r>
        <w:rPr>
          <w:spacing w:val="-10"/>
        </w:rPr>
        <w:t xml:space="preserve"> </w:t>
      </w:r>
      <w:r>
        <w:t>juzgados</w:t>
      </w:r>
      <w:r>
        <w:rPr>
          <w:spacing w:val="-11"/>
        </w:rPr>
        <w:t xml:space="preserve"> </w:t>
      </w:r>
      <w:r>
        <w:t>en</w:t>
      </w:r>
      <w:r>
        <w:rPr>
          <w:spacing w:val="-10"/>
        </w:rPr>
        <w:t xml:space="preserve"> </w:t>
      </w:r>
      <w:r>
        <w:t>la</w:t>
      </w:r>
      <w:r>
        <w:rPr>
          <w:spacing w:val="-9"/>
        </w:rPr>
        <w:t xml:space="preserve"> </w:t>
      </w:r>
      <w:r>
        <w:t>jurisdicción</w:t>
      </w:r>
      <w:r>
        <w:rPr>
          <w:spacing w:val="-10"/>
        </w:rPr>
        <w:t xml:space="preserve"> </w:t>
      </w:r>
      <w:r>
        <w:t>ordinaria,</w:t>
      </w:r>
      <w:r>
        <w:rPr>
          <w:spacing w:val="-10"/>
        </w:rPr>
        <w:t xml:space="preserve"> </w:t>
      </w:r>
      <w:r>
        <w:t>con excepción de los típicamente militares, es decir, aquellos que afectan la disciplina y el servicio y están definidos en el Código Penal Militar</w:t>
      </w:r>
      <w:r>
        <w:rPr>
          <w:spacing w:val="40"/>
        </w:rPr>
        <w:t xml:space="preserve">  </w:t>
      </w:r>
      <w:r>
        <w:t>, teniendo en cuenta para esto, los criterios</w:t>
      </w:r>
      <w:r>
        <w:rPr>
          <w:spacing w:val="-12"/>
        </w:rPr>
        <w:t xml:space="preserve"> </w:t>
      </w:r>
      <w:r>
        <w:t>que</w:t>
      </w:r>
      <w:r>
        <w:rPr>
          <w:spacing w:val="-13"/>
        </w:rPr>
        <w:t xml:space="preserve"> </w:t>
      </w:r>
      <w:r>
        <w:t>la</w:t>
      </w:r>
      <w:r>
        <w:rPr>
          <w:spacing w:val="-12"/>
        </w:rPr>
        <w:t xml:space="preserve"> </w:t>
      </w:r>
      <w:r>
        <w:t>Corte</w:t>
      </w:r>
      <w:r>
        <w:rPr>
          <w:spacing w:val="-12"/>
        </w:rPr>
        <w:t xml:space="preserve"> </w:t>
      </w:r>
      <w:r>
        <w:t>Constitucional</w:t>
      </w:r>
      <w:r>
        <w:rPr>
          <w:spacing w:val="-13"/>
        </w:rPr>
        <w:t xml:space="preserve"> </w:t>
      </w:r>
      <w:r>
        <w:t>ha</w:t>
      </w:r>
      <w:r>
        <w:rPr>
          <w:spacing w:val="-12"/>
        </w:rPr>
        <w:t xml:space="preserve"> </w:t>
      </w:r>
      <w:r>
        <w:t>establecido</w:t>
      </w:r>
      <w:r>
        <w:rPr>
          <w:spacing w:val="-12"/>
        </w:rPr>
        <w:t xml:space="preserve"> </w:t>
      </w:r>
      <w:r>
        <w:t>al</w:t>
      </w:r>
      <w:r>
        <w:rPr>
          <w:spacing w:val="-11"/>
        </w:rPr>
        <w:t xml:space="preserve"> </w:t>
      </w:r>
      <w:r>
        <w:t>respecto,</w:t>
      </w:r>
      <w:r>
        <w:rPr>
          <w:spacing w:val="-12"/>
        </w:rPr>
        <w:t xml:space="preserve"> </w:t>
      </w:r>
      <w:r>
        <w:t>en</w:t>
      </w:r>
      <w:r>
        <w:rPr>
          <w:spacing w:val="-12"/>
        </w:rPr>
        <w:t xml:space="preserve"> </w:t>
      </w:r>
      <w:r>
        <w:t>particular</w:t>
      </w:r>
      <w:r>
        <w:rPr>
          <w:spacing w:val="-11"/>
        </w:rPr>
        <w:t xml:space="preserve"> </w:t>
      </w:r>
      <w:r>
        <w:t>los</w:t>
      </w:r>
      <w:r>
        <w:rPr>
          <w:spacing w:val="-12"/>
        </w:rPr>
        <w:t xml:space="preserve"> </w:t>
      </w:r>
      <w:r>
        <w:t>relacionados con</w:t>
      </w:r>
      <w:r>
        <w:rPr>
          <w:spacing w:val="-12"/>
        </w:rPr>
        <w:t xml:space="preserve"> </w:t>
      </w:r>
      <w:r>
        <w:t>que</w:t>
      </w:r>
      <w:r>
        <w:rPr>
          <w:spacing w:val="-13"/>
        </w:rPr>
        <w:t xml:space="preserve"> </w:t>
      </w:r>
      <w:r>
        <w:t>los</w:t>
      </w:r>
      <w:r>
        <w:rPr>
          <w:spacing w:val="-13"/>
        </w:rPr>
        <w:t xml:space="preserve"> </w:t>
      </w:r>
      <w:r>
        <w:t>casos,</w:t>
      </w:r>
      <w:r>
        <w:rPr>
          <w:spacing w:val="-12"/>
        </w:rPr>
        <w:t xml:space="preserve"> </w:t>
      </w:r>
      <w:r>
        <w:t>que</w:t>
      </w:r>
      <w:r>
        <w:rPr>
          <w:spacing w:val="-13"/>
        </w:rPr>
        <w:t xml:space="preserve"> </w:t>
      </w:r>
      <w:r>
        <w:t>involucren,</w:t>
      </w:r>
      <w:r>
        <w:rPr>
          <w:spacing w:val="-13"/>
        </w:rPr>
        <w:t xml:space="preserve"> </w:t>
      </w:r>
      <w:r>
        <w:t>al</w:t>
      </w:r>
      <w:r>
        <w:rPr>
          <w:spacing w:val="-14"/>
        </w:rPr>
        <w:t xml:space="preserve"> </w:t>
      </w:r>
      <w:r>
        <w:t>menos</w:t>
      </w:r>
      <w:r>
        <w:rPr>
          <w:spacing w:val="-12"/>
        </w:rPr>
        <w:t xml:space="preserve"> </w:t>
      </w:r>
      <w:r>
        <w:t>presuntamente</w:t>
      </w:r>
      <w:r>
        <w:rPr>
          <w:spacing w:val="-12"/>
        </w:rPr>
        <w:t xml:space="preserve"> </w:t>
      </w:r>
      <w:r>
        <w:t>violaciones</w:t>
      </w:r>
      <w:r>
        <w:rPr>
          <w:spacing w:val="-12"/>
        </w:rPr>
        <w:t xml:space="preserve"> </w:t>
      </w:r>
      <w:r>
        <w:t>de</w:t>
      </w:r>
      <w:r>
        <w:rPr>
          <w:spacing w:val="-13"/>
        </w:rPr>
        <w:t xml:space="preserve"> </w:t>
      </w:r>
      <w:r>
        <w:t>derechos</w:t>
      </w:r>
      <w:r>
        <w:rPr>
          <w:spacing w:val="-12"/>
        </w:rPr>
        <w:t xml:space="preserve"> </w:t>
      </w:r>
      <w:r>
        <w:t>humanos deben ser de conocimiento de la jurisdicción ordinaria,</w:t>
      </w:r>
    </w:p>
    <w:p w:rsidR="003804AC" w:rsidRDefault="00AF18A5" w:rsidP="00661BC3">
      <w:r>
        <w:t>En relación con el fortalecimiento de la investigación de las violaciones de los Derechos Humanos e infracciones al DIH, se proponen las siguientes recomendaciones. Primero, establecer como prioridad de la política criminal del Estado la persecución de ese tipo de conductas.</w:t>
      </w:r>
      <w:r>
        <w:rPr>
          <w:spacing w:val="-7"/>
        </w:rPr>
        <w:t xml:space="preserve"> </w:t>
      </w:r>
      <w:r>
        <w:lastRenderedPageBreak/>
        <w:t>Segundo,</w:t>
      </w:r>
      <w:r>
        <w:rPr>
          <w:spacing w:val="-7"/>
        </w:rPr>
        <w:t xml:space="preserve"> </w:t>
      </w:r>
      <w:r>
        <w:t>incorporar</w:t>
      </w:r>
      <w:r>
        <w:rPr>
          <w:spacing w:val="-7"/>
        </w:rPr>
        <w:t xml:space="preserve"> </w:t>
      </w:r>
      <w:r>
        <w:t>en</w:t>
      </w:r>
      <w:r>
        <w:rPr>
          <w:spacing w:val="-8"/>
        </w:rPr>
        <w:t xml:space="preserve"> </w:t>
      </w:r>
      <w:r>
        <w:t>la</w:t>
      </w:r>
      <w:r>
        <w:rPr>
          <w:spacing w:val="-8"/>
        </w:rPr>
        <w:t xml:space="preserve"> </w:t>
      </w:r>
      <w:r>
        <w:t>normatividad</w:t>
      </w:r>
      <w:r>
        <w:rPr>
          <w:spacing w:val="-7"/>
        </w:rPr>
        <w:t xml:space="preserve"> </w:t>
      </w:r>
      <w:r>
        <w:t>nacional</w:t>
      </w:r>
      <w:r>
        <w:rPr>
          <w:spacing w:val="-8"/>
        </w:rPr>
        <w:t xml:space="preserve"> </w:t>
      </w:r>
      <w:r>
        <w:t>los</w:t>
      </w:r>
      <w:r>
        <w:rPr>
          <w:spacing w:val="-7"/>
        </w:rPr>
        <w:t xml:space="preserve"> </w:t>
      </w:r>
      <w:r>
        <w:t>crímenes</w:t>
      </w:r>
      <w:r>
        <w:rPr>
          <w:spacing w:val="-8"/>
        </w:rPr>
        <w:t xml:space="preserve"> </w:t>
      </w:r>
      <w:r>
        <w:t>de</w:t>
      </w:r>
      <w:r>
        <w:rPr>
          <w:spacing w:val="-7"/>
        </w:rPr>
        <w:t xml:space="preserve"> </w:t>
      </w:r>
      <w:r>
        <w:t>guerra</w:t>
      </w:r>
      <w:r>
        <w:rPr>
          <w:spacing w:val="-7"/>
        </w:rPr>
        <w:t xml:space="preserve"> </w:t>
      </w:r>
      <w:r>
        <w:t>y</w:t>
      </w:r>
      <w:r>
        <w:rPr>
          <w:spacing w:val="-8"/>
        </w:rPr>
        <w:t xml:space="preserve"> </w:t>
      </w:r>
      <w:r>
        <w:t>de</w:t>
      </w:r>
      <w:r>
        <w:rPr>
          <w:spacing w:val="-7"/>
        </w:rPr>
        <w:t xml:space="preserve"> </w:t>
      </w:r>
      <w:r>
        <w:t>lesa humanidad para proveer a los fiscales el marco normativo necesario para investigar los elementos contextuales de los crímenes. Tercero, ajustar las metodologías de investigación para</w:t>
      </w:r>
      <w:r>
        <w:rPr>
          <w:spacing w:val="-12"/>
        </w:rPr>
        <w:t xml:space="preserve"> </w:t>
      </w:r>
      <w:r>
        <w:t>identificar</w:t>
      </w:r>
      <w:r>
        <w:rPr>
          <w:spacing w:val="-12"/>
        </w:rPr>
        <w:t xml:space="preserve"> </w:t>
      </w:r>
      <w:r>
        <w:t>prácticas</w:t>
      </w:r>
      <w:r>
        <w:rPr>
          <w:spacing w:val="-13"/>
        </w:rPr>
        <w:t xml:space="preserve"> </w:t>
      </w:r>
      <w:r>
        <w:t>y</w:t>
      </w:r>
      <w:r>
        <w:rPr>
          <w:spacing w:val="-12"/>
        </w:rPr>
        <w:t xml:space="preserve"> </w:t>
      </w:r>
      <w:r>
        <w:t>patrones</w:t>
      </w:r>
      <w:r>
        <w:rPr>
          <w:spacing w:val="-12"/>
        </w:rPr>
        <w:t xml:space="preserve"> </w:t>
      </w:r>
      <w:r>
        <w:t>y,</w:t>
      </w:r>
      <w:r>
        <w:rPr>
          <w:spacing w:val="-12"/>
        </w:rPr>
        <w:t xml:space="preserve"> </w:t>
      </w:r>
      <w:r>
        <w:t>a</w:t>
      </w:r>
      <w:r>
        <w:rPr>
          <w:spacing w:val="-12"/>
        </w:rPr>
        <w:t xml:space="preserve"> </w:t>
      </w:r>
      <w:r>
        <w:t>partir</w:t>
      </w:r>
      <w:r>
        <w:rPr>
          <w:spacing w:val="-12"/>
        </w:rPr>
        <w:t xml:space="preserve"> </w:t>
      </w:r>
      <w:r>
        <w:t>de</w:t>
      </w:r>
      <w:r>
        <w:rPr>
          <w:spacing w:val="-12"/>
        </w:rPr>
        <w:t xml:space="preserve"> </w:t>
      </w:r>
      <w:r>
        <w:t>allí,</w:t>
      </w:r>
      <w:r>
        <w:rPr>
          <w:spacing w:val="-12"/>
        </w:rPr>
        <w:t xml:space="preserve"> </w:t>
      </w:r>
      <w:r>
        <w:t>en</w:t>
      </w:r>
      <w:r>
        <w:rPr>
          <w:spacing w:val="-13"/>
        </w:rPr>
        <w:t xml:space="preserve"> </w:t>
      </w:r>
      <w:r>
        <w:t>lugar</w:t>
      </w:r>
      <w:r>
        <w:rPr>
          <w:spacing w:val="-13"/>
        </w:rPr>
        <w:t xml:space="preserve"> </w:t>
      </w:r>
      <w:r>
        <w:t>de</w:t>
      </w:r>
      <w:r>
        <w:rPr>
          <w:spacing w:val="-12"/>
        </w:rPr>
        <w:t xml:space="preserve"> </w:t>
      </w:r>
      <w:r>
        <w:t>enfocarse</w:t>
      </w:r>
      <w:r>
        <w:rPr>
          <w:spacing w:val="-13"/>
        </w:rPr>
        <w:t xml:space="preserve"> </w:t>
      </w:r>
      <w:r>
        <w:t>en</w:t>
      </w:r>
      <w:r>
        <w:rPr>
          <w:spacing w:val="-12"/>
        </w:rPr>
        <w:t xml:space="preserve"> </w:t>
      </w:r>
      <w:r>
        <w:t>casos</w:t>
      </w:r>
      <w:r>
        <w:rPr>
          <w:spacing w:val="-12"/>
        </w:rPr>
        <w:t xml:space="preserve"> </w:t>
      </w:r>
      <w:r>
        <w:t>aislados, esclarecer</w:t>
      </w:r>
      <w:r>
        <w:rPr>
          <w:spacing w:val="20"/>
        </w:rPr>
        <w:t xml:space="preserve"> </w:t>
      </w:r>
      <w:r>
        <w:t>el</w:t>
      </w:r>
      <w:r>
        <w:rPr>
          <w:spacing w:val="22"/>
        </w:rPr>
        <w:t xml:space="preserve"> </w:t>
      </w:r>
      <w:r>
        <w:t>fenómeno</w:t>
      </w:r>
      <w:r>
        <w:rPr>
          <w:spacing w:val="21"/>
        </w:rPr>
        <w:t xml:space="preserve"> </w:t>
      </w:r>
      <w:r>
        <w:t>criminal</w:t>
      </w:r>
      <w:r>
        <w:rPr>
          <w:spacing w:val="22"/>
        </w:rPr>
        <w:t xml:space="preserve"> </w:t>
      </w:r>
      <w:r>
        <w:t>y</w:t>
      </w:r>
      <w:r>
        <w:rPr>
          <w:spacing w:val="23"/>
        </w:rPr>
        <w:t xml:space="preserve"> </w:t>
      </w:r>
      <w:r>
        <w:t>contribuir</w:t>
      </w:r>
      <w:r>
        <w:rPr>
          <w:spacing w:val="23"/>
        </w:rPr>
        <w:t xml:space="preserve"> </w:t>
      </w:r>
      <w:r>
        <w:t>a</w:t>
      </w:r>
      <w:r>
        <w:rPr>
          <w:spacing w:val="21"/>
        </w:rPr>
        <w:t xml:space="preserve"> </w:t>
      </w:r>
      <w:r>
        <w:t>su</w:t>
      </w:r>
      <w:r>
        <w:rPr>
          <w:spacing w:val="23"/>
        </w:rPr>
        <w:t xml:space="preserve"> </w:t>
      </w:r>
      <w:r>
        <w:t>desmantelamiento.</w:t>
      </w:r>
      <w:r>
        <w:rPr>
          <w:spacing w:val="23"/>
        </w:rPr>
        <w:t xml:space="preserve"> </w:t>
      </w:r>
      <w:r>
        <w:t>Se</w:t>
      </w:r>
      <w:r>
        <w:rPr>
          <w:spacing w:val="21"/>
        </w:rPr>
        <w:t xml:space="preserve"> </w:t>
      </w:r>
      <w:r>
        <w:t>propone</w:t>
      </w:r>
      <w:r>
        <w:rPr>
          <w:spacing w:val="23"/>
        </w:rPr>
        <w:t xml:space="preserve"> </w:t>
      </w:r>
      <w:r>
        <w:t>que</w:t>
      </w:r>
      <w:r>
        <w:rPr>
          <w:spacing w:val="23"/>
        </w:rPr>
        <w:t xml:space="preserve"> </w:t>
      </w:r>
      <w:r>
        <w:rPr>
          <w:spacing w:val="-4"/>
        </w:rPr>
        <w:t>esta</w:t>
      </w:r>
      <w:r w:rsidR="00661BC3">
        <w:t xml:space="preserve"> </w:t>
      </w:r>
      <w:r>
        <w:t>aproximación a la investigación prevalezca al esclarecer dichas conductas, pues investigar caso a caso deja por fuera el contexto que lo rodea, la estructura que subyace a estas violencias y el rol de otras personas responsables, como los actores no combatientes que ordenaron su comisión o que, pudiendo, no impidieron su ocurrencia.</w:t>
      </w:r>
    </w:p>
    <w:p w:rsidR="003804AC" w:rsidRDefault="00AF18A5" w:rsidP="00661BC3">
      <w:r>
        <w:t>Cuarto, y de manera concreta para quienes participaron, se beneficiaron o fueron responsables de violaciones a los derechos humanos e infracciones al DIH como actores civiles –no combatientes–, también se recomienda que, de la mano con investigaciones de contexto,</w:t>
      </w:r>
      <w:r>
        <w:rPr>
          <w:spacing w:val="-15"/>
        </w:rPr>
        <w:t xml:space="preserve"> </w:t>
      </w:r>
      <w:r>
        <w:t>se</w:t>
      </w:r>
      <w:r>
        <w:rPr>
          <w:spacing w:val="-15"/>
        </w:rPr>
        <w:t xml:space="preserve"> </w:t>
      </w:r>
      <w:r>
        <w:t>establezca</w:t>
      </w:r>
      <w:r>
        <w:rPr>
          <w:spacing w:val="-15"/>
        </w:rPr>
        <w:t xml:space="preserve"> </w:t>
      </w:r>
      <w:r>
        <w:t>un</w:t>
      </w:r>
      <w:r>
        <w:rPr>
          <w:spacing w:val="-15"/>
        </w:rPr>
        <w:t xml:space="preserve"> </w:t>
      </w:r>
      <w:r>
        <w:t>procedimiento</w:t>
      </w:r>
      <w:r>
        <w:rPr>
          <w:spacing w:val="-15"/>
        </w:rPr>
        <w:t xml:space="preserve"> </w:t>
      </w:r>
      <w:r>
        <w:t>para</w:t>
      </w:r>
      <w:r>
        <w:rPr>
          <w:spacing w:val="-15"/>
        </w:rPr>
        <w:t xml:space="preserve"> </w:t>
      </w:r>
      <w:r>
        <w:t>centralizar,</w:t>
      </w:r>
      <w:r>
        <w:rPr>
          <w:spacing w:val="-15"/>
        </w:rPr>
        <w:t xml:space="preserve"> </w:t>
      </w:r>
      <w:r>
        <w:t>organizar</w:t>
      </w:r>
      <w:r>
        <w:rPr>
          <w:spacing w:val="-15"/>
        </w:rPr>
        <w:t xml:space="preserve"> </w:t>
      </w:r>
      <w:r>
        <w:t>y</w:t>
      </w:r>
      <w:r>
        <w:rPr>
          <w:spacing w:val="-15"/>
        </w:rPr>
        <w:t xml:space="preserve"> </w:t>
      </w:r>
      <w:r>
        <w:t>analizar</w:t>
      </w:r>
      <w:r>
        <w:rPr>
          <w:spacing w:val="-15"/>
        </w:rPr>
        <w:t xml:space="preserve"> </w:t>
      </w:r>
      <w:r>
        <w:t>la</w:t>
      </w:r>
      <w:r>
        <w:rPr>
          <w:spacing w:val="-15"/>
        </w:rPr>
        <w:t xml:space="preserve"> </w:t>
      </w:r>
      <w:r>
        <w:t>información producida en investigaciones activas y no activas, incluidas las compulsas de copias de Justicia y Paz. Esto permitirá avanzar en investigaciones contra ese tipo de actores, pues su acceso a la Jurisdicción Especial para la Paz es voluntario</w:t>
      </w:r>
      <w:r w:rsidR="00661BC3">
        <w:rPr>
          <w:rStyle w:val="Refdenotaalpie"/>
        </w:rPr>
        <w:footnoteReference w:id="1246"/>
      </w:r>
      <w:r>
        <w:t>. Y, por último, para garantizar la seguridad de los funcionarios judiciales, se recomienda priorizar las investigaciones</w:t>
      </w:r>
      <w:r>
        <w:rPr>
          <w:spacing w:val="-3"/>
        </w:rPr>
        <w:t xml:space="preserve"> </w:t>
      </w:r>
      <w:r>
        <w:t>de</w:t>
      </w:r>
      <w:r>
        <w:rPr>
          <w:spacing w:val="-4"/>
        </w:rPr>
        <w:t xml:space="preserve"> </w:t>
      </w:r>
      <w:r>
        <w:t>conductas</w:t>
      </w:r>
      <w:r>
        <w:rPr>
          <w:spacing w:val="-3"/>
        </w:rPr>
        <w:t xml:space="preserve"> </w:t>
      </w:r>
      <w:r>
        <w:t>de</w:t>
      </w:r>
      <w:r>
        <w:rPr>
          <w:spacing w:val="-3"/>
        </w:rPr>
        <w:t xml:space="preserve"> </w:t>
      </w:r>
      <w:r>
        <w:t>hostigamiento</w:t>
      </w:r>
      <w:r>
        <w:rPr>
          <w:spacing w:val="-3"/>
        </w:rPr>
        <w:t xml:space="preserve"> </w:t>
      </w:r>
      <w:r>
        <w:t>en</w:t>
      </w:r>
      <w:r>
        <w:rPr>
          <w:spacing w:val="-3"/>
        </w:rPr>
        <w:t xml:space="preserve"> </w:t>
      </w:r>
      <w:r>
        <w:t>su</w:t>
      </w:r>
      <w:r>
        <w:rPr>
          <w:spacing w:val="-3"/>
        </w:rPr>
        <w:t xml:space="preserve"> </w:t>
      </w:r>
      <w:r>
        <w:t>contra</w:t>
      </w:r>
      <w:r>
        <w:rPr>
          <w:spacing w:val="80"/>
        </w:rPr>
        <w:t xml:space="preserve"> </w:t>
      </w:r>
      <w:r>
        <w:t>garantizando</w:t>
      </w:r>
      <w:r>
        <w:rPr>
          <w:spacing w:val="-3"/>
        </w:rPr>
        <w:t xml:space="preserve"> </w:t>
      </w:r>
      <w:r>
        <w:t>las</w:t>
      </w:r>
      <w:r>
        <w:rPr>
          <w:spacing w:val="-4"/>
        </w:rPr>
        <w:t xml:space="preserve"> </w:t>
      </w:r>
      <w:r>
        <w:t>condiciones de independencia para estas investigaciones.</w:t>
      </w:r>
    </w:p>
    <w:p w:rsidR="0011361F" w:rsidRDefault="00AF18A5" w:rsidP="00661BC3">
      <w:r>
        <w:t>Se</w:t>
      </w:r>
      <w:r>
        <w:rPr>
          <w:spacing w:val="-15"/>
        </w:rPr>
        <w:t xml:space="preserve"> </w:t>
      </w:r>
      <w:r>
        <w:t>propone</w:t>
      </w:r>
      <w:r>
        <w:rPr>
          <w:spacing w:val="-15"/>
        </w:rPr>
        <w:t xml:space="preserve"> </w:t>
      </w:r>
      <w:r>
        <w:t>la</w:t>
      </w:r>
      <w:r>
        <w:rPr>
          <w:spacing w:val="-15"/>
        </w:rPr>
        <w:t xml:space="preserve"> </w:t>
      </w:r>
      <w:r>
        <w:t>creación</w:t>
      </w:r>
      <w:r>
        <w:rPr>
          <w:spacing w:val="-15"/>
        </w:rPr>
        <w:t xml:space="preserve"> </w:t>
      </w:r>
      <w:r>
        <w:t>de</w:t>
      </w:r>
      <w:r>
        <w:rPr>
          <w:spacing w:val="-15"/>
        </w:rPr>
        <w:t xml:space="preserve"> </w:t>
      </w:r>
      <w:r>
        <w:t>una</w:t>
      </w:r>
      <w:r>
        <w:rPr>
          <w:spacing w:val="-15"/>
        </w:rPr>
        <w:t xml:space="preserve"> </w:t>
      </w:r>
      <w:r>
        <w:t>Comisión</w:t>
      </w:r>
      <w:r>
        <w:rPr>
          <w:spacing w:val="-15"/>
        </w:rPr>
        <w:t xml:space="preserve"> </w:t>
      </w:r>
      <w:r>
        <w:t>de</w:t>
      </w:r>
      <w:r>
        <w:rPr>
          <w:spacing w:val="-15"/>
        </w:rPr>
        <w:t xml:space="preserve"> </w:t>
      </w:r>
      <w:r>
        <w:t>Investigación</w:t>
      </w:r>
      <w:r>
        <w:rPr>
          <w:spacing w:val="-15"/>
        </w:rPr>
        <w:t xml:space="preserve"> </w:t>
      </w:r>
      <w:r>
        <w:t>mixta</w:t>
      </w:r>
      <w:r>
        <w:rPr>
          <w:spacing w:val="-15"/>
        </w:rPr>
        <w:t xml:space="preserve"> </w:t>
      </w:r>
      <w:r>
        <w:t>(nacional</w:t>
      </w:r>
      <w:r>
        <w:rPr>
          <w:spacing w:val="-15"/>
        </w:rPr>
        <w:t xml:space="preserve"> </w:t>
      </w:r>
      <w:r>
        <w:lastRenderedPageBreak/>
        <w:t>e</w:t>
      </w:r>
      <w:r>
        <w:rPr>
          <w:spacing w:val="-15"/>
        </w:rPr>
        <w:t xml:space="preserve"> </w:t>
      </w:r>
      <w:r>
        <w:t>internacional), transitoria</w:t>
      </w:r>
      <w:r>
        <w:rPr>
          <w:spacing w:val="-8"/>
        </w:rPr>
        <w:t xml:space="preserve"> </w:t>
      </w:r>
      <w:r>
        <w:t>e</w:t>
      </w:r>
      <w:r>
        <w:rPr>
          <w:spacing w:val="-9"/>
        </w:rPr>
        <w:t xml:space="preserve"> </w:t>
      </w:r>
      <w:r>
        <w:t>independiente,</w:t>
      </w:r>
      <w:r>
        <w:rPr>
          <w:spacing w:val="-8"/>
        </w:rPr>
        <w:t xml:space="preserve"> </w:t>
      </w:r>
      <w:r>
        <w:t>que</w:t>
      </w:r>
      <w:r>
        <w:rPr>
          <w:spacing w:val="-8"/>
        </w:rPr>
        <w:t xml:space="preserve"> </w:t>
      </w:r>
      <w:r>
        <w:t>apoye</w:t>
      </w:r>
      <w:r>
        <w:rPr>
          <w:spacing w:val="-8"/>
        </w:rPr>
        <w:t xml:space="preserve"> </w:t>
      </w:r>
      <w:r>
        <w:t>el</w:t>
      </w:r>
      <w:r>
        <w:rPr>
          <w:spacing w:val="-8"/>
        </w:rPr>
        <w:t xml:space="preserve"> </w:t>
      </w:r>
      <w:r>
        <w:t>trabajo</w:t>
      </w:r>
      <w:r>
        <w:rPr>
          <w:spacing w:val="-9"/>
        </w:rPr>
        <w:t xml:space="preserve"> </w:t>
      </w:r>
      <w:r>
        <w:t>de</w:t>
      </w:r>
      <w:r>
        <w:rPr>
          <w:spacing w:val="-8"/>
        </w:rPr>
        <w:t xml:space="preserve"> </w:t>
      </w:r>
      <w:r>
        <w:t>la</w:t>
      </w:r>
      <w:r>
        <w:rPr>
          <w:spacing w:val="-8"/>
        </w:rPr>
        <w:t xml:space="preserve"> </w:t>
      </w:r>
      <w:r>
        <w:t>Fiscalía</w:t>
      </w:r>
      <w:r>
        <w:rPr>
          <w:spacing w:val="-8"/>
        </w:rPr>
        <w:t xml:space="preserve"> </w:t>
      </w:r>
      <w:r>
        <w:t>General,</w:t>
      </w:r>
      <w:r>
        <w:rPr>
          <w:spacing w:val="-8"/>
        </w:rPr>
        <w:t xml:space="preserve"> </w:t>
      </w:r>
      <w:r>
        <w:t>particularmente</w:t>
      </w:r>
      <w:r>
        <w:rPr>
          <w:spacing w:val="-8"/>
        </w:rPr>
        <w:t xml:space="preserve"> </w:t>
      </w:r>
      <w:r>
        <w:t>de</w:t>
      </w:r>
      <w:r>
        <w:rPr>
          <w:spacing w:val="-8"/>
        </w:rPr>
        <w:t xml:space="preserve"> </w:t>
      </w:r>
      <w:r>
        <w:t>la Unidad</w:t>
      </w:r>
      <w:r>
        <w:rPr>
          <w:spacing w:val="-5"/>
        </w:rPr>
        <w:t xml:space="preserve"> </w:t>
      </w:r>
      <w:r>
        <w:t>Especial</w:t>
      </w:r>
      <w:r>
        <w:rPr>
          <w:spacing w:val="-4"/>
        </w:rPr>
        <w:t xml:space="preserve"> </w:t>
      </w:r>
      <w:r>
        <w:t>de</w:t>
      </w:r>
      <w:r>
        <w:rPr>
          <w:spacing w:val="-5"/>
        </w:rPr>
        <w:t xml:space="preserve"> </w:t>
      </w:r>
      <w:r>
        <w:t>Investigación</w:t>
      </w:r>
      <w:r>
        <w:rPr>
          <w:spacing w:val="-5"/>
        </w:rPr>
        <w:t xml:space="preserve"> </w:t>
      </w:r>
      <w:r>
        <w:t>(UIE)</w:t>
      </w:r>
      <w:r>
        <w:rPr>
          <w:spacing w:val="-4"/>
        </w:rPr>
        <w:t xml:space="preserve"> </w:t>
      </w:r>
      <w:r>
        <w:t>que</w:t>
      </w:r>
      <w:r>
        <w:rPr>
          <w:spacing w:val="-5"/>
        </w:rPr>
        <w:t xml:space="preserve"> </w:t>
      </w:r>
      <w:r>
        <w:t>fue</w:t>
      </w:r>
      <w:r>
        <w:rPr>
          <w:spacing w:val="40"/>
        </w:rPr>
        <w:t xml:space="preserve"> </w:t>
      </w:r>
      <w:r>
        <w:t>creada</w:t>
      </w:r>
      <w:r>
        <w:rPr>
          <w:spacing w:val="-5"/>
        </w:rPr>
        <w:t xml:space="preserve"> </w:t>
      </w:r>
      <w:r>
        <w:t>por</w:t>
      </w:r>
      <w:r>
        <w:rPr>
          <w:spacing w:val="-4"/>
        </w:rPr>
        <w:t xml:space="preserve"> </w:t>
      </w:r>
      <w:r>
        <w:t>el</w:t>
      </w:r>
      <w:r>
        <w:rPr>
          <w:spacing w:val="-4"/>
        </w:rPr>
        <w:t xml:space="preserve"> </w:t>
      </w:r>
      <w:r>
        <w:t>Acuerdo</w:t>
      </w:r>
      <w:r>
        <w:rPr>
          <w:spacing w:val="-6"/>
        </w:rPr>
        <w:t xml:space="preserve"> </w:t>
      </w:r>
      <w:r>
        <w:t>Final</w:t>
      </w:r>
      <w:r>
        <w:rPr>
          <w:spacing w:val="-4"/>
        </w:rPr>
        <w:t xml:space="preserve"> </w:t>
      </w:r>
      <w:r>
        <w:t>de</w:t>
      </w:r>
      <w:r>
        <w:rPr>
          <w:spacing w:val="-5"/>
        </w:rPr>
        <w:t xml:space="preserve"> </w:t>
      </w:r>
      <w:r>
        <w:t>Paz,</w:t>
      </w:r>
      <w:r>
        <w:rPr>
          <w:spacing w:val="-5"/>
        </w:rPr>
        <w:t xml:space="preserve"> </w:t>
      </w:r>
      <w:r>
        <w:t>para enfrentar la criminalidad organizada responsable de la violencia contra líderes sociales y excombatientes. El objetivo es que esa comisión impulse la investigación para esclarecer la verdad de los hechos del narcotráfico; de la criminalidad organizada</w:t>
      </w:r>
      <w:r>
        <w:tab/>
        <w:t>y aparatos organizados</w:t>
      </w:r>
      <w:r>
        <w:rPr>
          <w:spacing w:val="-8"/>
        </w:rPr>
        <w:t xml:space="preserve"> </w:t>
      </w:r>
      <w:r>
        <w:t>de</w:t>
      </w:r>
      <w:r>
        <w:rPr>
          <w:spacing w:val="-8"/>
        </w:rPr>
        <w:t xml:space="preserve"> </w:t>
      </w:r>
      <w:r>
        <w:t>poder</w:t>
      </w:r>
      <w:r>
        <w:rPr>
          <w:spacing w:val="-8"/>
        </w:rPr>
        <w:t xml:space="preserve"> </w:t>
      </w:r>
      <w:r>
        <w:t>funcionando</w:t>
      </w:r>
      <w:r>
        <w:rPr>
          <w:spacing w:val="-8"/>
        </w:rPr>
        <w:t xml:space="preserve"> </w:t>
      </w:r>
      <w:r>
        <w:t>al</w:t>
      </w:r>
      <w:r>
        <w:rPr>
          <w:spacing w:val="-9"/>
        </w:rPr>
        <w:t xml:space="preserve"> </w:t>
      </w:r>
      <w:r>
        <w:t>interior</w:t>
      </w:r>
      <w:r>
        <w:rPr>
          <w:spacing w:val="-8"/>
        </w:rPr>
        <w:t xml:space="preserve"> </w:t>
      </w:r>
      <w:r>
        <w:t>de</w:t>
      </w:r>
      <w:r>
        <w:rPr>
          <w:spacing w:val="-8"/>
        </w:rPr>
        <w:t xml:space="preserve"> </w:t>
      </w:r>
      <w:r>
        <w:t>las</w:t>
      </w:r>
      <w:r>
        <w:rPr>
          <w:spacing w:val="-8"/>
        </w:rPr>
        <w:t xml:space="preserve"> </w:t>
      </w:r>
      <w:r>
        <w:t>instituciones</w:t>
      </w:r>
      <w:r>
        <w:rPr>
          <w:spacing w:val="-8"/>
        </w:rPr>
        <w:t xml:space="preserve"> </w:t>
      </w:r>
      <w:r>
        <w:t>estatales</w:t>
      </w:r>
      <w:r>
        <w:rPr>
          <w:spacing w:val="-8"/>
        </w:rPr>
        <w:t xml:space="preserve"> </w:t>
      </w:r>
      <w:r>
        <w:t>que</w:t>
      </w:r>
      <w:r>
        <w:rPr>
          <w:spacing w:val="-8"/>
        </w:rPr>
        <w:t xml:space="preserve"> </w:t>
      </w:r>
      <w:r>
        <w:t>han</w:t>
      </w:r>
      <w:r>
        <w:rPr>
          <w:spacing w:val="-8"/>
        </w:rPr>
        <w:t xml:space="preserve"> </w:t>
      </w:r>
      <w:r>
        <w:t>generado; de las violaciones a derechos humanos o infracciones al DIH asociado a estas; y de la corrupción a mediana y gran escala. El componente internacional fortalecería la independencia</w:t>
      </w:r>
      <w:r>
        <w:rPr>
          <w:spacing w:val="-9"/>
        </w:rPr>
        <w:t xml:space="preserve"> </w:t>
      </w:r>
      <w:r>
        <w:t>de</w:t>
      </w:r>
      <w:r>
        <w:rPr>
          <w:spacing w:val="-9"/>
        </w:rPr>
        <w:t xml:space="preserve"> </w:t>
      </w:r>
      <w:r>
        <w:t>su</w:t>
      </w:r>
      <w:r>
        <w:rPr>
          <w:spacing w:val="-10"/>
        </w:rPr>
        <w:t xml:space="preserve"> </w:t>
      </w:r>
      <w:r>
        <w:t>labor</w:t>
      </w:r>
      <w:r>
        <w:rPr>
          <w:spacing w:val="-9"/>
        </w:rPr>
        <w:t xml:space="preserve"> </w:t>
      </w:r>
      <w:r>
        <w:t>y</w:t>
      </w:r>
      <w:r>
        <w:rPr>
          <w:spacing w:val="-9"/>
        </w:rPr>
        <w:t xml:space="preserve"> </w:t>
      </w:r>
      <w:r>
        <w:t>a</w:t>
      </w:r>
      <w:r>
        <w:rPr>
          <w:spacing w:val="-9"/>
        </w:rPr>
        <w:t xml:space="preserve"> </w:t>
      </w:r>
      <w:r>
        <w:t>la</w:t>
      </w:r>
      <w:r>
        <w:rPr>
          <w:spacing w:val="-9"/>
        </w:rPr>
        <w:t xml:space="preserve"> </w:t>
      </w:r>
      <w:r>
        <w:t>vez</w:t>
      </w:r>
      <w:r>
        <w:rPr>
          <w:spacing w:val="-9"/>
        </w:rPr>
        <w:t xml:space="preserve"> </w:t>
      </w:r>
      <w:r>
        <w:t>sería</w:t>
      </w:r>
      <w:r>
        <w:rPr>
          <w:spacing w:val="-9"/>
        </w:rPr>
        <w:t xml:space="preserve"> </w:t>
      </w:r>
      <w:r>
        <w:t>una</w:t>
      </w:r>
      <w:r>
        <w:rPr>
          <w:spacing w:val="-9"/>
        </w:rPr>
        <w:t xml:space="preserve"> </w:t>
      </w:r>
      <w:r>
        <w:t>muestra</w:t>
      </w:r>
      <w:r>
        <w:rPr>
          <w:spacing w:val="-9"/>
        </w:rPr>
        <w:t xml:space="preserve"> </w:t>
      </w:r>
      <w:r>
        <w:t>de</w:t>
      </w:r>
      <w:r>
        <w:rPr>
          <w:spacing w:val="-9"/>
        </w:rPr>
        <w:t xml:space="preserve"> </w:t>
      </w:r>
      <w:r>
        <w:t>la</w:t>
      </w:r>
      <w:r>
        <w:rPr>
          <w:spacing w:val="-9"/>
        </w:rPr>
        <w:t xml:space="preserve"> </w:t>
      </w:r>
      <w:r>
        <w:t>corresponsabilidad</w:t>
      </w:r>
      <w:r>
        <w:rPr>
          <w:spacing w:val="-9"/>
        </w:rPr>
        <w:t xml:space="preserve"> </w:t>
      </w:r>
      <w:r>
        <w:t>internacional en la superación de la violencia que se genera por modalidades transnacionales de criminalidad organizada asociada a economías ilegales.</w:t>
      </w:r>
    </w:p>
    <w:p w:rsidR="003804AC" w:rsidRDefault="00AF18A5" w:rsidP="00661BC3">
      <w:bookmarkStart w:id="1611" w:name="_bookmark1401"/>
      <w:bookmarkEnd w:id="1611"/>
      <w:r>
        <w:t>Como</w:t>
      </w:r>
      <w:r>
        <w:rPr>
          <w:spacing w:val="-3"/>
        </w:rPr>
        <w:t xml:space="preserve"> </w:t>
      </w:r>
      <w:r>
        <w:t>complemento</w:t>
      </w:r>
      <w:r>
        <w:rPr>
          <w:spacing w:val="-3"/>
        </w:rPr>
        <w:t xml:space="preserve"> </w:t>
      </w:r>
      <w:r>
        <w:t>a</w:t>
      </w:r>
      <w:r>
        <w:rPr>
          <w:spacing w:val="-3"/>
        </w:rPr>
        <w:t xml:space="preserve"> </w:t>
      </w:r>
      <w:r>
        <w:t>la</w:t>
      </w:r>
      <w:r>
        <w:rPr>
          <w:spacing w:val="-4"/>
        </w:rPr>
        <w:t xml:space="preserve"> </w:t>
      </w:r>
      <w:r>
        <w:t>anterior</w:t>
      </w:r>
      <w:r>
        <w:rPr>
          <w:spacing w:val="-3"/>
        </w:rPr>
        <w:t xml:space="preserve"> </w:t>
      </w:r>
      <w:r>
        <w:t>medida,</w:t>
      </w:r>
      <w:r>
        <w:rPr>
          <w:spacing w:val="-3"/>
        </w:rPr>
        <w:t xml:space="preserve"> </w:t>
      </w:r>
      <w:r>
        <w:t>en</w:t>
      </w:r>
      <w:r>
        <w:rPr>
          <w:spacing w:val="-3"/>
        </w:rPr>
        <w:t xml:space="preserve"> </w:t>
      </w:r>
      <w:r>
        <w:t>las</w:t>
      </w:r>
      <w:r>
        <w:rPr>
          <w:spacing w:val="-3"/>
        </w:rPr>
        <w:t xml:space="preserve"> </w:t>
      </w:r>
      <w:r>
        <w:t>recomendaciones</w:t>
      </w:r>
      <w:r>
        <w:rPr>
          <w:spacing w:val="-3"/>
        </w:rPr>
        <w:t xml:space="preserve"> </w:t>
      </w:r>
      <w:r>
        <w:t>para</w:t>
      </w:r>
      <w:r>
        <w:rPr>
          <w:spacing w:val="-3"/>
        </w:rPr>
        <w:t xml:space="preserve"> </w:t>
      </w:r>
      <w:r>
        <w:t>avanzar</w:t>
      </w:r>
      <w:r>
        <w:rPr>
          <w:spacing w:val="-3"/>
        </w:rPr>
        <w:t xml:space="preserve"> </w:t>
      </w:r>
      <w:r>
        <w:t>en</w:t>
      </w:r>
      <w:r>
        <w:rPr>
          <w:spacing w:val="-3"/>
        </w:rPr>
        <w:t xml:space="preserve"> </w:t>
      </w:r>
      <w:r>
        <w:t>la construcción de paz como un proyecto nacional, también se propone una estrategia de sometimiento de las organizaciones criminales que contribuya a garantizar los derechos de las víctimas. La articulación de esta medida con la Comisión de Investigación y el mejoramiento</w:t>
      </w:r>
      <w:r>
        <w:rPr>
          <w:spacing w:val="-12"/>
        </w:rPr>
        <w:t xml:space="preserve"> </w:t>
      </w:r>
      <w:r>
        <w:t>de</w:t>
      </w:r>
      <w:r>
        <w:rPr>
          <w:spacing w:val="-12"/>
        </w:rPr>
        <w:t xml:space="preserve"> </w:t>
      </w:r>
      <w:r>
        <w:t>las</w:t>
      </w:r>
      <w:r>
        <w:rPr>
          <w:spacing w:val="-12"/>
        </w:rPr>
        <w:t xml:space="preserve"> </w:t>
      </w:r>
      <w:r>
        <w:t>estrategias</w:t>
      </w:r>
      <w:r>
        <w:rPr>
          <w:spacing w:val="-12"/>
        </w:rPr>
        <w:t xml:space="preserve"> </w:t>
      </w:r>
      <w:r>
        <w:t>de</w:t>
      </w:r>
      <w:r>
        <w:rPr>
          <w:spacing w:val="-12"/>
        </w:rPr>
        <w:t xml:space="preserve"> </w:t>
      </w:r>
      <w:r>
        <w:t>investigación</w:t>
      </w:r>
      <w:r>
        <w:rPr>
          <w:spacing w:val="-12"/>
        </w:rPr>
        <w:t xml:space="preserve"> </w:t>
      </w:r>
      <w:r>
        <w:t>es</w:t>
      </w:r>
      <w:r>
        <w:rPr>
          <w:spacing w:val="-13"/>
        </w:rPr>
        <w:t xml:space="preserve"> </w:t>
      </w:r>
      <w:r>
        <w:t>fundamental</w:t>
      </w:r>
      <w:r>
        <w:rPr>
          <w:spacing w:val="-12"/>
        </w:rPr>
        <w:t xml:space="preserve"> </w:t>
      </w:r>
      <w:r>
        <w:t>para</w:t>
      </w:r>
      <w:r>
        <w:rPr>
          <w:spacing w:val="-12"/>
        </w:rPr>
        <w:t xml:space="preserve"> </w:t>
      </w:r>
      <w:r>
        <w:t>su</w:t>
      </w:r>
      <w:r>
        <w:rPr>
          <w:spacing w:val="-12"/>
        </w:rPr>
        <w:t xml:space="preserve"> </w:t>
      </w:r>
      <w:r>
        <w:t>éxito,</w:t>
      </w:r>
      <w:r>
        <w:rPr>
          <w:spacing w:val="-12"/>
        </w:rPr>
        <w:t xml:space="preserve"> </w:t>
      </w:r>
      <w:r>
        <w:t>pues</w:t>
      </w:r>
      <w:r>
        <w:rPr>
          <w:spacing w:val="-12"/>
        </w:rPr>
        <w:t xml:space="preserve"> </w:t>
      </w:r>
      <w:r>
        <w:t>el</w:t>
      </w:r>
      <w:r>
        <w:rPr>
          <w:spacing w:val="-12"/>
        </w:rPr>
        <w:t xml:space="preserve"> </w:t>
      </w:r>
      <w:r>
        <w:t>Estado debe</w:t>
      </w:r>
      <w:r>
        <w:rPr>
          <w:spacing w:val="-6"/>
        </w:rPr>
        <w:t xml:space="preserve"> </w:t>
      </w:r>
      <w:r>
        <w:t>contar</w:t>
      </w:r>
      <w:r>
        <w:rPr>
          <w:spacing w:val="-7"/>
        </w:rPr>
        <w:t xml:space="preserve"> </w:t>
      </w:r>
      <w:r>
        <w:t>con</w:t>
      </w:r>
      <w:r>
        <w:rPr>
          <w:spacing w:val="-6"/>
        </w:rPr>
        <w:t xml:space="preserve"> </w:t>
      </w:r>
      <w:r>
        <w:t>información</w:t>
      </w:r>
      <w:r>
        <w:rPr>
          <w:spacing w:val="-6"/>
        </w:rPr>
        <w:t xml:space="preserve"> </w:t>
      </w:r>
      <w:r>
        <w:t>disponible</w:t>
      </w:r>
      <w:r>
        <w:rPr>
          <w:spacing w:val="-6"/>
        </w:rPr>
        <w:t xml:space="preserve"> </w:t>
      </w:r>
      <w:r>
        <w:t>para</w:t>
      </w:r>
      <w:r>
        <w:rPr>
          <w:spacing w:val="-6"/>
        </w:rPr>
        <w:t xml:space="preserve"> </w:t>
      </w:r>
      <w:r>
        <w:t>crear</w:t>
      </w:r>
      <w:r>
        <w:rPr>
          <w:spacing w:val="-6"/>
        </w:rPr>
        <w:t xml:space="preserve"> </w:t>
      </w:r>
      <w:r>
        <w:t>estructuras</w:t>
      </w:r>
      <w:r>
        <w:rPr>
          <w:spacing w:val="-7"/>
        </w:rPr>
        <w:t xml:space="preserve"> </w:t>
      </w:r>
      <w:r>
        <w:t>de</w:t>
      </w:r>
      <w:r>
        <w:rPr>
          <w:spacing w:val="-6"/>
        </w:rPr>
        <w:t xml:space="preserve"> </w:t>
      </w:r>
      <w:r>
        <w:t>incentivos</w:t>
      </w:r>
      <w:r>
        <w:rPr>
          <w:spacing w:val="-6"/>
        </w:rPr>
        <w:t xml:space="preserve"> </w:t>
      </w:r>
      <w:r>
        <w:t>efectivas</w:t>
      </w:r>
      <w:r>
        <w:rPr>
          <w:spacing w:val="-7"/>
        </w:rPr>
        <w:t xml:space="preserve"> </w:t>
      </w:r>
      <w:r>
        <w:t>para</w:t>
      </w:r>
      <w:r>
        <w:rPr>
          <w:spacing w:val="-6"/>
        </w:rPr>
        <w:t xml:space="preserve"> </w:t>
      </w:r>
      <w:r>
        <w:t>el sometimiento a la justicia.</w:t>
      </w:r>
    </w:p>
    <w:p w:rsidR="003804AC" w:rsidRDefault="00AF18A5" w:rsidP="00661BC3">
      <w:r>
        <w:t>Por último, se recomienda, ante solicitudes de extradición, que se ajuste el actual procedimiento</w:t>
      </w:r>
      <w:r>
        <w:rPr>
          <w:spacing w:val="-2"/>
        </w:rPr>
        <w:t xml:space="preserve"> </w:t>
      </w:r>
      <w:r>
        <w:t>de</w:t>
      </w:r>
      <w:r>
        <w:rPr>
          <w:spacing w:val="-2"/>
        </w:rPr>
        <w:t xml:space="preserve"> </w:t>
      </w:r>
      <w:r>
        <w:t>extradición</w:t>
      </w:r>
      <w:r>
        <w:rPr>
          <w:spacing w:val="-2"/>
        </w:rPr>
        <w:t xml:space="preserve"> </w:t>
      </w:r>
      <w:r>
        <w:t>ciñéndose</w:t>
      </w:r>
      <w:r>
        <w:rPr>
          <w:spacing w:val="-2"/>
        </w:rPr>
        <w:t xml:space="preserve"> </w:t>
      </w:r>
      <w:r>
        <w:t>a</w:t>
      </w:r>
      <w:r>
        <w:rPr>
          <w:spacing w:val="-2"/>
        </w:rPr>
        <w:t xml:space="preserve"> </w:t>
      </w:r>
      <w:r>
        <w:t>los</w:t>
      </w:r>
      <w:r>
        <w:rPr>
          <w:spacing w:val="-3"/>
        </w:rPr>
        <w:t xml:space="preserve"> </w:t>
      </w:r>
      <w:r>
        <w:t>criterios</w:t>
      </w:r>
      <w:r>
        <w:rPr>
          <w:spacing w:val="-2"/>
        </w:rPr>
        <w:t xml:space="preserve"> </w:t>
      </w:r>
      <w:r>
        <w:t>ya</w:t>
      </w:r>
      <w:r>
        <w:rPr>
          <w:spacing w:val="-3"/>
        </w:rPr>
        <w:t xml:space="preserve"> </w:t>
      </w:r>
      <w:r>
        <w:t>establecidos</w:t>
      </w:r>
      <w:r>
        <w:rPr>
          <w:spacing w:val="-2"/>
        </w:rPr>
        <w:t xml:space="preserve"> </w:t>
      </w:r>
      <w:r>
        <w:t>por</w:t>
      </w:r>
      <w:r>
        <w:rPr>
          <w:spacing w:val="-3"/>
        </w:rPr>
        <w:t xml:space="preserve"> </w:t>
      </w:r>
      <w:r>
        <w:t>la</w:t>
      </w:r>
      <w:r>
        <w:rPr>
          <w:spacing w:val="-2"/>
        </w:rPr>
        <w:t xml:space="preserve"> </w:t>
      </w:r>
      <w:r>
        <w:t>Corte</w:t>
      </w:r>
      <w:r>
        <w:rPr>
          <w:spacing w:val="-2"/>
        </w:rPr>
        <w:t xml:space="preserve"> </w:t>
      </w:r>
      <w:r>
        <w:t>Suprema de Justicia. en especial, haciendo prevalecer aquellos que garanticen el derecho de las víctimas</w:t>
      </w:r>
      <w:r>
        <w:rPr>
          <w:spacing w:val="-1"/>
        </w:rPr>
        <w:t xml:space="preserve"> </w:t>
      </w:r>
      <w:r>
        <w:t>de</w:t>
      </w:r>
      <w:r>
        <w:rPr>
          <w:spacing w:val="-1"/>
        </w:rPr>
        <w:t xml:space="preserve"> </w:t>
      </w:r>
      <w:r>
        <w:t>manera tal que</w:t>
      </w:r>
      <w:r>
        <w:rPr>
          <w:spacing w:val="80"/>
          <w:w w:val="150"/>
        </w:rPr>
        <w:t xml:space="preserve"> </w:t>
      </w:r>
      <w:r>
        <w:t>el Gobierno</w:t>
      </w:r>
      <w:r>
        <w:rPr>
          <w:spacing w:val="80"/>
          <w:w w:val="150"/>
        </w:rPr>
        <w:t xml:space="preserve"> </w:t>
      </w:r>
      <w:r>
        <w:t>priorice las</w:t>
      </w:r>
      <w:r>
        <w:rPr>
          <w:spacing w:val="-1"/>
        </w:rPr>
        <w:t xml:space="preserve"> </w:t>
      </w:r>
      <w:r>
        <w:t xml:space="preserve">investigaciones en Colombia si la persona solicitada en extradición puede contribuir a esclarecer </w:t>
      </w:r>
      <w:r>
        <w:lastRenderedPageBreak/>
        <w:t>fenómenos de criminalidad, violaciones</w:t>
      </w:r>
      <w:r>
        <w:rPr>
          <w:spacing w:val="-5"/>
        </w:rPr>
        <w:t xml:space="preserve"> </w:t>
      </w:r>
      <w:r>
        <w:t>de</w:t>
      </w:r>
      <w:r>
        <w:rPr>
          <w:spacing w:val="-2"/>
        </w:rPr>
        <w:t xml:space="preserve"> </w:t>
      </w:r>
      <w:r>
        <w:t>los</w:t>
      </w:r>
      <w:r>
        <w:rPr>
          <w:spacing w:val="-3"/>
        </w:rPr>
        <w:t xml:space="preserve"> </w:t>
      </w:r>
      <w:r>
        <w:t>DDHH</w:t>
      </w:r>
      <w:r>
        <w:rPr>
          <w:spacing w:val="-3"/>
        </w:rPr>
        <w:t xml:space="preserve"> </w:t>
      </w:r>
      <w:r>
        <w:t>e</w:t>
      </w:r>
      <w:r>
        <w:rPr>
          <w:spacing w:val="-2"/>
        </w:rPr>
        <w:t xml:space="preserve"> </w:t>
      </w:r>
      <w:r>
        <w:t>infracciones</w:t>
      </w:r>
      <w:r>
        <w:rPr>
          <w:spacing w:val="-2"/>
        </w:rPr>
        <w:t xml:space="preserve"> </w:t>
      </w:r>
      <w:r>
        <w:t>al</w:t>
      </w:r>
      <w:r>
        <w:rPr>
          <w:spacing w:val="-2"/>
        </w:rPr>
        <w:t xml:space="preserve"> </w:t>
      </w:r>
      <w:r>
        <w:t>DIH</w:t>
      </w:r>
      <w:r>
        <w:rPr>
          <w:spacing w:val="-4"/>
        </w:rPr>
        <w:t xml:space="preserve"> </w:t>
      </w:r>
      <w:r>
        <w:t>y</w:t>
      </w:r>
      <w:r>
        <w:rPr>
          <w:spacing w:val="-2"/>
        </w:rPr>
        <w:t xml:space="preserve"> </w:t>
      </w:r>
      <w:r>
        <w:t>corrupción</w:t>
      </w:r>
      <w:r>
        <w:rPr>
          <w:spacing w:val="-4"/>
        </w:rPr>
        <w:t xml:space="preserve"> </w:t>
      </w:r>
      <w:r>
        <w:t>a</w:t>
      </w:r>
      <w:r>
        <w:rPr>
          <w:spacing w:val="-2"/>
        </w:rPr>
        <w:t xml:space="preserve"> </w:t>
      </w:r>
      <w:r>
        <w:t>gran</w:t>
      </w:r>
      <w:r>
        <w:rPr>
          <w:spacing w:val="-4"/>
        </w:rPr>
        <w:t xml:space="preserve"> </w:t>
      </w:r>
      <w:r>
        <w:t>escala,</w:t>
      </w:r>
      <w:r>
        <w:rPr>
          <w:spacing w:val="80"/>
        </w:rPr>
        <w:t xml:space="preserve">  </w:t>
      </w:r>
      <w:r>
        <w:t>así</w:t>
      </w:r>
      <w:r>
        <w:rPr>
          <w:spacing w:val="-3"/>
        </w:rPr>
        <w:t xml:space="preserve"> </w:t>
      </w:r>
      <w:r>
        <w:t>como</w:t>
      </w:r>
      <w:r>
        <w:rPr>
          <w:spacing w:val="-2"/>
        </w:rPr>
        <w:t xml:space="preserve"> </w:t>
      </w:r>
      <w:r>
        <w:t>a</w:t>
      </w:r>
      <w:r>
        <w:rPr>
          <w:spacing w:val="-3"/>
        </w:rPr>
        <w:t xml:space="preserve"> </w:t>
      </w:r>
      <w:r>
        <w:t>la reparación con los bienes incautados o que surjan del proceso de investigación Así mismo, el Gobierno deberá adelantar todas las gestiones para establecer acuerdos para garantizar dichos derechos frente a las personas que han sido extraditadas en el pasado.</w:t>
      </w:r>
    </w:p>
    <w:p w:rsidR="003804AC" w:rsidRDefault="00AF18A5" w:rsidP="00661BC3">
      <w:r>
        <w:t>En</w:t>
      </w:r>
      <w:r>
        <w:rPr>
          <w:spacing w:val="-15"/>
        </w:rPr>
        <w:t xml:space="preserve"> </w:t>
      </w:r>
      <w:r>
        <w:t>materia</w:t>
      </w:r>
      <w:r>
        <w:rPr>
          <w:spacing w:val="-15"/>
        </w:rPr>
        <w:t xml:space="preserve"> </w:t>
      </w:r>
      <w:r>
        <w:t>de</w:t>
      </w:r>
      <w:r>
        <w:rPr>
          <w:spacing w:val="-15"/>
        </w:rPr>
        <w:t xml:space="preserve"> </w:t>
      </w:r>
      <w:r>
        <w:t>acceso</w:t>
      </w:r>
      <w:r>
        <w:rPr>
          <w:spacing w:val="-15"/>
        </w:rPr>
        <w:t xml:space="preserve"> </w:t>
      </w:r>
      <w:r>
        <w:t>a</w:t>
      </w:r>
      <w:r>
        <w:rPr>
          <w:spacing w:val="-15"/>
        </w:rPr>
        <w:t xml:space="preserve"> </w:t>
      </w:r>
      <w:r>
        <w:t>la</w:t>
      </w:r>
      <w:r>
        <w:rPr>
          <w:spacing w:val="-15"/>
        </w:rPr>
        <w:t xml:space="preserve"> </w:t>
      </w:r>
      <w:r>
        <w:t>justicia,</w:t>
      </w:r>
      <w:r>
        <w:rPr>
          <w:spacing w:val="-15"/>
        </w:rPr>
        <w:t xml:space="preserve"> </w:t>
      </w:r>
      <w:r>
        <w:t>en</w:t>
      </w:r>
      <w:r>
        <w:rPr>
          <w:spacing w:val="-15"/>
        </w:rPr>
        <w:t xml:space="preserve"> </w:t>
      </w:r>
      <w:r>
        <w:t>términos</w:t>
      </w:r>
      <w:r>
        <w:rPr>
          <w:spacing w:val="-15"/>
        </w:rPr>
        <w:t xml:space="preserve"> </w:t>
      </w:r>
      <w:r>
        <w:t>generales,</w:t>
      </w:r>
      <w:r>
        <w:rPr>
          <w:spacing w:val="-15"/>
        </w:rPr>
        <w:t xml:space="preserve"> </w:t>
      </w:r>
      <w:r>
        <w:t>se</w:t>
      </w:r>
      <w:r>
        <w:rPr>
          <w:spacing w:val="-15"/>
        </w:rPr>
        <w:t xml:space="preserve"> </w:t>
      </w:r>
      <w:r>
        <w:t>recomienda</w:t>
      </w:r>
      <w:r>
        <w:rPr>
          <w:spacing w:val="-15"/>
        </w:rPr>
        <w:t xml:space="preserve"> </w:t>
      </w:r>
      <w:r>
        <w:t>un</w:t>
      </w:r>
      <w:r>
        <w:rPr>
          <w:spacing w:val="-15"/>
        </w:rPr>
        <w:t xml:space="preserve"> </w:t>
      </w:r>
      <w:r>
        <w:t>fortalecimiento y adecuación de la oferta, teniendo en cuenta el reconocimiento y la articulación de mecanismos</w:t>
      </w:r>
      <w:r>
        <w:rPr>
          <w:spacing w:val="-15"/>
        </w:rPr>
        <w:t xml:space="preserve"> </w:t>
      </w:r>
      <w:r>
        <w:t>formales</w:t>
      </w:r>
      <w:r>
        <w:rPr>
          <w:spacing w:val="-14"/>
        </w:rPr>
        <w:t xml:space="preserve"> </w:t>
      </w:r>
      <w:r>
        <w:t>y</w:t>
      </w:r>
      <w:r>
        <w:rPr>
          <w:spacing w:val="-15"/>
        </w:rPr>
        <w:t xml:space="preserve"> </w:t>
      </w:r>
      <w:r>
        <w:t>comunitarios.</w:t>
      </w:r>
      <w:r>
        <w:rPr>
          <w:spacing w:val="-15"/>
        </w:rPr>
        <w:t xml:space="preserve"> </w:t>
      </w:r>
      <w:r>
        <w:t>Las</w:t>
      </w:r>
      <w:r>
        <w:rPr>
          <w:spacing w:val="-14"/>
        </w:rPr>
        <w:t xml:space="preserve"> </w:t>
      </w:r>
      <w:r>
        <w:t>recomendaciones</w:t>
      </w:r>
      <w:r>
        <w:rPr>
          <w:spacing w:val="-15"/>
        </w:rPr>
        <w:t xml:space="preserve"> </w:t>
      </w:r>
      <w:r>
        <w:t>en</w:t>
      </w:r>
      <w:r>
        <w:rPr>
          <w:spacing w:val="-14"/>
        </w:rPr>
        <w:t xml:space="preserve"> </w:t>
      </w:r>
      <w:r>
        <w:t>este</w:t>
      </w:r>
      <w:r>
        <w:rPr>
          <w:spacing w:val="-14"/>
        </w:rPr>
        <w:t xml:space="preserve"> </w:t>
      </w:r>
      <w:r>
        <w:t>sentido</w:t>
      </w:r>
      <w:r>
        <w:rPr>
          <w:spacing w:val="-14"/>
        </w:rPr>
        <w:t xml:space="preserve"> </w:t>
      </w:r>
      <w:r>
        <w:t>se</w:t>
      </w:r>
      <w:r>
        <w:rPr>
          <w:spacing w:val="-14"/>
        </w:rPr>
        <w:t xml:space="preserve"> </w:t>
      </w:r>
      <w:r>
        <w:t>orientan</w:t>
      </w:r>
      <w:r>
        <w:rPr>
          <w:spacing w:val="-15"/>
        </w:rPr>
        <w:t xml:space="preserve"> </w:t>
      </w:r>
      <w:r>
        <w:t>desde una</w:t>
      </w:r>
      <w:r>
        <w:rPr>
          <w:spacing w:val="-3"/>
        </w:rPr>
        <w:t xml:space="preserve"> </w:t>
      </w:r>
      <w:r>
        <w:t>visión</w:t>
      </w:r>
      <w:r>
        <w:rPr>
          <w:spacing w:val="-4"/>
        </w:rPr>
        <w:t xml:space="preserve"> </w:t>
      </w:r>
      <w:r>
        <w:t>de</w:t>
      </w:r>
      <w:r>
        <w:rPr>
          <w:spacing w:val="-3"/>
        </w:rPr>
        <w:t xml:space="preserve"> </w:t>
      </w:r>
      <w:r>
        <w:t>la</w:t>
      </w:r>
      <w:r>
        <w:rPr>
          <w:spacing w:val="-5"/>
        </w:rPr>
        <w:t xml:space="preserve"> </w:t>
      </w:r>
      <w:r>
        <w:t>justicia</w:t>
      </w:r>
      <w:r>
        <w:rPr>
          <w:spacing w:val="-6"/>
        </w:rPr>
        <w:t xml:space="preserve"> </w:t>
      </w:r>
      <w:r>
        <w:t>más</w:t>
      </w:r>
      <w:r>
        <w:rPr>
          <w:spacing w:val="-5"/>
        </w:rPr>
        <w:t xml:space="preserve"> </w:t>
      </w:r>
      <w:r>
        <w:t>amplia</w:t>
      </w:r>
      <w:r>
        <w:rPr>
          <w:spacing w:val="-6"/>
        </w:rPr>
        <w:t xml:space="preserve"> </w:t>
      </w:r>
      <w:r>
        <w:t>que</w:t>
      </w:r>
      <w:r>
        <w:rPr>
          <w:spacing w:val="-3"/>
        </w:rPr>
        <w:t xml:space="preserve"> </w:t>
      </w:r>
      <w:r>
        <w:t>la</w:t>
      </w:r>
      <w:r>
        <w:rPr>
          <w:spacing w:val="-5"/>
        </w:rPr>
        <w:t xml:space="preserve"> </w:t>
      </w:r>
      <w:r>
        <w:t>penal</w:t>
      </w:r>
      <w:r>
        <w:rPr>
          <w:spacing w:val="-4"/>
        </w:rPr>
        <w:t xml:space="preserve"> </w:t>
      </w:r>
      <w:r>
        <w:t>y</w:t>
      </w:r>
      <w:r>
        <w:rPr>
          <w:spacing w:val="-4"/>
        </w:rPr>
        <w:t xml:space="preserve"> </w:t>
      </w:r>
      <w:r>
        <w:t>buscan</w:t>
      </w:r>
      <w:r>
        <w:rPr>
          <w:spacing w:val="-5"/>
        </w:rPr>
        <w:t xml:space="preserve"> </w:t>
      </w:r>
      <w:r>
        <w:t>dar</w:t>
      </w:r>
      <w:r>
        <w:rPr>
          <w:spacing w:val="-4"/>
        </w:rPr>
        <w:t xml:space="preserve"> </w:t>
      </w:r>
      <w:r>
        <w:t>cuenta</w:t>
      </w:r>
      <w:r>
        <w:rPr>
          <w:spacing w:val="-3"/>
        </w:rPr>
        <w:t xml:space="preserve"> </w:t>
      </w:r>
      <w:r>
        <w:t>de</w:t>
      </w:r>
      <w:r>
        <w:rPr>
          <w:spacing w:val="-5"/>
        </w:rPr>
        <w:t xml:space="preserve"> </w:t>
      </w:r>
      <w:r>
        <w:t>que,</w:t>
      </w:r>
      <w:r>
        <w:rPr>
          <w:spacing w:val="-4"/>
        </w:rPr>
        <w:t xml:space="preserve"> </w:t>
      </w:r>
      <w:r>
        <w:t>para</w:t>
      </w:r>
      <w:r>
        <w:rPr>
          <w:spacing w:val="-5"/>
        </w:rPr>
        <w:t xml:space="preserve"> </w:t>
      </w:r>
      <w:r>
        <w:t>mejorar</w:t>
      </w:r>
      <w:r>
        <w:rPr>
          <w:spacing w:val="-4"/>
        </w:rPr>
        <w:t xml:space="preserve"> </w:t>
      </w:r>
      <w:r>
        <w:t>el acceso</w:t>
      </w:r>
      <w:r>
        <w:rPr>
          <w:spacing w:val="-1"/>
        </w:rPr>
        <w:t xml:space="preserve"> </w:t>
      </w:r>
      <w:r>
        <w:t>a</w:t>
      </w:r>
      <w:r>
        <w:rPr>
          <w:spacing w:val="-1"/>
        </w:rPr>
        <w:t xml:space="preserve"> </w:t>
      </w:r>
      <w:r>
        <w:t>mecanismos</w:t>
      </w:r>
      <w:r>
        <w:rPr>
          <w:spacing w:val="-1"/>
        </w:rPr>
        <w:t xml:space="preserve"> </w:t>
      </w:r>
      <w:r>
        <w:t>de</w:t>
      </w:r>
      <w:r>
        <w:rPr>
          <w:spacing w:val="-2"/>
        </w:rPr>
        <w:t xml:space="preserve"> </w:t>
      </w:r>
      <w:r>
        <w:t>resolución</w:t>
      </w:r>
      <w:r>
        <w:rPr>
          <w:spacing w:val="-1"/>
        </w:rPr>
        <w:t xml:space="preserve"> </w:t>
      </w:r>
      <w:r>
        <w:t>de</w:t>
      </w:r>
      <w:r>
        <w:rPr>
          <w:spacing w:val="-1"/>
        </w:rPr>
        <w:t xml:space="preserve"> </w:t>
      </w:r>
      <w:r>
        <w:t>conflictos,</w:t>
      </w:r>
      <w:r>
        <w:rPr>
          <w:spacing w:val="-1"/>
        </w:rPr>
        <w:t xml:space="preserve"> </w:t>
      </w:r>
      <w:r>
        <w:t>en</w:t>
      </w:r>
      <w:r>
        <w:rPr>
          <w:spacing w:val="-1"/>
        </w:rPr>
        <w:t xml:space="preserve"> </w:t>
      </w:r>
      <w:r>
        <w:t>especial</w:t>
      </w:r>
      <w:r>
        <w:rPr>
          <w:spacing w:val="-1"/>
        </w:rPr>
        <w:t xml:space="preserve"> </w:t>
      </w:r>
      <w:r>
        <w:t>en</w:t>
      </w:r>
      <w:r>
        <w:rPr>
          <w:spacing w:val="-1"/>
        </w:rPr>
        <w:t xml:space="preserve"> </w:t>
      </w:r>
      <w:r>
        <w:t>la</w:t>
      </w:r>
      <w:r>
        <w:rPr>
          <w:spacing w:val="-1"/>
        </w:rPr>
        <w:t xml:space="preserve"> </w:t>
      </w:r>
      <w:r>
        <w:t>ruralidad,</w:t>
      </w:r>
      <w:r>
        <w:rPr>
          <w:spacing w:val="-1"/>
        </w:rPr>
        <w:t xml:space="preserve"> </w:t>
      </w:r>
      <w:r>
        <w:t>es</w:t>
      </w:r>
      <w:r>
        <w:rPr>
          <w:spacing w:val="-1"/>
        </w:rPr>
        <w:t xml:space="preserve"> </w:t>
      </w:r>
      <w:r>
        <w:t>insuficiente hacerlo</w:t>
      </w:r>
      <w:r>
        <w:rPr>
          <w:spacing w:val="-13"/>
        </w:rPr>
        <w:t xml:space="preserve"> </w:t>
      </w:r>
      <w:r>
        <w:t>únicamente</w:t>
      </w:r>
      <w:r>
        <w:rPr>
          <w:spacing w:val="-13"/>
        </w:rPr>
        <w:t xml:space="preserve"> </w:t>
      </w:r>
      <w:r>
        <w:t>a</w:t>
      </w:r>
      <w:r>
        <w:rPr>
          <w:spacing w:val="-13"/>
        </w:rPr>
        <w:t xml:space="preserve"> </w:t>
      </w:r>
      <w:r>
        <w:t>través</w:t>
      </w:r>
      <w:r>
        <w:rPr>
          <w:spacing w:val="-13"/>
        </w:rPr>
        <w:t xml:space="preserve"> </w:t>
      </w:r>
      <w:r>
        <w:t>de</w:t>
      </w:r>
      <w:r>
        <w:rPr>
          <w:spacing w:val="-13"/>
        </w:rPr>
        <w:t xml:space="preserve"> </w:t>
      </w:r>
      <w:r>
        <w:t>jueces:</w:t>
      </w:r>
      <w:r>
        <w:rPr>
          <w:spacing w:val="-13"/>
        </w:rPr>
        <w:t xml:space="preserve"> </w:t>
      </w:r>
      <w:r>
        <w:t>se</w:t>
      </w:r>
      <w:r>
        <w:rPr>
          <w:spacing w:val="-13"/>
        </w:rPr>
        <w:t xml:space="preserve"> </w:t>
      </w:r>
      <w:r>
        <w:t>requiere</w:t>
      </w:r>
      <w:r>
        <w:rPr>
          <w:spacing w:val="-13"/>
        </w:rPr>
        <w:t xml:space="preserve"> </w:t>
      </w:r>
      <w:r>
        <w:t>brindar</w:t>
      </w:r>
      <w:r>
        <w:rPr>
          <w:spacing w:val="-13"/>
        </w:rPr>
        <w:t xml:space="preserve"> </w:t>
      </w:r>
      <w:r>
        <w:t>a</w:t>
      </w:r>
      <w:r>
        <w:rPr>
          <w:spacing w:val="-13"/>
        </w:rPr>
        <w:t xml:space="preserve"> </w:t>
      </w:r>
      <w:r>
        <w:t>los</w:t>
      </w:r>
      <w:r>
        <w:rPr>
          <w:spacing w:val="-13"/>
        </w:rPr>
        <w:t xml:space="preserve"> </w:t>
      </w:r>
      <w:r>
        <w:t>ciudadanos</w:t>
      </w:r>
      <w:r>
        <w:rPr>
          <w:spacing w:val="-13"/>
        </w:rPr>
        <w:t xml:space="preserve"> </w:t>
      </w:r>
      <w:r>
        <w:t>herramientas</w:t>
      </w:r>
      <w:r>
        <w:rPr>
          <w:spacing w:val="-13"/>
        </w:rPr>
        <w:t xml:space="preserve"> </w:t>
      </w:r>
      <w:r>
        <w:t>para implementar mecanismos con arraigo en los valores de cada comunidad.</w:t>
      </w:r>
    </w:p>
    <w:p w:rsidR="003804AC" w:rsidRDefault="00AF18A5" w:rsidP="00661BC3">
      <w:r>
        <w:t>Dentro de las acciones propuestas, se recomienda crear la jurisdicción agraria para resolver conflictos sobre el uso, la propiedad y la tenencia del suelo rural. Esta debe disponer de mecanismos institucionales que se adecúen a las zonas donde ocurren estos conflictos.</w:t>
      </w:r>
      <w:r>
        <w:rPr>
          <w:spacing w:val="-1"/>
        </w:rPr>
        <w:t xml:space="preserve"> </w:t>
      </w:r>
      <w:r>
        <w:t>Esta recomendación es</w:t>
      </w:r>
      <w:r>
        <w:rPr>
          <w:spacing w:val="-1"/>
        </w:rPr>
        <w:t xml:space="preserve"> </w:t>
      </w:r>
      <w:r>
        <w:t>un</w:t>
      </w:r>
      <w:r>
        <w:rPr>
          <w:spacing w:val="-1"/>
        </w:rPr>
        <w:t xml:space="preserve"> </w:t>
      </w:r>
      <w:r>
        <w:t>compromiso pendiente</w:t>
      </w:r>
      <w:r>
        <w:rPr>
          <w:spacing w:val="-1"/>
        </w:rPr>
        <w:t xml:space="preserve"> </w:t>
      </w:r>
      <w:r>
        <w:t>del Acuerdo</w:t>
      </w:r>
      <w:r>
        <w:rPr>
          <w:spacing w:val="-1"/>
        </w:rPr>
        <w:t xml:space="preserve"> </w:t>
      </w:r>
      <w:r>
        <w:t>de Paz, pues pese a que hubo dos iniciativas presentadas para crear una especialidad agraria –una en 2020 y otra</w:t>
      </w:r>
      <w:r>
        <w:rPr>
          <w:spacing w:val="9"/>
        </w:rPr>
        <w:t xml:space="preserve"> </w:t>
      </w:r>
      <w:r>
        <w:t>en</w:t>
      </w:r>
      <w:r>
        <w:rPr>
          <w:spacing w:val="11"/>
        </w:rPr>
        <w:t xml:space="preserve"> </w:t>
      </w:r>
      <w:r>
        <w:t>2021–</w:t>
      </w:r>
      <w:r>
        <w:rPr>
          <w:spacing w:val="11"/>
        </w:rPr>
        <w:t xml:space="preserve"> </w:t>
      </w:r>
      <w:r>
        <w:t>el</w:t>
      </w:r>
      <w:r>
        <w:rPr>
          <w:spacing w:val="11"/>
        </w:rPr>
        <w:t xml:space="preserve"> </w:t>
      </w:r>
      <w:r>
        <w:t>Congreso</w:t>
      </w:r>
      <w:r>
        <w:rPr>
          <w:spacing w:val="11"/>
        </w:rPr>
        <w:t xml:space="preserve"> </w:t>
      </w:r>
      <w:r>
        <w:t>las</w:t>
      </w:r>
      <w:r>
        <w:rPr>
          <w:spacing w:val="11"/>
        </w:rPr>
        <w:t xml:space="preserve"> </w:t>
      </w:r>
      <w:r>
        <w:t>archivó.</w:t>
      </w:r>
      <w:r>
        <w:rPr>
          <w:spacing w:val="11"/>
        </w:rPr>
        <w:t xml:space="preserve"> </w:t>
      </w:r>
      <w:r>
        <w:t>También</w:t>
      </w:r>
      <w:r>
        <w:rPr>
          <w:spacing w:val="9"/>
        </w:rPr>
        <w:t xml:space="preserve"> </w:t>
      </w:r>
      <w:r>
        <w:t>se</w:t>
      </w:r>
      <w:r>
        <w:rPr>
          <w:spacing w:val="11"/>
        </w:rPr>
        <w:t xml:space="preserve"> </w:t>
      </w:r>
      <w:r>
        <w:t>propone</w:t>
      </w:r>
      <w:r>
        <w:rPr>
          <w:spacing w:val="10"/>
        </w:rPr>
        <w:t xml:space="preserve"> </w:t>
      </w:r>
      <w:r>
        <w:t>cumplir</w:t>
      </w:r>
      <w:r>
        <w:rPr>
          <w:spacing w:val="11"/>
        </w:rPr>
        <w:t xml:space="preserve"> </w:t>
      </w:r>
      <w:r>
        <w:t>la</w:t>
      </w:r>
      <w:r>
        <w:rPr>
          <w:spacing w:val="11"/>
        </w:rPr>
        <w:t xml:space="preserve"> </w:t>
      </w:r>
      <w:r>
        <w:t>deuda</w:t>
      </w:r>
      <w:r>
        <w:rPr>
          <w:spacing w:val="11"/>
        </w:rPr>
        <w:t xml:space="preserve"> </w:t>
      </w:r>
      <w:r>
        <w:t>pendiente</w:t>
      </w:r>
      <w:r>
        <w:rPr>
          <w:spacing w:val="12"/>
        </w:rPr>
        <w:t xml:space="preserve"> </w:t>
      </w:r>
      <w:r>
        <w:rPr>
          <w:spacing w:val="-5"/>
        </w:rPr>
        <w:t>de</w:t>
      </w:r>
      <w:r w:rsidR="00661BC3">
        <w:t xml:space="preserve"> </w:t>
      </w:r>
      <w:r>
        <w:t>articulación</w:t>
      </w:r>
      <w:r>
        <w:rPr>
          <w:spacing w:val="-8"/>
        </w:rPr>
        <w:t xml:space="preserve"> </w:t>
      </w:r>
      <w:r>
        <w:t>de</w:t>
      </w:r>
      <w:r>
        <w:rPr>
          <w:spacing w:val="-7"/>
        </w:rPr>
        <w:t xml:space="preserve"> </w:t>
      </w:r>
      <w:r>
        <w:t>la</w:t>
      </w:r>
      <w:r>
        <w:rPr>
          <w:spacing w:val="-7"/>
        </w:rPr>
        <w:t xml:space="preserve"> </w:t>
      </w:r>
      <w:r>
        <w:t>justicia</w:t>
      </w:r>
      <w:r>
        <w:rPr>
          <w:spacing w:val="-8"/>
        </w:rPr>
        <w:t xml:space="preserve"> </w:t>
      </w:r>
      <w:r>
        <w:t>formal</w:t>
      </w:r>
      <w:r>
        <w:rPr>
          <w:spacing w:val="-7"/>
        </w:rPr>
        <w:t xml:space="preserve"> </w:t>
      </w:r>
      <w:r>
        <w:t>con</w:t>
      </w:r>
      <w:r>
        <w:rPr>
          <w:spacing w:val="-8"/>
        </w:rPr>
        <w:t xml:space="preserve"> </w:t>
      </w:r>
      <w:r>
        <w:t>las</w:t>
      </w:r>
      <w:r>
        <w:rPr>
          <w:spacing w:val="-7"/>
        </w:rPr>
        <w:t xml:space="preserve"> </w:t>
      </w:r>
      <w:r>
        <w:t>justicias</w:t>
      </w:r>
      <w:r>
        <w:rPr>
          <w:spacing w:val="-7"/>
        </w:rPr>
        <w:t xml:space="preserve"> </w:t>
      </w:r>
      <w:r>
        <w:t>propias</w:t>
      </w:r>
      <w:r>
        <w:rPr>
          <w:spacing w:val="-7"/>
        </w:rPr>
        <w:t xml:space="preserve"> </w:t>
      </w:r>
      <w:r>
        <w:t>de</w:t>
      </w:r>
      <w:r>
        <w:rPr>
          <w:spacing w:val="-8"/>
        </w:rPr>
        <w:t xml:space="preserve"> </w:t>
      </w:r>
      <w:r>
        <w:t>los</w:t>
      </w:r>
      <w:r>
        <w:rPr>
          <w:spacing w:val="-8"/>
        </w:rPr>
        <w:t xml:space="preserve"> </w:t>
      </w:r>
      <w:r>
        <w:t>pueblos</w:t>
      </w:r>
      <w:r>
        <w:rPr>
          <w:spacing w:val="-7"/>
        </w:rPr>
        <w:t xml:space="preserve"> </w:t>
      </w:r>
      <w:r>
        <w:t>étnicos.</w:t>
      </w:r>
      <w:r>
        <w:rPr>
          <w:spacing w:val="-7"/>
        </w:rPr>
        <w:t xml:space="preserve"> </w:t>
      </w:r>
      <w:r>
        <w:t>Finalmente, se</w:t>
      </w:r>
      <w:r>
        <w:rPr>
          <w:spacing w:val="-1"/>
        </w:rPr>
        <w:t xml:space="preserve"> </w:t>
      </w:r>
      <w:r>
        <w:t>sugiere</w:t>
      </w:r>
      <w:r>
        <w:rPr>
          <w:spacing w:val="-1"/>
        </w:rPr>
        <w:t xml:space="preserve"> </w:t>
      </w:r>
      <w:r>
        <w:t>fortalecer</w:t>
      </w:r>
      <w:r>
        <w:rPr>
          <w:spacing w:val="-1"/>
        </w:rPr>
        <w:t xml:space="preserve"> </w:t>
      </w:r>
      <w:r>
        <w:t>las</w:t>
      </w:r>
      <w:r>
        <w:rPr>
          <w:spacing w:val="-2"/>
        </w:rPr>
        <w:t xml:space="preserve"> </w:t>
      </w:r>
      <w:r>
        <w:t>capacidades</w:t>
      </w:r>
      <w:r>
        <w:rPr>
          <w:spacing w:val="-2"/>
        </w:rPr>
        <w:t xml:space="preserve"> </w:t>
      </w:r>
      <w:r>
        <w:t>de</w:t>
      </w:r>
      <w:r>
        <w:rPr>
          <w:spacing w:val="-1"/>
        </w:rPr>
        <w:t xml:space="preserve"> </w:t>
      </w:r>
      <w:r>
        <w:t>las</w:t>
      </w:r>
      <w:r>
        <w:rPr>
          <w:spacing w:val="-1"/>
        </w:rPr>
        <w:t xml:space="preserve"> </w:t>
      </w:r>
      <w:r>
        <w:t>autoridades</w:t>
      </w:r>
      <w:r>
        <w:rPr>
          <w:spacing w:val="-1"/>
        </w:rPr>
        <w:t xml:space="preserve"> </w:t>
      </w:r>
      <w:r>
        <w:t>territoriales</w:t>
      </w:r>
      <w:r>
        <w:rPr>
          <w:spacing w:val="-1"/>
        </w:rPr>
        <w:t xml:space="preserve"> </w:t>
      </w:r>
      <w:r>
        <w:t>para</w:t>
      </w:r>
      <w:r>
        <w:rPr>
          <w:spacing w:val="-1"/>
        </w:rPr>
        <w:t xml:space="preserve"> </w:t>
      </w:r>
      <w:r>
        <w:t>que</w:t>
      </w:r>
      <w:r>
        <w:rPr>
          <w:spacing w:val="-1"/>
        </w:rPr>
        <w:t xml:space="preserve"> </w:t>
      </w:r>
      <w:r>
        <w:t>puedan</w:t>
      </w:r>
      <w:r>
        <w:rPr>
          <w:spacing w:val="-1"/>
        </w:rPr>
        <w:t xml:space="preserve"> </w:t>
      </w:r>
      <w:r>
        <w:t xml:space="preserve">brindar una oferta integral de mecanismos formales y comunitarios para la resolución de </w:t>
      </w:r>
      <w:r>
        <w:rPr>
          <w:spacing w:val="-2"/>
        </w:rPr>
        <w:t>controversias.</w:t>
      </w:r>
    </w:p>
    <w:p w:rsidR="003804AC" w:rsidRDefault="00AF18A5" w:rsidP="00661BC3">
      <w:r>
        <w:lastRenderedPageBreak/>
        <w:t>El reconocimiento a funcionarios judiciales que dieron su vida o fueron perseguidos por eso debe incluir la dignificación de su labor tanto como un estudio a profundidad de los procesos</w:t>
      </w:r>
      <w:r>
        <w:rPr>
          <w:spacing w:val="-2"/>
        </w:rPr>
        <w:t xml:space="preserve"> </w:t>
      </w:r>
      <w:r>
        <w:t>que</w:t>
      </w:r>
      <w:r>
        <w:rPr>
          <w:spacing w:val="-1"/>
        </w:rPr>
        <w:t xml:space="preserve"> </w:t>
      </w:r>
      <w:r>
        <w:t>llevaban</w:t>
      </w:r>
      <w:r>
        <w:rPr>
          <w:spacing w:val="-2"/>
        </w:rPr>
        <w:t xml:space="preserve"> </w:t>
      </w:r>
      <w:r>
        <w:t>y</w:t>
      </w:r>
      <w:r>
        <w:rPr>
          <w:spacing w:val="-2"/>
        </w:rPr>
        <w:t xml:space="preserve"> </w:t>
      </w:r>
      <w:r>
        <w:t>de</w:t>
      </w:r>
      <w:r>
        <w:rPr>
          <w:spacing w:val="-1"/>
        </w:rPr>
        <w:t xml:space="preserve"> </w:t>
      </w:r>
      <w:r>
        <w:t>implementar</w:t>
      </w:r>
      <w:r>
        <w:rPr>
          <w:spacing w:val="-2"/>
        </w:rPr>
        <w:t xml:space="preserve"> </w:t>
      </w:r>
      <w:r>
        <w:t>mecanismos</w:t>
      </w:r>
      <w:r>
        <w:rPr>
          <w:spacing w:val="-1"/>
        </w:rPr>
        <w:t xml:space="preserve"> </w:t>
      </w:r>
      <w:r>
        <w:t>institucionales</w:t>
      </w:r>
      <w:r>
        <w:rPr>
          <w:spacing w:val="-1"/>
        </w:rPr>
        <w:t xml:space="preserve"> </w:t>
      </w:r>
      <w:r>
        <w:t>y</w:t>
      </w:r>
      <w:r>
        <w:rPr>
          <w:spacing w:val="-2"/>
        </w:rPr>
        <w:t xml:space="preserve"> </w:t>
      </w:r>
      <w:r>
        <w:t>figuras</w:t>
      </w:r>
      <w:r>
        <w:rPr>
          <w:spacing w:val="-2"/>
        </w:rPr>
        <w:t xml:space="preserve"> </w:t>
      </w:r>
      <w:r>
        <w:t>jurídicas</w:t>
      </w:r>
      <w:r>
        <w:rPr>
          <w:spacing w:val="-1"/>
        </w:rPr>
        <w:t xml:space="preserve"> </w:t>
      </w:r>
      <w:r>
        <w:t>para el avance de dichas investigaciones.</w:t>
      </w:r>
    </w:p>
    <w:p w:rsidR="0011361F" w:rsidRDefault="00AF18A5" w:rsidP="00661BC3">
      <w:r>
        <w:rPr>
          <w:w w:val="95"/>
        </w:rPr>
        <w:t>RECONOCIMIENTO</w:t>
      </w:r>
      <w:r>
        <w:rPr>
          <w:spacing w:val="34"/>
        </w:rPr>
        <w:t xml:space="preserve"> </w:t>
      </w:r>
      <w:r>
        <w:rPr>
          <w:w w:val="95"/>
        </w:rPr>
        <w:t>-</w:t>
      </w:r>
      <w:r>
        <w:rPr>
          <w:spacing w:val="23"/>
        </w:rPr>
        <w:t xml:space="preserve"> </w:t>
      </w:r>
      <w:r>
        <w:rPr>
          <w:spacing w:val="-2"/>
          <w:w w:val="95"/>
        </w:rPr>
        <w:t>LLAMADO</w:t>
      </w:r>
    </w:p>
    <w:p w:rsidR="003804AC" w:rsidRDefault="00AF18A5" w:rsidP="00661BC3">
      <w:r>
        <w:t>Llamamos a</w:t>
      </w:r>
      <w:r>
        <w:rPr>
          <w:spacing w:val="80"/>
        </w:rPr>
        <w:t xml:space="preserve"> </w:t>
      </w:r>
      <w:r>
        <w:t>l Estado colombiano y a la sociedad en su conjunto,</w:t>
      </w:r>
      <w:r>
        <w:rPr>
          <w:spacing w:val="80"/>
          <w:w w:val="150"/>
        </w:rPr>
        <w:t xml:space="preserve"> </w:t>
      </w:r>
      <w:r>
        <w:t>a promover y apropiarse</w:t>
      </w:r>
      <w:r>
        <w:rPr>
          <w:spacing w:val="-8"/>
        </w:rPr>
        <w:t xml:space="preserve"> </w:t>
      </w:r>
      <w:r>
        <w:t>de</w:t>
      </w:r>
      <w:r>
        <w:rPr>
          <w:spacing w:val="-7"/>
        </w:rPr>
        <w:t xml:space="preserve"> </w:t>
      </w:r>
      <w:r>
        <w:t>prácticas</w:t>
      </w:r>
      <w:r>
        <w:rPr>
          <w:spacing w:val="-8"/>
        </w:rPr>
        <w:t xml:space="preserve"> </w:t>
      </w:r>
      <w:r>
        <w:t>que</w:t>
      </w:r>
      <w:r>
        <w:rPr>
          <w:spacing w:val="-7"/>
        </w:rPr>
        <w:t xml:space="preserve"> </w:t>
      </w:r>
      <w:r>
        <w:t>reivindiquen</w:t>
      </w:r>
      <w:r>
        <w:rPr>
          <w:spacing w:val="-7"/>
        </w:rPr>
        <w:t xml:space="preserve"> </w:t>
      </w:r>
      <w:r>
        <w:t>la</w:t>
      </w:r>
      <w:r>
        <w:rPr>
          <w:spacing w:val="-7"/>
        </w:rPr>
        <w:t xml:space="preserve"> </w:t>
      </w:r>
      <w:r>
        <w:t>legalidad</w:t>
      </w:r>
      <w:r>
        <w:rPr>
          <w:spacing w:val="-7"/>
        </w:rPr>
        <w:t xml:space="preserve"> </w:t>
      </w:r>
      <w:r>
        <w:t>como</w:t>
      </w:r>
      <w:r>
        <w:rPr>
          <w:spacing w:val="-7"/>
        </w:rPr>
        <w:t xml:space="preserve"> </w:t>
      </w:r>
      <w:r>
        <w:t>un</w:t>
      </w:r>
      <w:r>
        <w:rPr>
          <w:spacing w:val="-7"/>
        </w:rPr>
        <w:t xml:space="preserve"> </w:t>
      </w:r>
      <w:r>
        <w:t>aspecto</w:t>
      </w:r>
      <w:r>
        <w:rPr>
          <w:spacing w:val="-7"/>
        </w:rPr>
        <w:t xml:space="preserve"> </w:t>
      </w:r>
      <w:r>
        <w:t>fundamental</w:t>
      </w:r>
      <w:r>
        <w:rPr>
          <w:spacing w:val="-8"/>
        </w:rPr>
        <w:t xml:space="preserve"> </w:t>
      </w:r>
      <w:r>
        <w:t>para</w:t>
      </w:r>
      <w:r>
        <w:rPr>
          <w:spacing w:val="-7"/>
        </w:rPr>
        <w:t xml:space="preserve"> </w:t>
      </w:r>
      <w:r>
        <w:t>la convivencia pacífica. En este sentido, es importante exaltar el carácter crucial de la lucha contra la impunidad como una necesidad social y como un mensaje contundente contra la criminalidad y la violencia, y a favor de la garantía de los derechos de las víctimas y de todos los ciudadanos. La necesaria independencia de la justicia es un pilar constitutivo de la</w:t>
      </w:r>
      <w:r>
        <w:rPr>
          <w:spacing w:val="-8"/>
        </w:rPr>
        <w:t xml:space="preserve"> </w:t>
      </w:r>
      <w:r>
        <w:t>democracia.</w:t>
      </w:r>
      <w:r>
        <w:rPr>
          <w:spacing w:val="40"/>
        </w:rPr>
        <w:t xml:space="preserve"> </w:t>
      </w:r>
      <w:r>
        <w:t>Así</w:t>
      </w:r>
      <w:r>
        <w:rPr>
          <w:spacing w:val="-8"/>
        </w:rPr>
        <w:t xml:space="preserve"> </w:t>
      </w:r>
      <w:r>
        <w:t>mismo,</w:t>
      </w:r>
      <w:r>
        <w:rPr>
          <w:spacing w:val="-8"/>
        </w:rPr>
        <w:t xml:space="preserve"> </w:t>
      </w:r>
      <w:r>
        <w:t>reconocer</w:t>
      </w:r>
      <w:r>
        <w:rPr>
          <w:spacing w:val="-8"/>
        </w:rPr>
        <w:t xml:space="preserve"> </w:t>
      </w:r>
      <w:r>
        <w:t>la</w:t>
      </w:r>
      <w:r>
        <w:rPr>
          <w:spacing w:val="-8"/>
        </w:rPr>
        <w:t xml:space="preserve"> </w:t>
      </w:r>
      <w:r>
        <w:t>urgencia</w:t>
      </w:r>
      <w:r>
        <w:rPr>
          <w:spacing w:val="-8"/>
        </w:rPr>
        <w:t xml:space="preserve"> </w:t>
      </w:r>
      <w:r>
        <w:t>de</w:t>
      </w:r>
      <w:r>
        <w:rPr>
          <w:spacing w:val="-8"/>
        </w:rPr>
        <w:t xml:space="preserve"> </w:t>
      </w:r>
      <w:r>
        <w:t>mejorar</w:t>
      </w:r>
      <w:r>
        <w:rPr>
          <w:spacing w:val="-8"/>
        </w:rPr>
        <w:t xml:space="preserve"> </w:t>
      </w:r>
      <w:r>
        <w:t>la</w:t>
      </w:r>
      <w:r>
        <w:rPr>
          <w:spacing w:val="-8"/>
        </w:rPr>
        <w:t xml:space="preserve"> </w:t>
      </w:r>
      <w:r>
        <w:t>relación</w:t>
      </w:r>
      <w:r>
        <w:rPr>
          <w:spacing w:val="-8"/>
        </w:rPr>
        <w:t xml:space="preserve"> </w:t>
      </w:r>
      <w:r>
        <w:t>de</w:t>
      </w:r>
      <w:r>
        <w:rPr>
          <w:spacing w:val="-8"/>
        </w:rPr>
        <w:t xml:space="preserve"> </w:t>
      </w:r>
      <w:r>
        <w:t>la</w:t>
      </w:r>
      <w:r>
        <w:rPr>
          <w:spacing w:val="-8"/>
        </w:rPr>
        <w:t xml:space="preserve"> </w:t>
      </w:r>
      <w:r>
        <w:t>ciudadanía con las instituciones</w:t>
      </w:r>
      <w:r>
        <w:rPr>
          <w:spacing w:val="80"/>
        </w:rPr>
        <w:t xml:space="preserve"> </w:t>
      </w:r>
      <w:r>
        <w:t xml:space="preserve">que administran justicia como una vía para el ejercicio de los derechos y para la reconstrucción de la confianza entre los ciudadanos y entre estos y el </w:t>
      </w:r>
      <w:r>
        <w:rPr>
          <w:spacing w:val="-2"/>
        </w:rPr>
        <w:t>Estado.</w:t>
      </w:r>
    </w:p>
    <w:p w:rsidR="0011361F" w:rsidRDefault="00AF18A5" w:rsidP="00661BC3">
      <w:pPr>
        <w:rPr>
          <w:b/>
        </w:rPr>
      </w:pPr>
      <w:r>
        <w:t>Por</w:t>
      </w:r>
      <w:r>
        <w:rPr>
          <w:spacing w:val="-1"/>
        </w:rPr>
        <w:t xml:space="preserve"> </w:t>
      </w:r>
      <w:r>
        <w:t>lo</w:t>
      </w:r>
      <w:r>
        <w:rPr>
          <w:spacing w:val="-1"/>
        </w:rPr>
        <w:t xml:space="preserve"> </w:t>
      </w:r>
      <w:r>
        <w:t>anterior</w:t>
      </w:r>
      <w:r>
        <w:rPr>
          <w:spacing w:val="-1"/>
        </w:rPr>
        <w:t xml:space="preserve"> </w:t>
      </w:r>
      <w:r>
        <w:rPr>
          <w:b/>
          <w:spacing w:val="-2"/>
        </w:rPr>
        <w:t>RECOMENDAMOS:</w:t>
      </w:r>
    </w:p>
    <w:p w:rsidR="0011361F" w:rsidRDefault="00AF18A5" w:rsidP="004A6EF4">
      <w:pPr>
        <w:pStyle w:val="Ttulo3"/>
        <w:numPr>
          <w:ilvl w:val="1"/>
          <w:numId w:val="28"/>
        </w:numPr>
      </w:pPr>
      <w:bookmarkStart w:id="1612" w:name="5.1._Independencia_y_transparencia"/>
      <w:bookmarkStart w:id="1613" w:name="_Toc112399703"/>
      <w:bookmarkEnd w:id="1612"/>
      <w:r w:rsidRPr="00661BC3">
        <w:t>Independencia</w:t>
      </w:r>
      <w:r>
        <w:rPr>
          <w:spacing w:val="-3"/>
        </w:rPr>
        <w:t xml:space="preserve"> </w:t>
      </w:r>
      <w:r>
        <w:t>y</w:t>
      </w:r>
      <w:r>
        <w:rPr>
          <w:spacing w:val="-3"/>
        </w:rPr>
        <w:t xml:space="preserve"> </w:t>
      </w:r>
      <w:r>
        <w:rPr>
          <w:spacing w:val="-2"/>
        </w:rPr>
        <w:t>transparencia</w:t>
      </w:r>
      <w:bookmarkEnd w:id="1613"/>
    </w:p>
    <w:p w:rsidR="0011361F" w:rsidRDefault="00AF18A5" w:rsidP="00661BC3">
      <w:r>
        <w:t>Mediano</w:t>
      </w:r>
      <w:r>
        <w:rPr>
          <w:spacing w:val="-3"/>
        </w:rPr>
        <w:t xml:space="preserve"> </w:t>
      </w:r>
      <w:r>
        <w:rPr>
          <w:spacing w:val="-2"/>
        </w:rPr>
        <w:t>plazo</w:t>
      </w:r>
    </w:p>
    <w:p w:rsidR="003804AC" w:rsidRDefault="00AF18A5" w:rsidP="004A6EF4">
      <w:pPr>
        <w:pStyle w:val="Prrafodelista"/>
        <w:numPr>
          <w:ilvl w:val="0"/>
          <w:numId w:val="31"/>
        </w:numPr>
      </w:pPr>
      <w:r>
        <w:t>Al Congreso de</w:t>
      </w:r>
      <w:r w:rsidRPr="00661BC3">
        <w:rPr>
          <w:spacing w:val="-1"/>
        </w:rPr>
        <w:t xml:space="preserve"> </w:t>
      </w:r>
      <w:r>
        <w:t xml:space="preserve">la República, </w:t>
      </w:r>
      <w:r w:rsidRPr="00661BC3">
        <w:rPr>
          <w:b/>
        </w:rPr>
        <w:t>modificar la</w:t>
      </w:r>
      <w:r w:rsidRPr="00661BC3">
        <w:rPr>
          <w:b/>
          <w:spacing w:val="-1"/>
        </w:rPr>
        <w:t xml:space="preserve"> </w:t>
      </w:r>
      <w:r w:rsidRPr="00661BC3">
        <w:rPr>
          <w:b/>
        </w:rPr>
        <w:t>forma de</w:t>
      </w:r>
      <w:r w:rsidRPr="00661BC3">
        <w:rPr>
          <w:b/>
          <w:spacing w:val="-1"/>
        </w:rPr>
        <w:t xml:space="preserve"> </w:t>
      </w:r>
      <w:r w:rsidRPr="00661BC3">
        <w:rPr>
          <w:b/>
        </w:rPr>
        <w:t>elección del Fiscal</w:t>
      </w:r>
      <w:r w:rsidRPr="00661BC3">
        <w:rPr>
          <w:b/>
          <w:spacing w:val="-1"/>
        </w:rPr>
        <w:t xml:space="preserve"> </w:t>
      </w:r>
      <w:r w:rsidRPr="00661BC3">
        <w:rPr>
          <w:b/>
        </w:rPr>
        <w:t xml:space="preserve">General </w:t>
      </w:r>
      <w:r>
        <w:t>de</w:t>
      </w:r>
      <w:r w:rsidRPr="00661BC3">
        <w:rPr>
          <w:spacing w:val="-1"/>
        </w:rPr>
        <w:t xml:space="preserve"> </w:t>
      </w:r>
      <w:r>
        <w:t>la Nación para garantizar su independencia, sobre la base de criterios de mérito y reconocimiento</w:t>
      </w:r>
      <w:r w:rsidRPr="00661BC3">
        <w:rPr>
          <w:spacing w:val="-9"/>
        </w:rPr>
        <w:t xml:space="preserve"> </w:t>
      </w:r>
      <w:r>
        <w:t>de</w:t>
      </w:r>
      <w:r w:rsidRPr="00661BC3">
        <w:rPr>
          <w:spacing w:val="-10"/>
        </w:rPr>
        <w:t xml:space="preserve"> </w:t>
      </w:r>
      <w:r>
        <w:t>trayectoria</w:t>
      </w:r>
      <w:r w:rsidRPr="00661BC3">
        <w:rPr>
          <w:spacing w:val="-9"/>
        </w:rPr>
        <w:t xml:space="preserve"> </w:t>
      </w:r>
      <w:r>
        <w:t>profesional,</w:t>
      </w:r>
      <w:r w:rsidRPr="00661BC3">
        <w:rPr>
          <w:spacing w:val="-9"/>
        </w:rPr>
        <w:t xml:space="preserve"> </w:t>
      </w:r>
      <w:r>
        <w:t>publicidad</w:t>
      </w:r>
      <w:r w:rsidRPr="00661BC3">
        <w:rPr>
          <w:spacing w:val="-9"/>
        </w:rPr>
        <w:t xml:space="preserve"> </w:t>
      </w:r>
      <w:r>
        <w:t>y</w:t>
      </w:r>
      <w:r w:rsidRPr="00661BC3">
        <w:rPr>
          <w:spacing w:val="-10"/>
        </w:rPr>
        <w:t xml:space="preserve"> </w:t>
      </w:r>
      <w:r>
        <w:lastRenderedPageBreak/>
        <w:t>transparencia.</w:t>
      </w:r>
      <w:r w:rsidRPr="00661BC3">
        <w:rPr>
          <w:spacing w:val="-9"/>
        </w:rPr>
        <w:t xml:space="preserve"> </w:t>
      </w:r>
      <w:r>
        <w:t>Se</w:t>
      </w:r>
      <w:r w:rsidRPr="00661BC3">
        <w:rPr>
          <w:spacing w:val="-10"/>
        </w:rPr>
        <w:t xml:space="preserve"> </w:t>
      </w:r>
      <w:r>
        <w:t>recomienda</w:t>
      </w:r>
      <w:r w:rsidRPr="00661BC3">
        <w:rPr>
          <w:spacing w:val="-11"/>
        </w:rPr>
        <w:t xml:space="preserve"> </w:t>
      </w:r>
      <w:r>
        <w:t>que</w:t>
      </w:r>
      <w:r w:rsidRPr="00661BC3">
        <w:rPr>
          <w:spacing w:val="-9"/>
        </w:rPr>
        <w:t xml:space="preserve"> </w:t>
      </w:r>
      <w:r>
        <w:t>en la reforma del proceso de postulación y selección se incluya la participación de la academia y mecanismos para el control ciudadano.</w:t>
      </w:r>
    </w:p>
    <w:p w:rsidR="0011361F" w:rsidRDefault="00AF18A5" w:rsidP="00953F3C">
      <w:r>
        <w:t>Mediano</w:t>
      </w:r>
      <w:r>
        <w:rPr>
          <w:spacing w:val="-3"/>
        </w:rPr>
        <w:t xml:space="preserve"> </w:t>
      </w:r>
      <w:r>
        <w:rPr>
          <w:spacing w:val="-2"/>
        </w:rPr>
        <w:t>plazo</w:t>
      </w:r>
    </w:p>
    <w:p w:rsidR="003804AC" w:rsidRDefault="00AF18A5" w:rsidP="004A6EF4">
      <w:pPr>
        <w:pStyle w:val="Prrafodelista"/>
        <w:numPr>
          <w:ilvl w:val="0"/>
          <w:numId w:val="31"/>
        </w:numPr>
      </w:pPr>
      <w:r>
        <w:t>Al</w:t>
      </w:r>
      <w:r w:rsidRPr="00953F3C">
        <w:rPr>
          <w:spacing w:val="-5"/>
        </w:rPr>
        <w:t xml:space="preserve"> </w:t>
      </w:r>
      <w:r>
        <w:t>Congreso</w:t>
      </w:r>
      <w:r w:rsidRPr="00953F3C">
        <w:rPr>
          <w:spacing w:val="-6"/>
        </w:rPr>
        <w:t xml:space="preserve"> </w:t>
      </w:r>
      <w:r>
        <w:t>de</w:t>
      </w:r>
      <w:r w:rsidRPr="00953F3C">
        <w:rPr>
          <w:spacing w:val="-7"/>
        </w:rPr>
        <w:t xml:space="preserve"> </w:t>
      </w:r>
      <w:r>
        <w:t>la</w:t>
      </w:r>
      <w:r w:rsidRPr="00953F3C">
        <w:rPr>
          <w:spacing w:val="-7"/>
        </w:rPr>
        <w:t xml:space="preserve"> </w:t>
      </w:r>
      <w:r>
        <w:t>República,</w:t>
      </w:r>
      <w:r w:rsidRPr="00953F3C">
        <w:rPr>
          <w:spacing w:val="-6"/>
        </w:rPr>
        <w:t xml:space="preserve"> </w:t>
      </w:r>
      <w:r>
        <w:t>adoptar</w:t>
      </w:r>
      <w:r w:rsidRPr="00953F3C">
        <w:rPr>
          <w:spacing w:val="-7"/>
        </w:rPr>
        <w:t xml:space="preserve"> </w:t>
      </w:r>
      <w:r>
        <w:t>las</w:t>
      </w:r>
      <w:r w:rsidRPr="00953F3C">
        <w:rPr>
          <w:spacing w:val="-7"/>
        </w:rPr>
        <w:t xml:space="preserve"> </w:t>
      </w:r>
      <w:r>
        <w:t>medidas</w:t>
      </w:r>
      <w:r w:rsidRPr="00953F3C">
        <w:rPr>
          <w:spacing w:val="-6"/>
        </w:rPr>
        <w:t xml:space="preserve"> </w:t>
      </w:r>
      <w:r>
        <w:t>necesarias</w:t>
      </w:r>
      <w:r w:rsidRPr="00953F3C">
        <w:rPr>
          <w:spacing w:val="-7"/>
        </w:rPr>
        <w:t xml:space="preserve"> </w:t>
      </w:r>
      <w:r>
        <w:t>para</w:t>
      </w:r>
      <w:r w:rsidRPr="00953F3C">
        <w:rPr>
          <w:spacing w:val="-7"/>
        </w:rPr>
        <w:t xml:space="preserve"> </w:t>
      </w:r>
      <w:r>
        <w:t>garantizar</w:t>
      </w:r>
      <w:r w:rsidRPr="00953F3C">
        <w:rPr>
          <w:spacing w:val="-6"/>
        </w:rPr>
        <w:t xml:space="preserve"> </w:t>
      </w:r>
      <w:r>
        <w:t>que</w:t>
      </w:r>
      <w:r w:rsidRPr="00953F3C">
        <w:rPr>
          <w:spacing w:val="-8"/>
        </w:rPr>
        <w:t xml:space="preserve"> </w:t>
      </w:r>
      <w:r>
        <w:t xml:space="preserve">los aforados constitucionales que participaron o se beneficiaron de violaciones a los derechos humanos sean debidamente investigados bajo condiciones que garanticen la </w:t>
      </w:r>
      <w:r w:rsidRPr="00953F3C">
        <w:rPr>
          <w:spacing w:val="-2"/>
        </w:rPr>
        <w:t>independencia</w:t>
      </w:r>
      <w:r w:rsidRPr="00953F3C">
        <w:rPr>
          <w:spacing w:val="-6"/>
        </w:rPr>
        <w:t xml:space="preserve"> </w:t>
      </w:r>
      <w:r w:rsidRPr="00953F3C">
        <w:rPr>
          <w:spacing w:val="-2"/>
        </w:rPr>
        <w:t>e</w:t>
      </w:r>
      <w:r w:rsidRPr="00953F3C">
        <w:rPr>
          <w:spacing w:val="-7"/>
        </w:rPr>
        <w:t xml:space="preserve"> </w:t>
      </w:r>
      <w:r w:rsidRPr="00953F3C">
        <w:rPr>
          <w:spacing w:val="-2"/>
        </w:rPr>
        <w:t>imparcialidad</w:t>
      </w:r>
      <w:r w:rsidRPr="00953F3C">
        <w:rPr>
          <w:spacing w:val="-6"/>
        </w:rPr>
        <w:t xml:space="preserve"> </w:t>
      </w:r>
      <w:r w:rsidRPr="00953F3C">
        <w:rPr>
          <w:spacing w:val="-2"/>
        </w:rPr>
        <w:t>de</w:t>
      </w:r>
      <w:r w:rsidRPr="00953F3C">
        <w:rPr>
          <w:spacing w:val="-6"/>
        </w:rPr>
        <w:t xml:space="preserve"> </w:t>
      </w:r>
      <w:r w:rsidRPr="00953F3C">
        <w:rPr>
          <w:spacing w:val="-2"/>
        </w:rPr>
        <w:t>la</w:t>
      </w:r>
      <w:r w:rsidRPr="00953F3C">
        <w:rPr>
          <w:spacing w:val="-7"/>
        </w:rPr>
        <w:t xml:space="preserve"> </w:t>
      </w:r>
      <w:r w:rsidRPr="00953F3C">
        <w:rPr>
          <w:spacing w:val="-2"/>
        </w:rPr>
        <w:t>investigación</w:t>
      </w:r>
      <w:r w:rsidRPr="00953F3C">
        <w:rPr>
          <w:spacing w:val="-7"/>
        </w:rPr>
        <w:t xml:space="preserve"> </w:t>
      </w:r>
      <w:r w:rsidRPr="00953F3C">
        <w:rPr>
          <w:spacing w:val="-2"/>
        </w:rPr>
        <w:t>y</w:t>
      </w:r>
      <w:r w:rsidRPr="00953F3C">
        <w:rPr>
          <w:spacing w:val="-6"/>
        </w:rPr>
        <w:t xml:space="preserve"> </w:t>
      </w:r>
      <w:r w:rsidRPr="00953F3C">
        <w:rPr>
          <w:spacing w:val="-2"/>
        </w:rPr>
        <w:t>el</w:t>
      </w:r>
      <w:r w:rsidRPr="00953F3C">
        <w:rPr>
          <w:spacing w:val="-7"/>
        </w:rPr>
        <w:t xml:space="preserve"> </w:t>
      </w:r>
      <w:r w:rsidRPr="00953F3C">
        <w:rPr>
          <w:spacing w:val="-2"/>
        </w:rPr>
        <w:t>juicio,</w:t>
      </w:r>
      <w:r w:rsidRPr="00953F3C">
        <w:rPr>
          <w:spacing w:val="-6"/>
        </w:rPr>
        <w:t xml:space="preserve"> </w:t>
      </w:r>
      <w:r w:rsidRPr="00953F3C">
        <w:rPr>
          <w:spacing w:val="-2"/>
        </w:rPr>
        <w:t>el</w:t>
      </w:r>
      <w:r w:rsidRPr="00953F3C">
        <w:rPr>
          <w:spacing w:val="-7"/>
        </w:rPr>
        <w:t xml:space="preserve"> </w:t>
      </w:r>
      <w:r w:rsidRPr="00953F3C">
        <w:rPr>
          <w:spacing w:val="-2"/>
        </w:rPr>
        <w:t>debido</w:t>
      </w:r>
      <w:r w:rsidRPr="00953F3C">
        <w:rPr>
          <w:spacing w:val="-6"/>
        </w:rPr>
        <w:t xml:space="preserve"> </w:t>
      </w:r>
      <w:r w:rsidRPr="00953F3C">
        <w:rPr>
          <w:spacing w:val="-2"/>
        </w:rPr>
        <w:t>proceso</w:t>
      </w:r>
      <w:r w:rsidRPr="00953F3C">
        <w:rPr>
          <w:spacing w:val="-6"/>
        </w:rPr>
        <w:t xml:space="preserve"> </w:t>
      </w:r>
      <w:r w:rsidRPr="00953F3C">
        <w:rPr>
          <w:spacing w:val="-2"/>
        </w:rPr>
        <w:t>y</w:t>
      </w:r>
      <w:r w:rsidRPr="00953F3C">
        <w:rPr>
          <w:spacing w:val="-6"/>
        </w:rPr>
        <w:t xml:space="preserve"> </w:t>
      </w:r>
      <w:r w:rsidRPr="00953F3C">
        <w:rPr>
          <w:spacing w:val="-2"/>
        </w:rPr>
        <w:t>los</w:t>
      </w:r>
      <w:r w:rsidRPr="00953F3C">
        <w:rPr>
          <w:spacing w:val="-6"/>
        </w:rPr>
        <w:t xml:space="preserve"> </w:t>
      </w:r>
      <w:r w:rsidRPr="00953F3C">
        <w:rPr>
          <w:spacing w:val="-2"/>
        </w:rPr>
        <w:t xml:space="preserve">intereses </w:t>
      </w:r>
      <w:r>
        <w:t>y garantías fundamentales de las víctimas.</w:t>
      </w:r>
    </w:p>
    <w:p w:rsidR="0011361F" w:rsidRDefault="00AF18A5" w:rsidP="00953F3C">
      <w:r>
        <w:t>Mediano</w:t>
      </w:r>
      <w:r>
        <w:rPr>
          <w:spacing w:val="-3"/>
        </w:rPr>
        <w:t xml:space="preserve"> </w:t>
      </w:r>
      <w:r>
        <w:rPr>
          <w:spacing w:val="-2"/>
        </w:rPr>
        <w:t>plazo</w:t>
      </w:r>
    </w:p>
    <w:p w:rsidR="003804AC" w:rsidRDefault="00AF18A5" w:rsidP="004A6EF4">
      <w:pPr>
        <w:pStyle w:val="Prrafodelista"/>
        <w:numPr>
          <w:ilvl w:val="0"/>
          <w:numId w:val="31"/>
        </w:numPr>
      </w:pPr>
      <w:r>
        <w:t>A</w:t>
      </w:r>
      <w:r w:rsidRPr="00953F3C">
        <w:rPr>
          <w:spacing w:val="-15"/>
        </w:rPr>
        <w:t xml:space="preserve"> </w:t>
      </w:r>
      <w:r>
        <w:t>la</w:t>
      </w:r>
      <w:r w:rsidRPr="00953F3C">
        <w:rPr>
          <w:spacing w:val="-15"/>
        </w:rPr>
        <w:t xml:space="preserve"> </w:t>
      </w:r>
      <w:r>
        <w:t>Fiscalía</w:t>
      </w:r>
      <w:r w:rsidRPr="00953F3C">
        <w:rPr>
          <w:spacing w:val="-15"/>
        </w:rPr>
        <w:t xml:space="preserve"> </w:t>
      </w:r>
      <w:r>
        <w:t>General</w:t>
      </w:r>
      <w:r w:rsidRPr="00953F3C">
        <w:rPr>
          <w:spacing w:val="-15"/>
        </w:rPr>
        <w:t xml:space="preserve"> </w:t>
      </w:r>
      <w:r>
        <w:t>de</w:t>
      </w:r>
      <w:r w:rsidRPr="00953F3C">
        <w:rPr>
          <w:spacing w:val="-15"/>
        </w:rPr>
        <w:t xml:space="preserve"> </w:t>
      </w:r>
      <w:r>
        <w:t>la</w:t>
      </w:r>
      <w:r w:rsidRPr="00953F3C">
        <w:rPr>
          <w:spacing w:val="-15"/>
        </w:rPr>
        <w:t xml:space="preserve"> </w:t>
      </w:r>
      <w:r>
        <w:t>Nación,</w:t>
      </w:r>
      <w:r w:rsidRPr="00953F3C">
        <w:rPr>
          <w:spacing w:val="-15"/>
        </w:rPr>
        <w:t xml:space="preserve"> </w:t>
      </w:r>
      <w:r>
        <w:t>con</w:t>
      </w:r>
      <w:r w:rsidRPr="00953F3C">
        <w:rPr>
          <w:spacing w:val="-15"/>
        </w:rPr>
        <w:t xml:space="preserve"> </w:t>
      </w:r>
      <w:r>
        <w:t>el</w:t>
      </w:r>
      <w:r w:rsidRPr="00953F3C">
        <w:rPr>
          <w:spacing w:val="-15"/>
        </w:rPr>
        <w:t xml:space="preserve"> </w:t>
      </w:r>
      <w:r>
        <w:t>apoyo</w:t>
      </w:r>
      <w:r w:rsidRPr="00953F3C">
        <w:rPr>
          <w:spacing w:val="-15"/>
        </w:rPr>
        <w:t xml:space="preserve"> </w:t>
      </w:r>
      <w:r>
        <w:t>de</w:t>
      </w:r>
      <w:r w:rsidRPr="00953F3C">
        <w:rPr>
          <w:spacing w:val="-15"/>
        </w:rPr>
        <w:t xml:space="preserve"> </w:t>
      </w:r>
      <w:r>
        <w:t>la</w:t>
      </w:r>
      <w:r w:rsidRPr="00953F3C">
        <w:rPr>
          <w:spacing w:val="-15"/>
        </w:rPr>
        <w:t xml:space="preserve"> </w:t>
      </w:r>
      <w:r>
        <w:t>cooperación</w:t>
      </w:r>
      <w:r w:rsidRPr="00953F3C">
        <w:rPr>
          <w:spacing w:val="-15"/>
        </w:rPr>
        <w:t xml:space="preserve"> </w:t>
      </w:r>
      <w:r>
        <w:t>internacional,</w:t>
      </w:r>
      <w:r w:rsidRPr="00953F3C">
        <w:rPr>
          <w:spacing w:val="-15"/>
        </w:rPr>
        <w:t xml:space="preserve"> </w:t>
      </w:r>
      <w:r>
        <w:t xml:space="preserve">poner en marcha un mecanismo independiente que formule recomendaciones, teniendo en cuenta la experiencia de miembros de esta entidad, para </w:t>
      </w:r>
      <w:r w:rsidRPr="00953F3C">
        <w:rPr>
          <w:b/>
        </w:rPr>
        <w:t xml:space="preserve">evitar la cooptación de funcionarios y funcionarias por parte de actores armados y por redes políticas y económicas </w:t>
      </w:r>
      <w:r>
        <w:t>involucradas en actividades ilícitas. Como mínimo el mecanismo deberá:</w:t>
      </w:r>
    </w:p>
    <w:p w:rsidR="003804AC" w:rsidRDefault="00AF18A5" w:rsidP="004A6EF4">
      <w:pPr>
        <w:pStyle w:val="Prrafodelista"/>
        <w:numPr>
          <w:ilvl w:val="0"/>
          <w:numId w:val="43"/>
        </w:numPr>
      </w:pPr>
      <w:r>
        <w:t xml:space="preserve">Desarrollar un diagnóstico integral sobre los </w:t>
      </w:r>
      <w:r w:rsidRPr="00953F3C">
        <w:rPr>
          <w:b/>
        </w:rPr>
        <w:t>riesgos institucionales en materia de corrupción en la entidad</w:t>
      </w:r>
      <w:r>
        <w:t>, y proponer un conjunto de medidas orientadas a superar o mitigar estos riesgos dentro de ella.</w:t>
      </w:r>
    </w:p>
    <w:p w:rsidR="003804AC" w:rsidRDefault="00AF18A5" w:rsidP="004A6EF4">
      <w:pPr>
        <w:pStyle w:val="Prrafodelista"/>
        <w:numPr>
          <w:ilvl w:val="0"/>
          <w:numId w:val="43"/>
        </w:numPr>
      </w:pPr>
      <w:r>
        <w:t xml:space="preserve">Proponer medidas para </w:t>
      </w:r>
      <w:r w:rsidRPr="00953F3C">
        <w:rPr>
          <w:b/>
        </w:rPr>
        <w:t xml:space="preserve">fortalecer los cargos de carrera y los concursos de mérito </w:t>
      </w:r>
      <w:r>
        <w:t>y mejorar los criterios de ingreso y permanencia de los funcionarios.</w:t>
      </w:r>
    </w:p>
    <w:p w:rsidR="003804AC" w:rsidRDefault="00AF18A5" w:rsidP="004A6EF4">
      <w:pPr>
        <w:pStyle w:val="Prrafodelista"/>
        <w:numPr>
          <w:ilvl w:val="0"/>
          <w:numId w:val="43"/>
        </w:numPr>
      </w:pPr>
      <w:r>
        <w:lastRenderedPageBreak/>
        <w:t xml:space="preserve">Proponer criterios de traslado y remoción de funcionarios que sean objetivos y verificables y que estén acompañados de una carga argumentativa para </w:t>
      </w:r>
      <w:r w:rsidRPr="00953F3C">
        <w:rPr>
          <w:b/>
        </w:rPr>
        <w:t xml:space="preserve">impedir que el ejercicio de las facultades de traslado y remoción retrase o impida el avance de investigaciones penales. </w:t>
      </w:r>
      <w:r>
        <w:t>Estos deben, además, brindar garantías de estabilidad a funcionarios y funcionarias.</w:t>
      </w:r>
    </w:p>
    <w:p w:rsidR="003804AC" w:rsidRDefault="00AF18A5" w:rsidP="004A6EF4">
      <w:pPr>
        <w:pStyle w:val="Prrafodelista"/>
        <w:numPr>
          <w:ilvl w:val="0"/>
          <w:numId w:val="43"/>
        </w:numPr>
      </w:pPr>
      <w:r>
        <w:t xml:space="preserve">Proponer recomendaciones para garantizar </w:t>
      </w:r>
      <w:r w:rsidRPr="00953F3C">
        <w:rPr>
          <w:b/>
        </w:rPr>
        <w:t xml:space="preserve">mayores controles a los agentes de inteligencia militar y policial </w:t>
      </w:r>
      <w:r>
        <w:t>para que no determinen o participen indebidamente en los actos de investigación como la interceptación de comunicaciones, el uso de agentes encubiertos, entre otros.</w:t>
      </w:r>
    </w:p>
    <w:p w:rsidR="0011361F" w:rsidRDefault="00AF18A5" w:rsidP="004A6EF4">
      <w:pPr>
        <w:pStyle w:val="Ttulo3"/>
        <w:numPr>
          <w:ilvl w:val="1"/>
          <w:numId w:val="28"/>
        </w:numPr>
      </w:pPr>
      <w:bookmarkStart w:id="1614" w:name="5.2._Investigación_penal"/>
      <w:bookmarkStart w:id="1615" w:name="_Toc112399704"/>
      <w:bookmarkEnd w:id="1614"/>
      <w:r w:rsidRPr="00953F3C">
        <w:t>Investigación</w:t>
      </w:r>
      <w:r>
        <w:rPr>
          <w:spacing w:val="-3"/>
        </w:rPr>
        <w:t xml:space="preserve"> </w:t>
      </w:r>
      <w:r>
        <w:rPr>
          <w:spacing w:val="-4"/>
        </w:rPr>
        <w:t>penal</w:t>
      </w:r>
      <w:bookmarkEnd w:id="1615"/>
    </w:p>
    <w:p w:rsidR="0011361F" w:rsidRDefault="00AF18A5" w:rsidP="00953F3C">
      <w:r>
        <w:t>Mediano</w:t>
      </w:r>
      <w:r>
        <w:rPr>
          <w:spacing w:val="-3"/>
        </w:rPr>
        <w:t xml:space="preserve"> </w:t>
      </w:r>
      <w:r>
        <w:rPr>
          <w:spacing w:val="-2"/>
        </w:rPr>
        <w:t>plazo</w:t>
      </w:r>
    </w:p>
    <w:p w:rsidR="003804AC" w:rsidRDefault="00AF18A5" w:rsidP="004A6EF4">
      <w:pPr>
        <w:pStyle w:val="Prrafodelista"/>
        <w:numPr>
          <w:ilvl w:val="0"/>
          <w:numId w:val="31"/>
        </w:numPr>
      </w:pPr>
      <w:r>
        <w:t>Al</w:t>
      </w:r>
      <w:r w:rsidRPr="00953F3C">
        <w:rPr>
          <w:spacing w:val="-1"/>
        </w:rPr>
        <w:t xml:space="preserve"> </w:t>
      </w:r>
      <w:r>
        <w:t>Congreso</w:t>
      </w:r>
      <w:r w:rsidRPr="00953F3C">
        <w:rPr>
          <w:spacing w:val="-1"/>
        </w:rPr>
        <w:t xml:space="preserve"> </w:t>
      </w:r>
      <w:r>
        <w:t>de</w:t>
      </w:r>
      <w:r w:rsidRPr="00953F3C">
        <w:rPr>
          <w:spacing w:val="-1"/>
        </w:rPr>
        <w:t xml:space="preserve"> </w:t>
      </w:r>
      <w:r>
        <w:t>la</w:t>
      </w:r>
      <w:r w:rsidRPr="00953F3C">
        <w:rPr>
          <w:spacing w:val="-1"/>
        </w:rPr>
        <w:t xml:space="preserve"> </w:t>
      </w:r>
      <w:r>
        <w:t>República,</w:t>
      </w:r>
      <w:r w:rsidRPr="00953F3C">
        <w:rPr>
          <w:spacing w:val="-1"/>
        </w:rPr>
        <w:t xml:space="preserve"> </w:t>
      </w:r>
      <w:r>
        <w:t>a</w:t>
      </w:r>
      <w:r w:rsidRPr="00953F3C">
        <w:rPr>
          <w:spacing w:val="-1"/>
        </w:rPr>
        <w:t xml:space="preserve"> </w:t>
      </w:r>
      <w:r>
        <w:t>la</w:t>
      </w:r>
      <w:r w:rsidRPr="00953F3C">
        <w:rPr>
          <w:spacing w:val="-1"/>
        </w:rPr>
        <w:t xml:space="preserve"> </w:t>
      </w:r>
      <w:r>
        <w:t>Fiscalía</w:t>
      </w:r>
      <w:r w:rsidRPr="00953F3C">
        <w:rPr>
          <w:spacing w:val="-1"/>
        </w:rPr>
        <w:t xml:space="preserve"> </w:t>
      </w:r>
      <w:r>
        <w:t>General</w:t>
      </w:r>
      <w:r w:rsidRPr="00953F3C">
        <w:rPr>
          <w:spacing w:val="-1"/>
        </w:rPr>
        <w:t xml:space="preserve"> </w:t>
      </w:r>
      <w:r>
        <w:t>de</w:t>
      </w:r>
      <w:r w:rsidRPr="00953F3C">
        <w:rPr>
          <w:spacing w:val="-1"/>
        </w:rPr>
        <w:t xml:space="preserve"> </w:t>
      </w:r>
      <w:r>
        <w:t>la</w:t>
      </w:r>
      <w:r w:rsidRPr="00953F3C">
        <w:rPr>
          <w:spacing w:val="-2"/>
        </w:rPr>
        <w:t xml:space="preserve"> </w:t>
      </w:r>
      <w:r>
        <w:t>Nación,</w:t>
      </w:r>
      <w:r w:rsidRPr="00953F3C">
        <w:rPr>
          <w:spacing w:val="-1"/>
        </w:rPr>
        <w:t xml:space="preserve"> </w:t>
      </w:r>
      <w:r>
        <w:t>al</w:t>
      </w:r>
      <w:r w:rsidRPr="00953F3C">
        <w:rPr>
          <w:spacing w:val="-1"/>
        </w:rPr>
        <w:t xml:space="preserve"> </w:t>
      </w:r>
      <w:r>
        <w:t>Consejo</w:t>
      </w:r>
      <w:r w:rsidRPr="00953F3C">
        <w:rPr>
          <w:spacing w:val="-1"/>
        </w:rPr>
        <w:t xml:space="preserve"> </w:t>
      </w:r>
      <w:r>
        <w:t xml:space="preserve">Superior de Política Criminal y a los jueces penales, implementar las medidas y hacer los ajustes normativos y de política necesarios para </w:t>
      </w:r>
      <w:r w:rsidRPr="00953F3C">
        <w:rPr>
          <w:b/>
        </w:rPr>
        <w:t xml:space="preserve">fortalecer las estrategias de investigación criminal de violaciones a los DDHH e infracciones al DIH </w:t>
      </w:r>
      <w:r>
        <w:t>e institucionalizar la priorización</w:t>
      </w:r>
      <w:r w:rsidRPr="00953F3C">
        <w:rPr>
          <w:spacing w:val="-3"/>
        </w:rPr>
        <w:t xml:space="preserve"> </w:t>
      </w:r>
      <w:r>
        <w:t>de</w:t>
      </w:r>
      <w:r w:rsidRPr="00953F3C">
        <w:rPr>
          <w:spacing w:val="-2"/>
        </w:rPr>
        <w:t xml:space="preserve"> </w:t>
      </w:r>
      <w:r>
        <w:t>su</w:t>
      </w:r>
      <w:r w:rsidRPr="00953F3C">
        <w:rPr>
          <w:spacing w:val="-2"/>
        </w:rPr>
        <w:t xml:space="preserve"> </w:t>
      </w:r>
      <w:r>
        <w:t>persecución</w:t>
      </w:r>
      <w:r w:rsidRPr="00953F3C">
        <w:rPr>
          <w:spacing w:val="-2"/>
        </w:rPr>
        <w:t xml:space="preserve"> </w:t>
      </w:r>
      <w:r>
        <w:t>y</w:t>
      </w:r>
      <w:r w:rsidRPr="00953F3C">
        <w:rPr>
          <w:spacing w:val="-3"/>
        </w:rPr>
        <w:t xml:space="preserve"> </w:t>
      </w:r>
      <w:r>
        <w:t>judicialización</w:t>
      </w:r>
      <w:r w:rsidRPr="00953F3C">
        <w:rPr>
          <w:spacing w:val="-3"/>
        </w:rPr>
        <w:t xml:space="preserve"> </w:t>
      </w:r>
      <w:r>
        <w:t>en</w:t>
      </w:r>
      <w:r w:rsidRPr="00953F3C">
        <w:rPr>
          <w:spacing w:val="-2"/>
        </w:rPr>
        <w:t xml:space="preserve"> </w:t>
      </w:r>
      <w:r>
        <w:t>la</w:t>
      </w:r>
      <w:r w:rsidRPr="00953F3C">
        <w:rPr>
          <w:spacing w:val="-3"/>
        </w:rPr>
        <w:t xml:space="preserve"> </w:t>
      </w:r>
      <w:r>
        <w:t>política</w:t>
      </w:r>
      <w:r w:rsidRPr="00953F3C">
        <w:rPr>
          <w:spacing w:val="-3"/>
        </w:rPr>
        <w:t xml:space="preserve"> </w:t>
      </w:r>
      <w:r>
        <w:t>criminal</w:t>
      </w:r>
      <w:r w:rsidRPr="00953F3C">
        <w:rPr>
          <w:spacing w:val="-2"/>
        </w:rPr>
        <w:t xml:space="preserve"> </w:t>
      </w:r>
      <w:r>
        <w:t>del</w:t>
      </w:r>
      <w:r w:rsidRPr="00953F3C">
        <w:rPr>
          <w:spacing w:val="-3"/>
        </w:rPr>
        <w:t xml:space="preserve"> </w:t>
      </w:r>
      <w:r>
        <w:t>Estado.</w:t>
      </w:r>
      <w:r w:rsidRPr="00953F3C">
        <w:rPr>
          <w:spacing w:val="-2"/>
        </w:rPr>
        <w:t xml:space="preserve"> </w:t>
      </w:r>
      <w:r>
        <w:t>Para</w:t>
      </w:r>
      <w:r w:rsidRPr="00953F3C">
        <w:rPr>
          <w:spacing w:val="-3"/>
        </w:rPr>
        <w:t xml:space="preserve"> </w:t>
      </w:r>
      <w:r>
        <w:t>ello, se sugiere:</w:t>
      </w:r>
    </w:p>
    <w:p w:rsidR="003804AC" w:rsidRDefault="00AF18A5" w:rsidP="004A6EF4">
      <w:pPr>
        <w:pStyle w:val="Prrafodelista"/>
        <w:numPr>
          <w:ilvl w:val="0"/>
          <w:numId w:val="44"/>
        </w:numPr>
      </w:pPr>
      <w:r w:rsidRPr="00953F3C">
        <w:rPr>
          <w:b/>
        </w:rPr>
        <w:t xml:space="preserve">Tipificar los crímenes de guerra y de lesa humanidad </w:t>
      </w:r>
      <w:r>
        <w:t>con sus elementos contextuales, de conformidad con el Derecho Penal Internacional, y asegurar la imprescriptibilidad de la acción penal.</w:t>
      </w:r>
    </w:p>
    <w:p w:rsidR="003804AC" w:rsidRDefault="00AF18A5" w:rsidP="004A6EF4">
      <w:pPr>
        <w:pStyle w:val="Prrafodelista"/>
        <w:numPr>
          <w:ilvl w:val="0"/>
          <w:numId w:val="44"/>
        </w:numPr>
      </w:pPr>
      <w:r>
        <w:t>Garantizar que la investigación y el esclarecimiento de las conductas que constituyan violaciones a los DDHH e infracciones al DIH se dé bajo una metodología</w:t>
      </w:r>
      <w:r w:rsidRPr="00953F3C">
        <w:rPr>
          <w:spacing w:val="-10"/>
        </w:rPr>
        <w:t xml:space="preserve"> </w:t>
      </w:r>
      <w:r>
        <w:t>que:</w:t>
      </w:r>
      <w:r w:rsidRPr="00953F3C">
        <w:rPr>
          <w:spacing w:val="-9"/>
        </w:rPr>
        <w:t xml:space="preserve"> </w:t>
      </w:r>
      <w:r>
        <w:t>(i)</w:t>
      </w:r>
      <w:r w:rsidRPr="00953F3C">
        <w:rPr>
          <w:spacing w:val="-10"/>
        </w:rPr>
        <w:t xml:space="preserve"> </w:t>
      </w:r>
      <w:r>
        <w:t>tome</w:t>
      </w:r>
      <w:r w:rsidRPr="00953F3C">
        <w:rPr>
          <w:spacing w:val="-9"/>
        </w:rPr>
        <w:t xml:space="preserve"> </w:t>
      </w:r>
      <w:r>
        <w:t>en</w:t>
      </w:r>
      <w:r w:rsidRPr="00953F3C">
        <w:rPr>
          <w:spacing w:val="-9"/>
        </w:rPr>
        <w:t xml:space="preserve"> </w:t>
      </w:r>
      <w:r>
        <w:t>cuenta</w:t>
      </w:r>
      <w:r w:rsidRPr="00953F3C">
        <w:rPr>
          <w:spacing w:val="-10"/>
        </w:rPr>
        <w:t xml:space="preserve"> </w:t>
      </w:r>
      <w:r>
        <w:t>los</w:t>
      </w:r>
      <w:r w:rsidRPr="00953F3C">
        <w:rPr>
          <w:spacing w:val="-9"/>
        </w:rPr>
        <w:t xml:space="preserve"> </w:t>
      </w:r>
      <w:r w:rsidRPr="00953F3C">
        <w:rPr>
          <w:b/>
        </w:rPr>
        <w:lastRenderedPageBreak/>
        <w:t>elementos</w:t>
      </w:r>
      <w:r w:rsidRPr="00953F3C">
        <w:rPr>
          <w:b/>
          <w:spacing w:val="-9"/>
        </w:rPr>
        <w:t xml:space="preserve"> </w:t>
      </w:r>
      <w:r w:rsidRPr="00953F3C">
        <w:rPr>
          <w:b/>
        </w:rPr>
        <w:t>contextuales</w:t>
      </w:r>
      <w:r w:rsidRPr="00953F3C">
        <w:rPr>
          <w:b/>
          <w:spacing w:val="-9"/>
        </w:rPr>
        <w:t xml:space="preserve"> </w:t>
      </w:r>
      <w:r w:rsidRPr="00953F3C">
        <w:rPr>
          <w:b/>
        </w:rPr>
        <w:t>de</w:t>
      </w:r>
      <w:r w:rsidRPr="00953F3C">
        <w:rPr>
          <w:b/>
          <w:spacing w:val="-9"/>
        </w:rPr>
        <w:t xml:space="preserve"> </w:t>
      </w:r>
      <w:r w:rsidRPr="00953F3C">
        <w:rPr>
          <w:b/>
        </w:rPr>
        <w:t>sistematicidad o generalidad</w:t>
      </w:r>
      <w:r>
        <w:t>; (</w:t>
      </w:r>
      <w:proofErr w:type="spellStart"/>
      <w:r>
        <w:t>ii</w:t>
      </w:r>
      <w:proofErr w:type="spellEnd"/>
      <w:r>
        <w:t xml:space="preserve">) </w:t>
      </w:r>
      <w:r w:rsidRPr="00953F3C">
        <w:rPr>
          <w:b/>
        </w:rPr>
        <w:t xml:space="preserve">identifique patrones </w:t>
      </w:r>
      <w:r>
        <w:t>y los distintos grados de responsabilidad de quienes participen en entramados complejos de criminalidad; (</w:t>
      </w:r>
      <w:proofErr w:type="spellStart"/>
      <w:r>
        <w:t>iii</w:t>
      </w:r>
      <w:proofErr w:type="spellEnd"/>
      <w:r>
        <w:t xml:space="preserve">) </w:t>
      </w:r>
      <w:r w:rsidRPr="00953F3C">
        <w:rPr>
          <w:b/>
        </w:rPr>
        <w:t xml:space="preserve">aumente equipos multidisciplinarios </w:t>
      </w:r>
      <w:r>
        <w:t>en la Fiscalía con la experticia necesaria; (</w:t>
      </w:r>
      <w:proofErr w:type="spellStart"/>
      <w:r>
        <w:t>iv</w:t>
      </w:r>
      <w:proofErr w:type="spellEnd"/>
      <w:r>
        <w:t>) f</w:t>
      </w:r>
      <w:r w:rsidRPr="00953F3C">
        <w:rPr>
          <w:b/>
        </w:rPr>
        <w:t xml:space="preserve">ortalezca la policía judicial </w:t>
      </w:r>
      <w:r>
        <w:t>al servicio de estas investigaciones.</w:t>
      </w:r>
    </w:p>
    <w:p w:rsidR="003804AC" w:rsidRDefault="00AF18A5" w:rsidP="004A6EF4">
      <w:pPr>
        <w:pStyle w:val="Prrafodelista"/>
        <w:numPr>
          <w:ilvl w:val="0"/>
          <w:numId w:val="44"/>
        </w:numPr>
      </w:pPr>
      <w:r w:rsidRPr="00953F3C">
        <w:rPr>
          <w:b/>
        </w:rPr>
        <w:t>Priorizar los hechos delictivos de hostigamiento contra servidores públicos,</w:t>
      </w:r>
      <w:r w:rsidRPr="00953F3C">
        <w:rPr>
          <w:b/>
          <w:spacing w:val="-1"/>
        </w:rPr>
        <w:t xml:space="preserve"> </w:t>
      </w:r>
      <w:r w:rsidRPr="00953F3C">
        <w:rPr>
          <w:b/>
        </w:rPr>
        <w:t>víctimas,</w:t>
      </w:r>
      <w:r w:rsidRPr="00953F3C">
        <w:rPr>
          <w:b/>
          <w:spacing w:val="-1"/>
        </w:rPr>
        <w:t xml:space="preserve"> </w:t>
      </w:r>
      <w:r w:rsidRPr="00953F3C">
        <w:rPr>
          <w:b/>
        </w:rPr>
        <w:t>testigos</w:t>
      </w:r>
      <w:r w:rsidRPr="00953F3C">
        <w:rPr>
          <w:b/>
          <w:spacing w:val="-1"/>
        </w:rPr>
        <w:t xml:space="preserve"> </w:t>
      </w:r>
      <w:r w:rsidRPr="00953F3C">
        <w:rPr>
          <w:b/>
        </w:rPr>
        <w:t>e</w:t>
      </w:r>
      <w:r w:rsidRPr="00953F3C">
        <w:rPr>
          <w:b/>
          <w:spacing w:val="-1"/>
        </w:rPr>
        <w:t xml:space="preserve"> </w:t>
      </w:r>
      <w:r w:rsidRPr="00953F3C">
        <w:rPr>
          <w:b/>
        </w:rPr>
        <w:t>intervinientes</w:t>
      </w:r>
      <w:r w:rsidRPr="00953F3C">
        <w:rPr>
          <w:b/>
          <w:spacing w:val="-1"/>
        </w:rPr>
        <w:t xml:space="preserve"> </w:t>
      </w:r>
      <w:r>
        <w:t>que</w:t>
      </w:r>
      <w:r w:rsidRPr="00953F3C">
        <w:rPr>
          <w:spacing w:val="-2"/>
        </w:rPr>
        <w:t xml:space="preserve"> </w:t>
      </w:r>
      <w:r>
        <w:t>puedan</w:t>
      </w:r>
      <w:r w:rsidRPr="00953F3C">
        <w:rPr>
          <w:spacing w:val="-1"/>
        </w:rPr>
        <w:t xml:space="preserve"> </w:t>
      </w:r>
      <w:r>
        <w:t>estar</w:t>
      </w:r>
      <w:r w:rsidRPr="00953F3C">
        <w:rPr>
          <w:spacing w:val="-1"/>
        </w:rPr>
        <w:t xml:space="preserve"> </w:t>
      </w:r>
      <w:r>
        <w:t>relacionados</w:t>
      </w:r>
      <w:r w:rsidRPr="00953F3C">
        <w:rPr>
          <w:spacing w:val="-1"/>
        </w:rPr>
        <w:t xml:space="preserve"> </w:t>
      </w:r>
      <w:r>
        <w:t>con</w:t>
      </w:r>
      <w:r w:rsidRPr="00953F3C">
        <w:rPr>
          <w:spacing w:val="-1"/>
        </w:rPr>
        <w:t xml:space="preserve"> </w:t>
      </w:r>
      <w:r>
        <w:t>su intervención en los procesos judiciales con el fin de garantizar su seguridad.</w:t>
      </w:r>
    </w:p>
    <w:p w:rsidR="0011361F" w:rsidRDefault="00AF18A5" w:rsidP="00B91ED4">
      <w:r>
        <w:t>Corto</w:t>
      </w:r>
      <w:r>
        <w:rPr>
          <w:spacing w:val="-1"/>
        </w:rPr>
        <w:t xml:space="preserve"> </w:t>
      </w:r>
      <w:r>
        <w:rPr>
          <w:spacing w:val="-2"/>
        </w:rPr>
        <w:t>plazo</w:t>
      </w:r>
    </w:p>
    <w:p w:rsidR="003804AC" w:rsidRDefault="00AF18A5" w:rsidP="004A6EF4">
      <w:pPr>
        <w:pStyle w:val="Prrafodelista"/>
        <w:numPr>
          <w:ilvl w:val="0"/>
          <w:numId w:val="31"/>
        </w:numPr>
      </w:pPr>
      <w:r>
        <w:t>Al</w:t>
      </w:r>
      <w:r w:rsidRPr="00B91ED4">
        <w:rPr>
          <w:spacing w:val="-8"/>
        </w:rPr>
        <w:t xml:space="preserve"> </w:t>
      </w:r>
      <w:r>
        <w:t>Congreso</w:t>
      </w:r>
      <w:r w:rsidRPr="00B91ED4">
        <w:rPr>
          <w:spacing w:val="-8"/>
        </w:rPr>
        <w:t xml:space="preserve"> </w:t>
      </w:r>
      <w:r>
        <w:t>de</w:t>
      </w:r>
      <w:r w:rsidRPr="00B91ED4">
        <w:rPr>
          <w:spacing w:val="-9"/>
        </w:rPr>
        <w:t xml:space="preserve"> </w:t>
      </w:r>
      <w:r>
        <w:t>la</w:t>
      </w:r>
      <w:r w:rsidRPr="00B91ED4">
        <w:rPr>
          <w:spacing w:val="-9"/>
        </w:rPr>
        <w:t xml:space="preserve"> </w:t>
      </w:r>
      <w:r>
        <w:t>República,</w:t>
      </w:r>
      <w:r w:rsidRPr="00B91ED4">
        <w:rPr>
          <w:spacing w:val="-8"/>
        </w:rPr>
        <w:t xml:space="preserve"> </w:t>
      </w:r>
      <w:r>
        <w:t>a</w:t>
      </w:r>
      <w:r w:rsidRPr="00B91ED4">
        <w:rPr>
          <w:spacing w:val="-9"/>
        </w:rPr>
        <w:t xml:space="preserve"> </w:t>
      </w:r>
      <w:r>
        <w:t>la</w:t>
      </w:r>
      <w:r w:rsidRPr="00B91ED4">
        <w:rPr>
          <w:spacing w:val="-8"/>
        </w:rPr>
        <w:t xml:space="preserve"> </w:t>
      </w:r>
      <w:r>
        <w:t>Fiscalía</w:t>
      </w:r>
      <w:r w:rsidRPr="00B91ED4">
        <w:rPr>
          <w:spacing w:val="-8"/>
        </w:rPr>
        <w:t xml:space="preserve"> </w:t>
      </w:r>
      <w:r>
        <w:t>General</w:t>
      </w:r>
      <w:r w:rsidRPr="00B91ED4">
        <w:rPr>
          <w:spacing w:val="-8"/>
        </w:rPr>
        <w:t xml:space="preserve"> </w:t>
      </w:r>
      <w:r>
        <w:t>de</w:t>
      </w:r>
      <w:r w:rsidRPr="00B91ED4">
        <w:rPr>
          <w:spacing w:val="-9"/>
        </w:rPr>
        <w:t xml:space="preserve"> </w:t>
      </w:r>
      <w:r>
        <w:t>la</w:t>
      </w:r>
      <w:r w:rsidRPr="00B91ED4">
        <w:rPr>
          <w:spacing w:val="-10"/>
        </w:rPr>
        <w:t xml:space="preserve"> </w:t>
      </w:r>
      <w:r>
        <w:t>Nación</w:t>
      </w:r>
      <w:r w:rsidRPr="00B91ED4">
        <w:rPr>
          <w:spacing w:val="-8"/>
        </w:rPr>
        <w:t xml:space="preserve"> </w:t>
      </w:r>
      <w:r>
        <w:t>y</w:t>
      </w:r>
      <w:r w:rsidRPr="00B91ED4">
        <w:rPr>
          <w:spacing w:val="-8"/>
        </w:rPr>
        <w:t xml:space="preserve"> </w:t>
      </w:r>
      <w:r>
        <w:t>al</w:t>
      </w:r>
      <w:r w:rsidRPr="00B91ED4">
        <w:rPr>
          <w:spacing w:val="-9"/>
        </w:rPr>
        <w:t xml:space="preserve"> </w:t>
      </w:r>
      <w:r>
        <w:t>Consejo</w:t>
      </w:r>
      <w:r w:rsidRPr="00B91ED4">
        <w:rPr>
          <w:spacing w:val="-8"/>
        </w:rPr>
        <w:t xml:space="preserve"> </w:t>
      </w:r>
      <w:r>
        <w:t>Superior de</w:t>
      </w:r>
      <w:r w:rsidRPr="00B91ED4">
        <w:rPr>
          <w:spacing w:val="-4"/>
        </w:rPr>
        <w:t xml:space="preserve"> </w:t>
      </w:r>
      <w:r>
        <w:t>Política</w:t>
      </w:r>
      <w:r w:rsidRPr="00B91ED4">
        <w:rPr>
          <w:spacing w:val="-6"/>
        </w:rPr>
        <w:t xml:space="preserve"> </w:t>
      </w:r>
      <w:r>
        <w:t>Criminal,</w:t>
      </w:r>
      <w:r w:rsidRPr="00B91ED4">
        <w:rPr>
          <w:spacing w:val="-5"/>
        </w:rPr>
        <w:t xml:space="preserve"> </w:t>
      </w:r>
      <w:r>
        <w:t>garantizar</w:t>
      </w:r>
      <w:r w:rsidRPr="00B91ED4">
        <w:rPr>
          <w:spacing w:val="-5"/>
        </w:rPr>
        <w:t xml:space="preserve"> </w:t>
      </w:r>
      <w:r>
        <w:t>la</w:t>
      </w:r>
      <w:r w:rsidRPr="00B91ED4">
        <w:rPr>
          <w:spacing w:val="-6"/>
        </w:rPr>
        <w:t xml:space="preserve"> </w:t>
      </w:r>
      <w:r>
        <w:t>priorización</w:t>
      </w:r>
      <w:r w:rsidRPr="00B91ED4">
        <w:rPr>
          <w:spacing w:val="-6"/>
        </w:rPr>
        <w:t xml:space="preserve"> </w:t>
      </w:r>
      <w:r>
        <w:t>de</w:t>
      </w:r>
      <w:r w:rsidRPr="00B91ED4">
        <w:rPr>
          <w:spacing w:val="-4"/>
        </w:rPr>
        <w:t xml:space="preserve"> </w:t>
      </w:r>
      <w:r>
        <w:t>la</w:t>
      </w:r>
      <w:r w:rsidRPr="00B91ED4">
        <w:rPr>
          <w:spacing w:val="-6"/>
        </w:rPr>
        <w:t xml:space="preserve"> </w:t>
      </w:r>
      <w:r w:rsidRPr="00B91ED4">
        <w:rPr>
          <w:b/>
        </w:rPr>
        <w:t>investigación</w:t>
      </w:r>
      <w:r w:rsidRPr="00B91ED4">
        <w:rPr>
          <w:b/>
          <w:spacing w:val="-5"/>
        </w:rPr>
        <w:t xml:space="preserve"> </w:t>
      </w:r>
      <w:r w:rsidRPr="00B91ED4">
        <w:rPr>
          <w:b/>
        </w:rPr>
        <w:t>contra</w:t>
      </w:r>
      <w:r w:rsidRPr="00B91ED4">
        <w:rPr>
          <w:b/>
          <w:spacing w:val="-5"/>
        </w:rPr>
        <w:t xml:space="preserve"> </w:t>
      </w:r>
      <w:r w:rsidRPr="00B91ED4">
        <w:rPr>
          <w:b/>
        </w:rPr>
        <w:t>terceros</w:t>
      </w:r>
      <w:r w:rsidRPr="00B91ED4">
        <w:rPr>
          <w:b/>
          <w:spacing w:val="-6"/>
        </w:rPr>
        <w:t xml:space="preserve"> </w:t>
      </w:r>
      <w:r w:rsidRPr="00B91ED4">
        <w:rPr>
          <w:b/>
        </w:rPr>
        <w:t>civiles</w:t>
      </w:r>
      <w:r w:rsidRPr="00B91ED4">
        <w:rPr>
          <w:b/>
          <w:spacing w:val="-4"/>
        </w:rPr>
        <w:t xml:space="preserve"> </w:t>
      </w:r>
      <w:r w:rsidRPr="00B91ED4">
        <w:rPr>
          <w:b/>
        </w:rPr>
        <w:t>y agentes</w:t>
      </w:r>
      <w:r w:rsidRPr="00B91ED4">
        <w:rPr>
          <w:b/>
          <w:spacing w:val="-15"/>
        </w:rPr>
        <w:t xml:space="preserve"> </w:t>
      </w:r>
      <w:r w:rsidRPr="00B91ED4">
        <w:rPr>
          <w:b/>
        </w:rPr>
        <w:t>del</w:t>
      </w:r>
      <w:r w:rsidRPr="00B91ED4">
        <w:rPr>
          <w:b/>
          <w:spacing w:val="-16"/>
        </w:rPr>
        <w:t xml:space="preserve"> </w:t>
      </w:r>
      <w:r w:rsidRPr="00B91ED4">
        <w:rPr>
          <w:b/>
        </w:rPr>
        <w:t>Estado</w:t>
      </w:r>
      <w:r w:rsidR="00B91ED4">
        <w:rPr>
          <w:rStyle w:val="Refdenotaalpie"/>
          <w:b/>
        </w:rPr>
        <w:footnoteReference w:id="1247"/>
      </w:r>
      <w:r w:rsidRPr="00B91ED4">
        <w:rPr>
          <w:spacing w:val="-15"/>
        </w:rPr>
        <w:t xml:space="preserve"> </w:t>
      </w:r>
      <w:r>
        <w:t>a</w:t>
      </w:r>
      <w:r w:rsidRPr="00B91ED4">
        <w:rPr>
          <w:spacing w:val="-15"/>
        </w:rPr>
        <w:t xml:space="preserve"> </w:t>
      </w:r>
      <w:r>
        <w:t>través</w:t>
      </w:r>
      <w:r w:rsidRPr="00B91ED4">
        <w:rPr>
          <w:spacing w:val="-15"/>
        </w:rPr>
        <w:t xml:space="preserve"> </w:t>
      </w:r>
      <w:r>
        <w:t>de</w:t>
      </w:r>
      <w:r w:rsidRPr="00B91ED4">
        <w:rPr>
          <w:spacing w:val="-15"/>
        </w:rPr>
        <w:t xml:space="preserve"> </w:t>
      </w:r>
      <w:r>
        <w:t>la</w:t>
      </w:r>
      <w:r w:rsidRPr="00B91ED4">
        <w:rPr>
          <w:spacing w:val="-15"/>
        </w:rPr>
        <w:t xml:space="preserve"> </w:t>
      </w:r>
      <w:r>
        <w:t>centralización,</w:t>
      </w:r>
      <w:r w:rsidRPr="00B91ED4">
        <w:rPr>
          <w:spacing w:val="-16"/>
        </w:rPr>
        <w:t xml:space="preserve"> </w:t>
      </w:r>
      <w:r>
        <w:t>organización</w:t>
      </w:r>
      <w:r w:rsidRPr="00B91ED4">
        <w:rPr>
          <w:spacing w:val="-15"/>
        </w:rPr>
        <w:t xml:space="preserve"> </w:t>
      </w:r>
      <w:r>
        <w:t>y</w:t>
      </w:r>
      <w:r w:rsidRPr="00B91ED4">
        <w:rPr>
          <w:spacing w:val="-15"/>
        </w:rPr>
        <w:t xml:space="preserve"> </w:t>
      </w:r>
      <w:r>
        <w:t>análisis</w:t>
      </w:r>
      <w:r w:rsidRPr="00B91ED4">
        <w:rPr>
          <w:spacing w:val="-15"/>
        </w:rPr>
        <w:t xml:space="preserve"> </w:t>
      </w:r>
      <w:r>
        <w:t>de</w:t>
      </w:r>
      <w:r w:rsidRPr="00B91ED4">
        <w:rPr>
          <w:spacing w:val="-15"/>
        </w:rPr>
        <w:t xml:space="preserve"> </w:t>
      </w:r>
      <w:r>
        <w:t>la</w:t>
      </w:r>
      <w:r w:rsidRPr="00B91ED4">
        <w:rPr>
          <w:spacing w:val="-15"/>
        </w:rPr>
        <w:t xml:space="preserve"> </w:t>
      </w:r>
      <w:r>
        <w:t>información</w:t>
      </w:r>
      <w:bookmarkStart w:id="1616" w:name="_bookmark1404"/>
      <w:bookmarkEnd w:id="1616"/>
      <w:r w:rsidR="00B91ED4">
        <w:t xml:space="preserve"> </w:t>
      </w:r>
      <w:r>
        <w:t>producida en investigaciones activas y no activas, incluida la priorización de las compulsas de</w:t>
      </w:r>
      <w:r w:rsidRPr="00B91ED4">
        <w:rPr>
          <w:spacing w:val="-2"/>
        </w:rPr>
        <w:t xml:space="preserve"> </w:t>
      </w:r>
      <w:r>
        <w:t>copias</w:t>
      </w:r>
      <w:r w:rsidRPr="00B91ED4">
        <w:rPr>
          <w:spacing w:val="-2"/>
        </w:rPr>
        <w:t xml:space="preserve"> </w:t>
      </w:r>
      <w:r>
        <w:t>de</w:t>
      </w:r>
      <w:r w:rsidRPr="00B91ED4">
        <w:rPr>
          <w:spacing w:val="-3"/>
        </w:rPr>
        <w:t xml:space="preserve"> </w:t>
      </w:r>
      <w:r>
        <w:t>Justicia</w:t>
      </w:r>
      <w:r w:rsidRPr="00B91ED4">
        <w:rPr>
          <w:spacing w:val="-3"/>
        </w:rPr>
        <w:t xml:space="preserve"> </w:t>
      </w:r>
      <w:r>
        <w:t>y</w:t>
      </w:r>
      <w:r w:rsidRPr="00B91ED4">
        <w:rPr>
          <w:spacing w:val="-2"/>
        </w:rPr>
        <w:t xml:space="preserve"> </w:t>
      </w:r>
      <w:r>
        <w:t>Paz.</w:t>
      </w:r>
      <w:r w:rsidRPr="00B91ED4">
        <w:rPr>
          <w:spacing w:val="-2"/>
        </w:rPr>
        <w:t xml:space="preserve"> </w:t>
      </w:r>
      <w:r>
        <w:t>De</w:t>
      </w:r>
      <w:r w:rsidRPr="00B91ED4">
        <w:rPr>
          <w:spacing w:val="-2"/>
        </w:rPr>
        <w:t xml:space="preserve"> </w:t>
      </w:r>
      <w:r>
        <w:t>este</w:t>
      </w:r>
      <w:r w:rsidRPr="00B91ED4">
        <w:rPr>
          <w:spacing w:val="-3"/>
        </w:rPr>
        <w:t xml:space="preserve"> </w:t>
      </w:r>
      <w:r>
        <w:t>modo,</w:t>
      </w:r>
      <w:r w:rsidRPr="00B91ED4">
        <w:rPr>
          <w:spacing w:val="-2"/>
        </w:rPr>
        <w:t xml:space="preserve"> </w:t>
      </w:r>
      <w:r>
        <w:t>se</w:t>
      </w:r>
      <w:r w:rsidRPr="00B91ED4">
        <w:rPr>
          <w:spacing w:val="-4"/>
        </w:rPr>
        <w:t xml:space="preserve"> </w:t>
      </w:r>
      <w:r>
        <w:t>fortalecerá</w:t>
      </w:r>
      <w:r w:rsidRPr="00B91ED4">
        <w:rPr>
          <w:spacing w:val="-3"/>
        </w:rPr>
        <w:t xml:space="preserve"> </w:t>
      </w:r>
      <w:r>
        <w:t>el</w:t>
      </w:r>
      <w:r w:rsidRPr="00B91ED4">
        <w:rPr>
          <w:spacing w:val="-3"/>
        </w:rPr>
        <w:t xml:space="preserve"> </w:t>
      </w:r>
      <w:r>
        <w:t>trabajo</w:t>
      </w:r>
      <w:r w:rsidRPr="00B91ED4">
        <w:rPr>
          <w:spacing w:val="-4"/>
        </w:rPr>
        <w:t xml:space="preserve"> </w:t>
      </w:r>
      <w:r>
        <w:t>interno</w:t>
      </w:r>
      <w:r w:rsidRPr="00B91ED4">
        <w:rPr>
          <w:spacing w:val="-2"/>
        </w:rPr>
        <w:t xml:space="preserve"> </w:t>
      </w:r>
      <w:r>
        <w:t>de</w:t>
      </w:r>
      <w:r w:rsidRPr="00B91ED4">
        <w:rPr>
          <w:spacing w:val="-2"/>
        </w:rPr>
        <w:t xml:space="preserve"> </w:t>
      </w:r>
      <w:r>
        <w:t>sus</w:t>
      </w:r>
      <w:r w:rsidRPr="00B91ED4">
        <w:rPr>
          <w:spacing w:val="-2"/>
        </w:rPr>
        <w:t xml:space="preserve"> </w:t>
      </w:r>
      <w:r>
        <w:t>unidades</w:t>
      </w:r>
      <w:r w:rsidRPr="00B91ED4">
        <w:rPr>
          <w:spacing w:val="-2"/>
        </w:rPr>
        <w:t xml:space="preserve"> </w:t>
      </w:r>
      <w:r>
        <w:t xml:space="preserve">y se garantizarán canales de comunicación efectivos con la JEP para lo que pueda </w:t>
      </w:r>
      <w:r>
        <w:lastRenderedPageBreak/>
        <w:t xml:space="preserve">ser de su </w:t>
      </w:r>
      <w:r w:rsidRPr="00B91ED4">
        <w:rPr>
          <w:spacing w:val="-2"/>
        </w:rPr>
        <w:t>competencia.</w:t>
      </w:r>
    </w:p>
    <w:p w:rsidR="0011361F" w:rsidRDefault="00AF18A5" w:rsidP="00B91ED4">
      <w:r>
        <w:t>Corto</w:t>
      </w:r>
      <w:r>
        <w:rPr>
          <w:spacing w:val="-1"/>
        </w:rPr>
        <w:t xml:space="preserve"> </w:t>
      </w:r>
      <w:r>
        <w:rPr>
          <w:spacing w:val="-2"/>
        </w:rPr>
        <w:t>plazo</w:t>
      </w:r>
    </w:p>
    <w:p w:rsidR="003804AC" w:rsidRDefault="00AF18A5" w:rsidP="004A6EF4">
      <w:pPr>
        <w:pStyle w:val="Prrafodelista"/>
        <w:numPr>
          <w:ilvl w:val="0"/>
          <w:numId w:val="31"/>
        </w:numPr>
      </w:pPr>
      <w:r>
        <w:t xml:space="preserve">Al Presidente de la República, </w:t>
      </w:r>
      <w:r w:rsidRPr="00B91ED4">
        <w:rPr>
          <w:b/>
        </w:rPr>
        <w:t>priorizar la investigación, el juzgamiento y la sanción</w:t>
      </w:r>
      <w:r w:rsidRPr="00B91ED4">
        <w:rPr>
          <w:b/>
          <w:spacing w:val="-11"/>
        </w:rPr>
        <w:t xml:space="preserve"> </w:t>
      </w:r>
      <w:r w:rsidRPr="00B91ED4">
        <w:rPr>
          <w:b/>
        </w:rPr>
        <w:t>en</w:t>
      </w:r>
      <w:r w:rsidRPr="00B91ED4">
        <w:rPr>
          <w:b/>
          <w:spacing w:val="-11"/>
        </w:rPr>
        <w:t xml:space="preserve"> </w:t>
      </w:r>
      <w:r w:rsidRPr="00B91ED4">
        <w:rPr>
          <w:b/>
        </w:rPr>
        <w:t>Colombia</w:t>
      </w:r>
      <w:r w:rsidRPr="00B91ED4">
        <w:rPr>
          <w:b/>
          <w:spacing w:val="-11"/>
        </w:rPr>
        <w:t xml:space="preserve"> </w:t>
      </w:r>
      <w:r w:rsidRPr="00B91ED4">
        <w:rPr>
          <w:b/>
        </w:rPr>
        <w:t>al</w:t>
      </w:r>
      <w:r w:rsidRPr="00B91ED4">
        <w:rPr>
          <w:b/>
          <w:spacing w:val="-10"/>
        </w:rPr>
        <w:t xml:space="preserve"> </w:t>
      </w:r>
      <w:r w:rsidRPr="00B91ED4">
        <w:rPr>
          <w:b/>
        </w:rPr>
        <w:t>momento</w:t>
      </w:r>
      <w:r w:rsidRPr="00B91ED4">
        <w:rPr>
          <w:b/>
          <w:spacing w:val="-12"/>
        </w:rPr>
        <w:t xml:space="preserve"> </w:t>
      </w:r>
      <w:r w:rsidRPr="00B91ED4">
        <w:rPr>
          <w:b/>
        </w:rPr>
        <w:t>de</w:t>
      </w:r>
      <w:r w:rsidRPr="00B91ED4">
        <w:rPr>
          <w:b/>
          <w:spacing w:val="-11"/>
        </w:rPr>
        <w:t xml:space="preserve"> </w:t>
      </w:r>
      <w:r w:rsidRPr="00B91ED4">
        <w:rPr>
          <w:b/>
        </w:rPr>
        <w:t>decidir</w:t>
      </w:r>
      <w:r w:rsidRPr="00B91ED4">
        <w:rPr>
          <w:b/>
          <w:spacing w:val="-11"/>
        </w:rPr>
        <w:t xml:space="preserve"> </w:t>
      </w:r>
      <w:r w:rsidRPr="00B91ED4">
        <w:rPr>
          <w:b/>
        </w:rPr>
        <w:t>sobre</w:t>
      </w:r>
      <w:r w:rsidRPr="00B91ED4">
        <w:rPr>
          <w:b/>
          <w:spacing w:val="-11"/>
        </w:rPr>
        <w:t xml:space="preserve"> </w:t>
      </w:r>
      <w:r w:rsidRPr="00B91ED4">
        <w:rPr>
          <w:b/>
        </w:rPr>
        <w:t>solicitudes</w:t>
      </w:r>
      <w:r w:rsidRPr="00B91ED4">
        <w:rPr>
          <w:b/>
          <w:spacing w:val="-11"/>
        </w:rPr>
        <w:t xml:space="preserve"> </w:t>
      </w:r>
      <w:r w:rsidRPr="00B91ED4">
        <w:rPr>
          <w:b/>
        </w:rPr>
        <w:t>de</w:t>
      </w:r>
      <w:r w:rsidRPr="00B91ED4">
        <w:rPr>
          <w:b/>
          <w:spacing w:val="-11"/>
        </w:rPr>
        <w:t xml:space="preserve"> </w:t>
      </w:r>
      <w:r w:rsidRPr="00B91ED4">
        <w:rPr>
          <w:b/>
        </w:rPr>
        <w:t>extradición</w:t>
      </w:r>
      <w:r w:rsidRPr="00B91ED4">
        <w:rPr>
          <w:b/>
          <w:spacing w:val="-12"/>
        </w:rPr>
        <w:t xml:space="preserve"> </w:t>
      </w:r>
      <w:r>
        <w:t>de</w:t>
      </w:r>
      <w:r w:rsidRPr="00B91ED4">
        <w:rPr>
          <w:spacing w:val="-11"/>
        </w:rPr>
        <w:t xml:space="preserve"> </w:t>
      </w:r>
      <w:r>
        <w:t>personas procesadas que puedan contribuir a esclarecer fenómenos criminales, violaciones a los DDHH,</w:t>
      </w:r>
      <w:r w:rsidRPr="00B91ED4">
        <w:rPr>
          <w:spacing w:val="-15"/>
        </w:rPr>
        <w:t xml:space="preserve"> </w:t>
      </w:r>
      <w:r>
        <w:t>infracciones</w:t>
      </w:r>
      <w:r w:rsidRPr="00B91ED4">
        <w:rPr>
          <w:spacing w:val="-15"/>
        </w:rPr>
        <w:t xml:space="preserve"> </w:t>
      </w:r>
      <w:r>
        <w:t>al</w:t>
      </w:r>
      <w:r w:rsidRPr="00B91ED4">
        <w:rPr>
          <w:spacing w:val="-15"/>
        </w:rPr>
        <w:t xml:space="preserve"> </w:t>
      </w:r>
      <w:r>
        <w:t>DIH</w:t>
      </w:r>
      <w:r w:rsidRPr="00B91ED4">
        <w:rPr>
          <w:spacing w:val="-15"/>
        </w:rPr>
        <w:t xml:space="preserve"> </w:t>
      </w:r>
      <w:r>
        <w:t>y</w:t>
      </w:r>
      <w:r w:rsidRPr="00B91ED4">
        <w:rPr>
          <w:spacing w:val="-15"/>
        </w:rPr>
        <w:t xml:space="preserve"> </w:t>
      </w:r>
      <w:r>
        <w:t>corrupción</w:t>
      </w:r>
      <w:r w:rsidRPr="00B91ED4">
        <w:rPr>
          <w:spacing w:val="-15"/>
        </w:rPr>
        <w:t xml:space="preserve"> </w:t>
      </w:r>
      <w:r>
        <w:t>a</w:t>
      </w:r>
      <w:r w:rsidRPr="00B91ED4">
        <w:rPr>
          <w:spacing w:val="-15"/>
        </w:rPr>
        <w:t xml:space="preserve"> </w:t>
      </w:r>
      <w:r>
        <w:t>gran</w:t>
      </w:r>
      <w:r w:rsidRPr="00B91ED4">
        <w:rPr>
          <w:spacing w:val="-15"/>
        </w:rPr>
        <w:t xml:space="preserve"> </w:t>
      </w:r>
      <w:r>
        <w:t>escala,</w:t>
      </w:r>
      <w:r w:rsidRPr="00B91ED4">
        <w:rPr>
          <w:spacing w:val="-15"/>
        </w:rPr>
        <w:t xml:space="preserve"> </w:t>
      </w:r>
      <w:r>
        <w:t>para</w:t>
      </w:r>
      <w:r w:rsidRPr="00B91ED4">
        <w:rPr>
          <w:spacing w:val="-15"/>
        </w:rPr>
        <w:t xml:space="preserve"> </w:t>
      </w:r>
      <w:r>
        <w:t>así</w:t>
      </w:r>
      <w:r w:rsidRPr="00B91ED4">
        <w:rPr>
          <w:spacing w:val="-15"/>
        </w:rPr>
        <w:t xml:space="preserve"> </w:t>
      </w:r>
      <w:r>
        <w:t>dar</w:t>
      </w:r>
      <w:r w:rsidRPr="00B91ED4">
        <w:rPr>
          <w:spacing w:val="-15"/>
        </w:rPr>
        <w:t xml:space="preserve"> </w:t>
      </w:r>
      <w:r>
        <w:t>garantías</w:t>
      </w:r>
      <w:r w:rsidRPr="00B91ED4">
        <w:rPr>
          <w:spacing w:val="-15"/>
        </w:rPr>
        <w:t xml:space="preserve"> </w:t>
      </w:r>
      <w:r>
        <w:t>a</w:t>
      </w:r>
      <w:r w:rsidRPr="00B91ED4">
        <w:rPr>
          <w:spacing w:val="-15"/>
        </w:rPr>
        <w:t xml:space="preserve"> </w:t>
      </w:r>
      <w:r>
        <w:t>la</w:t>
      </w:r>
      <w:r w:rsidRPr="00B91ED4">
        <w:rPr>
          <w:spacing w:val="-15"/>
        </w:rPr>
        <w:t xml:space="preserve"> </w:t>
      </w:r>
      <w:r>
        <w:t>satisfacción de los derechos de las víctimas.</w:t>
      </w:r>
    </w:p>
    <w:p w:rsidR="0011361F" w:rsidRDefault="00AF18A5" w:rsidP="004A6EF4">
      <w:pPr>
        <w:pStyle w:val="Ttulo3"/>
        <w:numPr>
          <w:ilvl w:val="1"/>
          <w:numId w:val="28"/>
        </w:numPr>
      </w:pPr>
      <w:bookmarkStart w:id="1617" w:name="5.3._Investigación_de_la_criminalidad_or"/>
      <w:bookmarkStart w:id="1618" w:name="_Toc112399705"/>
      <w:bookmarkEnd w:id="1617"/>
      <w:r w:rsidRPr="00B91ED4">
        <w:t>Investigación</w:t>
      </w:r>
      <w:r>
        <w:rPr>
          <w:spacing w:val="-5"/>
        </w:rPr>
        <w:t xml:space="preserve"> </w:t>
      </w:r>
      <w:r>
        <w:t>de</w:t>
      </w:r>
      <w:r>
        <w:rPr>
          <w:spacing w:val="-1"/>
        </w:rPr>
        <w:t xml:space="preserve"> </w:t>
      </w:r>
      <w:r>
        <w:t>la</w:t>
      </w:r>
      <w:r>
        <w:rPr>
          <w:spacing w:val="-3"/>
        </w:rPr>
        <w:t xml:space="preserve"> </w:t>
      </w:r>
      <w:r>
        <w:t>criminalidad</w:t>
      </w:r>
      <w:r>
        <w:rPr>
          <w:spacing w:val="-3"/>
        </w:rPr>
        <w:t xml:space="preserve"> </w:t>
      </w:r>
      <w:r>
        <w:t>organizada</w:t>
      </w:r>
      <w:r>
        <w:rPr>
          <w:spacing w:val="-1"/>
        </w:rPr>
        <w:t xml:space="preserve"> </w:t>
      </w:r>
      <w:r>
        <w:t>y</w:t>
      </w:r>
      <w:r>
        <w:rPr>
          <w:spacing w:val="-1"/>
        </w:rPr>
        <w:t xml:space="preserve"> </w:t>
      </w:r>
      <w:r>
        <w:t>sus</w:t>
      </w:r>
      <w:r>
        <w:rPr>
          <w:spacing w:val="-2"/>
        </w:rPr>
        <w:t xml:space="preserve"> </w:t>
      </w:r>
      <w:r>
        <w:t>redes</w:t>
      </w:r>
      <w:r>
        <w:rPr>
          <w:spacing w:val="-1"/>
        </w:rPr>
        <w:t xml:space="preserve"> </w:t>
      </w:r>
      <w:r>
        <w:t>de</w:t>
      </w:r>
      <w:r>
        <w:rPr>
          <w:spacing w:val="-1"/>
        </w:rPr>
        <w:t xml:space="preserve"> </w:t>
      </w:r>
      <w:r>
        <w:rPr>
          <w:spacing w:val="-2"/>
        </w:rPr>
        <w:t>apoyo</w:t>
      </w:r>
      <w:bookmarkEnd w:id="1618"/>
    </w:p>
    <w:p w:rsidR="0011361F" w:rsidRDefault="00AF18A5" w:rsidP="00B91ED4">
      <w:r>
        <w:t>Mediano</w:t>
      </w:r>
      <w:r>
        <w:rPr>
          <w:spacing w:val="-3"/>
        </w:rPr>
        <w:t xml:space="preserve"> </w:t>
      </w:r>
      <w:r>
        <w:rPr>
          <w:spacing w:val="-2"/>
        </w:rPr>
        <w:t>plazo</w:t>
      </w:r>
    </w:p>
    <w:p w:rsidR="003804AC" w:rsidRDefault="00AF18A5" w:rsidP="004A6EF4">
      <w:pPr>
        <w:pStyle w:val="Prrafodelista"/>
        <w:numPr>
          <w:ilvl w:val="0"/>
          <w:numId w:val="31"/>
        </w:numPr>
      </w:pPr>
      <w:r>
        <w:t xml:space="preserve">Al Gobierno nacional y al Congreso de la República, impulsar y realizar los ajustes normativos e institucionales que sean necesarios para poner en marcha una </w:t>
      </w:r>
      <w:r w:rsidRPr="00BE5DA4">
        <w:rPr>
          <w:b/>
        </w:rPr>
        <w:t>comisión transitoria de esclarecimiento e investigación independiente e internacional o mixta (nacional e internacional) para impulsar la investigación y esclarecer la verdad de los hechos del narcotráfico y de la criminalidad organizada asociada a este y sus redes de apoyo</w:t>
      </w:r>
      <w:r>
        <w:t>. Particularmente, esta investigaría todos los hechos de (i) violencia sistemática que sean graves</w:t>
      </w:r>
      <w:r w:rsidRPr="00BE5DA4">
        <w:rPr>
          <w:spacing w:val="-1"/>
        </w:rPr>
        <w:t xml:space="preserve"> </w:t>
      </w:r>
      <w:r>
        <w:t>violaciones</w:t>
      </w:r>
      <w:r w:rsidRPr="00BE5DA4">
        <w:rPr>
          <w:spacing w:val="-1"/>
        </w:rPr>
        <w:t xml:space="preserve"> </w:t>
      </w:r>
      <w:r>
        <w:t>a derechos humanos o infracciones al</w:t>
      </w:r>
      <w:r w:rsidRPr="00BE5DA4">
        <w:rPr>
          <w:spacing w:val="-1"/>
        </w:rPr>
        <w:t xml:space="preserve"> </w:t>
      </w:r>
      <w:r>
        <w:t>DIH</w:t>
      </w:r>
      <w:r w:rsidRPr="00BE5DA4">
        <w:rPr>
          <w:spacing w:val="-1"/>
        </w:rPr>
        <w:t xml:space="preserve"> </w:t>
      </w:r>
      <w:r>
        <w:t>o (</w:t>
      </w:r>
      <w:proofErr w:type="spellStart"/>
      <w:r>
        <w:t>ii</w:t>
      </w:r>
      <w:proofErr w:type="spellEnd"/>
      <w:r>
        <w:t>) corrupción pública y</w:t>
      </w:r>
      <w:r w:rsidRPr="00BE5DA4">
        <w:rPr>
          <w:spacing w:val="-4"/>
        </w:rPr>
        <w:t xml:space="preserve"> </w:t>
      </w:r>
      <w:r>
        <w:t>privada</w:t>
      </w:r>
      <w:r w:rsidRPr="00BE5DA4">
        <w:rPr>
          <w:spacing w:val="-3"/>
        </w:rPr>
        <w:t xml:space="preserve"> </w:t>
      </w:r>
      <w:r>
        <w:t>a</w:t>
      </w:r>
      <w:r w:rsidRPr="00BE5DA4">
        <w:rPr>
          <w:spacing w:val="-3"/>
        </w:rPr>
        <w:t xml:space="preserve"> </w:t>
      </w:r>
      <w:r>
        <w:t>mediana</w:t>
      </w:r>
      <w:r w:rsidRPr="00BE5DA4">
        <w:rPr>
          <w:spacing w:val="-3"/>
        </w:rPr>
        <w:t xml:space="preserve"> </w:t>
      </w:r>
      <w:r>
        <w:t>y</w:t>
      </w:r>
      <w:r w:rsidRPr="00BE5DA4">
        <w:rPr>
          <w:spacing w:val="-4"/>
        </w:rPr>
        <w:t xml:space="preserve"> </w:t>
      </w:r>
      <w:r>
        <w:t>gran</w:t>
      </w:r>
      <w:r w:rsidRPr="00BE5DA4">
        <w:rPr>
          <w:spacing w:val="-4"/>
        </w:rPr>
        <w:t xml:space="preserve"> </w:t>
      </w:r>
      <w:r>
        <w:t>escala,</w:t>
      </w:r>
      <w:r w:rsidRPr="00BE5DA4">
        <w:rPr>
          <w:spacing w:val="-4"/>
        </w:rPr>
        <w:t xml:space="preserve"> </w:t>
      </w:r>
      <w:r>
        <w:t>y</w:t>
      </w:r>
      <w:r w:rsidRPr="00BE5DA4">
        <w:rPr>
          <w:spacing w:val="-4"/>
        </w:rPr>
        <w:t xml:space="preserve"> </w:t>
      </w:r>
      <w:r>
        <w:t>todos</w:t>
      </w:r>
      <w:r w:rsidRPr="00BE5DA4">
        <w:rPr>
          <w:spacing w:val="-3"/>
        </w:rPr>
        <w:t xml:space="preserve"> </w:t>
      </w:r>
      <w:r>
        <w:t>los</w:t>
      </w:r>
      <w:r w:rsidRPr="00BE5DA4">
        <w:rPr>
          <w:spacing w:val="-3"/>
        </w:rPr>
        <w:t xml:space="preserve"> </w:t>
      </w:r>
      <w:r>
        <w:t>delitos</w:t>
      </w:r>
      <w:r w:rsidRPr="00BE5DA4">
        <w:rPr>
          <w:spacing w:val="-3"/>
        </w:rPr>
        <w:t xml:space="preserve"> </w:t>
      </w:r>
      <w:r>
        <w:t>que</w:t>
      </w:r>
      <w:r w:rsidRPr="00BE5DA4">
        <w:rPr>
          <w:spacing w:val="-3"/>
        </w:rPr>
        <w:t xml:space="preserve"> </w:t>
      </w:r>
      <w:r>
        <w:t>contribuyan</w:t>
      </w:r>
      <w:r w:rsidRPr="00BE5DA4">
        <w:rPr>
          <w:spacing w:val="-4"/>
        </w:rPr>
        <w:t xml:space="preserve"> </w:t>
      </w:r>
      <w:r>
        <w:t>o</w:t>
      </w:r>
      <w:r w:rsidRPr="00BE5DA4">
        <w:rPr>
          <w:spacing w:val="-4"/>
        </w:rPr>
        <w:t xml:space="preserve"> </w:t>
      </w:r>
      <w:r>
        <w:t>estén</w:t>
      </w:r>
      <w:r w:rsidRPr="00BE5DA4">
        <w:rPr>
          <w:spacing w:val="-4"/>
        </w:rPr>
        <w:t xml:space="preserve"> </w:t>
      </w:r>
      <w:r>
        <w:t>asociados</w:t>
      </w:r>
      <w:r w:rsidRPr="00BE5DA4">
        <w:rPr>
          <w:spacing w:val="-4"/>
        </w:rPr>
        <w:t xml:space="preserve"> </w:t>
      </w:r>
      <w:r>
        <w:t>a</w:t>
      </w:r>
      <w:r w:rsidRPr="00BE5DA4">
        <w:rPr>
          <w:spacing w:val="-3"/>
        </w:rPr>
        <w:t xml:space="preserve"> </w:t>
      </w:r>
      <w:r>
        <w:t>la comisión de estos hechos, incluidos aquellos relacionados con finanzas criminales y economías</w:t>
      </w:r>
      <w:r w:rsidRPr="00BE5DA4">
        <w:rPr>
          <w:spacing w:val="52"/>
        </w:rPr>
        <w:t xml:space="preserve"> </w:t>
      </w:r>
      <w:r>
        <w:t>ilegales.</w:t>
      </w:r>
      <w:r w:rsidRPr="00BE5DA4">
        <w:rPr>
          <w:spacing w:val="54"/>
        </w:rPr>
        <w:t xml:space="preserve"> </w:t>
      </w:r>
      <w:r>
        <w:t>El</w:t>
      </w:r>
      <w:r w:rsidRPr="00BE5DA4">
        <w:rPr>
          <w:spacing w:val="52"/>
        </w:rPr>
        <w:t xml:space="preserve"> </w:t>
      </w:r>
      <w:r>
        <w:t>mecanismo</w:t>
      </w:r>
      <w:r w:rsidRPr="00BE5DA4">
        <w:rPr>
          <w:spacing w:val="50"/>
        </w:rPr>
        <w:t xml:space="preserve"> </w:t>
      </w:r>
      <w:r>
        <w:lastRenderedPageBreak/>
        <w:t>deberá</w:t>
      </w:r>
      <w:r w:rsidRPr="00BE5DA4">
        <w:rPr>
          <w:spacing w:val="53"/>
        </w:rPr>
        <w:t xml:space="preserve"> </w:t>
      </w:r>
      <w:r>
        <w:t>estar</w:t>
      </w:r>
      <w:r w:rsidRPr="00BE5DA4">
        <w:rPr>
          <w:spacing w:val="53"/>
        </w:rPr>
        <w:t xml:space="preserve"> </w:t>
      </w:r>
      <w:r>
        <w:t>orientado</w:t>
      </w:r>
      <w:r w:rsidRPr="00BE5DA4">
        <w:rPr>
          <w:spacing w:val="51"/>
        </w:rPr>
        <w:t xml:space="preserve"> </w:t>
      </w:r>
      <w:r>
        <w:t>a</w:t>
      </w:r>
      <w:r w:rsidRPr="00BE5DA4">
        <w:rPr>
          <w:spacing w:val="53"/>
        </w:rPr>
        <w:t xml:space="preserve"> </w:t>
      </w:r>
      <w:r>
        <w:t>judicializar</w:t>
      </w:r>
      <w:r w:rsidRPr="00BE5DA4">
        <w:rPr>
          <w:spacing w:val="54"/>
        </w:rPr>
        <w:t xml:space="preserve"> </w:t>
      </w:r>
      <w:r>
        <w:t>a</w:t>
      </w:r>
      <w:r w:rsidRPr="00BE5DA4">
        <w:rPr>
          <w:spacing w:val="53"/>
        </w:rPr>
        <w:t xml:space="preserve"> </w:t>
      </w:r>
      <w:r>
        <w:t>los</w:t>
      </w:r>
      <w:r w:rsidRPr="00BE5DA4">
        <w:rPr>
          <w:spacing w:val="53"/>
        </w:rPr>
        <w:t xml:space="preserve"> </w:t>
      </w:r>
      <w:r w:rsidRPr="00BE5DA4">
        <w:rPr>
          <w:spacing w:val="-2"/>
        </w:rPr>
        <w:t>máximos</w:t>
      </w:r>
      <w:r w:rsidR="00A80E53">
        <w:rPr>
          <w:spacing w:val="-2"/>
        </w:rPr>
        <w:t xml:space="preserve"> </w:t>
      </w:r>
      <w:r>
        <w:t>responsables y contribuir al desmantelamiento de las organizaciones criminales. Dicha comisión</w:t>
      </w:r>
      <w:r w:rsidRPr="00A80E53">
        <w:rPr>
          <w:spacing w:val="-11"/>
        </w:rPr>
        <w:t xml:space="preserve"> </w:t>
      </w:r>
      <w:r>
        <w:t>documentaría,</w:t>
      </w:r>
      <w:r w:rsidRPr="00A80E53">
        <w:rPr>
          <w:spacing w:val="-12"/>
        </w:rPr>
        <w:t xml:space="preserve"> </w:t>
      </w:r>
      <w:r>
        <w:t>a</w:t>
      </w:r>
      <w:r w:rsidRPr="00A80E53">
        <w:rPr>
          <w:spacing w:val="-10"/>
        </w:rPr>
        <w:t xml:space="preserve"> </w:t>
      </w:r>
      <w:r>
        <w:t>través</w:t>
      </w:r>
      <w:r w:rsidRPr="00A80E53">
        <w:rPr>
          <w:spacing w:val="-12"/>
        </w:rPr>
        <w:t xml:space="preserve"> </w:t>
      </w:r>
      <w:r>
        <w:t>de</w:t>
      </w:r>
      <w:r w:rsidRPr="00A80E53">
        <w:rPr>
          <w:spacing w:val="-10"/>
        </w:rPr>
        <w:t xml:space="preserve"> </w:t>
      </w:r>
      <w:r>
        <w:t>su</w:t>
      </w:r>
      <w:r w:rsidRPr="00A80E53">
        <w:rPr>
          <w:spacing w:val="-11"/>
        </w:rPr>
        <w:t xml:space="preserve"> </w:t>
      </w:r>
      <w:r>
        <w:t>investigación,</w:t>
      </w:r>
      <w:r w:rsidRPr="00A80E53">
        <w:rPr>
          <w:spacing w:val="-11"/>
        </w:rPr>
        <w:t xml:space="preserve"> </w:t>
      </w:r>
      <w:r>
        <w:t>macro</w:t>
      </w:r>
      <w:r w:rsidRPr="00A80E53">
        <w:rPr>
          <w:spacing w:val="-11"/>
        </w:rPr>
        <w:t xml:space="preserve"> </w:t>
      </w:r>
      <w:r>
        <w:t>casos</w:t>
      </w:r>
      <w:r w:rsidRPr="00A80E53">
        <w:rPr>
          <w:spacing w:val="-10"/>
        </w:rPr>
        <w:t xml:space="preserve"> </w:t>
      </w:r>
      <w:r>
        <w:t>priorizados</w:t>
      </w:r>
      <w:r w:rsidRPr="00A80E53">
        <w:rPr>
          <w:spacing w:val="-10"/>
        </w:rPr>
        <w:t xml:space="preserve"> </w:t>
      </w:r>
      <w:r>
        <w:t>con</w:t>
      </w:r>
      <w:r w:rsidRPr="00A80E53">
        <w:rPr>
          <w:spacing w:val="-12"/>
        </w:rPr>
        <w:t xml:space="preserve"> </w:t>
      </w:r>
      <w:r>
        <w:t>el</w:t>
      </w:r>
      <w:r w:rsidRPr="00A80E53">
        <w:rPr>
          <w:spacing w:val="-10"/>
        </w:rPr>
        <w:t xml:space="preserve"> </w:t>
      </w:r>
      <w:r>
        <w:t>objetivo de fortalecer la labor de investigación y coadyuvar la acusación de la Unidad Especial de Investigación (UEI) de la Fiscalía General de la Nación, creada por el Acuerdo Final de Paz</w:t>
      </w:r>
      <w:r w:rsidR="00A80E53">
        <w:rPr>
          <w:rStyle w:val="Refdenotaalpie"/>
        </w:rPr>
        <w:footnoteReference w:id="1248"/>
      </w:r>
      <w:r>
        <w:t>. Para tal fin:</w:t>
      </w:r>
    </w:p>
    <w:p w:rsidR="003804AC" w:rsidRDefault="00AF18A5" w:rsidP="004A6EF4">
      <w:pPr>
        <w:pStyle w:val="Prrafodelista"/>
        <w:numPr>
          <w:ilvl w:val="0"/>
          <w:numId w:val="45"/>
        </w:numPr>
      </w:pPr>
      <w:r>
        <w:t>La</w:t>
      </w:r>
      <w:r w:rsidRPr="00A80E53">
        <w:rPr>
          <w:spacing w:val="-2"/>
        </w:rPr>
        <w:t xml:space="preserve"> </w:t>
      </w:r>
      <w:r>
        <w:t>comisión</w:t>
      </w:r>
      <w:r w:rsidRPr="00A80E53">
        <w:rPr>
          <w:spacing w:val="-3"/>
        </w:rPr>
        <w:t xml:space="preserve"> </w:t>
      </w:r>
      <w:r>
        <w:t>transitoria</w:t>
      </w:r>
      <w:r w:rsidRPr="00A80E53">
        <w:rPr>
          <w:spacing w:val="-2"/>
        </w:rPr>
        <w:t xml:space="preserve"> </w:t>
      </w:r>
      <w:r>
        <w:t>deberá</w:t>
      </w:r>
      <w:r w:rsidRPr="00A80E53">
        <w:rPr>
          <w:spacing w:val="-3"/>
        </w:rPr>
        <w:t xml:space="preserve"> </w:t>
      </w:r>
      <w:r>
        <w:t>contar</w:t>
      </w:r>
      <w:r w:rsidRPr="00A80E53">
        <w:rPr>
          <w:spacing w:val="-2"/>
        </w:rPr>
        <w:t xml:space="preserve"> </w:t>
      </w:r>
      <w:r>
        <w:t>con</w:t>
      </w:r>
      <w:r w:rsidRPr="00A80E53">
        <w:rPr>
          <w:spacing w:val="-4"/>
        </w:rPr>
        <w:t xml:space="preserve"> </w:t>
      </w:r>
      <w:r>
        <w:t>facultades</w:t>
      </w:r>
      <w:r w:rsidRPr="00A80E53">
        <w:rPr>
          <w:spacing w:val="-2"/>
        </w:rPr>
        <w:t xml:space="preserve"> </w:t>
      </w:r>
      <w:r>
        <w:t>de</w:t>
      </w:r>
      <w:r w:rsidRPr="00A80E53">
        <w:rPr>
          <w:spacing w:val="-3"/>
        </w:rPr>
        <w:t xml:space="preserve"> </w:t>
      </w:r>
      <w:r>
        <w:t>investigación</w:t>
      </w:r>
      <w:r w:rsidRPr="00A80E53">
        <w:rPr>
          <w:spacing w:val="-2"/>
        </w:rPr>
        <w:t xml:space="preserve"> </w:t>
      </w:r>
      <w:r>
        <w:t>para buscar, identificar, recoger y embalar elementos materiales probatorios y evidencia física, y realizar entrevistas y valoraciones que requieran conocimientos especializados. En los casos en que la investigación requiera diligencias que limiten derechos fundamentales, las adelantará con la debida autorización judicial y en coordinación con la UEI de la FGN.</w:t>
      </w:r>
    </w:p>
    <w:p w:rsidR="003804AC" w:rsidRDefault="00AF18A5" w:rsidP="004A6EF4">
      <w:pPr>
        <w:pStyle w:val="Prrafodelista"/>
        <w:numPr>
          <w:ilvl w:val="0"/>
          <w:numId w:val="45"/>
        </w:numPr>
      </w:pPr>
      <w:r>
        <w:t>La</w:t>
      </w:r>
      <w:r w:rsidRPr="00A80E53">
        <w:rPr>
          <w:spacing w:val="-3"/>
        </w:rPr>
        <w:t xml:space="preserve"> </w:t>
      </w:r>
      <w:r>
        <w:t>Comisión</w:t>
      </w:r>
      <w:r w:rsidRPr="00A80E53">
        <w:rPr>
          <w:spacing w:val="-3"/>
        </w:rPr>
        <w:t xml:space="preserve"> </w:t>
      </w:r>
      <w:r>
        <w:t>transitoria</w:t>
      </w:r>
      <w:r w:rsidRPr="00A80E53">
        <w:rPr>
          <w:spacing w:val="-5"/>
        </w:rPr>
        <w:t xml:space="preserve"> </w:t>
      </w:r>
      <w:r>
        <w:t>también</w:t>
      </w:r>
      <w:r w:rsidRPr="00A80E53">
        <w:rPr>
          <w:spacing w:val="-3"/>
        </w:rPr>
        <w:t xml:space="preserve"> </w:t>
      </w:r>
      <w:r>
        <w:t>deberá</w:t>
      </w:r>
      <w:r w:rsidRPr="00A80E53">
        <w:rPr>
          <w:spacing w:val="-3"/>
        </w:rPr>
        <w:t xml:space="preserve"> </w:t>
      </w:r>
      <w:r>
        <w:t>contar</w:t>
      </w:r>
      <w:r w:rsidRPr="00A80E53">
        <w:rPr>
          <w:spacing w:val="-3"/>
        </w:rPr>
        <w:t xml:space="preserve"> </w:t>
      </w:r>
      <w:r>
        <w:t>con</w:t>
      </w:r>
      <w:r w:rsidRPr="00A80E53">
        <w:rPr>
          <w:spacing w:val="-3"/>
        </w:rPr>
        <w:t xml:space="preserve"> </w:t>
      </w:r>
      <w:r>
        <w:t>facultades</w:t>
      </w:r>
      <w:r w:rsidRPr="00A80E53">
        <w:rPr>
          <w:spacing w:val="-3"/>
        </w:rPr>
        <w:t xml:space="preserve"> </w:t>
      </w:r>
      <w:r>
        <w:t>de</w:t>
      </w:r>
      <w:r w:rsidRPr="00A80E53">
        <w:rPr>
          <w:spacing w:val="-3"/>
        </w:rPr>
        <w:t xml:space="preserve"> </w:t>
      </w:r>
      <w:r>
        <w:t>acceso</w:t>
      </w:r>
      <w:r w:rsidRPr="00A80E53">
        <w:rPr>
          <w:spacing w:val="-5"/>
        </w:rPr>
        <w:t xml:space="preserve"> </w:t>
      </w:r>
      <w:r>
        <w:t>a</w:t>
      </w:r>
      <w:r w:rsidRPr="00A80E53">
        <w:rPr>
          <w:spacing w:val="-3"/>
        </w:rPr>
        <w:t xml:space="preserve"> </w:t>
      </w:r>
      <w:r>
        <w:t>la información sin que se le pueda oponer reserva alguna, incluso si se trata de información de inteligencia, contrainteligencia o de seguridad nacional.</w:t>
      </w:r>
    </w:p>
    <w:p w:rsidR="003804AC" w:rsidRDefault="00AF18A5" w:rsidP="004A6EF4">
      <w:pPr>
        <w:pStyle w:val="Prrafodelista"/>
        <w:numPr>
          <w:ilvl w:val="0"/>
          <w:numId w:val="45"/>
        </w:numPr>
      </w:pPr>
      <w:r>
        <w:t>La</w:t>
      </w:r>
      <w:r w:rsidRPr="00A80E53">
        <w:rPr>
          <w:spacing w:val="-15"/>
        </w:rPr>
        <w:t xml:space="preserve"> </w:t>
      </w:r>
      <w:r>
        <w:t>UEI</w:t>
      </w:r>
      <w:r w:rsidRPr="00A80E53">
        <w:rPr>
          <w:spacing w:val="-15"/>
        </w:rPr>
        <w:t xml:space="preserve"> </w:t>
      </w:r>
      <w:r>
        <w:t>deberá</w:t>
      </w:r>
      <w:r w:rsidRPr="00A80E53">
        <w:rPr>
          <w:spacing w:val="-15"/>
        </w:rPr>
        <w:t xml:space="preserve"> </w:t>
      </w:r>
      <w:r>
        <w:t>ser</w:t>
      </w:r>
      <w:r w:rsidRPr="00A80E53">
        <w:rPr>
          <w:spacing w:val="-15"/>
        </w:rPr>
        <w:t xml:space="preserve"> </w:t>
      </w:r>
      <w:r>
        <w:t>fortalecida</w:t>
      </w:r>
      <w:r w:rsidRPr="00A80E53">
        <w:rPr>
          <w:spacing w:val="-15"/>
        </w:rPr>
        <w:t xml:space="preserve"> </w:t>
      </w:r>
      <w:r>
        <w:t>en</w:t>
      </w:r>
      <w:r w:rsidRPr="00A80E53">
        <w:rPr>
          <w:spacing w:val="-15"/>
        </w:rPr>
        <w:t xml:space="preserve"> </w:t>
      </w:r>
      <w:r>
        <w:t>términos</w:t>
      </w:r>
      <w:r w:rsidRPr="00A80E53">
        <w:rPr>
          <w:spacing w:val="-15"/>
        </w:rPr>
        <w:t xml:space="preserve"> </w:t>
      </w:r>
      <w:r>
        <w:t>de</w:t>
      </w:r>
      <w:r w:rsidRPr="00A80E53">
        <w:rPr>
          <w:spacing w:val="-15"/>
        </w:rPr>
        <w:t xml:space="preserve"> </w:t>
      </w:r>
      <w:r>
        <w:t>alcance</w:t>
      </w:r>
      <w:r w:rsidRPr="00A80E53">
        <w:rPr>
          <w:spacing w:val="-15"/>
        </w:rPr>
        <w:t xml:space="preserve"> </w:t>
      </w:r>
      <w:r>
        <w:t>de</w:t>
      </w:r>
      <w:r w:rsidRPr="00A80E53">
        <w:rPr>
          <w:spacing w:val="-15"/>
        </w:rPr>
        <w:t xml:space="preserve"> </w:t>
      </w:r>
      <w:r>
        <w:t>sus</w:t>
      </w:r>
      <w:r w:rsidRPr="00A80E53">
        <w:rPr>
          <w:spacing w:val="-15"/>
        </w:rPr>
        <w:t xml:space="preserve"> </w:t>
      </w:r>
      <w:r>
        <w:t>competencias y capacidad financiera, técnica y humana para que de manera prevalente, sobre otras unidades de la Fiscalía, investigue desde una aproximación integral las violaciones</w:t>
      </w:r>
      <w:r w:rsidRPr="00A80E53">
        <w:rPr>
          <w:spacing w:val="-9"/>
        </w:rPr>
        <w:t xml:space="preserve"> </w:t>
      </w:r>
      <w:r>
        <w:t>de</w:t>
      </w:r>
      <w:r w:rsidRPr="00A80E53">
        <w:rPr>
          <w:spacing w:val="-7"/>
        </w:rPr>
        <w:t xml:space="preserve"> </w:t>
      </w:r>
      <w:r>
        <w:t>los</w:t>
      </w:r>
      <w:r w:rsidRPr="00A80E53">
        <w:rPr>
          <w:spacing w:val="-8"/>
        </w:rPr>
        <w:t xml:space="preserve"> </w:t>
      </w:r>
      <w:r>
        <w:lastRenderedPageBreak/>
        <w:t>Derechos</w:t>
      </w:r>
      <w:r w:rsidRPr="00A80E53">
        <w:rPr>
          <w:spacing w:val="-7"/>
        </w:rPr>
        <w:t xml:space="preserve"> </w:t>
      </w:r>
      <w:r>
        <w:t>Humanos,</w:t>
      </w:r>
      <w:r w:rsidRPr="00A80E53">
        <w:rPr>
          <w:spacing w:val="-7"/>
        </w:rPr>
        <w:t xml:space="preserve"> </w:t>
      </w:r>
      <w:r>
        <w:t>las</w:t>
      </w:r>
      <w:r w:rsidRPr="00A80E53">
        <w:rPr>
          <w:spacing w:val="-8"/>
        </w:rPr>
        <w:t xml:space="preserve"> </w:t>
      </w:r>
      <w:r>
        <w:t>infracciones</w:t>
      </w:r>
      <w:r w:rsidRPr="00A80E53">
        <w:rPr>
          <w:spacing w:val="-7"/>
        </w:rPr>
        <w:t xml:space="preserve"> </w:t>
      </w:r>
      <w:r>
        <w:t>al</w:t>
      </w:r>
      <w:r w:rsidRPr="00A80E53">
        <w:rPr>
          <w:spacing w:val="-7"/>
        </w:rPr>
        <w:t xml:space="preserve"> </w:t>
      </w:r>
      <w:r>
        <w:t>DIH</w:t>
      </w:r>
      <w:r w:rsidRPr="00A80E53">
        <w:rPr>
          <w:spacing w:val="-9"/>
        </w:rPr>
        <w:t xml:space="preserve"> </w:t>
      </w:r>
      <w:r>
        <w:t>y</w:t>
      </w:r>
      <w:r w:rsidRPr="00A80E53">
        <w:rPr>
          <w:spacing w:val="-7"/>
        </w:rPr>
        <w:t xml:space="preserve"> </w:t>
      </w:r>
      <w:r>
        <w:t>la</w:t>
      </w:r>
      <w:r w:rsidRPr="00A80E53">
        <w:rPr>
          <w:spacing w:val="-8"/>
        </w:rPr>
        <w:t xml:space="preserve"> </w:t>
      </w:r>
      <w:r>
        <w:t>corrupción</w:t>
      </w:r>
      <w:r w:rsidRPr="00A80E53">
        <w:rPr>
          <w:spacing w:val="-7"/>
        </w:rPr>
        <w:t xml:space="preserve"> </w:t>
      </w:r>
      <w:r>
        <w:t>a</w:t>
      </w:r>
      <w:r w:rsidRPr="00A80E53">
        <w:rPr>
          <w:spacing w:val="-7"/>
        </w:rPr>
        <w:t xml:space="preserve"> </w:t>
      </w:r>
      <w:r>
        <w:t>gran escala producto de actividades de criminalidad organizada cometida por miembros de</w:t>
      </w:r>
      <w:r w:rsidRPr="00A80E53">
        <w:rPr>
          <w:spacing w:val="-1"/>
        </w:rPr>
        <w:t xml:space="preserve"> </w:t>
      </w:r>
      <w:r>
        <w:t>organizaciones</w:t>
      </w:r>
      <w:r w:rsidRPr="00A80E53">
        <w:rPr>
          <w:spacing w:val="-1"/>
        </w:rPr>
        <w:t xml:space="preserve"> </w:t>
      </w:r>
      <w:r>
        <w:t>criminales</w:t>
      </w:r>
      <w:r w:rsidRPr="00A80E53">
        <w:rPr>
          <w:spacing w:val="-1"/>
        </w:rPr>
        <w:t xml:space="preserve"> </w:t>
      </w:r>
      <w:r>
        <w:t>y</w:t>
      </w:r>
      <w:r w:rsidRPr="00A80E53">
        <w:rPr>
          <w:spacing w:val="-1"/>
        </w:rPr>
        <w:t xml:space="preserve"> </w:t>
      </w:r>
      <w:r>
        <w:t>de</w:t>
      </w:r>
      <w:r w:rsidRPr="00A80E53">
        <w:rPr>
          <w:spacing w:val="-1"/>
        </w:rPr>
        <w:t xml:space="preserve"> </w:t>
      </w:r>
      <w:r>
        <w:t>sus</w:t>
      </w:r>
      <w:r w:rsidRPr="00A80E53">
        <w:rPr>
          <w:spacing w:val="-2"/>
        </w:rPr>
        <w:t xml:space="preserve"> </w:t>
      </w:r>
      <w:r>
        <w:t>redes</w:t>
      </w:r>
      <w:r w:rsidRPr="00A80E53">
        <w:rPr>
          <w:spacing w:val="-1"/>
        </w:rPr>
        <w:t xml:space="preserve"> </w:t>
      </w:r>
      <w:r>
        <w:t>de</w:t>
      </w:r>
      <w:r w:rsidRPr="00A80E53">
        <w:rPr>
          <w:spacing w:val="-1"/>
        </w:rPr>
        <w:t xml:space="preserve"> </w:t>
      </w:r>
      <w:r>
        <w:t>apoyo,</w:t>
      </w:r>
      <w:r w:rsidRPr="00A80E53">
        <w:rPr>
          <w:spacing w:val="-1"/>
        </w:rPr>
        <w:t xml:space="preserve"> </w:t>
      </w:r>
      <w:r>
        <w:t>y,</w:t>
      </w:r>
      <w:r w:rsidRPr="00A80E53">
        <w:rPr>
          <w:spacing w:val="-1"/>
        </w:rPr>
        <w:t xml:space="preserve"> </w:t>
      </w:r>
      <w:r>
        <w:t>respecto</w:t>
      </w:r>
      <w:r w:rsidRPr="00A80E53">
        <w:rPr>
          <w:spacing w:val="-1"/>
        </w:rPr>
        <w:t xml:space="preserve"> </w:t>
      </w:r>
      <w:r>
        <w:t>a</w:t>
      </w:r>
      <w:r w:rsidRPr="00A80E53">
        <w:rPr>
          <w:spacing w:val="-1"/>
        </w:rPr>
        <w:t xml:space="preserve"> </w:t>
      </w:r>
      <w:r>
        <w:t>estos</w:t>
      </w:r>
      <w:r w:rsidRPr="00A80E53">
        <w:rPr>
          <w:spacing w:val="-1"/>
        </w:rPr>
        <w:t xml:space="preserve"> </w:t>
      </w:r>
      <w:r>
        <w:t>hechos,</w:t>
      </w:r>
      <w:r w:rsidRPr="00A80E53">
        <w:rPr>
          <w:spacing w:val="-1"/>
        </w:rPr>
        <w:t xml:space="preserve"> </w:t>
      </w:r>
      <w:r>
        <w:t>las compulsas de Justicia y Paz y de toda la jurisdicción ordinaria.</w:t>
      </w:r>
    </w:p>
    <w:p w:rsidR="0011361F" w:rsidRDefault="00AF18A5" w:rsidP="004A6EF4">
      <w:pPr>
        <w:pStyle w:val="Ttulo3"/>
        <w:numPr>
          <w:ilvl w:val="1"/>
          <w:numId w:val="28"/>
        </w:numPr>
      </w:pPr>
      <w:bookmarkStart w:id="1619" w:name="5.4._Reconocimiento_de_la_violencia_cont"/>
      <w:bookmarkStart w:id="1620" w:name="_Toc112399706"/>
      <w:bookmarkEnd w:id="1619"/>
      <w:r w:rsidRPr="00A80E53">
        <w:t>Reconocimiento</w:t>
      </w:r>
      <w:r>
        <w:rPr>
          <w:spacing w:val="-4"/>
        </w:rPr>
        <w:t xml:space="preserve"> </w:t>
      </w:r>
      <w:r>
        <w:t>de</w:t>
      </w:r>
      <w:r>
        <w:rPr>
          <w:spacing w:val="-2"/>
        </w:rPr>
        <w:t xml:space="preserve"> </w:t>
      </w:r>
      <w:r>
        <w:t>la</w:t>
      </w:r>
      <w:r>
        <w:rPr>
          <w:spacing w:val="-2"/>
        </w:rPr>
        <w:t xml:space="preserve"> </w:t>
      </w:r>
      <w:r>
        <w:t>violencia</w:t>
      </w:r>
      <w:r>
        <w:rPr>
          <w:spacing w:val="-3"/>
        </w:rPr>
        <w:t xml:space="preserve"> </w:t>
      </w:r>
      <w:r>
        <w:t>contra</w:t>
      </w:r>
      <w:r>
        <w:rPr>
          <w:spacing w:val="-1"/>
        </w:rPr>
        <w:t xml:space="preserve"> </w:t>
      </w:r>
      <w:r>
        <w:t>el</w:t>
      </w:r>
      <w:r>
        <w:rPr>
          <w:spacing w:val="-2"/>
        </w:rPr>
        <w:t xml:space="preserve"> </w:t>
      </w:r>
      <w:r>
        <w:t>sistema</w:t>
      </w:r>
      <w:r>
        <w:rPr>
          <w:spacing w:val="-3"/>
        </w:rPr>
        <w:t xml:space="preserve"> </w:t>
      </w:r>
      <w:r>
        <w:t>judicial</w:t>
      </w:r>
      <w:r>
        <w:rPr>
          <w:spacing w:val="-2"/>
        </w:rPr>
        <w:t xml:space="preserve"> </w:t>
      </w:r>
      <w:r>
        <w:t>y</w:t>
      </w:r>
      <w:r>
        <w:rPr>
          <w:spacing w:val="-1"/>
        </w:rPr>
        <w:t xml:space="preserve"> </w:t>
      </w:r>
      <w:r>
        <w:t>sus</w:t>
      </w:r>
      <w:r>
        <w:rPr>
          <w:spacing w:val="-1"/>
        </w:rPr>
        <w:t xml:space="preserve"> </w:t>
      </w:r>
      <w:r>
        <w:rPr>
          <w:spacing w:val="-2"/>
        </w:rPr>
        <w:t>funcionarios</w:t>
      </w:r>
      <w:bookmarkEnd w:id="1620"/>
    </w:p>
    <w:p w:rsidR="0011361F" w:rsidRDefault="00AF18A5" w:rsidP="00893B69">
      <w:r>
        <w:t>Mediano</w:t>
      </w:r>
      <w:r>
        <w:rPr>
          <w:spacing w:val="-3"/>
        </w:rPr>
        <w:t xml:space="preserve"> </w:t>
      </w:r>
      <w:r>
        <w:rPr>
          <w:spacing w:val="-2"/>
        </w:rPr>
        <w:t>plazo</w:t>
      </w:r>
    </w:p>
    <w:p w:rsidR="003804AC" w:rsidRDefault="00AF18A5" w:rsidP="004A6EF4">
      <w:pPr>
        <w:pStyle w:val="Prrafodelista"/>
        <w:numPr>
          <w:ilvl w:val="0"/>
          <w:numId w:val="31"/>
        </w:numPr>
      </w:pPr>
      <w:bookmarkStart w:id="1621" w:name="_bookmark1407"/>
      <w:bookmarkEnd w:id="1621"/>
      <w:r>
        <w:t>Al Museo Nacional de la Memoria y a las iniciativas de memoria, adelantar procesos para preservar la memoria histórica de la violencia ejercida contra el sistema de justicia, víctimas y testigos, sus causas y los daños que padecieron. Estos procesos deben traducirse en expresiones, muestras y exposiciones en el Museo de la Memoria nacional y los distintos museos distritales, municipales y militares.</w:t>
      </w:r>
    </w:p>
    <w:p w:rsidR="0011361F" w:rsidRDefault="00AF18A5" w:rsidP="004A6EF4">
      <w:pPr>
        <w:pStyle w:val="Ttulo3"/>
        <w:numPr>
          <w:ilvl w:val="1"/>
          <w:numId w:val="28"/>
        </w:numPr>
      </w:pPr>
      <w:bookmarkStart w:id="1622" w:name="5.5._Acceso_a_la_justicia_local"/>
      <w:bookmarkStart w:id="1623" w:name="_Toc112399707"/>
      <w:bookmarkEnd w:id="1622"/>
      <w:r>
        <w:t>Acceso</w:t>
      </w:r>
      <w:r>
        <w:rPr>
          <w:spacing w:val="-1"/>
        </w:rPr>
        <w:t xml:space="preserve"> </w:t>
      </w:r>
      <w:r>
        <w:t>a</w:t>
      </w:r>
      <w:r>
        <w:rPr>
          <w:spacing w:val="-1"/>
        </w:rPr>
        <w:t xml:space="preserve"> </w:t>
      </w:r>
      <w:r>
        <w:t>la</w:t>
      </w:r>
      <w:r>
        <w:rPr>
          <w:spacing w:val="-1"/>
        </w:rPr>
        <w:t xml:space="preserve"> </w:t>
      </w:r>
      <w:r w:rsidRPr="00893B69">
        <w:t>justicia</w:t>
      </w:r>
      <w:r>
        <w:rPr>
          <w:spacing w:val="-2"/>
        </w:rPr>
        <w:t xml:space="preserve"> local</w:t>
      </w:r>
      <w:bookmarkEnd w:id="1623"/>
    </w:p>
    <w:p w:rsidR="0011361F" w:rsidRDefault="00AF18A5" w:rsidP="00647037">
      <w:r>
        <w:t>Mediano</w:t>
      </w:r>
      <w:r>
        <w:rPr>
          <w:spacing w:val="-3"/>
        </w:rPr>
        <w:t xml:space="preserve"> </w:t>
      </w:r>
      <w:r>
        <w:rPr>
          <w:spacing w:val="-2"/>
        </w:rPr>
        <w:t>plazo</w:t>
      </w:r>
    </w:p>
    <w:p w:rsidR="003804AC" w:rsidRDefault="00AF18A5" w:rsidP="004A6EF4">
      <w:pPr>
        <w:pStyle w:val="Prrafodelista"/>
        <w:numPr>
          <w:ilvl w:val="0"/>
          <w:numId w:val="31"/>
        </w:numPr>
      </w:pPr>
      <w:r>
        <w:t xml:space="preserve">Al Congreso de la República, al Gobierno Nacional y a las autoridades territoriales, incluidas las autoridades étnicas, con apoyo de la Rama Judicial y de la Fiscalía General de la Nación, </w:t>
      </w:r>
      <w:r w:rsidRPr="00647037">
        <w:rPr>
          <w:b/>
        </w:rPr>
        <w:t>mejorar el acceso a la justicia de los ciudadanos, en particular de quienes viven en zonas rurales, a través de mecanismos judiciales y no judiciales</w:t>
      </w:r>
      <w:r>
        <w:t xml:space="preserve">, con incorporación de los enfoques étnico, de género y de derechos de las mujeres. Para esto, se </w:t>
      </w:r>
      <w:r w:rsidRPr="00647037">
        <w:rPr>
          <w:spacing w:val="-2"/>
        </w:rPr>
        <w:t>sugiere:</w:t>
      </w:r>
    </w:p>
    <w:p w:rsidR="003804AC" w:rsidRDefault="00AF18A5" w:rsidP="004A6EF4">
      <w:pPr>
        <w:pStyle w:val="Prrafodelista"/>
        <w:numPr>
          <w:ilvl w:val="0"/>
          <w:numId w:val="46"/>
        </w:numPr>
      </w:pPr>
      <w:r w:rsidRPr="00647037">
        <w:rPr>
          <w:b/>
        </w:rPr>
        <w:lastRenderedPageBreak/>
        <w:t>Tramitar y expedir un proyecto de ley para crear una jurisdicción agraria</w:t>
      </w:r>
      <w:r w:rsidR="00647037">
        <w:rPr>
          <w:rStyle w:val="Refdenotaalpie"/>
          <w:b/>
        </w:rPr>
        <w:footnoteReference w:id="1249"/>
      </w:r>
      <w:r w:rsidRPr="00647037">
        <w:rPr>
          <w:spacing w:val="-5"/>
        </w:rPr>
        <w:t xml:space="preserve"> </w:t>
      </w:r>
      <w:r>
        <w:t>con</w:t>
      </w:r>
      <w:r w:rsidRPr="00647037">
        <w:rPr>
          <w:spacing w:val="-7"/>
        </w:rPr>
        <w:t xml:space="preserve"> </w:t>
      </w:r>
      <w:r>
        <w:t>herramientas</w:t>
      </w:r>
      <w:r w:rsidRPr="00647037">
        <w:rPr>
          <w:spacing w:val="-6"/>
        </w:rPr>
        <w:t xml:space="preserve"> </w:t>
      </w:r>
      <w:r>
        <w:t>institucionales,</w:t>
      </w:r>
      <w:r w:rsidRPr="00647037">
        <w:rPr>
          <w:spacing w:val="-6"/>
        </w:rPr>
        <w:t xml:space="preserve"> </w:t>
      </w:r>
      <w:r>
        <w:t>procesales,</w:t>
      </w:r>
      <w:r w:rsidRPr="00647037">
        <w:rPr>
          <w:spacing w:val="-7"/>
        </w:rPr>
        <w:t xml:space="preserve"> </w:t>
      </w:r>
      <w:r>
        <w:t>funcionarios</w:t>
      </w:r>
      <w:r w:rsidRPr="00647037">
        <w:rPr>
          <w:spacing w:val="-6"/>
        </w:rPr>
        <w:t xml:space="preserve"> </w:t>
      </w:r>
      <w:r>
        <w:t>y</w:t>
      </w:r>
      <w:r w:rsidRPr="00647037">
        <w:rPr>
          <w:spacing w:val="-7"/>
        </w:rPr>
        <w:t xml:space="preserve"> </w:t>
      </w:r>
      <w:r>
        <w:t>auxiliares</w:t>
      </w:r>
      <w:r w:rsidRPr="00647037">
        <w:rPr>
          <w:spacing w:val="-6"/>
        </w:rPr>
        <w:t xml:space="preserve"> </w:t>
      </w:r>
      <w:r>
        <w:t>de justicia especializados y métodos alternativos de resolución de conflictos que le faciliten</w:t>
      </w:r>
      <w:r w:rsidRPr="00647037">
        <w:rPr>
          <w:spacing w:val="-5"/>
        </w:rPr>
        <w:t xml:space="preserve"> </w:t>
      </w:r>
      <w:r>
        <w:t>a</w:t>
      </w:r>
      <w:r w:rsidRPr="00647037">
        <w:rPr>
          <w:spacing w:val="-4"/>
        </w:rPr>
        <w:t xml:space="preserve"> </w:t>
      </w:r>
      <w:r>
        <w:t>los</w:t>
      </w:r>
      <w:r w:rsidRPr="00647037">
        <w:rPr>
          <w:spacing w:val="-5"/>
        </w:rPr>
        <w:t xml:space="preserve"> </w:t>
      </w:r>
      <w:r>
        <w:t>ciudadanos</w:t>
      </w:r>
      <w:r w:rsidRPr="00647037">
        <w:rPr>
          <w:spacing w:val="-5"/>
        </w:rPr>
        <w:t xml:space="preserve"> </w:t>
      </w:r>
      <w:r>
        <w:t>resolver</w:t>
      </w:r>
      <w:r w:rsidRPr="00647037">
        <w:rPr>
          <w:spacing w:val="-4"/>
        </w:rPr>
        <w:t xml:space="preserve"> </w:t>
      </w:r>
      <w:r>
        <w:t>y</w:t>
      </w:r>
      <w:r w:rsidRPr="00647037">
        <w:rPr>
          <w:spacing w:val="-6"/>
        </w:rPr>
        <w:t xml:space="preserve"> </w:t>
      </w:r>
      <w:r>
        <w:t>evitar</w:t>
      </w:r>
      <w:r w:rsidRPr="00647037">
        <w:rPr>
          <w:spacing w:val="-4"/>
        </w:rPr>
        <w:t xml:space="preserve"> </w:t>
      </w:r>
      <w:r>
        <w:t>el</w:t>
      </w:r>
      <w:r w:rsidRPr="00647037">
        <w:rPr>
          <w:spacing w:val="-4"/>
        </w:rPr>
        <w:t xml:space="preserve"> </w:t>
      </w:r>
      <w:r>
        <w:t>escalamiento</w:t>
      </w:r>
      <w:r w:rsidRPr="00647037">
        <w:rPr>
          <w:spacing w:val="-5"/>
        </w:rPr>
        <w:t xml:space="preserve"> </w:t>
      </w:r>
      <w:r>
        <w:t>de</w:t>
      </w:r>
      <w:r w:rsidRPr="00647037">
        <w:rPr>
          <w:spacing w:val="-4"/>
        </w:rPr>
        <w:t xml:space="preserve"> </w:t>
      </w:r>
      <w:r>
        <w:t>las</w:t>
      </w:r>
      <w:r w:rsidRPr="00647037">
        <w:rPr>
          <w:spacing w:val="-4"/>
        </w:rPr>
        <w:t xml:space="preserve"> </w:t>
      </w:r>
      <w:r>
        <w:t>controversias</w:t>
      </w:r>
      <w:r w:rsidRPr="00647037">
        <w:rPr>
          <w:spacing w:val="-4"/>
        </w:rPr>
        <w:t xml:space="preserve"> </w:t>
      </w:r>
      <w:r>
        <w:t>sobre el uso, la tenencia y la propiedad del suelo rural, incluidas aquellas de carácter ambiental. Lo anterior debe tener en cuenta la articulación con mecanismos propios de las justicias comunitarias, cuando sean pertinentes.</w:t>
      </w:r>
    </w:p>
    <w:p w:rsidR="003804AC" w:rsidRDefault="00AF18A5" w:rsidP="004A6EF4">
      <w:pPr>
        <w:pStyle w:val="Prrafodelista"/>
        <w:numPr>
          <w:ilvl w:val="0"/>
          <w:numId w:val="46"/>
        </w:numPr>
      </w:pPr>
      <w:r>
        <w:t xml:space="preserve">Diseñar y promover una política pública de </w:t>
      </w:r>
      <w:r w:rsidRPr="00647037">
        <w:rPr>
          <w:b/>
        </w:rPr>
        <w:t>articulación de la jurisdicción ordinaria y las justicias propias de los pueblos étnicos</w:t>
      </w:r>
      <w:r>
        <w:t>, que se construya conjuntamente</w:t>
      </w:r>
      <w:r w:rsidRPr="00647037">
        <w:rPr>
          <w:spacing w:val="-8"/>
        </w:rPr>
        <w:t xml:space="preserve"> </w:t>
      </w:r>
      <w:r>
        <w:t>con</w:t>
      </w:r>
      <w:r w:rsidRPr="00647037">
        <w:rPr>
          <w:spacing w:val="-8"/>
        </w:rPr>
        <w:t xml:space="preserve"> </w:t>
      </w:r>
      <w:r>
        <w:t>sus</w:t>
      </w:r>
      <w:r w:rsidRPr="00647037">
        <w:rPr>
          <w:spacing w:val="-8"/>
        </w:rPr>
        <w:t xml:space="preserve"> </w:t>
      </w:r>
      <w:r>
        <w:t>autoridades</w:t>
      </w:r>
      <w:r w:rsidRPr="00647037">
        <w:rPr>
          <w:spacing w:val="-8"/>
        </w:rPr>
        <w:t xml:space="preserve"> </w:t>
      </w:r>
      <w:r>
        <w:t>representativas.</w:t>
      </w:r>
      <w:r w:rsidRPr="00647037">
        <w:rPr>
          <w:spacing w:val="-8"/>
        </w:rPr>
        <w:t xml:space="preserve"> </w:t>
      </w:r>
      <w:r>
        <w:t>Como</w:t>
      </w:r>
      <w:r w:rsidRPr="00647037">
        <w:rPr>
          <w:spacing w:val="-8"/>
        </w:rPr>
        <w:t xml:space="preserve"> </w:t>
      </w:r>
      <w:r>
        <w:t>parte</w:t>
      </w:r>
      <w:r w:rsidRPr="00647037">
        <w:rPr>
          <w:spacing w:val="-8"/>
        </w:rPr>
        <w:t xml:space="preserve"> </w:t>
      </w:r>
      <w:r>
        <w:t>de</w:t>
      </w:r>
      <w:r w:rsidRPr="00647037">
        <w:rPr>
          <w:spacing w:val="-9"/>
        </w:rPr>
        <w:t xml:space="preserve"> </w:t>
      </w:r>
      <w:r>
        <w:t>la</w:t>
      </w:r>
      <w:r w:rsidRPr="00647037">
        <w:rPr>
          <w:spacing w:val="-8"/>
        </w:rPr>
        <w:t xml:space="preserve"> </w:t>
      </w:r>
      <w:r>
        <w:t>política</w:t>
      </w:r>
      <w:r w:rsidRPr="00647037">
        <w:rPr>
          <w:spacing w:val="-8"/>
        </w:rPr>
        <w:t xml:space="preserve"> </w:t>
      </w:r>
      <w:r>
        <w:t>se</w:t>
      </w:r>
      <w:r w:rsidRPr="00647037">
        <w:rPr>
          <w:spacing w:val="-8"/>
        </w:rPr>
        <w:t xml:space="preserve"> </w:t>
      </w:r>
      <w:r>
        <w:t>debe promover,</w:t>
      </w:r>
      <w:r w:rsidRPr="00647037">
        <w:rPr>
          <w:spacing w:val="45"/>
        </w:rPr>
        <w:t xml:space="preserve"> </w:t>
      </w:r>
      <w:r>
        <w:t>en</w:t>
      </w:r>
      <w:r w:rsidRPr="00647037">
        <w:rPr>
          <w:spacing w:val="48"/>
        </w:rPr>
        <w:t xml:space="preserve"> </w:t>
      </w:r>
      <w:r>
        <w:t>el</w:t>
      </w:r>
      <w:r w:rsidRPr="00647037">
        <w:rPr>
          <w:spacing w:val="47"/>
        </w:rPr>
        <w:t xml:space="preserve"> </w:t>
      </w:r>
      <w:r>
        <w:t>marco</w:t>
      </w:r>
      <w:r w:rsidRPr="00647037">
        <w:rPr>
          <w:spacing w:val="46"/>
        </w:rPr>
        <w:t xml:space="preserve"> </w:t>
      </w:r>
      <w:r>
        <w:t>de</w:t>
      </w:r>
      <w:r w:rsidRPr="00647037">
        <w:rPr>
          <w:spacing w:val="47"/>
        </w:rPr>
        <w:t xml:space="preserve"> </w:t>
      </w:r>
      <w:r>
        <w:t>la</w:t>
      </w:r>
      <w:r w:rsidRPr="00647037">
        <w:rPr>
          <w:spacing w:val="48"/>
        </w:rPr>
        <w:t xml:space="preserve"> </w:t>
      </w:r>
      <w:r>
        <w:t>Mesa</w:t>
      </w:r>
      <w:r w:rsidRPr="00647037">
        <w:rPr>
          <w:spacing w:val="45"/>
        </w:rPr>
        <w:t xml:space="preserve"> </w:t>
      </w:r>
      <w:r>
        <w:t>Permanente</w:t>
      </w:r>
      <w:r w:rsidRPr="00647037">
        <w:rPr>
          <w:spacing w:val="48"/>
        </w:rPr>
        <w:t xml:space="preserve"> </w:t>
      </w:r>
      <w:r>
        <w:t>de</w:t>
      </w:r>
      <w:r w:rsidRPr="00647037">
        <w:rPr>
          <w:spacing w:val="47"/>
        </w:rPr>
        <w:t xml:space="preserve"> </w:t>
      </w:r>
      <w:r>
        <w:t>Concertación</w:t>
      </w:r>
      <w:r w:rsidRPr="00647037">
        <w:rPr>
          <w:spacing w:val="48"/>
        </w:rPr>
        <w:t xml:space="preserve"> </w:t>
      </w:r>
      <w:r>
        <w:t>de</w:t>
      </w:r>
      <w:r w:rsidRPr="00647037">
        <w:rPr>
          <w:spacing w:val="47"/>
        </w:rPr>
        <w:t xml:space="preserve"> </w:t>
      </w:r>
      <w:r>
        <w:t>los</w:t>
      </w:r>
      <w:r w:rsidRPr="00647037">
        <w:rPr>
          <w:spacing w:val="48"/>
        </w:rPr>
        <w:t xml:space="preserve"> </w:t>
      </w:r>
      <w:r w:rsidRPr="00647037">
        <w:rPr>
          <w:spacing w:val="-2"/>
        </w:rPr>
        <w:t>Pueblos</w:t>
      </w:r>
      <w:bookmarkStart w:id="1624" w:name="_bookmark1409"/>
      <w:bookmarkEnd w:id="1624"/>
      <w:r w:rsidR="00647037">
        <w:rPr>
          <w:spacing w:val="-2"/>
        </w:rPr>
        <w:t xml:space="preserve"> </w:t>
      </w:r>
      <w:r>
        <w:t>Indígenas, la creación de la Ley de articulación de la Jurisdicción Especial Indígena y la jurisdicción ordinaria</w:t>
      </w:r>
      <w:r w:rsidR="00647037">
        <w:rPr>
          <w:rStyle w:val="Refdenotaalpie"/>
        </w:rPr>
        <w:footnoteReference w:id="1250"/>
      </w:r>
      <w:r>
        <w:t>.</w:t>
      </w:r>
    </w:p>
    <w:p w:rsidR="003804AC" w:rsidRDefault="00AF18A5" w:rsidP="004A6EF4">
      <w:pPr>
        <w:pStyle w:val="Prrafodelista"/>
        <w:numPr>
          <w:ilvl w:val="0"/>
          <w:numId w:val="46"/>
        </w:numPr>
      </w:pPr>
      <w:r>
        <w:t>Crear o fortalecer las capacidades institucionales</w:t>
      </w:r>
      <w:r w:rsidR="00647037">
        <w:rPr>
          <w:rStyle w:val="Refdenotaalpie"/>
        </w:rPr>
        <w:footnoteReference w:id="1251"/>
      </w:r>
      <w:r>
        <w:t>, tanto municipales como departamentales, en materia de justicia y resolución de conflictos con los propósitos de articular y reconocer en igualdad la justicia formal y las distintas justicias comunitarias, y garantizar la formación y empoderamiento de actores comunitarios</w:t>
      </w:r>
      <w:r w:rsidR="00647037">
        <w:rPr>
          <w:rStyle w:val="Refdenotaalpie"/>
        </w:rPr>
        <w:footnoteReference w:id="1252"/>
      </w:r>
      <w:r>
        <w:t>. Así mismo, es necesario profundizar los programas y prácticas de justicia</w:t>
      </w:r>
      <w:r w:rsidRPr="00647037">
        <w:rPr>
          <w:spacing w:val="-1"/>
        </w:rPr>
        <w:t xml:space="preserve"> </w:t>
      </w:r>
      <w:r>
        <w:t>restaurativa en</w:t>
      </w:r>
      <w:r w:rsidRPr="00647037">
        <w:rPr>
          <w:spacing w:val="-1"/>
        </w:rPr>
        <w:t xml:space="preserve"> </w:t>
      </w:r>
      <w:r>
        <w:t>toda la oferta</w:t>
      </w:r>
      <w:r w:rsidRPr="00647037">
        <w:rPr>
          <w:spacing w:val="-1"/>
        </w:rPr>
        <w:t xml:space="preserve"> </w:t>
      </w:r>
      <w:r>
        <w:t xml:space="preserve">de resolución de conflictos y de administración de justicia, para </w:t>
      </w:r>
      <w:r>
        <w:lastRenderedPageBreak/>
        <w:t xml:space="preserve">privilegiar estrategias que restablezcan los lazos comunitarios, reparen los daños causados por el ofensor y complementen los enfoques puramente </w:t>
      </w:r>
      <w:r w:rsidRPr="00647037">
        <w:rPr>
          <w:spacing w:val="-2"/>
        </w:rPr>
        <w:t>retributivos.</w:t>
      </w:r>
    </w:p>
    <w:p w:rsidR="00647037" w:rsidRDefault="00AF18A5" w:rsidP="004A6EF4">
      <w:pPr>
        <w:pStyle w:val="Prrafodelista"/>
        <w:numPr>
          <w:ilvl w:val="0"/>
          <w:numId w:val="46"/>
        </w:numPr>
      </w:pPr>
      <w:r>
        <w:t>Impulsar procesos de resolución de conflictos territoriales entre pueblos étnicos y comunidades campesinas con el fin construir verdaderos ejercicios de gobernanza intercultural.</w:t>
      </w:r>
    </w:p>
    <w:p w:rsidR="00647037" w:rsidRDefault="00647037">
      <w:pPr>
        <w:spacing w:before="0" w:after="0" w:line="240" w:lineRule="auto"/>
      </w:pPr>
      <w:r>
        <w:br w:type="page"/>
      </w:r>
    </w:p>
    <w:p w:rsidR="0011361F" w:rsidRDefault="00AF18A5" w:rsidP="004A6EF4">
      <w:pPr>
        <w:pStyle w:val="Ttulo2"/>
        <w:numPr>
          <w:ilvl w:val="0"/>
          <w:numId w:val="28"/>
        </w:numPr>
      </w:pPr>
      <w:bookmarkStart w:id="1625" w:name="_bookmark1410"/>
      <w:bookmarkStart w:id="1626" w:name="_bookmark1411"/>
      <w:bookmarkStart w:id="1627" w:name="_bookmark1412"/>
      <w:bookmarkStart w:id="1628" w:name="6._PARA_UNA_NUEVA_VISIÓN_DE_SEGURIDAD_PA"/>
      <w:bookmarkStart w:id="1629" w:name="_Toc112399708"/>
      <w:bookmarkEnd w:id="1625"/>
      <w:bookmarkEnd w:id="1626"/>
      <w:bookmarkEnd w:id="1627"/>
      <w:bookmarkEnd w:id="1628"/>
      <w:r>
        <w:rPr>
          <w:w w:val="95"/>
        </w:rPr>
        <w:lastRenderedPageBreak/>
        <w:t>PARA</w:t>
      </w:r>
      <w:r>
        <w:rPr>
          <w:spacing w:val="18"/>
        </w:rPr>
        <w:t xml:space="preserve"> </w:t>
      </w:r>
      <w:r>
        <w:rPr>
          <w:w w:val="95"/>
        </w:rPr>
        <w:t>UNA</w:t>
      </w:r>
      <w:r>
        <w:rPr>
          <w:spacing w:val="18"/>
        </w:rPr>
        <w:t xml:space="preserve"> </w:t>
      </w:r>
      <w:r>
        <w:rPr>
          <w:w w:val="95"/>
        </w:rPr>
        <w:t>NUEVA</w:t>
      </w:r>
      <w:r>
        <w:rPr>
          <w:spacing w:val="16"/>
        </w:rPr>
        <w:t xml:space="preserve"> </w:t>
      </w:r>
      <w:r>
        <w:rPr>
          <w:w w:val="95"/>
        </w:rPr>
        <w:t>VISIÓN</w:t>
      </w:r>
      <w:r>
        <w:rPr>
          <w:spacing w:val="15"/>
        </w:rPr>
        <w:t xml:space="preserve"> </w:t>
      </w:r>
      <w:r>
        <w:rPr>
          <w:w w:val="95"/>
        </w:rPr>
        <w:t>DE</w:t>
      </w:r>
      <w:r>
        <w:rPr>
          <w:spacing w:val="15"/>
        </w:rPr>
        <w:t xml:space="preserve"> </w:t>
      </w:r>
      <w:r>
        <w:rPr>
          <w:w w:val="95"/>
        </w:rPr>
        <w:t>SEGURIDAD</w:t>
      </w:r>
      <w:r>
        <w:rPr>
          <w:spacing w:val="15"/>
        </w:rPr>
        <w:t xml:space="preserve"> </w:t>
      </w:r>
      <w:r>
        <w:rPr>
          <w:w w:val="95"/>
        </w:rPr>
        <w:t>PARA</w:t>
      </w:r>
      <w:r>
        <w:rPr>
          <w:spacing w:val="15"/>
        </w:rPr>
        <w:t xml:space="preserve"> </w:t>
      </w:r>
      <w:r>
        <w:rPr>
          <w:w w:val="95"/>
        </w:rPr>
        <w:t>LA</w:t>
      </w:r>
      <w:r>
        <w:rPr>
          <w:spacing w:val="18"/>
        </w:rPr>
        <w:t xml:space="preserve"> </w:t>
      </w:r>
      <w:r>
        <w:rPr>
          <w:spacing w:val="-5"/>
          <w:w w:val="95"/>
        </w:rPr>
        <w:t>PAZ</w:t>
      </w:r>
      <w:bookmarkEnd w:id="1629"/>
    </w:p>
    <w:p w:rsidR="003804AC" w:rsidRDefault="00AF18A5" w:rsidP="001A4506">
      <w:r>
        <w:t>La</w:t>
      </w:r>
      <w:r>
        <w:rPr>
          <w:spacing w:val="-1"/>
        </w:rPr>
        <w:t xml:space="preserve"> </w:t>
      </w:r>
      <w:r>
        <w:t>constitución</w:t>
      </w:r>
      <w:r>
        <w:rPr>
          <w:spacing w:val="-1"/>
        </w:rPr>
        <w:t xml:space="preserve"> </w:t>
      </w:r>
      <w:r>
        <w:t>y</w:t>
      </w:r>
      <w:r>
        <w:rPr>
          <w:spacing w:val="-2"/>
        </w:rPr>
        <w:t xml:space="preserve"> </w:t>
      </w:r>
      <w:r>
        <w:t>la</w:t>
      </w:r>
      <w:r>
        <w:rPr>
          <w:spacing w:val="-1"/>
        </w:rPr>
        <w:t xml:space="preserve"> </w:t>
      </w:r>
      <w:r>
        <w:t>ley</w:t>
      </w:r>
      <w:r>
        <w:rPr>
          <w:spacing w:val="-2"/>
        </w:rPr>
        <w:t xml:space="preserve"> </w:t>
      </w:r>
      <w:r>
        <w:t>se</w:t>
      </w:r>
      <w:r>
        <w:rPr>
          <w:spacing w:val="-3"/>
        </w:rPr>
        <w:t xml:space="preserve"> </w:t>
      </w:r>
      <w:r>
        <w:t>dan</w:t>
      </w:r>
      <w:r>
        <w:rPr>
          <w:spacing w:val="-1"/>
        </w:rPr>
        <w:t xml:space="preserve"> </w:t>
      </w:r>
      <w:r>
        <w:t>en</w:t>
      </w:r>
      <w:r>
        <w:rPr>
          <w:spacing w:val="-1"/>
        </w:rPr>
        <w:t xml:space="preserve"> </w:t>
      </w:r>
      <w:r>
        <w:t>el</w:t>
      </w:r>
      <w:r>
        <w:rPr>
          <w:spacing w:val="-4"/>
        </w:rPr>
        <w:t xml:space="preserve"> </w:t>
      </w:r>
      <w:r>
        <w:t>marco</w:t>
      </w:r>
      <w:r>
        <w:rPr>
          <w:spacing w:val="-4"/>
        </w:rPr>
        <w:t xml:space="preserve"> </w:t>
      </w:r>
      <w:r>
        <w:t>de</w:t>
      </w:r>
      <w:r>
        <w:rPr>
          <w:spacing w:val="-2"/>
        </w:rPr>
        <w:t xml:space="preserve"> </w:t>
      </w:r>
      <w:r>
        <w:t>la</w:t>
      </w:r>
      <w:r>
        <w:rPr>
          <w:spacing w:val="-3"/>
        </w:rPr>
        <w:t xml:space="preserve"> </w:t>
      </w:r>
      <w:r>
        <w:t>protección</w:t>
      </w:r>
      <w:r>
        <w:rPr>
          <w:spacing w:val="-3"/>
        </w:rPr>
        <w:t xml:space="preserve"> </w:t>
      </w:r>
      <w:r>
        <w:t>a</w:t>
      </w:r>
      <w:r>
        <w:rPr>
          <w:spacing w:val="-1"/>
        </w:rPr>
        <w:t xml:space="preserve"> </w:t>
      </w:r>
      <w:r>
        <w:t>la</w:t>
      </w:r>
      <w:r>
        <w:rPr>
          <w:spacing w:val="-3"/>
        </w:rPr>
        <w:t xml:space="preserve"> </w:t>
      </w:r>
      <w:r>
        <w:t>ciudadanía.</w:t>
      </w:r>
      <w:r>
        <w:rPr>
          <w:spacing w:val="-3"/>
        </w:rPr>
        <w:t xml:space="preserve"> </w:t>
      </w:r>
      <w:r>
        <w:t>No</w:t>
      </w:r>
      <w:r>
        <w:rPr>
          <w:spacing w:val="-3"/>
        </w:rPr>
        <w:t xml:space="preserve"> </w:t>
      </w:r>
      <w:r>
        <w:t>obstante,</w:t>
      </w:r>
      <w:r>
        <w:rPr>
          <w:spacing w:val="-2"/>
        </w:rPr>
        <w:t xml:space="preserve"> </w:t>
      </w:r>
      <w:r>
        <w:t>lo</w:t>
      </w:r>
      <w:r>
        <w:rPr>
          <w:spacing w:val="-3"/>
        </w:rPr>
        <w:t xml:space="preserve"> </w:t>
      </w:r>
      <w:r>
        <w:t>que experimentamos</w:t>
      </w:r>
      <w:r>
        <w:rPr>
          <w:spacing w:val="-2"/>
        </w:rPr>
        <w:t xml:space="preserve"> </w:t>
      </w:r>
      <w:r>
        <w:t>los</w:t>
      </w:r>
      <w:r>
        <w:rPr>
          <w:spacing w:val="-2"/>
        </w:rPr>
        <w:t xml:space="preserve"> </w:t>
      </w:r>
      <w:r>
        <w:t>ciudadanos</w:t>
      </w:r>
      <w:r>
        <w:rPr>
          <w:spacing w:val="-3"/>
        </w:rPr>
        <w:t xml:space="preserve"> </w:t>
      </w:r>
      <w:r>
        <w:t>es</w:t>
      </w:r>
      <w:r>
        <w:rPr>
          <w:spacing w:val="-3"/>
        </w:rPr>
        <w:t xml:space="preserve"> </w:t>
      </w:r>
      <w:r>
        <w:t>una</w:t>
      </w:r>
      <w:r>
        <w:rPr>
          <w:spacing w:val="-3"/>
        </w:rPr>
        <w:t xml:space="preserve"> </w:t>
      </w:r>
      <w:r>
        <w:t>desconexión</w:t>
      </w:r>
      <w:r>
        <w:rPr>
          <w:spacing w:val="-3"/>
        </w:rPr>
        <w:t xml:space="preserve"> </w:t>
      </w:r>
      <w:r>
        <w:t>con</w:t>
      </w:r>
      <w:r>
        <w:rPr>
          <w:spacing w:val="-3"/>
        </w:rPr>
        <w:t xml:space="preserve"> </w:t>
      </w:r>
      <w:r>
        <w:t>estos</w:t>
      </w:r>
      <w:r>
        <w:rPr>
          <w:spacing w:val="-3"/>
        </w:rPr>
        <w:t xml:space="preserve"> </w:t>
      </w:r>
      <w:r>
        <w:t>principios</w:t>
      </w:r>
      <w:r>
        <w:rPr>
          <w:spacing w:val="-3"/>
        </w:rPr>
        <w:t xml:space="preserve"> </w:t>
      </w:r>
      <w:r>
        <w:t>por</w:t>
      </w:r>
      <w:r>
        <w:rPr>
          <w:spacing w:val="-3"/>
        </w:rPr>
        <w:t xml:space="preserve"> </w:t>
      </w:r>
      <w:r>
        <w:t>parte</w:t>
      </w:r>
      <w:r>
        <w:rPr>
          <w:spacing w:val="-3"/>
        </w:rPr>
        <w:t xml:space="preserve"> </w:t>
      </w:r>
      <w:r>
        <w:t>de</w:t>
      </w:r>
      <w:r>
        <w:rPr>
          <w:spacing w:val="-2"/>
        </w:rPr>
        <w:t xml:space="preserve"> </w:t>
      </w:r>
      <w:r>
        <w:t>la</w:t>
      </w:r>
      <w:r>
        <w:rPr>
          <w:spacing w:val="-3"/>
        </w:rPr>
        <w:t xml:space="preserve"> </w:t>
      </w:r>
      <w:r>
        <w:t>fuerza</w:t>
      </w:r>
      <w:r>
        <w:rPr>
          <w:spacing w:val="-3"/>
        </w:rPr>
        <w:t xml:space="preserve"> </w:t>
      </w:r>
      <w:r>
        <w:t>pública</w:t>
      </w:r>
      <w:r>
        <w:rPr>
          <w:spacing w:val="-3"/>
        </w:rPr>
        <w:t xml:space="preserve"> </w:t>
      </w:r>
      <w:r>
        <w:t>al servicio del gobierno y no de los ciudadanos. Que un miembro de la Policía o el Ejército agreda a un ciudadano hace que sea necesario refundar estas instituciones para que podamos volverlos a ver como</w:t>
      </w:r>
      <w:r w:rsidR="001A4506">
        <w:t xml:space="preserve"> </w:t>
      </w:r>
      <w:r>
        <w:t>amigos</w:t>
      </w:r>
      <w:r>
        <w:rPr>
          <w:spacing w:val="-3"/>
        </w:rPr>
        <w:t xml:space="preserve"> </w:t>
      </w:r>
      <w:r>
        <w:t>de</w:t>
      </w:r>
      <w:r>
        <w:rPr>
          <w:spacing w:val="-1"/>
        </w:rPr>
        <w:t xml:space="preserve"> </w:t>
      </w:r>
      <w:r>
        <w:t>la</w:t>
      </w:r>
      <w:r>
        <w:rPr>
          <w:spacing w:val="-2"/>
        </w:rPr>
        <w:t xml:space="preserve"> sociedad</w:t>
      </w:r>
      <w:r w:rsidR="001A4506">
        <w:rPr>
          <w:rStyle w:val="Refdenotaalpie"/>
          <w:spacing w:val="-2"/>
        </w:rPr>
        <w:footnoteReference w:id="1253"/>
      </w:r>
      <w:r>
        <w:tab/>
      </w:r>
      <w:r>
        <w:rPr>
          <w:spacing w:val="-10"/>
        </w:rPr>
        <w:t>.</w:t>
      </w:r>
    </w:p>
    <w:p w:rsidR="0011361F" w:rsidRDefault="00AF18A5" w:rsidP="001A4506">
      <w:r>
        <w:t>«Bueno, aquí para que esto no se vuelva a repetir en el país, es que logremos tener nosotros confianza ante las entidades como el Batallón, la Policía. Que ellos hagan muchas obras sociales. Porque es que le tenemos desconfianza a estas entidades porque […] fueron colaboradores de estos grupos armados que hicieron tanto daño. Bregar a mirar que ellos hagan algo en este momento. Eso es lo único. Y que haiga seguridad. La seguridad en el campo, en el campo y en</w:t>
      </w:r>
      <w:r>
        <w:rPr>
          <w:spacing w:val="-1"/>
        </w:rPr>
        <w:t xml:space="preserve"> </w:t>
      </w:r>
      <w:r>
        <w:t>la ciudad porque eso se ve por todos lados: la inseguridad»</w:t>
      </w:r>
      <w:r w:rsidR="001A4506">
        <w:rPr>
          <w:rStyle w:val="Refdenotaalpie"/>
        </w:rPr>
        <w:footnoteReference w:id="1254"/>
      </w:r>
      <w:r>
        <w:rPr>
          <w:spacing w:val="80"/>
        </w:rPr>
        <w:t xml:space="preserve">  </w:t>
      </w:r>
      <w:r>
        <w:t>.</w:t>
      </w:r>
    </w:p>
    <w:p w:rsidR="003804AC" w:rsidRDefault="00AF18A5" w:rsidP="001A4506">
      <w:bookmarkStart w:id="1630" w:name="_bookmark1414"/>
      <w:bookmarkStart w:id="1631" w:name="_bookmark1415"/>
      <w:bookmarkEnd w:id="1630"/>
      <w:bookmarkEnd w:id="1631"/>
      <w:r>
        <w:t>Entre los esfuerzos que son necesarios para lograr la paz es de gran importancia que la sociedad</w:t>
      </w:r>
      <w:r>
        <w:rPr>
          <w:spacing w:val="-4"/>
        </w:rPr>
        <w:t xml:space="preserve"> </w:t>
      </w:r>
      <w:r>
        <w:t>y</w:t>
      </w:r>
      <w:r>
        <w:rPr>
          <w:spacing w:val="-5"/>
        </w:rPr>
        <w:t xml:space="preserve"> </w:t>
      </w:r>
      <w:r>
        <w:t>las</w:t>
      </w:r>
      <w:r>
        <w:rPr>
          <w:spacing w:val="-3"/>
        </w:rPr>
        <w:t xml:space="preserve"> </w:t>
      </w:r>
      <w:r>
        <w:t>instituciones</w:t>
      </w:r>
      <w:r>
        <w:rPr>
          <w:spacing w:val="-3"/>
        </w:rPr>
        <w:t xml:space="preserve"> </w:t>
      </w:r>
      <w:r>
        <w:t>concibamos</w:t>
      </w:r>
      <w:r>
        <w:rPr>
          <w:spacing w:val="-4"/>
        </w:rPr>
        <w:t xml:space="preserve"> </w:t>
      </w:r>
      <w:r>
        <w:t>la</w:t>
      </w:r>
      <w:r>
        <w:rPr>
          <w:spacing w:val="-5"/>
        </w:rPr>
        <w:t xml:space="preserve"> </w:t>
      </w:r>
      <w:r>
        <w:t>seguridad</w:t>
      </w:r>
      <w:r>
        <w:rPr>
          <w:spacing w:val="-4"/>
        </w:rPr>
        <w:t xml:space="preserve"> </w:t>
      </w:r>
      <w:r>
        <w:t>de</w:t>
      </w:r>
      <w:r>
        <w:rPr>
          <w:spacing w:val="-3"/>
        </w:rPr>
        <w:t xml:space="preserve"> </w:t>
      </w:r>
      <w:r>
        <w:t>otra</w:t>
      </w:r>
      <w:r>
        <w:rPr>
          <w:spacing w:val="-5"/>
        </w:rPr>
        <w:t xml:space="preserve"> </w:t>
      </w:r>
      <w:r>
        <w:t>manera.</w:t>
      </w:r>
      <w:r>
        <w:rPr>
          <w:spacing w:val="-4"/>
        </w:rPr>
        <w:t xml:space="preserve"> </w:t>
      </w:r>
      <w:r>
        <w:t>Esta</w:t>
      </w:r>
      <w:r>
        <w:rPr>
          <w:spacing w:val="-3"/>
        </w:rPr>
        <w:t xml:space="preserve"> </w:t>
      </w:r>
      <w:r>
        <w:t>debe</w:t>
      </w:r>
      <w:r>
        <w:rPr>
          <w:spacing w:val="-3"/>
        </w:rPr>
        <w:t xml:space="preserve"> </w:t>
      </w:r>
      <w:r>
        <w:t>verse</w:t>
      </w:r>
      <w:r>
        <w:rPr>
          <w:spacing w:val="-5"/>
        </w:rPr>
        <w:t xml:space="preserve"> </w:t>
      </w:r>
      <w:r>
        <w:t>con</w:t>
      </w:r>
      <w:r>
        <w:rPr>
          <w:spacing w:val="-4"/>
        </w:rPr>
        <w:t xml:space="preserve"> </w:t>
      </w:r>
      <w:r>
        <w:t>un enfoque</w:t>
      </w:r>
      <w:r>
        <w:rPr>
          <w:spacing w:val="-15"/>
        </w:rPr>
        <w:t xml:space="preserve"> </w:t>
      </w:r>
      <w:r>
        <w:t>de</w:t>
      </w:r>
      <w:r>
        <w:rPr>
          <w:spacing w:val="-15"/>
        </w:rPr>
        <w:t xml:space="preserve"> </w:t>
      </w:r>
      <w:r>
        <w:t>construcción</w:t>
      </w:r>
      <w:r>
        <w:rPr>
          <w:spacing w:val="-15"/>
        </w:rPr>
        <w:t xml:space="preserve"> </w:t>
      </w:r>
      <w:r>
        <w:t>de</w:t>
      </w:r>
      <w:r>
        <w:rPr>
          <w:spacing w:val="-14"/>
        </w:rPr>
        <w:t xml:space="preserve"> </w:t>
      </w:r>
      <w:r>
        <w:t>paz</w:t>
      </w:r>
      <w:r>
        <w:rPr>
          <w:spacing w:val="-15"/>
        </w:rPr>
        <w:t xml:space="preserve"> </w:t>
      </w:r>
      <w:r>
        <w:t>que</w:t>
      </w:r>
      <w:r>
        <w:rPr>
          <w:spacing w:val="-14"/>
        </w:rPr>
        <w:t xml:space="preserve"> </w:t>
      </w:r>
      <w:r>
        <w:t>nos</w:t>
      </w:r>
      <w:r>
        <w:rPr>
          <w:spacing w:val="-15"/>
        </w:rPr>
        <w:t xml:space="preserve"> </w:t>
      </w:r>
      <w:r>
        <w:t>permita</w:t>
      </w:r>
      <w:r>
        <w:rPr>
          <w:spacing w:val="-14"/>
        </w:rPr>
        <w:t xml:space="preserve"> </w:t>
      </w:r>
      <w:r>
        <w:t>dejar</w:t>
      </w:r>
      <w:r>
        <w:rPr>
          <w:spacing w:val="-15"/>
        </w:rPr>
        <w:t xml:space="preserve"> </w:t>
      </w:r>
      <w:r>
        <w:t>atrás</w:t>
      </w:r>
      <w:r>
        <w:rPr>
          <w:spacing w:val="-14"/>
        </w:rPr>
        <w:t xml:space="preserve"> </w:t>
      </w:r>
      <w:r>
        <w:t>definitivamente</w:t>
      </w:r>
      <w:r>
        <w:rPr>
          <w:spacing w:val="-15"/>
        </w:rPr>
        <w:t xml:space="preserve"> </w:t>
      </w:r>
      <w:r>
        <w:t>el</w:t>
      </w:r>
      <w:r>
        <w:rPr>
          <w:spacing w:val="-15"/>
        </w:rPr>
        <w:t xml:space="preserve"> </w:t>
      </w:r>
      <w:r>
        <w:t>«modo</w:t>
      </w:r>
      <w:r>
        <w:rPr>
          <w:spacing w:val="-14"/>
        </w:rPr>
        <w:t xml:space="preserve"> </w:t>
      </w:r>
      <w:r>
        <w:t>guerra» en</w:t>
      </w:r>
      <w:r>
        <w:rPr>
          <w:spacing w:val="-5"/>
        </w:rPr>
        <w:t xml:space="preserve"> </w:t>
      </w:r>
      <w:r>
        <w:t>el</w:t>
      </w:r>
      <w:r>
        <w:rPr>
          <w:spacing w:val="-4"/>
        </w:rPr>
        <w:t xml:space="preserve"> </w:t>
      </w:r>
      <w:r>
        <w:t>que</w:t>
      </w:r>
      <w:r>
        <w:rPr>
          <w:spacing w:val="-5"/>
        </w:rPr>
        <w:t xml:space="preserve"> </w:t>
      </w:r>
      <w:r>
        <w:t>hemos</w:t>
      </w:r>
      <w:r>
        <w:rPr>
          <w:spacing w:val="-5"/>
        </w:rPr>
        <w:t xml:space="preserve"> </w:t>
      </w:r>
      <w:r>
        <w:t>vivido</w:t>
      </w:r>
      <w:r>
        <w:rPr>
          <w:spacing w:val="-6"/>
        </w:rPr>
        <w:t xml:space="preserve"> </w:t>
      </w:r>
      <w:r>
        <w:t>y</w:t>
      </w:r>
      <w:r>
        <w:rPr>
          <w:spacing w:val="-5"/>
        </w:rPr>
        <w:t xml:space="preserve"> </w:t>
      </w:r>
      <w:r>
        <w:t>reconstruir</w:t>
      </w:r>
      <w:r>
        <w:rPr>
          <w:spacing w:val="-6"/>
        </w:rPr>
        <w:t xml:space="preserve"> </w:t>
      </w:r>
      <w:r>
        <w:t>la</w:t>
      </w:r>
      <w:r>
        <w:rPr>
          <w:spacing w:val="-5"/>
        </w:rPr>
        <w:t xml:space="preserve"> </w:t>
      </w:r>
      <w:r>
        <w:t>confianza</w:t>
      </w:r>
      <w:r>
        <w:rPr>
          <w:spacing w:val="-6"/>
        </w:rPr>
        <w:t xml:space="preserve"> </w:t>
      </w:r>
      <w:r>
        <w:t>entre</w:t>
      </w:r>
      <w:r>
        <w:rPr>
          <w:spacing w:val="-6"/>
        </w:rPr>
        <w:t xml:space="preserve"> </w:t>
      </w:r>
      <w:r>
        <w:t>los</w:t>
      </w:r>
      <w:r>
        <w:rPr>
          <w:spacing w:val="-6"/>
        </w:rPr>
        <w:t xml:space="preserve"> </w:t>
      </w:r>
      <w:r>
        <w:t>ciudadanos</w:t>
      </w:r>
      <w:r>
        <w:rPr>
          <w:spacing w:val="-5"/>
        </w:rPr>
        <w:t xml:space="preserve"> </w:t>
      </w:r>
      <w:r>
        <w:t>y</w:t>
      </w:r>
      <w:r>
        <w:rPr>
          <w:spacing w:val="-5"/>
        </w:rPr>
        <w:t xml:space="preserve"> </w:t>
      </w:r>
      <w:r>
        <w:t>las</w:t>
      </w:r>
      <w:r>
        <w:rPr>
          <w:spacing w:val="-5"/>
        </w:rPr>
        <w:t xml:space="preserve"> </w:t>
      </w:r>
      <w:r>
        <w:t>instituciones,</w:t>
      </w:r>
      <w:r>
        <w:rPr>
          <w:spacing w:val="-5"/>
        </w:rPr>
        <w:t xml:space="preserve"> </w:t>
      </w:r>
      <w:r>
        <w:t>en particular la fuerza pública, como un elemento fundamental para la paz territorial y el fortalecimiento institucional.</w:t>
      </w:r>
    </w:p>
    <w:p w:rsidR="003804AC" w:rsidRDefault="00AF18A5" w:rsidP="001A4506">
      <w:r>
        <w:lastRenderedPageBreak/>
        <w:t>Si bien en el Acuerdo de Paz entre el Estado colombiano y las FARC-EP se contó con la participación</w:t>
      </w:r>
      <w:r>
        <w:rPr>
          <w:spacing w:val="-1"/>
        </w:rPr>
        <w:t xml:space="preserve"> </w:t>
      </w:r>
      <w:r>
        <w:t>activa</w:t>
      </w:r>
      <w:r>
        <w:rPr>
          <w:spacing w:val="-2"/>
        </w:rPr>
        <w:t xml:space="preserve"> </w:t>
      </w:r>
      <w:r>
        <w:t>de</w:t>
      </w:r>
      <w:r>
        <w:rPr>
          <w:spacing w:val="-2"/>
        </w:rPr>
        <w:t xml:space="preserve"> </w:t>
      </w:r>
      <w:r>
        <w:t>las</w:t>
      </w:r>
      <w:r>
        <w:rPr>
          <w:spacing w:val="-1"/>
        </w:rPr>
        <w:t xml:space="preserve"> </w:t>
      </w:r>
      <w:r>
        <w:t>Fuerzas</w:t>
      </w:r>
      <w:r>
        <w:rPr>
          <w:spacing w:val="-2"/>
        </w:rPr>
        <w:t xml:space="preserve"> </w:t>
      </w:r>
      <w:r>
        <w:t>Militares</w:t>
      </w:r>
      <w:r>
        <w:rPr>
          <w:spacing w:val="-1"/>
        </w:rPr>
        <w:t xml:space="preserve"> </w:t>
      </w:r>
      <w:r>
        <w:t>y</w:t>
      </w:r>
      <w:r>
        <w:rPr>
          <w:spacing w:val="-2"/>
        </w:rPr>
        <w:t xml:space="preserve"> </w:t>
      </w:r>
      <w:r>
        <w:t>la</w:t>
      </w:r>
      <w:r>
        <w:rPr>
          <w:spacing w:val="-1"/>
        </w:rPr>
        <w:t xml:space="preserve"> </w:t>
      </w:r>
      <w:r>
        <w:t>Policía,</w:t>
      </w:r>
      <w:r>
        <w:rPr>
          <w:spacing w:val="-2"/>
        </w:rPr>
        <w:t xml:space="preserve"> </w:t>
      </w:r>
      <w:r>
        <w:t>y</w:t>
      </w:r>
      <w:r>
        <w:rPr>
          <w:spacing w:val="-2"/>
        </w:rPr>
        <w:t xml:space="preserve"> </w:t>
      </w:r>
      <w:r>
        <w:t>si</w:t>
      </w:r>
      <w:r>
        <w:rPr>
          <w:spacing w:val="-1"/>
        </w:rPr>
        <w:t xml:space="preserve"> </w:t>
      </w:r>
      <w:r>
        <w:t>bien</w:t>
      </w:r>
      <w:r>
        <w:rPr>
          <w:spacing w:val="-1"/>
        </w:rPr>
        <w:t xml:space="preserve"> </w:t>
      </w:r>
      <w:r>
        <w:t>se</w:t>
      </w:r>
      <w:r>
        <w:rPr>
          <w:spacing w:val="-1"/>
        </w:rPr>
        <w:t xml:space="preserve"> </w:t>
      </w:r>
      <w:r>
        <w:t>abordaron</w:t>
      </w:r>
      <w:r>
        <w:rPr>
          <w:spacing w:val="-2"/>
        </w:rPr>
        <w:t xml:space="preserve"> </w:t>
      </w:r>
      <w:r>
        <w:t>temas</w:t>
      </w:r>
      <w:r>
        <w:rPr>
          <w:spacing w:val="-1"/>
        </w:rPr>
        <w:t xml:space="preserve"> </w:t>
      </w:r>
      <w:r>
        <w:t>como las garantías de seguridad para líderes y lideresas, partidos políticos, comunidades y excombatientes y sus familias, en este no se trataron discusiones más amplias y de largo alcance</w:t>
      </w:r>
      <w:r>
        <w:rPr>
          <w:spacing w:val="-1"/>
        </w:rPr>
        <w:t xml:space="preserve"> </w:t>
      </w:r>
      <w:r>
        <w:t>como</w:t>
      </w:r>
      <w:r>
        <w:rPr>
          <w:spacing w:val="-1"/>
        </w:rPr>
        <w:t xml:space="preserve"> </w:t>
      </w:r>
      <w:r>
        <w:t>la</w:t>
      </w:r>
      <w:r>
        <w:rPr>
          <w:spacing w:val="-1"/>
        </w:rPr>
        <w:t xml:space="preserve"> </w:t>
      </w:r>
      <w:r>
        <w:t>transformación</w:t>
      </w:r>
      <w:r>
        <w:rPr>
          <w:spacing w:val="-1"/>
        </w:rPr>
        <w:t xml:space="preserve"> </w:t>
      </w:r>
      <w:r>
        <w:t>del</w:t>
      </w:r>
      <w:r>
        <w:rPr>
          <w:spacing w:val="-1"/>
        </w:rPr>
        <w:t xml:space="preserve"> </w:t>
      </w:r>
      <w:r>
        <w:t>sector</w:t>
      </w:r>
      <w:r>
        <w:rPr>
          <w:spacing w:val="-2"/>
        </w:rPr>
        <w:t xml:space="preserve"> </w:t>
      </w:r>
      <w:r>
        <w:t>seguridad.</w:t>
      </w:r>
      <w:r>
        <w:rPr>
          <w:spacing w:val="-1"/>
        </w:rPr>
        <w:t xml:space="preserve"> </w:t>
      </w:r>
      <w:r>
        <w:t>Por</w:t>
      </w:r>
      <w:r>
        <w:rPr>
          <w:spacing w:val="-1"/>
        </w:rPr>
        <w:t xml:space="preserve"> </w:t>
      </w:r>
      <w:r>
        <w:t>lo</w:t>
      </w:r>
      <w:r>
        <w:rPr>
          <w:spacing w:val="-1"/>
        </w:rPr>
        <w:t xml:space="preserve"> </w:t>
      </w:r>
      <w:r>
        <w:t>anterior,</w:t>
      </w:r>
      <w:r>
        <w:rPr>
          <w:spacing w:val="-1"/>
        </w:rPr>
        <w:t xml:space="preserve"> </w:t>
      </w:r>
      <w:r>
        <w:t>la</w:t>
      </w:r>
      <w:r>
        <w:rPr>
          <w:spacing w:val="-1"/>
        </w:rPr>
        <w:t xml:space="preserve"> </w:t>
      </w:r>
      <w:r>
        <w:t>Comisión</w:t>
      </w:r>
      <w:r>
        <w:rPr>
          <w:spacing w:val="-2"/>
        </w:rPr>
        <w:t xml:space="preserve"> </w:t>
      </w:r>
      <w:r>
        <w:t>considera fundamental</w:t>
      </w:r>
      <w:r>
        <w:rPr>
          <w:spacing w:val="-6"/>
        </w:rPr>
        <w:t xml:space="preserve"> </w:t>
      </w:r>
      <w:r>
        <w:t>que</w:t>
      </w:r>
      <w:r>
        <w:rPr>
          <w:spacing w:val="-5"/>
        </w:rPr>
        <w:t xml:space="preserve"> </w:t>
      </w:r>
      <w:r>
        <w:t>se</w:t>
      </w:r>
      <w:r>
        <w:rPr>
          <w:spacing w:val="-5"/>
        </w:rPr>
        <w:t xml:space="preserve"> </w:t>
      </w:r>
      <w:r>
        <w:t>haga</w:t>
      </w:r>
      <w:r>
        <w:rPr>
          <w:spacing w:val="-6"/>
        </w:rPr>
        <w:t xml:space="preserve"> </w:t>
      </w:r>
      <w:r>
        <w:t>una</w:t>
      </w:r>
      <w:r>
        <w:rPr>
          <w:spacing w:val="-5"/>
        </w:rPr>
        <w:t xml:space="preserve"> </w:t>
      </w:r>
      <w:r>
        <w:t>reflexión</w:t>
      </w:r>
      <w:r>
        <w:rPr>
          <w:spacing w:val="-5"/>
        </w:rPr>
        <w:t xml:space="preserve"> </w:t>
      </w:r>
      <w:r>
        <w:t>sobre</w:t>
      </w:r>
      <w:r>
        <w:rPr>
          <w:spacing w:val="-5"/>
        </w:rPr>
        <w:t xml:space="preserve"> </w:t>
      </w:r>
      <w:r>
        <w:t>la</w:t>
      </w:r>
      <w:r>
        <w:rPr>
          <w:spacing w:val="-5"/>
        </w:rPr>
        <w:t xml:space="preserve"> </w:t>
      </w:r>
      <w:r>
        <w:t>visión</w:t>
      </w:r>
      <w:r>
        <w:rPr>
          <w:spacing w:val="-5"/>
        </w:rPr>
        <w:t xml:space="preserve"> </w:t>
      </w:r>
      <w:r>
        <w:t>y</w:t>
      </w:r>
      <w:r>
        <w:rPr>
          <w:spacing w:val="-5"/>
        </w:rPr>
        <w:t xml:space="preserve"> </w:t>
      </w:r>
      <w:r>
        <w:t>el</w:t>
      </w:r>
      <w:r>
        <w:rPr>
          <w:spacing w:val="-6"/>
        </w:rPr>
        <w:t xml:space="preserve"> </w:t>
      </w:r>
      <w:r>
        <w:t>sector</w:t>
      </w:r>
      <w:r>
        <w:rPr>
          <w:spacing w:val="-4"/>
        </w:rPr>
        <w:t xml:space="preserve"> </w:t>
      </w:r>
      <w:r>
        <w:t>de</w:t>
      </w:r>
      <w:r>
        <w:rPr>
          <w:spacing w:val="-5"/>
        </w:rPr>
        <w:t xml:space="preserve"> </w:t>
      </w:r>
      <w:r>
        <w:t>seguridad</w:t>
      </w:r>
      <w:r>
        <w:rPr>
          <w:spacing w:val="-5"/>
        </w:rPr>
        <w:t xml:space="preserve"> </w:t>
      </w:r>
      <w:r>
        <w:t>y</w:t>
      </w:r>
      <w:r>
        <w:rPr>
          <w:spacing w:val="-5"/>
        </w:rPr>
        <w:t xml:space="preserve"> </w:t>
      </w:r>
      <w:r>
        <w:t>defensa</w:t>
      </w:r>
      <w:r>
        <w:rPr>
          <w:spacing w:val="-5"/>
        </w:rPr>
        <w:t xml:space="preserve"> </w:t>
      </w:r>
      <w:r>
        <w:t>que se</w:t>
      </w:r>
      <w:r>
        <w:rPr>
          <w:spacing w:val="-11"/>
        </w:rPr>
        <w:t xml:space="preserve"> </w:t>
      </w:r>
      <w:r>
        <w:t>requieren</w:t>
      </w:r>
      <w:r>
        <w:rPr>
          <w:spacing w:val="-12"/>
        </w:rPr>
        <w:t xml:space="preserve"> </w:t>
      </w:r>
      <w:r>
        <w:t>para</w:t>
      </w:r>
      <w:r>
        <w:rPr>
          <w:spacing w:val="-11"/>
        </w:rPr>
        <w:t xml:space="preserve"> </w:t>
      </w:r>
      <w:r>
        <w:t>responder</w:t>
      </w:r>
      <w:r>
        <w:rPr>
          <w:spacing w:val="-10"/>
        </w:rPr>
        <w:t xml:space="preserve"> </w:t>
      </w:r>
      <w:r>
        <w:t>de</w:t>
      </w:r>
      <w:r>
        <w:rPr>
          <w:spacing w:val="-11"/>
        </w:rPr>
        <w:t xml:space="preserve"> </w:t>
      </w:r>
      <w:r>
        <w:t>mejor</w:t>
      </w:r>
      <w:r>
        <w:rPr>
          <w:spacing w:val="-10"/>
        </w:rPr>
        <w:t xml:space="preserve"> </w:t>
      </w:r>
      <w:r>
        <w:t>manera</w:t>
      </w:r>
      <w:r>
        <w:rPr>
          <w:spacing w:val="-11"/>
        </w:rPr>
        <w:t xml:space="preserve"> </w:t>
      </w:r>
      <w:r>
        <w:t>al</w:t>
      </w:r>
      <w:r>
        <w:rPr>
          <w:spacing w:val="-10"/>
        </w:rPr>
        <w:t xml:space="preserve"> </w:t>
      </w:r>
      <w:r>
        <w:t>propósito</w:t>
      </w:r>
      <w:r>
        <w:rPr>
          <w:spacing w:val="-11"/>
        </w:rPr>
        <w:t xml:space="preserve"> </w:t>
      </w:r>
      <w:r>
        <w:t>de</w:t>
      </w:r>
      <w:r>
        <w:rPr>
          <w:spacing w:val="-11"/>
        </w:rPr>
        <w:t xml:space="preserve"> </w:t>
      </w:r>
      <w:r>
        <w:t>la</w:t>
      </w:r>
      <w:r>
        <w:rPr>
          <w:spacing w:val="-12"/>
        </w:rPr>
        <w:t xml:space="preserve"> </w:t>
      </w:r>
      <w:r>
        <w:t>construcción</w:t>
      </w:r>
      <w:r>
        <w:rPr>
          <w:spacing w:val="-11"/>
        </w:rPr>
        <w:t xml:space="preserve"> </w:t>
      </w:r>
      <w:r>
        <w:t>de</w:t>
      </w:r>
      <w:r>
        <w:rPr>
          <w:spacing w:val="-11"/>
        </w:rPr>
        <w:t xml:space="preserve"> </w:t>
      </w:r>
      <w:r>
        <w:t>paz,</w:t>
      </w:r>
      <w:r>
        <w:rPr>
          <w:spacing w:val="-11"/>
        </w:rPr>
        <w:t xml:space="preserve"> </w:t>
      </w:r>
      <w:r>
        <w:t>teniendo en cuenta los procesos ya iniciados al interior de las Fuerzas Militares y la Policía. Dar respuestas adecuadas a esto supone, además, reconocer las diferentes necesidades de seguridad y adaptarse al propósito de la construcción de paz, comprender el escenario de violencia que vive el país tras la firma del Acuerdo de Paz –que significó la transformación del conflicto armado, pero no su fin definitivo–.</w:t>
      </w:r>
    </w:p>
    <w:p w:rsidR="003804AC" w:rsidRDefault="00AF18A5" w:rsidP="001A4506">
      <w:r>
        <w:t>A los retos asociados con la presencia y el accionar de los grupos armados ilegales que permanecen en algunos territorios, se suman los desafíos derivados del nexo entre conflicto armado, crimen organizado y economías ilícitas con marcadas diferencias territoriales, particularmente en zonas rurales y de frontera, muchas de ellas habitadas mayoritariamente por</w:t>
      </w:r>
      <w:r>
        <w:rPr>
          <w:spacing w:val="-7"/>
        </w:rPr>
        <w:t xml:space="preserve"> </w:t>
      </w:r>
      <w:r>
        <w:t>pueblos</w:t>
      </w:r>
      <w:r>
        <w:rPr>
          <w:spacing w:val="-8"/>
        </w:rPr>
        <w:t xml:space="preserve"> </w:t>
      </w:r>
      <w:r>
        <w:t>étnicos.</w:t>
      </w:r>
      <w:r>
        <w:rPr>
          <w:spacing w:val="-7"/>
        </w:rPr>
        <w:t xml:space="preserve"> </w:t>
      </w:r>
      <w:r>
        <w:t>Estas</w:t>
      </w:r>
      <w:r>
        <w:rPr>
          <w:spacing w:val="-7"/>
        </w:rPr>
        <w:t xml:space="preserve"> </w:t>
      </w:r>
      <w:r>
        <w:t>fuentes</w:t>
      </w:r>
      <w:r>
        <w:rPr>
          <w:spacing w:val="-7"/>
        </w:rPr>
        <w:t xml:space="preserve"> </w:t>
      </w:r>
      <w:r>
        <w:t>múltiples</w:t>
      </w:r>
      <w:r>
        <w:rPr>
          <w:spacing w:val="-7"/>
        </w:rPr>
        <w:t xml:space="preserve"> </w:t>
      </w:r>
      <w:r>
        <w:t>de</w:t>
      </w:r>
      <w:r>
        <w:rPr>
          <w:spacing w:val="-7"/>
        </w:rPr>
        <w:t xml:space="preserve"> </w:t>
      </w:r>
      <w:r>
        <w:t>violencia</w:t>
      </w:r>
      <w:r>
        <w:rPr>
          <w:spacing w:val="-7"/>
        </w:rPr>
        <w:t xml:space="preserve"> </w:t>
      </w:r>
      <w:r>
        <w:t>obstaculizan</w:t>
      </w:r>
      <w:r>
        <w:rPr>
          <w:spacing w:val="-7"/>
        </w:rPr>
        <w:t xml:space="preserve"> </w:t>
      </w:r>
      <w:r>
        <w:t>la</w:t>
      </w:r>
      <w:r>
        <w:rPr>
          <w:spacing w:val="-8"/>
        </w:rPr>
        <w:t xml:space="preserve"> </w:t>
      </w:r>
      <w:r>
        <w:t>implementación</w:t>
      </w:r>
      <w:r>
        <w:rPr>
          <w:spacing w:val="-7"/>
        </w:rPr>
        <w:t xml:space="preserve"> </w:t>
      </w:r>
      <w:r>
        <w:t>del Acuerdo</w:t>
      </w:r>
      <w:r>
        <w:rPr>
          <w:spacing w:val="-5"/>
        </w:rPr>
        <w:t xml:space="preserve"> </w:t>
      </w:r>
      <w:r>
        <w:t>de</w:t>
      </w:r>
      <w:r>
        <w:rPr>
          <w:spacing w:val="-4"/>
        </w:rPr>
        <w:t xml:space="preserve"> </w:t>
      </w:r>
      <w:r>
        <w:t>Paz</w:t>
      </w:r>
      <w:r>
        <w:rPr>
          <w:spacing w:val="-4"/>
        </w:rPr>
        <w:t xml:space="preserve"> </w:t>
      </w:r>
      <w:r>
        <w:t>y</w:t>
      </w:r>
      <w:r>
        <w:rPr>
          <w:spacing w:val="-5"/>
        </w:rPr>
        <w:t xml:space="preserve"> </w:t>
      </w:r>
      <w:r>
        <w:t>ocasionan</w:t>
      </w:r>
      <w:r>
        <w:rPr>
          <w:spacing w:val="-5"/>
        </w:rPr>
        <w:t xml:space="preserve"> </w:t>
      </w:r>
      <w:r>
        <w:t>nuevas</w:t>
      </w:r>
      <w:r>
        <w:rPr>
          <w:spacing w:val="-4"/>
        </w:rPr>
        <w:t xml:space="preserve"> </w:t>
      </w:r>
      <w:r>
        <w:t>violaciones</w:t>
      </w:r>
      <w:r>
        <w:rPr>
          <w:spacing w:val="-5"/>
        </w:rPr>
        <w:t xml:space="preserve"> </w:t>
      </w:r>
      <w:r>
        <w:t>a</w:t>
      </w:r>
      <w:r>
        <w:rPr>
          <w:spacing w:val="-4"/>
        </w:rPr>
        <w:t xml:space="preserve"> </w:t>
      </w:r>
      <w:r>
        <w:t>los</w:t>
      </w:r>
      <w:r>
        <w:rPr>
          <w:spacing w:val="-5"/>
        </w:rPr>
        <w:t xml:space="preserve"> </w:t>
      </w:r>
      <w:r>
        <w:t>derechos</w:t>
      </w:r>
      <w:r>
        <w:rPr>
          <w:spacing w:val="-5"/>
        </w:rPr>
        <w:t xml:space="preserve"> </w:t>
      </w:r>
      <w:r>
        <w:t>de</w:t>
      </w:r>
      <w:r>
        <w:rPr>
          <w:spacing w:val="-4"/>
        </w:rPr>
        <w:t xml:space="preserve"> </w:t>
      </w:r>
      <w:r>
        <w:t>las</w:t>
      </w:r>
      <w:r>
        <w:rPr>
          <w:spacing w:val="-4"/>
        </w:rPr>
        <w:t xml:space="preserve"> </w:t>
      </w:r>
      <w:r>
        <w:t>poblaciones,</w:t>
      </w:r>
      <w:r>
        <w:rPr>
          <w:spacing w:val="-5"/>
        </w:rPr>
        <w:t xml:space="preserve"> </w:t>
      </w:r>
      <w:r>
        <w:t>alertando así sobre la posible recaída en un nuevo ciclo de violencia.</w:t>
      </w:r>
    </w:p>
    <w:p w:rsidR="003804AC" w:rsidRDefault="00AF18A5" w:rsidP="001A4506">
      <w:r>
        <w:t xml:space="preserve">Con base en lo anterior, hemos planteado las 10 recomendaciones que componen este </w:t>
      </w:r>
      <w:r>
        <w:rPr>
          <w:spacing w:val="-2"/>
        </w:rPr>
        <w:t>apartado:</w:t>
      </w:r>
    </w:p>
    <w:p w:rsidR="003804AC" w:rsidRDefault="00AF18A5" w:rsidP="001A4506">
      <w:r>
        <w:t>La</w:t>
      </w:r>
      <w:r>
        <w:rPr>
          <w:spacing w:val="-6"/>
        </w:rPr>
        <w:t xml:space="preserve"> </w:t>
      </w:r>
      <w:r>
        <w:t>primera</w:t>
      </w:r>
      <w:r>
        <w:rPr>
          <w:spacing w:val="-6"/>
        </w:rPr>
        <w:t xml:space="preserve"> </w:t>
      </w:r>
      <w:r>
        <w:t>recomendación</w:t>
      </w:r>
      <w:r>
        <w:rPr>
          <w:spacing w:val="-6"/>
        </w:rPr>
        <w:t xml:space="preserve"> </w:t>
      </w:r>
      <w:r>
        <w:t>hace</w:t>
      </w:r>
      <w:r>
        <w:rPr>
          <w:spacing w:val="-7"/>
        </w:rPr>
        <w:t xml:space="preserve"> </w:t>
      </w:r>
      <w:r>
        <w:t>énfasis</w:t>
      </w:r>
      <w:r>
        <w:rPr>
          <w:spacing w:val="-6"/>
        </w:rPr>
        <w:t xml:space="preserve"> </w:t>
      </w:r>
      <w:r>
        <w:t>en</w:t>
      </w:r>
      <w:r>
        <w:rPr>
          <w:spacing w:val="-7"/>
        </w:rPr>
        <w:t xml:space="preserve"> </w:t>
      </w:r>
      <w:r>
        <w:t>la</w:t>
      </w:r>
      <w:r>
        <w:rPr>
          <w:spacing w:val="-7"/>
        </w:rPr>
        <w:t xml:space="preserve"> </w:t>
      </w:r>
      <w:r>
        <w:t>necesidad</w:t>
      </w:r>
      <w:r>
        <w:rPr>
          <w:spacing w:val="-6"/>
        </w:rPr>
        <w:t xml:space="preserve"> </w:t>
      </w:r>
      <w:r>
        <w:t>de</w:t>
      </w:r>
      <w:r>
        <w:rPr>
          <w:spacing w:val="-6"/>
        </w:rPr>
        <w:t xml:space="preserve"> </w:t>
      </w:r>
      <w:r>
        <w:t>una</w:t>
      </w:r>
      <w:r>
        <w:rPr>
          <w:spacing w:val="-6"/>
        </w:rPr>
        <w:t xml:space="preserve"> </w:t>
      </w:r>
      <w:r>
        <w:t>nueva</w:t>
      </w:r>
      <w:r>
        <w:rPr>
          <w:spacing w:val="-6"/>
        </w:rPr>
        <w:t xml:space="preserve"> </w:t>
      </w:r>
      <w:r>
        <w:lastRenderedPageBreak/>
        <w:t>visión</w:t>
      </w:r>
      <w:r>
        <w:rPr>
          <w:spacing w:val="-6"/>
        </w:rPr>
        <w:t xml:space="preserve"> </w:t>
      </w:r>
      <w:r>
        <w:t>de</w:t>
      </w:r>
      <w:r>
        <w:rPr>
          <w:spacing w:val="-6"/>
        </w:rPr>
        <w:t xml:space="preserve"> </w:t>
      </w:r>
      <w:r>
        <w:t>seguridad como bien público, centrada en las personas, en el ser humano, que nos permita superar las lógicas</w:t>
      </w:r>
      <w:r>
        <w:rPr>
          <w:spacing w:val="-1"/>
        </w:rPr>
        <w:t xml:space="preserve"> </w:t>
      </w:r>
      <w:r>
        <w:t>del</w:t>
      </w:r>
      <w:r>
        <w:rPr>
          <w:spacing w:val="-1"/>
        </w:rPr>
        <w:t xml:space="preserve"> </w:t>
      </w:r>
      <w:r>
        <w:t>conflicto</w:t>
      </w:r>
      <w:r>
        <w:rPr>
          <w:spacing w:val="-1"/>
        </w:rPr>
        <w:t xml:space="preserve"> </w:t>
      </w:r>
      <w:r>
        <w:t>armado.</w:t>
      </w:r>
      <w:r>
        <w:rPr>
          <w:spacing w:val="-1"/>
        </w:rPr>
        <w:t xml:space="preserve"> </w:t>
      </w:r>
      <w:r>
        <w:t>Visión</w:t>
      </w:r>
      <w:r>
        <w:rPr>
          <w:spacing w:val="-2"/>
        </w:rPr>
        <w:t xml:space="preserve"> </w:t>
      </w:r>
      <w:r>
        <w:t>que,</w:t>
      </w:r>
      <w:r>
        <w:rPr>
          <w:spacing w:val="-1"/>
        </w:rPr>
        <w:t xml:space="preserve"> </w:t>
      </w:r>
      <w:r>
        <w:t>a</w:t>
      </w:r>
      <w:r>
        <w:rPr>
          <w:spacing w:val="-1"/>
        </w:rPr>
        <w:t xml:space="preserve"> </w:t>
      </w:r>
      <w:r>
        <w:t>juicio</w:t>
      </w:r>
      <w:r>
        <w:rPr>
          <w:spacing w:val="-2"/>
        </w:rPr>
        <w:t xml:space="preserve"> </w:t>
      </w:r>
      <w:r>
        <w:t>de</w:t>
      </w:r>
      <w:r>
        <w:rPr>
          <w:spacing w:val="-1"/>
        </w:rPr>
        <w:t xml:space="preserve"> </w:t>
      </w:r>
      <w:r>
        <w:t>la</w:t>
      </w:r>
      <w:r>
        <w:rPr>
          <w:spacing w:val="-1"/>
        </w:rPr>
        <w:t xml:space="preserve"> </w:t>
      </w:r>
      <w:r>
        <w:t>Comisión</w:t>
      </w:r>
      <w:r>
        <w:rPr>
          <w:spacing w:val="-1"/>
        </w:rPr>
        <w:t xml:space="preserve"> </w:t>
      </w:r>
      <w:r>
        <w:t>de</w:t>
      </w:r>
      <w:r>
        <w:rPr>
          <w:spacing w:val="-1"/>
        </w:rPr>
        <w:t xml:space="preserve"> </w:t>
      </w:r>
      <w:r>
        <w:t>la</w:t>
      </w:r>
      <w:r>
        <w:rPr>
          <w:spacing w:val="-1"/>
        </w:rPr>
        <w:t xml:space="preserve"> </w:t>
      </w:r>
      <w:r>
        <w:t>Verdad,</w:t>
      </w:r>
      <w:r>
        <w:rPr>
          <w:spacing w:val="-1"/>
        </w:rPr>
        <w:t xml:space="preserve"> </w:t>
      </w:r>
      <w:r>
        <w:t>se</w:t>
      </w:r>
      <w:r>
        <w:rPr>
          <w:spacing w:val="-1"/>
        </w:rPr>
        <w:t xml:space="preserve"> </w:t>
      </w:r>
      <w:r>
        <w:t>adapta</w:t>
      </w:r>
      <w:r>
        <w:rPr>
          <w:spacing w:val="-1"/>
        </w:rPr>
        <w:t xml:space="preserve"> </w:t>
      </w:r>
      <w:r>
        <w:t>de mejor manera a los esfuerzos de la construcción de paz y que, por lo tanto, debe guiar la actuación del sector y convertirse en la base fundamental para erigir una nueva relación de las instituciones con la sociedad y los territorios. Con ese propósito, es primordial entablar diálogos horizontales entre la institucionalidad y las comunidades, ya que estos se pueden convertir en una herramienta para reconstruir la confianza entre los ciudadanos y las instituciones encargadas de la seguridad y pueden contribuir a guiar las transformaciones necesarias que pongan en el centro el cuidado de la vida y garanticen el respeto efectivo de la dignidad humanas y de los derechos humanos para todos y todas por igual.</w:t>
      </w:r>
    </w:p>
    <w:p w:rsidR="003804AC" w:rsidRDefault="00AF18A5" w:rsidP="001A4506">
      <w:r>
        <w:t>La segunda recomendación aborda la necesaria transformación del sector seguridad y defensa,</w:t>
      </w:r>
      <w:r>
        <w:rPr>
          <w:spacing w:val="-3"/>
        </w:rPr>
        <w:t xml:space="preserve"> </w:t>
      </w:r>
      <w:r>
        <w:t>con</w:t>
      </w:r>
      <w:r>
        <w:rPr>
          <w:spacing w:val="-4"/>
        </w:rPr>
        <w:t xml:space="preserve"> </w:t>
      </w:r>
      <w:r>
        <w:t>participación</w:t>
      </w:r>
      <w:r>
        <w:rPr>
          <w:spacing w:val="-2"/>
        </w:rPr>
        <w:t xml:space="preserve"> </w:t>
      </w:r>
      <w:r>
        <w:t>de</w:t>
      </w:r>
      <w:r>
        <w:rPr>
          <w:spacing w:val="-2"/>
        </w:rPr>
        <w:t xml:space="preserve"> </w:t>
      </w:r>
      <w:r>
        <w:t>sus</w:t>
      </w:r>
      <w:r>
        <w:rPr>
          <w:spacing w:val="-2"/>
        </w:rPr>
        <w:t xml:space="preserve"> </w:t>
      </w:r>
      <w:r>
        <w:t>integrantes,</w:t>
      </w:r>
      <w:r>
        <w:rPr>
          <w:spacing w:val="-2"/>
        </w:rPr>
        <w:t xml:space="preserve"> </w:t>
      </w:r>
      <w:r>
        <w:t>valoración</w:t>
      </w:r>
      <w:r>
        <w:rPr>
          <w:spacing w:val="-2"/>
        </w:rPr>
        <w:t xml:space="preserve"> </w:t>
      </w:r>
      <w:r>
        <w:t>de</w:t>
      </w:r>
      <w:r>
        <w:rPr>
          <w:spacing w:val="-2"/>
        </w:rPr>
        <w:t xml:space="preserve"> </w:t>
      </w:r>
      <w:r>
        <w:t>lo</w:t>
      </w:r>
      <w:r>
        <w:rPr>
          <w:spacing w:val="-4"/>
        </w:rPr>
        <w:t xml:space="preserve"> </w:t>
      </w:r>
      <w:r>
        <w:t>construido</w:t>
      </w:r>
      <w:r>
        <w:rPr>
          <w:spacing w:val="-2"/>
        </w:rPr>
        <w:t xml:space="preserve"> </w:t>
      </w:r>
      <w:r>
        <w:t>y</w:t>
      </w:r>
      <w:r>
        <w:rPr>
          <w:spacing w:val="-2"/>
        </w:rPr>
        <w:t xml:space="preserve"> </w:t>
      </w:r>
      <w:r>
        <w:t>evaluación</w:t>
      </w:r>
      <w:r>
        <w:rPr>
          <w:spacing w:val="-4"/>
        </w:rPr>
        <w:t xml:space="preserve"> </w:t>
      </w:r>
      <w:r>
        <w:t>de</w:t>
      </w:r>
      <w:r>
        <w:rPr>
          <w:spacing w:val="-2"/>
        </w:rPr>
        <w:t xml:space="preserve"> </w:t>
      </w:r>
      <w:r>
        <w:t>lo realizado, y el asesoramiento y seguimiento de una comisión conformada para tal fin. Esta debe</w:t>
      </w:r>
      <w:r>
        <w:rPr>
          <w:spacing w:val="-2"/>
        </w:rPr>
        <w:t xml:space="preserve"> </w:t>
      </w:r>
      <w:r>
        <w:t>llevar</w:t>
      </w:r>
      <w:r>
        <w:rPr>
          <w:spacing w:val="-2"/>
        </w:rPr>
        <w:t xml:space="preserve"> </w:t>
      </w:r>
      <w:r>
        <w:t>a</w:t>
      </w:r>
      <w:r>
        <w:rPr>
          <w:spacing w:val="-3"/>
        </w:rPr>
        <w:t xml:space="preserve"> </w:t>
      </w:r>
      <w:r>
        <w:t>la</w:t>
      </w:r>
      <w:r>
        <w:rPr>
          <w:spacing w:val="-3"/>
        </w:rPr>
        <w:t xml:space="preserve"> </w:t>
      </w:r>
      <w:r>
        <w:t>realización</w:t>
      </w:r>
      <w:r>
        <w:rPr>
          <w:spacing w:val="-2"/>
        </w:rPr>
        <w:t xml:space="preserve"> </w:t>
      </w:r>
      <w:r>
        <w:t>de</w:t>
      </w:r>
      <w:r>
        <w:rPr>
          <w:spacing w:val="-3"/>
        </w:rPr>
        <w:t xml:space="preserve"> </w:t>
      </w:r>
      <w:r>
        <w:t>los</w:t>
      </w:r>
      <w:r>
        <w:rPr>
          <w:spacing w:val="-3"/>
        </w:rPr>
        <w:t xml:space="preserve"> </w:t>
      </w:r>
      <w:r>
        <w:t>ajustes</w:t>
      </w:r>
      <w:r>
        <w:rPr>
          <w:spacing w:val="-3"/>
        </w:rPr>
        <w:t xml:space="preserve"> </w:t>
      </w:r>
      <w:r>
        <w:t>institucionales,</w:t>
      </w:r>
      <w:r>
        <w:rPr>
          <w:spacing w:val="-3"/>
        </w:rPr>
        <w:t xml:space="preserve"> </w:t>
      </w:r>
      <w:r>
        <w:t>normativos,</w:t>
      </w:r>
      <w:r>
        <w:rPr>
          <w:spacing w:val="-3"/>
        </w:rPr>
        <w:t xml:space="preserve"> </w:t>
      </w:r>
      <w:r>
        <w:t>políticos,</w:t>
      </w:r>
      <w:r>
        <w:rPr>
          <w:spacing w:val="-2"/>
        </w:rPr>
        <w:t xml:space="preserve"> </w:t>
      </w:r>
      <w:r>
        <w:t>educativos</w:t>
      </w:r>
      <w:r>
        <w:rPr>
          <w:spacing w:val="-2"/>
        </w:rPr>
        <w:t xml:space="preserve"> </w:t>
      </w:r>
      <w:r>
        <w:t>y culturales necesarios para que el sector se adapte a la nueva visión de seguridad. Para su desarrollo y el logro efectivo de sus objetivos, es importante reconocer y retomar los aprendizajes de otras comisiones que se han conformado para avanzar en transformaciones en el sector, en particular de las Fuerzas Militares y la Policía.</w:t>
      </w:r>
    </w:p>
    <w:p w:rsidR="003804AC" w:rsidRDefault="00AF18A5" w:rsidP="001A4506">
      <w:r>
        <w:t>Como</w:t>
      </w:r>
      <w:r>
        <w:rPr>
          <w:spacing w:val="-5"/>
        </w:rPr>
        <w:t xml:space="preserve"> </w:t>
      </w:r>
      <w:r>
        <w:t>parte</w:t>
      </w:r>
      <w:r>
        <w:rPr>
          <w:spacing w:val="-6"/>
        </w:rPr>
        <w:t xml:space="preserve"> </w:t>
      </w:r>
      <w:r>
        <w:t>de</w:t>
      </w:r>
      <w:r>
        <w:rPr>
          <w:spacing w:val="-4"/>
        </w:rPr>
        <w:t xml:space="preserve"> </w:t>
      </w:r>
      <w:r>
        <w:t>esta</w:t>
      </w:r>
      <w:r>
        <w:rPr>
          <w:spacing w:val="-4"/>
        </w:rPr>
        <w:t xml:space="preserve"> </w:t>
      </w:r>
      <w:r>
        <w:t>recomendación</w:t>
      </w:r>
      <w:r>
        <w:rPr>
          <w:spacing w:val="-5"/>
        </w:rPr>
        <w:t xml:space="preserve"> </w:t>
      </w:r>
      <w:r>
        <w:t>se</w:t>
      </w:r>
      <w:r>
        <w:rPr>
          <w:spacing w:val="-4"/>
        </w:rPr>
        <w:t xml:space="preserve"> </w:t>
      </w:r>
      <w:r>
        <w:t>señalan</w:t>
      </w:r>
      <w:r>
        <w:rPr>
          <w:spacing w:val="-5"/>
        </w:rPr>
        <w:t xml:space="preserve"> </w:t>
      </w:r>
      <w:r>
        <w:t>ocho</w:t>
      </w:r>
      <w:r>
        <w:rPr>
          <w:spacing w:val="-5"/>
        </w:rPr>
        <w:t xml:space="preserve"> </w:t>
      </w:r>
      <w:r>
        <w:t>aspectos</w:t>
      </w:r>
      <w:r>
        <w:rPr>
          <w:spacing w:val="-6"/>
        </w:rPr>
        <w:t xml:space="preserve"> </w:t>
      </w:r>
      <w:r>
        <w:t>diferentes</w:t>
      </w:r>
      <w:r>
        <w:rPr>
          <w:spacing w:val="-5"/>
        </w:rPr>
        <w:t xml:space="preserve"> </w:t>
      </w:r>
      <w:r>
        <w:t>que,</w:t>
      </w:r>
      <w:r>
        <w:rPr>
          <w:spacing w:val="-5"/>
        </w:rPr>
        <w:t xml:space="preserve"> </w:t>
      </w:r>
      <w:r>
        <w:t>a</w:t>
      </w:r>
      <w:r>
        <w:rPr>
          <w:spacing w:val="-6"/>
        </w:rPr>
        <w:t xml:space="preserve"> </w:t>
      </w:r>
      <w:r>
        <w:t>juicio</w:t>
      </w:r>
      <w:r>
        <w:rPr>
          <w:spacing w:val="-6"/>
        </w:rPr>
        <w:t xml:space="preserve"> </w:t>
      </w:r>
      <w:r>
        <w:t>de</w:t>
      </w:r>
      <w:r>
        <w:rPr>
          <w:spacing w:val="-4"/>
        </w:rPr>
        <w:t xml:space="preserve"> </w:t>
      </w:r>
      <w:r>
        <w:t>la Comisión,</w:t>
      </w:r>
      <w:r>
        <w:rPr>
          <w:spacing w:val="-8"/>
        </w:rPr>
        <w:t xml:space="preserve"> </w:t>
      </w:r>
      <w:r>
        <w:t>deben</w:t>
      </w:r>
      <w:r>
        <w:rPr>
          <w:spacing w:val="-8"/>
        </w:rPr>
        <w:t xml:space="preserve"> </w:t>
      </w:r>
      <w:r>
        <w:t>ser</w:t>
      </w:r>
      <w:r>
        <w:rPr>
          <w:spacing w:val="-8"/>
        </w:rPr>
        <w:t xml:space="preserve"> </w:t>
      </w:r>
      <w:r>
        <w:t>objeto</w:t>
      </w:r>
      <w:r>
        <w:rPr>
          <w:spacing w:val="-8"/>
        </w:rPr>
        <w:t xml:space="preserve"> </w:t>
      </w:r>
      <w:r>
        <w:t>de</w:t>
      </w:r>
      <w:r>
        <w:rPr>
          <w:spacing w:val="-8"/>
        </w:rPr>
        <w:t xml:space="preserve"> </w:t>
      </w:r>
      <w:r>
        <w:t>discusión</w:t>
      </w:r>
      <w:r>
        <w:rPr>
          <w:spacing w:val="-8"/>
        </w:rPr>
        <w:t xml:space="preserve"> </w:t>
      </w:r>
      <w:r>
        <w:t>y</w:t>
      </w:r>
      <w:r>
        <w:rPr>
          <w:spacing w:val="-8"/>
        </w:rPr>
        <w:t xml:space="preserve"> </w:t>
      </w:r>
      <w:r>
        <w:t>parte</w:t>
      </w:r>
      <w:r>
        <w:rPr>
          <w:spacing w:val="-9"/>
        </w:rPr>
        <w:t xml:space="preserve"> </w:t>
      </w:r>
      <w:r>
        <w:t>importante</w:t>
      </w:r>
      <w:r>
        <w:rPr>
          <w:spacing w:val="-8"/>
        </w:rPr>
        <w:t xml:space="preserve"> </w:t>
      </w:r>
      <w:r>
        <w:t>de</w:t>
      </w:r>
      <w:r>
        <w:rPr>
          <w:spacing w:val="-8"/>
        </w:rPr>
        <w:t xml:space="preserve"> </w:t>
      </w:r>
      <w:r>
        <w:t>la</w:t>
      </w:r>
      <w:r>
        <w:rPr>
          <w:spacing w:val="-8"/>
        </w:rPr>
        <w:t xml:space="preserve"> </w:t>
      </w:r>
      <w:r>
        <w:t>transformación,</w:t>
      </w:r>
      <w:r>
        <w:rPr>
          <w:spacing w:val="-8"/>
        </w:rPr>
        <w:t xml:space="preserve"> </w:t>
      </w:r>
      <w:r>
        <w:t>precisando en</w:t>
      </w:r>
      <w:r>
        <w:rPr>
          <w:spacing w:val="-6"/>
        </w:rPr>
        <w:t xml:space="preserve"> </w:t>
      </w:r>
      <w:r>
        <w:t>algunos</w:t>
      </w:r>
      <w:r>
        <w:rPr>
          <w:spacing w:val="-7"/>
        </w:rPr>
        <w:t xml:space="preserve"> </w:t>
      </w:r>
      <w:r>
        <w:t>el</w:t>
      </w:r>
      <w:r>
        <w:rPr>
          <w:spacing w:val="-6"/>
        </w:rPr>
        <w:t xml:space="preserve"> </w:t>
      </w:r>
      <w:r>
        <w:t>sentido</w:t>
      </w:r>
      <w:r>
        <w:rPr>
          <w:spacing w:val="-6"/>
        </w:rPr>
        <w:t xml:space="preserve"> </w:t>
      </w:r>
      <w:r>
        <w:t>de</w:t>
      </w:r>
      <w:r>
        <w:rPr>
          <w:spacing w:val="-7"/>
        </w:rPr>
        <w:t xml:space="preserve"> </w:t>
      </w:r>
      <w:r>
        <w:lastRenderedPageBreak/>
        <w:t>esta</w:t>
      </w:r>
      <w:r>
        <w:rPr>
          <w:spacing w:val="-6"/>
        </w:rPr>
        <w:t xml:space="preserve"> </w:t>
      </w:r>
      <w:r>
        <w:t>o</w:t>
      </w:r>
      <w:r>
        <w:rPr>
          <w:spacing w:val="-7"/>
        </w:rPr>
        <w:t xml:space="preserve"> </w:t>
      </w:r>
      <w:r>
        <w:t>por</w:t>
      </w:r>
      <w:r>
        <w:rPr>
          <w:spacing w:val="-7"/>
        </w:rPr>
        <w:t xml:space="preserve"> </w:t>
      </w:r>
      <w:r>
        <w:t>lo</w:t>
      </w:r>
      <w:r>
        <w:rPr>
          <w:spacing w:val="-7"/>
        </w:rPr>
        <w:t xml:space="preserve"> </w:t>
      </w:r>
      <w:r>
        <w:t>menos</w:t>
      </w:r>
      <w:r>
        <w:rPr>
          <w:spacing w:val="-7"/>
        </w:rPr>
        <w:t xml:space="preserve"> </w:t>
      </w:r>
      <w:r>
        <w:t>los</w:t>
      </w:r>
      <w:r>
        <w:rPr>
          <w:spacing w:val="-6"/>
        </w:rPr>
        <w:t xml:space="preserve"> </w:t>
      </w:r>
      <w:r>
        <w:t>criterios</w:t>
      </w:r>
      <w:r>
        <w:rPr>
          <w:spacing w:val="-7"/>
        </w:rPr>
        <w:t xml:space="preserve"> </w:t>
      </w:r>
      <w:r>
        <w:t>a</w:t>
      </w:r>
      <w:r>
        <w:rPr>
          <w:spacing w:val="-7"/>
        </w:rPr>
        <w:t xml:space="preserve"> </w:t>
      </w:r>
      <w:r>
        <w:t>tener</w:t>
      </w:r>
      <w:r>
        <w:rPr>
          <w:spacing w:val="-6"/>
        </w:rPr>
        <w:t xml:space="preserve"> </w:t>
      </w:r>
      <w:r>
        <w:t>en</w:t>
      </w:r>
      <w:r>
        <w:rPr>
          <w:spacing w:val="-7"/>
        </w:rPr>
        <w:t xml:space="preserve"> </w:t>
      </w:r>
      <w:r>
        <w:t>cuenta.</w:t>
      </w:r>
      <w:r>
        <w:rPr>
          <w:spacing w:val="-8"/>
        </w:rPr>
        <w:t xml:space="preserve"> </w:t>
      </w:r>
      <w:r>
        <w:t>El</w:t>
      </w:r>
      <w:r>
        <w:rPr>
          <w:spacing w:val="-6"/>
        </w:rPr>
        <w:t xml:space="preserve"> </w:t>
      </w:r>
      <w:r>
        <w:t>primer</w:t>
      </w:r>
      <w:r>
        <w:rPr>
          <w:spacing w:val="-6"/>
        </w:rPr>
        <w:t xml:space="preserve"> </w:t>
      </w:r>
      <w:r>
        <w:t>aspecto al</w:t>
      </w:r>
      <w:r>
        <w:rPr>
          <w:spacing w:val="-8"/>
        </w:rPr>
        <w:t xml:space="preserve"> </w:t>
      </w:r>
      <w:r>
        <w:t>que</w:t>
      </w:r>
      <w:r>
        <w:rPr>
          <w:spacing w:val="-8"/>
        </w:rPr>
        <w:t xml:space="preserve"> </w:t>
      </w:r>
      <w:r>
        <w:t>se</w:t>
      </w:r>
      <w:r>
        <w:rPr>
          <w:spacing w:val="-8"/>
        </w:rPr>
        <w:t xml:space="preserve"> </w:t>
      </w:r>
      <w:r>
        <w:t>hace</w:t>
      </w:r>
      <w:r>
        <w:rPr>
          <w:spacing w:val="-8"/>
        </w:rPr>
        <w:t xml:space="preserve"> </w:t>
      </w:r>
      <w:r>
        <w:t>alusión</w:t>
      </w:r>
      <w:r>
        <w:rPr>
          <w:spacing w:val="-8"/>
        </w:rPr>
        <w:t xml:space="preserve"> </w:t>
      </w:r>
      <w:r>
        <w:t>es</w:t>
      </w:r>
      <w:r>
        <w:rPr>
          <w:spacing w:val="-9"/>
        </w:rPr>
        <w:t xml:space="preserve"> </w:t>
      </w:r>
      <w:r>
        <w:t>a</w:t>
      </w:r>
      <w:r>
        <w:rPr>
          <w:spacing w:val="-8"/>
        </w:rPr>
        <w:t xml:space="preserve"> </w:t>
      </w:r>
      <w:r>
        <w:t>la</w:t>
      </w:r>
      <w:r>
        <w:rPr>
          <w:spacing w:val="-8"/>
        </w:rPr>
        <w:t xml:space="preserve"> </w:t>
      </w:r>
      <w:r>
        <w:t>necesidad</w:t>
      </w:r>
      <w:r>
        <w:rPr>
          <w:spacing w:val="-8"/>
        </w:rPr>
        <w:t xml:space="preserve"> </w:t>
      </w:r>
      <w:r>
        <w:t>de</w:t>
      </w:r>
      <w:r>
        <w:rPr>
          <w:spacing w:val="-8"/>
        </w:rPr>
        <w:t xml:space="preserve"> </w:t>
      </w:r>
      <w:r>
        <w:t>garantizar</w:t>
      </w:r>
      <w:r>
        <w:rPr>
          <w:spacing w:val="-8"/>
        </w:rPr>
        <w:t xml:space="preserve"> </w:t>
      </w:r>
      <w:r>
        <w:t>el</w:t>
      </w:r>
      <w:r>
        <w:rPr>
          <w:spacing w:val="-8"/>
        </w:rPr>
        <w:t xml:space="preserve"> </w:t>
      </w:r>
      <w:r>
        <w:t>liderazgo</w:t>
      </w:r>
      <w:r>
        <w:rPr>
          <w:spacing w:val="-8"/>
        </w:rPr>
        <w:t xml:space="preserve"> </w:t>
      </w:r>
      <w:r>
        <w:t>y</w:t>
      </w:r>
      <w:r>
        <w:rPr>
          <w:spacing w:val="-8"/>
        </w:rPr>
        <w:t xml:space="preserve"> </w:t>
      </w:r>
      <w:r>
        <w:t>direccionamiento</w:t>
      </w:r>
      <w:r>
        <w:rPr>
          <w:spacing w:val="-8"/>
        </w:rPr>
        <w:t xml:space="preserve"> </w:t>
      </w:r>
      <w:r>
        <w:t>civil</w:t>
      </w:r>
      <w:r>
        <w:rPr>
          <w:spacing w:val="-8"/>
        </w:rPr>
        <w:t xml:space="preserve"> </w:t>
      </w:r>
      <w:r>
        <w:t>de las Fuerzas Militares y la Policía. El segundo aspecto se refiere a los controles internos y externos,</w:t>
      </w:r>
      <w:r>
        <w:rPr>
          <w:spacing w:val="-5"/>
        </w:rPr>
        <w:t xml:space="preserve"> </w:t>
      </w:r>
      <w:r>
        <w:t>incluyendo</w:t>
      </w:r>
      <w:r>
        <w:rPr>
          <w:spacing w:val="-5"/>
        </w:rPr>
        <w:t xml:space="preserve"> </w:t>
      </w:r>
      <w:r>
        <w:t>los</w:t>
      </w:r>
      <w:r>
        <w:rPr>
          <w:spacing w:val="-4"/>
        </w:rPr>
        <w:t xml:space="preserve"> </w:t>
      </w:r>
      <w:r>
        <w:t>controles</w:t>
      </w:r>
      <w:r>
        <w:rPr>
          <w:spacing w:val="-4"/>
        </w:rPr>
        <w:t xml:space="preserve"> </w:t>
      </w:r>
      <w:r>
        <w:t>penales,</w:t>
      </w:r>
      <w:r>
        <w:rPr>
          <w:spacing w:val="-5"/>
        </w:rPr>
        <w:t xml:space="preserve"> </w:t>
      </w:r>
      <w:r>
        <w:t>disciplinarios,</w:t>
      </w:r>
      <w:r>
        <w:rPr>
          <w:spacing w:val="-5"/>
        </w:rPr>
        <w:t xml:space="preserve"> </w:t>
      </w:r>
      <w:r>
        <w:t>fiscales</w:t>
      </w:r>
      <w:r>
        <w:rPr>
          <w:spacing w:val="-4"/>
        </w:rPr>
        <w:t xml:space="preserve"> </w:t>
      </w:r>
      <w:r>
        <w:t>y</w:t>
      </w:r>
      <w:r>
        <w:rPr>
          <w:spacing w:val="-5"/>
        </w:rPr>
        <w:t xml:space="preserve"> </w:t>
      </w:r>
      <w:r>
        <w:t>políticos</w:t>
      </w:r>
      <w:r>
        <w:rPr>
          <w:spacing w:val="-4"/>
        </w:rPr>
        <w:t xml:space="preserve"> </w:t>
      </w:r>
      <w:r>
        <w:t>que</w:t>
      </w:r>
      <w:r>
        <w:rPr>
          <w:spacing w:val="-4"/>
        </w:rPr>
        <w:t xml:space="preserve"> </w:t>
      </w:r>
      <w:r>
        <w:t>garanticen estándares de independencia y transparencia en</w:t>
      </w:r>
      <w:r>
        <w:rPr>
          <w:spacing w:val="-1"/>
        </w:rPr>
        <w:t xml:space="preserve"> </w:t>
      </w:r>
      <w:r>
        <w:t>las investigaciones, en particular en</w:t>
      </w:r>
      <w:r>
        <w:rPr>
          <w:spacing w:val="-1"/>
        </w:rPr>
        <w:t xml:space="preserve"> </w:t>
      </w:r>
      <w:r>
        <w:t>materia de Justicia Penal Militar así como en procesos disciplinarios. Como tercer punto, se incluye la</w:t>
      </w:r>
      <w:r>
        <w:rPr>
          <w:spacing w:val="-9"/>
        </w:rPr>
        <w:t xml:space="preserve"> </w:t>
      </w:r>
      <w:r>
        <w:t>necesidad</w:t>
      </w:r>
      <w:r>
        <w:rPr>
          <w:spacing w:val="-12"/>
        </w:rPr>
        <w:t xml:space="preserve"> </w:t>
      </w:r>
      <w:r>
        <w:t>de</w:t>
      </w:r>
      <w:r>
        <w:rPr>
          <w:spacing w:val="-9"/>
        </w:rPr>
        <w:t xml:space="preserve"> </w:t>
      </w:r>
      <w:r>
        <w:t>redefinir</w:t>
      </w:r>
      <w:r>
        <w:rPr>
          <w:spacing w:val="-10"/>
        </w:rPr>
        <w:t xml:space="preserve"> </w:t>
      </w:r>
      <w:r>
        <w:t>los</w:t>
      </w:r>
      <w:r>
        <w:rPr>
          <w:spacing w:val="-10"/>
        </w:rPr>
        <w:t xml:space="preserve"> </w:t>
      </w:r>
      <w:r>
        <w:t>roles</w:t>
      </w:r>
      <w:r>
        <w:rPr>
          <w:spacing w:val="-10"/>
        </w:rPr>
        <w:t xml:space="preserve"> </w:t>
      </w:r>
      <w:r>
        <w:t>y</w:t>
      </w:r>
      <w:r>
        <w:rPr>
          <w:spacing w:val="-10"/>
        </w:rPr>
        <w:t xml:space="preserve"> </w:t>
      </w:r>
      <w:r>
        <w:t>misiones</w:t>
      </w:r>
      <w:r>
        <w:rPr>
          <w:spacing w:val="-9"/>
        </w:rPr>
        <w:t xml:space="preserve"> </w:t>
      </w:r>
      <w:r>
        <w:t>de</w:t>
      </w:r>
      <w:r>
        <w:rPr>
          <w:spacing w:val="-11"/>
        </w:rPr>
        <w:t xml:space="preserve"> </w:t>
      </w:r>
      <w:r>
        <w:t>las</w:t>
      </w:r>
      <w:r>
        <w:rPr>
          <w:spacing w:val="-11"/>
        </w:rPr>
        <w:t xml:space="preserve"> </w:t>
      </w:r>
      <w:r>
        <w:t>Fuerzas</w:t>
      </w:r>
      <w:r>
        <w:rPr>
          <w:spacing w:val="-11"/>
        </w:rPr>
        <w:t xml:space="preserve"> </w:t>
      </w:r>
      <w:r>
        <w:t>Militares</w:t>
      </w:r>
      <w:r>
        <w:rPr>
          <w:spacing w:val="-9"/>
        </w:rPr>
        <w:t xml:space="preserve"> </w:t>
      </w:r>
      <w:r>
        <w:t>y</w:t>
      </w:r>
      <w:r>
        <w:rPr>
          <w:spacing w:val="-10"/>
        </w:rPr>
        <w:t xml:space="preserve"> </w:t>
      </w:r>
      <w:r>
        <w:t>de</w:t>
      </w:r>
      <w:r>
        <w:rPr>
          <w:spacing w:val="-11"/>
        </w:rPr>
        <w:t xml:space="preserve"> </w:t>
      </w:r>
      <w:r>
        <w:t>la</w:t>
      </w:r>
      <w:r>
        <w:rPr>
          <w:spacing w:val="-11"/>
        </w:rPr>
        <w:t xml:space="preserve"> </w:t>
      </w:r>
      <w:r>
        <w:t>Policía</w:t>
      </w:r>
      <w:r>
        <w:rPr>
          <w:spacing w:val="-9"/>
        </w:rPr>
        <w:t xml:space="preserve"> </w:t>
      </w:r>
      <w:r>
        <w:t>para</w:t>
      </w:r>
      <w:r>
        <w:rPr>
          <w:spacing w:val="-11"/>
        </w:rPr>
        <w:t xml:space="preserve"> </w:t>
      </w:r>
      <w:r>
        <w:t>que se ajusten a sus funciones constitucionales y a la nueva visión de seguridad.</w:t>
      </w:r>
    </w:p>
    <w:p w:rsidR="003804AC" w:rsidRDefault="00AF18A5" w:rsidP="001A4506">
      <w:r>
        <w:t>El</w:t>
      </w:r>
      <w:r>
        <w:rPr>
          <w:spacing w:val="-3"/>
        </w:rPr>
        <w:t xml:space="preserve"> </w:t>
      </w:r>
      <w:r>
        <w:t>cuarto</w:t>
      </w:r>
      <w:r>
        <w:rPr>
          <w:spacing w:val="-4"/>
        </w:rPr>
        <w:t xml:space="preserve"> </w:t>
      </w:r>
      <w:r>
        <w:t>elemento</w:t>
      </w:r>
      <w:r>
        <w:rPr>
          <w:spacing w:val="-5"/>
        </w:rPr>
        <w:t xml:space="preserve"> </w:t>
      </w:r>
      <w:r>
        <w:t>es</w:t>
      </w:r>
      <w:r>
        <w:rPr>
          <w:spacing w:val="-3"/>
        </w:rPr>
        <w:t xml:space="preserve"> </w:t>
      </w:r>
      <w:r>
        <w:t>la</w:t>
      </w:r>
      <w:r>
        <w:rPr>
          <w:spacing w:val="-5"/>
        </w:rPr>
        <w:t xml:space="preserve"> </w:t>
      </w:r>
      <w:r>
        <w:t>revisión</w:t>
      </w:r>
      <w:r>
        <w:rPr>
          <w:spacing w:val="-4"/>
        </w:rPr>
        <w:t xml:space="preserve"> </w:t>
      </w:r>
      <w:r>
        <w:t>de</w:t>
      </w:r>
      <w:r>
        <w:rPr>
          <w:spacing w:val="-5"/>
        </w:rPr>
        <w:t xml:space="preserve"> </w:t>
      </w:r>
      <w:r>
        <w:t>la</w:t>
      </w:r>
      <w:r>
        <w:rPr>
          <w:spacing w:val="-3"/>
        </w:rPr>
        <w:t xml:space="preserve"> </w:t>
      </w:r>
      <w:r>
        <w:t>doctrina,</w:t>
      </w:r>
      <w:r>
        <w:rPr>
          <w:spacing w:val="-4"/>
        </w:rPr>
        <w:t xml:space="preserve"> </w:t>
      </w:r>
      <w:r>
        <w:t>que</w:t>
      </w:r>
      <w:r>
        <w:rPr>
          <w:spacing w:val="-3"/>
        </w:rPr>
        <w:t xml:space="preserve"> </w:t>
      </w:r>
      <w:r>
        <w:t>juega</w:t>
      </w:r>
      <w:r>
        <w:rPr>
          <w:spacing w:val="-5"/>
        </w:rPr>
        <w:t xml:space="preserve"> </w:t>
      </w:r>
      <w:r>
        <w:t>un</w:t>
      </w:r>
      <w:r>
        <w:rPr>
          <w:spacing w:val="-5"/>
        </w:rPr>
        <w:t xml:space="preserve"> </w:t>
      </w:r>
      <w:r>
        <w:t>rol</w:t>
      </w:r>
      <w:r>
        <w:rPr>
          <w:spacing w:val="-3"/>
        </w:rPr>
        <w:t xml:space="preserve"> </w:t>
      </w:r>
      <w:r>
        <w:t>central</w:t>
      </w:r>
      <w:r>
        <w:rPr>
          <w:spacing w:val="-3"/>
        </w:rPr>
        <w:t xml:space="preserve"> </w:t>
      </w:r>
      <w:r>
        <w:t>en</w:t>
      </w:r>
      <w:r>
        <w:rPr>
          <w:spacing w:val="-4"/>
        </w:rPr>
        <w:t xml:space="preserve"> </w:t>
      </w:r>
      <w:r>
        <w:t>la</w:t>
      </w:r>
      <w:r>
        <w:rPr>
          <w:spacing w:val="-3"/>
        </w:rPr>
        <w:t xml:space="preserve"> </w:t>
      </w:r>
      <w:r>
        <w:t>conducción estratégica y operacional de las Fuerzas Militares y la Policía</w:t>
      </w:r>
      <w:r w:rsidR="001A4506">
        <w:rPr>
          <w:rStyle w:val="Refdenotaalpie"/>
        </w:rPr>
        <w:footnoteReference w:id="1255"/>
      </w:r>
      <w:r>
        <w:t xml:space="preserve">. Por ello, es necesario que esta se adapte a los cambios del contexto y de una nueva visión de seguridad. Este carácter </w:t>
      </w:r>
      <w:r>
        <w:rPr>
          <w:spacing w:val="-2"/>
        </w:rPr>
        <w:t>adaptativo</w:t>
      </w:r>
      <w:r>
        <w:rPr>
          <w:spacing w:val="-6"/>
        </w:rPr>
        <w:t xml:space="preserve"> </w:t>
      </w:r>
      <w:r>
        <w:rPr>
          <w:spacing w:val="-2"/>
        </w:rPr>
        <w:t>es</w:t>
      </w:r>
      <w:r>
        <w:rPr>
          <w:spacing w:val="-6"/>
        </w:rPr>
        <w:t xml:space="preserve"> </w:t>
      </w:r>
      <w:r>
        <w:rPr>
          <w:spacing w:val="-2"/>
        </w:rPr>
        <w:t>comprendido</w:t>
      </w:r>
      <w:r>
        <w:rPr>
          <w:spacing w:val="-6"/>
        </w:rPr>
        <w:t xml:space="preserve"> </w:t>
      </w:r>
      <w:r>
        <w:rPr>
          <w:spacing w:val="-2"/>
        </w:rPr>
        <w:t>por</w:t>
      </w:r>
      <w:r>
        <w:rPr>
          <w:spacing w:val="-5"/>
        </w:rPr>
        <w:t xml:space="preserve"> </w:t>
      </w:r>
      <w:r>
        <w:rPr>
          <w:spacing w:val="-2"/>
        </w:rPr>
        <w:t>la</w:t>
      </w:r>
      <w:r>
        <w:rPr>
          <w:spacing w:val="-6"/>
        </w:rPr>
        <w:t xml:space="preserve"> </w:t>
      </w:r>
      <w:r>
        <w:rPr>
          <w:spacing w:val="-2"/>
        </w:rPr>
        <w:t>fuerza</w:t>
      </w:r>
      <w:r>
        <w:rPr>
          <w:spacing w:val="-6"/>
        </w:rPr>
        <w:t xml:space="preserve"> </w:t>
      </w:r>
      <w:r>
        <w:rPr>
          <w:spacing w:val="-2"/>
        </w:rPr>
        <w:t>pública</w:t>
      </w:r>
      <w:r>
        <w:rPr>
          <w:spacing w:val="-7"/>
        </w:rPr>
        <w:t xml:space="preserve"> </w:t>
      </w:r>
      <w:r>
        <w:rPr>
          <w:spacing w:val="-2"/>
        </w:rPr>
        <w:t>por</w:t>
      </w:r>
      <w:r>
        <w:rPr>
          <w:spacing w:val="-5"/>
        </w:rPr>
        <w:t xml:space="preserve"> </w:t>
      </w:r>
      <w:r>
        <w:rPr>
          <w:spacing w:val="-2"/>
        </w:rPr>
        <w:t>lo</w:t>
      </w:r>
      <w:r>
        <w:rPr>
          <w:spacing w:val="-6"/>
        </w:rPr>
        <w:t xml:space="preserve"> </w:t>
      </w:r>
      <w:r>
        <w:rPr>
          <w:spacing w:val="-2"/>
        </w:rPr>
        <w:t>que,</w:t>
      </w:r>
      <w:r>
        <w:rPr>
          <w:spacing w:val="-6"/>
        </w:rPr>
        <w:t xml:space="preserve"> </w:t>
      </w:r>
      <w:r>
        <w:rPr>
          <w:spacing w:val="-2"/>
        </w:rPr>
        <w:t>en</w:t>
      </w:r>
      <w:r>
        <w:rPr>
          <w:spacing w:val="-7"/>
        </w:rPr>
        <w:t xml:space="preserve"> </w:t>
      </w:r>
      <w:r>
        <w:rPr>
          <w:spacing w:val="-2"/>
        </w:rPr>
        <w:t>particular</w:t>
      </w:r>
      <w:r>
        <w:rPr>
          <w:spacing w:val="-5"/>
        </w:rPr>
        <w:t xml:space="preserve"> </w:t>
      </w:r>
      <w:r>
        <w:rPr>
          <w:spacing w:val="-2"/>
        </w:rPr>
        <w:t>las</w:t>
      </w:r>
      <w:r>
        <w:rPr>
          <w:spacing w:val="-6"/>
        </w:rPr>
        <w:t xml:space="preserve"> </w:t>
      </w:r>
      <w:r>
        <w:rPr>
          <w:spacing w:val="-2"/>
        </w:rPr>
        <w:t>Fuerzas</w:t>
      </w:r>
      <w:r>
        <w:rPr>
          <w:spacing w:val="-7"/>
        </w:rPr>
        <w:t xml:space="preserve"> </w:t>
      </w:r>
      <w:r>
        <w:rPr>
          <w:spacing w:val="-2"/>
        </w:rPr>
        <w:t xml:space="preserve">Militares </w:t>
      </w:r>
      <w:r>
        <w:t>y</w:t>
      </w:r>
      <w:r>
        <w:rPr>
          <w:spacing w:val="-6"/>
        </w:rPr>
        <w:t xml:space="preserve"> </w:t>
      </w:r>
      <w:r>
        <w:t>recientemente</w:t>
      </w:r>
      <w:r>
        <w:rPr>
          <w:spacing w:val="-7"/>
        </w:rPr>
        <w:t xml:space="preserve"> </w:t>
      </w:r>
      <w:r>
        <w:t>la</w:t>
      </w:r>
      <w:r>
        <w:rPr>
          <w:spacing w:val="-6"/>
        </w:rPr>
        <w:t xml:space="preserve"> </w:t>
      </w:r>
      <w:r>
        <w:t>Policía</w:t>
      </w:r>
      <w:r>
        <w:rPr>
          <w:spacing w:val="-6"/>
        </w:rPr>
        <w:t xml:space="preserve"> </w:t>
      </w:r>
      <w:r>
        <w:t>en</w:t>
      </w:r>
      <w:r>
        <w:rPr>
          <w:spacing w:val="-7"/>
        </w:rPr>
        <w:t xml:space="preserve"> </w:t>
      </w:r>
      <w:r>
        <w:t>2019,</w:t>
      </w:r>
      <w:r>
        <w:rPr>
          <w:spacing w:val="-6"/>
        </w:rPr>
        <w:t xml:space="preserve"> </w:t>
      </w:r>
      <w:r>
        <w:t>han</w:t>
      </w:r>
      <w:r>
        <w:rPr>
          <w:spacing w:val="-6"/>
        </w:rPr>
        <w:t xml:space="preserve"> </w:t>
      </w:r>
      <w:r>
        <w:t>avanzado</w:t>
      </w:r>
      <w:r>
        <w:rPr>
          <w:spacing w:val="-7"/>
        </w:rPr>
        <w:t xml:space="preserve"> </w:t>
      </w:r>
      <w:r>
        <w:t>en</w:t>
      </w:r>
      <w:r>
        <w:rPr>
          <w:spacing w:val="-6"/>
        </w:rPr>
        <w:t xml:space="preserve"> </w:t>
      </w:r>
      <w:r>
        <w:t>un</w:t>
      </w:r>
      <w:r>
        <w:rPr>
          <w:spacing w:val="-6"/>
        </w:rPr>
        <w:t xml:space="preserve"> </w:t>
      </w:r>
      <w:r>
        <w:t>proceso</w:t>
      </w:r>
      <w:r>
        <w:rPr>
          <w:spacing w:val="-6"/>
        </w:rPr>
        <w:t xml:space="preserve"> </w:t>
      </w:r>
      <w:r>
        <w:t>de</w:t>
      </w:r>
      <w:r>
        <w:rPr>
          <w:spacing w:val="-7"/>
        </w:rPr>
        <w:t xml:space="preserve"> </w:t>
      </w:r>
      <w:r>
        <w:t>reflexión</w:t>
      </w:r>
      <w:r>
        <w:rPr>
          <w:spacing w:val="-6"/>
        </w:rPr>
        <w:t xml:space="preserve"> </w:t>
      </w:r>
      <w:r>
        <w:t>y</w:t>
      </w:r>
      <w:r>
        <w:rPr>
          <w:spacing w:val="-6"/>
        </w:rPr>
        <w:t xml:space="preserve"> </w:t>
      </w:r>
      <w:r>
        <w:t>ajuste</w:t>
      </w:r>
      <w:r>
        <w:rPr>
          <w:spacing w:val="-7"/>
        </w:rPr>
        <w:t xml:space="preserve"> </w:t>
      </w:r>
      <w:r>
        <w:t>que,</w:t>
      </w:r>
      <w:r>
        <w:rPr>
          <w:spacing w:val="-6"/>
        </w:rPr>
        <w:t xml:space="preserve"> </w:t>
      </w:r>
      <w:r>
        <w:t xml:space="preserve">en sus esfuerzos más recientes, empezó a materializarse en 2006 con la creación del sistema educativo de las Fuerzas Armadas, el cual hay que evaluar, y luego en el Ejército con la conformación, entre 2011 y 2012, del Comité de Renovación Estratégica e Innovación, el Comité Estratégico de Transformación e Innovación y el Comité Estratégico de Diseño del Ejército del Futuro, y la posterior </w:t>
      </w:r>
      <w:r>
        <w:lastRenderedPageBreak/>
        <w:t>elaboración de una nueva directiva de doctrina en 2014 y la doctrina Damasco. Desde entonces, se han desarrollado diferentes acciones, incluida la revisión</w:t>
      </w:r>
      <w:r>
        <w:rPr>
          <w:spacing w:val="-7"/>
        </w:rPr>
        <w:t xml:space="preserve"> </w:t>
      </w:r>
      <w:r>
        <w:t>por</w:t>
      </w:r>
      <w:r>
        <w:rPr>
          <w:spacing w:val="-9"/>
        </w:rPr>
        <w:t xml:space="preserve"> </w:t>
      </w:r>
      <w:r>
        <w:t>parte</w:t>
      </w:r>
      <w:r>
        <w:rPr>
          <w:spacing w:val="-8"/>
        </w:rPr>
        <w:t xml:space="preserve"> </w:t>
      </w:r>
      <w:r>
        <w:t>del</w:t>
      </w:r>
      <w:r>
        <w:rPr>
          <w:spacing w:val="-7"/>
        </w:rPr>
        <w:t xml:space="preserve"> </w:t>
      </w:r>
      <w:r>
        <w:t>Comité</w:t>
      </w:r>
      <w:r>
        <w:rPr>
          <w:spacing w:val="-7"/>
        </w:rPr>
        <w:t xml:space="preserve"> </w:t>
      </w:r>
      <w:r>
        <w:t>Internacional</w:t>
      </w:r>
      <w:r>
        <w:rPr>
          <w:spacing w:val="-8"/>
        </w:rPr>
        <w:t xml:space="preserve"> </w:t>
      </w:r>
      <w:r>
        <w:t>de</w:t>
      </w:r>
      <w:r>
        <w:rPr>
          <w:spacing w:val="-7"/>
        </w:rPr>
        <w:t xml:space="preserve"> </w:t>
      </w:r>
      <w:r>
        <w:t>la</w:t>
      </w:r>
      <w:r>
        <w:rPr>
          <w:spacing w:val="-8"/>
        </w:rPr>
        <w:t xml:space="preserve"> </w:t>
      </w:r>
      <w:r>
        <w:t>Cruz</w:t>
      </w:r>
      <w:r>
        <w:rPr>
          <w:spacing w:val="-7"/>
        </w:rPr>
        <w:t xml:space="preserve"> </w:t>
      </w:r>
      <w:r>
        <w:t>Roja,</w:t>
      </w:r>
      <w:r>
        <w:rPr>
          <w:spacing w:val="-7"/>
        </w:rPr>
        <w:t xml:space="preserve"> </w:t>
      </w:r>
      <w:r>
        <w:t>en</w:t>
      </w:r>
      <w:r>
        <w:rPr>
          <w:spacing w:val="-7"/>
        </w:rPr>
        <w:t xml:space="preserve"> </w:t>
      </w:r>
      <w:r>
        <w:t>2016,</w:t>
      </w:r>
      <w:r>
        <w:rPr>
          <w:spacing w:val="-7"/>
        </w:rPr>
        <w:t xml:space="preserve"> </w:t>
      </w:r>
      <w:r>
        <w:t>y</w:t>
      </w:r>
      <w:r>
        <w:rPr>
          <w:spacing w:val="-7"/>
        </w:rPr>
        <w:t xml:space="preserve"> </w:t>
      </w:r>
      <w:r>
        <w:t>se</w:t>
      </w:r>
      <w:r>
        <w:rPr>
          <w:spacing w:val="-8"/>
        </w:rPr>
        <w:t xml:space="preserve"> </w:t>
      </w:r>
      <w:r>
        <w:t>ha</w:t>
      </w:r>
      <w:r>
        <w:rPr>
          <w:spacing w:val="-7"/>
        </w:rPr>
        <w:t xml:space="preserve"> </w:t>
      </w:r>
      <w:r>
        <w:t>avanzado</w:t>
      </w:r>
      <w:r>
        <w:rPr>
          <w:spacing w:val="-8"/>
        </w:rPr>
        <w:t xml:space="preserve"> </w:t>
      </w:r>
      <w:r>
        <w:t>en</w:t>
      </w:r>
      <w:r>
        <w:rPr>
          <w:spacing w:val="-7"/>
        </w:rPr>
        <w:t xml:space="preserve"> </w:t>
      </w:r>
      <w:r>
        <w:t>un proceso</w:t>
      </w:r>
      <w:r>
        <w:rPr>
          <w:spacing w:val="-11"/>
        </w:rPr>
        <w:t xml:space="preserve"> </w:t>
      </w:r>
      <w:r>
        <w:t>por</w:t>
      </w:r>
      <w:r>
        <w:rPr>
          <w:spacing w:val="-12"/>
        </w:rPr>
        <w:t xml:space="preserve"> </w:t>
      </w:r>
      <w:r>
        <w:t>fases</w:t>
      </w:r>
      <w:r>
        <w:rPr>
          <w:spacing w:val="-12"/>
        </w:rPr>
        <w:t xml:space="preserve"> </w:t>
      </w:r>
      <w:r>
        <w:t>para</w:t>
      </w:r>
      <w:r>
        <w:rPr>
          <w:spacing w:val="-12"/>
        </w:rPr>
        <w:t xml:space="preserve"> </w:t>
      </w:r>
      <w:r>
        <w:t>continuar</w:t>
      </w:r>
      <w:r>
        <w:rPr>
          <w:spacing w:val="-10"/>
        </w:rPr>
        <w:t xml:space="preserve"> </w:t>
      </w:r>
      <w:r>
        <w:t>con</w:t>
      </w:r>
      <w:r>
        <w:rPr>
          <w:spacing w:val="-12"/>
        </w:rPr>
        <w:t xml:space="preserve"> </w:t>
      </w:r>
      <w:r>
        <w:t>la</w:t>
      </w:r>
      <w:r>
        <w:rPr>
          <w:spacing w:val="-11"/>
        </w:rPr>
        <w:t xml:space="preserve"> </w:t>
      </w:r>
      <w:r>
        <w:t>revisión</w:t>
      </w:r>
      <w:r>
        <w:rPr>
          <w:spacing w:val="-12"/>
        </w:rPr>
        <w:t xml:space="preserve"> </w:t>
      </w:r>
      <w:r>
        <w:t>y</w:t>
      </w:r>
      <w:r>
        <w:rPr>
          <w:spacing w:val="-11"/>
        </w:rPr>
        <w:t xml:space="preserve"> </w:t>
      </w:r>
      <w:r>
        <w:t>la</w:t>
      </w:r>
      <w:r>
        <w:rPr>
          <w:spacing w:val="-11"/>
        </w:rPr>
        <w:t xml:space="preserve"> </w:t>
      </w:r>
      <w:r>
        <w:t>actualización.</w:t>
      </w:r>
      <w:r>
        <w:rPr>
          <w:spacing w:val="-11"/>
        </w:rPr>
        <w:t xml:space="preserve"> </w:t>
      </w:r>
      <w:r>
        <w:t>La</w:t>
      </w:r>
      <w:r>
        <w:rPr>
          <w:spacing w:val="-11"/>
        </w:rPr>
        <w:t xml:space="preserve"> </w:t>
      </w:r>
      <w:r>
        <w:t>Comisión</w:t>
      </w:r>
      <w:r>
        <w:rPr>
          <w:spacing w:val="-11"/>
        </w:rPr>
        <w:t xml:space="preserve"> </w:t>
      </w:r>
      <w:r>
        <w:t>de</w:t>
      </w:r>
      <w:r>
        <w:rPr>
          <w:spacing w:val="-12"/>
        </w:rPr>
        <w:t xml:space="preserve"> </w:t>
      </w:r>
      <w:r>
        <w:t>la</w:t>
      </w:r>
      <w:r>
        <w:rPr>
          <w:spacing w:val="-12"/>
        </w:rPr>
        <w:t xml:space="preserve"> </w:t>
      </w:r>
      <w:r>
        <w:t>Verdad llama a que, como parte de este proceso constante de adaptación, se garantice que se deja atrás la doctrina del enemigo interno que tanta violencia contra la población civil ha justificado y que la doctrina se ajuste a los propósitos de construcción de paz y la transformación del contexto, así como a la nueva visión de seguridad, e incorporándola a todas</w:t>
      </w:r>
      <w:r>
        <w:rPr>
          <w:spacing w:val="-2"/>
        </w:rPr>
        <w:t xml:space="preserve"> </w:t>
      </w:r>
      <w:r>
        <w:t>las</w:t>
      </w:r>
      <w:r>
        <w:rPr>
          <w:spacing w:val="-2"/>
        </w:rPr>
        <w:t xml:space="preserve"> </w:t>
      </w:r>
      <w:r>
        <w:t>modalidades</w:t>
      </w:r>
      <w:r>
        <w:rPr>
          <w:spacing w:val="-2"/>
        </w:rPr>
        <w:t xml:space="preserve"> </w:t>
      </w:r>
      <w:r>
        <w:t>de</w:t>
      </w:r>
      <w:r>
        <w:rPr>
          <w:spacing w:val="-3"/>
        </w:rPr>
        <w:t xml:space="preserve"> </w:t>
      </w:r>
      <w:r>
        <w:t>la</w:t>
      </w:r>
      <w:r>
        <w:rPr>
          <w:spacing w:val="-2"/>
        </w:rPr>
        <w:t xml:space="preserve"> </w:t>
      </w:r>
      <w:r>
        <w:t>formación</w:t>
      </w:r>
      <w:r>
        <w:rPr>
          <w:spacing w:val="-2"/>
        </w:rPr>
        <w:t xml:space="preserve"> </w:t>
      </w:r>
      <w:r>
        <w:t>militar.</w:t>
      </w:r>
      <w:r>
        <w:rPr>
          <w:spacing w:val="-2"/>
        </w:rPr>
        <w:t xml:space="preserve"> </w:t>
      </w:r>
      <w:r>
        <w:t>Esto</w:t>
      </w:r>
      <w:r>
        <w:rPr>
          <w:spacing w:val="-2"/>
        </w:rPr>
        <w:t xml:space="preserve"> </w:t>
      </w:r>
      <w:r>
        <w:t>incluye,</w:t>
      </w:r>
      <w:r>
        <w:rPr>
          <w:spacing w:val="-2"/>
        </w:rPr>
        <w:t xml:space="preserve"> </w:t>
      </w:r>
      <w:r>
        <w:t>además</w:t>
      </w:r>
      <w:r>
        <w:rPr>
          <w:spacing w:val="-2"/>
        </w:rPr>
        <w:t xml:space="preserve"> </w:t>
      </w:r>
      <w:r>
        <w:t>de</w:t>
      </w:r>
      <w:r>
        <w:rPr>
          <w:spacing w:val="-2"/>
        </w:rPr>
        <w:t xml:space="preserve"> </w:t>
      </w:r>
      <w:r>
        <w:t>poner</w:t>
      </w:r>
      <w:r>
        <w:rPr>
          <w:spacing w:val="-2"/>
        </w:rPr>
        <w:t xml:space="preserve"> </w:t>
      </w:r>
      <w:r>
        <w:t>en</w:t>
      </w:r>
      <w:r>
        <w:rPr>
          <w:spacing w:val="-2"/>
        </w:rPr>
        <w:t xml:space="preserve"> </w:t>
      </w:r>
      <w:r>
        <w:t>el</w:t>
      </w:r>
      <w:r>
        <w:rPr>
          <w:spacing w:val="-2"/>
        </w:rPr>
        <w:t xml:space="preserve"> </w:t>
      </w:r>
      <w:r>
        <w:t>centro</w:t>
      </w:r>
      <w:r>
        <w:rPr>
          <w:spacing w:val="-2"/>
        </w:rPr>
        <w:t xml:space="preserve"> </w:t>
      </w:r>
      <w:r>
        <w:t>el cuidado de la vida, lograr que el proceso tenga publicidad y transparencia suficientes para que la sociedad en general tenga plena confianza sobre los principios que guían el actuar de la fuerza pública y la manera como se garantiza su difusión y seguimiento.</w:t>
      </w:r>
    </w:p>
    <w:p w:rsidR="003804AC" w:rsidRDefault="00AF18A5" w:rsidP="001A4506">
      <w:r>
        <w:t>En quinto lugar, se hace referencia a la necesidad de un marco legal estatutario y de política claro para el uso de la fuerza tanto para las Fuerzas Militares como para la Policía Nacional.</w:t>
      </w:r>
      <w:r>
        <w:rPr>
          <w:spacing w:val="29"/>
        </w:rPr>
        <w:t xml:space="preserve"> </w:t>
      </w:r>
      <w:r>
        <w:t>El</w:t>
      </w:r>
      <w:r>
        <w:rPr>
          <w:spacing w:val="31"/>
        </w:rPr>
        <w:t xml:space="preserve"> </w:t>
      </w:r>
      <w:r>
        <w:t>sexto</w:t>
      </w:r>
      <w:r>
        <w:rPr>
          <w:spacing w:val="30"/>
        </w:rPr>
        <w:t xml:space="preserve"> </w:t>
      </w:r>
      <w:r>
        <w:t>aspecto</w:t>
      </w:r>
      <w:r>
        <w:rPr>
          <w:spacing w:val="31"/>
        </w:rPr>
        <w:t xml:space="preserve"> </w:t>
      </w:r>
      <w:r>
        <w:t>propone</w:t>
      </w:r>
      <w:r>
        <w:rPr>
          <w:spacing w:val="29"/>
        </w:rPr>
        <w:t xml:space="preserve"> </w:t>
      </w:r>
      <w:r>
        <w:t>ajustes</w:t>
      </w:r>
      <w:r>
        <w:rPr>
          <w:spacing w:val="30"/>
        </w:rPr>
        <w:t xml:space="preserve"> </w:t>
      </w:r>
      <w:r>
        <w:t>en</w:t>
      </w:r>
      <w:r>
        <w:rPr>
          <w:spacing w:val="30"/>
        </w:rPr>
        <w:t xml:space="preserve"> </w:t>
      </w:r>
      <w:r>
        <w:t>la</w:t>
      </w:r>
      <w:r>
        <w:rPr>
          <w:spacing w:val="31"/>
        </w:rPr>
        <w:t xml:space="preserve"> </w:t>
      </w:r>
      <w:r>
        <w:t>estructura</w:t>
      </w:r>
      <w:r>
        <w:rPr>
          <w:spacing w:val="29"/>
        </w:rPr>
        <w:t xml:space="preserve"> </w:t>
      </w:r>
      <w:r>
        <w:t>de</w:t>
      </w:r>
      <w:r>
        <w:rPr>
          <w:spacing w:val="31"/>
        </w:rPr>
        <w:t xml:space="preserve"> </w:t>
      </w:r>
      <w:r>
        <w:t>las</w:t>
      </w:r>
      <w:r>
        <w:rPr>
          <w:spacing w:val="30"/>
        </w:rPr>
        <w:t xml:space="preserve"> </w:t>
      </w:r>
      <w:r>
        <w:t>Fuerzas</w:t>
      </w:r>
      <w:r>
        <w:rPr>
          <w:spacing w:val="31"/>
        </w:rPr>
        <w:t xml:space="preserve"> </w:t>
      </w:r>
      <w:r>
        <w:t>Militares</w:t>
      </w:r>
      <w:r>
        <w:rPr>
          <w:spacing w:val="30"/>
        </w:rPr>
        <w:t xml:space="preserve"> </w:t>
      </w:r>
      <w:r>
        <w:t>y</w:t>
      </w:r>
      <w:r>
        <w:rPr>
          <w:spacing w:val="31"/>
        </w:rPr>
        <w:t xml:space="preserve"> </w:t>
      </w:r>
      <w:r>
        <w:rPr>
          <w:spacing w:val="-5"/>
        </w:rPr>
        <w:t>la</w:t>
      </w:r>
      <w:bookmarkStart w:id="1632" w:name="_bookmark1416"/>
      <w:bookmarkEnd w:id="1632"/>
      <w:r w:rsidR="001A4506">
        <w:rPr>
          <w:spacing w:val="-5"/>
        </w:rPr>
        <w:t xml:space="preserve"> </w:t>
      </w:r>
      <w:r>
        <w:t>Policía para que la misma responda a sus roles y misiones en el marco de la visión de seguridad. Como séptimo punto se encuentran los controles a los ingresos y ascensos a las Fuerzas Militares y la Policía para asegurar la integridad de quienes están a cargo de garantizar</w:t>
      </w:r>
      <w:r>
        <w:rPr>
          <w:spacing w:val="-1"/>
        </w:rPr>
        <w:t xml:space="preserve"> </w:t>
      </w:r>
      <w:r>
        <w:t>la</w:t>
      </w:r>
      <w:r>
        <w:rPr>
          <w:spacing w:val="-2"/>
        </w:rPr>
        <w:t xml:space="preserve"> </w:t>
      </w:r>
      <w:r>
        <w:t>seguridad</w:t>
      </w:r>
      <w:r>
        <w:rPr>
          <w:spacing w:val="-1"/>
        </w:rPr>
        <w:t xml:space="preserve"> </w:t>
      </w:r>
      <w:r>
        <w:t>y</w:t>
      </w:r>
      <w:r>
        <w:rPr>
          <w:spacing w:val="-2"/>
        </w:rPr>
        <w:t xml:space="preserve"> </w:t>
      </w:r>
      <w:r>
        <w:t>la</w:t>
      </w:r>
      <w:r>
        <w:rPr>
          <w:spacing w:val="-1"/>
        </w:rPr>
        <w:t xml:space="preserve"> </w:t>
      </w:r>
      <w:r>
        <w:t>defensa</w:t>
      </w:r>
      <w:r>
        <w:rPr>
          <w:spacing w:val="-1"/>
        </w:rPr>
        <w:t xml:space="preserve"> </w:t>
      </w:r>
      <w:r>
        <w:t>de</w:t>
      </w:r>
      <w:r>
        <w:rPr>
          <w:spacing w:val="-1"/>
        </w:rPr>
        <w:t xml:space="preserve"> </w:t>
      </w:r>
      <w:r>
        <w:t>las</w:t>
      </w:r>
      <w:r>
        <w:rPr>
          <w:spacing w:val="-1"/>
        </w:rPr>
        <w:t xml:space="preserve"> </w:t>
      </w:r>
      <w:r>
        <w:t>y</w:t>
      </w:r>
      <w:r>
        <w:rPr>
          <w:spacing w:val="-1"/>
        </w:rPr>
        <w:t xml:space="preserve"> </w:t>
      </w:r>
      <w:r>
        <w:t>los</w:t>
      </w:r>
      <w:r>
        <w:rPr>
          <w:spacing w:val="-1"/>
        </w:rPr>
        <w:t xml:space="preserve"> </w:t>
      </w:r>
      <w:r>
        <w:t>colombianos.</w:t>
      </w:r>
      <w:r>
        <w:rPr>
          <w:spacing w:val="-2"/>
        </w:rPr>
        <w:t xml:space="preserve"> </w:t>
      </w:r>
      <w:r>
        <w:t>Por</w:t>
      </w:r>
      <w:r>
        <w:rPr>
          <w:spacing w:val="-1"/>
        </w:rPr>
        <w:t xml:space="preserve"> </w:t>
      </w:r>
      <w:r>
        <w:t>último,</w:t>
      </w:r>
      <w:r>
        <w:rPr>
          <w:spacing w:val="-2"/>
        </w:rPr>
        <w:t xml:space="preserve"> </w:t>
      </w:r>
      <w:r>
        <w:t>el</w:t>
      </w:r>
      <w:r>
        <w:rPr>
          <w:spacing w:val="-1"/>
        </w:rPr>
        <w:t xml:space="preserve"> </w:t>
      </w:r>
      <w:r>
        <w:t>octavo</w:t>
      </w:r>
      <w:r>
        <w:rPr>
          <w:spacing w:val="-1"/>
        </w:rPr>
        <w:t xml:space="preserve"> </w:t>
      </w:r>
      <w:r>
        <w:t>punto</w:t>
      </w:r>
      <w:r>
        <w:rPr>
          <w:spacing w:val="-1"/>
        </w:rPr>
        <w:t xml:space="preserve"> </w:t>
      </w:r>
      <w:r>
        <w:t>se aproxima a otros aspectos relacionados con las narrativas, los procesos pedagógicos y los ejercicios de</w:t>
      </w:r>
      <w:r>
        <w:rPr>
          <w:spacing w:val="-1"/>
        </w:rPr>
        <w:t xml:space="preserve"> </w:t>
      </w:r>
      <w:r>
        <w:t>memoria por la importancia que estos tienen en</w:t>
      </w:r>
      <w:r>
        <w:rPr>
          <w:spacing w:val="-1"/>
        </w:rPr>
        <w:t xml:space="preserve"> </w:t>
      </w:r>
      <w:r>
        <w:t>el marco de</w:t>
      </w:r>
      <w:r>
        <w:rPr>
          <w:spacing w:val="-1"/>
        </w:rPr>
        <w:t xml:space="preserve"> </w:t>
      </w:r>
      <w:r>
        <w:t>la nueva visión de seguridad.</w:t>
      </w:r>
      <w:r>
        <w:rPr>
          <w:spacing w:val="-8"/>
        </w:rPr>
        <w:t xml:space="preserve"> </w:t>
      </w:r>
      <w:r>
        <w:t>Este</w:t>
      </w:r>
      <w:r>
        <w:rPr>
          <w:spacing w:val="-8"/>
        </w:rPr>
        <w:t xml:space="preserve"> </w:t>
      </w:r>
      <w:r>
        <w:t>punto</w:t>
      </w:r>
      <w:r>
        <w:rPr>
          <w:spacing w:val="-8"/>
        </w:rPr>
        <w:t xml:space="preserve"> </w:t>
      </w:r>
      <w:r>
        <w:t>busca</w:t>
      </w:r>
      <w:r>
        <w:rPr>
          <w:spacing w:val="-8"/>
        </w:rPr>
        <w:t xml:space="preserve"> </w:t>
      </w:r>
      <w:r>
        <w:t>promover</w:t>
      </w:r>
      <w:r>
        <w:rPr>
          <w:spacing w:val="-8"/>
        </w:rPr>
        <w:t xml:space="preserve"> </w:t>
      </w:r>
      <w:r>
        <w:t>una</w:t>
      </w:r>
      <w:r>
        <w:rPr>
          <w:spacing w:val="-8"/>
        </w:rPr>
        <w:t xml:space="preserve"> </w:t>
      </w:r>
      <w:r>
        <w:t>cultura</w:t>
      </w:r>
      <w:r>
        <w:rPr>
          <w:spacing w:val="-9"/>
        </w:rPr>
        <w:t xml:space="preserve"> </w:t>
      </w:r>
      <w:r>
        <w:t>institucional</w:t>
      </w:r>
      <w:r>
        <w:rPr>
          <w:spacing w:val="-8"/>
        </w:rPr>
        <w:t xml:space="preserve"> </w:t>
      </w:r>
      <w:r>
        <w:t>democrática,</w:t>
      </w:r>
      <w:r>
        <w:rPr>
          <w:spacing w:val="-8"/>
        </w:rPr>
        <w:t xml:space="preserve"> </w:t>
      </w:r>
      <w:r>
        <w:t>de</w:t>
      </w:r>
      <w:r>
        <w:rPr>
          <w:spacing w:val="-8"/>
        </w:rPr>
        <w:t xml:space="preserve"> </w:t>
      </w:r>
      <w:r>
        <w:t>respeto</w:t>
      </w:r>
      <w:r>
        <w:rPr>
          <w:spacing w:val="-9"/>
        </w:rPr>
        <w:t xml:space="preserve"> </w:t>
      </w:r>
      <w:r>
        <w:t>a</w:t>
      </w:r>
      <w:r>
        <w:rPr>
          <w:spacing w:val="-8"/>
        </w:rPr>
        <w:t xml:space="preserve"> </w:t>
      </w:r>
      <w:r>
        <w:t xml:space="preserve">los </w:t>
      </w:r>
      <w:r>
        <w:lastRenderedPageBreak/>
        <w:t>derechos</w:t>
      </w:r>
      <w:r>
        <w:rPr>
          <w:spacing w:val="-3"/>
        </w:rPr>
        <w:t xml:space="preserve"> </w:t>
      </w:r>
      <w:r>
        <w:t>humanos</w:t>
      </w:r>
      <w:r>
        <w:rPr>
          <w:spacing w:val="-3"/>
        </w:rPr>
        <w:t xml:space="preserve"> </w:t>
      </w:r>
      <w:r>
        <w:t>y</w:t>
      </w:r>
      <w:r>
        <w:rPr>
          <w:spacing w:val="-3"/>
        </w:rPr>
        <w:t xml:space="preserve"> </w:t>
      </w:r>
      <w:r>
        <w:t>de</w:t>
      </w:r>
      <w:r>
        <w:rPr>
          <w:spacing w:val="-3"/>
        </w:rPr>
        <w:t xml:space="preserve"> </w:t>
      </w:r>
      <w:r>
        <w:t>reconocimiento</w:t>
      </w:r>
      <w:r>
        <w:rPr>
          <w:spacing w:val="-3"/>
        </w:rPr>
        <w:t xml:space="preserve"> </w:t>
      </w:r>
      <w:r>
        <w:t>de</w:t>
      </w:r>
      <w:r>
        <w:rPr>
          <w:spacing w:val="-3"/>
        </w:rPr>
        <w:t xml:space="preserve"> </w:t>
      </w:r>
      <w:r>
        <w:t>las</w:t>
      </w:r>
      <w:r>
        <w:rPr>
          <w:spacing w:val="-3"/>
        </w:rPr>
        <w:t xml:space="preserve"> </w:t>
      </w:r>
      <w:r>
        <w:t>responsabilidades</w:t>
      </w:r>
      <w:r>
        <w:rPr>
          <w:spacing w:val="-3"/>
        </w:rPr>
        <w:t xml:space="preserve"> </w:t>
      </w:r>
      <w:r>
        <w:t>que</w:t>
      </w:r>
      <w:r>
        <w:rPr>
          <w:spacing w:val="-3"/>
        </w:rPr>
        <w:t xml:space="preserve"> </w:t>
      </w:r>
      <w:r>
        <w:t>han</w:t>
      </w:r>
      <w:r>
        <w:rPr>
          <w:spacing w:val="-2"/>
        </w:rPr>
        <w:t xml:space="preserve"> </w:t>
      </w:r>
      <w:r>
        <w:t>tenido</w:t>
      </w:r>
      <w:r>
        <w:rPr>
          <w:spacing w:val="-3"/>
        </w:rPr>
        <w:t xml:space="preserve"> </w:t>
      </w:r>
      <w:r>
        <w:t>en</w:t>
      </w:r>
      <w:r>
        <w:rPr>
          <w:spacing w:val="-3"/>
        </w:rPr>
        <w:t xml:space="preserve"> </w:t>
      </w:r>
      <w:r>
        <w:t>el</w:t>
      </w:r>
      <w:r>
        <w:rPr>
          <w:spacing w:val="-4"/>
        </w:rPr>
        <w:t xml:space="preserve"> </w:t>
      </w:r>
      <w:r>
        <w:t>marco del conflicto, que debe permear al sector en sus prácticas cotidianas.</w:t>
      </w:r>
    </w:p>
    <w:p w:rsidR="003804AC" w:rsidRDefault="00AF18A5" w:rsidP="001A4506">
      <w:r>
        <w:t>Las cuatro recomendaciones que siguen hacen énfasis en el tema de archivos de inteligencia</w:t>
      </w:r>
      <w:r>
        <w:rPr>
          <w:spacing w:val="-15"/>
        </w:rPr>
        <w:t xml:space="preserve"> </w:t>
      </w:r>
      <w:r>
        <w:t>y</w:t>
      </w:r>
      <w:r>
        <w:rPr>
          <w:spacing w:val="-15"/>
        </w:rPr>
        <w:t xml:space="preserve"> </w:t>
      </w:r>
      <w:r>
        <w:t>contrainteligencia</w:t>
      </w:r>
      <w:r>
        <w:rPr>
          <w:spacing w:val="-15"/>
        </w:rPr>
        <w:t xml:space="preserve"> </w:t>
      </w:r>
      <w:r>
        <w:t>y</w:t>
      </w:r>
      <w:r>
        <w:rPr>
          <w:spacing w:val="-15"/>
        </w:rPr>
        <w:t xml:space="preserve"> </w:t>
      </w:r>
      <w:r>
        <w:t>destacan</w:t>
      </w:r>
      <w:r>
        <w:rPr>
          <w:spacing w:val="-15"/>
        </w:rPr>
        <w:t xml:space="preserve"> </w:t>
      </w:r>
      <w:r>
        <w:t>la</w:t>
      </w:r>
      <w:r>
        <w:rPr>
          <w:spacing w:val="-15"/>
        </w:rPr>
        <w:t xml:space="preserve"> </w:t>
      </w:r>
      <w:r>
        <w:t>necesidad</w:t>
      </w:r>
      <w:r>
        <w:rPr>
          <w:spacing w:val="-15"/>
        </w:rPr>
        <w:t xml:space="preserve"> </w:t>
      </w:r>
      <w:r>
        <w:t>de</w:t>
      </w:r>
      <w:r>
        <w:rPr>
          <w:spacing w:val="-15"/>
        </w:rPr>
        <w:t xml:space="preserve"> </w:t>
      </w:r>
      <w:r>
        <w:t>garantizar</w:t>
      </w:r>
      <w:r>
        <w:rPr>
          <w:spacing w:val="-15"/>
        </w:rPr>
        <w:t xml:space="preserve"> </w:t>
      </w:r>
      <w:r>
        <w:t>el</w:t>
      </w:r>
      <w:r>
        <w:rPr>
          <w:spacing w:val="-15"/>
        </w:rPr>
        <w:t xml:space="preserve"> </w:t>
      </w:r>
      <w:r>
        <w:t>acceso</w:t>
      </w:r>
      <w:r>
        <w:rPr>
          <w:spacing w:val="-15"/>
        </w:rPr>
        <w:t xml:space="preserve"> </w:t>
      </w:r>
      <w:r>
        <w:t>a</w:t>
      </w:r>
      <w:r>
        <w:rPr>
          <w:spacing w:val="-15"/>
        </w:rPr>
        <w:t xml:space="preserve"> </w:t>
      </w:r>
      <w:r>
        <w:t>los</w:t>
      </w:r>
      <w:r>
        <w:rPr>
          <w:spacing w:val="-15"/>
        </w:rPr>
        <w:t xml:space="preserve"> </w:t>
      </w:r>
      <w:r>
        <w:t>archivos que hayan cumplido el término de reserva legal, sin perjuicio de reducir este término de acuerdo con lo establecido en la Ley de transparencia y del Derecho de Acceso a la Información Pública; evitar el uso abusivo de la reserva de la información; y garantizar que exista un sistema de depuración que garantice la legalidad y pertinencia de la información.</w:t>
      </w:r>
    </w:p>
    <w:p w:rsidR="003804AC" w:rsidRDefault="00AF18A5" w:rsidP="001A4506">
      <w:r>
        <w:t>Las</w:t>
      </w:r>
      <w:r>
        <w:rPr>
          <w:spacing w:val="-9"/>
        </w:rPr>
        <w:t xml:space="preserve"> </w:t>
      </w:r>
      <w:r>
        <w:t>siguientes</w:t>
      </w:r>
      <w:r>
        <w:rPr>
          <w:spacing w:val="-9"/>
        </w:rPr>
        <w:t xml:space="preserve"> </w:t>
      </w:r>
      <w:r>
        <w:t>dos</w:t>
      </w:r>
      <w:r>
        <w:rPr>
          <w:spacing w:val="-9"/>
        </w:rPr>
        <w:t xml:space="preserve"> </w:t>
      </w:r>
      <w:r>
        <w:t>recomendaciones</w:t>
      </w:r>
      <w:r>
        <w:rPr>
          <w:spacing w:val="-9"/>
        </w:rPr>
        <w:t xml:space="preserve"> </w:t>
      </w:r>
      <w:r>
        <w:t>responden</w:t>
      </w:r>
      <w:r>
        <w:rPr>
          <w:spacing w:val="-11"/>
        </w:rPr>
        <w:t xml:space="preserve"> </w:t>
      </w:r>
      <w:r>
        <w:t>a</w:t>
      </w:r>
      <w:r>
        <w:rPr>
          <w:spacing w:val="-9"/>
        </w:rPr>
        <w:t xml:space="preserve"> </w:t>
      </w:r>
      <w:r>
        <w:t>la</w:t>
      </w:r>
      <w:r>
        <w:rPr>
          <w:spacing w:val="-9"/>
        </w:rPr>
        <w:t xml:space="preserve"> </w:t>
      </w:r>
      <w:r>
        <w:t>necesidad</w:t>
      </w:r>
      <w:r>
        <w:rPr>
          <w:spacing w:val="-9"/>
        </w:rPr>
        <w:t xml:space="preserve"> </w:t>
      </w:r>
      <w:r>
        <w:t>de</w:t>
      </w:r>
      <w:r>
        <w:rPr>
          <w:spacing w:val="-9"/>
        </w:rPr>
        <w:t xml:space="preserve"> </w:t>
      </w:r>
      <w:r>
        <w:t>mayores</w:t>
      </w:r>
      <w:r>
        <w:rPr>
          <w:spacing w:val="-9"/>
        </w:rPr>
        <w:t xml:space="preserve"> </w:t>
      </w:r>
      <w:r>
        <w:t>controles</w:t>
      </w:r>
      <w:r>
        <w:rPr>
          <w:spacing w:val="-9"/>
        </w:rPr>
        <w:t xml:space="preserve"> </w:t>
      </w:r>
      <w:r>
        <w:t>sobre las empresas y departamentos de vigilancia y seguridad privada, y el fortalecimiento del control</w:t>
      </w:r>
      <w:r>
        <w:rPr>
          <w:spacing w:val="-12"/>
        </w:rPr>
        <w:t xml:space="preserve"> </w:t>
      </w:r>
      <w:r>
        <w:t>al</w:t>
      </w:r>
      <w:r>
        <w:rPr>
          <w:spacing w:val="-12"/>
        </w:rPr>
        <w:t xml:space="preserve"> </w:t>
      </w:r>
      <w:r>
        <w:t>comercio,</w:t>
      </w:r>
      <w:r>
        <w:rPr>
          <w:spacing w:val="-12"/>
        </w:rPr>
        <w:t xml:space="preserve"> </w:t>
      </w:r>
      <w:r>
        <w:t>porte</w:t>
      </w:r>
      <w:r>
        <w:rPr>
          <w:spacing w:val="-12"/>
        </w:rPr>
        <w:t xml:space="preserve"> </w:t>
      </w:r>
      <w:r>
        <w:t>y</w:t>
      </w:r>
      <w:r>
        <w:rPr>
          <w:spacing w:val="-12"/>
        </w:rPr>
        <w:t xml:space="preserve"> </w:t>
      </w:r>
      <w:r>
        <w:t>tenencia</w:t>
      </w:r>
      <w:r>
        <w:rPr>
          <w:spacing w:val="-13"/>
        </w:rPr>
        <w:t xml:space="preserve"> </w:t>
      </w:r>
      <w:r>
        <w:t>de</w:t>
      </w:r>
      <w:r>
        <w:rPr>
          <w:spacing w:val="-12"/>
        </w:rPr>
        <w:t xml:space="preserve"> </w:t>
      </w:r>
      <w:r>
        <w:t>armas</w:t>
      </w:r>
      <w:r>
        <w:rPr>
          <w:spacing w:val="-12"/>
        </w:rPr>
        <w:t xml:space="preserve"> </w:t>
      </w:r>
      <w:r>
        <w:t>de</w:t>
      </w:r>
      <w:r>
        <w:rPr>
          <w:spacing w:val="-13"/>
        </w:rPr>
        <w:t xml:space="preserve"> </w:t>
      </w:r>
      <w:r>
        <w:t>fuego.</w:t>
      </w:r>
      <w:r>
        <w:rPr>
          <w:spacing w:val="-12"/>
        </w:rPr>
        <w:t xml:space="preserve"> </w:t>
      </w:r>
      <w:r>
        <w:t>A</w:t>
      </w:r>
      <w:r>
        <w:rPr>
          <w:spacing w:val="-13"/>
        </w:rPr>
        <w:t xml:space="preserve"> </w:t>
      </w:r>
      <w:r>
        <w:t>estas</w:t>
      </w:r>
      <w:r>
        <w:rPr>
          <w:spacing w:val="-12"/>
        </w:rPr>
        <w:t xml:space="preserve"> </w:t>
      </w:r>
      <w:r>
        <w:t>les</w:t>
      </w:r>
      <w:r>
        <w:rPr>
          <w:spacing w:val="-12"/>
        </w:rPr>
        <w:t xml:space="preserve"> </w:t>
      </w:r>
      <w:r>
        <w:t>sigue</w:t>
      </w:r>
      <w:r>
        <w:rPr>
          <w:spacing w:val="-13"/>
        </w:rPr>
        <w:t xml:space="preserve"> </w:t>
      </w:r>
      <w:r>
        <w:t>una</w:t>
      </w:r>
      <w:r>
        <w:rPr>
          <w:spacing w:val="-12"/>
        </w:rPr>
        <w:t xml:space="preserve"> </w:t>
      </w:r>
      <w:r>
        <w:t>recomendación que</w:t>
      </w:r>
      <w:r>
        <w:rPr>
          <w:spacing w:val="-7"/>
        </w:rPr>
        <w:t xml:space="preserve"> </w:t>
      </w:r>
      <w:r>
        <w:t>se</w:t>
      </w:r>
      <w:r>
        <w:rPr>
          <w:spacing w:val="-7"/>
        </w:rPr>
        <w:t xml:space="preserve"> </w:t>
      </w:r>
      <w:r>
        <w:t>relaciona</w:t>
      </w:r>
      <w:r>
        <w:rPr>
          <w:spacing w:val="-7"/>
        </w:rPr>
        <w:t xml:space="preserve"> </w:t>
      </w:r>
      <w:r>
        <w:t>con</w:t>
      </w:r>
      <w:r>
        <w:rPr>
          <w:spacing w:val="-7"/>
        </w:rPr>
        <w:t xml:space="preserve"> </w:t>
      </w:r>
      <w:r>
        <w:t>la</w:t>
      </w:r>
      <w:r>
        <w:rPr>
          <w:spacing w:val="-7"/>
        </w:rPr>
        <w:t xml:space="preserve"> </w:t>
      </w:r>
      <w:r>
        <w:t>necesidad</w:t>
      </w:r>
      <w:r>
        <w:rPr>
          <w:spacing w:val="-7"/>
        </w:rPr>
        <w:t xml:space="preserve"> </w:t>
      </w:r>
      <w:r>
        <w:t>de</w:t>
      </w:r>
      <w:r>
        <w:rPr>
          <w:spacing w:val="-7"/>
        </w:rPr>
        <w:t xml:space="preserve"> </w:t>
      </w:r>
      <w:r>
        <w:t>definir</w:t>
      </w:r>
      <w:r>
        <w:rPr>
          <w:spacing w:val="-7"/>
        </w:rPr>
        <w:t xml:space="preserve"> </w:t>
      </w:r>
      <w:r>
        <w:t>una</w:t>
      </w:r>
      <w:r>
        <w:rPr>
          <w:spacing w:val="-7"/>
        </w:rPr>
        <w:t xml:space="preserve"> </w:t>
      </w:r>
      <w:r>
        <w:t>estrategia</w:t>
      </w:r>
      <w:r>
        <w:rPr>
          <w:spacing w:val="-7"/>
        </w:rPr>
        <w:t xml:space="preserve"> </w:t>
      </w:r>
      <w:r>
        <w:t>diferenciada</w:t>
      </w:r>
      <w:r>
        <w:rPr>
          <w:spacing w:val="-7"/>
        </w:rPr>
        <w:t xml:space="preserve"> </w:t>
      </w:r>
      <w:r>
        <w:t>de</w:t>
      </w:r>
      <w:r>
        <w:rPr>
          <w:spacing w:val="-7"/>
        </w:rPr>
        <w:t xml:space="preserve"> </w:t>
      </w:r>
      <w:r>
        <w:t>seguridad</w:t>
      </w:r>
      <w:r>
        <w:rPr>
          <w:spacing w:val="-7"/>
        </w:rPr>
        <w:t xml:space="preserve"> </w:t>
      </w:r>
      <w:r>
        <w:t>para</w:t>
      </w:r>
      <w:r>
        <w:rPr>
          <w:spacing w:val="-7"/>
        </w:rPr>
        <w:t xml:space="preserve"> </w:t>
      </w:r>
      <w:r>
        <w:t>las áreas rurales y de frontera, teniendo en cuenta las particularidades de violencia que estas enfrentan dada la persistencia de la confrontación en algunas zonas del país. Esta debe entenderse en complemento con las recomendaciones de otros temas como protección integral de territorios y construcción de paz como un proyecto nacional.</w:t>
      </w:r>
    </w:p>
    <w:p w:rsidR="003804AC" w:rsidRDefault="00AF18A5" w:rsidP="001A4506">
      <w:r>
        <w:t>Finalmente, la última recomendación responde a la importancia de que los acuerdos internacionales relacionados con los temas de seguridad y defensa cuenten con la debida transparencia y debate democrático.</w:t>
      </w:r>
    </w:p>
    <w:p w:rsidR="003804AC" w:rsidRDefault="00AF18A5" w:rsidP="001A4506">
      <w:r>
        <w:rPr>
          <w:w w:val="95"/>
        </w:rPr>
        <w:t>RECONOCIMIENTO</w:t>
      </w:r>
      <w:r>
        <w:rPr>
          <w:spacing w:val="34"/>
        </w:rPr>
        <w:t xml:space="preserve"> </w:t>
      </w:r>
      <w:r>
        <w:rPr>
          <w:w w:val="95"/>
        </w:rPr>
        <w:t>-</w:t>
      </w:r>
      <w:r>
        <w:rPr>
          <w:spacing w:val="23"/>
        </w:rPr>
        <w:t xml:space="preserve"> </w:t>
      </w:r>
      <w:r>
        <w:rPr>
          <w:spacing w:val="-2"/>
          <w:w w:val="95"/>
        </w:rPr>
        <w:t>LLAMADO</w:t>
      </w:r>
    </w:p>
    <w:p w:rsidR="003804AC" w:rsidRDefault="00AF18A5" w:rsidP="001A4506">
      <w:r>
        <w:t>Al Estado y</w:t>
      </w:r>
      <w:r>
        <w:rPr>
          <w:spacing w:val="-1"/>
        </w:rPr>
        <w:t xml:space="preserve"> </w:t>
      </w:r>
      <w:r>
        <w:t>a la sociedad en su conjunto, los</w:t>
      </w:r>
      <w:r>
        <w:rPr>
          <w:spacing w:val="-1"/>
        </w:rPr>
        <w:t xml:space="preserve"> </w:t>
      </w:r>
      <w:r>
        <w:t>llamamos a reconocer que</w:t>
      </w:r>
      <w:r>
        <w:rPr>
          <w:spacing w:val="-1"/>
        </w:rPr>
        <w:t xml:space="preserve"> </w:t>
      </w:r>
      <w:r>
        <w:lastRenderedPageBreak/>
        <w:t>la garantía</w:t>
      </w:r>
      <w:r>
        <w:rPr>
          <w:spacing w:val="-1"/>
        </w:rPr>
        <w:t xml:space="preserve"> </w:t>
      </w:r>
      <w:r>
        <w:t>de seguridad de las personas en su diversidad –una que les permita el buen vivir en los territorios– requiere de esfuerzos integrales y articulados desde diferentes instituciones y autoridades públicas, incluida la fuerza pública.</w:t>
      </w:r>
    </w:p>
    <w:p w:rsidR="003804AC" w:rsidRDefault="00AF18A5" w:rsidP="00673FE9">
      <w:r>
        <w:t>Llamamos a</w:t>
      </w:r>
      <w:r>
        <w:rPr>
          <w:spacing w:val="40"/>
        </w:rPr>
        <w:t xml:space="preserve"> </w:t>
      </w:r>
      <w:r>
        <w:t>la ciudadanía y a las instituciones encargadas de la seguridad, en particular</w:t>
      </w:r>
      <w:r>
        <w:rPr>
          <w:spacing w:val="-9"/>
        </w:rPr>
        <w:t xml:space="preserve"> </w:t>
      </w:r>
      <w:r>
        <w:t>a</w:t>
      </w:r>
      <w:r>
        <w:rPr>
          <w:spacing w:val="-11"/>
        </w:rPr>
        <w:t xml:space="preserve"> </w:t>
      </w:r>
      <w:r>
        <w:t>la</w:t>
      </w:r>
      <w:r>
        <w:rPr>
          <w:spacing w:val="-9"/>
        </w:rPr>
        <w:t xml:space="preserve"> </w:t>
      </w:r>
      <w:r>
        <w:t>fuerza</w:t>
      </w:r>
      <w:r>
        <w:rPr>
          <w:spacing w:val="-9"/>
        </w:rPr>
        <w:t xml:space="preserve"> </w:t>
      </w:r>
      <w:r>
        <w:t>pública,</w:t>
      </w:r>
      <w:r>
        <w:rPr>
          <w:spacing w:val="-9"/>
        </w:rPr>
        <w:t xml:space="preserve"> </w:t>
      </w:r>
      <w:r>
        <w:t>a</w:t>
      </w:r>
      <w:r>
        <w:rPr>
          <w:spacing w:val="-11"/>
        </w:rPr>
        <w:t xml:space="preserve"> </w:t>
      </w:r>
      <w:r>
        <w:t>emprender</w:t>
      </w:r>
      <w:r>
        <w:rPr>
          <w:spacing w:val="-9"/>
        </w:rPr>
        <w:t xml:space="preserve"> </w:t>
      </w:r>
      <w:r>
        <w:t>todos</w:t>
      </w:r>
      <w:r>
        <w:rPr>
          <w:spacing w:val="-10"/>
        </w:rPr>
        <w:t xml:space="preserve"> </w:t>
      </w:r>
      <w:r>
        <w:t>los</w:t>
      </w:r>
      <w:r>
        <w:rPr>
          <w:spacing w:val="-9"/>
        </w:rPr>
        <w:t xml:space="preserve"> </w:t>
      </w:r>
      <w:r>
        <w:t>esfuerzos</w:t>
      </w:r>
      <w:r>
        <w:rPr>
          <w:spacing w:val="-9"/>
        </w:rPr>
        <w:t xml:space="preserve"> </w:t>
      </w:r>
      <w:r>
        <w:t>necesarios</w:t>
      </w:r>
      <w:r>
        <w:rPr>
          <w:spacing w:val="-10"/>
        </w:rPr>
        <w:t xml:space="preserve"> </w:t>
      </w:r>
      <w:r>
        <w:t>para</w:t>
      </w:r>
      <w:r>
        <w:rPr>
          <w:spacing w:val="-9"/>
        </w:rPr>
        <w:t xml:space="preserve"> </w:t>
      </w:r>
      <w:r>
        <w:t>reconstruir la confianza, dejar a un lado la estigmatización, respetar el pluralismo y, de esta manera, contribuir al fortalecimiento de la democracia y la construcción de paz.</w:t>
      </w:r>
    </w:p>
    <w:p w:rsidR="0011361F" w:rsidRDefault="00AF18A5" w:rsidP="00673FE9">
      <w:r>
        <w:t>Por</w:t>
      </w:r>
      <w:r>
        <w:rPr>
          <w:spacing w:val="-1"/>
        </w:rPr>
        <w:t xml:space="preserve"> </w:t>
      </w:r>
      <w:r>
        <w:t>lo</w:t>
      </w:r>
      <w:r>
        <w:rPr>
          <w:spacing w:val="-1"/>
        </w:rPr>
        <w:t xml:space="preserve"> </w:t>
      </w:r>
      <w:r>
        <w:t>anterior</w:t>
      </w:r>
      <w:r>
        <w:rPr>
          <w:spacing w:val="-1"/>
        </w:rPr>
        <w:t xml:space="preserve"> </w:t>
      </w:r>
      <w:r>
        <w:rPr>
          <w:b/>
          <w:spacing w:val="-2"/>
        </w:rPr>
        <w:t>RECOMENDAMOS</w:t>
      </w:r>
      <w:r>
        <w:rPr>
          <w:spacing w:val="-2"/>
        </w:rPr>
        <w:t>:</w:t>
      </w:r>
    </w:p>
    <w:p w:rsidR="0011361F" w:rsidRDefault="00AF18A5" w:rsidP="004A6EF4">
      <w:pPr>
        <w:pStyle w:val="Ttulo3"/>
        <w:numPr>
          <w:ilvl w:val="1"/>
          <w:numId w:val="28"/>
        </w:numPr>
      </w:pPr>
      <w:bookmarkStart w:id="1633" w:name="6.1._Nueva_visión_de_seguridad"/>
      <w:bookmarkStart w:id="1634" w:name="_Toc112399709"/>
      <w:bookmarkEnd w:id="1633"/>
      <w:r>
        <w:t>Nueva</w:t>
      </w:r>
      <w:r>
        <w:rPr>
          <w:spacing w:val="-1"/>
        </w:rPr>
        <w:t xml:space="preserve"> </w:t>
      </w:r>
      <w:r w:rsidRPr="00673FE9">
        <w:t>visión</w:t>
      </w:r>
      <w:r>
        <w:rPr>
          <w:spacing w:val="-2"/>
        </w:rPr>
        <w:t xml:space="preserve"> </w:t>
      </w:r>
      <w:r>
        <w:t>de</w:t>
      </w:r>
      <w:r>
        <w:rPr>
          <w:spacing w:val="-1"/>
        </w:rPr>
        <w:t xml:space="preserve"> </w:t>
      </w:r>
      <w:r>
        <w:rPr>
          <w:spacing w:val="-2"/>
        </w:rPr>
        <w:t>seguridad</w:t>
      </w:r>
      <w:bookmarkEnd w:id="1634"/>
    </w:p>
    <w:p w:rsidR="0011361F" w:rsidRDefault="00AF18A5" w:rsidP="00AE03AF">
      <w:r>
        <w:t>Corto</w:t>
      </w:r>
      <w:r>
        <w:rPr>
          <w:spacing w:val="-1"/>
        </w:rPr>
        <w:t xml:space="preserve"> </w:t>
      </w:r>
      <w:r>
        <w:rPr>
          <w:spacing w:val="-2"/>
        </w:rPr>
        <w:t>plazo</w:t>
      </w:r>
    </w:p>
    <w:p w:rsidR="004E5372" w:rsidRDefault="00AF18A5" w:rsidP="004A6EF4">
      <w:pPr>
        <w:pStyle w:val="Prrafodelista"/>
        <w:numPr>
          <w:ilvl w:val="0"/>
          <w:numId w:val="31"/>
        </w:numPr>
      </w:pPr>
      <w:r>
        <w:t xml:space="preserve">Al Gobierno Nacional y al Congreso de la República </w:t>
      </w:r>
      <w:r w:rsidRPr="00C972B2">
        <w:rPr>
          <w:b/>
        </w:rPr>
        <w:t>adoptar una nueva visión de seguridad</w:t>
      </w:r>
      <w:r w:rsidRPr="00C972B2">
        <w:rPr>
          <w:b/>
          <w:spacing w:val="-13"/>
        </w:rPr>
        <w:t xml:space="preserve"> </w:t>
      </w:r>
      <w:r w:rsidRPr="00C972B2">
        <w:rPr>
          <w:b/>
        </w:rPr>
        <w:t>para</w:t>
      </w:r>
      <w:r w:rsidRPr="00C972B2">
        <w:rPr>
          <w:b/>
          <w:spacing w:val="-13"/>
        </w:rPr>
        <w:t xml:space="preserve"> </w:t>
      </w:r>
      <w:r w:rsidRPr="00C972B2">
        <w:rPr>
          <w:b/>
        </w:rPr>
        <w:t>la</w:t>
      </w:r>
      <w:r w:rsidRPr="00C972B2">
        <w:rPr>
          <w:b/>
          <w:spacing w:val="-13"/>
        </w:rPr>
        <w:t xml:space="preserve"> </w:t>
      </w:r>
      <w:r w:rsidRPr="00C972B2">
        <w:rPr>
          <w:b/>
        </w:rPr>
        <w:t>construcción</w:t>
      </w:r>
      <w:r w:rsidRPr="00C972B2">
        <w:rPr>
          <w:b/>
          <w:spacing w:val="-13"/>
        </w:rPr>
        <w:t xml:space="preserve"> </w:t>
      </w:r>
      <w:r w:rsidRPr="00C972B2">
        <w:rPr>
          <w:b/>
        </w:rPr>
        <w:t>de</w:t>
      </w:r>
      <w:r w:rsidRPr="00C972B2">
        <w:rPr>
          <w:b/>
          <w:spacing w:val="-14"/>
        </w:rPr>
        <w:t xml:space="preserve"> </w:t>
      </w:r>
      <w:r w:rsidRPr="00C972B2">
        <w:rPr>
          <w:b/>
        </w:rPr>
        <w:t>paz</w:t>
      </w:r>
      <w:r>
        <w:t>,</w:t>
      </w:r>
      <w:r w:rsidRPr="00C972B2">
        <w:rPr>
          <w:spacing w:val="-13"/>
        </w:rPr>
        <w:t xml:space="preserve"> </w:t>
      </w:r>
      <w:r>
        <w:t>enmarcada</w:t>
      </w:r>
      <w:r w:rsidRPr="00C972B2">
        <w:rPr>
          <w:spacing w:val="-13"/>
        </w:rPr>
        <w:t xml:space="preserve"> </w:t>
      </w:r>
      <w:r>
        <w:t>en</w:t>
      </w:r>
      <w:r w:rsidRPr="00C972B2">
        <w:rPr>
          <w:spacing w:val="-13"/>
        </w:rPr>
        <w:t xml:space="preserve"> </w:t>
      </w:r>
      <w:r>
        <w:t>el</w:t>
      </w:r>
      <w:r w:rsidRPr="00C972B2">
        <w:rPr>
          <w:spacing w:val="-13"/>
        </w:rPr>
        <w:t xml:space="preserve"> </w:t>
      </w:r>
      <w:r>
        <w:t>enfoque</w:t>
      </w:r>
      <w:r w:rsidRPr="00C972B2">
        <w:rPr>
          <w:spacing w:val="-13"/>
        </w:rPr>
        <w:t xml:space="preserve"> </w:t>
      </w:r>
      <w:r>
        <w:t>de</w:t>
      </w:r>
      <w:r w:rsidRPr="00C972B2">
        <w:rPr>
          <w:spacing w:val="-13"/>
        </w:rPr>
        <w:t xml:space="preserve"> </w:t>
      </w:r>
      <w:r>
        <w:t>seguridad</w:t>
      </w:r>
      <w:r w:rsidRPr="00C972B2">
        <w:rPr>
          <w:spacing w:val="-13"/>
        </w:rPr>
        <w:t xml:space="preserve"> </w:t>
      </w:r>
      <w:r>
        <w:t>humana,</w:t>
      </w:r>
      <w:r w:rsidRPr="00C972B2">
        <w:rPr>
          <w:spacing w:val="-13"/>
        </w:rPr>
        <w:t xml:space="preserve"> </w:t>
      </w:r>
      <w:r>
        <w:t>que se centre en la protección de la vida de las personas y las comunidades sobre la base del respeto</w:t>
      </w:r>
      <w:r w:rsidRPr="00C972B2">
        <w:rPr>
          <w:spacing w:val="-3"/>
        </w:rPr>
        <w:t xml:space="preserve"> </w:t>
      </w:r>
      <w:r>
        <w:t>del</w:t>
      </w:r>
      <w:r w:rsidRPr="00C972B2">
        <w:rPr>
          <w:spacing w:val="-3"/>
        </w:rPr>
        <w:t xml:space="preserve"> </w:t>
      </w:r>
      <w:r>
        <w:t>principio</w:t>
      </w:r>
      <w:r w:rsidRPr="00C972B2">
        <w:rPr>
          <w:spacing w:val="-2"/>
        </w:rPr>
        <w:t xml:space="preserve"> </w:t>
      </w:r>
      <w:r>
        <w:t>de</w:t>
      </w:r>
      <w:r w:rsidRPr="00C972B2">
        <w:rPr>
          <w:spacing w:val="-3"/>
        </w:rPr>
        <w:t xml:space="preserve"> </w:t>
      </w:r>
      <w:r>
        <w:t>pluralismo</w:t>
      </w:r>
      <w:r w:rsidRPr="00C972B2">
        <w:rPr>
          <w:spacing w:val="-2"/>
        </w:rPr>
        <w:t xml:space="preserve"> </w:t>
      </w:r>
      <w:r>
        <w:t>democrático</w:t>
      </w:r>
      <w:r w:rsidRPr="00C972B2">
        <w:rPr>
          <w:spacing w:val="-3"/>
        </w:rPr>
        <w:t xml:space="preserve"> </w:t>
      </w:r>
      <w:r>
        <w:t>y</w:t>
      </w:r>
      <w:r w:rsidRPr="00C972B2">
        <w:rPr>
          <w:spacing w:val="-2"/>
        </w:rPr>
        <w:t xml:space="preserve"> </w:t>
      </w:r>
      <w:r>
        <w:t>del</w:t>
      </w:r>
      <w:r w:rsidRPr="00C972B2">
        <w:rPr>
          <w:spacing w:val="-2"/>
        </w:rPr>
        <w:t xml:space="preserve"> </w:t>
      </w:r>
      <w:r>
        <w:t>principio</w:t>
      </w:r>
      <w:r w:rsidRPr="00C972B2">
        <w:rPr>
          <w:spacing w:val="-2"/>
        </w:rPr>
        <w:t xml:space="preserve"> </w:t>
      </w:r>
      <w:r>
        <w:t>de</w:t>
      </w:r>
      <w:r w:rsidRPr="00C972B2">
        <w:rPr>
          <w:spacing w:val="-2"/>
        </w:rPr>
        <w:t xml:space="preserve"> </w:t>
      </w:r>
      <w:r>
        <w:t>la</w:t>
      </w:r>
      <w:r w:rsidRPr="00C972B2">
        <w:rPr>
          <w:spacing w:val="-2"/>
        </w:rPr>
        <w:t xml:space="preserve"> </w:t>
      </w:r>
      <w:r>
        <w:t>dignidad</w:t>
      </w:r>
      <w:r w:rsidRPr="00C972B2">
        <w:rPr>
          <w:spacing w:val="-2"/>
        </w:rPr>
        <w:t xml:space="preserve"> </w:t>
      </w:r>
      <w:r>
        <w:t>humana.</w:t>
      </w:r>
      <w:r w:rsidRPr="00C972B2">
        <w:rPr>
          <w:spacing w:val="-2"/>
        </w:rPr>
        <w:t xml:space="preserve"> </w:t>
      </w:r>
      <w:r>
        <w:t>Esta nueva visión debe concebir la seguridad como un bien público que debe ser garantizado exclusivamente por el Estado a todas las personas sin discriminación; tener en cuenta y atender</w:t>
      </w:r>
      <w:r w:rsidRPr="00C972B2">
        <w:rPr>
          <w:spacing w:val="-3"/>
        </w:rPr>
        <w:t xml:space="preserve"> </w:t>
      </w:r>
      <w:r>
        <w:t>las</w:t>
      </w:r>
      <w:r w:rsidRPr="00C972B2">
        <w:rPr>
          <w:spacing w:val="-3"/>
        </w:rPr>
        <w:t xml:space="preserve"> </w:t>
      </w:r>
      <w:r>
        <w:t>realidades</w:t>
      </w:r>
      <w:r w:rsidRPr="00C972B2">
        <w:rPr>
          <w:spacing w:val="-4"/>
        </w:rPr>
        <w:t xml:space="preserve"> </w:t>
      </w:r>
      <w:r>
        <w:t>territoriales</w:t>
      </w:r>
      <w:r w:rsidRPr="00C972B2">
        <w:rPr>
          <w:spacing w:val="-4"/>
        </w:rPr>
        <w:t xml:space="preserve"> </w:t>
      </w:r>
      <w:r>
        <w:t>y</w:t>
      </w:r>
      <w:r w:rsidRPr="00C972B2">
        <w:rPr>
          <w:spacing w:val="-3"/>
        </w:rPr>
        <w:t xml:space="preserve"> </w:t>
      </w:r>
      <w:r>
        <w:t>de</w:t>
      </w:r>
      <w:r w:rsidRPr="00C972B2">
        <w:rPr>
          <w:spacing w:val="-3"/>
        </w:rPr>
        <w:t xml:space="preserve"> </w:t>
      </w:r>
      <w:r>
        <w:t>las</w:t>
      </w:r>
      <w:r w:rsidRPr="00C972B2">
        <w:rPr>
          <w:spacing w:val="-4"/>
        </w:rPr>
        <w:t xml:space="preserve"> </w:t>
      </w:r>
      <w:r>
        <w:t>poblaciones</w:t>
      </w:r>
      <w:r w:rsidRPr="00C972B2">
        <w:rPr>
          <w:spacing w:val="-3"/>
        </w:rPr>
        <w:t xml:space="preserve"> </w:t>
      </w:r>
      <w:r>
        <w:t>con</w:t>
      </w:r>
      <w:r w:rsidRPr="00C972B2">
        <w:rPr>
          <w:spacing w:val="-5"/>
        </w:rPr>
        <w:t xml:space="preserve"> </w:t>
      </w:r>
      <w:r>
        <w:t>enfoque</w:t>
      </w:r>
      <w:r w:rsidRPr="00C972B2">
        <w:rPr>
          <w:spacing w:val="-3"/>
        </w:rPr>
        <w:t xml:space="preserve"> </w:t>
      </w:r>
      <w:r>
        <w:t>étnico,</w:t>
      </w:r>
      <w:r w:rsidRPr="00C972B2">
        <w:rPr>
          <w:spacing w:val="-5"/>
        </w:rPr>
        <w:t xml:space="preserve"> </w:t>
      </w:r>
      <w:r>
        <w:t>etario,</w:t>
      </w:r>
      <w:r w:rsidRPr="00C972B2">
        <w:rPr>
          <w:spacing w:val="-3"/>
        </w:rPr>
        <w:t xml:space="preserve"> </w:t>
      </w:r>
      <w:r>
        <w:t>de</w:t>
      </w:r>
      <w:r w:rsidRPr="00C972B2">
        <w:rPr>
          <w:spacing w:val="-3"/>
        </w:rPr>
        <w:t xml:space="preserve"> </w:t>
      </w:r>
      <w:r>
        <w:t>género y de derechos de las mujeres</w:t>
      </w:r>
      <w:r w:rsidR="004E5372">
        <w:rPr>
          <w:rStyle w:val="Refdenotaalpie"/>
        </w:rPr>
        <w:footnoteReference w:id="1256"/>
      </w:r>
      <w:r>
        <w:t xml:space="preserve">, reconocer a las autoridades étnicas y sus instituciones; y superar el paradigma de la guerra y el </w:t>
      </w:r>
      <w:r>
        <w:lastRenderedPageBreak/>
        <w:t>enemigo, y el modelo de la guerra contra las drogas.</w:t>
      </w:r>
    </w:p>
    <w:p w:rsidR="0011361F" w:rsidRDefault="00AF18A5" w:rsidP="004E5372">
      <w:pPr>
        <w:pStyle w:val="Prrafodelista"/>
        <w:ind w:left="1080"/>
      </w:pPr>
      <w:r>
        <w:t>En</w:t>
      </w:r>
      <w:r w:rsidRPr="004E5372">
        <w:rPr>
          <w:spacing w:val="-12"/>
        </w:rPr>
        <w:t xml:space="preserve"> </w:t>
      </w:r>
      <w:r>
        <w:t>ese</w:t>
      </w:r>
      <w:r w:rsidRPr="004E5372">
        <w:rPr>
          <w:spacing w:val="-13"/>
        </w:rPr>
        <w:t xml:space="preserve"> </w:t>
      </w:r>
      <w:r>
        <w:t>marco,</w:t>
      </w:r>
      <w:r w:rsidRPr="004E5372">
        <w:rPr>
          <w:spacing w:val="-12"/>
        </w:rPr>
        <w:t xml:space="preserve"> </w:t>
      </w:r>
      <w:r>
        <w:t>se</w:t>
      </w:r>
      <w:r w:rsidRPr="004E5372">
        <w:rPr>
          <w:spacing w:val="-12"/>
        </w:rPr>
        <w:t xml:space="preserve"> </w:t>
      </w:r>
      <w:r>
        <w:t>deben</w:t>
      </w:r>
      <w:r w:rsidRPr="004E5372">
        <w:rPr>
          <w:spacing w:val="-13"/>
        </w:rPr>
        <w:t xml:space="preserve"> </w:t>
      </w:r>
      <w:r>
        <w:t>liderar</w:t>
      </w:r>
      <w:r w:rsidRPr="004E5372">
        <w:rPr>
          <w:spacing w:val="-11"/>
        </w:rPr>
        <w:t xml:space="preserve"> </w:t>
      </w:r>
      <w:r>
        <w:t>diálogos</w:t>
      </w:r>
      <w:r w:rsidRPr="004E5372">
        <w:rPr>
          <w:spacing w:val="-12"/>
        </w:rPr>
        <w:t xml:space="preserve"> </w:t>
      </w:r>
      <w:r>
        <w:t>plurales</w:t>
      </w:r>
      <w:r w:rsidRPr="004E5372">
        <w:rPr>
          <w:spacing w:val="-12"/>
        </w:rPr>
        <w:t xml:space="preserve"> </w:t>
      </w:r>
      <w:r>
        <w:t>y</w:t>
      </w:r>
      <w:r w:rsidRPr="004E5372">
        <w:rPr>
          <w:spacing w:val="-13"/>
        </w:rPr>
        <w:t xml:space="preserve"> </w:t>
      </w:r>
      <w:r>
        <w:t>territoriales,</w:t>
      </w:r>
      <w:r w:rsidRPr="004E5372">
        <w:rPr>
          <w:spacing w:val="-13"/>
        </w:rPr>
        <w:t xml:space="preserve"> </w:t>
      </w:r>
      <w:r>
        <w:t>que</w:t>
      </w:r>
      <w:r w:rsidRPr="004E5372">
        <w:rPr>
          <w:spacing w:val="-12"/>
        </w:rPr>
        <w:t xml:space="preserve"> </w:t>
      </w:r>
      <w:r>
        <w:t>cuenten</w:t>
      </w:r>
      <w:r w:rsidRPr="004E5372">
        <w:rPr>
          <w:spacing w:val="-13"/>
        </w:rPr>
        <w:t xml:space="preserve"> </w:t>
      </w:r>
      <w:r>
        <w:t>con</w:t>
      </w:r>
      <w:r w:rsidRPr="004E5372">
        <w:rPr>
          <w:spacing w:val="-13"/>
        </w:rPr>
        <w:t xml:space="preserve"> </w:t>
      </w:r>
      <w:r>
        <w:t>miembros de la fuerza pública, las autoridades locales, incluyendo las autoridades étnicas, y con la participación de las comunidades, sus organizaciones y otros sectores. Esto con el fin de afianzar</w:t>
      </w:r>
      <w:r w:rsidRPr="004E5372">
        <w:rPr>
          <w:spacing w:val="12"/>
        </w:rPr>
        <w:t xml:space="preserve"> </w:t>
      </w:r>
      <w:r>
        <w:t>la</w:t>
      </w:r>
      <w:r w:rsidRPr="004E5372">
        <w:rPr>
          <w:spacing w:val="14"/>
        </w:rPr>
        <w:t xml:space="preserve"> </w:t>
      </w:r>
      <w:r>
        <w:t>nueva</w:t>
      </w:r>
      <w:r w:rsidRPr="004E5372">
        <w:rPr>
          <w:spacing w:val="16"/>
        </w:rPr>
        <w:t xml:space="preserve"> </w:t>
      </w:r>
      <w:r>
        <w:t>visión</w:t>
      </w:r>
      <w:r w:rsidRPr="004E5372">
        <w:rPr>
          <w:spacing w:val="14"/>
        </w:rPr>
        <w:t xml:space="preserve"> </w:t>
      </w:r>
      <w:r>
        <w:t>de</w:t>
      </w:r>
      <w:r w:rsidRPr="004E5372">
        <w:rPr>
          <w:spacing w:val="16"/>
        </w:rPr>
        <w:t xml:space="preserve"> </w:t>
      </w:r>
      <w:r>
        <w:t>seguridad</w:t>
      </w:r>
      <w:r w:rsidRPr="004E5372">
        <w:rPr>
          <w:spacing w:val="15"/>
        </w:rPr>
        <w:t xml:space="preserve"> </w:t>
      </w:r>
      <w:r>
        <w:t>y</w:t>
      </w:r>
      <w:r w:rsidRPr="004E5372">
        <w:rPr>
          <w:spacing w:val="14"/>
        </w:rPr>
        <w:t xml:space="preserve"> </w:t>
      </w:r>
      <w:r>
        <w:t>contribuir</w:t>
      </w:r>
      <w:r w:rsidRPr="004E5372">
        <w:rPr>
          <w:spacing w:val="15"/>
        </w:rPr>
        <w:t xml:space="preserve"> </w:t>
      </w:r>
      <w:r>
        <w:t>a</w:t>
      </w:r>
      <w:r w:rsidRPr="004E5372">
        <w:rPr>
          <w:spacing w:val="16"/>
        </w:rPr>
        <w:t xml:space="preserve"> </w:t>
      </w:r>
      <w:r>
        <w:t>la</w:t>
      </w:r>
      <w:r w:rsidRPr="004E5372">
        <w:rPr>
          <w:spacing w:val="16"/>
        </w:rPr>
        <w:t xml:space="preserve"> </w:t>
      </w:r>
      <w:r>
        <w:t>construcción</w:t>
      </w:r>
      <w:r w:rsidRPr="004E5372">
        <w:rPr>
          <w:spacing w:val="14"/>
        </w:rPr>
        <w:t xml:space="preserve"> </w:t>
      </w:r>
      <w:r>
        <w:t>y</w:t>
      </w:r>
      <w:r w:rsidRPr="004E5372">
        <w:rPr>
          <w:spacing w:val="14"/>
        </w:rPr>
        <w:t xml:space="preserve"> </w:t>
      </w:r>
      <w:r>
        <w:t>reconstrucción</w:t>
      </w:r>
      <w:r w:rsidRPr="004E5372">
        <w:rPr>
          <w:spacing w:val="14"/>
        </w:rPr>
        <w:t xml:space="preserve"> </w:t>
      </w:r>
      <w:r>
        <w:t>de</w:t>
      </w:r>
      <w:r w:rsidRPr="004E5372">
        <w:rPr>
          <w:spacing w:val="14"/>
        </w:rPr>
        <w:t xml:space="preserve"> </w:t>
      </w:r>
      <w:r w:rsidRPr="004E5372">
        <w:rPr>
          <w:spacing w:val="-5"/>
        </w:rPr>
        <w:t>la</w:t>
      </w:r>
      <w:bookmarkStart w:id="1635" w:name="_bookmark1418"/>
      <w:bookmarkEnd w:id="1635"/>
      <w:r w:rsidR="004E5372">
        <w:rPr>
          <w:spacing w:val="-5"/>
        </w:rPr>
        <w:t xml:space="preserve"> </w:t>
      </w:r>
      <w:r>
        <w:t>confianza entre la ciudadanía y las instituciones que hacen parte del sector de seguridad y</w:t>
      </w:r>
      <w:r>
        <w:rPr>
          <w:spacing w:val="40"/>
        </w:rPr>
        <w:t xml:space="preserve"> </w:t>
      </w:r>
      <w:r>
        <w:rPr>
          <w:spacing w:val="-2"/>
        </w:rPr>
        <w:t>defensa.</w:t>
      </w:r>
    </w:p>
    <w:p w:rsidR="0011361F" w:rsidRDefault="00AF18A5" w:rsidP="004A6EF4">
      <w:pPr>
        <w:pStyle w:val="Ttulo3"/>
        <w:numPr>
          <w:ilvl w:val="1"/>
          <w:numId w:val="28"/>
        </w:numPr>
      </w:pPr>
      <w:bookmarkStart w:id="1636" w:name="6.2._Transformación_del_sector_con_base_"/>
      <w:bookmarkStart w:id="1637" w:name="_Toc112399710"/>
      <w:bookmarkEnd w:id="1636"/>
      <w:r>
        <w:t>Transformación</w:t>
      </w:r>
      <w:r>
        <w:rPr>
          <w:spacing w:val="-5"/>
        </w:rPr>
        <w:t xml:space="preserve"> </w:t>
      </w:r>
      <w:r>
        <w:t>del</w:t>
      </w:r>
      <w:r>
        <w:rPr>
          <w:spacing w:val="-1"/>
        </w:rPr>
        <w:t xml:space="preserve"> </w:t>
      </w:r>
      <w:r w:rsidRPr="004E5372">
        <w:t>sector</w:t>
      </w:r>
      <w:r>
        <w:rPr>
          <w:spacing w:val="-2"/>
        </w:rPr>
        <w:t xml:space="preserve"> </w:t>
      </w:r>
      <w:r>
        <w:t>con</w:t>
      </w:r>
      <w:r>
        <w:rPr>
          <w:spacing w:val="-2"/>
        </w:rPr>
        <w:t xml:space="preserve"> </w:t>
      </w:r>
      <w:r>
        <w:t>base</w:t>
      </w:r>
      <w:r>
        <w:rPr>
          <w:spacing w:val="-2"/>
        </w:rPr>
        <w:t xml:space="preserve"> </w:t>
      </w:r>
      <w:r>
        <w:t>en</w:t>
      </w:r>
      <w:r>
        <w:rPr>
          <w:spacing w:val="-2"/>
        </w:rPr>
        <w:t xml:space="preserve"> </w:t>
      </w:r>
      <w:r>
        <w:t>la</w:t>
      </w:r>
      <w:r>
        <w:rPr>
          <w:spacing w:val="-2"/>
        </w:rPr>
        <w:t xml:space="preserve"> </w:t>
      </w:r>
      <w:r>
        <w:t>nueva</w:t>
      </w:r>
      <w:r>
        <w:rPr>
          <w:spacing w:val="-1"/>
        </w:rPr>
        <w:t xml:space="preserve"> </w:t>
      </w:r>
      <w:r>
        <w:t>visión</w:t>
      </w:r>
      <w:r>
        <w:rPr>
          <w:spacing w:val="-3"/>
        </w:rPr>
        <w:t xml:space="preserve"> </w:t>
      </w:r>
      <w:r>
        <w:t>de</w:t>
      </w:r>
      <w:r>
        <w:rPr>
          <w:spacing w:val="-1"/>
        </w:rPr>
        <w:t xml:space="preserve"> </w:t>
      </w:r>
      <w:r>
        <w:rPr>
          <w:spacing w:val="-2"/>
        </w:rPr>
        <w:t>seguridad</w:t>
      </w:r>
      <w:bookmarkEnd w:id="1637"/>
    </w:p>
    <w:p w:rsidR="0011361F" w:rsidRDefault="00AF18A5" w:rsidP="004E5372">
      <w:r>
        <w:t>Mediano</w:t>
      </w:r>
      <w:r>
        <w:rPr>
          <w:spacing w:val="-3"/>
        </w:rPr>
        <w:t xml:space="preserve"> </w:t>
      </w:r>
      <w:r>
        <w:rPr>
          <w:spacing w:val="-2"/>
        </w:rPr>
        <w:t>plazo</w:t>
      </w:r>
    </w:p>
    <w:p w:rsidR="004E5372" w:rsidRDefault="00AF18A5" w:rsidP="004A6EF4">
      <w:pPr>
        <w:pStyle w:val="Prrafodelista"/>
        <w:numPr>
          <w:ilvl w:val="0"/>
          <w:numId w:val="31"/>
        </w:numPr>
      </w:pPr>
      <w:r>
        <w:t xml:space="preserve">Al Gobierno Nacional, a través del Ministerio de Justicia, Ministerio del Interior, Ministerio de Defensa, las Fuerzas Militares y la Policía, el Congreso de la República y las autoridades territoriales, </w:t>
      </w:r>
      <w:r w:rsidRPr="004E5372">
        <w:rPr>
          <w:b/>
        </w:rPr>
        <w:t>realizar los ajustes institucionales, normativos y de política necesarios y promover las transformaciones culturales que se requieran para consolidar la nueva visión de seguridad</w:t>
      </w:r>
      <w:r>
        <w:t>. Lo anterior, con el fin de fortalecer la buena gobernanza institucional</w:t>
      </w:r>
      <w:r w:rsidR="004E5372">
        <w:rPr>
          <w:rStyle w:val="Refdenotaalpie"/>
        </w:rPr>
        <w:footnoteReference w:id="1257"/>
      </w:r>
      <w:r>
        <w:t xml:space="preserve">, garantizar el direccionamiento civil de los temas de seguridad y defensa, la transparencia y rendición de cuentas, la tolerancia cero con violaciones de los derechos </w:t>
      </w:r>
      <w:r>
        <w:lastRenderedPageBreak/>
        <w:t>humanos e infracciones al DIH, el cumplimiento del derecho operacional, la priorización de las capturas y las desmovilizaciones sobre las muertes en combate, y el estricto</w:t>
      </w:r>
      <w:r w:rsidRPr="004E5372">
        <w:rPr>
          <w:spacing w:val="-11"/>
        </w:rPr>
        <w:t xml:space="preserve"> </w:t>
      </w:r>
      <w:r>
        <w:t>cumplimiento</w:t>
      </w:r>
      <w:r w:rsidRPr="004E5372">
        <w:rPr>
          <w:spacing w:val="-11"/>
        </w:rPr>
        <w:t xml:space="preserve"> </w:t>
      </w:r>
      <w:r>
        <w:t>de</w:t>
      </w:r>
      <w:r w:rsidRPr="004E5372">
        <w:rPr>
          <w:spacing w:val="-12"/>
        </w:rPr>
        <w:t xml:space="preserve"> </w:t>
      </w:r>
      <w:r>
        <w:t>los</w:t>
      </w:r>
      <w:r w:rsidRPr="004E5372">
        <w:rPr>
          <w:spacing w:val="-11"/>
        </w:rPr>
        <w:t xml:space="preserve"> </w:t>
      </w:r>
      <w:r>
        <w:t>principios</w:t>
      </w:r>
      <w:r w:rsidRPr="004E5372">
        <w:rPr>
          <w:spacing w:val="-11"/>
        </w:rPr>
        <w:t xml:space="preserve"> </w:t>
      </w:r>
      <w:r>
        <w:t>y</w:t>
      </w:r>
      <w:r w:rsidRPr="004E5372">
        <w:rPr>
          <w:spacing w:val="-11"/>
        </w:rPr>
        <w:t xml:space="preserve"> </w:t>
      </w:r>
      <w:r>
        <w:t>estándares</w:t>
      </w:r>
      <w:r w:rsidRPr="004E5372">
        <w:rPr>
          <w:spacing w:val="-11"/>
        </w:rPr>
        <w:t xml:space="preserve"> </w:t>
      </w:r>
      <w:r>
        <w:t>internacionales</w:t>
      </w:r>
      <w:r w:rsidRPr="004E5372">
        <w:rPr>
          <w:spacing w:val="-11"/>
        </w:rPr>
        <w:t xml:space="preserve"> </w:t>
      </w:r>
      <w:r>
        <w:t>sobre</w:t>
      </w:r>
      <w:r w:rsidRPr="004E5372">
        <w:rPr>
          <w:spacing w:val="-12"/>
        </w:rPr>
        <w:t xml:space="preserve"> </w:t>
      </w:r>
      <w:r>
        <w:t>el</w:t>
      </w:r>
      <w:r w:rsidRPr="004E5372">
        <w:rPr>
          <w:spacing w:val="-10"/>
        </w:rPr>
        <w:t xml:space="preserve"> </w:t>
      </w:r>
      <w:r>
        <w:t>uso</w:t>
      </w:r>
      <w:r w:rsidRPr="004E5372">
        <w:rPr>
          <w:spacing w:val="-11"/>
        </w:rPr>
        <w:t xml:space="preserve"> </w:t>
      </w:r>
      <w:r>
        <w:t>de</w:t>
      </w:r>
      <w:r w:rsidRPr="004E5372">
        <w:rPr>
          <w:spacing w:val="-11"/>
        </w:rPr>
        <w:t xml:space="preserve"> </w:t>
      </w:r>
      <w:r>
        <w:t>la</w:t>
      </w:r>
      <w:r w:rsidRPr="004E5372">
        <w:rPr>
          <w:spacing w:val="-12"/>
        </w:rPr>
        <w:t xml:space="preserve"> </w:t>
      </w:r>
      <w:r>
        <w:t>fuerza, según las circunstancias.</w:t>
      </w:r>
    </w:p>
    <w:p w:rsidR="004E5372" w:rsidRDefault="00AF18A5" w:rsidP="004E5372">
      <w:pPr>
        <w:pStyle w:val="Prrafodelista"/>
        <w:ind w:left="1080"/>
      </w:pPr>
      <w:r>
        <w:t>Para tal fin, es necesario conformar una comisión, con acompañamiento internacional, integrada</w:t>
      </w:r>
      <w:r w:rsidRPr="004E5372">
        <w:rPr>
          <w:spacing w:val="-2"/>
        </w:rPr>
        <w:t xml:space="preserve"> </w:t>
      </w:r>
      <w:r>
        <w:t>por</w:t>
      </w:r>
      <w:r w:rsidRPr="004E5372">
        <w:rPr>
          <w:spacing w:val="-2"/>
        </w:rPr>
        <w:t xml:space="preserve"> </w:t>
      </w:r>
      <w:r>
        <w:t>personas</w:t>
      </w:r>
      <w:r w:rsidRPr="004E5372">
        <w:rPr>
          <w:spacing w:val="-2"/>
        </w:rPr>
        <w:t xml:space="preserve"> </w:t>
      </w:r>
      <w:r>
        <w:t>de</w:t>
      </w:r>
      <w:r w:rsidRPr="004E5372">
        <w:rPr>
          <w:spacing w:val="-2"/>
        </w:rPr>
        <w:t xml:space="preserve"> </w:t>
      </w:r>
      <w:r>
        <w:t>reconocida</w:t>
      </w:r>
      <w:r w:rsidRPr="004E5372">
        <w:rPr>
          <w:spacing w:val="-3"/>
        </w:rPr>
        <w:t xml:space="preserve"> </w:t>
      </w:r>
      <w:r>
        <w:t>trayectoria</w:t>
      </w:r>
      <w:r w:rsidRPr="004E5372">
        <w:rPr>
          <w:spacing w:val="-3"/>
        </w:rPr>
        <w:t xml:space="preserve"> </w:t>
      </w:r>
      <w:r>
        <w:t>ética</w:t>
      </w:r>
      <w:r w:rsidRPr="004E5372">
        <w:rPr>
          <w:spacing w:val="-2"/>
        </w:rPr>
        <w:t xml:space="preserve"> </w:t>
      </w:r>
      <w:r>
        <w:t>e</w:t>
      </w:r>
      <w:r w:rsidRPr="004E5372">
        <w:rPr>
          <w:spacing w:val="-2"/>
        </w:rPr>
        <w:t xml:space="preserve"> </w:t>
      </w:r>
      <w:r>
        <w:t>integridad</w:t>
      </w:r>
      <w:r w:rsidRPr="004E5372">
        <w:rPr>
          <w:spacing w:val="-2"/>
        </w:rPr>
        <w:t xml:space="preserve"> </w:t>
      </w:r>
      <w:r>
        <w:t>moral,</w:t>
      </w:r>
      <w:r w:rsidRPr="004E5372">
        <w:rPr>
          <w:spacing w:val="-3"/>
        </w:rPr>
        <w:t xml:space="preserve"> </w:t>
      </w:r>
      <w:r>
        <w:t>con</w:t>
      </w:r>
      <w:r w:rsidRPr="004E5372">
        <w:rPr>
          <w:spacing w:val="-2"/>
        </w:rPr>
        <w:t xml:space="preserve"> </w:t>
      </w:r>
      <w:r>
        <w:t>conocimiento y experiencia en temas de seguridad y comprometidas con la defensa de los derechos humanos</w:t>
      </w:r>
      <w:r w:rsidRPr="004E5372">
        <w:rPr>
          <w:spacing w:val="-7"/>
        </w:rPr>
        <w:t xml:space="preserve"> </w:t>
      </w:r>
      <w:r>
        <w:t>y</w:t>
      </w:r>
      <w:r w:rsidRPr="004E5372">
        <w:rPr>
          <w:spacing w:val="-7"/>
        </w:rPr>
        <w:t xml:space="preserve"> </w:t>
      </w:r>
      <w:r>
        <w:t>del</w:t>
      </w:r>
      <w:r w:rsidRPr="004E5372">
        <w:rPr>
          <w:spacing w:val="-7"/>
        </w:rPr>
        <w:t xml:space="preserve"> </w:t>
      </w:r>
      <w:r>
        <w:t>Estado</w:t>
      </w:r>
      <w:r w:rsidRPr="004E5372">
        <w:rPr>
          <w:spacing w:val="-7"/>
        </w:rPr>
        <w:t xml:space="preserve"> </w:t>
      </w:r>
      <w:r>
        <w:t>social</w:t>
      </w:r>
      <w:r w:rsidRPr="004E5372">
        <w:rPr>
          <w:spacing w:val="-7"/>
        </w:rPr>
        <w:t xml:space="preserve"> </w:t>
      </w:r>
      <w:r>
        <w:t>de</w:t>
      </w:r>
      <w:r w:rsidRPr="004E5372">
        <w:rPr>
          <w:spacing w:val="-7"/>
        </w:rPr>
        <w:t xml:space="preserve"> </w:t>
      </w:r>
      <w:r>
        <w:t>derecho,</w:t>
      </w:r>
      <w:r w:rsidRPr="004E5372">
        <w:rPr>
          <w:spacing w:val="-7"/>
        </w:rPr>
        <w:t xml:space="preserve"> </w:t>
      </w:r>
      <w:r>
        <w:t>que</w:t>
      </w:r>
      <w:r w:rsidRPr="004E5372">
        <w:rPr>
          <w:spacing w:val="-7"/>
        </w:rPr>
        <w:t xml:space="preserve"> </w:t>
      </w:r>
      <w:r>
        <w:t>se</w:t>
      </w:r>
      <w:r w:rsidRPr="004E5372">
        <w:rPr>
          <w:spacing w:val="-7"/>
        </w:rPr>
        <w:t xml:space="preserve"> </w:t>
      </w:r>
      <w:r>
        <w:t>encargue</w:t>
      </w:r>
      <w:r w:rsidRPr="004E5372">
        <w:rPr>
          <w:spacing w:val="-7"/>
        </w:rPr>
        <w:t xml:space="preserve"> </w:t>
      </w:r>
      <w:r>
        <w:t>de</w:t>
      </w:r>
      <w:r w:rsidRPr="004E5372">
        <w:rPr>
          <w:spacing w:val="-7"/>
        </w:rPr>
        <w:t xml:space="preserve"> </w:t>
      </w:r>
      <w:r>
        <w:t>asesorar</w:t>
      </w:r>
      <w:r w:rsidRPr="004E5372">
        <w:rPr>
          <w:spacing w:val="-7"/>
        </w:rPr>
        <w:t xml:space="preserve"> </w:t>
      </w:r>
      <w:r>
        <w:t>y</w:t>
      </w:r>
      <w:r w:rsidRPr="004E5372">
        <w:rPr>
          <w:spacing w:val="-7"/>
        </w:rPr>
        <w:t xml:space="preserve"> </w:t>
      </w:r>
      <w:r>
        <w:t>hacer</w:t>
      </w:r>
      <w:r w:rsidRPr="004E5372">
        <w:rPr>
          <w:spacing w:val="-7"/>
        </w:rPr>
        <w:t xml:space="preserve"> </w:t>
      </w:r>
      <w:r>
        <w:t>seguimiento</w:t>
      </w:r>
      <w:r w:rsidRPr="004E5372">
        <w:rPr>
          <w:spacing w:val="-7"/>
        </w:rPr>
        <w:t xml:space="preserve"> </w:t>
      </w:r>
      <w:r>
        <w:t>de la reforma y acompañar a las entidades responsables de cada una de las transformaciones sugeridas. La Comisión garantizará que en el proceso haya participación territorial y de organizaciones defensoras de derechos humanos, víctimas, pueblos étnicos, mujeres, jóvenes,</w:t>
      </w:r>
      <w:r w:rsidRPr="004E5372">
        <w:rPr>
          <w:spacing w:val="5"/>
        </w:rPr>
        <w:t xml:space="preserve"> </w:t>
      </w:r>
      <w:r>
        <w:t>personas</w:t>
      </w:r>
      <w:r w:rsidRPr="004E5372">
        <w:rPr>
          <w:spacing w:val="7"/>
        </w:rPr>
        <w:t xml:space="preserve"> </w:t>
      </w:r>
      <w:r>
        <w:t>LGBTIQ+,</w:t>
      </w:r>
      <w:r w:rsidRPr="004E5372">
        <w:rPr>
          <w:spacing w:val="7"/>
        </w:rPr>
        <w:t xml:space="preserve"> </w:t>
      </w:r>
      <w:r>
        <w:t>representantes</w:t>
      </w:r>
      <w:r w:rsidRPr="004E5372">
        <w:rPr>
          <w:spacing w:val="7"/>
        </w:rPr>
        <w:t xml:space="preserve"> </w:t>
      </w:r>
      <w:r>
        <w:t>de</w:t>
      </w:r>
      <w:r w:rsidRPr="004E5372">
        <w:rPr>
          <w:spacing w:val="7"/>
        </w:rPr>
        <w:t xml:space="preserve"> </w:t>
      </w:r>
      <w:r>
        <w:t>las</w:t>
      </w:r>
      <w:r w:rsidRPr="004E5372">
        <w:rPr>
          <w:spacing w:val="7"/>
        </w:rPr>
        <w:t xml:space="preserve"> </w:t>
      </w:r>
      <w:r>
        <w:t>Fuerzas</w:t>
      </w:r>
      <w:r w:rsidRPr="004E5372">
        <w:rPr>
          <w:spacing w:val="7"/>
        </w:rPr>
        <w:t xml:space="preserve"> </w:t>
      </w:r>
      <w:r>
        <w:t>Militares,</w:t>
      </w:r>
      <w:r w:rsidRPr="004E5372">
        <w:rPr>
          <w:spacing w:val="7"/>
        </w:rPr>
        <w:t xml:space="preserve"> </w:t>
      </w:r>
      <w:r>
        <w:t>Policía</w:t>
      </w:r>
      <w:r w:rsidRPr="004E5372">
        <w:rPr>
          <w:spacing w:val="7"/>
        </w:rPr>
        <w:t xml:space="preserve"> </w:t>
      </w:r>
      <w:r>
        <w:t>y</w:t>
      </w:r>
      <w:r w:rsidRPr="004E5372">
        <w:rPr>
          <w:spacing w:val="8"/>
        </w:rPr>
        <w:t xml:space="preserve"> </w:t>
      </w:r>
      <w:r w:rsidRPr="004E5372">
        <w:rPr>
          <w:spacing w:val="-2"/>
        </w:rPr>
        <w:t>organismos</w:t>
      </w:r>
      <w:bookmarkStart w:id="1638" w:name="_bookmark1420"/>
      <w:bookmarkEnd w:id="1638"/>
      <w:r w:rsidR="004E5372">
        <w:rPr>
          <w:spacing w:val="-2"/>
        </w:rPr>
        <w:t xml:space="preserve"> </w:t>
      </w:r>
      <w:r>
        <w:t>de inteligencia. Así mismo, se recomienda que el Congreso de la República conforme una comisión accidental que acompañe el proceso y garantice la participación de partidos de gobierno, de oposición e independientes. Este proceso debería conducir a la expedición de un marco legal que fije los principios básicos de la nueva visión, que distinga entre los objetivos de seguridad y los de defensa y defina claramente el diseño institucional para garantizar</w:t>
      </w:r>
      <w:r>
        <w:rPr>
          <w:spacing w:val="-3"/>
        </w:rPr>
        <w:t xml:space="preserve"> </w:t>
      </w:r>
      <w:r>
        <w:t>la</w:t>
      </w:r>
      <w:r>
        <w:rPr>
          <w:spacing w:val="-4"/>
        </w:rPr>
        <w:t xml:space="preserve"> </w:t>
      </w:r>
      <w:r>
        <w:t>gobernanza</w:t>
      </w:r>
      <w:r>
        <w:rPr>
          <w:spacing w:val="-4"/>
        </w:rPr>
        <w:t xml:space="preserve"> </w:t>
      </w:r>
      <w:r>
        <w:t>en</w:t>
      </w:r>
      <w:r>
        <w:rPr>
          <w:spacing w:val="-3"/>
        </w:rPr>
        <w:t xml:space="preserve"> </w:t>
      </w:r>
      <w:r>
        <w:t>cada</w:t>
      </w:r>
      <w:r>
        <w:rPr>
          <w:spacing w:val="-3"/>
        </w:rPr>
        <w:t xml:space="preserve"> </w:t>
      </w:r>
      <w:r>
        <w:t>uno,</w:t>
      </w:r>
      <w:r>
        <w:rPr>
          <w:spacing w:val="-5"/>
        </w:rPr>
        <w:t xml:space="preserve"> </w:t>
      </w:r>
      <w:r>
        <w:t>sin</w:t>
      </w:r>
      <w:r>
        <w:rPr>
          <w:spacing w:val="-3"/>
        </w:rPr>
        <w:t xml:space="preserve"> </w:t>
      </w:r>
      <w:r>
        <w:t>perjuicio</w:t>
      </w:r>
      <w:r>
        <w:rPr>
          <w:spacing w:val="-3"/>
        </w:rPr>
        <w:t xml:space="preserve"> </w:t>
      </w:r>
      <w:r>
        <w:t>de</w:t>
      </w:r>
      <w:r>
        <w:rPr>
          <w:spacing w:val="-3"/>
        </w:rPr>
        <w:t xml:space="preserve"> </w:t>
      </w:r>
      <w:r>
        <w:t>todos</w:t>
      </w:r>
      <w:r>
        <w:rPr>
          <w:spacing w:val="-3"/>
        </w:rPr>
        <w:t xml:space="preserve"> </w:t>
      </w:r>
      <w:r>
        <w:t>los</w:t>
      </w:r>
      <w:r>
        <w:rPr>
          <w:spacing w:val="-3"/>
        </w:rPr>
        <w:t xml:space="preserve"> </w:t>
      </w:r>
      <w:r>
        <w:t>ajustes</w:t>
      </w:r>
      <w:r>
        <w:rPr>
          <w:spacing w:val="-3"/>
        </w:rPr>
        <w:t xml:space="preserve"> </w:t>
      </w:r>
      <w:r>
        <w:t>normativos</w:t>
      </w:r>
      <w:r>
        <w:rPr>
          <w:spacing w:val="-3"/>
        </w:rPr>
        <w:t xml:space="preserve"> </w:t>
      </w:r>
      <w:r>
        <w:t>y</w:t>
      </w:r>
      <w:r>
        <w:rPr>
          <w:spacing w:val="-3"/>
        </w:rPr>
        <w:t xml:space="preserve"> </w:t>
      </w:r>
      <w:r>
        <w:t>de</w:t>
      </w:r>
      <w:r>
        <w:rPr>
          <w:spacing w:val="-3"/>
        </w:rPr>
        <w:t xml:space="preserve"> </w:t>
      </w:r>
      <w:r>
        <w:t>otra índole que se deban realizar.</w:t>
      </w:r>
    </w:p>
    <w:p w:rsidR="003804AC" w:rsidRDefault="00AF18A5" w:rsidP="004E5372">
      <w:pPr>
        <w:pStyle w:val="Prrafodelista"/>
        <w:ind w:left="1080"/>
      </w:pPr>
      <w:r>
        <w:t>En</w:t>
      </w:r>
      <w:r>
        <w:rPr>
          <w:spacing w:val="-13"/>
        </w:rPr>
        <w:t xml:space="preserve"> </w:t>
      </w:r>
      <w:r>
        <w:t>el</w:t>
      </w:r>
      <w:r>
        <w:rPr>
          <w:spacing w:val="-14"/>
        </w:rPr>
        <w:t xml:space="preserve"> </w:t>
      </w:r>
      <w:r>
        <w:t>marco</w:t>
      </w:r>
      <w:r>
        <w:rPr>
          <w:spacing w:val="-14"/>
        </w:rPr>
        <w:t xml:space="preserve"> </w:t>
      </w:r>
      <w:r>
        <w:t>de</w:t>
      </w:r>
      <w:r>
        <w:rPr>
          <w:spacing w:val="-13"/>
        </w:rPr>
        <w:t xml:space="preserve"> </w:t>
      </w:r>
      <w:r>
        <w:t>este</w:t>
      </w:r>
      <w:r>
        <w:rPr>
          <w:spacing w:val="-13"/>
        </w:rPr>
        <w:t xml:space="preserve"> </w:t>
      </w:r>
      <w:r>
        <w:t>proceso</w:t>
      </w:r>
      <w:r>
        <w:rPr>
          <w:spacing w:val="-13"/>
        </w:rPr>
        <w:t xml:space="preserve"> </w:t>
      </w:r>
      <w:r>
        <w:t>de</w:t>
      </w:r>
      <w:r>
        <w:rPr>
          <w:spacing w:val="-14"/>
        </w:rPr>
        <w:t xml:space="preserve"> </w:t>
      </w:r>
      <w:r>
        <w:t>transformación,</w:t>
      </w:r>
      <w:r>
        <w:rPr>
          <w:spacing w:val="-13"/>
        </w:rPr>
        <w:t xml:space="preserve"> </w:t>
      </w:r>
      <w:r>
        <w:t>se</w:t>
      </w:r>
      <w:r>
        <w:rPr>
          <w:spacing w:val="-14"/>
        </w:rPr>
        <w:t xml:space="preserve"> </w:t>
      </w:r>
      <w:r>
        <w:t>recomienda</w:t>
      </w:r>
      <w:r>
        <w:rPr>
          <w:spacing w:val="-14"/>
        </w:rPr>
        <w:t xml:space="preserve"> </w:t>
      </w:r>
      <w:r>
        <w:t>tener</w:t>
      </w:r>
      <w:r>
        <w:rPr>
          <w:spacing w:val="-14"/>
        </w:rPr>
        <w:t xml:space="preserve"> </w:t>
      </w:r>
      <w:r>
        <w:t>en</w:t>
      </w:r>
      <w:r>
        <w:rPr>
          <w:spacing w:val="-14"/>
        </w:rPr>
        <w:t xml:space="preserve"> </w:t>
      </w:r>
      <w:r>
        <w:t>cuenta,</w:t>
      </w:r>
      <w:r>
        <w:rPr>
          <w:spacing w:val="-13"/>
        </w:rPr>
        <w:t xml:space="preserve"> </w:t>
      </w:r>
      <w:r>
        <w:t>entre</w:t>
      </w:r>
      <w:r>
        <w:rPr>
          <w:spacing w:val="-14"/>
        </w:rPr>
        <w:t xml:space="preserve"> </w:t>
      </w:r>
      <w:r>
        <w:t xml:space="preserve">otros, los siguientes elementos dentro de </w:t>
      </w:r>
      <w:r>
        <w:lastRenderedPageBreak/>
        <w:t xml:space="preserve">los que se precisan algunos principios, criterios y </w:t>
      </w:r>
      <w:r>
        <w:rPr>
          <w:spacing w:val="-2"/>
        </w:rPr>
        <w:t>garantías.</w:t>
      </w:r>
    </w:p>
    <w:p w:rsidR="0011361F" w:rsidRDefault="00AF18A5" w:rsidP="004E5372">
      <w:r>
        <w:t>Mediano</w:t>
      </w:r>
      <w:r>
        <w:rPr>
          <w:spacing w:val="-3"/>
        </w:rPr>
        <w:t xml:space="preserve"> </w:t>
      </w:r>
      <w:r>
        <w:rPr>
          <w:spacing w:val="-2"/>
        </w:rPr>
        <w:t>plazo</w:t>
      </w:r>
    </w:p>
    <w:p w:rsidR="004E5372" w:rsidRDefault="004E5372" w:rsidP="004E5372">
      <w:pPr>
        <w:pStyle w:val="Ttulo4"/>
      </w:pPr>
      <w:r>
        <w:t>40.1</w:t>
      </w:r>
      <w:r w:rsidR="00FC28F2">
        <w:t>.</w:t>
      </w:r>
    </w:p>
    <w:p w:rsidR="003804AC" w:rsidRDefault="00AF18A5" w:rsidP="004E5372">
      <w:r>
        <w:t xml:space="preserve">Garantizar el </w:t>
      </w:r>
      <w:r>
        <w:rPr>
          <w:b/>
        </w:rPr>
        <w:t>direccionamiento civil sobre las Fuerzas Militares, la Policía y los organismos civiles de inteligencia</w:t>
      </w:r>
      <w:r>
        <w:t>, de manera que se fortalezca la gobernanza civil, los controles, mecanismos de supervisión y las responsabilidades derivadas de tal direccionamiento. Para ello, se recomienda:</w:t>
      </w:r>
    </w:p>
    <w:p w:rsidR="003804AC" w:rsidRDefault="00AF18A5" w:rsidP="004A6EF4">
      <w:pPr>
        <w:pStyle w:val="Prrafodelista"/>
        <w:numPr>
          <w:ilvl w:val="0"/>
          <w:numId w:val="47"/>
        </w:numPr>
      </w:pPr>
      <w:r w:rsidRPr="004E5372">
        <w:rPr>
          <w:b/>
        </w:rPr>
        <w:t>Separar a</w:t>
      </w:r>
      <w:r w:rsidRPr="004E5372">
        <w:rPr>
          <w:b/>
          <w:spacing w:val="-1"/>
        </w:rPr>
        <w:t xml:space="preserve"> </w:t>
      </w:r>
      <w:r w:rsidRPr="004E5372">
        <w:rPr>
          <w:b/>
        </w:rPr>
        <w:t>la Policía Nacional del</w:t>
      </w:r>
      <w:r w:rsidRPr="004E5372">
        <w:rPr>
          <w:b/>
          <w:spacing w:val="-1"/>
        </w:rPr>
        <w:t xml:space="preserve"> </w:t>
      </w:r>
      <w:r w:rsidRPr="004E5372">
        <w:rPr>
          <w:b/>
        </w:rPr>
        <w:t>Ministerio</w:t>
      </w:r>
      <w:r w:rsidRPr="004E5372">
        <w:rPr>
          <w:b/>
          <w:spacing w:val="-2"/>
        </w:rPr>
        <w:t xml:space="preserve"> </w:t>
      </w:r>
      <w:r w:rsidRPr="004E5372">
        <w:rPr>
          <w:b/>
        </w:rPr>
        <w:t>de Defensa</w:t>
      </w:r>
      <w:r w:rsidRPr="004E5372">
        <w:rPr>
          <w:b/>
          <w:spacing w:val="-1"/>
        </w:rPr>
        <w:t xml:space="preserve"> </w:t>
      </w:r>
      <w:r>
        <w:t>y ubicarla</w:t>
      </w:r>
      <w:r w:rsidRPr="004E5372">
        <w:rPr>
          <w:spacing w:val="-1"/>
        </w:rPr>
        <w:t xml:space="preserve"> </w:t>
      </w:r>
      <w:r>
        <w:t>en otro o</w:t>
      </w:r>
      <w:r w:rsidRPr="004E5372">
        <w:rPr>
          <w:spacing w:val="-15"/>
        </w:rPr>
        <w:t xml:space="preserve"> </w:t>
      </w:r>
      <w:r>
        <w:t>en</w:t>
      </w:r>
      <w:r w:rsidRPr="004E5372">
        <w:rPr>
          <w:spacing w:val="-15"/>
        </w:rPr>
        <w:t xml:space="preserve"> </w:t>
      </w:r>
      <w:r>
        <w:t>un</w:t>
      </w:r>
      <w:r w:rsidRPr="004E5372">
        <w:rPr>
          <w:spacing w:val="-15"/>
        </w:rPr>
        <w:t xml:space="preserve"> </w:t>
      </w:r>
      <w:r>
        <w:t>nuevo</w:t>
      </w:r>
      <w:r w:rsidRPr="004E5372">
        <w:rPr>
          <w:spacing w:val="-15"/>
        </w:rPr>
        <w:t xml:space="preserve"> </w:t>
      </w:r>
      <w:r>
        <w:t>ministerio,</w:t>
      </w:r>
      <w:r w:rsidRPr="004E5372">
        <w:rPr>
          <w:spacing w:val="-15"/>
        </w:rPr>
        <w:t xml:space="preserve"> </w:t>
      </w:r>
      <w:r>
        <w:t>como</w:t>
      </w:r>
      <w:r w:rsidRPr="004E5372">
        <w:rPr>
          <w:spacing w:val="-15"/>
        </w:rPr>
        <w:t xml:space="preserve"> </w:t>
      </w:r>
      <w:r>
        <w:t>una</w:t>
      </w:r>
      <w:r w:rsidRPr="004E5372">
        <w:rPr>
          <w:spacing w:val="-15"/>
        </w:rPr>
        <w:t xml:space="preserve"> </w:t>
      </w:r>
      <w:r>
        <w:t>medida</w:t>
      </w:r>
      <w:r w:rsidRPr="004E5372">
        <w:rPr>
          <w:spacing w:val="-15"/>
        </w:rPr>
        <w:t xml:space="preserve"> </w:t>
      </w:r>
      <w:r>
        <w:t>necesaria,</w:t>
      </w:r>
      <w:r w:rsidRPr="004E5372">
        <w:rPr>
          <w:spacing w:val="-15"/>
        </w:rPr>
        <w:t xml:space="preserve"> </w:t>
      </w:r>
      <w:r>
        <w:t>mas</w:t>
      </w:r>
      <w:r w:rsidRPr="004E5372">
        <w:rPr>
          <w:spacing w:val="-15"/>
        </w:rPr>
        <w:t xml:space="preserve"> </w:t>
      </w:r>
      <w:r>
        <w:t>no</w:t>
      </w:r>
      <w:r w:rsidRPr="004E5372">
        <w:rPr>
          <w:spacing w:val="-15"/>
        </w:rPr>
        <w:t xml:space="preserve"> </w:t>
      </w:r>
      <w:r>
        <w:t>suficiente,</w:t>
      </w:r>
      <w:r w:rsidRPr="004E5372">
        <w:rPr>
          <w:spacing w:val="-15"/>
        </w:rPr>
        <w:t xml:space="preserve"> </w:t>
      </w:r>
      <w:r>
        <w:t>para</w:t>
      </w:r>
      <w:r w:rsidRPr="004E5372">
        <w:rPr>
          <w:spacing w:val="-15"/>
        </w:rPr>
        <w:t xml:space="preserve"> </w:t>
      </w:r>
      <w:r>
        <w:t>avanzar en el fortalecimiento de su carácter civil y de la gobernanza en materia de seguridad ciudadana, rural y urbana.</w:t>
      </w:r>
    </w:p>
    <w:p w:rsidR="003804AC" w:rsidRDefault="00AF18A5" w:rsidP="004A6EF4">
      <w:pPr>
        <w:pStyle w:val="Prrafodelista"/>
        <w:numPr>
          <w:ilvl w:val="0"/>
          <w:numId w:val="47"/>
        </w:numPr>
      </w:pPr>
      <w:r>
        <w:t xml:space="preserve">Ajustar </w:t>
      </w:r>
      <w:r w:rsidRPr="004E5372">
        <w:rPr>
          <w:b/>
        </w:rPr>
        <w:t xml:space="preserve">la arquitectura institucional </w:t>
      </w:r>
      <w:r>
        <w:t>a nivel nacional en materia de liderazgo, coordinación y articulación entre las instancias con competencias en materia de seguridad por una parte y de defensa por otra, lo que permitiría la consolidación</w:t>
      </w:r>
      <w:r w:rsidRPr="004E5372">
        <w:rPr>
          <w:spacing w:val="-2"/>
        </w:rPr>
        <w:t xml:space="preserve"> </w:t>
      </w:r>
      <w:r>
        <w:t>de</w:t>
      </w:r>
      <w:r w:rsidRPr="004E5372">
        <w:rPr>
          <w:spacing w:val="-2"/>
        </w:rPr>
        <w:t xml:space="preserve"> </w:t>
      </w:r>
      <w:r>
        <w:t>un</w:t>
      </w:r>
      <w:r w:rsidRPr="004E5372">
        <w:rPr>
          <w:spacing w:val="-2"/>
        </w:rPr>
        <w:t xml:space="preserve"> </w:t>
      </w:r>
      <w:r>
        <w:t>equipo</w:t>
      </w:r>
      <w:r w:rsidRPr="004E5372">
        <w:rPr>
          <w:spacing w:val="-2"/>
        </w:rPr>
        <w:t xml:space="preserve"> </w:t>
      </w:r>
      <w:r>
        <w:t>técnico</w:t>
      </w:r>
      <w:r w:rsidRPr="004E5372">
        <w:rPr>
          <w:spacing w:val="-2"/>
        </w:rPr>
        <w:t xml:space="preserve"> </w:t>
      </w:r>
      <w:r>
        <w:t>civil</w:t>
      </w:r>
      <w:r w:rsidRPr="004E5372">
        <w:rPr>
          <w:spacing w:val="-3"/>
        </w:rPr>
        <w:t xml:space="preserve"> </w:t>
      </w:r>
      <w:r>
        <w:t>sólido</w:t>
      </w:r>
      <w:r w:rsidRPr="004E5372">
        <w:rPr>
          <w:spacing w:val="-2"/>
        </w:rPr>
        <w:t xml:space="preserve"> </w:t>
      </w:r>
      <w:r>
        <w:t>y</w:t>
      </w:r>
      <w:r w:rsidRPr="004E5372">
        <w:rPr>
          <w:spacing w:val="-3"/>
        </w:rPr>
        <w:t xml:space="preserve"> </w:t>
      </w:r>
      <w:r>
        <w:t>estable</w:t>
      </w:r>
      <w:r w:rsidRPr="004E5372">
        <w:rPr>
          <w:spacing w:val="-2"/>
        </w:rPr>
        <w:t xml:space="preserve"> </w:t>
      </w:r>
      <w:r>
        <w:t>que</w:t>
      </w:r>
      <w:r w:rsidRPr="004E5372">
        <w:rPr>
          <w:spacing w:val="-3"/>
        </w:rPr>
        <w:t xml:space="preserve"> </w:t>
      </w:r>
      <w:r>
        <w:t>contribuya</w:t>
      </w:r>
      <w:r w:rsidRPr="004E5372">
        <w:rPr>
          <w:spacing w:val="-2"/>
        </w:rPr>
        <w:t xml:space="preserve"> </w:t>
      </w:r>
      <w:r>
        <w:t>a</w:t>
      </w:r>
      <w:r w:rsidRPr="004E5372">
        <w:rPr>
          <w:spacing w:val="-3"/>
        </w:rPr>
        <w:t xml:space="preserve"> </w:t>
      </w:r>
      <w:r>
        <w:t>garantizar el direccionamiento civil de las entidades del sector.</w:t>
      </w:r>
    </w:p>
    <w:p w:rsidR="003804AC" w:rsidRDefault="00AF18A5" w:rsidP="004A6EF4">
      <w:pPr>
        <w:pStyle w:val="Prrafodelista"/>
        <w:numPr>
          <w:ilvl w:val="0"/>
          <w:numId w:val="47"/>
        </w:numPr>
      </w:pPr>
      <w:r w:rsidRPr="004E5372">
        <w:rPr>
          <w:b/>
        </w:rPr>
        <w:t>Fortalecer las capacidades y las competencias de las autoridades territoriales</w:t>
      </w:r>
      <w:r w:rsidRPr="004E5372">
        <w:rPr>
          <w:b/>
          <w:spacing w:val="-2"/>
        </w:rPr>
        <w:t xml:space="preserve"> </w:t>
      </w:r>
      <w:r w:rsidRPr="004E5372">
        <w:rPr>
          <w:b/>
        </w:rPr>
        <w:t>(departamentales y</w:t>
      </w:r>
      <w:r w:rsidRPr="004E5372">
        <w:rPr>
          <w:b/>
          <w:spacing w:val="-2"/>
        </w:rPr>
        <w:t xml:space="preserve"> </w:t>
      </w:r>
      <w:r w:rsidRPr="004E5372">
        <w:rPr>
          <w:b/>
        </w:rPr>
        <w:t>municipales)</w:t>
      </w:r>
      <w:r>
        <w:t>,</w:t>
      </w:r>
      <w:r w:rsidRPr="004E5372">
        <w:rPr>
          <w:spacing w:val="-2"/>
        </w:rPr>
        <w:t xml:space="preserve"> </w:t>
      </w:r>
      <w:r>
        <w:t>incluyendo</w:t>
      </w:r>
      <w:r w:rsidRPr="004E5372">
        <w:rPr>
          <w:spacing w:val="-2"/>
        </w:rPr>
        <w:t xml:space="preserve"> </w:t>
      </w:r>
      <w:r>
        <w:t>las autoridades étnicas, para garantizar la gobernanza civil en lo local de la seguridad y la convivencia.</w:t>
      </w:r>
    </w:p>
    <w:p w:rsidR="003804AC" w:rsidRDefault="00AF18A5" w:rsidP="004A6EF4">
      <w:pPr>
        <w:pStyle w:val="Prrafodelista"/>
        <w:numPr>
          <w:ilvl w:val="0"/>
          <w:numId w:val="47"/>
        </w:numPr>
      </w:pPr>
      <w:r>
        <w:t>Garantizar la coordinación entre el gobierno nacional y los gobiernos territoriales</w:t>
      </w:r>
      <w:r w:rsidRPr="004E5372">
        <w:rPr>
          <w:spacing w:val="-3"/>
        </w:rPr>
        <w:t xml:space="preserve"> </w:t>
      </w:r>
      <w:r>
        <w:t>con</w:t>
      </w:r>
      <w:r w:rsidRPr="004E5372">
        <w:rPr>
          <w:spacing w:val="-2"/>
        </w:rPr>
        <w:t xml:space="preserve"> </w:t>
      </w:r>
      <w:r>
        <w:t>el</w:t>
      </w:r>
      <w:r w:rsidRPr="004E5372">
        <w:rPr>
          <w:spacing w:val="-2"/>
        </w:rPr>
        <w:t xml:space="preserve"> </w:t>
      </w:r>
      <w:r>
        <w:t>fin</w:t>
      </w:r>
      <w:r w:rsidRPr="004E5372">
        <w:rPr>
          <w:spacing w:val="-2"/>
        </w:rPr>
        <w:t xml:space="preserve"> </w:t>
      </w:r>
      <w:r>
        <w:t>de</w:t>
      </w:r>
      <w:r w:rsidRPr="004E5372">
        <w:rPr>
          <w:spacing w:val="-3"/>
        </w:rPr>
        <w:t xml:space="preserve"> </w:t>
      </w:r>
      <w:r>
        <w:t>que</w:t>
      </w:r>
      <w:r w:rsidRPr="004E5372">
        <w:rPr>
          <w:spacing w:val="-2"/>
        </w:rPr>
        <w:t xml:space="preserve"> </w:t>
      </w:r>
      <w:r>
        <w:t>los</w:t>
      </w:r>
      <w:r w:rsidRPr="004E5372">
        <w:rPr>
          <w:spacing w:val="-2"/>
        </w:rPr>
        <w:t xml:space="preserve"> </w:t>
      </w:r>
      <w:r w:rsidRPr="004E5372">
        <w:rPr>
          <w:b/>
        </w:rPr>
        <w:t>lineamientos</w:t>
      </w:r>
      <w:r w:rsidRPr="004E5372">
        <w:rPr>
          <w:b/>
          <w:spacing w:val="-2"/>
        </w:rPr>
        <w:t xml:space="preserve"> </w:t>
      </w:r>
      <w:r w:rsidRPr="004E5372">
        <w:rPr>
          <w:b/>
        </w:rPr>
        <w:t>de</w:t>
      </w:r>
      <w:r w:rsidRPr="004E5372">
        <w:rPr>
          <w:b/>
          <w:spacing w:val="-3"/>
        </w:rPr>
        <w:t xml:space="preserve"> </w:t>
      </w:r>
      <w:r w:rsidRPr="004E5372">
        <w:rPr>
          <w:b/>
        </w:rPr>
        <w:t>política</w:t>
      </w:r>
      <w:r w:rsidRPr="004E5372">
        <w:rPr>
          <w:b/>
          <w:spacing w:val="-2"/>
        </w:rPr>
        <w:t xml:space="preserve"> </w:t>
      </w:r>
      <w:r w:rsidRPr="004E5372">
        <w:rPr>
          <w:b/>
        </w:rPr>
        <w:t>en</w:t>
      </w:r>
      <w:r w:rsidRPr="004E5372">
        <w:rPr>
          <w:b/>
          <w:spacing w:val="-4"/>
        </w:rPr>
        <w:t xml:space="preserve"> </w:t>
      </w:r>
      <w:r w:rsidRPr="004E5372">
        <w:rPr>
          <w:b/>
        </w:rPr>
        <w:t>materia</w:t>
      </w:r>
      <w:r w:rsidRPr="004E5372">
        <w:rPr>
          <w:b/>
          <w:spacing w:val="-2"/>
        </w:rPr>
        <w:t xml:space="preserve"> </w:t>
      </w:r>
      <w:r w:rsidRPr="004E5372">
        <w:rPr>
          <w:b/>
        </w:rPr>
        <w:t>de</w:t>
      </w:r>
      <w:r w:rsidRPr="004E5372">
        <w:rPr>
          <w:b/>
          <w:spacing w:val="-2"/>
        </w:rPr>
        <w:t xml:space="preserve"> </w:t>
      </w:r>
      <w:r w:rsidRPr="004E5372">
        <w:rPr>
          <w:b/>
        </w:rPr>
        <w:t xml:space="preserve">seguridad </w:t>
      </w:r>
      <w:r>
        <w:t>atiendan</w:t>
      </w:r>
      <w:r w:rsidRPr="004E5372">
        <w:rPr>
          <w:spacing w:val="-15"/>
        </w:rPr>
        <w:t xml:space="preserve"> </w:t>
      </w:r>
      <w:r>
        <w:t>a</w:t>
      </w:r>
      <w:r w:rsidRPr="004E5372">
        <w:rPr>
          <w:spacing w:val="-15"/>
        </w:rPr>
        <w:t xml:space="preserve"> </w:t>
      </w:r>
      <w:r>
        <w:t>las</w:t>
      </w:r>
      <w:r w:rsidRPr="004E5372">
        <w:rPr>
          <w:spacing w:val="-15"/>
        </w:rPr>
        <w:t xml:space="preserve"> </w:t>
      </w:r>
      <w:r>
        <w:t>necesidades</w:t>
      </w:r>
      <w:r w:rsidRPr="004E5372">
        <w:rPr>
          <w:spacing w:val="-15"/>
        </w:rPr>
        <w:t xml:space="preserve"> </w:t>
      </w:r>
      <w:r>
        <w:t>territoriales</w:t>
      </w:r>
      <w:r w:rsidRPr="004E5372">
        <w:rPr>
          <w:spacing w:val="-15"/>
        </w:rPr>
        <w:t xml:space="preserve"> </w:t>
      </w:r>
      <w:r>
        <w:t>y</w:t>
      </w:r>
      <w:r w:rsidRPr="004E5372">
        <w:rPr>
          <w:spacing w:val="-15"/>
        </w:rPr>
        <w:t xml:space="preserve"> </w:t>
      </w:r>
      <w:r>
        <w:t>de</w:t>
      </w:r>
      <w:r w:rsidRPr="004E5372">
        <w:rPr>
          <w:spacing w:val="-15"/>
        </w:rPr>
        <w:t xml:space="preserve"> </w:t>
      </w:r>
      <w:r>
        <w:t>las</w:t>
      </w:r>
      <w:r w:rsidRPr="004E5372">
        <w:rPr>
          <w:spacing w:val="-15"/>
        </w:rPr>
        <w:t xml:space="preserve"> </w:t>
      </w:r>
      <w:r>
        <w:t>comunidades</w:t>
      </w:r>
      <w:r w:rsidRPr="004E5372">
        <w:rPr>
          <w:spacing w:val="-15"/>
        </w:rPr>
        <w:t xml:space="preserve"> </w:t>
      </w:r>
      <w:r>
        <w:t>y</w:t>
      </w:r>
      <w:r w:rsidRPr="004E5372">
        <w:rPr>
          <w:spacing w:val="-15"/>
        </w:rPr>
        <w:t xml:space="preserve"> </w:t>
      </w:r>
      <w:r>
        <w:t>sectores</w:t>
      </w:r>
      <w:r w:rsidRPr="004E5372">
        <w:rPr>
          <w:spacing w:val="-15"/>
        </w:rPr>
        <w:t xml:space="preserve"> </w:t>
      </w:r>
      <w:r>
        <w:t xml:space="preserve">poblacionales, tanto a </w:t>
      </w:r>
      <w:r>
        <w:lastRenderedPageBreak/>
        <w:t>nivel urbano como rural.</w:t>
      </w:r>
    </w:p>
    <w:p w:rsidR="0011361F" w:rsidRDefault="00AF18A5" w:rsidP="004E5372">
      <w:r>
        <w:t>Mediano</w:t>
      </w:r>
      <w:r>
        <w:rPr>
          <w:spacing w:val="-3"/>
        </w:rPr>
        <w:t xml:space="preserve"> </w:t>
      </w:r>
      <w:r>
        <w:rPr>
          <w:spacing w:val="-2"/>
        </w:rPr>
        <w:t>plazo</w:t>
      </w:r>
    </w:p>
    <w:p w:rsidR="004E5372" w:rsidRDefault="004E5372" w:rsidP="004E5372">
      <w:pPr>
        <w:pStyle w:val="Ttulo4"/>
      </w:pPr>
      <w:r>
        <w:t>40.2</w:t>
      </w:r>
      <w:r w:rsidR="00FC28F2">
        <w:t>.</w:t>
      </w:r>
    </w:p>
    <w:p w:rsidR="003804AC" w:rsidRDefault="00AF18A5" w:rsidP="004E5372">
      <w:r>
        <w:t xml:space="preserve">Fortalecer el </w:t>
      </w:r>
      <w:r w:rsidRPr="004E5372">
        <w:rPr>
          <w:b/>
        </w:rPr>
        <w:t>control preventivo, el penal, disciplinario y fiscal y la supervisión democrática</w:t>
      </w:r>
      <w:r w:rsidRPr="004E5372">
        <w:rPr>
          <w:b/>
          <w:spacing w:val="-15"/>
        </w:rPr>
        <w:t xml:space="preserve"> </w:t>
      </w:r>
      <w:r>
        <w:t>de</w:t>
      </w:r>
      <w:r w:rsidRPr="004E5372">
        <w:rPr>
          <w:spacing w:val="-15"/>
        </w:rPr>
        <w:t xml:space="preserve"> </w:t>
      </w:r>
      <w:r>
        <w:t>las</w:t>
      </w:r>
      <w:r w:rsidRPr="004E5372">
        <w:rPr>
          <w:spacing w:val="-15"/>
        </w:rPr>
        <w:t xml:space="preserve"> </w:t>
      </w:r>
      <w:r>
        <w:t>Fuerzas</w:t>
      </w:r>
      <w:r w:rsidRPr="004E5372">
        <w:rPr>
          <w:spacing w:val="-15"/>
        </w:rPr>
        <w:t xml:space="preserve"> </w:t>
      </w:r>
      <w:r>
        <w:t>Militares,</w:t>
      </w:r>
      <w:r w:rsidRPr="004E5372">
        <w:rPr>
          <w:spacing w:val="-15"/>
        </w:rPr>
        <w:t xml:space="preserve"> </w:t>
      </w:r>
      <w:r>
        <w:t>la</w:t>
      </w:r>
      <w:r w:rsidRPr="004E5372">
        <w:rPr>
          <w:spacing w:val="-15"/>
        </w:rPr>
        <w:t xml:space="preserve"> </w:t>
      </w:r>
      <w:r>
        <w:t>Policía</w:t>
      </w:r>
      <w:r w:rsidRPr="004E5372">
        <w:rPr>
          <w:spacing w:val="-15"/>
        </w:rPr>
        <w:t xml:space="preserve"> </w:t>
      </w:r>
      <w:r>
        <w:t>y</w:t>
      </w:r>
      <w:r w:rsidRPr="004E5372">
        <w:rPr>
          <w:spacing w:val="-15"/>
        </w:rPr>
        <w:t xml:space="preserve"> </w:t>
      </w:r>
      <w:r>
        <w:t>los</w:t>
      </w:r>
      <w:r w:rsidRPr="004E5372">
        <w:rPr>
          <w:spacing w:val="-15"/>
        </w:rPr>
        <w:t xml:space="preserve"> </w:t>
      </w:r>
      <w:r>
        <w:t>organismos</w:t>
      </w:r>
      <w:r w:rsidRPr="004E5372">
        <w:rPr>
          <w:spacing w:val="-15"/>
        </w:rPr>
        <w:t xml:space="preserve"> </w:t>
      </w:r>
      <w:r>
        <w:t>de</w:t>
      </w:r>
      <w:r w:rsidRPr="004E5372">
        <w:rPr>
          <w:spacing w:val="-15"/>
        </w:rPr>
        <w:t xml:space="preserve"> </w:t>
      </w:r>
      <w:r>
        <w:t>inteligencia</w:t>
      </w:r>
      <w:r w:rsidRPr="004E5372">
        <w:rPr>
          <w:spacing w:val="-15"/>
        </w:rPr>
        <w:t xml:space="preserve"> </w:t>
      </w:r>
      <w:r>
        <w:t>para</w:t>
      </w:r>
      <w:r w:rsidRPr="004E5372">
        <w:rPr>
          <w:spacing w:val="-15"/>
        </w:rPr>
        <w:t xml:space="preserve"> </w:t>
      </w:r>
      <w:r>
        <w:t>mitigar factores de riesgo y hacer frente a la impunidad. Para ello, se sugiere:</w:t>
      </w:r>
    </w:p>
    <w:p w:rsidR="003804AC" w:rsidRDefault="00AF18A5" w:rsidP="004A6EF4">
      <w:pPr>
        <w:pStyle w:val="Prrafodelista"/>
        <w:numPr>
          <w:ilvl w:val="0"/>
          <w:numId w:val="48"/>
        </w:numPr>
      </w:pPr>
      <w:r>
        <w:t xml:space="preserve">Garantizar la </w:t>
      </w:r>
      <w:r w:rsidRPr="004E5372">
        <w:rPr>
          <w:b/>
        </w:rPr>
        <w:t xml:space="preserve">transparencia y la rendición de cuentas </w:t>
      </w:r>
      <w:r>
        <w:t xml:space="preserve">sobre los procesos, operaciones, cumplimiento del derecho </w:t>
      </w:r>
      <w:proofErr w:type="gramStart"/>
      <w:r>
        <w:t>operacional</w:t>
      </w:r>
      <w:r w:rsidRPr="004E5372">
        <w:rPr>
          <w:spacing w:val="80"/>
        </w:rPr>
        <w:t xml:space="preserve">  </w:t>
      </w:r>
      <w:r>
        <w:t>y</w:t>
      </w:r>
      <w:proofErr w:type="gramEnd"/>
      <w:r>
        <w:t xml:space="preserve"> resultados institucionales con un sistema de información confiable y abierto que garantice el acceso a información de calidad por parte de la ciudadanía y permita la veeduría y escrutinio </w:t>
      </w:r>
      <w:r w:rsidRPr="004E5372">
        <w:rPr>
          <w:spacing w:val="-2"/>
        </w:rPr>
        <w:t>públicos.</w:t>
      </w:r>
    </w:p>
    <w:p w:rsidR="003804AC" w:rsidRDefault="00AF18A5" w:rsidP="004A6EF4">
      <w:pPr>
        <w:pStyle w:val="Prrafodelista"/>
        <w:numPr>
          <w:ilvl w:val="0"/>
          <w:numId w:val="48"/>
        </w:numPr>
      </w:pPr>
      <w:r>
        <w:t>Adoptar</w:t>
      </w:r>
      <w:r w:rsidRPr="004E5372">
        <w:rPr>
          <w:spacing w:val="-4"/>
        </w:rPr>
        <w:t xml:space="preserve"> </w:t>
      </w:r>
      <w:r>
        <w:t>las</w:t>
      </w:r>
      <w:r w:rsidRPr="004E5372">
        <w:rPr>
          <w:spacing w:val="-6"/>
        </w:rPr>
        <w:t xml:space="preserve"> </w:t>
      </w:r>
      <w:r>
        <w:t>medidas</w:t>
      </w:r>
      <w:r w:rsidRPr="004E5372">
        <w:rPr>
          <w:spacing w:val="-4"/>
        </w:rPr>
        <w:t xml:space="preserve"> </w:t>
      </w:r>
      <w:r>
        <w:t>necesarias</w:t>
      </w:r>
      <w:r w:rsidRPr="004E5372">
        <w:rPr>
          <w:spacing w:val="-4"/>
        </w:rPr>
        <w:t xml:space="preserve"> </w:t>
      </w:r>
      <w:r>
        <w:t>para</w:t>
      </w:r>
      <w:r w:rsidRPr="004E5372">
        <w:rPr>
          <w:spacing w:val="-6"/>
        </w:rPr>
        <w:t xml:space="preserve"> </w:t>
      </w:r>
      <w:r>
        <w:t>garantizar,</w:t>
      </w:r>
      <w:r w:rsidRPr="004E5372">
        <w:rPr>
          <w:spacing w:val="-5"/>
        </w:rPr>
        <w:t xml:space="preserve"> </w:t>
      </w:r>
      <w:r>
        <w:t>sobre</w:t>
      </w:r>
      <w:r w:rsidRPr="004E5372">
        <w:rPr>
          <w:spacing w:val="-4"/>
        </w:rPr>
        <w:t xml:space="preserve"> </w:t>
      </w:r>
      <w:r>
        <w:t>la</w:t>
      </w:r>
      <w:r w:rsidRPr="004E5372">
        <w:rPr>
          <w:spacing w:val="-4"/>
        </w:rPr>
        <w:t xml:space="preserve"> </w:t>
      </w:r>
      <w:r>
        <w:t>base</w:t>
      </w:r>
      <w:r w:rsidRPr="004E5372">
        <w:rPr>
          <w:spacing w:val="-6"/>
        </w:rPr>
        <w:t xml:space="preserve"> </w:t>
      </w:r>
      <w:r>
        <w:t>de</w:t>
      </w:r>
      <w:r w:rsidRPr="004E5372">
        <w:rPr>
          <w:spacing w:val="-4"/>
        </w:rPr>
        <w:t xml:space="preserve"> </w:t>
      </w:r>
      <w:r>
        <w:t>lo</w:t>
      </w:r>
      <w:r w:rsidRPr="004E5372">
        <w:rPr>
          <w:spacing w:val="-5"/>
        </w:rPr>
        <w:t xml:space="preserve"> </w:t>
      </w:r>
      <w:r>
        <w:t xml:space="preserve">avanzado, </w:t>
      </w:r>
      <w:r w:rsidRPr="004E5372">
        <w:rPr>
          <w:spacing w:val="-2"/>
        </w:rPr>
        <w:t>la</w:t>
      </w:r>
      <w:r w:rsidRPr="004E5372">
        <w:rPr>
          <w:spacing w:val="-5"/>
        </w:rPr>
        <w:t xml:space="preserve"> </w:t>
      </w:r>
      <w:r w:rsidRPr="004E5372">
        <w:rPr>
          <w:spacing w:val="-2"/>
        </w:rPr>
        <w:t>independencia</w:t>
      </w:r>
      <w:r w:rsidRPr="004E5372">
        <w:rPr>
          <w:spacing w:val="-5"/>
        </w:rPr>
        <w:t xml:space="preserve"> </w:t>
      </w:r>
      <w:r w:rsidRPr="004E5372">
        <w:rPr>
          <w:spacing w:val="-2"/>
        </w:rPr>
        <w:t>del</w:t>
      </w:r>
      <w:r w:rsidRPr="004E5372">
        <w:rPr>
          <w:spacing w:val="-3"/>
        </w:rPr>
        <w:t xml:space="preserve"> </w:t>
      </w:r>
      <w:r w:rsidRPr="004E5372">
        <w:rPr>
          <w:b/>
          <w:spacing w:val="-2"/>
        </w:rPr>
        <w:t>control</w:t>
      </w:r>
      <w:r w:rsidRPr="004E5372">
        <w:rPr>
          <w:b/>
          <w:spacing w:val="-3"/>
        </w:rPr>
        <w:t xml:space="preserve"> </w:t>
      </w:r>
      <w:r w:rsidRPr="004E5372">
        <w:rPr>
          <w:b/>
          <w:spacing w:val="-2"/>
        </w:rPr>
        <w:t>interno</w:t>
      </w:r>
      <w:r w:rsidRPr="004E5372">
        <w:rPr>
          <w:b/>
          <w:spacing w:val="-6"/>
        </w:rPr>
        <w:t xml:space="preserve"> </w:t>
      </w:r>
      <w:r w:rsidRPr="004E5372">
        <w:rPr>
          <w:b/>
          <w:spacing w:val="-2"/>
        </w:rPr>
        <w:t>disciplinario</w:t>
      </w:r>
      <w:r w:rsidRPr="004E5372">
        <w:rPr>
          <w:b/>
          <w:spacing w:val="-5"/>
        </w:rPr>
        <w:t xml:space="preserve"> </w:t>
      </w:r>
      <w:r w:rsidRPr="004E5372">
        <w:rPr>
          <w:spacing w:val="-2"/>
        </w:rPr>
        <w:t>en</w:t>
      </w:r>
      <w:r w:rsidRPr="004E5372">
        <w:rPr>
          <w:spacing w:val="-5"/>
        </w:rPr>
        <w:t xml:space="preserve"> </w:t>
      </w:r>
      <w:r w:rsidRPr="004E5372">
        <w:rPr>
          <w:spacing w:val="-2"/>
        </w:rPr>
        <w:t>las</w:t>
      </w:r>
      <w:r w:rsidRPr="004E5372">
        <w:rPr>
          <w:spacing w:val="-5"/>
        </w:rPr>
        <w:t xml:space="preserve"> </w:t>
      </w:r>
      <w:r w:rsidRPr="004E5372">
        <w:rPr>
          <w:spacing w:val="-2"/>
        </w:rPr>
        <w:t>Fuerzas</w:t>
      </w:r>
      <w:r w:rsidRPr="004E5372">
        <w:rPr>
          <w:spacing w:val="-5"/>
        </w:rPr>
        <w:t xml:space="preserve"> </w:t>
      </w:r>
      <w:r w:rsidRPr="004E5372">
        <w:rPr>
          <w:spacing w:val="-2"/>
        </w:rPr>
        <w:t>Militares,</w:t>
      </w:r>
      <w:r w:rsidRPr="004E5372">
        <w:rPr>
          <w:spacing w:val="-5"/>
        </w:rPr>
        <w:t xml:space="preserve"> </w:t>
      </w:r>
      <w:r w:rsidRPr="004E5372">
        <w:rPr>
          <w:spacing w:val="-2"/>
        </w:rPr>
        <w:t>la</w:t>
      </w:r>
      <w:r w:rsidRPr="004E5372">
        <w:rPr>
          <w:spacing w:val="-5"/>
        </w:rPr>
        <w:t xml:space="preserve"> </w:t>
      </w:r>
      <w:r w:rsidRPr="004E5372">
        <w:rPr>
          <w:spacing w:val="-2"/>
        </w:rPr>
        <w:t xml:space="preserve">Policía </w:t>
      </w:r>
      <w:r>
        <w:t>y organismos de inteligencia, la transparencia y rendición de cuentas de sus actuaciones. Esto implica también garantizar mecanismos de acceso y participación ciudadana en el ejercicio y seguimiento del control interno disciplinario.</w:t>
      </w:r>
    </w:p>
    <w:p w:rsidR="003804AC" w:rsidRDefault="00AF18A5" w:rsidP="004A6EF4">
      <w:pPr>
        <w:pStyle w:val="Prrafodelista"/>
        <w:numPr>
          <w:ilvl w:val="0"/>
          <w:numId w:val="48"/>
        </w:numPr>
      </w:pPr>
      <w:r>
        <w:t>Adoptar</w:t>
      </w:r>
      <w:r w:rsidRPr="004E5372">
        <w:rPr>
          <w:spacing w:val="-9"/>
        </w:rPr>
        <w:t xml:space="preserve"> </w:t>
      </w:r>
      <w:r>
        <w:t>las</w:t>
      </w:r>
      <w:r w:rsidRPr="004E5372">
        <w:rPr>
          <w:spacing w:val="-10"/>
        </w:rPr>
        <w:t xml:space="preserve"> </w:t>
      </w:r>
      <w:r>
        <w:t>medidas</w:t>
      </w:r>
      <w:r w:rsidRPr="004E5372">
        <w:rPr>
          <w:spacing w:val="-9"/>
        </w:rPr>
        <w:t xml:space="preserve"> </w:t>
      </w:r>
      <w:r>
        <w:t>necesarias</w:t>
      </w:r>
      <w:r w:rsidRPr="004E5372">
        <w:rPr>
          <w:spacing w:val="-9"/>
        </w:rPr>
        <w:t xml:space="preserve"> </w:t>
      </w:r>
      <w:r>
        <w:t>para</w:t>
      </w:r>
      <w:r w:rsidRPr="004E5372">
        <w:rPr>
          <w:spacing w:val="-10"/>
        </w:rPr>
        <w:t xml:space="preserve"> </w:t>
      </w:r>
      <w:r>
        <w:t>garantizar</w:t>
      </w:r>
      <w:r w:rsidRPr="004E5372">
        <w:rPr>
          <w:spacing w:val="-9"/>
        </w:rPr>
        <w:t xml:space="preserve"> </w:t>
      </w:r>
      <w:r>
        <w:t>por</w:t>
      </w:r>
      <w:r w:rsidRPr="004E5372">
        <w:rPr>
          <w:spacing w:val="-9"/>
        </w:rPr>
        <w:t xml:space="preserve"> </w:t>
      </w:r>
      <w:r>
        <w:t>parte</w:t>
      </w:r>
      <w:r w:rsidRPr="004E5372">
        <w:rPr>
          <w:spacing w:val="-9"/>
        </w:rPr>
        <w:t xml:space="preserve"> </w:t>
      </w:r>
      <w:r>
        <w:t>de</w:t>
      </w:r>
      <w:r w:rsidRPr="004E5372">
        <w:rPr>
          <w:spacing w:val="-9"/>
        </w:rPr>
        <w:t xml:space="preserve"> </w:t>
      </w:r>
      <w:r>
        <w:t>la</w:t>
      </w:r>
      <w:r w:rsidRPr="004E5372">
        <w:rPr>
          <w:spacing w:val="-9"/>
        </w:rPr>
        <w:t xml:space="preserve"> </w:t>
      </w:r>
      <w:r>
        <w:t>Procuraduría</w:t>
      </w:r>
      <w:r w:rsidRPr="004E5372">
        <w:rPr>
          <w:spacing w:val="-9"/>
        </w:rPr>
        <w:t xml:space="preserve"> </w:t>
      </w:r>
      <w:r>
        <w:t xml:space="preserve">el ejercicio de </w:t>
      </w:r>
      <w:r w:rsidRPr="004E5372">
        <w:rPr>
          <w:b/>
        </w:rPr>
        <w:t>la acción disciplinaria</w:t>
      </w:r>
      <w:r>
        <w:t>, en plazos razonables, sobre las violaciones de los</w:t>
      </w:r>
      <w:r w:rsidRPr="004E5372">
        <w:rPr>
          <w:spacing w:val="-1"/>
        </w:rPr>
        <w:t xml:space="preserve"> </w:t>
      </w:r>
      <w:r>
        <w:t>derechos</w:t>
      </w:r>
      <w:r w:rsidRPr="004E5372">
        <w:rPr>
          <w:spacing w:val="-2"/>
        </w:rPr>
        <w:t xml:space="preserve"> </w:t>
      </w:r>
      <w:r>
        <w:t>humanos</w:t>
      </w:r>
      <w:r w:rsidRPr="004E5372">
        <w:rPr>
          <w:spacing w:val="-1"/>
        </w:rPr>
        <w:t xml:space="preserve"> </w:t>
      </w:r>
      <w:r>
        <w:t>e</w:t>
      </w:r>
      <w:r w:rsidRPr="004E5372">
        <w:rPr>
          <w:spacing w:val="-2"/>
        </w:rPr>
        <w:t xml:space="preserve"> </w:t>
      </w:r>
      <w:r>
        <w:t>infracciones</w:t>
      </w:r>
      <w:r w:rsidRPr="004E5372">
        <w:rPr>
          <w:spacing w:val="-2"/>
        </w:rPr>
        <w:t xml:space="preserve"> </w:t>
      </w:r>
      <w:r>
        <w:t>al</w:t>
      </w:r>
      <w:r w:rsidRPr="004E5372">
        <w:rPr>
          <w:spacing w:val="-1"/>
        </w:rPr>
        <w:t xml:space="preserve"> </w:t>
      </w:r>
      <w:r>
        <w:t>DIH</w:t>
      </w:r>
      <w:r w:rsidRPr="004E5372">
        <w:rPr>
          <w:spacing w:val="-2"/>
        </w:rPr>
        <w:t xml:space="preserve"> </w:t>
      </w:r>
      <w:r>
        <w:t>cometidas</w:t>
      </w:r>
      <w:r w:rsidRPr="004E5372">
        <w:rPr>
          <w:spacing w:val="-1"/>
        </w:rPr>
        <w:t xml:space="preserve"> </w:t>
      </w:r>
      <w:r>
        <w:t>por</w:t>
      </w:r>
      <w:r w:rsidRPr="004E5372">
        <w:rPr>
          <w:spacing w:val="-2"/>
        </w:rPr>
        <w:t xml:space="preserve"> </w:t>
      </w:r>
      <w:r>
        <w:t>miembros</w:t>
      </w:r>
      <w:r w:rsidRPr="004E5372">
        <w:rPr>
          <w:spacing w:val="-1"/>
        </w:rPr>
        <w:t xml:space="preserve"> </w:t>
      </w:r>
      <w:r>
        <w:t>de</w:t>
      </w:r>
      <w:r w:rsidRPr="004E5372">
        <w:rPr>
          <w:spacing w:val="-2"/>
        </w:rPr>
        <w:t xml:space="preserve"> </w:t>
      </w:r>
      <w:r>
        <w:t>las</w:t>
      </w:r>
      <w:r w:rsidRPr="004E5372">
        <w:rPr>
          <w:spacing w:val="-1"/>
        </w:rPr>
        <w:t xml:space="preserve"> </w:t>
      </w:r>
      <w:r>
        <w:t>Fuerzas Militares, la Policía y organismos de inteligencia, y garantizar mecanismos de transparencia para el seguimiento ciudadano al ejercicio de la acción disciplinaria. Adicionalmente,</w:t>
      </w:r>
      <w:r w:rsidRPr="004E5372">
        <w:rPr>
          <w:spacing w:val="-15"/>
        </w:rPr>
        <w:t xml:space="preserve"> </w:t>
      </w:r>
      <w:r>
        <w:t>garantizar</w:t>
      </w:r>
      <w:r w:rsidRPr="004E5372">
        <w:rPr>
          <w:spacing w:val="-12"/>
        </w:rPr>
        <w:t xml:space="preserve"> </w:t>
      </w:r>
      <w:r>
        <w:t>la</w:t>
      </w:r>
      <w:r w:rsidRPr="004E5372">
        <w:rPr>
          <w:spacing w:val="-12"/>
        </w:rPr>
        <w:t xml:space="preserve"> </w:t>
      </w:r>
      <w:r>
        <w:lastRenderedPageBreak/>
        <w:t>aplicación</w:t>
      </w:r>
      <w:r w:rsidRPr="004E5372">
        <w:rPr>
          <w:spacing w:val="-12"/>
        </w:rPr>
        <w:t xml:space="preserve"> </w:t>
      </w:r>
      <w:r>
        <w:t>de</w:t>
      </w:r>
      <w:r w:rsidRPr="004E5372">
        <w:rPr>
          <w:spacing w:val="-13"/>
        </w:rPr>
        <w:t xml:space="preserve"> </w:t>
      </w:r>
      <w:r>
        <w:t>la</w:t>
      </w:r>
      <w:r w:rsidRPr="004E5372">
        <w:rPr>
          <w:spacing w:val="-12"/>
        </w:rPr>
        <w:t xml:space="preserve"> </w:t>
      </w:r>
      <w:r>
        <w:t>suspensión</w:t>
      </w:r>
      <w:r w:rsidRPr="004E5372">
        <w:rPr>
          <w:spacing w:val="-12"/>
        </w:rPr>
        <w:t xml:space="preserve"> </w:t>
      </w:r>
      <w:r>
        <w:t>provisional</w:t>
      </w:r>
      <w:r w:rsidRPr="004E5372">
        <w:rPr>
          <w:spacing w:val="-12"/>
        </w:rPr>
        <w:t xml:space="preserve"> </w:t>
      </w:r>
      <w:r>
        <w:t>de</w:t>
      </w:r>
      <w:r w:rsidRPr="004E5372">
        <w:rPr>
          <w:spacing w:val="-12"/>
        </w:rPr>
        <w:t xml:space="preserve"> </w:t>
      </w:r>
      <w:r w:rsidRPr="004E5372">
        <w:rPr>
          <w:spacing w:val="-2"/>
        </w:rPr>
        <w:t>funcionarios</w:t>
      </w:r>
    </w:p>
    <w:p w:rsidR="003804AC" w:rsidRDefault="00AF18A5" w:rsidP="004E5372">
      <w:pPr>
        <w:pStyle w:val="Prrafodelista"/>
        <w:ind w:left="720"/>
      </w:pPr>
      <w:r>
        <w:t>en</w:t>
      </w:r>
      <w:r w:rsidRPr="004E5372">
        <w:rPr>
          <w:spacing w:val="-1"/>
        </w:rPr>
        <w:t xml:space="preserve"> </w:t>
      </w:r>
      <w:r>
        <w:t>función</w:t>
      </w:r>
      <w:r w:rsidRPr="004E5372">
        <w:rPr>
          <w:spacing w:val="-2"/>
        </w:rPr>
        <w:t xml:space="preserve"> </w:t>
      </w:r>
      <w:r>
        <w:t>o</w:t>
      </w:r>
      <w:r w:rsidRPr="004E5372">
        <w:rPr>
          <w:spacing w:val="-2"/>
        </w:rPr>
        <w:t xml:space="preserve"> </w:t>
      </w:r>
      <w:r>
        <w:t>servicio</w:t>
      </w:r>
      <w:r w:rsidRPr="004E5372">
        <w:rPr>
          <w:spacing w:val="-1"/>
        </w:rPr>
        <w:t xml:space="preserve"> </w:t>
      </w:r>
      <w:r>
        <w:t>activo</w:t>
      </w:r>
      <w:r w:rsidRPr="004E5372">
        <w:rPr>
          <w:spacing w:val="-1"/>
        </w:rPr>
        <w:t xml:space="preserve"> </w:t>
      </w:r>
      <w:r>
        <w:t>investigados</w:t>
      </w:r>
      <w:r w:rsidRPr="004E5372">
        <w:rPr>
          <w:spacing w:val="-1"/>
        </w:rPr>
        <w:t xml:space="preserve"> </w:t>
      </w:r>
      <w:r>
        <w:t>o</w:t>
      </w:r>
      <w:r w:rsidRPr="004E5372">
        <w:rPr>
          <w:spacing w:val="-1"/>
        </w:rPr>
        <w:t xml:space="preserve"> </w:t>
      </w:r>
      <w:r>
        <w:t>juzgados</w:t>
      </w:r>
      <w:r w:rsidRPr="004E5372">
        <w:rPr>
          <w:spacing w:val="-1"/>
        </w:rPr>
        <w:t xml:space="preserve"> </w:t>
      </w:r>
      <w:r>
        <w:t>por</w:t>
      </w:r>
      <w:r w:rsidRPr="004E5372">
        <w:rPr>
          <w:spacing w:val="-1"/>
        </w:rPr>
        <w:t xml:space="preserve"> </w:t>
      </w:r>
      <w:r>
        <w:t>violaciones</w:t>
      </w:r>
      <w:r w:rsidRPr="004E5372">
        <w:rPr>
          <w:spacing w:val="-1"/>
        </w:rPr>
        <w:t xml:space="preserve"> </w:t>
      </w:r>
      <w:r>
        <w:t>de</w:t>
      </w:r>
      <w:r w:rsidRPr="004E5372">
        <w:rPr>
          <w:spacing w:val="-1"/>
        </w:rPr>
        <w:t xml:space="preserve"> </w:t>
      </w:r>
      <w:r>
        <w:t>los</w:t>
      </w:r>
      <w:r w:rsidRPr="004E5372">
        <w:rPr>
          <w:spacing w:val="-1"/>
        </w:rPr>
        <w:t xml:space="preserve"> </w:t>
      </w:r>
      <w:r>
        <w:t>derechos humanos y por infracciones al DIH</w:t>
      </w:r>
      <w:r w:rsidR="004E5372">
        <w:rPr>
          <w:rStyle w:val="Refdenotaalpie"/>
        </w:rPr>
        <w:footnoteReference w:id="1258"/>
      </w:r>
      <w:r>
        <w:t>.</w:t>
      </w:r>
    </w:p>
    <w:p w:rsidR="003804AC" w:rsidRDefault="00AF18A5" w:rsidP="004A6EF4">
      <w:pPr>
        <w:pStyle w:val="Prrafodelista"/>
        <w:numPr>
          <w:ilvl w:val="0"/>
          <w:numId w:val="48"/>
        </w:numPr>
      </w:pPr>
      <w:r>
        <w:t>Realizar un proceso de diagnóstico que cuente con la participación de organismos</w:t>
      </w:r>
      <w:r w:rsidRPr="004E5372">
        <w:rPr>
          <w:spacing w:val="-12"/>
        </w:rPr>
        <w:t xml:space="preserve"> </w:t>
      </w:r>
      <w:r>
        <w:t>de</w:t>
      </w:r>
      <w:r w:rsidRPr="004E5372">
        <w:rPr>
          <w:spacing w:val="-10"/>
        </w:rPr>
        <w:t xml:space="preserve"> </w:t>
      </w:r>
      <w:r>
        <w:t>control</w:t>
      </w:r>
      <w:r w:rsidRPr="004E5372">
        <w:rPr>
          <w:spacing w:val="-11"/>
        </w:rPr>
        <w:t xml:space="preserve"> </w:t>
      </w:r>
      <w:r>
        <w:t>y</w:t>
      </w:r>
      <w:r w:rsidRPr="004E5372">
        <w:rPr>
          <w:spacing w:val="-12"/>
        </w:rPr>
        <w:t xml:space="preserve"> </w:t>
      </w:r>
      <w:r>
        <w:t>de</w:t>
      </w:r>
      <w:r w:rsidRPr="004E5372">
        <w:rPr>
          <w:spacing w:val="-10"/>
        </w:rPr>
        <w:t xml:space="preserve"> </w:t>
      </w:r>
      <w:r>
        <w:t>expertos</w:t>
      </w:r>
      <w:r w:rsidRPr="004E5372">
        <w:rPr>
          <w:spacing w:val="-12"/>
        </w:rPr>
        <w:t xml:space="preserve"> </w:t>
      </w:r>
      <w:r>
        <w:t>independientes</w:t>
      </w:r>
      <w:r w:rsidRPr="004E5372">
        <w:rPr>
          <w:spacing w:val="-10"/>
        </w:rPr>
        <w:t xml:space="preserve"> </w:t>
      </w:r>
      <w:r>
        <w:t>sobre</w:t>
      </w:r>
      <w:r w:rsidRPr="004E5372">
        <w:rPr>
          <w:spacing w:val="-10"/>
        </w:rPr>
        <w:t xml:space="preserve"> </w:t>
      </w:r>
      <w:r>
        <w:t>los</w:t>
      </w:r>
      <w:r w:rsidRPr="004E5372">
        <w:rPr>
          <w:spacing w:val="-12"/>
        </w:rPr>
        <w:t xml:space="preserve"> </w:t>
      </w:r>
      <w:r>
        <w:t>límites</w:t>
      </w:r>
      <w:r w:rsidRPr="004E5372">
        <w:rPr>
          <w:spacing w:val="-12"/>
        </w:rPr>
        <w:t xml:space="preserve"> </w:t>
      </w:r>
      <w:r>
        <w:t>y</w:t>
      </w:r>
      <w:r w:rsidRPr="004E5372">
        <w:rPr>
          <w:spacing w:val="-11"/>
        </w:rPr>
        <w:t xml:space="preserve"> </w:t>
      </w:r>
      <w:r>
        <w:t>controles</w:t>
      </w:r>
      <w:r w:rsidRPr="004E5372">
        <w:rPr>
          <w:spacing w:val="-12"/>
        </w:rPr>
        <w:t xml:space="preserve"> </w:t>
      </w:r>
      <w:r>
        <w:t>a</w:t>
      </w:r>
      <w:r w:rsidRPr="004E5372">
        <w:rPr>
          <w:spacing w:val="-12"/>
        </w:rPr>
        <w:t xml:space="preserve"> </w:t>
      </w:r>
      <w:r>
        <w:t xml:space="preserve">las entidades que administran </w:t>
      </w:r>
      <w:r w:rsidRPr="004E5372">
        <w:rPr>
          <w:b/>
        </w:rPr>
        <w:t xml:space="preserve">gastos reservados </w:t>
      </w:r>
      <w:r>
        <w:t>para proponer las reformas y ajustes normativos e institucionales necesarios. Esto con el fin de (i) prevenir la corrupción al interior de las entidades del Estado que ejecutan gastos reservados y su contribución a la comisión de violaciones de los derechos humanos e infracciones DIH</w:t>
      </w:r>
      <w:r w:rsidRPr="004E5372">
        <w:rPr>
          <w:spacing w:val="-1"/>
        </w:rPr>
        <w:t xml:space="preserve"> </w:t>
      </w:r>
      <w:r>
        <w:t>y (</w:t>
      </w:r>
      <w:proofErr w:type="spellStart"/>
      <w:r>
        <w:t>ii</w:t>
      </w:r>
      <w:proofErr w:type="spellEnd"/>
      <w:r>
        <w:t>) garantizar controles efectivos que incluyan la fiscalización por parte de</w:t>
      </w:r>
      <w:r w:rsidRPr="004E5372">
        <w:rPr>
          <w:spacing w:val="-1"/>
        </w:rPr>
        <w:t xml:space="preserve"> </w:t>
      </w:r>
      <w:r>
        <w:t>la Contraloría de la República.</w:t>
      </w:r>
    </w:p>
    <w:p w:rsidR="003804AC" w:rsidRDefault="00AF18A5" w:rsidP="004A6EF4">
      <w:pPr>
        <w:pStyle w:val="Prrafodelista"/>
        <w:numPr>
          <w:ilvl w:val="0"/>
          <w:numId w:val="48"/>
        </w:numPr>
      </w:pPr>
      <w:r>
        <w:t xml:space="preserve">Garantizar la oportunidad y efectividad del </w:t>
      </w:r>
      <w:r w:rsidRPr="004E5372">
        <w:rPr>
          <w:b/>
        </w:rPr>
        <w:t xml:space="preserve">control político </w:t>
      </w:r>
      <w:r>
        <w:t>del Congreso sobre</w:t>
      </w:r>
      <w:r w:rsidRPr="004E5372">
        <w:rPr>
          <w:spacing w:val="-8"/>
        </w:rPr>
        <w:t xml:space="preserve"> </w:t>
      </w:r>
      <w:r>
        <w:t>las</w:t>
      </w:r>
      <w:r w:rsidRPr="004E5372">
        <w:rPr>
          <w:spacing w:val="-9"/>
        </w:rPr>
        <w:t xml:space="preserve"> </w:t>
      </w:r>
      <w:r>
        <w:t>instituciones</w:t>
      </w:r>
      <w:r w:rsidRPr="004E5372">
        <w:rPr>
          <w:spacing w:val="-9"/>
        </w:rPr>
        <w:t xml:space="preserve"> </w:t>
      </w:r>
      <w:r>
        <w:t>responsables</w:t>
      </w:r>
      <w:r w:rsidRPr="004E5372">
        <w:rPr>
          <w:spacing w:val="-8"/>
        </w:rPr>
        <w:t xml:space="preserve"> </w:t>
      </w:r>
      <w:r>
        <w:t>de</w:t>
      </w:r>
      <w:r w:rsidRPr="004E5372">
        <w:rPr>
          <w:spacing w:val="-8"/>
        </w:rPr>
        <w:t xml:space="preserve"> </w:t>
      </w:r>
      <w:r>
        <w:t>la</w:t>
      </w:r>
      <w:r w:rsidRPr="004E5372">
        <w:rPr>
          <w:spacing w:val="-8"/>
        </w:rPr>
        <w:t xml:space="preserve"> </w:t>
      </w:r>
      <w:r>
        <w:t>seguridad</w:t>
      </w:r>
      <w:r w:rsidRPr="004E5372">
        <w:rPr>
          <w:spacing w:val="-8"/>
        </w:rPr>
        <w:t xml:space="preserve"> </w:t>
      </w:r>
      <w:r>
        <w:t>y</w:t>
      </w:r>
      <w:r w:rsidRPr="004E5372">
        <w:rPr>
          <w:spacing w:val="-8"/>
        </w:rPr>
        <w:t xml:space="preserve"> </w:t>
      </w:r>
      <w:r>
        <w:t>defensa</w:t>
      </w:r>
      <w:r w:rsidRPr="004E5372">
        <w:rPr>
          <w:spacing w:val="-9"/>
        </w:rPr>
        <w:t xml:space="preserve"> </w:t>
      </w:r>
      <w:r>
        <w:t>a</w:t>
      </w:r>
      <w:r w:rsidRPr="004E5372">
        <w:rPr>
          <w:spacing w:val="-8"/>
        </w:rPr>
        <w:t xml:space="preserve"> </w:t>
      </w:r>
      <w:r>
        <w:t>través</w:t>
      </w:r>
      <w:r w:rsidRPr="004E5372">
        <w:rPr>
          <w:spacing w:val="-8"/>
        </w:rPr>
        <w:t xml:space="preserve"> </w:t>
      </w:r>
      <w:r>
        <w:t>de,</w:t>
      </w:r>
      <w:r w:rsidRPr="004E5372">
        <w:rPr>
          <w:spacing w:val="-8"/>
        </w:rPr>
        <w:t xml:space="preserve"> </w:t>
      </w:r>
      <w:r>
        <w:t>entre</w:t>
      </w:r>
      <w:r w:rsidRPr="004E5372">
        <w:rPr>
          <w:spacing w:val="-8"/>
        </w:rPr>
        <w:t xml:space="preserve"> </w:t>
      </w:r>
      <w:r>
        <w:t>otros, audiencias</w:t>
      </w:r>
      <w:r w:rsidRPr="004E5372">
        <w:rPr>
          <w:spacing w:val="-10"/>
        </w:rPr>
        <w:t xml:space="preserve"> </w:t>
      </w:r>
      <w:r>
        <w:t>periódicas</w:t>
      </w:r>
      <w:r w:rsidRPr="004E5372">
        <w:rPr>
          <w:spacing w:val="-10"/>
        </w:rPr>
        <w:t xml:space="preserve"> </w:t>
      </w:r>
      <w:r>
        <w:t>de</w:t>
      </w:r>
      <w:r w:rsidRPr="004E5372">
        <w:rPr>
          <w:spacing w:val="-12"/>
        </w:rPr>
        <w:t xml:space="preserve"> </w:t>
      </w:r>
      <w:r>
        <w:t>seguimiento</w:t>
      </w:r>
      <w:r w:rsidRPr="004E5372">
        <w:rPr>
          <w:spacing w:val="-12"/>
        </w:rPr>
        <w:t xml:space="preserve"> </w:t>
      </w:r>
      <w:r>
        <w:t>y</w:t>
      </w:r>
      <w:r w:rsidRPr="004E5372">
        <w:rPr>
          <w:spacing w:val="-11"/>
        </w:rPr>
        <w:t xml:space="preserve"> </w:t>
      </w:r>
      <w:r>
        <w:t>control,</w:t>
      </w:r>
      <w:r w:rsidRPr="004E5372">
        <w:rPr>
          <w:spacing w:val="-11"/>
        </w:rPr>
        <w:t xml:space="preserve"> </w:t>
      </w:r>
      <w:r>
        <w:t>y</w:t>
      </w:r>
      <w:r w:rsidRPr="004E5372">
        <w:rPr>
          <w:spacing w:val="-11"/>
        </w:rPr>
        <w:t xml:space="preserve"> </w:t>
      </w:r>
      <w:r>
        <w:t>el</w:t>
      </w:r>
      <w:r w:rsidRPr="004E5372">
        <w:rPr>
          <w:spacing w:val="-10"/>
        </w:rPr>
        <w:t xml:space="preserve"> </w:t>
      </w:r>
      <w:r>
        <w:t>mejoramiento</w:t>
      </w:r>
      <w:r w:rsidRPr="004E5372">
        <w:rPr>
          <w:spacing w:val="-11"/>
        </w:rPr>
        <w:t xml:space="preserve"> </w:t>
      </w:r>
      <w:r>
        <w:t>de</w:t>
      </w:r>
      <w:r w:rsidRPr="004E5372">
        <w:rPr>
          <w:spacing w:val="-10"/>
        </w:rPr>
        <w:t xml:space="preserve"> </w:t>
      </w:r>
      <w:r>
        <w:t>las</w:t>
      </w:r>
      <w:r w:rsidRPr="004E5372">
        <w:rPr>
          <w:spacing w:val="-10"/>
        </w:rPr>
        <w:t xml:space="preserve"> </w:t>
      </w:r>
      <w:r>
        <w:t>capacidades técnicas</w:t>
      </w:r>
      <w:r w:rsidRPr="004E5372">
        <w:rPr>
          <w:spacing w:val="-9"/>
        </w:rPr>
        <w:t xml:space="preserve"> </w:t>
      </w:r>
      <w:r>
        <w:t>y</w:t>
      </w:r>
      <w:r w:rsidRPr="004E5372">
        <w:rPr>
          <w:spacing w:val="-11"/>
        </w:rPr>
        <w:t xml:space="preserve"> </w:t>
      </w:r>
      <w:r>
        <w:t>logísticas</w:t>
      </w:r>
      <w:r w:rsidRPr="004E5372">
        <w:rPr>
          <w:spacing w:val="-10"/>
        </w:rPr>
        <w:t xml:space="preserve"> </w:t>
      </w:r>
      <w:r>
        <w:t>de</w:t>
      </w:r>
      <w:r w:rsidRPr="004E5372">
        <w:rPr>
          <w:spacing w:val="-10"/>
        </w:rPr>
        <w:t xml:space="preserve"> </w:t>
      </w:r>
      <w:r>
        <w:t>las</w:t>
      </w:r>
      <w:r w:rsidRPr="004E5372">
        <w:rPr>
          <w:spacing w:val="-11"/>
        </w:rPr>
        <w:t xml:space="preserve"> </w:t>
      </w:r>
      <w:r>
        <w:t>comisiones</w:t>
      </w:r>
      <w:r w:rsidRPr="004E5372">
        <w:rPr>
          <w:spacing w:val="-10"/>
        </w:rPr>
        <w:t xml:space="preserve"> </w:t>
      </w:r>
      <w:r>
        <w:t>constitucionales</w:t>
      </w:r>
      <w:r w:rsidRPr="004E5372">
        <w:rPr>
          <w:spacing w:val="-10"/>
        </w:rPr>
        <w:t xml:space="preserve"> </w:t>
      </w:r>
      <w:r>
        <w:t>y</w:t>
      </w:r>
      <w:r w:rsidRPr="004E5372">
        <w:rPr>
          <w:spacing w:val="-11"/>
        </w:rPr>
        <w:t xml:space="preserve"> </w:t>
      </w:r>
      <w:r>
        <w:t>legales</w:t>
      </w:r>
      <w:r w:rsidRPr="004E5372">
        <w:rPr>
          <w:spacing w:val="-11"/>
        </w:rPr>
        <w:t xml:space="preserve"> </w:t>
      </w:r>
      <w:r>
        <w:t>encargadas</w:t>
      </w:r>
      <w:r w:rsidRPr="004E5372">
        <w:rPr>
          <w:spacing w:val="-10"/>
        </w:rPr>
        <w:t xml:space="preserve"> </w:t>
      </w:r>
      <w:r>
        <w:t>del</w:t>
      </w:r>
      <w:r w:rsidRPr="004E5372">
        <w:rPr>
          <w:spacing w:val="-10"/>
        </w:rPr>
        <w:t xml:space="preserve"> </w:t>
      </w:r>
      <w:r>
        <w:t>tema de seguridad y de derechos humanos, así como de la comisión legal de seguimiento a las actividades de inteligencia y contrainteligencia.</w:t>
      </w:r>
    </w:p>
    <w:p w:rsidR="0011361F" w:rsidRDefault="00AF18A5" w:rsidP="004A6EF4">
      <w:pPr>
        <w:pStyle w:val="Prrafodelista"/>
        <w:numPr>
          <w:ilvl w:val="0"/>
          <w:numId w:val="48"/>
        </w:numPr>
      </w:pPr>
      <w:r>
        <w:t>Realizar</w:t>
      </w:r>
      <w:r w:rsidRPr="004E5372">
        <w:rPr>
          <w:spacing w:val="-6"/>
        </w:rPr>
        <w:t xml:space="preserve"> </w:t>
      </w:r>
      <w:r>
        <w:t>los</w:t>
      </w:r>
      <w:r w:rsidRPr="004E5372">
        <w:rPr>
          <w:spacing w:val="-7"/>
        </w:rPr>
        <w:t xml:space="preserve"> </w:t>
      </w:r>
      <w:r>
        <w:t>ajustes</w:t>
      </w:r>
      <w:r w:rsidRPr="004E5372">
        <w:rPr>
          <w:spacing w:val="-5"/>
        </w:rPr>
        <w:t xml:space="preserve"> </w:t>
      </w:r>
      <w:r>
        <w:t>normativos</w:t>
      </w:r>
      <w:r w:rsidRPr="004E5372">
        <w:rPr>
          <w:spacing w:val="-7"/>
        </w:rPr>
        <w:t xml:space="preserve"> </w:t>
      </w:r>
      <w:r>
        <w:t>e</w:t>
      </w:r>
      <w:r w:rsidRPr="004E5372">
        <w:rPr>
          <w:spacing w:val="-7"/>
        </w:rPr>
        <w:t xml:space="preserve"> </w:t>
      </w:r>
      <w:r>
        <w:t>institucionales</w:t>
      </w:r>
      <w:r w:rsidRPr="004E5372">
        <w:rPr>
          <w:spacing w:val="-5"/>
        </w:rPr>
        <w:t xml:space="preserve"> </w:t>
      </w:r>
      <w:r>
        <w:t>que</w:t>
      </w:r>
      <w:r w:rsidRPr="004E5372">
        <w:rPr>
          <w:spacing w:val="-5"/>
        </w:rPr>
        <w:t xml:space="preserve"> </w:t>
      </w:r>
      <w:r>
        <w:t>sean</w:t>
      </w:r>
      <w:r w:rsidRPr="004E5372">
        <w:rPr>
          <w:spacing w:val="-6"/>
        </w:rPr>
        <w:t xml:space="preserve"> </w:t>
      </w:r>
      <w:r>
        <w:lastRenderedPageBreak/>
        <w:t>necesarios</w:t>
      </w:r>
      <w:r w:rsidRPr="004E5372">
        <w:rPr>
          <w:spacing w:val="-7"/>
        </w:rPr>
        <w:t xml:space="preserve"> </w:t>
      </w:r>
      <w:r>
        <w:t>para</w:t>
      </w:r>
      <w:r w:rsidRPr="004E5372">
        <w:rPr>
          <w:spacing w:val="-5"/>
        </w:rPr>
        <w:t xml:space="preserve"> </w:t>
      </w:r>
      <w:r>
        <w:t xml:space="preserve">que la actividad de inteligencia, particularmente de las actividades más intrusivas en el derecho a la intimidad, tales como los perfilamientos y el monitoreo al espectro electromagnético, cuente con </w:t>
      </w:r>
      <w:r w:rsidRPr="004E5372">
        <w:rPr>
          <w:b/>
        </w:rPr>
        <w:t xml:space="preserve">controles civiles e independientes </w:t>
      </w:r>
      <w:r>
        <w:t>del Gobierno y las Fuerzas Armadas.</w:t>
      </w:r>
    </w:p>
    <w:p w:rsidR="003804AC" w:rsidRDefault="00AF18A5" w:rsidP="004A6EF4">
      <w:pPr>
        <w:pStyle w:val="Prrafodelista"/>
        <w:numPr>
          <w:ilvl w:val="0"/>
          <w:numId w:val="48"/>
        </w:numPr>
      </w:pPr>
      <w:bookmarkStart w:id="1639" w:name="_bookmark1421"/>
      <w:bookmarkEnd w:id="1639"/>
      <w:r>
        <w:t xml:space="preserve">Realizar un debate público sobre la necesidad y conveniencia de mantener el Fuero Penal Militar y, en todo caso, adoptar los ajustes normativos y político- institucionales necesarios para que la </w:t>
      </w:r>
      <w:r w:rsidRPr="004E5372">
        <w:rPr>
          <w:b/>
        </w:rPr>
        <w:t>Fiscalía General de la Nación asuma la competencia de investigación de las conductas punibles cometidas por los miembros</w:t>
      </w:r>
      <w:r w:rsidRPr="004E5372">
        <w:rPr>
          <w:b/>
          <w:spacing w:val="-1"/>
        </w:rPr>
        <w:t xml:space="preserve"> </w:t>
      </w:r>
      <w:r w:rsidRPr="004E5372">
        <w:rPr>
          <w:b/>
        </w:rPr>
        <w:t>de</w:t>
      </w:r>
      <w:r w:rsidRPr="004E5372">
        <w:rPr>
          <w:b/>
          <w:spacing w:val="-1"/>
        </w:rPr>
        <w:t xml:space="preserve"> </w:t>
      </w:r>
      <w:r w:rsidRPr="004E5372">
        <w:rPr>
          <w:b/>
        </w:rPr>
        <w:t>las</w:t>
      </w:r>
      <w:r w:rsidRPr="004E5372">
        <w:rPr>
          <w:b/>
          <w:spacing w:val="-1"/>
        </w:rPr>
        <w:t xml:space="preserve"> </w:t>
      </w:r>
      <w:r w:rsidRPr="004E5372">
        <w:rPr>
          <w:b/>
        </w:rPr>
        <w:t>Fuerzas</w:t>
      </w:r>
      <w:r w:rsidRPr="004E5372">
        <w:rPr>
          <w:b/>
          <w:spacing w:val="-1"/>
        </w:rPr>
        <w:t xml:space="preserve"> </w:t>
      </w:r>
      <w:r w:rsidRPr="004E5372">
        <w:rPr>
          <w:b/>
        </w:rPr>
        <w:t>Militares</w:t>
      </w:r>
      <w:r w:rsidRPr="004E5372">
        <w:rPr>
          <w:b/>
          <w:spacing w:val="-2"/>
        </w:rPr>
        <w:t xml:space="preserve"> </w:t>
      </w:r>
      <w:r w:rsidRPr="004E5372">
        <w:rPr>
          <w:b/>
        </w:rPr>
        <w:t>y</w:t>
      </w:r>
      <w:r w:rsidRPr="004E5372">
        <w:rPr>
          <w:b/>
          <w:spacing w:val="-1"/>
        </w:rPr>
        <w:t xml:space="preserve"> </w:t>
      </w:r>
      <w:r w:rsidRPr="004E5372">
        <w:rPr>
          <w:b/>
        </w:rPr>
        <w:t>de</w:t>
      </w:r>
      <w:r w:rsidRPr="004E5372">
        <w:rPr>
          <w:b/>
          <w:spacing w:val="-1"/>
        </w:rPr>
        <w:t xml:space="preserve"> </w:t>
      </w:r>
      <w:r w:rsidRPr="004E5372">
        <w:rPr>
          <w:b/>
        </w:rPr>
        <w:t>la</w:t>
      </w:r>
      <w:r w:rsidRPr="004E5372">
        <w:rPr>
          <w:b/>
          <w:spacing w:val="-2"/>
        </w:rPr>
        <w:t xml:space="preserve"> </w:t>
      </w:r>
      <w:r w:rsidRPr="004E5372">
        <w:rPr>
          <w:b/>
        </w:rPr>
        <w:t>Policía</w:t>
      </w:r>
      <w:r w:rsidRPr="004E5372">
        <w:rPr>
          <w:b/>
          <w:spacing w:val="-1"/>
        </w:rPr>
        <w:t xml:space="preserve"> </w:t>
      </w:r>
      <w:r w:rsidRPr="004E5372">
        <w:rPr>
          <w:b/>
        </w:rPr>
        <w:t>Nacional,</w:t>
      </w:r>
      <w:r w:rsidRPr="004E5372">
        <w:rPr>
          <w:b/>
          <w:spacing w:val="-1"/>
        </w:rPr>
        <w:t xml:space="preserve"> </w:t>
      </w:r>
      <w:r>
        <w:t>con</w:t>
      </w:r>
      <w:r w:rsidRPr="004E5372">
        <w:rPr>
          <w:spacing w:val="-2"/>
        </w:rPr>
        <w:t xml:space="preserve"> </w:t>
      </w:r>
      <w:r>
        <w:t>excepción</w:t>
      </w:r>
      <w:r w:rsidRPr="004E5372">
        <w:rPr>
          <w:spacing w:val="-1"/>
        </w:rPr>
        <w:t xml:space="preserve"> </w:t>
      </w:r>
      <w:r>
        <w:t>de</w:t>
      </w:r>
      <w:r w:rsidRPr="004E5372">
        <w:rPr>
          <w:spacing w:val="-2"/>
        </w:rPr>
        <w:t xml:space="preserve"> </w:t>
      </w:r>
      <w:r>
        <w:t>las típicamente militares</w:t>
      </w:r>
      <w:r w:rsidR="004E5372">
        <w:rPr>
          <w:rStyle w:val="Refdenotaalpie"/>
        </w:rPr>
        <w:footnoteReference w:id="1259"/>
      </w:r>
      <w:r>
        <w:t>, y para que el juzgamiento de estas conductas corresponda a la Jurisdicción Ordinaria. Lo anterior implica, adicionalmente:</w:t>
      </w:r>
    </w:p>
    <w:p w:rsidR="003804AC" w:rsidRDefault="00AF18A5" w:rsidP="004A6EF4">
      <w:pPr>
        <w:pStyle w:val="Prrafodelista"/>
        <w:numPr>
          <w:ilvl w:val="0"/>
          <w:numId w:val="48"/>
        </w:numPr>
      </w:pPr>
      <w:r>
        <w:t xml:space="preserve">Hacer los ajustes normativos pertinentes para </w:t>
      </w:r>
      <w:r w:rsidRPr="004E5372">
        <w:rPr>
          <w:b/>
        </w:rPr>
        <w:t xml:space="preserve">que la Justicia Penal Militar investigue y juzgue solo las conductas típicamente militares </w:t>
      </w:r>
      <w:r>
        <w:t>y en ningún caso las violaciones de derechos humanos e infracciones al DIH.</w:t>
      </w:r>
    </w:p>
    <w:p w:rsidR="003804AC" w:rsidRDefault="00AF18A5" w:rsidP="004A6EF4">
      <w:pPr>
        <w:pStyle w:val="Prrafodelista"/>
        <w:numPr>
          <w:ilvl w:val="0"/>
          <w:numId w:val="48"/>
        </w:numPr>
      </w:pPr>
      <w:r>
        <w:t>Hacer los ajustes normativos pertinentes para q</w:t>
      </w:r>
      <w:r w:rsidRPr="004E5372">
        <w:rPr>
          <w:b/>
        </w:rPr>
        <w:t>ue la Justicia Penal Militar</w:t>
      </w:r>
      <w:r w:rsidRPr="004E5372">
        <w:rPr>
          <w:b/>
          <w:spacing w:val="-14"/>
        </w:rPr>
        <w:t xml:space="preserve"> </w:t>
      </w:r>
      <w:r w:rsidRPr="004E5372">
        <w:rPr>
          <w:b/>
        </w:rPr>
        <w:t>no</w:t>
      </w:r>
      <w:r w:rsidRPr="004E5372">
        <w:rPr>
          <w:b/>
          <w:spacing w:val="-14"/>
        </w:rPr>
        <w:t xml:space="preserve"> </w:t>
      </w:r>
      <w:r w:rsidRPr="004E5372">
        <w:rPr>
          <w:b/>
        </w:rPr>
        <w:t>investigue</w:t>
      </w:r>
      <w:r w:rsidRPr="004E5372">
        <w:rPr>
          <w:b/>
          <w:spacing w:val="-14"/>
        </w:rPr>
        <w:t xml:space="preserve"> </w:t>
      </w:r>
      <w:r w:rsidRPr="004E5372">
        <w:rPr>
          <w:b/>
        </w:rPr>
        <w:t>ni</w:t>
      </w:r>
      <w:r w:rsidRPr="004E5372">
        <w:rPr>
          <w:b/>
          <w:spacing w:val="-15"/>
        </w:rPr>
        <w:t xml:space="preserve"> </w:t>
      </w:r>
      <w:r w:rsidRPr="004E5372">
        <w:rPr>
          <w:b/>
        </w:rPr>
        <w:t>juzgue</w:t>
      </w:r>
      <w:r w:rsidRPr="004E5372">
        <w:rPr>
          <w:b/>
          <w:spacing w:val="-14"/>
        </w:rPr>
        <w:t xml:space="preserve"> </w:t>
      </w:r>
      <w:r w:rsidRPr="004E5372">
        <w:rPr>
          <w:b/>
        </w:rPr>
        <w:t>ningún</w:t>
      </w:r>
      <w:r w:rsidRPr="004E5372">
        <w:rPr>
          <w:b/>
          <w:spacing w:val="-14"/>
        </w:rPr>
        <w:t xml:space="preserve"> </w:t>
      </w:r>
      <w:r w:rsidRPr="004E5372">
        <w:rPr>
          <w:b/>
        </w:rPr>
        <w:t>tipo</w:t>
      </w:r>
      <w:r w:rsidRPr="004E5372">
        <w:rPr>
          <w:b/>
          <w:spacing w:val="-14"/>
        </w:rPr>
        <w:t xml:space="preserve"> </w:t>
      </w:r>
      <w:r w:rsidRPr="004E5372">
        <w:rPr>
          <w:b/>
        </w:rPr>
        <w:t>de</w:t>
      </w:r>
      <w:r w:rsidRPr="004E5372">
        <w:rPr>
          <w:b/>
          <w:spacing w:val="-14"/>
        </w:rPr>
        <w:t xml:space="preserve"> </w:t>
      </w:r>
      <w:r w:rsidRPr="004E5372">
        <w:rPr>
          <w:b/>
        </w:rPr>
        <w:t>conducta</w:t>
      </w:r>
      <w:r w:rsidRPr="004E5372">
        <w:rPr>
          <w:b/>
          <w:spacing w:val="-14"/>
        </w:rPr>
        <w:t xml:space="preserve"> </w:t>
      </w:r>
      <w:r w:rsidRPr="004E5372">
        <w:rPr>
          <w:b/>
        </w:rPr>
        <w:t>punible</w:t>
      </w:r>
      <w:r w:rsidRPr="004E5372">
        <w:rPr>
          <w:b/>
          <w:spacing w:val="-14"/>
        </w:rPr>
        <w:t xml:space="preserve"> </w:t>
      </w:r>
      <w:r w:rsidRPr="004E5372">
        <w:rPr>
          <w:b/>
        </w:rPr>
        <w:t>cometida por la Policía Nacional</w:t>
      </w:r>
      <w:r>
        <w:t>.</w:t>
      </w:r>
    </w:p>
    <w:p w:rsidR="003804AC" w:rsidRDefault="00AF18A5" w:rsidP="004A6EF4">
      <w:pPr>
        <w:pStyle w:val="Prrafodelista"/>
        <w:numPr>
          <w:ilvl w:val="0"/>
          <w:numId w:val="48"/>
        </w:numPr>
      </w:pPr>
      <w:r>
        <w:t>Fortalecer las estrategias de priorización, las metodologías de investigación</w:t>
      </w:r>
      <w:r w:rsidRPr="004E5372">
        <w:rPr>
          <w:spacing w:val="-14"/>
        </w:rPr>
        <w:t xml:space="preserve"> </w:t>
      </w:r>
      <w:r>
        <w:t>de</w:t>
      </w:r>
      <w:r w:rsidRPr="004E5372">
        <w:rPr>
          <w:spacing w:val="-14"/>
        </w:rPr>
        <w:t xml:space="preserve"> </w:t>
      </w:r>
      <w:proofErr w:type="spellStart"/>
      <w:r>
        <w:t>macrocriminalidad</w:t>
      </w:r>
      <w:proofErr w:type="spellEnd"/>
      <w:r w:rsidRPr="004E5372">
        <w:rPr>
          <w:spacing w:val="-15"/>
        </w:rPr>
        <w:t xml:space="preserve"> </w:t>
      </w:r>
      <w:r>
        <w:t>y</w:t>
      </w:r>
      <w:r w:rsidRPr="004E5372">
        <w:rPr>
          <w:spacing w:val="-14"/>
        </w:rPr>
        <w:t xml:space="preserve"> </w:t>
      </w:r>
      <w:r>
        <w:t>los</w:t>
      </w:r>
      <w:r w:rsidRPr="004E5372">
        <w:rPr>
          <w:spacing w:val="-14"/>
        </w:rPr>
        <w:t xml:space="preserve"> </w:t>
      </w:r>
      <w:r>
        <w:t>equipos</w:t>
      </w:r>
      <w:r w:rsidRPr="004E5372">
        <w:rPr>
          <w:spacing w:val="-14"/>
        </w:rPr>
        <w:t xml:space="preserve"> </w:t>
      </w:r>
      <w:r>
        <w:t>investigativos</w:t>
      </w:r>
      <w:r w:rsidRPr="004E5372">
        <w:rPr>
          <w:spacing w:val="-14"/>
        </w:rPr>
        <w:t xml:space="preserve"> </w:t>
      </w:r>
      <w:r>
        <w:t>en</w:t>
      </w:r>
      <w:r w:rsidRPr="004E5372">
        <w:rPr>
          <w:spacing w:val="-14"/>
        </w:rPr>
        <w:t xml:space="preserve"> </w:t>
      </w:r>
      <w:r>
        <w:t>la</w:t>
      </w:r>
      <w:r w:rsidRPr="004E5372">
        <w:rPr>
          <w:spacing w:val="-14"/>
        </w:rPr>
        <w:t xml:space="preserve"> </w:t>
      </w:r>
      <w:r>
        <w:t xml:space="preserve">Fiscalía General de la Nación para dar una </w:t>
      </w:r>
      <w:r w:rsidRPr="004E5372">
        <w:rPr>
          <w:b/>
        </w:rPr>
        <w:t>respuesta adecuada y oportuna en materia de persecución de los delitos cometidos por miembros de la fuerza pública</w:t>
      </w:r>
      <w:r>
        <w:t xml:space="preserve">, especialmente las graves violaciones a los Derechos Humanos e </w:t>
      </w:r>
      <w:r>
        <w:lastRenderedPageBreak/>
        <w:t>infracciones al DIH.</w:t>
      </w:r>
    </w:p>
    <w:p w:rsidR="0011361F" w:rsidRDefault="00AF18A5" w:rsidP="004E5372">
      <w:r>
        <w:t>Mediano</w:t>
      </w:r>
      <w:r>
        <w:rPr>
          <w:spacing w:val="-3"/>
        </w:rPr>
        <w:t xml:space="preserve"> </w:t>
      </w:r>
      <w:r>
        <w:rPr>
          <w:spacing w:val="-2"/>
        </w:rPr>
        <w:t>plazo</w:t>
      </w:r>
    </w:p>
    <w:p w:rsidR="005B5187" w:rsidRDefault="005B5187" w:rsidP="005B5187">
      <w:pPr>
        <w:pStyle w:val="Ttulo4"/>
      </w:pPr>
      <w:r>
        <w:t xml:space="preserve">40.3. </w:t>
      </w:r>
    </w:p>
    <w:p w:rsidR="0011361F" w:rsidRDefault="00AF18A5" w:rsidP="005B5187">
      <w:r>
        <w:t xml:space="preserve">Realizar un proceso para el </w:t>
      </w:r>
      <w:r>
        <w:rPr>
          <w:b/>
        </w:rPr>
        <w:t xml:space="preserve">ajuste de los roles y misiones </w:t>
      </w:r>
      <w:r>
        <w:t>en el marco de la nueva visión de</w:t>
      </w:r>
      <w:r>
        <w:rPr>
          <w:spacing w:val="-1"/>
        </w:rPr>
        <w:t xml:space="preserve"> </w:t>
      </w:r>
      <w:r>
        <w:t>seguridad con</w:t>
      </w:r>
      <w:r>
        <w:rPr>
          <w:spacing w:val="-2"/>
        </w:rPr>
        <w:t xml:space="preserve"> </w:t>
      </w:r>
      <w:r>
        <w:t>el fin de que</w:t>
      </w:r>
      <w:r>
        <w:rPr>
          <w:spacing w:val="-1"/>
        </w:rPr>
        <w:t xml:space="preserve"> </w:t>
      </w:r>
      <w:r>
        <w:t>las Fuerzas</w:t>
      </w:r>
      <w:r>
        <w:rPr>
          <w:spacing w:val="-1"/>
        </w:rPr>
        <w:t xml:space="preserve"> </w:t>
      </w:r>
      <w:r>
        <w:t>Militares y</w:t>
      </w:r>
      <w:r>
        <w:rPr>
          <w:spacing w:val="-1"/>
        </w:rPr>
        <w:t xml:space="preserve"> </w:t>
      </w:r>
      <w:r>
        <w:t>la Policía se</w:t>
      </w:r>
      <w:r>
        <w:rPr>
          <w:spacing w:val="-2"/>
        </w:rPr>
        <w:t xml:space="preserve"> </w:t>
      </w:r>
      <w:r>
        <w:t>ciñan a</w:t>
      </w:r>
      <w:r>
        <w:rPr>
          <w:spacing w:val="-1"/>
        </w:rPr>
        <w:t xml:space="preserve"> </w:t>
      </w:r>
      <w:r>
        <w:t>su función constitucional.</w:t>
      </w:r>
      <w:r>
        <w:rPr>
          <w:spacing w:val="-10"/>
        </w:rPr>
        <w:t xml:space="preserve"> </w:t>
      </w:r>
      <w:r>
        <w:t>Lo</w:t>
      </w:r>
      <w:r>
        <w:rPr>
          <w:spacing w:val="-10"/>
        </w:rPr>
        <w:t xml:space="preserve"> </w:t>
      </w:r>
      <w:r>
        <w:t>anterior</w:t>
      </w:r>
      <w:r>
        <w:rPr>
          <w:spacing w:val="-9"/>
        </w:rPr>
        <w:t xml:space="preserve"> </w:t>
      </w:r>
      <w:r>
        <w:t>teniendo</w:t>
      </w:r>
      <w:r>
        <w:rPr>
          <w:spacing w:val="-10"/>
        </w:rPr>
        <w:t xml:space="preserve"> </w:t>
      </w:r>
      <w:r>
        <w:t>en</w:t>
      </w:r>
      <w:r>
        <w:rPr>
          <w:spacing w:val="-10"/>
        </w:rPr>
        <w:t xml:space="preserve"> </w:t>
      </w:r>
      <w:r>
        <w:t>cuenta,</w:t>
      </w:r>
      <w:r>
        <w:rPr>
          <w:spacing w:val="-10"/>
        </w:rPr>
        <w:t xml:space="preserve"> </w:t>
      </w:r>
      <w:r>
        <w:t>entre</w:t>
      </w:r>
      <w:r>
        <w:rPr>
          <w:spacing w:val="-9"/>
        </w:rPr>
        <w:t xml:space="preserve"> </w:t>
      </w:r>
      <w:r>
        <w:t>otras,</w:t>
      </w:r>
      <w:r>
        <w:rPr>
          <w:spacing w:val="-10"/>
        </w:rPr>
        <w:t xml:space="preserve"> </w:t>
      </w:r>
      <w:r>
        <w:t>la</w:t>
      </w:r>
      <w:r>
        <w:rPr>
          <w:spacing w:val="-11"/>
        </w:rPr>
        <w:t xml:space="preserve"> </w:t>
      </w:r>
      <w:r>
        <w:t>necesidad</w:t>
      </w:r>
      <w:r>
        <w:rPr>
          <w:spacing w:val="-10"/>
        </w:rPr>
        <w:t xml:space="preserve"> </w:t>
      </w:r>
      <w:r>
        <w:t>de</w:t>
      </w:r>
      <w:r>
        <w:rPr>
          <w:spacing w:val="-9"/>
        </w:rPr>
        <w:t xml:space="preserve"> </w:t>
      </w:r>
      <w:r>
        <w:t>fortalecer</w:t>
      </w:r>
      <w:r>
        <w:rPr>
          <w:spacing w:val="-10"/>
        </w:rPr>
        <w:t xml:space="preserve"> </w:t>
      </w:r>
      <w:r>
        <w:t>el</w:t>
      </w:r>
      <w:r>
        <w:rPr>
          <w:spacing w:val="-9"/>
        </w:rPr>
        <w:t xml:space="preserve"> </w:t>
      </w:r>
      <w:r>
        <w:t>rol</w:t>
      </w:r>
      <w:r>
        <w:rPr>
          <w:spacing w:val="-9"/>
        </w:rPr>
        <w:t xml:space="preserve"> </w:t>
      </w:r>
      <w:r>
        <w:t>de la</w:t>
      </w:r>
      <w:r>
        <w:rPr>
          <w:spacing w:val="-7"/>
        </w:rPr>
        <w:t xml:space="preserve"> </w:t>
      </w:r>
      <w:r>
        <w:t>Policía</w:t>
      </w:r>
      <w:r>
        <w:rPr>
          <w:spacing w:val="-8"/>
        </w:rPr>
        <w:t xml:space="preserve"> </w:t>
      </w:r>
      <w:r>
        <w:t>en</w:t>
      </w:r>
      <w:r>
        <w:rPr>
          <w:spacing w:val="-8"/>
        </w:rPr>
        <w:t xml:space="preserve"> </w:t>
      </w:r>
      <w:r>
        <w:t>materia</w:t>
      </w:r>
      <w:r>
        <w:rPr>
          <w:spacing w:val="-7"/>
        </w:rPr>
        <w:t xml:space="preserve"> </w:t>
      </w:r>
      <w:r>
        <w:t>de</w:t>
      </w:r>
      <w:r>
        <w:rPr>
          <w:spacing w:val="-8"/>
        </w:rPr>
        <w:t xml:space="preserve"> </w:t>
      </w:r>
      <w:r>
        <w:t>la</w:t>
      </w:r>
      <w:r>
        <w:rPr>
          <w:spacing w:val="-7"/>
        </w:rPr>
        <w:t xml:space="preserve"> </w:t>
      </w:r>
      <w:r>
        <w:t>lucha</w:t>
      </w:r>
      <w:r>
        <w:rPr>
          <w:spacing w:val="-8"/>
        </w:rPr>
        <w:t xml:space="preserve"> </w:t>
      </w:r>
      <w:r>
        <w:t>contra</w:t>
      </w:r>
      <w:r>
        <w:rPr>
          <w:spacing w:val="-7"/>
        </w:rPr>
        <w:t xml:space="preserve"> </w:t>
      </w:r>
      <w:r>
        <w:t>el</w:t>
      </w:r>
      <w:r>
        <w:rPr>
          <w:spacing w:val="-8"/>
        </w:rPr>
        <w:t xml:space="preserve"> </w:t>
      </w:r>
      <w:r>
        <w:t>crimen</w:t>
      </w:r>
      <w:r>
        <w:rPr>
          <w:spacing w:val="-8"/>
        </w:rPr>
        <w:t xml:space="preserve"> </w:t>
      </w:r>
      <w:r>
        <w:t>organizado</w:t>
      </w:r>
      <w:r>
        <w:rPr>
          <w:spacing w:val="-8"/>
        </w:rPr>
        <w:t xml:space="preserve"> </w:t>
      </w:r>
      <w:r>
        <w:t>y,</w:t>
      </w:r>
      <w:r>
        <w:rPr>
          <w:spacing w:val="-7"/>
        </w:rPr>
        <w:t xml:space="preserve"> </w:t>
      </w:r>
      <w:r>
        <w:t>en</w:t>
      </w:r>
      <w:r>
        <w:rPr>
          <w:spacing w:val="-7"/>
        </w:rPr>
        <w:t xml:space="preserve"> </w:t>
      </w:r>
      <w:r>
        <w:t>general,</w:t>
      </w:r>
      <w:r>
        <w:rPr>
          <w:spacing w:val="-7"/>
        </w:rPr>
        <w:t xml:space="preserve"> </w:t>
      </w:r>
      <w:r>
        <w:t>en</w:t>
      </w:r>
      <w:r>
        <w:rPr>
          <w:spacing w:val="-7"/>
        </w:rPr>
        <w:t xml:space="preserve"> </w:t>
      </w:r>
      <w:r>
        <w:t>la</w:t>
      </w:r>
      <w:r>
        <w:rPr>
          <w:spacing w:val="-8"/>
        </w:rPr>
        <w:t xml:space="preserve"> </w:t>
      </w:r>
      <w:r>
        <w:t>lucha</w:t>
      </w:r>
      <w:r>
        <w:rPr>
          <w:spacing w:val="-9"/>
        </w:rPr>
        <w:t xml:space="preserve"> </w:t>
      </w:r>
      <w:r>
        <w:t>contra la delincuencia y la seguridad rural.</w:t>
      </w:r>
    </w:p>
    <w:p w:rsidR="0011361F" w:rsidRDefault="00AF18A5" w:rsidP="005B5187">
      <w:bookmarkStart w:id="1640" w:name="_bookmark1422"/>
      <w:bookmarkEnd w:id="1640"/>
      <w:r>
        <w:t>Mediano</w:t>
      </w:r>
      <w:r>
        <w:rPr>
          <w:spacing w:val="-3"/>
        </w:rPr>
        <w:t xml:space="preserve"> </w:t>
      </w:r>
      <w:r>
        <w:rPr>
          <w:spacing w:val="-2"/>
        </w:rPr>
        <w:t>plazo</w:t>
      </w:r>
    </w:p>
    <w:p w:rsidR="008D5184" w:rsidRDefault="008D5184" w:rsidP="008D5184">
      <w:pPr>
        <w:pStyle w:val="Ttulo4"/>
      </w:pPr>
      <w:r>
        <w:t xml:space="preserve">40.4. </w:t>
      </w:r>
    </w:p>
    <w:p w:rsidR="003804AC" w:rsidRDefault="00AF18A5" w:rsidP="008D5184">
      <w:r>
        <w:t>Revisar</w:t>
      </w:r>
      <w:r>
        <w:rPr>
          <w:spacing w:val="-2"/>
        </w:rPr>
        <w:t xml:space="preserve"> </w:t>
      </w:r>
      <w:r>
        <w:t>y</w:t>
      </w:r>
      <w:r>
        <w:rPr>
          <w:spacing w:val="-3"/>
        </w:rPr>
        <w:t xml:space="preserve"> </w:t>
      </w:r>
      <w:r>
        <w:t>ajustar</w:t>
      </w:r>
      <w:r>
        <w:rPr>
          <w:spacing w:val="-3"/>
        </w:rPr>
        <w:t xml:space="preserve"> </w:t>
      </w:r>
      <w:r>
        <w:rPr>
          <w:b/>
        </w:rPr>
        <w:t>la</w:t>
      </w:r>
      <w:r>
        <w:rPr>
          <w:b/>
          <w:spacing w:val="-3"/>
        </w:rPr>
        <w:t xml:space="preserve"> </w:t>
      </w:r>
      <w:r>
        <w:rPr>
          <w:b/>
        </w:rPr>
        <w:t>doctrina</w:t>
      </w:r>
      <w:r>
        <w:rPr>
          <w:b/>
          <w:spacing w:val="-2"/>
        </w:rPr>
        <w:t xml:space="preserve"> </w:t>
      </w:r>
      <w:r>
        <w:rPr>
          <w:b/>
        </w:rPr>
        <w:t>de</w:t>
      </w:r>
      <w:r>
        <w:rPr>
          <w:b/>
          <w:spacing w:val="-3"/>
        </w:rPr>
        <w:t xml:space="preserve"> </w:t>
      </w:r>
      <w:r>
        <w:rPr>
          <w:b/>
        </w:rPr>
        <w:t>las</w:t>
      </w:r>
      <w:r>
        <w:rPr>
          <w:b/>
          <w:spacing w:val="-3"/>
        </w:rPr>
        <w:t xml:space="preserve"> </w:t>
      </w:r>
      <w:r>
        <w:rPr>
          <w:b/>
        </w:rPr>
        <w:t>Fuerzas</w:t>
      </w:r>
      <w:r>
        <w:rPr>
          <w:b/>
          <w:spacing w:val="-3"/>
        </w:rPr>
        <w:t xml:space="preserve"> </w:t>
      </w:r>
      <w:r>
        <w:rPr>
          <w:b/>
        </w:rPr>
        <w:t>Militares</w:t>
      </w:r>
      <w:r>
        <w:rPr>
          <w:b/>
          <w:spacing w:val="-3"/>
        </w:rPr>
        <w:t xml:space="preserve"> </w:t>
      </w:r>
      <w:r>
        <w:rPr>
          <w:b/>
        </w:rPr>
        <w:t>y</w:t>
      </w:r>
      <w:r>
        <w:rPr>
          <w:b/>
          <w:spacing w:val="-3"/>
        </w:rPr>
        <w:t xml:space="preserve"> </w:t>
      </w:r>
      <w:r>
        <w:rPr>
          <w:b/>
        </w:rPr>
        <w:t>de</w:t>
      </w:r>
      <w:r>
        <w:rPr>
          <w:b/>
          <w:spacing w:val="-2"/>
        </w:rPr>
        <w:t xml:space="preserve"> </w:t>
      </w:r>
      <w:r>
        <w:rPr>
          <w:b/>
        </w:rPr>
        <w:t>la</w:t>
      </w:r>
      <w:r>
        <w:rPr>
          <w:b/>
          <w:spacing w:val="-3"/>
        </w:rPr>
        <w:t xml:space="preserve"> </w:t>
      </w:r>
      <w:r>
        <w:rPr>
          <w:b/>
        </w:rPr>
        <w:t>Policía</w:t>
      </w:r>
      <w:r>
        <w:t>,</w:t>
      </w:r>
      <w:r>
        <w:rPr>
          <w:spacing w:val="-2"/>
        </w:rPr>
        <w:t xml:space="preserve"> </w:t>
      </w:r>
      <w:r>
        <w:t>teniendo</w:t>
      </w:r>
      <w:r>
        <w:rPr>
          <w:spacing w:val="-3"/>
        </w:rPr>
        <w:t xml:space="preserve"> </w:t>
      </w:r>
      <w:r>
        <w:t>en cuenta los ajustes a roles y misiones y la nueva visión de seguridad, a través de un proceso transparente y público. Para ello, se recomienda:</w:t>
      </w:r>
    </w:p>
    <w:p w:rsidR="0011361F" w:rsidRDefault="00AF18A5" w:rsidP="004A6EF4">
      <w:pPr>
        <w:pStyle w:val="Prrafodelista"/>
        <w:numPr>
          <w:ilvl w:val="0"/>
          <w:numId w:val="49"/>
        </w:numPr>
      </w:pPr>
      <w:r>
        <w:t>Garantizar</w:t>
      </w:r>
      <w:r w:rsidRPr="008D5184">
        <w:rPr>
          <w:spacing w:val="-7"/>
        </w:rPr>
        <w:t xml:space="preserve"> </w:t>
      </w:r>
      <w:r>
        <w:t>que</w:t>
      </w:r>
      <w:r w:rsidRPr="008D5184">
        <w:rPr>
          <w:spacing w:val="-8"/>
        </w:rPr>
        <w:t xml:space="preserve"> </w:t>
      </w:r>
      <w:r>
        <w:t>la</w:t>
      </w:r>
      <w:r w:rsidRPr="008D5184">
        <w:rPr>
          <w:spacing w:val="-7"/>
        </w:rPr>
        <w:t xml:space="preserve"> </w:t>
      </w:r>
      <w:r>
        <w:t>fuerza</w:t>
      </w:r>
      <w:r w:rsidRPr="008D5184">
        <w:rPr>
          <w:spacing w:val="-7"/>
        </w:rPr>
        <w:t xml:space="preserve"> </w:t>
      </w:r>
      <w:r>
        <w:t>pública</w:t>
      </w:r>
      <w:r w:rsidRPr="008D5184">
        <w:rPr>
          <w:spacing w:val="-8"/>
        </w:rPr>
        <w:t xml:space="preserve"> </w:t>
      </w:r>
      <w:r>
        <w:t>no</w:t>
      </w:r>
      <w:r w:rsidRPr="008D5184">
        <w:rPr>
          <w:spacing w:val="-7"/>
        </w:rPr>
        <w:t xml:space="preserve"> </w:t>
      </w:r>
      <w:r>
        <w:t>realice</w:t>
      </w:r>
      <w:r w:rsidRPr="008D5184">
        <w:rPr>
          <w:spacing w:val="-8"/>
        </w:rPr>
        <w:t xml:space="preserve"> </w:t>
      </w:r>
      <w:r>
        <w:t>labores</w:t>
      </w:r>
      <w:r w:rsidRPr="008D5184">
        <w:rPr>
          <w:spacing w:val="-7"/>
        </w:rPr>
        <w:t xml:space="preserve"> </w:t>
      </w:r>
      <w:r>
        <w:t>sociales</w:t>
      </w:r>
      <w:r w:rsidRPr="008D5184">
        <w:rPr>
          <w:spacing w:val="-7"/>
        </w:rPr>
        <w:t xml:space="preserve"> </w:t>
      </w:r>
      <w:r>
        <w:t>ni</w:t>
      </w:r>
      <w:r w:rsidRPr="008D5184">
        <w:rPr>
          <w:spacing w:val="-7"/>
        </w:rPr>
        <w:t xml:space="preserve"> </w:t>
      </w:r>
      <w:r>
        <w:t>obras</w:t>
      </w:r>
      <w:r w:rsidRPr="008D5184">
        <w:rPr>
          <w:spacing w:val="-7"/>
        </w:rPr>
        <w:t xml:space="preserve"> </w:t>
      </w:r>
      <w:r>
        <w:t>civiles en</w:t>
      </w:r>
      <w:r w:rsidRPr="008D5184">
        <w:rPr>
          <w:spacing w:val="-10"/>
        </w:rPr>
        <w:t xml:space="preserve"> </w:t>
      </w:r>
      <w:r>
        <w:t>los</w:t>
      </w:r>
      <w:r w:rsidRPr="008D5184">
        <w:rPr>
          <w:spacing w:val="-9"/>
        </w:rPr>
        <w:t xml:space="preserve"> </w:t>
      </w:r>
      <w:r>
        <w:t>territorios</w:t>
      </w:r>
      <w:r w:rsidRPr="008D5184">
        <w:rPr>
          <w:spacing w:val="-9"/>
        </w:rPr>
        <w:t xml:space="preserve"> </w:t>
      </w:r>
      <w:r>
        <w:t>que</w:t>
      </w:r>
      <w:r w:rsidRPr="008D5184">
        <w:rPr>
          <w:spacing w:val="-9"/>
        </w:rPr>
        <w:t xml:space="preserve"> </w:t>
      </w:r>
      <w:r>
        <w:t>pongan</w:t>
      </w:r>
      <w:r w:rsidRPr="008D5184">
        <w:rPr>
          <w:spacing w:val="-10"/>
        </w:rPr>
        <w:t xml:space="preserve"> </w:t>
      </w:r>
      <w:r>
        <w:t>en</w:t>
      </w:r>
      <w:r w:rsidRPr="008D5184">
        <w:rPr>
          <w:spacing w:val="-10"/>
        </w:rPr>
        <w:t xml:space="preserve"> </w:t>
      </w:r>
      <w:r w:rsidRPr="008D5184">
        <w:rPr>
          <w:b/>
        </w:rPr>
        <w:t>riesgo</w:t>
      </w:r>
      <w:r w:rsidRPr="008D5184">
        <w:rPr>
          <w:b/>
          <w:spacing w:val="-10"/>
        </w:rPr>
        <w:t xml:space="preserve"> </w:t>
      </w:r>
      <w:r w:rsidRPr="008D5184">
        <w:rPr>
          <w:b/>
        </w:rPr>
        <w:t>a</w:t>
      </w:r>
      <w:r w:rsidRPr="008D5184">
        <w:rPr>
          <w:b/>
          <w:spacing w:val="-10"/>
        </w:rPr>
        <w:t xml:space="preserve"> </w:t>
      </w:r>
      <w:r w:rsidRPr="008D5184">
        <w:rPr>
          <w:b/>
        </w:rPr>
        <w:t>la</w:t>
      </w:r>
      <w:r w:rsidRPr="008D5184">
        <w:rPr>
          <w:b/>
          <w:spacing w:val="-10"/>
        </w:rPr>
        <w:t xml:space="preserve"> </w:t>
      </w:r>
      <w:r w:rsidRPr="008D5184">
        <w:rPr>
          <w:b/>
        </w:rPr>
        <w:t>población</w:t>
      </w:r>
      <w:r w:rsidRPr="008D5184">
        <w:rPr>
          <w:b/>
          <w:spacing w:val="-10"/>
        </w:rPr>
        <w:t xml:space="preserve"> </w:t>
      </w:r>
      <w:r w:rsidRPr="008D5184">
        <w:rPr>
          <w:b/>
        </w:rPr>
        <w:t>civil</w:t>
      </w:r>
      <w:r w:rsidRPr="008D5184">
        <w:rPr>
          <w:b/>
          <w:spacing w:val="-9"/>
        </w:rPr>
        <w:t xml:space="preserve"> </w:t>
      </w:r>
      <w:r w:rsidRPr="008D5184">
        <w:rPr>
          <w:b/>
        </w:rPr>
        <w:t>o</w:t>
      </w:r>
      <w:r w:rsidRPr="008D5184">
        <w:rPr>
          <w:b/>
          <w:spacing w:val="-10"/>
        </w:rPr>
        <w:t xml:space="preserve"> </w:t>
      </w:r>
      <w:r w:rsidRPr="008D5184">
        <w:rPr>
          <w:b/>
        </w:rPr>
        <w:t>la</w:t>
      </w:r>
      <w:r w:rsidRPr="008D5184">
        <w:rPr>
          <w:b/>
          <w:spacing w:val="-10"/>
        </w:rPr>
        <w:t xml:space="preserve"> </w:t>
      </w:r>
      <w:r w:rsidRPr="008D5184">
        <w:rPr>
          <w:b/>
        </w:rPr>
        <w:t>comprometan</w:t>
      </w:r>
      <w:r w:rsidRPr="008D5184">
        <w:rPr>
          <w:b/>
          <w:spacing w:val="-10"/>
        </w:rPr>
        <w:t xml:space="preserve"> </w:t>
      </w:r>
      <w:r w:rsidRPr="008D5184">
        <w:rPr>
          <w:b/>
        </w:rPr>
        <w:t>en</w:t>
      </w:r>
      <w:r w:rsidRPr="008D5184">
        <w:rPr>
          <w:b/>
          <w:spacing w:val="-10"/>
        </w:rPr>
        <w:t xml:space="preserve"> </w:t>
      </w:r>
      <w:r w:rsidRPr="008D5184">
        <w:rPr>
          <w:b/>
        </w:rPr>
        <w:t xml:space="preserve">las </w:t>
      </w:r>
      <w:r w:rsidRPr="008D5184">
        <w:rPr>
          <w:b/>
          <w:spacing w:val="-2"/>
        </w:rPr>
        <w:t>hostilidades</w:t>
      </w:r>
      <w:r w:rsidRPr="008D5184">
        <w:rPr>
          <w:spacing w:val="-2"/>
        </w:rPr>
        <w:t>.</w:t>
      </w:r>
    </w:p>
    <w:p w:rsidR="003804AC" w:rsidRDefault="00AF18A5" w:rsidP="004A6EF4">
      <w:pPr>
        <w:pStyle w:val="Prrafodelista"/>
        <w:numPr>
          <w:ilvl w:val="0"/>
          <w:numId w:val="49"/>
        </w:numPr>
      </w:pPr>
      <w:r>
        <w:t xml:space="preserve">Garantizar </w:t>
      </w:r>
      <w:r w:rsidRPr="008D5184">
        <w:rPr>
          <w:b/>
        </w:rPr>
        <w:t>que las personas desmovilizadas o desvinculadas individualmente o colectivamente de grupos armados ilegales no participen en operaciones militares o de inteligencia</w:t>
      </w:r>
      <w:r>
        <w:t>, más aún cuando se trate de niños, niñas y adolescentes desvinculados.</w:t>
      </w:r>
    </w:p>
    <w:p w:rsidR="003804AC" w:rsidRDefault="00AF18A5" w:rsidP="004A6EF4">
      <w:pPr>
        <w:pStyle w:val="Prrafodelista"/>
        <w:numPr>
          <w:ilvl w:val="0"/>
          <w:numId w:val="49"/>
        </w:numPr>
      </w:pPr>
      <w:r>
        <w:lastRenderedPageBreak/>
        <w:t>Garantizar, sobre la base de los principios de exclusividad</w:t>
      </w:r>
      <w:r w:rsidR="00AE5F33">
        <w:rPr>
          <w:rStyle w:val="Refdenotaalpie"/>
        </w:rPr>
        <w:footnoteReference w:id="1260"/>
      </w:r>
      <w:r>
        <w:t>, distinción y autonomía</w:t>
      </w:r>
      <w:r w:rsidRPr="008D5184">
        <w:rPr>
          <w:spacing w:val="-7"/>
        </w:rPr>
        <w:t xml:space="preserve"> </w:t>
      </w:r>
      <w:r>
        <w:t>de</w:t>
      </w:r>
      <w:r w:rsidRPr="008D5184">
        <w:rPr>
          <w:spacing w:val="-7"/>
        </w:rPr>
        <w:t xml:space="preserve"> </w:t>
      </w:r>
      <w:r>
        <w:t>la</w:t>
      </w:r>
      <w:r w:rsidRPr="008D5184">
        <w:rPr>
          <w:spacing w:val="-7"/>
        </w:rPr>
        <w:t xml:space="preserve"> </w:t>
      </w:r>
      <w:r>
        <w:t>sociedad</w:t>
      </w:r>
      <w:r w:rsidRPr="008D5184">
        <w:rPr>
          <w:spacing w:val="-7"/>
        </w:rPr>
        <w:t xml:space="preserve"> </w:t>
      </w:r>
      <w:r>
        <w:t>civil,</w:t>
      </w:r>
      <w:r w:rsidRPr="008D5184">
        <w:rPr>
          <w:spacing w:val="-7"/>
        </w:rPr>
        <w:t xml:space="preserve"> </w:t>
      </w:r>
      <w:r w:rsidRPr="008D5184">
        <w:rPr>
          <w:b/>
        </w:rPr>
        <w:t>que</w:t>
      </w:r>
      <w:r w:rsidRPr="008D5184">
        <w:rPr>
          <w:b/>
          <w:spacing w:val="-8"/>
        </w:rPr>
        <w:t xml:space="preserve"> </w:t>
      </w:r>
      <w:r w:rsidRPr="008D5184">
        <w:rPr>
          <w:b/>
        </w:rPr>
        <w:t>no</w:t>
      </w:r>
      <w:r w:rsidRPr="008D5184">
        <w:rPr>
          <w:b/>
          <w:spacing w:val="-7"/>
        </w:rPr>
        <w:t xml:space="preserve"> </w:t>
      </w:r>
      <w:r w:rsidRPr="008D5184">
        <w:rPr>
          <w:b/>
        </w:rPr>
        <w:t>se</w:t>
      </w:r>
      <w:r w:rsidRPr="008D5184">
        <w:rPr>
          <w:b/>
          <w:spacing w:val="-7"/>
        </w:rPr>
        <w:t xml:space="preserve"> </w:t>
      </w:r>
      <w:r w:rsidRPr="008D5184">
        <w:rPr>
          <w:b/>
        </w:rPr>
        <w:t>involucre</w:t>
      </w:r>
      <w:r w:rsidRPr="008D5184">
        <w:rPr>
          <w:b/>
          <w:spacing w:val="-7"/>
        </w:rPr>
        <w:t xml:space="preserve"> </w:t>
      </w:r>
      <w:r w:rsidRPr="008D5184">
        <w:rPr>
          <w:b/>
        </w:rPr>
        <w:t>a</w:t>
      </w:r>
      <w:r w:rsidRPr="008D5184">
        <w:rPr>
          <w:b/>
          <w:spacing w:val="-7"/>
        </w:rPr>
        <w:t xml:space="preserve"> </w:t>
      </w:r>
      <w:r w:rsidRPr="008D5184">
        <w:rPr>
          <w:b/>
        </w:rPr>
        <w:t>la</w:t>
      </w:r>
      <w:r w:rsidRPr="008D5184">
        <w:rPr>
          <w:b/>
          <w:spacing w:val="-7"/>
        </w:rPr>
        <w:t xml:space="preserve"> </w:t>
      </w:r>
      <w:r w:rsidRPr="008D5184">
        <w:rPr>
          <w:b/>
        </w:rPr>
        <w:t>población</w:t>
      </w:r>
      <w:r w:rsidRPr="008D5184">
        <w:rPr>
          <w:b/>
          <w:spacing w:val="-8"/>
        </w:rPr>
        <w:t xml:space="preserve"> </w:t>
      </w:r>
      <w:r w:rsidRPr="008D5184">
        <w:rPr>
          <w:b/>
        </w:rPr>
        <w:t>civil</w:t>
      </w:r>
      <w:r w:rsidRPr="008D5184">
        <w:rPr>
          <w:b/>
          <w:spacing w:val="-8"/>
        </w:rPr>
        <w:t xml:space="preserve"> </w:t>
      </w:r>
      <w:r w:rsidRPr="008D5184">
        <w:rPr>
          <w:b/>
        </w:rPr>
        <w:t>en</w:t>
      </w:r>
      <w:r w:rsidRPr="008D5184">
        <w:rPr>
          <w:b/>
          <w:spacing w:val="-7"/>
        </w:rPr>
        <w:t xml:space="preserve"> </w:t>
      </w:r>
      <w:r w:rsidRPr="008D5184">
        <w:rPr>
          <w:b/>
        </w:rPr>
        <w:t>redes</w:t>
      </w:r>
      <w:r w:rsidRPr="008D5184">
        <w:rPr>
          <w:b/>
          <w:spacing w:val="-7"/>
        </w:rPr>
        <w:t xml:space="preserve"> </w:t>
      </w:r>
      <w:r w:rsidRPr="008D5184">
        <w:rPr>
          <w:b/>
        </w:rPr>
        <w:t xml:space="preserve">de apoyo </w:t>
      </w:r>
      <w:r>
        <w:t>de operaciones de inteligencia o militares.</w:t>
      </w:r>
    </w:p>
    <w:p w:rsidR="0011361F" w:rsidRDefault="00AF18A5" w:rsidP="008D5184">
      <w:r>
        <w:t>Mediano</w:t>
      </w:r>
      <w:r>
        <w:rPr>
          <w:spacing w:val="-3"/>
        </w:rPr>
        <w:t xml:space="preserve"> </w:t>
      </w:r>
      <w:r>
        <w:rPr>
          <w:spacing w:val="-2"/>
        </w:rPr>
        <w:t>plazo</w:t>
      </w:r>
    </w:p>
    <w:p w:rsidR="00AE5F33" w:rsidRDefault="00AE5F33" w:rsidP="00AE5F33">
      <w:pPr>
        <w:pStyle w:val="Ttulo4"/>
      </w:pPr>
      <w:r>
        <w:t>40.5.</w:t>
      </w:r>
    </w:p>
    <w:p w:rsidR="003804AC" w:rsidRDefault="00AF18A5" w:rsidP="00AE5F33">
      <w:r>
        <w:t xml:space="preserve">Adoptar los ajustes normativos y de política necesarios para garantizar </w:t>
      </w:r>
      <w:r>
        <w:rPr>
          <w:b/>
        </w:rPr>
        <w:t xml:space="preserve">el uso adecuado de la fuerza por parte de las Fuerzas Militares y la Policía </w:t>
      </w:r>
      <w:r>
        <w:t>en sus respectivas operaciones,</w:t>
      </w:r>
      <w:r>
        <w:rPr>
          <w:spacing w:val="-11"/>
        </w:rPr>
        <w:t xml:space="preserve"> </w:t>
      </w:r>
      <w:r>
        <w:t>operativos,</w:t>
      </w:r>
      <w:r>
        <w:rPr>
          <w:spacing w:val="-11"/>
        </w:rPr>
        <w:t xml:space="preserve"> </w:t>
      </w:r>
      <w:r>
        <w:t>actividades</w:t>
      </w:r>
      <w:r>
        <w:rPr>
          <w:spacing w:val="-10"/>
        </w:rPr>
        <w:t xml:space="preserve"> </w:t>
      </w:r>
      <w:r>
        <w:t>y</w:t>
      </w:r>
      <w:r>
        <w:rPr>
          <w:spacing w:val="-9"/>
        </w:rPr>
        <w:t xml:space="preserve"> </w:t>
      </w:r>
      <w:r>
        <w:t>procedimientos,</w:t>
      </w:r>
      <w:r>
        <w:rPr>
          <w:spacing w:val="-9"/>
        </w:rPr>
        <w:t xml:space="preserve"> </w:t>
      </w:r>
      <w:r>
        <w:t>teniendo</w:t>
      </w:r>
      <w:r>
        <w:rPr>
          <w:spacing w:val="-9"/>
        </w:rPr>
        <w:t xml:space="preserve"> </w:t>
      </w:r>
      <w:r>
        <w:t>en</w:t>
      </w:r>
      <w:r>
        <w:rPr>
          <w:spacing w:val="-9"/>
        </w:rPr>
        <w:t xml:space="preserve"> </w:t>
      </w:r>
      <w:r>
        <w:t>cuenta</w:t>
      </w:r>
      <w:r>
        <w:rPr>
          <w:spacing w:val="-10"/>
        </w:rPr>
        <w:t xml:space="preserve"> </w:t>
      </w:r>
      <w:r>
        <w:t>la</w:t>
      </w:r>
      <w:r>
        <w:rPr>
          <w:spacing w:val="-9"/>
        </w:rPr>
        <w:t xml:space="preserve"> </w:t>
      </w:r>
      <w:r>
        <w:t>nueva</w:t>
      </w:r>
      <w:r>
        <w:rPr>
          <w:spacing w:val="-9"/>
        </w:rPr>
        <w:t xml:space="preserve"> </w:t>
      </w:r>
      <w:r>
        <w:t>visión</w:t>
      </w:r>
      <w:r>
        <w:rPr>
          <w:spacing w:val="-9"/>
        </w:rPr>
        <w:t xml:space="preserve"> </w:t>
      </w:r>
      <w:r>
        <w:t>de seguridad,</w:t>
      </w:r>
      <w:r>
        <w:rPr>
          <w:spacing w:val="-1"/>
        </w:rPr>
        <w:t xml:space="preserve"> </w:t>
      </w:r>
      <w:r>
        <w:t>así</w:t>
      </w:r>
      <w:r>
        <w:rPr>
          <w:spacing w:val="-1"/>
        </w:rPr>
        <w:t xml:space="preserve"> </w:t>
      </w:r>
      <w:r>
        <w:t>como</w:t>
      </w:r>
      <w:r>
        <w:rPr>
          <w:spacing w:val="-1"/>
        </w:rPr>
        <w:t xml:space="preserve"> </w:t>
      </w:r>
      <w:r>
        <w:t>el</w:t>
      </w:r>
      <w:r>
        <w:rPr>
          <w:spacing w:val="-1"/>
        </w:rPr>
        <w:t xml:space="preserve"> </w:t>
      </w:r>
      <w:r>
        <w:t>ajuste</w:t>
      </w:r>
      <w:r>
        <w:rPr>
          <w:spacing w:val="-1"/>
        </w:rPr>
        <w:t xml:space="preserve"> </w:t>
      </w:r>
      <w:r>
        <w:t>en</w:t>
      </w:r>
      <w:r>
        <w:rPr>
          <w:spacing w:val="-1"/>
        </w:rPr>
        <w:t xml:space="preserve"> </w:t>
      </w:r>
      <w:r>
        <w:t>roles</w:t>
      </w:r>
      <w:r>
        <w:rPr>
          <w:spacing w:val="-2"/>
        </w:rPr>
        <w:t xml:space="preserve"> </w:t>
      </w:r>
      <w:r>
        <w:t>y</w:t>
      </w:r>
      <w:r>
        <w:rPr>
          <w:spacing w:val="-1"/>
        </w:rPr>
        <w:t xml:space="preserve"> </w:t>
      </w:r>
      <w:r>
        <w:t>misiones.</w:t>
      </w:r>
      <w:r>
        <w:rPr>
          <w:spacing w:val="-2"/>
        </w:rPr>
        <w:t xml:space="preserve"> </w:t>
      </w:r>
      <w:r>
        <w:t>Lo</w:t>
      </w:r>
      <w:r>
        <w:rPr>
          <w:spacing w:val="-1"/>
        </w:rPr>
        <w:t xml:space="preserve"> </w:t>
      </w:r>
      <w:r>
        <w:t>anterior</w:t>
      </w:r>
      <w:r>
        <w:rPr>
          <w:spacing w:val="-1"/>
        </w:rPr>
        <w:t xml:space="preserve"> </w:t>
      </w:r>
      <w:r>
        <w:t>sobre</w:t>
      </w:r>
      <w:r>
        <w:rPr>
          <w:spacing w:val="-1"/>
        </w:rPr>
        <w:t xml:space="preserve"> </w:t>
      </w:r>
      <w:r>
        <w:t>la</w:t>
      </w:r>
      <w:r>
        <w:rPr>
          <w:spacing w:val="-1"/>
        </w:rPr>
        <w:t xml:space="preserve"> </w:t>
      </w:r>
      <w:r>
        <w:t>base</w:t>
      </w:r>
      <w:r>
        <w:rPr>
          <w:spacing w:val="-1"/>
        </w:rPr>
        <w:t xml:space="preserve"> </w:t>
      </w:r>
      <w:r>
        <w:t>de</w:t>
      </w:r>
      <w:r>
        <w:rPr>
          <w:spacing w:val="-1"/>
        </w:rPr>
        <w:t xml:space="preserve"> </w:t>
      </w:r>
      <w:r>
        <w:t>los</w:t>
      </w:r>
      <w:r>
        <w:rPr>
          <w:spacing w:val="-1"/>
        </w:rPr>
        <w:t xml:space="preserve"> </w:t>
      </w:r>
      <w:r>
        <w:t>principios del</w:t>
      </w:r>
      <w:r>
        <w:rPr>
          <w:spacing w:val="-3"/>
        </w:rPr>
        <w:t xml:space="preserve"> </w:t>
      </w:r>
      <w:r>
        <w:t>DIH,</w:t>
      </w:r>
      <w:r>
        <w:rPr>
          <w:spacing w:val="-4"/>
        </w:rPr>
        <w:t xml:space="preserve"> </w:t>
      </w:r>
      <w:r>
        <w:t>los</w:t>
      </w:r>
      <w:r>
        <w:rPr>
          <w:spacing w:val="-5"/>
        </w:rPr>
        <w:t xml:space="preserve"> </w:t>
      </w:r>
      <w:r>
        <w:t>principios</w:t>
      </w:r>
      <w:r>
        <w:rPr>
          <w:spacing w:val="-5"/>
        </w:rPr>
        <w:t xml:space="preserve"> </w:t>
      </w:r>
      <w:r>
        <w:t>de</w:t>
      </w:r>
      <w:r>
        <w:rPr>
          <w:spacing w:val="-3"/>
        </w:rPr>
        <w:t xml:space="preserve"> </w:t>
      </w:r>
      <w:r>
        <w:t>legalidad,</w:t>
      </w:r>
      <w:r>
        <w:rPr>
          <w:spacing w:val="-6"/>
        </w:rPr>
        <w:t xml:space="preserve"> </w:t>
      </w:r>
      <w:r>
        <w:t>necesidad,</w:t>
      </w:r>
      <w:r>
        <w:rPr>
          <w:spacing w:val="-4"/>
        </w:rPr>
        <w:t xml:space="preserve"> </w:t>
      </w:r>
      <w:r>
        <w:t>proporcionalidad</w:t>
      </w:r>
      <w:r>
        <w:rPr>
          <w:spacing w:val="-4"/>
        </w:rPr>
        <w:t xml:space="preserve"> </w:t>
      </w:r>
      <w:r>
        <w:t>y</w:t>
      </w:r>
      <w:r>
        <w:rPr>
          <w:spacing w:val="-4"/>
        </w:rPr>
        <w:t xml:space="preserve"> </w:t>
      </w:r>
      <w:r>
        <w:t>rendición</w:t>
      </w:r>
      <w:r>
        <w:rPr>
          <w:spacing w:val="-4"/>
        </w:rPr>
        <w:t xml:space="preserve"> </w:t>
      </w:r>
      <w:r>
        <w:t>de</w:t>
      </w:r>
      <w:r>
        <w:rPr>
          <w:spacing w:val="-3"/>
        </w:rPr>
        <w:t xml:space="preserve"> </w:t>
      </w:r>
      <w:r>
        <w:t>cuentas</w:t>
      </w:r>
      <w:r w:rsidR="00AE5F33">
        <w:rPr>
          <w:rStyle w:val="Refdenotaalpie"/>
        </w:rPr>
        <w:footnoteReference w:id="1261"/>
      </w:r>
      <w:r>
        <w:t>,</w:t>
      </w:r>
      <w:bookmarkStart w:id="1641" w:name="_bookmark1423"/>
      <w:bookmarkStart w:id="1642" w:name="_bookmark1424"/>
      <w:bookmarkEnd w:id="1641"/>
      <w:bookmarkEnd w:id="1642"/>
      <w:r w:rsidR="00AE5F33">
        <w:t xml:space="preserve"> </w:t>
      </w:r>
      <w:r>
        <w:t>y</w:t>
      </w:r>
      <w:r>
        <w:rPr>
          <w:spacing w:val="-14"/>
        </w:rPr>
        <w:t xml:space="preserve"> </w:t>
      </w:r>
      <w:r>
        <w:t>la</w:t>
      </w:r>
      <w:r>
        <w:rPr>
          <w:spacing w:val="-15"/>
        </w:rPr>
        <w:t xml:space="preserve"> </w:t>
      </w:r>
      <w:r>
        <w:t>complementariedad</w:t>
      </w:r>
      <w:r>
        <w:rPr>
          <w:spacing w:val="-15"/>
        </w:rPr>
        <w:t xml:space="preserve"> </w:t>
      </w:r>
      <w:r>
        <w:t>y</w:t>
      </w:r>
      <w:r>
        <w:rPr>
          <w:spacing w:val="-14"/>
        </w:rPr>
        <w:t xml:space="preserve"> </w:t>
      </w:r>
      <w:r>
        <w:t>convergencia</w:t>
      </w:r>
      <w:r>
        <w:rPr>
          <w:spacing w:val="-14"/>
        </w:rPr>
        <w:t xml:space="preserve"> </w:t>
      </w:r>
      <w:r>
        <w:t>del</w:t>
      </w:r>
      <w:r>
        <w:rPr>
          <w:spacing w:val="-14"/>
        </w:rPr>
        <w:t xml:space="preserve"> </w:t>
      </w:r>
      <w:r>
        <w:t>Derecho</w:t>
      </w:r>
      <w:r>
        <w:rPr>
          <w:spacing w:val="-14"/>
        </w:rPr>
        <w:t xml:space="preserve"> </w:t>
      </w:r>
      <w:r>
        <w:t>Internacional</w:t>
      </w:r>
      <w:r>
        <w:rPr>
          <w:spacing w:val="-15"/>
        </w:rPr>
        <w:t xml:space="preserve"> </w:t>
      </w:r>
      <w:r>
        <w:t>de</w:t>
      </w:r>
      <w:r>
        <w:rPr>
          <w:spacing w:val="-15"/>
        </w:rPr>
        <w:t xml:space="preserve"> </w:t>
      </w:r>
      <w:r>
        <w:t>los</w:t>
      </w:r>
      <w:r>
        <w:rPr>
          <w:spacing w:val="-15"/>
        </w:rPr>
        <w:t xml:space="preserve"> </w:t>
      </w:r>
      <w:r>
        <w:t>Derechos</w:t>
      </w:r>
      <w:r>
        <w:rPr>
          <w:spacing w:val="-14"/>
        </w:rPr>
        <w:t xml:space="preserve"> </w:t>
      </w:r>
      <w:r>
        <w:t>Humanos y el Derecho Internacional Humanitario en escenarios de conflicto armado.</w:t>
      </w:r>
    </w:p>
    <w:p w:rsidR="0011361F" w:rsidRDefault="00AF18A5" w:rsidP="00AE5F33">
      <w:r>
        <w:t>Mediano</w:t>
      </w:r>
      <w:r>
        <w:rPr>
          <w:spacing w:val="-3"/>
        </w:rPr>
        <w:t xml:space="preserve"> </w:t>
      </w:r>
      <w:r>
        <w:rPr>
          <w:spacing w:val="-2"/>
        </w:rPr>
        <w:t>plazo</w:t>
      </w:r>
    </w:p>
    <w:p w:rsidR="00AE5F33" w:rsidRDefault="00AE5F33" w:rsidP="00AE5F33">
      <w:pPr>
        <w:pStyle w:val="Ttulo4"/>
      </w:pPr>
      <w:r>
        <w:t>40.6</w:t>
      </w:r>
      <w:r w:rsidR="00FC28F2">
        <w:t>.</w:t>
      </w:r>
    </w:p>
    <w:p w:rsidR="003804AC" w:rsidRDefault="00AF18A5" w:rsidP="00AE5F33">
      <w:r>
        <w:rPr>
          <w:b/>
        </w:rPr>
        <w:t>Ajustar</w:t>
      </w:r>
      <w:r>
        <w:rPr>
          <w:b/>
          <w:spacing w:val="-15"/>
        </w:rPr>
        <w:t xml:space="preserve"> </w:t>
      </w:r>
      <w:r>
        <w:rPr>
          <w:b/>
        </w:rPr>
        <w:t>la</w:t>
      </w:r>
      <w:r>
        <w:rPr>
          <w:b/>
          <w:spacing w:val="-15"/>
        </w:rPr>
        <w:t xml:space="preserve"> </w:t>
      </w:r>
      <w:r>
        <w:rPr>
          <w:b/>
        </w:rPr>
        <w:t>estructura</w:t>
      </w:r>
      <w:r>
        <w:rPr>
          <w:b/>
          <w:spacing w:val="-15"/>
        </w:rPr>
        <w:t xml:space="preserve"> </w:t>
      </w:r>
      <w:r>
        <w:rPr>
          <w:b/>
        </w:rPr>
        <w:t>de</w:t>
      </w:r>
      <w:r>
        <w:rPr>
          <w:b/>
          <w:spacing w:val="-15"/>
        </w:rPr>
        <w:t xml:space="preserve"> </w:t>
      </w:r>
      <w:r>
        <w:rPr>
          <w:b/>
        </w:rPr>
        <w:t>las</w:t>
      </w:r>
      <w:r>
        <w:rPr>
          <w:b/>
          <w:spacing w:val="-15"/>
        </w:rPr>
        <w:t xml:space="preserve"> </w:t>
      </w:r>
      <w:r>
        <w:rPr>
          <w:b/>
        </w:rPr>
        <w:t>Fuerzas</w:t>
      </w:r>
      <w:r>
        <w:rPr>
          <w:b/>
          <w:spacing w:val="-15"/>
        </w:rPr>
        <w:t xml:space="preserve"> </w:t>
      </w:r>
      <w:r>
        <w:rPr>
          <w:b/>
        </w:rPr>
        <w:t>Militares</w:t>
      </w:r>
      <w:r>
        <w:rPr>
          <w:b/>
          <w:spacing w:val="-15"/>
        </w:rPr>
        <w:t xml:space="preserve"> </w:t>
      </w:r>
      <w:r>
        <w:rPr>
          <w:b/>
        </w:rPr>
        <w:t>y</w:t>
      </w:r>
      <w:r>
        <w:rPr>
          <w:b/>
          <w:spacing w:val="-15"/>
        </w:rPr>
        <w:t xml:space="preserve"> </w:t>
      </w:r>
      <w:r>
        <w:rPr>
          <w:b/>
        </w:rPr>
        <w:t>la</w:t>
      </w:r>
      <w:r>
        <w:rPr>
          <w:b/>
          <w:spacing w:val="-15"/>
        </w:rPr>
        <w:t xml:space="preserve"> </w:t>
      </w:r>
      <w:r>
        <w:rPr>
          <w:b/>
        </w:rPr>
        <w:t>Policía</w:t>
      </w:r>
      <w:r>
        <w:rPr>
          <w:b/>
          <w:spacing w:val="-15"/>
        </w:rPr>
        <w:t xml:space="preserve"> </w:t>
      </w:r>
      <w:r>
        <w:t>para</w:t>
      </w:r>
      <w:r>
        <w:rPr>
          <w:spacing w:val="-15"/>
        </w:rPr>
        <w:t xml:space="preserve"> </w:t>
      </w:r>
      <w:r>
        <w:t>que</w:t>
      </w:r>
      <w:r>
        <w:rPr>
          <w:spacing w:val="-15"/>
        </w:rPr>
        <w:t xml:space="preserve"> </w:t>
      </w:r>
      <w:r>
        <w:t>esta</w:t>
      </w:r>
      <w:r>
        <w:rPr>
          <w:spacing w:val="-15"/>
        </w:rPr>
        <w:t xml:space="preserve"> </w:t>
      </w:r>
      <w:r>
        <w:t>sea</w:t>
      </w:r>
      <w:r>
        <w:rPr>
          <w:spacing w:val="-15"/>
        </w:rPr>
        <w:t xml:space="preserve"> </w:t>
      </w:r>
      <w:r>
        <w:t>acorde con</w:t>
      </w:r>
      <w:r>
        <w:rPr>
          <w:spacing w:val="-5"/>
        </w:rPr>
        <w:t xml:space="preserve"> </w:t>
      </w:r>
      <w:r>
        <w:t>los</w:t>
      </w:r>
      <w:r>
        <w:rPr>
          <w:spacing w:val="-5"/>
        </w:rPr>
        <w:t xml:space="preserve"> </w:t>
      </w:r>
      <w:r>
        <w:t>cambios</w:t>
      </w:r>
      <w:r>
        <w:rPr>
          <w:spacing w:val="-5"/>
        </w:rPr>
        <w:t xml:space="preserve"> </w:t>
      </w:r>
      <w:r>
        <w:t>realizados</w:t>
      </w:r>
      <w:r>
        <w:rPr>
          <w:spacing w:val="-5"/>
        </w:rPr>
        <w:t xml:space="preserve"> </w:t>
      </w:r>
      <w:r>
        <w:t>a</w:t>
      </w:r>
      <w:r>
        <w:rPr>
          <w:spacing w:val="-4"/>
        </w:rPr>
        <w:t xml:space="preserve"> </w:t>
      </w:r>
      <w:r>
        <w:t>partir</w:t>
      </w:r>
      <w:r>
        <w:rPr>
          <w:spacing w:val="-5"/>
        </w:rPr>
        <w:t xml:space="preserve"> </w:t>
      </w:r>
      <w:r>
        <w:t>de</w:t>
      </w:r>
      <w:r>
        <w:rPr>
          <w:spacing w:val="-4"/>
        </w:rPr>
        <w:t xml:space="preserve"> </w:t>
      </w:r>
      <w:r>
        <w:t>la</w:t>
      </w:r>
      <w:r>
        <w:rPr>
          <w:spacing w:val="-4"/>
        </w:rPr>
        <w:t xml:space="preserve"> </w:t>
      </w:r>
      <w:r>
        <w:t>nueva</w:t>
      </w:r>
      <w:r>
        <w:rPr>
          <w:spacing w:val="-4"/>
        </w:rPr>
        <w:t xml:space="preserve"> </w:t>
      </w:r>
      <w:r>
        <w:t>visión</w:t>
      </w:r>
      <w:r>
        <w:rPr>
          <w:spacing w:val="-5"/>
        </w:rPr>
        <w:t xml:space="preserve"> </w:t>
      </w:r>
      <w:r>
        <w:t>de</w:t>
      </w:r>
      <w:r>
        <w:rPr>
          <w:spacing w:val="-4"/>
        </w:rPr>
        <w:t xml:space="preserve"> </w:t>
      </w:r>
      <w:r>
        <w:t>seguridad.</w:t>
      </w:r>
      <w:r>
        <w:rPr>
          <w:spacing w:val="-5"/>
        </w:rPr>
        <w:t xml:space="preserve"> </w:t>
      </w:r>
      <w:r>
        <w:t>Para</w:t>
      </w:r>
      <w:r>
        <w:rPr>
          <w:spacing w:val="-4"/>
        </w:rPr>
        <w:t xml:space="preserve"> </w:t>
      </w:r>
      <w:r>
        <w:t>ello,</w:t>
      </w:r>
      <w:r>
        <w:rPr>
          <w:spacing w:val="-5"/>
        </w:rPr>
        <w:t xml:space="preserve"> </w:t>
      </w:r>
      <w:r>
        <w:t>es</w:t>
      </w:r>
      <w:r>
        <w:rPr>
          <w:spacing w:val="-5"/>
        </w:rPr>
        <w:t xml:space="preserve"> </w:t>
      </w:r>
      <w:r>
        <w:t>importante:</w:t>
      </w:r>
    </w:p>
    <w:p w:rsidR="003804AC" w:rsidRDefault="00AF18A5" w:rsidP="004A6EF4">
      <w:pPr>
        <w:pStyle w:val="Prrafodelista"/>
        <w:numPr>
          <w:ilvl w:val="0"/>
          <w:numId w:val="50"/>
        </w:numPr>
      </w:pPr>
      <w:r>
        <w:lastRenderedPageBreak/>
        <w:t xml:space="preserve">Realizar ajustes normativos e institucionales necesarios para </w:t>
      </w:r>
      <w:r w:rsidRPr="00AE5F33">
        <w:rPr>
          <w:b/>
        </w:rPr>
        <w:t xml:space="preserve">eliminar gradualmente la obligatoriedad del servicio militar </w:t>
      </w:r>
      <w:r>
        <w:t>y transitar hacia un servicio social en instituciones civiles.</w:t>
      </w:r>
    </w:p>
    <w:p w:rsidR="003804AC" w:rsidRDefault="00AF18A5" w:rsidP="004A6EF4">
      <w:pPr>
        <w:pStyle w:val="Prrafodelista"/>
        <w:numPr>
          <w:ilvl w:val="0"/>
          <w:numId w:val="50"/>
        </w:numPr>
      </w:pPr>
      <w:r>
        <w:t>Revisar el tamaño y el presupuesto destinado a cada fuerza integrante de las Fuerzas Militares y a la Policía para que sean adecuadas a las necesidades institucionales</w:t>
      </w:r>
      <w:r w:rsidRPr="00AE5F33">
        <w:rPr>
          <w:spacing w:val="-6"/>
        </w:rPr>
        <w:t xml:space="preserve"> </w:t>
      </w:r>
      <w:r>
        <w:t>y</w:t>
      </w:r>
      <w:r w:rsidRPr="00AE5F33">
        <w:rPr>
          <w:spacing w:val="-6"/>
        </w:rPr>
        <w:t xml:space="preserve"> </w:t>
      </w:r>
      <w:r>
        <w:t>operacionales</w:t>
      </w:r>
      <w:r w:rsidRPr="00AE5F33">
        <w:rPr>
          <w:spacing w:val="-6"/>
        </w:rPr>
        <w:t xml:space="preserve"> </w:t>
      </w:r>
      <w:r>
        <w:t>que</w:t>
      </w:r>
      <w:r w:rsidRPr="00AE5F33">
        <w:rPr>
          <w:spacing w:val="-6"/>
        </w:rPr>
        <w:t xml:space="preserve"> </w:t>
      </w:r>
      <w:r>
        <w:t>se</w:t>
      </w:r>
      <w:r w:rsidRPr="00AE5F33">
        <w:rPr>
          <w:spacing w:val="-6"/>
        </w:rPr>
        <w:t xml:space="preserve"> </w:t>
      </w:r>
      <w:r>
        <w:t>establezcan</w:t>
      </w:r>
      <w:r w:rsidRPr="00AE5F33">
        <w:rPr>
          <w:spacing w:val="-6"/>
        </w:rPr>
        <w:t xml:space="preserve"> </w:t>
      </w:r>
      <w:r>
        <w:t>al</w:t>
      </w:r>
      <w:r w:rsidRPr="00AE5F33">
        <w:rPr>
          <w:spacing w:val="-5"/>
        </w:rPr>
        <w:t xml:space="preserve"> </w:t>
      </w:r>
      <w:r w:rsidRPr="00AE5F33">
        <w:rPr>
          <w:b/>
        </w:rPr>
        <w:t>adaptarse</w:t>
      </w:r>
      <w:r w:rsidRPr="00AE5F33">
        <w:rPr>
          <w:b/>
          <w:spacing w:val="-6"/>
        </w:rPr>
        <w:t xml:space="preserve"> </w:t>
      </w:r>
      <w:r w:rsidRPr="00AE5F33">
        <w:rPr>
          <w:b/>
        </w:rPr>
        <w:t>a</w:t>
      </w:r>
      <w:r w:rsidRPr="00AE5F33">
        <w:rPr>
          <w:b/>
          <w:spacing w:val="-6"/>
        </w:rPr>
        <w:t xml:space="preserve"> </w:t>
      </w:r>
      <w:r w:rsidRPr="00AE5F33">
        <w:rPr>
          <w:b/>
        </w:rPr>
        <w:t>la</w:t>
      </w:r>
      <w:r w:rsidRPr="00AE5F33">
        <w:rPr>
          <w:b/>
          <w:spacing w:val="-6"/>
        </w:rPr>
        <w:t xml:space="preserve"> </w:t>
      </w:r>
      <w:r w:rsidRPr="00AE5F33">
        <w:rPr>
          <w:b/>
        </w:rPr>
        <w:t>nueva</w:t>
      </w:r>
      <w:r w:rsidRPr="00AE5F33">
        <w:rPr>
          <w:b/>
          <w:spacing w:val="-6"/>
        </w:rPr>
        <w:t xml:space="preserve"> </w:t>
      </w:r>
      <w:r w:rsidRPr="00AE5F33">
        <w:rPr>
          <w:b/>
        </w:rPr>
        <w:t>visión</w:t>
      </w:r>
      <w:r w:rsidRPr="00AE5F33">
        <w:rPr>
          <w:b/>
          <w:spacing w:val="-6"/>
        </w:rPr>
        <w:t xml:space="preserve"> </w:t>
      </w:r>
      <w:r w:rsidRPr="00AE5F33">
        <w:rPr>
          <w:b/>
        </w:rPr>
        <w:t>de seguridad</w:t>
      </w:r>
      <w:r>
        <w:t>.</w:t>
      </w:r>
      <w:r w:rsidRPr="00AE5F33">
        <w:rPr>
          <w:spacing w:val="-14"/>
        </w:rPr>
        <w:t xml:space="preserve"> </w:t>
      </w:r>
      <w:r>
        <w:t>Esto</w:t>
      </w:r>
      <w:r w:rsidRPr="00AE5F33">
        <w:rPr>
          <w:spacing w:val="-14"/>
        </w:rPr>
        <w:t xml:space="preserve"> </w:t>
      </w:r>
      <w:r>
        <w:t>implica</w:t>
      </w:r>
      <w:r w:rsidRPr="00AE5F33">
        <w:rPr>
          <w:spacing w:val="-15"/>
        </w:rPr>
        <w:t xml:space="preserve"> </w:t>
      </w:r>
      <w:r>
        <w:t>una</w:t>
      </w:r>
      <w:r w:rsidRPr="00AE5F33">
        <w:rPr>
          <w:spacing w:val="-14"/>
        </w:rPr>
        <w:t xml:space="preserve"> </w:t>
      </w:r>
      <w:r>
        <w:t>reducción</w:t>
      </w:r>
      <w:r w:rsidRPr="00AE5F33">
        <w:rPr>
          <w:spacing w:val="-14"/>
        </w:rPr>
        <w:t xml:space="preserve"> </w:t>
      </w:r>
      <w:r>
        <w:t>gradual</w:t>
      </w:r>
      <w:r w:rsidRPr="00AE5F33">
        <w:rPr>
          <w:spacing w:val="-14"/>
        </w:rPr>
        <w:t xml:space="preserve"> </w:t>
      </w:r>
      <w:r>
        <w:t>de</w:t>
      </w:r>
      <w:r w:rsidRPr="00AE5F33">
        <w:rPr>
          <w:spacing w:val="-14"/>
        </w:rPr>
        <w:t xml:space="preserve"> </w:t>
      </w:r>
      <w:r>
        <w:t>las</w:t>
      </w:r>
      <w:r w:rsidRPr="00AE5F33">
        <w:rPr>
          <w:spacing w:val="-14"/>
        </w:rPr>
        <w:t xml:space="preserve"> </w:t>
      </w:r>
      <w:r>
        <w:t>Fuerzas</w:t>
      </w:r>
      <w:r w:rsidRPr="00AE5F33">
        <w:rPr>
          <w:spacing w:val="-15"/>
        </w:rPr>
        <w:t xml:space="preserve"> </w:t>
      </w:r>
      <w:r>
        <w:t>Militares</w:t>
      </w:r>
      <w:r w:rsidRPr="00AE5F33">
        <w:rPr>
          <w:spacing w:val="-14"/>
        </w:rPr>
        <w:t xml:space="preserve"> </w:t>
      </w:r>
      <w:r>
        <w:t>y</w:t>
      </w:r>
      <w:r w:rsidRPr="00AE5F33">
        <w:rPr>
          <w:spacing w:val="-14"/>
        </w:rPr>
        <w:t xml:space="preserve"> </w:t>
      </w:r>
      <w:r>
        <w:t>un</w:t>
      </w:r>
      <w:r w:rsidRPr="00AE5F33">
        <w:rPr>
          <w:spacing w:val="-14"/>
        </w:rPr>
        <w:t xml:space="preserve"> </w:t>
      </w:r>
      <w:r>
        <w:t>aumento del personal de la Policía Nacional.</w:t>
      </w:r>
    </w:p>
    <w:p w:rsidR="0011361F" w:rsidRDefault="00AF18A5" w:rsidP="00D22842">
      <w:r>
        <w:t>Corto</w:t>
      </w:r>
      <w:r>
        <w:rPr>
          <w:spacing w:val="-1"/>
        </w:rPr>
        <w:t xml:space="preserve"> </w:t>
      </w:r>
      <w:r>
        <w:rPr>
          <w:spacing w:val="-2"/>
        </w:rPr>
        <w:t>plazo</w:t>
      </w:r>
    </w:p>
    <w:p w:rsidR="00D22842" w:rsidRDefault="00D22842" w:rsidP="00D22842">
      <w:pPr>
        <w:pStyle w:val="Ttulo4"/>
      </w:pPr>
      <w:r>
        <w:t xml:space="preserve">40.7. </w:t>
      </w:r>
    </w:p>
    <w:p w:rsidR="003804AC" w:rsidRDefault="00AF18A5" w:rsidP="00D22842">
      <w:r>
        <w:t>Ajustar</w:t>
      </w:r>
      <w:r>
        <w:rPr>
          <w:spacing w:val="-15"/>
        </w:rPr>
        <w:t xml:space="preserve"> </w:t>
      </w:r>
      <w:r>
        <w:t>el</w:t>
      </w:r>
      <w:r>
        <w:rPr>
          <w:spacing w:val="-15"/>
        </w:rPr>
        <w:t xml:space="preserve"> </w:t>
      </w:r>
      <w:r>
        <w:rPr>
          <w:b/>
        </w:rPr>
        <w:t>sistema</w:t>
      </w:r>
      <w:r>
        <w:rPr>
          <w:b/>
          <w:spacing w:val="-15"/>
        </w:rPr>
        <w:t xml:space="preserve"> </w:t>
      </w:r>
      <w:r>
        <w:rPr>
          <w:b/>
        </w:rPr>
        <w:t>de</w:t>
      </w:r>
      <w:r>
        <w:rPr>
          <w:b/>
          <w:spacing w:val="-14"/>
        </w:rPr>
        <w:t xml:space="preserve"> </w:t>
      </w:r>
      <w:r>
        <w:rPr>
          <w:b/>
        </w:rPr>
        <w:t>ingreso,</w:t>
      </w:r>
      <w:r>
        <w:rPr>
          <w:b/>
          <w:spacing w:val="-15"/>
        </w:rPr>
        <w:t xml:space="preserve"> </w:t>
      </w:r>
      <w:r>
        <w:rPr>
          <w:b/>
        </w:rPr>
        <w:t>ascensos</w:t>
      </w:r>
      <w:r>
        <w:rPr>
          <w:b/>
          <w:spacing w:val="-14"/>
        </w:rPr>
        <w:t xml:space="preserve"> </w:t>
      </w:r>
      <w:r>
        <w:rPr>
          <w:b/>
        </w:rPr>
        <w:t>e</w:t>
      </w:r>
      <w:r>
        <w:rPr>
          <w:b/>
          <w:spacing w:val="-15"/>
        </w:rPr>
        <w:t xml:space="preserve"> </w:t>
      </w:r>
      <w:r>
        <w:rPr>
          <w:b/>
        </w:rPr>
        <w:t>incentivos</w:t>
      </w:r>
      <w:r>
        <w:rPr>
          <w:b/>
          <w:spacing w:val="-14"/>
        </w:rPr>
        <w:t xml:space="preserve"> </w:t>
      </w:r>
      <w:r>
        <w:t>de</w:t>
      </w:r>
      <w:r>
        <w:rPr>
          <w:spacing w:val="-14"/>
        </w:rPr>
        <w:t xml:space="preserve"> </w:t>
      </w:r>
      <w:r>
        <w:t>los</w:t>
      </w:r>
      <w:r>
        <w:rPr>
          <w:spacing w:val="-15"/>
        </w:rPr>
        <w:t xml:space="preserve"> </w:t>
      </w:r>
      <w:r>
        <w:t>miembros</w:t>
      </w:r>
      <w:r>
        <w:rPr>
          <w:spacing w:val="-14"/>
        </w:rPr>
        <w:t xml:space="preserve"> </w:t>
      </w:r>
      <w:r>
        <w:t>de</w:t>
      </w:r>
      <w:r>
        <w:rPr>
          <w:spacing w:val="-15"/>
        </w:rPr>
        <w:t xml:space="preserve"> </w:t>
      </w:r>
      <w:r>
        <w:t>las</w:t>
      </w:r>
      <w:r>
        <w:rPr>
          <w:spacing w:val="-15"/>
        </w:rPr>
        <w:t xml:space="preserve"> </w:t>
      </w:r>
      <w:r>
        <w:t>Fuerzas Militares y la Policía. Para ello, se sugiere:</w:t>
      </w:r>
    </w:p>
    <w:p w:rsidR="003804AC" w:rsidRDefault="00AF18A5" w:rsidP="004A6EF4">
      <w:pPr>
        <w:pStyle w:val="Prrafodelista"/>
        <w:numPr>
          <w:ilvl w:val="0"/>
          <w:numId w:val="51"/>
        </w:numPr>
      </w:pPr>
      <w:r>
        <w:t>Realizar los ajustes normativos necesarios con el fin de garantizar que no puedan recibir ascensos quienes tengan denuncias creíbles o procesos abiertos en su contra –por acción o por omisión– en casos de graves violaciones de los derechos</w:t>
      </w:r>
      <w:r w:rsidRPr="00D22842">
        <w:rPr>
          <w:spacing w:val="-2"/>
        </w:rPr>
        <w:t xml:space="preserve"> </w:t>
      </w:r>
      <w:r>
        <w:t>humanos</w:t>
      </w:r>
      <w:r w:rsidRPr="00D22842">
        <w:rPr>
          <w:spacing w:val="-2"/>
        </w:rPr>
        <w:t xml:space="preserve"> </w:t>
      </w:r>
      <w:r>
        <w:t>e</w:t>
      </w:r>
      <w:r w:rsidRPr="00D22842">
        <w:rPr>
          <w:spacing w:val="-2"/>
        </w:rPr>
        <w:t xml:space="preserve"> </w:t>
      </w:r>
      <w:r>
        <w:t>infracciones</w:t>
      </w:r>
      <w:r w:rsidRPr="00D22842">
        <w:rPr>
          <w:spacing w:val="-3"/>
        </w:rPr>
        <w:t xml:space="preserve"> </w:t>
      </w:r>
      <w:r>
        <w:t>al</w:t>
      </w:r>
      <w:r w:rsidRPr="00D22842">
        <w:rPr>
          <w:spacing w:val="-2"/>
        </w:rPr>
        <w:t xml:space="preserve"> </w:t>
      </w:r>
      <w:r>
        <w:t>DIH,</w:t>
      </w:r>
      <w:r w:rsidRPr="00D22842">
        <w:rPr>
          <w:spacing w:val="-2"/>
        </w:rPr>
        <w:t xml:space="preserve"> </w:t>
      </w:r>
      <w:r>
        <w:t>o</w:t>
      </w:r>
      <w:r w:rsidRPr="00D22842">
        <w:rPr>
          <w:spacing w:val="-2"/>
        </w:rPr>
        <w:t xml:space="preserve"> </w:t>
      </w:r>
      <w:r>
        <w:t>en</w:t>
      </w:r>
      <w:r w:rsidRPr="00D22842">
        <w:rPr>
          <w:spacing w:val="-2"/>
        </w:rPr>
        <w:t xml:space="preserve"> </w:t>
      </w:r>
      <w:r>
        <w:t>casos</w:t>
      </w:r>
      <w:r w:rsidRPr="00D22842">
        <w:rPr>
          <w:spacing w:val="-2"/>
        </w:rPr>
        <w:t xml:space="preserve"> </w:t>
      </w:r>
      <w:r>
        <w:t>de</w:t>
      </w:r>
      <w:r w:rsidRPr="00D22842">
        <w:rPr>
          <w:spacing w:val="-2"/>
        </w:rPr>
        <w:t xml:space="preserve"> </w:t>
      </w:r>
      <w:r>
        <w:t>vinculación</w:t>
      </w:r>
      <w:r w:rsidRPr="00D22842">
        <w:rPr>
          <w:spacing w:val="-2"/>
        </w:rPr>
        <w:t xml:space="preserve"> </w:t>
      </w:r>
      <w:r>
        <w:t>y</w:t>
      </w:r>
      <w:r w:rsidRPr="00D22842">
        <w:rPr>
          <w:spacing w:val="-3"/>
        </w:rPr>
        <w:t xml:space="preserve"> </w:t>
      </w:r>
      <w:r>
        <w:t>connivencia con grupos armados ilegales y delincuencia organizada. Para ello, se debe:</w:t>
      </w:r>
    </w:p>
    <w:p w:rsidR="003804AC" w:rsidRDefault="00AF18A5" w:rsidP="00D22842">
      <w:pPr>
        <w:pStyle w:val="Prrafodelista"/>
        <w:ind w:left="720"/>
      </w:pPr>
      <w:r>
        <w:t xml:space="preserve">Crear un </w:t>
      </w:r>
      <w:r w:rsidRPr="00D22842">
        <w:rPr>
          <w:b/>
        </w:rPr>
        <w:t>mecanismo de control de ascensos que permita determinar la idoneidad de integrantes de las Fuerzas Armadas o de seguridad</w:t>
      </w:r>
      <w:r w:rsidRPr="00D22842">
        <w:rPr>
          <w:b/>
          <w:spacing w:val="-8"/>
        </w:rPr>
        <w:t xml:space="preserve"> </w:t>
      </w:r>
      <w:r>
        <w:t>a</w:t>
      </w:r>
      <w:r w:rsidRPr="00D22842">
        <w:rPr>
          <w:spacing w:val="-9"/>
        </w:rPr>
        <w:t xml:space="preserve"> </w:t>
      </w:r>
      <w:r>
        <w:t>partir</w:t>
      </w:r>
      <w:r w:rsidRPr="00D22842">
        <w:rPr>
          <w:spacing w:val="-8"/>
        </w:rPr>
        <w:t xml:space="preserve"> </w:t>
      </w:r>
      <w:r>
        <w:t>de</w:t>
      </w:r>
      <w:r w:rsidRPr="00D22842">
        <w:rPr>
          <w:spacing w:val="-8"/>
        </w:rPr>
        <w:t xml:space="preserve"> </w:t>
      </w:r>
      <w:r>
        <w:t>un</w:t>
      </w:r>
      <w:r w:rsidRPr="00D22842">
        <w:rPr>
          <w:spacing w:val="-9"/>
        </w:rPr>
        <w:t xml:space="preserve"> </w:t>
      </w:r>
      <w:r>
        <w:t>análisis</w:t>
      </w:r>
      <w:r w:rsidRPr="00D22842">
        <w:rPr>
          <w:spacing w:val="-9"/>
        </w:rPr>
        <w:t xml:space="preserve"> </w:t>
      </w:r>
      <w:r>
        <w:t>exhaustivo</w:t>
      </w:r>
      <w:r w:rsidRPr="00D22842">
        <w:rPr>
          <w:spacing w:val="-8"/>
        </w:rPr>
        <w:t xml:space="preserve"> </w:t>
      </w:r>
      <w:r>
        <w:t>sobre</w:t>
      </w:r>
      <w:r w:rsidRPr="00D22842">
        <w:rPr>
          <w:spacing w:val="-9"/>
        </w:rPr>
        <w:t xml:space="preserve"> </w:t>
      </w:r>
      <w:r>
        <w:t>los</w:t>
      </w:r>
      <w:r w:rsidRPr="00D22842">
        <w:rPr>
          <w:spacing w:val="-8"/>
        </w:rPr>
        <w:t xml:space="preserve"> </w:t>
      </w:r>
      <w:r>
        <w:t>antecedentes</w:t>
      </w:r>
      <w:r w:rsidRPr="00D22842">
        <w:rPr>
          <w:spacing w:val="-8"/>
        </w:rPr>
        <w:t xml:space="preserve"> </w:t>
      </w:r>
      <w:r>
        <w:t>de</w:t>
      </w:r>
      <w:r w:rsidRPr="00D22842">
        <w:rPr>
          <w:spacing w:val="-8"/>
        </w:rPr>
        <w:t xml:space="preserve"> </w:t>
      </w:r>
      <w:r>
        <w:t>personas que hayan estado implicadas –por acción o por omisión– en casos de graves violaciones de los derechos humanos e infracciones al DIH, o en casos de vinculación</w:t>
      </w:r>
      <w:r w:rsidRPr="00D22842">
        <w:rPr>
          <w:spacing w:val="66"/>
          <w:w w:val="150"/>
        </w:rPr>
        <w:t xml:space="preserve"> </w:t>
      </w:r>
      <w:r>
        <w:t>y</w:t>
      </w:r>
      <w:r w:rsidRPr="00D22842">
        <w:rPr>
          <w:spacing w:val="69"/>
          <w:w w:val="150"/>
        </w:rPr>
        <w:t xml:space="preserve"> </w:t>
      </w:r>
      <w:r>
        <w:t>connivencia</w:t>
      </w:r>
      <w:r w:rsidRPr="00D22842">
        <w:rPr>
          <w:spacing w:val="70"/>
          <w:w w:val="150"/>
        </w:rPr>
        <w:t xml:space="preserve"> </w:t>
      </w:r>
      <w:r>
        <w:t>con</w:t>
      </w:r>
      <w:r w:rsidRPr="00D22842">
        <w:rPr>
          <w:spacing w:val="69"/>
          <w:w w:val="150"/>
        </w:rPr>
        <w:t xml:space="preserve"> </w:t>
      </w:r>
      <w:r>
        <w:t>grupos</w:t>
      </w:r>
      <w:r w:rsidRPr="00D22842">
        <w:rPr>
          <w:spacing w:val="70"/>
          <w:w w:val="150"/>
        </w:rPr>
        <w:t xml:space="preserve"> </w:t>
      </w:r>
      <w:r>
        <w:t>armados</w:t>
      </w:r>
      <w:r w:rsidRPr="00D22842">
        <w:rPr>
          <w:spacing w:val="70"/>
          <w:w w:val="150"/>
        </w:rPr>
        <w:t xml:space="preserve"> </w:t>
      </w:r>
      <w:r>
        <w:t>ilegales</w:t>
      </w:r>
      <w:r w:rsidRPr="00D22842">
        <w:rPr>
          <w:spacing w:val="68"/>
          <w:w w:val="150"/>
        </w:rPr>
        <w:t xml:space="preserve"> </w:t>
      </w:r>
      <w:r>
        <w:t>y</w:t>
      </w:r>
      <w:r w:rsidRPr="00D22842">
        <w:rPr>
          <w:spacing w:val="69"/>
          <w:w w:val="150"/>
        </w:rPr>
        <w:t xml:space="preserve"> </w:t>
      </w:r>
      <w:r w:rsidRPr="00D22842">
        <w:rPr>
          <w:spacing w:val="-2"/>
        </w:rPr>
        <w:t>delincuencia</w:t>
      </w:r>
      <w:r w:rsidR="00D22842">
        <w:rPr>
          <w:spacing w:val="-2"/>
        </w:rPr>
        <w:t xml:space="preserve"> </w:t>
      </w:r>
      <w:r>
        <w:lastRenderedPageBreak/>
        <w:t>organizada. Este mecanismo deberá permitir la participación ciudadana con plenas garantías de seguridad, incluyendo las asociaciones de familiares de víctimas de violaciones de derechos humanos y las organizaciones no gubernamentales</w:t>
      </w:r>
      <w:r>
        <w:rPr>
          <w:spacing w:val="-10"/>
        </w:rPr>
        <w:t xml:space="preserve"> </w:t>
      </w:r>
      <w:r>
        <w:t>de</w:t>
      </w:r>
      <w:r>
        <w:rPr>
          <w:spacing w:val="-10"/>
        </w:rPr>
        <w:t xml:space="preserve"> </w:t>
      </w:r>
      <w:r>
        <w:t>derechos</w:t>
      </w:r>
      <w:r>
        <w:rPr>
          <w:spacing w:val="-10"/>
        </w:rPr>
        <w:t xml:space="preserve"> </w:t>
      </w:r>
      <w:r>
        <w:t>humanos,</w:t>
      </w:r>
      <w:r>
        <w:rPr>
          <w:spacing w:val="-10"/>
        </w:rPr>
        <w:t xml:space="preserve"> </w:t>
      </w:r>
      <w:r>
        <w:t>quienes</w:t>
      </w:r>
      <w:r>
        <w:rPr>
          <w:spacing w:val="-11"/>
        </w:rPr>
        <w:t xml:space="preserve"> </w:t>
      </w:r>
      <w:r>
        <w:t>podrán</w:t>
      </w:r>
      <w:r>
        <w:rPr>
          <w:spacing w:val="-10"/>
        </w:rPr>
        <w:t xml:space="preserve"> </w:t>
      </w:r>
      <w:r>
        <w:t>presentar</w:t>
      </w:r>
      <w:r>
        <w:rPr>
          <w:spacing w:val="-11"/>
        </w:rPr>
        <w:t xml:space="preserve"> </w:t>
      </w:r>
      <w:r>
        <w:t>tachas</w:t>
      </w:r>
      <w:r>
        <w:rPr>
          <w:spacing w:val="-10"/>
        </w:rPr>
        <w:t xml:space="preserve"> </w:t>
      </w:r>
      <w:r>
        <w:t>dentro de dicho procedimiento.</w:t>
      </w:r>
    </w:p>
    <w:p w:rsidR="003804AC" w:rsidRDefault="00AF18A5" w:rsidP="00D22842">
      <w:pPr>
        <w:pStyle w:val="Prrafodelista"/>
        <w:ind w:left="720"/>
      </w:pPr>
      <w:r>
        <w:t>Incluir en los criterios de ingreso y ascenso para todos los grados, así como en las evaluaciones realizadas en la oportunidad legal, la acreditación de evidencias de conocimiento y respeto de los derechos humanos y el DIH, incluyendo la acreditación</w:t>
      </w:r>
      <w:r w:rsidRPr="00D22842">
        <w:rPr>
          <w:spacing w:val="-1"/>
        </w:rPr>
        <w:t xml:space="preserve"> </w:t>
      </w:r>
      <w:r>
        <w:t>de no tener denuncias</w:t>
      </w:r>
      <w:r w:rsidRPr="00D22842">
        <w:rPr>
          <w:spacing w:val="-1"/>
        </w:rPr>
        <w:t xml:space="preserve"> </w:t>
      </w:r>
      <w:r>
        <w:t>creíbles, procesamiento, acusación o imputación o condenas penales en cualquier jurisdicción</w:t>
      </w:r>
      <w:r w:rsidRPr="00D22842">
        <w:rPr>
          <w:spacing w:val="-8"/>
        </w:rPr>
        <w:t xml:space="preserve"> </w:t>
      </w:r>
      <w:r>
        <w:t>o</w:t>
      </w:r>
      <w:r w:rsidRPr="00D22842">
        <w:rPr>
          <w:spacing w:val="-7"/>
        </w:rPr>
        <w:t xml:space="preserve"> </w:t>
      </w:r>
      <w:r>
        <w:t>pliego</w:t>
      </w:r>
      <w:r w:rsidRPr="00D22842">
        <w:rPr>
          <w:spacing w:val="-8"/>
        </w:rPr>
        <w:t xml:space="preserve"> </w:t>
      </w:r>
      <w:r>
        <w:t>de</w:t>
      </w:r>
      <w:r w:rsidRPr="00D22842">
        <w:rPr>
          <w:spacing w:val="-8"/>
        </w:rPr>
        <w:t xml:space="preserve"> </w:t>
      </w:r>
      <w:r>
        <w:t>cargos</w:t>
      </w:r>
      <w:r w:rsidRPr="00D22842">
        <w:rPr>
          <w:spacing w:val="-7"/>
        </w:rPr>
        <w:t xml:space="preserve"> </w:t>
      </w:r>
      <w:r>
        <w:t>y</w:t>
      </w:r>
      <w:r w:rsidRPr="00D22842">
        <w:rPr>
          <w:spacing w:val="-8"/>
        </w:rPr>
        <w:t xml:space="preserve"> </w:t>
      </w:r>
      <w:r>
        <w:t>fallo</w:t>
      </w:r>
      <w:r w:rsidRPr="00D22842">
        <w:rPr>
          <w:spacing w:val="-8"/>
        </w:rPr>
        <w:t xml:space="preserve"> </w:t>
      </w:r>
      <w:r>
        <w:t>en</w:t>
      </w:r>
      <w:r w:rsidRPr="00D22842">
        <w:rPr>
          <w:spacing w:val="-7"/>
        </w:rPr>
        <w:t xml:space="preserve"> </w:t>
      </w:r>
      <w:r>
        <w:t>un</w:t>
      </w:r>
      <w:r w:rsidRPr="00D22842">
        <w:rPr>
          <w:spacing w:val="-7"/>
        </w:rPr>
        <w:t xml:space="preserve"> </w:t>
      </w:r>
      <w:r>
        <w:t>proceso</w:t>
      </w:r>
      <w:r w:rsidRPr="00D22842">
        <w:rPr>
          <w:spacing w:val="-7"/>
        </w:rPr>
        <w:t xml:space="preserve"> </w:t>
      </w:r>
      <w:r>
        <w:t>disciplinario</w:t>
      </w:r>
      <w:r w:rsidRPr="00D22842">
        <w:rPr>
          <w:spacing w:val="-7"/>
        </w:rPr>
        <w:t xml:space="preserve"> </w:t>
      </w:r>
      <w:r>
        <w:t>por</w:t>
      </w:r>
      <w:r w:rsidRPr="00D22842">
        <w:rPr>
          <w:spacing w:val="-7"/>
        </w:rPr>
        <w:t xml:space="preserve"> </w:t>
      </w:r>
      <w:r>
        <w:t>violación de los derechos humanos o infracción al DIH. Para el caso de los ascensos de generales y almirantes cuya aprobación corresponde al Congreso, adoptar las medidas necesarias para garantizar la publicidad y transparencia del proceso.</w:t>
      </w:r>
    </w:p>
    <w:p w:rsidR="0011361F" w:rsidRDefault="00AF18A5" w:rsidP="00D22842">
      <w:r>
        <w:t>Corto</w:t>
      </w:r>
      <w:r>
        <w:rPr>
          <w:spacing w:val="-1"/>
        </w:rPr>
        <w:t xml:space="preserve"> </w:t>
      </w:r>
      <w:r>
        <w:rPr>
          <w:spacing w:val="-2"/>
        </w:rPr>
        <w:t>plazo</w:t>
      </w:r>
    </w:p>
    <w:p w:rsidR="003804AC" w:rsidRDefault="00AF18A5" w:rsidP="004A6EF4">
      <w:pPr>
        <w:pStyle w:val="Prrafodelista"/>
        <w:numPr>
          <w:ilvl w:val="0"/>
          <w:numId w:val="51"/>
        </w:numPr>
      </w:pPr>
      <w:r>
        <w:t xml:space="preserve">Revisar y fortalecer el sistema de selección, ingresos, permanencia e incentivos de manera tal que incluya una </w:t>
      </w:r>
      <w:r w:rsidRPr="00FC28F2">
        <w:rPr>
          <w:b/>
        </w:rPr>
        <w:t xml:space="preserve">perspectiva diferencial, de género y de derechos de las mujeres </w:t>
      </w:r>
      <w:r>
        <w:t>que permita tener unas Fuerzas Militares y de Policía que representen el pluralismo y la multiculturalidad del país. Ampliar los esfuerzos por una efectiva inclusión de mujeres en la estructura y conformación de las Fuerzas Militares y la Policía, garantizando la diversificación de funciones y papeles, de tal manera que alcancen una representación significativa y mayor participación en los procesos de toma de decisiones.</w:t>
      </w:r>
    </w:p>
    <w:p w:rsidR="003804AC" w:rsidRDefault="00AF18A5" w:rsidP="00FC28F2">
      <w:r>
        <w:lastRenderedPageBreak/>
        <w:t>Corto</w:t>
      </w:r>
      <w:r>
        <w:rPr>
          <w:spacing w:val="-1"/>
        </w:rPr>
        <w:t xml:space="preserve"> </w:t>
      </w:r>
      <w:r>
        <w:rPr>
          <w:spacing w:val="-2"/>
        </w:rPr>
        <w:t>plazo</w:t>
      </w:r>
    </w:p>
    <w:p w:rsidR="00FC28F2" w:rsidRDefault="00FC28F2" w:rsidP="00FC28F2">
      <w:pPr>
        <w:pStyle w:val="Ttulo4"/>
      </w:pPr>
      <w:r>
        <w:t>40.8.</w:t>
      </w:r>
    </w:p>
    <w:p w:rsidR="003804AC" w:rsidRDefault="00AF18A5" w:rsidP="00FC28F2">
      <w:r>
        <w:t xml:space="preserve">Realizar ajustes en la </w:t>
      </w:r>
      <w:r>
        <w:rPr>
          <w:b/>
        </w:rPr>
        <w:t>formación, los principios, los valores, la ética, y los procedimientos y prácticas que inciden en la cultura institucional</w:t>
      </w:r>
      <w:r w:rsidR="00E23E0C">
        <w:rPr>
          <w:rStyle w:val="Refdenotaalpie"/>
          <w:b/>
        </w:rPr>
        <w:footnoteReference w:id="1262"/>
      </w:r>
      <w:r>
        <w:t xml:space="preserve"> y en la mística de pertenencia institucional en las Fuerzas Militares y la Policía Nacional. Esto es necesario para que se adecúen a la nueva visión de seguridad para la paz, siempre teniendo en cuenta la</w:t>
      </w:r>
      <w:r>
        <w:rPr>
          <w:spacing w:val="-15"/>
        </w:rPr>
        <w:t xml:space="preserve"> </w:t>
      </w:r>
      <w:r>
        <w:t>importancia</w:t>
      </w:r>
      <w:r>
        <w:rPr>
          <w:spacing w:val="-15"/>
        </w:rPr>
        <w:t xml:space="preserve"> </w:t>
      </w:r>
      <w:r>
        <w:t>de</w:t>
      </w:r>
      <w:r>
        <w:rPr>
          <w:spacing w:val="-15"/>
        </w:rPr>
        <w:t xml:space="preserve"> </w:t>
      </w:r>
      <w:r>
        <w:t>la</w:t>
      </w:r>
      <w:r>
        <w:rPr>
          <w:spacing w:val="-15"/>
        </w:rPr>
        <w:t xml:space="preserve"> </w:t>
      </w:r>
      <w:r>
        <w:t>coherencia</w:t>
      </w:r>
      <w:r>
        <w:rPr>
          <w:spacing w:val="-15"/>
        </w:rPr>
        <w:t xml:space="preserve"> </w:t>
      </w:r>
      <w:r>
        <w:t>entre</w:t>
      </w:r>
      <w:r>
        <w:rPr>
          <w:spacing w:val="-15"/>
        </w:rPr>
        <w:t xml:space="preserve"> </w:t>
      </w:r>
      <w:r>
        <w:t>los</w:t>
      </w:r>
      <w:r>
        <w:rPr>
          <w:spacing w:val="-15"/>
        </w:rPr>
        <w:t xml:space="preserve"> </w:t>
      </w:r>
      <w:r>
        <w:t>valores,</w:t>
      </w:r>
      <w:r>
        <w:rPr>
          <w:spacing w:val="-15"/>
        </w:rPr>
        <w:t xml:space="preserve"> </w:t>
      </w:r>
      <w:r>
        <w:t>principios</w:t>
      </w:r>
      <w:r>
        <w:rPr>
          <w:spacing w:val="-15"/>
        </w:rPr>
        <w:t xml:space="preserve"> </w:t>
      </w:r>
      <w:r>
        <w:t>y</w:t>
      </w:r>
      <w:r>
        <w:rPr>
          <w:spacing w:val="-15"/>
        </w:rPr>
        <w:t xml:space="preserve"> </w:t>
      </w:r>
      <w:r>
        <w:t>reglas</w:t>
      </w:r>
      <w:r>
        <w:rPr>
          <w:spacing w:val="-15"/>
        </w:rPr>
        <w:t xml:space="preserve"> </w:t>
      </w:r>
      <w:r>
        <w:t>y</w:t>
      </w:r>
      <w:r>
        <w:rPr>
          <w:spacing w:val="-15"/>
        </w:rPr>
        <w:t xml:space="preserve"> </w:t>
      </w:r>
      <w:r>
        <w:t>las</w:t>
      </w:r>
      <w:r>
        <w:rPr>
          <w:spacing w:val="-15"/>
        </w:rPr>
        <w:t xml:space="preserve"> </w:t>
      </w:r>
      <w:r>
        <w:t>prácticas</w:t>
      </w:r>
      <w:r>
        <w:rPr>
          <w:spacing w:val="-15"/>
        </w:rPr>
        <w:t xml:space="preserve"> </w:t>
      </w:r>
      <w:r>
        <w:t>cotidianas. En ese marco, se recomienda:</w:t>
      </w:r>
    </w:p>
    <w:p w:rsidR="003804AC" w:rsidRDefault="00AF18A5" w:rsidP="004A6EF4">
      <w:pPr>
        <w:pStyle w:val="Prrafodelista"/>
        <w:numPr>
          <w:ilvl w:val="0"/>
          <w:numId w:val="51"/>
        </w:numPr>
      </w:pPr>
      <w:r w:rsidRPr="00E23E0C">
        <w:rPr>
          <w:b/>
        </w:rPr>
        <w:t>Transformar la educación militar y policial</w:t>
      </w:r>
      <w:r>
        <w:t>, sobre la base de una revisión por parte de un grupo de expertos nacionales e internacionales en materia de educación militar y policial, incluidas universidades, que realicen recomendaciones que</w:t>
      </w:r>
      <w:r w:rsidRPr="00E23E0C">
        <w:rPr>
          <w:spacing w:val="-8"/>
        </w:rPr>
        <w:t xml:space="preserve"> </w:t>
      </w:r>
      <w:r>
        <w:t>garanticen</w:t>
      </w:r>
      <w:r w:rsidRPr="00E23E0C">
        <w:rPr>
          <w:spacing w:val="-8"/>
        </w:rPr>
        <w:t xml:space="preserve"> </w:t>
      </w:r>
      <w:r>
        <w:t>una</w:t>
      </w:r>
      <w:r w:rsidRPr="00E23E0C">
        <w:rPr>
          <w:spacing w:val="-8"/>
        </w:rPr>
        <w:t xml:space="preserve"> </w:t>
      </w:r>
      <w:r>
        <w:t>educación</w:t>
      </w:r>
      <w:r w:rsidRPr="00E23E0C">
        <w:rPr>
          <w:spacing w:val="-8"/>
        </w:rPr>
        <w:t xml:space="preserve"> </w:t>
      </w:r>
      <w:r>
        <w:t>basada</w:t>
      </w:r>
      <w:r w:rsidRPr="00E23E0C">
        <w:rPr>
          <w:spacing w:val="-9"/>
        </w:rPr>
        <w:t xml:space="preserve"> </w:t>
      </w:r>
      <w:r>
        <w:t>en</w:t>
      </w:r>
      <w:r w:rsidRPr="00E23E0C">
        <w:rPr>
          <w:spacing w:val="-8"/>
        </w:rPr>
        <w:t xml:space="preserve"> </w:t>
      </w:r>
      <w:r>
        <w:t>el</w:t>
      </w:r>
      <w:r w:rsidRPr="00E23E0C">
        <w:rPr>
          <w:spacing w:val="-9"/>
        </w:rPr>
        <w:t xml:space="preserve"> </w:t>
      </w:r>
      <w:r>
        <w:t>respeto</w:t>
      </w:r>
      <w:r w:rsidRPr="00E23E0C">
        <w:rPr>
          <w:spacing w:val="-8"/>
        </w:rPr>
        <w:t xml:space="preserve"> </w:t>
      </w:r>
      <w:r>
        <w:t>de</w:t>
      </w:r>
      <w:r w:rsidRPr="00E23E0C">
        <w:rPr>
          <w:spacing w:val="-8"/>
        </w:rPr>
        <w:t xml:space="preserve"> </w:t>
      </w:r>
      <w:r>
        <w:t>los</w:t>
      </w:r>
      <w:r w:rsidRPr="00E23E0C">
        <w:rPr>
          <w:spacing w:val="-8"/>
        </w:rPr>
        <w:t xml:space="preserve"> </w:t>
      </w:r>
      <w:r>
        <w:t>derechos</w:t>
      </w:r>
      <w:r w:rsidRPr="00E23E0C">
        <w:rPr>
          <w:spacing w:val="-8"/>
        </w:rPr>
        <w:t xml:space="preserve"> </w:t>
      </w:r>
      <w:r>
        <w:t>humanos,</w:t>
      </w:r>
      <w:r w:rsidRPr="00E23E0C">
        <w:rPr>
          <w:spacing w:val="-8"/>
        </w:rPr>
        <w:t xml:space="preserve"> </w:t>
      </w:r>
      <w:r>
        <w:t>derecho internacional humanitario, democracia, perspectiva de género, derechos de las mujeres</w:t>
      </w:r>
      <w:r w:rsidRPr="00E23E0C">
        <w:rPr>
          <w:spacing w:val="40"/>
        </w:rPr>
        <w:t xml:space="preserve"> </w:t>
      </w:r>
      <w:r>
        <w:t>y derecho operacional. Lo anterior en el marco de la nueva visión de seguridad y considerando los avances que ya existen en esta materia.</w:t>
      </w:r>
    </w:p>
    <w:p w:rsidR="003804AC" w:rsidRDefault="00AF18A5" w:rsidP="004A6EF4">
      <w:pPr>
        <w:pStyle w:val="Prrafodelista"/>
        <w:numPr>
          <w:ilvl w:val="0"/>
          <w:numId w:val="51"/>
        </w:numPr>
      </w:pPr>
      <w:r>
        <w:t xml:space="preserve">Ampliar de forma permanente los </w:t>
      </w:r>
      <w:r w:rsidRPr="00E23E0C">
        <w:rPr>
          <w:b/>
        </w:rPr>
        <w:t xml:space="preserve">procesos de pedagogía y memoria histórica </w:t>
      </w:r>
      <w:r>
        <w:t xml:space="preserve">que se desarrollan en las instituciones militares y policiales con el fin de reconocer y aprender, desde un enfoque de no repetición, sobre los hechos, los impactos y las graves violaciones de los derechos humanos e infracciones al DIH cometidas por agentes del Estado, incluidos miembros de las </w:t>
      </w:r>
      <w:r>
        <w:lastRenderedPageBreak/>
        <w:t>Fuerzas Militares y de la Policía, en el conflicto armado.</w:t>
      </w:r>
    </w:p>
    <w:p w:rsidR="0011361F" w:rsidRPr="00E23E0C" w:rsidRDefault="00AF18A5" w:rsidP="004A6EF4">
      <w:pPr>
        <w:pStyle w:val="Prrafodelista"/>
        <w:numPr>
          <w:ilvl w:val="0"/>
          <w:numId w:val="51"/>
        </w:numPr>
        <w:rPr>
          <w:rFonts w:ascii="Calibri" w:hAnsi="Calibri"/>
        </w:rPr>
      </w:pPr>
      <w:r>
        <w:t xml:space="preserve">Fortalecer la </w:t>
      </w:r>
      <w:r w:rsidRPr="00E23E0C">
        <w:rPr>
          <w:b/>
        </w:rPr>
        <w:t>formación permanente en DIH y derechos humanos</w:t>
      </w:r>
      <w:r>
        <w:t>. Esta debe incluir educación en temas étnicos, de género, de derechos de las mujeres y de las personas LGBTIQ+</w:t>
      </w:r>
    </w:p>
    <w:p w:rsidR="003804AC" w:rsidRPr="00E23E0C" w:rsidRDefault="00AF18A5" w:rsidP="004A6EF4">
      <w:pPr>
        <w:pStyle w:val="Prrafodelista"/>
        <w:numPr>
          <w:ilvl w:val="0"/>
          <w:numId w:val="51"/>
        </w:numPr>
        <w:rPr>
          <w:rFonts w:ascii="Calibri" w:hAnsi="Calibri"/>
        </w:rPr>
      </w:pPr>
      <w:bookmarkStart w:id="1643" w:name="_bookmark1425"/>
      <w:bookmarkEnd w:id="1643"/>
      <w:r w:rsidRPr="00E23E0C">
        <w:rPr>
          <w:b/>
        </w:rPr>
        <w:t xml:space="preserve">Transformar las narrativas </w:t>
      </w:r>
      <w:r>
        <w:t>–incluidos, por ejemplo, los cantos militares– para garantizar la apropiación de la nueva visión y sus principios en las prácticas de los integrantes de las fuerzas.</w:t>
      </w:r>
    </w:p>
    <w:p w:rsidR="0011361F" w:rsidRDefault="00AF18A5" w:rsidP="004A6EF4">
      <w:pPr>
        <w:pStyle w:val="Ttulo3"/>
        <w:numPr>
          <w:ilvl w:val="1"/>
          <w:numId w:val="28"/>
        </w:numPr>
      </w:pPr>
      <w:bookmarkStart w:id="1644" w:name="6.3._Archivos_de_inteligencia"/>
      <w:bookmarkStart w:id="1645" w:name="_Toc112399711"/>
      <w:bookmarkEnd w:id="1644"/>
      <w:r>
        <w:t>Archivos de</w:t>
      </w:r>
      <w:r>
        <w:rPr>
          <w:spacing w:val="-1"/>
        </w:rPr>
        <w:t xml:space="preserve"> </w:t>
      </w:r>
      <w:r w:rsidRPr="000242DF">
        <w:t>inteligencia</w:t>
      </w:r>
      <w:bookmarkEnd w:id="1645"/>
    </w:p>
    <w:p w:rsidR="0011361F" w:rsidRDefault="00AF18A5" w:rsidP="000242DF">
      <w:r>
        <w:t>Corto</w:t>
      </w:r>
      <w:r>
        <w:rPr>
          <w:spacing w:val="-1"/>
        </w:rPr>
        <w:t xml:space="preserve"> </w:t>
      </w:r>
      <w:r>
        <w:rPr>
          <w:spacing w:val="-2"/>
        </w:rPr>
        <w:t>plazo</w:t>
      </w:r>
    </w:p>
    <w:p w:rsidR="003804AC" w:rsidRDefault="00AF18A5" w:rsidP="004A6EF4">
      <w:pPr>
        <w:pStyle w:val="Prrafodelista"/>
        <w:numPr>
          <w:ilvl w:val="0"/>
          <w:numId w:val="31"/>
        </w:numPr>
      </w:pPr>
      <w:r>
        <w:t>Al</w:t>
      </w:r>
      <w:r w:rsidRPr="000242DF">
        <w:rPr>
          <w:spacing w:val="-12"/>
        </w:rPr>
        <w:t xml:space="preserve"> </w:t>
      </w:r>
      <w:r>
        <w:t>Presidente</w:t>
      </w:r>
      <w:r w:rsidRPr="000242DF">
        <w:rPr>
          <w:spacing w:val="-12"/>
        </w:rPr>
        <w:t xml:space="preserve"> </w:t>
      </w:r>
      <w:r>
        <w:t>de</w:t>
      </w:r>
      <w:r w:rsidRPr="000242DF">
        <w:rPr>
          <w:spacing w:val="-13"/>
        </w:rPr>
        <w:t xml:space="preserve"> </w:t>
      </w:r>
      <w:r>
        <w:t>la</w:t>
      </w:r>
      <w:r w:rsidRPr="000242DF">
        <w:rPr>
          <w:spacing w:val="-13"/>
        </w:rPr>
        <w:t xml:space="preserve"> </w:t>
      </w:r>
      <w:r>
        <w:t>República,</w:t>
      </w:r>
      <w:r w:rsidRPr="000242DF">
        <w:rPr>
          <w:spacing w:val="-13"/>
        </w:rPr>
        <w:t xml:space="preserve"> </w:t>
      </w:r>
      <w:r>
        <w:t>al</w:t>
      </w:r>
      <w:r w:rsidRPr="000242DF">
        <w:rPr>
          <w:spacing w:val="-12"/>
        </w:rPr>
        <w:t xml:space="preserve"> </w:t>
      </w:r>
      <w:r>
        <w:t>Ministerio</w:t>
      </w:r>
      <w:r w:rsidRPr="000242DF">
        <w:rPr>
          <w:spacing w:val="-13"/>
        </w:rPr>
        <w:t xml:space="preserve"> </w:t>
      </w:r>
      <w:r>
        <w:t>de</w:t>
      </w:r>
      <w:r w:rsidRPr="000242DF">
        <w:rPr>
          <w:spacing w:val="-12"/>
        </w:rPr>
        <w:t xml:space="preserve"> </w:t>
      </w:r>
      <w:r>
        <w:t>Defensa,</w:t>
      </w:r>
      <w:r w:rsidRPr="000242DF">
        <w:rPr>
          <w:spacing w:val="-13"/>
        </w:rPr>
        <w:t xml:space="preserve"> </w:t>
      </w:r>
      <w:r>
        <w:t>a</w:t>
      </w:r>
      <w:r w:rsidRPr="000242DF">
        <w:rPr>
          <w:spacing w:val="-12"/>
        </w:rPr>
        <w:t xml:space="preserve"> </w:t>
      </w:r>
      <w:r>
        <w:t>la</w:t>
      </w:r>
      <w:r w:rsidRPr="000242DF">
        <w:rPr>
          <w:spacing w:val="-13"/>
        </w:rPr>
        <w:t xml:space="preserve"> </w:t>
      </w:r>
      <w:r>
        <w:t>fuerza</w:t>
      </w:r>
      <w:r w:rsidRPr="000242DF">
        <w:rPr>
          <w:spacing w:val="-12"/>
        </w:rPr>
        <w:t xml:space="preserve"> </w:t>
      </w:r>
      <w:r>
        <w:t>pública</w:t>
      </w:r>
      <w:r w:rsidRPr="000242DF">
        <w:rPr>
          <w:spacing w:val="-12"/>
        </w:rPr>
        <w:t xml:space="preserve"> </w:t>
      </w:r>
      <w:r>
        <w:t>y</w:t>
      </w:r>
      <w:r w:rsidRPr="000242DF">
        <w:rPr>
          <w:spacing w:val="-13"/>
        </w:rPr>
        <w:t xml:space="preserve"> </w:t>
      </w:r>
      <w:r>
        <w:t>Organismos de</w:t>
      </w:r>
      <w:r w:rsidRPr="000242DF">
        <w:rPr>
          <w:spacing w:val="-1"/>
        </w:rPr>
        <w:t xml:space="preserve"> </w:t>
      </w:r>
      <w:r>
        <w:t>Seguridad</w:t>
      </w:r>
      <w:r w:rsidRPr="000242DF">
        <w:rPr>
          <w:spacing w:val="-1"/>
        </w:rPr>
        <w:t xml:space="preserve"> </w:t>
      </w:r>
      <w:r>
        <w:t>e</w:t>
      </w:r>
      <w:r w:rsidRPr="000242DF">
        <w:rPr>
          <w:spacing w:val="-1"/>
        </w:rPr>
        <w:t xml:space="preserve"> </w:t>
      </w:r>
      <w:r>
        <w:t>Inteligencia,</w:t>
      </w:r>
      <w:r w:rsidRPr="000242DF">
        <w:rPr>
          <w:spacing w:val="-1"/>
        </w:rPr>
        <w:t xml:space="preserve"> </w:t>
      </w:r>
      <w:r>
        <w:t>al</w:t>
      </w:r>
      <w:r w:rsidRPr="000242DF">
        <w:rPr>
          <w:spacing w:val="-1"/>
        </w:rPr>
        <w:t xml:space="preserve"> </w:t>
      </w:r>
      <w:r>
        <w:t>Congreso</w:t>
      </w:r>
      <w:r w:rsidRPr="000242DF">
        <w:rPr>
          <w:spacing w:val="-1"/>
        </w:rPr>
        <w:t xml:space="preserve"> </w:t>
      </w:r>
      <w:r>
        <w:t>de</w:t>
      </w:r>
      <w:r w:rsidRPr="000242DF">
        <w:rPr>
          <w:spacing w:val="-1"/>
        </w:rPr>
        <w:t xml:space="preserve"> </w:t>
      </w:r>
      <w:r>
        <w:t>la</w:t>
      </w:r>
      <w:r w:rsidRPr="000242DF">
        <w:rPr>
          <w:spacing w:val="-1"/>
        </w:rPr>
        <w:t xml:space="preserve"> </w:t>
      </w:r>
      <w:r>
        <w:t>República</w:t>
      </w:r>
      <w:r w:rsidRPr="000242DF">
        <w:rPr>
          <w:spacing w:val="-1"/>
        </w:rPr>
        <w:t xml:space="preserve"> </w:t>
      </w:r>
      <w:r>
        <w:t>y</w:t>
      </w:r>
      <w:r w:rsidRPr="000242DF">
        <w:rPr>
          <w:spacing w:val="-1"/>
        </w:rPr>
        <w:t xml:space="preserve"> </w:t>
      </w:r>
      <w:r>
        <w:t>a</w:t>
      </w:r>
      <w:r w:rsidRPr="000242DF">
        <w:rPr>
          <w:spacing w:val="-1"/>
        </w:rPr>
        <w:t xml:space="preserve"> </w:t>
      </w:r>
      <w:r>
        <w:t>la</w:t>
      </w:r>
      <w:r w:rsidRPr="000242DF">
        <w:rPr>
          <w:spacing w:val="-1"/>
        </w:rPr>
        <w:t xml:space="preserve"> </w:t>
      </w:r>
      <w:r>
        <w:t>Rama</w:t>
      </w:r>
      <w:r w:rsidRPr="000242DF">
        <w:rPr>
          <w:spacing w:val="-1"/>
        </w:rPr>
        <w:t xml:space="preserve"> </w:t>
      </w:r>
      <w:r>
        <w:t>Judicial,</w:t>
      </w:r>
      <w:r w:rsidRPr="000242DF">
        <w:rPr>
          <w:spacing w:val="-1"/>
        </w:rPr>
        <w:t xml:space="preserve"> </w:t>
      </w:r>
      <w:r>
        <w:t>garantizar</w:t>
      </w:r>
      <w:r w:rsidRPr="000242DF">
        <w:rPr>
          <w:spacing w:val="-1"/>
        </w:rPr>
        <w:t xml:space="preserve"> </w:t>
      </w:r>
      <w:r>
        <w:t>de manera</w:t>
      </w:r>
      <w:r w:rsidRPr="000242DF">
        <w:rPr>
          <w:spacing w:val="-10"/>
        </w:rPr>
        <w:t xml:space="preserve"> </w:t>
      </w:r>
      <w:r>
        <w:t>inmediata</w:t>
      </w:r>
      <w:r w:rsidRPr="000242DF">
        <w:rPr>
          <w:spacing w:val="-10"/>
        </w:rPr>
        <w:t xml:space="preserve"> </w:t>
      </w:r>
      <w:r>
        <w:t>el</w:t>
      </w:r>
      <w:r w:rsidRPr="000242DF">
        <w:rPr>
          <w:spacing w:val="-10"/>
        </w:rPr>
        <w:t xml:space="preserve"> </w:t>
      </w:r>
      <w:r w:rsidRPr="000242DF">
        <w:rPr>
          <w:b/>
        </w:rPr>
        <w:t>acceso</w:t>
      </w:r>
      <w:r w:rsidRPr="000242DF">
        <w:rPr>
          <w:b/>
          <w:spacing w:val="-11"/>
        </w:rPr>
        <w:t xml:space="preserve"> </w:t>
      </w:r>
      <w:r w:rsidRPr="000242DF">
        <w:rPr>
          <w:b/>
        </w:rPr>
        <w:t>a</w:t>
      </w:r>
      <w:r w:rsidRPr="000242DF">
        <w:rPr>
          <w:b/>
          <w:spacing w:val="-12"/>
        </w:rPr>
        <w:t xml:space="preserve"> </w:t>
      </w:r>
      <w:r w:rsidRPr="000242DF">
        <w:rPr>
          <w:b/>
        </w:rPr>
        <w:t>la</w:t>
      </w:r>
      <w:r w:rsidRPr="000242DF">
        <w:rPr>
          <w:b/>
          <w:spacing w:val="-12"/>
        </w:rPr>
        <w:t xml:space="preserve"> </w:t>
      </w:r>
      <w:r w:rsidRPr="000242DF">
        <w:rPr>
          <w:b/>
        </w:rPr>
        <w:t>información</w:t>
      </w:r>
      <w:r w:rsidRPr="000242DF">
        <w:rPr>
          <w:b/>
          <w:spacing w:val="-12"/>
        </w:rPr>
        <w:t xml:space="preserve"> </w:t>
      </w:r>
      <w:r w:rsidRPr="000242DF">
        <w:rPr>
          <w:b/>
        </w:rPr>
        <w:t>de</w:t>
      </w:r>
      <w:r w:rsidRPr="000242DF">
        <w:rPr>
          <w:b/>
          <w:spacing w:val="-12"/>
        </w:rPr>
        <w:t xml:space="preserve"> </w:t>
      </w:r>
      <w:r w:rsidRPr="000242DF">
        <w:rPr>
          <w:b/>
        </w:rPr>
        <w:t>inteligencia</w:t>
      </w:r>
      <w:r w:rsidRPr="000242DF">
        <w:rPr>
          <w:b/>
          <w:spacing w:val="-13"/>
        </w:rPr>
        <w:t xml:space="preserve"> </w:t>
      </w:r>
      <w:r w:rsidRPr="000242DF">
        <w:rPr>
          <w:b/>
        </w:rPr>
        <w:t>y</w:t>
      </w:r>
      <w:r w:rsidRPr="000242DF">
        <w:rPr>
          <w:b/>
          <w:spacing w:val="-11"/>
        </w:rPr>
        <w:t xml:space="preserve"> </w:t>
      </w:r>
      <w:r w:rsidRPr="000242DF">
        <w:rPr>
          <w:b/>
        </w:rPr>
        <w:t>contrainteligencia</w:t>
      </w:r>
      <w:r w:rsidRPr="000242DF">
        <w:rPr>
          <w:b/>
          <w:spacing w:val="-11"/>
        </w:rPr>
        <w:t xml:space="preserve"> </w:t>
      </w:r>
      <w:r>
        <w:t>que</w:t>
      </w:r>
      <w:r w:rsidRPr="000242DF">
        <w:rPr>
          <w:spacing w:val="-12"/>
        </w:rPr>
        <w:t xml:space="preserve"> </w:t>
      </w:r>
      <w:r>
        <w:t>haya cumplido el término legal de reserva a partir de la fecha de recolección, y adelantar un proceso gradual de levantamiento de la reserva de archivos de seguridad, inteligencia y contrainteligencia</w:t>
      </w:r>
      <w:r w:rsidRPr="000242DF">
        <w:rPr>
          <w:spacing w:val="-7"/>
        </w:rPr>
        <w:t xml:space="preserve"> </w:t>
      </w:r>
      <w:r>
        <w:t>en</w:t>
      </w:r>
      <w:r w:rsidRPr="000242DF">
        <w:rPr>
          <w:spacing w:val="-5"/>
        </w:rPr>
        <w:t xml:space="preserve"> </w:t>
      </w:r>
      <w:r>
        <w:t>garantía</w:t>
      </w:r>
      <w:r w:rsidRPr="000242DF">
        <w:rPr>
          <w:spacing w:val="-5"/>
        </w:rPr>
        <w:t xml:space="preserve"> </w:t>
      </w:r>
      <w:r>
        <w:t>del</w:t>
      </w:r>
      <w:r w:rsidRPr="000242DF">
        <w:rPr>
          <w:spacing w:val="-3"/>
        </w:rPr>
        <w:t xml:space="preserve"> </w:t>
      </w:r>
      <w:r>
        <w:t>derecho</w:t>
      </w:r>
      <w:r w:rsidRPr="000242DF">
        <w:rPr>
          <w:spacing w:val="-5"/>
        </w:rPr>
        <w:t xml:space="preserve"> </w:t>
      </w:r>
      <w:r>
        <w:t>a</w:t>
      </w:r>
      <w:r w:rsidRPr="000242DF">
        <w:rPr>
          <w:spacing w:val="-5"/>
        </w:rPr>
        <w:t xml:space="preserve"> </w:t>
      </w:r>
      <w:r>
        <w:t>la</w:t>
      </w:r>
      <w:r w:rsidRPr="000242DF">
        <w:rPr>
          <w:spacing w:val="-5"/>
        </w:rPr>
        <w:t xml:space="preserve"> </w:t>
      </w:r>
      <w:r>
        <w:t>información.</w:t>
      </w:r>
      <w:r w:rsidRPr="000242DF">
        <w:rPr>
          <w:spacing w:val="-5"/>
        </w:rPr>
        <w:t xml:space="preserve"> </w:t>
      </w:r>
      <w:r>
        <w:t>Adicionalmente,</w:t>
      </w:r>
      <w:r w:rsidRPr="000242DF">
        <w:rPr>
          <w:spacing w:val="-5"/>
        </w:rPr>
        <w:t xml:space="preserve"> </w:t>
      </w:r>
      <w:r>
        <w:t>se</w:t>
      </w:r>
      <w:r w:rsidRPr="000242DF">
        <w:rPr>
          <w:spacing w:val="-5"/>
        </w:rPr>
        <w:t xml:space="preserve"> </w:t>
      </w:r>
      <w:r w:rsidRPr="000242DF">
        <w:rPr>
          <w:spacing w:val="-2"/>
        </w:rPr>
        <w:t>recomienda:</w:t>
      </w:r>
    </w:p>
    <w:p w:rsidR="003804AC" w:rsidRPr="000242DF" w:rsidRDefault="00AF18A5" w:rsidP="004A6EF4">
      <w:pPr>
        <w:pStyle w:val="Prrafodelista"/>
        <w:numPr>
          <w:ilvl w:val="0"/>
          <w:numId w:val="52"/>
        </w:numPr>
        <w:rPr>
          <w:rFonts w:ascii="Calibri" w:hAnsi="Calibri"/>
        </w:rPr>
      </w:pPr>
      <w:r>
        <w:t xml:space="preserve">Establecer </w:t>
      </w:r>
      <w:r w:rsidRPr="000242DF">
        <w:rPr>
          <w:b/>
        </w:rPr>
        <w:t xml:space="preserve">condiciones para la aplicación de la reserva a los archivos </w:t>
      </w:r>
      <w:r>
        <w:t>por ser de inteligencia o por razones de seguridad nacional de manera que la negativa deba</w:t>
      </w:r>
      <w:r w:rsidRPr="000242DF">
        <w:rPr>
          <w:spacing w:val="-13"/>
        </w:rPr>
        <w:t xml:space="preserve"> </w:t>
      </w:r>
      <w:r>
        <w:t>ser</w:t>
      </w:r>
      <w:r w:rsidRPr="000242DF">
        <w:rPr>
          <w:spacing w:val="-13"/>
        </w:rPr>
        <w:t xml:space="preserve"> </w:t>
      </w:r>
      <w:r>
        <w:t>evaluada</w:t>
      </w:r>
      <w:r w:rsidRPr="000242DF">
        <w:rPr>
          <w:spacing w:val="-13"/>
        </w:rPr>
        <w:t xml:space="preserve"> </w:t>
      </w:r>
      <w:r>
        <w:t>caso</w:t>
      </w:r>
      <w:r w:rsidRPr="000242DF">
        <w:rPr>
          <w:spacing w:val="-13"/>
        </w:rPr>
        <w:t xml:space="preserve"> </w:t>
      </w:r>
      <w:r>
        <w:t>a</w:t>
      </w:r>
      <w:r w:rsidRPr="000242DF">
        <w:rPr>
          <w:spacing w:val="-14"/>
        </w:rPr>
        <w:t xml:space="preserve"> </w:t>
      </w:r>
      <w:r>
        <w:t>caso,</w:t>
      </w:r>
      <w:r w:rsidRPr="000242DF">
        <w:rPr>
          <w:spacing w:val="-13"/>
        </w:rPr>
        <w:t xml:space="preserve"> </w:t>
      </w:r>
      <w:r>
        <w:t>de</w:t>
      </w:r>
      <w:r w:rsidRPr="000242DF">
        <w:rPr>
          <w:spacing w:val="-14"/>
        </w:rPr>
        <w:t xml:space="preserve"> </w:t>
      </w:r>
      <w:r>
        <w:t>manera</w:t>
      </w:r>
      <w:r w:rsidRPr="000242DF">
        <w:rPr>
          <w:spacing w:val="-14"/>
        </w:rPr>
        <w:t xml:space="preserve"> </w:t>
      </w:r>
      <w:r>
        <w:t>motivada</w:t>
      </w:r>
      <w:r w:rsidRPr="000242DF">
        <w:rPr>
          <w:spacing w:val="-13"/>
        </w:rPr>
        <w:t xml:space="preserve"> </w:t>
      </w:r>
      <w:r>
        <w:t>y</w:t>
      </w:r>
      <w:r w:rsidRPr="000242DF">
        <w:rPr>
          <w:spacing w:val="-13"/>
        </w:rPr>
        <w:t xml:space="preserve"> </w:t>
      </w:r>
      <w:r>
        <w:t>por</w:t>
      </w:r>
      <w:r w:rsidRPr="000242DF">
        <w:rPr>
          <w:spacing w:val="-14"/>
        </w:rPr>
        <w:t xml:space="preserve"> </w:t>
      </w:r>
      <w:r>
        <w:t>causales</w:t>
      </w:r>
      <w:r w:rsidRPr="000242DF">
        <w:rPr>
          <w:spacing w:val="-13"/>
        </w:rPr>
        <w:t xml:space="preserve"> </w:t>
      </w:r>
      <w:r>
        <w:t>precisas</w:t>
      </w:r>
      <w:r w:rsidRPr="000242DF">
        <w:rPr>
          <w:spacing w:val="-14"/>
        </w:rPr>
        <w:t xml:space="preserve"> </w:t>
      </w:r>
      <w:r>
        <w:t>de</w:t>
      </w:r>
      <w:r w:rsidRPr="000242DF">
        <w:rPr>
          <w:spacing w:val="-13"/>
        </w:rPr>
        <w:t xml:space="preserve"> </w:t>
      </w:r>
      <w:r>
        <w:t>acuerdo a los estándares internacionales en materia de acceso a información en casos de violaciones de derechos humanos.</w:t>
      </w:r>
    </w:p>
    <w:p w:rsidR="003804AC" w:rsidRPr="000242DF" w:rsidRDefault="00AF18A5" w:rsidP="004A6EF4">
      <w:pPr>
        <w:pStyle w:val="Prrafodelista"/>
        <w:numPr>
          <w:ilvl w:val="0"/>
          <w:numId w:val="52"/>
        </w:numPr>
        <w:rPr>
          <w:rFonts w:ascii="Calibri" w:hAnsi="Calibri"/>
        </w:rPr>
      </w:pPr>
      <w:r>
        <w:t xml:space="preserve">Implementar o activar un </w:t>
      </w:r>
      <w:r w:rsidRPr="000242DF">
        <w:rPr>
          <w:b/>
        </w:rPr>
        <w:t xml:space="preserve">mecanismo de control judicial de las decisiones de negativa </w:t>
      </w:r>
      <w:r>
        <w:t xml:space="preserve">a entregar información debido a reserva </w:t>
      </w:r>
      <w:r>
        <w:lastRenderedPageBreak/>
        <w:t>por razones de inteligencia o seguridad nacional</w:t>
      </w:r>
      <w:r w:rsidR="000242DF">
        <w:rPr>
          <w:rStyle w:val="Refdenotaalpie"/>
        </w:rPr>
        <w:footnoteReference w:id="1263"/>
      </w:r>
      <w:r>
        <w:t>.</w:t>
      </w:r>
    </w:p>
    <w:p w:rsidR="003804AC" w:rsidRDefault="00AF18A5" w:rsidP="004A6EF4">
      <w:pPr>
        <w:pStyle w:val="Prrafodelista"/>
        <w:numPr>
          <w:ilvl w:val="0"/>
          <w:numId w:val="52"/>
        </w:numPr>
      </w:pPr>
      <w:r>
        <w:t>A</w:t>
      </w:r>
      <w:r w:rsidRPr="000242DF">
        <w:rPr>
          <w:spacing w:val="-9"/>
        </w:rPr>
        <w:t xml:space="preserve"> </w:t>
      </w:r>
      <w:r>
        <w:t>la</w:t>
      </w:r>
      <w:r w:rsidRPr="000242DF">
        <w:rPr>
          <w:spacing w:val="-8"/>
        </w:rPr>
        <w:t xml:space="preserve"> </w:t>
      </w:r>
      <w:r>
        <w:t>Procuraduría</w:t>
      </w:r>
      <w:r w:rsidRPr="000242DF">
        <w:rPr>
          <w:spacing w:val="-8"/>
        </w:rPr>
        <w:t xml:space="preserve"> </w:t>
      </w:r>
      <w:r>
        <w:t>General</w:t>
      </w:r>
      <w:r w:rsidRPr="000242DF">
        <w:rPr>
          <w:spacing w:val="-8"/>
        </w:rPr>
        <w:t xml:space="preserve"> </w:t>
      </w:r>
      <w:r>
        <w:t>de</w:t>
      </w:r>
      <w:r w:rsidRPr="000242DF">
        <w:rPr>
          <w:spacing w:val="-9"/>
        </w:rPr>
        <w:t xml:space="preserve"> </w:t>
      </w:r>
      <w:r>
        <w:t>la</w:t>
      </w:r>
      <w:r w:rsidRPr="000242DF">
        <w:rPr>
          <w:spacing w:val="-9"/>
        </w:rPr>
        <w:t xml:space="preserve"> </w:t>
      </w:r>
      <w:r>
        <w:t>Nación,</w:t>
      </w:r>
      <w:r w:rsidRPr="000242DF">
        <w:rPr>
          <w:spacing w:val="-8"/>
        </w:rPr>
        <w:t xml:space="preserve"> </w:t>
      </w:r>
      <w:r w:rsidRPr="000242DF">
        <w:rPr>
          <w:b/>
        </w:rPr>
        <w:t>adoptar</w:t>
      </w:r>
      <w:r w:rsidRPr="000242DF">
        <w:rPr>
          <w:b/>
          <w:spacing w:val="-9"/>
        </w:rPr>
        <w:t xml:space="preserve"> </w:t>
      </w:r>
      <w:r w:rsidRPr="000242DF">
        <w:rPr>
          <w:b/>
        </w:rPr>
        <w:t>medidas</w:t>
      </w:r>
      <w:r w:rsidRPr="000242DF">
        <w:rPr>
          <w:b/>
          <w:spacing w:val="-8"/>
        </w:rPr>
        <w:t xml:space="preserve"> </w:t>
      </w:r>
      <w:r w:rsidRPr="000242DF">
        <w:rPr>
          <w:b/>
        </w:rPr>
        <w:t>para</w:t>
      </w:r>
      <w:r w:rsidRPr="000242DF">
        <w:rPr>
          <w:b/>
          <w:spacing w:val="-8"/>
        </w:rPr>
        <w:t xml:space="preserve"> </w:t>
      </w:r>
      <w:r w:rsidRPr="000242DF">
        <w:rPr>
          <w:b/>
        </w:rPr>
        <w:t>evitar</w:t>
      </w:r>
      <w:r w:rsidRPr="000242DF">
        <w:rPr>
          <w:b/>
          <w:spacing w:val="-9"/>
        </w:rPr>
        <w:t xml:space="preserve"> </w:t>
      </w:r>
      <w:r w:rsidRPr="000242DF">
        <w:rPr>
          <w:b/>
        </w:rPr>
        <w:t>el</w:t>
      </w:r>
      <w:r w:rsidRPr="000242DF">
        <w:rPr>
          <w:b/>
          <w:spacing w:val="-9"/>
        </w:rPr>
        <w:t xml:space="preserve"> </w:t>
      </w:r>
      <w:r w:rsidRPr="000242DF">
        <w:rPr>
          <w:b/>
        </w:rPr>
        <w:t xml:space="preserve">uso abusivo de la reserva de la información </w:t>
      </w:r>
      <w:r>
        <w:t>por parte de las entidades estatales, en general,</w:t>
      </w:r>
      <w:r w:rsidRPr="000242DF">
        <w:rPr>
          <w:spacing w:val="-4"/>
        </w:rPr>
        <w:t xml:space="preserve"> </w:t>
      </w:r>
      <w:r>
        <w:t>y</w:t>
      </w:r>
      <w:r w:rsidRPr="000242DF">
        <w:rPr>
          <w:spacing w:val="-1"/>
        </w:rPr>
        <w:t xml:space="preserve"> </w:t>
      </w:r>
      <w:r>
        <w:t>de</w:t>
      </w:r>
      <w:r w:rsidRPr="000242DF">
        <w:rPr>
          <w:spacing w:val="-1"/>
        </w:rPr>
        <w:t xml:space="preserve"> </w:t>
      </w:r>
      <w:r>
        <w:t>los</w:t>
      </w:r>
      <w:r w:rsidRPr="000242DF">
        <w:rPr>
          <w:spacing w:val="-1"/>
        </w:rPr>
        <w:t xml:space="preserve"> </w:t>
      </w:r>
      <w:r>
        <w:t>organismos</w:t>
      </w:r>
      <w:r w:rsidRPr="000242DF">
        <w:rPr>
          <w:spacing w:val="-1"/>
        </w:rPr>
        <w:t xml:space="preserve"> </w:t>
      </w:r>
      <w:r>
        <w:t>de</w:t>
      </w:r>
      <w:r w:rsidRPr="000242DF">
        <w:rPr>
          <w:spacing w:val="-1"/>
        </w:rPr>
        <w:t xml:space="preserve"> </w:t>
      </w:r>
      <w:r>
        <w:t>inteligencia</w:t>
      </w:r>
      <w:r w:rsidRPr="000242DF">
        <w:rPr>
          <w:spacing w:val="-1"/>
        </w:rPr>
        <w:t xml:space="preserve"> </w:t>
      </w:r>
      <w:r>
        <w:t>y</w:t>
      </w:r>
      <w:r w:rsidRPr="000242DF">
        <w:rPr>
          <w:spacing w:val="-1"/>
        </w:rPr>
        <w:t xml:space="preserve"> </w:t>
      </w:r>
      <w:r>
        <w:t>de</w:t>
      </w:r>
      <w:r w:rsidRPr="000242DF">
        <w:rPr>
          <w:spacing w:val="-2"/>
        </w:rPr>
        <w:t xml:space="preserve"> </w:t>
      </w:r>
      <w:r>
        <w:t>seguridad</w:t>
      </w:r>
      <w:r w:rsidRPr="000242DF">
        <w:rPr>
          <w:spacing w:val="-1"/>
        </w:rPr>
        <w:t xml:space="preserve"> </w:t>
      </w:r>
      <w:r>
        <w:t>del</w:t>
      </w:r>
      <w:r w:rsidRPr="000242DF">
        <w:rPr>
          <w:spacing w:val="-1"/>
        </w:rPr>
        <w:t xml:space="preserve"> </w:t>
      </w:r>
      <w:r>
        <w:t>Estado,</w:t>
      </w:r>
      <w:r w:rsidRPr="000242DF">
        <w:rPr>
          <w:spacing w:val="-1"/>
        </w:rPr>
        <w:t xml:space="preserve"> </w:t>
      </w:r>
      <w:r>
        <w:t>en</w:t>
      </w:r>
      <w:r w:rsidRPr="000242DF">
        <w:rPr>
          <w:spacing w:val="-3"/>
        </w:rPr>
        <w:t xml:space="preserve"> </w:t>
      </w:r>
      <w:r w:rsidRPr="000242DF">
        <w:rPr>
          <w:spacing w:val="-2"/>
        </w:rPr>
        <w:t>particular.</w:t>
      </w:r>
    </w:p>
    <w:p w:rsidR="003804AC" w:rsidRPr="000242DF" w:rsidRDefault="00AF18A5" w:rsidP="004A6EF4">
      <w:pPr>
        <w:pStyle w:val="Prrafodelista"/>
        <w:numPr>
          <w:ilvl w:val="0"/>
          <w:numId w:val="52"/>
        </w:numPr>
        <w:rPr>
          <w:rFonts w:ascii="Calibri" w:hAnsi="Calibri"/>
        </w:rPr>
      </w:pPr>
      <w:r>
        <w:t>Se recomienda al Presidente de Colombia solicitar al Presidente de Estados Unidos</w:t>
      </w:r>
      <w:r w:rsidRPr="000242DF">
        <w:rPr>
          <w:spacing w:val="40"/>
        </w:rPr>
        <w:t xml:space="preserve"> </w:t>
      </w:r>
      <w:r>
        <w:t>la desclasificación acelerada de documentos de agencias del gobierno de Estados</w:t>
      </w:r>
      <w:r w:rsidRPr="000242DF">
        <w:rPr>
          <w:spacing w:val="-10"/>
        </w:rPr>
        <w:t xml:space="preserve"> </w:t>
      </w:r>
      <w:r>
        <w:t>Unidos</w:t>
      </w:r>
      <w:r w:rsidRPr="000242DF">
        <w:rPr>
          <w:spacing w:val="-8"/>
        </w:rPr>
        <w:t xml:space="preserve"> </w:t>
      </w:r>
      <w:r>
        <w:t>relacionada</w:t>
      </w:r>
      <w:r w:rsidRPr="000242DF">
        <w:rPr>
          <w:spacing w:val="-8"/>
        </w:rPr>
        <w:t xml:space="preserve"> </w:t>
      </w:r>
      <w:r>
        <w:t>con</w:t>
      </w:r>
      <w:r w:rsidRPr="000242DF">
        <w:rPr>
          <w:spacing w:val="-7"/>
        </w:rPr>
        <w:t xml:space="preserve"> </w:t>
      </w:r>
      <w:r>
        <w:t>el</w:t>
      </w:r>
      <w:r w:rsidRPr="000242DF">
        <w:rPr>
          <w:spacing w:val="-9"/>
        </w:rPr>
        <w:t xml:space="preserve"> </w:t>
      </w:r>
      <w:r>
        <w:t>conflicto</w:t>
      </w:r>
      <w:r w:rsidRPr="000242DF">
        <w:rPr>
          <w:spacing w:val="-8"/>
        </w:rPr>
        <w:t xml:space="preserve"> </w:t>
      </w:r>
      <w:r>
        <w:t>armado</w:t>
      </w:r>
      <w:r w:rsidRPr="000242DF">
        <w:rPr>
          <w:spacing w:val="-7"/>
        </w:rPr>
        <w:t xml:space="preserve"> </w:t>
      </w:r>
      <w:r>
        <w:t>colombiano,</w:t>
      </w:r>
      <w:r w:rsidRPr="000242DF">
        <w:rPr>
          <w:spacing w:val="-8"/>
        </w:rPr>
        <w:t xml:space="preserve"> </w:t>
      </w:r>
      <w:r>
        <w:t>para</w:t>
      </w:r>
      <w:r w:rsidRPr="000242DF">
        <w:rPr>
          <w:spacing w:val="-8"/>
        </w:rPr>
        <w:t xml:space="preserve"> </w:t>
      </w:r>
      <w:r>
        <w:t>profundizar</w:t>
      </w:r>
      <w:r w:rsidRPr="000242DF">
        <w:rPr>
          <w:spacing w:val="-7"/>
        </w:rPr>
        <w:t xml:space="preserve"> </w:t>
      </w:r>
      <w:r w:rsidRPr="000242DF">
        <w:rPr>
          <w:spacing w:val="-5"/>
        </w:rPr>
        <w:t>en</w:t>
      </w:r>
      <w:bookmarkStart w:id="1646" w:name="_bookmark1427"/>
      <w:bookmarkEnd w:id="1646"/>
      <w:r w:rsidR="000242DF">
        <w:rPr>
          <w:spacing w:val="-5"/>
        </w:rPr>
        <w:t xml:space="preserve"> </w:t>
      </w:r>
      <w:r w:rsidRPr="000242DF">
        <w:rPr>
          <w:color w:val="212121"/>
        </w:rPr>
        <w:t>el esclarecimiento de violaciones de derechos humanos e infracciones al DIH poco documentadas. Como antecedente la Comisión entre su legado dejará pública la solicitud de desclasificación que realizó autónomamente durante su mandato y que puede</w:t>
      </w:r>
      <w:r w:rsidRPr="000242DF">
        <w:rPr>
          <w:color w:val="212121"/>
          <w:spacing w:val="-13"/>
        </w:rPr>
        <w:t xml:space="preserve"> </w:t>
      </w:r>
      <w:r w:rsidRPr="000242DF">
        <w:rPr>
          <w:color w:val="212121"/>
        </w:rPr>
        <w:t>ser</w:t>
      </w:r>
      <w:r w:rsidRPr="000242DF">
        <w:rPr>
          <w:color w:val="212121"/>
          <w:spacing w:val="-11"/>
        </w:rPr>
        <w:t xml:space="preserve"> </w:t>
      </w:r>
      <w:r w:rsidRPr="000242DF">
        <w:rPr>
          <w:color w:val="212121"/>
        </w:rPr>
        <w:t>la</w:t>
      </w:r>
      <w:r w:rsidRPr="000242DF">
        <w:rPr>
          <w:color w:val="212121"/>
          <w:spacing w:val="-11"/>
        </w:rPr>
        <w:t xml:space="preserve"> </w:t>
      </w:r>
      <w:r w:rsidRPr="000242DF">
        <w:rPr>
          <w:color w:val="212121"/>
        </w:rPr>
        <w:t>base</w:t>
      </w:r>
      <w:r w:rsidRPr="000242DF">
        <w:rPr>
          <w:color w:val="212121"/>
          <w:spacing w:val="-10"/>
        </w:rPr>
        <w:t xml:space="preserve"> </w:t>
      </w:r>
      <w:r w:rsidRPr="000242DF">
        <w:rPr>
          <w:color w:val="212121"/>
        </w:rPr>
        <w:t>de</w:t>
      </w:r>
      <w:r w:rsidRPr="000242DF">
        <w:rPr>
          <w:color w:val="212121"/>
          <w:spacing w:val="-10"/>
        </w:rPr>
        <w:t xml:space="preserve"> </w:t>
      </w:r>
      <w:r w:rsidRPr="000242DF">
        <w:rPr>
          <w:color w:val="212121"/>
        </w:rPr>
        <w:t>la</w:t>
      </w:r>
      <w:r w:rsidRPr="000242DF">
        <w:rPr>
          <w:color w:val="212121"/>
          <w:spacing w:val="-10"/>
        </w:rPr>
        <w:t xml:space="preserve"> </w:t>
      </w:r>
      <w:r w:rsidRPr="000242DF">
        <w:rPr>
          <w:color w:val="212121"/>
        </w:rPr>
        <w:t>solicitud</w:t>
      </w:r>
      <w:r w:rsidRPr="000242DF">
        <w:rPr>
          <w:color w:val="212121"/>
          <w:spacing w:val="-11"/>
        </w:rPr>
        <w:t xml:space="preserve"> </w:t>
      </w:r>
      <w:r w:rsidRPr="000242DF">
        <w:rPr>
          <w:color w:val="212121"/>
        </w:rPr>
        <w:t>del</w:t>
      </w:r>
      <w:r w:rsidRPr="000242DF">
        <w:rPr>
          <w:color w:val="212121"/>
          <w:spacing w:val="-9"/>
        </w:rPr>
        <w:t xml:space="preserve"> </w:t>
      </w:r>
      <w:r w:rsidRPr="000242DF">
        <w:rPr>
          <w:color w:val="212121"/>
        </w:rPr>
        <w:t>gobierno</w:t>
      </w:r>
      <w:r w:rsidRPr="000242DF">
        <w:rPr>
          <w:color w:val="212121"/>
          <w:spacing w:val="-10"/>
        </w:rPr>
        <w:t xml:space="preserve"> </w:t>
      </w:r>
      <w:r w:rsidRPr="000242DF">
        <w:rPr>
          <w:color w:val="212121"/>
        </w:rPr>
        <w:t>colombiano</w:t>
      </w:r>
      <w:r w:rsidRPr="000242DF">
        <w:rPr>
          <w:color w:val="212121"/>
          <w:spacing w:val="-10"/>
        </w:rPr>
        <w:t xml:space="preserve"> </w:t>
      </w:r>
      <w:r w:rsidRPr="000242DF">
        <w:rPr>
          <w:color w:val="212121"/>
        </w:rPr>
        <w:t>al</w:t>
      </w:r>
      <w:r w:rsidRPr="000242DF">
        <w:rPr>
          <w:color w:val="212121"/>
          <w:spacing w:val="-9"/>
        </w:rPr>
        <w:t xml:space="preserve"> </w:t>
      </w:r>
      <w:r w:rsidRPr="000242DF">
        <w:rPr>
          <w:color w:val="212121"/>
        </w:rPr>
        <w:t>gobierno</w:t>
      </w:r>
      <w:r w:rsidRPr="000242DF">
        <w:rPr>
          <w:color w:val="212121"/>
          <w:spacing w:val="-10"/>
        </w:rPr>
        <w:t xml:space="preserve"> </w:t>
      </w:r>
      <w:r w:rsidRPr="000242DF">
        <w:rPr>
          <w:color w:val="212121"/>
          <w:spacing w:val="-2"/>
        </w:rPr>
        <w:t>estadounidense.</w:t>
      </w:r>
    </w:p>
    <w:p w:rsidR="0011361F" w:rsidRDefault="00AF18A5" w:rsidP="000242DF">
      <w:r>
        <w:t>Corto</w:t>
      </w:r>
      <w:r>
        <w:rPr>
          <w:spacing w:val="-1"/>
        </w:rPr>
        <w:t xml:space="preserve"> </w:t>
      </w:r>
      <w:r>
        <w:rPr>
          <w:spacing w:val="-2"/>
        </w:rPr>
        <w:t>plazo</w:t>
      </w:r>
    </w:p>
    <w:p w:rsidR="003804AC" w:rsidRDefault="00AF18A5" w:rsidP="004A6EF4">
      <w:pPr>
        <w:pStyle w:val="Prrafodelista"/>
        <w:numPr>
          <w:ilvl w:val="0"/>
          <w:numId w:val="31"/>
        </w:numPr>
      </w:pPr>
      <w:r>
        <w:t xml:space="preserve">Al Congreso de la República </w:t>
      </w:r>
      <w:r w:rsidRPr="000242DF">
        <w:rPr>
          <w:b/>
        </w:rPr>
        <w:t>derogar la disposición de la ley de Inteligencia y Contrainteligencia que establece un término de reserva de treinta años</w:t>
      </w:r>
      <w:r>
        <w:t>, y mantener vigente</w:t>
      </w:r>
      <w:r w:rsidRPr="000242DF">
        <w:rPr>
          <w:spacing w:val="-1"/>
        </w:rPr>
        <w:t xml:space="preserve"> </w:t>
      </w:r>
      <w:r>
        <w:t>como</w:t>
      </w:r>
      <w:r w:rsidRPr="000242DF">
        <w:rPr>
          <w:spacing w:val="-2"/>
        </w:rPr>
        <w:t xml:space="preserve"> </w:t>
      </w:r>
      <w:r>
        <w:t>único</w:t>
      </w:r>
      <w:r w:rsidRPr="000242DF">
        <w:rPr>
          <w:spacing w:val="-1"/>
        </w:rPr>
        <w:t xml:space="preserve"> </w:t>
      </w:r>
      <w:r>
        <w:t>plazo</w:t>
      </w:r>
      <w:r w:rsidRPr="000242DF">
        <w:rPr>
          <w:spacing w:val="-2"/>
        </w:rPr>
        <w:t xml:space="preserve"> </w:t>
      </w:r>
      <w:r>
        <w:t>máximo</w:t>
      </w:r>
      <w:r w:rsidRPr="000242DF">
        <w:rPr>
          <w:spacing w:val="-1"/>
        </w:rPr>
        <w:t xml:space="preserve"> </w:t>
      </w:r>
      <w:r>
        <w:t>de</w:t>
      </w:r>
      <w:r w:rsidRPr="000242DF">
        <w:rPr>
          <w:spacing w:val="-2"/>
        </w:rPr>
        <w:t xml:space="preserve"> </w:t>
      </w:r>
      <w:r>
        <w:t>reserva</w:t>
      </w:r>
      <w:r w:rsidRPr="000242DF">
        <w:rPr>
          <w:spacing w:val="-1"/>
        </w:rPr>
        <w:t xml:space="preserve"> </w:t>
      </w:r>
      <w:r>
        <w:t>el</w:t>
      </w:r>
      <w:r w:rsidRPr="000242DF">
        <w:rPr>
          <w:spacing w:val="-2"/>
        </w:rPr>
        <w:t xml:space="preserve"> </w:t>
      </w:r>
      <w:r>
        <w:t>de</w:t>
      </w:r>
      <w:r w:rsidRPr="000242DF">
        <w:rPr>
          <w:spacing w:val="-1"/>
        </w:rPr>
        <w:t xml:space="preserve"> </w:t>
      </w:r>
      <w:r>
        <w:t>quince</w:t>
      </w:r>
      <w:r w:rsidRPr="000242DF">
        <w:rPr>
          <w:spacing w:val="-2"/>
        </w:rPr>
        <w:t xml:space="preserve"> </w:t>
      </w:r>
      <w:r>
        <w:t>años,</w:t>
      </w:r>
      <w:r w:rsidRPr="000242DF">
        <w:rPr>
          <w:spacing w:val="-1"/>
        </w:rPr>
        <w:t xml:space="preserve"> </w:t>
      </w:r>
      <w:r>
        <w:t>no</w:t>
      </w:r>
      <w:r w:rsidRPr="000242DF">
        <w:rPr>
          <w:spacing w:val="-2"/>
        </w:rPr>
        <w:t xml:space="preserve"> </w:t>
      </w:r>
      <w:r>
        <w:t>prorrogable,</w:t>
      </w:r>
      <w:r w:rsidRPr="000242DF">
        <w:rPr>
          <w:spacing w:val="-1"/>
        </w:rPr>
        <w:t xml:space="preserve"> </w:t>
      </w:r>
      <w:r>
        <w:t>establecido en</w:t>
      </w:r>
      <w:r w:rsidRPr="000242DF">
        <w:rPr>
          <w:spacing w:val="-8"/>
        </w:rPr>
        <w:t xml:space="preserve"> </w:t>
      </w:r>
      <w:r>
        <w:t>la</w:t>
      </w:r>
      <w:r w:rsidRPr="000242DF">
        <w:rPr>
          <w:spacing w:val="-9"/>
        </w:rPr>
        <w:t xml:space="preserve"> </w:t>
      </w:r>
      <w:r>
        <w:t>Ley</w:t>
      </w:r>
      <w:r w:rsidRPr="000242DF">
        <w:rPr>
          <w:spacing w:val="-8"/>
        </w:rPr>
        <w:t xml:space="preserve"> </w:t>
      </w:r>
      <w:r>
        <w:t>de</w:t>
      </w:r>
      <w:r w:rsidRPr="000242DF">
        <w:rPr>
          <w:spacing w:val="-10"/>
        </w:rPr>
        <w:t xml:space="preserve"> </w:t>
      </w:r>
      <w:r>
        <w:t>transparencia</w:t>
      </w:r>
      <w:r w:rsidRPr="000242DF">
        <w:rPr>
          <w:spacing w:val="-8"/>
        </w:rPr>
        <w:t xml:space="preserve"> </w:t>
      </w:r>
      <w:r>
        <w:t>y</w:t>
      </w:r>
      <w:r w:rsidRPr="000242DF">
        <w:rPr>
          <w:spacing w:val="-8"/>
        </w:rPr>
        <w:t xml:space="preserve"> </w:t>
      </w:r>
      <w:r>
        <w:t>del</w:t>
      </w:r>
      <w:r w:rsidRPr="000242DF">
        <w:rPr>
          <w:spacing w:val="-8"/>
        </w:rPr>
        <w:t xml:space="preserve"> </w:t>
      </w:r>
      <w:r>
        <w:t>Derecho</w:t>
      </w:r>
      <w:r w:rsidRPr="000242DF">
        <w:rPr>
          <w:spacing w:val="-8"/>
        </w:rPr>
        <w:t xml:space="preserve"> </w:t>
      </w:r>
      <w:r>
        <w:t>de</w:t>
      </w:r>
      <w:r w:rsidRPr="000242DF">
        <w:rPr>
          <w:spacing w:val="-8"/>
        </w:rPr>
        <w:t xml:space="preserve"> </w:t>
      </w:r>
      <w:r>
        <w:t>Acceso</w:t>
      </w:r>
      <w:r w:rsidRPr="000242DF">
        <w:rPr>
          <w:spacing w:val="-8"/>
        </w:rPr>
        <w:t xml:space="preserve"> </w:t>
      </w:r>
      <w:r>
        <w:t>a</w:t>
      </w:r>
      <w:r w:rsidRPr="000242DF">
        <w:rPr>
          <w:spacing w:val="-9"/>
        </w:rPr>
        <w:t xml:space="preserve"> </w:t>
      </w:r>
      <w:r>
        <w:t>la</w:t>
      </w:r>
      <w:r w:rsidRPr="000242DF">
        <w:rPr>
          <w:spacing w:val="-9"/>
        </w:rPr>
        <w:t xml:space="preserve"> </w:t>
      </w:r>
      <w:r>
        <w:t>Información</w:t>
      </w:r>
      <w:r w:rsidRPr="000242DF">
        <w:rPr>
          <w:spacing w:val="-9"/>
        </w:rPr>
        <w:t xml:space="preserve"> </w:t>
      </w:r>
      <w:r>
        <w:t>Pública.</w:t>
      </w:r>
      <w:r w:rsidRPr="000242DF">
        <w:rPr>
          <w:spacing w:val="-8"/>
        </w:rPr>
        <w:t xml:space="preserve"> </w:t>
      </w:r>
      <w:r>
        <w:t>Mientras</w:t>
      </w:r>
      <w:r w:rsidRPr="000242DF">
        <w:rPr>
          <w:spacing w:val="-8"/>
        </w:rPr>
        <w:t xml:space="preserve"> </w:t>
      </w:r>
      <w:r>
        <w:t xml:space="preserve">tanto a la Rama Judicial, interpretar que el término máximo de reserva es el de la Ley de Transparencia, de 15 años, por ser posterior y </w:t>
      </w:r>
      <w:r w:rsidRPr="000242DF">
        <w:rPr>
          <w:i/>
        </w:rPr>
        <w:t xml:space="preserve">pro </w:t>
      </w:r>
      <w:proofErr w:type="spellStart"/>
      <w:r w:rsidRPr="000242DF">
        <w:rPr>
          <w:i/>
        </w:rPr>
        <w:t>personae</w:t>
      </w:r>
      <w:proofErr w:type="spellEnd"/>
      <w:r>
        <w:t>.</w:t>
      </w:r>
    </w:p>
    <w:p w:rsidR="0011361F" w:rsidRDefault="00AF18A5" w:rsidP="004A5249">
      <w:r>
        <w:lastRenderedPageBreak/>
        <w:t>Corto</w:t>
      </w:r>
      <w:r>
        <w:rPr>
          <w:spacing w:val="-1"/>
        </w:rPr>
        <w:t xml:space="preserve"> </w:t>
      </w:r>
      <w:r>
        <w:rPr>
          <w:spacing w:val="-2"/>
        </w:rPr>
        <w:t>plazo</w:t>
      </w:r>
    </w:p>
    <w:p w:rsidR="003804AC" w:rsidRDefault="00AF18A5" w:rsidP="004A6EF4">
      <w:pPr>
        <w:pStyle w:val="Prrafodelista"/>
        <w:numPr>
          <w:ilvl w:val="0"/>
          <w:numId w:val="31"/>
        </w:numPr>
      </w:pPr>
      <w:r>
        <w:t>Al Congreso de la República, al Presidente de la República, a la fuerza pública y Organismos de Seguridad e Inteligencia derogar el Decreto 2149 de 2017</w:t>
      </w:r>
      <w:r w:rsidR="004A5249">
        <w:rPr>
          <w:rStyle w:val="Refdenotaalpie"/>
        </w:rPr>
        <w:footnoteReference w:id="1264"/>
      </w:r>
      <w:r>
        <w:t xml:space="preserve"> y realizar los </w:t>
      </w:r>
      <w:r w:rsidRPr="004A5249">
        <w:rPr>
          <w:b/>
        </w:rPr>
        <w:t>ajustes</w:t>
      </w:r>
      <w:r w:rsidRPr="004A5249">
        <w:rPr>
          <w:b/>
          <w:spacing w:val="-15"/>
        </w:rPr>
        <w:t xml:space="preserve"> </w:t>
      </w:r>
      <w:r w:rsidRPr="004A5249">
        <w:rPr>
          <w:b/>
        </w:rPr>
        <w:t>normativos</w:t>
      </w:r>
      <w:r w:rsidRPr="004A5249">
        <w:rPr>
          <w:b/>
          <w:spacing w:val="-15"/>
        </w:rPr>
        <w:t xml:space="preserve"> </w:t>
      </w:r>
      <w:r w:rsidRPr="004A5249">
        <w:rPr>
          <w:b/>
        </w:rPr>
        <w:t>e</w:t>
      </w:r>
      <w:r w:rsidRPr="004A5249">
        <w:rPr>
          <w:b/>
          <w:spacing w:val="-15"/>
        </w:rPr>
        <w:t xml:space="preserve"> </w:t>
      </w:r>
      <w:r w:rsidRPr="004A5249">
        <w:rPr>
          <w:b/>
        </w:rPr>
        <w:t>institucionales</w:t>
      </w:r>
      <w:r w:rsidRPr="004A5249">
        <w:rPr>
          <w:b/>
          <w:spacing w:val="-15"/>
        </w:rPr>
        <w:t xml:space="preserve"> </w:t>
      </w:r>
      <w:r w:rsidRPr="004A5249">
        <w:rPr>
          <w:b/>
        </w:rPr>
        <w:t>al</w:t>
      </w:r>
      <w:r w:rsidRPr="004A5249">
        <w:rPr>
          <w:b/>
          <w:spacing w:val="-15"/>
        </w:rPr>
        <w:t xml:space="preserve"> </w:t>
      </w:r>
      <w:r w:rsidRPr="004A5249">
        <w:rPr>
          <w:b/>
        </w:rPr>
        <w:t>sistema</w:t>
      </w:r>
      <w:r w:rsidRPr="004A5249">
        <w:rPr>
          <w:b/>
          <w:spacing w:val="-15"/>
        </w:rPr>
        <w:t xml:space="preserve"> </w:t>
      </w:r>
      <w:r w:rsidRPr="004A5249">
        <w:rPr>
          <w:b/>
        </w:rPr>
        <w:t>de</w:t>
      </w:r>
      <w:r w:rsidRPr="004A5249">
        <w:rPr>
          <w:b/>
          <w:spacing w:val="-15"/>
        </w:rPr>
        <w:t xml:space="preserve"> </w:t>
      </w:r>
      <w:r w:rsidRPr="004A5249">
        <w:rPr>
          <w:b/>
        </w:rPr>
        <w:t>depuración</w:t>
      </w:r>
      <w:r w:rsidRPr="004A5249">
        <w:rPr>
          <w:b/>
          <w:spacing w:val="-15"/>
        </w:rPr>
        <w:t xml:space="preserve"> </w:t>
      </w:r>
      <w:r w:rsidRPr="004A5249">
        <w:rPr>
          <w:b/>
        </w:rPr>
        <w:t>de</w:t>
      </w:r>
      <w:r w:rsidRPr="004A5249">
        <w:rPr>
          <w:b/>
          <w:spacing w:val="-15"/>
        </w:rPr>
        <w:t xml:space="preserve"> </w:t>
      </w:r>
      <w:r w:rsidRPr="004A5249">
        <w:rPr>
          <w:b/>
        </w:rPr>
        <w:t>archivos</w:t>
      </w:r>
      <w:r w:rsidRPr="004A5249">
        <w:rPr>
          <w:b/>
          <w:spacing w:val="-15"/>
        </w:rPr>
        <w:t xml:space="preserve"> </w:t>
      </w:r>
      <w:r w:rsidRPr="004A5249">
        <w:rPr>
          <w:b/>
        </w:rPr>
        <w:t>de</w:t>
      </w:r>
      <w:r w:rsidRPr="004A5249">
        <w:rPr>
          <w:b/>
          <w:spacing w:val="-14"/>
        </w:rPr>
        <w:t xml:space="preserve"> </w:t>
      </w:r>
      <w:r w:rsidRPr="004A5249">
        <w:rPr>
          <w:b/>
        </w:rPr>
        <w:t xml:space="preserve">inteligencia y contrainteligencia </w:t>
      </w:r>
      <w:r>
        <w:t>necesarios para la adopción de las recomendaciones del informe de la Comisión Asesora para la Depuración de Datos y Archivos de inteligencia y contrainteligencia, entregado en 2016. Lo anterior implica:</w:t>
      </w:r>
    </w:p>
    <w:p w:rsidR="003804AC" w:rsidRDefault="00AF18A5" w:rsidP="004A6EF4">
      <w:pPr>
        <w:pStyle w:val="Prrafodelista"/>
        <w:numPr>
          <w:ilvl w:val="0"/>
          <w:numId w:val="53"/>
        </w:numPr>
      </w:pPr>
      <w:r w:rsidRPr="004A5249">
        <w:rPr>
          <w:b/>
        </w:rPr>
        <w:t xml:space="preserve">Suspender de manera inmediata el proceso de depuración actual </w:t>
      </w:r>
      <w:r>
        <w:t>que se lleva a cabo por disposición del decreto 2149 de 2017 y a instancias del Sistema Nacional de Depuración(SND)</w:t>
      </w:r>
      <w:r w:rsidR="004A5249">
        <w:rPr>
          <w:rStyle w:val="Refdenotaalpie"/>
        </w:rPr>
        <w:footnoteReference w:id="1265"/>
      </w:r>
      <w:r w:rsidR="004A5249">
        <w:t xml:space="preserve"> </w:t>
      </w:r>
    </w:p>
    <w:p w:rsidR="0011361F" w:rsidRDefault="00AF18A5" w:rsidP="004A6EF4">
      <w:pPr>
        <w:pStyle w:val="Prrafodelista"/>
        <w:numPr>
          <w:ilvl w:val="0"/>
          <w:numId w:val="53"/>
        </w:numPr>
      </w:pPr>
      <w:r>
        <w:t xml:space="preserve">Crear una </w:t>
      </w:r>
      <w:r w:rsidRPr="004A5249">
        <w:rPr>
          <w:b/>
        </w:rPr>
        <w:t>instancia de depuración de carácter civil</w:t>
      </w:r>
      <w:r>
        <w:t>, autónomo, e independiente y mantener espacios de participación de la sociedad civil, incluyendo las organizaciones de</w:t>
      </w:r>
      <w:r w:rsidR="004A5249">
        <w:t xml:space="preserve"> </w:t>
      </w:r>
      <w:r>
        <w:t>víctimas.</w:t>
      </w:r>
    </w:p>
    <w:p w:rsidR="003804AC" w:rsidRDefault="00AF18A5" w:rsidP="004A6EF4">
      <w:pPr>
        <w:pStyle w:val="Prrafodelista"/>
        <w:numPr>
          <w:ilvl w:val="0"/>
          <w:numId w:val="53"/>
        </w:numPr>
      </w:pPr>
      <w:bookmarkStart w:id="1647" w:name="_bookmark1428"/>
      <w:bookmarkStart w:id="1648" w:name="_bookmark1429"/>
      <w:bookmarkEnd w:id="1647"/>
      <w:bookmarkEnd w:id="1648"/>
      <w:r>
        <w:t>Adoptar todas las medidas necesarias para garantizar la preservación de los archivos de derechos humanos o aquellos que tengan valor histórico.</w:t>
      </w:r>
    </w:p>
    <w:p w:rsidR="003804AC" w:rsidRDefault="00AF18A5" w:rsidP="004A6EF4">
      <w:pPr>
        <w:pStyle w:val="Prrafodelista"/>
        <w:numPr>
          <w:ilvl w:val="0"/>
          <w:numId w:val="53"/>
        </w:numPr>
      </w:pPr>
      <w:r>
        <w:t>Con</w:t>
      </w:r>
      <w:r w:rsidRPr="004A5249">
        <w:rPr>
          <w:spacing w:val="-7"/>
        </w:rPr>
        <w:t xml:space="preserve"> </w:t>
      </w:r>
      <w:r>
        <w:t>la</w:t>
      </w:r>
      <w:r w:rsidRPr="004A5249">
        <w:rPr>
          <w:spacing w:val="-7"/>
        </w:rPr>
        <w:t xml:space="preserve"> </w:t>
      </w:r>
      <w:r>
        <w:t>suspensión</w:t>
      </w:r>
      <w:r w:rsidRPr="004A5249">
        <w:rPr>
          <w:spacing w:val="-7"/>
        </w:rPr>
        <w:t xml:space="preserve"> </w:t>
      </w:r>
      <w:r>
        <w:t>de</w:t>
      </w:r>
      <w:r w:rsidRPr="004A5249">
        <w:rPr>
          <w:spacing w:val="-7"/>
        </w:rPr>
        <w:t xml:space="preserve"> </w:t>
      </w:r>
      <w:r>
        <w:t>la</w:t>
      </w:r>
      <w:r w:rsidRPr="004A5249">
        <w:rPr>
          <w:spacing w:val="-7"/>
        </w:rPr>
        <w:t xml:space="preserve"> </w:t>
      </w:r>
      <w:r>
        <w:t>depuración,</w:t>
      </w:r>
      <w:r w:rsidRPr="004A5249">
        <w:rPr>
          <w:spacing w:val="-7"/>
        </w:rPr>
        <w:t xml:space="preserve"> </w:t>
      </w:r>
      <w:r>
        <w:t>disponer</w:t>
      </w:r>
      <w:r w:rsidRPr="004A5249">
        <w:rPr>
          <w:spacing w:val="-7"/>
        </w:rPr>
        <w:t xml:space="preserve"> </w:t>
      </w:r>
      <w:r>
        <w:t>el</w:t>
      </w:r>
      <w:r w:rsidRPr="004A5249">
        <w:rPr>
          <w:spacing w:val="-6"/>
        </w:rPr>
        <w:t xml:space="preserve"> </w:t>
      </w:r>
      <w:r w:rsidRPr="004A5249">
        <w:rPr>
          <w:b/>
        </w:rPr>
        <w:t>inicio</w:t>
      </w:r>
      <w:r w:rsidRPr="004A5249">
        <w:rPr>
          <w:b/>
          <w:spacing w:val="-7"/>
        </w:rPr>
        <w:t xml:space="preserve"> </w:t>
      </w:r>
      <w:r w:rsidRPr="004A5249">
        <w:rPr>
          <w:b/>
        </w:rPr>
        <w:t>de</w:t>
      </w:r>
      <w:r w:rsidRPr="004A5249">
        <w:rPr>
          <w:b/>
          <w:spacing w:val="-7"/>
        </w:rPr>
        <w:t xml:space="preserve"> </w:t>
      </w:r>
      <w:r w:rsidRPr="004A5249">
        <w:rPr>
          <w:b/>
        </w:rPr>
        <w:t>una</w:t>
      </w:r>
      <w:r w:rsidRPr="004A5249">
        <w:rPr>
          <w:b/>
          <w:spacing w:val="-6"/>
        </w:rPr>
        <w:t xml:space="preserve"> </w:t>
      </w:r>
      <w:r w:rsidRPr="004A5249">
        <w:rPr>
          <w:b/>
        </w:rPr>
        <w:t>evaluación</w:t>
      </w:r>
      <w:r w:rsidRPr="004A5249">
        <w:rPr>
          <w:b/>
          <w:spacing w:val="-9"/>
        </w:rPr>
        <w:t xml:space="preserve"> </w:t>
      </w:r>
      <w:r w:rsidRPr="004A5249">
        <w:rPr>
          <w:b/>
        </w:rPr>
        <w:t>del proceso</w:t>
      </w:r>
      <w:r w:rsidRPr="004A5249">
        <w:rPr>
          <w:b/>
          <w:spacing w:val="-1"/>
        </w:rPr>
        <w:t xml:space="preserve"> </w:t>
      </w:r>
      <w:r w:rsidRPr="004A5249">
        <w:rPr>
          <w:b/>
        </w:rPr>
        <w:t>de</w:t>
      </w:r>
      <w:r w:rsidRPr="004A5249">
        <w:rPr>
          <w:b/>
          <w:spacing w:val="-3"/>
        </w:rPr>
        <w:t xml:space="preserve"> </w:t>
      </w:r>
      <w:r w:rsidRPr="004A5249">
        <w:rPr>
          <w:b/>
        </w:rPr>
        <w:t>depuración</w:t>
      </w:r>
      <w:r w:rsidRPr="004A5249">
        <w:rPr>
          <w:b/>
          <w:spacing w:val="-3"/>
        </w:rPr>
        <w:t xml:space="preserve"> </w:t>
      </w:r>
      <w:r w:rsidRPr="004A5249">
        <w:rPr>
          <w:b/>
        </w:rPr>
        <w:t>adelantado</w:t>
      </w:r>
      <w:r w:rsidRPr="004A5249">
        <w:rPr>
          <w:b/>
          <w:spacing w:val="-2"/>
        </w:rPr>
        <w:t xml:space="preserve"> </w:t>
      </w:r>
      <w:r>
        <w:t>hasta</w:t>
      </w:r>
      <w:r w:rsidRPr="004A5249">
        <w:rPr>
          <w:spacing w:val="-2"/>
        </w:rPr>
        <w:t xml:space="preserve"> </w:t>
      </w:r>
      <w:r>
        <w:t>la</w:t>
      </w:r>
      <w:r w:rsidRPr="004A5249">
        <w:rPr>
          <w:spacing w:val="-2"/>
        </w:rPr>
        <w:t xml:space="preserve"> </w:t>
      </w:r>
      <w:r>
        <w:t>fecha.</w:t>
      </w:r>
      <w:r w:rsidRPr="004A5249">
        <w:rPr>
          <w:spacing w:val="-1"/>
        </w:rPr>
        <w:t xml:space="preserve"> </w:t>
      </w:r>
      <w:r>
        <w:t>Encargar</w:t>
      </w:r>
      <w:r w:rsidRPr="004A5249">
        <w:rPr>
          <w:spacing w:val="-2"/>
        </w:rPr>
        <w:t xml:space="preserve"> </w:t>
      </w:r>
      <w:r>
        <w:t>esta</w:t>
      </w:r>
      <w:r w:rsidRPr="004A5249">
        <w:rPr>
          <w:spacing w:val="-2"/>
        </w:rPr>
        <w:t xml:space="preserve"> </w:t>
      </w:r>
      <w:r>
        <w:t>evaluación,</w:t>
      </w:r>
      <w:r w:rsidRPr="004A5249">
        <w:rPr>
          <w:spacing w:val="-1"/>
        </w:rPr>
        <w:t xml:space="preserve"> </w:t>
      </w:r>
      <w:r>
        <w:t>ya</w:t>
      </w:r>
      <w:r w:rsidRPr="004A5249">
        <w:rPr>
          <w:spacing w:val="-2"/>
        </w:rPr>
        <w:t xml:space="preserve"> </w:t>
      </w:r>
      <w:r>
        <w:t>sea a i) un ente evaluador, de carácter civil, independiente, que incluya la participación de</w:t>
      </w:r>
      <w:r w:rsidRPr="004A5249">
        <w:rPr>
          <w:spacing w:val="-4"/>
        </w:rPr>
        <w:t xml:space="preserve"> </w:t>
      </w:r>
      <w:r>
        <w:t>organizaciones</w:t>
      </w:r>
      <w:r w:rsidRPr="004A5249">
        <w:rPr>
          <w:spacing w:val="-4"/>
        </w:rPr>
        <w:t xml:space="preserve"> </w:t>
      </w:r>
      <w:r>
        <w:t>de</w:t>
      </w:r>
      <w:r w:rsidRPr="004A5249">
        <w:rPr>
          <w:spacing w:val="-6"/>
        </w:rPr>
        <w:t xml:space="preserve"> </w:t>
      </w:r>
      <w:r>
        <w:t>derechos</w:t>
      </w:r>
      <w:r w:rsidRPr="004A5249">
        <w:rPr>
          <w:spacing w:val="-4"/>
        </w:rPr>
        <w:t xml:space="preserve"> </w:t>
      </w:r>
      <w:r>
        <w:t>humanos</w:t>
      </w:r>
      <w:r w:rsidRPr="004A5249">
        <w:rPr>
          <w:spacing w:val="-4"/>
        </w:rPr>
        <w:t xml:space="preserve"> </w:t>
      </w:r>
      <w:r>
        <w:t>o</w:t>
      </w:r>
      <w:r w:rsidRPr="004A5249">
        <w:rPr>
          <w:spacing w:val="-5"/>
        </w:rPr>
        <w:t xml:space="preserve"> </w:t>
      </w:r>
      <w:r>
        <w:t>a</w:t>
      </w:r>
      <w:r w:rsidRPr="004A5249">
        <w:rPr>
          <w:spacing w:val="-4"/>
        </w:rPr>
        <w:t xml:space="preserve"> </w:t>
      </w:r>
      <w:proofErr w:type="spellStart"/>
      <w:r>
        <w:t>ii</w:t>
      </w:r>
      <w:proofErr w:type="spellEnd"/>
      <w:r>
        <w:t>)</w:t>
      </w:r>
      <w:r w:rsidRPr="004A5249">
        <w:rPr>
          <w:spacing w:val="-5"/>
        </w:rPr>
        <w:t xml:space="preserve"> </w:t>
      </w:r>
      <w:r>
        <w:t>la</w:t>
      </w:r>
      <w:r w:rsidRPr="004A5249">
        <w:rPr>
          <w:spacing w:val="-6"/>
        </w:rPr>
        <w:t xml:space="preserve"> </w:t>
      </w:r>
      <w:r>
        <w:t>instancia</w:t>
      </w:r>
      <w:r w:rsidRPr="004A5249">
        <w:rPr>
          <w:spacing w:val="-6"/>
        </w:rPr>
        <w:t xml:space="preserve"> </w:t>
      </w:r>
      <w:r>
        <w:t>de</w:t>
      </w:r>
      <w:r w:rsidRPr="004A5249">
        <w:rPr>
          <w:spacing w:val="-6"/>
        </w:rPr>
        <w:t xml:space="preserve"> </w:t>
      </w:r>
      <w:r>
        <w:t>depuración</w:t>
      </w:r>
      <w:r w:rsidRPr="004A5249">
        <w:rPr>
          <w:spacing w:val="-6"/>
        </w:rPr>
        <w:t xml:space="preserve"> </w:t>
      </w:r>
      <w:r>
        <w:t>prevista</w:t>
      </w:r>
      <w:r w:rsidRPr="004A5249">
        <w:rPr>
          <w:spacing w:val="-4"/>
        </w:rPr>
        <w:t xml:space="preserve"> </w:t>
      </w:r>
      <w:r>
        <w:t xml:space="preserve">en el informe de la Comisión Asesora para la </w:t>
      </w:r>
      <w:r>
        <w:lastRenderedPageBreak/>
        <w:t>Depuración. En desarrollo de esta, mantener espacios de participación de la sociedad civil, incluyendo organizaciones de víctimas.</w:t>
      </w:r>
    </w:p>
    <w:p w:rsidR="0011361F" w:rsidRDefault="00AF18A5" w:rsidP="004A5249">
      <w:r>
        <w:t>Corto</w:t>
      </w:r>
      <w:r>
        <w:rPr>
          <w:spacing w:val="-1"/>
        </w:rPr>
        <w:t xml:space="preserve"> </w:t>
      </w:r>
      <w:r>
        <w:rPr>
          <w:spacing w:val="-2"/>
        </w:rPr>
        <w:t>plazo</w:t>
      </w:r>
    </w:p>
    <w:p w:rsidR="003804AC" w:rsidRDefault="00AF18A5" w:rsidP="004A6EF4">
      <w:pPr>
        <w:pStyle w:val="Prrafodelista"/>
        <w:numPr>
          <w:ilvl w:val="0"/>
          <w:numId w:val="31"/>
        </w:numPr>
      </w:pPr>
      <w:r>
        <w:t xml:space="preserve">A la Jurisdicción Especial para la Paz, ordenar o ampliar, según el caso, las medidas cautelares necesarias para </w:t>
      </w:r>
      <w:r w:rsidRPr="004A5249">
        <w:rPr>
          <w:b/>
        </w:rPr>
        <w:t xml:space="preserve">proteger, preservar y garantizar el acceso a los archivos </w:t>
      </w:r>
      <w:r>
        <w:t xml:space="preserve">identificados por la Comisión como </w:t>
      </w:r>
      <w:r w:rsidRPr="004A5249">
        <w:rPr>
          <w:i/>
        </w:rPr>
        <w:t xml:space="preserve">información, documentos y archivos de derechos humanos, memoria histórica y conflicto armado, </w:t>
      </w:r>
      <w:r>
        <w:t>en particular los correspondientes a (i) la Brigada de Institutos Militares; (</w:t>
      </w:r>
      <w:proofErr w:type="spellStart"/>
      <w:r>
        <w:t>ii</w:t>
      </w:r>
      <w:proofErr w:type="spellEnd"/>
      <w:r>
        <w:t>) el Batallón de Inteligencia y Contrainteligencia Gr. Ricardo Charry Solano, de la Brigada XX del Ejército Nacional; (</w:t>
      </w:r>
      <w:proofErr w:type="spellStart"/>
      <w:r>
        <w:t>iii</w:t>
      </w:r>
      <w:proofErr w:type="spellEnd"/>
      <w:r>
        <w:t>) la Red No. 7 de la Armada Nacional; y (</w:t>
      </w:r>
      <w:proofErr w:type="spellStart"/>
      <w:r>
        <w:t>iv</w:t>
      </w:r>
      <w:proofErr w:type="spellEnd"/>
      <w:r>
        <w:t>) el Departamento Administrativo de Seguridad (DAS).</w:t>
      </w:r>
    </w:p>
    <w:p w:rsidR="0011361F" w:rsidRDefault="00AF18A5" w:rsidP="004A6EF4">
      <w:pPr>
        <w:pStyle w:val="Ttulo3"/>
        <w:numPr>
          <w:ilvl w:val="1"/>
          <w:numId w:val="28"/>
        </w:numPr>
      </w:pPr>
      <w:bookmarkStart w:id="1649" w:name="6.4._Empresas_de_seguridad_privada_y_con"/>
      <w:bookmarkStart w:id="1650" w:name="_Toc112399712"/>
      <w:bookmarkEnd w:id="1649"/>
      <w:r>
        <w:t>Empresas</w:t>
      </w:r>
      <w:r>
        <w:rPr>
          <w:spacing w:val="-4"/>
        </w:rPr>
        <w:t xml:space="preserve"> </w:t>
      </w:r>
      <w:r>
        <w:t>de</w:t>
      </w:r>
      <w:r>
        <w:rPr>
          <w:spacing w:val="-2"/>
        </w:rPr>
        <w:t xml:space="preserve"> </w:t>
      </w:r>
      <w:r w:rsidRPr="004A5249">
        <w:t>seguridad</w:t>
      </w:r>
      <w:r>
        <w:rPr>
          <w:spacing w:val="-2"/>
        </w:rPr>
        <w:t xml:space="preserve"> </w:t>
      </w:r>
      <w:r>
        <w:t>privada</w:t>
      </w:r>
      <w:r>
        <w:rPr>
          <w:spacing w:val="-2"/>
        </w:rPr>
        <w:t xml:space="preserve"> </w:t>
      </w:r>
      <w:r>
        <w:t>y</w:t>
      </w:r>
      <w:r>
        <w:rPr>
          <w:spacing w:val="-1"/>
        </w:rPr>
        <w:t xml:space="preserve"> </w:t>
      </w:r>
      <w:r>
        <w:t>control</w:t>
      </w:r>
      <w:r>
        <w:rPr>
          <w:spacing w:val="-3"/>
        </w:rPr>
        <w:t xml:space="preserve"> </w:t>
      </w:r>
      <w:r>
        <w:t>de</w:t>
      </w:r>
      <w:r>
        <w:rPr>
          <w:spacing w:val="-1"/>
        </w:rPr>
        <w:t xml:space="preserve"> </w:t>
      </w:r>
      <w:r>
        <w:rPr>
          <w:spacing w:val="-2"/>
        </w:rPr>
        <w:t>armas</w:t>
      </w:r>
      <w:bookmarkEnd w:id="1650"/>
    </w:p>
    <w:p w:rsidR="0011361F" w:rsidRDefault="00AF18A5" w:rsidP="004A5249">
      <w:r>
        <w:t>Corto</w:t>
      </w:r>
      <w:r>
        <w:rPr>
          <w:spacing w:val="-1"/>
        </w:rPr>
        <w:t xml:space="preserve"> </w:t>
      </w:r>
      <w:r>
        <w:rPr>
          <w:spacing w:val="-2"/>
        </w:rPr>
        <w:t>plazo</w:t>
      </w:r>
    </w:p>
    <w:p w:rsidR="003804AC" w:rsidRDefault="00AF18A5" w:rsidP="004A6EF4">
      <w:pPr>
        <w:pStyle w:val="Prrafodelista"/>
        <w:numPr>
          <w:ilvl w:val="0"/>
          <w:numId w:val="31"/>
        </w:numPr>
      </w:pPr>
      <w:r>
        <w:t xml:space="preserve">Al Gobierno Nacional y al Congreso de la República, adelantar las reformas legales e institucionales que sean necesarias para </w:t>
      </w:r>
      <w:r w:rsidRPr="004A5249">
        <w:rPr>
          <w:b/>
        </w:rPr>
        <w:t>garantizar un control efectivo y eficiente de los departamentos</w:t>
      </w:r>
      <w:r w:rsidRPr="004A5249">
        <w:rPr>
          <w:b/>
          <w:spacing w:val="-12"/>
        </w:rPr>
        <w:t xml:space="preserve"> </w:t>
      </w:r>
      <w:r w:rsidRPr="004A5249">
        <w:rPr>
          <w:b/>
        </w:rPr>
        <w:t>y</w:t>
      </w:r>
      <w:r w:rsidRPr="004A5249">
        <w:rPr>
          <w:b/>
          <w:spacing w:val="-12"/>
        </w:rPr>
        <w:t xml:space="preserve"> </w:t>
      </w:r>
      <w:r w:rsidRPr="004A5249">
        <w:rPr>
          <w:b/>
        </w:rPr>
        <w:t>empresas</w:t>
      </w:r>
      <w:r w:rsidRPr="004A5249">
        <w:rPr>
          <w:b/>
          <w:spacing w:val="-12"/>
        </w:rPr>
        <w:t xml:space="preserve"> </w:t>
      </w:r>
      <w:r w:rsidRPr="004A5249">
        <w:rPr>
          <w:b/>
        </w:rPr>
        <w:t>de</w:t>
      </w:r>
      <w:r w:rsidRPr="004A5249">
        <w:rPr>
          <w:b/>
          <w:spacing w:val="-12"/>
        </w:rPr>
        <w:t xml:space="preserve"> </w:t>
      </w:r>
      <w:r w:rsidRPr="004A5249">
        <w:rPr>
          <w:b/>
        </w:rPr>
        <w:t>vigilancia</w:t>
      </w:r>
      <w:r w:rsidRPr="004A5249">
        <w:rPr>
          <w:b/>
          <w:spacing w:val="-12"/>
        </w:rPr>
        <w:t xml:space="preserve"> </w:t>
      </w:r>
      <w:r w:rsidRPr="004A5249">
        <w:rPr>
          <w:b/>
        </w:rPr>
        <w:t>y</w:t>
      </w:r>
      <w:r w:rsidRPr="004A5249">
        <w:rPr>
          <w:b/>
          <w:spacing w:val="-12"/>
        </w:rPr>
        <w:t xml:space="preserve"> </w:t>
      </w:r>
      <w:r w:rsidRPr="004A5249">
        <w:rPr>
          <w:b/>
        </w:rPr>
        <w:t>seguridad</w:t>
      </w:r>
      <w:r w:rsidRPr="004A5249">
        <w:rPr>
          <w:b/>
          <w:spacing w:val="-12"/>
        </w:rPr>
        <w:t xml:space="preserve"> </w:t>
      </w:r>
      <w:r w:rsidRPr="004A5249">
        <w:rPr>
          <w:b/>
        </w:rPr>
        <w:t>privada</w:t>
      </w:r>
      <w:r>
        <w:t>,</w:t>
      </w:r>
      <w:r w:rsidRPr="004A5249">
        <w:rPr>
          <w:spacing w:val="-12"/>
        </w:rPr>
        <w:t xml:space="preserve"> </w:t>
      </w:r>
      <w:r>
        <w:t>que</w:t>
      </w:r>
      <w:r w:rsidRPr="004A5249">
        <w:rPr>
          <w:spacing w:val="-12"/>
        </w:rPr>
        <w:t xml:space="preserve"> </w:t>
      </w:r>
      <w:r>
        <w:t>evite</w:t>
      </w:r>
      <w:r w:rsidRPr="004A5249">
        <w:rPr>
          <w:spacing w:val="-12"/>
        </w:rPr>
        <w:t xml:space="preserve"> </w:t>
      </w:r>
      <w:r>
        <w:t>que</w:t>
      </w:r>
      <w:r w:rsidRPr="004A5249">
        <w:rPr>
          <w:spacing w:val="-12"/>
        </w:rPr>
        <w:t xml:space="preserve"> </w:t>
      </w:r>
      <w:r>
        <w:t>se</w:t>
      </w:r>
      <w:r w:rsidRPr="004A5249">
        <w:rPr>
          <w:spacing w:val="-12"/>
        </w:rPr>
        <w:t xml:space="preserve"> </w:t>
      </w:r>
      <w:r>
        <w:t>involucren en acciones ilegales. Para tal fin, es necesario:</w:t>
      </w:r>
    </w:p>
    <w:p w:rsidR="003804AC" w:rsidRDefault="00AF18A5" w:rsidP="004A6EF4">
      <w:pPr>
        <w:pStyle w:val="Prrafodelista"/>
        <w:numPr>
          <w:ilvl w:val="0"/>
          <w:numId w:val="54"/>
        </w:numPr>
      </w:pPr>
      <w:r>
        <w:t xml:space="preserve">Fortalecer el </w:t>
      </w:r>
      <w:r w:rsidRPr="004A5249">
        <w:rPr>
          <w:b/>
        </w:rPr>
        <w:t xml:space="preserve">régimen de controles por parte de la Superintendencia de Vigilancia y Seguridad Privada </w:t>
      </w:r>
      <w:r>
        <w:t xml:space="preserve">y las normas que regulan estos servicios, incluyendo mayores requisitos para la conformación y funcionamiento de los departamentos y </w:t>
      </w:r>
      <w:r>
        <w:lastRenderedPageBreak/>
        <w:t>empresas de seguridad privada, y establecer mayores controles y condiciones</w:t>
      </w:r>
      <w:r w:rsidRPr="004A5249">
        <w:rPr>
          <w:spacing w:val="-10"/>
        </w:rPr>
        <w:t xml:space="preserve"> </w:t>
      </w:r>
      <w:r>
        <w:t>para</w:t>
      </w:r>
      <w:r w:rsidRPr="004A5249">
        <w:rPr>
          <w:spacing w:val="-7"/>
        </w:rPr>
        <w:t xml:space="preserve"> </w:t>
      </w:r>
      <w:r>
        <w:t>la</w:t>
      </w:r>
      <w:r w:rsidRPr="004A5249">
        <w:rPr>
          <w:spacing w:val="-7"/>
        </w:rPr>
        <w:t xml:space="preserve"> </w:t>
      </w:r>
      <w:r>
        <w:t>contratación</w:t>
      </w:r>
      <w:r w:rsidRPr="004A5249">
        <w:rPr>
          <w:spacing w:val="-6"/>
        </w:rPr>
        <w:t xml:space="preserve"> </w:t>
      </w:r>
      <w:r>
        <w:t>del</w:t>
      </w:r>
      <w:r w:rsidRPr="004A5249">
        <w:rPr>
          <w:spacing w:val="-7"/>
        </w:rPr>
        <w:t xml:space="preserve"> </w:t>
      </w:r>
      <w:r>
        <w:t>personal,</w:t>
      </w:r>
      <w:r w:rsidRPr="004A5249">
        <w:rPr>
          <w:spacing w:val="-8"/>
        </w:rPr>
        <w:t xml:space="preserve"> </w:t>
      </w:r>
      <w:r>
        <w:t>incluyendo</w:t>
      </w:r>
      <w:r w:rsidRPr="004A5249">
        <w:rPr>
          <w:spacing w:val="-7"/>
        </w:rPr>
        <w:t xml:space="preserve"> </w:t>
      </w:r>
      <w:r>
        <w:t>la</w:t>
      </w:r>
      <w:r w:rsidRPr="004A5249">
        <w:rPr>
          <w:spacing w:val="-6"/>
        </w:rPr>
        <w:t xml:space="preserve"> </w:t>
      </w:r>
      <w:r>
        <w:t>exigencia</w:t>
      </w:r>
      <w:r w:rsidRPr="004A5249">
        <w:rPr>
          <w:spacing w:val="-7"/>
        </w:rPr>
        <w:t xml:space="preserve"> </w:t>
      </w:r>
      <w:r>
        <w:t>de</w:t>
      </w:r>
      <w:r w:rsidRPr="004A5249">
        <w:rPr>
          <w:spacing w:val="-7"/>
        </w:rPr>
        <w:t xml:space="preserve"> </w:t>
      </w:r>
      <w:r>
        <w:t>requisitos</w:t>
      </w:r>
      <w:r w:rsidRPr="004A5249">
        <w:rPr>
          <w:spacing w:val="-6"/>
        </w:rPr>
        <w:t xml:space="preserve"> </w:t>
      </w:r>
      <w:r w:rsidRPr="004A5249">
        <w:rPr>
          <w:spacing w:val="-10"/>
        </w:rPr>
        <w:t>y</w:t>
      </w:r>
      <w:r w:rsidR="004A5249" w:rsidRPr="004A5249">
        <w:rPr>
          <w:spacing w:val="-10"/>
        </w:rPr>
        <w:t xml:space="preserve"> </w:t>
      </w:r>
      <w:r>
        <w:t>la revisión de antecedentes que garanticen su integridad. Lo anterior teniendo en cuenta</w:t>
      </w:r>
      <w:r w:rsidRPr="004A5249">
        <w:rPr>
          <w:spacing w:val="-11"/>
        </w:rPr>
        <w:t xml:space="preserve"> </w:t>
      </w:r>
      <w:r>
        <w:t>las</w:t>
      </w:r>
      <w:r w:rsidRPr="004A5249">
        <w:rPr>
          <w:spacing w:val="-11"/>
        </w:rPr>
        <w:t xml:space="preserve"> </w:t>
      </w:r>
      <w:r>
        <w:t>propuestas</w:t>
      </w:r>
      <w:r w:rsidRPr="004A5249">
        <w:rPr>
          <w:spacing w:val="-11"/>
        </w:rPr>
        <w:t xml:space="preserve"> </w:t>
      </w:r>
      <w:r>
        <w:t>realizadas</w:t>
      </w:r>
      <w:r w:rsidRPr="004A5249">
        <w:rPr>
          <w:spacing w:val="-9"/>
        </w:rPr>
        <w:t xml:space="preserve"> </w:t>
      </w:r>
      <w:r>
        <w:t>en</w:t>
      </w:r>
      <w:r w:rsidRPr="004A5249">
        <w:rPr>
          <w:spacing w:val="-11"/>
        </w:rPr>
        <w:t xml:space="preserve"> </w:t>
      </w:r>
      <w:r>
        <w:t>el</w:t>
      </w:r>
      <w:r w:rsidRPr="004A5249">
        <w:rPr>
          <w:spacing w:val="-12"/>
        </w:rPr>
        <w:t xml:space="preserve"> </w:t>
      </w:r>
      <w:r>
        <w:t>marco</w:t>
      </w:r>
      <w:r w:rsidRPr="004A5249">
        <w:rPr>
          <w:spacing w:val="-11"/>
        </w:rPr>
        <w:t xml:space="preserve"> </w:t>
      </w:r>
      <w:r>
        <w:t>de</w:t>
      </w:r>
      <w:r w:rsidRPr="004A5249">
        <w:rPr>
          <w:spacing w:val="-11"/>
        </w:rPr>
        <w:t xml:space="preserve"> </w:t>
      </w:r>
      <w:r>
        <w:t>la</w:t>
      </w:r>
      <w:r w:rsidRPr="004A5249">
        <w:rPr>
          <w:spacing w:val="-11"/>
        </w:rPr>
        <w:t xml:space="preserve"> </w:t>
      </w:r>
      <w:r>
        <w:t>Comisión</w:t>
      </w:r>
      <w:r w:rsidRPr="004A5249">
        <w:rPr>
          <w:spacing w:val="-11"/>
        </w:rPr>
        <w:t xml:space="preserve"> </w:t>
      </w:r>
      <w:r>
        <w:t>Nacional</w:t>
      </w:r>
      <w:r w:rsidRPr="004A5249">
        <w:rPr>
          <w:spacing w:val="-9"/>
        </w:rPr>
        <w:t xml:space="preserve"> </w:t>
      </w:r>
      <w:r>
        <w:t>de</w:t>
      </w:r>
      <w:r w:rsidRPr="004A5249">
        <w:rPr>
          <w:spacing w:val="-11"/>
        </w:rPr>
        <w:t xml:space="preserve"> </w:t>
      </w:r>
      <w:r>
        <w:t>Garantías</w:t>
      </w:r>
      <w:r w:rsidRPr="004A5249">
        <w:rPr>
          <w:spacing w:val="-11"/>
        </w:rPr>
        <w:t xml:space="preserve"> </w:t>
      </w:r>
      <w:r>
        <w:t>de Seguridad y sus funciones en materia de seguimiento a los controles</w:t>
      </w:r>
      <w:r w:rsidR="004A5249">
        <w:rPr>
          <w:rStyle w:val="Refdenotaalpie"/>
        </w:rPr>
        <w:footnoteReference w:id="1266"/>
      </w:r>
      <w:r>
        <w:t>.</w:t>
      </w:r>
    </w:p>
    <w:p w:rsidR="003804AC" w:rsidRPr="004A5249" w:rsidRDefault="00AF18A5" w:rsidP="004A6EF4">
      <w:pPr>
        <w:pStyle w:val="Prrafodelista"/>
        <w:numPr>
          <w:ilvl w:val="0"/>
          <w:numId w:val="54"/>
        </w:numPr>
        <w:rPr>
          <w:rFonts w:ascii="Calibri" w:hAnsi="Calibri"/>
        </w:rPr>
      </w:pPr>
      <w:r>
        <w:t xml:space="preserve">Adscribir la </w:t>
      </w:r>
      <w:r w:rsidRPr="004A5249">
        <w:rPr>
          <w:b/>
        </w:rPr>
        <w:t xml:space="preserve">Superintendencia de Vigilancia y Seguridad Privada a un ministerio distinto al Ministerio de Defensa </w:t>
      </w:r>
      <w:r>
        <w:t xml:space="preserve">con el fin de garantizar que la vigilancia y el control civil esté en cabeza del ministerio al que quede adscrita la </w:t>
      </w:r>
      <w:r w:rsidRPr="004A5249">
        <w:rPr>
          <w:spacing w:val="-2"/>
        </w:rPr>
        <w:t>Policía.</w:t>
      </w:r>
    </w:p>
    <w:p w:rsidR="0011361F" w:rsidRDefault="00AF18A5" w:rsidP="004A5249">
      <w:r>
        <w:t>Corto</w:t>
      </w:r>
      <w:r>
        <w:rPr>
          <w:spacing w:val="-1"/>
        </w:rPr>
        <w:t xml:space="preserve"> </w:t>
      </w:r>
      <w:r>
        <w:rPr>
          <w:spacing w:val="-2"/>
        </w:rPr>
        <w:t>plazo</w:t>
      </w:r>
    </w:p>
    <w:p w:rsidR="003804AC" w:rsidRDefault="00AF18A5" w:rsidP="004A6EF4">
      <w:pPr>
        <w:pStyle w:val="Prrafodelista"/>
        <w:numPr>
          <w:ilvl w:val="0"/>
          <w:numId w:val="31"/>
        </w:numPr>
      </w:pPr>
      <w:r>
        <w:t xml:space="preserve">Robustecer la legislación y los procedimientos en materia de </w:t>
      </w:r>
      <w:r w:rsidRPr="004A5249">
        <w:rPr>
          <w:b/>
        </w:rPr>
        <w:t>control y comercio de armas</w:t>
      </w:r>
      <w:r w:rsidRPr="004A5249">
        <w:rPr>
          <w:b/>
          <w:spacing w:val="-8"/>
        </w:rPr>
        <w:t xml:space="preserve"> </w:t>
      </w:r>
      <w:r w:rsidRPr="004A5249">
        <w:rPr>
          <w:b/>
        </w:rPr>
        <w:t>de</w:t>
      </w:r>
      <w:r w:rsidRPr="004A5249">
        <w:rPr>
          <w:b/>
          <w:spacing w:val="-8"/>
        </w:rPr>
        <w:t xml:space="preserve"> </w:t>
      </w:r>
      <w:r w:rsidRPr="004A5249">
        <w:rPr>
          <w:b/>
        </w:rPr>
        <w:t>fuego</w:t>
      </w:r>
      <w:r w:rsidRPr="004A5249">
        <w:rPr>
          <w:b/>
          <w:spacing w:val="-8"/>
        </w:rPr>
        <w:t xml:space="preserve"> </w:t>
      </w:r>
      <w:r>
        <w:t>autorizadas</w:t>
      </w:r>
      <w:r w:rsidRPr="004A5249">
        <w:rPr>
          <w:spacing w:val="-8"/>
        </w:rPr>
        <w:t xml:space="preserve"> </w:t>
      </w:r>
      <w:r>
        <w:t>legalmente</w:t>
      </w:r>
      <w:r w:rsidRPr="004A5249">
        <w:rPr>
          <w:spacing w:val="-8"/>
        </w:rPr>
        <w:t xml:space="preserve"> </w:t>
      </w:r>
      <w:r>
        <w:t>en</w:t>
      </w:r>
      <w:r w:rsidRPr="004A5249">
        <w:rPr>
          <w:spacing w:val="-8"/>
        </w:rPr>
        <w:t xml:space="preserve"> </w:t>
      </w:r>
      <w:r>
        <w:t>el</w:t>
      </w:r>
      <w:r w:rsidRPr="004A5249">
        <w:rPr>
          <w:spacing w:val="-8"/>
        </w:rPr>
        <w:t xml:space="preserve"> </w:t>
      </w:r>
      <w:r>
        <w:t>país,</w:t>
      </w:r>
      <w:r w:rsidRPr="004A5249">
        <w:rPr>
          <w:spacing w:val="-8"/>
        </w:rPr>
        <w:t xml:space="preserve"> </w:t>
      </w:r>
      <w:r>
        <w:t>y</w:t>
      </w:r>
      <w:r w:rsidRPr="004A5249">
        <w:rPr>
          <w:spacing w:val="-8"/>
        </w:rPr>
        <w:t xml:space="preserve"> </w:t>
      </w:r>
      <w:r>
        <w:t>del</w:t>
      </w:r>
      <w:r w:rsidRPr="004A5249">
        <w:rPr>
          <w:spacing w:val="-8"/>
        </w:rPr>
        <w:t xml:space="preserve"> </w:t>
      </w:r>
      <w:r>
        <w:t>control</w:t>
      </w:r>
      <w:r w:rsidRPr="004A5249">
        <w:rPr>
          <w:spacing w:val="-8"/>
        </w:rPr>
        <w:t xml:space="preserve"> </w:t>
      </w:r>
      <w:r>
        <w:t>de</w:t>
      </w:r>
      <w:r w:rsidRPr="004A5249">
        <w:rPr>
          <w:spacing w:val="-8"/>
        </w:rPr>
        <w:t xml:space="preserve"> </w:t>
      </w:r>
      <w:r>
        <w:t>su</w:t>
      </w:r>
      <w:r w:rsidRPr="004A5249">
        <w:rPr>
          <w:spacing w:val="-8"/>
        </w:rPr>
        <w:t xml:space="preserve"> </w:t>
      </w:r>
      <w:r>
        <w:t>porte</w:t>
      </w:r>
      <w:r w:rsidRPr="004A5249">
        <w:rPr>
          <w:spacing w:val="-8"/>
        </w:rPr>
        <w:t xml:space="preserve"> </w:t>
      </w:r>
      <w:r>
        <w:t>y</w:t>
      </w:r>
      <w:r w:rsidRPr="004A5249">
        <w:rPr>
          <w:spacing w:val="-8"/>
        </w:rPr>
        <w:t xml:space="preserve"> </w:t>
      </w:r>
      <w:r>
        <w:t>tenencia,</w:t>
      </w:r>
      <w:r w:rsidRPr="004A5249">
        <w:rPr>
          <w:spacing w:val="-9"/>
        </w:rPr>
        <w:t xml:space="preserve"> </w:t>
      </w:r>
      <w:r>
        <w:t>sobre la base de una caracterización del funcionamiento del mercado legal e ilegal de armas y municiones. En desarrollo de esto, se sugiere:</w:t>
      </w:r>
    </w:p>
    <w:p w:rsidR="003804AC" w:rsidRPr="00E56E0B" w:rsidRDefault="00AF18A5" w:rsidP="004A6EF4">
      <w:pPr>
        <w:pStyle w:val="Prrafodelista"/>
        <w:numPr>
          <w:ilvl w:val="0"/>
          <w:numId w:val="55"/>
        </w:numPr>
        <w:rPr>
          <w:rFonts w:ascii="Calibri" w:hAnsi="Calibri"/>
        </w:rPr>
      </w:pPr>
      <w:r>
        <w:t xml:space="preserve">Garantizar el </w:t>
      </w:r>
      <w:r w:rsidRPr="00E56E0B">
        <w:rPr>
          <w:b/>
        </w:rPr>
        <w:t>manejo civil del control y comercio de armas</w:t>
      </w:r>
      <w:r>
        <w:t>, municiones, explosivos</w:t>
      </w:r>
      <w:r w:rsidRPr="00E56E0B">
        <w:rPr>
          <w:spacing w:val="-4"/>
        </w:rPr>
        <w:t xml:space="preserve"> </w:t>
      </w:r>
      <w:r>
        <w:t>y</w:t>
      </w:r>
      <w:r w:rsidRPr="00E56E0B">
        <w:rPr>
          <w:spacing w:val="-6"/>
        </w:rPr>
        <w:t xml:space="preserve"> </w:t>
      </w:r>
      <w:r>
        <w:t>sustancias</w:t>
      </w:r>
      <w:r w:rsidRPr="00E56E0B">
        <w:rPr>
          <w:spacing w:val="-4"/>
        </w:rPr>
        <w:t xml:space="preserve"> </w:t>
      </w:r>
      <w:r>
        <w:t>químicas</w:t>
      </w:r>
      <w:r w:rsidRPr="00E56E0B">
        <w:rPr>
          <w:spacing w:val="-4"/>
        </w:rPr>
        <w:t xml:space="preserve"> </w:t>
      </w:r>
      <w:r>
        <w:t>controladas</w:t>
      </w:r>
      <w:r w:rsidRPr="00E56E0B">
        <w:rPr>
          <w:spacing w:val="-4"/>
        </w:rPr>
        <w:t xml:space="preserve"> </w:t>
      </w:r>
      <w:r>
        <w:t>–esto</w:t>
      </w:r>
      <w:r w:rsidRPr="00E56E0B">
        <w:rPr>
          <w:spacing w:val="-4"/>
        </w:rPr>
        <w:t xml:space="preserve"> </w:t>
      </w:r>
      <w:r>
        <w:t>implica</w:t>
      </w:r>
      <w:r w:rsidRPr="00E56E0B">
        <w:rPr>
          <w:spacing w:val="-4"/>
        </w:rPr>
        <w:t xml:space="preserve"> </w:t>
      </w:r>
      <w:r>
        <w:t>sacar</w:t>
      </w:r>
      <w:r w:rsidRPr="00E56E0B">
        <w:rPr>
          <w:spacing w:val="-4"/>
        </w:rPr>
        <w:t xml:space="preserve"> </w:t>
      </w:r>
      <w:r>
        <w:t>el</w:t>
      </w:r>
      <w:r w:rsidRPr="00E56E0B">
        <w:rPr>
          <w:spacing w:val="-4"/>
        </w:rPr>
        <w:t xml:space="preserve"> </w:t>
      </w:r>
      <w:r>
        <w:t>departamento</w:t>
      </w:r>
      <w:r w:rsidRPr="00E56E0B">
        <w:rPr>
          <w:spacing w:val="-4"/>
        </w:rPr>
        <w:t xml:space="preserve"> </w:t>
      </w:r>
      <w:r>
        <w:t>de control</w:t>
      </w:r>
      <w:r w:rsidRPr="00E56E0B">
        <w:rPr>
          <w:spacing w:val="-3"/>
        </w:rPr>
        <w:t xml:space="preserve"> </w:t>
      </w:r>
      <w:r>
        <w:t>y</w:t>
      </w:r>
      <w:r w:rsidRPr="00E56E0B">
        <w:rPr>
          <w:spacing w:val="-5"/>
        </w:rPr>
        <w:t xml:space="preserve"> </w:t>
      </w:r>
      <w:r>
        <w:t>comercio</w:t>
      </w:r>
      <w:r w:rsidRPr="00E56E0B">
        <w:rPr>
          <w:spacing w:val="-4"/>
        </w:rPr>
        <w:t xml:space="preserve"> </w:t>
      </w:r>
      <w:r>
        <w:t>de</w:t>
      </w:r>
      <w:r w:rsidRPr="00E56E0B">
        <w:rPr>
          <w:spacing w:val="-4"/>
        </w:rPr>
        <w:t xml:space="preserve"> </w:t>
      </w:r>
      <w:r>
        <w:t>armas</w:t>
      </w:r>
      <w:r w:rsidRPr="00E56E0B">
        <w:rPr>
          <w:spacing w:val="-4"/>
        </w:rPr>
        <w:t xml:space="preserve"> </w:t>
      </w:r>
      <w:r>
        <w:t>(CCA)</w:t>
      </w:r>
      <w:r w:rsidRPr="00E56E0B">
        <w:rPr>
          <w:spacing w:val="-3"/>
        </w:rPr>
        <w:t xml:space="preserve"> </w:t>
      </w:r>
      <w:r>
        <w:t>del</w:t>
      </w:r>
      <w:r w:rsidRPr="00E56E0B">
        <w:rPr>
          <w:spacing w:val="-3"/>
        </w:rPr>
        <w:t xml:space="preserve"> </w:t>
      </w:r>
      <w:r>
        <w:t>Comando</w:t>
      </w:r>
      <w:r w:rsidRPr="00E56E0B">
        <w:rPr>
          <w:spacing w:val="-3"/>
        </w:rPr>
        <w:t xml:space="preserve"> </w:t>
      </w:r>
      <w:r>
        <w:t>General–,</w:t>
      </w:r>
      <w:r w:rsidRPr="00E56E0B">
        <w:rPr>
          <w:spacing w:val="-5"/>
        </w:rPr>
        <w:t xml:space="preserve"> </w:t>
      </w:r>
      <w:r>
        <w:t>y,</w:t>
      </w:r>
      <w:r w:rsidRPr="00E56E0B">
        <w:rPr>
          <w:spacing w:val="-3"/>
        </w:rPr>
        <w:t xml:space="preserve"> </w:t>
      </w:r>
      <w:r>
        <w:t>en</w:t>
      </w:r>
      <w:r w:rsidRPr="00E56E0B">
        <w:rPr>
          <w:spacing w:val="-3"/>
        </w:rPr>
        <w:t xml:space="preserve"> </w:t>
      </w:r>
      <w:r>
        <w:t>general,</w:t>
      </w:r>
      <w:r w:rsidRPr="00E56E0B">
        <w:rPr>
          <w:spacing w:val="-3"/>
        </w:rPr>
        <w:t xml:space="preserve"> </w:t>
      </w:r>
      <w:r>
        <w:t>fortalecer los controles civiles sobre la fabricación, importación y comercio de armas, municiones y explosivos con mecanismos que permitan la participación y veeduría de la ciudadanía.</w:t>
      </w:r>
    </w:p>
    <w:p w:rsidR="0011361F" w:rsidRDefault="00AF18A5" w:rsidP="004A6EF4">
      <w:pPr>
        <w:pStyle w:val="Prrafodelista"/>
        <w:numPr>
          <w:ilvl w:val="0"/>
          <w:numId w:val="55"/>
        </w:numPr>
      </w:pPr>
      <w:r>
        <w:t xml:space="preserve">Mejorar los </w:t>
      </w:r>
      <w:r w:rsidRPr="00E56E0B">
        <w:rPr>
          <w:b/>
        </w:rPr>
        <w:t xml:space="preserve">requisitos, controles y trazabilidad del porte y </w:t>
      </w:r>
      <w:r w:rsidRPr="00E56E0B">
        <w:rPr>
          <w:b/>
        </w:rPr>
        <w:lastRenderedPageBreak/>
        <w:t xml:space="preserve">tenencia de armas de fuego </w:t>
      </w:r>
      <w:r>
        <w:t xml:space="preserve">y municiones por parte tanto de particulares como de los departamentos y empresas de vigilancia y seguridad, y elaborar reportes públicos, continuos y transparentes. Lo anterior incluye el fortalecimiento de las capacidades </w:t>
      </w:r>
      <w:r w:rsidRPr="00E56E0B">
        <w:rPr>
          <w:spacing w:val="-2"/>
        </w:rPr>
        <w:t>institucionales.</w:t>
      </w:r>
    </w:p>
    <w:p w:rsidR="003804AC" w:rsidRPr="00E56E0B" w:rsidRDefault="00AF18A5" w:rsidP="004A6EF4">
      <w:pPr>
        <w:pStyle w:val="Prrafodelista"/>
        <w:numPr>
          <w:ilvl w:val="0"/>
          <w:numId w:val="55"/>
        </w:numPr>
      </w:pPr>
      <w:bookmarkStart w:id="1651" w:name="_bookmark1431"/>
      <w:bookmarkEnd w:id="1651"/>
      <w:r w:rsidRPr="00E56E0B">
        <w:t>Realizar un estudio sobre las armas entregadas por grupos armados ilegales o decomisadas para caracterizarlas e identificar las falencias y desafíos en su control y trazabilidad.</w:t>
      </w:r>
    </w:p>
    <w:p w:rsidR="003804AC" w:rsidRPr="00E56E0B" w:rsidRDefault="00AF18A5" w:rsidP="004A6EF4">
      <w:pPr>
        <w:pStyle w:val="Prrafodelista"/>
        <w:numPr>
          <w:ilvl w:val="0"/>
          <w:numId w:val="55"/>
        </w:numPr>
      </w:pPr>
      <w:r w:rsidRPr="00E56E0B">
        <w:t>Asumir y ratificar los compromisos internacionales en materia de control y comercio de armas.</w:t>
      </w:r>
    </w:p>
    <w:p w:rsidR="003804AC" w:rsidRPr="00E56E0B" w:rsidRDefault="00AF18A5" w:rsidP="004A6EF4">
      <w:pPr>
        <w:pStyle w:val="Prrafodelista"/>
        <w:numPr>
          <w:ilvl w:val="0"/>
          <w:numId w:val="55"/>
        </w:numPr>
      </w:pPr>
      <w:r w:rsidRPr="00E56E0B">
        <w:t>Diseñar desde lo local, con acompañamiento del Gobierno Nacional, campañas de sensibilización y para desincentivar la demanda y tenencia de armas por parte de la población civil. Estas deben incluir reflexiones sobre la problemática de las armas de fuego con enfoque de género y de derechos de las mujeres, y contribuir a instalar el tema en la agenda pública.</w:t>
      </w:r>
    </w:p>
    <w:p w:rsidR="0011361F" w:rsidRDefault="00AF18A5" w:rsidP="004A6EF4">
      <w:pPr>
        <w:pStyle w:val="Ttulo3"/>
        <w:numPr>
          <w:ilvl w:val="1"/>
          <w:numId w:val="28"/>
        </w:numPr>
      </w:pPr>
      <w:bookmarkStart w:id="1652" w:name="6.5._Seguridad_para_la_ruralidad_y_zonas"/>
      <w:bookmarkStart w:id="1653" w:name="_Toc112399713"/>
      <w:bookmarkEnd w:id="1652"/>
      <w:r w:rsidRPr="00E56E0B">
        <w:t>Seguridad</w:t>
      </w:r>
      <w:r>
        <w:rPr>
          <w:spacing w:val="-3"/>
        </w:rPr>
        <w:t xml:space="preserve"> </w:t>
      </w:r>
      <w:r>
        <w:t>para</w:t>
      </w:r>
      <w:r>
        <w:rPr>
          <w:spacing w:val="-2"/>
        </w:rPr>
        <w:t xml:space="preserve"> </w:t>
      </w:r>
      <w:r>
        <w:t>la</w:t>
      </w:r>
      <w:r>
        <w:rPr>
          <w:spacing w:val="-2"/>
        </w:rPr>
        <w:t xml:space="preserve"> </w:t>
      </w:r>
      <w:r>
        <w:t>ruralidad</w:t>
      </w:r>
      <w:r>
        <w:rPr>
          <w:spacing w:val="-3"/>
        </w:rPr>
        <w:t xml:space="preserve"> </w:t>
      </w:r>
      <w:r>
        <w:t>y</w:t>
      </w:r>
      <w:r>
        <w:rPr>
          <w:spacing w:val="-2"/>
        </w:rPr>
        <w:t xml:space="preserve"> </w:t>
      </w:r>
      <w:r>
        <w:t>zonas</w:t>
      </w:r>
      <w:r>
        <w:rPr>
          <w:spacing w:val="-2"/>
        </w:rPr>
        <w:t xml:space="preserve"> </w:t>
      </w:r>
      <w:r>
        <w:t>de</w:t>
      </w:r>
      <w:r>
        <w:rPr>
          <w:spacing w:val="-1"/>
        </w:rPr>
        <w:t xml:space="preserve"> </w:t>
      </w:r>
      <w:r>
        <w:rPr>
          <w:spacing w:val="-2"/>
        </w:rPr>
        <w:t>frontera</w:t>
      </w:r>
      <w:bookmarkEnd w:id="1653"/>
    </w:p>
    <w:p w:rsidR="0011361F" w:rsidRDefault="00AF18A5" w:rsidP="00E56E0B">
      <w:r>
        <w:t>Corto</w:t>
      </w:r>
      <w:r>
        <w:rPr>
          <w:spacing w:val="-1"/>
        </w:rPr>
        <w:t xml:space="preserve"> </w:t>
      </w:r>
      <w:r>
        <w:rPr>
          <w:spacing w:val="-2"/>
        </w:rPr>
        <w:t>plazo</w:t>
      </w:r>
    </w:p>
    <w:p w:rsidR="003804AC" w:rsidRDefault="00AF18A5" w:rsidP="004A6EF4">
      <w:pPr>
        <w:pStyle w:val="Prrafodelista"/>
        <w:numPr>
          <w:ilvl w:val="0"/>
          <w:numId w:val="31"/>
        </w:numPr>
      </w:pPr>
      <w:r>
        <w:t xml:space="preserve">Formular una nueva estrategia </w:t>
      </w:r>
      <w:r w:rsidRPr="00E56E0B">
        <w:rPr>
          <w:b/>
        </w:rPr>
        <w:t>de seguridad para la ruralidad y zonas de frontera</w:t>
      </w:r>
      <w:r>
        <w:t>, basada</w:t>
      </w:r>
      <w:r w:rsidRPr="00E56E0B">
        <w:rPr>
          <w:spacing w:val="-4"/>
        </w:rPr>
        <w:t xml:space="preserve"> </w:t>
      </w:r>
      <w:r>
        <w:t>en</w:t>
      </w:r>
      <w:r w:rsidRPr="00E56E0B">
        <w:rPr>
          <w:spacing w:val="-6"/>
        </w:rPr>
        <w:t xml:space="preserve"> </w:t>
      </w:r>
      <w:r>
        <w:t>la</w:t>
      </w:r>
      <w:r w:rsidRPr="00E56E0B">
        <w:rPr>
          <w:spacing w:val="-6"/>
        </w:rPr>
        <w:t xml:space="preserve"> </w:t>
      </w:r>
      <w:r>
        <w:t>nueva</w:t>
      </w:r>
      <w:r w:rsidRPr="00E56E0B">
        <w:rPr>
          <w:spacing w:val="-4"/>
        </w:rPr>
        <w:t xml:space="preserve"> </w:t>
      </w:r>
      <w:r>
        <w:t>visión</w:t>
      </w:r>
      <w:r w:rsidRPr="00E56E0B">
        <w:rPr>
          <w:spacing w:val="-6"/>
        </w:rPr>
        <w:t xml:space="preserve"> </w:t>
      </w:r>
      <w:r>
        <w:t>de</w:t>
      </w:r>
      <w:r w:rsidRPr="00E56E0B">
        <w:rPr>
          <w:spacing w:val="-4"/>
        </w:rPr>
        <w:t xml:space="preserve"> </w:t>
      </w:r>
      <w:r>
        <w:t>seguridad,</w:t>
      </w:r>
      <w:r w:rsidRPr="00E56E0B">
        <w:rPr>
          <w:spacing w:val="-5"/>
        </w:rPr>
        <w:t xml:space="preserve"> </w:t>
      </w:r>
      <w:r>
        <w:t>que</w:t>
      </w:r>
      <w:r w:rsidRPr="00E56E0B">
        <w:rPr>
          <w:spacing w:val="-4"/>
        </w:rPr>
        <w:t xml:space="preserve"> </w:t>
      </w:r>
      <w:r>
        <w:t>sea</w:t>
      </w:r>
      <w:r w:rsidRPr="00E56E0B">
        <w:rPr>
          <w:spacing w:val="-4"/>
        </w:rPr>
        <w:t xml:space="preserve"> </w:t>
      </w:r>
      <w:r>
        <w:t>diferenciada</w:t>
      </w:r>
      <w:r w:rsidRPr="00E56E0B">
        <w:rPr>
          <w:spacing w:val="-6"/>
        </w:rPr>
        <w:t xml:space="preserve"> </w:t>
      </w:r>
      <w:r>
        <w:t>de</w:t>
      </w:r>
      <w:r w:rsidRPr="00E56E0B">
        <w:rPr>
          <w:spacing w:val="-4"/>
        </w:rPr>
        <w:t xml:space="preserve"> </w:t>
      </w:r>
      <w:r>
        <w:t>acuerdo</w:t>
      </w:r>
      <w:r w:rsidRPr="00E56E0B">
        <w:rPr>
          <w:spacing w:val="-5"/>
        </w:rPr>
        <w:t xml:space="preserve"> </w:t>
      </w:r>
      <w:r>
        <w:t>con</w:t>
      </w:r>
      <w:r w:rsidRPr="00E56E0B">
        <w:rPr>
          <w:spacing w:val="-5"/>
        </w:rPr>
        <w:t xml:space="preserve"> </w:t>
      </w:r>
      <w:r>
        <w:t>las</w:t>
      </w:r>
      <w:r w:rsidRPr="00E56E0B">
        <w:rPr>
          <w:spacing w:val="-6"/>
        </w:rPr>
        <w:t xml:space="preserve"> </w:t>
      </w:r>
      <w:r>
        <w:t>realidades</w:t>
      </w:r>
      <w:r w:rsidRPr="00E56E0B">
        <w:rPr>
          <w:spacing w:val="-4"/>
        </w:rPr>
        <w:t xml:space="preserve"> </w:t>
      </w:r>
      <w:r>
        <w:t>y retos</w:t>
      </w:r>
      <w:r w:rsidRPr="00E56E0B">
        <w:rPr>
          <w:spacing w:val="-12"/>
        </w:rPr>
        <w:t xml:space="preserve"> </w:t>
      </w:r>
      <w:r>
        <w:t>territoriales,</w:t>
      </w:r>
      <w:r w:rsidRPr="00E56E0B">
        <w:rPr>
          <w:spacing w:val="-11"/>
        </w:rPr>
        <w:t xml:space="preserve"> </w:t>
      </w:r>
      <w:r>
        <w:t>que</w:t>
      </w:r>
      <w:r w:rsidRPr="00E56E0B">
        <w:rPr>
          <w:spacing w:val="-10"/>
        </w:rPr>
        <w:t xml:space="preserve"> </w:t>
      </w:r>
      <w:r>
        <w:t>tenga</w:t>
      </w:r>
      <w:r w:rsidRPr="00E56E0B">
        <w:rPr>
          <w:spacing w:val="-10"/>
        </w:rPr>
        <w:t xml:space="preserve"> </w:t>
      </w:r>
      <w:r>
        <w:t>en</w:t>
      </w:r>
      <w:r w:rsidRPr="00E56E0B">
        <w:rPr>
          <w:spacing w:val="-11"/>
        </w:rPr>
        <w:t xml:space="preserve"> </w:t>
      </w:r>
      <w:r>
        <w:t>cuenta</w:t>
      </w:r>
      <w:r w:rsidRPr="00E56E0B">
        <w:rPr>
          <w:spacing w:val="-10"/>
        </w:rPr>
        <w:t xml:space="preserve"> </w:t>
      </w:r>
      <w:r>
        <w:t>las</w:t>
      </w:r>
      <w:r w:rsidRPr="00E56E0B">
        <w:rPr>
          <w:spacing w:val="-10"/>
        </w:rPr>
        <w:t xml:space="preserve"> </w:t>
      </w:r>
      <w:r>
        <w:t>necesidades</w:t>
      </w:r>
      <w:r w:rsidRPr="00E56E0B">
        <w:rPr>
          <w:spacing w:val="-10"/>
        </w:rPr>
        <w:t xml:space="preserve"> </w:t>
      </w:r>
      <w:r>
        <w:t>específicas</w:t>
      </w:r>
      <w:r w:rsidRPr="00E56E0B">
        <w:rPr>
          <w:spacing w:val="-10"/>
        </w:rPr>
        <w:t xml:space="preserve"> </w:t>
      </w:r>
      <w:r>
        <w:t>en</w:t>
      </w:r>
      <w:r w:rsidRPr="00E56E0B">
        <w:rPr>
          <w:spacing w:val="-11"/>
        </w:rPr>
        <w:t xml:space="preserve"> </w:t>
      </w:r>
      <w:r>
        <w:t>materia</w:t>
      </w:r>
      <w:r w:rsidRPr="00E56E0B">
        <w:rPr>
          <w:spacing w:val="-10"/>
        </w:rPr>
        <w:t xml:space="preserve"> </w:t>
      </w:r>
      <w:r>
        <w:t>de</w:t>
      </w:r>
      <w:r w:rsidRPr="00E56E0B">
        <w:rPr>
          <w:spacing w:val="-11"/>
        </w:rPr>
        <w:t xml:space="preserve"> </w:t>
      </w:r>
      <w:r>
        <w:t>seguridad</w:t>
      </w:r>
      <w:r w:rsidRPr="00E56E0B">
        <w:rPr>
          <w:spacing w:val="-11"/>
        </w:rPr>
        <w:t xml:space="preserve"> </w:t>
      </w:r>
      <w:r>
        <w:t>en las zonas donde hay presencia de grupos armados ilegales, y que reconozca y respete el rol de las autoridades étnicas. Para ello, se recomienda:</w:t>
      </w:r>
    </w:p>
    <w:p w:rsidR="0011361F" w:rsidRDefault="00AF18A5" w:rsidP="004A6EF4">
      <w:pPr>
        <w:pStyle w:val="Prrafodelista"/>
        <w:numPr>
          <w:ilvl w:val="1"/>
          <w:numId w:val="13"/>
        </w:numPr>
        <w:tabs>
          <w:tab w:val="left" w:pos="1638"/>
        </w:tabs>
        <w:spacing w:before="119"/>
        <w:ind w:right="1337" w:firstLine="284"/>
      </w:pPr>
      <w:r>
        <w:t xml:space="preserve">Fortalecer las </w:t>
      </w:r>
      <w:r>
        <w:rPr>
          <w:b/>
        </w:rPr>
        <w:t xml:space="preserve">capacidades de la Policía </w:t>
      </w:r>
      <w:r>
        <w:rPr>
          <w:b/>
        </w:rPr>
        <w:lastRenderedPageBreak/>
        <w:t xml:space="preserve">Nacional </w:t>
      </w:r>
      <w:r>
        <w:t>para asumir el liderazgo en materia de seguridad ciudadana en ámbitos rurales y de fronteras</w:t>
      </w:r>
      <w:r w:rsidR="00E56E0B">
        <w:rPr>
          <w:rStyle w:val="Refdenotaalpie"/>
        </w:rPr>
        <w:footnoteReference w:id="1267"/>
      </w:r>
      <w:r>
        <w:t>. Para ello es fundamental tener en cuenta la policía de Carabineros y retomar y fortalecer la experiencia de la Unidad Policial para la Edificación de la Paz (UNIPEP).</w:t>
      </w:r>
    </w:p>
    <w:p w:rsidR="003804AC" w:rsidRDefault="00AF18A5" w:rsidP="004A6EF4">
      <w:pPr>
        <w:pStyle w:val="Prrafodelista"/>
        <w:numPr>
          <w:ilvl w:val="1"/>
          <w:numId w:val="13"/>
        </w:numPr>
      </w:pPr>
      <w:bookmarkStart w:id="1654" w:name="_bookmark1433"/>
      <w:bookmarkEnd w:id="1654"/>
      <w:r>
        <w:t xml:space="preserve">Replantear o eliminar los </w:t>
      </w:r>
      <w:r w:rsidRPr="00E56E0B">
        <w:rPr>
          <w:b/>
        </w:rPr>
        <w:t>convenios entre las Fuerzas Militares y las empresas</w:t>
      </w:r>
      <w:r w:rsidRPr="00E56E0B">
        <w:rPr>
          <w:b/>
          <w:spacing w:val="-15"/>
        </w:rPr>
        <w:t xml:space="preserve"> </w:t>
      </w:r>
      <w:r w:rsidRPr="00E56E0B">
        <w:rPr>
          <w:b/>
        </w:rPr>
        <w:t>privadas</w:t>
      </w:r>
      <w:r w:rsidRPr="00E56E0B">
        <w:rPr>
          <w:b/>
          <w:spacing w:val="-15"/>
        </w:rPr>
        <w:t xml:space="preserve"> </w:t>
      </w:r>
      <w:r>
        <w:t>con</w:t>
      </w:r>
      <w:r w:rsidRPr="00E56E0B">
        <w:rPr>
          <w:spacing w:val="-15"/>
        </w:rPr>
        <w:t xml:space="preserve"> </w:t>
      </w:r>
      <w:r>
        <w:t>presencia</w:t>
      </w:r>
      <w:r w:rsidRPr="00E56E0B">
        <w:rPr>
          <w:spacing w:val="-15"/>
        </w:rPr>
        <w:t xml:space="preserve"> </w:t>
      </w:r>
      <w:r>
        <w:t>en</w:t>
      </w:r>
      <w:r w:rsidRPr="00E56E0B">
        <w:rPr>
          <w:spacing w:val="-15"/>
        </w:rPr>
        <w:t xml:space="preserve"> </w:t>
      </w:r>
      <w:r>
        <w:t>lo</w:t>
      </w:r>
      <w:r w:rsidRPr="00E56E0B">
        <w:rPr>
          <w:spacing w:val="-15"/>
        </w:rPr>
        <w:t xml:space="preserve"> </w:t>
      </w:r>
      <w:r>
        <w:t>rural,</w:t>
      </w:r>
      <w:r w:rsidRPr="00E56E0B">
        <w:rPr>
          <w:spacing w:val="-15"/>
        </w:rPr>
        <w:t xml:space="preserve"> </w:t>
      </w:r>
      <w:r>
        <w:t>de</w:t>
      </w:r>
      <w:r w:rsidRPr="00E56E0B">
        <w:rPr>
          <w:spacing w:val="-15"/>
        </w:rPr>
        <w:t xml:space="preserve"> </w:t>
      </w:r>
      <w:r>
        <w:t>manera</w:t>
      </w:r>
      <w:r w:rsidRPr="00E56E0B">
        <w:rPr>
          <w:spacing w:val="-15"/>
        </w:rPr>
        <w:t xml:space="preserve"> </w:t>
      </w:r>
      <w:r>
        <w:t>que</w:t>
      </w:r>
      <w:r w:rsidRPr="00E56E0B">
        <w:rPr>
          <w:spacing w:val="-15"/>
        </w:rPr>
        <w:t xml:space="preserve"> </w:t>
      </w:r>
      <w:r>
        <w:t>se</w:t>
      </w:r>
      <w:r w:rsidRPr="00E56E0B">
        <w:rPr>
          <w:spacing w:val="-15"/>
        </w:rPr>
        <w:t xml:space="preserve"> </w:t>
      </w:r>
      <w:r>
        <w:t>garantice</w:t>
      </w:r>
      <w:r w:rsidRPr="00E56E0B">
        <w:rPr>
          <w:spacing w:val="-15"/>
        </w:rPr>
        <w:t xml:space="preserve"> </w:t>
      </w:r>
      <w:r>
        <w:t>la</w:t>
      </w:r>
      <w:r w:rsidRPr="00E56E0B">
        <w:rPr>
          <w:spacing w:val="-15"/>
        </w:rPr>
        <w:t xml:space="preserve"> </w:t>
      </w:r>
      <w:r>
        <w:t>seguridad como bien público.</w:t>
      </w:r>
    </w:p>
    <w:p w:rsidR="003804AC" w:rsidRDefault="00AF18A5" w:rsidP="004A6EF4">
      <w:pPr>
        <w:pStyle w:val="Prrafodelista"/>
        <w:numPr>
          <w:ilvl w:val="1"/>
          <w:numId w:val="13"/>
        </w:numPr>
      </w:pPr>
      <w:r>
        <w:t xml:space="preserve">Reconocer a las </w:t>
      </w:r>
      <w:r w:rsidRPr="00E56E0B">
        <w:rPr>
          <w:b/>
        </w:rPr>
        <w:t xml:space="preserve">guardias comunitarias </w:t>
      </w:r>
      <w:r>
        <w:t>(indígena, cimarrona y campesina) como mecanismos autónomos de convivencia, protección y cuidado de las comunidades</w:t>
      </w:r>
      <w:r w:rsidRPr="00E56E0B">
        <w:rPr>
          <w:spacing w:val="-1"/>
        </w:rPr>
        <w:t xml:space="preserve"> </w:t>
      </w:r>
      <w:r>
        <w:t>y</w:t>
      </w:r>
      <w:r w:rsidRPr="00E56E0B">
        <w:rPr>
          <w:spacing w:val="-1"/>
        </w:rPr>
        <w:t xml:space="preserve"> </w:t>
      </w:r>
      <w:r>
        <w:t>de</w:t>
      </w:r>
      <w:r w:rsidRPr="00E56E0B">
        <w:rPr>
          <w:spacing w:val="-1"/>
        </w:rPr>
        <w:t xml:space="preserve"> </w:t>
      </w:r>
      <w:r>
        <w:t>la</w:t>
      </w:r>
      <w:r w:rsidRPr="00E56E0B">
        <w:rPr>
          <w:spacing w:val="-1"/>
        </w:rPr>
        <w:t xml:space="preserve"> </w:t>
      </w:r>
      <w:r>
        <w:t>naturaleza,</w:t>
      </w:r>
      <w:r w:rsidRPr="00E56E0B">
        <w:rPr>
          <w:spacing w:val="-1"/>
        </w:rPr>
        <w:t xml:space="preserve"> </w:t>
      </w:r>
      <w:r>
        <w:t>y</w:t>
      </w:r>
      <w:r w:rsidRPr="00E56E0B">
        <w:rPr>
          <w:spacing w:val="-1"/>
        </w:rPr>
        <w:t xml:space="preserve"> </w:t>
      </w:r>
      <w:r>
        <w:t>las</w:t>
      </w:r>
      <w:r w:rsidRPr="00E56E0B">
        <w:rPr>
          <w:spacing w:val="-1"/>
        </w:rPr>
        <w:t xml:space="preserve"> </w:t>
      </w:r>
      <w:r>
        <w:t>diferentes</w:t>
      </w:r>
      <w:r w:rsidRPr="00E56E0B">
        <w:rPr>
          <w:spacing w:val="-2"/>
        </w:rPr>
        <w:t xml:space="preserve"> </w:t>
      </w:r>
      <w:r>
        <w:t>formas</w:t>
      </w:r>
      <w:r w:rsidRPr="00E56E0B">
        <w:rPr>
          <w:spacing w:val="-1"/>
        </w:rPr>
        <w:t xml:space="preserve"> </w:t>
      </w:r>
      <w:r>
        <w:t>de</w:t>
      </w:r>
      <w:r w:rsidRPr="00E56E0B">
        <w:rPr>
          <w:spacing w:val="-1"/>
        </w:rPr>
        <w:t xml:space="preserve"> </w:t>
      </w:r>
      <w:r>
        <w:t>autoprotección</w:t>
      </w:r>
      <w:r w:rsidRPr="00E56E0B">
        <w:rPr>
          <w:spacing w:val="-1"/>
        </w:rPr>
        <w:t xml:space="preserve"> </w:t>
      </w:r>
      <w:r>
        <w:t>y</w:t>
      </w:r>
      <w:r w:rsidRPr="00E56E0B">
        <w:rPr>
          <w:spacing w:val="-1"/>
        </w:rPr>
        <w:t xml:space="preserve"> </w:t>
      </w:r>
      <w:r>
        <w:t>cuidado de organizaciones y comunidades. Así mismo, se deben garantizar mecanismos de interlocución</w:t>
      </w:r>
      <w:r w:rsidRPr="00E56E0B">
        <w:rPr>
          <w:spacing w:val="-3"/>
        </w:rPr>
        <w:t xml:space="preserve"> </w:t>
      </w:r>
      <w:r>
        <w:t>y</w:t>
      </w:r>
      <w:r w:rsidRPr="00E56E0B">
        <w:rPr>
          <w:spacing w:val="-3"/>
        </w:rPr>
        <w:t xml:space="preserve"> </w:t>
      </w:r>
      <w:r>
        <w:t>diálogo</w:t>
      </w:r>
      <w:r w:rsidRPr="00E56E0B">
        <w:rPr>
          <w:spacing w:val="-5"/>
        </w:rPr>
        <w:t xml:space="preserve"> </w:t>
      </w:r>
      <w:r>
        <w:t>entre</w:t>
      </w:r>
      <w:r w:rsidRPr="00E56E0B">
        <w:rPr>
          <w:spacing w:val="-4"/>
        </w:rPr>
        <w:t xml:space="preserve"> </w:t>
      </w:r>
      <w:r>
        <w:t>estas</w:t>
      </w:r>
      <w:r w:rsidRPr="00E56E0B">
        <w:rPr>
          <w:spacing w:val="-3"/>
        </w:rPr>
        <w:t xml:space="preserve"> </w:t>
      </w:r>
      <w:r>
        <w:t>y</w:t>
      </w:r>
      <w:r w:rsidRPr="00E56E0B">
        <w:rPr>
          <w:spacing w:val="-5"/>
        </w:rPr>
        <w:t xml:space="preserve"> </w:t>
      </w:r>
      <w:r>
        <w:t>las</w:t>
      </w:r>
      <w:r w:rsidRPr="00E56E0B">
        <w:rPr>
          <w:spacing w:val="-4"/>
        </w:rPr>
        <w:t xml:space="preserve"> </w:t>
      </w:r>
      <w:r>
        <w:t>instituciones</w:t>
      </w:r>
      <w:r w:rsidRPr="00E56E0B">
        <w:rPr>
          <w:spacing w:val="-3"/>
        </w:rPr>
        <w:t xml:space="preserve"> </w:t>
      </w:r>
      <w:r>
        <w:t>encargadas</w:t>
      </w:r>
      <w:r w:rsidRPr="00E56E0B">
        <w:rPr>
          <w:spacing w:val="-3"/>
        </w:rPr>
        <w:t xml:space="preserve"> </w:t>
      </w:r>
      <w:r>
        <w:t>de</w:t>
      </w:r>
      <w:r w:rsidRPr="00E56E0B">
        <w:rPr>
          <w:spacing w:val="-4"/>
        </w:rPr>
        <w:t xml:space="preserve"> </w:t>
      </w:r>
      <w:r>
        <w:t>la</w:t>
      </w:r>
      <w:r w:rsidRPr="00E56E0B">
        <w:rPr>
          <w:spacing w:val="-4"/>
        </w:rPr>
        <w:t xml:space="preserve"> </w:t>
      </w:r>
      <w:r>
        <w:t>seguridad</w:t>
      </w:r>
      <w:r w:rsidRPr="00E56E0B">
        <w:rPr>
          <w:spacing w:val="-3"/>
        </w:rPr>
        <w:t xml:space="preserve"> </w:t>
      </w:r>
      <w:r>
        <w:t>y</w:t>
      </w:r>
      <w:r w:rsidRPr="00E56E0B">
        <w:rPr>
          <w:spacing w:val="-5"/>
        </w:rPr>
        <w:t xml:space="preserve"> </w:t>
      </w:r>
      <w:r>
        <w:t xml:space="preserve">la </w:t>
      </w:r>
      <w:r w:rsidRPr="00E56E0B">
        <w:rPr>
          <w:spacing w:val="-2"/>
        </w:rPr>
        <w:t>convivencia.</w:t>
      </w:r>
    </w:p>
    <w:p w:rsidR="0011361F" w:rsidRDefault="00AF18A5" w:rsidP="004A6EF4">
      <w:pPr>
        <w:pStyle w:val="Ttulo3"/>
        <w:numPr>
          <w:ilvl w:val="1"/>
          <w:numId w:val="28"/>
        </w:numPr>
      </w:pPr>
      <w:bookmarkStart w:id="1655" w:name="6.6._Cooperación_militar"/>
      <w:bookmarkStart w:id="1656" w:name="_Toc112399714"/>
      <w:bookmarkEnd w:id="1655"/>
      <w:r>
        <w:t>Cooperación</w:t>
      </w:r>
      <w:r>
        <w:rPr>
          <w:spacing w:val="-3"/>
        </w:rPr>
        <w:t xml:space="preserve"> </w:t>
      </w:r>
      <w:r w:rsidRPr="00E56E0B">
        <w:t>militar</w:t>
      </w:r>
      <w:bookmarkEnd w:id="1656"/>
    </w:p>
    <w:p w:rsidR="0011361F" w:rsidRDefault="00AF18A5" w:rsidP="00E56E0B">
      <w:r>
        <w:t>Mediano</w:t>
      </w:r>
      <w:r>
        <w:rPr>
          <w:spacing w:val="-3"/>
        </w:rPr>
        <w:t xml:space="preserve"> </w:t>
      </w:r>
      <w:r>
        <w:rPr>
          <w:spacing w:val="-2"/>
        </w:rPr>
        <w:t>plazo</w:t>
      </w:r>
    </w:p>
    <w:p w:rsidR="00E56E0B" w:rsidRDefault="00AF18A5" w:rsidP="004A6EF4">
      <w:pPr>
        <w:pStyle w:val="Prrafodelista"/>
        <w:numPr>
          <w:ilvl w:val="0"/>
          <w:numId w:val="31"/>
        </w:numPr>
      </w:pPr>
      <w:r w:rsidRPr="00E56E0B">
        <w:rPr>
          <w:b/>
        </w:rPr>
        <w:t>Al Gobierno Nacional y al Congreso de la República, en caso de tratados internacionales, s</w:t>
      </w:r>
      <w:r>
        <w:t xml:space="preserve">ometer los acuerdos de cooperación internacional en materia militar a procedimientos de debate público y transparente en el que participe la ciudadanía y los organismos de control según sus competencias. En particular, se deberán someter a este debate </w:t>
      </w:r>
      <w:r>
        <w:lastRenderedPageBreak/>
        <w:t>aquellos que brinden inmunidad a agentes extranjeros sobre violaciones de derechos humanos e infracciones al DIH cometidos en Colombia.</w:t>
      </w:r>
    </w:p>
    <w:p w:rsidR="00E56E0B" w:rsidRDefault="00E56E0B">
      <w:pPr>
        <w:spacing w:before="0" w:after="0" w:line="240" w:lineRule="auto"/>
      </w:pPr>
      <w:r>
        <w:br w:type="page"/>
      </w:r>
    </w:p>
    <w:p w:rsidR="0011361F" w:rsidRDefault="00AF18A5" w:rsidP="004A6EF4">
      <w:pPr>
        <w:pStyle w:val="Ttulo2"/>
        <w:numPr>
          <w:ilvl w:val="0"/>
          <w:numId w:val="28"/>
        </w:numPr>
      </w:pPr>
      <w:bookmarkStart w:id="1657" w:name="7._PARA_CONTRIBUIR_A_LA_PAZ_TERRITORIAL"/>
      <w:bookmarkStart w:id="1658" w:name="_Toc112399715"/>
      <w:bookmarkEnd w:id="1657"/>
      <w:r>
        <w:rPr>
          <w:w w:val="95"/>
        </w:rPr>
        <w:lastRenderedPageBreak/>
        <w:t>PARA</w:t>
      </w:r>
      <w:r>
        <w:rPr>
          <w:spacing w:val="15"/>
        </w:rPr>
        <w:t xml:space="preserve"> </w:t>
      </w:r>
      <w:r>
        <w:rPr>
          <w:w w:val="95"/>
        </w:rPr>
        <w:t>CONTRIBUIR</w:t>
      </w:r>
      <w:r>
        <w:rPr>
          <w:spacing w:val="15"/>
        </w:rPr>
        <w:t xml:space="preserve"> </w:t>
      </w:r>
      <w:r>
        <w:rPr>
          <w:w w:val="95"/>
        </w:rPr>
        <w:t>A</w:t>
      </w:r>
      <w:r>
        <w:rPr>
          <w:spacing w:val="12"/>
        </w:rPr>
        <w:t xml:space="preserve"> </w:t>
      </w:r>
      <w:r>
        <w:rPr>
          <w:w w:val="95"/>
        </w:rPr>
        <w:t>LA</w:t>
      </w:r>
      <w:r>
        <w:rPr>
          <w:spacing w:val="11"/>
        </w:rPr>
        <w:t xml:space="preserve"> </w:t>
      </w:r>
      <w:r>
        <w:rPr>
          <w:w w:val="95"/>
        </w:rPr>
        <w:t>PAZ</w:t>
      </w:r>
      <w:r>
        <w:rPr>
          <w:spacing w:val="12"/>
        </w:rPr>
        <w:t xml:space="preserve"> </w:t>
      </w:r>
      <w:r>
        <w:rPr>
          <w:spacing w:val="-2"/>
          <w:w w:val="95"/>
        </w:rPr>
        <w:t>TERRITORIAL</w:t>
      </w:r>
      <w:bookmarkEnd w:id="1658"/>
    </w:p>
    <w:p w:rsidR="003804AC" w:rsidRPr="00250B10" w:rsidRDefault="00AF18A5" w:rsidP="00250B10">
      <w:r>
        <w:t>Para</w:t>
      </w:r>
      <w:r>
        <w:rPr>
          <w:spacing w:val="-3"/>
        </w:rPr>
        <w:t xml:space="preserve"> </w:t>
      </w:r>
      <w:r>
        <w:t>nosotros</w:t>
      </w:r>
      <w:r>
        <w:rPr>
          <w:spacing w:val="-3"/>
        </w:rPr>
        <w:t xml:space="preserve"> </w:t>
      </w:r>
      <w:r>
        <w:t>la</w:t>
      </w:r>
      <w:r>
        <w:rPr>
          <w:spacing w:val="-1"/>
        </w:rPr>
        <w:t xml:space="preserve"> </w:t>
      </w:r>
      <w:r>
        <w:t>paz,</w:t>
      </w:r>
      <w:r>
        <w:rPr>
          <w:spacing w:val="-2"/>
        </w:rPr>
        <w:t xml:space="preserve"> </w:t>
      </w:r>
      <w:r>
        <w:t>es</w:t>
      </w:r>
      <w:r>
        <w:rPr>
          <w:spacing w:val="-3"/>
        </w:rPr>
        <w:t xml:space="preserve"> </w:t>
      </w:r>
      <w:r>
        <w:t>que</w:t>
      </w:r>
      <w:r>
        <w:rPr>
          <w:spacing w:val="-2"/>
        </w:rPr>
        <w:t xml:space="preserve"> </w:t>
      </w:r>
      <w:r>
        <w:t>la</w:t>
      </w:r>
      <w:r>
        <w:rPr>
          <w:spacing w:val="-3"/>
        </w:rPr>
        <w:t xml:space="preserve"> </w:t>
      </w:r>
      <w:r>
        <w:t>paz</w:t>
      </w:r>
      <w:r>
        <w:rPr>
          <w:spacing w:val="-3"/>
        </w:rPr>
        <w:t xml:space="preserve"> </w:t>
      </w:r>
      <w:r>
        <w:t>llegué</w:t>
      </w:r>
      <w:r>
        <w:rPr>
          <w:spacing w:val="-3"/>
        </w:rPr>
        <w:t xml:space="preserve"> </w:t>
      </w:r>
      <w:r>
        <w:t>al</w:t>
      </w:r>
      <w:r>
        <w:rPr>
          <w:spacing w:val="-4"/>
        </w:rPr>
        <w:t xml:space="preserve"> </w:t>
      </w:r>
      <w:r>
        <w:t>corazón.</w:t>
      </w:r>
      <w:r>
        <w:rPr>
          <w:spacing w:val="-3"/>
        </w:rPr>
        <w:t xml:space="preserve"> </w:t>
      </w:r>
      <w:r>
        <w:t>O</w:t>
      </w:r>
      <w:r>
        <w:rPr>
          <w:spacing w:val="-3"/>
        </w:rPr>
        <w:t xml:space="preserve"> </w:t>
      </w:r>
      <w:r>
        <w:t>sea,</w:t>
      </w:r>
      <w:r>
        <w:rPr>
          <w:spacing w:val="-2"/>
        </w:rPr>
        <w:t xml:space="preserve"> </w:t>
      </w:r>
      <w:r>
        <w:t>la</w:t>
      </w:r>
      <w:r>
        <w:rPr>
          <w:spacing w:val="-3"/>
        </w:rPr>
        <w:t xml:space="preserve"> </w:t>
      </w:r>
      <w:r>
        <w:t>paz</w:t>
      </w:r>
      <w:r>
        <w:rPr>
          <w:spacing w:val="-3"/>
        </w:rPr>
        <w:t xml:space="preserve"> </w:t>
      </w:r>
      <w:r>
        <w:t>definitivamente</w:t>
      </w:r>
      <w:r>
        <w:rPr>
          <w:spacing w:val="-2"/>
        </w:rPr>
        <w:t xml:space="preserve"> </w:t>
      </w:r>
      <w:r>
        <w:t>es</w:t>
      </w:r>
      <w:r>
        <w:rPr>
          <w:spacing w:val="-3"/>
        </w:rPr>
        <w:t xml:space="preserve"> </w:t>
      </w:r>
      <w:r>
        <w:t>cuando</w:t>
      </w:r>
      <w:r>
        <w:rPr>
          <w:spacing w:val="-1"/>
        </w:rPr>
        <w:t xml:space="preserve"> </w:t>
      </w:r>
      <w:r>
        <w:t>logremos vivir dignamente, [cuando] estén cubiertas las necesidades más básicas y logremos no vivir en exceso, sino con</w:t>
      </w:r>
      <w:r>
        <w:rPr>
          <w:spacing w:val="-6"/>
        </w:rPr>
        <w:t xml:space="preserve"> </w:t>
      </w:r>
      <w:r>
        <w:t>dignidad.</w:t>
      </w:r>
      <w:r>
        <w:rPr>
          <w:spacing w:val="-3"/>
        </w:rPr>
        <w:t xml:space="preserve"> </w:t>
      </w:r>
      <w:r>
        <w:t>Entonces</w:t>
      </w:r>
      <w:r>
        <w:rPr>
          <w:spacing w:val="-3"/>
        </w:rPr>
        <w:t xml:space="preserve"> </w:t>
      </w:r>
      <w:r>
        <w:t>llegará</w:t>
      </w:r>
      <w:r>
        <w:rPr>
          <w:spacing w:val="-1"/>
        </w:rPr>
        <w:t xml:space="preserve"> </w:t>
      </w:r>
      <w:r>
        <w:t>la</w:t>
      </w:r>
      <w:r>
        <w:rPr>
          <w:spacing w:val="-3"/>
        </w:rPr>
        <w:t xml:space="preserve"> </w:t>
      </w:r>
      <w:r>
        <w:t>paz</w:t>
      </w:r>
      <w:r>
        <w:rPr>
          <w:spacing w:val="-3"/>
        </w:rPr>
        <w:t xml:space="preserve"> </w:t>
      </w:r>
      <w:r>
        <w:t>al</w:t>
      </w:r>
      <w:r>
        <w:rPr>
          <w:spacing w:val="-3"/>
        </w:rPr>
        <w:t xml:space="preserve"> </w:t>
      </w:r>
      <w:r>
        <w:t>corazón,</w:t>
      </w:r>
      <w:r>
        <w:rPr>
          <w:spacing w:val="-2"/>
        </w:rPr>
        <w:t xml:space="preserve"> </w:t>
      </w:r>
      <w:r>
        <w:t>lo</w:t>
      </w:r>
      <w:r>
        <w:rPr>
          <w:spacing w:val="-3"/>
        </w:rPr>
        <w:t xml:space="preserve"> </w:t>
      </w:r>
      <w:r>
        <w:t>que</w:t>
      </w:r>
      <w:r>
        <w:rPr>
          <w:spacing w:val="-2"/>
        </w:rPr>
        <w:t xml:space="preserve"> </w:t>
      </w:r>
      <w:r>
        <w:t>en</w:t>
      </w:r>
      <w:r>
        <w:rPr>
          <w:spacing w:val="-1"/>
        </w:rPr>
        <w:t xml:space="preserve"> </w:t>
      </w:r>
      <w:r>
        <w:t>Nasa</w:t>
      </w:r>
      <w:r>
        <w:rPr>
          <w:spacing w:val="-3"/>
        </w:rPr>
        <w:t xml:space="preserve"> </w:t>
      </w:r>
      <w:r>
        <w:t>es</w:t>
      </w:r>
      <w:r>
        <w:rPr>
          <w:spacing w:val="-2"/>
        </w:rPr>
        <w:t xml:space="preserve"> </w:t>
      </w:r>
      <w:r>
        <w:t>el</w:t>
      </w:r>
      <w:r>
        <w:rPr>
          <w:spacing w:val="-4"/>
        </w:rPr>
        <w:t xml:space="preserve"> </w:t>
      </w:r>
      <w:proofErr w:type="spellStart"/>
      <w:r>
        <w:t>Üss</w:t>
      </w:r>
      <w:proofErr w:type="spellEnd"/>
      <w:r>
        <w:rPr>
          <w:spacing w:val="-2"/>
        </w:rPr>
        <w:t xml:space="preserve"> </w:t>
      </w:r>
      <w:proofErr w:type="spellStart"/>
      <w:r>
        <w:t>Pehnxi</w:t>
      </w:r>
      <w:proofErr w:type="spellEnd"/>
      <w:r>
        <w:t>,</w:t>
      </w:r>
      <w:r>
        <w:rPr>
          <w:spacing w:val="-3"/>
        </w:rPr>
        <w:t xml:space="preserve"> </w:t>
      </w:r>
      <w:r>
        <w:t>que</w:t>
      </w:r>
      <w:r>
        <w:rPr>
          <w:spacing w:val="-3"/>
        </w:rPr>
        <w:t xml:space="preserve"> </w:t>
      </w:r>
      <w:r>
        <w:t>es</w:t>
      </w:r>
      <w:r>
        <w:rPr>
          <w:spacing w:val="-2"/>
        </w:rPr>
        <w:t xml:space="preserve"> </w:t>
      </w:r>
      <w:r>
        <w:t>como</w:t>
      </w:r>
      <w:r>
        <w:rPr>
          <w:spacing w:val="-2"/>
        </w:rPr>
        <w:t xml:space="preserve"> </w:t>
      </w:r>
      <w:r>
        <w:t>«la</w:t>
      </w:r>
      <w:r>
        <w:rPr>
          <w:spacing w:val="-3"/>
        </w:rPr>
        <w:t xml:space="preserve"> </w:t>
      </w:r>
      <w:r>
        <w:t>paz</w:t>
      </w:r>
      <w:r>
        <w:rPr>
          <w:spacing w:val="-2"/>
        </w:rPr>
        <w:t xml:space="preserve"> </w:t>
      </w:r>
      <w:r>
        <w:t>y</w:t>
      </w:r>
      <w:r>
        <w:rPr>
          <w:spacing w:val="-2"/>
        </w:rPr>
        <w:t xml:space="preserve"> </w:t>
      </w:r>
      <w:r>
        <w:rPr>
          <w:spacing w:val="-5"/>
        </w:rPr>
        <w:t>la</w:t>
      </w:r>
      <w:r w:rsidR="00250B10">
        <w:rPr>
          <w:spacing w:val="-5"/>
        </w:rPr>
        <w:t xml:space="preserve"> </w:t>
      </w:r>
      <w:r w:rsidRPr="00250B10">
        <w:t>justicia del corazón»</w:t>
      </w:r>
      <w:r w:rsidR="00250B10">
        <w:rPr>
          <w:rStyle w:val="Refdenotaalpie"/>
        </w:rPr>
        <w:footnoteReference w:id="1268"/>
      </w:r>
      <w:r w:rsidRPr="00250B10">
        <w:t>.</w:t>
      </w:r>
    </w:p>
    <w:p w:rsidR="003804AC" w:rsidRPr="00250B10" w:rsidRDefault="00AF18A5" w:rsidP="00250B10">
      <w:r w:rsidRPr="00250B10">
        <w:t>El territorio es […] nuestra vida. Ahí es donde nosotros nacemos, nosotros nos criamos y nos formamos. Es en los territorios, desde el campo, cultivando, sembrando […]: eso es lo que hacemos. Es nuestra apuesta.</w:t>
      </w:r>
    </w:p>
    <w:p w:rsidR="0011361F" w:rsidRPr="00250B10" w:rsidRDefault="00AF18A5" w:rsidP="00250B10">
      <w:r w:rsidRPr="00250B10">
        <w:t>Tenemos unos sueños y esos sueños es lo que nos tiene aquí</w:t>
      </w:r>
      <w:r w:rsidR="00250B10">
        <w:rPr>
          <w:rStyle w:val="Refdenotaalpie"/>
        </w:rPr>
        <w:footnoteReference w:id="1269"/>
      </w:r>
      <w:r w:rsidRPr="00250B10">
        <w:t>.</w:t>
      </w:r>
    </w:p>
    <w:p w:rsidR="003804AC" w:rsidRDefault="00AF18A5" w:rsidP="00250B10">
      <w:bookmarkStart w:id="1659" w:name="_bookmark1436"/>
      <w:bookmarkStart w:id="1660" w:name="_bookmark1437"/>
      <w:bookmarkEnd w:id="1659"/>
      <w:bookmarkEnd w:id="1660"/>
      <w:r>
        <w:t>Las grandes desigualdades del campo, y aquellas que existen entre las zonas urbanas y las rurales, han incidido directamente en el surgimiento y la prolongación del conflicto armado interno. La alta concentración de la tierras productivas y dotadas de bienes y servicios en manos de unos pocos propietarios es uno de los mayores lastres que arrastra la sociedad colombiana a lo largo de su historia. A ello se suman otras desigualdades, como las relacionadas</w:t>
      </w:r>
      <w:r>
        <w:rPr>
          <w:spacing w:val="-6"/>
        </w:rPr>
        <w:t xml:space="preserve"> </w:t>
      </w:r>
      <w:r>
        <w:t>con</w:t>
      </w:r>
      <w:r>
        <w:rPr>
          <w:spacing w:val="-5"/>
        </w:rPr>
        <w:t xml:space="preserve"> </w:t>
      </w:r>
      <w:r>
        <w:t>la</w:t>
      </w:r>
      <w:r>
        <w:rPr>
          <w:spacing w:val="-5"/>
        </w:rPr>
        <w:t xml:space="preserve"> </w:t>
      </w:r>
      <w:r>
        <w:t>satisfacción</w:t>
      </w:r>
      <w:r>
        <w:rPr>
          <w:spacing w:val="-5"/>
        </w:rPr>
        <w:t xml:space="preserve"> </w:t>
      </w:r>
      <w:r>
        <w:t>de</w:t>
      </w:r>
      <w:r>
        <w:rPr>
          <w:spacing w:val="-5"/>
        </w:rPr>
        <w:t xml:space="preserve"> </w:t>
      </w:r>
      <w:r>
        <w:t>necesidades</w:t>
      </w:r>
      <w:r>
        <w:rPr>
          <w:spacing w:val="-5"/>
        </w:rPr>
        <w:t xml:space="preserve"> </w:t>
      </w:r>
      <w:r>
        <w:t>básicas,</w:t>
      </w:r>
      <w:r>
        <w:rPr>
          <w:spacing w:val="-6"/>
        </w:rPr>
        <w:t xml:space="preserve"> </w:t>
      </w:r>
      <w:r>
        <w:t>la</w:t>
      </w:r>
      <w:r>
        <w:rPr>
          <w:spacing w:val="-5"/>
        </w:rPr>
        <w:t xml:space="preserve"> </w:t>
      </w:r>
      <w:r>
        <w:t>producción</w:t>
      </w:r>
      <w:r>
        <w:rPr>
          <w:spacing w:val="-5"/>
        </w:rPr>
        <w:t xml:space="preserve"> </w:t>
      </w:r>
      <w:r>
        <w:t>y</w:t>
      </w:r>
      <w:r>
        <w:rPr>
          <w:spacing w:val="-5"/>
        </w:rPr>
        <w:t xml:space="preserve"> </w:t>
      </w:r>
      <w:r>
        <w:t>goce</w:t>
      </w:r>
      <w:r>
        <w:rPr>
          <w:spacing w:val="-5"/>
        </w:rPr>
        <w:t xml:space="preserve"> </w:t>
      </w:r>
      <w:r>
        <w:t>de</w:t>
      </w:r>
      <w:r>
        <w:rPr>
          <w:spacing w:val="-5"/>
        </w:rPr>
        <w:t xml:space="preserve"> </w:t>
      </w:r>
      <w:r>
        <w:t>riqueza</w:t>
      </w:r>
      <w:r>
        <w:rPr>
          <w:spacing w:val="-5"/>
        </w:rPr>
        <w:t xml:space="preserve"> </w:t>
      </w:r>
      <w:r>
        <w:t>y</w:t>
      </w:r>
      <w:r>
        <w:rPr>
          <w:spacing w:val="-5"/>
        </w:rPr>
        <w:t xml:space="preserve"> </w:t>
      </w:r>
      <w:r>
        <w:t>la toma decisiones en relación con el desarrollo y el ordenamiento territorial.</w:t>
      </w:r>
    </w:p>
    <w:p w:rsidR="003804AC" w:rsidRDefault="00AF18A5" w:rsidP="00250B10">
      <w:r>
        <w:t>El</w:t>
      </w:r>
      <w:r>
        <w:rPr>
          <w:spacing w:val="-2"/>
        </w:rPr>
        <w:t xml:space="preserve"> </w:t>
      </w:r>
      <w:r>
        <w:t>conflicto</w:t>
      </w:r>
      <w:r>
        <w:rPr>
          <w:spacing w:val="-2"/>
        </w:rPr>
        <w:t xml:space="preserve"> </w:t>
      </w:r>
      <w:r>
        <w:t>armado</w:t>
      </w:r>
      <w:r>
        <w:rPr>
          <w:spacing w:val="-2"/>
        </w:rPr>
        <w:t xml:space="preserve"> </w:t>
      </w:r>
      <w:r>
        <w:t>se</w:t>
      </w:r>
      <w:r>
        <w:rPr>
          <w:spacing w:val="-2"/>
        </w:rPr>
        <w:t xml:space="preserve"> </w:t>
      </w:r>
      <w:r>
        <w:t>desató</w:t>
      </w:r>
      <w:r>
        <w:rPr>
          <w:spacing w:val="-2"/>
        </w:rPr>
        <w:t xml:space="preserve"> </w:t>
      </w:r>
      <w:r>
        <w:t>y</w:t>
      </w:r>
      <w:r>
        <w:rPr>
          <w:spacing w:val="-2"/>
        </w:rPr>
        <w:t xml:space="preserve"> </w:t>
      </w:r>
      <w:r>
        <w:t>libró</w:t>
      </w:r>
      <w:r>
        <w:rPr>
          <w:spacing w:val="-3"/>
        </w:rPr>
        <w:t xml:space="preserve"> </w:t>
      </w:r>
      <w:r>
        <w:t>predominantemente</w:t>
      </w:r>
      <w:r>
        <w:rPr>
          <w:spacing w:val="-2"/>
        </w:rPr>
        <w:t xml:space="preserve"> </w:t>
      </w:r>
      <w:r>
        <w:t>en</w:t>
      </w:r>
      <w:r>
        <w:rPr>
          <w:spacing w:val="-2"/>
        </w:rPr>
        <w:t xml:space="preserve"> </w:t>
      </w:r>
      <w:r>
        <w:t>esta</w:t>
      </w:r>
      <w:r>
        <w:rPr>
          <w:spacing w:val="-2"/>
        </w:rPr>
        <w:t xml:space="preserve"> </w:t>
      </w:r>
      <w:r>
        <w:t>ruralidad</w:t>
      </w:r>
      <w:r>
        <w:rPr>
          <w:spacing w:val="-2"/>
        </w:rPr>
        <w:t xml:space="preserve"> </w:t>
      </w:r>
      <w:r>
        <w:t>desigual;</w:t>
      </w:r>
      <w:r>
        <w:rPr>
          <w:spacing w:val="-2"/>
        </w:rPr>
        <w:t xml:space="preserve"> </w:t>
      </w:r>
      <w:r>
        <w:t>y</w:t>
      </w:r>
      <w:r>
        <w:rPr>
          <w:spacing w:val="-2"/>
        </w:rPr>
        <w:t xml:space="preserve"> </w:t>
      </w:r>
      <w:r>
        <w:t xml:space="preserve">en muchas regiones, condujo a que esa desigualdad estructural se agravara. La guerra provocó un fenómeno masivo de desplazamiento forzado de población del campo a los centros </w:t>
      </w:r>
      <w:r>
        <w:lastRenderedPageBreak/>
        <w:t>urbanos</w:t>
      </w:r>
      <w:r>
        <w:rPr>
          <w:spacing w:val="-5"/>
        </w:rPr>
        <w:t xml:space="preserve"> </w:t>
      </w:r>
      <w:r>
        <w:t>y</w:t>
      </w:r>
      <w:r>
        <w:rPr>
          <w:spacing w:val="-5"/>
        </w:rPr>
        <w:t xml:space="preserve"> </w:t>
      </w:r>
      <w:r>
        <w:t>despojo</w:t>
      </w:r>
      <w:r>
        <w:rPr>
          <w:spacing w:val="-5"/>
        </w:rPr>
        <w:t xml:space="preserve"> </w:t>
      </w:r>
      <w:r>
        <w:t>de</w:t>
      </w:r>
      <w:r>
        <w:rPr>
          <w:spacing w:val="-6"/>
        </w:rPr>
        <w:t xml:space="preserve"> </w:t>
      </w:r>
      <w:r>
        <w:t>tierras</w:t>
      </w:r>
      <w:r>
        <w:rPr>
          <w:spacing w:val="-5"/>
        </w:rPr>
        <w:t xml:space="preserve"> </w:t>
      </w:r>
      <w:r>
        <w:t>y,</w:t>
      </w:r>
      <w:r>
        <w:rPr>
          <w:spacing w:val="-5"/>
        </w:rPr>
        <w:t xml:space="preserve"> </w:t>
      </w:r>
      <w:r>
        <w:t>de</w:t>
      </w:r>
      <w:r>
        <w:rPr>
          <w:spacing w:val="-5"/>
        </w:rPr>
        <w:t xml:space="preserve"> </w:t>
      </w:r>
      <w:r>
        <w:t>manera</w:t>
      </w:r>
      <w:r>
        <w:rPr>
          <w:spacing w:val="-5"/>
        </w:rPr>
        <w:t xml:space="preserve"> </w:t>
      </w:r>
      <w:r>
        <w:t>correlativa,</w:t>
      </w:r>
      <w:r>
        <w:rPr>
          <w:spacing w:val="-5"/>
        </w:rPr>
        <w:t xml:space="preserve"> </w:t>
      </w:r>
      <w:r>
        <w:t>una</w:t>
      </w:r>
      <w:r>
        <w:rPr>
          <w:spacing w:val="-6"/>
        </w:rPr>
        <w:t xml:space="preserve"> </w:t>
      </w:r>
      <w:r>
        <w:t>creciente</w:t>
      </w:r>
      <w:r>
        <w:rPr>
          <w:spacing w:val="-6"/>
        </w:rPr>
        <w:t xml:space="preserve"> </w:t>
      </w:r>
      <w:r>
        <w:t>acumulación</w:t>
      </w:r>
      <w:r>
        <w:rPr>
          <w:spacing w:val="-6"/>
        </w:rPr>
        <w:t xml:space="preserve"> </w:t>
      </w:r>
      <w:r>
        <w:t>de</w:t>
      </w:r>
      <w:r>
        <w:rPr>
          <w:spacing w:val="-6"/>
        </w:rPr>
        <w:t xml:space="preserve"> </w:t>
      </w:r>
      <w:r>
        <w:t>tierras</w:t>
      </w:r>
      <w:r>
        <w:rPr>
          <w:spacing w:val="-5"/>
        </w:rPr>
        <w:t xml:space="preserve"> </w:t>
      </w:r>
      <w:r>
        <w:t>y un acaparamiento de recursos vitales como el agua o la infraestructura pública. Esta desposesión por vía de acumulación y reconfiguración violenta de muchos territorios ha afectado</w:t>
      </w:r>
      <w:r>
        <w:rPr>
          <w:spacing w:val="-14"/>
        </w:rPr>
        <w:t xml:space="preserve"> </w:t>
      </w:r>
      <w:r>
        <w:t>de</w:t>
      </w:r>
      <w:r>
        <w:rPr>
          <w:spacing w:val="-14"/>
        </w:rPr>
        <w:t xml:space="preserve"> </w:t>
      </w:r>
      <w:r>
        <w:t>manera</w:t>
      </w:r>
      <w:r>
        <w:rPr>
          <w:spacing w:val="-14"/>
        </w:rPr>
        <w:t xml:space="preserve"> </w:t>
      </w:r>
      <w:r>
        <w:t>diferenciada</w:t>
      </w:r>
      <w:r>
        <w:rPr>
          <w:spacing w:val="-14"/>
        </w:rPr>
        <w:t xml:space="preserve"> </w:t>
      </w:r>
      <w:r>
        <w:t>y</w:t>
      </w:r>
      <w:r>
        <w:rPr>
          <w:spacing w:val="-14"/>
        </w:rPr>
        <w:t xml:space="preserve"> </w:t>
      </w:r>
      <w:r>
        <w:t>desproporcionada</w:t>
      </w:r>
      <w:r>
        <w:rPr>
          <w:spacing w:val="-14"/>
        </w:rPr>
        <w:t xml:space="preserve"> </w:t>
      </w:r>
      <w:r>
        <w:t>a</w:t>
      </w:r>
      <w:r>
        <w:rPr>
          <w:spacing w:val="-14"/>
        </w:rPr>
        <w:t xml:space="preserve"> </w:t>
      </w:r>
      <w:r>
        <w:t>las</w:t>
      </w:r>
      <w:r>
        <w:rPr>
          <w:spacing w:val="-14"/>
        </w:rPr>
        <w:t xml:space="preserve"> </w:t>
      </w:r>
      <w:r>
        <w:t>poblaciones</w:t>
      </w:r>
      <w:r>
        <w:rPr>
          <w:spacing w:val="-14"/>
        </w:rPr>
        <w:t xml:space="preserve"> </w:t>
      </w:r>
      <w:r>
        <w:t>rurales</w:t>
      </w:r>
      <w:r>
        <w:rPr>
          <w:spacing w:val="-14"/>
        </w:rPr>
        <w:t xml:space="preserve"> </w:t>
      </w:r>
      <w:r>
        <w:t>históricamente más excluidas: comunidades campesinas, pueblos étnicos, mujeres, personas LGBTIQ+, niñas,</w:t>
      </w:r>
      <w:r>
        <w:rPr>
          <w:spacing w:val="-3"/>
        </w:rPr>
        <w:t xml:space="preserve"> </w:t>
      </w:r>
      <w:r>
        <w:t>niños,</w:t>
      </w:r>
      <w:r>
        <w:rPr>
          <w:spacing w:val="-5"/>
        </w:rPr>
        <w:t xml:space="preserve"> </w:t>
      </w:r>
      <w:r>
        <w:t>adolescentes</w:t>
      </w:r>
      <w:r>
        <w:rPr>
          <w:spacing w:val="-3"/>
        </w:rPr>
        <w:t xml:space="preserve"> </w:t>
      </w:r>
      <w:r>
        <w:t>y</w:t>
      </w:r>
      <w:r>
        <w:rPr>
          <w:spacing w:val="-3"/>
        </w:rPr>
        <w:t xml:space="preserve"> </w:t>
      </w:r>
      <w:r>
        <w:t>otras</w:t>
      </w:r>
      <w:r>
        <w:rPr>
          <w:spacing w:val="-3"/>
        </w:rPr>
        <w:t xml:space="preserve"> </w:t>
      </w:r>
      <w:r>
        <w:t>poblaciones</w:t>
      </w:r>
      <w:r>
        <w:rPr>
          <w:spacing w:val="-3"/>
        </w:rPr>
        <w:t xml:space="preserve"> </w:t>
      </w:r>
      <w:r>
        <w:t>desaventajadas</w:t>
      </w:r>
      <w:r>
        <w:rPr>
          <w:spacing w:val="-6"/>
        </w:rPr>
        <w:t xml:space="preserve"> </w:t>
      </w:r>
      <w:r>
        <w:t>del</w:t>
      </w:r>
      <w:r>
        <w:rPr>
          <w:spacing w:val="-3"/>
        </w:rPr>
        <w:t xml:space="preserve"> </w:t>
      </w:r>
      <w:r>
        <w:t>campo.</w:t>
      </w:r>
      <w:r>
        <w:rPr>
          <w:spacing w:val="-5"/>
        </w:rPr>
        <w:t xml:space="preserve"> </w:t>
      </w:r>
      <w:r>
        <w:t>En</w:t>
      </w:r>
      <w:r>
        <w:rPr>
          <w:spacing w:val="-3"/>
        </w:rPr>
        <w:t xml:space="preserve"> </w:t>
      </w:r>
      <w:r>
        <w:t>el</w:t>
      </w:r>
      <w:r>
        <w:rPr>
          <w:spacing w:val="-3"/>
        </w:rPr>
        <w:t xml:space="preserve"> </w:t>
      </w:r>
      <w:r>
        <w:t>caso</w:t>
      </w:r>
      <w:r>
        <w:rPr>
          <w:spacing w:val="-3"/>
        </w:rPr>
        <w:t xml:space="preserve"> </w:t>
      </w:r>
      <w:r>
        <w:t>de</w:t>
      </w:r>
      <w:r>
        <w:rPr>
          <w:spacing w:val="-3"/>
        </w:rPr>
        <w:t xml:space="preserve"> </w:t>
      </w:r>
      <w:r>
        <w:t>las</w:t>
      </w:r>
      <w:r>
        <w:rPr>
          <w:spacing w:val="-4"/>
        </w:rPr>
        <w:t xml:space="preserve"> </w:t>
      </w:r>
      <w:r>
        <w:t>y los jóvenes, el impacto ha sido especialmente grave.</w:t>
      </w:r>
    </w:p>
    <w:p w:rsidR="003804AC" w:rsidRDefault="00AF18A5" w:rsidP="00250B10">
      <w:r>
        <w:t>Por varias generaciones y por cuenta de todos los actores armados, la juventud rural ha</w:t>
      </w:r>
      <w:r>
        <w:rPr>
          <w:spacing w:val="-6"/>
        </w:rPr>
        <w:t xml:space="preserve"> </w:t>
      </w:r>
      <w:r>
        <w:t>sido</w:t>
      </w:r>
      <w:r>
        <w:rPr>
          <w:spacing w:val="-6"/>
        </w:rPr>
        <w:t xml:space="preserve"> </w:t>
      </w:r>
      <w:r>
        <w:t>arrastrada</w:t>
      </w:r>
      <w:r>
        <w:rPr>
          <w:spacing w:val="-6"/>
        </w:rPr>
        <w:t xml:space="preserve"> </w:t>
      </w:r>
      <w:r>
        <w:t>a</w:t>
      </w:r>
      <w:r>
        <w:rPr>
          <w:spacing w:val="-6"/>
        </w:rPr>
        <w:t xml:space="preserve"> </w:t>
      </w:r>
      <w:r>
        <w:t>padecer</w:t>
      </w:r>
      <w:r>
        <w:rPr>
          <w:spacing w:val="-6"/>
        </w:rPr>
        <w:t xml:space="preserve"> </w:t>
      </w:r>
      <w:r>
        <w:t>y</w:t>
      </w:r>
      <w:r>
        <w:rPr>
          <w:spacing w:val="-6"/>
        </w:rPr>
        <w:t xml:space="preserve"> </w:t>
      </w:r>
      <w:r>
        <w:t>librar</w:t>
      </w:r>
      <w:r>
        <w:rPr>
          <w:spacing w:val="-6"/>
        </w:rPr>
        <w:t xml:space="preserve"> </w:t>
      </w:r>
      <w:r>
        <w:t>la</w:t>
      </w:r>
      <w:r>
        <w:rPr>
          <w:spacing w:val="-6"/>
        </w:rPr>
        <w:t xml:space="preserve"> </w:t>
      </w:r>
      <w:r>
        <w:t>guerra.</w:t>
      </w:r>
      <w:r>
        <w:rPr>
          <w:spacing w:val="-6"/>
        </w:rPr>
        <w:t xml:space="preserve"> </w:t>
      </w:r>
      <w:r>
        <w:t>El</w:t>
      </w:r>
      <w:r>
        <w:rPr>
          <w:spacing w:val="-7"/>
        </w:rPr>
        <w:t xml:space="preserve"> </w:t>
      </w:r>
      <w:r>
        <w:t>movimiento</w:t>
      </w:r>
      <w:r>
        <w:rPr>
          <w:spacing w:val="-7"/>
        </w:rPr>
        <w:t xml:space="preserve"> </w:t>
      </w:r>
      <w:r>
        <w:t>político</w:t>
      </w:r>
      <w:r>
        <w:rPr>
          <w:spacing w:val="-6"/>
        </w:rPr>
        <w:t xml:space="preserve"> </w:t>
      </w:r>
      <w:r>
        <w:t>campesino</w:t>
      </w:r>
      <w:r>
        <w:rPr>
          <w:spacing w:val="-6"/>
        </w:rPr>
        <w:t xml:space="preserve"> </w:t>
      </w:r>
      <w:r>
        <w:t>también</w:t>
      </w:r>
      <w:r>
        <w:rPr>
          <w:spacing w:val="-6"/>
        </w:rPr>
        <w:t xml:space="preserve"> </w:t>
      </w:r>
      <w:r>
        <w:t>ha sido una de las principales víctimas del conflicto, ya que los actores armados buscaron desarticular su proceso organizativo. Otros procesos y liderazgos rurales también fueron seriamente afectados, incluidos los étnicos, ambientales, territoriales, feministas, y de diversidad</w:t>
      </w:r>
      <w:r>
        <w:rPr>
          <w:spacing w:val="-11"/>
        </w:rPr>
        <w:t xml:space="preserve"> </w:t>
      </w:r>
      <w:r>
        <w:t>sexual</w:t>
      </w:r>
      <w:r>
        <w:rPr>
          <w:spacing w:val="-10"/>
        </w:rPr>
        <w:t xml:space="preserve"> </w:t>
      </w:r>
      <w:r>
        <w:t>y</w:t>
      </w:r>
      <w:r>
        <w:rPr>
          <w:spacing w:val="-11"/>
        </w:rPr>
        <w:t xml:space="preserve"> </w:t>
      </w:r>
      <w:r>
        <w:t>de</w:t>
      </w:r>
      <w:r>
        <w:rPr>
          <w:spacing w:val="-11"/>
        </w:rPr>
        <w:t xml:space="preserve"> </w:t>
      </w:r>
      <w:r>
        <w:t>género.</w:t>
      </w:r>
      <w:r>
        <w:rPr>
          <w:spacing w:val="-11"/>
        </w:rPr>
        <w:t xml:space="preserve"> </w:t>
      </w:r>
      <w:r>
        <w:t>Sin</w:t>
      </w:r>
      <w:r>
        <w:rPr>
          <w:spacing w:val="-11"/>
        </w:rPr>
        <w:t xml:space="preserve"> </w:t>
      </w:r>
      <w:r>
        <w:t>embargo,</w:t>
      </w:r>
      <w:r>
        <w:rPr>
          <w:spacing w:val="-11"/>
        </w:rPr>
        <w:t xml:space="preserve"> </w:t>
      </w:r>
      <w:r>
        <w:t>a</w:t>
      </w:r>
      <w:r>
        <w:rPr>
          <w:spacing w:val="-11"/>
        </w:rPr>
        <w:t xml:space="preserve"> </w:t>
      </w:r>
      <w:r>
        <w:t>pesar</w:t>
      </w:r>
      <w:r>
        <w:rPr>
          <w:spacing w:val="-10"/>
        </w:rPr>
        <w:t xml:space="preserve"> </w:t>
      </w:r>
      <w:r>
        <w:t>de</w:t>
      </w:r>
      <w:r>
        <w:rPr>
          <w:spacing w:val="-11"/>
        </w:rPr>
        <w:t xml:space="preserve"> </w:t>
      </w:r>
      <w:r>
        <w:t>que</w:t>
      </w:r>
      <w:r>
        <w:rPr>
          <w:spacing w:val="-12"/>
        </w:rPr>
        <w:t xml:space="preserve"> </w:t>
      </w:r>
      <w:r>
        <w:t>la</w:t>
      </w:r>
      <w:r>
        <w:rPr>
          <w:spacing w:val="-11"/>
        </w:rPr>
        <w:t xml:space="preserve"> </w:t>
      </w:r>
      <w:r>
        <w:t>guerra</w:t>
      </w:r>
      <w:r>
        <w:rPr>
          <w:spacing w:val="-11"/>
        </w:rPr>
        <w:t xml:space="preserve"> </w:t>
      </w:r>
      <w:r>
        <w:t>ha</w:t>
      </w:r>
      <w:r>
        <w:rPr>
          <w:spacing w:val="-12"/>
        </w:rPr>
        <w:t xml:space="preserve"> </w:t>
      </w:r>
      <w:r>
        <w:t>agravado</w:t>
      </w:r>
      <w:r>
        <w:rPr>
          <w:spacing w:val="-11"/>
        </w:rPr>
        <w:t xml:space="preserve"> </w:t>
      </w:r>
      <w:r>
        <w:t>la</w:t>
      </w:r>
      <w:r>
        <w:rPr>
          <w:spacing w:val="-11"/>
        </w:rPr>
        <w:t xml:space="preserve"> </w:t>
      </w:r>
      <w:r>
        <w:t>situación de</w:t>
      </w:r>
      <w:r>
        <w:rPr>
          <w:spacing w:val="-2"/>
        </w:rPr>
        <w:t xml:space="preserve"> </w:t>
      </w:r>
      <w:r>
        <w:t>exclusión</w:t>
      </w:r>
      <w:r>
        <w:rPr>
          <w:spacing w:val="-4"/>
        </w:rPr>
        <w:t xml:space="preserve"> </w:t>
      </w:r>
      <w:r>
        <w:t>histórica</w:t>
      </w:r>
      <w:r>
        <w:rPr>
          <w:spacing w:val="-2"/>
        </w:rPr>
        <w:t xml:space="preserve"> </w:t>
      </w:r>
      <w:r>
        <w:t>de</w:t>
      </w:r>
      <w:r>
        <w:rPr>
          <w:spacing w:val="-3"/>
        </w:rPr>
        <w:t xml:space="preserve"> </w:t>
      </w:r>
      <w:r>
        <w:t>estos</w:t>
      </w:r>
      <w:r>
        <w:rPr>
          <w:spacing w:val="-2"/>
        </w:rPr>
        <w:t xml:space="preserve"> </w:t>
      </w:r>
      <w:r>
        <w:t>grupos</w:t>
      </w:r>
      <w:r>
        <w:rPr>
          <w:spacing w:val="-2"/>
        </w:rPr>
        <w:t xml:space="preserve"> </w:t>
      </w:r>
      <w:r>
        <w:t>y</w:t>
      </w:r>
      <w:r>
        <w:rPr>
          <w:spacing w:val="-2"/>
        </w:rPr>
        <w:t xml:space="preserve"> </w:t>
      </w:r>
      <w:r>
        <w:t>comunidades,</w:t>
      </w:r>
      <w:r>
        <w:rPr>
          <w:spacing w:val="-2"/>
        </w:rPr>
        <w:t xml:space="preserve"> </w:t>
      </w:r>
      <w:r>
        <w:t>ellos</w:t>
      </w:r>
      <w:r>
        <w:rPr>
          <w:spacing w:val="-2"/>
        </w:rPr>
        <w:t xml:space="preserve"> </w:t>
      </w:r>
      <w:r>
        <w:t>y</w:t>
      </w:r>
      <w:r>
        <w:rPr>
          <w:spacing w:val="-2"/>
        </w:rPr>
        <w:t xml:space="preserve"> </w:t>
      </w:r>
      <w:r>
        <w:t>ellas</w:t>
      </w:r>
      <w:r>
        <w:rPr>
          <w:spacing w:val="-2"/>
        </w:rPr>
        <w:t xml:space="preserve"> </w:t>
      </w:r>
      <w:r>
        <w:t>han</w:t>
      </w:r>
      <w:r>
        <w:rPr>
          <w:spacing w:val="-2"/>
        </w:rPr>
        <w:t xml:space="preserve"> </w:t>
      </w:r>
      <w:r>
        <w:t>resistido</w:t>
      </w:r>
      <w:r>
        <w:rPr>
          <w:spacing w:val="-2"/>
        </w:rPr>
        <w:t xml:space="preserve"> </w:t>
      </w:r>
      <w:r>
        <w:t>y</w:t>
      </w:r>
      <w:r>
        <w:rPr>
          <w:spacing w:val="-2"/>
        </w:rPr>
        <w:t xml:space="preserve"> </w:t>
      </w:r>
      <w:r>
        <w:t>afrontado la guerra pacíficamente y han construido paz en medio de las más grandes adversidades.</w:t>
      </w:r>
    </w:p>
    <w:p w:rsidR="003804AC" w:rsidRDefault="00AF18A5" w:rsidP="00250B10">
      <w:r>
        <w:t>El</w:t>
      </w:r>
      <w:r>
        <w:rPr>
          <w:spacing w:val="-8"/>
        </w:rPr>
        <w:t xml:space="preserve"> </w:t>
      </w:r>
      <w:r>
        <w:t>Acuerdo</w:t>
      </w:r>
      <w:r>
        <w:rPr>
          <w:spacing w:val="-8"/>
        </w:rPr>
        <w:t xml:space="preserve"> </w:t>
      </w:r>
      <w:r>
        <w:t>de</w:t>
      </w:r>
      <w:r>
        <w:rPr>
          <w:spacing w:val="-8"/>
        </w:rPr>
        <w:t xml:space="preserve"> </w:t>
      </w:r>
      <w:r>
        <w:t>Paz</w:t>
      </w:r>
      <w:r>
        <w:rPr>
          <w:spacing w:val="-8"/>
        </w:rPr>
        <w:t xml:space="preserve"> </w:t>
      </w:r>
      <w:r>
        <w:t>reconoció</w:t>
      </w:r>
      <w:r>
        <w:rPr>
          <w:spacing w:val="-8"/>
        </w:rPr>
        <w:t xml:space="preserve"> </w:t>
      </w:r>
      <w:r>
        <w:t>varias</w:t>
      </w:r>
      <w:r>
        <w:rPr>
          <w:spacing w:val="-8"/>
        </w:rPr>
        <w:t xml:space="preserve"> </w:t>
      </w:r>
      <w:r>
        <w:t>de</w:t>
      </w:r>
      <w:r>
        <w:rPr>
          <w:spacing w:val="-8"/>
        </w:rPr>
        <w:t xml:space="preserve"> </w:t>
      </w:r>
      <w:r>
        <w:t>estas</w:t>
      </w:r>
      <w:r>
        <w:rPr>
          <w:spacing w:val="-8"/>
        </w:rPr>
        <w:t xml:space="preserve"> </w:t>
      </w:r>
      <w:r>
        <w:t>problemáticas</w:t>
      </w:r>
      <w:r>
        <w:rPr>
          <w:spacing w:val="-8"/>
        </w:rPr>
        <w:t xml:space="preserve"> </w:t>
      </w:r>
      <w:r>
        <w:t>y</w:t>
      </w:r>
      <w:r>
        <w:rPr>
          <w:spacing w:val="-8"/>
        </w:rPr>
        <w:t xml:space="preserve"> </w:t>
      </w:r>
      <w:r>
        <w:t>buscó</w:t>
      </w:r>
      <w:r>
        <w:rPr>
          <w:spacing w:val="-8"/>
        </w:rPr>
        <w:t xml:space="preserve"> </w:t>
      </w:r>
      <w:r>
        <w:t>resolverlas</w:t>
      </w:r>
      <w:r>
        <w:rPr>
          <w:spacing w:val="-8"/>
        </w:rPr>
        <w:t xml:space="preserve"> </w:t>
      </w:r>
      <w:r>
        <w:t>con</w:t>
      </w:r>
      <w:r>
        <w:rPr>
          <w:spacing w:val="-9"/>
        </w:rPr>
        <w:t xml:space="preserve"> </w:t>
      </w:r>
      <w:r>
        <w:t>la Reforma rural integral acordada en el Punto 1. Sin embargo, como lo señalan distintos observadores, la implementación de este punto, a cargo principalmente del Gobierno Nacional,</w:t>
      </w:r>
      <w:r>
        <w:rPr>
          <w:spacing w:val="15"/>
        </w:rPr>
        <w:t xml:space="preserve"> </w:t>
      </w:r>
      <w:r>
        <w:t>ha</w:t>
      </w:r>
      <w:r>
        <w:rPr>
          <w:spacing w:val="18"/>
        </w:rPr>
        <w:t xml:space="preserve"> </w:t>
      </w:r>
      <w:r>
        <w:t>sido</w:t>
      </w:r>
      <w:r>
        <w:rPr>
          <w:spacing w:val="18"/>
        </w:rPr>
        <w:t xml:space="preserve"> </w:t>
      </w:r>
      <w:r>
        <w:t>lenta</w:t>
      </w:r>
      <w:r>
        <w:rPr>
          <w:spacing w:val="17"/>
        </w:rPr>
        <w:t xml:space="preserve"> </w:t>
      </w:r>
      <w:r>
        <w:t>e</w:t>
      </w:r>
      <w:r>
        <w:rPr>
          <w:spacing w:val="17"/>
        </w:rPr>
        <w:t xml:space="preserve"> </w:t>
      </w:r>
      <w:r>
        <w:t>insuficiente</w:t>
      </w:r>
      <w:r>
        <w:rPr>
          <w:spacing w:val="18"/>
        </w:rPr>
        <w:t xml:space="preserve"> </w:t>
      </w:r>
      <w:r>
        <w:t>para</w:t>
      </w:r>
      <w:r>
        <w:rPr>
          <w:spacing w:val="18"/>
        </w:rPr>
        <w:t xml:space="preserve"> </w:t>
      </w:r>
      <w:r>
        <w:t>avanzar</w:t>
      </w:r>
      <w:r>
        <w:rPr>
          <w:spacing w:val="18"/>
        </w:rPr>
        <w:t xml:space="preserve"> </w:t>
      </w:r>
      <w:r>
        <w:t>en</w:t>
      </w:r>
      <w:r>
        <w:rPr>
          <w:spacing w:val="17"/>
        </w:rPr>
        <w:t xml:space="preserve"> </w:t>
      </w:r>
      <w:r>
        <w:t>la</w:t>
      </w:r>
      <w:r>
        <w:rPr>
          <w:spacing w:val="17"/>
        </w:rPr>
        <w:t xml:space="preserve"> </w:t>
      </w:r>
      <w:r>
        <w:t>construcción</w:t>
      </w:r>
      <w:r>
        <w:rPr>
          <w:spacing w:val="18"/>
        </w:rPr>
        <w:t xml:space="preserve"> </w:t>
      </w:r>
      <w:r>
        <w:t>de</w:t>
      </w:r>
      <w:r>
        <w:rPr>
          <w:spacing w:val="18"/>
        </w:rPr>
        <w:t xml:space="preserve"> </w:t>
      </w:r>
      <w:r>
        <w:t>la</w:t>
      </w:r>
      <w:r>
        <w:rPr>
          <w:spacing w:val="18"/>
        </w:rPr>
        <w:t xml:space="preserve"> </w:t>
      </w:r>
      <w:r>
        <w:t>paz</w:t>
      </w:r>
      <w:r>
        <w:rPr>
          <w:spacing w:val="17"/>
        </w:rPr>
        <w:t xml:space="preserve"> </w:t>
      </w:r>
      <w:r>
        <w:rPr>
          <w:spacing w:val="-2"/>
        </w:rPr>
        <w:t>territorial.</w:t>
      </w:r>
    </w:p>
    <w:p w:rsidR="003804AC" w:rsidRDefault="00AF18A5" w:rsidP="00250B10">
      <w:r>
        <w:t xml:space="preserve">Los esfuerzos presupuestales e institucionales recientes para avanzar en el catastro multipropósito, y la conclusión de los procesos de </w:t>
      </w:r>
      <w:r>
        <w:lastRenderedPageBreak/>
        <w:t>formulación de las hojas de ruta para los Programas de Desarrollo con Enfoque Territorial (PDET), son avances positivos que deben reconocerse.</w:t>
      </w:r>
      <w:r>
        <w:rPr>
          <w:spacing w:val="-15"/>
        </w:rPr>
        <w:t xml:space="preserve"> </w:t>
      </w:r>
      <w:r>
        <w:t>Pero</w:t>
      </w:r>
      <w:r>
        <w:rPr>
          <w:spacing w:val="-14"/>
        </w:rPr>
        <w:t xml:space="preserve"> </w:t>
      </w:r>
      <w:r>
        <w:t>desafortunadamente,</w:t>
      </w:r>
      <w:r>
        <w:rPr>
          <w:spacing w:val="-14"/>
        </w:rPr>
        <w:t xml:space="preserve"> </w:t>
      </w:r>
      <w:r>
        <w:t>estos</w:t>
      </w:r>
      <w:r>
        <w:rPr>
          <w:spacing w:val="-14"/>
        </w:rPr>
        <w:t xml:space="preserve"> </w:t>
      </w:r>
      <w:r>
        <w:t>avances</w:t>
      </w:r>
      <w:r>
        <w:rPr>
          <w:spacing w:val="-14"/>
        </w:rPr>
        <w:t xml:space="preserve"> </w:t>
      </w:r>
      <w:r>
        <w:t>han</w:t>
      </w:r>
      <w:r>
        <w:rPr>
          <w:spacing w:val="-14"/>
        </w:rPr>
        <w:t xml:space="preserve"> </w:t>
      </w:r>
      <w:r>
        <w:t>venido</w:t>
      </w:r>
      <w:r>
        <w:rPr>
          <w:spacing w:val="-14"/>
        </w:rPr>
        <w:t xml:space="preserve"> </w:t>
      </w:r>
      <w:r>
        <w:t>acompañados</w:t>
      </w:r>
      <w:r>
        <w:rPr>
          <w:spacing w:val="-14"/>
        </w:rPr>
        <w:t xml:space="preserve"> </w:t>
      </w:r>
      <w:r>
        <w:t>de</w:t>
      </w:r>
      <w:r>
        <w:rPr>
          <w:spacing w:val="-14"/>
        </w:rPr>
        <w:t xml:space="preserve"> </w:t>
      </w:r>
      <w:r>
        <w:t>omisiones y retrocesos de la mayor gravedad, como el desfinanciamiento progresivo de la política agraria, las grandes limitaciones impuestas a la participación de las comunidades rurales en la toma de decisiones (incluyendo aquellas relacionadas con el PDET y el catastro) y el incumplimiento de otros lineamientos que son esenciales para que se produzca una transformación incluyente e integral de la ruralidad.</w:t>
      </w:r>
    </w:p>
    <w:p w:rsidR="003804AC" w:rsidRDefault="00AF18A5" w:rsidP="00250B10">
      <w:r>
        <w:t>Uno de los componentes más críticos y con menos avances es justamente la redistribución de tierras. Actualmente las leyes colombianas contemplan múltiples instrumentos para que las autoridades avancen</w:t>
      </w:r>
      <w:r>
        <w:rPr>
          <w:spacing w:val="40"/>
        </w:rPr>
        <w:t xml:space="preserve"> </w:t>
      </w:r>
      <w:r>
        <w:t>en la reforma agraria, pero que no se implementan</w:t>
      </w:r>
      <w:r>
        <w:rPr>
          <w:spacing w:val="-13"/>
        </w:rPr>
        <w:t xml:space="preserve"> </w:t>
      </w:r>
      <w:r>
        <w:t>sino</w:t>
      </w:r>
      <w:r>
        <w:rPr>
          <w:spacing w:val="-13"/>
        </w:rPr>
        <w:t xml:space="preserve"> </w:t>
      </w:r>
      <w:r>
        <w:t>excepcionalmente.</w:t>
      </w:r>
      <w:r>
        <w:rPr>
          <w:spacing w:val="-13"/>
        </w:rPr>
        <w:t xml:space="preserve"> </w:t>
      </w:r>
      <w:r>
        <w:t>Unos</w:t>
      </w:r>
      <w:r>
        <w:rPr>
          <w:spacing w:val="-13"/>
        </w:rPr>
        <w:t xml:space="preserve"> </w:t>
      </w:r>
      <w:r>
        <w:t>de</w:t>
      </w:r>
      <w:r>
        <w:rPr>
          <w:spacing w:val="-13"/>
        </w:rPr>
        <w:t xml:space="preserve"> </w:t>
      </w:r>
      <w:r>
        <w:t>ellos</w:t>
      </w:r>
      <w:r>
        <w:rPr>
          <w:spacing w:val="-13"/>
        </w:rPr>
        <w:t xml:space="preserve"> </w:t>
      </w:r>
      <w:r>
        <w:t>son</w:t>
      </w:r>
      <w:r>
        <w:rPr>
          <w:spacing w:val="-13"/>
        </w:rPr>
        <w:t xml:space="preserve"> </w:t>
      </w:r>
      <w:r>
        <w:t>los</w:t>
      </w:r>
      <w:r>
        <w:rPr>
          <w:spacing w:val="-14"/>
        </w:rPr>
        <w:t xml:space="preserve"> </w:t>
      </w:r>
      <w:r>
        <w:t>llamados</w:t>
      </w:r>
      <w:r>
        <w:rPr>
          <w:spacing w:val="-13"/>
        </w:rPr>
        <w:t xml:space="preserve"> </w:t>
      </w:r>
      <w:r>
        <w:t>«procesos</w:t>
      </w:r>
      <w:r>
        <w:rPr>
          <w:spacing w:val="-13"/>
        </w:rPr>
        <w:t xml:space="preserve"> </w:t>
      </w:r>
      <w:r>
        <w:t>agrarios»</w:t>
      </w:r>
      <w:r>
        <w:rPr>
          <w:spacing w:val="-13"/>
        </w:rPr>
        <w:t xml:space="preserve"> </w:t>
      </w:r>
      <w:r>
        <w:t>por medio de los cuales la autoridad agraria</w:t>
      </w:r>
      <w:r w:rsidR="00250B10">
        <w:rPr>
          <w:rStyle w:val="Refdenotaalpie"/>
        </w:rPr>
        <w:footnoteReference w:id="1270"/>
      </w:r>
      <w:r>
        <w:t xml:space="preserve"> puede comprar, recuperar o incluso extinguir el dominio de predios rurales cuando estos violen las leyes penales o agrarias, para luego adjudicarlos</w:t>
      </w:r>
      <w:r>
        <w:rPr>
          <w:spacing w:val="-5"/>
        </w:rPr>
        <w:t xml:space="preserve"> </w:t>
      </w:r>
      <w:r>
        <w:t>a</w:t>
      </w:r>
      <w:r>
        <w:rPr>
          <w:spacing w:val="-3"/>
        </w:rPr>
        <w:t xml:space="preserve"> </w:t>
      </w:r>
      <w:r>
        <w:t>pobladores</w:t>
      </w:r>
      <w:r>
        <w:rPr>
          <w:spacing w:val="-3"/>
        </w:rPr>
        <w:t xml:space="preserve"> </w:t>
      </w:r>
      <w:r>
        <w:t>rurales</w:t>
      </w:r>
      <w:r>
        <w:rPr>
          <w:spacing w:val="-5"/>
        </w:rPr>
        <w:t xml:space="preserve"> </w:t>
      </w:r>
      <w:r>
        <w:t>sin</w:t>
      </w:r>
      <w:r>
        <w:rPr>
          <w:spacing w:val="-6"/>
        </w:rPr>
        <w:t xml:space="preserve"> </w:t>
      </w:r>
      <w:r>
        <w:t>tierra</w:t>
      </w:r>
      <w:r>
        <w:rPr>
          <w:spacing w:val="-5"/>
        </w:rPr>
        <w:t xml:space="preserve"> </w:t>
      </w:r>
      <w:r>
        <w:t>o</w:t>
      </w:r>
      <w:r>
        <w:rPr>
          <w:spacing w:val="-4"/>
        </w:rPr>
        <w:t xml:space="preserve"> </w:t>
      </w:r>
      <w:r>
        <w:t>con</w:t>
      </w:r>
      <w:r>
        <w:rPr>
          <w:spacing w:val="-5"/>
        </w:rPr>
        <w:t xml:space="preserve"> </w:t>
      </w:r>
      <w:r>
        <w:t>tierra</w:t>
      </w:r>
      <w:r>
        <w:rPr>
          <w:spacing w:val="-5"/>
        </w:rPr>
        <w:t xml:space="preserve"> </w:t>
      </w:r>
      <w:r>
        <w:t>insuficiente.</w:t>
      </w:r>
      <w:r>
        <w:rPr>
          <w:spacing w:val="-4"/>
        </w:rPr>
        <w:t xml:space="preserve"> </w:t>
      </w:r>
      <w:r>
        <w:t>En</w:t>
      </w:r>
      <w:r>
        <w:rPr>
          <w:spacing w:val="-5"/>
        </w:rPr>
        <w:t xml:space="preserve"> </w:t>
      </w:r>
      <w:r>
        <w:t>el</w:t>
      </w:r>
      <w:r>
        <w:rPr>
          <w:spacing w:val="-6"/>
        </w:rPr>
        <w:t xml:space="preserve"> </w:t>
      </w:r>
      <w:r>
        <w:t>Acuerdo</w:t>
      </w:r>
      <w:r>
        <w:rPr>
          <w:spacing w:val="-4"/>
        </w:rPr>
        <w:t xml:space="preserve"> </w:t>
      </w:r>
      <w:r>
        <w:t>de</w:t>
      </w:r>
      <w:r>
        <w:rPr>
          <w:spacing w:val="-5"/>
        </w:rPr>
        <w:t xml:space="preserve"> </w:t>
      </w:r>
      <w:r>
        <w:t>Paz</w:t>
      </w:r>
      <w:r>
        <w:rPr>
          <w:spacing w:val="-3"/>
        </w:rPr>
        <w:t xml:space="preserve"> </w:t>
      </w:r>
      <w:r>
        <w:t>se estableció</w:t>
      </w:r>
      <w:r>
        <w:rPr>
          <w:spacing w:val="-6"/>
        </w:rPr>
        <w:t xml:space="preserve"> </w:t>
      </w:r>
      <w:r>
        <w:t>como</w:t>
      </w:r>
      <w:r>
        <w:rPr>
          <w:spacing w:val="-6"/>
        </w:rPr>
        <w:t xml:space="preserve"> </w:t>
      </w:r>
      <w:r>
        <w:t>meta</w:t>
      </w:r>
      <w:r>
        <w:rPr>
          <w:spacing w:val="-6"/>
        </w:rPr>
        <w:t xml:space="preserve"> </w:t>
      </w:r>
      <w:r>
        <w:t>asignar</w:t>
      </w:r>
      <w:r>
        <w:rPr>
          <w:spacing w:val="-5"/>
        </w:rPr>
        <w:t xml:space="preserve"> </w:t>
      </w:r>
      <w:r>
        <w:t>3</w:t>
      </w:r>
      <w:r>
        <w:rPr>
          <w:spacing w:val="-6"/>
        </w:rPr>
        <w:t xml:space="preserve"> </w:t>
      </w:r>
      <w:r>
        <w:t>millones</w:t>
      </w:r>
      <w:r>
        <w:rPr>
          <w:spacing w:val="-6"/>
        </w:rPr>
        <w:t xml:space="preserve"> </w:t>
      </w:r>
      <w:r>
        <w:t>de</w:t>
      </w:r>
      <w:r>
        <w:rPr>
          <w:spacing w:val="-6"/>
        </w:rPr>
        <w:t xml:space="preserve"> </w:t>
      </w:r>
      <w:r>
        <w:t>hectáreas</w:t>
      </w:r>
      <w:r>
        <w:rPr>
          <w:spacing w:val="-6"/>
        </w:rPr>
        <w:t xml:space="preserve"> </w:t>
      </w:r>
      <w:r>
        <w:t>a</w:t>
      </w:r>
      <w:r>
        <w:rPr>
          <w:spacing w:val="-6"/>
        </w:rPr>
        <w:t xml:space="preserve"> </w:t>
      </w:r>
      <w:r>
        <w:t>campesinos</w:t>
      </w:r>
      <w:r>
        <w:rPr>
          <w:spacing w:val="-6"/>
        </w:rPr>
        <w:t xml:space="preserve"> </w:t>
      </w:r>
      <w:r>
        <w:t>y</w:t>
      </w:r>
      <w:r>
        <w:rPr>
          <w:spacing w:val="-6"/>
        </w:rPr>
        <w:t xml:space="preserve"> </w:t>
      </w:r>
      <w:r>
        <w:t>campesinas</w:t>
      </w:r>
      <w:r>
        <w:rPr>
          <w:spacing w:val="-6"/>
        </w:rPr>
        <w:t xml:space="preserve"> </w:t>
      </w:r>
      <w:r>
        <w:t>sin</w:t>
      </w:r>
      <w:r>
        <w:rPr>
          <w:spacing w:val="-6"/>
        </w:rPr>
        <w:t xml:space="preserve"> </w:t>
      </w:r>
      <w:r>
        <w:t xml:space="preserve">acceso material a tierra o a pueblos étnicos, dentro o fuera de la frontera agraria, y sin exigencias claras en materia de bienes y servicios. Sin embargo, este compromiso ha sido incumplido </w:t>
      </w:r>
      <w:r>
        <w:rPr>
          <w:spacing w:val="-2"/>
        </w:rPr>
        <w:t>sistemáticamente.</w:t>
      </w:r>
    </w:p>
    <w:p w:rsidR="003804AC" w:rsidRDefault="00AF18A5" w:rsidP="00250B10">
      <w:r>
        <w:t>Hasta ahora</w:t>
      </w:r>
      <w:r>
        <w:rPr>
          <w:spacing w:val="-1"/>
        </w:rPr>
        <w:t xml:space="preserve"> </w:t>
      </w:r>
      <w:r>
        <w:t xml:space="preserve">los esfuerzos gubernamentales, en todo caso insuficientes, han consistido en la titulación de predios a sus actuales poseedores y </w:t>
      </w:r>
      <w:r>
        <w:lastRenderedPageBreak/>
        <w:t>ocupantes, que, aunque es un asunto importante, no afecta de ningún modo la altísima concentración de la tierra en pocas manos –sobre todo aquella dotada de bienes y servicios públicos–, que caracteriza la ruralidad del país. Actualmente el área rural del país se extiende a lo largo de 99,3 millones de hectáreas, de las cuales aproximadamente 37,6 se encuentran dentro de la frontera agropecuaria y de ellas,</w:t>
      </w:r>
      <w:r>
        <w:rPr>
          <w:spacing w:val="5"/>
        </w:rPr>
        <w:t xml:space="preserve"> </w:t>
      </w:r>
      <w:r>
        <w:t>30,4</w:t>
      </w:r>
      <w:r>
        <w:rPr>
          <w:spacing w:val="5"/>
        </w:rPr>
        <w:t xml:space="preserve"> </w:t>
      </w:r>
      <w:r>
        <w:t>corresponden</w:t>
      </w:r>
      <w:r>
        <w:rPr>
          <w:spacing w:val="3"/>
        </w:rPr>
        <w:t xml:space="preserve"> </w:t>
      </w:r>
      <w:r>
        <w:t>a</w:t>
      </w:r>
      <w:r>
        <w:rPr>
          <w:spacing w:val="6"/>
        </w:rPr>
        <w:t xml:space="preserve"> </w:t>
      </w:r>
      <w:r>
        <w:t>propiedad</w:t>
      </w:r>
      <w:r>
        <w:rPr>
          <w:spacing w:val="3"/>
        </w:rPr>
        <w:t xml:space="preserve"> </w:t>
      </w:r>
      <w:r>
        <w:t>privada.</w:t>
      </w:r>
      <w:r>
        <w:rPr>
          <w:spacing w:val="5"/>
        </w:rPr>
        <w:t xml:space="preserve"> </w:t>
      </w:r>
      <w:r>
        <w:t>La</w:t>
      </w:r>
      <w:r>
        <w:rPr>
          <w:spacing w:val="4"/>
        </w:rPr>
        <w:t xml:space="preserve"> </w:t>
      </w:r>
      <w:r>
        <w:t>propiedad</w:t>
      </w:r>
      <w:r>
        <w:rPr>
          <w:spacing w:val="6"/>
        </w:rPr>
        <w:t xml:space="preserve"> </w:t>
      </w:r>
      <w:r>
        <w:t>sobre</w:t>
      </w:r>
      <w:r>
        <w:rPr>
          <w:spacing w:val="5"/>
        </w:rPr>
        <w:t xml:space="preserve"> </w:t>
      </w:r>
      <w:r>
        <w:t>estas</w:t>
      </w:r>
      <w:r>
        <w:rPr>
          <w:spacing w:val="5"/>
        </w:rPr>
        <w:t xml:space="preserve"> </w:t>
      </w:r>
      <w:r>
        <w:t>tierras</w:t>
      </w:r>
      <w:r>
        <w:rPr>
          <w:spacing w:val="5"/>
        </w:rPr>
        <w:t xml:space="preserve"> </w:t>
      </w:r>
      <w:r>
        <w:t>privadas</w:t>
      </w:r>
      <w:r>
        <w:rPr>
          <w:spacing w:val="6"/>
        </w:rPr>
        <w:t xml:space="preserve"> </w:t>
      </w:r>
      <w:r>
        <w:rPr>
          <w:spacing w:val="-4"/>
        </w:rPr>
        <w:t>está</w:t>
      </w:r>
      <w:bookmarkStart w:id="1661" w:name="_bookmark1438"/>
      <w:bookmarkEnd w:id="1661"/>
      <w:r w:rsidR="00250B10">
        <w:t xml:space="preserve"> </w:t>
      </w:r>
      <w:r>
        <w:t>distribuida de una manera extremadamente inequitativa: lo que revelan las últimas cifras es que</w:t>
      </w:r>
      <w:r>
        <w:rPr>
          <w:spacing w:val="-13"/>
        </w:rPr>
        <w:t xml:space="preserve"> </w:t>
      </w:r>
      <w:r>
        <w:t>el</w:t>
      </w:r>
      <w:r>
        <w:rPr>
          <w:spacing w:val="-13"/>
        </w:rPr>
        <w:t xml:space="preserve"> </w:t>
      </w:r>
      <w:r>
        <w:t>2,27</w:t>
      </w:r>
      <w:r>
        <w:rPr>
          <w:spacing w:val="-4"/>
        </w:rPr>
        <w:t xml:space="preserve"> </w:t>
      </w:r>
      <w:r>
        <w:t>%</w:t>
      </w:r>
      <w:r>
        <w:rPr>
          <w:spacing w:val="-13"/>
        </w:rPr>
        <w:t xml:space="preserve"> </w:t>
      </w:r>
      <w:r>
        <w:t>de</w:t>
      </w:r>
      <w:r>
        <w:rPr>
          <w:spacing w:val="-13"/>
        </w:rPr>
        <w:t xml:space="preserve"> </w:t>
      </w:r>
      <w:r>
        <w:t>los</w:t>
      </w:r>
      <w:r>
        <w:rPr>
          <w:spacing w:val="-13"/>
        </w:rPr>
        <w:t xml:space="preserve"> </w:t>
      </w:r>
      <w:r>
        <w:t>propietarios</w:t>
      </w:r>
      <w:r>
        <w:rPr>
          <w:spacing w:val="-14"/>
        </w:rPr>
        <w:t xml:space="preserve"> </w:t>
      </w:r>
      <w:r>
        <w:t>tendría</w:t>
      </w:r>
      <w:r>
        <w:rPr>
          <w:spacing w:val="-13"/>
        </w:rPr>
        <w:t xml:space="preserve"> </w:t>
      </w:r>
      <w:r>
        <w:t>en</w:t>
      </w:r>
      <w:r>
        <w:rPr>
          <w:spacing w:val="-13"/>
        </w:rPr>
        <w:t xml:space="preserve"> </w:t>
      </w:r>
      <w:r>
        <w:t>su</w:t>
      </w:r>
      <w:r>
        <w:rPr>
          <w:spacing w:val="-13"/>
        </w:rPr>
        <w:t xml:space="preserve"> </w:t>
      </w:r>
      <w:r>
        <w:t>poder</w:t>
      </w:r>
      <w:r>
        <w:rPr>
          <w:spacing w:val="-13"/>
        </w:rPr>
        <w:t xml:space="preserve"> </w:t>
      </w:r>
      <w:r>
        <w:t>el</w:t>
      </w:r>
      <w:r>
        <w:rPr>
          <w:spacing w:val="-13"/>
        </w:rPr>
        <w:t xml:space="preserve"> </w:t>
      </w:r>
      <w:r>
        <w:t>52,62</w:t>
      </w:r>
      <w:r>
        <w:rPr>
          <w:spacing w:val="-4"/>
        </w:rPr>
        <w:t xml:space="preserve"> </w:t>
      </w:r>
      <w:r>
        <w:t>%</w:t>
      </w:r>
      <w:r>
        <w:rPr>
          <w:spacing w:val="-13"/>
        </w:rPr>
        <w:t xml:space="preserve"> </w:t>
      </w:r>
      <w:r>
        <w:t>de</w:t>
      </w:r>
      <w:r>
        <w:rPr>
          <w:spacing w:val="-13"/>
        </w:rPr>
        <w:t xml:space="preserve"> </w:t>
      </w:r>
      <w:r>
        <w:t>las</w:t>
      </w:r>
      <w:r>
        <w:rPr>
          <w:spacing w:val="-13"/>
        </w:rPr>
        <w:t xml:space="preserve"> </w:t>
      </w:r>
      <w:r>
        <w:t>hectáreas</w:t>
      </w:r>
      <w:r>
        <w:rPr>
          <w:spacing w:val="-13"/>
        </w:rPr>
        <w:t xml:space="preserve"> </w:t>
      </w:r>
      <w:r>
        <w:t>de</w:t>
      </w:r>
      <w:r>
        <w:rPr>
          <w:spacing w:val="-13"/>
        </w:rPr>
        <w:t xml:space="preserve"> </w:t>
      </w:r>
      <w:r>
        <w:t>propiedad privada</w:t>
      </w:r>
      <w:r>
        <w:rPr>
          <w:spacing w:val="-8"/>
        </w:rPr>
        <w:t xml:space="preserve"> </w:t>
      </w:r>
      <w:r>
        <w:t>(o</w:t>
      </w:r>
      <w:r>
        <w:rPr>
          <w:spacing w:val="-8"/>
        </w:rPr>
        <w:t xml:space="preserve"> </w:t>
      </w:r>
      <w:r>
        <w:t>15.38</w:t>
      </w:r>
      <w:r>
        <w:rPr>
          <w:spacing w:val="-8"/>
        </w:rPr>
        <w:t xml:space="preserve"> </w:t>
      </w:r>
      <w:r>
        <w:t>millones)</w:t>
      </w:r>
      <w:r>
        <w:rPr>
          <w:spacing w:val="-8"/>
        </w:rPr>
        <w:t xml:space="preserve"> </w:t>
      </w:r>
      <w:r>
        <w:t>ubicadas</w:t>
      </w:r>
      <w:r>
        <w:rPr>
          <w:spacing w:val="-8"/>
        </w:rPr>
        <w:t xml:space="preserve"> </w:t>
      </w:r>
      <w:r>
        <w:t>dentro</w:t>
      </w:r>
      <w:r>
        <w:rPr>
          <w:spacing w:val="-8"/>
        </w:rPr>
        <w:t xml:space="preserve"> </w:t>
      </w:r>
      <w:r>
        <w:t>de</w:t>
      </w:r>
      <w:r>
        <w:rPr>
          <w:spacing w:val="-8"/>
        </w:rPr>
        <w:t xml:space="preserve"> </w:t>
      </w:r>
      <w:r>
        <w:t>la</w:t>
      </w:r>
      <w:r>
        <w:rPr>
          <w:spacing w:val="-9"/>
        </w:rPr>
        <w:t xml:space="preserve"> </w:t>
      </w:r>
      <w:r>
        <w:t>frontera</w:t>
      </w:r>
      <w:r>
        <w:rPr>
          <w:spacing w:val="-8"/>
        </w:rPr>
        <w:t xml:space="preserve"> </w:t>
      </w:r>
      <w:r>
        <w:t>agraria,</w:t>
      </w:r>
      <w:r>
        <w:rPr>
          <w:spacing w:val="-8"/>
        </w:rPr>
        <w:t xml:space="preserve"> </w:t>
      </w:r>
      <w:r>
        <w:t>mientras</w:t>
      </w:r>
      <w:r>
        <w:rPr>
          <w:spacing w:val="-9"/>
        </w:rPr>
        <w:t xml:space="preserve"> </w:t>
      </w:r>
      <w:r>
        <w:t>que</w:t>
      </w:r>
      <w:r>
        <w:rPr>
          <w:spacing w:val="-8"/>
        </w:rPr>
        <w:t xml:space="preserve"> </w:t>
      </w:r>
      <w:r>
        <w:t>el</w:t>
      </w:r>
      <w:r>
        <w:rPr>
          <w:spacing w:val="-8"/>
        </w:rPr>
        <w:t xml:space="preserve"> </w:t>
      </w:r>
      <w:r>
        <w:t>62,22</w:t>
      </w:r>
      <w:r>
        <w:rPr>
          <w:spacing w:val="-3"/>
        </w:rPr>
        <w:t xml:space="preserve"> </w:t>
      </w:r>
      <w:r>
        <w:t>%</w:t>
      </w:r>
      <w:r>
        <w:rPr>
          <w:spacing w:val="-8"/>
        </w:rPr>
        <w:t xml:space="preserve"> </w:t>
      </w:r>
      <w:r>
        <w:t>de los propietarios tendría apenas el 4,53</w:t>
      </w:r>
      <w:r>
        <w:rPr>
          <w:spacing w:val="-1"/>
        </w:rPr>
        <w:t xml:space="preserve"> </w:t>
      </w:r>
      <w:r>
        <w:t>% de ese mismo territorio (o 1.3 millones de hectáreas)</w:t>
      </w:r>
      <w:r w:rsidR="00250B10">
        <w:rPr>
          <w:rStyle w:val="Refdenotaalpie"/>
        </w:rPr>
        <w:footnoteReference w:id="1271"/>
      </w:r>
      <w:r>
        <w:t>. A pesar de que estos niveles de desigualdad han constituido la ruralidad colombiana</w:t>
      </w:r>
      <w:r>
        <w:rPr>
          <w:spacing w:val="-3"/>
        </w:rPr>
        <w:t xml:space="preserve"> </w:t>
      </w:r>
      <w:r>
        <w:t>por</w:t>
      </w:r>
      <w:r>
        <w:rPr>
          <w:spacing w:val="-2"/>
        </w:rPr>
        <w:t xml:space="preserve"> </w:t>
      </w:r>
      <w:r>
        <w:t>más</w:t>
      </w:r>
      <w:r>
        <w:rPr>
          <w:spacing w:val="-2"/>
        </w:rPr>
        <w:t xml:space="preserve"> </w:t>
      </w:r>
      <w:r>
        <w:t>de</w:t>
      </w:r>
      <w:r>
        <w:rPr>
          <w:spacing w:val="-3"/>
        </w:rPr>
        <w:t xml:space="preserve"> </w:t>
      </w:r>
      <w:r>
        <w:t>un</w:t>
      </w:r>
      <w:r>
        <w:rPr>
          <w:spacing w:val="-2"/>
        </w:rPr>
        <w:t xml:space="preserve"> </w:t>
      </w:r>
      <w:r>
        <w:t>siglo,</w:t>
      </w:r>
      <w:r>
        <w:rPr>
          <w:spacing w:val="-2"/>
        </w:rPr>
        <w:t xml:space="preserve"> </w:t>
      </w:r>
      <w:r>
        <w:t>entre</w:t>
      </w:r>
      <w:r>
        <w:rPr>
          <w:spacing w:val="-2"/>
        </w:rPr>
        <w:t xml:space="preserve"> </w:t>
      </w:r>
      <w:r>
        <w:t>1961</w:t>
      </w:r>
      <w:r>
        <w:rPr>
          <w:spacing w:val="-2"/>
        </w:rPr>
        <w:t xml:space="preserve"> </w:t>
      </w:r>
      <w:r>
        <w:t>y</w:t>
      </w:r>
      <w:r>
        <w:rPr>
          <w:spacing w:val="-2"/>
        </w:rPr>
        <w:t xml:space="preserve"> </w:t>
      </w:r>
      <w:r>
        <w:t>2012</w:t>
      </w:r>
      <w:r>
        <w:rPr>
          <w:spacing w:val="-2"/>
        </w:rPr>
        <w:t xml:space="preserve"> </w:t>
      </w:r>
      <w:r>
        <w:t>o</w:t>
      </w:r>
      <w:r>
        <w:rPr>
          <w:spacing w:val="-2"/>
        </w:rPr>
        <w:t xml:space="preserve"> </w:t>
      </w:r>
      <w:r>
        <w:t>sea</w:t>
      </w:r>
      <w:r>
        <w:rPr>
          <w:spacing w:val="-2"/>
        </w:rPr>
        <w:t xml:space="preserve"> </w:t>
      </w:r>
      <w:r>
        <w:t>en</w:t>
      </w:r>
      <w:r>
        <w:rPr>
          <w:spacing w:val="-4"/>
        </w:rPr>
        <w:t xml:space="preserve"> </w:t>
      </w:r>
      <w:r>
        <w:t>más</w:t>
      </w:r>
      <w:r>
        <w:rPr>
          <w:spacing w:val="-2"/>
        </w:rPr>
        <w:t xml:space="preserve"> </w:t>
      </w:r>
      <w:r>
        <w:t>de</w:t>
      </w:r>
      <w:r>
        <w:rPr>
          <w:spacing w:val="-2"/>
        </w:rPr>
        <w:t xml:space="preserve"> </w:t>
      </w:r>
      <w:r>
        <w:t>50</w:t>
      </w:r>
      <w:r>
        <w:rPr>
          <w:spacing w:val="-2"/>
        </w:rPr>
        <w:t xml:space="preserve"> </w:t>
      </w:r>
      <w:r>
        <w:t>años,</w:t>
      </w:r>
      <w:r>
        <w:rPr>
          <w:spacing w:val="-2"/>
        </w:rPr>
        <w:t xml:space="preserve"> </w:t>
      </w:r>
      <w:r>
        <w:t>las</w:t>
      </w:r>
      <w:r>
        <w:rPr>
          <w:spacing w:val="-2"/>
        </w:rPr>
        <w:t xml:space="preserve"> </w:t>
      </w:r>
      <w:r>
        <w:t>autoridades agrarias</w:t>
      </w:r>
      <w:r>
        <w:rPr>
          <w:spacing w:val="-3"/>
        </w:rPr>
        <w:t xml:space="preserve"> </w:t>
      </w:r>
      <w:r>
        <w:t>han</w:t>
      </w:r>
      <w:r>
        <w:rPr>
          <w:spacing w:val="-5"/>
        </w:rPr>
        <w:t xml:space="preserve"> </w:t>
      </w:r>
      <w:r>
        <w:t>redistribuido</w:t>
      </w:r>
      <w:r>
        <w:rPr>
          <w:spacing w:val="-5"/>
        </w:rPr>
        <w:t xml:space="preserve"> </w:t>
      </w:r>
      <w:r>
        <w:t>a</w:t>
      </w:r>
      <w:r>
        <w:rPr>
          <w:spacing w:val="-3"/>
        </w:rPr>
        <w:t xml:space="preserve"> </w:t>
      </w:r>
      <w:r>
        <w:t>campesinos</w:t>
      </w:r>
      <w:r>
        <w:rPr>
          <w:spacing w:val="-4"/>
        </w:rPr>
        <w:t xml:space="preserve"> </w:t>
      </w:r>
      <w:r>
        <w:t>sin</w:t>
      </w:r>
      <w:r>
        <w:rPr>
          <w:spacing w:val="-4"/>
        </w:rPr>
        <w:t xml:space="preserve"> </w:t>
      </w:r>
      <w:r>
        <w:t>tierra</w:t>
      </w:r>
      <w:r>
        <w:rPr>
          <w:spacing w:val="-5"/>
        </w:rPr>
        <w:t xml:space="preserve"> </w:t>
      </w:r>
      <w:r>
        <w:t>alrededor</w:t>
      </w:r>
      <w:r>
        <w:rPr>
          <w:spacing w:val="-3"/>
        </w:rPr>
        <w:t xml:space="preserve"> </w:t>
      </w:r>
      <w:r>
        <w:t>de</w:t>
      </w:r>
      <w:r>
        <w:rPr>
          <w:spacing w:val="-5"/>
        </w:rPr>
        <w:t xml:space="preserve"> </w:t>
      </w:r>
      <w:r>
        <w:t>1.77</w:t>
      </w:r>
      <w:r>
        <w:rPr>
          <w:spacing w:val="-4"/>
        </w:rPr>
        <w:t xml:space="preserve"> </w:t>
      </w:r>
      <w:r>
        <w:t>millones</w:t>
      </w:r>
      <w:r>
        <w:rPr>
          <w:spacing w:val="-3"/>
        </w:rPr>
        <w:t xml:space="preserve"> </w:t>
      </w:r>
      <w:r>
        <w:t>de</w:t>
      </w:r>
      <w:r>
        <w:rPr>
          <w:spacing w:val="-3"/>
        </w:rPr>
        <w:t xml:space="preserve"> </w:t>
      </w:r>
      <w:r>
        <w:t>hectáreas</w:t>
      </w:r>
      <w:r>
        <w:rPr>
          <w:spacing w:val="-3"/>
        </w:rPr>
        <w:t xml:space="preserve"> </w:t>
      </w:r>
      <w:r>
        <w:t>de tierra de propiedad privada</w:t>
      </w:r>
      <w:r w:rsidR="00250B10">
        <w:rPr>
          <w:rStyle w:val="Refdenotaalpie"/>
        </w:rPr>
        <w:footnoteReference w:id="1272"/>
      </w:r>
      <w:r>
        <w:t>. Por ello, se recomienda redistribuir como mínimo las 3 millones de</w:t>
      </w:r>
      <w:r>
        <w:rPr>
          <w:spacing w:val="-1"/>
        </w:rPr>
        <w:t xml:space="preserve"> </w:t>
      </w:r>
      <w:r>
        <w:t>hectáreas que contempla</w:t>
      </w:r>
      <w:r>
        <w:rPr>
          <w:spacing w:val="-1"/>
        </w:rPr>
        <w:t xml:space="preserve"> </w:t>
      </w:r>
      <w:r>
        <w:t>el Acuerdo,</w:t>
      </w:r>
      <w:r>
        <w:rPr>
          <w:spacing w:val="-1"/>
        </w:rPr>
        <w:t xml:space="preserve"> </w:t>
      </w:r>
      <w:r>
        <w:t>que corresponden a menos del doble de lo históricamente asignado, y que los predios asignados se sitúen necesariamente dentro de la frontera agraria y tengan acceso a bienes y servicios.</w:t>
      </w:r>
    </w:p>
    <w:p w:rsidR="003804AC" w:rsidRDefault="00AF18A5" w:rsidP="00250B10">
      <w:r>
        <w:lastRenderedPageBreak/>
        <w:t>De</w:t>
      </w:r>
      <w:r>
        <w:rPr>
          <w:spacing w:val="-1"/>
        </w:rPr>
        <w:t xml:space="preserve"> </w:t>
      </w:r>
      <w:r>
        <w:t>manera</w:t>
      </w:r>
      <w:r>
        <w:rPr>
          <w:spacing w:val="-1"/>
        </w:rPr>
        <w:t xml:space="preserve"> </w:t>
      </w:r>
      <w:r>
        <w:t>complementaria</w:t>
      </w:r>
      <w:r>
        <w:rPr>
          <w:spacing w:val="-1"/>
        </w:rPr>
        <w:t xml:space="preserve"> </w:t>
      </w:r>
      <w:r>
        <w:t>y</w:t>
      </w:r>
      <w:r>
        <w:rPr>
          <w:spacing w:val="-1"/>
        </w:rPr>
        <w:t xml:space="preserve"> </w:t>
      </w:r>
      <w:r>
        <w:t>para</w:t>
      </w:r>
      <w:r>
        <w:rPr>
          <w:spacing w:val="-2"/>
        </w:rPr>
        <w:t xml:space="preserve"> </w:t>
      </w:r>
      <w:r>
        <w:t>propiciar</w:t>
      </w:r>
      <w:r>
        <w:rPr>
          <w:spacing w:val="-1"/>
        </w:rPr>
        <w:t xml:space="preserve"> </w:t>
      </w:r>
      <w:r>
        <w:t>un</w:t>
      </w:r>
      <w:r>
        <w:rPr>
          <w:spacing w:val="-1"/>
        </w:rPr>
        <w:t xml:space="preserve"> </w:t>
      </w:r>
      <w:r>
        <w:t>cambio</w:t>
      </w:r>
      <w:r>
        <w:rPr>
          <w:spacing w:val="-2"/>
        </w:rPr>
        <w:t xml:space="preserve"> </w:t>
      </w:r>
      <w:r>
        <w:t>aún</w:t>
      </w:r>
      <w:r>
        <w:rPr>
          <w:spacing w:val="-2"/>
        </w:rPr>
        <w:t xml:space="preserve"> </w:t>
      </w:r>
      <w:r>
        <w:t>más</w:t>
      </w:r>
      <w:r>
        <w:rPr>
          <w:spacing w:val="-1"/>
        </w:rPr>
        <w:t xml:space="preserve"> </w:t>
      </w:r>
      <w:r>
        <w:t>estructural,</w:t>
      </w:r>
      <w:r>
        <w:rPr>
          <w:spacing w:val="-1"/>
        </w:rPr>
        <w:t xml:space="preserve"> </w:t>
      </w:r>
      <w:r>
        <w:t>proponemos que se utilice como instrumento para reforma agraria el impuesto predial, a través de un aumento significativo de su cobro y recaudo, a partir de criterios de progresividad y sostenibilidad ambiental, de manera que se estimule también por vía tributaria una distribución</w:t>
      </w:r>
      <w:r>
        <w:rPr>
          <w:spacing w:val="-14"/>
        </w:rPr>
        <w:t xml:space="preserve"> </w:t>
      </w:r>
      <w:r>
        <w:t>más</w:t>
      </w:r>
      <w:r>
        <w:rPr>
          <w:spacing w:val="-13"/>
        </w:rPr>
        <w:t xml:space="preserve"> </w:t>
      </w:r>
      <w:r>
        <w:t>equitativa</w:t>
      </w:r>
      <w:r>
        <w:rPr>
          <w:spacing w:val="-13"/>
        </w:rPr>
        <w:t xml:space="preserve"> </w:t>
      </w:r>
      <w:r>
        <w:t>y</w:t>
      </w:r>
      <w:r>
        <w:rPr>
          <w:spacing w:val="-13"/>
        </w:rPr>
        <w:t xml:space="preserve"> </w:t>
      </w:r>
      <w:r>
        <w:t>ecológica</w:t>
      </w:r>
      <w:r>
        <w:rPr>
          <w:spacing w:val="-13"/>
        </w:rPr>
        <w:t xml:space="preserve"> </w:t>
      </w:r>
      <w:r>
        <w:t>de</w:t>
      </w:r>
      <w:r>
        <w:rPr>
          <w:spacing w:val="-14"/>
        </w:rPr>
        <w:t xml:space="preserve"> </w:t>
      </w:r>
      <w:r>
        <w:t>la</w:t>
      </w:r>
      <w:r>
        <w:rPr>
          <w:spacing w:val="-14"/>
        </w:rPr>
        <w:t xml:space="preserve"> </w:t>
      </w:r>
      <w:r>
        <w:t>tierra,</w:t>
      </w:r>
      <w:r>
        <w:rPr>
          <w:spacing w:val="-13"/>
        </w:rPr>
        <w:t xml:space="preserve"> </w:t>
      </w:r>
      <w:r>
        <w:t>así</w:t>
      </w:r>
      <w:r>
        <w:rPr>
          <w:spacing w:val="-14"/>
        </w:rPr>
        <w:t xml:space="preserve"> </w:t>
      </w:r>
      <w:r>
        <w:t>como</w:t>
      </w:r>
      <w:r>
        <w:rPr>
          <w:spacing w:val="-14"/>
        </w:rPr>
        <w:t xml:space="preserve"> </w:t>
      </w:r>
      <w:r>
        <w:t>una</w:t>
      </w:r>
      <w:r>
        <w:rPr>
          <w:spacing w:val="-13"/>
        </w:rPr>
        <w:t xml:space="preserve"> </w:t>
      </w:r>
      <w:r>
        <w:t>mayor</w:t>
      </w:r>
      <w:r>
        <w:rPr>
          <w:spacing w:val="-13"/>
        </w:rPr>
        <w:t xml:space="preserve"> </w:t>
      </w:r>
      <w:r>
        <w:t>capacidad</w:t>
      </w:r>
      <w:r>
        <w:rPr>
          <w:spacing w:val="-14"/>
        </w:rPr>
        <w:t xml:space="preserve"> </w:t>
      </w:r>
      <w:r>
        <w:t>fiscal</w:t>
      </w:r>
      <w:r>
        <w:rPr>
          <w:spacing w:val="-13"/>
        </w:rPr>
        <w:t xml:space="preserve"> </w:t>
      </w:r>
      <w:r>
        <w:t>para los municipios.</w:t>
      </w:r>
    </w:p>
    <w:p w:rsidR="0011361F" w:rsidRDefault="00AF18A5" w:rsidP="00250B10">
      <w:r>
        <w:t>Ahora bien, para transformar la ruralidad en su conjunto, proponemos que, además de reducir la alta concentración de tierras, los esfuerzos se dirijan también a lograr un desarrollo económico y ambientalmente sostenible de los territorios rurales como estrategia para garantizar el bienestar de sus pobladores y los ecosistemas que los componen. Este desarrollo debe tener un enfoque territorial, lo que implica que la dotación de bienes y servicios</w:t>
      </w:r>
      <w:r>
        <w:rPr>
          <w:spacing w:val="-2"/>
        </w:rPr>
        <w:t xml:space="preserve"> </w:t>
      </w:r>
      <w:r>
        <w:t>debe</w:t>
      </w:r>
      <w:r>
        <w:rPr>
          <w:spacing w:val="-1"/>
        </w:rPr>
        <w:t xml:space="preserve"> </w:t>
      </w:r>
      <w:r>
        <w:t>hacerse</w:t>
      </w:r>
      <w:r>
        <w:rPr>
          <w:spacing w:val="-2"/>
        </w:rPr>
        <w:t xml:space="preserve"> </w:t>
      </w:r>
      <w:r>
        <w:t>según</w:t>
      </w:r>
      <w:r>
        <w:rPr>
          <w:spacing w:val="-1"/>
        </w:rPr>
        <w:t xml:space="preserve"> </w:t>
      </w:r>
      <w:r>
        <w:t>las</w:t>
      </w:r>
      <w:r>
        <w:rPr>
          <w:spacing w:val="-1"/>
        </w:rPr>
        <w:t xml:space="preserve"> </w:t>
      </w:r>
      <w:r>
        <w:t>características</w:t>
      </w:r>
      <w:r>
        <w:rPr>
          <w:spacing w:val="-2"/>
        </w:rPr>
        <w:t xml:space="preserve"> </w:t>
      </w:r>
      <w:r>
        <w:t>y necesidades</w:t>
      </w:r>
      <w:r>
        <w:rPr>
          <w:spacing w:val="-1"/>
        </w:rPr>
        <w:t xml:space="preserve"> </w:t>
      </w:r>
      <w:r>
        <w:t>propias</w:t>
      </w:r>
      <w:r>
        <w:rPr>
          <w:spacing w:val="-2"/>
        </w:rPr>
        <w:t xml:space="preserve"> </w:t>
      </w:r>
      <w:r>
        <w:t>de</w:t>
      </w:r>
      <w:r>
        <w:rPr>
          <w:spacing w:val="-1"/>
        </w:rPr>
        <w:t xml:space="preserve"> </w:t>
      </w:r>
      <w:r>
        <w:t>cada</w:t>
      </w:r>
      <w:r>
        <w:rPr>
          <w:spacing w:val="-2"/>
        </w:rPr>
        <w:t xml:space="preserve"> </w:t>
      </w:r>
      <w:r>
        <w:t>territorio</w:t>
      </w:r>
      <w:r>
        <w:rPr>
          <w:spacing w:val="-1"/>
        </w:rPr>
        <w:t xml:space="preserve"> </w:t>
      </w:r>
      <w:r>
        <w:t>y</w:t>
      </w:r>
      <w:r>
        <w:rPr>
          <w:spacing w:val="-1"/>
        </w:rPr>
        <w:t xml:space="preserve"> </w:t>
      </w:r>
      <w:r>
        <w:rPr>
          <w:spacing w:val="-5"/>
        </w:rPr>
        <w:t>en</w:t>
      </w:r>
    </w:p>
    <w:p w:rsidR="003804AC" w:rsidRDefault="00AF18A5" w:rsidP="00250B10">
      <w:bookmarkStart w:id="1662" w:name="_bookmark1439"/>
      <w:bookmarkStart w:id="1663" w:name="_bookmark1440"/>
      <w:bookmarkEnd w:id="1662"/>
      <w:bookmarkEnd w:id="1663"/>
      <w:r>
        <w:t xml:space="preserve">consideración a su contexto ecológico y sociodemográfico. Esto contribuirá a que los territorios sean competitivos y que sus habitantes puedan producir y participar de la distribución de la riqueza, al tiempo que protegen el medio ambiente y se les garantiza su integridad cultural. Por último, y paralelamente al desarrollo a escala territorial, también sugerimos que se fortalezcan y adopten enfoques diferenciales e </w:t>
      </w:r>
      <w:proofErr w:type="spellStart"/>
      <w:r>
        <w:t>interseccionales</w:t>
      </w:r>
      <w:proofErr w:type="spellEnd"/>
      <w:r>
        <w:t>, y se diseñen medidas específicas para las poblaciones más marginadas y afectadas por la desigualdad y el conflicto armado, como lo son los pueblos étnicos, el campesinado, las mujeres rurales, las personas LGBTIQ+ y las juventudes rurales.</w:t>
      </w:r>
    </w:p>
    <w:p w:rsidR="003804AC" w:rsidRDefault="00AF18A5" w:rsidP="00250B10">
      <w:r>
        <w:t>También consideramos que la transformación de las poblaciones y los territorios rurales</w:t>
      </w:r>
      <w:r>
        <w:rPr>
          <w:spacing w:val="-12"/>
        </w:rPr>
        <w:t xml:space="preserve"> </w:t>
      </w:r>
      <w:r>
        <w:t>implica</w:t>
      </w:r>
      <w:r>
        <w:rPr>
          <w:spacing w:val="-10"/>
        </w:rPr>
        <w:t xml:space="preserve"> </w:t>
      </w:r>
      <w:r>
        <w:t>necesariamente</w:t>
      </w:r>
      <w:r>
        <w:rPr>
          <w:spacing w:val="-12"/>
        </w:rPr>
        <w:t xml:space="preserve"> </w:t>
      </w:r>
      <w:r>
        <w:t>resolver</w:t>
      </w:r>
      <w:r>
        <w:rPr>
          <w:spacing w:val="-10"/>
        </w:rPr>
        <w:t xml:space="preserve"> </w:t>
      </w:r>
      <w:r>
        <w:t>las</w:t>
      </w:r>
      <w:r>
        <w:rPr>
          <w:spacing w:val="-10"/>
        </w:rPr>
        <w:t xml:space="preserve"> </w:t>
      </w:r>
      <w:r>
        <w:t>deficiencias</w:t>
      </w:r>
      <w:r>
        <w:rPr>
          <w:spacing w:val="-12"/>
        </w:rPr>
        <w:t xml:space="preserve"> </w:t>
      </w:r>
      <w:r>
        <w:t>en</w:t>
      </w:r>
      <w:r>
        <w:rPr>
          <w:spacing w:val="-11"/>
        </w:rPr>
        <w:t xml:space="preserve"> </w:t>
      </w:r>
      <w:r>
        <w:t>la</w:t>
      </w:r>
      <w:r>
        <w:rPr>
          <w:spacing w:val="-10"/>
        </w:rPr>
        <w:t xml:space="preserve"> </w:t>
      </w:r>
      <w:r>
        <w:lastRenderedPageBreak/>
        <w:t>administración</w:t>
      </w:r>
      <w:r>
        <w:rPr>
          <w:spacing w:val="-11"/>
        </w:rPr>
        <w:t xml:space="preserve"> </w:t>
      </w:r>
      <w:r>
        <w:t>de</w:t>
      </w:r>
      <w:r>
        <w:rPr>
          <w:spacing w:val="-10"/>
        </w:rPr>
        <w:t xml:space="preserve"> </w:t>
      </w:r>
      <w:r>
        <w:t>la</w:t>
      </w:r>
      <w:r>
        <w:rPr>
          <w:spacing w:val="-10"/>
        </w:rPr>
        <w:t xml:space="preserve"> </w:t>
      </w:r>
      <w:r>
        <w:t>política</w:t>
      </w:r>
      <w:r>
        <w:rPr>
          <w:spacing w:val="-10"/>
        </w:rPr>
        <w:t xml:space="preserve"> </w:t>
      </w:r>
      <w:r>
        <w:t>de restitución</w:t>
      </w:r>
      <w:r>
        <w:rPr>
          <w:spacing w:val="-9"/>
        </w:rPr>
        <w:t xml:space="preserve"> </w:t>
      </w:r>
      <w:r>
        <w:t>de</w:t>
      </w:r>
      <w:r>
        <w:rPr>
          <w:spacing w:val="-9"/>
        </w:rPr>
        <w:t xml:space="preserve"> </w:t>
      </w:r>
      <w:r>
        <w:t>tierras,</w:t>
      </w:r>
      <w:r>
        <w:rPr>
          <w:spacing w:val="-9"/>
        </w:rPr>
        <w:t xml:space="preserve"> </w:t>
      </w:r>
      <w:r>
        <w:t>establecida</w:t>
      </w:r>
      <w:r>
        <w:rPr>
          <w:spacing w:val="-9"/>
        </w:rPr>
        <w:t xml:space="preserve"> </w:t>
      </w:r>
      <w:r>
        <w:t>en</w:t>
      </w:r>
      <w:r>
        <w:rPr>
          <w:spacing w:val="-10"/>
        </w:rPr>
        <w:t xml:space="preserve"> </w:t>
      </w:r>
      <w:r>
        <w:t>la</w:t>
      </w:r>
      <w:r>
        <w:rPr>
          <w:spacing w:val="-9"/>
        </w:rPr>
        <w:t xml:space="preserve"> </w:t>
      </w:r>
      <w:r>
        <w:t>Ley</w:t>
      </w:r>
      <w:r>
        <w:rPr>
          <w:spacing w:val="-9"/>
        </w:rPr>
        <w:t xml:space="preserve"> </w:t>
      </w:r>
      <w:r>
        <w:t>1448</w:t>
      </w:r>
      <w:r>
        <w:rPr>
          <w:spacing w:val="-10"/>
        </w:rPr>
        <w:t xml:space="preserve"> </w:t>
      </w:r>
      <w:r>
        <w:t>de</w:t>
      </w:r>
      <w:r>
        <w:rPr>
          <w:spacing w:val="-9"/>
        </w:rPr>
        <w:t xml:space="preserve"> </w:t>
      </w:r>
      <w:r>
        <w:t>2011,</w:t>
      </w:r>
      <w:r>
        <w:rPr>
          <w:spacing w:val="-9"/>
        </w:rPr>
        <w:t xml:space="preserve"> </w:t>
      </w:r>
      <w:r>
        <w:t>y</w:t>
      </w:r>
      <w:r>
        <w:rPr>
          <w:spacing w:val="-9"/>
        </w:rPr>
        <w:t xml:space="preserve"> </w:t>
      </w:r>
      <w:r>
        <w:t>prorrogada</w:t>
      </w:r>
      <w:r>
        <w:rPr>
          <w:spacing w:val="-9"/>
        </w:rPr>
        <w:t xml:space="preserve"> </w:t>
      </w:r>
      <w:r>
        <w:t>hasta</w:t>
      </w:r>
      <w:r>
        <w:rPr>
          <w:spacing w:val="-9"/>
        </w:rPr>
        <w:t xml:space="preserve"> </w:t>
      </w:r>
      <w:r>
        <w:t>el</w:t>
      </w:r>
      <w:r>
        <w:rPr>
          <w:spacing w:val="-9"/>
        </w:rPr>
        <w:t xml:space="preserve"> </w:t>
      </w:r>
      <w:r>
        <w:t>2031.</w:t>
      </w:r>
      <w:r>
        <w:rPr>
          <w:spacing w:val="-10"/>
        </w:rPr>
        <w:t xml:space="preserve"> </w:t>
      </w:r>
      <w:r>
        <w:t>Dos</w:t>
      </w:r>
      <w:r>
        <w:rPr>
          <w:spacing w:val="-9"/>
        </w:rPr>
        <w:t xml:space="preserve"> </w:t>
      </w:r>
      <w:r>
        <w:t>de los problemas más graves son el número cada vez más elevado de solicitudes de restitución que rechaza el Gobierno nacional y el incumplimiento generalizado de las sentencias de restitución. Otro de los problemas más serios es el de la seguridad de los reclamantes y de los funcionarios administrativos y judiciales, que se aborda en el capítulo de seguridad.</w:t>
      </w:r>
    </w:p>
    <w:p w:rsidR="003804AC" w:rsidRDefault="00AF18A5" w:rsidP="00250B10">
      <w:r>
        <w:t>Por todo lo señalado, y con propósito de contribuir a la superación de las desigualdades estructurales</w:t>
      </w:r>
      <w:r>
        <w:rPr>
          <w:spacing w:val="-2"/>
        </w:rPr>
        <w:t xml:space="preserve"> </w:t>
      </w:r>
      <w:r>
        <w:t>entre</w:t>
      </w:r>
      <w:r>
        <w:rPr>
          <w:spacing w:val="-1"/>
        </w:rPr>
        <w:t xml:space="preserve"> </w:t>
      </w:r>
      <w:r>
        <w:t>los</w:t>
      </w:r>
      <w:r>
        <w:rPr>
          <w:spacing w:val="-1"/>
        </w:rPr>
        <w:t xml:space="preserve"> </w:t>
      </w:r>
      <w:r>
        <w:t>territorios</w:t>
      </w:r>
      <w:r>
        <w:rPr>
          <w:spacing w:val="-2"/>
        </w:rPr>
        <w:t xml:space="preserve"> </w:t>
      </w:r>
      <w:r>
        <w:t>y</w:t>
      </w:r>
      <w:r>
        <w:rPr>
          <w:spacing w:val="-1"/>
        </w:rPr>
        <w:t xml:space="preserve"> </w:t>
      </w:r>
      <w:r>
        <w:t>los</w:t>
      </w:r>
      <w:r>
        <w:rPr>
          <w:spacing w:val="-2"/>
        </w:rPr>
        <w:t xml:space="preserve"> </w:t>
      </w:r>
      <w:r>
        <w:t>habitantes</w:t>
      </w:r>
      <w:r>
        <w:rPr>
          <w:spacing w:val="-1"/>
        </w:rPr>
        <w:t xml:space="preserve"> </w:t>
      </w:r>
      <w:r>
        <w:t>del</w:t>
      </w:r>
      <w:r>
        <w:rPr>
          <w:spacing w:val="-1"/>
        </w:rPr>
        <w:t xml:space="preserve"> </w:t>
      </w:r>
      <w:r>
        <w:t>país</w:t>
      </w:r>
      <w:r>
        <w:rPr>
          <w:spacing w:val="-1"/>
        </w:rPr>
        <w:t xml:space="preserve"> </w:t>
      </w:r>
      <w:r>
        <w:t>como</w:t>
      </w:r>
      <w:r>
        <w:rPr>
          <w:spacing w:val="-2"/>
        </w:rPr>
        <w:t xml:space="preserve"> </w:t>
      </w:r>
      <w:r>
        <w:t>base</w:t>
      </w:r>
      <w:r>
        <w:rPr>
          <w:spacing w:val="-1"/>
        </w:rPr>
        <w:t xml:space="preserve"> </w:t>
      </w:r>
      <w:r>
        <w:t>para</w:t>
      </w:r>
      <w:r>
        <w:rPr>
          <w:spacing w:val="-2"/>
        </w:rPr>
        <w:t xml:space="preserve"> </w:t>
      </w:r>
      <w:r>
        <w:t>la</w:t>
      </w:r>
      <w:r>
        <w:rPr>
          <w:spacing w:val="-2"/>
        </w:rPr>
        <w:t xml:space="preserve"> </w:t>
      </w:r>
      <w:r>
        <w:t>construcción</w:t>
      </w:r>
      <w:r>
        <w:rPr>
          <w:spacing w:val="-1"/>
        </w:rPr>
        <w:t xml:space="preserve"> </w:t>
      </w:r>
      <w:r>
        <w:t>de la equidad y paz territorial, e impedir la repetición de las reconfiguraciones territoriales violentas del pasado, proponemos que se adopte una estrategia de desarrollo territorial y sostenible que esté fundamentada en un proceso amplio, participativo y multicultural de ordenamiento</w:t>
      </w:r>
      <w:r>
        <w:rPr>
          <w:spacing w:val="-3"/>
        </w:rPr>
        <w:t xml:space="preserve"> </w:t>
      </w:r>
      <w:r>
        <w:t>territorial</w:t>
      </w:r>
      <w:r>
        <w:rPr>
          <w:spacing w:val="-5"/>
        </w:rPr>
        <w:t xml:space="preserve"> </w:t>
      </w:r>
      <w:r>
        <w:t>que</w:t>
      </w:r>
      <w:r>
        <w:rPr>
          <w:spacing w:val="-3"/>
        </w:rPr>
        <w:t xml:space="preserve"> </w:t>
      </w:r>
      <w:r>
        <w:t>haga</w:t>
      </w:r>
      <w:r>
        <w:rPr>
          <w:spacing w:val="-3"/>
        </w:rPr>
        <w:t xml:space="preserve"> </w:t>
      </w:r>
      <w:r>
        <w:t>posible</w:t>
      </w:r>
      <w:r>
        <w:rPr>
          <w:spacing w:val="-4"/>
        </w:rPr>
        <w:t xml:space="preserve"> </w:t>
      </w:r>
      <w:r>
        <w:t>la</w:t>
      </w:r>
      <w:r>
        <w:rPr>
          <w:spacing w:val="-4"/>
        </w:rPr>
        <w:t xml:space="preserve"> </w:t>
      </w:r>
      <w:r>
        <w:t>construcción</w:t>
      </w:r>
      <w:r>
        <w:rPr>
          <w:spacing w:val="-3"/>
        </w:rPr>
        <w:t xml:space="preserve"> </w:t>
      </w:r>
      <w:r>
        <w:t>de</w:t>
      </w:r>
      <w:r>
        <w:rPr>
          <w:spacing w:val="-6"/>
        </w:rPr>
        <w:t xml:space="preserve"> </w:t>
      </w:r>
      <w:r>
        <w:t>una</w:t>
      </w:r>
      <w:r>
        <w:rPr>
          <w:spacing w:val="-3"/>
        </w:rPr>
        <w:t xml:space="preserve"> </w:t>
      </w:r>
      <w:r>
        <w:t>visión</w:t>
      </w:r>
      <w:r>
        <w:rPr>
          <w:spacing w:val="-3"/>
        </w:rPr>
        <w:t xml:space="preserve"> </w:t>
      </w:r>
      <w:r>
        <w:t>de</w:t>
      </w:r>
      <w:r>
        <w:rPr>
          <w:spacing w:val="-3"/>
        </w:rPr>
        <w:t xml:space="preserve"> </w:t>
      </w:r>
      <w:r>
        <w:t>territorio</w:t>
      </w:r>
      <w:r>
        <w:rPr>
          <w:spacing w:val="-3"/>
        </w:rPr>
        <w:t xml:space="preserve"> </w:t>
      </w:r>
      <w:r>
        <w:t>y</w:t>
      </w:r>
      <w:r>
        <w:rPr>
          <w:spacing w:val="-5"/>
        </w:rPr>
        <w:t xml:space="preserve"> </w:t>
      </w:r>
      <w:r>
        <w:t>futuro compartidos y una relación equitativa entre los territorios. Esta estrategia debe orientarse, entre</w:t>
      </w:r>
      <w:r>
        <w:rPr>
          <w:spacing w:val="-12"/>
        </w:rPr>
        <w:t xml:space="preserve"> </w:t>
      </w:r>
      <w:r>
        <w:t>otras</w:t>
      </w:r>
      <w:r>
        <w:rPr>
          <w:spacing w:val="-11"/>
        </w:rPr>
        <w:t xml:space="preserve"> </w:t>
      </w:r>
      <w:r>
        <w:t>cosas,</w:t>
      </w:r>
      <w:r>
        <w:rPr>
          <w:spacing w:val="-11"/>
        </w:rPr>
        <w:t xml:space="preserve"> </w:t>
      </w:r>
      <w:r>
        <w:t>a</w:t>
      </w:r>
      <w:r>
        <w:rPr>
          <w:spacing w:val="-12"/>
        </w:rPr>
        <w:t xml:space="preserve"> </w:t>
      </w:r>
      <w:r>
        <w:t>la</w:t>
      </w:r>
      <w:r>
        <w:rPr>
          <w:spacing w:val="-12"/>
        </w:rPr>
        <w:t xml:space="preserve"> </w:t>
      </w:r>
      <w:r>
        <w:t>implementación</w:t>
      </w:r>
      <w:r>
        <w:rPr>
          <w:spacing w:val="-11"/>
        </w:rPr>
        <w:t xml:space="preserve"> </w:t>
      </w:r>
      <w:r>
        <w:t>efectiva</w:t>
      </w:r>
      <w:r>
        <w:rPr>
          <w:spacing w:val="-11"/>
        </w:rPr>
        <w:t xml:space="preserve"> </w:t>
      </w:r>
      <w:r>
        <w:t>y</w:t>
      </w:r>
      <w:r>
        <w:rPr>
          <w:spacing w:val="-12"/>
        </w:rPr>
        <w:t xml:space="preserve"> </w:t>
      </w:r>
      <w:r>
        <w:t>ajustada</w:t>
      </w:r>
      <w:r>
        <w:rPr>
          <w:spacing w:val="-11"/>
        </w:rPr>
        <w:t xml:space="preserve"> </w:t>
      </w:r>
      <w:r>
        <w:t>a</w:t>
      </w:r>
      <w:r>
        <w:rPr>
          <w:spacing w:val="-12"/>
        </w:rPr>
        <w:t xml:space="preserve"> </w:t>
      </w:r>
      <w:r>
        <w:t>la</w:t>
      </w:r>
      <w:r>
        <w:rPr>
          <w:spacing w:val="-13"/>
        </w:rPr>
        <w:t xml:space="preserve"> </w:t>
      </w:r>
      <w:r>
        <w:t>coyuntura</w:t>
      </w:r>
      <w:r>
        <w:rPr>
          <w:spacing w:val="-12"/>
        </w:rPr>
        <w:t xml:space="preserve"> </w:t>
      </w:r>
      <w:r>
        <w:t>actual</w:t>
      </w:r>
      <w:r>
        <w:rPr>
          <w:spacing w:val="-10"/>
        </w:rPr>
        <w:t xml:space="preserve"> </w:t>
      </w:r>
      <w:r>
        <w:t>de</w:t>
      </w:r>
      <w:r>
        <w:rPr>
          <w:spacing w:val="-11"/>
        </w:rPr>
        <w:t xml:space="preserve"> </w:t>
      </w:r>
      <w:r>
        <w:t>la</w:t>
      </w:r>
      <w:r>
        <w:rPr>
          <w:spacing w:val="-11"/>
        </w:rPr>
        <w:t xml:space="preserve"> </w:t>
      </w:r>
      <w:r>
        <w:t>Reforma Rural Integral y a atender asuntos estructurales de la historia rural que no fueron abordados allí</w:t>
      </w:r>
      <w:r>
        <w:rPr>
          <w:spacing w:val="-4"/>
        </w:rPr>
        <w:t xml:space="preserve"> </w:t>
      </w:r>
      <w:r>
        <w:t>o</w:t>
      </w:r>
      <w:r>
        <w:rPr>
          <w:spacing w:val="-5"/>
        </w:rPr>
        <w:t xml:space="preserve"> </w:t>
      </w:r>
      <w:r>
        <w:t>solo</w:t>
      </w:r>
      <w:r>
        <w:rPr>
          <w:spacing w:val="-5"/>
        </w:rPr>
        <w:t xml:space="preserve"> </w:t>
      </w:r>
      <w:r>
        <w:t>de</w:t>
      </w:r>
      <w:r>
        <w:rPr>
          <w:spacing w:val="-4"/>
        </w:rPr>
        <w:t xml:space="preserve"> </w:t>
      </w:r>
      <w:r>
        <w:t>manera</w:t>
      </w:r>
      <w:r>
        <w:rPr>
          <w:spacing w:val="-4"/>
        </w:rPr>
        <w:t xml:space="preserve"> </w:t>
      </w:r>
      <w:r>
        <w:t>tangencial.</w:t>
      </w:r>
      <w:r>
        <w:rPr>
          <w:spacing w:val="-5"/>
        </w:rPr>
        <w:t xml:space="preserve"> </w:t>
      </w:r>
      <w:r>
        <w:t>También</w:t>
      </w:r>
      <w:r>
        <w:rPr>
          <w:spacing w:val="-5"/>
        </w:rPr>
        <w:t xml:space="preserve"> </w:t>
      </w:r>
      <w:r>
        <w:t>proponemos</w:t>
      </w:r>
      <w:r>
        <w:rPr>
          <w:spacing w:val="-4"/>
        </w:rPr>
        <w:t xml:space="preserve"> </w:t>
      </w:r>
      <w:r>
        <w:t>que,</w:t>
      </w:r>
      <w:r>
        <w:rPr>
          <w:spacing w:val="-5"/>
        </w:rPr>
        <w:t xml:space="preserve"> </w:t>
      </w:r>
      <w:r>
        <w:t>por</w:t>
      </w:r>
      <w:r>
        <w:rPr>
          <w:spacing w:val="-4"/>
        </w:rPr>
        <w:t xml:space="preserve"> </w:t>
      </w:r>
      <w:r>
        <w:t>lo</w:t>
      </w:r>
      <w:r>
        <w:rPr>
          <w:spacing w:val="-5"/>
        </w:rPr>
        <w:t xml:space="preserve"> </w:t>
      </w:r>
      <w:r>
        <w:t>dicho,</w:t>
      </w:r>
      <w:r>
        <w:rPr>
          <w:spacing w:val="-5"/>
        </w:rPr>
        <w:t xml:space="preserve"> </w:t>
      </w:r>
      <w:r>
        <w:t>esta</w:t>
      </w:r>
      <w:r>
        <w:rPr>
          <w:spacing w:val="-5"/>
        </w:rPr>
        <w:t xml:space="preserve"> </w:t>
      </w:r>
      <w:r>
        <w:t>estrategia</w:t>
      </w:r>
      <w:r>
        <w:rPr>
          <w:spacing w:val="-4"/>
        </w:rPr>
        <w:t xml:space="preserve"> </w:t>
      </w:r>
      <w:r>
        <w:t>esté compuesta al menos por cinco grandes ejes temáticos, con recomendaciones dirigidas a: (i) retomar la discusión sobre el proceso de descentralización, la autonomía territorial y la organización político administrativa del país; (</w:t>
      </w:r>
      <w:proofErr w:type="spellStart"/>
      <w:r>
        <w:t>ii</w:t>
      </w:r>
      <w:proofErr w:type="spellEnd"/>
      <w:r>
        <w:t>) garantizar un acceso equitativo a tierras y territorios;</w:t>
      </w:r>
      <w:r>
        <w:rPr>
          <w:spacing w:val="3"/>
        </w:rPr>
        <w:t xml:space="preserve"> </w:t>
      </w:r>
      <w:r>
        <w:t>(</w:t>
      </w:r>
      <w:proofErr w:type="spellStart"/>
      <w:r>
        <w:t>iii</w:t>
      </w:r>
      <w:proofErr w:type="spellEnd"/>
      <w:r>
        <w:t>)</w:t>
      </w:r>
      <w:r>
        <w:rPr>
          <w:spacing w:val="5"/>
        </w:rPr>
        <w:t xml:space="preserve"> </w:t>
      </w:r>
      <w:r>
        <w:t>lograr</w:t>
      </w:r>
      <w:r>
        <w:rPr>
          <w:spacing w:val="5"/>
        </w:rPr>
        <w:t xml:space="preserve"> </w:t>
      </w:r>
      <w:r>
        <w:t>un</w:t>
      </w:r>
      <w:r>
        <w:rPr>
          <w:spacing w:val="5"/>
        </w:rPr>
        <w:t xml:space="preserve"> </w:t>
      </w:r>
      <w:r>
        <w:t>uso</w:t>
      </w:r>
      <w:r>
        <w:rPr>
          <w:spacing w:val="5"/>
        </w:rPr>
        <w:t xml:space="preserve"> </w:t>
      </w:r>
      <w:r>
        <w:t>sostenible</w:t>
      </w:r>
      <w:r>
        <w:rPr>
          <w:spacing w:val="6"/>
        </w:rPr>
        <w:t xml:space="preserve"> </w:t>
      </w:r>
      <w:r>
        <w:t>de</w:t>
      </w:r>
      <w:r>
        <w:rPr>
          <w:spacing w:val="5"/>
        </w:rPr>
        <w:t xml:space="preserve"> </w:t>
      </w:r>
      <w:r>
        <w:t>tierras</w:t>
      </w:r>
      <w:r>
        <w:rPr>
          <w:spacing w:val="5"/>
        </w:rPr>
        <w:t xml:space="preserve"> </w:t>
      </w:r>
      <w:r>
        <w:t>y</w:t>
      </w:r>
      <w:r>
        <w:rPr>
          <w:spacing w:val="5"/>
        </w:rPr>
        <w:t xml:space="preserve"> </w:t>
      </w:r>
      <w:r>
        <w:t>territorios,</w:t>
      </w:r>
      <w:r>
        <w:rPr>
          <w:spacing w:val="5"/>
        </w:rPr>
        <w:t xml:space="preserve"> </w:t>
      </w:r>
      <w:r>
        <w:t>y</w:t>
      </w:r>
      <w:r>
        <w:rPr>
          <w:spacing w:val="5"/>
        </w:rPr>
        <w:t xml:space="preserve"> </w:t>
      </w:r>
      <w:r>
        <w:t>la</w:t>
      </w:r>
      <w:r>
        <w:rPr>
          <w:spacing w:val="6"/>
        </w:rPr>
        <w:t xml:space="preserve"> </w:t>
      </w:r>
      <w:r>
        <w:t>prevención</w:t>
      </w:r>
      <w:r>
        <w:rPr>
          <w:spacing w:val="5"/>
        </w:rPr>
        <w:t xml:space="preserve"> </w:t>
      </w:r>
      <w:r>
        <w:t>y</w:t>
      </w:r>
      <w:r>
        <w:rPr>
          <w:spacing w:val="6"/>
        </w:rPr>
        <w:t xml:space="preserve"> </w:t>
      </w:r>
      <w:r>
        <w:t>gestión</w:t>
      </w:r>
      <w:r>
        <w:rPr>
          <w:spacing w:val="6"/>
        </w:rPr>
        <w:t xml:space="preserve"> </w:t>
      </w:r>
      <w:r>
        <w:rPr>
          <w:spacing w:val="-5"/>
        </w:rPr>
        <w:t>de</w:t>
      </w:r>
      <w:r w:rsidR="00250B10">
        <w:t xml:space="preserve"> </w:t>
      </w:r>
      <w:r>
        <w:t>conflictos socioambientales; (</w:t>
      </w:r>
      <w:proofErr w:type="spellStart"/>
      <w:r>
        <w:t>iv</w:t>
      </w:r>
      <w:proofErr w:type="spellEnd"/>
      <w:r>
        <w:t xml:space="preserve">) promover un desarrollo con enfoque territorial con énfasis en la provisión de bienes y servicios públicos para la ruralidad; y (v) prevenir y revertir el despojo </w:t>
      </w:r>
      <w:r>
        <w:lastRenderedPageBreak/>
        <w:t>de tierras y territorios, y reparar de manera efectiva a las víctimas.</w:t>
      </w:r>
    </w:p>
    <w:p w:rsidR="003804AC" w:rsidRDefault="00AF18A5" w:rsidP="00250B10">
      <w:r>
        <w:t>Ahora bien, esta estrategia debe articularse de manera audaz con varias de las medidas planteadas</w:t>
      </w:r>
      <w:r>
        <w:rPr>
          <w:spacing w:val="-9"/>
        </w:rPr>
        <w:t xml:space="preserve"> </w:t>
      </w:r>
      <w:r>
        <w:t>en</w:t>
      </w:r>
      <w:r>
        <w:rPr>
          <w:spacing w:val="-10"/>
        </w:rPr>
        <w:t xml:space="preserve"> </w:t>
      </w:r>
      <w:r>
        <w:t>otras</w:t>
      </w:r>
      <w:r>
        <w:rPr>
          <w:spacing w:val="-9"/>
        </w:rPr>
        <w:t xml:space="preserve"> </w:t>
      </w:r>
      <w:r>
        <w:t>secciones,</w:t>
      </w:r>
      <w:r>
        <w:rPr>
          <w:spacing w:val="-10"/>
        </w:rPr>
        <w:t xml:space="preserve"> </w:t>
      </w:r>
      <w:r>
        <w:t>pues</w:t>
      </w:r>
      <w:r>
        <w:rPr>
          <w:spacing w:val="-9"/>
        </w:rPr>
        <w:t xml:space="preserve"> </w:t>
      </w:r>
      <w:r>
        <w:t>también</w:t>
      </w:r>
      <w:r>
        <w:rPr>
          <w:spacing w:val="-10"/>
        </w:rPr>
        <w:t xml:space="preserve"> </w:t>
      </w:r>
      <w:r>
        <w:t>son</w:t>
      </w:r>
      <w:r>
        <w:rPr>
          <w:spacing w:val="-10"/>
        </w:rPr>
        <w:t xml:space="preserve"> </w:t>
      </w:r>
      <w:r>
        <w:t>esenciales</w:t>
      </w:r>
      <w:r>
        <w:rPr>
          <w:spacing w:val="-9"/>
        </w:rPr>
        <w:t xml:space="preserve"> </w:t>
      </w:r>
      <w:r>
        <w:t>para</w:t>
      </w:r>
      <w:r>
        <w:rPr>
          <w:spacing w:val="-9"/>
        </w:rPr>
        <w:t xml:space="preserve"> </w:t>
      </w:r>
      <w:r>
        <w:t>lograr</w:t>
      </w:r>
      <w:r>
        <w:rPr>
          <w:spacing w:val="-9"/>
        </w:rPr>
        <w:t xml:space="preserve"> </w:t>
      </w:r>
      <w:r>
        <w:t>una</w:t>
      </w:r>
      <w:r>
        <w:rPr>
          <w:spacing w:val="-11"/>
        </w:rPr>
        <w:t xml:space="preserve"> </w:t>
      </w:r>
      <w:r>
        <w:t>equidad</w:t>
      </w:r>
      <w:r>
        <w:rPr>
          <w:spacing w:val="-10"/>
        </w:rPr>
        <w:t xml:space="preserve"> </w:t>
      </w:r>
      <w:r>
        <w:t>y</w:t>
      </w:r>
      <w:r>
        <w:rPr>
          <w:spacing w:val="-10"/>
        </w:rPr>
        <w:t xml:space="preserve"> </w:t>
      </w:r>
      <w:r>
        <w:t>una</w:t>
      </w:r>
      <w:r>
        <w:rPr>
          <w:spacing w:val="-9"/>
        </w:rPr>
        <w:t xml:space="preserve"> </w:t>
      </w:r>
      <w:r>
        <w:t>paz territorial estable y duradera. Así, por ejemplo, la reducción de las brechas de desigualdad entre</w:t>
      </w:r>
      <w:r>
        <w:rPr>
          <w:spacing w:val="-12"/>
        </w:rPr>
        <w:t xml:space="preserve"> </w:t>
      </w:r>
      <w:r>
        <w:t>las</w:t>
      </w:r>
      <w:r>
        <w:rPr>
          <w:spacing w:val="-12"/>
        </w:rPr>
        <w:t xml:space="preserve"> </w:t>
      </w:r>
      <w:r>
        <w:t>zonas</w:t>
      </w:r>
      <w:r>
        <w:rPr>
          <w:spacing w:val="-12"/>
        </w:rPr>
        <w:t xml:space="preserve"> </w:t>
      </w:r>
      <w:r>
        <w:t>urbanas</w:t>
      </w:r>
      <w:r>
        <w:rPr>
          <w:spacing w:val="-12"/>
        </w:rPr>
        <w:t xml:space="preserve"> </w:t>
      </w:r>
      <w:r>
        <w:t>y</w:t>
      </w:r>
      <w:r>
        <w:rPr>
          <w:spacing w:val="-12"/>
        </w:rPr>
        <w:t xml:space="preserve"> </w:t>
      </w:r>
      <w:r>
        <w:t>rurales,</w:t>
      </w:r>
      <w:r>
        <w:rPr>
          <w:spacing w:val="-12"/>
        </w:rPr>
        <w:t xml:space="preserve"> </w:t>
      </w:r>
      <w:r>
        <w:t>y</w:t>
      </w:r>
      <w:r>
        <w:rPr>
          <w:spacing w:val="-12"/>
        </w:rPr>
        <w:t xml:space="preserve"> </w:t>
      </w:r>
      <w:r>
        <w:t>la</w:t>
      </w:r>
      <w:r>
        <w:rPr>
          <w:spacing w:val="-12"/>
        </w:rPr>
        <w:t xml:space="preserve"> </w:t>
      </w:r>
      <w:r>
        <w:t>promoción</w:t>
      </w:r>
      <w:r>
        <w:rPr>
          <w:spacing w:val="-12"/>
        </w:rPr>
        <w:t xml:space="preserve"> </w:t>
      </w:r>
      <w:r>
        <w:t>de</w:t>
      </w:r>
      <w:r>
        <w:rPr>
          <w:spacing w:val="-12"/>
        </w:rPr>
        <w:t xml:space="preserve"> </w:t>
      </w:r>
      <w:r>
        <w:t>un</w:t>
      </w:r>
      <w:r>
        <w:rPr>
          <w:spacing w:val="-12"/>
        </w:rPr>
        <w:t xml:space="preserve"> </w:t>
      </w:r>
      <w:r>
        <w:t>ordenamiento</w:t>
      </w:r>
      <w:r>
        <w:rPr>
          <w:spacing w:val="-12"/>
        </w:rPr>
        <w:t xml:space="preserve"> </w:t>
      </w:r>
      <w:r>
        <w:t>territorial</w:t>
      </w:r>
      <w:r>
        <w:rPr>
          <w:spacing w:val="-11"/>
        </w:rPr>
        <w:t xml:space="preserve"> </w:t>
      </w:r>
      <w:r>
        <w:t>participativo, sostenible</w:t>
      </w:r>
      <w:r>
        <w:rPr>
          <w:spacing w:val="-3"/>
        </w:rPr>
        <w:t xml:space="preserve"> </w:t>
      </w:r>
      <w:r>
        <w:t>y</w:t>
      </w:r>
      <w:r>
        <w:rPr>
          <w:spacing w:val="-3"/>
        </w:rPr>
        <w:t xml:space="preserve"> </w:t>
      </w:r>
      <w:r>
        <w:t>multicultural,</w:t>
      </w:r>
      <w:r>
        <w:rPr>
          <w:spacing w:val="-2"/>
        </w:rPr>
        <w:t xml:space="preserve"> </w:t>
      </w:r>
      <w:r>
        <w:t>implica</w:t>
      </w:r>
      <w:r>
        <w:rPr>
          <w:spacing w:val="-3"/>
        </w:rPr>
        <w:t xml:space="preserve"> </w:t>
      </w:r>
      <w:r>
        <w:t>retomar</w:t>
      </w:r>
      <w:r>
        <w:rPr>
          <w:spacing w:val="-3"/>
        </w:rPr>
        <w:t xml:space="preserve"> </w:t>
      </w:r>
      <w:r>
        <w:t>y</w:t>
      </w:r>
      <w:r>
        <w:rPr>
          <w:spacing w:val="-2"/>
        </w:rPr>
        <w:t xml:space="preserve"> </w:t>
      </w:r>
      <w:r>
        <w:t>avanzar</w:t>
      </w:r>
      <w:r>
        <w:rPr>
          <w:spacing w:val="-3"/>
        </w:rPr>
        <w:t xml:space="preserve"> </w:t>
      </w:r>
      <w:r>
        <w:t>en</w:t>
      </w:r>
      <w:r>
        <w:rPr>
          <w:spacing w:val="-2"/>
        </w:rPr>
        <w:t xml:space="preserve"> </w:t>
      </w:r>
      <w:r>
        <w:t>la</w:t>
      </w:r>
      <w:r>
        <w:rPr>
          <w:spacing w:val="-2"/>
        </w:rPr>
        <w:t xml:space="preserve"> </w:t>
      </w:r>
      <w:r>
        <w:t>discusión</w:t>
      </w:r>
      <w:r>
        <w:rPr>
          <w:spacing w:val="-2"/>
        </w:rPr>
        <w:t xml:space="preserve"> </w:t>
      </w:r>
      <w:r>
        <w:t>sobre</w:t>
      </w:r>
      <w:r>
        <w:rPr>
          <w:spacing w:val="-3"/>
        </w:rPr>
        <w:t xml:space="preserve"> </w:t>
      </w:r>
      <w:r>
        <w:t>la</w:t>
      </w:r>
      <w:r>
        <w:rPr>
          <w:spacing w:val="-3"/>
        </w:rPr>
        <w:t xml:space="preserve"> </w:t>
      </w:r>
      <w:r>
        <w:t>representación política de las regiones, en particular de las más afectadas por el conflicto, así como garantizar el goce efectivo de los derechos de los sujetos, pueblos y comunidades rurales históricamente excluidos. Ambos asuntos y otros adicionales, como el reconocimiento del campesinado como sujeto político de especial protección constitucional y la adopción de medidas especiales orientadas a lograr su igualdad material, se abordan en la sección sobre régimen político. Un acceso más democrático y equitativo a la tierra, por su parte, requiere necesariamente de la puesta en marcha de la jurisdicción agraria ya mencionada; mientras que la prevención y reversión del despojo de tierras y territorios exige de una articulación estrecha con las medidas de reparación integral propuestas en la sección correspondiente. Finalmente,</w:t>
      </w:r>
      <w:r>
        <w:rPr>
          <w:spacing w:val="-8"/>
        </w:rPr>
        <w:t xml:space="preserve"> </w:t>
      </w:r>
      <w:r>
        <w:t>el</w:t>
      </w:r>
      <w:r>
        <w:rPr>
          <w:spacing w:val="-7"/>
        </w:rPr>
        <w:t xml:space="preserve"> </w:t>
      </w:r>
      <w:r>
        <w:t>desarrollo,</w:t>
      </w:r>
      <w:r>
        <w:rPr>
          <w:spacing w:val="-7"/>
        </w:rPr>
        <w:t xml:space="preserve"> </w:t>
      </w:r>
      <w:r>
        <w:t>la</w:t>
      </w:r>
      <w:r>
        <w:rPr>
          <w:spacing w:val="-7"/>
        </w:rPr>
        <w:t xml:space="preserve"> </w:t>
      </w:r>
      <w:r>
        <w:t>equidad</w:t>
      </w:r>
      <w:r>
        <w:rPr>
          <w:spacing w:val="-8"/>
        </w:rPr>
        <w:t xml:space="preserve"> </w:t>
      </w:r>
      <w:r>
        <w:t>y</w:t>
      </w:r>
      <w:r>
        <w:rPr>
          <w:spacing w:val="-7"/>
        </w:rPr>
        <w:t xml:space="preserve"> </w:t>
      </w:r>
      <w:r>
        <w:t>la</w:t>
      </w:r>
      <w:r>
        <w:rPr>
          <w:spacing w:val="-7"/>
        </w:rPr>
        <w:t xml:space="preserve"> </w:t>
      </w:r>
      <w:r>
        <w:t>paz</w:t>
      </w:r>
      <w:r>
        <w:rPr>
          <w:spacing w:val="-7"/>
        </w:rPr>
        <w:t xml:space="preserve"> </w:t>
      </w:r>
      <w:r>
        <w:t>territorial</w:t>
      </w:r>
      <w:r>
        <w:rPr>
          <w:spacing w:val="-7"/>
        </w:rPr>
        <w:t xml:space="preserve"> </w:t>
      </w:r>
      <w:r>
        <w:t>en</w:t>
      </w:r>
      <w:r>
        <w:rPr>
          <w:spacing w:val="-7"/>
        </w:rPr>
        <w:t xml:space="preserve"> </w:t>
      </w:r>
      <w:r>
        <w:t>su</w:t>
      </w:r>
      <w:r>
        <w:rPr>
          <w:spacing w:val="-7"/>
        </w:rPr>
        <w:t xml:space="preserve"> </w:t>
      </w:r>
      <w:r>
        <w:t>conjunto,</w:t>
      </w:r>
      <w:r>
        <w:rPr>
          <w:spacing w:val="-7"/>
        </w:rPr>
        <w:t xml:space="preserve"> </w:t>
      </w:r>
      <w:r>
        <w:t>precisa</w:t>
      </w:r>
      <w:r>
        <w:rPr>
          <w:spacing w:val="-7"/>
        </w:rPr>
        <w:t xml:space="preserve"> </w:t>
      </w:r>
      <w:r>
        <w:t>de</w:t>
      </w:r>
      <w:r>
        <w:rPr>
          <w:spacing w:val="-7"/>
        </w:rPr>
        <w:t xml:space="preserve"> </w:t>
      </w:r>
      <w:r>
        <w:t>un</w:t>
      </w:r>
      <w:r>
        <w:rPr>
          <w:spacing w:val="-7"/>
        </w:rPr>
        <w:t xml:space="preserve"> </w:t>
      </w:r>
      <w:r>
        <w:t>modelo especial de seguridad para la ruralidad centrado en la protección de las personas y las comunidades, que es lo que se propone en el tema de seguridad.</w:t>
      </w:r>
    </w:p>
    <w:p w:rsidR="003804AC" w:rsidRDefault="00AF18A5" w:rsidP="00250B10">
      <w:r>
        <w:t>Para finalizar, vale la pena señalar que estas recomendaciones han sido formuladas teniendo en cuenta los desafíos que enfrentan el país y el planeta por cuenta del cambio climático</w:t>
      </w:r>
      <w:r>
        <w:rPr>
          <w:spacing w:val="-8"/>
        </w:rPr>
        <w:t xml:space="preserve"> </w:t>
      </w:r>
      <w:r>
        <w:t>y</w:t>
      </w:r>
      <w:r>
        <w:rPr>
          <w:spacing w:val="-9"/>
        </w:rPr>
        <w:t xml:space="preserve"> </w:t>
      </w:r>
      <w:r>
        <w:t>de</w:t>
      </w:r>
      <w:r>
        <w:rPr>
          <w:spacing w:val="-8"/>
        </w:rPr>
        <w:t xml:space="preserve"> </w:t>
      </w:r>
      <w:r>
        <w:t>una</w:t>
      </w:r>
      <w:r>
        <w:rPr>
          <w:spacing w:val="-8"/>
        </w:rPr>
        <w:t xml:space="preserve"> </w:t>
      </w:r>
      <w:r>
        <w:t>crisis</w:t>
      </w:r>
      <w:r>
        <w:rPr>
          <w:spacing w:val="-9"/>
        </w:rPr>
        <w:t xml:space="preserve"> </w:t>
      </w:r>
      <w:r>
        <w:t>alimentaria</w:t>
      </w:r>
      <w:r>
        <w:rPr>
          <w:spacing w:val="-9"/>
        </w:rPr>
        <w:t xml:space="preserve"> </w:t>
      </w:r>
      <w:r>
        <w:t>en</w:t>
      </w:r>
      <w:r>
        <w:rPr>
          <w:spacing w:val="-8"/>
        </w:rPr>
        <w:t xml:space="preserve"> </w:t>
      </w:r>
      <w:r>
        <w:t>ciernes.</w:t>
      </w:r>
      <w:r>
        <w:rPr>
          <w:spacing w:val="-8"/>
        </w:rPr>
        <w:t xml:space="preserve"> </w:t>
      </w:r>
      <w:r>
        <w:t>Estas,</w:t>
      </w:r>
      <w:r>
        <w:rPr>
          <w:spacing w:val="-8"/>
        </w:rPr>
        <w:t xml:space="preserve"> </w:t>
      </w:r>
      <w:r>
        <w:t>además,</w:t>
      </w:r>
      <w:r>
        <w:rPr>
          <w:spacing w:val="-8"/>
        </w:rPr>
        <w:t xml:space="preserve"> </w:t>
      </w:r>
      <w:r>
        <w:t>tienen</w:t>
      </w:r>
      <w:r>
        <w:rPr>
          <w:spacing w:val="-8"/>
        </w:rPr>
        <w:t xml:space="preserve"> </w:t>
      </w:r>
      <w:r>
        <w:t>como</w:t>
      </w:r>
      <w:r>
        <w:rPr>
          <w:spacing w:val="-8"/>
        </w:rPr>
        <w:t xml:space="preserve"> </w:t>
      </w:r>
      <w:r>
        <w:t>propósito</w:t>
      </w:r>
      <w:r>
        <w:rPr>
          <w:spacing w:val="-10"/>
        </w:rPr>
        <w:t xml:space="preserve"> </w:t>
      </w:r>
      <w:r>
        <w:t xml:space="preserve">alertar y contribuir a la prevención de nuevos ciclos de violencia relacionados con conflictos por </w:t>
      </w:r>
      <w:r>
        <w:lastRenderedPageBreak/>
        <w:t>recursos vitales como el agua, la tierra y los alimentos; y promover un desarrollo rural sostenible que garantice la inclusión social y productiva de las poblaciones rurales, que permita</w:t>
      </w:r>
      <w:r>
        <w:rPr>
          <w:spacing w:val="-13"/>
        </w:rPr>
        <w:t xml:space="preserve"> </w:t>
      </w:r>
      <w:r>
        <w:t>repensar</w:t>
      </w:r>
      <w:r>
        <w:rPr>
          <w:spacing w:val="-13"/>
        </w:rPr>
        <w:t xml:space="preserve"> </w:t>
      </w:r>
      <w:r>
        <w:t>el</w:t>
      </w:r>
      <w:r>
        <w:rPr>
          <w:spacing w:val="-13"/>
        </w:rPr>
        <w:t xml:space="preserve"> </w:t>
      </w:r>
      <w:r>
        <w:t>modelo</w:t>
      </w:r>
      <w:r>
        <w:rPr>
          <w:spacing w:val="-13"/>
        </w:rPr>
        <w:t xml:space="preserve"> </w:t>
      </w:r>
      <w:r>
        <w:t>de</w:t>
      </w:r>
      <w:r>
        <w:rPr>
          <w:spacing w:val="-13"/>
        </w:rPr>
        <w:t xml:space="preserve"> </w:t>
      </w:r>
      <w:r>
        <w:t>desarrollo</w:t>
      </w:r>
      <w:r>
        <w:rPr>
          <w:spacing w:val="-13"/>
        </w:rPr>
        <w:t xml:space="preserve"> </w:t>
      </w:r>
      <w:r>
        <w:t>basado</w:t>
      </w:r>
      <w:r>
        <w:rPr>
          <w:spacing w:val="-13"/>
        </w:rPr>
        <w:t xml:space="preserve"> </w:t>
      </w:r>
      <w:r>
        <w:t>en</w:t>
      </w:r>
      <w:r>
        <w:rPr>
          <w:spacing w:val="-13"/>
        </w:rPr>
        <w:t xml:space="preserve"> </w:t>
      </w:r>
      <w:r>
        <w:t>el</w:t>
      </w:r>
      <w:r>
        <w:rPr>
          <w:spacing w:val="-13"/>
        </w:rPr>
        <w:t xml:space="preserve"> </w:t>
      </w:r>
      <w:proofErr w:type="spellStart"/>
      <w:r>
        <w:t>extractivismo</w:t>
      </w:r>
      <w:proofErr w:type="spellEnd"/>
      <w:r>
        <w:rPr>
          <w:spacing w:val="-13"/>
        </w:rPr>
        <w:t xml:space="preserve"> </w:t>
      </w:r>
      <w:r>
        <w:t>y</w:t>
      </w:r>
      <w:r>
        <w:rPr>
          <w:spacing w:val="-13"/>
        </w:rPr>
        <w:t xml:space="preserve"> </w:t>
      </w:r>
      <w:r>
        <w:t>que</w:t>
      </w:r>
      <w:r>
        <w:rPr>
          <w:spacing w:val="-13"/>
        </w:rPr>
        <w:t xml:space="preserve"> </w:t>
      </w:r>
      <w:r>
        <w:t>logre</w:t>
      </w:r>
      <w:r>
        <w:rPr>
          <w:spacing w:val="-13"/>
        </w:rPr>
        <w:t xml:space="preserve"> </w:t>
      </w:r>
      <w:r>
        <w:t>la</w:t>
      </w:r>
      <w:r>
        <w:rPr>
          <w:spacing w:val="-13"/>
        </w:rPr>
        <w:t xml:space="preserve"> </w:t>
      </w:r>
      <w:r>
        <w:t>protección de los derechos de las generaciones presentes y futuras.</w:t>
      </w:r>
    </w:p>
    <w:p w:rsidR="003804AC" w:rsidRDefault="00AF18A5" w:rsidP="00250B10">
      <w:r>
        <w:rPr>
          <w:w w:val="95"/>
        </w:rPr>
        <w:t>RECONOCIMIENTO</w:t>
      </w:r>
      <w:r>
        <w:rPr>
          <w:spacing w:val="34"/>
        </w:rPr>
        <w:t xml:space="preserve"> </w:t>
      </w:r>
      <w:r>
        <w:rPr>
          <w:w w:val="95"/>
        </w:rPr>
        <w:t>-</w:t>
      </w:r>
      <w:r>
        <w:rPr>
          <w:spacing w:val="23"/>
        </w:rPr>
        <w:t xml:space="preserve"> </w:t>
      </w:r>
      <w:r>
        <w:rPr>
          <w:spacing w:val="-2"/>
          <w:w w:val="95"/>
        </w:rPr>
        <w:t>LLAMADO</w:t>
      </w:r>
    </w:p>
    <w:p w:rsidR="003804AC" w:rsidRDefault="00AF18A5" w:rsidP="00250B10">
      <w:r>
        <w:t>Hacemos un llamado al</w:t>
      </w:r>
      <w:r>
        <w:rPr>
          <w:spacing w:val="-1"/>
        </w:rPr>
        <w:t xml:space="preserve"> </w:t>
      </w:r>
      <w:r>
        <w:t xml:space="preserve">reconocimiento </w:t>
      </w:r>
      <w:proofErr w:type="spellStart"/>
      <w:r>
        <w:t>de</w:t>
      </w:r>
      <w:r w:rsidR="00250B10">
        <w:t xml:space="preserve"> </w:t>
      </w:r>
      <w:r>
        <w:t>l</w:t>
      </w:r>
      <w:proofErr w:type="spellEnd"/>
      <w:r>
        <w:t xml:space="preserve"> Estado y a</w:t>
      </w:r>
      <w:r>
        <w:rPr>
          <w:spacing w:val="-1"/>
        </w:rPr>
        <w:t xml:space="preserve"> </w:t>
      </w:r>
      <w:r>
        <w:t>la</w:t>
      </w:r>
      <w:r>
        <w:rPr>
          <w:spacing w:val="-1"/>
        </w:rPr>
        <w:t xml:space="preserve"> </w:t>
      </w:r>
      <w:r>
        <w:t>sociedad colombiana</w:t>
      </w:r>
      <w:r>
        <w:rPr>
          <w:spacing w:val="80"/>
        </w:rPr>
        <w:t xml:space="preserve"> </w:t>
      </w:r>
      <w:r>
        <w:t>de que</w:t>
      </w:r>
      <w:r>
        <w:rPr>
          <w:spacing w:val="-10"/>
        </w:rPr>
        <w:t xml:space="preserve"> </w:t>
      </w:r>
      <w:r>
        <w:t>las</w:t>
      </w:r>
      <w:r>
        <w:rPr>
          <w:spacing w:val="-10"/>
        </w:rPr>
        <w:t xml:space="preserve"> </w:t>
      </w:r>
      <w:r>
        <w:t>desigualdades</w:t>
      </w:r>
      <w:r>
        <w:rPr>
          <w:spacing w:val="-10"/>
        </w:rPr>
        <w:t xml:space="preserve"> </w:t>
      </w:r>
      <w:r>
        <w:t>estructurales</w:t>
      </w:r>
      <w:r>
        <w:rPr>
          <w:spacing w:val="-12"/>
        </w:rPr>
        <w:t xml:space="preserve"> </w:t>
      </w:r>
      <w:r>
        <w:t>que</w:t>
      </w:r>
      <w:r>
        <w:rPr>
          <w:spacing w:val="-10"/>
        </w:rPr>
        <w:t xml:space="preserve"> </w:t>
      </w:r>
      <w:r>
        <w:t>han</w:t>
      </w:r>
      <w:r>
        <w:rPr>
          <w:spacing w:val="-11"/>
        </w:rPr>
        <w:t xml:space="preserve"> </w:t>
      </w:r>
      <w:r>
        <w:t>configurado</w:t>
      </w:r>
      <w:r>
        <w:rPr>
          <w:spacing w:val="-11"/>
        </w:rPr>
        <w:t xml:space="preserve"> </w:t>
      </w:r>
      <w:r>
        <w:t>la</w:t>
      </w:r>
      <w:r>
        <w:rPr>
          <w:spacing w:val="-11"/>
        </w:rPr>
        <w:t xml:space="preserve"> </w:t>
      </w:r>
      <w:r>
        <w:t>ruralidad</w:t>
      </w:r>
      <w:r>
        <w:rPr>
          <w:spacing w:val="-11"/>
        </w:rPr>
        <w:t xml:space="preserve"> </w:t>
      </w:r>
      <w:r>
        <w:t>colombiana</w:t>
      </w:r>
      <w:r>
        <w:rPr>
          <w:spacing w:val="-11"/>
        </w:rPr>
        <w:t xml:space="preserve"> </w:t>
      </w:r>
      <w:r>
        <w:t>a</w:t>
      </w:r>
      <w:r>
        <w:rPr>
          <w:spacing w:val="-11"/>
        </w:rPr>
        <w:t xml:space="preserve"> </w:t>
      </w:r>
      <w:r>
        <w:t>lo</w:t>
      </w:r>
      <w:r>
        <w:rPr>
          <w:spacing w:val="-11"/>
        </w:rPr>
        <w:t xml:space="preserve"> </w:t>
      </w:r>
      <w:r>
        <w:t>largo de su historia están estrechamente relacionadas con el origen y la persistencia de este conflicto armado, y que dichas desigualdades se han profundizado por cuenta del propio conflicto,</w:t>
      </w:r>
      <w:r>
        <w:rPr>
          <w:spacing w:val="-8"/>
        </w:rPr>
        <w:t xml:space="preserve"> </w:t>
      </w:r>
      <w:r>
        <w:t>librado</w:t>
      </w:r>
      <w:r>
        <w:rPr>
          <w:spacing w:val="-7"/>
        </w:rPr>
        <w:t xml:space="preserve"> </w:t>
      </w:r>
      <w:r>
        <w:t>en</w:t>
      </w:r>
      <w:r>
        <w:rPr>
          <w:spacing w:val="-7"/>
        </w:rPr>
        <w:t xml:space="preserve"> </w:t>
      </w:r>
      <w:r>
        <w:t>gran</w:t>
      </w:r>
      <w:r>
        <w:rPr>
          <w:spacing w:val="-7"/>
        </w:rPr>
        <w:t xml:space="preserve"> </w:t>
      </w:r>
      <w:r>
        <w:t>parte</w:t>
      </w:r>
      <w:r>
        <w:rPr>
          <w:spacing w:val="-8"/>
        </w:rPr>
        <w:t xml:space="preserve"> </w:t>
      </w:r>
      <w:r>
        <w:t>en</w:t>
      </w:r>
      <w:r>
        <w:rPr>
          <w:spacing w:val="-8"/>
        </w:rPr>
        <w:t xml:space="preserve"> </w:t>
      </w:r>
      <w:r>
        <w:t>los</w:t>
      </w:r>
      <w:r>
        <w:rPr>
          <w:spacing w:val="-7"/>
        </w:rPr>
        <w:t xml:space="preserve"> </w:t>
      </w:r>
      <w:r>
        <w:t>campos</w:t>
      </w:r>
      <w:r>
        <w:rPr>
          <w:spacing w:val="-7"/>
        </w:rPr>
        <w:t xml:space="preserve"> </w:t>
      </w:r>
      <w:r>
        <w:t>del</w:t>
      </w:r>
      <w:r>
        <w:rPr>
          <w:spacing w:val="-7"/>
        </w:rPr>
        <w:t xml:space="preserve"> </w:t>
      </w:r>
      <w:r>
        <w:t>país.</w:t>
      </w:r>
      <w:r>
        <w:rPr>
          <w:spacing w:val="-7"/>
        </w:rPr>
        <w:t xml:space="preserve"> </w:t>
      </w:r>
      <w:r>
        <w:t>En</w:t>
      </w:r>
      <w:r>
        <w:rPr>
          <w:spacing w:val="-8"/>
        </w:rPr>
        <w:t xml:space="preserve"> </w:t>
      </w:r>
      <w:r>
        <w:t>consecuencia,</w:t>
      </w:r>
      <w:r>
        <w:rPr>
          <w:spacing w:val="-8"/>
        </w:rPr>
        <w:t xml:space="preserve"> </w:t>
      </w:r>
      <w:r>
        <w:t>también</w:t>
      </w:r>
      <w:r>
        <w:rPr>
          <w:spacing w:val="-8"/>
        </w:rPr>
        <w:t xml:space="preserve"> </w:t>
      </w:r>
      <w:r>
        <w:t>llamamos a la sociedad en su conjunto y a todo el Estado a reconocer</w:t>
      </w:r>
      <w:r>
        <w:rPr>
          <w:spacing w:val="-1"/>
        </w:rPr>
        <w:t xml:space="preserve"> </w:t>
      </w:r>
      <w:r>
        <w:t>que muchas de las poblaciones rurales</w:t>
      </w:r>
      <w:r>
        <w:rPr>
          <w:spacing w:val="-4"/>
        </w:rPr>
        <w:t xml:space="preserve"> </w:t>
      </w:r>
      <w:r>
        <w:t>han</w:t>
      </w:r>
      <w:r>
        <w:rPr>
          <w:spacing w:val="-5"/>
        </w:rPr>
        <w:t xml:space="preserve"> </w:t>
      </w:r>
      <w:r>
        <w:t>padecido</w:t>
      </w:r>
      <w:r>
        <w:rPr>
          <w:spacing w:val="-5"/>
        </w:rPr>
        <w:t xml:space="preserve"> </w:t>
      </w:r>
      <w:r>
        <w:t>la</w:t>
      </w:r>
      <w:r>
        <w:rPr>
          <w:spacing w:val="-5"/>
        </w:rPr>
        <w:t xml:space="preserve"> </w:t>
      </w:r>
      <w:r>
        <w:t>vulneración</w:t>
      </w:r>
      <w:r>
        <w:rPr>
          <w:spacing w:val="-5"/>
        </w:rPr>
        <w:t xml:space="preserve"> </w:t>
      </w:r>
      <w:r>
        <w:t>sistemática</w:t>
      </w:r>
      <w:r>
        <w:rPr>
          <w:spacing w:val="-6"/>
        </w:rPr>
        <w:t xml:space="preserve"> </w:t>
      </w:r>
      <w:r>
        <w:t>de</w:t>
      </w:r>
      <w:r>
        <w:rPr>
          <w:spacing w:val="-3"/>
        </w:rPr>
        <w:t xml:space="preserve"> </w:t>
      </w:r>
      <w:r>
        <w:t>sus</w:t>
      </w:r>
      <w:r>
        <w:rPr>
          <w:spacing w:val="-3"/>
        </w:rPr>
        <w:t xml:space="preserve"> </w:t>
      </w:r>
      <w:r>
        <w:t>derechos,</w:t>
      </w:r>
      <w:r>
        <w:rPr>
          <w:spacing w:val="-3"/>
        </w:rPr>
        <w:t xml:space="preserve"> </w:t>
      </w:r>
      <w:r>
        <w:t>entre</w:t>
      </w:r>
      <w:r>
        <w:rPr>
          <w:spacing w:val="-3"/>
        </w:rPr>
        <w:t xml:space="preserve"> </w:t>
      </w:r>
      <w:r>
        <w:t>ellos</w:t>
      </w:r>
      <w:r>
        <w:rPr>
          <w:spacing w:val="-3"/>
        </w:rPr>
        <w:t xml:space="preserve"> </w:t>
      </w:r>
      <w:r>
        <w:t>el</w:t>
      </w:r>
      <w:r>
        <w:rPr>
          <w:spacing w:val="-3"/>
        </w:rPr>
        <w:t xml:space="preserve"> </w:t>
      </w:r>
      <w:r>
        <w:t>derecho</w:t>
      </w:r>
      <w:r>
        <w:rPr>
          <w:spacing w:val="-3"/>
        </w:rPr>
        <w:t xml:space="preserve"> </w:t>
      </w:r>
      <w:r>
        <w:t>a</w:t>
      </w:r>
      <w:r>
        <w:rPr>
          <w:spacing w:val="-3"/>
        </w:rPr>
        <w:t xml:space="preserve"> </w:t>
      </w:r>
      <w:r>
        <w:t>la propiedad</w:t>
      </w:r>
      <w:r>
        <w:rPr>
          <w:spacing w:val="-1"/>
        </w:rPr>
        <w:t xml:space="preserve"> </w:t>
      </w:r>
      <w:r>
        <w:t>y</w:t>
      </w:r>
      <w:r>
        <w:rPr>
          <w:spacing w:val="-2"/>
        </w:rPr>
        <w:t xml:space="preserve"> </w:t>
      </w:r>
      <w:r>
        <w:t>el</w:t>
      </w:r>
      <w:r>
        <w:rPr>
          <w:spacing w:val="-1"/>
        </w:rPr>
        <w:t xml:space="preserve"> </w:t>
      </w:r>
      <w:r>
        <w:t>uso</w:t>
      </w:r>
      <w:r>
        <w:rPr>
          <w:spacing w:val="-1"/>
        </w:rPr>
        <w:t xml:space="preserve"> </w:t>
      </w:r>
      <w:r>
        <w:t>de</w:t>
      </w:r>
      <w:r>
        <w:rPr>
          <w:spacing w:val="-2"/>
        </w:rPr>
        <w:t xml:space="preserve"> </w:t>
      </w:r>
      <w:r>
        <w:t>la</w:t>
      </w:r>
      <w:r>
        <w:rPr>
          <w:spacing w:val="-2"/>
        </w:rPr>
        <w:t xml:space="preserve"> </w:t>
      </w:r>
      <w:r>
        <w:t>tierra</w:t>
      </w:r>
      <w:r>
        <w:rPr>
          <w:spacing w:val="-2"/>
        </w:rPr>
        <w:t xml:space="preserve"> </w:t>
      </w:r>
      <w:r>
        <w:t>en</w:t>
      </w:r>
      <w:r>
        <w:rPr>
          <w:spacing w:val="-1"/>
        </w:rPr>
        <w:t xml:space="preserve"> </w:t>
      </w:r>
      <w:r>
        <w:t>paz</w:t>
      </w:r>
      <w:r>
        <w:rPr>
          <w:spacing w:val="-1"/>
        </w:rPr>
        <w:t xml:space="preserve"> </w:t>
      </w:r>
      <w:r>
        <w:t>y</w:t>
      </w:r>
      <w:r>
        <w:rPr>
          <w:spacing w:val="-1"/>
        </w:rPr>
        <w:t xml:space="preserve"> </w:t>
      </w:r>
      <w:r>
        <w:t>en</w:t>
      </w:r>
      <w:r>
        <w:rPr>
          <w:spacing w:val="-1"/>
        </w:rPr>
        <w:t xml:space="preserve"> </w:t>
      </w:r>
      <w:r>
        <w:t>condiciones</w:t>
      </w:r>
      <w:r>
        <w:rPr>
          <w:spacing w:val="-1"/>
        </w:rPr>
        <w:t xml:space="preserve"> </w:t>
      </w:r>
      <w:r>
        <w:t>de</w:t>
      </w:r>
      <w:r>
        <w:rPr>
          <w:spacing w:val="-2"/>
        </w:rPr>
        <w:t xml:space="preserve"> </w:t>
      </w:r>
      <w:r>
        <w:t>igualdad;</w:t>
      </w:r>
      <w:r>
        <w:rPr>
          <w:spacing w:val="-1"/>
        </w:rPr>
        <w:t xml:space="preserve"> </w:t>
      </w:r>
      <w:r>
        <w:t>el</w:t>
      </w:r>
      <w:r>
        <w:rPr>
          <w:spacing w:val="-1"/>
        </w:rPr>
        <w:t xml:space="preserve"> </w:t>
      </w:r>
      <w:r>
        <w:t>derecho</w:t>
      </w:r>
      <w:r>
        <w:rPr>
          <w:spacing w:val="-1"/>
        </w:rPr>
        <w:t xml:space="preserve"> </w:t>
      </w:r>
      <w:r>
        <w:t>a</w:t>
      </w:r>
      <w:r>
        <w:rPr>
          <w:spacing w:val="-1"/>
        </w:rPr>
        <w:t xml:space="preserve"> </w:t>
      </w:r>
      <w:r>
        <w:t>participar decididamente</w:t>
      </w:r>
      <w:r>
        <w:rPr>
          <w:spacing w:val="-15"/>
        </w:rPr>
        <w:t xml:space="preserve"> </w:t>
      </w:r>
      <w:r>
        <w:t>en</w:t>
      </w:r>
      <w:r>
        <w:rPr>
          <w:spacing w:val="-15"/>
        </w:rPr>
        <w:t xml:space="preserve"> </w:t>
      </w:r>
      <w:r>
        <w:t>los</w:t>
      </w:r>
      <w:r>
        <w:rPr>
          <w:spacing w:val="-15"/>
        </w:rPr>
        <w:t xml:space="preserve"> </w:t>
      </w:r>
      <w:r>
        <w:t>asuntos</w:t>
      </w:r>
      <w:r>
        <w:rPr>
          <w:spacing w:val="-15"/>
        </w:rPr>
        <w:t xml:space="preserve"> </w:t>
      </w:r>
      <w:r>
        <w:t>que</w:t>
      </w:r>
      <w:r>
        <w:rPr>
          <w:spacing w:val="-14"/>
        </w:rPr>
        <w:t xml:space="preserve"> </w:t>
      </w:r>
      <w:r>
        <w:t>más</w:t>
      </w:r>
      <w:r>
        <w:rPr>
          <w:spacing w:val="-14"/>
        </w:rPr>
        <w:t xml:space="preserve"> </w:t>
      </w:r>
      <w:r>
        <w:t>los</w:t>
      </w:r>
      <w:r>
        <w:rPr>
          <w:spacing w:val="-14"/>
        </w:rPr>
        <w:t xml:space="preserve"> </w:t>
      </w:r>
      <w:r>
        <w:t>afectan</w:t>
      </w:r>
      <w:r>
        <w:rPr>
          <w:spacing w:val="-15"/>
        </w:rPr>
        <w:t xml:space="preserve"> </w:t>
      </w:r>
      <w:r>
        <w:t>y</w:t>
      </w:r>
      <w:r>
        <w:rPr>
          <w:spacing w:val="-14"/>
        </w:rPr>
        <w:t xml:space="preserve"> </w:t>
      </w:r>
      <w:r>
        <w:t>a</w:t>
      </w:r>
      <w:r>
        <w:rPr>
          <w:spacing w:val="-14"/>
        </w:rPr>
        <w:t xml:space="preserve"> </w:t>
      </w:r>
      <w:r>
        <w:t>sus</w:t>
      </w:r>
      <w:r>
        <w:rPr>
          <w:spacing w:val="-15"/>
        </w:rPr>
        <w:t xml:space="preserve"> </w:t>
      </w:r>
      <w:r>
        <w:t>territorios;</w:t>
      </w:r>
      <w:r>
        <w:rPr>
          <w:spacing w:val="-15"/>
        </w:rPr>
        <w:t xml:space="preserve"> </w:t>
      </w:r>
      <w:r>
        <w:t>y</w:t>
      </w:r>
      <w:r>
        <w:rPr>
          <w:spacing w:val="-14"/>
        </w:rPr>
        <w:t xml:space="preserve"> </w:t>
      </w:r>
      <w:r>
        <w:t>el</w:t>
      </w:r>
      <w:r>
        <w:rPr>
          <w:spacing w:val="-15"/>
        </w:rPr>
        <w:t xml:space="preserve"> </w:t>
      </w:r>
      <w:r>
        <w:t>derecho</w:t>
      </w:r>
      <w:r>
        <w:rPr>
          <w:spacing w:val="-14"/>
        </w:rPr>
        <w:t xml:space="preserve"> </w:t>
      </w:r>
      <w:r>
        <w:t>a</w:t>
      </w:r>
      <w:r>
        <w:rPr>
          <w:spacing w:val="-14"/>
        </w:rPr>
        <w:t xml:space="preserve"> </w:t>
      </w:r>
      <w:r>
        <w:t>los</w:t>
      </w:r>
      <w:r>
        <w:rPr>
          <w:spacing w:val="-14"/>
        </w:rPr>
        <w:t xml:space="preserve"> </w:t>
      </w:r>
      <w:r>
        <w:t>bienes y</w:t>
      </w:r>
      <w:r>
        <w:rPr>
          <w:spacing w:val="-10"/>
        </w:rPr>
        <w:t xml:space="preserve"> </w:t>
      </w:r>
      <w:r>
        <w:t>servicios</w:t>
      </w:r>
      <w:r>
        <w:rPr>
          <w:spacing w:val="-10"/>
        </w:rPr>
        <w:t xml:space="preserve"> </w:t>
      </w:r>
      <w:r>
        <w:t>públicos</w:t>
      </w:r>
      <w:r>
        <w:rPr>
          <w:spacing w:val="-10"/>
        </w:rPr>
        <w:t xml:space="preserve"> </w:t>
      </w:r>
      <w:r>
        <w:t>fundamentales</w:t>
      </w:r>
      <w:r>
        <w:rPr>
          <w:spacing w:val="-10"/>
        </w:rPr>
        <w:t xml:space="preserve"> </w:t>
      </w:r>
      <w:r>
        <w:t>para</w:t>
      </w:r>
      <w:r>
        <w:rPr>
          <w:spacing w:val="-11"/>
        </w:rPr>
        <w:t xml:space="preserve"> </w:t>
      </w:r>
      <w:r>
        <w:t>el</w:t>
      </w:r>
      <w:r>
        <w:rPr>
          <w:spacing w:val="-10"/>
        </w:rPr>
        <w:t xml:space="preserve"> </w:t>
      </w:r>
      <w:r>
        <w:t>bienestar</w:t>
      </w:r>
      <w:r>
        <w:rPr>
          <w:spacing w:val="-10"/>
        </w:rPr>
        <w:t xml:space="preserve"> </w:t>
      </w:r>
      <w:r>
        <w:t>humano</w:t>
      </w:r>
      <w:r>
        <w:rPr>
          <w:spacing w:val="-9"/>
        </w:rPr>
        <w:t xml:space="preserve"> </w:t>
      </w:r>
      <w:r>
        <w:t>y</w:t>
      </w:r>
      <w:r>
        <w:rPr>
          <w:spacing w:val="-10"/>
        </w:rPr>
        <w:t xml:space="preserve"> </w:t>
      </w:r>
      <w:r>
        <w:t>para</w:t>
      </w:r>
      <w:r>
        <w:rPr>
          <w:spacing w:val="-11"/>
        </w:rPr>
        <w:t xml:space="preserve"> </w:t>
      </w:r>
      <w:r>
        <w:t>la</w:t>
      </w:r>
      <w:r>
        <w:rPr>
          <w:spacing w:val="-11"/>
        </w:rPr>
        <w:t xml:space="preserve"> </w:t>
      </w:r>
      <w:r>
        <w:t>producción</w:t>
      </w:r>
      <w:r>
        <w:rPr>
          <w:spacing w:val="-11"/>
        </w:rPr>
        <w:t xml:space="preserve"> </w:t>
      </w:r>
      <w:r>
        <w:t>y</w:t>
      </w:r>
      <w:r>
        <w:rPr>
          <w:spacing w:val="-10"/>
        </w:rPr>
        <w:t xml:space="preserve"> </w:t>
      </w:r>
      <w:r>
        <w:t>goce</w:t>
      </w:r>
      <w:r>
        <w:rPr>
          <w:spacing w:val="-10"/>
        </w:rPr>
        <w:t xml:space="preserve"> </w:t>
      </w:r>
      <w:r>
        <w:t>de la riqueza, incluidos la educación de calidad, la justicia, la seguridad, la salud, las vías, entre otros. Como parte de este llamado, instamos a reconocer que la guerra ha impactado de</w:t>
      </w:r>
      <w:r>
        <w:rPr>
          <w:spacing w:val="-15"/>
        </w:rPr>
        <w:t xml:space="preserve"> </w:t>
      </w:r>
      <w:r>
        <w:t>forma</w:t>
      </w:r>
      <w:r>
        <w:rPr>
          <w:spacing w:val="-15"/>
        </w:rPr>
        <w:t xml:space="preserve"> </w:t>
      </w:r>
      <w:r>
        <w:t>desproporcionada</w:t>
      </w:r>
      <w:r>
        <w:rPr>
          <w:spacing w:val="-15"/>
        </w:rPr>
        <w:t xml:space="preserve"> </w:t>
      </w:r>
      <w:r>
        <w:t>y</w:t>
      </w:r>
      <w:r>
        <w:rPr>
          <w:spacing w:val="-15"/>
        </w:rPr>
        <w:t xml:space="preserve"> </w:t>
      </w:r>
      <w:r>
        <w:t>diferenciada</w:t>
      </w:r>
      <w:r>
        <w:rPr>
          <w:spacing w:val="-15"/>
        </w:rPr>
        <w:t xml:space="preserve"> </w:t>
      </w:r>
      <w:r>
        <w:t>las</w:t>
      </w:r>
      <w:r>
        <w:rPr>
          <w:spacing w:val="-15"/>
        </w:rPr>
        <w:t xml:space="preserve"> </w:t>
      </w:r>
      <w:r>
        <w:t>comunidades</w:t>
      </w:r>
      <w:r>
        <w:rPr>
          <w:spacing w:val="-15"/>
        </w:rPr>
        <w:t xml:space="preserve"> </w:t>
      </w:r>
      <w:r>
        <w:t>campesinas,</w:t>
      </w:r>
      <w:r>
        <w:rPr>
          <w:spacing w:val="-15"/>
        </w:rPr>
        <w:t xml:space="preserve"> </w:t>
      </w:r>
      <w:r>
        <w:t>los</w:t>
      </w:r>
      <w:r>
        <w:rPr>
          <w:spacing w:val="-15"/>
        </w:rPr>
        <w:t xml:space="preserve"> </w:t>
      </w:r>
      <w:r>
        <w:t>pueblos</w:t>
      </w:r>
      <w:r>
        <w:rPr>
          <w:spacing w:val="-15"/>
        </w:rPr>
        <w:t xml:space="preserve"> </w:t>
      </w:r>
      <w:r>
        <w:t>étnicos, las mujeres</w:t>
      </w:r>
      <w:r>
        <w:rPr>
          <w:spacing w:val="-1"/>
        </w:rPr>
        <w:t xml:space="preserve"> </w:t>
      </w:r>
      <w:r>
        <w:t>rurales</w:t>
      </w:r>
      <w:r>
        <w:rPr>
          <w:spacing w:val="-1"/>
        </w:rPr>
        <w:t xml:space="preserve"> </w:t>
      </w:r>
      <w:r>
        <w:t>y las</w:t>
      </w:r>
      <w:r>
        <w:rPr>
          <w:spacing w:val="-1"/>
        </w:rPr>
        <w:t xml:space="preserve"> </w:t>
      </w:r>
      <w:r>
        <w:t>personas LGBTIQ+ del campo y, de</w:t>
      </w:r>
      <w:r>
        <w:rPr>
          <w:spacing w:val="-1"/>
        </w:rPr>
        <w:t xml:space="preserve"> </w:t>
      </w:r>
      <w:r>
        <w:t>manera especialmente grave, a los niños, niñas y adolescentes y las juventudes rurales.</w:t>
      </w:r>
    </w:p>
    <w:p w:rsidR="003804AC" w:rsidRDefault="00AF18A5" w:rsidP="00250B10">
      <w:r>
        <w:t xml:space="preserve">Por todo lo dicho, llamamos a las autoridades públicas y a todos los </w:t>
      </w:r>
      <w:r>
        <w:lastRenderedPageBreak/>
        <w:t>sectores sociales, económicos y políticos a comprometerse con la superación de las desigualdades entre el país rural y el país urbano, y las desigualdades propias del campo –entre ellas las relacionadas</w:t>
      </w:r>
      <w:r>
        <w:rPr>
          <w:spacing w:val="-3"/>
        </w:rPr>
        <w:t xml:space="preserve"> </w:t>
      </w:r>
      <w:r>
        <w:t>con</w:t>
      </w:r>
      <w:r>
        <w:rPr>
          <w:spacing w:val="-4"/>
        </w:rPr>
        <w:t xml:space="preserve"> </w:t>
      </w:r>
      <w:r>
        <w:t>la</w:t>
      </w:r>
      <w:r>
        <w:rPr>
          <w:spacing w:val="-4"/>
        </w:rPr>
        <w:t xml:space="preserve"> </w:t>
      </w:r>
      <w:r>
        <w:t>distribución</w:t>
      </w:r>
      <w:r>
        <w:rPr>
          <w:spacing w:val="-4"/>
        </w:rPr>
        <w:t xml:space="preserve"> </w:t>
      </w:r>
      <w:r>
        <w:t>de</w:t>
      </w:r>
      <w:r>
        <w:rPr>
          <w:spacing w:val="-5"/>
        </w:rPr>
        <w:t xml:space="preserve"> </w:t>
      </w:r>
      <w:r>
        <w:t>la</w:t>
      </w:r>
      <w:r>
        <w:rPr>
          <w:spacing w:val="-4"/>
        </w:rPr>
        <w:t xml:space="preserve"> </w:t>
      </w:r>
      <w:r>
        <w:t>tierra,</w:t>
      </w:r>
      <w:r>
        <w:rPr>
          <w:spacing w:val="-4"/>
        </w:rPr>
        <w:t xml:space="preserve"> </w:t>
      </w:r>
      <w:r>
        <w:t>el</w:t>
      </w:r>
      <w:r>
        <w:rPr>
          <w:spacing w:val="-3"/>
        </w:rPr>
        <w:t xml:space="preserve"> </w:t>
      </w:r>
      <w:r>
        <w:t>equipamiento</w:t>
      </w:r>
      <w:r>
        <w:rPr>
          <w:spacing w:val="-5"/>
        </w:rPr>
        <w:t xml:space="preserve"> </w:t>
      </w:r>
      <w:r>
        <w:t>público</w:t>
      </w:r>
      <w:r>
        <w:rPr>
          <w:spacing w:val="-4"/>
        </w:rPr>
        <w:t xml:space="preserve"> </w:t>
      </w:r>
      <w:r>
        <w:t>y</w:t>
      </w:r>
      <w:r>
        <w:rPr>
          <w:spacing w:val="-3"/>
        </w:rPr>
        <w:t xml:space="preserve"> </w:t>
      </w:r>
      <w:r>
        <w:t>el</w:t>
      </w:r>
      <w:r>
        <w:rPr>
          <w:spacing w:val="-4"/>
        </w:rPr>
        <w:t xml:space="preserve"> </w:t>
      </w:r>
      <w:r>
        <w:t>ordenamiento</w:t>
      </w:r>
      <w:r>
        <w:rPr>
          <w:spacing w:val="-4"/>
        </w:rPr>
        <w:t xml:space="preserve"> </w:t>
      </w:r>
      <w:r>
        <w:t>del territorio—, pues esta es la base para una paz territorial estable y duradera. En consecuencia,</w:t>
      </w:r>
      <w:r>
        <w:rPr>
          <w:spacing w:val="-4"/>
        </w:rPr>
        <w:t xml:space="preserve"> </w:t>
      </w:r>
      <w:r>
        <w:t>los</w:t>
      </w:r>
      <w:r>
        <w:rPr>
          <w:spacing w:val="-4"/>
        </w:rPr>
        <w:t xml:space="preserve"> </w:t>
      </w:r>
      <w:r>
        <w:t>llamamos</w:t>
      </w:r>
      <w:r>
        <w:rPr>
          <w:spacing w:val="-4"/>
        </w:rPr>
        <w:t xml:space="preserve"> </w:t>
      </w:r>
      <w:r>
        <w:t>también</w:t>
      </w:r>
      <w:r>
        <w:rPr>
          <w:spacing w:val="-6"/>
        </w:rPr>
        <w:t xml:space="preserve"> </w:t>
      </w:r>
      <w:r>
        <w:t>a</w:t>
      </w:r>
      <w:r>
        <w:rPr>
          <w:spacing w:val="-4"/>
        </w:rPr>
        <w:t xml:space="preserve"> </w:t>
      </w:r>
      <w:r>
        <w:t>aportar</w:t>
      </w:r>
      <w:r>
        <w:rPr>
          <w:spacing w:val="-5"/>
        </w:rPr>
        <w:t xml:space="preserve"> </w:t>
      </w:r>
      <w:r>
        <w:t>los</w:t>
      </w:r>
      <w:r>
        <w:rPr>
          <w:spacing w:val="-4"/>
        </w:rPr>
        <w:t xml:space="preserve"> </w:t>
      </w:r>
      <w:r>
        <w:t>recursos,</w:t>
      </w:r>
      <w:r>
        <w:rPr>
          <w:spacing w:val="-6"/>
        </w:rPr>
        <w:t xml:space="preserve"> </w:t>
      </w:r>
      <w:r>
        <w:t>las</w:t>
      </w:r>
      <w:r>
        <w:rPr>
          <w:spacing w:val="-4"/>
        </w:rPr>
        <w:t xml:space="preserve"> </w:t>
      </w:r>
      <w:r>
        <w:t>capacidades</w:t>
      </w:r>
      <w:r>
        <w:rPr>
          <w:spacing w:val="-4"/>
        </w:rPr>
        <w:t xml:space="preserve"> </w:t>
      </w:r>
      <w:r>
        <w:t>institucionales y operativas, y los conocimientos necesarios para alcanzar el desarrollo territorial, sostenible, incluyente y democrático de todas las ruralidades.</w:t>
      </w:r>
    </w:p>
    <w:p w:rsidR="0011361F" w:rsidRDefault="00AF18A5" w:rsidP="00250B10">
      <w:r>
        <w:t>Por</w:t>
      </w:r>
      <w:r>
        <w:rPr>
          <w:spacing w:val="-1"/>
        </w:rPr>
        <w:t xml:space="preserve"> </w:t>
      </w:r>
      <w:r>
        <w:t>lo</w:t>
      </w:r>
      <w:r>
        <w:rPr>
          <w:spacing w:val="-1"/>
        </w:rPr>
        <w:t xml:space="preserve"> </w:t>
      </w:r>
      <w:r>
        <w:t>anterior</w:t>
      </w:r>
      <w:r>
        <w:rPr>
          <w:spacing w:val="-1"/>
        </w:rPr>
        <w:t xml:space="preserve"> </w:t>
      </w:r>
      <w:r>
        <w:rPr>
          <w:b/>
          <w:spacing w:val="-2"/>
        </w:rPr>
        <w:t>RECOMENDAMOS</w:t>
      </w:r>
      <w:r>
        <w:rPr>
          <w:spacing w:val="-2"/>
        </w:rPr>
        <w:t>:</w:t>
      </w:r>
    </w:p>
    <w:p w:rsidR="0011361F" w:rsidRDefault="00AF18A5" w:rsidP="004A6EF4">
      <w:pPr>
        <w:pStyle w:val="Ttulo3"/>
        <w:numPr>
          <w:ilvl w:val="1"/>
          <w:numId w:val="28"/>
        </w:numPr>
      </w:pPr>
      <w:bookmarkStart w:id="1664" w:name="7.1._Estrategia_de_desarrollo_territoria"/>
      <w:bookmarkStart w:id="1665" w:name="_Toc112399716"/>
      <w:bookmarkEnd w:id="1664"/>
      <w:r>
        <w:t>Estrategia</w:t>
      </w:r>
      <w:r>
        <w:rPr>
          <w:spacing w:val="-4"/>
        </w:rPr>
        <w:t xml:space="preserve"> </w:t>
      </w:r>
      <w:r>
        <w:t>de</w:t>
      </w:r>
      <w:r>
        <w:rPr>
          <w:spacing w:val="-2"/>
        </w:rPr>
        <w:t xml:space="preserve"> </w:t>
      </w:r>
      <w:r>
        <w:t>desarrollo</w:t>
      </w:r>
      <w:r>
        <w:rPr>
          <w:spacing w:val="-4"/>
        </w:rPr>
        <w:t xml:space="preserve"> </w:t>
      </w:r>
      <w:r>
        <w:t>territorial</w:t>
      </w:r>
      <w:r>
        <w:rPr>
          <w:spacing w:val="-2"/>
        </w:rPr>
        <w:t xml:space="preserve"> </w:t>
      </w:r>
      <w:r w:rsidRPr="00250B10">
        <w:t>sostenible</w:t>
      </w:r>
      <w:r>
        <w:rPr>
          <w:spacing w:val="-2"/>
        </w:rPr>
        <w:t xml:space="preserve"> </w:t>
      </w:r>
      <w:r>
        <w:t>para</w:t>
      </w:r>
      <w:r>
        <w:rPr>
          <w:spacing w:val="-1"/>
        </w:rPr>
        <w:t xml:space="preserve"> </w:t>
      </w:r>
      <w:r>
        <w:t>la</w:t>
      </w:r>
      <w:r>
        <w:rPr>
          <w:spacing w:val="-4"/>
        </w:rPr>
        <w:t xml:space="preserve"> </w:t>
      </w:r>
      <w:r>
        <w:t>equidad</w:t>
      </w:r>
      <w:r>
        <w:rPr>
          <w:spacing w:val="-3"/>
        </w:rPr>
        <w:t xml:space="preserve"> </w:t>
      </w:r>
      <w:r>
        <w:t>y</w:t>
      </w:r>
      <w:r>
        <w:rPr>
          <w:spacing w:val="-2"/>
        </w:rPr>
        <w:t xml:space="preserve"> </w:t>
      </w:r>
      <w:r>
        <w:t>la</w:t>
      </w:r>
      <w:r>
        <w:rPr>
          <w:spacing w:val="-2"/>
        </w:rPr>
        <w:t xml:space="preserve"> </w:t>
      </w:r>
      <w:r>
        <w:t>paz</w:t>
      </w:r>
      <w:r>
        <w:rPr>
          <w:spacing w:val="-1"/>
        </w:rPr>
        <w:t xml:space="preserve"> </w:t>
      </w:r>
      <w:r>
        <w:rPr>
          <w:spacing w:val="-2"/>
        </w:rPr>
        <w:t>territorial</w:t>
      </w:r>
      <w:bookmarkEnd w:id="1665"/>
    </w:p>
    <w:p w:rsidR="0011361F" w:rsidRDefault="00AF18A5" w:rsidP="00250B10">
      <w:r>
        <w:t>Mediano</w:t>
      </w:r>
      <w:r>
        <w:rPr>
          <w:spacing w:val="-3"/>
        </w:rPr>
        <w:t xml:space="preserve"> </w:t>
      </w:r>
      <w:r>
        <w:rPr>
          <w:spacing w:val="-2"/>
        </w:rPr>
        <w:t>plazo</w:t>
      </w:r>
    </w:p>
    <w:p w:rsidR="003804AC" w:rsidRPr="00B93F6A" w:rsidRDefault="00AF18A5" w:rsidP="00B93F6A">
      <w:pPr>
        <w:pStyle w:val="Prrafodelista"/>
        <w:numPr>
          <w:ilvl w:val="0"/>
          <w:numId w:val="31"/>
        </w:numPr>
        <w:rPr>
          <w:b/>
        </w:rPr>
      </w:pPr>
      <w:r>
        <w:t>Al</w:t>
      </w:r>
      <w:r w:rsidRPr="00B93F6A">
        <w:rPr>
          <w:spacing w:val="-17"/>
        </w:rPr>
        <w:t xml:space="preserve"> </w:t>
      </w:r>
      <w:r>
        <w:t>Congreso,</w:t>
      </w:r>
      <w:r w:rsidRPr="00B93F6A">
        <w:rPr>
          <w:spacing w:val="-15"/>
        </w:rPr>
        <w:t xml:space="preserve"> </w:t>
      </w:r>
      <w:r>
        <w:t>al</w:t>
      </w:r>
      <w:r w:rsidRPr="00B93F6A">
        <w:rPr>
          <w:spacing w:val="-15"/>
        </w:rPr>
        <w:t xml:space="preserve"> </w:t>
      </w:r>
      <w:r>
        <w:t>Gobierno</w:t>
      </w:r>
      <w:r w:rsidRPr="00B93F6A">
        <w:rPr>
          <w:spacing w:val="-15"/>
        </w:rPr>
        <w:t xml:space="preserve"> </w:t>
      </w:r>
      <w:r>
        <w:t>Nacional</w:t>
      </w:r>
      <w:r w:rsidRPr="00B93F6A">
        <w:rPr>
          <w:spacing w:val="-15"/>
        </w:rPr>
        <w:t xml:space="preserve"> </w:t>
      </w:r>
      <w:r>
        <w:t>y</w:t>
      </w:r>
      <w:r w:rsidRPr="00B93F6A">
        <w:rPr>
          <w:spacing w:val="-15"/>
        </w:rPr>
        <w:t xml:space="preserve"> </w:t>
      </w:r>
      <w:r>
        <w:t>a</w:t>
      </w:r>
      <w:r w:rsidRPr="00B93F6A">
        <w:rPr>
          <w:spacing w:val="-15"/>
        </w:rPr>
        <w:t xml:space="preserve"> </w:t>
      </w:r>
      <w:r>
        <w:t>las</w:t>
      </w:r>
      <w:r w:rsidRPr="00B93F6A">
        <w:rPr>
          <w:spacing w:val="-16"/>
        </w:rPr>
        <w:t xml:space="preserve"> </w:t>
      </w:r>
      <w:r>
        <w:t>autoridades</w:t>
      </w:r>
      <w:r w:rsidRPr="00B93F6A">
        <w:rPr>
          <w:spacing w:val="-16"/>
        </w:rPr>
        <w:t xml:space="preserve"> </w:t>
      </w:r>
      <w:r>
        <w:t>territoriales,</w:t>
      </w:r>
      <w:r w:rsidRPr="00B93F6A">
        <w:rPr>
          <w:spacing w:val="-15"/>
        </w:rPr>
        <w:t xml:space="preserve"> </w:t>
      </w:r>
      <w:r>
        <w:t>diseñar</w:t>
      </w:r>
      <w:r w:rsidRPr="00B93F6A">
        <w:rPr>
          <w:spacing w:val="-15"/>
        </w:rPr>
        <w:t xml:space="preserve"> </w:t>
      </w:r>
      <w:r>
        <w:t>e</w:t>
      </w:r>
      <w:r w:rsidRPr="00B93F6A">
        <w:rPr>
          <w:spacing w:val="-15"/>
        </w:rPr>
        <w:t xml:space="preserve"> </w:t>
      </w:r>
      <w:r>
        <w:t>implementar una</w:t>
      </w:r>
      <w:r w:rsidRPr="00B93F6A">
        <w:rPr>
          <w:spacing w:val="-3"/>
        </w:rPr>
        <w:t xml:space="preserve"> </w:t>
      </w:r>
      <w:r w:rsidRPr="00B93F6A">
        <w:rPr>
          <w:b/>
        </w:rPr>
        <w:t>estrategia</w:t>
      </w:r>
      <w:r w:rsidRPr="00B93F6A">
        <w:rPr>
          <w:b/>
          <w:spacing w:val="-3"/>
        </w:rPr>
        <w:t xml:space="preserve"> </w:t>
      </w:r>
      <w:r w:rsidRPr="00B93F6A">
        <w:rPr>
          <w:b/>
        </w:rPr>
        <w:t>de</w:t>
      </w:r>
      <w:r w:rsidRPr="00B93F6A">
        <w:rPr>
          <w:b/>
          <w:spacing w:val="-3"/>
        </w:rPr>
        <w:t xml:space="preserve"> </w:t>
      </w:r>
      <w:r w:rsidRPr="00B93F6A">
        <w:rPr>
          <w:b/>
        </w:rPr>
        <w:t>desarrollo</w:t>
      </w:r>
      <w:r w:rsidRPr="00B93F6A">
        <w:rPr>
          <w:b/>
          <w:spacing w:val="-4"/>
        </w:rPr>
        <w:t xml:space="preserve"> </w:t>
      </w:r>
      <w:r w:rsidRPr="00B93F6A">
        <w:rPr>
          <w:b/>
        </w:rPr>
        <w:t>territorial</w:t>
      </w:r>
      <w:r w:rsidRPr="00B93F6A">
        <w:rPr>
          <w:b/>
          <w:spacing w:val="-4"/>
        </w:rPr>
        <w:t xml:space="preserve"> </w:t>
      </w:r>
      <w:r w:rsidRPr="00B93F6A">
        <w:rPr>
          <w:b/>
        </w:rPr>
        <w:t>sostenible</w:t>
      </w:r>
      <w:r w:rsidRPr="00B93F6A">
        <w:rPr>
          <w:b/>
          <w:spacing w:val="-3"/>
        </w:rPr>
        <w:t xml:space="preserve"> </w:t>
      </w:r>
      <w:r w:rsidRPr="00B93F6A">
        <w:rPr>
          <w:b/>
        </w:rPr>
        <w:t>para</w:t>
      </w:r>
      <w:r w:rsidRPr="00B93F6A">
        <w:rPr>
          <w:b/>
          <w:spacing w:val="-4"/>
        </w:rPr>
        <w:t xml:space="preserve"> </w:t>
      </w:r>
      <w:r w:rsidRPr="00B93F6A">
        <w:rPr>
          <w:b/>
        </w:rPr>
        <w:t>la</w:t>
      </w:r>
      <w:r w:rsidRPr="00B93F6A">
        <w:rPr>
          <w:b/>
          <w:spacing w:val="-3"/>
        </w:rPr>
        <w:t xml:space="preserve"> </w:t>
      </w:r>
      <w:r w:rsidRPr="00B93F6A">
        <w:rPr>
          <w:b/>
        </w:rPr>
        <w:t>paz</w:t>
      </w:r>
      <w:r w:rsidRPr="00B93F6A">
        <w:rPr>
          <w:b/>
          <w:spacing w:val="-3"/>
        </w:rPr>
        <w:t xml:space="preserve"> </w:t>
      </w:r>
      <w:r w:rsidRPr="00B93F6A">
        <w:rPr>
          <w:b/>
        </w:rPr>
        <w:t>territorial,</w:t>
      </w:r>
      <w:r w:rsidRPr="00B93F6A">
        <w:rPr>
          <w:b/>
          <w:spacing w:val="-3"/>
        </w:rPr>
        <w:t xml:space="preserve"> </w:t>
      </w:r>
      <w:r>
        <w:t>que</w:t>
      </w:r>
      <w:r w:rsidRPr="00B93F6A">
        <w:rPr>
          <w:spacing w:val="-4"/>
        </w:rPr>
        <w:t xml:space="preserve"> </w:t>
      </w:r>
      <w:r>
        <w:t>revierta</w:t>
      </w:r>
      <w:r w:rsidRPr="00B93F6A">
        <w:rPr>
          <w:spacing w:val="-3"/>
        </w:rPr>
        <w:t xml:space="preserve"> </w:t>
      </w:r>
      <w:r>
        <w:t>las</w:t>
      </w:r>
      <w:r w:rsidR="00B93F6A" w:rsidRPr="00B93F6A">
        <w:rPr>
          <w:b/>
        </w:rPr>
        <w:t xml:space="preserve"> </w:t>
      </w:r>
      <w:r>
        <w:t>grandes desigualdades que han caracterizado históricamente la configuración de los territorios</w:t>
      </w:r>
      <w:r w:rsidRPr="00B93F6A">
        <w:rPr>
          <w:spacing w:val="-5"/>
        </w:rPr>
        <w:t xml:space="preserve"> </w:t>
      </w:r>
      <w:r>
        <w:t>rurales</w:t>
      </w:r>
      <w:r w:rsidRPr="00B93F6A">
        <w:rPr>
          <w:spacing w:val="-3"/>
        </w:rPr>
        <w:t xml:space="preserve"> </w:t>
      </w:r>
      <w:r>
        <w:t>y</w:t>
      </w:r>
      <w:r w:rsidRPr="00B93F6A">
        <w:rPr>
          <w:spacing w:val="-5"/>
        </w:rPr>
        <w:t xml:space="preserve"> </w:t>
      </w:r>
      <w:r>
        <w:t>construya</w:t>
      </w:r>
      <w:r w:rsidRPr="00B93F6A">
        <w:rPr>
          <w:spacing w:val="-3"/>
        </w:rPr>
        <w:t xml:space="preserve"> </w:t>
      </w:r>
      <w:r>
        <w:t>una</w:t>
      </w:r>
      <w:r w:rsidRPr="00B93F6A">
        <w:rPr>
          <w:spacing w:val="-3"/>
        </w:rPr>
        <w:t xml:space="preserve"> </w:t>
      </w:r>
      <w:r>
        <w:t>relación</w:t>
      </w:r>
      <w:r w:rsidRPr="00B93F6A">
        <w:rPr>
          <w:spacing w:val="-4"/>
        </w:rPr>
        <w:t xml:space="preserve"> </w:t>
      </w:r>
      <w:r>
        <w:t>equitativa</w:t>
      </w:r>
      <w:r w:rsidRPr="00B93F6A">
        <w:rPr>
          <w:spacing w:val="-3"/>
        </w:rPr>
        <w:t xml:space="preserve"> </w:t>
      </w:r>
      <w:r>
        <w:t>entre</w:t>
      </w:r>
      <w:r w:rsidRPr="00B93F6A">
        <w:rPr>
          <w:spacing w:val="-5"/>
        </w:rPr>
        <w:t xml:space="preserve"> </w:t>
      </w:r>
      <w:r>
        <w:t>el</w:t>
      </w:r>
      <w:r w:rsidRPr="00B93F6A">
        <w:rPr>
          <w:spacing w:val="-4"/>
        </w:rPr>
        <w:t xml:space="preserve"> </w:t>
      </w:r>
      <w:r>
        <w:t>país</w:t>
      </w:r>
      <w:r w:rsidRPr="00B93F6A">
        <w:rPr>
          <w:spacing w:val="-3"/>
        </w:rPr>
        <w:t xml:space="preserve"> </w:t>
      </w:r>
      <w:r>
        <w:t>urbano</w:t>
      </w:r>
      <w:r w:rsidRPr="00B93F6A">
        <w:rPr>
          <w:spacing w:val="-5"/>
        </w:rPr>
        <w:t xml:space="preserve"> </w:t>
      </w:r>
      <w:r>
        <w:t>y</w:t>
      </w:r>
      <w:r w:rsidRPr="00B93F6A">
        <w:rPr>
          <w:spacing w:val="-4"/>
        </w:rPr>
        <w:t xml:space="preserve"> </w:t>
      </w:r>
      <w:r>
        <w:t>el</w:t>
      </w:r>
      <w:r w:rsidRPr="00B93F6A">
        <w:rPr>
          <w:spacing w:val="-3"/>
        </w:rPr>
        <w:t xml:space="preserve"> </w:t>
      </w:r>
      <w:r>
        <w:t>rural,</w:t>
      </w:r>
      <w:r w:rsidRPr="00B93F6A">
        <w:rPr>
          <w:spacing w:val="-4"/>
        </w:rPr>
        <w:t xml:space="preserve"> </w:t>
      </w:r>
      <w:r>
        <w:t>y</w:t>
      </w:r>
      <w:r w:rsidRPr="00B93F6A">
        <w:rPr>
          <w:spacing w:val="-5"/>
        </w:rPr>
        <w:t xml:space="preserve"> </w:t>
      </w:r>
      <w:r>
        <w:t>que</w:t>
      </w:r>
      <w:r w:rsidRPr="00B93F6A">
        <w:rPr>
          <w:spacing w:val="-3"/>
        </w:rPr>
        <w:t xml:space="preserve"> </w:t>
      </w:r>
      <w:r>
        <w:t xml:space="preserve">se fundamente en un </w:t>
      </w:r>
      <w:r w:rsidRPr="00B93F6A">
        <w:rPr>
          <w:b/>
        </w:rPr>
        <w:t xml:space="preserve">proceso de ordenamiento territorial participativo, sostenible y multicultural </w:t>
      </w:r>
      <w:r>
        <w:t>que permita construir una visión compartida de territorio y de futuro. Se recomienda que esta estrategia, además:</w:t>
      </w:r>
    </w:p>
    <w:p w:rsidR="003804AC" w:rsidRDefault="00AF18A5" w:rsidP="00B93F6A">
      <w:pPr>
        <w:pStyle w:val="Prrafodelista"/>
        <w:numPr>
          <w:ilvl w:val="0"/>
          <w:numId w:val="56"/>
        </w:numPr>
      </w:pPr>
      <w:r>
        <w:t>Dé</w:t>
      </w:r>
      <w:r w:rsidRPr="00B93F6A">
        <w:rPr>
          <w:spacing w:val="-9"/>
        </w:rPr>
        <w:t xml:space="preserve"> </w:t>
      </w:r>
      <w:r>
        <w:t>cumplimiento</w:t>
      </w:r>
      <w:r w:rsidRPr="00B93F6A">
        <w:rPr>
          <w:spacing w:val="-9"/>
        </w:rPr>
        <w:t xml:space="preserve"> </w:t>
      </w:r>
      <w:r>
        <w:t>a</w:t>
      </w:r>
      <w:r w:rsidRPr="00B93F6A">
        <w:rPr>
          <w:spacing w:val="-9"/>
        </w:rPr>
        <w:t xml:space="preserve"> </w:t>
      </w:r>
      <w:r>
        <w:t>las</w:t>
      </w:r>
      <w:r w:rsidRPr="00B93F6A">
        <w:rPr>
          <w:spacing w:val="-9"/>
        </w:rPr>
        <w:t xml:space="preserve"> </w:t>
      </w:r>
      <w:r>
        <w:t>disposiciones</w:t>
      </w:r>
      <w:r w:rsidRPr="00B93F6A">
        <w:rPr>
          <w:spacing w:val="-10"/>
        </w:rPr>
        <w:t xml:space="preserve"> </w:t>
      </w:r>
      <w:r>
        <w:t>del</w:t>
      </w:r>
      <w:r w:rsidRPr="00B93F6A">
        <w:rPr>
          <w:spacing w:val="-9"/>
        </w:rPr>
        <w:t xml:space="preserve"> </w:t>
      </w:r>
      <w:r>
        <w:t>Acuerdo</w:t>
      </w:r>
      <w:r w:rsidRPr="00B93F6A">
        <w:rPr>
          <w:spacing w:val="-11"/>
        </w:rPr>
        <w:t xml:space="preserve"> </w:t>
      </w:r>
      <w:r>
        <w:t>Final</w:t>
      </w:r>
      <w:r w:rsidRPr="00B93F6A">
        <w:rPr>
          <w:spacing w:val="-9"/>
        </w:rPr>
        <w:t xml:space="preserve"> </w:t>
      </w:r>
      <w:r>
        <w:t>de</w:t>
      </w:r>
      <w:r w:rsidRPr="00B93F6A">
        <w:rPr>
          <w:spacing w:val="-9"/>
        </w:rPr>
        <w:t xml:space="preserve"> </w:t>
      </w:r>
      <w:r>
        <w:t>Paz</w:t>
      </w:r>
      <w:r w:rsidRPr="00B93F6A">
        <w:rPr>
          <w:spacing w:val="-10"/>
        </w:rPr>
        <w:t xml:space="preserve"> </w:t>
      </w:r>
      <w:r>
        <w:t>entre</w:t>
      </w:r>
      <w:r w:rsidRPr="00B93F6A">
        <w:rPr>
          <w:spacing w:val="-9"/>
        </w:rPr>
        <w:t xml:space="preserve"> </w:t>
      </w:r>
      <w:r>
        <w:t>el</w:t>
      </w:r>
      <w:r w:rsidRPr="00B93F6A">
        <w:rPr>
          <w:spacing w:val="-9"/>
        </w:rPr>
        <w:t xml:space="preserve"> </w:t>
      </w:r>
      <w:r>
        <w:t xml:space="preserve">Estado colombiano y las FARC-EP, especialmente aquellas sobre Reforma rural integral y sustitución de cultivos de uso ilícito, así como otras destinadas a lograr una mayor equidad como </w:t>
      </w:r>
      <w:r>
        <w:lastRenderedPageBreak/>
        <w:t>fundamento para la paz territorial.</w:t>
      </w:r>
    </w:p>
    <w:p w:rsidR="003804AC" w:rsidRDefault="00AF18A5" w:rsidP="00B93F6A">
      <w:pPr>
        <w:pStyle w:val="Prrafodelista"/>
        <w:numPr>
          <w:ilvl w:val="0"/>
          <w:numId w:val="56"/>
        </w:numPr>
      </w:pPr>
      <w:r>
        <w:t>Promueva relaciones de confianza entre las comunidades rurales y las instituciones del Estado.</w:t>
      </w:r>
    </w:p>
    <w:p w:rsidR="003804AC" w:rsidRDefault="00AF18A5" w:rsidP="00B93F6A">
      <w:pPr>
        <w:pStyle w:val="Prrafodelista"/>
        <w:numPr>
          <w:ilvl w:val="0"/>
          <w:numId w:val="56"/>
        </w:numPr>
      </w:pPr>
      <w:r>
        <w:t>Garantice los derechos económicos, sociales, culturales y ambientales de las poblaciones</w:t>
      </w:r>
      <w:r w:rsidRPr="00B93F6A">
        <w:rPr>
          <w:spacing w:val="-6"/>
        </w:rPr>
        <w:t xml:space="preserve"> </w:t>
      </w:r>
      <w:r>
        <w:t>del</w:t>
      </w:r>
      <w:r w:rsidRPr="00B93F6A">
        <w:rPr>
          <w:spacing w:val="-6"/>
        </w:rPr>
        <w:t xml:space="preserve"> </w:t>
      </w:r>
      <w:r>
        <w:t>campo,</w:t>
      </w:r>
      <w:r w:rsidRPr="00B93F6A">
        <w:rPr>
          <w:spacing w:val="-6"/>
        </w:rPr>
        <w:t xml:space="preserve"> </w:t>
      </w:r>
      <w:r>
        <w:t>en</w:t>
      </w:r>
      <w:r w:rsidRPr="00B93F6A">
        <w:rPr>
          <w:spacing w:val="-6"/>
        </w:rPr>
        <w:t xml:space="preserve"> </w:t>
      </w:r>
      <w:r>
        <w:t>particular</w:t>
      </w:r>
      <w:r w:rsidRPr="00B93F6A">
        <w:rPr>
          <w:spacing w:val="-6"/>
        </w:rPr>
        <w:t xml:space="preserve"> </w:t>
      </w:r>
      <w:r>
        <w:t>el</w:t>
      </w:r>
      <w:r w:rsidRPr="00B93F6A">
        <w:rPr>
          <w:spacing w:val="-5"/>
        </w:rPr>
        <w:t xml:space="preserve"> </w:t>
      </w:r>
      <w:r>
        <w:t>acceso</w:t>
      </w:r>
      <w:r w:rsidRPr="00B93F6A">
        <w:rPr>
          <w:spacing w:val="-6"/>
        </w:rPr>
        <w:t xml:space="preserve"> </w:t>
      </w:r>
      <w:r>
        <w:t>a</w:t>
      </w:r>
      <w:r w:rsidRPr="00B93F6A">
        <w:rPr>
          <w:spacing w:val="-7"/>
        </w:rPr>
        <w:t xml:space="preserve"> </w:t>
      </w:r>
      <w:r>
        <w:t>la</w:t>
      </w:r>
      <w:r w:rsidRPr="00B93F6A">
        <w:rPr>
          <w:spacing w:val="-6"/>
        </w:rPr>
        <w:t xml:space="preserve"> </w:t>
      </w:r>
      <w:r>
        <w:t>tierra,</w:t>
      </w:r>
      <w:r w:rsidRPr="00B93F6A">
        <w:rPr>
          <w:spacing w:val="-6"/>
        </w:rPr>
        <w:t xml:space="preserve"> </w:t>
      </w:r>
      <w:r>
        <w:t>al</w:t>
      </w:r>
      <w:r w:rsidRPr="00B93F6A">
        <w:rPr>
          <w:spacing w:val="-7"/>
        </w:rPr>
        <w:t xml:space="preserve"> </w:t>
      </w:r>
      <w:r>
        <w:t>territorio</w:t>
      </w:r>
      <w:r w:rsidRPr="00B93F6A">
        <w:rPr>
          <w:spacing w:val="-6"/>
        </w:rPr>
        <w:t xml:space="preserve"> </w:t>
      </w:r>
      <w:r>
        <w:t>y</w:t>
      </w:r>
      <w:r w:rsidRPr="00B93F6A">
        <w:rPr>
          <w:spacing w:val="-6"/>
        </w:rPr>
        <w:t xml:space="preserve"> </w:t>
      </w:r>
      <w:r>
        <w:t>a</w:t>
      </w:r>
      <w:r w:rsidRPr="00B93F6A">
        <w:rPr>
          <w:spacing w:val="-6"/>
        </w:rPr>
        <w:t xml:space="preserve"> </w:t>
      </w:r>
      <w:r>
        <w:t>los</w:t>
      </w:r>
      <w:r w:rsidRPr="00B93F6A">
        <w:rPr>
          <w:spacing w:val="-6"/>
        </w:rPr>
        <w:t xml:space="preserve"> </w:t>
      </w:r>
      <w:r>
        <w:t>bienes</w:t>
      </w:r>
      <w:r w:rsidRPr="00B93F6A">
        <w:rPr>
          <w:spacing w:val="-6"/>
        </w:rPr>
        <w:t xml:space="preserve"> </w:t>
      </w:r>
      <w:r>
        <w:t>y servicios públicos, en paz y en condiciones de igualdad.</w:t>
      </w:r>
    </w:p>
    <w:p w:rsidR="003804AC" w:rsidRDefault="00AF18A5" w:rsidP="00B93F6A">
      <w:pPr>
        <w:pStyle w:val="Prrafodelista"/>
        <w:numPr>
          <w:ilvl w:val="0"/>
          <w:numId w:val="56"/>
        </w:numPr>
      </w:pPr>
      <w:r>
        <w:t xml:space="preserve">Garantice los enfoques diferenciales transversales e </w:t>
      </w:r>
      <w:proofErr w:type="spellStart"/>
      <w:r>
        <w:t>interseccionales</w:t>
      </w:r>
      <w:proofErr w:type="spellEnd"/>
      <w:r>
        <w:t>, y promueva</w:t>
      </w:r>
      <w:r w:rsidRPr="00B93F6A">
        <w:rPr>
          <w:spacing w:val="-13"/>
        </w:rPr>
        <w:t xml:space="preserve"> </w:t>
      </w:r>
      <w:r>
        <w:t>medidas</w:t>
      </w:r>
      <w:r w:rsidRPr="00B93F6A">
        <w:rPr>
          <w:spacing w:val="-11"/>
        </w:rPr>
        <w:t xml:space="preserve"> </w:t>
      </w:r>
      <w:r>
        <w:t>afirmativas</w:t>
      </w:r>
      <w:r w:rsidRPr="00B93F6A">
        <w:rPr>
          <w:spacing w:val="-11"/>
        </w:rPr>
        <w:t xml:space="preserve"> </w:t>
      </w:r>
      <w:r>
        <w:t>para</w:t>
      </w:r>
      <w:r w:rsidRPr="00B93F6A">
        <w:rPr>
          <w:spacing w:val="-13"/>
        </w:rPr>
        <w:t xml:space="preserve"> </w:t>
      </w:r>
      <w:r>
        <w:t>los</w:t>
      </w:r>
      <w:r w:rsidRPr="00B93F6A">
        <w:rPr>
          <w:spacing w:val="-11"/>
        </w:rPr>
        <w:t xml:space="preserve"> </w:t>
      </w:r>
      <w:r>
        <w:t>pueblos</w:t>
      </w:r>
      <w:r w:rsidRPr="00B93F6A">
        <w:rPr>
          <w:spacing w:val="-11"/>
        </w:rPr>
        <w:t xml:space="preserve"> </w:t>
      </w:r>
      <w:r>
        <w:t>étnicos,</w:t>
      </w:r>
      <w:r w:rsidRPr="00B93F6A">
        <w:rPr>
          <w:spacing w:val="-13"/>
        </w:rPr>
        <w:t xml:space="preserve"> </w:t>
      </w:r>
      <w:r>
        <w:t>el</w:t>
      </w:r>
      <w:r w:rsidRPr="00B93F6A">
        <w:rPr>
          <w:spacing w:val="-11"/>
        </w:rPr>
        <w:t xml:space="preserve"> </w:t>
      </w:r>
      <w:r>
        <w:t>campesinado,</w:t>
      </w:r>
      <w:r w:rsidRPr="00B93F6A">
        <w:rPr>
          <w:spacing w:val="-12"/>
        </w:rPr>
        <w:t xml:space="preserve"> </w:t>
      </w:r>
      <w:r>
        <w:t>las</w:t>
      </w:r>
      <w:r w:rsidRPr="00B93F6A">
        <w:rPr>
          <w:spacing w:val="-11"/>
        </w:rPr>
        <w:t xml:space="preserve"> </w:t>
      </w:r>
      <w:r>
        <w:t>mujeres, las personas LGBTIQ+, las personas en condición de discapacidad o diversidad funcional,</w:t>
      </w:r>
      <w:r w:rsidRPr="00B93F6A">
        <w:rPr>
          <w:spacing w:val="-1"/>
        </w:rPr>
        <w:t xml:space="preserve"> </w:t>
      </w:r>
      <w:r>
        <w:t>los</w:t>
      </w:r>
      <w:r w:rsidRPr="00B93F6A">
        <w:rPr>
          <w:spacing w:val="-1"/>
        </w:rPr>
        <w:t xml:space="preserve"> </w:t>
      </w:r>
      <w:r>
        <w:t>niños,</w:t>
      </w:r>
      <w:r w:rsidRPr="00B93F6A">
        <w:rPr>
          <w:spacing w:val="-1"/>
        </w:rPr>
        <w:t xml:space="preserve"> </w:t>
      </w:r>
      <w:r>
        <w:t>niñas,</w:t>
      </w:r>
      <w:r w:rsidRPr="00B93F6A">
        <w:rPr>
          <w:spacing w:val="-1"/>
        </w:rPr>
        <w:t xml:space="preserve"> </w:t>
      </w:r>
      <w:r>
        <w:t>adolescentes</w:t>
      </w:r>
      <w:r w:rsidRPr="00B93F6A">
        <w:rPr>
          <w:spacing w:val="-1"/>
        </w:rPr>
        <w:t xml:space="preserve"> </w:t>
      </w:r>
      <w:r>
        <w:t>y</w:t>
      </w:r>
      <w:r w:rsidRPr="00B93F6A">
        <w:rPr>
          <w:spacing w:val="-2"/>
        </w:rPr>
        <w:t xml:space="preserve"> </w:t>
      </w:r>
      <w:r>
        <w:t>jóvenes,</w:t>
      </w:r>
      <w:r w:rsidRPr="00B93F6A">
        <w:rPr>
          <w:spacing w:val="-1"/>
        </w:rPr>
        <w:t xml:space="preserve"> </w:t>
      </w:r>
      <w:r>
        <w:t>las</w:t>
      </w:r>
      <w:r w:rsidRPr="00B93F6A">
        <w:rPr>
          <w:spacing w:val="-2"/>
        </w:rPr>
        <w:t xml:space="preserve"> </w:t>
      </w:r>
      <w:r>
        <w:t>personas</w:t>
      </w:r>
      <w:r w:rsidRPr="00B93F6A">
        <w:rPr>
          <w:spacing w:val="-1"/>
        </w:rPr>
        <w:t xml:space="preserve"> </w:t>
      </w:r>
      <w:r>
        <w:t>de</w:t>
      </w:r>
      <w:r w:rsidRPr="00B93F6A">
        <w:rPr>
          <w:spacing w:val="-2"/>
        </w:rPr>
        <w:t xml:space="preserve"> </w:t>
      </w:r>
      <w:r>
        <w:t>la</w:t>
      </w:r>
      <w:r w:rsidRPr="00B93F6A">
        <w:rPr>
          <w:spacing w:val="-2"/>
        </w:rPr>
        <w:t xml:space="preserve"> </w:t>
      </w:r>
      <w:r>
        <w:t>tercera</w:t>
      </w:r>
      <w:r w:rsidRPr="00B93F6A">
        <w:rPr>
          <w:spacing w:val="-1"/>
        </w:rPr>
        <w:t xml:space="preserve"> </w:t>
      </w:r>
      <w:r>
        <w:t>edad,</w:t>
      </w:r>
      <w:r w:rsidRPr="00B93F6A">
        <w:rPr>
          <w:spacing w:val="-2"/>
        </w:rPr>
        <w:t xml:space="preserve"> </w:t>
      </w:r>
      <w:r>
        <w:t>y los demás grupos y comunidades históricamente violentadas.</w:t>
      </w:r>
    </w:p>
    <w:p w:rsidR="003804AC" w:rsidRDefault="00AF18A5" w:rsidP="00B93F6A">
      <w:pPr>
        <w:pStyle w:val="Prrafodelista"/>
        <w:numPr>
          <w:ilvl w:val="0"/>
          <w:numId w:val="56"/>
        </w:numPr>
      </w:pPr>
      <w:r>
        <w:t>Garantice la participación incidente de la ciudadanía, particularmente de las autoridades territoriales, los pueblos étnicos, las organizaciones sociales y las comunidades locales.</w:t>
      </w:r>
    </w:p>
    <w:p w:rsidR="0011361F" w:rsidRDefault="00AF18A5" w:rsidP="00B93F6A">
      <w:pPr>
        <w:pStyle w:val="Prrafodelista"/>
        <w:numPr>
          <w:ilvl w:val="0"/>
          <w:numId w:val="56"/>
        </w:numPr>
      </w:pPr>
      <w:r>
        <w:t>Garantice</w:t>
      </w:r>
      <w:r w:rsidRPr="00B93F6A">
        <w:rPr>
          <w:spacing w:val="-15"/>
        </w:rPr>
        <w:t xml:space="preserve"> </w:t>
      </w:r>
      <w:r>
        <w:t>la</w:t>
      </w:r>
      <w:r w:rsidRPr="00B93F6A">
        <w:rPr>
          <w:spacing w:val="-13"/>
        </w:rPr>
        <w:t xml:space="preserve"> </w:t>
      </w:r>
      <w:r>
        <w:t>seguridad</w:t>
      </w:r>
      <w:r w:rsidRPr="00B93F6A">
        <w:rPr>
          <w:spacing w:val="-12"/>
        </w:rPr>
        <w:t xml:space="preserve"> </w:t>
      </w:r>
      <w:r>
        <w:t>y</w:t>
      </w:r>
      <w:r w:rsidRPr="00B93F6A">
        <w:rPr>
          <w:spacing w:val="-13"/>
        </w:rPr>
        <w:t xml:space="preserve"> </w:t>
      </w:r>
      <w:r>
        <w:t>la</w:t>
      </w:r>
      <w:r w:rsidRPr="00B93F6A">
        <w:rPr>
          <w:spacing w:val="-12"/>
        </w:rPr>
        <w:t xml:space="preserve"> </w:t>
      </w:r>
      <w:r>
        <w:t>soberanía</w:t>
      </w:r>
      <w:r w:rsidRPr="00B93F6A">
        <w:rPr>
          <w:spacing w:val="-13"/>
        </w:rPr>
        <w:t xml:space="preserve"> </w:t>
      </w:r>
      <w:r>
        <w:t>alimentaria</w:t>
      </w:r>
      <w:r w:rsidRPr="00B93F6A">
        <w:rPr>
          <w:spacing w:val="-12"/>
        </w:rPr>
        <w:t xml:space="preserve"> </w:t>
      </w:r>
      <w:r>
        <w:t>de</w:t>
      </w:r>
      <w:r w:rsidRPr="00B93F6A">
        <w:rPr>
          <w:spacing w:val="-12"/>
        </w:rPr>
        <w:t xml:space="preserve"> </w:t>
      </w:r>
      <w:r>
        <w:t>toda</w:t>
      </w:r>
      <w:r w:rsidRPr="00B93F6A">
        <w:rPr>
          <w:spacing w:val="-12"/>
        </w:rPr>
        <w:t xml:space="preserve"> </w:t>
      </w:r>
      <w:r>
        <w:t>la</w:t>
      </w:r>
      <w:r w:rsidRPr="00B93F6A">
        <w:rPr>
          <w:spacing w:val="-12"/>
        </w:rPr>
        <w:t xml:space="preserve"> </w:t>
      </w:r>
      <w:r>
        <w:t>población</w:t>
      </w:r>
      <w:r w:rsidRPr="00B93F6A">
        <w:rPr>
          <w:spacing w:val="-12"/>
        </w:rPr>
        <w:t xml:space="preserve"> </w:t>
      </w:r>
      <w:r>
        <w:t>del</w:t>
      </w:r>
      <w:r w:rsidRPr="00B93F6A">
        <w:rPr>
          <w:spacing w:val="-12"/>
        </w:rPr>
        <w:t xml:space="preserve"> </w:t>
      </w:r>
      <w:r w:rsidRPr="00B93F6A">
        <w:rPr>
          <w:spacing w:val="-2"/>
        </w:rPr>
        <w:t>país.</w:t>
      </w:r>
    </w:p>
    <w:p w:rsidR="003804AC" w:rsidRDefault="00AF18A5" w:rsidP="00B93F6A">
      <w:pPr>
        <w:pStyle w:val="Prrafodelista"/>
        <w:numPr>
          <w:ilvl w:val="0"/>
          <w:numId w:val="56"/>
        </w:numPr>
      </w:pPr>
      <w:r>
        <w:t>Conduzca</w:t>
      </w:r>
      <w:r w:rsidRPr="00B93F6A">
        <w:rPr>
          <w:spacing w:val="-15"/>
        </w:rPr>
        <w:t xml:space="preserve"> </w:t>
      </w:r>
      <w:r>
        <w:t>al</w:t>
      </w:r>
      <w:r w:rsidRPr="00B93F6A">
        <w:rPr>
          <w:spacing w:val="-15"/>
        </w:rPr>
        <w:t xml:space="preserve"> </w:t>
      </w:r>
      <w:r>
        <w:t>fortalecimiento</w:t>
      </w:r>
      <w:r w:rsidRPr="00B93F6A">
        <w:rPr>
          <w:spacing w:val="-15"/>
        </w:rPr>
        <w:t xml:space="preserve"> </w:t>
      </w:r>
      <w:r>
        <w:t>y</w:t>
      </w:r>
      <w:r w:rsidRPr="00B93F6A">
        <w:rPr>
          <w:spacing w:val="-15"/>
        </w:rPr>
        <w:t xml:space="preserve"> </w:t>
      </w:r>
      <w:r>
        <w:t>la</w:t>
      </w:r>
      <w:r w:rsidRPr="00B93F6A">
        <w:rPr>
          <w:spacing w:val="-15"/>
        </w:rPr>
        <w:t xml:space="preserve"> </w:t>
      </w:r>
      <w:r>
        <w:t>reconstrucción</w:t>
      </w:r>
      <w:r w:rsidRPr="00B93F6A">
        <w:rPr>
          <w:spacing w:val="-15"/>
        </w:rPr>
        <w:t xml:space="preserve"> </w:t>
      </w:r>
      <w:r>
        <w:t>del</w:t>
      </w:r>
      <w:r w:rsidRPr="00B93F6A">
        <w:rPr>
          <w:spacing w:val="-15"/>
        </w:rPr>
        <w:t xml:space="preserve"> </w:t>
      </w:r>
      <w:r>
        <w:t>tejido</w:t>
      </w:r>
      <w:r w:rsidRPr="00B93F6A">
        <w:rPr>
          <w:spacing w:val="-15"/>
        </w:rPr>
        <w:t xml:space="preserve"> </w:t>
      </w:r>
      <w:r>
        <w:t>social</w:t>
      </w:r>
      <w:r w:rsidRPr="00B93F6A">
        <w:rPr>
          <w:spacing w:val="-15"/>
        </w:rPr>
        <w:t xml:space="preserve"> </w:t>
      </w:r>
      <w:r>
        <w:t>y</w:t>
      </w:r>
      <w:r w:rsidRPr="00B93F6A">
        <w:rPr>
          <w:spacing w:val="-15"/>
        </w:rPr>
        <w:t xml:space="preserve"> </w:t>
      </w:r>
      <w:r>
        <w:t>económico, con énfasis en las regiones más afectadas por el conflicto.</w:t>
      </w:r>
    </w:p>
    <w:p w:rsidR="003804AC" w:rsidRDefault="00AF18A5" w:rsidP="00B93F6A">
      <w:pPr>
        <w:pStyle w:val="Prrafodelista"/>
        <w:numPr>
          <w:ilvl w:val="0"/>
          <w:numId w:val="56"/>
        </w:numPr>
      </w:pPr>
      <w:r>
        <w:t>Contribuya a prevenir y gestionar los conflictos socioambientales, en particular</w:t>
      </w:r>
      <w:r w:rsidRPr="00B93F6A">
        <w:rPr>
          <w:spacing w:val="29"/>
        </w:rPr>
        <w:t xml:space="preserve"> </w:t>
      </w:r>
      <w:r>
        <w:t>los</w:t>
      </w:r>
      <w:r w:rsidRPr="00B93F6A">
        <w:rPr>
          <w:spacing w:val="32"/>
        </w:rPr>
        <w:t xml:space="preserve"> </w:t>
      </w:r>
      <w:r>
        <w:t>derivados</w:t>
      </w:r>
      <w:r w:rsidRPr="00B93F6A">
        <w:rPr>
          <w:spacing w:val="31"/>
        </w:rPr>
        <w:t xml:space="preserve"> </w:t>
      </w:r>
      <w:r>
        <w:t>de</w:t>
      </w:r>
      <w:r w:rsidRPr="00B93F6A">
        <w:rPr>
          <w:spacing w:val="32"/>
        </w:rPr>
        <w:t xml:space="preserve"> </w:t>
      </w:r>
      <w:r>
        <w:t>las</w:t>
      </w:r>
      <w:r w:rsidRPr="00B93F6A">
        <w:rPr>
          <w:spacing w:val="31"/>
        </w:rPr>
        <w:t xml:space="preserve"> </w:t>
      </w:r>
      <w:r>
        <w:t>actividades</w:t>
      </w:r>
      <w:r w:rsidRPr="00B93F6A">
        <w:rPr>
          <w:spacing w:val="31"/>
        </w:rPr>
        <w:t xml:space="preserve"> </w:t>
      </w:r>
      <w:r>
        <w:t>de</w:t>
      </w:r>
      <w:r w:rsidRPr="00B93F6A">
        <w:rPr>
          <w:spacing w:val="32"/>
        </w:rPr>
        <w:t xml:space="preserve"> </w:t>
      </w:r>
      <w:proofErr w:type="spellStart"/>
      <w:r>
        <w:t>megaminería</w:t>
      </w:r>
      <w:proofErr w:type="spellEnd"/>
      <w:r>
        <w:t>,</w:t>
      </w:r>
      <w:r w:rsidRPr="00B93F6A">
        <w:rPr>
          <w:spacing w:val="32"/>
        </w:rPr>
        <w:t xml:space="preserve"> </w:t>
      </w:r>
      <w:r w:rsidRPr="00B93F6A">
        <w:rPr>
          <w:spacing w:val="-2"/>
        </w:rPr>
        <w:t>hidrocarburos,</w:t>
      </w:r>
      <w:r w:rsidR="00B93F6A">
        <w:t xml:space="preserve"> </w:t>
      </w:r>
      <w:r>
        <w:t xml:space="preserve">explotación forestal, agroindustria, </w:t>
      </w:r>
      <w:proofErr w:type="spellStart"/>
      <w:r>
        <w:t>megainfraestructura</w:t>
      </w:r>
      <w:proofErr w:type="spellEnd"/>
      <w:r>
        <w:t xml:space="preserve"> y ganadería extensiva, entre otras economías extractivas, de gran escala o intensivas en el uso de tierras y territorios. Esto implica una amplia discusión sobre los usos adecuados de los territorios y sus condiciones, de tal manera que </w:t>
      </w:r>
      <w:r>
        <w:lastRenderedPageBreak/>
        <w:t>se entienda el fortalecimiento económico</w:t>
      </w:r>
      <w:r w:rsidRPr="00B93F6A">
        <w:rPr>
          <w:spacing w:val="-6"/>
        </w:rPr>
        <w:t xml:space="preserve"> </w:t>
      </w:r>
      <w:r>
        <w:t>y</w:t>
      </w:r>
      <w:r w:rsidRPr="00B93F6A">
        <w:rPr>
          <w:spacing w:val="-5"/>
        </w:rPr>
        <w:t xml:space="preserve"> </w:t>
      </w:r>
      <w:r>
        <w:t>productivo</w:t>
      </w:r>
      <w:r w:rsidRPr="00B93F6A">
        <w:rPr>
          <w:spacing w:val="-6"/>
        </w:rPr>
        <w:t xml:space="preserve"> </w:t>
      </w:r>
      <w:r>
        <w:t>desde</w:t>
      </w:r>
      <w:r w:rsidRPr="00B93F6A">
        <w:rPr>
          <w:spacing w:val="-4"/>
        </w:rPr>
        <w:t xml:space="preserve"> </w:t>
      </w:r>
      <w:r>
        <w:t>su</w:t>
      </w:r>
      <w:r w:rsidRPr="00B93F6A">
        <w:rPr>
          <w:spacing w:val="-5"/>
        </w:rPr>
        <w:t xml:space="preserve"> </w:t>
      </w:r>
      <w:r>
        <w:t>necesaria</w:t>
      </w:r>
      <w:r w:rsidRPr="00B93F6A">
        <w:rPr>
          <w:spacing w:val="-4"/>
        </w:rPr>
        <w:t xml:space="preserve"> </w:t>
      </w:r>
      <w:r>
        <w:t>compatibilidad</w:t>
      </w:r>
      <w:r w:rsidRPr="00B93F6A">
        <w:rPr>
          <w:spacing w:val="-5"/>
        </w:rPr>
        <w:t xml:space="preserve"> </w:t>
      </w:r>
      <w:r>
        <w:t>con</w:t>
      </w:r>
      <w:r w:rsidRPr="00B93F6A">
        <w:rPr>
          <w:spacing w:val="-5"/>
        </w:rPr>
        <w:t xml:space="preserve"> </w:t>
      </w:r>
      <w:r>
        <w:t>el</w:t>
      </w:r>
      <w:r w:rsidRPr="00B93F6A">
        <w:rPr>
          <w:spacing w:val="-4"/>
        </w:rPr>
        <w:t xml:space="preserve"> </w:t>
      </w:r>
      <w:r>
        <w:t>cuidado</w:t>
      </w:r>
      <w:r w:rsidRPr="00B93F6A">
        <w:rPr>
          <w:spacing w:val="-5"/>
        </w:rPr>
        <w:t xml:space="preserve"> </w:t>
      </w:r>
      <w:r>
        <w:t>ambiental y el bienestar de las comunidades locales.</w:t>
      </w:r>
    </w:p>
    <w:p w:rsidR="003804AC" w:rsidRDefault="00AF18A5" w:rsidP="00B93F6A">
      <w:pPr>
        <w:pStyle w:val="Prrafodelista"/>
        <w:numPr>
          <w:ilvl w:val="0"/>
          <w:numId w:val="56"/>
        </w:numPr>
      </w:pPr>
      <w:r>
        <w:t>Atienda los efectos del conflicto armado y de las actividades económicas legales e ilegales sobre la degradación ambiental y el cambio climático, a través de acciones encaminadas a su contención y, a la protección y el cuidado de los ecosistemas,</w:t>
      </w:r>
      <w:r w:rsidRPr="00B93F6A">
        <w:rPr>
          <w:spacing w:val="-13"/>
        </w:rPr>
        <w:t xml:space="preserve"> </w:t>
      </w:r>
      <w:r>
        <w:t>del</w:t>
      </w:r>
      <w:r w:rsidRPr="00B93F6A">
        <w:rPr>
          <w:spacing w:val="-12"/>
        </w:rPr>
        <w:t xml:space="preserve"> </w:t>
      </w:r>
      <w:r>
        <w:t>agua</w:t>
      </w:r>
      <w:r w:rsidRPr="00B93F6A">
        <w:rPr>
          <w:spacing w:val="-12"/>
        </w:rPr>
        <w:t xml:space="preserve"> </w:t>
      </w:r>
      <w:r>
        <w:t>y</w:t>
      </w:r>
      <w:r w:rsidRPr="00B93F6A">
        <w:rPr>
          <w:spacing w:val="-12"/>
        </w:rPr>
        <w:t xml:space="preserve"> </w:t>
      </w:r>
      <w:r>
        <w:t>de</w:t>
      </w:r>
      <w:r w:rsidRPr="00B93F6A">
        <w:rPr>
          <w:spacing w:val="-12"/>
        </w:rPr>
        <w:t xml:space="preserve"> </w:t>
      </w:r>
      <w:r>
        <w:t>la</w:t>
      </w:r>
      <w:r w:rsidRPr="00B93F6A">
        <w:rPr>
          <w:spacing w:val="-12"/>
        </w:rPr>
        <w:t xml:space="preserve"> </w:t>
      </w:r>
      <w:r>
        <w:t>tierra</w:t>
      </w:r>
      <w:r w:rsidRPr="00B93F6A">
        <w:rPr>
          <w:spacing w:val="-12"/>
        </w:rPr>
        <w:t xml:space="preserve"> </w:t>
      </w:r>
      <w:r>
        <w:t>como</w:t>
      </w:r>
      <w:r w:rsidRPr="00B93F6A">
        <w:rPr>
          <w:spacing w:val="-12"/>
        </w:rPr>
        <w:t xml:space="preserve"> </w:t>
      </w:r>
      <w:r>
        <w:t>bienes</w:t>
      </w:r>
      <w:r w:rsidRPr="00B93F6A">
        <w:rPr>
          <w:spacing w:val="-12"/>
        </w:rPr>
        <w:t xml:space="preserve"> </w:t>
      </w:r>
      <w:r>
        <w:t>fundamentales</w:t>
      </w:r>
      <w:r w:rsidRPr="00B93F6A">
        <w:rPr>
          <w:spacing w:val="-13"/>
        </w:rPr>
        <w:t xml:space="preserve"> </w:t>
      </w:r>
      <w:r>
        <w:t>para</w:t>
      </w:r>
      <w:r w:rsidRPr="00B93F6A">
        <w:rPr>
          <w:spacing w:val="-12"/>
        </w:rPr>
        <w:t xml:space="preserve"> </w:t>
      </w:r>
      <w:r>
        <w:t>el</w:t>
      </w:r>
      <w:r w:rsidRPr="00B93F6A">
        <w:rPr>
          <w:spacing w:val="-12"/>
        </w:rPr>
        <w:t xml:space="preserve"> </w:t>
      </w:r>
      <w:r>
        <w:t>interés</w:t>
      </w:r>
      <w:r w:rsidRPr="00B93F6A">
        <w:rPr>
          <w:spacing w:val="-12"/>
        </w:rPr>
        <w:t xml:space="preserve"> </w:t>
      </w:r>
      <w:r>
        <w:t>general y el bien común.</w:t>
      </w:r>
    </w:p>
    <w:p w:rsidR="003804AC" w:rsidRDefault="00AF18A5" w:rsidP="00B93F6A">
      <w:pPr>
        <w:pStyle w:val="Prrafodelista"/>
        <w:numPr>
          <w:ilvl w:val="0"/>
          <w:numId w:val="56"/>
        </w:numPr>
      </w:pPr>
      <w:r>
        <w:t>Incluya las recomendaciones relativas a justicia, seguridad y participación política de las comunidades rurales formuladas en otras secciones, así como las que proponemos a continuación.</w:t>
      </w:r>
    </w:p>
    <w:p w:rsidR="0011361F" w:rsidRDefault="00AF18A5" w:rsidP="00B93F6A">
      <w:pPr>
        <w:pStyle w:val="Ttulo3"/>
        <w:numPr>
          <w:ilvl w:val="1"/>
          <w:numId w:val="28"/>
        </w:numPr>
      </w:pPr>
      <w:bookmarkStart w:id="1666" w:name="7.2._Descentralización,_autonomía_territ"/>
      <w:bookmarkStart w:id="1667" w:name="_Toc112399717"/>
      <w:bookmarkEnd w:id="1666"/>
      <w:r w:rsidRPr="00B93F6A">
        <w:t>Descentralización</w:t>
      </w:r>
      <w:r>
        <w:t>,</w:t>
      </w:r>
      <w:r>
        <w:rPr>
          <w:spacing w:val="-8"/>
        </w:rPr>
        <w:t xml:space="preserve"> </w:t>
      </w:r>
      <w:r>
        <w:t>autonomía</w:t>
      </w:r>
      <w:r>
        <w:rPr>
          <w:spacing w:val="-5"/>
        </w:rPr>
        <w:t xml:space="preserve"> </w:t>
      </w:r>
      <w:r>
        <w:t>territorial</w:t>
      </w:r>
      <w:r>
        <w:rPr>
          <w:spacing w:val="-3"/>
        </w:rPr>
        <w:t xml:space="preserve"> </w:t>
      </w:r>
      <w:r>
        <w:t>y</w:t>
      </w:r>
      <w:r>
        <w:rPr>
          <w:spacing w:val="-5"/>
        </w:rPr>
        <w:t xml:space="preserve"> </w:t>
      </w:r>
      <w:r>
        <w:t>organización</w:t>
      </w:r>
      <w:r>
        <w:rPr>
          <w:spacing w:val="-4"/>
        </w:rPr>
        <w:t xml:space="preserve"> </w:t>
      </w:r>
      <w:r>
        <w:t>político-</w:t>
      </w:r>
      <w:r>
        <w:rPr>
          <w:spacing w:val="-2"/>
        </w:rPr>
        <w:t>administrativa</w:t>
      </w:r>
      <w:bookmarkEnd w:id="1667"/>
    </w:p>
    <w:p w:rsidR="0011361F" w:rsidRDefault="00AF18A5" w:rsidP="00B93F6A">
      <w:r>
        <w:t>Corto</w:t>
      </w:r>
      <w:r>
        <w:rPr>
          <w:spacing w:val="-1"/>
        </w:rPr>
        <w:t xml:space="preserve"> </w:t>
      </w:r>
      <w:r>
        <w:rPr>
          <w:spacing w:val="-2"/>
        </w:rPr>
        <w:t>plazo</w:t>
      </w:r>
    </w:p>
    <w:p w:rsidR="0011361F" w:rsidRPr="00B93F6A" w:rsidRDefault="00AF18A5" w:rsidP="00B93F6A">
      <w:pPr>
        <w:pStyle w:val="Prrafodelista"/>
        <w:numPr>
          <w:ilvl w:val="0"/>
          <w:numId w:val="31"/>
        </w:numPr>
        <w:rPr>
          <w:b/>
        </w:rPr>
      </w:pPr>
      <w:r>
        <w:t xml:space="preserve">Al Gobierno Nacional, con el liderazgo del Ministerio de Interior, y al Congreso de la República, a las autoridades territoriales, incluyendo autoridades étnicas, profundizar el </w:t>
      </w:r>
      <w:r w:rsidRPr="00B93F6A">
        <w:rPr>
          <w:b/>
        </w:rPr>
        <w:t>proceso</w:t>
      </w:r>
      <w:r w:rsidRPr="00B93F6A">
        <w:rPr>
          <w:b/>
          <w:spacing w:val="-2"/>
        </w:rPr>
        <w:t xml:space="preserve"> </w:t>
      </w:r>
      <w:r w:rsidRPr="00B93F6A">
        <w:rPr>
          <w:b/>
        </w:rPr>
        <w:t>de</w:t>
      </w:r>
      <w:r w:rsidRPr="00B93F6A">
        <w:rPr>
          <w:b/>
          <w:spacing w:val="-3"/>
        </w:rPr>
        <w:t xml:space="preserve"> </w:t>
      </w:r>
      <w:r w:rsidRPr="00B93F6A">
        <w:rPr>
          <w:b/>
        </w:rPr>
        <w:t>descentralización</w:t>
      </w:r>
      <w:r w:rsidRPr="00B93F6A">
        <w:rPr>
          <w:b/>
          <w:spacing w:val="-2"/>
        </w:rPr>
        <w:t xml:space="preserve"> </w:t>
      </w:r>
      <w:r w:rsidRPr="00B93F6A">
        <w:rPr>
          <w:b/>
        </w:rPr>
        <w:t>y</w:t>
      </w:r>
      <w:r w:rsidRPr="00B93F6A">
        <w:rPr>
          <w:b/>
          <w:spacing w:val="-3"/>
        </w:rPr>
        <w:t xml:space="preserve"> </w:t>
      </w:r>
      <w:r w:rsidRPr="00B93F6A">
        <w:rPr>
          <w:b/>
        </w:rPr>
        <w:t>la</w:t>
      </w:r>
      <w:r w:rsidRPr="00B93F6A">
        <w:rPr>
          <w:b/>
          <w:spacing w:val="-2"/>
        </w:rPr>
        <w:t xml:space="preserve"> </w:t>
      </w:r>
      <w:r w:rsidRPr="00B93F6A">
        <w:rPr>
          <w:b/>
        </w:rPr>
        <w:t>autonomía</w:t>
      </w:r>
      <w:r w:rsidRPr="00B93F6A">
        <w:rPr>
          <w:b/>
          <w:spacing w:val="-3"/>
        </w:rPr>
        <w:t xml:space="preserve"> </w:t>
      </w:r>
      <w:r w:rsidRPr="00B93F6A">
        <w:rPr>
          <w:b/>
        </w:rPr>
        <w:t>territorial,</w:t>
      </w:r>
      <w:r w:rsidRPr="00B93F6A">
        <w:rPr>
          <w:b/>
          <w:spacing w:val="-3"/>
        </w:rPr>
        <w:t xml:space="preserve"> </w:t>
      </w:r>
      <w:r w:rsidRPr="00B93F6A">
        <w:rPr>
          <w:b/>
        </w:rPr>
        <w:t>y</w:t>
      </w:r>
      <w:r w:rsidRPr="00B93F6A">
        <w:rPr>
          <w:b/>
          <w:spacing w:val="-3"/>
        </w:rPr>
        <w:t xml:space="preserve"> </w:t>
      </w:r>
      <w:r w:rsidRPr="00B93F6A">
        <w:rPr>
          <w:b/>
        </w:rPr>
        <w:t>reconsiderar</w:t>
      </w:r>
      <w:r w:rsidRPr="00B93F6A">
        <w:rPr>
          <w:b/>
          <w:spacing w:val="-2"/>
        </w:rPr>
        <w:t xml:space="preserve"> </w:t>
      </w:r>
      <w:r w:rsidRPr="00B93F6A">
        <w:rPr>
          <w:b/>
        </w:rPr>
        <w:t>la</w:t>
      </w:r>
      <w:r w:rsidRPr="00B93F6A">
        <w:rPr>
          <w:b/>
          <w:spacing w:val="-2"/>
        </w:rPr>
        <w:t xml:space="preserve"> </w:t>
      </w:r>
      <w:r w:rsidRPr="00B93F6A">
        <w:rPr>
          <w:b/>
        </w:rPr>
        <w:t xml:space="preserve">organización político-administrativa del país </w:t>
      </w:r>
      <w:r>
        <w:t>para que se dé efectivamente un debate en torno a la equidad territorial y al bienestar a nivel local y regional. Lo anterior, debe hacerse teniendo en cuenta las conclusiones y recomendaciones de la Misión de ordenamiento territorial</w:t>
      </w:r>
      <w:r w:rsidR="00B93F6A">
        <w:rPr>
          <w:rStyle w:val="Refdenotaalpie"/>
        </w:rPr>
        <w:footnoteReference w:id="1273"/>
      </w:r>
      <w:r>
        <w:t>.</w:t>
      </w:r>
    </w:p>
    <w:p w:rsidR="003804AC" w:rsidRDefault="00AF18A5" w:rsidP="00B93F6A">
      <w:pPr>
        <w:pStyle w:val="Ttulo3"/>
        <w:numPr>
          <w:ilvl w:val="1"/>
          <w:numId w:val="28"/>
        </w:numPr>
      </w:pPr>
      <w:bookmarkStart w:id="1668" w:name="_bookmark1443"/>
      <w:bookmarkStart w:id="1669" w:name="7.3._Acceso_equitativo,_democrático_y_am"/>
      <w:bookmarkStart w:id="1670" w:name="_Toc112399718"/>
      <w:bookmarkEnd w:id="1668"/>
      <w:bookmarkEnd w:id="1669"/>
      <w:r>
        <w:t xml:space="preserve">Acceso equitativo, democrático y ambientalmente </w:t>
      </w:r>
      <w:r>
        <w:lastRenderedPageBreak/>
        <w:t xml:space="preserve">sostenible a la tierra y los </w:t>
      </w:r>
      <w:r>
        <w:rPr>
          <w:spacing w:val="-2"/>
        </w:rPr>
        <w:t>territorios</w:t>
      </w:r>
      <w:bookmarkEnd w:id="1670"/>
    </w:p>
    <w:p w:rsidR="0011361F" w:rsidRDefault="00AF18A5" w:rsidP="00B93F6A">
      <w:r>
        <w:t>Corto</w:t>
      </w:r>
      <w:r>
        <w:rPr>
          <w:spacing w:val="-1"/>
        </w:rPr>
        <w:t xml:space="preserve"> </w:t>
      </w:r>
      <w:r>
        <w:rPr>
          <w:spacing w:val="-2"/>
        </w:rPr>
        <w:t>plazo</w:t>
      </w:r>
    </w:p>
    <w:p w:rsidR="003804AC" w:rsidRPr="00B93F6A" w:rsidRDefault="00AF18A5" w:rsidP="00B93F6A">
      <w:pPr>
        <w:pStyle w:val="Prrafodelista"/>
        <w:numPr>
          <w:ilvl w:val="0"/>
          <w:numId w:val="31"/>
        </w:numPr>
        <w:rPr>
          <w:b/>
        </w:rPr>
      </w:pPr>
      <w:r>
        <w:t xml:space="preserve">Al Gobierno Nacional y los gobiernos territoriales, finalizar la formación del </w:t>
      </w:r>
      <w:r w:rsidRPr="00B93F6A">
        <w:rPr>
          <w:b/>
        </w:rPr>
        <w:t xml:space="preserve">catastro </w:t>
      </w:r>
      <w:r w:rsidRPr="00B93F6A">
        <w:rPr>
          <w:b/>
          <w:spacing w:val="-2"/>
        </w:rPr>
        <w:t>multipropósito:</w:t>
      </w:r>
    </w:p>
    <w:p w:rsidR="003804AC" w:rsidRDefault="00AF18A5" w:rsidP="00B93F6A">
      <w:pPr>
        <w:pStyle w:val="Prrafodelista"/>
        <w:numPr>
          <w:ilvl w:val="0"/>
          <w:numId w:val="57"/>
        </w:numPr>
      </w:pPr>
      <w:r>
        <w:t>A través de un proceso participativo y ágil que resuelva las inconsistencias con el registro de instrumentos públicos; que sea de utilidad para la planeación de políticas públicas; que garantice su actualización y conservación a lo largo del tiempo;</w:t>
      </w:r>
      <w:r w:rsidRPr="00B93F6A">
        <w:rPr>
          <w:spacing w:val="-12"/>
        </w:rPr>
        <w:t xml:space="preserve"> </w:t>
      </w:r>
      <w:r>
        <w:t>y</w:t>
      </w:r>
      <w:r w:rsidRPr="00B93F6A">
        <w:rPr>
          <w:spacing w:val="-12"/>
        </w:rPr>
        <w:t xml:space="preserve"> </w:t>
      </w:r>
      <w:r>
        <w:t>que</w:t>
      </w:r>
      <w:r w:rsidRPr="00B93F6A">
        <w:rPr>
          <w:spacing w:val="-12"/>
        </w:rPr>
        <w:t xml:space="preserve"> </w:t>
      </w:r>
      <w:r>
        <w:t>conduzca</w:t>
      </w:r>
      <w:r w:rsidRPr="00B93F6A">
        <w:rPr>
          <w:spacing w:val="-12"/>
        </w:rPr>
        <w:t xml:space="preserve"> </w:t>
      </w:r>
      <w:r>
        <w:t>a</w:t>
      </w:r>
      <w:r w:rsidRPr="00B93F6A">
        <w:rPr>
          <w:spacing w:val="-13"/>
        </w:rPr>
        <w:t xml:space="preserve"> </w:t>
      </w:r>
      <w:r>
        <w:t>un</w:t>
      </w:r>
      <w:r w:rsidRPr="00B93F6A">
        <w:rPr>
          <w:spacing w:val="-12"/>
        </w:rPr>
        <w:t xml:space="preserve"> </w:t>
      </w:r>
      <w:r>
        <w:t>sistema</w:t>
      </w:r>
      <w:r w:rsidRPr="00B93F6A">
        <w:rPr>
          <w:spacing w:val="-13"/>
        </w:rPr>
        <w:t xml:space="preserve"> </w:t>
      </w:r>
      <w:r>
        <w:t>de</w:t>
      </w:r>
      <w:r w:rsidRPr="00B93F6A">
        <w:rPr>
          <w:spacing w:val="-12"/>
        </w:rPr>
        <w:t xml:space="preserve"> </w:t>
      </w:r>
      <w:r>
        <w:t>información</w:t>
      </w:r>
      <w:r w:rsidRPr="00B93F6A">
        <w:rPr>
          <w:spacing w:val="-12"/>
        </w:rPr>
        <w:t xml:space="preserve"> </w:t>
      </w:r>
      <w:r>
        <w:t>de</w:t>
      </w:r>
      <w:r w:rsidRPr="00B93F6A">
        <w:rPr>
          <w:spacing w:val="-12"/>
        </w:rPr>
        <w:t xml:space="preserve"> </w:t>
      </w:r>
      <w:r>
        <w:t>fácil</w:t>
      </w:r>
      <w:r w:rsidRPr="00B93F6A">
        <w:rPr>
          <w:spacing w:val="-12"/>
        </w:rPr>
        <w:t xml:space="preserve"> </w:t>
      </w:r>
      <w:r>
        <w:t>acceso</w:t>
      </w:r>
      <w:r w:rsidRPr="00B93F6A">
        <w:rPr>
          <w:spacing w:val="-12"/>
        </w:rPr>
        <w:t xml:space="preserve"> </w:t>
      </w:r>
      <w:r>
        <w:t>y</w:t>
      </w:r>
      <w:r w:rsidRPr="00B93F6A">
        <w:rPr>
          <w:spacing w:val="-12"/>
        </w:rPr>
        <w:t xml:space="preserve"> </w:t>
      </w:r>
      <w:r>
        <w:t>utilización</w:t>
      </w:r>
      <w:r w:rsidRPr="00B93F6A">
        <w:rPr>
          <w:spacing w:val="-12"/>
        </w:rPr>
        <w:t xml:space="preserve"> </w:t>
      </w:r>
      <w:r>
        <w:t>para la ciudadanía.</w:t>
      </w:r>
    </w:p>
    <w:p w:rsidR="003804AC" w:rsidRDefault="00AF18A5" w:rsidP="00B93F6A">
      <w:pPr>
        <w:pStyle w:val="Prrafodelista"/>
        <w:numPr>
          <w:ilvl w:val="0"/>
          <w:numId w:val="57"/>
        </w:numPr>
      </w:pPr>
      <w:r>
        <w:t>Apropiando los recursos financieros e institucionales necesarios para que se cumpla de manera prioritaria con el cronograma y las metas ya establecidas.</w:t>
      </w:r>
    </w:p>
    <w:p w:rsidR="003804AC" w:rsidRDefault="00AF18A5" w:rsidP="00B93F6A">
      <w:pPr>
        <w:pStyle w:val="Prrafodelista"/>
        <w:numPr>
          <w:ilvl w:val="0"/>
          <w:numId w:val="57"/>
        </w:numPr>
      </w:pPr>
      <w:r>
        <w:t>Garantizando el derecho a la consulta previa que el mecanismo requiere en territorios étnicos.</w:t>
      </w:r>
    </w:p>
    <w:p w:rsidR="0011361F" w:rsidRDefault="00AF18A5" w:rsidP="00B93F6A">
      <w:r>
        <w:t>Mediano</w:t>
      </w:r>
      <w:r>
        <w:rPr>
          <w:spacing w:val="-1"/>
        </w:rPr>
        <w:t xml:space="preserve"> </w:t>
      </w:r>
      <w:r>
        <w:rPr>
          <w:spacing w:val="-2"/>
        </w:rPr>
        <w:t>plazo</w:t>
      </w:r>
    </w:p>
    <w:p w:rsidR="00B93F6A" w:rsidRPr="00B93F6A" w:rsidRDefault="00AF18A5" w:rsidP="00B93F6A">
      <w:pPr>
        <w:pStyle w:val="Prrafodelista"/>
        <w:numPr>
          <w:ilvl w:val="0"/>
          <w:numId w:val="31"/>
        </w:numPr>
        <w:rPr>
          <w:b/>
        </w:rPr>
      </w:pPr>
      <w:r>
        <w:t xml:space="preserve">Al Estado en general, </w:t>
      </w:r>
      <w:r w:rsidRPr="00B93F6A">
        <w:rPr>
          <w:b/>
        </w:rPr>
        <w:t xml:space="preserve">revertir la alta concentración de las tierras y corregir los usos antieconómicos y antiecológicos </w:t>
      </w:r>
      <w:r>
        <w:t>de las mismas a partir de un plan de reforma agraria que parta del cumplimiento de las metas del Acuerdo de Paz y que incluya, además, las siguientes medidas:</w:t>
      </w:r>
    </w:p>
    <w:p w:rsidR="003804AC" w:rsidRPr="00B93F6A" w:rsidRDefault="00B93F6A" w:rsidP="00B93F6A">
      <w:pPr>
        <w:ind w:left="720"/>
        <w:rPr>
          <w:b/>
        </w:rPr>
      </w:pPr>
      <w:r>
        <w:t xml:space="preserve">52.1. </w:t>
      </w:r>
      <w:r w:rsidR="00AF18A5">
        <w:t xml:space="preserve">Al Gobierno nacional, distribuir al menos tres millones de hectáreas </w:t>
      </w:r>
      <w:r w:rsidR="00AF18A5" w:rsidRPr="00B93F6A">
        <w:rPr>
          <w:i/>
        </w:rPr>
        <w:t>–</w:t>
      </w:r>
      <w:r w:rsidR="00AF18A5">
        <w:t>adicionales a las</w:t>
      </w:r>
      <w:r w:rsidR="00AF18A5" w:rsidRPr="00B93F6A">
        <w:rPr>
          <w:spacing w:val="-15"/>
        </w:rPr>
        <w:t xml:space="preserve"> </w:t>
      </w:r>
      <w:r w:rsidR="00AF18A5">
        <w:t>de</w:t>
      </w:r>
      <w:r w:rsidR="00AF18A5" w:rsidRPr="00B93F6A">
        <w:rPr>
          <w:spacing w:val="-15"/>
        </w:rPr>
        <w:t xml:space="preserve"> </w:t>
      </w:r>
      <w:r w:rsidR="00AF18A5">
        <w:t>formalización</w:t>
      </w:r>
      <w:r w:rsidR="00AF18A5" w:rsidRPr="00B93F6A">
        <w:rPr>
          <w:spacing w:val="-15"/>
        </w:rPr>
        <w:t xml:space="preserve"> </w:t>
      </w:r>
      <w:r w:rsidR="00AF18A5">
        <w:t>de</w:t>
      </w:r>
      <w:r w:rsidR="00AF18A5" w:rsidRPr="00B93F6A">
        <w:rPr>
          <w:spacing w:val="-15"/>
        </w:rPr>
        <w:t xml:space="preserve"> </w:t>
      </w:r>
      <w:r w:rsidR="00AF18A5">
        <w:t>baldíos</w:t>
      </w:r>
      <w:r w:rsidR="00AF18A5" w:rsidRPr="00B93F6A">
        <w:rPr>
          <w:i/>
        </w:rPr>
        <w:t>–</w:t>
      </w:r>
      <w:r w:rsidR="00AF18A5" w:rsidRPr="00B93F6A">
        <w:rPr>
          <w:i/>
          <w:spacing w:val="-15"/>
        </w:rPr>
        <w:t xml:space="preserve"> </w:t>
      </w:r>
      <w:r w:rsidR="00AF18A5">
        <w:t>a</w:t>
      </w:r>
      <w:r w:rsidR="00AF18A5" w:rsidRPr="00B93F6A">
        <w:rPr>
          <w:spacing w:val="-15"/>
        </w:rPr>
        <w:t xml:space="preserve"> </w:t>
      </w:r>
      <w:r w:rsidR="00AF18A5">
        <w:t>campesinos</w:t>
      </w:r>
      <w:r w:rsidR="00AF18A5" w:rsidRPr="00B93F6A">
        <w:rPr>
          <w:spacing w:val="-15"/>
        </w:rPr>
        <w:t xml:space="preserve"> </w:t>
      </w:r>
      <w:r w:rsidR="00AF18A5">
        <w:t>y</w:t>
      </w:r>
      <w:r w:rsidR="00AF18A5" w:rsidRPr="00B93F6A">
        <w:rPr>
          <w:spacing w:val="-15"/>
        </w:rPr>
        <w:t xml:space="preserve"> </w:t>
      </w:r>
      <w:r w:rsidR="00AF18A5">
        <w:t>campesinas</w:t>
      </w:r>
      <w:r w:rsidR="00AF18A5" w:rsidRPr="00B93F6A">
        <w:rPr>
          <w:spacing w:val="-15"/>
        </w:rPr>
        <w:t xml:space="preserve"> </w:t>
      </w:r>
      <w:r w:rsidR="00AF18A5">
        <w:t>sin</w:t>
      </w:r>
      <w:r w:rsidR="00AF18A5" w:rsidRPr="00B93F6A">
        <w:rPr>
          <w:spacing w:val="-15"/>
        </w:rPr>
        <w:t xml:space="preserve"> </w:t>
      </w:r>
      <w:r w:rsidR="00AF18A5">
        <w:t>tierra</w:t>
      </w:r>
      <w:r w:rsidR="00AF18A5" w:rsidRPr="00B93F6A">
        <w:rPr>
          <w:spacing w:val="-15"/>
        </w:rPr>
        <w:t xml:space="preserve"> </w:t>
      </w:r>
      <w:r w:rsidR="00AF18A5">
        <w:t>o</w:t>
      </w:r>
      <w:r w:rsidR="00AF18A5" w:rsidRPr="00B93F6A">
        <w:rPr>
          <w:spacing w:val="-15"/>
        </w:rPr>
        <w:t xml:space="preserve"> </w:t>
      </w:r>
      <w:r w:rsidR="00AF18A5">
        <w:t>con</w:t>
      </w:r>
      <w:r w:rsidR="00AF18A5" w:rsidRPr="00B93F6A">
        <w:rPr>
          <w:spacing w:val="-15"/>
        </w:rPr>
        <w:t xml:space="preserve"> </w:t>
      </w:r>
      <w:r w:rsidR="00AF18A5">
        <w:t>tierra</w:t>
      </w:r>
      <w:r w:rsidR="00AF18A5" w:rsidRPr="00B93F6A">
        <w:rPr>
          <w:spacing w:val="-15"/>
        </w:rPr>
        <w:t xml:space="preserve"> </w:t>
      </w:r>
      <w:r w:rsidR="00AF18A5">
        <w:t xml:space="preserve">insuficiente </w:t>
      </w:r>
      <w:r w:rsidR="00AF18A5" w:rsidRPr="00B93F6A">
        <w:rPr>
          <w:spacing w:val="-4"/>
        </w:rPr>
        <w:t>que:</w:t>
      </w:r>
    </w:p>
    <w:p w:rsidR="003804AC" w:rsidRDefault="00AF18A5" w:rsidP="00B93F6A">
      <w:pPr>
        <w:pStyle w:val="Prrafodelista"/>
        <w:numPr>
          <w:ilvl w:val="0"/>
          <w:numId w:val="58"/>
        </w:numPr>
      </w:pPr>
      <w:r>
        <w:t xml:space="preserve">Estén ubicadas </w:t>
      </w:r>
      <w:r w:rsidRPr="00B93F6A">
        <w:rPr>
          <w:b/>
        </w:rPr>
        <w:t xml:space="preserve">dentro de la frontera agraria </w:t>
      </w:r>
      <w:r>
        <w:t xml:space="preserve">y </w:t>
      </w:r>
      <w:r w:rsidRPr="00B93F6A">
        <w:rPr>
          <w:b/>
        </w:rPr>
        <w:t xml:space="preserve">dotadas de </w:t>
      </w:r>
      <w:r w:rsidRPr="00B93F6A">
        <w:rPr>
          <w:b/>
        </w:rPr>
        <w:lastRenderedPageBreak/>
        <w:t xml:space="preserve">bienes y servicios básicos </w:t>
      </w:r>
      <w:r>
        <w:t xml:space="preserve">y cuya tenencia actual no esté en manos de sujetos de reforma </w:t>
      </w:r>
      <w:r w:rsidRPr="00B93F6A">
        <w:rPr>
          <w:spacing w:val="-2"/>
        </w:rPr>
        <w:t>agraria.</w:t>
      </w:r>
    </w:p>
    <w:p w:rsidR="003804AC" w:rsidRDefault="00AF18A5" w:rsidP="00B93F6A">
      <w:pPr>
        <w:pStyle w:val="Prrafodelista"/>
        <w:numPr>
          <w:ilvl w:val="0"/>
          <w:numId w:val="58"/>
        </w:numPr>
      </w:pPr>
      <w:r>
        <w:t>Provengan</w:t>
      </w:r>
      <w:r w:rsidRPr="00B93F6A">
        <w:rPr>
          <w:spacing w:val="-11"/>
        </w:rPr>
        <w:t xml:space="preserve"> </w:t>
      </w:r>
      <w:r>
        <w:t>de</w:t>
      </w:r>
      <w:r w:rsidRPr="00B93F6A">
        <w:rPr>
          <w:spacing w:val="-11"/>
        </w:rPr>
        <w:t xml:space="preserve"> </w:t>
      </w:r>
      <w:r>
        <w:t>los</w:t>
      </w:r>
      <w:r w:rsidRPr="00B93F6A">
        <w:rPr>
          <w:spacing w:val="-11"/>
        </w:rPr>
        <w:t xml:space="preserve"> </w:t>
      </w:r>
      <w:r w:rsidRPr="00B93F6A">
        <w:rPr>
          <w:b/>
        </w:rPr>
        <w:t>procesos</w:t>
      </w:r>
      <w:r w:rsidRPr="00B93F6A">
        <w:rPr>
          <w:b/>
          <w:spacing w:val="-11"/>
        </w:rPr>
        <w:t xml:space="preserve"> </w:t>
      </w:r>
      <w:r w:rsidRPr="00B93F6A">
        <w:rPr>
          <w:b/>
        </w:rPr>
        <w:t>agrarios</w:t>
      </w:r>
      <w:r w:rsidR="00B93F6A">
        <w:rPr>
          <w:rStyle w:val="Refdenotaalpie"/>
          <w:b/>
        </w:rPr>
        <w:footnoteReference w:id="1274"/>
      </w:r>
      <w:r w:rsidRPr="00B93F6A">
        <w:rPr>
          <w:b/>
          <w:spacing w:val="-10"/>
        </w:rPr>
        <w:t xml:space="preserve"> </w:t>
      </w:r>
      <w:r>
        <w:t>y</w:t>
      </w:r>
      <w:r w:rsidRPr="00B93F6A">
        <w:rPr>
          <w:spacing w:val="-11"/>
        </w:rPr>
        <w:t xml:space="preserve"> </w:t>
      </w:r>
      <w:r>
        <w:t>también</w:t>
      </w:r>
      <w:r w:rsidRPr="00B93F6A">
        <w:rPr>
          <w:spacing w:val="-11"/>
        </w:rPr>
        <w:t xml:space="preserve"> </w:t>
      </w:r>
      <w:r>
        <w:t>de</w:t>
      </w:r>
      <w:r w:rsidRPr="00B93F6A">
        <w:rPr>
          <w:spacing w:val="-12"/>
        </w:rPr>
        <w:t xml:space="preserve"> </w:t>
      </w:r>
      <w:r w:rsidRPr="00B93F6A">
        <w:rPr>
          <w:b/>
        </w:rPr>
        <w:t>la</w:t>
      </w:r>
      <w:r w:rsidRPr="00B93F6A">
        <w:rPr>
          <w:b/>
          <w:spacing w:val="-11"/>
        </w:rPr>
        <w:t xml:space="preserve"> </w:t>
      </w:r>
      <w:r w:rsidRPr="00B93F6A">
        <w:rPr>
          <w:b/>
        </w:rPr>
        <w:t>extinción</w:t>
      </w:r>
      <w:r w:rsidRPr="00B93F6A">
        <w:rPr>
          <w:b/>
          <w:spacing w:val="-12"/>
        </w:rPr>
        <w:t xml:space="preserve"> </w:t>
      </w:r>
      <w:r w:rsidRPr="00B93F6A">
        <w:rPr>
          <w:b/>
        </w:rPr>
        <w:t>judicial</w:t>
      </w:r>
      <w:r w:rsidRPr="00B93F6A">
        <w:rPr>
          <w:b/>
          <w:spacing w:val="-10"/>
        </w:rPr>
        <w:t xml:space="preserve"> </w:t>
      </w:r>
      <w:r w:rsidRPr="00B93F6A">
        <w:rPr>
          <w:b/>
        </w:rPr>
        <w:t>de bienes</w:t>
      </w:r>
      <w:r w:rsidRPr="00B93F6A">
        <w:rPr>
          <w:b/>
          <w:spacing w:val="-8"/>
        </w:rPr>
        <w:t xml:space="preserve"> </w:t>
      </w:r>
      <w:r w:rsidRPr="00B93F6A">
        <w:rPr>
          <w:b/>
        </w:rPr>
        <w:t>rurales</w:t>
      </w:r>
      <w:r w:rsidRPr="00B93F6A">
        <w:rPr>
          <w:b/>
          <w:spacing w:val="-8"/>
        </w:rPr>
        <w:t xml:space="preserve"> </w:t>
      </w:r>
      <w:r w:rsidRPr="00B93F6A">
        <w:rPr>
          <w:b/>
        </w:rPr>
        <w:t>asociados</w:t>
      </w:r>
      <w:r w:rsidRPr="00B93F6A">
        <w:rPr>
          <w:b/>
          <w:spacing w:val="-8"/>
        </w:rPr>
        <w:t xml:space="preserve"> </w:t>
      </w:r>
      <w:r w:rsidRPr="00B93F6A">
        <w:rPr>
          <w:b/>
        </w:rPr>
        <w:t>a</w:t>
      </w:r>
      <w:r w:rsidRPr="00B93F6A">
        <w:rPr>
          <w:b/>
          <w:spacing w:val="-8"/>
        </w:rPr>
        <w:t xml:space="preserve"> </w:t>
      </w:r>
      <w:r w:rsidRPr="00B93F6A">
        <w:rPr>
          <w:b/>
        </w:rPr>
        <w:t>actividades</w:t>
      </w:r>
      <w:r w:rsidRPr="00B93F6A">
        <w:rPr>
          <w:b/>
          <w:spacing w:val="-8"/>
        </w:rPr>
        <w:t xml:space="preserve"> </w:t>
      </w:r>
      <w:r w:rsidRPr="00B93F6A">
        <w:rPr>
          <w:b/>
        </w:rPr>
        <w:t>ilícitas</w:t>
      </w:r>
      <w:r w:rsidRPr="00B93F6A">
        <w:rPr>
          <w:b/>
          <w:spacing w:val="-9"/>
        </w:rPr>
        <w:t xml:space="preserve"> </w:t>
      </w:r>
      <w:r>
        <w:t>con</w:t>
      </w:r>
      <w:r w:rsidRPr="00B93F6A">
        <w:rPr>
          <w:spacing w:val="-8"/>
        </w:rPr>
        <w:t xml:space="preserve"> </w:t>
      </w:r>
      <w:r>
        <w:t>vocación</w:t>
      </w:r>
      <w:r w:rsidRPr="00B93F6A">
        <w:rPr>
          <w:spacing w:val="-8"/>
        </w:rPr>
        <w:t xml:space="preserve"> </w:t>
      </w:r>
      <w:r>
        <w:t>para</w:t>
      </w:r>
      <w:r w:rsidRPr="00B93F6A">
        <w:rPr>
          <w:spacing w:val="-8"/>
        </w:rPr>
        <w:t xml:space="preserve"> </w:t>
      </w:r>
      <w:r>
        <w:t>la</w:t>
      </w:r>
      <w:r w:rsidRPr="00B93F6A">
        <w:rPr>
          <w:spacing w:val="-8"/>
        </w:rPr>
        <w:t xml:space="preserve"> </w:t>
      </w:r>
      <w:r>
        <w:t>reforma</w:t>
      </w:r>
      <w:r w:rsidRPr="00B93F6A">
        <w:rPr>
          <w:spacing w:val="-8"/>
        </w:rPr>
        <w:t xml:space="preserve"> </w:t>
      </w:r>
      <w:r>
        <w:t>agraria a partir de un plan formulado conjuntamente con la Fiscalía General de la Nación. Este</w:t>
      </w:r>
      <w:r w:rsidRPr="00B93F6A">
        <w:rPr>
          <w:spacing w:val="-5"/>
        </w:rPr>
        <w:t xml:space="preserve"> </w:t>
      </w:r>
      <w:r>
        <w:t>debe</w:t>
      </w:r>
      <w:r w:rsidRPr="00B93F6A">
        <w:rPr>
          <w:spacing w:val="-5"/>
        </w:rPr>
        <w:t xml:space="preserve"> </w:t>
      </w:r>
      <w:r>
        <w:t>garantizar</w:t>
      </w:r>
      <w:r w:rsidRPr="00B93F6A">
        <w:rPr>
          <w:spacing w:val="-4"/>
        </w:rPr>
        <w:t xml:space="preserve"> </w:t>
      </w:r>
      <w:r>
        <w:t>que</w:t>
      </w:r>
      <w:r w:rsidRPr="00B93F6A">
        <w:rPr>
          <w:spacing w:val="-6"/>
        </w:rPr>
        <w:t xml:space="preserve"> </w:t>
      </w:r>
      <w:r>
        <w:t>la</w:t>
      </w:r>
      <w:r w:rsidRPr="00B93F6A">
        <w:rPr>
          <w:spacing w:val="-5"/>
        </w:rPr>
        <w:t xml:space="preserve"> </w:t>
      </w:r>
      <w:r>
        <w:t>persecución</w:t>
      </w:r>
      <w:r w:rsidRPr="00B93F6A">
        <w:rPr>
          <w:spacing w:val="-5"/>
        </w:rPr>
        <w:t xml:space="preserve"> </w:t>
      </w:r>
      <w:r>
        <w:t>de</w:t>
      </w:r>
      <w:r w:rsidRPr="00B93F6A">
        <w:rPr>
          <w:spacing w:val="-5"/>
        </w:rPr>
        <w:t xml:space="preserve"> </w:t>
      </w:r>
      <w:r>
        <w:t>estos</w:t>
      </w:r>
      <w:r w:rsidRPr="00B93F6A">
        <w:rPr>
          <w:spacing w:val="-5"/>
        </w:rPr>
        <w:t xml:space="preserve"> </w:t>
      </w:r>
      <w:r>
        <w:t>bienes</w:t>
      </w:r>
      <w:r w:rsidRPr="00B93F6A">
        <w:rPr>
          <w:spacing w:val="-5"/>
        </w:rPr>
        <w:t xml:space="preserve"> </w:t>
      </w:r>
      <w:r>
        <w:t>sea</w:t>
      </w:r>
      <w:r w:rsidRPr="00B93F6A">
        <w:rPr>
          <w:spacing w:val="-5"/>
        </w:rPr>
        <w:t xml:space="preserve"> </w:t>
      </w:r>
      <w:r>
        <w:t>una</w:t>
      </w:r>
      <w:r w:rsidRPr="00B93F6A">
        <w:rPr>
          <w:spacing w:val="-5"/>
        </w:rPr>
        <w:t xml:space="preserve"> </w:t>
      </w:r>
      <w:r>
        <w:t>de</w:t>
      </w:r>
      <w:r w:rsidRPr="00B93F6A">
        <w:rPr>
          <w:spacing w:val="-5"/>
        </w:rPr>
        <w:t xml:space="preserve"> </w:t>
      </w:r>
      <w:r>
        <w:t>sus</w:t>
      </w:r>
      <w:r w:rsidRPr="00B93F6A">
        <w:rPr>
          <w:spacing w:val="-5"/>
        </w:rPr>
        <w:t xml:space="preserve"> </w:t>
      </w:r>
      <w:r>
        <w:t>prioridades</w:t>
      </w:r>
      <w:r w:rsidRPr="00B93F6A">
        <w:rPr>
          <w:spacing w:val="-5"/>
        </w:rPr>
        <w:t xml:space="preserve"> </w:t>
      </w:r>
      <w:r>
        <w:t>de política criminal.</w:t>
      </w:r>
    </w:p>
    <w:p w:rsidR="0011361F" w:rsidRDefault="00AF18A5" w:rsidP="00B93F6A">
      <w:r>
        <w:t>Mediano</w:t>
      </w:r>
      <w:r>
        <w:rPr>
          <w:spacing w:val="-3"/>
        </w:rPr>
        <w:t xml:space="preserve"> </w:t>
      </w:r>
      <w:r>
        <w:rPr>
          <w:spacing w:val="-2"/>
        </w:rPr>
        <w:t>plazo</w:t>
      </w:r>
    </w:p>
    <w:p w:rsidR="003804AC" w:rsidRDefault="00B93F6A" w:rsidP="00B93F6A">
      <w:r>
        <w:t xml:space="preserve">52.2. </w:t>
      </w:r>
      <w:r w:rsidR="00AF18A5">
        <w:t>Al</w:t>
      </w:r>
      <w:r w:rsidR="00AF18A5">
        <w:rPr>
          <w:spacing w:val="-3"/>
        </w:rPr>
        <w:t xml:space="preserve"> </w:t>
      </w:r>
      <w:r w:rsidR="00AF18A5">
        <w:t>Gobierno</w:t>
      </w:r>
      <w:r w:rsidR="00AF18A5">
        <w:rPr>
          <w:spacing w:val="-4"/>
        </w:rPr>
        <w:t xml:space="preserve"> </w:t>
      </w:r>
      <w:r w:rsidR="00AF18A5">
        <w:t>Nacional</w:t>
      </w:r>
      <w:r w:rsidR="00AF18A5">
        <w:rPr>
          <w:spacing w:val="-3"/>
        </w:rPr>
        <w:t xml:space="preserve"> </w:t>
      </w:r>
      <w:r w:rsidR="00AF18A5">
        <w:t>y</w:t>
      </w:r>
      <w:r w:rsidR="00AF18A5">
        <w:rPr>
          <w:spacing w:val="-5"/>
        </w:rPr>
        <w:t xml:space="preserve"> </w:t>
      </w:r>
      <w:r w:rsidR="00AF18A5">
        <w:t>el</w:t>
      </w:r>
      <w:r w:rsidR="00AF18A5">
        <w:rPr>
          <w:spacing w:val="-3"/>
        </w:rPr>
        <w:t xml:space="preserve"> </w:t>
      </w:r>
      <w:r w:rsidR="00AF18A5">
        <w:t>Congreso</w:t>
      </w:r>
      <w:r w:rsidR="00AF18A5">
        <w:rPr>
          <w:spacing w:val="-4"/>
        </w:rPr>
        <w:t xml:space="preserve"> </w:t>
      </w:r>
      <w:r w:rsidR="00AF18A5">
        <w:t>de</w:t>
      </w:r>
      <w:r w:rsidR="00AF18A5">
        <w:rPr>
          <w:spacing w:val="-5"/>
        </w:rPr>
        <w:t xml:space="preserve"> </w:t>
      </w:r>
      <w:r w:rsidR="00AF18A5">
        <w:t>la</w:t>
      </w:r>
      <w:r w:rsidR="00AF18A5">
        <w:rPr>
          <w:spacing w:val="-6"/>
        </w:rPr>
        <w:t xml:space="preserve"> </w:t>
      </w:r>
      <w:r w:rsidR="00AF18A5">
        <w:t>República,</w:t>
      </w:r>
      <w:r w:rsidR="00AF18A5">
        <w:rPr>
          <w:spacing w:val="-5"/>
        </w:rPr>
        <w:t xml:space="preserve"> </w:t>
      </w:r>
      <w:r w:rsidR="00AF18A5">
        <w:t>a</w:t>
      </w:r>
      <w:r w:rsidR="00AF18A5">
        <w:rPr>
          <w:spacing w:val="-5"/>
        </w:rPr>
        <w:t xml:space="preserve"> </w:t>
      </w:r>
      <w:r w:rsidR="00AF18A5">
        <w:t>partir</w:t>
      </w:r>
      <w:r w:rsidR="00AF18A5">
        <w:rPr>
          <w:spacing w:val="-4"/>
        </w:rPr>
        <w:t xml:space="preserve"> </w:t>
      </w:r>
      <w:r w:rsidR="00AF18A5">
        <w:t>de</w:t>
      </w:r>
      <w:r w:rsidR="00AF18A5">
        <w:rPr>
          <w:spacing w:val="-3"/>
        </w:rPr>
        <w:t xml:space="preserve"> </w:t>
      </w:r>
      <w:r w:rsidR="00AF18A5">
        <w:t>un</w:t>
      </w:r>
      <w:r w:rsidR="00AF18A5">
        <w:rPr>
          <w:spacing w:val="-5"/>
        </w:rPr>
        <w:t xml:space="preserve"> </w:t>
      </w:r>
      <w:r w:rsidR="00AF18A5">
        <w:t>diálogo</w:t>
      </w:r>
      <w:r w:rsidR="00AF18A5">
        <w:rPr>
          <w:spacing w:val="-5"/>
        </w:rPr>
        <w:t xml:space="preserve"> </w:t>
      </w:r>
      <w:r w:rsidR="00AF18A5">
        <w:t xml:space="preserve">amplio, participativo y transparente, </w:t>
      </w:r>
      <w:r w:rsidR="00AF18A5">
        <w:rPr>
          <w:b/>
        </w:rPr>
        <w:t xml:space="preserve">definir el trazado de la frontera agraria </w:t>
      </w:r>
      <w:r w:rsidR="00AF18A5">
        <w:t>según necesidades ambientales, sociales y económicas y darle fuerza vinculante</w:t>
      </w:r>
      <w:r>
        <w:rPr>
          <w:rStyle w:val="Refdenotaalpie"/>
        </w:rPr>
        <w:footnoteReference w:id="1275"/>
      </w:r>
      <w:r w:rsidR="00AF18A5">
        <w:t>; y desarrollar regímenes especiales inspirados en prácticas tradicionales, que contemplen figuras jurídicas como la adjudicación, los contratos de uso, las concesiones de tierras, y los pagos por servicios ambientales, entre otras, para comunidades rurales ubicadas históricamente en áreas protegidas,</w:t>
      </w:r>
      <w:r w:rsidR="00AF18A5">
        <w:rPr>
          <w:spacing w:val="-8"/>
        </w:rPr>
        <w:t xml:space="preserve"> </w:t>
      </w:r>
      <w:r w:rsidR="00AF18A5">
        <w:t>de</w:t>
      </w:r>
      <w:r w:rsidR="00AF18A5">
        <w:rPr>
          <w:spacing w:val="-8"/>
        </w:rPr>
        <w:t xml:space="preserve"> </w:t>
      </w:r>
      <w:r w:rsidR="00AF18A5">
        <w:t>modo</w:t>
      </w:r>
      <w:r w:rsidR="00AF18A5">
        <w:rPr>
          <w:spacing w:val="-8"/>
        </w:rPr>
        <w:t xml:space="preserve"> </w:t>
      </w:r>
      <w:r w:rsidR="00AF18A5">
        <w:t>que</w:t>
      </w:r>
      <w:r w:rsidR="00AF18A5">
        <w:rPr>
          <w:spacing w:val="-8"/>
        </w:rPr>
        <w:t xml:space="preserve"> </w:t>
      </w:r>
      <w:r w:rsidR="00AF18A5">
        <w:t>se</w:t>
      </w:r>
      <w:r w:rsidR="00AF18A5">
        <w:rPr>
          <w:spacing w:val="-8"/>
        </w:rPr>
        <w:t xml:space="preserve"> </w:t>
      </w:r>
      <w:r w:rsidR="00AF18A5">
        <w:t>haga</w:t>
      </w:r>
      <w:r w:rsidR="00AF18A5">
        <w:rPr>
          <w:spacing w:val="-8"/>
        </w:rPr>
        <w:t xml:space="preserve"> </w:t>
      </w:r>
      <w:r w:rsidR="00AF18A5">
        <w:t>compatible</w:t>
      </w:r>
      <w:r w:rsidR="00AF18A5">
        <w:rPr>
          <w:spacing w:val="-8"/>
        </w:rPr>
        <w:t xml:space="preserve"> </w:t>
      </w:r>
      <w:r w:rsidR="00AF18A5">
        <w:t>su</w:t>
      </w:r>
      <w:r w:rsidR="00AF18A5">
        <w:rPr>
          <w:spacing w:val="-8"/>
        </w:rPr>
        <w:t xml:space="preserve"> </w:t>
      </w:r>
      <w:r w:rsidR="00AF18A5">
        <w:t>inclusión</w:t>
      </w:r>
      <w:r w:rsidR="00AF18A5">
        <w:rPr>
          <w:spacing w:val="-8"/>
        </w:rPr>
        <w:t xml:space="preserve"> </w:t>
      </w:r>
      <w:r w:rsidR="00AF18A5">
        <w:t>social</w:t>
      </w:r>
      <w:r w:rsidR="00AF18A5">
        <w:rPr>
          <w:spacing w:val="-8"/>
        </w:rPr>
        <w:t xml:space="preserve"> </w:t>
      </w:r>
      <w:r w:rsidR="00AF18A5">
        <w:t>y</w:t>
      </w:r>
      <w:r w:rsidR="00AF18A5">
        <w:rPr>
          <w:spacing w:val="-8"/>
        </w:rPr>
        <w:t xml:space="preserve"> </w:t>
      </w:r>
      <w:r w:rsidR="00AF18A5">
        <w:t>productiva</w:t>
      </w:r>
      <w:r w:rsidR="00AF18A5">
        <w:rPr>
          <w:spacing w:val="-8"/>
        </w:rPr>
        <w:t xml:space="preserve"> </w:t>
      </w:r>
      <w:r w:rsidR="00AF18A5">
        <w:t>con</w:t>
      </w:r>
      <w:r w:rsidR="00AF18A5">
        <w:rPr>
          <w:spacing w:val="-8"/>
        </w:rPr>
        <w:t xml:space="preserve"> </w:t>
      </w:r>
      <w:r w:rsidR="00AF18A5">
        <w:t>los</w:t>
      </w:r>
      <w:r w:rsidR="00AF18A5">
        <w:rPr>
          <w:spacing w:val="-8"/>
        </w:rPr>
        <w:t xml:space="preserve"> </w:t>
      </w:r>
      <w:r w:rsidR="00AF18A5">
        <w:t>fines</w:t>
      </w:r>
      <w:r w:rsidR="00AF18A5">
        <w:rPr>
          <w:spacing w:val="-8"/>
        </w:rPr>
        <w:t xml:space="preserve"> </w:t>
      </w:r>
      <w:r w:rsidR="00AF18A5">
        <w:t xml:space="preserve">de </w:t>
      </w:r>
      <w:r w:rsidR="00AF18A5">
        <w:rPr>
          <w:spacing w:val="-2"/>
        </w:rPr>
        <w:t>conservación.</w:t>
      </w:r>
    </w:p>
    <w:p w:rsidR="0011361F" w:rsidRDefault="00AF18A5" w:rsidP="00B93F6A">
      <w:r>
        <w:t>Mediano</w:t>
      </w:r>
      <w:r>
        <w:rPr>
          <w:spacing w:val="-3"/>
        </w:rPr>
        <w:t xml:space="preserve"> </w:t>
      </w:r>
      <w:r>
        <w:rPr>
          <w:spacing w:val="-2"/>
        </w:rPr>
        <w:t>plazo</w:t>
      </w:r>
    </w:p>
    <w:p w:rsidR="0011361F" w:rsidRDefault="002B6293" w:rsidP="002B6293">
      <w:r>
        <w:t xml:space="preserve">52.3. </w:t>
      </w:r>
      <w:r w:rsidR="00AF18A5">
        <w:t>Al</w:t>
      </w:r>
      <w:r w:rsidR="00AF18A5">
        <w:rPr>
          <w:spacing w:val="-8"/>
        </w:rPr>
        <w:t xml:space="preserve"> </w:t>
      </w:r>
      <w:r w:rsidR="00AF18A5">
        <w:t>Gobierno</w:t>
      </w:r>
      <w:r w:rsidR="00AF18A5">
        <w:rPr>
          <w:spacing w:val="-8"/>
        </w:rPr>
        <w:t xml:space="preserve"> </w:t>
      </w:r>
      <w:r w:rsidR="00AF18A5">
        <w:t>nacional</w:t>
      </w:r>
      <w:r w:rsidR="00AF18A5">
        <w:rPr>
          <w:spacing w:val="-8"/>
        </w:rPr>
        <w:t xml:space="preserve"> </w:t>
      </w:r>
      <w:r w:rsidR="00AF18A5">
        <w:t>y</w:t>
      </w:r>
      <w:r w:rsidR="00AF18A5">
        <w:rPr>
          <w:spacing w:val="-8"/>
        </w:rPr>
        <w:t xml:space="preserve"> </w:t>
      </w:r>
      <w:r w:rsidR="00AF18A5">
        <w:t>al</w:t>
      </w:r>
      <w:r w:rsidR="00AF18A5">
        <w:rPr>
          <w:spacing w:val="-8"/>
        </w:rPr>
        <w:t xml:space="preserve"> </w:t>
      </w:r>
      <w:r w:rsidR="00AF18A5">
        <w:t>Congreso</w:t>
      </w:r>
      <w:r w:rsidR="00AF18A5">
        <w:rPr>
          <w:spacing w:val="-8"/>
        </w:rPr>
        <w:t xml:space="preserve"> </w:t>
      </w:r>
      <w:r w:rsidR="00AF18A5">
        <w:t>de</w:t>
      </w:r>
      <w:r w:rsidR="00AF18A5">
        <w:rPr>
          <w:spacing w:val="-9"/>
        </w:rPr>
        <w:t xml:space="preserve"> </w:t>
      </w:r>
      <w:r w:rsidR="00AF18A5">
        <w:t>la</w:t>
      </w:r>
      <w:r w:rsidR="00AF18A5">
        <w:rPr>
          <w:spacing w:val="-9"/>
        </w:rPr>
        <w:t xml:space="preserve"> </w:t>
      </w:r>
      <w:r w:rsidR="00AF18A5">
        <w:t>República</w:t>
      </w:r>
      <w:r w:rsidR="00AF18A5">
        <w:rPr>
          <w:spacing w:val="-9"/>
        </w:rPr>
        <w:t xml:space="preserve"> </w:t>
      </w:r>
      <w:r w:rsidR="00AF18A5">
        <w:t>formular</w:t>
      </w:r>
      <w:r w:rsidR="00AF18A5">
        <w:rPr>
          <w:spacing w:val="-8"/>
        </w:rPr>
        <w:t xml:space="preserve"> </w:t>
      </w:r>
      <w:r w:rsidR="00AF18A5">
        <w:t>una</w:t>
      </w:r>
      <w:r w:rsidR="00AF18A5">
        <w:rPr>
          <w:spacing w:val="-9"/>
        </w:rPr>
        <w:t xml:space="preserve"> </w:t>
      </w:r>
      <w:r w:rsidR="00AF18A5">
        <w:rPr>
          <w:b/>
        </w:rPr>
        <w:t>legislación</w:t>
      </w:r>
      <w:r w:rsidR="00AF18A5">
        <w:rPr>
          <w:b/>
          <w:spacing w:val="-9"/>
        </w:rPr>
        <w:t xml:space="preserve"> </w:t>
      </w:r>
      <w:r w:rsidR="00AF18A5">
        <w:rPr>
          <w:b/>
        </w:rPr>
        <w:t>sobre acumulación indebida de baldíos</w:t>
      </w:r>
      <w:r w:rsidR="00AF18A5">
        <w:t xml:space="preserve">, que contemple </w:t>
      </w:r>
      <w:r w:rsidR="00AF18A5">
        <w:lastRenderedPageBreak/>
        <w:t>un tratamiento diferenciado para los sujetos de especial protección constitucional según su grado de vulnerabilidad, el tiempo y el modo de ocupación, entre otros criterios de equidad, y las características agroecológicas del</w:t>
      </w:r>
      <w:r w:rsidR="00AF18A5">
        <w:rPr>
          <w:spacing w:val="-6"/>
        </w:rPr>
        <w:t xml:space="preserve"> </w:t>
      </w:r>
      <w:r w:rsidR="00AF18A5">
        <w:t>predio</w:t>
      </w:r>
      <w:r>
        <w:rPr>
          <w:rStyle w:val="Refdenotaalpie"/>
        </w:rPr>
        <w:footnoteReference w:id="1276"/>
      </w:r>
      <w:r w:rsidR="00AF18A5">
        <w:t>.</w:t>
      </w:r>
      <w:r w:rsidR="00AF18A5">
        <w:rPr>
          <w:spacing w:val="-6"/>
        </w:rPr>
        <w:t xml:space="preserve"> </w:t>
      </w:r>
      <w:r w:rsidR="00AF18A5">
        <w:t>Esta</w:t>
      </w:r>
      <w:r w:rsidR="00AF18A5">
        <w:rPr>
          <w:spacing w:val="-6"/>
        </w:rPr>
        <w:t xml:space="preserve"> </w:t>
      </w:r>
      <w:r w:rsidR="00AF18A5">
        <w:t>debe</w:t>
      </w:r>
      <w:r w:rsidR="00AF18A5">
        <w:rPr>
          <w:spacing w:val="-6"/>
        </w:rPr>
        <w:t xml:space="preserve"> </w:t>
      </w:r>
      <w:r w:rsidR="00AF18A5">
        <w:t>ofrecer</w:t>
      </w:r>
      <w:r w:rsidR="00AF18A5">
        <w:rPr>
          <w:spacing w:val="-6"/>
        </w:rPr>
        <w:t xml:space="preserve"> </w:t>
      </w:r>
      <w:r w:rsidR="00AF18A5">
        <w:t>incentivos</w:t>
      </w:r>
      <w:r w:rsidR="00AF18A5">
        <w:rPr>
          <w:spacing w:val="-6"/>
        </w:rPr>
        <w:t xml:space="preserve"> </w:t>
      </w:r>
      <w:r w:rsidR="00AF18A5">
        <w:t>a</w:t>
      </w:r>
      <w:r w:rsidR="00AF18A5">
        <w:rPr>
          <w:spacing w:val="-6"/>
        </w:rPr>
        <w:t xml:space="preserve"> </w:t>
      </w:r>
      <w:r w:rsidR="00AF18A5">
        <w:t>ocupantes</w:t>
      </w:r>
      <w:r w:rsidR="00AF18A5">
        <w:rPr>
          <w:spacing w:val="-6"/>
        </w:rPr>
        <w:t xml:space="preserve"> </w:t>
      </w:r>
      <w:r w:rsidR="00AF18A5">
        <w:t>irregulares</w:t>
      </w:r>
      <w:r w:rsidR="00AF18A5">
        <w:rPr>
          <w:spacing w:val="-6"/>
        </w:rPr>
        <w:t xml:space="preserve"> </w:t>
      </w:r>
      <w:r w:rsidR="00AF18A5">
        <w:t>para</w:t>
      </w:r>
      <w:r w:rsidR="00AF18A5">
        <w:rPr>
          <w:spacing w:val="-6"/>
        </w:rPr>
        <w:t xml:space="preserve"> </w:t>
      </w:r>
      <w:r w:rsidR="00AF18A5">
        <w:t>que</w:t>
      </w:r>
      <w:r w:rsidR="00AF18A5">
        <w:rPr>
          <w:spacing w:val="-7"/>
        </w:rPr>
        <w:t xml:space="preserve"> </w:t>
      </w:r>
      <w:r w:rsidR="00AF18A5">
        <w:t>contribuyan</w:t>
      </w:r>
      <w:r w:rsidR="00AF18A5">
        <w:rPr>
          <w:spacing w:val="-7"/>
        </w:rPr>
        <w:t xml:space="preserve"> </w:t>
      </w:r>
      <w:r w:rsidR="00AF18A5">
        <w:t>a</w:t>
      </w:r>
      <w:r w:rsidR="00AF18A5">
        <w:rPr>
          <w:spacing w:val="-7"/>
        </w:rPr>
        <w:t xml:space="preserve"> </w:t>
      </w:r>
      <w:r w:rsidR="00AF18A5">
        <w:t>la recuperación, reversión o regularización de baldíos.</w:t>
      </w:r>
    </w:p>
    <w:p w:rsidR="0011361F" w:rsidRDefault="00AF18A5" w:rsidP="002B6293">
      <w:bookmarkStart w:id="1671" w:name="_bookmark1445"/>
      <w:bookmarkStart w:id="1672" w:name="_bookmark1446"/>
      <w:bookmarkStart w:id="1673" w:name="_bookmark1447"/>
      <w:bookmarkEnd w:id="1671"/>
      <w:bookmarkEnd w:id="1672"/>
      <w:bookmarkEnd w:id="1673"/>
      <w:r>
        <w:t>Mediano</w:t>
      </w:r>
      <w:r>
        <w:rPr>
          <w:spacing w:val="-3"/>
        </w:rPr>
        <w:t xml:space="preserve"> </w:t>
      </w:r>
      <w:r>
        <w:rPr>
          <w:spacing w:val="-2"/>
        </w:rPr>
        <w:t>plazo</w:t>
      </w:r>
    </w:p>
    <w:p w:rsidR="0011361F" w:rsidRDefault="002B6293" w:rsidP="002B6293">
      <w:r>
        <w:t xml:space="preserve">52.4. </w:t>
      </w:r>
      <w:r w:rsidR="00AF18A5">
        <w:t xml:space="preserve">Al Gobierno Nacional, avanzar con los procesos de revisión y aprobación de las solicitudes de las </w:t>
      </w:r>
      <w:r w:rsidR="00AF18A5">
        <w:rPr>
          <w:b/>
        </w:rPr>
        <w:t>Zonas de Reserva Campesina</w:t>
      </w:r>
      <w:r w:rsidR="00AF18A5">
        <w:t>, garantizar la transparencia en el proceso de</w:t>
      </w:r>
      <w:r w:rsidR="00AF18A5">
        <w:rPr>
          <w:spacing w:val="-11"/>
        </w:rPr>
        <w:t xml:space="preserve"> </w:t>
      </w:r>
      <w:r w:rsidR="00AF18A5">
        <w:t>toma</w:t>
      </w:r>
      <w:r w:rsidR="00AF18A5">
        <w:rPr>
          <w:spacing w:val="-11"/>
        </w:rPr>
        <w:t xml:space="preserve"> </w:t>
      </w:r>
      <w:r w:rsidR="00AF18A5">
        <w:t>de</w:t>
      </w:r>
      <w:r w:rsidR="00AF18A5">
        <w:rPr>
          <w:spacing w:val="-11"/>
        </w:rPr>
        <w:t xml:space="preserve"> </w:t>
      </w:r>
      <w:r w:rsidR="00AF18A5">
        <w:t>decisiones</w:t>
      </w:r>
      <w:r w:rsidR="00AF18A5">
        <w:rPr>
          <w:spacing w:val="-11"/>
        </w:rPr>
        <w:t xml:space="preserve"> </w:t>
      </w:r>
      <w:r w:rsidR="00AF18A5">
        <w:t>al</w:t>
      </w:r>
      <w:r w:rsidR="00AF18A5">
        <w:rPr>
          <w:spacing w:val="-12"/>
        </w:rPr>
        <w:t xml:space="preserve"> </w:t>
      </w:r>
      <w:r w:rsidR="00AF18A5">
        <w:t>respecto;</w:t>
      </w:r>
      <w:r w:rsidR="00AF18A5">
        <w:rPr>
          <w:spacing w:val="-10"/>
        </w:rPr>
        <w:t xml:space="preserve"> </w:t>
      </w:r>
      <w:r w:rsidR="00AF18A5">
        <w:t>y</w:t>
      </w:r>
      <w:r w:rsidR="00AF18A5">
        <w:rPr>
          <w:spacing w:val="-12"/>
        </w:rPr>
        <w:t xml:space="preserve"> </w:t>
      </w:r>
      <w:r w:rsidR="00AF18A5">
        <w:t>concluir</w:t>
      </w:r>
      <w:r w:rsidR="00AF18A5">
        <w:rPr>
          <w:spacing w:val="-10"/>
        </w:rPr>
        <w:t xml:space="preserve"> </w:t>
      </w:r>
      <w:r w:rsidR="00AF18A5">
        <w:t>la</w:t>
      </w:r>
      <w:r w:rsidR="00AF18A5">
        <w:rPr>
          <w:spacing w:val="-12"/>
        </w:rPr>
        <w:t xml:space="preserve"> </w:t>
      </w:r>
      <w:r w:rsidR="00AF18A5">
        <w:t>actualización</w:t>
      </w:r>
      <w:r w:rsidR="00AF18A5">
        <w:rPr>
          <w:spacing w:val="-11"/>
        </w:rPr>
        <w:t xml:space="preserve"> </w:t>
      </w:r>
      <w:r w:rsidR="00AF18A5">
        <w:t>e</w:t>
      </w:r>
      <w:r w:rsidR="00AF18A5">
        <w:rPr>
          <w:spacing w:val="-12"/>
        </w:rPr>
        <w:t xml:space="preserve"> </w:t>
      </w:r>
      <w:r w:rsidR="00AF18A5">
        <w:t>implementación</w:t>
      </w:r>
      <w:r w:rsidR="00AF18A5">
        <w:rPr>
          <w:spacing w:val="-11"/>
        </w:rPr>
        <w:t xml:space="preserve"> </w:t>
      </w:r>
      <w:r w:rsidR="00AF18A5">
        <w:t>de</w:t>
      </w:r>
      <w:r w:rsidR="00AF18A5">
        <w:rPr>
          <w:spacing w:val="-11"/>
        </w:rPr>
        <w:t xml:space="preserve"> </w:t>
      </w:r>
      <w:r w:rsidR="00AF18A5">
        <w:t>sus</w:t>
      </w:r>
      <w:r w:rsidR="00AF18A5">
        <w:rPr>
          <w:spacing w:val="-11"/>
        </w:rPr>
        <w:t xml:space="preserve"> </w:t>
      </w:r>
      <w:r w:rsidR="00AF18A5">
        <w:t>planes de desarrollo y ordenamiento territorial, garantizando su financiación y articulación con los planes territoriales y el Plan Nacional de Desarrollo</w:t>
      </w:r>
      <w:r>
        <w:rPr>
          <w:rStyle w:val="Refdenotaalpie"/>
        </w:rPr>
        <w:footnoteReference w:id="1277"/>
      </w:r>
      <w:r w:rsidR="00AF18A5">
        <w:t>.</w:t>
      </w:r>
    </w:p>
    <w:p w:rsidR="0011361F" w:rsidRDefault="00AF18A5" w:rsidP="002B6293">
      <w:r>
        <w:t>Mediano</w:t>
      </w:r>
      <w:r>
        <w:rPr>
          <w:spacing w:val="-3"/>
        </w:rPr>
        <w:t xml:space="preserve"> </w:t>
      </w:r>
      <w:r>
        <w:rPr>
          <w:spacing w:val="-2"/>
        </w:rPr>
        <w:t>plazo</w:t>
      </w:r>
    </w:p>
    <w:p w:rsidR="003804AC" w:rsidRDefault="002B6293" w:rsidP="002B6293">
      <w:r>
        <w:t xml:space="preserve">52.5. </w:t>
      </w:r>
      <w:r w:rsidR="00AF18A5">
        <w:t>Al</w:t>
      </w:r>
      <w:r w:rsidR="00AF18A5">
        <w:rPr>
          <w:spacing w:val="-14"/>
        </w:rPr>
        <w:t xml:space="preserve"> </w:t>
      </w:r>
      <w:r w:rsidR="00AF18A5">
        <w:t>Gobierno</w:t>
      </w:r>
      <w:r w:rsidR="00AF18A5">
        <w:rPr>
          <w:spacing w:val="-14"/>
        </w:rPr>
        <w:t xml:space="preserve"> </w:t>
      </w:r>
      <w:r w:rsidR="00AF18A5">
        <w:t>nacional,</w:t>
      </w:r>
      <w:r w:rsidR="00AF18A5">
        <w:rPr>
          <w:spacing w:val="-14"/>
        </w:rPr>
        <w:t xml:space="preserve"> </w:t>
      </w:r>
      <w:r w:rsidR="00AF18A5">
        <w:t>definir</w:t>
      </w:r>
      <w:r w:rsidR="00AF18A5">
        <w:rPr>
          <w:spacing w:val="-14"/>
        </w:rPr>
        <w:t xml:space="preserve"> </w:t>
      </w:r>
      <w:r w:rsidR="00AF18A5">
        <w:t>concertadamente</w:t>
      </w:r>
      <w:r w:rsidR="00AF18A5">
        <w:rPr>
          <w:spacing w:val="-14"/>
        </w:rPr>
        <w:t xml:space="preserve"> </w:t>
      </w:r>
      <w:r w:rsidR="00AF18A5">
        <w:t>con</w:t>
      </w:r>
      <w:r w:rsidR="00AF18A5">
        <w:rPr>
          <w:spacing w:val="-15"/>
        </w:rPr>
        <w:t xml:space="preserve"> </w:t>
      </w:r>
      <w:r w:rsidR="00AF18A5">
        <w:t>los</w:t>
      </w:r>
      <w:r w:rsidR="00AF18A5">
        <w:rPr>
          <w:spacing w:val="-14"/>
        </w:rPr>
        <w:t xml:space="preserve"> </w:t>
      </w:r>
      <w:r w:rsidR="00AF18A5">
        <w:rPr>
          <w:b/>
        </w:rPr>
        <w:t>pueblos</w:t>
      </w:r>
      <w:r w:rsidR="00AF18A5">
        <w:rPr>
          <w:b/>
          <w:spacing w:val="-14"/>
        </w:rPr>
        <w:t xml:space="preserve"> </w:t>
      </w:r>
      <w:r w:rsidR="00AF18A5">
        <w:rPr>
          <w:b/>
        </w:rPr>
        <w:t>étnicos</w:t>
      </w:r>
      <w:r w:rsidR="00AF18A5">
        <w:rPr>
          <w:b/>
          <w:spacing w:val="-13"/>
        </w:rPr>
        <w:t xml:space="preserve"> </w:t>
      </w:r>
      <w:r w:rsidR="00AF18A5">
        <w:t>un</w:t>
      </w:r>
      <w:r w:rsidR="00AF18A5">
        <w:rPr>
          <w:spacing w:val="-14"/>
        </w:rPr>
        <w:t xml:space="preserve"> </w:t>
      </w:r>
      <w:r w:rsidR="00AF18A5">
        <w:t>plan</w:t>
      </w:r>
      <w:r w:rsidR="00AF18A5">
        <w:rPr>
          <w:spacing w:val="-14"/>
        </w:rPr>
        <w:t xml:space="preserve"> </w:t>
      </w:r>
      <w:r w:rsidR="00AF18A5">
        <w:t xml:space="preserve">para dar respuesta oportuna a solicitudes de constitución, ampliación, saneamiento, titulación, demarcación, regulación de uso y resolución de conflictos relacionadas con sus territorios. Es necesario que este </w:t>
      </w:r>
      <w:r w:rsidR="00AF18A5">
        <w:rPr>
          <w:b/>
        </w:rPr>
        <w:t xml:space="preserve">priorice a los pueblos en riesgo de </w:t>
      </w:r>
      <w:r w:rsidR="00AF18A5">
        <w:rPr>
          <w:b/>
        </w:rPr>
        <w:lastRenderedPageBreak/>
        <w:t xml:space="preserve">extinción física y cultural </w:t>
      </w:r>
      <w:r w:rsidR="00AF18A5">
        <w:t>o en un alto grado de vulnerabilidad.</w:t>
      </w:r>
    </w:p>
    <w:p w:rsidR="0011361F" w:rsidRDefault="00AF18A5" w:rsidP="002B6293">
      <w:r>
        <w:t>Mediano</w:t>
      </w:r>
      <w:r>
        <w:rPr>
          <w:spacing w:val="-3"/>
        </w:rPr>
        <w:t xml:space="preserve"> </w:t>
      </w:r>
      <w:r>
        <w:rPr>
          <w:spacing w:val="-2"/>
        </w:rPr>
        <w:t>plazo</w:t>
      </w:r>
    </w:p>
    <w:p w:rsidR="0011361F" w:rsidRDefault="002B6293" w:rsidP="002B6293">
      <w:r>
        <w:t xml:space="preserve">52.6. </w:t>
      </w:r>
      <w:r w:rsidR="00AF18A5">
        <w:t>Al Congreso de la República, Gobierno Nacional y gobiernos y concejos municipales,</w:t>
      </w:r>
      <w:r w:rsidR="00AF18A5">
        <w:rPr>
          <w:spacing w:val="-1"/>
        </w:rPr>
        <w:t xml:space="preserve"> </w:t>
      </w:r>
      <w:r w:rsidR="00AF18A5">
        <w:t xml:space="preserve">diseñar y ejecutar un plan de fijación y cobro del </w:t>
      </w:r>
      <w:r w:rsidR="00AF18A5">
        <w:rPr>
          <w:b/>
        </w:rPr>
        <w:t>impuesto</w:t>
      </w:r>
      <w:r w:rsidR="00AF18A5">
        <w:rPr>
          <w:b/>
          <w:spacing w:val="-1"/>
        </w:rPr>
        <w:t xml:space="preserve"> </w:t>
      </w:r>
      <w:r w:rsidR="00AF18A5">
        <w:rPr>
          <w:b/>
        </w:rPr>
        <w:t>predial</w:t>
      </w:r>
      <w:r>
        <w:rPr>
          <w:rStyle w:val="Refdenotaalpie"/>
          <w:b/>
        </w:rPr>
        <w:footnoteReference w:id="1278"/>
      </w:r>
      <w:r w:rsidR="00AF18A5">
        <w:rPr>
          <w:b/>
        </w:rPr>
        <w:t xml:space="preserve"> </w:t>
      </w:r>
      <w:r w:rsidR="00AF18A5">
        <w:t>basado en el principio de progresividad, que aumente efectivamente el recaudo fiscal de los municipios,</w:t>
      </w:r>
      <w:r w:rsidR="00AF18A5">
        <w:rPr>
          <w:spacing w:val="-6"/>
        </w:rPr>
        <w:t xml:space="preserve"> </w:t>
      </w:r>
      <w:r w:rsidR="00AF18A5">
        <w:t>contribuya</w:t>
      </w:r>
      <w:r w:rsidR="00AF18A5">
        <w:rPr>
          <w:spacing w:val="-5"/>
        </w:rPr>
        <w:t xml:space="preserve"> </w:t>
      </w:r>
      <w:r w:rsidR="00AF18A5">
        <w:t>a</w:t>
      </w:r>
      <w:r w:rsidR="00AF18A5">
        <w:rPr>
          <w:spacing w:val="-6"/>
        </w:rPr>
        <w:t xml:space="preserve"> </w:t>
      </w:r>
      <w:r w:rsidR="00AF18A5">
        <w:t>una</w:t>
      </w:r>
      <w:r w:rsidR="00AF18A5">
        <w:rPr>
          <w:spacing w:val="-5"/>
        </w:rPr>
        <w:t xml:space="preserve"> </w:t>
      </w:r>
      <w:r w:rsidR="00AF18A5">
        <w:t>distribución</w:t>
      </w:r>
      <w:r w:rsidR="00AF18A5">
        <w:rPr>
          <w:spacing w:val="-5"/>
        </w:rPr>
        <w:t xml:space="preserve"> </w:t>
      </w:r>
      <w:r w:rsidR="00AF18A5">
        <w:t>más</w:t>
      </w:r>
      <w:r w:rsidR="00AF18A5">
        <w:rPr>
          <w:spacing w:val="-5"/>
        </w:rPr>
        <w:t xml:space="preserve"> </w:t>
      </w:r>
      <w:r w:rsidR="00AF18A5">
        <w:t>equitativa</w:t>
      </w:r>
      <w:r w:rsidR="00AF18A5">
        <w:rPr>
          <w:spacing w:val="-5"/>
        </w:rPr>
        <w:t xml:space="preserve"> </w:t>
      </w:r>
      <w:r w:rsidR="00AF18A5">
        <w:t>de</w:t>
      </w:r>
      <w:r w:rsidR="00AF18A5">
        <w:rPr>
          <w:spacing w:val="-5"/>
        </w:rPr>
        <w:t xml:space="preserve"> </w:t>
      </w:r>
      <w:r w:rsidR="00AF18A5">
        <w:t>la</w:t>
      </w:r>
      <w:r w:rsidR="00AF18A5">
        <w:rPr>
          <w:spacing w:val="-5"/>
        </w:rPr>
        <w:t xml:space="preserve"> </w:t>
      </w:r>
      <w:r w:rsidR="00AF18A5">
        <w:t>tierra</w:t>
      </w:r>
      <w:r w:rsidR="00AF18A5">
        <w:rPr>
          <w:spacing w:val="-5"/>
        </w:rPr>
        <w:t xml:space="preserve"> </w:t>
      </w:r>
      <w:r w:rsidR="00AF18A5">
        <w:t>y</w:t>
      </w:r>
      <w:r w:rsidR="00AF18A5">
        <w:rPr>
          <w:spacing w:val="-5"/>
        </w:rPr>
        <w:t xml:space="preserve"> </w:t>
      </w:r>
      <w:r w:rsidR="00AF18A5">
        <w:t>fomente</w:t>
      </w:r>
      <w:r w:rsidR="00AF18A5">
        <w:rPr>
          <w:spacing w:val="-5"/>
        </w:rPr>
        <w:t xml:space="preserve"> </w:t>
      </w:r>
      <w:r w:rsidR="00AF18A5">
        <w:t>la</w:t>
      </w:r>
      <w:r w:rsidR="00AF18A5">
        <w:rPr>
          <w:spacing w:val="-5"/>
        </w:rPr>
        <w:t xml:space="preserve"> </w:t>
      </w:r>
      <w:r w:rsidR="00AF18A5">
        <w:t>protección y el uso adecuado de ecosistemas y recursos naturales, y la producción ambientalmente sostenible de alimentos. Para lo anterior, se recomienda crear un sistema de incentivos que recompensen el aumento efectivo del recaudo por parte de las entidades territoriales.</w:t>
      </w:r>
    </w:p>
    <w:p w:rsidR="003804AC" w:rsidRPr="009A688F" w:rsidRDefault="009A688F" w:rsidP="009A688F">
      <w:pPr>
        <w:pStyle w:val="Ttulo3"/>
      </w:pPr>
      <w:bookmarkStart w:id="1674" w:name="_bookmark1448"/>
      <w:bookmarkStart w:id="1675" w:name="_bookmark1449"/>
      <w:bookmarkStart w:id="1676" w:name="7.4._Uso_sostenible_de_tierras_y_territo"/>
      <w:bookmarkStart w:id="1677" w:name="_Toc112399719"/>
      <w:bookmarkEnd w:id="1674"/>
      <w:bookmarkEnd w:id="1675"/>
      <w:bookmarkEnd w:id="1676"/>
      <w:r>
        <w:t xml:space="preserve">7.4. </w:t>
      </w:r>
      <w:r w:rsidR="00AF18A5" w:rsidRPr="009A688F">
        <w:t>Uso sostenible de tierras y territorios, y prevención y gestión de conflictos socioambientales</w:t>
      </w:r>
      <w:bookmarkEnd w:id="1677"/>
    </w:p>
    <w:p w:rsidR="0011361F" w:rsidRDefault="00AF18A5" w:rsidP="00AD04CF">
      <w:r>
        <w:t>Mediano</w:t>
      </w:r>
      <w:r>
        <w:rPr>
          <w:spacing w:val="-3"/>
        </w:rPr>
        <w:t xml:space="preserve"> </w:t>
      </w:r>
      <w:r>
        <w:rPr>
          <w:spacing w:val="-2"/>
        </w:rPr>
        <w:t>plazo</w:t>
      </w:r>
    </w:p>
    <w:p w:rsidR="003804AC" w:rsidRPr="00AD04CF" w:rsidRDefault="00AF18A5" w:rsidP="00AD04CF">
      <w:pPr>
        <w:pStyle w:val="Prrafodelista"/>
        <w:numPr>
          <w:ilvl w:val="0"/>
          <w:numId w:val="31"/>
        </w:numPr>
        <w:rPr>
          <w:b/>
        </w:rPr>
      </w:pPr>
      <w:r>
        <w:t xml:space="preserve">Al Gobierno Nacional y al Congreso de la República, establecer </w:t>
      </w:r>
      <w:r w:rsidRPr="00AD04CF">
        <w:rPr>
          <w:b/>
        </w:rPr>
        <w:t xml:space="preserve">mecanismos para superar y prevenir los conflictos de uso </w:t>
      </w:r>
      <w:r>
        <w:t>de suelos, subsuelos y cuerpos hídricos, para garantizar los servicios ecosistémicos</w:t>
      </w:r>
      <w:r w:rsidRPr="00AD04CF">
        <w:rPr>
          <w:spacing w:val="-1"/>
        </w:rPr>
        <w:t xml:space="preserve"> </w:t>
      </w:r>
      <w:r>
        <w:t>esenciales,</w:t>
      </w:r>
      <w:r w:rsidRPr="00AD04CF">
        <w:rPr>
          <w:spacing w:val="-1"/>
        </w:rPr>
        <w:t xml:space="preserve"> </w:t>
      </w:r>
      <w:r>
        <w:t>la disponibilidad de tierras de cultivo</w:t>
      </w:r>
      <w:r w:rsidRPr="00AD04CF">
        <w:rPr>
          <w:spacing w:val="-1"/>
        </w:rPr>
        <w:t xml:space="preserve"> </w:t>
      </w:r>
      <w:r>
        <w:t>para garantizar la seguridad y la soberanía alimentarias de la población, y la pervivencia y el bienestar de las comunidades en sus territorios. Entre ellos, sugerimos:</w:t>
      </w:r>
    </w:p>
    <w:p w:rsidR="003804AC" w:rsidRPr="00AD04CF" w:rsidRDefault="00AF18A5" w:rsidP="00AD04CF">
      <w:pPr>
        <w:pStyle w:val="Prrafodelista"/>
        <w:numPr>
          <w:ilvl w:val="0"/>
          <w:numId w:val="59"/>
        </w:numPr>
        <w:rPr>
          <w:rFonts w:ascii="Calibri" w:hAnsi="Calibri"/>
        </w:rPr>
      </w:pPr>
      <w:r>
        <w:t xml:space="preserve">Ajustar el marco normativo e institucional que regula el régimen </w:t>
      </w:r>
      <w:r>
        <w:lastRenderedPageBreak/>
        <w:t>de utilidad</w:t>
      </w:r>
      <w:r w:rsidRPr="00AD04CF">
        <w:rPr>
          <w:spacing w:val="-11"/>
        </w:rPr>
        <w:t xml:space="preserve"> </w:t>
      </w:r>
      <w:r>
        <w:t>pública</w:t>
      </w:r>
      <w:r w:rsidRPr="00AD04CF">
        <w:rPr>
          <w:spacing w:val="-11"/>
        </w:rPr>
        <w:t xml:space="preserve"> </w:t>
      </w:r>
      <w:r>
        <w:t>y</w:t>
      </w:r>
      <w:r w:rsidRPr="00AD04CF">
        <w:rPr>
          <w:spacing w:val="-11"/>
        </w:rPr>
        <w:t xml:space="preserve"> </w:t>
      </w:r>
      <w:r>
        <w:t>de</w:t>
      </w:r>
      <w:r w:rsidRPr="00AD04CF">
        <w:rPr>
          <w:spacing w:val="-11"/>
        </w:rPr>
        <w:t xml:space="preserve"> </w:t>
      </w:r>
      <w:r>
        <w:t>conceptos</w:t>
      </w:r>
      <w:r w:rsidRPr="00AD04CF">
        <w:rPr>
          <w:spacing w:val="-11"/>
        </w:rPr>
        <w:t xml:space="preserve"> </w:t>
      </w:r>
      <w:r>
        <w:t>análogos</w:t>
      </w:r>
      <w:r w:rsidR="00AD04CF">
        <w:rPr>
          <w:rStyle w:val="Refdenotaalpie"/>
        </w:rPr>
        <w:footnoteReference w:id="1279"/>
      </w:r>
      <w:r>
        <w:t>,</w:t>
      </w:r>
      <w:r w:rsidRPr="00AD04CF">
        <w:rPr>
          <w:spacing w:val="-11"/>
        </w:rPr>
        <w:t xml:space="preserve"> </w:t>
      </w:r>
      <w:r>
        <w:t>como</w:t>
      </w:r>
      <w:r w:rsidRPr="00AD04CF">
        <w:rPr>
          <w:spacing w:val="-11"/>
        </w:rPr>
        <w:t xml:space="preserve"> </w:t>
      </w:r>
      <w:r>
        <w:t>interés</w:t>
      </w:r>
      <w:r w:rsidRPr="00AD04CF">
        <w:rPr>
          <w:spacing w:val="-11"/>
        </w:rPr>
        <w:t xml:space="preserve"> </w:t>
      </w:r>
      <w:r>
        <w:t>nacional</w:t>
      </w:r>
      <w:r w:rsidRPr="00AD04CF">
        <w:rPr>
          <w:spacing w:val="-10"/>
        </w:rPr>
        <w:t xml:space="preserve"> </w:t>
      </w:r>
      <w:r>
        <w:t>y</w:t>
      </w:r>
      <w:r w:rsidRPr="00AD04CF">
        <w:rPr>
          <w:spacing w:val="-11"/>
        </w:rPr>
        <w:t xml:space="preserve"> </w:t>
      </w:r>
      <w:r>
        <w:t xml:space="preserve">estratégico, relacionados con proyectos a gran escala o intensivos en el uso territorial (en particular, las actividades de </w:t>
      </w:r>
      <w:proofErr w:type="spellStart"/>
      <w:r>
        <w:t>megaminería</w:t>
      </w:r>
      <w:proofErr w:type="spellEnd"/>
      <w:r>
        <w:t xml:space="preserve"> e hidrocarburos, entre otras). Lo anterior debe hacerse para garantizar la participación efectiva de las comunidades y autoridades territoriales en las decisiones que les afecten y la plena garantía de los derechos humanos, ambientales y territoriales.</w:t>
      </w:r>
    </w:p>
    <w:p w:rsidR="003804AC" w:rsidRDefault="00AF18A5" w:rsidP="00AD04CF">
      <w:pPr>
        <w:pStyle w:val="Prrafodelista"/>
        <w:numPr>
          <w:ilvl w:val="0"/>
          <w:numId w:val="59"/>
        </w:numPr>
      </w:pPr>
      <w:r>
        <w:t xml:space="preserve">Definir estrategias y mecanismos eficientes para la </w:t>
      </w:r>
      <w:r w:rsidRPr="00AD04CF">
        <w:rPr>
          <w:b/>
        </w:rPr>
        <w:t xml:space="preserve">coordinación y concertación de las diversas políticas públicas </w:t>
      </w:r>
      <w:r>
        <w:t>que afecten el suelo, subsuelo, el espacio</w:t>
      </w:r>
      <w:r w:rsidRPr="00AD04CF">
        <w:rPr>
          <w:spacing w:val="-11"/>
        </w:rPr>
        <w:t xml:space="preserve"> </w:t>
      </w:r>
      <w:r>
        <w:t>aéreo,</w:t>
      </w:r>
      <w:r w:rsidRPr="00AD04CF">
        <w:rPr>
          <w:spacing w:val="-11"/>
        </w:rPr>
        <w:t xml:space="preserve"> </w:t>
      </w:r>
      <w:r>
        <w:t>la</w:t>
      </w:r>
      <w:r w:rsidRPr="00AD04CF">
        <w:rPr>
          <w:spacing w:val="-10"/>
        </w:rPr>
        <w:t xml:space="preserve"> </w:t>
      </w:r>
      <w:r>
        <w:t>plataforma</w:t>
      </w:r>
      <w:r w:rsidRPr="00AD04CF">
        <w:rPr>
          <w:spacing w:val="-10"/>
        </w:rPr>
        <w:t xml:space="preserve"> </w:t>
      </w:r>
      <w:r>
        <w:t>submarina</w:t>
      </w:r>
      <w:r w:rsidRPr="00AD04CF">
        <w:rPr>
          <w:spacing w:val="-10"/>
        </w:rPr>
        <w:t xml:space="preserve"> </w:t>
      </w:r>
      <w:r>
        <w:t>o</w:t>
      </w:r>
      <w:r w:rsidRPr="00AD04CF">
        <w:rPr>
          <w:spacing w:val="-11"/>
        </w:rPr>
        <w:t xml:space="preserve"> </w:t>
      </w:r>
      <w:r>
        <w:t>cuerpos</w:t>
      </w:r>
      <w:r w:rsidRPr="00AD04CF">
        <w:rPr>
          <w:spacing w:val="-11"/>
        </w:rPr>
        <w:t xml:space="preserve"> </w:t>
      </w:r>
      <w:r>
        <w:t>hídricos,</w:t>
      </w:r>
      <w:r w:rsidRPr="00AD04CF">
        <w:rPr>
          <w:spacing w:val="-11"/>
        </w:rPr>
        <w:t xml:space="preserve"> </w:t>
      </w:r>
      <w:r w:rsidRPr="00AD04CF">
        <w:rPr>
          <w:b/>
        </w:rPr>
        <w:t>y</w:t>
      </w:r>
      <w:r w:rsidRPr="00AD04CF">
        <w:rPr>
          <w:b/>
          <w:spacing w:val="-11"/>
        </w:rPr>
        <w:t xml:space="preserve"> </w:t>
      </w:r>
      <w:r w:rsidRPr="00AD04CF">
        <w:rPr>
          <w:b/>
        </w:rPr>
        <w:t>las</w:t>
      </w:r>
      <w:r w:rsidRPr="00AD04CF">
        <w:rPr>
          <w:b/>
          <w:spacing w:val="-11"/>
        </w:rPr>
        <w:t xml:space="preserve"> </w:t>
      </w:r>
      <w:r w:rsidRPr="00AD04CF">
        <w:rPr>
          <w:b/>
        </w:rPr>
        <w:t>políticas</w:t>
      </w:r>
      <w:r w:rsidRPr="00AD04CF">
        <w:rPr>
          <w:b/>
          <w:spacing w:val="-11"/>
        </w:rPr>
        <w:t xml:space="preserve"> </w:t>
      </w:r>
      <w:r w:rsidRPr="00AD04CF">
        <w:rPr>
          <w:b/>
        </w:rPr>
        <w:t>sectoriales del</w:t>
      </w:r>
      <w:r w:rsidRPr="00AD04CF">
        <w:rPr>
          <w:b/>
          <w:spacing w:val="-15"/>
        </w:rPr>
        <w:t xml:space="preserve"> </w:t>
      </w:r>
      <w:r w:rsidRPr="00AD04CF">
        <w:rPr>
          <w:b/>
        </w:rPr>
        <w:t>gobierno</w:t>
      </w:r>
      <w:r w:rsidRPr="00AD04CF">
        <w:rPr>
          <w:b/>
          <w:spacing w:val="-15"/>
        </w:rPr>
        <w:t xml:space="preserve"> </w:t>
      </w:r>
      <w:r w:rsidRPr="00AD04CF">
        <w:rPr>
          <w:b/>
        </w:rPr>
        <w:t>nacional</w:t>
      </w:r>
      <w:r w:rsidRPr="00AD04CF">
        <w:rPr>
          <w:b/>
          <w:spacing w:val="-15"/>
        </w:rPr>
        <w:t xml:space="preserve"> </w:t>
      </w:r>
      <w:r>
        <w:t>(minero-energéticas,</w:t>
      </w:r>
      <w:r w:rsidRPr="00AD04CF">
        <w:rPr>
          <w:spacing w:val="-15"/>
        </w:rPr>
        <w:t xml:space="preserve"> </w:t>
      </w:r>
      <w:r>
        <w:t>ambientales,</w:t>
      </w:r>
      <w:r w:rsidRPr="00AD04CF">
        <w:rPr>
          <w:spacing w:val="-15"/>
        </w:rPr>
        <w:t xml:space="preserve"> </w:t>
      </w:r>
      <w:r>
        <w:t>agropecuarias,</w:t>
      </w:r>
      <w:r w:rsidRPr="00AD04CF">
        <w:rPr>
          <w:spacing w:val="-15"/>
        </w:rPr>
        <w:t xml:space="preserve"> </w:t>
      </w:r>
      <w:r>
        <w:t>de</w:t>
      </w:r>
      <w:r w:rsidRPr="00AD04CF">
        <w:rPr>
          <w:spacing w:val="-15"/>
        </w:rPr>
        <w:t xml:space="preserve"> </w:t>
      </w:r>
      <w:r>
        <w:t>vivienda, infraestructura,</w:t>
      </w:r>
      <w:r w:rsidRPr="00AD04CF">
        <w:rPr>
          <w:spacing w:val="-13"/>
        </w:rPr>
        <w:t xml:space="preserve"> </w:t>
      </w:r>
      <w:r>
        <w:t>etc.)</w:t>
      </w:r>
      <w:r w:rsidRPr="00AD04CF">
        <w:rPr>
          <w:spacing w:val="-14"/>
        </w:rPr>
        <w:t xml:space="preserve"> </w:t>
      </w:r>
      <w:r w:rsidRPr="00AD04CF">
        <w:rPr>
          <w:b/>
        </w:rPr>
        <w:t>con</w:t>
      </w:r>
      <w:r w:rsidRPr="00AD04CF">
        <w:rPr>
          <w:b/>
          <w:spacing w:val="-14"/>
        </w:rPr>
        <w:t xml:space="preserve"> </w:t>
      </w:r>
      <w:r w:rsidRPr="00AD04CF">
        <w:rPr>
          <w:b/>
        </w:rPr>
        <w:t>los</w:t>
      </w:r>
      <w:r w:rsidRPr="00AD04CF">
        <w:rPr>
          <w:b/>
          <w:spacing w:val="-13"/>
        </w:rPr>
        <w:t xml:space="preserve"> </w:t>
      </w:r>
      <w:r w:rsidRPr="00AD04CF">
        <w:rPr>
          <w:b/>
        </w:rPr>
        <w:t>gobiernos</w:t>
      </w:r>
      <w:r w:rsidRPr="00AD04CF">
        <w:rPr>
          <w:b/>
          <w:spacing w:val="-13"/>
        </w:rPr>
        <w:t xml:space="preserve"> </w:t>
      </w:r>
      <w:r w:rsidRPr="00AD04CF">
        <w:rPr>
          <w:b/>
        </w:rPr>
        <w:t>y</w:t>
      </w:r>
      <w:r w:rsidRPr="00AD04CF">
        <w:rPr>
          <w:b/>
          <w:spacing w:val="-13"/>
        </w:rPr>
        <w:t xml:space="preserve"> </w:t>
      </w:r>
      <w:r w:rsidRPr="00AD04CF">
        <w:rPr>
          <w:b/>
        </w:rPr>
        <w:t>las</w:t>
      </w:r>
      <w:r w:rsidRPr="00AD04CF">
        <w:rPr>
          <w:b/>
          <w:spacing w:val="-13"/>
        </w:rPr>
        <w:t xml:space="preserve"> </w:t>
      </w:r>
      <w:r w:rsidRPr="00AD04CF">
        <w:rPr>
          <w:b/>
        </w:rPr>
        <w:t>autoridades</w:t>
      </w:r>
      <w:r w:rsidRPr="00AD04CF">
        <w:rPr>
          <w:b/>
          <w:spacing w:val="-13"/>
        </w:rPr>
        <w:t xml:space="preserve"> </w:t>
      </w:r>
      <w:r w:rsidRPr="00AD04CF">
        <w:rPr>
          <w:b/>
        </w:rPr>
        <w:t>territoriales</w:t>
      </w:r>
      <w:r>
        <w:t>,</w:t>
      </w:r>
      <w:r w:rsidRPr="00AD04CF">
        <w:rPr>
          <w:spacing w:val="-14"/>
        </w:rPr>
        <w:t xml:space="preserve"> </w:t>
      </w:r>
      <w:r>
        <w:t>garantizando siempre una participación incidente de las comunidades locales.</w:t>
      </w:r>
    </w:p>
    <w:p w:rsidR="0011361F" w:rsidRDefault="00AF18A5" w:rsidP="00AD04CF">
      <w:pPr>
        <w:pStyle w:val="Prrafodelista"/>
        <w:numPr>
          <w:ilvl w:val="0"/>
          <w:numId w:val="59"/>
        </w:numPr>
        <w:spacing w:before="136"/>
        <w:ind w:left="941"/>
      </w:pPr>
      <w:r w:rsidRPr="00AD04CF">
        <w:rPr>
          <w:b/>
        </w:rPr>
        <w:t xml:space="preserve">Crear espacios locales permanentes de diálogo </w:t>
      </w:r>
      <w:proofErr w:type="spellStart"/>
      <w:r w:rsidRPr="00AD04CF">
        <w:rPr>
          <w:b/>
        </w:rPr>
        <w:t>multiactor</w:t>
      </w:r>
      <w:proofErr w:type="spellEnd"/>
      <w:r w:rsidRPr="00AD04CF">
        <w:rPr>
          <w:b/>
        </w:rPr>
        <w:t xml:space="preserve"> </w:t>
      </w:r>
      <w:r>
        <w:t>entre las comunidades</w:t>
      </w:r>
      <w:r w:rsidRPr="00AD04CF">
        <w:rPr>
          <w:spacing w:val="11"/>
        </w:rPr>
        <w:t xml:space="preserve"> </w:t>
      </w:r>
      <w:r>
        <w:t>locales,</w:t>
      </w:r>
      <w:r w:rsidRPr="00AD04CF">
        <w:rPr>
          <w:spacing w:val="13"/>
        </w:rPr>
        <w:t xml:space="preserve"> </w:t>
      </w:r>
      <w:r>
        <w:t>las</w:t>
      </w:r>
      <w:r w:rsidRPr="00AD04CF">
        <w:rPr>
          <w:spacing w:val="13"/>
        </w:rPr>
        <w:t xml:space="preserve"> </w:t>
      </w:r>
      <w:r>
        <w:t>autoridades</w:t>
      </w:r>
      <w:r w:rsidRPr="00AD04CF">
        <w:rPr>
          <w:spacing w:val="12"/>
        </w:rPr>
        <w:t xml:space="preserve"> </w:t>
      </w:r>
      <w:r>
        <w:t>territoriales,</w:t>
      </w:r>
      <w:r w:rsidRPr="00AD04CF">
        <w:rPr>
          <w:spacing w:val="13"/>
        </w:rPr>
        <w:t xml:space="preserve"> </w:t>
      </w:r>
      <w:r>
        <w:t>autoridades</w:t>
      </w:r>
      <w:r w:rsidRPr="00AD04CF">
        <w:rPr>
          <w:spacing w:val="13"/>
        </w:rPr>
        <w:t xml:space="preserve"> </w:t>
      </w:r>
      <w:r>
        <w:t>étnicas</w:t>
      </w:r>
      <w:r w:rsidRPr="00AD04CF">
        <w:rPr>
          <w:spacing w:val="13"/>
        </w:rPr>
        <w:t xml:space="preserve"> </w:t>
      </w:r>
      <w:r>
        <w:t>y</w:t>
      </w:r>
      <w:r w:rsidRPr="00AD04CF">
        <w:rPr>
          <w:spacing w:val="13"/>
        </w:rPr>
        <w:t xml:space="preserve"> </w:t>
      </w:r>
      <w:r>
        <w:t>la</w:t>
      </w:r>
      <w:r w:rsidRPr="00AD04CF">
        <w:rPr>
          <w:spacing w:val="13"/>
        </w:rPr>
        <w:t xml:space="preserve"> </w:t>
      </w:r>
      <w:r w:rsidRPr="00AD04CF">
        <w:rPr>
          <w:spacing w:val="-2"/>
        </w:rPr>
        <w:t>sociedad</w:t>
      </w:r>
      <w:bookmarkStart w:id="1678" w:name="_bookmark1451"/>
      <w:bookmarkEnd w:id="1678"/>
      <w:r w:rsidR="00AD04CF" w:rsidRPr="00AD04CF">
        <w:rPr>
          <w:spacing w:val="-2"/>
        </w:rPr>
        <w:t xml:space="preserve"> </w:t>
      </w:r>
      <w:r>
        <w:t>civil</w:t>
      </w:r>
      <w:r w:rsidRPr="00AD04CF">
        <w:rPr>
          <w:spacing w:val="1"/>
        </w:rPr>
        <w:t xml:space="preserve"> </w:t>
      </w:r>
      <w:r>
        <w:t>y,</w:t>
      </w:r>
      <w:r w:rsidRPr="00AD04CF">
        <w:rPr>
          <w:spacing w:val="3"/>
        </w:rPr>
        <w:t xml:space="preserve"> </w:t>
      </w:r>
      <w:r>
        <w:t>cuando</w:t>
      </w:r>
      <w:r w:rsidRPr="00AD04CF">
        <w:rPr>
          <w:spacing w:val="3"/>
        </w:rPr>
        <w:t xml:space="preserve"> </w:t>
      </w:r>
      <w:r>
        <w:t>sea</w:t>
      </w:r>
      <w:r w:rsidRPr="00AD04CF">
        <w:rPr>
          <w:spacing w:val="4"/>
        </w:rPr>
        <w:t xml:space="preserve"> </w:t>
      </w:r>
      <w:r>
        <w:t>pertinente,</w:t>
      </w:r>
      <w:r w:rsidRPr="00AD04CF">
        <w:rPr>
          <w:spacing w:val="3"/>
        </w:rPr>
        <w:t xml:space="preserve"> </w:t>
      </w:r>
      <w:r>
        <w:t>el</w:t>
      </w:r>
      <w:r w:rsidRPr="00AD04CF">
        <w:rPr>
          <w:spacing w:val="4"/>
        </w:rPr>
        <w:t xml:space="preserve"> </w:t>
      </w:r>
      <w:r>
        <w:t>gobierno</w:t>
      </w:r>
      <w:r w:rsidRPr="00AD04CF">
        <w:rPr>
          <w:spacing w:val="3"/>
        </w:rPr>
        <w:t xml:space="preserve"> </w:t>
      </w:r>
      <w:r>
        <w:t>nacional,</w:t>
      </w:r>
      <w:r w:rsidRPr="00AD04CF">
        <w:rPr>
          <w:spacing w:val="3"/>
        </w:rPr>
        <w:t xml:space="preserve"> </w:t>
      </w:r>
      <w:r>
        <w:t>que</w:t>
      </w:r>
      <w:r w:rsidRPr="00AD04CF">
        <w:rPr>
          <w:spacing w:val="4"/>
        </w:rPr>
        <w:t xml:space="preserve"> </w:t>
      </w:r>
      <w:r>
        <w:t>conduzcan</w:t>
      </w:r>
      <w:r w:rsidRPr="00AD04CF">
        <w:rPr>
          <w:spacing w:val="3"/>
        </w:rPr>
        <w:t xml:space="preserve"> </w:t>
      </w:r>
      <w:r>
        <w:t>a</w:t>
      </w:r>
      <w:r w:rsidRPr="00AD04CF">
        <w:rPr>
          <w:spacing w:val="4"/>
        </w:rPr>
        <w:t xml:space="preserve"> </w:t>
      </w:r>
      <w:r w:rsidRPr="00AD04CF">
        <w:rPr>
          <w:b/>
        </w:rPr>
        <w:t>pactos</w:t>
      </w:r>
      <w:r w:rsidRPr="00AD04CF">
        <w:rPr>
          <w:b/>
          <w:spacing w:val="3"/>
        </w:rPr>
        <w:t xml:space="preserve"> </w:t>
      </w:r>
      <w:r w:rsidRPr="00AD04CF">
        <w:rPr>
          <w:b/>
          <w:spacing w:val="-2"/>
        </w:rPr>
        <w:t>locales</w:t>
      </w:r>
      <w:r w:rsidR="00AD04CF">
        <w:rPr>
          <w:b/>
          <w:spacing w:val="-2"/>
        </w:rPr>
        <w:t xml:space="preserve"> </w:t>
      </w:r>
      <w:r>
        <w:t>que</w:t>
      </w:r>
      <w:r w:rsidRPr="00AD04CF">
        <w:rPr>
          <w:spacing w:val="-2"/>
        </w:rPr>
        <w:t xml:space="preserve"> </w:t>
      </w:r>
      <w:r>
        <w:t>permitan</w:t>
      </w:r>
      <w:r w:rsidRPr="00AD04CF">
        <w:rPr>
          <w:spacing w:val="-1"/>
        </w:rPr>
        <w:t xml:space="preserve"> </w:t>
      </w:r>
      <w:r>
        <w:t>construir</w:t>
      </w:r>
      <w:r w:rsidRPr="00AD04CF">
        <w:rPr>
          <w:spacing w:val="-1"/>
        </w:rPr>
        <w:t xml:space="preserve"> </w:t>
      </w:r>
      <w:r>
        <w:t>acuerdos</w:t>
      </w:r>
      <w:r w:rsidRPr="00AD04CF">
        <w:rPr>
          <w:spacing w:val="-2"/>
        </w:rPr>
        <w:t xml:space="preserve"> </w:t>
      </w:r>
      <w:r>
        <w:t>y</w:t>
      </w:r>
      <w:r w:rsidRPr="00AD04CF">
        <w:rPr>
          <w:spacing w:val="-1"/>
        </w:rPr>
        <w:t xml:space="preserve"> </w:t>
      </w:r>
      <w:r>
        <w:t>solucionar</w:t>
      </w:r>
      <w:r w:rsidRPr="00AD04CF">
        <w:rPr>
          <w:spacing w:val="-1"/>
        </w:rPr>
        <w:t xml:space="preserve"> </w:t>
      </w:r>
      <w:r w:rsidRPr="00AD04CF">
        <w:rPr>
          <w:spacing w:val="-2"/>
        </w:rPr>
        <w:t>conflictos.</w:t>
      </w:r>
    </w:p>
    <w:p w:rsidR="003804AC" w:rsidRPr="00AD04CF" w:rsidRDefault="00AF18A5" w:rsidP="00AD04CF">
      <w:pPr>
        <w:pStyle w:val="Prrafodelista"/>
        <w:numPr>
          <w:ilvl w:val="0"/>
          <w:numId w:val="59"/>
        </w:numPr>
        <w:rPr>
          <w:rFonts w:ascii="Calibri" w:hAnsi="Calibri"/>
        </w:rPr>
      </w:pPr>
      <w:r>
        <w:t>Fortalecer el derecho a la consulta previa y demás mecanismos de participación,</w:t>
      </w:r>
      <w:r w:rsidRPr="00AD04CF">
        <w:rPr>
          <w:spacing w:val="-13"/>
        </w:rPr>
        <w:t xml:space="preserve"> </w:t>
      </w:r>
      <w:r>
        <w:t>diálogo</w:t>
      </w:r>
      <w:r w:rsidRPr="00AD04CF">
        <w:rPr>
          <w:spacing w:val="-13"/>
        </w:rPr>
        <w:t xml:space="preserve"> </w:t>
      </w:r>
      <w:r>
        <w:t>e</w:t>
      </w:r>
      <w:r w:rsidRPr="00AD04CF">
        <w:rPr>
          <w:spacing w:val="-13"/>
        </w:rPr>
        <w:t xml:space="preserve"> </w:t>
      </w:r>
      <w:r>
        <w:t>interlocución</w:t>
      </w:r>
      <w:r w:rsidRPr="00AD04CF">
        <w:rPr>
          <w:spacing w:val="-14"/>
        </w:rPr>
        <w:t xml:space="preserve"> </w:t>
      </w:r>
      <w:r>
        <w:t>con</w:t>
      </w:r>
      <w:r w:rsidRPr="00AD04CF">
        <w:rPr>
          <w:spacing w:val="-13"/>
        </w:rPr>
        <w:t xml:space="preserve"> </w:t>
      </w:r>
      <w:r>
        <w:t>las</w:t>
      </w:r>
      <w:r w:rsidRPr="00AD04CF">
        <w:rPr>
          <w:spacing w:val="-13"/>
        </w:rPr>
        <w:t xml:space="preserve"> </w:t>
      </w:r>
      <w:r>
        <w:t>autoridades</w:t>
      </w:r>
      <w:r w:rsidRPr="00AD04CF">
        <w:rPr>
          <w:spacing w:val="-13"/>
        </w:rPr>
        <w:t xml:space="preserve"> </w:t>
      </w:r>
      <w:r>
        <w:t>y</w:t>
      </w:r>
      <w:r w:rsidRPr="00AD04CF">
        <w:rPr>
          <w:spacing w:val="-13"/>
        </w:rPr>
        <w:t xml:space="preserve"> </w:t>
      </w:r>
      <w:r>
        <w:t>pueblos</w:t>
      </w:r>
      <w:r w:rsidRPr="00AD04CF">
        <w:rPr>
          <w:spacing w:val="-13"/>
        </w:rPr>
        <w:t xml:space="preserve"> </w:t>
      </w:r>
      <w:r>
        <w:t>étnicos</w:t>
      </w:r>
      <w:r w:rsidRPr="00AD04CF">
        <w:rPr>
          <w:spacing w:val="-13"/>
        </w:rPr>
        <w:t xml:space="preserve"> </w:t>
      </w:r>
      <w:r>
        <w:t xml:space="preserve">mediante, entre otras, una </w:t>
      </w:r>
      <w:r w:rsidRPr="00AD04CF">
        <w:rPr>
          <w:b/>
        </w:rPr>
        <w:t>institucionalidad especializada en el diálogo intercultural</w:t>
      </w:r>
      <w:r>
        <w:t>. Esta debe contar con presencia territorial</w:t>
      </w:r>
      <w:r w:rsidRPr="00AD04CF">
        <w:rPr>
          <w:spacing w:val="-1"/>
        </w:rPr>
        <w:t xml:space="preserve"> </w:t>
      </w:r>
      <w:r>
        <w:t xml:space="preserve">y con las capacidades técnicas y </w:t>
      </w:r>
      <w:r>
        <w:lastRenderedPageBreak/>
        <w:t>presupuestales suficientes para garantizar y proteger los derechos de los pueblos étnicos.</w:t>
      </w:r>
    </w:p>
    <w:p w:rsidR="0011361F" w:rsidRDefault="00AF18A5" w:rsidP="009A688F">
      <w:r>
        <w:t>Corto</w:t>
      </w:r>
      <w:r>
        <w:rPr>
          <w:spacing w:val="-1"/>
        </w:rPr>
        <w:t xml:space="preserve"> </w:t>
      </w:r>
      <w:r>
        <w:rPr>
          <w:spacing w:val="-2"/>
        </w:rPr>
        <w:t>plazo</w:t>
      </w:r>
    </w:p>
    <w:p w:rsidR="003804AC" w:rsidRPr="009A688F" w:rsidRDefault="00AF18A5" w:rsidP="009A688F">
      <w:pPr>
        <w:pStyle w:val="Prrafodelista"/>
        <w:numPr>
          <w:ilvl w:val="0"/>
          <w:numId w:val="31"/>
        </w:numPr>
        <w:rPr>
          <w:b/>
        </w:rPr>
      </w:pPr>
      <w:r>
        <w:t>Al</w:t>
      </w:r>
      <w:r w:rsidRPr="009A688F">
        <w:rPr>
          <w:spacing w:val="-9"/>
        </w:rPr>
        <w:t xml:space="preserve"> </w:t>
      </w:r>
      <w:r>
        <w:t>Estado,</w:t>
      </w:r>
      <w:r w:rsidRPr="009A688F">
        <w:rPr>
          <w:spacing w:val="-9"/>
        </w:rPr>
        <w:t xml:space="preserve"> </w:t>
      </w:r>
      <w:r>
        <w:t>bajo</w:t>
      </w:r>
      <w:r w:rsidRPr="009A688F">
        <w:rPr>
          <w:spacing w:val="-9"/>
        </w:rPr>
        <w:t xml:space="preserve"> </w:t>
      </w:r>
      <w:r>
        <w:t>el</w:t>
      </w:r>
      <w:r w:rsidRPr="009A688F">
        <w:rPr>
          <w:spacing w:val="-9"/>
        </w:rPr>
        <w:t xml:space="preserve"> </w:t>
      </w:r>
      <w:r>
        <w:t>liderazgo</w:t>
      </w:r>
      <w:r w:rsidRPr="009A688F">
        <w:rPr>
          <w:spacing w:val="-9"/>
        </w:rPr>
        <w:t xml:space="preserve"> </w:t>
      </w:r>
      <w:r>
        <w:t>del</w:t>
      </w:r>
      <w:r w:rsidRPr="009A688F">
        <w:rPr>
          <w:spacing w:val="-9"/>
        </w:rPr>
        <w:t xml:space="preserve"> </w:t>
      </w:r>
      <w:r>
        <w:t>Gobierno</w:t>
      </w:r>
      <w:r w:rsidRPr="009A688F">
        <w:rPr>
          <w:spacing w:val="-9"/>
        </w:rPr>
        <w:t xml:space="preserve"> </w:t>
      </w:r>
      <w:r>
        <w:t>nacional,</w:t>
      </w:r>
      <w:r w:rsidRPr="009A688F">
        <w:rPr>
          <w:spacing w:val="-9"/>
        </w:rPr>
        <w:t xml:space="preserve"> </w:t>
      </w:r>
      <w:r>
        <w:t>con</w:t>
      </w:r>
      <w:r w:rsidRPr="009A688F">
        <w:rPr>
          <w:spacing w:val="-9"/>
        </w:rPr>
        <w:t xml:space="preserve"> </w:t>
      </w:r>
      <w:r>
        <w:t>el</w:t>
      </w:r>
      <w:r w:rsidRPr="009A688F">
        <w:rPr>
          <w:spacing w:val="-9"/>
        </w:rPr>
        <w:t xml:space="preserve"> </w:t>
      </w:r>
      <w:r>
        <w:t>concurso</w:t>
      </w:r>
      <w:r w:rsidRPr="009A688F">
        <w:rPr>
          <w:spacing w:val="-9"/>
        </w:rPr>
        <w:t xml:space="preserve"> </w:t>
      </w:r>
      <w:r>
        <w:t>de</w:t>
      </w:r>
      <w:r w:rsidRPr="009A688F">
        <w:rPr>
          <w:spacing w:val="-9"/>
        </w:rPr>
        <w:t xml:space="preserve"> </w:t>
      </w:r>
      <w:r>
        <w:t>las</w:t>
      </w:r>
      <w:r w:rsidRPr="009A688F">
        <w:rPr>
          <w:spacing w:val="-9"/>
        </w:rPr>
        <w:t xml:space="preserve"> </w:t>
      </w:r>
      <w:r>
        <w:t xml:space="preserve">autoridades territoriales y étnicas, impulsar </w:t>
      </w:r>
      <w:r w:rsidRPr="009A688F">
        <w:rPr>
          <w:b/>
        </w:rPr>
        <w:t xml:space="preserve">sistemas agroalimentarios </w:t>
      </w:r>
      <w:r>
        <w:t>que sean económica, social y ambientalmente sostenibles; que estén basados en una relación equitativa, solidaria y armónica entre las zonas urbanas y rurales; que estén dirigidos a que las poblaciones vulnerables puedan participar como productoras o consumidoras de alimentos de calidad óptima para la salud humana; y que sean producidos, transportados y distribuidos en condiciones laborales y comerciales justas. Se recomienda incluir en los instrumentos de ordenamiento</w:t>
      </w:r>
      <w:r w:rsidRPr="009A688F">
        <w:rPr>
          <w:spacing w:val="-14"/>
        </w:rPr>
        <w:t xml:space="preserve"> </w:t>
      </w:r>
      <w:r>
        <w:t>territorial</w:t>
      </w:r>
      <w:r w:rsidRPr="009A688F">
        <w:rPr>
          <w:spacing w:val="-15"/>
        </w:rPr>
        <w:t xml:space="preserve"> </w:t>
      </w:r>
      <w:r>
        <w:t>y,</w:t>
      </w:r>
      <w:r w:rsidRPr="009A688F">
        <w:rPr>
          <w:spacing w:val="-14"/>
        </w:rPr>
        <w:t xml:space="preserve"> </w:t>
      </w:r>
      <w:r>
        <w:t>en</w:t>
      </w:r>
      <w:r w:rsidRPr="009A688F">
        <w:rPr>
          <w:spacing w:val="-14"/>
        </w:rPr>
        <w:t xml:space="preserve"> </w:t>
      </w:r>
      <w:r>
        <w:t>aquellos</w:t>
      </w:r>
      <w:r w:rsidRPr="009A688F">
        <w:rPr>
          <w:spacing w:val="-14"/>
        </w:rPr>
        <w:t xml:space="preserve"> </w:t>
      </w:r>
      <w:r>
        <w:t>que</w:t>
      </w:r>
      <w:r w:rsidRPr="009A688F">
        <w:rPr>
          <w:spacing w:val="-14"/>
        </w:rPr>
        <w:t xml:space="preserve"> </w:t>
      </w:r>
      <w:r>
        <w:t>definen</w:t>
      </w:r>
      <w:r w:rsidRPr="009A688F">
        <w:rPr>
          <w:spacing w:val="-14"/>
        </w:rPr>
        <w:t xml:space="preserve"> </w:t>
      </w:r>
      <w:r>
        <w:t>el</w:t>
      </w:r>
      <w:r w:rsidRPr="009A688F">
        <w:rPr>
          <w:spacing w:val="-14"/>
        </w:rPr>
        <w:t xml:space="preserve"> </w:t>
      </w:r>
      <w:r>
        <w:t>acceso</w:t>
      </w:r>
      <w:r w:rsidRPr="009A688F">
        <w:rPr>
          <w:spacing w:val="-14"/>
        </w:rPr>
        <w:t xml:space="preserve"> </w:t>
      </w:r>
      <w:r>
        <w:t>y</w:t>
      </w:r>
      <w:r w:rsidRPr="009A688F">
        <w:rPr>
          <w:spacing w:val="-15"/>
        </w:rPr>
        <w:t xml:space="preserve"> </w:t>
      </w:r>
      <w:r>
        <w:t>uso</w:t>
      </w:r>
      <w:r w:rsidRPr="009A688F">
        <w:rPr>
          <w:spacing w:val="-14"/>
        </w:rPr>
        <w:t xml:space="preserve"> </w:t>
      </w:r>
      <w:r>
        <w:t>de</w:t>
      </w:r>
      <w:r w:rsidRPr="009A688F">
        <w:rPr>
          <w:spacing w:val="-14"/>
        </w:rPr>
        <w:t xml:space="preserve"> </w:t>
      </w:r>
      <w:r>
        <w:t>la</w:t>
      </w:r>
      <w:r w:rsidRPr="009A688F">
        <w:rPr>
          <w:spacing w:val="-14"/>
        </w:rPr>
        <w:t xml:space="preserve"> </w:t>
      </w:r>
      <w:r>
        <w:t>tierra,</w:t>
      </w:r>
      <w:r w:rsidRPr="009A688F">
        <w:rPr>
          <w:spacing w:val="-15"/>
        </w:rPr>
        <w:t xml:space="preserve"> </w:t>
      </w:r>
      <w:r>
        <w:t>la</w:t>
      </w:r>
      <w:r w:rsidRPr="009A688F">
        <w:rPr>
          <w:spacing w:val="-14"/>
        </w:rPr>
        <w:t xml:space="preserve"> </w:t>
      </w:r>
      <w:r>
        <w:t>delimitación de</w:t>
      </w:r>
      <w:r w:rsidRPr="009A688F">
        <w:rPr>
          <w:spacing w:val="-15"/>
        </w:rPr>
        <w:t xml:space="preserve"> </w:t>
      </w:r>
      <w:r>
        <w:t>zonas</w:t>
      </w:r>
      <w:r w:rsidRPr="009A688F">
        <w:rPr>
          <w:spacing w:val="-15"/>
        </w:rPr>
        <w:t xml:space="preserve"> </w:t>
      </w:r>
      <w:r>
        <w:t>para</w:t>
      </w:r>
      <w:r w:rsidRPr="009A688F">
        <w:rPr>
          <w:spacing w:val="-15"/>
        </w:rPr>
        <w:t xml:space="preserve"> </w:t>
      </w:r>
      <w:r>
        <w:t>la</w:t>
      </w:r>
      <w:r w:rsidRPr="009A688F">
        <w:rPr>
          <w:spacing w:val="-15"/>
        </w:rPr>
        <w:t xml:space="preserve"> </w:t>
      </w:r>
      <w:r>
        <w:t>producción</w:t>
      </w:r>
      <w:r w:rsidRPr="009A688F">
        <w:rPr>
          <w:spacing w:val="-15"/>
        </w:rPr>
        <w:t xml:space="preserve"> </w:t>
      </w:r>
      <w:r>
        <w:t>de</w:t>
      </w:r>
      <w:r w:rsidRPr="009A688F">
        <w:rPr>
          <w:spacing w:val="-15"/>
        </w:rPr>
        <w:t xml:space="preserve"> </w:t>
      </w:r>
      <w:r>
        <w:t>alimentos</w:t>
      </w:r>
      <w:r w:rsidRPr="009A688F">
        <w:rPr>
          <w:spacing w:val="-15"/>
        </w:rPr>
        <w:t xml:space="preserve"> </w:t>
      </w:r>
      <w:r>
        <w:t>a</w:t>
      </w:r>
      <w:r w:rsidRPr="009A688F">
        <w:rPr>
          <w:spacing w:val="-15"/>
        </w:rPr>
        <w:t xml:space="preserve"> </w:t>
      </w:r>
      <w:r>
        <w:t>pequeña</w:t>
      </w:r>
      <w:r w:rsidRPr="009A688F">
        <w:rPr>
          <w:spacing w:val="-15"/>
        </w:rPr>
        <w:t xml:space="preserve"> </w:t>
      </w:r>
      <w:r>
        <w:t>y</w:t>
      </w:r>
      <w:r w:rsidRPr="009A688F">
        <w:rPr>
          <w:spacing w:val="-15"/>
        </w:rPr>
        <w:t xml:space="preserve"> </w:t>
      </w:r>
      <w:r>
        <w:t>mediana</w:t>
      </w:r>
      <w:r w:rsidRPr="009A688F">
        <w:rPr>
          <w:spacing w:val="-15"/>
        </w:rPr>
        <w:t xml:space="preserve"> </w:t>
      </w:r>
      <w:r>
        <w:t>escala.</w:t>
      </w:r>
      <w:r w:rsidRPr="009A688F">
        <w:rPr>
          <w:spacing w:val="-15"/>
        </w:rPr>
        <w:t xml:space="preserve"> </w:t>
      </w:r>
      <w:r>
        <w:t>Esta</w:t>
      </w:r>
      <w:r w:rsidRPr="009A688F">
        <w:rPr>
          <w:spacing w:val="-15"/>
        </w:rPr>
        <w:t xml:space="preserve"> </w:t>
      </w:r>
      <w:r>
        <w:t>debe</w:t>
      </w:r>
      <w:r w:rsidRPr="009A688F">
        <w:rPr>
          <w:spacing w:val="-15"/>
        </w:rPr>
        <w:t xml:space="preserve"> </w:t>
      </w:r>
      <w:r>
        <w:t>acompañarse de medidas para el fortalecimiento de las economías campesinas y de los sistemas alimentarios étnicos.</w:t>
      </w:r>
    </w:p>
    <w:p w:rsidR="0011361F" w:rsidRDefault="00AF18A5" w:rsidP="009A688F">
      <w:r>
        <w:t>Corto</w:t>
      </w:r>
      <w:r>
        <w:rPr>
          <w:spacing w:val="-1"/>
        </w:rPr>
        <w:t xml:space="preserve"> </w:t>
      </w:r>
      <w:r>
        <w:rPr>
          <w:spacing w:val="-2"/>
        </w:rPr>
        <w:t>plazo</w:t>
      </w:r>
    </w:p>
    <w:p w:rsidR="003804AC" w:rsidRPr="009A688F" w:rsidRDefault="00AF18A5" w:rsidP="009A688F">
      <w:pPr>
        <w:pStyle w:val="Prrafodelista"/>
        <w:numPr>
          <w:ilvl w:val="0"/>
          <w:numId w:val="31"/>
        </w:numPr>
        <w:rPr>
          <w:b/>
        </w:rPr>
      </w:pPr>
      <w:r>
        <w:t>Al</w:t>
      </w:r>
      <w:r w:rsidRPr="009A688F">
        <w:rPr>
          <w:spacing w:val="-10"/>
        </w:rPr>
        <w:t xml:space="preserve"> </w:t>
      </w:r>
      <w:r>
        <w:t>Congreso</w:t>
      </w:r>
      <w:r w:rsidRPr="009A688F">
        <w:rPr>
          <w:spacing w:val="-11"/>
        </w:rPr>
        <w:t xml:space="preserve"> </w:t>
      </w:r>
      <w:r>
        <w:t>de</w:t>
      </w:r>
      <w:r w:rsidRPr="009A688F">
        <w:rPr>
          <w:spacing w:val="-11"/>
        </w:rPr>
        <w:t xml:space="preserve"> </w:t>
      </w:r>
      <w:r>
        <w:t>la</w:t>
      </w:r>
      <w:r w:rsidRPr="009A688F">
        <w:rPr>
          <w:spacing w:val="-11"/>
        </w:rPr>
        <w:t xml:space="preserve"> </w:t>
      </w:r>
      <w:r>
        <w:t>República</w:t>
      </w:r>
      <w:r w:rsidRPr="009A688F">
        <w:rPr>
          <w:spacing w:val="-11"/>
        </w:rPr>
        <w:t xml:space="preserve"> </w:t>
      </w:r>
      <w:r>
        <w:t>y</w:t>
      </w:r>
      <w:r w:rsidRPr="009A688F">
        <w:rPr>
          <w:spacing w:val="-11"/>
        </w:rPr>
        <w:t xml:space="preserve"> </w:t>
      </w:r>
      <w:r>
        <w:t>al</w:t>
      </w:r>
      <w:r w:rsidRPr="009A688F">
        <w:rPr>
          <w:spacing w:val="-12"/>
        </w:rPr>
        <w:t xml:space="preserve"> </w:t>
      </w:r>
      <w:r>
        <w:t>Gobierno</w:t>
      </w:r>
      <w:r w:rsidRPr="009A688F">
        <w:rPr>
          <w:spacing w:val="-11"/>
        </w:rPr>
        <w:t xml:space="preserve"> </w:t>
      </w:r>
      <w:r>
        <w:t>Nacional,</w:t>
      </w:r>
      <w:r w:rsidRPr="009A688F">
        <w:rPr>
          <w:spacing w:val="-11"/>
        </w:rPr>
        <w:t xml:space="preserve"> </w:t>
      </w:r>
      <w:r w:rsidRPr="009A688F">
        <w:rPr>
          <w:b/>
        </w:rPr>
        <w:t>ratificar</w:t>
      </w:r>
      <w:r w:rsidRPr="009A688F">
        <w:rPr>
          <w:b/>
          <w:spacing w:val="-11"/>
        </w:rPr>
        <w:t xml:space="preserve"> </w:t>
      </w:r>
      <w:r w:rsidRPr="009A688F">
        <w:rPr>
          <w:b/>
        </w:rPr>
        <w:t>el</w:t>
      </w:r>
      <w:r w:rsidRPr="009A688F">
        <w:rPr>
          <w:b/>
          <w:spacing w:val="-10"/>
        </w:rPr>
        <w:t xml:space="preserve"> </w:t>
      </w:r>
      <w:r w:rsidRPr="009A688F">
        <w:rPr>
          <w:b/>
        </w:rPr>
        <w:t>Acuerdo</w:t>
      </w:r>
      <w:r w:rsidRPr="009A688F">
        <w:rPr>
          <w:b/>
          <w:spacing w:val="-11"/>
        </w:rPr>
        <w:t xml:space="preserve"> </w:t>
      </w:r>
      <w:r w:rsidRPr="009A688F">
        <w:rPr>
          <w:b/>
        </w:rPr>
        <w:t>de</w:t>
      </w:r>
      <w:r w:rsidRPr="009A688F">
        <w:rPr>
          <w:b/>
          <w:spacing w:val="-11"/>
        </w:rPr>
        <w:t xml:space="preserve"> </w:t>
      </w:r>
      <w:r w:rsidRPr="009A688F">
        <w:rPr>
          <w:b/>
        </w:rPr>
        <w:t xml:space="preserve">Escazú </w:t>
      </w:r>
      <w:r>
        <w:t>como herramienta para reforzar la protección ambiental y de los derechos humanos a través de garantías de acceso efectivo y oportuno a la información, una participación pública incidente,</w:t>
      </w:r>
      <w:r w:rsidRPr="009A688F">
        <w:rPr>
          <w:spacing w:val="-2"/>
        </w:rPr>
        <w:t xml:space="preserve"> </w:t>
      </w:r>
      <w:r>
        <w:t>la</w:t>
      </w:r>
      <w:r w:rsidRPr="009A688F">
        <w:rPr>
          <w:spacing w:val="-3"/>
        </w:rPr>
        <w:t xml:space="preserve"> </w:t>
      </w:r>
      <w:r>
        <w:t>protección</w:t>
      </w:r>
      <w:r w:rsidRPr="009A688F">
        <w:rPr>
          <w:spacing w:val="-3"/>
        </w:rPr>
        <w:t xml:space="preserve"> </w:t>
      </w:r>
      <w:r>
        <w:t>a</w:t>
      </w:r>
      <w:r w:rsidRPr="009A688F">
        <w:rPr>
          <w:spacing w:val="-2"/>
        </w:rPr>
        <w:t xml:space="preserve"> </w:t>
      </w:r>
      <w:r>
        <w:t>los</w:t>
      </w:r>
      <w:r w:rsidRPr="009A688F">
        <w:rPr>
          <w:spacing w:val="-2"/>
        </w:rPr>
        <w:t xml:space="preserve"> </w:t>
      </w:r>
      <w:r>
        <w:t>líderes</w:t>
      </w:r>
      <w:r w:rsidRPr="009A688F">
        <w:rPr>
          <w:spacing w:val="-3"/>
        </w:rPr>
        <w:t xml:space="preserve"> </w:t>
      </w:r>
      <w:r>
        <w:t>y</w:t>
      </w:r>
      <w:r w:rsidRPr="009A688F">
        <w:rPr>
          <w:spacing w:val="-2"/>
        </w:rPr>
        <w:t xml:space="preserve"> </w:t>
      </w:r>
      <w:r>
        <w:t>lideresas</w:t>
      </w:r>
      <w:r w:rsidRPr="009A688F">
        <w:rPr>
          <w:spacing w:val="-2"/>
        </w:rPr>
        <w:t xml:space="preserve"> </w:t>
      </w:r>
      <w:r>
        <w:t>ambientales</w:t>
      </w:r>
      <w:r w:rsidRPr="009A688F">
        <w:rPr>
          <w:spacing w:val="-2"/>
        </w:rPr>
        <w:t xml:space="preserve"> </w:t>
      </w:r>
      <w:r>
        <w:t>y</w:t>
      </w:r>
      <w:r w:rsidRPr="009A688F">
        <w:rPr>
          <w:spacing w:val="-2"/>
        </w:rPr>
        <w:t xml:space="preserve"> </w:t>
      </w:r>
      <w:r>
        <w:t>el</w:t>
      </w:r>
      <w:r w:rsidRPr="009A688F">
        <w:rPr>
          <w:spacing w:val="-2"/>
        </w:rPr>
        <w:t xml:space="preserve"> </w:t>
      </w:r>
      <w:r>
        <w:t>acceso</w:t>
      </w:r>
      <w:r w:rsidRPr="009A688F">
        <w:rPr>
          <w:spacing w:val="-2"/>
        </w:rPr>
        <w:t xml:space="preserve"> </w:t>
      </w:r>
      <w:r>
        <w:t>a</w:t>
      </w:r>
      <w:r w:rsidRPr="009A688F">
        <w:rPr>
          <w:spacing w:val="-2"/>
        </w:rPr>
        <w:t xml:space="preserve"> </w:t>
      </w:r>
      <w:r>
        <w:t>la</w:t>
      </w:r>
      <w:r w:rsidRPr="009A688F">
        <w:rPr>
          <w:spacing w:val="-2"/>
        </w:rPr>
        <w:t xml:space="preserve"> </w:t>
      </w:r>
      <w:r>
        <w:t>justicia</w:t>
      </w:r>
      <w:r w:rsidRPr="009A688F">
        <w:rPr>
          <w:spacing w:val="-2"/>
        </w:rPr>
        <w:t xml:space="preserve"> </w:t>
      </w:r>
      <w:r>
        <w:t>en</w:t>
      </w:r>
      <w:r w:rsidRPr="009A688F">
        <w:rPr>
          <w:spacing w:val="-4"/>
        </w:rPr>
        <w:t xml:space="preserve"> </w:t>
      </w:r>
      <w:r>
        <w:t xml:space="preserve">estos </w:t>
      </w:r>
      <w:r w:rsidRPr="009A688F">
        <w:rPr>
          <w:spacing w:val="-2"/>
        </w:rPr>
        <w:t>asuntos.</w:t>
      </w:r>
    </w:p>
    <w:p w:rsidR="0011361F" w:rsidRDefault="00AF18A5" w:rsidP="009A688F">
      <w:r>
        <w:lastRenderedPageBreak/>
        <w:t>Mediano</w:t>
      </w:r>
      <w:r>
        <w:rPr>
          <w:spacing w:val="-3"/>
        </w:rPr>
        <w:t xml:space="preserve"> </w:t>
      </w:r>
      <w:r>
        <w:rPr>
          <w:spacing w:val="-2"/>
        </w:rPr>
        <w:t>plazo</w:t>
      </w:r>
    </w:p>
    <w:p w:rsidR="003804AC" w:rsidRPr="009A688F" w:rsidRDefault="00AF18A5" w:rsidP="009A688F">
      <w:pPr>
        <w:pStyle w:val="Prrafodelista"/>
        <w:numPr>
          <w:ilvl w:val="0"/>
          <w:numId w:val="31"/>
        </w:numPr>
        <w:rPr>
          <w:b/>
        </w:rPr>
      </w:pPr>
      <w:r>
        <w:t>Al</w:t>
      </w:r>
      <w:r w:rsidRPr="009A688F">
        <w:rPr>
          <w:spacing w:val="-2"/>
        </w:rPr>
        <w:t xml:space="preserve"> </w:t>
      </w:r>
      <w:r>
        <w:t>Gobierno</w:t>
      </w:r>
      <w:r w:rsidRPr="009A688F">
        <w:rPr>
          <w:spacing w:val="-2"/>
        </w:rPr>
        <w:t xml:space="preserve"> </w:t>
      </w:r>
      <w:r>
        <w:t>Nacional</w:t>
      </w:r>
      <w:r w:rsidRPr="009A688F">
        <w:rPr>
          <w:spacing w:val="-2"/>
        </w:rPr>
        <w:t xml:space="preserve"> </w:t>
      </w:r>
      <w:r>
        <w:t>y</w:t>
      </w:r>
      <w:r w:rsidRPr="009A688F">
        <w:rPr>
          <w:spacing w:val="-2"/>
        </w:rPr>
        <w:t xml:space="preserve"> </w:t>
      </w:r>
      <w:r>
        <w:t>al</w:t>
      </w:r>
      <w:r w:rsidRPr="009A688F">
        <w:rPr>
          <w:spacing w:val="-3"/>
        </w:rPr>
        <w:t xml:space="preserve"> </w:t>
      </w:r>
      <w:r>
        <w:t>Congreso</w:t>
      </w:r>
      <w:r w:rsidRPr="009A688F">
        <w:rPr>
          <w:spacing w:val="-2"/>
        </w:rPr>
        <w:t xml:space="preserve"> </w:t>
      </w:r>
      <w:r>
        <w:t>de</w:t>
      </w:r>
      <w:r w:rsidRPr="009A688F">
        <w:rPr>
          <w:spacing w:val="-3"/>
        </w:rPr>
        <w:t xml:space="preserve"> </w:t>
      </w:r>
      <w:r>
        <w:t>la</w:t>
      </w:r>
      <w:r w:rsidRPr="009A688F">
        <w:rPr>
          <w:spacing w:val="-2"/>
        </w:rPr>
        <w:t xml:space="preserve"> </w:t>
      </w:r>
      <w:r>
        <w:t>República,</w:t>
      </w:r>
      <w:r w:rsidRPr="009A688F">
        <w:rPr>
          <w:spacing w:val="-2"/>
        </w:rPr>
        <w:t xml:space="preserve"> </w:t>
      </w:r>
      <w:r>
        <w:t>crear</w:t>
      </w:r>
      <w:r w:rsidRPr="009A688F">
        <w:rPr>
          <w:spacing w:val="-2"/>
        </w:rPr>
        <w:t xml:space="preserve"> </w:t>
      </w:r>
      <w:r>
        <w:t>las</w:t>
      </w:r>
      <w:r w:rsidRPr="009A688F">
        <w:rPr>
          <w:spacing w:val="-2"/>
        </w:rPr>
        <w:t xml:space="preserve"> </w:t>
      </w:r>
      <w:r>
        <w:t>políticas</w:t>
      </w:r>
      <w:r w:rsidRPr="009A688F">
        <w:rPr>
          <w:spacing w:val="-2"/>
        </w:rPr>
        <w:t xml:space="preserve"> </w:t>
      </w:r>
      <w:r>
        <w:t>y</w:t>
      </w:r>
      <w:r w:rsidRPr="009A688F">
        <w:rPr>
          <w:spacing w:val="-2"/>
        </w:rPr>
        <w:t xml:space="preserve"> </w:t>
      </w:r>
      <w:r>
        <w:t>realizar</w:t>
      </w:r>
      <w:r w:rsidRPr="009A688F">
        <w:rPr>
          <w:spacing w:val="-3"/>
        </w:rPr>
        <w:t xml:space="preserve"> </w:t>
      </w:r>
      <w:r>
        <w:t>los ajustes</w:t>
      </w:r>
      <w:r w:rsidRPr="009A688F">
        <w:rPr>
          <w:spacing w:val="74"/>
        </w:rPr>
        <w:t xml:space="preserve"> </w:t>
      </w:r>
      <w:r>
        <w:t>normativos</w:t>
      </w:r>
      <w:r w:rsidRPr="009A688F">
        <w:rPr>
          <w:spacing w:val="73"/>
        </w:rPr>
        <w:t xml:space="preserve"> </w:t>
      </w:r>
      <w:r>
        <w:t>necesarios</w:t>
      </w:r>
      <w:r w:rsidRPr="009A688F">
        <w:rPr>
          <w:spacing w:val="73"/>
        </w:rPr>
        <w:t xml:space="preserve"> </w:t>
      </w:r>
      <w:r w:rsidRPr="009A688F">
        <w:rPr>
          <w:b/>
        </w:rPr>
        <w:t>para</w:t>
      </w:r>
      <w:r w:rsidRPr="009A688F">
        <w:rPr>
          <w:b/>
          <w:spacing w:val="73"/>
        </w:rPr>
        <w:t xml:space="preserve"> </w:t>
      </w:r>
      <w:r w:rsidRPr="009A688F">
        <w:rPr>
          <w:b/>
        </w:rPr>
        <w:t>prevenir,</w:t>
      </w:r>
      <w:r w:rsidRPr="009A688F">
        <w:rPr>
          <w:b/>
          <w:spacing w:val="73"/>
        </w:rPr>
        <w:t xml:space="preserve"> </w:t>
      </w:r>
      <w:r w:rsidRPr="009A688F">
        <w:rPr>
          <w:b/>
        </w:rPr>
        <w:t>mitigar</w:t>
      </w:r>
      <w:r w:rsidRPr="009A688F">
        <w:rPr>
          <w:b/>
          <w:spacing w:val="72"/>
        </w:rPr>
        <w:t xml:space="preserve"> </w:t>
      </w:r>
      <w:r w:rsidRPr="009A688F">
        <w:rPr>
          <w:b/>
        </w:rPr>
        <w:t>y</w:t>
      </w:r>
      <w:r w:rsidRPr="009A688F">
        <w:rPr>
          <w:b/>
          <w:spacing w:val="73"/>
        </w:rPr>
        <w:t xml:space="preserve"> </w:t>
      </w:r>
      <w:r w:rsidRPr="009A688F">
        <w:rPr>
          <w:b/>
        </w:rPr>
        <w:t>reparar</w:t>
      </w:r>
      <w:r w:rsidRPr="009A688F">
        <w:rPr>
          <w:b/>
          <w:spacing w:val="72"/>
        </w:rPr>
        <w:t xml:space="preserve"> </w:t>
      </w:r>
      <w:r w:rsidRPr="009A688F">
        <w:rPr>
          <w:b/>
        </w:rPr>
        <w:t>las</w:t>
      </w:r>
      <w:r w:rsidRPr="009A688F">
        <w:rPr>
          <w:b/>
          <w:spacing w:val="73"/>
        </w:rPr>
        <w:t xml:space="preserve"> </w:t>
      </w:r>
      <w:r w:rsidRPr="009A688F">
        <w:rPr>
          <w:b/>
        </w:rPr>
        <w:t>violaciones</w:t>
      </w:r>
      <w:r w:rsidRPr="009A688F">
        <w:rPr>
          <w:b/>
          <w:spacing w:val="74"/>
        </w:rPr>
        <w:t xml:space="preserve"> </w:t>
      </w:r>
      <w:r w:rsidRPr="009A688F">
        <w:rPr>
          <w:b/>
        </w:rPr>
        <w:t>de</w:t>
      </w:r>
      <w:r w:rsidR="009A688F" w:rsidRPr="009A688F">
        <w:rPr>
          <w:b/>
        </w:rPr>
        <w:t xml:space="preserve"> </w:t>
      </w:r>
      <w:r w:rsidRPr="009A688F">
        <w:rPr>
          <w:b/>
        </w:rPr>
        <w:t>derechos humanos, ambientales y territoriales relacionadas con las actividades empresariales y de negocios</w:t>
      </w:r>
      <w:r>
        <w:t>, especialmente en contextos de violencia generalizada y de conflicto armado interno. Estas deben incluir:</w:t>
      </w:r>
    </w:p>
    <w:p w:rsidR="003804AC" w:rsidRDefault="00AF18A5" w:rsidP="009A688F">
      <w:pPr>
        <w:pStyle w:val="Prrafodelista"/>
        <w:numPr>
          <w:ilvl w:val="0"/>
          <w:numId w:val="60"/>
        </w:numPr>
      </w:pPr>
      <w:r>
        <w:t xml:space="preserve">Una </w:t>
      </w:r>
      <w:r w:rsidRPr="009A688F">
        <w:rPr>
          <w:b/>
        </w:rPr>
        <w:t>política de Estado de derechos humanos y empresas participativas</w:t>
      </w:r>
      <w:r>
        <w:t>, que</w:t>
      </w:r>
      <w:r w:rsidRPr="009A688F">
        <w:rPr>
          <w:spacing w:val="-6"/>
        </w:rPr>
        <w:t xml:space="preserve"> </w:t>
      </w:r>
      <w:r>
        <w:t>sea</w:t>
      </w:r>
      <w:r w:rsidRPr="009A688F">
        <w:rPr>
          <w:spacing w:val="-7"/>
        </w:rPr>
        <w:t xml:space="preserve"> </w:t>
      </w:r>
      <w:r>
        <w:t>mensurable,</w:t>
      </w:r>
      <w:r w:rsidRPr="009A688F">
        <w:rPr>
          <w:spacing w:val="-7"/>
        </w:rPr>
        <w:t xml:space="preserve"> </w:t>
      </w:r>
      <w:r>
        <w:t>con</w:t>
      </w:r>
      <w:r w:rsidRPr="009A688F">
        <w:rPr>
          <w:spacing w:val="-7"/>
        </w:rPr>
        <w:t xml:space="preserve"> </w:t>
      </w:r>
      <w:r>
        <w:t>recursos</w:t>
      </w:r>
      <w:r w:rsidRPr="009A688F">
        <w:rPr>
          <w:spacing w:val="-6"/>
        </w:rPr>
        <w:t xml:space="preserve"> </w:t>
      </w:r>
      <w:r>
        <w:t>y</w:t>
      </w:r>
      <w:r w:rsidRPr="009A688F">
        <w:rPr>
          <w:spacing w:val="-6"/>
        </w:rPr>
        <w:t xml:space="preserve"> </w:t>
      </w:r>
      <w:r>
        <w:t>mecanismos</w:t>
      </w:r>
      <w:r w:rsidRPr="009A688F">
        <w:rPr>
          <w:spacing w:val="-6"/>
        </w:rPr>
        <w:t xml:space="preserve"> </w:t>
      </w:r>
      <w:r>
        <w:t>de</w:t>
      </w:r>
      <w:r w:rsidRPr="009A688F">
        <w:rPr>
          <w:spacing w:val="-6"/>
        </w:rPr>
        <w:t xml:space="preserve"> </w:t>
      </w:r>
      <w:r>
        <w:t>seguimiento,</w:t>
      </w:r>
      <w:r w:rsidRPr="009A688F">
        <w:rPr>
          <w:spacing w:val="-6"/>
        </w:rPr>
        <w:t xml:space="preserve"> </w:t>
      </w:r>
      <w:r>
        <w:t>acciones</w:t>
      </w:r>
      <w:r w:rsidRPr="009A688F">
        <w:rPr>
          <w:spacing w:val="-7"/>
        </w:rPr>
        <w:t xml:space="preserve"> </w:t>
      </w:r>
      <w:proofErr w:type="spellStart"/>
      <w:r>
        <w:t>multiactor</w:t>
      </w:r>
      <w:proofErr w:type="spellEnd"/>
      <w:r>
        <w:t xml:space="preserve"> con especial presencia de la sociedad civil, y que fomente la debida diligencia empresarial en derechos humanos, ambientales y territoriales. Es necesario que esta tenga un énfasis en las regiones afectadas por el conflicto armado y la violencia generalizada, y debe incluir, entre otros, el deber de las empresas de: (i) realizar análisis periódicos, transparentes e independientes sobre los impactos en derechos humanos, ambientales y territoriales que se puedan derivar de su actividad y las de sus</w:t>
      </w:r>
      <w:r w:rsidRPr="009A688F">
        <w:rPr>
          <w:spacing w:val="-13"/>
        </w:rPr>
        <w:t xml:space="preserve"> </w:t>
      </w:r>
      <w:r>
        <w:t>cadenas</w:t>
      </w:r>
      <w:r w:rsidRPr="009A688F">
        <w:rPr>
          <w:spacing w:val="-14"/>
        </w:rPr>
        <w:t xml:space="preserve"> </w:t>
      </w:r>
      <w:r>
        <w:t>de</w:t>
      </w:r>
      <w:r w:rsidRPr="009A688F">
        <w:rPr>
          <w:spacing w:val="-13"/>
        </w:rPr>
        <w:t xml:space="preserve"> </w:t>
      </w:r>
      <w:r>
        <w:t>suministro;</w:t>
      </w:r>
      <w:r w:rsidRPr="009A688F">
        <w:rPr>
          <w:spacing w:val="-13"/>
        </w:rPr>
        <w:t xml:space="preserve"> </w:t>
      </w:r>
      <w:r>
        <w:t>(</w:t>
      </w:r>
      <w:proofErr w:type="spellStart"/>
      <w:r>
        <w:t>ii</w:t>
      </w:r>
      <w:proofErr w:type="spellEnd"/>
      <w:r>
        <w:t>)</w:t>
      </w:r>
      <w:r w:rsidRPr="009A688F">
        <w:rPr>
          <w:spacing w:val="-14"/>
        </w:rPr>
        <w:t xml:space="preserve"> </w:t>
      </w:r>
      <w:r>
        <w:t>realizar</w:t>
      </w:r>
      <w:r w:rsidRPr="009A688F">
        <w:rPr>
          <w:spacing w:val="-13"/>
        </w:rPr>
        <w:t xml:space="preserve"> </w:t>
      </w:r>
      <w:r>
        <w:t>análisis</w:t>
      </w:r>
      <w:r w:rsidRPr="009A688F">
        <w:rPr>
          <w:spacing w:val="-13"/>
        </w:rPr>
        <w:t xml:space="preserve"> </w:t>
      </w:r>
      <w:r>
        <w:t>del</w:t>
      </w:r>
      <w:r w:rsidRPr="009A688F">
        <w:rPr>
          <w:spacing w:val="-14"/>
        </w:rPr>
        <w:t xml:space="preserve"> </w:t>
      </w:r>
      <w:r>
        <w:t>impacto</w:t>
      </w:r>
      <w:r w:rsidRPr="009A688F">
        <w:rPr>
          <w:spacing w:val="-13"/>
        </w:rPr>
        <w:t xml:space="preserve"> </w:t>
      </w:r>
      <w:r>
        <w:t>de</w:t>
      </w:r>
      <w:r w:rsidRPr="009A688F">
        <w:rPr>
          <w:spacing w:val="-14"/>
        </w:rPr>
        <w:t xml:space="preserve"> </w:t>
      </w:r>
      <w:r>
        <w:t>sus</w:t>
      </w:r>
      <w:r w:rsidRPr="009A688F">
        <w:rPr>
          <w:spacing w:val="-13"/>
        </w:rPr>
        <w:t xml:space="preserve"> </w:t>
      </w:r>
      <w:r>
        <w:t>transacciones</w:t>
      </w:r>
      <w:r w:rsidRPr="009A688F">
        <w:rPr>
          <w:spacing w:val="-13"/>
        </w:rPr>
        <w:t xml:space="preserve"> </w:t>
      </w:r>
      <w:r>
        <w:t>sobre tierras, de</w:t>
      </w:r>
      <w:r w:rsidRPr="009A688F">
        <w:rPr>
          <w:spacing w:val="-1"/>
        </w:rPr>
        <w:t xml:space="preserve"> </w:t>
      </w:r>
      <w:r>
        <w:t>manera que no aumenten</w:t>
      </w:r>
      <w:r w:rsidRPr="009A688F">
        <w:rPr>
          <w:spacing w:val="-1"/>
        </w:rPr>
        <w:t xml:space="preserve"> </w:t>
      </w:r>
      <w:r>
        <w:t>el riesgo de</w:t>
      </w:r>
      <w:r w:rsidRPr="009A688F">
        <w:rPr>
          <w:spacing w:val="-1"/>
        </w:rPr>
        <w:t xml:space="preserve"> </w:t>
      </w:r>
      <w:r>
        <w:t>generar conflictos socioambientales o de concentración de tierras y acaparamiento territorial; (</w:t>
      </w:r>
      <w:proofErr w:type="spellStart"/>
      <w:r>
        <w:t>iii</w:t>
      </w:r>
      <w:proofErr w:type="spellEnd"/>
      <w:r>
        <w:t>) analizar el riesgo de agudizar</w:t>
      </w:r>
      <w:r w:rsidRPr="009A688F">
        <w:rPr>
          <w:spacing w:val="-8"/>
        </w:rPr>
        <w:t xml:space="preserve"> </w:t>
      </w:r>
      <w:r>
        <w:t>conflictos;</w:t>
      </w:r>
      <w:r w:rsidRPr="009A688F">
        <w:rPr>
          <w:spacing w:val="-8"/>
        </w:rPr>
        <w:t xml:space="preserve"> </w:t>
      </w:r>
      <w:r>
        <w:t>(</w:t>
      </w:r>
      <w:proofErr w:type="spellStart"/>
      <w:r>
        <w:t>iv</w:t>
      </w:r>
      <w:proofErr w:type="spellEnd"/>
      <w:r>
        <w:t>)</w:t>
      </w:r>
      <w:r w:rsidRPr="009A688F">
        <w:rPr>
          <w:spacing w:val="-9"/>
        </w:rPr>
        <w:t xml:space="preserve"> </w:t>
      </w:r>
      <w:r>
        <w:t>verificar</w:t>
      </w:r>
      <w:r w:rsidRPr="009A688F">
        <w:rPr>
          <w:spacing w:val="-8"/>
        </w:rPr>
        <w:t xml:space="preserve"> </w:t>
      </w:r>
      <w:r>
        <w:t>que</w:t>
      </w:r>
      <w:r w:rsidRPr="009A688F">
        <w:rPr>
          <w:spacing w:val="-9"/>
        </w:rPr>
        <w:t xml:space="preserve"> </w:t>
      </w:r>
      <w:r>
        <w:t>los</w:t>
      </w:r>
      <w:r w:rsidRPr="009A688F">
        <w:rPr>
          <w:spacing w:val="-8"/>
        </w:rPr>
        <w:t xml:space="preserve"> </w:t>
      </w:r>
      <w:r>
        <w:t>medios</w:t>
      </w:r>
      <w:r w:rsidRPr="009A688F">
        <w:rPr>
          <w:spacing w:val="-9"/>
        </w:rPr>
        <w:t xml:space="preserve"> </w:t>
      </w:r>
      <w:r>
        <w:t>de</w:t>
      </w:r>
      <w:r w:rsidRPr="009A688F">
        <w:rPr>
          <w:spacing w:val="-8"/>
        </w:rPr>
        <w:t xml:space="preserve"> </w:t>
      </w:r>
      <w:r>
        <w:t>seguridad</w:t>
      </w:r>
      <w:r w:rsidRPr="009A688F">
        <w:rPr>
          <w:spacing w:val="-10"/>
        </w:rPr>
        <w:t xml:space="preserve"> </w:t>
      </w:r>
      <w:r>
        <w:t>pública</w:t>
      </w:r>
      <w:r w:rsidRPr="009A688F">
        <w:rPr>
          <w:spacing w:val="-8"/>
        </w:rPr>
        <w:t xml:space="preserve"> </w:t>
      </w:r>
      <w:r>
        <w:t>y</w:t>
      </w:r>
      <w:r w:rsidRPr="009A688F">
        <w:rPr>
          <w:spacing w:val="-8"/>
        </w:rPr>
        <w:t xml:space="preserve"> </w:t>
      </w:r>
      <w:r>
        <w:t>privada</w:t>
      </w:r>
      <w:r w:rsidRPr="009A688F">
        <w:rPr>
          <w:spacing w:val="-8"/>
        </w:rPr>
        <w:t xml:space="preserve"> </w:t>
      </w:r>
      <w:r>
        <w:t>a</w:t>
      </w:r>
      <w:r w:rsidRPr="009A688F">
        <w:rPr>
          <w:spacing w:val="-8"/>
        </w:rPr>
        <w:t xml:space="preserve"> </w:t>
      </w:r>
      <w:r>
        <w:t>los que</w:t>
      </w:r>
      <w:r w:rsidRPr="009A688F">
        <w:rPr>
          <w:spacing w:val="-14"/>
        </w:rPr>
        <w:t xml:space="preserve"> </w:t>
      </w:r>
      <w:r>
        <w:t>acudan</w:t>
      </w:r>
      <w:r w:rsidRPr="009A688F">
        <w:rPr>
          <w:spacing w:val="-14"/>
        </w:rPr>
        <w:t xml:space="preserve"> </w:t>
      </w:r>
      <w:r>
        <w:t>no</w:t>
      </w:r>
      <w:r w:rsidRPr="009A688F">
        <w:rPr>
          <w:spacing w:val="-14"/>
        </w:rPr>
        <w:t xml:space="preserve"> </w:t>
      </w:r>
      <w:r>
        <w:t>escalen</w:t>
      </w:r>
      <w:r w:rsidRPr="009A688F">
        <w:rPr>
          <w:spacing w:val="-14"/>
        </w:rPr>
        <w:t xml:space="preserve"> </w:t>
      </w:r>
      <w:r>
        <w:t>conflictos</w:t>
      </w:r>
      <w:r w:rsidRPr="009A688F">
        <w:rPr>
          <w:spacing w:val="-14"/>
        </w:rPr>
        <w:t xml:space="preserve"> </w:t>
      </w:r>
      <w:r>
        <w:t>o</w:t>
      </w:r>
      <w:r w:rsidRPr="009A688F">
        <w:rPr>
          <w:spacing w:val="-14"/>
        </w:rPr>
        <w:t xml:space="preserve"> </w:t>
      </w:r>
      <w:r>
        <w:t>hagan</w:t>
      </w:r>
      <w:r w:rsidRPr="009A688F">
        <w:rPr>
          <w:spacing w:val="-14"/>
        </w:rPr>
        <w:t xml:space="preserve"> </w:t>
      </w:r>
      <w:r>
        <w:t>que</w:t>
      </w:r>
      <w:r w:rsidRPr="009A688F">
        <w:rPr>
          <w:spacing w:val="-14"/>
        </w:rPr>
        <w:t xml:space="preserve"> </w:t>
      </w:r>
      <w:r>
        <w:t>las</w:t>
      </w:r>
      <w:r w:rsidRPr="009A688F">
        <w:rPr>
          <w:spacing w:val="-14"/>
        </w:rPr>
        <w:t xml:space="preserve"> </w:t>
      </w:r>
      <w:r>
        <w:t>comunidades</w:t>
      </w:r>
      <w:r w:rsidRPr="009A688F">
        <w:rPr>
          <w:spacing w:val="-14"/>
        </w:rPr>
        <w:t xml:space="preserve"> </w:t>
      </w:r>
      <w:r>
        <w:t>queden</w:t>
      </w:r>
      <w:r w:rsidRPr="009A688F">
        <w:rPr>
          <w:spacing w:val="-14"/>
        </w:rPr>
        <w:t xml:space="preserve"> </w:t>
      </w:r>
      <w:r>
        <w:t>desprotegidas; y (v) reparar los daños que causen o, incluso, adelantar la restitución inmediata de bienes y tierras, cuando sea del caso.</w:t>
      </w:r>
    </w:p>
    <w:p w:rsidR="003804AC" w:rsidRDefault="00AF18A5" w:rsidP="009A688F">
      <w:pPr>
        <w:pStyle w:val="Prrafodelista"/>
        <w:numPr>
          <w:ilvl w:val="0"/>
          <w:numId w:val="60"/>
        </w:numPr>
      </w:pPr>
      <w:r>
        <w:t>Una regulación integral</w:t>
      </w:r>
      <w:r w:rsidRPr="009A688F">
        <w:rPr>
          <w:spacing w:val="-1"/>
        </w:rPr>
        <w:t xml:space="preserve"> </w:t>
      </w:r>
      <w:r>
        <w:t>de las</w:t>
      </w:r>
      <w:r w:rsidRPr="009A688F">
        <w:rPr>
          <w:spacing w:val="-1"/>
        </w:rPr>
        <w:t xml:space="preserve"> </w:t>
      </w:r>
      <w:r>
        <w:t>obligaciones del</w:t>
      </w:r>
      <w:r w:rsidRPr="009A688F">
        <w:rPr>
          <w:spacing w:val="-1"/>
        </w:rPr>
        <w:t xml:space="preserve"> </w:t>
      </w:r>
      <w:r>
        <w:t>Estado y de</w:t>
      </w:r>
      <w:r w:rsidRPr="009A688F">
        <w:rPr>
          <w:spacing w:val="-1"/>
        </w:rPr>
        <w:t xml:space="preserve"> </w:t>
      </w:r>
      <w:r>
        <w:t xml:space="preserve">las </w:t>
      </w:r>
      <w:r>
        <w:lastRenderedPageBreak/>
        <w:t>empresas, en el marco</w:t>
      </w:r>
      <w:r w:rsidRPr="009A688F">
        <w:rPr>
          <w:spacing w:val="-1"/>
        </w:rPr>
        <w:t xml:space="preserve"> </w:t>
      </w:r>
      <w:r>
        <w:t>de la debida diligencia</w:t>
      </w:r>
      <w:r w:rsidRPr="009A688F">
        <w:rPr>
          <w:spacing w:val="-1"/>
        </w:rPr>
        <w:t xml:space="preserve"> </w:t>
      </w:r>
      <w:r>
        <w:t>de las empresas y sus cadenas de suministro en</w:t>
      </w:r>
      <w:r w:rsidRPr="009A688F">
        <w:rPr>
          <w:spacing w:val="-8"/>
        </w:rPr>
        <w:t xml:space="preserve"> </w:t>
      </w:r>
      <w:r>
        <w:t>materia</w:t>
      </w:r>
      <w:r w:rsidRPr="009A688F">
        <w:rPr>
          <w:spacing w:val="-8"/>
        </w:rPr>
        <w:t xml:space="preserve"> </w:t>
      </w:r>
      <w:r>
        <w:t>de</w:t>
      </w:r>
      <w:r w:rsidRPr="009A688F">
        <w:rPr>
          <w:spacing w:val="-8"/>
        </w:rPr>
        <w:t xml:space="preserve"> </w:t>
      </w:r>
      <w:r>
        <w:t>protección,</w:t>
      </w:r>
      <w:r w:rsidRPr="009A688F">
        <w:rPr>
          <w:spacing w:val="-8"/>
        </w:rPr>
        <w:t xml:space="preserve"> </w:t>
      </w:r>
      <w:r>
        <w:t>respeto</w:t>
      </w:r>
      <w:r w:rsidRPr="009A688F">
        <w:rPr>
          <w:spacing w:val="-8"/>
        </w:rPr>
        <w:t xml:space="preserve"> </w:t>
      </w:r>
      <w:r>
        <w:t>y</w:t>
      </w:r>
      <w:r w:rsidRPr="009A688F">
        <w:rPr>
          <w:spacing w:val="-8"/>
        </w:rPr>
        <w:t xml:space="preserve"> </w:t>
      </w:r>
      <w:r>
        <w:t>remedio</w:t>
      </w:r>
      <w:r w:rsidRPr="009A688F">
        <w:rPr>
          <w:spacing w:val="-8"/>
        </w:rPr>
        <w:t xml:space="preserve"> </w:t>
      </w:r>
      <w:r>
        <w:t>de</w:t>
      </w:r>
      <w:r w:rsidRPr="009A688F">
        <w:rPr>
          <w:spacing w:val="-9"/>
        </w:rPr>
        <w:t xml:space="preserve"> </w:t>
      </w:r>
      <w:r>
        <w:t>los</w:t>
      </w:r>
      <w:r w:rsidRPr="009A688F">
        <w:rPr>
          <w:spacing w:val="-9"/>
        </w:rPr>
        <w:t xml:space="preserve"> </w:t>
      </w:r>
      <w:r>
        <w:t>derechos</w:t>
      </w:r>
      <w:r w:rsidRPr="009A688F">
        <w:rPr>
          <w:spacing w:val="-9"/>
        </w:rPr>
        <w:t xml:space="preserve"> </w:t>
      </w:r>
      <w:r>
        <w:t>humanos,</w:t>
      </w:r>
      <w:r w:rsidRPr="009A688F">
        <w:rPr>
          <w:spacing w:val="-8"/>
        </w:rPr>
        <w:t xml:space="preserve"> </w:t>
      </w:r>
      <w:r>
        <w:t>ambientales,</w:t>
      </w:r>
      <w:r w:rsidRPr="009A688F">
        <w:rPr>
          <w:spacing w:val="-8"/>
        </w:rPr>
        <w:t xml:space="preserve"> </w:t>
      </w:r>
      <w:r>
        <w:t>y territoriales antes, durante y después de las actividades económicas, que debe estar reforzada</w:t>
      </w:r>
      <w:r w:rsidRPr="009A688F">
        <w:rPr>
          <w:spacing w:val="-13"/>
        </w:rPr>
        <w:t xml:space="preserve"> </w:t>
      </w:r>
      <w:r>
        <w:t>en</w:t>
      </w:r>
      <w:r w:rsidRPr="009A688F">
        <w:rPr>
          <w:spacing w:val="-14"/>
        </w:rPr>
        <w:t xml:space="preserve"> </w:t>
      </w:r>
      <w:r>
        <w:t>zonas</w:t>
      </w:r>
      <w:r w:rsidRPr="009A688F">
        <w:rPr>
          <w:spacing w:val="-13"/>
        </w:rPr>
        <w:t xml:space="preserve"> </w:t>
      </w:r>
      <w:r>
        <w:t>afectadas</w:t>
      </w:r>
      <w:r w:rsidRPr="009A688F">
        <w:rPr>
          <w:spacing w:val="-13"/>
        </w:rPr>
        <w:t xml:space="preserve"> </w:t>
      </w:r>
      <w:r>
        <w:t>por</w:t>
      </w:r>
      <w:r w:rsidRPr="009A688F">
        <w:rPr>
          <w:spacing w:val="-13"/>
        </w:rPr>
        <w:t xml:space="preserve"> </w:t>
      </w:r>
      <w:r>
        <w:t>el</w:t>
      </w:r>
      <w:r w:rsidRPr="009A688F">
        <w:rPr>
          <w:spacing w:val="-13"/>
        </w:rPr>
        <w:t xml:space="preserve"> </w:t>
      </w:r>
      <w:r>
        <w:t>conflicto</w:t>
      </w:r>
      <w:r w:rsidRPr="009A688F">
        <w:rPr>
          <w:spacing w:val="-13"/>
        </w:rPr>
        <w:t xml:space="preserve"> </w:t>
      </w:r>
      <w:r>
        <w:t>armado</w:t>
      </w:r>
      <w:r w:rsidRPr="009A688F">
        <w:rPr>
          <w:spacing w:val="-13"/>
        </w:rPr>
        <w:t xml:space="preserve"> </w:t>
      </w:r>
      <w:r>
        <w:t>o</w:t>
      </w:r>
      <w:r w:rsidRPr="009A688F">
        <w:rPr>
          <w:spacing w:val="-13"/>
        </w:rPr>
        <w:t xml:space="preserve"> </w:t>
      </w:r>
      <w:r>
        <w:t>la</w:t>
      </w:r>
      <w:r w:rsidRPr="009A688F">
        <w:rPr>
          <w:spacing w:val="-13"/>
        </w:rPr>
        <w:t xml:space="preserve"> </w:t>
      </w:r>
      <w:r>
        <w:t>violencia</w:t>
      </w:r>
      <w:r w:rsidRPr="009A688F">
        <w:rPr>
          <w:spacing w:val="-13"/>
        </w:rPr>
        <w:t xml:space="preserve"> </w:t>
      </w:r>
      <w:r>
        <w:t>generalizada.</w:t>
      </w:r>
      <w:r w:rsidRPr="009A688F">
        <w:rPr>
          <w:spacing w:val="-13"/>
        </w:rPr>
        <w:t xml:space="preserve"> </w:t>
      </w:r>
      <w:r>
        <w:t>Para ello, es importante, entre otros factores: (i) tener en cuenta el suministro de la información por parte del Estado y de las empresas para el cumplimiento de sus obligaciones y para el monitoreo por parte de la sociedad civil; (</w:t>
      </w:r>
      <w:proofErr w:type="spellStart"/>
      <w:r>
        <w:t>ii</w:t>
      </w:r>
      <w:proofErr w:type="spellEnd"/>
      <w:r>
        <w:t>) regular la concesión de proyectos de utilidad pública y análogos con criterios de derechos humanos, ambientales y territoriales; (</w:t>
      </w:r>
      <w:proofErr w:type="spellStart"/>
      <w:r>
        <w:t>iii</w:t>
      </w:r>
      <w:proofErr w:type="spellEnd"/>
      <w:r>
        <w:t>) garantizar capacidades efectivas de seguimiento</w:t>
      </w:r>
      <w:r w:rsidRPr="009A688F">
        <w:rPr>
          <w:spacing w:val="6"/>
        </w:rPr>
        <w:t xml:space="preserve"> </w:t>
      </w:r>
      <w:r>
        <w:t>por</w:t>
      </w:r>
      <w:r w:rsidRPr="009A688F">
        <w:rPr>
          <w:spacing w:val="10"/>
        </w:rPr>
        <w:t xml:space="preserve"> </w:t>
      </w:r>
      <w:r>
        <w:t>parte</w:t>
      </w:r>
      <w:r w:rsidRPr="009A688F">
        <w:rPr>
          <w:spacing w:val="10"/>
        </w:rPr>
        <w:t xml:space="preserve"> </w:t>
      </w:r>
      <w:r>
        <w:t>de</w:t>
      </w:r>
      <w:r w:rsidRPr="009A688F">
        <w:rPr>
          <w:spacing w:val="10"/>
        </w:rPr>
        <w:t xml:space="preserve"> </w:t>
      </w:r>
      <w:r>
        <w:t>los</w:t>
      </w:r>
      <w:r w:rsidRPr="009A688F">
        <w:rPr>
          <w:spacing w:val="9"/>
        </w:rPr>
        <w:t xml:space="preserve"> </w:t>
      </w:r>
      <w:r>
        <w:t>sectores</w:t>
      </w:r>
      <w:r w:rsidRPr="009A688F">
        <w:rPr>
          <w:spacing w:val="10"/>
        </w:rPr>
        <w:t xml:space="preserve"> </w:t>
      </w:r>
      <w:r>
        <w:t>económicos</w:t>
      </w:r>
      <w:r w:rsidRPr="009A688F">
        <w:rPr>
          <w:spacing w:val="9"/>
        </w:rPr>
        <w:t xml:space="preserve"> </w:t>
      </w:r>
      <w:r>
        <w:t>y</w:t>
      </w:r>
      <w:r w:rsidRPr="009A688F">
        <w:rPr>
          <w:spacing w:val="9"/>
        </w:rPr>
        <w:t xml:space="preserve"> </w:t>
      </w:r>
      <w:r>
        <w:t>de</w:t>
      </w:r>
      <w:r w:rsidRPr="009A688F">
        <w:rPr>
          <w:spacing w:val="10"/>
        </w:rPr>
        <w:t xml:space="preserve"> </w:t>
      </w:r>
      <w:r>
        <w:t>supervisión</w:t>
      </w:r>
      <w:r w:rsidRPr="009A688F">
        <w:rPr>
          <w:spacing w:val="9"/>
        </w:rPr>
        <w:t xml:space="preserve"> </w:t>
      </w:r>
      <w:r>
        <w:t>de</w:t>
      </w:r>
      <w:r w:rsidRPr="009A688F">
        <w:rPr>
          <w:spacing w:val="10"/>
        </w:rPr>
        <w:t xml:space="preserve"> </w:t>
      </w:r>
      <w:r>
        <w:t>la</w:t>
      </w:r>
      <w:r w:rsidRPr="009A688F">
        <w:rPr>
          <w:spacing w:val="9"/>
        </w:rPr>
        <w:t xml:space="preserve"> </w:t>
      </w:r>
      <w:r w:rsidRPr="009A688F">
        <w:rPr>
          <w:spacing w:val="-2"/>
        </w:rPr>
        <w:t>regulación</w:t>
      </w:r>
      <w:r w:rsidR="009A688F">
        <w:rPr>
          <w:spacing w:val="-2"/>
        </w:rPr>
        <w:t xml:space="preserve"> </w:t>
      </w:r>
      <w:r>
        <w:t>adoptada por parte de la Defensoría del pueblo, las agencias nacionales y la Superintendencia</w:t>
      </w:r>
      <w:r w:rsidRPr="009A688F">
        <w:rPr>
          <w:spacing w:val="-15"/>
        </w:rPr>
        <w:t xml:space="preserve"> </w:t>
      </w:r>
      <w:r>
        <w:t>de</w:t>
      </w:r>
      <w:r w:rsidRPr="009A688F">
        <w:rPr>
          <w:spacing w:val="-15"/>
        </w:rPr>
        <w:t xml:space="preserve"> </w:t>
      </w:r>
      <w:r>
        <w:t>sociedades;</w:t>
      </w:r>
      <w:r w:rsidRPr="009A688F">
        <w:rPr>
          <w:spacing w:val="-15"/>
        </w:rPr>
        <w:t xml:space="preserve"> </w:t>
      </w:r>
      <w:r>
        <w:t>y</w:t>
      </w:r>
      <w:r w:rsidRPr="009A688F">
        <w:rPr>
          <w:spacing w:val="-15"/>
        </w:rPr>
        <w:t xml:space="preserve"> </w:t>
      </w:r>
      <w:r>
        <w:t>(</w:t>
      </w:r>
      <w:proofErr w:type="spellStart"/>
      <w:r>
        <w:t>iv</w:t>
      </w:r>
      <w:proofErr w:type="spellEnd"/>
      <w:r>
        <w:t>)</w:t>
      </w:r>
      <w:r w:rsidRPr="009A688F">
        <w:rPr>
          <w:spacing w:val="-15"/>
        </w:rPr>
        <w:t xml:space="preserve"> </w:t>
      </w:r>
      <w:r>
        <w:t>establecer</w:t>
      </w:r>
      <w:r w:rsidRPr="009A688F">
        <w:rPr>
          <w:spacing w:val="-15"/>
        </w:rPr>
        <w:t xml:space="preserve"> </w:t>
      </w:r>
      <w:r>
        <w:t>un</w:t>
      </w:r>
      <w:r w:rsidRPr="009A688F">
        <w:rPr>
          <w:spacing w:val="-15"/>
        </w:rPr>
        <w:t xml:space="preserve"> </w:t>
      </w:r>
      <w:r>
        <w:t>régimen</w:t>
      </w:r>
      <w:r w:rsidRPr="009A688F">
        <w:rPr>
          <w:spacing w:val="-15"/>
        </w:rPr>
        <w:t xml:space="preserve"> </w:t>
      </w:r>
      <w:r>
        <w:t>de</w:t>
      </w:r>
      <w:r w:rsidRPr="009A688F">
        <w:rPr>
          <w:spacing w:val="-15"/>
        </w:rPr>
        <w:t xml:space="preserve"> </w:t>
      </w:r>
      <w:r>
        <w:t>responsabilidad</w:t>
      </w:r>
      <w:r w:rsidRPr="009A688F">
        <w:rPr>
          <w:spacing w:val="-15"/>
        </w:rPr>
        <w:t xml:space="preserve"> </w:t>
      </w:r>
      <w:r>
        <w:t>legal por el incumplimiento derivado de la debida diligencia empresarial a través de mecanismos judiciales y no judiciales. Se deberá prestar especial atención a los hechos y dinámicas incluidas en el presente Informe Final.</w:t>
      </w:r>
    </w:p>
    <w:p w:rsidR="003804AC" w:rsidRDefault="00AF18A5" w:rsidP="009A688F">
      <w:pPr>
        <w:pStyle w:val="Ttulo3"/>
        <w:numPr>
          <w:ilvl w:val="1"/>
          <w:numId w:val="61"/>
        </w:numPr>
      </w:pPr>
      <w:bookmarkStart w:id="1679" w:name="7.5._Desarrollo_con_enfoque_territorial_"/>
      <w:bookmarkStart w:id="1680" w:name="_Toc112399720"/>
      <w:bookmarkEnd w:id="1679"/>
      <w:r w:rsidRPr="009A688F">
        <w:t>Desarrollo</w:t>
      </w:r>
      <w:r>
        <w:rPr>
          <w:spacing w:val="-8"/>
        </w:rPr>
        <w:t xml:space="preserve"> </w:t>
      </w:r>
      <w:r>
        <w:t>con</w:t>
      </w:r>
      <w:r>
        <w:rPr>
          <w:spacing w:val="-9"/>
        </w:rPr>
        <w:t xml:space="preserve"> </w:t>
      </w:r>
      <w:r>
        <w:t>enfoque</w:t>
      </w:r>
      <w:r>
        <w:rPr>
          <w:spacing w:val="-8"/>
        </w:rPr>
        <w:t xml:space="preserve"> </w:t>
      </w:r>
      <w:r>
        <w:t>territorial</w:t>
      </w:r>
      <w:r>
        <w:rPr>
          <w:spacing w:val="-8"/>
        </w:rPr>
        <w:t xml:space="preserve"> </w:t>
      </w:r>
      <w:r>
        <w:t>y</w:t>
      </w:r>
      <w:r>
        <w:rPr>
          <w:spacing w:val="-8"/>
        </w:rPr>
        <w:t xml:space="preserve"> </w:t>
      </w:r>
      <w:r>
        <w:t>provisión</w:t>
      </w:r>
      <w:r>
        <w:rPr>
          <w:spacing w:val="-9"/>
        </w:rPr>
        <w:t xml:space="preserve"> </w:t>
      </w:r>
      <w:r>
        <w:t>de</w:t>
      </w:r>
      <w:r>
        <w:rPr>
          <w:spacing w:val="-8"/>
        </w:rPr>
        <w:t xml:space="preserve"> </w:t>
      </w:r>
      <w:r>
        <w:t>bienes</w:t>
      </w:r>
      <w:r>
        <w:rPr>
          <w:spacing w:val="-8"/>
        </w:rPr>
        <w:t xml:space="preserve"> </w:t>
      </w:r>
      <w:r>
        <w:t>y</w:t>
      </w:r>
      <w:r>
        <w:rPr>
          <w:spacing w:val="-8"/>
        </w:rPr>
        <w:t xml:space="preserve"> </w:t>
      </w:r>
      <w:r>
        <w:t>servicios</w:t>
      </w:r>
      <w:r>
        <w:rPr>
          <w:spacing w:val="-8"/>
        </w:rPr>
        <w:t xml:space="preserve"> </w:t>
      </w:r>
      <w:r>
        <w:t>públicos</w:t>
      </w:r>
      <w:r>
        <w:rPr>
          <w:spacing w:val="-8"/>
        </w:rPr>
        <w:t xml:space="preserve"> </w:t>
      </w:r>
      <w:r>
        <w:t>para</w:t>
      </w:r>
      <w:r>
        <w:rPr>
          <w:spacing w:val="-8"/>
        </w:rPr>
        <w:t xml:space="preserve"> </w:t>
      </w:r>
      <w:r>
        <w:t xml:space="preserve">la </w:t>
      </w:r>
      <w:r>
        <w:rPr>
          <w:spacing w:val="-2"/>
        </w:rPr>
        <w:t>ruralidad</w:t>
      </w:r>
      <w:bookmarkEnd w:id="1680"/>
    </w:p>
    <w:p w:rsidR="0011361F" w:rsidRDefault="00AF18A5" w:rsidP="009A688F">
      <w:r>
        <w:t>Largo</w:t>
      </w:r>
      <w:r>
        <w:rPr>
          <w:spacing w:val="-1"/>
        </w:rPr>
        <w:t xml:space="preserve"> </w:t>
      </w:r>
      <w:r>
        <w:rPr>
          <w:spacing w:val="-2"/>
        </w:rPr>
        <w:t>plazo</w:t>
      </w:r>
    </w:p>
    <w:p w:rsidR="003804AC" w:rsidRPr="00D41A60" w:rsidRDefault="00AF18A5" w:rsidP="00D41A60">
      <w:pPr>
        <w:pStyle w:val="Prrafodelista"/>
        <w:numPr>
          <w:ilvl w:val="0"/>
          <w:numId w:val="31"/>
        </w:numPr>
        <w:rPr>
          <w:b/>
        </w:rPr>
      </w:pPr>
      <w:r>
        <w:t xml:space="preserve">Al Gobierno Nacional, en general, y a todas las autoridades territoriales, </w:t>
      </w:r>
      <w:r w:rsidRPr="00D41A60">
        <w:rPr>
          <w:b/>
        </w:rPr>
        <w:t>reducir las brechas</w:t>
      </w:r>
      <w:r w:rsidRPr="00D41A60">
        <w:rPr>
          <w:b/>
          <w:spacing w:val="-7"/>
        </w:rPr>
        <w:t xml:space="preserve"> </w:t>
      </w:r>
      <w:r w:rsidRPr="00D41A60">
        <w:rPr>
          <w:b/>
        </w:rPr>
        <w:t>de</w:t>
      </w:r>
      <w:r w:rsidRPr="00D41A60">
        <w:rPr>
          <w:b/>
          <w:spacing w:val="-8"/>
        </w:rPr>
        <w:t xml:space="preserve"> </w:t>
      </w:r>
      <w:r w:rsidRPr="00D41A60">
        <w:rPr>
          <w:b/>
        </w:rPr>
        <w:t>desigualdad</w:t>
      </w:r>
      <w:r w:rsidRPr="00D41A60">
        <w:rPr>
          <w:b/>
          <w:spacing w:val="-7"/>
        </w:rPr>
        <w:t xml:space="preserve"> </w:t>
      </w:r>
      <w:r w:rsidRPr="00D41A60">
        <w:rPr>
          <w:b/>
        </w:rPr>
        <w:t>entre</w:t>
      </w:r>
      <w:r w:rsidRPr="00D41A60">
        <w:rPr>
          <w:b/>
          <w:spacing w:val="-8"/>
        </w:rPr>
        <w:t xml:space="preserve"> </w:t>
      </w:r>
      <w:r w:rsidRPr="00D41A60">
        <w:rPr>
          <w:b/>
        </w:rPr>
        <w:t>las</w:t>
      </w:r>
      <w:r w:rsidRPr="00D41A60">
        <w:rPr>
          <w:b/>
          <w:spacing w:val="-8"/>
        </w:rPr>
        <w:t xml:space="preserve"> </w:t>
      </w:r>
      <w:r w:rsidRPr="00D41A60">
        <w:rPr>
          <w:b/>
        </w:rPr>
        <w:t>zonas</w:t>
      </w:r>
      <w:r w:rsidRPr="00D41A60">
        <w:rPr>
          <w:b/>
          <w:spacing w:val="-7"/>
        </w:rPr>
        <w:t xml:space="preserve"> </w:t>
      </w:r>
      <w:r w:rsidRPr="00D41A60">
        <w:rPr>
          <w:b/>
        </w:rPr>
        <w:t>urbanas</w:t>
      </w:r>
      <w:r w:rsidRPr="00D41A60">
        <w:rPr>
          <w:b/>
          <w:spacing w:val="-7"/>
        </w:rPr>
        <w:t xml:space="preserve"> </w:t>
      </w:r>
      <w:r w:rsidRPr="00D41A60">
        <w:rPr>
          <w:b/>
        </w:rPr>
        <w:t>y</w:t>
      </w:r>
      <w:r w:rsidRPr="00D41A60">
        <w:rPr>
          <w:b/>
          <w:spacing w:val="-7"/>
        </w:rPr>
        <w:t xml:space="preserve"> </w:t>
      </w:r>
      <w:r w:rsidRPr="00D41A60">
        <w:rPr>
          <w:b/>
        </w:rPr>
        <w:t>rurales</w:t>
      </w:r>
      <w:r w:rsidRPr="00D41A60">
        <w:rPr>
          <w:b/>
          <w:spacing w:val="-8"/>
        </w:rPr>
        <w:t xml:space="preserve"> </w:t>
      </w:r>
      <w:r>
        <w:t>–y</w:t>
      </w:r>
      <w:r w:rsidRPr="00D41A60">
        <w:rPr>
          <w:spacing w:val="-7"/>
        </w:rPr>
        <w:t xml:space="preserve"> </w:t>
      </w:r>
      <w:r>
        <w:t>entre</w:t>
      </w:r>
      <w:r w:rsidRPr="00D41A60">
        <w:rPr>
          <w:spacing w:val="-7"/>
        </w:rPr>
        <w:t xml:space="preserve"> </w:t>
      </w:r>
      <w:r>
        <w:t>distintos</w:t>
      </w:r>
      <w:r w:rsidRPr="00D41A60">
        <w:rPr>
          <w:spacing w:val="-7"/>
        </w:rPr>
        <w:t xml:space="preserve"> </w:t>
      </w:r>
      <w:r>
        <w:t>sectores</w:t>
      </w:r>
      <w:r w:rsidRPr="00D41A60">
        <w:rPr>
          <w:spacing w:val="-7"/>
        </w:rPr>
        <w:t xml:space="preserve"> </w:t>
      </w:r>
      <w:r>
        <w:t>de</w:t>
      </w:r>
      <w:r w:rsidRPr="00D41A60">
        <w:rPr>
          <w:spacing w:val="-7"/>
        </w:rPr>
        <w:t xml:space="preserve"> </w:t>
      </w:r>
      <w:r>
        <w:t xml:space="preserve">la ruralidad–, en el acceso a bienes y servicios públicos mediante </w:t>
      </w:r>
      <w:r>
        <w:lastRenderedPageBreak/>
        <w:t>las siguientes acciones:</w:t>
      </w:r>
    </w:p>
    <w:p w:rsidR="0011361F" w:rsidRDefault="00AF18A5" w:rsidP="00D41A60">
      <w:r>
        <w:t>Corto</w:t>
      </w:r>
      <w:r>
        <w:rPr>
          <w:spacing w:val="-1"/>
        </w:rPr>
        <w:t xml:space="preserve"> </w:t>
      </w:r>
      <w:r>
        <w:rPr>
          <w:spacing w:val="-2"/>
        </w:rPr>
        <w:t>plazo</w:t>
      </w:r>
    </w:p>
    <w:p w:rsidR="003804AC" w:rsidRDefault="00D41A60" w:rsidP="00D41A60">
      <w:r>
        <w:t xml:space="preserve">57.1. </w:t>
      </w:r>
      <w:r w:rsidR="00AF18A5">
        <w:t xml:space="preserve">Garantizar la </w:t>
      </w:r>
      <w:r w:rsidR="00AF18A5">
        <w:rPr>
          <w:b/>
        </w:rPr>
        <w:t xml:space="preserve">implementación de las hojas de ruta construidas para las 16 subregiones PDET </w:t>
      </w:r>
      <w:r w:rsidR="00AF18A5">
        <w:t>con participación activa y efectiva de las comunidades, incluyendo los pueblos étnicos y ampliar gradualmente la cobertura del programa para incluir otros territorios afectados por el conflicto.</w:t>
      </w:r>
    </w:p>
    <w:p w:rsidR="0011361F" w:rsidRDefault="00D41A60" w:rsidP="00D41A60">
      <w:r>
        <w:t xml:space="preserve">57.2. </w:t>
      </w:r>
      <w:r w:rsidR="00AF18A5">
        <w:t xml:space="preserve">Implementar, en consulta y con la participación de los pueblos, un </w:t>
      </w:r>
      <w:r w:rsidR="00AF18A5">
        <w:rPr>
          <w:b/>
        </w:rPr>
        <w:t xml:space="preserve">plan específico y participativo considerando los 17 </w:t>
      </w:r>
      <w:proofErr w:type="spellStart"/>
      <w:r w:rsidR="00AF18A5">
        <w:rPr>
          <w:b/>
        </w:rPr>
        <w:t>macroterritorios</w:t>
      </w:r>
      <w:proofErr w:type="spellEnd"/>
      <w:r w:rsidR="00AF18A5">
        <w:rPr>
          <w:b/>
        </w:rPr>
        <w:t xml:space="preserve"> étnicos </w:t>
      </w:r>
      <w:r w:rsidR="00AF18A5">
        <w:t>más afectados por el conflicto armado, identificados por la Comisión de la Verdad como corredores estratégicos de los grupos armados. Este plan debe consolidar el desarrollo territorial propio y el buen vivir para la construcción de paz con garantías de seguridad. Lo anterior debe hacerse en articulación con los planes existentes y con el fin de garantizar el fortalecimiento de la gobernanza</w:t>
      </w:r>
      <w:r w:rsidR="00AF18A5">
        <w:rPr>
          <w:spacing w:val="-2"/>
        </w:rPr>
        <w:t xml:space="preserve"> </w:t>
      </w:r>
      <w:r w:rsidR="00AF18A5">
        <w:t>comunitaria,</w:t>
      </w:r>
      <w:r w:rsidR="00AF18A5">
        <w:rPr>
          <w:spacing w:val="-1"/>
        </w:rPr>
        <w:t xml:space="preserve"> </w:t>
      </w:r>
      <w:r w:rsidR="00AF18A5">
        <w:t>el</w:t>
      </w:r>
      <w:r w:rsidR="00AF18A5">
        <w:rPr>
          <w:spacing w:val="-1"/>
        </w:rPr>
        <w:t xml:space="preserve"> </w:t>
      </w:r>
      <w:r w:rsidR="00AF18A5">
        <w:t>acceso</w:t>
      </w:r>
      <w:r w:rsidR="00AF18A5">
        <w:rPr>
          <w:spacing w:val="-1"/>
        </w:rPr>
        <w:t xml:space="preserve"> </w:t>
      </w:r>
      <w:r w:rsidR="00AF18A5">
        <w:t>a</w:t>
      </w:r>
      <w:r w:rsidR="00AF18A5">
        <w:rPr>
          <w:spacing w:val="-1"/>
        </w:rPr>
        <w:t xml:space="preserve"> </w:t>
      </w:r>
      <w:r w:rsidR="00AF18A5">
        <w:t>bienes y</w:t>
      </w:r>
      <w:r w:rsidR="00AF18A5">
        <w:rPr>
          <w:spacing w:val="-1"/>
        </w:rPr>
        <w:t xml:space="preserve"> </w:t>
      </w:r>
      <w:r w:rsidR="00AF18A5">
        <w:t>servicios</w:t>
      </w:r>
      <w:r w:rsidR="00AF18A5">
        <w:rPr>
          <w:spacing w:val="-1"/>
        </w:rPr>
        <w:t xml:space="preserve"> </w:t>
      </w:r>
      <w:r w:rsidR="00AF18A5">
        <w:t>públicos, la</w:t>
      </w:r>
      <w:r w:rsidR="00AF18A5">
        <w:rPr>
          <w:spacing w:val="-1"/>
        </w:rPr>
        <w:t xml:space="preserve"> </w:t>
      </w:r>
      <w:r w:rsidR="00AF18A5">
        <w:t>recuperación económica y</w:t>
      </w:r>
      <w:r w:rsidR="00AF18A5">
        <w:rPr>
          <w:spacing w:val="8"/>
        </w:rPr>
        <w:t xml:space="preserve"> </w:t>
      </w:r>
      <w:r w:rsidR="00AF18A5">
        <w:t>la</w:t>
      </w:r>
      <w:r w:rsidR="00AF18A5">
        <w:rPr>
          <w:spacing w:val="11"/>
        </w:rPr>
        <w:t xml:space="preserve"> </w:t>
      </w:r>
      <w:r w:rsidR="00AF18A5">
        <w:t>reconstrucción</w:t>
      </w:r>
      <w:r w:rsidR="00AF18A5">
        <w:rPr>
          <w:spacing w:val="11"/>
        </w:rPr>
        <w:t xml:space="preserve"> </w:t>
      </w:r>
      <w:r w:rsidR="00AF18A5">
        <w:t>del</w:t>
      </w:r>
      <w:r w:rsidR="00AF18A5">
        <w:rPr>
          <w:spacing w:val="10"/>
        </w:rPr>
        <w:t xml:space="preserve"> </w:t>
      </w:r>
      <w:r w:rsidR="00AF18A5">
        <w:t>tejido</w:t>
      </w:r>
      <w:r w:rsidR="00AF18A5">
        <w:rPr>
          <w:spacing w:val="11"/>
        </w:rPr>
        <w:t xml:space="preserve"> </w:t>
      </w:r>
      <w:r w:rsidR="00AF18A5">
        <w:t>social,</w:t>
      </w:r>
      <w:r w:rsidR="00AF18A5">
        <w:rPr>
          <w:spacing w:val="9"/>
        </w:rPr>
        <w:t xml:space="preserve"> </w:t>
      </w:r>
      <w:r w:rsidR="00AF18A5">
        <w:t>manteniendo</w:t>
      </w:r>
      <w:r w:rsidR="00AF18A5">
        <w:rPr>
          <w:spacing w:val="11"/>
        </w:rPr>
        <w:t xml:space="preserve"> </w:t>
      </w:r>
      <w:r w:rsidR="00AF18A5">
        <w:t>la</w:t>
      </w:r>
      <w:r w:rsidR="00AF18A5">
        <w:rPr>
          <w:spacing w:val="11"/>
        </w:rPr>
        <w:t xml:space="preserve"> </w:t>
      </w:r>
      <w:r w:rsidR="00AF18A5">
        <w:t>integralidad</w:t>
      </w:r>
      <w:r w:rsidR="00AF18A5">
        <w:rPr>
          <w:spacing w:val="11"/>
        </w:rPr>
        <w:t xml:space="preserve"> </w:t>
      </w:r>
      <w:r w:rsidR="00AF18A5">
        <w:t>cultural</w:t>
      </w:r>
      <w:r w:rsidR="00AF18A5">
        <w:rPr>
          <w:spacing w:val="10"/>
        </w:rPr>
        <w:t xml:space="preserve"> </w:t>
      </w:r>
      <w:r w:rsidR="00AF18A5">
        <w:t>de</w:t>
      </w:r>
      <w:r w:rsidR="00AF18A5">
        <w:rPr>
          <w:spacing w:val="11"/>
        </w:rPr>
        <w:t xml:space="preserve"> </w:t>
      </w:r>
      <w:r w:rsidR="00AF18A5">
        <w:t>los</w:t>
      </w:r>
      <w:r w:rsidR="00AF18A5">
        <w:rPr>
          <w:spacing w:val="11"/>
        </w:rPr>
        <w:t xml:space="preserve"> </w:t>
      </w:r>
      <w:r w:rsidR="00AF18A5">
        <w:rPr>
          <w:spacing w:val="-2"/>
        </w:rPr>
        <w:t>territorios.</w:t>
      </w:r>
    </w:p>
    <w:p w:rsidR="003804AC" w:rsidRDefault="00AF18A5" w:rsidP="00D41A60">
      <w:r>
        <w:t>Largo</w:t>
      </w:r>
      <w:r>
        <w:rPr>
          <w:spacing w:val="-1"/>
        </w:rPr>
        <w:t xml:space="preserve"> </w:t>
      </w:r>
      <w:r>
        <w:rPr>
          <w:spacing w:val="-2"/>
        </w:rPr>
        <w:t>plazo</w:t>
      </w:r>
    </w:p>
    <w:p w:rsidR="003804AC" w:rsidRDefault="00D41A60" w:rsidP="00D41A60">
      <w:r>
        <w:rPr>
          <w:b/>
        </w:rPr>
        <w:t xml:space="preserve">57.3. </w:t>
      </w:r>
      <w:r w:rsidR="00AF18A5">
        <w:rPr>
          <w:b/>
        </w:rPr>
        <w:t xml:space="preserve">Acelerar la implementación de la Reforma Rural Integral, </w:t>
      </w:r>
      <w:r w:rsidR="00AF18A5">
        <w:t xml:space="preserve">garantizando el enfoque territorial de los Planes Nacionales Sectoriales y la participación efectiva de las </w:t>
      </w:r>
      <w:r w:rsidR="00AF18A5">
        <w:rPr>
          <w:spacing w:val="-2"/>
        </w:rPr>
        <w:t>comunidades.</w:t>
      </w:r>
    </w:p>
    <w:p w:rsidR="0011361F" w:rsidRDefault="00AF18A5" w:rsidP="00D41A60">
      <w:r>
        <w:t>Mediano</w:t>
      </w:r>
      <w:r>
        <w:rPr>
          <w:spacing w:val="-3"/>
        </w:rPr>
        <w:t xml:space="preserve"> </w:t>
      </w:r>
      <w:r>
        <w:rPr>
          <w:spacing w:val="-2"/>
        </w:rPr>
        <w:t>plazo</w:t>
      </w:r>
    </w:p>
    <w:p w:rsidR="003804AC" w:rsidRDefault="00D41A60" w:rsidP="00D41A60">
      <w:r>
        <w:t xml:space="preserve">57.4. </w:t>
      </w:r>
      <w:r w:rsidR="00AF18A5">
        <w:t>Realizar los ajustes necesarios a la institucionalidad del orden local y nacional encargada de los distintos aspectos del desarrollo territorial –</w:t>
      </w:r>
      <w:r w:rsidR="00AF18A5">
        <w:lastRenderedPageBreak/>
        <w:t>i.e., el uso adecuado del territorio según la oferta ambiental, el ordenamiento y la mejor distribución de la propiedad rural, y la provisión de bienes y servicios públicos–-, de manera tal que se garantice la coordinación</w:t>
      </w:r>
      <w:r w:rsidR="00AF18A5">
        <w:rPr>
          <w:spacing w:val="-3"/>
        </w:rPr>
        <w:t xml:space="preserve"> </w:t>
      </w:r>
      <w:r w:rsidR="00AF18A5">
        <w:t>y</w:t>
      </w:r>
      <w:r w:rsidR="00AF18A5">
        <w:rPr>
          <w:spacing w:val="-3"/>
        </w:rPr>
        <w:t xml:space="preserve"> </w:t>
      </w:r>
      <w:r w:rsidR="00AF18A5">
        <w:t>la</w:t>
      </w:r>
      <w:r w:rsidR="00AF18A5">
        <w:rPr>
          <w:spacing w:val="-3"/>
        </w:rPr>
        <w:t xml:space="preserve"> </w:t>
      </w:r>
      <w:r w:rsidR="00AF18A5">
        <w:t>articulación</w:t>
      </w:r>
      <w:r w:rsidR="00AF18A5">
        <w:rPr>
          <w:spacing w:val="-3"/>
        </w:rPr>
        <w:t xml:space="preserve"> </w:t>
      </w:r>
      <w:r w:rsidR="00AF18A5">
        <w:t>entre</w:t>
      </w:r>
      <w:r w:rsidR="00AF18A5">
        <w:rPr>
          <w:spacing w:val="-4"/>
        </w:rPr>
        <w:t xml:space="preserve"> </w:t>
      </w:r>
      <w:r w:rsidR="00AF18A5">
        <w:t>las</w:t>
      </w:r>
      <w:r w:rsidR="00AF18A5">
        <w:rPr>
          <w:spacing w:val="-3"/>
        </w:rPr>
        <w:t xml:space="preserve"> </w:t>
      </w:r>
      <w:r w:rsidR="00AF18A5">
        <w:t>tres</w:t>
      </w:r>
      <w:r w:rsidR="00AF18A5">
        <w:rPr>
          <w:spacing w:val="-3"/>
        </w:rPr>
        <w:t xml:space="preserve"> </w:t>
      </w:r>
      <w:r w:rsidR="00AF18A5">
        <w:t>dimensiones</w:t>
      </w:r>
      <w:r w:rsidR="00AF18A5">
        <w:rPr>
          <w:spacing w:val="-3"/>
        </w:rPr>
        <w:t xml:space="preserve"> </w:t>
      </w:r>
      <w:r w:rsidR="00AF18A5">
        <w:t>que</w:t>
      </w:r>
      <w:r w:rsidR="00AF18A5">
        <w:rPr>
          <w:spacing w:val="-4"/>
        </w:rPr>
        <w:t xml:space="preserve"> </w:t>
      </w:r>
      <w:r w:rsidR="00AF18A5">
        <w:t>la</w:t>
      </w:r>
      <w:r w:rsidR="00AF18A5">
        <w:rPr>
          <w:spacing w:val="-3"/>
        </w:rPr>
        <w:t xml:space="preserve"> </w:t>
      </w:r>
      <w:r w:rsidR="00AF18A5">
        <w:t>componen.</w:t>
      </w:r>
      <w:r w:rsidR="00AF18A5">
        <w:rPr>
          <w:spacing w:val="-3"/>
        </w:rPr>
        <w:t xml:space="preserve"> </w:t>
      </w:r>
      <w:r w:rsidR="00AF18A5">
        <w:t>También</w:t>
      </w:r>
      <w:r w:rsidR="00AF18A5">
        <w:rPr>
          <w:spacing w:val="-5"/>
        </w:rPr>
        <w:t xml:space="preserve"> </w:t>
      </w:r>
      <w:r w:rsidR="00AF18A5">
        <w:t>se</w:t>
      </w:r>
      <w:r w:rsidR="00AF18A5">
        <w:rPr>
          <w:spacing w:val="-3"/>
        </w:rPr>
        <w:t xml:space="preserve"> </w:t>
      </w:r>
      <w:r w:rsidR="00AF18A5">
        <w:t>debe garantizar la capacidad presupuestal y operativa para atender las necesidades de inclusión social y productivas de la población directamente en el territorio. Esto debe hacerse en diálogo permanente con las comunidades y autoridades territoriales.</w:t>
      </w:r>
    </w:p>
    <w:p w:rsidR="0011361F" w:rsidRDefault="00AF18A5" w:rsidP="00D41A60">
      <w:r>
        <w:t>Mediano</w:t>
      </w:r>
      <w:r>
        <w:rPr>
          <w:spacing w:val="-3"/>
        </w:rPr>
        <w:t xml:space="preserve"> </w:t>
      </w:r>
      <w:r>
        <w:rPr>
          <w:spacing w:val="-2"/>
        </w:rPr>
        <w:t>plazo</w:t>
      </w:r>
    </w:p>
    <w:p w:rsidR="003804AC" w:rsidRDefault="00D41A60" w:rsidP="00D41A60">
      <w:r>
        <w:t xml:space="preserve">57.5. </w:t>
      </w:r>
      <w:r w:rsidR="00AF18A5">
        <w:t>Hacer los ajustes normativos, institucionales y presupuestales necesarios para garantizar</w:t>
      </w:r>
      <w:r w:rsidR="00AF18A5">
        <w:rPr>
          <w:spacing w:val="-7"/>
        </w:rPr>
        <w:t xml:space="preserve"> </w:t>
      </w:r>
      <w:r w:rsidR="00AF18A5">
        <w:t>la</w:t>
      </w:r>
      <w:r w:rsidR="00AF18A5">
        <w:rPr>
          <w:spacing w:val="-8"/>
        </w:rPr>
        <w:t xml:space="preserve"> </w:t>
      </w:r>
      <w:r w:rsidR="00AF18A5">
        <w:t>cobertura,</w:t>
      </w:r>
      <w:r w:rsidR="00AF18A5">
        <w:rPr>
          <w:spacing w:val="-7"/>
        </w:rPr>
        <w:t xml:space="preserve"> </w:t>
      </w:r>
      <w:r w:rsidR="00AF18A5">
        <w:t>acceso,</w:t>
      </w:r>
      <w:r w:rsidR="00AF18A5">
        <w:rPr>
          <w:spacing w:val="-7"/>
        </w:rPr>
        <w:t xml:space="preserve"> </w:t>
      </w:r>
      <w:r w:rsidR="00AF18A5">
        <w:t>calidad,</w:t>
      </w:r>
      <w:r w:rsidR="00AF18A5">
        <w:rPr>
          <w:spacing w:val="-7"/>
        </w:rPr>
        <w:t xml:space="preserve"> </w:t>
      </w:r>
      <w:r w:rsidR="00AF18A5">
        <w:t>pertinencia</w:t>
      </w:r>
      <w:r w:rsidR="00AF18A5">
        <w:rPr>
          <w:spacing w:val="-7"/>
        </w:rPr>
        <w:t xml:space="preserve"> </w:t>
      </w:r>
      <w:r w:rsidR="00AF18A5">
        <w:t>y</w:t>
      </w:r>
      <w:r w:rsidR="00AF18A5">
        <w:rPr>
          <w:spacing w:val="-7"/>
        </w:rPr>
        <w:t xml:space="preserve"> </w:t>
      </w:r>
      <w:r w:rsidR="00AF18A5">
        <w:t>permanencia</w:t>
      </w:r>
      <w:r w:rsidR="00AF18A5">
        <w:rPr>
          <w:spacing w:val="-7"/>
        </w:rPr>
        <w:t xml:space="preserve"> </w:t>
      </w:r>
      <w:r w:rsidR="00AF18A5">
        <w:t>en</w:t>
      </w:r>
      <w:r w:rsidR="00AF18A5">
        <w:rPr>
          <w:spacing w:val="-9"/>
        </w:rPr>
        <w:t xml:space="preserve"> </w:t>
      </w:r>
      <w:r w:rsidR="00AF18A5">
        <w:rPr>
          <w:b/>
        </w:rPr>
        <w:t>la</w:t>
      </w:r>
      <w:r w:rsidR="00AF18A5">
        <w:rPr>
          <w:b/>
          <w:spacing w:val="-7"/>
        </w:rPr>
        <w:t xml:space="preserve"> </w:t>
      </w:r>
      <w:r w:rsidR="00AF18A5">
        <w:rPr>
          <w:b/>
        </w:rPr>
        <w:t>educación</w:t>
      </w:r>
      <w:r w:rsidR="00AF18A5">
        <w:rPr>
          <w:b/>
          <w:spacing w:val="-7"/>
        </w:rPr>
        <w:t xml:space="preserve"> </w:t>
      </w:r>
      <w:r w:rsidR="00AF18A5">
        <w:rPr>
          <w:b/>
        </w:rPr>
        <w:t>para</w:t>
      </w:r>
      <w:r w:rsidR="00AF18A5">
        <w:rPr>
          <w:b/>
          <w:spacing w:val="-7"/>
        </w:rPr>
        <w:t xml:space="preserve"> </w:t>
      </w:r>
      <w:r w:rsidR="00AF18A5">
        <w:rPr>
          <w:b/>
        </w:rPr>
        <w:t>los niños,</w:t>
      </w:r>
      <w:r w:rsidR="00AF18A5">
        <w:rPr>
          <w:b/>
          <w:spacing w:val="-10"/>
        </w:rPr>
        <w:t xml:space="preserve"> </w:t>
      </w:r>
      <w:r w:rsidR="00AF18A5">
        <w:rPr>
          <w:b/>
        </w:rPr>
        <w:t>niñas,</w:t>
      </w:r>
      <w:r w:rsidR="00AF18A5">
        <w:rPr>
          <w:b/>
          <w:spacing w:val="-9"/>
        </w:rPr>
        <w:t xml:space="preserve"> </w:t>
      </w:r>
      <w:r w:rsidR="00AF18A5">
        <w:rPr>
          <w:b/>
        </w:rPr>
        <w:t>adolescentes</w:t>
      </w:r>
      <w:r w:rsidR="00AF18A5">
        <w:rPr>
          <w:b/>
          <w:spacing w:val="-9"/>
        </w:rPr>
        <w:t xml:space="preserve"> </w:t>
      </w:r>
      <w:r w:rsidR="00AF18A5">
        <w:rPr>
          <w:b/>
        </w:rPr>
        <w:t>y</w:t>
      </w:r>
      <w:r w:rsidR="00AF18A5">
        <w:rPr>
          <w:b/>
          <w:spacing w:val="-9"/>
        </w:rPr>
        <w:t xml:space="preserve"> </w:t>
      </w:r>
      <w:r w:rsidR="00AF18A5">
        <w:rPr>
          <w:b/>
        </w:rPr>
        <w:t>jóvenes</w:t>
      </w:r>
      <w:r w:rsidR="00AF18A5">
        <w:rPr>
          <w:b/>
          <w:spacing w:val="-10"/>
        </w:rPr>
        <w:t xml:space="preserve"> </w:t>
      </w:r>
      <w:r w:rsidR="00AF18A5">
        <w:rPr>
          <w:b/>
        </w:rPr>
        <w:t>de</w:t>
      </w:r>
      <w:r w:rsidR="00AF18A5">
        <w:rPr>
          <w:b/>
          <w:spacing w:val="-9"/>
        </w:rPr>
        <w:t xml:space="preserve"> </w:t>
      </w:r>
      <w:r w:rsidR="00AF18A5">
        <w:rPr>
          <w:b/>
        </w:rPr>
        <w:t>las</w:t>
      </w:r>
      <w:r w:rsidR="00AF18A5">
        <w:rPr>
          <w:b/>
          <w:spacing w:val="-11"/>
        </w:rPr>
        <w:t xml:space="preserve"> </w:t>
      </w:r>
      <w:r w:rsidR="00AF18A5">
        <w:rPr>
          <w:b/>
        </w:rPr>
        <w:t>zonas</w:t>
      </w:r>
      <w:r w:rsidR="00AF18A5">
        <w:rPr>
          <w:b/>
          <w:spacing w:val="-9"/>
        </w:rPr>
        <w:t xml:space="preserve"> </w:t>
      </w:r>
      <w:r w:rsidR="00AF18A5">
        <w:rPr>
          <w:b/>
        </w:rPr>
        <w:t>rurales</w:t>
      </w:r>
      <w:r w:rsidR="00AF18A5">
        <w:rPr>
          <w:b/>
          <w:spacing w:val="-11"/>
        </w:rPr>
        <w:t xml:space="preserve"> </w:t>
      </w:r>
      <w:r w:rsidR="00AF18A5">
        <w:t>de</w:t>
      </w:r>
      <w:r w:rsidR="00AF18A5">
        <w:rPr>
          <w:spacing w:val="-10"/>
        </w:rPr>
        <w:t xml:space="preserve"> </w:t>
      </w:r>
      <w:r w:rsidR="00AF18A5">
        <w:t>todo</w:t>
      </w:r>
      <w:r w:rsidR="00AF18A5">
        <w:rPr>
          <w:spacing w:val="-9"/>
        </w:rPr>
        <w:t xml:space="preserve"> </w:t>
      </w:r>
      <w:r w:rsidR="00AF18A5">
        <w:t>el</w:t>
      </w:r>
      <w:r w:rsidR="00AF18A5">
        <w:rPr>
          <w:spacing w:val="-10"/>
        </w:rPr>
        <w:t xml:space="preserve"> </w:t>
      </w:r>
      <w:r w:rsidR="00AF18A5">
        <w:t>territorio</w:t>
      </w:r>
      <w:r w:rsidR="00AF18A5">
        <w:rPr>
          <w:spacing w:val="-9"/>
        </w:rPr>
        <w:t xml:space="preserve"> </w:t>
      </w:r>
      <w:r w:rsidR="00AF18A5">
        <w:t>nacional,</w:t>
      </w:r>
      <w:r w:rsidR="00AF18A5">
        <w:rPr>
          <w:spacing w:val="-9"/>
        </w:rPr>
        <w:t xml:space="preserve"> </w:t>
      </w:r>
      <w:r w:rsidR="00AF18A5">
        <w:t>con el</w:t>
      </w:r>
      <w:r w:rsidR="00AF18A5">
        <w:rPr>
          <w:spacing w:val="-7"/>
        </w:rPr>
        <w:t xml:space="preserve"> </w:t>
      </w:r>
      <w:r w:rsidR="00AF18A5">
        <w:t>fin</w:t>
      </w:r>
      <w:r w:rsidR="00AF18A5">
        <w:rPr>
          <w:spacing w:val="-7"/>
        </w:rPr>
        <w:t xml:space="preserve"> </w:t>
      </w:r>
      <w:r w:rsidR="00AF18A5">
        <w:t>de</w:t>
      </w:r>
      <w:r w:rsidR="00AF18A5">
        <w:rPr>
          <w:spacing w:val="-7"/>
        </w:rPr>
        <w:t xml:space="preserve"> </w:t>
      </w:r>
      <w:r w:rsidR="00AF18A5">
        <w:t>que</w:t>
      </w:r>
      <w:r w:rsidR="00AF18A5">
        <w:rPr>
          <w:spacing w:val="-8"/>
        </w:rPr>
        <w:t xml:space="preserve"> </w:t>
      </w:r>
      <w:r w:rsidR="00AF18A5">
        <w:t>logren</w:t>
      </w:r>
      <w:r w:rsidR="00AF18A5">
        <w:rPr>
          <w:spacing w:val="-7"/>
        </w:rPr>
        <w:t xml:space="preserve"> </w:t>
      </w:r>
      <w:r w:rsidR="00AF18A5">
        <w:t>trayectorias</w:t>
      </w:r>
      <w:r w:rsidR="00AF18A5">
        <w:rPr>
          <w:spacing w:val="-7"/>
        </w:rPr>
        <w:t xml:space="preserve"> </w:t>
      </w:r>
      <w:r w:rsidR="00AF18A5">
        <w:t>educativas</w:t>
      </w:r>
      <w:r w:rsidR="00AF18A5">
        <w:rPr>
          <w:spacing w:val="-7"/>
        </w:rPr>
        <w:t xml:space="preserve"> </w:t>
      </w:r>
      <w:r w:rsidR="00AF18A5">
        <w:t>completas</w:t>
      </w:r>
      <w:r w:rsidR="00AF18A5">
        <w:rPr>
          <w:spacing w:val="-7"/>
        </w:rPr>
        <w:t xml:space="preserve"> </w:t>
      </w:r>
      <w:r w:rsidR="00AF18A5">
        <w:t>que</w:t>
      </w:r>
      <w:r w:rsidR="00AF18A5">
        <w:rPr>
          <w:spacing w:val="-7"/>
        </w:rPr>
        <w:t xml:space="preserve"> </w:t>
      </w:r>
      <w:r w:rsidR="00AF18A5">
        <w:t>les</w:t>
      </w:r>
      <w:r w:rsidR="00AF18A5">
        <w:rPr>
          <w:spacing w:val="-7"/>
        </w:rPr>
        <w:t xml:space="preserve"> </w:t>
      </w:r>
      <w:r w:rsidR="00AF18A5">
        <w:t>permitan</w:t>
      </w:r>
      <w:r w:rsidR="00AF18A5">
        <w:rPr>
          <w:spacing w:val="-7"/>
        </w:rPr>
        <w:t xml:space="preserve"> </w:t>
      </w:r>
      <w:r w:rsidR="00AF18A5">
        <w:t>emprender</w:t>
      </w:r>
      <w:r w:rsidR="00AF18A5">
        <w:rPr>
          <w:spacing w:val="-7"/>
        </w:rPr>
        <w:t xml:space="preserve"> </w:t>
      </w:r>
      <w:r w:rsidR="00AF18A5">
        <w:t>proyectos de vida alejados de la confrontación armada y la ilegalidad, y consolidarse como generaciones para la paz. Para ello se recomienda:</w:t>
      </w:r>
    </w:p>
    <w:p w:rsidR="003804AC" w:rsidRPr="00DA3D2E" w:rsidRDefault="00AF18A5" w:rsidP="00DA3D2E">
      <w:pPr>
        <w:pStyle w:val="Prrafodelista"/>
        <w:numPr>
          <w:ilvl w:val="0"/>
          <w:numId w:val="62"/>
        </w:numPr>
      </w:pPr>
      <w:r w:rsidRPr="00DA3D2E">
        <w:t>Diseñar e implementar un plan de choque con el fin de revertir la deserción escolar en zonas rurales, profundizada por la pandemia causada por el COVID- 19.</w:t>
      </w:r>
    </w:p>
    <w:p w:rsidR="003804AC" w:rsidRPr="00DA3D2E" w:rsidRDefault="00AF18A5" w:rsidP="00DA3D2E">
      <w:pPr>
        <w:pStyle w:val="Prrafodelista"/>
        <w:numPr>
          <w:ilvl w:val="0"/>
          <w:numId w:val="62"/>
        </w:numPr>
      </w:pPr>
      <w:r w:rsidRPr="00DA3D2E">
        <w:t>Garantizar la implementación del Plan Especial de Educación Rural y su articulación con los Planes de desarrollo locales y los Planes de Acción para la Transformación Regional (PATR), de manera que se adopte una oferta educativa rural diferenciada, acorde con los propósitos y aspiraciones locales.</w:t>
      </w:r>
    </w:p>
    <w:p w:rsidR="003804AC" w:rsidRPr="00DA3D2E" w:rsidRDefault="00AF18A5" w:rsidP="00DA3D2E">
      <w:pPr>
        <w:pStyle w:val="Prrafodelista"/>
        <w:numPr>
          <w:ilvl w:val="0"/>
          <w:numId w:val="62"/>
        </w:numPr>
      </w:pPr>
      <w:r w:rsidRPr="00DA3D2E">
        <w:t xml:space="preserve">Garantizar que, desde su autonomía, los pueblos étnicos fortalezcan sus procesos de educación propia e intercultural con </w:t>
      </w:r>
      <w:r w:rsidRPr="00DA3D2E">
        <w:lastRenderedPageBreak/>
        <w:t>disponibilidad de docentes especializados.</w:t>
      </w:r>
    </w:p>
    <w:p w:rsidR="003804AC" w:rsidRPr="00DA3D2E" w:rsidRDefault="00AF18A5" w:rsidP="00DA3D2E">
      <w:pPr>
        <w:pStyle w:val="Prrafodelista"/>
        <w:numPr>
          <w:ilvl w:val="0"/>
          <w:numId w:val="62"/>
        </w:numPr>
      </w:pPr>
      <w:r w:rsidRPr="00DA3D2E">
        <w:t>Articular y realizar alianzas con instituciones de educación públicas y privadas que permitan garantizar cobertura, acceso y permanencia en la educación superior, profesional, técnica y tecnológica de las poblaciones rurales, así como la nivelación académica y la cobertura de los gastos de manutención.</w:t>
      </w:r>
    </w:p>
    <w:p w:rsidR="003804AC" w:rsidRPr="00DA3D2E" w:rsidRDefault="00AF18A5" w:rsidP="00DA3D2E">
      <w:pPr>
        <w:pStyle w:val="Prrafodelista"/>
        <w:numPr>
          <w:ilvl w:val="0"/>
          <w:numId w:val="62"/>
        </w:numPr>
      </w:pPr>
      <w:r w:rsidRPr="00DA3D2E">
        <w:t>Cumplir estrictamente el derecho internacional y su disposición de impedir el uso de infraestructuras educativas con fines militares, y proteger la infraestructura y las personas de ataques en situaciones de conflicto armado.</w:t>
      </w:r>
    </w:p>
    <w:p w:rsidR="0011361F" w:rsidRDefault="00AF18A5" w:rsidP="00DA3D2E">
      <w:r>
        <w:t>Corto</w:t>
      </w:r>
      <w:r>
        <w:rPr>
          <w:spacing w:val="-1"/>
        </w:rPr>
        <w:t xml:space="preserve"> </w:t>
      </w:r>
      <w:r>
        <w:rPr>
          <w:spacing w:val="-2"/>
        </w:rPr>
        <w:t>plazo</w:t>
      </w:r>
    </w:p>
    <w:p w:rsidR="003804AC" w:rsidRDefault="00130648" w:rsidP="00130648">
      <w:r>
        <w:t xml:space="preserve">57.6. </w:t>
      </w:r>
      <w:r w:rsidR="00AF18A5">
        <w:t xml:space="preserve">Desarrollar un enfoque diferencial e </w:t>
      </w:r>
      <w:proofErr w:type="spellStart"/>
      <w:r w:rsidR="00AF18A5">
        <w:t>interseccional</w:t>
      </w:r>
      <w:proofErr w:type="spellEnd"/>
      <w:r w:rsidR="00AF18A5">
        <w:t xml:space="preserve">, y una </w:t>
      </w:r>
      <w:r w:rsidR="00AF18A5">
        <w:rPr>
          <w:b/>
        </w:rPr>
        <w:t>política general que atienda</w:t>
      </w:r>
      <w:r w:rsidR="00AF18A5">
        <w:rPr>
          <w:b/>
          <w:spacing w:val="-15"/>
        </w:rPr>
        <w:t xml:space="preserve"> </w:t>
      </w:r>
      <w:r w:rsidR="00AF18A5">
        <w:rPr>
          <w:b/>
        </w:rPr>
        <w:t>las</w:t>
      </w:r>
      <w:r w:rsidR="00AF18A5">
        <w:rPr>
          <w:b/>
          <w:spacing w:val="-15"/>
        </w:rPr>
        <w:t xml:space="preserve"> </w:t>
      </w:r>
      <w:r w:rsidR="00AF18A5">
        <w:rPr>
          <w:b/>
        </w:rPr>
        <w:t>necesidades</w:t>
      </w:r>
      <w:r w:rsidR="00AF18A5">
        <w:rPr>
          <w:b/>
          <w:spacing w:val="-15"/>
        </w:rPr>
        <w:t xml:space="preserve"> </w:t>
      </w:r>
      <w:r w:rsidR="00AF18A5">
        <w:rPr>
          <w:b/>
        </w:rPr>
        <w:t>de</w:t>
      </w:r>
      <w:r w:rsidR="00AF18A5">
        <w:rPr>
          <w:b/>
          <w:spacing w:val="-14"/>
        </w:rPr>
        <w:t xml:space="preserve"> </w:t>
      </w:r>
      <w:r w:rsidR="00AF18A5">
        <w:rPr>
          <w:b/>
        </w:rPr>
        <w:t>niños,</w:t>
      </w:r>
      <w:r w:rsidR="00AF18A5">
        <w:rPr>
          <w:b/>
          <w:spacing w:val="-14"/>
        </w:rPr>
        <w:t xml:space="preserve"> </w:t>
      </w:r>
      <w:r w:rsidR="00AF18A5">
        <w:rPr>
          <w:b/>
        </w:rPr>
        <w:t>niñas,</w:t>
      </w:r>
      <w:r w:rsidR="00AF18A5">
        <w:rPr>
          <w:b/>
          <w:spacing w:val="-14"/>
        </w:rPr>
        <w:t xml:space="preserve"> </w:t>
      </w:r>
      <w:r w:rsidR="00AF18A5">
        <w:rPr>
          <w:b/>
        </w:rPr>
        <w:t>adolescentes</w:t>
      </w:r>
      <w:r w:rsidR="00AF18A5">
        <w:rPr>
          <w:b/>
          <w:spacing w:val="-14"/>
        </w:rPr>
        <w:t xml:space="preserve"> </w:t>
      </w:r>
      <w:r w:rsidR="00AF18A5">
        <w:rPr>
          <w:b/>
        </w:rPr>
        <w:t>y</w:t>
      </w:r>
      <w:r w:rsidR="00AF18A5">
        <w:rPr>
          <w:b/>
          <w:spacing w:val="-15"/>
        </w:rPr>
        <w:t xml:space="preserve"> </w:t>
      </w:r>
      <w:r w:rsidR="00AF18A5">
        <w:rPr>
          <w:b/>
        </w:rPr>
        <w:t>jóvenes</w:t>
      </w:r>
      <w:r w:rsidR="00AF18A5">
        <w:rPr>
          <w:b/>
          <w:spacing w:val="-14"/>
        </w:rPr>
        <w:t xml:space="preserve"> </w:t>
      </w:r>
      <w:r w:rsidR="00AF18A5">
        <w:rPr>
          <w:b/>
        </w:rPr>
        <w:t>rurales</w:t>
      </w:r>
      <w:r w:rsidR="00AF18A5">
        <w:rPr>
          <w:b/>
          <w:spacing w:val="-15"/>
        </w:rPr>
        <w:t xml:space="preserve"> </w:t>
      </w:r>
      <w:r w:rsidR="00AF18A5">
        <w:rPr>
          <w:b/>
        </w:rPr>
        <w:t>de</w:t>
      </w:r>
      <w:r w:rsidR="00AF18A5">
        <w:rPr>
          <w:b/>
          <w:spacing w:val="-14"/>
        </w:rPr>
        <w:t xml:space="preserve"> </w:t>
      </w:r>
      <w:r w:rsidR="00AF18A5">
        <w:rPr>
          <w:b/>
        </w:rPr>
        <w:t>cada</w:t>
      </w:r>
      <w:r w:rsidR="00AF18A5">
        <w:rPr>
          <w:b/>
          <w:spacing w:val="-14"/>
        </w:rPr>
        <w:t xml:space="preserve"> </w:t>
      </w:r>
      <w:r w:rsidR="00AF18A5">
        <w:rPr>
          <w:b/>
        </w:rPr>
        <w:t xml:space="preserve">territorio </w:t>
      </w:r>
      <w:r w:rsidR="00AF18A5">
        <w:t>y que esté dirigida a garantizar sus derechos y a dotarles de las capacidades necesarias para desarrollar sus planes de vida en paz. Entre sus componentes esenciales, además de la educación,</w:t>
      </w:r>
      <w:r w:rsidR="00AF18A5">
        <w:rPr>
          <w:spacing w:val="-8"/>
        </w:rPr>
        <w:t xml:space="preserve"> </w:t>
      </w:r>
      <w:r w:rsidR="00AF18A5">
        <w:t>deben</w:t>
      </w:r>
      <w:r w:rsidR="00AF18A5">
        <w:rPr>
          <w:spacing w:val="-8"/>
        </w:rPr>
        <w:t xml:space="preserve"> </w:t>
      </w:r>
      <w:r w:rsidR="00AF18A5">
        <w:t>estar</w:t>
      </w:r>
      <w:r w:rsidR="00AF18A5">
        <w:rPr>
          <w:spacing w:val="-8"/>
        </w:rPr>
        <w:t xml:space="preserve"> </w:t>
      </w:r>
      <w:r w:rsidR="00AF18A5">
        <w:t>la</w:t>
      </w:r>
      <w:r w:rsidR="00AF18A5">
        <w:rPr>
          <w:spacing w:val="-9"/>
        </w:rPr>
        <w:t xml:space="preserve"> </w:t>
      </w:r>
      <w:r w:rsidR="00AF18A5">
        <w:t>salud</w:t>
      </w:r>
      <w:r w:rsidR="00AF18A5">
        <w:rPr>
          <w:spacing w:val="-8"/>
        </w:rPr>
        <w:t xml:space="preserve"> </w:t>
      </w:r>
      <w:r w:rsidR="00AF18A5">
        <w:t>física</w:t>
      </w:r>
      <w:r w:rsidR="00AF18A5">
        <w:rPr>
          <w:spacing w:val="-9"/>
        </w:rPr>
        <w:t xml:space="preserve"> </w:t>
      </w:r>
      <w:r w:rsidR="00AF18A5">
        <w:t>y</w:t>
      </w:r>
      <w:r w:rsidR="00AF18A5">
        <w:rPr>
          <w:spacing w:val="-8"/>
        </w:rPr>
        <w:t xml:space="preserve"> </w:t>
      </w:r>
      <w:r w:rsidR="00AF18A5">
        <w:t>mental</w:t>
      </w:r>
      <w:r w:rsidR="00AF18A5">
        <w:rPr>
          <w:spacing w:val="-8"/>
        </w:rPr>
        <w:t xml:space="preserve"> </w:t>
      </w:r>
      <w:r w:rsidR="00AF18A5">
        <w:t>y</w:t>
      </w:r>
      <w:r w:rsidR="00AF18A5">
        <w:rPr>
          <w:spacing w:val="-8"/>
        </w:rPr>
        <w:t xml:space="preserve"> </w:t>
      </w:r>
      <w:r w:rsidR="00AF18A5">
        <w:t>la</w:t>
      </w:r>
      <w:r w:rsidR="00AF18A5">
        <w:rPr>
          <w:spacing w:val="-8"/>
        </w:rPr>
        <w:t xml:space="preserve"> </w:t>
      </w:r>
      <w:r w:rsidR="00AF18A5">
        <w:t>generación</w:t>
      </w:r>
      <w:r w:rsidR="00AF18A5">
        <w:rPr>
          <w:spacing w:val="-10"/>
        </w:rPr>
        <w:t xml:space="preserve"> </w:t>
      </w:r>
      <w:r w:rsidR="00AF18A5">
        <w:t>de</w:t>
      </w:r>
      <w:r w:rsidR="00AF18A5">
        <w:rPr>
          <w:spacing w:val="-8"/>
        </w:rPr>
        <w:t xml:space="preserve"> </w:t>
      </w:r>
      <w:r w:rsidR="00AF18A5">
        <w:t>ingresos</w:t>
      </w:r>
      <w:r w:rsidR="00AF18A5">
        <w:rPr>
          <w:spacing w:val="-10"/>
        </w:rPr>
        <w:t xml:space="preserve"> </w:t>
      </w:r>
      <w:r w:rsidR="00AF18A5">
        <w:t>para</w:t>
      </w:r>
      <w:r w:rsidR="00AF18A5">
        <w:rPr>
          <w:spacing w:val="-8"/>
        </w:rPr>
        <w:t xml:space="preserve"> </w:t>
      </w:r>
      <w:r w:rsidR="00AF18A5">
        <w:t>jóvenes.</w:t>
      </w:r>
      <w:r w:rsidR="00AF18A5">
        <w:rPr>
          <w:spacing w:val="-8"/>
        </w:rPr>
        <w:t xml:space="preserve"> </w:t>
      </w:r>
      <w:r w:rsidR="00AF18A5">
        <w:t>Esta política</w:t>
      </w:r>
      <w:r w:rsidR="00AF18A5">
        <w:rPr>
          <w:spacing w:val="-15"/>
        </w:rPr>
        <w:t xml:space="preserve"> </w:t>
      </w:r>
      <w:r w:rsidR="00AF18A5">
        <w:t>también</w:t>
      </w:r>
      <w:r w:rsidR="00AF18A5">
        <w:rPr>
          <w:spacing w:val="-15"/>
        </w:rPr>
        <w:t xml:space="preserve"> </w:t>
      </w:r>
      <w:r w:rsidR="00AF18A5">
        <w:t>deberá</w:t>
      </w:r>
      <w:r w:rsidR="00AF18A5">
        <w:rPr>
          <w:spacing w:val="-15"/>
        </w:rPr>
        <w:t xml:space="preserve"> </w:t>
      </w:r>
      <w:r w:rsidR="00AF18A5">
        <w:t>tener</w:t>
      </w:r>
      <w:r w:rsidR="00AF18A5">
        <w:rPr>
          <w:spacing w:val="-15"/>
        </w:rPr>
        <w:t xml:space="preserve"> </w:t>
      </w:r>
      <w:r w:rsidR="00AF18A5">
        <w:t>un</w:t>
      </w:r>
      <w:r w:rsidR="00AF18A5">
        <w:rPr>
          <w:spacing w:val="-15"/>
        </w:rPr>
        <w:t xml:space="preserve"> </w:t>
      </w:r>
      <w:r w:rsidR="00AF18A5">
        <w:t>enfoque</w:t>
      </w:r>
      <w:r w:rsidR="00AF18A5">
        <w:rPr>
          <w:spacing w:val="-15"/>
        </w:rPr>
        <w:t xml:space="preserve"> </w:t>
      </w:r>
      <w:r w:rsidR="00AF18A5">
        <w:t>territorial</w:t>
      </w:r>
      <w:r w:rsidR="00AF18A5">
        <w:rPr>
          <w:spacing w:val="-15"/>
        </w:rPr>
        <w:t xml:space="preserve"> </w:t>
      </w:r>
      <w:r w:rsidR="00AF18A5">
        <w:t>y</w:t>
      </w:r>
      <w:r w:rsidR="00AF18A5">
        <w:rPr>
          <w:spacing w:val="-15"/>
        </w:rPr>
        <w:t xml:space="preserve"> </w:t>
      </w:r>
      <w:r w:rsidR="00AF18A5">
        <w:t>priorizar</w:t>
      </w:r>
      <w:r w:rsidR="00AF18A5">
        <w:rPr>
          <w:spacing w:val="-15"/>
        </w:rPr>
        <w:t xml:space="preserve"> </w:t>
      </w:r>
      <w:r w:rsidR="00AF18A5">
        <w:t>los</w:t>
      </w:r>
      <w:r w:rsidR="00AF18A5">
        <w:rPr>
          <w:spacing w:val="-15"/>
        </w:rPr>
        <w:t xml:space="preserve"> </w:t>
      </w:r>
      <w:r w:rsidR="00AF18A5">
        <w:t>territorios</w:t>
      </w:r>
      <w:r w:rsidR="00AF18A5">
        <w:rPr>
          <w:spacing w:val="-15"/>
        </w:rPr>
        <w:t xml:space="preserve"> </w:t>
      </w:r>
      <w:r w:rsidR="00AF18A5">
        <w:t>PDET</w:t>
      </w:r>
      <w:r w:rsidR="00AF18A5">
        <w:rPr>
          <w:spacing w:val="-15"/>
        </w:rPr>
        <w:t xml:space="preserve"> </w:t>
      </w:r>
      <w:r w:rsidR="00AF18A5">
        <w:t>y</w:t>
      </w:r>
      <w:r w:rsidR="00AF18A5">
        <w:rPr>
          <w:spacing w:val="-15"/>
        </w:rPr>
        <w:t xml:space="preserve"> </w:t>
      </w:r>
      <w:r w:rsidR="00AF18A5">
        <w:t>aquellos en los que se estén registrando ingresos de niños, niñas, adolescentes y jóvenes a agrupaciones armadas.</w:t>
      </w:r>
    </w:p>
    <w:p w:rsidR="003804AC" w:rsidRDefault="00130648" w:rsidP="00130648">
      <w:pPr>
        <w:pStyle w:val="Ttulo3"/>
      </w:pPr>
      <w:bookmarkStart w:id="1681" w:name="7.6._Prevención_y_reversión_del_despojo_"/>
      <w:bookmarkStart w:id="1682" w:name="_Toc112399721"/>
      <w:bookmarkEnd w:id="1681"/>
      <w:r>
        <w:t xml:space="preserve">7.6. </w:t>
      </w:r>
      <w:r w:rsidR="00AF18A5">
        <w:t>Prevención</w:t>
      </w:r>
      <w:r w:rsidR="00AF18A5">
        <w:rPr>
          <w:spacing w:val="-3"/>
        </w:rPr>
        <w:t xml:space="preserve"> </w:t>
      </w:r>
      <w:r w:rsidR="00AF18A5">
        <w:t>y</w:t>
      </w:r>
      <w:r w:rsidR="00AF18A5">
        <w:rPr>
          <w:spacing w:val="-2"/>
        </w:rPr>
        <w:t xml:space="preserve"> </w:t>
      </w:r>
      <w:r w:rsidR="00AF18A5">
        <w:t>reversión</w:t>
      </w:r>
      <w:r w:rsidR="00AF18A5">
        <w:rPr>
          <w:spacing w:val="-3"/>
        </w:rPr>
        <w:t xml:space="preserve"> </w:t>
      </w:r>
      <w:r w:rsidR="00AF18A5">
        <w:t>del</w:t>
      </w:r>
      <w:r w:rsidR="00AF18A5">
        <w:rPr>
          <w:spacing w:val="-2"/>
        </w:rPr>
        <w:t xml:space="preserve"> </w:t>
      </w:r>
      <w:r w:rsidR="00AF18A5">
        <w:t>despojo</w:t>
      </w:r>
      <w:r w:rsidR="00AF18A5">
        <w:rPr>
          <w:spacing w:val="-2"/>
        </w:rPr>
        <w:t xml:space="preserve"> </w:t>
      </w:r>
      <w:r w:rsidR="00AF18A5">
        <w:t>de</w:t>
      </w:r>
      <w:r w:rsidR="00AF18A5">
        <w:rPr>
          <w:spacing w:val="-2"/>
        </w:rPr>
        <w:t xml:space="preserve"> </w:t>
      </w:r>
      <w:r w:rsidR="00AF18A5">
        <w:t>tierras</w:t>
      </w:r>
      <w:r w:rsidR="00AF18A5">
        <w:rPr>
          <w:spacing w:val="-2"/>
        </w:rPr>
        <w:t xml:space="preserve"> </w:t>
      </w:r>
      <w:r w:rsidR="00AF18A5">
        <w:t>y</w:t>
      </w:r>
      <w:r w:rsidR="00AF18A5">
        <w:rPr>
          <w:spacing w:val="-2"/>
        </w:rPr>
        <w:t xml:space="preserve"> </w:t>
      </w:r>
      <w:r w:rsidR="00AF18A5">
        <w:t>territorios,</w:t>
      </w:r>
      <w:r w:rsidR="00AF18A5">
        <w:rPr>
          <w:spacing w:val="-2"/>
        </w:rPr>
        <w:t xml:space="preserve"> </w:t>
      </w:r>
      <w:r w:rsidR="00AF18A5">
        <w:t>y</w:t>
      </w:r>
      <w:r w:rsidR="00AF18A5">
        <w:rPr>
          <w:spacing w:val="-3"/>
        </w:rPr>
        <w:t xml:space="preserve"> </w:t>
      </w:r>
      <w:r w:rsidR="00AF18A5">
        <w:t>la</w:t>
      </w:r>
      <w:r w:rsidR="00AF18A5">
        <w:rPr>
          <w:spacing w:val="-2"/>
        </w:rPr>
        <w:t xml:space="preserve"> </w:t>
      </w:r>
      <w:r w:rsidR="00AF18A5">
        <w:t>reparación</w:t>
      </w:r>
      <w:r w:rsidR="00AF18A5">
        <w:rPr>
          <w:spacing w:val="-3"/>
        </w:rPr>
        <w:t xml:space="preserve"> </w:t>
      </w:r>
      <w:r w:rsidR="00AF18A5">
        <w:t>efectiva de sus víctimas</w:t>
      </w:r>
      <w:bookmarkEnd w:id="1682"/>
    </w:p>
    <w:p w:rsidR="0011361F" w:rsidRDefault="00AF18A5" w:rsidP="00130648">
      <w:r>
        <w:t>Corto</w:t>
      </w:r>
      <w:r>
        <w:rPr>
          <w:spacing w:val="-1"/>
        </w:rPr>
        <w:t xml:space="preserve"> </w:t>
      </w:r>
      <w:r>
        <w:rPr>
          <w:spacing w:val="-2"/>
        </w:rPr>
        <w:t>plazo</w:t>
      </w:r>
    </w:p>
    <w:p w:rsidR="0011361F" w:rsidRPr="00130648" w:rsidRDefault="00AF18A5" w:rsidP="00130648">
      <w:pPr>
        <w:pStyle w:val="Prrafodelista"/>
        <w:numPr>
          <w:ilvl w:val="0"/>
          <w:numId w:val="31"/>
        </w:numPr>
        <w:rPr>
          <w:b/>
        </w:rPr>
      </w:pPr>
      <w:r>
        <w:t>Al</w:t>
      </w:r>
      <w:r w:rsidRPr="00130648">
        <w:rPr>
          <w:spacing w:val="-10"/>
        </w:rPr>
        <w:t xml:space="preserve"> </w:t>
      </w:r>
      <w:r>
        <w:t>Estado,</w:t>
      </w:r>
      <w:r w:rsidRPr="00130648">
        <w:rPr>
          <w:spacing w:val="-11"/>
        </w:rPr>
        <w:t xml:space="preserve"> </w:t>
      </w:r>
      <w:r>
        <w:t>en</w:t>
      </w:r>
      <w:r w:rsidRPr="00130648">
        <w:rPr>
          <w:spacing w:val="-11"/>
        </w:rPr>
        <w:t xml:space="preserve"> </w:t>
      </w:r>
      <w:r>
        <w:t>general,</w:t>
      </w:r>
      <w:r w:rsidRPr="00130648">
        <w:rPr>
          <w:spacing w:val="-11"/>
        </w:rPr>
        <w:t xml:space="preserve"> </w:t>
      </w:r>
      <w:r>
        <w:t>y</w:t>
      </w:r>
      <w:r w:rsidRPr="00130648">
        <w:rPr>
          <w:spacing w:val="-11"/>
        </w:rPr>
        <w:t xml:space="preserve"> </w:t>
      </w:r>
      <w:r>
        <w:t>en</w:t>
      </w:r>
      <w:r w:rsidRPr="00130648">
        <w:rPr>
          <w:spacing w:val="-11"/>
        </w:rPr>
        <w:t xml:space="preserve"> </w:t>
      </w:r>
      <w:r>
        <w:t>particular</w:t>
      </w:r>
      <w:r w:rsidRPr="00130648">
        <w:rPr>
          <w:spacing w:val="-10"/>
        </w:rPr>
        <w:t xml:space="preserve"> </w:t>
      </w:r>
      <w:r>
        <w:t>al</w:t>
      </w:r>
      <w:r w:rsidRPr="00130648">
        <w:rPr>
          <w:spacing w:val="-10"/>
        </w:rPr>
        <w:t xml:space="preserve"> </w:t>
      </w:r>
      <w:r>
        <w:t>Gobierno</w:t>
      </w:r>
      <w:r w:rsidRPr="00130648">
        <w:rPr>
          <w:spacing w:val="-11"/>
        </w:rPr>
        <w:t xml:space="preserve"> </w:t>
      </w:r>
      <w:r>
        <w:t>Nacional,</w:t>
      </w:r>
      <w:r w:rsidRPr="00130648">
        <w:rPr>
          <w:spacing w:val="-11"/>
        </w:rPr>
        <w:t xml:space="preserve"> </w:t>
      </w:r>
      <w:r>
        <w:t>el</w:t>
      </w:r>
      <w:r w:rsidRPr="00130648">
        <w:rPr>
          <w:spacing w:val="-10"/>
        </w:rPr>
        <w:t xml:space="preserve"> </w:t>
      </w:r>
      <w:r>
        <w:t>Congreso</w:t>
      </w:r>
      <w:r w:rsidRPr="00130648">
        <w:rPr>
          <w:spacing w:val="-11"/>
        </w:rPr>
        <w:t xml:space="preserve"> </w:t>
      </w:r>
      <w:r>
        <w:t>de</w:t>
      </w:r>
      <w:r w:rsidRPr="00130648">
        <w:rPr>
          <w:spacing w:val="-10"/>
        </w:rPr>
        <w:t xml:space="preserve"> </w:t>
      </w:r>
      <w:r>
        <w:t>la</w:t>
      </w:r>
      <w:r w:rsidRPr="00130648">
        <w:rPr>
          <w:spacing w:val="-10"/>
        </w:rPr>
        <w:t xml:space="preserve"> </w:t>
      </w:r>
      <w:r>
        <w:t>República, el</w:t>
      </w:r>
      <w:r w:rsidRPr="00130648">
        <w:rPr>
          <w:spacing w:val="-9"/>
        </w:rPr>
        <w:t xml:space="preserve"> </w:t>
      </w:r>
      <w:r>
        <w:t>Ministerio</w:t>
      </w:r>
      <w:r w:rsidRPr="00130648">
        <w:rPr>
          <w:spacing w:val="-11"/>
        </w:rPr>
        <w:t xml:space="preserve"> </w:t>
      </w:r>
      <w:r>
        <w:t>Público,</w:t>
      </w:r>
      <w:r w:rsidRPr="00130648">
        <w:rPr>
          <w:spacing w:val="-11"/>
        </w:rPr>
        <w:t xml:space="preserve"> </w:t>
      </w:r>
      <w:r>
        <w:t>y</w:t>
      </w:r>
      <w:r w:rsidRPr="00130648">
        <w:rPr>
          <w:spacing w:val="-11"/>
        </w:rPr>
        <w:t xml:space="preserve"> </w:t>
      </w:r>
      <w:r>
        <w:t>la</w:t>
      </w:r>
      <w:r w:rsidRPr="00130648">
        <w:rPr>
          <w:spacing w:val="-9"/>
        </w:rPr>
        <w:t xml:space="preserve"> </w:t>
      </w:r>
      <w:r>
        <w:t>Fiscalía</w:t>
      </w:r>
      <w:r w:rsidRPr="00130648">
        <w:rPr>
          <w:spacing w:val="-9"/>
        </w:rPr>
        <w:t xml:space="preserve"> </w:t>
      </w:r>
      <w:r>
        <w:lastRenderedPageBreak/>
        <w:t>General</w:t>
      </w:r>
      <w:r w:rsidRPr="00130648">
        <w:rPr>
          <w:spacing w:val="-9"/>
        </w:rPr>
        <w:t xml:space="preserve"> </w:t>
      </w:r>
      <w:r>
        <w:t>de</w:t>
      </w:r>
      <w:r w:rsidRPr="00130648">
        <w:rPr>
          <w:spacing w:val="-10"/>
        </w:rPr>
        <w:t xml:space="preserve"> </w:t>
      </w:r>
      <w:r>
        <w:t>la</w:t>
      </w:r>
      <w:r w:rsidRPr="00130648">
        <w:rPr>
          <w:spacing w:val="-12"/>
        </w:rPr>
        <w:t xml:space="preserve"> </w:t>
      </w:r>
      <w:r>
        <w:t>Nación,</w:t>
      </w:r>
      <w:r w:rsidRPr="00130648">
        <w:rPr>
          <w:spacing w:val="-9"/>
        </w:rPr>
        <w:t xml:space="preserve"> </w:t>
      </w:r>
      <w:r>
        <w:t>concertar</w:t>
      </w:r>
      <w:r w:rsidRPr="00130648">
        <w:rPr>
          <w:spacing w:val="-10"/>
        </w:rPr>
        <w:t xml:space="preserve"> </w:t>
      </w:r>
      <w:r>
        <w:t>con</w:t>
      </w:r>
      <w:r w:rsidRPr="00130648">
        <w:rPr>
          <w:spacing w:val="-11"/>
        </w:rPr>
        <w:t xml:space="preserve"> </w:t>
      </w:r>
      <w:r>
        <w:t>las</w:t>
      </w:r>
      <w:r w:rsidRPr="00130648">
        <w:rPr>
          <w:spacing w:val="-9"/>
        </w:rPr>
        <w:t xml:space="preserve"> </w:t>
      </w:r>
      <w:r>
        <w:t>organizaciones</w:t>
      </w:r>
      <w:r w:rsidRPr="00130648">
        <w:rPr>
          <w:spacing w:val="-9"/>
        </w:rPr>
        <w:t xml:space="preserve"> </w:t>
      </w:r>
      <w:r>
        <w:t>de Derechos Humanos</w:t>
      </w:r>
      <w:r w:rsidRPr="00130648">
        <w:rPr>
          <w:spacing w:val="2"/>
        </w:rPr>
        <w:t xml:space="preserve"> </w:t>
      </w:r>
      <w:r>
        <w:t>y</w:t>
      </w:r>
      <w:r w:rsidRPr="00130648">
        <w:rPr>
          <w:spacing w:val="2"/>
        </w:rPr>
        <w:t xml:space="preserve"> </w:t>
      </w:r>
      <w:r>
        <w:t>de</w:t>
      </w:r>
      <w:r w:rsidRPr="00130648">
        <w:rPr>
          <w:spacing w:val="1"/>
        </w:rPr>
        <w:t xml:space="preserve"> </w:t>
      </w:r>
      <w:r>
        <w:t>víctimas</w:t>
      </w:r>
      <w:r w:rsidRPr="00130648">
        <w:rPr>
          <w:spacing w:val="2"/>
        </w:rPr>
        <w:t xml:space="preserve"> </w:t>
      </w:r>
      <w:r w:rsidRPr="00130648">
        <w:rPr>
          <w:b/>
        </w:rPr>
        <w:t>medidas</w:t>
      </w:r>
      <w:r w:rsidRPr="00130648">
        <w:rPr>
          <w:b/>
          <w:spacing w:val="2"/>
        </w:rPr>
        <w:t xml:space="preserve"> </w:t>
      </w:r>
      <w:r w:rsidRPr="00130648">
        <w:rPr>
          <w:b/>
        </w:rPr>
        <w:t>urgentes</w:t>
      </w:r>
      <w:r w:rsidRPr="00130648">
        <w:rPr>
          <w:b/>
          <w:spacing w:val="3"/>
        </w:rPr>
        <w:t xml:space="preserve"> </w:t>
      </w:r>
      <w:r w:rsidRPr="00130648">
        <w:rPr>
          <w:b/>
        </w:rPr>
        <w:t>para</w:t>
      </w:r>
      <w:r w:rsidRPr="00130648">
        <w:rPr>
          <w:b/>
          <w:spacing w:val="3"/>
        </w:rPr>
        <w:t xml:space="preserve"> </w:t>
      </w:r>
      <w:r w:rsidRPr="00130648">
        <w:rPr>
          <w:b/>
        </w:rPr>
        <w:t>prevenir</w:t>
      </w:r>
      <w:r w:rsidRPr="00130648">
        <w:rPr>
          <w:b/>
          <w:spacing w:val="1"/>
        </w:rPr>
        <w:t xml:space="preserve"> </w:t>
      </w:r>
      <w:r w:rsidRPr="00130648">
        <w:rPr>
          <w:b/>
        </w:rPr>
        <w:t>y</w:t>
      </w:r>
      <w:r w:rsidRPr="00130648">
        <w:rPr>
          <w:b/>
          <w:spacing w:val="3"/>
        </w:rPr>
        <w:t xml:space="preserve"> </w:t>
      </w:r>
      <w:r w:rsidRPr="00130648">
        <w:rPr>
          <w:b/>
        </w:rPr>
        <w:t>responder</w:t>
      </w:r>
      <w:r w:rsidRPr="00130648">
        <w:rPr>
          <w:b/>
          <w:spacing w:val="3"/>
        </w:rPr>
        <w:t xml:space="preserve"> </w:t>
      </w:r>
      <w:r w:rsidRPr="00130648">
        <w:rPr>
          <w:b/>
        </w:rPr>
        <w:t>a</w:t>
      </w:r>
      <w:r w:rsidRPr="00130648">
        <w:rPr>
          <w:b/>
          <w:spacing w:val="3"/>
        </w:rPr>
        <w:t xml:space="preserve"> </w:t>
      </w:r>
      <w:r w:rsidRPr="00130648">
        <w:rPr>
          <w:b/>
          <w:spacing w:val="-2"/>
        </w:rPr>
        <w:t>nuevos</w:t>
      </w:r>
      <w:r w:rsidR="00130648">
        <w:rPr>
          <w:b/>
          <w:spacing w:val="-2"/>
        </w:rPr>
        <w:t xml:space="preserve"> </w:t>
      </w:r>
      <w:r w:rsidRPr="00130648">
        <w:rPr>
          <w:b/>
        </w:rPr>
        <w:t>ciclos de despojo de tierras y de desterritorialización</w:t>
      </w:r>
      <w:r>
        <w:t>, teniendo en cuenta lecciones aprendidas</w:t>
      </w:r>
      <w:r w:rsidRPr="00130648">
        <w:rPr>
          <w:spacing w:val="-7"/>
        </w:rPr>
        <w:t xml:space="preserve"> </w:t>
      </w:r>
      <w:r>
        <w:t>en</w:t>
      </w:r>
      <w:r w:rsidRPr="00130648">
        <w:rPr>
          <w:spacing w:val="-7"/>
        </w:rPr>
        <w:t xml:space="preserve"> </w:t>
      </w:r>
      <w:r>
        <w:t>la</w:t>
      </w:r>
      <w:r w:rsidRPr="00130648">
        <w:rPr>
          <w:spacing w:val="-7"/>
        </w:rPr>
        <w:t xml:space="preserve"> </w:t>
      </w:r>
      <w:r>
        <w:t>protección</w:t>
      </w:r>
      <w:r w:rsidRPr="00130648">
        <w:rPr>
          <w:spacing w:val="-7"/>
        </w:rPr>
        <w:t xml:space="preserve"> </w:t>
      </w:r>
      <w:r>
        <w:t>y</w:t>
      </w:r>
      <w:r w:rsidRPr="00130648">
        <w:rPr>
          <w:spacing w:val="-7"/>
        </w:rPr>
        <w:t xml:space="preserve"> </w:t>
      </w:r>
      <w:r>
        <w:t>restitución</w:t>
      </w:r>
      <w:r w:rsidRPr="00130648">
        <w:rPr>
          <w:spacing w:val="-7"/>
        </w:rPr>
        <w:t xml:space="preserve"> </w:t>
      </w:r>
      <w:r>
        <w:t>de</w:t>
      </w:r>
      <w:r w:rsidRPr="00130648">
        <w:rPr>
          <w:spacing w:val="-8"/>
        </w:rPr>
        <w:t xml:space="preserve"> </w:t>
      </w:r>
      <w:r>
        <w:t>tierras</w:t>
      </w:r>
      <w:r w:rsidRPr="00130648">
        <w:rPr>
          <w:spacing w:val="-7"/>
        </w:rPr>
        <w:t xml:space="preserve"> </w:t>
      </w:r>
      <w:r>
        <w:t>y</w:t>
      </w:r>
      <w:r w:rsidRPr="00130648">
        <w:rPr>
          <w:spacing w:val="-7"/>
        </w:rPr>
        <w:t xml:space="preserve"> </w:t>
      </w:r>
      <w:r>
        <w:t>de</w:t>
      </w:r>
      <w:r w:rsidRPr="00130648">
        <w:rPr>
          <w:spacing w:val="-7"/>
        </w:rPr>
        <w:t xml:space="preserve"> </w:t>
      </w:r>
      <w:r>
        <w:t>derechos</w:t>
      </w:r>
      <w:r w:rsidRPr="00130648">
        <w:rPr>
          <w:spacing w:val="-7"/>
        </w:rPr>
        <w:t xml:space="preserve"> </w:t>
      </w:r>
      <w:r>
        <w:t>territoriales;</w:t>
      </w:r>
      <w:r w:rsidRPr="00130648">
        <w:rPr>
          <w:spacing w:val="-7"/>
        </w:rPr>
        <w:t xml:space="preserve"> </w:t>
      </w:r>
      <w:r>
        <w:t>la</w:t>
      </w:r>
      <w:r w:rsidRPr="00130648">
        <w:rPr>
          <w:spacing w:val="-8"/>
        </w:rPr>
        <w:t xml:space="preserve"> </w:t>
      </w:r>
      <w:r>
        <w:t>tipificación, investigación, juzgamiento y sanción de delitos asociados al despojo, el desplazamiento forzado, el confinamiento y las finanzas criminales; las sanciones disciplinarias y otras de carácter administrativo; el monitoreo de graves violaciones a los Derechos Humanos; y la acción coordinada entre distintas instituciones para estos efectos.</w:t>
      </w:r>
    </w:p>
    <w:p w:rsidR="0011361F" w:rsidRDefault="00AF18A5" w:rsidP="00130648">
      <w:r>
        <w:t>Corto</w:t>
      </w:r>
      <w:r>
        <w:rPr>
          <w:spacing w:val="-1"/>
        </w:rPr>
        <w:t xml:space="preserve"> </w:t>
      </w:r>
      <w:r>
        <w:rPr>
          <w:spacing w:val="-2"/>
        </w:rPr>
        <w:t>plazo</w:t>
      </w:r>
    </w:p>
    <w:p w:rsidR="003804AC" w:rsidRPr="00130648" w:rsidRDefault="00AF18A5" w:rsidP="00130648">
      <w:pPr>
        <w:pStyle w:val="Prrafodelista"/>
        <w:numPr>
          <w:ilvl w:val="0"/>
          <w:numId w:val="31"/>
        </w:numPr>
        <w:rPr>
          <w:b/>
        </w:rPr>
      </w:pPr>
      <w:r>
        <w:t>Al</w:t>
      </w:r>
      <w:r w:rsidRPr="00130648">
        <w:rPr>
          <w:spacing w:val="-4"/>
        </w:rPr>
        <w:t xml:space="preserve"> </w:t>
      </w:r>
      <w:r>
        <w:t>Gobierno</w:t>
      </w:r>
      <w:r w:rsidRPr="00130648">
        <w:rPr>
          <w:spacing w:val="-5"/>
        </w:rPr>
        <w:t xml:space="preserve"> </w:t>
      </w:r>
      <w:r>
        <w:t>Nacional,</w:t>
      </w:r>
      <w:r w:rsidRPr="00130648">
        <w:rPr>
          <w:spacing w:val="-5"/>
        </w:rPr>
        <w:t xml:space="preserve"> </w:t>
      </w:r>
      <w:r>
        <w:t>al</w:t>
      </w:r>
      <w:r w:rsidRPr="00130648">
        <w:rPr>
          <w:spacing w:val="-4"/>
        </w:rPr>
        <w:t xml:space="preserve"> </w:t>
      </w:r>
      <w:r>
        <w:t>Congreso,</w:t>
      </w:r>
      <w:r w:rsidRPr="00130648">
        <w:rPr>
          <w:spacing w:val="-5"/>
        </w:rPr>
        <w:t xml:space="preserve"> </w:t>
      </w:r>
      <w:r>
        <w:t>la</w:t>
      </w:r>
      <w:r w:rsidRPr="00130648">
        <w:rPr>
          <w:spacing w:val="-6"/>
        </w:rPr>
        <w:t xml:space="preserve"> </w:t>
      </w:r>
      <w:r>
        <w:t>rama</w:t>
      </w:r>
      <w:r w:rsidRPr="00130648">
        <w:rPr>
          <w:spacing w:val="-6"/>
        </w:rPr>
        <w:t xml:space="preserve"> </w:t>
      </w:r>
      <w:r>
        <w:t>judicial</w:t>
      </w:r>
      <w:r w:rsidRPr="00130648">
        <w:rPr>
          <w:spacing w:val="-4"/>
        </w:rPr>
        <w:t xml:space="preserve"> </w:t>
      </w:r>
      <w:r>
        <w:t>y</w:t>
      </w:r>
      <w:r w:rsidRPr="00130648">
        <w:rPr>
          <w:spacing w:val="-6"/>
        </w:rPr>
        <w:t xml:space="preserve"> </w:t>
      </w:r>
      <w:r>
        <w:t>las</w:t>
      </w:r>
      <w:r w:rsidRPr="00130648">
        <w:rPr>
          <w:spacing w:val="-6"/>
        </w:rPr>
        <w:t xml:space="preserve"> </w:t>
      </w:r>
      <w:r>
        <w:t>organizaciones</w:t>
      </w:r>
      <w:r w:rsidRPr="00130648">
        <w:rPr>
          <w:spacing w:val="-4"/>
        </w:rPr>
        <w:t xml:space="preserve"> </w:t>
      </w:r>
      <w:r>
        <w:t>de</w:t>
      </w:r>
      <w:r w:rsidRPr="00130648">
        <w:rPr>
          <w:spacing w:val="-4"/>
        </w:rPr>
        <w:t xml:space="preserve"> </w:t>
      </w:r>
      <w:r>
        <w:t xml:space="preserve">sociedad de víctimas y de derechos humanos, </w:t>
      </w:r>
      <w:r w:rsidRPr="00130648">
        <w:rPr>
          <w:b/>
        </w:rPr>
        <w:t xml:space="preserve">revisar el proceso de restitución para darle mayor agilidad a sus distintas fases </w:t>
      </w:r>
      <w:r>
        <w:t xml:space="preserve">(administrativa, judicial y </w:t>
      </w:r>
      <w:proofErr w:type="spellStart"/>
      <w:r>
        <w:t>posfallo</w:t>
      </w:r>
      <w:proofErr w:type="spellEnd"/>
      <w:r>
        <w:t>), y acordar las modificaciones legales e institucionales que sean necesarias para ello.</w:t>
      </w:r>
    </w:p>
    <w:p w:rsidR="0011361F" w:rsidRDefault="00AF18A5" w:rsidP="00130648">
      <w:r>
        <w:t>Corto</w:t>
      </w:r>
      <w:r>
        <w:rPr>
          <w:spacing w:val="-1"/>
        </w:rPr>
        <w:t xml:space="preserve"> </w:t>
      </w:r>
      <w:r>
        <w:rPr>
          <w:spacing w:val="-2"/>
        </w:rPr>
        <w:t>plazo</w:t>
      </w:r>
    </w:p>
    <w:p w:rsidR="003804AC" w:rsidRPr="00130648" w:rsidRDefault="00AF18A5" w:rsidP="00130648">
      <w:pPr>
        <w:pStyle w:val="Prrafodelista"/>
        <w:numPr>
          <w:ilvl w:val="0"/>
          <w:numId w:val="31"/>
        </w:numPr>
        <w:rPr>
          <w:b/>
        </w:rPr>
      </w:pPr>
      <w:r>
        <w:t xml:space="preserve">A la Unidad Administrativa Especial de Restitución de Tierras y a la Procuraduría General de la Nación para lo de su competencia, </w:t>
      </w:r>
      <w:r w:rsidRPr="00130648">
        <w:rPr>
          <w:b/>
        </w:rPr>
        <w:t xml:space="preserve">realizar un diagnóstico de las barreras de acceso al proceso de restitución y las razones para el bajo número de solicitudes </w:t>
      </w:r>
      <w:r>
        <w:t xml:space="preserve">en comparación con los estimados de hectáreas y personas despojadas o forzadas a abandonar sus tierras y territorios; y </w:t>
      </w:r>
      <w:r w:rsidRPr="00130648">
        <w:rPr>
          <w:b/>
        </w:rPr>
        <w:t xml:space="preserve">formular medidas para </w:t>
      </w:r>
      <w:r w:rsidRPr="00130648">
        <w:rPr>
          <w:b/>
        </w:rPr>
        <w:lastRenderedPageBreak/>
        <w:t xml:space="preserve">garantizar efectivamente los derechos </w:t>
      </w:r>
      <w:r>
        <w:t xml:space="preserve">a la justicia, el debido proceso y la reparación integral </w:t>
      </w:r>
      <w:r w:rsidRPr="00130648">
        <w:rPr>
          <w:b/>
        </w:rPr>
        <w:t>de las víctimas en la fase administrativa</w:t>
      </w:r>
      <w:r>
        <w:t>. Sugerimos las siguientes:</w:t>
      </w:r>
    </w:p>
    <w:p w:rsidR="003804AC" w:rsidRDefault="00AF18A5" w:rsidP="00130648">
      <w:pPr>
        <w:pStyle w:val="Prrafodelista"/>
        <w:numPr>
          <w:ilvl w:val="0"/>
          <w:numId w:val="63"/>
        </w:numPr>
      </w:pPr>
      <w:r>
        <w:t xml:space="preserve">Formular un plan para corregir </w:t>
      </w:r>
      <w:r w:rsidRPr="00130648">
        <w:rPr>
          <w:b/>
        </w:rPr>
        <w:t xml:space="preserve">decisiones rechazando solicitudes </w:t>
      </w:r>
      <w:r>
        <w:t>con cronograma, metas y criterios claros de priorización.</w:t>
      </w:r>
    </w:p>
    <w:p w:rsidR="003804AC" w:rsidRDefault="00AF18A5" w:rsidP="00130648">
      <w:pPr>
        <w:pStyle w:val="Prrafodelista"/>
        <w:numPr>
          <w:ilvl w:val="0"/>
          <w:numId w:val="63"/>
        </w:numPr>
      </w:pPr>
      <w:r>
        <w:t>Para</w:t>
      </w:r>
      <w:r w:rsidRPr="00130648">
        <w:rPr>
          <w:spacing w:val="-12"/>
        </w:rPr>
        <w:t xml:space="preserve"> </w:t>
      </w:r>
      <w:r>
        <w:t>hacer</w:t>
      </w:r>
      <w:r w:rsidRPr="00130648">
        <w:rPr>
          <w:spacing w:val="-12"/>
        </w:rPr>
        <w:t xml:space="preserve"> </w:t>
      </w:r>
      <w:r>
        <w:t>efectiva</w:t>
      </w:r>
      <w:r w:rsidRPr="00130648">
        <w:rPr>
          <w:spacing w:val="-12"/>
        </w:rPr>
        <w:t xml:space="preserve"> </w:t>
      </w:r>
      <w:r>
        <w:t>la</w:t>
      </w:r>
      <w:r w:rsidRPr="00130648">
        <w:rPr>
          <w:spacing w:val="-13"/>
        </w:rPr>
        <w:t xml:space="preserve"> </w:t>
      </w:r>
      <w:r>
        <w:t>inversión</w:t>
      </w:r>
      <w:r w:rsidRPr="00130648">
        <w:rPr>
          <w:spacing w:val="-12"/>
        </w:rPr>
        <w:t xml:space="preserve"> </w:t>
      </w:r>
      <w:r>
        <w:t>de</w:t>
      </w:r>
      <w:r w:rsidRPr="00130648">
        <w:rPr>
          <w:spacing w:val="-13"/>
        </w:rPr>
        <w:t xml:space="preserve"> </w:t>
      </w:r>
      <w:r>
        <w:t>la</w:t>
      </w:r>
      <w:r w:rsidRPr="00130648">
        <w:rPr>
          <w:spacing w:val="-13"/>
        </w:rPr>
        <w:t xml:space="preserve"> </w:t>
      </w:r>
      <w:r>
        <w:t>carga</w:t>
      </w:r>
      <w:r w:rsidRPr="00130648">
        <w:rPr>
          <w:spacing w:val="-12"/>
        </w:rPr>
        <w:t xml:space="preserve"> </w:t>
      </w:r>
      <w:r>
        <w:t>de</w:t>
      </w:r>
      <w:r w:rsidRPr="00130648">
        <w:rPr>
          <w:spacing w:val="-12"/>
        </w:rPr>
        <w:t xml:space="preserve"> </w:t>
      </w:r>
      <w:r>
        <w:t>la</w:t>
      </w:r>
      <w:r w:rsidRPr="00130648">
        <w:rPr>
          <w:spacing w:val="-13"/>
        </w:rPr>
        <w:t xml:space="preserve"> </w:t>
      </w:r>
      <w:r>
        <w:t>prueba</w:t>
      </w:r>
      <w:r w:rsidRPr="00130648">
        <w:rPr>
          <w:spacing w:val="-12"/>
        </w:rPr>
        <w:t xml:space="preserve"> </w:t>
      </w:r>
      <w:r>
        <w:t>a</w:t>
      </w:r>
      <w:r w:rsidRPr="00130648">
        <w:rPr>
          <w:spacing w:val="-12"/>
        </w:rPr>
        <w:t xml:space="preserve"> </w:t>
      </w:r>
      <w:r>
        <w:t>favor</w:t>
      </w:r>
      <w:r w:rsidRPr="00130648">
        <w:rPr>
          <w:spacing w:val="-12"/>
        </w:rPr>
        <w:t xml:space="preserve"> </w:t>
      </w:r>
      <w:r>
        <w:t>de</w:t>
      </w:r>
      <w:r w:rsidRPr="00130648">
        <w:rPr>
          <w:spacing w:val="-12"/>
        </w:rPr>
        <w:t xml:space="preserve"> </w:t>
      </w:r>
      <w:r>
        <w:t>las</w:t>
      </w:r>
      <w:r w:rsidRPr="00130648">
        <w:rPr>
          <w:spacing w:val="-12"/>
        </w:rPr>
        <w:t xml:space="preserve"> </w:t>
      </w:r>
      <w:r>
        <w:t xml:space="preserve">víctimas y en desarrollo del principio de buena fe, aplicar una </w:t>
      </w:r>
      <w:r w:rsidRPr="00130648">
        <w:rPr>
          <w:b/>
        </w:rPr>
        <w:t>regla de documentación, interpretación</w:t>
      </w:r>
      <w:r w:rsidRPr="00130648">
        <w:rPr>
          <w:b/>
          <w:spacing w:val="-1"/>
        </w:rPr>
        <w:t xml:space="preserve"> </w:t>
      </w:r>
      <w:r w:rsidRPr="00130648">
        <w:rPr>
          <w:b/>
        </w:rPr>
        <w:t>legal</w:t>
      </w:r>
      <w:r w:rsidRPr="00130648">
        <w:rPr>
          <w:b/>
          <w:spacing w:val="-1"/>
        </w:rPr>
        <w:t xml:space="preserve"> </w:t>
      </w:r>
      <w:r w:rsidRPr="00130648">
        <w:rPr>
          <w:b/>
        </w:rPr>
        <w:t>y</w:t>
      </w:r>
      <w:r w:rsidRPr="00130648">
        <w:rPr>
          <w:b/>
          <w:spacing w:val="-2"/>
        </w:rPr>
        <w:t xml:space="preserve"> </w:t>
      </w:r>
      <w:r w:rsidRPr="00130648">
        <w:rPr>
          <w:b/>
        </w:rPr>
        <w:t>duda</w:t>
      </w:r>
      <w:r w:rsidRPr="00130648">
        <w:rPr>
          <w:b/>
          <w:spacing w:val="-1"/>
        </w:rPr>
        <w:t xml:space="preserve"> </w:t>
      </w:r>
      <w:r w:rsidRPr="00130648">
        <w:rPr>
          <w:b/>
        </w:rPr>
        <w:t>favorable</w:t>
      </w:r>
      <w:r w:rsidRPr="00130648">
        <w:rPr>
          <w:b/>
          <w:spacing w:val="-1"/>
        </w:rPr>
        <w:t xml:space="preserve"> </w:t>
      </w:r>
      <w:r>
        <w:t>a</w:t>
      </w:r>
      <w:r w:rsidRPr="00130648">
        <w:rPr>
          <w:spacing w:val="-2"/>
        </w:rPr>
        <w:t xml:space="preserve"> </w:t>
      </w:r>
      <w:r>
        <w:t>las</w:t>
      </w:r>
      <w:r w:rsidRPr="00130648">
        <w:rPr>
          <w:spacing w:val="-1"/>
        </w:rPr>
        <w:t xml:space="preserve"> </w:t>
      </w:r>
      <w:r>
        <w:t>víctimas</w:t>
      </w:r>
      <w:r w:rsidRPr="00130648">
        <w:rPr>
          <w:spacing w:val="-2"/>
        </w:rPr>
        <w:t xml:space="preserve"> </w:t>
      </w:r>
      <w:r>
        <w:t>que</w:t>
      </w:r>
      <w:r w:rsidRPr="00130648">
        <w:rPr>
          <w:spacing w:val="-1"/>
        </w:rPr>
        <w:t xml:space="preserve"> </w:t>
      </w:r>
      <w:r>
        <w:t>rija</w:t>
      </w:r>
      <w:r w:rsidRPr="00130648">
        <w:rPr>
          <w:spacing w:val="-1"/>
        </w:rPr>
        <w:t xml:space="preserve"> </w:t>
      </w:r>
      <w:r>
        <w:t>la</w:t>
      </w:r>
      <w:r w:rsidRPr="00130648">
        <w:rPr>
          <w:spacing w:val="-2"/>
        </w:rPr>
        <w:t xml:space="preserve"> </w:t>
      </w:r>
      <w:r>
        <w:t>fase</w:t>
      </w:r>
      <w:r w:rsidRPr="00130648">
        <w:rPr>
          <w:spacing w:val="-2"/>
        </w:rPr>
        <w:t xml:space="preserve"> </w:t>
      </w:r>
      <w:r>
        <w:t>administrativa</w:t>
      </w:r>
      <w:r w:rsidRPr="00130648">
        <w:rPr>
          <w:spacing w:val="-3"/>
        </w:rPr>
        <w:t xml:space="preserve"> </w:t>
      </w:r>
      <w:r>
        <w:t>y que garantice que sea el operador judicial quien resuelva controversias de fondo.</w:t>
      </w:r>
    </w:p>
    <w:p w:rsidR="003804AC" w:rsidRDefault="00AF18A5" w:rsidP="00130648">
      <w:pPr>
        <w:pStyle w:val="Prrafodelista"/>
        <w:numPr>
          <w:ilvl w:val="0"/>
          <w:numId w:val="63"/>
        </w:numPr>
      </w:pPr>
      <w:r>
        <w:t xml:space="preserve">Establecer procedimientos de </w:t>
      </w:r>
      <w:r w:rsidRPr="00130648">
        <w:rPr>
          <w:b/>
        </w:rPr>
        <w:t xml:space="preserve">supervisión </w:t>
      </w:r>
      <w:r>
        <w:t xml:space="preserve">y medidas de </w:t>
      </w:r>
      <w:r w:rsidRPr="00130648">
        <w:rPr>
          <w:b/>
        </w:rPr>
        <w:t xml:space="preserve">control interno </w:t>
      </w:r>
      <w:r>
        <w:t xml:space="preserve">dentro de la Unidad para garantizar la aplicación uniforme de reglas y principios </w:t>
      </w:r>
      <w:proofErr w:type="spellStart"/>
      <w:r>
        <w:t>províctima</w:t>
      </w:r>
      <w:proofErr w:type="spellEnd"/>
      <w:r>
        <w:t xml:space="preserve"> en las distintas fases.</w:t>
      </w:r>
    </w:p>
    <w:p w:rsidR="003804AC" w:rsidRDefault="00AF18A5" w:rsidP="00130648">
      <w:pPr>
        <w:pStyle w:val="Prrafodelista"/>
        <w:numPr>
          <w:ilvl w:val="0"/>
          <w:numId w:val="63"/>
        </w:numPr>
      </w:pPr>
      <w:r>
        <w:t xml:space="preserve">Abstenerse de utilizar el </w:t>
      </w:r>
      <w:r w:rsidRPr="00130648">
        <w:rPr>
          <w:b/>
        </w:rPr>
        <w:t xml:space="preserve">desistimiento tácito </w:t>
      </w:r>
      <w:r>
        <w:t>para dar fin al trámite de solicitudes</w:t>
      </w:r>
      <w:r w:rsidRPr="00130648">
        <w:rPr>
          <w:spacing w:val="-1"/>
        </w:rPr>
        <w:t xml:space="preserve"> </w:t>
      </w:r>
      <w:r>
        <w:t>y</w:t>
      </w:r>
      <w:r w:rsidRPr="00130648">
        <w:rPr>
          <w:spacing w:val="-2"/>
        </w:rPr>
        <w:t xml:space="preserve"> </w:t>
      </w:r>
      <w:r>
        <w:t>reemplazarla</w:t>
      </w:r>
      <w:r w:rsidRPr="00130648">
        <w:rPr>
          <w:spacing w:val="-1"/>
        </w:rPr>
        <w:t xml:space="preserve"> </w:t>
      </w:r>
      <w:r>
        <w:t>por</w:t>
      </w:r>
      <w:r w:rsidRPr="00130648">
        <w:rPr>
          <w:spacing w:val="-2"/>
        </w:rPr>
        <w:t xml:space="preserve"> </w:t>
      </w:r>
      <w:r>
        <w:t>una</w:t>
      </w:r>
      <w:r w:rsidRPr="00130648">
        <w:rPr>
          <w:spacing w:val="-2"/>
        </w:rPr>
        <w:t xml:space="preserve"> </w:t>
      </w:r>
      <w:r>
        <w:t>regla</w:t>
      </w:r>
      <w:r w:rsidRPr="00130648">
        <w:rPr>
          <w:spacing w:val="-1"/>
        </w:rPr>
        <w:t xml:space="preserve"> </w:t>
      </w:r>
      <w:r>
        <w:t>de</w:t>
      </w:r>
      <w:r w:rsidRPr="00130648">
        <w:rPr>
          <w:spacing w:val="-2"/>
        </w:rPr>
        <w:t xml:space="preserve"> </w:t>
      </w:r>
      <w:r>
        <w:t>continuidad</w:t>
      </w:r>
      <w:r w:rsidRPr="00130648">
        <w:rPr>
          <w:spacing w:val="-1"/>
        </w:rPr>
        <w:t xml:space="preserve"> </w:t>
      </w:r>
      <w:r>
        <w:t>hasta</w:t>
      </w:r>
      <w:r w:rsidRPr="00130648">
        <w:rPr>
          <w:spacing w:val="-2"/>
        </w:rPr>
        <w:t xml:space="preserve"> </w:t>
      </w:r>
      <w:r>
        <w:t>tanto</w:t>
      </w:r>
      <w:r w:rsidRPr="00130648">
        <w:rPr>
          <w:spacing w:val="-2"/>
        </w:rPr>
        <w:t xml:space="preserve"> </w:t>
      </w:r>
      <w:r>
        <w:t>los</w:t>
      </w:r>
      <w:r w:rsidRPr="00130648">
        <w:rPr>
          <w:spacing w:val="-2"/>
        </w:rPr>
        <w:t xml:space="preserve"> </w:t>
      </w:r>
      <w:r>
        <w:t>reclamantes</w:t>
      </w:r>
      <w:r w:rsidRPr="00130648">
        <w:rPr>
          <w:spacing w:val="-2"/>
        </w:rPr>
        <w:t xml:space="preserve"> </w:t>
      </w:r>
      <w:r>
        <w:t>no manifiesten expresamente lo contrario.</w:t>
      </w:r>
    </w:p>
    <w:p w:rsidR="0011361F" w:rsidRDefault="00AF18A5" w:rsidP="00130648">
      <w:r>
        <w:t>Corto</w:t>
      </w:r>
      <w:r>
        <w:rPr>
          <w:spacing w:val="-1"/>
        </w:rPr>
        <w:t xml:space="preserve"> </w:t>
      </w:r>
      <w:r>
        <w:rPr>
          <w:spacing w:val="-2"/>
        </w:rPr>
        <w:t>plazo</w:t>
      </w:r>
    </w:p>
    <w:p w:rsidR="003804AC" w:rsidRPr="000F6499" w:rsidRDefault="00AF18A5" w:rsidP="000F6499">
      <w:pPr>
        <w:pStyle w:val="Prrafodelista"/>
        <w:numPr>
          <w:ilvl w:val="0"/>
          <w:numId w:val="31"/>
        </w:numPr>
        <w:rPr>
          <w:b/>
        </w:rPr>
      </w:pPr>
      <w:r w:rsidRPr="000F6499">
        <w:rPr>
          <w:spacing w:val="-2"/>
        </w:rPr>
        <w:t>A</w:t>
      </w:r>
      <w:r w:rsidRPr="000F6499">
        <w:rPr>
          <w:spacing w:val="-6"/>
        </w:rPr>
        <w:t xml:space="preserve"> </w:t>
      </w:r>
      <w:r w:rsidRPr="000F6499">
        <w:rPr>
          <w:spacing w:val="-2"/>
        </w:rPr>
        <w:t>las</w:t>
      </w:r>
      <w:r w:rsidRPr="000F6499">
        <w:rPr>
          <w:spacing w:val="-6"/>
        </w:rPr>
        <w:t xml:space="preserve"> </w:t>
      </w:r>
      <w:r w:rsidRPr="000F6499">
        <w:rPr>
          <w:spacing w:val="-2"/>
        </w:rPr>
        <w:t>entidades</w:t>
      </w:r>
      <w:r w:rsidRPr="000F6499">
        <w:rPr>
          <w:spacing w:val="-6"/>
        </w:rPr>
        <w:t xml:space="preserve"> </w:t>
      </w:r>
      <w:r w:rsidRPr="000F6499">
        <w:rPr>
          <w:spacing w:val="-2"/>
        </w:rPr>
        <w:t>que</w:t>
      </w:r>
      <w:r w:rsidRPr="000F6499">
        <w:rPr>
          <w:spacing w:val="-6"/>
        </w:rPr>
        <w:t xml:space="preserve"> </w:t>
      </w:r>
      <w:r w:rsidRPr="000F6499">
        <w:rPr>
          <w:spacing w:val="-2"/>
        </w:rPr>
        <w:t>constituyen</w:t>
      </w:r>
      <w:r w:rsidRPr="000F6499">
        <w:rPr>
          <w:spacing w:val="-6"/>
        </w:rPr>
        <w:t xml:space="preserve"> </w:t>
      </w:r>
      <w:r w:rsidRPr="000F6499">
        <w:rPr>
          <w:spacing w:val="-2"/>
        </w:rPr>
        <w:t>el</w:t>
      </w:r>
      <w:r w:rsidRPr="000F6499">
        <w:rPr>
          <w:spacing w:val="-7"/>
        </w:rPr>
        <w:t xml:space="preserve"> </w:t>
      </w:r>
      <w:r w:rsidRPr="000F6499">
        <w:rPr>
          <w:spacing w:val="-2"/>
        </w:rPr>
        <w:t>Sistema</w:t>
      </w:r>
      <w:r w:rsidRPr="000F6499">
        <w:rPr>
          <w:spacing w:val="-6"/>
        </w:rPr>
        <w:t xml:space="preserve"> </w:t>
      </w:r>
      <w:r w:rsidRPr="000F6499">
        <w:rPr>
          <w:spacing w:val="-2"/>
        </w:rPr>
        <w:t>Nacional</w:t>
      </w:r>
      <w:r w:rsidRPr="000F6499">
        <w:rPr>
          <w:spacing w:val="-7"/>
        </w:rPr>
        <w:t xml:space="preserve"> </w:t>
      </w:r>
      <w:r w:rsidRPr="000F6499">
        <w:rPr>
          <w:spacing w:val="-2"/>
        </w:rPr>
        <w:t>de</w:t>
      </w:r>
      <w:r w:rsidRPr="000F6499">
        <w:rPr>
          <w:spacing w:val="-6"/>
        </w:rPr>
        <w:t xml:space="preserve"> </w:t>
      </w:r>
      <w:r w:rsidRPr="000F6499">
        <w:rPr>
          <w:spacing w:val="-2"/>
        </w:rPr>
        <w:t>Atención</w:t>
      </w:r>
      <w:r w:rsidRPr="000F6499">
        <w:rPr>
          <w:spacing w:val="-6"/>
        </w:rPr>
        <w:t xml:space="preserve"> </w:t>
      </w:r>
      <w:r w:rsidRPr="000F6499">
        <w:rPr>
          <w:spacing w:val="-2"/>
        </w:rPr>
        <w:t>y</w:t>
      </w:r>
      <w:r w:rsidRPr="000F6499">
        <w:rPr>
          <w:spacing w:val="-6"/>
        </w:rPr>
        <w:t xml:space="preserve"> </w:t>
      </w:r>
      <w:r w:rsidRPr="000F6499">
        <w:rPr>
          <w:spacing w:val="-2"/>
        </w:rPr>
        <w:t>Reparación</w:t>
      </w:r>
      <w:r w:rsidRPr="000F6499">
        <w:rPr>
          <w:spacing w:val="-6"/>
        </w:rPr>
        <w:t xml:space="preserve"> </w:t>
      </w:r>
      <w:r w:rsidRPr="000F6499">
        <w:rPr>
          <w:spacing w:val="-2"/>
        </w:rPr>
        <w:t xml:space="preserve">Integral </w:t>
      </w:r>
      <w:r>
        <w:t>de</w:t>
      </w:r>
      <w:r w:rsidRPr="000F6499">
        <w:rPr>
          <w:spacing w:val="-2"/>
        </w:rPr>
        <w:t xml:space="preserve"> </w:t>
      </w:r>
      <w:r>
        <w:t>Víctimas</w:t>
      </w:r>
      <w:r w:rsidRPr="000F6499">
        <w:rPr>
          <w:spacing w:val="-2"/>
        </w:rPr>
        <w:t xml:space="preserve"> </w:t>
      </w:r>
      <w:r>
        <w:t>(SNARIV)</w:t>
      </w:r>
      <w:r w:rsidRPr="000F6499">
        <w:rPr>
          <w:spacing w:val="-1"/>
        </w:rPr>
        <w:t xml:space="preserve"> </w:t>
      </w:r>
      <w:r>
        <w:t>y</w:t>
      </w:r>
      <w:r w:rsidRPr="000F6499">
        <w:rPr>
          <w:spacing w:val="-2"/>
        </w:rPr>
        <w:t xml:space="preserve"> </w:t>
      </w:r>
      <w:r>
        <w:t>a</w:t>
      </w:r>
      <w:r w:rsidRPr="000F6499">
        <w:rPr>
          <w:spacing w:val="-2"/>
        </w:rPr>
        <w:t xml:space="preserve"> </w:t>
      </w:r>
      <w:r>
        <w:t>la</w:t>
      </w:r>
      <w:r w:rsidRPr="000F6499">
        <w:rPr>
          <w:spacing w:val="-2"/>
        </w:rPr>
        <w:t xml:space="preserve"> </w:t>
      </w:r>
      <w:r>
        <w:t>UARIV</w:t>
      </w:r>
      <w:r w:rsidRPr="000F6499">
        <w:rPr>
          <w:spacing w:val="-3"/>
        </w:rPr>
        <w:t xml:space="preserve"> </w:t>
      </w:r>
      <w:r>
        <w:t>como</w:t>
      </w:r>
      <w:r w:rsidRPr="000F6499">
        <w:rPr>
          <w:spacing w:val="-2"/>
        </w:rPr>
        <w:t xml:space="preserve"> </w:t>
      </w:r>
      <w:r>
        <w:t>su</w:t>
      </w:r>
      <w:r w:rsidRPr="000F6499">
        <w:rPr>
          <w:spacing w:val="-2"/>
        </w:rPr>
        <w:t xml:space="preserve"> </w:t>
      </w:r>
      <w:r>
        <w:t>coordinadora,</w:t>
      </w:r>
      <w:r w:rsidRPr="000F6499">
        <w:rPr>
          <w:spacing w:val="-4"/>
        </w:rPr>
        <w:t xml:space="preserve"> </w:t>
      </w:r>
      <w:r>
        <w:t>o</w:t>
      </w:r>
      <w:r w:rsidRPr="000F6499">
        <w:rPr>
          <w:spacing w:val="-2"/>
        </w:rPr>
        <w:t xml:space="preserve"> </w:t>
      </w:r>
      <w:r>
        <w:t>quien</w:t>
      </w:r>
      <w:r w:rsidRPr="000F6499">
        <w:rPr>
          <w:spacing w:val="-2"/>
        </w:rPr>
        <w:t xml:space="preserve"> </w:t>
      </w:r>
      <w:r>
        <w:t>haga</w:t>
      </w:r>
      <w:r w:rsidRPr="000F6499">
        <w:rPr>
          <w:spacing w:val="-2"/>
        </w:rPr>
        <w:t xml:space="preserve"> </w:t>
      </w:r>
      <w:r>
        <w:t>sus</w:t>
      </w:r>
      <w:r w:rsidRPr="000F6499">
        <w:rPr>
          <w:spacing w:val="-2"/>
        </w:rPr>
        <w:t xml:space="preserve"> </w:t>
      </w:r>
      <w:r>
        <w:t>veces,</w:t>
      </w:r>
      <w:r w:rsidRPr="000F6499">
        <w:rPr>
          <w:spacing w:val="-2"/>
        </w:rPr>
        <w:t xml:space="preserve"> </w:t>
      </w:r>
      <w:r>
        <w:t xml:space="preserve">poner en marcha un plan de choque para darle cumplimiento oportuno y efectivo a </w:t>
      </w:r>
      <w:r w:rsidRPr="000F6499">
        <w:rPr>
          <w:b/>
        </w:rPr>
        <w:t>las sentencias de restitución</w:t>
      </w:r>
      <w:r>
        <w:t>. Este debe contemplar medidas dirigidas a:</w:t>
      </w:r>
    </w:p>
    <w:p w:rsidR="003804AC" w:rsidRDefault="00AF18A5" w:rsidP="000F6499">
      <w:pPr>
        <w:pStyle w:val="Prrafodelista"/>
        <w:numPr>
          <w:ilvl w:val="0"/>
          <w:numId w:val="64"/>
        </w:numPr>
      </w:pPr>
      <w:r>
        <w:t xml:space="preserve">Garantizar que el Gobierno Nacional y las entidades obligadas incluyan efectivamente en su planeación cuatrianual y anual los </w:t>
      </w:r>
      <w:r w:rsidRPr="000F6499">
        <w:rPr>
          <w:b/>
        </w:rPr>
        <w:lastRenderedPageBreak/>
        <w:t>recursos necesarios para el cumplimiento</w:t>
      </w:r>
      <w:r w:rsidRPr="000F6499">
        <w:rPr>
          <w:b/>
          <w:spacing w:val="-8"/>
        </w:rPr>
        <w:t xml:space="preserve"> </w:t>
      </w:r>
      <w:r w:rsidRPr="000F6499">
        <w:rPr>
          <w:b/>
        </w:rPr>
        <w:t>de</w:t>
      </w:r>
      <w:r w:rsidRPr="000F6499">
        <w:rPr>
          <w:b/>
          <w:spacing w:val="-8"/>
        </w:rPr>
        <w:t xml:space="preserve"> </w:t>
      </w:r>
      <w:r w:rsidRPr="000F6499">
        <w:rPr>
          <w:b/>
        </w:rPr>
        <w:t>órdenes</w:t>
      </w:r>
      <w:r w:rsidRPr="000F6499">
        <w:rPr>
          <w:b/>
          <w:spacing w:val="-8"/>
        </w:rPr>
        <w:t xml:space="preserve"> </w:t>
      </w:r>
      <w:r w:rsidRPr="000F6499">
        <w:rPr>
          <w:b/>
        </w:rPr>
        <w:t>judiciales</w:t>
      </w:r>
      <w:r w:rsidRPr="000F6499">
        <w:rPr>
          <w:b/>
          <w:spacing w:val="-8"/>
        </w:rPr>
        <w:t xml:space="preserve"> </w:t>
      </w:r>
      <w:r w:rsidRPr="000F6499">
        <w:rPr>
          <w:b/>
        </w:rPr>
        <w:t>pendientes.</w:t>
      </w:r>
      <w:r w:rsidRPr="000F6499">
        <w:rPr>
          <w:b/>
          <w:spacing w:val="-9"/>
        </w:rPr>
        <w:t xml:space="preserve"> </w:t>
      </w:r>
      <w:r>
        <w:t>También</w:t>
      </w:r>
      <w:r w:rsidRPr="000F6499">
        <w:rPr>
          <w:spacing w:val="-9"/>
        </w:rPr>
        <w:t xml:space="preserve"> </w:t>
      </w:r>
      <w:r>
        <w:t>es</w:t>
      </w:r>
      <w:r w:rsidRPr="000F6499">
        <w:rPr>
          <w:spacing w:val="-8"/>
        </w:rPr>
        <w:t xml:space="preserve"> </w:t>
      </w:r>
      <w:r>
        <w:t>importante</w:t>
      </w:r>
      <w:r w:rsidRPr="000F6499">
        <w:rPr>
          <w:spacing w:val="-9"/>
        </w:rPr>
        <w:t xml:space="preserve"> </w:t>
      </w:r>
      <w:r>
        <w:t>que</w:t>
      </w:r>
      <w:r w:rsidRPr="000F6499">
        <w:rPr>
          <w:spacing w:val="-8"/>
        </w:rPr>
        <w:t xml:space="preserve"> </w:t>
      </w:r>
      <w:r>
        <w:t>cuenten con una estrategia para atender aquellas que previsiblemente emitirán los juzgados y salas especiales a lo largo del año fiscal en cuestión</w:t>
      </w:r>
      <w:r w:rsidR="000F6499">
        <w:rPr>
          <w:rStyle w:val="Refdenotaalpie"/>
        </w:rPr>
        <w:footnoteReference w:id="1280"/>
      </w:r>
      <w:r>
        <w:t>.</w:t>
      </w:r>
    </w:p>
    <w:p w:rsidR="000F6499" w:rsidRDefault="00AF18A5" w:rsidP="000F6499">
      <w:pPr>
        <w:pStyle w:val="Prrafodelista"/>
        <w:numPr>
          <w:ilvl w:val="0"/>
          <w:numId w:val="64"/>
        </w:numPr>
      </w:pPr>
      <w:r>
        <w:t xml:space="preserve">Poner en marcha un </w:t>
      </w:r>
      <w:r w:rsidRPr="000F6499">
        <w:rPr>
          <w:b/>
        </w:rPr>
        <w:t>sistema de información, con datos sobre las órdenes de las sentencias de restitución</w:t>
      </w:r>
      <w:r>
        <w:t>, su nivel de avance e indicadores de gestión y de impacto, que pueda ser consultado y actualizado en tiempo real por los distintos operadores de la política y por el Ministerio Público.</w:t>
      </w:r>
    </w:p>
    <w:p w:rsidR="000F6499" w:rsidRDefault="000F6499">
      <w:pPr>
        <w:spacing w:before="0" w:after="0" w:line="240" w:lineRule="auto"/>
      </w:pPr>
      <w:r>
        <w:br w:type="page"/>
      </w:r>
    </w:p>
    <w:p w:rsidR="0011361F" w:rsidRDefault="00AF18A5" w:rsidP="000F6499">
      <w:pPr>
        <w:pStyle w:val="Ttulo2"/>
        <w:numPr>
          <w:ilvl w:val="0"/>
          <w:numId w:val="61"/>
        </w:numPr>
      </w:pPr>
      <w:bookmarkStart w:id="1683" w:name="_bookmark1454"/>
      <w:bookmarkStart w:id="1684" w:name="8._PARA_LOGRAR_UNA_CULTURA_PARA_VIVIR_EN"/>
      <w:bookmarkStart w:id="1685" w:name="_Toc112399722"/>
      <w:bookmarkEnd w:id="1683"/>
      <w:bookmarkEnd w:id="1684"/>
      <w:r>
        <w:rPr>
          <w:w w:val="95"/>
        </w:rPr>
        <w:lastRenderedPageBreak/>
        <w:t>PARA</w:t>
      </w:r>
      <w:r>
        <w:rPr>
          <w:spacing w:val="19"/>
        </w:rPr>
        <w:t xml:space="preserve"> </w:t>
      </w:r>
      <w:r w:rsidRPr="000F6499">
        <w:t>LOGRAR</w:t>
      </w:r>
      <w:r>
        <w:rPr>
          <w:spacing w:val="18"/>
        </w:rPr>
        <w:t xml:space="preserve"> </w:t>
      </w:r>
      <w:r>
        <w:rPr>
          <w:w w:val="95"/>
        </w:rPr>
        <w:t>UNA</w:t>
      </w:r>
      <w:r>
        <w:rPr>
          <w:spacing w:val="16"/>
        </w:rPr>
        <w:t xml:space="preserve"> </w:t>
      </w:r>
      <w:r>
        <w:rPr>
          <w:w w:val="95"/>
        </w:rPr>
        <w:t>CULTURA</w:t>
      </w:r>
      <w:r>
        <w:rPr>
          <w:spacing w:val="19"/>
        </w:rPr>
        <w:t xml:space="preserve"> </w:t>
      </w:r>
      <w:r>
        <w:rPr>
          <w:w w:val="95"/>
        </w:rPr>
        <w:t>PARA</w:t>
      </w:r>
      <w:r>
        <w:rPr>
          <w:spacing w:val="17"/>
        </w:rPr>
        <w:t xml:space="preserve"> </w:t>
      </w:r>
      <w:r>
        <w:rPr>
          <w:w w:val="95"/>
        </w:rPr>
        <w:t>VIVIR</w:t>
      </w:r>
      <w:r>
        <w:rPr>
          <w:spacing w:val="16"/>
        </w:rPr>
        <w:t xml:space="preserve"> </w:t>
      </w:r>
      <w:r>
        <w:rPr>
          <w:w w:val="95"/>
        </w:rPr>
        <w:t>EN</w:t>
      </w:r>
      <w:r>
        <w:rPr>
          <w:spacing w:val="16"/>
        </w:rPr>
        <w:t xml:space="preserve"> </w:t>
      </w:r>
      <w:r>
        <w:rPr>
          <w:spacing w:val="-5"/>
          <w:w w:val="95"/>
        </w:rPr>
        <w:t>PAZ</w:t>
      </w:r>
      <w:bookmarkEnd w:id="1685"/>
    </w:p>
    <w:p w:rsidR="003804AC" w:rsidRDefault="000F6499" w:rsidP="000F6499">
      <w:r>
        <w:t>“</w:t>
      </w:r>
      <w:r w:rsidR="00AF18A5">
        <w:t>El</w:t>
      </w:r>
      <w:r w:rsidR="00AF18A5">
        <w:rPr>
          <w:spacing w:val="-3"/>
        </w:rPr>
        <w:t xml:space="preserve"> </w:t>
      </w:r>
      <w:r w:rsidR="00AF18A5">
        <w:t>primer</w:t>
      </w:r>
      <w:r w:rsidR="00AF18A5">
        <w:rPr>
          <w:spacing w:val="-3"/>
        </w:rPr>
        <w:t xml:space="preserve"> </w:t>
      </w:r>
      <w:r w:rsidR="00AF18A5">
        <w:t>acuerdo</w:t>
      </w:r>
      <w:r w:rsidR="00AF18A5">
        <w:rPr>
          <w:spacing w:val="-3"/>
        </w:rPr>
        <w:t xml:space="preserve"> </w:t>
      </w:r>
      <w:r w:rsidR="00AF18A5">
        <w:t>de</w:t>
      </w:r>
      <w:r w:rsidR="00AF18A5">
        <w:rPr>
          <w:spacing w:val="-3"/>
        </w:rPr>
        <w:t xml:space="preserve"> </w:t>
      </w:r>
      <w:r w:rsidR="00AF18A5">
        <w:t>paz</w:t>
      </w:r>
      <w:r w:rsidR="00AF18A5">
        <w:rPr>
          <w:spacing w:val="-3"/>
        </w:rPr>
        <w:t xml:space="preserve"> </w:t>
      </w:r>
      <w:r w:rsidR="00AF18A5">
        <w:t>que</w:t>
      </w:r>
      <w:r w:rsidR="00AF18A5">
        <w:rPr>
          <w:spacing w:val="-3"/>
        </w:rPr>
        <w:t xml:space="preserve"> </w:t>
      </w:r>
      <w:r w:rsidR="00AF18A5">
        <w:t>tenemos</w:t>
      </w:r>
      <w:r w:rsidR="00AF18A5">
        <w:rPr>
          <w:spacing w:val="-3"/>
        </w:rPr>
        <w:t xml:space="preserve"> </w:t>
      </w:r>
      <w:r w:rsidR="00AF18A5">
        <w:t>que</w:t>
      </w:r>
      <w:r w:rsidR="00AF18A5">
        <w:rPr>
          <w:spacing w:val="-2"/>
        </w:rPr>
        <w:t xml:space="preserve"> </w:t>
      </w:r>
      <w:r w:rsidR="00AF18A5">
        <w:t>tener</w:t>
      </w:r>
      <w:r w:rsidR="00AF18A5">
        <w:rPr>
          <w:spacing w:val="-2"/>
        </w:rPr>
        <w:t xml:space="preserve"> </w:t>
      </w:r>
      <w:r w:rsidR="00AF18A5">
        <w:t>los</w:t>
      </w:r>
      <w:r w:rsidR="00AF18A5">
        <w:rPr>
          <w:spacing w:val="-2"/>
        </w:rPr>
        <w:t xml:space="preserve"> </w:t>
      </w:r>
      <w:r w:rsidR="00AF18A5">
        <w:t>colombianos</w:t>
      </w:r>
      <w:r w:rsidR="00AF18A5">
        <w:rPr>
          <w:spacing w:val="-2"/>
        </w:rPr>
        <w:t xml:space="preserve"> </w:t>
      </w:r>
      <w:r w:rsidR="00AF18A5">
        <w:t>es</w:t>
      </w:r>
      <w:r w:rsidR="00AF18A5">
        <w:rPr>
          <w:spacing w:val="-3"/>
        </w:rPr>
        <w:t xml:space="preserve"> </w:t>
      </w:r>
      <w:r w:rsidR="00AF18A5">
        <w:t>desde</w:t>
      </w:r>
      <w:r w:rsidR="00AF18A5">
        <w:rPr>
          <w:spacing w:val="-2"/>
        </w:rPr>
        <w:t xml:space="preserve"> </w:t>
      </w:r>
      <w:r w:rsidR="00AF18A5">
        <w:t>cada</w:t>
      </w:r>
      <w:r w:rsidR="00AF18A5">
        <w:rPr>
          <w:spacing w:val="-3"/>
        </w:rPr>
        <w:t xml:space="preserve"> </w:t>
      </w:r>
      <w:r w:rsidR="00AF18A5">
        <w:t>uno</w:t>
      </w:r>
      <w:r w:rsidR="00AF18A5">
        <w:rPr>
          <w:spacing w:val="-3"/>
        </w:rPr>
        <w:t xml:space="preserve"> </w:t>
      </w:r>
      <w:r w:rsidR="00AF18A5">
        <w:t>de</w:t>
      </w:r>
      <w:r w:rsidR="00AF18A5">
        <w:rPr>
          <w:spacing w:val="-3"/>
        </w:rPr>
        <w:t xml:space="preserve"> </w:t>
      </w:r>
      <w:r w:rsidR="00AF18A5">
        <w:t>nosotros</w:t>
      </w:r>
      <w:r w:rsidR="00AF18A5">
        <w:rPr>
          <w:spacing w:val="-3"/>
        </w:rPr>
        <w:t xml:space="preserve"> </w:t>
      </w:r>
      <w:r w:rsidR="00AF18A5">
        <w:t>para nosotros.</w:t>
      </w:r>
      <w:r w:rsidR="00AF18A5">
        <w:rPr>
          <w:spacing w:val="-2"/>
        </w:rPr>
        <w:t xml:space="preserve"> </w:t>
      </w:r>
      <w:r w:rsidR="00AF18A5">
        <w:t>Creer</w:t>
      </w:r>
      <w:r w:rsidR="00AF18A5">
        <w:rPr>
          <w:spacing w:val="-2"/>
        </w:rPr>
        <w:t xml:space="preserve"> </w:t>
      </w:r>
      <w:r w:rsidR="00AF18A5">
        <w:t>y</w:t>
      </w:r>
      <w:r w:rsidR="00AF18A5">
        <w:rPr>
          <w:spacing w:val="-2"/>
        </w:rPr>
        <w:t xml:space="preserve"> </w:t>
      </w:r>
      <w:r w:rsidR="00AF18A5">
        <w:t>confiar</w:t>
      </w:r>
      <w:r w:rsidR="00AF18A5">
        <w:rPr>
          <w:spacing w:val="-3"/>
        </w:rPr>
        <w:t xml:space="preserve"> </w:t>
      </w:r>
      <w:r w:rsidR="00AF18A5">
        <w:t>en</w:t>
      </w:r>
      <w:r w:rsidR="00AF18A5">
        <w:rPr>
          <w:spacing w:val="-4"/>
        </w:rPr>
        <w:t xml:space="preserve"> </w:t>
      </w:r>
      <w:r w:rsidR="00AF18A5">
        <w:t>nosotros</w:t>
      </w:r>
      <w:r w:rsidR="00AF18A5">
        <w:rPr>
          <w:spacing w:val="-3"/>
        </w:rPr>
        <w:t xml:space="preserve"> </w:t>
      </w:r>
      <w:r w:rsidR="00AF18A5">
        <w:t>mismos</w:t>
      </w:r>
      <w:r w:rsidR="00AF18A5">
        <w:rPr>
          <w:spacing w:val="-2"/>
        </w:rPr>
        <w:t xml:space="preserve"> </w:t>
      </w:r>
      <w:r w:rsidR="00AF18A5">
        <w:t>y</w:t>
      </w:r>
      <w:r w:rsidR="00AF18A5">
        <w:rPr>
          <w:spacing w:val="-3"/>
        </w:rPr>
        <w:t xml:space="preserve"> </w:t>
      </w:r>
      <w:r w:rsidR="00AF18A5">
        <w:t>en</w:t>
      </w:r>
      <w:r w:rsidR="00AF18A5">
        <w:rPr>
          <w:spacing w:val="-3"/>
        </w:rPr>
        <w:t xml:space="preserve"> </w:t>
      </w:r>
      <w:r w:rsidR="00AF18A5">
        <w:t>la</w:t>
      </w:r>
      <w:r w:rsidR="00AF18A5">
        <w:rPr>
          <w:spacing w:val="-1"/>
        </w:rPr>
        <w:t xml:space="preserve"> </w:t>
      </w:r>
      <w:r w:rsidR="00AF18A5">
        <w:t>educación.</w:t>
      </w:r>
      <w:r w:rsidR="00AF18A5">
        <w:rPr>
          <w:spacing w:val="-3"/>
        </w:rPr>
        <w:t xml:space="preserve"> </w:t>
      </w:r>
      <w:r w:rsidR="00AF18A5">
        <w:t>La</w:t>
      </w:r>
      <w:r w:rsidR="00AF18A5">
        <w:rPr>
          <w:spacing w:val="-3"/>
        </w:rPr>
        <w:t xml:space="preserve"> </w:t>
      </w:r>
      <w:r w:rsidR="00AF18A5">
        <w:t>fortaleza</w:t>
      </w:r>
      <w:r w:rsidR="00AF18A5">
        <w:rPr>
          <w:spacing w:val="-3"/>
        </w:rPr>
        <w:t xml:space="preserve"> </w:t>
      </w:r>
      <w:r w:rsidR="00AF18A5">
        <w:t>más</w:t>
      </w:r>
      <w:r w:rsidR="00AF18A5">
        <w:rPr>
          <w:spacing w:val="-3"/>
        </w:rPr>
        <w:t xml:space="preserve"> </w:t>
      </w:r>
      <w:r w:rsidR="00AF18A5">
        <w:t>grande</w:t>
      </w:r>
      <w:r w:rsidR="00AF18A5">
        <w:rPr>
          <w:spacing w:val="-2"/>
        </w:rPr>
        <w:t xml:space="preserve"> </w:t>
      </w:r>
      <w:r w:rsidR="00AF18A5">
        <w:t>que</w:t>
      </w:r>
      <w:r w:rsidR="00AF18A5">
        <w:rPr>
          <w:spacing w:val="-2"/>
        </w:rPr>
        <w:t xml:space="preserve"> </w:t>
      </w:r>
      <w:r w:rsidR="00AF18A5">
        <w:t>le</w:t>
      </w:r>
      <w:r w:rsidR="00AF18A5">
        <w:rPr>
          <w:spacing w:val="-3"/>
        </w:rPr>
        <w:t xml:space="preserve"> </w:t>
      </w:r>
      <w:r w:rsidR="00AF18A5">
        <w:t>puede</w:t>
      </w:r>
      <w:r w:rsidR="00AF18A5">
        <w:rPr>
          <w:spacing w:val="-5"/>
        </w:rPr>
        <w:t xml:space="preserve"> </w:t>
      </w:r>
      <w:r w:rsidR="00AF18A5">
        <w:t>dar</w:t>
      </w:r>
      <w:r w:rsidR="00AF18A5">
        <w:rPr>
          <w:spacing w:val="-3"/>
        </w:rPr>
        <w:t xml:space="preserve"> </w:t>
      </w:r>
      <w:r w:rsidR="00AF18A5">
        <w:t>un presidente o un dignatario al país es la educación. Que crezcamos en la educación</w:t>
      </w:r>
      <w:r>
        <w:rPr>
          <w:rStyle w:val="Refdenotaalpie"/>
        </w:rPr>
        <w:footnoteReference w:id="1281"/>
      </w:r>
      <w:r w:rsidR="00AF18A5">
        <w:t>.</w:t>
      </w:r>
      <w:r>
        <w:t>”</w:t>
      </w:r>
    </w:p>
    <w:p w:rsidR="003804AC" w:rsidRDefault="00AF18A5" w:rsidP="000F6499">
      <w:r>
        <w:t>La</w:t>
      </w:r>
      <w:r>
        <w:rPr>
          <w:spacing w:val="-13"/>
        </w:rPr>
        <w:t xml:space="preserve"> </w:t>
      </w:r>
      <w:r>
        <w:t>transformación</w:t>
      </w:r>
      <w:r>
        <w:rPr>
          <w:spacing w:val="-14"/>
        </w:rPr>
        <w:t xml:space="preserve"> </w:t>
      </w:r>
      <w:r>
        <w:t>cultural</w:t>
      </w:r>
      <w:r>
        <w:rPr>
          <w:spacing w:val="-13"/>
        </w:rPr>
        <w:t xml:space="preserve"> </w:t>
      </w:r>
      <w:r>
        <w:t>es</w:t>
      </w:r>
      <w:r>
        <w:rPr>
          <w:spacing w:val="-13"/>
        </w:rPr>
        <w:t xml:space="preserve"> </w:t>
      </w:r>
      <w:r>
        <w:t>un</w:t>
      </w:r>
      <w:r>
        <w:rPr>
          <w:spacing w:val="-13"/>
        </w:rPr>
        <w:t xml:space="preserve"> </w:t>
      </w:r>
      <w:r>
        <w:t>aspecto</w:t>
      </w:r>
      <w:r>
        <w:rPr>
          <w:spacing w:val="-13"/>
        </w:rPr>
        <w:t xml:space="preserve"> </w:t>
      </w:r>
      <w:r>
        <w:t>sustancial</w:t>
      </w:r>
      <w:r>
        <w:rPr>
          <w:spacing w:val="-14"/>
        </w:rPr>
        <w:t xml:space="preserve"> </w:t>
      </w:r>
      <w:r>
        <w:t>para</w:t>
      </w:r>
      <w:r>
        <w:rPr>
          <w:spacing w:val="-14"/>
        </w:rPr>
        <w:t xml:space="preserve"> </w:t>
      </w:r>
      <w:r>
        <w:t>la</w:t>
      </w:r>
      <w:r>
        <w:rPr>
          <w:spacing w:val="-14"/>
        </w:rPr>
        <w:t xml:space="preserve"> </w:t>
      </w:r>
      <w:r>
        <w:t>transición</w:t>
      </w:r>
      <w:r>
        <w:rPr>
          <w:spacing w:val="-13"/>
        </w:rPr>
        <w:t xml:space="preserve"> </w:t>
      </w:r>
      <w:r>
        <w:t>a</w:t>
      </w:r>
      <w:r>
        <w:rPr>
          <w:spacing w:val="-14"/>
        </w:rPr>
        <w:t xml:space="preserve"> </w:t>
      </w:r>
      <w:r>
        <w:t>la</w:t>
      </w:r>
      <w:r>
        <w:rPr>
          <w:spacing w:val="-14"/>
        </w:rPr>
        <w:t xml:space="preserve"> </w:t>
      </w:r>
      <w:r>
        <w:t>paz</w:t>
      </w:r>
      <w:r>
        <w:rPr>
          <w:spacing w:val="-13"/>
        </w:rPr>
        <w:t xml:space="preserve"> </w:t>
      </w:r>
      <w:r>
        <w:t>en</w:t>
      </w:r>
      <w:r>
        <w:rPr>
          <w:spacing w:val="-13"/>
        </w:rPr>
        <w:t xml:space="preserve"> </w:t>
      </w:r>
      <w:r>
        <w:t>una</w:t>
      </w:r>
      <w:r>
        <w:rPr>
          <w:spacing w:val="-14"/>
        </w:rPr>
        <w:t xml:space="preserve"> </w:t>
      </w:r>
      <w:r>
        <w:t>sociedad que, como la colombiana, ha vivido un largo periodo de conflicto armado. Entre cuatro y cinco generaciones del país han pasado el grueso de su trayectoria vital sumidas en el conflicto durante el cual, además de los profundos impactos individuales y colectivos causados por las vulneraciones a los derechos humanos y al Derecho Internacional Humanitario que se cometieron por parte de diferentes actores, también se han fijado, heredado y transmitido las identidades del enemigo; las lógicas de odio, miedo, estigmatización, venganza, señalamiento, resentimiento, rabia y deshumanización que caracterizan</w:t>
      </w:r>
      <w:r>
        <w:rPr>
          <w:spacing w:val="-2"/>
        </w:rPr>
        <w:t xml:space="preserve"> </w:t>
      </w:r>
      <w:r>
        <w:t>el conflicto;</w:t>
      </w:r>
      <w:r>
        <w:rPr>
          <w:spacing w:val="-1"/>
        </w:rPr>
        <w:t xml:space="preserve"> </w:t>
      </w:r>
      <w:r>
        <w:t>y las ideas de poder y movilidad social asociadas</w:t>
      </w:r>
      <w:r>
        <w:rPr>
          <w:spacing w:val="-1"/>
        </w:rPr>
        <w:t xml:space="preserve"> </w:t>
      </w:r>
      <w:r>
        <w:t xml:space="preserve">al narcotráfico, </w:t>
      </w:r>
      <w:r>
        <w:rPr>
          <w:spacing w:val="-10"/>
        </w:rPr>
        <w:t>a</w:t>
      </w:r>
      <w:bookmarkStart w:id="1686" w:name="_bookmark1456"/>
      <w:bookmarkEnd w:id="1686"/>
      <w:r w:rsidR="000F6499">
        <w:t xml:space="preserve"> </w:t>
      </w:r>
      <w:r>
        <w:t>las</w:t>
      </w:r>
      <w:r>
        <w:rPr>
          <w:spacing w:val="-15"/>
        </w:rPr>
        <w:t xml:space="preserve"> </w:t>
      </w:r>
      <w:r>
        <w:t>que</w:t>
      </w:r>
      <w:r>
        <w:rPr>
          <w:spacing w:val="-15"/>
        </w:rPr>
        <w:t xml:space="preserve"> </w:t>
      </w:r>
      <w:r>
        <w:t>se</w:t>
      </w:r>
      <w:r>
        <w:rPr>
          <w:spacing w:val="-15"/>
        </w:rPr>
        <w:t xml:space="preserve"> </w:t>
      </w:r>
      <w:r>
        <w:t>suman</w:t>
      </w:r>
      <w:r>
        <w:rPr>
          <w:spacing w:val="-15"/>
        </w:rPr>
        <w:t xml:space="preserve"> </w:t>
      </w:r>
      <w:r>
        <w:t>la</w:t>
      </w:r>
      <w:r>
        <w:rPr>
          <w:spacing w:val="-15"/>
        </w:rPr>
        <w:t xml:space="preserve"> </w:t>
      </w:r>
      <w:r>
        <w:t>profundización</w:t>
      </w:r>
      <w:r>
        <w:rPr>
          <w:spacing w:val="-15"/>
        </w:rPr>
        <w:t xml:space="preserve"> </w:t>
      </w:r>
      <w:r>
        <w:t>de</w:t>
      </w:r>
      <w:r>
        <w:rPr>
          <w:spacing w:val="-15"/>
        </w:rPr>
        <w:t xml:space="preserve"> </w:t>
      </w:r>
      <w:r>
        <w:t>las</w:t>
      </w:r>
      <w:r>
        <w:rPr>
          <w:spacing w:val="-15"/>
        </w:rPr>
        <w:t xml:space="preserve"> </w:t>
      </w:r>
      <w:r>
        <w:t>violencias</w:t>
      </w:r>
      <w:r>
        <w:rPr>
          <w:spacing w:val="-15"/>
        </w:rPr>
        <w:t xml:space="preserve"> </w:t>
      </w:r>
      <w:r>
        <w:t>estructurales</w:t>
      </w:r>
      <w:r>
        <w:rPr>
          <w:spacing w:val="-15"/>
        </w:rPr>
        <w:t xml:space="preserve"> </w:t>
      </w:r>
      <w:r>
        <w:t>relacionadas</w:t>
      </w:r>
      <w:r>
        <w:rPr>
          <w:spacing w:val="-15"/>
        </w:rPr>
        <w:t xml:space="preserve"> </w:t>
      </w:r>
      <w:r>
        <w:t>con</w:t>
      </w:r>
      <w:r>
        <w:rPr>
          <w:spacing w:val="-15"/>
        </w:rPr>
        <w:t xml:space="preserve"> </w:t>
      </w:r>
      <w:r>
        <w:t>el</w:t>
      </w:r>
      <w:r>
        <w:rPr>
          <w:spacing w:val="-15"/>
        </w:rPr>
        <w:t xml:space="preserve"> </w:t>
      </w:r>
      <w:r>
        <w:t>racismo y el patriarcado.</w:t>
      </w:r>
    </w:p>
    <w:p w:rsidR="003804AC" w:rsidRDefault="00AF18A5" w:rsidP="000F6499">
      <w:r>
        <w:t>De lo anterior derivaron ideologías, percepciones y narrativas con las que se justificó la violencia hacia algunos sectores y territorios que se marcaron como «</w:t>
      </w:r>
      <w:proofErr w:type="spellStart"/>
      <w:r>
        <w:t>matables</w:t>
      </w:r>
      <w:proofErr w:type="spellEnd"/>
      <w:r>
        <w:t xml:space="preserve"> y eliminables», a la vez que se agudizó la anomia y el uso y la normalización de la violencia que, dada la larga duración del conflicto, empezaron a afectar capilarmente las relaciones sociales y políticas. Así, la guerra deterioró profundamente la cultura de la sociedad, sus valores, destruyó los arraigos y produjo que la </w:t>
      </w:r>
      <w:r>
        <w:lastRenderedPageBreak/>
        <w:t>democracia se desarrollara más en lógica de destrucción física y moral del adversario, que desde el diálogo constructivo.</w:t>
      </w:r>
    </w:p>
    <w:p w:rsidR="003804AC" w:rsidRDefault="00AF18A5" w:rsidP="000F6499">
      <w:r>
        <w:t>La transformación cultural debe ser un compromiso de toda la sociedad en su diversidad y multiculturalidad de manera que contribuyan al fin último de vivir en paz y no repetir las violaciones</w:t>
      </w:r>
      <w:r>
        <w:rPr>
          <w:spacing w:val="-15"/>
        </w:rPr>
        <w:t xml:space="preserve"> </w:t>
      </w:r>
      <w:r>
        <w:t>de</w:t>
      </w:r>
      <w:r>
        <w:rPr>
          <w:spacing w:val="-14"/>
        </w:rPr>
        <w:t xml:space="preserve"> </w:t>
      </w:r>
      <w:r>
        <w:t>los</w:t>
      </w:r>
      <w:r>
        <w:rPr>
          <w:spacing w:val="-14"/>
        </w:rPr>
        <w:t xml:space="preserve"> </w:t>
      </w:r>
      <w:r>
        <w:t>derechos</w:t>
      </w:r>
      <w:r>
        <w:rPr>
          <w:spacing w:val="-14"/>
        </w:rPr>
        <w:t xml:space="preserve"> </w:t>
      </w:r>
      <w:r>
        <w:t>humanos.</w:t>
      </w:r>
      <w:r>
        <w:rPr>
          <w:spacing w:val="-14"/>
        </w:rPr>
        <w:t xml:space="preserve"> </w:t>
      </w:r>
      <w:r>
        <w:t>Esta</w:t>
      </w:r>
      <w:r>
        <w:rPr>
          <w:spacing w:val="-14"/>
        </w:rPr>
        <w:t xml:space="preserve"> </w:t>
      </w:r>
      <w:r>
        <w:t>debe</w:t>
      </w:r>
      <w:r>
        <w:rPr>
          <w:spacing w:val="-15"/>
        </w:rPr>
        <w:t xml:space="preserve"> </w:t>
      </w:r>
      <w:r>
        <w:t>iniciar</w:t>
      </w:r>
      <w:r>
        <w:rPr>
          <w:spacing w:val="-14"/>
        </w:rPr>
        <w:t xml:space="preserve"> </w:t>
      </w:r>
      <w:r>
        <w:t>por</w:t>
      </w:r>
      <w:r>
        <w:rPr>
          <w:spacing w:val="-14"/>
        </w:rPr>
        <w:t xml:space="preserve"> </w:t>
      </w:r>
      <w:r>
        <w:t>la</w:t>
      </w:r>
      <w:r>
        <w:rPr>
          <w:spacing w:val="-15"/>
        </w:rPr>
        <w:t xml:space="preserve"> </w:t>
      </w:r>
      <w:r>
        <w:t>reflexión</w:t>
      </w:r>
      <w:r>
        <w:rPr>
          <w:spacing w:val="-14"/>
        </w:rPr>
        <w:t xml:space="preserve"> </w:t>
      </w:r>
      <w:r>
        <w:t>sobre</w:t>
      </w:r>
      <w:r>
        <w:rPr>
          <w:spacing w:val="-14"/>
        </w:rPr>
        <w:t xml:space="preserve"> </w:t>
      </w:r>
      <w:r>
        <w:t>la</w:t>
      </w:r>
      <w:r>
        <w:rPr>
          <w:spacing w:val="-15"/>
        </w:rPr>
        <w:t xml:space="preserve"> </w:t>
      </w:r>
      <w:r>
        <w:t>manera</w:t>
      </w:r>
      <w:r>
        <w:rPr>
          <w:spacing w:val="-14"/>
        </w:rPr>
        <w:t xml:space="preserve"> </w:t>
      </w:r>
      <w:r>
        <w:t>como las violencias se han enquistado en la cultura, convirtiéndose en una fuente de retroalimentación del conflicto con manifestaciones en lo afectivo y los comportamientos cotidianos. Así, para avanzar en la construcción de paz es necesario desarmar no solo las manos y los cuerpos, sino el lenguaje, la mente y el corazón, consolidar una nueva ética ciudadana,</w:t>
      </w:r>
      <w:r>
        <w:rPr>
          <w:spacing w:val="-6"/>
        </w:rPr>
        <w:t xml:space="preserve"> </w:t>
      </w:r>
      <w:r>
        <w:t>pública</w:t>
      </w:r>
      <w:r>
        <w:rPr>
          <w:spacing w:val="-6"/>
        </w:rPr>
        <w:t xml:space="preserve"> </w:t>
      </w:r>
      <w:r>
        <w:t>y</w:t>
      </w:r>
      <w:r>
        <w:rPr>
          <w:spacing w:val="-5"/>
        </w:rPr>
        <w:t xml:space="preserve"> </w:t>
      </w:r>
      <w:r>
        <w:t>formas</w:t>
      </w:r>
      <w:r>
        <w:rPr>
          <w:spacing w:val="-5"/>
        </w:rPr>
        <w:t xml:space="preserve"> </w:t>
      </w:r>
      <w:r>
        <w:t>de</w:t>
      </w:r>
      <w:r>
        <w:rPr>
          <w:spacing w:val="-6"/>
        </w:rPr>
        <w:t xml:space="preserve"> </w:t>
      </w:r>
      <w:r>
        <w:t>vivir</w:t>
      </w:r>
      <w:r>
        <w:rPr>
          <w:spacing w:val="-6"/>
        </w:rPr>
        <w:t xml:space="preserve"> </w:t>
      </w:r>
      <w:r>
        <w:t>en</w:t>
      </w:r>
      <w:r>
        <w:rPr>
          <w:spacing w:val="-5"/>
        </w:rPr>
        <w:t xml:space="preserve"> </w:t>
      </w:r>
      <w:r>
        <w:t>sociedad,</w:t>
      </w:r>
      <w:r>
        <w:rPr>
          <w:spacing w:val="-5"/>
        </w:rPr>
        <w:t xml:space="preserve"> </w:t>
      </w:r>
      <w:r>
        <w:t>para</w:t>
      </w:r>
      <w:r>
        <w:rPr>
          <w:spacing w:val="-6"/>
        </w:rPr>
        <w:t xml:space="preserve"> </w:t>
      </w:r>
      <w:r>
        <w:t>lo</w:t>
      </w:r>
      <w:r>
        <w:rPr>
          <w:spacing w:val="-5"/>
        </w:rPr>
        <w:t xml:space="preserve"> </w:t>
      </w:r>
      <w:r>
        <w:t>cual</w:t>
      </w:r>
      <w:r>
        <w:rPr>
          <w:spacing w:val="-4"/>
        </w:rPr>
        <w:t xml:space="preserve"> </w:t>
      </w:r>
      <w:r>
        <w:t>es</w:t>
      </w:r>
      <w:r>
        <w:rPr>
          <w:spacing w:val="-6"/>
        </w:rPr>
        <w:t xml:space="preserve"> </w:t>
      </w:r>
      <w:r>
        <w:t>fundamental</w:t>
      </w:r>
      <w:r>
        <w:rPr>
          <w:spacing w:val="-6"/>
        </w:rPr>
        <w:t xml:space="preserve"> </w:t>
      </w:r>
      <w:r>
        <w:t>la</w:t>
      </w:r>
      <w:r>
        <w:rPr>
          <w:spacing w:val="-5"/>
        </w:rPr>
        <w:t xml:space="preserve"> </w:t>
      </w:r>
      <w:r>
        <w:t>divulgación y la apropiación de otras narrativas, valores y elementos simbólicos.</w:t>
      </w:r>
    </w:p>
    <w:p w:rsidR="003804AC" w:rsidRDefault="00AF18A5" w:rsidP="000F6499">
      <w:r>
        <w:t>Con</w:t>
      </w:r>
      <w:r>
        <w:rPr>
          <w:spacing w:val="-7"/>
        </w:rPr>
        <w:t xml:space="preserve"> </w:t>
      </w:r>
      <w:r>
        <w:t>base</w:t>
      </w:r>
      <w:r>
        <w:rPr>
          <w:spacing w:val="-7"/>
        </w:rPr>
        <w:t xml:space="preserve"> </w:t>
      </w:r>
      <w:r>
        <w:t>en</w:t>
      </w:r>
      <w:r>
        <w:rPr>
          <w:spacing w:val="-9"/>
        </w:rPr>
        <w:t xml:space="preserve"> </w:t>
      </w:r>
      <w:r>
        <w:t>lo</w:t>
      </w:r>
      <w:r>
        <w:rPr>
          <w:spacing w:val="-7"/>
        </w:rPr>
        <w:t xml:space="preserve"> </w:t>
      </w:r>
      <w:r>
        <w:t>anterior,</w:t>
      </w:r>
      <w:r>
        <w:rPr>
          <w:spacing w:val="-8"/>
        </w:rPr>
        <w:t xml:space="preserve"> </w:t>
      </w:r>
      <w:r>
        <w:t>la</w:t>
      </w:r>
      <w:r>
        <w:rPr>
          <w:spacing w:val="-7"/>
        </w:rPr>
        <w:t xml:space="preserve"> </w:t>
      </w:r>
      <w:r>
        <w:t>transformación</w:t>
      </w:r>
      <w:r>
        <w:rPr>
          <w:spacing w:val="-7"/>
        </w:rPr>
        <w:t xml:space="preserve"> </w:t>
      </w:r>
      <w:r>
        <w:t>propuesta</w:t>
      </w:r>
      <w:r>
        <w:rPr>
          <w:spacing w:val="-7"/>
        </w:rPr>
        <w:t xml:space="preserve"> </w:t>
      </w:r>
      <w:r>
        <w:t>busca</w:t>
      </w:r>
      <w:r>
        <w:rPr>
          <w:spacing w:val="-7"/>
        </w:rPr>
        <w:t xml:space="preserve"> </w:t>
      </w:r>
      <w:r>
        <w:t>que</w:t>
      </w:r>
      <w:r>
        <w:rPr>
          <w:spacing w:val="-7"/>
        </w:rPr>
        <w:t xml:space="preserve"> </w:t>
      </w:r>
      <w:r>
        <w:t>como</w:t>
      </w:r>
      <w:r>
        <w:rPr>
          <w:spacing w:val="-8"/>
        </w:rPr>
        <w:t xml:space="preserve"> </w:t>
      </w:r>
      <w:r>
        <w:t>sociedad</w:t>
      </w:r>
      <w:r>
        <w:rPr>
          <w:spacing w:val="-7"/>
        </w:rPr>
        <w:t xml:space="preserve"> </w:t>
      </w:r>
      <w:r>
        <w:t>asumamos una</w:t>
      </w:r>
      <w:r>
        <w:rPr>
          <w:spacing w:val="-9"/>
        </w:rPr>
        <w:t xml:space="preserve"> </w:t>
      </w:r>
      <w:r>
        <w:t>ética</w:t>
      </w:r>
      <w:r>
        <w:rPr>
          <w:spacing w:val="-9"/>
        </w:rPr>
        <w:t xml:space="preserve"> </w:t>
      </w:r>
      <w:r>
        <w:t>ciudadana</w:t>
      </w:r>
      <w:r>
        <w:rPr>
          <w:spacing w:val="-9"/>
        </w:rPr>
        <w:t xml:space="preserve"> </w:t>
      </w:r>
      <w:r>
        <w:t>y</w:t>
      </w:r>
      <w:r>
        <w:rPr>
          <w:spacing w:val="-9"/>
        </w:rPr>
        <w:t xml:space="preserve"> </w:t>
      </w:r>
      <w:r>
        <w:t>pública</w:t>
      </w:r>
      <w:r>
        <w:rPr>
          <w:spacing w:val="-10"/>
        </w:rPr>
        <w:t xml:space="preserve"> </w:t>
      </w:r>
      <w:r>
        <w:t>compartida</w:t>
      </w:r>
      <w:r>
        <w:rPr>
          <w:spacing w:val="-9"/>
        </w:rPr>
        <w:t xml:space="preserve"> </w:t>
      </w:r>
      <w:r>
        <w:t>que</w:t>
      </w:r>
      <w:r>
        <w:rPr>
          <w:spacing w:val="-9"/>
        </w:rPr>
        <w:t xml:space="preserve"> </w:t>
      </w:r>
      <w:r>
        <w:t>fundamente</w:t>
      </w:r>
      <w:r>
        <w:rPr>
          <w:spacing w:val="-9"/>
        </w:rPr>
        <w:t xml:space="preserve"> </w:t>
      </w:r>
      <w:r>
        <w:t>una</w:t>
      </w:r>
      <w:r>
        <w:rPr>
          <w:spacing w:val="-10"/>
        </w:rPr>
        <w:t xml:space="preserve"> </w:t>
      </w:r>
      <w:r>
        <w:t>cultura</w:t>
      </w:r>
      <w:r>
        <w:rPr>
          <w:spacing w:val="-9"/>
        </w:rPr>
        <w:t xml:space="preserve"> </w:t>
      </w:r>
      <w:r>
        <w:t>para</w:t>
      </w:r>
      <w:r>
        <w:rPr>
          <w:spacing w:val="-10"/>
        </w:rPr>
        <w:t xml:space="preserve"> </w:t>
      </w:r>
      <w:r>
        <w:t>vivir</w:t>
      </w:r>
      <w:r>
        <w:rPr>
          <w:spacing w:val="-10"/>
        </w:rPr>
        <w:t xml:space="preserve"> </w:t>
      </w:r>
      <w:r>
        <w:t>en</w:t>
      </w:r>
      <w:r>
        <w:rPr>
          <w:spacing w:val="-9"/>
        </w:rPr>
        <w:t xml:space="preserve"> </w:t>
      </w:r>
      <w:r>
        <w:t>paz.</w:t>
      </w:r>
      <w:r>
        <w:rPr>
          <w:spacing w:val="-9"/>
        </w:rPr>
        <w:t xml:space="preserve"> </w:t>
      </w:r>
      <w:r>
        <w:t>Esto implica que nuestros comportamientos y relacionamientos se basen en:</w:t>
      </w:r>
    </w:p>
    <w:p w:rsidR="003804AC" w:rsidRDefault="00AF18A5" w:rsidP="000F6499">
      <w:pPr>
        <w:pStyle w:val="Prrafodelista"/>
        <w:numPr>
          <w:ilvl w:val="0"/>
          <w:numId w:val="65"/>
        </w:numPr>
      </w:pPr>
      <w:r>
        <w:t>Una noción «del otro» que reconozca la igualdad de dignidades y sea respetuosa de la diversidad, la pluralidad y la diferencia cultural, étnica, de género, política e ideológica;</w:t>
      </w:r>
    </w:p>
    <w:p w:rsidR="003804AC" w:rsidRDefault="00AF18A5" w:rsidP="000F6499">
      <w:pPr>
        <w:pStyle w:val="Prrafodelista"/>
        <w:numPr>
          <w:ilvl w:val="0"/>
          <w:numId w:val="65"/>
        </w:numPr>
      </w:pPr>
      <w:r>
        <w:t>El rechazo de la violencia, la promoción del cuidado de la vida y del respeto de</w:t>
      </w:r>
      <w:r w:rsidRPr="000F6499">
        <w:rPr>
          <w:spacing w:val="-4"/>
        </w:rPr>
        <w:t xml:space="preserve"> </w:t>
      </w:r>
      <w:r>
        <w:t>los</w:t>
      </w:r>
      <w:r w:rsidRPr="000F6499">
        <w:rPr>
          <w:spacing w:val="-4"/>
        </w:rPr>
        <w:t xml:space="preserve"> </w:t>
      </w:r>
      <w:r>
        <w:t>derechos</w:t>
      </w:r>
      <w:r w:rsidRPr="000F6499">
        <w:rPr>
          <w:spacing w:val="-4"/>
        </w:rPr>
        <w:t xml:space="preserve"> </w:t>
      </w:r>
      <w:r>
        <w:t>humanos</w:t>
      </w:r>
      <w:r w:rsidRPr="000F6499">
        <w:rPr>
          <w:spacing w:val="-4"/>
        </w:rPr>
        <w:t xml:space="preserve"> </w:t>
      </w:r>
      <w:r>
        <w:t>sobre</w:t>
      </w:r>
      <w:r w:rsidRPr="000F6499">
        <w:rPr>
          <w:spacing w:val="-4"/>
        </w:rPr>
        <w:t xml:space="preserve"> </w:t>
      </w:r>
      <w:r>
        <w:t>la</w:t>
      </w:r>
      <w:r w:rsidRPr="000F6499">
        <w:rPr>
          <w:spacing w:val="-4"/>
        </w:rPr>
        <w:t xml:space="preserve"> </w:t>
      </w:r>
      <w:r>
        <w:t>base,</w:t>
      </w:r>
      <w:r w:rsidRPr="000F6499">
        <w:rPr>
          <w:spacing w:val="-5"/>
        </w:rPr>
        <w:t xml:space="preserve"> </w:t>
      </w:r>
      <w:r>
        <w:t>entre</w:t>
      </w:r>
      <w:r w:rsidRPr="000F6499">
        <w:rPr>
          <w:spacing w:val="-4"/>
        </w:rPr>
        <w:t xml:space="preserve"> </w:t>
      </w:r>
      <w:r>
        <w:t>otros,</w:t>
      </w:r>
      <w:r w:rsidRPr="000F6499">
        <w:rPr>
          <w:spacing w:val="-5"/>
        </w:rPr>
        <w:t xml:space="preserve"> </w:t>
      </w:r>
      <w:r>
        <w:t>de</w:t>
      </w:r>
      <w:r w:rsidRPr="000F6499">
        <w:rPr>
          <w:spacing w:val="-4"/>
        </w:rPr>
        <w:t xml:space="preserve"> </w:t>
      </w:r>
      <w:r>
        <w:t>la</w:t>
      </w:r>
      <w:r w:rsidRPr="000F6499">
        <w:rPr>
          <w:spacing w:val="-4"/>
        </w:rPr>
        <w:t xml:space="preserve"> </w:t>
      </w:r>
      <w:r>
        <w:t>comprensión</w:t>
      </w:r>
      <w:r w:rsidRPr="000F6499">
        <w:rPr>
          <w:spacing w:val="-5"/>
        </w:rPr>
        <w:t xml:space="preserve"> </w:t>
      </w:r>
      <w:r>
        <w:t>de</w:t>
      </w:r>
      <w:r w:rsidRPr="000F6499">
        <w:rPr>
          <w:spacing w:val="-4"/>
        </w:rPr>
        <w:t xml:space="preserve"> </w:t>
      </w:r>
      <w:r>
        <w:t>lo</w:t>
      </w:r>
      <w:r w:rsidRPr="000F6499">
        <w:rPr>
          <w:spacing w:val="-5"/>
        </w:rPr>
        <w:t xml:space="preserve"> </w:t>
      </w:r>
      <w:r>
        <w:t xml:space="preserve">ocurrido en el conflicto, de los impactos causados y los afrontamientos y resistencias de las </w:t>
      </w:r>
      <w:r w:rsidRPr="000F6499">
        <w:rPr>
          <w:spacing w:val="-2"/>
        </w:rPr>
        <w:t>comunidades.</w:t>
      </w:r>
    </w:p>
    <w:p w:rsidR="003804AC" w:rsidRDefault="00AF18A5" w:rsidP="000F6499">
      <w:pPr>
        <w:pStyle w:val="Prrafodelista"/>
        <w:numPr>
          <w:ilvl w:val="0"/>
          <w:numId w:val="65"/>
        </w:numPr>
      </w:pPr>
      <w:r>
        <w:t xml:space="preserve">La capacidad de diálogo y deliberación argumentada que, por esta vía, contribuya a la recuperación de la confianza, la promoción de </w:t>
      </w:r>
      <w:r>
        <w:lastRenderedPageBreak/>
        <w:t>la convivencia y el fortalecimiento de la democracia.</w:t>
      </w:r>
    </w:p>
    <w:p w:rsidR="003804AC" w:rsidRDefault="00AF18A5" w:rsidP="000F6499">
      <w:r>
        <w:t>Con este enfoque, las recomendaciones de este acápite inician con un llamado a la sociedad para</w:t>
      </w:r>
      <w:r>
        <w:rPr>
          <w:spacing w:val="-12"/>
        </w:rPr>
        <w:t xml:space="preserve"> </w:t>
      </w:r>
      <w:r>
        <w:t>que</w:t>
      </w:r>
      <w:r>
        <w:rPr>
          <w:spacing w:val="-12"/>
        </w:rPr>
        <w:t xml:space="preserve"> </w:t>
      </w:r>
      <w:r>
        <w:t>reconozca</w:t>
      </w:r>
      <w:r>
        <w:rPr>
          <w:spacing w:val="-12"/>
        </w:rPr>
        <w:t xml:space="preserve"> </w:t>
      </w:r>
      <w:r>
        <w:t>los</w:t>
      </w:r>
      <w:r>
        <w:rPr>
          <w:spacing w:val="-12"/>
        </w:rPr>
        <w:t xml:space="preserve"> </w:t>
      </w:r>
      <w:r>
        <w:t>elementos</w:t>
      </w:r>
      <w:r>
        <w:rPr>
          <w:spacing w:val="-12"/>
        </w:rPr>
        <w:t xml:space="preserve"> </w:t>
      </w:r>
      <w:r>
        <w:t>de</w:t>
      </w:r>
      <w:r>
        <w:rPr>
          <w:spacing w:val="-13"/>
        </w:rPr>
        <w:t xml:space="preserve"> </w:t>
      </w:r>
      <w:r>
        <w:t>la</w:t>
      </w:r>
      <w:r>
        <w:rPr>
          <w:spacing w:val="-12"/>
        </w:rPr>
        <w:t xml:space="preserve"> </w:t>
      </w:r>
      <w:r>
        <w:t>cultura</w:t>
      </w:r>
      <w:r>
        <w:rPr>
          <w:spacing w:val="-12"/>
        </w:rPr>
        <w:t xml:space="preserve"> </w:t>
      </w:r>
      <w:r>
        <w:t>que</w:t>
      </w:r>
      <w:r>
        <w:rPr>
          <w:spacing w:val="-12"/>
        </w:rPr>
        <w:t xml:space="preserve"> </w:t>
      </w:r>
      <w:r>
        <w:t>son</w:t>
      </w:r>
      <w:r>
        <w:rPr>
          <w:spacing w:val="-12"/>
        </w:rPr>
        <w:t xml:space="preserve"> </w:t>
      </w:r>
      <w:r>
        <w:t>efecto</w:t>
      </w:r>
      <w:r>
        <w:rPr>
          <w:spacing w:val="-13"/>
        </w:rPr>
        <w:t xml:space="preserve"> </w:t>
      </w:r>
      <w:r>
        <w:t>del</w:t>
      </w:r>
      <w:r>
        <w:rPr>
          <w:spacing w:val="-12"/>
        </w:rPr>
        <w:t xml:space="preserve"> </w:t>
      </w:r>
      <w:r>
        <w:t>conflicto</w:t>
      </w:r>
      <w:r>
        <w:rPr>
          <w:spacing w:val="-13"/>
        </w:rPr>
        <w:t xml:space="preserve"> </w:t>
      </w:r>
      <w:r>
        <w:t>o</w:t>
      </w:r>
      <w:r>
        <w:rPr>
          <w:spacing w:val="-12"/>
        </w:rPr>
        <w:t xml:space="preserve"> </w:t>
      </w:r>
      <w:r>
        <w:t>que</w:t>
      </w:r>
      <w:r>
        <w:rPr>
          <w:spacing w:val="-12"/>
        </w:rPr>
        <w:t xml:space="preserve"> </w:t>
      </w:r>
      <w:r>
        <w:t>contribuyen a</w:t>
      </w:r>
      <w:r>
        <w:rPr>
          <w:spacing w:val="3"/>
        </w:rPr>
        <w:t xml:space="preserve"> </w:t>
      </w:r>
      <w:r>
        <w:t>que</w:t>
      </w:r>
      <w:r>
        <w:rPr>
          <w:spacing w:val="6"/>
        </w:rPr>
        <w:t xml:space="preserve"> </w:t>
      </w:r>
      <w:r>
        <w:t>este</w:t>
      </w:r>
      <w:r>
        <w:rPr>
          <w:spacing w:val="6"/>
        </w:rPr>
        <w:t xml:space="preserve"> </w:t>
      </w:r>
      <w:r>
        <w:t>persista,</w:t>
      </w:r>
      <w:r>
        <w:rPr>
          <w:spacing w:val="5"/>
        </w:rPr>
        <w:t xml:space="preserve"> </w:t>
      </w:r>
      <w:r>
        <w:t>y</w:t>
      </w:r>
      <w:r>
        <w:rPr>
          <w:spacing w:val="6"/>
        </w:rPr>
        <w:t xml:space="preserve"> </w:t>
      </w:r>
      <w:r>
        <w:t>se</w:t>
      </w:r>
      <w:r>
        <w:rPr>
          <w:spacing w:val="5"/>
        </w:rPr>
        <w:t xml:space="preserve"> </w:t>
      </w:r>
      <w:r>
        <w:t>comprometa</w:t>
      </w:r>
      <w:r>
        <w:rPr>
          <w:spacing w:val="5"/>
        </w:rPr>
        <w:t xml:space="preserve"> </w:t>
      </w:r>
      <w:r>
        <w:t>con</w:t>
      </w:r>
      <w:r>
        <w:rPr>
          <w:spacing w:val="6"/>
        </w:rPr>
        <w:t xml:space="preserve"> </w:t>
      </w:r>
      <w:r>
        <w:t>su</w:t>
      </w:r>
      <w:r>
        <w:rPr>
          <w:spacing w:val="5"/>
        </w:rPr>
        <w:t xml:space="preserve"> </w:t>
      </w:r>
      <w:r>
        <w:t>transformación.</w:t>
      </w:r>
      <w:r>
        <w:rPr>
          <w:spacing w:val="5"/>
        </w:rPr>
        <w:t xml:space="preserve"> </w:t>
      </w:r>
      <w:r>
        <w:t>Adicionalmente,</w:t>
      </w:r>
      <w:r>
        <w:rPr>
          <w:spacing w:val="6"/>
        </w:rPr>
        <w:t xml:space="preserve"> </w:t>
      </w:r>
      <w:r>
        <w:t>incluye</w:t>
      </w:r>
      <w:r>
        <w:rPr>
          <w:spacing w:val="6"/>
        </w:rPr>
        <w:t xml:space="preserve"> </w:t>
      </w:r>
      <w:r>
        <w:rPr>
          <w:spacing w:val="-2"/>
        </w:rPr>
        <w:t>cinco</w:t>
      </w:r>
      <w:r w:rsidR="000F6499">
        <w:t xml:space="preserve"> </w:t>
      </w:r>
      <w:r>
        <w:t>(5)</w:t>
      </w:r>
      <w:r>
        <w:rPr>
          <w:spacing w:val="-4"/>
        </w:rPr>
        <w:t xml:space="preserve"> </w:t>
      </w:r>
      <w:r>
        <w:t>recomendaciones</w:t>
      </w:r>
      <w:r>
        <w:rPr>
          <w:spacing w:val="-4"/>
        </w:rPr>
        <w:t xml:space="preserve"> </w:t>
      </w:r>
      <w:r>
        <w:t>que</w:t>
      </w:r>
      <w:r>
        <w:rPr>
          <w:spacing w:val="-3"/>
        </w:rPr>
        <w:t xml:space="preserve"> </w:t>
      </w:r>
      <w:r>
        <w:t>hacen</w:t>
      </w:r>
      <w:r>
        <w:rPr>
          <w:spacing w:val="-5"/>
        </w:rPr>
        <w:t xml:space="preserve"> </w:t>
      </w:r>
      <w:r>
        <w:t>alusión</w:t>
      </w:r>
      <w:r>
        <w:rPr>
          <w:spacing w:val="-3"/>
        </w:rPr>
        <w:t xml:space="preserve"> </w:t>
      </w:r>
      <w:r>
        <w:t>de</w:t>
      </w:r>
      <w:r>
        <w:rPr>
          <w:spacing w:val="-3"/>
        </w:rPr>
        <w:t xml:space="preserve"> </w:t>
      </w:r>
      <w:r>
        <w:t>diferentes</w:t>
      </w:r>
      <w:r>
        <w:rPr>
          <w:spacing w:val="-4"/>
        </w:rPr>
        <w:t xml:space="preserve"> </w:t>
      </w:r>
      <w:r>
        <w:t>maneras</w:t>
      </w:r>
      <w:r>
        <w:rPr>
          <w:spacing w:val="-3"/>
        </w:rPr>
        <w:t xml:space="preserve"> </w:t>
      </w:r>
      <w:r>
        <w:t>al</w:t>
      </w:r>
      <w:r>
        <w:rPr>
          <w:spacing w:val="-4"/>
        </w:rPr>
        <w:t xml:space="preserve"> </w:t>
      </w:r>
      <w:r>
        <w:t>sector</w:t>
      </w:r>
      <w:r>
        <w:rPr>
          <w:spacing w:val="-4"/>
        </w:rPr>
        <w:t xml:space="preserve"> </w:t>
      </w:r>
      <w:r>
        <w:t>educativo,</w:t>
      </w:r>
      <w:r>
        <w:rPr>
          <w:spacing w:val="-5"/>
        </w:rPr>
        <w:t xml:space="preserve"> </w:t>
      </w:r>
      <w:r>
        <w:t>la</w:t>
      </w:r>
      <w:r>
        <w:rPr>
          <w:spacing w:val="-6"/>
        </w:rPr>
        <w:t xml:space="preserve"> </w:t>
      </w:r>
      <w:r>
        <w:t>gestión cultural, los medios de comunicación, la iglesia y comunidades religiosas, pues son dispositivos</w:t>
      </w:r>
      <w:r>
        <w:rPr>
          <w:spacing w:val="-11"/>
        </w:rPr>
        <w:t xml:space="preserve"> </w:t>
      </w:r>
      <w:r>
        <w:t>fundamentales</w:t>
      </w:r>
      <w:r>
        <w:rPr>
          <w:spacing w:val="-9"/>
        </w:rPr>
        <w:t xml:space="preserve"> </w:t>
      </w:r>
      <w:r>
        <w:t>desde</w:t>
      </w:r>
      <w:r>
        <w:rPr>
          <w:spacing w:val="-10"/>
        </w:rPr>
        <w:t xml:space="preserve"> </w:t>
      </w:r>
      <w:r>
        <w:t>los</w:t>
      </w:r>
      <w:r>
        <w:rPr>
          <w:spacing w:val="-11"/>
        </w:rPr>
        <w:t xml:space="preserve"> </w:t>
      </w:r>
      <w:r>
        <w:t>que</w:t>
      </w:r>
      <w:r>
        <w:rPr>
          <w:spacing w:val="-9"/>
        </w:rPr>
        <w:t xml:space="preserve"> </w:t>
      </w:r>
      <w:r>
        <w:t>se</w:t>
      </w:r>
      <w:r>
        <w:rPr>
          <w:spacing w:val="-9"/>
        </w:rPr>
        <w:t xml:space="preserve"> </w:t>
      </w:r>
      <w:r>
        <w:t>crea</w:t>
      </w:r>
      <w:r>
        <w:rPr>
          <w:spacing w:val="-9"/>
        </w:rPr>
        <w:t xml:space="preserve"> </w:t>
      </w:r>
      <w:r>
        <w:t>y</w:t>
      </w:r>
      <w:r>
        <w:rPr>
          <w:spacing w:val="-11"/>
        </w:rPr>
        <w:t xml:space="preserve"> </w:t>
      </w:r>
      <w:r>
        <w:t>recrea</w:t>
      </w:r>
      <w:r>
        <w:rPr>
          <w:spacing w:val="-9"/>
        </w:rPr>
        <w:t xml:space="preserve"> </w:t>
      </w:r>
      <w:r>
        <w:t>la</w:t>
      </w:r>
      <w:r>
        <w:rPr>
          <w:spacing w:val="-9"/>
        </w:rPr>
        <w:t xml:space="preserve"> </w:t>
      </w:r>
      <w:r>
        <w:t>cultura</w:t>
      </w:r>
      <w:r>
        <w:rPr>
          <w:spacing w:val="-9"/>
        </w:rPr>
        <w:t xml:space="preserve"> </w:t>
      </w:r>
      <w:r>
        <w:t>como</w:t>
      </w:r>
      <w:r>
        <w:rPr>
          <w:spacing w:val="-9"/>
        </w:rPr>
        <w:t xml:space="preserve"> </w:t>
      </w:r>
      <w:r>
        <w:t>matriz</w:t>
      </w:r>
      <w:r>
        <w:rPr>
          <w:spacing w:val="-9"/>
        </w:rPr>
        <w:t xml:space="preserve"> </w:t>
      </w:r>
      <w:r>
        <w:t>de</w:t>
      </w:r>
      <w:r>
        <w:rPr>
          <w:spacing w:val="-9"/>
        </w:rPr>
        <w:t xml:space="preserve"> </w:t>
      </w:r>
      <w:r>
        <w:t>sentidos, y que tienen una enorme y cotidiana incidencia en la formación de los sujetos y las comunidades. Este énfasis no implica pasar por alto el rol que también deben asumir otras instituciones y sectores, como los líderes políticos y de opinión y las organizaciones defensoras de derechos humanos, ni desconocer los aportes que ya se han hecho desde los sectores mencionados.</w:t>
      </w:r>
    </w:p>
    <w:p w:rsidR="003804AC" w:rsidRDefault="00AF18A5" w:rsidP="000F6499">
      <w:r>
        <w:t>La</w:t>
      </w:r>
      <w:r>
        <w:rPr>
          <w:spacing w:val="-11"/>
        </w:rPr>
        <w:t xml:space="preserve"> </w:t>
      </w:r>
      <w:r>
        <w:t>primera</w:t>
      </w:r>
      <w:r>
        <w:rPr>
          <w:spacing w:val="-11"/>
        </w:rPr>
        <w:t xml:space="preserve"> </w:t>
      </w:r>
      <w:r>
        <w:t>recomendación</w:t>
      </w:r>
      <w:r>
        <w:rPr>
          <w:spacing w:val="-11"/>
        </w:rPr>
        <w:t xml:space="preserve"> </w:t>
      </w:r>
      <w:r>
        <w:t>se</w:t>
      </w:r>
      <w:r>
        <w:rPr>
          <w:spacing w:val="-11"/>
        </w:rPr>
        <w:t xml:space="preserve"> </w:t>
      </w:r>
      <w:r>
        <w:t>enfoca</w:t>
      </w:r>
      <w:r>
        <w:rPr>
          <w:spacing w:val="-12"/>
        </w:rPr>
        <w:t xml:space="preserve"> </w:t>
      </w:r>
      <w:r>
        <w:t>en</w:t>
      </w:r>
      <w:r>
        <w:rPr>
          <w:spacing w:val="-11"/>
        </w:rPr>
        <w:t xml:space="preserve"> </w:t>
      </w:r>
      <w:r>
        <w:t>el</w:t>
      </w:r>
      <w:r>
        <w:rPr>
          <w:spacing w:val="-10"/>
        </w:rPr>
        <w:t xml:space="preserve"> </w:t>
      </w:r>
      <w:r>
        <w:t>sistema</w:t>
      </w:r>
      <w:r>
        <w:rPr>
          <w:spacing w:val="-11"/>
        </w:rPr>
        <w:t xml:space="preserve"> </w:t>
      </w:r>
      <w:r>
        <w:t>educativo</w:t>
      </w:r>
      <w:r>
        <w:rPr>
          <w:spacing w:val="-12"/>
        </w:rPr>
        <w:t xml:space="preserve"> </w:t>
      </w:r>
      <w:r>
        <w:t>que</w:t>
      </w:r>
      <w:r>
        <w:rPr>
          <w:spacing w:val="-11"/>
        </w:rPr>
        <w:t xml:space="preserve"> </w:t>
      </w:r>
      <w:r>
        <w:t>tiene</w:t>
      </w:r>
      <w:r>
        <w:rPr>
          <w:spacing w:val="-11"/>
        </w:rPr>
        <w:t xml:space="preserve"> </w:t>
      </w:r>
      <w:r>
        <w:t>un</w:t>
      </w:r>
      <w:r>
        <w:rPr>
          <w:spacing w:val="-11"/>
        </w:rPr>
        <w:t xml:space="preserve"> </w:t>
      </w:r>
      <w:r>
        <w:t>rol</w:t>
      </w:r>
      <w:r>
        <w:rPr>
          <w:spacing w:val="-10"/>
        </w:rPr>
        <w:t xml:space="preserve"> </w:t>
      </w:r>
      <w:r>
        <w:t>fundamental en la configuración de sociedades pacíficas y democráticas, pues en él se desarrollan prácticas</w:t>
      </w:r>
      <w:r>
        <w:rPr>
          <w:spacing w:val="-6"/>
        </w:rPr>
        <w:t xml:space="preserve"> </w:t>
      </w:r>
      <w:r>
        <w:t>y</w:t>
      </w:r>
      <w:r>
        <w:rPr>
          <w:spacing w:val="-6"/>
        </w:rPr>
        <w:t xml:space="preserve"> </w:t>
      </w:r>
      <w:r>
        <w:t>se</w:t>
      </w:r>
      <w:r>
        <w:rPr>
          <w:spacing w:val="-6"/>
        </w:rPr>
        <w:t xml:space="preserve"> </w:t>
      </w:r>
      <w:r>
        <w:t>abren</w:t>
      </w:r>
      <w:r>
        <w:rPr>
          <w:spacing w:val="-6"/>
        </w:rPr>
        <w:t xml:space="preserve"> </w:t>
      </w:r>
      <w:r>
        <w:t>espacios</w:t>
      </w:r>
      <w:r>
        <w:rPr>
          <w:spacing w:val="-6"/>
        </w:rPr>
        <w:t xml:space="preserve"> </w:t>
      </w:r>
      <w:r>
        <w:t>de</w:t>
      </w:r>
      <w:r>
        <w:rPr>
          <w:spacing w:val="-6"/>
        </w:rPr>
        <w:t xml:space="preserve"> </w:t>
      </w:r>
      <w:r>
        <w:t>socialización</w:t>
      </w:r>
      <w:r>
        <w:rPr>
          <w:spacing w:val="-6"/>
        </w:rPr>
        <w:t xml:space="preserve"> </w:t>
      </w:r>
      <w:r>
        <w:t>a</w:t>
      </w:r>
      <w:r>
        <w:rPr>
          <w:spacing w:val="-6"/>
        </w:rPr>
        <w:t xml:space="preserve"> </w:t>
      </w:r>
      <w:r>
        <w:t>través</w:t>
      </w:r>
      <w:r>
        <w:rPr>
          <w:spacing w:val="-6"/>
        </w:rPr>
        <w:t xml:space="preserve"> </w:t>
      </w:r>
      <w:r>
        <w:t>de</w:t>
      </w:r>
      <w:r>
        <w:rPr>
          <w:spacing w:val="-6"/>
        </w:rPr>
        <w:t xml:space="preserve"> </w:t>
      </w:r>
      <w:r>
        <w:t>los</w:t>
      </w:r>
      <w:r>
        <w:rPr>
          <w:spacing w:val="-6"/>
        </w:rPr>
        <w:t xml:space="preserve"> </w:t>
      </w:r>
      <w:r>
        <w:t>cuales</w:t>
      </w:r>
      <w:r>
        <w:rPr>
          <w:spacing w:val="-6"/>
        </w:rPr>
        <w:t xml:space="preserve"> </w:t>
      </w:r>
      <w:r>
        <w:t>se</w:t>
      </w:r>
      <w:r>
        <w:rPr>
          <w:spacing w:val="-6"/>
        </w:rPr>
        <w:t xml:space="preserve"> </w:t>
      </w:r>
      <w:r>
        <w:t>imparte</w:t>
      </w:r>
      <w:r>
        <w:rPr>
          <w:spacing w:val="-6"/>
        </w:rPr>
        <w:t xml:space="preserve"> </w:t>
      </w:r>
      <w:r>
        <w:t>a</w:t>
      </w:r>
      <w:r>
        <w:rPr>
          <w:spacing w:val="-6"/>
        </w:rPr>
        <w:t xml:space="preserve"> </w:t>
      </w:r>
      <w:r>
        <w:t>las</w:t>
      </w:r>
      <w:r>
        <w:rPr>
          <w:spacing w:val="-6"/>
        </w:rPr>
        <w:t xml:space="preserve"> </w:t>
      </w:r>
      <w:r>
        <w:t>personas herramientas esenciales, conocimientos básicos, valores y aptitudes que les permiten fortalecer su identidad, comprender la complejidad y la diversidad de su propia sociedad y desenvolverse en ella.</w:t>
      </w:r>
    </w:p>
    <w:p w:rsidR="003804AC" w:rsidRDefault="00AF18A5" w:rsidP="000F6499">
      <w:r>
        <w:t>Si</w:t>
      </w:r>
      <w:r>
        <w:rPr>
          <w:spacing w:val="-7"/>
        </w:rPr>
        <w:t xml:space="preserve"> </w:t>
      </w:r>
      <w:r>
        <w:t>bien</w:t>
      </w:r>
      <w:r>
        <w:rPr>
          <w:spacing w:val="-7"/>
        </w:rPr>
        <w:t xml:space="preserve"> </w:t>
      </w:r>
      <w:r>
        <w:t>desde</w:t>
      </w:r>
      <w:r>
        <w:rPr>
          <w:spacing w:val="-7"/>
        </w:rPr>
        <w:t xml:space="preserve"> </w:t>
      </w:r>
      <w:r>
        <w:t>el</w:t>
      </w:r>
      <w:r>
        <w:rPr>
          <w:spacing w:val="-7"/>
        </w:rPr>
        <w:t xml:space="preserve"> </w:t>
      </w:r>
      <w:r>
        <w:t>sistema</w:t>
      </w:r>
      <w:r>
        <w:rPr>
          <w:spacing w:val="-8"/>
        </w:rPr>
        <w:t xml:space="preserve"> </w:t>
      </w:r>
      <w:r>
        <w:t>educativo</w:t>
      </w:r>
      <w:r>
        <w:rPr>
          <w:spacing w:val="-7"/>
        </w:rPr>
        <w:t xml:space="preserve"> </w:t>
      </w:r>
      <w:r>
        <w:t>colombiano</w:t>
      </w:r>
      <w:r>
        <w:rPr>
          <w:spacing w:val="-7"/>
        </w:rPr>
        <w:t xml:space="preserve"> </w:t>
      </w:r>
      <w:r>
        <w:t>se</w:t>
      </w:r>
      <w:r>
        <w:rPr>
          <w:spacing w:val="-8"/>
        </w:rPr>
        <w:t xml:space="preserve"> </w:t>
      </w:r>
      <w:r>
        <w:t>han</w:t>
      </w:r>
      <w:r>
        <w:rPr>
          <w:spacing w:val="-7"/>
        </w:rPr>
        <w:t xml:space="preserve"> </w:t>
      </w:r>
      <w:r>
        <w:t>desarrollado</w:t>
      </w:r>
      <w:r>
        <w:rPr>
          <w:spacing w:val="-7"/>
        </w:rPr>
        <w:t xml:space="preserve"> </w:t>
      </w:r>
      <w:r>
        <w:t>múltiples</w:t>
      </w:r>
      <w:r>
        <w:rPr>
          <w:spacing w:val="-7"/>
        </w:rPr>
        <w:t xml:space="preserve"> </w:t>
      </w:r>
      <w:r>
        <w:t>esfuerzos</w:t>
      </w:r>
      <w:r>
        <w:rPr>
          <w:spacing w:val="-8"/>
        </w:rPr>
        <w:t xml:space="preserve"> </w:t>
      </w:r>
      <w:r>
        <w:t>en relación</w:t>
      </w:r>
      <w:r>
        <w:rPr>
          <w:spacing w:val="-1"/>
        </w:rPr>
        <w:t xml:space="preserve"> </w:t>
      </w:r>
      <w:r>
        <w:t>con</w:t>
      </w:r>
      <w:r>
        <w:rPr>
          <w:spacing w:val="-2"/>
        </w:rPr>
        <w:t xml:space="preserve"> </w:t>
      </w:r>
      <w:r>
        <w:t>la</w:t>
      </w:r>
      <w:r>
        <w:rPr>
          <w:spacing w:val="-1"/>
        </w:rPr>
        <w:t xml:space="preserve"> </w:t>
      </w:r>
      <w:r>
        <w:t>reparación</w:t>
      </w:r>
      <w:r>
        <w:rPr>
          <w:spacing w:val="-1"/>
        </w:rPr>
        <w:t xml:space="preserve"> </w:t>
      </w:r>
      <w:r>
        <w:t>integral</w:t>
      </w:r>
      <w:r>
        <w:rPr>
          <w:spacing w:val="-1"/>
        </w:rPr>
        <w:t xml:space="preserve"> </w:t>
      </w:r>
      <w:r>
        <w:t>de</w:t>
      </w:r>
      <w:r>
        <w:rPr>
          <w:spacing w:val="-2"/>
        </w:rPr>
        <w:t xml:space="preserve"> </w:t>
      </w:r>
      <w:r>
        <w:t>las</w:t>
      </w:r>
      <w:r>
        <w:rPr>
          <w:spacing w:val="-1"/>
        </w:rPr>
        <w:t xml:space="preserve"> </w:t>
      </w:r>
      <w:r>
        <w:t>víctimas,</w:t>
      </w:r>
      <w:r>
        <w:rPr>
          <w:spacing w:val="-1"/>
        </w:rPr>
        <w:t xml:space="preserve"> </w:t>
      </w:r>
      <w:r>
        <w:t>la</w:t>
      </w:r>
      <w:r>
        <w:rPr>
          <w:spacing w:val="-1"/>
        </w:rPr>
        <w:t xml:space="preserve"> </w:t>
      </w:r>
      <w:r>
        <w:t>memoria</w:t>
      </w:r>
      <w:r>
        <w:rPr>
          <w:spacing w:val="-2"/>
        </w:rPr>
        <w:t xml:space="preserve"> </w:t>
      </w:r>
      <w:r>
        <w:t>y</w:t>
      </w:r>
      <w:r>
        <w:rPr>
          <w:spacing w:val="-1"/>
        </w:rPr>
        <w:t xml:space="preserve"> </w:t>
      </w:r>
      <w:r>
        <w:t>la</w:t>
      </w:r>
      <w:r>
        <w:rPr>
          <w:spacing w:val="-1"/>
        </w:rPr>
        <w:t xml:space="preserve"> </w:t>
      </w:r>
      <w:r>
        <w:t>construcción</w:t>
      </w:r>
      <w:r>
        <w:rPr>
          <w:spacing w:val="-1"/>
        </w:rPr>
        <w:t xml:space="preserve"> </w:t>
      </w:r>
      <w:r>
        <w:t>de</w:t>
      </w:r>
      <w:r>
        <w:rPr>
          <w:spacing w:val="-1"/>
        </w:rPr>
        <w:t xml:space="preserve"> </w:t>
      </w:r>
      <w:r>
        <w:t>paz,</w:t>
      </w:r>
      <w:r>
        <w:rPr>
          <w:spacing w:val="-1"/>
        </w:rPr>
        <w:t xml:space="preserve"> </w:t>
      </w:r>
      <w:r>
        <w:t>que se han materializado en</w:t>
      </w:r>
      <w:r>
        <w:rPr>
          <w:spacing w:val="-1"/>
        </w:rPr>
        <w:t xml:space="preserve"> </w:t>
      </w:r>
      <w:r>
        <w:t>medidas como la Cátedra de Paz, el</w:t>
      </w:r>
      <w:r>
        <w:rPr>
          <w:spacing w:val="-1"/>
        </w:rPr>
        <w:t xml:space="preserve"> </w:t>
      </w:r>
      <w:r>
        <w:t xml:space="preserve">Plan Nacional de Educación en Derechos Humanos y disposiciones actualizadas sobre la enseñanza de </w:t>
      </w:r>
      <w:r>
        <w:lastRenderedPageBreak/>
        <w:t>la Historia, solo por mencionar unos muy concretos, la Comisión considera que es necesario que el sistema avance en una reflexión amplia que tenga como centro la pregunta sobre el tipo de sujetos que es necesario formar para garantizar la convivencia pacífica.</w:t>
      </w:r>
    </w:p>
    <w:p w:rsidR="003804AC" w:rsidRDefault="00AF18A5" w:rsidP="000F6499">
      <w:r>
        <w:t>En este sentido, se sugiere hacer énfasis en elementos de ciudadanía, reconciliación, habilidades socioemocionales, educación en derechos humanos y memoria que, aunque ya se abordan de diversas maneras en las acciones del sistema educativo, es importante garantizar que los esfuerzos se hagan de manera efectiva, integral y con enfoques diferenciales. De allí la importancia de que el proceso se fundamente en la participación de las</w:t>
      </w:r>
      <w:r>
        <w:rPr>
          <w:spacing w:val="-3"/>
        </w:rPr>
        <w:t xml:space="preserve"> </w:t>
      </w:r>
      <w:r>
        <w:t>comunidades</w:t>
      </w:r>
      <w:r>
        <w:rPr>
          <w:spacing w:val="-3"/>
        </w:rPr>
        <w:t xml:space="preserve"> </w:t>
      </w:r>
      <w:r>
        <w:t>e</w:t>
      </w:r>
      <w:r>
        <w:rPr>
          <w:spacing w:val="-3"/>
        </w:rPr>
        <w:t xml:space="preserve"> </w:t>
      </w:r>
      <w:r>
        <w:t>instituciones</w:t>
      </w:r>
      <w:r>
        <w:rPr>
          <w:spacing w:val="-3"/>
        </w:rPr>
        <w:t xml:space="preserve"> </w:t>
      </w:r>
      <w:r>
        <w:t>educativas.</w:t>
      </w:r>
      <w:r>
        <w:rPr>
          <w:spacing w:val="-3"/>
        </w:rPr>
        <w:t xml:space="preserve"> </w:t>
      </w:r>
      <w:r>
        <w:t>Así</w:t>
      </w:r>
      <w:r>
        <w:rPr>
          <w:spacing w:val="-4"/>
        </w:rPr>
        <w:t xml:space="preserve"> </w:t>
      </w:r>
      <w:r>
        <w:t>mismo,</w:t>
      </w:r>
      <w:r>
        <w:rPr>
          <w:spacing w:val="-5"/>
        </w:rPr>
        <w:t xml:space="preserve"> </w:t>
      </w:r>
      <w:r>
        <w:t>la</w:t>
      </w:r>
      <w:r>
        <w:rPr>
          <w:spacing w:val="-3"/>
        </w:rPr>
        <w:t xml:space="preserve"> </w:t>
      </w:r>
      <w:r>
        <w:t>Comisión</w:t>
      </w:r>
      <w:r>
        <w:rPr>
          <w:spacing w:val="-5"/>
        </w:rPr>
        <w:t xml:space="preserve"> </w:t>
      </w:r>
      <w:r>
        <w:t>considera</w:t>
      </w:r>
      <w:r>
        <w:rPr>
          <w:spacing w:val="-3"/>
        </w:rPr>
        <w:t xml:space="preserve"> </w:t>
      </w:r>
      <w:r>
        <w:t>que</w:t>
      </w:r>
      <w:r>
        <w:rPr>
          <w:spacing w:val="-3"/>
        </w:rPr>
        <w:t xml:space="preserve"> </w:t>
      </w:r>
      <w:r>
        <w:t>se</w:t>
      </w:r>
      <w:r>
        <w:rPr>
          <w:spacing w:val="-3"/>
        </w:rPr>
        <w:t xml:space="preserve"> </w:t>
      </w:r>
      <w:r>
        <w:t>deben tener en cuenta los diferentes aspectos sugeridos, sobre la idea de que el aporte desde el sistema</w:t>
      </w:r>
      <w:r>
        <w:rPr>
          <w:spacing w:val="-6"/>
        </w:rPr>
        <w:t xml:space="preserve"> </w:t>
      </w:r>
      <w:r>
        <w:t>educativo</w:t>
      </w:r>
      <w:r>
        <w:rPr>
          <w:spacing w:val="-6"/>
        </w:rPr>
        <w:t xml:space="preserve"> </w:t>
      </w:r>
      <w:r>
        <w:t>supone</w:t>
      </w:r>
      <w:r>
        <w:rPr>
          <w:spacing w:val="-6"/>
        </w:rPr>
        <w:t xml:space="preserve"> </w:t>
      </w:r>
      <w:r>
        <w:t>el</w:t>
      </w:r>
      <w:r>
        <w:rPr>
          <w:spacing w:val="-6"/>
        </w:rPr>
        <w:t xml:space="preserve"> </w:t>
      </w:r>
      <w:r>
        <w:t>abordaje</w:t>
      </w:r>
      <w:r>
        <w:rPr>
          <w:spacing w:val="-7"/>
        </w:rPr>
        <w:t xml:space="preserve"> </w:t>
      </w:r>
      <w:r>
        <w:t>de</w:t>
      </w:r>
      <w:r>
        <w:rPr>
          <w:spacing w:val="-6"/>
        </w:rPr>
        <w:t xml:space="preserve"> </w:t>
      </w:r>
      <w:r>
        <w:t>algunos</w:t>
      </w:r>
      <w:r>
        <w:rPr>
          <w:spacing w:val="-6"/>
        </w:rPr>
        <w:t xml:space="preserve"> </w:t>
      </w:r>
      <w:r>
        <w:t>temas</w:t>
      </w:r>
      <w:r>
        <w:rPr>
          <w:spacing w:val="-6"/>
        </w:rPr>
        <w:t xml:space="preserve"> </w:t>
      </w:r>
      <w:r>
        <w:t>en</w:t>
      </w:r>
      <w:r>
        <w:rPr>
          <w:spacing w:val="-6"/>
        </w:rPr>
        <w:t xml:space="preserve"> </w:t>
      </w:r>
      <w:r>
        <w:t>los</w:t>
      </w:r>
      <w:r>
        <w:rPr>
          <w:spacing w:val="-7"/>
        </w:rPr>
        <w:t xml:space="preserve"> </w:t>
      </w:r>
      <w:r>
        <w:t>currículos</w:t>
      </w:r>
      <w:r>
        <w:rPr>
          <w:spacing w:val="-6"/>
        </w:rPr>
        <w:t xml:space="preserve"> </w:t>
      </w:r>
      <w:r>
        <w:t>de</w:t>
      </w:r>
      <w:r>
        <w:rPr>
          <w:spacing w:val="-6"/>
        </w:rPr>
        <w:t xml:space="preserve"> </w:t>
      </w:r>
      <w:r>
        <w:t>las</w:t>
      </w:r>
      <w:r>
        <w:rPr>
          <w:spacing w:val="-6"/>
        </w:rPr>
        <w:t xml:space="preserve"> </w:t>
      </w:r>
      <w:r>
        <w:t>instituciones, pero no se limita a ello. Esta recomendación debe leerse en complemento con las recomendaciones</w:t>
      </w:r>
      <w:r>
        <w:rPr>
          <w:spacing w:val="-2"/>
        </w:rPr>
        <w:t xml:space="preserve"> </w:t>
      </w:r>
      <w:r>
        <w:t>del</w:t>
      </w:r>
      <w:r>
        <w:rPr>
          <w:spacing w:val="-2"/>
        </w:rPr>
        <w:t xml:space="preserve"> </w:t>
      </w:r>
      <w:r>
        <w:t>tema</w:t>
      </w:r>
      <w:r>
        <w:rPr>
          <w:spacing w:val="-2"/>
        </w:rPr>
        <w:t xml:space="preserve"> </w:t>
      </w:r>
      <w:r>
        <w:t>de</w:t>
      </w:r>
      <w:r>
        <w:rPr>
          <w:spacing w:val="-3"/>
        </w:rPr>
        <w:t xml:space="preserve"> </w:t>
      </w:r>
      <w:r>
        <w:t>transformación</w:t>
      </w:r>
      <w:r>
        <w:rPr>
          <w:spacing w:val="-3"/>
        </w:rPr>
        <w:t xml:space="preserve"> </w:t>
      </w:r>
      <w:r>
        <w:t>de</w:t>
      </w:r>
      <w:r>
        <w:rPr>
          <w:spacing w:val="-3"/>
        </w:rPr>
        <w:t xml:space="preserve"> </w:t>
      </w:r>
      <w:r>
        <w:t>los</w:t>
      </w:r>
      <w:r>
        <w:rPr>
          <w:spacing w:val="-2"/>
        </w:rPr>
        <w:t xml:space="preserve"> </w:t>
      </w:r>
      <w:r>
        <w:t>territorios</w:t>
      </w:r>
      <w:r>
        <w:rPr>
          <w:spacing w:val="-3"/>
        </w:rPr>
        <w:t xml:space="preserve"> </w:t>
      </w:r>
      <w:r>
        <w:t>que</w:t>
      </w:r>
      <w:r>
        <w:rPr>
          <w:spacing w:val="-2"/>
        </w:rPr>
        <w:t xml:space="preserve"> </w:t>
      </w:r>
      <w:r>
        <w:t>se</w:t>
      </w:r>
      <w:r>
        <w:rPr>
          <w:spacing w:val="-2"/>
        </w:rPr>
        <w:t xml:space="preserve"> </w:t>
      </w:r>
      <w:r>
        <w:t>refieren</w:t>
      </w:r>
      <w:r>
        <w:rPr>
          <w:spacing w:val="-2"/>
        </w:rPr>
        <w:t xml:space="preserve"> </w:t>
      </w:r>
      <w:r>
        <w:t>a</w:t>
      </w:r>
      <w:r>
        <w:rPr>
          <w:spacing w:val="-3"/>
        </w:rPr>
        <w:t xml:space="preserve"> </w:t>
      </w:r>
      <w:r>
        <w:t>garantías</w:t>
      </w:r>
      <w:r>
        <w:rPr>
          <w:spacing w:val="-2"/>
        </w:rPr>
        <w:t xml:space="preserve"> </w:t>
      </w:r>
      <w:r>
        <w:t>de acceso y calidad de la educación para los niños, niñas, adolescentes y jóvenes en el país, en el marco de garantías plenas de sus derechos y en la búsqueda de enfrentar la inequidad.</w:t>
      </w:r>
    </w:p>
    <w:p w:rsidR="003804AC" w:rsidRDefault="00AF18A5" w:rsidP="000F6499">
      <w:r>
        <w:t>La tercera recomendación busca que, con el liderazgo del gobierno, se lleve a cabo una estrategia integral para que la transformación cultural se convierta en un proyecto de nivel nacional con acciones concretas a nivel territorial. Esta debe lograr que los principios y valores</w:t>
      </w:r>
      <w:r>
        <w:rPr>
          <w:spacing w:val="-13"/>
        </w:rPr>
        <w:t xml:space="preserve"> </w:t>
      </w:r>
      <w:r>
        <w:t>de</w:t>
      </w:r>
      <w:r>
        <w:rPr>
          <w:spacing w:val="-12"/>
        </w:rPr>
        <w:t xml:space="preserve"> </w:t>
      </w:r>
      <w:r>
        <w:t>la</w:t>
      </w:r>
      <w:r>
        <w:rPr>
          <w:spacing w:val="-13"/>
        </w:rPr>
        <w:t xml:space="preserve"> </w:t>
      </w:r>
      <w:r>
        <w:t>cultura</w:t>
      </w:r>
      <w:r>
        <w:rPr>
          <w:spacing w:val="-12"/>
        </w:rPr>
        <w:t xml:space="preserve"> </w:t>
      </w:r>
      <w:r>
        <w:t>para</w:t>
      </w:r>
      <w:r>
        <w:rPr>
          <w:spacing w:val="-13"/>
        </w:rPr>
        <w:t xml:space="preserve"> </w:t>
      </w:r>
      <w:r>
        <w:t>la</w:t>
      </w:r>
      <w:r>
        <w:rPr>
          <w:spacing w:val="-12"/>
        </w:rPr>
        <w:t xml:space="preserve"> </w:t>
      </w:r>
      <w:r>
        <w:t>paz</w:t>
      </w:r>
      <w:r>
        <w:rPr>
          <w:spacing w:val="-12"/>
        </w:rPr>
        <w:t xml:space="preserve"> </w:t>
      </w:r>
      <w:r>
        <w:t>propuesta</w:t>
      </w:r>
      <w:r>
        <w:rPr>
          <w:spacing w:val="-12"/>
        </w:rPr>
        <w:t xml:space="preserve"> </w:t>
      </w:r>
      <w:r>
        <w:t>por</w:t>
      </w:r>
      <w:r>
        <w:rPr>
          <w:spacing w:val="-12"/>
        </w:rPr>
        <w:t xml:space="preserve"> </w:t>
      </w:r>
      <w:r>
        <w:t>la</w:t>
      </w:r>
      <w:r>
        <w:rPr>
          <w:spacing w:val="-12"/>
        </w:rPr>
        <w:t xml:space="preserve"> </w:t>
      </w:r>
      <w:r>
        <w:t>Comisión</w:t>
      </w:r>
      <w:r>
        <w:rPr>
          <w:spacing w:val="-13"/>
        </w:rPr>
        <w:t xml:space="preserve"> </w:t>
      </w:r>
      <w:r>
        <w:t>lleguen</w:t>
      </w:r>
      <w:r>
        <w:rPr>
          <w:spacing w:val="-12"/>
        </w:rPr>
        <w:t xml:space="preserve"> </w:t>
      </w:r>
      <w:r>
        <w:t>a</w:t>
      </w:r>
      <w:r>
        <w:rPr>
          <w:spacing w:val="-12"/>
        </w:rPr>
        <w:t xml:space="preserve"> </w:t>
      </w:r>
      <w:r>
        <w:t>la</w:t>
      </w:r>
      <w:r>
        <w:rPr>
          <w:spacing w:val="-13"/>
        </w:rPr>
        <w:t xml:space="preserve"> </w:t>
      </w:r>
      <w:r>
        <w:t>sociedad</w:t>
      </w:r>
      <w:r>
        <w:rPr>
          <w:spacing w:val="-12"/>
        </w:rPr>
        <w:t xml:space="preserve"> </w:t>
      </w:r>
      <w:r>
        <w:t>y</w:t>
      </w:r>
      <w:r>
        <w:rPr>
          <w:spacing w:val="-12"/>
        </w:rPr>
        <w:t xml:space="preserve"> </w:t>
      </w:r>
      <w:r>
        <w:t>la</w:t>
      </w:r>
      <w:r>
        <w:rPr>
          <w:spacing w:val="-12"/>
        </w:rPr>
        <w:t xml:space="preserve"> </w:t>
      </w:r>
      <w:r>
        <w:t xml:space="preserve">permeen a través de diversas herramientas de comunicación, culturales, artísticas y narrativas. Para ello es importante retomar avances que se han logrado desde la política pública, como la elaboración y </w:t>
      </w:r>
      <w:r>
        <w:lastRenderedPageBreak/>
        <w:t>actualización del Plan Decenal de Cultura y garantizar la participación de diferentes instancias y sectores, como se enuncia en la recomendación.</w:t>
      </w:r>
    </w:p>
    <w:p w:rsidR="003804AC" w:rsidRDefault="00AF18A5" w:rsidP="000F6499">
      <w:r>
        <w:t>La cuarta recomendación se dirige a los medios de comunicación públicos, privados, alternativos y comunitarios que tienen un papel importante en la difusión de narrativas y la garantía del derecho a la verdad. Por ello para la Comisión es importante que continúen las reflexiones sobre el papel que desempeñan en la sociedad y se avance en estrategias para garantizar que en desarrollo de su labor se interiorice y se difunda la cultura para la paz.</w:t>
      </w:r>
    </w:p>
    <w:p w:rsidR="003804AC" w:rsidRDefault="00AF18A5" w:rsidP="000F6499">
      <w:r>
        <w:t>La</w:t>
      </w:r>
      <w:r>
        <w:rPr>
          <w:spacing w:val="-11"/>
        </w:rPr>
        <w:t xml:space="preserve"> </w:t>
      </w:r>
      <w:r>
        <w:t>quinta</w:t>
      </w:r>
      <w:r>
        <w:rPr>
          <w:spacing w:val="-11"/>
        </w:rPr>
        <w:t xml:space="preserve"> </w:t>
      </w:r>
      <w:r>
        <w:t>recomendación</w:t>
      </w:r>
      <w:r>
        <w:rPr>
          <w:spacing w:val="-11"/>
        </w:rPr>
        <w:t xml:space="preserve"> </w:t>
      </w:r>
      <w:r>
        <w:t>hace</w:t>
      </w:r>
      <w:r>
        <w:rPr>
          <w:spacing w:val="-11"/>
        </w:rPr>
        <w:t xml:space="preserve"> </w:t>
      </w:r>
      <w:r>
        <w:t>llamados</w:t>
      </w:r>
      <w:r>
        <w:rPr>
          <w:spacing w:val="-11"/>
        </w:rPr>
        <w:t xml:space="preserve"> </w:t>
      </w:r>
      <w:r>
        <w:t>a</w:t>
      </w:r>
      <w:r>
        <w:rPr>
          <w:spacing w:val="-11"/>
        </w:rPr>
        <w:t xml:space="preserve"> </w:t>
      </w:r>
      <w:r>
        <w:t>las</w:t>
      </w:r>
      <w:r>
        <w:rPr>
          <w:spacing w:val="-11"/>
        </w:rPr>
        <w:t xml:space="preserve"> </w:t>
      </w:r>
      <w:r>
        <w:t>iglesias</w:t>
      </w:r>
      <w:r>
        <w:rPr>
          <w:spacing w:val="-11"/>
        </w:rPr>
        <w:t xml:space="preserve"> </w:t>
      </w:r>
      <w:r>
        <w:t>y</w:t>
      </w:r>
      <w:r>
        <w:rPr>
          <w:spacing w:val="-11"/>
        </w:rPr>
        <w:t xml:space="preserve"> </w:t>
      </w:r>
      <w:r>
        <w:t>comunidades</w:t>
      </w:r>
      <w:r>
        <w:rPr>
          <w:spacing w:val="-11"/>
        </w:rPr>
        <w:t xml:space="preserve"> </w:t>
      </w:r>
      <w:r>
        <w:t>de</w:t>
      </w:r>
      <w:r>
        <w:rPr>
          <w:spacing w:val="-12"/>
        </w:rPr>
        <w:t xml:space="preserve"> </w:t>
      </w:r>
      <w:r>
        <w:t>fe,</w:t>
      </w:r>
      <w:r>
        <w:rPr>
          <w:spacing w:val="-11"/>
        </w:rPr>
        <w:t xml:space="preserve"> </w:t>
      </w:r>
      <w:r>
        <w:t>pues</w:t>
      </w:r>
      <w:r>
        <w:rPr>
          <w:spacing w:val="-11"/>
        </w:rPr>
        <w:t xml:space="preserve"> </w:t>
      </w:r>
      <w:r>
        <w:t>estas</w:t>
      </w:r>
      <w:r>
        <w:rPr>
          <w:spacing w:val="-12"/>
        </w:rPr>
        <w:t xml:space="preserve"> </w:t>
      </w:r>
      <w:r>
        <w:t>han tenido una influencia determinante en la configuración cultural de la nación y así lo es también el aporte que pueden hacer a la cultura para la paz desde sus narrativas, acciones e interlocución con la sociedad.</w:t>
      </w:r>
    </w:p>
    <w:p w:rsidR="003804AC" w:rsidRDefault="00AF18A5" w:rsidP="000F6499">
      <w:r>
        <w:t>Estas</w:t>
      </w:r>
      <w:r>
        <w:rPr>
          <w:spacing w:val="-10"/>
        </w:rPr>
        <w:t xml:space="preserve"> </w:t>
      </w:r>
      <w:r>
        <w:t>recomendaciones</w:t>
      </w:r>
      <w:r>
        <w:rPr>
          <w:spacing w:val="-9"/>
        </w:rPr>
        <w:t xml:space="preserve"> </w:t>
      </w:r>
      <w:r>
        <w:t>complementan</w:t>
      </w:r>
      <w:r>
        <w:rPr>
          <w:spacing w:val="-9"/>
        </w:rPr>
        <w:t xml:space="preserve"> </w:t>
      </w:r>
      <w:r>
        <w:t>lo</w:t>
      </w:r>
      <w:r>
        <w:rPr>
          <w:spacing w:val="-9"/>
        </w:rPr>
        <w:t xml:space="preserve"> </w:t>
      </w:r>
      <w:r>
        <w:t>que</w:t>
      </w:r>
      <w:r>
        <w:rPr>
          <w:spacing w:val="-10"/>
        </w:rPr>
        <w:t xml:space="preserve"> </w:t>
      </w:r>
      <w:r>
        <w:t>se</w:t>
      </w:r>
      <w:r>
        <w:rPr>
          <w:spacing w:val="-9"/>
        </w:rPr>
        <w:t xml:space="preserve"> </w:t>
      </w:r>
      <w:r>
        <w:t>desarrolla</w:t>
      </w:r>
      <w:r>
        <w:rPr>
          <w:spacing w:val="-9"/>
        </w:rPr>
        <w:t xml:space="preserve"> </w:t>
      </w:r>
      <w:r>
        <w:t>en</w:t>
      </w:r>
      <w:r>
        <w:rPr>
          <w:spacing w:val="-11"/>
        </w:rPr>
        <w:t xml:space="preserve"> </w:t>
      </w:r>
      <w:r>
        <w:t>los</w:t>
      </w:r>
      <w:r>
        <w:rPr>
          <w:spacing w:val="-9"/>
        </w:rPr>
        <w:t xml:space="preserve"> </w:t>
      </w:r>
      <w:r>
        <w:t>demás</w:t>
      </w:r>
      <w:r>
        <w:rPr>
          <w:spacing w:val="-9"/>
        </w:rPr>
        <w:t xml:space="preserve"> </w:t>
      </w:r>
      <w:r>
        <w:t>temas,</w:t>
      </w:r>
      <w:r>
        <w:rPr>
          <w:spacing w:val="-9"/>
        </w:rPr>
        <w:t xml:space="preserve"> </w:t>
      </w:r>
      <w:r>
        <w:t>en</w:t>
      </w:r>
      <w:r>
        <w:rPr>
          <w:spacing w:val="-11"/>
        </w:rPr>
        <w:t xml:space="preserve"> </w:t>
      </w:r>
      <w:r>
        <w:t>los</w:t>
      </w:r>
      <w:r>
        <w:rPr>
          <w:spacing w:val="-12"/>
        </w:rPr>
        <w:t xml:space="preserve"> </w:t>
      </w:r>
      <w:r>
        <w:t>que se pueden hallar énfasis que también contribuyen a este propósito. Así, por ejemplo, las recomendaciones sobre régimen político tienen un enfoque en el fortalecimiento de las herramientas y capacidades democráticas desde el diálogo y la participación plural y hacen énfasis en acciones que contribuyan a la inclusión y la igualdad de grupos históricamente excluidos (campesinado, mujeres, personas LGBTIQ+, pueblos étnicos).</w:t>
      </w:r>
    </w:p>
    <w:p w:rsidR="003804AC" w:rsidRDefault="00AF18A5" w:rsidP="000F6499">
      <w:r>
        <w:t>También las recomendaciones del tema de derechos de las víctimas, que contribuyen a sanar las heridas de la guerra desde el reconocimiento de la dignidad de las víctimas, su reparación</w:t>
      </w:r>
      <w:r>
        <w:rPr>
          <w:spacing w:val="-11"/>
        </w:rPr>
        <w:t xml:space="preserve"> </w:t>
      </w:r>
      <w:r>
        <w:t>integral,</w:t>
      </w:r>
      <w:r>
        <w:rPr>
          <w:spacing w:val="-9"/>
        </w:rPr>
        <w:t xml:space="preserve"> </w:t>
      </w:r>
      <w:r>
        <w:t>el</w:t>
      </w:r>
      <w:r>
        <w:rPr>
          <w:spacing w:val="-9"/>
        </w:rPr>
        <w:t xml:space="preserve"> </w:t>
      </w:r>
      <w:r>
        <w:t>apoyo</w:t>
      </w:r>
      <w:r>
        <w:rPr>
          <w:spacing w:val="-9"/>
        </w:rPr>
        <w:t xml:space="preserve"> </w:t>
      </w:r>
      <w:r>
        <w:t>a</w:t>
      </w:r>
      <w:r>
        <w:rPr>
          <w:spacing w:val="-9"/>
        </w:rPr>
        <w:t xml:space="preserve"> </w:t>
      </w:r>
      <w:r>
        <w:t>sus</w:t>
      </w:r>
      <w:r>
        <w:rPr>
          <w:spacing w:val="-9"/>
        </w:rPr>
        <w:t xml:space="preserve"> </w:t>
      </w:r>
      <w:r>
        <w:t>procesos</w:t>
      </w:r>
      <w:r>
        <w:rPr>
          <w:spacing w:val="-9"/>
        </w:rPr>
        <w:t xml:space="preserve"> </w:t>
      </w:r>
      <w:r>
        <w:t>de</w:t>
      </w:r>
      <w:r>
        <w:rPr>
          <w:spacing w:val="-10"/>
        </w:rPr>
        <w:t xml:space="preserve"> </w:t>
      </w:r>
      <w:r>
        <w:t>memoria</w:t>
      </w:r>
      <w:r>
        <w:rPr>
          <w:spacing w:val="-9"/>
        </w:rPr>
        <w:t xml:space="preserve"> </w:t>
      </w:r>
      <w:r>
        <w:t>y</w:t>
      </w:r>
      <w:r>
        <w:rPr>
          <w:spacing w:val="-11"/>
        </w:rPr>
        <w:t xml:space="preserve"> </w:t>
      </w:r>
      <w:r>
        <w:t>la</w:t>
      </w:r>
      <w:r>
        <w:rPr>
          <w:spacing w:val="-9"/>
        </w:rPr>
        <w:t xml:space="preserve"> </w:t>
      </w:r>
      <w:r>
        <w:t>inclusión</w:t>
      </w:r>
      <w:r>
        <w:rPr>
          <w:spacing w:val="-9"/>
        </w:rPr>
        <w:t xml:space="preserve"> </w:t>
      </w:r>
      <w:r>
        <w:t>en</w:t>
      </w:r>
      <w:r>
        <w:rPr>
          <w:spacing w:val="-9"/>
        </w:rPr>
        <w:t xml:space="preserve"> </w:t>
      </w:r>
      <w:r>
        <w:t>diferentes</w:t>
      </w:r>
      <w:r>
        <w:rPr>
          <w:spacing w:val="-11"/>
        </w:rPr>
        <w:t xml:space="preserve"> </w:t>
      </w:r>
      <w:r>
        <w:t xml:space="preserve">procesos participativos. Así mismo, lo referente a la atención psicosocial para la atención de los </w:t>
      </w:r>
      <w:r>
        <w:lastRenderedPageBreak/>
        <w:t>impactos</w:t>
      </w:r>
      <w:r>
        <w:rPr>
          <w:spacing w:val="-10"/>
        </w:rPr>
        <w:t xml:space="preserve"> </w:t>
      </w:r>
      <w:r>
        <w:t>del</w:t>
      </w:r>
      <w:r>
        <w:rPr>
          <w:spacing w:val="-11"/>
        </w:rPr>
        <w:t xml:space="preserve"> </w:t>
      </w:r>
      <w:r>
        <w:t>conflicto</w:t>
      </w:r>
      <w:r>
        <w:rPr>
          <w:spacing w:val="-11"/>
        </w:rPr>
        <w:t xml:space="preserve"> </w:t>
      </w:r>
      <w:r>
        <w:t>armado</w:t>
      </w:r>
      <w:r>
        <w:rPr>
          <w:spacing w:val="-11"/>
        </w:rPr>
        <w:t xml:space="preserve"> </w:t>
      </w:r>
      <w:r>
        <w:t>que</w:t>
      </w:r>
      <w:r>
        <w:rPr>
          <w:spacing w:val="-10"/>
        </w:rPr>
        <w:t xml:space="preserve"> </w:t>
      </w:r>
      <w:r>
        <w:t>tienen</w:t>
      </w:r>
      <w:r>
        <w:rPr>
          <w:spacing w:val="-11"/>
        </w:rPr>
        <w:t xml:space="preserve"> </w:t>
      </w:r>
      <w:r>
        <w:t>manifestaciones</w:t>
      </w:r>
      <w:r>
        <w:rPr>
          <w:spacing w:val="-10"/>
        </w:rPr>
        <w:t xml:space="preserve"> </w:t>
      </w:r>
      <w:r>
        <w:t>en</w:t>
      </w:r>
      <w:r>
        <w:rPr>
          <w:spacing w:val="-12"/>
        </w:rPr>
        <w:t xml:space="preserve"> </w:t>
      </w:r>
      <w:r>
        <w:t>la</w:t>
      </w:r>
      <w:r>
        <w:rPr>
          <w:spacing w:val="-12"/>
        </w:rPr>
        <w:t xml:space="preserve"> </w:t>
      </w:r>
      <w:r>
        <w:t>cotidianidad,</w:t>
      </w:r>
      <w:r>
        <w:rPr>
          <w:spacing w:val="-11"/>
        </w:rPr>
        <w:t xml:space="preserve"> </w:t>
      </w:r>
      <w:r>
        <w:t>en</w:t>
      </w:r>
      <w:r>
        <w:rPr>
          <w:spacing w:val="-11"/>
        </w:rPr>
        <w:t xml:space="preserve"> </w:t>
      </w:r>
      <w:r>
        <w:t>las</w:t>
      </w:r>
      <w:r>
        <w:rPr>
          <w:spacing w:val="-10"/>
        </w:rPr>
        <w:t xml:space="preserve"> </w:t>
      </w:r>
      <w:r>
        <w:t>actitudes individuales</w:t>
      </w:r>
      <w:r>
        <w:rPr>
          <w:spacing w:val="-15"/>
        </w:rPr>
        <w:t xml:space="preserve"> </w:t>
      </w:r>
      <w:r>
        <w:t>y</w:t>
      </w:r>
      <w:r>
        <w:rPr>
          <w:spacing w:val="-15"/>
        </w:rPr>
        <w:t xml:space="preserve"> </w:t>
      </w:r>
      <w:r>
        <w:t>colectivas,</w:t>
      </w:r>
      <w:r>
        <w:rPr>
          <w:spacing w:val="-15"/>
        </w:rPr>
        <w:t xml:space="preserve"> </w:t>
      </w:r>
      <w:r>
        <w:t>cuya</w:t>
      </w:r>
      <w:r>
        <w:rPr>
          <w:spacing w:val="-15"/>
        </w:rPr>
        <w:t xml:space="preserve"> </w:t>
      </w:r>
      <w:r>
        <w:t>atención</w:t>
      </w:r>
      <w:r>
        <w:rPr>
          <w:spacing w:val="-15"/>
        </w:rPr>
        <w:t xml:space="preserve"> </w:t>
      </w:r>
      <w:r>
        <w:t>contribuye</w:t>
      </w:r>
      <w:r>
        <w:rPr>
          <w:spacing w:val="-15"/>
        </w:rPr>
        <w:t xml:space="preserve"> </w:t>
      </w:r>
      <w:r>
        <w:t>tanto</w:t>
      </w:r>
      <w:r>
        <w:rPr>
          <w:spacing w:val="-15"/>
        </w:rPr>
        <w:t xml:space="preserve"> </w:t>
      </w:r>
      <w:r>
        <w:t>a</w:t>
      </w:r>
      <w:r>
        <w:rPr>
          <w:spacing w:val="-15"/>
        </w:rPr>
        <w:t xml:space="preserve"> </w:t>
      </w:r>
      <w:r>
        <w:t>la</w:t>
      </w:r>
      <w:r>
        <w:rPr>
          <w:spacing w:val="-15"/>
        </w:rPr>
        <w:t xml:space="preserve"> </w:t>
      </w:r>
      <w:r>
        <w:t>reparación</w:t>
      </w:r>
      <w:r>
        <w:rPr>
          <w:spacing w:val="-15"/>
        </w:rPr>
        <w:t xml:space="preserve"> </w:t>
      </w:r>
      <w:r>
        <w:t>de</w:t>
      </w:r>
      <w:r>
        <w:rPr>
          <w:spacing w:val="-15"/>
        </w:rPr>
        <w:t xml:space="preserve"> </w:t>
      </w:r>
      <w:r>
        <w:t>las</w:t>
      </w:r>
      <w:r>
        <w:rPr>
          <w:spacing w:val="-14"/>
        </w:rPr>
        <w:t xml:space="preserve"> </w:t>
      </w:r>
      <w:r>
        <w:t>víctimas</w:t>
      </w:r>
      <w:r>
        <w:rPr>
          <w:spacing w:val="-15"/>
        </w:rPr>
        <w:t xml:space="preserve"> </w:t>
      </w:r>
      <w:r>
        <w:t>como a la reconstrucción del tejido social.</w:t>
      </w:r>
    </w:p>
    <w:p w:rsidR="003804AC" w:rsidRDefault="00AF18A5" w:rsidP="000F6499">
      <w:r>
        <w:t>Adicionalmente, cabe destacar la importancia de las recomendaciones en temas de impunidad</w:t>
      </w:r>
      <w:r>
        <w:rPr>
          <w:spacing w:val="-9"/>
        </w:rPr>
        <w:t xml:space="preserve"> </w:t>
      </w:r>
      <w:r>
        <w:t>y</w:t>
      </w:r>
      <w:r>
        <w:rPr>
          <w:spacing w:val="-9"/>
        </w:rPr>
        <w:t xml:space="preserve"> </w:t>
      </w:r>
      <w:r>
        <w:t>de</w:t>
      </w:r>
      <w:r>
        <w:rPr>
          <w:spacing w:val="-9"/>
        </w:rPr>
        <w:t xml:space="preserve"> </w:t>
      </w:r>
      <w:r>
        <w:t>seguridad</w:t>
      </w:r>
      <w:r>
        <w:rPr>
          <w:spacing w:val="-9"/>
        </w:rPr>
        <w:t xml:space="preserve"> </w:t>
      </w:r>
      <w:r>
        <w:t>que</w:t>
      </w:r>
      <w:r>
        <w:rPr>
          <w:spacing w:val="-9"/>
        </w:rPr>
        <w:t xml:space="preserve"> </w:t>
      </w:r>
      <w:r>
        <w:t>contribuyen</w:t>
      </w:r>
      <w:r>
        <w:rPr>
          <w:spacing w:val="-9"/>
        </w:rPr>
        <w:t xml:space="preserve"> </w:t>
      </w:r>
      <w:r>
        <w:t>a</w:t>
      </w:r>
      <w:r>
        <w:rPr>
          <w:spacing w:val="-9"/>
        </w:rPr>
        <w:t xml:space="preserve"> </w:t>
      </w:r>
      <w:r>
        <w:t>enfrentar</w:t>
      </w:r>
      <w:r>
        <w:rPr>
          <w:spacing w:val="-9"/>
        </w:rPr>
        <w:t xml:space="preserve"> </w:t>
      </w:r>
      <w:r>
        <w:t>el</w:t>
      </w:r>
      <w:r>
        <w:rPr>
          <w:spacing w:val="-9"/>
        </w:rPr>
        <w:t xml:space="preserve"> </w:t>
      </w:r>
      <w:r>
        <w:t>negacionismo</w:t>
      </w:r>
      <w:r>
        <w:rPr>
          <w:spacing w:val="-9"/>
        </w:rPr>
        <w:t xml:space="preserve"> </w:t>
      </w:r>
      <w:r>
        <w:t>de</w:t>
      </w:r>
      <w:r>
        <w:rPr>
          <w:spacing w:val="-9"/>
        </w:rPr>
        <w:t xml:space="preserve"> </w:t>
      </w:r>
      <w:r>
        <w:t>la</w:t>
      </w:r>
      <w:r>
        <w:rPr>
          <w:spacing w:val="-9"/>
        </w:rPr>
        <w:t xml:space="preserve"> </w:t>
      </w:r>
      <w:r>
        <w:t>responsabilidad que tuvieron diferentes actores en la ocurrencia de violaciones de los derechos humanos e infracciones</w:t>
      </w:r>
      <w:r>
        <w:rPr>
          <w:spacing w:val="-6"/>
        </w:rPr>
        <w:t xml:space="preserve"> </w:t>
      </w:r>
      <w:r>
        <w:t>al</w:t>
      </w:r>
      <w:r>
        <w:rPr>
          <w:spacing w:val="-4"/>
        </w:rPr>
        <w:t xml:space="preserve"> </w:t>
      </w:r>
      <w:r>
        <w:t>DIH</w:t>
      </w:r>
      <w:r>
        <w:rPr>
          <w:spacing w:val="-5"/>
        </w:rPr>
        <w:t xml:space="preserve"> </w:t>
      </w:r>
      <w:r>
        <w:t>en</w:t>
      </w:r>
      <w:r>
        <w:rPr>
          <w:spacing w:val="-5"/>
        </w:rPr>
        <w:t xml:space="preserve"> </w:t>
      </w:r>
      <w:r>
        <w:t>el</w:t>
      </w:r>
      <w:r>
        <w:rPr>
          <w:spacing w:val="-4"/>
        </w:rPr>
        <w:t xml:space="preserve"> </w:t>
      </w:r>
      <w:r>
        <w:t>marco</w:t>
      </w:r>
      <w:r>
        <w:rPr>
          <w:spacing w:val="-5"/>
        </w:rPr>
        <w:t xml:space="preserve"> </w:t>
      </w:r>
      <w:r>
        <w:t>del</w:t>
      </w:r>
      <w:r>
        <w:rPr>
          <w:spacing w:val="-6"/>
        </w:rPr>
        <w:t xml:space="preserve"> </w:t>
      </w:r>
      <w:r>
        <w:t>conflicto</w:t>
      </w:r>
      <w:r>
        <w:rPr>
          <w:spacing w:val="-5"/>
        </w:rPr>
        <w:t xml:space="preserve"> </w:t>
      </w:r>
      <w:r>
        <w:t>armado,</w:t>
      </w:r>
      <w:r>
        <w:rPr>
          <w:spacing w:val="-5"/>
        </w:rPr>
        <w:t xml:space="preserve"> </w:t>
      </w:r>
      <w:r>
        <w:t>pues</w:t>
      </w:r>
      <w:r>
        <w:rPr>
          <w:spacing w:val="-6"/>
        </w:rPr>
        <w:t xml:space="preserve"> </w:t>
      </w:r>
      <w:r>
        <w:t>este</w:t>
      </w:r>
      <w:r>
        <w:rPr>
          <w:spacing w:val="-5"/>
        </w:rPr>
        <w:t xml:space="preserve"> </w:t>
      </w:r>
      <w:r>
        <w:t>es</w:t>
      </w:r>
      <w:r>
        <w:rPr>
          <w:spacing w:val="-5"/>
        </w:rPr>
        <w:t xml:space="preserve"> </w:t>
      </w:r>
      <w:r>
        <w:t>un</w:t>
      </w:r>
      <w:r>
        <w:rPr>
          <w:spacing w:val="-5"/>
        </w:rPr>
        <w:t xml:space="preserve"> </w:t>
      </w:r>
      <w:r>
        <w:t>elemento</w:t>
      </w:r>
      <w:r>
        <w:rPr>
          <w:spacing w:val="-6"/>
        </w:rPr>
        <w:t xml:space="preserve"> </w:t>
      </w:r>
      <w:r>
        <w:t>fundamental para la reconstrucción de la confianza en la sociedad y hacia las instituciones. Desde estos temas se recomienda garantizar las investigaciones que permitan determinar las responsabilidades, incluidas las de miembros de las Fuerzas Militares y la policía; para que los</w:t>
      </w:r>
      <w:r>
        <w:rPr>
          <w:spacing w:val="-1"/>
        </w:rPr>
        <w:t xml:space="preserve"> </w:t>
      </w:r>
      <w:r>
        <w:t>procesos</w:t>
      </w:r>
      <w:r>
        <w:rPr>
          <w:spacing w:val="-2"/>
        </w:rPr>
        <w:t xml:space="preserve"> </w:t>
      </w:r>
      <w:r>
        <w:t>de</w:t>
      </w:r>
      <w:r>
        <w:rPr>
          <w:spacing w:val="-1"/>
        </w:rPr>
        <w:t xml:space="preserve"> </w:t>
      </w:r>
      <w:r>
        <w:t>memoria</w:t>
      </w:r>
      <w:r>
        <w:rPr>
          <w:spacing w:val="-2"/>
        </w:rPr>
        <w:t xml:space="preserve"> </w:t>
      </w:r>
      <w:r>
        <w:t>y</w:t>
      </w:r>
      <w:r>
        <w:rPr>
          <w:spacing w:val="-1"/>
        </w:rPr>
        <w:t xml:space="preserve"> </w:t>
      </w:r>
      <w:r>
        <w:t>pedagogía</w:t>
      </w:r>
      <w:r>
        <w:rPr>
          <w:spacing w:val="-1"/>
        </w:rPr>
        <w:t xml:space="preserve"> </w:t>
      </w:r>
      <w:r>
        <w:t>de</w:t>
      </w:r>
      <w:r>
        <w:rPr>
          <w:spacing w:val="-1"/>
        </w:rPr>
        <w:t xml:space="preserve"> </w:t>
      </w:r>
      <w:r>
        <w:t>las</w:t>
      </w:r>
      <w:r>
        <w:rPr>
          <w:spacing w:val="-1"/>
        </w:rPr>
        <w:t xml:space="preserve"> </w:t>
      </w:r>
      <w:r>
        <w:t>instituciones</w:t>
      </w:r>
      <w:r>
        <w:rPr>
          <w:spacing w:val="-1"/>
        </w:rPr>
        <w:t xml:space="preserve"> </w:t>
      </w:r>
      <w:r>
        <w:t>de</w:t>
      </w:r>
      <w:r>
        <w:rPr>
          <w:spacing w:val="-1"/>
        </w:rPr>
        <w:t xml:space="preserve"> </w:t>
      </w:r>
      <w:r>
        <w:t>la</w:t>
      </w:r>
      <w:r>
        <w:rPr>
          <w:spacing w:val="-1"/>
        </w:rPr>
        <w:t xml:space="preserve"> </w:t>
      </w:r>
      <w:r>
        <w:t>fuerza</w:t>
      </w:r>
      <w:r>
        <w:rPr>
          <w:spacing w:val="-1"/>
        </w:rPr>
        <w:t xml:space="preserve"> </w:t>
      </w:r>
      <w:r>
        <w:t>pública</w:t>
      </w:r>
      <w:r>
        <w:rPr>
          <w:spacing w:val="-1"/>
        </w:rPr>
        <w:t xml:space="preserve"> </w:t>
      </w:r>
      <w:r>
        <w:t>den</w:t>
      </w:r>
      <w:r>
        <w:rPr>
          <w:spacing w:val="-1"/>
        </w:rPr>
        <w:t xml:space="preserve"> </w:t>
      </w:r>
      <w:r>
        <w:t>cuenta</w:t>
      </w:r>
      <w:r>
        <w:rPr>
          <w:spacing w:val="-1"/>
        </w:rPr>
        <w:t xml:space="preserve"> </w:t>
      </w:r>
      <w:r>
        <w:t>de esas responsabilidades; y para que en el marco de la construcción de una nueva visión de seguridad</w:t>
      </w:r>
      <w:r>
        <w:rPr>
          <w:spacing w:val="-5"/>
        </w:rPr>
        <w:t xml:space="preserve"> </w:t>
      </w:r>
      <w:r>
        <w:t>se</w:t>
      </w:r>
      <w:r>
        <w:rPr>
          <w:spacing w:val="-4"/>
        </w:rPr>
        <w:t xml:space="preserve"> </w:t>
      </w:r>
      <w:r>
        <w:t>desmonten</w:t>
      </w:r>
      <w:r>
        <w:rPr>
          <w:spacing w:val="-5"/>
        </w:rPr>
        <w:t xml:space="preserve"> </w:t>
      </w:r>
      <w:r>
        <w:t>los</w:t>
      </w:r>
      <w:r>
        <w:rPr>
          <w:spacing w:val="-3"/>
        </w:rPr>
        <w:t xml:space="preserve"> </w:t>
      </w:r>
      <w:r>
        <w:t>enfoques</w:t>
      </w:r>
      <w:r>
        <w:rPr>
          <w:spacing w:val="-4"/>
        </w:rPr>
        <w:t xml:space="preserve"> </w:t>
      </w:r>
      <w:r>
        <w:t>y</w:t>
      </w:r>
      <w:r>
        <w:rPr>
          <w:spacing w:val="-3"/>
        </w:rPr>
        <w:t xml:space="preserve"> </w:t>
      </w:r>
      <w:r>
        <w:t>las</w:t>
      </w:r>
      <w:r>
        <w:rPr>
          <w:spacing w:val="-3"/>
        </w:rPr>
        <w:t xml:space="preserve"> </w:t>
      </w:r>
      <w:r>
        <w:t>acciones</w:t>
      </w:r>
      <w:r>
        <w:rPr>
          <w:spacing w:val="-3"/>
        </w:rPr>
        <w:t xml:space="preserve"> </w:t>
      </w:r>
      <w:r>
        <w:t>fundamentadas</w:t>
      </w:r>
      <w:r>
        <w:rPr>
          <w:spacing w:val="-3"/>
        </w:rPr>
        <w:t xml:space="preserve"> </w:t>
      </w:r>
      <w:r>
        <w:t>en</w:t>
      </w:r>
      <w:r>
        <w:rPr>
          <w:spacing w:val="-5"/>
        </w:rPr>
        <w:t xml:space="preserve"> </w:t>
      </w:r>
      <w:r>
        <w:t>la</w:t>
      </w:r>
      <w:r>
        <w:rPr>
          <w:spacing w:val="-3"/>
        </w:rPr>
        <w:t xml:space="preserve"> </w:t>
      </w:r>
      <w:r>
        <w:t>estigmatización</w:t>
      </w:r>
      <w:r>
        <w:rPr>
          <w:spacing w:val="-3"/>
        </w:rPr>
        <w:t xml:space="preserve"> </w:t>
      </w:r>
      <w:r>
        <w:t>de personas, poblaciones, comunidades y territorios. Esto, además de todos los llamados o reconocimientos con los que se abre cada uno de los temas que, de distinta manera, buscan que haya una comprensión ampliada sobre las características y los efectos del conflicto armado en el país.</w:t>
      </w:r>
    </w:p>
    <w:p w:rsidR="003804AC" w:rsidRDefault="00AF18A5" w:rsidP="000F6499">
      <w:r>
        <w:t>Por último, todas las recomendaciones del Informe deben leerse como un aporte a la transformación</w:t>
      </w:r>
      <w:r>
        <w:rPr>
          <w:spacing w:val="6"/>
        </w:rPr>
        <w:t xml:space="preserve"> </w:t>
      </w:r>
      <w:r>
        <w:t>cultural</w:t>
      </w:r>
      <w:r>
        <w:rPr>
          <w:spacing w:val="9"/>
        </w:rPr>
        <w:t xml:space="preserve"> </w:t>
      </w:r>
      <w:r>
        <w:t>pues,</w:t>
      </w:r>
      <w:r>
        <w:rPr>
          <w:spacing w:val="8"/>
        </w:rPr>
        <w:t xml:space="preserve"> </w:t>
      </w:r>
      <w:r>
        <w:t>de</w:t>
      </w:r>
      <w:r>
        <w:rPr>
          <w:spacing w:val="8"/>
        </w:rPr>
        <w:t xml:space="preserve"> </w:t>
      </w:r>
      <w:r>
        <w:t>fondo,</w:t>
      </w:r>
      <w:r>
        <w:rPr>
          <w:spacing w:val="9"/>
        </w:rPr>
        <w:t xml:space="preserve"> </w:t>
      </w:r>
      <w:r>
        <w:t>buscan</w:t>
      </w:r>
      <w:r>
        <w:rPr>
          <w:spacing w:val="7"/>
        </w:rPr>
        <w:t xml:space="preserve"> </w:t>
      </w:r>
      <w:r>
        <w:t>aumentar</w:t>
      </w:r>
      <w:r>
        <w:rPr>
          <w:spacing w:val="9"/>
        </w:rPr>
        <w:t xml:space="preserve"> </w:t>
      </w:r>
      <w:r>
        <w:t>la</w:t>
      </w:r>
      <w:r>
        <w:rPr>
          <w:spacing w:val="8"/>
        </w:rPr>
        <w:t xml:space="preserve"> </w:t>
      </w:r>
      <w:r>
        <w:t>legitimidad</w:t>
      </w:r>
      <w:r>
        <w:rPr>
          <w:spacing w:val="8"/>
        </w:rPr>
        <w:t xml:space="preserve"> </w:t>
      </w:r>
      <w:r>
        <w:t>de</w:t>
      </w:r>
      <w:r>
        <w:rPr>
          <w:spacing w:val="10"/>
        </w:rPr>
        <w:t xml:space="preserve"> </w:t>
      </w:r>
      <w:r>
        <w:t>las</w:t>
      </w:r>
      <w:r>
        <w:rPr>
          <w:spacing w:val="8"/>
        </w:rPr>
        <w:t xml:space="preserve"> </w:t>
      </w:r>
      <w:r>
        <w:rPr>
          <w:spacing w:val="-2"/>
        </w:rPr>
        <w:t>instituciones</w:t>
      </w:r>
      <w:r w:rsidR="000F6499">
        <w:t xml:space="preserve"> </w:t>
      </w:r>
      <w:r>
        <w:t xml:space="preserve">estatales mediante acciones concretas que permitan avanzar hacia la garantía plena de los derechos y establecer nuevas formas de relacionarse con los territorios y las personas en su diversidad y autonomía. Esto es fundamental pues </w:t>
      </w:r>
      <w:r>
        <w:lastRenderedPageBreak/>
        <w:t>genera efectos positivos en los vínculos sociales,</w:t>
      </w:r>
      <w:r>
        <w:rPr>
          <w:spacing w:val="-2"/>
        </w:rPr>
        <w:t xml:space="preserve"> </w:t>
      </w:r>
      <w:r>
        <w:t>fortalece</w:t>
      </w:r>
      <w:r>
        <w:rPr>
          <w:spacing w:val="-2"/>
        </w:rPr>
        <w:t xml:space="preserve"> </w:t>
      </w:r>
      <w:r>
        <w:t>la</w:t>
      </w:r>
      <w:r>
        <w:rPr>
          <w:spacing w:val="-2"/>
        </w:rPr>
        <w:t xml:space="preserve"> </w:t>
      </w:r>
      <w:r>
        <w:t>confianza</w:t>
      </w:r>
      <w:r>
        <w:rPr>
          <w:spacing w:val="-2"/>
        </w:rPr>
        <w:t xml:space="preserve"> </w:t>
      </w:r>
      <w:r>
        <w:t>en</w:t>
      </w:r>
      <w:r>
        <w:rPr>
          <w:spacing w:val="-2"/>
        </w:rPr>
        <w:t xml:space="preserve"> </w:t>
      </w:r>
      <w:r>
        <w:t>los</w:t>
      </w:r>
      <w:r>
        <w:rPr>
          <w:spacing w:val="-3"/>
        </w:rPr>
        <w:t xml:space="preserve"> </w:t>
      </w:r>
      <w:r>
        <w:t>mecanismos</w:t>
      </w:r>
      <w:r>
        <w:rPr>
          <w:spacing w:val="-3"/>
        </w:rPr>
        <w:t xml:space="preserve"> </w:t>
      </w:r>
      <w:r>
        <w:t>institucionales</w:t>
      </w:r>
      <w:r>
        <w:rPr>
          <w:spacing w:val="-2"/>
        </w:rPr>
        <w:t xml:space="preserve"> </w:t>
      </w:r>
      <w:r>
        <w:t>y</w:t>
      </w:r>
      <w:r>
        <w:rPr>
          <w:spacing w:val="-2"/>
        </w:rPr>
        <w:t xml:space="preserve"> </w:t>
      </w:r>
      <w:r>
        <w:t>vigoriza</w:t>
      </w:r>
      <w:r>
        <w:rPr>
          <w:spacing w:val="-2"/>
        </w:rPr>
        <w:t xml:space="preserve"> </w:t>
      </w:r>
      <w:r>
        <w:t>las</w:t>
      </w:r>
      <w:r>
        <w:rPr>
          <w:spacing w:val="-2"/>
        </w:rPr>
        <w:t xml:space="preserve"> </w:t>
      </w:r>
      <w:r>
        <w:t>actitudes</w:t>
      </w:r>
      <w:r>
        <w:rPr>
          <w:spacing w:val="-2"/>
        </w:rPr>
        <w:t xml:space="preserve"> </w:t>
      </w:r>
      <w:r>
        <w:t>de corresponsabilidad y cumplimiento de las normas.</w:t>
      </w:r>
    </w:p>
    <w:p w:rsidR="0011361F" w:rsidRDefault="00AF18A5" w:rsidP="000F6499">
      <w:r>
        <w:rPr>
          <w:w w:val="95"/>
        </w:rPr>
        <w:t>RECONOCIMIENTO</w:t>
      </w:r>
      <w:r>
        <w:rPr>
          <w:spacing w:val="34"/>
        </w:rPr>
        <w:t xml:space="preserve"> </w:t>
      </w:r>
      <w:r>
        <w:rPr>
          <w:w w:val="95"/>
        </w:rPr>
        <w:t>-</w:t>
      </w:r>
      <w:r>
        <w:rPr>
          <w:spacing w:val="23"/>
        </w:rPr>
        <w:t xml:space="preserve"> </w:t>
      </w:r>
      <w:r>
        <w:rPr>
          <w:spacing w:val="-2"/>
          <w:w w:val="95"/>
        </w:rPr>
        <w:t>LLAMADO</w:t>
      </w:r>
    </w:p>
    <w:p w:rsidR="003804AC" w:rsidRDefault="00AF18A5" w:rsidP="000F6499">
      <w:r>
        <w:t>Llamamos al Estado y a la sociedad en su conjunto a reconocer que el conflicto armado ha generado impactos profundos en las creencias, juicios, normas, valores, sentidos y supuestos</w:t>
      </w:r>
      <w:r>
        <w:rPr>
          <w:spacing w:val="-9"/>
        </w:rPr>
        <w:t xml:space="preserve"> </w:t>
      </w:r>
      <w:r>
        <w:t>que</w:t>
      </w:r>
      <w:r>
        <w:rPr>
          <w:spacing w:val="-8"/>
        </w:rPr>
        <w:t xml:space="preserve"> </w:t>
      </w:r>
      <w:r>
        <w:t>fundamentan</w:t>
      </w:r>
      <w:r>
        <w:rPr>
          <w:spacing w:val="-8"/>
        </w:rPr>
        <w:t xml:space="preserve"> </w:t>
      </w:r>
      <w:r>
        <w:t>el</w:t>
      </w:r>
      <w:r>
        <w:rPr>
          <w:spacing w:val="-9"/>
        </w:rPr>
        <w:t xml:space="preserve"> </w:t>
      </w:r>
      <w:r>
        <w:t>modo</w:t>
      </w:r>
      <w:r>
        <w:rPr>
          <w:spacing w:val="-8"/>
        </w:rPr>
        <w:t xml:space="preserve"> </w:t>
      </w:r>
      <w:r>
        <w:t>en</w:t>
      </w:r>
      <w:r>
        <w:rPr>
          <w:spacing w:val="-8"/>
        </w:rPr>
        <w:t xml:space="preserve"> </w:t>
      </w:r>
      <w:r>
        <w:t>que</w:t>
      </w:r>
      <w:r>
        <w:rPr>
          <w:spacing w:val="-8"/>
        </w:rPr>
        <w:t xml:space="preserve"> </w:t>
      </w:r>
      <w:r>
        <w:t>nos</w:t>
      </w:r>
      <w:r>
        <w:rPr>
          <w:spacing w:val="-9"/>
        </w:rPr>
        <w:t xml:space="preserve"> </w:t>
      </w:r>
      <w:r>
        <w:t>relacionamos,</w:t>
      </w:r>
      <w:r>
        <w:rPr>
          <w:spacing w:val="-9"/>
        </w:rPr>
        <w:t xml:space="preserve"> </w:t>
      </w:r>
      <w:r>
        <w:t>y</w:t>
      </w:r>
      <w:r>
        <w:rPr>
          <w:spacing w:val="-8"/>
        </w:rPr>
        <w:t xml:space="preserve"> </w:t>
      </w:r>
      <w:r>
        <w:t>que</w:t>
      </w:r>
      <w:r>
        <w:rPr>
          <w:spacing w:val="-8"/>
        </w:rPr>
        <w:t xml:space="preserve"> </w:t>
      </w:r>
      <w:r>
        <w:t>algunos</w:t>
      </w:r>
      <w:r>
        <w:rPr>
          <w:spacing w:val="-8"/>
        </w:rPr>
        <w:t xml:space="preserve"> </w:t>
      </w:r>
      <w:r>
        <w:t>de</w:t>
      </w:r>
      <w:r>
        <w:rPr>
          <w:spacing w:val="-9"/>
        </w:rPr>
        <w:t xml:space="preserve"> </w:t>
      </w:r>
      <w:r>
        <w:t>estos</w:t>
      </w:r>
      <w:r>
        <w:rPr>
          <w:spacing w:val="-9"/>
        </w:rPr>
        <w:t xml:space="preserve"> </w:t>
      </w:r>
      <w:r>
        <w:t>rasgos influyen en la persistencia del conflicto. Dentro de estos se encuentran:</w:t>
      </w:r>
    </w:p>
    <w:p w:rsidR="003804AC" w:rsidRDefault="00AF18A5" w:rsidP="000F6499">
      <w:pPr>
        <w:pStyle w:val="Prrafodelista"/>
        <w:numPr>
          <w:ilvl w:val="0"/>
          <w:numId w:val="66"/>
        </w:numPr>
      </w:pPr>
      <w:r>
        <w:t>Afectaciones sobre las prácticas cotidianas, ancestrales, culturales y tradicionales,</w:t>
      </w:r>
      <w:r w:rsidRPr="000F6499">
        <w:rPr>
          <w:spacing w:val="-11"/>
        </w:rPr>
        <w:t xml:space="preserve"> </w:t>
      </w:r>
      <w:r>
        <w:t>especialmente</w:t>
      </w:r>
      <w:r w:rsidRPr="000F6499">
        <w:rPr>
          <w:spacing w:val="-10"/>
        </w:rPr>
        <w:t xml:space="preserve"> </w:t>
      </w:r>
      <w:r>
        <w:t>las</w:t>
      </w:r>
      <w:r w:rsidRPr="000F6499">
        <w:rPr>
          <w:spacing w:val="-10"/>
        </w:rPr>
        <w:t xml:space="preserve"> </w:t>
      </w:r>
      <w:r>
        <w:t>de</w:t>
      </w:r>
      <w:r w:rsidRPr="000F6499">
        <w:rPr>
          <w:spacing w:val="-10"/>
        </w:rPr>
        <w:t xml:space="preserve"> </w:t>
      </w:r>
      <w:r>
        <w:t>pueblos</w:t>
      </w:r>
      <w:r w:rsidRPr="000F6499">
        <w:rPr>
          <w:spacing w:val="-10"/>
        </w:rPr>
        <w:t xml:space="preserve"> </w:t>
      </w:r>
      <w:r>
        <w:t>étnicos,</w:t>
      </w:r>
      <w:r w:rsidRPr="000F6499">
        <w:rPr>
          <w:spacing w:val="-11"/>
        </w:rPr>
        <w:t xml:space="preserve"> </w:t>
      </w:r>
      <w:r>
        <w:t>que</w:t>
      </w:r>
      <w:r w:rsidRPr="000F6499">
        <w:rPr>
          <w:spacing w:val="-10"/>
        </w:rPr>
        <w:t xml:space="preserve"> </w:t>
      </w:r>
      <w:r>
        <w:t>a</w:t>
      </w:r>
      <w:r w:rsidRPr="000F6499">
        <w:rPr>
          <w:spacing w:val="-11"/>
        </w:rPr>
        <w:t xml:space="preserve"> </w:t>
      </w:r>
      <w:r>
        <w:t>su</w:t>
      </w:r>
      <w:r w:rsidRPr="000F6499">
        <w:rPr>
          <w:spacing w:val="-9"/>
        </w:rPr>
        <w:t xml:space="preserve"> </w:t>
      </w:r>
      <w:r>
        <w:t>vez</w:t>
      </w:r>
      <w:r w:rsidRPr="000F6499">
        <w:rPr>
          <w:spacing w:val="-10"/>
        </w:rPr>
        <w:t xml:space="preserve"> </w:t>
      </w:r>
      <w:r>
        <w:t>generan</w:t>
      </w:r>
      <w:r w:rsidRPr="000F6499">
        <w:rPr>
          <w:spacing w:val="-11"/>
        </w:rPr>
        <w:t xml:space="preserve"> </w:t>
      </w:r>
      <w:r>
        <w:t>cambios</w:t>
      </w:r>
      <w:r w:rsidRPr="000F6499">
        <w:rPr>
          <w:spacing w:val="-10"/>
        </w:rPr>
        <w:t xml:space="preserve"> </w:t>
      </w:r>
      <w:r>
        <w:t>en la identidad, desarraigos territoriales y ruptura en las redes de solidaridad.</w:t>
      </w:r>
    </w:p>
    <w:p w:rsidR="003804AC" w:rsidRDefault="00AF18A5" w:rsidP="000F6499">
      <w:pPr>
        <w:pStyle w:val="Prrafodelista"/>
        <w:numPr>
          <w:ilvl w:val="0"/>
          <w:numId w:val="66"/>
        </w:numPr>
      </w:pPr>
      <w:r>
        <w:t>La normalización y la legitimación de la violencia asociada a más de cinco décadas de conflicto armado, y que profundiza las violencias estructurales que le anteceden como el racismo, el clasismo y el patriarcado.</w:t>
      </w:r>
    </w:p>
    <w:p w:rsidR="003804AC" w:rsidRDefault="00AF18A5" w:rsidP="000F6499">
      <w:pPr>
        <w:pStyle w:val="Prrafodelista"/>
        <w:numPr>
          <w:ilvl w:val="0"/>
          <w:numId w:val="66"/>
        </w:numPr>
      </w:pPr>
      <w:r>
        <w:t>El concepto de enemigo, que marcó el escenario del conflicto armado y se instaló en las comprensiones cotidianas y en las relaciones sociales y políticas, generando efectos profundos en la democracia.</w:t>
      </w:r>
    </w:p>
    <w:p w:rsidR="003804AC" w:rsidRDefault="00AF18A5" w:rsidP="000F6499">
      <w:r>
        <w:t>Así mismo, llamamos a la sociedad a que, como protagonista de la configuración de la cultura</w:t>
      </w:r>
      <w:r>
        <w:rPr>
          <w:spacing w:val="-15"/>
        </w:rPr>
        <w:t xml:space="preserve"> </w:t>
      </w:r>
      <w:r>
        <w:t>y</w:t>
      </w:r>
      <w:r>
        <w:rPr>
          <w:spacing w:val="-15"/>
        </w:rPr>
        <w:t xml:space="preserve"> </w:t>
      </w:r>
      <w:r>
        <w:t>por</w:t>
      </w:r>
      <w:r>
        <w:rPr>
          <w:spacing w:val="-15"/>
        </w:rPr>
        <w:t xml:space="preserve"> </w:t>
      </w:r>
      <w:r>
        <w:t>tanto</w:t>
      </w:r>
      <w:r>
        <w:rPr>
          <w:spacing w:val="-15"/>
        </w:rPr>
        <w:t xml:space="preserve"> </w:t>
      </w:r>
      <w:r>
        <w:t>de</w:t>
      </w:r>
      <w:r>
        <w:rPr>
          <w:spacing w:val="-15"/>
        </w:rPr>
        <w:t xml:space="preserve"> </w:t>
      </w:r>
      <w:r>
        <w:t>su</w:t>
      </w:r>
      <w:r>
        <w:rPr>
          <w:spacing w:val="-15"/>
        </w:rPr>
        <w:t xml:space="preserve"> </w:t>
      </w:r>
      <w:r>
        <w:t>transformación,</w:t>
      </w:r>
      <w:r>
        <w:rPr>
          <w:spacing w:val="-15"/>
        </w:rPr>
        <w:t xml:space="preserve"> </w:t>
      </w:r>
      <w:r>
        <w:t>evalúe</w:t>
      </w:r>
      <w:r>
        <w:rPr>
          <w:spacing w:val="-15"/>
        </w:rPr>
        <w:t xml:space="preserve"> </w:t>
      </w:r>
      <w:r>
        <w:t>sus</w:t>
      </w:r>
      <w:r>
        <w:rPr>
          <w:spacing w:val="-15"/>
        </w:rPr>
        <w:t xml:space="preserve"> </w:t>
      </w:r>
      <w:r>
        <w:t>sentires,</w:t>
      </w:r>
      <w:r>
        <w:rPr>
          <w:spacing w:val="-15"/>
        </w:rPr>
        <w:t xml:space="preserve"> </w:t>
      </w:r>
      <w:r>
        <w:t>valores,</w:t>
      </w:r>
      <w:r>
        <w:rPr>
          <w:spacing w:val="-15"/>
        </w:rPr>
        <w:t xml:space="preserve"> </w:t>
      </w:r>
      <w:r>
        <w:t>narrativas</w:t>
      </w:r>
      <w:r>
        <w:rPr>
          <w:spacing w:val="-15"/>
        </w:rPr>
        <w:t xml:space="preserve"> </w:t>
      </w:r>
      <w:r>
        <w:t>y</w:t>
      </w:r>
      <w:r>
        <w:rPr>
          <w:spacing w:val="-15"/>
        </w:rPr>
        <w:t xml:space="preserve"> </w:t>
      </w:r>
      <w:r>
        <w:t>en</w:t>
      </w:r>
      <w:r>
        <w:rPr>
          <w:spacing w:val="-15"/>
        </w:rPr>
        <w:t xml:space="preserve"> </w:t>
      </w:r>
      <w:r>
        <w:t>general el modo como se relaciona en sus entornos y haga los cambios que sean necesarios para contribuir desde su ser y ética a la convivencia pacífica y los esfuerzos de construcción de paz en los que avanzamos como país.</w:t>
      </w:r>
    </w:p>
    <w:p w:rsidR="0011361F" w:rsidRDefault="00AF18A5" w:rsidP="000F6499">
      <w:r>
        <w:lastRenderedPageBreak/>
        <w:t>Por</w:t>
      </w:r>
      <w:r>
        <w:rPr>
          <w:spacing w:val="-1"/>
        </w:rPr>
        <w:t xml:space="preserve"> </w:t>
      </w:r>
      <w:r>
        <w:t>lo</w:t>
      </w:r>
      <w:r>
        <w:rPr>
          <w:spacing w:val="-1"/>
        </w:rPr>
        <w:t xml:space="preserve"> </w:t>
      </w:r>
      <w:r>
        <w:t>anterior</w:t>
      </w:r>
      <w:r>
        <w:rPr>
          <w:spacing w:val="-1"/>
        </w:rPr>
        <w:t xml:space="preserve"> </w:t>
      </w:r>
      <w:r>
        <w:rPr>
          <w:b/>
          <w:spacing w:val="-2"/>
        </w:rPr>
        <w:t>RECOMENDAMOS</w:t>
      </w:r>
      <w:r>
        <w:rPr>
          <w:spacing w:val="-2"/>
        </w:rPr>
        <w:t>:</w:t>
      </w:r>
    </w:p>
    <w:p w:rsidR="0011361F" w:rsidRDefault="000F6499" w:rsidP="000F6499">
      <w:pPr>
        <w:pStyle w:val="Ttulo3"/>
      </w:pPr>
      <w:bookmarkStart w:id="1687" w:name="8.1._Educación_para_la_formación_de_suje"/>
      <w:bookmarkStart w:id="1688" w:name="_Toc112399723"/>
      <w:bookmarkEnd w:id="1687"/>
      <w:r>
        <w:t xml:space="preserve">8.1. </w:t>
      </w:r>
      <w:r w:rsidR="00AF18A5" w:rsidRPr="000F6499">
        <w:t>Educación</w:t>
      </w:r>
      <w:r w:rsidR="00AF18A5">
        <w:rPr>
          <w:spacing w:val="-3"/>
        </w:rPr>
        <w:t xml:space="preserve"> </w:t>
      </w:r>
      <w:r w:rsidR="00AF18A5">
        <w:t>para</w:t>
      </w:r>
      <w:r w:rsidR="00AF18A5">
        <w:rPr>
          <w:spacing w:val="-1"/>
        </w:rPr>
        <w:t xml:space="preserve"> </w:t>
      </w:r>
      <w:r w:rsidR="00AF18A5">
        <w:t>la</w:t>
      </w:r>
      <w:r w:rsidR="00AF18A5">
        <w:rPr>
          <w:spacing w:val="-3"/>
        </w:rPr>
        <w:t xml:space="preserve"> </w:t>
      </w:r>
      <w:r w:rsidR="00AF18A5">
        <w:t>formación</w:t>
      </w:r>
      <w:r w:rsidR="00AF18A5">
        <w:rPr>
          <w:spacing w:val="-2"/>
        </w:rPr>
        <w:t xml:space="preserve"> </w:t>
      </w:r>
      <w:r w:rsidR="00AF18A5">
        <w:t>de</w:t>
      </w:r>
      <w:r w:rsidR="00AF18A5">
        <w:rPr>
          <w:spacing w:val="-1"/>
        </w:rPr>
        <w:t xml:space="preserve"> </w:t>
      </w:r>
      <w:r w:rsidR="00AF18A5">
        <w:t>sujetos</w:t>
      </w:r>
      <w:r w:rsidR="00AF18A5">
        <w:rPr>
          <w:spacing w:val="-1"/>
        </w:rPr>
        <w:t xml:space="preserve"> </w:t>
      </w:r>
      <w:r w:rsidR="00AF18A5">
        <w:t>que</w:t>
      </w:r>
      <w:r w:rsidR="00AF18A5">
        <w:rPr>
          <w:spacing w:val="-1"/>
        </w:rPr>
        <w:t xml:space="preserve"> </w:t>
      </w:r>
      <w:r w:rsidR="00AF18A5">
        <w:t>vivan</w:t>
      </w:r>
      <w:r w:rsidR="00AF18A5">
        <w:rPr>
          <w:spacing w:val="-2"/>
        </w:rPr>
        <w:t xml:space="preserve"> </w:t>
      </w:r>
      <w:r w:rsidR="00AF18A5">
        <w:t>en</w:t>
      </w:r>
      <w:r w:rsidR="00AF18A5">
        <w:rPr>
          <w:spacing w:val="-2"/>
        </w:rPr>
        <w:t xml:space="preserve"> </w:t>
      </w:r>
      <w:r w:rsidR="00AF18A5">
        <w:rPr>
          <w:spacing w:val="-5"/>
        </w:rPr>
        <w:t>paz</w:t>
      </w:r>
      <w:bookmarkEnd w:id="1688"/>
    </w:p>
    <w:p w:rsidR="003804AC" w:rsidRDefault="00AF18A5" w:rsidP="000F6499">
      <w:r>
        <w:t>Mediano</w:t>
      </w:r>
      <w:r>
        <w:rPr>
          <w:spacing w:val="-3"/>
        </w:rPr>
        <w:t xml:space="preserve"> </w:t>
      </w:r>
      <w:r>
        <w:rPr>
          <w:spacing w:val="-2"/>
        </w:rPr>
        <w:t>plazo</w:t>
      </w:r>
    </w:p>
    <w:p w:rsidR="003804AC" w:rsidRPr="000F6499" w:rsidRDefault="00AF18A5" w:rsidP="000F6499">
      <w:pPr>
        <w:pStyle w:val="Prrafodelista"/>
        <w:numPr>
          <w:ilvl w:val="0"/>
          <w:numId w:val="31"/>
        </w:numPr>
        <w:rPr>
          <w:b/>
        </w:rPr>
      </w:pPr>
      <w:r>
        <w:t>Al</w:t>
      </w:r>
      <w:r w:rsidRPr="000F6499">
        <w:rPr>
          <w:spacing w:val="-15"/>
        </w:rPr>
        <w:t xml:space="preserve"> </w:t>
      </w:r>
      <w:r>
        <w:t>Gobierno</w:t>
      </w:r>
      <w:r w:rsidRPr="000F6499">
        <w:rPr>
          <w:spacing w:val="-15"/>
        </w:rPr>
        <w:t xml:space="preserve"> </w:t>
      </w:r>
      <w:r>
        <w:t>Nacional,</w:t>
      </w:r>
      <w:r w:rsidRPr="000F6499">
        <w:rPr>
          <w:spacing w:val="-15"/>
        </w:rPr>
        <w:t xml:space="preserve"> </w:t>
      </w:r>
      <w:r>
        <w:t>a</w:t>
      </w:r>
      <w:r w:rsidRPr="000F6499">
        <w:rPr>
          <w:spacing w:val="-15"/>
        </w:rPr>
        <w:t xml:space="preserve"> </w:t>
      </w:r>
      <w:r>
        <w:t>través</w:t>
      </w:r>
      <w:r w:rsidRPr="000F6499">
        <w:rPr>
          <w:spacing w:val="-15"/>
        </w:rPr>
        <w:t xml:space="preserve"> </w:t>
      </w:r>
      <w:r>
        <w:t>del</w:t>
      </w:r>
      <w:r w:rsidRPr="000F6499">
        <w:rPr>
          <w:spacing w:val="-15"/>
        </w:rPr>
        <w:t xml:space="preserve"> </w:t>
      </w:r>
      <w:r>
        <w:t>Ministerio</w:t>
      </w:r>
      <w:r w:rsidRPr="000F6499">
        <w:rPr>
          <w:spacing w:val="-15"/>
        </w:rPr>
        <w:t xml:space="preserve"> </w:t>
      </w:r>
      <w:r>
        <w:t>de</w:t>
      </w:r>
      <w:r w:rsidRPr="000F6499">
        <w:rPr>
          <w:spacing w:val="-15"/>
        </w:rPr>
        <w:t xml:space="preserve"> </w:t>
      </w:r>
      <w:r>
        <w:t>Educación</w:t>
      </w:r>
      <w:r w:rsidRPr="000F6499">
        <w:rPr>
          <w:spacing w:val="-15"/>
        </w:rPr>
        <w:t xml:space="preserve"> </w:t>
      </w:r>
      <w:r>
        <w:t>y</w:t>
      </w:r>
      <w:r w:rsidRPr="000F6499">
        <w:rPr>
          <w:spacing w:val="-15"/>
        </w:rPr>
        <w:t xml:space="preserve"> </w:t>
      </w:r>
      <w:r>
        <w:t>las</w:t>
      </w:r>
      <w:r w:rsidRPr="000F6499">
        <w:rPr>
          <w:spacing w:val="-15"/>
        </w:rPr>
        <w:t xml:space="preserve"> </w:t>
      </w:r>
      <w:r>
        <w:t>secretarías</w:t>
      </w:r>
      <w:r w:rsidRPr="000F6499">
        <w:rPr>
          <w:spacing w:val="-15"/>
        </w:rPr>
        <w:t xml:space="preserve"> </w:t>
      </w:r>
      <w:r>
        <w:t>de</w:t>
      </w:r>
      <w:r w:rsidRPr="000F6499">
        <w:rPr>
          <w:spacing w:val="-15"/>
        </w:rPr>
        <w:t xml:space="preserve"> </w:t>
      </w:r>
      <w:r>
        <w:t xml:space="preserve">educación certificadas, con participación amplia de las comunidades educativas y la asesoría de personas expertas, nacionales e internacionales, realizar los ajustes normativos, institucionales y presupuestales necesarios para que el sistema educativo implemente una </w:t>
      </w:r>
      <w:r w:rsidRPr="000F6499">
        <w:rPr>
          <w:b/>
        </w:rPr>
        <w:t>estrategia</w:t>
      </w:r>
      <w:r w:rsidRPr="000F6499">
        <w:rPr>
          <w:b/>
          <w:spacing w:val="-8"/>
        </w:rPr>
        <w:t xml:space="preserve"> </w:t>
      </w:r>
      <w:r w:rsidRPr="000F6499">
        <w:rPr>
          <w:b/>
        </w:rPr>
        <w:t>pertinente</w:t>
      </w:r>
      <w:r w:rsidRPr="000F6499">
        <w:rPr>
          <w:b/>
          <w:spacing w:val="-8"/>
        </w:rPr>
        <w:t xml:space="preserve"> </w:t>
      </w:r>
      <w:r w:rsidRPr="000F6499">
        <w:rPr>
          <w:b/>
        </w:rPr>
        <w:t>y</w:t>
      </w:r>
      <w:r w:rsidRPr="000F6499">
        <w:rPr>
          <w:b/>
          <w:spacing w:val="-9"/>
        </w:rPr>
        <w:t xml:space="preserve"> </w:t>
      </w:r>
      <w:r w:rsidRPr="000F6499">
        <w:rPr>
          <w:b/>
        </w:rPr>
        <w:t>efectiva</w:t>
      </w:r>
      <w:r w:rsidRPr="000F6499">
        <w:rPr>
          <w:b/>
          <w:spacing w:val="-8"/>
        </w:rPr>
        <w:t xml:space="preserve"> </w:t>
      </w:r>
      <w:r w:rsidRPr="000F6499">
        <w:rPr>
          <w:b/>
        </w:rPr>
        <w:t>para</w:t>
      </w:r>
      <w:r w:rsidRPr="000F6499">
        <w:rPr>
          <w:b/>
          <w:spacing w:val="-9"/>
        </w:rPr>
        <w:t xml:space="preserve"> </w:t>
      </w:r>
      <w:r w:rsidRPr="000F6499">
        <w:rPr>
          <w:b/>
        </w:rPr>
        <w:t>la</w:t>
      </w:r>
      <w:r w:rsidRPr="000F6499">
        <w:rPr>
          <w:b/>
          <w:spacing w:val="-8"/>
        </w:rPr>
        <w:t xml:space="preserve"> </w:t>
      </w:r>
      <w:r w:rsidRPr="000F6499">
        <w:rPr>
          <w:b/>
        </w:rPr>
        <w:t>formación</w:t>
      </w:r>
      <w:r w:rsidRPr="000F6499">
        <w:rPr>
          <w:b/>
          <w:spacing w:val="-9"/>
        </w:rPr>
        <w:t xml:space="preserve"> </w:t>
      </w:r>
      <w:r w:rsidRPr="000F6499">
        <w:rPr>
          <w:b/>
        </w:rPr>
        <w:t>de</w:t>
      </w:r>
      <w:r w:rsidRPr="000F6499">
        <w:rPr>
          <w:b/>
          <w:spacing w:val="-8"/>
        </w:rPr>
        <w:t xml:space="preserve"> </w:t>
      </w:r>
      <w:r w:rsidRPr="000F6499">
        <w:rPr>
          <w:b/>
        </w:rPr>
        <w:t>sujetos</w:t>
      </w:r>
      <w:r w:rsidRPr="000F6499">
        <w:rPr>
          <w:b/>
          <w:spacing w:val="-8"/>
        </w:rPr>
        <w:t xml:space="preserve"> </w:t>
      </w:r>
      <w:r w:rsidRPr="000F6499">
        <w:rPr>
          <w:b/>
        </w:rPr>
        <w:t>capaces</w:t>
      </w:r>
      <w:r w:rsidRPr="000F6499">
        <w:rPr>
          <w:b/>
          <w:spacing w:val="-8"/>
        </w:rPr>
        <w:t xml:space="preserve"> </w:t>
      </w:r>
      <w:r w:rsidRPr="000F6499">
        <w:rPr>
          <w:b/>
        </w:rPr>
        <w:t>de</w:t>
      </w:r>
      <w:r w:rsidRPr="000F6499">
        <w:rPr>
          <w:b/>
          <w:spacing w:val="-8"/>
        </w:rPr>
        <w:t xml:space="preserve"> </w:t>
      </w:r>
      <w:r w:rsidRPr="000F6499">
        <w:rPr>
          <w:b/>
        </w:rPr>
        <w:t>vivir</w:t>
      </w:r>
      <w:r w:rsidRPr="000F6499">
        <w:rPr>
          <w:b/>
          <w:spacing w:val="-8"/>
        </w:rPr>
        <w:t xml:space="preserve"> </w:t>
      </w:r>
      <w:r w:rsidRPr="000F6499">
        <w:rPr>
          <w:b/>
        </w:rPr>
        <w:t>en</w:t>
      </w:r>
      <w:r w:rsidRPr="000F6499">
        <w:rPr>
          <w:b/>
          <w:spacing w:val="-9"/>
        </w:rPr>
        <w:t xml:space="preserve"> </w:t>
      </w:r>
      <w:r w:rsidRPr="000F6499">
        <w:rPr>
          <w:b/>
        </w:rPr>
        <w:t>paz</w:t>
      </w:r>
      <w:r w:rsidRPr="000F6499">
        <w:rPr>
          <w:b/>
          <w:spacing w:val="-9"/>
        </w:rPr>
        <w:t xml:space="preserve"> </w:t>
      </w:r>
      <w:r>
        <w:t>con énfasis en elementos de ciudadanía, reconciliación, habilidades socioemocionales y educación en derechos humanos, que incluya enfoques interculturales, de género y de derechos de las mujeres. En ese marco, se recomienda:</w:t>
      </w:r>
    </w:p>
    <w:p w:rsidR="003804AC" w:rsidRDefault="00AF18A5" w:rsidP="000F6499">
      <w:pPr>
        <w:pStyle w:val="Prrafodelista"/>
        <w:numPr>
          <w:ilvl w:val="0"/>
          <w:numId w:val="67"/>
        </w:numPr>
      </w:pPr>
      <w:r>
        <w:t xml:space="preserve">Revisar y ajustar las diferentes </w:t>
      </w:r>
      <w:r w:rsidRPr="000F6499">
        <w:rPr>
          <w:b/>
        </w:rPr>
        <w:t>herramientas, programas, proyectos transversales, áreas de conocimiento</w:t>
      </w:r>
      <w:r w:rsidRPr="000F6499">
        <w:rPr>
          <w:b/>
          <w:spacing w:val="-15"/>
        </w:rPr>
        <w:t xml:space="preserve"> </w:t>
      </w:r>
      <w:r>
        <w:t>con las que se pueden abordar los elementos de la transformación cultural aquí propuestos, los cuales se relacionan con el reconocimiento</w:t>
      </w:r>
      <w:r w:rsidRPr="000F6499">
        <w:rPr>
          <w:spacing w:val="-2"/>
        </w:rPr>
        <w:t xml:space="preserve"> </w:t>
      </w:r>
      <w:r>
        <w:t>y</w:t>
      </w:r>
      <w:r w:rsidRPr="000F6499">
        <w:rPr>
          <w:spacing w:val="-2"/>
        </w:rPr>
        <w:t xml:space="preserve"> </w:t>
      </w:r>
      <w:r>
        <w:t>valoración</w:t>
      </w:r>
      <w:r w:rsidRPr="000F6499">
        <w:rPr>
          <w:spacing w:val="-2"/>
        </w:rPr>
        <w:t xml:space="preserve"> </w:t>
      </w:r>
      <w:r>
        <w:t>de</w:t>
      </w:r>
      <w:r w:rsidRPr="000F6499">
        <w:rPr>
          <w:spacing w:val="-2"/>
        </w:rPr>
        <w:t xml:space="preserve"> </w:t>
      </w:r>
      <w:r>
        <w:t>la</w:t>
      </w:r>
      <w:r w:rsidRPr="000F6499">
        <w:rPr>
          <w:spacing w:val="-2"/>
        </w:rPr>
        <w:t xml:space="preserve"> </w:t>
      </w:r>
      <w:r>
        <w:t>igualdad</w:t>
      </w:r>
      <w:r w:rsidRPr="000F6499">
        <w:rPr>
          <w:spacing w:val="-2"/>
        </w:rPr>
        <w:t xml:space="preserve"> </w:t>
      </w:r>
      <w:r>
        <w:t>de</w:t>
      </w:r>
      <w:r w:rsidRPr="000F6499">
        <w:rPr>
          <w:spacing w:val="-2"/>
        </w:rPr>
        <w:t xml:space="preserve"> </w:t>
      </w:r>
      <w:r>
        <w:t>dignidades</w:t>
      </w:r>
      <w:r w:rsidRPr="000F6499">
        <w:rPr>
          <w:spacing w:val="-2"/>
        </w:rPr>
        <w:t xml:space="preserve"> </w:t>
      </w:r>
      <w:r>
        <w:t>así</w:t>
      </w:r>
      <w:r w:rsidRPr="000F6499">
        <w:rPr>
          <w:spacing w:val="-3"/>
        </w:rPr>
        <w:t xml:space="preserve"> </w:t>
      </w:r>
      <w:r>
        <w:t>como</w:t>
      </w:r>
      <w:r w:rsidRPr="000F6499">
        <w:rPr>
          <w:spacing w:val="-2"/>
        </w:rPr>
        <w:t xml:space="preserve"> </w:t>
      </w:r>
      <w:r>
        <w:t>de</w:t>
      </w:r>
      <w:r w:rsidRPr="000F6499">
        <w:rPr>
          <w:spacing w:val="-2"/>
        </w:rPr>
        <w:t xml:space="preserve"> </w:t>
      </w:r>
      <w:r>
        <w:t>la</w:t>
      </w:r>
      <w:r w:rsidRPr="000F6499">
        <w:rPr>
          <w:spacing w:val="-2"/>
        </w:rPr>
        <w:t xml:space="preserve"> </w:t>
      </w:r>
      <w:r>
        <w:t xml:space="preserve">diversidad, la pluralidad y la diferencia cultural, étnica, de género, política e ideológica; la comprensión de los impactos del conflicto armado y la </w:t>
      </w:r>
      <w:proofErr w:type="spellStart"/>
      <w:r>
        <w:t>visibilización</w:t>
      </w:r>
      <w:proofErr w:type="spellEnd"/>
      <w:r>
        <w:t xml:space="preserve"> de los afrontamientos y resistencias; el rechazo de la violencia, el cuidado de la vida; y el desarrollo de la capacidad de diálogo y deliberación.</w:t>
      </w:r>
    </w:p>
    <w:p w:rsidR="003804AC" w:rsidRDefault="00AF18A5" w:rsidP="000F6499">
      <w:pPr>
        <w:pStyle w:val="Prrafodelista"/>
        <w:numPr>
          <w:ilvl w:val="0"/>
          <w:numId w:val="67"/>
        </w:numPr>
      </w:pPr>
      <w:r>
        <w:t>Incluir</w:t>
      </w:r>
      <w:r w:rsidRPr="000F6499">
        <w:rPr>
          <w:spacing w:val="-1"/>
        </w:rPr>
        <w:t xml:space="preserve"> </w:t>
      </w:r>
      <w:r>
        <w:t>las</w:t>
      </w:r>
      <w:r w:rsidRPr="000F6499">
        <w:rPr>
          <w:spacing w:val="-1"/>
        </w:rPr>
        <w:t xml:space="preserve"> </w:t>
      </w:r>
      <w:r>
        <w:t>adaptaciones</w:t>
      </w:r>
      <w:r w:rsidRPr="000F6499">
        <w:rPr>
          <w:spacing w:val="-2"/>
        </w:rPr>
        <w:t xml:space="preserve"> </w:t>
      </w:r>
      <w:r>
        <w:t>didácticas</w:t>
      </w:r>
      <w:r w:rsidRPr="000F6499">
        <w:rPr>
          <w:spacing w:val="-1"/>
        </w:rPr>
        <w:t xml:space="preserve"> </w:t>
      </w:r>
      <w:r>
        <w:t>del</w:t>
      </w:r>
      <w:r w:rsidRPr="000F6499">
        <w:rPr>
          <w:spacing w:val="-1"/>
        </w:rPr>
        <w:t xml:space="preserve"> </w:t>
      </w:r>
      <w:r w:rsidRPr="000F6499">
        <w:rPr>
          <w:b/>
        </w:rPr>
        <w:t>informe</w:t>
      </w:r>
      <w:r w:rsidRPr="000F6499">
        <w:rPr>
          <w:b/>
          <w:spacing w:val="-1"/>
        </w:rPr>
        <w:t xml:space="preserve"> </w:t>
      </w:r>
      <w:r w:rsidRPr="000F6499">
        <w:rPr>
          <w:b/>
        </w:rPr>
        <w:t>final</w:t>
      </w:r>
      <w:r w:rsidRPr="000F6499">
        <w:rPr>
          <w:b/>
          <w:spacing w:val="-1"/>
        </w:rPr>
        <w:t xml:space="preserve"> </w:t>
      </w:r>
      <w:r w:rsidRPr="000F6499">
        <w:rPr>
          <w:b/>
        </w:rPr>
        <w:t>de</w:t>
      </w:r>
      <w:r w:rsidRPr="000F6499">
        <w:rPr>
          <w:b/>
          <w:spacing w:val="-1"/>
        </w:rPr>
        <w:t xml:space="preserve"> </w:t>
      </w:r>
      <w:r w:rsidRPr="000F6499">
        <w:rPr>
          <w:b/>
        </w:rPr>
        <w:t>la</w:t>
      </w:r>
      <w:r w:rsidRPr="000F6499">
        <w:rPr>
          <w:b/>
          <w:spacing w:val="-1"/>
        </w:rPr>
        <w:t xml:space="preserve"> </w:t>
      </w:r>
      <w:r w:rsidRPr="000F6499">
        <w:rPr>
          <w:b/>
        </w:rPr>
        <w:t>Comisión</w:t>
      </w:r>
      <w:r w:rsidRPr="000F6499">
        <w:rPr>
          <w:b/>
          <w:spacing w:val="-1"/>
        </w:rPr>
        <w:t xml:space="preserve"> </w:t>
      </w:r>
      <w:r w:rsidRPr="000F6499">
        <w:rPr>
          <w:b/>
        </w:rPr>
        <w:t>para</w:t>
      </w:r>
      <w:r w:rsidRPr="000F6499">
        <w:rPr>
          <w:b/>
          <w:spacing w:val="-1"/>
        </w:rPr>
        <w:t xml:space="preserve"> </w:t>
      </w:r>
      <w:r w:rsidRPr="000F6499">
        <w:rPr>
          <w:b/>
        </w:rPr>
        <w:t>el Esclarecimiento</w:t>
      </w:r>
      <w:r w:rsidRPr="000F6499">
        <w:rPr>
          <w:b/>
          <w:spacing w:val="-8"/>
        </w:rPr>
        <w:t xml:space="preserve"> </w:t>
      </w:r>
      <w:r w:rsidRPr="000F6499">
        <w:rPr>
          <w:b/>
        </w:rPr>
        <w:t>de</w:t>
      </w:r>
      <w:r w:rsidRPr="000F6499">
        <w:rPr>
          <w:b/>
          <w:spacing w:val="-8"/>
        </w:rPr>
        <w:t xml:space="preserve"> </w:t>
      </w:r>
      <w:r w:rsidRPr="000F6499">
        <w:rPr>
          <w:b/>
        </w:rPr>
        <w:t>la</w:t>
      </w:r>
      <w:r w:rsidRPr="000F6499">
        <w:rPr>
          <w:b/>
          <w:spacing w:val="-8"/>
        </w:rPr>
        <w:t xml:space="preserve"> </w:t>
      </w:r>
      <w:r w:rsidRPr="000F6499">
        <w:rPr>
          <w:b/>
        </w:rPr>
        <w:t>Verdad,</w:t>
      </w:r>
      <w:r w:rsidRPr="000F6499">
        <w:rPr>
          <w:b/>
          <w:spacing w:val="-8"/>
        </w:rPr>
        <w:t xml:space="preserve"> </w:t>
      </w:r>
      <w:r w:rsidRPr="000F6499">
        <w:rPr>
          <w:b/>
        </w:rPr>
        <w:t>la</w:t>
      </w:r>
      <w:r w:rsidRPr="000F6499">
        <w:rPr>
          <w:b/>
          <w:spacing w:val="-8"/>
        </w:rPr>
        <w:t xml:space="preserve"> </w:t>
      </w:r>
      <w:r w:rsidRPr="000F6499">
        <w:rPr>
          <w:b/>
        </w:rPr>
        <w:lastRenderedPageBreak/>
        <w:t>Convivencia</w:t>
      </w:r>
      <w:r w:rsidRPr="000F6499">
        <w:rPr>
          <w:b/>
          <w:spacing w:val="-9"/>
        </w:rPr>
        <w:t xml:space="preserve"> </w:t>
      </w:r>
      <w:r w:rsidRPr="000F6499">
        <w:rPr>
          <w:b/>
        </w:rPr>
        <w:t>y</w:t>
      </w:r>
      <w:r w:rsidRPr="000F6499">
        <w:rPr>
          <w:b/>
          <w:spacing w:val="-8"/>
        </w:rPr>
        <w:t xml:space="preserve"> </w:t>
      </w:r>
      <w:r w:rsidRPr="000F6499">
        <w:rPr>
          <w:b/>
        </w:rPr>
        <w:t>la</w:t>
      </w:r>
      <w:r w:rsidRPr="000F6499">
        <w:rPr>
          <w:b/>
          <w:spacing w:val="-8"/>
        </w:rPr>
        <w:t xml:space="preserve"> </w:t>
      </w:r>
      <w:r w:rsidRPr="000F6499">
        <w:rPr>
          <w:b/>
        </w:rPr>
        <w:t>No</w:t>
      </w:r>
      <w:r w:rsidRPr="000F6499">
        <w:rPr>
          <w:b/>
          <w:spacing w:val="-8"/>
        </w:rPr>
        <w:t xml:space="preserve"> </w:t>
      </w:r>
      <w:r w:rsidRPr="000F6499">
        <w:rPr>
          <w:b/>
        </w:rPr>
        <w:t>Repetición</w:t>
      </w:r>
      <w:r>
        <w:t>,</w:t>
      </w:r>
      <w:r w:rsidRPr="000F6499">
        <w:rPr>
          <w:spacing w:val="-8"/>
        </w:rPr>
        <w:t xml:space="preserve"> </w:t>
      </w:r>
      <w:r>
        <w:t>la</w:t>
      </w:r>
      <w:r w:rsidRPr="000F6499">
        <w:rPr>
          <w:spacing w:val="-8"/>
        </w:rPr>
        <w:t xml:space="preserve"> </w:t>
      </w:r>
      <w:proofErr w:type="spellStart"/>
      <w:r>
        <w:t>transmedia</w:t>
      </w:r>
      <w:proofErr w:type="spellEnd"/>
      <w:r w:rsidRPr="000F6499">
        <w:rPr>
          <w:spacing w:val="-8"/>
        </w:rPr>
        <w:t xml:space="preserve"> </w:t>
      </w:r>
      <w:r>
        <w:t>y los demás componentes de su legado, como herramientas para el abordaje de los temas del conflicto armado.</w:t>
      </w:r>
    </w:p>
    <w:p w:rsidR="003804AC" w:rsidRDefault="00AF18A5" w:rsidP="005A5DB0">
      <w:pPr>
        <w:pStyle w:val="Prrafodelista"/>
        <w:numPr>
          <w:ilvl w:val="0"/>
          <w:numId w:val="67"/>
        </w:numPr>
      </w:pPr>
      <w:r>
        <w:t xml:space="preserve">Definir </w:t>
      </w:r>
      <w:r w:rsidRPr="005A5DB0">
        <w:rPr>
          <w:b/>
        </w:rPr>
        <w:t>indicadores de evaluación</w:t>
      </w:r>
      <w:r>
        <w:t>, con enfoque intercultural y de género, que</w:t>
      </w:r>
      <w:r w:rsidRPr="005A5DB0">
        <w:rPr>
          <w:spacing w:val="-5"/>
        </w:rPr>
        <w:t xml:space="preserve"> </w:t>
      </w:r>
      <w:r>
        <w:t>permitan</w:t>
      </w:r>
      <w:r w:rsidRPr="005A5DB0">
        <w:rPr>
          <w:spacing w:val="-6"/>
        </w:rPr>
        <w:t xml:space="preserve"> </w:t>
      </w:r>
      <w:r>
        <w:t>hacer</w:t>
      </w:r>
      <w:r w:rsidRPr="005A5DB0">
        <w:rPr>
          <w:spacing w:val="-5"/>
        </w:rPr>
        <w:t xml:space="preserve"> </w:t>
      </w:r>
      <w:r>
        <w:t>seguimiento</w:t>
      </w:r>
      <w:r w:rsidRPr="005A5DB0">
        <w:rPr>
          <w:spacing w:val="-6"/>
        </w:rPr>
        <w:t xml:space="preserve"> </w:t>
      </w:r>
      <w:r>
        <w:t>periódico</w:t>
      </w:r>
      <w:r w:rsidRPr="005A5DB0">
        <w:rPr>
          <w:spacing w:val="-6"/>
        </w:rPr>
        <w:t xml:space="preserve"> </w:t>
      </w:r>
      <w:r>
        <w:t>sobre</w:t>
      </w:r>
      <w:r w:rsidRPr="005A5DB0">
        <w:rPr>
          <w:spacing w:val="-7"/>
        </w:rPr>
        <w:t xml:space="preserve"> </w:t>
      </w:r>
      <w:r>
        <w:t>la</w:t>
      </w:r>
      <w:r w:rsidRPr="005A5DB0">
        <w:rPr>
          <w:spacing w:val="-5"/>
        </w:rPr>
        <w:t xml:space="preserve"> </w:t>
      </w:r>
      <w:r>
        <w:t>aprehensión</w:t>
      </w:r>
      <w:r w:rsidRPr="005A5DB0">
        <w:rPr>
          <w:spacing w:val="-6"/>
        </w:rPr>
        <w:t xml:space="preserve"> </w:t>
      </w:r>
      <w:r>
        <w:t>y</w:t>
      </w:r>
      <w:r w:rsidRPr="005A5DB0">
        <w:rPr>
          <w:spacing w:val="-6"/>
        </w:rPr>
        <w:t xml:space="preserve"> </w:t>
      </w:r>
      <w:r>
        <w:t>apropiación</w:t>
      </w:r>
      <w:r w:rsidRPr="005A5DB0">
        <w:rPr>
          <w:spacing w:val="-6"/>
        </w:rPr>
        <w:t xml:space="preserve"> </w:t>
      </w:r>
      <w:r>
        <w:t>de</w:t>
      </w:r>
      <w:r w:rsidRPr="005A5DB0">
        <w:rPr>
          <w:spacing w:val="-7"/>
        </w:rPr>
        <w:t xml:space="preserve"> </w:t>
      </w:r>
      <w:r>
        <w:t>una cultura para la paz por parte de las y los estudiantes.</w:t>
      </w:r>
    </w:p>
    <w:p w:rsidR="003804AC" w:rsidRDefault="00AF18A5" w:rsidP="005A5DB0">
      <w:pPr>
        <w:pStyle w:val="Prrafodelista"/>
        <w:numPr>
          <w:ilvl w:val="0"/>
          <w:numId w:val="67"/>
        </w:numPr>
      </w:pPr>
      <w:r>
        <w:t>Promover</w:t>
      </w:r>
      <w:r w:rsidRPr="005A5DB0">
        <w:rPr>
          <w:spacing w:val="-6"/>
        </w:rPr>
        <w:t xml:space="preserve"> </w:t>
      </w:r>
      <w:r>
        <w:t>la</w:t>
      </w:r>
      <w:r w:rsidRPr="005A5DB0">
        <w:rPr>
          <w:spacing w:val="-6"/>
        </w:rPr>
        <w:t xml:space="preserve"> </w:t>
      </w:r>
      <w:r w:rsidRPr="005A5DB0">
        <w:rPr>
          <w:b/>
        </w:rPr>
        <w:t>formación</w:t>
      </w:r>
      <w:r w:rsidRPr="005A5DB0">
        <w:rPr>
          <w:b/>
          <w:spacing w:val="-7"/>
        </w:rPr>
        <w:t xml:space="preserve"> </w:t>
      </w:r>
      <w:r w:rsidRPr="005A5DB0">
        <w:rPr>
          <w:b/>
        </w:rPr>
        <w:t>y</w:t>
      </w:r>
      <w:r w:rsidRPr="005A5DB0">
        <w:rPr>
          <w:b/>
          <w:spacing w:val="-5"/>
        </w:rPr>
        <w:t xml:space="preserve"> </w:t>
      </w:r>
      <w:r w:rsidRPr="005A5DB0">
        <w:rPr>
          <w:b/>
        </w:rPr>
        <w:t>actualización</w:t>
      </w:r>
      <w:r w:rsidRPr="005A5DB0">
        <w:rPr>
          <w:b/>
          <w:spacing w:val="-6"/>
        </w:rPr>
        <w:t xml:space="preserve"> </w:t>
      </w:r>
      <w:r w:rsidRPr="005A5DB0">
        <w:rPr>
          <w:b/>
        </w:rPr>
        <w:t>profesional</w:t>
      </w:r>
      <w:r w:rsidRPr="005A5DB0">
        <w:rPr>
          <w:b/>
          <w:spacing w:val="-5"/>
        </w:rPr>
        <w:t xml:space="preserve"> </w:t>
      </w:r>
      <w:r w:rsidRPr="005A5DB0">
        <w:rPr>
          <w:b/>
        </w:rPr>
        <w:t>docente</w:t>
      </w:r>
      <w:r w:rsidRPr="005A5DB0">
        <w:rPr>
          <w:b/>
          <w:spacing w:val="-6"/>
        </w:rPr>
        <w:t xml:space="preserve"> </w:t>
      </w:r>
      <w:r>
        <w:t>para</w:t>
      </w:r>
      <w:r w:rsidRPr="005A5DB0">
        <w:rPr>
          <w:spacing w:val="-5"/>
        </w:rPr>
        <w:t xml:space="preserve"> </w:t>
      </w:r>
      <w:r>
        <w:t>brindarles las herramientas adecuadas, con perspectiva de acción sin daño, para desarrollar los contenidos y orientaciones relacionados con la transformación propuesta.</w:t>
      </w:r>
    </w:p>
    <w:p w:rsidR="003804AC" w:rsidRDefault="00AF18A5" w:rsidP="005A5DB0">
      <w:pPr>
        <w:pStyle w:val="Prrafodelista"/>
        <w:numPr>
          <w:ilvl w:val="0"/>
          <w:numId w:val="67"/>
        </w:numPr>
      </w:pPr>
      <w:r>
        <w:t>Acompañar y consolidar las redes de maestros, maestras, estudiantes, directivos</w:t>
      </w:r>
      <w:r w:rsidRPr="005A5DB0">
        <w:rPr>
          <w:spacing w:val="27"/>
        </w:rPr>
        <w:t xml:space="preserve"> </w:t>
      </w:r>
      <w:r>
        <w:t>docentes</w:t>
      </w:r>
      <w:r w:rsidRPr="005A5DB0">
        <w:rPr>
          <w:spacing w:val="29"/>
        </w:rPr>
        <w:t xml:space="preserve"> </w:t>
      </w:r>
      <w:r>
        <w:t>y</w:t>
      </w:r>
      <w:r w:rsidRPr="005A5DB0">
        <w:rPr>
          <w:spacing w:val="28"/>
        </w:rPr>
        <w:t xml:space="preserve"> </w:t>
      </w:r>
      <w:r>
        <w:t>educadores</w:t>
      </w:r>
      <w:r w:rsidRPr="005A5DB0">
        <w:rPr>
          <w:spacing w:val="29"/>
        </w:rPr>
        <w:t xml:space="preserve"> </w:t>
      </w:r>
      <w:r>
        <w:t>no</w:t>
      </w:r>
      <w:r w:rsidRPr="005A5DB0">
        <w:rPr>
          <w:spacing w:val="29"/>
        </w:rPr>
        <w:t xml:space="preserve"> </w:t>
      </w:r>
      <w:r>
        <w:t>formales,</w:t>
      </w:r>
      <w:r w:rsidRPr="005A5DB0">
        <w:rPr>
          <w:spacing w:val="28"/>
        </w:rPr>
        <w:t xml:space="preserve"> </w:t>
      </w:r>
      <w:r>
        <w:t>así</w:t>
      </w:r>
      <w:r w:rsidRPr="005A5DB0">
        <w:rPr>
          <w:spacing w:val="28"/>
        </w:rPr>
        <w:t xml:space="preserve"> </w:t>
      </w:r>
      <w:r>
        <w:t>como</w:t>
      </w:r>
      <w:r w:rsidRPr="005A5DB0">
        <w:rPr>
          <w:spacing w:val="28"/>
        </w:rPr>
        <w:t xml:space="preserve"> </w:t>
      </w:r>
      <w:r>
        <w:t>las</w:t>
      </w:r>
      <w:r w:rsidRPr="005A5DB0">
        <w:rPr>
          <w:spacing w:val="28"/>
        </w:rPr>
        <w:t xml:space="preserve"> </w:t>
      </w:r>
      <w:r w:rsidRPr="005A5DB0">
        <w:rPr>
          <w:spacing w:val="-2"/>
        </w:rPr>
        <w:t>pedagogías</w:t>
      </w:r>
      <w:r w:rsidR="005A5DB0">
        <w:rPr>
          <w:spacing w:val="-2"/>
        </w:rPr>
        <w:t xml:space="preserve"> </w:t>
      </w:r>
      <w:r>
        <w:t>comunitarias</w:t>
      </w:r>
      <w:r w:rsidRPr="005A5DB0">
        <w:rPr>
          <w:spacing w:val="-4"/>
        </w:rPr>
        <w:t xml:space="preserve"> </w:t>
      </w:r>
      <w:r>
        <w:t>y</w:t>
      </w:r>
      <w:r w:rsidRPr="005A5DB0">
        <w:rPr>
          <w:spacing w:val="-5"/>
        </w:rPr>
        <w:t xml:space="preserve"> </w:t>
      </w:r>
      <w:r>
        <w:t>comunidades</w:t>
      </w:r>
      <w:r w:rsidRPr="005A5DB0">
        <w:rPr>
          <w:spacing w:val="-4"/>
        </w:rPr>
        <w:t xml:space="preserve"> </w:t>
      </w:r>
      <w:r>
        <w:t>de</w:t>
      </w:r>
      <w:r w:rsidRPr="005A5DB0">
        <w:rPr>
          <w:spacing w:val="-4"/>
        </w:rPr>
        <w:t xml:space="preserve"> </w:t>
      </w:r>
      <w:r>
        <w:t>aprendizaje</w:t>
      </w:r>
      <w:r w:rsidRPr="005A5DB0">
        <w:rPr>
          <w:spacing w:val="-4"/>
        </w:rPr>
        <w:t xml:space="preserve"> </w:t>
      </w:r>
      <w:r>
        <w:t>que</w:t>
      </w:r>
      <w:r w:rsidRPr="005A5DB0">
        <w:rPr>
          <w:spacing w:val="-6"/>
        </w:rPr>
        <w:t xml:space="preserve"> </w:t>
      </w:r>
      <w:r>
        <w:t>se</w:t>
      </w:r>
      <w:r w:rsidRPr="005A5DB0">
        <w:rPr>
          <w:spacing w:val="-4"/>
        </w:rPr>
        <w:t xml:space="preserve"> </w:t>
      </w:r>
      <w:r>
        <w:t>han</w:t>
      </w:r>
      <w:r w:rsidRPr="005A5DB0">
        <w:rPr>
          <w:spacing w:val="-5"/>
        </w:rPr>
        <w:t xml:space="preserve"> </w:t>
      </w:r>
      <w:r>
        <w:t>conformado</w:t>
      </w:r>
      <w:r w:rsidRPr="005A5DB0">
        <w:rPr>
          <w:spacing w:val="-5"/>
        </w:rPr>
        <w:t xml:space="preserve"> </w:t>
      </w:r>
      <w:r>
        <w:t>en</w:t>
      </w:r>
      <w:r w:rsidRPr="005A5DB0">
        <w:rPr>
          <w:spacing w:val="-5"/>
        </w:rPr>
        <w:t xml:space="preserve"> </w:t>
      </w:r>
      <w:r>
        <w:t>torno</w:t>
      </w:r>
      <w:r w:rsidRPr="005A5DB0">
        <w:rPr>
          <w:spacing w:val="-5"/>
        </w:rPr>
        <w:t xml:space="preserve"> </w:t>
      </w:r>
      <w:r>
        <w:t>a</w:t>
      </w:r>
      <w:r w:rsidRPr="005A5DB0">
        <w:rPr>
          <w:spacing w:val="-4"/>
        </w:rPr>
        <w:t xml:space="preserve"> </w:t>
      </w:r>
      <w:r>
        <w:t>temas como</w:t>
      </w:r>
      <w:r w:rsidRPr="005A5DB0">
        <w:rPr>
          <w:spacing w:val="-5"/>
        </w:rPr>
        <w:t xml:space="preserve"> </w:t>
      </w:r>
      <w:r>
        <w:t>la</w:t>
      </w:r>
      <w:r w:rsidRPr="005A5DB0">
        <w:rPr>
          <w:spacing w:val="-5"/>
        </w:rPr>
        <w:t xml:space="preserve"> </w:t>
      </w:r>
      <w:r>
        <w:t>convivencia,</w:t>
      </w:r>
      <w:r w:rsidRPr="005A5DB0">
        <w:rPr>
          <w:spacing w:val="-5"/>
        </w:rPr>
        <w:t xml:space="preserve"> </w:t>
      </w:r>
      <w:r>
        <w:t>la</w:t>
      </w:r>
      <w:r w:rsidRPr="005A5DB0">
        <w:rPr>
          <w:spacing w:val="-6"/>
        </w:rPr>
        <w:t xml:space="preserve"> </w:t>
      </w:r>
      <w:r>
        <w:t>promoción</w:t>
      </w:r>
      <w:r w:rsidRPr="005A5DB0">
        <w:rPr>
          <w:spacing w:val="-5"/>
        </w:rPr>
        <w:t xml:space="preserve"> </w:t>
      </w:r>
      <w:r>
        <w:t>de</w:t>
      </w:r>
      <w:r w:rsidRPr="005A5DB0">
        <w:rPr>
          <w:spacing w:val="-5"/>
        </w:rPr>
        <w:t xml:space="preserve"> </w:t>
      </w:r>
      <w:r>
        <w:t>los</w:t>
      </w:r>
      <w:r w:rsidRPr="005A5DB0">
        <w:rPr>
          <w:spacing w:val="-5"/>
        </w:rPr>
        <w:t xml:space="preserve"> </w:t>
      </w:r>
      <w:r>
        <w:t>derechos</w:t>
      </w:r>
      <w:r w:rsidRPr="005A5DB0">
        <w:rPr>
          <w:spacing w:val="-5"/>
        </w:rPr>
        <w:t xml:space="preserve"> </w:t>
      </w:r>
      <w:r>
        <w:t>humanos,</w:t>
      </w:r>
      <w:r w:rsidRPr="005A5DB0">
        <w:rPr>
          <w:spacing w:val="-6"/>
        </w:rPr>
        <w:t xml:space="preserve"> </w:t>
      </w:r>
      <w:r>
        <w:t>la</w:t>
      </w:r>
      <w:r w:rsidRPr="005A5DB0">
        <w:rPr>
          <w:spacing w:val="-5"/>
        </w:rPr>
        <w:t xml:space="preserve"> </w:t>
      </w:r>
      <w:r>
        <w:t>paz,</w:t>
      </w:r>
      <w:r w:rsidRPr="005A5DB0">
        <w:rPr>
          <w:spacing w:val="-5"/>
        </w:rPr>
        <w:t xml:space="preserve"> </w:t>
      </w:r>
      <w:r>
        <w:t>la</w:t>
      </w:r>
      <w:r w:rsidRPr="005A5DB0">
        <w:rPr>
          <w:spacing w:val="-5"/>
        </w:rPr>
        <w:t xml:space="preserve"> </w:t>
      </w:r>
      <w:r>
        <w:t>memoria</w:t>
      </w:r>
      <w:r w:rsidRPr="005A5DB0">
        <w:rPr>
          <w:spacing w:val="-5"/>
        </w:rPr>
        <w:t xml:space="preserve"> </w:t>
      </w:r>
      <w:r>
        <w:t>y</w:t>
      </w:r>
      <w:r w:rsidRPr="005A5DB0">
        <w:rPr>
          <w:spacing w:val="-5"/>
        </w:rPr>
        <w:t xml:space="preserve"> </w:t>
      </w:r>
      <w:r>
        <w:t xml:space="preserve">la </w:t>
      </w:r>
      <w:r w:rsidRPr="005A5DB0">
        <w:rPr>
          <w:spacing w:val="-2"/>
        </w:rPr>
        <w:t>verdad.</w:t>
      </w:r>
    </w:p>
    <w:p w:rsidR="003804AC" w:rsidRDefault="00AF18A5" w:rsidP="005A5DB0">
      <w:pPr>
        <w:pStyle w:val="Prrafodelista"/>
        <w:numPr>
          <w:ilvl w:val="0"/>
          <w:numId w:val="67"/>
        </w:numPr>
      </w:pPr>
      <w:r>
        <w:t>Garantizar la presencia</w:t>
      </w:r>
      <w:r w:rsidRPr="005A5DB0">
        <w:rPr>
          <w:spacing w:val="-1"/>
        </w:rPr>
        <w:t xml:space="preserve"> </w:t>
      </w:r>
      <w:r>
        <w:t xml:space="preserve">de </w:t>
      </w:r>
      <w:r w:rsidRPr="005A5DB0">
        <w:rPr>
          <w:b/>
        </w:rPr>
        <w:t>orientadores y orientadoras en las instituciones educativas</w:t>
      </w:r>
      <w:r>
        <w:t xml:space="preserve">, y en sus diferentes sedes cuando sea el caso, y formarlos permanentemente de manera que en desarrollo de su labor puedan abordar adecuadamente enfoques como el de derechos humanos, género y derechos de las </w:t>
      </w:r>
      <w:r w:rsidRPr="005A5DB0">
        <w:rPr>
          <w:spacing w:val="-2"/>
        </w:rPr>
        <w:t>mujeres.</w:t>
      </w:r>
    </w:p>
    <w:p w:rsidR="003804AC" w:rsidRDefault="00AF18A5" w:rsidP="005A5DB0">
      <w:pPr>
        <w:pStyle w:val="Prrafodelista"/>
        <w:numPr>
          <w:ilvl w:val="0"/>
          <w:numId w:val="67"/>
        </w:numPr>
      </w:pPr>
      <w:r>
        <w:t>Dar</w:t>
      </w:r>
      <w:r w:rsidRPr="005A5DB0">
        <w:rPr>
          <w:spacing w:val="-1"/>
        </w:rPr>
        <w:t xml:space="preserve"> </w:t>
      </w:r>
      <w:r>
        <w:t>pautas</w:t>
      </w:r>
      <w:r w:rsidRPr="005A5DB0">
        <w:rPr>
          <w:spacing w:val="-1"/>
        </w:rPr>
        <w:t xml:space="preserve"> </w:t>
      </w:r>
      <w:r>
        <w:t>desde</w:t>
      </w:r>
      <w:r w:rsidRPr="005A5DB0">
        <w:rPr>
          <w:spacing w:val="-1"/>
        </w:rPr>
        <w:t xml:space="preserve"> </w:t>
      </w:r>
      <w:r>
        <w:t>las</w:t>
      </w:r>
      <w:r w:rsidRPr="005A5DB0">
        <w:rPr>
          <w:spacing w:val="-1"/>
        </w:rPr>
        <w:t xml:space="preserve"> </w:t>
      </w:r>
      <w:r>
        <w:t>Secretarías</w:t>
      </w:r>
      <w:r w:rsidRPr="005A5DB0">
        <w:rPr>
          <w:spacing w:val="-1"/>
        </w:rPr>
        <w:t xml:space="preserve"> </w:t>
      </w:r>
      <w:r>
        <w:t>de</w:t>
      </w:r>
      <w:r w:rsidRPr="005A5DB0">
        <w:rPr>
          <w:spacing w:val="-1"/>
        </w:rPr>
        <w:t xml:space="preserve"> </w:t>
      </w:r>
      <w:r>
        <w:t>Educación</w:t>
      </w:r>
      <w:r w:rsidRPr="005A5DB0">
        <w:rPr>
          <w:spacing w:val="-1"/>
        </w:rPr>
        <w:t xml:space="preserve"> </w:t>
      </w:r>
      <w:r>
        <w:t>certificadas</w:t>
      </w:r>
      <w:r w:rsidRPr="005A5DB0">
        <w:rPr>
          <w:spacing w:val="-1"/>
        </w:rPr>
        <w:t xml:space="preserve"> </w:t>
      </w:r>
      <w:r>
        <w:t>y</w:t>
      </w:r>
      <w:r w:rsidRPr="005A5DB0">
        <w:rPr>
          <w:spacing w:val="-1"/>
        </w:rPr>
        <w:t xml:space="preserve"> </w:t>
      </w:r>
      <w:r>
        <w:t>acompañar</w:t>
      </w:r>
      <w:r w:rsidRPr="005A5DB0">
        <w:rPr>
          <w:spacing w:val="-1"/>
        </w:rPr>
        <w:t xml:space="preserve"> </w:t>
      </w:r>
      <w:r>
        <w:t>a</w:t>
      </w:r>
      <w:r w:rsidRPr="005A5DB0">
        <w:rPr>
          <w:spacing w:val="-1"/>
        </w:rPr>
        <w:t xml:space="preserve"> </w:t>
      </w:r>
      <w:r>
        <w:t xml:space="preserve">las instituciones educativas en la </w:t>
      </w:r>
      <w:r w:rsidRPr="005A5DB0">
        <w:rPr>
          <w:b/>
        </w:rPr>
        <w:t>actualización participativa de sus manuales de convivencia</w:t>
      </w:r>
      <w:r>
        <w:t>, incorporando enfoques restaurativos de resolución de conflictos y una concepción de convivencia democrática sobre los principios de corresponsabilidad, solidaridad, reconocimiento y justicia.</w:t>
      </w:r>
    </w:p>
    <w:p w:rsidR="0011361F" w:rsidRDefault="00AF18A5" w:rsidP="005A5DB0">
      <w:r>
        <w:lastRenderedPageBreak/>
        <w:t>Corto</w:t>
      </w:r>
      <w:r>
        <w:rPr>
          <w:spacing w:val="-1"/>
        </w:rPr>
        <w:t xml:space="preserve"> </w:t>
      </w:r>
      <w:r>
        <w:rPr>
          <w:spacing w:val="-2"/>
        </w:rPr>
        <w:t>plazo</w:t>
      </w:r>
    </w:p>
    <w:p w:rsidR="003804AC" w:rsidRPr="005A5DB0" w:rsidRDefault="00AF18A5" w:rsidP="005A5DB0">
      <w:pPr>
        <w:pStyle w:val="Prrafodelista"/>
        <w:numPr>
          <w:ilvl w:val="0"/>
          <w:numId w:val="31"/>
        </w:numPr>
        <w:rPr>
          <w:b/>
        </w:rPr>
      </w:pPr>
      <w:r>
        <w:t>Al Ministerio de Educación, Secretarías de Educación certificadas e instituciones educativas,</w:t>
      </w:r>
      <w:r w:rsidRPr="005A5DB0">
        <w:rPr>
          <w:spacing w:val="-3"/>
        </w:rPr>
        <w:t xml:space="preserve"> </w:t>
      </w:r>
      <w:r>
        <w:t>promover</w:t>
      </w:r>
      <w:r w:rsidRPr="005A5DB0">
        <w:rPr>
          <w:spacing w:val="-2"/>
        </w:rPr>
        <w:t xml:space="preserve"> </w:t>
      </w:r>
      <w:r>
        <w:t>al</w:t>
      </w:r>
      <w:r w:rsidRPr="005A5DB0">
        <w:rPr>
          <w:spacing w:val="-3"/>
        </w:rPr>
        <w:t xml:space="preserve"> </w:t>
      </w:r>
      <w:r>
        <w:t>interior</w:t>
      </w:r>
      <w:r w:rsidRPr="005A5DB0">
        <w:rPr>
          <w:spacing w:val="-2"/>
        </w:rPr>
        <w:t xml:space="preserve"> </w:t>
      </w:r>
      <w:r>
        <w:t>de</w:t>
      </w:r>
      <w:r w:rsidRPr="005A5DB0">
        <w:rPr>
          <w:spacing w:val="-2"/>
        </w:rPr>
        <w:t xml:space="preserve"> </w:t>
      </w:r>
      <w:r>
        <w:t>las</w:t>
      </w:r>
      <w:r w:rsidRPr="005A5DB0">
        <w:rPr>
          <w:spacing w:val="-2"/>
        </w:rPr>
        <w:t xml:space="preserve"> </w:t>
      </w:r>
      <w:r>
        <w:t>instituciones</w:t>
      </w:r>
      <w:r w:rsidRPr="005A5DB0">
        <w:rPr>
          <w:spacing w:val="-2"/>
        </w:rPr>
        <w:t xml:space="preserve"> </w:t>
      </w:r>
      <w:r>
        <w:t>educativas</w:t>
      </w:r>
      <w:r w:rsidRPr="005A5DB0">
        <w:rPr>
          <w:spacing w:val="-2"/>
        </w:rPr>
        <w:t xml:space="preserve"> </w:t>
      </w:r>
      <w:r>
        <w:t>el</w:t>
      </w:r>
      <w:r w:rsidRPr="005A5DB0">
        <w:rPr>
          <w:spacing w:val="-2"/>
        </w:rPr>
        <w:t xml:space="preserve"> </w:t>
      </w:r>
      <w:r>
        <w:t>desarrollo</w:t>
      </w:r>
      <w:r w:rsidRPr="005A5DB0">
        <w:rPr>
          <w:spacing w:val="-2"/>
        </w:rPr>
        <w:t xml:space="preserve"> </w:t>
      </w:r>
      <w:r>
        <w:t>de</w:t>
      </w:r>
      <w:r w:rsidRPr="005A5DB0">
        <w:rPr>
          <w:spacing w:val="-2"/>
        </w:rPr>
        <w:t xml:space="preserve"> </w:t>
      </w:r>
      <w:r w:rsidRPr="005A5DB0">
        <w:rPr>
          <w:b/>
        </w:rPr>
        <w:t>pactos</w:t>
      </w:r>
      <w:r w:rsidRPr="005A5DB0">
        <w:rPr>
          <w:b/>
          <w:spacing w:val="-2"/>
        </w:rPr>
        <w:t xml:space="preserve"> </w:t>
      </w:r>
      <w:r w:rsidRPr="005A5DB0">
        <w:rPr>
          <w:b/>
        </w:rPr>
        <w:t>para la paz</w:t>
      </w:r>
      <w:r>
        <w:t>, de manera que se promueva la diversidad, la pluralidad, el cuidado de la vida y la igualdad de dignidades, con participación de diferentes actores de las comunidades e instituciones educativas. Garantizar que en su desarrollo se hagan reflexiones sobre los valores</w:t>
      </w:r>
      <w:r w:rsidRPr="005A5DB0">
        <w:rPr>
          <w:spacing w:val="-9"/>
        </w:rPr>
        <w:t xml:space="preserve"> </w:t>
      </w:r>
      <w:r>
        <w:t>que</w:t>
      </w:r>
      <w:r w:rsidRPr="005A5DB0">
        <w:rPr>
          <w:spacing w:val="-9"/>
        </w:rPr>
        <w:t xml:space="preserve"> </w:t>
      </w:r>
      <w:r>
        <w:t>permiten</w:t>
      </w:r>
      <w:r w:rsidRPr="005A5DB0">
        <w:rPr>
          <w:spacing w:val="-9"/>
        </w:rPr>
        <w:t xml:space="preserve"> </w:t>
      </w:r>
      <w:r>
        <w:t>la</w:t>
      </w:r>
      <w:r w:rsidRPr="005A5DB0">
        <w:rPr>
          <w:spacing w:val="-9"/>
        </w:rPr>
        <w:t xml:space="preserve"> </w:t>
      </w:r>
      <w:r>
        <w:t>convivencia</w:t>
      </w:r>
      <w:r w:rsidRPr="005A5DB0">
        <w:rPr>
          <w:spacing w:val="-9"/>
        </w:rPr>
        <w:t xml:space="preserve"> </w:t>
      </w:r>
      <w:r>
        <w:t>y</w:t>
      </w:r>
      <w:r w:rsidRPr="005A5DB0">
        <w:rPr>
          <w:spacing w:val="-8"/>
        </w:rPr>
        <w:t xml:space="preserve"> </w:t>
      </w:r>
      <w:r>
        <w:t>se</w:t>
      </w:r>
      <w:r w:rsidRPr="005A5DB0">
        <w:rPr>
          <w:spacing w:val="-8"/>
        </w:rPr>
        <w:t xml:space="preserve"> </w:t>
      </w:r>
      <w:r>
        <w:t>plasmen</w:t>
      </w:r>
      <w:r w:rsidRPr="005A5DB0">
        <w:rPr>
          <w:spacing w:val="-8"/>
        </w:rPr>
        <w:t xml:space="preserve"> </w:t>
      </w:r>
      <w:r>
        <w:t>compromisos</w:t>
      </w:r>
      <w:r w:rsidRPr="005A5DB0">
        <w:rPr>
          <w:spacing w:val="-8"/>
        </w:rPr>
        <w:t xml:space="preserve"> </w:t>
      </w:r>
      <w:r>
        <w:t>por</w:t>
      </w:r>
      <w:r w:rsidRPr="005A5DB0">
        <w:rPr>
          <w:spacing w:val="-9"/>
        </w:rPr>
        <w:t xml:space="preserve"> </w:t>
      </w:r>
      <w:r>
        <w:t>la</w:t>
      </w:r>
      <w:r w:rsidRPr="005A5DB0">
        <w:rPr>
          <w:spacing w:val="-9"/>
        </w:rPr>
        <w:t xml:space="preserve"> </w:t>
      </w:r>
      <w:r>
        <w:t>igualdad</w:t>
      </w:r>
      <w:r w:rsidRPr="005A5DB0">
        <w:rPr>
          <w:spacing w:val="-8"/>
        </w:rPr>
        <w:t xml:space="preserve"> </w:t>
      </w:r>
      <w:r>
        <w:t>de</w:t>
      </w:r>
      <w:r w:rsidRPr="005A5DB0">
        <w:rPr>
          <w:spacing w:val="-9"/>
        </w:rPr>
        <w:t xml:space="preserve"> </w:t>
      </w:r>
      <w:r>
        <w:t>género,</w:t>
      </w:r>
      <w:r w:rsidRPr="005A5DB0">
        <w:rPr>
          <w:spacing w:val="-8"/>
        </w:rPr>
        <w:t xml:space="preserve"> </w:t>
      </w:r>
      <w:r>
        <w:t>la desestructuración del patriarcado y el rechazo a cualquier tipo de discriminación y estigmatización.</w:t>
      </w:r>
      <w:r w:rsidRPr="005A5DB0">
        <w:rPr>
          <w:spacing w:val="-2"/>
        </w:rPr>
        <w:t xml:space="preserve"> </w:t>
      </w:r>
      <w:r>
        <w:t>Con</w:t>
      </w:r>
      <w:r w:rsidRPr="005A5DB0">
        <w:rPr>
          <w:spacing w:val="-2"/>
        </w:rPr>
        <w:t xml:space="preserve"> </w:t>
      </w:r>
      <w:r>
        <w:t>base</w:t>
      </w:r>
      <w:r w:rsidRPr="005A5DB0">
        <w:rPr>
          <w:spacing w:val="-2"/>
        </w:rPr>
        <w:t xml:space="preserve"> </w:t>
      </w:r>
      <w:r>
        <w:t>en</w:t>
      </w:r>
      <w:r w:rsidRPr="005A5DB0">
        <w:rPr>
          <w:spacing w:val="-2"/>
        </w:rPr>
        <w:t xml:space="preserve"> </w:t>
      </w:r>
      <w:r>
        <w:t>los</w:t>
      </w:r>
      <w:r w:rsidRPr="005A5DB0">
        <w:rPr>
          <w:spacing w:val="-2"/>
        </w:rPr>
        <w:t xml:space="preserve"> </w:t>
      </w:r>
      <w:r>
        <w:t>pactos</w:t>
      </w:r>
      <w:r w:rsidRPr="005A5DB0">
        <w:rPr>
          <w:spacing w:val="-2"/>
        </w:rPr>
        <w:t xml:space="preserve"> </w:t>
      </w:r>
      <w:r>
        <w:t>que</w:t>
      </w:r>
      <w:r w:rsidRPr="005A5DB0">
        <w:rPr>
          <w:spacing w:val="-2"/>
        </w:rPr>
        <w:t xml:space="preserve"> </w:t>
      </w:r>
      <w:r>
        <w:t>se</w:t>
      </w:r>
      <w:r w:rsidRPr="005A5DB0">
        <w:rPr>
          <w:spacing w:val="-2"/>
        </w:rPr>
        <w:t xml:space="preserve"> </w:t>
      </w:r>
      <w:r>
        <w:t>hagan</w:t>
      </w:r>
      <w:r w:rsidRPr="005A5DB0">
        <w:rPr>
          <w:spacing w:val="-2"/>
        </w:rPr>
        <w:t xml:space="preserve"> </w:t>
      </w:r>
      <w:r>
        <w:t>a</w:t>
      </w:r>
      <w:r w:rsidRPr="005A5DB0">
        <w:rPr>
          <w:spacing w:val="-2"/>
        </w:rPr>
        <w:t xml:space="preserve"> </w:t>
      </w:r>
      <w:r>
        <w:t>nivel</w:t>
      </w:r>
      <w:r w:rsidRPr="005A5DB0">
        <w:rPr>
          <w:spacing w:val="-2"/>
        </w:rPr>
        <w:t xml:space="preserve"> </w:t>
      </w:r>
      <w:r>
        <w:t>territorial,</w:t>
      </w:r>
      <w:r w:rsidRPr="005A5DB0">
        <w:rPr>
          <w:spacing w:val="-2"/>
        </w:rPr>
        <w:t xml:space="preserve"> </w:t>
      </w:r>
      <w:r>
        <w:t>elaborar</w:t>
      </w:r>
      <w:r w:rsidRPr="005A5DB0">
        <w:rPr>
          <w:spacing w:val="-2"/>
        </w:rPr>
        <w:t xml:space="preserve"> </w:t>
      </w:r>
      <w:r>
        <w:t>y</w:t>
      </w:r>
      <w:r w:rsidRPr="005A5DB0">
        <w:rPr>
          <w:spacing w:val="-2"/>
        </w:rPr>
        <w:t xml:space="preserve"> </w:t>
      </w:r>
      <w:r>
        <w:t>firmar</w:t>
      </w:r>
      <w:r w:rsidRPr="005A5DB0">
        <w:rPr>
          <w:spacing w:val="-2"/>
        </w:rPr>
        <w:t xml:space="preserve"> </w:t>
      </w:r>
      <w:r>
        <w:t>un pacto educativo nacional como compromiso desde la educación en la construcción de paz.</w:t>
      </w:r>
    </w:p>
    <w:p w:rsidR="003804AC" w:rsidRDefault="005A5DB0" w:rsidP="005A5DB0">
      <w:pPr>
        <w:pStyle w:val="Ttulo3"/>
      </w:pPr>
      <w:bookmarkStart w:id="1689" w:name="8.2._Estrategia_y_promoción_de_la_gestió"/>
      <w:bookmarkStart w:id="1690" w:name="_Toc112399724"/>
      <w:bookmarkEnd w:id="1689"/>
      <w:r>
        <w:t xml:space="preserve">8.2. </w:t>
      </w:r>
      <w:r w:rsidR="00AF18A5">
        <w:t xml:space="preserve">Estrategia y </w:t>
      </w:r>
      <w:r w:rsidR="00AF18A5" w:rsidRPr="005A5DB0">
        <w:t>promoción</w:t>
      </w:r>
      <w:r w:rsidR="00AF18A5">
        <w:t xml:space="preserve"> de la gestión cultural que permita consolidar la cultura para la paz</w:t>
      </w:r>
      <w:bookmarkEnd w:id="1690"/>
    </w:p>
    <w:p w:rsidR="003804AC" w:rsidRDefault="00AF18A5" w:rsidP="005A5DB0">
      <w:r>
        <w:t>Corto</w:t>
      </w:r>
      <w:r>
        <w:rPr>
          <w:spacing w:val="-1"/>
        </w:rPr>
        <w:t xml:space="preserve"> </w:t>
      </w:r>
      <w:r>
        <w:rPr>
          <w:spacing w:val="-2"/>
        </w:rPr>
        <w:t>plazo</w:t>
      </w:r>
    </w:p>
    <w:p w:rsidR="003804AC" w:rsidRPr="005A5DB0" w:rsidRDefault="00AF18A5" w:rsidP="005A5DB0">
      <w:pPr>
        <w:pStyle w:val="Prrafodelista"/>
        <w:numPr>
          <w:ilvl w:val="0"/>
          <w:numId w:val="31"/>
        </w:numPr>
        <w:rPr>
          <w:b/>
        </w:rPr>
      </w:pPr>
      <w:r>
        <w:t>Al Gobierno Nacional, crear una instancia encabezada por el Ministerio para la Paz y la Reconciliación</w:t>
      </w:r>
      <w:r w:rsidR="005A5DB0">
        <w:rPr>
          <w:rStyle w:val="Refdenotaalpie"/>
        </w:rPr>
        <w:footnoteReference w:id="1282"/>
      </w:r>
      <w:r>
        <w:t>,</w:t>
      </w:r>
      <w:r w:rsidRPr="005A5DB0">
        <w:rPr>
          <w:spacing w:val="-8"/>
        </w:rPr>
        <w:t xml:space="preserve"> </w:t>
      </w:r>
      <w:r>
        <w:t>en</w:t>
      </w:r>
      <w:r w:rsidRPr="005A5DB0">
        <w:rPr>
          <w:spacing w:val="-8"/>
        </w:rPr>
        <w:t xml:space="preserve"> </w:t>
      </w:r>
      <w:r>
        <w:t>la</w:t>
      </w:r>
      <w:r w:rsidRPr="005A5DB0">
        <w:rPr>
          <w:spacing w:val="-8"/>
        </w:rPr>
        <w:t xml:space="preserve"> </w:t>
      </w:r>
      <w:r>
        <w:t>que</w:t>
      </w:r>
      <w:r w:rsidRPr="005A5DB0">
        <w:rPr>
          <w:spacing w:val="-9"/>
        </w:rPr>
        <w:t xml:space="preserve"> </w:t>
      </w:r>
      <w:r>
        <w:t>concurran</w:t>
      </w:r>
      <w:r w:rsidRPr="005A5DB0">
        <w:rPr>
          <w:spacing w:val="-8"/>
        </w:rPr>
        <w:t xml:space="preserve"> </w:t>
      </w:r>
      <w:r>
        <w:t>el</w:t>
      </w:r>
      <w:r w:rsidRPr="005A5DB0">
        <w:rPr>
          <w:spacing w:val="-8"/>
        </w:rPr>
        <w:t xml:space="preserve"> </w:t>
      </w:r>
      <w:r>
        <w:t>Ministerio</w:t>
      </w:r>
      <w:r w:rsidRPr="005A5DB0">
        <w:rPr>
          <w:spacing w:val="-10"/>
        </w:rPr>
        <w:t xml:space="preserve"> </w:t>
      </w:r>
      <w:r>
        <w:t>de</w:t>
      </w:r>
      <w:r w:rsidRPr="005A5DB0">
        <w:rPr>
          <w:spacing w:val="-8"/>
        </w:rPr>
        <w:t xml:space="preserve"> </w:t>
      </w:r>
      <w:r>
        <w:t>Cultura,</w:t>
      </w:r>
      <w:r w:rsidRPr="005A5DB0">
        <w:rPr>
          <w:spacing w:val="-8"/>
        </w:rPr>
        <w:t xml:space="preserve"> </w:t>
      </w:r>
      <w:r>
        <w:t>el</w:t>
      </w:r>
      <w:r w:rsidRPr="005A5DB0">
        <w:rPr>
          <w:spacing w:val="-8"/>
        </w:rPr>
        <w:t xml:space="preserve"> </w:t>
      </w:r>
      <w:r>
        <w:t>Ministerio</w:t>
      </w:r>
      <w:r w:rsidRPr="005A5DB0">
        <w:rPr>
          <w:spacing w:val="-10"/>
        </w:rPr>
        <w:t xml:space="preserve"> </w:t>
      </w:r>
      <w:r>
        <w:t>de</w:t>
      </w:r>
      <w:r w:rsidRPr="005A5DB0">
        <w:rPr>
          <w:spacing w:val="-8"/>
        </w:rPr>
        <w:t xml:space="preserve"> </w:t>
      </w:r>
      <w:r>
        <w:t>Educación, el</w:t>
      </w:r>
      <w:r w:rsidRPr="005A5DB0">
        <w:rPr>
          <w:spacing w:val="-13"/>
        </w:rPr>
        <w:t xml:space="preserve"> </w:t>
      </w:r>
      <w:r>
        <w:t>Ministerio</w:t>
      </w:r>
      <w:r w:rsidRPr="005A5DB0">
        <w:rPr>
          <w:spacing w:val="-14"/>
        </w:rPr>
        <w:t xml:space="preserve"> </w:t>
      </w:r>
      <w:r>
        <w:t>del</w:t>
      </w:r>
      <w:r w:rsidRPr="005A5DB0">
        <w:rPr>
          <w:spacing w:val="-13"/>
        </w:rPr>
        <w:t xml:space="preserve"> </w:t>
      </w:r>
      <w:r>
        <w:t>Interior</w:t>
      </w:r>
      <w:r w:rsidRPr="005A5DB0">
        <w:rPr>
          <w:spacing w:val="-14"/>
        </w:rPr>
        <w:t xml:space="preserve"> </w:t>
      </w:r>
      <w:r>
        <w:t>y</w:t>
      </w:r>
      <w:r w:rsidRPr="005A5DB0">
        <w:rPr>
          <w:spacing w:val="-13"/>
        </w:rPr>
        <w:t xml:space="preserve"> </w:t>
      </w:r>
      <w:r>
        <w:t>el</w:t>
      </w:r>
      <w:r w:rsidRPr="005A5DB0">
        <w:rPr>
          <w:spacing w:val="-13"/>
        </w:rPr>
        <w:t xml:space="preserve"> </w:t>
      </w:r>
      <w:r>
        <w:t>Ministerio</w:t>
      </w:r>
      <w:r w:rsidRPr="005A5DB0">
        <w:rPr>
          <w:spacing w:val="-13"/>
        </w:rPr>
        <w:t xml:space="preserve"> </w:t>
      </w:r>
      <w:r>
        <w:t>de</w:t>
      </w:r>
      <w:r w:rsidRPr="005A5DB0">
        <w:rPr>
          <w:spacing w:val="-13"/>
        </w:rPr>
        <w:t xml:space="preserve"> </w:t>
      </w:r>
      <w:r>
        <w:t>Tecnologías</w:t>
      </w:r>
      <w:r w:rsidRPr="005A5DB0">
        <w:rPr>
          <w:spacing w:val="-13"/>
        </w:rPr>
        <w:t xml:space="preserve"> </w:t>
      </w:r>
      <w:r>
        <w:t>de</w:t>
      </w:r>
      <w:r w:rsidRPr="005A5DB0">
        <w:rPr>
          <w:spacing w:val="-14"/>
        </w:rPr>
        <w:t xml:space="preserve"> </w:t>
      </w:r>
      <w:r>
        <w:t>la</w:t>
      </w:r>
      <w:r w:rsidRPr="005A5DB0">
        <w:rPr>
          <w:spacing w:val="-13"/>
        </w:rPr>
        <w:t xml:space="preserve"> </w:t>
      </w:r>
      <w:r>
        <w:t>Información</w:t>
      </w:r>
      <w:r w:rsidRPr="005A5DB0">
        <w:rPr>
          <w:spacing w:val="-14"/>
        </w:rPr>
        <w:t xml:space="preserve"> </w:t>
      </w:r>
      <w:r>
        <w:t>y</w:t>
      </w:r>
      <w:r w:rsidRPr="005A5DB0">
        <w:rPr>
          <w:spacing w:val="-13"/>
        </w:rPr>
        <w:t xml:space="preserve"> </w:t>
      </w:r>
      <w:r>
        <w:t>Comunicaciones que</w:t>
      </w:r>
      <w:r w:rsidRPr="005A5DB0">
        <w:rPr>
          <w:spacing w:val="-6"/>
        </w:rPr>
        <w:t xml:space="preserve"> </w:t>
      </w:r>
      <w:r>
        <w:t>se</w:t>
      </w:r>
      <w:r w:rsidRPr="005A5DB0">
        <w:rPr>
          <w:spacing w:val="-6"/>
        </w:rPr>
        <w:t xml:space="preserve"> </w:t>
      </w:r>
      <w:r>
        <w:t>encargue,</w:t>
      </w:r>
      <w:r w:rsidRPr="005A5DB0">
        <w:rPr>
          <w:spacing w:val="-6"/>
        </w:rPr>
        <w:t xml:space="preserve"> </w:t>
      </w:r>
      <w:r>
        <w:t>en</w:t>
      </w:r>
      <w:r w:rsidRPr="005A5DB0">
        <w:rPr>
          <w:spacing w:val="-6"/>
        </w:rPr>
        <w:t xml:space="preserve"> </w:t>
      </w:r>
      <w:r>
        <w:t>articulación</w:t>
      </w:r>
      <w:r w:rsidRPr="005A5DB0">
        <w:rPr>
          <w:spacing w:val="-6"/>
        </w:rPr>
        <w:t xml:space="preserve"> </w:t>
      </w:r>
      <w:r>
        <w:t>con</w:t>
      </w:r>
      <w:r w:rsidRPr="005A5DB0">
        <w:rPr>
          <w:spacing w:val="-7"/>
        </w:rPr>
        <w:t xml:space="preserve"> </w:t>
      </w:r>
      <w:r>
        <w:t>gobiernos</w:t>
      </w:r>
      <w:r w:rsidRPr="005A5DB0">
        <w:rPr>
          <w:spacing w:val="-7"/>
        </w:rPr>
        <w:t xml:space="preserve"> </w:t>
      </w:r>
      <w:r>
        <w:t>territoriales,</w:t>
      </w:r>
      <w:r w:rsidRPr="005A5DB0">
        <w:rPr>
          <w:spacing w:val="-6"/>
        </w:rPr>
        <w:t xml:space="preserve"> </w:t>
      </w:r>
      <w:r>
        <w:t>el</w:t>
      </w:r>
      <w:r w:rsidRPr="005A5DB0">
        <w:rPr>
          <w:spacing w:val="-7"/>
        </w:rPr>
        <w:t xml:space="preserve"> </w:t>
      </w:r>
      <w:r>
        <w:t>Consejo</w:t>
      </w:r>
      <w:r w:rsidRPr="005A5DB0">
        <w:rPr>
          <w:spacing w:val="-6"/>
        </w:rPr>
        <w:t xml:space="preserve"> </w:t>
      </w:r>
      <w:r>
        <w:t>Nacional</w:t>
      </w:r>
      <w:r w:rsidRPr="005A5DB0">
        <w:rPr>
          <w:spacing w:val="-6"/>
        </w:rPr>
        <w:t xml:space="preserve"> </w:t>
      </w:r>
      <w:r>
        <w:t>de</w:t>
      </w:r>
      <w:r w:rsidRPr="005A5DB0">
        <w:rPr>
          <w:spacing w:val="-6"/>
        </w:rPr>
        <w:t xml:space="preserve"> </w:t>
      </w:r>
      <w:r>
        <w:t>Paz</w:t>
      </w:r>
      <w:r w:rsidRPr="005A5DB0">
        <w:rPr>
          <w:spacing w:val="-6"/>
        </w:rPr>
        <w:t xml:space="preserve"> </w:t>
      </w:r>
      <w:r>
        <w:t>para la</w:t>
      </w:r>
      <w:r w:rsidRPr="005A5DB0">
        <w:rPr>
          <w:spacing w:val="-7"/>
        </w:rPr>
        <w:t xml:space="preserve"> </w:t>
      </w:r>
      <w:r>
        <w:lastRenderedPageBreak/>
        <w:t>Reconciliación</w:t>
      </w:r>
      <w:r w:rsidRPr="005A5DB0">
        <w:rPr>
          <w:spacing w:val="-7"/>
        </w:rPr>
        <w:t xml:space="preserve"> </w:t>
      </w:r>
      <w:r>
        <w:t>y</w:t>
      </w:r>
      <w:r w:rsidRPr="005A5DB0">
        <w:rPr>
          <w:spacing w:val="-7"/>
        </w:rPr>
        <w:t xml:space="preserve"> </w:t>
      </w:r>
      <w:r>
        <w:t>la</w:t>
      </w:r>
      <w:r w:rsidRPr="005A5DB0">
        <w:rPr>
          <w:spacing w:val="-7"/>
        </w:rPr>
        <w:t xml:space="preserve"> </w:t>
      </w:r>
      <w:r>
        <w:t>Convivencia</w:t>
      </w:r>
      <w:r w:rsidRPr="005A5DB0">
        <w:rPr>
          <w:spacing w:val="-7"/>
        </w:rPr>
        <w:t xml:space="preserve"> </w:t>
      </w:r>
      <w:r>
        <w:t>y</w:t>
      </w:r>
      <w:r w:rsidRPr="005A5DB0">
        <w:rPr>
          <w:spacing w:val="-7"/>
        </w:rPr>
        <w:t xml:space="preserve"> </w:t>
      </w:r>
      <w:r>
        <w:t>los</w:t>
      </w:r>
      <w:r w:rsidRPr="005A5DB0">
        <w:rPr>
          <w:spacing w:val="-7"/>
        </w:rPr>
        <w:t xml:space="preserve"> </w:t>
      </w:r>
      <w:r>
        <w:t>consejos</w:t>
      </w:r>
      <w:r w:rsidRPr="005A5DB0">
        <w:rPr>
          <w:spacing w:val="-7"/>
        </w:rPr>
        <w:t xml:space="preserve"> </w:t>
      </w:r>
      <w:r>
        <w:t>territoriales,</w:t>
      </w:r>
      <w:r w:rsidRPr="005A5DB0">
        <w:rPr>
          <w:spacing w:val="-7"/>
        </w:rPr>
        <w:t xml:space="preserve"> </w:t>
      </w:r>
      <w:r>
        <w:t>de</w:t>
      </w:r>
      <w:r w:rsidRPr="005A5DB0">
        <w:rPr>
          <w:spacing w:val="-7"/>
        </w:rPr>
        <w:t xml:space="preserve"> </w:t>
      </w:r>
      <w:r>
        <w:t>estructurar,</w:t>
      </w:r>
      <w:r w:rsidRPr="005A5DB0">
        <w:rPr>
          <w:spacing w:val="-8"/>
        </w:rPr>
        <w:t xml:space="preserve"> </w:t>
      </w:r>
      <w:r>
        <w:t>implementar</w:t>
      </w:r>
      <w:r w:rsidRPr="005A5DB0">
        <w:rPr>
          <w:spacing w:val="-7"/>
        </w:rPr>
        <w:t xml:space="preserve"> </w:t>
      </w:r>
      <w:r>
        <w:t xml:space="preserve">y evaluar una </w:t>
      </w:r>
      <w:r w:rsidRPr="005A5DB0">
        <w:rPr>
          <w:b/>
        </w:rPr>
        <w:t xml:space="preserve">estrategia de largo plazo con alcance nacional, regional y local para la consolidación de una cultura para la paz </w:t>
      </w:r>
      <w:r>
        <w:t>que sea pertinente y acorde con los diferentes contextos</w:t>
      </w:r>
      <w:r w:rsidRPr="005A5DB0">
        <w:rPr>
          <w:spacing w:val="-2"/>
        </w:rPr>
        <w:t xml:space="preserve"> </w:t>
      </w:r>
      <w:r>
        <w:t>y</w:t>
      </w:r>
      <w:r w:rsidRPr="005A5DB0">
        <w:rPr>
          <w:spacing w:val="-2"/>
        </w:rPr>
        <w:t xml:space="preserve"> </w:t>
      </w:r>
      <w:r>
        <w:t>regiones.</w:t>
      </w:r>
      <w:r w:rsidRPr="005A5DB0">
        <w:rPr>
          <w:spacing w:val="-2"/>
        </w:rPr>
        <w:t xml:space="preserve"> </w:t>
      </w:r>
      <w:r>
        <w:t>En</w:t>
      </w:r>
      <w:r w:rsidRPr="005A5DB0">
        <w:rPr>
          <w:spacing w:val="-4"/>
        </w:rPr>
        <w:t xml:space="preserve"> </w:t>
      </w:r>
      <w:r>
        <w:t>este</w:t>
      </w:r>
      <w:r w:rsidRPr="005A5DB0">
        <w:rPr>
          <w:spacing w:val="-2"/>
        </w:rPr>
        <w:t xml:space="preserve"> </w:t>
      </w:r>
      <w:r>
        <w:t>proceso</w:t>
      </w:r>
      <w:r w:rsidRPr="005A5DB0">
        <w:rPr>
          <w:spacing w:val="-2"/>
        </w:rPr>
        <w:t xml:space="preserve"> </w:t>
      </w:r>
      <w:r>
        <w:t>se</w:t>
      </w:r>
      <w:r w:rsidRPr="005A5DB0">
        <w:rPr>
          <w:spacing w:val="-2"/>
        </w:rPr>
        <w:t xml:space="preserve"> </w:t>
      </w:r>
      <w:r>
        <w:t>deberá</w:t>
      </w:r>
      <w:r w:rsidRPr="005A5DB0">
        <w:rPr>
          <w:spacing w:val="-2"/>
        </w:rPr>
        <w:t xml:space="preserve"> </w:t>
      </w:r>
      <w:r>
        <w:t>garantizar</w:t>
      </w:r>
      <w:r w:rsidRPr="005A5DB0">
        <w:rPr>
          <w:spacing w:val="-2"/>
        </w:rPr>
        <w:t xml:space="preserve"> </w:t>
      </w:r>
      <w:r>
        <w:t>la</w:t>
      </w:r>
      <w:r w:rsidRPr="005A5DB0">
        <w:rPr>
          <w:spacing w:val="-3"/>
        </w:rPr>
        <w:t xml:space="preserve"> </w:t>
      </w:r>
      <w:r>
        <w:t>participación</w:t>
      </w:r>
      <w:r w:rsidRPr="005A5DB0">
        <w:rPr>
          <w:spacing w:val="-2"/>
        </w:rPr>
        <w:t xml:space="preserve"> </w:t>
      </w:r>
      <w:r>
        <w:t>de</w:t>
      </w:r>
      <w:r w:rsidRPr="005A5DB0">
        <w:rPr>
          <w:spacing w:val="-2"/>
        </w:rPr>
        <w:t xml:space="preserve"> </w:t>
      </w:r>
      <w:r>
        <w:t>víctimas</w:t>
      </w:r>
      <w:r w:rsidRPr="005A5DB0">
        <w:rPr>
          <w:spacing w:val="-2"/>
        </w:rPr>
        <w:t xml:space="preserve"> </w:t>
      </w:r>
      <w:r>
        <w:t>y</w:t>
      </w:r>
      <w:r w:rsidRPr="005A5DB0">
        <w:rPr>
          <w:spacing w:val="-2"/>
        </w:rPr>
        <w:t xml:space="preserve"> </w:t>
      </w:r>
      <w:r>
        <w:t xml:space="preserve">sus organizaciones, medios de comunicación públicos y privados de nivel nacional y local, comunidades educativas, magisterio, colectivos culturales y artísticos, niños, niñas, adolescentes y jóvenes, mujeres, pueblos étnicos, personas LGBTIQ+, organizaciones de Derechos Humanos, sector empresarial, sindicatos, comunidades religiosas y personas </w:t>
      </w:r>
      <w:r w:rsidRPr="005A5DB0">
        <w:rPr>
          <w:spacing w:val="-2"/>
        </w:rPr>
        <w:t>reincorporadas.</w:t>
      </w:r>
    </w:p>
    <w:p w:rsidR="0011361F" w:rsidRDefault="00AF18A5" w:rsidP="005A5DB0">
      <w:r>
        <w:t>Esta</w:t>
      </w:r>
      <w:r>
        <w:rPr>
          <w:spacing w:val="-3"/>
        </w:rPr>
        <w:t xml:space="preserve"> </w:t>
      </w:r>
      <w:r>
        <w:t>estrategia</w:t>
      </w:r>
      <w:r>
        <w:rPr>
          <w:spacing w:val="-2"/>
        </w:rPr>
        <w:t xml:space="preserve"> </w:t>
      </w:r>
      <w:r>
        <w:t>deberá</w:t>
      </w:r>
      <w:r>
        <w:rPr>
          <w:spacing w:val="-3"/>
        </w:rPr>
        <w:t xml:space="preserve"> </w:t>
      </w:r>
      <w:r>
        <w:t>contemplar,</w:t>
      </w:r>
      <w:r>
        <w:rPr>
          <w:spacing w:val="-2"/>
        </w:rPr>
        <w:t xml:space="preserve"> </w:t>
      </w:r>
      <w:r>
        <w:t>entre</w:t>
      </w:r>
      <w:r>
        <w:rPr>
          <w:spacing w:val="-2"/>
        </w:rPr>
        <w:t xml:space="preserve"> </w:t>
      </w:r>
      <w:r>
        <w:t>otras</w:t>
      </w:r>
      <w:r>
        <w:rPr>
          <w:spacing w:val="-3"/>
        </w:rPr>
        <w:t xml:space="preserve"> </w:t>
      </w:r>
      <w:r>
        <w:rPr>
          <w:spacing w:val="-2"/>
        </w:rPr>
        <w:t>acciones:</w:t>
      </w:r>
    </w:p>
    <w:p w:rsidR="003804AC" w:rsidRDefault="00AF18A5" w:rsidP="005A5DB0">
      <w:pPr>
        <w:pStyle w:val="Prrafodelista"/>
        <w:numPr>
          <w:ilvl w:val="0"/>
          <w:numId w:val="68"/>
        </w:numPr>
      </w:pPr>
      <w:r w:rsidRPr="005A5DB0">
        <w:rPr>
          <w:b/>
        </w:rPr>
        <w:t>Campañas masivas en medios de comunicación públicos y privados, y estrategias</w:t>
      </w:r>
      <w:r w:rsidRPr="005A5DB0">
        <w:rPr>
          <w:b/>
          <w:spacing w:val="-12"/>
        </w:rPr>
        <w:t xml:space="preserve"> </w:t>
      </w:r>
      <w:r w:rsidRPr="005A5DB0">
        <w:rPr>
          <w:b/>
        </w:rPr>
        <w:t>de</w:t>
      </w:r>
      <w:r w:rsidRPr="005A5DB0">
        <w:rPr>
          <w:b/>
          <w:spacing w:val="-9"/>
        </w:rPr>
        <w:t xml:space="preserve"> </w:t>
      </w:r>
      <w:r w:rsidRPr="005A5DB0">
        <w:rPr>
          <w:b/>
        </w:rPr>
        <w:t>difusión</w:t>
      </w:r>
      <w:r w:rsidRPr="005A5DB0">
        <w:rPr>
          <w:b/>
          <w:spacing w:val="-11"/>
        </w:rPr>
        <w:t xml:space="preserve"> </w:t>
      </w:r>
      <w:r>
        <w:t>territoriales</w:t>
      </w:r>
      <w:r w:rsidRPr="005A5DB0">
        <w:rPr>
          <w:spacing w:val="-12"/>
        </w:rPr>
        <w:t xml:space="preserve"> </w:t>
      </w:r>
      <w:r>
        <w:t>para</w:t>
      </w:r>
      <w:r w:rsidRPr="005A5DB0">
        <w:rPr>
          <w:spacing w:val="-9"/>
        </w:rPr>
        <w:t xml:space="preserve"> </w:t>
      </w:r>
      <w:r>
        <w:t>garantizar</w:t>
      </w:r>
      <w:r w:rsidRPr="005A5DB0">
        <w:rPr>
          <w:spacing w:val="-9"/>
        </w:rPr>
        <w:t xml:space="preserve"> </w:t>
      </w:r>
      <w:r>
        <w:t>una</w:t>
      </w:r>
      <w:r w:rsidRPr="005A5DB0">
        <w:rPr>
          <w:spacing w:val="-9"/>
        </w:rPr>
        <w:t xml:space="preserve"> </w:t>
      </w:r>
      <w:r>
        <w:t>cultura</w:t>
      </w:r>
      <w:r w:rsidRPr="005A5DB0">
        <w:rPr>
          <w:spacing w:val="-9"/>
        </w:rPr>
        <w:t xml:space="preserve"> </w:t>
      </w:r>
      <w:r>
        <w:t>de</w:t>
      </w:r>
      <w:r w:rsidRPr="005A5DB0">
        <w:rPr>
          <w:spacing w:val="-10"/>
        </w:rPr>
        <w:t xml:space="preserve"> </w:t>
      </w:r>
      <w:r>
        <w:t>respeto</w:t>
      </w:r>
      <w:r w:rsidRPr="005A5DB0">
        <w:rPr>
          <w:spacing w:val="-11"/>
        </w:rPr>
        <w:t xml:space="preserve"> </w:t>
      </w:r>
      <w:r>
        <w:t>por</w:t>
      </w:r>
      <w:r w:rsidRPr="005A5DB0">
        <w:rPr>
          <w:spacing w:val="-10"/>
        </w:rPr>
        <w:t xml:space="preserve"> </w:t>
      </w:r>
      <w:r>
        <w:t>la</w:t>
      </w:r>
      <w:r w:rsidRPr="005A5DB0">
        <w:rPr>
          <w:spacing w:val="-10"/>
        </w:rPr>
        <w:t xml:space="preserve"> </w:t>
      </w:r>
      <w:r>
        <w:t>vida que</w:t>
      </w:r>
      <w:r w:rsidRPr="005A5DB0">
        <w:rPr>
          <w:spacing w:val="-8"/>
        </w:rPr>
        <w:t xml:space="preserve"> </w:t>
      </w:r>
      <w:r>
        <w:t>contribuyan</w:t>
      </w:r>
      <w:r w:rsidRPr="005A5DB0">
        <w:rPr>
          <w:spacing w:val="-8"/>
        </w:rPr>
        <w:t xml:space="preserve"> </w:t>
      </w:r>
      <w:r>
        <w:t>a:</w:t>
      </w:r>
      <w:r w:rsidRPr="005A5DB0">
        <w:rPr>
          <w:spacing w:val="-9"/>
        </w:rPr>
        <w:t xml:space="preserve"> </w:t>
      </w:r>
      <w:r w:rsidRPr="005A5DB0">
        <w:rPr>
          <w:b/>
        </w:rPr>
        <w:t>i)</w:t>
      </w:r>
      <w:r w:rsidRPr="005A5DB0">
        <w:rPr>
          <w:b/>
          <w:spacing w:val="-9"/>
        </w:rPr>
        <w:t xml:space="preserve"> </w:t>
      </w:r>
      <w:r>
        <w:t>garantizar</w:t>
      </w:r>
      <w:r w:rsidRPr="005A5DB0">
        <w:rPr>
          <w:spacing w:val="-8"/>
        </w:rPr>
        <w:t xml:space="preserve"> </w:t>
      </w:r>
      <w:r>
        <w:t>el</w:t>
      </w:r>
      <w:r w:rsidRPr="005A5DB0">
        <w:rPr>
          <w:spacing w:val="-9"/>
        </w:rPr>
        <w:t xml:space="preserve"> </w:t>
      </w:r>
      <w:r>
        <w:t>respeto</w:t>
      </w:r>
      <w:r w:rsidRPr="005A5DB0">
        <w:rPr>
          <w:spacing w:val="-8"/>
        </w:rPr>
        <w:t xml:space="preserve"> </w:t>
      </w:r>
      <w:r>
        <w:t>de</w:t>
      </w:r>
      <w:r w:rsidRPr="005A5DB0">
        <w:rPr>
          <w:spacing w:val="-9"/>
        </w:rPr>
        <w:t xml:space="preserve"> </w:t>
      </w:r>
      <w:r>
        <w:t>la</w:t>
      </w:r>
      <w:r w:rsidRPr="005A5DB0">
        <w:rPr>
          <w:spacing w:val="-8"/>
        </w:rPr>
        <w:t xml:space="preserve"> </w:t>
      </w:r>
      <w:r>
        <w:t>diversidad,</w:t>
      </w:r>
      <w:r w:rsidRPr="005A5DB0">
        <w:rPr>
          <w:spacing w:val="-9"/>
        </w:rPr>
        <w:t xml:space="preserve"> </w:t>
      </w:r>
      <w:r>
        <w:t>la</w:t>
      </w:r>
      <w:r w:rsidRPr="005A5DB0">
        <w:rPr>
          <w:spacing w:val="-10"/>
        </w:rPr>
        <w:t xml:space="preserve"> </w:t>
      </w:r>
      <w:r>
        <w:t>diferencia</w:t>
      </w:r>
      <w:r w:rsidRPr="005A5DB0">
        <w:rPr>
          <w:spacing w:val="-8"/>
        </w:rPr>
        <w:t xml:space="preserve"> </w:t>
      </w:r>
      <w:r>
        <w:t>y</w:t>
      </w:r>
      <w:r w:rsidRPr="005A5DB0">
        <w:rPr>
          <w:spacing w:val="-9"/>
        </w:rPr>
        <w:t xml:space="preserve"> </w:t>
      </w:r>
      <w:r>
        <w:t>la</w:t>
      </w:r>
      <w:r w:rsidRPr="005A5DB0">
        <w:rPr>
          <w:spacing w:val="-8"/>
        </w:rPr>
        <w:t xml:space="preserve"> </w:t>
      </w:r>
      <w:r>
        <w:t>igualdad de</w:t>
      </w:r>
      <w:r w:rsidRPr="005A5DB0">
        <w:rPr>
          <w:spacing w:val="-11"/>
        </w:rPr>
        <w:t xml:space="preserve"> </w:t>
      </w:r>
      <w:r>
        <w:t>dignidades,</w:t>
      </w:r>
      <w:r w:rsidRPr="005A5DB0">
        <w:rPr>
          <w:spacing w:val="-11"/>
        </w:rPr>
        <w:t xml:space="preserve"> </w:t>
      </w:r>
      <w:r>
        <w:t>que</w:t>
      </w:r>
      <w:r w:rsidRPr="005A5DB0">
        <w:rPr>
          <w:spacing w:val="-11"/>
        </w:rPr>
        <w:t xml:space="preserve"> </w:t>
      </w:r>
      <w:r>
        <w:t>incluya</w:t>
      </w:r>
      <w:r w:rsidRPr="005A5DB0">
        <w:rPr>
          <w:spacing w:val="-11"/>
        </w:rPr>
        <w:t xml:space="preserve"> </w:t>
      </w:r>
      <w:r>
        <w:t>la</w:t>
      </w:r>
      <w:r w:rsidRPr="005A5DB0">
        <w:rPr>
          <w:spacing w:val="-11"/>
        </w:rPr>
        <w:t xml:space="preserve"> </w:t>
      </w:r>
      <w:r>
        <w:t>igualdad</w:t>
      </w:r>
      <w:r w:rsidRPr="005A5DB0">
        <w:rPr>
          <w:spacing w:val="-12"/>
        </w:rPr>
        <w:t xml:space="preserve"> </w:t>
      </w:r>
      <w:r>
        <w:t>de</w:t>
      </w:r>
      <w:r w:rsidRPr="005A5DB0">
        <w:rPr>
          <w:spacing w:val="-11"/>
        </w:rPr>
        <w:t xml:space="preserve"> </w:t>
      </w:r>
      <w:r>
        <w:t>género</w:t>
      </w:r>
      <w:r w:rsidRPr="005A5DB0">
        <w:rPr>
          <w:spacing w:val="-11"/>
        </w:rPr>
        <w:t xml:space="preserve"> </w:t>
      </w:r>
      <w:r>
        <w:t>y</w:t>
      </w:r>
      <w:r w:rsidRPr="005A5DB0">
        <w:rPr>
          <w:spacing w:val="-11"/>
        </w:rPr>
        <w:t xml:space="preserve"> </w:t>
      </w:r>
      <w:r>
        <w:t>el</w:t>
      </w:r>
      <w:r w:rsidRPr="005A5DB0">
        <w:rPr>
          <w:spacing w:val="-10"/>
        </w:rPr>
        <w:t xml:space="preserve"> </w:t>
      </w:r>
      <w:r>
        <w:t>reconocimiento</w:t>
      </w:r>
      <w:r w:rsidRPr="005A5DB0">
        <w:rPr>
          <w:spacing w:val="-11"/>
        </w:rPr>
        <w:t xml:space="preserve"> </w:t>
      </w:r>
      <w:r>
        <w:t>de</w:t>
      </w:r>
      <w:r w:rsidRPr="005A5DB0">
        <w:rPr>
          <w:spacing w:val="-11"/>
        </w:rPr>
        <w:t xml:space="preserve"> </w:t>
      </w:r>
      <w:r>
        <w:t>la</w:t>
      </w:r>
      <w:r w:rsidRPr="005A5DB0">
        <w:rPr>
          <w:spacing w:val="-12"/>
        </w:rPr>
        <w:t xml:space="preserve"> </w:t>
      </w:r>
      <w:r>
        <w:t xml:space="preserve">diversidad étnica; </w:t>
      </w:r>
      <w:proofErr w:type="spellStart"/>
      <w:r w:rsidRPr="005A5DB0">
        <w:rPr>
          <w:b/>
        </w:rPr>
        <w:t>ii</w:t>
      </w:r>
      <w:proofErr w:type="spellEnd"/>
      <w:r w:rsidRPr="005A5DB0">
        <w:rPr>
          <w:b/>
        </w:rPr>
        <w:t xml:space="preserve">) </w:t>
      </w:r>
      <w:r>
        <w:t>visibilizar la magnitud de los impactos del conflicto armado y el valor de las</w:t>
      </w:r>
      <w:r w:rsidRPr="005A5DB0">
        <w:rPr>
          <w:spacing w:val="-15"/>
        </w:rPr>
        <w:t xml:space="preserve"> </w:t>
      </w:r>
      <w:r>
        <w:t>resistencias,</w:t>
      </w:r>
      <w:r w:rsidRPr="005A5DB0">
        <w:rPr>
          <w:spacing w:val="-15"/>
        </w:rPr>
        <w:t xml:space="preserve"> </w:t>
      </w:r>
      <w:r>
        <w:t>con</w:t>
      </w:r>
      <w:r w:rsidRPr="005A5DB0">
        <w:rPr>
          <w:spacing w:val="-14"/>
        </w:rPr>
        <w:t xml:space="preserve"> </w:t>
      </w:r>
      <w:r>
        <w:t>perspectiva</w:t>
      </w:r>
      <w:r w:rsidRPr="005A5DB0">
        <w:rPr>
          <w:spacing w:val="-14"/>
        </w:rPr>
        <w:t xml:space="preserve"> </w:t>
      </w:r>
      <w:r>
        <w:t>diferencial</w:t>
      </w:r>
      <w:r w:rsidRPr="005A5DB0">
        <w:rPr>
          <w:spacing w:val="-15"/>
        </w:rPr>
        <w:t xml:space="preserve"> </w:t>
      </w:r>
      <w:r>
        <w:t>e</w:t>
      </w:r>
      <w:r w:rsidRPr="005A5DB0">
        <w:rPr>
          <w:spacing w:val="-15"/>
        </w:rPr>
        <w:t xml:space="preserve"> </w:t>
      </w:r>
      <w:proofErr w:type="spellStart"/>
      <w:r>
        <w:t>interseccional</w:t>
      </w:r>
      <w:proofErr w:type="spellEnd"/>
      <w:r>
        <w:t>;</w:t>
      </w:r>
      <w:r w:rsidRPr="005A5DB0">
        <w:rPr>
          <w:spacing w:val="-15"/>
        </w:rPr>
        <w:t xml:space="preserve"> </w:t>
      </w:r>
      <w:proofErr w:type="spellStart"/>
      <w:r w:rsidRPr="005A5DB0">
        <w:rPr>
          <w:b/>
        </w:rPr>
        <w:t>iii</w:t>
      </w:r>
      <w:proofErr w:type="spellEnd"/>
      <w:r w:rsidRPr="005A5DB0">
        <w:rPr>
          <w:b/>
        </w:rPr>
        <w:t>)</w:t>
      </w:r>
      <w:r w:rsidRPr="005A5DB0">
        <w:rPr>
          <w:b/>
          <w:spacing w:val="-15"/>
        </w:rPr>
        <w:t xml:space="preserve"> </w:t>
      </w:r>
      <w:r>
        <w:t>superar</w:t>
      </w:r>
      <w:r w:rsidRPr="005A5DB0">
        <w:rPr>
          <w:spacing w:val="-15"/>
        </w:rPr>
        <w:t xml:space="preserve"> </w:t>
      </w:r>
      <w:r>
        <w:t>las</w:t>
      </w:r>
      <w:r w:rsidRPr="005A5DB0">
        <w:rPr>
          <w:spacing w:val="-15"/>
        </w:rPr>
        <w:t xml:space="preserve"> </w:t>
      </w:r>
      <w:r>
        <w:t xml:space="preserve">violencias estructurales (racismo y el patriarcado) y </w:t>
      </w:r>
      <w:proofErr w:type="spellStart"/>
      <w:r w:rsidRPr="005A5DB0">
        <w:rPr>
          <w:b/>
        </w:rPr>
        <w:t>iv</w:t>
      </w:r>
      <w:proofErr w:type="spellEnd"/>
      <w:r w:rsidRPr="005A5DB0">
        <w:rPr>
          <w:b/>
        </w:rPr>
        <w:t xml:space="preserve">) </w:t>
      </w:r>
      <w:r>
        <w:t>y rechazar la violencia armada, para enfrentar su naturalización.</w:t>
      </w:r>
    </w:p>
    <w:p w:rsidR="0011361F" w:rsidRPr="0089037F" w:rsidRDefault="00AF18A5" w:rsidP="0089037F">
      <w:pPr>
        <w:pStyle w:val="Prrafodelista"/>
        <w:numPr>
          <w:ilvl w:val="0"/>
          <w:numId w:val="68"/>
        </w:numPr>
      </w:pPr>
      <w:r>
        <w:t xml:space="preserve">El desarrollo de </w:t>
      </w:r>
      <w:r w:rsidRPr="005A5DB0">
        <w:rPr>
          <w:b/>
        </w:rPr>
        <w:t>espacios seguros de encuentro</w:t>
      </w:r>
      <w:r w:rsidRPr="005A5DB0">
        <w:rPr>
          <w:b/>
          <w:spacing w:val="-1"/>
        </w:rPr>
        <w:t xml:space="preserve"> </w:t>
      </w:r>
      <w:r>
        <w:t>entre personas de diferentes sectores,</w:t>
      </w:r>
      <w:r w:rsidRPr="005A5DB0">
        <w:rPr>
          <w:spacing w:val="-11"/>
        </w:rPr>
        <w:t xml:space="preserve"> </w:t>
      </w:r>
      <w:r>
        <w:t>en</w:t>
      </w:r>
      <w:r w:rsidRPr="005A5DB0">
        <w:rPr>
          <w:spacing w:val="-13"/>
        </w:rPr>
        <w:t xml:space="preserve"> </w:t>
      </w:r>
      <w:r>
        <w:t>los</w:t>
      </w:r>
      <w:r w:rsidRPr="005A5DB0">
        <w:rPr>
          <w:spacing w:val="-11"/>
        </w:rPr>
        <w:t xml:space="preserve"> </w:t>
      </w:r>
      <w:r>
        <w:t>que</w:t>
      </w:r>
      <w:r w:rsidRPr="005A5DB0">
        <w:rPr>
          <w:spacing w:val="-11"/>
        </w:rPr>
        <w:t xml:space="preserve"> </w:t>
      </w:r>
      <w:r>
        <w:t>se</w:t>
      </w:r>
      <w:r w:rsidRPr="005A5DB0">
        <w:rPr>
          <w:spacing w:val="-11"/>
        </w:rPr>
        <w:t xml:space="preserve"> </w:t>
      </w:r>
      <w:r>
        <w:t>promuevan</w:t>
      </w:r>
      <w:r w:rsidRPr="005A5DB0">
        <w:rPr>
          <w:spacing w:val="-11"/>
        </w:rPr>
        <w:t xml:space="preserve"> </w:t>
      </w:r>
      <w:r>
        <w:t>el</w:t>
      </w:r>
      <w:r w:rsidRPr="005A5DB0">
        <w:rPr>
          <w:spacing w:val="-12"/>
        </w:rPr>
        <w:t xml:space="preserve"> </w:t>
      </w:r>
      <w:r>
        <w:t>respeto,</w:t>
      </w:r>
      <w:r w:rsidRPr="005A5DB0">
        <w:rPr>
          <w:spacing w:val="-12"/>
        </w:rPr>
        <w:t xml:space="preserve"> </w:t>
      </w:r>
      <w:r>
        <w:t>la</w:t>
      </w:r>
      <w:r w:rsidRPr="005A5DB0">
        <w:rPr>
          <w:spacing w:val="-12"/>
        </w:rPr>
        <w:t xml:space="preserve"> </w:t>
      </w:r>
      <w:r>
        <w:t>igualdad</w:t>
      </w:r>
      <w:r w:rsidRPr="005A5DB0">
        <w:rPr>
          <w:spacing w:val="-11"/>
        </w:rPr>
        <w:t xml:space="preserve"> </w:t>
      </w:r>
      <w:r>
        <w:t>de</w:t>
      </w:r>
      <w:r w:rsidRPr="005A5DB0">
        <w:rPr>
          <w:spacing w:val="-12"/>
        </w:rPr>
        <w:t xml:space="preserve"> </w:t>
      </w:r>
      <w:r>
        <w:t>dignidades,</w:t>
      </w:r>
      <w:r w:rsidRPr="005A5DB0">
        <w:rPr>
          <w:spacing w:val="-12"/>
        </w:rPr>
        <w:t xml:space="preserve"> </w:t>
      </w:r>
      <w:r>
        <w:t>la</w:t>
      </w:r>
      <w:r w:rsidRPr="005A5DB0">
        <w:rPr>
          <w:spacing w:val="-12"/>
        </w:rPr>
        <w:t xml:space="preserve"> </w:t>
      </w:r>
      <w:r>
        <w:t>diversidad, la</w:t>
      </w:r>
      <w:r w:rsidRPr="005A5DB0">
        <w:rPr>
          <w:spacing w:val="1"/>
        </w:rPr>
        <w:t xml:space="preserve"> </w:t>
      </w:r>
      <w:r>
        <w:t>capacidad</w:t>
      </w:r>
      <w:r w:rsidRPr="005A5DB0">
        <w:rPr>
          <w:spacing w:val="2"/>
        </w:rPr>
        <w:t xml:space="preserve"> </w:t>
      </w:r>
      <w:r>
        <w:t>de</w:t>
      </w:r>
      <w:r w:rsidRPr="005A5DB0">
        <w:rPr>
          <w:spacing w:val="4"/>
        </w:rPr>
        <w:t xml:space="preserve"> </w:t>
      </w:r>
      <w:r>
        <w:t>diálogo</w:t>
      </w:r>
      <w:r w:rsidRPr="005A5DB0">
        <w:rPr>
          <w:spacing w:val="2"/>
        </w:rPr>
        <w:t xml:space="preserve"> </w:t>
      </w:r>
      <w:r>
        <w:t>y</w:t>
      </w:r>
      <w:r w:rsidRPr="005A5DB0">
        <w:rPr>
          <w:spacing w:val="2"/>
        </w:rPr>
        <w:t xml:space="preserve"> </w:t>
      </w:r>
      <w:r>
        <w:t>deliberación</w:t>
      </w:r>
      <w:r w:rsidRPr="005A5DB0">
        <w:rPr>
          <w:spacing w:val="3"/>
        </w:rPr>
        <w:t xml:space="preserve"> </w:t>
      </w:r>
      <w:r>
        <w:t>argumentada</w:t>
      </w:r>
      <w:r w:rsidRPr="005A5DB0">
        <w:rPr>
          <w:spacing w:val="4"/>
        </w:rPr>
        <w:t xml:space="preserve"> </w:t>
      </w:r>
      <w:r>
        <w:t>y</w:t>
      </w:r>
      <w:r w:rsidRPr="005A5DB0">
        <w:rPr>
          <w:spacing w:val="3"/>
        </w:rPr>
        <w:t xml:space="preserve"> </w:t>
      </w:r>
      <w:r>
        <w:t>que,</w:t>
      </w:r>
      <w:r w:rsidRPr="005A5DB0">
        <w:rPr>
          <w:spacing w:val="2"/>
        </w:rPr>
        <w:t xml:space="preserve"> </w:t>
      </w:r>
      <w:r>
        <w:t>por</w:t>
      </w:r>
      <w:r w:rsidRPr="005A5DB0">
        <w:rPr>
          <w:spacing w:val="4"/>
        </w:rPr>
        <w:t xml:space="preserve"> </w:t>
      </w:r>
      <w:r>
        <w:t>esta</w:t>
      </w:r>
      <w:r w:rsidRPr="005A5DB0">
        <w:rPr>
          <w:spacing w:val="4"/>
        </w:rPr>
        <w:t xml:space="preserve"> </w:t>
      </w:r>
      <w:r>
        <w:t>vía,</w:t>
      </w:r>
      <w:r w:rsidRPr="005A5DB0">
        <w:rPr>
          <w:spacing w:val="3"/>
        </w:rPr>
        <w:t xml:space="preserve"> </w:t>
      </w:r>
      <w:r w:rsidRPr="005A5DB0">
        <w:rPr>
          <w:spacing w:val="-2"/>
        </w:rPr>
        <w:t>contribuyan</w:t>
      </w:r>
      <w:bookmarkStart w:id="1691" w:name="_bookmark1459"/>
      <w:bookmarkEnd w:id="1691"/>
      <w:r w:rsidR="0089037F">
        <w:rPr>
          <w:spacing w:val="-2"/>
        </w:rPr>
        <w:t xml:space="preserve"> </w:t>
      </w:r>
      <w:r>
        <w:t>a:</w:t>
      </w:r>
      <w:r w:rsidRPr="0089037F">
        <w:rPr>
          <w:spacing w:val="40"/>
        </w:rPr>
        <w:t xml:space="preserve"> </w:t>
      </w:r>
      <w:r w:rsidRPr="0089037F">
        <w:rPr>
          <w:b/>
        </w:rPr>
        <w:t>i)</w:t>
      </w:r>
      <w:r w:rsidRPr="0089037F">
        <w:rPr>
          <w:b/>
          <w:spacing w:val="39"/>
        </w:rPr>
        <w:t xml:space="preserve"> </w:t>
      </w:r>
      <w:r>
        <w:lastRenderedPageBreak/>
        <w:t>transformar</w:t>
      </w:r>
      <w:r w:rsidRPr="0089037F">
        <w:rPr>
          <w:spacing w:val="40"/>
        </w:rPr>
        <w:t xml:space="preserve"> </w:t>
      </w:r>
      <w:r>
        <w:t>narrativas</w:t>
      </w:r>
      <w:r w:rsidRPr="0089037F">
        <w:rPr>
          <w:spacing w:val="40"/>
        </w:rPr>
        <w:t xml:space="preserve"> </w:t>
      </w:r>
      <w:r>
        <w:t>de</w:t>
      </w:r>
      <w:r w:rsidRPr="0089037F">
        <w:rPr>
          <w:spacing w:val="40"/>
        </w:rPr>
        <w:t xml:space="preserve"> </w:t>
      </w:r>
      <w:r>
        <w:t>enemistad,</w:t>
      </w:r>
      <w:r w:rsidRPr="0089037F">
        <w:rPr>
          <w:spacing w:val="40"/>
        </w:rPr>
        <w:t xml:space="preserve"> </w:t>
      </w:r>
      <w:r>
        <w:t>discriminación</w:t>
      </w:r>
      <w:r w:rsidRPr="0089037F">
        <w:rPr>
          <w:spacing w:val="38"/>
        </w:rPr>
        <w:t xml:space="preserve"> </w:t>
      </w:r>
      <w:r>
        <w:t>y</w:t>
      </w:r>
      <w:r w:rsidRPr="0089037F">
        <w:rPr>
          <w:spacing w:val="40"/>
        </w:rPr>
        <w:t xml:space="preserve"> </w:t>
      </w:r>
      <w:r>
        <w:t>estigmatización;</w:t>
      </w:r>
      <w:r w:rsidRPr="0089037F">
        <w:rPr>
          <w:spacing w:val="40"/>
        </w:rPr>
        <w:t xml:space="preserve"> </w:t>
      </w:r>
      <w:r>
        <w:t>y</w:t>
      </w:r>
      <w:r w:rsidRPr="0089037F">
        <w:rPr>
          <w:spacing w:val="39"/>
        </w:rPr>
        <w:t xml:space="preserve"> </w:t>
      </w:r>
      <w:proofErr w:type="spellStart"/>
      <w:r w:rsidRPr="0089037F">
        <w:rPr>
          <w:b/>
          <w:spacing w:val="-5"/>
        </w:rPr>
        <w:t>ii</w:t>
      </w:r>
      <w:proofErr w:type="spellEnd"/>
      <w:r w:rsidRPr="0089037F">
        <w:rPr>
          <w:b/>
          <w:spacing w:val="-5"/>
        </w:rPr>
        <w:t>)</w:t>
      </w:r>
      <w:r w:rsidR="0089037F" w:rsidRPr="0089037F">
        <w:rPr>
          <w:b/>
        </w:rPr>
        <w:t xml:space="preserve"> </w:t>
      </w:r>
      <w:r>
        <w:t>superar</w:t>
      </w:r>
      <w:r w:rsidRPr="0089037F">
        <w:rPr>
          <w:spacing w:val="-2"/>
        </w:rPr>
        <w:t xml:space="preserve"> </w:t>
      </w:r>
      <w:r>
        <w:t>los</w:t>
      </w:r>
      <w:r w:rsidRPr="0089037F">
        <w:rPr>
          <w:spacing w:val="-1"/>
        </w:rPr>
        <w:t xml:space="preserve"> </w:t>
      </w:r>
      <w:r>
        <w:t>dogmatismos,</w:t>
      </w:r>
      <w:r w:rsidRPr="0089037F">
        <w:rPr>
          <w:spacing w:val="-3"/>
        </w:rPr>
        <w:t xml:space="preserve"> </w:t>
      </w:r>
      <w:r>
        <w:t>intolerancias</w:t>
      </w:r>
      <w:r w:rsidRPr="0089037F">
        <w:rPr>
          <w:spacing w:val="-1"/>
        </w:rPr>
        <w:t xml:space="preserve"> </w:t>
      </w:r>
      <w:r>
        <w:t>y</w:t>
      </w:r>
      <w:r w:rsidRPr="0089037F">
        <w:rPr>
          <w:spacing w:val="-1"/>
        </w:rPr>
        <w:t xml:space="preserve"> </w:t>
      </w:r>
      <w:r>
        <w:t>«odios</w:t>
      </w:r>
      <w:r w:rsidRPr="0089037F">
        <w:rPr>
          <w:spacing w:val="-1"/>
        </w:rPr>
        <w:t xml:space="preserve"> </w:t>
      </w:r>
      <w:r w:rsidRPr="0089037F">
        <w:rPr>
          <w:spacing w:val="-2"/>
        </w:rPr>
        <w:t>políticos».</w:t>
      </w:r>
    </w:p>
    <w:p w:rsidR="003804AC" w:rsidRDefault="00AF18A5" w:rsidP="0089037F">
      <w:pPr>
        <w:pStyle w:val="Prrafodelista"/>
        <w:numPr>
          <w:ilvl w:val="0"/>
          <w:numId w:val="68"/>
        </w:numPr>
      </w:pPr>
      <w:r>
        <w:t xml:space="preserve">Llevar a cabo estrategias de pedagogía y sensibilización con </w:t>
      </w:r>
      <w:r w:rsidRPr="0089037F">
        <w:rPr>
          <w:b/>
        </w:rPr>
        <w:t xml:space="preserve">medios de comunicación y funcionarios públicos </w:t>
      </w:r>
      <w:r>
        <w:t xml:space="preserve">para garantizar que sus mensajes públicos no sean </w:t>
      </w:r>
      <w:proofErr w:type="spellStart"/>
      <w:r>
        <w:t>estigmatizantes</w:t>
      </w:r>
      <w:proofErr w:type="spellEnd"/>
      <w:r>
        <w:t xml:space="preserve"> o discriminatorios.</w:t>
      </w:r>
    </w:p>
    <w:p w:rsidR="003804AC" w:rsidRPr="0089037F" w:rsidRDefault="00AF18A5" w:rsidP="0089037F">
      <w:pPr>
        <w:pStyle w:val="Prrafodelista"/>
        <w:numPr>
          <w:ilvl w:val="0"/>
          <w:numId w:val="68"/>
        </w:numPr>
        <w:rPr>
          <w:rFonts w:ascii="Calibri" w:hAnsi="Calibri"/>
        </w:rPr>
      </w:pPr>
      <w:r>
        <w:t xml:space="preserve">Medidas para garantizar el </w:t>
      </w:r>
      <w:r w:rsidRPr="0089037F">
        <w:rPr>
          <w:b/>
        </w:rPr>
        <w:t xml:space="preserve">cumplimiento de los compromisos internacionales y la normatividad nacional </w:t>
      </w:r>
      <w:r>
        <w:t>en materia de lucha contra el racismo y la discriminación,</w:t>
      </w:r>
    </w:p>
    <w:p w:rsidR="003804AC" w:rsidRPr="0089037F" w:rsidRDefault="00AF18A5" w:rsidP="0089037F">
      <w:pPr>
        <w:pStyle w:val="Prrafodelista"/>
        <w:numPr>
          <w:ilvl w:val="0"/>
          <w:numId w:val="68"/>
        </w:numPr>
        <w:rPr>
          <w:rFonts w:ascii="Calibri" w:hAnsi="Calibri"/>
        </w:rPr>
      </w:pPr>
      <w:r>
        <w:t xml:space="preserve">Medidas para acompañar y fortalecer técnica y financieramente </w:t>
      </w:r>
      <w:r w:rsidRPr="0089037F">
        <w:rPr>
          <w:b/>
        </w:rPr>
        <w:t xml:space="preserve">las organizaciones y colectivos culturales y artísticos </w:t>
      </w:r>
      <w:r>
        <w:t>a nivel territorial, respetando su autonomía, cualificando sus liderazgos y consolidando redes de apoyo gubernamentales y no gubernamentales, incluyendo al sector empresarial.</w:t>
      </w:r>
    </w:p>
    <w:p w:rsidR="003804AC" w:rsidRDefault="0089037F" w:rsidP="0089037F">
      <w:pPr>
        <w:pStyle w:val="Ttulo3"/>
      </w:pPr>
      <w:bookmarkStart w:id="1692" w:name="8.3._Contribuciones_a_la_cultura_para_la"/>
      <w:bookmarkStart w:id="1693" w:name="_Toc112399725"/>
      <w:bookmarkEnd w:id="1692"/>
      <w:r>
        <w:t xml:space="preserve">8.3. </w:t>
      </w:r>
      <w:r w:rsidR="00AF18A5">
        <w:t xml:space="preserve">Contribuciones a la </w:t>
      </w:r>
      <w:r w:rsidR="00AF18A5" w:rsidRPr="0089037F">
        <w:t>cultura</w:t>
      </w:r>
      <w:r w:rsidR="00AF18A5">
        <w:t xml:space="preserve"> para la paz desde medios de comunicación y comunidades de fe</w:t>
      </w:r>
      <w:bookmarkEnd w:id="1693"/>
    </w:p>
    <w:p w:rsidR="0011361F" w:rsidRDefault="00AF18A5" w:rsidP="0089037F">
      <w:r>
        <w:t>Corto</w:t>
      </w:r>
      <w:r>
        <w:rPr>
          <w:spacing w:val="-1"/>
        </w:rPr>
        <w:t xml:space="preserve"> </w:t>
      </w:r>
      <w:r>
        <w:rPr>
          <w:spacing w:val="-2"/>
        </w:rPr>
        <w:t>plazo</w:t>
      </w:r>
    </w:p>
    <w:p w:rsidR="003804AC" w:rsidRPr="0089037F" w:rsidRDefault="00AF18A5" w:rsidP="0089037F">
      <w:pPr>
        <w:pStyle w:val="Prrafodelista"/>
        <w:numPr>
          <w:ilvl w:val="0"/>
          <w:numId w:val="31"/>
        </w:numPr>
        <w:rPr>
          <w:b/>
        </w:rPr>
      </w:pPr>
      <w:r>
        <w:t xml:space="preserve">A los medios de comunicación públicos, privados, alternativos y comunitarios e instituciones educativas con programas de comunicación social, llevar a cabo un </w:t>
      </w:r>
      <w:r w:rsidRPr="0089037F">
        <w:rPr>
          <w:b/>
        </w:rPr>
        <w:t xml:space="preserve">diálogo nacional </w:t>
      </w:r>
      <w:r>
        <w:t>para definir estrategias que permitan fortalecer el papel de los medios de comunicación y el oficio periodístico en la construcción de una cultura para la paz y en la garantía del derecho a la información como parte del derecho a la verdad.</w:t>
      </w:r>
    </w:p>
    <w:p w:rsidR="0011361F" w:rsidRDefault="00AF18A5" w:rsidP="0089037F">
      <w:r>
        <w:t>Corto</w:t>
      </w:r>
      <w:r>
        <w:rPr>
          <w:spacing w:val="-1"/>
        </w:rPr>
        <w:t xml:space="preserve"> </w:t>
      </w:r>
      <w:r>
        <w:rPr>
          <w:spacing w:val="-2"/>
        </w:rPr>
        <w:t>plazo</w:t>
      </w:r>
    </w:p>
    <w:p w:rsidR="0089037F" w:rsidRDefault="00AF18A5" w:rsidP="0089037F">
      <w:pPr>
        <w:pStyle w:val="Prrafodelista"/>
        <w:numPr>
          <w:ilvl w:val="0"/>
          <w:numId w:val="31"/>
        </w:numPr>
      </w:pPr>
      <w:r w:rsidRPr="0089037F">
        <w:rPr>
          <w:spacing w:val="-2"/>
        </w:rPr>
        <w:lastRenderedPageBreak/>
        <w:t>A</w:t>
      </w:r>
      <w:r w:rsidRPr="0089037F">
        <w:rPr>
          <w:spacing w:val="-6"/>
        </w:rPr>
        <w:t xml:space="preserve"> </w:t>
      </w:r>
      <w:r w:rsidRPr="0089037F">
        <w:rPr>
          <w:spacing w:val="-2"/>
        </w:rPr>
        <w:t>las</w:t>
      </w:r>
      <w:r w:rsidRPr="0089037F">
        <w:rPr>
          <w:spacing w:val="-6"/>
        </w:rPr>
        <w:t xml:space="preserve"> </w:t>
      </w:r>
      <w:r w:rsidRPr="0089037F">
        <w:rPr>
          <w:spacing w:val="-2"/>
        </w:rPr>
        <w:t>iglesias,</w:t>
      </w:r>
      <w:r w:rsidRPr="0089037F">
        <w:rPr>
          <w:spacing w:val="-7"/>
        </w:rPr>
        <w:t xml:space="preserve"> </w:t>
      </w:r>
      <w:r w:rsidRPr="0089037F">
        <w:rPr>
          <w:spacing w:val="-2"/>
        </w:rPr>
        <w:t>comunidades</w:t>
      </w:r>
      <w:r w:rsidRPr="0089037F">
        <w:rPr>
          <w:spacing w:val="-7"/>
        </w:rPr>
        <w:t xml:space="preserve"> </w:t>
      </w:r>
      <w:r w:rsidRPr="0089037F">
        <w:rPr>
          <w:spacing w:val="-2"/>
        </w:rPr>
        <w:t>religiosas</w:t>
      </w:r>
      <w:r w:rsidRPr="0089037F">
        <w:rPr>
          <w:spacing w:val="-6"/>
        </w:rPr>
        <w:t xml:space="preserve"> </w:t>
      </w:r>
      <w:r w:rsidRPr="0089037F">
        <w:rPr>
          <w:spacing w:val="-2"/>
        </w:rPr>
        <w:t>y</w:t>
      </w:r>
      <w:r w:rsidRPr="0089037F">
        <w:rPr>
          <w:spacing w:val="-6"/>
        </w:rPr>
        <w:t xml:space="preserve"> </w:t>
      </w:r>
      <w:r w:rsidRPr="0089037F">
        <w:rPr>
          <w:spacing w:val="-2"/>
        </w:rPr>
        <w:t>comunidades</w:t>
      </w:r>
      <w:r w:rsidRPr="0089037F">
        <w:rPr>
          <w:spacing w:val="-6"/>
        </w:rPr>
        <w:t xml:space="preserve"> </w:t>
      </w:r>
      <w:r w:rsidRPr="0089037F">
        <w:rPr>
          <w:spacing w:val="-2"/>
        </w:rPr>
        <w:t>de</w:t>
      </w:r>
      <w:r w:rsidRPr="0089037F">
        <w:rPr>
          <w:spacing w:val="-6"/>
        </w:rPr>
        <w:t xml:space="preserve"> </w:t>
      </w:r>
      <w:r w:rsidRPr="0089037F">
        <w:rPr>
          <w:spacing w:val="-2"/>
        </w:rPr>
        <w:t>fe</w:t>
      </w:r>
      <w:r w:rsidRPr="0089037F">
        <w:rPr>
          <w:spacing w:val="-6"/>
        </w:rPr>
        <w:t xml:space="preserve"> </w:t>
      </w:r>
      <w:r w:rsidRPr="0089037F">
        <w:rPr>
          <w:spacing w:val="-2"/>
        </w:rPr>
        <w:t>promover</w:t>
      </w:r>
      <w:r w:rsidRPr="0089037F">
        <w:rPr>
          <w:spacing w:val="-7"/>
        </w:rPr>
        <w:t xml:space="preserve"> </w:t>
      </w:r>
      <w:r w:rsidRPr="0089037F">
        <w:rPr>
          <w:spacing w:val="-2"/>
        </w:rPr>
        <w:t>desde</w:t>
      </w:r>
      <w:r w:rsidRPr="0089037F">
        <w:rPr>
          <w:spacing w:val="-6"/>
        </w:rPr>
        <w:t xml:space="preserve"> </w:t>
      </w:r>
      <w:r w:rsidRPr="0089037F">
        <w:rPr>
          <w:spacing w:val="-2"/>
        </w:rPr>
        <w:t>su</w:t>
      </w:r>
      <w:r w:rsidRPr="0089037F">
        <w:rPr>
          <w:spacing w:val="-6"/>
        </w:rPr>
        <w:t xml:space="preserve"> </w:t>
      </w:r>
      <w:r w:rsidRPr="0089037F">
        <w:rPr>
          <w:spacing w:val="-2"/>
        </w:rPr>
        <w:t xml:space="preserve">prédica, </w:t>
      </w:r>
      <w:r>
        <w:t>congregaciones</w:t>
      </w:r>
      <w:r w:rsidRPr="0089037F">
        <w:rPr>
          <w:spacing w:val="-3"/>
        </w:rPr>
        <w:t xml:space="preserve"> </w:t>
      </w:r>
      <w:r>
        <w:t>e</w:t>
      </w:r>
      <w:r w:rsidRPr="0089037F">
        <w:rPr>
          <w:spacing w:val="-4"/>
        </w:rPr>
        <w:t xml:space="preserve"> </w:t>
      </w:r>
      <w:r>
        <w:t>instituciones</w:t>
      </w:r>
      <w:r w:rsidRPr="0089037F">
        <w:rPr>
          <w:spacing w:val="-4"/>
        </w:rPr>
        <w:t xml:space="preserve"> </w:t>
      </w:r>
      <w:r>
        <w:t>educativas,</w:t>
      </w:r>
      <w:r w:rsidRPr="0089037F">
        <w:rPr>
          <w:spacing w:val="-4"/>
        </w:rPr>
        <w:t xml:space="preserve"> </w:t>
      </w:r>
      <w:r>
        <w:t>narrativas</w:t>
      </w:r>
      <w:r w:rsidRPr="0089037F">
        <w:rPr>
          <w:spacing w:val="-4"/>
        </w:rPr>
        <w:t xml:space="preserve"> </w:t>
      </w:r>
      <w:r>
        <w:t>y</w:t>
      </w:r>
      <w:r w:rsidRPr="0089037F">
        <w:rPr>
          <w:spacing w:val="-3"/>
        </w:rPr>
        <w:t xml:space="preserve"> </w:t>
      </w:r>
      <w:r>
        <w:t>prácticas</w:t>
      </w:r>
      <w:r w:rsidRPr="0089037F">
        <w:rPr>
          <w:spacing w:val="-3"/>
        </w:rPr>
        <w:t xml:space="preserve"> </w:t>
      </w:r>
      <w:r>
        <w:t>que</w:t>
      </w:r>
      <w:r w:rsidRPr="0089037F">
        <w:rPr>
          <w:spacing w:val="-3"/>
        </w:rPr>
        <w:t xml:space="preserve"> </w:t>
      </w:r>
      <w:r>
        <w:t>fomenten</w:t>
      </w:r>
      <w:r w:rsidRPr="0089037F">
        <w:rPr>
          <w:spacing w:val="-5"/>
        </w:rPr>
        <w:t xml:space="preserve"> </w:t>
      </w:r>
      <w:r>
        <w:t>el</w:t>
      </w:r>
      <w:r w:rsidRPr="0089037F">
        <w:rPr>
          <w:spacing w:val="-3"/>
        </w:rPr>
        <w:t xml:space="preserve"> </w:t>
      </w:r>
      <w:r>
        <w:t>valor</w:t>
      </w:r>
      <w:r w:rsidRPr="0089037F">
        <w:rPr>
          <w:spacing w:val="-3"/>
        </w:rPr>
        <w:t xml:space="preserve"> </w:t>
      </w:r>
      <w:r>
        <w:t>de</w:t>
      </w:r>
      <w:r w:rsidRPr="0089037F">
        <w:rPr>
          <w:spacing w:val="-4"/>
        </w:rPr>
        <w:t xml:space="preserve"> </w:t>
      </w:r>
      <w:r>
        <w:t>la dignidad</w:t>
      </w:r>
      <w:r w:rsidRPr="0089037F">
        <w:rPr>
          <w:spacing w:val="-7"/>
        </w:rPr>
        <w:t xml:space="preserve"> </w:t>
      </w:r>
      <w:r>
        <w:t>de</w:t>
      </w:r>
      <w:r w:rsidRPr="0089037F">
        <w:rPr>
          <w:spacing w:val="-8"/>
        </w:rPr>
        <w:t xml:space="preserve"> </w:t>
      </w:r>
      <w:r>
        <w:t>las</w:t>
      </w:r>
      <w:r w:rsidRPr="0089037F">
        <w:rPr>
          <w:spacing w:val="-7"/>
        </w:rPr>
        <w:t xml:space="preserve"> </w:t>
      </w:r>
      <w:r>
        <w:t>personas,</w:t>
      </w:r>
      <w:r w:rsidRPr="0089037F">
        <w:rPr>
          <w:spacing w:val="-8"/>
        </w:rPr>
        <w:t xml:space="preserve"> </w:t>
      </w:r>
      <w:r>
        <w:t>el</w:t>
      </w:r>
      <w:r w:rsidRPr="0089037F">
        <w:rPr>
          <w:spacing w:val="-7"/>
        </w:rPr>
        <w:t xml:space="preserve"> </w:t>
      </w:r>
      <w:r>
        <w:t>respeto</w:t>
      </w:r>
      <w:r w:rsidRPr="0089037F">
        <w:rPr>
          <w:spacing w:val="-7"/>
        </w:rPr>
        <w:t xml:space="preserve"> </w:t>
      </w:r>
      <w:r>
        <w:t>de</w:t>
      </w:r>
      <w:r w:rsidRPr="0089037F">
        <w:rPr>
          <w:spacing w:val="-7"/>
        </w:rPr>
        <w:t xml:space="preserve"> </w:t>
      </w:r>
      <w:r>
        <w:t>los</w:t>
      </w:r>
      <w:r w:rsidRPr="0089037F">
        <w:rPr>
          <w:spacing w:val="-7"/>
        </w:rPr>
        <w:t xml:space="preserve"> </w:t>
      </w:r>
      <w:r>
        <w:t>derechos</w:t>
      </w:r>
      <w:r w:rsidRPr="0089037F">
        <w:rPr>
          <w:spacing w:val="-7"/>
        </w:rPr>
        <w:t xml:space="preserve"> </w:t>
      </w:r>
      <w:r>
        <w:t>humanos,</w:t>
      </w:r>
      <w:r w:rsidRPr="0089037F">
        <w:rPr>
          <w:spacing w:val="-8"/>
        </w:rPr>
        <w:t xml:space="preserve"> </w:t>
      </w:r>
      <w:r>
        <w:t>el</w:t>
      </w:r>
      <w:r w:rsidRPr="0089037F">
        <w:rPr>
          <w:spacing w:val="-7"/>
        </w:rPr>
        <w:t xml:space="preserve"> </w:t>
      </w:r>
      <w:r>
        <w:t>diálogo</w:t>
      </w:r>
      <w:r w:rsidRPr="0089037F">
        <w:rPr>
          <w:spacing w:val="-7"/>
        </w:rPr>
        <w:t xml:space="preserve"> </w:t>
      </w:r>
      <w:r>
        <w:t>y</w:t>
      </w:r>
      <w:r w:rsidRPr="0089037F">
        <w:rPr>
          <w:spacing w:val="-8"/>
        </w:rPr>
        <w:t xml:space="preserve"> </w:t>
      </w:r>
      <w:r>
        <w:t>el</w:t>
      </w:r>
      <w:r w:rsidRPr="0089037F">
        <w:rPr>
          <w:spacing w:val="-7"/>
        </w:rPr>
        <w:t xml:space="preserve"> </w:t>
      </w:r>
      <w:r>
        <w:t>reconocimiento y</w:t>
      </w:r>
      <w:r w:rsidRPr="0089037F">
        <w:rPr>
          <w:spacing w:val="-5"/>
        </w:rPr>
        <w:t xml:space="preserve"> </w:t>
      </w:r>
      <w:r>
        <w:t>respeto</w:t>
      </w:r>
      <w:r w:rsidRPr="0089037F">
        <w:rPr>
          <w:spacing w:val="-3"/>
        </w:rPr>
        <w:t xml:space="preserve"> </w:t>
      </w:r>
      <w:r>
        <w:t>de</w:t>
      </w:r>
      <w:r w:rsidRPr="0089037F">
        <w:rPr>
          <w:spacing w:val="-4"/>
        </w:rPr>
        <w:t xml:space="preserve"> </w:t>
      </w:r>
      <w:r>
        <w:t>la</w:t>
      </w:r>
      <w:r w:rsidRPr="0089037F">
        <w:rPr>
          <w:spacing w:val="-2"/>
        </w:rPr>
        <w:t xml:space="preserve"> </w:t>
      </w:r>
      <w:r>
        <w:t>diversidad,</w:t>
      </w:r>
      <w:r w:rsidRPr="0089037F">
        <w:rPr>
          <w:spacing w:val="-2"/>
        </w:rPr>
        <w:t xml:space="preserve"> </w:t>
      </w:r>
      <w:r>
        <w:t>con</w:t>
      </w:r>
      <w:r w:rsidRPr="0089037F">
        <w:rPr>
          <w:spacing w:val="-3"/>
        </w:rPr>
        <w:t xml:space="preserve"> </w:t>
      </w:r>
      <w:r>
        <w:t>especial</w:t>
      </w:r>
      <w:r w:rsidRPr="0089037F">
        <w:rPr>
          <w:spacing w:val="-2"/>
        </w:rPr>
        <w:t xml:space="preserve"> </w:t>
      </w:r>
      <w:r>
        <w:t>énfasis</w:t>
      </w:r>
      <w:r w:rsidRPr="0089037F">
        <w:rPr>
          <w:spacing w:val="-3"/>
        </w:rPr>
        <w:t xml:space="preserve"> </w:t>
      </w:r>
      <w:r>
        <w:t>en</w:t>
      </w:r>
      <w:r w:rsidRPr="0089037F">
        <w:rPr>
          <w:spacing w:val="-3"/>
        </w:rPr>
        <w:t xml:space="preserve"> </w:t>
      </w:r>
      <w:r>
        <w:t>la</w:t>
      </w:r>
      <w:r w:rsidRPr="0089037F">
        <w:rPr>
          <w:spacing w:val="-1"/>
        </w:rPr>
        <w:t xml:space="preserve"> </w:t>
      </w:r>
      <w:r>
        <w:t>transformación</w:t>
      </w:r>
      <w:r w:rsidRPr="0089037F">
        <w:rPr>
          <w:spacing w:val="-3"/>
        </w:rPr>
        <w:t xml:space="preserve"> </w:t>
      </w:r>
      <w:r>
        <w:t>de</w:t>
      </w:r>
      <w:r w:rsidRPr="0089037F">
        <w:rPr>
          <w:spacing w:val="-2"/>
        </w:rPr>
        <w:t xml:space="preserve"> </w:t>
      </w:r>
      <w:r>
        <w:t>las</w:t>
      </w:r>
      <w:r w:rsidRPr="0089037F">
        <w:rPr>
          <w:spacing w:val="-3"/>
        </w:rPr>
        <w:t xml:space="preserve"> </w:t>
      </w:r>
      <w:r>
        <w:t>percepciones</w:t>
      </w:r>
      <w:r w:rsidRPr="0089037F">
        <w:rPr>
          <w:spacing w:val="-2"/>
        </w:rPr>
        <w:t xml:space="preserve"> </w:t>
      </w:r>
      <w:r>
        <w:t>y</w:t>
      </w:r>
      <w:r w:rsidRPr="0089037F">
        <w:rPr>
          <w:spacing w:val="-2"/>
        </w:rPr>
        <w:t xml:space="preserve"> </w:t>
      </w:r>
      <w:r w:rsidRPr="0089037F">
        <w:rPr>
          <w:spacing w:val="-5"/>
        </w:rPr>
        <w:t>el</w:t>
      </w:r>
      <w:r w:rsidR="0089037F">
        <w:rPr>
          <w:spacing w:val="-5"/>
        </w:rPr>
        <w:t xml:space="preserve"> </w:t>
      </w:r>
      <w:r>
        <w:t>trato</w:t>
      </w:r>
      <w:r w:rsidRPr="0089037F">
        <w:rPr>
          <w:spacing w:val="67"/>
        </w:rPr>
        <w:t xml:space="preserve"> </w:t>
      </w:r>
      <w:r>
        <w:t>hacia</w:t>
      </w:r>
      <w:r w:rsidRPr="0089037F">
        <w:rPr>
          <w:spacing w:val="66"/>
        </w:rPr>
        <w:t xml:space="preserve"> </w:t>
      </w:r>
      <w:r>
        <w:t>las</w:t>
      </w:r>
      <w:r w:rsidRPr="0089037F">
        <w:rPr>
          <w:spacing w:val="66"/>
        </w:rPr>
        <w:t xml:space="preserve"> </w:t>
      </w:r>
      <w:r>
        <w:t>mujeres</w:t>
      </w:r>
      <w:r w:rsidRPr="0089037F">
        <w:rPr>
          <w:spacing w:val="66"/>
        </w:rPr>
        <w:t xml:space="preserve"> </w:t>
      </w:r>
      <w:r>
        <w:t>y</w:t>
      </w:r>
      <w:r w:rsidRPr="0089037F">
        <w:rPr>
          <w:spacing w:val="67"/>
        </w:rPr>
        <w:t xml:space="preserve"> </w:t>
      </w:r>
      <w:r>
        <w:t>las</w:t>
      </w:r>
      <w:r w:rsidRPr="0089037F">
        <w:rPr>
          <w:spacing w:val="68"/>
        </w:rPr>
        <w:t xml:space="preserve"> </w:t>
      </w:r>
      <w:r>
        <w:t>personas</w:t>
      </w:r>
      <w:r w:rsidRPr="0089037F">
        <w:rPr>
          <w:spacing w:val="68"/>
        </w:rPr>
        <w:t xml:space="preserve"> </w:t>
      </w:r>
      <w:r>
        <w:t>LGBTIQ+,</w:t>
      </w:r>
      <w:r w:rsidRPr="0089037F">
        <w:rPr>
          <w:spacing w:val="67"/>
        </w:rPr>
        <w:t xml:space="preserve"> </w:t>
      </w:r>
      <w:r>
        <w:t>que</w:t>
      </w:r>
      <w:r w:rsidRPr="0089037F">
        <w:rPr>
          <w:spacing w:val="68"/>
        </w:rPr>
        <w:t xml:space="preserve"> </w:t>
      </w:r>
      <w:r>
        <w:t>contribuyan</w:t>
      </w:r>
      <w:r w:rsidRPr="0089037F">
        <w:rPr>
          <w:spacing w:val="66"/>
        </w:rPr>
        <w:t xml:space="preserve"> </w:t>
      </w:r>
      <w:r>
        <w:t>a</w:t>
      </w:r>
      <w:r w:rsidRPr="0089037F">
        <w:rPr>
          <w:spacing w:val="68"/>
        </w:rPr>
        <w:t xml:space="preserve"> </w:t>
      </w:r>
      <w:r>
        <w:t>desinstalar</w:t>
      </w:r>
      <w:r w:rsidRPr="0089037F">
        <w:rPr>
          <w:spacing w:val="68"/>
        </w:rPr>
        <w:t xml:space="preserve"> </w:t>
      </w:r>
      <w:r>
        <w:t>las narrativas de odio que legitiman y aceptan la eliminación física de las personas.</w:t>
      </w:r>
    </w:p>
    <w:p w:rsidR="0089037F" w:rsidRDefault="0089037F">
      <w:pPr>
        <w:spacing w:before="0" w:after="0" w:line="240" w:lineRule="auto"/>
      </w:pPr>
      <w:r>
        <w:br w:type="page"/>
      </w:r>
    </w:p>
    <w:p w:rsidR="0011361F" w:rsidRDefault="00AF18A5" w:rsidP="00400D25">
      <w:pPr>
        <w:pStyle w:val="Ttulo2"/>
        <w:numPr>
          <w:ilvl w:val="0"/>
          <w:numId w:val="61"/>
        </w:numPr>
      </w:pPr>
      <w:bookmarkStart w:id="1694" w:name="9._SOBRE_EL_LEGADO_DE_LA_COMISIÓN_DE_LA_"/>
      <w:bookmarkStart w:id="1695" w:name="_Toc112399726"/>
      <w:bookmarkEnd w:id="1694"/>
      <w:r>
        <w:rPr>
          <w:w w:val="95"/>
        </w:rPr>
        <w:lastRenderedPageBreak/>
        <w:t>SOBRE</w:t>
      </w:r>
      <w:r>
        <w:rPr>
          <w:spacing w:val="11"/>
        </w:rPr>
        <w:t xml:space="preserve"> </w:t>
      </w:r>
      <w:r>
        <w:rPr>
          <w:w w:val="95"/>
        </w:rPr>
        <w:t>EL</w:t>
      </w:r>
      <w:r>
        <w:rPr>
          <w:spacing w:val="12"/>
        </w:rPr>
        <w:t xml:space="preserve"> </w:t>
      </w:r>
      <w:r>
        <w:rPr>
          <w:w w:val="95"/>
        </w:rPr>
        <w:t>LEGADO</w:t>
      </w:r>
      <w:r>
        <w:rPr>
          <w:spacing w:val="14"/>
        </w:rPr>
        <w:t xml:space="preserve"> </w:t>
      </w:r>
      <w:r>
        <w:rPr>
          <w:w w:val="95"/>
        </w:rPr>
        <w:t>DE</w:t>
      </w:r>
      <w:r>
        <w:rPr>
          <w:spacing w:val="12"/>
        </w:rPr>
        <w:t xml:space="preserve"> </w:t>
      </w:r>
      <w:r>
        <w:rPr>
          <w:w w:val="95"/>
        </w:rPr>
        <w:t>LA</w:t>
      </w:r>
      <w:r>
        <w:rPr>
          <w:spacing w:val="10"/>
        </w:rPr>
        <w:t xml:space="preserve"> </w:t>
      </w:r>
      <w:r>
        <w:rPr>
          <w:w w:val="95"/>
        </w:rPr>
        <w:t>COMISIÓN</w:t>
      </w:r>
      <w:r>
        <w:rPr>
          <w:spacing w:val="10"/>
        </w:rPr>
        <w:t xml:space="preserve"> </w:t>
      </w:r>
      <w:r>
        <w:rPr>
          <w:w w:val="95"/>
        </w:rPr>
        <w:t>DE</w:t>
      </w:r>
      <w:r>
        <w:rPr>
          <w:spacing w:val="11"/>
        </w:rPr>
        <w:t xml:space="preserve"> </w:t>
      </w:r>
      <w:r>
        <w:rPr>
          <w:w w:val="95"/>
        </w:rPr>
        <w:t>LA</w:t>
      </w:r>
      <w:r>
        <w:rPr>
          <w:spacing w:val="10"/>
        </w:rPr>
        <w:t xml:space="preserve"> </w:t>
      </w:r>
      <w:r>
        <w:rPr>
          <w:spacing w:val="-2"/>
          <w:w w:val="95"/>
        </w:rPr>
        <w:t>VERDAD</w:t>
      </w:r>
      <w:bookmarkEnd w:id="1695"/>
    </w:p>
    <w:p w:rsidR="00400D25" w:rsidRDefault="00400D25" w:rsidP="00400D25">
      <w:r>
        <w:t>“</w:t>
      </w:r>
      <w:r w:rsidR="00AF18A5">
        <w:t>La</w:t>
      </w:r>
      <w:r w:rsidR="00AF18A5">
        <w:rPr>
          <w:spacing w:val="-1"/>
        </w:rPr>
        <w:t xml:space="preserve"> </w:t>
      </w:r>
      <w:r w:rsidR="00AF18A5">
        <w:t>CEV</w:t>
      </w:r>
      <w:r w:rsidR="00AF18A5">
        <w:rPr>
          <w:spacing w:val="-3"/>
        </w:rPr>
        <w:t xml:space="preserve"> </w:t>
      </w:r>
      <w:r w:rsidR="00AF18A5">
        <w:t>debe</w:t>
      </w:r>
      <w:r w:rsidR="00AF18A5">
        <w:rPr>
          <w:spacing w:val="-3"/>
        </w:rPr>
        <w:t xml:space="preserve"> </w:t>
      </w:r>
      <w:r w:rsidR="00AF18A5">
        <w:t>asegurar</w:t>
      </w:r>
      <w:r w:rsidR="00AF18A5">
        <w:rPr>
          <w:spacing w:val="-3"/>
        </w:rPr>
        <w:t xml:space="preserve"> </w:t>
      </w:r>
      <w:r w:rsidR="00AF18A5">
        <w:t>que</w:t>
      </w:r>
      <w:r w:rsidR="00AF18A5">
        <w:rPr>
          <w:spacing w:val="-3"/>
        </w:rPr>
        <w:t xml:space="preserve"> </w:t>
      </w:r>
      <w:r w:rsidR="00AF18A5">
        <w:t>el</w:t>
      </w:r>
      <w:r w:rsidR="00AF18A5">
        <w:rPr>
          <w:spacing w:val="-4"/>
        </w:rPr>
        <w:t xml:space="preserve"> </w:t>
      </w:r>
      <w:r w:rsidR="00AF18A5">
        <w:t>Informe</w:t>
      </w:r>
      <w:r w:rsidR="00AF18A5">
        <w:rPr>
          <w:spacing w:val="-3"/>
        </w:rPr>
        <w:t xml:space="preserve"> </w:t>
      </w:r>
      <w:r w:rsidR="00AF18A5">
        <w:t>Final</w:t>
      </w:r>
      <w:r w:rsidR="00AF18A5">
        <w:rPr>
          <w:spacing w:val="-3"/>
        </w:rPr>
        <w:t xml:space="preserve"> </w:t>
      </w:r>
      <w:r w:rsidR="00AF18A5">
        <w:t>tenga</w:t>
      </w:r>
      <w:r w:rsidR="00AF18A5">
        <w:rPr>
          <w:spacing w:val="-1"/>
        </w:rPr>
        <w:t xml:space="preserve"> </w:t>
      </w:r>
      <w:r w:rsidR="00AF18A5">
        <w:t>la</w:t>
      </w:r>
      <w:r w:rsidR="00AF18A5">
        <w:rPr>
          <w:spacing w:val="-3"/>
        </w:rPr>
        <w:t xml:space="preserve"> </w:t>
      </w:r>
      <w:r w:rsidR="00AF18A5">
        <w:t>más</w:t>
      </w:r>
      <w:r w:rsidR="00AF18A5">
        <w:rPr>
          <w:spacing w:val="-3"/>
        </w:rPr>
        <w:t xml:space="preserve"> </w:t>
      </w:r>
      <w:r w:rsidR="00AF18A5">
        <w:t>amplia</w:t>
      </w:r>
      <w:r w:rsidR="00AF18A5">
        <w:rPr>
          <w:spacing w:val="-3"/>
        </w:rPr>
        <w:t xml:space="preserve"> </w:t>
      </w:r>
      <w:r w:rsidR="00AF18A5">
        <w:t>y</w:t>
      </w:r>
      <w:r w:rsidR="00AF18A5">
        <w:rPr>
          <w:spacing w:val="-3"/>
        </w:rPr>
        <w:t xml:space="preserve"> </w:t>
      </w:r>
      <w:r w:rsidR="00AF18A5">
        <w:t>accesible</w:t>
      </w:r>
      <w:r w:rsidR="00AF18A5">
        <w:rPr>
          <w:spacing w:val="-2"/>
        </w:rPr>
        <w:t xml:space="preserve"> </w:t>
      </w:r>
      <w:r w:rsidR="00AF18A5">
        <w:t>difusión</w:t>
      </w:r>
      <w:r w:rsidR="00AF18A5">
        <w:rPr>
          <w:spacing w:val="-3"/>
        </w:rPr>
        <w:t xml:space="preserve"> </w:t>
      </w:r>
      <w:r w:rsidR="00AF18A5">
        <w:t>para</w:t>
      </w:r>
      <w:r w:rsidR="00AF18A5">
        <w:rPr>
          <w:spacing w:val="-3"/>
        </w:rPr>
        <w:t xml:space="preserve"> </w:t>
      </w:r>
      <w:r w:rsidR="00AF18A5">
        <w:t>que</w:t>
      </w:r>
      <w:r w:rsidR="00AF18A5">
        <w:rPr>
          <w:spacing w:val="-2"/>
        </w:rPr>
        <w:t xml:space="preserve"> </w:t>
      </w:r>
      <w:r w:rsidR="00AF18A5">
        <w:t>sea escuchada por los diferentes sectores de la sociedad y para que sea apropiada por la sociedad. Esto se lograría, a través de estrategias de comunicación y pedagogía con enfoque diferencial y con estrategias que incluyen el desarrollo de actividades culturales y educativas, que involucren diferentes medios de comunicación.</w:t>
      </w:r>
      <w:r w:rsidR="00AF18A5">
        <w:rPr>
          <w:spacing w:val="-4"/>
        </w:rPr>
        <w:t xml:space="preserve"> </w:t>
      </w:r>
      <w:r w:rsidR="00AF18A5">
        <w:t>La</w:t>
      </w:r>
      <w:r w:rsidR="00AF18A5">
        <w:rPr>
          <w:spacing w:val="-3"/>
        </w:rPr>
        <w:t xml:space="preserve"> </w:t>
      </w:r>
      <w:r w:rsidR="00AF18A5">
        <w:t>difusión</w:t>
      </w:r>
      <w:r w:rsidR="00AF18A5">
        <w:rPr>
          <w:spacing w:val="-3"/>
        </w:rPr>
        <w:t xml:space="preserve"> </w:t>
      </w:r>
      <w:r w:rsidR="00AF18A5">
        <w:t>del</w:t>
      </w:r>
      <w:r w:rsidR="00AF18A5">
        <w:rPr>
          <w:spacing w:val="-4"/>
        </w:rPr>
        <w:t xml:space="preserve"> </w:t>
      </w:r>
      <w:r w:rsidR="00AF18A5">
        <w:t>informe</w:t>
      </w:r>
      <w:r w:rsidR="00AF18A5">
        <w:rPr>
          <w:spacing w:val="-2"/>
        </w:rPr>
        <w:t xml:space="preserve"> </w:t>
      </w:r>
      <w:r w:rsidR="00AF18A5">
        <w:t>serviría</w:t>
      </w:r>
      <w:r w:rsidR="00AF18A5">
        <w:rPr>
          <w:spacing w:val="-2"/>
        </w:rPr>
        <w:t xml:space="preserve"> </w:t>
      </w:r>
      <w:r w:rsidR="00AF18A5">
        <w:t>a</w:t>
      </w:r>
      <w:r w:rsidR="00AF18A5">
        <w:rPr>
          <w:spacing w:val="-3"/>
        </w:rPr>
        <w:t xml:space="preserve"> </w:t>
      </w:r>
      <w:r w:rsidR="00AF18A5">
        <w:t>que</w:t>
      </w:r>
      <w:r w:rsidR="00AF18A5">
        <w:rPr>
          <w:spacing w:val="-2"/>
        </w:rPr>
        <w:t xml:space="preserve"> </w:t>
      </w:r>
      <w:r w:rsidR="00AF18A5">
        <w:t>los</w:t>
      </w:r>
      <w:r w:rsidR="00AF18A5">
        <w:rPr>
          <w:spacing w:val="-3"/>
        </w:rPr>
        <w:t xml:space="preserve"> </w:t>
      </w:r>
      <w:r w:rsidR="00AF18A5">
        <w:t>hallazgos</w:t>
      </w:r>
      <w:r w:rsidR="00AF18A5">
        <w:rPr>
          <w:spacing w:val="-2"/>
        </w:rPr>
        <w:t xml:space="preserve"> </w:t>
      </w:r>
      <w:r w:rsidR="00AF18A5">
        <w:t>y</w:t>
      </w:r>
      <w:r w:rsidR="00AF18A5">
        <w:rPr>
          <w:spacing w:val="-2"/>
        </w:rPr>
        <w:t xml:space="preserve"> </w:t>
      </w:r>
      <w:r w:rsidR="00AF18A5">
        <w:t>las</w:t>
      </w:r>
      <w:r w:rsidR="00AF18A5">
        <w:rPr>
          <w:spacing w:val="-2"/>
        </w:rPr>
        <w:t xml:space="preserve"> </w:t>
      </w:r>
      <w:r w:rsidR="00AF18A5">
        <w:t>revelaciones</w:t>
      </w:r>
      <w:r w:rsidR="00AF18A5">
        <w:rPr>
          <w:spacing w:val="-3"/>
        </w:rPr>
        <w:t xml:space="preserve"> </w:t>
      </w:r>
      <w:r w:rsidR="00AF18A5">
        <w:t>de</w:t>
      </w:r>
      <w:r w:rsidR="00AF18A5">
        <w:rPr>
          <w:spacing w:val="-2"/>
        </w:rPr>
        <w:t xml:space="preserve"> </w:t>
      </w:r>
      <w:r w:rsidR="00AF18A5">
        <w:t>la</w:t>
      </w:r>
      <w:r w:rsidR="00AF18A5">
        <w:rPr>
          <w:spacing w:val="-1"/>
        </w:rPr>
        <w:t xml:space="preserve"> </w:t>
      </w:r>
      <w:r w:rsidR="00AF18A5">
        <w:t>CEV</w:t>
      </w:r>
      <w:r w:rsidR="00AF18A5">
        <w:rPr>
          <w:spacing w:val="-3"/>
        </w:rPr>
        <w:t xml:space="preserve"> </w:t>
      </w:r>
      <w:r w:rsidR="00AF18A5">
        <w:t>se</w:t>
      </w:r>
      <w:r w:rsidR="00AF18A5">
        <w:rPr>
          <w:spacing w:val="-2"/>
        </w:rPr>
        <w:t xml:space="preserve"> </w:t>
      </w:r>
      <w:r w:rsidR="00AF18A5">
        <w:t>conviertan en una memoria colectiva, asumida por la sociedad como parte del reconocimiento de las víctimas y de la</w:t>
      </w:r>
      <w:r>
        <w:t xml:space="preserve"> </w:t>
      </w:r>
      <w:r w:rsidR="00AF18A5">
        <w:t>prevención</w:t>
      </w:r>
      <w:r w:rsidR="00AF18A5">
        <w:rPr>
          <w:spacing w:val="-5"/>
        </w:rPr>
        <w:t xml:space="preserve"> </w:t>
      </w:r>
      <w:r w:rsidR="00AF18A5">
        <w:t>de</w:t>
      </w:r>
      <w:r w:rsidR="00AF18A5">
        <w:rPr>
          <w:spacing w:val="-5"/>
        </w:rPr>
        <w:t xml:space="preserve"> </w:t>
      </w:r>
      <w:r w:rsidR="00AF18A5">
        <w:t>las</w:t>
      </w:r>
      <w:r w:rsidR="00AF18A5">
        <w:rPr>
          <w:spacing w:val="-4"/>
        </w:rPr>
        <w:t xml:space="preserve"> </w:t>
      </w:r>
      <w:r w:rsidR="00AF18A5">
        <w:t>violaciones</w:t>
      </w:r>
      <w:r w:rsidR="00AF18A5">
        <w:rPr>
          <w:spacing w:val="-5"/>
        </w:rPr>
        <w:t xml:space="preserve"> </w:t>
      </w:r>
      <w:r w:rsidR="00AF18A5">
        <w:t>de</w:t>
      </w:r>
      <w:r w:rsidR="00AF18A5">
        <w:rPr>
          <w:spacing w:val="-5"/>
        </w:rPr>
        <w:t xml:space="preserve"> </w:t>
      </w:r>
      <w:r w:rsidR="00AF18A5">
        <w:t>derechos</w:t>
      </w:r>
      <w:r w:rsidR="00AF18A5">
        <w:rPr>
          <w:spacing w:val="-5"/>
        </w:rPr>
        <w:t xml:space="preserve"> </w:t>
      </w:r>
      <w:r w:rsidR="00AF18A5">
        <w:t>humanos</w:t>
      </w:r>
      <w:r>
        <w:rPr>
          <w:rStyle w:val="Refdenotaalpie"/>
        </w:rPr>
        <w:footnoteReference w:id="1283"/>
      </w:r>
      <w:r w:rsidR="00AF18A5">
        <w:t>.</w:t>
      </w:r>
      <w:r>
        <w:t>”</w:t>
      </w:r>
    </w:p>
    <w:p w:rsidR="003804AC" w:rsidRDefault="00AF18A5" w:rsidP="00400D25">
      <w:r>
        <w:t>Tras cumplir su mandato la Comisión consolidó un conjunto de hallazgos, de recomendaciones y aprendizajes, que se expresan a través de narrativas, acciones, procesos y productos, dentro de los que se encuentra el Informe Final. Esto constituye el legado que la Comisión pone a disposición de la sociedad, del Estado, del Sistema Integral para la paz, de</w:t>
      </w:r>
      <w:r>
        <w:rPr>
          <w:spacing w:val="-15"/>
        </w:rPr>
        <w:t xml:space="preserve"> </w:t>
      </w:r>
      <w:r>
        <w:t>la</w:t>
      </w:r>
      <w:r>
        <w:rPr>
          <w:spacing w:val="-15"/>
        </w:rPr>
        <w:t xml:space="preserve"> </w:t>
      </w:r>
      <w:r>
        <w:t>comunidad</w:t>
      </w:r>
      <w:r>
        <w:rPr>
          <w:spacing w:val="-15"/>
        </w:rPr>
        <w:t xml:space="preserve"> </w:t>
      </w:r>
      <w:r>
        <w:t>internacional</w:t>
      </w:r>
      <w:r>
        <w:rPr>
          <w:spacing w:val="-15"/>
        </w:rPr>
        <w:t xml:space="preserve"> </w:t>
      </w:r>
      <w:r>
        <w:t>y</w:t>
      </w:r>
      <w:r>
        <w:rPr>
          <w:spacing w:val="-15"/>
        </w:rPr>
        <w:t xml:space="preserve"> </w:t>
      </w:r>
      <w:r>
        <w:t>del</w:t>
      </w:r>
      <w:r>
        <w:rPr>
          <w:spacing w:val="-15"/>
        </w:rPr>
        <w:t xml:space="preserve"> </w:t>
      </w:r>
      <w:r>
        <w:t>Comité</w:t>
      </w:r>
      <w:r>
        <w:rPr>
          <w:spacing w:val="-15"/>
        </w:rPr>
        <w:t xml:space="preserve"> </w:t>
      </w:r>
      <w:r>
        <w:t>de</w:t>
      </w:r>
      <w:r>
        <w:rPr>
          <w:spacing w:val="-15"/>
        </w:rPr>
        <w:t xml:space="preserve"> </w:t>
      </w:r>
      <w:r>
        <w:t>Seguimiento</w:t>
      </w:r>
      <w:r>
        <w:rPr>
          <w:spacing w:val="-15"/>
        </w:rPr>
        <w:t xml:space="preserve"> </w:t>
      </w:r>
      <w:r>
        <w:t>y</w:t>
      </w:r>
      <w:r>
        <w:rPr>
          <w:spacing w:val="-15"/>
        </w:rPr>
        <w:t xml:space="preserve"> </w:t>
      </w:r>
      <w:r>
        <w:t>Monitoreo</w:t>
      </w:r>
      <w:r>
        <w:rPr>
          <w:spacing w:val="-15"/>
        </w:rPr>
        <w:t xml:space="preserve"> </w:t>
      </w:r>
      <w:r>
        <w:t>a</w:t>
      </w:r>
      <w:r>
        <w:rPr>
          <w:spacing w:val="-15"/>
        </w:rPr>
        <w:t xml:space="preserve"> </w:t>
      </w:r>
      <w:r>
        <w:t>la</w:t>
      </w:r>
      <w:r>
        <w:rPr>
          <w:spacing w:val="-15"/>
        </w:rPr>
        <w:t xml:space="preserve"> </w:t>
      </w:r>
      <w:r>
        <w:t>implementación de</w:t>
      </w:r>
      <w:r>
        <w:rPr>
          <w:spacing w:val="-3"/>
        </w:rPr>
        <w:t xml:space="preserve"> </w:t>
      </w:r>
      <w:r>
        <w:t>las</w:t>
      </w:r>
      <w:r>
        <w:rPr>
          <w:spacing w:val="-2"/>
        </w:rPr>
        <w:t xml:space="preserve"> </w:t>
      </w:r>
      <w:r>
        <w:t>recomendaciones</w:t>
      </w:r>
      <w:r>
        <w:rPr>
          <w:spacing w:val="-3"/>
        </w:rPr>
        <w:t xml:space="preserve"> </w:t>
      </w:r>
      <w:r>
        <w:t>para</w:t>
      </w:r>
      <w:r>
        <w:rPr>
          <w:spacing w:val="-3"/>
        </w:rPr>
        <w:t xml:space="preserve"> </w:t>
      </w:r>
      <w:r>
        <w:t>la</w:t>
      </w:r>
      <w:r>
        <w:rPr>
          <w:spacing w:val="-3"/>
        </w:rPr>
        <w:t xml:space="preserve"> </w:t>
      </w:r>
      <w:r>
        <w:t>no</w:t>
      </w:r>
      <w:r>
        <w:rPr>
          <w:spacing w:val="-2"/>
        </w:rPr>
        <w:t xml:space="preserve"> </w:t>
      </w:r>
      <w:r>
        <w:t>repetición.</w:t>
      </w:r>
      <w:r>
        <w:rPr>
          <w:spacing w:val="-2"/>
        </w:rPr>
        <w:t xml:space="preserve"> </w:t>
      </w:r>
      <w:r>
        <w:t>Este</w:t>
      </w:r>
      <w:r>
        <w:rPr>
          <w:spacing w:val="-3"/>
        </w:rPr>
        <w:t xml:space="preserve"> </w:t>
      </w:r>
      <w:r>
        <w:t>legado</w:t>
      </w:r>
      <w:r>
        <w:rPr>
          <w:spacing w:val="-4"/>
        </w:rPr>
        <w:t xml:space="preserve"> </w:t>
      </w:r>
      <w:r>
        <w:t>reposa</w:t>
      </w:r>
      <w:r>
        <w:rPr>
          <w:spacing w:val="-2"/>
        </w:rPr>
        <w:t xml:space="preserve"> </w:t>
      </w:r>
      <w:r>
        <w:t>en</w:t>
      </w:r>
      <w:r>
        <w:rPr>
          <w:spacing w:val="-3"/>
        </w:rPr>
        <w:t xml:space="preserve"> </w:t>
      </w:r>
      <w:r>
        <w:rPr>
          <w:b/>
        </w:rPr>
        <w:t>i)</w:t>
      </w:r>
      <w:r>
        <w:rPr>
          <w:b/>
          <w:spacing w:val="-3"/>
        </w:rPr>
        <w:t xml:space="preserve"> </w:t>
      </w:r>
      <w:r>
        <w:t>la</w:t>
      </w:r>
      <w:r>
        <w:rPr>
          <w:spacing w:val="-2"/>
        </w:rPr>
        <w:t xml:space="preserve"> </w:t>
      </w:r>
      <w:r>
        <w:t>entidad</w:t>
      </w:r>
      <w:r>
        <w:rPr>
          <w:spacing w:val="-3"/>
        </w:rPr>
        <w:t xml:space="preserve"> </w:t>
      </w:r>
      <w:r>
        <w:t xml:space="preserve">depositaria que recibe el archivo de derechos humanos organizado por la Comisión; </w:t>
      </w:r>
      <w:proofErr w:type="spellStart"/>
      <w:r>
        <w:rPr>
          <w:b/>
        </w:rPr>
        <w:t>ii</w:t>
      </w:r>
      <w:proofErr w:type="spellEnd"/>
      <w:r>
        <w:rPr>
          <w:b/>
        </w:rPr>
        <w:t xml:space="preserve">) </w:t>
      </w:r>
      <w:r>
        <w:t xml:space="preserve">la plataforma </w:t>
      </w:r>
      <w:proofErr w:type="spellStart"/>
      <w:r>
        <w:t>transmedia</w:t>
      </w:r>
      <w:proofErr w:type="spellEnd"/>
      <w:r>
        <w:t xml:space="preserve"> y; </w:t>
      </w:r>
      <w:proofErr w:type="spellStart"/>
      <w:r>
        <w:rPr>
          <w:b/>
        </w:rPr>
        <w:t>iii</w:t>
      </w:r>
      <w:proofErr w:type="spellEnd"/>
      <w:r>
        <w:rPr>
          <w:b/>
        </w:rPr>
        <w:t xml:space="preserve">) </w:t>
      </w:r>
      <w:r>
        <w:t>la exposición permanente en el Museo de Memoria de Colombia.</w:t>
      </w:r>
    </w:p>
    <w:p w:rsidR="003804AC" w:rsidRDefault="00AF18A5" w:rsidP="006C1DAB">
      <w:r>
        <w:t>Para la Comisión de la Verdad asimilar y apropiar los hallazgos, las recomendaciones y aprendizajes</w:t>
      </w:r>
      <w:r>
        <w:rPr>
          <w:spacing w:val="3"/>
        </w:rPr>
        <w:t xml:space="preserve"> </w:t>
      </w:r>
      <w:r>
        <w:t>que</w:t>
      </w:r>
      <w:r>
        <w:rPr>
          <w:spacing w:val="7"/>
        </w:rPr>
        <w:t xml:space="preserve"> </w:t>
      </w:r>
      <w:r>
        <w:t>resultan</w:t>
      </w:r>
      <w:r>
        <w:rPr>
          <w:spacing w:val="7"/>
        </w:rPr>
        <w:t xml:space="preserve"> </w:t>
      </w:r>
      <w:r>
        <w:t>de</w:t>
      </w:r>
      <w:r>
        <w:rPr>
          <w:spacing w:val="7"/>
        </w:rPr>
        <w:t xml:space="preserve"> </w:t>
      </w:r>
      <w:r>
        <w:t>su</w:t>
      </w:r>
      <w:r>
        <w:rPr>
          <w:spacing w:val="7"/>
        </w:rPr>
        <w:t xml:space="preserve"> </w:t>
      </w:r>
      <w:r>
        <w:t>trabajo,</w:t>
      </w:r>
      <w:r>
        <w:rPr>
          <w:spacing w:val="7"/>
        </w:rPr>
        <w:t xml:space="preserve"> </w:t>
      </w:r>
      <w:r>
        <w:t>contribuye</w:t>
      </w:r>
      <w:r>
        <w:rPr>
          <w:spacing w:val="6"/>
        </w:rPr>
        <w:t xml:space="preserve"> </w:t>
      </w:r>
      <w:r>
        <w:lastRenderedPageBreak/>
        <w:t>a</w:t>
      </w:r>
      <w:r>
        <w:rPr>
          <w:spacing w:val="7"/>
        </w:rPr>
        <w:t xml:space="preserve"> </w:t>
      </w:r>
      <w:r>
        <w:t>que</w:t>
      </w:r>
      <w:r>
        <w:rPr>
          <w:spacing w:val="7"/>
        </w:rPr>
        <w:t xml:space="preserve"> </w:t>
      </w:r>
      <w:r>
        <w:t>haya</w:t>
      </w:r>
      <w:r>
        <w:rPr>
          <w:spacing w:val="7"/>
        </w:rPr>
        <w:t xml:space="preserve"> </w:t>
      </w:r>
      <w:r>
        <w:t>cambios</w:t>
      </w:r>
      <w:r>
        <w:rPr>
          <w:spacing w:val="6"/>
        </w:rPr>
        <w:t xml:space="preserve"> </w:t>
      </w:r>
      <w:r>
        <w:t>en</w:t>
      </w:r>
      <w:r>
        <w:rPr>
          <w:spacing w:val="7"/>
        </w:rPr>
        <w:t xml:space="preserve"> </w:t>
      </w:r>
      <w:r>
        <w:t>las</w:t>
      </w:r>
      <w:r>
        <w:rPr>
          <w:spacing w:val="7"/>
        </w:rPr>
        <w:t xml:space="preserve"> </w:t>
      </w:r>
      <w:r>
        <w:rPr>
          <w:spacing w:val="-2"/>
        </w:rPr>
        <w:t>percepciones</w:t>
      </w:r>
      <w:bookmarkStart w:id="1696" w:name="_bookmark1462"/>
      <w:bookmarkEnd w:id="1696"/>
      <w:r w:rsidR="006C1DAB">
        <w:t xml:space="preserve"> </w:t>
      </w:r>
      <w:r>
        <w:t>y decisiones políticas de la sociedad respecto a asuntos fundamentales de la historia, del presente</w:t>
      </w:r>
      <w:r>
        <w:rPr>
          <w:spacing w:val="-15"/>
        </w:rPr>
        <w:t xml:space="preserve"> </w:t>
      </w:r>
      <w:r>
        <w:t>y</w:t>
      </w:r>
      <w:r>
        <w:rPr>
          <w:spacing w:val="-15"/>
        </w:rPr>
        <w:t xml:space="preserve"> </w:t>
      </w:r>
      <w:r>
        <w:t>de</w:t>
      </w:r>
      <w:r>
        <w:rPr>
          <w:spacing w:val="-15"/>
        </w:rPr>
        <w:t xml:space="preserve"> </w:t>
      </w:r>
      <w:r>
        <w:t>la</w:t>
      </w:r>
      <w:r>
        <w:rPr>
          <w:spacing w:val="-15"/>
        </w:rPr>
        <w:t xml:space="preserve"> </w:t>
      </w:r>
      <w:r>
        <w:t>posibilidad</w:t>
      </w:r>
      <w:r>
        <w:rPr>
          <w:spacing w:val="-15"/>
        </w:rPr>
        <w:t xml:space="preserve"> </w:t>
      </w:r>
      <w:r>
        <w:t>de</w:t>
      </w:r>
      <w:r>
        <w:rPr>
          <w:spacing w:val="-15"/>
        </w:rPr>
        <w:t xml:space="preserve"> </w:t>
      </w:r>
      <w:r>
        <w:t>la</w:t>
      </w:r>
      <w:r>
        <w:rPr>
          <w:spacing w:val="-15"/>
        </w:rPr>
        <w:t xml:space="preserve"> </w:t>
      </w:r>
      <w:r>
        <w:t>vida</w:t>
      </w:r>
      <w:r>
        <w:rPr>
          <w:spacing w:val="-15"/>
        </w:rPr>
        <w:t xml:space="preserve"> </w:t>
      </w:r>
      <w:r>
        <w:t>en</w:t>
      </w:r>
      <w:r>
        <w:rPr>
          <w:spacing w:val="-14"/>
        </w:rPr>
        <w:t xml:space="preserve"> </w:t>
      </w:r>
      <w:r>
        <w:t>comunidad</w:t>
      </w:r>
      <w:r>
        <w:rPr>
          <w:spacing w:val="-15"/>
        </w:rPr>
        <w:t xml:space="preserve"> </w:t>
      </w:r>
      <w:r>
        <w:t>hacia</w:t>
      </w:r>
      <w:r>
        <w:rPr>
          <w:spacing w:val="-14"/>
        </w:rPr>
        <w:t xml:space="preserve"> </w:t>
      </w:r>
      <w:r>
        <w:t>el</w:t>
      </w:r>
      <w:r>
        <w:rPr>
          <w:spacing w:val="-15"/>
        </w:rPr>
        <w:t xml:space="preserve"> </w:t>
      </w:r>
      <w:r>
        <w:t>futuro.</w:t>
      </w:r>
      <w:r>
        <w:rPr>
          <w:spacing w:val="-15"/>
        </w:rPr>
        <w:t xml:space="preserve"> </w:t>
      </w:r>
      <w:r>
        <w:t>Por</w:t>
      </w:r>
      <w:r>
        <w:rPr>
          <w:spacing w:val="-15"/>
        </w:rPr>
        <w:t xml:space="preserve"> </w:t>
      </w:r>
      <w:r>
        <w:t>ello,</w:t>
      </w:r>
      <w:r>
        <w:rPr>
          <w:spacing w:val="-15"/>
        </w:rPr>
        <w:t xml:space="preserve"> </w:t>
      </w:r>
      <w:r>
        <w:t>es</w:t>
      </w:r>
      <w:r>
        <w:rPr>
          <w:spacing w:val="-15"/>
        </w:rPr>
        <w:t xml:space="preserve"> </w:t>
      </w:r>
      <w:r>
        <w:t>indispensable mantener este legado accesible y vigente como fuente de conocimiento, reflexión y acción social y política en los diversos estamentos de la sociedad, de manera que contribuya a la transición</w:t>
      </w:r>
      <w:r>
        <w:rPr>
          <w:spacing w:val="-11"/>
        </w:rPr>
        <w:t xml:space="preserve"> </w:t>
      </w:r>
      <w:r>
        <w:t>del</w:t>
      </w:r>
      <w:r>
        <w:rPr>
          <w:spacing w:val="-9"/>
        </w:rPr>
        <w:t xml:space="preserve"> </w:t>
      </w:r>
      <w:r>
        <w:t>país,</w:t>
      </w:r>
      <w:r>
        <w:rPr>
          <w:spacing w:val="-10"/>
        </w:rPr>
        <w:t xml:space="preserve"> </w:t>
      </w:r>
      <w:r>
        <w:t>y</w:t>
      </w:r>
      <w:r>
        <w:rPr>
          <w:spacing w:val="-11"/>
        </w:rPr>
        <w:t xml:space="preserve"> </w:t>
      </w:r>
      <w:r>
        <w:t>más</w:t>
      </w:r>
      <w:r>
        <w:rPr>
          <w:spacing w:val="-10"/>
        </w:rPr>
        <w:t xml:space="preserve"> </w:t>
      </w:r>
      <w:r>
        <w:t>específicamente,</w:t>
      </w:r>
      <w:r>
        <w:rPr>
          <w:spacing w:val="-11"/>
        </w:rPr>
        <w:t xml:space="preserve"> </w:t>
      </w:r>
      <w:r>
        <w:t>a</w:t>
      </w:r>
      <w:r>
        <w:rPr>
          <w:spacing w:val="-9"/>
        </w:rPr>
        <w:t xml:space="preserve"> </w:t>
      </w:r>
      <w:r>
        <w:t>la</w:t>
      </w:r>
      <w:r>
        <w:rPr>
          <w:spacing w:val="-10"/>
        </w:rPr>
        <w:t xml:space="preserve"> </w:t>
      </w:r>
      <w:r>
        <w:t>implementación</w:t>
      </w:r>
      <w:r>
        <w:rPr>
          <w:spacing w:val="-9"/>
        </w:rPr>
        <w:t xml:space="preserve"> </w:t>
      </w:r>
      <w:r>
        <w:t>de</w:t>
      </w:r>
      <w:r>
        <w:rPr>
          <w:spacing w:val="-10"/>
        </w:rPr>
        <w:t xml:space="preserve"> </w:t>
      </w:r>
      <w:r>
        <w:t>las</w:t>
      </w:r>
      <w:r>
        <w:rPr>
          <w:spacing w:val="-10"/>
        </w:rPr>
        <w:t xml:space="preserve"> </w:t>
      </w:r>
      <w:r>
        <w:t>recomendaciones</w:t>
      </w:r>
      <w:r>
        <w:rPr>
          <w:spacing w:val="-9"/>
        </w:rPr>
        <w:t xml:space="preserve"> </w:t>
      </w:r>
      <w:r>
        <w:t>para la no repetición.</w:t>
      </w:r>
    </w:p>
    <w:p w:rsidR="003804AC" w:rsidRDefault="00AF18A5" w:rsidP="006C1DAB">
      <w:r>
        <w:t>La recomendación sobre el legado insta a la sociedad en general y a las instituciones a conocer el legado de la Comisión de la Verdad, difundirlo y darle continuidad a nivel territorial, nacional e internacional, teniéndolo en cuenta en el desarrollo de su trabajo y al momento de implementar las recomendaciones contenidas en este Informe.</w:t>
      </w:r>
    </w:p>
    <w:p w:rsidR="0011361F" w:rsidRDefault="00AF18A5" w:rsidP="006C1DAB">
      <w:r>
        <w:t>Por</w:t>
      </w:r>
      <w:r>
        <w:rPr>
          <w:spacing w:val="-1"/>
        </w:rPr>
        <w:t xml:space="preserve"> </w:t>
      </w:r>
      <w:r>
        <w:t>lo</w:t>
      </w:r>
      <w:r>
        <w:rPr>
          <w:spacing w:val="-1"/>
        </w:rPr>
        <w:t xml:space="preserve"> </w:t>
      </w:r>
      <w:r>
        <w:t>anterior</w:t>
      </w:r>
      <w:r>
        <w:rPr>
          <w:spacing w:val="-1"/>
        </w:rPr>
        <w:t xml:space="preserve"> </w:t>
      </w:r>
      <w:r>
        <w:rPr>
          <w:b/>
          <w:spacing w:val="-2"/>
        </w:rPr>
        <w:t>RECOMENDAMOS</w:t>
      </w:r>
      <w:r>
        <w:rPr>
          <w:spacing w:val="-2"/>
        </w:rPr>
        <w:t>:</w:t>
      </w:r>
    </w:p>
    <w:p w:rsidR="003804AC" w:rsidRPr="006C1DAB" w:rsidRDefault="00AF18A5" w:rsidP="006C1DAB">
      <w:pPr>
        <w:pStyle w:val="Prrafodelista"/>
        <w:numPr>
          <w:ilvl w:val="0"/>
          <w:numId w:val="31"/>
        </w:numPr>
        <w:rPr>
          <w:b/>
        </w:rPr>
      </w:pPr>
      <w:r>
        <w:t>A</w:t>
      </w:r>
      <w:r w:rsidRPr="006C1DAB">
        <w:rPr>
          <w:spacing w:val="-4"/>
        </w:rPr>
        <w:t xml:space="preserve"> </w:t>
      </w:r>
      <w:r>
        <w:t>los</w:t>
      </w:r>
      <w:r w:rsidRPr="006C1DAB">
        <w:rPr>
          <w:spacing w:val="-3"/>
        </w:rPr>
        <w:t xml:space="preserve"> </w:t>
      </w:r>
      <w:r>
        <w:t>diversos</w:t>
      </w:r>
      <w:r w:rsidRPr="006C1DAB">
        <w:rPr>
          <w:spacing w:val="-4"/>
        </w:rPr>
        <w:t xml:space="preserve"> </w:t>
      </w:r>
      <w:r>
        <w:t>actores</w:t>
      </w:r>
      <w:r w:rsidRPr="006C1DAB">
        <w:rPr>
          <w:spacing w:val="-3"/>
        </w:rPr>
        <w:t xml:space="preserve"> </w:t>
      </w:r>
      <w:r>
        <w:t>sociales,</w:t>
      </w:r>
      <w:r w:rsidRPr="006C1DAB">
        <w:rPr>
          <w:spacing w:val="-5"/>
        </w:rPr>
        <w:t xml:space="preserve"> </w:t>
      </w:r>
      <w:r>
        <w:t>particularmente</w:t>
      </w:r>
      <w:r w:rsidRPr="006C1DAB">
        <w:rPr>
          <w:spacing w:val="-3"/>
        </w:rPr>
        <w:t xml:space="preserve"> </w:t>
      </w:r>
      <w:r>
        <w:t>quienes</w:t>
      </w:r>
      <w:r w:rsidRPr="006C1DAB">
        <w:rPr>
          <w:spacing w:val="-4"/>
        </w:rPr>
        <w:t xml:space="preserve"> </w:t>
      </w:r>
      <w:r>
        <w:t>se</w:t>
      </w:r>
      <w:r w:rsidRPr="006C1DAB">
        <w:rPr>
          <w:spacing w:val="-3"/>
        </w:rPr>
        <w:t xml:space="preserve"> </w:t>
      </w:r>
      <w:r>
        <w:t>desempeñan</w:t>
      </w:r>
      <w:r w:rsidRPr="006C1DAB">
        <w:rPr>
          <w:spacing w:val="-3"/>
        </w:rPr>
        <w:t xml:space="preserve"> </w:t>
      </w:r>
      <w:r>
        <w:t>en</w:t>
      </w:r>
      <w:r w:rsidRPr="006C1DAB">
        <w:rPr>
          <w:spacing w:val="-3"/>
        </w:rPr>
        <w:t xml:space="preserve"> </w:t>
      </w:r>
      <w:r>
        <w:t>labores</w:t>
      </w:r>
      <w:r w:rsidRPr="006C1DAB">
        <w:rPr>
          <w:spacing w:val="-3"/>
        </w:rPr>
        <w:t xml:space="preserve"> </w:t>
      </w:r>
      <w:r>
        <w:t>de pedagogía,</w:t>
      </w:r>
      <w:r w:rsidRPr="006C1DAB">
        <w:rPr>
          <w:spacing w:val="-3"/>
        </w:rPr>
        <w:t xml:space="preserve"> </w:t>
      </w:r>
      <w:r>
        <w:t>educación</w:t>
      </w:r>
      <w:r w:rsidRPr="006C1DAB">
        <w:rPr>
          <w:spacing w:val="-3"/>
        </w:rPr>
        <w:t xml:space="preserve"> </w:t>
      </w:r>
      <w:r>
        <w:t>y</w:t>
      </w:r>
      <w:r w:rsidRPr="006C1DAB">
        <w:rPr>
          <w:spacing w:val="-3"/>
        </w:rPr>
        <w:t xml:space="preserve"> </w:t>
      </w:r>
      <w:r>
        <w:t>gestión</w:t>
      </w:r>
      <w:r w:rsidRPr="006C1DAB">
        <w:rPr>
          <w:spacing w:val="-3"/>
        </w:rPr>
        <w:t xml:space="preserve"> </w:t>
      </w:r>
      <w:r>
        <w:t>cultural;</w:t>
      </w:r>
      <w:r w:rsidRPr="006C1DAB">
        <w:rPr>
          <w:spacing w:val="-3"/>
        </w:rPr>
        <w:t xml:space="preserve"> </w:t>
      </w:r>
      <w:r>
        <w:t>a</w:t>
      </w:r>
      <w:r w:rsidRPr="006C1DAB">
        <w:rPr>
          <w:spacing w:val="-3"/>
        </w:rPr>
        <w:t xml:space="preserve"> </w:t>
      </w:r>
      <w:r>
        <w:t>los</w:t>
      </w:r>
      <w:r w:rsidRPr="006C1DAB">
        <w:rPr>
          <w:spacing w:val="-3"/>
        </w:rPr>
        <w:t xml:space="preserve"> </w:t>
      </w:r>
      <w:r>
        <w:t>medios</w:t>
      </w:r>
      <w:r w:rsidRPr="006C1DAB">
        <w:rPr>
          <w:spacing w:val="-3"/>
        </w:rPr>
        <w:t xml:space="preserve"> </w:t>
      </w:r>
      <w:r>
        <w:t>de</w:t>
      </w:r>
      <w:r w:rsidRPr="006C1DAB">
        <w:rPr>
          <w:spacing w:val="-3"/>
        </w:rPr>
        <w:t xml:space="preserve"> </w:t>
      </w:r>
      <w:r>
        <w:t>comunicación</w:t>
      </w:r>
      <w:r w:rsidRPr="006C1DAB">
        <w:rPr>
          <w:spacing w:val="-3"/>
        </w:rPr>
        <w:t xml:space="preserve"> </w:t>
      </w:r>
      <w:r>
        <w:t>públicos</w:t>
      </w:r>
      <w:r w:rsidRPr="006C1DAB">
        <w:rPr>
          <w:spacing w:val="-3"/>
        </w:rPr>
        <w:t xml:space="preserve"> </w:t>
      </w:r>
      <w:r>
        <w:t>y</w:t>
      </w:r>
      <w:r w:rsidRPr="006C1DAB">
        <w:rPr>
          <w:spacing w:val="-3"/>
        </w:rPr>
        <w:t xml:space="preserve"> </w:t>
      </w:r>
      <w:r>
        <w:t>privados; al Gobierno</w:t>
      </w:r>
      <w:r w:rsidRPr="006C1DAB">
        <w:rPr>
          <w:spacing w:val="-1"/>
        </w:rPr>
        <w:t xml:space="preserve"> </w:t>
      </w:r>
      <w:r>
        <w:t>Nacional,</w:t>
      </w:r>
      <w:r w:rsidRPr="006C1DAB">
        <w:rPr>
          <w:spacing w:val="-1"/>
        </w:rPr>
        <w:t xml:space="preserve"> </w:t>
      </w:r>
      <w:r>
        <w:t>Congreso de</w:t>
      </w:r>
      <w:r w:rsidRPr="006C1DAB">
        <w:rPr>
          <w:spacing w:val="-1"/>
        </w:rPr>
        <w:t xml:space="preserve"> </w:t>
      </w:r>
      <w:r>
        <w:t>la República</w:t>
      </w:r>
      <w:r w:rsidRPr="006C1DAB">
        <w:rPr>
          <w:spacing w:val="-1"/>
        </w:rPr>
        <w:t xml:space="preserve"> </w:t>
      </w:r>
      <w:r>
        <w:t>y la</w:t>
      </w:r>
      <w:r w:rsidRPr="006C1DAB">
        <w:rPr>
          <w:spacing w:val="-1"/>
        </w:rPr>
        <w:t xml:space="preserve"> </w:t>
      </w:r>
      <w:r>
        <w:t>institucionalidad</w:t>
      </w:r>
      <w:r w:rsidRPr="006C1DAB">
        <w:rPr>
          <w:spacing w:val="-1"/>
        </w:rPr>
        <w:t xml:space="preserve"> </w:t>
      </w:r>
      <w:r>
        <w:t>pública</w:t>
      </w:r>
      <w:r w:rsidRPr="006C1DAB">
        <w:rPr>
          <w:spacing w:val="-1"/>
        </w:rPr>
        <w:t xml:space="preserve"> </w:t>
      </w:r>
      <w:r>
        <w:t>en general; y dentro de ellos a quienes apoyaron y acompañaron de cerca los procesos de la Comisión, se les</w:t>
      </w:r>
      <w:r w:rsidRPr="006C1DAB">
        <w:rPr>
          <w:spacing w:val="-9"/>
        </w:rPr>
        <w:t xml:space="preserve"> </w:t>
      </w:r>
      <w:r>
        <w:t>insta</w:t>
      </w:r>
      <w:r w:rsidRPr="006C1DAB">
        <w:rPr>
          <w:spacing w:val="-9"/>
        </w:rPr>
        <w:t xml:space="preserve"> </w:t>
      </w:r>
      <w:r>
        <w:t>a</w:t>
      </w:r>
      <w:r w:rsidRPr="006C1DAB">
        <w:rPr>
          <w:spacing w:val="-11"/>
        </w:rPr>
        <w:t xml:space="preserve"> </w:t>
      </w:r>
      <w:r w:rsidRPr="006C1DAB">
        <w:rPr>
          <w:b/>
        </w:rPr>
        <w:t>conocer</w:t>
      </w:r>
      <w:r w:rsidRPr="006C1DAB">
        <w:rPr>
          <w:b/>
          <w:spacing w:val="-9"/>
        </w:rPr>
        <w:t xml:space="preserve"> </w:t>
      </w:r>
      <w:r w:rsidRPr="006C1DAB">
        <w:rPr>
          <w:b/>
        </w:rPr>
        <w:t>el</w:t>
      </w:r>
      <w:r w:rsidRPr="006C1DAB">
        <w:rPr>
          <w:b/>
          <w:spacing w:val="-10"/>
        </w:rPr>
        <w:t xml:space="preserve"> </w:t>
      </w:r>
      <w:r w:rsidRPr="006C1DAB">
        <w:rPr>
          <w:b/>
        </w:rPr>
        <w:t>legado</w:t>
      </w:r>
      <w:r w:rsidRPr="006C1DAB">
        <w:rPr>
          <w:b/>
          <w:spacing w:val="-10"/>
        </w:rPr>
        <w:t xml:space="preserve"> </w:t>
      </w:r>
      <w:r w:rsidRPr="006C1DAB">
        <w:rPr>
          <w:b/>
        </w:rPr>
        <w:t>de</w:t>
      </w:r>
      <w:r w:rsidRPr="006C1DAB">
        <w:rPr>
          <w:b/>
          <w:spacing w:val="-9"/>
        </w:rPr>
        <w:t xml:space="preserve"> </w:t>
      </w:r>
      <w:r w:rsidRPr="006C1DAB">
        <w:rPr>
          <w:b/>
        </w:rPr>
        <w:t>la</w:t>
      </w:r>
      <w:r w:rsidRPr="006C1DAB">
        <w:rPr>
          <w:b/>
          <w:spacing w:val="-10"/>
        </w:rPr>
        <w:t xml:space="preserve"> </w:t>
      </w:r>
      <w:r w:rsidRPr="006C1DAB">
        <w:rPr>
          <w:b/>
        </w:rPr>
        <w:t>Comisión</w:t>
      </w:r>
      <w:r w:rsidRPr="006C1DAB">
        <w:rPr>
          <w:b/>
          <w:spacing w:val="-10"/>
        </w:rPr>
        <w:t xml:space="preserve"> </w:t>
      </w:r>
      <w:r w:rsidRPr="006C1DAB">
        <w:rPr>
          <w:b/>
        </w:rPr>
        <w:t>de</w:t>
      </w:r>
      <w:r w:rsidRPr="006C1DAB">
        <w:rPr>
          <w:b/>
          <w:spacing w:val="-11"/>
        </w:rPr>
        <w:t xml:space="preserve"> </w:t>
      </w:r>
      <w:r w:rsidRPr="006C1DAB">
        <w:rPr>
          <w:b/>
        </w:rPr>
        <w:t>la</w:t>
      </w:r>
      <w:r w:rsidRPr="006C1DAB">
        <w:rPr>
          <w:b/>
          <w:spacing w:val="-10"/>
        </w:rPr>
        <w:t xml:space="preserve"> </w:t>
      </w:r>
      <w:r w:rsidRPr="006C1DAB">
        <w:rPr>
          <w:b/>
        </w:rPr>
        <w:t>Verdad,</w:t>
      </w:r>
      <w:r w:rsidRPr="006C1DAB">
        <w:rPr>
          <w:b/>
          <w:spacing w:val="-10"/>
        </w:rPr>
        <w:t xml:space="preserve"> </w:t>
      </w:r>
      <w:r w:rsidRPr="006C1DAB">
        <w:rPr>
          <w:b/>
        </w:rPr>
        <w:t>difundirlo</w:t>
      </w:r>
      <w:r w:rsidRPr="006C1DAB">
        <w:rPr>
          <w:b/>
          <w:spacing w:val="-10"/>
        </w:rPr>
        <w:t xml:space="preserve"> </w:t>
      </w:r>
      <w:r w:rsidRPr="006C1DAB">
        <w:rPr>
          <w:b/>
        </w:rPr>
        <w:t>y</w:t>
      </w:r>
      <w:r w:rsidRPr="006C1DAB">
        <w:rPr>
          <w:b/>
          <w:spacing w:val="-11"/>
        </w:rPr>
        <w:t xml:space="preserve"> </w:t>
      </w:r>
      <w:r w:rsidRPr="006C1DAB">
        <w:rPr>
          <w:b/>
        </w:rPr>
        <w:t>darle</w:t>
      </w:r>
      <w:r w:rsidRPr="006C1DAB">
        <w:rPr>
          <w:b/>
          <w:spacing w:val="-9"/>
        </w:rPr>
        <w:t xml:space="preserve"> </w:t>
      </w:r>
      <w:r w:rsidRPr="006C1DAB">
        <w:rPr>
          <w:b/>
        </w:rPr>
        <w:t xml:space="preserve">continuidad a nivel territorial, nacional e internacional </w:t>
      </w:r>
      <w:r>
        <w:t>de acuerdo con lo que atañe a sus deberes, objetivos</w:t>
      </w:r>
      <w:r w:rsidRPr="006C1DAB">
        <w:rPr>
          <w:spacing w:val="-13"/>
        </w:rPr>
        <w:t xml:space="preserve"> </w:t>
      </w:r>
      <w:r>
        <w:t>y</w:t>
      </w:r>
      <w:r w:rsidRPr="006C1DAB">
        <w:rPr>
          <w:spacing w:val="-14"/>
        </w:rPr>
        <w:t xml:space="preserve"> </w:t>
      </w:r>
      <w:r>
        <w:t>misiones</w:t>
      </w:r>
      <w:r w:rsidRPr="006C1DAB">
        <w:rPr>
          <w:spacing w:val="-13"/>
        </w:rPr>
        <w:t xml:space="preserve"> </w:t>
      </w:r>
      <w:r>
        <w:t>concretas</w:t>
      </w:r>
      <w:r w:rsidRPr="006C1DAB">
        <w:rPr>
          <w:spacing w:val="-13"/>
        </w:rPr>
        <w:t xml:space="preserve"> </w:t>
      </w:r>
      <w:r>
        <w:t>y</w:t>
      </w:r>
      <w:r w:rsidRPr="006C1DAB">
        <w:rPr>
          <w:spacing w:val="-13"/>
        </w:rPr>
        <w:t xml:space="preserve"> </w:t>
      </w:r>
      <w:r>
        <w:t>apoyarse</w:t>
      </w:r>
      <w:r w:rsidRPr="006C1DAB">
        <w:rPr>
          <w:spacing w:val="-14"/>
        </w:rPr>
        <w:t xml:space="preserve"> </w:t>
      </w:r>
      <w:r>
        <w:t>en</w:t>
      </w:r>
      <w:r w:rsidRPr="006C1DAB">
        <w:rPr>
          <w:spacing w:val="-13"/>
        </w:rPr>
        <w:t xml:space="preserve"> </w:t>
      </w:r>
      <w:r>
        <w:t>este</w:t>
      </w:r>
      <w:r w:rsidRPr="006C1DAB">
        <w:rPr>
          <w:spacing w:val="-13"/>
        </w:rPr>
        <w:t xml:space="preserve"> </w:t>
      </w:r>
      <w:r>
        <w:t>para</w:t>
      </w:r>
      <w:r w:rsidRPr="006C1DAB">
        <w:rPr>
          <w:spacing w:val="-14"/>
        </w:rPr>
        <w:t xml:space="preserve"> </w:t>
      </w:r>
      <w:r>
        <w:t>implementar</w:t>
      </w:r>
      <w:r w:rsidRPr="006C1DAB">
        <w:rPr>
          <w:spacing w:val="-13"/>
        </w:rPr>
        <w:t xml:space="preserve"> </w:t>
      </w:r>
      <w:r>
        <w:t>las</w:t>
      </w:r>
      <w:r w:rsidRPr="006C1DAB">
        <w:rPr>
          <w:spacing w:val="-13"/>
        </w:rPr>
        <w:t xml:space="preserve"> </w:t>
      </w:r>
      <w:r>
        <w:t>recomendaciones</w:t>
      </w:r>
      <w:r w:rsidRPr="006C1DAB">
        <w:rPr>
          <w:spacing w:val="-13"/>
        </w:rPr>
        <w:t xml:space="preserve"> </w:t>
      </w:r>
      <w:r>
        <w:t>que se les ha hecho en el presente Informe. En esa medida se recomienda:</w:t>
      </w:r>
    </w:p>
    <w:p w:rsidR="003804AC" w:rsidRDefault="00AF18A5" w:rsidP="006C1DAB">
      <w:pPr>
        <w:pStyle w:val="Prrafodelista"/>
        <w:numPr>
          <w:ilvl w:val="0"/>
          <w:numId w:val="69"/>
        </w:numPr>
      </w:pPr>
      <w:r w:rsidRPr="006C1DAB">
        <w:rPr>
          <w:b/>
        </w:rPr>
        <w:t>Conocer.</w:t>
      </w:r>
      <w:r w:rsidRPr="006C1DAB">
        <w:rPr>
          <w:b/>
          <w:spacing w:val="-11"/>
        </w:rPr>
        <w:t xml:space="preserve"> </w:t>
      </w:r>
      <w:r>
        <w:t>Aproximarse</w:t>
      </w:r>
      <w:r w:rsidRPr="006C1DAB">
        <w:rPr>
          <w:spacing w:val="-13"/>
        </w:rPr>
        <w:t xml:space="preserve"> </w:t>
      </w:r>
      <w:r>
        <w:t>a</w:t>
      </w:r>
      <w:r w:rsidRPr="006C1DAB">
        <w:rPr>
          <w:spacing w:val="-10"/>
        </w:rPr>
        <w:t xml:space="preserve"> </w:t>
      </w:r>
      <w:r>
        <w:t>los</w:t>
      </w:r>
      <w:r w:rsidRPr="006C1DAB">
        <w:rPr>
          <w:spacing w:val="-12"/>
        </w:rPr>
        <w:t xml:space="preserve"> </w:t>
      </w:r>
      <w:r>
        <w:t>lugares</w:t>
      </w:r>
      <w:r w:rsidRPr="006C1DAB">
        <w:rPr>
          <w:spacing w:val="-12"/>
        </w:rPr>
        <w:t xml:space="preserve"> </w:t>
      </w:r>
      <w:r>
        <w:t>físicos</w:t>
      </w:r>
      <w:r w:rsidRPr="006C1DAB">
        <w:rPr>
          <w:spacing w:val="-11"/>
        </w:rPr>
        <w:t xml:space="preserve"> </w:t>
      </w:r>
      <w:r>
        <w:t>y</w:t>
      </w:r>
      <w:r w:rsidRPr="006C1DAB">
        <w:rPr>
          <w:spacing w:val="-12"/>
        </w:rPr>
        <w:t xml:space="preserve"> </w:t>
      </w:r>
      <w:r>
        <w:t>digitales</w:t>
      </w:r>
      <w:r w:rsidRPr="006C1DAB">
        <w:rPr>
          <w:spacing w:val="-10"/>
        </w:rPr>
        <w:t xml:space="preserve"> </w:t>
      </w:r>
      <w:r>
        <w:t>donde</w:t>
      </w:r>
      <w:r w:rsidRPr="006C1DAB">
        <w:rPr>
          <w:spacing w:val="-13"/>
        </w:rPr>
        <w:t xml:space="preserve"> </w:t>
      </w:r>
      <w:r>
        <w:lastRenderedPageBreak/>
        <w:t>reposa</w:t>
      </w:r>
      <w:r w:rsidRPr="006C1DAB">
        <w:rPr>
          <w:spacing w:val="-12"/>
        </w:rPr>
        <w:t xml:space="preserve"> </w:t>
      </w:r>
      <w:r>
        <w:t>el</w:t>
      </w:r>
      <w:r w:rsidRPr="006C1DAB">
        <w:rPr>
          <w:spacing w:val="-11"/>
        </w:rPr>
        <w:t xml:space="preserve"> </w:t>
      </w:r>
      <w:r>
        <w:t>legado de</w:t>
      </w:r>
      <w:r w:rsidRPr="006C1DAB">
        <w:rPr>
          <w:spacing w:val="-5"/>
        </w:rPr>
        <w:t xml:space="preserve"> </w:t>
      </w:r>
      <w:r>
        <w:t>la</w:t>
      </w:r>
      <w:r w:rsidRPr="006C1DAB">
        <w:rPr>
          <w:spacing w:val="-6"/>
        </w:rPr>
        <w:t xml:space="preserve"> </w:t>
      </w:r>
      <w:r>
        <w:t>Comisión</w:t>
      </w:r>
      <w:r w:rsidRPr="006C1DAB">
        <w:rPr>
          <w:spacing w:val="-5"/>
        </w:rPr>
        <w:t xml:space="preserve"> </w:t>
      </w:r>
      <w:r>
        <w:t>de</w:t>
      </w:r>
      <w:r w:rsidRPr="006C1DAB">
        <w:rPr>
          <w:spacing w:val="-5"/>
        </w:rPr>
        <w:t xml:space="preserve"> </w:t>
      </w:r>
      <w:r>
        <w:t>la</w:t>
      </w:r>
      <w:r w:rsidRPr="006C1DAB">
        <w:rPr>
          <w:spacing w:val="-5"/>
        </w:rPr>
        <w:t xml:space="preserve"> </w:t>
      </w:r>
      <w:r>
        <w:t>Verdad,</w:t>
      </w:r>
      <w:r w:rsidRPr="006C1DAB">
        <w:rPr>
          <w:spacing w:val="-5"/>
        </w:rPr>
        <w:t xml:space="preserve"> </w:t>
      </w:r>
      <w:r>
        <w:t>así</w:t>
      </w:r>
      <w:r w:rsidRPr="006C1DAB">
        <w:rPr>
          <w:spacing w:val="-6"/>
        </w:rPr>
        <w:t xml:space="preserve"> </w:t>
      </w:r>
      <w:r>
        <w:t>como</w:t>
      </w:r>
      <w:r w:rsidRPr="006C1DAB">
        <w:rPr>
          <w:spacing w:val="-5"/>
        </w:rPr>
        <w:t xml:space="preserve"> </w:t>
      </w:r>
      <w:r>
        <w:t>a</w:t>
      </w:r>
      <w:r w:rsidRPr="006C1DAB">
        <w:rPr>
          <w:spacing w:val="-5"/>
        </w:rPr>
        <w:t xml:space="preserve"> </w:t>
      </w:r>
      <w:r>
        <w:t>los</w:t>
      </w:r>
      <w:r w:rsidRPr="006C1DAB">
        <w:rPr>
          <w:spacing w:val="-5"/>
        </w:rPr>
        <w:t xml:space="preserve"> </w:t>
      </w:r>
      <w:r>
        <w:t>actores</w:t>
      </w:r>
      <w:r w:rsidRPr="006C1DAB">
        <w:rPr>
          <w:spacing w:val="-5"/>
        </w:rPr>
        <w:t xml:space="preserve"> </w:t>
      </w:r>
      <w:r>
        <w:t>y</w:t>
      </w:r>
      <w:r w:rsidRPr="006C1DAB">
        <w:rPr>
          <w:spacing w:val="-5"/>
        </w:rPr>
        <w:t xml:space="preserve"> </w:t>
      </w:r>
      <w:r>
        <w:t>sectores</w:t>
      </w:r>
      <w:r w:rsidRPr="006C1DAB">
        <w:rPr>
          <w:spacing w:val="-6"/>
        </w:rPr>
        <w:t xml:space="preserve"> </w:t>
      </w:r>
      <w:r>
        <w:t>que</w:t>
      </w:r>
      <w:r w:rsidRPr="006C1DAB">
        <w:rPr>
          <w:spacing w:val="-5"/>
        </w:rPr>
        <w:t xml:space="preserve"> </w:t>
      </w:r>
      <w:r>
        <w:t>participaron</w:t>
      </w:r>
      <w:r w:rsidRPr="006C1DAB">
        <w:rPr>
          <w:spacing w:val="-5"/>
        </w:rPr>
        <w:t xml:space="preserve"> </w:t>
      </w:r>
      <w:r>
        <w:t>en</w:t>
      </w:r>
      <w:r w:rsidRPr="006C1DAB">
        <w:rPr>
          <w:spacing w:val="-6"/>
        </w:rPr>
        <w:t xml:space="preserve"> </w:t>
      </w:r>
      <w:r>
        <w:t>su desarrollo, para identificar y comprender sus contenidos a profundidad.</w:t>
      </w:r>
    </w:p>
    <w:p w:rsidR="003804AC" w:rsidRDefault="00AF18A5" w:rsidP="006C1DAB">
      <w:pPr>
        <w:pStyle w:val="Prrafodelista"/>
        <w:numPr>
          <w:ilvl w:val="0"/>
          <w:numId w:val="69"/>
        </w:numPr>
      </w:pPr>
      <w:r w:rsidRPr="006C1DAB">
        <w:rPr>
          <w:b/>
        </w:rPr>
        <w:t xml:space="preserve">Difundir. </w:t>
      </w:r>
      <w:r>
        <w:t>Poner en circulación la información sobre las fuentes, características y contenidos del legado de la Comisión de manera que este llegue a conocimiento de más personas, organizaciones e instituciones.</w:t>
      </w:r>
    </w:p>
    <w:p w:rsidR="006C1DAB" w:rsidRDefault="00AF18A5" w:rsidP="006C1DAB">
      <w:pPr>
        <w:pStyle w:val="Prrafodelista"/>
        <w:numPr>
          <w:ilvl w:val="0"/>
          <w:numId w:val="69"/>
        </w:numPr>
      </w:pPr>
      <w:r w:rsidRPr="006C1DAB">
        <w:rPr>
          <w:b/>
        </w:rPr>
        <w:t xml:space="preserve">Darle continuidad. </w:t>
      </w:r>
      <w:r>
        <w:t>Incluir en sus procesos el desarrollo de acciones asociadas</w:t>
      </w:r>
      <w:r w:rsidRPr="006C1DAB">
        <w:rPr>
          <w:spacing w:val="33"/>
        </w:rPr>
        <w:t xml:space="preserve"> </w:t>
      </w:r>
      <w:r>
        <w:t>al</w:t>
      </w:r>
      <w:r w:rsidRPr="006C1DAB">
        <w:rPr>
          <w:spacing w:val="35"/>
        </w:rPr>
        <w:t xml:space="preserve"> </w:t>
      </w:r>
      <w:r>
        <w:t>legado</w:t>
      </w:r>
      <w:r w:rsidRPr="006C1DAB">
        <w:rPr>
          <w:spacing w:val="34"/>
        </w:rPr>
        <w:t xml:space="preserve"> </w:t>
      </w:r>
      <w:r>
        <w:t>de</w:t>
      </w:r>
      <w:r w:rsidRPr="006C1DAB">
        <w:rPr>
          <w:spacing w:val="35"/>
        </w:rPr>
        <w:t xml:space="preserve"> </w:t>
      </w:r>
      <w:r>
        <w:t>la</w:t>
      </w:r>
      <w:r w:rsidRPr="006C1DAB">
        <w:rPr>
          <w:spacing w:val="36"/>
        </w:rPr>
        <w:t xml:space="preserve"> </w:t>
      </w:r>
      <w:r>
        <w:t>Comisión</w:t>
      </w:r>
      <w:r w:rsidRPr="006C1DAB">
        <w:rPr>
          <w:spacing w:val="35"/>
        </w:rPr>
        <w:t xml:space="preserve"> </w:t>
      </w:r>
      <w:r>
        <w:t>de</w:t>
      </w:r>
      <w:r w:rsidRPr="006C1DAB">
        <w:rPr>
          <w:spacing w:val="35"/>
        </w:rPr>
        <w:t xml:space="preserve"> </w:t>
      </w:r>
      <w:r>
        <w:t>la</w:t>
      </w:r>
      <w:r w:rsidRPr="006C1DAB">
        <w:rPr>
          <w:spacing w:val="36"/>
        </w:rPr>
        <w:t xml:space="preserve"> </w:t>
      </w:r>
      <w:r>
        <w:t>Verdad,</w:t>
      </w:r>
      <w:r w:rsidRPr="006C1DAB">
        <w:rPr>
          <w:spacing w:val="36"/>
        </w:rPr>
        <w:t xml:space="preserve"> </w:t>
      </w:r>
      <w:r>
        <w:t>lo</w:t>
      </w:r>
      <w:r w:rsidRPr="006C1DAB">
        <w:rPr>
          <w:spacing w:val="36"/>
        </w:rPr>
        <w:t xml:space="preserve"> </w:t>
      </w:r>
      <w:r>
        <w:t>que</w:t>
      </w:r>
      <w:r w:rsidRPr="006C1DAB">
        <w:rPr>
          <w:spacing w:val="36"/>
        </w:rPr>
        <w:t xml:space="preserve"> </w:t>
      </w:r>
      <w:r>
        <w:t>comprende</w:t>
      </w:r>
      <w:r w:rsidRPr="006C1DAB">
        <w:rPr>
          <w:spacing w:val="35"/>
        </w:rPr>
        <w:t xml:space="preserve"> </w:t>
      </w:r>
      <w:r w:rsidRPr="006C1DAB">
        <w:rPr>
          <w:spacing w:val="-2"/>
        </w:rPr>
        <w:t>reflexiones,</w:t>
      </w:r>
      <w:r w:rsidR="006C1DAB">
        <w:rPr>
          <w:spacing w:val="-2"/>
        </w:rPr>
        <w:t xml:space="preserve"> </w:t>
      </w:r>
      <w:r>
        <w:t>narrativas,</w:t>
      </w:r>
      <w:r w:rsidRPr="006C1DAB">
        <w:rPr>
          <w:spacing w:val="40"/>
        </w:rPr>
        <w:t xml:space="preserve"> </w:t>
      </w:r>
      <w:r>
        <w:t>metodologías,</w:t>
      </w:r>
      <w:r w:rsidRPr="006C1DAB">
        <w:rPr>
          <w:spacing w:val="40"/>
        </w:rPr>
        <w:t xml:space="preserve"> </w:t>
      </w:r>
      <w:r>
        <w:t>procesos</w:t>
      </w:r>
      <w:r w:rsidRPr="006C1DAB">
        <w:rPr>
          <w:spacing w:val="40"/>
        </w:rPr>
        <w:t xml:space="preserve"> </w:t>
      </w:r>
      <w:r>
        <w:t>y</w:t>
      </w:r>
      <w:r w:rsidRPr="006C1DAB">
        <w:rPr>
          <w:spacing w:val="40"/>
        </w:rPr>
        <w:t xml:space="preserve"> </w:t>
      </w:r>
      <w:r>
        <w:t>productos</w:t>
      </w:r>
      <w:r w:rsidRPr="006C1DAB">
        <w:rPr>
          <w:spacing w:val="40"/>
        </w:rPr>
        <w:t xml:space="preserve"> </w:t>
      </w:r>
      <w:r>
        <w:t>de</w:t>
      </w:r>
      <w:r w:rsidRPr="006C1DAB">
        <w:rPr>
          <w:spacing w:val="40"/>
        </w:rPr>
        <w:t xml:space="preserve"> </w:t>
      </w:r>
      <w:r>
        <w:t>esclarecimiento</w:t>
      </w:r>
      <w:r w:rsidRPr="006C1DAB">
        <w:rPr>
          <w:spacing w:val="40"/>
        </w:rPr>
        <w:t xml:space="preserve"> </w:t>
      </w:r>
      <w:r>
        <w:t>de</w:t>
      </w:r>
      <w:r w:rsidRPr="006C1DAB">
        <w:rPr>
          <w:spacing w:val="40"/>
        </w:rPr>
        <w:t xml:space="preserve"> </w:t>
      </w:r>
      <w:r>
        <w:t>la</w:t>
      </w:r>
      <w:r w:rsidRPr="006C1DAB">
        <w:rPr>
          <w:spacing w:val="40"/>
        </w:rPr>
        <w:t xml:space="preserve"> </w:t>
      </w:r>
      <w:r>
        <w:t>verdad, convivencia, reconocimiento y no repetición.</w:t>
      </w:r>
    </w:p>
    <w:p w:rsidR="006C1DAB" w:rsidRDefault="006C1DAB">
      <w:pPr>
        <w:spacing w:before="0" w:after="0" w:line="240" w:lineRule="auto"/>
      </w:pPr>
      <w:r>
        <w:br w:type="page"/>
      </w:r>
    </w:p>
    <w:p w:rsidR="0011361F" w:rsidRDefault="00AF18A5" w:rsidP="00D81DAF">
      <w:pPr>
        <w:pStyle w:val="Ttulo2"/>
      </w:pPr>
      <w:bookmarkStart w:id="1697" w:name="BIBLIOGRAFÍA"/>
      <w:bookmarkStart w:id="1698" w:name="_Toc112399727"/>
      <w:bookmarkEnd w:id="1697"/>
      <w:r>
        <w:lastRenderedPageBreak/>
        <w:t>BIBLIOGRAFÍA</w:t>
      </w:r>
      <w:bookmarkEnd w:id="1698"/>
    </w:p>
    <w:p w:rsidR="003804AC" w:rsidRDefault="00AF18A5" w:rsidP="00D81DAF">
      <w:r>
        <w:t>Comisión</w:t>
      </w:r>
      <w:r>
        <w:rPr>
          <w:spacing w:val="-11"/>
        </w:rPr>
        <w:t xml:space="preserve"> </w:t>
      </w:r>
      <w:r>
        <w:t>de</w:t>
      </w:r>
      <w:r>
        <w:rPr>
          <w:spacing w:val="-12"/>
        </w:rPr>
        <w:t xml:space="preserve"> </w:t>
      </w:r>
      <w:r>
        <w:t>la</w:t>
      </w:r>
      <w:r>
        <w:rPr>
          <w:spacing w:val="-11"/>
        </w:rPr>
        <w:t xml:space="preserve"> </w:t>
      </w:r>
      <w:r>
        <w:t>Verdad.</w:t>
      </w:r>
      <w:r>
        <w:rPr>
          <w:spacing w:val="-11"/>
        </w:rPr>
        <w:t xml:space="preserve"> </w:t>
      </w:r>
      <w:r>
        <w:t>«Barrancabermeja</w:t>
      </w:r>
      <w:r>
        <w:rPr>
          <w:spacing w:val="-12"/>
        </w:rPr>
        <w:t xml:space="preserve"> </w:t>
      </w:r>
      <w:r>
        <w:t>conversa</w:t>
      </w:r>
      <w:r>
        <w:rPr>
          <w:spacing w:val="-11"/>
        </w:rPr>
        <w:t xml:space="preserve"> </w:t>
      </w:r>
      <w:r>
        <w:t>por</w:t>
      </w:r>
      <w:r>
        <w:rPr>
          <w:spacing w:val="-12"/>
        </w:rPr>
        <w:t xml:space="preserve"> </w:t>
      </w:r>
      <w:r>
        <w:t>la</w:t>
      </w:r>
      <w:r>
        <w:rPr>
          <w:spacing w:val="-11"/>
        </w:rPr>
        <w:t xml:space="preserve"> </w:t>
      </w:r>
      <w:r>
        <w:t>vida,</w:t>
      </w:r>
      <w:r>
        <w:rPr>
          <w:spacing w:val="-11"/>
        </w:rPr>
        <w:t xml:space="preserve"> </w:t>
      </w:r>
      <w:r>
        <w:t>la</w:t>
      </w:r>
      <w:r>
        <w:rPr>
          <w:spacing w:val="-11"/>
        </w:rPr>
        <w:t xml:space="preserve"> </w:t>
      </w:r>
      <w:r>
        <w:t>dignidad</w:t>
      </w:r>
      <w:r>
        <w:rPr>
          <w:spacing w:val="-11"/>
        </w:rPr>
        <w:t xml:space="preserve"> </w:t>
      </w:r>
      <w:r>
        <w:t>y</w:t>
      </w:r>
      <w:r>
        <w:rPr>
          <w:spacing w:val="-11"/>
        </w:rPr>
        <w:t xml:space="preserve"> </w:t>
      </w:r>
      <w:r>
        <w:t>la</w:t>
      </w:r>
      <w:r>
        <w:rPr>
          <w:spacing w:val="-12"/>
        </w:rPr>
        <w:t xml:space="preserve"> </w:t>
      </w:r>
      <w:r>
        <w:t>verdad</w:t>
      </w:r>
      <w:r>
        <w:rPr>
          <w:spacing w:val="-12"/>
        </w:rPr>
        <w:t xml:space="preserve"> </w:t>
      </w:r>
      <w:r>
        <w:t>en</w:t>
      </w:r>
      <w:r>
        <w:rPr>
          <w:spacing w:val="-11"/>
        </w:rPr>
        <w:t xml:space="preserve"> </w:t>
      </w:r>
      <w:r>
        <w:t>el</w:t>
      </w:r>
      <w:r>
        <w:rPr>
          <w:spacing w:val="-12"/>
        </w:rPr>
        <w:t xml:space="preserve"> </w:t>
      </w:r>
      <w:r>
        <w:t>Magdalena Medio». 13 de octubre de 2021. https://</w:t>
      </w:r>
      <w:r w:rsidR="00400D25" w:rsidRPr="00D81DAF">
        <w:t>www.youtube.com/watch?v=gZF6MzN1sbc</w:t>
      </w:r>
    </w:p>
    <w:p w:rsidR="003804AC" w:rsidRDefault="00AF18A5" w:rsidP="00D81DAF">
      <w:r>
        <w:t>Comisión</w:t>
      </w:r>
      <w:r>
        <w:rPr>
          <w:spacing w:val="-11"/>
        </w:rPr>
        <w:t xml:space="preserve"> </w:t>
      </w:r>
      <w:r>
        <w:t>Global</w:t>
      </w:r>
      <w:r>
        <w:rPr>
          <w:spacing w:val="-10"/>
        </w:rPr>
        <w:t xml:space="preserve"> </w:t>
      </w:r>
      <w:r>
        <w:t>de</w:t>
      </w:r>
      <w:r>
        <w:rPr>
          <w:spacing w:val="-10"/>
        </w:rPr>
        <w:t xml:space="preserve"> </w:t>
      </w:r>
      <w:r>
        <w:t>Políticas</w:t>
      </w:r>
      <w:r>
        <w:rPr>
          <w:spacing w:val="-10"/>
        </w:rPr>
        <w:t xml:space="preserve"> </w:t>
      </w:r>
      <w:r>
        <w:t>de</w:t>
      </w:r>
      <w:r>
        <w:rPr>
          <w:spacing w:val="-12"/>
        </w:rPr>
        <w:t xml:space="preserve"> </w:t>
      </w:r>
      <w:r>
        <w:t>Drogas.</w:t>
      </w:r>
      <w:r>
        <w:rPr>
          <w:spacing w:val="-11"/>
        </w:rPr>
        <w:t xml:space="preserve"> </w:t>
      </w:r>
      <w:r>
        <w:t>«Regulación:</w:t>
      </w:r>
      <w:r>
        <w:rPr>
          <w:spacing w:val="-10"/>
        </w:rPr>
        <w:t xml:space="preserve"> </w:t>
      </w:r>
      <w:r>
        <w:t>El</w:t>
      </w:r>
      <w:r>
        <w:rPr>
          <w:spacing w:val="-10"/>
        </w:rPr>
        <w:t xml:space="preserve"> </w:t>
      </w:r>
      <w:r>
        <w:t>Control</w:t>
      </w:r>
      <w:r>
        <w:rPr>
          <w:spacing w:val="-10"/>
        </w:rPr>
        <w:t xml:space="preserve"> </w:t>
      </w:r>
      <w:r>
        <w:t>Responsable</w:t>
      </w:r>
      <w:r>
        <w:rPr>
          <w:spacing w:val="-10"/>
        </w:rPr>
        <w:t xml:space="preserve"> </w:t>
      </w:r>
      <w:r>
        <w:t>de</w:t>
      </w:r>
      <w:r>
        <w:rPr>
          <w:spacing w:val="-12"/>
        </w:rPr>
        <w:t xml:space="preserve"> </w:t>
      </w:r>
      <w:r>
        <w:t>las</w:t>
      </w:r>
      <w:r>
        <w:rPr>
          <w:spacing w:val="-10"/>
        </w:rPr>
        <w:t xml:space="preserve"> </w:t>
      </w:r>
      <w:r>
        <w:t>Drogas.</w:t>
      </w:r>
      <w:r>
        <w:rPr>
          <w:spacing w:val="-11"/>
        </w:rPr>
        <w:t xml:space="preserve"> </w:t>
      </w:r>
      <w:r>
        <w:t>Comisión Global de Política de Drogas». Módulo de Captura, Comisión para el Esclarecimiento de la Verdad, la Convivencia y la No Repetición. 2018.</w:t>
      </w:r>
    </w:p>
    <w:p w:rsidR="0011361F" w:rsidRDefault="00AF18A5" w:rsidP="00D81DAF">
      <w:r>
        <w:t>«Retos</w:t>
      </w:r>
      <w:r>
        <w:rPr>
          <w:spacing w:val="-4"/>
        </w:rPr>
        <w:t xml:space="preserve"> </w:t>
      </w:r>
      <w:r>
        <w:t>Humanitarios</w:t>
      </w:r>
      <w:r>
        <w:rPr>
          <w:spacing w:val="-1"/>
        </w:rPr>
        <w:t xml:space="preserve"> </w:t>
      </w:r>
      <w:r>
        <w:t>2022,</w:t>
      </w:r>
      <w:r>
        <w:rPr>
          <w:spacing w:val="-2"/>
        </w:rPr>
        <w:t xml:space="preserve"> </w:t>
      </w:r>
      <w:r>
        <w:t>Colombia».</w:t>
      </w:r>
      <w:r>
        <w:rPr>
          <w:spacing w:val="-1"/>
        </w:rPr>
        <w:t xml:space="preserve"> </w:t>
      </w:r>
      <w:r>
        <w:t>Comité</w:t>
      </w:r>
      <w:r>
        <w:rPr>
          <w:spacing w:val="-3"/>
        </w:rPr>
        <w:t xml:space="preserve"> </w:t>
      </w:r>
      <w:r>
        <w:t>Internacional</w:t>
      </w:r>
      <w:r>
        <w:rPr>
          <w:spacing w:val="-2"/>
        </w:rPr>
        <w:t xml:space="preserve"> </w:t>
      </w:r>
      <w:r>
        <w:t>de</w:t>
      </w:r>
      <w:r>
        <w:rPr>
          <w:spacing w:val="-2"/>
        </w:rPr>
        <w:t xml:space="preserve"> </w:t>
      </w:r>
      <w:r>
        <w:t>la</w:t>
      </w:r>
      <w:r>
        <w:rPr>
          <w:spacing w:val="-1"/>
        </w:rPr>
        <w:t xml:space="preserve"> </w:t>
      </w:r>
      <w:r>
        <w:t>Cruz</w:t>
      </w:r>
      <w:r>
        <w:rPr>
          <w:spacing w:val="-3"/>
        </w:rPr>
        <w:t xml:space="preserve"> </w:t>
      </w:r>
      <w:r>
        <w:t>Roja</w:t>
      </w:r>
      <w:r>
        <w:rPr>
          <w:spacing w:val="-1"/>
        </w:rPr>
        <w:t xml:space="preserve"> </w:t>
      </w:r>
      <w:r>
        <w:t>(CICR).</w:t>
      </w:r>
      <w:r>
        <w:rPr>
          <w:spacing w:val="-1"/>
        </w:rPr>
        <w:t xml:space="preserve"> </w:t>
      </w:r>
      <w:r>
        <w:rPr>
          <w:spacing w:val="-2"/>
        </w:rPr>
        <w:t>2021.</w:t>
      </w:r>
    </w:p>
    <w:p w:rsidR="003804AC" w:rsidRDefault="00AF18A5" w:rsidP="00D81DAF">
      <w:r>
        <w:t xml:space="preserve">Congreso de la República. Ley 1908 de 2019, Recuperado de: </w:t>
      </w:r>
      <w:r>
        <w:rPr>
          <w:spacing w:val="-2"/>
        </w:rPr>
        <w:t>https://</w:t>
      </w:r>
      <w:hyperlink r:id="rId215">
        <w:r>
          <w:rPr>
            <w:spacing w:val="-2"/>
          </w:rPr>
          <w:t>www.funcionpublica.gov.co/eva/gestornormativo/norma.php?i=85922.</w:t>
        </w:r>
      </w:hyperlink>
    </w:p>
    <w:p w:rsidR="003804AC" w:rsidRDefault="00AF18A5" w:rsidP="00D81DAF">
      <w:r>
        <w:t>Contraloría General de la Nación. «Quinto Informe sobre la Ejecución y Cumplimiento a las metas del componente de paz del Plan Plurianual de Inversiones». Módulo de Captura, Comisión para el Esclarecimiento de la Verdad, la Convivencia y la No Repetición. 2021.</w:t>
      </w:r>
    </w:p>
    <w:p w:rsidR="003804AC" w:rsidRDefault="00AF18A5" w:rsidP="00D81DAF">
      <w:r>
        <w:t>Diaz, Catalina, Nelson Camilo Sánchez, y Rodrigo Uprimny. Reparar en Colombia: los dilemas en contextos de conflicto, pobreza y exclusión. Bogotá, 2009.</w:t>
      </w:r>
    </w:p>
    <w:p w:rsidR="003804AC" w:rsidRDefault="00AF18A5" w:rsidP="00D81DAF">
      <w:r>
        <w:t>El</w:t>
      </w:r>
      <w:r>
        <w:rPr>
          <w:spacing w:val="-15"/>
        </w:rPr>
        <w:t xml:space="preserve"> </w:t>
      </w:r>
      <w:r>
        <w:t>Espectador,</w:t>
      </w:r>
      <w:r>
        <w:rPr>
          <w:spacing w:val="-15"/>
        </w:rPr>
        <w:t xml:space="preserve"> </w:t>
      </w:r>
      <w:r>
        <w:t>El.</w:t>
      </w:r>
      <w:r>
        <w:rPr>
          <w:spacing w:val="-15"/>
        </w:rPr>
        <w:t xml:space="preserve"> </w:t>
      </w:r>
      <w:r>
        <w:t>«La</w:t>
      </w:r>
      <w:r>
        <w:rPr>
          <w:spacing w:val="-15"/>
        </w:rPr>
        <w:t xml:space="preserve"> </w:t>
      </w:r>
      <w:r>
        <w:t>crisis</w:t>
      </w:r>
      <w:r>
        <w:rPr>
          <w:spacing w:val="-15"/>
        </w:rPr>
        <w:t xml:space="preserve"> </w:t>
      </w:r>
      <w:r>
        <w:t>económica</w:t>
      </w:r>
      <w:r>
        <w:rPr>
          <w:spacing w:val="-15"/>
        </w:rPr>
        <w:t xml:space="preserve"> </w:t>
      </w:r>
      <w:r>
        <w:t>de</w:t>
      </w:r>
      <w:r>
        <w:rPr>
          <w:spacing w:val="-15"/>
        </w:rPr>
        <w:t xml:space="preserve"> </w:t>
      </w:r>
      <w:r>
        <w:t>la</w:t>
      </w:r>
      <w:r>
        <w:rPr>
          <w:spacing w:val="-15"/>
        </w:rPr>
        <w:t xml:space="preserve"> </w:t>
      </w:r>
      <w:r>
        <w:t>Casa</w:t>
      </w:r>
      <w:r>
        <w:rPr>
          <w:spacing w:val="-15"/>
        </w:rPr>
        <w:t xml:space="preserve"> </w:t>
      </w:r>
      <w:r>
        <w:t>de</w:t>
      </w:r>
      <w:r>
        <w:rPr>
          <w:spacing w:val="-15"/>
        </w:rPr>
        <w:t xml:space="preserve"> </w:t>
      </w:r>
      <w:r>
        <w:t>la</w:t>
      </w:r>
      <w:r>
        <w:rPr>
          <w:spacing w:val="-15"/>
        </w:rPr>
        <w:t xml:space="preserve"> </w:t>
      </w:r>
      <w:r>
        <w:t>Memoria</w:t>
      </w:r>
      <w:r>
        <w:rPr>
          <w:spacing w:val="-15"/>
        </w:rPr>
        <w:t xml:space="preserve"> </w:t>
      </w:r>
      <w:r>
        <w:t>de</w:t>
      </w:r>
      <w:r>
        <w:rPr>
          <w:spacing w:val="-15"/>
        </w:rPr>
        <w:t xml:space="preserve"> </w:t>
      </w:r>
      <w:r>
        <w:t>Tumaco</w:t>
      </w:r>
      <w:r>
        <w:rPr>
          <w:spacing w:val="-15"/>
        </w:rPr>
        <w:t xml:space="preserve"> </w:t>
      </w:r>
      <w:r>
        <w:t>por</w:t>
      </w:r>
      <w:r>
        <w:rPr>
          <w:spacing w:val="-15"/>
        </w:rPr>
        <w:t xml:space="preserve"> </w:t>
      </w:r>
      <w:r>
        <w:t>la</w:t>
      </w:r>
      <w:r>
        <w:rPr>
          <w:spacing w:val="-15"/>
        </w:rPr>
        <w:t xml:space="preserve"> </w:t>
      </w:r>
      <w:r>
        <w:t>que</w:t>
      </w:r>
      <w:r>
        <w:rPr>
          <w:spacing w:val="-15"/>
        </w:rPr>
        <w:t xml:space="preserve"> </w:t>
      </w:r>
      <w:r>
        <w:t>nadie</w:t>
      </w:r>
      <w:r>
        <w:rPr>
          <w:spacing w:val="-15"/>
        </w:rPr>
        <w:t xml:space="preserve"> </w:t>
      </w:r>
      <w:r>
        <w:t>responde». Acceso el</w:t>
      </w:r>
      <w:r>
        <w:rPr>
          <w:spacing w:val="-1"/>
        </w:rPr>
        <w:t xml:space="preserve"> </w:t>
      </w:r>
      <w:r>
        <w:t>27 de junio de 2022. https://</w:t>
      </w:r>
      <w:hyperlink r:id="rId216">
        <w:r>
          <w:t>www.elespectador.com/colombia-20/paz-y-memoria/casa-</w:t>
        </w:r>
      </w:hyperlink>
      <w:r>
        <w:t xml:space="preserve"> </w:t>
      </w:r>
      <w:r>
        <w:rPr>
          <w:spacing w:val="-2"/>
        </w:rPr>
        <w:t>de-la-memoria-de-tumaco-esta-a-punto-de-cerrar-por-falta-de-recursos/.</w:t>
      </w:r>
    </w:p>
    <w:p w:rsidR="003804AC" w:rsidRDefault="00AF18A5" w:rsidP="00D81DAF">
      <w:r>
        <w:lastRenderedPageBreak/>
        <w:t>Entrevista 341-VI-00014. Estudiante de derecho, hijo de militar víctima de secuestro y desaparición. Tomada</w:t>
      </w:r>
      <w:r>
        <w:rPr>
          <w:spacing w:val="-1"/>
        </w:rPr>
        <w:t xml:space="preserve"> </w:t>
      </w:r>
      <w:r>
        <w:t>por</w:t>
      </w:r>
      <w:r>
        <w:rPr>
          <w:spacing w:val="-2"/>
        </w:rPr>
        <w:t xml:space="preserve"> </w:t>
      </w:r>
      <w:r>
        <w:t>Comisión</w:t>
      </w:r>
      <w:r>
        <w:rPr>
          <w:spacing w:val="-1"/>
        </w:rPr>
        <w:t xml:space="preserve"> </w:t>
      </w:r>
      <w:r>
        <w:t>para</w:t>
      </w:r>
      <w:r>
        <w:rPr>
          <w:spacing w:val="-1"/>
        </w:rPr>
        <w:t xml:space="preserve"> </w:t>
      </w:r>
      <w:r>
        <w:t>el</w:t>
      </w:r>
      <w:r>
        <w:rPr>
          <w:spacing w:val="-1"/>
        </w:rPr>
        <w:t xml:space="preserve"> </w:t>
      </w:r>
      <w:r>
        <w:t>Esclarecimiento</w:t>
      </w:r>
      <w:r>
        <w:rPr>
          <w:spacing w:val="-1"/>
        </w:rPr>
        <w:t xml:space="preserve"> </w:t>
      </w:r>
      <w:r>
        <w:t>de</w:t>
      </w:r>
      <w:r>
        <w:rPr>
          <w:spacing w:val="-1"/>
        </w:rPr>
        <w:t xml:space="preserve"> </w:t>
      </w:r>
      <w:r>
        <w:t>la</w:t>
      </w:r>
      <w:r>
        <w:rPr>
          <w:spacing w:val="-1"/>
        </w:rPr>
        <w:t xml:space="preserve"> </w:t>
      </w:r>
      <w:r>
        <w:t>Verdad,</w:t>
      </w:r>
      <w:r>
        <w:rPr>
          <w:spacing w:val="-1"/>
        </w:rPr>
        <w:t xml:space="preserve"> </w:t>
      </w:r>
      <w:r>
        <w:t>la</w:t>
      </w:r>
      <w:r>
        <w:rPr>
          <w:spacing w:val="-1"/>
        </w:rPr>
        <w:t xml:space="preserve"> </w:t>
      </w:r>
      <w:r>
        <w:t>Convivencia</w:t>
      </w:r>
      <w:r>
        <w:rPr>
          <w:spacing w:val="-1"/>
        </w:rPr>
        <w:t xml:space="preserve"> </w:t>
      </w:r>
      <w:r>
        <w:t>y</w:t>
      </w:r>
      <w:r>
        <w:rPr>
          <w:spacing w:val="-1"/>
        </w:rPr>
        <w:t xml:space="preserve"> </w:t>
      </w:r>
      <w:r>
        <w:t>la</w:t>
      </w:r>
      <w:r>
        <w:rPr>
          <w:spacing w:val="-1"/>
        </w:rPr>
        <w:t xml:space="preserve"> </w:t>
      </w:r>
      <w:r>
        <w:t>No</w:t>
      </w:r>
      <w:r>
        <w:rPr>
          <w:spacing w:val="-1"/>
        </w:rPr>
        <w:t xml:space="preserve"> </w:t>
      </w:r>
      <w:r>
        <w:t>Repetición</w:t>
      </w:r>
      <w:r>
        <w:rPr>
          <w:spacing w:val="-3"/>
        </w:rPr>
        <w:t xml:space="preserve"> </w:t>
      </w:r>
      <w:r>
        <w:t>- CEV. 2019.</w:t>
      </w:r>
    </w:p>
    <w:p w:rsidR="003804AC" w:rsidRDefault="00AF18A5" w:rsidP="00D81DAF">
      <w:r>
        <w:t>Instituto Kroc. Cinco años después de la firma del Acuerdo Final: Reflexiones desde el monitoreo a la implementación. Bogotá, 2022.</w:t>
      </w:r>
    </w:p>
    <w:p w:rsidR="003804AC" w:rsidRDefault="00AF18A5" w:rsidP="00D81DAF">
      <w:r>
        <w:t xml:space="preserve">Corte Constitucional. Sentencia C-281/17. Magistrado Ponente: Aquiles Arrieta Gómez. 3 de mayo de </w:t>
      </w:r>
      <w:r>
        <w:rPr>
          <w:spacing w:val="-4"/>
        </w:rPr>
        <w:t>2017</w:t>
      </w:r>
    </w:p>
    <w:p w:rsidR="003804AC" w:rsidRDefault="00AF18A5" w:rsidP="00D81DAF">
      <w:r>
        <w:t>Corte</w:t>
      </w:r>
      <w:r>
        <w:rPr>
          <w:spacing w:val="40"/>
        </w:rPr>
        <w:t xml:space="preserve"> </w:t>
      </w:r>
      <w:r>
        <w:t>Constitucional.</w:t>
      </w:r>
      <w:r>
        <w:rPr>
          <w:spacing w:val="40"/>
        </w:rPr>
        <w:t xml:space="preserve"> </w:t>
      </w:r>
      <w:r>
        <w:t>Sentencia</w:t>
      </w:r>
      <w:r>
        <w:rPr>
          <w:spacing w:val="40"/>
        </w:rPr>
        <w:t xml:space="preserve"> </w:t>
      </w:r>
      <w:r>
        <w:t>C-674/17.</w:t>
      </w:r>
      <w:r>
        <w:rPr>
          <w:spacing w:val="40"/>
        </w:rPr>
        <w:t xml:space="preserve"> </w:t>
      </w:r>
      <w:r>
        <w:t>Magistrado</w:t>
      </w:r>
      <w:r>
        <w:rPr>
          <w:spacing w:val="40"/>
        </w:rPr>
        <w:t xml:space="preserve"> </w:t>
      </w:r>
      <w:r>
        <w:t>Ponente:</w:t>
      </w:r>
      <w:r>
        <w:rPr>
          <w:spacing w:val="40"/>
        </w:rPr>
        <w:t xml:space="preserve"> </w:t>
      </w:r>
      <w:r>
        <w:t>Luis</w:t>
      </w:r>
      <w:r>
        <w:rPr>
          <w:spacing w:val="40"/>
        </w:rPr>
        <w:t xml:space="preserve"> </w:t>
      </w:r>
      <w:r>
        <w:t>Guillermo</w:t>
      </w:r>
      <w:r>
        <w:rPr>
          <w:spacing w:val="40"/>
        </w:rPr>
        <w:t xml:space="preserve"> </w:t>
      </w:r>
      <w:r>
        <w:t>Guerrero.</w:t>
      </w:r>
      <w:r>
        <w:rPr>
          <w:spacing w:val="40"/>
        </w:rPr>
        <w:t xml:space="preserve"> </w:t>
      </w:r>
      <w:r>
        <w:t>14</w:t>
      </w:r>
      <w:r>
        <w:rPr>
          <w:spacing w:val="40"/>
        </w:rPr>
        <w:t xml:space="preserve"> </w:t>
      </w:r>
      <w:r>
        <w:t>de</w:t>
      </w:r>
      <w:r>
        <w:rPr>
          <w:spacing w:val="80"/>
        </w:rPr>
        <w:t xml:space="preserve"> </w:t>
      </w:r>
      <w:r>
        <w:t>noviembre de 2017</w:t>
      </w:r>
    </w:p>
    <w:p w:rsidR="0011361F" w:rsidRDefault="00AF18A5" w:rsidP="00D81DAF">
      <w:r>
        <w:t>Ministerio</w:t>
      </w:r>
      <w:r>
        <w:rPr>
          <w:spacing w:val="-2"/>
        </w:rPr>
        <w:t xml:space="preserve"> </w:t>
      </w:r>
      <w:r>
        <w:t>de</w:t>
      </w:r>
      <w:r>
        <w:rPr>
          <w:spacing w:val="-2"/>
        </w:rPr>
        <w:t xml:space="preserve"> </w:t>
      </w:r>
      <w:r>
        <w:t>Interior.</w:t>
      </w:r>
      <w:r>
        <w:rPr>
          <w:spacing w:val="-2"/>
        </w:rPr>
        <w:t xml:space="preserve"> </w:t>
      </w:r>
      <w:r>
        <w:t>Resolución</w:t>
      </w:r>
      <w:r>
        <w:rPr>
          <w:spacing w:val="-2"/>
        </w:rPr>
        <w:t xml:space="preserve"> </w:t>
      </w:r>
      <w:r>
        <w:t>0845</w:t>
      </w:r>
      <w:r>
        <w:rPr>
          <w:spacing w:val="-2"/>
        </w:rPr>
        <w:t xml:space="preserve"> </w:t>
      </w:r>
      <w:r>
        <w:t>de</w:t>
      </w:r>
      <w:r>
        <w:rPr>
          <w:spacing w:val="-1"/>
        </w:rPr>
        <w:t xml:space="preserve"> </w:t>
      </w:r>
      <w:r>
        <w:rPr>
          <w:spacing w:val="-4"/>
        </w:rPr>
        <w:t>2018</w:t>
      </w:r>
    </w:p>
    <w:p w:rsidR="003804AC" w:rsidRDefault="00AF18A5" w:rsidP="00D81DAF">
      <w:r>
        <w:t>Ministerio</w:t>
      </w:r>
      <w:r>
        <w:rPr>
          <w:spacing w:val="72"/>
        </w:rPr>
        <w:t xml:space="preserve"> </w:t>
      </w:r>
      <w:r>
        <w:t>de</w:t>
      </w:r>
      <w:r>
        <w:rPr>
          <w:spacing w:val="72"/>
        </w:rPr>
        <w:t xml:space="preserve"> </w:t>
      </w:r>
      <w:r>
        <w:t>Salud</w:t>
      </w:r>
      <w:r>
        <w:rPr>
          <w:spacing w:val="72"/>
        </w:rPr>
        <w:t xml:space="preserve"> </w:t>
      </w:r>
      <w:r>
        <w:t>y</w:t>
      </w:r>
      <w:r>
        <w:rPr>
          <w:spacing w:val="72"/>
        </w:rPr>
        <w:t xml:space="preserve"> </w:t>
      </w:r>
      <w:r>
        <w:t>Protección</w:t>
      </w:r>
      <w:r>
        <w:rPr>
          <w:spacing w:val="71"/>
        </w:rPr>
        <w:t xml:space="preserve"> </w:t>
      </w:r>
      <w:r>
        <w:t>Social</w:t>
      </w:r>
      <w:r>
        <w:rPr>
          <w:spacing w:val="73"/>
        </w:rPr>
        <w:t xml:space="preserve"> </w:t>
      </w:r>
      <w:r>
        <w:t>(Minsalud).</w:t>
      </w:r>
      <w:r>
        <w:rPr>
          <w:spacing w:val="72"/>
        </w:rPr>
        <w:t xml:space="preserve"> </w:t>
      </w:r>
      <w:r>
        <w:t>Resolución</w:t>
      </w:r>
      <w:r>
        <w:rPr>
          <w:spacing w:val="72"/>
        </w:rPr>
        <w:t xml:space="preserve"> </w:t>
      </w:r>
      <w:r>
        <w:t>089</w:t>
      </w:r>
      <w:r>
        <w:rPr>
          <w:spacing w:val="72"/>
        </w:rPr>
        <w:t xml:space="preserve"> </w:t>
      </w:r>
      <w:r>
        <w:t>de</w:t>
      </w:r>
      <w:r>
        <w:rPr>
          <w:spacing w:val="72"/>
        </w:rPr>
        <w:t xml:space="preserve"> </w:t>
      </w:r>
      <w:r>
        <w:t>2019,</w:t>
      </w:r>
      <w:r>
        <w:rPr>
          <w:spacing w:val="72"/>
        </w:rPr>
        <w:t xml:space="preserve"> </w:t>
      </w:r>
      <w:r>
        <w:t>Recuperado</w:t>
      </w:r>
      <w:r>
        <w:rPr>
          <w:spacing w:val="72"/>
        </w:rPr>
        <w:t xml:space="preserve"> </w:t>
      </w:r>
      <w:r>
        <w:t xml:space="preserve">de: </w:t>
      </w:r>
      <w:r>
        <w:rPr>
          <w:spacing w:val="-2"/>
        </w:rPr>
        <w:t>https:</w:t>
      </w:r>
      <w:hyperlink r:id="rId217">
        <w:r>
          <w:rPr>
            <w:spacing w:val="-2"/>
          </w:rPr>
          <w:t>//w</w:t>
        </w:r>
      </w:hyperlink>
      <w:r>
        <w:rPr>
          <w:spacing w:val="-2"/>
        </w:rPr>
        <w:t>ww</w:t>
      </w:r>
      <w:hyperlink r:id="rId218">
        <w:r>
          <w:rPr>
            <w:spacing w:val="-2"/>
          </w:rPr>
          <w:t>.minsalud.gov.co/sites/rid/Lists/BibliotecaDigital/RIDE/DE/DIJ/resolucion-089-de-</w:t>
        </w:r>
      </w:hyperlink>
      <w:r>
        <w:rPr>
          <w:spacing w:val="-2"/>
        </w:rPr>
        <w:t xml:space="preserve"> 2019.pdf.</w:t>
      </w:r>
    </w:p>
    <w:p w:rsidR="0011361F" w:rsidRDefault="00AF18A5" w:rsidP="00D81DAF">
      <w:r>
        <w:t>«Informe</w:t>
      </w:r>
      <w:r>
        <w:rPr>
          <w:spacing w:val="-4"/>
        </w:rPr>
        <w:t xml:space="preserve"> </w:t>
      </w:r>
      <w:r>
        <w:t>Misión</w:t>
      </w:r>
      <w:r>
        <w:rPr>
          <w:spacing w:val="-2"/>
        </w:rPr>
        <w:t xml:space="preserve"> </w:t>
      </w:r>
      <w:r>
        <w:t>Especial</w:t>
      </w:r>
      <w:r>
        <w:rPr>
          <w:spacing w:val="-2"/>
        </w:rPr>
        <w:t xml:space="preserve"> </w:t>
      </w:r>
      <w:r>
        <w:t>Electoral</w:t>
      </w:r>
      <w:r>
        <w:rPr>
          <w:spacing w:val="-3"/>
        </w:rPr>
        <w:t xml:space="preserve"> </w:t>
      </w:r>
      <w:r>
        <w:t>(2016)».</w:t>
      </w:r>
      <w:r>
        <w:rPr>
          <w:spacing w:val="-1"/>
        </w:rPr>
        <w:t xml:space="preserve"> </w:t>
      </w:r>
      <w:r>
        <w:t>Misión</w:t>
      </w:r>
      <w:r>
        <w:rPr>
          <w:spacing w:val="-2"/>
        </w:rPr>
        <w:t xml:space="preserve"> </w:t>
      </w:r>
      <w:r>
        <w:t>de</w:t>
      </w:r>
      <w:r>
        <w:rPr>
          <w:spacing w:val="-2"/>
        </w:rPr>
        <w:t xml:space="preserve"> </w:t>
      </w:r>
      <w:r>
        <w:t>Observación</w:t>
      </w:r>
      <w:r>
        <w:rPr>
          <w:spacing w:val="-2"/>
        </w:rPr>
        <w:t xml:space="preserve"> </w:t>
      </w:r>
      <w:r>
        <w:t>Electoral</w:t>
      </w:r>
      <w:r>
        <w:rPr>
          <w:spacing w:val="-2"/>
        </w:rPr>
        <w:t xml:space="preserve"> </w:t>
      </w:r>
      <w:r>
        <w:t>(MOE).</w:t>
      </w:r>
      <w:r>
        <w:rPr>
          <w:spacing w:val="-1"/>
        </w:rPr>
        <w:t xml:space="preserve"> </w:t>
      </w:r>
      <w:r>
        <w:rPr>
          <w:spacing w:val="-2"/>
        </w:rPr>
        <w:t>2016.</w:t>
      </w:r>
    </w:p>
    <w:p w:rsidR="0011361F" w:rsidRDefault="00AF18A5" w:rsidP="00D81DAF">
      <w:r>
        <w:t>Misión</w:t>
      </w:r>
      <w:r>
        <w:rPr>
          <w:spacing w:val="-15"/>
        </w:rPr>
        <w:t xml:space="preserve"> </w:t>
      </w:r>
      <w:r>
        <w:t>de</w:t>
      </w:r>
      <w:r>
        <w:rPr>
          <w:spacing w:val="-15"/>
        </w:rPr>
        <w:t xml:space="preserve"> </w:t>
      </w:r>
      <w:r>
        <w:t>Verificación</w:t>
      </w:r>
      <w:r>
        <w:rPr>
          <w:spacing w:val="-15"/>
        </w:rPr>
        <w:t xml:space="preserve"> </w:t>
      </w:r>
      <w:r>
        <w:t>de</w:t>
      </w:r>
      <w:r>
        <w:rPr>
          <w:spacing w:val="-15"/>
        </w:rPr>
        <w:t xml:space="preserve"> </w:t>
      </w:r>
      <w:r>
        <w:t>las</w:t>
      </w:r>
      <w:r>
        <w:rPr>
          <w:spacing w:val="-15"/>
        </w:rPr>
        <w:t xml:space="preserve"> </w:t>
      </w:r>
      <w:r>
        <w:t>Naciones</w:t>
      </w:r>
      <w:r>
        <w:rPr>
          <w:spacing w:val="-15"/>
        </w:rPr>
        <w:t xml:space="preserve"> </w:t>
      </w:r>
      <w:r>
        <w:t>Unidas</w:t>
      </w:r>
      <w:r>
        <w:rPr>
          <w:spacing w:val="-15"/>
        </w:rPr>
        <w:t xml:space="preserve"> </w:t>
      </w:r>
      <w:r>
        <w:t>en</w:t>
      </w:r>
      <w:r>
        <w:rPr>
          <w:spacing w:val="-15"/>
        </w:rPr>
        <w:t xml:space="preserve"> </w:t>
      </w:r>
      <w:r>
        <w:t>Colombia.</w:t>
      </w:r>
      <w:r>
        <w:rPr>
          <w:spacing w:val="-15"/>
        </w:rPr>
        <w:t xml:space="preserve"> </w:t>
      </w:r>
      <w:r>
        <w:t>«Informe</w:t>
      </w:r>
      <w:r>
        <w:rPr>
          <w:spacing w:val="-15"/>
        </w:rPr>
        <w:t xml:space="preserve"> </w:t>
      </w:r>
      <w:r>
        <w:t>Trimestral</w:t>
      </w:r>
      <w:r>
        <w:rPr>
          <w:spacing w:val="-15"/>
        </w:rPr>
        <w:t xml:space="preserve"> </w:t>
      </w:r>
      <w:r>
        <w:t>del</w:t>
      </w:r>
      <w:r>
        <w:rPr>
          <w:spacing w:val="-15"/>
        </w:rPr>
        <w:t xml:space="preserve"> </w:t>
      </w:r>
      <w:r>
        <w:t>Secretario</w:t>
      </w:r>
      <w:r>
        <w:rPr>
          <w:spacing w:val="-15"/>
        </w:rPr>
        <w:t xml:space="preserve"> </w:t>
      </w:r>
      <w:r>
        <w:t xml:space="preserve">General </w:t>
      </w:r>
      <w:r>
        <w:rPr>
          <w:spacing w:val="-4"/>
        </w:rPr>
        <w:t>ante</w:t>
      </w:r>
      <w:r w:rsidR="00D81DAF">
        <w:rPr>
          <w:spacing w:val="-4"/>
        </w:rPr>
        <w:t xml:space="preserve"> </w:t>
      </w:r>
      <w:r>
        <w:rPr>
          <w:spacing w:val="-5"/>
        </w:rPr>
        <w:t>el</w:t>
      </w:r>
      <w:r w:rsidR="00D81DAF">
        <w:rPr>
          <w:spacing w:val="-5"/>
        </w:rPr>
        <w:t xml:space="preserve"> </w:t>
      </w:r>
      <w:r>
        <w:rPr>
          <w:spacing w:val="-2"/>
        </w:rPr>
        <w:t>Consejo</w:t>
      </w:r>
      <w:r w:rsidR="00D81DAF">
        <w:rPr>
          <w:spacing w:val="-2"/>
        </w:rPr>
        <w:t xml:space="preserve"> </w:t>
      </w:r>
      <w:r>
        <w:rPr>
          <w:spacing w:val="-5"/>
        </w:rPr>
        <w:t>de</w:t>
      </w:r>
      <w:r w:rsidR="00D81DAF">
        <w:rPr>
          <w:spacing w:val="-5"/>
        </w:rPr>
        <w:t xml:space="preserve"> </w:t>
      </w:r>
      <w:r>
        <w:rPr>
          <w:spacing w:val="-2"/>
        </w:rPr>
        <w:t>Seguridad».</w:t>
      </w:r>
      <w:r w:rsidR="00D81DAF">
        <w:rPr>
          <w:spacing w:val="-2"/>
        </w:rPr>
        <w:t xml:space="preserve"> </w:t>
      </w:r>
      <w:r>
        <w:rPr>
          <w:spacing w:val="-2"/>
        </w:rPr>
        <w:t>2021.</w:t>
      </w:r>
      <w:r w:rsidR="00D81DAF">
        <w:rPr>
          <w:spacing w:val="-2"/>
        </w:rPr>
        <w:t xml:space="preserve"> </w:t>
      </w:r>
      <w:r>
        <w:t>https://colombia.unmissions.org/sites/default/files/informe_sp_n2139927.pdf.</w:t>
      </w:r>
    </w:p>
    <w:p w:rsidR="003804AC" w:rsidRDefault="00AF18A5" w:rsidP="00D81DAF">
      <w:r>
        <w:t xml:space="preserve">Pompilio Peña. «Víctimas de San Carlos serán desalojadas del </w:t>
      </w:r>
      <w:proofErr w:type="spellStart"/>
      <w:r>
        <w:t>Care</w:t>
      </w:r>
      <w:proofErr w:type="spellEnd"/>
      <w:r>
        <w:t>, su lugar de memoria». 20013 de 2022.</w:t>
      </w:r>
      <w:r>
        <w:rPr>
          <w:spacing w:val="-14"/>
        </w:rPr>
        <w:t xml:space="preserve"> </w:t>
      </w:r>
      <w:r>
        <w:rPr>
          <w:i/>
        </w:rPr>
        <w:t>Hacemos</w:t>
      </w:r>
      <w:r>
        <w:rPr>
          <w:i/>
          <w:spacing w:val="-14"/>
        </w:rPr>
        <w:t xml:space="preserve"> </w:t>
      </w:r>
      <w:r>
        <w:rPr>
          <w:i/>
        </w:rPr>
        <w:t>Memoria</w:t>
      </w:r>
      <w:r>
        <w:t>.</w:t>
      </w:r>
      <w:r>
        <w:rPr>
          <w:spacing w:val="-14"/>
        </w:rPr>
        <w:t xml:space="preserve"> </w:t>
      </w:r>
      <w:r>
        <w:t>https://hacemosmemoria.org/2022/01/20/victimas-de-san-carlos-</w:t>
      </w:r>
      <w:r>
        <w:lastRenderedPageBreak/>
        <w:t xml:space="preserve">seran- </w:t>
      </w:r>
      <w:r>
        <w:rPr>
          <w:spacing w:val="-2"/>
        </w:rPr>
        <w:t>desalojadas-del-</w:t>
      </w:r>
      <w:proofErr w:type="spellStart"/>
      <w:r>
        <w:rPr>
          <w:spacing w:val="-2"/>
        </w:rPr>
        <w:t>care</w:t>
      </w:r>
      <w:proofErr w:type="spellEnd"/>
      <w:r>
        <w:rPr>
          <w:spacing w:val="-2"/>
        </w:rPr>
        <w:t>-su-lugar-de-memoria/.</w:t>
      </w:r>
    </w:p>
    <w:p w:rsidR="003804AC" w:rsidRDefault="00AF18A5" w:rsidP="00D81DAF">
      <w:r>
        <w:t xml:space="preserve">Presidencia de la República. Decreto 660 de 2018, Recuperado de: </w:t>
      </w:r>
      <w:r>
        <w:rPr>
          <w:spacing w:val="-2"/>
        </w:rPr>
        <w:t>https://</w:t>
      </w:r>
      <w:hyperlink r:id="rId219">
        <w:r>
          <w:rPr>
            <w:spacing w:val="-2"/>
          </w:rPr>
          <w:t>www.funcionpublica.gov.co/eva/gestornormativo/norma.php?i=44984.</w:t>
        </w:r>
      </w:hyperlink>
    </w:p>
    <w:p w:rsidR="003804AC" w:rsidRDefault="00AF18A5" w:rsidP="00D81DAF">
      <w:r>
        <w:t>«Observaciones de la Procuraduría General de la Nación frente al proceso de ajuste de los indicadores de</w:t>
      </w:r>
      <w:r>
        <w:rPr>
          <w:spacing w:val="-5"/>
        </w:rPr>
        <w:t xml:space="preserve"> </w:t>
      </w:r>
      <w:r>
        <w:t>goce</w:t>
      </w:r>
      <w:r>
        <w:rPr>
          <w:spacing w:val="-5"/>
        </w:rPr>
        <w:t xml:space="preserve"> </w:t>
      </w:r>
      <w:r>
        <w:t>efectivo</w:t>
      </w:r>
      <w:r>
        <w:rPr>
          <w:spacing w:val="-5"/>
        </w:rPr>
        <w:t xml:space="preserve"> </w:t>
      </w:r>
      <w:r>
        <w:t>de</w:t>
      </w:r>
      <w:r>
        <w:rPr>
          <w:spacing w:val="-5"/>
        </w:rPr>
        <w:t xml:space="preserve"> </w:t>
      </w:r>
      <w:r>
        <w:t>los</w:t>
      </w:r>
      <w:r>
        <w:rPr>
          <w:spacing w:val="-5"/>
        </w:rPr>
        <w:t xml:space="preserve"> </w:t>
      </w:r>
      <w:r>
        <w:t>derechos</w:t>
      </w:r>
      <w:r>
        <w:rPr>
          <w:spacing w:val="-5"/>
        </w:rPr>
        <w:t xml:space="preserve"> </w:t>
      </w:r>
      <w:r>
        <w:t>de</w:t>
      </w:r>
      <w:r>
        <w:rPr>
          <w:spacing w:val="-5"/>
        </w:rPr>
        <w:t xml:space="preserve"> </w:t>
      </w:r>
      <w:r>
        <w:t>la</w:t>
      </w:r>
      <w:r>
        <w:rPr>
          <w:spacing w:val="-5"/>
        </w:rPr>
        <w:t xml:space="preserve"> </w:t>
      </w:r>
      <w:r>
        <w:t>población</w:t>
      </w:r>
      <w:r>
        <w:rPr>
          <w:spacing w:val="-6"/>
        </w:rPr>
        <w:t xml:space="preserve"> </w:t>
      </w:r>
      <w:r>
        <w:t>desplazada».</w:t>
      </w:r>
      <w:r>
        <w:rPr>
          <w:spacing w:val="-5"/>
        </w:rPr>
        <w:t xml:space="preserve"> </w:t>
      </w:r>
      <w:r>
        <w:t>Procuraduría</w:t>
      </w:r>
      <w:r>
        <w:rPr>
          <w:spacing w:val="-5"/>
        </w:rPr>
        <w:t xml:space="preserve"> </w:t>
      </w:r>
      <w:r>
        <w:t>General</w:t>
      </w:r>
      <w:r>
        <w:rPr>
          <w:spacing w:val="-4"/>
        </w:rPr>
        <w:t xml:space="preserve"> </w:t>
      </w:r>
      <w:r>
        <w:t>de</w:t>
      </w:r>
      <w:r>
        <w:rPr>
          <w:spacing w:val="-5"/>
        </w:rPr>
        <w:t xml:space="preserve"> </w:t>
      </w:r>
      <w:r>
        <w:t>la</w:t>
      </w:r>
      <w:r>
        <w:rPr>
          <w:spacing w:val="-5"/>
        </w:rPr>
        <w:t xml:space="preserve"> </w:t>
      </w:r>
      <w:r>
        <w:t xml:space="preserve">Nación. </w:t>
      </w:r>
      <w:r>
        <w:rPr>
          <w:spacing w:val="-2"/>
        </w:rPr>
        <w:t>2020.</w:t>
      </w:r>
    </w:p>
    <w:p w:rsidR="003804AC" w:rsidRDefault="00AF18A5" w:rsidP="00D81DAF">
      <w:r>
        <w:t>Sistema</w:t>
      </w:r>
      <w:r>
        <w:rPr>
          <w:spacing w:val="-4"/>
        </w:rPr>
        <w:t xml:space="preserve"> </w:t>
      </w:r>
      <w:r>
        <w:t>Integrado</w:t>
      </w:r>
      <w:r>
        <w:rPr>
          <w:spacing w:val="-4"/>
        </w:rPr>
        <w:t xml:space="preserve"> </w:t>
      </w:r>
      <w:r>
        <w:t>de</w:t>
      </w:r>
      <w:r>
        <w:rPr>
          <w:spacing w:val="-4"/>
        </w:rPr>
        <w:t xml:space="preserve"> </w:t>
      </w:r>
      <w:r>
        <w:t>Información</w:t>
      </w:r>
      <w:r>
        <w:rPr>
          <w:spacing w:val="-4"/>
        </w:rPr>
        <w:t xml:space="preserve"> </w:t>
      </w:r>
      <w:r>
        <w:t>para</w:t>
      </w:r>
      <w:r>
        <w:rPr>
          <w:spacing w:val="-4"/>
        </w:rPr>
        <w:t xml:space="preserve"> </w:t>
      </w:r>
      <w:r>
        <w:t>el</w:t>
      </w:r>
      <w:r>
        <w:rPr>
          <w:spacing w:val="-4"/>
        </w:rPr>
        <w:t xml:space="preserve"> </w:t>
      </w:r>
      <w:r>
        <w:t>Posconflicto.</w:t>
      </w:r>
      <w:r>
        <w:rPr>
          <w:spacing w:val="-4"/>
        </w:rPr>
        <w:t xml:space="preserve"> </w:t>
      </w:r>
      <w:r>
        <w:t>«Reporte</w:t>
      </w:r>
      <w:r>
        <w:rPr>
          <w:spacing w:val="-4"/>
        </w:rPr>
        <w:t xml:space="preserve"> </w:t>
      </w:r>
      <w:r>
        <w:t>del</w:t>
      </w:r>
      <w:r>
        <w:rPr>
          <w:spacing w:val="-4"/>
        </w:rPr>
        <w:t xml:space="preserve"> </w:t>
      </w:r>
      <w:r>
        <w:t>Sistema</w:t>
      </w:r>
      <w:r>
        <w:rPr>
          <w:spacing w:val="-4"/>
        </w:rPr>
        <w:t xml:space="preserve"> </w:t>
      </w:r>
      <w:r>
        <w:t>Integrado</w:t>
      </w:r>
      <w:r>
        <w:rPr>
          <w:spacing w:val="-4"/>
        </w:rPr>
        <w:t xml:space="preserve"> </w:t>
      </w:r>
      <w:r>
        <w:t>de</w:t>
      </w:r>
      <w:r>
        <w:rPr>
          <w:spacing w:val="-4"/>
        </w:rPr>
        <w:t xml:space="preserve"> </w:t>
      </w:r>
      <w:r>
        <w:t>Información para el Posconflicto». Acceso el 26 de junio de 2022. https://siipo.dnp.gov.co/inicio.</w:t>
      </w:r>
    </w:p>
    <w:p w:rsidR="003804AC" w:rsidRDefault="00AF18A5" w:rsidP="00D81DAF">
      <w:r>
        <w:t>Entrevista 216-VI-00018. Víctima, agricultor, Pradera. Tomada por Comisión para el Esclarecimiento de la Verdad, la Convivencia y la No Repetición - CEV. 2019.</w:t>
      </w:r>
    </w:p>
    <w:p w:rsidR="003804AC" w:rsidRDefault="00AF18A5" w:rsidP="00D81DAF">
      <w:r>
        <w:t>Entrevista</w:t>
      </w:r>
      <w:r>
        <w:rPr>
          <w:spacing w:val="80"/>
          <w:w w:val="150"/>
        </w:rPr>
        <w:t xml:space="preserve"> </w:t>
      </w:r>
      <w:r>
        <w:t>080-VI-00028.</w:t>
      </w:r>
      <w:r>
        <w:rPr>
          <w:spacing w:val="80"/>
          <w:w w:val="150"/>
        </w:rPr>
        <w:t xml:space="preserve"> </w:t>
      </w:r>
      <w:r>
        <w:t>Víctima,</w:t>
      </w:r>
      <w:r>
        <w:rPr>
          <w:spacing w:val="80"/>
          <w:w w:val="150"/>
        </w:rPr>
        <w:t xml:space="preserve"> </w:t>
      </w:r>
      <w:r>
        <w:t>ama</w:t>
      </w:r>
      <w:r>
        <w:rPr>
          <w:spacing w:val="80"/>
          <w:w w:val="150"/>
        </w:rPr>
        <w:t xml:space="preserve"> </w:t>
      </w:r>
      <w:r>
        <w:t>de</w:t>
      </w:r>
      <w:r>
        <w:rPr>
          <w:spacing w:val="80"/>
          <w:w w:val="150"/>
        </w:rPr>
        <w:t xml:space="preserve"> </w:t>
      </w:r>
      <w:r>
        <w:t>casa,</w:t>
      </w:r>
      <w:r>
        <w:rPr>
          <w:spacing w:val="80"/>
          <w:w w:val="150"/>
        </w:rPr>
        <w:t xml:space="preserve"> </w:t>
      </w:r>
      <w:r>
        <w:t>Medellín.</w:t>
      </w:r>
      <w:r>
        <w:rPr>
          <w:spacing w:val="80"/>
          <w:w w:val="150"/>
        </w:rPr>
        <w:t xml:space="preserve"> </w:t>
      </w:r>
      <w:r>
        <w:t>Tomada</w:t>
      </w:r>
      <w:r>
        <w:rPr>
          <w:spacing w:val="80"/>
          <w:w w:val="150"/>
        </w:rPr>
        <w:t xml:space="preserve"> </w:t>
      </w:r>
      <w:r>
        <w:t>por</w:t>
      </w:r>
      <w:r>
        <w:rPr>
          <w:spacing w:val="80"/>
          <w:w w:val="150"/>
        </w:rPr>
        <w:t xml:space="preserve"> </w:t>
      </w:r>
      <w:r>
        <w:t>Comisión</w:t>
      </w:r>
      <w:r>
        <w:rPr>
          <w:spacing w:val="80"/>
          <w:w w:val="150"/>
        </w:rPr>
        <w:t xml:space="preserve"> </w:t>
      </w:r>
      <w:r>
        <w:t>para</w:t>
      </w:r>
      <w:r>
        <w:rPr>
          <w:spacing w:val="80"/>
          <w:w w:val="150"/>
        </w:rPr>
        <w:t xml:space="preserve"> </w:t>
      </w:r>
      <w:r>
        <w:t>el Esclarecimiento de la Verdad, la Convivencia y la No Repetición - CEV. 2019.</w:t>
      </w:r>
    </w:p>
    <w:p w:rsidR="003804AC" w:rsidRDefault="00AF18A5" w:rsidP="00D81DAF">
      <w:r>
        <w:t>Entrevista</w:t>
      </w:r>
      <w:r>
        <w:rPr>
          <w:spacing w:val="80"/>
          <w:w w:val="150"/>
        </w:rPr>
        <w:t xml:space="preserve"> </w:t>
      </w:r>
      <w:r>
        <w:t>222-VI-00082.</w:t>
      </w:r>
      <w:r>
        <w:rPr>
          <w:spacing w:val="80"/>
          <w:w w:val="150"/>
        </w:rPr>
        <w:t xml:space="preserve"> </w:t>
      </w:r>
      <w:r>
        <w:t>Víctima,</w:t>
      </w:r>
      <w:r>
        <w:rPr>
          <w:spacing w:val="80"/>
          <w:w w:val="150"/>
        </w:rPr>
        <w:t xml:space="preserve"> </w:t>
      </w:r>
      <w:r>
        <w:t>campesino,</w:t>
      </w:r>
      <w:r>
        <w:rPr>
          <w:spacing w:val="80"/>
          <w:w w:val="150"/>
        </w:rPr>
        <w:t xml:space="preserve"> </w:t>
      </w:r>
      <w:r>
        <w:t>Mercaderes.</w:t>
      </w:r>
      <w:r>
        <w:rPr>
          <w:spacing w:val="80"/>
          <w:w w:val="150"/>
        </w:rPr>
        <w:t xml:space="preserve"> </w:t>
      </w:r>
      <w:r>
        <w:t>Tomada</w:t>
      </w:r>
      <w:r>
        <w:rPr>
          <w:spacing w:val="80"/>
          <w:w w:val="150"/>
        </w:rPr>
        <w:t xml:space="preserve"> </w:t>
      </w:r>
      <w:r>
        <w:t>por</w:t>
      </w:r>
      <w:r>
        <w:rPr>
          <w:spacing w:val="80"/>
          <w:w w:val="150"/>
        </w:rPr>
        <w:t xml:space="preserve"> </w:t>
      </w:r>
      <w:r>
        <w:t>Comisión</w:t>
      </w:r>
      <w:r>
        <w:rPr>
          <w:spacing w:val="80"/>
          <w:w w:val="150"/>
        </w:rPr>
        <w:t xml:space="preserve"> </w:t>
      </w:r>
      <w:r>
        <w:t>para</w:t>
      </w:r>
      <w:r>
        <w:rPr>
          <w:spacing w:val="80"/>
          <w:w w:val="150"/>
        </w:rPr>
        <w:t xml:space="preserve"> </w:t>
      </w:r>
      <w:r>
        <w:t>el</w:t>
      </w:r>
      <w:r>
        <w:rPr>
          <w:spacing w:val="40"/>
        </w:rPr>
        <w:t xml:space="preserve"> </w:t>
      </w:r>
      <w:r>
        <w:t>Esclarecimiento de la Verdad, la Convivencia y la No Repetición - CEV. 2020.</w:t>
      </w:r>
    </w:p>
    <w:p w:rsidR="003804AC" w:rsidRDefault="00AF18A5" w:rsidP="00D81DAF">
      <w:r>
        <w:t>Entrevista 238-VI-00009. Víctima, candidato de elección popular, Pailitas. Tomada por Comisión para el Esclarecimiento de la Verdad, la Convivencia y la No Repetición - CEV. 2019.</w:t>
      </w:r>
    </w:p>
    <w:p w:rsidR="003804AC" w:rsidRDefault="00AF18A5" w:rsidP="00D81DAF">
      <w:r>
        <w:t>Entrevista</w:t>
      </w:r>
      <w:r>
        <w:rPr>
          <w:spacing w:val="-1"/>
        </w:rPr>
        <w:t xml:space="preserve"> </w:t>
      </w:r>
      <w:r>
        <w:t>001-VI-00004.</w:t>
      </w:r>
      <w:r>
        <w:rPr>
          <w:spacing w:val="-1"/>
        </w:rPr>
        <w:t xml:space="preserve"> </w:t>
      </w:r>
      <w:r>
        <w:t>Víctima,</w:t>
      </w:r>
      <w:r>
        <w:rPr>
          <w:spacing w:val="-1"/>
        </w:rPr>
        <w:t xml:space="preserve"> </w:t>
      </w:r>
      <w:r>
        <w:t>exilio,</w:t>
      </w:r>
      <w:r>
        <w:rPr>
          <w:spacing w:val="-1"/>
        </w:rPr>
        <w:t xml:space="preserve"> </w:t>
      </w:r>
      <w:r>
        <w:t>España.</w:t>
      </w:r>
      <w:r>
        <w:rPr>
          <w:spacing w:val="-1"/>
        </w:rPr>
        <w:t xml:space="preserve"> </w:t>
      </w:r>
      <w:r>
        <w:t>Tomada</w:t>
      </w:r>
      <w:r>
        <w:rPr>
          <w:spacing w:val="-1"/>
        </w:rPr>
        <w:t xml:space="preserve"> </w:t>
      </w:r>
      <w:r>
        <w:t>por</w:t>
      </w:r>
      <w:r>
        <w:rPr>
          <w:spacing w:val="-1"/>
        </w:rPr>
        <w:t xml:space="preserve"> </w:t>
      </w:r>
      <w:r>
        <w:t>Comisión</w:t>
      </w:r>
      <w:r>
        <w:rPr>
          <w:spacing w:val="-1"/>
        </w:rPr>
        <w:t xml:space="preserve"> </w:t>
      </w:r>
      <w:r>
        <w:t>para</w:t>
      </w:r>
      <w:r>
        <w:rPr>
          <w:spacing w:val="-1"/>
        </w:rPr>
        <w:t xml:space="preserve"> </w:t>
      </w:r>
      <w:r>
        <w:t>el</w:t>
      </w:r>
      <w:r>
        <w:rPr>
          <w:spacing w:val="-1"/>
        </w:rPr>
        <w:t xml:space="preserve"> </w:t>
      </w:r>
      <w:r>
        <w:t>Esclarecimiento</w:t>
      </w:r>
      <w:r>
        <w:rPr>
          <w:spacing w:val="-1"/>
        </w:rPr>
        <w:t xml:space="preserve"> </w:t>
      </w:r>
      <w:r>
        <w:t>de</w:t>
      </w:r>
      <w:r>
        <w:rPr>
          <w:spacing w:val="-1"/>
        </w:rPr>
        <w:t xml:space="preserve"> </w:t>
      </w:r>
      <w:r>
        <w:t xml:space="preserve">la Verdad, la Convivencia y la No Repetición - </w:t>
      </w:r>
      <w:r>
        <w:lastRenderedPageBreak/>
        <w:t>CEV. 2019.</w:t>
      </w:r>
    </w:p>
    <w:p w:rsidR="003804AC" w:rsidRDefault="00AF18A5" w:rsidP="00D81DAF">
      <w:r>
        <w:t>Entrevista 417-VI-00002. Víctima, funcionario público, Buenaventura. Tomada por Comisión para el Esclarecimiento de la Verdad, la Convivencia y la No Repetición - CEV. 2019.</w:t>
      </w:r>
    </w:p>
    <w:p w:rsidR="003804AC" w:rsidRDefault="00AF18A5" w:rsidP="00D81DAF">
      <w:r>
        <w:t>Entrevista</w:t>
      </w:r>
      <w:r>
        <w:rPr>
          <w:spacing w:val="80"/>
        </w:rPr>
        <w:t xml:space="preserve"> </w:t>
      </w:r>
      <w:r>
        <w:t>070-VI-00024.</w:t>
      </w:r>
      <w:r>
        <w:rPr>
          <w:spacing w:val="80"/>
        </w:rPr>
        <w:t xml:space="preserve"> </w:t>
      </w:r>
      <w:r>
        <w:t>Víctima,</w:t>
      </w:r>
      <w:r>
        <w:rPr>
          <w:spacing w:val="80"/>
        </w:rPr>
        <w:t xml:space="preserve"> </w:t>
      </w:r>
      <w:r>
        <w:t>líder</w:t>
      </w:r>
      <w:r>
        <w:rPr>
          <w:spacing w:val="80"/>
        </w:rPr>
        <w:t xml:space="preserve"> </w:t>
      </w:r>
      <w:r>
        <w:t>campesino,</w:t>
      </w:r>
      <w:r>
        <w:rPr>
          <w:spacing w:val="80"/>
        </w:rPr>
        <w:t xml:space="preserve"> </w:t>
      </w:r>
      <w:r>
        <w:t>El</w:t>
      </w:r>
      <w:r>
        <w:rPr>
          <w:spacing w:val="80"/>
        </w:rPr>
        <w:t xml:space="preserve"> </w:t>
      </w:r>
      <w:r>
        <w:t>Bordo.</w:t>
      </w:r>
      <w:r>
        <w:rPr>
          <w:spacing w:val="80"/>
        </w:rPr>
        <w:t xml:space="preserve"> </w:t>
      </w:r>
      <w:r>
        <w:t>Tomada</w:t>
      </w:r>
      <w:r>
        <w:rPr>
          <w:spacing w:val="80"/>
        </w:rPr>
        <w:t xml:space="preserve"> </w:t>
      </w:r>
      <w:r>
        <w:t>por</w:t>
      </w:r>
      <w:r>
        <w:rPr>
          <w:spacing w:val="80"/>
        </w:rPr>
        <w:t xml:space="preserve"> </w:t>
      </w:r>
      <w:r>
        <w:t>Comisión</w:t>
      </w:r>
      <w:r>
        <w:rPr>
          <w:spacing w:val="80"/>
        </w:rPr>
        <w:t xml:space="preserve"> </w:t>
      </w:r>
      <w:r>
        <w:t>para</w:t>
      </w:r>
      <w:r>
        <w:rPr>
          <w:spacing w:val="80"/>
        </w:rPr>
        <w:t xml:space="preserve"> </w:t>
      </w:r>
      <w:r>
        <w:t>el Esclarecimiento de la Verdad, la Convivencia y la No Repetición - CEV. 2019.</w:t>
      </w:r>
    </w:p>
    <w:p w:rsidR="003804AC" w:rsidRDefault="00AF18A5" w:rsidP="00D81DAF">
      <w:r>
        <w:t>Entrevista 646-VI-00005. Víctima,</w:t>
      </w:r>
      <w:r>
        <w:rPr>
          <w:spacing w:val="-1"/>
        </w:rPr>
        <w:t xml:space="preserve"> </w:t>
      </w:r>
      <w:r>
        <w:t>mujer, Yolombó. Tomada por Comisión para el</w:t>
      </w:r>
      <w:r>
        <w:rPr>
          <w:spacing w:val="-1"/>
        </w:rPr>
        <w:t xml:space="preserve"> </w:t>
      </w:r>
      <w:r>
        <w:t>Esclarecimiento de la Verdad, la Convivencia y la No Repetición - CEV. 2020.</w:t>
      </w:r>
    </w:p>
    <w:sectPr w:rsidR="003804AC" w:rsidSect="00F47A4B">
      <w:footerReference w:type="default" r:id="rId220"/>
      <w:pgSz w:w="12240" w:h="15840" w:code="1"/>
      <w:pgMar w:top="1417" w:right="1701" w:bottom="1417" w:left="1701" w:header="0" w:footer="146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2FEA" w:rsidRDefault="00C12FEA">
      <w:pPr>
        <w:spacing w:before="0" w:after="0" w:line="240" w:lineRule="auto"/>
      </w:pPr>
      <w:r>
        <w:separator/>
      </w:r>
    </w:p>
  </w:endnote>
  <w:endnote w:type="continuationSeparator" w:id="0">
    <w:p w:rsidR="00C12FEA" w:rsidRDefault="00C12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1044280"/>
      <w:docPartObj>
        <w:docPartGallery w:val="Page Numbers (Bottom of Page)"/>
        <w:docPartUnique/>
      </w:docPartObj>
    </w:sdtPr>
    <w:sdtContent>
      <w:p w:rsidR="00591E90" w:rsidRDefault="00591E90">
        <w:pPr>
          <w:pStyle w:val="Piedepgina"/>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2FEA" w:rsidRDefault="00C12FEA">
      <w:pPr>
        <w:spacing w:before="0" w:after="0" w:line="240" w:lineRule="auto"/>
      </w:pPr>
      <w:r>
        <w:separator/>
      </w:r>
    </w:p>
  </w:footnote>
  <w:footnote w:type="continuationSeparator" w:id="0">
    <w:p w:rsidR="00C12FEA" w:rsidRDefault="00C12FEA">
      <w:pPr>
        <w:spacing w:before="0" w:after="0" w:line="240" w:lineRule="auto"/>
      </w:pPr>
      <w:r>
        <w:continuationSeparator/>
      </w:r>
    </w:p>
  </w:footnote>
  <w:footnote w:id="1">
    <w:p w:rsidR="00591E90" w:rsidRPr="001271BE" w:rsidRDefault="00591E90">
      <w:pPr>
        <w:pStyle w:val="Textonotapie"/>
        <w:rPr>
          <w:lang w:val="es-CO"/>
        </w:rPr>
      </w:pPr>
      <w:r>
        <w:rPr>
          <w:rStyle w:val="Refdenotaalpie"/>
        </w:rPr>
        <w:footnoteRef/>
      </w:r>
      <w:r>
        <w:t xml:space="preserve"> </w:t>
      </w:r>
      <w:r w:rsidRPr="001271BE">
        <w:t xml:space="preserve">Los comisionados seleccionados inicialmente fueron Francisco de Roux S. J., presidente y director; Patricia Tobón </w:t>
      </w:r>
      <w:proofErr w:type="spellStart"/>
      <w:r w:rsidRPr="001271BE">
        <w:t>Yagarí</w:t>
      </w:r>
      <w:proofErr w:type="spellEnd"/>
      <w:r w:rsidRPr="001271BE">
        <w:t xml:space="preserve">; Ángela Salazar; Alejandra Miller; Lucía González; Marta Ruiz; Alfredo Molano; Alejandro Valencia Villa; Carlos Martín Beristain; Saúl Franco y Carlos Ospina. En octubre de 2019 falleció el comisionado Alfredo Molano y fue reemplazado por Alejandro Castillejo. En agosto de 2020 murió la comisionada Ángela Salazar y fue reemplazada por </w:t>
      </w:r>
      <w:proofErr w:type="spellStart"/>
      <w:r w:rsidRPr="001271BE">
        <w:t>Leyner</w:t>
      </w:r>
      <w:proofErr w:type="spellEnd"/>
      <w:r w:rsidRPr="001271BE">
        <w:t xml:space="preserve"> Palacios. En mayo de 2022 renunció el comisionado Carlos Ospina.</w:t>
      </w:r>
    </w:p>
  </w:footnote>
  <w:footnote w:id="2">
    <w:p w:rsidR="00591E90" w:rsidRPr="00F9308F" w:rsidRDefault="00591E90">
      <w:pPr>
        <w:pStyle w:val="Textonotapie"/>
        <w:rPr>
          <w:lang w:val="es-CO"/>
        </w:rPr>
      </w:pPr>
      <w:r>
        <w:rPr>
          <w:rStyle w:val="Refdenotaalpie"/>
        </w:rPr>
        <w:footnoteRef/>
      </w:r>
      <w:r>
        <w:t xml:space="preserve"> </w:t>
      </w:r>
      <w:r w:rsidRPr="00F9308F">
        <w:t>Presidencia de la República, Decreto 588 de 2017.</w:t>
      </w:r>
    </w:p>
  </w:footnote>
  <w:footnote w:id="3">
    <w:p w:rsidR="00591E90" w:rsidRPr="00F9308F" w:rsidRDefault="00591E90">
      <w:pPr>
        <w:pStyle w:val="Textonotapie"/>
        <w:rPr>
          <w:lang w:val="es-CO"/>
        </w:rPr>
      </w:pPr>
      <w:r>
        <w:rPr>
          <w:rStyle w:val="Refdenotaalpie"/>
        </w:rPr>
        <w:footnoteRef/>
      </w:r>
      <w:r>
        <w:t xml:space="preserve"> </w:t>
      </w:r>
      <w:r w:rsidRPr="00F9308F">
        <w:t>«Vuelve» es una creación artística de víctimas del conflicto colombiano exiliadas en colaboración con la cantautora Marta Gómez, a partir de los talleres organizados por el ICIP y el Nodo Catalunya de apoyo a la Comisión de la Verdad de Colombia, en 2020. La canción es la respuesta imaginada que Colombia da a las personas en el exilio «Marta Gómez - Vuelve», 19 de septiembre de 2021.</w:t>
      </w:r>
    </w:p>
  </w:footnote>
  <w:footnote w:id="4">
    <w:p w:rsidR="00591E90" w:rsidRPr="008D0AE4" w:rsidRDefault="00591E90">
      <w:pPr>
        <w:pStyle w:val="Textonotapie"/>
        <w:rPr>
          <w:lang w:val="es-CO"/>
        </w:rPr>
      </w:pPr>
      <w:r>
        <w:rPr>
          <w:rStyle w:val="Refdenotaalpie"/>
        </w:rPr>
        <w:footnoteRef/>
      </w:r>
      <w:r>
        <w:t xml:space="preserve"> </w:t>
      </w:r>
      <w:r w:rsidRPr="008D0AE4">
        <w:t xml:space="preserve">El número de personas por hecho </w:t>
      </w:r>
      <w:proofErr w:type="spellStart"/>
      <w:r w:rsidRPr="008D0AE4">
        <w:t>victimizante</w:t>
      </w:r>
      <w:proofErr w:type="spellEnd"/>
      <w:r w:rsidRPr="008D0AE4">
        <w:t xml:space="preserve"> no refleja el total de víctimas únicas, debido a que una persona pudo haber sufrido más de un hecho </w:t>
      </w:r>
      <w:proofErr w:type="spellStart"/>
      <w:r w:rsidRPr="008D0AE4">
        <w:t>victimizante</w:t>
      </w:r>
      <w:proofErr w:type="spellEnd"/>
      <w:r w:rsidRPr="008D0AE4">
        <w:t>.</w:t>
      </w:r>
    </w:p>
  </w:footnote>
  <w:footnote w:id="5">
    <w:p w:rsidR="00591E90" w:rsidRPr="008D0AE4" w:rsidRDefault="00591E90">
      <w:pPr>
        <w:pStyle w:val="Textonotapie"/>
        <w:rPr>
          <w:lang w:val="es-CO"/>
        </w:rPr>
      </w:pPr>
      <w:r>
        <w:rPr>
          <w:rStyle w:val="Refdenotaalpie"/>
        </w:rPr>
        <w:footnoteRef/>
      </w:r>
      <w:r>
        <w:t xml:space="preserve"> </w:t>
      </w:r>
      <w:r w:rsidRPr="008D0AE4">
        <w:t>Gobierno de Colombia, «Registro Único de Víctimas (RUV)».</w:t>
      </w:r>
    </w:p>
  </w:footnote>
  <w:footnote w:id="6">
    <w:p w:rsidR="00591E90" w:rsidRPr="008D0AE4" w:rsidRDefault="00591E90">
      <w:pPr>
        <w:pStyle w:val="Textonotapie"/>
        <w:rPr>
          <w:lang w:val="es-CO"/>
        </w:rPr>
      </w:pPr>
      <w:r>
        <w:rPr>
          <w:rStyle w:val="Refdenotaalpie"/>
        </w:rPr>
        <w:footnoteRef/>
      </w:r>
      <w:r>
        <w:t xml:space="preserve"> </w:t>
      </w:r>
      <w:r w:rsidRPr="008D0AE4">
        <w:t>De ese monto de demandas ya han sido 7.075 sentencias de restitución que equivalen a 185.471 hectáreas y un total de 34.687 personas beneficiadas con esta medida de reparación. También se registran 22 sentencias que corresponden a territorios colectivos para un total de 358.609 hectáreas y 44.278 cobijadas con la restitución. Unidad de Restitución de Tierras, «Estadísticas de Restitución - URT».</w:t>
      </w:r>
    </w:p>
  </w:footnote>
  <w:footnote w:id="7">
    <w:p w:rsidR="00591E90" w:rsidRPr="008D0AE4" w:rsidRDefault="00591E90">
      <w:pPr>
        <w:pStyle w:val="Textonotapie"/>
        <w:rPr>
          <w:lang w:val="es-CO"/>
        </w:rPr>
      </w:pPr>
      <w:r>
        <w:rPr>
          <w:rStyle w:val="Refdenotaalpie"/>
        </w:rPr>
        <w:footnoteRef/>
      </w:r>
      <w:r>
        <w:t xml:space="preserve"> </w:t>
      </w:r>
      <w:r w:rsidRPr="008D0AE4">
        <w:t>Entrevista 578-VI-00004. Hombre, exiliado, familiar de mujer desaparecida.</w:t>
      </w:r>
    </w:p>
  </w:footnote>
  <w:footnote w:id="8">
    <w:p w:rsidR="00591E90" w:rsidRPr="008D0AE4" w:rsidRDefault="00591E90">
      <w:pPr>
        <w:pStyle w:val="Textonotapie"/>
        <w:rPr>
          <w:lang w:val="es-CO"/>
        </w:rPr>
      </w:pPr>
      <w:r>
        <w:rPr>
          <w:rStyle w:val="Refdenotaalpie"/>
        </w:rPr>
        <w:footnoteRef/>
      </w:r>
      <w:r>
        <w:t xml:space="preserve"> </w:t>
      </w:r>
      <w:r w:rsidRPr="008D0AE4">
        <w:t>Según reportes de la Unidad para las Víctimas, el 48,9 % de las víctimas son mujeres; el 18,1 % pertenece a pueblos étnicos; el 22,1 % tiene entre 0 y 17 años; el 22,7 % está entre 18 y 28 años; y de acuerdo con el DANE, el 23,8 % de las personas en el país viven en las zonas rurales, de las cuales el 48,2 % son mujeres. De esta población que habita en zonas rurales, el 37,1 % de las mujeres y el 36,9 % de los hombres son menores de 20 años. La Encuesta Nacional de Calidad de Vida de 2020 menciona que el 75,3 % de las mujeres y el 78,6 % de los hombres mayores de 15 años que viven en las zonas rurales se identifican como población campesina. Departamento Administrativo Nacional de Estadística (DANE) y Gobierno de Colombia; Unidad para la Atención y Reparación Integral a las Víctimas (</w:t>
      </w:r>
      <w:proofErr w:type="spellStart"/>
      <w:r w:rsidRPr="008D0AE4">
        <w:t>Uariv</w:t>
      </w:r>
      <w:proofErr w:type="spellEnd"/>
      <w:r w:rsidRPr="008D0AE4">
        <w:t>) y Gobierno de Colombia, «Reportes».</w:t>
      </w:r>
    </w:p>
  </w:footnote>
  <w:footnote w:id="9">
    <w:p w:rsidR="00591E90" w:rsidRPr="008D0AE4" w:rsidRDefault="00591E90">
      <w:pPr>
        <w:pStyle w:val="Textonotapie"/>
        <w:rPr>
          <w:lang w:val="es-CO"/>
        </w:rPr>
      </w:pPr>
      <w:r>
        <w:rPr>
          <w:rStyle w:val="Refdenotaalpie"/>
        </w:rPr>
        <w:footnoteRef/>
      </w:r>
      <w:r>
        <w:t xml:space="preserve"> </w:t>
      </w:r>
      <w:r w:rsidRPr="008D0AE4">
        <w:t>Entrevista 137-VI-00003. Hombre, agricultor, líder comunitario.</w:t>
      </w:r>
    </w:p>
  </w:footnote>
  <w:footnote w:id="10">
    <w:p w:rsidR="00591E90" w:rsidRPr="008D0AE4" w:rsidRDefault="00591E90">
      <w:pPr>
        <w:pStyle w:val="Textonotapie"/>
        <w:rPr>
          <w:lang w:val="es-CO"/>
        </w:rPr>
      </w:pPr>
      <w:r>
        <w:rPr>
          <w:rStyle w:val="Refdenotaalpie"/>
        </w:rPr>
        <w:footnoteRef/>
      </w:r>
      <w:r>
        <w:t xml:space="preserve"> </w:t>
      </w:r>
      <w:r w:rsidRPr="008D0AE4">
        <w:t>Puntualmente, frente al acceso a la justicia y los avances en materia de sanción a los responsables, alrededor del 83 % de las personas que dieron su testimonio a la Comisión de la Verdad hicieron referencia a este aspecto y destacaron que no ha existido ningún tipo de sanción, cerca del 6,5 % refiere que ha existido una sanción penal y el 6,1 % ha resaltado que la respuesta ha sido insuficiente. Comisión para el Esclarecimiento de la Verdad, la Convivencia y la No Repetición. Bases de datos de entrevistas a</w:t>
      </w:r>
      <w:r>
        <w:t xml:space="preserve"> </w:t>
      </w:r>
      <w:r w:rsidRPr="008D0AE4">
        <w:t>víctimas, familiares y testigos (fichas). Corte del 9 de junio de 2022.</w:t>
      </w:r>
    </w:p>
  </w:footnote>
  <w:footnote w:id="11">
    <w:p w:rsidR="00591E90" w:rsidRPr="008D0AE4" w:rsidRDefault="00591E90">
      <w:pPr>
        <w:pStyle w:val="Textonotapie"/>
        <w:rPr>
          <w:lang w:val="es-CO"/>
        </w:rPr>
      </w:pPr>
      <w:r>
        <w:rPr>
          <w:rStyle w:val="Refdenotaalpie"/>
        </w:rPr>
        <w:footnoteRef/>
      </w:r>
      <w:r>
        <w:t xml:space="preserve"> </w:t>
      </w:r>
      <w:r w:rsidRPr="008D0AE4">
        <w:t>Entrevista</w:t>
      </w:r>
      <w:r w:rsidRPr="008D0AE4">
        <w:tab/>
        <w:t>29-OI-623b69004fbc441b4622dc22.</w:t>
      </w:r>
      <w:r>
        <w:t xml:space="preserve"> </w:t>
      </w:r>
      <w:r w:rsidRPr="008D0AE4">
        <w:t>Hombre,</w:t>
      </w:r>
      <w:r>
        <w:t xml:space="preserve"> </w:t>
      </w:r>
      <w:r w:rsidRPr="008D0AE4">
        <w:t>exmilitar,</w:t>
      </w:r>
      <w:r>
        <w:t xml:space="preserve"> </w:t>
      </w:r>
      <w:r w:rsidRPr="008D0AE4">
        <w:t>responsable</w:t>
      </w:r>
      <w:r>
        <w:t xml:space="preserve"> </w:t>
      </w:r>
      <w:r w:rsidRPr="008D0AE4">
        <w:t>de</w:t>
      </w:r>
      <w:r>
        <w:t xml:space="preserve"> </w:t>
      </w:r>
      <w:r w:rsidRPr="008D0AE4">
        <w:t>ejecuciones extrajudiciales.</w:t>
      </w:r>
    </w:p>
  </w:footnote>
  <w:footnote w:id="12">
    <w:p w:rsidR="00591E90" w:rsidRPr="00016575" w:rsidRDefault="00591E90">
      <w:pPr>
        <w:pStyle w:val="Textonotapie"/>
        <w:rPr>
          <w:lang w:val="es-CO"/>
        </w:rPr>
      </w:pPr>
      <w:r>
        <w:rPr>
          <w:rStyle w:val="Refdenotaalpie"/>
        </w:rPr>
        <w:footnoteRef/>
      </w:r>
      <w:r>
        <w:t xml:space="preserve"> </w:t>
      </w:r>
      <w:r w:rsidRPr="00016575">
        <w:t>Responsable, firmante del Acuerdo de Paz, participante en el Reconocimiento Caldono Cuenta la Verdad, diálogo privado, 17 de noviembre 2020. «Encuentro por la Verdad ‘Reconocimiento por la vida: Caldono cuenta la Verdad’», 20 de marzo de 2021.</w:t>
      </w:r>
    </w:p>
  </w:footnote>
  <w:footnote w:id="13">
    <w:p w:rsidR="00591E90" w:rsidRPr="00FD58DF" w:rsidRDefault="00591E90">
      <w:pPr>
        <w:pStyle w:val="Textonotapie"/>
        <w:rPr>
          <w:lang w:val="es-CO"/>
        </w:rPr>
      </w:pPr>
      <w:r>
        <w:rPr>
          <w:rStyle w:val="Refdenotaalpie"/>
        </w:rPr>
        <w:footnoteRef/>
      </w:r>
      <w:r>
        <w:t xml:space="preserve"> </w:t>
      </w:r>
      <w:r w:rsidRPr="00FD58DF">
        <w:t>Entrevista 001-VI-00066. Político, exmiembro de la UP, caso de asesinato, amenazas contra la vida, atentados y exilio.</w:t>
      </w:r>
    </w:p>
  </w:footnote>
  <w:footnote w:id="14">
    <w:p w:rsidR="00591E90" w:rsidRPr="001C3959" w:rsidRDefault="00591E90">
      <w:pPr>
        <w:pStyle w:val="Textonotapie"/>
        <w:rPr>
          <w:lang w:val="es-CO"/>
        </w:rPr>
      </w:pPr>
      <w:r>
        <w:rPr>
          <w:rStyle w:val="Refdenotaalpie"/>
        </w:rPr>
        <w:footnoteRef/>
      </w:r>
      <w:r>
        <w:t xml:space="preserve"> </w:t>
      </w:r>
      <w:r w:rsidRPr="001C3959">
        <w:t>Entrevista 037-VI-00001. Mujer, lideresa, afrocolombiana.</w:t>
      </w:r>
    </w:p>
  </w:footnote>
  <w:footnote w:id="15">
    <w:p w:rsidR="00591E90" w:rsidRPr="001C3959" w:rsidRDefault="00591E90">
      <w:pPr>
        <w:pStyle w:val="Textonotapie"/>
        <w:rPr>
          <w:lang w:val="es-CO"/>
        </w:rPr>
      </w:pPr>
      <w:r>
        <w:rPr>
          <w:rStyle w:val="Refdenotaalpie"/>
        </w:rPr>
        <w:footnoteRef/>
      </w:r>
      <w:r>
        <w:t xml:space="preserve"> </w:t>
      </w:r>
      <w:r w:rsidRPr="001C3959">
        <w:t>Baró y Samayoa, Psicología social de la guerra.</w:t>
      </w:r>
    </w:p>
  </w:footnote>
  <w:footnote w:id="16">
    <w:p w:rsidR="00591E90" w:rsidRPr="00EF5274" w:rsidRDefault="00591E90">
      <w:pPr>
        <w:pStyle w:val="Textonotapie"/>
        <w:rPr>
          <w:lang w:val="it-IT"/>
        </w:rPr>
      </w:pPr>
      <w:r>
        <w:rPr>
          <w:rStyle w:val="Refdenotaalpie"/>
        </w:rPr>
        <w:footnoteRef/>
      </w:r>
      <w:r w:rsidRPr="00EF5274">
        <w:rPr>
          <w:lang w:val="it-IT"/>
        </w:rPr>
        <w:t xml:space="preserve"> </w:t>
      </w:r>
      <w:r w:rsidRPr="00EF5274">
        <w:rPr>
          <w:lang w:val="it-IT"/>
        </w:rPr>
        <w:t>Entrevista 139-VI-00085. Hombre, mestizo, comerciante.</w:t>
      </w:r>
    </w:p>
  </w:footnote>
  <w:footnote w:id="17">
    <w:p w:rsidR="00591E90" w:rsidRPr="001F48F2" w:rsidRDefault="00591E90">
      <w:pPr>
        <w:pStyle w:val="Textonotapie"/>
        <w:rPr>
          <w:lang w:val="es-CO"/>
        </w:rPr>
      </w:pPr>
      <w:r>
        <w:rPr>
          <w:rStyle w:val="Refdenotaalpie"/>
        </w:rPr>
        <w:footnoteRef/>
      </w:r>
      <w:r>
        <w:t xml:space="preserve"> </w:t>
      </w:r>
      <w:r w:rsidRPr="001F48F2">
        <w:t>Entrevista 118-VI-00004. Mujer, indígena, familiar de víctima de ejecución extrajudicial.</w:t>
      </w:r>
    </w:p>
  </w:footnote>
  <w:footnote w:id="18">
    <w:p w:rsidR="00591E90" w:rsidRPr="001F48F2" w:rsidRDefault="00591E90">
      <w:pPr>
        <w:pStyle w:val="Textonotapie"/>
        <w:rPr>
          <w:lang w:val="es-CO"/>
        </w:rPr>
      </w:pPr>
      <w:r>
        <w:rPr>
          <w:rStyle w:val="Refdenotaalpie"/>
        </w:rPr>
        <w:footnoteRef/>
      </w:r>
      <w:r>
        <w:t xml:space="preserve"> </w:t>
      </w:r>
      <w:r w:rsidRPr="001F48F2">
        <w:t xml:space="preserve">Baca Baldomero y </w:t>
      </w:r>
      <w:proofErr w:type="spellStart"/>
      <w:r w:rsidRPr="001F48F2">
        <w:t>Cabanas</w:t>
      </w:r>
      <w:proofErr w:type="spellEnd"/>
      <w:r w:rsidRPr="001F48F2">
        <w:t>, «El proyecto Fénix».</w:t>
      </w:r>
    </w:p>
  </w:footnote>
  <w:footnote w:id="19">
    <w:p w:rsidR="00591E90" w:rsidRPr="00B46A69" w:rsidRDefault="00591E90">
      <w:pPr>
        <w:pStyle w:val="Textonotapie"/>
        <w:rPr>
          <w:lang w:val="it-IT"/>
        </w:rPr>
      </w:pPr>
      <w:r>
        <w:rPr>
          <w:rStyle w:val="Refdenotaalpie"/>
        </w:rPr>
        <w:footnoteRef/>
      </w:r>
      <w:r w:rsidRPr="00B46A69">
        <w:rPr>
          <w:lang w:val="it-IT"/>
        </w:rPr>
        <w:t xml:space="preserve"> </w:t>
      </w:r>
      <w:r w:rsidRPr="00B46A69">
        <w:rPr>
          <w:lang w:val="it-IT"/>
        </w:rPr>
        <w:t>Eisenman et al.</w:t>
      </w:r>
    </w:p>
  </w:footnote>
  <w:footnote w:id="20">
    <w:p w:rsidR="00591E90" w:rsidRPr="001F48F2" w:rsidRDefault="00591E90">
      <w:pPr>
        <w:pStyle w:val="Textonotapie"/>
        <w:rPr>
          <w:lang w:val="es-CO"/>
        </w:rPr>
      </w:pPr>
      <w:r>
        <w:rPr>
          <w:rStyle w:val="Refdenotaalpie"/>
        </w:rPr>
        <w:footnoteRef/>
      </w:r>
      <w:r w:rsidRPr="00B46A69">
        <w:rPr>
          <w:lang w:val="it-IT"/>
        </w:rPr>
        <w:t xml:space="preserve"> Entrevista </w:t>
      </w:r>
      <w:r w:rsidRPr="00B46A69">
        <w:rPr>
          <w:lang w:val="it-IT"/>
        </w:rPr>
        <w:t xml:space="preserve">188-VI-00004. </w:t>
      </w:r>
      <w:r w:rsidRPr="001F48F2">
        <w:t>Hombre, campesino, caso de amenazas, desplazamiento forzado, despojo, homicidio y tortura.</w:t>
      </w:r>
    </w:p>
  </w:footnote>
  <w:footnote w:id="21">
    <w:p w:rsidR="00591E90" w:rsidRPr="001F48F2" w:rsidRDefault="00591E90">
      <w:pPr>
        <w:pStyle w:val="Textonotapie"/>
        <w:rPr>
          <w:lang w:val="es-CO"/>
        </w:rPr>
      </w:pPr>
      <w:r>
        <w:rPr>
          <w:rStyle w:val="Refdenotaalpie"/>
        </w:rPr>
        <w:footnoteRef/>
      </w:r>
      <w:r>
        <w:t xml:space="preserve"> </w:t>
      </w:r>
      <w:r w:rsidRPr="001F48F2">
        <w:t>Entrevista 199-VI-00021. Mujer, afrocolombiana, caso de amenazas, desaparición forzada y homicidio.</w:t>
      </w:r>
    </w:p>
  </w:footnote>
  <w:footnote w:id="22">
    <w:p w:rsidR="00591E90" w:rsidRDefault="00591E90" w:rsidP="00535BD7">
      <w:pPr>
        <w:pStyle w:val="Textonotapie"/>
      </w:pPr>
      <w:r>
        <w:rPr>
          <w:rStyle w:val="Refdenotaalpie"/>
        </w:rPr>
        <w:footnoteRef/>
      </w:r>
      <w:r>
        <w:t xml:space="preserve"> El exgerente de campaña por el No del Centro Democrático, en entrevista con el periódico La República dijo</w:t>
      </w:r>
    </w:p>
    <w:p w:rsidR="00591E90" w:rsidRPr="00535BD7" w:rsidRDefault="00591E90" w:rsidP="00535BD7">
      <w:pPr>
        <w:pStyle w:val="Textonotapie"/>
        <w:rPr>
          <w:lang w:val="es-CO"/>
        </w:rPr>
      </w:pPr>
      <w:r>
        <w:t>«apelamos a la indignación, queríamos que la gente saliera a votar berraca (de mal genio)», pero el ejemplo fue más contundente: «un concejal me pasó una imagen de Santos y ‘Timochenko’ con un mensaje de por qué se les iba a dar dinero a los guerrilleros si el país estaba en la olla. La publiqué en Facebook y tuvo un alcance de seis millones». 6/10/2016. El Espectador, «La cuestionable estrategia de campaña del No».</w:t>
      </w:r>
    </w:p>
  </w:footnote>
  <w:footnote w:id="23">
    <w:p w:rsidR="00591E90" w:rsidRPr="003F2710" w:rsidRDefault="00591E90">
      <w:pPr>
        <w:pStyle w:val="Textonotapie"/>
        <w:rPr>
          <w:lang w:val="es-CO"/>
        </w:rPr>
      </w:pPr>
      <w:r>
        <w:rPr>
          <w:rStyle w:val="Refdenotaalpie"/>
        </w:rPr>
        <w:footnoteRef/>
      </w:r>
      <w:r>
        <w:t xml:space="preserve"> </w:t>
      </w:r>
      <w:r w:rsidRPr="003F2710">
        <w:t>Entrevista 236-VI-00001. Hombre, afrocolombiano, activista juvenil.</w:t>
      </w:r>
    </w:p>
  </w:footnote>
  <w:footnote w:id="24">
    <w:p w:rsidR="00591E90" w:rsidRPr="003F2710" w:rsidRDefault="00591E90">
      <w:pPr>
        <w:pStyle w:val="Textonotapie"/>
        <w:rPr>
          <w:lang w:val="es-CO"/>
        </w:rPr>
      </w:pPr>
      <w:r>
        <w:rPr>
          <w:rStyle w:val="Refdenotaalpie"/>
        </w:rPr>
        <w:footnoteRef/>
      </w:r>
      <w:r>
        <w:t xml:space="preserve"> </w:t>
      </w:r>
      <w:r w:rsidRPr="003F2710">
        <w:t>Entrevista 216-VI-00017. Mujer, campesina, caso de amenaza, atentado y desplazamiento forzado.</w:t>
      </w:r>
    </w:p>
  </w:footnote>
  <w:footnote w:id="25">
    <w:p w:rsidR="00591E90" w:rsidRPr="003F2710" w:rsidRDefault="00591E90">
      <w:pPr>
        <w:pStyle w:val="Textonotapie"/>
        <w:rPr>
          <w:lang w:val="es-CO"/>
        </w:rPr>
      </w:pPr>
      <w:r>
        <w:rPr>
          <w:rStyle w:val="Refdenotaalpie"/>
        </w:rPr>
        <w:footnoteRef/>
      </w:r>
      <w:r>
        <w:t xml:space="preserve"> </w:t>
      </w:r>
      <w:r w:rsidRPr="003F2710">
        <w:t>Entrevista 040-VI-00011. Mujer, activista, caso de desplazamiento forzado, homicidio, reclutamiento.</w:t>
      </w:r>
    </w:p>
  </w:footnote>
  <w:footnote w:id="26">
    <w:p w:rsidR="00591E90" w:rsidRPr="003A23C7" w:rsidRDefault="00591E90">
      <w:pPr>
        <w:pStyle w:val="Textonotapie"/>
        <w:rPr>
          <w:lang w:val="es-CO"/>
        </w:rPr>
      </w:pPr>
      <w:r>
        <w:rPr>
          <w:rStyle w:val="Refdenotaalpie"/>
        </w:rPr>
        <w:footnoteRef/>
      </w:r>
      <w:r>
        <w:t xml:space="preserve"> </w:t>
      </w:r>
      <w:r w:rsidRPr="003A23C7">
        <w:t>Comisión de la Verdad, «Contribución a la verdad y reconocimiento de responsabilidades de integrantes del Ejército», 1 de diciembre de 2021.</w:t>
      </w:r>
    </w:p>
  </w:footnote>
  <w:footnote w:id="27">
    <w:p w:rsidR="00591E90" w:rsidRPr="003A23C7" w:rsidRDefault="00591E90">
      <w:pPr>
        <w:pStyle w:val="Textonotapie"/>
        <w:rPr>
          <w:lang w:val="es-CO"/>
        </w:rPr>
      </w:pPr>
      <w:r>
        <w:rPr>
          <w:rStyle w:val="Refdenotaalpie"/>
        </w:rPr>
        <w:footnoteRef/>
      </w:r>
      <w:r>
        <w:t xml:space="preserve"> </w:t>
      </w:r>
      <w:r w:rsidRPr="003A23C7">
        <w:t>Entrevista 190-VI-00077. Hombre, funcionario público, caso de amenazas.</w:t>
      </w:r>
    </w:p>
  </w:footnote>
  <w:footnote w:id="28">
    <w:p w:rsidR="00591E90" w:rsidRPr="003A23C7" w:rsidRDefault="00591E90">
      <w:pPr>
        <w:pStyle w:val="Textonotapie"/>
        <w:rPr>
          <w:lang w:val="es-CO"/>
        </w:rPr>
      </w:pPr>
      <w:r>
        <w:rPr>
          <w:rStyle w:val="Refdenotaalpie"/>
        </w:rPr>
        <w:footnoteRef/>
      </w:r>
      <w:r>
        <w:t xml:space="preserve"> </w:t>
      </w:r>
      <w:r w:rsidRPr="00F5576D">
        <w:t>Entrevista 240-AA-00013. Hombre, excombatiente, excomandante del Bloque Central Bolívar</w:t>
      </w:r>
    </w:p>
  </w:footnote>
  <w:footnote w:id="29">
    <w:p w:rsidR="00591E90" w:rsidRPr="00F5576D" w:rsidRDefault="00591E90">
      <w:pPr>
        <w:pStyle w:val="Textonotapie"/>
        <w:rPr>
          <w:lang w:val="es-CO"/>
        </w:rPr>
      </w:pPr>
      <w:r>
        <w:rPr>
          <w:rStyle w:val="Refdenotaalpie"/>
        </w:rPr>
        <w:footnoteRef/>
      </w:r>
      <w:r>
        <w:t xml:space="preserve"> </w:t>
      </w:r>
      <w:r w:rsidRPr="00F5576D">
        <w:t>Entrevista 241-VI-00002. Hombre, campesino, caso de desplazamiento forzado y masacre.</w:t>
      </w:r>
    </w:p>
  </w:footnote>
  <w:footnote w:id="30">
    <w:p w:rsidR="00591E90" w:rsidRPr="00F5576D" w:rsidRDefault="00591E90">
      <w:pPr>
        <w:pStyle w:val="Textonotapie"/>
        <w:rPr>
          <w:lang w:val="es-CO"/>
        </w:rPr>
      </w:pPr>
      <w:r>
        <w:rPr>
          <w:rStyle w:val="Refdenotaalpie"/>
        </w:rPr>
        <w:footnoteRef/>
      </w:r>
      <w:r>
        <w:t xml:space="preserve"> </w:t>
      </w:r>
      <w:r w:rsidRPr="00F5576D">
        <w:t>Entrevista 109-VI-00005. Mujer, campesina, caso de violencia sexual y amenazas.</w:t>
      </w:r>
    </w:p>
  </w:footnote>
  <w:footnote w:id="31">
    <w:p w:rsidR="00591E90" w:rsidRPr="00F5576D" w:rsidRDefault="00591E90">
      <w:pPr>
        <w:pStyle w:val="Textonotapie"/>
        <w:rPr>
          <w:lang w:val="es-CO"/>
        </w:rPr>
      </w:pPr>
      <w:r>
        <w:rPr>
          <w:rStyle w:val="Refdenotaalpie"/>
        </w:rPr>
        <w:footnoteRef/>
      </w:r>
      <w:r>
        <w:t xml:space="preserve"> </w:t>
      </w:r>
      <w:r w:rsidRPr="00F5576D">
        <w:t>Entrevista 084-PR-00331. Hombre, coronel del Ejército, responsable de ejecuciones extrajudiciales.</w:t>
      </w:r>
    </w:p>
  </w:footnote>
  <w:footnote w:id="32">
    <w:p w:rsidR="00591E90" w:rsidRPr="0034140E" w:rsidRDefault="00591E90">
      <w:pPr>
        <w:pStyle w:val="Textonotapie"/>
        <w:rPr>
          <w:lang w:val="es-CO"/>
        </w:rPr>
      </w:pPr>
      <w:r>
        <w:rPr>
          <w:rStyle w:val="Refdenotaalpie"/>
        </w:rPr>
        <w:footnoteRef/>
      </w:r>
      <w:r>
        <w:t xml:space="preserve"> </w:t>
      </w:r>
      <w:r w:rsidRPr="0034140E">
        <w:t>Módulo de Catalogación Colaborativa 29-OI-629909e129e5207e167b2cb0, «Contribuciones a la verdad y reconocimiento de responsabilidades de integrantes del Ejército Nacional de Colombia: espacio público».</w:t>
      </w:r>
    </w:p>
  </w:footnote>
  <w:footnote w:id="33">
    <w:p w:rsidR="00591E90" w:rsidRPr="0034140E" w:rsidRDefault="00591E90">
      <w:pPr>
        <w:pStyle w:val="Textonotapie"/>
        <w:rPr>
          <w:lang w:val="es-CO"/>
        </w:rPr>
      </w:pPr>
      <w:r>
        <w:rPr>
          <w:rStyle w:val="Refdenotaalpie"/>
        </w:rPr>
        <w:footnoteRef/>
      </w:r>
      <w:r>
        <w:t xml:space="preserve"> </w:t>
      </w:r>
      <w:r w:rsidRPr="0034140E">
        <w:t>Comisión de la Verdad, «Víctimas y responsables de El Carmen de Atrato dieron un paso hacia la reconciliación».</w:t>
      </w:r>
    </w:p>
  </w:footnote>
  <w:footnote w:id="34">
    <w:p w:rsidR="00591E90" w:rsidRPr="0034140E" w:rsidRDefault="00591E90">
      <w:pPr>
        <w:pStyle w:val="Textonotapie"/>
        <w:rPr>
          <w:lang w:val="es-CO"/>
        </w:rPr>
      </w:pPr>
      <w:r>
        <w:rPr>
          <w:rStyle w:val="Refdenotaalpie"/>
        </w:rPr>
        <w:footnoteRef/>
      </w:r>
      <w:r>
        <w:t xml:space="preserve"> </w:t>
      </w:r>
      <w:r w:rsidRPr="0034140E">
        <w:t>Mujer, lideresa, participante en diagnóstico sobre mujeres y diversidad sexual, Diagnóstico comunitario 440- DC-00014. Mujer, lideresa, participante en diagnóstico sobre mujeres y diversidad sexual.</w:t>
      </w:r>
    </w:p>
  </w:footnote>
  <w:footnote w:id="35">
    <w:p w:rsidR="00591E90" w:rsidRPr="0034140E" w:rsidRDefault="00591E90">
      <w:pPr>
        <w:pStyle w:val="Textonotapie"/>
        <w:rPr>
          <w:lang w:val="es-CO"/>
        </w:rPr>
      </w:pPr>
      <w:r>
        <w:rPr>
          <w:rStyle w:val="Refdenotaalpie"/>
        </w:rPr>
        <w:footnoteRef/>
      </w:r>
      <w:r>
        <w:t xml:space="preserve"> </w:t>
      </w:r>
      <w:r w:rsidRPr="0034140E">
        <w:t>Entrevista 059-VI-00014. Mujer, campesina, caso de amenazas, desplazamiento forzado y despojo de tierras.</w:t>
      </w:r>
    </w:p>
  </w:footnote>
  <w:footnote w:id="36">
    <w:p w:rsidR="00591E90" w:rsidRPr="0034140E" w:rsidRDefault="00591E90">
      <w:pPr>
        <w:pStyle w:val="Textonotapie"/>
        <w:rPr>
          <w:lang w:val="es-CO"/>
        </w:rPr>
      </w:pPr>
      <w:r>
        <w:rPr>
          <w:rStyle w:val="Refdenotaalpie"/>
        </w:rPr>
        <w:footnoteRef/>
      </w:r>
      <w:r>
        <w:t xml:space="preserve"> </w:t>
      </w:r>
      <w:r w:rsidRPr="0034140E">
        <w:t xml:space="preserve">El </w:t>
      </w:r>
      <w:proofErr w:type="spellStart"/>
      <w:r w:rsidRPr="0034140E">
        <w:t>geoportal</w:t>
      </w:r>
      <w:proofErr w:type="spellEnd"/>
      <w:r w:rsidRPr="0034140E">
        <w:t xml:space="preserve"> sobre el sistema de alertas tempranas por megaproyectos en Colombia creado por el grupo de investigación Cultura y Ambiente de la Universidad Nacional evidencia que los departamentos con más alertas son Antioquia (497), Santander (327), Tolima (258) y Meta (220). No obstante, estas cifras solo incluyen proyectos legales y se considera que existe un subregistro. Asociación Ambiente Sociedad y Sistema de alertas tempranas por megaproyectos en áreas prioritarias de conservación en Colombia, «Mapa de alertas tempranas».</w:t>
      </w:r>
    </w:p>
  </w:footnote>
  <w:footnote w:id="37">
    <w:p w:rsidR="00591E90" w:rsidRPr="00B8684E" w:rsidRDefault="00591E90">
      <w:pPr>
        <w:pStyle w:val="Textonotapie"/>
        <w:rPr>
          <w:lang w:val="es-CO"/>
        </w:rPr>
      </w:pPr>
      <w:r>
        <w:rPr>
          <w:rStyle w:val="Refdenotaalpie"/>
        </w:rPr>
        <w:footnoteRef/>
      </w:r>
      <w:r>
        <w:t xml:space="preserve"> </w:t>
      </w:r>
      <w:r w:rsidRPr="00B8684E">
        <w:t>Molano, Desterrados.</w:t>
      </w:r>
    </w:p>
  </w:footnote>
  <w:footnote w:id="38">
    <w:p w:rsidR="00591E90" w:rsidRPr="00B221B9" w:rsidRDefault="00591E90">
      <w:pPr>
        <w:pStyle w:val="Textonotapie"/>
        <w:rPr>
          <w:lang w:val="es-CO"/>
        </w:rPr>
      </w:pPr>
      <w:r>
        <w:rPr>
          <w:rStyle w:val="Refdenotaalpie"/>
        </w:rPr>
        <w:footnoteRef/>
      </w:r>
      <w:r>
        <w:t xml:space="preserve"> </w:t>
      </w:r>
      <w:r w:rsidRPr="00B221B9">
        <w:t>Entrevista 311-PR-00427. Hombre, sindicalista, caso de amenazas, persecución y seguimientos.</w:t>
      </w:r>
    </w:p>
  </w:footnote>
  <w:footnote w:id="39">
    <w:p w:rsidR="00591E90" w:rsidRPr="00BB7158" w:rsidRDefault="00591E90">
      <w:pPr>
        <w:pStyle w:val="Textonotapie"/>
        <w:rPr>
          <w:lang w:val="es-CO"/>
        </w:rPr>
      </w:pPr>
      <w:r>
        <w:rPr>
          <w:rStyle w:val="Refdenotaalpie"/>
        </w:rPr>
        <w:footnoteRef/>
      </w:r>
      <w:r>
        <w:t xml:space="preserve"> </w:t>
      </w:r>
      <w:r w:rsidRPr="00BB7158">
        <w:t>Octavo Informe de Seguimiento al Congreso de la República. Comisión de Seguimiento y Monitoreo a la Implementación de la ley 1448 de 2011.</w:t>
      </w:r>
    </w:p>
  </w:footnote>
  <w:footnote w:id="40">
    <w:p w:rsidR="00591E90" w:rsidRPr="00BB7158" w:rsidRDefault="00591E90">
      <w:pPr>
        <w:pStyle w:val="Textonotapie"/>
        <w:rPr>
          <w:lang w:val="es-CO"/>
        </w:rPr>
      </w:pPr>
      <w:r>
        <w:rPr>
          <w:rStyle w:val="Refdenotaalpie"/>
        </w:rPr>
        <w:footnoteRef/>
      </w:r>
      <w:r>
        <w:t xml:space="preserve"> </w:t>
      </w:r>
      <w:r w:rsidRPr="00BB7158">
        <w:t>De esos pocos casos que refirieron haber contado con atención psicosocial, 4 de cada 10 fueron atendidos por organizaciones de víctimas y ONG, y 2 de cada 10 refirieron haber contado con apoyo por parte de instituciones del Estado, como el Programa de Atención Psicosocial y Atención Integral a Víctimas, la atención psicosocial de la Unidad de Atención para las Víctimas, el Instituto Colombiano de Bienestar Familiar, personerías o programas de atención de gobernaciones y alcaldías; 1 de cada 10 manifestó haber recibido atención psicológica o psiquiátrica a través de las EPS, en hospitales y clínicas.</w:t>
      </w:r>
    </w:p>
  </w:footnote>
  <w:footnote w:id="41">
    <w:p w:rsidR="00591E90" w:rsidRPr="000D5CBC" w:rsidRDefault="00591E90">
      <w:pPr>
        <w:pStyle w:val="Textonotapie"/>
        <w:rPr>
          <w:lang w:val="es-CO"/>
        </w:rPr>
      </w:pPr>
      <w:r>
        <w:rPr>
          <w:rStyle w:val="Refdenotaalpie"/>
        </w:rPr>
        <w:footnoteRef/>
      </w:r>
      <w:r>
        <w:t xml:space="preserve"> </w:t>
      </w:r>
      <w:r w:rsidRPr="000D5CBC">
        <w:t>Datos obtenidos del Informe de Evaluación del Programa de Atención Psicosocial y Salud Integral a Víctimas-PAPSIVI (2020). Ministerio de Salud y Protección Social (Minsalud), 90, 135.</w:t>
      </w:r>
    </w:p>
  </w:footnote>
  <w:footnote w:id="42">
    <w:p w:rsidR="00591E90" w:rsidRPr="000D5CBC" w:rsidRDefault="00591E90">
      <w:pPr>
        <w:pStyle w:val="Textonotapie"/>
        <w:rPr>
          <w:lang w:val="es-CO"/>
        </w:rPr>
      </w:pPr>
      <w:r>
        <w:rPr>
          <w:rStyle w:val="Refdenotaalpie"/>
        </w:rPr>
        <w:footnoteRef/>
      </w:r>
      <w:r>
        <w:t xml:space="preserve"> </w:t>
      </w:r>
      <w:r w:rsidRPr="000D5CBC">
        <w:t>Entrevista 1041-CO-00501. Funcionarios del Ministerio de Salud.</w:t>
      </w:r>
    </w:p>
  </w:footnote>
  <w:footnote w:id="43">
    <w:p w:rsidR="00591E90" w:rsidRPr="000D5CBC" w:rsidRDefault="00591E90">
      <w:pPr>
        <w:pStyle w:val="Textonotapie"/>
        <w:rPr>
          <w:lang w:val="es-CO"/>
        </w:rPr>
      </w:pPr>
      <w:r>
        <w:rPr>
          <w:rStyle w:val="Refdenotaalpie"/>
        </w:rPr>
        <w:footnoteRef/>
      </w:r>
      <w:r>
        <w:t xml:space="preserve"> </w:t>
      </w:r>
      <w:r w:rsidRPr="000D5CBC">
        <w:t>Entrevista 136-VI-00039. Hombre, presidente de JAC, caso de amenazas, desplazamiento forzado, homicidio, secuestro y tortura.</w:t>
      </w:r>
    </w:p>
  </w:footnote>
  <w:footnote w:id="44">
    <w:p w:rsidR="00591E90" w:rsidRPr="003E5027" w:rsidRDefault="00591E90">
      <w:pPr>
        <w:pStyle w:val="Textonotapie"/>
        <w:rPr>
          <w:lang w:val="es-CO"/>
        </w:rPr>
      </w:pPr>
      <w:r>
        <w:rPr>
          <w:rStyle w:val="Refdenotaalpie"/>
        </w:rPr>
        <w:footnoteRef/>
      </w:r>
      <w:r>
        <w:t xml:space="preserve"> </w:t>
      </w:r>
      <w:r w:rsidRPr="003E5027">
        <w:t>Módulo de Catalogación Colaborativa Código pendiente por carga. https://docs.google.com/document/d/1uUZvM7xCoUPL7kQndsva6YidjNmbOOhQ/edit.</w:t>
      </w:r>
    </w:p>
  </w:footnote>
  <w:footnote w:id="45">
    <w:p w:rsidR="00591E90" w:rsidRPr="004A5DB1" w:rsidRDefault="00591E90">
      <w:pPr>
        <w:pStyle w:val="Textonotapie"/>
        <w:rPr>
          <w:lang w:val="es-CO"/>
        </w:rPr>
      </w:pPr>
      <w:r>
        <w:rPr>
          <w:rStyle w:val="Refdenotaalpie"/>
        </w:rPr>
        <w:footnoteRef/>
      </w:r>
      <w:r>
        <w:t xml:space="preserve"> </w:t>
      </w:r>
      <w:r w:rsidRPr="004A5DB1">
        <w:t>Hablamos de (re)conciliación aquí para enfatizar que no se trata de volver a las relaciones antes de la fractura de la guerra, porque muchas veces no eran equitativas y conciliadas. La (re)conciliación hace énfasis en un proceso que mira al futuro de nuevas formas de convivencia.</w:t>
      </w:r>
    </w:p>
  </w:footnote>
  <w:footnote w:id="46">
    <w:p w:rsidR="00591E90" w:rsidRPr="00EE114D" w:rsidRDefault="00591E90">
      <w:pPr>
        <w:pStyle w:val="Textonotapie"/>
        <w:rPr>
          <w:lang w:val="es-CO"/>
        </w:rPr>
      </w:pPr>
      <w:r>
        <w:rPr>
          <w:rStyle w:val="Refdenotaalpie"/>
        </w:rPr>
        <w:footnoteRef/>
      </w:r>
      <w:r>
        <w:t xml:space="preserve"> </w:t>
      </w:r>
      <w:r w:rsidRPr="00EE114D">
        <w:t>Este texto es una síntesis analítica de No matarás. Relato histórico del conflicto armado, uno de los volúmenes del Informe Final de la Comisión de la Verdad.</w:t>
      </w:r>
    </w:p>
  </w:footnote>
  <w:footnote w:id="47">
    <w:p w:rsidR="00591E90" w:rsidRPr="00EE114D" w:rsidRDefault="00591E90">
      <w:pPr>
        <w:pStyle w:val="Textonotapie"/>
        <w:rPr>
          <w:lang w:val="es-CO"/>
        </w:rPr>
      </w:pPr>
      <w:r>
        <w:rPr>
          <w:rStyle w:val="Refdenotaalpie"/>
        </w:rPr>
        <w:footnoteRef/>
      </w:r>
      <w:r>
        <w:t xml:space="preserve"> </w:t>
      </w:r>
      <w:r w:rsidRPr="00EE114D">
        <w:t>Algunas de estas rentas son el narcotráfico, la minería ilegal, el contrabando, la trata de personas y también las rentas legales de la contratación pública y las regalías.</w:t>
      </w:r>
    </w:p>
  </w:footnote>
  <w:footnote w:id="48">
    <w:p w:rsidR="00591E90" w:rsidRPr="00EE114D" w:rsidRDefault="00591E90">
      <w:pPr>
        <w:pStyle w:val="Textonotapie"/>
        <w:rPr>
          <w:lang w:val="es-CO"/>
        </w:rPr>
      </w:pPr>
      <w:r>
        <w:rPr>
          <w:rStyle w:val="Refdenotaalpie"/>
        </w:rPr>
        <w:footnoteRef/>
      </w:r>
      <w:r>
        <w:t xml:space="preserve"> </w:t>
      </w:r>
      <w:r w:rsidRPr="00EE114D">
        <w:t xml:space="preserve">En 2018, el Comité Internacional de la Cruz Roja (CICR) estableció que en Colombia persistían por lo menos cinco conflictos armados; cuatro de ellos entre fuerzas del Estado, el ELN, el EPL, las Autodefensas </w:t>
      </w:r>
      <w:proofErr w:type="spellStart"/>
      <w:r w:rsidRPr="00EE114D">
        <w:t>Gaitanistas</w:t>
      </w:r>
      <w:proofErr w:type="spellEnd"/>
      <w:r w:rsidRPr="00EE114D">
        <w:t xml:space="preserve"> de Colombia (AGC) y las antiguas estructuras del Bloque Oriental de las FARC-EP que no se acogieron al proceso de paz; y un quinto conflicto entre el ELN y el EPL, en el Catatumbo. Para mayor ilustración, consultar Colombia adentro. Colección de relatos territoriales y también el </w:t>
      </w:r>
      <w:proofErr w:type="spellStart"/>
      <w:r w:rsidRPr="00EE114D">
        <w:t>volúmen</w:t>
      </w:r>
      <w:proofErr w:type="spellEnd"/>
      <w:r w:rsidRPr="00EE114D">
        <w:t xml:space="preserve"> étnico del Informe Final de la Comisión de la Verdad.</w:t>
      </w:r>
    </w:p>
  </w:footnote>
  <w:footnote w:id="49">
    <w:p w:rsidR="00591E90" w:rsidRPr="00354EF3" w:rsidRDefault="00591E90" w:rsidP="00EE114D">
      <w:pPr>
        <w:pStyle w:val="Textonotapie"/>
      </w:pPr>
      <w:r>
        <w:rPr>
          <w:rStyle w:val="Refdenotaalpie"/>
        </w:rPr>
        <w:footnoteRef/>
      </w:r>
      <w:r>
        <w:t xml:space="preserve"> Expresión acuñada por el dirigente liberal Darío Echandía el 5 de noviembre de 1979 en una entrevista con la periodista Margarita Vidal.</w:t>
      </w:r>
    </w:p>
  </w:footnote>
  <w:footnote w:id="50">
    <w:p w:rsidR="00591E90" w:rsidRPr="00354EF3" w:rsidRDefault="00591E90">
      <w:pPr>
        <w:pStyle w:val="Textonotapie"/>
        <w:rPr>
          <w:lang w:val="es-CO"/>
        </w:rPr>
      </w:pPr>
      <w:r>
        <w:rPr>
          <w:rStyle w:val="Refdenotaalpie"/>
        </w:rPr>
        <w:footnoteRef/>
      </w:r>
      <w:r>
        <w:t xml:space="preserve"> </w:t>
      </w:r>
      <w:r w:rsidRPr="00354EF3">
        <w:t>Ejemplo de ello son los estados de sitio y el Estatuto de Seguridad, ambos dictados al amparo de la Constitución de 1886.</w:t>
      </w:r>
    </w:p>
  </w:footnote>
  <w:footnote w:id="51">
    <w:p w:rsidR="00591E90" w:rsidRPr="00354EF3" w:rsidRDefault="00591E90">
      <w:pPr>
        <w:pStyle w:val="Textonotapie"/>
        <w:rPr>
          <w:lang w:val="es-CO"/>
        </w:rPr>
      </w:pPr>
      <w:r>
        <w:rPr>
          <w:rStyle w:val="Refdenotaalpie"/>
        </w:rPr>
        <w:footnoteRef/>
      </w:r>
      <w:r>
        <w:t xml:space="preserve"> </w:t>
      </w:r>
      <w:r w:rsidRPr="001B7B8C">
        <w:t>En el volumen No matarás, del Informe Final de la Comisión de la Verdad, se puede observar cómo desde 1946 comenzó una ola incremental de violencia local de origen electoral.</w:t>
      </w:r>
    </w:p>
  </w:footnote>
  <w:footnote w:id="52">
    <w:p w:rsidR="00591E90" w:rsidRPr="001B5894" w:rsidRDefault="00591E90">
      <w:pPr>
        <w:pStyle w:val="Textonotapie"/>
        <w:rPr>
          <w:lang w:val="es-CO"/>
        </w:rPr>
      </w:pPr>
      <w:r>
        <w:rPr>
          <w:rStyle w:val="Refdenotaalpie"/>
        </w:rPr>
        <w:footnoteRef/>
      </w:r>
      <w:r>
        <w:t xml:space="preserve"> </w:t>
      </w:r>
      <w:r w:rsidRPr="001B5894">
        <w:t>Con el Plan de Rehabilitación para los cuatro departamentos más afectados por la última etapa de la Violencia, y la Comisión sobre Causas de la Violencia que firmó 52 pactos locales de paz.</w:t>
      </w:r>
    </w:p>
  </w:footnote>
  <w:footnote w:id="53">
    <w:p w:rsidR="00591E90" w:rsidRPr="001B5894" w:rsidRDefault="00591E90">
      <w:pPr>
        <w:pStyle w:val="Textonotapie"/>
        <w:rPr>
          <w:lang w:val="es-CO"/>
        </w:rPr>
      </w:pPr>
      <w:r>
        <w:rPr>
          <w:rStyle w:val="Refdenotaalpie"/>
        </w:rPr>
        <w:footnoteRef/>
      </w:r>
      <w:r>
        <w:t xml:space="preserve"> </w:t>
      </w:r>
      <w:r w:rsidRPr="001B5894">
        <w:t>Congreso de la República de Colombia, Ley 135 de 1961.</w:t>
      </w:r>
    </w:p>
  </w:footnote>
  <w:footnote w:id="54">
    <w:p w:rsidR="00591E90" w:rsidRPr="001B5894" w:rsidRDefault="00591E90">
      <w:pPr>
        <w:pStyle w:val="Textonotapie"/>
        <w:rPr>
          <w:lang w:val="es-CO"/>
        </w:rPr>
      </w:pPr>
      <w:r>
        <w:rPr>
          <w:rStyle w:val="Refdenotaalpie"/>
        </w:rPr>
        <w:footnoteRef/>
      </w:r>
      <w:r>
        <w:t xml:space="preserve"> </w:t>
      </w:r>
      <w:r w:rsidRPr="001B5894">
        <w:t>El plan fue diseñado por el general Ruiz Novoa. Existen dos versiones al respecto, la del propio Ruiz, que afirma que surgió del análisis de la situación colombiana, y la de numerosos expertos y académicos que atribuyen el diseño del plan al asesoramiento de Estados Unidos.</w:t>
      </w:r>
    </w:p>
  </w:footnote>
  <w:footnote w:id="55">
    <w:p w:rsidR="00591E90" w:rsidRPr="001B5894" w:rsidRDefault="00591E90">
      <w:pPr>
        <w:pStyle w:val="Textonotapie"/>
        <w:rPr>
          <w:lang w:val="es-CO"/>
        </w:rPr>
      </w:pPr>
      <w:r>
        <w:rPr>
          <w:rStyle w:val="Refdenotaalpie"/>
        </w:rPr>
        <w:footnoteRef/>
      </w:r>
      <w:r>
        <w:t xml:space="preserve"> </w:t>
      </w:r>
      <w:r w:rsidRPr="001B5894">
        <w:t xml:space="preserve">Se produjeron en Tolima, Huila y Cauca, particularmente en Marquetalia, El Pato y </w:t>
      </w:r>
      <w:proofErr w:type="spellStart"/>
      <w:r w:rsidRPr="001B5894">
        <w:t>Riochiquito</w:t>
      </w:r>
      <w:proofErr w:type="spellEnd"/>
      <w:r w:rsidRPr="001B5894">
        <w:t>.</w:t>
      </w:r>
    </w:p>
  </w:footnote>
  <w:footnote w:id="56">
    <w:p w:rsidR="00591E90" w:rsidRPr="001B5894" w:rsidRDefault="00591E90">
      <w:pPr>
        <w:pStyle w:val="Textonotapie"/>
        <w:rPr>
          <w:lang w:val="es-CO"/>
        </w:rPr>
      </w:pPr>
      <w:r>
        <w:rPr>
          <w:rStyle w:val="Refdenotaalpie"/>
        </w:rPr>
        <w:footnoteRef/>
      </w:r>
      <w:r>
        <w:t xml:space="preserve"> </w:t>
      </w:r>
      <w:r w:rsidRPr="001B5894">
        <w:t>La decisión del PCC de combinar las formas de lucha se tomó en su IX Congreso, en 1961. En 1964, luego de los bombardeos del Plan Lazo, se fundó el Bloque Sur como una guerrilla de autodefensa y, en 1966, nacieron oficialmente las FARC.</w:t>
      </w:r>
    </w:p>
  </w:footnote>
  <w:footnote w:id="57">
    <w:p w:rsidR="00591E90" w:rsidRPr="001B5894" w:rsidRDefault="00591E90">
      <w:pPr>
        <w:pStyle w:val="Textonotapie"/>
      </w:pPr>
      <w:r>
        <w:rPr>
          <w:rStyle w:val="Refdenotaalpie"/>
        </w:rPr>
        <w:footnoteRef/>
      </w:r>
      <w:r>
        <w:t xml:space="preserve"> </w:t>
      </w:r>
      <w:r w:rsidRPr="001B5894">
        <w:t>Las acciones armadas de las guerrillas fueron esporádicas, mientras los paros, huelgas y protestas fueron en aumento.</w:t>
      </w:r>
    </w:p>
  </w:footnote>
  <w:footnote w:id="58">
    <w:p w:rsidR="00591E90" w:rsidRPr="001B5894" w:rsidRDefault="00591E90">
      <w:pPr>
        <w:pStyle w:val="Textonotapie"/>
      </w:pPr>
      <w:r>
        <w:rPr>
          <w:rStyle w:val="Refdenotaalpie"/>
        </w:rPr>
        <w:footnoteRef/>
      </w:r>
      <w:r>
        <w:t xml:space="preserve"> </w:t>
      </w:r>
      <w:r w:rsidRPr="001B5894">
        <w:t xml:space="preserve">El Pacto de </w:t>
      </w:r>
      <w:proofErr w:type="spellStart"/>
      <w:r w:rsidRPr="001B5894">
        <w:t>Chicoral</w:t>
      </w:r>
      <w:proofErr w:type="spellEnd"/>
      <w:r w:rsidRPr="001B5894">
        <w:t xml:space="preserve"> firmado en 1972 reformó la Ley 135 de 1961 y tuvo un impacto en la división de la Asociación Nacional de Usuarios Campesinos (ANUC) en una línea de izquierda y una gobiernista. Para mayor detalle consultar Colombia adentro. Colección de relatos territoriales del Informe Final de la Comisión de la Verdad.</w:t>
      </w:r>
    </w:p>
  </w:footnote>
  <w:footnote w:id="59">
    <w:p w:rsidR="00591E90" w:rsidRPr="008F076A" w:rsidRDefault="00591E90">
      <w:pPr>
        <w:pStyle w:val="Textonotapie"/>
        <w:rPr>
          <w:lang w:val="es-CO"/>
        </w:rPr>
      </w:pPr>
      <w:r>
        <w:rPr>
          <w:rStyle w:val="Refdenotaalpie"/>
        </w:rPr>
        <w:footnoteRef/>
      </w:r>
      <w:r>
        <w:t xml:space="preserve"> </w:t>
      </w:r>
      <w:r w:rsidRPr="008F076A">
        <w:t>Las FARC en el sur del país, el ELN en el oriente y el EPL en el noroccidente.</w:t>
      </w:r>
    </w:p>
  </w:footnote>
  <w:footnote w:id="60">
    <w:p w:rsidR="00591E90" w:rsidRPr="008F076A" w:rsidRDefault="00591E90">
      <w:pPr>
        <w:pStyle w:val="Textonotapie"/>
        <w:rPr>
          <w:lang w:val="es-CO"/>
        </w:rPr>
      </w:pPr>
      <w:r>
        <w:rPr>
          <w:rStyle w:val="Refdenotaalpie"/>
        </w:rPr>
        <w:footnoteRef/>
      </w:r>
      <w:r>
        <w:t xml:space="preserve"> </w:t>
      </w:r>
      <w:r w:rsidRPr="008F076A">
        <w:t xml:space="preserve">El M-19 surgió en 1974 como un movimiento político-militar. Nació de la convergencia de militantes urbanos que desertaron de las FARC y de un grupo de militantes de la </w:t>
      </w:r>
      <w:proofErr w:type="spellStart"/>
      <w:r w:rsidRPr="008F076A">
        <w:t>Anapo</w:t>
      </w:r>
      <w:proofErr w:type="spellEnd"/>
      <w:r w:rsidRPr="008F076A">
        <w:t xml:space="preserve"> que decidió alzarse en armas luego del fraude en las elecciones presidenciales de 1970.</w:t>
      </w:r>
    </w:p>
  </w:footnote>
  <w:footnote w:id="61">
    <w:p w:rsidR="00591E90" w:rsidRPr="008F076A" w:rsidRDefault="00591E90">
      <w:pPr>
        <w:pStyle w:val="Textonotapie"/>
        <w:rPr>
          <w:lang w:val="es-CO"/>
        </w:rPr>
      </w:pPr>
      <w:r>
        <w:rPr>
          <w:rStyle w:val="Refdenotaalpie"/>
        </w:rPr>
        <w:footnoteRef/>
      </w:r>
      <w:r>
        <w:t xml:space="preserve"> </w:t>
      </w:r>
      <w:r w:rsidRPr="008F076A">
        <w:t>Al respecto, Carlos Noriega, el ministro de Gobierno en ese momento, afirmó en los años noventa que el fraude sí existió y que para el gobierno liberal de Carlos Lleras era imposible no entregarle el poder al conservador Misael Pastrana, dado que estaría incumpliendo el acuerdo fundante del Frente Nacional. En el libro Fraude en la elección de Pastrana Borrero el exministro explica que el fraude se dio en algunas regiones.</w:t>
      </w:r>
    </w:p>
  </w:footnote>
  <w:footnote w:id="62">
    <w:p w:rsidR="00591E90" w:rsidRPr="008F076A" w:rsidRDefault="00591E90">
      <w:pPr>
        <w:pStyle w:val="Textonotapie"/>
        <w:rPr>
          <w:lang w:val="es-CO"/>
        </w:rPr>
      </w:pPr>
      <w:r>
        <w:rPr>
          <w:rStyle w:val="Refdenotaalpie"/>
        </w:rPr>
        <w:footnoteRef/>
      </w:r>
      <w:r>
        <w:t xml:space="preserve"> </w:t>
      </w:r>
      <w:r w:rsidRPr="008F076A">
        <w:t>Las torturas, las desapariciones forzadas y las detenciones arbitrarias crecieron en este periodo. También se produjo la primera ola de exilio de disidentes colombianos hacia el exterior.</w:t>
      </w:r>
    </w:p>
  </w:footnote>
  <w:footnote w:id="63">
    <w:p w:rsidR="00591E90" w:rsidRPr="008F076A" w:rsidRDefault="00591E90">
      <w:pPr>
        <w:pStyle w:val="Textonotapie"/>
        <w:rPr>
          <w:lang w:val="es-CO"/>
        </w:rPr>
      </w:pPr>
      <w:r>
        <w:rPr>
          <w:rStyle w:val="Refdenotaalpie"/>
        </w:rPr>
        <w:footnoteRef/>
      </w:r>
      <w:r>
        <w:t xml:space="preserve"> </w:t>
      </w:r>
      <w:r w:rsidRPr="008F076A">
        <w:t>En 1963, se produjeron las masacres de Santa Bárbara y, en 1971, la represión al movimiento de estudiantes y las detenciones también a los campesinos que luchaban por la tierra.</w:t>
      </w:r>
    </w:p>
  </w:footnote>
  <w:footnote w:id="64">
    <w:p w:rsidR="00591E90" w:rsidRPr="008F076A" w:rsidRDefault="00591E90">
      <w:pPr>
        <w:pStyle w:val="Textonotapie"/>
        <w:rPr>
          <w:lang w:val="es-CO"/>
        </w:rPr>
      </w:pPr>
      <w:r>
        <w:rPr>
          <w:rStyle w:val="Refdenotaalpie"/>
        </w:rPr>
        <w:footnoteRef/>
      </w:r>
      <w:r>
        <w:t xml:space="preserve"> </w:t>
      </w:r>
      <w:r w:rsidRPr="008F076A">
        <w:t>Se destacan los asesinatos de Jaime Arenas y Ricardo Lara, por parte del ELN; de José Raquel Mercado, por parte del M-19, y de Rafael Pardo Buelvas, por parte de la Autodefensa Obrera (ADO).</w:t>
      </w:r>
    </w:p>
  </w:footnote>
  <w:footnote w:id="65">
    <w:p w:rsidR="00591E90" w:rsidRPr="008F076A" w:rsidRDefault="00591E90">
      <w:pPr>
        <w:pStyle w:val="Textonotapie"/>
        <w:rPr>
          <w:lang w:val="es-CO"/>
        </w:rPr>
      </w:pPr>
      <w:r>
        <w:rPr>
          <w:rStyle w:val="Refdenotaalpie"/>
        </w:rPr>
        <w:footnoteRef/>
      </w:r>
      <w:r>
        <w:t xml:space="preserve"> </w:t>
      </w:r>
      <w:r w:rsidRPr="008F076A">
        <w:t>Término usado con frecuencia en las organizaciones al margen de la ley para referirse a delatores.</w:t>
      </w:r>
    </w:p>
  </w:footnote>
  <w:footnote w:id="66">
    <w:p w:rsidR="00591E90" w:rsidRPr="006E358D" w:rsidRDefault="00591E90">
      <w:pPr>
        <w:pStyle w:val="Textonotapie"/>
        <w:rPr>
          <w:lang w:val="es-CO"/>
        </w:rPr>
      </w:pPr>
      <w:r>
        <w:rPr>
          <w:rStyle w:val="Refdenotaalpie"/>
        </w:rPr>
        <w:footnoteRef/>
      </w:r>
      <w:r>
        <w:t xml:space="preserve"> </w:t>
      </w:r>
      <w:r w:rsidRPr="00741695">
        <w:t>El concepto de «orden público» está anclado a la Constitución de 1886.</w:t>
      </w:r>
    </w:p>
  </w:footnote>
  <w:footnote w:id="67">
    <w:p w:rsidR="00591E90" w:rsidRPr="00741695" w:rsidRDefault="00591E90">
      <w:pPr>
        <w:pStyle w:val="Textonotapie"/>
        <w:rPr>
          <w:lang w:val="es-CO"/>
        </w:rPr>
      </w:pPr>
      <w:r>
        <w:rPr>
          <w:rStyle w:val="Refdenotaalpie"/>
        </w:rPr>
        <w:footnoteRef/>
      </w:r>
      <w:r>
        <w:t xml:space="preserve"> </w:t>
      </w:r>
      <w:r w:rsidRPr="00741695">
        <w:t>Una expresión de este pensamiento fue el propio Estatuto de Seguridad, pero también la manera como el Ejército actuó frente al proceso de paz, y la resolución dada a la toma del Palacio de Justicia.</w:t>
      </w:r>
    </w:p>
  </w:footnote>
  <w:footnote w:id="68">
    <w:p w:rsidR="00591E90" w:rsidRPr="00741695" w:rsidRDefault="00591E90">
      <w:pPr>
        <w:pStyle w:val="Textonotapie"/>
        <w:rPr>
          <w:lang w:val="es-CO"/>
        </w:rPr>
      </w:pPr>
      <w:r>
        <w:rPr>
          <w:rStyle w:val="Refdenotaalpie"/>
        </w:rPr>
        <w:footnoteRef/>
      </w:r>
      <w:r>
        <w:t xml:space="preserve"> </w:t>
      </w:r>
      <w:r w:rsidRPr="00741695">
        <w:t>Se instauró el concepto del «síndrome de la Procuraduría» para hablar de las investigaciones por violaciones de derechos humanos. Más adelante este evolucionó a «guerra jurídica».</w:t>
      </w:r>
    </w:p>
  </w:footnote>
  <w:footnote w:id="69">
    <w:p w:rsidR="00591E90" w:rsidRPr="00741695" w:rsidRDefault="00591E90">
      <w:pPr>
        <w:pStyle w:val="Textonotapie"/>
        <w:rPr>
          <w:lang w:val="es-CO"/>
        </w:rPr>
      </w:pPr>
      <w:r>
        <w:rPr>
          <w:rStyle w:val="Refdenotaalpie"/>
        </w:rPr>
        <w:footnoteRef/>
      </w:r>
      <w:r>
        <w:t xml:space="preserve"> </w:t>
      </w:r>
      <w:r w:rsidRPr="00741695">
        <w:t>El término lo acuñó Otto Morales Benítez, presidente de la Comisión de Paz de Betancur que renunció en 1983 sin dar detalles al respecto. En los años noventa, poco antes de su muerte, en una entrevista con la periodista María Isabel Rueda, Morales dijo que estos enemigos eran las élites económicas.</w:t>
      </w:r>
    </w:p>
  </w:footnote>
  <w:footnote w:id="70">
    <w:p w:rsidR="00591E90" w:rsidRPr="00741695" w:rsidRDefault="00591E90">
      <w:pPr>
        <w:pStyle w:val="Textonotapie"/>
        <w:rPr>
          <w:lang w:val="es-CO"/>
        </w:rPr>
      </w:pPr>
      <w:r>
        <w:rPr>
          <w:rStyle w:val="Refdenotaalpie"/>
        </w:rPr>
        <w:footnoteRef/>
      </w:r>
      <w:r>
        <w:t xml:space="preserve"> </w:t>
      </w:r>
      <w:r w:rsidRPr="00741695">
        <w:t>En marzo de 1986, la UP se convirtió en la tercera fuerza política con cinco senadores y nueve representantes a la Cámara. En 1988, obtuvo 23 alcaldías.</w:t>
      </w:r>
    </w:p>
  </w:footnote>
  <w:footnote w:id="71">
    <w:p w:rsidR="00591E90" w:rsidRPr="00741695" w:rsidRDefault="00591E90">
      <w:pPr>
        <w:pStyle w:val="Textonotapie"/>
        <w:rPr>
          <w:lang w:val="es-CO"/>
        </w:rPr>
      </w:pPr>
      <w:r>
        <w:rPr>
          <w:rStyle w:val="Refdenotaalpie"/>
        </w:rPr>
        <w:footnoteRef/>
      </w:r>
      <w:r>
        <w:t xml:space="preserve"> </w:t>
      </w:r>
      <w:r w:rsidRPr="00741695">
        <w:t>Esta expulsión se materializó con la persecución a Pablo Escobar Gaviria, lo que derivó en una guerra de un sector del narcotráfico contra el Estado colombiano. Otro sector continuó aliado con el narcotráfico a través de los grupos paramilitares.</w:t>
      </w:r>
    </w:p>
  </w:footnote>
  <w:footnote w:id="72">
    <w:p w:rsidR="00591E90" w:rsidRPr="00B02229" w:rsidRDefault="00591E90">
      <w:pPr>
        <w:pStyle w:val="Textonotapie"/>
        <w:rPr>
          <w:lang w:val="es-CO"/>
        </w:rPr>
      </w:pPr>
      <w:r>
        <w:rPr>
          <w:rStyle w:val="Refdenotaalpie"/>
        </w:rPr>
        <w:footnoteRef/>
      </w:r>
      <w:r>
        <w:t xml:space="preserve"> </w:t>
      </w:r>
      <w:r w:rsidRPr="00B02229">
        <w:t>Para los años ochenta, se destacaron el Magdalena Medio, que se convirtió en un laboratorio contrainsurgente, pero también Antioquia (Urabá), Córdoba, Magdalena, Cesar y Meta.</w:t>
      </w:r>
    </w:p>
  </w:footnote>
  <w:footnote w:id="73">
    <w:p w:rsidR="00591E90" w:rsidRPr="00B02229" w:rsidRDefault="00591E90">
      <w:pPr>
        <w:pStyle w:val="Textonotapie"/>
        <w:rPr>
          <w:lang w:val="es-CO"/>
        </w:rPr>
      </w:pPr>
      <w:r>
        <w:rPr>
          <w:rStyle w:val="Refdenotaalpie"/>
        </w:rPr>
        <w:footnoteRef/>
      </w:r>
      <w:r>
        <w:t xml:space="preserve"> </w:t>
      </w:r>
      <w:r w:rsidRPr="00B02229">
        <w:t>Este concepto enarbolado por la llamada Trilateral (ELN, PRT, MIR-PL) planteaba que el poder no se toma, sino que se construye. Influyó lo que estaba ocurriendo en El Salvador, donde la guerra interna estaba prácticamente en un empate militar y la guerrilla tenía control de territorios donde desarrolló un modelo de poder dual.</w:t>
      </w:r>
    </w:p>
  </w:footnote>
  <w:footnote w:id="74">
    <w:p w:rsidR="00591E90" w:rsidRPr="00510926" w:rsidRDefault="00591E90">
      <w:pPr>
        <w:pStyle w:val="Textonotapie"/>
        <w:rPr>
          <w:lang w:val="es-CO"/>
        </w:rPr>
      </w:pPr>
      <w:r>
        <w:rPr>
          <w:rStyle w:val="Refdenotaalpie"/>
        </w:rPr>
        <w:footnoteRef/>
      </w:r>
      <w:r>
        <w:t xml:space="preserve"> </w:t>
      </w:r>
      <w:r w:rsidRPr="00510926">
        <w:t>En 1983, el procurador Carlos Jiménez Gómez reveló que el MAS estaba compuesto por narcotraficantes y miembros de la fuerza pública.</w:t>
      </w:r>
    </w:p>
  </w:footnote>
  <w:footnote w:id="75">
    <w:p w:rsidR="00591E90" w:rsidRPr="00510926" w:rsidRDefault="00591E90">
      <w:pPr>
        <w:pStyle w:val="Textonotapie"/>
        <w:rPr>
          <w:lang w:val="es-CO"/>
        </w:rPr>
      </w:pPr>
      <w:r>
        <w:rPr>
          <w:rStyle w:val="Refdenotaalpie"/>
        </w:rPr>
        <w:footnoteRef/>
      </w:r>
      <w:r>
        <w:t xml:space="preserve"> </w:t>
      </w:r>
      <w:r w:rsidRPr="00510926">
        <w:t>En 1987, un destacado grupo de intelectuales le entregó al presidente un informe (Colombia, democracia y guerra) en el que se analizan los diferentes tipos de violencia que existían en ese entonces en el país.</w:t>
      </w:r>
    </w:p>
  </w:footnote>
  <w:footnote w:id="76">
    <w:p w:rsidR="00591E90" w:rsidRPr="00510926" w:rsidRDefault="00591E90">
      <w:pPr>
        <w:pStyle w:val="Textonotapie"/>
        <w:rPr>
          <w:lang w:val="es-CO"/>
        </w:rPr>
      </w:pPr>
      <w:r>
        <w:rPr>
          <w:rStyle w:val="Refdenotaalpie"/>
        </w:rPr>
        <w:footnoteRef/>
      </w:r>
      <w:r>
        <w:t xml:space="preserve"> </w:t>
      </w:r>
      <w:r w:rsidRPr="00510926">
        <w:t>El segundo partido con más personas asesinadas durante el conflicto armado interno es el Liberal. En esa combinación de armas y política, por ejemplo, las FARC-EP asesinaron a Pablo Emilio Guarín, congresista liberal, excomunista, quien formó parte del proyecto paramilitar del Magdalena Medio.</w:t>
      </w:r>
    </w:p>
  </w:footnote>
  <w:footnote w:id="77">
    <w:p w:rsidR="00591E90" w:rsidRPr="00510926" w:rsidRDefault="00591E90">
      <w:pPr>
        <w:pStyle w:val="Textonotapie"/>
        <w:rPr>
          <w:lang w:val="es-CO"/>
        </w:rPr>
      </w:pPr>
      <w:r>
        <w:rPr>
          <w:rStyle w:val="Refdenotaalpie"/>
        </w:rPr>
        <w:footnoteRef/>
      </w:r>
      <w:r>
        <w:t xml:space="preserve"> </w:t>
      </w:r>
      <w:r w:rsidRPr="00510926">
        <w:t>Ciudad de Valencia, España, donde se firmó el pacto que dio origen al Frente Nacional, entre Alberto Lleras Camargo y Laureano Gómez.</w:t>
      </w:r>
    </w:p>
  </w:footnote>
  <w:footnote w:id="78">
    <w:p w:rsidR="00591E90" w:rsidRPr="00510926" w:rsidRDefault="00591E90">
      <w:pPr>
        <w:pStyle w:val="Textonotapie"/>
        <w:rPr>
          <w:lang w:val="es-CO"/>
        </w:rPr>
      </w:pPr>
      <w:r>
        <w:rPr>
          <w:rStyle w:val="Refdenotaalpie"/>
        </w:rPr>
        <w:footnoteRef/>
      </w:r>
      <w:r>
        <w:t xml:space="preserve"> </w:t>
      </w:r>
      <w:r w:rsidRPr="00510926">
        <w:t>Álvaro Gómez, hijo de Laureano; Horacio Serpa, dirigente liberal; y Antonio Navarro, exguerrillero del M- 19.</w:t>
      </w:r>
    </w:p>
  </w:footnote>
  <w:footnote w:id="79">
    <w:p w:rsidR="00591E90" w:rsidRPr="00680F03" w:rsidRDefault="00591E90">
      <w:pPr>
        <w:pStyle w:val="Textonotapie"/>
      </w:pPr>
      <w:r>
        <w:rPr>
          <w:rStyle w:val="Refdenotaalpie"/>
        </w:rPr>
        <w:footnoteRef/>
      </w:r>
      <w:r>
        <w:t xml:space="preserve"> </w:t>
      </w:r>
      <w:r w:rsidRPr="00510926">
        <w:t>Vale la pena destacar que, en 1992, se publicó el informe de la Comisión de Superación de la Violencia, Pacificar la paz, como parte del acuerdo de paz con el EPL y el Quintín Lame. En este documento, los autores llaman la atención sobre los riesgos de que las regiones donde estos grupos actuaron mientras estuvieron en armas fueran copadas por otros grupos al margen de la ley y no por el Estado. Estas regiones eran Cauca, Putumayo, Catatumbo, Urabá-Córdoba, Catatumbo. Las mismas en las que ha persistido el conflicto hasta hoy.</w:t>
      </w:r>
    </w:p>
  </w:footnote>
  <w:footnote w:id="80">
    <w:p w:rsidR="00591E90" w:rsidRPr="00510926" w:rsidRDefault="00591E90">
      <w:pPr>
        <w:pStyle w:val="Textonotapie"/>
        <w:rPr>
          <w:lang w:val="es-CO"/>
        </w:rPr>
      </w:pPr>
      <w:r>
        <w:rPr>
          <w:rStyle w:val="Refdenotaalpie"/>
        </w:rPr>
        <w:footnoteRef/>
      </w:r>
      <w:r>
        <w:t xml:space="preserve"> </w:t>
      </w:r>
      <w:r w:rsidRPr="00680F03">
        <w:t>El epílogo de estos intentos fue el bombardeo a Casa Verde, sede de las FARC-EP, el 9 de diciembre de 1990, justo cuando el país elegía a los constituyentes.</w:t>
      </w:r>
    </w:p>
  </w:footnote>
  <w:footnote w:id="81">
    <w:p w:rsidR="00591E90" w:rsidRPr="00510926" w:rsidRDefault="00591E90">
      <w:pPr>
        <w:pStyle w:val="Textonotapie"/>
        <w:rPr>
          <w:lang w:val="es-CO"/>
        </w:rPr>
      </w:pPr>
      <w:r>
        <w:rPr>
          <w:rStyle w:val="Refdenotaalpie"/>
        </w:rPr>
        <w:footnoteRef/>
      </w:r>
      <w:r>
        <w:t xml:space="preserve"> </w:t>
      </w:r>
      <w:r w:rsidRPr="00680F03">
        <w:t>Un sector de las autodefensas del Magdalena Medio se desarmó. En Córdoba, hubo un proceso sui géneris fruto de un acuerdo entre el EPL y el jefe paramilitar Fidel Castaño.</w:t>
      </w:r>
    </w:p>
  </w:footnote>
  <w:footnote w:id="82">
    <w:p w:rsidR="00591E90" w:rsidRPr="00510926" w:rsidRDefault="00591E90">
      <w:pPr>
        <w:pStyle w:val="Textonotapie"/>
        <w:rPr>
          <w:lang w:val="es-CO"/>
        </w:rPr>
      </w:pPr>
      <w:r>
        <w:rPr>
          <w:rStyle w:val="Refdenotaalpie"/>
        </w:rPr>
        <w:footnoteRef/>
      </w:r>
      <w:r>
        <w:t xml:space="preserve"> </w:t>
      </w:r>
      <w:r w:rsidRPr="00680F03">
        <w:t>Los diálogos se rompieron en 1992 y solo hasta 1998 hubo un nuevo intento de negociación.</w:t>
      </w:r>
    </w:p>
  </w:footnote>
  <w:footnote w:id="83">
    <w:p w:rsidR="00591E90" w:rsidRPr="00510926" w:rsidRDefault="00591E90">
      <w:pPr>
        <w:pStyle w:val="Textonotapie"/>
        <w:rPr>
          <w:lang w:val="es-CO"/>
        </w:rPr>
      </w:pPr>
      <w:r>
        <w:rPr>
          <w:rStyle w:val="Refdenotaalpie"/>
        </w:rPr>
        <w:footnoteRef/>
      </w:r>
      <w:r>
        <w:t xml:space="preserve"> </w:t>
      </w:r>
      <w:r w:rsidRPr="00680F03">
        <w:t>El detalle sobre este momento crucial a comienzos de los años noventa se puede leer en el volumen No matarás. Relato histórico del conflicto armado, del Informe Final de la Comisión de la Verdad.</w:t>
      </w:r>
    </w:p>
  </w:footnote>
  <w:footnote w:id="84">
    <w:p w:rsidR="00591E90" w:rsidRPr="00911844" w:rsidRDefault="00591E90">
      <w:pPr>
        <w:pStyle w:val="Textonotapie"/>
      </w:pPr>
      <w:r>
        <w:rPr>
          <w:rStyle w:val="Refdenotaalpie"/>
        </w:rPr>
        <w:footnoteRef/>
      </w:r>
      <w:r>
        <w:t xml:space="preserve"> </w:t>
      </w:r>
      <w:r w:rsidRPr="00911844">
        <w:t>Esta dinámica se profundiza en el apartado de reconfiguración del territorio del mismo capítulo mencionado en la nota al pie anterior y en Colombia adentro. Colección de relatos territoriales del Informe Final de la Comisión de la Verdad.</w:t>
      </w:r>
    </w:p>
  </w:footnote>
  <w:footnote w:id="85">
    <w:p w:rsidR="00591E90" w:rsidRPr="00911844" w:rsidRDefault="00591E90">
      <w:pPr>
        <w:pStyle w:val="Textonotapie"/>
      </w:pPr>
      <w:r>
        <w:rPr>
          <w:rStyle w:val="Refdenotaalpie"/>
        </w:rPr>
        <w:footnoteRef/>
      </w:r>
      <w:r>
        <w:t xml:space="preserve"> </w:t>
      </w:r>
      <w:r w:rsidRPr="00911844">
        <w:t>Un desarrollo completo de esta dinámica de los años noventa se puede leer en el relato histórico de la Comisión de la Verdad: “La guerra contra la paz”.</w:t>
      </w:r>
    </w:p>
  </w:footnote>
  <w:footnote w:id="86">
    <w:p w:rsidR="00591E90" w:rsidRPr="001423CE" w:rsidRDefault="00591E90">
      <w:pPr>
        <w:pStyle w:val="Textonotapie"/>
        <w:rPr>
          <w:lang w:val="es-CO"/>
        </w:rPr>
      </w:pPr>
      <w:r>
        <w:rPr>
          <w:rStyle w:val="Refdenotaalpie"/>
        </w:rPr>
        <w:footnoteRef/>
      </w:r>
      <w:r>
        <w:t xml:space="preserve"> </w:t>
      </w:r>
      <w:r w:rsidRPr="00AD75C9">
        <w:t>En esta categoría pueden entrar los asesinatos de Álvaro Gómez, de Jesús Bejarano e Isaías Duarte, entre otros.</w:t>
      </w:r>
    </w:p>
  </w:footnote>
  <w:footnote w:id="87">
    <w:p w:rsidR="00591E90" w:rsidRPr="001423CE" w:rsidRDefault="00591E90">
      <w:pPr>
        <w:pStyle w:val="Textonotapie"/>
        <w:rPr>
          <w:lang w:val="es-CO"/>
        </w:rPr>
      </w:pPr>
      <w:r>
        <w:rPr>
          <w:rStyle w:val="Refdenotaalpie"/>
        </w:rPr>
        <w:footnoteRef/>
      </w:r>
      <w:r>
        <w:t xml:space="preserve"> </w:t>
      </w:r>
      <w:r w:rsidRPr="00AD75C9">
        <w:t>Esta dinámica se profundiza el apartado sobre órdenes insurgentes del mismo capítulo de relato histórico.</w:t>
      </w:r>
    </w:p>
  </w:footnote>
  <w:footnote w:id="88">
    <w:p w:rsidR="00591E90" w:rsidRPr="00AD75C9" w:rsidRDefault="00591E90">
      <w:pPr>
        <w:pStyle w:val="Textonotapie"/>
        <w:rPr>
          <w:lang w:val="es-CO"/>
        </w:rPr>
      </w:pPr>
      <w:r>
        <w:rPr>
          <w:rStyle w:val="Refdenotaalpie"/>
        </w:rPr>
        <w:footnoteRef/>
      </w:r>
      <w:r>
        <w:t xml:space="preserve"> </w:t>
      </w:r>
      <w:r w:rsidRPr="00AD75C9">
        <w:t>Emularon la estrategia de las guerrillas centroamericanas, especialmente del FMLN en El Salvador que logró el control de algunos territorios.</w:t>
      </w:r>
    </w:p>
  </w:footnote>
  <w:footnote w:id="89">
    <w:p w:rsidR="00591E90" w:rsidRPr="00AD75C9" w:rsidRDefault="00591E90">
      <w:pPr>
        <w:pStyle w:val="Textonotapie"/>
        <w:rPr>
          <w:lang w:val="es-CO"/>
        </w:rPr>
      </w:pPr>
      <w:r>
        <w:rPr>
          <w:rStyle w:val="Refdenotaalpie"/>
        </w:rPr>
        <w:footnoteRef/>
      </w:r>
      <w:r>
        <w:t xml:space="preserve"> </w:t>
      </w:r>
      <w:r w:rsidRPr="00AD75C9">
        <w:t>Solo por mencionar algunos casos, los paramilitares asesinaron a Tirso Vélez, candidato a la gobernación de Norte de Santander; a Luis Fernando Rincón, exalcalde de Aguachica; al defensor de derechos humanos Eduardo Umaña Mendoza, a los defensores Elsa Alvarado y Mario Calderón; al humorista Jaime Garzón; al defensor Jesús María Valle.</w:t>
      </w:r>
    </w:p>
  </w:footnote>
  <w:footnote w:id="90">
    <w:p w:rsidR="00591E90" w:rsidRPr="00AD75C9" w:rsidRDefault="00591E90">
      <w:pPr>
        <w:pStyle w:val="Textonotapie"/>
        <w:rPr>
          <w:lang w:val="es-CO"/>
        </w:rPr>
      </w:pPr>
      <w:r>
        <w:rPr>
          <w:rStyle w:val="Refdenotaalpie"/>
        </w:rPr>
        <w:footnoteRef/>
      </w:r>
      <w:r>
        <w:t xml:space="preserve"> </w:t>
      </w:r>
      <w:r w:rsidRPr="00AD75C9">
        <w:t>La lista es inmensa, pero para los años 90 basta con recordar los asesinatos de Jesús María Valle, Eduardo Umaña, Jaime Garzón, entre otros.</w:t>
      </w:r>
    </w:p>
  </w:footnote>
  <w:footnote w:id="91">
    <w:p w:rsidR="00591E90" w:rsidRPr="00AD75C9" w:rsidRDefault="00591E90">
      <w:pPr>
        <w:pStyle w:val="Textonotapie"/>
        <w:rPr>
          <w:lang w:val="es-CO"/>
        </w:rPr>
      </w:pPr>
      <w:r>
        <w:rPr>
          <w:rStyle w:val="Refdenotaalpie"/>
        </w:rPr>
        <w:footnoteRef/>
      </w:r>
      <w:r>
        <w:t xml:space="preserve"> </w:t>
      </w:r>
      <w:r w:rsidRPr="00AD75C9">
        <w:t>Este patrón de despojo está ampliamente documentado en el volumen Hasta la guerra tiene límites. Violaciones de los derechos humanos, infracciones al derecho internacional humanitario y responsabilidades colectivas, del Informe Final de la Comisión de la Verdad.</w:t>
      </w:r>
    </w:p>
  </w:footnote>
  <w:footnote w:id="92">
    <w:p w:rsidR="00591E90" w:rsidRPr="00AD75C9" w:rsidRDefault="00591E90">
      <w:pPr>
        <w:pStyle w:val="Textonotapie"/>
        <w:rPr>
          <w:lang w:val="es-CO"/>
        </w:rPr>
      </w:pPr>
      <w:r>
        <w:rPr>
          <w:rStyle w:val="Refdenotaalpie"/>
        </w:rPr>
        <w:footnoteRef/>
      </w:r>
      <w:r>
        <w:t xml:space="preserve"> </w:t>
      </w:r>
      <w:r w:rsidRPr="00AD75C9">
        <w:t>Representado en la presencia de la coalición tanto en el Congreso como en otros cargos de elección popular y gobernanza.</w:t>
      </w:r>
    </w:p>
  </w:footnote>
  <w:footnote w:id="93">
    <w:p w:rsidR="00591E90" w:rsidRPr="00AD75C9" w:rsidRDefault="00591E90">
      <w:pPr>
        <w:pStyle w:val="Textonotapie"/>
        <w:rPr>
          <w:lang w:val="es-CO"/>
        </w:rPr>
      </w:pPr>
      <w:r>
        <w:rPr>
          <w:rStyle w:val="Refdenotaalpie"/>
        </w:rPr>
        <w:footnoteRef/>
      </w:r>
      <w:r>
        <w:t xml:space="preserve"> </w:t>
      </w:r>
      <w:r w:rsidRPr="00AD75C9">
        <w:t>Los protocolos I y II de los Convenios de Ginebra tardaron casi dos décadas en ser ratificados.</w:t>
      </w:r>
    </w:p>
  </w:footnote>
  <w:footnote w:id="94">
    <w:p w:rsidR="00591E90" w:rsidRPr="00AD75C9" w:rsidRDefault="00591E90">
      <w:pPr>
        <w:pStyle w:val="Textonotapie"/>
        <w:rPr>
          <w:lang w:val="es-CO"/>
        </w:rPr>
      </w:pPr>
      <w:r>
        <w:rPr>
          <w:rStyle w:val="Refdenotaalpie"/>
        </w:rPr>
        <w:footnoteRef/>
      </w:r>
      <w:r>
        <w:t xml:space="preserve"> </w:t>
      </w:r>
      <w:r w:rsidRPr="00AD75C9">
        <w:t>Los detalles de este proceso pueden leerse en el volumen Colombia adentro, del Informe Final de la Comisión de la Verdad.</w:t>
      </w:r>
    </w:p>
  </w:footnote>
  <w:footnote w:id="95">
    <w:p w:rsidR="00591E90" w:rsidRPr="00BD28A4" w:rsidRDefault="00591E90">
      <w:pPr>
        <w:pStyle w:val="Textonotapie"/>
        <w:rPr>
          <w:lang w:val="es-CO"/>
        </w:rPr>
      </w:pPr>
      <w:r>
        <w:rPr>
          <w:rStyle w:val="Refdenotaalpie"/>
        </w:rPr>
        <w:footnoteRef/>
      </w:r>
      <w:r>
        <w:t xml:space="preserve"> </w:t>
      </w:r>
      <w:r w:rsidRPr="00BD28A4">
        <w:t>Identificados en el volumen étnico del Informe Final de la Comisión de la Verdad.</w:t>
      </w:r>
    </w:p>
  </w:footnote>
  <w:footnote w:id="96">
    <w:p w:rsidR="00591E90" w:rsidRPr="00BD28A4" w:rsidRDefault="00591E90">
      <w:pPr>
        <w:pStyle w:val="Textonotapie"/>
        <w:rPr>
          <w:lang w:val="es-CO"/>
        </w:rPr>
      </w:pPr>
      <w:r>
        <w:rPr>
          <w:rStyle w:val="Refdenotaalpie"/>
        </w:rPr>
        <w:footnoteRef/>
      </w:r>
      <w:r>
        <w:t xml:space="preserve"> </w:t>
      </w:r>
      <w:r w:rsidRPr="00BD28A4">
        <w:t>Diversos testimonios recibidos por la Comisión demuestran que hubo también pactos entre las guerrillas y grupos de narcotraficantes.</w:t>
      </w:r>
    </w:p>
  </w:footnote>
  <w:footnote w:id="97">
    <w:p w:rsidR="00591E90" w:rsidRPr="00BD28A4" w:rsidRDefault="00591E90">
      <w:pPr>
        <w:pStyle w:val="Textonotapie"/>
        <w:rPr>
          <w:lang w:val="es-CO"/>
        </w:rPr>
      </w:pPr>
      <w:r>
        <w:rPr>
          <w:rStyle w:val="Refdenotaalpie"/>
        </w:rPr>
        <w:footnoteRef/>
      </w:r>
      <w:r>
        <w:t xml:space="preserve"> </w:t>
      </w:r>
      <w:r w:rsidRPr="00BD28A4">
        <w:t>El mayor reciclaje de estos grupos se produjo en la región de Urabá donde una larga trayectoria de conflicto armado sigue vigente con el Clan del Golfo.</w:t>
      </w:r>
    </w:p>
  </w:footnote>
  <w:footnote w:id="98">
    <w:p w:rsidR="00591E90" w:rsidRPr="00123953" w:rsidRDefault="00591E90">
      <w:pPr>
        <w:pStyle w:val="Textonotapie"/>
        <w:rPr>
          <w:lang w:val="es-CO"/>
        </w:rPr>
      </w:pPr>
      <w:r>
        <w:rPr>
          <w:rStyle w:val="Refdenotaalpie"/>
        </w:rPr>
        <w:footnoteRef/>
      </w:r>
      <w:r>
        <w:t xml:space="preserve"> </w:t>
      </w:r>
      <w:r w:rsidRPr="00123953">
        <w:t>Para lograr las mayorías en el Congreso, el Gobierno también incurrió en la compra de por lo menos el voto de tres congresistas. Ver más desarrollos en el volumen No matarás. Relato histórico del conflicto armado, del Informe Final de la Comisión de la Verdad.</w:t>
      </w:r>
    </w:p>
  </w:footnote>
  <w:footnote w:id="99">
    <w:p w:rsidR="00591E90" w:rsidRPr="00123953" w:rsidRDefault="00591E90">
      <w:pPr>
        <w:pStyle w:val="Textonotapie"/>
        <w:rPr>
          <w:lang w:val="es-CO"/>
        </w:rPr>
      </w:pPr>
      <w:r>
        <w:rPr>
          <w:rStyle w:val="Refdenotaalpie"/>
        </w:rPr>
        <w:footnoteRef/>
      </w:r>
      <w:r>
        <w:t xml:space="preserve"> </w:t>
      </w:r>
      <w:r w:rsidRPr="00123953">
        <w:t>Luego del desarme de 30.000 combatientes de las AUC en 2005, el Estado tampoco logró el control territorial de las regiones donde estas actuaron y en pocos meses ejércitos residuales y emergentes del narcotráfico tomaron el control. En algunos lugares, lo mantienen hasta hoy.</w:t>
      </w:r>
    </w:p>
  </w:footnote>
  <w:footnote w:id="100">
    <w:p w:rsidR="00591E90" w:rsidRPr="005E6FDC" w:rsidRDefault="00591E90">
      <w:pPr>
        <w:pStyle w:val="Textonotapie"/>
        <w:rPr>
          <w:lang w:val="es-CO"/>
        </w:rPr>
      </w:pPr>
      <w:r>
        <w:rPr>
          <w:rStyle w:val="Refdenotaalpie"/>
        </w:rPr>
        <w:footnoteRef/>
      </w:r>
      <w:r>
        <w:t xml:space="preserve"> </w:t>
      </w:r>
      <w:r w:rsidRPr="008A4207">
        <w:t>El equilibrio de los poderes cumplió un rol claramente democrático durante el gobierno de Álvaro Uribe, en particular, la Corte Constitucional consideró riesgoso una segunda reelección y cerró esa posibilidad.</w:t>
      </w:r>
    </w:p>
  </w:footnote>
  <w:footnote w:id="101">
    <w:p w:rsidR="00591E90" w:rsidRPr="008A4207" w:rsidRDefault="00591E90">
      <w:pPr>
        <w:pStyle w:val="Textonotapie"/>
        <w:rPr>
          <w:lang w:val="es-CO"/>
        </w:rPr>
      </w:pPr>
      <w:r>
        <w:rPr>
          <w:rStyle w:val="Refdenotaalpie"/>
        </w:rPr>
        <w:footnoteRef/>
      </w:r>
      <w:r>
        <w:t xml:space="preserve"> </w:t>
      </w:r>
      <w:r w:rsidRPr="008A4207">
        <w:t>Congreso de la República de Colombia, Ley 1448 de 2011.</w:t>
      </w:r>
    </w:p>
  </w:footnote>
  <w:footnote w:id="102">
    <w:p w:rsidR="00591E90" w:rsidRPr="00B46A69" w:rsidRDefault="00591E90">
      <w:pPr>
        <w:pStyle w:val="Textonotapie"/>
        <w:rPr>
          <w:lang w:val="es-CO"/>
        </w:rPr>
      </w:pPr>
      <w:r>
        <w:rPr>
          <w:rStyle w:val="Refdenotaalpie"/>
        </w:rPr>
        <w:footnoteRef/>
      </w:r>
      <w:r>
        <w:t xml:space="preserve"> </w:t>
      </w:r>
      <w:r w:rsidRPr="00B46A69">
        <w:t>Un ejemplo de ello fue la masacre cometida en abril de 2022, en Putumayo, por miembros del Ejército contra un grupo donde estaban mezclados civiles con supuestos disidentes de las FARC-EP rearmados.</w:t>
      </w:r>
    </w:p>
  </w:footnote>
  <w:footnote w:id="103">
    <w:p w:rsidR="00591E90" w:rsidRPr="003730C7" w:rsidRDefault="00591E90">
      <w:pPr>
        <w:pStyle w:val="Textonotapie"/>
        <w:rPr>
          <w:lang w:val="es-CO"/>
        </w:rPr>
      </w:pPr>
      <w:r>
        <w:rPr>
          <w:rStyle w:val="Refdenotaalpie"/>
        </w:rPr>
        <w:footnoteRef/>
      </w:r>
      <w:r>
        <w:t xml:space="preserve"> </w:t>
      </w:r>
      <w:r w:rsidRPr="003730C7">
        <w:t>Destacado dirigente político del Magdalena Medio asesinado en 1985 por el ELN, quien le cobraba su deserción de las filas guerrilleras, y también el carisma con el que estaba cautivando para su proyecto legal y democrático a las bases sociales bajo influencia de este grupo armado.</w:t>
      </w:r>
    </w:p>
  </w:footnote>
  <w:footnote w:id="104">
    <w:p w:rsidR="00591E90" w:rsidRPr="00645666" w:rsidRDefault="00591E90">
      <w:pPr>
        <w:pStyle w:val="Textonotapie"/>
        <w:rPr>
          <w:lang w:val="es-CO"/>
        </w:rPr>
      </w:pPr>
      <w:r>
        <w:rPr>
          <w:rStyle w:val="Refdenotaalpie"/>
        </w:rPr>
        <w:footnoteRef/>
      </w:r>
      <w:r>
        <w:t xml:space="preserve"> </w:t>
      </w:r>
      <w:r w:rsidRPr="00645666">
        <w:t>Para información más detallada se recomienda ir al capítulo de violaciones de derechos humanos e infracciones del DIH. También estas violaciones e infracciones se ilustran en los diferentes volúmenes del Informe Final. Por ejemplo, los pueblos étnicos han padecido un continuo de violencias, que en el marco del conflicto armado se profundizaron por parte de los actores armados, en el cual se afectaron sus derechos individuales y colectivos, generando violaciones de sus derechos humanos, al derecho internacional humanitario y a sus derechos territoriales, culturales y de autonomía.</w:t>
      </w:r>
    </w:p>
  </w:footnote>
  <w:footnote w:id="105">
    <w:p w:rsidR="00591E90" w:rsidRPr="00B04A7B" w:rsidRDefault="00591E90">
      <w:pPr>
        <w:pStyle w:val="Textonotapie"/>
        <w:rPr>
          <w:lang w:val="es-CO"/>
        </w:rPr>
      </w:pPr>
      <w:r>
        <w:rPr>
          <w:rStyle w:val="Refdenotaalpie"/>
        </w:rPr>
        <w:footnoteRef/>
      </w:r>
      <w:r>
        <w:t xml:space="preserve"> </w:t>
      </w:r>
      <w:r w:rsidRPr="00B04A7B">
        <w:t>Proyecto conjunto de la Comisión de Esclarecimiento de la Verdad y la Jurisdicción Especial para la Paz, junto con el Grupo de Análisis de Datos en Violaciones de Derechos Humanos (HRDAG, por su sigla en inglés). Para mayor información, ver los anexos técnicos.</w:t>
      </w:r>
    </w:p>
  </w:footnote>
  <w:footnote w:id="106">
    <w:p w:rsidR="00591E90" w:rsidRPr="00B04A7B" w:rsidRDefault="00591E90">
      <w:pPr>
        <w:pStyle w:val="Textonotapie"/>
        <w:rPr>
          <w:lang w:val="es-CO"/>
        </w:rPr>
      </w:pPr>
      <w:r>
        <w:rPr>
          <w:rStyle w:val="Refdenotaalpie"/>
        </w:rPr>
        <w:footnoteRef/>
      </w:r>
      <w:r>
        <w:t xml:space="preserve"> </w:t>
      </w:r>
      <w:r w:rsidRPr="00B04A7B">
        <w:t>Esta gráficas y las cifras que presenta la Comisión sobre las cinco violaciones analizadas son el resultado final de la integración, por el proyecto CEV-JEP-HRDAG, de 112 bases de datos existentes en Colombia, 17 de instituciones del Estado, como el Centro Nacional de Memoria Histórica, Instituto Colombiano de Bienestar Familiar, la Agencia para la Reincorporación y la Normalización; el Instituto Nacional de Medicina Legal y Ciencias Forenses; Jurisdicción Especial para la Paz; la Procuraduría General de la Nación (PGN); la Policía Nacional; el Registro Único de Víctimas; entre otras; y 25 de organizaciones de la sociedad civil, como la Asociación Nacional de Usuarios Campesinos, la Coordinación Colombia Europa Estados Unidos; el Instituto de Estudios para el Desarrollo y la Paz; la Organización Nacional Indígena de Colombia; y País Libre, entre otras.</w:t>
      </w:r>
    </w:p>
  </w:footnote>
  <w:footnote w:id="107">
    <w:p w:rsidR="00591E90" w:rsidRPr="00B04A7B" w:rsidRDefault="00591E90">
      <w:pPr>
        <w:pStyle w:val="Textonotapie"/>
        <w:rPr>
          <w:lang w:val="es-CO"/>
        </w:rPr>
      </w:pPr>
      <w:r>
        <w:rPr>
          <w:rStyle w:val="Refdenotaalpie"/>
        </w:rPr>
        <w:footnoteRef/>
      </w:r>
      <w:r>
        <w:t xml:space="preserve"> </w:t>
      </w:r>
      <w:r w:rsidRPr="00B04A7B">
        <w:t>La Comisión definió utilizar el dato “más probable” de un rango de incertidumbre relativamente reducido, resultado del ejercicio final de integración de datos, que incluye la estimación de los campos faltantes. Se presentarán también de manera general referencias al posible universo real de cada una de las violaciones analizadas, calculado estimando el potencial subregistro de documentación. Todo ello está disponible en el Anexo estadístico del Informe Final.</w:t>
      </w:r>
    </w:p>
  </w:footnote>
  <w:footnote w:id="108">
    <w:p w:rsidR="00591E90" w:rsidRPr="00BF447B" w:rsidRDefault="00591E90">
      <w:pPr>
        <w:pStyle w:val="Textonotapie"/>
        <w:rPr>
          <w:lang w:val="es-CO"/>
        </w:rPr>
      </w:pPr>
      <w:r>
        <w:rPr>
          <w:rStyle w:val="Refdenotaalpie"/>
        </w:rPr>
        <w:footnoteRef/>
      </w:r>
      <w:r>
        <w:rPr>
          <w:lang w:val="es-CO"/>
        </w:rPr>
        <w:t xml:space="preserve"> </w:t>
      </w:r>
      <w:r w:rsidRPr="00BF447B">
        <w:rPr>
          <w:lang w:val="es-CO"/>
        </w:rPr>
        <w:t>Se excluyó el dato de víctimas de desplazamiento ya que, debido a su alto número, no permite visualizar cómo el resto de las violaciones de derechos humanos han afectado a la población civil en Colombia.</w:t>
      </w:r>
    </w:p>
  </w:footnote>
  <w:footnote w:id="109">
    <w:p w:rsidR="00591E90" w:rsidRPr="002B6D10" w:rsidRDefault="00591E90">
      <w:pPr>
        <w:pStyle w:val="Textonotapie"/>
        <w:rPr>
          <w:lang w:val="es-CO"/>
        </w:rPr>
      </w:pPr>
      <w:r>
        <w:rPr>
          <w:rStyle w:val="Refdenotaalpie"/>
        </w:rPr>
        <w:footnoteRef/>
      </w:r>
      <w:r>
        <w:t xml:space="preserve"> </w:t>
      </w:r>
      <w:r w:rsidRPr="002B6D10">
        <w:t>En esos dos años el Proyecto JEP-CEV-HRDAG no presenta datos de desaparición forzada, al no tener datos adecuados en las bases de datos originales para su integración.</w:t>
      </w:r>
    </w:p>
  </w:footnote>
  <w:footnote w:id="110">
    <w:p w:rsidR="00591E90" w:rsidRPr="00396E32" w:rsidRDefault="00591E90">
      <w:pPr>
        <w:pStyle w:val="Textonotapie"/>
        <w:rPr>
          <w:lang w:val="es-CO"/>
        </w:rPr>
      </w:pPr>
      <w:r>
        <w:rPr>
          <w:rStyle w:val="Refdenotaalpie"/>
        </w:rPr>
        <w:footnoteRef/>
      </w:r>
      <w:r>
        <w:t xml:space="preserve"> </w:t>
      </w:r>
      <w:r w:rsidRPr="00396E32">
        <w:t xml:space="preserve">En homicidio, el 91 % de las víctimas es masculino y el 9 % femenino; en desaparición 83 % masculino y 17 % femenino; secuestro 78 % masculino y 22 % femenino; reclutamiento 70 % masculino y 30 % femenino; en desplazamiento 48 % masculino y 52 % femenino. En cuanto a la edad, en homicidio el 86 % de las víctimas son adultos y el 14 % menores de edad; en desaparición el 77 % adultos y 23 % menores; secuestro 87 % adultos y 13 % menores; en desplazamiento 51 % adultos y 49 % menores; en reclutamiento por definición el 100 % son menores. En cuanto a la pertenencia étnica, las víctimas de homicidio son 91 % mestizas, 6 % negros, afrodescendientes, raizales y palenqueros, 3 % indígenas; en desaparición forzada 87 % mestizo, 9 % negros, afrodescendientes, raizales y palenqueros, 5 % indígenas; en secuestro 86 % mestizo, 9 % negros, afrodescendientes, raizales y palenqueros, 5 % indígenas; en desplazamiento 82 % mestizo, 14 % negros, afrodescendientes, raizales y palenqueros, 4 % indígenas; en reclutamiento el 80 % de las víctimas son mestizas y el 20 % tienen alguna pertenencia étnica (negros, afrodescendientes, raizales y palenqueros, indígenas o </w:t>
      </w:r>
      <w:proofErr w:type="spellStart"/>
      <w:r w:rsidRPr="00396E32">
        <w:t>Rrom</w:t>
      </w:r>
      <w:proofErr w:type="spellEnd"/>
      <w:r w:rsidRPr="00396E32">
        <w:t>).</w:t>
      </w:r>
    </w:p>
  </w:footnote>
  <w:footnote w:id="111">
    <w:p w:rsidR="00591E90" w:rsidRPr="00396E32" w:rsidRDefault="00591E90">
      <w:pPr>
        <w:pStyle w:val="Textonotapie"/>
        <w:rPr>
          <w:lang w:val="es-CO"/>
        </w:rPr>
      </w:pPr>
      <w:r>
        <w:rPr>
          <w:rStyle w:val="Refdenotaalpie"/>
        </w:rPr>
        <w:footnoteRef/>
      </w:r>
      <w:r>
        <w:t xml:space="preserve"> </w:t>
      </w:r>
      <w:r w:rsidRPr="00396E32">
        <w:t>El dato referido a pueblos étnicos, sin embargo, merece un análisis adicional sobre el subregistro de las bases de datos en relación con esta variable. Para profundizar en el tema, véase el capítulo étnico.</w:t>
      </w:r>
    </w:p>
  </w:footnote>
  <w:footnote w:id="112">
    <w:p w:rsidR="00591E90" w:rsidRPr="00396E32" w:rsidRDefault="00591E90">
      <w:pPr>
        <w:pStyle w:val="Textonotapie"/>
        <w:rPr>
          <w:lang w:val="es-CO"/>
        </w:rPr>
      </w:pPr>
      <w:r>
        <w:rPr>
          <w:rStyle w:val="Refdenotaalpie"/>
        </w:rPr>
        <w:footnoteRef/>
      </w:r>
      <w:r>
        <w:t xml:space="preserve"> </w:t>
      </w:r>
      <w:r w:rsidRPr="00396E32">
        <w:t>Entrevista 162-VI-00002. Víctima, mujer, masacre de La Chinita.</w:t>
      </w:r>
    </w:p>
  </w:footnote>
  <w:footnote w:id="113">
    <w:p w:rsidR="00591E90" w:rsidRPr="00396E32" w:rsidRDefault="00591E90">
      <w:pPr>
        <w:pStyle w:val="Textonotapie"/>
        <w:rPr>
          <w:lang w:val="es-CO"/>
        </w:rPr>
      </w:pPr>
      <w:r>
        <w:rPr>
          <w:rStyle w:val="Refdenotaalpie"/>
        </w:rPr>
        <w:footnoteRef/>
      </w:r>
      <w:r>
        <w:t xml:space="preserve"> </w:t>
      </w:r>
      <w:r w:rsidRPr="00396E32">
        <w:t>Este dato general de homicidios se refiere a diferentes tipologías como masacres, ejecuciones extrajudiciales, asesinatos selectivos y también incluye combatientes y/o civiles que murieron en el contexto de fuego cruzado. Por falta de datos de las bases de datos originales, no es posible desagregar el dato en las diferentes tipologías, por esta razón se utilizarán bases de datos específicas al abordar específicamente cada tipología. El proyecto JEP-CEV-HRDAG, además, a estimar el subregistro potencial, este número podría casi aumentar, llegando a alrededor de 800.000 víctimas.</w:t>
      </w:r>
    </w:p>
  </w:footnote>
  <w:footnote w:id="114">
    <w:p w:rsidR="00591E90" w:rsidRPr="00396E32" w:rsidRDefault="00591E90">
      <w:pPr>
        <w:pStyle w:val="Textonotapie"/>
        <w:rPr>
          <w:lang w:val="es-CO"/>
        </w:rPr>
      </w:pPr>
      <w:r>
        <w:rPr>
          <w:rStyle w:val="Refdenotaalpie"/>
        </w:rPr>
        <w:footnoteRef/>
      </w:r>
      <w:r>
        <w:t xml:space="preserve"> </w:t>
      </w:r>
      <w:r w:rsidRPr="00396E32">
        <w:t>La cifra del Proyecto de integración y estimación de datos JEP-CEV-HRDAG incluye también combatientes muertos y no ha sido posible a la fecha estimar el porcentaje de víctimas civiles y combatientes.</w:t>
      </w:r>
    </w:p>
  </w:footnote>
  <w:footnote w:id="115">
    <w:p w:rsidR="00591E90" w:rsidRPr="0082603A" w:rsidRDefault="00591E90">
      <w:pPr>
        <w:pStyle w:val="Textonotapie"/>
        <w:rPr>
          <w:lang w:val="es-CO"/>
        </w:rPr>
      </w:pPr>
      <w:r>
        <w:rPr>
          <w:rStyle w:val="Refdenotaalpie"/>
        </w:rPr>
        <w:footnoteRef/>
      </w:r>
      <w:r>
        <w:t xml:space="preserve"> </w:t>
      </w:r>
      <w:r w:rsidRPr="0082603A">
        <w:t>Dado el alto porcentaje de datos desconocidos sobre los responsables en las bases de datos originales (52 %), el ejercicio de integración de datos tiene alta incertidumbre en tema de responsabilidad. Se utiliza el dato más probable en un rango de incertidumbre identificado que se refiere en cada apartado correspondiente.</w:t>
      </w:r>
    </w:p>
  </w:footnote>
  <w:footnote w:id="116">
    <w:p w:rsidR="00591E90" w:rsidRPr="0082603A" w:rsidRDefault="00591E90">
      <w:pPr>
        <w:pStyle w:val="Textonotapie"/>
        <w:rPr>
          <w:lang w:val="es-CO"/>
        </w:rPr>
      </w:pPr>
      <w:r>
        <w:rPr>
          <w:rStyle w:val="Refdenotaalpie"/>
        </w:rPr>
        <w:footnoteRef/>
      </w:r>
      <w:r>
        <w:t xml:space="preserve"> </w:t>
      </w:r>
      <w:r w:rsidRPr="0082603A">
        <w:t>La categoría múltiple se refiere a registros en los que aparecen combinaciones de actores responsables. Esto puede deberse: 1) a que la víctima relata que hubo actuación en conjunto; 2) a que la victimización se produjo en medio de enfrentamientos entre varios actores y 3) a que la víctima apareció en diferentes bases de datos al momento de la integración, y cada base de datos registraba responsables diferentes.</w:t>
      </w:r>
    </w:p>
  </w:footnote>
  <w:footnote w:id="117">
    <w:p w:rsidR="00591E90" w:rsidRPr="00AC256F" w:rsidRDefault="00591E90">
      <w:pPr>
        <w:pStyle w:val="Textonotapie"/>
        <w:rPr>
          <w:lang w:val="es-CO"/>
        </w:rPr>
      </w:pPr>
      <w:r>
        <w:rPr>
          <w:rStyle w:val="Refdenotaalpie"/>
        </w:rPr>
        <w:footnoteRef/>
      </w:r>
      <w:r>
        <w:t xml:space="preserve"> </w:t>
      </w:r>
      <w:r w:rsidRPr="00AC256F">
        <w:t>Los distintos registros analizados señalan como masacre el asesinato de tres o más personas, otros registros las caracterizan cuando se trata de cuatro o más personas.</w:t>
      </w:r>
    </w:p>
  </w:footnote>
  <w:footnote w:id="118">
    <w:p w:rsidR="00591E90" w:rsidRPr="00946653" w:rsidRDefault="00591E90">
      <w:pPr>
        <w:pStyle w:val="Textonotapie"/>
        <w:rPr>
          <w:lang w:val="es-CO"/>
        </w:rPr>
      </w:pPr>
      <w:r>
        <w:rPr>
          <w:rStyle w:val="Refdenotaalpie"/>
        </w:rPr>
        <w:footnoteRef/>
      </w:r>
      <w:r>
        <w:t xml:space="preserve"> </w:t>
      </w:r>
      <w:r w:rsidRPr="00FD4246">
        <w:t>Entrevista 295-VI-00012. Víctima, campesino.</w:t>
      </w:r>
    </w:p>
  </w:footnote>
  <w:footnote w:id="119">
    <w:p w:rsidR="00591E90" w:rsidRPr="00FD4246" w:rsidRDefault="00591E90">
      <w:pPr>
        <w:pStyle w:val="Textonotapie"/>
        <w:rPr>
          <w:lang w:val="es-CO"/>
        </w:rPr>
      </w:pPr>
      <w:r>
        <w:rPr>
          <w:rStyle w:val="Refdenotaalpie"/>
        </w:rPr>
        <w:footnoteRef/>
      </w:r>
      <w:r>
        <w:t xml:space="preserve"> </w:t>
      </w:r>
      <w:r w:rsidRPr="00FD4246">
        <w:t>Centro Nacional de Memoria Histórica. La masacre de Bojayá, un compromiso contra el olvido. 2021.</w:t>
      </w:r>
    </w:p>
  </w:footnote>
  <w:footnote w:id="120">
    <w:p w:rsidR="00591E90" w:rsidRPr="00A73899" w:rsidRDefault="00591E90">
      <w:pPr>
        <w:pStyle w:val="Textonotapie"/>
        <w:rPr>
          <w:lang w:val="es-CO"/>
        </w:rPr>
      </w:pPr>
      <w:r>
        <w:rPr>
          <w:rStyle w:val="Refdenotaalpie"/>
        </w:rPr>
        <w:footnoteRef/>
      </w:r>
      <w:r>
        <w:t xml:space="preserve"> </w:t>
      </w:r>
      <w:r w:rsidRPr="00A73899">
        <w:t>Cifra tomada de la base de datos del CNMH: municipios con registros de víctimas.</w:t>
      </w:r>
    </w:p>
  </w:footnote>
  <w:footnote w:id="121">
    <w:p w:rsidR="00591E90" w:rsidRPr="000C1619" w:rsidRDefault="00591E90">
      <w:pPr>
        <w:pStyle w:val="Textonotapie"/>
        <w:rPr>
          <w:lang w:val="es-CO"/>
        </w:rPr>
      </w:pPr>
      <w:r>
        <w:rPr>
          <w:rStyle w:val="Refdenotaalpie"/>
        </w:rPr>
        <w:footnoteRef/>
      </w:r>
      <w:r>
        <w:t xml:space="preserve"> </w:t>
      </w:r>
      <w:r w:rsidRPr="000C1619">
        <w:t>Indepaz. Observatorio de DD.HH., conflictividad y paz. Masacres en Colombia durante 2020, 2021 y 2022. 18 de junio de 2022. Las masacres registradas por Indepaz se cuentan desde 3 víctimas en adelante. https://indepaz.org.co/informe-de-masacres-en-colombia-durante-el-2020-2021/</w:t>
      </w:r>
    </w:p>
  </w:footnote>
  <w:footnote w:id="122">
    <w:p w:rsidR="00591E90" w:rsidRPr="000C1619" w:rsidRDefault="00591E90">
      <w:pPr>
        <w:pStyle w:val="Textonotapie"/>
        <w:rPr>
          <w:lang w:val="es-CO"/>
        </w:rPr>
      </w:pPr>
      <w:r>
        <w:rPr>
          <w:rStyle w:val="Refdenotaalpie"/>
        </w:rPr>
        <w:footnoteRef/>
      </w:r>
      <w:r>
        <w:t xml:space="preserve"> </w:t>
      </w:r>
      <w:r w:rsidRPr="000C1619">
        <w:t>Con corte al 25 de mayo de 2022</w:t>
      </w:r>
    </w:p>
  </w:footnote>
  <w:footnote w:id="123">
    <w:p w:rsidR="00591E90" w:rsidRPr="003022B3" w:rsidRDefault="00591E90">
      <w:pPr>
        <w:pStyle w:val="Textonotapie"/>
        <w:rPr>
          <w:lang w:val="es-CO"/>
        </w:rPr>
      </w:pPr>
      <w:r>
        <w:rPr>
          <w:rStyle w:val="Refdenotaalpie"/>
        </w:rPr>
        <w:footnoteRef/>
      </w:r>
      <w:r>
        <w:t xml:space="preserve"> </w:t>
      </w:r>
      <w:r w:rsidRPr="003022B3">
        <w:t>Es importante anotar que esta cifra registrada es mínima en comparación al notable subregistro que presentan las bases de datos.</w:t>
      </w:r>
    </w:p>
  </w:footnote>
  <w:footnote w:id="124">
    <w:p w:rsidR="00591E90" w:rsidRPr="005D3228" w:rsidRDefault="00591E90">
      <w:pPr>
        <w:pStyle w:val="Textonotapie"/>
        <w:rPr>
          <w:lang w:val="es-CO"/>
        </w:rPr>
      </w:pPr>
      <w:r>
        <w:rPr>
          <w:rStyle w:val="Refdenotaalpie"/>
        </w:rPr>
        <w:footnoteRef/>
      </w:r>
      <w:r>
        <w:t xml:space="preserve"> </w:t>
      </w:r>
      <w:r w:rsidRPr="005D3228">
        <w:t>Entrevista 132-VI-00003. Víctima, mujer.</w:t>
      </w:r>
    </w:p>
  </w:footnote>
  <w:footnote w:id="125">
    <w:p w:rsidR="00591E90" w:rsidRPr="005D3228" w:rsidRDefault="00591E90">
      <w:pPr>
        <w:pStyle w:val="Textonotapie"/>
        <w:rPr>
          <w:lang w:val="es-CO"/>
        </w:rPr>
      </w:pPr>
      <w:r>
        <w:rPr>
          <w:rStyle w:val="Refdenotaalpie"/>
        </w:rPr>
        <w:footnoteRef/>
      </w:r>
      <w:r>
        <w:t xml:space="preserve"> </w:t>
      </w:r>
      <w:r w:rsidRPr="005D3228">
        <w:t>También pueden calificarse como ejecuciones extrajudiciales los asesinatos perpetrados por particulares que son instigados, consentidos expresamente o que son producto de la tolerancia manifiesta de agentes del Estado, hechos que por demás comprometen la responsabilidad del mismo Estado.</w:t>
      </w:r>
    </w:p>
  </w:footnote>
  <w:footnote w:id="126">
    <w:p w:rsidR="00591E90" w:rsidRPr="005D3228" w:rsidRDefault="00591E90">
      <w:pPr>
        <w:pStyle w:val="Textonotapie"/>
        <w:rPr>
          <w:lang w:val="es-CO"/>
        </w:rPr>
      </w:pPr>
      <w:r>
        <w:rPr>
          <w:rStyle w:val="Refdenotaalpie"/>
        </w:rPr>
        <w:footnoteRef/>
      </w:r>
      <w:r>
        <w:t xml:space="preserve"> </w:t>
      </w:r>
      <w:r w:rsidRPr="005D3228">
        <w:t>Misión de Verificación de Naciones Unidas en Colombia. Informe trimestral del Secretario General. Abril 2022, p.2.</w:t>
      </w:r>
    </w:p>
  </w:footnote>
  <w:footnote w:id="127">
    <w:p w:rsidR="00591E90" w:rsidRPr="005D3228" w:rsidRDefault="00591E90">
      <w:pPr>
        <w:pStyle w:val="Textonotapie"/>
        <w:rPr>
          <w:lang w:val="es-CO"/>
        </w:rPr>
      </w:pPr>
      <w:r>
        <w:rPr>
          <w:rStyle w:val="Refdenotaalpie"/>
        </w:rPr>
        <w:footnoteRef/>
      </w:r>
      <w:r>
        <w:t xml:space="preserve"> </w:t>
      </w:r>
      <w:r w:rsidRPr="005D3228">
        <w:t>Programa Somos Defensores. Informes anuales desde 2017 hasta 2021.</w:t>
      </w:r>
    </w:p>
  </w:footnote>
  <w:footnote w:id="128">
    <w:p w:rsidR="00591E90" w:rsidRPr="005D3228" w:rsidRDefault="00591E90">
      <w:pPr>
        <w:pStyle w:val="Textonotapie"/>
        <w:rPr>
          <w:lang w:val="es-CO"/>
        </w:rPr>
      </w:pPr>
      <w:r>
        <w:rPr>
          <w:rStyle w:val="Refdenotaalpie"/>
        </w:rPr>
        <w:footnoteRef/>
      </w:r>
      <w:r>
        <w:t xml:space="preserve"> </w:t>
      </w:r>
      <w:r w:rsidRPr="005D3228">
        <w:t>Estas cifras deben considerarse con atención, pues los criterios del CNMH para atribuir responsabilidades se basaron, en cierta medida, en la existencia de procesos judiciales y disciplinarios, así como sentencias y fallos, lo que aumenta las cifras de paramilitarismo. En el mismo sentido, una práctica generalizada fueron los asesinatos selectivos que eran ordenados por militares y ejecutados por paramilitares, lo que en su momento la Defensoría del Pueblo caracterizó como una forma de «violencia por delegación». El Defensor del Pueblo, en 1997, señaló: «[los grupos paramilitares] se han convertido en el brazo ilegal de la fuerza pública para la que ejecutan el trabajo sucio que ella no puede hacer por su carácter de autoridad sometida al imperio de la ley. Se trata de una nueva forma de ejercer la represión ilegal sin cortapisas que algunos analistas han llamado, muy acertadamente, la violencia por delegación». Defensoría del Pueblo, Cuarto informe anual del Defensor del Pueblo al Congreso de Colombia, 1997, Serie de documentos No. 11, Bogotá 1997, pp. 59 y 60.</w:t>
      </w:r>
    </w:p>
  </w:footnote>
  <w:footnote w:id="129">
    <w:p w:rsidR="00591E90" w:rsidRPr="005D3228" w:rsidRDefault="00591E90">
      <w:pPr>
        <w:pStyle w:val="Textonotapie"/>
        <w:rPr>
          <w:lang w:val="es-CO"/>
        </w:rPr>
      </w:pPr>
      <w:r>
        <w:rPr>
          <w:rStyle w:val="Refdenotaalpie"/>
        </w:rPr>
        <w:footnoteRef/>
      </w:r>
      <w:r>
        <w:t xml:space="preserve"> </w:t>
      </w:r>
      <w:r w:rsidRPr="005D3228">
        <w:t>Aquí vale la pena tener en cuenta que la persecución política en conexidad con el asesinato es un crimen de lesa humanidad según el artículo 7(1) (a) y (h) del Estatuto de la Corte Penal Internacional.</w:t>
      </w:r>
    </w:p>
  </w:footnote>
  <w:footnote w:id="130">
    <w:p w:rsidR="00591E90" w:rsidRPr="005D3228" w:rsidRDefault="00591E90">
      <w:pPr>
        <w:pStyle w:val="Textonotapie"/>
        <w:rPr>
          <w:lang w:val="es-CO"/>
        </w:rPr>
      </w:pPr>
      <w:r>
        <w:rPr>
          <w:rStyle w:val="Refdenotaalpie"/>
        </w:rPr>
        <w:footnoteRef/>
      </w:r>
      <w:r>
        <w:t xml:space="preserve"> </w:t>
      </w:r>
      <w:r w:rsidRPr="003E307F">
        <w:t>Comisión para el esclarecimiento de la verdad CEV. La Comisión de la Verdad y JEP revelan cifras de la violencia contra la Unión Patriótica. Marzo 04 de 2022.</w:t>
      </w:r>
    </w:p>
  </w:footnote>
  <w:footnote w:id="131">
    <w:p w:rsidR="00591E90" w:rsidRPr="005D3228" w:rsidRDefault="00591E90">
      <w:pPr>
        <w:pStyle w:val="Textonotapie"/>
        <w:rPr>
          <w:lang w:val="es-CO"/>
        </w:rPr>
      </w:pPr>
      <w:r>
        <w:rPr>
          <w:rStyle w:val="Refdenotaalpie"/>
        </w:rPr>
        <w:footnoteRef/>
      </w:r>
      <w:r>
        <w:t xml:space="preserve"> </w:t>
      </w:r>
      <w:r w:rsidRPr="003E307F">
        <w:t>La cifra da cuenta de 4.171 homicidios en contra de militantes, 445 de no militantes y 1.024 desapariciones forzadas de militantes y 93 no militantes. JEP. Sala de Reconocimiento de Verdad, de Responsabilidad y de Determinación de los Hechos y Conductas. «Auto N. 075». 7 de abril de 2022.</w:t>
      </w:r>
    </w:p>
  </w:footnote>
  <w:footnote w:id="132">
    <w:p w:rsidR="00591E90" w:rsidRPr="005D3228" w:rsidRDefault="00591E90">
      <w:pPr>
        <w:pStyle w:val="Textonotapie"/>
        <w:rPr>
          <w:lang w:val="es-CO"/>
        </w:rPr>
      </w:pPr>
      <w:r>
        <w:rPr>
          <w:rStyle w:val="Refdenotaalpie"/>
        </w:rPr>
        <w:footnoteRef/>
      </w:r>
      <w:r>
        <w:t xml:space="preserve"> </w:t>
      </w:r>
      <w:r w:rsidRPr="003E307F">
        <w:t xml:space="preserve">Según la Corte Interamericana de Derechos Humanos, fueron cinco los planes de exterminio: los planes Esmeralda (1988) y Retorno (1993) que habrían tenido como objetivo desaparecer las seccionales de la UP en los departamentos del Meta, Caquetá y en la región de Urabá. La operación Cóndor (1985) y los planes Baile Rojo (1986) y Golpe de Gracia (1992) probablemente se dirigieron a socavar las estructuras de dirección nacional del movimiento y a asesinar o secuestrar a sus dirigentes elegidos a las corporaciones públicas (Campos </w:t>
      </w:r>
      <w:proofErr w:type="spellStart"/>
      <w:r w:rsidRPr="003E307F">
        <w:t>Zornosa</w:t>
      </w:r>
      <w:proofErr w:type="spellEnd"/>
      <w:r w:rsidRPr="003E307F">
        <w:t>, Yezid. El Baile Rojo. Anexo 42, 17-18. Corte Interamericana de Derechos Humanos. «Caso Manuel Cepeda Vargas vs. Colombia, sentencia de 26 mayo de 2010»).</w:t>
      </w:r>
    </w:p>
  </w:footnote>
  <w:footnote w:id="133">
    <w:p w:rsidR="00591E90" w:rsidRPr="005D3228" w:rsidRDefault="00591E90">
      <w:pPr>
        <w:pStyle w:val="Textonotapie"/>
        <w:rPr>
          <w:lang w:val="es-CO"/>
        </w:rPr>
      </w:pPr>
      <w:r>
        <w:rPr>
          <w:rStyle w:val="Refdenotaalpie"/>
        </w:rPr>
        <w:footnoteRef/>
      </w:r>
      <w:r>
        <w:t xml:space="preserve"> </w:t>
      </w:r>
      <w:r w:rsidRPr="003E307F">
        <w:t>Tribunal Superior de Bogotá. Sala de Justicia y Paz. «Sentencia del 30 de octubre de 2013 en el caso del postulado Hébert Veloza García», párrafo 372.</w:t>
      </w:r>
    </w:p>
  </w:footnote>
  <w:footnote w:id="134">
    <w:p w:rsidR="00591E90" w:rsidRPr="00F913F7" w:rsidRDefault="00591E90">
      <w:pPr>
        <w:pStyle w:val="Textonotapie"/>
        <w:rPr>
          <w:lang w:val="es-CO"/>
        </w:rPr>
      </w:pPr>
      <w:r>
        <w:rPr>
          <w:rStyle w:val="Refdenotaalpie"/>
        </w:rPr>
        <w:footnoteRef/>
      </w:r>
      <w:r>
        <w:t xml:space="preserve"> </w:t>
      </w:r>
      <w:r w:rsidRPr="00F913F7">
        <w:t>Entrevista 220-VI-00053. Víctima, político, líder sindical, Cesar.</w:t>
      </w:r>
    </w:p>
  </w:footnote>
  <w:footnote w:id="135">
    <w:p w:rsidR="00591E90" w:rsidRPr="00487B13" w:rsidRDefault="00591E90">
      <w:pPr>
        <w:pStyle w:val="Textonotapie"/>
        <w:rPr>
          <w:lang w:val="es-CO"/>
        </w:rPr>
      </w:pPr>
      <w:r>
        <w:rPr>
          <w:rStyle w:val="Refdenotaalpie"/>
        </w:rPr>
        <w:footnoteRef/>
      </w:r>
      <w:r>
        <w:t xml:space="preserve"> </w:t>
      </w:r>
      <w:r w:rsidRPr="00487B13">
        <w:t>Entrevista 646-VI-0001. Víctima de desaparición forzada, desplazamiento forzado y homicidio, Vigía del Fuerte, Antioquia.</w:t>
      </w:r>
    </w:p>
  </w:footnote>
  <w:footnote w:id="136">
    <w:p w:rsidR="00591E90" w:rsidRPr="0089687F" w:rsidRDefault="00591E90">
      <w:pPr>
        <w:pStyle w:val="Textonotapie"/>
        <w:rPr>
          <w:lang w:val="es-CO"/>
        </w:rPr>
      </w:pPr>
      <w:r>
        <w:rPr>
          <w:rStyle w:val="Refdenotaalpie"/>
        </w:rPr>
        <w:footnoteRef/>
      </w:r>
      <w:r>
        <w:t xml:space="preserve"> </w:t>
      </w:r>
      <w:r w:rsidRPr="0089687F">
        <w:t>De esta época no hay datos sólidos.</w:t>
      </w:r>
    </w:p>
  </w:footnote>
  <w:footnote w:id="137">
    <w:p w:rsidR="00591E90" w:rsidRPr="00046698" w:rsidRDefault="00591E90">
      <w:pPr>
        <w:pStyle w:val="Textonotapie"/>
        <w:rPr>
          <w:lang w:val="es-CO"/>
        </w:rPr>
      </w:pPr>
      <w:r>
        <w:rPr>
          <w:rStyle w:val="Refdenotaalpie"/>
        </w:rPr>
        <w:footnoteRef/>
      </w:r>
      <w:r>
        <w:t xml:space="preserve"> </w:t>
      </w:r>
      <w:r w:rsidRPr="00046698">
        <w:t>Si se tiene en cuenta el subregistro, la estimación del universo de desaparición forzada puede llegar a ser casi el doble, alrededor de 210.000 víctimas.</w:t>
      </w:r>
    </w:p>
  </w:footnote>
  <w:footnote w:id="138">
    <w:p w:rsidR="00591E90" w:rsidRPr="009A789A" w:rsidRDefault="00591E90">
      <w:pPr>
        <w:pStyle w:val="Textonotapie"/>
        <w:rPr>
          <w:lang w:val="es-CO"/>
        </w:rPr>
      </w:pPr>
      <w:r>
        <w:rPr>
          <w:rStyle w:val="Refdenotaalpie"/>
        </w:rPr>
        <w:footnoteRef/>
      </w:r>
      <w:r>
        <w:t xml:space="preserve"> </w:t>
      </w:r>
      <w:r w:rsidRPr="009A789A">
        <w:t>Centro Nacional de Memoria Histórica (2016), Hasta encontrarlos. El drama de la desaparición forzada en Colombia, CNMH, Bogotá. Pág. 75.</w:t>
      </w:r>
    </w:p>
  </w:footnote>
  <w:footnote w:id="139">
    <w:p w:rsidR="00591E90" w:rsidRPr="000909CC" w:rsidRDefault="00591E90">
      <w:pPr>
        <w:pStyle w:val="Textonotapie"/>
        <w:rPr>
          <w:lang w:val="es-CO"/>
        </w:rPr>
      </w:pPr>
      <w:r>
        <w:rPr>
          <w:rStyle w:val="Refdenotaalpie"/>
        </w:rPr>
        <w:footnoteRef/>
      </w:r>
      <w:r>
        <w:t xml:space="preserve"> </w:t>
      </w:r>
      <w:r w:rsidRPr="000909CC">
        <w:t xml:space="preserve">Entre otros: Informe 748-CI-00775. Colectivo </w:t>
      </w:r>
      <w:proofErr w:type="spellStart"/>
      <w:r w:rsidRPr="000909CC">
        <w:t>Sociojurídico</w:t>
      </w:r>
      <w:proofErr w:type="spellEnd"/>
      <w:r w:rsidRPr="000909CC">
        <w:t xml:space="preserve"> Orlando Fals Borda - Colectivo OFB; Colectivo de Abogados José Alvear Restrepo (CAJAR); Comisión </w:t>
      </w:r>
      <w:proofErr w:type="spellStart"/>
      <w:r w:rsidRPr="000909CC">
        <w:t>Intereclesial</w:t>
      </w:r>
      <w:proofErr w:type="spellEnd"/>
      <w:r w:rsidRPr="000909CC">
        <w:t xml:space="preserve"> de Justicia y Paz. «Seguimos desenterrando la verdad en los Llanos Orientales: análisis de patrones y máximos responsables de desapariciones forzadas, ejecuciones extrajudiciales y otras graves violaciones a los derechos humanos». Informe 066-CI-01218. Movimiento Nacional de Víctimas de Crímenes de Estado - MOVICE. «Las caras de la desaparición forzada y la violación del derecho a la vida en Vista Hermosa y Lejanías, Meta». Informe 066- CI-01284. Movimiento Social Dignidad Humana. «Que los falsos positivos no terminen en falsas verdades: caso de asesinatos de civiles indefensos cometidos por miembros del Ejército de Colombia en los departamentos de Casanare, Meta y Vichada». Informe 119-CI-00327. Mesa Humanitaria Departamento del Meta. Pastoral Social Regional Suroriente Colombiano. «Por la verdad de la desaparición y el homicidio en Mesetas, Meta».</w:t>
      </w:r>
    </w:p>
  </w:footnote>
  <w:footnote w:id="140">
    <w:p w:rsidR="00591E90" w:rsidRPr="00EE3A0C" w:rsidRDefault="00591E90">
      <w:pPr>
        <w:pStyle w:val="Textonotapie"/>
        <w:rPr>
          <w:lang w:val="es-CO"/>
        </w:rPr>
      </w:pPr>
      <w:r>
        <w:rPr>
          <w:rStyle w:val="Refdenotaalpie"/>
        </w:rPr>
        <w:footnoteRef/>
      </w:r>
      <w:r>
        <w:t xml:space="preserve"> </w:t>
      </w:r>
      <w:r w:rsidRPr="00EE3A0C">
        <w:t>Dado el alto porcentaje de datos desconocidos sobre los responsables en las bases de datos originales (54 %), el ejercicio de integración de datos tiene alta incertidumbre en tema de responsabilidades. Se utiliza el dato más probable en un rango de incertidumbre identificado. Sin embargo, es importante destacar como se presenta el dato. Algunas de las víctimas de falsos positivos fueron desapariciones forzadas. Sin embargo, por ser ejecuciones, están incluidas en la cifra de víctimas por parte del Estado de homicidio.</w:t>
      </w:r>
    </w:p>
  </w:footnote>
  <w:footnote w:id="141">
    <w:p w:rsidR="00591E90" w:rsidRPr="000A550F" w:rsidRDefault="00591E90">
      <w:pPr>
        <w:pStyle w:val="Textonotapie"/>
        <w:rPr>
          <w:lang w:val="es-CO"/>
        </w:rPr>
      </w:pPr>
      <w:r>
        <w:rPr>
          <w:rStyle w:val="Refdenotaalpie"/>
        </w:rPr>
        <w:footnoteRef/>
      </w:r>
      <w:r>
        <w:t xml:space="preserve"> </w:t>
      </w:r>
      <w:r w:rsidRPr="000A550F">
        <w:t>Entrevista 261-VI-00016. Víctima, mujer, Meta.</w:t>
      </w:r>
    </w:p>
  </w:footnote>
  <w:footnote w:id="142">
    <w:p w:rsidR="00591E90" w:rsidRPr="000A550F" w:rsidRDefault="00591E90">
      <w:pPr>
        <w:pStyle w:val="Textonotapie"/>
        <w:rPr>
          <w:lang w:val="es-CO"/>
        </w:rPr>
      </w:pPr>
      <w:r>
        <w:rPr>
          <w:rStyle w:val="Refdenotaalpie"/>
        </w:rPr>
        <w:footnoteRef/>
      </w:r>
      <w:r>
        <w:t xml:space="preserve"> </w:t>
      </w:r>
      <w:r w:rsidRPr="000A550F">
        <w:t>Las gráficas solo incluyen victimizaciones que ocurrieron al mismo tiempo en el mismo lugar.</w:t>
      </w:r>
    </w:p>
  </w:footnote>
  <w:footnote w:id="143">
    <w:p w:rsidR="00591E90" w:rsidRPr="000A550F" w:rsidRDefault="00591E90">
      <w:pPr>
        <w:pStyle w:val="Textonotapie"/>
        <w:rPr>
          <w:lang w:val="es-CO"/>
        </w:rPr>
      </w:pPr>
      <w:r>
        <w:rPr>
          <w:rStyle w:val="Refdenotaalpie"/>
        </w:rPr>
        <w:footnoteRef/>
      </w:r>
      <w:r>
        <w:t xml:space="preserve"> </w:t>
      </w:r>
      <w:r w:rsidRPr="00C445C3">
        <w:t>Villa y Houghton, Violencia política, 22.</w:t>
      </w:r>
    </w:p>
  </w:footnote>
  <w:footnote w:id="144">
    <w:p w:rsidR="00591E90" w:rsidRPr="000A550F" w:rsidRDefault="00591E90">
      <w:pPr>
        <w:pStyle w:val="Textonotapie"/>
        <w:rPr>
          <w:lang w:val="es-CO"/>
        </w:rPr>
      </w:pPr>
      <w:r>
        <w:rPr>
          <w:rStyle w:val="Refdenotaalpie"/>
        </w:rPr>
        <w:footnoteRef/>
      </w:r>
      <w:r>
        <w:t xml:space="preserve"> </w:t>
      </w:r>
      <w:r w:rsidRPr="00C445C3">
        <w:t>Informe 26921-OE-210565. Centro de Cooperación Indígena. La tierra contra la muerte. Conflictos territoriales de los pueblos indígenas en Colombia. 2008. Pág. 213.</w:t>
      </w:r>
    </w:p>
  </w:footnote>
  <w:footnote w:id="145">
    <w:p w:rsidR="00591E90" w:rsidRPr="00183E7C" w:rsidRDefault="00591E90">
      <w:pPr>
        <w:pStyle w:val="Textonotapie"/>
        <w:rPr>
          <w:lang w:val="es-CO"/>
        </w:rPr>
      </w:pPr>
      <w:r>
        <w:rPr>
          <w:rStyle w:val="Refdenotaalpie"/>
        </w:rPr>
        <w:footnoteRef/>
      </w:r>
      <w:r>
        <w:t xml:space="preserve"> </w:t>
      </w:r>
      <w:r w:rsidRPr="00183E7C">
        <w:t>Entrevista 442-PR-02129. Víctima, mujer, política, San Vicente del Caguán, Caquetá.</w:t>
      </w:r>
    </w:p>
  </w:footnote>
  <w:footnote w:id="146">
    <w:p w:rsidR="00591E90" w:rsidRPr="00183E7C" w:rsidRDefault="00591E90">
      <w:pPr>
        <w:pStyle w:val="Textonotapie"/>
        <w:rPr>
          <w:lang w:val="es-CO"/>
        </w:rPr>
      </w:pPr>
      <w:r>
        <w:rPr>
          <w:rStyle w:val="Refdenotaalpie"/>
        </w:rPr>
        <w:footnoteRef/>
      </w:r>
      <w:r>
        <w:t xml:space="preserve"> </w:t>
      </w:r>
      <w:r w:rsidRPr="00183E7C">
        <w:t>Si se calcula el subregistro potencial, se estima que el universo de víctimas de secuestro podría estar alrededor de las 80.000 víctimas.</w:t>
      </w:r>
    </w:p>
  </w:footnote>
  <w:footnote w:id="147">
    <w:p w:rsidR="00591E90" w:rsidRPr="00183E7C" w:rsidRDefault="00591E90">
      <w:pPr>
        <w:pStyle w:val="Textonotapie"/>
        <w:rPr>
          <w:lang w:val="es-CO"/>
        </w:rPr>
      </w:pPr>
      <w:r>
        <w:rPr>
          <w:rStyle w:val="Refdenotaalpie"/>
        </w:rPr>
        <w:footnoteRef/>
      </w:r>
      <w:r>
        <w:t xml:space="preserve"> </w:t>
      </w:r>
      <w:r w:rsidRPr="00183E7C">
        <w:t>El porcentaje de responsables desconocidos para esta violación es del 29 %. En este caso, la incertidumbre del ejercicio de integración es inferior al dato de homicidio y desaparición forzada, ya que se cuenta con información más completa sobre el responsable. Aun así, se utiliza el dato más probable en un rango de incertidumbre identificado.</w:t>
      </w:r>
    </w:p>
  </w:footnote>
  <w:footnote w:id="148">
    <w:p w:rsidR="00591E90" w:rsidRPr="00183E7C" w:rsidRDefault="00591E90">
      <w:pPr>
        <w:pStyle w:val="Textonotapie"/>
        <w:rPr>
          <w:lang w:val="es-CO"/>
        </w:rPr>
      </w:pPr>
      <w:r>
        <w:rPr>
          <w:rStyle w:val="Refdenotaalpie"/>
        </w:rPr>
        <w:footnoteRef/>
      </w:r>
      <w:r>
        <w:t xml:space="preserve"> </w:t>
      </w:r>
      <w:r w:rsidRPr="00183E7C">
        <w:t>La categoría “otros grupos puede referirse a grupos criminales identificados en las bases de datos como “</w:t>
      </w:r>
      <w:proofErr w:type="spellStart"/>
      <w:r w:rsidRPr="00183E7C">
        <w:t>Bacrim</w:t>
      </w:r>
      <w:proofErr w:type="spellEnd"/>
      <w:r w:rsidRPr="00183E7C">
        <w:t>”, “Bandolerismo”, “Grupo armado no identificado”, etc.</w:t>
      </w:r>
    </w:p>
  </w:footnote>
  <w:footnote w:id="149">
    <w:p w:rsidR="00591E90" w:rsidRPr="00CA70BA" w:rsidRDefault="00591E90">
      <w:pPr>
        <w:pStyle w:val="Textonotapie"/>
        <w:rPr>
          <w:lang w:val="es-CO"/>
        </w:rPr>
      </w:pPr>
      <w:r>
        <w:rPr>
          <w:rStyle w:val="Refdenotaalpie"/>
        </w:rPr>
        <w:footnoteRef/>
      </w:r>
      <w:r>
        <w:t xml:space="preserve"> </w:t>
      </w:r>
      <w:r w:rsidRPr="00CA70BA">
        <w:t>De los 1.663 hechos de secuestro registrados por la Comisión, 495 son contra mujeres (22,9 %, prácticamente corresponde al dato general).</w:t>
      </w:r>
    </w:p>
  </w:footnote>
  <w:footnote w:id="150">
    <w:p w:rsidR="00591E90" w:rsidRPr="00E37A9A" w:rsidRDefault="00591E90">
      <w:pPr>
        <w:pStyle w:val="Textonotapie"/>
        <w:rPr>
          <w:lang w:val="es-CO"/>
        </w:rPr>
      </w:pPr>
      <w:r>
        <w:rPr>
          <w:rStyle w:val="Refdenotaalpie"/>
        </w:rPr>
        <w:footnoteRef/>
      </w:r>
      <w:r>
        <w:t xml:space="preserve"> </w:t>
      </w:r>
      <w:r w:rsidRPr="00E37A9A">
        <w:t>Informe 365-CI-01362, «Víctimas del conflicto armado en Colombia en la razón de su vinculación al sector productivo», 35.</w:t>
      </w:r>
    </w:p>
  </w:footnote>
  <w:footnote w:id="151">
    <w:p w:rsidR="00591E90" w:rsidRPr="00E37A9A" w:rsidRDefault="00591E90">
      <w:pPr>
        <w:pStyle w:val="Textonotapie"/>
        <w:rPr>
          <w:lang w:val="es-CO"/>
        </w:rPr>
      </w:pPr>
      <w:r>
        <w:rPr>
          <w:rStyle w:val="Refdenotaalpie"/>
        </w:rPr>
        <w:footnoteRef/>
      </w:r>
      <w:r>
        <w:t xml:space="preserve"> </w:t>
      </w:r>
      <w:r w:rsidRPr="00E37A9A">
        <w:t>Informe 18069-OE-11-1, Génesis Tomo I. Fiscalía General de la Nación, Ley 002 sobre tributación, 195.</w:t>
      </w:r>
    </w:p>
  </w:footnote>
  <w:footnote w:id="152">
    <w:p w:rsidR="00591E90" w:rsidRPr="00EC72FE" w:rsidRDefault="00591E90">
      <w:pPr>
        <w:pStyle w:val="Textonotapie"/>
        <w:rPr>
          <w:lang w:val="es-CO"/>
        </w:rPr>
      </w:pPr>
      <w:r>
        <w:rPr>
          <w:rStyle w:val="Refdenotaalpie"/>
        </w:rPr>
        <w:footnoteRef/>
      </w:r>
      <w:r>
        <w:t xml:space="preserve"> </w:t>
      </w:r>
      <w:r w:rsidRPr="00EC72FE">
        <w:t>Entrevista 335-CO-00278. Víctima, hombre afrocolombiano.</w:t>
      </w:r>
    </w:p>
  </w:footnote>
  <w:footnote w:id="153">
    <w:p w:rsidR="00591E90" w:rsidRPr="00051224" w:rsidRDefault="00591E90">
      <w:pPr>
        <w:pStyle w:val="Textonotapie"/>
        <w:rPr>
          <w:lang w:val="es-CO"/>
        </w:rPr>
      </w:pPr>
      <w:r>
        <w:rPr>
          <w:rStyle w:val="Refdenotaalpie"/>
        </w:rPr>
        <w:footnoteRef/>
      </w:r>
      <w:r>
        <w:t xml:space="preserve"> </w:t>
      </w:r>
      <w:r w:rsidRPr="00051224">
        <w:t>Entrevista 222-VI-00071. Víctima, agricultor.</w:t>
      </w:r>
    </w:p>
  </w:footnote>
  <w:footnote w:id="154">
    <w:p w:rsidR="00591E90" w:rsidRPr="00051224" w:rsidRDefault="00591E90">
      <w:pPr>
        <w:pStyle w:val="Textonotapie"/>
        <w:rPr>
          <w:lang w:val="es-CO"/>
        </w:rPr>
      </w:pPr>
      <w:r>
        <w:rPr>
          <w:rStyle w:val="Refdenotaalpie"/>
        </w:rPr>
        <w:footnoteRef/>
      </w:r>
      <w:r>
        <w:t xml:space="preserve"> </w:t>
      </w:r>
      <w:r w:rsidRPr="00051224">
        <w:t>Aunque los registros de la Comisión no necesariamente son representativos, son una muestra de la escucha.</w:t>
      </w:r>
    </w:p>
  </w:footnote>
  <w:footnote w:id="155">
    <w:p w:rsidR="00591E90" w:rsidRPr="00396F2B" w:rsidRDefault="00591E90">
      <w:pPr>
        <w:pStyle w:val="Textonotapie"/>
        <w:rPr>
          <w:lang w:val="es-CO"/>
        </w:rPr>
      </w:pPr>
      <w:r>
        <w:rPr>
          <w:rStyle w:val="Refdenotaalpie"/>
        </w:rPr>
        <w:footnoteRef/>
      </w:r>
      <w:r>
        <w:t xml:space="preserve"> </w:t>
      </w:r>
      <w:r w:rsidRPr="00396F2B">
        <w:t xml:space="preserve">Presidencia de la República, Decreto </w:t>
      </w:r>
      <w:r w:rsidR="00B81B68">
        <w:t>N</w:t>
      </w:r>
      <w:r w:rsidRPr="00396F2B">
        <w:t>o 1923 del 6 de septiembre de 1978.</w:t>
      </w:r>
    </w:p>
  </w:footnote>
  <w:footnote w:id="156">
    <w:p w:rsidR="00591E90" w:rsidRPr="00396F2B" w:rsidRDefault="00591E90">
      <w:pPr>
        <w:pStyle w:val="Textonotapie"/>
        <w:rPr>
          <w:lang w:val="es-CO"/>
        </w:rPr>
      </w:pPr>
      <w:r>
        <w:rPr>
          <w:rStyle w:val="Refdenotaalpie"/>
        </w:rPr>
        <w:footnoteRef/>
      </w:r>
      <w:r>
        <w:t xml:space="preserve"> </w:t>
      </w:r>
      <w:r w:rsidRPr="00396F2B">
        <w:t xml:space="preserve">Información a profundidad se encuentra en el caso La práctica de la tortura por parte de agentes del Estado durante el Estatuto de Seguridad 1978-1982, que se encuentra en la plataforma </w:t>
      </w:r>
      <w:proofErr w:type="spellStart"/>
      <w:r w:rsidRPr="00396F2B">
        <w:t>transmedia</w:t>
      </w:r>
      <w:proofErr w:type="spellEnd"/>
      <w:r w:rsidRPr="00396F2B">
        <w:t>.</w:t>
      </w:r>
    </w:p>
  </w:footnote>
  <w:footnote w:id="157">
    <w:p w:rsidR="00591E90" w:rsidRPr="00396F2B" w:rsidRDefault="00591E90">
      <w:pPr>
        <w:pStyle w:val="Textonotapie"/>
        <w:rPr>
          <w:lang w:val="es-CO"/>
        </w:rPr>
      </w:pPr>
      <w:r>
        <w:rPr>
          <w:rStyle w:val="Refdenotaalpie"/>
        </w:rPr>
        <w:footnoteRef/>
      </w:r>
      <w:r>
        <w:t xml:space="preserve"> </w:t>
      </w:r>
      <w:r w:rsidRPr="00396F2B">
        <w:t>De esto dan cuenta las denuncias públicas expresadas en diversos escenarios: el Informe de la Comisión Accidental de la Cámara de Representantes sobre violaciones de derechos humanos (noviembre de 1978), el Primer Foro de Derechos Humanos (marzo de 1979), la visita del Concejo de Bogotá a las cárceles de La Modelo, La Picota y El Buen Pastor, en Bogotá (abril de 1979), la visita y el informe de visita presentado por Amnistía Internacional (1980) y la visita y el informe de visita de la Comisión Interamericana de Derechos Humanos (1981).</w:t>
      </w:r>
    </w:p>
  </w:footnote>
  <w:footnote w:id="158">
    <w:p w:rsidR="00591E90" w:rsidRPr="00942E0F" w:rsidRDefault="00591E90">
      <w:pPr>
        <w:pStyle w:val="Textonotapie"/>
        <w:rPr>
          <w:lang w:val="es-CO"/>
        </w:rPr>
      </w:pPr>
      <w:r>
        <w:rPr>
          <w:rStyle w:val="Refdenotaalpie"/>
        </w:rPr>
        <w:footnoteRef/>
      </w:r>
      <w:r>
        <w:t xml:space="preserve"> </w:t>
      </w:r>
      <w:r w:rsidRPr="00942E0F">
        <w:t>De esto dan cuenta las denuncias públicas expresadas en diversos escenarios: el Informe de la Comisión Accidental de la Cámara de Representantes sobre violaciones de derechos humanos (noviembre de 1978), el Primer Foro de Derechos Humanos (marzo de 1979), la visita del Concejo de Bogotá a las cárceles de La Modelo, La Picota y El Buen Pastor, en Bogotá (abril de 1979), la visita y el informe de visita presentado por Amnistía Internacional (1980) y la visita y el informe de visita de la Comisión Interamericana de Derechos Humanos (1981).</w:t>
      </w:r>
    </w:p>
  </w:footnote>
  <w:footnote w:id="159">
    <w:p w:rsidR="00591E90" w:rsidRPr="00141331" w:rsidRDefault="00591E90">
      <w:pPr>
        <w:pStyle w:val="Textonotapie"/>
        <w:rPr>
          <w:lang w:val="es-CO"/>
        </w:rPr>
      </w:pPr>
      <w:r>
        <w:rPr>
          <w:rStyle w:val="Refdenotaalpie"/>
        </w:rPr>
        <w:footnoteRef/>
      </w:r>
      <w:r>
        <w:t xml:space="preserve"> </w:t>
      </w:r>
      <w:r w:rsidRPr="00141331">
        <w:t>Entrevista 190-VI-00002. Víctima, campesino.</w:t>
      </w:r>
    </w:p>
  </w:footnote>
  <w:footnote w:id="160">
    <w:p w:rsidR="00591E90" w:rsidRPr="00141331" w:rsidRDefault="00591E90">
      <w:pPr>
        <w:pStyle w:val="Textonotapie"/>
        <w:rPr>
          <w:lang w:val="es-CO"/>
        </w:rPr>
      </w:pPr>
      <w:r>
        <w:rPr>
          <w:rStyle w:val="Refdenotaalpie"/>
        </w:rPr>
        <w:footnoteRef/>
      </w:r>
      <w:r>
        <w:t xml:space="preserve"> </w:t>
      </w:r>
      <w:r w:rsidRPr="00141331">
        <w:t>Por su parte, en el documento entregado a la Comisión por el Instituto de Ciencias Políticas (ICP) donde analiza los testimonios presenciales de 775 niñas, niños y adolescentes que fueron parte de las FARC-EP antes de cumplir 18 años, se identifican 64 casos de aborto forzado y 241 mujeres obligadas a planificación forzada. Reclutamiento y utilización de niños, niñas y adolescentes por parte de las FARC-EP. ICP, noviembre 2021.</w:t>
      </w:r>
    </w:p>
  </w:footnote>
  <w:footnote w:id="161">
    <w:p w:rsidR="00591E90" w:rsidRPr="00506337" w:rsidRDefault="00591E90">
      <w:pPr>
        <w:pStyle w:val="Textonotapie"/>
        <w:rPr>
          <w:lang w:val="es-CO"/>
        </w:rPr>
      </w:pPr>
      <w:r>
        <w:rPr>
          <w:rStyle w:val="Refdenotaalpie"/>
        </w:rPr>
        <w:footnoteRef/>
      </w:r>
      <w:r>
        <w:t xml:space="preserve"> </w:t>
      </w:r>
      <w:r w:rsidRPr="00506337">
        <w:t>Hombre LGBTI, víctima de amenaza verbal, desplazamiento forzado y violencias sexuales. Barrancabermeja, Santander. 1990 - 2016. 224-VI-00004.</w:t>
      </w:r>
    </w:p>
  </w:footnote>
  <w:footnote w:id="162">
    <w:p w:rsidR="00591E90" w:rsidRPr="00506337" w:rsidRDefault="00591E90">
      <w:pPr>
        <w:pStyle w:val="Textonotapie"/>
        <w:rPr>
          <w:lang w:val="es-CO"/>
        </w:rPr>
      </w:pPr>
      <w:r>
        <w:rPr>
          <w:rStyle w:val="Refdenotaalpie"/>
        </w:rPr>
        <w:footnoteRef/>
      </w:r>
      <w:r>
        <w:t xml:space="preserve"> </w:t>
      </w:r>
      <w:r w:rsidRPr="00506337">
        <w:t>Este aumento considerable coincide con el inicio de las labores de la Unidad de Víctimas y la conformación del Registro Único de Víctimas (RUV). Es probable que, al declarar las víctimas han priorizado el desplazamiento forzado y, en segunda instancia, la amenaza más cercana en el tiempo. Por tal razón, y comparando la tendencia del conflicto armado general, el subregistro de amenazas en la época más violenta del conflicto (1995-2004) es muy alto y el dato general de amenazas del RUV no refleja la real dimensión de esta violación de derechos humanos.</w:t>
      </w:r>
    </w:p>
  </w:footnote>
  <w:footnote w:id="163">
    <w:p w:rsidR="00591E90" w:rsidRPr="005F7E7C" w:rsidRDefault="00591E90">
      <w:pPr>
        <w:pStyle w:val="Textonotapie"/>
        <w:rPr>
          <w:lang w:val="es-CO"/>
        </w:rPr>
      </w:pPr>
      <w:r>
        <w:rPr>
          <w:rStyle w:val="Refdenotaalpie"/>
        </w:rPr>
        <w:footnoteRef/>
      </w:r>
      <w:r>
        <w:t xml:space="preserve"> </w:t>
      </w:r>
      <w:r w:rsidRPr="005F7E7C">
        <w:t>Las gráficas solo incluyen victimizaciones que ocurrieron al mismo tiempo en el mismo lugar.</w:t>
      </w:r>
    </w:p>
  </w:footnote>
  <w:footnote w:id="164">
    <w:p w:rsidR="00591E90" w:rsidRPr="0083161F" w:rsidRDefault="00591E90">
      <w:pPr>
        <w:pStyle w:val="Textonotapie"/>
        <w:rPr>
          <w:lang w:val="es-CO"/>
        </w:rPr>
      </w:pPr>
      <w:r>
        <w:rPr>
          <w:rStyle w:val="Refdenotaalpie"/>
        </w:rPr>
        <w:footnoteRef/>
      </w:r>
      <w:r>
        <w:t xml:space="preserve"> </w:t>
      </w:r>
      <w:r w:rsidRPr="0083161F">
        <w:t>Entrevista 394-VI-00004. Adolescente, víctima de reclutamiento.</w:t>
      </w:r>
    </w:p>
  </w:footnote>
  <w:footnote w:id="165">
    <w:p w:rsidR="00591E90" w:rsidRPr="0083161F" w:rsidRDefault="00591E90">
      <w:pPr>
        <w:pStyle w:val="Textonotapie"/>
        <w:rPr>
          <w:lang w:val="es-CO"/>
        </w:rPr>
      </w:pPr>
      <w:r>
        <w:rPr>
          <w:rStyle w:val="Refdenotaalpie"/>
        </w:rPr>
        <w:footnoteRef/>
      </w:r>
      <w:r>
        <w:t xml:space="preserve"> </w:t>
      </w:r>
      <w:r w:rsidRPr="0083161F">
        <w:t>Ver capítulo No fue un mal menor, del informe de la Comisión dedicado a la niñez y adolescencia afectada por el conflicto armado.</w:t>
      </w:r>
    </w:p>
  </w:footnote>
  <w:footnote w:id="166">
    <w:p w:rsidR="00591E90" w:rsidRPr="006378E0" w:rsidRDefault="00591E90">
      <w:pPr>
        <w:pStyle w:val="Textonotapie"/>
        <w:rPr>
          <w:lang w:val="es-CO"/>
        </w:rPr>
      </w:pPr>
      <w:r>
        <w:rPr>
          <w:rStyle w:val="Refdenotaalpie"/>
        </w:rPr>
        <w:footnoteRef/>
      </w:r>
      <w:r>
        <w:t xml:space="preserve"> </w:t>
      </w:r>
      <w:r w:rsidRPr="00CB584D">
        <w:t>El Proyecto JEP-CEV-HRDAG estima que el universo de niños, niñas y adolescentes víctimas de reclutamiento podría ser alrededor de 30.000 víctimas.</w:t>
      </w:r>
    </w:p>
  </w:footnote>
  <w:footnote w:id="167">
    <w:p w:rsidR="00591E90" w:rsidRPr="006378E0" w:rsidRDefault="00591E90">
      <w:pPr>
        <w:pStyle w:val="Textonotapie"/>
        <w:rPr>
          <w:lang w:val="es-CO"/>
        </w:rPr>
      </w:pPr>
      <w:r>
        <w:rPr>
          <w:rStyle w:val="Refdenotaalpie"/>
        </w:rPr>
        <w:footnoteRef/>
      </w:r>
      <w:r>
        <w:t xml:space="preserve"> </w:t>
      </w:r>
      <w:r w:rsidRPr="00CB584D">
        <w:t xml:space="preserve">Entre otras las de Miraflores (en Guaviare); las Delicias (Putumayo) con 60 militares retenidos; Puerres (Nariño) y Chalán (Sucre), </w:t>
      </w:r>
      <w:proofErr w:type="spellStart"/>
      <w:r w:rsidRPr="00CB584D">
        <w:t>Patascoy</w:t>
      </w:r>
      <w:proofErr w:type="spellEnd"/>
      <w:r w:rsidRPr="00CB584D">
        <w:t xml:space="preserve"> (Nariño),18 militares retenidos; un ataque a Armada Nacional, en </w:t>
      </w:r>
      <w:proofErr w:type="spellStart"/>
      <w:r w:rsidRPr="00CB584D">
        <w:t>Juradó</w:t>
      </w:r>
      <w:proofErr w:type="spellEnd"/>
      <w:r w:rsidRPr="00CB584D">
        <w:t xml:space="preserve"> (Chocó),18 militares retenidos. Y el ELN aumentó operaciones en la Costa Atlántica.</w:t>
      </w:r>
    </w:p>
  </w:footnote>
  <w:footnote w:id="168">
    <w:p w:rsidR="00591E90" w:rsidRPr="00E5616F" w:rsidRDefault="00591E90">
      <w:pPr>
        <w:pStyle w:val="Textonotapie"/>
        <w:rPr>
          <w:lang w:val="es-CO"/>
        </w:rPr>
      </w:pPr>
      <w:r>
        <w:rPr>
          <w:rStyle w:val="Refdenotaalpie"/>
        </w:rPr>
        <w:footnoteRef/>
      </w:r>
      <w:r>
        <w:t xml:space="preserve"> </w:t>
      </w:r>
      <w:r w:rsidRPr="00E5616F">
        <w:t>Coalición contra la vinculación de niños, niñas y jóvenes al conflicto armado en Colombia (</w:t>
      </w:r>
      <w:proofErr w:type="spellStart"/>
      <w:r w:rsidRPr="00E5616F">
        <w:t>Coalico</w:t>
      </w:r>
      <w:proofErr w:type="spellEnd"/>
      <w:r w:rsidRPr="00E5616F">
        <w:t>), comunicado público: La realidad de las niñas y los niños en Colombia, pese al Acuerdo de Paz Bogotá 24 de noviembre de 2021.</w:t>
      </w:r>
    </w:p>
  </w:footnote>
  <w:footnote w:id="169">
    <w:p w:rsidR="00591E90" w:rsidRPr="00E5616F" w:rsidRDefault="00591E90">
      <w:pPr>
        <w:pStyle w:val="Textonotapie"/>
        <w:rPr>
          <w:lang w:val="es-CO"/>
        </w:rPr>
      </w:pPr>
      <w:r>
        <w:rPr>
          <w:rStyle w:val="Refdenotaalpie"/>
        </w:rPr>
        <w:footnoteRef/>
      </w:r>
      <w:r>
        <w:t xml:space="preserve"> </w:t>
      </w:r>
      <w:r w:rsidRPr="00E5616F">
        <w:t>El proyecto JEP-CEV-HRDAG no incluye fuerza pública en los responsables porque hay muy pocos hechos que se registren como reclutamientos ilegales por parte de estos actores, y no es posible diferenciar los reclutamientos legales de los ilegales.</w:t>
      </w:r>
    </w:p>
  </w:footnote>
  <w:footnote w:id="170">
    <w:p w:rsidR="00591E90" w:rsidRPr="00E5616F" w:rsidRDefault="00591E90">
      <w:pPr>
        <w:pStyle w:val="Textonotapie"/>
        <w:rPr>
          <w:lang w:val="es-CO"/>
        </w:rPr>
      </w:pPr>
      <w:r>
        <w:rPr>
          <w:rStyle w:val="Refdenotaalpie"/>
        </w:rPr>
        <w:footnoteRef/>
      </w:r>
      <w:r>
        <w:t xml:space="preserve"> </w:t>
      </w:r>
      <w:r w:rsidRPr="00E5616F">
        <w:t>El porcentaje de responsables desconocidos para esta violación es del 19 %. En este caso, la incertidumbre del ejercicio de integración es muy reducida en comparación con las demás violaciones analizadas por el Proyecto JEP-CEV-HRDAG, ya que se cuenta con información más completa sobre el responsable. Aun así, se utiliza el dato más probable en un rango de incertidumbre identificado.</w:t>
      </w:r>
    </w:p>
  </w:footnote>
  <w:footnote w:id="171">
    <w:p w:rsidR="00591E90" w:rsidRPr="00992601" w:rsidRDefault="00591E90">
      <w:pPr>
        <w:pStyle w:val="Textonotapie"/>
        <w:rPr>
          <w:lang w:val="es-CO"/>
        </w:rPr>
      </w:pPr>
      <w:r>
        <w:rPr>
          <w:rStyle w:val="Refdenotaalpie"/>
        </w:rPr>
        <w:footnoteRef/>
      </w:r>
      <w:r>
        <w:t xml:space="preserve"> </w:t>
      </w:r>
      <w:r w:rsidRPr="00992601">
        <w:t>Entrevista 190-VI-00008. Víctima, mujer, Paya, Boyacá.</w:t>
      </w:r>
    </w:p>
  </w:footnote>
  <w:footnote w:id="172">
    <w:p w:rsidR="00591E90" w:rsidRPr="00813331" w:rsidRDefault="00591E90">
      <w:pPr>
        <w:pStyle w:val="Textonotapie"/>
        <w:rPr>
          <w:lang w:val="es-CO"/>
        </w:rPr>
      </w:pPr>
      <w:r>
        <w:rPr>
          <w:rStyle w:val="Refdenotaalpie"/>
        </w:rPr>
        <w:footnoteRef/>
      </w:r>
      <w:r>
        <w:t xml:space="preserve"> </w:t>
      </w:r>
      <w:r w:rsidRPr="00813331">
        <w:t>Comisión de la Verdad, «Sobreviviente relató a la Comisión de la Verdad cómo fue la masacre de Santo Domingo», 25 de septiembre de 2020.</w:t>
      </w:r>
    </w:p>
  </w:footnote>
  <w:footnote w:id="173">
    <w:p w:rsidR="00591E90" w:rsidRPr="00813331" w:rsidRDefault="00591E90">
      <w:pPr>
        <w:pStyle w:val="Textonotapie"/>
        <w:rPr>
          <w:lang w:val="es-CO"/>
        </w:rPr>
      </w:pPr>
      <w:r>
        <w:rPr>
          <w:rStyle w:val="Refdenotaalpie"/>
        </w:rPr>
        <w:footnoteRef/>
      </w:r>
      <w:r>
        <w:t xml:space="preserve"> </w:t>
      </w:r>
      <w:r w:rsidRPr="00813331">
        <w:t>En la base de datos de ataques terroristas del Observatorio de Memoria y Conflicto (OMC) del CNMH se incluye la modalidad “ataque a objetivo civil con efecto indiscriminado” para distinguir esos eventos de los ataques contra objetivos militares.</w:t>
      </w:r>
    </w:p>
  </w:footnote>
  <w:footnote w:id="174">
    <w:p w:rsidR="00591E90" w:rsidRPr="00813331" w:rsidRDefault="00591E90">
      <w:pPr>
        <w:pStyle w:val="Textonotapie"/>
        <w:rPr>
          <w:lang w:val="es-CO"/>
        </w:rPr>
      </w:pPr>
      <w:r>
        <w:rPr>
          <w:rStyle w:val="Refdenotaalpie"/>
        </w:rPr>
        <w:footnoteRef/>
      </w:r>
      <w:r>
        <w:t xml:space="preserve"> </w:t>
      </w:r>
      <w:r w:rsidRPr="00813331">
        <w:t>Otro 7 % tiene responsable desconocido.</w:t>
      </w:r>
    </w:p>
  </w:footnote>
  <w:footnote w:id="175">
    <w:p w:rsidR="00591E90" w:rsidRPr="00CA0D2F" w:rsidRDefault="00591E90">
      <w:pPr>
        <w:pStyle w:val="Textonotapie"/>
        <w:rPr>
          <w:lang w:val="es-CO"/>
        </w:rPr>
      </w:pPr>
      <w:r>
        <w:rPr>
          <w:rStyle w:val="Refdenotaalpie"/>
        </w:rPr>
        <w:footnoteRef/>
      </w:r>
      <w:r>
        <w:t xml:space="preserve"> </w:t>
      </w:r>
      <w:r w:rsidRPr="00CA0D2F">
        <w:t>Cuyas funciones están a cargo de la Oficina del Alto Comisionado para la Paz (OACP).</w:t>
      </w:r>
    </w:p>
  </w:footnote>
  <w:footnote w:id="176">
    <w:p w:rsidR="00591E90" w:rsidRPr="00C1326C" w:rsidRDefault="00591E90">
      <w:pPr>
        <w:pStyle w:val="Textonotapie"/>
        <w:rPr>
          <w:lang w:val="es-CO"/>
        </w:rPr>
      </w:pPr>
      <w:r>
        <w:rPr>
          <w:rStyle w:val="Refdenotaalpie"/>
        </w:rPr>
        <w:footnoteRef/>
      </w:r>
      <w:r>
        <w:t xml:space="preserve"> </w:t>
      </w:r>
      <w:r w:rsidRPr="00CA0D2F">
        <w:t>Entrevista 189-VI-00190. Víctima, soldado.</w:t>
      </w:r>
    </w:p>
  </w:footnote>
  <w:footnote w:id="177">
    <w:p w:rsidR="00591E90" w:rsidRPr="007469B4" w:rsidRDefault="00591E90">
      <w:pPr>
        <w:pStyle w:val="Textonotapie"/>
        <w:rPr>
          <w:lang w:val="es-CO"/>
        </w:rPr>
      </w:pPr>
      <w:r>
        <w:rPr>
          <w:rStyle w:val="Refdenotaalpie"/>
        </w:rPr>
        <w:footnoteRef/>
      </w:r>
      <w:r>
        <w:t xml:space="preserve"> </w:t>
      </w:r>
      <w:r w:rsidRPr="007469B4">
        <w:t>Entrevista 061-VI-00007. Víctima, mujer, indígena, gobernadora awá.</w:t>
      </w:r>
    </w:p>
  </w:footnote>
  <w:footnote w:id="178">
    <w:p w:rsidR="00591E90" w:rsidRPr="007469B4" w:rsidRDefault="00591E90">
      <w:pPr>
        <w:pStyle w:val="Textonotapie"/>
        <w:rPr>
          <w:lang w:val="es-CO"/>
        </w:rPr>
      </w:pPr>
      <w:r>
        <w:rPr>
          <w:rStyle w:val="Refdenotaalpie"/>
        </w:rPr>
        <w:footnoteRef/>
      </w:r>
      <w:r>
        <w:t xml:space="preserve"> </w:t>
      </w:r>
      <w:r w:rsidRPr="007469B4">
        <w:t>El Observatorio de Memoria y Conflicto del Centro Nacional de Memoria Histórica (CNMH) tiene una base de datos con un amplio registro de daños a bienes civiles en la que incluyen variables sobre modalidad del ataque, tipo de bien y presunto responsable, así como el reporte de civiles lesionados en cada caso.</w:t>
      </w:r>
    </w:p>
  </w:footnote>
  <w:footnote w:id="179">
    <w:p w:rsidR="00591E90" w:rsidRPr="00E53DBB" w:rsidRDefault="00591E90">
      <w:pPr>
        <w:pStyle w:val="Textonotapie"/>
        <w:rPr>
          <w:lang w:val="es-CO"/>
        </w:rPr>
      </w:pPr>
      <w:r>
        <w:rPr>
          <w:rStyle w:val="Refdenotaalpie"/>
        </w:rPr>
        <w:footnoteRef/>
      </w:r>
      <w:r>
        <w:t xml:space="preserve"> </w:t>
      </w:r>
      <w:r w:rsidRPr="00E53DBB">
        <w:t>Entrevista 267-VI-00007. Mujer, desplazada, Guaviare. Mujer, víctima de desplazamiento forzado, despojo, ataque indiscriminado y amenazas. San José del Guaviare, Guaviare. 1997 - 2019.</w:t>
      </w:r>
    </w:p>
  </w:footnote>
  <w:footnote w:id="180">
    <w:p w:rsidR="00591E90" w:rsidRPr="00E53DBB" w:rsidRDefault="00591E90">
      <w:pPr>
        <w:pStyle w:val="Textonotapie"/>
        <w:rPr>
          <w:lang w:val="es-CO"/>
        </w:rPr>
      </w:pPr>
      <w:r>
        <w:rPr>
          <w:rStyle w:val="Refdenotaalpie"/>
        </w:rPr>
        <w:footnoteRef/>
      </w:r>
      <w:r>
        <w:t xml:space="preserve"> </w:t>
      </w:r>
      <w:r w:rsidRPr="00F234C2">
        <w:t xml:space="preserve">A diferencia de los apartados de homicidios, desaparición, secuestro y reclutamiento, en los que se usa la integración final de datos - que incluye la asignación del valor más probable de los campos sin información de diferentes variables -, en el apartado de desplazamiento se utiliza únicamente la integración de datos, ya que la información disponible no permite la asignación estadística de valores para los datos faltantes. El Proyecto JEP- CEV-HRDAG incluye en su base de datos integrada víctimas únicas, identificadas con nombre y apellido, </w:t>
      </w:r>
      <w:proofErr w:type="spellStart"/>
      <w:r w:rsidRPr="00F234C2">
        <w:t>deduplicadas</w:t>
      </w:r>
      <w:proofErr w:type="spellEnd"/>
      <w:r w:rsidRPr="00F234C2">
        <w:t xml:space="preserve"> y que tengan información mínima sobre el departamento y el año del hecho. Por esa razón, por la fecha de corte diferente y por otros ajustes en la calidad de datos, la cifra final es ligeramente inferior a la que presenta el RUV en sus estadísticas: sin embargo, la tendencia es la misma.</w:t>
      </w:r>
    </w:p>
  </w:footnote>
  <w:footnote w:id="181">
    <w:p w:rsidR="00591E90" w:rsidRPr="00E53DBB" w:rsidRDefault="00591E90">
      <w:pPr>
        <w:pStyle w:val="Textonotapie"/>
        <w:rPr>
          <w:lang w:val="es-CO"/>
        </w:rPr>
      </w:pPr>
      <w:r>
        <w:rPr>
          <w:rStyle w:val="Refdenotaalpie"/>
        </w:rPr>
        <w:footnoteRef/>
      </w:r>
      <w:r>
        <w:t xml:space="preserve"> </w:t>
      </w:r>
      <w:r w:rsidRPr="00F234C2">
        <w:t>El exilio es abordado en el Informe Final en el capítulo de Las verdades del exilio. La Colombia fuera de Colombia.</w:t>
      </w:r>
    </w:p>
  </w:footnote>
  <w:footnote w:id="182">
    <w:p w:rsidR="00591E90" w:rsidRPr="00E53DBB" w:rsidRDefault="00591E90">
      <w:pPr>
        <w:pStyle w:val="Textonotapie"/>
        <w:rPr>
          <w:lang w:val="es-CO"/>
        </w:rPr>
      </w:pPr>
      <w:r>
        <w:rPr>
          <w:rStyle w:val="Refdenotaalpie"/>
        </w:rPr>
        <w:footnoteRef/>
      </w:r>
      <w:r>
        <w:t xml:space="preserve"> </w:t>
      </w:r>
      <w:r w:rsidRPr="00F234C2">
        <w:t>https://www.unidadvictimas.gov.co/es/registro-unico-de-victimas-ruv/37394 Revisado el 27 de junio de 2022</w:t>
      </w:r>
    </w:p>
  </w:footnote>
  <w:footnote w:id="183">
    <w:p w:rsidR="00591E90" w:rsidRPr="00F234C2" w:rsidRDefault="00591E90">
      <w:pPr>
        <w:pStyle w:val="Textonotapie"/>
        <w:rPr>
          <w:lang w:val="es-CO"/>
        </w:rPr>
      </w:pPr>
      <w:r>
        <w:rPr>
          <w:rStyle w:val="Refdenotaalpie"/>
        </w:rPr>
        <w:footnoteRef/>
      </w:r>
      <w:r>
        <w:t xml:space="preserve"> </w:t>
      </w:r>
      <w:r w:rsidRPr="00F234C2">
        <w:t>JEP-CEV-HRDAG, «Proyecto conjunto de integración de datos y estimaciones estadísticas sobre violaciones ocurridas en el marco del conflicto armado colombiano», corte al 16 de junio de 2022.</w:t>
      </w:r>
    </w:p>
  </w:footnote>
  <w:footnote w:id="184">
    <w:p w:rsidR="00591E90" w:rsidRPr="00AF07FC" w:rsidRDefault="00591E90">
      <w:pPr>
        <w:pStyle w:val="Textonotapie"/>
        <w:rPr>
          <w:lang w:val="es-CO"/>
        </w:rPr>
      </w:pPr>
      <w:r>
        <w:rPr>
          <w:rStyle w:val="Refdenotaalpie"/>
        </w:rPr>
        <w:footnoteRef/>
      </w:r>
      <w:r>
        <w:t xml:space="preserve"> </w:t>
      </w:r>
      <w:r w:rsidRPr="00AF07FC">
        <w:t>https://codhes.wordpress.com/2021/12/22/2021-el-ano-con-mayor-numero-de-victimas-de- desplazamiento-en-5-anos/</w:t>
      </w:r>
    </w:p>
  </w:footnote>
  <w:footnote w:id="185">
    <w:p w:rsidR="00591E90" w:rsidRPr="00AF07FC" w:rsidRDefault="00591E90">
      <w:pPr>
        <w:pStyle w:val="Textonotapie"/>
        <w:rPr>
          <w:lang w:val="es-CO"/>
        </w:rPr>
      </w:pPr>
      <w:r>
        <w:rPr>
          <w:rStyle w:val="Refdenotaalpie"/>
        </w:rPr>
        <w:footnoteRef/>
      </w:r>
      <w:r>
        <w:t xml:space="preserve"> </w:t>
      </w:r>
      <w:r w:rsidRPr="00AF07FC">
        <w:t>De los datos conocidos, el 17 % refieren a la responsabilidad de grupos guerrilleros, el 12 % a grupos paramilitares y menos del 1 % a agentes del Estado. Estos datos no son representativos por diferentes factores, entre otros, a muchas víctimas se les decía por ejemplo que si señalan responsabilidades de los grupos paramilitares no tendrían derecho ninguna reparación porque los paramilitares ya no existían puesto que se habían desmovilizado bajo el proceso de Justicia y Paz.</w:t>
      </w:r>
    </w:p>
  </w:footnote>
  <w:footnote w:id="186">
    <w:p w:rsidR="00591E90" w:rsidRPr="00091D7A" w:rsidRDefault="00591E90">
      <w:pPr>
        <w:pStyle w:val="Textonotapie"/>
        <w:rPr>
          <w:lang w:val="it-IT"/>
        </w:rPr>
      </w:pPr>
      <w:r>
        <w:rPr>
          <w:rStyle w:val="Refdenotaalpie"/>
        </w:rPr>
        <w:footnoteRef/>
      </w:r>
      <w:r>
        <w:t xml:space="preserve"> </w:t>
      </w:r>
      <w:r w:rsidRPr="00AF07FC">
        <w:t>186 Entre otros casos: Peñas Coloradas: https://comisiondelaverdad.co/actualidad/noticias/penas-coloradas- estado-declaro-fuerzas-militares-duenas-del-caserio-condeno-destierro.</w:t>
      </w:r>
      <w:r w:rsidRPr="00AF07FC">
        <w:tab/>
        <w:t xml:space="preserve">Cacarica: https://www.corteidh.or.cr/CF/Jurisprudencia2/ficha.cfm?nId_Ficha=377&amp;lang=es. </w:t>
      </w:r>
      <w:r w:rsidRPr="00AF07FC">
        <w:rPr>
          <w:lang w:val="it-IT"/>
        </w:rPr>
        <w:t xml:space="preserve">Ricaurte: </w:t>
      </w:r>
      <w:r w:rsidRPr="002374EA">
        <w:rPr>
          <w:lang w:val="it-IT"/>
        </w:rPr>
        <w:t>https://asociacionminga.co/comunidad-indigena-awa-se-desplaza-por-presencia-del-ejercito-en-su-territorio/</w:t>
      </w:r>
      <w:r w:rsidRPr="00AF07FC">
        <w:rPr>
          <w:lang w:val="it-IT"/>
        </w:rPr>
        <w:t>.</w:t>
      </w:r>
    </w:p>
  </w:footnote>
  <w:footnote w:id="187">
    <w:p w:rsidR="00591E90" w:rsidRPr="00944AB8" w:rsidRDefault="00591E90">
      <w:pPr>
        <w:pStyle w:val="Textonotapie"/>
        <w:rPr>
          <w:lang w:val="es-CO"/>
        </w:rPr>
      </w:pPr>
      <w:r>
        <w:rPr>
          <w:rStyle w:val="Refdenotaalpie"/>
        </w:rPr>
        <w:footnoteRef/>
      </w:r>
      <w:r w:rsidRPr="00091D7A">
        <w:t xml:space="preserve"> Las gráficas solo incluyen victimizaciones que ocurrieron al mismo tiempo en el mismo lugar.</w:t>
      </w:r>
    </w:p>
  </w:footnote>
  <w:footnote w:id="188">
    <w:p w:rsidR="00591E90" w:rsidRPr="00B22898" w:rsidRDefault="00591E90">
      <w:pPr>
        <w:pStyle w:val="Textonotapie"/>
        <w:rPr>
          <w:lang w:val="es-CO"/>
        </w:rPr>
      </w:pPr>
      <w:r>
        <w:rPr>
          <w:rStyle w:val="Refdenotaalpie"/>
        </w:rPr>
        <w:footnoteRef/>
      </w:r>
      <w:r>
        <w:t xml:space="preserve"> </w:t>
      </w:r>
      <w:r w:rsidRPr="00B22898">
        <w:t>Entrevista 1121-EE-00180. Entrevista colectiva comunidad indígena.</w:t>
      </w:r>
    </w:p>
  </w:footnote>
  <w:footnote w:id="189">
    <w:p w:rsidR="00591E90" w:rsidRPr="0095540A" w:rsidRDefault="00591E90">
      <w:pPr>
        <w:pStyle w:val="Textonotapie"/>
        <w:rPr>
          <w:lang w:val="es-CO"/>
        </w:rPr>
      </w:pPr>
      <w:r>
        <w:rPr>
          <w:rStyle w:val="Refdenotaalpie"/>
        </w:rPr>
        <w:footnoteRef/>
      </w:r>
      <w:r>
        <w:t xml:space="preserve"> </w:t>
      </w:r>
      <w:r w:rsidRPr="0095540A">
        <w:t>Base de datos de entrevistas a víctimas, familiares y testigos recogidas por la Comisión de la verdad, con corte al 9 de junio de 2022. Las gráficas solo incluyen victimizaciones que ocurrieron al mismo tiempo en el mismo lugar.</w:t>
      </w:r>
    </w:p>
  </w:footnote>
  <w:footnote w:id="190">
    <w:p w:rsidR="00591E90" w:rsidRPr="0095540A" w:rsidRDefault="00591E90">
      <w:pPr>
        <w:pStyle w:val="Textonotapie"/>
        <w:rPr>
          <w:lang w:val="es-CO"/>
        </w:rPr>
      </w:pPr>
      <w:r>
        <w:rPr>
          <w:rStyle w:val="Refdenotaalpie"/>
        </w:rPr>
        <w:footnoteRef/>
      </w:r>
      <w:r>
        <w:t xml:space="preserve"> </w:t>
      </w:r>
      <w:proofErr w:type="spellStart"/>
      <w:r w:rsidRPr="0095540A">
        <w:t>Acnur</w:t>
      </w:r>
      <w:proofErr w:type="spellEnd"/>
      <w:r w:rsidRPr="0095540A">
        <w:t>. Informes sobre confinamiento desde 2019 hasta marzo de 2022.</w:t>
      </w:r>
    </w:p>
  </w:footnote>
  <w:footnote w:id="191">
    <w:p w:rsidR="00591E90" w:rsidRPr="0095540A" w:rsidRDefault="00591E90">
      <w:pPr>
        <w:pStyle w:val="Textonotapie"/>
        <w:rPr>
          <w:lang w:val="es-CO"/>
        </w:rPr>
      </w:pPr>
      <w:r>
        <w:rPr>
          <w:rStyle w:val="Refdenotaalpie"/>
        </w:rPr>
        <w:footnoteRef/>
      </w:r>
      <w:r>
        <w:t xml:space="preserve"> </w:t>
      </w:r>
      <w:r w:rsidRPr="0095540A">
        <w:t>Entrevista 212-VI-00021. Víctima de desplazamiento forzado, mujer.</w:t>
      </w:r>
    </w:p>
  </w:footnote>
  <w:footnote w:id="192">
    <w:p w:rsidR="00591E90" w:rsidRPr="00715045" w:rsidRDefault="00591E90">
      <w:pPr>
        <w:pStyle w:val="Textonotapie"/>
        <w:rPr>
          <w:lang w:val="es-CO"/>
        </w:rPr>
      </w:pPr>
      <w:r>
        <w:rPr>
          <w:rStyle w:val="Refdenotaalpie"/>
        </w:rPr>
        <w:footnoteRef/>
      </w:r>
      <w:r>
        <w:t xml:space="preserve"> </w:t>
      </w:r>
      <w:r w:rsidRPr="00715045">
        <w:t xml:space="preserve">Comisión de la Verdad. «Catálogo de </w:t>
      </w:r>
      <w:proofErr w:type="spellStart"/>
      <w:r w:rsidRPr="00715045">
        <w:t>microdatos</w:t>
      </w:r>
      <w:proofErr w:type="spellEnd"/>
      <w:r w:rsidRPr="00715045">
        <w:t>». Contraloría General de la República. Primera encuesta Nacional de víctimas CGR-2013. Fecha de consulta: 24 de junio de 2021.</w:t>
      </w:r>
    </w:p>
  </w:footnote>
  <w:footnote w:id="193">
    <w:p w:rsidR="00591E90" w:rsidRPr="00715045" w:rsidRDefault="00591E90">
      <w:pPr>
        <w:pStyle w:val="Textonotapie"/>
        <w:rPr>
          <w:lang w:val="es-CO"/>
        </w:rPr>
      </w:pPr>
      <w:r>
        <w:rPr>
          <w:rStyle w:val="Refdenotaalpie"/>
        </w:rPr>
        <w:footnoteRef/>
      </w:r>
      <w:r>
        <w:t xml:space="preserve"> </w:t>
      </w:r>
      <w:r w:rsidRPr="00715045">
        <w:t>Fundación Forjando Futuros, «Sistema de Información Sembrando Paz».</w:t>
      </w:r>
    </w:p>
  </w:footnote>
  <w:footnote w:id="194">
    <w:p w:rsidR="00591E90" w:rsidRPr="00715045" w:rsidRDefault="00591E90">
      <w:pPr>
        <w:pStyle w:val="Textonotapie"/>
        <w:rPr>
          <w:lang w:val="es-CO"/>
        </w:rPr>
      </w:pPr>
      <w:r>
        <w:rPr>
          <w:rStyle w:val="Refdenotaalpie"/>
        </w:rPr>
        <w:footnoteRef/>
      </w:r>
      <w:r>
        <w:t xml:space="preserve"> </w:t>
      </w:r>
      <w:r w:rsidRPr="00715045">
        <w:t>Tal estrategia ha implicado la comisión de múltiples violaciones a derechos humanos que encarnan: 1) la violencia directa o indirecta ejercida contra niños, niñas, mujeres, hombres, ancianos, jóvenes y liderazgos comunitarios de pueblos étnicos o campesinos; 2) la destrucción de sus viviendas, cultivos, animales y demás bienes materiales; y 3) la afectación de su entorno simbólico y espiritual por el vaciamiento de territorios enteros.</w:t>
      </w:r>
    </w:p>
  </w:footnote>
  <w:footnote w:id="195">
    <w:p w:rsidR="00591E90" w:rsidRPr="00715045" w:rsidRDefault="00591E90">
      <w:pPr>
        <w:pStyle w:val="Textonotapie"/>
        <w:rPr>
          <w:lang w:val="es-CO"/>
        </w:rPr>
      </w:pPr>
      <w:r>
        <w:rPr>
          <w:rStyle w:val="Refdenotaalpie"/>
        </w:rPr>
        <w:footnoteRef/>
      </w:r>
      <w:r>
        <w:t xml:space="preserve"> </w:t>
      </w:r>
      <w:r w:rsidRPr="00715045">
        <w:t xml:space="preserve">Ver Caso Zona de Despeje en la plataforma </w:t>
      </w:r>
      <w:proofErr w:type="spellStart"/>
      <w:r w:rsidRPr="00715045">
        <w:t>transmedia</w:t>
      </w:r>
      <w:proofErr w:type="spellEnd"/>
      <w:r w:rsidRPr="00715045">
        <w:t xml:space="preserve"> de la Comisión.</w:t>
      </w:r>
    </w:p>
  </w:footnote>
  <w:footnote w:id="196">
    <w:p w:rsidR="00591E90" w:rsidRPr="00715045" w:rsidRDefault="00591E90">
      <w:pPr>
        <w:pStyle w:val="Textonotapie"/>
        <w:rPr>
          <w:lang w:val="es-CO"/>
        </w:rPr>
      </w:pPr>
      <w:r>
        <w:rPr>
          <w:rStyle w:val="Refdenotaalpie"/>
        </w:rPr>
        <w:footnoteRef/>
      </w:r>
      <w:r>
        <w:t xml:space="preserve"> </w:t>
      </w:r>
      <w:proofErr w:type="spellStart"/>
      <w:r w:rsidRPr="00715045">
        <w:t>Codhes</w:t>
      </w:r>
      <w:proofErr w:type="spellEnd"/>
      <w:r w:rsidRPr="00715045">
        <w:t>, «Propuestas frente a las restricciones estructurales y políticas para la reparación efectiva de las tierras perdidas por la población desplazada».</w:t>
      </w:r>
    </w:p>
  </w:footnote>
  <w:footnote w:id="197">
    <w:p w:rsidR="00591E90" w:rsidRPr="00881DC9" w:rsidRDefault="00591E90">
      <w:pPr>
        <w:pStyle w:val="Textonotapie"/>
        <w:rPr>
          <w:lang w:val="es-CO"/>
        </w:rPr>
      </w:pPr>
      <w:r>
        <w:rPr>
          <w:rStyle w:val="Refdenotaalpie"/>
        </w:rPr>
        <w:footnoteRef/>
      </w:r>
      <w:r>
        <w:t xml:space="preserve"> </w:t>
      </w:r>
      <w:r w:rsidRPr="00881DC9">
        <w:t>Responsabilidades extrajudiciales en el informe final de la comisión de la verdad. Algunos parámetros para su establecimiento frente a hechos y casos. Comisión de Esclarecimiento de la Verdad. Febrero de 2021.</w:t>
      </w:r>
    </w:p>
  </w:footnote>
  <w:footnote w:id="198">
    <w:p w:rsidR="00591E90" w:rsidRPr="00907C2F" w:rsidRDefault="00591E90">
      <w:pPr>
        <w:pStyle w:val="Textonotapie"/>
        <w:rPr>
          <w:lang w:val="es-CO"/>
        </w:rPr>
      </w:pPr>
      <w:r>
        <w:rPr>
          <w:rStyle w:val="Refdenotaalpie"/>
        </w:rPr>
        <w:footnoteRef/>
      </w:r>
      <w:r>
        <w:t xml:space="preserve"> </w:t>
      </w:r>
      <w:r w:rsidRPr="00907C2F">
        <w:t>Es importante tener en cuenta que no todos los miembros del EPL se desmovilizaron; dentro del remanente que existe todavía se destaca el Frente Libardo Mora en el Catatumbo.</w:t>
      </w:r>
    </w:p>
  </w:footnote>
  <w:footnote w:id="199">
    <w:p w:rsidR="00591E90" w:rsidRPr="00907C2F" w:rsidRDefault="00591E90">
      <w:pPr>
        <w:pStyle w:val="Textonotapie"/>
        <w:rPr>
          <w:lang w:val="es-CO"/>
        </w:rPr>
      </w:pPr>
      <w:r>
        <w:rPr>
          <w:rStyle w:val="Refdenotaalpie"/>
        </w:rPr>
        <w:footnoteRef/>
      </w:r>
      <w:r>
        <w:t xml:space="preserve"> </w:t>
      </w:r>
      <w:r w:rsidRPr="00907C2F">
        <w:t>Noriega, Fraude en la elección de Pastrana Borrero.</w:t>
      </w:r>
    </w:p>
  </w:footnote>
  <w:footnote w:id="200">
    <w:p w:rsidR="00591E90" w:rsidRPr="00214B4B" w:rsidRDefault="00591E90">
      <w:pPr>
        <w:pStyle w:val="Textonotapie"/>
        <w:rPr>
          <w:lang w:val="es-CO"/>
        </w:rPr>
      </w:pPr>
      <w:r>
        <w:rPr>
          <w:rStyle w:val="Refdenotaalpie"/>
        </w:rPr>
        <w:footnoteRef/>
      </w:r>
      <w:r>
        <w:t xml:space="preserve"> </w:t>
      </w:r>
      <w:r w:rsidRPr="00907C2F">
        <w:t>En 1993 se desmovilizó un sector del ELN conocido como la Corriente de Renovación Socialista (CRS).</w:t>
      </w:r>
    </w:p>
  </w:footnote>
  <w:footnote w:id="201">
    <w:p w:rsidR="00591E90" w:rsidRPr="00E55AA3" w:rsidRDefault="00591E90">
      <w:pPr>
        <w:pStyle w:val="Textonotapie"/>
      </w:pPr>
      <w:r>
        <w:rPr>
          <w:rStyle w:val="Refdenotaalpie"/>
        </w:rPr>
        <w:footnoteRef/>
      </w:r>
      <w:r>
        <w:t xml:space="preserve"> </w:t>
      </w:r>
      <w:r w:rsidRPr="00E55AA3">
        <w:t>En este contexto es posible establecer que había una relación de identidad de la población civil con las FARC en las zonas rurales, donde tuvieron acogida o un buen funcionamiento las columnas de marcha, especialmente en El Pato y El Guayabero. En estas zonas la guerrilla logró tener presencia y control donde convergían las identidades políticas, veredales y territoriales con las redes familiares.</w:t>
      </w:r>
    </w:p>
  </w:footnote>
  <w:footnote w:id="202">
    <w:p w:rsidR="00591E90" w:rsidRPr="00E55AA3" w:rsidRDefault="00591E90">
      <w:pPr>
        <w:pStyle w:val="Textonotapie"/>
      </w:pPr>
      <w:r>
        <w:rPr>
          <w:rStyle w:val="Refdenotaalpie"/>
        </w:rPr>
        <w:footnoteRef/>
      </w:r>
      <w:r>
        <w:t xml:space="preserve"> </w:t>
      </w:r>
      <w:r w:rsidRPr="00E55AA3">
        <w:t>Estas dinámicas muestran la importancia de ciertas regiones para desarrollar los proyectos insurgentes de las guerrillas, en los que la inserción territorial y la relación con la población civil fueron determinantes (posibilidades de permanencia, control de corredores, disposición de recursos, pero también poblaciones con las que en algunos casos mantenían una relación de años de convivencia más o menos forzada, en algunos casos de apoyo y en otros de control mediante violencia).</w:t>
      </w:r>
    </w:p>
  </w:footnote>
  <w:footnote w:id="203">
    <w:p w:rsidR="00591E90" w:rsidRPr="000B5836" w:rsidRDefault="00591E90">
      <w:pPr>
        <w:pStyle w:val="Textonotapie"/>
        <w:rPr>
          <w:lang w:val="es-CO"/>
        </w:rPr>
      </w:pPr>
      <w:r>
        <w:rPr>
          <w:rStyle w:val="Refdenotaalpie"/>
        </w:rPr>
        <w:footnoteRef/>
      </w:r>
      <w:r>
        <w:t xml:space="preserve"> </w:t>
      </w:r>
      <w:r w:rsidRPr="000B5836">
        <w:t>Si en 1983 el ELN tenía redes urbanas en dieciséis departamentos y cuatro frentes rurales, con unos 200 integrantes en las ciudades y 150 en el campo, tres años más tarde (1985) tenía 600 combatientes agrupados en ocho frentes rurales y 200 más en sus regionales urbanas. Para 1990 esta guerrilla contaba con 60 estructuras conformadas por dieciocho frentes guerrilleros, ocho proyectos de frente, cuatro estructuras militares en el campo (compañías), dieciocho estructuras urbanas, tres estructuras especiales, ocho comisiones nacionales, la Dirección Nacional y el Comando Central (COCE). Aguilera, «ELN: entre las armas y la política»; Ortiz, «La guerrilla mutante».</w:t>
      </w:r>
    </w:p>
  </w:footnote>
  <w:footnote w:id="204">
    <w:p w:rsidR="00591E90" w:rsidRPr="007A5430" w:rsidRDefault="00591E90">
      <w:pPr>
        <w:pStyle w:val="Textonotapie"/>
        <w:rPr>
          <w:lang w:val="es-CO"/>
        </w:rPr>
      </w:pPr>
      <w:r>
        <w:rPr>
          <w:rStyle w:val="Refdenotaalpie"/>
        </w:rPr>
        <w:footnoteRef/>
      </w:r>
      <w:r>
        <w:t xml:space="preserve"> </w:t>
      </w:r>
      <w:r w:rsidRPr="007A5430">
        <w:t>Partido político conformado por una coalición diversa de miembros del Partido Comunista, sectores populares e incluso de partidos tradicionales.</w:t>
      </w:r>
    </w:p>
  </w:footnote>
  <w:footnote w:id="205">
    <w:p w:rsidR="00591E90" w:rsidRPr="007A5430" w:rsidRDefault="00591E90">
      <w:pPr>
        <w:pStyle w:val="Textonotapie"/>
        <w:rPr>
          <w:lang w:val="es-CO"/>
        </w:rPr>
      </w:pPr>
      <w:r>
        <w:rPr>
          <w:rStyle w:val="Refdenotaalpie"/>
        </w:rPr>
        <w:footnoteRef/>
      </w:r>
      <w:r>
        <w:t xml:space="preserve"> </w:t>
      </w:r>
      <w:r w:rsidRPr="007A5430">
        <w:t>Redes urbanas de civiles que apoyaban la actuación de las FARC-EP.</w:t>
      </w:r>
    </w:p>
  </w:footnote>
  <w:footnote w:id="206">
    <w:p w:rsidR="00591E90" w:rsidRPr="007A5430" w:rsidRDefault="00591E90">
      <w:pPr>
        <w:pStyle w:val="Textonotapie"/>
        <w:rPr>
          <w:lang w:val="es-CO"/>
        </w:rPr>
      </w:pPr>
      <w:r>
        <w:rPr>
          <w:rStyle w:val="Refdenotaalpie"/>
        </w:rPr>
        <w:footnoteRef/>
      </w:r>
      <w:r>
        <w:t xml:space="preserve"> </w:t>
      </w:r>
      <w:r w:rsidRPr="007A5430">
        <w:t>Esta plataforma condensa los planteamientos políticos y programáticos de las FARC-EP formulados en la Octava Conferencia.</w:t>
      </w:r>
    </w:p>
  </w:footnote>
  <w:footnote w:id="207">
    <w:p w:rsidR="00591E90" w:rsidRPr="00DD4F7C" w:rsidRDefault="00591E90">
      <w:pPr>
        <w:pStyle w:val="Textonotapie"/>
        <w:rPr>
          <w:lang w:val="es-CO"/>
        </w:rPr>
      </w:pPr>
      <w:r>
        <w:rPr>
          <w:rStyle w:val="Refdenotaalpie"/>
        </w:rPr>
        <w:footnoteRef/>
      </w:r>
      <w:r>
        <w:t xml:space="preserve"> </w:t>
      </w:r>
      <w:r w:rsidRPr="00DD4F7C">
        <w:t>Vásquez, Una vieja guerra en un nuevo contexto; Vásquez, «Esbozo para una explicación espacial y territorial del conflicto armado».</w:t>
      </w:r>
    </w:p>
  </w:footnote>
  <w:footnote w:id="208">
    <w:p w:rsidR="00591E90" w:rsidRPr="00DD4F7C" w:rsidRDefault="00591E90">
      <w:pPr>
        <w:pStyle w:val="Textonotapie"/>
        <w:rPr>
          <w:lang w:val="es-CO"/>
        </w:rPr>
      </w:pPr>
      <w:r>
        <w:rPr>
          <w:rStyle w:val="Refdenotaalpie"/>
        </w:rPr>
        <w:footnoteRef/>
      </w:r>
      <w:r>
        <w:t xml:space="preserve"> </w:t>
      </w:r>
      <w:r w:rsidRPr="00DD4F7C">
        <w:t>Informe 365-CI-01570. Universidad EAFIT, «Empresa y conflicto armado en Colombia», 50.</w:t>
      </w:r>
    </w:p>
  </w:footnote>
  <w:footnote w:id="209">
    <w:p w:rsidR="00591E90" w:rsidRPr="00DD4F7C" w:rsidRDefault="00591E90">
      <w:pPr>
        <w:pStyle w:val="Textonotapie"/>
        <w:rPr>
          <w:lang w:val="es-CO"/>
        </w:rPr>
      </w:pPr>
      <w:r>
        <w:rPr>
          <w:rStyle w:val="Refdenotaalpie"/>
        </w:rPr>
        <w:footnoteRef/>
      </w:r>
      <w:r>
        <w:t xml:space="preserve"> </w:t>
      </w:r>
      <w:proofErr w:type="spellStart"/>
      <w:r w:rsidRPr="00DD4F7C">
        <w:t>Ibíd</w:t>
      </w:r>
      <w:proofErr w:type="spellEnd"/>
      <w:r w:rsidRPr="00DD4F7C">
        <w:t>.</w:t>
      </w:r>
    </w:p>
  </w:footnote>
  <w:footnote w:id="210">
    <w:p w:rsidR="00591E90" w:rsidRPr="00DD4F7C" w:rsidRDefault="00591E90">
      <w:pPr>
        <w:pStyle w:val="Textonotapie"/>
        <w:rPr>
          <w:lang w:val="es-CO"/>
        </w:rPr>
      </w:pPr>
      <w:r>
        <w:rPr>
          <w:rStyle w:val="Refdenotaalpie"/>
        </w:rPr>
        <w:footnoteRef/>
      </w:r>
      <w:r>
        <w:t xml:space="preserve"> </w:t>
      </w:r>
      <w:proofErr w:type="spellStart"/>
      <w:r w:rsidRPr="00DD4F7C">
        <w:t>Ibíd</w:t>
      </w:r>
      <w:proofErr w:type="spellEnd"/>
      <w:r w:rsidRPr="00DD4F7C">
        <w:t>., 52-53.</w:t>
      </w:r>
    </w:p>
  </w:footnote>
  <w:footnote w:id="211">
    <w:p w:rsidR="00591E90" w:rsidRPr="00FB5D2A" w:rsidRDefault="00591E90">
      <w:pPr>
        <w:pStyle w:val="Textonotapie"/>
        <w:rPr>
          <w:lang w:val="es-CO"/>
        </w:rPr>
      </w:pPr>
      <w:r>
        <w:rPr>
          <w:rStyle w:val="Refdenotaalpie"/>
        </w:rPr>
        <w:footnoteRef/>
      </w:r>
      <w:r>
        <w:t xml:space="preserve"> </w:t>
      </w:r>
      <w:r w:rsidRPr="00FB5D2A">
        <w:t>Ospina Ovalle, Los años en que Colombia recuperó la esperanza.</w:t>
      </w:r>
    </w:p>
  </w:footnote>
  <w:footnote w:id="212">
    <w:p w:rsidR="00591E90" w:rsidRPr="00FB5D2A" w:rsidRDefault="00591E90">
      <w:pPr>
        <w:pStyle w:val="Textonotapie"/>
        <w:rPr>
          <w:lang w:val="es-CO"/>
        </w:rPr>
      </w:pPr>
      <w:r>
        <w:rPr>
          <w:rStyle w:val="Refdenotaalpie"/>
        </w:rPr>
        <w:footnoteRef/>
      </w:r>
      <w:r>
        <w:t xml:space="preserve"> </w:t>
      </w:r>
      <w:r w:rsidRPr="00FB5D2A">
        <w:t>FARC-</w:t>
      </w:r>
      <w:proofErr w:type="spellStart"/>
      <w:r w:rsidRPr="00FB5D2A">
        <w:t>EP,Circular</w:t>
      </w:r>
      <w:proofErr w:type="spellEnd"/>
      <w:r w:rsidRPr="00FB5D2A">
        <w:t xml:space="preserve"> del comandante Manuel Miembros del Estado Mayor Central y mandos, 2002. En Génesis de las FARC. Tomo III.</w:t>
      </w:r>
    </w:p>
  </w:footnote>
  <w:footnote w:id="213">
    <w:p w:rsidR="00591E90" w:rsidRPr="00FB5D2A" w:rsidRDefault="00591E90">
      <w:pPr>
        <w:pStyle w:val="Textonotapie"/>
        <w:rPr>
          <w:lang w:val="es-CO"/>
        </w:rPr>
      </w:pPr>
      <w:r>
        <w:rPr>
          <w:rStyle w:val="Refdenotaalpie"/>
        </w:rPr>
        <w:footnoteRef/>
      </w:r>
      <w:r>
        <w:t xml:space="preserve"> </w:t>
      </w:r>
      <w:r w:rsidRPr="00FB5D2A">
        <w:t xml:space="preserve">González, Poder y violencia en Colombia; González et al., «Acercamiento a la evolución territorial de los actores armados»; Gutiérrez Sanín, ¿Un nuevo ciclo de la guerra en </w:t>
      </w:r>
      <w:proofErr w:type="gramStart"/>
      <w:r w:rsidRPr="00FB5D2A">
        <w:t>Colombia?.</w:t>
      </w:r>
      <w:proofErr w:type="gramEnd"/>
    </w:p>
  </w:footnote>
  <w:footnote w:id="214">
    <w:p w:rsidR="00591E90" w:rsidRPr="00FB5D2A" w:rsidRDefault="00591E90">
      <w:pPr>
        <w:pStyle w:val="Textonotapie"/>
        <w:rPr>
          <w:lang w:val="es-CO"/>
        </w:rPr>
      </w:pPr>
      <w:r>
        <w:rPr>
          <w:rStyle w:val="Refdenotaalpie"/>
        </w:rPr>
        <w:footnoteRef/>
      </w:r>
      <w:r>
        <w:t xml:space="preserve"> </w:t>
      </w:r>
      <w:r w:rsidRPr="00FB5D2A">
        <w:t>Comisión de la Verdad, «Informe de violencia contra excombatientes de las FARC (2017-2020)», Dirección de Diálogo Social, 2021.</w:t>
      </w:r>
    </w:p>
  </w:footnote>
  <w:footnote w:id="215">
    <w:p w:rsidR="00591E90" w:rsidRPr="00FB5D2A" w:rsidRDefault="00591E90">
      <w:pPr>
        <w:pStyle w:val="Textonotapie"/>
        <w:rPr>
          <w:lang w:val="es-CO"/>
        </w:rPr>
      </w:pPr>
      <w:r>
        <w:rPr>
          <w:rStyle w:val="Refdenotaalpie"/>
        </w:rPr>
        <w:footnoteRef/>
      </w:r>
      <w:r>
        <w:t xml:space="preserve"> </w:t>
      </w:r>
      <w:r w:rsidRPr="00FB5D2A">
        <w:t>Primero, todo indica que el Frente de Guerra Oriental ha decidido insertarse de forma definitiva en las instancias de dirección nacional para incidir de fondo en la organización en ese nivel. Segundo, este reposicionamiento del Frente de Guerra Oriental se plasma en una mayor comunicación y coordinación con otras estructuras del territorio nacional. Tercero, la vinculación con las economías territoriales de algunos frentes, así como su comunicación con el Oriental, permiten pensar que se está ante un relevo generacional de mandos, que en poco o nada beneficia a la línea tradicional de la etapa fundacional y del momento de recomposición. Cuarto, nos hallaríamos frente a una insurgencia derrotada estratégicamente, pero cada vez más criminalizada en sus medios para proseguir con sus fines políticos. Y, quinto, su presencia territorial en Venezuela es una variable cada vez más pronunciada y determinante, al punto que algunos afirman que se trata de una guerrilla binacional.</w:t>
      </w:r>
    </w:p>
  </w:footnote>
  <w:footnote w:id="216">
    <w:p w:rsidR="00591E90" w:rsidRPr="00FB5D2A" w:rsidRDefault="00591E90">
      <w:pPr>
        <w:pStyle w:val="Textonotapie"/>
        <w:rPr>
          <w:lang w:val="es-CO"/>
        </w:rPr>
      </w:pPr>
      <w:r>
        <w:rPr>
          <w:rStyle w:val="Refdenotaalpie"/>
        </w:rPr>
        <w:footnoteRef/>
      </w:r>
      <w:r>
        <w:t xml:space="preserve"> </w:t>
      </w:r>
      <w:r w:rsidRPr="00FB5D2A">
        <w:t>Ministerio de Defensa Nacional, PDS.</w:t>
      </w:r>
    </w:p>
  </w:footnote>
  <w:footnote w:id="217">
    <w:p w:rsidR="00591E90" w:rsidRPr="00FB5D2A" w:rsidRDefault="00591E90">
      <w:pPr>
        <w:pStyle w:val="Textonotapie"/>
        <w:rPr>
          <w:lang w:val="es-CO"/>
        </w:rPr>
      </w:pPr>
      <w:r>
        <w:rPr>
          <w:rStyle w:val="Refdenotaalpie"/>
        </w:rPr>
        <w:footnoteRef/>
      </w:r>
      <w:r>
        <w:t xml:space="preserve"> </w:t>
      </w:r>
      <w:r w:rsidRPr="00FB5D2A">
        <w:t xml:space="preserve">Basta remarcar las disputas armadas en el Catatumbo (contra el EPL y contra las autodenominadas Autodefensas </w:t>
      </w:r>
      <w:proofErr w:type="spellStart"/>
      <w:r w:rsidRPr="00FB5D2A">
        <w:t>Gaitanistas</w:t>
      </w:r>
      <w:proofErr w:type="spellEnd"/>
      <w:r w:rsidRPr="00FB5D2A">
        <w:t xml:space="preserve"> de Colombia [AGC]), en Cauca (contra la disidencias de las FARC-EP Carlos Patiño), en Nariño (contras las Guerrillas Unidas del Pacífico [GUP] y el Frente Oliver Sinisterra), en Arauca (contra las disidencias de las FARC-EP, del Frente 10), en el sur de Bolívar (contra las AGC), en el Bajo Cauca (contra las AGC) y en Chocó (contra las AGC), por dar algunos ejemplos.</w:t>
      </w:r>
    </w:p>
  </w:footnote>
  <w:footnote w:id="218">
    <w:p w:rsidR="00591E90" w:rsidRPr="004B7E6A" w:rsidRDefault="00591E90">
      <w:pPr>
        <w:pStyle w:val="Textonotapie"/>
        <w:rPr>
          <w:lang w:val="es-CO"/>
        </w:rPr>
      </w:pPr>
      <w:r>
        <w:rPr>
          <w:rStyle w:val="Refdenotaalpie"/>
        </w:rPr>
        <w:footnoteRef/>
      </w:r>
      <w:r>
        <w:t xml:space="preserve"> </w:t>
      </w:r>
      <w:r w:rsidRPr="004B7E6A">
        <w:t>CNMH, Guerrilla y población civil.</w:t>
      </w:r>
    </w:p>
  </w:footnote>
  <w:footnote w:id="219">
    <w:p w:rsidR="00591E90" w:rsidRPr="00EA44CD" w:rsidRDefault="00591E90">
      <w:pPr>
        <w:pStyle w:val="Textonotapie"/>
        <w:rPr>
          <w:lang w:val="es-CO"/>
        </w:rPr>
      </w:pPr>
      <w:r>
        <w:rPr>
          <w:rStyle w:val="Refdenotaalpie"/>
        </w:rPr>
        <w:footnoteRef/>
      </w:r>
      <w:r>
        <w:t xml:space="preserve"> </w:t>
      </w:r>
      <w:r w:rsidRPr="00EA44CD">
        <w:t xml:space="preserve">Ejemplo de ello son los casos de alias Edgar Tovar, Argemiro Martínez, </w:t>
      </w:r>
      <w:proofErr w:type="spellStart"/>
      <w:r w:rsidRPr="00EA44CD">
        <w:t>Jhon</w:t>
      </w:r>
      <w:proofErr w:type="spellEnd"/>
      <w:r w:rsidRPr="00EA44CD">
        <w:t xml:space="preserve"> 40.</w:t>
      </w:r>
    </w:p>
  </w:footnote>
  <w:footnote w:id="220">
    <w:p w:rsidR="00591E90" w:rsidRPr="00D34CC0" w:rsidRDefault="00591E90">
      <w:pPr>
        <w:pStyle w:val="Textonotapie"/>
        <w:rPr>
          <w:lang w:val="es-CO"/>
        </w:rPr>
      </w:pPr>
      <w:r>
        <w:rPr>
          <w:rStyle w:val="Refdenotaalpie"/>
        </w:rPr>
        <w:footnoteRef/>
      </w:r>
      <w:r>
        <w:t xml:space="preserve"> </w:t>
      </w:r>
      <w:r w:rsidRPr="00D34CC0">
        <w:t>El porcentaje de responsables desconocidos para esta violación es del 29 %. En este caso, la incertidumbre del ejercicio de integración es inferior al dato de homicidio y desaparición forzada, ya que se cuenta con información más completa sobre el responsable. Aun así, se utiliza el dato más probable en un rango de incertidumbre identificado.</w:t>
      </w:r>
    </w:p>
  </w:footnote>
  <w:footnote w:id="221">
    <w:p w:rsidR="00591E90" w:rsidRPr="00D34CC0" w:rsidRDefault="00591E90" w:rsidP="00D34CC0">
      <w:pPr>
        <w:pStyle w:val="Textonotapie"/>
        <w:rPr>
          <w:lang w:val="es-CO"/>
        </w:rPr>
      </w:pPr>
      <w:r>
        <w:rPr>
          <w:rStyle w:val="Refdenotaalpie"/>
        </w:rPr>
        <w:footnoteRef/>
      </w:r>
      <w:r>
        <w:t xml:space="preserve"> La categoría «otros grupos» puede referirse a grupos criminales identificados en las bases de datos como «</w:t>
      </w:r>
      <w:proofErr w:type="spellStart"/>
      <w:r>
        <w:t>Bacrim</w:t>
      </w:r>
      <w:proofErr w:type="spellEnd"/>
      <w:r>
        <w:t>», «Bandolerismo» y «Grupo armado no identificado», etc.</w:t>
      </w:r>
    </w:p>
  </w:footnote>
  <w:footnote w:id="222">
    <w:p w:rsidR="00591E90" w:rsidRPr="004556FF" w:rsidRDefault="00591E90">
      <w:pPr>
        <w:pStyle w:val="Textonotapie"/>
        <w:rPr>
          <w:lang w:val="es-CO"/>
        </w:rPr>
      </w:pPr>
      <w:r>
        <w:rPr>
          <w:rStyle w:val="Refdenotaalpie"/>
        </w:rPr>
        <w:footnoteRef/>
      </w:r>
      <w:r>
        <w:t xml:space="preserve"> </w:t>
      </w:r>
      <w:r w:rsidRPr="004556FF">
        <w:t>Comisión de la verdad, «El secuestro, aproximación analítica».</w:t>
      </w:r>
    </w:p>
  </w:footnote>
  <w:footnote w:id="223">
    <w:p w:rsidR="00591E90" w:rsidRPr="004556FF" w:rsidRDefault="00591E90">
      <w:pPr>
        <w:pStyle w:val="Textonotapie"/>
        <w:rPr>
          <w:lang w:val="es-CO"/>
        </w:rPr>
      </w:pPr>
      <w:r>
        <w:rPr>
          <w:rStyle w:val="Refdenotaalpie"/>
        </w:rPr>
        <w:footnoteRef/>
      </w:r>
      <w:r>
        <w:t xml:space="preserve"> </w:t>
      </w:r>
      <w:r w:rsidRPr="004556FF">
        <w:t>Entrevista 399-PR-00939. Víctima, político, exdiputado secuestrado por las FARC-EP.</w:t>
      </w:r>
    </w:p>
  </w:footnote>
  <w:footnote w:id="224">
    <w:p w:rsidR="00591E90" w:rsidRPr="003B2C1A" w:rsidRDefault="00591E90">
      <w:pPr>
        <w:pStyle w:val="Textonotapie"/>
        <w:rPr>
          <w:lang w:val="es-CO"/>
        </w:rPr>
      </w:pPr>
      <w:r>
        <w:rPr>
          <w:rStyle w:val="Refdenotaalpie"/>
        </w:rPr>
        <w:footnoteRef/>
      </w:r>
      <w:r>
        <w:t xml:space="preserve"> </w:t>
      </w:r>
      <w:r w:rsidRPr="003B2C1A">
        <w:t>Entrevista 223-VI-00028. víctima, pescador.</w:t>
      </w:r>
    </w:p>
  </w:footnote>
  <w:footnote w:id="225">
    <w:p w:rsidR="00591E90" w:rsidRPr="003B2C1A" w:rsidRDefault="00591E90">
      <w:pPr>
        <w:pStyle w:val="Textonotapie"/>
        <w:rPr>
          <w:lang w:val="es-CO"/>
        </w:rPr>
      </w:pPr>
      <w:r>
        <w:rPr>
          <w:rStyle w:val="Refdenotaalpie"/>
        </w:rPr>
        <w:footnoteRef/>
      </w:r>
      <w:r>
        <w:t xml:space="preserve"> </w:t>
      </w:r>
      <w:r w:rsidRPr="003B2C1A">
        <w:t>Entrevista 056-VI-00045. Hombre, víctima.</w:t>
      </w:r>
    </w:p>
  </w:footnote>
  <w:footnote w:id="226">
    <w:p w:rsidR="00591E90" w:rsidRPr="004B74A4" w:rsidRDefault="00591E90">
      <w:pPr>
        <w:pStyle w:val="Textonotapie"/>
        <w:rPr>
          <w:lang w:val="es-CO"/>
        </w:rPr>
      </w:pPr>
      <w:r>
        <w:rPr>
          <w:rStyle w:val="Refdenotaalpie"/>
        </w:rPr>
        <w:footnoteRef/>
      </w:r>
      <w:r>
        <w:t xml:space="preserve"> </w:t>
      </w:r>
      <w:r w:rsidRPr="004B74A4">
        <w:t>Declaración citada en JEP, Auto 029 de 2019, 1.o de marzo de 2019, 4.</w:t>
      </w:r>
    </w:p>
  </w:footnote>
  <w:footnote w:id="227">
    <w:p w:rsidR="00591E90" w:rsidRPr="004B74A4" w:rsidRDefault="00591E90">
      <w:pPr>
        <w:pStyle w:val="Textonotapie"/>
        <w:rPr>
          <w:lang w:val="es-CO"/>
        </w:rPr>
      </w:pPr>
      <w:r>
        <w:rPr>
          <w:rStyle w:val="Refdenotaalpie"/>
        </w:rPr>
        <w:footnoteRef/>
      </w:r>
      <w:r>
        <w:t xml:space="preserve"> </w:t>
      </w:r>
      <w:r w:rsidRPr="004B74A4">
        <w:t>Con base en datos del «Proyecto de integración de datos y estimaciones estadísticas» referenciados en Informe 25-OI-628e9e066af2982b77e41f42. CEV, «Las heridas de las FARC-EP».</w:t>
      </w:r>
    </w:p>
  </w:footnote>
  <w:footnote w:id="228">
    <w:p w:rsidR="00591E90" w:rsidRPr="004B74A4" w:rsidRDefault="00591E90">
      <w:pPr>
        <w:pStyle w:val="Textonotapie"/>
        <w:rPr>
          <w:lang w:val="es-CO"/>
        </w:rPr>
      </w:pPr>
      <w:r>
        <w:rPr>
          <w:rStyle w:val="Refdenotaalpie"/>
        </w:rPr>
        <w:footnoteRef/>
      </w:r>
      <w:r>
        <w:t xml:space="preserve"> </w:t>
      </w:r>
      <w:r w:rsidRPr="004B74A4">
        <w:t xml:space="preserve">La cita hace referencia a los departamentos de Meta, Guaviare y Caquetá. </w:t>
      </w:r>
      <w:proofErr w:type="spellStart"/>
      <w:r w:rsidRPr="004B74A4">
        <w:t>Ibíd</w:t>
      </w:r>
      <w:proofErr w:type="spellEnd"/>
      <w:r w:rsidRPr="004B74A4">
        <w:t>., 102.</w:t>
      </w:r>
    </w:p>
  </w:footnote>
  <w:footnote w:id="229">
    <w:p w:rsidR="00591E90" w:rsidRPr="004B74A4" w:rsidRDefault="00591E90">
      <w:pPr>
        <w:pStyle w:val="Textonotapie"/>
        <w:rPr>
          <w:lang w:val="es-CO"/>
        </w:rPr>
      </w:pPr>
      <w:r>
        <w:rPr>
          <w:rStyle w:val="Refdenotaalpie"/>
        </w:rPr>
        <w:footnoteRef/>
      </w:r>
      <w:r>
        <w:t xml:space="preserve"> </w:t>
      </w:r>
      <w:r w:rsidRPr="004B74A4">
        <w:t>Entrevista 091-HV-00001. Actor armado, mujer, FARC-EP.</w:t>
      </w:r>
    </w:p>
  </w:footnote>
  <w:footnote w:id="230">
    <w:p w:rsidR="00591E90" w:rsidRPr="00EB0C3D" w:rsidRDefault="00591E90">
      <w:pPr>
        <w:pStyle w:val="Textonotapie"/>
        <w:rPr>
          <w:lang w:val="es-CO"/>
        </w:rPr>
      </w:pPr>
      <w:r>
        <w:rPr>
          <w:rStyle w:val="Refdenotaalpie"/>
        </w:rPr>
        <w:footnoteRef/>
      </w:r>
      <w:r>
        <w:t xml:space="preserve"> </w:t>
      </w:r>
      <w:r w:rsidRPr="00EB0C3D">
        <w:t xml:space="preserve">Comisión de la Verdad, «La masacre de </w:t>
      </w:r>
      <w:proofErr w:type="spellStart"/>
      <w:r w:rsidRPr="00EB0C3D">
        <w:t>Tacueyó</w:t>
      </w:r>
      <w:proofErr w:type="spellEnd"/>
      <w:r w:rsidRPr="00EB0C3D">
        <w:t xml:space="preserve"> y el impacto de lo ocurrido en el movimiento guerrillero en Colombia».</w:t>
      </w:r>
    </w:p>
  </w:footnote>
  <w:footnote w:id="231">
    <w:p w:rsidR="00591E90" w:rsidRPr="00EB0C3D" w:rsidRDefault="00591E90">
      <w:pPr>
        <w:pStyle w:val="Textonotapie"/>
        <w:rPr>
          <w:lang w:val="es-CO"/>
        </w:rPr>
      </w:pPr>
      <w:r>
        <w:rPr>
          <w:rStyle w:val="Refdenotaalpie"/>
        </w:rPr>
        <w:footnoteRef/>
      </w:r>
      <w:r>
        <w:t xml:space="preserve"> </w:t>
      </w:r>
      <w:r w:rsidRPr="00EB0C3D">
        <w:t>Comisión de la Verdad,</w:t>
      </w:r>
      <w:r w:rsidR="00366DA0">
        <w:t xml:space="preserve"> </w:t>
      </w:r>
      <w:r w:rsidRPr="00EB0C3D">
        <w:t>«Caso, confrontación entre las dos guerrillas en el departamento de Arauca».</w:t>
      </w:r>
    </w:p>
  </w:footnote>
  <w:footnote w:id="232">
    <w:p w:rsidR="00591E90" w:rsidRPr="00EB0C3D" w:rsidRDefault="00591E90">
      <w:pPr>
        <w:pStyle w:val="Textonotapie"/>
        <w:rPr>
          <w:lang w:val="es-CO"/>
        </w:rPr>
      </w:pPr>
      <w:r>
        <w:rPr>
          <w:rStyle w:val="Refdenotaalpie"/>
        </w:rPr>
        <w:footnoteRef/>
      </w:r>
      <w:r>
        <w:t xml:space="preserve"> </w:t>
      </w:r>
      <w:r w:rsidRPr="00EB0C3D">
        <w:t>Entrevista 209-CO-00002 (Líder social); Entrevista 209-CO-00201 (Defensor del Pueblo); Entrevista 480- PR-00260 (Líder política).</w:t>
      </w:r>
    </w:p>
  </w:footnote>
  <w:footnote w:id="233">
    <w:p w:rsidR="00591E90" w:rsidRPr="000247B3" w:rsidRDefault="00591E90">
      <w:pPr>
        <w:pStyle w:val="Textonotapie"/>
        <w:rPr>
          <w:lang w:val="es-CO"/>
        </w:rPr>
      </w:pPr>
      <w:r>
        <w:rPr>
          <w:rStyle w:val="Refdenotaalpie"/>
        </w:rPr>
        <w:footnoteRef/>
      </w:r>
      <w:r>
        <w:t xml:space="preserve"> </w:t>
      </w:r>
      <w:r w:rsidRPr="000247B3">
        <w:t>CSJ,</w:t>
      </w:r>
      <w:r w:rsidR="00366DA0">
        <w:t xml:space="preserve"> </w:t>
      </w:r>
      <w:r w:rsidRPr="000247B3">
        <w:t>Violencia contrainsurgente, 55.</w:t>
      </w:r>
    </w:p>
  </w:footnote>
  <w:footnote w:id="234">
    <w:p w:rsidR="00591E90" w:rsidRPr="000247B3" w:rsidRDefault="00591E90">
      <w:pPr>
        <w:pStyle w:val="Textonotapie"/>
        <w:rPr>
          <w:lang w:val="es-CO"/>
        </w:rPr>
      </w:pPr>
      <w:r>
        <w:rPr>
          <w:rStyle w:val="Refdenotaalpie"/>
        </w:rPr>
        <w:footnoteRef/>
      </w:r>
      <w:r>
        <w:t xml:space="preserve"> </w:t>
      </w:r>
      <w:proofErr w:type="spellStart"/>
      <w:r w:rsidRPr="000247B3">
        <w:t>Ibíd</w:t>
      </w:r>
      <w:proofErr w:type="spellEnd"/>
      <w:r w:rsidRPr="000247B3">
        <w:t>., 57.</w:t>
      </w:r>
    </w:p>
  </w:footnote>
  <w:footnote w:id="235">
    <w:p w:rsidR="00591E90" w:rsidRPr="000247B3" w:rsidRDefault="00591E90">
      <w:pPr>
        <w:pStyle w:val="Textonotapie"/>
        <w:rPr>
          <w:lang w:val="es-CO"/>
        </w:rPr>
      </w:pPr>
      <w:r>
        <w:rPr>
          <w:rStyle w:val="Refdenotaalpie"/>
        </w:rPr>
        <w:footnoteRef/>
      </w:r>
      <w:r>
        <w:t xml:space="preserve"> </w:t>
      </w:r>
      <w:r w:rsidRPr="000247B3">
        <w:t>Entrevista 123-PR-00559. Actores armados, miembros del Secretariado de las FARC-EP.</w:t>
      </w:r>
    </w:p>
  </w:footnote>
  <w:footnote w:id="236">
    <w:p w:rsidR="00591E90" w:rsidRPr="005963F9" w:rsidRDefault="00591E90">
      <w:pPr>
        <w:pStyle w:val="Textonotapie"/>
        <w:rPr>
          <w:lang w:val="es-CO"/>
        </w:rPr>
      </w:pPr>
      <w:r>
        <w:rPr>
          <w:rStyle w:val="Refdenotaalpie"/>
        </w:rPr>
        <w:footnoteRef/>
      </w:r>
      <w:r>
        <w:t xml:space="preserve"> </w:t>
      </w:r>
      <w:r w:rsidRPr="005963F9">
        <w:t>La comunidad de San José Apartadó se declaró en los años noventa como Comunidad de Paz, exigiendo con ello el retiro de todos los actores armados.</w:t>
      </w:r>
    </w:p>
  </w:footnote>
  <w:footnote w:id="237">
    <w:p w:rsidR="00591E90" w:rsidRPr="005963F9" w:rsidRDefault="00591E90">
      <w:pPr>
        <w:pStyle w:val="Textonotapie"/>
        <w:rPr>
          <w:lang w:val="es-CO"/>
        </w:rPr>
      </w:pPr>
      <w:r>
        <w:rPr>
          <w:rStyle w:val="Refdenotaalpie"/>
        </w:rPr>
        <w:footnoteRef/>
      </w:r>
      <w:r>
        <w:t xml:space="preserve"> </w:t>
      </w:r>
      <w:r w:rsidRPr="005963F9">
        <w:t>Ocampo, La instauración de la ganadería en el valle del Sinú.</w:t>
      </w:r>
    </w:p>
  </w:footnote>
  <w:footnote w:id="238">
    <w:p w:rsidR="00591E90" w:rsidRPr="0043702C" w:rsidRDefault="00591E90">
      <w:pPr>
        <w:pStyle w:val="Textonotapie"/>
        <w:rPr>
          <w:lang w:val="es-CO"/>
        </w:rPr>
      </w:pPr>
      <w:r>
        <w:rPr>
          <w:rStyle w:val="Refdenotaalpie"/>
        </w:rPr>
        <w:footnoteRef/>
      </w:r>
      <w:r>
        <w:t xml:space="preserve"> </w:t>
      </w:r>
      <w:r w:rsidRPr="0043702C">
        <w:t>Entrevista 196-VI-00051. Hombre, víctima.</w:t>
      </w:r>
    </w:p>
  </w:footnote>
  <w:footnote w:id="239">
    <w:p w:rsidR="00591E90" w:rsidRPr="0043702C" w:rsidRDefault="00591E90">
      <w:pPr>
        <w:pStyle w:val="Textonotapie"/>
        <w:rPr>
          <w:lang w:val="es-CO"/>
        </w:rPr>
      </w:pPr>
      <w:r>
        <w:rPr>
          <w:rStyle w:val="Refdenotaalpie"/>
        </w:rPr>
        <w:footnoteRef/>
      </w:r>
      <w:r>
        <w:t xml:space="preserve"> </w:t>
      </w:r>
      <w:r w:rsidRPr="0043702C">
        <w:t>Entrevista 199-VI-00012. Hombre, víctima, campesino.</w:t>
      </w:r>
    </w:p>
  </w:footnote>
  <w:footnote w:id="240">
    <w:p w:rsidR="00591E90" w:rsidRPr="0043702C" w:rsidRDefault="00591E90">
      <w:pPr>
        <w:pStyle w:val="Textonotapie"/>
        <w:rPr>
          <w:lang w:val="es-CO"/>
        </w:rPr>
      </w:pPr>
      <w:r>
        <w:rPr>
          <w:rStyle w:val="Refdenotaalpie"/>
        </w:rPr>
        <w:footnoteRef/>
      </w:r>
      <w:r>
        <w:t xml:space="preserve"> </w:t>
      </w:r>
      <w:r w:rsidRPr="0043702C">
        <w:t xml:space="preserve">Como señala Ana María Arjona, se han estudiado bastante los determinantes de la violencia rebelde, pero han sido escasos los autores que se han centrado en la actuación no violenta de la guerrilla (Arjona, </w:t>
      </w:r>
      <w:proofErr w:type="spellStart"/>
      <w:r w:rsidRPr="0043702C">
        <w:t>Rebelocracy</w:t>
      </w:r>
      <w:proofErr w:type="spellEnd"/>
      <w:r w:rsidRPr="0043702C">
        <w:t>).</w:t>
      </w:r>
    </w:p>
  </w:footnote>
  <w:footnote w:id="241">
    <w:p w:rsidR="00591E90" w:rsidRPr="0043702C" w:rsidRDefault="00591E90">
      <w:pPr>
        <w:pStyle w:val="Textonotapie"/>
        <w:rPr>
          <w:lang w:val="es-CO"/>
        </w:rPr>
      </w:pPr>
      <w:r>
        <w:rPr>
          <w:rStyle w:val="Refdenotaalpie"/>
        </w:rPr>
        <w:footnoteRef/>
      </w:r>
      <w:r>
        <w:t xml:space="preserve"> </w:t>
      </w:r>
      <w:r w:rsidRPr="00DA060F">
        <w:t>Informe 1180-CI-01017. ACONC, Memoria del conflicto y resistencia, 33.</w:t>
      </w:r>
    </w:p>
  </w:footnote>
  <w:footnote w:id="242">
    <w:p w:rsidR="00591E90" w:rsidRPr="00DA060F" w:rsidRDefault="00591E90">
      <w:pPr>
        <w:pStyle w:val="Textonotapie"/>
        <w:rPr>
          <w:lang w:val="es-CO"/>
        </w:rPr>
      </w:pPr>
      <w:r>
        <w:rPr>
          <w:rStyle w:val="Refdenotaalpie"/>
        </w:rPr>
        <w:footnoteRef/>
      </w:r>
      <w:r>
        <w:t xml:space="preserve"> </w:t>
      </w:r>
      <w:r w:rsidRPr="00DA060F">
        <w:t xml:space="preserve">Entrevista 666-VI-00008. Hombre, víctima, </w:t>
      </w:r>
      <w:proofErr w:type="spellStart"/>
      <w:r w:rsidRPr="00DA060F">
        <w:t>índígena</w:t>
      </w:r>
      <w:proofErr w:type="spellEnd"/>
      <w:r w:rsidRPr="00DA060F">
        <w:t>.</w:t>
      </w:r>
    </w:p>
  </w:footnote>
  <w:footnote w:id="243">
    <w:p w:rsidR="00591E90" w:rsidRPr="00DA060F" w:rsidRDefault="00591E90">
      <w:pPr>
        <w:pStyle w:val="Textonotapie"/>
        <w:rPr>
          <w:lang w:val="es-CO"/>
        </w:rPr>
      </w:pPr>
      <w:r>
        <w:rPr>
          <w:rStyle w:val="Refdenotaalpie"/>
        </w:rPr>
        <w:footnoteRef/>
      </w:r>
      <w:r>
        <w:t xml:space="preserve"> </w:t>
      </w:r>
      <w:r w:rsidRPr="00DA060F">
        <w:t xml:space="preserve">Comisión de la Verdad, «Informe de hallazgos en </w:t>
      </w:r>
      <w:proofErr w:type="spellStart"/>
      <w:r w:rsidRPr="00DA060F">
        <w:t>Taraira</w:t>
      </w:r>
      <w:proofErr w:type="spellEnd"/>
      <w:r w:rsidRPr="00DA060F">
        <w:t>, Vaupés».</w:t>
      </w:r>
    </w:p>
  </w:footnote>
  <w:footnote w:id="244">
    <w:p w:rsidR="00591E90" w:rsidRPr="00DA060F" w:rsidRDefault="00591E90">
      <w:pPr>
        <w:pStyle w:val="Textonotapie"/>
        <w:rPr>
          <w:lang w:val="es-CO"/>
        </w:rPr>
      </w:pPr>
      <w:r>
        <w:rPr>
          <w:rStyle w:val="Refdenotaalpie"/>
        </w:rPr>
        <w:footnoteRef/>
      </w:r>
      <w:r>
        <w:t xml:space="preserve"> </w:t>
      </w:r>
      <w:r w:rsidRPr="00DA060F">
        <w:t xml:space="preserve">Entrevista 311-VI-00001. Mujer, víctima, </w:t>
      </w:r>
      <w:proofErr w:type="spellStart"/>
      <w:r w:rsidRPr="00DA060F">
        <w:t>Taraira</w:t>
      </w:r>
      <w:proofErr w:type="spellEnd"/>
      <w:r w:rsidRPr="00DA060F">
        <w:t>.</w:t>
      </w:r>
    </w:p>
  </w:footnote>
  <w:footnote w:id="245">
    <w:p w:rsidR="00591E90" w:rsidRPr="00DA060F" w:rsidRDefault="00591E90">
      <w:pPr>
        <w:pStyle w:val="Textonotapie"/>
        <w:rPr>
          <w:lang w:val="es-CO"/>
        </w:rPr>
      </w:pPr>
      <w:r>
        <w:rPr>
          <w:rStyle w:val="Refdenotaalpie"/>
        </w:rPr>
        <w:footnoteRef/>
      </w:r>
      <w:r>
        <w:t xml:space="preserve"> </w:t>
      </w:r>
      <w:r w:rsidRPr="00467929">
        <w:t xml:space="preserve">Entrevista 311-VI-00004. Hombre, víctima, minero desplazado, </w:t>
      </w:r>
      <w:proofErr w:type="spellStart"/>
      <w:r w:rsidRPr="00467929">
        <w:t>Taraira</w:t>
      </w:r>
      <w:proofErr w:type="spellEnd"/>
      <w:r w:rsidRPr="00467929">
        <w:t>.</w:t>
      </w:r>
    </w:p>
  </w:footnote>
  <w:footnote w:id="246">
    <w:p w:rsidR="00591E90" w:rsidRPr="00467929" w:rsidRDefault="00591E90">
      <w:pPr>
        <w:pStyle w:val="Textonotapie"/>
        <w:rPr>
          <w:lang w:val="es-CO"/>
        </w:rPr>
      </w:pPr>
      <w:r>
        <w:rPr>
          <w:rStyle w:val="Refdenotaalpie"/>
        </w:rPr>
        <w:footnoteRef/>
      </w:r>
      <w:r>
        <w:t xml:space="preserve"> </w:t>
      </w:r>
      <w:r w:rsidRPr="00467929">
        <w:t xml:space="preserve">Informe 365-CI-00993. Red </w:t>
      </w:r>
      <w:proofErr w:type="spellStart"/>
      <w:r w:rsidRPr="00467929">
        <w:t>Compaz</w:t>
      </w:r>
      <w:proofErr w:type="spellEnd"/>
      <w:r w:rsidRPr="00467929">
        <w:t>, «</w:t>
      </w:r>
      <w:proofErr w:type="spellStart"/>
      <w:r w:rsidRPr="00467929">
        <w:t>Lxs</w:t>
      </w:r>
      <w:proofErr w:type="spellEnd"/>
      <w:r w:rsidRPr="00467929">
        <w:t xml:space="preserve"> nadie».</w:t>
      </w:r>
    </w:p>
  </w:footnote>
  <w:footnote w:id="247">
    <w:p w:rsidR="00591E90" w:rsidRPr="00467929" w:rsidRDefault="00591E90">
      <w:pPr>
        <w:pStyle w:val="Textonotapie"/>
        <w:rPr>
          <w:lang w:val="es-CO"/>
        </w:rPr>
      </w:pPr>
      <w:r>
        <w:rPr>
          <w:rStyle w:val="Refdenotaalpie"/>
        </w:rPr>
        <w:footnoteRef/>
      </w:r>
      <w:r>
        <w:t xml:space="preserve"> </w:t>
      </w:r>
      <w:r w:rsidRPr="00467929">
        <w:t>Comisión de la Verdad, «Capítulo territorial», 122. Vásquez, Territorios, conflicto armado y política en el Caquetá.</w:t>
      </w:r>
    </w:p>
  </w:footnote>
  <w:footnote w:id="248">
    <w:p w:rsidR="00591E90" w:rsidRPr="00723920" w:rsidRDefault="00591E90">
      <w:pPr>
        <w:pStyle w:val="Textonotapie"/>
        <w:rPr>
          <w:lang w:val="es-CO"/>
        </w:rPr>
      </w:pPr>
      <w:r>
        <w:rPr>
          <w:rStyle w:val="Refdenotaalpie"/>
        </w:rPr>
        <w:footnoteRef/>
      </w:r>
      <w:r>
        <w:t xml:space="preserve"> </w:t>
      </w:r>
      <w:r w:rsidRPr="00723920">
        <w:t>Comisión de la Verdad, «Capítulo territorial», 121. Catálogo de Fuentes de Archivo Externas 18069-OE-23. «Génesis. Documentos rectores FARC-EP Tomo XVI».</w:t>
      </w:r>
    </w:p>
  </w:footnote>
  <w:footnote w:id="249">
    <w:p w:rsidR="00591E90" w:rsidRDefault="00591E90" w:rsidP="00723920">
      <w:pPr>
        <w:pStyle w:val="Textonotapie"/>
      </w:pPr>
      <w:r>
        <w:rPr>
          <w:rStyle w:val="Refdenotaalpie"/>
        </w:rPr>
        <w:footnoteRef/>
      </w:r>
      <w:r>
        <w:t xml:space="preserve"> Comisión de la Verdad, «Capítulo territorial», 121. Catálogo de Fuentes de Archivo Externas 18069-OE-23.</w:t>
      </w:r>
    </w:p>
    <w:p w:rsidR="00591E90" w:rsidRPr="00723920" w:rsidRDefault="00591E90" w:rsidP="00723920">
      <w:pPr>
        <w:pStyle w:val="Textonotapie"/>
        <w:rPr>
          <w:lang w:val="es-CO"/>
        </w:rPr>
      </w:pPr>
      <w:r>
        <w:t>«Génesis. Documentos rectores FARC-EP Tomo XVI».</w:t>
      </w:r>
    </w:p>
  </w:footnote>
  <w:footnote w:id="250">
    <w:p w:rsidR="00591E90" w:rsidRPr="00D108AD" w:rsidRDefault="00591E90">
      <w:pPr>
        <w:pStyle w:val="Textonotapie"/>
        <w:rPr>
          <w:lang w:val="es-CO"/>
        </w:rPr>
      </w:pPr>
      <w:r>
        <w:rPr>
          <w:rStyle w:val="Refdenotaalpie"/>
        </w:rPr>
        <w:footnoteRef/>
      </w:r>
      <w:r>
        <w:t xml:space="preserve"> </w:t>
      </w:r>
      <w:r w:rsidRPr="00D108AD">
        <w:t xml:space="preserve">Entrevista 457-VI-00020. Hombre, víctima, líder social. Citada en Comisión de la Verdad, «Cuando la guerrilla FARC-EP quiso ser Estado. Zona de despeje: Vistahermosa, San Vicente del Caguán. </w:t>
      </w:r>
      <w:proofErr w:type="spellStart"/>
      <w:r w:rsidRPr="00D108AD">
        <w:t>Posdespeje</w:t>
      </w:r>
      <w:proofErr w:type="spellEnd"/>
      <w:r w:rsidRPr="00D108AD">
        <w:t>: Región Armando Ríos y Desplazamiento de Peñas Coloradas (1998-2004)».</w:t>
      </w:r>
    </w:p>
  </w:footnote>
  <w:footnote w:id="251">
    <w:p w:rsidR="00591E90" w:rsidRPr="00D108AD" w:rsidRDefault="00591E90">
      <w:pPr>
        <w:pStyle w:val="Textonotapie"/>
        <w:rPr>
          <w:lang w:val="es-CO"/>
        </w:rPr>
      </w:pPr>
      <w:r>
        <w:rPr>
          <w:rStyle w:val="Refdenotaalpie"/>
        </w:rPr>
        <w:footnoteRef/>
      </w:r>
      <w:r>
        <w:t xml:space="preserve"> </w:t>
      </w:r>
      <w:r w:rsidRPr="00D108AD">
        <w:t xml:space="preserve">Entrevista 098-VI-00010. Citada en Comisión de la Verdad, «Cuando la guerrilla FARC-EP quiso ser Estado. Zona de despeje: Vistahermosa, San Vicente del Caguán. </w:t>
      </w:r>
      <w:proofErr w:type="spellStart"/>
      <w:r w:rsidRPr="00D108AD">
        <w:t>Posdespeje</w:t>
      </w:r>
      <w:proofErr w:type="spellEnd"/>
      <w:r w:rsidRPr="00D108AD">
        <w:t>: Región Armando Ríos y Desplazamiento de Peñas Coloradas (1998-2004)».</w:t>
      </w:r>
    </w:p>
  </w:footnote>
  <w:footnote w:id="252">
    <w:p w:rsidR="00591E90" w:rsidRPr="00D108AD" w:rsidRDefault="00591E90">
      <w:pPr>
        <w:pStyle w:val="Textonotapie"/>
        <w:rPr>
          <w:lang w:val="es-CO"/>
        </w:rPr>
      </w:pPr>
      <w:r>
        <w:rPr>
          <w:rStyle w:val="Refdenotaalpie"/>
        </w:rPr>
        <w:footnoteRef/>
      </w:r>
      <w:r>
        <w:t xml:space="preserve"> </w:t>
      </w:r>
      <w:r w:rsidRPr="00BD6DB7">
        <w:t>Entrevista 173-VI-00002.</w:t>
      </w:r>
    </w:p>
  </w:footnote>
  <w:footnote w:id="253">
    <w:p w:rsidR="00591E90" w:rsidRPr="00BD6DB7" w:rsidRDefault="00591E90">
      <w:pPr>
        <w:pStyle w:val="Textonotapie"/>
        <w:rPr>
          <w:lang w:val="es-CO"/>
        </w:rPr>
      </w:pPr>
      <w:r>
        <w:rPr>
          <w:rStyle w:val="Refdenotaalpie"/>
        </w:rPr>
        <w:footnoteRef/>
      </w:r>
      <w:r>
        <w:t xml:space="preserve"> </w:t>
      </w:r>
      <w:r w:rsidRPr="00BD6DB7">
        <w:t>Celis, Luis y Gutiérrez, Omar, “Daniel”, Volvería a vivir la vida que viví. 2019.</w:t>
      </w:r>
    </w:p>
  </w:footnote>
  <w:footnote w:id="254">
    <w:p w:rsidR="00591E90" w:rsidRPr="00BD6DB7" w:rsidRDefault="00591E90">
      <w:pPr>
        <w:pStyle w:val="Textonotapie"/>
        <w:rPr>
          <w:lang w:val="es-CO"/>
        </w:rPr>
      </w:pPr>
      <w:r>
        <w:rPr>
          <w:rStyle w:val="Refdenotaalpie"/>
        </w:rPr>
        <w:footnoteRef/>
      </w:r>
      <w:r>
        <w:t xml:space="preserve"> </w:t>
      </w:r>
      <w:r w:rsidRPr="00BD6DB7">
        <w:t xml:space="preserve">Celis E. Las dinámicas de la colonización campesina del </w:t>
      </w:r>
      <w:proofErr w:type="spellStart"/>
      <w:r w:rsidRPr="00BD6DB7">
        <w:t>Sarare</w:t>
      </w:r>
      <w:proofErr w:type="spellEnd"/>
      <w:r w:rsidRPr="00BD6DB7">
        <w:t>, la organización comunitaria, la acción colectiva y el devenir de parte de este movimiento campesino en guerrilla. 1959- 1980. 2009.</w:t>
      </w:r>
    </w:p>
  </w:footnote>
  <w:footnote w:id="255">
    <w:p w:rsidR="00591E90" w:rsidRPr="00BD6DB7" w:rsidRDefault="00591E90">
      <w:pPr>
        <w:pStyle w:val="Textonotapie"/>
        <w:rPr>
          <w:lang w:val="es-CO"/>
        </w:rPr>
      </w:pPr>
      <w:r>
        <w:rPr>
          <w:rStyle w:val="Refdenotaalpie"/>
        </w:rPr>
        <w:footnoteRef/>
      </w:r>
      <w:r>
        <w:t xml:space="preserve"> </w:t>
      </w:r>
      <w:proofErr w:type="spellStart"/>
      <w:r w:rsidRPr="00BD6DB7">
        <w:t>Larratt</w:t>
      </w:r>
      <w:proofErr w:type="spellEnd"/>
      <w:r w:rsidRPr="00BD6DB7">
        <w:t>-Smith, Charles, El ELN en Arauca: el fortín guerrillero en la sombra de los Andes. En A. Aponte et al. ¿Por qué es tan difícil negociar con el ELN? Las consecuencias de un federalismo insurgente, 1964-2020. CINEP-DIAKONIA, 2021, 259-330.</w:t>
      </w:r>
    </w:p>
  </w:footnote>
  <w:footnote w:id="256">
    <w:p w:rsidR="00591E90" w:rsidRPr="00BD6DB7" w:rsidRDefault="00591E90">
      <w:pPr>
        <w:pStyle w:val="Textonotapie"/>
        <w:rPr>
          <w:lang w:val="es-CO"/>
        </w:rPr>
      </w:pPr>
      <w:r>
        <w:rPr>
          <w:rStyle w:val="Refdenotaalpie"/>
        </w:rPr>
        <w:footnoteRef/>
      </w:r>
      <w:r>
        <w:t xml:space="preserve"> </w:t>
      </w:r>
      <w:r w:rsidRPr="00BD6DB7">
        <w:t xml:space="preserve">Sin embargo, para Andrés Peñate, el nacimiento del Frente Domingo Laín está dado por la dispersión sucedida ante lo acontecido en la operación Anorí (1973); años más tarde, en 1979, un grupo de quince hombres llegan al </w:t>
      </w:r>
      <w:proofErr w:type="spellStart"/>
      <w:r w:rsidRPr="00BD6DB7">
        <w:t>Sarare</w:t>
      </w:r>
      <w:proofErr w:type="spellEnd"/>
      <w:r w:rsidRPr="00BD6DB7">
        <w:t xml:space="preserve"> y conforma el Domingo Laín (Peñate, «El sendero estratégico del ELN»).</w:t>
      </w:r>
    </w:p>
  </w:footnote>
  <w:footnote w:id="257">
    <w:p w:rsidR="00591E90" w:rsidRPr="00BD6DB7" w:rsidRDefault="00591E90">
      <w:pPr>
        <w:pStyle w:val="Textonotapie"/>
        <w:rPr>
          <w:lang w:val="es-CO"/>
        </w:rPr>
      </w:pPr>
      <w:r>
        <w:rPr>
          <w:rStyle w:val="Refdenotaalpie"/>
        </w:rPr>
        <w:footnoteRef/>
      </w:r>
      <w:r>
        <w:t xml:space="preserve"> </w:t>
      </w:r>
      <w:r w:rsidRPr="00BD6DB7">
        <w:t>Entrevista 752-AA-00002. Actor armado, excombatiente en Norte de Santander. Comisión de la Verdad. Capítulo territorial. Septiembre 6 del 2021, 170.</w:t>
      </w:r>
    </w:p>
  </w:footnote>
  <w:footnote w:id="258">
    <w:p w:rsidR="00591E90" w:rsidRPr="00BD6DB7" w:rsidRDefault="00591E90">
      <w:pPr>
        <w:pStyle w:val="Textonotapie"/>
        <w:rPr>
          <w:lang w:val="es-CO"/>
        </w:rPr>
      </w:pPr>
      <w:r>
        <w:rPr>
          <w:rStyle w:val="Refdenotaalpie"/>
        </w:rPr>
        <w:footnoteRef/>
      </w:r>
      <w:r>
        <w:t xml:space="preserve"> </w:t>
      </w:r>
      <w:r w:rsidRPr="00BD6DB7">
        <w:t>Entrevista 752-VI-00011. Dirigente político.</w:t>
      </w:r>
    </w:p>
  </w:footnote>
  <w:footnote w:id="259">
    <w:p w:rsidR="00591E90" w:rsidRPr="00BD6DB7" w:rsidRDefault="00591E90">
      <w:pPr>
        <w:pStyle w:val="Textonotapie"/>
        <w:rPr>
          <w:lang w:val="es-CO"/>
        </w:rPr>
      </w:pPr>
      <w:r>
        <w:rPr>
          <w:rStyle w:val="Refdenotaalpie"/>
        </w:rPr>
        <w:footnoteRef/>
      </w:r>
      <w:r>
        <w:t xml:space="preserve"> </w:t>
      </w:r>
      <w:r w:rsidRPr="00BD6DB7">
        <w:t>Entrevista 752-VI-00011. Dirigente político. Capítulo territorial. Septiembre 6 del 2021.</w:t>
      </w:r>
    </w:p>
  </w:footnote>
  <w:footnote w:id="260">
    <w:p w:rsidR="00591E90" w:rsidRPr="00BD6DB7" w:rsidRDefault="00591E90">
      <w:pPr>
        <w:pStyle w:val="Textonotapie"/>
        <w:rPr>
          <w:lang w:val="es-CO"/>
        </w:rPr>
      </w:pPr>
      <w:r>
        <w:rPr>
          <w:rStyle w:val="Refdenotaalpie"/>
        </w:rPr>
        <w:footnoteRef/>
      </w:r>
      <w:r>
        <w:t xml:space="preserve"> </w:t>
      </w:r>
      <w:r w:rsidRPr="00BD6DB7">
        <w:t>García, Clara. El Bajo Cauca antioqueño: cómo ver las regiones. Bogotá: CINEP-INER, 1993</w:t>
      </w:r>
    </w:p>
  </w:footnote>
  <w:footnote w:id="261">
    <w:p w:rsidR="00591E90" w:rsidRPr="00BD6DB7" w:rsidRDefault="00591E90">
      <w:pPr>
        <w:pStyle w:val="Textonotapie"/>
        <w:rPr>
          <w:lang w:val="es-CO"/>
        </w:rPr>
      </w:pPr>
      <w:r>
        <w:rPr>
          <w:rStyle w:val="Refdenotaalpie"/>
        </w:rPr>
        <w:footnoteRef/>
      </w:r>
      <w:r>
        <w:t xml:space="preserve"> </w:t>
      </w:r>
      <w:r w:rsidRPr="00BD6DB7">
        <w:t>Rincón, John Jairo. Diversos y Comunes: elementos constitutivos del conflicto entre comunidades indígenas, campesinas y afrocolombianas en el departamento del Cauca. Análisis Político, 22(65). 2009, 53-93.</w:t>
      </w:r>
    </w:p>
  </w:footnote>
  <w:footnote w:id="262">
    <w:p w:rsidR="00591E90" w:rsidRPr="00BD6DB7" w:rsidRDefault="00591E90">
      <w:pPr>
        <w:pStyle w:val="Textonotapie"/>
        <w:rPr>
          <w:lang w:val="es-CO"/>
        </w:rPr>
      </w:pPr>
      <w:r>
        <w:rPr>
          <w:rStyle w:val="Refdenotaalpie"/>
        </w:rPr>
        <w:footnoteRef/>
      </w:r>
      <w:r>
        <w:t xml:space="preserve"> </w:t>
      </w:r>
      <w:r w:rsidRPr="00BD6DB7">
        <w:t>Barrera, Víctor. Las vicisitudes de la integración. Trayectorias de desarrollo y conflicto armado en el Cesar. En Fernán González, Diego Quiroga, Támara Ospina-</w:t>
      </w:r>
      <w:proofErr w:type="spellStart"/>
      <w:r w:rsidRPr="00BD6DB7">
        <w:t>Posse</w:t>
      </w:r>
      <w:proofErr w:type="spellEnd"/>
      <w:r w:rsidRPr="00BD6DB7">
        <w:t xml:space="preserve">, Andrés Aponte, Víctor Barrera y Eduardo Porras, Territorio y conflicto en la Costa Caribe. Bogotá: </w:t>
      </w:r>
      <w:proofErr w:type="spellStart"/>
      <w:r w:rsidRPr="00BD6DB7">
        <w:t>Odecofi-Cinep</w:t>
      </w:r>
      <w:proofErr w:type="spellEnd"/>
      <w:r w:rsidRPr="00BD6DB7">
        <w:t>, 2014.</w:t>
      </w:r>
    </w:p>
  </w:footnote>
  <w:footnote w:id="263">
    <w:p w:rsidR="00591E90" w:rsidRPr="00BD6DB7" w:rsidRDefault="00591E90">
      <w:pPr>
        <w:pStyle w:val="Textonotapie"/>
        <w:rPr>
          <w:lang w:val="es-CO"/>
        </w:rPr>
      </w:pPr>
      <w:r>
        <w:rPr>
          <w:rStyle w:val="Refdenotaalpie"/>
        </w:rPr>
        <w:footnoteRef/>
      </w:r>
      <w:r>
        <w:t xml:space="preserve"> </w:t>
      </w:r>
      <w:r w:rsidRPr="00BD6DB7">
        <w:t xml:space="preserve">Aponte, Andrés. Cúcuta y el Catatumbo: entre la integración y la marginalización. Disputas territoriales, arreglos institucionales e imposición de un orden social de la guerra. En Fernán González, Omar Gutiérrez, Camilo Nieto, Andrés Aponte y José Cuadros, Conflicto y territorio en el Oriente colombiano. Bogotá: </w:t>
      </w:r>
      <w:proofErr w:type="spellStart"/>
      <w:r w:rsidRPr="00BD6DB7">
        <w:t>Odecofi</w:t>
      </w:r>
      <w:proofErr w:type="spellEnd"/>
      <w:r w:rsidRPr="00BD6DB7">
        <w:t xml:space="preserve">- </w:t>
      </w:r>
      <w:proofErr w:type="spellStart"/>
      <w:r w:rsidRPr="00BD6DB7">
        <w:t>Cinep</w:t>
      </w:r>
      <w:proofErr w:type="spellEnd"/>
      <w:r w:rsidRPr="00BD6DB7">
        <w:t>, 2012, 302-362.</w:t>
      </w:r>
    </w:p>
  </w:footnote>
  <w:footnote w:id="264">
    <w:p w:rsidR="00591E90" w:rsidRPr="00BD6DB7" w:rsidRDefault="00591E90">
      <w:pPr>
        <w:pStyle w:val="Textonotapie"/>
        <w:rPr>
          <w:lang w:val="es-CO"/>
        </w:rPr>
      </w:pPr>
      <w:r>
        <w:rPr>
          <w:rStyle w:val="Refdenotaalpie"/>
        </w:rPr>
        <w:footnoteRef/>
      </w:r>
      <w:r>
        <w:t xml:space="preserve"> </w:t>
      </w:r>
      <w:r w:rsidRPr="00BD6DB7">
        <w:t>Entrevista con habitante del sur de Bolívar.</w:t>
      </w:r>
    </w:p>
  </w:footnote>
  <w:footnote w:id="265">
    <w:p w:rsidR="00591E90" w:rsidRPr="0089178C" w:rsidRDefault="00591E90">
      <w:pPr>
        <w:pStyle w:val="Textonotapie"/>
        <w:rPr>
          <w:lang w:val="es-CO"/>
        </w:rPr>
      </w:pPr>
      <w:r>
        <w:rPr>
          <w:rStyle w:val="Refdenotaalpie"/>
        </w:rPr>
        <w:footnoteRef/>
      </w:r>
      <w:r>
        <w:t xml:space="preserve"> </w:t>
      </w:r>
      <w:r w:rsidRPr="0089178C">
        <w:t>Equipo de Investigación Colombia Nunca Más, Colombia Nunca Más. Crímenes de Lesa Humanidad en la Zona Quinta. p.80.</w:t>
      </w:r>
    </w:p>
  </w:footnote>
  <w:footnote w:id="266">
    <w:p w:rsidR="00591E90" w:rsidRPr="00900E87" w:rsidRDefault="00591E90">
      <w:pPr>
        <w:pStyle w:val="Textonotapie"/>
        <w:rPr>
          <w:lang w:val="es-CO"/>
        </w:rPr>
      </w:pPr>
      <w:r>
        <w:rPr>
          <w:rStyle w:val="Refdenotaalpie"/>
        </w:rPr>
        <w:footnoteRef/>
      </w:r>
      <w:r>
        <w:t xml:space="preserve"> </w:t>
      </w:r>
      <w:r w:rsidRPr="00900E87">
        <w:t>Organización política y social de diferentes movimientos sindicalistas, estudiantiles y campesinos con fuerte influencia en el nororiente colombiano.</w:t>
      </w:r>
    </w:p>
  </w:footnote>
  <w:footnote w:id="267">
    <w:p w:rsidR="00591E90" w:rsidRPr="00900E87" w:rsidRDefault="00591E90">
      <w:pPr>
        <w:pStyle w:val="Textonotapie"/>
        <w:rPr>
          <w:lang w:val="es-CO"/>
        </w:rPr>
      </w:pPr>
      <w:r>
        <w:rPr>
          <w:rStyle w:val="Refdenotaalpie"/>
        </w:rPr>
        <w:footnoteRef/>
      </w:r>
      <w:r>
        <w:t xml:space="preserve"> </w:t>
      </w:r>
      <w:r w:rsidRPr="00900E87">
        <w:t>Base de datos, Violencia contra movimiento A Luchar, consolidada Equipo 3.</w:t>
      </w:r>
    </w:p>
  </w:footnote>
  <w:footnote w:id="268">
    <w:p w:rsidR="00591E90" w:rsidRPr="007C49C2" w:rsidRDefault="00591E90">
      <w:pPr>
        <w:pStyle w:val="Textonotapie"/>
        <w:rPr>
          <w:lang w:val="es-CO"/>
        </w:rPr>
      </w:pPr>
      <w:r>
        <w:rPr>
          <w:rStyle w:val="Refdenotaalpie"/>
        </w:rPr>
        <w:footnoteRef/>
      </w:r>
      <w:r>
        <w:t xml:space="preserve"> </w:t>
      </w:r>
      <w:r w:rsidRPr="007C49C2">
        <w:t>Cámara de Representantes. Gaceta del Congreso. Año V, n.°371. 9 de septiembre de 1996.</w:t>
      </w:r>
    </w:p>
  </w:footnote>
  <w:footnote w:id="269">
    <w:p w:rsidR="00591E90" w:rsidRPr="00CE2890" w:rsidRDefault="00591E90">
      <w:pPr>
        <w:pStyle w:val="Textonotapie"/>
        <w:rPr>
          <w:lang w:val="es-CO"/>
        </w:rPr>
      </w:pPr>
      <w:r>
        <w:rPr>
          <w:rStyle w:val="Refdenotaalpie"/>
        </w:rPr>
        <w:footnoteRef/>
      </w:r>
      <w:r>
        <w:t xml:space="preserve"> </w:t>
      </w:r>
      <w:r w:rsidRPr="00CE2890">
        <w:t>Vásquez, Entre las armas y la política, 2013; CNMH, Todo pasó frente a nuestros ojos: el genocidio de la Unión Patriótica, 1984-2002, 2018; Carroll, Democratización violenta, 2015; Dudley, Armas y urnas: historia de un genocidio político, 2008; Romero, Unión Patriótica: expedientes contra el olvido, 2011.</w:t>
      </w:r>
    </w:p>
  </w:footnote>
  <w:footnote w:id="270">
    <w:p w:rsidR="00591E90" w:rsidRPr="0024486F" w:rsidRDefault="00591E90">
      <w:pPr>
        <w:pStyle w:val="Textonotapie"/>
        <w:rPr>
          <w:lang w:val="es-CO"/>
        </w:rPr>
      </w:pPr>
      <w:r>
        <w:rPr>
          <w:rStyle w:val="Refdenotaalpie"/>
        </w:rPr>
        <w:footnoteRef/>
      </w:r>
      <w:r>
        <w:t xml:space="preserve"> </w:t>
      </w:r>
      <w:r w:rsidRPr="0024486F">
        <w:t>Entrevista 001-VI-00016. Exalcaldesa de Segovia, miembro de la UP.</w:t>
      </w:r>
    </w:p>
  </w:footnote>
  <w:footnote w:id="271">
    <w:p w:rsidR="00591E90" w:rsidRPr="0024486F" w:rsidRDefault="00591E90">
      <w:pPr>
        <w:pStyle w:val="Textonotapie"/>
        <w:rPr>
          <w:lang w:val="es-CO"/>
        </w:rPr>
      </w:pPr>
      <w:r>
        <w:rPr>
          <w:rStyle w:val="Refdenotaalpie"/>
        </w:rPr>
        <w:footnoteRef/>
      </w:r>
      <w:r>
        <w:t xml:space="preserve"> </w:t>
      </w:r>
      <w:r w:rsidRPr="0024486F">
        <w:t>Documento entregado a la Comisión de la Verdad. El Comunismo en armas: un tronco político victimario en Colombia.</w:t>
      </w:r>
    </w:p>
  </w:footnote>
  <w:footnote w:id="272">
    <w:p w:rsidR="00591E90" w:rsidRPr="0024486F" w:rsidRDefault="00591E90">
      <w:pPr>
        <w:pStyle w:val="Textonotapie"/>
        <w:rPr>
          <w:lang w:val="es-CO"/>
        </w:rPr>
      </w:pPr>
      <w:r>
        <w:rPr>
          <w:rStyle w:val="Refdenotaalpie"/>
        </w:rPr>
        <w:footnoteRef/>
      </w:r>
      <w:r>
        <w:t xml:space="preserve"> </w:t>
      </w:r>
      <w:r w:rsidRPr="0024486F">
        <w:t xml:space="preserve">En efecto, en los años cincuenta, el debate giraba «alrededor de la principal forma de lucha que en el periodo debía orientar al partido, protagonizada entre Pedro Avella, quien absolutizaba la lucha armada, y Gilberto Viera, que argumentaba la importancia de no renunciar a la legalidad» Pablo Emilio Escobar Polania, La colonización armada en El Pato: génesis, rutas y protagonistas, 1. </w:t>
      </w:r>
      <w:proofErr w:type="spellStart"/>
      <w:r w:rsidRPr="0024486F">
        <w:t>ed</w:t>
      </w:r>
      <w:proofErr w:type="spellEnd"/>
      <w:r w:rsidRPr="0024486F">
        <w:t xml:space="preserve"> (Neiva, Colombia: Fundación Social Utrahuilca, 2019). Pp. 26.</w:t>
      </w:r>
    </w:p>
  </w:footnote>
  <w:footnote w:id="273">
    <w:p w:rsidR="00591E90" w:rsidRPr="0024486F" w:rsidRDefault="00591E90">
      <w:pPr>
        <w:pStyle w:val="Textonotapie"/>
        <w:rPr>
          <w:lang w:val="es-CO"/>
        </w:rPr>
      </w:pPr>
      <w:r>
        <w:rPr>
          <w:rStyle w:val="Refdenotaalpie"/>
        </w:rPr>
        <w:footnoteRef/>
      </w:r>
      <w:r>
        <w:t xml:space="preserve"> </w:t>
      </w:r>
      <w:proofErr w:type="spellStart"/>
      <w:r w:rsidRPr="0024486F">
        <w:t>Ibíd</w:t>
      </w:r>
      <w:proofErr w:type="spellEnd"/>
      <w:r w:rsidRPr="0024486F">
        <w:t>.</w:t>
      </w:r>
    </w:p>
  </w:footnote>
  <w:footnote w:id="274">
    <w:p w:rsidR="00591E90" w:rsidRPr="0024486F" w:rsidRDefault="00591E90">
      <w:pPr>
        <w:pStyle w:val="Textonotapie"/>
        <w:rPr>
          <w:lang w:val="es-CO"/>
        </w:rPr>
      </w:pPr>
      <w:r>
        <w:rPr>
          <w:rStyle w:val="Refdenotaalpie"/>
        </w:rPr>
        <w:footnoteRef/>
      </w:r>
      <w:r>
        <w:t xml:space="preserve"> </w:t>
      </w:r>
      <w:r w:rsidRPr="0024486F">
        <w:t xml:space="preserve">Aguilera citado en Cárdenas, </w:t>
      </w:r>
      <w:proofErr w:type="spellStart"/>
      <w:r w:rsidRPr="0024486F">
        <w:t>Jose</w:t>
      </w:r>
      <w:proofErr w:type="spellEnd"/>
      <w:r w:rsidRPr="0024486F">
        <w:t xml:space="preserve"> Armando. En Bogotá nos pillamos. La vida-escuela de las Fuerzas Armadas Revolucionarias de Colombia – Ejército del Pueblo (Farc-EP) a través de sus cuatro generaciones 1950–2018, </w:t>
      </w:r>
      <w:proofErr w:type="spellStart"/>
      <w:r w:rsidRPr="0024486F">
        <w:t>pág</w:t>
      </w:r>
      <w:proofErr w:type="spellEnd"/>
      <w:r w:rsidRPr="0024486F">
        <w:t xml:space="preserve"> 12, 2019.</w:t>
      </w:r>
    </w:p>
  </w:footnote>
  <w:footnote w:id="275">
    <w:p w:rsidR="00591E90" w:rsidRPr="0024486F" w:rsidRDefault="00591E90">
      <w:pPr>
        <w:pStyle w:val="Textonotapie"/>
        <w:rPr>
          <w:lang w:val="pt-BR"/>
        </w:rPr>
      </w:pPr>
      <w:r>
        <w:rPr>
          <w:rStyle w:val="Refdenotaalpie"/>
        </w:rPr>
        <w:footnoteRef/>
      </w:r>
      <w:r w:rsidRPr="0024486F">
        <w:rPr>
          <w:lang w:val="pt-BR"/>
        </w:rPr>
        <w:t xml:space="preserve"> Entrevista 084-PR-02378. </w:t>
      </w:r>
      <w:proofErr w:type="spellStart"/>
      <w:r w:rsidRPr="0024486F">
        <w:rPr>
          <w:lang w:val="pt-BR"/>
        </w:rPr>
        <w:t>Actor</w:t>
      </w:r>
      <w:proofErr w:type="spellEnd"/>
      <w:r w:rsidRPr="0024486F">
        <w:rPr>
          <w:lang w:val="pt-BR"/>
        </w:rPr>
        <w:t xml:space="preserve"> armado, </w:t>
      </w:r>
      <w:proofErr w:type="spellStart"/>
      <w:r w:rsidRPr="0024486F">
        <w:rPr>
          <w:lang w:val="pt-BR"/>
        </w:rPr>
        <w:t>excombatiente</w:t>
      </w:r>
      <w:proofErr w:type="spellEnd"/>
      <w:r w:rsidRPr="0024486F">
        <w:rPr>
          <w:lang w:val="pt-BR"/>
        </w:rPr>
        <w:t xml:space="preserve"> FARC-EP.</w:t>
      </w:r>
    </w:p>
  </w:footnote>
  <w:footnote w:id="276">
    <w:p w:rsidR="00591E90" w:rsidRPr="0024486F" w:rsidRDefault="00591E90">
      <w:pPr>
        <w:pStyle w:val="Textonotapie"/>
        <w:rPr>
          <w:lang w:val="pt-BR"/>
        </w:rPr>
      </w:pPr>
      <w:r>
        <w:rPr>
          <w:rStyle w:val="Refdenotaalpie"/>
        </w:rPr>
        <w:footnoteRef/>
      </w:r>
      <w:r w:rsidRPr="0024486F">
        <w:rPr>
          <w:lang w:val="pt-BR"/>
        </w:rPr>
        <w:t xml:space="preserve"> Entrevista 084-PR-02882. </w:t>
      </w:r>
      <w:proofErr w:type="spellStart"/>
      <w:r w:rsidRPr="0024486F">
        <w:rPr>
          <w:lang w:val="pt-BR"/>
        </w:rPr>
        <w:t>Actor</w:t>
      </w:r>
      <w:proofErr w:type="spellEnd"/>
      <w:r w:rsidRPr="0024486F">
        <w:rPr>
          <w:lang w:val="pt-BR"/>
        </w:rPr>
        <w:t xml:space="preserve"> armado, </w:t>
      </w:r>
      <w:proofErr w:type="spellStart"/>
      <w:r w:rsidRPr="0024486F">
        <w:rPr>
          <w:lang w:val="pt-BR"/>
        </w:rPr>
        <w:t>excombatiente</w:t>
      </w:r>
      <w:proofErr w:type="spellEnd"/>
      <w:r w:rsidRPr="0024486F">
        <w:rPr>
          <w:lang w:val="pt-BR"/>
        </w:rPr>
        <w:t xml:space="preserve"> FARC-EP.</w:t>
      </w:r>
    </w:p>
  </w:footnote>
  <w:footnote w:id="277">
    <w:p w:rsidR="00591E90" w:rsidRPr="0024486F" w:rsidRDefault="00591E90">
      <w:pPr>
        <w:pStyle w:val="Textonotapie"/>
        <w:rPr>
          <w:lang w:val="es-CO"/>
        </w:rPr>
      </w:pPr>
      <w:r>
        <w:rPr>
          <w:rStyle w:val="Refdenotaalpie"/>
        </w:rPr>
        <w:footnoteRef/>
      </w:r>
      <w:r>
        <w:t xml:space="preserve"> </w:t>
      </w:r>
      <w:proofErr w:type="spellStart"/>
      <w:r w:rsidRPr="0024486F">
        <w:t>Ibíd</w:t>
      </w:r>
      <w:proofErr w:type="spellEnd"/>
      <w:r w:rsidRPr="0024486F">
        <w:t>.</w:t>
      </w:r>
    </w:p>
  </w:footnote>
  <w:footnote w:id="278">
    <w:p w:rsidR="00591E90" w:rsidRPr="0024486F" w:rsidRDefault="00591E90">
      <w:pPr>
        <w:pStyle w:val="Textonotapie"/>
        <w:rPr>
          <w:lang w:val="es-CO"/>
        </w:rPr>
      </w:pPr>
      <w:r>
        <w:rPr>
          <w:rStyle w:val="Refdenotaalpie"/>
        </w:rPr>
        <w:footnoteRef/>
      </w:r>
      <w:r>
        <w:t xml:space="preserve"> </w:t>
      </w:r>
      <w:r w:rsidRPr="0024486F">
        <w:t>Corte Interamericana de Derechos Humanos Caso Manuel Cepeda Vargas Vs. COLOMBIA. Sentencia de26</w:t>
      </w:r>
      <w:r>
        <w:t xml:space="preserve"> </w:t>
      </w:r>
      <w:r w:rsidRPr="0024486F">
        <w:t>de</w:t>
      </w:r>
      <w:r>
        <w:t xml:space="preserve"> </w:t>
      </w:r>
      <w:r w:rsidRPr="0024486F">
        <w:t>mayo</w:t>
      </w:r>
      <w:r>
        <w:t xml:space="preserve"> </w:t>
      </w:r>
      <w:r w:rsidRPr="0024486F">
        <w:t>de</w:t>
      </w:r>
      <w:r>
        <w:t xml:space="preserve"> </w:t>
      </w:r>
      <w:r w:rsidRPr="0024486F">
        <w:t>2010</w:t>
      </w:r>
      <w:r>
        <w:t xml:space="preserve"> </w:t>
      </w:r>
      <w:r w:rsidRPr="0024486F">
        <w:t>(Excepciones</w:t>
      </w:r>
      <w:r>
        <w:t xml:space="preserve"> </w:t>
      </w:r>
      <w:r w:rsidRPr="0024486F">
        <w:t>Preliminares,</w:t>
      </w:r>
      <w:r>
        <w:t xml:space="preserve"> </w:t>
      </w:r>
      <w:r w:rsidRPr="0024486F">
        <w:t>Fondo,</w:t>
      </w:r>
      <w:r>
        <w:t xml:space="preserve"> </w:t>
      </w:r>
      <w:r w:rsidRPr="0024486F">
        <w:t>Reparaciones</w:t>
      </w:r>
      <w:r>
        <w:t xml:space="preserve"> </w:t>
      </w:r>
      <w:r w:rsidRPr="0024486F">
        <w:t>y</w:t>
      </w:r>
      <w:r>
        <w:t xml:space="preserve"> </w:t>
      </w:r>
      <w:r w:rsidRPr="0024486F">
        <w:t>Costas) https://www.corteidh.or.cr/docs/casos/articulos/seriec_213_esp.pdf</w:t>
      </w:r>
    </w:p>
  </w:footnote>
  <w:footnote w:id="279">
    <w:p w:rsidR="00591E90" w:rsidRPr="0024486F" w:rsidRDefault="00591E90">
      <w:pPr>
        <w:pStyle w:val="Textonotapie"/>
        <w:rPr>
          <w:lang w:val="es-CO"/>
        </w:rPr>
      </w:pPr>
      <w:r>
        <w:rPr>
          <w:rStyle w:val="Refdenotaalpie"/>
        </w:rPr>
        <w:footnoteRef/>
      </w:r>
      <w:r>
        <w:t xml:space="preserve"> </w:t>
      </w:r>
      <w:r w:rsidRPr="0024486F">
        <w:t>Relato basado en el caso presentado por José Cardona Jiménez, hijo del asesinado José Cardona Hoyos, que hace parte de los casos entregados por Las 2 Orillas a la Comisión de la Verdad en 2019.</w:t>
      </w:r>
    </w:p>
  </w:footnote>
  <w:footnote w:id="280">
    <w:p w:rsidR="00591E90" w:rsidRPr="00D64799" w:rsidRDefault="00591E90">
      <w:pPr>
        <w:pStyle w:val="Textonotapie"/>
        <w:rPr>
          <w:lang w:val="es-CO"/>
        </w:rPr>
      </w:pPr>
      <w:r>
        <w:rPr>
          <w:rStyle w:val="Refdenotaalpie"/>
        </w:rPr>
        <w:footnoteRef/>
      </w:r>
      <w:r>
        <w:t xml:space="preserve"> </w:t>
      </w:r>
      <w:r w:rsidRPr="00D64799">
        <w:t>Cárdenas Sarrias, «En Bogotá nos pillamos», 159.</w:t>
      </w:r>
    </w:p>
  </w:footnote>
  <w:footnote w:id="281">
    <w:p w:rsidR="00591E90" w:rsidRPr="00D64799" w:rsidRDefault="00591E90">
      <w:pPr>
        <w:pStyle w:val="Textonotapie"/>
        <w:rPr>
          <w:lang w:val="es-CO"/>
        </w:rPr>
      </w:pPr>
      <w:r>
        <w:rPr>
          <w:rStyle w:val="Refdenotaalpie"/>
        </w:rPr>
        <w:footnoteRef/>
      </w:r>
      <w:r>
        <w:t xml:space="preserve"> </w:t>
      </w:r>
      <w:r w:rsidRPr="00D64799">
        <w:t>Delgado, Todo tiempo pasado fue peor, 2007; Vásquez, Entre las armas y la política, 2013; CNMH, Todo pasó frente a nuestros ojos: el genocidio de la Unión Patriótica, 1984-2002, 2018; Carroll, Democratización violenta, 2015; Dudley, Armas y urnas: historia de un genocidio político, 2008.</w:t>
      </w:r>
    </w:p>
  </w:footnote>
  <w:footnote w:id="282">
    <w:p w:rsidR="00591E90" w:rsidRPr="00D64799" w:rsidRDefault="00591E90">
      <w:pPr>
        <w:pStyle w:val="Textonotapie"/>
        <w:rPr>
          <w:lang w:val="es-CO"/>
        </w:rPr>
      </w:pPr>
      <w:r>
        <w:rPr>
          <w:rStyle w:val="Refdenotaalpie"/>
        </w:rPr>
        <w:footnoteRef/>
      </w:r>
      <w:r>
        <w:t xml:space="preserve"> </w:t>
      </w:r>
      <w:r w:rsidRPr="006B16DA">
        <w:t>Entrevista 123-PR-00559. Actores armados, exmiembros del Secretariado de las FARC-EP.</w:t>
      </w:r>
    </w:p>
  </w:footnote>
  <w:footnote w:id="283">
    <w:p w:rsidR="00591E90" w:rsidRPr="006B16DA" w:rsidRDefault="00591E90">
      <w:pPr>
        <w:pStyle w:val="Textonotapie"/>
        <w:rPr>
          <w:lang w:val="es-CO"/>
        </w:rPr>
      </w:pPr>
      <w:r>
        <w:rPr>
          <w:rStyle w:val="Refdenotaalpie"/>
        </w:rPr>
        <w:footnoteRef/>
      </w:r>
      <w:r>
        <w:t xml:space="preserve"> </w:t>
      </w:r>
      <w:r w:rsidRPr="006B16DA">
        <w:t xml:space="preserve">Entre las modalidades documentadas hay 254 asesinatos políticos, seis de «violencia extrajudicial», 80 víctimas de desaparición forzada, 165 detenciones arbitrarias, 58 casos de tortura, 59 allanamientos, 20 atentados, 26 lesiones físicas, además de amenazas colectivas e individuales y un caso de violencia sexual. La región donde más se presentaron estos hechos, según el informe, fueron Santander (233) y Valle del Cauca (131), seguidos de Cesar, Antioquia, Córdoba, Bogotá, Huila, Cauca, Atlántico, entre otros departamentos de todo el país. Además, se señaló que hechos </w:t>
      </w:r>
      <w:proofErr w:type="spellStart"/>
      <w:r w:rsidRPr="006B16DA">
        <w:t>victimizantes</w:t>
      </w:r>
      <w:proofErr w:type="spellEnd"/>
      <w:r w:rsidRPr="006B16DA">
        <w:t xml:space="preserve"> fueron cometidos por paramilitares, con 208, seguidos de hechos cometidos por la fuerza pública, sicarios y autores desconocidos. Informe 748-CI-00644. Colectivo por la Recuperación de la Memoria de ¡A Luchar!, «Esta generación está en peligro: experiencia y genocidio».</w:t>
      </w:r>
    </w:p>
  </w:footnote>
  <w:footnote w:id="284">
    <w:p w:rsidR="00591E90" w:rsidRPr="006B16DA" w:rsidRDefault="00591E90">
      <w:pPr>
        <w:pStyle w:val="Textonotapie"/>
        <w:rPr>
          <w:lang w:val="es-CO"/>
        </w:rPr>
      </w:pPr>
      <w:r>
        <w:rPr>
          <w:rStyle w:val="Refdenotaalpie"/>
        </w:rPr>
        <w:footnoteRef/>
      </w:r>
      <w:r>
        <w:t xml:space="preserve"> </w:t>
      </w:r>
      <w:r w:rsidRPr="006B16DA">
        <w:t>La Opinión, «Ecos del paro del nororiente».</w:t>
      </w:r>
    </w:p>
  </w:footnote>
  <w:footnote w:id="285">
    <w:p w:rsidR="00591E90" w:rsidRPr="006B16DA" w:rsidRDefault="00591E90">
      <w:pPr>
        <w:pStyle w:val="Textonotapie"/>
        <w:rPr>
          <w:lang w:val="es-CO"/>
        </w:rPr>
      </w:pPr>
      <w:r>
        <w:rPr>
          <w:rStyle w:val="Refdenotaalpie"/>
        </w:rPr>
        <w:footnoteRef/>
      </w:r>
      <w:r>
        <w:t xml:space="preserve"> </w:t>
      </w:r>
      <w:r w:rsidRPr="006B16DA">
        <w:t>Entrevista a Carlos Velandia, julio de 2020, Bogotá.</w:t>
      </w:r>
    </w:p>
  </w:footnote>
  <w:footnote w:id="286">
    <w:p w:rsidR="00591E90" w:rsidRPr="003171D2" w:rsidRDefault="00591E90">
      <w:pPr>
        <w:pStyle w:val="Textonotapie"/>
        <w:rPr>
          <w:lang w:val="es-CO"/>
        </w:rPr>
      </w:pPr>
      <w:r>
        <w:rPr>
          <w:rStyle w:val="Refdenotaalpie"/>
        </w:rPr>
        <w:footnoteRef/>
      </w:r>
      <w:r>
        <w:t xml:space="preserve"> </w:t>
      </w:r>
      <w:r w:rsidRPr="003171D2">
        <w:t>Romero, Mauricio. Paramilitares y autodefensas, 2003; Sánchez, Fabio y Mario Chacón, Conflicto, Estado y descentralización, 2006.</w:t>
      </w:r>
    </w:p>
  </w:footnote>
  <w:footnote w:id="287">
    <w:p w:rsidR="00591E90" w:rsidRPr="003171D2" w:rsidRDefault="00591E90">
      <w:pPr>
        <w:pStyle w:val="Textonotapie"/>
        <w:rPr>
          <w:lang w:val="es-CO"/>
        </w:rPr>
      </w:pPr>
      <w:r>
        <w:rPr>
          <w:rStyle w:val="Refdenotaalpie"/>
        </w:rPr>
        <w:footnoteRef/>
      </w:r>
      <w:r>
        <w:t xml:space="preserve"> </w:t>
      </w:r>
      <w:r w:rsidRPr="003171D2">
        <w:t>Consultoría No. 104794. “Conflicto armado y democracia en Colombia. Una mirada a los patrones de la</w:t>
      </w:r>
      <w:r>
        <w:t xml:space="preserve"> </w:t>
      </w:r>
      <w:r w:rsidRPr="003171D2">
        <w:t>violencia política” por Manuel Alberto Alonso Espinal. 2020. Pp. 79.</w:t>
      </w:r>
    </w:p>
  </w:footnote>
  <w:footnote w:id="288">
    <w:p w:rsidR="00591E90" w:rsidRPr="00D54EAA" w:rsidRDefault="00591E90">
      <w:pPr>
        <w:pStyle w:val="Textonotapie"/>
        <w:rPr>
          <w:lang w:val="es-CO"/>
        </w:rPr>
      </w:pPr>
      <w:r>
        <w:rPr>
          <w:rStyle w:val="Refdenotaalpie"/>
        </w:rPr>
        <w:footnoteRef/>
      </w:r>
      <w:r>
        <w:t xml:space="preserve"> </w:t>
      </w:r>
      <w:r w:rsidRPr="00D54EAA">
        <w:t>Velásquez, Fabio E. (</w:t>
      </w:r>
      <w:proofErr w:type="spellStart"/>
      <w:r w:rsidRPr="00D54EAA">
        <w:t>ed</w:t>
      </w:r>
      <w:proofErr w:type="spellEnd"/>
      <w:r w:rsidRPr="00D54EAA">
        <w:t>), Las otras caras del poder. Territorio, conflicto y gestión pública en municipios colombianos. 2009.</w:t>
      </w:r>
    </w:p>
  </w:footnote>
  <w:footnote w:id="289">
    <w:p w:rsidR="00591E90" w:rsidRPr="00D54EAA" w:rsidRDefault="00591E90">
      <w:pPr>
        <w:pStyle w:val="Textonotapie"/>
        <w:rPr>
          <w:lang w:val="es-CO"/>
        </w:rPr>
      </w:pPr>
      <w:r>
        <w:rPr>
          <w:rStyle w:val="Refdenotaalpie"/>
        </w:rPr>
        <w:footnoteRef/>
      </w:r>
      <w:r>
        <w:t xml:space="preserve"> </w:t>
      </w:r>
      <w:r w:rsidRPr="00D54EAA">
        <w:t>Velásquez, Fabio E. (</w:t>
      </w:r>
      <w:proofErr w:type="spellStart"/>
      <w:r w:rsidRPr="00D54EAA">
        <w:t>ed</w:t>
      </w:r>
      <w:proofErr w:type="spellEnd"/>
      <w:r w:rsidRPr="00D54EAA">
        <w:t>), Las otras caras del poder. Territorio, conflicto y gestión pública en municipios colombianos. 2009.</w:t>
      </w:r>
    </w:p>
  </w:footnote>
  <w:footnote w:id="290">
    <w:p w:rsidR="00591E90" w:rsidRPr="00E028DD" w:rsidRDefault="00591E90">
      <w:pPr>
        <w:pStyle w:val="Textonotapie"/>
        <w:rPr>
          <w:lang w:val="es-CO"/>
        </w:rPr>
      </w:pPr>
      <w:r>
        <w:rPr>
          <w:rStyle w:val="Refdenotaalpie"/>
        </w:rPr>
        <w:footnoteRef/>
      </w:r>
      <w:r>
        <w:t xml:space="preserve"> </w:t>
      </w:r>
      <w:r w:rsidRPr="00E028DD">
        <w:t>Consultoría No. 104794. “Conflicto armado y democracia en Colombia. Una mirada a los patrones de la</w:t>
      </w:r>
      <w:r>
        <w:t xml:space="preserve"> </w:t>
      </w:r>
      <w:r w:rsidRPr="00E028DD">
        <w:t>violencia política” por Manuel Alberto Alonso Espinal. 2020. Pp. 79.</w:t>
      </w:r>
    </w:p>
  </w:footnote>
  <w:footnote w:id="291">
    <w:p w:rsidR="00591E90" w:rsidRPr="00F86CC1" w:rsidRDefault="00591E90">
      <w:pPr>
        <w:pStyle w:val="Textonotapie"/>
        <w:rPr>
          <w:lang w:val="es-CO"/>
        </w:rPr>
      </w:pPr>
      <w:r>
        <w:rPr>
          <w:rStyle w:val="Refdenotaalpie"/>
        </w:rPr>
        <w:footnoteRef/>
      </w:r>
      <w:r>
        <w:t xml:space="preserve"> </w:t>
      </w:r>
      <w:r w:rsidRPr="00F86CC1">
        <w:t xml:space="preserve">Entrevista 631-VI-00049. Víctima, </w:t>
      </w:r>
      <w:proofErr w:type="spellStart"/>
      <w:r w:rsidRPr="00F86CC1">
        <w:t>ija</w:t>
      </w:r>
      <w:proofErr w:type="spellEnd"/>
      <w:r w:rsidRPr="00F86CC1">
        <w:t xml:space="preserve"> de concejal asesinado.</w:t>
      </w:r>
    </w:p>
  </w:footnote>
  <w:footnote w:id="292">
    <w:p w:rsidR="00591E90" w:rsidRPr="00F86CC1" w:rsidRDefault="00591E90">
      <w:pPr>
        <w:pStyle w:val="Textonotapie"/>
        <w:rPr>
          <w:lang w:val="es-CO"/>
        </w:rPr>
      </w:pPr>
      <w:r>
        <w:rPr>
          <w:rStyle w:val="Refdenotaalpie"/>
        </w:rPr>
        <w:footnoteRef/>
      </w:r>
      <w:r>
        <w:t xml:space="preserve"> </w:t>
      </w:r>
      <w:r w:rsidRPr="00F86CC1">
        <w:t>Rutas del Conflicto. Masacre de Campoalegre 2002. 2019.</w:t>
      </w:r>
    </w:p>
  </w:footnote>
  <w:footnote w:id="293">
    <w:p w:rsidR="00591E90" w:rsidRPr="00F86CC1" w:rsidRDefault="00591E90">
      <w:pPr>
        <w:pStyle w:val="Textonotapie"/>
        <w:rPr>
          <w:lang w:val="es-CO"/>
        </w:rPr>
      </w:pPr>
      <w:r>
        <w:rPr>
          <w:rStyle w:val="Refdenotaalpie"/>
        </w:rPr>
        <w:footnoteRef/>
      </w:r>
      <w:r>
        <w:t xml:space="preserve"> </w:t>
      </w:r>
      <w:proofErr w:type="spellStart"/>
      <w:r w:rsidRPr="00F86CC1">
        <w:t>Ibíd</w:t>
      </w:r>
      <w:proofErr w:type="spellEnd"/>
      <w:r w:rsidRPr="00F86CC1">
        <w:t>.</w:t>
      </w:r>
    </w:p>
  </w:footnote>
  <w:footnote w:id="294">
    <w:p w:rsidR="00591E90" w:rsidRPr="005D1898" w:rsidRDefault="00591E90">
      <w:pPr>
        <w:pStyle w:val="Textonotapie"/>
        <w:rPr>
          <w:lang w:val="es-CO"/>
        </w:rPr>
      </w:pPr>
      <w:r>
        <w:rPr>
          <w:rStyle w:val="Refdenotaalpie"/>
        </w:rPr>
        <w:footnoteRef/>
      </w:r>
      <w:r>
        <w:t xml:space="preserve"> </w:t>
      </w:r>
      <w:r w:rsidRPr="005D1898">
        <w:t>Masacre Rivera, documento CEV, 2022</w:t>
      </w:r>
    </w:p>
  </w:footnote>
  <w:footnote w:id="295">
    <w:p w:rsidR="00591E90" w:rsidRPr="005D1898" w:rsidRDefault="00591E90">
      <w:pPr>
        <w:pStyle w:val="Textonotapie"/>
        <w:rPr>
          <w:lang w:val="es-CO"/>
        </w:rPr>
      </w:pPr>
      <w:r>
        <w:rPr>
          <w:rStyle w:val="Refdenotaalpie"/>
        </w:rPr>
        <w:footnoteRef/>
      </w:r>
      <w:r>
        <w:t xml:space="preserve"> </w:t>
      </w:r>
      <w:r w:rsidRPr="005D1898">
        <w:t>Entrevista 778-VI-00008 (Hijo concejal).</w:t>
      </w:r>
    </w:p>
  </w:footnote>
  <w:footnote w:id="296">
    <w:p w:rsidR="00591E90" w:rsidRPr="005D1898" w:rsidRDefault="00591E90">
      <w:pPr>
        <w:pStyle w:val="Textonotapie"/>
        <w:rPr>
          <w:lang w:val="es-CO"/>
        </w:rPr>
      </w:pPr>
      <w:r>
        <w:rPr>
          <w:rStyle w:val="Refdenotaalpie"/>
        </w:rPr>
        <w:footnoteRef/>
      </w:r>
      <w:r>
        <w:t xml:space="preserve"> </w:t>
      </w:r>
      <w:r w:rsidRPr="005D1898">
        <w:t>Rutas del Conflicto. Masacre de Puerto Rico 2005. 2019. Las víctimas fueron los concejales José Ausencio Olarte Flores, Silvia Plaza, Gerardo Collazos Betancourt, William Villegas González, Jorge Horacio Supremo, John Fredy Rosales y Germán Rodríguez Carabalí, secretario del Consejo.</w:t>
      </w:r>
    </w:p>
  </w:footnote>
  <w:footnote w:id="297">
    <w:p w:rsidR="00591E90" w:rsidRPr="005D1898" w:rsidRDefault="00591E90">
      <w:pPr>
        <w:pStyle w:val="Textonotapie"/>
        <w:rPr>
          <w:lang w:val="es-CO"/>
        </w:rPr>
      </w:pPr>
      <w:r>
        <w:rPr>
          <w:rStyle w:val="Refdenotaalpie"/>
        </w:rPr>
        <w:footnoteRef/>
      </w:r>
      <w:r>
        <w:t xml:space="preserve"> </w:t>
      </w:r>
      <w:r w:rsidRPr="005D1898">
        <w:t>Centro Nacional de Memoria Histórica. El caso de la Asamblea del Valle: Tragedia y reconciliación. Bogotá. 2018.</w:t>
      </w:r>
    </w:p>
  </w:footnote>
  <w:footnote w:id="298">
    <w:p w:rsidR="00591E90" w:rsidRPr="005D1898" w:rsidRDefault="00591E90">
      <w:pPr>
        <w:pStyle w:val="Textonotapie"/>
        <w:rPr>
          <w:lang w:val="es-CO"/>
        </w:rPr>
      </w:pPr>
      <w:r>
        <w:rPr>
          <w:rStyle w:val="Refdenotaalpie"/>
        </w:rPr>
        <w:footnoteRef/>
      </w:r>
      <w:r>
        <w:t xml:space="preserve"> </w:t>
      </w:r>
      <w:r w:rsidRPr="005D1898">
        <w:t>Entrevista 001-VI-00067. Exfuncionario.</w:t>
      </w:r>
    </w:p>
  </w:footnote>
  <w:footnote w:id="299">
    <w:p w:rsidR="00591E90" w:rsidRPr="005D1898" w:rsidRDefault="00591E90">
      <w:pPr>
        <w:pStyle w:val="Textonotapie"/>
        <w:rPr>
          <w:lang w:val="es-CO"/>
        </w:rPr>
      </w:pPr>
      <w:r>
        <w:rPr>
          <w:rStyle w:val="Refdenotaalpie"/>
        </w:rPr>
        <w:footnoteRef/>
      </w:r>
      <w:r>
        <w:t xml:space="preserve"> </w:t>
      </w:r>
      <w:r w:rsidRPr="005D1898">
        <w:t>La acción comunal en el país surgió en la década de 1950 y se institucionalizó con la Ley 19 de 1958. Si bien ha sido una figura legal de participación política, los líderes comunales han sido objeto de estigmatización</w:t>
      </w:r>
      <w:r>
        <w:t xml:space="preserve"> </w:t>
      </w:r>
      <w:r w:rsidRPr="005D1898">
        <w:t>y persecución en el marco del conflicto armado por parte de todos los actores en contienda, han quedado en la mitad del juego cruzado por acusaciones de colaboración con los combatientes. De igual forma, según el informe «Entre la paz y la guerra» presentado a la Comisión de la Verdad, desde la década de los sesenta han sido base de redes políticas tanto del bipartidismo como del Partido Comunista y otros movimientos políticos. Informe 365-CI-01187. Programa Somos Defensores, «Entre la paz y la guerra: agresiones contra líderes y lideresas comunales en Colombia», 18.</w:t>
      </w:r>
    </w:p>
  </w:footnote>
  <w:footnote w:id="300">
    <w:p w:rsidR="00591E90" w:rsidRPr="005D1898" w:rsidRDefault="00591E90">
      <w:pPr>
        <w:pStyle w:val="Textonotapie"/>
        <w:rPr>
          <w:lang w:val="es-CO"/>
        </w:rPr>
      </w:pPr>
      <w:r>
        <w:rPr>
          <w:rStyle w:val="Refdenotaalpie"/>
        </w:rPr>
        <w:footnoteRef/>
      </w:r>
      <w:r>
        <w:t xml:space="preserve"> </w:t>
      </w:r>
      <w:r w:rsidRPr="005D1898">
        <w:t>Entrevista 123-PR-00559. Actores armados, exmiembros del Secretariado de las FARC-EP.</w:t>
      </w:r>
    </w:p>
  </w:footnote>
  <w:footnote w:id="301">
    <w:p w:rsidR="00591E90" w:rsidRPr="00C54D80" w:rsidRDefault="00591E90">
      <w:pPr>
        <w:pStyle w:val="Textonotapie"/>
        <w:rPr>
          <w:lang w:val="es-CO"/>
        </w:rPr>
      </w:pPr>
      <w:r>
        <w:rPr>
          <w:rStyle w:val="Refdenotaalpie"/>
        </w:rPr>
        <w:footnoteRef/>
      </w:r>
      <w:r>
        <w:t xml:space="preserve"> </w:t>
      </w:r>
      <w:r w:rsidRPr="00C54D80">
        <w:t>Velásquez, Fabio E. (</w:t>
      </w:r>
      <w:proofErr w:type="spellStart"/>
      <w:r w:rsidRPr="00C54D80">
        <w:t>ed</w:t>
      </w:r>
      <w:proofErr w:type="spellEnd"/>
      <w:r w:rsidRPr="00C54D80">
        <w:t>), Las otras caras del poder. Territorio, conflicto y gestión pública en municipios colombianos. 2009. Pp. 387.</w:t>
      </w:r>
    </w:p>
  </w:footnote>
  <w:footnote w:id="302">
    <w:p w:rsidR="00591E90" w:rsidRPr="00C54D80" w:rsidRDefault="00591E90">
      <w:pPr>
        <w:pStyle w:val="Textonotapie"/>
        <w:rPr>
          <w:lang w:val="es-CO"/>
        </w:rPr>
      </w:pPr>
      <w:r>
        <w:rPr>
          <w:rStyle w:val="Refdenotaalpie"/>
        </w:rPr>
        <w:footnoteRef/>
      </w:r>
      <w:r>
        <w:t xml:space="preserve"> </w:t>
      </w:r>
      <w:r w:rsidRPr="00C54D80">
        <w:t>Entrevista 261-VI-00075. Víctima, exconcejal de Vistahermosa, Meta.</w:t>
      </w:r>
    </w:p>
  </w:footnote>
  <w:footnote w:id="303">
    <w:p w:rsidR="00591E90" w:rsidRPr="00547F52" w:rsidRDefault="00591E90">
      <w:pPr>
        <w:pStyle w:val="Textonotapie"/>
        <w:rPr>
          <w:lang w:val="es-CO"/>
        </w:rPr>
      </w:pPr>
      <w:r>
        <w:rPr>
          <w:rStyle w:val="Refdenotaalpie"/>
        </w:rPr>
        <w:footnoteRef/>
      </w:r>
      <w:r>
        <w:t xml:space="preserve"> </w:t>
      </w:r>
      <w:r w:rsidRPr="00547F52">
        <w:t>Peñate, «El sendero estratégico del ELN»; Aguilera, «ELN: entre las armas y la política».</w:t>
      </w:r>
    </w:p>
  </w:footnote>
  <w:footnote w:id="304">
    <w:p w:rsidR="00591E90" w:rsidRPr="00547F52" w:rsidRDefault="00591E90">
      <w:pPr>
        <w:pStyle w:val="Textonotapie"/>
        <w:rPr>
          <w:lang w:val="es-CO"/>
        </w:rPr>
      </w:pPr>
      <w:r>
        <w:rPr>
          <w:rStyle w:val="Refdenotaalpie"/>
        </w:rPr>
        <w:footnoteRef/>
      </w:r>
      <w:r>
        <w:t xml:space="preserve"> </w:t>
      </w:r>
      <w:proofErr w:type="spellStart"/>
      <w:r w:rsidRPr="00547F52">
        <w:t>Larratt</w:t>
      </w:r>
      <w:proofErr w:type="spellEnd"/>
      <w:r w:rsidRPr="00547F52">
        <w:t>-Smith, Charles, El ELN en Arauca: el fortín guerrillero en la sombra de los Andes. En A. Aponte et al. ¿Por qué es tan difícil negociar con el ELN? Las consecuencias de un federalismo insurgente, 1964-2020. CINEP-DIAKONIA, 2021, 259-330.</w:t>
      </w:r>
    </w:p>
  </w:footnote>
  <w:footnote w:id="305">
    <w:p w:rsidR="00591E90" w:rsidRPr="00547F52" w:rsidRDefault="00591E90">
      <w:pPr>
        <w:pStyle w:val="Textonotapie"/>
        <w:rPr>
          <w:lang w:val="es-CO"/>
        </w:rPr>
      </w:pPr>
      <w:r>
        <w:rPr>
          <w:rStyle w:val="Refdenotaalpie"/>
        </w:rPr>
        <w:footnoteRef/>
      </w:r>
      <w:r>
        <w:t xml:space="preserve"> </w:t>
      </w:r>
      <w:r w:rsidRPr="00547F52">
        <w:t>Entrevista virtual, dirigente político UP, por codificar, 2020.</w:t>
      </w:r>
    </w:p>
  </w:footnote>
  <w:footnote w:id="306">
    <w:p w:rsidR="00591E90" w:rsidRPr="00483469" w:rsidRDefault="00591E90">
      <w:pPr>
        <w:pStyle w:val="Textonotapie"/>
        <w:rPr>
          <w:lang w:val="es-CO"/>
        </w:rPr>
      </w:pPr>
      <w:r>
        <w:rPr>
          <w:rStyle w:val="Refdenotaalpie"/>
        </w:rPr>
        <w:footnoteRef/>
      </w:r>
      <w:r>
        <w:t xml:space="preserve"> </w:t>
      </w:r>
      <w:r w:rsidRPr="00483469">
        <w:t>El Espectador. El Frente Domingo Laín, mitos y realidades de una máquina de guerra. 7 de julio 2014</w:t>
      </w:r>
    </w:p>
  </w:footnote>
  <w:footnote w:id="307">
    <w:p w:rsidR="00591E90" w:rsidRPr="00483469" w:rsidRDefault="00591E90">
      <w:pPr>
        <w:pStyle w:val="Textonotapie"/>
        <w:rPr>
          <w:lang w:val="es-CO"/>
        </w:rPr>
      </w:pPr>
      <w:r>
        <w:rPr>
          <w:rStyle w:val="Refdenotaalpie"/>
        </w:rPr>
        <w:footnoteRef/>
      </w:r>
      <w:r>
        <w:t xml:space="preserve"> </w:t>
      </w:r>
      <w:r w:rsidRPr="00483469">
        <w:t xml:space="preserve">Peñate, «El sendero estratégico del ELN»; </w:t>
      </w:r>
      <w:proofErr w:type="spellStart"/>
      <w:r w:rsidRPr="00483469">
        <w:t>Larratt</w:t>
      </w:r>
      <w:proofErr w:type="spellEnd"/>
      <w:r w:rsidRPr="00483469">
        <w:t xml:space="preserve">-Smith, Charles. </w:t>
      </w:r>
      <w:r w:rsidRPr="00483469">
        <w:rPr>
          <w:lang w:val="en-US"/>
        </w:rPr>
        <w:t xml:space="preserve">Agrarian Social Structures, Insurgent Embeddedness, and State Expansion: Evidence from Colombia. </w:t>
      </w:r>
      <w:r w:rsidRPr="00483469">
        <w:t xml:space="preserve">[PhD </w:t>
      </w:r>
      <w:proofErr w:type="spellStart"/>
      <w:r w:rsidRPr="00483469">
        <w:t>Dissertation</w:t>
      </w:r>
      <w:proofErr w:type="spellEnd"/>
      <w:r w:rsidRPr="00483469">
        <w:t xml:space="preserve">]. </w:t>
      </w:r>
      <w:proofErr w:type="spellStart"/>
      <w:r w:rsidRPr="00483469">
        <w:t>University</w:t>
      </w:r>
      <w:proofErr w:type="spellEnd"/>
      <w:r w:rsidRPr="00483469">
        <w:t xml:space="preserve"> </w:t>
      </w:r>
      <w:proofErr w:type="spellStart"/>
      <w:r w:rsidRPr="00483469">
        <w:t>of</w:t>
      </w:r>
      <w:proofErr w:type="spellEnd"/>
      <w:r w:rsidRPr="00483469">
        <w:t xml:space="preserve"> Toronto, 2020.</w:t>
      </w:r>
    </w:p>
  </w:footnote>
  <w:footnote w:id="308">
    <w:p w:rsidR="00591E90" w:rsidRPr="00510474" w:rsidRDefault="00591E90">
      <w:pPr>
        <w:pStyle w:val="Textonotapie"/>
        <w:rPr>
          <w:lang w:val="es-CO"/>
        </w:rPr>
      </w:pPr>
      <w:r>
        <w:rPr>
          <w:rStyle w:val="Refdenotaalpie"/>
        </w:rPr>
        <w:footnoteRef/>
      </w:r>
      <w:r>
        <w:t xml:space="preserve"> </w:t>
      </w:r>
      <w:r w:rsidRPr="007B4A09">
        <w:t>Gutiérrez, Omar. El auge del paramilitarismo en el Sur de Bolívar o la malograda integración al orden. Universidad Externado de Colombia. Ministerio de Relaciones Exteriores, Instituto de Altos Estudios para el</w:t>
      </w:r>
      <w:r>
        <w:t xml:space="preserve"> </w:t>
      </w:r>
      <w:r w:rsidRPr="007B4A09">
        <w:t>Desarrollo. Bogotá, 2003; Alonso, M. Conflicto armado y configuración regional. El caso del Magdalena Medio. Universidad de Antioquia. Medellín, 1997.</w:t>
      </w:r>
    </w:p>
  </w:footnote>
  <w:footnote w:id="309">
    <w:p w:rsidR="00591E90" w:rsidRPr="007B4A09" w:rsidRDefault="00591E90">
      <w:pPr>
        <w:pStyle w:val="Textonotapie"/>
        <w:rPr>
          <w:lang w:val="es-CO"/>
        </w:rPr>
      </w:pPr>
      <w:r>
        <w:rPr>
          <w:rStyle w:val="Refdenotaalpie"/>
        </w:rPr>
        <w:footnoteRef/>
      </w:r>
      <w:r>
        <w:t xml:space="preserve"> </w:t>
      </w:r>
      <w:r w:rsidRPr="007B4A09">
        <w:t>Vanguardia Liberal, “Guerrilla liberó a dos concejales”, noviembre 8, 1994</w:t>
      </w:r>
    </w:p>
  </w:footnote>
  <w:footnote w:id="310">
    <w:p w:rsidR="00591E90" w:rsidRPr="007B4A09" w:rsidRDefault="00591E90">
      <w:pPr>
        <w:pStyle w:val="Textonotapie"/>
        <w:rPr>
          <w:lang w:val="es-CO"/>
        </w:rPr>
      </w:pPr>
      <w:r>
        <w:rPr>
          <w:rStyle w:val="Refdenotaalpie"/>
        </w:rPr>
        <w:footnoteRef/>
      </w:r>
      <w:r>
        <w:t xml:space="preserve"> </w:t>
      </w:r>
      <w:r w:rsidRPr="007B4A09">
        <w:t>Romero, M (SF). El Conflicto Político en el Magdalena Medio.</w:t>
      </w:r>
    </w:p>
  </w:footnote>
  <w:footnote w:id="311">
    <w:p w:rsidR="00591E90" w:rsidRPr="007B4A09" w:rsidRDefault="00591E90">
      <w:pPr>
        <w:pStyle w:val="Textonotapie"/>
        <w:rPr>
          <w:lang w:val="es-CO"/>
        </w:rPr>
      </w:pPr>
      <w:r>
        <w:rPr>
          <w:rStyle w:val="Refdenotaalpie"/>
        </w:rPr>
        <w:footnoteRef/>
      </w:r>
      <w:r>
        <w:t xml:space="preserve"> </w:t>
      </w:r>
      <w:r w:rsidRPr="007B4A09">
        <w:t>Vanguardia Liberal, “La guerrilla ordenó renuncia de candidatos”, septiembre 11, 1997; El Mundo, “Guerrilla no cesa ofensiva electoral”, agosto 19, 1997; El Heraldo, Renunciaron 1.200 jurados en Bolívar, septiembre 22, 1997.</w:t>
      </w:r>
    </w:p>
  </w:footnote>
  <w:footnote w:id="312">
    <w:p w:rsidR="00591E90" w:rsidRPr="007B4A09" w:rsidRDefault="00591E90" w:rsidP="007B4A09">
      <w:pPr>
        <w:pStyle w:val="Textonotapie"/>
        <w:rPr>
          <w:lang w:val="es-CO"/>
        </w:rPr>
      </w:pPr>
      <w:r>
        <w:rPr>
          <w:rStyle w:val="Refdenotaalpie"/>
        </w:rPr>
        <w:footnoteRef/>
      </w:r>
      <w:r>
        <w:t xml:space="preserve"> Esto supuso que el COCE tuvo que cambiar de lugar de ubicación y trasladarse al Catatumbo. Amaya, D., &amp; Forero, J. El ELN en el sur de Bolívar: la pérdida de un bastión militar (pp. 197-258). En A. Aponte et al. ¿Por qué es tan difícil negociar con el ELN? Las consecuencias de un federalismo insurgente, 1964-2020. CINEP-DIAKONIA, 2021</w:t>
      </w:r>
    </w:p>
  </w:footnote>
  <w:footnote w:id="313">
    <w:p w:rsidR="00591E90" w:rsidRPr="007B4A09" w:rsidRDefault="00591E90">
      <w:pPr>
        <w:pStyle w:val="Textonotapie"/>
        <w:rPr>
          <w:lang w:val="es-CO"/>
        </w:rPr>
      </w:pPr>
      <w:r>
        <w:rPr>
          <w:rStyle w:val="Refdenotaalpie"/>
        </w:rPr>
        <w:footnoteRef/>
      </w:r>
      <w:r>
        <w:t xml:space="preserve"> </w:t>
      </w:r>
      <w:r w:rsidRPr="007B4A09">
        <w:t>Este movimiento puede ser considerado como una liga de diversos sectores sociales, políticos y económicos (campesinos, mineros, políticos locales y regionales, propietarios rurales, etc.), que, de la mano de las AUC, se vincularon y aunaron fuerzas para oponerse a la petición del ELN de despejar una zona del Magdalena Medio para iniciar diálogos de paz con el Gobierno de Andrés Pastrana (1998-2002). Bolívar, Ingrid (2006).</w:t>
      </w:r>
      <w:r>
        <w:t xml:space="preserve"> </w:t>
      </w:r>
      <w:r w:rsidRPr="008E0C45">
        <w:t xml:space="preserve">Transformaciones de la política: movilización social, atribución causal y configuración del Estado en el Magdalena Medio. En Archila, Mauricio y otros, Conflictos, poderes e identidades en el Magdalena Medio 1990-2001. Colciencias, </w:t>
      </w:r>
      <w:proofErr w:type="spellStart"/>
      <w:r w:rsidRPr="008E0C45">
        <w:t>Cinep</w:t>
      </w:r>
      <w:proofErr w:type="spellEnd"/>
      <w:r w:rsidRPr="008E0C45">
        <w:t>/PPP.</w:t>
      </w:r>
    </w:p>
  </w:footnote>
  <w:footnote w:id="314">
    <w:p w:rsidR="00591E90" w:rsidRPr="00CD3BCA" w:rsidRDefault="00591E90">
      <w:pPr>
        <w:pStyle w:val="Textonotapie"/>
        <w:rPr>
          <w:lang w:val="es-CO"/>
        </w:rPr>
      </w:pPr>
      <w:r>
        <w:rPr>
          <w:rStyle w:val="Refdenotaalpie"/>
        </w:rPr>
        <w:footnoteRef/>
      </w:r>
      <w:r>
        <w:t xml:space="preserve"> </w:t>
      </w:r>
      <w:r w:rsidRPr="00CD3BCA">
        <w:t>Entrevista 311-PR-02117. Bogotá, 2020-2021, fuerza pública.</w:t>
      </w:r>
    </w:p>
  </w:footnote>
  <w:footnote w:id="315">
    <w:p w:rsidR="00591E90" w:rsidRPr="00143CE1" w:rsidRDefault="00591E90">
      <w:pPr>
        <w:pStyle w:val="Textonotapie"/>
        <w:rPr>
          <w:lang w:val="es-CO"/>
        </w:rPr>
      </w:pPr>
      <w:r>
        <w:rPr>
          <w:rStyle w:val="Refdenotaalpie"/>
        </w:rPr>
        <w:footnoteRef/>
      </w:r>
      <w:r>
        <w:t xml:space="preserve"> </w:t>
      </w:r>
      <w:r w:rsidRPr="00143CE1">
        <w:t>Comisión de la Verdad. (2022) Las FARC entre la guerra, la paz y la política: sus transformaciones y la disputa por el Estado 1964-2020. Pp. 3 ; Aponte, Andrés F. (2019). El Mito de la Unidad de las FARC, en Razón Pública, enero 13, 2020. Disponible en: https://razonpublica.com/mito-la-unidad-las-farc/</w:t>
      </w:r>
    </w:p>
  </w:footnote>
  <w:footnote w:id="316">
    <w:p w:rsidR="00591E90" w:rsidRPr="00143CE1" w:rsidRDefault="00591E90">
      <w:pPr>
        <w:pStyle w:val="Textonotapie"/>
        <w:rPr>
          <w:lang w:val="es-CO"/>
        </w:rPr>
      </w:pPr>
      <w:r>
        <w:rPr>
          <w:rStyle w:val="Refdenotaalpie"/>
        </w:rPr>
        <w:footnoteRef/>
      </w:r>
      <w:r>
        <w:t xml:space="preserve"> </w:t>
      </w:r>
      <w:r w:rsidRPr="00143CE1">
        <w:t>Informe de caso. Contexto y patrones de la violencia contra ex combatientes de las FARC entre 2017 y 2020. Entrevista con lideresa social de Llorente, Palmira, Valle del Cauca, 22 de febrero del 2021.</w:t>
      </w:r>
    </w:p>
  </w:footnote>
  <w:footnote w:id="317">
    <w:p w:rsidR="00591E90" w:rsidRDefault="00591E90" w:rsidP="00143CE1">
      <w:pPr>
        <w:pStyle w:val="Textonotapie"/>
      </w:pPr>
      <w:r>
        <w:rPr>
          <w:rStyle w:val="Refdenotaalpie"/>
        </w:rPr>
        <w:footnoteRef/>
      </w:r>
      <w:r>
        <w:t xml:space="preserve"> Barrera, Víctor, Aponte, Andrés F., </w:t>
      </w:r>
      <w:proofErr w:type="spellStart"/>
      <w:r>
        <w:t>Larratt</w:t>
      </w:r>
      <w:proofErr w:type="spellEnd"/>
      <w:r>
        <w:t>-Smith, Arauca en perspectiva nacional, en El Espectador, febrero 14, 2022. Disponible en:</w:t>
      </w:r>
    </w:p>
    <w:p w:rsidR="00591E90" w:rsidRPr="00143CE1" w:rsidRDefault="00591E90" w:rsidP="00143CE1">
      <w:pPr>
        <w:pStyle w:val="Textonotapie"/>
        <w:rPr>
          <w:lang w:val="es-CO"/>
        </w:rPr>
      </w:pPr>
      <w:r>
        <w:t>https://www.elespectador.com/colombia/mas-regiones/arauca-en-una-perspectiva-nacional/</w:t>
      </w:r>
    </w:p>
  </w:footnote>
  <w:footnote w:id="318">
    <w:p w:rsidR="00591E90" w:rsidRPr="0046707C" w:rsidRDefault="00591E90">
      <w:pPr>
        <w:pStyle w:val="Textonotapie"/>
        <w:rPr>
          <w:lang w:val="es-CO"/>
        </w:rPr>
      </w:pPr>
      <w:r>
        <w:rPr>
          <w:rStyle w:val="Refdenotaalpie"/>
        </w:rPr>
        <w:footnoteRef/>
      </w:r>
      <w:r>
        <w:t xml:space="preserve"> </w:t>
      </w:r>
      <w:r w:rsidRPr="0046707C">
        <w:t>La vigilancia de los grupos armados dentro de los barrios es abierta, con campaneros a veces armados poco dentro de las entradas. Es común también ver menores de entre diez y catorce años entre los campaneros.</w:t>
      </w:r>
    </w:p>
  </w:footnote>
  <w:footnote w:id="319">
    <w:p w:rsidR="00591E90" w:rsidRPr="0046707C" w:rsidRDefault="00591E90">
      <w:pPr>
        <w:pStyle w:val="Textonotapie"/>
        <w:rPr>
          <w:lang w:val="es-CO"/>
        </w:rPr>
      </w:pPr>
      <w:r>
        <w:rPr>
          <w:rStyle w:val="Refdenotaalpie"/>
        </w:rPr>
        <w:footnoteRef/>
      </w:r>
      <w:r>
        <w:t xml:space="preserve"> </w:t>
      </w:r>
      <w:r w:rsidRPr="0046707C">
        <w:t>Varios hechos han mostrado la letalidad de dichos órdenes armados y su carácter militarizado: la masacre de ocho jóvenes, en Samaniego, el 15 de agosto de 2020, sin un responsable claro; el asesinato de seis personas, en Barbacoas, luego de ráfagas indiscriminadas del Frente 30 de la Segunda Marquetalia, en agosto del 2020; o el rapto y asesinato de un gobernador indígena y un familiar, de la comunidad de El Panelero del Resguardo El Gran Sábalo (Tumaco), a manos de desconocidos, en julio de 2020.</w:t>
      </w:r>
    </w:p>
  </w:footnote>
  <w:footnote w:id="320">
    <w:p w:rsidR="00591E90" w:rsidRPr="0046707C" w:rsidRDefault="00591E90">
      <w:pPr>
        <w:pStyle w:val="Textonotapie"/>
        <w:rPr>
          <w:lang w:val="es-CO"/>
        </w:rPr>
      </w:pPr>
      <w:r>
        <w:rPr>
          <w:rStyle w:val="Refdenotaalpie"/>
        </w:rPr>
        <w:footnoteRef/>
      </w:r>
      <w:r>
        <w:t xml:space="preserve"> </w:t>
      </w:r>
      <w:r w:rsidRPr="0046707C">
        <w:t>Comisión de la Verdad, «Contexto y patrones de la violencia contra excombatientes de las FARC-EP entre 2017 y 2020». Entrevista con lideresa social de Llorente, Palmira, Valle del Cauca, 22 de febrero del 2021.</w:t>
      </w:r>
    </w:p>
  </w:footnote>
  <w:footnote w:id="321">
    <w:p w:rsidR="00591E90" w:rsidRPr="0046707C" w:rsidRDefault="00591E90">
      <w:pPr>
        <w:pStyle w:val="Textonotapie"/>
        <w:rPr>
          <w:lang w:val="es-CO"/>
        </w:rPr>
      </w:pPr>
      <w:r>
        <w:rPr>
          <w:rStyle w:val="Refdenotaalpie"/>
        </w:rPr>
        <w:footnoteRef/>
      </w:r>
      <w:r>
        <w:t xml:space="preserve"> </w:t>
      </w:r>
      <w:r w:rsidRPr="0046707C">
        <w:t>Actualmente hacen presencia cinco grupos armados: el ELN (en los municipios de El Tarra, Convención, Hacarí, San Calixto y Sardinata), el EPL (alto Catatumbo), la disidencia del Frente 33 de las FARC-EP (Tibú y El Tarra y algunas incursiones en San Calixto, Convención y Sardinata), las AGC (Sardinata) y, la Segunda Marquetalia (alto Catatumbo y Ocaña).</w:t>
      </w:r>
    </w:p>
  </w:footnote>
  <w:footnote w:id="322">
    <w:p w:rsidR="00591E90" w:rsidRPr="0046707C" w:rsidRDefault="00591E90">
      <w:pPr>
        <w:pStyle w:val="Textonotapie"/>
        <w:rPr>
          <w:lang w:val="es-CO"/>
        </w:rPr>
      </w:pPr>
      <w:r>
        <w:rPr>
          <w:rStyle w:val="Refdenotaalpie"/>
        </w:rPr>
        <w:footnoteRef/>
      </w:r>
      <w:r>
        <w:t xml:space="preserve"> </w:t>
      </w:r>
      <w:r w:rsidRPr="0046707C">
        <w:t>Tales son los casos del atentado a manos de las disidencias de las FARC, con un carro bomba, el 6 de febrero de 2022, en Padilla, que dejó 43 personas heridas; la explosión de otro carro bomba en Corinto, el 26 de marzo de 2021, presuntamente hecho por las disidencias, arrojando un saldo de 17 heridos; el asesinato de seis personas en una gallera, en Buenos aires, luego de un grupo lanzara una granada e hiciera ráfagas con armas largas, el 20 de septiembre de 2020; la tortura y masacre de seis campesinos en zona rural del Tambo, a manos de las disidencias en agosto de 2020; también, debemos tener en el lente la captura de alias “Azul, presunto miembro de las disidencias frente 48, quien bajo la modalidad de sicariato habría asesinado a cerca de 11 líderes sociales en Cauca y Putumayo.</w:t>
      </w:r>
    </w:p>
  </w:footnote>
  <w:footnote w:id="323">
    <w:p w:rsidR="00591E90" w:rsidRPr="0046707C" w:rsidRDefault="00591E90">
      <w:pPr>
        <w:pStyle w:val="Textonotapie"/>
        <w:rPr>
          <w:lang w:val="es-CO"/>
        </w:rPr>
      </w:pPr>
      <w:r>
        <w:rPr>
          <w:rStyle w:val="Refdenotaalpie"/>
        </w:rPr>
        <w:footnoteRef/>
      </w:r>
      <w:r>
        <w:t xml:space="preserve"> </w:t>
      </w:r>
      <w:r w:rsidRPr="0046707C">
        <w:t>Comisión de la Verdad, «Contexto y patrones de la violencia contra excombatientes de las FARC-EP entre 2017 y 2020». Entrevista con lideresa social de Llorente, Palmira, Valle del Cauca, 22 de febrero del 2021.</w:t>
      </w:r>
    </w:p>
  </w:footnote>
  <w:footnote w:id="324">
    <w:p w:rsidR="00591E90" w:rsidRDefault="00591E90" w:rsidP="000266F2">
      <w:pPr>
        <w:pStyle w:val="Textonotapie"/>
      </w:pPr>
      <w:r>
        <w:rPr>
          <w:rStyle w:val="Refdenotaalpie"/>
        </w:rPr>
        <w:footnoteRef/>
      </w:r>
      <w:r>
        <w:t xml:space="preserve"> De acuerdo con la Dirección de Acuerdos de la Verdad del Centro Nacional de Memoria Histórica,</w:t>
      </w:r>
    </w:p>
    <w:p w:rsidR="00591E90" w:rsidRPr="000266F2" w:rsidRDefault="00591E90" w:rsidP="000266F2">
      <w:pPr>
        <w:pStyle w:val="Textonotapie"/>
        <w:rPr>
          <w:lang w:val="es-CO"/>
        </w:rPr>
      </w:pPr>
      <w:r>
        <w:t>«corresponden a 34 estructuras desmovilizadas en el marco de los Acuerdos entre el Gobierno Uribe y los grupos paramilitares en San José Ralito, y 5 estructuras no desmovilizadas […]». Centro Nacional de Memoria Histórica. Análisis cuantitativo sobre el paramilitarismo en Colombia. Hallazgos del Mecanismo no Judicial de Contribución a la Verdad. Bogotá: CNMH, 2019, pág. 43.</w:t>
      </w:r>
    </w:p>
  </w:footnote>
  <w:footnote w:id="325">
    <w:p w:rsidR="00591E90" w:rsidRPr="000266F2" w:rsidRDefault="00591E90">
      <w:pPr>
        <w:pStyle w:val="Textonotapie"/>
        <w:rPr>
          <w:lang w:val="es-CO"/>
        </w:rPr>
      </w:pPr>
      <w:r>
        <w:rPr>
          <w:rStyle w:val="Refdenotaalpie"/>
        </w:rPr>
        <w:footnoteRef/>
      </w:r>
      <w:r>
        <w:t xml:space="preserve"> </w:t>
      </w:r>
      <w:r w:rsidRPr="000266F2">
        <w:t>El Decreto 3398 de 1965 y la Ley 48 de 1968 ordenan la creación de grupos de defensa compuestos por civiles para tareas contrainsurgentes con salvoconductos, equipos de comunicación y entrenamiento militar. Para otros, la persistencia del bandolerismo en algunas zonas de Colombia y la aparición de guerrillas comunistas en la década de los sesenta promovieron la aparición de ejércitos privados con carácter reactivo.</w:t>
      </w:r>
    </w:p>
  </w:footnote>
  <w:footnote w:id="326">
    <w:p w:rsidR="00591E90" w:rsidRPr="000266F2" w:rsidRDefault="00591E90">
      <w:pPr>
        <w:pStyle w:val="Textonotapie"/>
        <w:rPr>
          <w:lang w:val="es-CO"/>
        </w:rPr>
      </w:pPr>
      <w:r>
        <w:rPr>
          <w:rStyle w:val="Refdenotaalpie"/>
        </w:rPr>
        <w:footnoteRef/>
      </w:r>
      <w:r>
        <w:t xml:space="preserve"> </w:t>
      </w:r>
      <w:r w:rsidRPr="000266F2">
        <w:t xml:space="preserve">En Colombia también han existido formas de autodefensa campesina e indígena que reaccionaron a la violencia de las guerrillas que no se vincularon al paramilitarismo; sin embargo, como lo indica Pizarro: «Es probable que, en sus etapas iniciales y en algunas regiones de Colombia, esta modalidad de </w:t>
      </w:r>
      <w:proofErr w:type="spellStart"/>
      <w:r w:rsidRPr="000266F2">
        <w:t>vigilantismo</w:t>
      </w:r>
      <w:proofErr w:type="spellEnd"/>
      <w:r w:rsidRPr="000266F2">
        <w:t xml:space="preserve"> ciudadano espontáneo con raíces locales hubiera estado en el origen de algunos grupos de autodefensa regional.</w:t>
      </w:r>
      <w:r>
        <w:t xml:space="preserve"> </w:t>
      </w:r>
      <w:r w:rsidRPr="00935BEB">
        <w:t xml:space="preserve">Sin embargo, más allá del origen espontáneo o inducido (ya sea por miembros de las Fuerzas Armadas, por hacendados o por mafias locales del narcotráfico o las esmeraldas), lo cierto es que el fenómeno rápidamente desbordó el marco local propiciando el surgimiento de un actor armado con amplia incidencia en todo el territorio nacional». Eduardo Pizarro </w:t>
      </w:r>
      <w:proofErr w:type="spellStart"/>
      <w:r w:rsidRPr="00935BEB">
        <w:t>Leongómez</w:t>
      </w:r>
      <w:proofErr w:type="spellEnd"/>
      <w:r w:rsidRPr="00935BEB">
        <w:t>. Una democracia asediada. Balance y perspectivas del conflicto armado en Colombia. Bogotá: Norma, 2004. pág. 116.</w:t>
      </w:r>
    </w:p>
  </w:footnote>
  <w:footnote w:id="327">
    <w:p w:rsidR="00591E90" w:rsidRPr="003419E2" w:rsidRDefault="00591E90">
      <w:pPr>
        <w:pStyle w:val="Textonotapie"/>
        <w:rPr>
          <w:lang w:val="es-CO"/>
        </w:rPr>
      </w:pPr>
      <w:r>
        <w:rPr>
          <w:rStyle w:val="Refdenotaalpie"/>
        </w:rPr>
        <w:footnoteRef/>
      </w:r>
      <w:r>
        <w:t xml:space="preserve"> </w:t>
      </w:r>
      <w:r w:rsidRPr="003419E2">
        <w:t xml:space="preserve">Una forma de explicar las distintas etapas del paramilitarismo identifica rupturas y continuidades: la primera, en el origen de las de grupos paramilitares en el sur del Magdalena Medio; la segunda, asociada a la confederación de las AUC y la tercera generación o grupos armados </w:t>
      </w:r>
      <w:proofErr w:type="spellStart"/>
      <w:r w:rsidRPr="003419E2">
        <w:t>posdesmovilización</w:t>
      </w:r>
      <w:proofErr w:type="spellEnd"/>
      <w:r w:rsidRPr="003419E2">
        <w:t>. Centro Nacional de Memoria Histórica. Paramilitarismo. Balance de la contribución del CNMH al esclarecimiento histórico. Bogotá: CNMH, 2018.</w:t>
      </w:r>
    </w:p>
  </w:footnote>
  <w:footnote w:id="328">
    <w:p w:rsidR="00591E90" w:rsidRPr="003419E2" w:rsidRDefault="00591E90">
      <w:pPr>
        <w:pStyle w:val="Textonotapie"/>
        <w:rPr>
          <w:lang w:val="es-CO"/>
        </w:rPr>
      </w:pPr>
      <w:r>
        <w:rPr>
          <w:rStyle w:val="Refdenotaalpie"/>
        </w:rPr>
        <w:footnoteRef/>
      </w:r>
      <w:r>
        <w:t xml:space="preserve"> </w:t>
      </w:r>
      <w:r w:rsidRPr="003419E2">
        <w:t>Las responsabilidades del Estado colombiano por la existencia y fortalecimiento del paramilitarismo han sido señaladas por la Comisión Interamericana de Derechos Humanos (CIDH), Tercer Informe sobre la</w:t>
      </w:r>
      <w:r>
        <w:t xml:space="preserve"> </w:t>
      </w:r>
      <w:r w:rsidRPr="003419E2">
        <w:t>Situación de los Derechos Humanos en Colombia. OEA/</w:t>
      </w:r>
      <w:proofErr w:type="spellStart"/>
      <w:r w:rsidRPr="003419E2">
        <w:t>Ser.L</w:t>
      </w:r>
      <w:proofErr w:type="spellEnd"/>
      <w:r w:rsidRPr="003419E2">
        <w:t xml:space="preserve">/V/II.102 Doc. 9 </w:t>
      </w:r>
      <w:proofErr w:type="spellStart"/>
      <w:r w:rsidRPr="003419E2">
        <w:t>rev.</w:t>
      </w:r>
      <w:proofErr w:type="spellEnd"/>
      <w:r w:rsidRPr="003419E2">
        <w:t xml:space="preserve"> 1, 26 de febrero de 1999, Cap. IV, párr. 236.</w:t>
      </w:r>
    </w:p>
  </w:footnote>
  <w:footnote w:id="329">
    <w:p w:rsidR="00591E90" w:rsidRPr="005758FC" w:rsidRDefault="00591E90">
      <w:pPr>
        <w:pStyle w:val="Textonotapie"/>
        <w:rPr>
          <w:lang w:val="es-CO"/>
        </w:rPr>
      </w:pPr>
      <w:r>
        <w:rPr>
          <w:rStyle w:val="Refdenotaalpie"/>
        </w:rPr>
        <w:footnoteRef/>
      </w:r>
      <w:r>
        <w:t xml:space="preserve"> </w:t>
      </w:r>
      <w:r w:rsidRPr="005758FC">
        <w:t xml:space="preserve">Esta frase, ya conocida, fue mencionada por </w:t>
      </w:r>
      <w:proofErr w:type="spellStart"/>
      <w:r w:rsidRPr="005758FC">
        <w:t>exparamilitares</w:t>
      </w:r>
      <w:proofErr w:type="spellEnd"/>
      <w:r w:rsidRPr="005758FC">
        <w:t xml:space="preserve"> del Magdalena Medio refiriéndose a la noción de guerra irregular que promovió un sector de la fuerza pública en los ochenta, haciendo alusión a una guerra enfocada en las que se percibían como bases sociales de la guerrilla (el «agua») que hacían posible la existencia y crecimiento del grupo armado subversivo (el «pez»). Dicha metáfora, a su vez, viene de su uso en algunas guerrillas desde la idea de Mao Zedong de que el campesino es a la revolución lo que el agua al pez.</w:t>
      </w:r>
    </w:p>
  </w:footnote>
  <w:footnote w:id="330">
    <w:p w:rsidR="00591E90" w:rsidRPr="00DE41BA" w:rsidRDefault="00591E90">
      <w:pPr>
        <w:pStyle w:val="Textonotapie"/>
        <w:rPr>
          <w:lang w:val="es-CO"/>
        </w:rPr>
      </w:pPr>
      <w:r>
        <w:rPr>
          <w:rStyle w:val="Refdenotaalpie"/>
        </w:rPr>
        <w:footnoteRef/>
      </w:r>
      <w:r>
        <w:t xml:space="preserve"> </w:t>
      </w:r>
      <w:r w:rsidRPr="00DE41BA">
        <w:t>Una suerte de delegación hacia arriba que se ha manifestado en la adopción de recomendaciones y políticas de seguridad y defensa internacionales, especialmente estadounidenses, para definir y afrontar las responsabilidades estatales en seguridad y defensa; al tiempo que una delegación hacia abajo expresada en desplazar esas mismas hacia grupos privados de seguridad.</w:t>
      </w:r>
    </w:p>
  </w:footnote>
  <w:footnote w:id="331">
    <w:p w:rsidR="00591E90" w:rsidRPr="00DE41BA" w:rsidRDefault="00591E90">
      <w:pPr>
        <w:pStyle w:val="Textonotapie"/>
        <w:rPr>
          <w:lang w:val="es-CO"/>
        </w:rPr>
      </w:pPr>
      <w:r>
        <w:rPr>
          <w:rStyle w:val="Refdenotaalpie"/>
        </w:rPr>
        <w:footnoteRef/>
      </w:r>
      <w:r>
        <w:t xml:space="preserve"> </w:t>
      </w:r>
      <w:r w:rsidRPr="00E140C8">
        <w:t>Decreto 3398 de 1965 (24 de diciembre) «Por el cual se organiza la defensa nacional»</w:t>
      </w:r>
    </w:p>
  </w:footnote>
  <w:footnote w:id="332">
    <w:p w:rsidR="00591E90" w:rsidRPr="00E140C8" w:rsidRDefault="00591E90">
      <w:pPr>
        <w:pStyle w:val="Textonotapie"/>
        <w:rPr>
          <w:lang w:val="es-CO"/>
        </w:rPr>
      </w:pPr>
      <w:r>
        <w:rPr>
          <w:rStyle w:val="Refdenotaalpie"/>
        </w:rPr>
        <w:footnoteRef/>
      </w:r>
      <w:r>
        <w:t xml:space="preserve"> </w:t>
      </w:r>
      <w:r w:rsidRPr="00E140C8">
        <w:t>Ejército Nacional de Colombia, 2020, pág. 50.</w:t>
      </w:r>
    </w:p>
  </w:footnote>
  <w:footnote w:id="333">
    <w:p w:rsidR="00591E90" w:rsidRPr="00E140C8" w:rsidRDefault="00591E90">
      <w:pPr>
        <w:pStyle w:val="Textonotapie"/>
        <w:rPr>
          <w:lang w:val="es-CO"/>
        </w:rPr>
      </w:pPr>
      <w:r>
        <w:rPr>
          <w:rStyle w:val="Refdenotaalpie"/>
        </w:rPr>
        <w:footnoteRef/>
      </w:r>
      <w:r>
        <w:t xml:space="preserve"> </w:t>
      </w:r>
      <w:r w:rsidRPr="00E140C8">
        <w:t>Centro Nacional de Memoria Histórica. Paramilitarismo. Balance de la contribución del CNMH al esclarecimiento histórico. Bogotá: CNMH, 2018, págs. 34-39.</w:t>
      </w:r>
    </w:p>
  </w:footnote>
  <w:footnote w:id="334">
    <w:p w:rsidR="00591E90" w:rsidRPr="00E140C8" w:rsidRDefault="00591E90">
      <w:pPr>
        <w:pStyle w:val="Textonotapie"/>
        <w:rPr>
          <w:lang w:val="es-CO"/>
        </w:rPr>
      </w:pPr>
      <w:r>
        <w:rPr>
          <w:rStyle w:val="Refdenotaalpie"/>
        </w:rPr>
        <w:footnoteRef/>
      </w:r>
      <w:r>
        <w:t xml:space="preserve"> </w:t>
      </w:r>
      <w:r w:rsidRPr="00E140C8">
        <w:t xml:space="preserve">Por ejemplo, el grupo de alias Chispas en el Quindío «ejercía un poder ilegítimo que ni los propietarios ni los peones analfabetas discutían». Gonzalo Sánchez y Donny </w:t>
      </w:r>
      <w:proofErr w:type="spellStart"/>
      <w:r w:rsidRPr="00E140C8">
        <w:t>Meertens</w:t>
      </w:r>
      <w:proofErr w:type="spellEnd"/>
      <w:r w:rsidRPr="00E140C8">
        <w:t>. Bandoleros, Gamonales y Campesinos: el caso de la Violencia en Colombia. Bogotá: El Áncora Editores, 1983, pág. 52. Algunos de estos grupos también actuaron en vías de control territorial, construcción de órdenes sociales y uso del terror.</w:t>
      </w:r>
    </w:p>
  </w:footnote>
  <w:footnote w:id="335">
    <w:p w:rsidR="00591E90" w:rsidRPr="00E140C8" w:rsidRDefault="00591E90">
      <w:pPr>
        <w:pStyle w:val="Textonotapie"/>
        <w:rPr>
          <w:lang w:val="es-CO"/>
        </w:rPr>
      </w:pPr>
      <w:r>
        <w:rPr>
          <w:rStyle w:val="Refdenotaalpie"/>
        </w:rPr>
        <w:footnoteRef/>
      </w:r>
      <w:r>
        <w:t xml:space="preserve"> </w:t>
      </w:r>
      <w:r w:rsidRPr="00E140C8">
        <w:t xml:space="preserve">Gonzalo Sánchez y Donny </w:t>
      </w:r>
      <w:proofErr w:type="spellStart"/>
      <w:r w:rsidRPr="00E140C8">
        <w:t>Meertens</w:t>
      </w:r>
      <w:proofErr w:type="spellEnd"/>
      <w:r w:rsidRPr="00E140C8">
        <w:t>. Bandoleros, Gamonales y Campesinos: el caso de la Violencia en Colombia. Bogotá: El Áncora Editores, 1983, pág. 81.</w:t>
      </w:r>
    </w:p>
  </w:footnote>
  <w:footnote w:id="336">
    <w:p w:rsidR="00591E90" w:rsidRPr="00E140C8" w:rsidRDefault="00591E90">
      <w:pPr>
        <w:pStyle w:val="Textonotapie"/>
        <w:rPr>
          <w:lang w:val="es-CO"/>
        </w:rPr>
      </w:pPr>
      <w:r>
        <w:rPr>
          <w:rStyle w:val="Refdenotaalpie"/>
        </w:rPr>
        <w:footnoteRef/>
      </w:r>
      <w:r>
        <w:t xml:space="preserve"> </w:t>
      </w:r>
      <w:r w:rsidRPr="00E140C8">
        <w:t>Manuel Alberto Alonso Espinel. Conflicto armado y democracia en Colombia. Una mirada a los patrones de la violencia política. 29 de abril de 2020. Consultoría 104794. Comisión para el Esclarecimiento de la Verdad, la Convivencia y la No Repetición. pág. 16.</w:t>
      </w:r>
    </w:p>
  </w:footnote>
  <w:footnote w:id="337">
    <w:p w:rsidR="00591E90" w:rsidRPr="00EE5772" w:rsidRDefault="00591E90">
      <w:pPr>
        <w:pStyle w:val="Textonotapie"/>
        <w:rPr>
          <w:lang w:val="es-CO"/>
        </w:rPr>
      </w:pPr>
      <w:r>
        <w:rPr>
          <w:rStyle w:val="Refdenotaalpie"/>
        </w:rPr>
        <w:footnoteRef/>
      </w:r>
      <w:r>
        <w:t xml:space="preserve"> </w:t>
      </w:r>
      <w:r w:rsidRPr="00EE5772">
        <w:t xml:space="preserve">Global </w:t>
      </w:r>
      <w:proofErr w:type="spellStart"/>
      <w:r w:rsidRPr="00EE5772">
        <w:t>Firepower</w:t>
      </w:r>
      <w:proofErr w:type="spellEnd"/>
      <w:r w:rsidRPr="00EE5772">
        <w:t xml:space="preserve"> (GFP) es una organización privada que analiza comparativamente la capacidad militar de distintos países en el mundo. Los datos correspondientes a los 142 países pueden ser consultados en el rango de capacidades de las fuerzas paramilitares en el mundo en: https://www.globalfirepower.com/manpower- </w:t>
      </w:r>
      <w:proofErr w:type="spellStart"/>
      <w:r w:rsidRPr="00EE5772">
        <w:t>paramilitary.php</w:t>
      </w:r>
      <w:proofErr w:type="spellEnd"/>
      <w:r w:rsidRPr="00EE5772">
        <w:t>. De acuerdo con estos datos, Colombia se ubica en el rango 14 de países con fuerzas paramilitares con mayor capacidad bélica.</w:t>
      </w:r>
    </w:p>
  </w:footnote>
  <w:footnote w:id="338">
    <w:p w:rsidR="00591E90" w:rsidRPr="00EE5772" w:rsidRDefault="00591E90">
      <w:pPr>
        <w:pStyle w:val="Textonotapie"/>
        <w:rPr>
          <w:lang w:val="es-CO"/>
        </w:rPr>
      </w:pPr>
      <w:r>
        <w:rPr>
          <w:rStyle w:val="Refdenotaalpie"/>
        </w:rPr>
        <w:footnoteRef/>
      </w:r>
      <w:r>
        <w:t xml:space="preserve"> </w:t>
      </w:r>
      <w:r w:rsidRPr="00EE5772">
        <w:t>En 1962 vino a Colombia otra misión conformada por militares de Fort Bragg, una base militar estadounidense especializada durante la Guerra Fría en guerras no convencionales, operaciones especiales y guerra psicológica. Dicha misión estuvo al mando del brigadier general William P. Yarborough, quien le hizo seguimiento y amplió las recomendaciones entregadas en 1959.</w:t>
      </w:r>
    </w:p>
  </w:footnote>
  <w:footnote w:id="339">
    <w:p w:rsidR="00591E90" w:rsidRPr="00EE5772" w:rsidRDefault="00591E90">
      <w:pPr>
        <w:pStyle w:val="Textonotapie"/>
        <w:rPr>
          <w:lang w:val="es-CO"/>
        </w:rPr>
      </w:pPr>
      <w:r>
        <w:rPr>
          <w:rStyle w:val="Refdenotaalpie"/>
        </w:rPr>
        <w:footnoteRef/>
      </w:r>
      <w:r>
        <w:t xml:space="preserve"> </w:t>
      </w:r>
      <w:r w:rsidRPr="00EE5772">
        <w:t>Decreto por el cual se crea el Comité Nacional de Acción Cívico Militar.</w:t>
      </w:r>
    </w:p>
  </w:footnote>
  <w:footnote w:id="340">
    <w:p w:rsidR="00591E90" w:rsidRPr="00EE5772" w:rsidRDefault="00591E90">
      <w:pPr>
        <w:pStyle w:val="Textonotapie"/>
        <w:rPr>
          <w:lang w:val="es-CO"/>
        </w:rPr>
      </w:pPr>
      <w:r>
        <w:rPr>
          <w:rStyle w:val="Refdenotaalpie"/>
        </w:rPr>
        <w:footnoteRef/>
      </w:r>
      <w:r>
        <w:t xml:space="preserve"> </w:t>
      </w:r>
      <w:r w:rsidRPr="00EE5772">
        <w:t>Esta medida hizo parte de las transformaciones de las competencias y funciones de la fuerza pública colombiana que inició el gobierno de Guillermo León Valencia (1962-1966), a partir de las recomendaciones de las misiones estadounidenses que visitaron el país en el marco del gobierno de Alberto Lleras Camargo (1958-1962) y de la asistencia militar y económica de Estados Unidos a Colombia.</w:t>
      </w:r>
    </w:p>
  </w:footnote>
  <w:footnote w:id="341">
    <w:p w:rsidR="00591E90" w:rsidRPr="00D04772" w:rsidRDefault="00591E90">
      <w:pPr>
        <w:pStyle w:val="Textonotapie"/>
        <w:rPr>
          <w:lang w:val="es-CO"/>
        </w:rPr>
      </w:pPr>
      <w:r>
        <w:rPr>
          <w:rStyle w:val="Refdenotaalpie"/>
        </w:rPr>
        <w:footnoteRef/>
      </w:r>
      <w:r>
        <w:t xml:space="preserve"> </w:t>
      </w:r>
      <w:r w:rsidRPr="00D04772">
        <w:t>«Reglamento de Combate de Contraguerrillas -EJC 3-10» (aprobado por medio de la Disposición 005 del 9 de abril de 1969, del Comando General de las Fuerzas Militares) y el «Manual de Instrucciones Generales para Operaciones Contraguerrillas» (ratificado por la Disposición 0014 del 25 de junio de 1982 expedida por el comandante general del Ejército y el director de Instrucción y Entrenamiento del Ejército). Comisión Colombiana de Juristas. Organizaciones sucesoras del paramilitarismo. Bogotá: 2018, pág. 24 https://www.coljuristas.org/documentos/tmp/organizaciones_sucesoras_del_paramilitarismo.pdf</w:t>
      </w:r>
    </w:p>
  </w:footnote>
  <w:footnote w:id="342">
    <w:p w:rsidR="00591E90" w:rsidRPr="00D04772" w:rsidRDefault="00591E90">
      <w:pPr>
        <w:pStyle w:val="Textonotapie"/>
        <w:rPr>
          <w:lang w:val="es-CO"/>
        </w:rPr>
      </w:pPr>
      <w:r>
        <w:rPr>
          <w:rStyle w:val="Refdenotaalpie"/>
        </w:rPr>
        <w:footnoteRef/>
      </w:r>
      <w:r>
        <w:t xml:space="preserve"> </w:t>
      </w:r>
      <w:r w:rsidRPr="00D04772">
        <w:t xml:space="preserve">Cómo se verá, estas medidas no tuvieron efectos prácticos, entre otras razones porque no se reconoció que existieran grupos paramilitares, sino que se acudió al término «mal denominados paramilitares». Así mismo, como lo establece la Comisión Colombiana de Juristas «se suspendió la vigencia de la norma que servía de sustento jurídico para la existencia del paramilitarismo (el parágrafo 3° del art. 33 del Decreto 3398 de 1965); se creó un comité de ministros para diseñar una política contra el paramilitarismo (comité que nunca funcionó en la práctica); y se ordenó la creación de un cuerpo élite de mil hombres bajo la autoridad del Director de la Policía Nacional para enfrentar el paramilitarismo (grupo que nunca se constituyó)». </w:t>
      </w:r>
      <w:proofErr w:type="spellStart"/>
      <w:r w:rsidRPr="00D04772">
        <w:t>Coljuristas</w:t>
      </w:r>
      <w:proofErr w:type="spellEnd"/>
      <w:r w:rsidRPr="00D04772">
        <w:t>. Organizaciones sucesoras del paramilitarismo. Bogotá: 2018, pág. 28, https://www.coljuristas.org/documentos/tmp/organizaciones_sucesoras_del_paramilitarismo.pdf</w:t>
      </w:r>
    </w:p>
  </w:footnote>
  <w:footnote w:id="343">
    <w:p w:rsidR="00591E90" w:rsidRPr="00D04772" w:rsidRDefault="00591E90">
      <w:pPr>
        <w:pStyle w:val="Textonotapie"/>
        <w:rPr>
          <w:lang w:val="es-CO"/>
        </w:rPr>
      </w:pPr>
      <w:r>
        <w:rPr>
          <w:rStyle w:val="Refdenotaalpie"/>
        </w:rPr>
        <w:footnoteRef/>
      </w:r>
      <w:r>
        <w:t xml:space="preserve"> </w:t>
      </w:r>
      <w:r w:rsidRPr="00D04772">
        <w:t>Se establecieron mediante la Resolución 68 del 27 de abril de 1995. Las Convivir fueron una figura legal a través de la cual se unificaron los «servicios especiales de vigilancia y seguridad privada» y «los servicios comunitarios de vigilancia y seguridad privada». El nombre de ‘Convivir’, según Daniel García Peña, fue puesto</w:t>
      </w:r>
      <w:r>
        <w:t xml:space="preserve"> </w:t>
      </w:r>
      <w:r w:rsidRPr="00133F75">
        <w:t>por el mismo ministro Fernando Botero Zea, quien, además era cercano a Álvaro Uribe Vélez. Entrevista 122- PR-03473 (historiador, periodista y alto comisionado de Paz en el gobierno de Samper).</w:t>
      </w:r>
    </w:p>
  </w:footnote>
  <w:footnote w:id="344">
    <w:p w:rsidR="00591E90" w:rsidRPr="00133F75" w:rsidRDefault="00591E90">
      <w:pPr>
        <w:pStyle w:val="Textonotapie"/>
        <w:rPr>
          <w:lang w:val="es-CO"/>
        </w:rPr>
      </w:pPr>
      <w:r>
        <w:rPr>
          <w:rStyle w:val="Refdenotaalpie"/>
        </w:rPr>
        <w:footnoteRef/>
      </w:r>
      <w:r>
        <w:t xml:space="preserve"> </w:t>
      </w:r>
      <w:r w:rsidRPr="00133F75">
        <w:t>Entrevista 651-AA-00001 (excomandante de las AUC).</w:t>
      </w:r>
    </w:p>
  </w:footnote>
  <w:footnote w:id="345">
    <w:p w:rsidR="00591E90" w:rsidRPr="00E43F0B" w:rsidRDefault="00591E90">
      <w:pPr>
        <w:pStyle w:val="Textonotapie"/>
        <w:rPr>
          <w:lang w:val="es-CO"/>
        </w:rPr>
      </w:pPr>
      <w:r>
        <w:rPr>
          <w:rStyle w:val="Refdenotaalpie"/>
        </w:rPr>
        <w:footnoteRef/>
      </w:r>
      <w:r>
        <w:t xml:space="preserve"> </w:t>
      </w:r>
      <w:r w:rsidRPr="00E43F0B">
        <w:t xml:space="preserve">Revista Alternativa, N.º 8, marzo 15- abril 15 de 1997, pág. 12. Citado en: </w:t>
      </w:r>
      <w:proofErr w:type="spellStart"/>
      <w:r w:rsidRPr="00E43F0B">
        <w:t>Cinep</w:t>
      </w:r>
      <w:proofErr w:type="spellEnd"/>
      <w:r w:rsidRPr="00E43F0B">
        <w:t>. «Las Convivir: la legalización del paramilitarismo». En: Deuda con la humanidad: Paramilitarismo de Estado en Colombia 1988-2003. Bogotá: Centro de Investigación y Educación Popular, 2004. pág. 260.</w:t>
      </w:r>
    </w:p>
  </w:footnote>
  <w:footnote w:id="346">
    <w:p w:rsidR="00591E90" w:rsidRPr="00FE7854" w:rsidRDefault="00591E90">
      <w:pPr>
        <w:pStyle w:val="Textonotapie"/>
        <w:rPr>
          <w:lang w:val="es-CO"/>
        </w:rPr>
      </w:pPr>
      <w:r>
        <w:rPr>
          <w:rStyle w:val="Refdenotaalpie"/>
        </w:rPr>
        <w:footnoteRef/>
      </w:r>
      <w:r>
        <w:t xml:space="preserve"> </w:t>
      </w:r>
      <w:r w:rsidRPr="0012098C">
        <w:t>Francisco Gutiérrez. «Centrismo y represión homicida en Colombia: las Convivir, los paramilitares y el sistema político». En: El orangután con sacoleva. Cien años de democracia y represión en Colombia. Bogotá: IEPRI, 2014, págs. 361-390.</w:t>
      </w:r>
    </w:p>
  </w:footnote>
  <w:footnote w:id="347">
    <w:p w:rsidR="00591E90" w:rsidRPr="0012098C" w:rsidRDefault="00591E90">
      <w:pPr>
        <w:pStyle w:val="Textonotapie"/>
        <w:rPr>
          <w:lang w:val="es-CO"/>
        </w:rPr>
      </w:pPr>
      <w:r>
        <w:rPr>
          <w:rStyle w:val="Refdenotaalpie"/>
        </w:rPr>
        <w:footnoteRef/>
      </w:r>
      <w:r>
        <w:t xml:space="preserve"> </w:t>
      </w:r>
      <w:r w:rsidRPr="0012098C">
        <w:t xml:space="preserve">Para profundizar en los entramados de las Convivir para el centro del Cesar y el Urabá, consultar el caso ACCU en la plataforma </w:t>
      </w:r>
      <w:proofErr w:type="spellStart"/>
      <w:r w:rsidRPr="0012098C">
        <w:t>transmedia</w:t>
      </w:r>
      <w:proofErr w:type="spellEnd"/>
      <w:r w:rsidRPr="0012098C">
        <w:t>.</w:t>
      </w:r>
    </w:p>
  </w:footnote>
  <w:footnote w:id="348">
    <w:p w:rsidR="00591E90" w:rsidRPr="0012098C" w:rsidRDefault="00591E90">
      <w:pPr>
        <w:pStyle w:val="Textonotapie"/>
        <w:rPr>
          <w:lang w:val="es-CO"/>
        </w:rPr>
      </w:pPr>
      <w:r>
        <w:rPr>
          <w:rStyle w:val="Refdenotaalpie"/>
        </w:rPr>
        <w:footnoteRef/>
      </w:r>
      <w:r>
        <w:t xml:space="preserve"> </w:t>
      </w:r>
      <w:r w:rsidRPr="0012098C">
        <w:t xml:space="preserve">Informe 748-CL-00812. Ejército Nacional de Colombia. Informe para la Comisión de la Verdad. Análisis sobre el fenómeno de las Autodefensas en los territorios desde la perspectiva del Ejército Nacional. Bogotá: 2020, pág. 128. Sobre la pertenencia de exjefes paramilitares a los grupos paramilitares dice </w:t>
      </w:r>
      <w:proofErr w:type="spellStart"/>
      <w:r w:rsidRPr="0012098C">
        <w:t>Coljuristas</w:t>
      </w:r>
      <w:proofErr w:type="spellEnd"/>
      <w:r w:rsidRPr="0012098C">
        <w:t>: «varias de las Convivir autorizadas por el entonces Gobernador fueron dirigidas o integradas por reconocidos jefes paramilitares cuando estos ya pertenecían a la estructura paramilitar» Boletín No. 27: Serie sobre los derechos de las víctimas y la aplicación de la ley 975. Bogotá, 20 de junio de 2008. https://www.coljuristas.org/documentos/boletines/bol_n27_975.pdf</w:t>
      </w:r>
    </w:p>
  </w:footnote>
  <w:footnote w:id="349">
    <w:p w:rsidR="00591E90" w:rsidRPr="00D007CA" w:rsidRDefault="00591E90">
      <w:pPr>
        <w:pStyle w:val="Textonotapie"/>
        <w:rPr>
          <w:lang w:val="es-CO"/>
        </w:rPr>
      </w:pPr>
      <w:r>
        <w:rPr>
          <w:rStyle w:val="Refdenotaalpie"/>
        </w:rPr>
        <w:footnoteRef/>
      </w:r>
      <w:r>
        <w:t xml:space="preserve"> </w:t>
      </w:r>
      <w:r w:rsidRPr="00D007CA">
        <w:t xml:space="preserve">‘Cadena’, Rodrigo Mercado </w:t>
      </w:r>
      <w:proofErr w:type="spellStart"/>
      <w:r w:rsidRPr="00D007CA">
        <w:t>Pelufo</w:t>
      </w:r>
      <w:proofErr w:type="spellEnd"/>
      <w:r w:rsidRPr="00D007CA">
        <w:t>. Verdad Abierta (11 de junio de 2010). https://verdadabierta.com/cadena-rodrigo-mercado-peluffo/</w:t>
      </w:r>
    </w:p>
  </w:footnote>
  <w:footnote w:id="350">
    <w:p w:rsidR="00591E90" w:rsidRPr="00D007CA" w:rsidRDefault="00591E90">
      <w:pPr>
        <w:pStyle w:val="Textonotapie"/>
        <w:rPr>
          <w:lang w:val="es-CO"/>
        </w:rPr>
      </w:pPr>
      <w:r>
        <w:rPr>
          <w:rStyle w:val="Refdenotaalpie"/>
        </w:rPr>
        <w:footnoteRef/>
      </w:r>
      <w:r>
        <w:t xml:space="preserve"> </w:t>
      </w:r>
      <w:r w:rsidRPr="00D007CA">
        <w:t>Víctor Hugo Olaya M. De la guerra a la incertidumbre: niños, niñas y adolescentes desvinculados de grupos armados ilegales post desmovilización. Universidad Santo Tomás, Maestría en defensa de los Derechos Humanos y el Derecho Internacional Humanitario ante organismos, cortes y tribunales internacionales. Bogotá, 2016, pág. 22.</w:t>
      </w:r>
    </w:p>
  </w:footnote>
  <w:footnote w:id="351">
    <w:p w:rsidR="00591E90" w:rsidRPr="00D007CA" w:rsidRDefault="00591E90">
      <w:pPr>
        <w:pStyle w:val="Textonotapie"/>
        <w:rPr>
          <w:lang w:val="es-CO"/>
        </w:rPr>
      </w:pPr>
      <w:r>
        <w:rPr>
          <w:rStyle w:val="Refdenotaalpie"/>
        </w:rPr>
        <w:footnoteRef/>
      </w:r>
      <w:r>
        <w:t xml:space="preserve"> </w:t>
      </w:r>
      <w:r w:rsidRPr="00D007CA">
        <w:t>Datos de la Superintendencia de Vigilancia y Seguridad Privada. Citado en: Comisión para el Esclarecimiento de la Verdad. Consultoría interna: Juan Diego Restrepo E. «Autodefensas Campesinas de Córdoba y Urabá: surgimiento, transformación, consolidación y financiación 1994-1998». 2021.</w:t>
      </w:r>
    </w:p>
  </w:footnote>
  <w:footnote w:id="352">
    <w:p w:rsidR="00591E90" w:rsidRPr="00D007CA" w:rsidRDefault="00591E90">
      <w:pPr>
        <w:pStyle w:val="Textonotapie"/>
        <w:rPr>
          <w:lang w:val="es-CO"/>
        </w:rPr>
      </w:pPr>
      <w:r>
        <w:rPr>
          <w:rStyle w:val="Refdenotaalpie"/>
        </w:rPr>
        <w:footnoteRef/>
      </w:r>
      <w:r>
        <w:t xml:space="preserve"> </w:t>
      </w:r>
      <w:r w:rsidRPr="00D007CA">
        <w:t>Comisión para el Esclarecimiento de la Verdad. Consultoría interna: Juan Diego Restrepo E. «Autodefensas Campesinas de Córdoba y Urabá: surgimiento, transformación, consolidación y financiación 1994-1998». 2021.</w:t>
      </w:r>
    </w:p>
  </w:footnote>
  <w:footnote w:id="353">
    <w:p w:rsidR="00591E90" w:rsidRPr="00D007CA" w:rsidRDefault="00591E90">
      <w:pPr>
        <w:pStyle w:val="Textonotapie"/>
        <w:rPr>
          <w:lang w:val="es-CO"/>
        </w:rPr>
      </w:pPr>
      <w:r>
        <w:rPr>
          <w:rStyle w:val="Refdenotaalpie"/>
        </w:rPr>
        <w:footnoteRef/>
      </w:r>
      <w:r>
        <w:t xml:space="preserve"> </w:t>
      </w:r>
      <w:r w:rsidRPr="00D007CA">
        <w:t>Entrevista 651-AA-00001 (Salvatore Mancuso).</w:t>
      </w:r>
    </w:p>
  </w:footnote>
  <w:footnote w:id="354">
    <w:p w:rsidR="00591E90" w:rsidRPr="00D007CA" w:rsidRDefault="00591E90">
      <w:pPr>
        <w:pStyle w:val="Textonotapie"/>
        <w:rPr>
          <w:lang w:val="es-CO"/>
        </w:rPr>
      </w:pPr>
      <w:r>
        <w:rPr>
          <w:rStyle w:val="Refdenotaalpie"/>
        </w:rPr>
        <w:footnoteRef/>
      </w:r>
      <w:r>
        <w:t xml:space="preserve"> </w:t>
      </w:r>
      <w:r w:rsidRPr="00D007CA">
        <w:t xml:space="preserve">Documento Comisión de la Verdad. 119-CI-00252. Comisión </w:t>
      </w:r>
      <w:proofErr w:type="spellStart"/>
      <w:r w:rsidRPr="00D007CA">
        <w:t>Intereclesial</w:t>
      </w:r>
      <w:proofErr w:type="spellEnd"/>
      <w:r w:rsidRPr="00D007CA">
        <w:t xml:space="preserve"> de Justicia y Paz (CIJP); Corporación Jurídica Libertad (CJL); Fundación Forjando Futuros (FFF); Instituto Popular de Capacitación (IPC), 2019.</w:t>
      </w:r>
    </w:p>
  </w:footnote>
  <w:footnote w:id="355">
    <w:p w:rsidR="00591E90" w:rsidRPr="00D007CA" w:rsidRDefault="00591E90">
      <w:pPr>
        <w:pStyle w:val="Textonotapie"/>
        <w:rPr>
          <w:lang w:val="es-CO"/>
        </w:rPr>
      </w:pPr>
      <w:r>
        <w:rPr>
          <w:rStyle w:val="Refdenotaalpie"/>
        </w:rPr>
        <w:footnoteRef/>
      </w:r>
      <w:r>
        <w:t xml:space="preserve"> </w:t>
      </w:r>
      <w:r w:rsidRPr="00D007CA">
        <w:t>Documento Comisión de la Verdad. 748-CI-00855. El Espectador, citado en Fundación Cultura Democrática (</w:t>
      </w:r>
      <w:proofErr w:type="spellStart"/>
      <w:r w:rsidRPr="00D007CA">
        <w:t>Fucude</w:t>
      </w:r>
      <w:proofErr w:type="spellEnd"/>
      <w:r w:rsidRPr="00D007CA">
        <w:t>) &amp; Corporación Opción Legal, 2020, pág. 311.</w:t>
      </w:r>
    </w:p>
  </w:footnote>
  <w:footnote w:id="356">
    <w:p w:rsidR="00591E90" w:rsidRPr="00D007CA" w:rsidRDefault="00591E90">
      <w:pPr>
        <w:pStyle w:val="Textonotapie"/>
        <w:rPr>
          <w:lang w:val="es-CO"/>
        </w:rPr>
      </w:pPr>
      <w:r>
        <w:rPr>
          <w:rStyle w:val="Refdenotaalpie"/>
        </w:rPr>
        <w:footnoteRef/>
      </w:r>
      <w:r>
        <w:t xml:space="preserve"> </w:t>
      </w:r>
      <w:r w:rsidRPr="00D007CA">
        <w:t xml:space="preserve">Amparados en la Ley 975 de 2005. Ver sentencias de Justicia y Paz: Tribunal Superior de Bogotá, Sala de Justicia y Paz. Sentencia. Magistrado ponente Eduardo Castellanos, Postulado </w:t>
      </w:r>
      <w:proofErr w:type="spellStart"/>
      <w:r w:rsidRPr="00D007CA">
        <w:t>Hebert</w:t>
      </w:r>
      <w:proofErr w:type="spellEnd"/>
      <w:r w:rsidRPr="00D007CA">
        <w:t xml:space="preserve"> Veloza García, Bogotá, 30 de octubre de 2013.; Tribunal Superior de Bogotá, Sala de Justicia y Paz. Sentencia. Magistrada ponente </w:t>
      </w:r>
      <w:proofErr w:type="spellStart"/>
      <w:r w:rsidRPr="00D007CA">
        <w:t>Uldi</w:t>
      </w:r>
      <w:proofErr w:type="spellEnd"/>
      <w:r w:rsidRPr="00D007CA">
        <w:t xml:space="preserve"> Teresa Jiménez, Postulado José Barney Veloza García, Bogotá 31 de enero de 2012; Unidad Nacional de Fiscalías para la Justicia y la Paz, Audiencia de Versión libre Salvatore Mancuso, Medellín, 19 de diciembre de 2006.</w:t>
      </w:r>
    </w:p>
  </w:footnote>
  <w:footnote w:id="357">
    <w:p w:rsidR="00591E90" w:rsidRPr="00D007CA" w:rsidRDefault="00591E90">
      <w:pPr>
        <w:pStyle w:val="Textonotapie"/>
        <w:rPr>
          <w:lang w:val="es-CO"/>
        </w:rPr>
      </w:pPr>
      <w:r>
        <w:rPr>
          <w:rStyle w:val="Refdenotaalpie"/>
        </w:rPr>
        <w:footnoteRef/>
      </w:r>
      <w:r>
        <w:t xml:space="preserve"> </w:t>
      </w:r>
      <w:r w:rsidRPr="00D007CA">
        <w:t xml:space="preserve">Esta empresa se declaró culpable de haber realizado pagos a los paramilitares colombianos, en un juicio realizado en Estados Unidos por el juez federal Royce </w:t>
      </w:r>
      <w:proofErr w:type="spellStart"/>
      <w:r w:rsidRPr="00D007CA">
        <w:t>Lamberth</w:t>
      </w:r>
      <w:proofErr w:type="spellEnd"/>
      <w:r w:rsidRPr="00D007CA">
        <w:t>, por lo que fue condenada a pagar una multa de 25 millones de dólares. Fuente: 119-CI-00252.</w:t>
      </w:r>
    </w:p>
  </w:footnote>
  <w:footnote w:id="358">
    <w:p w:rsidR="00591E90" w:rsidRPr="00576CA5" w:rsidRDefault="00591E90">
      <w:pPr>
        <w:pStyle w:val="Textonotapie"/>
        <w:rPr>
          <w:lang w:val="es-CO"/>
        </w:rPr>
      </w:pPr>
      <w:r>
        <w:rPr>
          <w:rStyle w:val="Refdenotaalpie"/>
        </w:rPr>
        <w:footnoteRef/>
      </w:r>
      <w:r>
        <w:t xml:space="preserve"> </w:t>
      </w:r>
      <w:r w:rsidRPr="000A74E8">
        <w:t>Tribunal Superior de Medellín. Sala Justicia y Paz. Postulado: Jesús Ignacio Roldán Pérez. Radicado: 110016000253-2006-82611. 09 de diciembre. 2014. Par. 494.</w:t>
      </w:r>
    </w:p>
  </w:footnote>
  <w:footnote w:id="359">
    <w:p w:rsidR="00591E90" w:rsidRPr="00576CA5" w:rsidRDefault="00591E90">
      <w:pPr>
        <w:pStyle w:val="Textonotapie"/>
        <w:rPr>
          <w:lang w:val="es-CO"/>
        </w:rPr>
      </w:pPr>
      <w:r>
        <w:rPr>
          <w:rStyle w:val="Refdenotaalpie"/>
        </w:rPr>
        <w:footnoteRef/>
      </w:r>
      <w:r>
        <w:t xml:space="preserve"> </w:t>
      </w:r>
      <w:r w:rsidRPr="000A74E8">
        <w:t>Comisión Interamericana de Derechos Humanos. Violencia y la violación del Derecho Internacional de los Derechos Humanos y el Derecho Internacional Humanitario. Capítulo IV-E. http://www.cidh.org/countryrep/Colom99sp/capitulo-4e.htm</w:t>
      </w:r>
    </w:p>
  </w:footnote>
  <w:footnote w:id="360">
    <w:p w:rsidR="00591E90" w:rsidRPr="00576CA5" w:rsidRDefault="00591E90">
      <w:pPr>
        <w:pStyle w:val="Textonotapie"/>
        <w:rPr>
          <w:lang w:val="es-CO"/>
        </w:rPr>
      </w:pPr>
      <w:r>
        <w:rPr>
          <w:rStyle w:val="Refdenotaalpie"/>
        </w:rPr>
        <w:footnoteRef/>
      </w:r>
      <w:r>
        <w:t xml:space="preserve"> </w:t>
      </w:r>
      <w:r w:rsidRPr="000A74E8">
        <w:t>Ley 2197 de 2022 (25 de enero) «Por medio de la cual se dictan normas tendientes al fortalecimiento de la seguridad ciudadana y se dictan otras disposiciones el congreso de Colombia». Diario oficial CLVIII, 25 de enero 2022. https://www.suin-juriscol.gov.co/viewDocument.asp?ruta=Leyes/30043812</w:t>
      </w:r>
    </w:p>
  </w:footnote>
  <w:footnote w:id="361">
    <w:p w:rsidR="00591E90" w:rsidRPr="00576CA5" w:rsidRDefault="00591E90">
      <w:pPr>
        <w:pStyle w:val="Textonotapie"/>
        <w:rPr>
          <w:lang w:val="es-CO"/>
        </w:rPr>
      </w:pPr>
      <w:r>
        <w:rPr>
          <w:rStyle w:val="Refdenotaalpie"/>
        </w:rPr>
        <w:footnoteRef/>
      </w:r>
      <w:r>
        <w:t xml:space="preserve"> </w:t>
      </w:r>
      <w:r w:rsidRPr="000A74E8">
        <w:t xml:space="preserve">«Legítima defensa privilegiada. Se presume también como legítima la defensa que se ejerza para rechazar al extraño que usando maniobras o mediante violencia penetre o permanezca arbitrariamente en habitación o dependencias inmediatas, o vehículo ocupado. La fuerza letal se podrá ejercer de forma excepcional para repeler la agresión al derecho propio o ajeno». </w:t>
      </w:r>
      <w:proofErr w:type="spellStart"/>
      <w:r w:rsidRPr="000A74E8">
        <w:t>Ibíd</w:t>
      </w:r>
      <w:proofErr w:type="spellEnd"/>
      <w:r w:rsidRPr="000A74E8">
        <w:t>. Título II, artículo 3.</w:t>
      </w:r>
    </w:p>
  </w:footnote>
  <w:footnote w:id="362">
    <w:p w:rsidR="00591E90" w:rsidRPr="00C8296A" w:rsidRDefault="00591E90">
      <w:pPr>
        <w:pStyle w:val="Textonotapie"/>
        <w:rPr>
          <w:lang w:val="es-CO"/>
        </w:rPr>
      </w:pPr>
      <w:r>
        <w:rPr>
          <w:rStyle w:val="Refdenotaalpie"/>
        </w:rPr>
        <w:footnoteRef/>
      </w:r>
      <w:r>
        <w:t xml:space="preserve"> </w:t>
      </w:r>
      <w:r w:rsidRPr="00C8296A">
        <w:t>Como lo enunció ante la Comisión de la Verdad uno de los excomandantes de las AUC, por ejemplo, respecto a aquella desmovilización: «Lo que pasó en el gobierno de Uribe fue la desmovilización del ala armada, el paramilitarismo como fenómeno cultural, político, social y criminal ¡sigue vigente en este país! Incrustada, incrustada en el seno de la alta sociedad». Entrevista 240-AA-00005 (excomandante paramilitar).</w:t>
      </w:r>
    </w:p>
  </w:footnote>
  <w:footnote w:id="363">
    <w:p w:rsidR="00591E90" w:rsidRPr="00C8296A" w:rsidRDefault="00591E90">
      <w:pPr>
        <w:pStyle w:val="Textonotapie"/>
        <w:rPr>
          <w:lang w:val="es-CO"/>
        </w:rPr>
      </w:pPr>
      <w:r>
        <w:rPr>
          <w:rStyle w:val="Refdenotaalpie"/>
        </w:rPr>
        <w:footnoteRef/>
      </w:r>
      <w:r>
        <w:t xml:space="preserve"> </w:t>
      </w:r>
      <w:r w:rsidRPr="00C8296A">
        <w:t>Informe 240-CI-00384. Fundación Aulas de Paz. El Bloque Central Bolívar en sus propias voces. Capítulo: Magdalena Medio.</w:t>
      </w:r>
    </w:p>
  </w:footnote>
  <w:footnote w:id="364">
    <w:p w:rsidR="00591E90" w:rsidRPr="00C8296A" w:rsidRDefault="00591E90">
      <w:pPr>
        <w:pStyle w:val="Textonotapie"/>
        <w:rPr>
          <w:lang w:val="es-CO"/>
        </w:rPr>
      </w:pPr>
      <w:r>
        <w:rPr>
          <w:rStyle w:val="Refdenotaalpie"/>
        </w:rPr>
        <w:footnoteRef/>
      </w:r>
      <w:r>
        <w:t xml:space="preserve"> </w:t>
      </w:r>
      <w:r w:rsidRPr="00C8296A">
        <w:t>Desde los sesenta, las FARC incursionaron en la región a través del Frente 4 en los límites entre Boyacá, Cundinamarca, Santander y Antioquia; y se expandieron en la primera mitad de los ochenta, a través de los frentes «11, 12, 20 y 23 en Santander, el 24 en el Sur de Bolívar, el 22 en Cundinamarca y el 9 en Antioquia; este último acabó compartiendo su influencia con el 4 que se desplazó desde el sur de la región en dirección al nordeste antioqueño. En la primera mitad de los noventa nacieron el 37 en Bolívar y el 46 en los límites de Santander y Bolívar». Consejería Presidencial para los Derechos Humanos. Panorama actual del Magdalena Medio Observatorio del Programa Presidencial de DDHH y DIH. 2001.</w:t>
      </w:r>
    </w:p>
  </w:footnote>
  <w:footnote w:id="365">
    <w:p w:rsidR="00591E90" w:rsidRPr="00C8296A" w:rsidRDefault="00591E90">
      <w:pPr>
        <w:pStyle w:val="Textonotapie"/>
        <w:rPr>
          <w:lang w:val="es-CO"/>
        </w:rPr>
      </w:pPr>
      <w:r>
        <w:rPr>
          <w:rStyle w:val="Refdenotaalpie"/>
        </w:rPr>
        <w:footnoteRef/>
      </w:r>
      <w:r>
        <w:t xml:space="preserve"> </w:t>
      </w:r>
      <w:r w:rsidRPr="00C8296A">
        <w:t>GMH-CNRR. La Rochela. Memorias de un crimen contra la justicia. 2010; Fiscalía General de la Nación. Dossier BMM (Bloque Magdalena Medio). (s. f.-a); Fiscalía General de la Nación. Dossier BPB (Bloque Puerto Boyacá). (s. f.-b).</w:t>
      </w:r>
    </w:p>
  </w:footnote>
  <w:footnote w:id="366">
    <w:p w:rsidR="00591E90" w:rsidRPr="00C8296A" w:rsidRDefault="00591E90">
      <w:pPr>
        <w:pStyle w:val="Textonotapie"/>
        <w:rPr>
          <w:lang w:val="es-CO"/>
        </w:rPr>
      </w:pPr>
      <w:r>
        <w:rPr>
          <w:rStyle w:val="Refdenotaalpie"/>
        </w:rPr>
        <w:footnoteRef/>
      </w:r>
      <w:r>
        <w:t xml:space="preserve"> </w:t>
      </w:r>
      <w:r w:rsidRPr="00C8296A">
        <w:t>GMH-CNRR. La Rochela. Memorias de un crimen contra la justicia. 2010, pág. 280.</w:t>
      </w:r>
    </w:p>
  </w:footnote>
  <w:footnote w:id="367">
    <w:p w:rsidR="00591E90" w:rsidRPr="00C8296A" w:rsidRDefault="00591E90">
      <w:pPr>
        <w:pStyle w:val="Textonotapie"/>
        <w:rPr>
          <w:lang w:val="es-CO"/>
        </w:rPr>
      </w:pPr>
      <w:r>
        <w:rPr>
          <w:rStyle w:val="Refdenotaalpie"/>
        </w:rPr>
        <w:footnoteRef/>
      </w:r>
      <w:r>
        <w:t xml:space="preserve"> </w:t>
      </w:r>
      <w:r w:rsidRPr="00C8296A">
        <w:t>En Medellín, el 12 de noviembre de 1981, el M-19 secuestró a Martha Nieves Ochoa, hermana de los narcotraficantes del Cartel de Medellín Fabio, Juan David y Jorge Luis Ochoa Vásquez. Frente a este hecho, el Cartel reunió a 223 narcotraficantes, en el Hotel Intercontinental de Medellín, para crear un proyecto militar que diera respuesta a las acciones de los grupos guerrilleros que afectaban sus intereses. Ese día nació el MAS (Muerte a Secuestradores), un ejército privado de más de 2.000 hombres dirigido a los secuestradores y a lo que llamaron delincuentes comunes o subversivos.</w:t>
      </w:r>
    </w:p>
  </w:footnote>
  <w:footnote w:id="368">
    <w:p w:rsidR="00591E90" w:rsidRDefault="00591E90" w:rsidP="00C8296A">
      <w:pPr>
        <w:pStyle w:val="Textonotapie"/>
      </w:pPr>
      <w:r>
        <w:rPr>
          <w:rStyle w:val="Refdenotaalpie"/>
        </w:rPr>
        <w:footnoteRef/>
      </w:r>
      <w:r>
        <w:t xml:space="preserve"> Es en el marco de estas capacitaciones que llegan exmilitares mercenarios como el israelí Yair Klein, el australiano Terry </w:t>
      </w:r>
      <w:proofErr w:type="spellStart"/>
      <w:r>
        <w:t>Tagney</w:t>
      </w:r>
      <w:proofErr w:type="spellEnd"/>
      <w:r>
        <w:t xml:space="preserve"> y el excoronel inglés Peter Mc </w:t>
      </w:r>
      <w:proofErr w:type="spellStart"/>
      <w:r>
        <w:t>Aleese</w:t>
      </w:r>
      <w:proofErr w:type="spellEnd"/>
      <w:r>
        <w:t xml:space="preserve">, que lideraron algunos de los cursos que se ofertaron en las múltiples escuelas creadas. </w:t>
      </w:r>
      <w:proofErr w:type="spellStart"/>
      <w:r>
        <w:t>Journeyman</w:t>
      </w:r>
      <w:proofErr w:type="spellEnd"/>
      <w:r>
        <w:t xml:space="preserve"> </w:t>
      </w:r>
      <w:proofErr w:type="spellStart"/>
      <w:r>
        <w:t>Pictures</w:t>
      </w:r>
      <w:proofErr w:type="spellEnd"/>
      <w:r>
        <w:t xml:space="preserve">. «Colombia </w:t>
      </w:r>
      <w:proofErr w:type="spellStart"/>
      <w:r>
        <w:t>Drug</w:t>
      </w:r>
      <w:proofErr w:type="spellEnd"/>
      <w:r>
        <w:t xml:space="preserve"> Cartel </w:t>
      </w:r>
      <w:proofErr w:type="spellStart"/>
      <w:r>
        <w:t>Mercenaries</w:t>
      </w:r>
      <w:proofErr w:type="spellEnd"/>
      <w:r>
        <w:t>» Short</w:t>
      </w:r>
    </w:p>
    <w:p w:rsidR="00591E90" w:rsidRPr="00C8296A" w:rsidRDefault="00591E90" w:rsidP="00C8296A">
      <w:pPr>
        <w:pStyle w:val="Textonotapie"/>
        <w:rPr>
          <w:lang w:val="es-CO"/>
        </w:rPr>
      </w:pPr>
      <w:r>
        <w:t xml:space="preserve">- 4 min </w:t>
      </w:r>
      <w:proofErr w:type="spellStart"/>
      <w:r>
        <w:t>The</w:t>
      </w:r>
      <w:proofErr w:type="spellEnd"/>
      <w:r>
        <w:t xml:space="preserve"> </w:t>
      </w:r>
      <w:proofErr w:type="spellStart"/>
      <w:r>
        <w:t>Westerners</w:t>
      </w:r>
      <w:proofErr w:type="spellEnd"/>
      <w:r>
        <w:t xml:space="preserve"> Training </w:t>
      </w:r>
      <w:proofErr w:type="spellStart"/>
      <w:r>
        <w:t>Escobar's</w:t>
      </w:r>
      <w:proofErr w:type="spellEnd"/>
      <w:r>
        <w:t xml:space="preserve"> Medellín Cartel, nota periodística desde Londres transmitida por el noticiero estadounidense NBC el 1 de octubre de 1989. https://www.journeyman.tv/film/1952</w:t>
      </w:r>
    </w:p>
  </w:footnote>
  <w:footnote w:id="369">
    <w:p w:rsidR="00591E90" w:rsidRPr="00C8296A" w:rsidRDefault="00591E90">
      <w:pPr>
        <w:pStyle w:val="Textonotapie"/>
        <w:rPr>
          <w:lang w:val="es-CO"/>
        </w:rPr>
      </w:pPr>
      <w:r>
        <w:rPr>
          <w:rStyle w:val="Refdenotaalpie"/>
        </w:rPr>
        <w:footnoteRef/>
      </w:r>
      <w:r>
        <w:t xml:space="preserve"> </w:t>
      </w:r>
      <w:r w:rsidRPr="00C8296A">
        <w:t xml:space="preserve">«La penetración de paramilitares en la región de Urabá se inició en agradecimiento de que </w:t>
      </w:r>
      <w:proofErr w:type="spellStart"/>
      <w:r w:rsidRPr="00C8296A">
        <w:t>Uniban</w:t>
      </w:r>
      <w:proofErr w:type="spellEnd"/>
      <w:r w:rsidRPr="00C8296A">
        <w:t xml:space="preserve"> apoyó hacer los cursos, y entonces se acordó enviar un grupo de paramilitares a Necoclí, Carepa y Arboletes […] el señor que estaba representando a </w:t>
      </w:r>
      <w:proofErr w:type="spellStart"/>
      <w:r w:rsidRPr="00C8296A">
        <w:t>Uniban</w:t>
      </w:r>
      <w:proofErr w:type="spellEnd"/>
      <w:r w:rsidRPr="00C8296A">
        <w:t xml:space="preserve"> dijo que estaba dispuesto para representar la empresa y a prestar el nombre para el pago de los mercenarios, pero a cambio había que mandarles a un personal para Urabá para combatir la guerrilla en Urabá, entonces Luis Rubio dijo junto con los Pérez que eso no había problema, que se podía hacer». Tribunal Superior del Distrito Judicial. Sentencia segunda Yair Klein. Rad: 1999-0076-01. 22 de junio. 2002, pág. 32.</w:t>
      </w:r>
    </w:p>
  </w:footnote>
  <w:footnote w:id="370">
    <w:p w:rsidR="00591E90" w:rsidRPr="00C8296A" w:rsidRDefault="00591E90">
      <w:pPr>
        <w:pStyle w:val="Textonotapie"/>
        <w:rPr>
          <w:lang w:val="es-CO"/>
        </w:rPr>
      </w:pPr>
      <w:r>
        <w:rPr>
          <w:rStyle w:val="Refdenotaalpie"/>
        </w:rPr>
        <w:footnoteRef/>
      </w:r>
      <w:r>
        <w:t xml:space="preserve"> </w:t>
      </w:r>
      <w:r w:rsidRPr="00C8296A">
        <w:t>Entrevista 001-VI-00027 exfuncionaria judicial en el exilio.</w:t>
      </w:r>
    </w:p>
  </w:footnote>
  <w:footnote w:id="371">
    <w:p w:rsidR="00591E90" w:rsidRPr="00F747E5" w:rsidRDefault="00591E90">
      <w:pPr>
        <w:pStyle w:val="Textonotapie"/>
        <w:rPr>
          <w:lang w:val="es-CO"/>
        </w:rPr>
      </w:pPr>
      <w:r>
        <w:rPr>
          <w:rStyle w:val="Refdenotaalpie"/>
        </w:rPr>
        <w:footnoteRef/>
      </w:r>
      <w:r>
        <w:t xml:space="preserve"> </w:t>
      </w:r>
      <w:r w:rsidRPr="00F747E5">
        <w:t>En la madrugada del 4 de marzo de 1988 un grupo de 20 hombres armados pertenecientes al grupo paramilitar del Movimiento Obrero Estudiantil Nacional Socialista (MOENS) irrumpieron de forma violenta en la finca conocida como Honduras, en el corregimiento de Currulao, municipio de Turbo, en Antioquia, donde vivían campesinos con sus respectivas familias. Con lista en mano, apartaron a 17 trabajadores y los asesinaron, únicamente se salvaron 9 campesinos cuyos nombres no aparecieron en la lista de los paramilitares. Posterior a esto, continuaron hacia la finca vecina, conocida como La Negra, donde de forma similar asesinaron a 3 trabajadores. Todos eran o bien pertenecientes al Sindicato de Trabajadores Agrarios de Antioquia (</w:t>
      </w:r>
      <w:proofErr w:type="spellStart"/>
      <w:r w:rsidRPr="00F747E5">
        <w:t>Sintagro</w:t>
      </w:r>
      <w:proofErr w:type="spellEnd"/>
      <w:r w:rsidRPr="00F747E5">
        <w:t>) o bien simpatizantes de movimientos y organizaciones políticas de izquierda como la Unión Patriótica (UP) y el Frente Popular. Aunque en un inicio se llegó a pensar que la masacre respondía a un enfrentamiento entre las guerrillas que hacían presencia en la zona, FARC-EP y EPL, esta fue desmentida, tanto por los efectos que una masacre así pudiera haber generado en las votaciones del 13 de marzo siguiente, como también porque el grupo paramilitar MOENS, a cargo de Fidel Castaño, se atribuyó la masacre en las dos fincas.</w:t>
      </w:r>
    </w:p>
  </w:footnote>
  <w:footnote w:id="372">
    <w:p w:rsidR="00591E90" w:rsidRPr="00F747E5" w:rsidRDefault="00591E90">
      <w:pPr>
        <w:pStyle w:val="Textonotapie"/>
        <w:rPr>
          <w:lang w:val="es-CO"/>
        </w:rPr>
      </w:pPr>
      <w:r>
        <w:rPr>
          <w:rStyle w:val="Refdenotaalpie"/>
        </w:rPr>
        <w:footnoteRef/>
      </w:r>
      <w:r>
        <w:t xml:space="preserve"> </w:t>
      </w:r>
      <w:r w:rsidRPr="00F747E5">
        <w:t>Verdad Abierta. «Los inéditos viajes de hijos de bananeros de Urabá a campamentos de Henry Pérez». Verdad Abierta. 1 de febrero de 2015. Centro Nacional de Memoria Histórica. El Estado suplantado, las autodefensas de Puerto Boyacá. Bogotá: CNMH, 2019, pág. 214.</w:t>
      </w:r>
    </w:p>
  </w:footnote>
  <w:footnote w:id="373">
    <w:p w:rsidR="00591E90" w:rsidRDefault="00591E90" w:rsidP="00F747E5">
      <w:pPr>
        <w:pStyle w:val="Textonotapie"/>
      </w:pPr>
      <w:r>
        <w:rPr>
          <w:rStyle w:val="Refdenotaalpie"/>
        </w:rPr>
        <w:footnoteRef/>
      </w:r>
      <w:r>
        <w:t xml:space="preserve"> Informe Confidencial del DAS del 20 de julio de 1988. Citado en: Equipo </w:t>
      </w:r>
      <w:proofErr w:type="spellStart"/>
      <w:r>
        <w:t>Nizkor</w:t>
      </w:r>
      <w:proofErr w:type="spellEnd"/>
      <w:r>
        <w:t xml:space="preserve"> y Derechos Human </w:t>
      </w:r>
      <w:proofErr w:type="spellStart"/>
      <w:r>
        <w:t>Rights</w:t>
      </w:r>
      <w:proofErr w:type="spellEnd"/>
      <w:r>
        <w:t>.</w:t>
      </w:r>
    </w:p>
    <w:p w:rsidR="00591E90" w:rsidRPr="00F747E5" w:rsidRDefault="00591E90" w:rsidP="00F747E5">
      <w:pPr>
        <w:pStyle w:val="Textonotapie"/>
        <w:rPr>
          <w:lang w:val="es-CO"/>
        </w:rPr>
      </w:pPr>
      <w:r>
        <w:t>Proyecto Nunca Más. 2001.</w:t>
      </w:r>
    </w:p>
  </w:footnote>
  <w:footnote w:id="374">
    <w:p w:rsidR="00591E90" w:rsidRPr="00970CFD" w:rsidRDefault="00591E90">
      <w:pPr>
        <w:pStyle w:val="Textonotapie"/>
        <w:rPr>
          <w:lang w:val="es-CO"/>
        </w:rPr>
      </w:pPr>
      <w:r>
        <w:rPr>
          <w:rStyle w:val="Refdenotaalpie"/>
        </w:rPr>
        <w:footnoteRef/>
      </w:r>
      <w:r>
        <w:t xml:space="preserve"> </w:t>
      </w:r>
      <w:r w:rsidRPr="00970CFD">
        <w:t xml:space="preserve">Centro Nacional de Memoria Histórica. «Violencia paramilitar en la Altillanura: autodefensas campesinas de Meta y Vichada. Informe </w:t>
      </w:r>
      <w:proofErr w:type="spellStart"/>
      <w:r w:rsidRPr="00970CFD">
        <w:t>N.°</w:t>
      </w:r>
      <w:proofErr w:type="spellEnd"/>
      <w:r w:rsidRPr="00970CFD">
        <w:t xml:space="preserve"> 3». Serie: Informes sobre el origen y actuación de las agrupaciones paramilitares en las regiones. Bogotá: CNMH, 2018.</w:t>
      </w:r>
    </w:p>
  </w:footnote>
  <w:footnote w:id="375">
    <w:p w:rsidR="00591E90" w:rsidRPr="00970CFD" w:rsidRDefault="00591E90">
      <w:pPr>
        <w:pStyle w:val="Textonotapie"/>
        <w:rPr>
          <w:lang w:val="es-CO"/>
        </w:rPr>
      </w:pPr>
      <w:r>
        <w:rPr>
          <w:rStyle w:val="Refdenotaalpie"/>
        </w:rPr>
        <w:footnoteRef/>
      </w:r>
      <w:r>
        <w:t xml:space="preserve"> </w:t>
      </w:r>
      <w:r w:rsidRPr="00970CFD">
        <w:t xml:space="preserve">Entrevista 123-PR-00025 (hombre, filósofo, asesor de la familia Castaño). «Quedamos en que íbamos a descansar un poquito de la guerra esa y que en enero del 94 nos veíamos en Urabá para comenzar por allá, otra vez, la guerra contra las FARC». Aldo </w:t>
      </w:r>
      <w:proofErr w:type="spellStart"/>
      <w:r w:rsidRPr="00970CFD">
        <w:t>Civico</w:t>
      </w:r>
      <w:proofErr w:type="spellEnd"/>
      <w:r w:rsidRPr="00970CFD">
        <w:t>. «No divulgar hasta que los implicados estén muertos». Las guerras de «</w:t>
      </w:r>
      <w:proofErr w:type="spellStart"/>
      <w:r w:rsidRPr="00970CFD">
        <w:t>Doblecero</w:t>
      </w:r>
      <w:proofErr w:type="spellEnd"/>
      <w:r w:rsidRPr="00970CFD">
        <w:t>». Bogotá: Intermedio Editores, 2009, pág. 53.</w:t>
      </w:r>
    </w:p>
  </w:footnote>
  <w:footnote w:id="376">
    <w:p w:rsidR="00591E90" w:rsidRPr="00970CFD" w:rsidRDefault="00591E90">
      <w:pPr>
        <w:pStyle w:val="Textonotapie"/>
        <w:rPr>
          <w:lang w:val="es-CO"/>
        </w:rPr>
      </w:pPr>
      <w:r>
        <w:rPr>
          <w:rStyle w:val="Refdenotaalpie"/>
        </w:rPr>
        <w:footnoteRef/>
      </w:r>
      <w:r>
        <w:t xml:space="preserve"> </w:t>
      </w:r>
      <w:r w:rsidRPr="00970CFD">
        <w:t>Entrevista 123-PR-00016 (Empresario, hombre, testigo).</w:t>
      </w:r>
    </w:p>
  </w:footnote>
  <w:footnote w:id="377">
    <w:p w:rsidR="00591E90" w:rsidRPr="00A70DBC" w:rsidRDefault="00591E90">
      <w:pPr>
        <w:pStyle w:val="Textonotapie"/>
        <w:rPr>
          <w:lang w:val="es-CO"/>
        </w:rPr>
      </w:pPr>
      <w:r>
        <w:rPr>
          <w:rStyle w:val="Refdenotaalpie"/>
        </w:rPr>
        <w:footnoteRef/>
      </w:r>
      <w:r>
        <w:t xml:space="preserve"> </w:t>
      </w:r>
      <w:r w:rsidRPr="00A70DBC">
        <w:t>La existencia de pequeños grupos armados locales no era un fenómeno raro para los años ochenta e inicios de los noventa en regiones como Córdoba, ni era exclusivo de los Castaño. Esto se explica por las historias territoriales de colonización, conflicto e inserción estatal, pero también por la estrategia antisubversiva de la fuerza pública que consistió en la delegación de sus funciones y el uso de civiles para estrategias de ataque, control, inteligencia y saboteo de las supuestas bases de la insurgencia.</w:t>
      </w:r>
    </w:p>
  </w:footnote>
  <w:footnote w:id="378">
    <w:p w:rsidR="00591E90" w:rsidRPr="00A70DBC" w:rsidRDefault="00591E90">
      <w:pPr>
        <w:pStyle w:val="Textonotapie"/>
        <w:rPr>
          <w:lang w:val="es-CO"/>
        </w:rPr>
      </w:pPr>
      <w:r>
        <w:rPr>
          <w:rStyle w:val="Refdenotaalpie"/>
        </w:rPr>
        <w:footnoteRef/>
      </w:r>
      <w:r>
        <w:t xml:space="preserve"> </w:t>
      </w:r>
      <w:r w:rsidRPr="00A70DBC">
        <w:t>Hernán Darío Moreno Calle, oriundo de Frontino, conocido con los alias de ‘Mateo Rey’ y ‘El Coronel’, quien era «miembro de una familia muy influyente y acomodada del municipio de Frontino. Este señor era dueño de grandes extensiones de tierras y fincas. Fue el contacto directo con alias H. H. y los Castaño Gil para que les suministraran personal y armamento, y les dieran la anuencia para operar en la zona». Unidad Nacional de Fiscalías para la Justicia y la Paz, Unidad Especial Policía Judicial, Informe de Policía Judicial, Medellín, 21 de junio de 2012. Citado en: Consultoría Interna. Juan Diego Restrepo. Autodefensas Campesinas de Córdoba y Urabá: surgimiento, transformación, consolidación y financiación 1994-1998.</w:t>
      </w:r>
    </w:p>
  </w:footnote>
  <w:footnote w:id="379">
    <w:p w:rsidR="00591E90" w:rsidRPr="00A70DBC" w:rsidRDefault="00591E90">
      <w:pPr>
        <w:pStyle w:val="Textonotapie"/>
        <w:rPr>
          <w:lang w:val="es-CO"/>
        </w:rPr>
      </w:pPr>
      <w:r>
        <w:rPr>
          <w:rStyle w:val="Refdenotaalpie"/>
        </w:rPr>
        <w:footnoteRef/>
      </w:r>
      <w:r>
        <w:t xml:space="preserve"> </w:t>
      </w:r>
      <w:r w:rsidRPr="00A70DBC">
        <w:t>Consultoría Interna. Juan Diego Restrepo. Autodefensas Campesinas de Córdoba y Urabá: surgimiento, transformación, consolidación y financiación 1994-1998, pág. 11.</w:t>
      </w:r>
    </w:p>
  </w:footnote>
  <w:footnote w:id="380">
    <w:p w:rsidR="00591E90" w:rsidRPr="00C70A6B" w:rsidRDefault="00591E90">
      <w:pPr>
        <w:pStyle w:val="Textonotapie"/>
        <w:rPr>
          <w:lang w:val="es-CO"/>
        </w:rPr>
      </w:pPr>
      <w:r>
        <w:rPr>
          <w:rStyle w:val="Refdenotaalpie"/>
        </w:rPr>
        <w:footnoteRef/>
      </w:r>
      <w:r w:rsidRPr="00932797">
        <w:rPr>
          <w:lang w:val="en-US"/>
        </w:rPr>
        <w:t xml:space="preserve"> National Security Archive. Trip report to Monteria, a Colombian «para»-</w:t>
      </w:r>
      <w:proofErr w:type="spellStart"/>
      <w:r w:rsidRPr="00932797">
        <w:rPr>
          <w:lang w:val="en-US"/>
        </w:rPr>
        <w:t>dise</w:t>
      </w:r>
      <w:proofErr w:type="spellEnd"/>
      <w:r w:rsidRPr="00932797">
        <w:rPr>
          <w:lang w:val="en-US"/>
        </w:rPr>
        <w:t xml:space="preserve"> (part I: The paramilitaries propose a national assembly. </w:t>
      </w:r>
      <w:r w:rsidRPr="00932797">
        <w:t>Diciembre 1998. Código 19981218-22122-Monteria-TripRpt1 de 1998.</w:t>
      </w:r>
    </w:p>
  </w:footnote>
  <w:footnote w:id="381">
    <w:p w:rsidR="00591E90" w:rsidRPr="00C70A6B" w:rsidRDefault="00591E90">
      <w:pPr>
        <w:pStyle w:val="Textonotapie"/>
        <w:rPr>
          <w:lang w:val="es-CO"/>
        </w:rPr>
      </w:pPr>
      <w:r>
        <w:rPr>
          <w:rStyle w:val="Refdenotaalpie"/>
        </w:rPr>
        <w:footnoteRef/>
      </w:r>
      <w:r>
        <w:t xml:space="preserve"> </w:t>
      </w:r>
      <w:r w:rsidRPr="00932797">
        <w:t>Salvatore Mancuso. Ante los tribunales de justicia y la historia. Origen, desarrollo y desmovilización de las Autodefensas Unidas de Colombia, Memorias inéditas. 2007, pág. 76.</w:t>
      </w:r>
    </w:p>
  </w:footnote>
  <w:footnote w:id="382">
    <w:p w:rsidR="00591E90" w:rsidRPr="00932797" w:rsidRDefault="00591E90">
      <w:pPr>
        <w:pStyle w:val="Textonotapie"/>
        <w:rPr>
          <w:lang w:val="es-CO"/>
        </w:rPr>
      </w:pPr>
      <w:r>
        <w:rPr>
          <w:rStyle w:val="Refdenotaalpie"/>
        </w:rPr>
        <w:footnoteRef/>
      </w:r>
      <w:r>
        <w:t xml:space="preserve"> </w:t>
      </w:r>
      <w:r w:rsidRPr="00932797">
        <w:t>Este plan, según Salvatore Mancuso, consideraba estrategias para la expansión y consolidación territorial, militar, fortalecimiento económico, consolidación social, política y una dimensión explícitamente paraestatal. Tribunal Superior del Distrito Judicial de Bogotá, Sala de Justicia y Paz. Sentencia. Procesado Salvatore Mancuso y otros. Bogotá, 31 de octubre de 2014, párr. 133.</w:t>
      </w:r>
    </w:p>
  </w:footnote>
  <w:footnote w:id="383">
    <w:p w:rsidR="00591E90" w:rsidRPr="00696DDA" w:rsidRDefault="00591E90">
      <w:pPr>
        <w:pStyle w:val="Textonotapie"/>
        <w:rPr>
          <w:lang w:val="es-CO"/>
        </w:rPr>
      </w:pPr>
      <w:r>
        <w:rPr>
          <w:rStyle w:val="Refdenotaalpie"/>
        </w:rPr>
        <w:footnoteRef/>
      </w:r>
      <w:r>
        <w:t xml:space="preserve"> </w:t>
      </w:r>
      <w:r w:rsidRPr="00696DDA">
        <w:t>‘El Mexicano’, quien también era aliado inicial del esmeraldero Gilberto Molina, fue un puente entre mafias de esmeralderos, donde se encontraban Víctor Carranza y Puerto Boyacá. Según la Fiscalía, para esos años «ya tenía estructuras de autodefensa (contraguerrilla), de defensa privada (cuidado de propiedades) y de seguridad privada al servicio del narcotráfico (que cuidaban laboratorios y caminos para salida del narcótico)». Tribunal Superior de Bogotá, Sala Justicia y Paz. Sentencia. Ramón María Isaza Arango y Otros. 2014, pág. 214.</w:t>
      </w:r>
    </w:p>
  </w:footnote>
  <w:footnote w:id="384">
    <w:p w:rsidR="00591E90" w:rsidRPr="00696DDA" w:rsidRDefault="00591E90">
      <w:pPr>
        <w:pStyle w:val="Textonotapie"/>
        <w:rPr>
          <w:lang w:val="es-CO"/>
        </w:rPr>
      </w:pPr>
      <w:r>
        <w:rPr>
          <w:rStyle w:val="Refdenotaalpie"/>
        </w:rPr>
        <w:footnoteRef/>
      </w:r>
      <w:r>
        <w:t xml:space="preserve"> </w:t>
      </w:r>
      <w:r w:rsidRPr="00696DDA">
        <w:t>CNMH. El Estado Suplantado. Las autodefensas de Puerto Boyacá. Bogotá: 2019b, pág. 133.</w:t>
      </w:r>
    </w:p>
  </w:footnote>
  <w:footnote w:id="385">
    <w:p w:rsidR="00591E90" w:rsidRPr="00696DDA" w:rsidRDefault="00591E90">
      <w:pPr>
        <w:pStyle w:val="Textonotapie"/>
        <w:rPr>
          <w:lang w:val="es-CO"/>
        </w:rPr>
      </w:pPr>
      <w:r>
        <w:rPr>
          <w:rStyle w:val="Refdenotaalpie"/>
        </w:rPr>
        <w:footnoteRef/>
      </w:r>
      <w:r>
        <w:t xml:space="preserve"> </w:t>
      </w:r>
      <w:r w:rsidRPr="00696DDA">
        <w:t>El primer grupo de paramilitares que saldría de Puerto Boyacá estaba conformado por 23 hombres, que a inicios de 1986 fueron enviados a Monterrey (Casanare), y posteriormente trasladados a Meta y Putumayo. Para este mismo año, otro grupo fue enviado a San Martín y Vista Hermosa (Meta). CNMH. El Estado Suplantado. Las autodefensas de Puerto Boyacá. Bogotá: 2019b, pág. 136.</w:t>
      </w:r>
    </w:p>
  </w:footnote>
  <w:footnote w:id="386">
    <w:p w:rsidR="00591E90" w:rsidRPr="00696DDA" w:rsidRDefault="00591E90">
      <w:pPr>
        <w:pStyle w:val="Textonotapie"/>
        <w:rPr>
          <w:lang w:val="es-CO"/>
        </w:rPr>
      </w:pPr>
      <w:r>
        <w:rPr>
          <w:rStyle w:val="Refdenotaalpie"/>
        </w:rPr>
        <w:footnoteRef/>
      </w:r>
      <w:r>
        <w:t xml:space="preserve"> </w:t>
      </w:r>
      <w:r w:rsidRPr="00696DDA">
        <w:t xml:space="preserve">Según los registros de la DEA desclasificados por el </w:t>
      </w:r>
      <w:proofErr w:type="spellStart"/>
      <w:r w:rsidRPr="00696DDA">
        <w:t>National</w:t>
      </w:r>
      <w:proofErr w:type="spellEnd"/>
      <w:r w:rsidRPr="00696DDA">
        <w:t xml:space="preserve"> Security Archive (NSA), Henry Pérez, junto con Ariel Otero, mediante el Grupo Élite de la Policía Nacional, había tenido acercamientos con la DEA, desde principios de 1991, a través del suministro de información contra el Cartel de Medellín. DEA, </w:t>
      </w:r>
      <w:proofErr w:type="spellStart"/>
      <w:r w:rsidRPr="00696DDA">
        <w:t>Drug</w:t>
      </w:r>
      <w:proofErr w:type="spellEnd"/>
      <w:r w:rsidRPr="00696DDA">
        <w:t xml:space="preserve"> </w:t>
      </w:r>
      <w:proofErr w:type="spellStart"/>
      <w:r w:rsidRPr="00696DDA">
        <w:t>Enforcement</w:t>
      </w:r>
      <w:proofErr w:type="spellEnd"/>
      <w:r w:rsidRPr="00696DDA">
        <w:t xml:space="preserve"> </w:t>
      </w:r>
      <w:proofErr w:type="spellStart"/>
      <w:r w:rsidRPr="00696DDA">
        <w:t>Administration</w:t>
      </w:r>
      <w:proofErr w:type="spellEnd"/>
      <w:r w:rsidRPr="00696DDA">
        <w:t xml:space="preserve">. «19920204». Informe, </w:t>
      </w:r>
      <w:proofErr w:type="spellStart"/>
      <w:r w:rsidRPr="00696DDA">
        <w:t>National</w:t>
      </w:r>
      <w:proofErr w:type="spellEnd"/>
      <w:r w:rsidRPr="00696DDA">
        <w:t xml:space="preserve"> Security Archive. 1993.</w:t>
      </w:r>
    </w:p>
  </w:footnote>
  <w:footnote w:id="387">
    <w:p w:rsidR="00591E90" w:rsidRPr="00726E38" w:rsidRDefault="00591E90">
      <w:pPr>
        <w:pStyle w:val="Textonotapie"/>
        <w:rPr>
          <w:lang w:val="es-CO"/>
        </w:rPr>
      </w:pPr>
      <w:r>
        <w:rPr>
          <w:rStyle w:val="Refdenotaalpie"/>
        </w:rPr>
        <w:footnoteRef/>
      </w:r>
      <w:r>
        <w:t xml:space="preserve"> </w:t>
      </w:r>
      <w:r w:rsidRPr="00A147EB">
        <w:t>Entrevista 001-VI-00044. Exmagistrado de la Corte Suprema de Justicia.</w:t>
      </w:r>
    </w:p>
  </w:footnote>
  <w:footnote w:id="388">
    <w:p w:rsidR="00591E90" w:rsidRPr="00726E38" w:rsidRDefault="00591E90">
      <w:pPr>
        <w:pStyle w:val="Textonotapie"/>
        <w:rPr>
          <w:lang w:val="es-CO"/>
        </w:rPr>
      </w:pPr>
      <w:r>
        <w:rPr>
          <w:rStyle w:val="Refdenotaalpie"/>
        </w:rPr>
        <w:footnoteRef/>
      </w:r>
      <w:r>
        <w:t xml:space="preserve"> </w:t>
      </w:r>
      <w:r w:rsidRPr="00A147EB">
        <w:t>Entrevista 185-PR-00771. Exintegrante Bloque Centauros.</w:t>
      </w:r>
    </w:p>
  </w:footnote>
  <w:footnote w:id="389">
    <w:p w:rsidR="00591E90" w:rsidRPr="00256A4C" w:rsidRDefault="00591E90">
      <w:pPr>
        <w:pStyle w:val="Textonotapie"/>
        <w:rPr>
          <w:lang w:val="es-CO"/>
        </w:rPr>
      </w:pPr>
      <w:r>
        <w:rPr>
          <w:rStyle w:val="Refdenotaalpie"/>
        </w:rPr>
        <w:footnoteRef/>
      </w:r>
      <w:r>
        <w:t xml:space="preserve"> </w:t>
      </w:r>
      <w:r w:rsidRPr="00256A4C">
        <w:t>Entrevista 185-PR-00771. Actor armado, hombre, Bloque Centauros AUC.</w:t>
      </w:r>
    </w:p>
  </w:footnote>
  <w:footnote w:id="390">
    <w:p w:rsidR="00591E90" w:rsidRPr="00256A4C" w:rsidRDefault="00591E90">
      <w:pPr>
        <w:pStyle w:val="Textonotapie"/>
        <w:rPr>
          <w:lang w:val="es-CO"/>
        </w:rPr>
      </w:pPr>
      <w:r>
        <w:rPr>
          <w:rStyle w:val="Refdenotaalpie"/>
        </w:rPr>
        <w:footnoteRef/>
      </w:r>
      <w:r>
        <w:t xml:space="preserve"> </w:t>
      </w:r>
      <w:r w:rsidRPr="00256A4C">
        <w:t>Tribunal Superior de Bogotá, Sala de Justicia y Paz. Sentencia Indalecio José Sánchez Jaramillo. Rad. 11- 001-60-00 253-2006 80536. 23 de mayo de 2017, párr. 306.</w:t>
      </w:r>
    </w:p>
  </w:footnote>
  <w:footnote w:id="391">
    <w:p w:rsidR="00591E90" w:rsidRDefault="00591E90" w:rsidP="00256A4C">
      <w:pPr>
        <w:pStyle w:val="Textonotapie"/>
      </w:pPr>
      <w:r>
        <w:rPr>
          <w:rStyle w:val="Refdenotaalpie"/>
        </w:rPr>
        <w:footnoteRef/>
      </w:r>
      <w:r>
        <w:t xml:space="preserve"> Fiscalía General de la Nación. «Tribunal Superior de Justicia y Paz de Medellín excluyó a alias </w:t>
      </w:r>
      <w:proofErr w:type="spellStart"/>
      <w:r>
        <w:t>Gordolindo</w:t>
      </w:r>
      <w:proofErr w:type="spellEnd"/>
      <w:r>
        <w:t>».</w:t>
      </w:r>
    </w:p>
    <w:p w:rsidR="00591E90" w:rsidRPr="00256A4C" w:rsidRDefault="00591E90" w:rsidP="00256A4C">
      <w:pPr>
        <w:pStyle w:val="Textonotapie"/>
        <w:rPr>
          <w:lang w:val="es-CO"/>
        </w:rPr>
      </w:pPr>
      <w:r>
        <w:t>Boletín 3994. 17 de septiembre de 2013.</w:t>
      </w:r>
    </w:p>
  </w:footnote>
  <w:footnote w:id="392">
    <w:p w:rsidR="00591E90" w:rsidRPr="00256A4C" w:rsidRDefault="00591E90">
      <w:pPr>
        <w:pStyle w:val="Textonotapie"/>
        <w:rPr>
          <w:lang w:val="es-CO"/>
        </w:rPr>
      </w:pPr>
      <w:r>
        <w:rPr>
          <w:rStyle w:val="Refdenotaalpie"/>
        </w:rPr>
        <w:footnoteRef/>
      </w:r>
      <w:r>
        <w:t xml:space="preserve"> </w:t>
      </w:r>
      <w:r w:rsidRPr="00256A4C">
        <w:t>Tribunal Superior de Medellín. Sala de Justicia y Paz. Radicado 110016000253-2006-82611. 09 de diciembre de 2014, pág. 142.</w:t>
      </w:r>
    </w:p>
  </w:footnote>
  <w:footnote w:id="393">
    <w:p w:rsidR="00591E90" w:rsidRDefault="00591E90" w:rsidP="00495C7A">
      <w:pPr>
        <w:pStyle w:val="Textonotapie"/>
      </w:pPr>
      <w:r>
        <w:rPr>
          <w:rStyle w:val="Refdenotaalpie"/>
        </w:rPr>
        <w:footnoteRef/>
      </w:r>
      <w:r>
        <w:t xml:space="preserve"> Acuerdo de Santa Fe de Ralito para contribuir a la paz de Colombia firmado entre el Gobierno Nacional y las Autodefensas Unidas de Colombia. 15 de julio de 2003.</w:t>
      </w:r>
    </w:p>
    <w:p w:rsidR="00591E90" w:rsidRPr="00495C7A" w:rsidRDefault="00591E90" w:rsidP="00495C7A">
      <w:pPr>
        <w:pStyle w:val="Textonotapie"/>
        <w:rPr>
          <w:lang w:val="es-CO"/>
        </w:rPr>
      </w:pPr>
      <w:r>
        <w:t>https://peacemaker.un.org/sites/peacemaker.un.org/files/CO_030715_Acuerdo %20de %20Santa %20Fe %20 de %20Ralito.pdf</w:t>
      </w:r>
    </w:p>
  </w:footnote>
  <w:footnote w:id="394">
    <w:p w:rsidR="00591E90" w:rsidRPr="00C22D13" w:rsidRDefault="00591E90">
      <w:pPr>
        <w:pStyle w:val="Textonotapie"/>
        <w:rPr>
          <w:lang w:val="es-CO"/>
        </w:rPr>
      </w:pPr>
      <w:r>
        <w:rPr>
          <w:rStyle w:val="Refdenotaalpie"/>
        </w:rPr>
        <w:footnoteRef/>
      </w:r>
      <w:r>
        <w:t xml:space="preserve"> </w:t>
      </w:r>
      <w:r w:rsidRPr="00C22D13">
        <w:t>Comisión de la Verdad. Consultoría «Tránsitos Intergrupales de combatientes en el conflicto armado». Luisa Fernanda Reyes Quesada. 31 de agosto de 2021.</w:t>
      </w:r>
    </w:p>
  </w:footnote>
  <w:footnote w:id="395">
    <w:p w:rsidR="00591E90" w:rsidRPr="00C22D13" w:rsidRDefault="00591E90">
      <w:pPr>
        <w:pStyle w:val="Textonotapie"/>
        <w:rPr>
          <w:lang w:val="es-CO"/>
        </w:rPr>
      </w:pPr>
      <w:r>
        <w:rPr>
          <w:rStyle w:val="Refdenotaalpie"/>
        </w:rPr>
        <w:footnoteRef/>
      </w:r>
      <w:r>
        <w:t xml:space="preserve"> </w:t>
      </w:r>
      <w:r w:rsidRPr="00C22D13">
        <w:t xml:space="preserve">El Colombiano. «Las Águilas Negras amenazaron a los magistrados de la Corte que votaron a favor del aborto», 8 de marzo de 2022; El Tiempo. «Águilas Negras estarían detrás de amenazas a jóvenes de Facatativá». 9 de junio de 2021; </w:t>
      </w:r>
      <w:proofErr w:type="spellStart"/>
      <w:r w:rsidRPr="00C22D13">
        <w:t>WRadio</w:t>
      </w:r>
      <w:proofErr w:type="spellEnd"/>
      <w:r w:rsidRPr="00C22D13">
        <w:t xml:space="preserve">. «Águilas negras amenazan a líderes indígenas y organizaciones sociales del Cauca». 9 de marzo de 2022; El Heraldo. «“Deje de contar lo que no debe”: la amenaza de las ‘Águilas Negras’ a Mancuso». 9 de septiembre de 2021; Natalio </w:t>
      </w:r>
      <w:proofErr w:type="spellStart"/>
      <w:r w:rsidRPr="00C22D13">
        <w:t>Cosoy</w:t>
      </w:r>
      <w:proofErr w:type="spellEnd"/>
      <w:r w:rsidRPr="00C22D13">
        <w:t>. «¿Qué o quiénes son las temidas Águilas Negras y por qué las autoridades en Colombia dicen que no existen?». BBC. 17 de abril de 2017.</w:t>
      </w:r>
    </w:p>
  </w:footnote>
  <w:footnote w:id="396">
    <w:p w:rsidR="00591E90" w:rsidRDefault="00591E90" w:rsidP="00C22D13">
      <w:pPr>
        <w:pStyle w:val="Textonotapie"/>
      </w:pPr>
      <w:r>
        <w:rPr>
          <w:rStyle w:val="Refdenotaalpie"/>
        </w:rPr>
        <w:footnoteRef/>
      </w:r>
      <w:r>
        <w:t xml:space="preserve"> Esta unidad fue creada con el objetivo de «superar la dispersión de las investigaciones penales» y ante la</w:t>
      </w:r>
    </w:p>
    <w:p w:rsidR="00591E90" w:rsidRPr="00C22D13" w:rsidRDefault="00591E90" w:rsidP="00C22D13">
      <w:pPr>
        <w:pStyle w:val="Textonotapie"/>
        <w:rPr>
          <w:lang w:val="es-CO"/>
        </w:rPr>
      </w:pPr>
      <w:r>
        <w:t xml:space="preserve">«debilidad institucional para enfrentar el crimen organizado» y «hacer frente a las demandas de la Comunidad Internacional en materia de la lucha contra la impunidad». Alejandro </w:t>
      </w:r>
      <w:proofErr w:type="spellStart"/>
      <w:r>
        <w:t>Ramelli</w:t>
      </w:r>
      <w:proofErr w:type="spellEnd"/>
      <w:r>
        <w:t xml:space="preserve"> Arteaga. «La nueva Unidad Nacional de Análisis y Contextos UNAC». 4° Conferencia internacional sobre análisis y persecución penal.</w:t>
      </w:r>
    </w:p>
  </w:footnote>
  <w:footnote w:id="397">
    <w:p w:rsidR="00591E90" w:rsidRPr="00C22D13" w:rsidRDefault="00591E90">
      <w:pPr>
        <w:pStyle w:val="Textonotapie"/>
        <w:rPr>
          <w:lang w:val="es-CO"/>
        </w:rPr>
      </w:pPr>
      <w:r>
        <w:rPr>
          <w:rStyle w:val="Refdenotaalpie"/>
        </w:rPr>
        <w:footnoteRef/>
      </w:r>
      <w:r>
        <w:t xml:space="preserve"> </w:t>
      </w:r>
      <w:r w:rsidRPr="00C22D13">
        <w:t>Esta unidad fue creada en el 2017 con el objetivo de desmantelar los grupos armados existentes, entre ellos los grupos paramilitares; sin embargo, ha tenido profundas críticas desde diversos sectores y ha sufrido múltiples cambios de dirección. Según la Jurisdicción Especial para la Paz «resulta que es bajo el grado de avances en relación con el desmantelamiento de organizaciones criminales. Asimismo, en la actualidad aún no existen los Lineamientos y el Plan de Acción de la Política pública y criminal en materia de desmantelamiento de las organizaciones o conductas criminales que debían haberse adoptado hace 2 años [...] aunque haya esfuerzos realizados por la UEI [Unidad Especial de Investigación], estos no se ejecutan en el marco de una política para el desmantelamiento de las organizaciones criminales, que haría más efectiva las acciones pues dependerían del trabajo articulado de varias organizaciones». Jurisdicción Especial para la Paz. Sección de Ausencia de Reconocimiento de Verdad y Responsabilidad. «Ordena medidas en el trámite de oficio de MC de protección de comparecientes forzosos ante la JEP». Expediente 2020340161400008E. 26 de febrero de 2021.</w:t>
      </w:r>
    </w:p>
  </w:footnote>
  <w:footnote w:id="398">
    <w:p w:rsidR="00591E90" w:rsidRPr="00A533F9" w:rsidRDefault="00591E90">
      <w:pPr>
        <w:pStyle w:val="Textonotapie"/>
        <w:rPr>
          <w:lang w:val="es-CO"/>
        </w:rPr>
      </w:pPr>
      <w:r>
        <w:rPr>
          <w:rStyle w:val="Refdenotaalpie"/>
        </w:rPr>
        <w:footnoteRef/>
      </w:r>
      <w:r>
        <w:t xml:space="preserve"> </w:t>
      </w:r>
      <w:r w:rsidRPr="00A533F9">
        <w:t>Este total de víctimas corresponde a las modalidades de: asesinatos selectivos, desapariciones forzadas, masacres, violencia sexual, secuestro y reclutamiento de menores. La cifra solo tiene en cuenta las víctimas para las cuales se tiene identificado el responsable y el año de ocurrencia, y excluye víctimas de agentes extranjeros, bandoleros, milicias, acciones conjuntas entre grupos insurgentes, contrainsurgentes y Fuerzas Militares y civiles.</w:t>
      </w:r>
    </w:p>
  </w:footnote>
  <w:footnote w:id="399">
    <w:p w:rsidR="00591E90" w:rsidRPr="00A533F9" w:rsidRDefault="00591E90">
      <w:pPr>
        <w:pStyle w:val="Textonotapie"/>
        <w:rPr>
          <w:lang w:val="es-CO"/>
        </w:rPr>
      </w:pPr>
      <w:r>
        <w:rPr>
          <w:rStyle w:val="Refdenotaalpie"/>
        </w:rPr>
        <w:footnoteRef/>
      </w:r>
      <w:r>
        <w:t xml:space="preserve"> </w:t>
      </w:r>
      <w:r w:rsidRPr="00A533F9">
        <w:t>Base de datos del Observatorio de Memoria y Conflicto del Centro Nacional de Memoria Histórica.</w:t>
      </w:r>
    </w:p>
  </w:footnote>
  <w:footnote w:id="400">
    <w:p w:rsidR="00591E90" w:rsidRPr="00A533F9" w:rsidRDefault="00591E90">
      <w:pPr>
        <w:pStyle w:val="Textonotapie"/>
        <w:rPr>
          <w:lang w:val="es-CO"/>
        </w:rPr>
      </w:pPr>
      <w:r>
        <w:rPr>
          <w:rStyle w:val="Refdenotaalpie"/>
        </w:rPr>
        <w:footnoteRef/>
      </w:r>
      <w:r>
        <w:t xml:space="preserve"> </w:t>
      </w:r>
      <w:proofErr w:type="spellStart"/>
      <w:r w:rsidRPr="00A533F9">
        <w:t>Ibíd</w:t>
      </w:r>
      <w:proofErr w:type="spellEnd"/>
      <w:r w:rsidRPr="00A533F9">
        <w:t>.</w:t>
      </w:r>
    </w:p>
  </w:footnote>
  <w:footnote w:id="401">
    <w:p w:rsidR="00591E90" w:rsidRPr="00C451B0" w:rsidRDefault="00591E90">
      <w:pPr>
        <w:pStyle w:val="Textonotapie"/>
        <w:rPr>
          <w:lang w:val="es-CO"/>
        </w:rPr>
      </w:pPr>
      <w:r>
        <w:rPr>
          <w:rStyle w:val="Refdenotaalpie"/>
        </w:rPr>
        <w:footnoteRef/>
      </w:r>
      <w:r>
        <w:t xml:space="preserve"> </w:t>
      </w:r>
      <w:r w:rsidRPr="00C451B0">
        <w:t xml:space="preserve">«Lo que nosotros buscábamos era crear terror. Seguíamos las orientaciones de Carlos Castaño de actuar como una fuerza irregular. La población civil le empezó a tener terror a las autodefensas, abandonaba sus casas y salían aterrorizadas a las cabeceras municipales; y así comenzamos a ganar espacio en sitios que antes habían estado bajo control de las FARC. Esto se logró infundiendo terror en la población civil, porque considerábamos que esta constituía la base de apoyo a la guerrilla. Actuábamos a veces con información, pero otras con muy poca, y así lográbamos sacar a la gente» Entrevista a Alexander González Urbina, </w:t>
      </w:r>
      <w:proofErr w:type="spellStart"/>
      <w:r w:rsidRPr="00C451B0">
        <w:t>exparamilitar</w:t>
      </w:r>
      <w:proofErr w:type="spellEnd"/>
      <w:r w:rsidRPr="00C451B0">
        <w:t xml:space="preserve"> de las ACC. En: Miguel Ángel Beltrán Villegas, «Paramilitares: Buscábamos Crear Terror.» En La vorágine del conflicto colombiano: Una mirada desde las cárceles. CLACSO, 2018, págs. 73-94.</w:t>
      </w:r>
    </w:p>
  </w:footnote>
  <w:footnote w:id="402">
    <w:p w:rsidR="00591E90" w:rsidRPr="00C451B0" w:rsidRDefault="00591E90">
      <w:pPr>
        <w:pStyle w:val="Textonotapie"/>
        <w:rPr>
          <w:lang w:val="es-CO"/>
        </w:rPr>
      </w:pPr>
      <w:r>
        <w:rPr>
          <w:rStyle w:val="Refdenotaalpie"/>
        </w:rPr>
        <w:footnoteRef/>
      </w:r>
      <w:r>
        <w:t xml:space="preserve"> </w:t>
      </w:r>
      <w:r w:rsidRPr="002C346A">
        <w:t>Entrevista a Hébert Veloza García, Audiencia de Control de Legalidad de los Cargos del postulado Jesús Ignacio Roldán Pérez, 7 de febrero de 2014, segunda sesión. Citado en: Tribunal Superior de Medellín. Sala Justicia y Paz. Postulado Jesús Ignacio Roldán Pérez. Radicado: 110016000253-2006-82611. 9 de diciembre de 2014, pág. 245.</w:t>
      </w:r>
    </w:p>
  </w:footnote>
  <w:footnote w:id="403">
    <w:p w:rsidR="00591E90" w:rsidRPr="002C346A" w:rsidRDefault="00591E90">
      <w:pPr>
        <w:pStyle w:val="Textonotapie"/>
        <w:rPr>
          <w:lang w:val="es-CO"/>
        </w:rPr>
      </w:pPr>
      <w:r>
        <w:rPr>
          <w:rStyle w:val="Refdenotaalpie"/>
        </w:rPr>
        <w:footnoteRef/>
      </w:r>
      <w:r>
        <w:t xml:space="preserve"> </w:t>
      </w:r>
      <w:r w:rsidRPr="002C346A">
        <w:t>Estas instalaciones y los eventos de capacitación que se hacían llegaron a ser tan notorios que desde el Urabá enviaban jóvenes de las familias de empresarios a «paseos» para recorrerlas, entre los que estuvo Raúl Hasbún Mendoza, quien luego comandó estructuras de las AUC bajo el alias de ‘Pedro Bonito’. Verdad Abierta. «Los inéditos viajes de hijos de bananeros de Urabá a campamentos de Henry Pérez». Verdad Abierta. 1 de febrero de 2015. Centro Nacional de Memoria Histórica. El Estado suplantado, las autodefensas de Puerto Boyacá. Bogotá: CNMH, 2019, pág. 214.</w:t>
      </w:r>
    </w:p>
  </w:footnote>
  <w:footnote w:id="404">
    <w:p w:rsidR="00591E90" w:rsidRPr="00167B85" w:rsidRDefault="00591E90">
      <w:pPr>
        <w:pStyle w:val="Textonotapie"/>
        <w:rPr>
          <w:lang w:val="es-CO"/>
        </w:rPr>
      </w:pPr>
      <w:r>
        <w:rPr>
          <w:rStyle w:val="Refdenotaalpie"/>
        </w:rPr>
        <w:footnoteRef/>
      </w:r>
      <w:r>
        <w:t xml:space="preserve"> </w:t>
      </w:r>
      <w:r w:rsidRPr="00167B85">
        <w:t>Entrevista 240-AA-00001. Antiguo líder de escuelas de entrenamiento paramilitar en Magdalena Medio.</w:t>
      </w:r>
    </w:p>
  </w:footnote>
  <w:footnote w:id="405">
    <w:p w:rsidR="00591E90" w:rsidRPr="00167B85" w:rsidRDefault="00591E90">
      <w:pPr>
        <w:pStyle w:val="Textonotapie"/>
        <w:rPr>
          <w:lang w:val="es-CO"/>
        </w:rPr>
      </w:pPr>
      <w:r>
        <w:rPr>
          <w:rStyle w:val="Refdenotaalpie"/>
        </w:rPr>
        <w:footnoteRef/>
      </w:r>
      <w:r>
        <w:t xml:space="preserve"> </w:t>
      </w:r>
      <w:r w:rsidRPr="00167B85">
        <w:t>Tribunal Superior de Medellín. Sala Justicia y Paz. Postulado Jesús Ignacio Roldán Pérez. Radicado: 110016000253-2006-82611. 9 de diciembre de 2014, pág. 254.</w:t>
      </w:r>
    </w:p>
  </w:footnote>
  <w:footnote w:id="406">
    <w:p w:rsidR="00591E90" w:rsidRPr="00167B85" w:rsidRDefault="00591E90">
      <w:pPr>
        <w:pStyle w:val="Textonotapie"/>
        <w:rPr>
          <w:lang w:val="es-CO"/>
        </w:rPr>
      </w:pPr>
      <w:r>
        <w:rPr>
          <w:rStyle w:val="Refdenotaalpie"/>
        </w:rPr>
        <w:footnoteRef/>
      </w:r>
      <w:r>
        <w:t xml:space="preserve"> </w:t>
      </w:r>
      <w:r w:rsidRPr="00167B85">
        <w:t>Entrevista 442-VI-00001. Asesor de paz del gobierno.</w:t>
      </w:r>
    </w:p>
  </w:footnote>
  <w:footnote w:id="407">
    <w:p w:rsidR="00591E90" w:rsidRPr="00821C8F" w:rsidRDefault="00591E90">
      <w:pPr>
        <w:pStyle w:val="Textonotapie"/>
        <w:rPr>
          <w:lang w:val="es-CO"/>
        </w:rPr>
      </w:pPr>
      <w:r>
        <w:rPr>
          <w:rStyle w:val="Refdenotaalpie"/>
        </w:rPr>
        <w:footnoteRef/>
      </w:r>
      <w:r>
        <w:t xml:space="preserve"> </w:t>
      </w:r>
      <w:r w:rsidRPr="00821C8F">
        <w:t>Estos mapas muestran los municipios del país que sufrieron al menos dos acciones violentas como homicidios, masacres, violaciones, desapariciones y atentados en las cuales el responsable reportado fue una de las estructuras de las AUC. No muestran los municipios en que lograron una presencia consolidada, sino exclusivamente en los que desarrollaron acciones violentas.</w:t>
      </w:r>
    </w:p>
  </w:footnote>
  <w:footnote w:id="408">
    <w:p w:rsidR="00591E90" w:rsidRPr="00A60635" w:rsidRDefault="00591E90">
      <w:pPr>
        <w:pStyle w:val="Textonotapie"/>
        <w:rPr>
          <w:lang w:val="es-CO"/>
        </w:rPr>
      </w:pPr>
      <w:r>
        <w:rPr>
          <w:rStyle w:val="Refdenotaalpie"/>
        </w:rPr>
        <w:footnoteRef/>
      </w:r>
      <w:r>
        <w:t xml:space="preserve"> </w:t>
      </w:r>
      <w:r w:rsidRPr="00A60635">
        <w:t xml:space="preserve">«Empecé a decirles a los muchachos: “Vea, muchachos, ustedes no van a ser comandantes. Ninguno de ustedes se va a llamar comandante. Nosotros lo que necesitamos es una cercanía con la comunidad, </w:t>
      </w:r>
      <w:proofErr w:type="spellStart"/>
      <w:r w:rsidRPr="00A60635">
        <w:t>entoes</w:t>
      </w:r>
      <w:proofErr w:type="spellEnd"/>
      <w:r w:rsidRPr="00A60635">
        <w:t xml:space="preserve"> no nos llamamos comandantes. Primero que todo, ustedes, en su manual de función, está lo siguiente: ‘[...] Ustedes tienen que ser muchachos, primero, bien presentados’. Toes, si ustedes... no quiero muchachos de pelo largo, no quiero muchachos que estén mal vestidos. [...] Ninguno de ustedes va a portar armamento. Les queda totalmente prohibido el porte de armas. Lo único que ustedes van a portar es un radio de comunicaciones”. ¿Por qué lo hice de esa manera? Porque fue un lineamiento del comandante Alemán, y segundo, porque en la zona de Córdoba, Antioquia, que eran municipios ya liberados de guerrilla, no se necesitaba que estos muchachos estuvieran armados». CNMH. Transcripción de la entrevista a alias Juan Diego (secretario de Carlos Castaño y comandante del Elmer Cárdenas). 2016.</w:t>
      </w:r>
    </w:p>
  </w:footnote>
  <w:footnote w:id="409">
    <w:p w:rsidR="00591E90" w:rsidRPr="00A60635" w:rsidRDefault="00591E90">
      <w:pPr>
        <w:pStyle w:val="Textonotapie"/>
        <w:rPr>
          <w:lang w:val="es-CO"/>
        </w:rPr>
      </w:pPr>
      <w:r>
        <w:rPr>
          <w:rStyle w:val="Refdenotaalpie"/>
        </w:rPr>
        <w:footnoteRef/>
      </w:r>
      <w:r>
        <w:t xml:space="preserve"> </w:t>
      </w:r>
      <w:r w:rsidRPr="00A60635">
        <w:t xml:space="preserve">Tribunal Superior de Bogotá, Sala de Justicia y Paz. Sentencia. Magistrada ponente </w:t>
      </w:r>
      <w:proofErr w:type="spellStart"/>
      <w:r w:rsidRPr="00A60635">
        <w:t>Uldi</w:t>
      </w:r>
      <w:proofErr w:type="spellEnd"/>
      <w:r w:rsidRPr="00A60635">
        <w:t xml:space="preserve"> Teresa Jiménez López, Condenado Fredy Rendón Herrera. Bogotá, 16 de diciembre de 2012, pág. 220.</w:t>
      </w:r>
    </w:p>
  </w:footnote>
  <w:footnote w:id="410">
    <w:p w:rsidR="00591E90" w:rsidRPr="000B3C81" w:rsidRDefault="00591E90">
      <w:pPr>
        <w:pStyle w:val="Textonotapie"/>
        <w:rPr>
          <w:lang w:val="es-CO"/>
        </w:rPr>
      </w:pPr>
      <w:r>
        <w:rPr>
          <w:rStyle w:val="Refdenotaalpie"/>
        </w:rPr>
        <w:footnoteRef/>
      </w:r>
      <w:r>
        <w:t xml:space="preserve"> </w:t>
      </w:r>
      <w:r w:rsidRPr="000B3C81">
        <w:t xml:space="preserve">Artículo de </w:t>
      </w:r>
      <w:proofErr w:type="spellStart"/>
      <w:r w:rsidRPr="000B3C81">
        <w:t>Dejusticia</w:t>
      </w:r>
      <w:proofErr w:type="spellEnd"/>
      <w:r w:rsidRPr="000B3C81">
        <w:t>. «Por fin entendí el iceberg de la parapolítica». 2010. https://www.dejusticia.org/por- fin-</w:t>
      </w:r>
      <w:proofErr w:type="spellStart"/>
      <w:r w:rsidRPr="000B3C81">
        <w:t>entendi</w:t>
      </w:r>
      <w:proofErr w:type="spellEnd"/>
      <w:r w:rsidRPr="000B3C81">
        <w:t>-el-iceberg-de-la-</w:t>
      </w:r>
      <w:proofErr w:type="spellStart"/>
      <w:r w:rsidRPr="000B3C81">
        <w:t>parapolitica</w:t>
      </w:r>
      <w:proofErr w:type="spellEnd"/>
      <w:r w:rsidRPr="000B3C81">
        <w:t xml:space="preserve">/, donde Claudia López explica los resultados de la investigación sobre parapolítica en el libro de: Corporación Nuevo </w:t>
      </w:r>
      <w:proofErr w:type="spellStart"/>
      <w:r w:rsidRPr="000B3C81">
        <w:t>Arcoiris</w:t>
      </w:r>
      <w:proofErr w:type="spellEnd"/>
      <w:r w:rsidRPr="000B3C81">
        <w:t xml:space="preserve">, </w:t>
      </w:r>
      <w:proofErr w:type="spellStart"/>
      <w:r w:rsidRPr="000B3C81">
        <w:t>Dejusticia</w:t>
      </w:r>
      <w:proofErr w:type="spellEnd"/>
      <w:r w:rsidRPr="000B3C81">
        <w:t xml:space="preserve">, Grupo Método y MOE. Y refundaron la patria... de cómo mafiosos y políticos reconfiguraron el Estado colombiano. Bogotá: </w:t>
      </w:r>
      <w:proofErr w:type="spellStart"/>
      <w:r w:rsidRPr="000B3C81">
        <w:t>Penguin</w:t>
      </w:r>
      <w:proofErr w:type="spellEnd"/>
      <w:r w:rsidRPr="000B3C81">
        <w:t xml:space="preserve"> </w:t>
      </w:r>
      <w:proofErr w:type="spellStart"/>
      <w:r w:rsidRPr="000B3C81">
        <w:t>Random</w:t>
      </w:r>
      <w:proofErr w:type="spellEnd"/>
      <w:r w:rsidRPr="000B3C81">
        <w:t xml:space="preserve"> House Grupo Editorial, 2012.</w:t>
      </w:r>
    </w:p>
  </w:footnote>
  <w:footnote w:id="411">
    <w:p w:rsidR="00591E90" w:rsidRPr="000B3C81" w:rsidRDefault="00591E90">
      <w:pPr>
        <w:pStyle w:val="Textonotapie"/>
        <w:rPr>
          <w:lang w:val="es-CO"/>
        </w:rPr>
      </w:pPr>
      <w:r>
        <w:rPr>
          <w:rStyle w:val="Refdenotaalpie"/>
        </w:rPr>
        <w:footnoteRef/>
      </w:r>
      <w:r>
        <w:t xml:space="preserve"> </w:t>
      </w:r>
      <w:r w:rsidRPr="000B3C81">
        <w:t>Entrevista 185-PR-00608 (exmilitar que denunció relaciones entre militares y paramilitares).</w:t>
      </w:r>
    </w:p>
  </w:footnote>
  <w:footnote w:id="412">
    <w:p w:rsidR="00591E90" w:rsidRPr="000B3C81" w:rsidRDefault="00591E90">
      <w:pPr>
        <w:pStyle w:val="Textonotapie"/>
        <w:rPr>
          <w:lang w:val="es-CO"/>
        </w:rPr>
      </w:pPr>
      <w:r>
        <w:rPr>
          <w:rStyle w:val="Refdenotaalpie"/>
        </w:rPr>
        <w:footnoteRef/>
      </w:r>
      <w:r>
        <w:t xml:space="preserve"> </w:t>
      </w:r>
      <w:r w:rsidRPr="000B3C81">
        <w:t>Periódico 15. «“Lo que Hugo H. Aguilar nunca calculó es que Julio César Prieto no es pendejo”, dice el excomandante del Batallón de San Vicente de Chucurí (Santander)». 27 de febrero de 2018.</w:t>
      </w:r>
    </w:p>
  </w:footnote>
  <w:footnote w:id="413">
    <w:p w:rsidR="00591E90" w:rsidRPr="000B3C81" w:rsidRDefault="00591E90">
      <w:pPr>
        <w:pStyle w:val="Textonotapie"/>
        <w:rPr>
          <w:lang w:val="es-CO"/>
        </w:rPr>
      </w:pPr>
      <w:r>
        <w:rPr>
          <w:rStyle w:val="Refdenotaalpie"/>
        </w:rPr>
        <w:footnoteRef/>
      </w:r>
      <w:r>
        <w:t xml:space="preserve"> </w:t>
      </w:r>
      <w:r w:rsidRPr="000B3C81">
        <w:t>Entrevista 346-AA-00001. Excomandante financiero de varios bloques de las AUC.</w:t>
      </w:r>
    </w:p>
  </w:footnote>
  <w:footnote w:id="414">
    <w:p w:rsidR="00591E90" w:rsidRPr="000B3C81" w:rsidRDefault="00591E90">
      <w:pPr>
        <w:pStyle w:val="Textonotapie"/>
        <w:rPr>
          <w:lang w:val="es-CO"/>
        </w:rPr>
      </w:pPr>
      <w:r>
        <w:rPr>
          <w:rStyle w:val="Refdenotaalpie"/>
        </w:rPr>
        <w:footnoteRef/>
      </w:r>
      <w:r>
        <w:t xml:space="preserve"> </w:t>
      </w:r>
      <w:r w:rsidRPr="005B50DE">
        <w:t>Entrevista 084-PR-00429. Exmilitar encargado de la articulación con grupos paramilitares.</w:t>
      </w:r>
    </w:p>
  </w:footnote>
  <w:footnote w:id="415">
    <w:p w:rsidR="00591E90" w:rsidRPr="005B50DE" w:rsidRDefault="00591E90">
      <w:pPr>
        <w:pStyle w:val="Textonotapie"/>
        <w:rPr>
          <w:lang w:val="es-CO"/>
        </w:rPr>
      </w:pPr>
      <w:r>
        <w:rPr>
          <w:rStyle w:val="Refdenotaalpie"/>
        </w:rPr>
        <w:footnoteRef/>
      </w:r>
      <w:r>
        <w:t xml:space="preserve"> </w:t>
      </w:r>
      <w:r w:rsidRPr="005B50DE">
        <w:t>Corte Interamericana de Derechos Humanos. Caso de la Masacre de La Rochela vs. Colombia. Sentencia del 11 de mayo de 2007 (Fondo, Reparaciones y Costas).</w:t>
      </w:r>
    </w:p>
  </w:footnote>
  <w:footnote w:id="416">
    <w:p w:rsidR="00591E90" w:rsidRPr="005B50DE" w:rsidRDefault="00591E90">
      <w:pPr>
        <w:pStyle w:val="Textonotapie"/>
        <w:rPr>
          <w:lang w:val="es-CO"/>
        </w:rPr>
      </w:pPr>
      <w:r>
        <w:rPr>
          <w:rStyle w:val="Refdenotaalpie"/>
        </w:rPr>
        <w:footnoteRef/>
      </w:r>
      <w:r>
        <w:t xml:space="preserve"> </w:t>
      </w:r>
      <w:r w:rsidRPr="005B50DE">
        <w:t>Corte Interamericana de Derechos Humanos. Caso de las Masacres de Ituango vs. Colombia. Sentencia del 26 de mayo de 2010.</w:t>
      </w:r>
    </w:p>
  </w:footnote>
  <w:footnote w:id="417">
    <w:p w:rsidR="00591E90" w:rsidRPr="005B50DE" w:rsidRDefault="00591E90">
      <w:pPr>
        <w:pStyle w:val="Textonotapie"/>
        <w:rPr>
          <w:lang w:val="es-CO"/>
        </w:rPr>
      </w:pPr>
      <w:r>
        <w:rPr>
          <w:rStyle w:val="Refdenotaalpie"/>
        </w:rPr>
        <w:footnoteRef/>
      </w:r>
      <w:r>
        <w:t xml:space="preserve"> </w:t>
      </w:r>
      <w:r w:rsidRPr="005B50DE">
        <w:t>Corte Interamericana de Derechos Humanos. Caso de las Masacres de Ituango vs. Colombia. Sentencia del 1 de julio 2006.</w:t>
      </w:r>
    </w:p>
  </w:footnote>
  <w:footnote w:id="418">
    <w:p w:rsidR="00591E90" w:rsidRPr="005B50DE" w:rsidRDefault="00591E90">
      <w:pPr>
        <w:pStyle w:val="Textonotapie"/>
        <w:rPr>
          <w:lang w:val="es-CO"/>
        </w:rPr>
      </w:pPr>
      <w:r>
        <w:rPr>
          <w:rStyle w:val="Refdenotaalpie"/>
        </w:rPr>
        <w:footnoteRef/>
      </w:r>
      <w:r>
        <w:t xml:space="preserve"> </w:t>
      </w:r>
      <w:r w:rsidRPr="005B50DE">
        <w:t>Corte Interamericana de Derechos Humanos. Caso de la Masacre de Mapiripán vs. Colombia. Sentencia del 15 septiembre de 2005.</w:t>
      </w:r>
    </w:p>
  </w:footnote>
  <w:footnote w:id="419">
    <w:p w:rsidR="00591E90" w:rsidRPr="005B50DE" w:rsidRDefault="00591E90">
      <w:pPr>
        <w:pStyle w:val="Textonotapie"/>
        <w:rPr>
          <w:lang w:val="es-CO"/>
        </w:rPr>
      </w:pPr>
      <w:r>
        <w:rPr>
          <w:rStyle w:val="Refdenotaalpie"/>
        </w:rPr>
        <w:footnoteRef/>
      </w:r>
      <w:r>
        <w:t xml:space="preserve"> </w:t>
      </w:r>
      <w:r w:rsidRPr="005B50DE">
        <w:t>Corte Interamericana de Derechos Humanos. Caso de las Comunidades Afrodescendientes desplazadas de la cuenca del río Cacarica (Operación Génesis) vs. Colombia. Sentencia del 20 de noviembre de 2013 (Excepciones Preliminares, Fondo, Reparaciones y Costas).</w:t>
      </w:r>
    </w:p>
  </w:footnote>
  <w:footnote w:id="420">
    <w:p w:rsidR="00591E90" w:rsidRPr="009211B1" w:rsidRDefault="00591E90">
      <w:pPr>
        <w:pStyle w:val="Textonotapie"/>
        <w:rPr>
          <w:lang w:val="es-CO"/>
        </w:rPr>
      </w:pPr>
      <w:r>
        <w:rPr>
          <w:rStyle w:val="Refdenotaalpie"/>
        </w:rPr>
        <w:footnoteRef/>
      </w:r>
      <w:r>
        <w:t xml:space="preserve"> </w:t>
      </w:r>
      <w:r w:rsidRPr="009211B1">
        <w:t>Entrevista: 224-VI-00070. Mujer habitante del área, víctima.</w:t>
      </w:r>
    </w:p>
  </w:footnote>
  <w:footnote w:id="421">
    <w:p w:rsidR="00591E90" w:rsidRPr="009211B1" w:rsidRDefault="00591E90">
      <w:pPr>
        <w:pStyle w:val="Textonotapie"/>
      </w:pPr>
      <w:r>
        <w:rPr>
          <w:rStyle w:val="Refdenotaalpie"/>
        </w:rPr>
        <w:footnoteRef/>
      </w:r>
      <w:r>
        <w:t xml:space="preserve"> </w:t>
      </w:r>
      <w:r w:rsidRPr="009211B1">
        <w:t>Entrevista 185-PR-00206. Exoficial del Ejército responsable de una de las unidades del territorio.</w:t>
      </w:r>
    </w:p>
  </w:footnote>
  <w:footnote w:id="422">
    <w:p w:rsidR="00591E90" w:rsidRPr="009211B1" w:rsidRDefault="00591E90">
      <w:pPr>
        <w:pStyle w:val="Textonotapie"/>
        <w:rPr>
          <w:lang w:val="es-CO"/>
        </w:rPr>
      </w:pPr>
      <w:r>
        <w:rPr>
          <w:rStyle w:val="Refdenotaalpie"/>
        </w:rPr>
        <w:footnoteRef/>
      </w:r>
      <w:r>
        <w:t xml:space="preserve"> </w:t>
      </w:r>
      <w:r w:rsidRPr="009211B1">
        <w:t>Entrevista 274-CO-00694. Poblador de la zona de la Trocha Ganadera.</w:t>
      </w:r>
    </w:p>
  </w:footnote>
  <w:footnote w:id="423">
    <w:p w:rsidR="00591E90" w:rsidRPr="009211B1" w:rsidRDefault="00591E90">
      <w:pPr>
        <w:pStyle w:val="Textonotapie"/>
        <w:rPr>
          <w:lang w:val="es-CO"/>
        </w:rPr>
      </w:pPr>
      <w:r>
        <w:rPr>
          <w:rStyle w:val="Refdenotaalpie"/>
        </w:rPr>
        <w:footnoteRef/>
      </w:r>
      <w:r>
        <w:t xml:space="preserve"> </w:t>
      </w:r>
      <w:r w:rsidRPr="009211B1">
        <w:t xml:space="preserve">Álvaro Lobo Pacheco, Gerson Javier Rodríguez Quintero, Israel </w:t>
      </w:r>
      <w:proofErr w:type="spellStart"/>
      <w:r w:rsidRPr="009211B1">
        <w:t>Pundor</w:t>
      </w:r>
      <w:proofErr w:type="spellEnd"/>
      <w:r w:rsidRPr="009211B1">
        <w:t xml:space="preserve"> Quintero, Ángel María Barrera Sánchez, Antonio Flórez Contreras, Víctor Manuel Ayala Sánchez, Alirio Chaparro Murillo, Álvaro Camargo, Gilberto Ortiz Sarmiento, Reinaldo Corzo Vargas, Luis Hernando Jáuregui </w:t>
      </w:r>
      <w:proofErr w:type="spellStart"/>
      <w:r w:rsidRPr="009211B1">
        <w:t>Jaimes</w:t>
      </w:r>
      <w:proofErr w:type="spellEnd"/>
      <w:r w:rsidRPr="009211B1">
        <w:t>, Luis Domingo Sauza</w:t>
      </w:r>
      <w:r>
        <w:t xml:space="preserve"> </w:t>
      </w:r>
      <w:r w:rsidRPr="009211B1">
        <w:t xml:space="preserve">Suárez, Juan Alberto Montero Fuentes, José Ferney Fernández Díaz, Rubén Emilio Pineda Bedoya, Carlos Arturo </w:t>
      </w:r>
      <w:proofErr w:type="spellStart"/>
      <w:r w:rsidRPr="009211B1">
        <w:t>Riátiga</w:t>
      </w:r>
      <w:proofErr w:type="spellEnd"/>
      <w:r w:rsidRPr="009211B1">
        <w:t xml:space="preserve"> Carvajal, Juan Bautista, Alberto Gómez (posiblemente de segundo apellido Ramírez) y Huber Pérez (posiblemente de segundo apellido Castaño).</w:t>
      </w:r>
    </w:p>
  </w:footnote>
  <w:footnote w:id="424">
    <w:p w:rsidR="00591E90" w:rsidRPr="009211B1" w:rsidRDefault="00591E90">
      <w:pPr>
        <w:pStyle w:val="Textonotapie"/>
        <w:rPr>
          <w:lang w:val="es-CO"/>
        </w:rPr>
      </w:pPr>
      <w:r>
        <w:rPr>
          <w:rStyle w:val="Refdenotaalpie"/>
        </w:rPr>
        <w:footnoteRef/>
      </w:r>
      <w:r>
        <w:t xml:space="preserve"> </w:t>
      </w:r>
      <w:r w:rsidRPr="009211B1">
        <w:t>Por violación a la libertad personal, a la integridad personal y al derecho a la vida (artículos 7, 5 y 4 de la Convención Americana de Derechos Humanos). «Esta Corte tuvo por probado (supra párr. 86.b) que miembros de la fuerza pública apoyaron a los “paramilitares” en los actos que antecedieron a la detención de las presuntas víctimas y en la comisión de los delitos en perjuicio de éstas. Ha quedado demostrado (supra párr. 85.b) que los altos mandos militares y “paramilitares” creían que las primeras 17 presuntas víctimas vendían armas y mercancías a los grupos guerrilleros de la zona del Magdalena Medio. Esta supuesta relación con los guerrilleros y el hecho de que estos comerciantes no pagaban los “impuestos” que cobraba el referido grupo “paramilitar” por transitar con mercancías en esa región, llevaron a la “cúpula” del grupo “paramilitar” a realizar una reunión, en la cual se tomó la decisión de matar a los comerciantes y apropiarse de sus mercancías y vehículos. Ha quedado también demostrado (supra párr. 85.b) que esta reunión se realizó con la aquiescencia de algunos militares, ya que éstos estaban de acuerdo con dicho plan. Inclusive hay elementos probatorios que indican que en dicha reunión participaron algunos militares». Corte Interamericana de Derechos Humanos. Caso 19 comerciantes vs. Colombia. Sentencia del 5 de julio de 2004, pág. 76. https://www.corteidh.or.cr/docs/casos/articulos/seriec109esp.pdf.</w:t>
      </w:r>
    </w:p>
  </w:footnote>
  <w:footnote w:id="425">
    <w:p w:rsidR="00591E90" w:rsidRPr="009211B1" w:rsidRDefault="00591E90">
      <w:pPr>
        <w:pStyle w:val="Textonotapie"/>
        <w:rPr>
          <w:lang w:val="es-CO"/>
        </w:rPr>
      </w:pPr>
      <w:r>
        <w:rPr>
          <w:rStyle w:val="Refdenotaalpie"/>
        </w:rPr>
        <w:footnoteRef/>
      </w:r>
      <w:r>
        <w:t xml:space="preserve"> </w:t>
      </w:r>
      <w:r w:rsidRPr="000536D4">
        <w:t>Entrevista 001-VI- 0028. Exilio en Europa.</w:t>
      </w:r>
    </w:p>
  </w:footnote>
  <w:footnote w:id="426">
    <w:p w:rsidR="00591E90" w:rsidRPr="000536D4" w:rsidRDefault="00591E90">
      <w:pPr>
        <w:pStyle w:val="Textonotapie"/>
        <w:rPr>
          <w:lang w:val="es-CO"/>
        </w:rPr>
      </w:pPr>
      <w:r>
        <w:rPr>
          <w:rStyle w:val="Refdenotaalpie"/>
        </w:rPr>
        <w:footnoteRef/>
      </w:r>
      <w:r>
        <w:t xml:space="preserve"> </w:t>
      </w:r>
      <w:r w:rsidRPr="000536D4">
        <w:t>Estos nexos han sido documentados por la Comisión de la Verdad en el caso sobre el entramado paramilitar en el Magdalena Medio.</w:t>
      </w:r>
    </w:p>
  </w:footnote>
  <w:footnote w:id="427">
    <w:p w:rsidR="00591E90" w:rsidRPr="000536D4" w:rsidRDefault="00591E90">
      <w:pPr>
        <w:pStyle w:val="Textonotapie"/>
        <w:rPr>
          <w:lang w:val="es-CO"/>
        </w:rPr>
      </w:pPr>
      <w:r>
        <w:rPr>
          <w:rStyle w:val="Refdenotaalpie"/>
        </w:rPr>
        <w:footnoteRef/>
      </w:r>
      <w:r>
        <w:t xml:space="preserve"> </w:t>
      </w:r>
      <w:r w:rsidRPr="000536D4">
        <w:t>Fue asesinado en 1991 por las revelaciones que hizo sobre la participación del Ejército en las masacres de Segovia, Honduras y La Negra.</w:t>
      </w:r>
    </w:p>
  </w:footnote>
  <w:footnote w:id="428">
    <w:p w:rsidR="00591E90" w:rsidRPr="000536D4" w:rsidRDefault="00591E90">
      <w:pPr>
        <w:pStyle w:val="Textonotapie"/>
        <w:rPr>
          <w:lang w:val="es-CO"/>
        </w:rPr>
      </w:pPr>
      <w:r>
        <w:rPr>
          <w:rStyle w:val="Refdenotaalpie"/>
        </w:rPr>
        <w:footnoteRef/>
      </w:r>
      <w:r>
        <w:t xml:space="preserve"> </w:t>
      </w:r>
      <w:r w:rsidRPr="00876A91">
        <w:t xml:space="preserve">Rodrigo Pérez </w:t>
      </w:r>
      <w:proofErr w:type="spellStart"/>
      <w:r w:rsidRPr="00876A91">
        <w:t>Alzate</w:t>
      </w:r>
      <w:proofErr w:type="spellEnd"/>
      <w:r w:rsidRPr="00876A91">
        <w:t>, alias Julián Bolívar, en Entrevista 240-AA-00006 (entrevista colectiva con excomandantes del Bloque Central Bolívar).</w:t>
      </w:r>
    </w:p>
  </w:footnote>
  <w:footnote w:id="429">
    <w:p w:rsidR="00591E90" w:rsidRPr="00876A91" w:rsidRDefault="00591E90">
      <w:pPr>
        <w:pStyle w:val="Textonotapie"/>
        <w:rPr>
          <w:lang w:val="es-CO"/>
        </w:rPr>
      </w:pPr>
      <w:r>
        <w:rPr>
          <w:rStyle w:val="Refdenotaalpie"/>
        </w:rPr>
        <w:footnoteRef/>
      </w:r>
      <w:r>
        <w:t xml:space="preserve"> </w:t>
      </w:r>
      <w:r w:rsidRPr="00876A91">
        <w:t>Entrevista 185-PR-00206. Integrante de la fuerza pública que tuvo participación directa en incursiones paramilitares).</w:t>
      </w:r>
    </w:p>
  </w:footnote>
  <w:footnote w:id="430">
    <w:p w:rsidR="00591E90" w:rsidRPr="00502B4C" w:rsidRDefault="00591E90">
      <w:pPr>
        <w:pStyle w:val="Textonotapie"/>
        <w:rPr>
          <w:lang w:val="pt-BR"/>
        </w:rPr>
      </w:pPr>
      <w:r>
        <w:rPr>
          <w:rStyle w:val="Refdenotaalpie"/>
        </w:rPr>
        <w:footnoteRef/>
      </w:r>
      <w:r w:rsidRPr="00502B4C">
        <w:rPr>
          <w:lang w:val="pt-BR"/>
        </w:rPr>
        <w:t xml:space="preserve"> Entrevista 142-PR-03259. </w:t>
      </w:r>
      <w:proofErr w:type="spellStart"/>
      <w:r w:rsidRPr="00502B4C">
        <w:rPr>
          <w:lang w:val="pt-BR"/>
        </w:rPr>
        <w:t>Exparamilitar</w:t>
      </w:r>
      <w:proofErr w:type="spellEnd"/>
      <w:r w:rsidRPr="00502B4C">
        <w:rPr>
          <w:lang w:val="pt-BR"/>
        </w:rPr>
        <w:t xml:space="preserve"> de </w:t>
      </w:r>
      <w:proofErr w:type="spellStart"/>
      <w:r w:rsidRPr="00502B4C">
        <w:rPr>
          <w:lang w:val="pt-BR"/>
        </w:rPr>
        <w:t>las</w:t>
      </w:r>
      <w:proofErr w:type="spellEnd"/>
      <w:r w:rsidRPr="00502B4C">
        <w:rPr>
          <w:lang w:val="pt-BR"/>
        </w:rPr>
        <w:t xml:space="preserve"> ACC.</w:t>
      </w:r>
    </w:p>
  </w:footnote>
  <w:footnote w:id="431">
    <w:p w:rsidR="00591E90" w:rsidRPr="00876A91" w:rsidRDefault="00591E90">
      <w:pPr>
        <w:pStyle w:val="Textonotapie"/>
        <w:rPr>
          <w:lang w:val="pt-BR"/>
        </w:rPr>
      </w:pPr>
      <w:r>
        <w:rPr>
          <w:rStyle w:val="Refdenotaalpie"/>
        </w:rPr>
        <w:footnoteRef/>
      </w:r>
      <w:r w:rsidRPr="00876A91">
        <w:rPr>
          <w:lang w:val="pt-BR"/>
        </w:rPr>
        <w:t xml:space="preserve"> Entrevista 185-PR-00771. </w:t>
      </w:r>
      <w:proofErr w:type="spellStart"/>
      <w:r w:rsidRPr="00876A91">
        <w:rPr>
          <w:lang w:val="pt-BR"/>
        </w:rPr>
        <w:t>Exparamilitar</w:t>
      </w:r>
      <w:proofErr w:type="spellEnd"/>
      <w:r w:rsidRPr="00876A91">
        <w:rPr>
          <w:lang w:val="pt-BR"/>
        </w:rPr>
        <w:t xml:space="preserve"> de Bloque Centauros.</w:t>
      </w:r>
    </w:p>
  </w:footnote>
  <w:footnote w:id="432">
    <w:p w:rsidR="00591E90" w:rsidRPr="00876A91" w:rsidRDefault="00591E90">
      <w:pPr>
        <w:pStyle w:val="Textonotapie"/>
        <w:rPr>
          <w:lang w:val="es-CO"/>
        </w:rPr>
      </w:pPr>
      <w:r>
        <w:rPr>
          <w:rStyle w:val="Refdenotaalpie"/>
        </w:rPr>
        <w:footnoteRef/>
      </w:r>
      <w:r w:rsidRPr="00502B4C">
        <w:rPr>
          <w:lang w:val="pt-BR"/>
        </w:rPr>
        <w:t xml:space="preserve"> Entrevista 185-PR-00206. </w:t>
      </w:r>
      <w:r w:rsidRPr="00876A91">
        <w:t>Integrante de la fuerza pública que tuvo participación directa en incursiones paramilitares.</w:t>
      </w:r>
    </w:p>
  </w:footnote>
  <w:footnote w:id="433">
    <w:p w:rsidR="00591E90" w:rsidRPr="00876A91" w:rsidRDefault="00591E90">
      <w:pPr>
        <w:pStyle w:val="Textonotapie"/>
        <w:rPr>
          <w:lang w:val="es-CO"/>
        </w:rPr>
      </w:pPr>
      <w:r>
        <w:rPr>
          <w:rStyle w:val="Refdenotaalpie"/>
        </w:rPr>
        <w:footnoteRef/>
      </w:r>
      <w:r>
        <w:t xml:space="preserve"> </w:t>
      </w:r>
      <w:r w:rsidRPr="00876A91">
        <w:t>Entrevista 240-AA-00013. Excomandante en el BCB.</w:t>
      </w:r>
    </w:p>
  </w:footnote>
  <w:footnote w:id="434">
    <w:p w:rsidR="00591E90" w:rsidRPr="00876A91" w:rsidRDefault="00591E90">
      <w:pPr>
        <w:pStyle w:val="Textonotapie"/>
        <w:rPr>
          <w:lang w:val="es-CO"/>
        </w:rPr>
      </w:pPr>
      <w:r>
        <w:rPr>
          <w:rStyle w:val="Refdenotaalpie"/>
        </w:rPr>
        <w:footnoteRef/>
      </w:r>
      <w:r>
        <w:t xml:space="preserve"> </w:t>
      </w:r>
      <w:r w:rsidRPr="00876A91">
        <w:t>Entrevista 084-PR-00429. Exmilitar encargado de la articulación con grupos paramilitares.</w:t>
      </w:r>
    </w:p>
  </w:footnote>
  <w:footnote w:id="435">
    <w:p w:rsidR="00591E90" w:rsidRPr="00876A91" w:rsidRDefault="00591E90">
      <w:pPr>
        <w:pStyle w:val="Textonotapie"/>
        <w:rPr>
          <w:lang w:val="es-CO"/>
        </w:rPr>
      </w:pPr>
      <w:r>
        <w:rPr>
          <w:rStyle w:val="Refdenotaalpie"/>
        </w:rPr>
        <w:footnoteRef/>
      </w:r>
      <w:r>
        <w:t xml:space="preserve"> </w:t>
      </w:r>
      <w:r w:rsidRPr="00876A91">
        <w:t>Tribunal Superior de Distrito Judicial de Bogotá, Sala de Justicia y Paz. Sentencia de 31 de octubre de 2014, Postulados: Salvatore Mancuso Gómez y otros, Radicado No. 11001600253200680008 N.I. 1821, párr. 315.</w:t>
      </w:r>
    </w:p>
  </w:footnote>
  <w:footnote w:id="436">
    <w:p w:rsidR="00591E90" w:rsidRPr="00876A91" w:rsidRDefault="00591E90">
      <w:pPr>
        <w:pStyle w:val="Textonotapie"/>
        <w:rPr>
          <w:lang w:val="es-CO"/>
        </w:rPr>
      </w:pPr>
      <w:r>
        <w:rPr>
          <w:rStyle w:val="Refdenotaalpie"/>
        </w:rPr>
        <w:footnoteRef/>
      </w:r>
      <w:r>
        <w:t xml:space="preserve"> </w:t>
      </w:r>
      <w:r w:rsidRPr="00876A91">
        <w:t>En 2005 fue nombrado subdirector del DAS.</w:t>
      </w:r>
    </w:p>
  </w:footnote>
  <w:footnote w:id="437">
    <w:p w:rsidR="00591E90" w:rsidRPr="00876A91" w:rsidRDefault="00591E90">
      <w:pPr>
        <w:pStyle w:val="Textonotapie"/>
        <w:rPr>
          <w:lang w:val="es-CO"/>
        </w:rPr>
      </w:pPr>
      <w:r>
        <w:rPr>
          <w:rStyle w:val="Refdenotaalpie"/>
        </w:rPr>
        <w:footnoteRef/>
      </w:r>
      <w:r>
        <w:t xml:space="preserve"> </w:t>
      </w:r>
      <w:r w:rsidRPr="00876A91">
        <w:t>José Miguel Narváez Martínez en su testimonio ante la Comisión de la Verdad negó esta información.</w:t>
      </w:r>
    </w:p>
  </w:footnote>
  <w:footnote w:id="438">
    <w:p w:rsidR="00591E90" w:rsidRPr="00876A91" w:rsidRDefault="00591E90">
      <w:pPr>
        <w:pStyle w:val="Textonotapie"/>
        <w:rPr>
          <w:lang w:val="es-CO"/>
        </w:rPr>
      </w:pPr>
      <w:r>
        <w:rPr>
          <w:rStyle w:val="Refdenotaalpie"/>
        </w:rPr>
        <w:footnoteRef/>
      </w:r>
      <w:r>
        <w:t xml:space="preserve"> </w:t>
      </w:r>
      <w:r w:rsidRPr="00876A91">
        <w:t>Versión libre de Salvatore Mancuso Gómez, de febrero 2009, ante Justicia y Paz; Versión libre de Jorge Iván Laverde, de 17 de junio de 2008, ante Justicia y Paz.</w:t>
      </w:r>
    </w:p>
  </w:footnote>
  <w:footnote w:id="439">
    <w:p w:rsidR="00591E90" w:rsidRPr="00876A91" w:rsidRDefault="00591E90">
      <w:pPr>
        <w:pStyle w:val="Textonotapie"/>
        <w:rPr>
          <w:lang w:val="es-CO"/>
        </w:rPr>
      </w:pPr>
      <w:r>
        <w:rPr>
          <w:rStyle w:val="Refdenotaalpie"/>
        </w:rPr>
        <w:footnoteRef/>
      </w:r>
      <w:r>
        <w:t xml:space="preserve"> </w:t>
      </w:r>
      <w:r w:rsidRPr="00876A91">
        <w:t>Declaración rendida por Freddy Rendón Herrera, el 11 de agosto de 2009, ante la Unidad Nacional de Derechos Humanos de la Fiscalía General de la Nación.</w:t>
      </w:r>
    </w:p>
  </w:footnote>
  <w:footnote w:id="440">
    <w:p w:rsidR="00591E90" w:rsidRPr="009B1F0B" w:rsidRDefault="00591E90">
      <w:pPr>
        <w:pStyle w:val="Textonotapie"/>
        <w:rPr>
          <w:lang w:val="es-CO"/>
        </w:rPr>
      </w:pPr>
      <w:r>
        <w:rPr>
          <w:rStyle w:val="Refdenotaalpie"/>
        </w:rPr>
        <w:footnoteRef/>
      </w:r>
      <w:r>
        <w:t xml:space="preserve"> </w:t>
      </w:r>
      <w:r w:rsidRPr="00D4426B">
        <w:t>Comisión de la Verdad. Contribución a la verdad y reconocimiento de responsabilidades: Salvatore Mancuso y Rodrigo Londoño. 04 de agosto. Transmitido por YouTube. 2021.</w:t>
      </w:r>
    </w:p>
  </w:footnote>
  <w:footnote w:id="441">
    <w:p w:rsidR="00591E90" w:rsidRPr="00D4426B" w:rsidRDefault="00591E90">
      <w:pPr>
        <w:pStyle w:val="Textonotapie"/>
        <w:rPr>
          <w:lang w:val="es-CO"/>
        </w:rPr>
      </w:pPr>
      <w:r>
        <w:rPr>
          <w:rStyle w:val="Refdenotaalpie"/>
        </w:rPr>
        <w:footnoteRef/>
      </w:r>
      <w:r>
        <w:t xml:space="preserve"> </w:t>
      </w:r>
      <w:r w:rsidRPr="00D4426B">
        <w:t xml:space="preserve">Corte Suprema de Justicia, Sala de Casación Penal. Acta aprobada </w:t>
      </w:r>
      <w:proofErr w:type="spellStart"/>
      <w:r w:rsidRPr="00D4426B">
        <w:t>n.°</w:t>
      </w:r>
      <w:proofErr w:type="spellEnd"/>
      <w:r w:rsidRPr="00D4426B">
        <w:t xml:space="preserve"> 84. Sentencia contra el exsenador Álvaro Araújo Castro, 18 de marzo de 2010, pág. 108.</w:t>
      </w:r>
    </w:p>
  </w:footnote>
  <w:footnote w:id="442">
    <w:p w:rsidR="00591E90" w:rsidRPr="00992D32" w:rsidRDefault="00591E90">
      <w:pPr>
        <w:pStyle w:val="Textonotapie"/>
        <w:rPr>
          <w:lang w:val="es-CO"/>
        </w:rPr>
      </w:pPr>
      <w:r>
        <w:rPr>
          <w:rStyle w:val="Refdenotaalpie"/>
        </w:rPr>
        <w:footnoteRef/>
      </w:r>
      <w:r>
        <w:t xml:space="preserve"> </w:t>
      </w:r>
      <w:r w:rsidRPr="00992D32">
        <w:t>Refiriéndose a los comicios legislativos del 2006.</w:t>
      </w:r>
    </w:p>
  </w:footnote>
  <w:footnote w:id="443">
    <w:p w:rsidR="00591E90" w:rsidRPr="00992D32" w:rsidRDefault="00591E90">
      <w:pPr>
        <w:pStyle w:val="Textonotapie"/>
        <w:rPr>
          <w:lang w:val="es-CO"/>
        </w:rPr>
      </w:pPr>
      <w:r>
        <w:rPr>
          <w:rStyle w:val="Refdenotaalpie"/>
        </w:rPr>
        <w:footnoteRef/>
      </w:r>
      <w:r>
        <w:t xml:space="preserve"> </w:t>
      </w:r>
      <w:r w:rsidRPr="00992D32">
        <w:t>Vicente</w:t>
      </w:r>
      <w:r>
        <w:t xml:space="preserve"> </w:t>
      </w:r>
      <w:r w:rsidRPr="00992D32">
        <w:t>Castaño.</w:t>
      </w:r>
      <w:r>
        <w:t xml:space="preserve"> </w:t>
      </w:r>
      <w:r w:rsidRPr="00992D32">
        <w:t>«Habla</w:t>
      </w:r>
      <w:r>
        <w:t xml:space="preserve"> </w:t>
      </w:r>
      <w:r w:rsidRPr="00992D32">
        <w:t>Vicente</w:t>
      </w:r>
      <w:r>
        <w:t xml:space="preserve"> </w:t>
      </w:r>
      <w:r w:rsidRPr="00992D32">
        <w:t>Castaño».</w:t>
      </w:r>
      <w:r>
        <w:t xml:space="preserve"> </w:t>
      </w:r>
      <w:r w:rsidRPr="00992D32">
        <w:t>Semana.</w:t>
      </w:r>
      <w:r>
        <w:t xml:space="preserve"> </w:t>
      </w:r>
      <w:r w:rsidRPr="00992D32">
        <w:t>4</w:t>
      </w:r>
      <w:r>
        <w:t xml:space="preserve"> </w:t>
      </w:r>
      <w:r w:rsidRPr="00992D32">
        <w:t>de</w:t>
      </w:r>
      <w:r>
        <w:t xml:space="preserve"> </w:t>
      </w:r>
      <w:r w:rsidRPr="00992D32">
        <w:t>junio</w:t>
      </w:r>
      <w:r>
        <w:t xml:space="preserve"> </w:t>
      </w:r>
      <w:r w:rsidRPr="00992D32">
        <w:t>de</w:t>
      </w:r>
      <w:r>
        <w:t xml:space="preserve"> </w:t>
      </w:r>
      <w:r w:rsidRPr="00992D32">
        <w:t>2005. https://www.semana.com/portada/articulo/habla-vicente-castano/72964-3/</w:t>
      </w:r>
    </w:p>
  </w:footnote>
  <w:footnote w:id="444">
    <w:p w:rsidR="00591E90" w:rsidRPr="00021EE6" w:rsidRDefault="00591E90">
      <w:pPr>
        <w:pStyle w:val="Textonotapie"/>
        <w:rPr>
          <w:lang w:val="es-CO"/>
        </w:rPr>
      </w:pPr>
      <w:r>
        <w:rPr>
          <w:rStyle w:val="Refdenotaalpie"/>
        </w:rPr>
        <w:footnoteRef/>
      </w:r>
      <w:r>
        <w:t xml:space="preserve"> </w:t>
      </w:r>
      <w:r w:rsidRPr="00021EE6">
        <w:t xml:space="preserve">Corte Suprema de Justicia, Sala de Casación Penal. Sentencia. Procesados Jesús María </w:t>
      </w:r>
      <w:proofErr w:type="spellStart"/>
      <w:r w:rsidRPr="00021EE6">
        <w:t>Imbeth</w:t>
      </w:r>
      <w:proofErr w:type="spellEnd"/>
      <w:r w:rsidRPr="00021EE6">
        <w:t xml:space="preserve"> y otros. Bogotá, 12 de enero de 2012, pág. 3. Resaltado propio.</w:t>
      </w:r>
    </w:p>
  </w:footnote>
  <w:footnote w:id="445">
    <w:p w:rsidR="00591E90" w:rsidRPr="00021EE6" w:rsidRDefault="00591E90">
      <w:pPr>
        <w:pStyle w:val="Textonotapie"/>
        <w:rPr>
          <w:lang w:val="es-CO"/>
        </w:rPr>
      </w:pPr>
      <w:r>
        <w:rPr>
          <w:rStyle w:val="Refdenotaalpie"/>
        </w:rPr>
        <w:footnoteRef/>
      </w:r>
      <w:r>
        <w:t xml:space="preserve"> </w:t>
      </w:r>
      <w:r w:rsidRPr="00021EE6">
        <w:t xml:space="preserve">Por nombrar algunos, hospitales como el José Prudencio Padilla, de Barranquilla; el Materno Infantil, de Soledad (Atlántico), y el Central Julio Méndez </w:t>
      </w:r>
      <w:proofErr w:type="spellStart"/>
      <w:r w:rsidRPr="00021EE6">
        <w:t>Barreneche</w:t>
      </w:r>
      <w:proofErr w:type="spellEnd"/>
      <w:r w:rsidRPr="00021EE6">
        <w:t>, de Santa Marta, fueron parte del botín al que se hizo el Bloque Norte.</w:t>
      </w:r>
    </w:p>
  </w:footnote>
  <w:footnote w:id="446">
    <w:p w:rsidR="00591E90" w:rsidRPr="00021EE6" w:rsidRDefault="00591E90">
      <w:pPr>
        <w:pStyle w:val="Textonotapie"/>
        <w:rPr>
          <w:lang w:val="es-CO"/>
        </w:rPr>
      </w:pPr>
      <w:r>
        <w:rPr>
          <w:rStyle w:val="Refdenotaalpie"/>
        </w:rPr>
        <w:footnoteRef/>
      </w:r>
      <w:r>
        <w:t xml:space="preserve"> </w:t>
      </w:r>
      <w:r w:rsidRPr="00021EE6">
        <w:t xml:space="preserve">Supersalud. Comunicado de prensa «Supersalud ordena liquidación de la EPS indígena </w:t>
      </w:r>
      <w:proofErr w:type="spellStart"/>
      <w:r w:rsidRPr="00021EE6">
        <w:t>Manexka</w:t>
      </w:r>
      <w:proofErr w:type="spellEnd"/>
      <w:r w:rsidRPr="00021EE6">
        <w:t>». 28 de marzo de 2017. https://www.supersalud.gov.co/es-co/Noticias/listanoticias/supersalud-ordena-liquidacion-de- la-</w:t>
      </w:r>
      <w:proofErr w:type="spellStart"/>
      <w:r w:rsidRPr="00021EE6">
        <w:t>eps</w:t>
      </w:r>
      <w:proofErr w:type="spellEnd"/>
      <w:r w:rsidRPr="00021EE6">
        <w:t>-</w:t>
      </w:r>
      <w:proofErr w:type="spellStart"/>
      <w:r w:rsidRPr="00021EE6">
        <w:t>indigena-manexka</w:t>
      </w:r>
      <w:proofErr w:type="spellEnd"/>
    </w:p>
  </w:footnote>
  <w:footnote w:id="447">
    <w:p w:rsidR="00591E90" w:rsidRPr="00021EE6" w:rsidRDefault="00591E90">
      <w:pPr>
        <w:pStyle w:val="Textonotapie"/>
        <w:rPr>
          <w:lang w:val="es-CO"/>
        </w:rPr>
      </w:pPr>
      <w:r>
        <w:rPr>
          <w:rStyle w:val="Refdenotaalpie"/>
        </w:rPr>
        <w:footnoteRef/>
      </w:r>
      <w:r>
        <w:t xml:space="preserve"> </w:t>
      </w:r>
      <w:r w:rsidRPr="00021EE6">
        <w:t>«El Bloque Elmer Cárdenas igualmente creó y canalizó a través de la institución sin ánimo de lucro Asociación Comunitaria del Norte de Urabá y Occidente Cordobés (</w:t>
      </w:r>
      <w:proofErr w:type="spellStart"/>
      <w:r w:rsidRPr="00021EE6">
        <w:t>Asocomún</w:t>
      </w:r>
      <w:proofErr w:type="spellEnd"/>
      <w:r w:rsidRPr="00021EE6">
        <w:t xml:space="preserve">), recursos y personal con el fin de intervenir en la vida política y social de la región del Urabá». Tribunal Superior de Bogotá, Sala de Justicia y Paz. Sentencia. Magistrada ponente </w:t>
      </w:r>
      <w:proofErr w:type="spellStart"/>
      <w:r w:rsidRPr="00021EE6">
        <w:t>Uldi</w:t>
      </w:r>
      <w:proofErr w:type="spellEnd"/>
      <w:r w:rsidRPr="00021EE6">
        <w:t xml:space="preserve"> Teresa Jiménez López, Condenado Fredy Rendón Herrera. Bogotá, 16 de diciembre de 2012, pág. 217.</w:t>
      </w:r>
    </w:p>
  </w:footnote>
  <w:footnote w:id="448">
    <w:p w:rsidR="00591E90" w:rsidRPr="00021EE6" w:rsidRDefault="00591E90">
      <w:pPr>
        <w:pStyle w:val="Textonotapie"/>
        <w:rPr>
          <w:lang w:val="es-CO"/>
        </w:rPr>
      </w:pPr>
      <w:r>
        <w:rPr>
          <w:rStyle w:val="Refdenotaalpie"/>
        </w:rPr>
        <w:footnoteRef/>
      </w:r>
      <w:r>
        <w:t xml:space="preserve"> </w:t>
      </w:r>
      <w:r w:rsidRPr="00021EE6">
        <w:t>Un exrector refiriéndose al que también fuera rector de la Universidad, Claudio Sánchez: «Claudio era de la organización, Claudio era AUC cien por ciento [...] Claudio sí era de la organización y era también como de una relación como familiar, de la familia de Mancuso y la familia de él». Entrevista 331-PR-02869 (hombre, docente, exrector Universidad de Córdoba).</w:t>
      </w:r>
    </w:p>
  </w:footnote>
  <w:footnote w:id="449">
    <w:p w:rsidR="00591E90" w:rsidRPr="00021EE6" w:rsidRDefault="00591E90">
      <w:pPr>
        <w:pStyle w:val="Textonotapie"/>
        <w:rPr>
          <w:lang w:val="es-CO"/>
        </w:rPr>
      </w:pPr>
      <w:r>
        <w:rPr>
          <w:rStyle w:val="Refdenotaalpie"/>
        </w:rPr>
        <w:footnoteRef/>
      </w:r>
      <w:r>
        <w:t xml:space="preserve"> </w:t>
      </w:r>
      <w:r w:rsidRPr="00021EE6">
        <w:t>Entrevista 142-PR-02479 (exsenador/procesado).</w:t>
      </w:r>
    </w:p>
  </w:footnote>
  <w:footnote w:id="450">
    <w:p w:rsidR="00591E90" w:rsidRPr="008F0261" w:rsidRDefault="00591E90">
      <w:pPr>
        <w:pStyle w:val="Textonotapie"/>
        <w:rPr>
          <w:lang w:val="es-CO"/>
        </w:rPr>
      </w:pPr>
      <w:r>
        <w:rPr>
          <w:rStyle w:val="Refdenotaalpie"/>
        </w:rPr>
        <w:footnoteRef/>
      </w:r>
      <w:r>
        <w:t xml:space="preserve"> </w:t>
      </w:r>
      <w:r w:rsidRPr="005F7A24">
        <w:t>Este pacto fue diferente a los Acuerdos de Ralito, que fueron los acuerdos del proceso de desmovilización de las AUC.</w:t>
      </w:r>
    </w:p>
  </w:footnote>
  <w:footnote w:id="451">
    <w:p w:rsidR="00591E90" w:rsidRPr="005F7A24" w:rsidRDefault="00591E90">
      <w:pPr>
        <w:pStyle w:val="Textonotapie"/>
        <w:rPr>
          <w:lang w:val="es-CO"/>
        </w:rPr>
      </w:pPr>
      <w:r>
        <w:rPr>
          <w:rStyle w:val="Refdenotaalpie"/>
        </w:rPr>
        <w:footnoteRef/>
      </w:r>
      <w:r>
        <w:t xml:space="preserve"> </w:t>
      </w:r>
      <w:r w:rsidRPr="005F7A24">
        <w:t xml:space="preserve">Francisco Gutiérrez-Sanín. </w:t>
      </w:r>
      <w:proofErr w:type="spellStart"/>
      <w:r w:rsidRPr="005F7A24">
        <w:t>Clientelistic</w:t>
      </w:r>
      <w:proofErr w:type="spellEnd"/>
      <w:r w:rsidRPr="005F7A24">
        <w:t xml:space="preserve"> </w:t>
      </w:r>
      <w:proofErr w:type="spellStart"/>
      <w:r w:rsidRPr="005F7A24">
        <w:t>Warfare</w:t>
      </w:r>
      <w:proofErr w:type="spellEnd"/>
      <w:r w:rsidRPr="005F7A24">
        <w:t xml:space="preserve">: </w:t>
      </w:r>
      <w:proofErr w:type="spellStart"/>
      <w:r w:rsidRPr="005F7A24">
        <w:t>Paramilitaries</w:t>
      </w:r>
      <w:proofErr w:type="spellEnd"/>
      <w:r w:rsidRPr="005F7A24">
        <w:t xml:space="preserve"> and </w:t>
      </w:r>
      <w:proofErr w:type="spellStart"/>
      <w:r w:rsidRPr="005F7A24">
        <w:t>the</w:t>
      </w:r>
      <w:proofErr w:type="spellEnd"/>
      <w:r w:rsidRPr="005F7A24">
        <w:t xml:space="preserve"> </w:t>
      </w:r>
      <w:proofErr w:type="spellStart"/>
      <w:r w:rsidRPr="005F7A24">
        <w:t>State</w:t>
      </w:r>
      <w:proofErr w:type="spellEnd"/>
      <w:r w:rsidRPr="005F7A24">
        <w:t xml:space="preserve"> in Colombia (1982-2007). Oxford: Peter Lang, 2019, pág. 273.</w:t>
      </w:r>
    </w:p>
  </w:footnote>
  <w:footnote w:id="452">
    <w:p w:rsidR="00591E90" w:rsidRPr="005F7A24" w:rsidRDefault="00591E90" w:rsidP="005F7A24">
      <w:pPr>
        <w:pStyle w:val="Textonotapie"/>
      </w:pPr>
      <w:r>
        <w:rPr>
          <w:rStyle w:val="Refdenotaalpie"/>
        </w:rPr>
        <w:footnoteRef/>
      </w:r>
      <w:r>
        <w:t xml:space="preserve"> Los partidos de los imputados fueron: Partido Conservador, Partido Liberal Colombiano, Cambio Radical, Colombia Democrática, Convergencia Popular Cívica, Movimiento de Inclusión y Oportunidades, Partido de la U, Movimiento Integración Popular, Movimiento Renovador de Acción Social, Alas - Equipo Colombia, Convergencia Ciudadana y Movimiento Político por la Seguridad Social. Consultoría interna sobre parapolítica. Juan Diego Restrepo E. «Partidos políticos y paramilitarismo: “el Estado de autodefensa”».</w:t>
      </w:r>
    </w:p>
  </w:footnote>
  <w:footnote w:id="453">
    <w:p w:rsidR="00591E90" w:rsidRPr="005F7A24" w:rsidRDefault="00591E90" w:rsidP="005F7A24">
      <w:pPr>
        <w:pStyle w:val="Textonotapie"/>
        <w:rPr>
          <w:lang w:val="es-CO"/>
        </w:rPr>
      </w:pPr>
      <w:r>
        <w:rPr>
          <w:rStyle w:val="Refdenotaalpie"/>
        </w:rPr>
        <w:footnoteRef/>
      </w:r>
      <w:r w:rsidRPr="005F7A24">
        <w:rPr>
          <w:lang w:val="es-CO"/>
        </w:rPr>
        <w:t>Partido Conservador, Partido Liberal Colombiano, Cambio Radical, Colombia Democrática, Convergencia Popular Cívica, Movimiento de Inclusión y Oportunidades, Partido de la U, Movimiento Integración Popular, Movimiento Renovador de Acción Social, Alas - Equipo Colombia, Convergencia Ciudadana y Movimiento Político por la Seguridad Social. Comisión de la Verdad. Consultoría Juan Diego Restrepo E. «Partidos políticos y paramilitarismo: “el Estado de Autodefensa”», pág. 16.</w:t>
      </w:r>
    </w:p>
  </w:footnote>
  <w:footnote w:id="454">
    <w:p w:rsidR="00591E90" w:rsidRPr="005F7A24" w:rsidRDefault="00591E90">
      <w:pPr>
        <w:pStyle w:val="Textonotapie"/>
        <w:rPr>
          <w:lang w:val="es-CO"/>
        </w:rPr>
      </w:pPr>
      <w:r>
        <w:rPr>
          <w:rStyle w:val="Refdenotaalpie"/>
        </w:rPr>
        <w:footnoteRef/>
      </w:r>
      <w:r>
        <w:t xml:space="preserve"> </w:t>
      </w:r>
      <w:r w:rsidRPr="005F7A24">
        <w:t>Informe 365-CI-01914. Fiscalía General de la Nación. Informe sobre financiadores, colaboradores y socios del paramilitarismo en Antioquia, Córdoba y Chocó. Tomo I: Surgimiento, expansión, auge y desmovilización del paramilitarismo en Antioquia, Córdoba y Chocó. Informe inédito de uso interno. 2017, párr. 127.</w:t>
      </w:r>
    </w:p>
  </w:footnote>
  <w:footnote w:id="455">
    <w:p w:rsidR="00591E90" w:rsidRPr="005F7A24" w:rsidRDefault="00591E90">
      <w:pPr>
        <w:pStyle w:val="Textonotapie"/>
        <w:rPr>
          <w:lang w:val="es-CO"/>
        </w:rPr>
      </w:pPr>
      <w:r>
        <w:rPr>
          <w:rStyle w:val="Refdenotaalpie"/>
        </w:rPr>
        <w:footnoteRef/>
      </w:r>
      <w:r>
        <w:t xml:space="preserve"> </w:t>
      </w:r>
      <w:r w:rsidRPr="005F7A24">
        <w:t>Entrevista 001-VI-00044. Exmagistrado de la Corte Suprema de Justicia.</w:t>
      </w:r>
    </w:p>
  </w:footnote>
  <w:footnote w:id="456">
    <w:p w:rsidR="00591E90" w:rsidRPr="00502B4C" w:rsidRDefault="00591E90">
      <w:pPr>
        <w:pStyle w:val="Textonotapie"/>
      </w:pPr>
      <w:r>
        <w:rPr>
          <w:rStyle w:val="Refdenotaalpie"/>
        </w:rPr>
        <w:footnoteRef/>
      </w:r>
      <w:r w:rsidRPr="00502B4C">
        <w:t xml:space="preserve"> Entrevista 185-PR-00771. Exintegrante Bloque Centauros.</w:t>
      </w:r>
    </w:p>
  </w:footnote>
  <w:footnote w:id="457">
    <w:p w:rsidR="00591E90" w:rsidRPr="000804D7" w:rsidRDefault="00591E90">
      <w:pPr>
        <w:pStyle w:val="Textonotapie"/>
        <w:rPr>
          <w:lang w:val="es-CO"/>
        </w:rPr>
      </w:pPr>
      <w:r>
        <w:rPr>
          <w:rStyle w:val="Refdenotaalpie"/>
        </w:rPr>
        <w:footnoteRef/>
      </w:r>
      <w:r>
        <w:t xml:space="preserve"> </w:t>
      </w:r>
      <w:r w:rsidRPr="000804D7">
        <w:t xml:space="preserve">Los paramilitares de múltiples rangos eran conscientes de que las alianzas eran parte de su accionar. La expresión «pedaleros» de la guerra, por ejemplo, era usada por Rodrigo Mauricio García, alias </w:t>
      </w:r>
      <w:proofErr w:type="spellStart"/>
      <w:r w:rsidRPr="000804D7">
        <w:t>Doblecero</w:t>
      </w:r>
      <w:proofErr w:type="spellEnd"/>
      <w:r w:rsidRPr="000804D7">
        <w:t>, para referirse a las personas que hacían parte de las alianzas con el paramilitarismo, hacía referencia a una multiplicidad de actores que estaban detrás del grupo armado y que tenían intereses en que la guerra se diera y se expandiera. Actores que, en su expresión, hacían girar los pedales que movían el conflicto.</w:t>
      </w:r>
    </w:p>
  </w:footnote>
  <w:footnote w:id="458">
    <w:p w:rsidR="00591E90" w:rsidRPr="0037383F" w:rsidRDefault="00591E90">
      <w:pPr>
        <w:pStyle w:val="Textonotapie"/>
        <w:rPr>
          <w:lang w:val="es-CO"/>
        </w:rPr>
      </w:pPr>
      <w:r>
        <w:rPr>
          <w:rStyle w:val="Refdenotaalpie"/>
        </w:rPr>
        <w:footnoteRef/>
      </w:r>
      <w:r>
        <w:t xml:space="preserve"> </w:t>
      </w:r>
      <w:r w:rsidRPr="0037383F">
        <w:t xml:space="preserve">Base de datos </w:t>
      </w:r>
      <w:r w:rsidRPr="00EF48B9">
        <w:rPr>
          <w:lang w:val="en-US"/>
        </w:rPr>
        <w:t>Corporate Accountability and Transitional Justice-</w:t>
      </w:r>
      <w:r w:rsidRPr="0037383F">
        <w:t xml:space="preserve">Colombia, febrero de 2018, citado en </w:t>
      </w:r>
      <w:proofErr w:type="spellStart"/>
      <w:r w:rsidRPr="0037383F">
        <w:t>DeJusticia</w:t>
      </w:r>
      <w:proofErr w:type="spellEnd"/>
      <w:r w:rsidRPr="0037383F">
        <w:t>. «Cuentas Claras: El papel de la Comisión de la Verdad en la develación de la responsabilidad de empresas en el conflicto armado colombiano». 13 de febrero de 2018. https://www.dejusticia.org/publication/cuentas-claras-empresas/</w:t>
      </w:r>
    </w:p>
  </w:footnote>
  <w:footnote w:id="459">
    <w:p w:rsidR="00591E90" w:rsidRPr="0037383F" w:rsidRDefault="00591E90">
      <w:pPr>
        <w:pStyle w:val="Textonotapie"/>
        <w:rPr>
          <w:lang w:val="es-CO"/>
        </w:rPr>
      </w:pPr>
      <w:r>
        <w:rPr>
          <w:rStyle w:val="Refdenotaalpie"/>
        </w:rPr>
        <w:footnoteRef/>
      </w:r>
      <w:r>
        <w:t xml:space="preserve"> </w:t>
      </w:r>
      <w:r w:rsidRPr="0037383F">
        <w:t>De un registro de 9.615 solicitudes de restitución, 3.000, equivalentes al 31 % del total de casos analizados, tuvieron oposición, y de estos tan solo 317 (10 % de los casos con oposición) acreditaron su «buena fe exenta de culpa», según base de datos de restitución de tierras aportada a la Comisión por la Fundación Forjando Futuros.</w:t>
      </w:r>
    </w:p>
  </w:footnote>
  <w:footnote w:id="460">
    <w:p w:rsidR="00591E90" w:rsidRPr="0075793B" w:rsidRDefault="00591E90" w:rsidP="0075793B">
      <w:pPr>
        <w:pStyle w:val="Textonotapie"/>
        <w:rPr>
          <w:lang w:val="es-CO"/>
        </w:rPr>
      </w:pPr>
      <w:r>
        <w:rPr>
          <w:rStyle w:val="Refdenotaalpie"/>
        </w:rPr>
        <w:footnoteRef/>
      </w:r>
      <w:r>
        <w:t xml:space="preserve"> Procuraduría Delegada para el Ministerio Público en Asuntos penales. «Foro 10 años de la Ley de Víctimas ¿Qué nos hace falta?». 25 de febrero de 2022. https://www.youtube.com/watch?v=Nrz7HUCK5NY</w:t>
      </w:r>
    </w:p>
  </w:footnote>
  <w:footnote w:id="461">
    <w:p w:rsidR="00591E90" w:rsidRPr="0075793B" w:rsidRDefault="00591E90">
      <w:pPr>
        <w:pStyle w:val="Textonotapie"/>
        <w:rPr>
          <w:lang w:val="es-CO"/>
        </w:rPr>
      </w:pPr>
      <w:r>
        <w:rPr>
          <w:rStyle w:val="Refdenotaalpie"/>
        </w:rPr>
        <w:footnoteRef/>
      </w:r>
      <w:r w:rsidRPr="00502B4C">
        <w:rPr>
          <w:lang w:val="es-CO"/>
        </w:rPr>
        <w:t xml:space="preserve"> Raúl Emilio Hasbún Mendoza, alias Pedro Bonito, excomandante paramilitar. </w:t>
      </w:r>
      <w:r w:rsidRPr="0075793B">
        <w:t xml:space="preserve">«El hombre que fue el cerebro de la </w:t>
      </w:r>
      <w:proofErr w:type="spellStart"/>
      <w:r w:rsidRPr="0075793B">
        <w:t>paraeconomía</w:t>
      </w:r>
      <w:proofErr w:type="spellEnd"/>
      <w:r w:rsidRPr="0075793B">
        <w:t>». Semana. 30 de marzo de 2012.</w:t>
      </w:r>
    </w:p>
  </w:footnote>
  <w:footnote w:id="462">
    <w:p w:rsidR="00591E90" w:rsidRPr="0075793B" w:rsidRDefault="00591E90">
      <w:pPr>
        <w:pStyle w:val="Textonotapie"/>
        <w:rPr>
          <w:lang w:val="es-CO"/>
        </w:rPr>
      </w:pPr>
      <w:r>
        <w:rPr>
          <w:rStyle w:val="Refdenotaalpie"/>
        </w:rPr>
        <w:footnoteRef/>
      </w:r>
      <w:r>
        <w:t xml:space="preserve"> </w:t>
      </w:r>
      <w:r w:rsidRPr="0075793B">
        <w:t>Comisión de la Verdad. «La verdad del pueblo negro, afrocolombiano, palenquero y raizal». Transmitido el 11 de diciembre del 2020 por YouTube. https://www.youtube.com/watch?v=CpkLuBhZlhk. 02:46:40.</w:t>
      </w:r>
    </w:p>
  </w:footnote>
  <w:footnote w:id="463">
    <w:p w:rsidR="00591E90" w:rsidRPr="00502B4C" w:rsidRDefault="00591E90">
      <w:pPr>
        <w:pStyle w:val="Textonotapie"/>
        <w:rPr>
          <w:lang w:val="pt-BR"/>
        </w:rPr>
      </w:pPr>
      <w:r>
        <w:rPr>
          <w:rStyle w:val="Refdenotaalpie"/>
        </w:rPr>
        <w:footnoteRef/>
      </w:r>
      <w:r>
        <w:t xml:space="preserve"> </w:t>
      </w:r>
      <w:r w:rsidRPr="0075793B">
        <w:t xml:space="preserve">Informe 365-CI-01914. Fiscalía General de la Nación. Informe sobre financiadores, colaboradores y socios del paramilitarismo en Antioquia, Córdoba y Chocó. Tomo III: La participación de terceros financiadores, colaboradores y socios no estatales de los grupos paramilitares en Antioquia, Córdoba y Chocó. </w:t>
      </w:r>
      <w:r w:rsidRPr="00502B4C">
        <w:rPr>
          <w:lang w:val="pt-BR"/>
        </w:rPr>
        <w:t xml:space="preserve">Informe inédito de uso interno. 2017, </w:t>
      </w:r>
      <w:proofErr w:type="spellStart"/>
      <w:r w:rsidRPr="00502B4C">
        <w:rPr>
          <w:lang w:val="pt-BR"/>
        </w:rPr>
        <w:t>párr</w:t>
      </w:r>
      <w:proofErr w:type="spellEnd"/>
      <w:r w:rsidRPr="00502B4C">
        <w:rPr>
          <w:lang w:val="pt-BR"/>
        </w:rPr>
        <w:t>. 214.</w:t>
      </w:r>
    </w:p>
  </w:footnote>
  <w:footnote w:id="464">
    <w:p w:rsidR="00591E90" w:rsidRPr="00502B4C" w:rsidRDefault="00591E90">
      <w:pPr>
        <w:pStyle w:val="Textonotapie"/>
        <w:rPr>
          <w:lang w:val="pt-BR"/>
        </w:rPr>
      </w:pPr>
      <w:r>
        <w:rPr>
          <w:rStyle w:val="Refdenotaalpie"/>
        </w:rPr>
        <w:footnoteRef/>
      </w:r>
      <w:r w:rsidRPr="00502B4C">
        <w:rPr>
          <w:lang w:val="pt-BR"/>
        </w:rPr>
        <w:t xml:space="preserve"> </w:t>
      </w:r>
      <w:proofErr w:type="spellStart"/>
      <w:r w:rsidRPr="00502B4C">
        <w:rPr>
          <w:lang w:val="pt-BR"/>
        </w:rPr>
        <w:t>Ibíd</w:t>
      </w:r>
      <w:proofErr w:type="spellEnd"/>
      <w:r w:rsidRPr="00502B4C">
        <w:rPr>
          <w:lang w:val="pt-BR"/>
        </w:rPr>
        <w:t xml:space="preserve">., </w:t>
      </w:r>
      <w:proofErr w:type="spellStart"/>
      <w:r w:rsidRPr="00502B4C">
        <w:rPr>
          <w:lang w:val="pt-BR"/>
        </w:rPr>
        <w:t>párr</w:t>
      </w:r>
      <w:proofErr w:type="spellEnd"/>
      <w:r w:rsidRPr="00502B4C">
        <w:rPr>
          <w:lang w:val="pt-BR"/>
        </w:rPr>
        <w:t>. 209.</w:t>
      </w:r>
    </w:p>
  </w:footnote>
  <w:footnote w:id="465">
    <w:p w:rsidR="00591E90" w:rsidRPr="0075793B" w:rsidRDefault="00591E90">
      <w:pPr>
        <w:pStyle w:val="Textonotapie"/>
        <w:rPr>
          <w:lang w:val="es-CO"/>
        </w:rPr>
      </w:pPr>
      <w:r>
        <w:rPr>
          <w:rStyle w:val="Refdenotaalpie"/>
        </w:rPr>
        <w:footnoteRef/>
      </w:r>
      <w:r w:rsidRPr="00502B4C">
        <w:rPr>
          <w:lang w:val="pt-BR"/>
        </w:rPr>
        <w:t xml:space="preserve"> Entrevista 185-PR-00771. </w:t>
      </w:r>
      <w:r w:rsidRPr="0075793B">
        <w:t>Actor armado, hombre, Bloque Centauros AUC.</w:t>
      </w:r>
    </w:p>
  </w:footnote>
  <w:footnote w:id="466">
    <w:p w:rsidR="00591E90" w:rsidRPr="0075793B" w:rsidRDefault="00591E90">
      <w:pPr>
        <w:pStyle w:val="Textonotapie"/>
        <w:rPr>
          <w:lang w:val="es-CO"/>
        </w:rPr>
      </w:pPr>
      <w:r>
        <w:rPr>
          <w:rStyle w:val="Refdenotaalpie"/>
        </w:rPr>
        <w:footnoteRef/>
      </w:r>
      <w:r>
        <w:t xml:space="preserve"> </w:t>
      </w:r>
      <w:proofErr w:type="spellStart"/>
      <w:r w:rsidRPr="0075793B">
        <w:t>Ibíd</w:t>
      </w:r>
      <w:proofErr w:type="spellEnd"/>
      <w:r w:rsidRPr="0075793B">
        <w:t>.</w:t>
      </w:r>
    </w:p>
  </w:footnote>
  <w:footnote w:id="467">
    <w:p w:rsidR="00591E90" w:rsidRPr="0075793B" w:rsidRDefault="00591E90">
      <w:pPr>
        <w:pStyle w:val="Textonotapie"/>
        <w:rPr>
          <w:lang w:val="es-CO"/>
        </w:rPr>
      </w:pPr>
      <w:r>
        <w:rPr>
          <w:rStyle w:val="Refdenotaalpie"/>
        </w:rPr>
        <w:footnoteRef/>
      </w:r>
      <w:r>
        <w:t xml:space="preserve"> </w:t>
      </w:r>
      <w:r w:rsidRPr="0075793B">
        <w:t xml:space="preserve">Entrevista 240-AA-00003(39961). </w:t>
      </w:r>
      <w:proofErr w:type="spellStart"/>
      <w:r w:rsidRPr="0075793B">
        <w:t>Exparamilitar</w:t>
      </w:r>
      <w:proofErr w:type="spellEnd"/>
      <w:r w:rsidRPr="0075793B">
        <w:t xml:space="preserve"> del Bloque Central Bolívar.</w:t>
      </w:r>
    </w:p>
  </w:footnote>
  <w:footnote w:id="468">
    <w:p w:rsidR="00591E90" w:rsidRPr="0075793B" w:rsidRDefault="00591E90">
      <w:pPr>
        <w:pStyle w:val="Textonotapie"/>
        <w:rPr>
          <w:lang w:val="es-CO"/>
        </w:rPr>
      </w:pPr>
      <w:r>
        <w:rPr>
          <w:rStyle w:val="Refdenotaalpie"/>
        </w:rPr>
        <w:footnoteRef/>
      </w:r>
      <w:r>
        <w:t xml:space="preserve"> </w:t>
      </w:r>
      <w:r w:rsidRPr="0075793B">
        <w:t>Entrevista 346-AA-00001. Excomandante financiero de varios bloques de las AUC.</w:t>
      </w:r>
    </w:p>
  </w:footnote>
  <w:footnote w:id="469">
    <w:p w:rsidR="00591E90" w:rsidRPr="0075793B" w:rsidRDefault="00591E90">
      <w:pPr>
        <w:pStyle w:val="Textonotapie"/>
        <w:rPr>
          <w:lang w:val="es-CO"/>
        </w:rPr>
      </w:pPr>
      <w:r>
        <w:rPr>
          <w:rStyle w:val="Refdenotaalpie"/>
        </w:rPr>
        <w:footnoteRef/>
      </w:r>
      <w:r>
        <w:t xml:space="preserve"> </w:t>
      </w:r>
      <w:r w:rsidRPr="0075793B">
        <w:t>Comisión de la Verdad. Entrevista 001-VI-00069 (Exfuncionario judicial en el exilio). Entrevista realizada el 20 de marzo 2021.</w:t>
      </w:r>
    </w:p>
  </w:footnote>
  <w:footnote w:id="470">
    <w:p w:rsidR="00591E90" w:rsidRPr="0075793B" w:rsidRDefault="00591E90">
      <w:pPr>
        <w:pStyle w:val="Textonotapie"/>
        <w:rPr>
          <w:lang w:val="es-CO"/>
        </w:rPr>
      </w:pPr>
      <w:r>
        <w:rPr>
          <w:rStyle w:val="Refdenotaalpie"/>
        </w:rPr>
        <w:footnoteRef/>
      </w:r>
      <w:r>
        <w:t xml:space="preserve"> </w:t>
      </w:r>
      <w:r w:rsidRPr="0075793B">
        <w:t>Comisión de la Verdad. Entrevista 001-VI-00040. Exfuncionaria pública en el exilio. 20 de enero 2020.</w:t>
      </w:r>
    </w:p>
  </w:footnote>
  <w:footnote w:id="471">
    <w:p w:rsidR="00591E90" w:rsidRPr="00057256" w:rsidRDefault="00591E90">
      <w:pPr>
        <w:pStyle w:val="Textonotapie"/>
        <w:rPr>
          <w:lang w:val="es-CO"/>
        </w:rPr>
      </w:pPr>
      <w:r>
        <w:rPr>
          <w:rStyle w:val="Refdenotaalpie"/>
        </w:rPr>
        <w:footnoteRef/>
      </w:r>
      <w:r>
        <w:t xml:space="preserve"> </w:t>
      </w:r>
      <w:r w:rsidRPr="00057256">
        <w:t>En la sentencia del Bloque Catatumbo se le compulsa una copia a la Fiscalía para que investigue al fiscal Osorio. Así mismo, Jorge Iván Laverde lo nombra en Tribunal Superior de Bogotá (Sentencia Bloque Catatumbo. Radicado 11001600253200680008. 31 de octubre. 2014. Pp. 221).</w:t>
      </w:r>
    </w:p>
  </w:footnote>
  <w:footnote w:id="472">
    <w:p w:rsidR="00591E90" w:rsidRPr="00057256" w:rsidRDefault="00591E90">
      <w:pPr>
        <w:pStyle w:val="Textonotapie"/>
        <w:rPr>
          <w:lang w:val="es-CO"/>
        </w:rPr>
      </w:pPr>
      <w:r>
        <w:rPr>
          <w:rStyle w:val="Refdenotaalpie"/>
        </w:rPr>
        <w:footnoteRef/>
      </w:r>
      <w:r>
        <w:t xml:space="preserve"> </w:t>
      </w:r>
      <w:r w:rsidRPr="00057256">
        <w:t>Centro Internacional de Toledo para la paz (</w:t>
      </w:r>
      <w:proofErr w:type="spellStart"/>
      <w:r w:rsidRPr="00057256">
        <w:t>CITpax</w:t>
      </w:r>
      <w:proofErr w:type="spellEnd"/>
      <w:r w:rsidRPr="00057256">
        <w:t>). La verdad en las sentencias de Justicia y Paz, un estudio cuantitativo sobre los hechos, sus principales narradores y las redes de apoyo develadas. Bogotá: Universidad Javeriana, 2018.</w:t>
      </w:r>
    </w:p>
  </w:footnote>
  <w:footnote w:id="473">
    <w:p w:rsidR="00591E90" w:rsidRPr="00057256" w:rsidRDefault="00591E90">
      <w:pPr>
        <w:pStyle w:val="Textonotapie"/>
        <w:rPr>
          <w:lang w:val="es-CO"/>
        </w:rPr>
      </w:pPr>
      <w:r>
        <w:rPr>
          <w:rStyle w:val="Refdenotaalpie"/>
        </w:rPr>
        <w:footnoteRef/>
      </w:r>
      <w:r>
        <w:t xml:space="preserve"> </w:t>
      </w:r>
      <w:r w:rsidRPr="00057256">
        <w:t>Fiscalía General de la Nación. «Fiscalía concluye estudio sobre terceros civiles vinculados al conflicto armado». Boletín 27004. 23 de mayo de 2019. https://www.fiscalia.gov.co/colombia/noticias/fiscalia-concluye- estudio-sobre-terceros-civiles-vinculados-al-conflicto-armado/</w:t>
      </w:r>
    </w:p>
  </w:footnote>
  <w:footnote w:id="474">
    <w:p w:rsidR="00591E90" w:rsidRPr="00057256" w:rsidRDefault="00591E90">
      <w:pPr>
        <w:pStyle w:val="Textonotapie"/>
        <w:rPr>
          <w:lang w:val="es-CO"/>
        </w:rPr>
      </w:pPr>
      <w:r>
        <w:rPr>
          <w:rStyle w:val="Refdenotaalpie"/>
        </w:rPr>
        <w:footnoteRef/>
      </w:r>
      <w:r>
        <w:t xml:space="preserve"> </w:t>
      </w:r>
      <w:r w:rsidRPr="00057256">
        <w:t xml:space="preserve">José Salomón </w:t>
      </w:r>
      <w:proofErr w:type="spellStart"/>
      <w:r w:rsidRPr="00057256">
        <w:t>Strusberg</w:t>
      </w:r>
      <w:proofErr w:type="spellEnd"/>
      <w:r w:rsidRPr="00057256">
        <w:t xml:space="preserve"> en: Procuraduría General de la Nación. «Encuentro nacional de procuradoras y procuradores judiciales penales. Mesa 04. “10 de años de la Ley de Víctimas ¿qué nos falta?”». 2022.</w:t>
      </w:r>
    </w:p>
  </w:footnote>
  <w:footnote w:id="475">
    <w:p w:rsidR="00591E90" w:rsidRPr="00057256" w:rsidRDefault="00591E90">
      <w:pPr>
        <w:pStyle w:val="Textonotapie"/>
        <w:rPr>
          <w:lang w:val="es-CO"/>
        </w:rPr>
      </w:pPr>
      <w:r>
        <w:rPr>
          <w:rStyle w:val="Refdenotaalpie"/>
        </w:rPr>
        <w:footnoteRef/>
      </w:r>
      <w:r>
        <w:t xml:space="preserve"> </w:t>
      </w:r>
      <w:r w:rsidRPr="00057256">
        <w:t>Otra fuente resaltó que «La impunidad es alta y también se atribuye a que es tanto el volumen de situaciones y casos que la Fiscalía General de la Nación se queda corta para poder lograr una identificación plena de lo sucedido, y esta gente se oculta detrás de las amenazas y la coacción. Además, que se asuma o no que estas empresas actuaron bajo coacción depende también de los fiscales; si [se trata de] un fiscal acucioso, buscará bajo todos los medios lograr las pruebas para poder vincularlos y poder terminar su proceso de manera correcta; hay otros fiscales que, por el volumen de su trabajo o por sus posturas personales, no logran hacer esa profundización y simplemente las investigaciones se caen». Citado en: Laura Sofía Celis Irurita. «Justicia y Paz: ¿un círculo de impunidad?». Directo Bogotá. 6 de marzo de 2021.</w:t>
      </w:r>
    </w:p>
  </w:footnote>
  <w:footnote w:id="476">
    <w:p w:rsidR="00591E90" w:rsidRPr="00790BED" w:rsidRDefault="00591E90">
      <w:pPr>
        <w:pStyle w:val="Textonotapie"/>
      </w:pPr>
      <w:r>
        <w:rPr>
          <w:rStyle w:val="Refdenotaalpie"/>
        </w:rPr>
        <w:footnoteRef/>
      </w:r>
      <w:r>
        <w:t xml:space="preserve"> </w:t>
      </w:r>
      <w:r w:rsidRPr="00790BED">
        <w:t>Entrevista 240-AA-00005 (Iván Roberto Duque, excomandante del BCB bajo el alias Ernesto Báez).</w:t>
      </w:r>
    </w:p>
  </w:footnote>
  <w:footnote w:id="477">
    <w:p w:rsidR="00591E90" w:rsidRPr="00790BED" w:rsidRDefault="00591E90">
      <w:pPr>
        <w:pStyle w:val="Textonotapie"/>
      </w:pPr>
      <w:r>
        <w:rPr>
          <w:rStyle w:val="Refdenotaalpie"/>
        </w:rPr>
        <w:footnoteRef/>
      </w:r>
      <w:r>
        <w:t xml:space="preserve"> </w:t>
      </w:r>
      <w:r w:rsidRPr="00790BED">
        <w:t>Procuraduría General de la Nación. Informe de la Procuraduría General de la Nación sobre el MAS: Lista de integrantes y la conexión MAS-militares. 1983.</w:t>
      </w:r>
    </w:p>
  </w:footnote>
  <w:footnote w:id="478">
    <w:p w:rsidR="00591E90" w:rsidRPr="00790BED" w:rsidRDefault="00591E90">
      <w:pPr>
        <w:pStyle w:val="Textonotapie"/>
        <w:rPr>
          <w:lang w:val="es-CO"/>
        </w:rPr>
      </w:pPr>
      <w:r>
        <w:rPr>
          <w:rStyle w:val="Refdenotaalpie"/>
        </w:rPr>
        <w:footnoteRef/>
      </w:r>
      <w:r>
        <w:t xml:space="preserve"> </w:t>
      </w:r>
      <w:r w:rsidRPr="00790BED">
        <w:t>Los resultados serían parcialmente publicados en la prensa nacional (El Espectador y El Tiempo, ediciones del 20 de febrero de 1983) y en el Informe de la Procuraduría General de la Nación sobre el MAS de febrero de 1983 (reproducido en Oficina del Alto Comisionado para la Paz – Presidencia de la República de Colombia, El proceso de paz en Colombia 1982-1994, pág. 514).</w:t>
      </w:r>
    </w:p>
  </w:footnote>
  <w:footnote w:id="479">
    <w:p w:rsidR="00591E90" w:rsidRPr="00790BED" w:rsidRDefault="00591E90">
      <w:pPr>
        <w:pStyle w:val="Textonotapie"/>
        <w:rPr>
          <w:lang w:val="es-CO"/>
        </w:rPr>
      </w:pPr>
      <w:r>
        <w:rPr>
          <w:rStyle w:val="Refdenotaalpie"/>
        </w:rPr>
        <w:footnoteRef/>
      </w:r>
      <w:r>
        <w:t xml:space="preserve"> </w:t>
      </w:r>
      <w:r w:rsidRPr="00790BED">
        <w:t>El comunicado sería reproducido en El Tiempo, 24 de febrero de 1983, 6-A.</w:t>
      </w:r>
    </w:p>
  </w:footnote>
  <w:footnote w:id="480">
    <w:p w:rsidR="00591E90" w:rsidRDefault="00591E90" w:rsidP="00790BED">
      <w:pPr>
        <w:pStyle w:val="Textonotapie"/>
      </w:pPr>
      <w:r>
        <w:rPr>
          <w:rStyle w:val="Refdenotaalpie"/>
        </w:rPr>
        <w:footnoteRef/>
      </w:r>
      <w:r>
        <w:t xml:space="preserve"> Anales del Congreso. De la sesión ordinaria del miércoles 19 de octubre de 1988. Año XXXI- </w:t>
      </w:r>
      <w:proofErr w:type="spellStart"/>
      <w:r>
        <w:t>N.°</w:t>
      </w:r>
      <w:proofErr w:type="spellEnd"/>
      <w:r>
        <w:t xml:space="preserve"> 150. Bogotá, jueves 3 de noviembre de 1988, pág. 47. Otra pregunta en el marco del debate del congreso fue:</w:t>
      </w:r>
    </w:p>
    <w:p w:rsidR="00591E90" w:rsidRPr="00790BED" w:rsidRDefault="00591E90" w:rsidP="00790BED">
      <w:pPr>
        <w:pStyle w:val="Textonotapie"/>
        <w:rPr>
          <w:lang w:val="es-CO"/>
        </w:rPr>
      </w:pPr>
      <w:r>
        <w:t>«“¿Cuántos combates entre esos 148 [sic] ‘grupos paramilitares’ y las Fuerzas Armadas se han registrado?” A esto se respondió que “A partir de agosto de 1986 se han llevado a cabo por parte de las Fuerzas Armadas aproximadamente 39 combates con antisociales (conocidos comúnmente como sicarios) que bien pueden ser integrantes de alguno de los 138 grupos a que se refiere la primera pregunta; además de la gran cantidad de operaciones de captura con los resultados citados en la respuesta anterior”».</w:t>
      </w:r>
    </w:p>
  </w:footnote>
  <w:footnote w:id="481">
    <w:p w:rsidR="00591E90" w:rsidRPr="00431771" w:rsidRDefault="00591E90">
      <w:pPr>
        <w:pStyle w:val="Textonotapie"/>
        <w:rPr>
          <w:lang w:val="es-CO"/>
        </w:rPr>
      </w:pPr>
      <w:r>
        <w:rPr>
          <w:rStyle w:val="Refdenotaalpie"/>
        </w:rPr>
        <w:footnoteRef/>
      </w:r>
      <w:r>
        <w:t xml:space="preserve"> </w:t>
      </w:r>
      <w:r w:rsidRPr="00431771">
        <w:t>Aproximadamente ocho páginas con amenazas de las AUC contra miembros de la Fiscalía.</w:t>
      </w:r>
    </w:p>
  </w:footnote>
  <w:footnote w:id="482">
    <w:p w:rsidR="00591E90" w:rsidRPr="00431771" w:rsidRDefault="00591E90">
      <w:pPr>
        <w:pStyle w:val="Textonotapie"/>
        <w:rPr>
          <w:lang w:val="es-CO"/>
        </w:rPr>
      </w:pPr>
      <w:r>
        <w:rPr>
          <w:rStyle w:val="Refdenotaalpie"/>
        </w:rPr>
        <w:footnoteRef/>
      </w:r>
      <w:r>
        <w:t xml:space="preserve"> </w:t>
      </w:r>
      <w:r w:rsidRPr="00431771">
        <w:t>Amelia Pérez Parra, exfiscal de la Unidad de Derechos Humanos de la Fiscalía. 002-VI-00040.</w:t>
      </w:r>
    </w:p>
  </w:footnote>
  <w:footnote w:id="483">
    <w:p w:rsidR="00591E90" w:rsidRPr="00431771" w:rsidRDefault="00591E90">
      <w:pPr>
        <w:pStyle w:val="Textonotapie"/>
        <w:rPr>
          <w:lang w:val="es-CO"/>
        </w:rPr>
      </w:pPr>
      <w:r>
        <w:rPr>
          <w:rStyle w:val="Refdenotaalpie"/>
        </w:rPr>
        <w:footnoteRef/>
      </w:r>
      <w:r>
        <w:t xml:space="preserve"> </w:t>
      </w:r>
      <w:r w:rsidRPr="00431771">
        <w:t>La decisión de allanamiento del lugar se llevó a cabo sin el pleno conocimiento de la importancia de esa oficina. El allanamiento fue consecuencia de una incautación de alrededor de 150 uniformes de dotación militar que iban a ser entregados a un frente de las ACCU, allí los investigadores descubrieron que se habían enviado desde Medellín. Siguiendo las rutas de aquellos insumos encontraron que el lugar donde estaban siendo coordinadas era un parqueadero en el centro de la capital antioqueña, en la carrera 55 con 45A.</w:t>
      </w:r>
    </w:p>
  </w:footnote>
  <w:footnote w:id="484">
    <w:p w:rsidR="00591E90" w:rsidRPr="00431771" w:rsidRDefault="00591E90">
      <w:pPr>
        <w:pStyle w:val="Textonotapie"/>
        <w:rPr>
          <w:lang w:val="es-CO"/>
        </w:rPr>
      </w:pPr>
      <w:r>
        <w:rPr>
          <w:rStyle w:val="Refdenotaalpie"/>
        </w:rPr>
        <w:footnoteRef/>
      </w:r>
      <w:r>
        <w:t xml:space="preserve"> </w:t>
      </w:r>
      <w:r w:rsidRPr="00431771">
        <w:t>Entrevista 001-VI-00044 (exmagistrado de la Corte Suprema de Justicia).</w:t>
      </w:r>
    </w:p>
  </w:footnote>
  <w:footnote w:id="485">
    <w:p w:rsidR="00591E90" w:rsidRPr="00431771" w:rsidRDefault="00591E90">
      <w:pPr>
        <w:pStyle w:val="Textonotapie"/>
        <w:rPr>
          <w:lang w:val="es-CO"/>
        </w:rPr>
      </w:pPr>
      <w:r>
        <w:rPr>
          <w:rStyle w:val="Refdenotaalpie"/>
        </w:rPr>
        <w:footnoteRef/>
      </w:r>
      <w:r>
        <w:t xml:space="preserve"> </w:t>
      </w:r>
      <w:r w:rsidRPr="00431771">
        <w:t>Informe sobre la declaración de Murillo Bejarano. Fiscalía General de la Nación, Dirección de Fiscalía Nacional Especializada de Justicia Transicional, Despacho 15, Medellín, 16 de abril de 2015. En: Comisión para el Esclarecimiento de la Verdad. Consultoría interna: Juan Diego. Restrepo E. «Autodefensas Campesinas de Córdoba y Urabá: surgimiento, transformación, consolidación y financiación 1994-1998». 2021, pág. 94.</w:t>
      </w:r>
    </w:p>
  </w:footnote>
  <w:footnote w:id="486">
    <w:p w:rsidR="00591E90" w:rsidRPr="00431771" w:rsidRDefault="00591E90">
      <w:pPr>
        <w:pStyle w:val="Textonotapie"/>
        <w:rPr>
          <w:lang w:val="es-CO"/>
        </w:rPr>
      </w:pPr>
      <w:r>
        <w:rPr>
          <w:rStyle w:val="Refdenotaalpie"/>
        </w:rPr>
        <w:footnoteRef/>
      </w:r>
      <w:r>
        <w:t xml:space="preserve"> </w:t>
      </w:r>
      <w:proofErr w:type="spellStart"/>
      <w:r w:rsidRPr="00431771">
        <w:t>Ibíd</w:t>
      </w:r>
      <w:proofErr w:type="spellEnd"/>
      <w:r w:rsidRPr="00431771">
        <w:t>.</w:t>
      </w:r>
    </w:p>
  </w:footnote>
  <w:footnote w:id="487">
    <w:p w:rsidR="00591E90" w:rsidRPr="00431771" w:rsidRDefault="00591E90">
      <w:pPr>
        <w:pStyle w:val="Textonotapie"/>
        <w:rPr>
          <w:lang w:val="es-CO"/>
        </w:rPr>
      </w:pPr>
      <w:r>
        <w:rPr>
          <w:rStyle w:val="Refdenotaalpie"/>
        </w:rPr>
        <w:footnoteRef/>
      </w:r>
      <w:r>
        <w:t xml:space="preserve"> </w:t>
      </w:r>
      <w:r w:rsidRPr="004B0DF2">
        <w:t>IPC &amp; Corporación Jurídica Libertad. Informe Memoria de la impunidad en Antioquia: lo que la justicia no quiso ver frente al paramilitarismo. 2010, pág. 114.</w:t>
      </w:r>
    </w:p>
  </w:footnote>
  <w:footnote w:id="488">
    <w:p w:rsidR="00591E90" w:rsidRPr="00431771" w:rsidRDefault="00591E90">
      <w:pPr>
        <w:pStyle w:val="Textonotapie"/>
        <w:rPr>
          <w:lang w:val="es-CO"/>
        </w:rPr>
      </w:pPr>
      <w:r>
        <w:rPr>
          <w:rStyle w:val="Refdenotaalpie"/>
        </w:rPr>
        <w:footnoteRef/>
      </w:r>
      <w:r>
        <w:t xml:space="preserve"> </w:t>
      </w:r>
      <w:r w:rsidRPr="004B0DF2">
        <w:t>Entrevista 001-VI-00044. Exmagistrado de la Corte Suprema de Justicia.</w:t>
      </w:r>
    </w:p>
  </w:footnote>
  <w:footnote w:id="489">
    <w:p w:rsidR="00591E90" w:rsidRPr="009E5CF2" w:rsidRDefault="00591E90">
      <w:pPr>
        <w:pStyle w:val="Textonotapie"/>
        <w:rPr>
          <w:lang w:val="es-CO"/>
        </w:rPr>
      </w:pPr>
      <w:r>
        <w:rPr>
          <w:rStyle w:val="Refdenotaalpie"/>
        </w:rPr>
        <w:footnoteRef/>
      </w:r>
      <w:r>
        <w:t xml:space="preserve"> </w:t>
      </w:r>
      <w:r w:rsidRPr="009E5CF2">
        <w:t>Para más información, ver los casos que la Comisión de la Verdad ha construido sobre paramilitarismo: el caso sobre paramilitarismo en el Magdalena Medio, el de las Autodefensas Campesinas de Córdoba y Urabá, el de las AUC, etc.</w:t>
      </w:r>
    </w:p>
  </w:footnote>
  <w:footnote w:id="490">
    <w:p w:rsidR="00591E90" w:rsidRPr="00761CF8" w:rsidRDefault="00591E90">
      <w:pPr>
        <w:pStyle w:val="Textonotapie"/>
        <w:rPr>
          <w:lang w:val="es-CO"/>
        </w:rPr>
      </w:pPr>
      <w:r>
        <w:rPr>
          <w:rStyle w:val="Refdenotaalpie"/>
        </w:rPr>
        <w:footnoteRef/>
      </w:r>
      <w:r>
        <w:t xml:space="preserve"> </w:t>
      </w:r>
      <w:r w:rsidRPr="00761CF8">
        <w:t>Por ejemplo, Córdoba y Urabá tienen características en su historia que posibilitaron la aparición del paramilitarismo, como: 1) La expansión del modelo hacendario en los valles del Sinú y San Jorge desde comienzos del siglo XX; 2) la persistencia de conflictos agrarios no resueltos; 3) la contrainsurgencia del Estado y los sectores de poder de la región y, 4) la segunda ola de colonización en Córdoba desde los ochenta: el narcotráfico. Otro caso que ejemplifica esto, es el Magdalena Medio: la geografía (zona de frontera interna); los procesos de poblamiento (múltiples procesos de colonización y migraciones); el modelo económico (grandes haciendas y modelo económico excluyente, enclaves petroleros y economía extractivista); los conflictos sociales que se gestaron en la región, de manera endógena (violencia como forma de solución ante falta de respuesta institucional-estatal); y la militarización del territorio.</w:t>
      </w:r>
    </w:p>
  </w:footnote>
  <w:footnote w:id="491">
    <w:p w:rsidR="00591E90" w:rsidRPr="00761CF8" w:rsidRDefault="00591E90">
      <w:pPr>
        <w:pStyle w:val="Textonotapie"/>
        <w:rPr>
          <w:lang w:val="es-CO"/>
        </w:rPr>
      </w:pPr>
      <w:r>
        <w:rPr>
          <w:rStyle w:val="Refdenotaalpie"/>
        </w:rPr>
        <w:footnoteRef/>
      </w:r>
      <w:r>
        <w:t xml:space="preserve"> </w:t>
      </w:r>
      <w:r w:rsidRPr="00761CF8">
        <w:t xml:space="preserve">Para más información, ver el informe de la FIP, Colombia: un gran mercado de armas sin incentivos para reducirlo. Notas estratégicas </w:t>
      </w:r>
      <w:proofErr w:type="spellStart"/>
      <w:r w:rsidRPr="00761CF8">
        <w:t>n.°</w:t>
      </w:r>
      <w:proofErr w:type="spellEnd"/>
      <w:r w:rsidRPr="00761CF8">
        <w:t xml:space="preserve"> 18. Julio de 2020, pág. 10.</w:t>
      </w:r>
    </w:p>
  </w:footnote>
  <w:footnote w:id="492">
    <w:p w:rsidR="00591E90" w:rsidRPr="00761CF8" w:rsidRDefault="00591E90">
      <w:pPr>
        <w:pStyle w:val="Textonotapie"/>
        <w:rPr>
          <w:lang w:val="es-CO"/>
        </w:rPr>
      </w:pPr>
      <w:r>
        <w:rPr>
          <w:rStyle w:val="Refdenotaalpie"/>
        </w:rPr>
        <w:footnoteRef/>
      </w:r>
      <w:r>
        <w:t xml:space="preserve"> </w:t>
      </w:r>
      <w:r w:rsidRPr="00761CF8">
        <w:t>Para más información sobre la sistematicidad de este fenómeno de negación y la profundidad de la impunidad, véase el apartado de Impunidad.</w:t>
      </w:r>
    </w:p>
  </w:footnote>
  <w:footnote w:id="493">
    <w:p w:rsidR="00591E90" w:rsidRPr="000F1F50" w:rsidRDefault="00591E90">
      <w:pPr>
        <w:pStyle w:val="Textonotapie"/>
        <w:rPr>
          <w:lang w:val="es-CO"/>
        </w:rPr>
      </w:pPr>
      <w:r>
        <w:rPr>
          <w:rStyle w:val="Refdenotaalpie"/>
        </w:rPr>
        <w:footnoteRef/>
      </w:r>
      <w:r>
        <w:t xml:space="preserve"> </w:t>
      </w:r>
      <w:r w:rsidRPr="000F1F50">
        <w:t>Específicamente de excomandantes financieros o sociales del Bloque Central Bolívar (AUC) o las Autodefensas Campesinas del Casanare y posteriormente el Bloque Centauros de las AUC.</w:t>
      </w:r>
    </w:p>
  </w:footnote>
  <w:footnote w:id="494">
    <w:p w:rsidR="00591E90" w:rsidRPr="000F1F50" w:rsidRDefault="00591E90">
      <w:pPr>
        <w:pStyle w:val="Textonotapie"/>
        <w:rPr>
          <w:lang w:val="es-CO"/>
        </w:rPr>
      </w:pPr>
      <w:r>
        <w:rPr>
          <w:rStyle w:val="Refdenotaalpie"/>
        </w:rPr>
        <w:footnoteRef/>
      </w:r>
      <w:r>
        <w:t xml:space="preserve"> </w:t>
      </w:r>
      <w:r w:rsidRPr="000F1F50">
        <w:t>Para estudiar un caso más a fondo, ver estudios regionales a los órdenes sociales, como los que ha producido la Comisión con enfoques territoriales, o bibliografía como: Patricia Madariaga. Matan y matan y uno sigue ahí. Control paramilitar y vida cotidiana en un pueblo de Urabá. Bogotá: Uniandes, 2006.</w:t>
      </w:r>
    </w:p>
  </w:footnote>
  <w:footnote w:id="495">
    <w:p w:rsidR="00591E90" w:rsidRPr="000F1F50" w:rsidRDefault="00591E90">
      <w:pPr>
        <w:pStyle w:val="Textonotapie"/>
        <w:rPr>
          <w:lang w:val="es-CO"/>
        </w:rPr>
      </w:pPr>
      <w:r>
        <w:rPr>
          <w:rStyle w:val="Refdenotaalpie"/>
        </w:rPr>
        <w:footnoteRef/>
      </w:r>
      <w:r>
        <w:t xml:space="preserve"> </w:t>
      </w:r>
      <w:r w:rsidRPr="000F1F50">
        <w:t xml:space="preserve">Según el Mecanismo No Judicial de Contribución a la Verdad del Centro Nacional de Memoria Histórica, el 59 % de los </w:t>
      </w:r>
      <w:proofErr w:type="spellStart"/>
      <w:r w:rsidRPr="000F1F50">
        <w:t>exparamilitares</w:t>
      </w:r>
      <w:proofErr w:type="spellEnd"/>
      <w:r w:rsidRPr="000F1F50">
        <w:t xml:space="preserve"> entrevistados (9.021) manifestó haberse vinculado a un grupo paramilitar debido a factores exclusivamente económicos (Centro Nacional de Memoria Histórica. Análisis cuantitativo sobre el paramilitarismo en Colombia. Hallazgos del Mecanismo No Judicial de Contribución a la Verdad. Bogotá: CNMH, 2019, pág. 89-93). Dentro de esta categoría se encontraban factores como desempleo», «falta de trabajo» o «en los paramilitares pagaban mejor». Estas cifras se relacionan con otro de los factores por los cuales se indagó: «la percepción de las personas entrevistadas sobre su situación económica e ingresos antes de entrar a la estructura paramilitar». El 74,3 % de la muestra, es decir, 6.705 </w:t>
      </w:r>
      <w:proofErr w:type="spellStart"/>
      <w:r w:rsidRPr="000F1F50">
        <w:t>exparamilitares</w:t>
      </w:r>
      <w:proofErr w:type="spellEnd"/>
      <w:r w:rsidRPr="000F1F50">
        <w:t xml:space="preserve"> afirmaron que sus ingresos «no alcanzaban para solventar las necesidades del hogar antes de vincularse a la estructura paramilitar». Ibid. Pág. 41.</w:t>
      </w:r>
    </w:p>
  </w:footnote>
  <w:footnote w:id="496">
    <w:p w:rsidR="00591E90" w:rsidRPr="00644AB5" w:rsidRDefault="00591E90">
      <w:pPr>
        <w:pStyle w:val="Textonotapie"/>
        <w:rPr>
          <w:lang w:val="es-CO"/>
        </w:rPr>
      </w:pPr>
      <w:r>
        <w:rPr>
          <w:rStyle w:val="Refdenotaalpie"/>
        </w:rPr>
        <w:footnoteRef/>
      </w:r>
      <w:r>
        <w:t xml:space="preserve"> </w:t>
      </w:r>
      <w:r w:rsidRPr="00644AB5">
        <w:t>MAPP/OEA. «Vigésimo Informe Semestral del secretario general al Consejo Permanente sobre la Misión de Apoyo al Proceso de Paz en Colombia de la Organización de los Estados Americanos». 30 de octubre de 2015, pág. 22.</w:t>
      </w:r>
    </w:p>
  </w:footnote>
  <w:footnote w:id="497">
    <w:p w:rsidR="00591E90" w:rsidRPr="0038607A" w:rsidRDefault="00591E90">
      <w:pPr>
        <w:pStyle w:val="Textonotapie"/>
        <w:rPr>
          <w:lang w:val="es-CO"/>
        </w:rPr>
      </w:pPr>
      <w:r>
        <w:rPr>
          <w:rStyle w:val="Refdenotaalpie"/>
        </w:rPr>
        <w:footnoteRef/>
      </w:r>
      <w:r>
        <w:t xml:space="preserve"> </w:t>
      </w:r>
      <w:r w:rsidRPr="0038607A">
        <w:t xml:space="preserve">Para realizar este texto se hicieron varias entrevistas colectivas e individuales con líderes de las marchas campesinas de 1996, con campesinos cultivadores de coca en departamentos como Córdoba, Nariño, Bolívar y víctimas de la política antidrogas y de la guerrilla en los Parques Nacionales durante el conflicto y que siguen siendo violentadas en el </w:t>
      </w:r>
      <w:proofErr w:type="spellStart"/>
      <w:r w:rsidRPr="0038607A">
        <w:t>posacuerdo</w:t>
      </w:r>
      <w:proofErr w:type="spellEnd"/>
      <w:r w:rsidRPr="0038607A">
        <w:t xml:space="preserve">. Se hicieron unos ejercicios de escucha con organizaciones que representan a las mujeres en cárceles acusadas de tráfico de drogas, entrevistas con funcionarios públicos que han trabajado en el tema antinarcóticos, de desarrollo alternativo y del Plan Colombia-Plan Patriota-Plan Consolidación, así como con funcionarios y partícipes de la implementación de los acuerdos de paz. Se realizaron entrevistas colectivas e individuales a participantes de pueblos étnicos, en relación con las plantas sagradas y los mercados de la cocaína; se entrevistaron algunas personas de las Fuerzas Militares y policías que quisieron colaborar con su experiencia; pilotos, personas involucradas con el tráfico de cocaína; presos en los Estados Unidos por tráfico de drogas; extrabajadores o personas relacionadas con los carteles de cocaína en los años ochenta. También se hicieron entrevistas con actores extranjeros que formaron parte de estas políticas, con excombatientes y </w:t>
      </w:r>
      <w:proofErr w:type="spellStart"/>
      <w:r w:rsidRPr="0038607A">
        <w:t>exparamilitares</w:t>
      </w:r>
      <w:proofErr w:type="spellEnd"/>
      <w:r w:rsidRPr="0038607A">
        <w:t xml:space="preserve">. Además, la Comisión recolectó testimonios de políticos, jueces, abogados, víctimas, protagonistas o críticos del narcotráfico, la política antidrogas y las economías de la cocaína. También se hizo una revisión documental de archivos –algunos inéditos en el país– como el Proyecto Colombia del </w:t>
      </w:r>
      <w:proofErr w:type="spellStart"/>
      <w:r w:rsidRPr="0038607A">
        <w:t>National</w:t>
      </w:r>
      <w:proofErr w:type="spellEnd"/>
      <w:r w:rsidRPr="0038607A">
        <w:t xml:space="preserve"> Security Archive, archivos del Ministerio de Defensa y de la Agencia Nacional de Licencias Ambientales,</w:t>
      </w:r>
      <w:r w:rsidRPr="009E68B9">
        <w:t xml:space="preserve"> entrevistas a excombatientes de la Agencia de Reincorporación Nacional, actas de la Aerocivil, sentencias de Justicia y Paz-Sala de Casación Penal, actas del Consejo Nacional de Estupefacientes, actas del Consejo de Ministros, actas del Ministerio del Medio Ambiente, correos de Vicente Castaño y Salvatore Mancuso, casos de la Unidad de Inteligencia y Análisis Financiero (UIAF), archivos de la Dirección Federal de Seguridad (México), bases de datos del Observatorio de la Escuela de las Américas (SOWA), </w:t>
      </w:r>
      <w:r w:rsidRPr="0072038B">
        <w:rPr>
          <w:lang w:val="en-US"/>
        </w:rPr>
        <w:t>School of Americas Watch</w:t>
      </w:r>
      <w:r w:rsidRPr="009E68B9">
        <w:t xml:space="preserve"> y los tomos del Informe Génesis del Ministerio de Defensa.</w:t>
      </w:r>
    </w:p>
  </w:footnote>
  <w:footnote w:id="498">
    <w:p w:rsidR="00591E90" w:rsidRPr="00F97164" w:rsidRDefault="00591E90">
      <w:pPr>
        <w:pStyle w:val="Textonotapie"/>
        <w:rPr>
          <w:lang w:val="es-CO"/>
        </w:rPr>
      </w:pPr>
      <w:r>
        <w:rPr>
          <w:rStyle w:val="Refdenotaalpie"/>
        </w:rPr>
        <w:footnoteRef/>
      </w:r>
      <w:r>
        <w:t xml:space="preserve"> </w:t>
      </w:r>
      <w:r w:rsidRPr="00F97164">
        <w:t>Entrevista 442-PR-03356. Experto, político.</w:t>
      </w:r>
    </w:p>
  </w:footnote>
  <w:footnote w:id="499">
    <w:p w:rsidR="00591E90" w:rsidRPr="00F97164" w:rsidRDefault="00591E90">
      <w:pPr>
        <w:pStyle w:val="Textonotapie"/>
        <w:rPr>
          <w:lang w:val="es-CO"/>
        </w:rPr>
      </w:pPr>
      <w:r>
        <w:rPr>
          <w:rStyle w:val="Refdenotaalpie"/>
        </w:rPr>
        <w:footnoteRef/>
      </w:r>
      <w:r>
        <w:t xml:space="preserve"> </w:t>
      </w:r>
      <w:r w:rsidRPr="00F97164">
        <w:t>Un análisis somero se hace en Ocampo. En la última historia económica de Colombia de Kalmanovitz se hace alusión al narcotráfico y la agricultura colombiana. El país aún carece de un análisis sobre la historia financiera o del desarrollo económico o de una historia económica del país y de las economías de la marihuana; entre otras razones, por la dificultad para tener estadísticas confiables, dada la ilegalización de esta actividad (Ocampo, Historia económica de Colombia).</w:t>
      </w:r>
    </w:p>
  </w:footnote>
  <w:footnote w:id="500">
    <w:p w:rsidR="00591E90" w:rsidRPr="00F97164" w:rsidRDefault="00591E90">
      <w:pPr>
        <w:pStyle w:val="Textonotapie"/>
        <w:rPr>
          <w:lang w:val="es-CO"/>
        </w:rPr>
      </w:pPr>
      <w:r>
        <w:rPr>
          <w:rStyle w:val="Refdenotaalpie"/>
        </w:rPr>
        <w:footnoteRef/>
      </w:r>
      <w:r>
        <w:t xml:space="preserve"> </w:t>
      </w:r>
      <w:r w:rsidRPr="00F97164">
        <w:t>En 2021, la Organización de las Naciones Unidas contra la Droga y el Delito (UNODC) reportó que 275 millones de personas en todo el mundo consumieron drogas el año anterior, lo que significa un aumento del 22 %, cuando la población mundial creció solo un 10 %. También aumentó el número de personas con trastornos por consumo de drogas, el cual pasó de 27 a 36 millones. Solo una de cada ocho personas con este tipo de trastornos recibe ayuda profesional. En cuanto a los cultivos de coca, estos han disminuido, si bien el volumen de fabricación mundial de cocaína se duplicó entre 2014 y 2019. Además, los últimos informes muestran que la productividad en el negocio de la cocaína aumentó (UNODC, Sistema Integrado de Monitoreo de Cultivos Ilícitos (</w:t>
      </w:r>
      <w:proofErr w:type="spellStart"/>
      <w:r w:rsidRPr="00F97164">
        <w:t>SimciI</w:t>
      </w:r>
      <w:proofErr w:type="spellEnd"/>
      <w:r w:rsidRPr="00F97164">
        <w:t>), Monitoreo de territorios afectados por cultivos ilícitos, 13 y 14.</w:t>
      </w:r>
    </w:p>
  </w:footnote>
  <w:footnote w:id="501">
    <w:p w:rsidR="00591E90" w:rsidRPr="00F97164" w:rsidRDefault="00591E90">
      <w:pPr>
        <w:pStyle w:val="Textonotapie"/>
        <w:rPr>
          <w:lang w:val="es-CO"/>
        </w:rPr>
      </w:pPr>
      <w:r>
        <w:rPr>
          <w:rStyle w:val="Refdenotaalpie"/>
        </w:rPr>
        <w:footnoteRef/>
      </w:r>
      <w:r>
        <w:t xml:space="preserve"> </w:t>
      </w:r>
      <w:r w:rsidRPr="00F97164">
        <w:t>Uprimny, Las transformaciones de la administración de justicia en Colombia.</w:t>
      </w:r>
    </w:p>
  </w:footnote>
  <w:footnote w:id="502">
    <w:p w:rsidR="00591E90" w:rsidRPr="00F97164" w:rsidRDefault="00591E90">
      <w:pPr>
        <w:pStyle w:val="Textonotapie"/>
        <w:rPr>
          <w:lang w:val="es-CO"/>
        </w:rPr>
      </w:pPr>
      <w:r>
        <w:rPr>
          <w:rStyle w:val="Refdenotaalpie"/>
        </w:rPr>
        <w:footnoteRef/>
      </w:r>
      <w:r>
        <w:t xml:space="preserve"> </w:t>
      </w:r>
      <w:r w:rsidRPr="00F97164">
        <w:t>Al año siguiente se publicó el Informe de la Comisión Latinoamericana sobre Drogas y Democracia y en 2010, investigaciones que mostraron los beneficios de la descriminalización de la posesión personal de todas las drogas en Portugal, llevada a cabo desde 2001.</w:t>
      </w:r>
    </w:p>
  </w:footnote>
  <w:footnote w:id="503">
    <w:p w:rsidR="00591E90" w:rsidRPr="00F97164" w:rsidRDefault="00591E90">
      <w:pPr>
        <w:pStyle w:val="Textonotapie"/>
        <w:rPr>
          <w:lang w:val="es-CO"/>
        </w:rPr>
      </w:pPr>
      <w:r>
        <w:rPr>
          <w:rStyle w:val="Refdenotaalpie"/>
        </w:rPr>
        <w:footnoteRef/>
      </w:r>
      <w:r>
        <w:t xml:space="preserve"> </w:t>
      </w:r>
      <w:r w:rsidRPr="00F97164">
        <w:t xml:space="preserve">Steiner (1999) dedujo que esta cifra giró en torno al 3-4 %, Mejía y Rico (2010) establecen que en 2008 el valor de la base de coca era del 0,35 % y el de la cocaína, del de 0,7 % como proporción del PIB; en total, todo el mercado equivalía al 2,3 % del PIB. A través del análisis de las utilidades </w:t>
      </w:r>
      <w:proofErr w:type="spellStart"/>
      <w:r w:rsidRPr="00F97164">
        <w:t>repatriables</w:t>
      </w:r>
      <w:proofErr w:type="spellEnd"/>
      <w:r w:rsidRPr="00F97164">
        <w:t>, Rocha calculó que en promedio, entre 1999 y 2004, los ingresos del narcotráfico representaron el 1,8 % del PIB y, entre 2005 y 2010, el 0,2 %. Montenegro (2021) calculó que su aporte al PIB alcanzaría el 1,88 % del total en 2018, dos veces el del café. Entre 2011 y 2014 representó un promedio del 0,42 % del PIB total. En 2017 subió a 0,88 % y en 2018 al 1,06 %.</w:t>
      </w:r>
    </w:p>
  </w:footnote>
  <w:footnote w:id="504">
    <w:p w:rsidR="00591E90" w:rsidRPr="00F97164" w:rsidRDefault="00591E90">
      <w:pPr>
        <w:pStyle w:val="Textonotapie"/>
        <w:rPr>
          <w:lang w:val="es-CO"/>
        </w:rPr>
      </w:pPr>
      <w:r>
        <w:rPr>
          <w:rStyle w:val="Refdenotaalpie"/>
        </w:rPr>
        <w:footnoteRef/>
      </w:r>
      <w:r>
        <w:t xml:space="preserve"> </w:t>
      </w:r>
      <w:r w:rsidRPr="00F97164">
        <w:t>Estos datos provienen de la información compilada para todos los países del Banco Mundial, disponible en: https://datos.bancomundial.org. La industria representó en 1989 el 36,9 % del PIB y cayó en menos de una década al 26,4 %. Después de recuperarse en el 2012 con un 33,4 %, en el 2020 cayó a un 23,9 %, la más baja en la historia.</w:t>
      </w:r>
    </w:p>
  </w:footnote>
  <w:footnote w:id="505">
    <w:p w:rsidR="00591E90" w:rsidRPr="00F97164" w:rsidRDefault="00591E90">
      <w:pPr>
        <w:pStyle w:val="Textonotapie"/>
        <w:rPr>
          <w:lang w:val="es-CO"/>
        </w:rPr>
      </w:pPr>
      <w:r>
        <w:rPr>
          <w:rStyle w:val="Refdenotaalpie"/>
        </w:rPr>
        <w:footnoteRef/>
      </w:r>
      <w:r>
        <w:t xml:space="preserve"> </w:t>
      </w:r>
      <w:r w:rsidRPr="00F97164">
        <w:t>La Comisión de la Verdad conversó con expertos en esta medición y pidió información a instituciones oficiales sobre sus datos como la UIAF pero no encontró que el gobierno colombiano tuviera una cifra oficial sobre la cual pudiera dirigir la política pública.</w:t>
      </w:r>
    </w:p>
  </w:footnote>
  <w:footnote w:id="506">
    <w:p w:rsidR="00591E90" w:rsidRPr="00F97164" w:rsidRDefault="00591E90">
      <w:pPr>
        <w:pStyle w:val="Textonotapie"/>
        <w:rPr>
          <w:lang w:val="es-CO"/>
        </w:rPr>
      </w:pPr>
      <w:r>
        <w:rPr>
          <w:rStyle w:val="Refdenotaalpie"/>
        </w:rPr>
        <w:footnoteRef/>
      </w:r>
      <w:r>
        <w:t xml:space="preserve"> </w:t>
      </w:r>
      <w:r w:rsidRPr="00F97164">
        <w:t>UNODC, 2020, pg. 21.</w:t>
      </w:r>
    </w:p>
  </w:footnote>
  <w:footnote w:id="507">
    <w:p w:rsidR="00591E90" w:rsidRPr="00F97164" w:rsidRDefault="00591E90">
      <w:pPr>
        <w:pStyle w:val="Textonotapie"/>
        <w:rPr>
          <w:lang w:val="es-CO"/>
        </w:rPr>
      </w:pPr>
      <w:r>
        <w:rPr>
          <w:rStyle w:val="Refdenotaalpie"/>
        </w:rPr>
        <w:footnoteRef/>
      </w:r>
      <w:r>
        <w:t xml:space="preserve"> </w:t>
      </w:r>
      <w:proofErr w:type="spellStart"/>
      <w:r w:rsidRPr="00F97164">
        <w:t>Simci</w:t>
      </w:r>
      <w:proofErr w:type="spellEnd"/>
      <w:r w:rsidRPr="00F97164">
        <w:t xml:space="preserve"> UNODC, 2020.</w:t>
      </w:r>
    </w:p>
  </w:footnote>
  <w:footnote w:id="508">
    <w:p w:rsidR="00591E90" w:rsidRPr="00F97164" w:rsidRDefault="00591E90" w:rsidP="00F97164">
      <w:pPr>
        <w:pStyle w:val="Textonotapie"/>
        <w:rPr>
          <w:lang w:val="es-CO"/>
        </w:rPr>
      </w:pPr>
      <w:r>
        <w:rPr>
          <w:rStyle w:val="Refdenotaalpie"/>
        </w:rPr>
        <w:footnoteRef/>
      </w:r>
      <w:r>
        <w:t xml:space="preserve"> El marco normativo vigente son la Ley 30 de 1986, el Decreto 3788 de 1986, 2272 de 1991, 2150 de 1995, 2530 de 2009, 3990 de 2010, Decreto Ley 19 de 2012, la Circular Única 050 de 2012, Decreto 0925 de 2013 y Resolución 0001 de 2015. La mayoría regula el certificado de carencia de tráfico de estupefacientes, controla licencias de importación y trámites de venta (CIENA- Policía Nacional, 2017, pg. 4).</w:t>
      </w:r>
    </w:p>
  </w:footnote>
  <w:footnote w:id="509">
    <w:p w:rsidR="00591E90" w:rsidRPr="00F97164" w:rsidRDefault="00591E90">
      <w:pPr>
        <w:pStyle w:val="Textonotapie"/>
        <w:rPr>
          <w:lang w:val="es-CO"/>
        </w:rPr>
      </w:pPr>
      <w:r>
        <w:rPr>
          <w:rStyle w:val="Refdenotaalpie"/>
        </w:rPr>
        <w:footnoteRef/>
      </w:r>
      <w:r>
        <w:t xml:space="preserve"> </w:t>
      </w:r>
      <w:r w:rsidRPr="00F97164">
        <w:t xml:space="preserve">Estudios en Colombia señalan que el 20 % de la población carcelaria (24 mil personas aproximadamente) lo está por delitos de drogas. Hay un consenso entre instituciones del Estado e independientes de América Latina y Colombia sobre el impacto negativo del encarcelamiento por delito de drogas en familias pobres y mujeres, expresado, por ejemplo, en la «feminización del encarcelamiento». «En Colombia, a mayo de 2016, de acuerdo con datos del </w:t>
      </w:r>
      <w:proofErr w:type="spellStart"/>
      <w:r w:rsidRPr="00F97164">
        <w:t>Inpec</w:t>
      </w:r>
      <w:proofErr w:type="spellEnd"/>
      <w:r w:rsidRPr="00F97164">
        <w:t xml:space="preserve"> (2016), el 79,3 % de las personas privadas de la libertad no había concluido su educación media y apenas el 42 % había cursado la primaria. Cabe señalar que, en 2013, los niveles de pobreza para el caso de familias cuyo jefe de hogar tenía máximo educación primaria o secundaria eran del 41,9 y el 27 %, respectivamente (DANE, 2013, 14), lo que sugiere que muchas de estas personas provienen de familias pobres». Múltiples instituciones oficiales o independientes han llegado a un consenso sobre la irracionalidad de las penas y el impacto del encarcelamiento por delitos de drogas en Colombia y América Latina (Uprimny, et al., Penas alucinantes, CICAD/OEA, Informe técnico sobre alternativas al encarcelamiento para delitos relacionados con las drogas; CEED,</w:t>
      </w:r>
      <w:r w:rsidR="003A632F">
        <w:t xml:space="preserve"> </w:t>
      </w:r>
      <w:r w:rsidRPr="00F97164">
        <w:t>Castigos Irracionales.</w:t>
      </w:r>
    </w:p>
  </w:footnote>
  <w:footnote w:id="510">
    <w:p w:rsidR="00591E90" w:rsidRPr="00453987" w:rsidRDefault="00591E90">
      <w:pPr>
        <w:pStyle w:val="Textonotapie"/>
        <w:rPr>
          <w:lang w:val="es-CO"/>
        </w:rPr>
      </w:pPr>
      <w:r>
        <w:rPr>
          <w:rStyle w:val="Refdenotaalpie"/>
        </w:rPr>
        <w:footnoteRef/>
      </w:r>
      <w:r>
        <w:t xml:space="preserve"> </w:t>
      </w:r>
      <w:r w:rsidRPr="00453987">
        <w:t xml:space="preserve">Entrevista 001-VI-00037. Hombre, víctima, juez. La desprotección de jueces y juezas ha sido también materia de análisis en </w:t>
      </w:r>
      <w:proofErr w:type="spellStart"/>
      <w:r w:rsidRPr="00453987">
        <w:t>Cerosetenta</w:t>
      </w:r>
      <w:proofErr w:type="spellEnd"/>
      <w:r w:rsidRPr="00453987">
        <w:t xml:space="preserve"> (Uniandes).</w:t>
      </w:r>
    </w:p>
  </w:footnote>
  <w:footnote w:id="511">
    <w:p w:rsidR="00591E90" w:rsidRPr="00453987" w:rsidRDefault="00591E90">
      <w:pPr>
        <w:pStyle w:val="Textonotapie"/>
        <w:rPr>
          <w:lang w:val="es-CO"/>
        </w:rPr>
      </w:pPr>
      <w:r>
        <w:rPr>
          <w:rStyle w:val="Refdenotaalpie"/>
        </w:rPr>
        <w:footnoteRef/>
      </w:r>
      <w:r>
        <w:t xml:space="preserve"> </w:t>
      </w:r>
      <w:r w:rsidRPr="00453987">
        <w:t xml:space="preserve">Las investigaciones de la Oficina de las Naciones Unidas para la Droga y el Crimen (UNODC) sugieren que la «tasa de intercepción» de los esfuerzos </w:t>
      </w:r>
      <w:proofErr w:type="spellStart"/>
      <w:r w:rsidRPr="00453987">
        <w:t>anti-lavado</w:t>
      </w:r>
      <w:proofErr w:type="spellEnd"/>
      <w:r w:rsidRPr="00453987">
        <w:t xml:space="preserve"> a nivel global es baja. Globalmente, menos del 1 % del dinero que procede del crimen lavado a través del sistema financiero es incautado o congelado.</w:t>
      </w:r>
    </w:p>
  </w:footnote>
  <w:footnote w:id="512">
    <w:p w:rsidR="00591E90" w:rsidRPr="00453987" w:rsidRDefault="00591E90">
      <w:pPr>
        <w:pStyle w:val="Textonotapie"/>
        <w:rPr>
          <w:lang w:val="es-CO"/>
        </w:rPr>
      </w:pPr>
      <w:r>
        <w:rPr>
          <w:rStyle w:val="Refdenotaalpie"/>
        </w:rPr>
        <w:footnoteRef/>
      </w:r>
      <w:r>
        <w:t xml:space="preserve"> </w:t>
      </w:r>
      <w:r w:rsidRPr="00453987">
        <w:t>Al analizar la base de datos sobre sanciones administrativas impuestas por la Superintendencia Financiera en el periodo 1995-2020, se puede apreciar que algunas organizaciones han incurrido en comportamientos merecedores de subvenciones en reiteradas ocasiones. Particularmente, ocho de estas (</w:t>
      </w:r>
      <w:proofErr w:type="spellStart"/>
      <w:r w:rsidRPr="00453987">
        <w:t>Skandia</w:t>
      </w:r>
      <w:proofErr w:type="spellEnd"/>
      <w:r w:rsidRPr="00453987">
        <w:t xml:space="preserve">, Allianz, </w:t>
      </w:r>
      <w:proofErr w:type="spellStart"/>
      <w:r w:rsidRPr="00453987">
        <w:t>Dann</w:t>
      </w:r>
      <w:proofErr w:type="spellEnd"/>
      <w:r w:rsidRPr="00453987">
        <w:t xml:space="preserve"> Financiera, Alianza Fiduciaria, </w:t>
      </w:r>
      <w:proofErr w:type="spellStart"/>
      <w:r w:rsidRPr="00453987">
        <w:t>Bickentach</w:t>
      </w:r>
      <w:proofErr w:type="spellEnd"/>
      <w:r w:rsidRPr="00453987">
        <w:t xml:space="preserve"> S. A., VML S. A., Fiduciaria Colmena y </w:t>
      </w:r>
      <w:proofErr w:type="spellStart"/>
      <w:r w:rsidRPr="00453987">
        <w:t>Corficolombia</w:t>
      </w:r>
      <w:proofErr w:type="spellEnd"/>
      <w:r w:rsidRPr="00453987">
        <w:t>) han recibido sanciones por parte de la Superintendencia Financiera en más de una ocasión. La reiteración de estos comportamientos nocivos para los sistemas financieros pone en cuestión la efectividad de las sanciones impuestas por la Superintendencia. Vale la pena preguntarse si, tratándose de una multa monetaria, estas empresas podrían incluir dichas sanciones como un costo asociado a sus comportamientos, que bien puede ser tenido en cuenta en un análisis costo-beneficio para evaluar la viabilidad de operar de forma irregular en los mercados. Requerimiento realizado por el equipo Narcotráfico a la Superintendencia Financiera. Número de Radicación 20200095771-003-000. 2020-05-19.</w:t>
      </w:r>
    </w:p>
  </w:footnote>
  <w:footnote w:id="513">
    <w:p w:rsidR="00591E90" w:rsidRPr="00453987" w:rsidRDefault="00591E90">
      <w:pPr>
        <w:pStyle w:val="Textonotapie"/>
        <w:rPr>
          <w:lang w:val="es-CO"/>
        </w:rPr>
      </w:pPr>
      <w:r>
        <w:rPr>
          <w:rStyle w:val="Refdenotaalpie"/>
        </w:rPr>
        <w:footnoteRef/>
      </w:r>
      <w:r>
        <w:t xml:space="preserve"> </w:t>
      </w:r>
      <w:r w:rsidRPr="00453987">
        <w:t>En 2014, entre enero de 2007 y diciembre de 2013, fueron reportadas a la entidad 816.690 operaciones notariales sospechosas de lavado de activos, que registraban un valor de 416 billones de pesos.</w:t>
      </w:r>
    </w:p>
  </w:footnote>
  <w:footnote w:id="514">
    <w:p w:rsidR="00591E90" w:rsidRPr="00453987" w:rsidRDefault="00591E90">
      <w:pPr>
        <w:pStyle w:val="Textonotapie"/>
        <w:rPr>
          <w:lang w:val="es-CO"/>
        </w:rPr>
      </w:pPr>
      <w:r>
        <w:rPr>
          <w:rStyle w:val="Refdenotaalpie"/>
        </w:rPr>
        <w:footnoteRef/>
      </w:r>
      <w:r>
        <w:t xml:space="preserve"> </w:t>
      </w:r>
      <w:r w:rsidRPr="00453987">
        <w:t>UIAF, Riesgo de lavado de activos y financiación. Terrorismo en el sector notariado, 2.</w:t>
      </w:r>
    </w:p>
  </w:footnote>
  <w:footnote w:id="515">
    <w:p w:rsidR="00591E90" w:rsidRPr="00453987" w:rsidRDefault="00591E90">
      <w:pPr>
        <w:pStyle w:val="Textonotapie"/>
        <w:rPr>
          <w:lang w:val="es-CO"/>
        </w:rPr>
      </w:pPr>
      <w:r>
        <w:rPr>
          <w:rStyle w:val="Refdenotaalpie"/>
        </w:rPr>
        <w:footnoteRef/>
      </w:r>
      <w:r>
        <w:t xml:space="preserve"> </w:t>
      </w:r>
      <w:r w:rsidRPr="00453987">
        <w:t>UIAF, Riesgo de lavado de activos y financiación del terrorismo en el sector inmobiliario.</w:t>
      </w:r>
    </w:p>
  </w:footnote>
  <w:footnote w:id="516">
    <w:p w:rsidR="00591E90" w:rsidRPr="00B217E3" w:rsidRDefault="00591E90">
      <w:pPr>
        <w:pStyle w:val="Textonotapie"/>
        <w:rPr>
          <w:lang w:val="es-CO"/>
        </w:rPr>
      </w:pPr>
      <w:r>
        <w:rPr>
          <w:rStyle w:val="Refdenotaalpie"/>
        </w:rPr>
        <w:footnoteRef/>
      </w:r>
      <w:r>
        <w:t xml:space="preserve"> </w:t>
      </w:r>
      <w:r w:rsidRPr="00B217E3">
        <w:t>Corporación Claretiana Norman Bello, Tierra y despojo en los Llanos.</w:t>
      </w:r>
    </w:p>
  </w:footnote>
  <w:footnote w:id="517">
    <w:p w:rsidR="00591E90" w:rsidRPr="00B217E3" w:rsidRDefault="00591E90">
      <w:pPr>
        <w:pStyle w:val="Textonotapie"/>
        <w:rPr>
          <w:lang w:val="es-CO"/>
        </w:rPr>
      </w:pPr>
      <w:r>
        <w:rPr>
          <w:rStyle w:val="Refdenotaalpie"/>
        </w:rPr>
        <w:footnoteRef/>
      </w:r>
      <w:r>
        <w:t xml:space="preserve"> </w:t>
      </w:r>
      <w:r w:rsidRPr="00B217E3">
        <w:t>UIAF, casos 3876 y 9257.</w:t>
      </w:r>
    </w:p>
  </w:footnote>
  <w:footnote w:id="518">
    <w:p w:rsidR="00591E90" w:rsidRPr="00B217E3" w:rsidRDefault="00591E90">
      <w:pPr>
        <w:pStyle w:val="Textonotapie"/>
        <w:rPr>
          <w:lang w:val="es-CO"/>
        </w:rPr>
      </w:pPr>
      <w:r>
        <w:rPr>
          <w:rStyle w:val="Refdenotaalpie"/>
        </w:rPr>
        <w:footnoteRef/>
      </w:r>
      <w:r>
        <w:t xml:space="preserve"> </w:t>
      </w:r>
      <w:r w:rsidRPr="00B217E3">
        <w:t>UIAF, casos 9412, 8747, 3032 y 9451.</w:t>
      </w:r>
    </w:p>
  </w:footnote>
  <w:footnote w:id="519">
    <w:p w:rsidR="00591E90" w:rsidRPr="00B217E3" w:rsidRDefault="00591E90">
      <w:pPr>
        <w:pStyle w:val="Textonotapie"/>
        <w:rPr>
          <w:lang w:val="es-CO"/>
        </w:rPr>
      </w:pPr>
      <w:r>
        <w:rPr>
          <w:rStyle w:val="Refdenotaalpie"/>
        </w:rPr>
        <w:footnoteRef/>
      </w:r>
      <w:r>
        <w:t xml:space="preserve"> </w:t>
      </w:r>
      <w:r w:rsidRPr="00B217E3">
        <w:t>UIAF, casos 8781 y 9187.</w:t>
      </w:r>
    </w:p>
  </w:footnote>
  <w:footnote w:id="520">
    <w:p w:rsidR="00591E90" w:rsidRPr="00B217E3" w:rsidRDefault="00591E90">
      <w:pPr>
        <w:pStyle w:val="Textonotapie"/>
        <w:rPr>
          <w:lang w:val="es-CO"/>
        </w:rPr>
      </w:pPr>
      <w:r>
        <w:rPr>
          <w:rStyle w:val="Refdenotaalpie"/>
        </w:rPr>
        <w:footnoteRef/>
      </w:r>
      <w:r>
        <w:t xml:space="preserve"> </w:t>
      </w:r>
      <w:r w:rsidRPr="00B217E3">
        <w:t>El punto 4 de los acuerdos de paz es la «Solución al problema de las drogas» y se divide en tres partes. La primera trata sobre la manera de resolver el tema de los cultivos de coca, la segunda sobre el consumo y la tercera sobre cómo atacar a las organizaciones que más se lucran de esta actividad.</w:t>
      </w:r>
    </w:p>
  </w:footnote>
  <w:footnote w:id="521">
    <w:p w:rsidR="00591E90" w:rsidRPr="00BE673A" w:rsidRDefault="00591E90">
      <w:pPr>
        <w:pStyle w:val="Textonotapie"/>
        <w:rPr>
          <w:lang w:val="es-CO"/>
        </w:rPr>
      </w:pPr>
      <w:r>
        <w:rPr>
          <w:rStyle w:val="Refdenotaalpie"/>
        </w:rPr>
        <w:footnoteRef/>
      </w:r>
      <w:r>
        <w:t xml:space="preserve"> </w:t>
      </w:r>
      <w:r w:rsidRPr="00BE673A">
        <w:t>La expansión de la coca en territorios de agricultura consolidada se dio en un contexto particular de deterioro de las exportaciones de café y agropecuarias desde 1986, la caída de las hectáreas de cultivos transitorios como algodón, arroz, trigo, cebada, soya, sorgo y hortalizas en el periodo de la apertura económica y el aumento del banano de exportación, la caña de azúcar, la palma africana y los frutales que afectó críticamente la estructura agrícola del país y destruyó empleos agrícolas (Ocampo, 321-323). Esto también coincide con las entrevistas a campesinos que reconocen el fin de sus cultivos legales por falta de mercado y la llegada de la coca. Entrevista (hombre, líder social, Nariño).</w:t>
      </w:r>
    </w:p>
  </w:footnote>
  <w:footnote w:id="522">
    <w:p w:rsidR="00591E90" w:rsidRPr="00BE673A" w:rsidRDefault="00591E90">
      <w:pPr>
        <w:pStyle w:val="Textonotapie"/>
        <w:rPr>
          <w:lang w:val="es-CO"/>
        </w:rPr>
      </w:pPr>
      <w:r>
        <w:rPr>
          <w:rStyle w:val="Refdenotaalpie"/>
        </w:rPr>
        <w:footnoteRef/>
      </w:r>
      <w:r>
        <w:t xml:space="preserve"> </w:t>
      </w:r>
      <w:r w:rsidRPr="00BE673A">
        <w:t>«Entre 1960 y 1984, los poseedores de predios de menos de 20 hectáreas representaron entre el 84 % y el 87 % del total de propietarios rurales, pero solo poseían entre un 16 % y un 18 % de la tierra. Por el contrario, el 3-4 % de los propietarios con más de 100 concentraban entre el 55 % y el 60 % de la propiedad rural» (Ocampo, Historia económica de Colombia).</w:t>
      </w:r>
    </w:p>
  </w:footnote>
  <w:footnote w:id="523">
    <w:p w:rsidR="00591E90" w:rsidRPr="002150D0" w:rsidRDefault="00591E90">
      <w:pPr>
        <w:pStyle w:val="Textonotapie"/>
        <w:rPr>
          <w:lang w:val="es-CO"/>
        </w:rPr>
      </w:pPr>
      <w:r>
        <w:rPr>
          <w:rStyle w:val="Refdenotaalpie"/>
        </w:rPr>
        <w:footnoteRef/>
      </w:r>
      <w:r>
        <w:t xml:space="preserve"> </w:t>
      </w:r>
      <w:r w:rsidRPr="009E048A">
        <w:t>Entrevista 433-VI-00004. Campesino y negociador durante las marchas cocaleras de 1996.</w:t>
      </w:r>
    </w:p>
  </w:footnote>
  <w:footnote w:id="524">
    <w:p w:rsidR="00591E90" w:rsidRPr="002150D0" w:rsidRDefault="00591E90">
      <w:pPr>
        <w:pStyle w:val="Textonotapie"/>
        <w:rPr>
          <w:lang w:val="es-CO"/>
        </w:rPr>
      </w:pPr>
      <w:r>
        <w:rPr>
          <w:rStyle w:val="Refdenotaalpie"/>
        </w:rPr>
        <w:footnoteRef/>
      </w:r>
      <w:r>
        <w:t xml:space="preserve"> </w:t>
      </w:r>
      <w:r w:rsidRPr="009E048A">
        <w:t>Entrevista 433-PR-03218. Campesino habitante de Llorente, Nariño.</w:t>
      </w:r>
    </w:p>
  </w:footnote>
  <w:footnote w:id="525">
    <w:p w:rsidR="00591E90" w:rsidRPr="002150D0" w:rsidRDefault="00591E90">
      <w:pPr>
        <w:pStyle w:val="Textonotapie"/>
        <w:rPr>
          <w:lang w:val="es-CO"/>
        </w:rPr>
      </w:pPr>
      <w:r>
        <w:rPr>
          <w:rStyle w:val="Refdenotaalpie"/>
        </w:rPr>
        <w:footnoteRef/>
      </w:r>
      <w:r>
        <w:t xml:space="preserve"> </w:t>
      </w:r>
      <w:r w:rsidRPr="009E048A">
        <w:t>Entrevista 433-VI-00004. Campesino y negociador durante las marchas cocaleras.</w:t>
      </w:r>
    </w:p>
  </w:footnote>
  <w:footnote w:id="526">
    <w:p w:rsidR="00591E90" w:rsidRPr="009E048A" w:rsidRDefault="00591E90">
      <w:pPr>
        <w:pStyle w:val="Textonotapie"/>
        <w:rPr>
          <w:lang w:val="es-CO"/>
        </w:rPr>
      </w:pPr>
      <w:r>
        <w:rPr>
          <w:rStyle w:val="Refdenotaalpie"/>
        </w:rPr>
        <w:footnoteRef/>
      </w:r>
      <w:r>
        <w:t xml:space="preserve"> </w:t>
      </w:r>
      <w:r w:rsidRPr="009E048A">
        <w:t>Entrevista 225-VI-00021. Víctima de secuestro, hombre, Nariño; entrevista 462-HV-00046. Víctima de desplazamiento, mujer, Mapiripán); entrevista 139-VI-00038. Víctima de desplazamiento, mujer, Puerto Asís.</w:t>
      </w:r>
    </w:p>
  </w:footnote>
  <w:footnote w:id="527">
    <w:p w:rsidR="00591E90" w:rsidRPr="009E048A" w:rsidRDefault="00591E90">
      <w:pPr>
        <w:pStyle w:val="Textonotapie"/>
        <w:rPr>
          <w:lang w:val="es-CO"/>
        </w:rPr>
      </w:pPr>
      <w:r>
        <w:rPr>
          <w:rStyle w:val="Refdenotaalpie"/>
        </w:rPr>
        <w:footnoteRef/>
      </w:r>
      <w:r>
        <w:t xml:space="preserve"> </w:t>
      </w:r>
      <w:r w:rsidRPr="009E048A">
        <w:t>Entrevista 240-AA-00015. Excombatiente grupo paramilitar, hombre.</w:t>
      </w:r>
    </w:p>
  </w:footnote>
  <w:footnote w:id="528">
    <w:p w:rsidR="00591E90" w:rsidRPr="009E048A" w:rsidRDefault="00591E90">
      <w:pPr>
        <w:pStyle w:val="Textonotapie"/>
        <w:rPr>
          <w:lang w:val="es-CO"/>
        </w:rPr>
      </w:pPr>
      <w:r>
        <w:rPr>
          <w:rStyle w:val="Refdenotaalpie"/>
        </w:rPr>
        <w:footnoteRef/>
      </w:r>
      <w:r>
        <w:t xml:space="preserve"> </w:t>
      </w:r>
      <w:r w:rsidRPr="009E048A">
        <w:t>Entrevista colectiva 433-CO-00273. Campesina, hija de líder de las marchas cocaleras.</w:t>
      </w:r>
    </w:p>
  </w:footnote>
  <w:footnote w:id="529">
    <w:p w:rsidR="00591E90" w:rsidRPr="009E048A" w:rsidRDefault="00591E90">
      <w:pPr>
        <w:pStyle w:val="Textonotapie"/>
        <w:rPr>
          <w:lang w:val="es-CO"/>
        </w:rPr>
      </w:pPr>
      <w:r>
        <w:rPr>
          <w:rStyle w:val="Refdenotaalpie"/>
        </w:rPr>
        <w:footnoteRef/>
      </w:r>
      <w:r>
        <w:t xml:space="preserve"> </w:t>
      </w:r>
      <w:r w:rsidRPr="009E048A">
        <w:t>Los corredores identificados son: 1) corredor Sierra Nevada y serranía del Perijá, Guajira (conexión con el mar Caribe, departamentos de La Guajira, Cesar y Magdalena); 2) corredor Serranía de San Jacinto (conexión con el Caribe, departamentos de Bolívar y Sucre); 3) corredor Nudo de Paramillo (conexión con el Golfo de Urabá, departamentos de Córdoba y Antioquia); 4) corredor de Serranía del Darién (conexión con Centroamérica, municipios del norte del Chocó); 5) corredor Costa Pacífica chocoana (conexión con el océano</w:t>
      </w:r>
      <w:r>
        <w:t xml:space="preserve"> </w:t>
      </w:r>
      <w:r w:rsidRPr="003211D5">
        <w:t xml:space="preserve">Pacífico (municipios de Chocó: </w:t>
      </w:r>
      <w:proofErr w:type="spellStart"/>
      <w:r w:rsidRPr="003211D5">
        <w:t>Juradó</w:t>
      </w:r>
      <w:proofErr w:type="spellEnd"/>
      <w:r w:rsidRPr="003211D5">
        <w:t>, Bahía Solano y Nuquí); 6) corredor cordillera Occidental y Serranía del Baudó (conexión con el Pacífico, departamentos de Valle del Cauca, Risaralda y Chocó); 7) corredor norte del Cauca (conexión con el Pacífico, municipios del norte del Cauca); 8) corredor cordillera Central y cañón de Las Hermosas (departamentos de Tolima, Huila, Cauca y Valle del Cauca); y 9) corredor sur del Cauca y norte de Nariño (conexión con el Pacífico, municipios del sur del Cauca y municipios del norte de Nariño).</w:t>
      </w:r>
    </w:p>
  </w:footnote>
  <w:footnote w:id="530">
    <w:p w:rsidR="00591E90" w:rsidRPr="003211D5" w:rsidRDefault="00591E90">
      <w:pPr>
        <w:pStyle w:val="Textonotapie"/>
        <w:rPr>
          <w:lang w:val="es-CO"/>
        </w:rPr>
      </w:pPr>
      <w:r>
        <w:rPr>
          <w:rStyle w:val="Refdenotaalpie"/>
        </w:rPr>
        <w:footnoteRef/>
      </w:r>
      <w:r>
        <w:t xml:space="preserve"> </w:t>
      </w:r>
      <w:proofErr w:type="spellStart"/>
      <w:r w:rsidRPr="003211D5">
        <w:t>Unodc</w:t>
      </w:r>
      <w:proofErr w:type="spellEnd"/>
      <w:r w:rsidRPr="003211D5">
        <w:t>,</w:t>
      </w:r>
      <w:r>
        <w:t xml:space="preserve"> </w:t>
      </w:r>
      <w:r w:rsidRPr="003211D5">
        <w:t>«Monitoreo</w:t>
      </w:r>
      <w:r>
        <w:t xml:space="preserve"> </w:t>
      </w:r>
      <w:r w:rsidRPr="003211D5">
        <w:t>de</w:t>
      </w:r>
      <w:r>
        <w:t xml:space="preserve"> </w:t>
      </w:r>
      <w:r w:rsidRPr="003211D5">
        <w:t>territorios</w:t>
      </w:r>
      <w:r>
        <w:t xml:space="preserve"> </w:t>
      </w:r>
      <w:r w:rsidRPr="003211D5">
        <w:t>afectados</w:t>
      </w:r>
      <w:r>
        <w:t xml:space="preserve"> </w:t>
      </w:r>
      <w:r w:rsidRPr="003211D5">
        <w:t>por</w:t>
      </w:r>
      <w:r>
        <w:t xml:space="preserve"> </w:t>
      </w:r>
      <w:r w:rsidRPr="003211D5">
        <w:t>cultivos</w:t>
      </w:r>
      <w:r>
        <w:t xml:space="preserve"> </w:t>
      </w:r>
      <w:r w:rsidRPr="003211D5">
        <w:t>ilícitos</w:t>
      </w:r>
      <w:r>
        <w:t xml:space="preserve"> </w:t>
      </w:r>
      <w:r w:rsidRPr="003211D5">
        <w:t>2020».</w:t>
      </w:r>
      <w:r>
        <w:t xml:space="preserve"> </w:t>
      </w:r>
      <w:r w:rsidRPr="003211D5">
        <w:t>Consultado</w:t>
      </w:r>
      <w:r>
        <w:t xml:space="preserve"> </w:t>
      </w:r>
      <w:r w:rsidRPr="003211D5">
        <w:t>en: https://www.unodc.org/documents/cropmonitoring/Colombia/Colombia_Monitoreo_de_territorios_afectados_por_cultivos_ilicitos_2020.pdf.</w:t>
      </w:r>
    </w:p>
  </w:footnote>
  <w:footnote w:id="531">
    <w:p w:rsidR="00591E90" w:rsidRPr="003211D5" w:rsidRDefault="00591E90">
      <w:pPr>
        <w:pStyle w:val="Textonotapie"/>
        <w:rPr>
          <w:lang w:val="es-CO"/>
        </w:rPr>
      </w:pPr>
      <w:r>
        <w:rPr>
          <w:rStyle w:val="Refdenotaalpie"/>
        </w:rPr>
        <w:footnoteRef/>
      </w:r>
      <w:r>
        <w:t xml:space="preserve"> </w:t>
      </w:r>
      <w:r w:rsidRPr="004E769A">
        <w:t>686-VI-00001, entrevista de 686. Entrevista a Líder Raizal; 686-VI-00004, entrevista de 686. Entrevista a Abogada/Escritora; 686-VI-00007, entrevista de 686. Líder Juventud Raizal; 686-VI-00011, entrevista de 686. Entrevista a Docente Universitaria.</w:t>
      </w:r>
    </w:p>
  </w:footnote>
  <w:footnote w:id="532">
    <w:p w:rsidR="00591E90" w:rsidRPr="003211D5" w:rsidRDefault="00591E90">
      <w:pPr>
        <w:pStyle w:val="Textonotapie"/>
        <w:rPr>
          <w:lang w:val="es-CO"/>
        </w:rPr>
      </w:pPr>
      <w:r>
        <w:rPr>
          <w:rStyle w:val="Refdenotaalpie"/>
        </w:rPr>
        <w:footnoteRef/>
      </w:r>
      <w:r>
        <w:t xml:space="preserve"> </w:t>
      </w:r>
      <w:r w:rsidRPr="004E769A">
        <w:t>Informe 1306-CI-02017, «Mar, guerra y violencia: el conflicto armado en el archipiélago de San Andrés, Providencia y Santa Catalina».</w:t>
      </w:r>
    </w:p>
  </w:footnote>
  <w:footnote w:id="533">
    <w:p w:rsidR="00591E90" w:rsidRPr="003211D5" w:rsidRDefault="00591E90">
      <w:pPr>
        <w:pStyle w:val="Textonotapie"/>
        <w:rPr>
          <w:lang w:val="es-CO"/>
        </w:rPr>
      </w:pPr>
      <w:r>
        <w:rPr>
          <w:rStyle w:val="Refdenotaalpie"/>
        </w:rPr>
        <w:footnoteRef/>
      </w:r>
      <w:r>
        <w:t xml:space="preserve"> </w:t>
      </w:r>
      <w:r w:rsidRPr="004E769A">
        <w:t>UIAF, caso 9203 de 2017.</w:t>
      </w:r>
    </w:p>
  </w:footnote>
  <w:footnote w:id="534">
    <w:p w:rsidR="00591E90" w:rsidRPr="00C61FA0" w:rsidRDefault="00591E90">
      <w:pPr>
        <w:pStyle w:val="Textonotapie"/>
        <w:rPr>
          <w:lang w:val="es-CO"/>
        </w:rPr>
      </w:pPr>
      <w:r>
        <w:rPr>
          <w:rStyle w:val="Refdenotaalpie"/>
        </w:rPr>
        <w:footnoteRef/>
      </w:r>
      <w:r>
        <w:t xml:space="preserve"> </w:t>
      </w:r>
      <w:r w:rsidRPr="00B274E6">
        <w:t>Modelo de regresión panel realizada por el equipo Narcotráfico con efectos fijos por municipios y año con información de UIAF, DANE, Ministerio de Defensa, ODC y Noche y Niebla. Juan Felipe Godoy y Eduard Martínez. Inteligencia financiera, economías ilícitas en Colombia y Conflicto Armado” Analítica SIM y Equipo Narcotráfico. ID 58-OI-6298eaee29e5207e167b2c7b.</w:t>
      </w:r>
    </w:p>
  </w:footnote>
  <w:footnote w:id="535">
    <w:p w:rsidR="00591E90" w:rsidRPr="00C61FA0" w:rsidRDefault="00591E90">
      <w:pPr>
        <w:pStyle w:val="Textonotapie"/>
        <w:rPr>
          <w:lang w:val="es-CO"/>
        </w:rPr>
      </w:pPr>
      <w:r>
        <w:rPr>
          <w:rStyle w:val="Refdenotaalpie"/>
        </w:rPr>
        <w:footnoteRef/>
      </w:r>
      <w:r>
        <w:t xml:space="preserve"> </w:t>
      </w:r>
      <w:r w:rsidRPr="00B274E6">
        <w:t>Juan Felipe Godoy y Eduard Martínez. Inteligencia financiera, economías ilícitas en Colombia y Conflicto Armado, Analítica SIM y Equipo Narcotráfico. ID 58-OI-6298eaee29e5207e167b2c7b.</w:t>
      </w:r>
    </w:p>
  </w:footnote>
  <w:footnote w:id="536">
    <w:p w:rsidR="00591E90" w:rsidRPr="00B274E6" w:rsidRDefault="00591E90">
      <w:pPr>
        <w:pStyle w:val="Textonotapie"/>
        <w:rPr>
          <w:lang w:val="es-CO"/>
        </w:rPr>
      </w:pPr>
      <w:r>
        <w:rPr>
          <w:rStyle w:val="Refdenotaalpie"/>
        </w:rPr>
        <w:footnoteRef/>
      </w:r>
      <w:r>
        <w:t xml:space="preserve"> </w:t>
      </w:r>
      <w:r w:rsidRPr="00B274E6">
        <w:t>Godoy, Violencia en la producción de cocaína: laboratorios y grupos armados.</w:t>
      </w:r>
    </w:p>
  </w:footnote>
  <w:footnote w:id="537">
    <w:p w:rsidR="00591E90" w:rsidRPr="00B274E6" w:rsidRDefault="00591E90">
      <w:pPr>
        <w:pStyle w:val="Textonotapie"/>
        <w:rPr>
          <w:lang w:val="es-CO"/>
        </w:rPr>
      </w:pPr>
      <w:r>
        <w:rPr>
          <w:rStyle w:val="Refdenotaalpie"/>
        </w:rPr>
        <w:footnoteRef/>
      </w:r>
      <w:r>
        <w:t xml:space="preserve"> </w:t>
      </w:r>
      <w:r w:rsidRPr="00B274E6">
        <w:t xml:space="preserve">Un primer rastro de las redes, las élites y el tráfico de drogas ilegalizadas es el de los hermanos Herrán Olózaga en la década de los cincuenta. (Sáenz </w:t>
      </w:r>
      <w:proofErr w:type="spellStart"/>
      <w:r w:rsidRPr="00B274E6">
        <w:t>Rovner</w:t>
      </w:r>
      <w:proofErr w:type="spellEnd"/>
      <w:r w:rsidRPr="00B274E6">
        <w:t>, Conexión Colombia,45-52. Para una historia de la legislación sobre el control de drogas en Colombia, véase López, Remedios nocivos).</w:t>
      </w:r>
    </w:p>
  </w:footnote>
  <w:footnote w:id="538">
    <w:p w:rsidR="00591E90" w:rsidRPr="00B274E6" w:rsidRDefault="00591E90">
      <w:pPr>
        <w:pStyle w:val="Textonotapie"/>
        <w:rPr>
          <w:lang w:val="es-CO"/>
        </w:rPr>
      </w:pPr>
      <w:r>
        <w:rPr>
          <w:rStyle w:val="Refdenotaalpie"/>
        </w:rPr>
        <w:footnoteRef/>
      </w:r>
      <w:r>
        <w:t xml:space="preserve"> </w:t>
      </w:r>
      <w:r w:rsidRPr="00B274E6">
        <w:t xml:space="preserve">Sáenz </w:t>
      </w:r>
      <w:proofErr w:type="spellStart"/>
      <w:r w:rsidRPr="00B274E6">
        <w:t>Rovner</w:t>
      </w:r>
      <w:proofErr w:type="spellEnd"/>
      <w:r w:rsidRPr="00B274E6">
        <w:t>, Conexión Colombia, 46 y Britto, Marijuana Boom, 79.</w:t>
      </w:r>
    </w:p>
  </w:footnote>
  <w:footnote w:id="539">
    <w:p w:rsidR="00591E90" w:rsidRPr="00B274E6" w:rsidRDefault="00591E90">
      <w:pPr>
        <w:pStyle w:val="Textonotapie"/>
        <w:rPr>
          <w:lang w:val="es-CO"/>
        </w:rPr>
      </w:pPr>
      <w:r>
        <w:rPr>
          <w:rStyle w:val="Refdenotaalpie"/>
        </w:rPr>
        <w:footnoteRef/>
      </w:r>
      <w:r>
        <w:t xml:space="preserve"> </w:t>
      </w:r>
      <w:r w:rsidRPr="00B274E6">
        <w:t xml:space="preserve">Entrevista 090-VI-00011. Víctima, familiar o testigo, hijo de dirigente político de la costa Caribe asesinado; Atehortúa, El narcotráfico en Colombia. Pioneros y capos; Eddy et al., Las guerras de la cocaína; Castro Caycedo, Nuestra guerra ajena; Tribunal Superior de Bogotá, Sala de Justicia y Paz, Sentencia, Magistrado ponente Eduardo Castellanos Roso, Condenado José Gregorio Mangones Lugo y otro, pág. 677; Sáenz </w:t>
      </w:r>
      <w:proofErr w:type="spellStart"/>
      <w:r w:rsidRPr="00B274E6">
        <w:t>Rovner</w:t>
      </w:r>
      <w:proofErr w:type="spellEnd"/>
      <w:r w:rsidRPr="00B274E6">
        <w:t>, Conexión Colombia, 89.</w:t>
      </w:r>
    </w:p>
  </w:footnote>
  <w:footnote w:id="540">
    <w:p w:rsidR="00591E90" w:rsidRPr="00B274E6" w:rsidRDefault="00591E90">
      <w:pPr>
        <w:pStyle w:val="Textonotapie"/>
        <w:rPr>
          <w:lang w:val="es-CO"/>
        </w:rPr>
      </w:pPr>
      <w:r>
        <w:rPr>
          <w:rStyle w:val="Refdenotaalpie"/>
        </w:rPr>
        <w:footnoteRef/>
      </w:r>
      <w:r>
        <w:t xml:space="preserve"> </w:t>
      </w:r>
      <w:proofErr w:type="spellStart"/>
      <w:r w:rsidRPr="00B274E6">
        <w:t>Mingueo</w:t>
      </w:r>
      <w:proofErr w:type="spellEnd"/>
      <w:r w:rsidRPr="00B274E6">
        <w:t xml:space="preserve">. Acta de visita. </w:t>
      </w:r>
      <w:r w:rsidRPr="00AE798B">
        <w:rPr>
          <w:lang w:val="en-US"/>
        </w:rPr>
        <w:t>University of California Press</w:t>
      </w:r>
      <w:r w:rsidRPr="00B274E6">
        <w:t>. Britto, Marijuana Boom, 161.</w:t>
      </w:r>
    </w:p>
  </w:footnote>
  <w:footnote w:id="541">
    <w:p w:rsidR="00591E90" w:rsidRPr="00B274E6" w:rsidRDefault="00591E90">
      <w:pPr>
        <w:pStyle w:val="Textonotapie"/>
        <w:rPr>
          <w:lang w:val="es-CO"/>
        </w:rPr>
      </w:pPr>
      <w:r>
        <w:rPr>
          <w:rStyle w:val="Refdenotaalpie"/>
        </w:rPr>
        <w:footnoteRef/>
      </w:r>
      <w:r>
        <w:t xml:space="preserve"> </w:t>
      </w:r>
      <w:r w:rsidRPr="00B274E6">
        <w:t>Fuente de Archivo Externa [ID Interno].</w:t>
      </w:r>
    </w:p>
  </w:footnote>
  <w:footnote w:id="542">
    <w:p w:rsidR="00591E90" w:rsidRPr="00B274E6" w:rsidRDefault="00591E90">
      <w:pPr>
        <w:pStyle w:val="Textonotapie"/>
        <w:rPr>
          <w:lang w:val="es-CO"/>
        </w:rPr>
      </w:pPr>
      <w:r>
        <w:rPr>
          <w:rStyle w:val="Refdenotaalpie"/>
        </w:rPr>
        <w:footnoteRef/>
      </w:r>
      <w:r>
        <w:t xml:space="preserve"> </w:t>
      </w:r>
      <w:r w:rsidRPr="00B274E6">
        <w:t>Fuente de Archivo Externa [ID Interno]. Procuraduría General de la Nación, «Informe al Gobierno 1982»; Fuente de Archivo Externa [ID Interno], Procuraduría General de la Nación, «Informe del Procurador General de Nación Dr. Guillermo González Charry al Congreso Nacional».</w:t>
      </w:r>
    </w:p>
  </w:footnote>
  <w:footnote w:id="543">
    <w:p w:rsidR="00591E90" w:rsidRPr="00B274E6" w:rsidRDefault="00591E90">
      <w:pPr>
        <w:pStyle w:val="Textonotapie"/>
        <w:rPr>
          <w:lang w:val="es-CO"/>
        </w:rPr>
      </w:pPr>
      <w:r>
        <w:rPr>
          <w:rStyle w:val="Refdenotaalpie"/>
        </w:rPr>
        <w:footnoteRef/>
      </w:r>
      <w:r>
        <w:t xml:space="preserve"> </w:t>
      </w:r>
      <w:proofErr w:type="spellStart"/>
      <w:r w:rsidRPr="00B274E6">
        <w:t>Report</w:t>
      </w:r>
      <w:proofErr w:type="spellEnd"/>
      <w:r w:rsidRPr="00B274E6">
        <w:t xml:space="preserve">. Congreso de los Estados Unidos. </w:t>
      </w:r>
      <w:r w:rsidRPr="00B274E6">
        <w:rPr>
          <w:lang w:val="en-US"/>
        </w:rPr>
        <w:t xml:space="preserve">«Committee on Foreign Relations United States Senate. </w:t>
      </w:r>
      <w:proofErr w:type="spellStart"/>
      <w:r w:rsidRPr="00B274E6">
        <w:rPr>
          <w:lang w:val="en-US"/>
        </w:rPr>
        <w:t>Submmittee</w:t>
      </w:r>
      <w:proofErr w:type="spellEnd"/>
      <w:r w:rsidRPr="00B274E6">
        <w:rPr>
          <w:lang w:val="en-US"/>
        </w:rPr>
        <w:t xml:space="preserve"> on Terrorism, Narcotics and International Operations. Drugs, Law enforcement and Foreign Policy». </w:t>
      </w:r>
      <w:proofErr w:type="spellStart"/>
      <w:r w:rsidRPr="00B274E6">
        <w:t>National</w:t>
      </w:r>
      <w:proofErr w:type="spellEnd"/>
      <w:r w:rsidRPr="00B274E6">
        <w:t xml:space="preserve"> Security Archive, 26.</w:t>
      </w:r>
    </w:p>
  </w:footnote>
  <w:footnote w:id="544">
    <w:p w:rsidR="00591E90" w:rsidRPr="001D572E" w:rsidRDefault="00591E90">
      <w:pPr>
        <w:pStyle w:val="Textonotapie"/>
        <w:rPr>
          <w:lang w:val="es-CO"/>
        </w:rPr>
      </w:pPr>
      <w:r>
        <w:rPr>
          <w:rStyle w:val="Refdenotaalpie"/>
        </w:rPr>
        <w:footnoteRef/>
      </w:r>
      <w:r>
        <w:t xml:space="preserve"> </w:t>
      </w:r>
      <w:r w:rsidRPr="00F4582E">
        <w:t xml:space="preserve">A raíz de unas denuncias expuestas por el periódico El Bogotano que involucraban al más grande contrabandista del periodo. Congreso de la República, Anales del Congreso, año XVIII, </w:t>
      </w:r>
      <w:proofErr w:type="spellStart"/>
      <w:r w:rsidRPr="00F4582E">
        <w:t>n.o</w:t>
      </w:r>
      <w:proofErr w:type="spellEnd"/>
      <w:r w:rsidRPr="00F4582E">
        <w:t>. 4, lunes 10 de marzo de 1975, 85.</w:t>
      </w:r>
    </w:p>
  </w:footnote>
  <w:footnote w:id="545">
    <w:p w:rsidR="00591E90" w:rsidRPr="00F4582E" w:rsidRDefault="00591E90">
      <w:pPr>
        <w:pStyle w:val="Textonotapie"/>
        <w:rPr>
          <w:lang w:val="en-US"/>
        </w:rPr>
      </w:pPr>
      <w:r>
        <w:rPr>
          <w:rStyle w:val="Refdenotaalpie"/>
        </w:rPr>
        <w:footnoteRef/>
      </w:r>
      <w:r w:rsidRPr="00F4582E">
        <w:rPr>
          <w:lang w:val="en-US"/>
        </w:rPr>
        <w:t xml:space="preserve"> Report. Central Intelligence Agency. Latin America. Regional and Political Analysis. «Colombia: Narcotics Meeting with President Lopez». 4 august 1977. Secret. Confidential, Colombia Documentation Project, The National Security Archive, Washington, D. C.; Cable. </w:t>
      </w:r>
      <w:proofErr w:type="spellStart"/>
      <w:r w:rsidRPr="00F4582E">
        <w:rPr>
          <w:lang w:val="en-US"/>
        </w:rPr>
        <w:t>Embajada</w:t>
      </w:r>
      <w:proofErr w:type="spellEnd"/>
      <w:r w:rsidRPr="00F4582E">
        <w:rPr>
          <w:lang w:val="en-US"/>
        </w:rPr>
        <w:t xml:space="preserve"> de </w:t>
      </w:r>
      <w:proofErr w:type="spellStart"/>
      <w:r w:rsidRPr="00F4582E">
        <w:rPr>
          <w:lang w:val="en-US"/>
        </w:rPr>
        <w:t>Estados</w:t>
      </w:r>
      <w:proofErr w:type="spellEnd"/>
      <w:r w:rsidRPr="00F4582E">
        <w:rPr>
          <w:lang w:val="en-US"/>
        </w:rPr>
        <w:t xml:space="preserve"> Unidos (Bogotá) a </w:t>
      </w:r>
      <w:proofErr w:type="spellStart"/>
      <w:r w:rsidRPr="00F4582E">
        <w:rPr>
          <w:lang w:val="en-US"/>
        </w:rPr>
        <w:t>Departamento</w:t>
      </w:r>
      <w:proofErr w:type="spellEnd"/>
      <w:r w:rsidRPr="00F4582E">
        <w:rPr>
          <w:lang w:val="en-US"/>
        </w:rPr>
        <w:t xml:space="preserve"> de Estado (Washington). «Outlook for the remainder of the Lopez Administration». </w:t>
      </w:r>
      <w:proofErr w:type="spellStart"/>
      <w:r w:rsidRPr="00F4582E">
        <w:rPr>
          <w:lang w:val="en-US"/>
        </w:rPr>
        <w:t>Noviembre</w:t>
      </w:r>
      <w:proofErr w:type="spellEnd"/>
      <w:r w:rsidRPr="00F4582E">
        <w:rPr>
          <w:lang w:val="en-US"/>
        </w:rPr>
        <w:t xml:space="preserve"> de 1977. Confidential, Colombia Documentation Project, The National Security Archive, Washington, D. C.; Cable, U.S. Embassy Bogota to State Department, «Held forth at some length concerning his stands on corruption, law and order, and narcotics trafficking and committed himself specifically to close collaboration and cooperation with the U.S. Narcotics’ interdiction», Confidential, November 1977, Colombia Documentation Project, The National Security Archive, Washington, D. C.; Report. Central Intelligence Agency. Latin America. Regional and Political Analysis. «Colombia: Narcotics Meeting with President Lopez», 4 august 1977. Secret. Confidential, Colombia Documentation Project, The National Security Archive, Washington, D. C.</w:t>
      </w:r>
    </w:p>
  </w:footnote>
  <w:footnote w:id="546">
    <w:p w:rsidR="00591E90" w:rsidRPr="00F4582E" w:rsidRDefault="00591E90">
      <w:pPr>
        <w:pStyle w:val="Textonotapie"/>
        <w:rPr>
          <w:lang w:val="en-US"/>
        </w:rPr>
      </w:pPr>
      <w:r>
        <w:rPr>
          <w:rStyle w:val="Refdenotaalpie"/>
        </w:rPr>
        <w:footnoteRef/>
      </w:r>
      <w:r w:rsidRPr="00F4582E">
        <w:rPr>
          <w:lang w:val="en-US"/>
        </w:rPr>
        <w:t xml:space="preserve"> Cable. UN Mission Geneva a </w:t>
      </w:r>
      <w:proofErr w:type="spellStart"/>
      <w:r w:rsidRPr="00F4582E">
        <w:rPr>
          <w:lang w:val="en-US"/>
        </w:rPr>
        <w:t>Departamento</w:t>
      </w:r>
      <w:proofErr w:type="spellEnd"/>
      <w:r w:rsidRPr="00F4582E">
        <w:rPr>
          <w:lang w:val="en-US"/>
        </w:rPr>
        <w:t xml:space="preserve"> de Estado (Washington), «Discussions with Colombian narcotics officials», </w:t>
      </w:r>
      <w:proofErr w:type="spellStart"/>
      <w:r w:rsidRPr="00F4582E">
        <w:rPr>
          <w:lang w:val="en-US"/>
        </w:rPr>
        <w:t>febrero</w:t>
      </w:r>
      <w:proofErr w:type="spellEnd"/>
      <w:r w:rsidRPr="00F4582E">
        <w:rPr>
          <w:lang w:val="en-US"/>
        </w:rPr>
        <w:t xml:space="preserve"> 1978, Confidential, Colombia Documentation Project, The National Security Archive, Washington, D. C.</w:t>
      </w:r>
    </w:p>
  </w:footnote>
  <w:footnote w:id="547">
    <w:p w:rsidR="00591E90" w:rsidRPr="00F4582E" w:rsidRDefault="00591E90">
      <w:pPr>
        <w:pStyle w:val="Textonotapie"/>
        <w:rPr>
          <w:lang w:val="es-CO"/>
        </w:rPr>
      </w:pPr>
      <w:r>
        <w:rPr>
          <w:rStyle w:val="Refdenotaalpie"/>
        </w:rPr>
        <w:footnoteRef/>
      </w:r>
      <w:r>
        <w:t xml:space="preserve"> </w:t>
      </w:r>
      <w:r w:rsidRPr="00F4582E">
        <w:t>Anales del Congreso, viernes 3 de agosto de 1984, 414.</w:t>
      </w:r>
    </w:p>
  </w:footnote>
  <w:footnote w:id="548">
    <w:p w:rsidR="00591E90" w:rsidRPr="00F4582E" w:rsidRDefault="00591E90">
      <w:pPr>
        <w:pStyle w:val="Textonotapie"/>
        <w:rPr>
          <w:lang w:val="es-CO"/>
        </w:rPr>
      </w:pPr>
      <w:r>
        <w:rPr>
          <w:rStyle w:val="Refdenotaalpie"/>
        </w:rPr>
        <w:footnoteRef/>
      </w:r>
      <w:r w:rsidRPr="00F4582E">
        <w:rPr>
          <w:lang w:val="en-US"/>
        </w:rPr>
        <w:t xml:space="preserve"> Memorandum. De Stansfield Turner, Admiral, U.S. Navy, Director, CIA </w:t>
      </w:r>
      <w:proofErr w:type="gramStart"/>
      <w:r w:rsidRPr="00F4582E">
        <w:rPr>
          <w:lang w:val="en-US"/>
        </w:rPr>
        <w:t>a</w:t>
      </w:r>
      <w:proofErr w:type="gramEnd"/>
      <w:r w:rsidRPr="00F4582E">
        <w:rPr>
          <w:lang w:val="en-US"/>
        </w:rPr>
        <w:t xml:space="preserve"> Honorable Zbigniew </w:t>
      </w:r>
      <w:proofErr w:type="spellStart"/>
      <w:r w:rsidRPr="00F4582E">
        <w:rPr>
          <w:lang w:val="en-US"/>
        </w:rPr>
        <w:t>Brezezinski</w:t>
      </w:r>
      <w:proofErr w:type="spellEnd"/>
      <w:r w:rsidRPr="00F4582E">
        <w:rPr>
          <w:lang w:val="en-US"/>
        </w:rPr>
        <w:t xml:space="preserve">, </w:t>
      </w:r>
      <w:proofErr w:type="spellStart"/>
      <w:r w:rsidRPr="00F4582E">
        <w:rPr>
          <w:lang w:val="en-US"/>
        </w:rPr>
        <w:t>Asistente</w:t>
      </w:r>
      <w:proofErr w:type="spellEnd"/>
      <w:r w:rsidRPr="00F4582E">
        <w:rPr>
          <w:lang w:val="en-US"/>
        </w:rPr>
        <w:t xml:space="preserve"> del </w:t>
      </w:r>
      <w:proofErr w:type="spellStart"/>
      <w:r w:rsidRPr="00F4582E">
        <w:rPr>
          <w:lang w:val="en-US"/>
        </w:rPr>
        <w:t>Presidente</w:t>
      </w:r>
      <w:proofErr w:type="spellEnd"/>
      <w:r w:rsidRPr="00F4582E">
        <w:rPr>
          <w:lang w:val="en-US"/>
        </w:rPr>
        <w:t xml:space="preserve"> para National Security Affairs, «Impact of the US Stand on Humans Rights», 11 de mayo de 1977. </w:t>
      </w:r>
      <w:proofErr w:type="spellStart"/>
      <w:r w:rsidRPr="00F4582E">
        <w:rPr>
          <w:lang w:val="en-US"/>
        </w:rPr>
        <w:t>Desclasificado</w:t>
      </w:r>
      <w:proofErr w:type="spellEnd"/>
      <w:r w:rsidRPr="00F4582E">
        <w:rPr>
          <w:lang w:val="en-US"/>
        </w:rPr>
        <w:t>/</w:t>
      </w:r>
      <w:proofErr w:type="spellStart"/>
      <w:r w:rsidRPr="00F4582E">
        <w:rPr>
          <w:lang w:val="en-US"/>
        </w:rPr>
        <w:t>Liberado</w:t>
      </w:r>
      <w:proofErr w:type="spellEnd"/>
      <w:r w:rsidRPr="00F4582E">
        <w:rPr>
          <w:lang w:val="en-US"/>
        </w:rPr>
        <w:t xml:space="preserve">. Colombia Documentation Project. National Security Archive, D. C.; Message Text. </w:t>
      </w:r>
      <w:proofErr w:type="spellStart"/>
      <w:r w:rsidRPr="00F4582E">
        <w:rPr>
          <w:lang w:val="en-US"/>
        </w:rPr>
        <w:t>Embajada</w:t>
      </w:r>
      <w:proofErr w:type="spellEnd"/>
      <w:r w:rsidRPr="00F4582E">
        <w:rPr>
          <w:lang w:val="en-US"/>
        </w:rPr>
        <w:t xml:space="preserve"> de </w:t>
      </w:r>
      <w:proofErr w:type="spellStart"/>
      <w:r w:rsidRPr="00F4582E">
        <w:rPr>
          <w:lang w:val="en-US"/>
        </w:rPr>
        <w:t>Estados</w:t>
      </w:r>
      <w:proofErr w:type="spellEnd"/>
      <w:r w:rsidRPr="00F4582E">
        <w:rPr>
          <w:lang w:val="en-US"/>
        </w:rPr>
        <w:t xml:space="preserve"> Unidos (Bogotá) a </w:t>
      </w:r>
      <w:proofErr w:type="spellStart"/>
      <w:r w:rsidRPr="00F4582E">
        <w:rPr>
          <w:lang w:val="en-US"/>
        </w:rPr>
        <w:t>Departamento</w:t>
      </w:r>
      <w:proofErr w:type="spellEnd"/>
      <w:r w:rsidRPr="00F4582E">
        <w:rPr>
          <w:lang w:val="en-US"/>
        </w:rPr>
        <w:t xml:space="preserve"> de Estado (Washington), «Falco-Bourne Visit-Narcotics Program», </w:t>
      </w:r>
      <w:proofErr w:type="spellStart"/>
      <w:r w:rsidRPr="00F4582E">
        <w:rPr>
          <w:lang w:val="en-US"/>
        </w:rPr>
        <w:t>junio</w:t>
      </w:r>
      <w:proofErr w:type="spellEnd"/>
      <w:r w:rsidRPr="00F4582E">
        <w:rPr>
          <w:lang w:val="en-US"/>
        </w:rPr>
        <w:t xml:space="preserve"> de 1977; Cable. </w:t>
      </w:r>
      <w:proofErr w:type="spellStart"/>
      <w:r w:rsidRPr="00F4582E">
        <w:rPr>
          <w:lang w:val="en-US"/>
        </w:rPr>
        <w:t>Embajada</w:t>
      </w:r>
      <w:proofErr w:type="spellEnd"/>
      <w:r w:rsidRPr="00F4582E">
        <w:rPr>
          <w:lang w:val="en-US"/>
        </w:rPr>
        <w:t xml:space="preserve"> de </w:t>
      </w:r>
      <w:proofErr w:type="spellStart"/>
      <w:r w:rsidRPr="00F4582E">
        <w:rPr>
          <w:lang w:val="en-US"/>
        </w:rPr>
        <w:t>Estados</w:t>
      </w:r>
      <w:proofErr w:type="spellEnd"/>
      <w:r w:rsidRPr="00F4582E">
        <w:rPr>
          <w:lang w:val="en-US"/>
        </w:rPr>
        <w:t xml:space="preserve"> Unidos (Bogotá) a </w:t>
      </w:r>
      <w:proofErr w:type="spellStart"/>
      <w:r w:rsidRPr="00F4582E">
        <w:rPr>
          <w:lang w:val="en-US"/>
        </w:rPr>
        <w:t>Departamento</w:t>
      </w:r>
      <w:proofErr w:type="spellEnd"/>
      <w:r w:rsidRPr="00F4582E">
        <w:rPr>
          <w:lang w:val="en-US"/>
        </w:rPr>
        <w:t xml:space="preserve"> de Estado (Washington), «</w:t>
      </w:r>
      <w:proofErr w:type="spellStart"/>
      <w:r w:rsidRPr="00F4582E">
        <w:rPr>
          <w:lang w:val="en-US"/>
        </w:rPr>
        <w:t>Texto</w:t>
      </w:r>
      <w:proofErr w:type="spellEnd"/>
      <w:r w:rsidRPr="00F4582E">
        <w:rPr>
          <w:lang w:val="en-US"/>
        </w:rPr>
        <w:t xml:space="preserve"> of presidential AIDE Memoire», </w:t>
      </w:r>
      <w:proofErr w:type="spellStart"/>
      <w:r w:rsidRPr="00F4582E">
        <w:rPr>
          <w:lang w:val="en-US"/>
        </w:rPr>
        <w:t>febrero</w:t>
      </w:r>
      <w:proofErr w:type="spellEnd"/>
      <w:r w:rsidRPr="00F4582E">
        <w:rPr>
          <w:lang w:val="en-US"/>
        </w:rPr>
        <w:t xml:space="preserve"> de 1978, Confidential, Colombia Documentation Project, The National Security Archive, Washington, D. C.; Message Text. </w:t>
      </w:r>
      <w:proofErr w:type="spellStart"/>
      <w:r w:rsidRPr="00F4582E">
        <w:rPr>
          <w:lang w:val="en-US"/>
        </w:rPr>
        <w:t>Embajada</w:t>
      </w:r>
      <w:proofErr w:type="spellEnd"/>
      <w:r w:rsidRPr="00F4582E">
        <w:rPr>
          <w:lang w:val="en-US"/>
        </w:rPr>
        <w:t xml:space="preserve"> de </w:t>
      </w:r>
      <w:proofErr w:type="spellStart"/>
      <w:r w:rsidRPr="00F4582E">
        <w:rPr>
          <w:lang w:val="en-US"/>
        </w:rPr>
        <w:t>Estados</w:t>
      </w:r>
      <w:proofErr w:type="spellEnd"/>
      <w:r w:rsidRPr="00F4582E">
        <w:rPr>
          <w:lang w:val="en-US"/>
        </w:rPr>
        <w:t xml:space="preserve"> Unidos (Bogotá) a </w:t>
      </w:r>
      <w:proofErr w:type="spellStart"/>
      <w:r w:rsidRPr="00F4582E">
        <w:rPr>
          <w:lang w:val="en-US"/>
        </w:rPr>
        <w:t>Departamento</w:t>
      </w:r>
      <w:proofErr w:type="spellEnd"/>
      <w:r w:rsidRPr="00F4582E">
        <w:rPr>
          <w:lang w:val="en-US"/>
        </w:rPr>
        <w:t xml:space="preserve"> de Estado (Washington), «Meeting with President Lopez», </w:t>
      </w:r>
      <w:proofErr w:type="spellStart"/>
      <w:r w:rsidRPr="00F4582E">
        <w:rPr>
          <w:lang w:val="en-US"/>
        </w:rPr>
        <w:t>junio</w:t>
      </w:r>
      <w:proofErr w:type="spellEnd"/>
      <w:r w:rsidRPr="00F4582E">
        <w:rPr>
          <w:lang w:val="en-US"/>
        </w:rPr>
        <w:t xml:space="preserve"> de 1977, </w:t>
      </w:r>
      <w:proofErr w:type="spellStart"/>
      <w:r w:rsidRPr="00F4582E">
        <w:rPr>
          <w:lang w:val="en-US"/>
        </w:rPr>
        <w:t>Desclasificado</w:t>
      </w:r>
      <w:proofErr w:type="spellEnd"/>
      <w:r w:rsidRPr="00F4582E">
        <w:rPr>
          <w:lang w:val="en-US"/>
        </w:rPr>
        <w:t>/</w:t>
      </w:r>
      <w:proofErr w:type="spellStart"/>
      <w:r w:rsidRPr="00F4582E">
        <w:rPr>
          <w:lang w:val="en-US"/>
        </w:rPr>
        <w:t>Liberado</w:t>
      </w:r>
      <w:proofErr w:type="spellEnd"/>
      <w:r w:rsidRPr="00F4582E">
        <w:rPr>
          <w:lang w:val="en-US"/>
        </w:rPr>
        <w:t xml:space="preserve">. Colombia Documentation Project. National Security Archive, Washington D. C.; Message Text. </w:t>
      </w:r>
      <w:proofErr w:type="spellStart"/>
      <w:r w:rsidRPr="00F4582E">
        <w:rPr>
          <w:lang w:val="en-US"/>
        </w:rPr>
        <w:t>Embajada</w:t>
      </w:r>
      <w:proofErr w:type="spellEnd"/>
      <w:r w:rsidRPr="00F4582E">
        <w:rPr>
          <w:lang w:val="en-US"/>
        </w:rPr>
        <w:t xml:space="preserve"> de </w:t>
      </w:r>
      <w:proofErr w:type="spellStart"/>
      <w:r w:rsidRPr="00F4582E">
        <w:rPr>
          <w:lang w:val="en-US"/>
        </w:rPr>
        <w:t>Estados</w:t>
      </w:r>
      <w:proofErr w:type="spellEnd"/>
      <w:r w:rsidRPr="00F4582E">
        <w:rPr>
          <w:lang w:val="en-US"/>
        </w:rPr>
        <w:t xml:space="preserve"> Unidos (Bogotá) a </w:t>
      </w:r>
      <w:proofErr w:type="spellStart"/>
      <w:r w:rsidRPr="00F4582E">
        <w:rPr>
          <w:lang w:val="en-US"/>
        </w:rPr>
        <w:t>Departamento</w:t>
      </w:r>
      <w:proofErr w:type="spellEnd"/>
      <w:r w:rsidRPr="00F4582E">
        <w:rPr>
          <w:lang w:val="en-US"/>
        </w:rPr>
        <w:t xml:space="preserve"> de Estado (Washington), «Bourne- </w:t>
      </w:r>
      <w:proofErr w:type="spellStart"/>
      <w:r w:rsidRPr="00F4582E">
        <w:rPr>
          <w:lang w:val="en-US"/>
        </w:rPr>
        <w:t>Flaco</w:t>
      </w:r>
      <w:proofErr w:type="spellEnd"/>
      <w:r w:rsidRPr="00F4582E">
        <w:rPr>
          <w:lang w:val="en-US"/>
        </w:rPr>
        <w:t xml:space="preserve"> meeting with Minister of Justice and Attorney General», </w:t>
      </w:r>
      <w:proofErr w:type="spellStart"/>
      <w:r w:rsidRPr="00F4582E">
        <w:rPr>
          <w:lang w:val="en-US"/>
        </w:rPr>
        <w:t>junio</w:t>
      </w:r>
      <w:proofErr w:type="spellEnd"/>
      <w:r w:rsidRPr="00F4582E">
        <w:rPr>
          <w:lang w:val="en-US"/>
        </w:rPr>
        <w:t xml:space="preserve"> de 1977, </w:t>
      </w:r>
      <w:proofErr w:type="spellStart"/>
      <w:r w:rsidRPr="00F4582E">
        <w:rPr>
          <w:lang w:val="en-US"/>
        </w:rPr>
        <w:t>Desclasificado</w:t>
      </w:r>
      <w:proofErr w:type="spellEnd"/>
      <w:r w:rsidRPr="00F4582E">
        <w:rPr>
          <w:lang w:val="en-US"/>
        </w:rPr>
        <w:t>/</w:t>
      </w:r>
      <w:proofErr w:type="spellStart"/>
      <w:r w:rsidRPr="00F4582E">
        <w:rPr>
          <w:lang w:val="en-US"/>
        </w:rPr>
        <w:t>Liberado</w:t>
      </w:r>
      <w:proofErr w:type="spellEnd"/>
      <w:r w:rsidRPr="00F4582E">
        <w:rPr>
          <w:lang w:val="en-US"/>
        </w:rPr>
        <w:t xml:space="preserve">. Colombia Documentation Project. National Security Archive, Washington D. C.; Message Text. </w:t>
      </w:r>
      <w:r w:rsidRPr="00F4582E">
        <w:t xml:space="preserve">Embajada de Estados Unidos (Bogotá) a Departamento de Estado (Washington), «Human </w:t>
      </w:r>
      <w:proofErr w:type="spellStart"/>
      <w:r w:rsidRPr="00F4582E">
        <w:t>rights</w:t>
      </w:r>
      <w:proofErr w:type="spellEnd"/>
      <w:r w:rsidRPr="00F4582E">
        <w:t xml:space="preserve"> </w:t>
      </w:r>
      <w:proofErr w:type="spellStart"/>
      <w:r w:rsidRPr="00F4582E">
        <w:t>action</w:t>
      </w:r>
      <w:proofErr w:type="spellEnd"/>
      <w:r w:rsidRPr="00F4582E">
        <w:t xml:space="preserve"> plan </w:t>
      </w:r>
      <w:proofErr w:type="spellStart"/>
      <w:r w:rsidRPr="00F4582E">
        <w:t>for</w:t>
      </w:r>
      <w:proofErr w:type="spellEnd"/>
      <w:r w:rsidRPr="00F4582E">
        <w:t xml:space="preserve"> Colombia», junio de 1977, Desclasificado/Liberado. </w:t>
      </w:r>
      <w:r w:rsidRPr="00F4582E">
        <w:rPr>
          <w:lang w:val="en-US"/>
        </w:rPr>
        <w:t xml:space="preserve">Colombia Documentation Project. National Security Archive, Washington D. C.; Message Text. </w:t>
      </w:r>
      <w:proofErr w:type="spellStart"/>
      <w:r w:rsidRPr="00F4582E">
        <w:rPr>
          <w:lang w:val="en-US"/>
        </w:rPr>
        <w:t>Embajada</w:t>
      </w:r>
      <w:proofErr w:type="spellEnd"/>
      <w:r w:rsidRPr="00F4582E">
        <w:rPr>
          <w:lang w:val="en-US"/>
        </w:rPr>
        <w:t xml:space="preserve"> de </w:t>
      </w:r>
      <w:proofErr w:type="spellStart"/>
      <w:r w:rsidRPr="00F4582E">
        <w:rPr>
          <w:lang w:val="en-US"/>
        </w:rPr>
        <w:t>Estados</w:t>
      </w:r>
      <w:proofErr w:type="spellEnd"/>
      <w:r w:rsidRPr="00F4582E">
        <w:rPr>
          <w:lang w:val="en-US"/>
        </w:rPr>
        <w:t xml:space="preserve"> Unidos (Bogotá) a </w:t>
      </w:r>
      <w:proofErr w:type="spellStart"/>
      <w:r w:rsidRPr="00F4582E">
        <w:rPr>
          <w:lang w:val="en-US"/>
        </w:rPr>
        <w:t>Departamento</w:t>
      </w:r>
      <w:proofErr w:type="spellEnd"/>
      <w:r w:rsidRPr="00F4582E">
        <w:rPr>
          <w:lang w:val="en-US"/>
        </w:rPr>
        <w:t xml:space="preserve"> de Estado (Washington), «Mrs. Carter’s meeting with President Lopez», </w:t>
      </w:r>
      <w:proofErr w:type="spellStart"/>
      <w:r w:rsidRPr="00F4582E">
        <w:rPr>
          <w:lang w:val="en-US"/>
        </w:rPr>
        <w:t>junio</w:t>
      </w:r>
      <w:proofErr w:type="spellEnd"/>
      <w:r w:rsidRPr="00F4582E">
        <w:rPr>
          <w:lang w:val="en-US"/>
        </w:rPr>
        <w:t xml:space="preserve"> de 1977. Text Message. </w:t>
      </w:r>
      <w:r w:rsidRPr="00F4582E">
        <w:t xml:space="preserve">Departamento de Estado (Washington, D. C.) a Embajada de Estados Unidos en Colombia (Bogotá), «Colombia: </w:t>
      </w:r>
      <w:proofErr w:type="spellStart"/>
      <w:r w:rsidRPr="00F4582E">
        <w:t>Cocaine</w:t>
      </w:r>
      <w:proofErr w:type="spellEnd"/>
      <w:r w:rsidRPr="00F4582E">
        <w:t xml:space="preserve"> and </w:t>
      </w:r>
      <w:proofErr w:type="spellStart"/>
      <w:r w:rsidRPr="00F4582E">
        <w:t>the</w:t>
      </w:r>
      <w:proofErr w:type="spellEnd"/>
      <w:r w:rsidRPr="00F4582E">
        <w:t xml:space="preserve"> </w:t>
      </w:r>
      <w:proofErr w:type="spellStart"/>
      <w:r w:rsidRPr="00F4582E">
        <w:t>corruption</w:t>
      </w:r>
      <w:proofErr w:type="spellEnd"/>
      <w:r w:rsidRPr="00F4582E">
        <w:t xml:space="preserve"> </w:t>
      </w:r>
      <w:proofErr w:type="spellStart"/>
      <w:r w:rsidRPr="00F4582E">
        <w:t>issue</w:t>
      </w:r>
      <w:proofErr w:type="spellEnd"/>
      <w:r w:rsidRPr="00F4582E">
        <w:t xml:space="preserve">», junio de 1977, Desclasificado/Liberado. Colombia </w:t>
      </w:r>
      <w:proofErr w:type="spellStart"/>
      <w:r w:rsidRPr="00F4582E">
        <w:t>Documentation</w:t>
      </w:r>
      <w:proofErr w:type="spellEnd"/>
      <w:r w:rsidRPr="00F4582E">
        <w:t xml:space="preserve"> Project. </w:t>
      </w:r>
      <w:proofErr w:type="spellStart"/>
      <w:r w:rsidRPr="00F4582E">
        <w:t>National</w:t>
      </w:r>
      <w:proofErr w:type="spellEnd"/>
      <w:r w:rsidRPr="00F4582E">
        <w:t xml:space="preserve"> Security Archive, Washington D. C.</w:t>
      </w:r>
    </w:p>
  </w:footnote>
  <w:footnote w:id="549">
    <w:p w:rsidR="00591E90" w:rsidRPr="00F4582E" w:rsidRDefault="00591E90">
      <w:pPr>
        <w:pStyle w:val="Textonotapie"/>
        <w:rPr>
          <w:lang w:val="en-US"/>
        </w:rPr>
      </w:pPr>
      <w:r>
        <w:rPr>
          <w:rStyle w:val="Refdenotaalpie"/>
        </w:rPr>
        <w:footnoteRef/>
      </w:r>
      <w:r>
        <w:t xml:space="preserve"> </w:t>
      </w:r>
      <w:r w:rsidRPr="00F4582E">
        <w:t xml:space="preserve">«El hecho de que los traficantes tengan una enorme liquidez y se estén volviendo activos políticamente (el alcalde de Bogotá me dio su estimación de que la próxima legislatura tendrá al menos 10 diputados que estarán directamente en deuda con los traficantes) está asustando a muchos políticos tradicionales. Estoy convencido de que este factor y el potencial desafío a la autoridad de la élite gobernante tradicional son los elementos más importantes en la creciente preocupación con respecto al tráfico y la creciente cooperación que estamos recibiendo en su interdicción”. </w:t>
      </w:r>
      <w:r w:rsidRPr="00F4582E">
        <w:rPr>
          <w:lang w:val="en-US"/>
        </w:rPr>
        <w:t xml:space="preserve">Cable. </w:t>
      </w:r>
      <w:proofErr w:type="spellStart"/>
      <w:r w:rsidRPr="00F4582E">
        <w:rPr>
          <w:lang w:val="en-US"/>
        </w:rPr>
        <w:t>Embajada</w:t>
      </w:r>
      <w:proofErr w:type="spellEnd"/>
      <w:r w:rsidRPr="00F4582E">
        <w:rPr>
          <w:lang w:val="en-US"/>
        </w:rPr>
        <w:t xml:space="preserve"> de </w:t>
      </w:r>
      <w:proofErr w:type="spellStart"/>
      <w:r w:rsidRPr="00F4582E">
        <w:rPr>
          <w:lang w:val="en-US"/>
        </w:rPr>
        <w:t>Estados</w:t>
      </w:r>
      <w:proofErr w:type="spellEnd"/>
      <w:r w:rsidRPr="00F4582E">
        <w:rPr>
          <w:lang w:val="en-US"/>
        </w:rPr>
        <w:t xml:space="preserve"> Unidos (Bogotá) a </w:t>
      </w:r>
      <w:proofErr w:type="spellStart"/>
      <w:r w:rsidRPr="00F4582E">
        <w:rPr>
          <w:lang w:val="en-US"/>
        </w:rPr>
        <w:t>Departamento</w:t>
      </w:r>
      <w:proofErr w:type="spellEnd"/>
      <w:r w:rsidRPr="00F4582E">
        <w:rPr>
          <w:lang w:val="en-US"/>
        </w:rPr>
        <w:t xml:space="preserve"> de Estado (Washington), «Held forth at some length concerning his stands on corruption, law and order, and narcotics trafficking and committed himself specifically to close collaboration and cooperation with the U.S. Narcotics’ interdiction», </w:t>
      </w:r>
      <w:proofErr w:type="spellStart"/>
      <w:r w:rsidRPr="00F4582E">
        <w:rPr>
          <w:lang w:val="en-US"/>
        </w:rPr>
        <w:t>noviembre</w:t>
      </w:r>
      <w:proofErr w:type="spellEnd"/>
      <w:r w:rsidRPr="00F4582E">
        <w:rPr>
          <w:lang w:val="en-US"/>
        </w:rPr>
        <w:t xml:space="preserve"> de 1977, Confidential, Colombia Documentation Project, The National Security Archive, Washington, D. C.</w:t>
      </w:r>
    </w:p>
  </w:footnote>
  <w:footnote w:id="550">
    <w:p w:rsidR="00591E90" w:rsidRPr="00F4582E" w:rsidRDefault="00591E90">
      <w:pPr>
        <w:pStyle w:val="Textonotapie"/>
        <w:rPr>
          <w:lang w:val="es-CO"/>
        </w:rPr>
      </w:pPr>
      <w:r>
        <w:rPr>
          <w:rStyle w:val="Refdenotaalpie"/>
        </w:rPr>
        <w:footnoteRef/>
      </w:r>
      <w:r>
        <w:t xml:space="preserve"> </w:t>
      </w:r>
      <w:r w:rsidRPr="00F4582E">
        <w:t>Anales del Congreso, viernes 3 de agosto de 1984, 413.</w:t>
      </w:r>
    </w:p>
  </w:footnote>
  <w:footnote w:id="551">
    <w:p w:rsidR="00591E90" w:rsidRPr="00F4582E" w:rsidRDefault="00591E90">
      <w:pPr>
        <w:pStyle w:val="Textonotapie"/>
        <w:rPr>
          <w:lang w:val="es-CO"/>
        </w:rPr>
      </w:pPr>
      <w:r>
        <w:rPr>
          <w:rStyle w:val="Refdenotaalpie"/>
        </w:rPr>
        <w:footnoteRef/>
      </w:r>
      <w:r>
        <w:t xml:space="preserve"> </w:t>
      </w:r>
      <w:r w:rsidRPr="00F4582E">
        <w:t>Sobre este tema véase el libro de Ernesto Samper Pizano Contribuciones a la Comisión de la Verdad. Cuellar Editores, Bogotá, 2022.</w:t>
      </w:r>
    </w:p>
  </w:footnote>
  <w:footnote w:id="552">
    <w:p w:rsidR="00591E90" w:rsidRPr="00F4582E" w:rsidRDefault="00591E90">
      <w:pPr>
        <w:pStyle w:val="Textonotapie"/>
        <w:rPr>
          <w:lang w:val="es-CO"/>
        </w:rPr>
      </w:pPr>
      <w:r>
        <w:rPr>
          <w:rStyle w:val="Refdenotaalpie"/>
        </w:rPr>
        <w:footnoteRef/>
      </w:r>
      <w:r>
        <w:t xml:space="preserve"> </w:t>
      </w:r>
      <w:r w:rsidRPr="00F4582E">
        <w:t>Jácome, «Política y narcotráfico en Colombia».</w:t>
      </w:r>
    </w:p>
  </w:footnote>
  <w:footnote w:id="553">
    <w:p w:rsidR="00591E90" w:rsidRPr="00F4582E" w:rsidRDefault="00591E90">
      <w:pPr>
        <w:pStyle w:val="Textonotapie"/>
        <w:rPr>
          <w:lang w:val="es-CO"/>
        </w:rPr>
      </w:pPr>
      <w:r>
        <w:rPr>
          <w:rStyle w:val="Refdenotaalpie"/>
        </w:rPr>
        <w:footnoteRef/>
      </w:r>
      <w:r>
        <w:t xml:space="preserve"> </w:t>
      </w:r>
      <w:r w:rsidRPr="00F4582E">
        <w:t>Caracol Radio, «Mancuso: “el 35 por ciento del Congreso fue elegido en zona de influencia de las AUC”».</w:t>
      </w:r>
    </w:p>
  </w:footnote>
  <w:footnote w:id="554">
    <w:p w:rsidR="00591E90" w:rsidRPr="00F4582E" w:rsidRDefault="00591E90">
      <w:pPr>
        <w:pStyle w:val="Textonotapie"/>
        <w:rPr>
          <w:lang w:val="es-CO"/>
        </w:rPr>
      </w:pPr>
      <w:r>
        <w:rPr>
          <w:rStyle w:val="Refdenotaalpie"/>
        </w:rPr>
        <w:footnoteRef/>
      </w:r>
      <w:r>
        <w:t xml:space="preserve"> </w:t>
      </w:r>
      <w:r w:rsidRPr="00F4582E">
        <w:t>Caso Parapolítica. Consultoría.</w:t>
      </w:r>
    </w:p>
  </w:footnote>
  <w:footnote w:id="555">
    <w:p w:rsidR="00591E90" w:rsidRPr="00F4582E" w:rsidRDefault="00591E90">
      <w:pPr>
        <w:pStyle w:val="Textonotapie"/>
        <w:rPr>
          <w:lang w:val="es-CO"/>
        </w:rPr>
      </w:pPr>
      <w:r>
        <w:rPr>
          <w:rStyle w:val="Refdenotaalpie"/>
        </w:rPr>
        <w:footnoteRef/>
      </w:r>
      <w:r>
        <w:t xml:space="preserve"> </w:t>
      </w:r>
      <w:r w:rsidRPr="00F4582E">
        <w:t>Entrevista 142-PR-00073. Mujer, actor armado, política.</w:t>
      </w:r>
    </w:p>
  </w:footnote>
  <w:footnote w:id="556">
    <w:p w:rsidR="00591E90" w:rsidRPr="00F4582E" w:rsidRDefault="00591E90">
      <w:pPr>
        <w:pStyle w:val="Textonotapie"/>
        <w:rPr>
          <w:lang w:val="es-CO"/>
        </w:rPr>
      </w:pPr>
      <w:r>
        <w:rPr>
          <w:rStyle w:val="Refdenotaalpie"/>
        </w:rPr>
        <w:footnoteRef/>
      </w:r>
      <w:r>
        <w:t xml:space="preserve"> </w:t>
      </w:r>
      <w:r w:rsidRPr="00F4582E">
        <w:t>Entrevista 001-VI-00044. Abogado.</w:t>
      </w:r>
    </w:p>
  </w:footnote>
  <w:footnote w:id="557">
    <w:p w:rsidR="00591E90" w:rsidRPr="00F4582E" w:rsidRDefault="00591E90">
      <w:pPr>
        <w:pStyle w:val="Textonotapie"/>
        <w:rPr>
          <w:lang w:val="es-CO"/>
        </w:rPr>
      </w:pPr>
      <w:r>
        <w:rPr>
          <w:rStyle w:val="Refdenotaalpie"/>
        </w:rPr>
        <w:footnoteRef/>
      </w:r>
      <w:r>
        <w:t xml:space="preserve"> </w:t>
      </w:r>
      <w:r w:rsidRPr="00F4582E">
        <w:t>Para profundizar en el caso de parapolítica, véase el documento particular realizado por la CEV.</w:t>
      </w:r>
    </w:p>
  </w:footnote>
  <w:footnote w:id="558">
    <w:p w:rsidR="00591E90" w:rsidRPr="00F4582E" w:rsidRDefault="00591E90">
      <w:pPr>
        <w:pStyle w:val="Textonotapie"/>
        <w:rPr>
          <w:lang w:val="es-CO"/>
        </w:rPr>
      </w:pPr>
      <w:r>
        <w:rPr>
          <w:rStyle w:val="Refdenotaalpie"/>
        </w:rPr>
        <w:footnoteRef/>
      </w:r>
      <w:r>
        <w:t xml:space="preserve"> </w:t>
      </w:r>
      <w:r w:rsidRPr="00F4582E">
        <w:t xml:space="preserve">Por ejemplo, Carlos </w:t>
      </w:r>
      <w:proofErr w:type="spellStart"/>
      <w:r w:rsidRPr="00F4582E">
        <w:t>Náder</w:t>
      </w:r>
      <w:proofErr w:type="spellEnd"/>
      <w:r w:rsidRPr="00F4582E">
        <w:t xml:space="preserve"> </w:t>
      </w:r>
      <w:proofErr w:type="spellStart"/>
      <w:r w:rsidRPr="00F4582E">
        <w:t>Simmonds</w:t>
      </w:r>
      <w:proofErr w:type="spellEnd"/>
      <w:r w:rsidRPr="00F4582E">
        <w:t xml:space="preserve"> fue congresista cordobés del Partido Liberal acusado y condenado en Estados Unidos por tráfico de drogas. Pagó cárcel en ese país por ese delito y después, durante la persecución a Pablo Escobar, se convirtió en un interlocutor. César Pérez fue congresista del Partido Liberal en Antioquia condenado por su responsabilidad en la Masacre de Segovia y fue acusado de ser financiador de esta.</w:t>
      </w:r>
    </w:p>
  </w:footnote>
  <w:footnote w:id="559">
    <w:p w:rsidR="00591E90" w:rsidRPr="00F4582E" w:rsidRDefault="00591E90">
      <w:pPr>
        <w:pStyle w:val="Textonotapie"/>
        <w:rPr>
          <w:lang w:val="es-CO"/>
        </w:rPr>
      </w:pPr>
      <w:r>
        <w:rPr>
          <w:rStyle w:val="Refdenotaalpie"/>
        </w:rPr>
        <w:footnoteRef/>
      </w:r>
      <w:r>
        <w:t xml:space="preserve"> </w:t>
      </w:r>
      <w:r w:rsidRPr="00F4582E">
        <w:t xml:space="preserve">El Parqueadero Padilla fue un parqueadero donde la Fiscalía y el CTI descubrieron el centro financiero de contabilidad de las Autodefensas Campesinas de Córdoba y Urabá (ACCU). Oficina de Unicentro. </w:t>
      </w:r>
      <w:proofErr w:type="spellStart"/>
      <w:r w:rsidRPr="00F4582E">
        <w:t>Funpazcor</w:t>
      </w:r>
      <w:proofErr w:type="spellEnd"/>
      <w:r w:rsidRPr="00F4582E">
        <w:t xml:space="preserve"> era una ONG de Montería, dirigida por una hermana de Carlos Castaño, que era parte del entramado paramilitar. Profundizar en el hallazgo sobre paramilitarismo e impunidad.</w:t>
      </w:r>
    </w:p>
  </w:footnote>
  <w:footnote w:id="560">
    <w:p w:rsidR="00591E90" w:rsidRPr="00F4582E" w:rsidRDefault="00591E90">
      <w:pPr>
        <w:pStyle w:val="Textonotapie"/>
        <w:rPr>
          <w:lang w:val="es-CO"/>
        </w:rPr>
      </w:pPr>
      <w:r>
        <w:rPr>
          <w:rStyle w:val="Refdenotaalpie"/>
        </w:rPr>
        <w:footnoteRef/>
      </w:r>
      <w:r>
        <w:t xml:space="preserve"> </w:t>
      </w:r>
      <w:r w:rsidRPr="00F4582E">
        <w:t>Ver Caso Parqueadero Padilla en Anexo de casos.</w:t>
      </w:r>
    </w:p>
  </w:footnote>
  <w:footnote w:id="561">
    <w:p w:rsidR="00591E90" w:rsidRPr="00F4582E" w:rsidRDefault="00591E90">
      <w:pPr>
        <w:pStyle w:val="Textonotapie"/>
        <w:rPr>
          <w:lang w:val="es-CO"/>
        </w:rPr>
      </w:pPr>
      <w:r>
        <w:rPr>
          <w:rStyle w:val="Refdenotaalpie"/>
        </w:rPr>
        <w:footnoteRef/>
      </w:r>
      <w:r>
        <w:t xml:space="preserve"> </w:t>
      </w:r>
      <w:r w:rsidRPr="00F4582E">
        <w:t>Riesgo de lavado de activos y financiación del terrorismo en el sector notariado. Documentos UIAF. 2014.</w:t>
      </w:r>
    </w:p>
  </w:footnote>
  <w:footnote w:id="562">
    <w:p w:rsidR="00591E90" w:rsidRPr="00F4582E" w:rsidRDefault="00591E90">
      <w:pPr>
        <w:pStyle w:val="Textonotapie"/>
        <w:rPr>
          <w:lang w:val="es-CO"/>
        </w:rPr>
      </w:pPr>
      <w:r>
        <w:rPr>
          <w:rStyle w:val="Refdenotaalpie"/>
        </w:rPr>
        <w:footnoteRef/>
      </w:r>
      <w:r>
        <w:t xml:space="preserve"> </w:t>
      </w:r>
      <w:r w:rsidRPr="00F4582E">
        <w:t>Grupo Muerte a Secuestradores MAS.pdf ID 1003720-FS-2.</w:t>
      </w:r>
    </w:p>
  </w:footnote>
  <w:footnote w:id="563">
    <w:p w:rsidR="00591E90" w:rsidRPr="00F4582E" w:rsidRDefault="00591E90">
      <w:pPr>
        <w:pStyle w:val="Textonotapie"/>
        <w:rPr>
          <w:lang w:val="es-CO"/>
        </w:rPr>
      </w:pPr>
      <w:r>
        <w:rPr>
          <w:rStyle w:val="Refdenotaalpie"/>
        </w:rPr>
        <w:footnoteRef/>
      </w:r>
      <w:r>
        <w:t xml:space="preserve"> </w:t>
      </w:r>
      <w:r w:rsidRPr="00F4582E">
        <w:t>Asuntos Legales, «Corte Suprema dejó en firme condena del ex subdirector del DAS, José Miguel Narváez», consultado en: https://www.asuntoslegales.com.co/actualidad/corte-suprema-dejo-en-firme-condena-del- exsubdirector-del-das-jose-miguel-narvaez-3121582.</w:t>
      </w:r>
    </w:p>
  </w:footnote>
  <w:footnote w:id="564">
    <w:p w:rsidR="00591E90" w:rsidRPr="00F4582E" w:rsidRDefault="00591E90">
      <w:pPr>
        <w:pStyle w:val="Textonotapie"/>
        <w:rPr>
          <w:lang w:val="es-CO"/>
        </w:rPr>
      </w:pPr>
      <w:r>
        <w:rPr>
          <w:rStyle w:val="Refdenotaalpie"/>
        </w:rPr>
        <w:footnoteRef/>
      </w:r>
      <w:r>
        <w:t xml:space="preserve"> </w:t>
      </w:r>
      <w:r w:rsidRPr="00465F33">
        <w:t>Corte Suprema de Justicia, Sala de Casación Penal, Sentencia Jorge Noguera. Consultado en: https://cortesuprema.gov.co/corte/wp-content/uploads/2017/09/Sentencia-Jorge-Noguera-6-sep-2017.pdf.</w:t>
      </w:r>
    </w:p>
  </w:footnote>
  <w:footnote w:id="565">
    <w:p w:rsidR="00591E90" w:rsidRPr="00F4582E" w:rsidRDefault="00591E90">
      <w:pPr>
        <w:pStyle w:val="Textonotapie"/>
        <w:rPr>
          <w:lang w:val="es-CO"/>
        </w:rPr>
      </w:pPr>
      <w:r>
        <w:rPr>
          <w:rStyle w:val="Refdenotaalpie"/>
        </w:rPr>
        <w:footnoteRef/>
      </w:r>
      <w:r>
        <w:t xml:space="preserve"> </w:t>
      </w:r>
      <w:r w:rsidRPr="00465F33">
        <w:t>Entrevista 229-AA-00001. Excombatiente del M-19, mujer.</w:t>
      </w:r>
    </w:p>
  </w:footnote>
  <w:footnote w:id="566">
    <w:p w:rsidR="00591E90" w:rsidRPr="00F4582E" w:rsidRDefault="00591E90">
      <w:pPr>
        <w:pStyle w:val="Textonotapie"/>
        <w:rPr>
          <w:lang w:val="es-CO"/>
        </w:rPr>
      </w:pPr>
      <w:r>
        <w:rPr>
          <w:rStyle w:val="Refdenotaalpie"/>
        </w:rPr>
        <w:footnoteRef/>
      </w:r>
      <w:r>
        <w:t xml:space="preserve"> </w:t>
      </w:r>
      <w:r w:rsidRPr="00465F33">
        <w:t>Entrevista 345-VI-00007. Víctima, mujer.</w:t>
      </w:r>
    </w:p>
  </w:footnote>
  <w:footnote w:id="567">
    <w:p w:rsidR="00591E90" w:rsidRPr="00F4582E" w:rsidRDefault="00591E90">
      <w:pPr>
        <w:pStyle w:val="Textonotapie"/>
        <w:rPr>
          <w:lang w:val="es-CO"/>
        </w:rPr>
      </w:pPr>
      <w:r>
        <w:rPr>
          <w:rStyle w:val="Refdenotaalpie"/>
        </w:rPr>
        <w:footnoteRef/>
      </w:r>
      <w:r>
        <w:t xml:space="preserve"> </w:t>
      </w:r>
      <w:r w:rsidRPr="00465F33">
        <w:t>Entrevista 417-VI-00002. Víctima, hombre; entrevista 402-PR-00871. Experto en temas de narcotráfico y política.</w:t>
      </w:r>
    </w:p>
  </w:footnote>
  <w:footnote w:id="568">
    <w:p w:rsidR="00591E90" w:rsidRPr="00465F33" w:rsidRDefault="00591E90">
      <w:pPr>
        <w:pStyle w:val="Textonotapie"/>
        <w:rPr>
          <w:lang w:val="es-CO"/>
        </w:rPr>
      </w:pPr>
      <w:r>
        <w:rPr>
          <w:rStyle w:val="Refdenotaalpie"/>
        </w:rPr>
        <w:footnoteRef/>
      </w:r>
      <w:r>
        <w:t xml:space="preserve"> </w:t>
      </w:r>
      <w:r w:rsidRPr="00465F33">
        <w:t>Casos UIAF 9250, 9759, 1474 y MTC 001-03-01.</w:t>
      </w:r>
    </w:p>
  </w:footnote>
  <w:footnote w:id="569">
    <w:p w:rsidR="00591E90" w:rsidRPr="000C04C6" w:rsidRDefault="00591E90">
      <w:pPr>
        <w:pStyle w:val="Textonotapie"/>
        <w:rPr>
          <w:lang w:val="es-CO"/>
        </w:rPr>
      </w:pPr>
      <w:r>
        <w:rPr>
          <w:rStyle w:val="Refdenotaalpie"/>
        </w:rPr>
        <w:footnoteRef/>
      </w:r>
      <w:r>
        <w:t xml:space="preserve"> </w:t>
      </w:r>
      <w:r w:rsidRPr="00007707">
        <w:t xml:space="preserve">Julio César Turbay inaugura el discurso del «narcotráfico como asunto de seguridad nacional» y </w:t>
      </w:r>
      <w:proofErr w:type="spellStart"/>
      <w:r w:rsidRPr="00007707">
        <w:t>desplega</w:t>
      </w:r>
      <w:proofErr w:type="spellEnd"/>
      <w:r w:rsidRPr="00007707">
        <w:t xml:space="preserve"> la primera gran operación antinarcóticos en el país: la Campaña de la Guajira, operación Dos Penínsulas o Fulminante. Por ello, fue considerado por los Estados Unidos como un comprometido con la tarea.</w:t>
      </w:r>
    </w:p>
  </w:footnote>
  <w:footnote w:id="570">
    <w:p w:rsidR="00591E90" w:rsidRPr="00007707" w:rsidRDefault="00591E90">
      <w:pPr>
        <w:pStyle w:val="Textonotapie"/>
        <w:rPr>
          <w:lang w:val="es-CO"/>
        </w:rPr>
      </w:pPr>
      <w:r>
        <w:rPr>
          <w:rStyle w:val="Refdenotaalpie"/>
        </w:rPr>
        <w:footnoteRef/>
      </w:r>
      <w:r>
        <w:t xml:space="preserve"> </w:t>
      </w:r>
      <w:r w:rsidRPr="00007707">
        <w:t xml:space="preserve">El gobierno colombiano no desaprovechó la oportunidad, pues no tenía muchas objeciones para hacer parte de «la guerra contra las drogas»; el ministro de Defensa –el general Vega– reportó que para «la guerra contra las drogas» en 1984 se recibieron 11 millones de dólares. Entre 1978 y 1984, de acuerdo con el general Vega, el gobierno recibió 22,5 millones de dólares en asistencia de los Estados Unidos para tropa aérea, entrenamiento y otras actividades antidrogas. Además, esperaba recibir 15,8 millones de dólares más de «asistencia bilateral» y préstamos de 24,4 millones que serían usados para mejorar las aeronaves (Cable. </w:t>
      </w:r>
      <w:r w:rsidRPr="00007707">
        <w:rPr>
          <w:lang w:val="en-US"/>
        </w:rPr>
        <w:t xml:space="preserve">Ministers of Justice and Defense Speaks on anti-narcotics campaign. </w:t>
      </w:r>
      <w:r w:rsidRPr="00007707">
        <w:t>De la Embajada de los Estados Unidos en Bogotá al Departamento de Estado en Washington, 180435Z, septiembre de 1984).</w:t>
      </w:r>
    </w:p>
  </w:footnote>
  <w:footnote w:id="571">
    <w:p w:rsidR="00591E90" w:rsidRPr="00020C09" w:rsidRDefault="00591E90">
      <w:pPr>
        <w:pStyle w:val="Textonotapie"/>
        <w:rPr>
          <w:lang w:val="es-CO"/>
        </w:rPr>
      </w:pPr>
      <w:r>
        <w:rPr>
          <w:rStyle w:val="Refdenotaalpie"/>
        </w:rPr>
        <w:footnoteRef/>
      </w:r>
      <w:r>
        <w:t xml:space="preserve"> </w:t>
      </w:r>
      <w:r w:rsidRPr="00020C09">
        <w:t>Por ejemplo, ver las actas del Consejo Nacional de Estupefacientes del Ministerio de Justicia: Acta 2-4 de 2003 [1000380-FS-36] ; Acta 1 de 2007 [1000384-FS-66]; Acta 1-4 de 2004 [ 1000381-FS-108] ; Acta 8-10 de 2003; [1000380-FS-51]</w:t>
      </w:r>
    </w:p>
  </w:footnote>
  <w:footnote w:id="572">
    <w:p w:rsidR="00591E90" w:rsidRPr="00020C09" w:rsidRDefault="00591E90">
      <w:pPr>
        <w:pStyle w:val="Textonotapie"/>
        <w:rPr>
          <w:lang w:val="es-CO"/>
        </w:rPr>
      </w:pPr>
      <w:r>
        <w:rPr>
          <w:rStyle w:val="Refdenotaalpie"/>
        </w:rPr>
        <w:footnoteRef/>
      </w:r>
      <w:r>
        <w:t xml:space="preserve"> </w:t>
      </w:r>
      <w:r w:rsidRPr="00020C09">
        <w:t>El programa de familias Guardabosques es una iniciativa de desarrollo alternativo que el gobierno colombiano ha ejecutado desde el año 2003 en 121 municipios y que ha involucrado a 105.494 familias. Su principal objetivo se basa en que comunidades campesinas, indígenas y afrodescendientes abandonen voluntariamente sus cultivos de coca, amapola o marihuana y se comprometan a nunca insertarse en esta actividad a cambio de una remuneración por el cuidado de los ecosistemas.</w:t>
      </w:r>
    </w:p>
  </w:footnote>
  <w:footnote w:id="573">
    <w:p w:rsidR="00591E90" w:rsidRPr="00020C09" w:rsidRDefault="00591E90">
      <w:pPr>
        <w:pStyle w:val="Textonotapie"/>
        <w:rPr>
          <w:lang w:val="es-CO"/>
        </w:rPr>
      </w:pPr>
      <w:r>
        <w:rPr>
          <w:rStyle w:val="Refdenotaalpie"/>
        </w:rPr>
        <w:footnoteRef/>
      </w:r>
      <w:r>
        <w:t xml:space="preserve"> </w:t>
      </w:r>
      <w:r w:rsidRPr="00020C09">
        <w:t>En las actas del Consejo Nacional de Estupefacientes, el ministro de Justicia adujo: «La infraestructura carcelaria actual tiene una capacidad de 48 mil cupos y hay 64 mil internos. En desarrollo del programa de seguridad democrática, mensualmente se capturan mil personas; si la estadística se mantiene, al final del año tendremos 12 mil internos más y cuando termine el gobierno del presidente Uribe habrá 31 mil más» (Actas 1- 4, 2004, 5, febrero de 2004).</w:t>
      </w:r>
    </w:p>
  </w:footnote>
  <w:footnote w:id="574">
    <w:p w:rsidR="00591E90" w:rsidRPr="00020C09" w:rsidRDefault="00591E90">
      <w:pPr>
        <w:pStyle w:val="Textonotapie"/>
        <w:rPr>
          <w:lang w:val="es-CO"/>
        </w:rPr>
      </w:pPr>
      <w:r>
        <w:rPr>
          <w:rStyle w:val="Refdenotaalpie"/>
        </w:rPr>
        <w:footnoteRef/>
      </w:r>
      <w:r>
        <w:t xml:space="preserve"> </w:t>
      </w:r>
      <w:r w:rsidRPr="00020C09">
        <w:t>Actas 1 2003, 27 de febrero de 2003, 12.</w:t>
      </w:r>
    </w:p>
  </w:footnote>
  <w:footnote w:id="575">
    <w:p w:rsidR="00591E90" w:rsidRPr="00020C09" w:rsidRDefault="00591E90">
      <w:pPr>
        <w:pStyle w:val="Textonotapie"/>
        <w:rPr>
          <w:lang w:val="es-CO"/>
        </w:rPr>
      </w:pPr>
      <w:r>
        <w:rPr>
          <w:rStyle w:val="Refdenotaalpie"/>
        </w:rPr>
        <w:footnoteRef/>
      </w:r>
      <w:r>
        <w:t xml:space="preserve"> </w:t>
      </w:r>
      <w:r w:rsidRPr="00020C09">
        <w:t>Por ejemplo, diez años después del asesinato de Pablo Escobar, en el 2003, se reportó la custodia de recursos entregados por Juan Carlos Ramírez Abadía, alias Chupeta, a título de indemnización por un monto en dos depósitos que alcanzaron la suma de US$2.929.531 de dólares a favor de la Nación. En ese mismo año, estaba por declararse la extinción de dominio de otro monto que alcanzaba la suma de US$5.000.000. El general Óscar Naranjo recordó que a este narcotraficante le incautaron en 2007 170 mil millones de pesos, «el golpe más grande a las finanzas del narcotráfico», según el ministro Juan Manuel Santos (Naranjo, 2021, 49). Ese mismo año, el CNE recibió del presupuesto aportes de la nación (2 %) por 2 mil millones de pesos, pero manejó en recursos propios (98 %), 93 mil millones de pesos. En inversión se asignaron 70 mil millones. Los dineros del narcotráfico que entran a las arcas del Estado colombiano son cifras relevantes y es preciso preguntarse qué pasa con este dinero.</w:t>
      </w:r>
    </w:p>
  </w:footnote>
  <w:footnote w:id="576">
    <w:p w:rsidR="00591E90" w:rsidRPr="00020C09" w:rsidRDefault="00591E90">
      <w:pPr>
        <w:pStyle w:val="Textonotapie"/>
        <w:rPr>
          <w:lang w:val="es-CO"/>
        </w:rPr>
      </w:pPr>
      <w:r>
        <w:rPr>
          <w:rStyle w:val="Refdenotaalpie"/>
        </w:rPr>
        <w:footnoteRef/>
      </w:r>
      <w:r>
        <w:t xml:space="preserve"> </w:t>
      </w:r>
      <w:r w:rsidRPr="00020C09">
        <w:t>Fuente de Archivo Externa (81945-FS-286222). AEROCIVIL.</w:t>
      </w:r>
    </w:p>
  </w:footnote>
  <w:footnote w:id="577">
    <w:p w:rsidR="00591E90" w:rsidRPr="00020C09" w:rsidRDefault="00591E90">
      <w:pPr>
        <w:pStyle w:val="Textonotapie"/>
        <w:rPr>
          <w:lang w:val="es-CO"/>
        </w:rPr>
      </w:pPr>
      <w:r>
        <w:rPr>
          <w:rStyle w:val="Refdenotaalpie"/>
        </w:rPr>
        <w:footnoteRef/>
      </w:r>
      <w:r>
        <w:t xml:space="preserve"> </w:t>
      </w:r>
      <w:r w:rsidRPr="00020C09">
        <w:t xml:space="preserve">Anales del Congreso Número 39. Miércoles 22 de agosto de 1984. </w:t>
      </w:r>
      <w:proofErr w:type="spellStart"/>
      <w:r w:rsidRPr="00020C09">
        <w:t>pp</w:t>
      </w:r>
      <w:proofErr w:type="spellEnd"/>
      <w:r w:rsidRPr="00020C09">
        <w:t xml:space="preserve"> 8.</w:t>
      </w:r>
    </w:p>
  </w:footnote>
  <w:footnote w:id="578">
    <w:p w:rsidR="00591E90" w:rsidRPr="00912594" w:rsidRDefault="00591E90">
      <w:pPr>
        <w:pStyle w:val="Textonotapie"/>
        <w:rPr>
          <w:lang w:val="es-CO"/>
        </w:rPr>
      </w:pPr>
      <w:r>
        <w:rPr>
          <w:rStyle w:val="Refdenotaalpie"/>
        </w:rPr>
        <w:footnoteRef/>
      </w:r>
      <w:r>
        <w:t xml:space="preserve"> </w:t>
      </w:r>
      <w:r w:rsidRPr="00D20CA0">
        <w:t>El Tiempo, «Exembajador Fernando Sanclemente no aceptó cargos imputados por Fiscalía». De este caso la UIAF también tiene un caso abierto 9759.</w:t>
      </w:r>
    </w:p>
  </w:footnote>
  <w:footnote w:id="579">
    <w:p w:rsidR="00591E90" w:rsidRPr="00D20CA0" w:rsidRDefault="00591E90">
      <w:pPr>
        <w:pStyle w:val="Textonotapie"/>
        <w:rPr>
          <w:lang w:val="es-CO"/>
        </w:rPr>
      </w:pPr>
      <w:r>
        <w:rPr>
          <w:rStyle w:val="Refdenotaalpie"/>
        </w:rPr>
        <w:footnoteRef/>
      </w:r>
      <w:r>
        <w:t xml:space="preserve"> </w:t>
      </w:r>
      <w:r w:rsidRPr="00D20CA0">
        <w:t>Entrevista 220-AA-00008.</w:t>
      </w:r>
    </w:p>
  </w:footnote>
  <w:footnote w:id="580">
    <w:p w:rsidR="00591E90" w:rsidRPr="00D20CA0" w:rsidRDefault="00591E90">
      <w:pPr>
        <w:pStyle w:val="Textonotapie"/>
        <w:rPr>
          <w:lang w:val="es-CO"/>
        </w:rPr>
      </w:pPr>
      <w:r>
        <w:rPr>
          <w:rStyle w:val="Refdenotaalpie"/>
        </w:rPr>
        <w:footnoteRef/>
      </w:r>
      <w:r>
        <w:t xml:space="preserve"> </w:t>
      </w:r>
      <w:r w:rsidRPr="00D20CA0">
        <w:t>Entrevista 001-VI-00025. Teniente coronel de la Policía.</w:t>
      </w:r>
    </w:p>
  </w:footnote>
  <w:footnote w:id="581">
    <w:p w:rsidR="00591E90" w:rsidRPr="00D20CA0" w:rsidRDefault="00591E90">
      <w:pPr>
        <w:pStyle w:val="Textonotapie"/>
        <w:rPr>
          <w:lang w:val="es-CO"/>
        </w:rPr>
      </w:pPr>
      <w:r>
        <w:rPr>
          <w:rStyle w:val="Refdenotaalpie"/>
        </w:rPr>
        <w:footnoteRef/>
      </w:r>
      <w:r>
        <w:t xml:space="preserve"> </w:t>
      </w:r>
      <w:r w:rsidRPr="00D20CA0">
        <w:t>Se estrechó también el vínculo entre los oficiales de la fuerza pública, en especial de la Policía, y los carteles del narcotráfico en el suroccidente del país. La posterior creación del Cartel del Norte del Valle hizo más evidente el poder obtenido por los exoficiales de Policía, ahora narcotraficantes. No solo Danilo González – exoficial del Bloque de Búsqueda que sirvió de enlace entre el Cartel de Cali, la Policía y los Perseguidos por Pablo Escobar (Pepes)– pasó oficialmente a integrar el Cartel del Norte del Valle, sino que también estaban Orlando Henao Montoya, alias el Hombre del Overol; Wilber Varela, alias Jabón, y Víctor Patiño Fómeque, conocido como el Químico. Entrevista Hugo Aguilar.</w:t>
      </w:r>
    </w:p>
  </w:footnote>
  <w:footnote w:id="582">
    <w:p w:rsidR="00591E90" w:rsidRPr="00D20CA0" w:rsidRDefault="00591E90">
      <w:pPr>
        <w:pStyle w:val="Textonotapie"/>
        <w:rPr>
          <w:lang w:val="es-CO"/>
        </w:rPr>
      </w:pPr>
      <w:r>
        <w:rPr>
          <w:rStyle w:val="Refdenotaalpie"/>
        </w:rPr>
        <w:footnoteRef/>
      </w:r>
      <w:r>
        <w:t xml:space="preserve"> </w:t>
      </w:r>
      <w:r w:rsidRPr="00D20CA0">
        <w:t xml:space="preserve">De un total de 163 personas. Hay evidencia de 59 miembros, pero solo se obtuvieron los nombres completos de los siguientes: cinco miembros del Batallón Bárbula, Puerto Boyacá; cuatro del Batallón Patriota de Honda; uno de la Base Aérea Germán Olano, en Puerto Salgar; seis en el Batallón Bomboná de Puerto Berrío; tres del Batallón Bomboná de la Base Segovia; uno de la Cuarta Brigada de Medellín; uno de la Base Militar de Arauca; y cuatro del Comando Operativo </w:t>
      </w:r>
      <w:proofErr w:type="spellStart"/>
      <w:r w:rsidRPr="00D20CA0">
        <w:t>n.o</w:t>
      </w:r>
      <w:proofErr w:type="spellEnd"/>
      <w:r w:rsidRPr="00D20CA0">
        <w:t xml:space="preserve"> 10 de Cimitarra; además de cuatro miembros de la Policía Nacional en Cali y tres militares en retiro en Arauca (Informe Procuraduría General de la Nación, febrero de 1983, Grupo Muerte a Secuestradores MAS.pdf ID 1003720-FS-2, 49-54).</w:t>
      </w:r>
    </w:p>
  </w:footnote>
  <w:footnote w:id="583">
    <w:p w:rsidR="00591E90" w:rsidRPr="00FC1969" w:rsidRDefault="00591E90">
      <w:pPr>
        <w:pStyle w:val="Textonotapie"/>
        <w:rPr>
          <w:lang w:val="es-CO"/>
        </w:rPr>
      </w:pPr>
      <w:r>
        <w:rPr>
          <w:rStyle w:val="Refdenotaalpie"/>
        </w:rPr>
        <w:footnoteRef/>
      </w:r>
      <w:r>
        <w:t xml:space="preserve"> </w:t>
      </w:r>
      <w:r w:rsidRPr="00FC1969">
        <w:t>Gildardo Vanegas, La saga del narcotráfico en Cali 1950-2018, 220.</w:t>
      </w:r>
    </w:p>
  </w:footnote>
  <w:footnote w:id="584">
    <w:p w:rsidR="00591E90" w:rsidRPr="00FC1969" w:rsidRDefault="00591E90">
      <w:pPr>
        <w:pStyle w:val="Textonotapie"/>
        <w:rPr>
          <w:lang w:val="es-CO"/>
        </w:rPr>
      </w:pPr>
      <w:r>
        <w:rPr>
          <w:rStyle w:val="Refdenotaalpie"/>
        </w:rPr>
        <w:footnoteRef/>
      </w:r>
      <w:r>
        <w:t xml:space="preserve"> </w:t>
      </w:r>
      <w:r w:rsidRPr="00FC1969">
        <w:t>Entrevista 084-PR-00402. Actor armado, fuerza pública.</w:t>
      </w:r>
    </w:p>
  </w:footnote>
  <w:footnote w:id="585">
    <w:p w:rsidR="00591E90" w:rsidRPr="00FC1969" w:rsidRDefault="00591E90">
      <w:pPr>
        <w:pStyle w:val="Textonotapie"/>
        <w:rPr>
          <w:lang w:val="es-CO"/>
        </w:rPr>
      </w:pPr>
      <w:r>
        <w:rPr>
          <w:rStyle w:val="Refdenotaalpie"/>
        </w:rPr>
        <w:footnoteRef/>
      </w:r>
      <w:r>
        <w:t xml:space="preserve"> </w:t>
      </w:r>
      <w:r w:rsidRPr="00FC1969">
        <w:t>Entrevista 001-VI-00032. Exfuncionario del CTI.</w:t>
      </w:r>
    </w:p>
  </w:footnote>
  <w:footnote w:id="586">
    <w:p w:rsidR="00591E90" w:rsidRPr="00FC1969" w:rsidRDefault="00591E90">
      <w:pPr>
        <w:pStyle w:val="Textonotapie"/>
        <w:rPr>
          <w:lang w:val="es-CO"/>
        </w:rPr>
      </w:pPr>
      <w:r>
        <w:rPr>
          <w:rStyle w:val="Refdenotaalpie"/>
        </w:rPr>
        <w:footnoteRef/>
      </w:r>
      <w:r>
        <w:t xml:space="preserve"> </w:t>
      </w:r>
      <w:r w:rsidR="00C954C6">
        <w:t xml:space="preserve"> </w:t>
      </w:r>
      <w:r w:rsidRPr="00FC1969">
        <w:t>Caracol,</w:t>
      </w:r>
      <w:r w:rsidR="00C954C6">
        <w:t xml:space="preserve"> </w:t>
      </w:r>
      <w:r w:rsidRPr="00FC1969">
        <w:t>«Fiscalía</w:t>
      </w:r>
      <w:r w:rsidRPr="00FC1969">
        <w:tab/>
        <w:t>dice</w:t>
      </w:r>
      <w:r w:rsidR="00C954C6">
        <w:t xml:space="preserve"> </w:t>
      </w:r>
      <w:r w:rsidRPr="00FC1969">
        <w:t>que</w:t>
      </w:r>
      <w:r w:rsidR="00C954C6">
        <w:t xml:space="preserve"> </w:t>
      </w:r>
      <w:r w:rsidRPr="00FC1969">
        <w:t>el</w:t>
      </w:r>
      <w:r w:rsidR="00C954C6">
        <w:t xml:space="preserve"> </w:t>
      </w:r>
      <w:r w:rsidRPr="00FC1969">
        <w:t>general</w:t>
      </w:r>
      <w:r w:rsidR="00C954C6">
        <w:t xml:space="preserve"> </w:t>
      </w:r>
      <w:r w:rsidRPr="00FC1969">
        <w:t>(r)</w:t>
      </w:r>
      <w:r w:rsidR="00C954C6">
        <w:t xml:space="preserve"> </w:t>
      </w:r>
      <w:r w:rsidRPr="00FC1969">
        <w:t>Leonardo</w:t>
      </w:r>
      <w:r w:rsidR="00C954C6">
        <w:t xml:space="preserve"> </w:t>
      </w:r>
      <w:r w:rsidRPr="00FC1969">
        <w:t>Barrero</w:t>
      </w:r>
      <w:r w:rsidR="00C954C6">
        <w:t xml:space="preserve"> </w:t>
      </w:r>
      <w:r w:rsidRPr="00FC1969">
        <w:t>sería</w:t>
      </w:r>
      <w:r w:rsidR="00C954C6">
        <w:t xml:space="preserve"> </w:t>
      </w:r>
      <w:r w:rsidRPr="00FC1969">
        <w:t>alias</w:t>
      </w:r>
      <w:r w:rsidR="00C954C6">
        <w:t xml:space="preserve"> </w:t>
      </w:r>
      <w:r w:rsidRPr="00FC1969">
        <w:t>Padrino», https://caracol.com.co/radio/2022/02/15/judicial/1644925338_011595.html.</w:t>
      </w:r>
    </w:p>
  </w:footnote>
  <w:footnote w:id="587">
    <w:p w:rsidR="00591E90" w:rsidRPr="00FC1969" w:rsidRDefault="00591E90">
      <w:pPr>
        <w:pStyle w:val="Textonotapie"/>
        <w:rPr>
          <w:lang w:val="es-CO"/>
        </w:rPr>
      </w:pPr>
      <w:r>
        <w:rPr>
          <w:rStyle w:val="Refdenotaalpie"/>
        </w:rPr>
        <w:footnoteRef/>
      </w:r>
      <w:r>
        <w:t xml:space="preserve"> </w:t>
      </w:r>
      <w:r w:rsidRPr="00FC1969">
        <w:t>Entrevista 432-AA-00001. Exmilitar, hombre.</w:t>
      </w:r>
    </w:p>
  </w:footnote>
  <w:footnote w:id="588">
    <w:p w:rsidR="00591E90" w:rsidRPr="00FC1969" w:rsidRDefault="00591E90">
      <w:pPr>
        <w:pStyle w:val="Textonotapie"/>
        <w:rPr>
          <w:lang w:val="es-CO"/>
        </w:rPr>
      </w:pPr>
      <w:r>
        <w:rPr>
          <w:rStyle w:val="Refdenotaalpie"/>
        </w:rPr>
        <w:footnoteRef/>
      </w:r>
      <w:r>
        <w:t xml:space="preserve"> </w:t>
      </w:r>
      <w:r w:rsidRPr="00F701BD">
        <w:t>Entrevista 433-PR-03244. Hombre, indígena, Nariño.</w:t>
      </w:r>
    </w:p>
  </w:footnote>
  <w:footnote w:id="589">
    <w:p w:rsidR="00591E90" w:rsidRPr="00F701BD" w:rsidRDefault="00591E90">
      <w:pPr>
        <w:pStyle w:val="Textonotapie"/>
        <w:rPr>
          <w:lang w:val="es-CO"/>
        </w:rPr>
      </w:pPr>
      <w:r>
        <w:rPr>
          <w:rStyle w:val="Refdenotaalpie"/>
        </w:rPr>
        <w:footnoteRef/>
      </w:r>
      <w:r>
        <w:t xml:space="preserve"> </w:t>
      </w:r>
      <w:r w:rsidRPr="00F701BD">
        <w:t>«May-05-06». Documento tipo declaración. Fuente SIM. Archivos Vicente Castaño.</w:t>
      </w:r>
    </w:p>
  </w:footnote>
  <w:footnote w:id="590">
    <w:p w:rsidR="00591E90" w:rsidRPr="00F701BD" w:rsidRDefault="00591E90">
      <w:pPr>
        <w:pStyle w:val="Textonotapie"/>
        <w:rPr>
          <w:lang w:val="es-CO"/>
        </w:rPr>
      </w:pPr>
      <w:r>
        <w:rPr>
          <w:rStyle w:val="Refdenotaalpie"/>
        </w:rPr>
        <w:footnoteRef/>
      </w:r>
      <w:r>
        <w:t xml:space="preserve"> </w:t>
      </w:r>
      <w:r w:rsidRPr="00F701BD">
        <w:t>Informe 240-CI-00389, ABC PAZ, «Narrativas de excombatientes de organizaciones insurgentes y autodefensas», 218.</w:t>
      </w:r>
    </w:p>
  </w:footnote>
  <w:footnote w:id="591">
    <w:p w:rsidR="00591E90" w:rsidRPr="00F701BD" w:rsidRDefault="00591E90">
      <w:pPr>
        <w:pStyle w:val="Textonotapie"/>
        <w:rPr>
          <w:lang w:val="es-CO"/>
        </w:rPr>
      </w:pPr>
      <w:r>
        <w:rPr>
          <w:rStyle w:val="Refdenotaalpie"/>
        </w:rPr>
        <w:footnoteRef/>
      </w:r>
      <w:r>
        <w:t xml:space="preserve"> </w:t>
      </w:r>
      <w:proofErr w:type="spellStart"/>
      <w:r w:rsidRPr="00F701BD">
        <w:t>Ibíd</w:t>
      </w:r>
      <w:proofErr w:type="spellEnd"/>
      <w:r w:rsidRPr="00F701BD">
        <w:t>., 212.</w:t>
      </w:r>
    </w:p>
  </w:footnote>
  <w:footnote w:id="592">
    <w:p w:rsidR="00591E90" w:rsidRPr="00F701BD" w:rsidRDefault="00591E90">
      <w:pPr>
        <w:pStyle w:val="Textonotapie"/>
        <w:rPr>
          <w:lang w:val="es-CO"/>
        </w:rPr>
      </w:pPr>
      <w:r>
        <w:rPr>
          <w:rStyle w:val="Refdenotaalpie"/>
        </w:rPr>
        <w:footnoteRef/>
      </w:r>
      <w:r>
        <w:t xml:space="preserve"> </w:t>
      </w:r>
      <w:r w:rsidRPr="00F701BD">
        <w:t>Entrevista 142-PR-00398. Hombre, actor armado, fuerza pública.</w:t>
      </w:r>
    </w:p>
  </w:footnote>
  <w:footnote w:id="593">
    <w:p w:rsidR="00591E90" w:rsidRPr="00F701BD" w:rsidRDefault="00591E90">
      <w:pPr>
        <w:pStyle w:val="Textonotapie"/>
        <w:rPr>
          <w:lang w:val="es-CO"/>
        </w:rPr>
      </w:pPr>
      <w:r>
        <w:rPr>
          <w:rStyle w:val="Refdenotaalpie"/>
        </w:rPr>
        <w:footnoteRef/>
      </w:r>
      <w:r>
        <w:t xml:space="preserve"> </w:t>
      </w:r>
      <w:proofErr w:type="spellStart"/>
      <w:r w:rsidRPr="00F701BD">
        <w:t>Ibíd</w:t>
      </w:r>
      <w:proofErr w:type="spellEnd"/>
      <w:r w:rsidRPr="00F701BD">
        <w:t>., 210.</w:t>
      </w:r>
    </w:p>
  </w:footnote>
  <w:footnote w:id="594">
    <w:p w:rsidR="00591E90" w:rsidRPr="00F701BD" w:rsidRDefault="00591E90">
      <w:pPr>
        <w:pStyle w:val="Textonotapie"/>
        <w:rPr>
          <w:lang w:val="es-CO"/>
        </w:rPr>
      </w:pPr>
      <w:r>
        <w:rPr>
          <w:rStyle w:val="Refdenotaalpie"/>
        </w:rPr>
        <w:footnoteRef/>
      </w:r>
      <w:r>
        <w:t xml:space="preserve"> </w:t>
      </w:r>
      <w:proofErr w:type="spellStart"/>
      <w:r w:rsidRPr="00F701BD">
        <w:t>Ibíd</w:t>
      </w:r>
      <w:proofErr w:type="spellEnd"/>
      <w:r w:rsidRPr="00F701BD">
        <w:t>., 211.</w:t>
      </w:r>
    </w:p>
  </w:footnote>
  <w:footnote w:id="595">
    <w:p w:rsidR="00591E90" w:rsidRPr="0029429B" w:rsidRDefault="00591E90">
      <w:pPr>
        <w:pStyle w:val="Textonotapie"/>
        <w:rPr>
          <w:lang w:val="es-CO"/>
        </w:rPr>
      </w:pPr>
      <w:r>
        <w:rPr>
          <w:rStyle w:val="Refdenotaalpie"/>
        </w:rPr>
        <w:footnoteRef/>
      </w:r>
      <w:r>
        <w:t xml:space="preserve"> </w:t>
      </w:r>
      <w:r w:rsidRPr="0029429B">
        <w:t>Verdad Abierta, «El Capitán Victoria, el enlace de los Castaño».</w:t>
      </w:r>
    </w:p>
  </w:footnote>
  <w:footnote w:id="596">
    <w:p w:rsidR="00591E90" w:rsidRPr="0029429B" w:rsidRDefault="00591E90">
      <w:pPr>
        <w:pStyle w:val="Textonotapie"/>
        <w:rPr>
          <w:lang w:val="es-CO"/>
        </w:rPr>
      </w:pPr>
      <w:r>
        <w:rPr>
          <w:rStyle w:val="Refdenotaalpie"/>
        </w:rPr>
        <w:footnoteRef/>
      </w:r>
      <w:r>
        <w:t xml:space="preserve"> </w:t>
      </w:r>
      <w:r w:rsidRPr="0029429B">
        <w:t>Rutas del Conflicto, «Masacre de El Placer».</w:t>
      </w:r>
    </w:p>
  </w:footnote>
  <w:footnote w:id="597">
    <w:p w:rsidR="00591E90" w:rsidRPr="0029429B" w:rsidRDefault="00591E90">
      <w:pPr>
        <w:pStyle w:val="Textonotapie"/>
        <w:rPr>
          <w:lang w:val="es-CO"/>
        </w:rPr>
      </w:pPr>
      <w:r>
        <w:rPr>
          <w:rStyle w:val="Refdenotaalpie"/>
        </w:rPr>
        <w:footnoteRef/>
      </w:r>
      <w:r>
        <w:t xml:space="preserve"> </w:t>
      </w:r>
      <w:r w:rsidRPr="0029429B">
        <w:t>Rutas del Conflicto, «Masacre de La Gabarra».</w:t>
      </w:r>
    </w:p>
  </w:footnote>
  <w:footnote w:id="598">
    <w:p w:rsidR="00591E90" w:rsidRPr="0029429B" w:rsidRDefault="00591E90">
      <w:pPr>
        <w:pStyle w:val="Textonotapie"/>
        <w:rPr>
          <w:lang w:val="es-CO"/>
        </w:rPr>
      </w:pPr>
      <w:r>
        <w:rPr>
          <w:rStyle w:val="Refdenotaalpie"/>
        </w:rPr>
        <w:footnoteRef/>
      </w:r>
      <w:r>
        <w:t xml:space="preserve"> </w:t>
      </w:r>
      <w:r w:rsidRPr="0029429B">
        <w:t>Romero Vidal, La economía de los paramilitares, 223.</w:t>
      </w:r>
    </w:p>
  </w:footnote>
  <w:footnote w:id="599">
    <w:p w:rsidR="00591E90" w:rsidRPr="0029429B" w:rsidRDefault="00591E90">
      <w:pPr>
        <w:pStyle w:val="Textonotapie"/>
        <w:rPr>
          <w:lang w:val="es-CO"/>
        </w:rPr>
      </w:pPr>
      <w:r>
        <w:rPr>
          <w:rStyle w:val="Refdenotaalpie"/>
        </w:rPr>
        <w:footnoteRef/>
      </w:r>
      <w:r>
        <w:t xml:space="preserve"> </w:t>
      </w:r>
      <w:r w:rsidRPr="0029429B">
        <w:t>Entrevista 123-PR-00025. Exasesor de las AUC.</w:t>
      </w:r>
    </w:p>
  </w:footnote>
  <w:footnote w:id="600">
    <w:p w:rsidR="00591E90" w:rsidRPr="001D4ADE" w:rsidRDefault="00591E90">
      <w:pPr>
        <w:pStyle w:val="Textonotapie"/>
        <w:rPr>
          <w:lang w:val="es-CO"/>
        </w:rPr>
      </w:pPr>
      <w:r>
        <w:rPr>
          <w:rStyle w:val="Refdenotaalpie"/>
        </w:rPr>
        <w:footnoteRef/>
      </w:r>
      <w:r>
        <w:t xml:space="preserve"> </w:t>
      </w:r>
      <w:r w:rsidRPr="001D4ADE">
        <w:t xml:space="preserve">Entrevista 185-PR-00771. Hombre, actor armado, </w:t>
      </w:r>
      <w:proofErr w:type="spellStart"/>
      <w:r w:rsidRPr="001D4ADE">
        <w:t>exparamilitar</w:t>
      </w:r>
      <w:proofErr w:type="spellEnd"/>
      <w:r w:rsidRPr="001D4ADE">
        <w:t>.</w:t>
      </w:r>
    </w:p>
  </w:footnote>
  <w:footnote w:id="601">
    <w:p w:rsidR="00591E90" w:rsidRPr="001D4ADE" w:rsidRDefault="00591E90">
      <w:pPr>
        <w:pStyle w:val="Textonotapie"/>
        <w:rPr>
          <w:lang w:val="es-CO"/>
        </w:rPr>
      </w:pPr>
      <w:r>
        <w:rPr>
          <w:rStyle w:val="Refdenotaalpie"/>
        </w:rPr>
        <w:footnoteRef/>
      </w:r>
      <w:r>
        <w:t xml:space="preserve"> </w:t>
      </w:r>
      <w:r w:rsidRPr="001D4ADE">
        <w:t>Verdad Abierta, «Bloque Calima, un “depredador” paramilitar marcado por el narcotráfico», consultado en: https://verdadabierta.com/bloque-calima-depredador-paramilitar-marcado-narcotrafico/.</w:t>
      </w:r>
    </w:p>
  </w:footnote>
  <w:footnote w:id="602">
    <w:p w:rsidR="00591E90" w:rsidRPr="001D4ADE" w:rsidRDefault="00591E90">
      <w:pPr>
        <w:pStyle w:val="Textonotapie"/>
        <w:rPr>
          <w:lang w:val="es-CO"/>
        </w:rPr>
      </w:pPr>
      <w:r>
        <w:rPr>
          <w:rStyle w:val="Refdenotaalpie"/>
        </w:rPr>
        <w:footnoteRef/>
      </w:r>
      <w:r>
        <w:t xml:space="preserve"> </w:t>
      </w:r>
      <w:r w:rsidRPr="001D4ADE">
        <w:t xml:space="preserve"> «May-05-06», Documento tipo declaración. Fuente SIM. Archivos Vicente Castaño.</w:t>
      </w:r>
    </w:p>
  </w:footnote>
  <w:footnote w:id="603">
    <w:p w:rsidR="00591E90" w:rsidRPr="00FA5E71" w:rsidRDefault="00591E90">
      <w:pPr>
        <w:pStyle w:val="Textonotapie"/>
        <w:rPr>
          <w:lang w:val="es-CO"/>
        </w:rPr>
      </w:pPr>
      <w:r>
        <w:rPr>
          <w:rStyle w:val="Refdenotaalpie"/>
        </w:rPr>
        <w:footnoteRef/>
      </w:r>
      <w:r>
        <w:t xml:space="preserve"> </w:t>
      </w:r>
      <w:r w:rsidRPr="00FA5E71">
        <w:t xml:space="preserve">Entrevista 084-PR-00429. Hombre, actor armado, exguerrillero y </w:t>
      </w:r>
      <w:proofErr w:type="spellStart"/>
      <w:r w:rsidRPr="00FA5E71">
        <w:t>exparamilitar</w:t>
      </w:r>
      <w:proofErr w:type="spellEnd"/>
      <w:r w:rsidRPr="00FA5E71">
        <w:t>.</w:t>
      </w:r>
    </w:p>
  </w:footnote>
  <w:footnote w:id="604">
    <w:p w:rsidR="00591E90" w:rsidRPr="00FA5E71" w:rsidRDefault="00591E90">
      <w:pPr>
        <w:pStyle w:val="Textonotapie"/>
        <w:rPr>
          <w:lang w:val="es-CO"/>
        </w:rPr>
      </w:pPr>
      <w:r>
        <w:rPr>
          <w:rStyle w:val="Refdenotaalpie"/>
        </w:rPr>
        <w:footnoteRef/>
      </w:r>
      <w:r>
        <w:t xml:space="preserve"> </w:t>
      </w:r>
      <w:r w:rsidRPr="00FA5E71">
        <w:t>Entrevista 001-VI-00050. Mujer, agente CTI en el exilio.</w:t>
      </w:r>
    </w:p>
  </w:footnote>
  <w:footnote w:id="605">
    <w:p w:rsidR="00591E90" w:rsidRPr="00FA5E71" w:rsidRDefault="00591E90">
      <w:pPr>
        <w:pStyle w:val="Textonotapie"/>
        <w:rPr>
          <w:lang w:val="pt-BR"/>
        </w:rPr>
      </w:pPr>
      <w:r>
        <w:rPr>
          <w:rStyle w:val="Refdenotaalpie"/>
        </w:rPr>
        <w:footnoteRef/>
      </w:r>
      <w:r w:rsidRPr="00FA5E71">
        <w:rPr>
          <w:lang w:val="pt-BR"/>
        </w:rPr>
        <w:t xml:space="preserve"> Entrevista 185-PR-00771. </w:t>
      </w:r>
      <w:proofErr w:type="spellStart"/>
      <w:r w:rsidRPr="00FA5E71">
        <w:rPr>
          <w:lang w:val="pt-BR"/>
        </w:rPr>
        <w:t>Hombre</w:t>
      </w:r>
      <w:proofErr w:type="spellEnd"/>
      <w:r w:rsidRPr="00FA5E71">
        <w:rPr>
          <w:lang w:val="pt-BR"/>
        </w:rPr>
        <w:t xml:space="preserve">, </w:t>
      </w:r>
      <w:proofErr w:type="spellStart"/>
      <w:r w:rsidRPr="00FA5E71">
        <w:rPr>
          <w:lang w:val="pt-BR"/>
        </w:rPr>
        <w:t>actor</w:t>
      </w:r>
      <w:proofErr w:type="spellEnd"/>
      <w:r w:rsidRPr="00FA5E71">
        <w:rPr>
          <w:lang w:val="pt-BR"/>
        </w:rPr>
        <w:t xml:space="preserve"> armado, </w:t>
      </w:r>
      <w:proofErr w:type="spellStart"/>
      <w:r w:rsidRPr="00FA5E71">
        <w:rPr>
          <w:lang w:val="pt-BR"/>
        </w:rPr>
        <w:t>exparamilitar</w:t>
      </w:r>
      <w:proofErr w:type="spellEnd"/>
      <w:r w:rsidRPr="00FA5E71">
        <w:rPr>
          <w:lang w:val="pt-BR"/>
        </w:rPr>
        <w:t>.</w:t>
      </w:r>
    </w:p>
  </w:footnote>
  <w:footnote w:id="606">
    <w:p w:rsidR="00591E90" w:rsidRPr="00FA5E71" w:rsidRDefault="00591E90">
      <w:pPr>
        <w:pStyle w:val="Textonotapie"/>
        <w:rPr>
          <w:lang w:val="es-CO"/>
        </w:rPr>
      </w:pPr>
      <w:r>
        <w:rPr>
          <w:rStyle w:val="Refdenotaalpie"/>
        </w:rPr>
        <w:footnoteRef/>
      </w:r>
      <w:r w:rsidRPr="00FA5E71">
        <w:rPr>
          <w:lang w:val="pt-BR"/>
        </w:rPr>
        <w:t xml:space="preserve"> Entrevista 084-PR-00429. </w:t>
      </w:r>
      <w:r w:rsidRPr="00FA5E71">
        <w:t xml:space="preserve">Hombre, actor armado, exguerrillero y </w:t>
      </w:r>
      <w:proofErr w:type="spellStart"/>
      <w:r w:rsidRPr="00FA5E71">
        <w:t>exparamilitar</w:t>
      </w:r>
      <w:proofErr w:type="spellEnd"/>
      <w:r w:rsidRPr="00FA5E71">
        <w:t>.</w:t>
      </w:r>
    </w:p>
  </w:footnote>
  <w:footnote w:id="607">
    <w:p w:rsidR="00591E90" w:rsidRPr="00FA5E71" w:rsidRDefault="00591E90">
      <w:pPr>
        <w:pStyle w:val="Textonotapie"/>
        <w:rPr>
          <w:lang w:val="es-CO"/>
        </w:rPr>
      </w:pPr>
      <w:r>
        <w:rPr>
          <w:rStyle w:val="Refdenotaalpie"/>
        </w:rPr>
        <w:footnoteRef/>
      </w:r>
      <w:r>
        <w:t xml:space="preserve"> </w:t>
      </w:r>
      <w:r w:rsidRPr="00FA5E71">
        <w:t>Entrevista 084-PR-00402. Hombre, actor armado, fuerza pública.</w:t>
      </w:r>
    </w:p>
  </w:footnote>
  <w:footnote w:id="608">
    <w:p w:rsidR="00591E90" w:rsidRPr="00FA5E71" w:rsidRDefault="00591E90">
      <w:pPr>
        <w:pStyle w:val="Textonotapie"/>
        <w:rPr>
          <w:lang w:val="es-CO"/>
        </w:rPr>
      </w:pPr>
      <w:r>
        <w:rPr>
          <w:rStyle w:val="Refdenotaalpie"/>
        </w:rPr>
        <w:footnoteRef/>
      </w:r>
      <w:r>
        <w:t xml:space="preserve"> </w:t>
      </w:r>
      <w:r w:rsidRPr="00FA5E71">
        <w:t>Casos UIAF 3876, 9257, 9764 y 3558.</w:t>
      </w:r>
    </w:p>
  </w:footnote>
  <w:footnote w:id="609">
    <w:p w:rsidR="00591E90" w:rsidRPr="00FA5E71" w:rsidRDefault="00591E90">
      <w:pPr>
        <w:pStyle w:val="Textonotapie"/>
        <w:rPr>
          <w:lang w:val="es-CO"/>
        </w:rPr>
      </w:pPr>
      <w:r>
        <w:rPr>
          <w:rStyle w:val="Refdenotaalpie"/>
        </w:rPr>
        <w:footnoteRef/>
      </w:r>
      <w:r>
        <w:t xml:space="preserve"> </w:t>
      </w:r>
      <w:r w:rsidRPr="00FA5E71">
        <w:t>Casos UIAF 9266, 9245 de 2016, 9247 de 2016, 9267 de 2017, 1736 de 2008, 1763 de 2008, 8781de 2012 y 8832 de 2012.</w:t>
      </w:r>
    </w:p>
  </w:footnote>
  <w:footnote w:id="610">
    <w:p w:rsidR="00591E90" w:rsidRPr="00FA5E71" w:rsidRDefault="00591E90">
      <w:pPr>
        <w:pStyle w:val="Textonotapie"/>
        <w:rPr>
          <w:lang w:val="es-CO"/>
        </w:rPr>
      </w:pPr>
      <w:r>
        <w:rPr>
          <w:rStyle w:val="Refdenotaalpie"/>
        </w:rPr>
        <w:footnoteRef/>
      </w:r>
      <w:r>
        <w:t xml:space="preserve"> </w:t>
      </w:r>
      <w:r w:rsidRPr="00FA5E71">
        <w:t>Caso UIAF 1474 de 2008.</w:t>
      </w:r>
    </w:p>
  </w:footnote>
  <w:footnote w:id="611">
    <w:p w:rsidR="00591E90" w:rsidRPr="00FA5E71" w:rsidRDefault="00591E90">
      <w:pPr>
        <w:pStyle w:val="Textonotapie"/>
        <w:rPr>
          <w:lang w:val="es-CO"/>
        </w:rPr>
      </w:pPr>
      <w:r>
        <w:rPr>
          <w:rStyle w:val="Refdenotaalpie"/>
        </w:rPr>
        <w:footnoteRef/>
      </w:r>
      <w:r>
        <w:t xml:space="preserve"> </w:t>
      </w:r>
      <w:r w:rsidRPr="00FA5E71">
        <w:t>Casos 9182, 9579 y 9687.</w:t>
      </w:r>
    </w:p>
  </w:footnote>
  <w:footnote w:id="612">
    <w:p w:rsidR="00591E90" w:rsidRPr="00FA5E71" w:rsidRDefault="00591E90">
      <w:pPr>
        <w:pStyle w:val="Textonotapie"/>
        <w:rPr>
          <w:lang w:val="es-CO"/>
        </w:rPr>
      </w:pPr>
      <w:r>
        <w:rPr>
          <w:rStyle w:val="Refdenotaalpie"/>
        </w:rPr>
        <w:footnoteRef/>
      </w:r>
      <w:r>
        <w:t xml:space="preserve"> </w:t>
      </w:r>
      <w:r w:rsidRPr="00FA49EA">
        <w:t>Caso UIAF 8672 en 2014.</w:t>
      </w:r>
    </w:p>
  </w:footnote>
  <w:footnote w:id="613">
    <w:p w:rsidR="00591E90" w:rsidRPr="00FA5E71" w:rsidRDefault="00591E90">
      <w:pPr>
        <w:pStyle w:val="Textonotapie"/>
        <w:rPr>
          <w:lang w:val="es-CO"/>
        </w:rPr>
      </w:pPr>
      <w:r>
        <w:rPr>
          <w:rStyle w:val="Refdenotaalpie"/>
        </w:rPr>
        <w:footnoteRef/>
      </w:r>
      <w:r>
        <w:t xml:space="preserve"> </w:t>
      </w:r>
      <w:r w:rsidRPr="00FA49EA">
        <w:t>Casos UIAF MT17, 8678, 9162, 9164, MT16, 6240 de 2012, 9554, 8877 de 2013, 9785 (1 y 2) de 2020.</w:t>
      </w:r>
    </w:p>
  </w:footnote>
  <w:footnote w:id="614">
    <w:p w:rsidR="00591E90" w:rsidRPr="00FA5E71" w:rsidRDefault="00591E90">
      <w:pPr>
        <w:pStyle w:val="Textonotapie"/>
        <w:rPr>
          <w:lang w:val="es-CO"/>
        </w:rPr>
      </w:pPr>
      <w:r>
        <w:rPr>
          <w:rStyle w:val="Refdenotaalpie"/>
        </w:rPr>
        <w:footnoteRef/>
      </w:r>
      <w:r>
        <w:t xml:space="preserve"> </w:t>
      </w:r>
      <w:r w:rsidRPr="00FA49EA">
        <w:t>Casos UIAF 9638 (1-7) de 2015, MTC 001-00-02 de 2019.</w:t>
      </w:r>
    </w:p>
  </w:footnote>
  <w:footnote w:id="615">
    <w:p w:rsidR="00591E90" w:rsidRPr="00FA5E71" w:rsidRDefault="00591E90">
      <w:pPr>
        <w:pStyle w:val="Textonotapie"/>
        <w:rPr>
          <w:lang w:val="es-CO"/>
        </w:rPr>
      </w:pPr>
      <w:r>
        <w:rPr>
          <w:rStyle w:val="Refdenotaalpie"/>
        </w:rPr>
        <w:footnoteRef/>
      </w:r>
      <w:r>
        <w:t xml:space="preserve"> </w:t>
      </w:r>
      <w:r w:rsidRPr="00FA49EA">
        <w:t>Casos UIAF 1644 de 2008, 8680 de 2012, MT 15 de 2011 y 9085 de 2014, NTC 001-00-01 de 2019.</w:t>
      </w:r>
    </w:p>
  </w:footnote>
  <w:footnote w:id="616">
    <w:p w:rsidR="00591E90" w:rsidRPr="0042151C" w:rsidRDefault="00591E90">
      <w:pPr>
        <w:pStyle w:val="Textonotapie"/>
        <w:rPr>
          <w:lang w:val="es-CO"/>
        </w:rPr>
      </w:pPr>
      <w:r>
        <w:rPr>
          <w:rStyle w:val="Refdenotaalpie"/>
        </w:rPr>
        <w:footnoteRef/>
      </w:r>
      <w:r>
        <w:t xml:space="preserve"> </w:t>
      </w:r>
      <w:r w:rsidRPr="00747167">
        <w:t>Informe Procuraduría General de la Nación, febrero de 1983, «Grupo Muerte a Secuestradores MAS.pdf ID 1003720-FS-2»</w:t>
      </w:r>
    </w:p>
  </w:footnote>
  <w:footnote w:id="617">
    <w:p w:rsidR="00591E90" w:rsidRPr="00747167" w:rsidRDefault="00591E90">
      <w:pPr>
        <w:pStyle w:val="Textonotapie"/>
        <w:rPr>
          <w:lang w:val="es-CO"/>
        </w:rPr>
      </w:pPr>
      <w:r>
        <w:rPr>
          <w:rStyle w:val="Refdenotaalpie"/>
        </w:rPr>
        <w:footnoteRef/>
      </w:r>
      <w:r>
        <w:t xml:space="preserve"> </w:t>
      </w:r>
      <w:proofErr w:type="spellStart"/>
      <w:r w:rsidRPr="00747167">
        <w:t>Poloff</w:t>
      </w:r>
      <w:proofErr w:type="spellEnd"/>
      <w:r w:rsidRPr="00747167">
        <w:t xml:space="preserve"> es abreviatura de </w:t>
      </w:r>
      <w:proofErr w:type="spellStart"/>
      <w:r w:rsidRPr="00747167">
        <w:t>Political</w:t>
      </w:r>
      <w:proofErr w:type="spellEnd"/>
      <w:r w:rsidRPr="00747167">
        <w:t xml:space="preserve"> </w:t>
      </w:r>
      <w:proofErr w:type="spellStart"/>
      <w:r w:rsidRPr="00747167">
        <w:t>Officer</w:t>
      </w:r>
      <w:proofErr w:type="spellEnd"/>
      <w:r w:rsidRPr="00747167">
        <w:t>. Cable Embajada de Estados Unidos en Colombia 291903Z DEC 98, «</w:t>
      </w:r>
      <w:proofErr w:type="spellStart"/>
      <w:r w:rsidRPr="00747167">
        <w:t>The</w:t>
      </w:r>
      <w:proofErr w:type="spellEnd"/>
      <w:r w:rsidRPr="00747167">
        <w:t xml:space="preserve"> paras </w:t>
      </w:r>
      <w:proofErr w:type="spellStart"/>
      <w:r w:rsidRPr="00747167">
        <w:t>fight</w:t>
      </w:r>
      <w:proofErr w:type="spellEnd"/>
      <w:r w:rsidRPr="00747167">
        <w:t xml:space="preserve"> back </w:t>
      </w:r>
      <w:proofErr w:type="spellStart"/>
      <w:r w:rsidRPr="00747167">
        <w:t>against</w:t>
      </w:r>
      <w:proofErr w:type="spellEnd"/>
      <w:r w:rsidRPr="00747167">
        <w:t xml:space="preserve"> guerrillas and narcos (</w:t>
      </w:r>
      <w:proofErr w:type="spellStart"/>
      <w:r w:rsidRPr="00747167">
        <w:t>part</w:t>
      </w:r>
      <w:proofErr w:type="spellEnd"/>
      <w:r w:rsidRPr="00747167">
        <w:t xml:space="preserve"> II </w:t>
      </w:r>
      <w:proofErr w:type="spellStart"/>
      <w:r w:rsidRPr="00747167">
        <w:t>of</w:t>
      </w:r>
      <w:proofErr w:type="spellEnd"/>
      <w:r w:rsidRPr="00747167">
        <w:t xml:space="preserve"> </w:t>
      </w:r>
      <w:proofErr w:type="spellStart"/>
      <w:r w:rsidRPr="00747167">
        <w:t>trip</w:t>
      </w:r>
      <w:proofErr w:type="spellEnd"/>
      <w:r w:rsidRPr="00747167">
        <w:t xml:space="preserve"> </w:t>
      </w:r>
      <w:proofErr w:type="spellStart"/>
      <w:r w:rsidRPr="00747167">
        <w:t>report</w:t>
      </w:r>
      <w:proofErr w:type="spellEnd"/>
      <w:r w:rsidRPr="00747167">
        <w:t xml:space="preserve"> </w:t>
      </w:r>
      <w:proofErr w:type="spellStart"/>
      <w:r w:rsidRPr="00747167">
        <w:t>to</w:t>
      </w:r>
      <w:proofErr w:type="spellEnd"/>
      <w:r w:rsidRPr="00747167">
        <w:t xml:space="preserve"> Montería, a </w:t>
      </w:r>
      <w:proofErr w:type="spellStart"/>
      <w:r w:rsidRPr="00747167">
        <w:t>Colombian</w:t>
      </w:r>
      <w:proofErr w:type="spellEnd"/>
      <w:r w:rsidRPr="00747167">
        <w:t xml:space="preserve"> </w:t>
      </w:r>
      <w:proofErr w:type="spellStart"/>
      <w:r w:rsidRPr="00747167">
        <w:t>paradise</w:t>
      </w:r>
      <w:proofErr w:type="spellEnd"/>
      <w:r w:rsidRPr="00747167">
        <w:t>)».</w:t>
      </w:r>
    </w:p>
  </w:footnote>
  <w:footnote w:id="618">
    <w:p w:rsidR="00591E90" w:rsidRPr="00747167" w:rsidRDefault="00591E90">
      <w:pPr>
        <w:pStyle w:val="Textonotapie"/>
        <w:rPr>
          <w:lang w:val="es-CO"/>
        </w:rPr>
      </w:pPr>
      <w:r>
        <w:rPr>
          <w:rStyle w:val="Refdenotaalpie"/>
        </w:rPr>
        <w:footnoteRef/>
      </w:r>
      <w:r>
        <w:t xml:space="preserve"> </w:t>
      </w:r>
      <w:r w:rsidRPr="00747167">
        <w:t>Por medio del Decreto-Ley 356 de 1994, «Por el cual se expide el Estatuto de Vigilancia y Seguridad Privada» y la resolución número 368 del 27 de abril de 1995 de la Superintendencia de Vigilancia y Seguridad Privada</w:t>
      </w:r>
    </w:p>
  </w:footnote>
  <w:footnote w:id="619">
    <w:p w:rsidR="00591E90" w:rsidRPr="00747167" w:rsidRDefault="00591E90">
      <w:pPr>
        <w:pStyle w:val="Textonotapie"/>
        <w:rPr>
          <w:lang w:val="es-CO"/>
        </w:rPr>
      </w:pPr>
      <w:r>
        <w:rPr>
          <w:rStyle w:val="Refdenotaalpie"/>
        </w:rPr>
        <w:footnoteRef/>
      </w:r>
      <w:r>
        <w:t xml:space="preserve"> </w:t>
      </w:r>
      <w:r w:rsidRPr="00747167">
        <w:t>Tribunal Superior de Bogotá, Sala de Justicia y Paz, Sentencia contra Hébert Veloza García, 30 de octubre de 2013.</w:t>
      </w:r>
    </w:p>
  </w:footnote>
  <w:footnote w:id="620">
    <w:p w:rsidR="00591E90" w:rsidRPr="006077AB" w:rsidRDefault="00591E90">
      <w:pPr>
        <w:pStyle w:val="Textonotapie"/>
        <w:rPr>
          <w:lang w:val="es-CO"/>
        </w:rPr>
      </w:pPr>
      <w:r>
        <w:rPr>
          <w:rStyle w:val="Refdenotaalpie"/>
        </w:rPr>
        <w:footnoteRef/>
      </w:r>
      <w:r>
        <w:t xml:space="preserve"> </w:t>
      </w:r>
      <w:r w:rsidRPr="006077AB">
        <w:t xml:space="preserve">Entrevista 671-PR-02282. Actor armado, familiar o testigo, </w:t>
      </w:r>
      <w:proofErr w:type="spellStart"/>
      <w:r w:rsidRPr="006077AB">
        <w:t>exnarcotraficante</w:t>
      </w:r>
      <w:proofErr w:type="spellEnd"/>
      <w:r w:rsidRPr="006077AB">
        <w:t xml:space="preserve"> y antiguo integrante de Los Pepes). Murphy S. y Peña, J., Caza al hombre. Cómo atrapamos a Pablo Escobar. </w:t>
      </w:r>
      <w:proofErr w:type="spellStart"/>
      <w:r w:rsidRPr="006077AB">
        <w:t>Bowden</w:t>
      </w:r>
      <w:proofErr w:type="spellEnd"/>
      <w:r w:rsidRPr="006077AB">
        <w:t>, Matar a Pablo. 621 Un informe de la Embajada de Estados Unidos en Colombia cuenta que este enfrentamiento entre 1992 y 1993 dejó un saldo de 147 Policías asesinados, 129 miembros del Cartel de Medellín asesinados por las fuerzas estatales o grupos rivales, 132 miembros del Cartel de Medellín arrestados y 27 miembros del Cartel de Medellín que se entregaron a las autoridades.</w:t>
      </w:r>
    </w:p>
  </w:footnote>
  <w:footnote w:id="621">
    <w:p w:rsidR="00591E90" w:rsidRPr="00067BF4" w:rsidRDefault="00591E90">
      <w:pPr>
        <w:pStyle w:val="Textonotapie"/>
        <w:rPr>
          <w:lang w:val="es-CO"/>
        </w:rPr>
      </w:pPr>
      <w:r>
        <w:rPr>
          <w:rStyle w:val="Refdenotaalpie"/>
        </w:rPr>
        <w:footnoteRef/>
      </w:r>
      <w:r w:rsidRPr="00067BF4">
        <w:rPr>
          <w:lang w:val="es-CO"/>
        </w:rPr>
        <w:t xml:space="preserve"> Un informe de la Embajada de Estados Unidos en Colombia cuenta que este enfrentamiento entre 1992 y 1993 dejó un saldo de 147 Policías asesinados, 129 miembros del Cartel de Medellín asesinados por las fuerzas estatales o grupos rivales, 132 miembros del Cartel de Medellín arrestados y 27 miembros del Cartel de Medellín que se entregaron a las autoridades.</w:t>
      </w:r>
    </w:p>
  </w:footnote>
  <w:footnote w:id="622">
    <w:p w:rsidR="00591E90" w:rsidRPr="00067BF4" w:rsidRDefault="00591E90">
      <w:pPr>
        <w:pStyle w:val="Textonotapie"/>
        <w:rPr>
          <w:lang w:val="en-US"/>
        </w:rPr>
      </w:pPr>
      <w:r>
        <w:rPr>
          <w:rStyle w:val="Refdenotaalpie"/>
        </w:rPr>
        <w:footnoteRef/>
      </w:r>
      <w:r w:rsidRPr="00067BF4">
        <w:rPr>
          <w:lang w:val="en-US"/>
        </w:rPr>
        <w:t xml:space="preserve"> Embassy cable, «Gomez Padilla Resigns; Impact on Future Operations Against the Cali Cartel», Secret/</w:t>
      </w:r>
      <w:proofErr w:type="spellStart"/>
      <w:r w:rsidRPr="00067BF4">
        <w:rPr>
          <w:lang w:val="en-US"/>
        </w:rPr>
        <w:t>Exdis</w:t>
      </w:r>
      <w:proofErr w:type="spellEnd"/>
      <w:r w:rsidRPr="00067BF4">
        <w:rPr>
          <w:lang w:val="en-US"/>
        </w:rPr>
        <w:t>, December 17, 1993; Embassy cable, «New National Police Chief Appointed», Confidential, December 20, 1993.</w:t>
      </w:r>
    </w:p>
  </w:footnote>
  <w:footnote w:id="623">
    <w:p w:rsidR="00591E90" w:rsidRPr="006077AB" w:rsidRDefault="00591E90">
      <w:pPr>
        <w:pStyle w:val="Textonotapie"/>
        <w:rPr>
          <w:lang w:val="es-CO"/>
        </w:rPr>
      </w:pPr>
      <w:r>
        <w:rPr>
          <w:rStyle w:val="Refdenotaalpie"/>
        </w:rPr>
        <w:footnoteRef/>
      </w:r>
      <w:r>
        <w:t xml:space="preserve"> </w:t>
      </w:r>
      <w:r w:rsidRPr="006077AB">
        <w:t>Como el de Carlos Castaño, jefe principal de las AUC, cuya intención de depurar a esta organización de cualquier conexión con el narcotráfico terminó fracasando, l punto que él se convirtió en uno de los principales sacrificados en la búsqueda de una resolución de la paradoja entre narcotraficantes o contrainsurgentes, pero no los dos cosas a la vez (Téllez y Lesmes, Pacto en la sombra).</w:t>
      </w:r>
    </w:p>
  </w:footnote>
  <w:footnote w:id="624">
    <w:p w:rsidR="00591E90" w:rsidRPr="00067BF4" w:rsidRDefault="00591E90">
      <w:pPr>
        <w:pStyle w:val="Textonotapie"/>
        <w:rPr>
          <w:lang w:val="es-CO"/>
        </w:rPr>
      </w:pPr>
      <w:r>
        <w:rPr>
          <w:rStyle w:val="Refdenotaalpie"/>
        </w:rPr>
        <w:footnoteRef/>
      </w:r>
      <w:r>
        <w:t xml:space="preserve"> </w:t>
      </w:r>
      <w:r w:rsidRPr="00067BF4">
        <w:t>El Espectador, «La receta criminal del Clan del Golfo: los factores detrás de su poderío».</w:t>
      </w:r>
    </w:p>
  </w:footnote>
  <w:footnote w:id="625">
    <w:p w:rsidR="00591E90" w:rsidRPr="00532056" w:rsidRDefault="00591E90">
      <w:pPr>
        <w:pStyle w:val="Textonotapie"/>
        <w:rPr>
          <w:lang w:val="es-CO"/>
        </w:rPr>
      </w:pPr>
      <w:r>
        <w:rPr>
          <w:rStyle w:val="Refdenotaalpie"/>
        </w:rPr>
        <w:footnoteRef/>
      </w:r>
      <w:r>
        <w:t xml:space="preserve"> </w:t>
      </w:r>
      <w:r w:rsidRPr="00532056">
        <w:t>Las presuntas redes de blanqueo estudiadas por la UIAF para las FARC-EP son seis casos en los que se cuentan posibles testaferros en establecimientos comerciales y otros donde se involucran un frente y dos comandantes. Se estudió, por ejemplo, un entramado de negocios que entregó recursos al Bloque Sur.</w:t>
      </w:r>
    </w:p>
  </w:footnote>
  <w:footnote w:id="626">
    <w:p w:rsidR="00591E90" w:rsidRPr="00532056" w:rsidRDefault="00591E90">
      <w:pPr>
        <w:pStyle w:val="Textonotapie"/>
        <w:rPr>
          <w:lang w:val="es-CO"/>
        </w:rPr>
      </w:pPr>
      <w:r>
        <w:rPr>
          <w:rStyle w:val="Refdenotaalpie"/>
        </w:rPr>
        <w:footnoteRef/>
      </w:r>
      <w:r>
        <w:t xml:space="preserve"> </w:t>
      </w:r>
      <w:r w:rsidRPr="00532056">
        <w:t xml:space="preserve"> Entrevista 084-PR-03529. Hombre, comandante del Clan del Golfo.</w:t>
      </w:r>
    </w:p>
  </w:footnote>
  <w:footnote w:id="627">
    <w:p w:rsidR="00591E90" w:rsidRPr="00532056" w:rsidRDefault="00591E90">
      <w:pPr>
        <w:pStyle w:val="Textonotapie"/>
        <w:rPr>
          <w:lang w:val="es-CO"/>
        </w:rPr>
      </w:pPr>
      <w:r>
        <w:rPr>
          <w:rStyle w:val="Refdenotaalpie"/>
        </w:rPr>
        <w:footnoteRef/>
      </w:r>
      <w:r>
        <w:t xml:space="preserve"> </w:t>
      </w:r>
      <w:r w:rsidRPr="004B045D">
        <w:t xml:space="preserve">Las historias entrelazadas con la coca de estos departamentos se pueden leer con más detenimiento en los apartados El empiezo: vida campesina antes de la coca y la marihuana. La historia de Caquetá también continúa en Enclave </w:t>
      </w:r>
      <w:proofErr w:type="spellStart"/>
      <w:r w:rsidRPr="004B045D">
        <w:t>Tranquilandia</w:t>
      </w:r>
      <w:proofErr w:type="spellEnd"/>
      <w:r w:rsidRPr="004B045D">
        <w:t xml:space="preserve"> en la Cuenca Sur (1977-1981) y Putumayo, El Azul, enclave cocalero del Medio Caquetá (1977-1991).</w:t>
      </w:r>
    </w:p>
  </w:footnote>
  <w:footnote w:id="628">
    <w:p w:rsidR="00591E90" w:rsidRPr="00781F60" w:rsidRDefault="00591E90">
      <w:pPr>
        <w:pStyle w:val="Textonotapie"/>
        <w:rPr>
          <w:lang w:val="es-CO"/>
        </w:rPr>
      </w:pPr>
      <w:r>
        <w:rPr>
          <w:rStyle w:val="Refdenotaalpie"/>
        </w:rPr>
        <w:footnoteRef/>
      </w:r>
      <w:r>
        <w:t xml:space="preserve"> </w:t>
      </w:r>
      <w:proofErr w:type="spellStart"/>
      <w:r w:rsidRPr="00781F60">
        <w:t>Unodc</w:t>
      </w:r>
      <w:proofErr w:type="spellEnd"/>
      <w:r w:rsidRPr="00781F60">
        <w:t>, Monitoreo de territorios afectados por cultivos ilícitos, 2021.</w:t>
      </w:r>
    </w:p>
  </w:footnote>
  <w:footnote w:id="629">
    <w:p w:rsidR="00591E90" w:rsidRPr="00781F60" w:rsidRDefault="00591E90">
      <w:pPr>
        <w:pStyle w:val="Textonotapie"/>
        <w:rPr>
          <w:lang w:val="es-CO"/>
        </w:rPr>
      </w:pPr>
      <w:r>
        <w:rPr>
          <w:rStyle w:val="Refdenotaalpie"/>
        </w:rPr>
        <w:footnoteRef/>
      </w:r>
      <w:r>
        <w:t xml:space="preserve"> </w:t>
      </w:r>
      <w:r w:rsidRPr="00781F60">
        <w:t>Presentación Técnica Oficina de las Naciones Unidas Contra la Droga y el Delito, Colombia: monitoreo de territorios afectados por cultivos ilícitos, Gobierno de Colombia, julio de 2021. Ver en: https://www.unodc.org/documents/colombia/2021/Julio/PPT_Presentacion_Tecnica.pdf</w:t>
      </w:r>
    </w:p>
  </w:footnote>
  <w:footnote w:id="630">
    <w:p w:rsidR="00591E90" w:rsidRPr="00781F60" w:rsidRDefault="00591E90">
      <w:pPr>
        <w:pStyle w:val="Textonotapie"/>
        <w:rPr>
          <w:lang w:val="es-CO"/>
        </w:rPr>
      </w:pPr>
      <w:r>
        <w:rPr>
          <w:rStyle w:val="Refdenotaalpie"/>
        </w:rPr>
        <w:footnoteRef/>
      </w:r>
      <w:r>
        <w:t xml:space="preserve"> </w:t>
      </w:r>
      <w:r w:rsidRPr="00781F60">
        <w:t>Presentación Técnica Oficina de las Naciones Unidas Contra la Droga y el Delito, Colombia: monitoreo de territorios afectados por cultivos ilícitos, Gobierno de Colombia, julio de 2021. Ver en: https://www.unodc.org/documents/colombia/2021/Julio/PPT_Presentacion_Tecnica.pdf</w:t>
      </w:r>
    </w:p>
  </w:footnote>
  <w:footnote w:id="631">
    <w:p w:rsidR="00591E90" w:rsidRPr="00781F60" w:rsidRDefault="00591E90">
      <w:pPr>
        <w:pStyle w:val="Textonotapie"/>
        <w:rPr>
          <w:lang w:val="es-CO"/>
        </w:rPr>
      </w:pPr>
      <w:r>
        <w:rPr>
          <w:rStyle w:val="Refdenotaalpie"/>
        </w:rPr>
        <w:footnoteRef/>
      </w:r>
      <w:r>
        <w:t xml:space="preserve"> </w:t>
      </w:r>
      <w:r w:rsidRPr="00781F60">
        <w:t>Entrevista 123-PR-00025. Exasesor de las AUC.</w:t>
      </w:r>
    </w:p>
  </w:footnote>
  <w:footnote w:id="632">
    <w:p w:rsidR="00591E90" w:rsidRPr="00C82005" w:rsidRDefault="00591E90">
      <w:pPr>
        <w:pStyle w:val="Textonotapie"/>
        <w:rPr>
          <w:lang w:val="es-CO"/>
        </w:rPr>
      </w:pPr>
      <w:r>
        <w:rPr>
          <w:rStyle w:val="Refdenotaalpie"/>
        </w:rPr>
        <w:footnoteRef/>
      </w:r>
      <w:r>
        <w:t xml:space="preserve"> </w:t>
      </w:r>
      <w:r w:rsidRPr="00C82005">
        <w:t>Guzmán y Muñoz, El gran cartel.</w:t>
      </w:r>
    </w:p>
  </w:footnote>
  <w:footnote w:id="633">
    <w:p w:rsidR="00591E90" w:rsidRPr="00C82005" w:rsidRDefault="00591E90">
      <w:pPr>
        <w:pStyle w:val="Textonotapie"/>
        <w:rPr>
          <w:lang w:val="es-CO"/>
        </w:rPr>
      </w:pPr>
      <w:r>
        <w:rPr>
          <w:rStyle w:val="Refdenotaalpie"/>
        </w:rPr>
        <w:footnoteRef/>
      </w:r>
      <w:r>
        <w:t xml:space="preserve"> </w:t>
      </w:r>
      <w:r w:rsidRPr="00C82005">
        <w:t>Entrevista 433-CO-00529. Exintegrantes del secretariado de las FARC-EP.</w:t>
      </w:r>
    </w:p>
  </w:footnote>
  <w:footnote w:id="634">
    <w:p w:rsidR="00591E90" w:rsidRPr="00C82005" w:rsidRDefault="00591E90">
      <w:pPr>
        <w:pStyle w:val="Textonotapie"/>
        <w:rPr>
          <w:lang w:val="es-CO"/>
        </w:rPr>
      </w:pPr>
      <w:r>
        <w:rPr>
          <w:rStyle w:val="Refdenotaalpie"/>
        </w:rPr>
        <w:footnoteRef/>
      </w:r>
      <w:r>
        <w:t xml:space="preserve"> </w:t>
      </w:r>
      <w:r w:rsidRPr="00C82005">
        <w:t xml:space="preserve">Esa idea dicotómica de guerras puramente por rentas o guerras puramente ideológicas ha venido superándose en el debate académico. </w:t>
      </w:r>
      <w:r w:rsidRPr="00C82005">
        <w:rPr>
          <w:lang w:val="en-US"/>
        </w:rPr>
        <w:t xml:space="preserve">Ver </w:t>
      </w:r>
      <w:proofErr w:type="spellStart"/>
      <w:r w:rsidRPr="00C82005">
        <w:rPr>
          <w:lang w:val="en-US"/>
        </w:rPr>
        <w:t>Kalyvas</w:t>
      </w:r>
      <w:proofErr w:type="spellEnd"/>
      <w:r w:rsidRPr="00C82005">
        <w:rPr>
          <w:lang w:val="en-US"/>
        </w:rPr>
        <w:t xml:space="preserve">, </w:t>
      </w:r>
      <w:proofErr w:type="gramStart"/>
      <w:r w:rsidRPr="00C82005">
        <w:rPr>
          <w:lang w:val="en-US"/>
        </w:rPr>
        <w:t>«“</w:t>
      </w:r>
      <w:proofErr w:type="gramEnd"/>
      <w:r w:rsidRPr="00C82005">
        <w:rPr>
          <w:lang w:val="en-US"/>
        </w:rPr>
        <w:t xml:space="preserve">New” and “old” civil wars. A valid </w:t>
      </w:r>
      <w:proofErr w:type="gramStart"/>
      <w:r w:rsidRPr="00C82005">
        <w:rPr>
          <w:lang w:val="en-US"/>
        </w:rPr>
        <w:t>distinction?»</w:t>
      </w:r>
      <w:proofErr w:type="gramEnd"/>
      <w:r w:rsidRPr="00C82005">
        <w:rPr>
          <w:lang w:val="en-US"/>
        </w:rPr>
        <w:t xml:space="preserve">, 99-118. </w:t>
      </w:r>
      <w:r w:rsidRPr="00C82005">
        <w:t xml:space="preserve">Y </w:t>
      </w:r>
      <w:proofErr w:type="spellStart"/>
      <w:r w:rsidRPr="00C82005">
        <w:t>Gutierrez</w:t>
      </w:r>
      <w:proofErr w:type="spellEnd"/>
      <w:r w:rsidRPr="00C82005">
        <w:t xml:space="preserve"> Sanín, ¿Un nuevo ciclo de guerra en Colombia?</w:t>
      </w:r>
    </w:p>
  </w:footnote>
  <w:footnote w:id="635">
    <w:p w:rsidR="00591E90" w:rsidRPr="00010241" w:rsidRDefault="00591E90">
      <w:pPr>
        <w:pStyle w:val="Textonotapie"/>
        <w:rPr>
          <w:lang w:val="es-CO"/>
        </w:rPr>
      </w:pPr>
      <w:r>
        <w:rPr>
          <w:rStyle w:val="Refdenotaalpie"/>
        </w:rPr>
        <w:footnoteRef/>
      </w:r>
      <w:r>
        <w:t xml:space="preserve"> </w:t>
      </w:r>
      <w:r w:rsidRPr="00010241">
        <w:t>Entrevista colectiva 433-CO-00284. Hombre, campesino participante de las marchas cocaleras.</w:t>
      </w:r>
    </w:p>
  </w:footnote>
  <w:footnote w:id="636">
    <w:p w:rsidR="00591E90" w:rsidRPr="00010241" w:rsidRDefault="00591E90">
      <w:pPr>
        <w:pStyle w:val="Textonotapie"/>
        <w:rPr>
          <w:lang w:val="es-CO"/>
        </w:rPr>
      </w:pPr>
      <w:r>
        <w:rPr>
          <w:rStyle w:val="Refdenotaalpie"/>
        </w:rPr>
        <w:footnoteRef/>
      </w:r>
      <w:r>
        <w:t xml:space="preserve"> </w:t>
      </w:r>
      <w:r w:rsidRPr="00010241">
        <w:t>Entrevista 433-CO-00529. Exintegrantes del secretariado de las FARC-EP.</w:t>
      </w:r>
    </w:p>
  </w:footnote>
  <w:footnote w:id="637">
    <w:p w:rsidR="00591E90" w:rsidRPr="00010241" w:rsidRDefault="00591E90">
      <w:pPr>
        <w:pStyle w:val="Textonotapie"/>
        <w:rPr>
          <w:lang w:val="es-CO"/>
        </w:rPr>
      </w:pPr>
      <w:r>
        <w:rPr>
          <w:rStyle w:val="Refdenotaalpie"/>
        </w:rPr>
        <w:footnoteRef/>
      </w:r>
      <w:r>
        <w:t xml:space="preserve"> </w:t>
      </w:r>
      <w:r w:rsidRPr="00010241">
        <w:t xml:space="preserve">Entrevista 153-PR-02026. Hombre, </w:t>
      </w:r>
      <w:proofErr w:type="spellStart"/>
      <w:r w:rsidRPr="00010241">
        <w:t>exfinanciero</w:t>
      </w:r>
      <w:proofErr w:type="spellEnd"/>
      <w:r w:rsidRPr="00010241">
        <w:t xml:space="preserve"> de las FARC-EP.</w:t>
      </w:r>
    </w:p>
  </w:footnote>
  <w:footnote w:id="638">
    <w:p w:rsidR="00591E90" w:rsidRPr="00010241" w:rsidRDefault="00591E90">
      <w:pPr>
        <w:pStyle w:val="Textonotapie"/>
        <w:rPr>
          <w:lang w:val="es-CO"/>
        </w:rPr>
      </w:pPr>
      <w:r>
        <w:rPr>
          <w:rStyle w:val="Refdenotaalpie"/>
        </w:rPr>
        <w:footnoteRef/>
      </w:r>
      <w:r>
        <w:t xml:space="preserve"> </w:t>
      </w:r>
      <w:r w:rsidRPr="005F5CA8">
        <w:t>Entrevista 432-AA-00001. Exmilitar, hombre.</w:t>
      </w:r>
    </w:p>
  </w:footnote>
  <w:footnote w:id="639">
    <w:p w:rsidR="00591E90" w:rsidRPr="00010241" w:rsidRDefault="00591E90">
      <w:pPr>
        <w:pStyle w:val="Textonotapie"/>
        <w:rPr>
          <w:lang w:val="es-CO"/>
        </w:rPr>
      </w:pPr>
      <w:r>
        <w:rPr>
          <w:rStyle w:val="Refdenotaalpie"/>
        </w:rPr>
        <w:footnoteRef/>
      </w:r>
      <w:r>
        <w:t xml:space="preserve"> </w:t>
      </w:r>
      <w:r w:rsidRPr="005F5CA8">
        <w:t xml:space="preserve">Entrevista 153-PR-02026. Hombre, </w:t>
      </w:r>
      <w:proofErr w:type="spellStart"/>
      <w:r w:rsidRPr="005F5CA8">
        <w:t>exfinanciero</w:t>
      </w:r>
      <w:proofErr w:type="spellEnd"/>
      <w:r w:rsidRPr="005F5CA8">
        <w:t xml:space="preserve"> de las FARC-EP.</w:t>
      </w:r>
    </w:p>
  </w:footnote>
  <w:footnote w:id="640">
    <w:p w:rsidR="00591E90" w:rsidRPr="005F5CA8" w:rsidRDefault="00591E90">
      <w:pPr>
        <w:pStyle w:val="Textonotapie"/>
        <w:rPr>
          <w:lang w:val="es-CO"/>
        </w:rPr>
      </w:pPr>
      <w:r>
        <w:rPr>
          <w:rStyle w:val="Refdenotaalpie"/>
        </w:rPr>
        <w:footnoteRef/>
      </w:r>
      <w:r>
        <w:t xml:space="preserve"> </w:t>
      </w:r>
      <w:r w:rsidRPr="005F5CA8">
        <w:t xml:space="preserve">Entrevista 280-VI-00023. Víctima, </w:t>
      </w:r>
      <w:proofErr w:type="spellStart"/>
      <w:r w:rsidRPr="005F5CA8">
        <w:t>exrecolector</w:t>
      </w:r>
      <w:proofErr w:type="spellEnd"/>
      <w:r w:rsidRPr="005F5CA8">
        <w:t xml:space="preserve"> de hoja de coca.</w:t>
      </w:r>
    </w:p>
  </w:footnote>
  <w:footnote w:id="641">
    <w:p w:rsidR="00591E90" w:rsidRPr="005F5CA8" w:rsidRDefault="00591E90">
      <w:pPr>
        <w:pStyle w:val="Textonotapie"/>
        <w:rPr>
          <w:lang w:val="es-CO"/>
        </w:rPr>
      </w:pPr>
      <w:r>
        <w:rPr>
          <w:rStyle w:val="Refdenotaalpie"/>
        </w:rPr>
        <w:footnoteRef/>
      </w:r>
      <w:r>
        <w:t xml:space="preserve"> </w:t>
      </w:r>
      <w:r w:rsidRPr="005F5CA8">
        <w:t>Entrevista 402-AA-00001. Excombatiente, FARC-EP.</w:t>
      </w:r>
    </w:p>
  </w:footnote>
  <w:footnote w:id="642">
    <w:p w:rsidR="00591E90" w:rsidRPr="005F5CA8" w:rsidRDefault="00591E90">
      <w:pPr>
        <w:pStyle w:val="Textonotapie"/>
        <w:rPr>
          <w:lang w:val="en-US"/>
        </w:rPr>
      </w:pPr>
      <w:r>
        <w:rPr>
          <w:rStyle w:val="Refdenotaalpie"/>
        </w:rPr>
        <w:footnoteRef/>
      </w:r>
      <w:r>
        <w:t xml:space="preserve"> </w:t>
      </w:r>
      <w:r w:rsidRPr="005F5CA8">
        <w:t xml:space="preserve">Cable. Departamento de Estado (Washington) a Embajada de los Estados Unidos (Bogotá), «P 192200Z», septiembre de 1994. </w:t>
      </w:r>
      <w:r w:rsidRPr="005F5CA8">
        <w:rPr>
          <w:lang w:val="en-US"/>
        </w:rPr>
        <w:t>Confidential, Colombia Documentation Project, The National Security Archive, Washington, D. C.</w:t>
      </w:r>
    </w:p>
  </w:footnote>
  <w:footnote w:id="643">
    <w:p w:rsidR="00591E90" w:rsidRPr="00502B4C" w:rsidRDefault="00591E90">
      <w:pPr>
        <w:pStyle w:val="Textonotapie"/>
        <w:rPr>
          <w:lang w:val="pt-BR"/>
        </w:rPr>
      </w:pPr>
      <w:r>
        <w:rPr>
          <w:rStyle w:val="Refdenotaalpie"/>
        </w:rPr>
        <w:footnoteRef/>
      </w:r>
      <w:r w:rsidRPr="00502B4C">
        <w:rPr>
          <w:lang w:val="pt-BR"/>
        </w:rPr>
        <w:t xml:space="preserve"> NSA, Almirante James T. </w:t>
      </w:r>
      <w:proofErr w:type="spellStart"/>
      <w:r w:rsidRPr="00502B4C">
        <w:rPr>
          <w:lang w:val="pt-BR"/>
        </w:rPr>
        <w:t>Loy</w:t>
      </w:r>
      <w:proofErr w:type="spellEnd"/>
      <w:r w:rsidRPr="00502B4C">
        <w:rPr>
          <w:lang w:val="pt-BR"/>
        </w:rPr>
        <w:t>. 1999.</w:t>
      </w:r>
    </w:p>
  </w:footnote>
  <w:footnote w:id="644">
    <w:p w:rsidR="00591E90" w:rsidRPr="00720AB9" w:rsidRDefault="00591E90">
      <w:pPr>
        <w:pStyle w:val="Textonotapie"/>
        <w:rPr>
          <w:lang w:val="es-CO"/>
        </w:rPr>
      </w:pPr>
      <w:r>
        <w:rPr>
          <w:rStyle w:val="Refdenotaalpie"/>
        </w:rPr>
        <w:footnoteRef/>
      </w:r>
      <w:r w:rsidRPr="00502B4C">
        <w:rPr>
          <w:lang w:val="pt-BR"/>
        </w:rPr>
        <w:t xml:space="preserve"> Entrevista 433-PR-03354. </w:t>
      </w:r>
      <w:r w:rsidRPr="00720AB9">
        <w:t>Hombre, excomandante de las FARC-EP.</w:t>
      </w:r>
    </w:p>
  </w:footnote>
  <w:footnote w:id="645">
    <w:p w:rsidR="00591E90" w:rsidRPr="00720AB9" w:rsidRDefault="00591E90">
      <w:pPr>
        <w:pStyle w:val="Textonotapie"/>
        <w:rPr>
          <w:lang w:val="es-CO"/>
        </w:rPr>
      </w:pPr>
      <w:r>
        <w:rPr>
          <w:rStyle w:val="Refdenotaalpie"/>
        </w:rPr>
        <w:footnoteRef/>
      </w:r>
      <w:r>
        <w:t xml:space="preserve"> </w:t>
      </w:r>
      <w:r w:rsidRPr="00720AB9">
        <w:t>Entrevista 068-AA-00001. Excombatiente FARC-EP, hombre.</w:t>
      </w:r>
    </w:p>
  </w:footnote>
  <w:footnote w:id="646">
    <w:p w:rsidR="00591E90" w:rsidRPr="00720AB9" w:rsidRDefault="00591E90">
      <w:pPr>
        <w:pStyle w:val="Textonotapie"/>
        <w:rPr>
          <w:lang w:val="pt-BR"/>
        </w:rPr>
      </w:pPr>
      <w:r>
        <w:rPr>
          <w:rStyle w:val="Refdenotaalpie"/>
        </w:rPr>
        <w:footnoteRef/>
      </w:r>
      <w:r w:rsidRPr="00720AB9">
        <w:rPr>
          <w:lang w:val="pt-BR"/>
        </w:rPr>
        <w:t xml:space="preserve"> Entrevista 084-PR-00430. </w:t>
      </w:r>
      <w:proofErr w:type="spellStart"/>
      <w:r w:rsidRPr="00720AB9">
        <w:rPr>
          <w:lang w:val="pt-BR"/>
        </w:rPr>
        <w:t>Excombatiente</w:t>
      </w:r>
      <w:proofErr w:type="spellEnd"/>
      <w:r w:rsidRPr="00720AB9">
        <w:rPr>
          <w:lang w:val="pt-BR"/>
        </w:rPr>
        <w:t>, FARC-EP.</w:t>
      </w:r>
    </w:p>
  </w:footnote>
  <w:footnote w:id="647">
    <w:p w:rsidR="00591E90" w:rsidRPr="00720AB9" w:rsidRDefault="00591E90">
      <w:pPr>
        <w:pStyle w:val="Textonotapie"/>
        <w:rPr>
          <w:lang w:val="pt-BR"/>
        </w:rPr>
      </w:pPr>
      <w:r>
        <w:rPr>
          <w:rStyle w:val="Refdenotaalpie"/>
        </w:rPr>
        <w:footnoteRef/>
      </w:r>
      <w:r w:rsidRPr="00720AB9">
        <w:rPr>
          <w:lang w:val="pt-BR"/>
        </w:rPr>
        <w:t xml:space="preserve"> Entrevista 153-PR-02026. </w:t>
      </w:r>
      <w:proofErr w:type="spellStart"/>
      <w:r w:rsidRPr="00720AB9">
        <w:rPr>
          <w:lang w:val="pt-BR"/>
        </w:rPr>
        <w:t>Excombatiente</w:t>
      </w:r>
      <w:proofErr w:type="spellEnd"/>
      <w:r w:rsidRPr="00720AB9">
        <w:rPr>
          <w:lang w:val="pt-BR"/>
        </w:rPr>
        <w:t>, FARC-EP.</w:t>
      </w:r>
    </w:p>
  </w:footnote>
  <w:footnote w:id="648">
    <w:p w:rsidR="00591E90" w:rsidRPr="00720AB9" w:rsidRDefault="00591E90">
      <w:pPr>
        <w:pStyle w:val="Textonotapie"/>
        <w:rPr>
          <w:lang w:val="es-CO"/>
        </w:rPr>
      </w:pPr>
      <w:r>
        <w:rPr>
          <w:rStyle w:val="Refdenotaalpie"/>
        </w:rPr>
        <w:footnoteRef/>
      </w:r>
      <w:r>
        <w:t xml:space="preserve"> </w:t>
      </w:r>
      <w:r w:rsidRPr="00720AB9">
        <w:t>Información reservada allegada a la CEV en el marco del convenio 002 del 2019 con el Ministerio de Defensa Nacional. Certificado 0065-13 del GAHD, Bloque Magdalena Medio de las FARC-EP.</w:t>
      </w:r>
    </w:p>
  </w:footnote>
  <w:footnote w:id="649">
    <w:p w:rsidR="00591E90" w:rsidRPr="00720AB9" w:rsidRDefault="00591E90">
      <w:pPr>
        <w:pStyle w:val="Textonotapie"/>
        <w:rPr>
          <w:lang w:val="es-CO"/>
        </w:rPr>
      </w:pPr>
      <w:r>
        <w:rPr>
          <w:rStyle w:val="Refdenotaalpie"/>
        </w:rPr>
        <w:footnoteRef/>
      </w:r>
      <w:r>
        <w:t xml:space="preserve"> </w:t>
      </w:r>
      <w:r w:rsidRPr="00720AB9">
        <w:t>Entrevista 089-AA-00004. Hombre, excombatiente del ELN.</w:t>
      </w:r>
    </w:p>
  </w:footnote>
  <w:footnote w:id="650">
    <w:p w:rsidR="00591E90" w:rsidRPr="00720AB9" w:rsidRDefault="00591E90">
      <w:pPr>
        <w:pStyle w:val="Textonotapie"/>
        <w:rPr>
          <w:lang w:val="es-CO"/>
        </w:rPr>
      </w:pPr>
      <w:r>
        <w:rPr>
          <w:rStyle w:val="Refdenotaalpie"/>
        </w:rPr>
        <w:footnoteRef/>
      </w:r>
      <w:r>
        <w:t xml:space="preserve"> </w:t>
      </w:r>
      <w:proofErr w:type="spellStart"/>
      <w:r w:rsidRPr="00720AB9">
        <w:t>Unodc</w:t>
      </w:r>
      <w:proofErr w:type="spellEnd"/>
      <w:r w:rsidRPr="00720AB9">
        <w:t>, Sistema de Monitoreo de Cultivos Ilícitos en Colombia 2021.</w:t>
      </w:r>
    </w:p>
  </w:footnote>
  <w:footnote w:id="651">
    <w:p w:rsidR="00591E90" w:rsidRPr="00720AB9" w:rsidRDefault="00591E90">
      <w:pPr>
        <w:pStyle w:val="Textonotapie"/>
        <w:rPr>
          <w:lang w:val="es-CO"/>
        </w:rPr>
      </w:pPr>
      <w:r>
        <w:rPr>
          <w:rStyle w:val="Refdenotaalpie"/>
        </w:rPr>
        <w:footnoteRef/>
      </w:r>
      <w:r>
        <w:t xml:space="preserve"> </w:t>
      </w:r>
      <w:r w:rsidRPr="00720AB9">
        <w:t xml:space="preserve">Fundación </w:t>
      </w:r>
      <w:proofErr w:type="spellStart"/>
      <w:r w:rsidRPr="00720AB9">
        <w:t>Conflict</w:t>
      </w:r>
      <w:proofErr w:type="spellEnd"/>
      <w:r w:rsidRPr="00720AB9">
        <w:t xml:space="preserve"> Responses, Las caras de las disidencias. Cinco años de incertidumbre y evolución. 2021; Indepaz, Informe sobre presencia de grupos armados en Colombia; Fundación Ideas para la Paz, Segunda Marquetalia: disidencias rearmados y un futuro incierto.</w:t>
      </w:r>
    </w:p>
  </w:footnote>
  <w:footnote w:id="652">
    <w:p w:rsidR="00591E90" w:rsidRPr="00720AB9" w:rsidRDefault="00591E90">
      <w:pPr>
        <w:pStyle w:val="Textonotapie"/>
        <w:rPr>
          <w:lang w:val="es-CO"/>
        </w:rPr>
      </w:pPr>
      <w:r>
        <w:rPr>
          <w:rStyle w:val="Refdenotaalpie"/>
        </w:rPr>
        <w:footnoteRef/>
      </w:r>
      <w:r>
        <w:t xml:space="preserve"> </w:t>
      </w:r>
      <w:r w:rsidRPr="00720AB9">
        <w:t>Se contempló: 1) asumir un deslinde categórico con las mafias del narcotráfico, 2) buscar un camino soberano para resolver el problema en Colombia que diferencia el intervencionismo de la política antidrogas de</w:t>
      </w:r>
      <w:r>
        <w:t xml:space="preserve"> </w:t>
      </w:r>
      <w:r w:rsidRPr="00720AB9">
        <w:t>los Estados Unidos, 3) no a la extradición, 4) favorecer políticas de sustitución de cultivos, restricción de comercio de narcóticos, rehabilitación de drogadictos y educación acerca de los daños que acarrea el consumo de drogas, 5) confrontar a la burguesía narcotraficante, 6) buscar una posición común en el movimiento revolucionario colombiano en términos de diferenciarse del narcotráfico, con la finalidad de legitimarse ante la comunidad internacional, y 7) propender hacia acuerdos que busquen crear instrumentos internacionales para superar el problema.</w:t>
      </w:r>
    </w:p>
  </w:footnote>
  <w:footnote w:id="653">
    <w:p w:rsidR="00591E90" w:rsidRPr="00720AB9" w:rsidRDefault="00591E90">
      <w:pPr>
        <w:pStyle w:val="Textonotapie"/>
        <w:rPr>
          <w:lang w:val="en-US"/>
        </w:rPr>
      </w:pPr>
      <w:r>
        <w:rPr>
          <w:rStyle w:val="Refdenotaalpie"/>
        </w:rPr>
        <w:footnoteRef/>
      </w:r>
      <w:r>
        <w:t xml:space="preserve"> </w:t>
      </w:r>
      <w:r w:rsidRPr="00720AB9">
        <w:t>Cable, Departamento de Estado (Washington) a Embajada de los Estados Unidos (Bogotá), «</w:t>
      </w:r>
      <w:r w:rsidRPr="00F03FA7">
        <w:rPr>
          <w:lang w:val="en-US"/>
        </w:rPr>
        <w:t>Elements of Colombian Insurgencies Increasingly Involved In Narcotics Trafficking</w:t>
      </w:r>
      <w:r w:rsidRPr="00720AB9">
        <w:t xml:space="preserve">», septiembre de 1994. </w:t>
      </w:r>
      <w:r w:rsidRPr="00720AB9">
        <w:rPr>
          <w:lang w:val="en-US"/>
        </w:rPr>
        <w:t>Colombia Documentation Project, The National Security Archive, Washington, D. C.</w:t>
      </w:r>
    </w:p>
  </w:footnote>
  <w:footnote w:id="654">
    <w:p w:rsidR="00591E90" w:rsidRPr="00402844" w:rsidRDefault="00591E90">
      <w:pPr>
        <w:pStyle w:val="Textonotapie"/>
        <w:rPr>
          <w:lang w:val="es-CO"/>
        </w:rPr>
      </w:pPr>
      <w:r>
        <w:rPr>
          <w:rStyle w:val="Refdenotaalpie"/>
        </w:rPr>
        <w:footnoteRef/>
      </w:r>
      <w:r>
        <w:t xml:space="preserve"> </w:t>
      </w:r>
      <w:r w:rsidRPr="00402844">
        <w:t>Entrevista 045-VI-00165. Víctima, mujer.</w:t>
      </w:r>
    </w:p>
  </w:footnote>
  <w:footnote w:id="655">
    <w:p w:rsidR="00591E90" w:rsidRPr="008A7083" w:rsidRDefault="00591E90">
      <w:pPr>
        <w:pStyle w:val="Textonotapie"/>
        <w:rPr>
          <w:lang w:val="es-CO"/>
        </w:rPr>
      </w:pPr>
      <w:r>
        <w:rPr>
          <w:rStyle w:val="Refdenotaalpie"/>
        </w:rPr>
        <w:footnoteRef/>
      </w:r>
      <w:r>
        <w:t xml:space="preserve"> </w:t>
      </w:r>
      <w:r w:rsidRPr="008A7083">
        <w:t>Procuraduría General de la Nación «Informe del Procurador General de la Nación Dr. Guillermo González Charry al Congreso Nacional», 28.</w:t>
      </w:r>
    </w:p>
  </w:footnote>
  <w:footnote w:id="656">
    <w:p w:rsidR="00591E90" w:rsidRPr="008A7083" w:rsidRDefault="00591E90" w:rsidP="008A7083">
      <w:pPr>
        <w:pStyle w:val="Textonotapie"/>
        <w:rPr>
          <w:lang w:val="es-CO"/>
        </w:rPr>
      </w:pPr>
      <w:r>
        <w:rPr>
          <w:rStyle w:val="Refdenotaalpie"/>
        </w:rPr>
        <w:footnoteRef/>
      </w:r>
      <w:r>
        <w:t xml:space="preserve"> Resolución Defensorial Nacional </w:t>
      </w:r>
      <w:proofErr w:type="spellStart"/>
      <w:r>
        <w:t>n.o</w:t>
      </w:r>
      <w:proofErr w:type="spellEnd"/>
      <w:r>
        <w:t xml:space="preserve"> 026, Acta 1-5 2002, octubre 9 de 2002; Acta 1-5 2002, 22 de noviembre de 2002; Acta 05, 510. También «Acta </w:t>
      </w:r>
      <w:proofErr w:type="spellStart"/>
      <w:r>
        <w:t>n.o</w:t>
      </w:r>
      <w:proofErr w:type="spellEnd"/>
      <w:r>
        <w:t xml:space="preserve"> 4. 1.o de noviembre de 2002». En Acta 1-5 2002; Actas 1-4 2004, 4, febrero de 2004; Una guerra adictiva, El experto antidrogas con pies de barro; Acta 1 2003, 27 de febrero de 2003.</w:t>
      </w:r>
    </w:p>
  </w:footnote>
  <w:footnote w:id="657">
    <w:p w:rsidR="00591E90" w:rsidRPr="008A7083" w:rsidRDefault="00591E90" w:rsidP="008A7083">
      <w:pPr>
        <w:pStyle w:val="Textonotapie"/>
        <w:rPr>
          <w:lang w:val="en-US"/>
        </w:rPr>
      </w:pPr>
      <w:r>
        <w:rPr>
          <w:rStyle w:val="Refdenotaalpie"/>
        </w:rPr>
        <w:footnoteRef/>
      </w:r>
      <w:r w:rsidRPr="008A7083">
        <w:rPr>
          <w:lang w:val="en-US"/>
        </w:rPr>
        <w:t xml:space="preserve"> Cable, UN Mission Geneva to State Department, «Discussions with Colombian narcotics officials», Confidential, February 1978, Colombia Documentation Project, The National Security Archive, Washington,</w:t>
      </w:r>
      <w:r>
        <w:rPr>
          <w:lang w:val="en-US"/>
        </w:rPr>
        <w:t xml:space="preserve"> </w:t>
      </w:r>
      <w:r w:rsidRPr="008A7083">
        <w:rPr>
          <w:lang w:val="en-US"/>
        </w:rPr>
        <w:t>D. C.</w:t>
      </w:r>
    </w:p>
  </w:footnote>
  <w:footnote w:id="658">
    <w:p w:rsidR="00591E90" w:rsidRPr="008A7083" w:rsidRDefault="00591E90">
      <w:pPr>
        <w:pStyle w:val="Textonotapie"/>
        <w:rPr>
          <w:lang w:val="es-CO"/>
        </w:rPr>
      </w:pPr>
      <w:r>
        <w:rPr>
          <w:rStyle w:val="Refdenotaalpie"/>
        </w:rPr>
        <w:footnoteRef/>
      </w:r>
      <w:r w:rsidRPr="008A7083">
        <w:rPr>
          <w:lang w:val="es-CO"/>
        </w:rPr>
        <w:t xml:space="preserve"> Acta CNE 1983, tomo 3, 34. Votaron por a favor el brigadier general (r) Álvaro Arenas Suárez (DAS); el mayor (r) Daniel Gómez Téllez, jefe de la División de Estupefacientes de la Aduana Nacional; Leonor Uribe de Villegas, de Bienestar Familiar; el coronel Jaime Ramírez Gómez; Nazly Lozano </w:t>
      </w:r>
      <w:proofErr w:type="spellStart"/>
      <w:r w:rsidRPr="008A7083">
        <w:rPr>
          <w:lang w:val="es-CO"/>
        </w:rPr>
        <w:t>Eljure</w:t>
      </w:r>
      <w:proofErr w:type="spellEnd"/>
      <w:r w:rsidRPr="008A7083">
        <w:rPr>
          <w:lang w:val="es-CO"/>
        </w:rPr>
        <w:t xml:space="preserve">, ministra de Justicia encargada; y el coronel Miguel Alfredo Maza Márquez, jefe del F2 de la Policía Nacional. La ministra de Salud encargada, María Cristina </w:t>
      </w:r>
      <w:proofErr w:type="spellStart"/>
      <w:r w:rsidRPr="008A7083">
        <w:rPr>
          <w:lang w:val="es-CO"/>
        </w:rPr>
        <w:t>Aitken</w:t>
      </w:r>
      <w:proofErr w:type="spellEnd"/>
      <w:r w:rsidRPr="008A7083">
        <w:rPr>
          <w:lang w:val="es-CO"/>
        </w:rPr>
        <w:t xml:space="preserve"> de Taborda, y Vicky Colbert de Arboleda (viceministra de Educación), votaron negativo. Acta </w:t>
      </w:r>
      <w:proofErr w:type="spellStart"/>
      <w:r w:rsidRPr="008A7083">
        <w:rPr>
          <w:lang w:val="es-CO"/>
        </w:rPr>
        <w:t>n.o</w:t>
      </w:r>
      <w:proofErr w:type="spellEnd"/>
      <w:r w:rsidRPr="008A7083">
        <w:rPr>
          <w:lang w:val="es-CO"/>
        </w:rPr>
        <w:t xml:space="preserve"> 8 del Consejo Nacional de Estupefacientes. 14 de mayo de 1984. Actas CNE 1984, tomo 1, 178.</w:t>
      </w:r>
    </w:p>
  </w:footnote>
  <w:footnote w:id="659">
    <w:p w:rsidR="00591E90" w:rsidRPr="008A7083" w:rsidRDefault="00591E90">
      <w:pPr>
        <w:pStyle w:val="Textonotapie"/>
        <w:rPr>
          <w:lang w:val="es-CO"/>
        </w:rPr>
      </w:pPr>
      <w:r>
        <w:rPr>
          <w:rStyle w:val="Refdenotaalpie"/>
        </w:rPr>
        <w:footnoteRef/>
      </w:r>
      <w:r>
        <w:t xml:space="preserve"> </w:t>
      </w:r>
      <w:r w:rsidRPr="008A7083">
        <w:t xml:space="preserve">Acta </w:t>
      </w:r>
      <w:proofErr w:type="spellStart"/>
      <w:r w:rsidRPr="008A7083">
        <w:t>n.o</w:t>
      </w:r>
      <w:proofErr w:type="spellEnd"/>
      <w:r w:rsidRPr="008A7083">
        <w:t xml:space="preserve"> 21. CNE, 20 de septiembre de 1984, 147. Actas CNE 1984, tomo 3, «Constancia de oposición del </w:t>
      </w:r>
      <w:proofErr w:type="spellStart"/>
      <w:r w:rsidRPr="008A7083">
        <w:t>Inderena</w:t>
      </w:r>
      <w:proofErr w:type="spellEnd"/>
      <w:r w:rsidRPr="008A7083">
        <w:t>. Carta de Margarita Marín de Botero al General Víctor Delgado Mallarino. Director General. Policía Nacional»,8</w:t>
      </w:r>
      <w:r>
        <w:t xml:space="preserve"> </w:t>
      </w:r>
      <w:r w:rsidRPr="008A7083">
        <w:t>de</w:t>
      </w:r>
      <w:r>
        <w:t xml:space="preserve"> </w:t>
      </w:r>
      <w:r w:rsidRPr="008A7083">
        <w:t>agosto.</w:t>
      </w:r>
      <w:r>
        <w:t xml:space="preserve"> </w:t>
      </w:r>
      <w:r w:rsidRPr="008A7083">
        <w:t>Disponible</w:t>
      </w:r>
      <w:r>
        <w:t xml:space="preserve"> </w:t>
      </w:r>
      <w:r w:rsidRPr="008A7083">
        <w:t>en: http://www.mamacoca.org/docs_de_base/Fumigas/Constancia_de_1984_de_oposicion_del_Inderena_a_fumi gacion.html</w:t>
      </w:r>
    </w:p>
  </w:footnote>
  <w:footnote w:id="660">
    <w:p w:rsidR="00591E90" w:rsidRPr="008A7083" w:rsidRDefault="00591E90">
      <w:pPr>
        <w:pStyle w:val="Textonotapie"/>
        <w:rPr>
          <w:lang w:val="en-US"/>
        </w:rPr>
      </w:pPr>
      <w:r>
        <w:rPr>
          <w:rStyle w:val="Refdenotaalpie"/>
        </w:rPr>
        <w:footnoteRef/>
      </w:r>
      <w:r w:rsidRPr="008A7083">
        <w:rPr>
          <w:lang w:val="en-US"/>
        </w:rPr>
        <w:t xml:space="preserve"> Cable, U.S. Embassy Bogota to the State Department (Washington). </w:t>
      </w:r>
      <w:proofErr w:type="spellStart"/>
      <w:r w:rsidRPr="008A7083">
        <w:rPr>
          <w:lang w:val="en-US"/>
        </w:rPr>
        <w:t>Counternarcotics</w:t>
      </w:r>
      <w:proofErr w:type="spellEnd"/>
      <w:r w:rsidRPr="008A7083">
        <w:rPr>
          <w:lang w:val="en-US"/>
        </w:rPr>
        <w:t xml:space="preserve"> Center (CNC), visit to Colombia April, 23-28, 3 April 1997. Colombia Documentation Project, The National Security Archive, Washington, D. C.</w:t>
      </w:r>
    </w:p>
  </w:footnote>
  <w:footnote w:id="661">
    <w:p w:rsidR="00591E90" w:rsidRPr="008A7083" w:rsidRDefault="00591E90">
      <w:pPr>
        <w:pStyle w:val="Textonotapie"/>
        <w:rPr>
          <w:lang w:val="es-CO"/>
        </w:rPr>
      </w:pPr>
      <w:r>
        <w:rPr>
          <w:rStyle w:val="Refdenotaalpie"/>
        </w:rPr>
        <w:footnoteRef/>
      </w:r>
      <w:r>
        <w:t xml:space="preserve"> </w:t>
      </w:r>
      <w:r w:rsidRPr="008A7083">
        <w:t xml:space="preserve">Resolución Defensorial Nacional </w:t>
      </w:r>
      <w:proofErr w:type="spellStart"/>
      <w:r w:rsidRPr="008A7083">
        <w:t>n.o</w:t>
      </w:r>
      <w:proofErr w:type="spellEnd"/>
      <w:r w:rsidRPr="008A7083">
        <w:t>. 026.</w:t>
      </w:r>
    </w:p>
  </w:footnote>
  <w:footnote w:id="662">
    <w:p w:rsidR="00591E90" w:rsidRPr="008A7083" w:rsidRDefault="00591E90">
      <w:pPr>
        <w:pStyle w:val="Textonotapie"/>
        <w:rPr>
          <w:lang w:val="es-CO"/>
        </w:rPr>
      </w:pPr>
      <w:r>
        <w:rPr>
          <w:rStyle w:val="Refdenotaalpie"/>
        </w:rPr>
        <w:footnoteRef/>
      </w:r>
      <w:r>
        <w:t xml:space="preserve"> </w:t>
      </w:r>
      <w:r w:rsidRPr="008A7083">
        <w:t>Acta 1-5 2002, 1.o de noviembre de 2002.</w:t>
      </w:r>
    </w:p>
  </w:footnote>
  <w:footnote w:id="663">
    <w:p w:rsidR="00591E90" w:rsidRPr="008A7083" w:rsidRDefault="00591E90">
      <w:pPr>
        <w:pStyle w:val="Textonotapie"/>
        <w:rPr>
          <w:lang w:val="es-CO"/>
        </w:rPr>
      </w:pPr>
      <w:r>
        <w:rPr>
          <w:rStyle w:val="Refdenotaalpie"/>
        </w:rPr>
        <w:footnoteRef/>
      </w:r>
      <w:r>
        <w:t xml:space="preserve"> </w:t>
      </w:r>
      <w:r w:rsidRPr="008A7083">
        <w:t xml:space="preserve">Resolución Defensorial Nacional </w:t>
      </w:r>
      <w:proofErr w:type="spellStart"/>
      <w:r w:rsidRPr="008A7083">
        <w:t>n.o</w:t>
      </w:r>
      <w:proofErr w:type="spellEnd"/>
      <w:r w:rsidRPr="008A7083">
        <w:t xml:space="preserve"> 026. Acta 1-5 2002. 9 de octubre de 2002, 276.</w:t>
      </w:r>
    </w:p>
  </w:footnote>
  <w:footnote w:id="664">
    <w:p w:rsidR="00591E90" w:rsidRPr="008A7083" w:rsidRDefault="00591E90">
      <w:pPr>
        <w:pStyle w:val="Textonotapie"/>
        <w:rPr>
          <w:lang w:val="es-CO"/>
        </w:rPr>
      </w:pPr>
      <w:r>
        <w:rPr>
          <w:rStyle w:val="Refdenotaalpie"/>
        </w:rPr>
        <w:footnoteRef/>
      </w:r>
      <w:r>
        <w:t xml:space="preserve"> </w:t>
      </w:r>
      <w:r w:rsidRPr="008A7083">
        <w:t>Programa social y político para la construcción de paz y desarrollo, heredado de la experiencia exitosa del mismo programa en el Magdalena Medio (</w:t>
      </w:r>
      <w:proofErr w:type="spellStart"/>
      <w:r w:rsidRPr="008A7083">
        <w:t>Pdpmm</w:t>
      </w:r>
      <w:proofErr w:type="spellEnd"/>
      <w:r w:rsidRPr="008A7083">
        <w:t>).</w:t>
      </w:r>
    </w:p>
  </w:footnote>
  <w:footnote w:id="665">
    <w:p w:rsidR="00591E90" w:rsidRPr="008A7083" w:rsidRDefault="00591E90">
      <w:pPr>
        <w:pStyle w:val="Textonotapie"/>
        <w:rPr>
          <w:lang w:val="es-CO"/>
        </w:rPr>
      </w:pPr>
      <w:r>
        <w:rPr>
          <w:rStyle w:val="Refdenotaalpie"/>
        </w:rPr>
        <w:footnoteRef/>
      </w:r>
      <w:r>
        <w:t xml:space="preserve"> </w:t>
      </w:r>
      <w:r w:rsidRPr="008A7083">
        <w:t>Acta 2-4 2003, 4 de abril, 166, 175.</w:t>
      </w:r>
    </w:p>
  </w:footnote>
  <w:footnote w:id="666">
    <w:p w:rsidR="00591E90" w:rsidRPr="008A7083" w:rsidRDefault="00591E90">
      <w:pPr>
        <w:pStyle w:val="Textonotapie"/>
        <w:rPr>
          <w:lang w:val="es-CO"/>
        </w:rPr>
      </w:pPr>
      <w:r>
        <w:rPr>
          <w:rStyle w:val="Refdenotaalpie"/>
        </w:rPr>
        <w:footnoteRef/>
      </w:r>
      <w:r>
        <w:t xml:space="preserve"> </w:t>
      </w:r>
      <w:r w:rsidRPr="008A7083">
        <w:t>Acta 2-4 2003, 4 de abril, 166, 167.</w:t>
      </w:r>
    </w:p>
  </w:footnote>
  <w:footnote w:id="667">
    <w:p w:rsidR="00591E90" w:rsidRPr="00A55B1A" w:rsidRDefault="00591E90">
      <w:pPr>
        <w:pStyle w:val="Textonotapie"/>
        <w:rPr>
          <w:lang w:val="es-CO"/>
        </w:rPr>
      </w:pPr>
      <w:r>
        <w:rPr>
          <w:rStyle w:val="Refdenotaalpie"/>
        </w:rPr>
        <w:footnoteRef/>
      </w:r>
      <w:r>
        <w:t xml:space="preserve"> </w:t>
      </w:r>
      <w:r w:rsidRPr="00A55B1A">
        <w:t>Acta CNE 1-5 2002, 22 de noviembre de 2002, acta 1, 514.</w:t>
      </w:r>
    </w:p>
  </w:footnote>
  <w:footnote w:id="668">
    <w:p w:rsidR="00591E90" w:rsidRPr="00A55B1A" w:rsidRDefault="00591E90">
      <w:pPr>
        <w:pStyle w:val="Textonotapie"/>
        <w:rPr>
          <w:lang w:val="es-CO"/>
        </w:rPr>
      </w:pPr>
      <w:r>
        <w:rPr>
          <w:rStyle w:val="Refdenotaalpie"/>
        </w:rPr>
        <w:footnoteRef/>
      </w:r>
      <w:r>
        <w:t xml:space="preserve"> </w:t>
      </w:r>
      <w:r w:rsidRPr="00A55B1A">
        <w:t>El Consejo Nacional de Estupefacientes, en su Resolución 0015 de 2005, dijo: «1) sea sometida a consideración del CNE la caracterización previa del parque respectivo; 2) se efectúen las respectivas consultas previas con los pueblos indígenas; 3) se certifique por parte de la Policía Nacional-Dirección Antinarcóticos el crecimiento de cultivos ilícitos; 4) se informe por parte de la Policía Nacional- Dirección Antinarcóticos que existen riesgos para la erradicación manual o que las condiciones topográficas no permiten que se desarrolle esta como se tiene previsto. Al respecto existen tres documentos adelantados por la unidad de PNN: 1) el Auto 062 de 1006; la resolución 1742 de 2006 el cual da inicio a una investigación de carácter administrativo y ambiental contra el DNE y la Dirección de antinarcóticos de la Policía Nacional» (González-Plazas, La erradicación manual de cultivos ilícitos en la sierra de La Macarena: un ejercicio sobre la futilidad de las políticas, 23.</w:t>
      </w:r>
    </w:p>
  </w:footnote>
  <w:footnote w:id="669">
    <w:p w:rsidR="00591E90" w:rsidRPr="00A55B1A" w:rsidRDefault="00591E90">
      <w:pPr>
        <w:pStyle w:val="Textonotapie"/>
        <w:rPr>
          <w:lang w:val="es-CO"/>
        </w:rPr>
      </w:pPr>
      <w:r>
        <w:rPr>
          <w:rStyle w:val="Refdenotaalpie"/>
        </w:rPr>
        <w:footnoteRef/>
      </w:r>
      <w:r>
        <w:t xml:space="preserve"> </w:t>
      </w:r>
      <w:r w:rsidRPr="00A55B1A">
        <w:t>Entrevista 727-PR-03328. Exfuncionario.</w:t>
      </w:r>
    </w:p>
  </w:footnote>
  <w:footnote w:id="670">
    <w:p w:rsidR="00591E90" w:rsidRPr="00A55B1A" w:rsidRDefault="00591E90">
      <w:pPr>
        <w:pStyle w:val="Textonotapie"/>
        <w:rPr>
          <w:lang w:val="es-CO"/>
        </w:rPr>
      </w:pPr>
      <w:r>
        <w:rPr>
          <w:rStyle w:val="Refdenotaalpie"/>
        </w:rPr>
        <w:footnoteRef/>
      </w:r>
      <w:r>
        <w:t xml:space="preserve"> </w:t>
      </w:r>
      <w:r w:rsidRPr="00A55B1A">
        <w:t>Una Guerra Adictiva, «El experimento antidrogas con pies de barro</w:t>
      </w:r>
      <w:proofErr w:type="gramStart"/>
      <w:r w:rsidRPr="00A55B1A">
        <w:t>»,.</w:t>
      </w:r>
      <w:proofErr w:type="gramEnd"/>
      <w:r w:rsidRPr="00A55B1A">
        <w:t xml:space="preserve"> 2021, disponible en: https://una- guerra-adictiva.elclip.org/el-experto-antidrogas-con-pies-de-barro.html.</w:t>
      </w:r>
    </w:p>
  </w:footnote>
  <w:footnote w:id="671">
    <w:p w:rsidR="00591E90" w:rsidRPr="00A55B1A" w:rsidRDefault="00591E90">
      <w:pPr>
        <w:pStyle w:val="Textonotapie"/>
        <w:rPr>
          <w:lang w:val="es-CO"/>
        </w:rPr>
      </w:pPr>
      <w:r>
        <w:rPr>
          <w:rStyle w:val="Refdenotaalpie"/>
        </w:rPr>
        <w:footnoteRef/>
      </w:r>
      <w:r>
        <w:t xml:space="preserve"> </w:t>
      </w:r>
      <w:r w:rsidRPr="00A55B1A">
        <w:t xml:space="preserve">Los Informes Defensoriales 1 y 2 de febrero y abril de 2001, de la Delegada para los Derechos Colectivos y del Ambiente; la Resolución Defensorial </w:t>
      </w:r>
      <w:proofErr w:type="spellStart"/>
      <w:r w:rsidRPr="00A55B1A">
        <w:t>n.o</w:t>
      </w:r>
      <w:proofErr w:type="spellEnd"/>
      <w:r w:rsidRPr="00A55B1A">
        <w:t xml:space="preserve"> 4 de febrero de 2001, las comunicaciones al Ministro de Justicia y el Derecho de mayo y julio de 2001. Lacera Rúa, Registro de anormalidades congénitas. Lacera Rúa, Sierra Nevada, Marihuana, Glifosato y otras cosas.</w:t>
      </w:r>
    </w:p>
  </w:footnote>
  <w:footnote w:id="672">
    <w:p w:rsidR="00591E90" w:rsidRPr="00A55B1A" w:rsidRDefault="00591E90">
      <w:pPr>
        <w:pStyle w:val="Textonotapie"/>
        <w:rPr>
          <w:lang w:val="es-CO"/>
        </w:rPr>
      </w:pPr>
      <w:r>
        <w:rPr>
          <w:rStyle w:val="Refdenotaalpie"/>
        </w:rPr>
        <w:footnoteRef/>
      </w:r>
      <w:r>
        <w:t xml:space="preserve"> </w:t>
      </w:r>
      <w:r w:rsidRPr="0036054D">
        <w:t>Lacera Rúa, Sierra Nevada, Marihuana, Glifosato y otras cosas, 90-91.</w:t>
      </w:r>
    </w:p>
  </w:footnote>
  <w:footnote w:id="673">
    <w:p w:rsidR="00591E90" w:rsidRPr="0036054D" w:rsidRDefault="00591E90">
      <w:pPr>
        <w:pStyle w:val="Textonotapie"/>
        <w:rPr>
          <w:lang w:val="es-CO"/>
        </w:rPr>
      </w:pPr>
      <w:r>
        <w:rPr>
          <w:rStyle w:val="Refdenotaalpie"/>
        </w:rPr>
        <w:footnoteRef/>
      </w:r>
      <w:r>
        <w:t xml:space="preserve"> </w:t>
      </w:r>
      <w:r w:rsidRPr="0036054D">
        <w:t xml:space="preserve">Los Informes Defensoriales 1 y 2 de febrero y abril de 2001, de la Delegada para los Derechos Colectivos y del Ambiente; la Resolución Defensorial </w:t>
      </w:r>
      <w:proofErr w:type="spellStart"/>
      <w:r w:rsidRPr="0036054D">
        <w:t>n.o</w:t>
      </w:r>
      <w:proofErr w:type="spellEnd"/>
      <w:r w:rsidRPr="0036054D">
        <w:t xml:space="preserve"> 4 de febrero de 2001, las comunicaciones al Ministro </w:t>
      </w:r>
      <w:proofErr w:type="spellStart"/>
      <w:r w:rsidRPr="0036054D">
        <w:t>del</w:t>
      </w:r>
      <w:proofErr w:type="spellEnd"/>
      <w:r w:rsidRPr="0036054D">
        <w:t xml:space="preserve"> Justicia y el Derecho de mayo y julio de 2001.</w:t>
      </w:r>
    </w:p>
  </w:footnote>
  <w:footnote w:id="674">
    <w:p w:rsidR="00591E90" w:rsidRPr="0036054D" w:rsidRDefault="00591E90">
      <w:pPr>
        <w:pStyle w:val="Textonotapie"/>
        <w:rPr>
          <w:lang w:val="es-CO"/>
        </w:rPr>
      </w:pPr>
      <w:r>
        <w:rPr>
          <w:rStyle w:val="Refdenotaalpie"/>
        </w:rPr>
        <w:footnoteRef/>
      </w:r>
      <w:r>
        <w:t xml:space="preserve"> </w:t>
      </w:r>
      <w:r w:rsidRPr="0036054D">
        <w:t>Entrevista 267-VI-00010. Víctima; entrevista 061-VI-00007. Gobernadora awá); entrevista 060-VI-00003. Víctima; entrevista 232-VI-00023. Víctima, mujer.</w:t>
      </w:r>
    </w:p>
  </w:footnote>
  <w:footnote w:id="675">
    <w:p w:rsidR="00591E90" w:rsidRPr="0036054D" w:rsidRDefault="00591E90">
      <w:pPr>
        <w:pStyle w:val="Textonotapie"/>
        <w:rPr>
          <w:lang w:val="es-CO"/>
        </w:rPr>
      </w:pPr>
      <w:r>
        <w:rPr>
          <w:rStyle w:val="Refdenotaalpie"/>
        </w:rPr>
        <w:footnoteRef/>
      </w:r>
      <w:r>
        <w:t xml:space="preserve"> </w:t>
      </w:r>
      <w:r w:rsidRPr="0036054D">
        <w:t>Los impactos de las fumigaciones en la frontera ecuatoriana, Adolfo Maldonado, acción ecológica junio de 2001.</w:t>
      </w:r>
    </w:p>
  </w:footnote>
  <w:footnote w:id="676">
    <w:p w:rsidR="00591E90" w:rsidRPr="0036054D" w:rsidRDefault="00591E90">
      <w:pPr>
        <w:pStyle w:val="Textonotapie"/>
        <w:rPr>
          <w:lang w:val="es-CO"/>
        </w:rPr>
      </w:pPr>
      <w:r>
        <w:rPr>
          <w:rStyle w:val="Refdenotaalpie"/>
        </w:rPr>
        <w:footnoteRef/>
      </w:r>
      <w:r>
        <w:t xml:space="preserve"> </w:t>
      </w:r>
      <w:r w:rsidRPr="0036054D">
        <w:t xml:space="preserve">Tribunal Distrital </w:t>
      </w:r>
      <w:proofErr w:type="spellStart"/>
      <w:r w:rsidRPr="0036054D">
        <w:t>n.o</w:t>
      </w:r>
      <w:proofErr w:type="spellEnd"/>
      <w:r w:rsidRPr="0036054D">
        <w:t xml:space="preserve"> 1 de lo Contencioso Administrativo de Quito. Acción de Amparo Constitucional por fumigaciones en frontera colombo-ecuatoriana.</w:t>
      </w:r>
    </w:p>
  </w:footnote>
  <w:footnote w:id="677">
    <w:p w:rsidR="00591E90" w:rsidRPr="0036054D" w:rsidRDefault="00591E90">
      <w:pPr>
        <w:pStyle w:val="Textonotapie"/>
        <w:rPr>
          <w:lang w:val="es-CO"/>
        </w:rPr>
      </w:pPr>
      <w:r>
        <w:rPr>
          <w:rStyle w:val="Refdenotaalpie"/>
        </w:rPr>
        <w:footnoteRef/>
      </w:r>
      <w:r>
        <w:t xml:space="preserve"> </w:t>
      </w:r>
      <w:r w:rsidRPr="0063484F">
        <w:t>Adolfo Maldonado, Daños genéticos en la frontera de Ecuador por las fumigaciones del Plan Colombia.</w:t>
      </w:r>
    </w:p>
  </w:footnote>
  <w:footnote w:id="678">
    <w:p w:rsidR="00591E90" w:rsidRPr="0036054D" w:rsidRDefault="00591E90">
      <w:pPr>
        <w:pStyle w:val="Textonotapie"/>
        <w:rPr>
          <w:lang w:val="es-CO"/>
        </w:rPr>
      </w:pPr>
      <w:r>
        <w:rPr>
          <w:rStyle w:val="Refdenotaalpie"/>
        </w:rPr>
        <w:footnoteRef/>
      </w:r>
      <w:r>
        <w:t xml:space="preserve"> </w:t>
      </w:r>
      <w:r w:rsidRPr="0063484F">
        <w:t>Entrevista 232-VI-00026. Víctima, mujer.</w:t>
      </w:r>
    </w:p>
  </w:footnote>
  <w:footnote w:id="679">
    <w:p w:rsidR="00591E90" w:rsidRPr="0036054D" w:rsidRDefault="00591E90">
      <w:pPr>
        <w:pStyle w:val="Textonotapie"/>
        <w:rPr>
          <w:lang w:val="es-CO"/>
        </w:rPr>
      </w:pPr>
      <w:r>
        <w:rPr>
          <w:rStyle w:val="Refdenotaalpie"/>
        </w:rPr>
        <w:footnoteRef/>
      </w:r>
      <w:r>
        <w:t xml:space="preserve"> </w:t>
      </w:r>
      <w:r w:rsidRPr="0063484F">
        <w:t>Entrevista 070-VI-00046. Víctima; entrevista 267-VI-00010. Víctima; entrevista 070-VI-00044. Víctima.</w:t>
      </w:r>
    </w:p>
  </w:footnote>
  <w:footnote w:id="680">
    <w:p w:rsidR="00591E90" w:rsidRPr="0036054D" w:rsidRDefault="00591E90">
      <w:pPr>
        <w:pStyle w:val="Textonotapie"/>
        <w:rPr>
          <w:lang w:val="es-CO"/>
        </w:rPr>
      </w:pPr>
      <w:r>
        <w:rPr>
          <w:rStyle w:val="Refdenotaalpie"/>
        </w:rPr>
        <w:footnoteRef/>
      </w:r>
      <w:r>
        <w:t xml:space="preserve"> </w:t>
      </w:r>
      <w:r w:rsidRPr="0063484F">
        <w:t>Fuente de información suministrada por el Ministerio de Defensa Nacional en 2017.</w:t>
      </w:r>
    </w:p>
  </w:footnote>
  <w:footnote w:id="681">
    <w:p w:rsidR="00591E90" w:rsidRPr="0063484F" w:rsidRDefault="00591E90">
      <w:pPr>
        <w:pStyle w:val="Textonotapie"/>
        <w:rPr>
          <w:lang w:val="es-CO"/>
        </w:rPr>
      </w:pPr>
      <w:r>
        <w:rPr>
          <w:rStyle w:val="Refdenotaalpie"/>
        </w:rPr>
        <w:footnoteRef/>
      </w:r>
      <w:r>
        <w:t xml:space="preserve"> </w:t>
      </w:r>
      <w:r w:rsidRPr="0063484F">
        <w:t>Elaboración Analítica SIM con base en datos del Observatorio de Drogas de Colombia.</w:t>
      </w:r>
    </w:p>
  </w:footnote>
  <w:footnote w:id="682">
    <w:p w:rsidR="00591E90" w:rsidRPr="0063484F" w:rsidRDefault="00591E90">
      <w:pPr>
        <w:pStyle w:val="Textonotapie"/>
        <w:rPr>
          <w:lang w:val="es-CO"/>
        </w:rPr>
      </w:pPr>
      <w:r>
        <w:rPr>
          <w:rStyle w:val="Refdenotaalpie"/>
        </w:rPr>
        <w:footnoteRef/>
      </w:r>
      <w:r>
        <w:t xml:space="preserve"> </w:t>
      </w:r>
      <w:r w:rsidRPr="0063484F">
        <w:t>Entrevista colectiva 432-CO-00965; entrevista colectiva 432-CO-00966; entrevista colectiva 432-CO- 00969.</w:t>
      </w:r>
    </w:p>
  </w:footnote>
  <w:footnote w:id="683">
    <w:p w:rsidR="00591E90" w:rsidRPr="0063484F" w:rsidRDefault="00591E90">
      <w:pPr>
        <w:pStyle w:val="Textonotapie"/>
        <w:rPr>
          <w:lang w:val="es-CO"/>
        </w:rPr>
      </w:pPr>
      <w:r>
        <w:rPr>
          <w:rStyle w:val="Refdenotaalpie"/>
        </w:rPr>
        <w:footnoteRef/>
      </w:r>
      <w:r>
        <w:t xml:space="preserve"> E</w:t>
      </w:r>
      <w:r w:rsidRPr="0063484F">
        <w:t>ntrevista 188-VI-00013. Víctima, hombre.</w:t>
      </w:r>
    </w:p>
  </w:footnote>
  <w:footnote w:id="684">
    <w:p w:rsidR="00591E90" w:rsidRPr="00EB1D29" w:rsidRDefault="00591E90">
      <w:pPr>
        <w:pStyle w:val="Textonotapie"/>
        <w:rPr>
          <w:lang w:val="es-CO"/>
        </w:rPr>
      </w:pPr>
      <w:r>
        <w:rPr>
          <w:rStyle w:val="Refdenotaalpie"/>
        </w:rPr>
        <w:footnoteRef/>
      </w:r>
      <w:r>
        <w:t xml:space="preserve"> </w:t>
      </w:r>
      <w:r w:rsidRPr="00EB1D29">
        <w:t>Entrevista 198-VI-00022. Víctima.</w:t>
      </w:r>
    </w:p>
  </w:footnote>
  <w:footnote w:id="685">
    <w:p w:rsidR="00591E90" w:rsidRPr="00EB1D29" w:rsidRDefault="00591E90">
      <w:pPr>
        <w:pStyle w:val="Textonotapie"/>
        <w:rPr>
          <w:lang w:val="es-CO"/>
        </w:rPr>
      </w:pPr>
      <w:r>
        <w:rPr>
          <w:rStyle w:val="Refdenotaalpie"/>
        </w:rPr>
        <w:footnoteRef/>
      </w:r>
      <w:r>
        <w:t xml:space="preserve"> </w:t>
      </w:r>
      <w:r w:rsidRPr="00EB1D29">
        <w:t>Entrevista 061-VI-00007. Gobernadora awá.</w:t>
      </w:r>
    </w:p>
  </w:footnote>
  <w:footnote w:id="686">
    <w:p w:rsidR="00591E90" w:rsidRPr="00EB1D29" w:rsidRDefault="00591E90">
      <w:pPr>
        <w:pStyle w:val="Textonotapie"/>
        <w:rPr>
          <w:lang w:val="es-CO"/>
        </w:rPr>
      </w:pPr>
      <w:r>
        <w:rPr>
          <w:rStyle w:val="Refdenotaalpie"/>
        </w:rPr>
        <w:footnoteRef/>
      </w:r>
      <w:r>
        <w:t xml:space="preserve"> </w:t>
      </w:r>
      <w:r w:rsidRPr="00EB1D29">
        <w:t>https://www.wola.org/es/analisis/aun-si-el-glifosato-no-fuera-cancerígeno-las-fumigaciones-aéreas- todavía-serían-una-mala-idea/.</w:t>
      </w:r>
    </w:p>
  </w:footnote>
  <w:footnote w:id="687">
    <w:p w:rsidR="00591E90" w:rsidRPr="00EB1D29" w:rsidRDefault="00591E90">
      <w:pPr>
        <w:pStyle w:val="Textonotapie"/>
        <w:rPr>
          <w:lang w:val="es-CO"/>
        </w:rPr>
      </w:pPr>
      <w:r>
        <w:rPr>
          <w:rStyle w:val="Refdenotaalpie"/>
        </w:rPr>
        <w:footnoteRef/>
      </w:r>
      <w:r>
        <w:t xml:space="preserve"> </w:t>
      </w:r>
      <w:r w:rsidRPr="00EB1D29">
        <w:t>Entrevista 442-PR-00078. Expresidente.</w:t>
      </w:r>
    </w:p>
  </w:footnote>
  <w:footnote w:id="688">
    <w:p w:rsidR="00591E90" w:rsidRPr="00EB1D29" w:rsidRDefault="00591E90">
      <w:pPr>
        <w:pStyle w:val="Textonotapie"/>
        <w:rPr>
          <w:lang w:val="es-CO"/>
        </w:rPr>
      </w:pPr>
      <w:r>
        <w:rPr>
          <w:rStyle w:val="Refdenotaalpie"/>
        </w:rPr>
        <w:footnoteRef/>
      </w:r>
      <w:r>
        <w:t xml:space="preserve"> </w:t>
      </w:r>
      <w:r w:rsidRPr="00837E51">
        <w:t>Este tipo de doble rasero en el combate a esta economía tiene varios espejos en la historia, por ejemplo, en el escándalo IRÁN-Contras. Mientras ocurrían los señalamientos a los sandinistas en la revolución nicaragüense, la «contra» se financió con fondos del narcotráfico dirigidos por la DEA y la CIA. Ver Byrne,</w:t>
      </w:r>
      <w:r w:rsidRPr="00C61DE9">
        <w:t xml:space="preserve"> «Irán -Contra»</w:t>
      </w:r>
    </w:p>
  </w:footnote>
  <w:footnote w:id="689">
    <w:p w:rsidR="00591E90" w:rsidRPr="00837E51" w:rsidRDefault="00591E90" w:rsidP="00C61DE9">
      <w:pPr>
        <w:pStyle w:val="Textonotapie"/>
        <w:rPr>
          <w:lang w:val="es-CO"/>
        </w:rPr>
      </w:pPr>
      <w:r>
        <w:rPr>
          <w:rStyle w:val="Refdenotaalpie"/>
        </w:rPr>
        <w:footnoteRef/>
      </w:r>
      <w:r>
        <w:t xml:space="preserve"> Uribe, Á. (5 de Diciembre de 2002). Presidencia. Obtenido de presidencia.gov.co: http://historico.presidencia.gov.co/discursos/discursos2002/diciembre/ascensoejercito.htm; Uribe, Á. (10 de Septiembre de 2002). Presidencia. Obtenido de presidencia.gov.co: http://historico.presidencia.gov.co/discursos/discursos2002/septiembre/honores.htm; Uribe, Á. (31 de Marzo de 2009). Presidencia. Obtenido de presidencia.gov.co: </w:t>
      </w:r>
      <w:r w:rsidRPr="00C61DE9">
        <w:t>http://historico.presidencia.gov.co/discursos/discursos2009/marzo/terrorismo_31032009.html</w:t>
      </w:r>
      <w:r>
        <w:t xml:space="preserve"> Uribe, Á. (12 de Octubre de 2002). Presidencia. Obtenido de presidencia.gov.co: http://historico.presidencia.gov.co/discursos/discursos2002/octubre/vive_colombia.htm Uribe, Á. (13 de Septiembre de 2002). Presidencia. Obtenido de presidencia.gov.co: http://historico.presidencia.gov.co/discursos/discursos2002/septiembre/onu.htm</w:t>
      </w:r>
    </w:p>
  </w:footnote>
  <w:footnote w:id="690">
    <w:p w:rsidR="00591E90" w:rsidRPr="00837E51" w:rsidRDefault="00591E90">
      <w:pPr>
        <w:pStyle w:val="Textonotapie"/>
        <w:rPr>
          <w:lang w:val="es-CO"/>
        </w:rPr>
      </w:pPr>
      <w:r>
        <w:rPr>
          <w:rStyle w:val="Refdenotaalpie"/>
        </w:rPr>
        <w:footnoteRef/>
      </w:r>
      <w:r>
        <w:t xml:space="preserve"> </w:t>
      </w:r>
      <w:r w:rsidRPr="00C61DE9">
        <w:t>https://www.state.gov/foreign-terrorist-organizations/ Posteriormente Esta narrativa y representación de la realidad se fortaleció tras el atentado de las Torres Gemela en 2001.</w:t>
      </w:r>
    </w:p>
  </w:footnote>
  <w:footnote w:id="691">
    <w:p w:rsidR="00591E90" w:rsidRPr="00053184" w:rsidRDefault="00591E90">
      <w:pPr>
        <w:pStyle w:val="Textonotapie"/>
        <w:rPr>
          <w:lang w:val="es-CO"/>
        </w:rPr>
      </w:pPr>
      <w:r>
        <w:rPr>
          <w:rStyle w:val="Refdenotaalpie"/>
        </w:rPr>
        <w:footnoteRef/>
      </w:r>
      <w:r>
        <w:t xml:space="preserve"> </w:t>
      </w:r>
      <w:r w:rsidRPr="00053184">
        <w:t>En el prólogo a la primera edición del libro El cartel de las FARC, Bedoya plantea que «hemos olvidado que desde hace casi dos décadas, una vasta y compleja red de delincuencia organizada opera en nuestros campos. Sucesivamente la hemos llamado subversión, guerrilla, insurgencia. En realidad, se trata de gánsteres con ruana y a veces sin ella. Han basado su negocio en el desarrollo sistemático del tráfico de drogas bajo todas sus modalidades y con ello se han enriquecido. Sobrevivieron a la guerra de los carteles contra los carteles, a la del Estado contra los carteles y ahora son prácticamente el único y más poderoso de todos. Para lograrlo le apostaron a la mentira y al olvido y al parecer apostaron bien». Prólogo del general Harold Bedoya Pizarro en Villamarín Pulido, El cartel de las FARC, 7. Según Tate, el libro contó con la aprobación del Ejército y fue publicado de manera paralela tanto en español como en inglés y distribuido a «formuladores de la política pública norteamericana». Tate menciona que «cuando yo trabajaba en WOLA, recibí una copia como regalo del agregado de las fuerzas armadas colombianas». Tate, Drogas, bandidos y diplomáticos, 58-59.</w:t>
      </w:r>
    </w:p>
  </w:footnote>
  <w:footnote w:id="692">
    <w:p w:rsidR="00591E90" w:rsidRPr="00053184" w:rsidRDefault="00591E90">
      <w:pPr>
        <w:pStyle w:val="Textonotapie"/>
        <w:rPr>
          <w:lang w:val="es-CO"/>
        </w:rPr>
      </w:pPr>
      <w:r>
        <w:rPr>
          <w:rStyle w:val="Refdenotaalpie"/>
        </w:rPr>
        <w:footnoteRef/>
      </w:r>
      <w:r>
        <w:t xml:space="preserve"> </w:t>
      </w:r>
      <w:r w:rsidRPr="00053184">
        <w:t>Leal Buitrago, La Inseguridad de la seguridad.</w:t>
      </w:r>
    </w:p>
  </w:footnote>
  <w:footnote w:id="693">
    <w:p w:rsidR="00591E90" w:rsidRPr="00053184" w:rsidRDefault="00591E90">
      <w:pPr>
        <w:pStyle w:val="Textonotapie"/>
        <w:rPr>
          <w:lang w:val="es-CO"/>
        </w:rPr>
      </w:pPr>
      <w:r>
        <w:rPr>
          <w:rStyle w:val="Refdenotaalpie"/>
        </w:rPr>
        <w:footnoteRef/>
      </w:r>
      <w:r>
        <w:t xml:space="preserve"> </w:t>
      </w:r>
      <w:r w:rsidRPr="00053184">
        <w:t>Villamarín Pulido, El cartel de las FARC, 7. En otras palabras, lo que podemos observar en este proceso es la manera en que la denigración del enemigo se convierte en una estrategia, muy tradicional, para la justificación de la guerra.</w:t>
      </w:r>
    </w:p>
  </w:footnote>
  <w:footnote w:id="694">
    <w:p w:rsidR="00591E90" w:rsidRPr="00053184" w:rsidRDefault="00591E90">
      <w:pPr>
        <w:pStyle w:val="Textonotapie"/>
      </w:pPr>
      <w:r>
        <w:rPr>
          <w:rStyle w:val="Refdenotaalpie"/>
        </w:rPr>
        <w:footnoteRef/>
      </w:r>
      <w:r>
        <w:t xml:space="preserve"> </w:t>
      </w:r>
      <w:r w:rsidRPr="00053184">
        <w:t xml:space="preserve">El término es utilizado por primera vez por Lewis </w:t>
      </w:r>
      <w:proofErr w:type="spellStart"/>
      <w:r w:rsidRPr="00053184">
        <w:t>Tambs</w:t>
      </w:r>
      <w:proofErr w:type="spellEnd"/>
      <w:r w:rsidRPr="00053184">
        <w:t xml:space="preserve">, un embajador de Estados Unidos en Colombia en los años ochenta. El término lo acuñó cuando en 1984 se desmanteló el complejo de producción de cocaína llamado </w:t>
      </w:r>
      <w:proofErr w:type="spellStart"/>
      <w:r w:rsidRPr="00053184">
        <w:t>Tranquilandia</w:t>
      </w:r>
      <w:proofErr w:type="spellEnd"/>
      <w:r w:rsidRPr="00053184">
        <w:t xml:space="preserve"> y donde se encontraron, supuestamente, pruebas de la participación de las guerrillas ahí.</w:t>
      </w:r>
    </w:p>
  </w:footnote>
  <w:footnote w:id="695">
    <w:p w:rsidR="00591E90" w:rsidRPr="00053184" w:rsidRDefault="00591E90">
      <w:pPr>
        <w:pStyle w:val="Textonotapie"/>
        <w:rPr>
          <w:lang w:val="es-CO"/>
        </w:rPr>
      </w:pPr>
      <w:r>
        <w:rPr>
          <w:rStyle w:val="Refdenotaalpie"/>
        </w:rPr>
        <w:footnoteRef/>
      </w:r>
      <w:r>
        <w:t xml:space="preserve"> </w:t>
      </w:r>
      <w:r w:rsidRPr="00053184">
        <w:t>Tate, Drogas, bandidos y diplomáticos, 57. A finales de la década de los noventa, en particular desde la creación de las AUC en 1997, el gobierno estadounidense a través de la DEA se encontraba acumulando pruebas</w:t>
      </w:r>
      <w:r>
        <w:t xml:space="preserve"> </w:t>
      </w:r>
      <w:r w:rsidRPr="00053184">
        <w:t>sobre lo que para ellos era una clara y profunda relación de los grupos paramilitares con el narcotráfico; sin embargo, está acusación no tuvo la misma profundidad e impacto que los nexos de las FARC con esta economía ilegal (Téllez y Lesmes, Pacto en la sombra, 62-65).</w:t>
      </w:r>
    </w:p>
  </w:footnote>
  <w:footnote w:id="696">
    <w:p w:rsidR="00591E90" w:rsidRPr="00053184" w:rsidRDefault="00591E90">
      <w:pPr>
        <w:pStyle w:val="Textonotapie"/>
        <w:rPr>
          <w:lang w:val="es-CO"/>
        </w:rPr>
      </w:pPr>
      <w:r>
        <w:rPr>
          <w:rStyle w:val="Refdenotaalpie"/>
        </w:rPr>
        <w:footnoteRef/>
      </w:r>
      <w:r>
        <w:t xml:space="preserve"> </w:t>
      </w:r>
      <w:r w:rsidRPr="00053184">
        <w:t>Fuente de Archivo Externa [ID Interno]. Anexo 1985-1987, acuerdos de cooperación USA-Colombia". Archivo CEV. Programa de control de narcóticos.</w:t>
      </w:r>
    </w:p>
  </w:footnote>
  <w:footnote w:id="697">
    <w:p w:rsidR="00591E90" w:rsidRPr="00053184" w:rsidRDefault="00591E90">
      <w:pPr>
        <w:pStyle w:val="Textonotapie"/>
        <w:rPr>
          <w:lang w:val="es-CO"/>
        </w:rPr>
      </w:pPr>
      <w:r>
        <w:rPr>
          <w:rStyle w:val="Refdenotaalpie"/>
        </w:rPr>
        <w:footnoteRef/>
      </w:r>
      <w:r>
        <w:t xml:space="preserve"> </w:t>
      </w:r>
      <w:r w:rsidRPr="00926BD0">
        <w:t>Con renuencia de varios sectores del Ejército.</w:t>
      </w:r>
    </w:p>
  </w:footnote>
  <w:footnote w:id="698">
    <w:p w:rsidR="00591E90" w:rsidRPr="00926BD0" w:rsidRDefault="00591E90">
      <w:pPr>
        <w:pStyle w:val="Textonotapie"/>
        <w:rPr>
          <w:lang w:val="es-CO"/>
        </w:rPr>
      </w:pPr>
      <w:r>
        <w:rPr>
          <w:rStyle w:val="Refdenotaalpie"/>
        </w:rPr>
        <w:footnoteRef/>
      </w:r>
      <w:r>
        <w:t xml:space="preserve"> </w:t>
      </w:r>
      <w:r w:rsidRPr="00926BD0">
        <w:t>Testimonio del general del Ejército Nacional Jorge Enrique Mora Rangel en: Nova, Memorias Militares, 129.</w:t>
      </w:r>
    </w:p>
  </w:footnote>
  <w:footnote w:id="699">
    <w:p w:rsidR="00591E90" w:rsidRPr="00926BD0" w:rsidRDefault="00591E90">
      <w:pPr>
        <w:pStyle w:val="Textonotapie"/>
        <w:rPr>
          <w:lang w:val="es-CO"/>
        </w:rPr>
      </w:pPr>
      <w:r>
        <w:rPr>
          <w:rStyle w:val="Refdenotaalpie"/>
        </w:rPr>
        <w:footnoteRef/>
      </w:r>
      <w:r>
        <w:t xml:space="preserve"> </w:t>
      </w:r>
      <w:r w:rsidRPr="00926BD0">
        <w:t>Vargas Meza, «Colombia: usos y abusos de la guerra a las drogas», 75-90.</w:t>
      </w:r>
    </w:p>
  </w:footnote>
  <w:footnote w:id="700">
    <w:p w:rsidR="00591E90" w:rsidRPr="00926BD0" w:rsidRDefault="00591E90">
      <w:pPr>
        <w:pStyle w:val="Textonotapie"/>
        <w:rPr>
          <w:lang w:val="es-CO"/>
        </w:rPr>
      </w:pPr>
      <w:r>
        <w:rPr>
          <w:rStyle w:val="Refdenotaalpie"/>
        </w:rPr>
        <w:footnoteRef/>
      </w:r>
      <w:r>
        <w:t xml:space="preserve"> </w:t>
      </w:r>
      <w:r w:rsidRPr="00926BD0">
        <w:t>Vargas Velásquez, El papel de las fuerzas armadas en la política antidrogas colombiana, 1985-2006.</w:t>
      </w:r>
    </w:p>
  </w:footnote>
  <w:footnote w:id="701">
    <w:p w:rsidR="00591E90" w:rsidRPr="00926BD0" w:rsidRDefault="00591E90">
      <w:pPr>
        <w:pStyle w:val="Textonotapie"/>
        <w:rPr>
          <w:lang w:val="es-CO"/>
        </w:rPr>
      </w:pPr>
      <w:r>
        <w:rPr>
          <w:rStyle w:val="Refdenotaalpie"/>
        </w:rPr>
        <w:footnoteRef/>
      </w:r>
      <w:r>
        <w:t xml:space="preserve"> </w:t>
      </w:r>
      <w:r w:rsidRPr="00926BD0">
        <w:t>Dávila Ladrón de Guevara, «La militarización de la policía nacional de Colombia, el conflicto armado y las violaciones a los derechos humanos». Consultoría CEV (Bogotá: Contrato PN016-2021, 2021).</w:t>
      </w:r>
    </w:p>
  </w:footnote>
  <w:footnote w:id="702">
    <w:p w:rsidR="00591E90" w:rsidRPr="009E54D0" w:rsidRDefault="00591E90">
      <w:pPr>
        <w:pStyle w:val="Textonotapie"/>
        <w:rPr>
          <w:lang w:val="es-CO"/>
        </w:rPr>
      </w:pPr>
      <w:r>
        <w:rPr>
          <w:rStyle w:val="Refdenotaalpie"/>
        </w:rPr>
        <w:footnoteRef/>
      </w:r>
      <w:r>
        <w:t xml:space="preserve"> </w:t>
      </w:r>
      <w:r w:rsidRPr="003B3897">
        <w:t xml:space="preserve">Ver Pizarro </w:t>
      </w:r>
      <w:proofErr w:type="spellStart"/>
      <w:r w:rsidRPr="003B3897">
        <w:t>Leongómez</w:t>
      </w:r>
      <w:proofErr w:type="spellEnd"/>
      <w:r w:rsidRPr="003B3897">
        <w:t xml:space="preserve">, Una democracia asediada; Eduardo Pizarro </w:t>
      </w:r>
      <w:proofErr w:type="spellStart"/>
      <w:r w:rsidRPr="003B3897">
        <w:t>Leongómez</w:t>
      </w:r>
      <w:proofErr w:type="spellEnd"/>
      <w:r w:rsidRPr="003B3897">
        <w:t xml:space="preserve">, De la guerra a la paz; Borda Guzmán, La internacionalización de la paz y de la guerra en Colombia durante los gobiernos de Andrés Pastrana y Álvaro Uribe y Juan Gabriel </w:t>
      </w:r>
      <w:proofErr w:type="spellStart"/>
      <w:r w:rsidRPr="003B3897">
        <w:t>Tokatlian</w:t>
      </w:r>
      <w:proofErr w:type="spellEnd"/>
      <w:r w:rsidRPr="003B3897">
        <w:t>, «La construcción de un “Estado fallido” en la política mundial», 67-104.</w:t>
      </w:r>
    </w:p>
  </w:footnote>
  <w:footnote w:id="703">
    <w:p w:rsidR="00591E90" w:rsidRPr="00502B4C" w:rsidRDefault="00591E90">
      <w:pPr>
        <w:pStyle w:val="Textonotapie"/>
        <w:rPr>
          <w:lang w:val="es-CO"/>
        </w:rPr>
      </w:pPr>
      <w:r>
        <w:rPr>
          <w:rStyle w:val="Refdenotaalpie"/>
        </w:rPr>
        <w:footnoteRef/>
      </w:r>
      <w:r>
        <w:t xml:space="preserve"> </w:t>
      </w:r>
      <w:r w:rsidRPr="00502B4C">
        <w:t>«Recorren Vereda por Vereda, finca por finca, pueblo por pueblo, y con la pistola en la mano, con el fusil en la espalda, los obligan a salir a las marchas, los obligan a salir con las familias, los obligan a que coloquen a sus mujeres a sus niños por delante para que la marcha tenga una connotación social y para que conmueva, como evidentemente lo hace, además colocan líderes que no son líderes, son simplemente quienes transmiten sus órdenes y pues naturalmente aprovechan los líderes comunales ya existentes y estos líderes comunales organizan las veredas, organizan estos nuevos esclavos a los esclavos de este siglo y los obligan hacer estas marchas”». Anales del Congreso, 9 de septiembre de 1996, 16.</w:t>
      </w:r>
    </w:p>
  </w:footnote>
  <w:footnote w:id="704">
    <w:p w:rsidR="00591E90" w:rsidRPr="00502B4C" w:rsidRDefault="00591E90">
      <w:pPr>
        <w:pStyle w:val="Textonotapie"/>
        <w:rPr>
          <w:lang w:val="es-CO"/>
        </w:rPr>
      </w:pPr>
      <w:r>
        <w:rPr>
          <w:rStyle w:val="Refdenotaalpie"/>
        </w:rPr>
        <w:footnoteRef/>
      </w:r>
      <w:r>
        <w:t xml:space="preserve"> </w:t>
      </w:r>
      <w:r w:rsidRPr="00502B4C">
        <w:t>Gaceta del Congreso, Anales del Congreso, 9 de septiembre de 1996, . Gaceta del Congreso. Año V, n.º 371.</w:t>
      </w:r>
    </w:p>
  </w:footnote>
  <w:footnote w:id="705">
    <w:p w:rsidR="00591E90" w:rsidRPr="00502B4C" w:rsidRDefault="00591E90">
      <w:pPr>
        <w:pStyle w:val="Textonotapie"/>
        <w:rPr>
          <w:lang w:val="es-CO"/>
        </w:rPr>
      </w:pPr>
      <w:r>
        <w:rPr>
          <w:rStyle w:val="Refdenotaalpie"/>
        </w:rPr>
        <w:footnoteRef/>
      </w:r>
      <w:r>
        <w:t xml:space="preserve"> </w:t>
      </w:r>
      <w:r w:rsidRPr="00502B4C">
        <w:t>Entrevista 172-VI-00004. ¿Identificadores?; Entrevista 084-PR-00430. Hombre, excombatiente FARC-EP; Entrevista 084-PR-00430. Hombre, excombatiente FARC-EP; Entrevista colectiva 433-CO-00284. Hombre, campesino participante de las marchas cocaleras; Entrevista colectiva 432-CO-00806. Mujer, lideresa y participante de las marchas cocaleras del 96; Entrevista colectiva 433-CO-00527. Hombre, líder recolector de coca, «</w:t>
      </w:r>
      <w:proofErr w:type="spellStart"/>
      <w:r w:rsidRPr="00502B4C">
        <w:t>raspachín</w:t>
      </w:r>
      <w:proofErr w:type="spellEnd"/>
      <w:r w:rsidRPr="00502B4C">
        <w:t>» del Caguán.</w:t>
      </w:r>
    </w:p>
  </w:footnote>
  <w:footnote w:id="706">
    <w:p w:rsidR="00591E90" w:rsidRPr="00502B4C" w:rsidRDefault="00591E90">
      <w:pPr>
        <w:pStyle w:val="Textonotapie"/>
        <w:rPr>
          <w:lang w:val="es-CO"/>
        </w:rPr>
      </w:pPr>
      <w:r>
        <w:rPr>
          <w:rStyle w:val="Refdenotaalpie"/>
        </w:rPr>
        <w:footnoteRef/>
      </w:r>
      <w:r>
        <w:t xml:space="preserve"> </w:t>
      </w:r>
      <w:r w:rsidRPr="00502B4C">
        <w:t>Gaceta del Congreso, Cámara de Representantes, 9 de septiembre de 1996a, año V, n.º 371.</w:t>
      </w:r>
    </w:p>
  </w:footnote>
  <w:footnote w:id="707">
    <w:p w:rsidR="00591E90" w:rsidRPr="00502B4C" w:rsidRDefault="00591E90">
      <w:pPr>
        <w:pStyle w:val="Textonotapie"/>
        <w:rPr>
          <w:lang w:val="es-CO"/>
        </w:rPr>
      </w:pPr>
      <w:r>
        <w:rPr>
          <w:rStyle w:val="Refdenotaalpie"/>
        </w:rPr>
        <w:footnoteRef/>
      </w:r>
      <w:r>
        <w:t xml:space="preserve"> </w:t>
      </w:r>
      <w:r w:rsidRPr="00502B4C">
        <w:t>Entrevista 433-PR-0218. Negociador del gobierno en las marchas campesinas; entrevista 433-CO-00273. Campesinos marchantes de las movilizaciones de 1996; entrevista 671-PR-00938. Hombre, político liberal.</w:t>
      </w:r>
    </w:p>
  </w:footnote>
  <w:footnote w:id="708">
    <w:p w:rsidR="00591E90" w:rsidRPr="00502B4C" w:rsidRDefault="00591E90">
      <w:pPr>
        <w:pStyle w:val="Textonotapie"/>
        <w:rPr>
          <w:lang w:val="es-CO"/>
        </w:rPr>
      </w:pPr>
      <w:r>
        <w:rPr>
          <w:rStyle w:val="Refdenotaalpie"/>
        </w:rPr>
        <w:footnoteRef/>
      </w:r>
      <w:r>
        <w:t xml:space="preserve"> </w:t>
      </w:r>
      <w:r w:rsidRPr="00502B4C">
        <w:t>Entrevista 686-VI-00011. Docente universitaria.</w:t>
      </w:r>
    </w:p>
  </w:footnote>
  <w:footnote w:id="709">
    <w:p w:rsidR="00591E90" w:rsidRPr="00502B4C" w:rsidRDefault="00591E90">
      <w:pPr>
        <w:pStyle w:val="Textonotapie"/>
        <w:rPr>
          <w:lang w:val="es-CO"/>
        </w:rPr>
      </w:pPr>
      <w:r>
        <w:rPr>
          <w:rStyle w:val="Refdenotaalpie"/>
        </w:rPr>
        <w:footnoteRef/>
      </w:r>
      <w:r>
        <w:t xml:space="preserve"> </w:t>
      </w:r>
      <w:r w:rsidRPr="00502B4C">
        <w:t>Entrevista colectiva 433-CO-00284. Campesino participante de las marchas cocaleras; entrevista colectiva 432-CO-00806. Lideresa social y participante de las marchas cocaleras del 96. Entrevista colectiva 433-CO- 00527. Líder recolector de coca del Caguán.</w:t>
      </w:r>
    </w:p>
  </w:footnote>
  <w:footnote w:id="710">
    <w:p w:rsidR="00591E90" w:rsidRPr="00502B4C" w:rsidRDefault="00591E90" w:rsidP="00502B4C">
      <w:pPr>
        <w:pStyle w:val="Textonotapie"/>
        <w:rPr>
          <w:lang w:val="en-US"/>
        </w:rPr>
      </w:pPr>
      <w:r>
        <w:rPr>
          <w:rStyle w:val="Refdenotaalpie"/>
        </w:rPr>
        <w:footnoteRef/>
      </w:r>
      <w:r>
        <w:t xml:space="preserve"> Traducción propia. </w:t>
      </w:r>
      <w:r w:rsidRPr="00502B4C">
        <w:rPr>
          <w:lang w:val="en-US"/>
        </w:rPr>
        <w:t xml:space="preserve">Memorandum, from Phil </w:t>
      </w:r>
      <w:proofErr w:type="spellStart"/>
      <w:r w:rsidRPr="00502B4C">
        <w:rPr>
          <w:lang w:val="en-US"/>
        </w:rPr>
        <w:t>Chicola</w:t>
      </w:r>
      <w:proofErr w:type="spellEnd"/>
      <w:r w:rsidRPr="00502B4C">
        <w:rPr>
          <w:lang w:val="en-US"/>
        </w:rPr>
        <w:t xml:space="preserve"> to Peter F. Romero, United States Department of State,</w:t>
      </w:r>
      <w:r>
        <w:rPr>
          <w:lang w:val="en-US"/>
        </w:rPr>
        <w:t xml:space="preserve"> </w:t>
      </w:r>
      <w:r w:rsidRPr="00502B4C">
        <w:rPr>
          <w:lang w:val="en-US"/>
        </w:rPr>
        <w:t>«The Colombian Peace Process: Opportunities and Challenges», 19980914-DOS-24203, Confidential, September 14, 1998, Colombia Documentation Project, The National Security Archive, Washington, D. C., 2.</w:t>
      </w:r>
    </w:p>
  </w:footnote>
  <w:footnote w:id="711">
    <w:p w:rsidR="00591E90" w:rsidRPr="00502B4C" w:rsidRDefault="00591E90">
      <w:pPr>
        <w:pStyle w:val="Textonotapie"/>
        <w:rPr>
          <w:lang w:val="en-US"/>
        </w:rPr>
      </w:pPr>
      <w:r>
        <w:rPr>
          <w:rStyle w:val="Refdenotaalpie"/>
        </w:rPr>
        <w:footnoteRef/>
      </w:r>
      <w:r w:rsidRPr="00502B4C">
        <w:rPr>
          <w:lang w:val="en-US"/>
        </w:rPr>
        <w:t xml:space="preserve"> </w:t>
      </w:r>
      <w:r w:rsidRPr="0077701B">
        <w:rPr>
          <w:lang w:val="es-CO"/>
        </w:rPr>
        <w:t>Programas de entrenamiento militar</w:t>
      </w:r>
      <w:r w:rsidRPr="00502B4C">
        <w:rPr>
          <w:lang w:val="en-US"/>
        </w:rPr>
        <w:t xml:space="preserve"> de SOAW 1998-2001.</w:t>
      </w:r>
    </w:p>
  </w:footnote>
  <w:footnote w:id="712">
    <w:p w:rsidR="00591E90" w:rsidRPr="00502B4C" w:rsidRDefault="00591E90">
      <w:pPr>
        <w:pStyle w:val="Textonotapie"/>
        <w:rPr>
          <w:lang w:val="en-US"/>
        </w:rPr>
      </w:pPr>
      <w:r>
        <w:rPr>
          <w:rStyle w:val="Refdenotaalpie"/>
        </w:rPr>
        <w:footnoteRef/>
      </w:r>
      <w:r w:rsidRPr="00502B4C">
        <w:rPr>
          <w:lang w:val="en-US"/>
        </w:rPr>
        <w:t xml:space="preserve"> Memorandum, from Phil </w:t>
      </w:r>
      <w:proofErr w:type="spellStart"/>
      <w:r w:rsidRPr="00502B4C">
        <w:rPr>
          <w:lang w:val="en-US"/>
        </w:rPr>
        <w:t>Chicola</w:t>
      </w:r>
      <w:proofErr w:type="spellEnd"/>
      <w:r w:rsidRPr="00502B4C">
        <w:rPr>
          <w:lang w:val="en-US"/>
        </w:rPr>
        <w:t xml:space="preserve"> to Peter F. Romero, United States Department of State, «The Colombian Peace Process: Opportunities and Challenges», 19980914-DOS-24203, Confidential, September 14, 1998, Colombia Documentation Project, The National Security Archive, Washington, D. C., 4.</w:t>
      </w:r>
    </w:p>
  </w:footnote>
  <w:footnote w:id="713">
    <w:p w:rsidR="00591E90" w:rsidRPr="00502B4C" w:rsidRDefault="00591E90">
      <w:pPr>
        <w:pStyle w:val="Textonotapie"/>
        <w:rPr>
          <w:lang w:val="es-CO"/>
        </w:rPr>
      </w:pPr>
      <w:r>
        <w:rPr>
          <w:rStyle w:val="Refdenotaalpie"/>
        </w:rPr>
        <w:footnoteRef/>
      </w:r>
      <w:r>
        <w:t xml:space="preserve"> </w:t>
      </w:r>
      <w:r w:rsidRPr="00502B4C">
        <w:t>En ese momento era asistente del secretario de Estado; entre 2007 y 2010 fue el embajador estadounidense en Colombia.</w:t>
      </w:r>
    </w:p>
  </w:footnote>
  <w:footnote w:id="714">
    <w:p w:rsidR="00591E90" w:rsidRPr="00502B4C" w:rsidRDefault="00591E90">
      <w:pPr>
        <w:pStyle w:val="Textonotapie"/>
        <w:rPr>
          <w:lang w:val="en-US"/>
        </w:rPr>
      </w:pPr>
      <w:r>
        <w:rPr>
          <w:rStyle w:val="Refdenotaalpie"/>
        </w:rPr>
        <w:footnoteRef/>
      </w:r>
      <w:r w:rsidRPr="00502B4C">
        <w:rPr>
          <w:lang w:val="en-US"/>
        </w:rPr>
        <w:t xml:space="preserve"> </w:t>
      </w:r>
      <w:r w:rsidRPr="0077701B">
        <w:rPr>
          <w:lang w:val="es-CO"/>
        </w:rPr>
        <w:t>Traducción propia</w:t>
      </w:r>
      <w:r w:rsidRPr="00502B4C">
        <w:rPr>
          <w:lang w:val="en-US"/>
        </w:rPr>
        <w:t>. Cable, From American Embassy Bogota to Secretary of State Washington, «The GOC’s First Look at Plan Colombia», 2000BOGOTA00273, Confidential, January 13, 2000, Colombia Documentation Project, The National Security Archive, Washington, D. C., 2.</w:t>
      </w:r>
    </w:p>
  </w:footnote>
  <w:footnote w:id="715">
    <w:p w:rsidR="00591E90" w:rsidRPr="00502B4C" w:rsidRDefault="00591E90">
      <w:pPr>
        <w:pStyle w:val="Textonotapie"/>
        <w:rPr>
          <w:lang w:val="en-US"/>
        </w:rPr>
      </w:pPr>
      <w:r>
        <w:rPr>
          <w:rStyle w:val="Refdenotaalpie"/>
        </w:rPr>
        <w:footnoteRef/>
      </w:r>
      <w:r w:rsidRPr="00502B4C">
        <w:rPr>
          <w:lang w:val="en-US"/>
        </w:rPr>
        <w:t xml:space="preserve"> Cable, American Embassy to Secretary of State, «Plan Colombia update April 13, 2000», 01 OF 02 BOGOTA 003244, Confidential, 15 </w:t>
      </w:r>
      <w:proofErr w:type="spellStart"/>
      <w:r w:rsidRPr="00502B4C">
        <w:rPr>
          <w:lang w:val="en-US"/>
        </w:rPr>
        <w:t>april</w:t>
      </w:r>
      <w:proofErr w:type="spellEnd"/>
      <w:r w:rsidRPr="00502B4C">
        <w:rPr>
          <w:lang w:val="en-US"/>
        </w:rPr>
        <w:t xml:space="preserve"> 2000, Colombia Documentation Project, The National Security Archive, Washington, D. C., 3.</w:t>
      </w:r>
    </w:p>
  </w:footnote>
  <w:footnote w:id="716">
    <w:p w:rsidR="00591E90" w:rsidRPr="00534BFB" w:rsidRDefault="00591E90">
      <w:pPr>
        <w:pStyle w:val="Textonotapie"/>
        <w:rPr>
          <w:lang w:val="es-CO"/>
        </w:rPr>
      </w:pPr>
      <w:r>
        <w:rPr>
          <w:rStyle w:val="Refdenotaalpie"/>
        </w:rPr>
        <w:footnoteRef/>
      </w:r>
      <w:r>
        <w:t xml:space="preserve"> </w:t>
      </w:r>
      <w:r w:rsidRPr="00534BFB">
        <w:t>Informe 066-CI-00897, Fundación Colombia con Memoria, «Una mirada del atentado al avión de Avianca. Narcotráfico y narcoterrorismo en el conflicto armado colombiano», 2020, 10.</w:t>
      </w:r>
    </w:p>
  </w:footnote>
  <w:footnote w:id="717">
    <w:p w:rsidR="00591E90" w:rsidRPr="00534BFB" w:rsidRDefault="00591E90">
      <w:pPr>
        <w:pStyle w:val="Textonotapie"/>
        <w:rPr>
          <w:lang w:val="es-CO"/>
        </w:rPr>
      </w:pPr>
      <w:r>
        <w:rPr>
          <w:rStyle w:val="Refdenotaalpie"/>
        </w:rPr>
        <w:footnoteRef/>
      </w:r>
      <w:r>
        <w:t xml:space="preserve"> </w:t>
      </w:r>
      <w:r w:rsidRPr="000A50A3">
        <w:t>Entrevista 429-VI-00011. Exfuncionario de la rama judicial.</w:t>
      </w:r>
    </w:p>
  </w:footnote>
  <w:footnote w:id="718">
    <w:p w:rsidR="00591E90" w:rsidRPr="00534BFB" w:rsidRDefault="00591E90">
      <w:pPr>
        <w:pStyle w:val="Textonotapie"/>
        <w:rPr>
          <w:lang w:val="es-CO"/>
        </w:rPr>
      </w:pPr>
      <w:r>
        <w:rPr>
          <w:rStyle w:val="Refdenotaalpie"/>
        </w:rPr>
        <w:footnoteRef/>
      </w:r>
      <w:r>
        <w:t xml:space="preserve"> </w:t>
      </w:r>
      <w:r w:rsidRPr="000A50A3">
        <w:t>Entrevista 001-VI-00027. Víctima, exfuncionaria de la rama judicial.</w:t>
      </w:r>
    </w:p>
  </w:footnote>
  <w:footnote w:id="719">
    <w:p w:rsidR="00591E90" w:rsidRPr="00534BFB" w:rsidRDefault="00591E90">
      <w:pPr>
        <w:pStyle w:val="Textonotapie"/>
        <w:rPr>
          <w:lang w:val="es-CO"/>
        </w:rPr>
      </w:pPr>
      <w:r>
        <w:rPr>
          <w:rStyle w:val="Refdenotaalpie"/>
        </w:rPr>
        <w:footnoteRef/>
      </w:r>
      <w:r>
        <w:t xml:space="preserve"> </w:t>
      </w:r>
      <w:r w:rsidRPr="000A50A3">
        <w:t>Véase el caso sobre la UP.</w:t>
      </w:r>
    </w:p>
  </w:footnote>
  <w:footnote w:id="720">
    <w:p w:rsidR="00591E90" w:rsidRPr="00534BFB" w:rsidRDefault="00591E90">
      <w:pPr>
        <w:pStyle w:val="Textonotapie"/>
        <w:rPr>
          <w:lang w:val="es-CO"/>
        </w:rPr>
      </w:pPr>
      <w:r>
        <w:rPr>
          <w:rStyle w:val="Refdenotaalpie"/>
        </w:rPr>
        <w:footnoteRef/>
      </w:r>
      <w:r>
        <w:t xml:space="preserve"> </w:t>
      </w:r>
      <w:r w:rsidRPr="000A50A3">
        <w:t xml:space="preserve">Véase el </w:t>
      </w:r>
      <w:proofErr w:type="spellStart"/>
      <w:r w:rsidRPr="000A50A3">
        <w:t>eexto</w:t>
      </w:r>
      <w:proofErr w:type="spellEnd"/>
      <w:r w:rsidRPr="000A50A3">
        <w:t xml:space="preserve"> sobre impunidad.</w:t>
      </w:r>
    </w:p>
  </w:footnote>
  <w:footnote w:id="721">
    <w:p w:rsidR="00591E90" w:rsidRPr="00534BFB" w:rsidRDefault="00591E90">
      <w:pPr>
        <w:pStyle w:val="Textonotapie"/>
        <w:rPr>
          <w:lang w:val="es-CO"/>
        </w:rPr>
      </w:pPr>
      <w:r>
        <w:rPr>
          <w:rStyle w:val="Refdenotaalpie"/>
        </w:rPr>
        <w:footnoteRef/>
      </w:r>
      <w:r>
        <w:t xml:space="preserve"> </w:t>
      </w:r>
      <w:r w:rsidRPr="000A50A3">
        <w:t xml:space="preserve">Anales del Congreso, martes 7 de noviembre de 1989, constancia del representante Henry Millán. Tomado de La Prensa El País, jueves 21 de septiembre de 1989. Documento secreto </w:t>
      </w:r>
      <w:proofErr w:type="spellStart"/>
      <w:r w:rsidRPr="000A50A3">
        <w:t>n.o</w:t>
      </w:r>
      <w:proofErr w:type="spellEnd"/>
      <w:r w:rsidRPr="000A50A3">
        <w:t xml:space="preserve"> 123, 3.</w:t>
      </w:r>
    </w:p>
  </w:footnote>
  <w:footnote w:id="722">
    <w:p w:rsidR="00591E90" w:rsidRPr="000A50A3" w:rsidRDefault="00591E90">
      <w:pPr>
        <w:pStyle w:val="Textonotapie"/>
        <w:rPr>
          <w:lang w:val="es-CO"/>
        </w:rPr>
      </w:pPr>
      <w:r>
        <w:rPr>
          <w:rStyle w:val="Refdenotaalpie"/>
        </w:rPr>
        <w:footnoteRef/>
      </w:r>
      <w:r>
        <w:t xml:space="preserve"> </w:t>
      </w:r>
      <w:r w:rsidRPr="000A50A3">
        <w:t>Entrevista 001-VI-00037. Víctima, exiliado.</w:t>
      </w:r>
    </w:p>
  </w:footnote>
  <w:footnote w:id="723">
    <w:p w:rsidR="00591E90" w:rsidRPr="000A50A3" w:rsidRDefault="00591E90">
      <w:pPr>
        <w:pStyle w:val="Textonotapie"/>
        <w:rPr>
          <w:lang w:val="es-CO"/>
        </w:rPr>
      </w:pPr>
      <w:r>
        <w:rPr>
          <w:rStyle w:val="Refdenotaalpie"/>
        </w:rPr>
        <w:footnoteRef/>
      </w:r>
      <w:r>
        <w:t xml:space="preserve"> </w:t>
      </w:r>
      <w:r w:rsidRPr="000A50A3">
        <w:t>Entrevista 001-VI-00035. Víctima, exiliada.</w:t>
      </w:r>
    </w:p>
  </w:footnote>
  <w:footnote w:id="724">
    <w:p w:rsidR="00591E90" w:rsidRPr="000A50A3" w:rsidRDefault="00591E90">
      <w:pPr>
        <w:pStyle w:val="Textonotapie"/>
        <w:rPr>
          <w:lang w:val="es-CO"/>
        </w:rPr>
      </w:pPr>
      <w:r>
        <w:rPr>
          <w:rStyle w:val="Refdenotaalpie"/>
        </w:rPr>
        <w:footnoteRef/>
      </w:r>
      <w:r>
        <w:t xml:space="preserve"> </w:t>
      </w:r>
      <w:r w:rsidRPr="000A50A3">
        <w:t>Hay escasa información previa o estadística sobre este fenómeno. Se suma a los hallazgos de la JEP en cuanto a las ejecuciones extrajudiciales («falsos positivos») y del Centro Nacional de Memoria Histórica en cuanto a la denominada «limpieza social». En ambos casos, algunas de las víctimas fueron perfiladas con criterios como el de ser consumidores de drogas ilícitas; no obstante, la CEV utiliza el fenómeno de los crímenes por discriminación a los usuarios de drogas para abrir una discusión sobre las maneras en que la «lucha contra las drogas» transformó la manera en que se libra el Conflicto armado.</w:t>
      </w:r>
    </w:p>
  </w:footnote>
  <w:footnote w:id="725">
    <w:p w:rsidR="00591E90" w:rsidRPr="000A50A3" w:rsidRDefault="00591E90">
      <w:pPr>
        <w:pStyle w:val="Textonotapie"/>
        <w:rPr>
          <w:lang w:val="es-CO"/>
        </w:rPr>
      </w:pPr>
      <w:r>
        <w:rPr>
          <w:rStyle w:val="Refdenotaalpie"/>
        </w:rPr>
        <w:footnoteRef/>
      </w:r>
      <w:r>
        <w:t xml:space="preserve"> </w:t>
      </w:r>
      <w:r w:rsidRPr="000A50A3">
        <w:t>Entrevista 223-AA-00001. Excombatiente de las FARC-EP, Barrancabermeja.</w:t>
      </w:r>
    </w:p>
  </w:footnote>
  <w:footnote w:id="726">
    <w:p w:rsidR="00591E90" w:rsidRPr="000A50A3" w:rsidRDefault="00591E90">
      <w:pPr>
        <w:pStyle w:val="Textonotapie"/>
        <w:rPr>
          <w:lang w:val="es-CO"/>
        </w:rPr>
      </w:pPr>
      <w:r>
        <w:rPr>
          <w:rStyle w:val="Refdenotaalpie"/>
        </w:rPr>
        <w:footnoteRef/>
      </w:r>
      <w:r>
        <w:t xml:space="preserve"> </w:t>
      </w:r>
      <w:r w:rsidRPr="000A50A3">
        <w:t>Ejército de Liberación Nacional, carta abierta al Departamento de Estado, a la Fiscalía Federal de los Estados Unidos y al gobierno colombiano, 9 de octubre de 2020.</w:t>
      </w:r>
    </w:p>
  </w:footnote>
  <w:footnote w:id="727">
    <w:p w:rsidR="00591E90" w:rsidRPr="000A50A3" w:rsidRDefault="00591E90">
      <w:pPr>
        <w:pStyle w:val="Textonotapie"/>
        <w:rPr>
          <w:lang w:val="es-CO"/>
        </w:rPr>
      </w:pPr>
      <w:r>
        <w:rPr>
          <w:rStyle w:val="Refdenotaalpie"/>
        </w:rPr>
        <w:footnoteRef/>
      </w:r>
      <w:r>
        <w:t xml:space="preserve"> </w:t>
      </w:r>
      <w:r w:rsidRPr="000A50A3">
        <w:t>Centro Nacional de Memoria Histórica, Buenaventura: Un puerto sin comunidad.</w:t>
      </w:r>
    </w:p>
  </w:footnote>
  <w:footnote w:id="728">
    <w:p w:rsidR="00591E90" w:rsidRPr="000A50A3" w:rsidRDefault="00591E90">
      <w:pPr>
        <w:pStyle w:val="Textonotapie"/>
        <w:rPr>
          <w:lang w:val="es-CO"/>
        </w:rPr>
      </w:pPr>
      <w:r>
        <w:rPr>
          <w:rStyle w:val="Refdenotaalpie"/>
        </w:rPr>
        <w:footnoteRef/>
      </w:r>
      <w:r>
        <w:t xml:space="preserve"> </w:t>
      </w:r>
      <w:r w:rsidRPr="000A50A3">
        <w:t>Entrevista 326-PR-00588. Testigo, lideresa social, Buenaventura.</w:t>
      </w:r>
    </w:p>
  </w:footnote>
  <w:footnote w:id="729">
    <w:p w:rsidR="00591E90" w:rsidRPr="000A50A3" w:rsidRDefault="00591E90">
      <w:pPr>
        <w:pStyle w:val="Textonotapie"/>
        <w:rPr>
          <w:lang w:val="es-CO"/>
        </w:rPr>
      </w:pPr>
      <w:r>
        <w:rPr>
          <w:rStyle w:val="Refdenotaalpie"/>
        </w:rPr>
        <w:footnoteRef/>
      </w:r>
      <w:r>
        <w:t xml:space="preserve"> </w:t>
      </w:r>
      <w:r w:rsidRPr="000A50A3">
        <w:t xml:space="preserve">Jurisdicción Especial para la Paz, Auto </w:t>
      </w:r>
      <w:proofErr w:type="spellStart"/>
      <w:r w:rsidRPr="000A50A3">
        <w:t>n.o</w:t>
      </w:r>
      <w:proofErr w:type="spellEnd"/>
      <w:r w:rsidRPr="000A50A3">
        <w:t xml:space="preserve"> 125 de 2021,120.</w:t>
      </w:r>
    </w:p>
  </w:footnote>
  <w:footnote w:id="730">
    <w:p w:rsidR="00591E90" w:rsidRPr="000A50A3" w:rsidRDefault="00591E90">
      <w:pPr>
        <w:pStyle w:val="Textonotapie"/>
        <w:rPr>
          <w:lang w:val="es-CO"/>
        </w:rPr>
      </w:pPr>
      <w:r>
        <w:rPr>
          <w:rStyle w:val="Refdenotaalpie"/>
        </w:rPr>
        <w:footnoteRef/>
      </w:r>
      <w:r>
        <w:t xml:space="preserve"> </w:t>
      </w:r>
      <w:r w:rsidRPr="000A50A3">
        <w:t>Entrevista 064-VI-00001. Víctima, mujer, Huila.</w:t>
      </w:r>
    </w:p>
  </w:footnote>
  <w:footnote w:id="731">
    <w:p w:rsidR="00591E90" w:rsidRPr="000A50A3" w:rsidRDefault="00591E90">
      <w:pPr>
        <w:pStyle w:val="Textonotapie"/>
        <w:rPr>
          <w:lang w:val="es-CO"/>
        </w:rPr>
      </w:pPr>
      <w:r>
        <w:rPr>
          <w:rStyle w:val="Refdenotaalpie"/>
        </w:rPr>
        <w:footnoteRef/>
      </w:r>
      <w:r>
        <w:t xml:space="preserve"> </w:t>
      </w:r>
      <w:r w:rsidRPr="00F26303">
        <w:t>El Espectador. «Masacre de El Tandil: tres años sin condenas ni sanciones por el asesinato de siete campesinos», disponible en: https://www.elespectador.com/colombia-20/paz-y-memoria/masacre-de-el-tandil- tres-anos-sin-condenas-ni-sanciones-por-el-asesinato-de-siete-campesinos-article/.</w:t>
      </w:r>
    </w:p>
  </w:footnote>
  <w:footnote w:id="732">
    <w:p w:rsidR="00591E90" w:rsidRPr="000A50A3" w:rsidRDefault="00591E90">
      <w:pPr>
        <w:pStyle w:val="Textonotapie"/>
        <w:rPr>
          <w:lang w:val="es-CO"/>
        </w:rPr>
      </w:pPr>
      <w:r>
        <w:rPr>
          <w:rStyle w:val="Refdenotaalpie"/>
        </w:rPr>
        <w:footnoteRef/>
      </w:r>
      <w:r>
        <w:t xml:space="preserve"> </w:t>
      </w:r>
      <w:r w:rsidRPr="00F26303">
        <w:t>Édgar Bermúdez, «El costo de la erradicación forzada», Pacifista, 23 de marzo de 2018.</w:t>
      </w:r>
    </w:p>
  </w:footnote>
  <w:footnote w:id="733">
    <w:p w:rsidR="00591E90" w:rsidRPr="00F26303" w:rsidRDefault="00591E90">
      <w:pPr>
        <w:pStyle w:val="Textonotapie"/>
        <w:rPr>
          <w:lang w:val="es-CO"/>
        </w:rPr>
      </w:pPr>
      <w:r>
        <w:rPr>
          <w:rStyle w:val="Refdenotaalpie"/>
        </w:rPr>
        <w:footnoteRef/>
      </w:r>
      <w:r>
        <w:t xml:space="preserve"> </w:t>
      </w:r>
      <w:r w:rsidRPr="00F26303">
        <w:t>E. 1-01 Cultivador de El Plateado, Argelia (Cauca).</w:t>
      </w:r>
    </w:p>
  </w:footnote>
  <w:footnote w:id="734">
    <w:p w:rsidR="00591E90" w:rsidRPr="00E013A2" w:rsidRDefault="00591E90">
      <w:pPr>
        <w:pStyle w:val="Textonotapie"/>
        <w:rPr>
          <w:lang w:val="es-CO"/>
        </w:rPr>
      </w:pPr>
      <w:r>
        <w:rPr>
          <w:rStyle w:val="Refdenotaalpie"/>
        </w:rPr>
        <w:footnoteRef/>
      </w:r>
      <w:r>
        <w:t xml:space="preserve"> </w:t>
      </w:r>
      <w:r w:rsidRPr="00E013A2">
        <w:t>Entrevista 432-AA-00001. Exmilitar, hombre.</w:t>
      </w:r>
    </w:p>
  </w:footnote>
  <w:footnote w:id="735">
    <w:p w:rsidR="00591E90" w:rsidRPr="00F8662D" w:rsidRDefault="00591E90">
      <w:pPr>
        <w:pStyle w:val="Textonotapie"/>
        <w:rPr>
          <w:lang w:val="es-CO"/>
        </w:rPr>
      </w:pPr>
      <w:r>
        <w:rPr>
          <w:rStyle w:val="Refdenotaalpie"/>
        </w:rPr>
        <w:footnoteRef/>
      </w:r>
      <w:r>
        <w:t xml:space="preserve"> </w:t>
      </w:r>
      <w:r w:rsidRPr="00F8662D">
        <w:t xml:space="preserve">Comisión de la Verdad. Análisis de los discursos presidenciales de posesión en </w:t>
      </w:r>
      <w:proofErr w:type="spellStart"/>
      <w:r w:rsidRPr="00F8662D">
        <w:t>colombia</w:t>
      </w:r>
      <w:proofErr w:type="spellEnd"/>
      <w:r w:rsidRPr="00F8662D">
        <w:t xml:space="preserve"> según términos referentes a temáticas y ministerios. (Bogotá: CEV, 2021). Se empelaron técnicas de trabajo de procesamiento de lenguaje natural (PLN). Debido a que no se logró acceder al discurso de Misael Pastrana </w:t>
      </w:r>
      <w:proofErr w:type="spellStart"/>
      <w:r w:rsidRPr="00F8662D">
        <w:t>Borero</w:t>
      </w:r>
      <w:proofErr w:type="spellEnd"/>
      <w:r w:rsidRPr="00F8662D">
        <w:t xml:space="preserve"> (1970-1974) este no fue incluido en este análisis.</w:t>
      </w:r>
    </w:p>
  </w:footnote>
  <w:footnote w:id="736">
    <w:p w:rsidR="00591E90" w:rsidRPr="00E62705" w:rsidRDefault="00591E90">
      <w:pPr>
        <w:pStyle w:val="Textonotapie"/>
        <w:rPr>
          <w:lang w:val="es-CO"/>
        </w:rPr>
      </w:pPr>
      <w:r>
        <w:rPr>
          <w:rStyle w:val="Refdenotaalpie"/>
        </w:rPr>
        <w:footnoteRef/>
      </w:r>
      <w:r>
        <w:t xml:space="preserve"> </w:t>
      </w:r>
      <w:r w:rsidRPr="00E62705">
        <w:t>Ver capítulo «Democracia» de este volumen y el volumen Narrativa histórica.</w:t>
      </w:r>
    </w:p>
  </w:footnote>
  <w:footnote w:id="737">
    <w:p w:rsidR="00591E90" w:rsidRPr="00E62705" w:rsidRDefault="00591E90">
      <w:pPr>
        <w:pStyle w:val="Textonotapie"/>
        <w:rPr>
          <w:lang w:val="es-CO"/>
        </w:rPr>
      </w:pPr>
      <w:r>
        <w:rPr>
          <w:rStyle w:val="Refdenotaalpie"/>
        </w:rPr>
        <w:footnoteRef/>
      </w:r>
      <w:r>
        <w:t xml:space="preserve"> </w:t>
      </w:r>
      <w:r w:rsidRPr="00E62705">
        <w:t>Alberto Lleras. Antología. (Bogotá: Villegas, 2006), vol. 3, 381-393.</w:t>
      </w:r>
    </w:p>
  </w:footnote>
  <w:footnote w:id="738">
    <w:p w:rsidR="00591E90" w:rsidRPr="00E62705" w:rsidRDefault="00591E90">
      <w:pPr>
        <w:pStyle w:val="Textonotapie"/>
        <w:rPr>
          <w:lang w:val="es-CO"/>
        </w:rPr>
      </w:pPr>
      <w:r>
        <w:rPr>
          <w:rStyle w:val="Refdenotaalpie"/>
        </w:rPr>
        <w:footnoteRef/>
      </w:r>
      <w:r>
        <w:t xml:space="preserve"> </w:t>
      </w:r>
      <w:proofErr w:type="spellStart"/>
      <w:r w:rsidRPr="00E62705">
        <w:t>Ibíd</w:t>
      </w:r>
      <w:proofErr w:type="spellEnd"/>
      <w:r w:rsidRPr="00E62705">
        <w:t>.</w:t>
      </w:r>
    </w:p>
  </w:footnote>
  <w:footnote w:id="739">
    <w:p w:rsidR="00591E90" w:rsidRPr="00E62705" w:rsidRDefault="00591E90">
      <w:pPr>
        <w:pStyle w:val="Textonotapie"/>
        <w:rPr>
          <w:lang w:val="es-CO"/>
        </w:rPr>
      </w:pPr>
      <w:r>
        <w:rPr>
          <w:rStyle w:val="Refdenotaalpie"/>
        </w:rPr>
        <w:footnoteRef/>
      </w:r>
      <w:r>
        <w:t xml:space="preserve"> </w:t>
      </w:r>
      <w:proofErr w:type="spellStart"/>
      <w:r w:rsidRPr="00E62705">
        <w:t>Ibíd</w:t>
      </w:r>
      <w:proofErr w:type="spellEnd"/>
      <w:r w:rsidRPr="00E62705">
        <w:t>.</w:t>
      </w:r>
    </w:p>
  </w:footnote>
  <w:footnote w:id="740">
    <w:p w:rsidR="00591E90" w:rsidRPr="00E62705" w:rsidRDefault="00591E90">
      <w:pPr>
        <w:pStyle w:val="Textonotapie"/>
        <w:rPr>
          <w:lang w:val="es-CO"/>
        </w:rPr>
      </w:pPr>
      <w:r>
        <w:rPr>
          <w:rStyle w:val="Refdenotaalpie"/>
        </w:rPr>
        <w:footnoteRef/>
      </w:r>
      <w:r>
        <w:t xml:space="preserve"> </w:t>
      </w:r>
      <w:proofErr w:type="spellStart"/>
      <w:r w:rsidRPr="00E62705">
        <w:t>Ibíd</w:t>
      </w:r>
      <w:proofErr w:type="spellEnd"/>
      <w:r w:rsidRPr="00E62705">
        <w:t>.</w:t>
      </w:r>
    </w:p>
  </w:footnote>
  <w:footnote w:id="741">
    <w:p w:rsidR="00591E90" w:rsidRPr="00640067" w:rsidRDefault="00591E90">
      <w:pPr>
        <w:pStyle w:val="Textonotapie"/>
      </w:pPr>
      <w:r>
        <w:rPr>
          <w:rStyle w:val="Refdenotaalpie"/>
        </w:rPr>
        <w:footnoteRef/>
      </w:r>
      <w:r>
        <w:t xml:space="preserve"> </w:t>
      </w:r>
      <w:r w:rsidRPr="00640067">
        <w:t>Comisión de la Verdad y Consejo de Estado. Verdades en Convergencia. Análisis de la jurisprudencia del Consejo de Estado en diálogo con la Comisión de la Verdad. (Bogotá: Consejo Superior de la Judicatura, 2021).</w:t>
      </w:r>
    </w:p>
  </w:footnote>
  <w:footnote w:id="742">
    <w:p w:rsidR="00591E90" w:rsidRPr="00640067" w:rsidRDefault="00591E90">
      <w:pPr>
        <w:pStyle w:val="Textonotapie"/>
        <w:rPr>
          <w:lang w:val="es-CO"/>
        </w:rPr>
      </w:pPr>
      <w:r>
        <w:rPr>
          <w:rStyle w:val="Refdenotaalpie"/>
        </w:rPr>
        <w:footnoteRef/>
      </w:r>
      <w:r>
        <w:t xml:space="preserve"> </w:t>
      </w:r>
      <w:r w:rsidRPr="00640067">
        <w:t>Los “pájaros” se convirtieron en un referente de horror y bajo su calidad de civiles armados. Llevaron a cabo acciones de persecución y exterminio que llegaron a impactar extensas zonas del territorio nacional (el caso, por ejemplo, del Valle del Cauca), donde la sola mención a personajes como León María Lozano ‘el Cóndor’, trae a la memoria una época de pueblos arrasados por las violentas cuadrillas. Rubén Darío León Pineda. La violencia conservadora en el Valle del Cauca durante el Gobierno de Mariano Ospina Pérez: 1946-1950. (Cali: Universidad del Valle, 2004), 103.</w:t>
      </w:r>
    </w:p>
  </w:footnote>
  <w:footnote w:id="743">
    <w:p w:rsidR="00591E90" w:rsidRPr="00640067" w:rsidRDefault="00591E90">
      <w:pPr>
        <w:pStyle w:val="Textonotapie"/>
        <w:rPr>
          <w:lang w:val="es-CO"/>
        </w:rPr>
      </w:pPr>
      <w:r>
        <w:rPr>
          <w:rStyle w:val="Refdenotaalpie"/>
        </w:rPr>
        <w:footnoteRef/>
      </w:r>
      <w:r>
        <w:t xml:space="preserve"> </w:t>
      </w:r>
      <w:r w:rsidRPr="00640067">
        <w:t xml:space="preserve">La Policía </w:t>
      </w:r>
      <w:proofErr w:type="spellStart"/>
      <w:r w:rsidRPr="00640067">
        <w:t>chulavita</w:t>
      </w:r>
      <w:proofErr w:type="spellEnd"/>
      <w:r w:rsidRPr="00640067">
        <w:t>, fue un cuerpo civil armado creado por poderes locales, políticos y gobiernos en varias regiones del país, bajo el auspicio de la Policía.</w:t>
      </w:r>
    </w:p>
  </w:footnote>
  <w:footnote w:id="744">
    <w:p w:rsidR="00591E90" w:rsidRPr="00640067" w:rsidRDefault="00591E90">
      <w:pPr>
        <w:pStyle w:val="Textonotapie"/>
        <w:rPr>
          <w:lang w:val="es-CO"/>
        </w:rPr>
      </w:pPr>
      <w:r>
        <w:rPr>
          <w:rStyle w:val="Refdenotaalpie"/>
        </w:rPr>
        <w:footnoteRef/>
      </w:r>
      <w:r>
        <w:t xml:space="preserve"> </w:t>
      </w:r>
      <w:r w:rsidRPr="00640067">
        <w:t>Comando del Ejército. Manual de operaciones contra las fuerzas irregulares. (Bogotá: Imprenta de las Fuerzas Militares, 1962), 3.</w:t>
      </w:r>
    </w:p>
  </w:footnote>
  <w:footnote w:id="745">
    <w:p w:rsidR="00591E90" w:rsidRPr="00640067" w:rsidRDefault="00591E90">
      <w:pPr>
        <w:pStyle w:val="Textonotapie"/>
        <w:rPr>
          <w:lang w:val="es-CO"/>
        </w:rPr>
      </w:pPr>
      <w:r>
        <w:rPr>
          <w:rStyle w:val="Refdenotaalpie"/>
        </w:rPr>
        <w:footnoteRef/>
      </w:r>
      <w:r>
        <w:t xml:space="preserve"> </w:t>
      </w:r>
      <w:proofErr w:type="spellStart"/>
      <w:r w:rsidRPr="00640067">
        <w:t>Ibíd</w:t>
      </w:r>
      <w:proofErr w:type="spellEnd"/>
      <w:r w:rsidRPr="00640067">
        <w:t>., 8-10.</w:t>
      </w:r>
    </w:p>
  </w:footnote>
  <w:footnote w:id="746">
    <w:p w:rsidR="00591E90" w:rsidRPr="00640067" w:rsidRDefault="00591E90">
      <w:pPr>
        <w:pStyle w:val="Textonotapie"/>
        <w:rPr>
          <w:lang w:val="es-CO"/>
        </w:rPr>
      </w:pPr>
      <w:r>
        <w:rPr>
          <w:rStyle w:val="Refdenotaalpie"/>
        </w:rPr>
        <w:footnoteRef/>
      </w:r>
      <w:r>
        <w:t xml:space="preserve"> </w:t>
      </w:r>
      <w:proofErr w:type="spellStart"/>
      <w:r w:rsidRPr="00640067">
        <w:t>Ibíd</w:t>
      </w:r>
      <w:proofErr w:type="spellEnd"/>
      <w:r w:rsidRPr="00640067">
        <w:t>., 27.</w:t>
      </w:r>
    </w:p>
  </w:footnote>
  <w:footnote w:id="747">
    <w:p w:rsidR="00591E90" w:rsidRPr="00640067" w:rsidRDefault="00591E90">
      <w:pPr>
        <w:pStyle w:val="Textonotapie"/>
        <w:rPr>
          <w:lang w:val="es-CO"/>
        </w:rPr>
      </w:pPr>
      <w:r>
        <w:rPr>
          <w:rStyle w:val="Refdenotaalpie"/>
        </w:rPr>
        <w:footnoteRef/>
      </w:r>
      <w:r>
        <w:t xml:space="preserve"> </w:t>
      </w:r>
      <w:r w:rsidRPr="00640067">
        <w:t>Ayudantía General del Comando del Ejército. Manual de instrucciones generales para operaciones contraguerrillas. (Bogotá, Imprenta de las Fuerzas Militares, 1979), 188.</w:t>
      </w:r>
    </w:p>
  </w:footnote>
  <w:footnote w:id="748">
    <w:p w:rsidR="00591E90" w:rsidRPr="00640067" w:rsidRDefault="00591E90">
      <w:pPr>
        <w:pStyle w:val="Textonotapie"/>
        <w:rPr>
          <w:lang w:val="es-CO"/>
        </w:rPr>
      </w:pPr>
      <w:r>
        <w:rPr>
          <w:rStyle w:val="Refdenotaalpie"/>
        </w:rPr>
        <w:footnoteRef/>
      </w:r>
      <w:r>
        <w:t xml:space="preserve"> </w:t>
      </w:r>
      <w:proofErr w:type="spellStart"/>
      <w:r w:rsidRPr="00640067">
        <w:t>Ibíd</w:t>
      </w:r>
      <w:proofErr w:type="spellEnd"/>
      <w:r w:rsidRPr="00640067">
        <w:t>., 195.</w:t>
      </w:r>
    </w:p>
  </w:footnote>
  <w:footnote w:id="749">
    <w:p w:rsidR="00591E90" w:rsidRPr="00640067" w:rsidRDefault="00591E90">
      <w:pPr>
        <w:pStyle w:val="Textonotapie"/>
        <w:rPr>
          <w:lang w:val="es-CO"/>
        </w:rPr>
      </w:pPr>
      <w:r>
        <w:rPr>
          <w:rStyle w:val="Refdenotaalpie"/>
        </w:rPr>
        <w:footnoteRef/>
      </w:r>
      <w:r>
        <w:t xml:space="preserve"> </w:t>
      </w:r>
      <w:r w:rsidRPr="00640067">
        <w:t>Gustavo Gallón Giraldo. Quince años de estado de sitio en Colombia: 1958-1978. (Bogotá: Editorial América Latina, 1979).</w:t>
      </w:r>
    </w:p>
  </w:footnote>
  <w:footnote w:id="750">
    <w:p w:rsidR="00591E90" w:rsidRPr="00640067" w:rsidRDefault="00591E90">
      <w:pPr>
        <w:pStyle w:val="Textonotapie"/>
        <w:rPr>
          <w:lang w:val="es-CO"/>
        </w:rPr>
      </w:pPr>
      <w:r>
        <w:rPr>
          <w:rStyle w:val="Refdenotaalpie"/>
        </w:rPr>
        <w:footnoteRef/>
      </w:r>
      <w:r>
        <w:t xml:space="preserve"> </w:t>
      </w:r>
      <w:r w:rsidRPr="00640067">
        <w:t xml:space="preserve">Sin embargo, el recurso del estado de sitio para reprimir manifestaciones y reivindicaciones sociales no era novedoso en nuestra historia. Por ejemplo, la masacre de las bananeras (1918) se ejecutó por los militares tras la declaración del estado de sitio, que había calificado la huelga del sindicato de la </w:t>
      </w:r>
      <w:proofErr w:type="spellStart"/>
      <w:r w:rsidRPr="00640067">
        <w:t>United</w:t>
      </w:r>
      <w:proofErr w:type="spellEnd"/>
      <w:r w:rsidRPr="00640067">
        <w:t xml:space="preserve"> </w:t>
      </w:r>
      <w:proofErr w:type="spellStart"/>
      <w:r w:rsidRPr="00640067">
        <w:t>Fruit</w:t>
      </w:r>
      <w:proofErr w:type="spellEnd"/>
      <w:r w:rsidRPr="00640067">
        <w:t xml:space="preserve"> Company como un problema de orden público.</w:t>
      </w:r>
    </w:p>
  </w:footnote>
  <w:footnote w:id="751">
    <w:p w:rsidR="00591E90" w:rsidRPr="00053E17" w:rsidRDefault="00591E90">
      <w:pPr>
        <w:pStyle w:val="Textonotapie"/>
        <w:rPr>
          <w:lang w:val="es-CO"/>
        </w:rPr>
      </w:pPr>
      <w:r>
        <w:rPr>
          <w:rStyle w:val="Refdenotaalpie"/>
        </w:rPr>
        <w:footnoteRef/>
      </w:r>
      <w:r>
        <w:t xml:space="preserve"> </w:t>
      </w:r>
      <w:r w:rsidRPr="00053E17">
        <w:t>Comisión de la Verdad. Patrones de violencia, casos y responsables de victimización de defensores y defensoras de derechos humanos ocurridos en Colombia en el marco del conflicto armado. (Bogotá: CEV). pp. 8, 32 y 33.</w:t>
      </w:r>
    </w:p>
  </w:footnote>
  <w:footnote w:id="752">
    <w:p w:rsidR="00591E90" w:rsidRPr="00053E17" w:rsidRDefault="00591E90">
      <w:pPr>
        <w:pStyle w:val="Textonotapie"/>
        <w:rPr>
          <w:lang w:val="es-CO"/>
        </w:rPr>
      </w:pPr>
      <w:r>
        <w:rPr>
          <w:rStyle w:val="Refdenotaalpie"/>
        </w:rPr>
        <w:footnoteRef/>
      </w:r>
      <w:r>
        <w:t xml:space="preserve"> </w:t>
      </w:r>
      <w:r w:rsidRPr="00053E17">
        <w:t>Informe Azadones contra fusiles: cómo el conflicto armado ha obstaculizado los esfuerzos del campesinado por gozar de una vida digna.</w:t>
      </w:r>
    </w:p>
  </w:footnote>
  <w:footnote w:id="753">
    <w:p w:rsidR="00591E90" w:rsidRPr="00053E17" w:rsidRDefault="00591E90">
      <w:pPr>
        <w:pStyle w:val="Textonotapie"/>
        <w:rPr>
          <w:lang w:val="es-CO"/>
        </w:rPr>
      </w:pPr>
      <w:r>
        <w:rPr>
          <w:rStyle w:val="Refdenotaalpie"/>
        </w:rPr>
        <w:footnoteRef/>
      </w:r>
      <w:r>
        <w:t xml:space="preserve"> </w:t>
      </w:r>
      <w:r w:rsidRPr="00053E17">
        <w:t>Comisión de la Verdad. Universidades y conflicto armado en Colombia, Bogotá: CEV. p. 14.</w:t>
      </w:r>
    </w:p>
  </w:footnote>
  <w:footnote w:id="754">
    <w:p w:rsidR="00591E90" w:rsidRPr="00997B72" w:rsidRDefault="00591E90">
      <w:pPr>
        <w:pStyle w:val="Textonotapie"/>
        <w:rPr>
          <w:lang w:val="es-CO"/>
        </w:rPr>
      </w:pPr>
      <w:r>
        <w:rPr>
          <w:rStyle w:val="Refdenotaalpie"/>
        </w:rPr>
        <w:footnoteRef/>
      </w:r>
      <w:r>
        <w:t xml:space="preserve"> </w:t>
      </w:r>
      <w:r w:rsidRPr="00997B72">
        <w:t>“El genocidio de la Unión Patriótica”. Ver Anexo de casos de la Comisión.</w:t>
      </w:r>
    </w:p>
  </w:footnote>
  <w:footnote w:id="755">
    <w:p w:rsidR="00591E90" w:rsidRPr="00997B72" w:rsidRDefault="00591E90">
      <w:pPr>
        <w:pStyle w:val="Textonotapie"/>
        <w:rPr>
          <w:lang w:val="es-CO"/>
        </w:rPr>
      </w:pPr>
      <w:r>
        <w:rPr>
          <w:rStyle w:val="Refdenotaalpie"/>
        </w:rPr>
        <w:footnoteRef/>
      </w:r>
      <w:r>
        <w:t xml:space="preserve"> </w:t>
      </w:r>
      <w:r w:rsidRPr="0047661F">
        <w:t>DIVO2-G2-CI-219. Fuerzas Militares de Colombia. Ejército Nacional. Bucaramanga, 6 de julio de 1998. Firmado por el Comandante de la Segunda División, en comunicación dirigida al comandante de la Brigada 14 de Puerto Berrío, p. 3.</w:t>
      </w:r>
    </w:p>
  </w:footnote>
  <w:footnote w:id="756">
    <w:p w:rsidR="00591E90" w:rsidRPr="00997B72" w:rsidRDefault="00591E90">
      <w:pPr>
        <w:pStyle w:val="Textonotapie"/>
        <w:rPr>
          <w:lang w:val="es-CO"/>
        </w:rPr>
      </w:pPr>
      <w:r>
        <w:rPr>
          <w:rStyle w:val="Refdenotaalpie"/>
        </w:rPr>
        <w:footnoteRef/>
      </w:r>
      <w:r>
        <w:t xml:space="preserve"> </w:t>
      </w:r>
      <w:r w:rsidRPr="0047661F">
        <w:t xml:space="preserve">En la nota al pie del documento dice: «COPIA LISTA </w:t>
      </w:r>
      <w:proofErr w:type="spellStart"/>
      <w:r w:rsidRPr="0047661F">
        <w:t>ONG´s</w:t>
      </w:r>
      <w:proofErr w:type="spellEnd"/>
      <w:r w:rsidRPr="0047661F">
        <w:t xml:space="preserve"> obtenidas vía INTERNET (Anexo 5)», p. 4.</w:t>
      </w:r>
    </w:p>
  </w:footnote>
  <w:footnote w:id="757">
    <w:p w:rsidR="00591E90" w:rsidRPr="0047661F" w:rsidRDefault="00591E90">
      <w:pPr>
        <w:pStyle w:val="Textonotapie"/>
        <w:rPr>
          <w:lang w:val="es-CO"/>
        </w:rPr>
      </w:pPr>
      <w:r>
        <w:rPr>
          <w:rStyle w:val="Refdenotaalpie"/>
        </w:rPr>
        <w:footnoteRef/>
      </w:r>
      <w:r>
        <w:t xml:space="preserve"> </w:t>
      </w:r>
      <w:r w:rsidRPr="00833077">
        <w:t>Entrevista 232-VI-00033.</w:t>
      </w:r>
    </w:p>
  </w:footnote>
  <w:footnote w:id="758">
    <w:p w:rsidR="00591E90" w:rsidRPr="00833077" w:rsidRDefault="00591E90">
      <w:pPr>
        <w:pStyle w:val="Textonotapie"/>
        <w:rPr>
          <w:lang w:val="es-CO"/>
        </w:rPr>
      </w:pPr>
      <w:r>
        <w:rPr>
          <w:rStyle w:val="Refdenotaalpie"/>
        </w:rPr>
        <w:footnoteRef/>
      </w:r>
      <w:r>
        <w:t xml:space="preserve"> </w:t>
      </w:r>
      <w:r w:rsidRPr="00833077">
        <w:t>Comisión de la Verdad y Consejo de Estado. Verdades en Convergencia. Análisis de la jurisprudencia del Consejo de Estado en diálogo con la Comisión de la Verdad. (Bogotá: Consejo Superior de la Judicatura, 2021). 759 Álvaro Uribe Vélez. «Discurso en la posesión del comandante de la Fuerza Aérea Colombiana», septiembre del 2003.</w:t>
      </w:r>
    </w:p>
  </w:footnote>
  <w:footnote w:id="759">
    <w:p w:rsidR="00591E90" w:rsidRPr="00833077" w:rsidRDefault="00591E90">
      <w:pPr>
        <w:pStyle w:val="Textonotapie"/>
        <w:rPr>
          <w:lang w:val="es-CO"/>
        </w:rPr>
      </w:pPr>
      <w:r>
        <w:rPr>
          <w:rStyle w:val="Refdenotaalpie"/>
        </w:rPr>
        <w:footnoteRef/>
      </w:r>
      <w:r>
        <w:t xml:space="preserve"> </w:t>
      </w:r>
      <w:r w:rsidRPr="00833077">
        <w:t>Álvaro Uribe Vélez. «Discurso en la posesión del comandante de la Fuerza Aérea Colombiana», septiembre del 2003.</w:t>
      </w:r>
    </w:p>
  </w:footnote>
  <w:footnote w:id="760">
    <w:p w:rsidR="00591E90" w:rsidRPr="00833077" w:rsidRDefault="00591E90">
      <w:pPr>
        <w:pStyle w:val="Textonotapie"/>
        <w:rPr>
          <w:lang w:val="es-CO"/>
        </w:rPr>
      </w:pPr>
      <w:r>
        <w:rPr>
          <w:rStyle w:val="Refdenotaalpie"/>
        </w:rPr>
        <w:footnoteRef/>
      </w:r>
      <w:r>
        <w:t xml:space="preserve"> </w:t>
      </w:r>
      <w:r w:rsidRPr="00833077">
        <w:t>Al respecto ver el texto «Narcotráfico como actor del conflicto, como factor de su persistencia y como forma de degradación del poder», acápite 6.2: «El péndulo moral de la estigmatización de las familias campesinas cocaleras».</w:t>
      </w:r>
    </w:p>
  </w:footnote>
  <w:footnote w:id="761">
    <w:p w:rsidR="00591E90" w:rsidRPr="004A28C3" w:rsidRDefault="00591E90">
      <w:pPr>
        <w:pStyle w:val="Textonotapie"/>
        <w:rPr>
          <w:lang w:val="es-CO"/>
        </w:rPr>
      </w:pPr>
      <w:r>
        <w:rPr>
          <w:rStyle w:val="Refdenotaalpie"/>
        </w:rPr>
        <w:footnoteRef/>
      </w:r>
      <w:r>
        <w:t xml:space="preserve"> </w:t>
      </w:r>
      <w:r w:rsidRPr="00276F08">
        <w:t>Ver caso de Sindicalismo. Anexo de casos Comisión de la Verdad.</w:t>
      </w:r>
    </w:p>
  </w:footnote>
  <w:footnote w:id="762">
    <w:p w:rsidR="00591E90" w:rsidRPr="004A28C3" w:rsidRDefault="00591E90">
      <w:pPr>
        <w:pStyle w:val="Textonotapie"/>
        <w:rPr>
          <w:lang w:val="es-CO"/>
        </w:rPr>
      </w:pPr>
      <w:r>
        <w:rPr>
          <w:rStyle w:val="Refdenotaalpie"/>
        </w:rPr>
        <w:footnoteRef/>
      </w:r>
      <w:r>
        <w:t xml:space="preserve"> </w:t>
      </w:r>
      <w:r w:rsidRPr="00276F08">
        <w:t>Ver caso de Universidades. Anexo de casos Comisión de la Verdad.</w:t>
      </w:r>
    </w:p>
  </w:footnote>
  <w:footnote w:id="763">
    <w:p w:rsidR="00591E90" w:rsidRPr="004A28C3" w:rsidRDefault="00591E90">
      <w:pPr>
        <w:pStyle w:val="Textonotapie"/>
        <w:rPr>
          <w:lang w:val="es-CO"/>
        </w:rPr>
      </w:pPr>
      <w:r>
        <w:rPr>
          <w:rStyle w:val="Refdenotaalpie"/>
        </w:rPr>
        <w:footnoteRef/>
      </w:r>
      <w:r>
        <w:t xml:space="preserve"> </w:t>
      </w:r>
      <w:r w:rsidRPr="00276F08">
        <w:t>Ver caso de Sindicalismo. Anexo de casos Comisión de la Verdad.</w:t>
      </w:r>
    </w:p>
  </w:footnote>
  <w:footnote w:id="764">
    <w:p w:rsidR="00591E90" w:rsidRPr="00276F08" w:rsidRDefault="00591E90">
      <w:pPr>
        <w:pStyle w:val="Textonotapie"/>
        <w:rPr>
          <w:lang w:val="es-CO"/>
        </w:rPr>
      </w:pPr>
      <w:r>
        <w:rPr>
          <w:rStyle w:val="Refdenotaalpie"/>
        </w:rPr>
        <w:footnoteRef/>
      </w:r>
      <w:r>
        <w:t xml:space="preserve"> </w:t>
      </w:r>
      <w:r w:rsidRPr="00276F08">
        <w:t>Ver volumen Territorios del Informe Final de la Comisión de la Verdad.</w:t>
      </w:r>
    </w:p>
  </w:footnote>
  <w:footnote w:id="765">
    <w:p w:rsidR="00591E90" w:rsidRPr="00276F08" w:rsidRDefault="00591E90">
      <w:pPr>
        <w:pStyle w:val="Textonotapie"/>
        <w:rPr>
          <w:lang w:val="es-CO"/>
        </w:rPr>
      </w:pPr>
      <w:r>
        <w:rPr>
          <w:rStyle w:val="Refdenotaalpie"/>
        </w:rPr>
        <w:footnoteRef/>
      </w:r>
      <w:r>
        <w:t xml:space="preserve"> </w:t>
      </w:r>
      <w:r w:rsidRPr="00397F4B">
        <w:t>Ver Caso de Despojo. Anexo de casos Comisión de la Verdad.</w:t>
      </w:r>
    </w:p>
  </w:footnote>
  <w:footnote w:id="766">
    <w:p w:rsidR="00591E90" w:rsidRPr="00397F4B" w:rsidRDefault="00591E90">
      <w:pPr>
        <w:pStyle w:val="Textonotapie"/>
        <w:rPr>
          <w:lang w:val="es-CO"/>
        </w:rPr>
      </w:pPr>
      <w:r>
        <w:rPr>
          <w:rStyle w:val="Refdenotaalpie"/>
        </w:rPr>
        <w:footnoteRef/>
      </w:r>
      <w:r>
        <w:t xml:space="preserve"> </w:t>
      </w:r>
      <w:r w:rsidRPr="00397F4B">
        <w:t xml:space="preserve">Pedro Javier Rojas, «Doctrina Damasco: eje articulador de la segunda gran reforma del Ejército Nacional de Colombia». Revista Científica General José María Córdova 15, </w:t>
      </w:r>
      <w:proofErr w:type="spellStart"/>
      <w:r w:rsidRPr="00397F4B">
        <w:t>n.°</w:t>
      </w:r>
      <w:proofErr w:type="spellEnd"/>
      <w:r w:rsidRPr="00397F4B">
        <w:t xml:space="preserve"> 19, (2017, enero-junio): 95-119. DOI: http://dx.doi.org/10.21830/19006586.78.</w:t>
      </w:r>
    </w:p>
  </w:footnote>
  <w:footnote w:id="767">
    <w:p w:rsidR="00591E90" w:rsidRPr="00397F4B" w:rsidRDefault="00591E90">
      <w:pPr>
        <w:pStyle w:val="Textonotapie"/>
        <w:rPr>
          <w:lang w:val="es-CO"/>
        </w:rPr>
      </w:pPr>
      <w:r>
        <w:rPr>
          <w:rStyle w:val="Refdenotaalpie"/>
        </w:rPr>
        <w:footnoteRef/>
      </w:r>
      <w:r>
        <w:t xml:space="preserve"> </w:t>
      </w:r>
      <w:r w:rsidRPr="00397F4B">
        <w:t>Ver caso «Despojo» en Anexo de Casos de la Comisión de la Verdad.</w:t>
      </w:r>
    </w:p>
  </w:footnote>
  <w:footnote w:id="768">
    <w:p w:rsidR="00591E90" w:rsidRPr="00397F4B" w:rsidRDefault="00591E90">
      <w:pPr>
        <w:pStyle w:val="Textonotapie"/>
        <w:rPr>
          <w:lang w:val="es-CO"/>
        </w:rPr>
      </w:pPr>
      <w:r>
        <w:rPr>
          <w:rStyle w:val="Refdenotaalpie"/>
        </w:rPr>
        <w:footnoteRef/>
      </w:r>
      <w:r>
        <w:t xml:space="preserve"> </w:t>
      </w:r>
      <w:r w:rsidRPr="00397F4B">
        <w:t xml:space="preserve">En las protestas sociales de 2019, 2020 y 2021 se registró el uso desproporcionado de la fuerza por parte de la Policía, en especial del </w:t>
      </w:r>
      <w:proofErr w:type="spellStart"/>
      <w:r w:rsidRPr="00397F4B">
        <w:t>Esmad</w:t>
      </w:r>
      <w:proofErr w:type="spellEnd"/>
      <w:r w:rsidRPr="00397F4B">
        <w:t xml:space="preserve">, así como falta de neutralidad en la función, pues tendieron a defender a las instituciones contra las cuales se protestaba y la infraestructura pública, incluso por encima de la protección de los protestantes, cometiendo graves violaciones a derechos humanos entre las que se encuentran la tortura, la detención arbitraria, el homicidio, la violencia sexual y la desaparición forzada. También se reportaron ataques a la prensa y a quienes transmitían en vivo las protestas. Al respecto, se pueden consultar el Informe final de la relatoría independiente para el esclarecimiento de los hechos ocurridos los días 9 y 10 de septiembre en Bogotá, el informe de la Oficina en Colombia de la Alta Comisionada de Naciones Unidas para los Derechos Humanos «El paro nacional 2021: Lecciones aprendidas para el ejercicio del derecho a la reunión pacífica en Colombia», el informe de la Comisión Interamericana de Derechos Humanos «Observaciones y recomendaciones, visita de trabajo a Colombia» de junio del 2021, el Informe de los concejales Diego </w:t>
      </w:r>
      <w:proofErr w:type="spellStart"/>
      <w:r w:rsidRPr="00397F4B">
        <w:t>Cancino</w:t>
      </w:r>
      <w:proofErr w:type="spellEnd"/>
      <w:r w:rsidRPr="00397F4B">
        <w:t xml:space="preserve"> y Susana </w:t>
      </w:r>
      <w:proofErr w:type="spellStart"/>
      <w:r w:rsidRPr="00397F4B">
        <w:t>Muhamad</w:t>
      </w:r>
      <w:proofErr w:type="spellEnd"/>
      <w:r w:rsidRPr="00397F4B">
        <w:t xml:space="preserve"> sobre nuevos hallazgos de torturas y detenciones ilegales en </w:t>
      </w:r>
      <w:proofErr w:type="spellStart"/>
      <w:r w:rsidRPr="00397F4B">
        <w:t>TransMilenio</w:t>
      </w:r>
      <w:proofErr w:type="spellEnd"/>
      <w:r w:rsidRPr="00397F4B">
        <w:t xml:space="preserve">; la Sentencia de la Corte Suprema de Justicia STC7641, 22 de septiembre de 2020; el informe Temblores, 20 años de claroscuros del </w:t>
      </w:r>
      <w:proofErr w:type="spellStart"/>
      <w:r w:rsidRPr="00397F4B">
        <w:t>Esmad</w:t>
      </w:r>
      <w:proofErr w:type="spellEnd"/>
      <w:r w:rsidRPr="00397F4B">
        <w:t xml:space="preserve">, 2019; el Informe 748-CI-00615. Temblores, Silencio oficial. Un aturdido grito de justicia por los 20 años del </w:t>
      </w:r>
      <w:proofErr w:type="spellStart"/>
      <w:r w:rsidRPr="00397F4B">
        <w:t>Esmad</w:t>
      </w:r>
      <w:proofErr w:type="spellEnd"/>
      <w:r w:rsidRPr="00397F4B">
        <w:t>. 2019; entre otros.</w:t>
      </w:r>
    </w:p>
  </w:footnote>
  <w:footnote w:id="769">
    <w:p w:rsidR="00591E90" w:rsidRPr="00397F4B" w:rsidRDefault="00591E90">
      <w:pPr>
        <w:pStyle w:val="Textonotapie"/>
        <w:rPr>
          <w:lang w:val="es-CO"/>
        </w:rPr>
      </w:pPr>
      <w:r>
        <w:rPr>
          <w:rStyle w:val="Refdenotaalpie"/>
        </w:rPr>
        <w:footnoteRef/>
      </w:r>
      <w:r>
        <w:t xml:space="preserve"> </w:t>
      </w:r>
      <w:r w:rsidRPr="00397F4B">
        <w:t>Comisión de la Verdad: «La Policía Nacional en el Conflicto Armado», 2021.</w:t>
      </w:r>
    </w:p>
  </w:footnote>
  <w:footnote w:id="770">
    <w:p w:rsidR="00591E90" w:rsidRPr="00397F4B" w:rsidRDefault="00591E90">
      <w:pPr>
        <w:pStyle w:val="Textonotapie"/>
        <w:rPr>
          <w:lang w:val="es-CO"/>
        </w:rPr>
      </w:pPr>
      <w:r>
        <w:rPr>
          <w:rStyle w:val="Refdenotaalpie"/>
        </w:rPr>
        <w:footnoteRef/>
      </w:r>
      <w:r>
        <w:t xml:space="preserve"> </w:t>
      </w:r>
      <w:r w:rsidRPr="00397F4B">
        <w:t>Ley 1861 de 2017.</w:t>
      </w:r>
    </w:p>
  </w:footnote>
  <w:footnote w:id="771">
    <w:p w:rsidR="00591E90" w:rsidRPr="00397F4B" w:rsidRDefault="00591E90">
      <w:pPr>
        <w:pStyle w:val="Textonotapie"/>
        <w:rPr>
          <w:lang w:val="es-CO"/>
        </w:rPr>
      </w:pPr>
      <w:r>
        <w:rPr>
          <w:rStyle w:val="Refdenotaalpie"/>
        </w:rPr>
        <w:footnoteRef/>
      </w:r>
      <w:r>
        <w:t xml:space="preserve"> </w:t>
      </w:r>
      <w:r w:rsidRPr="00C6432E">
        <w:t>En el marco del Comité Nacional de Acción Cívico-Militar, establecido mediante el Decreto 1381 de 1963. (República de Colombia. Diario Oficial. Decreto 1381 de junio 24 de 1963. Bogotá: Imprenta Nacional, julio 9 de 1963, Año C- Número 31126).</w:t>
      </w:r>
    </w:p>
  </w:footnote>
  <w:footnote w:id="772">
    <w:p w:rsidR="00591E90" w:rsidRPr="00397F4B" w:rsidRDefault="00591E90">
      <w:pPr>
        <w:pStyle w:val="Textonotapie"/>
        <w:rPr>
          <w:lang w:val="es-CO"/>
        </w:rPr>
      </w:pPr>
      <w:r>
        <w:rPr>
          <w:rStyle w:val="Refdenotaalpie"/>
        </w:rPr>
        <w:footnoteRef/>
      </w:r>
      <w:r>
        <w:t xml:space="preserve"> </w:t>
      </w:r>
      <w:r w:rsidRPr="00C6432E">
        <w:t>Ver casos en anexos sobre Injerencia internacional: el caso de EEUU.</w:t>
      </w:r>
    </w:p>
  </w:footnote>
  <w:footnote w:id="773">
    <w:p w:rsidR="00591E90" w:rsidRPr="00397F4B" w:rsidRDefault="00591E90">
      <w:pPr>
        <w:pStyle w:val="Textonotapie"/>
        <w:rPr>
          <w:lang w:val="es-CO"/>
        </w:rPr>
      </w:pPr>
      <w:r>
        <w:rPr>
          <w:rStyle w:val="Refdenotaalpie"/>
        </w:rPr>
        <w:footnoteRef/>
      </w:r>
      <w:r>
        <w:t xml:space="preserve"> </w:t>
      </w:r>
      <w:r w:rsidRPr="00C6432E">
        <w:t>Álvaro Valencia Tovar, Historia de la Fuerzas Militares de Colombia, (Bogotá: Planeta, 1993), tomo III, 124.</w:t>
      </w:r>
    </w:p>
  </w:footnote>
  <w:footnote w:id="774">
    <w:p w:rsidR="00591E90" w:rsidRPr="0008619F" w:rsidRDefault="00591E90">
      <w:pPr>
        <w:pStyle w:val="Textonotapie"/>
        <w:rPr>
          <w:lang w:val="pt-BR"/>
        </w:rPr>
      </w:pPr>
      <w:r>
        <w:rPr>
          <w:rStyle w:val="Refdenotaalpie"/>
        </w:rPr>
        <w:footnoteRef/>
      </w:r>
      <w:r>
        <w:t xml:space="preserve"> </w:t>
      </w:r>
      <w:r w:rsidRPr="00BD61B0">
        <w:t xml:space="preserve">Informe 748-CL-00810. Departamento de Acción Integral y Desarrollo, Ejército Nacional de Colombia. Informe para la Comisión de la Verdad. Aportes a la construcción de país: un compromiso del Ejército Nacional. </w:t>
      </w:r>
      <w:r w:rsidRPr="0008619F">
        <w:rPr>
          <w:lang w:val="pt-BR"/>
        </w:rPr>
        <w:t xml:space="preserve">(Bogotá: </w:t>
      </w:r>
      <w:proofErr w:type="spellStart"/>
      <w:r w:rsidRPr="0008619F">
        <w:rPr>
          <w:lang w:val="pt-BR"/>
        </w:rPr>
        <w:t>Ejército</w:t>
      </w:r>
      <w:proofErr w:type="spellEnd"/>
      <w:r w:rsidRPr="0008619F">
        <w:rPr>
          <w:lang w:val="pt-BR"/>
        </w:rPr>
        <w:t xml:space="preserve"> Nacional, 2020), tomo I, 53.</w:t>
      </w:r>
    </w:p>
  </w:footnote>
  <w:footnote w:id="775">
    <w:p w:rsidR="00591E90" w:rsidRPr="0008619F" w:rsidRDefault="00591E90">
      <w:pPr>
        <w:pStyle w:val="Textonotapie"/>
        <w:rPr>
          <w:lang w:val="pt-BR"/>
        </w:rPr>
      </w:pPr>
      <w:r>
        <w:rPr>
          <w:rStyle w:val="Refdenotaalpie"/>
        </w:rPr>
        <w:footnoteRef/>
      </w:r>
      <w:r w:rsidRPr="0008619F">
        <w:rPr>
          <w:lang w:val="pt-BR"/>
        </w:rPr>
        <w:t xml:space="preserve"> Informe 066-CI-01554, p. 201.</w:t>
      </w:r>
    </w:p>
  </w:footnote>
  <w:footnote w:id="776">
    <w:p w:rsidR="00591E90" w:rsidRPr="00BD61B0" w:rsidRDefault="00591E90">
      <w:pPr>
        <w:pStyle w:val="Textonotapie"/>
        <w:rPr>
          <w:lang w:val="es-CO"/>
        </w:rPr>
      </w:pPr>
      <w:r>
        <w:rPr>
          <w:rStyle w:val="Refdenotaalpie"/>
        </w:rPr>
        <w:footnoteRef/>
      </w:r>
      <w:r w:rsidRPr="0008619F">
        <w:rPr>
          <w:lang w:val="pt-BR"/>
        </w:rPr>
        <w:t xml:space="preserve"> Entrevista 984-PR-02751. </w:t>
      </w:r>
      <w:r w:rsidRPr="00BD61B0">
        <w:t>Experto, académico en seguridad y defensa.</w:t>
      </w:r>
    </w:p>
  </w:footnote>
  <w:footnote w:id="777">
    <w:p w:rsidR="00591E90" w:rsidRPr="00BD61B0" w:rsidRDefault="00591E90">
      <w:pPr>
        <w:pStyle w:val="Textonotapie"/>
        <w:rPr>
          <w:lang w:val="es-CO"/>
        </w:rPr>
      </w:pPr>
      <w:r>
        <w:rPr>
          <w:rStyle w:val="Refdenotaalpie"/>
        </w:rPr>
        <w:footnoteRef/>
      </w:r>
      <w:r>
        <w:t xml:space="preserve"> </w:t>
      </w:r>
      <w:r w:rsidRPr="00BD61B0">
        <w:t>Casos de tortura en regiones como el Meta, el Magdalena Medio y Urabá se encuentran registrados en los tomos por territorio del «Proyecto Colombia Nunca Más» realizado por diferentes organizaciones de derechos humanos y de base y publicados en http://www.derechos.org/nizkor/colombia/libros/nm/.</w:t>
      </w:r>
    </w:p>
  </w:footnote>
  <w:footnote w:id="778">
    <w:p w:rsidR="00591E90" w:rsidRPr="00BD61B0" w:rsidRDefault="00591E90">
      <w:pPr>
        <w:pStyle w:val="Textonotapie"/>
        <w:rPr>
          <w:lang w:val="es-CO"/>
        </w:rPr>
      </w:pPr>
      <w:r>
        <w:rPr>
          <w:rStyle w:val="Refdenotaalpie"/>
        </w:rPr>
        <w:footnoteRef/>
      </w:r>
      <w:r>
        <w:t xml:space="preserve"> </w:t>
      </w:r>
      <w:r w:rsidRPr="00BD61B0">
        <w:t>Constitución Política de 1991, artículo 213. Ley Estatutaria de Estados de Excepción 137 de 1994.</w:t>
      </w:r>
    </w:p>
  </w:footnote>
  <w:footnote w:id="779">
    <w:p w:rsidR="00591E90" w:rsidRPr="00BD61B0" w:rsidRDefault="00591E90">
      <w:pPr>
        <w:pStyle w:val="Textonotapie"/>
        <w:rPr>
          <w:lang w:val="es-CO"/>
        </w:rPr>
      </w:pPr>
      <w:r>
        <w:rPr>
          <w:rStyle w:val="Refdenotaalpie"/>
        </w:rPr>
        <w:footnoteRef/>
      </w:r>
      <w:r>
        <w:t xml:space="preserve"> </w:t>
      </w:r>
      <w:r w:rsidRPr="00BD61B0">
        <w:t>En la Constitución de 1991 se hizo una reforma profunda al estado de sitio, que dejó de llamarse así y pasó a llamarse «estado de conmoción interior». Su declaratoria tiene el control político del Congreso y el judicial de la Corte Constitucional, por un término no mayor a 90 días, aunque puede ser prorrogable dos veces. La declaratoria debe ser comunicada a la OEA y a Naciones Unidas. También tiene un control inmediato de la Corte Constitucional, que revisa y exige el cumplimiento de todos los requisitos formales y sustantivos de los decretos. El diseño constitucional fue muy estricto; sin embargo, en la práctica no en todos los casos se acató.</w:t>
      </w:r>
    </w:p>
  </w:footnote>
  <w:footnote w:id="780">
    <w:p w:rsidR="00591E90" w:rsidRPr="00A71FBC" w:rsidRDefault="00591E90">
      <w:pPr>
        <w:pStyle w:val="Textonotapie"/>
        <w:rPr>
          <w:lang w:val="es-CO"/>
        </w:rPr>
      </w:pPr>
      <w:r>
        <w:rPr>
          <w:rStyle w:val="Refdenotaalpie"/>
        </w:rPr>
        <w:footnoteRef/>
      </w:r>
      <w:r>
        <w:t xml:space="preserve"> </w:t>
      </w:r>
      <w:r w:rsidRPr="00A71FBC">
        <w:t>De allí que acciones como la Operación Colombia o Toma de Casa Verde, se blindaron desde lo jurídico con las herramientas que se establecieron en los decretos emitidos bajo estado de sitio y que se dirigían a la intervención y accionar militar bajo la política de control y restablecimiento del orden público, pero también, desde el punto de vista discursivo con las posturas tanto del presidente Gaviria, como de su ministro de Defensa, Rafael Pardo, acerca de la autoridad que poseían la fuerza pública y el Gobierno para llegar a cualquier parte del territorio.</w:t>
      </w:r>
    </w:p>
  </w:footnote>
  <w:footnote w:id="781">
    <w:p w:rsidR="00591E90" w:rsidRPr="00A71FBC" w:rsidRDefault="00591E90">
      <w:pPr>
        <w:pStyle w:val="Textonotapie"/>
        <w:rPr>
          <w:lang w:val="es-CO"/>
        </w:rPr>
      </w:pPr>
      <w:r>
        <w:rPr>
          <w:rStyle w:val="Refdenotaalpie"/>
        </w:rPr>
        <w:footnoteRef/>
      </w:r>
      <w:r>
        <w:t xml:space="preserve"> </w:t>
      </w:r>
      <w:r w:rsidRPr="00A71FBC">
        <w:t>Decreto 1155 de 1992 y Decreto 1793 de 1992.</w:t>
      </w:r>
    </w:p>
  </w:footnote>
  <w:footnote w:id="782">
    <w:p w:rsidR="00591E90" w:rsidRPr="000C79EB" w:rsidRDefault="00591E90">
      <w:pPr>
        <w:pStyle w:val="Textonotapie"/>
        <w:rPr>
          <w:lang w:val="es-CO"/>
        </w:rPr>
      </w:pPr>
      <w:r>
        <w:rPr>
          <w:rStyle w:val="Refdenotaalpie"/>
        </w:rPr>
        <w:footnoteRef/>
      </w:r>
      <w:r>
        <w:t xml:space="preserve"> </w:t>
      </w:r>
      <w:r w:rsidRPr="000C79EB">
        <w:t>«Esto permitió la supresión gradual del alistamiento de soldados bachilleres, la que pasó de 29.315 en 1999 a aproximadamente 3.000 desde 2001». Departamento Nacional de Planeación. Plan Colombia. Balance 1999- 2002. (Bogotá: DNP, 2003), 18.</w:t>
      </w:r>
    </w:p>
  </w:footnote>
  <w:footnote w:id="783">
    <w:p w:rsidR="00591E90" w:rsidRPr="000C79EB" w:rsidRDefault="00591E90">
      <w:pPr>
        <w:pStyle w:val="Textonotapie"/>
        <w:rPr>
          <w:lang w:val="es-CO"/>
        </w:rPr>
      </w:pPr>
      <w:r>
        <w:rPr>
          <w:rStyle w:val="Refdenotaalpie"/>
        </w:rPr>
        <w:footnoteRef/>
      </w:r>
      <w:r>
        <w:t xml:space="preserve"> </w:t>
      </w:r>
      <w:r w:rsidRPr="000C79EB">
        <w:t>Ver apartado de Narcotráfico.</w:t>
      </w:r>
    </w:p>
  </w:footnote>
  <w:footnote w:id="784">
    <w:p w:rsidR="00591E90" w:rsidRPr="000C79EB" w:rsidRDefault="00591E90">
      <w:pPr>
        <w:pStyle w:val="Textonotapie"/>
        <w:rPr>
          <w:lang w:val="es-CO"/>
        </w:rPr>
      </w:pPr>
      <w:r>
        <w:rPr>
          <w:rStyle w:val="Refdenotaalpie"/>
        </w:rPr>
        <w:footnoteRef/>
      </w:r>
      <w:r>
        <w:t xml:space="preserve"> </w:t>
      </w:r>
      <w:r w:rsidRPr="000C79EB">
        <w:t>Volumen Narrativa histórica. Informe Final Comisión de la Verdad.</w:t>
      </w:r>
    </w:p>
  </w:footnote>
  <w:footnote w:id="785">
    <w:p w:rsidR="00591E90" w:rsidRPr="000C79EB" w:rsidRDefault="00591E90">
      <w:pPr>
        <w:pStyle w:val="Textonotapie"/>
        <w:rPr>
          <w:lang w:val="es-CO"/>
        </w:rPr>
      </w:pPr>
      <w:r>
        <w:rPr>
          <w:rStyle w:val="Refdenotaalpie"/>
        </w:rPr>
        <w:footnoteRef/>
      </w:r>
      <w:r>
        <w:t xml:space="preserve"> </w:t>
      </w:r>
      <w:r w:rsidRPr="000C79EB">
        <w:t>Ley 684 de 2001.</w:t>
      </w:r>
    </w:p>
  </w:footnote>
  <w:footnote w:id="786">
    <w:p w:rsidR="00591E90" w:rsidRPr="000C79EB" w:rsidRDefault="00591E90">
      <w:pPr>
        <w:pStyle w:val="Textonotapie"/>
        <w:rPr>
          <w:lang w:val="es-CO"/>
        </w:rPr>
      </w:pPr>
      <w:r>
        <w:rPr>
          <w:rStyle w:val="Refdenotaalpie"/>
        </w:rPr>
        <w:footnoteRef/>
      </w:r>
      <w:r>
        <w:t xml:space="preserve"> </w:t>
      </w:r>
      <w:r w:rsidRPr="000C79EB">
        <w:t>Ley 684 de 2001, artículo 54.</w:t>
      </w:r>
    </w:p>
  </w:footnote>
  <w:footnote w:id="787">
    <w:p w:rsidR="00591E90" w:rsidRPr="00DA46C7" w:rsidRDefault="00591E90">
      <w:pPr>
        <w:pStyle w:val="Textonotapie"/>
        <w:rPr>
          <w:lang w:val="es-CO"/>
        </w:rPr>
      </w:pPr>
      <w:r>
        <w:rPr>
          <w:rStyle w:val="Refdenotaalpie"/>
        </w:rPr>
        <w:footnoteRef/>
      </w:r>
      <w:r>
        <w:t xml:space="preserve"> </w:t>
      </w:r>
      <w:r w:rsidRPr="00DA46C7">
        <w:t>Corte Constitucional de Colombia, Sentencia C-251 de 2002.</w:t>
      </w:r>
    </w:p>
  </w:footnote>
  <w:footnote w:id="788">
    <w:p w:rsidR="00591E90" w:rsidRPr="00DA46C7" w:rsidRDefault="00591E90">
      <w:pPr>
        <w:pStyle w:val="Textonotapie"/>
        <w:rPr>
          <w:lang w:val="es-CO"/>
        </w:rPr>
      </w:pPr>
      <w:r>
        <w:rPr>
          <w:rStyle w:val="Refdenotaalpie"/>
        </w:rPr>
        <w:footnoteRef/>
      </w:r>
      <w:r>
        <w:t xml:space="preserve"> </w:t>
      </w:r>
      <w:proofErr w:type="spellStart"/>
      <w:r w:rsidRPr="00DA46C7">
        <w:t>Ibíd</w:t>
      </w:r>
      <w:proofErr w:type="spellEnd"/>
      <w:r w:rsidRPr="00DA46C7">
        <w:t>.</w:t>
      </w:r>
    </w:p>
  </w:footnote>
  <w:footnote w:id="789">
    <w:p w:rsidR="00591E90" w:rsidRPr="00DA46C7" w:rsidRDefault="00591E90">
      <w:pPr>
        <w:pStyle w:val="Textonotapie"/>
        <w:rPr>
          <w:lang w:val="es-CO"/>
        </w:rPr>
      </w:pPr>
      <w:r>
        <w:rPr>
          <w:rStyle w:val="Refdenotaalpie"/>
        </w:rPr>
        <w:footnoteRef/>
      </w:r>
      <w:r>
        <w:t xml:space="preserve"> </w:t>
      </w:r>
      <w:r w:rsidRPr="00DA46C7">
        <w:t>Ministerio de Defensa. Política de Defensa y Seguridad Democrática. (Bogotá: MDN, 2003).</w:t>
      </w:r>
    </w:p>
  </w:footnote>
  <w:footnote w:id="790">
    <w:p w:rsidR="00591E90" w:rsidRPr="00DA46C7" w:rsidRDefault="00591E90">
      <w:pPr>
        <w:pStyle w:val="Textonotapie"/>
        <w:rPr>
          <w:lang w:val="es-CO"/>
        </w:rPr>
      </w:pPr>
      <w:r>
        <w:rPr>
          <w:rStyle w:val="Refdenotaalpie"/>
        </w:rPr>
        <w:footnoteRef/>
      </w:r>
      <w:r>
        <w:t xml:space="preserve"> </w:t>
      </w:r>
      <w:r w:rsidRPr="00DA46C7">
        <w:t>Las «zonas de rehabilitación y consolidación» eran áreas geográficas afectadas especialmente por la violencia armada en las que el Gobierno consideraba «necesaria la aplicación de una o más de las medidas excepcionales» expuestas.</w:t>
      </w:r>
    </w:p>
  </w:footnote>
  <w:footnote w:id="791">
    <w:p w:rsidR="00591E90" w:rsidRPr="00DA46C7" w:rsidRDefault="00591E90">
      <w:pPr>
        <w:pStyle w:val="Textonotapie"/>
        <w:rPr>
          <w:lang w:val="es-CO"/>
        </w:rPr>
      </w:pPr>
      <w:r>
        <w:rPr>
          <w:rStyle w:val="Refdenotaalpie"/>
        </w:rPr>
        <w:footnoteRef/>
      </w:r>
      <w:r>
        <w:t xml:space="preserve"> </w:t>
      </w:r>
      <w:r w:rsidRPr="00DA46C7">
        <w:t>Decreto 2002 de 2002.</w:t>
      </w:r>
    </w:p>
  </w:footnote>
  <w:footnote w:id="792">
    <w:p w:rsidR="00591E90" w:rsidRPr="00DA46C7" w:rsidRDefault="00591E90">
      <w:pPr>
        <w:pStyle w:val="Textonotapie"/>
        <w:rPr>
          <w:lang w:val="es-CO"/>
        </w:rPr>
      </w:pPr>
      <w:r>
        <w:rPr>
          <w:rStyle w:val="Refdenotaalpie"/>
        </w:rPr>
        <w:footnoteRef/>
      </w:r>
      <w:r>
        <w:t xml:space="preserve"> </w:t>
      </w:r>
      <w:r w:rsidRPr="00DA46C7">
        <w:t>Corte Constitucional de Colombia, Sentencia C-1024 de 2002.</w:t>
      </w:r>
    </w:p>
  </w:footnote>
  <w:footnote w:id="793">
    <w:p w:rsidR="00591E90" w:rsidRPr="00DA46C7" w:rsidRDefault="00591E90">
      <w:pPr>
        <w:pStyle w:val="Textonotapie"/>
        <w:rPr>
          <w:lang w:val="es-CO"/>
        </w:rPr>
      </w:pPr>
      <w:r>
        <w:rPr>
          <w:rStyle w:val="Refdenotaalpie"/>
        </w:rPr>
        <w:footnoteRef/>
      </w:r>
      <w:r>
        <w:t xml:space="preserve"> </w:t>
      </w:r>
      <w:r w:rsidRPr="00DA46C7">
        <w:t>Acto Legislativo 02 de 2003.</w:t>
      </w:r>
    </w:p>
  </w:footnote>
  <w:footnote w:id="794">
    <w:p w:rsidR="00591E90" w:rsidRPr="00DA46C7" w:rsidRDefault="00591E90">
      <w:pPr>
        <w:pStyle w:val="Textonotapie"/>
        <w:rPr>
          <w:lang w:val="es-CO"/>
        </w:rPr>
      </w:pPr>
      <w:r>
        <w:rPr>
          <w:rStyle w:val="Refdenotaalpie"/>
        </w:rPr>
        <w:footnoteRef/>
      </w:r>
      <w:r>
        <w:t xml:space="preserve"> </w:t>
      </w:r>
      <w:r w:rsidRPr="00DA46C7">
        <w:t>En entrevista con la Comisión de la Verdad, el expresidente Uribe habló de 4 millones de cooperantes e informantes.</w:t>
      </w:r>
    </w:p>
  </w:footnote>
  <w:footnote w:id="795">
    <w:p w:rsidR="00591E90" w:rsidRPr="00DA46C7" w:rsidRDefault="00591E90">
      <w:pPr>
        <w:pStyle w:val="Textonotapie"/>
        <w:rPr>
          <w:lang w:val="es-CO"/>
        </w:rPr>
      </w:pPr>
      <w:r>
        <w:rPr>
          <w:rStyle w:val="Refdenotaalpie"/>
        </w:rPr>
        <w:footnoteRef/>
      </w:r>
      <w:r>
        <w:t xml:space="preserve"> </w:t>
      </w:r>
      <w:r w:rsidRPr="00DA46C7">
        <w:t xml:space="preserve">Diego Andrés Molano Aponte y Juan Pablo Franco, «La coordinación </w:t>
      </w:r>
      <w:proofErr w:type="spellStart"/>
      <w:r w:rsidRPr="00DA46C7">
        <w:t>interagencial</w:t>
      </w:r>
      <w:proofErr w:type="spellEnd"/>
      <w:r w:rsidRPr="00DA46C7">
        <w:t>: el arma secreta de la seguridad democrática», Desafíos, 14, 2006, 338-381. Recuperado de https://revistas.urosario.edu.co/index.php/desafios/article/view/744</w:t>
      </w:r>
    </w:p>
  </w:footnote>
  <w:footnote w:id="796">
    <w:p w:rsidR="00591E90" w:rsidRPr="00DA46C7" w:rsidRDefault="00591E90">
      <w:pPr>
        <w:pStyle w:val="Textonotapie"/>
        <w:rPr>
          <w:lang w:val="es-CO"/>
        </w:rPr>
      </w:pPr>
      <w:r>
        <w:rPr>
          <w:rStyle w:val="Refdenotaalpie"/>
        </w:rPr>
        <w:footnoteRef/>
      </w:r>
      <w:r>
        <w:t xml:space="preserve"> </w:t>
      </w:r>
      <w:r w:rsidRPr="00DA46C7">
        <w:t>«[...] la Acción Integral a través de sus disciplinas, asuntos civiles, cooperación civil y militar y operaciones de apoyo a la información militar (OPAIM) tiene la capacidad de fortalecer la presencia militar en regiones aisladas, pero de gran importancia para los objetivos nacionales, que requieren la protección de los recursos estratégicos de la Nación y áreas de reserva forestal y patrimonio ambiental, la recuperación social y consolidación de zonas afectadas por el conflicto interno». Ejército Nacional. Informe de gestión 2021 (Bogotá: Ejército Nacional, 2022).</w:t>
      </w:r>
    </w:p>
  </w:footnote>
  <w:footnote w:id="797">
    <w:p w:rsidR="00591E90" w:rsidRPr="00DA46C7" w:rsidRDefault="00591E90">
      <w:pPr>
        <w:pStyle w:val="Textonotapie"/>
        <w:rPr>
          <w:lang w:val="es-CO"/>
        </w:rPr>
      </w:pPr>
      <w:r>
        <w:rPr>
          <w:rStyle w:val="Refdenotaalpie"/>
        </w:rPr>
        <w:footnoteRef/>
      </w:r>
      <w:r>
        <w:t xml:space="preserve"> </w:t>
      </w:r>
      <w:r w:rsidRPr="00DA46C7">
        <w:t xml:space="preserve">José Daniel Vásquez </w:t>
      </w:r>
      <w:proofErr w:type="spellStart"/>
      <w:r w:rsidRPr="00DA46C7">
        <w:t>Hincapie</w:t>
      </w:r>
      <w:proofErr w:type="spellEnd"/>
      <w:r w:rsidRPr="00DA46C7">
        <w:t xml:space="preserve">, El Ejército Nacional. Transformaciones, </w:t>
      </w:r>
      <w:proofErr w:type="spellStart"/>
      <w:r w:rsidRPr="00DA46C7">
        <w:t>multimisionalidad</w:t>
      </w:r>
      <w:proofErr w:type="spellEnd"/>
      <w:r w:rsidRPr="00DA46C7">
        <w:t>, vacíos legales y sus principales consecuencias en Colombia (Bogotá: Universidad Militar Nueva Granada, 2020), 35.</w:t>
      </w:r>
    </w:p>
  </w:footnote>
  <w:footnote w:id="798">
    <w:p w:rsidR="00591E90" w:rsidRPr="00DA46C7" w:rsidRDefault="00591E90">
      <w:pPr>
        <w:pStyle w:val="Textonotapie"/>
        <w:rPr>
          <w:lang w:val="es-CO"/>
        </w:rPr>
      </w:pPr>
      <w:r>
        <w:rPr>
          <w:rStyle w:val="Refdenotaalpie"/>
        </w:rPr>
        <w:footnoteRef/>
      </w:r>
      <w:r>
        <w:t xml:space="preserve"> </w:t>
      </w:r>
      <w:r w:rsidRPr="00DA46C7">
        <w:t>Ejército Nacional, Informe de gestión 2021.</w:t>
      </w:r>
    </w:p>
  </w:footnote>
  <w:footnote w:id="799">
    <w:p w:rsidR="00591E90" w:rsidRPr="00DA46C7" w:rsidRDefault="00591E90">
      <w:pPr>
        <w:pStyle w:val="Textonotapie"/>
        <w:rPr>
          <w:lang w:val="es-CO"/>
        </w:rPr>
      </w:pPr>
      <w:r>
        <w:rPr>
          <w:rStyle w:val="Refdenotaalpie"/>
        </w:rPr>
        <w:footnoteRef/>
      </w:r>
      <w:r>
        <w:t xml:space="preserve"> </w:t>
      </w:r>
      <w:r w:rsidRPr="00DA46C7">
        <w:t>Rojas, «Doctrina Damasco: eje articulador de la segunda gran reforma del Ejército Nacional de Colombia».</w:t>
      </w:r>
    </w:p>
  </w:footnote>
  <w:footnote w:id="800">
    <w:p w:rsidR="00591E90" w:rsidRPr="00494D3D" w:rsidRDefault="00591E90">
      <w:pPr>
        <w:pStyle w:val="Textonotapie"/>
        <w:rPr>
          <w:lang w:val="es-CO"/>
        </w:rPr>
      </w:pPr>
      <w:r>
        <w:rPr>
          <w:rStyle w:val="Refdenotaalpie"/>
        </w:rPr>
        <w:footnoteRef/>
      </w:r>
      <w:r>
        <w:t xml:space="preserve"> </w:t>
      </w:r>
      <w:proofErr w:type="spellStart"/>
      <w:r w:rsidRPr="00494D3D">
        <w:t>Andreu,Federico</w:t>
      </w:r>
      <w:proofErr w:type="spellEnd"/>
      <w:r w:rsidRPr="00494D3D">
        <w:t>, consultoría Documento No. 7 Doctrina de inteligencia militar y los procesos de victimización de sectores y personas. 2020.</w:t>
      </w:r>
    </w:p>
  </w:footnote>
  <w:footnote w:id="801">
    <w:p w:rsidR="00591E90" w:rsidRPr="00494D3D" w:rsidRDefault="00591E90">
      <w:pPr>
        <w:pStyle w:val="Textonotapie"/>
        <w:rPr>
          <w:lang w:val="es-CO"/>
        </w:rPr>
      </w:pPr>
      <w:r>
        <w:rPr>
          <w:rStyle w:val="Refdenotaalpie"/>
        </w:rPr>
        <w:footnoteRef/>
      </w:r>
      <w:r>
        <w:t xml:space="preserve"> </w:t>
      </w:r>
      <w:r w:rsidRPr="00494D3D">
        <w:t>Testimonios con los que contó la Comisión de la Verdad y varios casos de ejecución extrajudicial ilustran esta modalidad: Josué Giraldo Cardona (13 de octubre de 1996, Villavicencio), Jesús María Valle (27 de febrero de 1998, Medellín), José Eduardo Umaña Mendoza (18 de abril de 1998, Bogotá) y Mario Calderón y Elsa Alvarado (9 de mayo de 1997, Bogotá).</w:t>
      </w:r>
    </w:p>
  </w:footnote>
  <w:footnote w:id="802">
    <w:p w:rsidR="00591E90" w:rsidRPr="00A90AAC" w:rsidRDefault="00591E90">
      <w:pPr>
        <w:pStyle w:val="Textonotapie"/>
        <w:rPr>
          <w:lang w:val="es-CO"/>
        </w:rPr>
      </w:pPr>
      <w:r>
        <w:rPr>
          <w:rStyle w:val="Refdenotaalpie"/>
        </w:rPr>
        <w:footnoteRef/>
      </w:r>
      <w:r>
        <w:t xml:space="preserve"> </w:t>
      </w:r>
      <w:r w:rsidRPr="00A90AAC">
        <w:t>Decreto 2790 de 1990.</w:t>
      </w:r>
    </w:p>
  </w:footnote>
  <w:footnote w:id="803">
    <w:p w:rsidR="00591E90" w:rsidRPr="009F4F4C" w:rsidRDefault="00591E90">
      <w:pPr>
        <w:pStyle w:val="Textonotapie"/>
      </w:pPr>
      <w:r>
        <w:rPr>
          <w:rStyle w:val="Refdenotaalpie"/>
        </w:rPr>
        <w:footnoteRef/>
      </w:r>
      <w:r>
        <w:t xml:space="preserve"> </w:t>
      </w:r>
      <w:r w:rsidRPr="009F4F4C">
        <w:t>Aunque la Ley 504 de 25 de junio de 1999 suprimió los jueces secretos e incorporó algunas mejoras procesales, mantuvo la posibilidad del anonimato de los fiscales y testigos, así como la detención preventiva obligatoria y las restricciones al habeas corpus.</w:t>
      </w:r>
    </w:p>
  </w:footnote>
  <w:footnote w:id="804">
    <w:p w:rsidR="00591E90" w:rsidRPr="009F4F4C" w:rsidRDefault="00591E90">
      <w:pPr>
        <w:pStyle w:val="Textonotapie"/>
      </w:pPr>
      <w:r>
        <w:rPr>
          <w:rStyle w:val="Refdenotaalpie"/>
        </w:rPr>
        <w:footnoteRef/>
      </w:r>
      <w:r>
        <w:t xml:space="preserve"> </w:t>
      </w:r>
      <w:r w:rsidRPr="009F4F4C">
        <w:t xml:space="preserve">Ver, entre otros casos: el asesinato de Óscar William Calvo, secretario del PCC-ML; de los militantes de la Juventud Revolucionaria de Colombia, Alejandro Arcila y Ángela Trujillo, el 20 de noviembre de 1985; la desaparición forzada de Augusto Lara Sánchez, dirigente del M-19, el 11 de febrero de 1986, en Bogotá; la desaparición forzada y el asesinato de Antonio Hernández Niño, miembro de las Comunidades Cristianas de Base y trabajador de la revista cristiana Solidaridad; la desaparición forzada y el intento de asesinato de Guillermo Marín, en Bogotá, el 10 de abril de 1986; la desaparición forzada, tortura y asesinato de Jairo de Jesús Calvo Ocampo (‘Ernesto Rojas’), comandante del EPL, el 15 de febrero de 1987, en Bogotá; la desaparición forzada y asesinato de Víctor Manuel Nieto Campos, Bertel Prieto Carvajal y Francisco Luis Tobón en junio de 1987, en Bogotá; la desaparición forzada y el asesinato de Nydia Erika Bautista de Arrellana, exmilitante del M-19, el 30 de agosto de 1987, en Bogotá; la desaparición forzada y posterior asesinato de Luis Enrique Rodríguez, el 30 de septiembre de 1987, en Bogotá; el secuestro de José del Carmen Cuestas, militante del M-19, el 18 de junio de 1988, en Bogotá; la desaparición forzada y asesinato de Beatriz Elena Monsalve Ceballos y Luz Mila Collantes, militantes del Frente Popular, el 11 de agosto de 1988, en Bogotá; la desaparición forzada de Horacio Flórez Silva, militante de la UP, el 20 de octubre de 1988, en Bogotá; la desaparición forzada y el asesinato de Amparo del Carmen </w:t>
      </w:r>
      <w:proofErr w:type="spellStart"/>
      <w:r w:rsidRPr="009F4F4C">
        <w:t>Tordecilla</w:t>
      </w:r>
      <w:proofErr w:type="spellEnd"/>
      <w:r w:rsidRPr="009F4F4C">
        <w:t xml:space="preserve"> Trujillo y la desaparición forzada y tentativa de asesinato de Carlos Uribe, enlaces del EPL con el Gobierno en las negociaciones de paz, el 25 de abril de 1989, en Bogotá; y la desaparición forzada de Alirio de Jesús Pedraza Becerra, el 4 de julio de 1990.</w:t>
      </w:r>
    </w:p>
  </w:footnote>
  <w:footnote w:id="805">
    <w:p w:rsidR="00591E90" w:rsidRPr="00896FCC" w:rsidRDefault="00591E90">
      <w:pPr>
        <w:pStyle w:val="Textonotapie"/>
      </w:pPr>
      <w:r>
        <w:rPr>
          <w:rStyle w:val="Refdenotaalpie"/>
        </w:rPr>
        <w:footnoteRef/>
      </w:r>
      <w:r>
        <w:t xml:space="preserve"> </w:t>
      </w:r>
      <w:r w:rsidRPr="00896FCC">
        <w:t xml:space="preserve"> 805 Ministerio de Defensa Nacional, Comando General de las Fuerzas Militares. Directiva </w:t>
      </w:r>
      <w:proofErr w:type="spellStart"/>
      <w:r w:rsidRPr="00896FCC">
        <w:t>N°</w:t>
      </w:r>
      <w:proofErr w:type="spellEnd"/>
      <w:r w:rsidRPr="00896FCC">
        <w:t xml:space="preserve"> 200-05/91, «Organización y funcionamiento de las redes de inteligencia», abril de 1991.</w:t>
      </w:r>
    </w:p>
  </w:footnote>
  <w:footnote w:id="806">
    <w:p w:rsidR="00591E90" w:rsidRPr="0059516A" w:rsidRDefault="00591E90">
      <w:pPr>
        <w:pStyle w:val="Textonotapie"/>
        <w:rPr>
          <w:lang w:val="es-CO"/>
        </w:rPr>
      </w:pPr>
      <w:r>
        <w:rPr>
          <w:rStyle w:val="Refdenotaalpie"/>
        </w:rPr>
        <w:footnoteRef/>
      </w:r>
      <w:r>
        <w:t xml:space="preserve"> </w:t>
      </w:r>
      <w:proofErr w:type="spellStart"/>
      <w:r w:rsidRPr="0059516A">
        <w:t>Ibíd</w:t>
      </w:r>
      <w:proofErr w:type="spellEnd"/>
      <w:r w:rsidRPr="0059516A">
        <w:t xml:space="preserve">. La Misión estuvo integrada por 14 representantes de la Misión Militar de la Embajada de los Estados Unidos, del Comando Sur de las Fuerzas Militares estadounidenses y de la Agencia Central de Inteligencia (CIA). Human </w:t>
      </w:r>
      <w:proofErr w:type="spellStart"/>
      <w:r w:rsidRPr="0059516A">
        <w:t>Rights</w:t>
      </w:r>
      <w:proofErr w:type="spellEnd"/>
      <w:r w:rsidRPr="0059516A">
        <w:t xml:space="preserve"> </w:t>
      </w:r>
      <w:proofErr w:type="spellStart"/>
      <w:r w:rsidRPr="0059516A">
        <w:t>Watch</w:t>
      </w:r>
      <w:proofErr w:type="spellEnd"/>
      <w:r w:rsidRPr="0059516A">
        <w:t>/Américas, Las redes de asesinos en Colombia. La asociación militares- paramilitares</w:t>
      </w:r>
      <w:r>
        <w:t xml:space="preserve"> </w:t>
      </w:r>
      <w:r w:rsidRPr="0059516A">
        <w:t>y</w:t>
      </w:r>
      <w:r>
        <w:t xml:space="preserve"> </w:t>
      </w:r>
      <w:r w:rsidRPr="0059516A">
        <w:t>los</w:t>
      </w:r>
      <w:r>
        <w:t xml:space="preserve"> </w:t>
      </w:r>
      <w:r w:rsidRPr="0059516A">
        <w:t>Estados</w:t>
      </w:r>
      <w:r>
        <w:t xml:space="preserve"> </w:t>
      </w:r>
      <w:r w:rsidRPr="0059516A">
        <w:t>Unidos.</w:t>
      </w:r>
      <w:r>
        <w:t xml:space="preserve"> </w:t>
      </w:r>
      <w:r w:rsidRPr="0059516A">
        <w:t>(Nueva</w:t>
      </w:r>
      <w:r>
        <w:t xml:space="preserve"> </w:t>
      </w:r>
      <w:r w:rsidRPr="0059516A">
        <w:t>York,</w:t>
      </w:r>
      <w:r>
        <w:t xml:space="preserve"> </w:t>
      </w:r>
      <w:r w:rsidRPr="0059516A">
        <w:t>1996), http://www.hrw.org/spanish/informes/1996/colombia.html</w:t>
      </w:r>
    </w:p>
  </w:footnote>
  <w:footnote w:id="807">
    <w:p w:rsidR="00591E90" w:rsidRPr="0059516A" w:rsidRDefault="00591E90">
      <w:pPr>
        <w:pStyle w:val="Textonotapie"/>
        <w:rPr>
          <w:lang w:val="es-CO"/>
        </w:rPr>
      </w:pPr>
      <w:r>
        <w:rPr>
          <w:rStyle w:val="Refdenotaalpie"/>
        </w:rPr>
        <w:footnoteRef/>
      </w:r>
      <w:r>
        <w:t xml:space="preserve"> </w:t>
      </w:r>
      <w:r w:rsidRPr="0059516A">
        <w:t>Tribunal Nacional, Sala de Decisión, Sentencia del 6 de noviembre de 1998, Radicación 7.377.</w:t>
      </w:r>
    </w:p>
  </w:footnote>
  <w:footnote w:id="808">
    <w:p w:rsidR="00591E90" w:rsidRPr="0059516A" w:rsidRDefault="00591E90">
      <w:pPr>
        <w:pStyle w:val="Textonotapie"/>
        <w:rPr>
          <w:lang w:val="es-CO"/>
        </w:rPr>
      </w:pPr>
      <w:r>
        <w:rPr>
          <w:rStyle w:val="Refdenotaalpie"/>
        </w:rPr>
        <w:footnoteRef/>
      </w:r>
      <w:r>
        <w:t xml:space="preserve"> </w:t>
      </w:r>
      <w:r w:rsidRPr="0059516A">
        <w:t>Procuraduría Delegada para la Defensa de los Derechos Humanos, Resolución del 30 de septiembre de 1998, Expediente 008-153183, Letra F.</w:t>
      </w:r>
    </w:p>
  </w:footnote>
  <w:footnote w:id="809">
    <w:p w:rsidR="00591E90" w:rsidRPr="0059516A" w:rsidRDefault="00591E90">
      <w:pPr>
        <w:pStyle w:val="Textonotapie"/>
        <w:rPr>
          <w:lang w:val="es-CO"/>
        </w:rPr>
      </w:pPr>
      <w:r>
        <w:rPr>
          <w:rStyle w:val="Refdenotaalpie"/>
        </w:rPr>
        <w:footnoteRef/>
      </w:r>
      <w:r>
        <w:t xml:space="preserve"> </w:t>
      </w:r>
      <w:r w:rsidRPr="0059516A">
        <w:t>Ver, entre otros: Corte Suprema de Justicia, Sala de Casación Penal, Sentencia de 3 de diciembre de 2009, Única Instancia 32672, Salvador Arana Sus; Corte Suprema de Justicia, Sala de Casación Penal, Sentencia de 19 de diciembre de 2007, Única Instancia 26.118, Éric Julio Morris Taboada; Corte Suprema de Justicia, Sala de Casación Penal, Sentencia de 23 de febrero de 2010, Única instancia 32805, Álvaro García Romero; Corte Suprema de Justicia, Sala de Casación Penal, Sentencia del 31 de marzo de 2011, Única Instancia No. 26.954, José María Conde Romero.</w:t>
      </w:r>
    </w:p>
  </w:footnote>
  <w:footnote w:id="810">
    <w:p w:rsidR="00591E90" w:rsidRPr="0059516A" w:rsidRDefault="00591E90">
      <w:pPr>
        <w:pStyle w:val="Textonotapie"/>
        <w:rPr>
          <w:lang w:val="es-CO"/>
        </w:rPr>
      </w:pPr>
      <w:r>
        <w:rPr>
          <w:rStyle w:val="Refdenotaalpie"/>
        </w:rPr>
        <w:footnoteRef/>
      </w:r>
      <w:r>
        <w:t xml:space="preserve"> </w:t>
      </w:r>
      <w:r w:rsidRPr="0059516A">
        <w:t>Ver, entre otros: Declaración del capitán de la Policía Fabián Ríos Cortés, comandante del Segundo Distrito de Policía de Aguachica (Cesar) en 1994, del 6 de febrero de 1995, expediente 397 de la Unidad Nacional de Derechos Humanos de la Fiscalía General de la Nación de Bucaramanga, cuaderno 2.</w:t>
      </w:r>
    </w:p>
  </w:footnote>
  <w:footnote w:id="811">
    <w:p w:rsidR="00591E90" w:rsidRPr="007C2170" w:rsidRDefault="00591E90">
      <w:pPr>
        <w:pStyle w:val="Textonotapie"/>
        <w:rPr>
          <w:lang w:val="es-CO"/>
        </w:rPr>
      </w:pPr>
      <w:r>
        <w:rPr>
          <w:rStyle w:val="Refdenotaalpie"/>
        </w:rPr>
        <w:footnoteRef/>
      </w:r>
      <w:r>
        <w:t xml:space="preserve"> </w:t>
      </w:r>
      <w:r w:rsidRPr="007C2170">
        <w:t>Ver, entre otros: Corte Suprema de Justicia, Sala de Casación Penal, Sentencia de 6 de septiembre de 2017, SP13920-2017 Radicado 39931, Proceso Jorge Aurelio Noguera Cotes; Fiscalía Novena de la Dirección de Análisis y Contextos, Resolución de Acusación contra Rodolfo Medina Alemán y Ronal Harvey Rivera Rodríguez, Radicado 0002 DINAC, de 21 de julio de 2015; y Procuraduría General de la Nación, Fallo en única instancia, de 2 de octubre de 2009, María del Pilar Hurtado, Jorge Noguera Cotes y otros -Departamento Administrativo de Seguridad DAS- Años 2004 a 2009, Radicación IUS 2009–57515 IUC D 2010-4–105231.</w:t>
      </w:r>
    </w:p>
  </w:footnote>
  <w:footnote w:id="812">
    <w:p w:rsidR="00591E90" w:rsidRPr="007C2170" w:rsidRDefault="00591E90">
      <w:pPr>
        <w:pStyle w:val="Textonotapie"/>
        <w:rPr>
          <w:lang w:val="es-CO"/>
        </w:rPr>
      </w:pPr>
      <w:r>
        <w:rPr>
          <w:rStyle w:val="Refdenotaalpie"/>
        </w:rPr>
        <w:footnoteRef/>
      </w:r>
      <w:r>
        <w:t xml:space="preserve"> </w:t>
      </w:r>
      <w:r w:rsidRPr="007C2170">
        <w:t>Así lo establecieron la jurisdicción ordinaria y la Procuraduría General de la Nación. Fallo en única instancia, del 2 de octubre del 2009, María del Pilar Hurtado, Jorge Noguera Cotes y otros -Departamento Administrativo de Seguridad DAS- Años 2004 a 2009, Radicación IUS 2009–57515 IUC D 2010-4–105231).</w:t>
      </w:r>
    </w:p>
  </w:footnote>
  <w:footnote w:id="813">
    <w:p w:rsidR="00591E90" w:rsidRPr="007C2170" w:rsidRDefault="00591E90">
      <w:pPr>
        <w:pStyle w:val="Textonotapie"/>
        <w:rPr>
          <w:lang w:val="es-CO"/>
        </w:rPr>
      </w:pPr>
      <w:r>
        <w:rPr>
          <w:rStyle w:val="Refdenotaalpie"/>
        </w:rPr>
        <w:footnoteRef/>
      </w:r>
      <w:r>
        <w:t xml:space="preserve"> </w:t>
      </w:r>
      <w:r w:rsidRPr="007C2170">
        <w:t>Procuraduría General de la Nación, Fallo en única instancia, de 2 de octubre de 2009, María del Pilar Hurtado, Jorge Noguera Cotes y otros -Departamento Administrativo de Seguridad DAS- Años 2004 a 2009, Radicación IUS 2009–57515 IUC D 2010-4–105231.</w:t>
      </w:r>
    </w:p>
  </w:footnote>
  <w:footnote w:id="814">
    <w:p w:rsidR="00591E90" w:rsidRPr="007B43DB" w:rsidRDefault="00591E90">
      <w:pPr>
        <w:pStyle w:val="Textonotapie"/>
        <w:rPr>
          <w:lang w:val="es-CO"/>
        </w:rPr>
      </w:pPr>
      <w:r>
        <w:rPr>
          <w:rStyle w:val="Refdenotaalpie"/>
        </w:rPr>
        <w:footnoteRef/>
      </w:r>
      <w:r>
        <w:t xml:space="preserve"> </w:t>
      </w:r>
      <w:r w:rsidRPr="002C38E9">
        <w:t xml:space="preserve">Así, por ejemplo, fueron asesinados los profesores Alfredo Correa De </w:t>
      </w:r>
      <w:proofErr w:type="spellStart"/>
      <w:r w:rsidRPr="002C38E9">
        <w:t>Andreis</w:t>
      </w:r>
      <w:proofErr w:type="spellEnd"/>
      <w:r w:rsidRPr="002C38E9">
        <w:t xml:space="preserve"> y Fernando </w:t>
      </w:r>
      <w:proofErr w:type="spellStart"/>
      <w:r w:rsidRPr="002C38E9">
        <w:t>Pisciotti</w:t>
      </w:r>
      <w:proofErr w:type="spellEnd"/>
      <w:r w:rsidRPr="002C38E9">
        <w:t xml:space="preserve"> Van </w:t>
      </w:r>
      <w:proofErr w:type="spellStart"/>
      <w:r w:rsidRPr="002C38E9">
        <w:t>Strahalen</w:t>
      </w:r>
      <w:proofErr w:type="spellEnd"/>
      <w:r w:rsidRPr="002C38E9">
        <w:t xml:space="preserve"> y la periodista y líder sindical </w:t>
      </w:r>
      <w:proofErr w:type="spellStart"/>
      <w:r w:rsidRPr="002C38E9">
        <w:t>Zully</w:t>
      </w:r>
      <w:proofErr w:type="spellEnd"/>
      <w:r w:rsidRPr="002C38E9">
        <w:t xml:space="preserve"> Codina Pérez por miembros de las AUC, por órdenes impartidas por el director del DAS, Jorge Noguera Cotes, como ha sido establecido judicialmente.</w:t>
      </w:r>
    </w:p>
  </w:footnote>
  <w:footnote w:id="815">
    <w:p w:rsidR="00591E90" w:rsidRPr="00265AEA" w:rsidRDefault="00591E90">
      <w:pPr>
        <w:pStyle w:val="Textonotapie"/>
        <w:rPr>
          <w:lang w:val="es-CO"/>
        </w:rPr>
      </w:pPr>
      <w:r>
        <w:rPr>
          <w:rStyle w:val="Refdenotaalpie"/>
        </w:rPr>
        <w:footnoteRef/>
      </w:r>
      <w:r>
        <w:t xml:space="preserve"> </w:t>
      </w:r>
      <w:r w:rsidRPr="00265AEA">
        <w:t>Decreto 1923 de 1978.</w:t>
      </w:r>
    </w:p>
  </w:footnote>
  <w:footnote w:id="816">
    <w:p w:rsidR="00591E90" w:rsidRPr="00265AEA" w:rsidRDefault="00591E90">
      <w:pPr>
        <w:pStyle w:val="Textonotapie"/>
        <w:rPr>
          <w:lang w:val="es-CO"/>
        </w:rPr>
      </w:pPr>
      <w:r>
        <w:rPr>
          <w:rStyle w:val="Refdenotaalpie"/>
        </w:rPr>
        <w:footnoteRef/>
      </w:r>
      <w:r>
        <w:t xml:space="preserve"> </w:t>
      </w:r>
      <w:r w:rsidRPr="00265AEA">
        <w:t>En el proceso de contrastación se identificaron coincidencias en los nombres de 266 personas incluidas en las actas del Consejo de Ministros. De ellas, 54 personas fueron incluidas en más de un acta.</w:t>
      </w:r>
    </w:p>
  </w:footnote>
  <w:footnote w:id="817">
    <w:p w:rsidR="00591E90" w:rsidRPr="00265AEA" w:rsidRDefault="00591E90">
      <w:pPr>
        <w:pStyle w:val="Textonotapie"/>
        <w:rPr>
          <w:lang w:val="es-CO"/>
        </w:rPr>
      </w:pPr>
      <w:r>
        <w:rPr>
          <w:rStyle w:val="Refdenotaalpie"/>
        </w:rPr>
        <w:footnoteRef/>
      </w:r>
      <w:r>
        <w:t xml:space="preserve"> </w:t>
      </w:r>
      <w:r w:rsidRPr="00265AEA">
        <w:t xml:space="preserve">El número de hechos de tortura registrados no corresponde con el de víctimas porque en el proceso de </w:t>
      </w:r>
      <w:proofErr w:type="spellStart"/>
      <w:r w:rsidRPr="00265AEA">
        <w:t>contrastación</w:t>
      </w:r>
      <w:proofErr w:type="spellEnd"/>
      <w:r w:rsidRPr="00265AEA">
        <w:t xml:space="preserve"> y sistematización de las fuentes en la base de datos, la Comisión pudo identificar 17 personas que fueron detenidas y torturadas en más de una oportunidad.</w:t>
      </w:r>
    </w:p>
  </w:footnote>
  <w:footnote w:id="818">
    <w:p w:rsidR="00591E90" w:rsidRPr="00265AEA" w:rsidRDefault="00591E90">
      <w:pPr>
        <w:pStyle w:val="Textonotapie"/>
        <w:rPr>
          <w:lang w:val="es-CO"/>
        </w:rPr>
      </w:pPr>
      <w:r>
        <w:rPr>
          <w:rStyle w:val="Refdenotaalpie"/>
        </w:rPr>
        <w:footnoteRef/>
      </w:r>
      <w:r>
        <w:t xml:space="preserve"> </w:t>
      </w:r>
      <w:r w:rsidRPr="00265AEA">
        <w:t xml:space="preserve">Antecedente Estatuto: Hechos ocurridos en julio de 1978, aún no había entrado en vigencia el Estatuto. Tribunal Contencioso Administrativo de Cundinamarca, Ernesto Sendoya Guzmán contra Ministerio de Defensa, </w:t>
      </w:r>
      <w:proofErr w:type="spellStart"/>
      <w:r w:rsidRPr="00265AEA">
        <w:t>Exp</w:t>
      </w:r>
      <w:proofErr w:type="spellEnd"/>
      <w:r w:rsidRPr="00265AEA">
        <w:t>. 84-D-1740, Magistrado ponente: Jaime López Morales, 8 de abril de 1985. Hechos ocurridos en enero de 1979: Consejo de Estado, Sala de lo Contencioso Administrativo, Sección Tercera, Sentencia Olga López contra Ministerio de Defensa, 27 de junio de 1985. Hechos ocurridos en febrero de 1980: Consejo de Estado, Sala de lo Contencioso Administrativo, Sección Tercera, Mariela Torres de Zambrano contra Ministerio de Defensa Nacional, Radicado 3009, Consejero ponente: Carlos Betancur Jaramillo, Bogotá, 5 de febrero de 1988.</w:t>
      </w:r>
    </w:p>
  </w:footnote>
  <w:footnote w:id="819">
    <w:p w:rsidR="00591E90" w:rsidRPr="00265AEA" w:rsidRDefault="00591E90">
      <w:pPr>
        <w:pStyle w:val="Textonotapie"/>
        <w:rPr>
          <w:lang w:val="es-CO"/>
        </w:rPr>
      </w:pPr>
      <w:r>
        <w:rPr>
          <w:rStyle w:val="Refdenotaalpie"/>
        </w:rPr>
        <w:footnoteRef/>
      </w:r>
      <w:r>
        <w:t xml:space="preserve"> </w:t>
      </w:r>
      <w:r w:rsidRPr="00265AEA">
        <w:t>En una carta firmada por varios defensores de detenidos en la Escuela de Caballería en los primeros días de enero señalan: «se viene aplicando retroactivamente la norma constitucional», como lo demuestra un oficio de la BIM (</w:t>
      </w:r>
      <w:proofErr w:type="spellStart"/>
      <w:r w:rsidRPr="00265AEA">
        <w:t>N.°</w:t>
      </w:r>
      <w:proofErr w:type="spellEnd"/>
      <w:r w:rsidRPr="00265AEA">
        <w:t xml:space="preserve"> 0181) del 15 de enero de 1979, dirigido al Juzgado 17 Penal Municipal de Bogotá, en el que se señala que Alfonso Castro Pedraza, Augusto Lara Sánchez, Rafael M. Polo, Raúl Leoni, Antonio Robayo y Virginia Robayo «fueron privados de su libertad mediante operativo realizado por elementos adscritos a Brigada Militar antes señalada el día 3 de enero del presente año y puestos a disposición de la justicia solamente 5 y 10 días después, al amparo supuestamente del artículo 28 de la Constitución Nacional. Como puede verse claramente, se hizo retroactiva a una situación anterior al ocho de enero la aplicación del citado dispositivo de la Carta». Carta de abogados defensores de presos políticos dirigida al Procurador General de la Nación, en: archivo CIDH115.3, 29. En otra denuncia dirigida al presidente de la República, Julio César Turbay Ayala, varios abogados solicitaron incorporar al expediente el Acta del Consejo de Ministros correspondiente al 9 de enero de 1979, pues como abogados necesitaban «conocer los nombres de estas personas a quienes sí se les pueden aplicar los diez (10) días de investigación previa antes de ponerlos a disposición de los jueces competentes, ya que a las demás personas capturadas por los servicios secretos del Ejército y que no figuren en esta lista se les debe resolver situación jurídica en distinta forma y con diferentes términos procesales». Archivo de la Procuraduría General de la Nación, carpeta 21, 212.</w:t>
      </w:r>
    </w:p>
  </w:footnote>
  <w:footnote w:id="820">
    <w:p w:rsidR="00591E90" w:rsidRPr="00265AEA" w:rsidRDefault="00591E90">
      <w:pPr>
        <w:pStyle w:val="Textonotapie"/>
        <w:rPr>
          <w:lang w:val="es-CO"/>
        </w:rPr>
      </w:pPr>
      <w:r>
        <w:rPr>
          <w:rStyle w:val="Refdenotaalpie"/>
        </w:rPr>
        <w:footnoteRef/>
      </w:r>
      <w:r>
        <w:t xml:space="preserve"> </w:t>
      </w:r>
      <w:r w:rsidRPr="00265AEA">
        <w:t>Consejo de Estado, Sala de lo Contencioso Administrativo, Sección Tercera, Sentencia del 27 de junio de 1985. Caso de Olga López contra el Ministerio de Defensa</w:t>
      </w:r>
    </w:p>
  </w:footnote>
  <w:footnote w:id="821">
    <w:p w:rsidR="00591E90" w:rsidRPr="00265AEA" w:rsidRDefault="00591E90">
      <w:pPr>
        <w:pStyle w:val="Textonotapie"/>
        <w:rPr>
          <w:lang w:val="es-CO"/>
        </w:rPr>
      </w:pPr>
      <w:r>
        <w:rPr>
          <w:rStyle w:val="Refdenotaalpie"/>
        </w:rPr>
        <w:footnoteRef/>
      </w:r>
      <w:r>
        <w:t xml:space="preserve"> </w:t>
      </w:r>
      <w:r w:rsidRPr="00265AEA">
        <w:t>Comisión de la Verdad, «La impunidad como factor de persistencia del conflicto armado interno colombiano», p.17. Anexo de casos.</w:t>
      </w:r>
    </w:p>
  </w:footnote>
  <w:footnote w:id="822">
    <w:p w:rsidR="00591E90" w:rsidRPr="00265AEA" w:rsidRDefault="00591E90">
      <w:pPr>
        <w:pStyle w:val="Textonotapie"/>
        <w:rPr>
          <w:lang w:val="es-CO"/>
        </w:rPr>
      </w:pPr>
      <w:r>
        <w:rPr>
          <w:rStyle w:val="Refdenotaalpie"/>
        </w:rPr>
        <w:footnoteRef/>
      </w:r>
      <w:r>
        <w:t xml:space="preserve"> </w:t>
      </w:r>
      <w:r w:rsidRPr="00265AEA">
        <w:t>Comisión de la Verdad, «La práctica de la tortura por parte de agentes del Estado durante el Estatuto de Seguridad (1978-1982)». Anexo de casos.</w:t>
      </w:r>
    </w:p>
  </w:footnote>
  <w:footnote w:id="823">
    <w:p w:rsidR="00591E90" w:rsidRPr="00265AEA" w:rsidRDefault="00591E90">
      <w:pPr>
        <w:pStyle w:val="Textonotapie"/>
        <w:rPr>
          <w:lang w:val="es-CO"/>
        </w:rPr>
      </w:pPr>
      <w:r>
        <w:rPr>
          <w:rStyle w:val="Refdenotaalpie"/>
        </w:rPr>
        <w:footnoteRef/>
      </w:r>
      <w:r>
        <w:t xml:space="preserve"> </w:t>
      </w:r>
      <w:r w:rsidRPr="00265AEA">
        <w:t>Constitución Política de 1991, artículo 213.</w:t>
      </w:r>
    </w:p>
  </w:footnote>
  <w:footnote w:id="824">
    <w:p w:rsidR="00591E90" w:rsidRPr="00EA7834" w:rsidRDefault="00591E90">
      <w:pPr>
        <w:pStyle w:val="Textonotapie"/>
        <w:rPr>
          <w:lang w:val="es-CO"/>
        </w:rPr>
      </w:pPr>
      <w:r>
        <w:rPr>
          <w:rStyle w:val="Refdenotaalpie"/>
        </w:rPr>
        <w:footnoteRef/>
      </w:r>
      <w:r>
        <w:t xml:space="preserve"> </w:t>
      </w:r>
      <w:r w:rsidRPr="00EA7834">
        <w:t>El Tiempo, 16 de febrero de 2004.</w:t>
      </w:r>
    </w:p>
  </w:footnote>
  <w:footnote w:id="825">
    <w:p w:rsidR="00591E90" w:rsidRPr="00EA7834" w:rsidRDefault="00591E90">
      <w:pPr>
        <w:pStyle w:val="Textonotapie"/>
        <w:rPr>
          <w:lang w:val="es-CO"/>
        </w:rPr>
      </w:pPr>
      <w:r>
        <w:rPr>
          <w:rStyle w:val="Refdenotaalpie"/>
        </w:rPr>
        <w:footnoteRef/>
      </w:r>
      <w:r>
        <w:t xml:space="preserve"> </w:t>
      </w:r>
      <w:r w:rsidRPr="00EA7834">
        <w:t>El Tiempo. «Informe del procurador sobre detenciones masivas. De 1957 han sido liberados 754», 24 de febrero de 2004.</w:t>
      </w:r>
    </w:p>
  </w:footnote>
  <w:footnote w:id="826">
    <w:p w:rsidR="00591E90" w:rsidRPr="00EA7834" w:rsidRDefault="00591E90">
      <w:pPr>
        <w:pStyle w:val="Textonotapie"/>
        <w:rPr>
          <w:lang w:val="es-CO"/>
        </w:rPr>
      </w:pPr>
      <w:r>
        <w:rPr>
          <w:rStyle w:val="Refdenotaalpie"/>
        </w:rPr>
        <w:footnoteRef/>
      </w:r>
      <w:r>
        <w:t xml:space="preserve"> </w:t>
      </w:r>
      <w:r w:rsidRPr="0051230C">
        <w:t>Comisión Colombiana de Juristas. El deber de la memoria: imprescindible para superar la crisis de derechos humanos y derecho humanitario en Colombia. (Bogotá: CCJ, 2004).</w:t>
      </w:r>
    </w:p>
  </w:footnote>
  <w:footnote w:id="827">
    <w:p w:rsidR="00591E90" w:rsidRPr="00EA7834" w:rsidRDefault="00591E90">
      <w:pPr>
        <w:pStyle w:val="Textonotapie"/>
        <w:rPr>
          <w:lang w:val="es-CO"/>
        </w:rPr>
      </w:pPr>
      <w:r>
        <w:rPr>
          <w:rStyle w:val="Refdenotaalpie"/>
        </w:rPr>
        <w:footnoteRef/>
      </w:r>
      <w:r>
        <w:t xml:space="preserve"> </w:t>
      </w:r>
      <w:r w:rsidRPr="0051230C">
        <w:t xml:space="preserve">I. Marín, «Lucha antiterrorista mundial y política de “seguridad democrática”. En: Políticas de terror: Las </w:t>
      </w:r>
      <w:proofErr w:type="spellStart"/>
      <w:r w:rsidRPr="0051230C">
        <w:t>foras</w:t>
      </w:r>
      <w:proofErr w:type="spellEnd"/>
      <w:r w:rsidRPr="0051230C">
        <w:t xml:space="preserve"> del terrorismo de Estado en la globalización. (Buenos Aires: Ad-hoc, 2007).</w:t>
      </w:r>
    </w:p>
  </w:footnote>
  <w:footnote w:id="828">
    <w:p w:rsidR="00591E90" w:rsidRPr="000B6B19" w:rsidRDefault="00591E90">
      <w:pPr>
        <w:pStyle w:val="Textonotapie"/>
        <w:rPr>
          <w:lang w:val="es-CO"/>
        </w:rPr>
      </w:pPr>
      <w:r>
        <w:rPr>
          <w:rStyle w:val="Refdenotaalpie"/>
        </w:rPr>
        <w:footnoteRef/>
      </w:r>
      <w:r>
        <w:t xml:space="preserve"> </w:t>
      </w:r>
      <w:r w:rsidRPr="000B6B19">
        <w:t xml:space="preserve">Capítulo de </w:t>
      </w:r>
      <w:proofErr w:type="gramStart"/>
      <w:r w:rsidRPr="000B6B19">
        <w:t>impunidad  .</w:t>
      </w:r>
      <w:proofErr w:type="gramEnd"/>
    </w:p>
  </w:footnote>
  <w:footnote w:id="829">
    <w:p w:rsidR="00591E90" w:rsidRPr="000B6B19" w:rsidRDefault="00591E90">
      <w:pPr>
        <w:pStyle w:val="Textonotapie"/>
        <w:rPr>
          <w:lang w:val="es-CO"/>
        </w:rPr>
      </w:pPr>
      <w:r>
        <w:rPr>
          <w:rStyle w:val="Refdenotaalpie"/>
        </w:rPr>
        <w:footnoteRef/>
      </w:r>
      <w:r>
        <w:t xml:space="preserve"> </w:t>
      </w:r>
      <w:r w:rsidRPr="000B6B19">
        <w:t>Corte Constitucional de Colombia, Sentencia C-392 de 2000.</w:t>
      </w:r>
    </w:p>
  </w:footnote>
  <w:footnote w:id="830">
    <w:p w:rsidR="00591E90" w:rsidRPr="000B6B19" w:rsidRDefault="00591E90">
      <w:pPr>
        <w:pStyle w:val="Textonotapie"/>
        <w:rPr>
          <w:lang w:val="es-CO"/>
        </w:rPr>
      </w:pPr>
      <w:r>
        <w:rPr>
          <w:rStyle w:val="Refdenotaalpie"/>
        </w:rPr>
        <w:footnoteRef/>
      </w:r>
      <w:r>
        <w:t xml:space="preserve"> </w:t>
      </w:r>
      <w:r w:rsidRPr="000B6B19">
        <w:t xml:space="preserve">Entre otros, Corte Constitucional de Colombia. Sentencia C-358 de 5 de agosto de 1997. Magistrado ponente: Eduardo Cifuentes Muñoz; Corte Constitucional de Colombia. Sentencia C-878 de 12 de julio de 2000. Magistrado Ponente: Alfredo Beltrán Sierra; Corte Constitucional de Colombia. Sentencia C-1184 de 3 de diciembre de 2008. Magistrado Ponente: Nilson Pinilla </w:t>
      </w:r>
      <w:proofErr w:type="spellStart"/>
      <w:r w:rsidRPr="000B6B19">
        <w:t>Pinilla</w:t>
      </w:r>
      <w:proofErr w:type="spellEnd"/>
      <w:r w:rsidRPr="000B6B19">
        <w:t>.</w:t>
      </w:r>
    </w:p>
  </w:footnote>
  <w:footnote w:id="831">
    <w:p w:rsidR="00591E90" w:rsidRPr="000B6B19" w:rsidRDefault="00591E90">
      <w:pPr>
        <w:pStyle w:val="Textonotapie"/>
        <w:rPr>
          <w:lang w:val="es-CO"/>
        </w:rPr>
      </w:pPr>
      <w:r>
        <w:rPr>
          <w:rStyle w:val="Refdenotaalpie"/>
        </w:rPr>
        <w:footnoteRef/>
      </w:r>
      <w:r>
        <w:t xml:space="preserve"> </w:t>
      </w:r>
      <w:r w:rsidRPr="000B6B19">
        <w:t>Comisión de la Verdad, «La impunidad como factor de persistencia del conflicto armado interno colombiano», p. 18 y ss.</w:t>
      </w:r>
    </w:p>
  </w:footnote>
  <w:footnote w:id="832">
    <w:p w:rsidR="00591E90" w:rsidRPr="000B6B19" w:rsidRDefault="00591E90">
      <w:pPr>
        <w:pStyle w:val="Textonotapie"/>
        <w:rPr>
          <w:lang w:val="es-CO"/>
        </w:rPr>
      </w:pPr>
      <w:r>
        <w:rPr>
          <w:rStyle w:val="Refdenotaalpie"/>
        </w:rPr>
        <w:footnoteRef/>
      </w:r>
      <w:r>
        <w:t xml:space="preserve"> </w:t>
      </w:r>
      <w:r w:rsidRPr="000B6B19">
        <w:t>Ibid., 66.</w:t>
      </w:r>
    </w:p>
  </w:footnote>
  <w:footnote w:id="833">
    <w:p w:rsidR="00591E90" w:rsidRPr="000B6B19" w:rsidRDefault="00591E90">
      <w:pPr>
        <w:pStyle w:val="Textonotapie"/>
        <w:rPr>
          <w:lang w:val="es-CO"/>
        </w:rPr>
      </w:pPr>
      <w:r>
        <w:rPr>
          <w:rStyle w:val="Refdenotaalpie"/>
        </w:rPr>
        <w:footnoteRef/>
      </w:r>
      <w:r>
        <w:t xml:space="preserve"> </w:t>
      </w:r>
      <w:r w:rsidRPr="00ED6C2F">
        <w:t>Ibid., 97.</w:t>
      </w:r>
    </w:p>
  </w:footnote>
  <w:footnote w:id="834">
    <w:p w:rsidR="00591E90" w:rsidRPr="003335FE" w:rsidRDefault="00591E90">
      <w:pPr>
        <w:pStyle w:val="Textonotapie"/>
        <w:rPr>
          <w:lang w:val="es-CO"/>
        </w:rPr>
      </w:pPr>
      <w:r>
        <w:rPr>
          <w:rStyle w:val="Refdenotaalpie"/>
        </w:rPr>
        <w:footnoteRef/>
      </w:r>
      <w:r>
        <w:t xml:space="preserve"> </w:t>
      </w:r>
      <w:r w:rsidRPr="00ED6C2F">
        <w:t>Ibid., 97.</w:t>
      </w:r>
    </w:p>
  </w:footnote>
  <w:footnote w:id="835">
    <w:p w:rsidR="00591E90" w:rsidRPr="00ED6C2F" w:rsidRDefault="00591E90">
      <w:pPr>
        <w:pStyle w:val="Textonotapie"/>
        <w:rPr>
          <w:lang w:val="es-CO"/>
        </w:rPr>
      </w:pPr>
      <w:r>
        <w:rPr>
          <w:rStyle w:val="Refdenotaalpie"/>
        </w:rPr>
        <w:footnoteRef/>
      </w:r>
      <w:r>
        <w:t xml:space="preserve"> </w:t>
      </w:r>
      <w:r w:rsidRPr="00ED6C2F">
        <w:t>Corte Constitucional de Colombia, Sentencia de Unificación SU-190 de 2021.</w:t>
      </w:r>
    </w:p>
  </w:footnote>
  <w:footnote w:id="836">
    <w:p w:rsidR="00591E90" w:rsidRPr="00ED6C2F" w:rsidRDefault="00591E90">
      <w:pPr>
        <w:pStyle w:val="Textonotapie"/>
        <w:rPr>
          <w:lang w:val="es-CO"/>
        </w:rPr>
      </w:pPr>
      <w:r>
        <w:rPr>
          <w:rStyle w:val="Refdenotaalpie"/>
        </w:rPr>
        <w:footnoteRef/>
      </w:r>
      <w:r>
        <w:t xml:space="preserve"> </w:t>
      </w:r>
      <w:r w:rsidRPr="00ED6C2F">
        <w:t>Comisión de la Verdad, «La impunidad como factor de persistencia del conflicto armado interno colombiano», Anexo de casos.</w:t>
      </w:r>
    </w:p>
  </w:footnote>
  <w:footnote w:id="837">
    <w:p w:rsidR="00591E90" w:rsidRPr="00ED6C2F" w:rsidRDefault="00591E90">
      <w:pPr>
        <w:pStyle w:val="Textonotapie"/>
        <w:rPr>
          <w:lang w:val="es-CO"/>
        </w:rPr>
      </w:pPr>
      <w:r>
        <w:rPr>
          <w:rStyle w:val="Refdenotaalpie"/>
        </w:rPr>
        <w:footnoteRef/>
      </w:r>
      <w:r>
        <w:t xml:space="preserve"> </w:t>
      </w:r>
      <w:r w:rsidRPr="00ED6C2F">
        <w:t>Comisión de la Verdad, «La impunidad como factor de persistencia del conflicto armado interno colombiano», Anexo de casos.</w:t>
      </w:r>
    </w:p>
  </w:footnote>
  <w:footnote w:id="838">
    <w:p w:rsidR="00591E90" w:rsidRPr="00ED6C2F" w:rsidRDefault="00591E90">
      <w:pPr>
        <w:pStyle w:val="Textonotapie"/>
        <w:rPr>
          <w:lang w:val="es-CO"/>
        </w:rPr>
      </w:pPr>
      <w:r>
        <w:rPr>
          <w:rStyle w:val="Refdenotaalpie"/>
        </w:rPr>
        <w:footnoteRef/>
      </w:r>
      <w:r>
        <w:t xml:space="preserve"> </w:t>
      </w:r>
      <w:r w:rsidRPr="00ED6C2F">
        <w:t>Los documentos desclasificados hablan del narcotráfico y el terrorismo, y aunque afirman que las FARC- EP, el ELN y las AUC hacen parte de los grupos narcoterroristas, la mayoría de las veces plantean solo planes de acción contra los grupos insurgentes; cuando se habla del paramilitarismo se concentran en planes contra las finanzas, a través de operaciones de inteligencia financiera.</w:t>
      </w:r>
    </w:p>
  </w:footnote>
  <w:footnote w:id="839">
    <w:p w:rsidR="00591E90" w:rsidRPr="00ED6C2F" w:rsidRDefault="00591E90">
      <w:pPr>
        <w:pStyle w:val="Textonotapie"/>
        <w:rPr>
          <w:lang w:val="es-CO"/>
        </w:rPr>
      </w:pPr>
      <w:r>
        <w:rPr>
          <w:rStyle w:val="Refdenotaalpie"/>
        </w:rPr>
        <w:footnoteRef/>
      </w:r>
      <w:r>
        <w:t xml:space="preserve"> </w:t>
      </w:r>
      <w:r w:rsidRPr="00ED6C2F">
        <w:t>Así llamadas por el entonces congresista Álvaro Gómez Hurtado. «Documentos de la semana. El discurso de Álvaro Gómez», 55.</w:t>
      </w:r>
    </w:p>
  </w:footnote>
  <w:footnote w:id="840">
    <w:p w:rsidR="00591E90" w:rsidRPr="00ED6C2F" w:rsidRDefault="00591E90">
      <w:pPr>
        <w:pStyle w:val="Textonotapie"/>
        <w:rPr>
          <w:lang w:val="es-CO"/>
        </w:rPr>
      </w:pPr>
      <w:r>
        <w:rPr>
          <w:rStyle w:val="Refdenotaalpie"/>
        </w:rPr>
        <w:footnoteRef/>
      </w:r>
      <w:r>
        <w:t xml:space="preserve"> </w:t>
      </w:r>
      <w:r w:rsidRPr="00ED6C2F">
        <w:t>En 1963, bajo el impulso del teniente coronel Charry Solano, se llevó a cabo el primer Curso de Inteligencia y Contrainteligencia para oficiales de las Fuerzas Militares y, posteriormente el primer Curso de Inteligencia para Suboficiales. Ese mismo año, se crearon las primeras unidades de inteligencia militar en varias ciudades, como Bogotá, Barranquilla y Cúcuta, bajo la dirección de la Dirección del Departamento E-2 del Comando del Ejército.</w:t>
      </w:r>
    </w:p>
  </w:footnote>
  <w:footnote w:id="841">
    <w:p w:rsidR="00591E90" w:rsidRPr="00ED6C2F" w:rsidRDefault="00591E90">
      <w:pPr>
        <w:pStyle w:val="Textonotapie"/>
        <w:rPr>
          <w:lang w:val="es-CO"/>
        </w:rPr>
      </w:pPr>
      <w:r>
        <w:rPr>
          <w:rStyle w:val="Refdenotaalpie"/>
        </w:rPr>
        <w:footnoteRef/>
      </w:r>
      <w:r>
        <w:t xml:space="preserve"> </w:t>
      </w:r>
      <w:r w:rsidRPr="00ED6C2F">
        <w:t>Decreto 3398 de 1965, Estatuto Orgánico de la Defensa Nacional</w:t>
      </w:r>
    </w:p>
  </w:footnote>
  <w:footnote w:id="842">
    <w:p w:rsidR="00591E90" w:rsidRPr="00ED6C2F" w:rsidRDefault="00591E90">
      <w:pPr>
        <w:pStyle w:val="Textonotapie"/>
        <w:rPr>
          <w:lang w:val="es-CO"/>
        </w:rPr>
      </w:pPr>
      <w:r>
        <w:rPr>
          <w:rStyle w:val="Refdenotaalpie"/>
        </w:rPr>
        <w:footnoteRef/>
      </w:r>
      <w:r>
        <w:t xml:space="preserve"> </w:t>
      </w:r>
      <w:r w:rsidRPr="00ED6C2F">
        <w:t>Ley 48 de 1968.</w:t>
      </w:r>
    </w:p>
  </w:footnote>
  <w:footnote w:id="843">
    <w:p w:rsidR="00591E90" w:rsidRPr="00ED6C2F" w:rsidRDefault="00591E90">
      <w:pPr>
        <w:pStyle w:val="Textonotapie"/>
        <w:rPr>
          <w:lang w:val="es-CO"/>
        </w:rPr>
      </w:pPr>
      <w:r>
        <w:rPr>
          <w:rStyle w:val="Refdenotaalpie"/>
        </w:rPr>
        <w:footnoteRef/>
      </w:r>
      <w:r w:rsidRPr="00ED6C2F">
        <w:rPr>
          <w:lang w:val="en-US"/>
        </w:rPr>
        <w:t xml:space="preserve"> NSA-Summary of Colombia Policy Discussion Paper September 2, 2001. </w:t>
      </w:r>
      <w:r w:rsidRPr="00ED6C2F">
        <w:t>16-20010907-DOD-33733</w:t>
      </w:r>
    </w:p>
  </w:footnote>
  <w:footnote w:id="844">
    <w:p w:rsidR="00591E90" w:rsidRPr="00ED6C2F" w:rsidRDefault="00591E90">
      <w:pPr>
        <w:pStyle w:val="Textonotapie"/>
        <w:rPr>
          <w:lang w:val="es-CO"/>
        </w:rPr>
      </w:pPr>
      <w:r>
        <w:rPr>
          <w:rStyle w:val="Refdenotaalpie"/>
        </w:rPr>
        <w:footnoteRef/>
      </w:r>
      <w:r>
        <w:t xml:space="preserve"> </w:t>
      </w:r>
      <w:r w:rsidRPr="00ED6C2F">
        <w:t xml:space="preserve">El apoyo de Estados Unidos proporcionó: un componente de aviación, apoyo de combate en tierra, dos helicópteros UH-60 </w:t>
      </w:r>
      <w:proofErr w:type="spellStart"/>
      <w:r w:rsidRPr="00ED6C2F">
        <w:t>Blackhawk</w:t>
      </w:r>
      <w:proofErr w:type="spellEnd"/>
      <w:r w:rsidRPr="00ED6C2F">
        <w:t>, ocho helicópteros UH-II, apoyo logístico, instalaciones en tierra y entrenamiento de 1.600 soldados por parte de las Fuerzas Especiales de los Estados Unidos. Informe GAO.</w:t>
      </w:r>
    </w:p>
  </w:footnote>
  <w:footnote w:id="845">
    <w:p w:rsidR="00591E90" w:rsidRPr="00ED6C2F" w:rsidRDefault="00591E90">
      <w:pPr>
        <w:pStyle w:val="Textonotapie"/>
        <w:rPr>
          <w:lang w:val="es-CO"/>
        </w:rPr>
      </w:pPr>
      <w:r>
        <w:rPr>
          <w:rStyle w:val="Refdenotaalpie"/>
        </w:rPr>
        <w:footnoteRef/>
      </w:r>
      <w:r>
        <w:t xml:space="preserve"> </w:t>
      </w:r>
      <w:r w:rsidRPr="00ED6C2F">
        <w:t>El Tiempo. “E. U. cuidará sus intereses en Colombia”. 10 de febrero de 2002. https://www.eltiempo.com/archivo/documento/MAM-1324656.</w:t>
      </w:r>
    </w:p>
  </w:footnote>
  <w:footnote w:id="846">
    <w:p w:rsidR="00591E90" w:rsidRPr="00ED6C2F" w:rsidRDefault="00591E90">
      <w:pPr>
        <w:pStyle w:val="Textonotapie"/>
        <w:rPr>
          <w:lang w:val="es-CO"/>
        </w:rPr>
      </w:pPr>
      <w:r>
        <w:rPr>
          <w:rStyle w:val="Refdenotaalpie"/>
        </w:rPr>
        <w:footnoteRef/>
      </w:r>
      <w:r>
        <w:t xml:space="preserve"> </w:t>
      </w:r>
      <w:r w:rsidRPr="00ED6C2F">
        <w:t>Caso Injerencia de EE. UU. Anexo de casos Comisión de la Verdad.</w:t>
      </w:r>
    </w:p>
  </w:footnote>
  <w:footnote w:id="847">
    <w:p w:rsidR="00591E90" w:rsidRPr="00ED6C2F" w:rsidRDefault="00591E90">
      <w:pPr>
        <w:pStyle w:val="Textonotapie"/>
        <w:rPr>
          <w:lang w:val="es-CO"/>
        </w:rPr>
      </w:pPr>
      <w:r>
        <w:rPr>
          <w:rStyle w:val="Refdenotaalpie"/>
        </w:rPr>
        <w:footnoteRef/>
      </w:r>
      <w:r>
        <w:t xml:space="preserve"> </w:t>
      </w:r>
      <w:r w:rsidRPr="00ED6C2F">
        <w:t xml:space="preserve">Esta comparación es realizada incluso por el Comando Sur. </w:t>
      </w:r>
      <w:r w:rsidRPr="00ED6C2F">
        <w:rPr>
          <w:lang w:val="en-US"/>
        </w:rPr>
        <w:t xml:space="preserve">Ver NSA US Southern </w:t>
      </w:r>
      <w:proofErr w:type="spellStart"/>
      <w:r w:rsidRPr="00ED6C2F">
        <w:rPr>
          <w:lang w:val="en-US"/>
        </w:rPr>
        <w:t>Comand</w:t>
      </w:r>
      <w:proofErr w:type="spellEnd"/>
      <w:r w:rsidRPr="00ED6C2F">
        <w:rPr>
          <w:lang w:val="en-US"/>
        </w:rPr>
        <w:t xml:space="preserve">. </w:t>
      </w:r>
      <w:r w:rsidRPr="00ED6C2F">
        <w:t xml:space="preserve">Colombia: COLMIL </w:t>
      </w:r>
      <w:proofErr w:type="spellStart"/>
      <w:r w:rsidRPr="00ED6C2F">
        <w:t>Historical</w:t>
      </w:r>
      <w:proofErr w:type="spellEnd"/>
      <w:r w:rsidRPr="00ED6C2F">
        <w:t xml:space="preserve"> </w:t>
      </w:r>
      <w:proofErr w:type="spellStart"/>
      <w:r w:rsidRPr="00ED6C2F">
        <w:t>Perspectives</w:t>
      </w:r>
      <w:proofErr w:type="spellEnd"/>
      <w:r w:rsidRPr="00ED6C2F">
        <w:t>. 45-20031231.</w:t>
      </w:r>
    </w:p>
  </w:footnote>
  <w:footnote w:id="848">
    <w:p w:rsidR="00591E90" w:rsidRPr="00ED6C2F" w:rsidRDefault="00591E90">
      <w:pPr>
        <w:pStyle w:val="Textonotapie"/>
        <w:rPr>
          <w:lang w:val="es-CO"/>
        </w:rPr>
      </w:pPr>
      <w:r>
        <w:rPr>
          <w:rStyle w:val="Refdenotaalpie"/>
        </w:rPr>
        <w:footnoteRef/>
      </w:r>
      <w:r>
        <w:t xml:space="preserve"> </w:t>
      </w:r>
      <w:r w:rsidRPr="00ED6C2F">
        <w:t>Bombardeo a Sucumbíos, también conocido como la Operación Fénix, donde la fuerza pública atacó un campamento de las FARC-EP en territorio ecuatoriano, en el que murió ‘Raúl Reyes’, y donde resultaron muertos cuatro estudiantes mexicanos y dejaron herida a una joven más, y una guerrillera de las FARC-EP. Por ese caso, Ecuador, inició ante la Comisión Interamericana de Derechos Humanos (CIDH), el caso interestatal 12.779 en contra del Estado de Colombia, por la ejecución extrajudicial de un ciudadano ecuatoriano que resultó muerto en el bombardeo. Este proceso fue archivado por la CIDH el 4 de noviembre de 2013, tras haber recibido comunicación del Estado de Ecuador desistiendo del proceso iniciado, debido a que, según informó a ese organismo, «ambas partes llegaron “a un acuerdo tendiente al desarrollo social y económico y de reparación e</w:t>
      </w:r>
      <w:r>
        <w:t xml:space="preserve"> </w:t>
      </w:r>
      <w:r w:rsidRPr="00ED6C2F">
        <w:t>inversión para la compensación social fronteriza”». Colombia, en las observaciones presentadas a la CIDH el 10 de octubre de 2013, indicó que el acuerdo evidenciaba la preponderancia que ambos Estados les dan a las soluciones amistosas. Comisión Interamericana de Derechos Humanos, Informe 96/13. Decisión de Archivo, caso interestatal 12,779 Ecuador -Colombia. 4 de noviembre de 2013.</w:t>
      </w:r>
    </w:p>
  </w:footnote>
  <w:footnote w:id="849">
    <w:p w:rsidR="00591E90" w:rsidRPr="0053038F" w:rsidRDefault="00591E90">
      <w:pPr>
        <w:pStyle w:val="Textonotapie"/>
        <w:rPr>
          <w:lang w:val="es-CO"/>
        </w:rPr>
      </w:pPr>
      <w:r>
        <w:rPr>
          <w:rStyle w:val="Refdenotaalpie"/>
        </w:rPr>
        <w:footnoteRef/>
      </w:r>
      <w:r>
        <w:t xml:space="preserve"> </w:t>
      </w:r>
      <w:r w:rsidRPr="0053038F">
        <w:t>Ver Entramado paramilitar, en este volumen.</w:t>
      </w:r>
    </w:p>
  </w:footnote>
  <w:footnote w:id="850">
    <w:p w:rsidR="00591E90" w:rsidRPr="0053038F" w:rsidRDefault="00591E90">
      <w:pPr>
        <w:pStyle w:val="Textonotapie"/>
        <w:rPr>
          <w:lang w:val="es-CO"/>
        </w:rPr>
      </w:pPr>
      <w:r>
        <w:rPr>
          <w:rStyle w:val="Refdenotaalpie"/>
        </w:rPr>
        <w:footnoteRef/>
      </w:r>
      <w:r>
        <w:t xml:space="preserve"> </w:t>
      </w:r>
      <w:r w:rsidRPr="0053038F">
        <w:t>Parágrafos 2º y 3º del artículo 33 del Decreto 3398 de 1965. El Decreto 3398 de 1965 previó que «por conducto de los Comandos autorizados» se amparara «cuando lo estime conveniente, como de propiedad particular, armas que estén consideradas como de uso privativo de las Fuerzas Armadas». Esto permitió la conformación de grupos armados civiles que fueron centrales en las labores de inteligencia, así como en las acciones cívico-militares. En 1982 fueron reforzadas las instrucciones a las Fuerzas Armadas para organizarlas, instruirlas y apoyarlas como medio para fortalecer la lucha contrainsurgente en los territorios.</w:t>
      </w:r>
    </w:p>
  </w:footnote>
  <w:footnote w:id="851">
    <w:p w:rsidR="00591E90" w:rsidRPr="0053038F" w:rsidRDefault="00591E90">
      <w:pPr>
        <w:pStyle w:val="Textonotapie"/>
        <w:rPr>
          <w:lang w:val="es-CO"/>
        </w:rPr>
      </w:pPr>
      <w:r>
        <w:rPr>
          <w:rStyle w:val="Refdenotaalpie"/>
        </w:rPr>
        <w:footnoteRef/>
      </w:r>
      <w:r>
        <w:t xml:space="preserve"> </w:t>
      </w:r>
      <w:r w:rsidRPr="0053038F">
        <w:t>Fuente de archivo externa. 18244-OE-227295. Ministerio de Defensa Nacional. «Plan de Operaciones Lazo», 2020. Anexo M: «Las unidades de autodefensa civil estarán organizadas con personal escogido en el que se</w:t>
      </w:r>
      <w:r>
        <w:t xml:space="preserve"> </w:t>
      </w:r>
      <w:r w:rsidRPr="0053038F">
        <w:t>pueda confiar en caso de emergencia para reaccionar positiva y favorablemente. Como guía general para la selección de personal los candidatos serán escogidos entre exmiembros de las Fuerzas Militares o de la Policía Nacional, e individuos sobresalientes de algunos negocios y otras figuras importantes de la sociedad que satisfagan la condición básica de confianza. No se deben entregar armas inicialmente sin antes llevar a cabo un adoctrinamiento psicológico completo a los miembros de dichas fuerzas».</w:t>
      </w:r>
    </w:p>
  </w:footnote>
  <w:footnote w:id="852">
    <w:p w:rsidR="00591E90" w:rsidRPr="00BE599E" w:rsidRDefault="00591E90">
      <w:pPr>
        <w:pStyle w:val="Textonotapie"/>
        <w:rPr>
          <w:lang w:val="es-CO"/>
        </w:rPr>
      </w:pPr>
      <w:r>
        <w:rPr>
          <w:rStyle w:val="Refdenotaalpie"/>
        </w:rPr>
        <w:footnoteRef/>
      </w:r>
      <w:r>
        <w:t xml:space="preserve"> </w:t>
      </w:r>
      <w:r w:rsidRPr="00707DD0">
        <w:t>Decreto 1194 de 1989.</w:t>
      </w:r>
    </w:p>
  </w:footnote>
  <w:footnote w:id="853">
    <w:p w:rsidR="00591E90" w:rsidRPr="00707DD0" w:rsidRDefault="00591E90">
      <w:pPr>
        <w:pStyle w:val="Textonotapie"/>
        <w:rPr>
          <w:lang w:val="es-CO"/>
        </w:rPr>
      </w:pPr>
      <w:r>
        <w:rPr>
          <w:rStyle w:val="Refdenotaalpie"/>
        </w:rPr>
        <w:footnoteRef/>
      </w:r>
      <w:r>
        <w:t xml:space="preserve"> </w:t>
      </w:r>
      <w:r w:rsidRPr="00707DD0">
        <w:t>Ver capítulo Entramado paramilitar.</w:t>
      </w:r>
    </w:p>
  </w:footnote>
  <w:footnote w:id="854">
    <w:p w:rsidR="00591E90" w:rsidRPr="00707DD0" w:rsidRDefault="00591E90">
      <w:pPr>
        <w:pStyle w:val="Textonotapie"/>
        <w:rPr>
          <w:lang w:val="es-CO"/>
        </w:rPr>
      </w:pPr>
      <w:r>
        <w:rPr>
          <w:rStyle w:val="Refdenotaalpie"/>
        </w:rPr>
        <w:footnoteRef/>
      </w:r>
      <w:r>
        <w:t xml:space="preserve"> </w:t>
      </w:r>
      <w:r w:rsidRPr="00707DD0">
        <w:t>Constitución Política de Colombia, Acto Legislativo 05 de 2017.</w:t>
      </w:r>
    </w:p>
  </w:footnote>
  <w:footnote w:id="855">
    <w:p w:rsidR="00591E90" w:rsidRPr="00707DD0" w:rsidRDefault="00591E90">
      <w:pPr>
        <w:pStyle w:val="Textonotapie"/>
        <w:rPr>
          <w:lang w:val="es-CO"/>
        </w:rPr>
      </w:pPr>
      <w:r>
        <w:rPr>
          <w:rStyle w:val="Refdenotaalpie"/>
        </w:rPr>
        <w:footnoteRef/>
      </w:r>
      <w:r>
        <w:t xml:space="preserve"> </w:t>
      </w:r>
      <w:r w:rsidRPr="00707DD0">
        <w:t>Ver capítulo Entramado paramilitar.</w:t>
      </w:r>
    </w:p>
  </w:footnote>
  <w:footnote w:id="856">
    <w:p w:rsidR="00591E90" w:rsidRPr="00707DD0" w:rsidRDefault="00591E90">
      <w:pPr>
        <w:pStyle w:val="Textonotapie"/>
        <w:rPr>
          <w:lang w:val="es-CO"/>
        </w:rPr>
      </w:pPr>
      <w:r>
        <w:rPr>
          <w:rStyle w:val="Refdenotaalpie"/>
        </w:rPr>
        <w:footnoteRef/>
      </w:r>
      <w:r>
        <w:t xml:space="preserve"> </w:t>
      </w:r>
      <w:r w:rsidRPr="00707DD0">
        <w:t>Ley 2197 de 2022, artículo 3.</w:t>
      </w:r>
    </w:p>
  </w:footnote>
  <w:footnote w:id="857">
    <w:p w:rsidR="00591E90" w:rsidRPr="00707DD0" w:rsidRDefault="00591E90">
      <w:pPr>
        <w:pStyle w:val="Textonotapie"/>
        <w:rPr>
          <w:lang w:val="es-CO"/>
        </w:rPr>
      </w:pPr>
      <w:r>
        <w:rPr>
          <w:rStyle w:val="Refdenotaalpie"/>
        </w:rPr>
        <w:footnoteRef/>
      </w:r>
      <w:r>
        <w:t xml:space="preserve"> </w:t>
      </w:r>
      <w:r w:rsidRPr="00707DD0">
        <w:t>En los años setenta y ochenta, la crisis de derechos humanos se puso en evidencia por la denuncia pública del emergente movimiento de derechos humanos, a través del Primer Foro de Derechos Humanos, en 1979; por el acompañamiento de organizaciones internacionales, como Amnistía Internacional; y por la denuncia de algunos medios de comunicación y de organismos intergubernamentales de derechos humanos, como la Comisión Interamericana de Derechos Humanos. En los años noventa y en las décadas siguientes, el rol del periodismo, de las organizaciones sociales, de los movimientos de derechos humanos, de la rama judicial, de los organismos intergubernamentales de derechos humanos de la OEA y Naciones Unidas ha sido crucial para que los crímenes no sean ocultados ni permanezcan en la impunidad.</w:t>
      </w:r>
    </w:p>
  </w:footnote>
  <w:footnote w:id="858">
    <w:p w:rsidR="00591E90" w:rsidRPr="009E4289" w:rsidRDefault="00591E90">
      <w:pPr>
        <w:pStyle w:val="Textonotapie"/>
        <w:rPr>
          <w:lang w:val="es-CO"/>
        </w:rPr>
      </w:pPr>
      <w:r>
        <w:rPr>
          <w:rStyle w:val="Refdenotaalpie"/>
        </w:rPr>
        <w:footnoteRef/>
      </w:r>
      <w:r>
        <w:t xml:space="preserve"> </w:t>
      </w:r>
      <w:r w:rsidRPr="009E4289">
        <w:t>Entrevista 001-VI-00044. Ex magistrado de la Corte Suprema de Justicia</w:t>
      </w:r>
    </w:p>
  </w:footnote>
  <w:footnote w:id="859">
    <w:p w:rsidR="00591E90" w:rsidRPr="00E7096D" w:rsidRDefault="00591E90">
      <w:pPr>
        <w:pStyle w:val="Textonotapie"/>
        <w:rPr>
          <w:lang w:val="es-CO"/>
        </w:rPr>
      </w:pPr>
      <w:r>
        <w:rPr>
          <w:rStyle w:val="Refdenotaalpie"/>
        </w:rPr>
        <w:footnoteRef/>
      </w:r>
      <w:r>
        <w:t xml:space="preserve"> </w:t>
      </w:r>
      <w:r w:rsidRPr="00E7096D">
        <w:t>Semana, «Gabo y la misión de sabios que marcó un rumbo de país».</w:t>
      </w:r>
    </w:p>
  </w:footnote>
  <w:footnote w:id="860">
    <w:p w:rsidR="00591E90" w:rsidRPr="00E7096D" w:rsidRDefault="00591E90">
      <w:pPr>
        <w:pStyle w:val="Textonotapie"/>
        <w:rPr>
          <w:lang w:val="es-CO"/>
        </w:rPr>
      </w:pPr>
      <w:r>
        <w:rPr>
          <w:rStyle w:val="Refdenotaalpie"/>
        </w:rPr>
        <w:footnoteRef/>
      </w:r>
      <w:r>
        <w:t xml:space="preserve"> </w:t>
      </w:r>
      <w:r w:rsidRPr="00E7096D">
        <w:t>El 11 de junio de 2019, en la ciudad de Bogotá se hizo el encuentro denominado ‘Larga vida a los hombres y mujeres líderes sociales, y defensores de derechos humanos’</w:t>
      </w:r>
    </w:p>
  </w:footnote>
  <w:footnote w:id="861">
    <w:p w:rsidR="00591E90" w:rsidRPr="00E7096D" w:rsidRDefault="00591E90">
      <w:pPr>
        <w:pStyle w:val="Textonotapie"/>
        <w:rPr>
          <w:lang w:val="es-CO"/>
        </w:rPr>
      </w:pPr>
      <w:r>
        <w:rPr>
          <w:rStyle w:val="Refdenotaalpie"/>
        </w:rPr>
        <w:footnoteRef/>
      </w:r>
      <w:r>
        <w:t xml:space="preserve"> </w:t>
      </w:r>
      <w:r w:rsidRPr="00E7096D">
        <w:t>El Espectador, «2020: Un año marcado por las masacres», elespectador.com.</w:t>
      </w:r>
    </w:p>
  </w:footnote>
  <w:footnote w:id="862">
    <w:p w:rsidR="00591E90" w:rsidRPr="00E7096D" w:rsidRDefault="00591E90">
      <w:pPr>
        <w:pStyle w:val="Textonotapie"/>
        <w:rPr>
          <w:lang w:val="es-CO"/>
        </w:rPr>
      </w:pPr>
      <w:r>
        <w:rPr>
          <w:rStyle w:val="Refdenotaalpie"/>
        </w:rPr>
        <w:footnoteRef/>
      </w:r>
      <w:r>
        <w:t xml:space="preserve"> </w:t>
      </w:r>
      <w:r w:rsidRPr="00CF31F8">
        <w:t>Varios ejemplos de esto pueden encontrarse en la segunda parte del capítulo de Impactos, afrontamientos y resistencias del Informe Final.</w:t>
      </w:r>
    </w:p>
  </w:footnote>
  <w:footnote w:id="863">
    <w:p w:rsidR="00591E90" w:rsidRPr="00CF31F8" w:rsidRDefault="00591E90">
      <w:pPr>
        <w:pStyle w:val="Textonotapie"/>
        <w:rPr>
          <w:lang w:val="es-CO"/>
        </w:rPr>
      </w:pPr>
      <w:r>
        <w:rPr>
          <w:rStyle w:val="Refdenotaalpie"/>
        </w:rPr>
        <w:footnoteRef/>
      </w:r>
      <w:r>
        <w:t xml:space="preserve"> </w:t>
      </w:r>
      <w:r w:rsidRPr="00CF31F8">
        <w:t>Fuente de Archivo Externa 79984-FS-258406, «Inventarios del conflicto armado». Informe entregado por la Fiscalía General de la Nación da cuenta de las investigaciones de las que tiene registro en ente investigador, relativas a las conductas cometidas con ocasión del conflicto armado hasta antes del 01 de diciembre de 2016, a partir de las bases de datos de los sistemas misionales de información de la Fiscalía: SIJUF, SIJYP, SPOA y SAGITARIO.</w:t>
      </w:r>
    </w:p>
  </w:footnote>
  <w:footnote w:id="864">
    <w:p w:rsidR="00591E90" w:rsidRPr="00CF31F8" w:rsidRDefault="00591E90">
      <w:pPr>
        <w:pStyle w:val="Textonotapie"/>
        <w:rPr>
          <w:lang w:val="es-CO"/>
        </w:rPr>
      </w:pPr>
      <w:r>
        <w:rPr>
          <w:rStyle w:val="Refdenotaalpie"/>
        </w:rPr>
        <w:footnoteRef/>
      </w:r>
      <w:r>
        <w:t xml:space="preserve"> </w:t>
      </w:r>
      <w:r w:rsidRPr="00CF31F8">
        <w:t>Unidad para la Atención y Reparación Integral a las Víctimas (</w:t>
      </w:r>
      <w:proofErr w:type="spellStart"/>
      <w:r w:rsidRPr="00CF31F8">
        <w:t>Uariv</w:t>
      </w:r>
      <w:proofErr w:type="spellEnd"/>
      <w:r w:rsidRPr="00CF31F8">
        <w:t>), «Registro Único de Víctimas (RUV)».</w:t>
      </w:r>
    </w:p>
  </w:footnote>
  <w:footnote w:id="865">
    <w:p w:rsidR="00591E90" w:rsidRPr="00CF31F8" w:rsidRDefault="00591E90">
      <w:pPr>
        <w:pStyle w:val="Textonotapie"/>
        <w:rPr>
          <w:lang w:val="es-CO"/>
        </w:rPr>
      </w:pPr>
      <w:r>
        <w:rPr>
          <w:rStyle w:val="Refdenotaalpie"/>
        </w:rPr>
        <w:footnoteRef/>
      </w:r>
      <w:r>
        <w:t xml:space="preserve"> </w:t>
      </w:r>
      <w:r w:rsidRPr="00CF31F8">
        <w:t>El número de casos reportado es notablemente bajo. La propia Fiscalía reconoce en su informe general un problema de subregistro y pérdida de procesos particularmente acentuado frente a procesos llevados por la justicia antes de 1991. En efecto, la Comisión conoció los vacíos de información producidos cuando se creó la Fiscalía General de la Nación frente a procesos que se llevaban anteriormente, además de problemas de archivos que han hecho que diversos documentos judiciales se hayan deteriorado o hayan extraviado.</w:t>
      </w:r>
    </w:p>
  </w:footnote>
  <w:footnote w:id="866">
    <w:p w:rsidR="00591E90" w:rsidRPr="00CF31F8" w:rsidRDefault="00591E90">
      <w:pPr>
        <w:pStyle w:val="Textonotapie"/>
        <w:rPr>
          <w:lang w:val="es-CO"/>
        </w:rPr>
      </w:pPr>
      <w:r>
        <w:rPr>
          <w:rStyle w:val="Refdenotaalpie"/>
        </w:rPr>
        <w:footnoteRef/>
      </w:r>
      <w:r>
        <w:t xml:space="preserve"> </w:t>
      </w:r>
      <w:r w:rsidRPr="005E6E17">
        <w:t>Fiscalía General de la Nación (2018) Inventario del conflicto armado interno.</w:t>
      </w:r>
    </w:p>
  </w:footnote>
  <w:footnote w:id="867">
    <w:p w:rsidR="00591E90" w:rsidRPr="005E6E17" w:rsidRDefault="00591E90">
      <w:pPr>
        <w:pStyle w:val="Textonotapie"/>
        <w:rPr>
          <w:lang w:val="es-CO"/>
        </w:rPr>
      </w:pPr>
      <w:r>
        <w:rPr>
          <w:rStyle w:val="Refdenotaalpie"/>
        </w:rPr>
        <w:footnoteRef/>
      </w:r>
      <w:r>
        <w:t xml:space="preserve"> </w:t>
      </w:r>
      <w:r w:rsidRPr="005E6E17">
        <w:t xml:space="preserve">Tribunal Superior del Distrito Judicial de Bogotá, Sentencia parcial contra el Alexi Mancilla García, 15 de junio de 2016.; Tribunal Superior de Bogotá, Sentencia 1001225200020140005800, 16 de diciembre de 2014.; Tribunal Superior del Distrito Judicial de Bogotá, Radicado: 110016000253201400103 Postulados: </w:t>
      </w:r>
      <w:proofErr w:type="spellStart"/>
      <w:r w:rsidRPr="005E6E17">
        <w:t>Atanael</w:t>
      </w:r>
      <w:proofErr w:type="spellEnd"/>
      <w:r w:rsidRPr="005E6E17">
        <w:t xml:space="preserve"> Matajudíos Buitrago y otros, 7 de diciembre de 2016.; Tribunal Superior del Distrito, 0016000253-2008-83308, 0016000253-2010-84398, 0016000253-2006-80893, 30 de enero de 2017.; Tribunal Superior Distrito Judicial de Barranquilla, Radicación:111-001-60-002253-2008-83160 Sentencia Condenatoria Ferney Alberto Argumedo Torres –Alias “el tigre, Camilo, Veintiuno (21), Mata tigre o Andrés", 13 de julio de 2015.; Tribunal Superior de Medellín, Radicado. 110016000253 2007 82701, 17 de mayo de 2018.; Tribunal Superior de Medellín, Radicado: 110016000253-2010-84502 Acusado: Germán Antonio Pineda López, 25 de enero de 2019.; Tribunal Superior del Distrito Judicial de Bogotá, Radicado110016000253200680450 Guillermo Pérez </w:t>
      </w:r>
      <w:proofErr w:type="spellStart"/>
      <w:r w:rsidRPr="005E6E17">
        <w:t>Alzate</w:t>
      </w:r>
      <w:proofErr w:type="spellEnd"/>
      <w:r w:rsidRPr="005E6E17">
        <w:t xml:space="preserve"> y otros.; Tribunal Superior Sala Penal de Bogotá, Sentencia de Corte Suprema de Justicia - Sala de Casación Penal no 38222 de 12 de Diciembre de 2012, 12 de diciembre de 2012.</w:t>
      </w:r>
    </w:p>
  </w:footnote>
  <w:footnote w:id="868">
    <w:p w:rsidR="00591E90" w:rsidRPr="005E6E17" w:rsidRDefault="00591E90">
      <w:pPr>
        <w:pStyle w:val="Textonotapie"/>
        <w:rPr>
          <w:lang w:val="es-CO"/>
        </w:rPr>
      </w:pPr>
      <w:r>
        <w:rPr>
          <w:rStyle w:val="Refdenotaalpie"/>
        </w:rPr>
        <w:footnoteRef/>
      </w:r>
      <w:r>
        <w:t xml:space="preserve"> </w:t>
      </w:r>
      <w:r w:rsidRPr="005E6E17">
        <w:t>Jurisdicción Especial para la Paz (JEP), AUTO No. 029 de 2019 Se avoca conocimiento del Reclutamiento y utilización de niñas y niños en el conflicto armado como un caso priorizado por la Sala, Caso No. 007., 1 de marzo de 2019.</w:t>
      </w:r>
    </w:p>
  </w:footnote>
  <w:footnote w:id="869">
    <w:p w:rsidR="00591E90" w:rsidRPr="005E6E17" w:rsidRDefault="00591E90">
      <w:pPr>
        <w:pStyle w:val="Textonotapie"/>
        <w:rPr>
          <w:lang w:val="es-CO"/>
        </w:rPr>
      </w:pPr>
      <w:r>
        <w:rPr>
          <w:rStyle w:val="Refdenotaalpie"/>
        </w:rPr>
        <w:footnoteRef/>
      </w:r>
      <w:r>
        <w:t xml:space="preserve"> </w:t>
      </w:r>
      <w:r w:rsidRPr="005E6E17">
        <w:t>Jurisdicción Especial para la Paz (JEP), Caso No. 01. Toma de rehenes y graves privaciones de la libertad cometidas por las FARC-EP (renombrado por medio de este Auto), 26 de enero de 2021.</w:t>
      </w:r>
    </w:p>
  </w:footnote>
  <w:footnote w:id="870">
    <w:p w:rsidR="00591E90" w:rsidRPr="005E6E17" w:rsidRDefault="00591E90">
      <w:pPr>
        <w:pStyle w:val="Textonotapie"/>
        <w:rPr>
          <w:lang w:val="es-CO"/>
        </w:rPr>
      </w:pPr>
      <w:r>
        <w:rPr>
          <w:rStyle w:val="Refdenotaalpie"/>
        </w:rPr>
        <w:footnoteRef/>
      </w:r>
      <w:r>
        <w:t xml:space="preserve"> </w:t>
      </w:r>
      <w:r w:rsidRPr="005E6E17">
        <w:t>Procuraduría Delegada con Funciones de Coordinación de Intervención para la Paz. Observaciones del Ministerio Público. Caso No. 01. Pág. 107-108</w:t>
      </w:r>
    </w:p>
  </w:footnote>
  <w:footnote w:id="871">
    <w:p w:rsidR="00591E90" w:rsidRPr="005E6E17" w:rsidRDefault="00591E90">
      <w:pPr>
        <w:pStyle w:val="Textonotapie"/>
        <w:rPr>
          <w:lang w:val="es-CO"/>
        </w:rPr>
      </w:pPr>
      <w:r>
        <w:rPr>
          <w:rStyle w:val="Refdenotaalpie"/>
        </w:rPr>
        <w:footnoteRef/>
      </w:r>
      <w:r>
        <w:t xml:space="preserve"> </w:t>
      </w:r>
      <w:r w:rsidRPr="005E6E17">
        <w:t>Consejo Superior de la Judicatura, 2019, 19.</w:t>
      </w:r>
    </w:p>
  </w:footnote>
  <w:footnote w:id="872">
    <w:p w:rsidR="00591E90" w:rsidRPr="005E6E17" w:rsidRDefault="00591E90">
      <w:pPr>
        <w:pStyle w:val="Textonotapie"/>
        <w:rPr>
          <w:lang w:val="es-CO"/>
        </w:rPr>
      </w:pPr>
      <w:r>
        <w:rPr>
          <w:rStyle w:val="Refdenotaalpie"/>
        </w:rPr>
        <w:footnoteRef/>
      </w:r>
      <w:r>
        <w:t xml:space="preserve"> </w:t>
      </w:r>
      <w:r w:rsidRPr="005E6E17">
        <w:t>https://www.ramajudicial.gov.co/web/consejo-superior-de-la-judicatura/-/consejo-superior-de-la- judicatura-presento-a-camara-de-representantes-el-informe-sobre-el-estado-de-la-rama-judicial.</w:t>
      </w:r>
    </w:p>
  </w:footnote>
  <w:footnote w:id="873">
    <w:p w:rsidR="00591E90" w:rsidRPr="005E6E17" w:rsidRDefault="00591E90">
      <w:pPr>
        <w:pStyle w:val="Textonotapie"/>
        <w:rPr>
          <w:lang w:val="es-CO"/>
        </w:rPr>
      </w:pPr>
      <w:r>
        <w:rPr>
          <w:rStyle w:val="Refdenotaalpie"/>
        </w:rPr>
        <w:footnoteRef/>
      </w:r>
      <w:r>
        <w:t xml:space="preserve"> </w:t>
      </w:r>
      <w:r w:rsidRPr="005E6E17">
        <w:t>https://www.ramajudicial.gov.co/web/consejo-superior-de-la-judicatura/-/consejo-superior-de-la- judicatura-presento-a-camara-de-representantes-el-informe-sobre-el-estado-de-la-rama-judicial.</w:t>
      </w:r>
    </w:p>
  </w:footnote>
  <w:footnote w:id="874">
    <w:p w:rsidR="00591E90" w:rsidRPr="005E6E17" w:rsidRDefault="00591E90">
      <w:pPr>
        <w:pStyle w:val="Textonotapie"/>
        <w:rPr>
          <w:lang w:val="es-CO"/>
        </w:rPr>
      </w:pPr>
      <w:r>
        <w:rPr>
          <w:rStyle w:val="Refdenotaalpie"/>
        </w:rPr>
        <w:footnoteRef/>
      </w:r>
      <w:r>
        <w:t xml:space="preserve"> </w:t>
      </w:r>
      <w:r w:rsidRPr="005E6E17">
        <w:t>Respuesta UDAEO21-225 del 10 de febrero de 2021.</w:t>
      </w:r>
    </w:p>
  </w:footnote>
  <w:footnote w:id="875">
    <w:p w:rsidR="00591E90" w:rsidRPr="005E6E17" w:rsidRDefault="00591E90">
      <w:pPr>
        <w:pStyle w:val="Textonotapie"/>
        <w:rPr>
          <w:lang w:val="es-CO"/>
        </w:rPr>
      </w:pPr>
      <w:r>
        <w:rPr>
          <w:rStyle w:val="Refdenotaalpie"/>
        </w:rPr>
        <w:footnoteRef/>
      </w:r>
      <w:r>
        <w:t xml:space="preserve"> </w:t>
      </w:r>
      <w:r w:rsidRPr="005E6E17">
        <w:t>Entrevista 001-VI-00049. Abogado, exfiscal en el exilio.</w:t>
      </w:r>
    </w:p>
  </w:footnote>
  <w:footnote w:id="876">
    <w:p w:rsidR="00591E90" w:rsidRPr="005E6E17" w:rsidRDefault="00591E90">
      <w:pPr>
        <w:pStyle w:val="Textonotapie"/>
        <w:rPr>
          <w:lang w:val="es-CO"/>
        </w:rPr>
      </w:pPr>
      <w:r>
        <w:rPr>
          <w:rStyle w:val="Refdenotaalpie"/>
        </w:rPr>
        <w:footnoteRef/>
      </w:r>
      <w:r>
        <w:t xml:space="preserve"> </w:t>
      </w:r>
      <w:r w:rsidRPr="005E6E17">
        <w:t>Entrevista 312-VI-00005. Médico legal.</w:t>
      </w:r>
    </w:p>
  </w:footnote>
  <w:footnote w:id="877">
    <w:p w:rsidR="00591E90" w:rsidRPr="005E6E17" w:rsidRDefault="00591E90">
      <w:pPr>
        <w:pStyle w:val="Textonotapie"/>
        <w:rPr>
          <w:lang w:val="es-CO"/>
        </w:rPr>
      </w:pPr>
      <w:r>
        <w:rPr>
          <w:rStyle w:val="Refdenotaalpie"/>
        </w:rPr>
        <w:footnoteRef/>
      </w:r>
      <w:r>
        <w:t xml:space="preserve"> </w:t>
      </w:r>
      <w:r w:rsidRPr="005E6E17">
        <w:t>Ver el trabajo compartido entre la Comisión de la verdad y el Consejo de Estado en Consejo de Estado, 2021.</w:t>
      </w:r>
    </w:p>
  </w:footnote>
  <w:footnote w:id="878">
    <w:p w:rsidR="00591E90" w:rsidRPr="00B62F25" w:rsidRDefault="00591E90">
      <w:pPr>
        <w:pStyle w:val="Textonotapie"/>
        <w:rPr>
          <w:lang w:val="es-CO"/>
        </w:rPr>
      </w:pPr>
      <w:r>
        <w:rPr>
          <w:rStyle w:val="Refdenotaalpie"/>
        </w:rPr>
        <w:footnoteRef/>
      </w:r>
      <w:r>
        <w:t xml:space="preserve"> </w:t>
      </w:r>
      <w:r w:rsidRPr="00B62F25">
        <w:t>Entrevista con exfiscal tomada por la Comisión de la Verdad.</w:t>
      </w:r>
    </w:p>
  </w:footnote>
  <w:footnote w:id="879">
    <w:p w:rsidR="00591E90" w:rsidRPr="00B62F25" w:rsidRDefault="00591E90">
      <w:pPr>
        <w:pStyle w:val="Textonotapie"/>
        <w:rPr>
          <w:lang w:val="es-CO"/>
        </w:rPr>
      </w:pPr>
      <w:r>
        <w:rPr>
          <w:rStyle w:val="Refdenotaalpie"/>
        </w:rPr>
        <w:footnoteRef/>
      </w:r>
      <w:r>
        <w:t xml:space="preserve"> </w:t>
      </w:r>
      <w:r w:rsidRPr="00B62F25">
        <w:t>Fiscalía General de la Nación, Resolución 0-2725 - mediante la cual se creó la Unidad Nacional de Derechos Humanos, adscrita a la Dirección Nacional de Fiscalías.</w:t>
      </w:r>
    </w:p>
  </w:footnote>
  <w:footnote w:id="880">
    <w:p w:rsidR="00591E90" w:rsidRPr="00B62F25" w:rsidRDefault="00591E90">
      <w:pPr>
        <w:pStyle w:val="Textonotapie"/>
        <w:rPr>
          <w:lang w:val="es-CO"/>
        </w:rPr>
      </w:pPr>
      <w:r>
        <w:rPr>
          <w:rStyle w:val="Refdenotaalpie"/>
        </w:rPr>
        <w:footnoteRef/>
      </w:r>
      <w:r>
        <w:t xml:space="preserve"> </w:t>
      </w:r>
      <w:r w:rsidRPr="00B62F25">
        <w:t>Comisión para el Esclarecimiento de la Verdad, la Convivencia y la No Repetición (CEV), «“Estaba más preparada la sociedad que las instituciones para el posconflicto”».</w:t>
      </w:r>
    </w:p>
  </w:footnote>
  <w:footnote w:id="881">
    <w:p w:rsidR="00591E90" w:rsidRPr="0074703B" w:rsidRDefault="00591E90">
      <w:pPr>
        <w:pStyle w:val="Textonotapie"/>
        <w:rPr>
          <w:lang w:val="es-CO"/>
        </w:rPr>
      </w:pPr>
      <w:r>
        <w:rPr>
          <w:rStyle w:val="Refdenotaalpie"/>
        </w:rPr>
        <w:footnoteRef/>
      </w:r>
      <w:r>
        <w:t xml:space="preserve"> </w:t>
      </w:r>
      <w:r w:rsidRPr="00D76216">
        <w:t>Entrevista 001-VI-00049. Abogado, exfiscal en el exilio.</w:t>
      </w:r>
    </w:p>
  </w:footnote>
  <w:footnote w:id="882">
    <w:p w:rsidR="00591E90" w:rsidRPr="0074703B" w:rsidRDefault="00591E90">
      <w:pPr>
        <w:pStyle w:val="Textonotapie"/>
        <w:rPr>
          <w:lang w:val="es-CO"/>
        </w:rPr>
      </w:pPr>
      <w:r>
        <w:rPr>
          <w:rStyle w:val="Refdenotaalpie"/>
        </w:rPr>
        <w:footnoteRef/>
      </w:r>
      <w:r>
        <w:t xml:space="preserve"> </w:t>
      </w:r>
      <w:r w:rsidRPr="00D76216">
        <w:t>Entrevista 001-V1-00040.</w:t>
      </w:r>
    </w:p>
  </w:footnote>
  <w:footnote w:id="883">
    <w:p w:rsidR="00591E90" w:rsidRPr="0074703B" w:rsidRDefault="00591E90">
      <w:pPr>
        <w:pStyle w:val="Textonotapie"/>
        <w:rPr>
          <w:lang w:val="es-CO"/>
        </w:rPr>
      </w:pPr>
      <w:r>
        <w:rPr>
          <w:rStyle w:val="Refdenotaalpie"/>
        </w:rPr>
        <w:footnoteRef/>
      </w:r>
      <w:r>
        <w:t xml:space="preserve"> </w:t>
      </w:r>
      <w:r w:rsidRPr="00D76216">
        <w:t>Comisión para el Esclarecimiento de la Verdad, la Convivencia y la No Repetición (CEV), «“Estaba más preparada la sociedad que las instituciones para el posconflicto”».</w:t>
      </w:r>
    </w:p>
  </w:footnote>
  <w:footnote w:id="884">
    <w:p w:rsidR="00591E90" w:rsidRPr="0074703B" w:rsidRDefault="00591E90">
      <w:pPr>
        <w:pStyle w:val="Textonotapie"/>
        <w:rPr>
          <w:lang w:val="es-CO"/>
        </w:rPr>
      </w:pPr>
      <w:r>
        <w:rPr>
          <w:rStyle w:val="Refdenotaalpie"/>
        </w:rPr>
        <w:footnoteRef/>
      </w:r>
      <w:r>
        <w:t xml:space="preserve"> </w:t>
      </w:r>
      <w:r w:rsidRPr="00D76216">
        <w:t>Entrevista 001-VI-00026. Exfiscal de DD. HH. en el exilio.</w:t>
      </w:r>
    </w:p>
  </w:footnote>
  <w:footnote w:id="885">
    <w:p w:rsidR="00591E90" w:rsidRPr="000818DA" w:rsidRDefault="00591E90">
      <w:pPr>
        <w:pStyle w:val="Textonotapie"/>
        <w:rPr>
          <w:lang w:val="es-CO"/>
        </w:rPr>
      </w:pPr>
      <w:r>
        <w:rPr>
          <w:rStyle w:val="Refdenotaalpie"/>
        </w:rPr>
        <w:footnoteRef/>
      </w:r>
      <w:r>
        <w:t xml:space="preserve"> </w:t>
      </w:r>
      <w:r w:rsidRPr="000818DA">
        <w:t>Fiscalía 14 de la UDH. Resolución de 12 de septiembre de 2008 mediante la cual se resuelve la situación jurídica de Rito Alejo Del Río.</w:t>
      </w:r>
    </w:p>
  </w:footnote>
  <w:footnote w:id="886">
    <w:p w:rsidR="00591E90" w:rsidRPr="000818DA" w:rsidRDefault="00591E90">
      <w:pPr>
        <w:pStyle w:val="Textonotapie"/>
        <w:rPr>
          <w:lang w:val="es-CO"/>
        </w:rPr>
      </w:pPr>
      <w:r>
        <w:rPr>
          <w:rStyle w:val="Refdenotaalpie"/>
        </w:rPr>
        <w:footnoteRef/>
      </w:r>
      <w:r>
        <w:t xml:space="preserve"> </w:t>
      </w:r>
      <w:r w:rsidRPr="000818DA">
        <w:t>Comisión Interamericana de Derechos Humanos, «Comunicado de Prensa 21/01 Preocupación de la CIDH por cambios en la Unidad Nacional de Derechos Humanos en Colombia».</w:t>
      </w:r>
    </w:p>
  </w:footnote>
  <w:footnote w:id="887">
    <w:p w:rsidR="00591E90" w:rsidRPr="000818DA" w:rsidRDefault="00591E90">
      <w:pPr>
        <w:pStyle w:val="Textonotapie"/>
        <w:rPr>
          <w:lang w:val="es-CO"/>
        </w:rPr>
      </w:pPr>
      <w:r>
        <w:rPr>
          <w:rStyle w:val="Refdenotaalpie"/>
        </w:rPr>
        <w:footnoteRef/>
      </w:r>
      <w:r>
        <w:t xml:space="preserve"> </w:t>
      </w:r>
      <w:r w:rsidRPr="00871AAC">
        <w:t>Entrevista 001-V1-00040.</w:t>
      </w:r>
    </w:p>
  </w:footnote>
  <w:footnote w:id="888">
    <w:p w:rsidR="00591E90" w:rsidRPr="000818DA" w:rsidRDefault="00591E90">
      <w:pPr>
        <w:pStyle w:val="Textonotapie"/>
        <w:rPr>
          <w:lang w:val="es-CO"/>
        </w:rPr>
      </w:pPr>
      <w:r>
        <w:rPr>
          <w:rStyle w:val="Refdenotaalpie"/>
        </w:rPr>
        <w:footnoteRef/>
      </w:r>
      <w:r>
        <w:t xml:space="preserve"> </w:t>
      </w:r>
      <w:r w:rsidRPr="00871AAC">
        <w:t>Entrevista 001-VI-00069. Hombre, exfuncionario CTI, víctima de exilio.</w:t>
      </w:r>
    </w:p>
  </w:footnote>
  <w:footnote w:id="889">
    <w:p w:rsidR="00591E90" w:rsidRPr="00E66F52" w:rsidRDefault="00591E90">
      <w:pPr>
        <w:pStyle w:val="Textonotapie"/>
        <w:rPr>
          <w:lang w:val="es-CO"/>
        </w:rPr>
      </w:pPr>
      <w:r>
        <w:rPr>
          <w:rStyle w:val="Refdenotaalpie"/>
        </w:rPr>
        <w:footnoteRef/>
      </w:r>
      <w:r>
        <w:t xml:space="preserve"> </w:t>
      </w:r>
      <w:r w:rsidRPr="00871AAC">
        <w:t>Entrevista con exfiscal para la Comisión de la Verdad.</w:t>
      </w:r>
    </w:p>
  </w:footnote>
  <w:footnote w:id="890">
    <w:p w:rsidR="00591E90" w:rsidRPr="00605CB9" w:rsidRDefault="00591E90">
      <w:pPr>
        <w:pStyle w:val="Textonotapie"/>
        <w:rPr>
          <w:lang w:val="es-CO"/>
        </w:rPr>
      </w:pPr>
      <w:r>
        <w:rPr>
          <w:rStyle w:val="Refdenotaalpie"/>
        </w:rPr>
        <w:footnoteRef/>
      </w:r>
      <w:r>
        <w:t xml:space="preserve"> </w:t>
      </w:r>
      <w:r w:rsidRPr="00605CB9">
        <w:t xml:space="preserve">Human </w:t>
      </w:r>
      <w:proofErr w:type="spellStart"/>
      <w:r w:rsidRPr="00605CB9">
        <w:t>Rights</w:t>
      </w:r>
      <w:proofErr w:type="spellEnd"/>
      <w:r w:rsidRPr="00605CB9">
        <w:t xml:space="preserve"> </w:t>
      </w:r>
      <w:proofErr w:type="spellStart"/>
      <w:r w:rsidRPr="00605CB9">
        <w:t>Watch</w:t>
      </w:r>
      <w:proofErr w:type="spellEnd"/>
      <w:r w:rsidRPr="00605CB9">
        <w:t>, 2002.</w:t>
      </w:r>
    </w:p>
  </w:footnote>
  <w:footnote w:id="891">
    <w:p w:rsidR="00591E90" w:rsidRPr="00605CB9" w:rsidRDefault="00591E90">
      <w:pPr>
        <w:pStyle w:val="Textonotapie"/>
        <w:rPr>
          <w:lang w:val="es-CO"/>
        </w:rPr>
      </w:pPr>
      <w:r>
        <w:rPr>
          <w:rStyle w:val="Refdenotaalpie"/>
        </w:rPr>
        <w:footnoteRef/>
      </w:r>
      <w:r>
        <w:t xml:space="preserve"> </w:t>
      </w:r>
      <w:r w:rsidRPr="00605CB9">
        <w:t xml:space="preserve">Según constató el Juzgado 56 penal del circuito programa de descongestión OIT, Bogotá D. C., 16 de diciembre de 2010. </w:t>
      </w:r>
      <w:proofErr w:type="spellStart"/>
      <w:r w:rsidRPr="00605CB9">
        <w:t>Ref</w:t>
      </w:r>
      <w:proofErr w:type="spellEnd"/>
      <w:r w:rsidRPr="00605CB9">
        <w:t>: 110013104056201000103.</w:t>
      </w:r>
    </w:p>
  </w:footnote>
  <w:footnote w:id="892">
    <w:p w:rsidR="00591E90" w:rsidRPr="00605CB9" w:rsidRDefault="00591E90">
      <w:pPr>
        <w:pStyle w:val="Textonotapie"/>
        <w:rPr>
          <w:lang w:val="es-CO"/>
        </w:rPr>
      </w:pPr>
      <w:r>
        <w:rPr>
          <w:rStyle w:val="Refdenotaalpie"/>
        </w:rPr>
        <w:footnoteRef/>
      </w:r>
      <w:r>
        <w:t xml:space="preserve"> </w:t>
      </w:r>
      <w:r w:rsidRPr="00605CB9">
        <w:t>El Espectador, «Los hornos del horror en el Catatumbo», elespectador.com.</w:t>
      </w:r>
    </w:p>
  </w:footnote>
  <w:footnote w:id="893">
    <w:p w:rsidR="00591E90" w:rsidRPr="00605CB9" w:rsidRDefault="00591E90">
      <w:pPr>
        <w:pStyle w:val="Textonotapie"/>
        <w:rPr>
          <w:lang w:val="es-CO"/>
        </w:rPr>
      </w:pPr>
      <w:r>
        <w:rPr>
          <w:rStyle w:val="Refdenotaalpie"/>
        </w:rPr>
        <w:footnoteRef/>
      </w:r>
      <w:r>
        <w:t xml:space="preserve"> </w:t>
      </w:r>
      <w:r w:rsidRPr="00605CB9">
        <w:t xml:space="preserve">Tribunal Superior de </w:t>
      </w:r>
      <w:proofErr w:type="spellStart"/>
      <w:r w:rsidRPr="00605CB9">
        <w:t>Medellin</w:t>
      </w:r>
      <w:proofErr w:type="spellEnd"/>
      <w:r w:rsidRPr="00605CB9">
        <w:t>- Sala de Justicia y Paz, Radicado: 110016000253201084442 Postulado: Fredi Alonso Pulgarín Gaviria, 9 de septiembre de 2016.</w:t>
      </w:r>
    </w:p>
  </w:footnote>
  <w:footnote w:id="894">
    <w:p w:rsidR="00591E90" w:rsidRPr="000D6D1C" w:rsidRDefault="00591E90">
      <w:pPr>
        <w:pStyle w:val="Textonotapie"/>
        <w:rPr>
          <w:lang w:val="es-CO"/>
        </w:rPr>
      </w:pPr>
      <w:r>
        <w:rPr>
          <w:rStyle w:val="Refdenotaalpie"/>
        </w:rPr>
        <w:footnoteRef/>
      </w:r>
      <w:r>
        <w:t xml:space="preserve"> </w:t>
      </w:r>
      <w:r w:rsidRPr="00F2101B">
        <w:t>Tribunal Superior del Distrito Judicial de Barranquilla, Sentencia Condenatoria, contra los postulados del extinto Frente José Pablo Díaz del Bloque Norte de las Autodefensas Unidas de Colombia –AUC-, 18 de diciembre de 2018.</w:t>
      </w:r>
    </w:p>
  </w:footnote>
  <w:footnote w:id="895">
    <w:p w:rsidR="00591E90" w:rsidRPr="000D6D1C" w:rsidRDefault="00591E90">
      <w:pPr>
        <w:pStyle w:val="Textonotapie"/>
        <w:rPr>
          <w:lang w:val="es-CO"/>
        </w:rPr>
      </w:pPr>
      <w:r>
        <w:rPr>
          <w:rStyle w:val="Refdenotaalpie"/>
        </w:rPr>
        <w:footnoteRef/>
      </w:r>
      <w:r>
        <w:t xml:space="preserve"> </w:t>
      </w:r>
      <w:r w:rsidRPr="00F2101B">
        <w:t>Tribunal Superior del Distrito, Radicados: 0016000253-2007-82700, 0016000253-2008-83269, 0016000253-2007-82699, 0016000253-2008-83275, 0016000253-2006-80864, 0016000253-2008-83275 y 0016000253-2008-83285, 24 de septiembre de 2015.</w:t>
      </w:r>
    </w:p>
  </w:footnote>
  <w:footnote w:id="896">
    <w:p w:rsidR="00591E90" w:rsidRPr="000D6D1C" w:rsidRDefault="00591E90">
      <w:pPr>
        <w:pStyle w:val="Textonotapie"/>
        <w:rPr>
          <w:lang w:val="es-CO"/>
        </w:rPr>
      </w:pPr>
      <w:r>
        <w:rPr>
          <w:rStyle w:val="Refdenotaalpie"/>
        </w:rPr>
        <w:footnoteRef/>
      </w:r>
      <w:r>
        <w:t xml:space="preserve"> </w:t>
      </w:r>
      <w:r w:rsidRPr="00F2101B">
        <w:t>Tribunal Superior de Bogotá, Sentencia Salvatore Mancuso, 20 de noviembre de 2014.</w:t>
      </w:r>
    </w:p>
  </w:footnote>
  <w:footnote w:id="897">
    <w:p w:rsidR="00591E90" w:rsidRPr="00F2101B" w:rsidRDefault="00591E90">
      <w:pPr>
        <w:pStyle w:val="Textonotapie"/>
        <w:rPr>
          <w:lang w:val="es-CO"/>
        </w:rPr>
      </w:pPr>
      <w:r>
        <w:rPr>
          <w:rStyle w:val="Refdenotaalpie"/>
        </w:rPr>
        <w:footnoteRef/>
      </w:r>
      <w:r>
        <w:t xml:space="preserve"> </w:t>
      </w:r>
      <w:r w:rsidRPr="00F2101B">
        <w:t>Consultar en: www.fiscalía.gov.co/</w:t>
      </w:r>
      <w:proofErr w:type="spellStart"/>
      <w:r w:rsidRPr="00F2101B">
        <w:t>justiciaypaz</w:t>
      </w:r>
      <w:proofErr w:type="spellEnd"/>
    </w:p>
  </w:footnote>
  <w:footnote w:id="898">
    <w:p w:rsidR="00591E90" w:rsidRPr="00F2101B" w:rsidRDefault="00591E90">
      <w:pPr>
        <w:pStyle w:val="Textonotapie"/>
        <w:rPr>
          <w:lang w:val="es-CO"/>
        </w:rPr>
      </w:pPr>
      <w:r>
        <w:rPr>
          <w:rStyle w:val="Refdenotaalpie"/>
        </w:rPr>
        <w:footnoteRef/>
      </w:r>
      <w:r>
        <w:t xml:space="preserve"> </w:t>
      </w:r>
      <w:r w:rsidRPr="001B0E9A">
        <w:t>Comisión Colombiana de Juristas, Colombia: la metáfora del desmantelamiento de los grupos paramilitares.</w:t>
      </w:r>
    </w:p>
  </w:footnote>
  <w:footnote w:id="899">
    <w:p w:rsidR="00591E90" w:rsidRPr="001B0E9A" w:rsidRDefault="00591E90">
      <w:pPr>
        <w:pStyle w:val="Textonotapie"/>
        <w:rPr>
          <w:lang w:val="es-CO"/>
        </w:rPr>
      </w:pPr>
      <w:r>
        <w:rPr>
          <w:rStyle w:val="Refdenotaalpie"/>
        </w:rPr>
        <w:footnoteRef/>
      </w:r>
      <w:r>
        <w:t xml:space="preserve"> </w:t>
      </w:r>
      <w:r w:rsidRPr="001B0E9A">
        <w:t>Contraloría General de la República (CGR), «Análisis sobre los resultados y costos de la Ley de Justicia y Paz».</w:t>
      </w:r>
    </w:p>
  </w:footnote>
  <w:footnote w:id="900">
    <w:p w:rsidR="00591E90" w:rsidRPr="001B0E9A" w:rsidRDefault="00591E90">
      <w:pPr>
        <w:pStyle w:val="Textonotapie"/>
        <w:rPr>
          <w:lang w:val="es-CO"/>
        </w:rPr>
      </w:pPr>
      <w:r>
        <w:rPr>
          <w:rStyle w:val="Refdenotaalpie"/>
        </w:rPr>
        <w:footnoteRef/>
      </w:r>
      <w:r>
        <w:t xml:space="preserve"> </w:t>
      </w:r>
      <w:r w:rsidRPr="001B0E9A">
        <w:t>Comisión Interamericana de Derechos Humanos y OEA, Verdad, justicia y reparación.</w:t>
      </w:r>
    </w:p>
  </w:footnote>
  <w:footnote w:id="901">
    <w:p w:rsidR="00591E90" w:rsidRPr="001B0E9A" w:rsidRDefault="00591E90">
      <w:pPr>
        <w:pStyle w:val="Textonotapie"/>
        <w:rPr>
          <w:lang w:val="es-CO"/>
        </w:rPr>
      </w:pPr>
      <w:r>
        <w:rPr>
          <w:rStyle w:val="Refdenotaalpie"/>
        </w:rPr>
        <w:footnoteRef/>
      </w:r>
      <w:r>
        <w:t xml:space="preserve"> </w:t>
      </w:r>
      <w:r w:rsidRPr="001B0E9A">
        <w:t>Centro de Memoria Histórica (CNMH), 2012. p. 310.</w:t>
      </w:r>
    </w:p>
  </w:footnote>
  <w:footnote w:id="902">
    <w:p w:rsidR="00591E90" w:rsidRPr="001B0E9A" w:rsidRDefault="00591E90">
      <w:pPr>
        <w:pStyle w:val="Textonotapie"/>
        <w:rPr>
          <w:lang w:val="es-CO"/>
        </w:rPr>
      </w:pPr>
      <w:r>
        <w:rPr>
          <w:rStyle w:val="Refdenotaalpie"/>
        </w:rPr>
        <w:footnoteRef/>
      </w:r>
      <w:r>
        <w:t xml:space="preserve"> </w:t>
      </w:r>
      <w:r w:rsidRPr="001B0E9A">
        <w:t>Comisión de la Verdad.</w:t>
      </w:r>
    </w:p>
  </w:footnote>
  <w:footnote w:id="903">
    <w:p w:rsidR="00591E90" w:rsidRPr="001B0E9A" w:rsidRDefault="00591E90">
      <w:pPr>
        <w:pStyle w:val="Textonotapie"/>
        <w:rPr>
          <w:lang w:val="es-CO"/>
        </w:rPr>
      </w:pPr>
      <w:r>
        <w:rPr>
          <w:rStyle w:val="Refdenotaalpie"/>
        </w:rPr>
        <w:footnoteRef/>
      </w:r>
      <w:r>
        <w:t xml:space="preserve"> </w:t>
      </w:r>
      <w:r w:rsidRPr="001B0E9A">
        <w:t>Centro Nacional De Memoria Histórica (CNMH), ¡Basta ya! Colombia, memorias de guerra y dignidad.</w:t>
      </w:r>
    </w:p>
  </w:footnote>
  <w:footnote w:id="904">
    <w:p w:rsidR="00591E90" w:rsidRPr="001B0E9A" w:rsidRDefault="00591E90">
      <w:pPr>
        <w:pStyle w:val="Textonotapie"/>
        <w:rPr>
          <w:lang w:val="es-CO"/>
        </w:rPr>
      </w:pPr>
      <w:r>
        <w:rPr>
          <w:rStyle w:val="Refdenotaalpie"/>
        </w:rPr>
        <w:footnoteRef/>
      </w:r>
      <w:r>
        <w:t xml:space="preserve"> </w:t>
      </w:r>
      <w:r w:rsidRPr="001B0E9A">
        <w:t>Salas de Justicia y Paz de Bogotá, Medellín y Barranquilla (2020) Respuesta al Oficio No. C.P.C.P.3.1. 1040- 20 de las tres Salas de Justicia y Paz a la Comisión Primera Constitucional Honorable Cámara de Representantes.</w:t>
      </w:r>
    </w:p>
  </w:footnote>
  <w:footnote w:id="905">
    <w:p w:rsidR="00591E90" w:rsidRPr="001B0E9A" w:rsidRDefault="00591E90">
      <w:pPr>
        <w:pStyle w:val="Textonotapie"/>
        <w:rPr>
          <w:lang w:val="es-CO"/>
        </w:rPr>
      </w:pPr>
      <w:r>
        <w:rPr>
          <w:rStyle w:val="Refdenotaalpie"/>
        </w:rPr>
        <w:footnoteRef/>
      </w:r>
      <w:r>
        <w:t xml:space="preserve"> </w:t>
      </w:r>
      <w:r w:rsidRPr="001B0E9A">
        <w:t>Casa Editorial El Tiempo, ««Paras» extraditados seguían delinquiendo e incumplían compromisos de ley de Justicia y Paz: Uribe», El Tiempo.</w:t>
      </w:r>
    </w:p>
  </w:footnote>
  <w:footnote w:id="906">
    <w:p w:rsidR="00591E90" w:rsidRPr="001B0E9A" w:rsidRDefault="00591E90">
      <w:pPr>
        <w:pStyle w:val="Textonotapie"/>
        <w:rPr>
          <w:lang w:val="es-CO"/>
        </w:rPr>
      </w:pPr>
      <w:r>
        <w:rPr>
          <w:rStyle w:val="Refdenotaalpie"/>
        </w:rPr>
        <w:footnoteRef/>
      </w:r>
      <w:r>
        <w:t xml:space="preserve"> </w:t>
      </w:r>
      <w:r w:rsidRPr="001B0E9A">
        <w:t>Oficina del Alto Comisionado de las Naciones Unidas para los Derechos Humanos en Colombia, «Pronunciamiento sobre la extradición de 13 ex jefes paramilitares y su impacto en la lucha contra la impunidad».</w:t>
      </w:r>
    </w:p>
  </w:footnote>
  <w:footnote w:id="907">
    <w:p w:rsidR="00591E90" w:rsidRPr="001B0E9A" w:rsidRDefault="00591E90">
      <w:pPr>
        <w:pStyle w:val="Textonotapie"/>
        <w:rPr>
          <w:lang w:val="es-CO"/>
        </w:rPr>
      </w:pPr>
      <w:r>
        <w:rPr>
          <w:rStyle w:val="Refdenotaalpie"/>
        </w:rPr>
        <w:footnoteRef/>
      </w:r>
      <w:r>
        <w:t xml:space="preserve"> </w:t>
      </w:r>
      <w:r w:rsidRPr="001B0E9A">
        <w:t>Corte Penal Internacional, pág. 10.</w:t>
      </w:r>
    </w:p>
  </w:footnote>
  <w:footnote w:id="908">
    <w:p w:rsidR="00591E90" w:rsidRPr="001B0E9A" w:rsidRDefault="00591E90">
      <w:pPr>
        <w:pStyle w:val="Textonotapie"/>
        <w:rPr>
          <w:lang w:val="es-CO"/>
        </w:rPr>
      </w:pPr>
      <w:r>
        <w:rPr>
          <w:rStyle w:val="Refdenotaalpie"/>
        </w:rPr>
        <w:footnoteRef/>
      </w:r>
      <w:r>
        <w:t xml:space="preserve"> </w:t>
      </w:r>
      <w:r w:rsidRPr="001B0E9A">
        <w:t>Comisión Interamericana de Derechos Humanos (CIDH), «Comunicado de prensa No 21/08 CIDH expresa preocupación por extradición de paramilitares colombianos».</w:t>
      </w:r>
    </w:p>
  </w:footnote>
  <w:footnote w:id="909">
    <w:p w:rsidR="00591E90" w:rsidRPr="00DE64D3" w:rsidRDefault="00591E90">
      <w:pPr>
        <w:pStyle w:val="Textonotapie"/>
        <w:rPr>
          <w:lang w:val="es-CO"/>
        </w:rPr>
      </w:pPr>
      <w:r>
        <w:rPr>
          <w:rStyle w:val="Refdenotaalpie"/>
        </w:rPr>
        <w:footnoteRef/>
      </w:r>
      <w:r>
        <w:t xml:space="preserve"> </w:t>
      </w:r>
      <w:r w:rsidRPr="00DE64D3">
        <w:t>Cfr. Semana, «Habla Vicente Castaño». Corte Interamericana de Derechos Humanos, Caso Cepeda Vargas Vs. Colombia. Excepciones Preliminares, Fondo, Reparaciones y Costas., 26 de mayo de 2010. Serie C No. 213, párr. 216. Ver también Corte Interamericana, Caso de la Masacre de Mapiripán Vs. Colombia. Supervisión de Cumplimiento de Sentencia, 8 de julio de 2009, 40 y 41.</w:t>
      </w:r>
    </w:p>
  </w:footnote>
  <w:footnote w:id="910">
    <w:p w:rsidR="00591E90" w:rsidRPr="00DE64D3" w:rsidRDefault="00591E90">
      <w:pPr>
        <w:pStyle w:val="Textonotapie"/>
        <w:rPr>
          <w:lang w:val="es-CO"/>
        </w:rPr>
      </w:pPr>
      <w:r>
        <w:rPr>
          <w:rStyle w:val="Refdenotaalpie"/>
        </w:rPr>
        <w:footnoteRef/>
      </w:r>
      <w:r>
        <w:t xml:space="preserve"> </w:t>
      </w:r>
      <w:r w:rsidRPr="00DE64D3">
        <w:t>Cfr. Corte Interamericana de Derechos Humanos, Caso de las Masacres de Ituango Vs. Colombia. Supervisión de Cumplimiento de Sentencia, 21 de mayo de 2013.</w:t>
      </w:r>
    </w:p>
  </w:footnote>
  <w:footnote w:id="911">
    <w:p w:rsidR="00591E90" w:rsidRPr="00DE64D3" w:rsidRDefault="00591E90">
      <w:pPr>
        <w:pStyle w:val="Textonotapie"/>
        <w:rPr>
          <w:lang w:val="es-CO"/>
        </w:rPr>
      </w:pPr>
      <w:r>
        <w:rPr>
          <w:rStyle w:val="Refdenotaalpie"/>
        </w:rPr>
        <w:footnoteRef/>
      </w:r>
      <w:r>
        <w:t xml:space="preserve"> </w:t>
      </w:r>
      <w:r w:rsidRPr="00DE64D3">
        <w:t>Casa Editorial El Tiempo, «Asesinado presidente del Comité de Desplazados del municipio de Cotorra (Córdoba)», El Tiempo.</w:t>
      </w:r>
    </w:p>
  </w:footnote>
  <w:footnote w:id="912">
    <w:p w:rsidR="00591E90" w:rsidRPr="00DE64D3" w:rsidRDefault="00591E90">
      <w:pPr>
        <w:pStyle w:val="Textonotapie"/>
        <w:rPr>
          <w:lang w:val="es-CO"/>
        </w:rPr>
      </w:pPr>
      <w:r>
        <w:rPr>
          <w:rStyle w:val="Refdenotaalpie"/>
        </w:rPr>
        <w:footnoteRef/>
      </w:r>
      <w:r>
        <w:t xml:space="preserve"> </w:t>
      </w:r>
      <w:r w:rsidRPr="00DE64D3">
        <w:t xml:space="preserve">Human </w:t>
      </w:r>
      <w:proofErr w:type="spellStart"/>
      <w:r w:rsidRPr="00DE64D3">
        <w:t>Rights</w:t>
      </w:r>
      <w:proofErr w:type="spellEnd"/>
      <w:r w:rsidRPr="00DE64D3">
        <w:t xml:space="preserve"> </w:t>
      </w:r>
      <w:proofErr w:type="spellStart"/>
      <w:r w:rsidRPr="00DE64D3">
        <w:t>Watch</w:t>
      </w:r>
      <w:proofErr w:type="spellEnd"/>
      <w:r w:rsidRPr="00DE64D3">
        <w:t xml:space="preserve"> (HRW), «Colombia: Asesinatos de Representantes de Víctimas Le Restan Credibilidad a Desmovilización Paramilitar (Human </w:t>
      </w:r>
      <w:proofErr w:type="spellStart"/>
      <w:r w:rsidRPr="00DE64D3">
        <w:t>Rights</w:t>
      </w:r>
      <w:proofErr w:type="spellEnd"/>
      <w:r w:rsidRPr="00DE64D3">
        <w:t xml:space="preserve"> </w:t>
      </w:r>
      <w:proofErr w:type="spellStart"/>
      <w:r w:rsidRPr="00DE64D3">
        <w:t>Watch</w:t>
      </w:r>
      <w:proofErr w:type="spellEnd"/>
      <w:r w:rsidRPr="00DE64D3">
        <w:t>, 1-2-2007)».</w:t>
      </w:r>
    </w:p>
  </w:footnote>
  <w:footnote w:id="913">
    <w:p w:rsidR="00591E90" w:rsidRPr="00403DF0" w:rsidRDefault="00591E90">
      <w:pPr>
        <w:pStyle w:val="Textonotapie"/>
        <w:rPr>
          <w:lang w:val="es-CO"/>
        </w:rPr>
      </w:pPr>
      <w:r>
        <w:rPr>
          <w:rStyle w:val="Refdenotaalpie"/>
        </w:rPr>
        <w:footnoteRef/>
      </w:r>
      <w:r>
        <w:t xml:space="preserve"> </w:t>
      </w:r>
      <w:r w:rsidRPr="00403DF0">
        <w:t xml:space="preserve">OMCT </w:t>
      </w:r>
      <w:proofErr w:type="spellStart"/>
      <w:r w:rsidRPr="00403DF0">
        <w:t>World</w:t>
      </w:r>
      <w:proofErr w:type="spellEnd"/>
      <w:r w:rsidRPr="00403DF0">
        <w:t xml:space="preserve"> </w:t>
      </w:r>
      <w:proofErr w:type="spellStart"/>
      <w:r w:rsidRPr="00403DF0">
        <w:t>Organisation</w:t>
      </w:r>
      <w:proofErr w:type="spellEnd"/>
      <w:r w:rsidRPr="00403DF0">
        <w:t xml:space="preserve"> </w:t>
      </w:r>
      <w:proofErr w:type="spellStart"/>
      <w:r w:rsidRPr="00403DF0">
        <w:t>Against</w:t>
      </w:r>
      <w:proofErr w:type="spellEnd"/>
      <w:r w:rsidRPr="00403DF0">
        <w:t xml:space="preserve"> Torture, «Asesinato de la Sra. Carmen Cecilia Santana Romaña».</w:t>
      </w:r>
    </w:p>
  </w:footnote>
  <w:footnote w:id="914">
    <w:p w:rsidR="00591E90" w:rsidRPr="00904DC6" w:rsidRDefault="00591E90">
      <w:pPr>
        <w:pStyle w:val="Textonotapie"/>
        <w:rPr>
          <w:lang w:val="es-CO"/>
        </w:rPr>
      </w:pPr>
      <w:r>
        <w:rPr>
          <w:rStyle w:val="Refdenotaalpie"/>
        </w:rPr>
        <w:footnoteRef/>
      </w:r>
      <w:r>
        <w:t xml:space="preserve"> </w:t>
      </w:r>
    </w:p>
  </w:footnote>
  <w:footnote w:id="915">
    <w:p w:rsidR="00591E90" w:rsidRPr="00904DC6" w:rsidRDefault="00591E90">
      <w:pPr>
        <w:pStyle w:val="Textonotapie"/>
        <w:rPr>
          <w:lang w:val="es-CO"/>
        </w:rPr>
      </w:pPr>
      <w:r>
        <w:rPr>
          <w:rStyle w:val="Refdenotaalpie"/>
        </w:rPr>
        <w:footnoteRef/>
      </w:r>
      <w:r>
        <w:t xml:space="preserve"> </w:t>
      </w:r>
      <w:r w:rsidRPr="00A40E89">
        <w:t>Entrevista 001-VI-00044. Hombre, abogado, ex magistrado de la Corte Suprema de Justicia.</w:t>
      </w:r>
    </w:p>
  </w:footnote>
  <w:footnote w:id="916">
    <w:p w:rsidR="00591E90" w:rsidRPr="00A40E89" w:rsidRDefault="00591E90">
      <w:pPr>
        <w:pStyle w:val="Textonotapie"/>
        <w:rPr>
          <w:lang w:val="es-CO"/>
        </w:rPr>
      </w:pPr>
      <w:r>
        <w:rPr>
          <w:rStyle w:val="Refdenotaalpie"/>
        </w:rPr>
        <w:footnoteRef/>
      </w:r>
      <w:r>
        <w:t xml:space="preserve"> </w:t>
      </w:r>
    </w:p>
  </w:footnote>
  <w:footnote w:id="917">
    <w:p w:rsidR="00591E90" w:rsidRPr="00294FB7" w:rsidRDefault="00591E90">
      <w:pPr>
        <w:pStyle w:val="Textonotapie"/>
        <w:rPr>
          <w:lang w:val="es-CO"/>
        </w:rPr>
      </w:pPr>
      <w:r>
        <w:rPr>
          <w:rStyle w:val="Refdenotaalpie"/>
        </w:rPr>
        <w:footnoteRef/>
      </w:r>
      <w:r>
        <w:t xml:space="preserve"> </w:t>
      </w:r>
      <w:r w:rsidRPr="00294FB7">
        <w:t>Entrevista 001-VI-00058.</w:t>
      </w:r>
    </w:p>
  </w:footnote>
  <w:footnote w:id="918">
    <w:p w:rsidR="00591E90" w:rsidRPr="00294FB7" w:rsidRDefault="00591E90">
      <w:pPr>
        <w:pStyle w:val="Textonotapie"/>
        <w:rPr>
          <w:lang w:val="es-CO"/>
        </w:rPr>
      </w:pPr>
      <w:r>
        <w:rPr>
          <w:rStyle w:val="Refdenotaalpie"/>
        </w:rPr>
        <w:footnoteRef/>
      </w:r>
      <w:r>
        <w:t xml:space="preserve"> </w:t>
      </w:r>
      <w:r w:rsidRPr="00294FB7">
        <w:t>Casa Editorial El Tiempo, «Negro balance del poder judicial: siete exiliados y 240 víctimas», El Tiempo.</w:t>
      </w:r>
    </w:p>
  </w:footnote>
  <w:footnote w:id="919">
    <w:p w:rsidR="00591E90" w:rsidRPr="00294FB7" w:rsidRDefault="00591E90">
      <w:pPr>
        <w:pStyle w:val="Textonotapie"/>
        <w:rPr>
          <w:lang w:val="es-CO"/>
        </w:rPr>
      </w:pPr>
      <w:r>
        <w:rPr>
          <w:rStyle w:val="Refdenotaalpie"/>
        </w:rPr>
        <w:footnoteRef/>
      </w:r>
      <w:r>
        <w:t xml:space="preserve"> </w:t>
      </w:r>
      <w:r w:rsidRPr="00294FB7">
        <w:t>Corte Interamericana de Derechos Humanos, Caso de la Masacre de La Rochela Vs. Colombia, 11 de mayo de 2007, 14.</w:t>
      </w:r>
    </w:p>
  </w:footnote>
  <w:footnote w:id="920">
    <w:p w:rsidR="00591E90" w:rsidRPr="00294FB7" w:rsidRDefault="00591E90">
      <w:pPr>
        <w:pStyle w:val="Textonotapie"/>
        <w:rPr>
          <w:lang w:val="es-CO"/>
        </w:rPr>
      </w:pPr>
      <w:r>
        <w:rPr>
          <w:rStyle w:val="Refdenotaalpie"/>
        </w:rPr>
        <w:footnoteRef/>
      </w:r>
      <w:r>
        <w:t xml:space="preserve"> </w:t>
      </w:r>
      <w:r w:rsidRPr="00294FB7">
        <w:t xml:space="preserve">Colectivo de Abogados José Alvear Restrepo, Centro por la Justicia y el Derecho Internacional, y Comisión </w:t>
      </w:r>
      <w:proofErr w:type="spellStart"/>
      <w:r w:rsidRPr="00294FB7">
        <w:t>Intereclesial</w:t>
      </w:r>
      <w:proofErr w:type="spellEnd"/>
      <w:r w:rsidRPr="00294FB7">
        <w:t xml:space="preserve"> de Justicia y Paz.</w:t>
      </w:r>
    </w:p>
  </w:footnote>
  <w:footnote w:id="921">
    <w:p w:rsidR="00591E90" w:rsidRPr="00294FB7" w:rsidRDefault="00591E90">
      <w:pPr>
        <w:pStyle w:val="Textonotapie"/>
        <w:rPr>
          <w:lang w:val="es-CO"/>
        </w:rPr>
      </w:pPr>
      <w:r>
        <w:rPr>
          <w:rStyle w:val="Refdenotaalpie"/>
        </w:rPr>
        <w:footnoteRef/>
      </w:r>
      <w:r>
        <w:t xml:space="preserve"> </w:t>
      </w:r>
      <w:r w:rsidRPr="00294FB7">
        <w:t xml:space="preserve">La Comisión de la Verdad y </w:t>
      </w:r>
      <w:proofErr w:type="spellStart"/>
      <w:r w:rsidRPr="00294FB7">
        <w:t>Forensic</w:t>
      </w:r>
      <w:proofErr w:type="spellEnd"/>
      <w:r w:rsidRPr="00294FB7">
        <w:t xml:space="preserve"> </w:t>
      </w:r>
      <w:proofErr w:type="spellStart"/>
      <w:r w:rsidRPr="00294FB7">
        <w:t>Arquitecture</w:t>
      </w:r>
      <w:proofErr w:type="spellEnd"/>
      <w:r w:rsidRPr="00294FB7">
        <w:t xml:space="preserve"> realizaron un trabajo conjunto sobre lo sucedido en el Palacio de Justicia, que puede verse en la plataforma </w:t>
      </w:r>
      <w:proofErr w:type="spellStart"/>
      <w:r w:rsidRPr="00294FB7">
        <w:t>Transmedia</w:t>
      </w:r>
      <w:proofErr w:type="spellEnd"/>
      <w:r w:rsidRPr="00294FB7">
        <w:t xml:space="preserve"> de la Comisión.</w:t>
      </w:r>
    </w:p>
  </w:footnote>
  <w:footnote w:id="922">
    <w:p w:rsidR="00591E90" w:rsidRPr="009F0CCA" w:rsidRDefault="00591E90">
      <w:pPr>
        <w:pStyle w:val="Textonotapie"/>
        <w:rPr>
          <w:lang w:val="es-CO"/>
        </w:rPr>
      </w:pPr>
      <w:r>
        <w:rPr>
          <w:rStyle w:val="Refdenotaalpie"/>
        </w:rPr>
        <w:footnoteRef/>
      </w:r>
      <w:r>
        <w:t xml:space="preserve"> </w:t>
      </w:r>
      <w:r w:rsidRPr="009F0CCA">
        <w:t>Corte IDH. Caso de la Masacre de La Rochela Vs. Colombia. Fondo, Reparaciones y Costas. Sentencia de 11 de mayo de 2007. Serie C No. 163. p. 55</w:t>
      </w:r>
    </w:p>
  </w:footnote>
  <w:footnote w:id="923">
    <w:p w:rsidR="00591E90" w:rsidRPr="009F0CCA" w:rsidRDefault="00591E90">
      <w:pPr>
        <w:pStyle w:val="Textonotapie"/>
        <w:rPr>
          <w:lang w:val="es-CO"/>
        </w:rPr>
      </w:pPr>
      <w:r>
        <w:rPr>
          <w:rStyle w:val="Refdenotaalpie"/>
        </w:rPr>
        <w:footnoteRef/>
      </w:r>
      <w:r>
        <w:t xml:space="preserve"> </w:t>
      </w:r>
      <w:r w:rsidRPr="009F0CCA">
        <w:t>Centro Nacional De Memoria Histórica (CNMH), Tomas y ataques guerrilleros (1965 - 2013).</w:t>
      </w:r>
    </w:p>
  </w:footnote>
  <w:footnote w:id="924">
    <w:p w:rsidR="00591E90" w:rsidRPr="008F7772" w:rsidRDefault="00591E90">
      <w:pPr>
        <w:pStyle w:val="Textonotapie"/>
        <w:rPr>
          <w:lang w:val="es-CO"/>
        </w:rPr>
      </w:pPr>
      <w:r>
        <w:rPr>
          <w:rStyle w:val="Refdenotaalpie"/>
        </w:rPr>
        <w:footnoteRef/>
      </w:r>
      <w:r>
        <w:t xml:space="preserve"> </w:t>
      </w:r>
      <w:r w:rsidRPr="008F7772">
        <w:t>Entrevista 312-VI-00009.</w:t>
      </w:r>
    </w:p>
  </w:footnote>
  <w:footnote w:id="925">
    <w:p w:rsidR="00591E90" w:rsidRPr="008F7772" w:rsidRDefault="00591E90">
      <w:pPr>
        <w:pStyle w:val="Textonotapie"/>
        <w:rPr>
          <w:lang w:val="es-CO"/>
        </w:rPr>
      </w:pPr>
      <w:r>
        <w:rPr>
          <w:rStyle w:val="Refdenotaalpie"/>
        </w:rPr>
        <w:footnoteRef/>
      </w:r>
      <w:r>
        <w:t xml:space="preserve"> </w:t>
      </w:r>
      <w:r w:rsidRPr="008F7772">
        <w:t>Entrevista con exjuez tomada por la Comisión de la Verdad</w:t>
      </w:r>
    </w:p>
  </w:footnote>
  <w:footnote w:id="926">
    <w:p w:rsidR="00591E90" w:rsidRPr="008F7772" w:rsidRDefault="00591E90">
      <w:pPr>
        <w:pStyle w:val="Textonotapie"/>
        <w:rPr>
          <w:lang w:val="es-CO"/>
        </w:rPr>
      </w:pPr>
      <w:r>
        <w:rPr>
          <w:rStyle w:val="Refdenotaalpie"/>
        </w:rPr>
        <w:footnoteRef/>
      </w:r>
      <w:r>
        <w:t xml:space="preserve"> </w:t>
      </w:r>
      <w:r w:rsidRPr="008F7772">
        <w:t>Carretero Pérez, Informe de una Misión de Amnistía Internacional a la República de Colombia.</w:t>
      </w:r>
    </w:p>
  </w:footnote>
  <w:footnote w:id="927">
    <w:p w:rsidR="00591E90" w:rsidRPr="008F7772" w:rsidRDefault="00591E90">
      <w:pPr>
        <w:pStyle w:val="Textonotapie"/>
        <w:rPr>
          <w:lang w:val="es-CO"/>
        </w:rPr>
      </w:pPr>
      <w:r>
        <w:rPr>
          <w:rStyle w:val="Refdenotaalpie"/>
        </w:rPr>
        <w:footnoteRef/>
      </w:r>
      <w:r>
        <w:t xml:space="preserve"> </w:t>
      </w:r>
      <w:r w:rsidRPr="00A05B2E">
        <w:t>Guzmán Campos, Fals Borda, y Umaña Luna, La violencia en Colombia. Tomo 2.</w:t>
      </w:r>
    </w:p>
  </w:footnote>
  <w:footnote w:id="928">
    <w:p w:rsidR="00591E90" w:rsidRPr="00A05B2E" w:rsidRDefault="00591E90">
      <w:pPr>
        <w:pStyle w:val="Textonotapie"/>
        <w:rPr>
          <w:lang w:val="es-CO"/>
        </w:rPr>
      </w:pPr>
      <w:r>
        <w:rPr>
          <w:rStyle w:val="Refdenotaalpie"/>
        </w:rPr>
        <w:footnoteRef/>
      </w:r>
      <w:r>
        <w:t xml:space="preserve"> </w:t>
      </w:r>
      <w:proofErr w:type="spellStart"/>
      <w:r w:rsidRPr="00A05B2E">
        <w:t>i.a</w:t>
      </w:r>
      <w:proofErr w:type="spellEnd"/>
      <w:r w:rsidRPr="00A05B2E">
        <w:t>. Corte Constitucional de Colombia, Sentencia C-358/97, 5 de agosto de 1997; Corte Constitucional de Colombia, C-878-00;Corte Constitucional de Colombia, Sentencia C-1184/08, 3 de diciembre de 2008.</w:t>
      </w:r>
    </w:p>
  </w:footnote>
  <w:footnote w:id="929">
    <w:p w:rsidR="00591E90" w:rsidRPr="00A05B2E" w:rsidRDefault="00591E90">
      <w:pPr>
        <w:pStyle w:val="Textonotapie"/>
        <w:rPr>
          <w:lang w:val="es-CO"/>
        </w:rPr>
      </w:pPr>
      <w:r>
        <w:rPr>
          <w:rStyle w:val="Refdenotaalpie"/>
        </w:rPr>
        <w:footnoteRef/>
      </w:r>
      <w:r>
        <w:t xml:space="preserve"> </w:t>
      </w:r>
      <w:r w:rsidRPr="00A05B2E">
        <w:t>Presidencia de la República, Decreto 1631 de 1987, «Por el cual se crean unos Juzgados de Orden Público y se dictan otras disposiciones».</w:t>
      </w:r>
    </w:p>
  </w:footnote>
  <w:footnote w:id="930">
    <w:p w:rsidR="00591E90" w:rsidRPr="00A05B2E" w:rsidRDefault="00591E90">
      <w:pPr>
        <w:pStyle w:val="Textonotapie"/>
        <w:rPr>
          <w:lang w:val="es-CO"/>
        </w:rPr>
      </w:pPr>
      <w:r>
        <w:rPr>
          <w:rStyle w:val="Refdenotaalpie"/>
        </w:rPr>
        <w:footnoteRef/>
      </w:r>
      <w:r>
        <w:t xml:space="preserve"> </w:t>
      </w:r>
      <w:r w:rsidRPr="00A05B2E">
        <w:t>Corte Constitucional de Colombia, Sentencia C-392/00, 6 de abril de 2000.</w:t>
      </w:r>
    </w:p>
  </w:footnote>
  <w:footnote w:id="931">
    <w:p w:rsidR="00591E90" w:rsidRPr="00A05B2E" w:rsidRDefault="00591E90">
      <w:pPr>
        <w:pStyle w:val="Textonotapie"/>
        <w:rPr>
          <w:lang w:val="es-CO"/>
        </w:rPr>
      </w:pPr>
      <w:r>
        <w:rPr>
          <w:rStyle w:val="Refdenotaalpie"/>
        </w:rPr>
        <w:footnoteRef/>
      </w:r>
      <w:r>
        <w:t xml:space="preserve"> </w:t>
      </w:r>
      <w:r w:rsidRPr="00A05B2E">
        <w:t>Entrevista con exjueza tomada por la Comisión de la Verdad.</w:t>
      </w:r>
    </w:p>
  </w:footnote>
  <w:footnote w:id="932">
    <w:p w:rsidR="00591E90" w:rsidRPr="00A05B2E" w:rsidRDefault="00591E90">
      <w:pPr>
        <w:pStyle w:val="Textonotapie"/>
        <w:rPr>
          <w:lang w:val="es-CO"/>
        </w:rPr>
      </w:pPr>
      <w:r>
        <w:rPr>
          <w:rStyle w:val="Refdenotaalpie"/>
        </w:rPr>
        <w:footnoteRef/>
      </w:r>
      <w:r>
        <w:t xml:space="preserve"> </w:t>
      </w:r>
      <w:r w:rsidRPr="00A05B2E">
        <w:t>Indepaz, «Informe de la Comisión Histórica del Conflicto y sus Víctimas – Indepaz».</w:t>
      </w:r>
    </w:p>
  </w:footnote>
  <w:footnote w:id="933">
    <w:p w:rsidR="00591E90" w:rsidRPr="00A05B2E" w:rsidRDefault="00591E90">
      <w:pPr>
        <w:pStyle w:val="Textonotapie"/>
        <w:rPr>
          <w:lang w:val="es-CO"/>
        </w:rPr>
      </w:pPr>
      <w:r>
        <w:rPr>
          <w:rStyle w:val="Refdenotaalpie"/>
        </w:rPr>
        <w:footnoteRef/>
      </w:r>
      <w:r>
        <w:t xml:space="preserve"> </w:t>
      </w:r>
      <w:r w:rsidRPr="00A05B2E">
        <w:t>ACNUDH, «Relator Especial sobre la independencia de los magistrados y abogados».</w:t>
      </w:r>
    </w:p>
  </w:footnote>
  <w:footnote w:id="934">
    <w:p w:rsidR="00591E90" w:rsidRPr="00D907C6" w:rsidRDefault="00591E90">
      <w:pPr>
        <w:pStyle w:val="Textonotapie"/>
        <w:rPr>
          <w:lang w:val="es-CO"/>
        </w:rPr>
      </w:pPr>
      <w:r>
        <w:rPr>
          <w:rStyle w:val="Refdenotaalpie"/>
        </w:rPr>
        <w:footnoteRef/>
      </w:r>
      <w:r>
        <w:t xml:space="preserve"> </w:t>
      </w:r>
      <w:r w:rsidRPr="00D907C6">
        <w:t xml:space="preserve">Departamento Administrativo Nacional de </w:t>
      </w:r>
      <w:r w:rsidR="00F82113" w:rsidRPr="00D907C6">
        <w:t>Estadística</w:t>
      </w:r>
      <w:r w:rsidRPr="00D907C6">
        <w:t xml:space="preserve"> (DANE).</w:t>
      </w:r>
    </w:p>
  </w:footnote>
  <w:footnote w:id="935">
    <w:p w:rsidR="00591E90" w:rsidRPr="001B50F5" w:rsidRDefault="00591E90">
      <w:pPr>
        <w:pStyle w:val="Textonotapie"/>
        <w:rPr>
          <w:lang w:val="es-CO"/>
        </w:rPr>
      </w:pPr>
      <w:r>
        <w:rPr>
          <w:rStyle w:val="Refdenotaalpie"/>
        </w:rPr>
        <w:footnoteRef/>
      </w:r>
      <w:r>
        <w:t xml:space="preserve"> </w:t>
      </w:r>
      <w:r w:rsidRPr="00D907C6">
        <w:t>Según la encuesta de 2016, las principales barreras para acceder a la justicia por lo cual las personas deciden no hacer nada sobre sus necesidades jurídicas son el tiempo que toma la resolución de los asuntos (31 %), la idea de que el problema no era importante (20 %), y el desconocimiento (17 %).</w:t>
      </w:r>
    </w:p>
  </w:footnote>
  <w:footnote w:id="936">
    <w:p w:rsidR="00591E90" w:rsidRPr="00D907C6" w:rsidRDefault="00591E90">
      <w:pPr>
        <w:pStyle w:val="Textonotapie"/>
        <w:rPr>
          <w:lang w:val="es-CO"/>
        </w:rPr>
      </w:pPr>
      <w:r>
        <w:rPr>
          <w:rStyle w:val="Refdenotaalpie"/>
        </w:rPr>
        <w:footnoteRef/>
      </w:r>
      <w:r>
        <w:t xml:space="preserve"> </w:t>
      </w:r>
      <w:r w:rsidRPr="00D907C6">
        <w:t xml:space="preserve">Cirirí o </w:t>
      </w:r>
      <w:proofErr w:type="spellStart"/>
      <w:r w:rsidRPr="00D907C6">
        <w:t>Sirirí</w:t>
      </w:r>
      <w:proofErr w:type="spellEnd"/>
      <w:r w:rsidRPr="00D907C6">
        <w:t>. Un pequeño pájaro que cuando el gavilán se lleva sus crías, lo persigue hasta que logra liberarlas con un canto enormemente estridente e insistente, fue el nombre que ella puso a su acción durante años en la búsqueda de su hijo Luis Fernando, y que fue adoptado por los familiares de desaparecidos y víctimas en la lucha por la justicia.</w:t>
      </w:r>
    </w:p>
  </w:footnote>
  <w:footnote w:id="937">
    <w:p w:rsidR="00591E90" w:rsidRPr="00D907C6" w:rsidRDefault="00591E90">
      <w:pPr>
        <w:pStyle w:val="Textonotapie"/>
        <w:rPr>
          <w:lang w:val="es-CO"/>
        </w:rPr>
      </w:pPr>
      <w:r>
        <w:rPr>
          <w:rStyle w:val="Refdenotaalpie"/>
        </w:rPr>
        <w:footnoteRef/>
      </w:r>
      <w:r>
        <w:t xml:space="preserve"> </w:t>
      </w:r>
      <w:r w:rsidRPr="00D907C6">
        <w:t>El Espectador, 7 de marzo, 2004. Disponible en: www.elespectador.com/2004/20040307/judicial/nota3.htm</w:t>
      </w:r>
    </w:p>
  </w:footnote>
  <w:footnote w:id="938">
    <w:p w:rsidR="00591E90" w:rsidRPr="00D907C6" w:rsidRDefault="00591E90">
      <w:pPr>
        <w:pStyle w:val="Textonotapie"/>
        <w:rPr>
          <w:lang w:val="es-CO"/>
        </w:rPr>
      </w:pPr>
      <w:r>
        <w:rPr>
          <w:rStyle w:val="Refdenotaalpie"/>
        </w:rPr>
        <w:footnoteRef/>
      </w:r>
      <w:r>
        <w:t xml:space="preserve"> </w:t>
      </w:r>
      <w:r w:rsidRPr="00D907C6">
        <w:t xml:space="preserve">Defensoría del Pueblo, «Informe de riesgo </w:t>
      </w:r>
      <w:proofErr w:type="spellStart"/>
      <w:r w:rsidRPr="00D907C6">
        <w:t>N°</w:t>
      </w:r>
      <w:proofErr w:type="spellEnd"/>
      <w:r w:rsidRPr="00D907C6">
        <w:t xml:space="preserve"> 010-17 A.I.».</w:t>
      </w:r>
    </w:p>
  </w:footnote>
  <w:footnote w:id="939">
    <w:p w:rsidR="00591E90" w:rsidRPr="00D907C6" w:rsidRDefault="00591E90">
      <w:pPr>
        <w:pStyle w:val="Textonotapie"/>
        <w:rPr>
          <w:lang w:val="es-CO"/>
        </w:rPr>
      </w:pPr>
      <w:r>
        <w:rPr>
          <w:rStyle w:val="Refdenotaalpie"/>
        </w:rPr>
        <w:footnoteRef/>
      </w:r>
      <w:r>
        <w:t xml:space="preserve"> </w:t>
      </w:r>
      <w:r w:rsidRPr="00D907C6">
        <w:t>Naciones Unidas, «Doc. E/CN.4/2000/11».</w:t>
      </w:r>
    </w:p>
  </w:footnote>
  <w:footnote w:id="940">
    <w:p w:rsidR="00591E90" w:rsidRPr="00D907C6" w:rsidRDefault="00591E90">
      <w:pPr>
        <w:pStyle w:val="Textonotapie"/>
        <w:rPr>
          <w:lang w:val="es-CO"/>
        </w:rPr>
      </w:pPr>
      <w:r>
        <w:rPr>
          <w:rStyle w:val="Refdenotaalpie"/>
        </w:rPr>
        <w:footnoteRef/>
      </w:r>
      <w:r>
        <w:t xml:space="preserve"> </w:t>
      </w:r>
      <w:r w:rsidRPr="00D907C6">
        <w:t>Entrevista con una víctima, tomada por la Comisión de la Verdad.</w:t>
      </w:r>
    </w:p>
  </w:footnote>
  <w:footnote w:id="941">
    <w:p w:rsidR="00591E90" w:rsidRPr="00D907C6" w:rsidRDefault="00591E90">
      <w:pPr>
        <w:pStyle w:val="Textonotapie"/>
        <w:rPr>
          <w:lang w:val="it-IT"/>
        </w:rPr>
      </w:pPr>
      <w:r>
        <w:rPr>
          <w:rStyle w:val="Refdenotaalpie"/>
        </w:rPr>
        <w:footnoteRef/>
      </w:r>
      <w:r w:rsidRPr="00D907C6">
        <w:rPr>
          <w:lang w:val="it-IT"/>
        </w:rPr>
        <w:t xml:space="preserve"> </w:t>
      </w:r>
      <w:r w:rsidRPr="00D907C6">
        <w:rPr>
          <w:lang w:val="it-IT"/>
        </w:rPr>
        <w:t>Entrevista: 173-VI-00014.</w:t>
      </w:r>
    </w:p>
  </w:footnote>
  <w:footnote w:id="942">
    <w:p w:rsidR="00591E90" w:rsidRPr="00D907C6" w:rsidRDefault="00591E90">
      <w:pPr>
        <w:pStyle w:val="Textonotapie"/>
        <w:rPr>
          <w:lang w:val="it-IT"/>
        </w:rPr>
      </w:pPr>
      <w:r>
        <w:rPr>
          <w:rStyle w:val="Refdenotaalpie"/>
        </w:rPr>
        <w:footnoteRef/>
      </w:r>
      <w:r w:rsidRPr="00D907C6">
        <w:rPr>
          <w:lang w:val="it-IT"/>
        </w:rPr>
        <w:t xml:space="preserve"> Entrevista </w:t>
      </w:r>
      <w:r w:rsidRPr="00D907C6">
        <w:rPr>
          <w:lang w:val="it-IT"/>
        </w:rPr>
        <w:t>280-VI-00001. Víctima.</w:t>
      </w:r>
    </w:p>
  </w:footnote>
  <w:footnote w:id="943">
    <w:p w:rsidR="00591E90" w:rsidRPr="00D907C6" w:rsidRDefault="00591E90">
      <w:pPr>
        <w:pStyle w:val="Textonotapie"/>
        <w:rPr>
          <w:lang w:val="es-CO"/>
        </w:rPr>
      </w:pPr>
      <w:r>
        <w:rPr>
          <w:rStyle w:val="Refdenotaalpie"/>
        </w:rPr>
        <w:footnoteRef/>
      </w:r>
      <w:r>
        <w:t xml:space="preserve"> </w:t>
      </w:r>
      <w:r w:rsidRPr="00D907C6">
        <w:t>Programa Somos Defensores, «Informe anual SIADDHH 2015 sobre agresiones contra defensores de Derechos Humanos en Colombia».</w:t>
      </w:r>
    </w:p>
  </w:footnote>
  <w:footnote w:id="944">
    <w:p w:rsidR="00591E90" w:rsidRPr="00D907C6" w:rsidRDefault="00591E90">
      <w:pPr>
        <w:pStyle w:val="Textonotapie"/>
        <w:rPr>
          <w:lang w:val="es-CO"/>
        </w:rPr>
      </w:pPr>
      <w:r>
        <w:rPr>
          <w:rStyle w:val="Refdenotaalpie"/>
        </w:rPr>
        <w:footnoteRef/>
      </w:r>
      <w:r>
        <w:t xml:space="preserve"> </w:t>
      </w:r>
      <w:r w:rsidRPr="00D907C6">
        <w:t>Entrevista 402-AA-00001. Excombatiente, FARC-EP.</w:t>
      </w:r>
    </w:p>
  </w:footnote>
  <w:footnote w:id="945">
    <w:p w:rsidR="00591E90" w:rsidRPr="00D907C6" w:rsidRDefault="00591E90">
      <w:pPr>
        <w:pStyle w:val="Textonotapie"/>
        <w:rPr>
          <w:lang w:val="es-CO"/>
        </w:rPr>
      </w:pPr>
      <w:r>
        <w:rPr>
          <w:rStyle w:val="Refdenotaalpie"/>
        </w:rPr>
        <w:footnoteRef/>
      </w:r>
      <w:r>
        <w:t xml:space="preserve"> </w:t>
      </w:r>
      <w:r w:rsidRPr="00D907C6">
        <w:t>entro Nacional de Memoria Histórica, Medellín: memorias de una guerra urbana.</w:t>
      </w:r>
    </w:p>
  </w:footnote>
  <w:footnote w:id="946">
    <w:p w:rsidR="00591E90" w:rsidRPr="00D907C6" w:rsidRDefault="00591E90">
      <w:pPr>
        <w:pStyle w:val="Textonotapie"/>
        <w:rPr>
          <w:lang w:val="es-CO"/>
        </w:rPr>
      </w:pPr>
      <w:r>
        <w:rPr>
          <w:rStyle w:val="Refdenotaalpie"/>
        </w:rPr>
        <w:footnoteRef/>
      </w:r>
      <w:r>
        <w:t xml:space="preserve"> </w:t>
      </w:r>
      <w:r w:rsidRPr="00B23B59">
        <w:t>Tribunal Superior del Distrito Judicial de Bogotá, Sentencia parcial contra el Alexi Mancilla García, 15 de junio de 2016.</w:t>
      </w:r>
    </w:p>
  </w:footnote>
  <w:footnote w:id="947">
    <w:p w:rsidR="00591E90" w:rsidRPr="00BC5EC9" w:rsidRDefault="00591E90">
      <w:pPr>
        <w:pStyle w:val="Textonotapie"/>
        <w:rPr>
          <w:lang w:val="es-CO"/>
        </w:rPr>
      </w:pPr>
      <w:r>
        <w:rPr>
          <w:rStyle w:val="Refdenotaalpie"/>
        </w:rPr>
        <w:footnoteRef/>
      </w:r>
      <w:r>
        <w:t xml:space="preserve"> </w:t>
      </w:r>
      <w:r w:rsidRPr="00B23B59">
        <w:t>Entrevista 068-AA-00001. Actor armado, hombre, excombatiente FARC.</w:t>
      </w:r>
    </w:p>
  </w:footnote>
  <w:footnote w:id="948">
    <w:p w:rsidR="00591E90" w:rsidRPr="00BC5EC9" w:rsidRDefault="00591E90">
      <w:pPr>
        <w:pStyle w:val="Textonotapie"/>
        <w:rPr>
          <w:lang w:val="es-CO"/>
        </w:rPr>
      </w:pPr>
      <w:r>
        <w:rPr>
          <w:rStyle w:val="Refdenotaalpie"/>
        </w:rPr>
        <w:footnoteRef/>
      </w:r>
      <w:r>
        <w:t xml:space="preserve"> </w:t>
      </w:r>
      <w:r w:rsidRPr="00B23B59">
        <w:t>Comisión para el Esclarecimiento de la Verdad, la Convivencia y la No Repetición (CEV), «En acto de reconocimiento, Partido FARC habló de las masacres y violaciones cometidas contra pueblos indígenas - Comisión de la Verdad Colombia».</w:t>
      </w:r>
    </w:p>
  </w:footnote>
  <w:footnote w:id="949">
    <w:p w:rsidR="00591E90" w:rsidRPr="003024C1" w:rsidRDefault="00591E90">
      <w:pPr>
        <w:pStyle w:val="Textonotapie"/>
        <w:rPr>
          <w:lang w:val="es-CO"/>
        </w:rPr>
      </w:pPr>
      <w:r>
        <w:rPr>
          <w:rStyle w:val="Refdenotaalpie"/>
        </w:rPr>
        <w:footnoteRef/>
      </w:r>
      <w:r>
        <w:t xml:space="preserve"> </w:t>
      </w:r>
      <w:r w:rsidRPr="003024C1">
        <w:t>Entrevista a exjuez tomada por la Comisión de la Verdad.</w:t>
      </w:r>
    </w:p>
  </w:footnote>
  <w:footnote w:id="950">
    <w:p w:rsidR="00591E90" w:rsidRPr="009A4923" w:rsidRDefault="00591E90">
      <w:pPr>
        <w:pStyle w:val="Textonotapie"/>
        <w:rPr>
          <w:lang w:val="es-CO"/>
        </w:rPr>
      </w:pPr>
      <w:r>
        <w:rPr>
          <w:rStyle w:val="Refdenotaalpie"/>
        </w:rPr>
        <w:footnoteRef/>
      </w:r>
      <w:r>
        <w:t xml:space="preserve"> </w:t>
      </w:r>
      <w:r w:rsidRPr="009A4923">
        <w:t>Ver Capítulo «Hasta la guerra tiene límites».</w:t>
      </w:r>
    </w:p>
  </w:footnote>
  <w:footnote w:id="951">
    <w:p w:rsidR="00591E90" w:rsidRPr="009A4923" w:rsidRDefault="00591E90">
      <w:pPr>
        <w:pStyle w:val="Textonotapie"/>
        <w:rPr>
          <w:lang w:val="es-CO"/>
        </w:rPr>
      </w:pPr>
      <w:r>
        <w:rPr>
          <w:rStyle w:val="Refdenotaalpie"/>
        </w:rPr>
        <w:footnoteRef/>
      </w:r>
      <w:r>
        <w:t xml:space="preserve"> </w:t>
      </w:r>
      <w:r w:rsidRPr="009A4923">
        <w:t>Como se presenta en el apartado sobre la democracia –en este volumen– la democracia colombiana ha estado en permanente construcción, en medio de una disputa entre fuerzas sociales y políticas y sectores de las élites que buscan la democratización, y aquellas que defienden el statu quo de exclusión. El resultado es un sistema político en el que coexisten aspectos incluyentes de las instituciones con aspectos que facilitan la exclusión y desposesión de amplios sectores de la población y del territorio nacional.</w:t>
      </w:r>
    </w:p>
  </w:footnote>
  <w:footnote w:id="952">
    <w:p w:rsidR="00591E90" w:rsidRPr="002E6DDA" w:rsidRDefault="00591E90">
      <w:pPr>
        <w:pStyle w:val="Textonotapie"/>
        <w:rPr>
          <w:lang w:val="es-CO"/>
        </w:rPr>
      </w:pPr>
      <w:r>
        <w:rPr>
          <w:rStyle w:val="Refdenotaalpie"/>
        </w:rPr>
        <w:footnoteRef/>
      </w:r>
      <w:r>
        <w:t xml:space="preserve"> </w:t>
      </w:r>
      <w:r w:rsidRPr="002E6DDA">
        <w:t>El modelo de acumulación por desposesión que, frente a la incapacidad y limitaciones de acumular mediante la reproducción ampliada del capital, funciona mediante la privatización de servicios e infraestructura social, la extracción irracional de bienes naturales y el acaparamiento de tierras, despojando de sus bienes a la población a través de medios legales e ilegales, y recurriendo a la violencia, la criminalidad, el fraude y prácticas depredadoras. Harvey, David. (2007). Breve historia del neoliberalismo. Madrid: Akal</w:t>
      </w:r>
    </w:p>
  </w:footnote>
  <w:footnote w:id="953">
    <w:p w:rsidR="00591E90" w:rsidRPr="002E6DDA" w:rsidRDefault="00591E90">
      <w:pPr>
        <w:pStyle w:val="Textonotapie"/>
        <w:rPr>
          <w:lang w:val="es-CO"/>
        </w:rPr>
      </w:pPr>
      <w:r>
        <w:rPr>
          <w:rStyle w:val="Refdenotaalpie"/>
        </w:rPr>
        <w:footnoteRef/>
      </w:r>
      <w:r>
        <w:t xml:space="preserve"> </w:t>
      </w:r>
      <w:r w:rsidRPr="002E6DDA">
        <w:t>Según el DANE, la pobreza multidimensional en los centros poblados y rural disperso fue de 37,1 % en el 2020, mientras que en las cabeceras de las principales ciudades fue de 12,5 %.</w:t>
      </w:r>
    </w:p>
  </w:footnote>
  <w:footnote w:id="954">
    <w:p w:rsidR="00591E90" w:rsidRPr="002E6DDA" w:rsidRDefault="00591E90">
      <w:pPr>
        <w:pStyle w:val="Textonotapie"/>
        <w:rPr>
          <w:lang w:val="es-CO"/>
        </w:rPr>
      </w:pPr>
      <w:r>
        <w:rPr>
          <w:rStyle w:val="Refdenotaalpie"/>
        </w:rPr>
        <w:footnoteRef/>
      </w:r>
      <w:r>
        <w:t xml:space="preserve"> </w:t>
      </w:r>
      <w:r w:rsidRPr="002E6DDA">
        <w:t>Este hallazgo se soporta en el proceso de esclarecimiento de la Comisión de la Verdad, las investigaciones adelantadas previamente por la Comisión Nacional de Reparación y Reconciliación (CNRR), el Centro Nacional de Memoria Histórica (CNMH), la Comisión Histórica del Conflicto y sus Víctimas (CHCV) e investigaciones académicas y judiciales.</w:t>
      </w:r>
    </w:p>
  </w:footnote>
  <w:footnote w:id="955">
    <w:p w:rsidR="00591E90" w:rsidRPr="002E6DDA" w:rsidRDefault="00591E90">
      <w:pPr>
        <w:pStyle w:val="Textonotapie"/>
        <w:rPr>
          <w:lang w:val="es-CO"/>
        </w:rPr>
      </w:pPr>
      <w:r>
        <w:rPr>
          <w:rStyle w:val="Refdenotaalpie"/>
        </w:rPr>
        <w:footnoteRef/>
      </w:r>
      <w:r>
        <w:t xml:space="preserve"> </w:t>
      </w:r>
      <w:r w:rsidRPr="002E6DDA">
        <w:t>Luis Jorge Garay, señala cómo la problemática colombiana está marcada históricamente por la progresiva subordinación de lo público a favor de los intereses privados, mediante la imposición de estos intereses por grupos tanto legales como ilegales, creándose una cultura productiva, no de naturaleza capitalista, sino rentística, en la que se propende por la búsqueda de ganancias y la satisfacción de objetivos individuales adquiridos por medio del aprovechamiento de su capacidad de actuación en el mercado y la coacción que disponen ciertos grupos determinantes dentro del ordenamiento político y económico para la aplicación de políticas públicas y colectivas, aun a costa del interés público La historia y las ciencias sociales. Madrid: Alianza Editorial. Garay, Luis Jorge. (1999), p. 18</w:t>
      </w:r>
    </w:p>
  </w:footnote>
  <w:footnote w:id="956">
    <w:p w:rsidR="00591E90" w:rsidRPr="002E6DDA" w:rsidRDefault="00591E90">
      <w:pPr>
        <w:pStyle w:val="Textonotapie"/>
        <w:rPr>
          <w:lang w:val="es-CO"/>
        </w:rPr>
      </w:pPr>
      <w:r>
        <w:rPr>
          <w:rStyle w:val="Refdenotaalpie"/>
        </w:rPr>
        <w:footnoteRef/>
      </w:r>
      <w:r>
        <w:t xml:space="preserve"> </w:t>
      </w:r>
      <w:r w:rsidRPr="002E6DDA">
        <w:t>Las políticas sobre desarrollo rural y regulación de los derechos de propiedad sobre la tierra y los intentos de poner tributos progresivos a la propiedad rural, han fracaso en movilizar la tierra como factor productivo y en constituir un verdadero mercado de tierras con elementos económicos de formación de precios y dinamización de la oferta y la demanda. También fracasaron en corregir la desigualdad en la apropiación de la tierra.</w:t>
      </w:r>
    </w:p>
  </w:footnote>
  <w:footnote w:id="957">
    <w:p w:rsidR="00591E90" w:rsidRPr="002E6DDA" w:rsidRDefault="00591E90">
      <w:pPr>
        <w:pStyle w:val="Textonotapie"/>
      </w:pPr>
      <w:r>
        <w:rPr>
          <w:rStyle w:val="Refdenotaalpie"/>
        </w:rPr>
        <w:footnoteRef/>
      </w:r>
      <w:r>
        <w:t xml:space="preserve"> </w:t>
      </w:r>
      <w:r w:rsidRPr="002E6DDA">
        <w:t xml:space="preserve">Ejemplos de estas situaciones pueden leerse tanto en el capítulo territorial del informe, Colombia adentro, como en el capítulo sobre territorios y pueblos étnicos, así como en el capítulo «Hasta la guerra tiene límites». </w:t>
      </w:r>
    </w:p>
  </w:footnote>
  <w:footnote w:id="958">
    <w:p w:rsidR="00591E90" w:rsidRPr="002E6DDA" w:rsidRDefault="00591E90">
      <w:pPr>
        <w:pStyle w:val="Textonotapie"/>
        <w:rPr>
          <w:lang w:val="es-CO"/>
        </w:rPr>
      </w:pPr>
      <w:r>
        <w:rPr>
          <w:rStyle w:val="Refdenotaalpie"/>
        </w:rPr>
        <w:footnoteRef/>
      </w:r>
      <w:r>
        <w:t xml:space="preserve"> </w:t>
      </w:r>
      <w:r w:rsidRPr="002E6DDA">
        <w:t xml:space="preserve">958 [...] la ciudad-refugio como urbanismo de guerra, es decir de la fase moderna, actual, de la urbanización del país [...] nada nuevo siendo que este ciclo reproduce el precedente, y prosigue la urbanización salvaje “a la brava”. Desde luego, de la “descomposición” social del campesinado, inevitablemente brotó la descomposición de la forma urbana original, bajo la presión y el desespero de los destechados. Sánchez-Steiner, La ciudad refugio, </w:t>
      </w:r>
      <w:proofErr w:type="spellStart"/>
      <w:r w:rsidRPr="002E6DDA">
        <w:t>xxii</w:t>
      </w:r>
      <w:proofErr w:type="spellEnd"/>
      <w:r w:rsidRPr="002E6DDA">
        <w:t>.</w:t>
      </w:r>
    </w:p>
  </w:footnote>
  <w:footnote w:id="959">
    <w:p w:rsidR="00591E90" w:rsidRPr="002A2D38" w:rsidRDefault="00591E90">
      <w:pPr>
        <w:pStyle w:val="Textonotapie"/>
        <w:rPr>
          <w:lang w:val="es-CO"/>
        </w:rPr>
      </w:pPr>
      <w:r>
        <w:rPr>
          <w:rStyle w:val="Refdenotaalpie"/>
        </w:rPr>
        <w:footnoteRef/>
      </w:r>
      <w:r>
        <w:t xml:space="preserve"> </w:t>
      </w:r>
      <w:r w:rsidRPr="002A2D38">
        <w:t>Para una aproximación profunda de los impactos del conflicto armado en la vida cotidiana revisar el capítulo testimonial del informe final de la Comisión de la Verdad.</w:t>
      </w:r>
    </w:p>
  </w:footnote>
  <w:footnote w:id="960">
    <w:p w:rsidR="00591E90" w:rsidRPr="0065055B" w:rsidRDefault="00591E90">
      <w:pPr>
        <w:pStyle w:val="Textonotapie"/>
        <w:rPr>
          <w:lang w:val="es-CO"/>
        </w:rPr>
      </w:pPr>
      <w:r>
        <w:rPr>
          <w:rStyle w:val="Refdenotaalpie"/>
        </w:rPr>
        <w:footnoteRef/>
      </w:r>
      <w:r>
        <w:t xml:space="preserve"> </w:t>
      </w:r>
      <w:r w:rsidRPr="0065055B">
        <w:t>El corazón de este modelo fue el régimen señorial de la metrópoli, expresado en un eficiente ordenamiento territorial que favorecía la administración de los territorios de ultramar, como virreinatos, intendencias, capitanías, audiencias, provincias, ciudades, villas y parroquias, por una parte. Y, por otra, en la adjudicación de territorios con fines de aprovechamiento económico, mediante figuras como las mercedes de tierras para premiar servicios prestados a la Corona.</w:t>
      </w:r>
    </w:p>
  </w:footnote>
  <w:footnote w:id="961">
    <w:p w:rsidR="00591E90" w:rsidRPr="0065055B" w:rsidRDefault="00591E90">
      <w:pPr>
        <w:pStyle w:val="Textonotapie"/>
        <w:rPr>
          <w:lang w:val="es-CO"/>
        </w:rPr>
      </w:pPr>
      <w:r>
        <w:rPr>
          <w:rStyle w:val="Refdenotaalpie"/>
        </w:rPr>
        <w:footnoteRef/>
      </w:r>
      <w:r>
        <w:t xml:space="preserve"> </w:t>
      </w:r>
      <w:r w:rsidRPr="0065055B">
        <w:t>La Hacienda es un sistema económico y social, derivado de la Colonia, que según Fals Borda ha logrado sobrevivir en la evolución histórica, adaptándose a diversas formas de producción. Esta institución inició en la Colonia como una relación de explotación y subordinación, y ha pasado por diversas etapas hasta llegar a la construcción de relaciones de producción capitalistas. Ya en la república, la expansión territorial de las haciendas contribuyó a la expropiación de tierras a la población campesina. El estudio de las haciendas. Un balance historiográfico. Catalina Ahumada Escobar. Publicaciones Universidad del valle. Julio 2010. P. 7</w:t>
      </w:r>
    </w:p>
  </w:footnote>
  <w:footnote w:id="962">
    <w:p w:rsidR="00591E90" w:rsidRPr="0065055B" w:rsidRDefault="00591E90">
      <w:pPr>
        <w:pStyle w:val="Textonotapie"/>
        <w:rPr>
          <w:lang w:val="es-CO"/>
        </w:rPr>
      </w:pPr>
      <w:r>
        <w:rPr>
          <w:rStyle w:val="Refdenotaalpie"/>
        </w:rPr>
        <w:footnoteRef/>
      </w:r>
      <w:r>
        <w:t xml:space="preserve"> </w:t>
      </w:r>
      <w:r w:rsidRPr="0065055B">
        <w:t xml:space="preserve">Gutiérrez, Francisco «¿Una historia simple?» En: Comisión Histórica del conflicto y sus víctimas, Contribución al entendimiento del conflicto armado en Colombia, Ediciones desde abajo, Bogotá 2017 (tercera reimpresión). </w:t>
      </w:r>
      <w:proofErr w:type="spellStart"/>
      <w:r w:rsidRPr="0065055B">
        <w:t>Op</w:t>
      </w:r>
      <w:proofErr w:type="spellEnd"/>
      <w:r w:rsidRPr="0065055B">
        <w:t>. cit., p. 527.</w:t>
      </w:r>
    </w:p>
  </w:footnote>
  <w:footnote w:id="963">
    <w:p w:rsidR="00591E90" w:rsidRPr="0065055B" w:rsidRDefault="00591E90">
      <w:pPr>
        <w:pStyle w:val="Textonotapie"/>
        <w:rPr>
          <w:lang w:val="es-CO"/>
        </w:rPr>
      </w:pPr>
      <w:r>
        <w:rPr>
          <w:rStyle w:val="Refdenotaalpie"/>
        </w:rPr>
        <w:footnoteRef/>
      </w:r>
      <w:r>
        <w:t xml:space="preserve"> </w:t>
      </w:r>
      <w:proofErr w:type="spellStart"/>
      <w:r w:rsidRPr="0065055B">
        <w:t>Ibíd</w:t>
      </w:r>
      <w:proofErr w:type="spellEnd"/>
      <w:r w:rsidRPr="0065055B">
        <w:t>.</w:t>
      </w:r>
    </w:p>
  </w:footnote>
  <w:footnote w:id="964">
    <w:p w:rsidR="00591E90" w:rsidRPr="0065055B" w:rsidRDefault="00591E90">
      <w:pPr>
        <w:pStyle w:val="Textonotapie"/>
        <w:rPr>
          <w:lang w:val="es-CO"/>
        </w:rPr>
      </w:pPr>
      <w:r>
        <w:rPr>
          <w:rStyle w:val="Refdenotaalpie"/>
        </w:rPr>
        <w:footnoteRef/>
      </w:r>
      <w:r>
        <w:t xml:space="preserve"> </w:t>
      </w:r>
      <w:r w:rsidRPr="0065055B">
        <w:t>Gutiérrez, Francisco. El orangután con sacoleva. Cien años de democracia y represión en Colombia (1990- 2010). Bogotá: IEPRI-Debate. 277.</w:t>
      </w:r>
    </w:p>
  </w:footnote>
  <w:footnote w:id="965">
    <w:p w:rsidR="00591E90" w:rsidRPr="0065055B" w:rsidRDefault="00591E90">
      <w:pPr>
        <w:pStyle w:val="Textonotapie"/>
        <w:rPr>
          <w:lang w:val="es-CO"/>
        </w:rPr>
      </w:pPr>
      <w:r>
        <w:rPr>
          <w:rStyle w:val="Refdenotaalpie"/>
        </w:rPr>
        <w:footnoteRef/>
      </w:r>
      <w:r>
        <w:t xml:space="preserve"> </w:t>
      </w:r>
      <w:r w:rsidRPr="0065055B">
        <w:t xml:space="preserve">Norbert </w:t>
      </w:r>
      <w:proofErr w:type="spellStart"/>
      <w:r w:rsidRPr="0065055B">
        <w:t>Elias</w:t>
      </w:r>
      <w:proofErr w:type="spellEnd"/>
      <w:r w:rsidRPr="0065055B">
        <w:t xml:space="preserve"> afirma que la construcción de las naciones implica la combinación de y los de integración de los estratos sociales. En cada nación estos procesos tienen particularidades que a la postre definen las características del sistema político y social. Norbert </w:t>
      </w:r>
      <w:proofErr w:type="spellStart"/>
      <w:r w:rsidRPr="0065055B">
        <w:t>Elias</w:t>
      </w:r>
      <w:proofErr w:type="spellEnd"/>
      <w:r w:rsidRPr="0065055B">
        <w:t xml:space="preserve">. El proceso de civilización. Investigaciones </w:t>
      </w:r>
      <w:proofErr w:type="spellStart"/>
      <w:r w:rsidRPr="0065055B">
        <w:t>sociogenéticas</w:t>
      </w:r>
      <w:proofErr w:type="spellEnd"/>
      <w:r w:rsidRPr="0065055B">
        <w:t xml:space="preserve"> y psicogenéticas, México, Fondo de Cultura Económica, 1987, pp. 333-446.</w:t>
      </w:r>
    </w:p>
  </w:footnote>
  <w:footnote w:id="966">
    <w:p w:rsidR="00591E90" w:rsidRPr="0065055B" w:rsidRDefault="00591E90">
      <w:pPr>
        <w:pStyle w:val="Textonotapie"/>
        <w:rPr>
          <w:lang w:val="es-CO"/>
        </w:rPr>
      </w:pPr>
      <w:r>
        <w:rPr>
          <w:rStyle w:val="Refdenotaalpie"/>
        </w:rPr>
        <w:footnoteRef/>
      </w:r>
      <w:r>
        <w:t xml:space="preserve"> </w:t>
      </w:r>
      <w:r w:rsidRPr="0065055B">
        <w:t>Ver Comisión para el Esclarecimiento de la Verdad. Capítulo territorial Colombia adentro, Los campesinos en el conflicto armado.</w:t>
      </w:r>
    </w:p>
  </w:footnote>
  <w:footnote w:id="967">
    <w:p w:rsidR="00591E90" w:rsidRPr="00B34E6C" w:rsidRDefault="00591E90">
      <w:pPr>
        <w:pStyle w:val="Textonotapie"/>
        <w:rPr>
          <w:lang w:val="es-CO"/>
        </w:rPr>
      </w:pPr>
      <w:r>
        <w:rPr>
          <w:rStyle w:val="Refdenotaalpie"/>
        </w:rPr>
        <w:footnoteRef/>
      </w:r>
      <w:r>
        <w:t xml:space="preserve"> </w:t>
      </w:r>
      <w:r w:rsidRPr="00B34E6C">
        <w:t>Legrand, Catherine. (2016) Colonización y protesta campesina en Colombia 1870-1950. Bogotá: Universidad Nacional de Colombia. 115-116</w:t>
      </w:r>
    </w:p>
  </w:footnote>
  <w:footnote w:id="968">
    <w:p w:rsidR="00591E90" w:rsidRPr="00B34E6C" w:rsidRDefault="00591E90">
      <w:pPr>
        <w:pStyle w:val="Textonotapie"/>
        <w:rPr>
          <w:lang w:val="es-CO"/>
        </w:rPr>
      </w:pPr>
      <w:r>
        <w:rPr>
          <w:rStyle w:val="Refdenotaalpie"/>
        </w:rPr>
        <w:footnoteRef/>
      </w:r>
      <w:r>
        <w:t xml:space="preserve"> </w:t>
      </w:r>
      <w:proofErr w:type="spellStart"/>
      <w:r w:rsidRPr="00B34E6C">
        <w:t>Ibíd</w:t>
      </w:r>
      <w:proofErr w:type="spellEnd"/>
      <w:r w:rsidRPr="00B34E6C">
        <w:t>. 116</w:t>
      </w:r>
    </w:p>
  </w:footnote>
  <w:footnote w:id="969">
    <w:p w:rsidR="00591E90" w:rsidRPr="00B34E6C" w:rsidRDefault="00591E90">
      <w:pPr>
        <w:pStyle w:val="Textonotapie"/>
        <w:rPr>
          <w:lang w:val="es-CO"/>
        </w:rPr>
      </w:pPr>
      <w:r>
        <w:rPr>
          <w:rStyle w:val="Refdenotaalpie"/>
        </w:rPr>
        <w:footnoteRef/>
      </w:r>
      <w:r>
        <w:t xml:space="preserve"> </w:t>
      </w:r>
      <w:r w:rsidRPr="00B34E6C">
        <w:t xml:space="preserve">Mediante la sentencia, expedida en abril de 1926, la Corte Suprema de Justicia resolvió un recurso de apelación interpuesto contra una sentencia que había sido expedida el primero de noviembre de 1924 por el Tribunal Superior de Santa Marta. En la sentencia apelada, el tribunal negó la solicitud de desembargo de dos bienes inmuebles de gran extensión ubicados en el departamento del Magdalena, en inmediaciones de la Ciénaga de </w:t>
      </w:r>
      <w:proofErr w:type="spellStart"/>
      <w:r w:rsidRPr="00B34E6C">
        <w:t>Zapatosa</w:t>
      </w:r>
      <w:proofErr w:type="spellEnd"/>
      <w:r w:rsidRPr="00B34E6C">
        <w:t xml:space="preserve">, conocidos con el nombre de Santa Rosa y Buenavista. El embargo se dictó en el marco de un proceso ejecutivo de cobro que el señor Ignacio Uribe inició contra el señor William </w:t>
      </w:r>
      <w:proofErr w:type="spellStart"/>
      <w:r w:rsidRPr="00B34E6C">
        <w:t>Archer</w:t>
      </w:r>
      <w:proofErr w:type="spellEnd"/>
      <w:r w:rsidRPr="00B34E6C">
        <w:t xml:space="preserve">. Este último se reputaba como dueño de los predios embargados y tenía una deuda no pagada con el primero; por lo tanto, el Juzgado del Circuito de El Banco (Magdalena) ordenó el embargo para asegurar el pago de la deuda. Sin embargo, el funcionario que entonces ostentaba la competencia para representar los intereses de la nación ante dicha instancia se opuso a la orden de embargo dictada, ya que según «órdenes e instrucciones del Gobierno» estos predios eran baldíos y por lo tanto no podrían entenderse como respaldo de la deuda perseguida. El desembargo se solicitó mediante un instrumento jurídico denominado «articulación», figura instituida en el artículo 204 de la Ley 105 de 1890. Mediante esta norma toda persona distinta al deudor embargado podía reclamar como suyos los bienes objeto del procedimiento; por lo tanto, si el </w:t>
      </w:r>
      <w:proofErr w:type="spellStart"/>
      <w:r w:rsidRPr="00B34E6C">
        <w:t>articulante</w:t>
      </w:r>
      <w:proofErr w:type="spellEnd"/>
      <w:r w:rsidRPr="00B34E6C">
        <w:t xml:space="preserve"> (persona que inicia la articulación de desembargo), en el marco de esta operación jurídica, lograba demostrar plenamente que el bien le pertenecía, se debía proceder inmediatamente al desembargo. El acreedor interesado en embargar el bien podía insistir en mantener esta medida solamente si lograba demostrar que el deudor ejecutado gozaba de un título válido y correctamente registrado adjuntando el título y el certificado de registro. El caso llegó a conocimiento de la Corte Suprema de Justicia donde a pesar de que le correspondió ponencia al magistrado de origen liberal Luis Felipe Rosales, la sentencia fue aprobada por una sala -conjunto de tres magistrados- de mayoría conservadora gracias los magistrados Julio Luzardo Fortoul y Francisco Tafur.</w:t>
      </w:r>
    </w:p>
  </w:footnote>
  <w:footnote w:id="970">
    <w:p w:rsidR="00591E90" w:rsidRPr="00B34E6C" w:rsidRDefault="00591E90">
      <w:pPr>
        <w:pStyle w:val="Textonotapie"/>
        <w:rPr>
          <w:lang w:val="es-CO"/>
        </w:rPr>
      </w:pPr>
      <w:r>
        <w:rPr>
          <w:rStyle w:val="Refdenotaalpie"/>
        </w:rPr>
        <w:footnoteRef/>
      </w:r>
      <w:r>
        <w:t xml:space="preserve"> </w:t>
      </w:r>
      <w:r w:rsidRPr="00B34E6C">
        <w:t>Con la Ley 110 de 1912 se expidió un Código Fiscal, es decir, un conjunto de normas que regulaban el manejo de los bienes y rentas de la Nación. En el artículo 44 de esta norma se estableció lo que la Corte Suprema consideró, en virtud del artículo 66 del Código Civil, como una presunción legal en favor del Estado: «son baldíos, y en tal concepto pertenecen al Estado, los terrenos situados dentro de los límites del territorio nacional que carecen de otro dueño, y los que habiendo sido adjudicados con ese carácter, deban volver al dominio del Estado, de acuerdo con lo que dispone el artículo 56».</w:t>
      </w:r>
    </w:p>
  </w:footnote>
  <w:footnote w:id="971">
    <w:p w:rsidR="00591E90" w:rsidRPr="00121DB9" w:rsidRDefault="00591E90" w:rsidP="00121DB9">
      <w:pPr>
        <w:pStyle w:val="Textonotapie"/>
        <w:rPr>
          <w:lang w:val="es-CO"/>
        </w:rPr>
      </w:pPr>
      <w:r>
        <w:rPr>
          <w:rStyle w:val="Refdenotaalpie"/>
        </w:rPr>
        <w:footnoteRef/>
      </w:r>
      <w:r>
        <w:t xml:space="preserve"> Al contrario, la corporación determinó que cuando el Estado consideraba que un predio era baldío, hacía una «negación indefinida», es decir, negaba que aquel predio alguna vez hubiese salido de su poder. Por lo tanto, la carga procesal de probar que un terreno era propiedad privada recaía en quien quisiera ser reconocido como propietario.</w:t>
      </w:r>
    </w:p>
  </w:footnote>
  <w:footnote w:id="972">
    <w:p w:rsidR="00591E90" w:rsidRPr="00121DB9" w:rsidRDefault="00591E90">
      <w:pPr>
        <w:pStyle w:val="Textonotapie"/>
        <w:rPr>
          <w:lang w:val="es-CO"/>
        </w:rPr>
      </w:pPr>
      <w:r>
        <w:rPr>
          <w:rStyle w:val="Refdenotaalpie"/>
        </w:rPr>
        <w:footnoteRef/>
      </w:r>
      <w:r>
        <w:t xml:space="preserve"> </w:t>
      </w:r>
      <w:r w:rsidRPr="00121DB9">
        <w:t xml:space="preserve">Becerra, Dayana. (2011) Historia de la policía en Colombia: actor social, político y partidista. Revista Diálogos de saberes, </w:t>
      </w:r>
      <w:proofErr w:type="spellStart"/>
      <w:r w:rsidRPr="00121DB9">
        <w:t>Nº</w:t>
      </w:r>
      <w:proofErr w:type="spellEnd"/>
      <w:r w:rsidRPr="00121DB9">
        <w:t xml:space="preserve"> 34. Bogotá.</w:t>
      </w:r>
    </w:p>
  </w:footnote>
  <w:footnote w:id="973">
    <w:p w:rsidR="00591E90" w:rsidRPr="00121DB9" w:rsidRDefault="00591E90">
      <w:pPr>
        <w:pStyle w:val="Textonotapie"/>
        <w:rPr>
          <w:lang w:val="es-CO"/>
        </w:rPr>
      </w:pPr>
      <w:r>
        <w:rPr>
          <w:rStyle w:val="Refdenotaalpie"/>
        </w:rPr>
        <w:footnoteRef/>
      </w:r>
      <w:r>
        <w:t xml:space="preserve"> </w:t>
      </w:r>
      <w:r w:rsidRPr="00121DB9">
        <w:t>Fajardo, Darío. Estudio sobre los orígenes del conflicto social armado, En: Comisión Histórica del conflicto y sus víctimas, Contribución al entendimiento del conflicto armado en Colombia, desde abajo, Bogotá: Desde abajo, 2017 (tercera reimpresión), 366.</w:t>
      </w:r>
    </w:p>
  </w:footnote>
  <w:footnote w:id="974">
    <w:p w:rsidR="00591E90" w:rsidRPr="00121DB9" w:rsidRDefault="00591E90">
      <w:pPr>
        <w:pStyle w:val="Textonotapie"/>
        <w:rPr>
          <w:lang w:val="es-CO"/>
        </w:rPr>
      </w:pPr>
      <w:r>
        <w:rPr>
          <w:rStyle w:val="Refdenotaalpie"/>
        </w:rPr>
        <w:footnoteRef/>
      </w:r>
      <w:r>
        <w:t xml:space="preserve"> </w:t>
      </w:r>
      <w:r w:rsidRPr="00121DB9">
        <w:t>Múnera, Alfonso. Fronteras imaginadas. La construcción de las razas y de la geografía en el siglo XIX colombiano. Bogotá: Planeta, 2005, p. 103.</w:t>
      </w:r>
    </w:p>
  </w:footnote>
  <w:footnote w:id="975">
    <w:p w:rsidR="00591E90" w:rsidRPr="00121DB9" w:rsidRDefault="00591E90">
      <w:pPr>
        <w:pStyle w:val="Textonotapie"/>
        <w:rPr>
          <w:lang w:val="es-CO"/>
        </w:rPr>
      </w:pPr>
      <w:r>
        <w:rPr>
          <w:rStyle w:val="Refdenotaalpie"/>
        </w:rPr>
        <w:footnoteRef/>
      </w:r>
      <w:r>
        <w:t xml:space="preserve"> </w:t>
      </w:r>
      <w:r w:rsidRPr="00121DB9">
        <w:t>Al llegar al poder, el presidente Santos Montejo se mostró menos reformista, más moderado, y marcó distancia de los movimientos sociales y de sus crecientes demandas con lo que se denominó como una «pausa» a la Revolución en Marcha de López Pumarejo.</w:t>
      </w:r>
    </w:p>
  </w:footnote>
  <w:footnote w:id="976">
    <w:p w:rsidR="00591E90" w:rsidRPr="00121DB9" w:rsidRDefault="00591E90">
      <w:pPr>
        <w:pStyle w:val="Textonotapie"/>
        <w:rPr>
          <w:lang w:val="es-CO"/>
        </w:rPr>
      </w:pPr>
      <w:r>
        <w:rPr>
          <w:rStyle w:val="Refdenotaalpie"/>
        </w:rPr>
        <w:footnoteRef/>
      </w:r>
      <w:r>
        <w:t xml:space="preserve"> </w:t>
      </w:r>
      <w:r w:rsidRPr="00121DB9">
        <w:t>Los latifundistas se apoyaron en los artículos 13 y 14 de la Ley 100 de 1944 para adelantar procesos policivos de expulsión de los colonos, el único requisito que exigía la ley era la ocupación de una cuarta parte del terreno que se pretendía reclamar como propio; además, se eliminaban formalidades legales con el propósito de facilitar la intervención de la fuerza pública en las disputas por la propiedad de la tierra.</w:t>
      </w:r>
    </w:p>
  </w:footnote>
  <w:footnote w:id="977">
    <w:p w:rsidR="00591E90" w:rsidRPr="00121DB9" w:rsidRDefault="00591E90">
      <w:pPr>
        <w:pStyle w:val="Textonotapie"/>
        <w:rPr>
          <w:lang w:val="es-CO"/>
        </w:rPr>
      </w:pPr>
      <w:r>
        <w:rPr>
          <w:rStyle w:val="Refdenotaalpie"/>
        </w:rPr>
        <w:footnoteRef/>
      </w:r>
      <w:r>
        <w:t xml:space="preserve"> </w:t>
      </w:r>
      <w:r w:rsidRPr="00121DB9">
        <w:t>Legrand, Catherine. Colonización y protesta campesina en Colombia 1870-1950. Bogotá: Universidad Nacional de Colombia. 1988, 249.</w:t>
      </w:r>
    </w:p>
  </w:footnote>
  <w:footnote w:id="978">
    <w:p w:rsidR="00591E90" w:rsidRPr="00121DB9" w:rsidRDefault="00591E90">
      <w:pPr>
        <w:pStyle w:val="Textonotapie"/>
        <w:rPr>
          <w:lang w:val="es-CO"/>
        </w:rPr>
      </w:pPr>
      <w:r>
        <w:rPr>
          <w:rStyle w:val="Refdenotaalpie"/>
        </w:rPr>
        <w:footnoteRef/>
      </w:r>
      <w:r>
        <w:t xml:space="preserve"> </w:t>
      </w:r>
      <w:r w:rsidRPr="00121DB9">
        <w:t>Centro Nacional de Memoria Histórica, Tierras y conflictos rurales. Historia, políticas agrarias y protagonistas, Bogotá: CNMH. 2016, pp. 83- 84.</w:t>
      </w:r>
    </w:p>
  </w:footnote>
  <w:footnote w:id="979">
    <w:p w:rsidR="00591E90" w:rsidRPr="00121DB9" w:rsidRDefault="00591E90">
      <w:pPr>
        <w:pStyle w:val="Textonotapie"/>
        <w:rPr>
          <w:lang w:val="es-CO"/>
        </w:rPr>
      </w:pPr>
      <w:r>
        <w:rPr>
          <w:rStyle w:val="Refdenotaalpie"/>
        </w:rPr>
        <w:footnoteRef/>
      </w:r>
      <w:r>
        <w:t xml:space="preserve"> </w:t>
      </w:r>
      <w:proofErr w:type="spellStart"/>
      <w:r w:rsidRPr="00121DB9">
        <w:t>Ibíd</w:t>
      </w:r>
      <w:proofErr w:type="spellEnd"/>
      <w:r w:rsidRPr="00121DB9">
        <w:t>, p. 86.</w:t>
      </w:r>
    </w:p>
  </w:footnote>
  <w:footnote w:id="980">
    <w:p w:rsidR="00591E90" w:rsidRPr="00301EA8" w:rsidRDefault="00591E90">
      <w:pPr>
        <w:pStyle w:val="Textonotapie"/>
        <w:rPr>
          <w:lang w:val="es-CO"/>
        </w:rPr>
      </w:pPr>
      <w:r>
        <w:rPr>
          <w:rStyle w:val="Refdenotaalpie"/>
        </w:rPr>
        <w:footnoteRef/>
      </w:r>
      <w:r>
        <w:t xml:space="preserve"> </w:t>
      </w:r>
      <w:proofErr w:type="spellStart"/>
      <w:r w:rsidRPr="00DC2429">
        <w:t>Oquist</w:t>
      </w:r>
      <w:proofErr w:type="spellEnd"/>
      <w:r w:rsidRPr="00DC2429">
        <w:t>, Paul. (1978) Violencia, conflicto y política en Colombia Bogotá: Instituto de Estudios Colombianos.</w:t>
      </w:r>
    </w:p>
  </w:footnote>
  <w:footnote w:id="981">
    <w:p w:rsidR="00591E90" w:rsidRPr="00301EA8" w:rsidRDefault="00591E90">
      <w:pPr>
        <w:pStyle w:val="Textonotapie"/>
        <w:rPr>
          <w:lang w:val="es-CO"/>
        </w:rPr>
      </w:pPr>
      <w:r>
        <w:rPr>
          <w:rStyle w:val="Refdenotaalpie"/>
        </w:rPr>
        <w:footnoteRef/>
      </w:r>
      <w:r>
        <w:t xml:space="preserve"> </w:t>
      </w:r>
      <w:proofErr w:type="spellStart"/>
      <w:r w:rsidRPr="00DC2429">
        <w:t>Ibíd</w:t>
      </w:r>
      <w:proofErr w:type="spellEnd"/>
      <w:r w:rsidRPr="00DC2429">
        <w:t>.</w:t>
      </w:r>
    </w:p>
  </w:footnote>
  <w:footnote w:id="982">
    <w:p w:rsidR="00591E90" w:rsidRPr="00301EA8" w:rsidRDefault="00591E90">
      <w:pPr>
        <w:pStyle w:val="Textonotapie"/>
        <w:rPr>
          <w:lang w:val="es-CO"/>
        </w:rPr>
      </w:pPr>
      <w:r>
        <w:rPr>
          <w:rStyle w:val="Refdenotaalpie"/>
        </w:rPr>
        <w:footnoteRef/>
      </w:r>
      <w:r>
        <w:t xml:space="preserve"> </w:t>
      </w:r>
      <w:proofErr w:type="spellStart"/>
      <w:r w:rsidRPr="00DC2429">
        <w:t>Ibíd</w:t>
      </w:r>
      <w:proofErr w:type="spellEnd"/>
      <w:r w:rsidRPr="00DC2429">
        <w:t>.</w:t>
      </w:r>
    </w:p>
  </w:footnote>
  <w:footnote w:id="983">
    <w:p w:rsidR="00591E90" w:rsidRPr="00DC2429" w:rsidRDefault="00591E90">
      <w:pPr>
        <w:pStyle w:val="Textonotapie"/>
        <w:rPr>
          <w:lang w:val="es-CO"/>
        </w:rPr>
      </w:pPr>
      <w:r>
        <w:rPr>
          <w:rStyle w:val="Refdenotaalpie"/>
        </w:rPr>
        <w:footnoteRef/>
      </w:r>
      <w:r>
        <w:t xml:space="preserve"> </w:t>
      </w:r>
      <w:r w:rsidRPr="00EB1F28">
        <w:t>Gutiérrez, Francisco. ¿Lo que el viento se llevó? Los partidos políticos y la democracia en Colombia 1958- 2016. Bogotá: Norma, 2007, p. 78</w:t>
      </w:r>
    </w:p>
  </w:footnote>
  <w:footnote w:id="984">
    <w:p w:rsidR="00591E90" w:rsidRPr="00DC2429" w:rsidRDefault="00591E90">
      <w:pPr>
        <w:pStyle w:val="Textonotapie"/>
        <w:rPr>
          <w:lang w:val="es-CO"/>
        </w:rPr>
      </w:pPr>
      <w:r>
        <w:rPr>
          <w:rStyle w:val="Refdenotaalpie"/>
        </w:rPr>
        <w:footnoteRef/>
      </w:r>
      <w:r>
        <w:t xml:space="preserve"> </w:t>
      </w:r>
      <w:r w:rsidRPr="00EB1F28">
        <w:t>Ver Capítulo de Narrativa Histórica del Informe Final Hay futuro si hay verdad, de la Comisión de la Verdad.</w:t>
      </w:r>
    </w:p>
  </w:footnote>
  <w:footnote w:id="985">
    <w:p w:rsidR="00591E90" w:rsidRPr="00EB1F28" w:rsidRDefault="00591E90">
      <w:pPr>
        <w:pStyle w:val="Textonotapie"/>
        <w:rPr>
          <w:lang w:val="es-CO"/>
        </w:rPr>
      </w:pPr>
      <w:r>
        <w:rPr>
          <w:rStyle w:val="Refdenotaalpie"/>
        </w:rPr>
        <w:footnoteRef/>
      </w:r>
      <w:r>
        <w:t xml:space="preserve"> </w:t>
      </w:r>
      <w:r w:rsidRPr="00EB1F28">
        <w:t>El inmovilismo se refiere a la tendencia a mantener sin cambios la situación política, social económica o ideológica.</w:t>
      </w:r>
    </w:p>
  </w:footnote>
  <w:footnote w:id="986">
    <w:p w:rsidR="00591E90" w:rsidRPr="00EB1F28" w:rsidRDefault="00591E90">
      <w:pPr>
        <w:pStyle w:val="Textonotapie"/>
        <w:rPr>
          <w:lang w:val="es-CO"/>
        </w:rPr>
      </w:pPr>
      <w:r>
        <w:rPr>
          <w:rStyle w:val="Refdenotaalpie"/>
        </w:rPr>
        <w:footnoteRef/>
      </w:r>
      <w:r>
        <w:t xml:space="preserve"> </w:t>
      </w:r>
      <w:r w:rsidRPr="00EB1F28">
        <w:t>La Alianza para el Progreso fue un programa de ayuda económica, política y social de Estados Unidos para América Latina efectuado entre 1961 y 1970. Se proponía “mejorar la vida de todos los habitantes del continente” para lo que se promovían medidas de carácter social, político y económico. El programa se creó también con el objetivo de contrarrestar la influencia de la revolución cubana y apoyar medidas reformistas de los gobiernos latinoamericanos. Entre las principales medidas estaba la reforma agraria, la modernización de la infraestructura de comunicaciones, reforma a los sistemas de impuestos, acceso a la vivienda, acceso a la educación y erradicación del analfabetismo entre otros.</w:t>
      </w:r>
    </w:p>
  </w:footnote>
  <w:footnote w:id="987">
    <w:p w:rsidR="00591E90" w:rsidRPr="00EB1F28" w:rsidRDefault="00591E90">
      <w:pPr>
        <w:pStyle w:val="Textonotapie"/>
        <w:rPr>
          <w:lang w:val="es-CO"/>
        </w:rPr>
      </w:pPr>
      <w:r>
        <w:rPr>
          <w:rStyle w:val="Refdenotaalpie"/>
        </w:rPr>
        <w:footnoteRef/>
      </w:r>
      <w:r>
        <w:t xml:space="preserve"> </w:t>
      </w:r>
      <w:r w:rsidRPr="00EB1F28">
        <w:t>La Ley 135 de 1961 buscaba que los grandes propietarios agrícolas modernizaran la explotación de sus tierras y les dieran un uso más adecuado, y corregir los defectos de la estructura de tenencia para eliminar la excesiva concentración. Asimismo, intentaba dar una solución a la violencia que azotaba al país desde 1946, generar empleo y asegurar el abastecimiento de alimentos.</w:t>
      </w:r>
    </w:p>
  </w:footnote>
  <w:footnote w:id="988">
    <w:p w:rsidR="00591E90" w:rsidRPr="00EB1F28" w:rsidRDefault="00591E90">
      <w:pPr>
        <w:pStyle w:val="Textonotapie"/>
        <w:rPr>
          <w:lang w:val="es-CO"/>
        </w:rPr>
      </w:pPr>
      <w:r>
        <w:rPr>
          <w:rStyle w:val="Refdenotaalpie"/>
        </w:rPr>
        <w:footnoteRef/>
      </w:r>
      <w:r w:rsidRPr="00EB1F28">
        <w:rPr>
          <w:lang w:val="en-US"/>
        </w:rPr>
        <w:t xml:space="preserve"> Tai, H.-C. (1974). Land reform and politics. </w:t>
      </w:r>
      <w:r w:rsidRPr="00EB1F28">
        <w:t xml:space="preserve">Berkeley, EE. UU.: </w:t>
      </w:r>
      <w:proofErr w:type="spellStart"/>
      <w:r w:rsidRPr="00EB1F28">
        <w:t>University</w:t>
      </w:r>
      <w:proofErr w:type="spellEnd"/>
      <w:r w:rsidRPr="00EB1F28">
        <w:t xml:space="preserve"> </w:t>
      </w:r>
      <w:proofErr w:type="spellStart"/>
      <w:r w:rsidRPr="00EB1F28">
        <w:t>of</w:t>
      </w:r>
      <w:proofErr w:type="spellEnd"/>
      <w:r w:rsidRPr="00EB1F28">
        <w:t xml:space="preserve"> California </w:t>
      </w:r>
      <w:proofErr w:type="spellStart"/>
      <w:r w:rsidRPr="00EB1F28">
        <w:t>Press</w:t>
      </w:r>
      <w:proofErr w:type="spellEnd"/>
      <w:r w:rsidRPr="00EB1F28">
        <w:t>, p. 227.</w:t>
      </w:r>
    </w:p>
  </w:footnote>
  <w:footnote w:id="989">
    <w:p w:rsidR="00591E90" w:rsidRPr="00EB1F28" w:rsidRDefault="00591E90">
      <w:pPr>
        <w:pStyle w:val="Textonotapie"/>
        <w:rPr>
          <w:lang w:val="es-CO"/>
        </w:rPr>
      </w:pPr>
      <w:r>
        <w:rPr>
          <w:rStyle w:val="Refdenotaalpie"/>
        </w:rPr>
        <w:footnoteRef/>
      </w:r>
      <w:r>
        <w:t xml:space="preserve"> </w:t>
      </w:r>
      <w:r w:rsidRPr="00EB1F28">
        <w:t xml:space="preserve">Molano, Alfredo. Fragmentos de la historia del conflicto armado (1920-2010) En: Comisión Histórica del conflicto y sus víctimas, Contribución al entendimiento del conflicto armado en Colombia, Ediciones desde abajo, Bogotá 2017 (tercera reimpresión). </w:t>
      </w:r>
      <w:proofErr w:type="spellStart"/>
      <w:r w:rsidRPr="00EB1F28">
        <w:t>Op</w:t>
      </w:r>
      <w:proofErr w:type="spellEnd"/>
      <w:r w:rsidRPr="00EB1F28">
        <w:t xml:space="preserve">. </w:t>
      </w:r>
      <w:proofErr w:type="spellStart"/>
      <w:r w:rsidRPr="00EB1F28">
        <w:t>cit</w:t>
      </w:r>
      <w:proofErr w:type="spellEnd"/>
      <w:r w:rsidRPr="00EB1F28">
        <w:t xml:space="preserve"> p. 600.</w:t>
      </w:r>
    </w:p>
  </w:footnote>
  <w:footnote w:id="990">
    <w:p w:rsidR="00591E90" w:rsidRPr="00EB1F28" w:rsidRDefault="00591E90">
      <w:pPr>
        <w:pStyle w:val="Textonotapie"/>
        <w:rPr>
          <w:lang w:val="es-CO"/>
        </w:rPr>
      </w:pPr>
      <w:r>
        <w:rPr>
          <w:rStyle w:val="Refdenotaalpie"/>
        </w:rPr>
        <w:footnoteRef/>
      </w:r>
      <w:r>
        <w:t xml:space="preserve"> </w:t>
      </w:r>
      <w:proofErr w:type="spellStart"/>
      <w:r w:rsidRPr="00EB1F28">
        <w:t>Ibíd</w:t>
      </w:r>
      <w:proofErr w:type="spellEnd"/>
      <w:r w:rsidRPr="00EB1F28">
        <w:t>., p. 149.</w:t>
      </w:r>
    </w:p>
  </w:footnote>
  <w:footnote w:id="991">
    <w:p w:rsidR="00591E90" w:rsidRPr="00EB1F28" w:rsidRDefault="00591E90">
      <w:pPr>
        <w:pStyle w:val="Textonotapie"/>
        <w:rPr>
          <w:lang w:val="es-CO"/>
        </w:rPr>
      </w:pPr>
      <w:r>
        <w:rPr>
          <w:rStyle w:val="Refdenotaalpie"/>
        </w:rPr>
        <w:footnoteRef/>
      </w:r>
      <w:r>
        <w:t xml:space="preserve"> </w:t>
      </w:r>
      <w:r w:rsidRPr="00EB1F28">
        <w:t>Centro de Memoria Histórica, Tierras y conflictos rurales. Historia, políticas agrarias y protagonistas, p. 107, 149, 150.</w:t>
      </w:r>
    </w:p>
  </w:footnote>
  <w:footnote w:id="992">
    <w:p w:rsidR="00591E90" w:rsidRPr="00EB1F28" w:rsidRDefault="00591E90">
      <w:pPr>
        <w:pStyle w:val="Textonotapie"/>
        <w:rPr>
          <w:lang w:val="es-CO"/>
        </w:rPr>
      </w:pPr>
      <w:r>
        <w:rPr>
          <w:rStyle w:val="Refdenotaalpie"/>
        </w:rPr>
        <w:footnoteRef/>
      </w:r>
      <w:r>
        <w:t xml:space="preserve"> </w:t>
      </w:r>
      <w:r w:rsidRPr="00EB1F28">
        <w:t>Uribe, M. “El veto de las élites rurales a la distribución de la tierra en Colombia”, Revista de Economía Institucional 21, 2009, pp. 93-106, p. 94.</w:t>
      </w:r>
    </w:p>
  </w:footnote>
  <w:footnote w:id="993">
    <w:p w:rsidR="00591E90" w:rsidRPr="00EB1F28" w:rsidRDefault="00591E90">
      <w:pPr>
        <w:pStyle w:val="Textonotapie"/>
        <w:rPr>
          <w:lang w:val="es-CO"/>
        </w:rPr>
      </w:pPr>
      <w:r>
        <w:rPr>
          <w:rStyle w:val="Refdenotaalpie"/>
        </w:rPr>
        <w:footnoteRef/>
      </w:r>
      <w:r>
        <w:t xml:space="preserve"> </w:t>
      </w:r>
      <w:r w:rsidRPr="00EB1F28">
        <w:t>El coeficiente de concentración varió tan solo en 0,024 entre 1960 y 1970, es decir, el efecto reformador fue casi nulo. Tamayo, B. H. La reforma agraria en Colombia. Una base para su evaluación, Bogotá́, Universidad Nacional de Colombia, 1970, p. 165.</w:t>
      </w:r>
    </w:p>
  </w:footnote>
  <w:footnote w:id="994">
    <w:p w:rsidR="00591E90" w:rsidRPr="00EB1F28" w:rsidRDefault="00591E90">
      <w:pPr>
        <w:pStyle w:val="Textonotapie"/>
        <w:rPr>
          <w:lang w:val="es-CO"/>
        </w:rPr>
      </w:pPr>
      <w:r>
        <w:rPr>
          <w:rStyle w:val="Refdenotaalpie"/>
        </w:rPr>
        <w:footnoteRef/>
      </w:r>
      <w:r>
        <w:t xml:space="preserve"> </w:t>
      </w:r>
      <w:r w:rsidRPr="00EB1F28">
        <w:t>Machado, C. A. Problemas agrarios colombianos, Bogotá, Siglo XXI, 1991, p. 100.</w:t>
      </w:r>
    </w:p>
  </w:footnote>
  <w:footnote w:id="995">
    <w:p w:rsidR="00591E90" w:rsidRPr="00EB1F28" w:rsidRDefault="00591E90">
      <w:pPr>
        <w:pStyle w:val="Textonotapie"/>
        <w:rPr>
          <w:lang w:val="es-CO"/>
        </w:rPr>
      </w:pPr>
      <w:r>
        <w:rPr>
          <w:rStyle w:val="Refdenotaalpie"/>
        </w:rPr>
        <w:footnoteRef/>
      </w:r>
      <w:r>
        <w:t xml:space="preserve"> </w:t>
      </w:r>
      <w:r w:rsidRPr="00EB1F28">
        <w:t>Para acceder al análisis hecho por la Comisión de la Verdad sobre el Frente Nacional, revisar el capítulo de Narrativa Histórica del Informe Final.</w:t>
      </w:r>
    </w:p>
  </w:footnote>
  <w:footnote w:id="996">
    <w:p w:rsidR="00591E90" w:rsidRPr="00C94F08" w:rsidRDefault="00591E90">
      <w:pPr>
        <w:pStyle w:val="Textonotapie"/>
        <w:rPr>
          <w:lang w:val="es-CO"/>
        </w:rPr>
      </w:pPr>
      <w:r>
        <w:rPr>
          <w:rStyle w:val="Refdenotaalpie"/>
        </w:rPr>
        <w:footnoteRef/>
      </w:r>
      <w:r>
        <w:t xml:space="preserve"> </w:t>
      </w:r>
      <w:r w:rsidRPr="00C94F08">
        <w:t>Gutiérrez, Francisco ). El orangután con sacoleva. Cien años de democracia y represión en Colombia (1990- 2010). Bogotá: IEPRI-Debate, 2014, 278-279.</w:t>
      </w:r>
    </w:p>
  </w:footnote>
  <w:footnote w:id="997">
    <w:p w:rsidR="00591E90" w:rsidRPr="00C94F08" w:rsidRDefault="00591E90">
      <w:pPr>
        <w:pStyle w:val="Textonotapie"/>
        <w:rPr>
          <w:lang w:val="es-CO"/>
        </w:rPr>
      </w:pPr>
      <w:r>
        <w:rPr>
          <w:rStyle w:val="Refdenotaalpie"/>
        </w:rPr>
        <w:footnoteRef/>
      </w:r>
      <w:r>
        <w:t xml:space="preserve"> </w:t>
      </w:r>
      <w:r w:rsidRPr="00C94F08">
        <w:t>Esta ley revivió la aparcería que había sido implementada con la Ley 100 de 1944.</w:t>
      </w:r>
    </w:p>
  </w:footnote>
  <w:footnote w:id="998">
    <w:p w:rsidR="00591E90" w:rsidRPr="00C94F08" w:rsidRDefault="00591E90">
      <w:pPr>
        <w:pStyle w:val="Textonotapie"/>
        <w:rPr>
          <w:lang w:val="es-CO"/>
        </w:rPr>
      </w:pPr>
      <w:r>
        <w:rPr>
          <w:rStyle w:val="Refdenotaalpie"/>
        </w:rPr>
        <w:footnoteRef/>
      </w:r>
      <w:r>
        <w:t xml:space="preserve"> </w:t>
      </w:r>
      <w:r w:rsidRPr="00C94F08">
        <w:t xml:space="preserve">Entrevista 139-VI-00039. Exfuncionario </w:t>
      </w:r>
      <w:proofErr w:type="spellStart"/>
      <w:r w:rsidRPr="00C94F08">
        <w:t>Incora</w:t>
      </w:r>
      <w:proofErr w:type="spellEnd"/>
      <w:r w:rsidRPr="00C94F08">
        <w:t>, abogado, víctima.</w:t>
      </w:r>
    </w:p>
  </w:footnote>
  <w:footnote w:id="999">
    <w:p w:rsidR="00591E90" w:rsidRPr="00C94F08" w:rsidRDefault="00591E90">
      <w:pPr>
        <w:pStyle w:val="Textonotapie"/>
        <w:rPr>
          <w:lang w:val="es-CO"/>
        </w:rPr>
      </w:pPr>
      <w:r>
        <w:rPr>
          <w:rStyle w:val="Refdenotaalpie"/>
        </w:rPr>
        <w:footnoteRef/>
      </w:r>
      <w:r>
        <w:t xml:space="preserve"> </w:t>
      </w:r>
      <w:r w:rsidRPr="00D86F09">
        <w:t>Entrevista 200-PR-00847. Hombre, exfuncionario, Puerto Asís.</w:t>
      </w:r>
    </w:p>
  </w:footnote>
  <w:footnote w:id="1000">
    <w:p w:rsidR="00591E90" w:rsidRPr="00D86F09" w:rsidRDefault="00591E90">
      <w:pPr>
        <w:pStyle w:val="Textonotapie"/>
        <w:rPr>
          <w:lang w:val="es-CO"/>
        </w:rPr>
      </w:pPr>
      <w:r>
        <w:rPr>
          <w:rStyle w:val="Refdenotaalpie"/>
        </w:rPr>
        <w:footnoteRef/>
      </w:r>
      <w:r>
        <w:t xml:space="preserve"> </w:t>
      </w:r>
      <w:r w:rsidRPr="00D86F09">
        <w:t>Igualmente, una parte de los asesores y líderes de la ANUC fue acusada injustamente de haber participado en el secuestro y asesinato de Gloria Lara en 1982, lo que supuso un enorme impacto en la organización y que algunos de sus líderes del Caribe salieran al exilio.</w:t>
      </w:r>
    </w:p>
  </w:footnote>
  <w:footnote w:id="1001">
    <w:p w:rsidR="00591E90" w:rsidRPr="00D86F09" w:rsidRDefault="00591E90">
      <w:pPr>
        <w:pStyle w:val="Textonotapie"/>
        <w:rPr>
          <w:lang w:val="es-CO"/>
        </w:rPr>
      </w:pPr>
      <w:r>
        <w:rPr>
          <w:rStyle w:val="Refdenotaalpie"/>
        </w:rPr>
        <w:footnoteRef/>
      </w:r>
      <w:r>
        <w:t xml:space="preserve"> </w:t>
      </w:r>
      <w:proofErr w:type="spellStart"/>
      <w:r w:rsidRPr="00D86F09">
        <w:t>Currie</w:t>
      </w:r>
      <w:proofErr w:type="spellEnd"/>
      <w:r w:rsidRPr="00D86F09">
        <w:t xml:space="preserve"> </w:t>
      </w:r>
      <w:proofErr w:type="spellStart"/>
      <w:r w:rsidRPr="00D86F09">
        <w:t>Lauchlin</w:t>
      </w:r>
      <w:proofErr w:type="spellEnd"/>
      <w:r w:rsidRPr="00D86F09">
        <w:t>. La política urbana en un marco macroeconómico, Bogotá: BCH, 1983, 16.</w:t>
      </w:r>
    </w:p>
  </w:footnote>
  <w:footnote w:id="1002">
    <w:p w:rsidR="00591E90" w:rsidRPr="00D86F09" w:rsidRDefault="00591E90">
      <w:pPr>
        <w:pStyle w:val="Textonotapie"/>
        <w:rPr>
          <w:lang w:val="es-CO"/>
        </w:rPr>
      </w:pPr>
      <w:r>
        <w:rPr>
          <w:rStyle w:val="Refdenotaalpie"/>
        </w:rPr>
        <w:footnoteRef/>
      </w:r>
      <w:r>
        <w:t xml:space="preserve"> </w:t>
      </w:r>
      <w:r w:rsidRPr="00D86F09">
        <w:t>Se hace referencia a los ciclos fundacionales de ciudades registrados: el primero, durante el siglo XVI como consecuencia de la colonización, y el segundo, entre el siglo XVII y XIX, como consecuencia de la dinámica económica y la posterior instauración de la república.</w:t>
      </w:r>
    </w:p>
  </w:footnote>
  <w:footnote w:id="1003">
    <w:p w:rsidR="00591E90" w:rsidRPr="00D86F09" w:rsidRDefault="00591E90">
      <w:pPr>
        <w:pStyle w:val="Textonotapie"/>
        <w:rPr>
          <w:lang w:val="es-CO"/>
        </w:rPr>
      </w:pPr>
      <w:r>
        <w:rPr>
          <w:rStyle w:val="Refdenotaalpie"/>
        </w:rPr>
        <w:footnoteRef/>
      </w:r>
      <w:r>
        <w:t xml:space="preserve"> </w:t>
      </w:r>
      <w:r w:rsidRPr="00D86F09">
        <w:t>Jaramillo y Cuervo, La configuración del espacio regional en Colombia, 17.</w:t>
      </w:r>
    </w:p>
  </w:footnote>
  <w:footnote w:id="1004">
    <w:p w:rsidR="00591E90" w:rsidRPr="00D86F09" w:rsidRDefault="00591E90">
      <w:pPr>
        <w:pStyle w:val="Textonotapie"/>
        <w:rPr>
          <w:lang w:val="es-CO"/>
        </w:rPr>
      </w:pPr>
      <w:r>
        <w:rPr>
          <w:rStyle w:val="Refdenotaalpie"/>
        </w:rPr>
        <w:footnoteRef/>
      </w:r>
      <w:r>
        <w:t xml:space="preserve"> </w:t>
      </w:r>
      <w:r w:rsidRPr="00D86F09">
        <w:t>UNFPA, Ciudad, espacio y población, 13.</w:t>
      </w:r>
    </w:p>
  </w:footnote>
  <w:footnote w:id="1005">
    <w:p w:rsidR="00591E90" w:rsidRPr="00D86F09" w:rsidRDefault="00591E90">
      <w:pPr>
        <w:pStyle w:val="Textonotapie"/>
        <w:rPr>
          <w:lang w:val="es-CO"/>
        </w:rPr>
      </w:pPr>
      <w:r>
        <w:rPr>
          <w:rStyle w:val="Refdenotaalpie"/>
        </w:rPr>
        <w:footnoteRef/>
      </w:r>
      <w:r>
        <w:t xml:space="preserve"> </w:t>
      </w:r>
      <w:r w:rsidRPr="00D86F09">
        <w:t>Planes y programas de Desarrollo (1969-1972). En https://www.dnp.gov.co/Plan-Nacional-de- Desarrollo/Paginas/Planes-de-Desarrollo-anteriores.aspx</w:t>
      </w:r>
    </w:p>
  </w:footnote>
  <w:footnote w:id="1006">
    <w:p w:rsidR="00591E90" w:rsidRPr="00D86F09" w:rsidRDefault="00591E90">
      <w:pPr>
        <w:pStyle w:val="Textonotapie"/>
        <w:rPr>
          <w:lang w:val="es-CO"/>
        </w:rPr>
      </w:pPr>
      <w:r>
        <w:rPr>
          <w:rStyle w:val="Refdenotaalpie"/>
        </w:rPr>
        <w:footnoteRef/>
      </w:r>
      <w:r>
        <w:t xml:space="preserve"> </w:t>
      </w:r>
      <w:r w:rsidRPr="00D86F09">
        <w:t>Ver Comisión para el Esclarecimiento de la Verdad, la convivencia y la no Repetición, Colombia adentro, Conflicto armado en los territorios, Dinámicas urbanas del Conflicto armado. Capítulo Territorial del Informe Final.</w:t>
      </w:r>
    </w:p>
  </w:footnote>
  <w:footnote w:id="1007">
    <w:p w:rsidR="00591E90" w:rsidRPr="00D86F09" w:rsidRDefault="00591E90">
      <w:pPr>
        <w:pStyle w:val="Textonotapie"/>
        <w:rPr>
          <w:lang w:val="es-CO"/>
        </w:rPr>
      </w:pPr>
      <w:r>
        <w:rPr>
          <w:rStyle w:val="Refdenotaalpie"/>
        </w:rPr>
        <w:footnoteRef/>
      </w:r>
      <w:r>
        <w:t xml:space="preserve"> </w:t>
      </w:r>
      <w:r w:rsidRPr="00D86F09">
        <w:t>Para estas elecciones la opinión pública insistió en un posible fraude electoral, pues el General Rojas Pinilla obtuvo una votación muy pareja con el electo presidente Misael Pastrana. Ambos conservadores, tuvieron una diferencia del 2 % en los comicios. No obstante, la disidencia conservadora (</w:t>
      </w:r>
      <w:proofErr w:type="spellStart"/>
      <w:r w:rsidRPr="00D86F09">
        <w:t>Anapo</w:t>
      </w:r>
      <w:proofErr w:type="spellEnd"/>
      <w:r w:rsidRPr="00D86F09">
        <w:t>) pudo comprobar una vez más, su capacidad de movilización electoral en cabeza del ex dictador.</w:t>
      </w:r>
    </w:p>
  </w:footnote>
  <w:footnote w:id="1008">
    <w:p w:rsidR="00591E90" w:rsidRPr="00D86F09" w:rsidRDefault="00591E90">
      <w:pPr>
        <w:pStyle w:val="Textonotapie"/>
        <w:rPr>
          <w:lang w:val="es-CO"/>
        </w:rPr>
      </w:pPr>
      <w:r>
        <w:rPr>
          <w:rStyle w:val="Refdenotaalpie"/>
        </w:rPr>
        <w:footnoteRef/>
      </w:r>
      <w:r>
        <w:t xml:space="preserve"> </w:t>
      </w:r>
      <w:r w:rsidRPr="00D86F09">
        <w:t>Ver Comisión para el Esclarecimiento de la Verdad, la convivencia y la no Repetición, Colombia adentro, Conflicto armado en los territorios, Historia Regional de la Orinoquia. Capítulo Territorial del Informe Final.</w:t>
      </w:r>
    </w:p>
  </w:footnote>
  <w:footnote w:id="1009">
    <w:p w:rsidR="00591E90" w:rsidRPr="00D86F09" w:rsidRDefault="00591E90">
      <w:pPr>
        <w:pStyle w:val="Textonotapie"/>
        <w:rPr>
          <w:lang w:val="es-CO"/>
        </w:rPr>
      </w:pPr>
      <w:r>
        <w:rPr>
          <w:rStyle w:val="Refdenotaalpie"/>
        </w:rPr>
        <w:footnoteRef/>
      </w:r>
      <w:r>
        <w:t xml:space="preserve"> </w:t>
      </w:r>
      <w:r w:rsidRPr="00D86F09">
        <w:t xml:space="preserve">González, Fernán, Bolívar, Íngrid y Vásquez, Teófilo. La Violencia política: de la nación fragmentada a la construcción del Estado. Colombia: </w:t>
      </w:r>
      <w:proofErr w:type="spellStart"/>
      <w:r w:rsidRPr="00D86F09">
        <w:t>Cinep</w:t>
      </w:r>
      <w:proofErr w:type="spellEnd"/>
      <w:r w:rsidRPr="00D86F09">
        <w:t>, 2004.</w:t>
      </w:r>
    </w:p>
  </w:footnote>
  <w:footnote w:id="1010">
    <w:p w:rsidR="00591E90" w:rsidRPr="00711BAE" w:rsidRDefault="00591E90">
      <w:pPr>
        <w:pStyle w:val="Textonotapie"/>
        <w:rPr>
          <w:lang w:val="es-CO"/>
        </w:rPr>
      </w:pPr>
      <w:r>
        <w:rPr>
          <w:rStyle w:val="Refdenotaalpie"/>
        </w:rPr>
        <w:footnoteRef/>
      </w:r>
      <w:r>
        <w:t xml:space="preserve"> </w:t>
      </w:r>
      <w:r w:rsidRPr="00711BAE">
        <w:t>Fazio, Hugo. La globalización en su historia, Bogotá, Universidad Nacional, 2002, p. 174.</w:t>
      </w:r>
    </w:p>
  </w:footnote>
  <w:footnote w:id="1011">
    <w:p w:rsidR="00591E90" w:rsidRPr="00711BAE" w:rsidRDefault="00591E90">
      <w:pPr>
        <w:pStyle w:val="Textonotapie"/>
        <w:rPr>
          <w:lang w:val="es-CO"/>
        </w:rPr>
      </w:pPr>
      <w:r>
        <w:rPr>
          <w:rStyle w:val="Refdenotaalpie"/>
        </w:rPr>
        <w:footnoteRef/>
      </w:r>
      <w:r>
        <w:t xml:space="preserve"> </w:t>
      </w:r>
      <w:proofErr w:type="spellStart"/>
      <w:r w:rsidRPr="00711BAE">
        <w:t>Tobasura</w:t>
      </w:r>
      <w:proofErr w:type="spellEnd"/>
      <w:r w:rsidRPr="00711BAE">
        <w:t>, Isaías. «La crisis cafetera, una oportunidad para el cambio en las regiones cafeteras de Colombia», en Revista Agronomía, vol. 13, núm. 2, Bogotá, julio-diciembre, 2005, p. 39.</w:t>
      </w:r>
    </w:p>
  </w:footnote>
  <w:footnote w:id="1012">
    <w:p w:rsidR="00591E90" w:rsidRPr="00711BAE" w:rsidRDefault="00591E90">
      <w:pPr>
        <w:pStyle w:val="Textonotapie"/>
        <w:rPr>
          <w:lang w:val="es-CO"/>
        </w:rPr>
      </w:pPr>
      <w:r>
        <w:rPr>
          <w:rStyle w:val="Refdenotaalpie"/>
        </w:rPr>
        <w:footnoteRef/>
      </w:r>
      <w:r w:rsidRPr="00711BAE">
        <w:rPr>
          <w:lang w:val="pt-BR"/>
        </w:rPr>
        <w:t xml:space="preserve"> Departamento Administrativo Nacional de Estadística. </w:t>
      </w:r>
      <w:r w:rsidRPr="00711BAE">
        <w:t>La minería en Colombia: impacto socioeconómico y fiscal, Bogotá, Fedesarrollo, abril 2008.</w:t>
      </w:r>
    </w:p>
  </w:footnote>
  <w:footnote w:id="1013">
    <w:p w:rsidR="00591E90" w:rsidRPr="00711BAE" w:rsidRDefault="00591E90">
      <w:pPr>
        <w:pStyle w:val="Textonotapie"/>
        <w:rPr>
          <w:lang w:val="es-CO"/>
        </w:rPr>
      </w:pPr>
      <w:r>
        <w:rPr>
          <w:rStyle w:val="Refdenotaalpie"/>
        </w:rPr>
        <w:footnoteRef/>
      </w:r>
      <w:r>
        <w:t xml:space="preserve"> </w:t>
      </w:r>
      <w:proofErr w:type="spellStart"/>
      <w:r w:rsidRPr="00711BAE">
        <w:t>Perfetti</w:t>
      </w:r>
      <w:proofErr w:type="spellEnd"/>
      <w:r w:rsidRPr="00711BAE">
        <w:t xml:space="preserve">, Juan José. Crisis y pobreza rural en Colombia, Centro Latinoamericano para el Desarrollo Rural e Instituto de Estudios Peruanos, núm. 43, noviembre, 2009. En http://www.ri- misp.org/FCKeditor/UserFiles/File/documentos/docs/pdf/DTR/N43_2009_Perfetti_crisis-pobre </w:t>
      </w:r>
      <w:proofErr w:type="spellStart"/>
      <w:r w:rsidRPr="00711BAE">
        <w:t>za</w:t>
      </w:r>
      <w:proofErr w:type="spellEnd"/>
      <w:r w:rsidRPr="00711BAE">
        <w:t>-rural-caso- Colombia.pdf.</w:t>
      </w:r>
    </w:p>
  </w:footnote>
  <w:footnote w:id="1014">
    <w:p w:rsidR="00591E90" w:rsidRPr="00711BAE" w:rsidRDefault="00591E90">
      <w:pPr>
        <w:pStyle w:val="Textonotapie"/>
        <w:rPr>
          <w:lang w:val="es-CO"/>
        </w:rPr>
      </w:pPr>
      <w:r>
        <w:rPr>
          <w:rStyle w:val="Refdenotaalpie"/>
        </w:rPr>
        <w:footnoteRef/>
      </w:r>
      <w:r>
        <w:t xml:space="preserve"> </w:t>
      </w:r>
      <w:r w:rsidRPr="00904D5D">
        <w:t>Reyes, Alejandro. «La cuestión agraria en la guerra y la paz», en Álvaro Camacho y Francisco Leal [</w:t>
      </w:r>
      <w:proofErr w:type="spellStart"/>
      <w:r w:rsidRPr="00904D5D">
        <w:t>comps</w:t>
      </w:r>
      <w:proofErr w:type="spellEnd"/>
      <w:r w:rsidRPr="00904D5D">
        <w:t>.], Armar la paz es desarmar la guerra, Bogotá: CEREC/DNO/FESCOL/IEPRI, Misión Social, Presidencia de la República, 2000, p. 216.</w:t>
      </w:r>
    </w:p>
  </w:footnote>
  <w:footnote w:id="1015">
    <w:p w:rsidR="00591E90" w:rsidRPr="00711BAE" w:rsidRDefault="00591E90">
      <w:pPr>
        <w:pStyle w:val="Textonotapie"/>
        <w:rPr>
          <w:lang w:val="es-CO"/>
        </w:rPr>
      </w:pPr>
      <w:r>
        <w:rPr>
          <w:rStyle w:val="Refdenotaalpie"/>
        </w:rPr>
        <w:footnoteRef/>
      </w:r>
      <w:r>
        <w:t xml:space="preserve"> </w:t>
      </w:r>
      <w:r w:rsidRPr="00904D5D">
        <w:t>Ocampo, Sebastián. «Agroindustria y conflicto armado. El caso de la palma de aceite», en Revista Colombia Internacional, núm. 70, julio-diciembre, 2009, p. 180.</w:t>
      </w:r>
    </w:p>
  </w:footnote>
  <w:footnote w:id="1016">
    <w:p w:rsidR="00591E90" w:rsidRPr="00904D5D" w:rsidRDefault="00591E90">
      <w:pPr>
        <w:pStyle w:val="Textonotapie"/>
        <w:rPr>
          <w:lang w:val="es-CO"/>
        </w:rPr>
      </w:pPr>
      <w:r>
        <w:rPr>
          <w:rStyle w:val="Refdenotaalpie"/>
        </w:rPr>
        <w:footnoteRef/>
      </w:r>
      <w:r>
        <w:t xml:space="preserve"> </w:t>
      </w:r>
      <w:r w:rsidRPr="005158E9">
        <w:t>Casos como estos se desarrollan en el capítulo territorial del informe final de la Comisión de la Verdad, Colombia Adentro. Igualmente, en el capítulo étnico y en el capítulo sobre violaciones a los derechos humanos e infracciones al Derecho Internacional Humanitario.</w:t>
      </w:r>
    </w:p>
  </w:footnote>
  <w:footnote w:id="1017">
    <w:p w:rsidR="00591E90" w:rsidRPr="0004717D" w:rsidRDefault="00591E90">
      <w:pPr>
        <w:pStyle w:val="Textonotapie"/>
        <w:rPr>
          <w:lang w:val="es-CO"/>
        </w:rPr>
      </w:pPr>
      <w:r>
        <w:rPr>
          <w:rStyle w:val="Refdenotaalpie"/>
        </w:rPr>
        <w:footnoteRef/>
      </w:r>
      <w:r>
        <w:t xml:space="preserve"> </w:t>
      </w:r>
      <w:r w:rsidRPr="0004717D">
        <w:t>La creación de las cooperativas Convivir, es un buen ejemplo de esta situación.</w:t>
      </w:r>
    </w:p>
  </w:footnote>
  <w:footnote w:id="1018">
    <w:p w:rsidR="00591E90" w:rsidRPr="0004717D" w:rsidRDefault="00591E90" w:rsidP="0004717D">
      <w:pPr>
        <w:pStyle w:val="Textonotapie"/>
        <w:rPr>
          <w:lang w:val="es-CO"/>
        </w:rPr>
      </w:pPr>
      <w:r>
        <w:rPr>
          <w:rStyle w:val="Refdenotaalpie"/>
        </w:rPr>
        <w:footnoteRef/>
      </w:r>
      <w:r>
        <w:t xml:space="preserve"> En los primeros años de la década del 90, asistimos a la privatización de empresas públicas en las áreas de puertos marítimos, aeropuertos, ferrocarriles, telecomunicaciones y seguridad social (ley 1 de 1990 y decretos presidenciales 2156 a 2171 de 1992), la cual causó miles de despidos de empleados públicos; alrededor de 40.000 según el gobierno. “El Estado colombiano en los noventa: Entre la legitimidad y la eficiencia”. Luis Javier Orjuela. Revista de Estudios sociales. Universidad de Los Andes. Diciembre de 1998. P. 58)</w:t>
      </w:r>
    </w:p>
  </w:footnote>
  <w:footnote w:id="1019">
    <w:p w:rsidR="00591E90" w:rsidRPr="0004717D" w:rsidRDefault="00591E90">
      <w:pPr>
        <w:pStyle w:val="Textonotapie"/>
        <w:rPr>
          <w:lang w:val="es-CO"/>
        </w:rPr>
      </w:pPr>
      <w:r>
        <w:rPr>
          <w:rStyle w:val="Refdenotaalpie"/>
        </w:rPr>
        <w:footnoteRef/>
      </w:r>
      <w:r>
        <w:t xml:space="preserve"> </w:t>
      </w:r>
      <w:r w:rsidRPr="0004717D">
        <w:t xml:space="preserve">De acuerdo con la Cepal, la pobreza por ingresos en Colombia durante la década del 90, se mantuvo por encima del 50 %, teniendo su pico más alto en el año 2000, con el 60 %. Determinantes de la pobreza en Colombia. Años recientes. Jairo </w:t>
      </w:r>
      <w:proofErr w:type="spellStart"/>
      <w:r w:rsidRPr="0004717D">
        <w:t>Nuñez</w:t>
      </w:r>
      <w:proofErr w:type="spellEnd"/>
      <w:r w:rsidRPr="0004717D">
        <w:t xml:space="preserve"> M. Juan Carlos Ramírez J. CEPAL. Bogotá. Diciembre de 2002.</w:t>
      </w:r>
    </w:p>
  </w:footnote>
  <w:footnote w:id="1020">
    <w:p w:rsidR="00591E90" w:rsidRPr="00352809" w:rsidRDefault="00591E90">
      <w:pPr>
        <w:pStyle w:val="Textonotapie"/>
        <w:rPr>
          <w:lang w:val="es-CO"/>
        </w:rPr>
      </w:pPr>
      <w:r>
        <w:rPr>
          <w:rStyle w:val="Refdenotaalpie"/>
        </w:rPr>
        <w:footnoteRef/>
      </w:r>
      <w:r>
        <w:t xml:space="preserve"> </w:t>
      </w:r>
      <w:r w:rsidRPr="00352809">
        <w:t>Informe 1306-CI-01879 Federación Nacional Sindical Unitaria Agropecuaria (</w:t>
      </w:r>
      <w:proofErr w:type="spellStart"/>
      <w:r w:rsidRPr="00352809">
        <w:t>Fensuagro</w:t>
      </w:r>
      <w:proofErr w:type="spellEnd"/>
      <w:r w:rsidRPr="00352809">
        <w:t>), Asociación Nacional de Usuarios Campesinos (ANUC), Asociación Nacional de Zonas de Reserva Campesina (</w:t>
      </w:r>
      <w:proofErr w:type="spellStart"/>
      <w:r w:rsidRPr="00352809">
        <w:t>Anzorc</w:t>
      </w:r>
      <w:proofErr w:type="spellEnd"/>
      <w:r w:rsidRPr="00352809">
        <w:t>), Coordinador Nacional Agrario de Colombia (CNA), Proceso de Unidad Popular del Suroccidente Colombiano (PUPSOC), Comité de Integración del Macizo Colombiano (CIMA), Mesa Nacional de Unidad Agraria (MUA), Instituto de Estudios Interculturales (IEI), Centro de Estudios de Derecho Justicia y Sociedad (De justicia). «Guerra contra el campesinado (1958-2019): dinámicas de la violencia y trayectorias de lucha»</w:t>
      </w:r>
    </w:p>
  </w:footnote>
  <w:footnote w:id="1021">
    <w:p w:rsidR="00591E90" w:rsidRPr="00913F15" w:rsidRDefault="00591E90">
      <w:pPr>
        <w:pStyle w:val="Textonotapie"/>
        <w:rPr>
          <w:lang w:val="es-CO"/>
        </w:rPr>
      </w:pPr>
      <w:r>
        <w:rPr>
          <w:rStyle w:val="Refdenotaalpie"/>
        </w:rPr>
        <w:footnoteRef/>
      </w:r>
      <w:r>
        <w:t xml:space="preserve"> </w:t>
      </w:r>
      <w:proofErr w:type="spellStart"/>
      <w:r w:rsidRPr="00913F15">
        <w:t>Pécaut</w:t>
      </w:r>
      <w:proofErr w:type="spellEnd"/>
      <w:r w:rsidRPr="00913F15">
        <w:t>, Daniel. Crónica de cuatro décadas de política colombiana, Bogotá: Norma. 2006, p. 236.</w:t>
      </w:r>
    </w:p>
  </w:footnote>
  <w:footnote w:id="1022">
    <w:p w:rsidR="00591E90" w:rsidRPr="00913F15" w:rsidRDefault="00591E90">
      <w:pPr>
        <w:pStyle w:val="Textonotapie"/>
        <w:rPr>
          <w:lang w:val="es-CO"/>
        </w:rPr>
      </w:pPr>
      <w:r>
        <w:rPr>
          <w:rStyle w:val="Refdenotaalpie"/>
        </w:rPr>
        <w:footnoteRef/>
      </w:r>
      <w:r>
        <w:t xml:space="preserve"> </w:t>
      </w:r>
      <w:r w:rsidRPr="00913F15">
        <w:t>Reyes, Alejandro. Guerreros y Campesinos. Despojo y restitución de tierras en Colombia. Bogotá: Ariel, 2016.</w:t>
      </w:r>
    </w:p>
  </w:footnote>
  <w:footnote w:id="1023">
    <w:p w:rsidR="00591E90" w:rsidRPr="00913F15" w:rsidRDefault="00591E90">
      <w:pPr>
        <w:pStyle w:val="Textonotapie"/>
        <w:rPr>
          <w:lang w:val="es-CO"/>
        </w:rPr>
      </w:pPr>
      <w:r>
        <w:rPr>
          <w:rStyle w:val="Refdenotaalpie"/>
        </w:rPr>
        <w:footnoteRef/>
      </w:r>
      <w:r>
        <w:t xml:space="preserve"> </w:t>
      </w:r>
      <w:r w:rsidRPr="00913F15">
        <w:t>Ver Comisión para el Esclarecimiento de la Verdad, la convivencia y la no Repetición, Colombia adentro, Conflicto armado en los territorios, Conflicto armado en el Valle del Cauca y Norte del Cauca. Capítulo Territorial del Informe Final.</w:t>
      </w:r>
    </w:p>
  </w:footnote>
  <w:footnote w:id="1024">
    <w:p w:rsidR="00591E90" w:rsidRPr="00913F15" w:rsidRDefault="00591E90">
      <w:pPr>
        <w:pStyle w:val="Textonotapie"/>
        <w:rPr>
          <w:lang w:val="es-CO"/>
        </w:rPr>
      </w:pPr>
      <w:r>
        <w:rPr>
          <w:rStyle w:val="Refdenotaalpie"/>
        </w:rPr>
        <w:footnoteRef/>
      </w:r>
      <w:r>
        <w:t xml:space="preserve"> </w:t>
      </w:r>
      <w:r w:rsidRPr="00913F15">
        <w:t xml:space="preserve">Francisco </w:t>
      </w:r>
      <w:proofErr w:type="spellStart"/>
      <w:r w:rsidRPr="00913F15">
        <w:t>Gutierrez</w:t>
      </w:r>
      <w:proofErr w:type="spellEnd"/>
      <w:r w:rsidRPr="00913F15">
        <w:t>, ¿Lo que el viento se llevó? Los partidos políticos y la democracia en Colombia 1958- 2016. Bogotá: Norma, 2007, 212.</w:t>
      </w:r>
    </w:p>
  </w:footnote>
  <w:footnote w:id="1025">
    <w:p w:rsidR="00591E90" w:rsidRPr="00ED02CC" w:rsidRDefault="00591E90">
      <w:pPr>
        <w:pStyle w:val="Textonotapie"/>
        <w:rPr>
          <w:lang w:val="es-CO"/>
        </w:rPr>
      </w:pPr>
      <w:r>
        <w:rPr>
          <w:rStyle w:val="Refdenotaalpie"/>
        </w:rPr>
        <w:footnoteRef/>
      </w:r>
      <w:r>
        <w:t xml:space="preserve"> </w:t>
      </w:r>
      <w:r w:rsidRPr="00ED02CC">
        <w:t xml:space="preserve">García Villegas, Mauricio y Espinosa, José Rafael, El derecho al Estado. Los efectos legales del Apartheid institucional colombiano, Bogotá: </w:t>
      </w:r>
      <w:proofErr w:type="spellStart"/>
      <w:r w:rsidRPr="00ED02CC">
        <w:t>Dejusticia</w:t>
      </w:r>
      <w:proofErr w:type="spellEnd"/>
      <w:r w:rsidRPr="00ED02CC">
        <w:t>, 2013.</w:t>
      </w:r>
    </w:p>
  </w:footnote>
  <w:footnote w:id="1026">
    <w:p w:rsidR="00591E90" w:rsidRPr="00ED02CC" w:rsidRDefault="00591E90">
      <w:pPr>
        <w:pStyle w:val="Textonotapie"/>
        <w:rPr>
          <w:lang w:val="es-CO"/>
        </w:rPr>
      </w:pPr>
      <w:r>
        <w:rPr>
          <w:rStyle w:val="Refdenotaalpie"/>
        </w:rPr>
        <w:footnoteRef/>
      </w:r>
      <w:r>
        <w:t xml:space="preserve"> </w:t>
      </w:r>
      <w:r w:rsidRPr="00ED02CC">
        <w:t>Ramírez Tobón, William. «¿Un campesino ilícito?». Análisis políticos (No. 29 septiembre-diciembre, 1996): 54-62.</w:t>
      </w:r>
    </w:p>
  </w:footnote>
  <w:footnote w:id="1027">
    <w:p w:rsidR="00591E90" w:rsidRPr="00ED02CC" w:rsidRDefault="00591E90">
      <w:pPr>
        <w:pStyle w:val="Textonotapie"/>
        <w:rPr>
          <w:lang w:val="es-CO"/>
        </w:rPr>
      </w:pPr>
      <w:r>
        <w:rPr>
          <w:rStyle w:val="Refdenotaalpie"/>
        </w:rPr>
        <w:footnoteRef/>
      </w:r>
      <w:r>
        <w:t xml:space="preserve"> </w:t>
      </w:r>
      <w:r w:rsidRPr="00ED02CC">
        <w:t>Ver Comisión para el Esclarecimiento de la Verdad, la convivencia y la no Repetición, Colombia adentro, Conflicto armado en los territorios, Campesinos y conflicto armado. Capítulo Territorial del Informe Final.</w:t>
      </w:r>
    </w:p>
  </w:footnote>
  <w:footnote w:id="1028">
    <w:p w:rsidR="00591E90" w:rsidRPr="00ED02CC" w:rsidRDefault="00591E90">
      <w:pPr>
        <w:pStyle w:val="Textonotapie"/>
        <w:rPr>
          <w:lang w:val="es-CO"/>
        </w:rPr>
      </w:pPr>
      <w:r>
        <w:rPr>
          <w:rStyle w:val="Refdenotaalpie"/>
        </w:rPr>
        <w:footnoteRef/>
      </w:r>
      <w:r>
        <w:t xml:space="preserve"> </w:t>
      </w:r>
      <w:r w:rsidRPr="00ED02CC">
        <w:t>Urrutia, Miguel, Análisis costo-beneficio del tráfico de drogas para la economía colombiana. Fedesarrollo, Revista Coyuntura Económica. Octubre, 1990, 120.</w:t>
      </w:r>
    </w:p>
  </w:footnote>
  <w:footnote w:id="1029">
    <w:p w:rsidR="00591E90" w:rsidRPr="00ED02CC" w:rsidRDefault="00591E90">
      <w:pPr>
        <w:pStyle w:val="Textonotapie"/>
        <w:rPr>
          <w:lang w:val="es-CO"/>
        </w:rPr>
      </w:pPr>
      <w:r>
        <w:rPr>
          <w:rStyle w:val="Refdenotaalpie"/>
        </w:rPr>
        <w:footnoteRef/>
      </w:r>
      <w:r>
        <w:t xml:space="preserve"> </w:t>
      </w:r>
      <w:r w:rsidRPr="00ED02CC">
        <w:t>FARC-EP, Comisión Internacional, 1999, Bosquejo Histórico. Colombia, Rústica.</w:t>
      </w:r>
    </w:p>
  </w:footnote>
  <w:footnote w:id="1030">
    <w:p w:rsidR="00591E90" w:rsidRPr="00631FC5" w:rsidRDefault="00591E90">
      <w:pPr>
        <w:pStyle w:val="Textonotapie"/>
        <w:rPr>
          <w:lang w:val="es-CO"/>
        </w:rPr>
      </w:pPr>
      <w:r>
        <w:rPr>
          <w:rStyle w:val="Refdenotaalpie"/>
        </w:rPr>
        <w:footnoteRef/>
      </w:r>
      <w:r>
        <w:t xml:space="preserve"> </w:t>
      </w:r>
      <w:r w:rsidRPr="00631FC5">
        <w:t xml:space="preserve">Pizarro, Eduardo, «Las FARC-EP: ¿Repliegue estratégico, debilitamiento o punto de inflexión?» en Nuestra guerra sin nombre, Bogotá: IEPRI-Norma, 2006 y A. Rangel, «Las FARC-EP: una mirada actual», en </w:t>
      </w:r>
      <w:proofErr w:type="spellStart"/>
      <w:r w:rsidRPr="00631FC5">
        <w:t>Malcon</w:t>
      </w:r>
      <w:proofErr w:type="spellEnd"/>
      <w:r w:rsidRPr="00631FC5">
        <w:t xml:space="preserve"> </w:t>
      </w:r>
      <w:proofErr w:type="spellStart"/>
      <w:r w:rsidRPr="00631FC5">
        <w:t>Deas</w:t>
      </w:r>
      <w:proofErr w:type="spellEnd"/>
      <w:r w:rsidRPr="00631FC5">
        <w:t xml:space="preserve"> y M. Llorente (</w:t>
      </w:r>
      <w:proofErr w:type="spellStart"/>
      <w:r w:rsidRPr="00631FC5">
        <w:t>comp.</w:t>
      </w:r>
      <w:proofErr w:type="spellEnd"/>
      <w:r w:rsidRPr="00631FC5">
        <w:t xml:space="preserve">) Reconocer la guerra para reconstruir la paz, Bogotá: Uniandes, </w:t>
      </w:r>
      <w:proofErr w:type="spellStart"/>
      <w:r w:rsidRPr="00631FC5">
        <w:t>Cerec</w:t>
      </w:r>
      <w:proofErr w:type="spellEnd"/>
      <w:r w:rsidRPr="00631FC5">
        <w:t>, Norma, 1999</w:t>
      </w:r>
    </w:p>
  </w:footnote>
  <w:footnote w:id="1031">
    <w:p w:rsidR="00591E90" w:rsidRPr="00631FC5" w:rsidRDefault="00591E90">
      <w:pPr>
        <w:pStyle w:val="Textonotapie"/>
        <w:rPr>
          <w:lang w:val="es-CO"/>
        </w:rPr>
      </w:pPr>
      <w:r>
        <w:rPr>
          <w:rStyle w:val="Refdenotaalpie"/>
        </w:rPr>
        <w:footnoteRef/>
      </w:r>
      <w:r>
        <w:t xml:space="preserve"> </w:t>
      </w:r>
      <w:r w:rsidRPr="00631FC5">
        <w:t>Gutiérrez; Francisco. «¿Una historia simple?». En: Contribución al entendimiento del conflicto armado en Colombia. Comisión Histórica del Conflicto y sus Víctimas (2015) 508.</w:t>
      </w:r>
    </w:p>
  </w:footnote>
  <w:footnote w:id="1032">
    <w:p w:rsidR="00591E90" w:rsidRPr="00631FC5" w:rsidRDefault="00591E90">
      <w:pPr>
        <w:pStyle w:val="Textonotapie"/>
        <w:rPr>
          <w:lang w:val="es-CO"/>
        </w:rPr>
      </w:pPr>
      <w:r>
        <w:rPr>
          <w:rStyle w:val="Refdenotaalpie"/>
        </w:rPr>
        <w:footnoteRef/>
      </w:r>
      <w:r>
        <w:t xml:space="preserve"> </w:t>
      </w:r>
      <w:r w:rsidRPr="00631FC5">
        <w:t>Comisión Histórica del Conflicto y sus Víctimas (2015). Contribución al entendimiento del conflicto armado en Colombia. Página 64 (versión digital).</w:t>
      </w:r>
    </w:p>
  </w:footnote>
  <w:footnote w:id="1033">
    <w:p w:rsidR="00591E90" w:rsidRPr="00631FC5" w:rsidRDefault="00591E90">
      <w:pPr>
        <w:pStyle w:val="Textonotapie"/>
        <w:rPr>
          <w:lang w:val="es-CO"/>
        </w:rPr>
      </w:pPr>
      <w:r>
        <w:rPr>
          <w:rStyle w:val="Refdenotaalpie"/>
        </w:rPr>
        <w:footnoteRef/>
      </w:r>
      <w:r>
        <w:t xml:space="preserve"> </w:t>
      </w:r>
      <w:r w:rsidRPr="00631FC5">
        <w:t>Gutiérrez, Francisco. «¿Una historia simple?». En: Contribución al entendimiento del conflicto armado en Colombia. Comisión Histórica del Conflicto y sus Víctimas, 509.</w:t>
      </w:r>
    </w:p>
  </w:footnote>
  <w:footnote w:id="1034">
    <w:p w:rsidR="00591E90" w:rsidRPr="00631FC5" w:rsidRDefault="00591E90">
      <w:pPr>
        <w:pStyle w:val="Textonotapie"/>
        <w:rPr>
          <w:lang w:val="es-CO"/>
        </w:rPr>
      </w:pPr>
      <w:r>
        <w:rPr>
          <w:rStyle w:val="Refdenotaalpie"/>
        </w:rPr>
        <w:footnoteRef/>
      </w:r>
      <w:r>
        <w:t xml:space="preserve"> </w:t>
      </w:r>
      <w:r w:rsidRPr="00631FC5">
        <w:t>Comisión Histórica del Conflicto y sus Víctimas (2015). Contribución al entendimiento del conflicto armado en Colombia. Página 64 (versión digital).</w:t>
      </w:r>
    </w:p>
  </w:footnote>
  <w:footnote w:id="1035">
    <w:p w:rsidR="00591E90" w:rsidRPr="00631FC5" w:rsidRDefault="00591E90">
      <w:pPr>
        <w:pStyle w:val="Textonotapie"/>
        <w:rPr>
          <w:lang w:val="es-CO"/>
        </w:rPr>
      </w:pPr>
      <w:r>
        <w:rPr>
          <w:rStyle w:val="Refdenotaalpie"/>
        </w:rPr>
        <w:footnoteRef/>
      </w:r>
      <w:r>
        <w:t xml:space="preserve"> </w:t>
      </w:r>
      <w:r w:rsidRPr="00631FC5">
        <w:t>Sólo hasta 1999 fueron declarados inexequibles los Decretos 2535 de 1993 y 356 de 1994, que eran la base legal de las Convivir.</w:t>
      </w:r>
    </w:p>
  </w:footnote>
  <w:footnote w:id="1036">
    <w:p w:rsidR="00591E90" w:rsidRPr="00631FC5" w:rsidRDefault="00591E90">
      <w:pPr>
        <w:pStyle w:val="Textonotapie"/>
        <w:rPr>
          <w:lang w:val="es-CO"/>
        </w:rPr>
      </w:pPr>
      <w:r>
        <w:rPr>
          <w:rStyle w:val="Refdenotaalpie"/>
        </w:rPr>
        <w:footnoteRef/>
      </w:r>
      <w:r>
        <w:t xml:space="preserve"> </w:t>
      </w:r>
      <w:r w:rsidRPr="00631FC5">
        <w:t>Ver Hasta la guerra tiene límites, capítulo de violaciones a los derechos humanos e infracciones al derecho internacional humanitario.</w:t>
      </w:r>
    </w:p>
  </w:footnote>
  <w:footnote w:id="1037">
    <w:p w:rsidR="00591E90" w:rsidRPr="00631FC5" w:rsidRDefault="00591E90">
      <w:pPr>
        <w:pStyle w:val="Textonotapie"/>
        <w:rPr>
          <w:lang w:val="es-CO"/>
        </w:rPr>
      </w:pPr>
      <w:r>
        <w:rPr>
          <w:rStyle w:val="Refdenotaalpie"/>
        </w:rPr>
        <w:footnoteRef/>
      </w:r>
      <w:r>
        <w:t xml:space="preserve"> </w:t>
      </w:r>
      <w:proofErr w:type="spellStart"/>
      <w:r w:rsidRPr="00631FC5">
        <w:t>Ibíd</w:t>
      </w:r>
      <w:proofErr w:type="spellEnd"/>
      <w:r w:rsidRPr="00631FC5">
        <w:t>, 368.</w:t>
      </w:r>
    </w:p>
  </w:footnote>
  <w:footnote w:id="1038">
    <w:p w:rsidR="00591E90" w:rsidRPr="00631FC5" w:rsidRDefault="00591E90">
      <w:pPr>
        <w:pStyle w:val="Textonotapie"/>
        <w:rPr>
          <w:lang w:val="es-CO"/>
        </w:rPr>
      </w:pPr>
      <w:r>
        <w:rPr>
          <w:rStyle w:val="Refdenotaalpie"/>
        </w:rPr>
        <w:footnoteRef/>
      </w:r>
      <w:r>
        <w:t xml:space="preserve"> </w:t>
      </w:r>
      <w:r w:rsidRPr="00631FC5">
        <w:t xml:space="preserve">El caso </w:t>
      </w:r>
      <w:proofErr w:type="spellStart"/>
      <w:r w:rsidRPr="00631FC5">
        <w:t>Bellacruz</w:t>
      </w:r>
      <w:proofErr w:type="spellEnd"/>
      <w:r w:rsidRPr="00631FC5">
        <w:t xml:space="preserve">, entre mucho otros, ilustra estas situaciones. Ver </w:t>
      </w:r>
      <w:proofErr w:type="spellStart"/>
      <w:r w:rsidRPr="00631FC5">
        <w:t>transmedia</w:t>
      </w:r>
      <w:proofErr w:type="spellEnd"/>
      <w:r w:rsidRPr="00631FC5">
        <w:t xml:space="preserve"> de la Comisión.</w:t>
      </w:r>
    </w:p>
  </w:footnote>
  <w:footnote w:id="1039">
    <w:p w:rsidR="00591E90" w:rsidRPr="00631FC5" w:rsidRDefault="00591E90">
      <w:pPr>
        <w:pStyle w:val="Textonotapie"/>
        <w:rPr>
          <w:lang w:val="es-CO"/>
        </w:rPr>
      </w:pPr>
      <w:r>
        <w:rPr>
          <w:rStyle w:val="Refdenotaalpie"/>
        </w:rPr>
        <w:footnoteRef/>
      </w:r>
      <w:r>
        <w:t xml:space="preserve"> </w:t>
      </w:r>
      <w:r w:rsidRPr="00631FC5">
        <w:t>Entrevista 795-PR-03214 (24 de mayo de 2012. Cartagena de Indias).</w:t>
      </w:r>
    </w:p>
  </w:footnote>
  <w:footnote w:id="1040">
    <w:p w:rsidR="00591E90" w:rsidRPr="00631FC5" w:rsidRDefault="00591E90">
      <w:pPr>
        <w:pStyle w:val="Textonotapie"/>
        <w:rPr>
          <w:lang w:val="es-CO"/>
        </w:rPr>
      </w:pPr>
      <w:r>
        <w:rPr>
          <w:rStyle w:val="Refdenotaalpie"/>
        </w:rPr>
        <w:footnoteRef/>
      </w:r>
      <w:r>
        <w:t xml:space="preserve"> </w:t>
      </w:r>
      <w:r w:rsidRPr="00631FC5">
        <w:t>Fuente de archivo externa 1875144-FS-9. Juzgado 45 administrativo del circuito judicial de Bogotá. «Sentencia AG 8 de octubre de 2021. Primitivo Pérez y Pedro Santana vs La Nación, Ministerio de Defensa».</w:t>
      </w:r>
    </w:p>
  </w:footnote>
  <w:footnote w:id="1041">
    <w:p w:rsidR="00591E90" w:rsidRPr="00631FC5" w:rsidRDefault="00591E90">
      <w:pPr>
        <w:pStyle w:val="Textonotapie"/>
        <w:rPr>
          <w:lang w:val="es-CO"/>
        </w:rPr>
      </w:pPr>
      <w:r>
        <w:rPr>
          <w:rStyle w:val="Refdenotaalpie"/>
        </w:rPr>
        <w:footnoteRef/>
      </w:r>
      <w:r>
        <w:t xml:space="preserve"> </w:t>
      </w:r>
      <w:r w:rsidRPr="00631FC5">
        <w:t xml:space="preserve">El proceso de titulación colectiva comenzó en 2006, el mismo año en el que se declaró en desplazamiento la vereda La Bonga por parte de la Alcaldía de Mahates. Dos años después, la Unidad Nacional de Tierras Rurales (UNAT), expidió la Resolución No. 1847 de 2008, mediante la cual se adjudican como territorio colectivo 7.303 hectáreas + 2.680 metros cuadrados. En 2012, el </w:t>
      </w:r>
      <w:proofErr w:type="spellStart"/>
      <w:r w:rsidRPr="00631FC5">
        <w:t>Incoder</w:t>
      </w:r>
      <w:proofErr w:type="spellEnd"/>
      <w:r w:rsidRPr="00631FC5">
        <w:t xml:space="preserve"> adoptó la Resolución 0466 de 2012 que redefine los límites del territorio palenquero a 3.353 hectáreas y 9.957 metros cuadrados, sin que en el curso del proceso se hayan presentados opositores.</w:t>
      </w:r>
    </w:p>
  </w:footnote>
  <w:footnote w:id="1042">
    <w:p w:rsidR="00591E90" w:rsidRPr="00631FC5" w:rsidRDefault="00591E90">
      <w:pPr>
        <w:pStyle w:val="Textonotapie"/>
        <w:rPr>
          <w:lang w:val="es-CO"/>
        </w:rPr>
      </w:pPr>
      <w:r>
        <w:rPr>
          <w:rStyle w:val="Refdenotaalpie"/>
        </w:rPr>
        <w:footnoteRef/>
      </w:r>
      <w:r>
        <w:t xml:space="preserve"> </w:t>
      </w:r>
      <w:r w:rsidRPr="00631FC5">
        <w:t xml:space="preserve">Fuente de archivo externa. Juzgado Tercero Civil Especializado en Restitución de Tierras del Carmen de Bolívar. «Expediente judicial proceso de restitución de derechos territoriales Consejo Comunitario Ma- </w:t>
      </w:r>
      <w:proofErr w:type="spellStart"/>
      <w:r w:rsidRPr="00631FC5">
        <w:t>Kankamana</w:t>
      </w:r>
      <w:proofErr w:type="spellEnd"/>
      <w:r w:rsidRPr="00631FC5">
        <w:t>», 2020.</w:t>
      </w:r>
    </w:p>
  </w:footnote>
  <w:footnote w:id="1043">
    <w:p w:rsidR="00591E90" w:rsidRPr="0008619F" w:rsidRDefault="00591E90">
      <w:pPr>
        <w:pStyle w:val="Textonotapie"/>
        <w:rPr>
          <w:lang w:val="es-CO"/>
        </w:rPr>
      </w:pPr>
      <w:r>
        <w:rPr>
          <w:rStyle w:val="Refdenotaalpie"/>
        </w:rPr>
        <w:footnoteRef/>
      </w:r>
      <w:r>
        <w:t xml:space="preserve"> </w:t>
      </w:r>
      <w:r w:rsidRPr="0008619F">
        <w:t>o e. Velázquez, Fabio (</w:t>
      </w:r>
      <w:proofErr w:type="spellStart"/>
      <w:r w:rsidRPr="0008619F">
        <w:t>coord</w:t>
      </w:r>
      <w:proofErr w:type="spellEnd"/>
      <w:r w:rsidRPr="0008619F">
        <w:t>), Las otras caras del poder. Territorio, conflicto y gestión pública en municipios colombianos, Fundación Foro Nacional por Colombia -GTZ, Bogotá, 2009, p. 182</w:t>
      </w:r>
    </w:p>
  </w:footnote>
  <w:footnote w:id="1044">
    <w:p w:rsidR="00591E90" w:rsidRPr="0008619F" w:rsidRDefault="00591E90">
      <w:pPr>
        <w:pStyle w:val="Textonotapie"/>
        <w:rPr>
          <w:lang w:val="es-CO"/>
        </w:rPr>
      </w:pPr>
      <w:r>
        <w:rPr>
          <w:rStyle w:val="Refdenotaalpie"/>
        </w:rPr>
        <w:footnoteRef/>
      </w:r>
      <w:r>
        <w:t xml:space="preserve"> </w:t>
      </w:r>
      <w:r w:rsidRPr="0008619F">
        <w:t>Francisco Gutiérrez, ¿lo que el viento se llevó? Los partidos políticos y la democracia en Colombia 1958- 2016. Bogotá: Norma, 2007, pág. 212</w:t>
      </w:r>
    </w:p>
  </w:footnote>
  <w:footnote w:id="1045">
    <w:p w:rsidR="00591E90" w:rsidRPr="0008619F" w:rsidRDefault="00591E90">
      <w:pPr>
        <w:pStyle w:val="Textonotapie"/>
        <w:rPr>
          <w:lang w:val="es-CO"/>
        </w:rPr>
      </w:pPr>
      <w:r>
        <w:rPr>
          <w:rStyle w:val="Refdenotaalpie"/>
        </w:rPr>
        <w:footnoteRef/>
      </w:r>
      <w:r>
        <w:t xml:space="preserve"> </w:t>
      </w:r>
      <w:r w:rsidRPr="0008619F">
        <w:t xml:space="preserve">Ver caso sobre el genocidio de la Unión Patriótica en la </w:t>
      </w:r>
      <w:proofErr w:type="spellStart"/>
      <w:r w:rsidRPr="0008619F">
        <w:t>transmedia</w:t>
      </w:r>
      <w:proofErr w:type="spellEnd"/>
      <w:r w:rsidRPr="0008619F">
        <w:t xml:space="preserve"> de Comisión de la verdad. También ver el libro Campesinado: conflicto, tierra y democracia, del volumen territorial del informe final, Colombia adentro.</w:t>
      </w:r>
    </w:p>
  </w:footnote>
  <w:footnote w:id="1046">
    <w:p w:rsidR="00591E90" w:rsidRPr="0008619F" w:rsidRDefault="00591E90">
      <w:pPr>
        <w:pStyle w:val="Textonotapie"/>
        <w:rPr>
          <w:lang w:val="es-CO"/>
        </w:rPr>
      </w:pPr>
      <w:r>
        <w:rPr>
          <w:rStyle w:val="Refdenotaalpie"/>
        </w:rPr>
        <w:footnoteRef/>
      </w:r>
      <w:r>
        <w:t xml:space="preserve"> </w:t>
      </w:r>
      <w:r w:rsidRPr="0008619F">
        <w:t>Fabio Sánchez y Mario Chacón, “Conflicto, Estado y Descentralización: del progreso social a la disputa armada por el control local, 1974 -2002”, en Varios, Nuestra guerra sin nombre. Transformaciones del conflicto en Colombia, Bogotá, Universidad Nacional, 2006, p. 347-403, p. 349</w:t>
      </w:r>
    </w:p>
  </w:footnote>
  <w:footnote w:id="1047">
    <w:p w:rsidR="00591E90" w:rsidRPr="0008619F" w:rsidRDefault="00591E90">
      <w:pPr>
        <w:pStyle w:val="Textonotapie"/>
        <w:rPr>
          <w:lang w:val="es-CO"/>
        </w:rPr>
      </w:pPr>
      <w:r>
        <w:rPr>
          <w:rStyle w:val="Refdenotaalpie"/>
        </w:rPr>
        <w:footnoteRef/>
      </w:r>
      <w:r>
        <w:t xml:space="preserve"> </w:t>
      </w:r>
      <w:r w:rsidRPr="0008619F">
        <w:t>Debilidad dada por su precaria presencia en los territorios, por la cooptación de muchas de sus instituciones locales, por la corrupción, y en el caso de la fuerza pública, por no garantizar el monopolio de la fuerza y de las armas como ordenaba la constitución, entre otros factores.</w:t>
      </w:r>
    </w:p>
  </w:footnote>
  <w:footnote w:id="1048">
    <w:p w:rsidR="00591E90" w:rsidRPr="0008619F" w:rsidRDefault="00591E90">
      <w:pPr>
        <w:pStyle w:val="Textonotapie"/>
        <w:rPr>
          <w:lang w:val="es-CO"/>
        </w:rPr>
      </w:pPr>
      <w:r>
        <w:rPr>
          <w:rStyle w:val="Refdenotaalpie"/>
        </w:rPr>
        <w:footnoteRef/>
      </w:r>
      <w:r>
        <w:t xml:space="preserve"> </w:t>
      </w:r>
      <w:r w:rsidRPr="0008619F">
        <w:t>Romero, M., Paramilitares y autodefensas. 1982-2003, Bogotá, IEPRI -Planeta, 2003, p. 127</w:t>
      </w:r>
    </w:p>
  </w:footnote>
  <w:footnote w:id="1049">
    <w:p w:rsidR="00591E90" w:rsidRPr="0008619F" w:rsidRDefault="00591E90">
      <w:pPr>
        <w:pStyle w:val="Textonotapie"/>
        <w:rPr>
          <w:lang w:val="es-CO"/>
        </w:rPr>
      </w:pPr>
      <w:r>
        <w:rPr>
          <w:rStyle w:val="Refdenotaalpie"/>
        </w:rPr>
        <w:footnoteRef/>
      </w:r>
      <w:r>
        <w:t xml:space="preserve"> </w:t>
      </w:r>
      <w:r w:rsidRPr="0008619F">
        <w:t xml:space="preserve">González, Fernán, Bolívar, Íngrid y Vásquez, Teófilo. Violencia política en Colombia. De la nación fragmentada a la construcción del Estado, 194 y ss. Bogotá: </w:t>
      </w:r>
      <w:proofErr w:type="spellStart"/>
      <w:r w:rsidRPr="0008619F">
        <w:t>Cinep</w:t>
      </w:r>
      <w:proofErr w:type="spellEnd"/>
      <w:r w:rsidRPr="0008619F">
        <w:t>, 2003.</w:t>
      </w:r>
    </w:p>
  </w:footnote>
  <w:footnote w:id="1050">
    <w:p w:rsidR="00591E90" w:rsidRPr="0008619F" w:rsidRDefault="00591E90">
      <w:pPr>
        <w:pStyle w:val="Textonotapie"/>
        <w:rPr>
          <w:lang w:val="es-CO"/>
        </w:rPr>
      </w:pPr>
      <w:r>
        <w:rPr>
          <w:rStyle w:val="Refdenotaalpie"/>
        </w:rPr>
        <w:footnoteRef/>
      </w:r>
      <w:r>
        <w:t xml:space="preserve"> </w:t>
      </w:r>
      <w:proofErr w:type="spellStart"/>
      <w:r w:rsidRPr="0008619F">
        <w:t>Ibíd</w:t>
      </w:r>
      <w:proofErr w:type="spellEnd"/>
      <w:r w:rsidRPr="0008619F">
        <w:t>, p. 200</w:t>
      </w:r>
    </w:p>
  </w:footnote>
  <w:footnote w:id="1051">
    <w:p w:rsidR="00591E90" w:rsidRPr="00D73B8F" w:rsidRDefault="00591E90">
      <w:pPr>
        <w:pStyle w:val="Textonotapie"/>
        <w:rPr>
          <w:lang w:val="es-CO"/>
        </w:rPr>
      </w:pPr>
      <w:r>
        <w:rPr>
          <w:rStyle w:val="Refdenotaalpie"/>
        </w:rPr>
        <w:footnoteRef/>
      </w:r>
      <w:r>
        <w:t xml:space="preserve"> </w:t>
      </w:r>
      <w:r w:rsidRPr="00D73B8F">
        <w:t>Grupo de Memoria Histórica. ¡Basta Ya! Colombia: memorias de guerra y dignidad. Bogotá: Imprenta Nacional, 2013, p. 160.</w:t>
      </w:r>
    </w:p>
  </w:footnote>
  <w:footnote w:id="1052">
    <w:p w:rsidR="00591E90" w:rsidRPr="00D73B8F" w:rsidRDefault="00591E90">
      <w:pPr>
        <w:pStyle w:val="Textonotapie"/>
        <w:rPr>
          <w:lang w:val="es-CO"/>
        </w:rPr>
      </w:pPr>
      <w:r>
        <w:rPr>
          <w:rStyle w:val="Refdenotaalpie"/>
        </w:rPr>
        <w:footnoteRef/>
      </w:r>
      <w:r>
        <w:t xml:space="preserve"> </w:t>
      </w:r>
      <w:r w:rsidRPr="00D73B8F">
        <w:t>Verdad Abierta. «La historia detrás del Pacto de Ralito». Acceso el 15 de abril de 2022. https://verdadabierta.com/la-historia-detras-del-del-pacto-de-ralito/ .</w:t>
      </w:r>
    </w:p>
  </w:footnote>
  <w:footnote w:id="1053">
    <w:p w:rsidR="00591E90" w:rsidRPr="00D73B8F" w:rsidRDefault="00591E90">
      <w:pPr>
        <w:pStyle w:val="Textonotapie"/>
        <w:rPr>
          <w:lang w:val="es-CO"/>
        </w:rPr>
      </w:pPr>
      <w:r>
        <w:rPr>
          <w:rStyle w:val="Refdenotaalpie"/>
        </w:rPr>
        <w:footnoteRef/>
      </w:r>
      <w:r>
        <w:t xml:space="preserve"> </w:t>
      </w:r>
      <w:r w:rsidRPr="00D73B8F">
        <w:t>Grupo de Memoria Histórica. ¡Basta Ya! Colombia: memorias de guerra y dignidad. Bogotá: Imprenta Nacional, 2013, p. 180.</w:t>
      </w:r>
    </w:p>
  </w:footnote>
  <w:footnote w:id="1054">
    <w:p w:rsidR="00591E90" w:rsidRPr="00D73B8F" w:rsidRDefault="00591E90">
      <w:pPr>
        <w:pStyle w:val="Textonotapie"/>
        <w:rPr>
          <w:lang w:val="es-CO"/>
        </w:rPr>
      </w:pPr>
      <w:r>
        <w:rPr>
          <w:rStyle w:val="Refdenotaalpie"/>
        </w:rPr>
        <w:footnoteRef/>
      </w:r>
      <w:r>
        <w:t xml:space="preserve"> </w:t>
      </w:r>
      <w:r w:rsidRPr="00D73B8F">
        <w:t>Comisión Nacional de Reparación y Reconciliación (CNRR) (2009). El despojo de tierras y territorios. Aproximación conceptual.</w:t>
      </w:r>
    </w:p>
  </w:footnote>
  <w:footnote w:id="1055">
    <w:p w:rsidR="00591E90" w:rsidRPr="00D73B8F" w:rsidRDefault="00591E90">
      <w:pPr>
        <w:pStyle w:val="Textonotapie"/>
        <w:rPr>
          <w:lang w:val="es-CO"/>
        </w:rPr>
      </w:pPr>
      <w:r>
        <w:rPr>
          <w:rStyle w:val="Refdenotaalpie"/>
        </w:rPr>
        <w:footnoteRef/>
      </w:r>
      <w:r>
        <w:t xml:space="preserve"> </w:t>
      </w:r>
      <w:r w:rsidRPr="00D73B8F">
        <w:t>Comisión Nacional de Reparación y Reconciliación (CNRR) (2009). El despojo de tierras y territorios. Aproximación conceptual. pp. 68-71.</w:t>
      </w:r>
    </w:p>
  </w:footnote>
  <w:footnote w:id="1056">
    <w:p w:rsidR="00591E90" w:rsidRPr="00806248" w:rsidRDefault="00591E90">
      <w:pPr>
        <w:pStyle w:val="Textonotapie"/>
        <w:rPr>
          <w:lang w:val="es-CO"/>
        </w:rPr>
      </w:pPr>
      <w:r>
        <w:rPr>
          <w:rStyle w:val="Refdenotaalpie"/>
        </w:rPr>
        <w:footnoteRef/>
      </w:r>
      <w:r>
        <w:t xml:space="preserve"> </w:t>
      </w:r>
      <w:proofErr w:type="spellStart"/>
      <w:r w:rsidRPr="00806248">
        <w:t>Ibíd</w:t>
      </w:r>
      <w:proofErr w:type="spellEnd"/>
      <w:r w:rsidRPr="00806248">
        <w:t>. pp.72-73.</w:t>
      </w:r>
    </w:p>
  </w:footnote>
  <w:footnote w:id="1057">
    <w:p w:rsidR="00591E90" w:rsidRPr="00806248" w:rsidRDefault="00591E90">
      <w:pPr>
        <w:pStyle w:val="Textonotapie"/>
        <w:rPr>
          <w:lang w:val="es-CO"/>
        </w:rPr>
      </w:pPr>
      <w:r>
        <w:rPr>
          <w:rStyle w:val="Refdenotaalpie"/>
        </w:rPr>
        <w:footnoteRef/>
      </w:r>
      <w:r>
        <w:t xml:space="preserve"> </w:t>
      </w:r>
      <w:r w:rsidRPr="00806248">
        <w:t xml:space="preserve">Corte Constitucional, Sentencia SU 235, 12 de mayo de 2016. Ver Caso Hacienda </w:t>
      </w:r>
      <w:proofErr w:type="spellStart"/>
      <w:r w:rsidRPr="00806248">
        <w:t>Bellacruz</w:t>
      </w:r>
      <w:proofErr w:type="spellEnd"/>
      <w:r w:rsidRPr="00806248">
        <w:t>.</w:t>
      </w:r>
    </w:p>
  </w:footnote>
  <w:footnote w:id="1058">
    <w:p w:rsidR="00591E90" w:rsidRPr="00806248" w:rsidRDefault="00591E90">
      <w:pPr>
        <w:pStyle w:val="Textonotapie"/>
        <w:rPr>
          <w:lang w:val="es-CO"/>
        </w:rPr>
      </w:pPr>
      <w:r>
        <w:rPr>
          <w:rStyle w:val="Refdenotaalpie"/>
        </w:rPr>
        <w:footnoteRef/>
      </w:r>
      <w:r>
        <w:t xml:space="preserve"> </w:t>
      </w:r>
      <w:r w:rsidRPr="00806248">
        <w:t>Tribunal Superior del Distrito Judicial de Cartagena, Sala Civil Especializada en Restitución de Tierras (2017); Tribunal Superior del Distrito Judicial de Cúcuta Sala Civil Especializada en Restitución de Tierras (2015).</w:t>
      </w:r>
    </w:p>
  </w:footnote>
  <w:footnote w:id="1059">
    <w:p w:rsidR="00591E90" w:rsidRPr="00806248" w:rsidRDefault="00591E90">
      <w:pPr>
        <w:pStyle w:val="Textonotapie"/>
        <w:rPr>
          <w:lang w:val="es-CO"/>
        </w:rPr>
      </w:pPr>
      <w:r>
        <w:rPr>
          <w:rStyle w:val="Refdenotaalpie"/>
        </w:rPr>
        <w:footnoteRef/>
      </w:r>
      <w:r>
        <w:t xml:space="preserve"> </w:t>
      </w:r>
      <w:r w:rsidRPr="00806248">
        <w:t xml:space="preserve">Informe 119-CI-00334, </w:t>
      </w:r>
      <w:proofErr w:type="spellStart"/>
      <w:r w:rsidRPr="00806248">
        <w:t>Pax</w:t>
      </w:r>
      <w:proofErr w:type="spellEnd"/>
      <w:r w:rsidRPr="00806248">
        <w:t xml:space="preserve"> </w:t>
      </w:r>
      <w:proofErr w:type="spellStart"/>
      <w:r w:rsidRPr="00806248">
        <w:t>for</w:t>
      </w:r>
      <w:proofErr w:type="spellEnd"/>
      <w:r w:rsidRPr="00806248">
        <w:t xml:space="preserve"> </w:t>
      </w:r>
      <w:proofErr w:type="spellStart"/>
      <w:r w:rsidRPr="00806248">
        <w:t>Peace</w:t>
      </w:r>
      <w:proofErr w:type="spellEnd"/>
      <w:r w:rsidRPr="00806248">
        <w:t>, «El lado oscuro del carbón», 19.</w:t>
      </w:r>
    </w:p>
  </w:footnote>
  <w:footnote w:id="1060">
    <w:p w:rsidR="00591E90" w:rsidRPr="00D52206" w:rsidRDefault="00591E90">
      <w:pPr>
        <w:pStyle w:val="Textonotapie"/>
        <w:rPr>
          <w:lang w:val="es-CO"/>
        </w:rPr>
      </w:pPr>
      <w:r>
        <w:rPr>
          <w:rStyle w:val="Refdenotaalpie"/>
        </w:rPr>
        <w:footnoteRef/>
      </w:r>
      <w:r>
        <w:t xml:space="preserve"> </w:t>
      </w:r>
      <w:r w:rsidRPr="00D52206">
        <w:t xml:space="preserve">Son varias las estructuras armadas y periodos identificados por la Comisión de la Verdad que ponen en evidencia la funcionalidad del archipiélago y sus aguas para los intereses de la guerra. Desde la década de los 80 los carteles de la droga, luego las AUC y las FARC y finalmente los grupos </w:t>
      </w:r>
      <w:proofErr w:type="spellStart"/>
      <w:r w:rsidRPr="00D52206">
        <w:t>posdesmovilización</w:t>
      </w:r>
      <w:proofErr w:type="spellEnd"/>
      <w:r w:rsidRPr="00D52206">
        <w:t xml:space="preserve"> han tenido injerencia en las islas. No mediante la presencia de bloques o frentes, sino mediante redes de apoyo logístico o de crimen que les permitían el transporte de drogas, armas o dinero con destino al conflicto armado que se vivía al interior del país. Al respecto puede consultarse: Informe 1306-CI-02017. Centro de Estudios </w:t>
      </w:r>
      <w:proofErr w:type="spellStart"/>
      <w:r w:rsidRPr="00D52206">
        <w:t>Afrodiaspóricos</w:t>
      </w:r>
      <w:proofErr w:type="spellEnd"/>
      <w:r w:rsidRPr="00D52206">
        <w:t xml:space="preserve"> et. al. «Mar, Guerra y Violencia».</w:t>
      </w:r>
    </w:p>
  </w:footnote>
  <w:footnote w:id="1061">
    <w:p w:rsidR="00591E90" w:rsidRPr="00D52206" w:rsidRDefault="00591E90">
      <w:pPr>
        <w:pStyle w:val="Textonotapie"/>
        <w:rPr>
          <w:lang w:val="es-CO"/>
        </w:rPr>
      </w:pPr>
      <w:r>
        <w:rPr>
          <w:rStyle w:val="Refdenotaalpie"/>
        </w:rPr>
        <w:footnoteRef/>
      </w:r>
      <w:r>
        <w:t xml:space="preserve"> </w:t>
      </w:r>
      <w:r w:rsidRPr="00D52206">
        <w:t>Defensoría del Pueblo de Colombia, «Informe de Riesgo N°001-14», 8; Entrevista 812-PR-02092. San Andrés. 18 de julio de 2020.</w:t>
      </w:r>
    </w:p>
  </w:footnote>
  <w:footnote w:id="1062">
    <w:p w:rsidR="00591E90" w:rsidRPr="00D52206" w:rsidRDefault="00591E90">
      <w:pPr>
        <w:pStyle w:val="Textonotapie"/>
        <w:rPr>
          <w:lang w:val="es-CO"/>
        </w:rPr>
      </w:pPr>
      <w:r>
        <w:rPr>
          <w:rStyle w:val="Refdenotaalpie"/>
        </w:rPr>
        <w:footnoteRef/>
      </w:r>
      <w:r>
        <w:t xml:space="preserve"> </w:t>
      </w:r>
      <w:r w:rsidRPr="00D52206">
        <w:t xml:space="preserve">Informe 686-VI-00011. Víctima, mujer habitante de San Andrés Islas, docente universitaria. Embassy </w:t>
      </w:r>
      <w:proofErr w:type="spellStart"/>
      <w:r w:rsidRPr="00D52206">
        <w:t>of</w:t>
      </w:r>
      <w:proofErr w:type="spellEnd"/>
      <w:r w:rsidRPr="00D52206">
        <w:t xml:space="preserve"> Bogotá, «USMILGP Colombia», 10.</w:t>
      </w:r>
    </w:p>
  </w:footnote>
  <w:footnote w:id="1063">
    <w:p w:rsidR="00591E90" w:rsidRPr="00D52206" w:rsidRDefault="00591E90">
      <w:pPr>
        <w:pStyle w:val="Textonotapie"/>
        <w:rPr>
          <w:lang w:val="es-CO"/>
        </w:rPr>
      </w:pPr>
      <w:r>
        <w:rPr>
          <w:rStyle w:val="Refdenotaalpie"/>
        </w:rPr>
        <w:footnoteRef/>
      </w:r>
      <w:r>
        <w:t xml:space="preserve"> </w:t>
      </w:r>
      <w:r w:rsidRPr="00D52206">
        <w:t xml:space="preserve">Uno de los episodios más recordados a nivel nacional vinculó a varios integrantes de la cúpula de la Armada Nacional y personal administrativo en el suministro de información de inteligencia, en particular posicionamiento de naves de patrullaje y control en el mar caribe, a estructuras del narcotráfico para que de esta forma evitaran ser interceptadas. Corte Suprema de Justicia, «Sentencia de 3 de diciembre de 2009», 134. </w:t>
      </w:r>
      <w:r w:rsidRPr="00BF63FA">
        <w:rPr>
          <w:lang w:val="en-US"/>
        </w:rPr>
        <w:t xml:space="preserve">U.S. Department of Justice, «Former </w:t>
      </w:r>
      <w:proofErr w:type="spellStart"/>
      <w:r w:rsidRPr="00BF63FA">
        <w:rPr>
          <w:lang w:val="en-US"/>
        </w:rPr>
        <w:t>colombian</w:t>
      </w:r>
      <w:proofErr w:type="spellEnd"/>
      <w:r w:rsidRPr="00BF63FA">
        <w:rPr>
          <w:lang w:val="en-US"/>
        </w:rPr>
        <w:t xml:space="preserve"> naval petty officer Extradited to United States». U.S. Department of Justice, «Former </w:t>
      </w:r>
      <w:proofErr w:type="spellStart"/>
      <w:r w:rsidRPr="00BF63FA">
        <w:rPr>
          <w:lang w:val="en-US"/>
        </w:rPr>
        <w:t>colombian</w:t>
      </w:r>
      <w:proofErr w:type="spellEnd"/>
      <w:r w:rsidRPr="00BF63FA">
        <w:rPr>
          <w:lang w:val="en-US"/>
        </w:rPr>
        <w:t xml:space="preserve"> naval petty officer Extradited to United States</w:t>
      </w:r>
      <w:r w:rsidRPr="00D52206">
        <w:rPr>
          <w:lang w:val="en-US"/>
        </w:rPr>
        <w:t xml:space="preserve">». </w:t>
      </w:r>
      <w:r w:rsidRPr="00D52206">
        <w:t>Presidencia de la República de Colombia, «Resolución No. 199 de 2018».</w:t>
      </w:r>
    </w:p>
  </w:footnote>
  <w:footnote w:id="1064">
    <w:p w:rsidR="00591E90" w:rsidRPr="00D52206" w:rsidRDefault="00591E90">
      <w:pPr>
        <w:pStyle w:val="Textonotapie"/>
        <w:rPr>
          <w:lang w:val="es-CO"/>
        </w:rPr>
      </w:pPr>
      <w:r>
        <w:rPr>
          <w:rStyle w:val="Refdenotaalpie"/>
        </w:rPr>
        <w:footnoteRef/>
      </w:r>
      <w:r>
        <w:t xml:space="preserve"> </w:t>
      </w:r>
      <w:r w:rsidRPr="00D52206">
        <w:t>En los que hicieron presencia los Frentes 29, 8, la Columna Móvil Daniel Aldana y la Columna Móvil Mariscal Sucre del Bloque Occidental de las FARC-EP en Nariño, junto a los Frentes 32 y 48 del Bloque Sur de las FARC-EP que operaron en Putumayo.</w:t>
      </w:r>
    </w:p>
  </w:footnote>
  <w:footnote w:id="1065">
    <w:p w:rsidR="00591E90" w:rsidRPr="00D52206" w:rsidRDefault="00591E90">
      <w:pPr>
        <w:pStyle w:val="Textonotapie"/>
        <w:rPr>
          <w:lang w:val="es-CO"/>
        </w:rPr>
      </w:pPr>
      <w:r>
        <w:rPr>
          <w:rStyle w:val="Refdenotaalpie"/>
        </w:rPr>
        <w:footnoteRef/>
      </w:r>
      <w:r>
        <w:t xml:space="preserve"> </w:t>
      </w:r>
      <w:r w:rsidRPr="00D52206">
        <w:t>Entrevista 397-VI-00007. Mujer, víctima, Roberto Payán.</w:t>
      </w:r>
    </w:p>
  </w:footnote>
  <w:footnote w:id="1066">
    <w:p w:rsidR="00591E90" w:rsidRPr="00D52206" w:rsidRDefault="00591E90">
      <w:pPr>
        <w:pStyle w:val="Textonotapie"/>
        <w:rPr>
          <w:lang w:val="es-CO"/>
        </w:rPr>
      </w:pPr>
      <w:r>
        <w:rPr>
          <w:rStyle w:val="Refdenotaalpie"/>
        </w:rPr>
        <w:footnoteRef/>
      </w:r>
      <w:r>
        <w:t xml:space="preserve"> </w:t>
      </w:r>
      <w:r w:rsidRPr="00D52206">
        <w:t>Ver Capítulo de pueblos y territorios étnicos.</w:t>
      </w:r>
    </w:p>
  </w:footnote>
  <w:footnote w:id="1067">
    <w:p w:rsidR="00591E90" w:rsidRPr="00150E56" w:rsidRDefault="00591E90">
      <w:pPr>
        <w:pStyle w:val="Textonotapie"/>
        <w:rPr>
          <w:lang w:val="es-CO"/>
        </w:rPr>
      </w:pPr>
      <w:r>
        <w:rPr>
          <w:rStyle w:val="Refdenotaalpie"/>
        </w:rPr>
        <w:footnoteRef/>
      </w:r>
      <w:r>
        <w:t xml:space="preserve"> </w:t>
      </w:r>
      <w:r w:rsidRPr="00150E56">
        <w:t>Especialmente en sectores como el de tierras, construcción, inmobiliario, comercio</w:t>
      </w:r>
    </w:p>
  </w:footnote>
  <w:footnote w:id="1068">
    <w:p w:rsidR="00591E90" w:rsidRPr="0021537D" w:rsidRDefault="00591E90">
      <w:pPr>
        <w:pStyle w:val="Textonotapie"/>
        <w:rPr>
          <w:lang w:val="es-CO"/>
        </w:rPr>
      </w:pPr>
      <w:r>
        <w:rPr>
          <w:rStyle w:val="Refdenotaalpie"/>
        </w:rPr>
        <w:footnoteRef/>
      </w:r>
      <w:r>
        <w:t xml:space="preserve"> </w:t>
      </w:r>
      <w:r w:rsidRPr="0021537D">
        <w:t>En la década de los ochenta ese proceso de reconfiguración territorial se reflejó en la compra masiva de tierras por parte de narcotraficantes en 500 municipios del país. Consultoría #20-OI- 620bd7dce336bb3ab4aa1463. Alejandro Reyes, Violencia y tierra en el conflicto armado. Diciembre de 2021, página 13.</w:t>
      </w:r>
    </w:p>
  </w:footnote>
  <w:footnote w:id="1069">
    <w:p w:rsidR="00591E90" w:rsidRPr="0021537D" w:rsidRDefault="00591E90">
      <w:pPr>
        <w:pStyle w:val="Textonotapie"/>
        <w:rPr>
          <w:lang w:val="es-CO"/>
        </w:rPr>
      </w:pPr>
      <w:r>
        <w:rPr>
          <w:rStyle w:val="Refdenotaalpie"/>
        </w:rPr>
        <w:footnoteRef/>
      </w:r>
      <w:r>
        <w:t xml:space="preserve"> </w:t>
      </w:r>
      <w:r w:rsidRPr="0021537D">
        <w:t>Informe 066-CI-00549, Ejército Nacional de Colombia, La Sexta División del Ejército Nacional en el conflicto armado interno colombiano, 2020.</w:t>
      </w:r>
    </w:p>
  </w:footnote>
  <w:footnote w:id="1070">
    <w:p w:rsidR="00591E90" w:rsidRPr="0021537D" w:rsidRDefault="00591E90">
      <w:pPr>
        <w:pStyle w:val="Textonotapie"/>
        <w:rPr>
          <w:lang w:val="es-CO"/>
        </w:rPr>
      </w:pPr>
      <w:r>
        <w:rPr>
          <w:rStyle w:val="Refdenotaalpie"/>
        </w:rPr>
        <w:footnoteRef/>
      </w:r>
      <w:r>
        <w:t xml:space="preserve"> </w:t>
      </w:r>
      <w:r w:rsidRPr="0021537D">
        <w:t xml:space="preserve">La </w:t>
      </w:r>
      <w:proofErr w:type="spellStart"/>
      <w:r w:rsidRPr="0021537D">
        <w:t>Financial</w:t>
      </w:r>
      <w:proofErr w:type="spellEnd"/>
      <w:r w:rsidRPr="0021537D">
        <w:t xml:space="preserve"> </w:t>
      </w:r>
      <w:proofErr w:type="spellStart"/>
      <w:r w:rsidRPr="0021537D">
        <w:t>Action</w:t>
      </w:r>
      <w:proofErr w:type="spellEnd"/>
      <w:r w:rsidRPr="0021537D">
        <w:t xml:space="preserve"> </w:t>
      </w:r>
      <w:proofErr w:type="spellStart"/>
      <w:r w:rsidRPr="0021537D">
        <w:t>Task</w:t>
      </w:r>
      <w:proofErr w:type="spellEnd"/>
      <w:r w:rsidRPr="0021537D">
        <w:t xml:space="preserve"> </w:t>
      </w:r>
      <w:proofErr w:type="spellStart"/>
      <w:r w:rsidRPr="0021537D">
        <w:t>Force</w:t>
      </w:r>
      <w:proofErr w:type="spellEnd"/>
      <w:r w:rsidRPr="0021537D">
        <w:t xml:space="preserve"> (FATF) ha declarado que existen tres grandes mecanismos para esconder fondos ilícitos e introducirlos a la economía legal: Instituciones Financieras, contrabando físico de dinero de un país a otro y vía transferencia de comercio de bienes. El análisis de la Comisión a la información proporcionada por la UIAF muestra varias conclusiones útiles para entender la magnitud de las relaciones financieras y sospechosas de nuestro país con el mundo.</w:t>
      </w:r>
    </w:p>
  </w:footnote>
  <w:footnote w:id="1071">
    <w:p w:rsidR="00591E90" w:rsidRPr="0021537D" w:rsidRDefault="00591E90">
      <w:pPr>
        <w:pStyle w:val="Textonotapie"/>
        <w:rPr>
          <w:lang w:val="es-CO"/>
        </w:rPr>
      </w:pPr>
      <w:r>
        <w:rPr>
          <w:rStyle w:val="Refdenotaalpie"/>
        </w:rPr>
        <w:footnoteRef/>
      </w:r>
      <w:r>
        <w:t xml:space="preserve"> </w:t>
      </w:r>
      <w:r w:rsidRPr="00131278">
        <w:t>UIAF.</w:t>
      </w:r>
    </w:p>
  </w:footnote>
  <w:footnote w:id="1072">
    <w:p w:rsidR="00591E90" w:rsidRPr="00131278" w:rsidRDefault="00591E90">
      <w:pPr>
        <w:pStyle w:val="Textonotapie"/>
        <w:rPr>
          <w:lang w:val="es-CO"/>
        </w:rPr>
      </w:pPr>
      <w:r>
        <w:rPr>
          <w:rStyle w:val="Refdenotaalpie"/>
        </w:rPr>
        <w:footnoteRef/>
      </w:r>
      <w:r>
        <w:t xml:space="preserve"> </w:t>
      </w:r>
      <w:r w:rsidRPr="00131278">
        <w:t>Para profundizar en información específica sobre territorios, periodos y actores, revisar las historias regionales que hacen parte del capítulo territorial del Informe final de la Comisión.</w:t>
      </w:r>
    </w:p>
  </w:footnote>
  <w:footnote w:id="1073">
    <w:p w:rsidR="00591E90" w:rsidRPr="004C41E1" w:rsidRDefault="00591E90">
      <w:pPr>
        <w:pStyle w:val="Textonotapie"/>
      </w:pPr>
      <w:r>
        <w:rPr>
          <w:rStyle w:val="Refdenotaalpie"/>
        </w:rPr>
        <w:footnoteRef/>
      </w:r>
      <w:r>
        <w:t xml:space="preserve"> </w:t>
      </w:r>
      <w:r w:rsidRPr="004C41E1">
        <w:t xml:space="preserve">La estructura de la tierra en Colombia se ha caracterizado históricamente por su concentración, su estructura bimodal (es decir, que coexisten la agricultura capitalista liderada por empresas con la de subsistencia y comercio a baja escala desarrollada por campesinos y poblaciones étnicas) y una vocación agrícola ineficiente. </w:t>
      </w:r>
    </w:p>
  </w:footnote>
  <w:footnote w:id="1074">
    <w:p w:rsidR="00591E90" w:rsidRPr="00131278" w:rsidRDefault="00591E90">
      <w:pPr>
        <w:pStyle w:val="Textonotapie"/>
        <w:rPr>
          <w:lang w:val="es-CO"/>
        </w:rPr>
      </w:pPr>
      <w:r>
        <w:rPr>
          <w:rStyle w:val="Refdenotaalpie"/>
        </w:rPr>
        <w:footnoteRef/>
      </w:r>
      <w:r>
        <w:t xml:space="preserve"> </w:t>
      </w:r>
      <w:r w:rsidRPr="004C41E1">
        <w:t xml:space="preserve">1074 A manera de contrastación del 0,92 de concentración de la tierra en Colombia, para 2021 el Gini de tierras en Europa era de 0,57; en África de 0,56; en Asia de 0,55; y en América Latina de 0,79. Además, en América Latina las personas que viven de la agricultura familiar, campesina e indígena son propietarias del 13 % del total de la tierra explotable. En Colombia este porcentaje baja dramáticamente al 4 %. Datos de la organización </w:t>
      </w:r>
      <w:proofErr w:type="spellStart"/>
      <w:r w:rsidRPr="004C41E1">
        <w:t>We</w:t>
      </w:r>
      <w:proofErr w:type="spellEnd"/>
      <w:r w:rsidRPr="004C41E1">
        <w:t xml:space="preserve"> </w:t>
      </w:r>
      <w:proofErr w:type="spellStart"/>
      <w:r w:rsidRPr="004C41E1">
        <w:t>Effect</w:t>
      </w:r>
      <w:proofErr w:type="spellEnd"/>
      <w:r w:rsidRPr="004C41E1">
        <w:t xml:space="preserve"> incluidos en el documento América Latina tiene la mayor desigualdad del mundo en concentración de la tierra, extracto del informe Luchas de alto riesgo. Disponible en Internet: https://latin.weeffect.org/news/america-latina-tiene-la-mayor-desigualdad-del-mundo-en-distribucion-de-la- tierra/.</w:t>
      </w:r>
    </w:p>
  </w:footnote>
  <w:footnote w:id="1075">
    <w:p w:rsidR="00591E90" w:rsidRDefault="00591E90" w:rsidP="004C41E1">
      <w:pPr>
        <w:pStyle w:val="Textonotapie"/>
      </w:pPr>
      <w:r>
        <w:rPr>
          <w:rStyle w:val="Refdenotaalpie"/>
        </w:rPr>
        <w:footnoteRef/>
      </w:r>
      <w:r>
        <w:t xml:space="preserve"> Suescún, Carlos Alberto, Fuerte Posada, Andrés, La escandalosa desigualdad de la propiedad rural en Colombia. En: Razón Pública, mayo 15 de 2017. Disponible en Internet:</w:t>
      </w:r>
    </w:p>
    <w:p w:rsidR="00591E90" w:rsidRPr="004C41E1" w:rsidRDefault="00591E90" w:rsidP="004C41E1">
      <w:pPr>
        <w:pStyle w:val="Textonotapie"/>
        <w:rPr>
          <w:lang w:val="es-CO"/>
        </w:rPr>
      </w:pPr>
      <w:r>
        <w:t>https://razonpublica.com/la-escandalosa-desigualdad-de-la-propiedad-rural-en-colombia/. Descargado: 22/05/2022.</w:t>
      </w:r>
    </w:p>
  </w:footnote>
  <w:footnote w:id="1076">
    <w:p w:rsidR="00591E90" w:rsidRDefault="00591E90" w:rsidP="004C41E1">
      <w:pPr>
        <w:pStyle w:val="Textonotapie"/>
      </w:pPr>
      <w:r>
        <w:rPr>
          <w:rStyle w:val="Refdenotaalpie"/>
        </w:rPr>
        <w:footnoteRef/>
      </w:r>
      <w:r>
        <w:t xml:space="preserve"> Oxfam (2017). Radiografía de la desigualdad. Lo que nos dice el último censo agropecuario sobre la distribución de la tierra en Colombia.</w:t>
      </w:r>
    </w:p>
    <w:p w:rsidR="00591E90" w:rsidRPr="004C41E1" w:rsidRDefault="00591E90" w:rsidP="004C41E1">
      <w:pPr>
        <w:pStyle w:val="Textonotapie"/>
        <w:rPr>
          <w:lang w:val="es-CO"/>
        </w:rPr>
      </w:pPr>
      <w:r>
        <w:t>En: https://www-cdn.oxfam.org/s3fspublic/file_attachments/radiografia_de_la_desigualdad.pdf</w:t>
      </w:r>
    </w:p>
  </w:footnote>
  <w:footnote w:id="1077">
    <w:p w:rsidR="00591E90" w:rsidRPr="00B87AAF" w:rsidRDefault="00591E90">
      <w:pPr>
        <w:pStyle w:val="Textonotapie"/>
        <w:rPr>
          <w:lang w:val="es-CO"/>
        </w:rPr>
      </w:pPr>
      <w:r>
        <w:rPr>
          <w:rStyle w:val="Refdenotaalpie"/>
        </w:rPr>
        <w:footnoteRef/>
      </w:r>
      <w:r>
        <w:t xml:space="preserve"> </w:t>
      </w:r>
      <w:r w:rsidRPr="00B87AAF">
        <w:t>Semana (22 de abril de 2019). “Los bosques concentran más de la mitad del uso de la tierra en Colombia”. En: https://www.semana.com/medio-ambiente/articulo/los-bosques-concentran-mas-de-la-mitad-del-uso-de- la-tierra-en-</w:t>
      </w:r>
      <w:proofErr w:type="spellStart"/>
      <w:r w:rsidRPr="00B87AAF">
        <w:t>colombia</w:t>
      </w:r>
      <w:proofErr w:type="spellEnd"/>
      <w:r w:rsidRPr="00B87AAF">
        <w:t>/43888/</w:t>
      </w:r>
    </w:p>
  </w:footnote>
  <w:footnote w:id="1078">
    <w:p w:rsidR="00591E90" w:rsidRPr="00B87AAF" w:rsidRDefault="00591E90">
      <w:pPr>
        <w:pStyle w:val="Textonotapie"/>
        <w:rPr>
          <w:lang w:val="es-CO"/>
        </w:rPr>
      </w:pPr>
      <w:r>
        <w:rPr>
          <w:rStyle w:val="Refdenotaalpie"/>
        </w:rPr>
        <w:footnoteRef/>
      </w:r>
      <w:r>
        <w:t xml:space="preserve"> </w:t>
      </w:r>
      <w:r w:rsidRPr="00B87AAF">
        <w:t>Los bosques ocupan 60.703.476 hectáreas, correspondientes al 53,2 % del territorio nacional.</w:t>
      </w:r>
    </w:p>
  </w:footnote>
  <w:footnote w:id="1079">
    <w:p w:rsidR="00591E90" w:rsidRPr="00B87AAF" w:rsidRDefault="00591E90">
      <w:pPr>
        <w:pStyle w:val="Textonotapie"/>
        <w:rPr>
          <w:lang w:val="es-CO"/>
        </w:rPr>
      </w:pPr>
      <w:r>
        <w:rPr>
          <w:rStyle w:val="Refdenotaalpie"/>
        </w:rPr>
        <w:footnoteRef/>
      </w:r>
      <w:r>
        <w:t xml:space="preserve"> </w:t>
      </w:r>
      <w:r w:rsidRPr="00B87AAF">
        <w:t>La Organización para la Cooperación y el Desarrollo Económico (OCDE), es una asociación de gobiernos que tiene por misión diseñar mejores políticas para una vida mejor. Su objetivo es promover políticas que favorezcan la prosperidad, la igualdad, las oportunidades y el bienestar de las personas. Está conformada por 38 países, entre ellos cuatro latinoamericanos. Colombia es miembro oficial desde abril de 2020.</w:t>
      </w:r>
    </w:p>
  </w:footnote>
  <w:footnote w:id="1080">
    <w:p w:rsidR="00591E90" w:rsidRPr="00B87AAF" w:rsidRDefault="00591E90" w:rsidP="00B87AAF">
      <w:pPr>
        <w:pStyle w:val="Textonotapie"/>
        <w:rPr>
          <w:lang w:val="es-CO"/>
        </w:rPr>
      </w:pPr>
      <w:r>
        <w:rPr>
          <w:rStyle w:val="Refdenotaalpie"/>
        </w:rPr>
        <w:footnoteRef/>
      </w:r>
      <w:r>
        <w:t xml:space="preserve"> </w:t>
      </w:r>
      <w:proofErr w:type="spellStart"/>
      <w:r>
        <w:t>World</w:t>
      </w:r>
      <w:proofErr w:type="spellEnd"/>
      <w:r>
        <w:t xml:space="preserve"> Bank </w:t>
      </w:r>
      <w:proofErr w:type="spellStart"/>
      <w:r>
        <w:t>Group</w:t>
      </w:r>
      <w:proofErr w:type="spellEnd"/>
      <w:r>
        <w:t xml:space="preserve">, 2021 (Octubre). Hacia la construcción de una sociedad equitativa en Colombia. Disponible en Internet: </w:t>
      </w:r>
      <w:r w:rsidRPr="00B87AAF">
        <w:t>https://documents1.worldbank.org/curated/en/602591635220506529/pdf/Main- Report.pdf</w:t>
      </w:r>
      <w:r>
        <w:t>. Descargado: 22/05/2022.</w:t>
      </w:r>
    </w:p>
  </w:footnote>
  <w:footnote w:id="1081">
    <w:p w:rsidR="00591E90" w:rsidRPr="00742DF7" w:rsidRDefault="00591E90">
      <w:pPr>
        <w:pStyle w:val="Textonotapie"/>
        <w:rPr>
          <w:lang w:val="es-CO"/>
        </w:rPr>
      </w:pPr>
      <w:r>
        <w:rPr>
          <w:rStyle w:val="Refdenotaalpie"/>
        </w:rPr>
        <w:footnoteRef/>
      </w:r>
      <w:r>
        <w:t xml:space="preserve"> </w:t>
      </w:r>
      <w:r w:rsidRPr="00742DF7">
        <w:t>DNP (2014). Bases para una Política General de Ordenamiento Territorial, 8.</w:t>
      </w:r>
    </w:p>
  </w:footnote>
  <w:footnote w:id="1082">
    <w:p w:rsidR="00591E90" w:rsidRPr="00742DF7" w:rsidRDefault="00591E90">
      <w:pPr>
        <w:pStyle w:val="Textonotapie"/>
        <w:rPr>
          <w:lang w:val="es-CO"/>
        </w:rPr>
      </w:pPr>
      <w:r>
        <w:rPr>
          <w:rStyle w:val="Refdenotaalpie"/>
        </w:rPr>
        <w:footnoteRef/>
      </w:r>
      <w:r>
        <w:t xml:space="preserve"> </w:t>
      </w:r>
      <w:r w:rsidRPr="00742DF7">
        <w:t>Machado, A. (2021). La ruralidad que viene y lo urbano, un despertar de la conciencia. Siglo del Hombre.</w:t>
      </w:r>
    </w:p>
  </w:footnote>
  <w:footnote w:id="1083">
    <w:p w:rsidR="00591E90" w:rsidRPr="006021F1" w:rsidRDefault="00591E90">
      <w:pPr>
        <w:pStyle w:val="Textonotapie"/>
        <w:rPr>
          <w:lang w:val="es-CO"/>
        </w:rPr>
      </w:pPr>
      <w:r>
        <w:rPr>
          <w:rStyle w:val="Refdenotaalpie"/>
        </w:rPr>
        <w:footnoteRef/>
      </w:r>
      <w:r>
        <w:t xml:space="preserve"> </w:t>
      </w:r>
      <w:proofErr w:type="spellStart"/>
      <w:r w:rsidRPr="006021F1">
        <w:t>Ibíd</w:t>
      </w:r>
      <w:proofErr w:type="spellEnd"/>
      <w:r w:rsidRPr="006021F1">
        <w:t>., 210.</w:t>
      </w:r>
    </w:p>
  </w:footnote>
  <w:footnote w:id="1084">
    <w:p w:rsidR="00591E90" w:rsidRPr="006021F1" w:rsidRDefault="00591E90">
      <w:pPr>
        <w:pStyle w:val="Textonotapie"/>
        <w:rPr>
          <w:lang w:val="es-CO"/>
        </w:rPr>
      </w:pPr>
      <w:r>
        <w:rPr>
          <w:rStyle w:val="Refdenotaalpie"/>
        </w:rPr>
        <w:footnoteRef/>
      </w:r>
      <w:r>
        <w:t xml:space="preserve"> </w:t>
      </w:r>
      <w:proofErr w:type="spellStart"/>
      <w:r w:rsidRPr="006021F1">
        <w:t>Ibíd</w:t>
      </w:r>
      <w:proofErr w:type="spellEnd"/>
      <w:r w:rsidRPr="006021F1">
        <w:t>., 18.</w:t>
      </w:r>
    </w:p>
  </w:footnote>
  <w:footnote w:id="1085">
    <w:p w:rsidR="00591E90" w:rsidRPr="006021F1" w:rsidRDefault="00591E90">
      <w:pPr>
        <w:pStyle w:val="Textonotapie"/>
        <w:rPr>
          <w:lang w:val="es-CO"/>
        </w:rPr>
      </w:pPr>
      <w:r>
        <w:rPr>
          <w:rStyle w:val="Refdenotaalpie"/>
        </w:rPr>
        <w:footnoteRef/>
      </w:r>
      <w:r>
        <w:t xml:space="preserve"> </w:t>
      </w:r>
      <w:r w:rsidRPr="006021F1">
        <w:t>Estos informes fueron retomados por los Documentos Técnicos de Soporte y posteriores textos del Plan Nacional de Desarrollo 2018-2022 “Pacto por Colombia, pacto por la equidad”, del gobierno del Presidente Iván Duque.</w:t>
      </w:r>
    </w:p>
  </w:footnote>
  <w:footnote w:id="1086">
    <w:p w:rsidR="00591E90" w:rsidRPr="006021F1" w:rsidRDefault="00591E90">
      <w:pPr>
        <w:pStyle w:val="Textonotapie"/>
        <w:rPr>
          <w:lang w:val="es-CO"/>
        </w:rPr>
      </w:pPr>
      <w:r>
        <w:rPr>
          <w:rStyle w:val="Refdenotaalpie"/>
        </w:rPr>
        <w:footnoteRef/>
      </w:r>
      <w:r>
        <w:t xml:space="preserve"> </w:t>
      </w:r>
      <w:r w:rsidRPr="006021F1">
        <w:t>Ocampo, J. A. (2014). Misión para la transformación del campo, 4.</w:t>
      </w:r>
    </w:p>
  </w:footnote>
  <w:footnote w:id="1087">
    <w:p w:rsidR="00591E90" w:rsidRPr="00B4401C" w:rsidRDefault="00591E90">
      <w:pPr>
        <w:pStyle w:val="Textonotapie"/>
        <w:rPr>
          <w:lang w:val="es-CO"/>
        </w:rPr>
      </w:pPr>
      <w:r>
        <w:rPr>
          <w:rStyle w:val="Refdenotaalpie"/>
        </w:rPr>
        <w:footnoteRef/>
      </w:r>
      <w:r>
        <w:t xml:space="preserve"> </w:t>
      </w:r>
      <w:r w:rsidRPr="00B4401C">
        <w:t>DNP (2014). Bases para una Política General de Ordenamiento Territorial, 23.</w:t>
      </w:r>
    </w:p>
  </w:footnote>
  <w:footnote w:id="1088">
    <w:p w:rsidR="00591E90" w:rsidRPr="00DD38C2" w:rsidRDefault="00591E90">
      <w:pPr>
        <w:pStyle w:val="Textonotapie"/>
        <w:rPr>
          <w:lang w:val="es-CO"/>
        </w:rPr>
      </w:pPr>
      <w:r>
        <w:rPr>
          <w:rStyle w:val="Refdenotaalpie"/>
        </w:rPr>
        <w:footnoteRef/>
      </w:r>
      <w:r>
        <w:t xml:space="preserve"> </w:t>
      </w:r>
      <w:r w:rsidRPr="00F60E13">
        <w:t>Rey, «Las dinámicas del hormiguero».</w:t>
      </w:r>
    </w:p>
  </w:footnote>
  <w:footnote w:id="1089">
    <w:p w:rsidR="00591E90" w:rsidRPr="00F60E13" w:rsidRDefault="00591E90">
      <w:pPr>
        <w:pStyle w:val="Textonotapie"/>
        <w:rPr>
          <w:lang w:val="es-CO"/>
        </w:rPr>
      </w:pPr>
      <w:r>
        <w:rPr>
          <w:rStyle w:val="Refdenotaalpie"/>
        </w:rPr>
        <w:footnoteRef/>
      </w:r>
      <w:r>
        <w:t xml:space="preserve"> </w:t>
      </w:r>
      <w:r w:rsidRPr="00F60E13">
        <w:t>El Consejo de Derechos Humanos de la ONU nombró en 2012 a Pablo de Greiff como el primer relator especial para la promoción de la verdad, la justicia, la reparación y las garantías de no repetición. Estas palabras las dijo en un seminario sobre recomendaciones de la Comisión de la Verdad- 2021</w:t>
      </w:r>
    </w:p>
  </w:footnote>
  <w:footnote w:id="1090">
    <w:p w:rsidR="00591E90" w:rsidRPr="00F60E13" w:rsidRDefault="00591E90">
      <w:pPr>
        <w:pStyle w:val="Textonotapie"/>
        <w:rPr>
          <w:lang w:val="es-CO"/>
        </w:rPr>
      </w:pPr>
      <w:r>
        <w:rPr>
          <w:rStyle w:val="Refdenotaalpie"/>
        </w:rPr>
        <w:footnoteRef/>
      </w:r>
      <w:r>
        <w:t xml:space="preserve"> </w:t>
      </w:r>
      <w:r w:rsidRPr="00F60E13">
        <w:t>Orozco, Seminario sobre recomendaciones. Comisión de la Verdad. 2021.</w:t>
      </w:r>
    </w:p>
  </w:footnote>
  <w:footnote w:id="1091">
    <w:p w:rsidR="00591E90" w:rsidRPr="00F60E13" w:rsidRDefault="00591E90">
      <w:pPr>
        <w:pStyle w:val="Textonotapie"/>
        <w:rPr>
          <w:lang w:val="es-CO"/>
        </w:rPr>
      </w:pPr>
      <w:r>
        <w:rPr>
          <w:rStyle w:val="Refdenotaalpie"/>
        </w:rPr>
        <w:footnoteRef/>
      </w:r>
      <w:r>
        <w:t xml:space="preserve"> </w:t>
      </w:r>
      <w:r w:rsidRPr="00F60E13">
        <w:t>Ídem.</w:t>
      </w:r>
    </w:p>
  </w:footnote>
  <w:footnote w:id="1092">
    <w:p w:rsidR="00591E90" w:rsidRPr="00F60E13" w:rsidRDefault="00591E90">
      <w:pPr>
        <w:pStyle w:val="Textonotapie"/>
        <w:rPr>
          <w:lang w:val="es-CO"/>
        </w:rPr>
      </w:pPr>
      <w:r>
        <w:rPr>
          <w:rStyle w:val="Refdenotaalpie"/>
        </w:rPr>
        <w:footnoteRef/>
      </w:r>
      <w:r>
        <w:t xml:space="preserve"> </w:t>
      </w:r>
      <w:r w:rsidRPr="00F60E13">
        <w:t xml:space="preserve">Bar-Tal y </w:t>
      </w:r>
      <w:proofErr w:type="spellStart"/>
      <w:r w:rsidRPr="00F60E13">
        <w:t>Halperin</w:t>
      </w:r>
      <w:proofErr w:type="spellEnd"/>
      <w:r w:rsidRPr="00F60E13">
        <w:t>, «Barreras sociopsicológicas para la paz»</w:t>
      </w:r>
    </w:p>
  </w:footnote>
  <w:footnote w:id="1093">
    <w:p w:rsidR="00591E90" w:rsidRPr="00F60E13" w:rsidRDefault="00591E90">
      <w:pPr>
        <w:pStyle w:val="Textonotapie"/>
        <w:rPr>
          <w:lang w:val="es-CO"/>
        </w:rPr>
      </w:pPr>
      <w:r>
        <w:rPr>
          <w:rStyle w:val="Refdenotaalpie"/>
        </w:rPr>
        <w:footnoteRef/>
      </w:r>
      <w:r>
        <w:t xml:space="preserve"> </w:t>
      </w:r>
      <w:r w:rsidRPr="00F60E13">
        <w:t>Sánchez, Gonzalo. Investigador social. Aportes a Recomendaciones, Comisión de la Verdad.</w:t>
      </w:r>
    </w:p>
  </w:footnote>
  <w:footnote w:id="1094">
    <w:p w:rsidR="00591E90" w:rsidRPr="00113B31" w:rsidRDefault="00591E90">
      <w:pPr>
        <w:pStyle w:val="Textonotapie"/>
        <w:rPr>
          <w:lang w:val="es-CO"/>
        </w:rPr>
      </w:pPr>
      <w:r>
        <w:rPr>
          <w:rStyle w:val="Refdenotaalpie"/>
        </w:rPr>
        <w:footnoteRef/>
      </w:r>
      <w:r>
        <w:t xml:space="preserve"> </w:t>
      </w:r>
      <w:r w:rsidRPr="00113B31">
        <w:t>Melo González, Colombia, las razones de la guerra, 14.</w:t>
      </w:r>
    </w:p>
  </w:footnote>
  <w:footnote w:id="1095">
    <w:p w:rsidR="00591E90" w:rsidRPr="00502CC6" w:rsidRDefault="00591E90">
      <w:pPr>
        <w:pStyle w:val="Textonotapie"/>
        <w:rPr>
          <w:lang w:val="es-CO"/>
        </w:rPr>
      </w:pPr>
      <w:r>
        <w:rPr>
          <w:rStyle w:val="Refdenotaalpie"/>
        </w:rPr>
        <w:footnoteRef/>
      </w:r>
      <w:r>
        <w:t xml:space="preserve"> </w:t>
      </w:r>
      <w:r w:rsidRPr="00502CC6">
        <w:t>Galtung, Tras la Violencia, 3R.</w:t>
      </w:r>
    </w:p>
  </w:footnote>
  <w:footnote w:id="1096">
    <w:p w:rsidR="00591E90" w:rsidRPr="00502CC6" w:rsidRDefault="00591E90">
      <w:pPr>
        <w:pStyle w:val="Textonotapie"/>
        <w:rPr>
          <w:lang w:val="es-CO"/>
        </w:rPr>
      </w:pPr>
      <w:r>
        <w:rPr>
          <w:rStyle w:val="Refdenotaalpie"/>
        </w:rPr>
        <w:footnoteRef/>
      </w:r>
      <w:r>
        <w:t xml:space="preserve"> </w:t>
      </w:r>
      <w:r w:rsidRPr="00502CC6">
        <w:t>Según un informe de Oxfam el coeficiente de desigualdad Gini en la distribución de la tierra en Colombia es de los más altos del mundo: 0,88. Superamos el Gini de América Latina que es de 0,79 y ni que decir los de Europa (0,57); Asia (0,55) y África (0,56) (CPT Colombia, «La propiedad de la tierra»).</w:t>
      </w:r>
    </w:p>
  </w:footnote>
  <w:footnote w:id="1097">
    <w:p w:rsidR="00591E90" w:rsidRPr="00502CC6" w:rsidRDefault="00591E90">
      <w:pPr>
        <w:pStyle w:val="Textonotapie"/>
        <w:rPr>
          <w:lang w:val="es-CO"/>
        </w:rPr>
      </w:pPr>
      <w:r>
        <w:rPr>
          <w:rStyle w:val="Refdenotaalpie"/>
        </w:rPr>
        <w:footnoteRef/>
      </w:r>
      <w:r>
        <w:t xml:space="preserve"> </w:t>
      </w:r>
      <w:r w:rsidRPr="00502CC6">
        <w:t>Según un informe de Oxfam El 0,44 % de los propietarios de tierra controlan el 40,1 % de la misma en el país. Entre tanto el 69,9 % de los propietarios apenas tienen el 5 % de la tierra del país. Representan propiedades menores a las 5 hectáreas (</w:t>
      </w:r>
      <w:proofErr w:type="spellStart"/>
      <w:r w:rsidRPr="00502CC6">
        <w:t>ibíd</w:t>
      </w:r>
      <w:proofErr w:type="spellEnd"/>
      <w:r w:rsidRPr="00502CC6">
        <w:t>.).</w:t>
      </w:r>
    </w:p>
  </w:footnote>
  <w:footnote w:id="1098">
    <w:p w:rsidR="00591E90" w:rsidRPr="0067678C" w:rsidRDefault="00591E90">
      <w:pPr>
        <w:pStyle w:val="Textonotapie"/>
        <w:rPr>
          <w:lang w:val="es-CO"/>
        </w:rPr>
      </w:pPr>
      <w:r>
        <w:rPr>
          <w:rStyle w:val="Refdenotaalpie"/>
        </w:rPr>
        <w:footnoteRef/>
      </w:r>
      <w:r>
        <w:t xml:space="preserve"> </w:t>
      </w:r>
      <w:r w:rsidRPr="0067678C">
        <w:t>Necesidades Básicas Insatisfechas (NBI) es un método directo para identificar carencias críticas en una población y caracterizar la pobreza. El Colombia lo mide el DANE</w:t>
      </w:r>
    </w:p>
  </w:footnote>
  <w:footnote w:id="1099">
    <w:p w:rsidR="00591E90" w:rsidRPr="0067678C" w:rsidRDefault="00591E90">
      <w:pPr>
        <w:pStyle w:val="Textonotapie"/>
        <w:rPr>
          <w:lang w:val="es-CO"/>
        </w:rPr>
      </w:pPr>
      <w:r>
        <w:rPr>
          <w:rStyle w:val="Refdenotaalpie"/>
        </w:rPr>
        <w:footnoteRef/>
      </w:r>
      <w:r>
        <w:t xml:space="preserve"> </w:t>
      </w:r>
      <w:r w:rsidRPr="0067678C">
        <w:t>Gobernación del Chocó, «Analfabetismo».</w:t>
      </w:r>
    </w:p>
  </w:footnote>
  <w:footnote w:id="1100">
    <w:p w:rsidR="00591E90" w:rsidRPr="0067678C" w:rsidRDefault="00591E90">
      <w:pPr>
        <w:pStyle w:val="Textonotapie"/>
        <w:rPr>
          <w:lang w:val="es-CO"/>
        </w:rPr>
      </w:pPr>
      <w:r>
        <w:rPr>
          <w:rStyle w:val="Refdenotaalpie"/>
        </w:rPr>
        <w:footnoteRef/>
      </w:r>
      <w:r>
        <w:t xml:space="preserve"> </w:t>
      </w:r>
      <w:r w:rsidRPr="0067678C">
        <w:t>Ministerio de Educación, «Tasa de analfabetismo en Colombia a la baja».</w:t>
      </w:r>
    </w:p>
  </w:footnote>
  <w:footnote w:id="1101">
    <w:p w:rsidR="00591E90" w:rsidRPr="0067678C" w:rsidRDefault="00591E90">
      <w:pPr>
        <w:pStyle w:val="Textonotapie"/>
        <w:rPr>
          <w:lang w:val="es-CO"/>
        </w:rPr>
      </w:pPr>
      <w:r>
        <w:rPr>
          <w:rStyle w:val="Refdenotaalpie"/>
        </w:rPr>
        <w:footnoteRef/>
      </w:r>
      <w:r>
        <w:t xml:space="preserve"> </w:t>
      </w:r>
      <w:r w:rsidRPr="0067678C">
        <w:t xml:space="preserve">DANE y UNFPA, «Estudios </w:t>
      </w:r>
      <w:proofErr w:type="spellStart"/>
      <w:r w:rsidRPr="0067678C">
        <w:t>Poscensales</w:t>
      </w:r>
      <w:proofErr w:type="spellEnd"/>
      <w:r w:rsidRPr="0067678C">
        <w:t xml:space="preserve"> de jóvenes investigadores Censo Nacional de Población y Vivienda 2018».</w:t>
      </w:r>
    </w:p>
  </w:footnote>
  <w:footnote w:id="1102">
    <w:p w:rsidR="00591E90" w:rsidRPr="0067678C" w:rsidRDefault="00591E90">
      <w:pPr>
        <w:pStyle w:val="Textonotapie"/>
        <w:rPr>
          <w:lang w:val="es-CO"/>
        </w:rPr>
      </w:pPr>
      <w:r>
        <w:rPr>
          <w:rStyle w:val="Refdenotaalpie"/>
        </w:rPr>
        <w:footnoteRef/>
      </w:r>
      <w:r>
        <w:t xml:space="preserve"> </w:t>
      </w:r>
      <w:r w:rsidRPr="0067678C">
        <w:t xml:space="preserve">DANE, «Guía para la inclusión del enfoque diferencial e </w:t>
      </w:r>
      <w:proofErr w:type="spellStart"/>
      <w:r w:rsidRPr="0067678C">
        <w:t>interseccional</w:t>
      </w:r>
      <w:proofErr w:type="spellEnd"/>
      <w:r w:rsidRPr="0067678C">
        <w:t>».</w:t>
      </w:r>
    </w:p>
  </w:footnote>
  <w:footnote w:id="1103">
    <w:p w:rsidR="00591E90" w:rsidRPr="00A56270" w:rsidRDefault="00591E90">
      <w:pPr>
        <w:pStyle w:val="Textonotapie"/>
        <w:rPr>
          <w:lang w:val="es-CO"/>
        </w:rPr>
      </w:pPr>
      <w:r>
        <w:rPr>
          <w:rStyle w:val="Refdenotaalpie"/>
        </w:rPr>
        <w:footnoteRef/>
      </w:r>
      <w:r>
        <w:t xml:space="preserve"> </w:t>
      </w:r>
      <w:r w:rsidRPr="00A56270">
        <w:t>Semana rural, «La pobreza campesina casi dobla al resto del país».</w:t>
      </w:r>
    </w:p>
  </w:footnote>
  <w:footnote w:id="1104">
    <w:p w:rsidR="00591E90" w:rsidRPr="00F45D4D" w:rsidRDefault="00591E90">
      <w:pPr>
        <w:pStyle w:val="Textonotapie"/>
        <w:rPr>
          <w:lang w:val="es-CO"/>
        </w:rPr>
      </w:pPr>
      <w:r>
        <w:rPr>
          <w:rStyle w:val="Refdenotaalpie"/>
        </w:rPr>
        <w:footnoteRef/>
      </w:r>
      <w:r>
        <w:t xml:space="preserve"> </w:t>
      </w:r>
      <w:r w:rsidRPr="00F45D4D">
        <w:t xml:space="preserve">Intervención del Comisionado </w:t>
      </w:r>
      <w:proofErr w:type="spellStart"/>
      <w:r w:rsidRPr="00F45D4D">
        <w:t>Leyner</w:t>
      </w:r>
      <w:proofErr w:type="spellEnd"/>
      <w:r w:rsidRPr="00F45D4D">
        <w:t xml:space="preserve"> Palacio en taller sobre Recomendaciones.</w:t>
      </w:r>
    </w:p>
  </w:footnote>
  <w:footnote w:id="1105">
    <w:p w:rsidR="00591E90" w:rsidRPr="00F45D4D" w:rsidRDefault="00591E90">
      <w:pPr>
        <w:pStyle w:val="Textonotapie"/>
        <w:rPr>
          <w:lang w:val="es-CO"/>
        </w:rPr>
      </w:pPr>
      <w:r>
        <w:rPr>
          <w:rStyle w:val="Refdenotaalpie"/>
        </w:rPr>
        <w:footnoteRef/>
      </w:r>
      <w:r>
        <w:t xml:space="preserve"> </w:t>
      </w:r>
      <w:r w:rsidRPr="00F45D4D">
        <w:t>Testimonio mujer negra, Montes de María Comisión de la Verdad, «La verdad del pueblo negro, afrocolombiano, palenquero y raizal», 11 de diciembre de 2020.</w:t>
      </w:r>
    </w:p>
  </w:footnote>
  <w:footnote w:id="1106">
    <w:p w:rsidR="00591E90" w:rsidRPr="00F45D4D" w:rsidRDefault="00591E90">
      <w:pPr>
        <w:pStyle w:val="Textonotapie"/>
        <w:rPr>
          <w:lang w:val="pt-BR"/>
        </w:rPr>
      </w:pPr>
      <w:r>
        <w:rPr>
          <w:rStyle w:val="Refdenotaalpie"/>
        </w:rPr>
        <w:footnoteRef/>
      </w:r>
      <w:r w:rsidRPr="00F45D4D">
        <w:rPr>
          <w:lang w:val="pt-BR"/>
        </w:rPr>
        <w:t xml:space="preserve"> Entrevista 477-AA-00002. </w:t>
      </w:r>
      <w:proofErr w:type="spellStart"/>
      <w:r w:rsidRPr="00F45D4D">
        <w:rPr>
          <w:lang w:val="pt-BR"/>
        </w:rPr>
        <w:t>Exintegrante</w:t>
      </w:r>
      <w:proofErr w:type="spellEnd"/>
      <w:r w:rsidRPr="00F45D4D">
        <w:rPr>
          <w:lang w:val="pt-BR"/>
        </w:rPr>
        <w:t xml:space="preserve"> AUC.</w:t>
      </w:r>
    </w:p>
  </w:footnote>
  <w:footnote w:id="1107">
    <w:p w:rsidR="00591E90" w:rsidRPr="00F45D4D" w:rsidRDefault="00591E90">
      <w:pPr>
        <w:pStyle w:val="Textonotapie"/>
        <w:rPr>
          <w:lang w:val="es-CO"/>
        </w:rPr>
      </w:pPr>
      <w:r>
        <w:rPr>
          <w:rStyle w:val="Refdenotaalpie"/>
        </w:rPr>
        <w:footnoteRef/>
      </w:r>
      <w:r w:rsidRPr="00F45D4D">
        <w:rPr>
          <w:lang w:val="pt-BR"/>
        </w:rPr>
        <w:t xml:space="preserve"> Entrevista 795-PR-00823. </w:t>
      </w:r>
      <w:r w:rsidRPr="00F45D4D">
        <w:t>Funcionaria pública, afrocolombiana.</w:t>
      </w:r>
    </w:p>
  </w:footnote>
  <w:footnote w:id="1108">
    <w:p w:rsidR="00591E90" w:rsidRPr="00F45D4D" w:rsidRDefault="00591E90">
      <w:pPr>
        <w:pStyle w:val="Textonotapie"/>
        <w:rPr>
          <w:lang w:val="es-CO"/>
        </w:rPr>
      </w:pPr>
      <w:r>
        <w:rPr>
          <w:rStyle w:val="Refdenotaalpie"/>
        </w:rPr>
        <w:footnoteRef/>
      </w:r>
      <w:r>
        <w:t xml:space="preserve"> </w:t>
      </w:r>
      <w:r w:rsidRPr="00F45D4D">
        <w:t>Entrevista 236-VI-00001. Joven negro, víctima.</w:t>
      </w:r>
    </w:p>
  </w:footnote>
  <w:footnote w:id="1109">
    <w:p w:rsidR="00591E90" w:rsidRPr="00F45D4D" w:rsidRDefault="00591E90">
      <w:pPr>
        <w:pStyle w:val="Textonotapie"/>
        <w:rPr>
          <w:lang w:val="es-CO"/>
        </w:rPr>
      </w:pPr>
      <w:r>
        <w:rPr>
          <w:rStyle w:val="Refdenotaalpie"/>
        </w:rPr>
        <w:footnoteRef/>
      </w:r>
      <w:r>
        <w:t xml:space="preserve"> </w:t>
      </w:r>
      <w:r w:rsidRPr="00F45D4D">
        <w:t>Entrevista 477-AA-00002. Exintegrante AUC.</w:t>
      </w:r>
    </w:p>
  </w:footnote>
  <w:footnote w:id="1110">
    <w:p w:rsidR="00591E90" w:rsidRPr="00F45D4D" w:rsidRDefault="00591E90">
      <w:pPr>
        <w:pStyle w:val="Textonotapie"/>
        <w:rPr>
          <w:lang w:val="es-CO"/>
        </w:rPr>
      </w:pPr>
      <w:r>
        <w:rPr>
          <w:rStyle w:val="Refdenotaalpie"/>
        </w:rPr>
        <w:footnoteRef/>
      </w:r>
      <w:r>
        <w:t xml:space="preserve"> </w:t>
      </w:r>
      <w:r w:rsidRPr="00F45D4D">
        <w:t>Testimonio mujer Barí Comisión de la Verdad, «Encuentro por la Verdad #</w:t>
      </w:r>
      <w:proofErr w:type="spellStart"/>
      <w:r w:rsidRPr="00F45D4D">
        <w:t>LaVerdadIndígena</w:t>
      </w:r>
      <w:proofErr w:type="spellEnd"/>
      <w:r w:rsidRPr="00F45D4D">
        <w:t>», 23 de octubre de 2020.</w:t>
      </w:r>
    </w:p>
  </w:footnote>
  <w:footnote w:id="1111">
    <w:p w:rsidR="00591E90" w:rsidRPr="00F45D4D" w:rsidRDefault="00591E90">
      <w:pPr>
        <w:pStyle w:val="Textonotapie"/>
        <w:rPr>
          <w:lang w:val="es-CO"/>
        </w:rPr>
      </w:pPr>
      <w:r>
        <w:rPr>
          <w:rStyle w:val="Refdenotaalpie"/>
        </w:rPr>
        <w:footnoteRef/>
      </w:r>
      <w:r>
        <w:t xml:space="preserve"> </w:t>
      </w:r>
      <w:r w:rsidRPr="00F45D4D">
        <w:t>Rivas Ortiz, «La Memoria Histórica en la violación sobre el derecho a la vida».</w:t>
      </w:r>
    </w:p>
  </w:footnote>
  <w:footnote w:id="1112">
    <w:p w:rsidR="00591E90" w:rsidRPr="002047F7" w:rsidRDefault="00591E90">
      <w:pPr>
        <w:pStyle w:val="Textonotapie"/>
        <w:rPr>
          <w:lang w:val="es-CO"/>
        </w:rPr>
      </w:pPr>
      <w:r>
        <w:rPr>
          <w:rStyle w:val="Refdenotaalpie"/>
        </w:rPr>
        <w:footnoteRef/>
      </w:r>
      <w:r>
        <w:t xml:space="preserve"> </w:t>
      </w:r>
      <w:r w:rsidRPr="002047F7">
        <w:t>Ministerio del Interior, «Plan de caracterización del Consejo Comunitario de la Cuenca del Río Cacarica», 72.</w:t>
      </w:r>
    </w:p>
  </w:footnote>
  <w:footnote w:id="1113">
    <w:p w:rsidR="00591E90" w:rsidRPr="00CF7E03" w:rsidRDefault="00591E90">
      <w:pPr>
        <w:pStyle w:val="Textonotapie"/>
        <w:rPr>
          <w:lang w:val="es-CO"/>
        </w:rPr>
      </w:pPr>
      <w:r>
        <w:rPr>
          <w:rStyle w:val="Refdenotaalpie"/>
        </w:rPr>
        <w:footnoteRef/>
      </w:r>
      <w:r>
        <w:t xml:space="preserve"> </w:t>
      </w:r>
      <w:r w:rsidRPr="00CF7E03">
        <w:t>Entrevista 651-AA-00001. Actor del conflicto armado, paramilitar.</w:t>
      </w:r>
    </w:p>
  </w:footnote>
  <w:footnote w:id="1114">
    <w:p w:rsidR="00591E90" w:rsidRPr="00CF7E03" w:rsidRDefault="00591E90">
      <w:pPr>
        <w:pStyle w:val="Textonotapie"/>
        <w:rPr>
          <w:lang w:val="es-CO"/>
        </w:rPr>
      </w:pPr>
      <w:r>
        <w:rPr>
          <w:rStyle w:val="Refdenotaalpie"/>
        </w:rPr>
        <w:footnoteRef/>
      </w:r>
      <w:r>
        <w:t xml:space="preserve"> </w:t>
      </w:r>
      <w:r w:rsidRPr="00CF7E03">
        <w:t>Oficina de las Naciones Unidas contra la Droga y el Delito, «Monitoreo de territorios afectados por cultivos ilícitos Colombia», 14.</w:t>
      </w:r>
    </w:p>
  </w:footnote>
  <w:footnote w:id="1115">
    <w:p w:rsidR="00591E90" w:rsidRPr="00CF7E03" w:rsidRDefault="00591E90">
      <w:pPr>
        <w:pStyle w:val="Textonotapie"/>
        <w:rPr>
          <w:lang w:val="es-CO"/>
        </w:rPr>
      </w:pPr>
      <w:r>
        <w:rPr>
          <w:rStyle w:val="Refdenotaalpie"/>
        </w:rPr>
        <w:footnoteRef/>
      </w:r>
      <w:r>
        <w:t xml:space="preserve"> </w:t>
      </w:r>
      <w:r w:rsidRPr="00CF7E03">
        <w:t>Entrevista 236-PR-00237. Experto, periodista.</w:t>
      </w:r>
    </w:p>
  </w:footnote>
  <w:footnote w:id="1116">
    <w:p w:rsidR="00591E90" w:rsidRPr="007C05E1" w:rsidRDefault="00591E90" w:rsidP="007C05E1">
      <w:pPr>
        <w:pStyle w:val="Textonotapie"/>
        <w:rPr>
          <w:lang w:val="es-CO"/>
        </w:rPr>
      </w:pPr>
      <w:r>
        <w:rPr>
          <w:rStyle w:val="Refdenotaalpie"/>
        </w:rPr>
        <w:footnoteRef/>
      </w:r>
      <w:r>
        <w:t xml:space="preserve"> La Corte Constitucional alertó, en el Auto 092, cómo la violación a los derechos reproductivos es un «riesgo de género, de los diez riesgos a los que se enfrentan las mujeres y niñas en el marco del conflicto armado, incluyó el aborto y la anticoncepción forzadas; que las niñas y mujeres que son reclutadas o son parte de grupos al margen de la ley enfrentan el riesgo de sufrir diversas formas de violencia reproductiva de forma reiterada y sistemática». La planificación reproductiva forzada –a través de distintos medios, pero principalmente mediante la colocación de dispositivos intrauterinos y el uso de otros métodos anticonceptivos, en contra de su voluntad y sin información sobre las consecuencia de su implantación, en tanto «orden» de obligatorio cumplimiento–, </w:t>
      </w:r>
      <w:proofErr w:type="spellStart"/>
      <w:r>
        <w:t>iii</w:t>
      </w:r>
      <w:proofErr w:type="spellEnd"/>
      <w:r>
        <w:t xml:space="preserve">) la esclavización y explotación sexuales, </w:t>
      </w:r>
      <w:proofErr w:type="spellStart"/>
      <w:r>
        <w:t>iv</w:t>
      </w:r>
      <w:proofErr w:type="spellEnd"/>
      <w:r>
        <w:t xml:space="preserve">) la prostitución forzada, v) el abuso sexual, vi) la esclavización sexual por parte de los jefes o comandantes, </w:t>
      </w:r>
      <w:proofErr w:type="spellStart"/>
      <w:r>
        <w:t>vii</w:t>
      </w:r>
      <w:proofErr w:type="spellEnd"/>
      <w:r>
        <w:t xml:space="preserve">) el embarazo forzado, </w:t>
      </w:r>
      <w:proofErr w:type="spellStart"/>
      <w:r>
        <w:t>viii</w:t>
      </w:r>
      <w:proofErr w:type="spellEnd"/>
      <w:r>
        <w:t>) el aborto forzado Colombia. Corte Constitucional de Colombia, Auto 009 de 2015, 27 de enero de 2015.</w:t>
      </w:r>
    </w:p>
  </w:footnote>
  <w:footnote w:id="1117">
    <w:p w:rsidR="00591E90" w:rsidRPr="007C05E1" w:rsidRDefault="00591E90">
      <w:pPr>
        <w:pStyle w:val="Textonotapie"/>
        <w:rPr>
          <w:lang w:val="es-CO"/>
        </w:rPr>
      </w:pPr>
      <w:r>
        <w:rPr>
          <w:rStyle w:val="Refdenotaalpie"/>
        </w:rPr>
        <w:footnoteRef/>
      </w:r>
      <w:r>
        <w:t xml:space="preserve"> </w:t>
      </w:r>
      <w:proofErr w:type="spellStart"/>
      <w:r w:rsidRPr="007C05E1">
        <w:t>Women’s</w:t>
      </w:r>
      <w:proofErr w:type="spellEnd"/>
      <w:r w:rsidRPr="007C05E1">
        <w:t xml:space="preserve"> Link </w:t>
      </w:r>
      <w:proofErr w:type="spellStart"/>
      <w:r w:rsidRPr="007C05E1">
        <w:t>Worldwide</w:t>
      </w:r>
      <w:proofErr w:type="spellEnd"/>
      <w:r w:rsidRPr="007C05E1">
        <w:t>, «Una violencia sin nombre», 6.</w:t>
      </w:r>
    </w:p>
  </w:footnote>
  <w:footnote w:id="1118">
    <w:p w:rsidR="00591E90" w:rsidRPr="007C05E1" w:rsidRDefault="00591E90">
      <w:pPr>
        <w:pStyle w:val="Textonotapie"/>
        <w:rPr>
          <w:lang w:val="es-CO"/>
        </w:rPr>
      </w:pPr>
      <w:r>
        <w:rPr>
          <w:rStyle w:val="Refdenotaalpie"/>
        </w:rPr>
        <w:footnoteRef/>
      </w:r>
      <w:r>
        <w:t xml:space="preserve"> </w:t>
      </w:r>
      <w:r w:rsidRPr="007C05E1">
        <w:t>Centro Nacional de Memoria Histórica, La guerra inscrita en el cuerpo, 16.</w:t>
      </w:r>
    </w:p>
  </w:footnote>
  <w:footnote w:id="1119">
    <w:p w:rsidR="00591E90" w:rsidRPr="007C05E1" w:rsidRDefault="00591E90">
      <w:pPr>
        <w:pStyle w:val="Textonotapie"/>
        <w:rPr>
          <w:lang w:val="es-CO"/>
        </w:rPr>
      </w:pPr>
      <w:r>
        <w:rPr>
          <w:rStyle w:val="Refdenotaalpie"/>
        </w:rPr>
        <w:footnoteRef/>
      </w:r>
      <w:r>
        <w:t xml:space="preserve"> </w:t>
      </w:r>
      <w:r w:rsidRPr="007C05E1">
        <w:t>CIDH, «Las mujeres frente a la violencia y la discriminación derivadas del conflicto armado en Colombia».</w:t>
      </w:r>
    </w:p>
  </w:footnote>
  <w:footnote w:id="1120">
    <w:p w:rsidR="00591E90" w:rsidRPr="00E14C02" w:rsidRDefault="00591E90">
      <w:pPr>
        <w:pStyle w:val="Textonotapie"/>
        <w:rPr>
          <w:lang w:val="pt-BR"/>
        </w:rPr>
      </w:pPr>
      <w:r>
        <w:rPr>
          <w:rStyle w:val="Refdenotaalpie"/>
        </w:rPr>
        <w:footnoteRef/>
      </w:r>
      <w:r w:rsidRPr="00E14C02">
        <w:rPr>
          <w:lang w:val="pt-BR"/>
        </w:rPr>
        <w:t xml:space="preserve"> Entrevista 1026-PR-02505. Docente </w:t>
      </w:r>
      <w:proofErr w:type="spellStart"/>
      <w:r w:rsidRPr="00E14C02">
        <w:rPr>
          <w:lang w:val="pt-BR"/>
        </w:rPr>
        <w:t>universitario</w:t>
      </w:r>
      <w:proofErr w:type="spellEnd"/>
      <w:r w:rsidRPr="00E14C02">
        <w:rPr>
          <w:lang w:val="pt-BR"/>
        </w:rPr>
        <w:t xml:space="preserve">, </w:t>
      </w:r>
      <w:proofErr w:type="spellStart"/>
      <w:r w:rsidRPr="00E14C02">
        <w:rPr>
          <w:lang w:val="pt-BR"/>
        </w:rPr>
        <w:t>activista</w:t>
      </w:r>
      <w:proofErr w:type="spellEnd"/>
      <w:r w:rsidRPr="00E14C02">
        <w:rPr>
          <w:lang w:val="pt-BR"/>
        </w:rPr>
        <w:t xml:space="preserve"> LGBTI, Cartagena de </w:t>
      </w:r>
      <w:proofErr w:type="spellStart"/>
      <w:r w:rsidRPr="00E14C02">
        <w:rPr>
          <w:lang w:val="pt-BR"/>
        </w:rPr>
        <w:t>Indias</w:t>
      </w:r>
      <w:proofErr w:type="spellEnd"/>
      <w:r w:rsidRPr="00E14C02">
        <w:rPr>
          <w:lang w:val="pt-BR"/>
        </w:rPr>
        <w:t>.</w:t>
      </w:r>
    </w:p>
  </w:footnote>
  <w:footnote w:id="1121">
    <w:p w:rsidR="00591E90" w:rsidRPr="00E14C02" w:rsidRDefault="00591E90">
      <w:pPr>
        <w:pStyle w:val="Textonotapie"/>
        <w:rPr>
          <w:lang w:val="es-CO"/>
        </w:rPr>
      </w:pPr>
      <w:r>
        <w:rPr>
          <w:rStyle w:val="Refdenotaalpie"/>
        </w:rPr>
        <w:footnoteRef/>
      </w:r>
      <w:r>
        <w:t xml:space="preserve"> </w:t>
      </w:r>
      <w:r w:rsidRPr="00E14C02">
        <w:t>Entrevista 167-VI-00004. Hombre, indígena, gay.</w:t>
      </w:r>
    </w:p>
  </w:footnote>
  <w:footnote w:id="1122">
    <w:p w:rsidR="00591E90" w:rsidRPr="00E14C02" w:rsidRDefault="00591E90">
      <w:pPr>
        <w:pStyle w:val="Textonotapie"/>
        <w:rPr>
          <w:lang w:val="es-CO"/>
        </w:rPr>
      </w:pPr>
      <w:r>
        <w:rPr>
          <w:rStyle w:val="Refdenotaalpie"/>
        </w:rPr>
        <w:footnoteRef/>
      </w:r>
      <w:r>
        <w:t xml:space="preserve"> </w:t>
      </w:r>
      <w:r w:rsidRPr="00E14C02">
        <w:t xml:space="preserve">Informe 262-CI-00531, Center </w:t>
      </w:r>
      <w:proofErr w:type="spellStart"/>
      <w:r w:rsidRPr="00E14C02">
        <w:t>for</w:t>
      </w:r>
      <w:proofErr w:type="spellEnd"/>
      <w:r w:rsidRPr="00E14C02">
        <w:t xml:space="preserve"> </w:t>
      </w:r>
      <w:proofErr w:type="spellStart"/>
      <w:r w:rsidRPr="00E14C02">
        <w:t>Reproductive</w:t>
      </w:r>
      <w:proofErr w:type="spellEnd"/>
      <w:r w:rsidRPr="00E14C02">
        <w:t xml:space="preserve"> </w:t>
      </w:r>
      <w:proofErr w:type="spellStart"/>
      <w:r w:rsidRPr="00E14C02">
        <w:t>Rights</w:t>
      </w:r>
      <w:proofErr w:type="spellEnd"/>
      <w:r w:rsidRPr="00E14C02">
        <w:t>, «Violencia reproductiva en el conflicto armado colombiano», 2020.</w:t>
      </w:r>
    </w:p>
  </w:footnote>
  <w:footnote w:id="1123">
    <w:p w:rsidR="00591E90" w:rsidRPr="00E14C02" w:rsidRDefault="00591E90">
      <w:pPr>
        <w:pStyle w:val="Textonotapie"/>
        <w:rPr>
          <w:lang w:val="es-CO"/>
        </w:rPr>
      </w:pPr>
      <w:r>
        <w:rPr>
          <w:rStyle w:val="Refdenotaalpie"/>
        </w:rPr>
        <w:footnoteRef/>
      </w:r>
      <w:r>
        <w:t xml:space="preserve"> </w:t>
      </w:r>
      <w:r w:rsidRPr="00E14C02">
        <w:t>Entrevista 167-VI-00005. Mujer, víctima.</w:t>
      </w:r>
    </w:p>
  </w:footnote>
  <w:footnote w:id="1124">
    <w:p w:rsidR="00591E90" w:rsidRPr="00E14C02" w:rsidRDefault="00591E90">
      <w:pPr>
        <w:pStyle w:val="Textonotapie"/>
        <w:rPr>
          <w:lang w:val="es-CO"/>
        </w:rPr>
      </w:pPr>
      <w:r>
        <w:rPr>
          <w:rStyle w:val="Refdenotaalpie"/>
        </w:rPr>
        <w:footnoteRef/>
      </w:r>
      <w:r>
        <w:t xml:space="preserve"> </w:t>
      </w:r>
      <w:r w:rsidRPr="00E14C02">
        <w:t xml:space="preserve">Entrevista 169-VI-00005. Mujer, </w:t>
      </w:r>
      <w:proofErr w:type="spellStart"/>
      <w:r w:rsidRPr="00E14C02">
        <w:t>rrom</w:t>
      </w:r>
      <w:proofErr w:type="spellEnd"/>
      <w:r w:rsidRPr="00E14C02">
        <w:t>, víctima.</w:t>
      </w:r>
    </w:p>
  </w:footnote>
  <w:footnote w:id="1125">
    <w:p w:rsidR="00591E90" w:rsidRPr="00E14C02" w:rsidRDefault="00591E90">
      <w:pPr>
        <w:pStyle w:val="Textonotapie"/>
        <w:rPr>
          <w:lang w:val="es-CO"/>
        </w:rPr>
      </w:pPr>
      <w:r>
        <w:rPr>
          <w:rStyle w:val="Refdenotaalpie"/>
        </w:rPr>
        <w:footnoteRef/>
      </w:r>
      <w:r>
        <w:t xml:space="preserve"> </w:t>
      </w:r>
      <w:r w:rsidRPr="00E14C02">
        <w:t>Entrevista 240-CO-00959. Excomandante de las AUC.</w:t>
      </w:r>
    </w:p>
  </w:footnote>
  <w:footnote w:id="1126">
    <w:p w:rsidR="00591E90" w:rsidRPr="00750551" w:rsidRDefault="00591E90">
      <w:pPr>
        <w:pStyle w:val="Textonotapie"/>
        <w:rPr>
          <w:lang w:val="es-CO"/>
        </w:rPr>
      </w:pPr>
      <w:r>
        <w:rPr>
          <w:rStyle w:val="Refdenotaalpie"/>
        </w:rPr>
        <w:footnoteRef/>
      </w:r>
      <w:r>
        <w:t xml:space="preserve"> </w:t>
      </w:r>
      <w:r w:rsidRPr="00750551">
        <w:t>Entrevista 627-VI-00005. Joven afrocolombiano, Nariño.</w:t>
      </w:r>
    </w:p>
  </w:footnote>
  <w:footnote w:id="1127">
    <w:p w:rsidR="00591E90" w:rsidRPr="00750551" w:rsidRDefault="00591E90">
      <w:pPr>
        <w:pStyle w:val="Textonotapie"/>
        <w:rPr>
          <w:lang w:val="es-CO"/>
        </w:rPr>
      </w:pPr>
      <w:r>
        <w:rPr>
          <w:rStyle w:val="Refdenotaalpie"/>
        </w:rPr>
        <w:footnoteRef/>
      </w:r>
      <w:r>
        <w:t xml:space="preserve"> </w:t>
      </w:r>
      <w:r w:rsidRPr="00750551">
        <w:t>Consejo de Estado, Sentencia 22 de mayo de 2020. Rad. 52001-23-31-000-2011-00229- 01(58477) Heriberto Estupiñán y otros Vs Nación - Ministerio de Defensa - Policía Nacional y Ejército Nacional, 22 de mayo de 2020.</w:t>
      </w:r>
    </w:p>
  </w:footnote>
  <w:footnote w:id="1128">
    <w:p w:rsidR="00591E90" w:rsidRPr="00750551" w:rsidRDefault="00591E90">
      <w:pPr>
        <w:pStyle w:val="Textonotapie"/>
        <w:rPr>
          <w:lang w:val="es-CO"/>
        </w:rPr>
      </w:pPr>
      <w:r>
        <w:rPr>
          <w:rStyle w:val="Refdenotaalpie"/>
        </w:rPr>
        <w:footnoteRef/>
      </w:r>
      <w:r>
        <w:t xml:space="preserve"> </w:t>
      </w:r>
      <w:r w:rsidRPr="000229FA">
        <w:t>Tribunal Superior de Bogotá, Sentencia primera instancia - Postulado: Orlando Villa Zapata, 16 de abril de 2012.</w:t>
      </w:r>
    </w:p>
  </w:footnote>
  <w:footnote w:id="1129">
    <w:p w:rsidR="00591E90" w:rsidRPr="000229FA" w:rsidRDefault="00591E90">
      <w:pPr>
        <w:pStyle w:val="Textonotapie"/>
        <w:rPr>
          <w:lang w:val="es-CO"/>
        </w:rPr>
      </w:pPr>
      <w:r>
        <w:rPr>
          <w:rStyle w:val="Refdenotaalpie"/>
        </w:rPr>
        <w:footnoteRef/>
      </w:r>
      <w:r>
        <w:t xml:space="preserve"> </w:t>
      </w:r>
      <w:r w:rsidRPr="000229FA">
        <w:t>Entrevista 070-VI-00051. Mujer, madre, campesina.</w:t>
      </w:r>
    </w:p>
  </w:footnote>
  <w:footnote w:id="1130">
    <w:p w:rsidR="00591E90" w:rsidRPr="000229FA" w:rsidRDefault="00591E90">
      <w:pPr>
        <w:pStyle w:val="Textonotapie"/>
        <w:rPr>
          <w:lang w:val="es-CO"/>
        </w:rPr>
      </w:pPr>
      <w:r>
        <w:rPr>
          <w:rStyle w:val="Refdenotaalpie"/>
        </w:rPr>
        <w:footnoteRef/>
      </w:r>
      <w:r>
        <w:t xml:space="preserve"> </w:t>
      </w:r>
      <w:r w:rsidRPr="000229FA">
        <w:t>Tomado de No es un mal menor. Niñas, niños y adolescentes en el conflicto armado, parte del Informe Final.</w:t>
      </w:r>
    </w:p>
  </w:footnote>
  <w:footnote w:id="1131">
    <w:p w:rsidR="00591E90" w:rsidRPr="000229FA" w:rsidRDefault="00591E90">
      <w:pPr>
        <w:pStyle w:val="Textonotapie"/>
        <w:rPr>
          <w:lang w:val="es-CO"/>
        </w:rPr>
      </w:pPr>
      <w:r>
        <w:rPr>
          <w:rStyle w:val="Refdenotaalpie"/>
        </w:rPr>
        <w:footnoteRef/>
      </w:r>
      <w:r>
        <w:t xml:space="preserve"> </w:t>
      </w:r>
      <w:r w:rsidRPr="000229FA">
        <w:t>Angarita Cañas et al., La construcción del enemigo.</w:t>
      </w:r>
    </w:p>
  </w:footnote>
  <w:footnote w:id="1132">
    <w:p w:rsidR="00591E90" w:rsidRPr="000D182E" w:rsidRDefault="00591E90">
      <w:pPr>
        <w:pStyle w:val="Textonotapie"/>
        <w:rPr>
          <w:lang w:val="pt-BR"/>
        </w:rPr>
      </w:pPr>
      <w:r>
        <w:rPr>
          <w:rStyle w:val="Refdenotaalpie"/>
        </w:rPr>
        <w:footnoteRef/>
      </w:r>
      <w:r w:rsidRPr="000D182E">
        <w:rPr>
          <w:lang w:val="pt-BR"/>
        </w:rPr>
        <w:t xml:space="preserve"> Entrevista 975-PR-02938. </w:t>
      </w:r>
      <w:proofErr w:type="spellStart"/>
      <w:r w:rsidRPr="000D182E">
        <w:rPr>
          <w:lang w:val="pt-BR"/>
        </w:rPr>
        <w:t>Excombatiente</w:t>
      </w:r>
      <w:proofErr w:type="spellEnd"/>
      <w:r w:rsidRPr="000D182E">
        <w:rPr>
          <w:lang w:val="pt-BR"/>
        </w:rPr>
        <w:t xml:space="preserve"> M19.</w:t>
      </w:r>
    </w:p>
  </w:footnote>
  <w:footnote w:id="1133">
    <w:p w:rsidR="00591E90" w:rsidRPr="000D182E" w:rsidRDefault="00591E90">
      <w:pPr>
        <w:pStyle w:val="Textonotapie"/>
        <w:rPr>
          <w:lang w:val="es-CO"/>
        </w:rPr>
      </w:pPr>
      <w:r>
        <w:rPr>
          <w:rStyle w:val="Refdenotaalpie"/>
        </w:rPr>
        <w:footnoteRef/>
      </w:r>
      <w:r w:rsidRPr="000D182E">
        <w:rPr>
          <w:lang w:val="pt-BR"/>
        </w:rPr>
        <w:t xml:space="preserve"> Entrevista 337-PR-02648. </w:t>
      </w:r>
      <w:r w:rsidRPr="000D182E">
        <w:t>Habitante, testigo de Nariño.</w:t>
      </w:r>
    </w:p>
  </w:footnote>
  <w:footnote w:id="1134">
    <w:p w:rsidR="00591E90" w:rsidRPr="000D182E" w:rsidRDefault="00591E90">
      <w:pPr>
        <w:pStyle w:val="Textonotapie"/>
        <w:rPr>
          <w:lang w:val="es-CO"/>
        </w:rPr>
      </w:pPr>
      <w:r>
        <w:rPr>
          <w:rStyle w:val="Refdenotaalpie"/>
        </w:rPr>
        <w:footnoteRef/>
      </w:r>
      <w:r>
        <w:t xml:space="preserve"> </w:t>
      </w:r>
      <w:r w:rsidRPr="000D182E">
        <w:t>Informe 262-CI-01224, Corporación Ensayos, «La guerra no es una balacera», 2021, 121.</w:t>
      </w:r>
    </w:p>
  </w:footnote>
  <w:footnote w:id="1135">
    <w:p w:rsidR="00591E90" w:rsidRPr="00B93F6A" w:rsidRDefault="00591E90">
      <w:pPr>
        <w:pStyle w:val="Textonotapie"/>
        <w:rPr>
          <w:lang w:val="it-IT"/>
        </w:rPr>
      </w:pPr>
      <w:r>
        <w:rPr>
          <w:rStyle w:val="Refdenotaalpie"/>
        </w:rPr>
        <w:footnoteRef/>
      </w:r>
      <w:r w:rsidRPr="00B93F6A">
        <w:rPr>
          <w:lang w:val="it-IT"/>
        </w:rPr>
        <w:t xml:space="preserve"> </w:t>
      </w:r>
      <w:r w:rsidRPr="00B93F6A">
        <w:rPr>
          <w:lang w:val="it-IT"/>
        </w:rPr>
        <w:t>Entrevista 238-VI-00057. Mujer, Guajira.</w:t>
      </w:r>
    </w:p>
  </w:footnote>
  <w:footnote w:id="1136">
    <w:p w:rsidR="00591E90" w:rsidRPr="00B93F6A" w:rsidRDefault="00591E90">
      <w:pPr>
        <w:pStyle w:val="Textonotapie"/>
        <w:rPr>
          <w:lang w:val="es-CO"/>
        </w:rPr>
      </w:pPr>
      <w:r>
        <w:rPr>
          <w:rStyle w:val="Refdenotaalpie"/>
        </w:rPr>
        <w:footnoteRef/>
      </w:r>
      <w:r w:rsidRPr="00835423">
        <w:rPr>
          <w:lang w:val="it-IT"/>
        </w:rPr>
        <w:t xml:space="preserve"> </w:t>
      </w:r>
      <w:r w:rsidRPr="00835423">
        <w:rPr>
          <w:lang w:val="it-IT"/>
        </w:rPr>
        <w:t xml:space="preserve">Entrevista </w:t>
      </w:r>
      <w:r w:rsidRPr="00835423">
        <w:rPr>
          <w:lang w:val="it-IT"/>
        </w:rPr>
        <w:t xml:space="preserve">542-VI-00021. </w:t>
      </w:r>
      <w:r w:rsidRPr="00B93F6A">
        <w:rPr>
          <w:lang w:val="es-CO"/>
        </w:rPr>
        <w:t>Gestor cultural, Valledupar.</w:t>
      </w:r>
    </w:p>
  </w:footnote>
  <w:footnote w:id="1137">
    <w:p w:rsidR="00591E90" w:rsidRPr="00ED17DB" w:rsidRDefault="00591E90">
      <w:pPr>
        <w:pStyle w:val="Textonotapie"/>
        <w:rPr>
          <w:lang w:val="es-CO"/>
        </w:rPr>
      </w:pPr>
      <w:r>
        <w:rPr>
          <w:rStyle w:val="Refdenotaalpie"/>
        </w:rPr>
        <w:footnoteRef/>
      </w:r>
      <w:r>
        <w:t xml:space="preserve"> </w:t>
      </w:r>
      <w:r w:rsidRPr="00835423">
        <w:t xml:space="preserve">Entrevista 084-PR-03529. Comandante de un grupo </w:t>
      </w:r>
      <w:proofErr w:type="spellStart"/>
      <w:r w:rsidRPr="00835423">
        <w:t>posdesmovilización</w:t>
      </w:r>
      <w:proofErr w:type="spellEnd"/>
    </w:p>
  </w:footnote>
  <w:footnote w:id="1138">
    <w:p w:rsidR="00591E90" w:rsidRPr="00ED17DB" w:rsidRDefault="00591E90">
      <w:pPr>
        <w:pStyle w:val="Textonotapie"/>
        <w:rPr>
          <w:lang w:val="es-CO"/>
        </w:rPr>
      </w:pPr>
      <w:r>
        <w:rPr>
          <w:rStyle w:val="Refdenotaalpie"/>
        </w:rPr>
        <w:footnoteRef/>
      </w:r>
      <w:r>
        <w:t xml:space="preserve"> </w:t>
      </w:r>
      <w:r w:rsidRPr="00835423">
        <w:t>Notas de Carlos Beristaín. Equipo de trabajo sobre impunidad.</w:t>
      </w:r>
    </w:p>
  </w:footnote>
  <w:footnote w:id="1139">
    <w:p w:rsidR="00591E90" w:rsidRPr="000D370D" w:rsidRDefault="00591E90">
      <w:pPr>
        <w:pStyle w:val="Textonotapie"/>
        <w:rPr>
          <w:lang w:val="es-CO"/>
        </w:rPr>
      </w:pPr>
      <w:r>
        <w:rPr>
          <w:rStyle w:val="Refdenotaalpie"/>
        </w:rPr>
        <w:footnoteRef/>
      </w:r>
      <w:r>
        <w:t xml:space="preserve"> </w:t>
      </w:r>
      <w:r w:rsidRPr="000D370D">
        <w:t>Mapa sistémico del Grupo de Informe Final. Documento de trabajo. Mayo 2021</w:t>
      </w:r>
    </w:p>
  </w:footnote>
  <w:footnote w:id="1140">
    <w:p w:rsidR="00591E90" w:rsidRPr="000D370D" w:rsidRDefault="00591E90">
      <w:pPr>
        <w:pStyle w:val="Textonotapie"/>
        <w:rPr>
          <w:lang w:val="es-CO"/>
        </w:rPr>
      </w:pPr>
      <w:r>
        <w:rPr>
          <w:rStyle w:val="Refdenotaalpie"/>
        </w:rPr>
        <w:footnoteRef/>
      </w:r>
      <w:r>
        <w:t xml:space="preserve"> </w:t>
      </w:r>
      <w:r w:rsidRPr="000D370D">
        <w:t>Entrevista 169-PR-02428. Defensor de derechos humanos, Catatumbo.</w:t>
      </w:r>
    </w:p>
  </w:footnote>
  <w:footnote w:id="1141">
    <w:p w:rsidR="00591E90" w:rsidRPr="000D370D" w:rsidRDefault="00591E90">
      <w:pPr>
        <w:pStyle w:val="Textonotapie"/>
        <w:rPr>
          <w:lang w:val="es-CO"/>
        </w:rPr>
      </w:pPr>
      <w:r>
        <w:rPr>
          <w:rStyle w:val="Refdenotaalpie"/>
        </w:rPr>
        <w:footnoteRef/>
      </w:r>
      <w:r>
        <w:t xml:space="preserve"> </w:t>
      </w:r>
      <w:r w:rsidRPr="000D370D">
        <w:t>Entrevista 307-VI-00027. Habitante, Resbalón, Guaviare.</w:t>
      </w:r>
    </w:p>
  </w:footnote>
  <w:footnote w:id="1142">
    <w:p w:rsidR="00591E90" w:rsidRPr="00E755CD" w:rsidRDefault="00591E90">
      <w:pPr>
        <w:pStyle w:val="Textonotapie"/>
        <w:rPr>
          <w:lang w:val="es-CO"/>
        </w:rPr>
      </w:pPr>
      <w:r>
        <w:rPr>
          <w:rStyle w:val="Refdenotaalpie"/>
        </w:rPr>
        <w:footnoteRef/>
      </w:r>
      <w:r>
        <w:t xml:space="preserve"> </w:t>
      </w:r>
      <w:r w:rsidRPr="00E755CD">
        <w:t>Entrevista 001-VI-00026. Exfiscal de DD. HH. en el exilio.</w:t>
      </w:r>
    </w:p>
  </w:footnote>
  <w:footnote w:id="1143">
    <w:p w:rsidR="00591E90" w:rsidRPr="00851612" w:rsidRDefault="00591E90">
      <w:pPr>
        <w:pStyle w:val="Textonotapie"/>
        <w:rPr>
          <w:lang w:val="es-CO"/>
        </w:rPr>
      </w:pPr>
      <w:r>
        <w:rPr>
          <w:rStyle w:val="Refdenotaalpie"/>
        </w:rPr>
        <w:footnoteRef/>
      </w:r>
      <w:r>
        <w:t xml:space="preserve"> </w:t>
      </w:r>
      <w:r w:rsidRPr="00851612">
        <w:t>Módulo de Catalogación Colaborativa 29-OI-623a2ea44fbc441b4622da34, «Relatoría jornada de seguimiento reconocimiento San Adolfo Huila. 2021»; Comisión de la Verdad, «Construyendo caminos de dignificación y no repetición en Acevedo, Huila», 17 de septiembre de 2021.</w:t>
      </w:r>
    </w:p>
  </w:footnote>
  <w:footnote w:id="1144">
    <w:p w:rsidR="00591E90" w:rsidRPr="000246F5" w:rsidRDefault="00591E90">
      <w:pPr>
        <w:pStyle w:val="Textonotapie"/>
        <w:rPr>
          <w:lang w:val="es-CO"/>
        </w:rPr>
      </w:pPr>
      <w:r>
        <w:rPr>
          <w:rStyle w:val="Refdenotaalpie"/>
        </w:rPr>
        <w:footnoteRef/>
      </w:r>
      <w:r>
        <w:t xml:space="preserve"> </w:t>
      </w:r>
      <w:r w:rsidRPr="000246F5">
        <w:t>Entrevista 056-VI-00050. Mujer, campesina, madre de víctima de ejecución extrajudicial.</w:t>
      </w:r>
    </w:p>
  </w:footnote>
  <w:footnote w:id="1145">
    <w:p w:rsidR="00591E90" w:rsidRPr="000246F5" w:rsidRDefault="00591E90">
      <w:pPr>
        <w:pStyle w:val="Textonotapie"/>
        <w:rPr>
          <w:lang w:val="es-CO"/>
        </w:rPr>
      </w:pPr>
      <w:r>
        <w:rPr>
          <w:rStyle w:val="Refdenotaalpie"/>
        </w:rPr>
        <w:footnoteRef/>
      </w:r>
      <w:r>
        <w:t xml:space="preserve"> </w:t>
      </w:r>
      <w:r w:rsidRPr="000246F5">
        <w:t>Módulo de Catalogación Colaborativa 29-OI-623a271f4fbc441b4622da23, «Seguimiento a participantes de los reconocimientos que ofrecen su testimonio en el acto público y/o privado: víctimas Palestina, Huila»; Comisión de la Verdad, «Encuentro por la Verdad ‘El valor de la verdad en la búsqueda de desaparecidos en Palestina, Huila’», 15 de agosto de 2021.</w:t>
      </w:r>
    </w:p>
  </w:footnote>
  <w:footnote w:id="1146">
    <w:p w:rsidR="00591E90" w:rsidRPr="00332EF8" w:rsidRDefault="00591E90">
      <w:pPr>
        <w:pStyle w:val="Textonotapie"/>
        <w:rPr>
          <w:lang w:val="es-CO"/>
        </w:rPr>
      </w:pPr>
      <w:r>
        <w:rPr>
          <w:rStyle w:val="Refdenotaalpie"/>
        </w:rPr>
        <w:footnoteRef/>
      </w:r>
      <w:r>
        <w:t xml:space="preserve"> </w:t>
      </w:r>
      <w:r w:rsidRPr="00332EF8">
        <w:t>Módulo de Catalogación Colaborativa 29-OI-6239ec5d4fbc441b4622d942, «Entrevista experiencia de reconocimientos: Mujer firmante del acuerdo de paz, participante de proceso de reconocimiento».</w:t>
      </w:r>
    </w:p>
  </w:footnote>
  <w:footnote w:id="1147">
    <w:p w:rsidR="00591E90" w:rsidRPr="005300B1" w:rsidRDefault="00591E90">
      <w:pPr>
        <w:pStyle w:val="Textonotapie"/>
        <w:rPr>
          <w:lang w:val="es-CO"/>
        </w:rPr>
      </w:pPr>
      <w:r>
        <w:rPr>
          <w:rStyle w:val="Refdenotaalpie"/>
        </w:rPr>
        <w:footnoteRef/>
      </w:r>
      <w:r>
        <w:t xml:space="preserve"> </w:t>
      </w:r>
      <w:r w:rsidRPr="005300B1">
        <w:t>Módulo de Catalogación Colaborativa 29-OI-6239e4184fbc441b4622d91d, «Entrevista experiencia de reconocimientos: Mujer firmante del acuerdo de paz, participante de proceso de reconocimiento».</w:t>
      </w:r>
    </w:p>
  </w:footnote>
  <w:footnote w:id="1148">
    <w:p w:rsidR="00591E90" w:rsidRPr="005300B1" w:rsidRDefault="00591E90" w:rsidP="005300B1">
      <w:pPr>
        <w:pStyle w:val="Textonotapie"/>
        <w:rPr>
          <w:lang w:val="es-CO"/>
        </w:rPr>
      </w:pPr>
      <w:r>
        <w:rPr>
          <w:rStyle w:val="Refdenotaalpie"/>
        </w:rPr>
        <w:footnoteRef/>
      </w:r>
      <w:r>
        <w:t xml:space="preserve"> Módulo de Catalogación Colaborativa 29-OI-623b69b94fbc441b4622dc26, «Entrevista experiencia de reconocimientos: Hombre, exmilitar, responsable de ejecuciones extrajudiciales»; Comisión de la Verdad, «Reconocimiento de responsabilidades sobre las ejecuciones extrajudiciales en Bogotá y Soacha», 10 de mayo de 2022.</w:t>
      </w:r>
    </w:p>
  </w:footnote>
  <w:footnote w:id="1149">
    <w:p w:rsidR="00591E90" w:rsidRPr="005300B1" w:rsidRDefault="00591E90">
      <w:pPr>
        <w:pStyle w:val="Textonotapie"/>
        <w:rPr>
          <w:lang w:val="es-CO"/>
        </w:rPr>
      </w:pPr>
      <w:r>
        <w:rPr>
          <w:rStyle w:val="Refdenotaalpie"/>
        </w:rPr>
        <w:footnoteRef/>
      </w:r>
      <w:r>
        <w:t xml:space="preserve"> </w:t>
      </w:r>
      <w:r w:rsidRPr="005300B1">
        <w:t>Módulo de Catalogación Colaborativa 29-OI-623b69004fbc441b4622dc22, «Entrevista experiencia de reconocimientos: Hombre, exmilitar, responsable de ejecuciones extrajudiciales».</w:t>
      </w:r>
    </w:p>
  </w:footnote>
  <w:footnote w:id="1150">
    <w:p w:rsidR="00591E90" w:rsidRPr="005300B1" w:rsidRDefault="00591E90">
      <w:pPr>
        <w:pStyle w:val="Textonotapie"/>
        <w:rPr>
          <w:lang w:val="es-CO"/>
        </w:rPr>
      </w:pPr>
      <w:r>
        <w:rPr>
          <w:rStyle w:val="Refdenotaalpie"/>
        </w:rPr>
        <w:footnoteRef/>
      </w:r>
      <w:r>
        <w:t xml:space="preserve"> </w:t>
      </w:r>
      <w:r w:rsidRPr="005300B1">
        <w:t>Módulo de Catalogación Colaborativa 29-OI-623b6bde4fbc441b4622dc2c, «Entrevista experiencia de reconocimientos: Hombre, exmilitar, responsable de ejecuciones extrajudiciales».</w:t>
      </w:r>
    </w:p>
  </w:footnote>
  <w:footnote w:id="1151">
    <w:p w:rsidR="00591E90" w:rsidRPr="00CC3C78" w:rsidRDefault="00591E90">
      <w:pPr>
        <w:pStyle w:val="Textonotapie"/>
        <w:rPr>
          <w:lang w:val="es-CO"/>
        </w:rPr>
      </w:pPr>
      <w:r>
        <w:rPr>
          <w:rStyle w:val="Refdenotaalpie"/>
        </w:rPr>
        <w:footnoteRef/>
      </w:r>
      <w:r>
        <w:t xml:space="preserve"> </w:t>
      </w:r>
      <w:r w:rsidRPr="00CC3C78">
        <w:t>Comisión de la Verdad, «Reconocimiento de responsabilidades en el caso de asesinato de Yolanda Cerón», 25 de junio de 2021.</w:t>
      </w:r>
    </w:p>
  </w:footnote>
  <w:footnote w:id="1152">
    <w:p w:rsidR="00591E90" w:rsidRPr="00CC3C78" w:rsidRDefault="00591E90">
      <w:pPr>
        <w:pStyle w:val="Textonotapie"/>
        <w:rPr>
          <w:lang w:val="es-CO"/>
        </w:rPr>
      </w:pPr>
      <w:r>
        <w:rPr>
          <w:rStyle w:val="Refdenotaalpie"/>
        </w:rPr>
        <w:footnoteRef/>
      </w:r>
      <w:r>
        <w:t xml:space="preserve"> </w:t>
      </w:r>
      <w:r w:rsidRPr="00CC3C78">
        <w:t>Módulo de Catalogación Colaborativa 29-OI-623b69634fbc441b4622dc24, «Entrevista experiencia de reconocimientos: Hombre, exmilitar, responsable de ejecuciones extrajudiciales».</w:t>
      </w:r>
    </w:p>
  </w:footnote>
  <w:footnote w:id="1153">
    <w:p w:rsidR="00591E90" w:rsidRPr="00CC3C78" w:rsidRDefault="00591E90">
      <w:pPr>
        <w:pStyle w:val="Textonotapie"/>
        <w:rPr>
          <w:lang w:val="es-CO"/>
        </w:rPr>
      </w:pPr>
      <w:r>
        <w:rPr>
          <w:rStyle w:val="Refdenotaalpie"/>
        </w:rPr>
        <w:footnoteRef/>
      </w:r>
      <w:r>
        <w:t xml:space="preserve"> </w:t>
      </w:r>
      <w:r w:rsidRPr="00CC3C78">
        <w:t xml:space="preserve">Entrevista 142-PR-00225. Hombre, teniente retirado, responsable de </w:t>
      </w:r>
      <w:proofErr w:type="spellStart"/>
      <w:r w:rsidRPr="00CC3C78">
        <w:t>ejcuciones</w:t>
      </w:r>
      <w:proofErr w:type="spellEnd"/>
      <w:r w:rsidRPr="00CC3C78">
        <w:t xml:space="preserve"> extrajudiciales.</w:t>
      </w:r>
    </w:p>
  </w:footnote>
  <w:footnote w:id="1154">
    <w:p w:rsidR="00591E90" w:rsidRPr="002770EA" w:rsidRDefault="00591E90">
      <w:pPr>
        <w:pStyle w:val="Textonotapie"/>
        <w:rPr>
          <w:lang w:val="es-CO"/>
        </w:rPr>
      </w:pPr>
      <w:r>
        <w:rPr>
          <w:rStyle w:val="Refdenotaalpie"/>
        </w:rPr>
        <w:footnoteRef/>
      </w:r>
      <w:r>
        <w:t xml:space="preserve"> </w:t>
      </w:r>
      <w:r w:rsidRPr="006F55B4">
        <w:t>Módulo de Catalogación Colaborativa 29-OI-6239fa744fbc441b4622d985, «Reconocimiento de las afectaciones e impactos individuales y colectivos del municipio de Palestina en el departamento del Huila».</w:t>
      </w:r>
    </w:p>
  </w:footnote>
  <w:footnote w:id="1155">
    <w:p w:rsidR="00591E90" w:rsidRPr="002770EA" w:rsidRDefault="00591E90">
      <w:pPr>
        <w:pStyle w:val="Textonotapie"/>
        <w:rPr>
          <w:lang w:val="es-CO"/>
        </w:rPr>
      </w:pPr>
      <w:r>
        <w:rPr>
          <w:rStyle w:val="Refdenotaalpie"/>
        </w:rPr>
        <w:footnoteRef/>
      </w:r>
      <w:r>
        <w:t xml:space="preserve"> </w:t>
      </w:r>
      <w:r w:rsidRPr="006F55B4">
        <w:t>Módulo de Catalogación Colaborativa 1000050-OIMBMB-61313c8fbfd4c44dfe1f869d, «Memoria reconocimiento voluntario de responsabilidades entre responsables Fuerzas Armadas Revolucionarias de Colombia - FARC y liderazgos del municipio de Caldono»; Comisión de la Verdad, «Encuentro por la Verdad ‘Reconocimiento por la vida: Caldono cuenta la Verdad’», 20 de marzo de 2021.</w:t>
      </w:r>
    </w:p>
  </w:footnote>
  <w:footnote w:id="1156">
    <w:p w:rsidR="00591E90" w:rsidRPr="00914D42" w:rsidRDefault="00591E90">
      <w:pPr>
        <w:pStyle w:val="Textonotapie"/>
        <w:rPr>
          <w:lang w:val="es-CO"/>
        </w:rPr>
      </w:pPr>
      <w:r>
        <w:rPr>
          <w:rStyle w:val="Refdenotaalpie"/>
        </w:rPr>
        <w:footnoteRef/>
      </w:r>
      <w:r>
        <w:t xml:space="preserve"> </w:t>
      </w:r>
      <w:r w:rsidRPr="00914D42">
        <w:t>Comisión de la Verdad, «Contribución a la verdad y reconocimiento de responsabilidades de integrantes del Ejército», 1 de diciembre de 2021, 01:14:55-02:13:25-02:14:30.</w:t>
      </w:r>
    </w:p>
  </w:footnote>
  <w:footnote w:id="1157">
    <w:p w:rsidR="00591E90" w:rsidRPr="009E689E" w:rsidRDefault="00591E90">
      <w:pPr>
        <w:pStyle w:val="Textonotapie"/>
        <w:rPr>
          <w:lang w:val="es-CO"/>
        </w:rPr>
      </w:pPr>
      <w:r>
        <w:rPr>
          <w:rStyle w:val="Refdenotaalpie"/>
        </w:rPr>
        <w:footnoteRef/>
      </w:r>
      <w:r>
        <w:t xml:space="preserve"> </w:t>
      </w:r>
      <w:r w:rsidRPr="009E689E">
        <w:t>En este marco han tenido que pagar años de prisión o estar vinculados a procesos interminables. Los niveles de sevicia que utilizaron en las distintas formas de victimización.</w:t>
      </w:r>
    </w:p>
  </w:footnote>
  <w:footnote w:id="1158">
    <w:p w:rsidR="00591E90" w:rsidRPr="00130A31" w:rsidRDefault="00591E90">
      <w:pPr>
        <w:pStyle w:val="Textonotapie"/>
        <w:rPr>
          <w:lang w:val="es-CO"/>
        </w:rPr>
      </w:pPr>
      <w:r>
        <w:rPr>
          <w:rStyle w:val="Refdenotaalpie"/>
        </w:rPr>
        <w:footnoteRef/>
      </w:r>
      <w:r>
        <w:t xml:space="preserve"> </w:t>
      </w:r>
      <w:r w:rsidRPr="00B96EBC">
        <w:t>Palabras de Braulio Vásquez Fonseca, alias Jaime Barragán, excomandante de la Columna Móvil Jacobo Arenas de las FARC-EP en Comisión de la Verdad, «Encuentro por la Verdad ‘Reconocimiento por la vida: Caldono cuenta la Verdad’», 20 de marzo de 2021, 02:01:26-02:03:16.</w:t>
      </w:r>
    </w:p>
  </w:footnote>
  <w:footnote w:id="1159">
    <w:p w:rsidR="00591E90" w:rsidRPr="00B96EBC" w:rsidRDefault="00591E90">
      <w:pPr>
        <w:pStyle w:val="Textonotapie"/>
        <w:rPr>
          <w:lang w:val="es-CO"/>
        </w:rPr>
      </w:pPr>
      <w:r>
        <w:rPr>
          <w:rStyle w:val="Refdenotaalpie"/>
        </w:rPr>
        <w:footnoteRef/>
      </w:r>
      <w:r>
        <w:t xml:space="preserve"> </w:t>
      </w:r>
      <w:r w:rsidRPr="00B96EBC">
        <w:t>Palabras de Herney Ortiz Dagua, alias Silvestre en Comisión de la Verdad, 02:15:00-02:16:37.</w:t>
      </w:r>
    </w:p>
  </w:footnote>
  <w:footnote w:id="1160">
    <w:p w:rsidR="00591E90" w:rsidRPr="00B96EBC" w:rsidRDefault="00591E90">
      <w:pPr>
        <w:pStyle w:val="Textonotapie"/>
        <w:rPr>
          <w:lang w:val="es-CO"/>
        </w:rPr>
      </w:pPr>
      <w:r>
        <w:rPr>
          <w:rStyle w:val="Refdenotaalpie"/>
        </w:rPr>
        <w:footnoteRef/>
      </w:r>
      <w:r>
        <w:t xml:space="preserve"> </w:t>
      </w:r>
      <w:r w:rsidRPr="00B96EBC">
        <w:t>Entrevista 837-AA-00010. Hombre, responsable, excomandante FARC.</w:t>
      </w:r>
    </w:p>
  </w:footnote>
  <w:footnote w:id="1161">
    <w:p w:rsidR="00591E90" w:rsidRPr="00E27A60" w:rsidRDefault="00591E90">
      <w:pPr>
        <w:pStyle w:val="Textonotapie"/>
        <w:rPr>
          <w:lang w:val="es-CO"/>
        </w:rPr>
      </w:pPr>
      <w:r>
        <w:rPr>
          <w:rStyle w:val="Refdenotaalpie"/>
        </w:rPr>
        <w:footnoteRef/>
      </w:r>
      <w:r>
        <w:t xml:space="preserve"> </w:t>
      </w:r>
      <w:r w:rsidRPr="00E27A60">
        <w:t>Módulo de Catalogación Colaborativa 29-OI-623b69b94fbc441b4622dc26, «Entrevista experiencia de reconocimientos: Hombre, exmilitar, responsable de ejecuciones extrajudiciales».</w:t>
      </w:r>
    </w:p>
  </w:footnote>
  <w:footnote w:id="1162">
    <w:p w:rsidR="00591E90" w:rsidRPr="00E27A60" w:rsidRDefault="00591E90" w:rsidP="00E27A60">
      <w:pPr>
        <w:pStyle w:val="Textonotapie"/>
        <w:rPr>
          <w:lang w:val="es-CO"/>
        </w:rPr>
      </w:pPr>
      <w:r>
        <w:rPr>
          <w:rStyle w:val="Refdenotaalpie"/>
        </w:rPr>
        <w:footnoteRef/>
      </w:r>
      <w:r>
        <w:t xml:space="preserve"> Comentarios de personas que se conectaron por YouTube a la transmisión de Comisión de la Verdad, «Encuentro por la Verdad ‘El valor de la verdad en la búsqueda de desaparecidos en Palestina, Huila’», 15 de agosto de 2021.</w:t>
      </w:r>
    </w:p>
  </w:footnote>
  <w:footnote w:id="1163">
    <w:p w:rsidR="00591E90" w:rsidRPr="00E27A60" w:rsidRDefault="00591E90">
      <w:pPr>
        <w:pStyle w:val="Textonotapie"/>
        <w:rPr>
          <w:lang w:val="es-CO"/>
        </w:rPr>
      </w:pPr>
      <w:r>
        <w:rPr>
          <w:rStyle w:val="Refdenotaalpie"/>
        </w:rPr>
        <w:footnoteRef/>
      </w:r>
      <w:r>
        <w:t xml:space="preserve"> </w:t>
      </w:r>
      <w:r w:rsidRPr="00E27A60">
        <w:t>Comentario de una persona que se conectó por YouTube a la transmisión de Comisión de la Verdad.</w:t>
      </w:r>
    </w:p>
  </w:footnote>
  <w:footnote w:id="1164">
    <w:p w:rsidR="00591E90" w:rsidRPr="00E27A60" w:rsidRDefault="00591E90">
      <w:pPr>
        <w:pStyle w:val="Textonotapie"/>
        <w:rPr>
          <w:lang w:val="es-CO"/>
        </w:rPr>
      </w:pPr>
      <w:r>
        <w:rPr>
          <w:rStyle w:val="Refdenotaalpie"/>
        </w:rPr>
        <w:footnoteRef/>
      </w:r>
      <w:r>
        <w:t xml:space="preserve"> </w:t>
      </w:r>
      <w:r w:rsidRPr="00EE1881">
        <w:t>Palabras de Braulio Vásquez Fonseca, alias Jaime Barragán, excomandante de la Columna Móvil Jacobo Arenas de las FARC-EP, en Comisión de la Verdad, «Encuentro por la Verdad ‘Reconocimiento por la vida: Caldono cuenta la Verdad’», 20 de marzo de 2021, 03:48:35-03:58:07.</w:t>
      </w:r>
    </w:p>
  </w:footnote>
  <w:footnote w:id="1165">
    <w:p w:rsidR="00591E90" w:rsidRPr="00012CBA" w:rsidRDefault="00591E90">
      <w:pPr>
        <w:pStyle w:val="Textonotapie"/>
        <w:rPr>
          <w:lang w:val="es-CO"/>
        </w:rPr>
      </w:pPr>
      <w:r>
        <w:rPr>
          <w:rStyle w:val="Refdenotaalpie"/>
        </w:rPr>
        <w:footnoteRef/>
      </w:r>
      <w:r>
        <w:t xml:space="preserve"> </w:t>
      </w:r>
      <w:r w:rsidRPr="00012CBA">
        <w:t>Grupo conformado por países europeos y latinoamericanos, además de representantes de organismos intergubernamentales como la Unión Europea y las Naciones Unidas.</w:t>
      </w:r>
    </w:p>
  </w:footnote>
  <w:footnote w:id="1166">
    <w:p w:rsidR="00591E90" w:rsidRPr="00012CBA" w:rsidRDefault="00591E90">
      <w:pPr>
        <w:pStyle w:val="Textonotapie"/>
        <w:rPr>
          <w:lang w:val="es-CO"/>
        </w:rPr>
      </w:pPr>
      <w:r>
        <w:rPr>
          <w:rStyle w:val="Refdenotaalpie"/>
        </w:rPr>
        <w:footnoteRef/>
      </w:r>
      <w:r>
        <w:t xml:space="preserve"> </w:t>
      </w:r>
      <w:r w:rsidRPr="00012CBA">
        <w:t>Según lo relataron ante la CEV, miembros de ambos equipos negociadores, muy al inicio de la negociación, estando en Cuba, las negociaciones se alcanzaron a romper, pero el rol de Noruega y Cuba fue central para que ambos cedieran y volvieran a la mesa.</w:t>
      </w:r>
    </w:p>
  </w:footnote>
  <w:footnote w:id="1167">
    <w:p w:rsidR="00591E90" w:rsidRPr="00012CBA" w:rsidRDefault="00591E90">
      <w:pPr>
        <w:pStyle w:val="Textonotapie"/>
        <w:rPr>
          <w:lang w:val="es-CO"/>
        </w:rPr>
      </w:pPr>
      <w:r>
        <w:rPr>
          <w:rStyle w:val="Refdenotaalpie"/>
        </w:rPr>
        <w:footnoteRef/>
      </w:r>
      <w:r>
        <w:t xml:space="preserve"> </w:t>
      </w:r>
      <w:r w:rsidRPr="001A3528">
        <w:t xml:space="preserve">Por supuesto la diplomacia </w:t>
      </w:r>
      <w:proofErr w:type="spellStart"/>
      <w:r w:rsidRPr="001A3528">
        <w:t>fariana</w:t>
      </w:r>
      <w:proofErr w:type="spellEnd"/>
      <w:r w:rsidRPr="001A3528">
        <w:t xml:space="preserve"> iba más allá de América Latina, hubo un trabajo importante en Europa, pero su énfasis indiscutiblemente fue en los latinoamericanos. Para profundizar sobre el tema ver el Anexo</w:t>
      </w:r>
      <w:r>
        <w:t xml:space="preserve"> </w:t>
      </w:r>
      <w:r w:rsidRPr="001A3528">
        <w:t>«Vecindades y Diplomacias Insurgentes».</w:t>
      </w:r>
    </w:p>
  </w:footnote>
  <w:footnote w:id="1168">
    <w:p w:rsidR="00591E90" w:rsidRPr="00012CBA" w:rsidRDefault="00591E90">
      <w:pPr>
        <w:pStyle w:val="Textonotapie"/>
        <w:rPr>
          <w:lang w:val="es-CO"/>
        </w:rPr>
      </w:pPr>
      <w:r>
        <w:rPr>
          <w:rStyle w:val="Refdenotaalpie"/>
        </w:rPr>
        <w:footnoteRef/>
      </w:r>
      <w:r>
        <w:t xml:space="preserve"> </w:t>
      </w:r>
      <w:r w:rsidRPr="001A3528">
        <w:t>Entrevista 311-PR-00411, excanciller y periodista.</w:t>
      </w:r>
    </w:p>
  </w:footnote>
  <w:footnote w:id="1169">
    <w:p w:rsidR="00591E90" w:rsidRPr="001A3528" w:rsidRDefault="00591E90">
      <w:pPr>
        <w:pStyle w:val="Textonotapie"/>
        <w:rPr>
          <w:lang w:val="es-CO"/>
        </w:rPr>
      </w:pPr>
      <w:r>
        <w:rPr>
          <w:rStyle w:val="Refdenotaalpie"/>
        </w:rPr>
        <w:footnoteRef/>
      </w:r>
      <w:r>
        <w:t xml:space="preserve"> </w:t>
      </w:r>
      <w:r w:rsidRPr="001A3528">
        <w:t>Entrevista 311-PR-03101, actor armado, miembro del equipo negociador de las FARC.</w:t>
      </w:r>
    </w:p>
  </w:footnote>
  <w:footnote w:id="1170">
    <w:p w:rsidR="00591E90" w:rsidRPr="001A3528" w:rsidRDefault="00591E90">
      <w:pPr>
        <w:pStyle w:val="Textonotapie"/>
        <w:rPr>
          <w:lang w:val="es-CO"/>
        </w:rPr>
      </w:pPr>
      <w:r>
        <w:rPr>
          <w:rStyle w:val="Refdenotaalpie"/>
        </w:rPr>
        <w:footnoteRef/>
      </w:r>
      <w:r>
        <w:t xml:space="preserve"> </w:t>
      </w:r>
      <w:r w:rsidRPr="001A3528">
        <w:t>Desde la visita realizada por Amnistía Internacional en 1980 en el marco de las detenciones arbitrarias, torturas y otras violaciones de derechos humanos cometidas en el marco del Estatuto de Seguridad del presidente Julio César Turbay (1978-1982) pasando por las visitas e informes de la CIDH, los relatores temáticos de Naciones Unidas y hasta el establecimiento de la OACNUDH y ACNUR en el gobierno de Ernesto Samper, en 1997.</w:t>
      </w:r>
    </w:p>
  </w:footnote>
  <w:footnote w:id="1171">
    <w:p w:rsidR="00591E90" w:rsidRPr="001A3528" w:rsidRDefault="00591E90">
      <w:pPr>
        <w:pStyle w:val="Textonotapie"/>
        <w:rPr>
          <w:lang w:val="es-CO"/>
        </w:rPr>
      </w:pPr>
      <w:r>
        <w:rPr>
          <w:rStyle w:val="Refdenotaalpie"/>
        </w:rPr>
        <w:footnoteRef/>
      </w:r>
      <w:r>
        <w:t xml:space="preserve"> </w:t>
      </w:r>
      <w:r w:rsidRPr="001A3528">
        <w:t>La realidad del exilio es heterogénea, compleja y responden a diferentes variables como la forma de migración, la trayectoria del desplazamiento, los miedos, el escenario legal del país de acogida y otras determinaciones. Véase al respecto: Comisión de la Verdad. (2022). Las verdades del Exilio: la Colombia fuera de Colombia. Volumen Exilio, Macro Territorial Internacional.</w:t>
      </w:r>
    </w:p>
  </w:footnote>
  <w:footnote w:id="1172">
    <w:p w:rsidR="00591E90" w:rsidRPr="001C2EF7" w:rsidRDefault="00591E90">
      <w:pPr>
        <w:pStyle w:val="Textonotapie"/>
        <w:rPr>
          <w:lang w:val="es-CO"/>
        </w:rPr>
      </w:pPr>
      <w:r>
        <w:rPr>
          <w:rStyle w:val="Refdenotaalpie"/>
        </w:rPr>
        <w:footnoteRef/>
      </w:r>
      <w:r>
        <w:t xml:space="preserve"> </w:t>
      </w:r>
      <w:r w:rsidRPr="001C2EF7">
        <w:t>Se recibieron 10.093 propuestas de recomendaciones con corte a 4 de abril de 2022. La base de datos sigue en proceso de actualización.</w:t>
      </w:r>
    </w:p>
  </w:footnote>
  <w:footnote w:id="1173">
    <w:p w:rsidR="00591E90" w:rsidRPr="001C2EF7" w:rsidRDefault="00591E90">
      <w:pPr>
        <w:pStyle w:val="Textonotapie"/>
        <w:rPr>
          <w:lang w:val="es-CO"/>
        </w:rPr>
      </w:pPr>
      <w:r>
        <w:rPr>
          <w:rStyle w:val="Refdenotaalpie"/>
        </w:rPr>
        <w:footnoteRef/>
      </w:r>
      <w:r>
        <w:t xml:space="preserve"> </w:t>
      </w:r>
      <w:r w:rsidRPr="001C2EF7">
        <w:t xml:space="preserve">El equipo está trabajando con la </w:t>
      </w:r>
      <w:proofErr w:type="spellStart"/>
      <w:r w:rsidRPr="001C2EF7">
        <w:t>Transmedia</w:t>
      </w:r>
      <w:proofErr w:type="spellEnd"/>
      <w:r w:rsidRPr="001C2EF7">
        <w:t xml:space="preserve"> para generar insumos digitales que le permitan a un público amplio acceder a las recomendaciones del Informe Final, la base de datos anonimizada y análisis estadísticos descriptivos de esta. Así mismo, comenzamos a conformar un equipo de apoyo para la escritura de una cartilla pedagógica que dé cuenta del proceso de recolección de recomendaciones, su sistematización y resultados en términos generales.</w:t>
      </w:r>
    </w:p>
  </w:footnote>
  <w:footnote w:id="1174">
    <w:p w:rsidR="00591E90" w:rsidRPr="00E96B85" w:rsidRDefault="00591E90">
      <w:pPr>
        <w:pStyle w:val="Textonotapie"/>
        <w:rPr>
          <w:lang w:val="es-CO"/>
        </w:rPr>
      </w:pPr>
      <w:r>
        <w:rPr>
          <w:rStyle w:val="Refdenotaalpie"/>
        </w:rPr>
        <w:footnoteRef/>
      </w:r>
      <w:r>
        <w:t xml:space="preserve"> </w:t>
      </w:r>
      <w:r w:rsidRPr="00E96B85">
        <w:t>Entrevista 417-VI-00002. Víctima, funcionario público, Buenaventura.</w:t>
      </w:r>
    </w:p>
  </w:footnote>
  <w:footnote w:id="1175">
    <w:p w:rsidR="00591E90" w:rsidRPr="00E96B85" w:rsidRDefault="00591E90">
      <w:pPr>
        <w:pStyle w:val="Textonotapie"/>
        <w:rPr>
          <w:lang w:val="es-CO"/>
        </w:rPr>
      </w:pPr>
      <w:r>
        <w:rPr>
          <w:rStyle w:val="Refdenotaalpie"/>
        </w:rPr>
        <w:footnoteRef/>
      </w:r>
      <w:r>
        <w:t xml:space="preserve"> </w:t>
      </w:r>
      <w:r w:rsidRPr="00E96B85">
        <w:t>Instituto Kroc, Cinco años después de la firma del Acuerdo Final: Reflexiones desde el monitoreo a la implementación.</w:t>
      </w:r>
    </w:p>
  </w:footnote>
  <w:footnote w:id="1176">
    <w:p w:rsidR="00591E90" w:rsidRPr="00E96B85" w:rsidRDefault="00591E90">
      <w:pPr>
        <w:pStyle w:val="Textonotapie"/>
        <w:rPr>
          <w:lang w:val="es-CO"/>
        </w:rPr>
      </w:pPr>
      <w:r>
        <w:rPr>
          <w:rStyle w:val="Refdenotaalpie"/>
        </w:rPr>
        <w:footnoteRef/>
      </w:r>
      <w:r>
        <w:t xml:space="preserve"> </w:t>
      </w:r>
      <w:r w:rsidRPr="00E96B85">
        <w:t>Sistema Integrado de Información para el Posconflicto, «Reporte del Sistema Integrado de Información para el Posconflicto»</w:t>
      </w:r>
    </w:p>
  </w:footnote>
  <w:footnote w:id="1177">
    <w:p w:rsidR="00591E90" w:rsidRPr="00E96B85" w:rsidRDefault="00591E90">
      <w:pPr>
        <w:pStyle w:val="Textonotapie"/>
        <w:rPr>
          <w:lang w:val="es-CO"/>
        </w:rPr>
      </w:pPr>
      <w:r>
        <w:rPr>
          <w:rStyle w:val="Refdenotaalpie"/>
        </w:rPr>
        <w:footnoteRef/>
      </w:r>
      <w:r>
        <w:t xml:space="preserve"> </w:t>
      </w:r>
      <w:r w:rsidRPr="00E96B85">
        <w:t>Instituto Kroc, Cinco años después de la firma del Acuerdo Final: Reflexiones desde el monitoreo a la implementación; Contraloría General de la Nación, 2021.</w:t>
      </w:r>
    </w:p>
  </w:footnote>
  <w:footnote w:id="1178">
    <w:p w:rsidR="00591E90" w:rsidRPr="00E96B85" w:rsidRDefault="00591E90">
      <w:pPr>
        <w:pStyle w:val="Textonotapie"/>
        <w:rPr>
          <w:lang w:val="es-CO"/>
        </w:rPr>
      </w:pPr>
      <w:r>
        <w:rPr>
          <w:rStyle w:val="Refdenotaalpie"/>
        </w:rPr>
        <w:footnoteRef/>
      </w:r>
      <w:r>
        <w:t xml:space="preserve"> </w:t>
      </w:r>
      <w:r w:rsidRPr="00E96B85">
        <w:t>Hallazgo recurrente en los diferentes informes oficiales de seguimiento a la implementación (Instituto Kroc, CINEP y CERAC, Contraloría General de la Nación y Procuraduría General de la Nación).</w:t>
      </w:r>
    </w:p>
  </w:footnote>
  <w:footnote w:id="1179">
    <w:p w:rsidR="00591E90" w:rsidRPr="00FE5623" w:rsidRDefault="00591E90">
      <w:pPr>
        <w:pStyle w:val="Textonotapie"/>
        <w:rPr>
          <w:lang w:val="es-CO"/>
        </w:rPr>
      </w:pPr>
      <w:r>
        <w:rPr>
          <w:rStyle w:val="Refdenotaalpie"/>
        </w:rPr>
        <w:footnoteRef/>
      </w:r>
      <w:r>
        <w:t xml:space="preserve"> </w:t>
      </w:r>
      <w:r w:rsidRPr="00FE5623">
        <w:t>Instituto Kroc, Cinco años después de la firma del Acuerdo Final: Reflexiones desde el monitoreo a la implementación.</w:t>
      </w:r>
    </w:p>
  </w:footnote>
  <w:footnote w:id="1180">
    <w:p w:rsidR="00591E90" w:rsidRPr="00FE5623" w:rsidRDefault="00591E90">
      <w:pPr>
        <w:pStyle w:val="Textonotapie"/>
        <w:rPr>
          <w:lang w:val="es-CO"/>
        </w:rPr>
      </w:pPr>
      <w:r>
        <w:rPr>
          <w:rStyle w:val="Refdenotaalpie"/>
        </w:rPr>
        <w:footnoteRef/>
      </w:r>
      <w:r>
        <w:t xml:space="preserve"> </w:t>
      </w:r>
      <w:r w:rsidRPr="00FE5623">
        <w:t>Misión de Verificación de las Naciones Unidas en Colombia, «Informe Trimestral del Secretario General».</w:t>
      </w:r>
    </w:p>
  </w:footnote>
  <w:footnote w:id="1181">
    <w:p w:rsidR="00591E90" w:rsidRPr="00FE5623" w:rsidRDefault="00591E90">
      <w:pPr>
        <w:pStyle w:val="Textonotapie"/>
        <w:rPr>
          <w:lang w:val="es-CO"/>
        </w:rPr>
      </w:pPr>
      <w:r>
        <w:rPr>
          <w:rStyle w:val="Refdenotaalpie"/>
        </w:rPr>
        <w:footnoteRef/>
      </w:r>
      <w:r>
        <w:t xml:space="preserve"> </w:t>
      </w:r>
      <w:r w:rsidRPr="00FE5623">
        <w:t>Estas recomendaciones se complementan con recomendaciones incluidas en Transformación Integral de Territorios, medidas sobre participación ciudadana e inclusión en Régimen Político y Participación y las recomendaciones hacia una política de seguridad para la paz.</w:t>
      </w:r>
    </w:p>
  </w:footnote>
  <w:footnote w:id="1182">
    <w:p w:rsidR="00591E90" w:rsidRPr="00FE5623" w:rsidRDefault="00591E90">
      <w:pPr>
        <w:pStyle w:val="Textonotapie"/>
        <w:rPr>
          <w:lang w:val="es-CO"/>
        </w:rPr>
      </w:pPr>
      <w:r>
        <w:rPr>
          <w:rStyle w:val="Refdenotaalpie"/>
        </w:rPr>
        <w:footnoteRef/>
      </w:r>
      <w:r>
        <w:t xml:space="preserve"> </w:t>
      </w:r>
      <w:r w:rsidRPr="00FE5623">
        <w:t>En cumplimiento del Acuerdo de Paz se tramitó y aprobó en el Congreso de la República la Ley 1908 de 2019. Congreso de la República, Ley 1908 de 2019.</w:t>
      </w:r>
    </w:p>
  </w:footnote>
  <w:footnote w:id="1183">
    <w:p w:rsidR="00591E90" w:rsidRPr="001E07AA" w:rsidRDefault="00591E90">
      <w:pPr>
        <w:pStyle w:val="Textonotapie"/>
        <w:rPr>
          <w:lang w:val="es-CO"/>
        </w:rPr>
      </w:pPr>
      <w:r>
        <w:rPr>
          <w:rStyle w:val="Refdenotaalpie"/>
        </w:rPr>
        <w:footnoteRef/>
      </w:r>
      <w:r>
        <w:t xml:space="preserve"> </w:t>
      </w:r>
      <w:r w:rsidRPr="001E07AA">
        <w:t>El acuerdo previó la creación de dos instancias. Por una parte, la Instancia Especial de Alto Nivel para Pueblos Étnicos (IANPE) como órgano consultor, representante e interlocutor de primer orden ante la Comisión de Seguimiento, Impulso y Verificación del Acuerdo Final de Paz (CSIVI) y la Instancia Especial de Mujeres para el Enfoque de Género en la Paz encargada de dar insumos y hacer recomendaciones a la CSIVI y hacer seguimiento a la implementación.</w:t>
      </w:r>
    </w:p>
  </w:footnote>
  <w:footnote w:id="1184">
    <w:p w:rsidR="00591E90" w:rsidRPr="001E07AA" w:rsidRDefault="00591E90">
      <w:pPr>
        <w:pStyle w:val="Textonotapie"/>
        <w:rPr>
          <w:lang w:val="es-CO"/>
        </w:rPr>
      </w:pPr>
      <w:r>
        <w:rPr>
          <w:rStyle w:val="Refdenotaalpie"/>
        </w:rPr>
        <w:footnoteRef/>
      </w:r>
      <w:r>
        <w:t xml:space="preserve"> </w:t>
      </w:r>
      <w:r w:rsidRPr="001E07AA">
        <w:t>Cumplimiento integral del punto 3.2.2 del Acuerdo de Paz, que alude a las garantías para la reincorporación económica y social.</w:t>
      </w:r>
    </w:p>
  </w:footnote>
  <w:footnote w:id="1185">
    <w:p w:rsidR="00591E90" w:rsidRPr="001E07AA" w:rsidRDefault="00591E90">
      <w:pPr>
        <w:pStyle w:val="Textonotapie"/>
        <w:rPr>
          <w:lang w:val="es-CO"/>
        </w:rPr>
      </w:pPr>
      <w:r>
        <w:rPr>
          <w:rStyle w:val="Refdenotaalpie"/>
        </w:rPr>
        <w:footnoteRef/>
      </w:r>
      <w:r>
        <w:t xml:space="preserve"> </w:t>
      </w:r>
      <w:r w:rsidRPr="001E07AA">
        <w:t>Teniendo en cuenta lo ordenado en las medidas cautelares de la JEP (Auto AT-057 del 29 de abril de 2020, Auto SAR AI 067 del 11 de noviembre 2021) y en la Sentencia SU-020 de 2022 de la Corte Constitucional con respecto a la reincorporación de excombatientes de las FARC-EP.</w:t>
      </w:r>
    </w:p>
  </w:footnote>
  <w:footnote w:id="1186">
    <w:p w:rsidR="00591E90" w:rsidRPr="001E07AA" w:rsidRDefault="00591E90">
      <w:pPr>
        <w:pStyle w:val="Textonotapie"/>
        <w:rPr>
          <w:lang w:val="es-CO"/>
        </w:rPr>
      </w:pPr>
      <w:r>
        <w:rPr>
          <w:rStyle w:val="Refdenotaalpie"/>
        </w:rPr>
        <w:footnoteRef/>
      </w:r>
      <w:r>
        <w:t xml:space="preserve"> </w:t>
      </w:r>
      <w:r w:rsidRPr="00135240">
        <w:t>Esta recomendación se relaciona con la Recomendación 11: «Cooperación Internacional sobre Política de Drogas».</w:t>
      </w:r>
    </w:p>
  </w:footnote>
  <w:footnote w:id="1187">
    <w:p w:rsidR="00591E90" w:rsidRPr="00135240" w:rsidRDefault="00591E90">
      <w:pPr>
        <w:pStyle w:val="Textonotapie"/>
        <w:rPr>
          <w:lang w:val="es-CO"/>
        </w:rPr>
      </w:pPr>
      <w:r>
        <w:rPr>
          <w:rStyle w:val="Refdenotaalpie"/>
        </w:rPr>
        <w:footnoteRef/>
      </w:r>
      <w:r>
        <w:t xml:space="preserve"> </w:t>
      </w:r>
      <w:r w:rsidRPr="00135240">
        <w:t>«Retos Humanitarios 2022, Colombia».</w:t>
      </w:r>
    </w:p>
  </w:footnote>
  <w:footnote w:id="1188">
    <w:p w:rsidR="00591E90" w:rsidRPr="004264C2" w:rsidRDefault="00591E90">
      <w:pPr>
        <w:pStyle w:val="Textonotapie"/>
        <w:rPr>
          <w:lang w:val="es-CO"/>
        </w:rPr>
      </w:pPr>
      <w:r>
        <w:rPr>
          <w:rStyle w:val="Refdenotaalpie"/>
        </w:rPr>
        <w:footnoteRef/>
      </w:r>
      <w:r>
        <w:t xml:space="preserve"> </w:t>
      </w:r>
      <w:r w:rsidRPr="004264C2">
        <w:t>El punto 3.4.3. del AFP establece la Comisión de Garantías de Seguridad, y el Decreto Ley 154 de 2017 en el Art. 3 numeral 14 que es función de la Comisión: «Diseñar, políticas para el sometimiento a la justicia de las organizaciones criminales y sus redes de apoyo a que hace referencia el artículo 1° del presente decreto, definiendo tratamientos específicos para los integrantes de dichas organizaciones y redes, incentivando y promoviendo un rápido y definitivo desmantelamiento de las mismas». Dichas medidas nunca significarán reconocimiento político.</w:t>
      </w:r>
    </w:p>
  </w:footnote>
  <w:footnote w:id="1189">
    <w:p w:rsidR="00591E90" w:rsidRPr="004264C2" w:rsidRDefault="00591E90">
      <w:pPr>
        <w:pStyle w:val="Textonotapie"/>
        <w:rPr>
          <w:lang w:val="es-CO"/>
        </w:rPr>
      </w:pPr>
      <w:r>
        <w:rPr>
          <w:rStyle w:val="Refdenotaalpie"/>
        </w:rPr>
        <w:footnoteRef/>
      </w:r>
      <w:r>
        <w:t xml:space="preserve"> </w:t>
      </w:r>
      <w:r w:rsidRPr="004264C2">
        <w:t>En 2018, se sancionó la Ley 1908 de 2018 que contenía medidas para el sometimiento de GAO. No obstante, no fue efectiva, pues ninguna organización se acogió. Adicionalmente, en el 2020 mediante el Decreto 965 el Gobierno dispuso la creación de medidas para la desmovilización individual que no tiene en cuenta la dimensión colectiva del fenómeno criminal.</w:t>
      </w:r>
    </w:p>
  </w:footnote>
  <w:footnote w:id="1190">
    <w:p w:rsidR="00591E90" w:rsidRPr="004264C2" w:rsidRDefault="00591E90">
      <w:pPr>
        <w:pStyle w:val="Textonotapie"/>
        <w:rPr>
          <w:lang w:val="es-CO"/>
        </w:rPr>
      </w:pPr>
      <w:r>
        <w:rPr>
          <w:rStyle w:val="Refdenotaalpie"/>
        </w:rPr>
        <w:footnoteRef/>
      </w:r>
      <w:r>
        <w:t xml:space="preserve"> </w:t>
      </w:r>
      <w:r w:rsidRPr="004264C2">
        <w:t>Ver orden del Auto SAR AI-013-2022 del 28 de febrero de la Sección de Primera Instancia para casos de Ausencia de Reconocimiento de Verdad y Responsabilidad de la JEP que ordena a la Oficina del Alto Comisionado para la paz a convocar sesión plenaria del CNGS para discutir y aprobar el plan de acción de la Política de desmantelamiento. En autos posteriores de seguimiento, la JEP ha verificado que el Gobierno Nacional no ha cumplido con la orden de poner en marcha una política de desmantelamiento de organizaciones criminales.</w:t>
      </w:r>
    </w:p>
  </w:footnote>
  <w:footnote w:id="1191">
    <w:p w:rsidR="00591E90" w:rsidRPr="004B5CC2" w:rsidRDefault="00591E90">
      <w:pPr>
        <w:pStyle w:val="Textonotapie"/>
        <w:rPr>
          <w:lang w:val="es-CO"/>
        </w:rPr>
      </w:pPr>
      <w:r>
        <w:rPr>
          <w:rStyle w:val="Refdenotaalpie"/>
        </w:rPr>
        <w:footnoteRef/>
      </w:r>
      <w:r>
        <w:t xml:space="preserve"> </w:t>
      </w:r>
      <w:r w:rsidRPr="009A2BF2">
        <w:t>Entrevista 341-VI-00014. Estudiante de derecho, hijo de militar víctima de secuestro y desaparición.</w:t>
      </w:r>
    </w:p>
  </w:footnote>
  <w:footnote w:id="1192">
    <w:p w:rsidR="00591E90" w:rsidRPr="009A2BF2" w:rsidRDefault="00591E90">
      <w:pPr>
        <w:pStyle w:val="Textonotapie"/>
        <w:rPr>
          <w:lang w:val="es-CO"/>
        </w:rPr>
      </w:pPr>
      <w:r>
        <w:rPr>
          <w:rStyle w:val="Refdenotaalpie"/>
        </w:rPr>
        <w:footnoteRef/>
      </w:r>
      <w:r>
        <w:t xml:space="preserve"> </w:t>
      </w:r>
      <w:r w:rsidRPr="009A2BF2">
        <w:t xml:space="preserve">El reto en este tema es grande, pues, en el proceso de sistematización de las recomendaciones recolectadas por la Comisión, al menos un 27 % de ellas, es decir, 2.449 recomendaciones, apuntan a acciones para la garantía de diversos derechos de las víctimas. Entre ellas, al menos 1.053 se relacionan con temas de fortalecimiento de la reparación integral; 409 a temas de fortalecimiento de la construcción de memoria y </w:t>
      </w:r>
      <w:proofErr w:type="spellStart"/>
      <w:r w:rsidRPr="009A2BF2">
        <w:t>memorialización</w:t>
      </w:r>
      <w:proofErr w:type="spellEnd"/>
      <w:r w:rsidRPr="009A2BF2">
        <w:t>; 380 al reconocimiento de la dignidad de las víctimas; 309 a avanzar en procesos de reconocimiento de responsabilidades; y 216 a fortalecer la atención psicosocial para víctimas y comunidades en general (lo anterior, en un análisis preliminar con corte a 4 de abril de 2022).</w:t>
      </w:r>
    </w:p>
  </w:footnote>
  <w:footnote w:id="1193">
    <w:p w:rsidR="00591E90" w:rsidRPr="003D4B92" w:rsidRDefault="00591E90">
      <w:pPr>
        <w:pStyle w:val="Textonotapie"/>
        <w:rPr>
          <w:lang w:val="es-CO"/>
        </w:rPr>
      </w:pPr>
      <w:r>
        <w:rPr>
          <w:rStyle w:val="Refdenotaalpie"/>
        </w:rPr>
        <w:footnoteRef/>
      </w:r>
      <w:r>
        <w:t xml:space="preserve"> </w:t>
      </w:r>
      <w:r w:rsidRPr="003D4B92">
        <w:t xml:space="preserve"> «Observaciones de la Procuraduría General de la Nación frente al proceso de ajuste de los indicadores de goce efectivo de los derechos de la población desplazada».</w:t>
      </w:r>
    </w:p>
  </w:footnote>
  <w:footnote w:id="1194">
    <w:p w:rsidR="00591E90" w:rsidRPr="003D4B92" w:rsidRDefault="00591E90">
      <w:pPr>
        <w:pStyle w:val="Textonotapie"/>
        <w:rPr>
          <w:lang w:val="es-CO"/>
        </w:rPr>
      </w:pPr>
      <w:r>
        <w:rPr>
          <w:rStyle w:val="Refdenotaalpie"/>
        </w:rPr>
        <w:footnoteRef/>
      </w:r>
      <w:r>
        <w:t xml:space="preserve"> </w:t>
      </w:r>
      <w:r w:rsidRPr="003D4B92">
        <w:t>Diaz, Sánchez, y Uprimny, Reparar en Colombia: los dilemas en contextos de conflicto, pobreza y exclusión.</w:t>
      </w:r>
    </w:p>
  </w:footnote>
  <w:footnote w:id="1195">
    <w:p w:rsidR="00591E90" w:rsidRPr="003D4B92" w:rsidRDefault="00591E90">
      <w:pPr>
        <w:pStyle w:val="Textonotapie"/>
        <w:rPr>
          <w:lang w:val="es-CO"/>
        </w:rPr>
      </w:pPr>
      <w:r>
        <w:rPr>
          <w:rStyle w:val="Refdenotaalpie"/>
        </w:rPr>
        <w:footnoteRef/>
      </w:r>
      <w:r>
        <w:t xml:space="preserve"> </w:t>
      </w:r>
      <w:r w:rsidRPr="003D4B92">
        <w:t>Un desarrollo de estas medidas se encuentra en el Volumen La Colombia fuera de Colombia: Las verdades del exilio, que da cuenta de estas realidades y personas de tantas maneras invisibles.</w:t>
      </w:r>
    </w:p>
  </w:footnote>
  <w:footnote w:id="1196">
    <w:p w:rsidR="00591E90" w:rsidRPr="003D4B92" w:rsidRDefault="00591E90">
      <w:pPr>
        <w:pStyle w:val="Textonotapie"/>
        <w:rPr>
          <w:lang w:val="es-CO"/>
        </w:rPr>
      </w:pPr>
      <w:r>
        <w:rPr>
          <w:rStyle w:val="Refdenotaalpie"/>
        </w:rPr>
        <w:footnoteRef/>
      </w:r>
      <w:r>
        <w:t xml:space="preserve"> </w:t>
      </w:r>
      <w:r w:rsidRPr="003D4B92">
        <w:t>El Espectador, «La crisis económica de la Casa de la Memoria de Tumaco por la que nadie responde».</w:t>
      </w:r>
    </w:p>
  </w:footnote>
  <w:footnote w:id="1197">
    <w:p w:rsidR="00591E90" w:rsidRPr="003D4B92" w:rsidRDefault="00591E90">
      <w:pPr>
        <w:pStyle w:val="Textonotapie"/>
        <w:rPr>
          <w:lang w:val="es-CO"/>
        </w:rPr>
      </w:pPr>
      <w:r>
        <w:rPr>
          <w:rStyle w:val="Refdenotaalpie"/>
        </w:rPr>
        <w:footnoteRef/>
      </w:r>
      <w:r>
        <w:t xml:space="preserve"> </w:t>
      </w:r>
      <w:r w:rsidRPr="003D4B92">
        <w:t xml:space="preserve">Pompilio Peña, «Víctimas de San Carlos serán desalojadas del </w:t>
      </w:r>
      <w:proofErr w:type="spellStart"/>
      <w:r w:rsidRPr="003D4B92">
        <w:t>Care</w:t>
      </w:r>
      <w:proofErr w:type="spellEnd"/>
      <w:r w:rsidRPr="003D4B92">
        <w:t>, su lugar de memoria», Hacemos Memoria.</w:t>
      </w:r>
    </w:p>
  </w:footnote>
  <w:footnote w:id="1198">
    <w:p w:rsidR="00591E90" w:rsidRPr="003D4B92" w:rsidRDefault="00591E90">
      <w:pPr>
        <w:pStyle w:val="Textonotapie"/>
        <w:rPr>
          <w:lang w:val="es-CO"/>
        </w:rPr>
      </w:pPr>
      <w:r>
        <w:rPr>
          <w:rStyle w:val="Refdenotaalpie"/>
        </w:rPr>
        <w:footnoteRef/>
      </w:r>
      <w:r>
        <w:t xml:space="preserve"> </w:t>
      </w:r>
      <w:r w:rsidRPr="003D4B92">
        <w:t>Los reconocimientos de responsabilidad a cargo del Gobierno deben ser liderados por el Ministerio para la Paz y la Reconciliación. Creemos que estas funciones podrían radicarse en este Ministerio una vez este se cree, sin embargo, mientras eso ocurre el Gobierno Nacional debe asegurar la continuidad de estos procesos. Es fundamental que para el ejercicio de estas funciones se puedan articular con la Unidad para la Atención y la Reparación Integral de las Víctimas, el Museo de Memoria de Colombia, la Jurisdicción Especial para la Paz, la Unidad de Búsqueda de Personas dadas por Desaparecidas, la Oficina del Alto Comisionado para la Paz y la Defensoría del Pueblo, así como con las entidades territoriales, especialmente sus oficinas de víctimas, paz y personerías.</w:t>
      </w:r>
    </w:p>
  </w:footnote>
  <w:footnote w:id="1199">
    <w:p w:rsidR="00591E90" w:rsidRPr="003D4B92" w:rsidRDefault="00591E90">
      <w:pPr>
        <w:pStyle w:val="Textonotapie"/>
        <w:rPr>
          <w:lang w:val="es-CO"/>
        </w:rPr>
      </w:pPr>
      <w:r>
        <w:rPr>
          <w:rStyle w:val="Refdenotaalpie"/>
        </w:rPr>
        <w:footnoteRef/>
      </w:r>
      <w:r>
        <w:t xml:space="preserve"> </w:t>
      </w:r>
      <w:r w:rsidRPr="003D4B92">
        <w:t>Ver en este Volumen de Hallazgos y Recomendaciones de la Comisión de la Verdad, el capítulo de Reconocimientos.</w:t>
      </w:r>
    </w:p>
  </w:footnote>
  <w:footnote w:id="1200">
    <w:p w:rsidR="00591E90" w:rsidRPr="00077CE5" w:rsidRDefault="00591E90">
      <w:pPr>
        <w:pStyle w:val="Textonotapie"/>
        <w:rPr>
          <w:lang w:val="es-CO"/>
        </w:rPr>
      </w:pPr>
      <w:r>
        <w:rPr>
          <w:rStyle w:val="Refdenotaalpie"/>
        </w:rPr>
        <w:footnoteRef/>
      </w:r>
      <w:r>
        <w:t xml:space="preserve"> </w:t>
      </w:r>
      <w:r w:rsidRPr="00077CE5">
        <w:t>Ley 1448 de 2011, Decretos 4633, 4634 y 4635 de 2011 y la Ley 2078 de 2021 que prorroga por 10 años la vigencia de la Ley de Víctimas.</w:t>
      </w:r>
    </w:p>
  </w:footnote>
  <w:footnote w:id="1201">
    <w:p w:rsidR="00591E90" w:rsidRPr="00077CE5" w:rsidRDefault="00591E90">
      <w:pPr>
        <w:pStyle w:val="Textonotapie"/>
        <w:rPr>
          <w:lang w:val="es-CO"/>
        </w:rPr>
      </w:pPr>
      <w:r>
        <w:rPr>
          <w:rStyle w:val="Refdenotaalpie"/>
        </w:rPr>
        <w:footnoteRef/>
      </w:r>
      <w:r>
        <w:t xml:space="preserve"> </w:t>
      </w:r>
      <w:r w:rsidRPr="00077CE5">
        <w:t>Los recursos adicionales podrían provenir de una reforma tributaria que incluya un impuesto transitorio con destinación específica o de un reajuste de la distribución actual del presupuesto general de la Nación, incluyendo el ajuste que debe darse al presupuesto del Ministerio de Defensa. Por ejemplo, CODHES propone implementar una reforma tributaria de paz mediante un pacto fiscal pro reparación económica de las víctimas.</w:t>
      </w:r>
    </w:p>
  </w:footnote>
  <w:footnote w:id="1202">
    <w:p w:rsidR="00591E90" w:rsidRPr="00077CE5" w:rsidRDefault="00591E90">
      <w:pPr>
        <w:pStyle w:val="Textonotapie"/>
        <w:rPr>
          <w:lang w:val="es-CO"/>
        </w:rPr>
      </w:pPr>
      <w:r>
        <w:rPr>
          <w:rStyle w:val="Refdenotaalpie"/>
        </w:rPr>
        <w:footnoteRef/>
      </w:r>
      <w:r>
        <w:t xml:space="preserve"> </w:t>
      </w:r>
      <w:r w:rsidRPr="00077CE5">
        <w:t>La Comisión es consciente de que esto implica destinar al menos 328,3 billones de pesos, constantes del 2021, según la Contraloría General de la República en el Octavo Informe de Seguimiento a la Ley 1448.</w:t>
      </w:r>
    </w:p>
  </w:footnote>
  <w:footnote w:id="1203">
    <w:p w:rsidR="00591E90" w:rsidRPr="00077CE5" w:rsidRDefault="00591E90">
      <w:pPr>
        <w:pStyle w:val="Textonotapie"/>
        <w:rPr>
          <w:lang w:val="es-CO"/>
        </w:rPr>
      </w:pPr>
      <w:r>
        <w:rPr>
          <w:rStyle w:val="Refdenotaalpie"/>
        </w:rPr>
        <w:footnoteRef/>
      </w:r>
      <w:r>
        <w:t xml:space="preserve"> </w:t>
      </w:r>
      <w:r w:rsidRPr="00077CE5">
        <w:t>El punto 5.1.3.7 del Acuerdo Final de Paz trae el compromiso de la modificación de la Ley 1448 de 2011, sin embargo, esto no se ha cumplido pues la Ley se prorrogó sin modificaciones.</w:t>
      </w:r>
    </w:p>
  </w:footnote>
  <w:footnote w:id="1204">
    <w:p w:rsidR="00591E90" w:rsidRPr="00077CE5" w:rsidRDefault="00591E90">
      <w:pPr>
        <w:pStyle w:val="Textonotapie"/>
        <w:rPr>
          <w:lang w:val="es-CO"/>
        </w:rPr>
      </w:pPr>
      <w:r>
        <w:rPr>
          <w:rStyle w:val="Refdenotaalpie"/>
        </w:rPr>
        <w:footnoteRef/>
      </w:r>
      <w:r>
        <w:t xml:space="preserve"> </w:t>
      </w:r>
      <w:r w:rsidRPr="00077CE5">
        <w:t>Relacionado con el Punto 5.1.3.7: Adecuación y fortalecimiento participativo de la Política de atención y reparación integral a víctimas en el marco del fin del conflicto y contribución a la reparación material de las víctimas.</w:t>
      </w:r>
    </w:p>
  </w:footnote>
  <w:footnote w:id="1205">
    <w:p w:rsidR="00591E90" w:rsidRPr="004766A1" w:rsidRDefault="00591E90">
      <w:pPr>
        <w:pStyle w:val="Textonotapie"/>
        <w:rPr>
          <w:lang w:val="es-CO"/>
        </w:rPr>
      </w:pPr>
      <w:r>
        <w:rPr>
          <w:rStyle w:val="Refdenotaalpie"/>
        </w:rPr>
        <w:footnoteRef/>
      </w:r>
      <w:r>
        <w:t xml:space="preserve"> </w:t>
      </w:r>
      <w:r w:rsidRPr="004766A1">
        <w:t>De conformidad con lo establecido en el punto 5.1.3.5. del Acuerdo Final de Paz, Procesos colectivos de retornos de personas en situación de desplazamiento y reparación de víctimas en el exterior.</w:t>
      </w:r>
    </w:p>
  </w:footnote>
  <w:footnote w:id="1206">
    <w:p w:rsidR="00591E90" w:rsidRPr="004766A1" w:rsidRDefault="00591E90">
      <w:pPr>
        <w:pStyle w:val="Textonotapie"/>
        <w:rPr>
          <w:lang w:val="es-CO"/>
        </w:rPr>
      </w:pPr>
      <w:r>
        <w:rPr>
          <w:rStyle w:val="Refdenotaalpie"/>
        </w:rPr>
        <w:footnoteRef/>
      </w:r>
      <w:r>
        <w:t xml:space="preserve"> </w:t>
      </w:r>
      <w:r w:rsidRPr="004766A1">
        <w:t>De conformidad con el Punto 5.1.3.7. del Acuerdo Final de Paz, Adecuación y fortalecimiento participativo de la Política de atención y reparación integral a víctimas en el marco del fin del conflicto y contribución a la reparación material de las víctimas.</w:t>
      </w:r>
    </w:p>
  </w:footnote>
  <w:footnote w:id="1207">
    <w:p w:rsidR="00591E90" w:rsidRPr="004766A1" w:rsidRDefault="00591E90">
      <w:pPr>
        <w:pStyle w:val="Textonotapie"/>
        <w:rPr>
          <w:lang w:val="es-CO"/>
        </w:rPr>
      </w:pPr>
      <w:r>
        <w:rPr>
          <w:rStyle w:val="Refdenotaalpie"/>
        </w:rPr>
        <w:footnoteRef/>
      </w:r>
      <w:r>
        <w:t xml:space="preserve"> </w:t>
      </w:r>
      <w:r w:rsidRPr="004766A1">
        <w:t>De conformidad con el Punto 5.1.3.7. del Acuerdo Final de Paz.</w:t>
      </w:r>
    </w:p>
  </w:footnote>
  <w:footnote w:id="1208">
    <w:p w:rsidR="00591E90" w:rsidRPr="00236842" w:rsidRDefault="00591E90">
      <w:pPr>
        <w:pStyle w:val="Textonotapie"/>
        <w:rPr>
          <w:lang w:val="es-CO"/>
        </w:rPr>
      </w:pPr>
      <w:r>
        <w:rPr>
          <w:rStyle w:val="Refdenotaalpie"/>
        </w:rPr>
        <w:footnoteRef/>
      </w:r>
      <w:r>
        <w:t xml:space="preserve"> </w:t>
      </w:r>
      <w:r w:rsidRPr="00236842">
        <w:t>El Plan Nacional de Rehabilitación para la Convivencia y la No Repetición se acordó en el punto 5.1.3.4.2 del Acuerdo Final de Paz con el fin de «aumentar la cobertura y elevar la calidad de las estrategias de rehabilitación comunitaria para la reconstrucción del tejido social», con énfasis en procesos comunitarios que lograran generar proyectos de vida en común y fortalecer la confianza entre los ciudadanos y las instituciones. Sin embargo, aún no ha sido aprobado por el Gobierno Nacional.</w:t>
      </w:r>
    </w:p>
  </w:footnote>
  <w:footnote w:id="1209">
    <w:p w:rsidR="00591E90" w:rsidRPr="00236842" w:rsidRDefault="00591E90">
      <w:pPr>
        <w:pStyle w:val="Textonotapie"/>
        <w:rPr>
          <w:lang w:val="es-CO"/>
        </w:rPr>
      </w:pPr>
      <w:r>
        <w:rPr>
          <w:rStyle w:val="Refdenotaalpie"/>
        </w:rPr>
        <w:footnoteRef/>
      </w:r>
      <w:r>
        <w:t xml:space="preserve"> </w:t>
      </w:r>
      <w:r w:rsidRPr="00236842">
        <w:t>En concordancia con el Punto 5.1.3.4.2, Plan de rehabilitación psico-social para la convivencia y la no repetición.</w:t>
      </w:r>
    </w:p>
  </w:footnote>
  <w:footnote w:id="1210">
    <w:p w:rsidR="00591E90" w:rsidRPr="008A2C80" w:rsidRDefault="00591E90">
      <w:pPr>
        <w:pStyle w:val="Textonotapie"/>
        <w:rPr>
          <w:lang w:val="es-CO"/>
        </w:rPr>
      </w:pPr>
      <w:r>
        <w:rPr>
          <w:rStyle w:val="Refdenotaalpie"/>
        </w:rPr>
        <w:footnoteRef/>
      </w:r>
      <w:r>
        <w:t xml:space="preserve"> </w:t>
      </w:r>
      <w:r w:rsidRPr="008A2C80">
        <w:t>Entre ellos, transformar en lugares de memoria y dignificación de las víctimas los sitios de secuestro, violencia sexual, desaparición forzada, detención arbitraria o ilegal y tortura identificados en informes internacionales de mecanismos de Naciones Unidas y del Sistema Interamericano, el informe de la Comisión, y sentencias judiciales.</w:t>
      </w:r>
    </w:p>
  </w:footnote>
  <w:footnote w:id="1211">
    <w:p w:rsidR="00591E90" w:rsidRPr="008A2C80" w:rsidRDefault="00591E90">
      <w:pPr>
        <w:pStyle w:val="Textonotapie"/>
        <w:rPr>
          <w:lang w:val="es-CO"/>
        </w:rPr>
      </w:pPr>
      <w:r>
        <w:rPr>
          <w:rStyle w:val="Refdenotaalpie"/>
        </w:rPr>
        <w:footnoteRef/>
      </w:r>
      <w:r>
        <w:t xml:space="preserve"> </w:t>
      </w:r>
      <w:r w:rsidRPr="008A2C80">
        <w:t xml:space="preserve">A nuestro juicio el Museo debería asumir varias de las funciones del CNMH, que entonces debería suprimirse, así como recibir y asumir el legado del Grupo de Memoria Histórica y de la Comisión de la Verdad. </w:t>
      </w:r>
    </w:p>
  </w:footnote>
  <w:footnote w:id="1212">
    <w:p w:rsidR="00591E90" w:rsidRPr="008A2C80" w:rsidRDefault="00591E90">
      <w:pPr>
        <w:pStyle w:val="Textonotapie"/>
      </w:pPr>
      <w:r>
        <w:rPr>
          <w:rStyle w:val="Refdenotaalpie"/>
        </w:rPr>
        <w:footnoteRef/>
      </w:r>
      <w:r>
        <w:t xml:space="preserve"> </w:t>
      </w:r>
      <w:r w:rsidRPr="008A2C80">
        <w:t>Podría ser a través de una junta directiva en la que participen el Gobierno, representantes de la academia y organizaciones de víctimas, a manera de ejemplo.</w:t>
      </w:r>
    </w:p>
  </w:footnote>
  <w:footnote w:id="1213">
    <w:p w:rsidR="00591E90" w:rsidRPr="008A2C80" w:rsidRDefault="00591E90">
      <w:pPr>
        <w:pStyle w:val="Textonotapie"/>
        <w:rPr>
          <w:lang w:val="es-CO"/>
        </w:rPr>
      </w:pPr>
      <w:r>
        <w:rPr>
          <w:rStyle w:val="Refdenotaalpie"/>
        </w:rPr>
        <w:footnoteRef/>
      </w:r>
      <w:r>
        <w:t xml:space="preserve"> </w:t>
      </w:r>
      <w:r w:rsidRPr="008A2C80">
        <w:t>Relacionado con el Punto 5.1.3.7. del Acuerdo Final de Paz. Adecuación y fortalecimiento participativo de la Política de atención y reparación integral a víctimas en el marco del fin del conflicto y contribución a la reparación material de las víctimas.</w:t>
      </w:r>
    </w:p>
  </w:footnote>
  <w:footnote w:id="1214">
    <w:p w:rsidR="00591E90" w:rsidRPr="008A2C80" w:rsidRDefault="00591E90">
      <w:pPr>
        <w:pStyle w:val="Textonotapie"/>
        <w:rPr>
          <w:lang w:val="es-CO"/>
        </w:rPr>
      </w:pPr>
      <w:r>
        <w:rPr>
          <w:rStyle w:val="Refdenotaalpie"/>
        </w:rPr>
        <w:footnoteRef/>
      </w:r>
      <w:r>
        <w:t xml:space="preserve"> </w:t>
      </w:r>
      <w:r w:rsidRPr="0066703C">
        <w:t>Es fundamental la inclusión del Departamento Administrativo Nacional de Estadística en esta tarea para promover el ejercicio de consolidación, contrastación y estimación por sistemas múltiples. Con esto no se busca promover la unificación de bases de datos, sino un ejercicio juicioso de consolidación y contrastación que respete y promueva el trabajo independiente de cada una de las entidades y organizaciones que se encargan de las diversas bases de datos.</w:t>
      </w:r>
    </w:p>
  </w:footnote>
  <w:footnote w:id="1215">
    <w:p w:rsidR="00591E90" w:rsidRPr="008A2C80" w:rsidRDefault="00591E90">
      <w:pPr>
        <w:pStyle w:val="Textonotapie"/>
        <w:rPr>
          <w:lang w:val="es-CO"/>
        </w:rPr>
      </w:pPr>
      <w:r>
        <w:rPr>
          <w:rStyle w:val="Refdenotaalpie"/>
        </w:rPr>
        <w:footnoteRef/>
      </w:r>
      <w:r>
        <w:t xml:space="preserve"> </w:t>
      </w:r>
      <w:r w:rsidRPr="00621EFA">
        <w:t>Actualmente, se encuentra vigente la Política Pública de Archivos de Derechos Humanos, publicada en 2017 por el CNMH, que viene siendo implementada por la entidad desde su creación a través, principalmente, de la conformación del Archivo.</w:t>
      </w:r>
    </w:p>
  </w:footnote>
  <w:footnote w:id="1216">
    <w:p w:rsidR="00591E90" w:rsidRPr="008A2C80" w:rsidRDefault="00591E90">
      <w:pPr>
        <w:pStyle w:val="Textonotapie"/>
        <w:rPr>
          <w:lang w:val="es-CO"/>
        </w:rPr>
      </w:pPr>
      <w:r>
        <w:rPr>
          <w:rStyle w:val="Refdenotaalpie"/>
        </w:rPr>
        <w:footnoteRef/>
      </w:r>
      <w:r>
        <w:t xml:space="preserve"> </w:t>
      </w:r>
      <w:r w:rsidRPr="00621EFA">
        <w:t>Actualmente, se encuentra vigente el Protocolo de Gestión Documental de los Archivos referidos a graves violaciones a los DDHH e infracciones al DIH en el marco del conflicto armado de febrero de 2017, creado por el CNMH y el Archivo General de la Nación. Esto, por tanto, se debe adelantar en coordinación con el AGN.</w:t>
      </w:r>
    </w:p>
  </w:footnote>
  <w:footnote w:id="1217">
    <w:p w:rsidR="00591E90" w:rsidRPr="008A2C80" w:rsidRDefault="00591E90">
      <w:pPr>
        <w:pStyle w:val="Textonotapie"/>
        <w:rPr>
          <w:lang w:val="es-CO"/>
        </w:rPr>
      </w:pPr>
      <w:r>
        <w:rPr>
          <w:rStyle w:val="Refdenotaalpie"/>
        </w:rPr>
        <w:footnoteRef/>
      </w:r>
      <w:r>
        <w:t xml:space="preserve"> </w:t>
      </w:r>
      <w:r w:rsidRPr="00621EFA">
        <w:t xml:space="preserve"> Es clave que en el desarrollo de la política pública se pueda fortalecer la articulación con los procesos de levantamiento de la reserva, desclasificación y depuración de archivos de inteligencia y contrainteligencia, que tengan valor histórico. Frente a este tipo de archivos, sugerimos revisar las recomendaciones que al respecto se proponen en el subtema de seguridad.</w:t>
      </w:r>
    </w:p>
  </w:footnote>
  <w:footnote w:id="1218">
    <w:p w:rsidR="00591E90" w:rsidRPr="00680360" w:rsidRDefault="00591E90">
      <w:pPr>
        <w:pStyle w:val="Textonotapie"/>
        <w:rPr>
          <w:lang w:val="es-CO"/>
        </w:rPr>
      </w:pPr>
      <w:r>
        <w:rPr>
          <w:rStyle w:val="Refdenotaalpie"/>
        </w:rPr>
        <w:footnoteRef/>
      </w:r>
      <w:r>
        <w:t xml:space="preserve"> </w:t>
      </w:r>
      <w:r w:rsidRPr="00680360">
        <w:t>Entrevista 238-VI-00009. Víctima, candidato de elección popular, Pailitas.</w:t>
      </w:r>
    </w:p>
  </w:footnote>
  <w:footnote w:id="1219">
    <w:p w:rsidR="00591E90" w:rsidRPr="00CB1BB1" w:rsidRDefault="00591E90">
      <w:pPr>
        <w:pStyle w:val="Textonotapie"/>
        <w:rPr>
          <w:lang w:val="es-CO"/>
        </w:rPr>
      </w:pPr>
      <w:r>
        <w:rPr>
          <w:rStyle w:val="Refdenotaalpie"/>
        </w:rPr>
        <w:footnoteRef/>
      </w:r>
      <w:r>
        <w:t xml:space="preserve"> </w:t>
      </w:r>
      <w:r w:rsidRPr="00CB1BB1">
        <w:t>Instituto Kroc, Cinco años después de la firma del Acuerdo Final: Reflexiones desde el monitoreo a la implementación.</w:t>
      </w:r>
    </w:p>
  </w:footnote>
  <w:footnote w:id="1220">
    <w:p w:rsidR="00591E90" w:rsidRPr="00CB1BB1" w:rsidRDefault="00591E90" w:rsidP="00CB1BB1">
      <w:pPr>
        <w:pStyle w:val="Textonotapie"/>
        <w:rPr>
          <w:lang w:val="es-CO"/>
        </w:rPr>
      </w:pPr>
      <w:r>
        <w:rPr>
          <w:rStyle w:val="Refdenotaalpie"/>
        </w:rPr>
        <w:footnoteRef/>
      </w:r>
      <w:r>
        <w:t xml:space="preserve"> Relacionado con los Puntos 2.2.1«Garantías para los movimientos y las organizaciones sociales» y «Garantías para la movilización y la protesta pacífica» 2.2.2 del Acuerdo Final de Paz.</w:t>
      </w:r>
    </w:p>
  </w:footnote>
  <w:footnote w:id="1221">
    <w:p w:rsidR="00591E90" w:rsidRPr="008317B6" w:rsidRDefault="00591E90">
      <w:pPr>
        <w:pStyle w:val="Textonotapie"/>
        <w:rPr>
          <w:lang w:val="es-CO"/>
        </w:rPr>
      </w:pPr>
      <w:r>
        <w:rPr>
          <w:rStyle w:val="Refdenotaalpie"/>
        </w:rPr>
        <w:footnoteRef/>
      </w:r>
      <w:r>
        <w:t xml:space="preserve"> </w:t>
      </w:r>
      <w:r w:rsidRPr="008317B6">
        <w:t>Incluye y va más allá de lo establecido en el punto 3.4.2 «Pacto Político Nacional» del Acuerdo Final de Paz.</w:t>
      </w:r>
    </w:p>
  </w:footnote>
  <w:footnote w:id="1222">
    <w:p w:rsidR="00591E90" w:rsidRPr="008317B6" w:rsidRDefault="00591E90">
      <w:pPr>
        <w:pStyle w:val="Textonotapie"/>
        <w:rPr>
          <w:lang w:val="es-CO"/>
        </w:rPr>
      </w:pPr>
      <w:r>
        <w:rPr>
          <w:rStyle w:val="Refdenotaalpie"/>
        </w:rPr>
        <w:footnoteRef/>
      </w:r>
      <w:r>
        <w:t xml:space="preserve"> </w:t>
      </w:r>
      <w:r w:rsidRPr="00665D28">
        <w:t>De acuerdo con el Informe de la Misión Electoral, la utilización del voto preferente o lista abierta atenta contra la democracia interna de los partidos. «Informe Misión Especial Electoral (2016)».</w:t>
      </w:r>
    </w:p>
  </w:footnote>
  <w:footnote w:id="1223">
    <w:p w:rsidR="00591E90" w:rsidRPr="008317B6" w:rsidRDefault="00591E90">
      <w:pPr>
        <w:pStyle w:val="Textonotapie"/>
        <w:rPr>
          <w:lang w:val="es-CO"/>
        </w:rPr>
      </w:pPr>
      <w:r>
        <w:rPr>
          <w:rStyle w:val="Refdenotaalpie"/>
        </w:rPr>
        <w:footnoteRef/>
      </w:r>
      <w:r>
        <w:t xml:space="preserve"> </w:t>
      </w:r>
      <w:r w:rsidRPr="00665D28">
        <w:t>Misión de Observación Electoral (MOE).</w:t>
      </w:r>
    </w:p>
  </w:footnote>
  <w:footnote w:id="1224">
    <w:p w:rsidR="00591E90" w:rsidRPr="001525EB" w:rsidRDefault="00591E90">
      <w:pPr>
        <w:pStyle w:val="Textonotapie"/>
        <w:rPr>
          <w:lang w:val="es-CO"/>
        </w:rPr>
      </w:pPr>
      <w:r>
        <w:rPr>
          <w:rStyle w:val="Refdenotaalpie"/>
        </w:rPr>
        <w:footnoteRef/>
      </w:r>
      <w:r>
        <w:t xml:space="preserve"> </w:t>
      </w:r>
      <w:r w:rsidRPr="001525EB">
        <w:t>Es importante avanzar en el reconocimiento de la legitimidad de la Minga indígena como una institución étnica de concertación y diálogo entre autoridades, y garantizar, por parte de los representantes del Estado y de la sociedad civil, la no estigmatización de esta expresión válida de gobierno.</w:t>
      </w:r>
    </w:p>
  </w:footnote>
  <w:footnote w:id="1225">
    <w:p w:rsidR="00591E90" w:rsidRPr="001525EB" w:rsidRDefault="00591E90">
      <w:pPr>
        <w:pStyle w:val="Textonotapie"/>
        <w:rPr>
          <w:lang w:val="es-CO"/>
        </w:rPr>
      </w:pPr>
      <w:r>
        <w:rPr>
          <w:rStyle w:val="Refdenotaalpie"/>
        </w:rPr>
        <w:footnoteRef/>
      </w:r>
      <w:r>
        <w:t xml:space="preserve"> </w:t>
      </w:r>
      <w:r w:rsidRPr="001525EB">
        <w:t>Relacionado con el Punto 2.2.1. Garantías para los movimientos y organizaciones sociales del Acuerdo final de paz que establece medidas como el fortalecimiento, intercambio de experiencias exitosas, agendas de trabajo locales, metodologías de incidencia, entre otras, para garantizar una sociedad democrática y organizada como una condición necesaria de la construcción de paz.</w:t>
      </w:r>
    </w:p>
  </w:footnote>
  <w:footnote w:id="1226">
    <w:p w:rsidR="00591E90" w:rsidRPr="001525EB" w:rsidRDefault="00591E90">
      <w:pPr>
        <w:pStyle w:val="Textonotapie"/>
        <w:rPr>
          <w:lang w:val="es-CO"/>
        </w:rPr>
      </w:pPr>
      <w:r>
        <w:rPr>
          <w:rStyle w:val="Refdenotaalpie"/>
        </w:rPr>
        <w:footnoteRef/>
      </w:r>
      <w:r>
        <w:t xml:space="preserve"> </w:t>
      </w:r>
      <w:r w:rsidRPr="001525EB">
        <w:t>Relacionado con el punto 2.2.2: «Garantías para la movilización y la protesta pacífica» del Acuerdo Final de Paz.</w:t>
      </w:r>
    </w:p>
  </w:footnote>
  <w:footnote w:id="1227">
    <w:p w:rsidR="00591E90" w:rsidRPr="001525EB" w:rsidRDefault="00591E90">
      <w:pPr>
        <w:pStyle w:val="Textonotapie"/>
        <w:rPr>
          <w:lang w:val="es-CO"/>
        </w:rPr>
      </w:pPr>
      <w:r>
        <w:rPr>
          <w:rStyle w:val="Refdenotaalpie"/>
        </w:rPr>
        <w:footnoteRef/>
      </w:r>
      <w:r>
        <w:t xml:space="preserve"> </w:t>
      </w:r>
      <w:r w:rsidRPr="001525EB">
        <w:t>Corte Constitucional, Sentencia C-281/17, 3 de mayo de 2017.</w:t>
      </w:r>
    </w:p>
  </w:footnote>
  <w:footnote w:id="1228">
    <w:p w:rsidR="00591E90" w:rsidRPr="00FC63DC" w:rsidRDefault="00591E90">
      <w:pPr>
        <w:pStyle w:val="Textonotapie"/>
        <w:rPr>
          <w:lang w:val="es-CO"/>
        </w:rPr>
      </w:pPr>
      <w:r>
        <w:rPr>
          <w:rStyle w:val="Refdenotaalpie"/>
        </w:rPr>
        <w:footnoteRef/>
      </w:r>
      <w:r>
        <w:t xml:space="preserve"> </w:t>
      </w:r>
      <w:r w:rsidRPr="00137E27">
        <w:t>Para garantizar lo anterior, las Procuradurías Delegadas, Provinciales, Regionales y Distritales, deben dar prevalencia en sus actuaciones a las quejas relacionadas con las mencionadas conductas por parte de servidores públicos, de conformidad con la Directiva 002 de 2017 de la Procuraduría General de la Nación.</w:t>
      </w:r>
    </w:p>
  </w:footnote>
  <w:footnote w:id="1229">
    <w:p w:rsidR="00591E90" w:rsidRPr="00FC63DC" w:rsidRDefault="00591E90">
      <w:pPr>
        <w:pStyle w:val="Textonotapie"/>
        <w:rPr>
          <w:lang w:val="es-CO"/>
        </w:rPr>
      </w:pPr>
      <w:r>
        <w:rPr>
          <w:rStyle w:val="Refdenotaalpie"/>
        </w:rPr>
        <w:footnoteRef/>
      </w:r>
      <w:r>
        <w:t xml:space="preserve"> </w:t>
      </w:r>
      <w:r w:rsidRPr="00137E27">
        <w:t>Relacionado con el Acuerdo Final de Paz en el 3.4.9, aunque esta medida apunta a ir más allá de lo pactado en dicho punto.</w:t>
      </w:r>
    </w:p>
  </w:footnote>
  <w:footnote w:id="1230">
    <w:p w:rsidR="00591E90" w:rsidRPr="008229D2" w:rsidRDefault="00591E90">
      <w:pPr>
        <w:pStyle w:val="Textonotapie"/>
        <w:rPr>
          <w:lang w:val="es-CO"/>
        </w:rPr>
      </w:pPr>
      <w:r>
        <w:rPr>
          <w:rStyle w:val="Refdenotaalpie"/>
        </w:rPr>
        <w:footnoteRef/>
      </w:r>
      <w:r>
        <w:t xml:space="preserve"> </w:t>
      </w:r>
      <w:r w:rsidRPr="00776243">
        <w:t>Presidencia de la República, Decreto 660 de 2018.</w:t>
      </w:r>
    </w:p>
  </w:footnote>
  <w:footnote w:id="1231">
    <w:p w:rsidR="00591E90" w:rsidRPr="008229D2" w:rsidRDefault="00591E90">
      <w:pPr>
        <w:pStyle w:val="Textonotapie"/>
        <w:rPr>
          <w:lang w:val="es-CO"/>
        </w:rPr>
      </w:pPr>
      <w:r>
        <w:rPr>
          <w:rStyle w:val="Refdenotaalpie"/>
        </w:rPr>
        <w:footnoteRef/>
      </w:r>
      <w:r>
        <w:t xml:space="preserve"> </w:t>
      </w:r>
      <w:r w:rsidRPr="00776243">
        <w:t>Ministerio de Interior, Resolución 0845 de 2018.</w:t>
      </w:r>
    </w:p>
  </w:footnote>
  <w:footnote w:id="1232">
    <w:p w:rsidR="00591E90" w:rsidRPr="00C77F4D" w:rsidRDefault="00591E90">
      <w:pPr>
        <w:pStyle w:val="Textonotapie"/>
        <w:rPr>
          <w:lang w:val="es-CO"/>
        </w:rPr>
      </w:pPr>
      <w:r>
        <w:rPr>
          <w:rStyle w:val="Refdenotaalpie"/>
        </w:rPr>
        <w:footnoteRef/>
      </w:r>
      <w:r>
        <w:t xml:space="preserve"> </w:t>
      </w:r>
      <w:r w:rsidRPr="00C77F4D">
        <w:t>Entrevista 222-VI-00082. Víctima, campesino, Mercaderes.</w:t>
      </w:r>
    </w:p>
  </w:footnote>
  <w:footnote w:id="1233">
    <w:p w:rsidR="00591E90" w:rsidRPr="00C77F4D" w:rsidRDefault="00591E90">
      <w:pPr>
        <w:pStyle w:val="Textonotapie"/>
        <w:rPr>
          <w:lang w:val="es-CO"/>
        </w:rPr>
      </w:pPr>
      <w:r>
        <w:rPr>
          <w:rStyle w:val="Refdenotaalpie"/>
        </w:rPr>
        <w:footnoteRef/>
      </w:r>
      <w:r>
        <w:t xml:space="preserve"> </w:t>
      </w:r>
      <w:r w:rsidRPr="00C77F4D">
        <w:t>Comisión Global de Políticas de Drogas, 2018.</w:t>
      </w:r>
    </w:p>
  </w:footnote>
  <w:footnote w:id="1234">
    <w:p w:rsidR="00591E90" w:rsidRPr="00C77F4D" w:rsidRDefault="00591E90">
      <w:pPr>
        <w:pStyle w:val="Textonotapie"/>
        <w:rPr>
          <w:lang w:val="es-CO"/>
        </w:rPr>
      </w:pPr>
      <w:r>
        <w:rPr>
          <w:rStyle w:val="Refdenotaalpie"/>
        </w:rPr>
        <w:footnoteRef/>
      </w:r>
      <w:r>
        <w:t xml:space="preserve"> </w:t>
      </w:r>
      <w:r w:rsidRPr="00C77F4D">
        <w:t>Relacionado con el punto 4.3.5. Conferencia Internacional y espacios de diálogo regionales del Acuerdo Final de Paz.</w:t>
      </w:r>
    </w:p>
  </w:footnote>
  <w:footnote w:id="1235">
    <w:p w:rsidR="00591E90" w:rsidRPr="00C77F4D" w:rsidRDefault="00591E90">
      <w:pPr>
        <w:pStyle w:val="Textonotapie"/>
        <w:rPr>
          <w:lang w:val="es-CO"/>
        </w:rPr>
      </w:pPr>
      <w:r>
        <w:rPr>
          <w:rStyle w:val="Refdenotaalpie"/>
        </w:rPr>
        <w:footnoteRef/>
      </w:r>
      <w:r>
        <w:t xml:space="preserve"> </w:t>
      </w:r>
      <w:r w:rsidRPr="00AE7681">
        <w:t xml:space="preserve">La Corte Constitucional en el Auto 387 de 2019, estableció como criterio adicional a tener en cuenta por el Consejo Nacional de Estupefacientes para la reactivación de la aspersión aérea que «la decisión deberá tomarse dentro del marco de la política pública que se deriva del Punto Cuarto del Acuerdo Fi  </w:t>
      </w:r>
      <w:proofErr w:type="spellStart"/>
      <w:r w:rsidRPr="00AE7681">
        <w:t>nal</w:t>
      </w:r>
      <w:proofErr w:type="spellEnd"/>
      <w:r w:rsidRPr="00AE7681">
        <w:t xml:space="preserve"> para la Terminación del Conflicto y la Construcción de una Paz Estable y Duradera, en los términos del Acto Legislativo 02 de 2017, del Decreto-Ley 896 de 2017 y demás instrumentos de implementación y desarrollo».</w:t>
      </w:r>
    </w:p>
  </w:footnote>
  <w:footnote w:id="1236">
    <w:p w:rsidR="00591E90" w:rsidRPr="00C77F4D" w:rsidRDefault="00591E90">
      <w:pPr>
        <w:pStyle w:val="Textonotapie"/>
        <w:rPr>
          <w:lang w:val="es-CO"/>
        </w:rPr>
      </w:pPr>
      <w:r>
        <w:rPr>
          <w:rStyle w:val="Refdenotaalpie"/>
        </w:rPr>
        <w:footnoteRef/>
      </w:r>
      <w:r>
        <w:t xml:space="preserve"> </w:t>
      </w:r>
      <w:r w:rsidRPr="00AE7681">
        <w:t>Ministerio de Salud y Protección Social (Minsalud), Resolución 089 de 2019.</w:t>
      </w:r>
    </w:p>
  </w:footnote>
  <w:footnote w:id="1237">
    <w:p w:rsidR="00591E90" w:rsidRPr="00AE7681" w:rsidRDefault="00591E90">
      <w:pPr>
        <w:pStyle w:val="Textonotapie"/>
        <w:rPr>
          <w:lang w:val="es-CO"/>
        </w:rPr>
      </w:pPr>
      <w:r>
        <w:rPr>
          <w:rStyle w:val="Refdenotaalpie"/>
        </w:rPr>
        <w:footnoteRef/>
      </w:r>
      <w:r>
        <w:t xml:space="preserve"> </w:t>
      </w:r>
      <w:r w:rsidRPr="00AE7681">
        <w:t>Violaciones a DDHH e infracciones al DIH.</w:t>
      </w:r>
    </w:p>
  </w:footnote>
  <w:footnote w:id="1238">
    <w:p w:rsidR="00591E90" w:rsidRPr="00AE7681" w:rsidRDefault="00591E90">
      <w:pPr>
        <w:pStyle w:val="Textonotapie"/>
        <w:rPr>
          <w:lang w:val="es-CO"/>
        </w:rPr>
      </w:pPr>
      <w:r>
        <w:rPr>
          <w:rStyle w:val="Refdenotaalpie"/>
        </w:rPr>
        <w:footnoteRef/>
      </w:r>
      <w:r>
        <w:t xml:space="preserve"> </w:t>
      </w:r>
      <w:r w:rsidRPr="00AE7681">
        <w:t>El liderazgo en el debate internacional debería realizarse sobre la base de una estrategia de incidencia con organizaciones civiles nacionales e internacionales, con representantes de pueblos étnicos y campesinos, universidades y expertos. Relacionado con el punto 4.3.5 «Conferencia Internacional y espacios de diálogos regionales» del Acuerdo Final de Paz.</w:t>
      </w:r>
    </w:p>
  </w:footnote>
  <w:footnote w:id="1239">
    <w:p w:rsidR="00591E90" w:rsidRPr="00AE7681" w:rsidRDefault="00591E90">
      <w:pPr>
        <w:pStyle w:val="Textonotapie"/>
        <w:rPr>
          <w:lang w:val="es-CO"/>
        </w:rPr>
      </w:pPr>
      <w:r>
        <w:rPr>
          <w:rStyle w:val="Refdenotaalpie"/>
        </w:rPr>
        <w:footnoteRef/>
      </w:r>
      <w:r>
        <w:t xml:space="preserve"> </w:t>
      </w:r>
      <w:r w:rsidRPr="00AE7681">
        <w:t>Esto implica eliminar la erradicación por parte del Ejército Nacional.</w:t>
      </w:r>
    </w:p>
  </w:footnote>
  <w:footnote w:id="1240">
    <w:p w:rsidR="00591E90" w:rsidRPr="00AE7681" w:rsidRDefault="00591E90">
      <w:pPr>
        <w:pStyle w:val="Textonotapie"/>
        <w:rPr>
          <w:lang w:val="es-CO"/>
        </w:rPr>
      </w:pPr>
      <w:r>
        <w:rPr>
          <w:rStyle w:val="Refdenotaalpie"/>
        </w:rPr>
        <w:footnoteRef/>
      </w:r>
      <w:r>
        <w:t xml:space="preserve"> </w:t>
      </w:r>
      <w:r w:rsidRPr="00AE7681">
        <w:t>Esta recomendación se relaciona con lo planteado en el tema de transformación integral de los territorios y con los puntos 1 Reforma Rural Integral y el 4.1 Programa de Sustitución de Cultivos de uso Ilícito del Acuerdo Final de paz. Esto incluye inversión social, bienes y servicios públicos, acceso a tierra y formalización, integración a mercados legales y garantías de seguridad.</w:t>
      </w:r>
    </w:p>
  </w:footnote>
  <w:footnote w:id="1241">
    <w:p w:rsidR="00591E90" w:rsidRPr="00AE7681" w:rsidRDefault="00591E90">
      <w:pPr>
        <w:pStyle w:val="Textonotapie"/>
        <w:rPr>
          <w:lang w:val="es-CO"/>
        </w:rPr>
      </w:pPr>
      <w:r>
        <w:rPr>
          <w:rStyle w:val="Refdenotaalpie"/>
        </w:rPr>
        <w:footnoteRef/>
      </w:r>
      <w:r>
        <w:t xml:space="preserve"> </w:t>
      </w:r>
      <w:r w:rsidRPr="00AE7681">
        <w:t>Relacionado con el punto 4.2. «Programa de Prevención del Consumo y Salud Pública» del Acuerdo Final de Paz.</w:t>
      </w:r>
    </w:p>
  </w:footnote>
  <w:footnote w:id="1242">
    <w:p w:rsidR="00591E90" w:rsidRPr="00AE7681" w:rsidRDefault="00591E90">
      <w:pPr>
        <w:pStyle w:val="Textonotapie"/>
        <w:rPr>
          <w:lang w:val="es-CO"/>
        </w:rPr>
      </w:pPr>
      <w:r>
        <w:rPr>
          <w:rStyle w:val="Refdenotaalpie"/>
        </w:rPr>
        <w:footnoteRef/>
      </w:r>
      <w:r>
        <w:t xml:space="preserve"> </w:t>
      </w:r>
      <w:r w:rsidRPr="00AE7681">
        <w:t>La atención del consumo problemático debería enfocarse no solo en lo urbano sino en pueblos étnicos (indígenas y afrodescendientes) y campesinas y en sectores como las fuerzas armadas y la población de excombatientes.</w:t>
      </w:r>
    </w:p>
  </w:footnote>
  <w:footnote w:id="1243">
    <w:p w:rsidR="00591E90" w:rsidRPr="00AE7681" w:rsidRDefault="00591E90">
      <w:pPr>
        <w:pStyle w:val="Textonotapie"/>
        <w:rPr>
          <w:lang w:val="es-CO"/>
        </w:rPr>
      </w:pPr>
      <w:r>
        <w:rPr>
          <w:rStyle w:val="Refdenotaalpie"/>
        </w:rPr>
        <w:footnoteRef/>
      </w:r>
      <w:r>
        <w:t xml:space="preserve"> </w:t>
      </w:r>
      <w:r w:rsidRPr="00AE7681">
        <w:t>Se relaciona con la propuesta sobre verdad y judicialización del Narcotráfico que se encuentra en el tema de «Impunidad».</w:t>
      </w:r>
    </w:p>
  </w:footnote>
  <w:footnote w:id="1244">
    <w:p w:rsidR="00591E90" w:rsidRPr="00AE7681" w:rsidRDefault="00591E90">
      <w:pPr>
        <w:pStyle w:val="Textonotapie"/>
        <w:rPr>
          <w:lang w:val="es-CO"/>
        </w:rPr>
      </w:pPr>
      <w:r>
        <w:rPr>
          <w:rStyle w:val="Refdenotaalpie"/>
        </w:rPr>
        <w:footnoteRef/>
      </w:r>
      <w:r>
        <w:t xml:space="preserve"> </w:t>
      </w:r>
      <w:r w:rsidRPr="00AE7681">
        <w:t>Se relaciona, aunque va más allá, con el compromiso asumido en el punto 6.1.9. g del Acuerdo final de paz relacionado con el trámite de un proyecto de ley de tratamiento penal diferencial de cultivadores y cultivadoras y mujeres que se encuentren en prisión por delitos menores de drogas.</w:t>
      </w:r>
    </w:p>
  </w:footnote>
  <w:footnote w:id="1245">
    <w:p w:rsidR="00591E90" w:rsidRPr="00661BC3" w:rsidRDefault="00591E90">
      <w:pPr>
        <w:pStyle w:val="Textonotapie"/>
        <w:rPr>
          <w:lang w:val="es-CO"/>
        </w:rPr>
      </w:pPr>
      <w:r>
        <w:rPr>
          <w:rStyle w:val="Refdenotaalpie"/>
        </w:rPr>
        <w:footnoteRef/>
      </w:r>
      <w:r>
        <w:t xml:space="preserve"> </w:t>
      </w:r>
      <w:r w:rsidRPr="00661BC3">
        <w:t>Entrevista 080-VI-00028. Víctima, ama de casa, Medellín.</w:t>
      </w:r>
    </w:p>
  </w:footnote>
  <w:footnote w:id="1246">
    <w:p w:rsidR="00591E90" w:rsidRPr="00661BC3" w:rsidRDefault="00591E90">
      <w:pPr>
        <w:pStyle w:val="Textonotapie"/>
        <w:rPr>
          <w:lang w:val="es-CO"/>
        </w:rPr>
      </w:pPr>
      <w:r>
        <w:rPr>
          <w:rStyle w:val="Refdenotaalpie"/>
        </w:rPr>
        <w:footnoteRef/>
      </w:r>
      <w:r>
        <w:t xml:space="preserve"> </w:t>
      </w:r>
      <w:r w:rsidRPr="00661BC3">
        <w:t>Corte Constitucional, Sentencia C-674/17, 14 de noviembre de 2017.</w:t>
      </w:r>
    </w:p>
  </w:footnote>
  <w:footnote w:id="1247">
    <w:p w:rsidR="00591E90" w:rsidRPr="00B91ED4" w:rsidRDefault="00591E90">
      <w:pPr>
        <w:pStyle w:val="Textonotapie"/>
        <w:rPr>
          <w:lang w:val="es-CO"/>
        </w:rPr>
      </w:pPr>
      <w:r>
        <w:rPr>
          <w:rStyle w:val="Refdenotaalpie"/>
        </w:rPr>
        <w:footnoteRef/>
      </w:r>
      <w:r>
        <w:t xml:space="preserve"> </w:t>
      </w:r>
      <w:r w:rsidRPr="00B91ED4">
        <w:t>En la sentencia C-674 de 2017, la Corte Constitucional estableció que la JEP solo tenía competencia sobre los terceros civiles que se acojan voluntariamente. Sin embargo, precisó que las autoridades que mantienen la</w:t>
      </w:r>
      <w:r>
        <w:t xml:space="preserve"> </w:t>
      </w:r>
      <w:r w:rsidRPr="00BE5DA4">
        <w:t>competencia de investigarlos deben priorizar esas conductas. Al respecto indicó que: «En dicho régimen deberá priorizarse la investigación y el juzgamiento de aquellas personas sobre las que existan señalamientos serios de haber participado en los crímenes más graves en el marco del conflicto armado interno, las cuales conservarán la posibilidad de acogerse de manera oportuna a la JEP, para acceder a los beneficios que esa jurisdicción ofrece y con el pleno sometimiento al sistema de condicionalidades en ella previsto». En consecuencia, en la Sentencia C-080 de 2018, la Corte Constitucional ordenó en el resolutivo que en el artículo 71 de la Ley Estatutaria de la JEP se entendiera que la priorización no era una facultad sino un deber.</w:t>
      </w:r>
    </w:p>
  </w:footnote>
  <w:footnote w:id="1248">
    <w:p w:rsidR="00591E90" w:rsidRPr="00A80E53" w:rsidRDefault="00591E90">
      <w:pPr>
        <w:pStyle w:val="Textonotapie"/>
        <w:rPr>
          <w:lang w:val="es-CO"/>
        </w:rPr>
      </w:pPr>
      <w:r>
        <w:rPr>
          <w:rStyle w:val="Refdenotaalpie"/>
        </w:rPr>
        <w:footnoteRef/>
      </w:r>
      <w:r>
        <w:t xml:space="preserve"> </w:t>
      </w:r>
      <w:r w:rsidRPr="00893B69">
        <w:t>La creación de la Unidad Especial de Investigación (UEI) fue acordada en el punto 3.4.4 del Acuerdo de Paz «con el fin de asegurar la efectividad de la lucha contra las organizaciones criminales y sus redes de apoyo, incluyendo las que han sido denominadas sucesoras del paramilitarismo, que representen la mayor amenaza a la implementación de los acuerdos y la construcción de paz» (pág. 82). El mandato y las funciones de la UEI se desarrollaron en el Decreto Ley 898 de 2017. Sin embargo, la ley estatutaria de la JEP derogó el numeral 11, que establecía la competencia para estudiar las compulsas de Justicia y Paz y de la justicia ordinaria.</w:t>
      </w:r>
    </w:p>
  </w:footnote>
  <w:footnote w:id="1249">
    <w:p w:rsidR="00591E90" w:rsidRPr="00647037" w:rsidRDefault="00591E90">
      <w:pPr>
        <w:pStyle w:val="Textonotapie"/>
        <w:rPr>
          <w:lang w:val="es-CO"/>
        </w:rPr>
      </w:pPr>
      <w:r>
        <w:rPr>
          <w:rStyle w:val="Refdenotaalpie"/>
        </w:rPr>
        <w:footnoteRef/>
      </w:r>
      <w:r>
        <w:t xml:space="preserve"> </w:t>
      </w:r>
      <w:r w:rsidRPr="00647037">
        <w:t>Esta se relaciona con el punto 1.1.8. «Algunos mecanismos de Resolución de conflictos de tenencia y uso y de fortalecimiento de la producción alimentaria» del Acuerdo Final de Paz, en el que el Gobierno se comprometió a poner en marcha una nueva Jurisdicción Agraria.</w:t>
      </w:r>
    </w:p>
  </w:footnote>
  <w:footnote w:id="1250">
    <w:p w:rsidR="00591E90" w:rsidRPr="00647037" w:rsidRDefault="00591E90">
      <w:pPr>
        <w:pStyle w:val="Textonotapie"/>
        <w:rPr>
          <w:lang w:val="es-CO"/>
        </w:rPr>
      </w:pPr>
      <w:r>
        <w:rPr>
          <w:rStyle w:val="Refdenotaalpie"/>
        </w:rPr>
        <w:footnoteRef/>
      </w:r>
      <w:r>
        <w:t xml:space="preserve"> </w:t>
      </w:r>
      <w:r w:rsidRPr="00647037">
        <w:t>Artículo 246 de la Constitución.</w:t>
      </w:r>
    </w:p>
  </w:footnote>
  <w:footnote w:id="1251">
    <w:p w:rsidR="00591E90" w:rsidRPr="00647037" w:rsidRDefault="00591E90">
      <w:pPr>
        <w:pStyle w:val="Textonotapie"/>
        <w:rPr>
          <w:lang w:val="es-CO"/>
        </w:rPr>
      </w:pPr>
      <w:r>
        <w:rPr>
          <w:rStyle w:val="Refdenotaalpie"/>
        </w:rPr>
        <w:footnoteRef/>
      </w:r>
      <w:r>
        <w:t xml:space="preserve"> </w:t>
      </w:r>
      <w:r w:rsidRPr="00647037">
        <w:t>Esto incluye recursos financieros, de infraestructura y humanos.</w:t>
      </w:r>
    </w:p>
  </w:footnote>
  <w:footnote w:id="1252">
    <w:p w:rsidR="00591E90" w:rsidRPr="00647037" w:rsidRDefault="00591E90">
      <w:pPr>
        <w:pStyle w:val="Textonotapie"/>
        <w:rPr>
          <w:lang w:val="es-CO"/>
        </w:rPr>
      </w:pPr>
      <w:r>
        <w:rPr>
          <w:rStyle w:val="Refdenotaalpie"/>
        </w:rPr>
        <w:footnoteRef/>
      </w:r>
      <w:r>
        <w:t xml:space="preserve"> </w:t>
      </w:r>
      <w:r w:rsidRPr="00647037">
        <w:t>Dentro de estos actores se incluyen las juntas de acción comunal y otros que puedan ejercer liderazgo comunitario.</w:t>
      </w:r>
    </w:p>
  </w:footnote>
  <w:footnote w:id="1253">
    <w:p w:rsidR="00591E90" w:rsidRPr="001A4506" w:rsidRDefault="00591E90">
      <w:pPr>
        <w:pStyle w:val="Textonotapie"/>
        <w:rPr>
          <w:lang w:val="es-CO"/>
        </w:rPr>
      </w:pPr>
      <w:r>
        <w:rPr>
          <w:rStyle w:val="Refdenotaalpie"/>
        </w:rPr>
        <w:footnoteRef/>
      </w:r>
      <w:r>
        <w:t xml:space="preserve"> </w:t>
      </w:r>
      <w:r w:rsidRPr="001A4506">
        <w:t>Comisión de la Verdad, «Barrancabermeja conversa por la vida, la dignidad y la verdad en el Magdalena Medio», 13 de octubre de 2021.</w:t>
      </w:r>
    </w:p>
  </w:footnote>
  <w:footnote w:id="1254">
    <w:p w:rsidR="00591E90" w:rsidRPr="001A4506" w:rsidRDefault="00591E90">
      <w:pPr>
        <w:pStyle w:val="Textonotapie"/>
        <w:rPr>
          <w:lang w:val="es-CO"/>
        </w:rPr>
      </w:pPr>
      <w:r>
        <w:rPr>
          <w:rStyle w:val="Refdenotaalpie"/>
        </w:rPr>
        <w:footnoteRef/>
      </w:r>
      <w:r>
        <w:t xml:space="preserve"> </w:t>
      </w:r>
      <w:r w:rsidRPr="001A4506">
        <w:t>Entrevista 216-VI-00018. Víctima, agricultor, Pradera.</w:t>
      </w:r>
    </w:p>
  </w:footnote>
  <w:footnote w:id="1255">
    <w:p w:rsidR="00591E90" w:rsidRPr="001A4506" w:rsidRDefault="00591E90">
      <w:pPr>
        <w:pStyle w:val="Textonotapie"/>
        <w:rPr>
          <w:lang w:val="es-CO"/>
        </w:rPr>
      </w:pPr>
      <w:r>
        <w:rPr>
          <w:rStyle w:val="Refdenotaalpie"/>
        </w:rPr>
        <w:footnoteRef/>
      </w:r>
      <w:r>
        <w:t xml:space="preserve"> </w:t>
      </w:r>
      <w:r w:rsidRPr="001A4506">
        <w:t>La doctrina se refiere a los principios que guían a las fuerzas en sus operaciones y en las acciones que desarrollan en cumplimiento de sus objetivos y quehacer institucional. Según el concepto de las Fuerzas Militares, dicha doctrina también incluye sus tácticas, técnicas, procedimientos, términos y símbolos. (Colombia, Ejército Nacional, 2017a, Manual fundamental del ejército MFE 1-01 Doctrina. Ejército Nacional. 1-12). En lo que respecta a la Policía, su doctrina incluye el conjunto de ideas, enseñanzas, preceptos éticos, legales y conceptos. (Artículo 5. Resolución 01785 de 2019 por la cual se expide el manual de gestión de la doctrina de la Policía Nacional).</w:t>
      </w:r>
    </w:p>
  </w:footnote>
  <w:footnote w:id="1256">
    <w:p w:rsidR="00591E90" w:rsidRPr="004E5372" w:rsidRDefault="00591E90">
      <w:pPr>
        <w:pStyle w:val="Textonotapie"/>
        <w:rPr>
          <w:lang w:val="es-CO"/>
        </w:rPr>
      </w:pPr>
      <w:r>
        <w:rPr>
          <w:rStyle w:val="Refdenotaalpie"/>
        </w:rPr>
        <w:footnoteRef/>
      </w:r>
      <w:r>
        <w:t xml:space="preserve"> </w:t>
      </w:r>
      <w:r w:rsidRPr="004E5372">
        <w:t>En consonancia con la agenda 'Mujeres, paz y seguridad' de las Naciones Unidas.</w:t>
      </w:r>
    </w:p>
  </w:footnote>
  <w:footnote w:id="1257">
    <w:p w:rsidR="00591E90" w:rsidRPr="004E5372" w:rsidRDefault="00591E90">
      <w:pPr>
        <w:pStyle w:val="Textonotapie"/>
        <w:rPr>
          <w:lang w:val="es-CO"/>
        </w:rPr>
      </w:pPr>
      <w:r>
        <w:rPr>
          <w:rStyle w:val="Refdenotaalpie"/>
        </w:rPr>
        <w:footnoteRef/>
      </w:r>
      <w:r>
        <w:t xml:space="preserve"> </w:t>
      </w:r>
      <w:r w:rsidRPr="004E5372">
        <w:t>Implica garantizar que las funciones de las Fuerzas Militares y de la Policía sean acordes con las necesidades de la ciudadanía, lograr una relación fluida con las autoridades civiles, fortalecer el control civil sobre el sector y mejorar las capacidades de los civiles de incidir en la toma de decisiones en seguridad y defensa, todo dentro del marco de la democracia, el Estado de derecho, la transparencia, la rendición de cuentas y el respeto por los derechos humanos.</w:t>
      </w:r>
    </w:p>
  </w:footnote>
  <w:footnote w:id="1258">
    <w:p w:rsidR="00591E90" w:rsidRDefault="00591E90" w:rsidP="004E5372">
      <w:pPr>
        <w:pStyle w:val="Textonotapie"/>
      </w:pPr>
      <w:r>
        <w:rPr>
          <w:rStyle w:val="Refdenotaalpie"/>
        </w:rPr>
        <w:footnoteRef/>
      </w:r>
      <w:r>
        <w:t xml:space="preserve"> </w:t>
      </w:r>
      <w:r w:rsidRPr="004E5372">
        <w:t>Con su implementación, se daría cumplimiento a las recomendaciones obligatorias de la Comisión Interamericana de Derechos Humanos. OEA/Ser/V/II. Doc. 49/13 (2013). Comisión Interamericana de Derechos Humanos. Informe Verdad, Justicia y Reparación: Cuarto informe sobre la situación de derechos humanos en Colombia. Capítulo 2. Vida, integridad personal y libertad personal. Recomendaciones. Párrafo</w:t>
      </w:r>
      <w:r>
        <w:t xml:space="preserve"> 199. «En virtud de lo señalado en la presente sección, la Comisión recomienda al Estado de Colombia que: […]</w:t>
      </w:r>
    </w:p>
    <w:p w:rsidR="00591E90" w:rsidRPr="004E5372" w:rsidRDefault="00591E90" w:rsidP="004E5372">
      <w:pPr>
        <w:pStyle w:val="Textonotapie"/>
        <w:rPr>
          <w:lang w:val="es-CO"/>
        </w:rPr>
      </w:pPr>
      <w:r>
        <w:t xml:space="preserve">2. Adopte las medidas pertinentes para que los miembros de las fuerzas de seguridad que </w:t>
      </w:r>
      <w:proofErr w:type="spellStart"/>
      <w:r>
        <w:t>alegadamente</w:t>
      </w:r>
      <w:proofErr w:type="spellEnd"/>
      <w:r>
        <w:t xml:space="preserve"> resulten comprometidos en casos de violaciones a los derechos humanos y/o DIH sean suspendidos del servicio activo, hasta tanto se emita una decisión final en los procesos disciplinarios o penales que se tramiten».</w:t>
      </w:r>
    </w:p>
  </w:footnote>
  <w:footnote w:id="1259">
    <w:p w:rsidR="00591E90" w:rsidRPr="004E5372" w:rsidRDefault="00591E90">
      <w:pPr>
        <w:pStyle w:val="Textonotapie"/>
        <w:rPr>
          <w:lang w:val="es-CO"/>
        </w:rPr>
      </w:pPr>
      <w:r>
        <w:rPr>
          <w:rStyle w:val="Refdenotaalpie"/>
        </w:rPr>
        <w:footnoteRef/>
      </w:r>
      <w:r>
        <w:t xml:space="preserve"> </w:t>
      </w:r>
      <w:r w:rsidRPr="005B5187">
        <w:t>Los delitos típicamente militares son los que afectan la disciplina y el servicio, y están definidos en el Código Penal Militar.</w:t>
      </w:r>
    </w:p>
  </w:footnote>
  <w:footnote w:id="1260">
    <w:p w:rsidR="00591E90" w:rsidRPr="00AE5F33" w:rsidRDefault="00591E90">
      <w:pPr>
        <w:pStyle w:val="Textonotapie"/>
        <w:rPr>
          <w:lang w:val="es-CO"/>
        </w:rPr>
      </w:pPr>
      <w:r>
        <w:rPr>
          <w:rStyle w:val="Refdenotaalpie"/>
        </w:rPr>
        <w:footnoteRef/>
      </w:r>
      <w:r>
        <w:t xml:space="preserve"> </w:t>
      </w:r>
      <w:r w:rsidRPr="00AE5F33">
        <w:t>La fuerza pública es la garante del orden público y esa función no puede ser trasladada a los particulares. Los deberes de colaboración de la ciudadanía, que han sido previstos por la propia Constitución (CP arts. 95 y 217), no puede convertir a los ciudadanos en garantes de la seguridad y la defensa, pues esa responsabilidad corresponde exclusivamente a la fuerza pública.</w:t>
      </w:r>
    </w:p>
  </w:footnote>
  <w:footnote w:id="1261">
    <w:p w:rsidR="00591E90" w:rsidRPr="00AE5F33" w:rsidRDefault="00591E90">
      <w:pPr>
        <w:pStyle w:val="Textonotapie"/>
        <w:rPr>
          <w:lang w:val="es-CO"/>
        </w:rPr>
      </w:pPr>
      <w:r>
        <w:rPr>
          <w:rStyle w:val="Refdenotaalpie"/>
        </w:rPr>
        <w:footnoteRef/>
      </w:r>
      <w:r>
        <w:t xml:space="preserve"> </w:t>
      </w:r>
      <w:r w:rsidRPr="00AE5F33">
        <w:t>Principios básicos sobre el empleo de la fuerza y de armas de fuego por los funcionarios encargados de hacer cumplir la ley.</w:t>
      </w:r>
    </w:p>
  </w:footnote>
  <w:footnote w:id="1262">
    <w:p w:rsidR="00591E90" w:rsidRPr="00E23E0C" w:rsidRDefault="00591E90">
      <w:pPr>
        <w:pStyle w:val="Textonotapie"/>
        <w:rPr>
          <w:lang w:val="es-CO"/>
        </w:rPr>
      </w:pPr>
      <w:r>
        <w:rPr>
          <w:rStyle w:val="Refdenotaalpie"/>
        </w:rPr>
        <w:footnoteRef/>
      </w:r>
      <w:r>
        <w:t xml:space="preserve"> </w:t>
      </w:r>
      <w:r w:rsidRPr="00E23E0C">
        <w:t>A juicio de la Comisión, la transformación de la cultura institucional implica, tanto cambios en la doctrina, fortalecimiento de los controles para lograr un compromiso e implementación efectiva de la nueva visión de seguridad para la paz, la Constitución y los derechos humanos, y que se evidencie en las prácticas cotidianas de los integrantes de la fuerza pública.</w:t>
      </w:r>
    </w:p>
  </w:footnote>
  <w:footnote w:id="1263">
    <w:p w:rsidR="00591E90" w:rsidRPr="000242DF" w:rsidRDefault="00591E90">
      <w:pPr>
        <w:pStyle w:val="Textonotapie"/>
        <w:rPr>
          <w:lang w:val="es-CO"/>
        </w:rPr>
      </w:pPr>
      <w:r>
        <w:rPr>
          <w:rStyle w:val="Refdenotaalpie"/>
        </w:rPr>
        <w:footnoteRef/>
      </w:r>
      <w:r>
        <w:t xml:space="preserve"> </w:t>
      </w:r>
      <w:r w:rsidRPr="000242DF">
        <w:t>Ese mecanismo podría ser el recurso de insistencia previsto en el artículo 26 de la Ley 1755 de 2015.</w:t>
      </w:r>
    </w:p>
  </w:footnote>
  <w:footnote w:id="1264">
    <w:p w:rsidR="00591E90" w:rsidRPr="004A5249" w:rsidRDefault="00591E90">
      <w:pPr>
        <w:pStyle w:val="Textonotapie"/>
        <w:rPr>
          <w:lang w:val="es-CO"/>
        </w:rPr>
      </w:pPr>
      <w:r>
        <w:rPr>
          <w:rStyle w:val="Refdenotaalpie"/>
        </w:rPr>
        <w:footnoteRef/>
      </w:r>
      <w:r>
        <w:t xml:space="preserve"> </w:t>
      </w:r>
      <w:r w:rsidRPr="004A5249">
        <w:t>Esta norma fue demandada ante el Consejo de Estado por no haber tenido en cuenta las recomendaciones de la Comisión Asesora para la Depuración de Datos y Archivos de Inteligencia y Contrainteligencia.</w:t>
      </w:r>
    </w:p>
  </w:footnote>
  <w:footnote w:id="1265">
    <w:p w:rsidR="00591E90" w:rsidRPr="004A5249" w:rsidRDefault="00591E90">
      <w:pPr>
        <w:pStyle w:val="Textonotapie"/>
        <w:rPr>
          <w:lang w:val="es-CO"/>
        </w:rPr>
      </w:pPr>
      <w:r>
        <w:rPr>
          <w:rStyle w:val="Refdenotaalpie"/>
        </w:rPr>
        <w:footnoteRef/>
      </w:r>
      <w:r>
        <w:t xml:space="preserve"> </w:t>
      </w:r>
      <w:r w:rsidRPr="004A5249">
        <w:t>El Sistema Nacional de Depuración fue creado mediante el Decreto 2149 de 2017.</w:t>
      </w:r>
    </w:p>
  </w:footnote>
  <w:footnote w:id="1266">
    <w:p w:rsidR="00591E90" w:rsidRPr="004A5249" w:rsidRDefault="00591E90">
      <w:pPr>
        <w:pStyle w:val="Textonotapie"/>
        <w:rPr>
          <w:lang w:val="es-CO"/>
        </w:rPr>
      </w:pPr>
      <w:r>
        <w:rPr>
          <w:rStyle w:val="Refdenotaalpie"/>
        </w:rPr>
        <w:footnoteRef/>
      </w:r>
      <w:r>
        <w:t xml:space="preserve"> </w:t>
      </w:r>
      <w:r w:rsidRPr="00E56E0B">
        <w:t>En consonancia con el artículo 1 del Decreto 154 de 2017.</w:t>
      </w:r>
    </w:p>
  </w:footnote>
  <w:footnote w:id="1267">
    <w:p w:rsidR="00591E90" w:rsidRPr="00E56E0B" w:rsidRDefault="00591E90">
      <w:pPr>
        <w:pStyle w:val="Textonotapie"/>
        <w:rPr>
          <w:lang w:val="es-CO"/>
        </w:rPr>
      </w:pPr>
      <w:r>
        <w:rPr>
          <w:rStyle w:val="Refdenotaalpie"/>
        </w:rPr>
        <w:footnoteRef/>
      </w:r>
      <w:r>
        <w:t xml:space="preserve"> </w:t>
      </w:r>
      <w:r w:rsidRPr="00E56E0B">
        <w:t>En este esfuerzo es importante fortalecer la figura de inspectores de Policía, así como el servicio de vigilancia. En ello, tener en cuenta lo establecido en la política marco de convivencia y seguridad ciudadana, que incluye el sistema integrado de seguridad rural y cuya integración en los planes de desarrollo y los PISC es fundamental.</w:t>
      </w:r>
    </w:p>
  </w:footnote>
  <w:footnote w:id="1268">
    <w:p w:rsidR="00591E90" w:rsidRPr="00250B10" w:rsidRDefault="00591E90">
      <w:pPr>
        <w:pStyle w:val="Textonotapie"/>
        <w:rPr>
          <w:lang w:val="es-CO"/>
        </w:rPr>
      </w:pPr>
      <w:r>
        <w:rPr>
          <w:rStyle w:val="Refdenotaalpie"/>
        </w:rPr>
        <w:footnoteRef/>
      </w:r>
      <w:r>
        <w:t xml:space="preserve"> </w:t>
      </w:r>
      <w:r w:rsidRPr="00250B10">
        <w:t>Entrevista 001-VI-00004. Víctima, exilio, España.</w:t>
      </w:r>
    </w:p>
  </w:footnote>
  <w:footnote w:id="1269">
    <w:p w:rsidR="00591E90" w:rsidRPr="00250B10" w:rsidRDefault="00591E90">
      <w:pPr>
        <w:pStyle w:val="Textonotapie"/>
        <w:rPr>
          <w:lang w:val="es-CO"/>
        </w:rPr>
      </w:pPr>
      <w:r>
        <w:rPr>
          <w:rStyle w:val="Refdenotaalpie"/>
        </w:rPr>
        <w:footnoteRef/>
      </w:r>
      <w:r>
        <w:t xml:space="preserve"> </w:t>
      </w:r>
      <w:r w:rsidRPr="00250B10">
        <w:t>Entrevista 070-VI-00024. Víctima, líder campesino, El Bordo.</w:t>
      </w:r>
    </w:p>
  </w:footnote>
  <w:footnote w:id="1270">
    <w:p w:rsidR="00591E90" w:rsidRPr="00250B10" w:rsidRDefault="00591E90">
      <w:pPr>
        <w:pStyle w:val="Textonotapie"/>
        <w:rPr>
          <w:lang w:val="es-CO"/>
        </w:rPr>
      </w:pPr>
      <w:r>
        <w:rPr>
          <w:rStyle w:val="Refdenotaalpie"/>
        </w:rPr>
        <w:footnoteRef/>
      </w:r>
      <w:r>
        <w:t xml:space="preserve"> </w:t>
      </w:r>
      <w:r w:rsidRPr="00250B10">
        <w:t>En el pasado el INCORA y el INCODER, y actualmente la Agencia Nacional de Tierras.</w:t>
      </w:r>
    </w:p>
  </w:footnote>
  <w:footnote w:id="1271">
    <w:p w:rsidR="00591E90" w:rsidRPr="00250B10" w:rsidRDefault="00591E90">
      <w:pPr>
        <w:pStyle w:val="Textonotapie"/>
        <w:rPr>
          <w:lang w:val="it-IT"/>
        </w:rPr>
      </w:pPr>
      <w:r>
        <w:rPr>
          <w:rStyle w:val="Refdenotaalpie"/>
        </w:rPr>
        <w:footnoteRef/>
      </w:r>
      <w:r>
        <w:t xml:space="preserve"> </w:t>
      </w:r>
      <w:r w:rsidRPr="00250B10">
        <w:t xml:space="preserve">Estos datos son del 2017 y son los más actualizados con los que cuenta el país a la fecha. Provienen del informe de la Unidad de Planificación Rural Agropecuaria (UPRA) del gobierno nacional que fue finalizado en 2020 y publicado en 2021 y cuyo título es “Distribución de la Propiedad Rural. </w:t>
      </w:r>
      <w:r w:rsidRPr="00250B10">
        <w:rPr>
          <w:lang w:val="it-IT"/>
        </w:rPr>
        <w:t>Colombia 2017”: https://catalogometadatos.upra.gov.co:8443/uprageonet/srv/spa/catalog.search#/metadata/d737b808-efbc-  44e7-960e-4276dc38afbe</w:t>
      </w:r>
    </w:p>
  </w:footnote>
  <w:footnote w:id="1272">
    <w:p w:rsidR="00591E90" w:rsidRPr="00250B10" w:rsidRDefault="00591E90">
      <w:pPr>
        <w:pStyle w:val="Textonotapie"/>
        <w:rPr>
          <w:lang w:val="es-CO"/>
        </w:rPr>
      </w:pPr>
      <w:r>
        <w:rPr>
          <w:rStyle w:val="Refdenotaalpie"/>
        </w:rPr>
        <w:footnoteRef/>
      </w:r>
      <w:r>
        <w:t xml:space="preserve"> </w:t>
      </w:r>
      <w:r w:rsidRPr="00250B10">
        <w:t>Este dato lo formuló el Centro Nacional de Memoria Histórica en su informe de 2016 “Tierras y conflictos rurales: Historia, políticas agrarias y protagonistas”, pp. 244 y 245. Advierte que esta cifra no incluye los datos para los años 2001, 2002 y 2003, pues no fue posible localizarlos en los archivos institucionales.</w:t>
      </w:r>
    </w:p>
  </w:footnote>
  <w:footnote w:id="1273">
    <w:p w:rsidR="00591E90" w:rsidRPr="00B93F6A" w:rsidRDefault="00591E90">
      <w:pPr>
        <w:pStyle w:val="Textonotapie"/>
        <w:rPr>
          <w:lang w:val="es-CO"/>
        </w:rPr>
      </w:pPr>
      <w:r>
        <w:rPr>
          <w:rStyle w:val="Refdenotaalpie"/>
        </w:rPr>
        <w:footnoteRef/>
      </w:r>
      <w:r>
        <w:t xml:space="preserve"> </w:t>
      </w:r>
      <w:r w:rsidRPr="00B93F6A">
        <w:t>Esta recomendación se debe implementar de la mano con aquellas que buscan garantizar los derechos territoriales de los pueblos étnicos.</w:t>
      </w:r>
    </w:p>
  </w:footnote>
  <w:footnote w:id="1274">
    <w:p w:rsidR="00591E90" w:rsidRPr="00B93F6A" w:rsidRDefault="00591E90">
      <w:pPr>
        <w:pStyle w:val="Textonotapie"/>
        <w:rPr>
          <w:lang w:val="es-CO"/>
        </w:rPr>
      </w:pPr>
      <w:r>
        <w:rPr>
          <w:rStyle w:val="Refdenotaalpie"/>
        </w:rPr>
        <w:footnoteRef/>
      </w:r>
      <w:r>
        <w:t xml:space="preserve"> </w:t>
      </w:r>
      <w:r w:rsidRPr="002B6293">
        <w:t>Los procesos agrarios son la extinción administrativa del dominio por incumplimiento de la función social y ecológica de la propiedad, la adquisición de tierras por enajenación voluntaria o expropiación con indemnización, clarificación y deslinde de la propiedad rural, la recuperación de baldíos indebidamente apropiados, entre otros.</w:t>
      </w:r>
    </w:p>
  </w:footnote>
  <w:footnote w:id="1275">
    <w:p w:rsidR="00591E90" w:rsidRPr="00B93F6A" w:rsidRDefault="00591E90">
      <w:pPr>
        <w:pStyle w:val="Textonotapie"/>
        <w:rPr>
          <w:lang w:val="es-CO"/>
        </w:rPr>
      </w:pPr>
      <w:r>
        <w:rPr>
          <w:rStyle w:val="Refdenotaalpie"/>
        </w:rPr>
        <w:footnoteRef/>
      </w:r>
      <w:r>
        <w:t xml:space="preserve"> </w:t>
      </w:r>
      <w:r w:rsidRPr="002B6293">
        <w:t>Esto implica desarrollar un sistema efectivo de control, vigilancia, pedagogía, resolución de conflictos y sanción para el cierre de la frontera agrícola.</w:t>
      </w:r>
    </w:p>
  </w:footnote>
  <w:footnote w:id="1276">
    <w:p w:rsidR="00591E90" w:rsidRPr="002B6293" w:rsidRDefault="00591E90">
      <w:pPr>
        <w:pStyle w:val="Textonotapie"/>
        <w:rPr>
          <w:lang w:val="es-CO"/>
        </w:rPr>
      </w:pPr>
      <w:r>
        <w:rPr>
          <w:rStyle w:val="Refdenotaalpie"/>
        </w:rPr>
        <w:footnoteRef/>
      </w:r>
      <w:r>
        <w:t xml:space="preserve"> </w:t>
      </w:r>
      <w:r w:rsidRPr="002B6293">
        <w:t>Para un mayor desarrollo, ver la propuesta de la Escuela de Gobierno de la Universidad de los Andes en Velásquez, Mauricio. (2017). «Transferencia de propiedad y formalización de ocupaciones sobre terrenos baldíos: experiencias comparadas y articulado propuesto para su implementación». Documento de Trabajo</w:t>
      </w:r>
      <w:r>
        <w:t xml:space="preserve"> </w:t>
      </w:r>
      <w:r w:rsidRPr="002B6293">
        <w:t>Número 52, diciembre. Escuela de Gobierno Alberto Lleras Restrepo, Universidad de los Andes: https://repositorio.uniandes.edu.co/bitstream/handle/1992/8803/u789958.pdf?sequence=1&amp;isAllowed=y.</w:t>
      </w:r>
    </w:p>
  </w:footnote>
  <w:footnote w:id="1277">
    <w:p w:rsidR="00591E90" w:rsidRDefault="00591E90" w:rsidP="002B6293">
      <w:pPr>
        <w:pStyle w:val="Textonotapie"/>
      </w:pPr>
      <w:r>
        <w:rPr>
          <w:rStyle w:val="Refdenotaalpie"/>
        </w:rPr>
        <w:footnoteRef/>
      </w:r>
      <w:r>
        <w:t xml:space="preserve"> El cierre de la frontera agrícola y la protección de Zonas de Reserva Campesina se consignó en el punto</w:t>
      </w:r>
    </w:p>
    <w:p w:rsidR="00591E90" w:rsidRPr="002B6293" w:rsidRDefault="00591E90" w:rsidP="002B6293">
      <w:pPr>
        <w:pStyle w:val="Textonotapie"/>
        <w:rPr>
          <w:lang w:val="es-CO"/>
        </w:rPr>
      </w:pPr>
      <w:r>
        <w:t>1.1.10. del Acuerdo Final de Paz.</w:t>
      </w:r>
    </w:p>
  </w:footnote>
  <w:footnote w:id="1278">
    <w:p w:rsidR="00591E90" w:rsidRPr="002B6293" w:rsidRDefault="00591E90">
      <w:pPr>
        <w:pStyle w:val="Textonotapie"/>
        <w:rPr>
          <w:lang w:val="es-CO"/>
        </w:rPr>
      </w:pPr>
      <w:r>
        <w:rPr>
          <w:rStyle w:val="Refdenotaalpie"/>
        </w:rPr>
        <w:footnoteRef/>
      </w:r>
      <w:r>
        <w:t xml:space="preserve"> </w:t>
      </w:r>
      <w:r w:rsidRPr="002B6293">
        <w:t>Esta recomendación recoge lo establecido en el punto. 1.1.9. del Acuerdo Final de Paz y lo complementa.</w:t>
      </w:r>
    </w:p>
  </w:footnote>
  <w:footnote w:id="1279">
    <w:p w:rsidR="00591E90" w:rsidRPr="00AD04CF" w:rsidRDefault="00591E90">
      <w:pPr>
        <w:pStyle w:val="Textonotapie"/>
        <w:rPr>
          <w:lang w:val="es-CO"/>
        </w:rPr>
      </w:pPr>
      <w:r>
        <w:rPr>
          <w:rStyle w:val="Refdenotaalpie"/>
        </w:rPr>
        <w:footnoteRef/>
      </w:r>
      <w:r>
        <w:t xml:space="preserve"> </w:t>
      </w:r>
      <w:r w:rsidRPr="00AD04CF">
        <w:t>Entre ellos, los proyectos de utilidad pública e interés social (reglamentados en el Decreto 2201 de 2003), los macroproyectos de interés social nacional (definidos en la ley 1469 de 2011) y los proyectos de interés nacional estratégico, PINES (CONPES 3267 de 2013 y artículos 49 y 50 de la ley 1753 de 2015).</w:t>
      </w:r>
    </w:p>
  </w:footnote>
  <w:footnote w:id="1280">
    <w:p w:rsidR="00591E90" w:rsidRPr="000F6499" w:rsidRDefault="00591E90">
      <w:pPr>
        <w:pStyle w:val="Textonotapie"/>
        <w:rPr>
          <w:lang w:val="es-CO"/>
        </w:rPr>
      </w:pPr>
      <w:r>
        <w:rPr>
          <w:rStyle w:val="Refdenotaalpie"/>
        </w:rPr>
        <w:footnoteRef/>
      </w:r>
      <w:r>
        <w:t xml:space="preserve"> </w:t>
      </w:r>
      <w:r w:rsidRPr="000F6499">
        <w:t>Son especialmente urgentes medidas para lograr la articulación de las órdenes judiciales con las políticas de titulación, vivienda y de desarrollo rural, debido al grave rezago que existe en esos tres frentes en materia del cumplimiento de las sentencias de restitución.</w:t>
      </w:r>
    </w:p>
  </w:footnote>
  <w:footnote w:id="1281">
    <w:p w:rsidR="00591E90" w:rsidRPr="000F6499" w:rsidRDefault="00591E90">
      <w:pPr>
        <w:pStyle w:val="Textonotapie"/>
        <w:rPr>
          <w:lang w:val="es-CO"/>
        </w:rPr>
      </w:pPr>
      <w:r>
        <w:rPr>
          <w:rStyle w:val="Refdenotaalpie"/>
        </w:rPr>
        <w:footnoteRef/>
      </w:r>
      <w:r>
        <w:t xml:space="preserve"> </w:t>
      </w:r>
      <w:r w:rsidRPr="000F6499">
        <w:t>Entrevista 646-VI-00005. Víctima, mujer, Yolombó.</w:t>
      </w:r>
    </w:p>
  </w:footnote>
  <w:footnote w:id="1282">
    <w:p w:rsidR="00591E90" w:rsidRPr="005A5DB0" w:rsidRDefault="00591E90">
      <w:pPr>
        <w:pStyle w:val="Textonotapie"/>
        <w:rPr>
          <w:lang w:val="es-CO"/>
        </w:rPr>
      </w:pPr>
      <w:r>
        <w:rPr>
          <w:rStyle w:val="Refdenotaalpie"/>
        </w:rPr>
        <w:footnoteRef/>
      </w:r>
      <w:r>
        <w:t xml:space="preserve"> </w:t>
      </w:r>
      <w:r w:rsidRPr="0089037F">
        <w:t>Se recomienda la creación de este Ministerio en el tema de Construcción de paz como proyecto nacional. Independientemente del momento en el que se haga este ajuste institucional, garantizar que los demás Ministerios se encarguen del desarrollo e implementación de esta estrategia.</w:t>
      </w:r>
    </w:p>
  </w:footnote>
  <w:footnote w:id="1283">
    <w:p w:rsidR="00591E90" w:rsidRPr="00400D25" w:rsidRDefault="00591E90">
      <w:pPr>
        <w:pStyle w:val="Textonotapie"/>
        <w:rPr>
          <w:lang w:val="es-CO"/>
        </w:rPr>
      </w:pPr>
      <w:r>
        <w:rPr>
          <w:rStyle w:val="Refdenotaalpie"/>
        </w:rPr>
        <w:footnoteRef/>
      </w:r>
      <w:r>
        <w:t xml:space="preserve"> </w:t>
      </w:r>
      <w:r w:rsidRPr="006C1DAB">
        <w:t>Informe 086-CI-01277. Ruta Pacífica de las Mujeres. «Construyendo el camino de la convivencia y la reconciliación desde la verdad de las mujeres». Módulo de captura, Comisión para el Esclarecimiento de la Verdad, la Convivencia y la No Repetición. 2021. 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6818"/>
    <w:multiLevelType w:val="multilevel"/>
    <w:tmpl w:val="06A2F2E0"/>
    <w:lvl w:ilvl="0">
      <w:start w:val="1"/>
      <w:numFmt w:val="upperRoman"/>
      <w:lvlText w:val="%1."/>
      <w:lvlJc w:val="right"/>
      <w:pPr>
        <w:ind w:left="720" w:hanging="360"/>
      </w:pPr>
    </w:lvl>
    <w:lvl w:ilvl="1">
      <w:start w:val="2"/>
      <w:numFmt w:val="decimal"/>
      <w:isLgl/>
      <w:lvlText w:val="%1.%2."/>
      <w:lvlJc w:val="left"/>
      <w:pPr>
        <w:ind w:left="1125" w:hanging="765"/>
      </w:pPr>
      <w:rPr>
        <w:rFonts w:hint="default"/>
      </w:rPr>
    </w:lvl>
    <w:lvl w:ilvl="2">
      <w:start w:val="3"/>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 w15:restartNumberingAfterBreak="0">
    <w:nsid w:val="087A57E5"/>
    <w:multiLevelType w:val="hybridMultilevel"/>
    <w:tmpl w:val="498C02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D40D88"/>
    <w:multiLevelType w:val="hybridMultilevel"/>
    <w:tmpl w:val="8040BB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8502EA"/>
    <w:multiLevelType w:val="multilevel"/>
    <w:tmpl w:val="DBD29050"/>
    <w:lvl w:ilvl="0">
      <w:start w:val="1"/>
      <w:numFmt w:val="decimal"/>
      <w:lvlText w:val="%1."/>
      <w:lvlJc w:val="left"/>
      <w:pPr>
        <w:ind w:left="765" w:hanging="765"/>
      </w:pPr>
      <w:rPr>
        <w:rFonts w:hint="default"/>
      </w:rPr>
    </w:lvl>
    <w:lvl w:ilvl="1">
      <w:start w:val="2"/>
      <w:numFmt w:val="decimal"/>
      <w:lvlText w:val="%1.%2."/>
      <w:lvlJc w:val="left"/>
      <w:pPr>
        <w:ind w:left="1485" w:hanging="765"/>
      </w:pPr>
      <w:rPr>
        <w:rFonts w:hint="default"/>
      </w:rPr>
    </w:lvl>
    <w:lvl w:ilvl="2">
      <w:start w:val="2"/>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CF96EC8"/>
    <w:multiLevelType w:val="hybridMultilevel"/>
    <w:tmpl w:val="6E2C0E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125625"/>
    <w:multiLevelType w:val="hybridMultilevel"/>
    <w:tmpl w:val="21E484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437C4E"/>
    <w:multiLevelType w:val="hybridMultilevel"/>
    <w:tmpl w:val="C0BEDF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DE5BB8"/>
    <w:multiLevelType w:val="hybridMultilevel"/>
    <w:tmpl w:val="1E1A51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E8461D"/>
    <w:multiLevelType w:val="hybridMultilevel"/>
    <w:tmpl w:val="2DEE7C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6B973BB"/>
    <w:multiLevelType w:val="hybridMultilevel"/>
    <w:tmpl w:val="934A1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7E02EBD"/>
    <w:multiLevelType w:val="hybridMultilevel"/>
    <w:tmpl w:val="793C7B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A1D6DAD"/>
    <w:multiLevelType w:val="multilevel"/>
    <w:tmpl w:val="7918107C"/>
    <w:lvl w:ilvl="0">
      <w:start w:val="1"/>
      <w:numFmt w:val="decimal"/>
      <w:lvlText w:val="%1."/>
      <w:lvlJc w:val="left"/>
      <w:pPr>
        <w:ind w:left="720" w:hanging="360"/>
      </w:pPr>
    </w:lvl>
    <w:lvl w:ilvl="1">
      <w:start w:val="6"/>
      <w:numFmt w:val="decimal"/>
      <w:isLgl/>
      <w:lvlText w:val="%1.%2."/>
      <w:lvlJc w:val="left"/>
      <w:pPr>
        <w:ind w:left="1125" w:hanging="765"/>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 w15:restartNumberingAfterBreak="0">
    <w:nsid w:val="1A427C83"/>
    <w:multiLevelType w:val="hybridMultilevel"/>
    <w:tmpl w:val="1FFE9B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B571403"/>
    <w:multiLevelType w:val="hybridMultilevel"/>
    <w:tmpl w:val="181A14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BF95304"/>
    <w:multiLevelType w:val="hybridMultilevel"/>
    <w:tmpl w:val="0C1A93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D1C772E"/>
    <w:multiLevelType w:val="hybridMultilevel"/>
    <w:tmpl w:val="C55616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E4A25A3"/>
    <w:multiLevelType w:val="hybridMultilevel"/>
    <w:tmpl w:val="645C7D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EF7192C"/>
    <w:multiLevelType w:val="hybridMultilevel"/>
    <w:tmpl w:val="9FB69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2D86E6A"/>
    <w:multiLevelType w:val="hybridMultilevel"/>
    <w:tmpl w:val="17CE93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3B50EAA"/>
    <w:multiLevelType w:val="hybridMultilevel"/>
    <w:tmpl w:val="F5D23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5697955"/>
    <w:multiLevelType w:val="hybridMultilevel"/>
    <w:tmpl w:val="074403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6FD659F"/>
    <w:multiLevelType w:val="hybridMultilevel"/>
    <w:tmpl w:val="14AEA1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9FE21E7"/>
    <w:multiLevelType w:val="hybridMultilevel"/>
    <w:tmpl w:val="2CE245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3417BC0"/>
    <w:multiLevelType w:val="hybridMultilevel"/>
    <w:tmpl w:val="6BFABAF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4991DFF"/>
    <w:multiLevelType w:val="hybridMultilevel"/>
    <w:tmpl w:val="D33C3D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6E245EC"/>
    <w:multiLevelType w:val="hybridMultilevel"/>
    <w:tmpl w:val="AEAC9E5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85B3F35"/>
    <w:multiLevelType w:val="hybridMultilevel"/>
    <w:tmpl w:val="08E6D6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8E72E1D"/>
    <w:multiLevelType w:val="hybridMultilevel"/>
    <w:tmpl w:val="B1EC20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E8F47DD"/>
    <w:multiLevelType w:val="hybridMultilevel"/>
    <w:tmpl w:val="3E5E25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8EA7731"/>
    <w:multiLevelType w:val="hybridMultilevel"/>
    <w:tmpl w:val="C7FCA0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AE33CB2"/>
    <w:multiLevelType w:val="multilevel"/>
    <w:tmpl w:val="F38AAF6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1" w15:restartNumberingAfterBreak="0">
    <w:nsid w:val="4CDE2B24"/>
    <w:multiLevelType w:val="hybridMultilevel"/>
    <w:tmpl w:val="4D761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0E5948"/>
    <w:multiLevelType w:val="hybridMultilevel"/>
    <w:tmpl w:val="6B448B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0F22042"/>
    <w:multiLevelType w:val="hybridMultilevel"/>
    <w:tmpl w:val="95CE90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1770E96"/>
    <w:multiLevelType w:val="hybridMultilevel"/>
    <w:tmpl w:val="1EDC68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2901A5B"/>
    <w:multiLevelType w:val="hybridMultilevel"/>
    <w:tmpl w:val="79DC7120"/>
    <w:lvl w:ilvl="0" w:tplc="01463F52">
      <w:start w:val="1"/>
      <w:numFmt w:val="decimal"/>
      <w:lvlText w:val="%1."/>
      <w:lvlJc w:val="left"/>
      <w:pPr>
        <w:ind w:left="1080" w:hanging="360"/>
      </w:pPr>
      <w:rPr>
        <w:rFonts w:hint="default"/>
        <w:b w:val="0"/>
      </w:rPr>
    </w:lvl>
    <w:lvl w:ilvl="1" w:tplc="240A0019">
      <w:start w:val="1"/>
      <w:numFmt w:val="lowerLetter"/>
      <w:lvlText w:val="%2."/>
      <w:lvlJc w:val="left"/>
      <w:pPr>
        <w:ind w:left="1800" w:hanging="360"/>
      </w:pPr>
    </w:lvl>
    <w:lvl w:ilvl="2" w:tplc="240A0001">
      <w:start w:val="1"/>
      <w:numFmt w:val="bullet"/>
      <w:lvlText w:val=""/>
      <w:lvlJc w:val="left"/>
      <w:pPr>
        <w:ind w:left="2520" w:hanging="180"/>
      </w:pPr>
      <w:rPr>
        <w:rFonts w:ascii="Symbol" w:hAnsi="Symbol" w:hint="default"/>
      </w:r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15:restartNumberingAfterBreak="0">
    <w:nsid w:val="58433B34"/>
    <w:multiLevelType w:val="hybridMultilevel"/>
    <w:tmpl w:val="816A54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8503ADB"/>
    <w:multiLevelType w:val="hybridMultilevel"/>
    <w:tmpl w:val="830E2882"/>
    <w:lvl w:ilvl="0" w:tplc="100CE3E4">
      <w:start w:val="41"/>
      <w:numFmt w:val="decimal"/>
      <w:lvlText w:val="%1."/>
      <w:lvlJc w:val="left"/>
      <w:pPr>
        <w:ind w:left="221" w:hanging="351"/>
        <w:jc w:val="right"/>
      </w:pPr>
      <w:rPr>
        <w:rFonts w:ascii="Times New Roman" w:eastAsia="Times New Roman" w:hAnsi="Times New Roman" w:cs="Times New Roman" w:hint="default"/>
        <w:b/>
        <w:bCs/>
        <w:i w:val="0"/>
        <w:iCs w:val="0"/>
        <w:w w:val="100"/>
        <w:sz w:val="24"/>
        <w:szCs w:val="24"/>
        <w:lang w:val="es-ES" w:eastAsia="en-US" w:bidi="ar-SA"/>
      </w:rPr>
    </w:lvl>
    <w:lvl w:ilvl="1" w:tplc="4340714C">
      <w:numFmt w:val="bullet"/>
      <w:lvlText w:val="●"/>
      <w:lvlJc w:val="left"/>
      <w:pPr>
        <w:ind w:left="941" w:hanging="412"/>
      </w:pPr>
      <w:rPr>
        <w:rFonts w:ascii="Times New Roman" w:eastAsia="Times New Roman" w:hAnsi="Times New Roman" w:cs="Times New Roman" w:hint="default"/>
        <w:w w:val="100"/>
        <w:lang w:val="es-ES" w:eastAsia="en-US" w:bidi="ar-SA"/>
      </w:rPr>
    </w:lvl>
    <w:lvl w:ilvl="2" w:tplc="F42CE868">
      <w:numFmt w:val="bullet"/>
      <w:lvlText w:val="•"/>
      <w:lvlJc w:val="left"/>
      <w:pPr>
        <w:ind w:left="940" w:hanging="412"/>
      </w:pPr>
      <w:rPr>
        <w:rFonts w:hint="default"/>
        <w:lang w:val="es-ES" w:eastAsia="en-US" w:bidi="ar-SA"/>
      </w:rPr>
    </w:lvl>
    <w:lvl w:ilvl="3" w:tplc="7A1CFC94">
      <w:numFmt w:val="bullet"/>
      <w:lvlText w:val="•"/>
      <w:lvlJc w:val="left"/>
      <w:pPr>
        <w:ind w:left="2122" w:hanging="412"/>
      </w:pPr>
      <w:rPr>
        <w:rFonts w:hint="default"/>
        <w:lang w:val="es-ES" w:eastAsia="en-US" w:bidi="ar-SA"/>
      </w:rPr>
    </w:lvl>
    <w:lvl w:ilvl="4" w:tplc="7408CF8E">
      <w:numFmt w:val="bullet"/>
      <w:lvlText w:val="•"/>
      <w:lvlJc w:val="left"/>
      <w:pPr>
        <w:ind w:left="3305" w:hanging="412"/>
      </w:pPr>
      <w:rPr>
        <w:rFonts w:hint="default"/>
        <w:lang w:val="es-ES" w:eastAsia="en-US" w:bidi="ar-SA"/>
      </w:rPr>
    </w:lvl>
    <w:lvl w:ilvl="5" w:tplc="F034B004">
      <w:numFmt w:val="bullet"/>
      <w:lvlText w:val="•"/>
      <w:lvlJc w:val="left"/>
      <w:pPr>
        <w:ind w:left="4487" w:hanging="412"/>
      </w:pPr>
      <w:rPr>
        <w:rFonts w:hint="default"/>
        <w:lang w:val="es-ES" w:eastAsia="en-US" w:bidi="ar-SA"/>
      </w:rPr>
    </w:lvl>
    <w:lvl w:ilvl="6" w:tplc="3594B810">
      <w:numFmt w:val="bullet"/>
      <w:lvlText w:val="•"/>
      <w:lvlJc w:val="left"/>
      <w:pPr>
        <w:ind w:left="5670" w:hanging="412"/>
      </w:pPr>
      <w:rPr>
        <w:rFonts w:hint="default"/>
        <w:lang w:val="es-ES" w:eastAsia="en-US" w:bidi="ar-SA"/>
      </w:rPr>
    </w:lvl>
    <w:lvl w:ilvl="7" w:tplc="D92851BA">
      <w:numFmt w:val="bullet"/>
      <w:lvlText w:val="•"/>
      <w:lvlJc w:val="left"/>
      <w:pPr>
        <w:ind w:left="6852" w:hanging="412"/>
      </w:pPr>
      <w:rPr>
        <w:rFonts w:hint="default"/>
        <w:lang w:val="es-ES" w:eastAsia="en-US" w:bidi="ar-SA"/>
      </w:rPr>
    </w:lvl>
    <w:lvl w:ilvl="8" w:tplc="E7C27EBA">
      <w:numFmt w:val="bullet"/>
      <w:lvlText w:val="•"/>
      <w:lvlJc w:val="left"/>
      <w:pPr>
        <w:ind w:left="8035" w:hanging="412"/>
      </w:pPr>
      <w:rPr>
        <w:rFonts w:hint="default"/>
        <w:lang w:val="es-ES" w:eastAsia="en-US" w:bidi="ar-SA"/>
      </w:rPr>
    </w:lvl>
  </w:abstractNum>
  <w:abstractNum w:abstractNumId="38" w15:restartNumberingAfterBreak="0">
    <w:nsid w:val="59125BB8"/>
    <w:multiLevelType w:val="multilevel"/>
    <w:tmpl w:val="914EF2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9" w15:restartNumberingAfterBreak="0">
    <w:nsid w:val="61693535"/>
    <w:multiLevelType w:val="multilevel"/>
    <w:tmpl w:val="E5A8DA2E"/>
    <w:lvl w:ilvl="0">
      <w:start w:val="7"/>
      <w:numFmt w:val="decimal"/>
      <w:lvlText w:val="%1."/>
      <w:lvlJc w:val="left"/>
      <w:pPr>
        <w:ind w:left="510" w:hanging="51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0" w15:restartNumberingAfterBreak="0">
    <w:nsid w:val="627579C1"/>
    <w:multiLevelType w:val="hybridMultilevel"/>
    <w:tmpl w:val="3F54DB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5CA3FE7"/>
    <w:multiLevelType w:val="hybridMultilevel"/>
    <w:tmpl w:val="6F50B4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7DD6164"/>
    <w:multiLevelType w:val="hybridMultilevel"/>
    <w:tmpl w:val="16DE9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EFE6312"/>
    <w:multiLevelType w:val="hybridMultilevel"/>
    <w:tmpl w:val="E7FC6B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F4B6781"/>
    <w:multiLevelType w:val="hybridMultilevel"/>
    <w:tmpl w:val="44B08F26"/>
    <w:lvl w:ilvl="0" w:tplc="20584C9C">
      <w:start w:val="1"/>
      <w:numFmt w:val="decimal"/>
      <w:lvlText w:val="%1)"/>
      <w:lvlJc w:val="left"/>
      <w:pPr>
        <w:ind w:left="720" w:hanging="360"/>
      </w:pPr>
      <w:rPr>
        <w:rFonts w:ascii="Times New Roman" w:eastAsia="Times New Roman" w:hAnsi="Times New Roman" w:cs="Times New Roman" w:hint="default"/>
        <w:b w:val="0"/>
        <w:bCs w:val="0"/>
        <w:i w:val="0"/>
        <w:iCs w:val="0"/>
        <w:w w:val="100"/>
        <w:sz w:val="24"/>
        <w:szCs w:val="24"/>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0FE7E01"/>
    <w:multiLevelType w:val="hybridMultilevel"/>
    <w:tmpl w:val="3F04C6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1260C23"/>
    <w:multiLevelType w:val="hybridMultilevel"/>
    <w:tmpl w:val="F9A010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15D5E61"/>
    <w:multiLevelType w:val="hybridMultilevel"/>
    <w:tmpl w:val="7DB895F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4496CE7"/>
    <w:multiLevelType w:val="hybridMultilevel"/>
    <w:tmpl w:val="7460F9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46D4722"/>
    <w:multiLevelType w:val="hybridMultilevel"/>
    <w:tmpl w:val="F09E634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74EC6143"/>
    <w:multiLevelType w:val="hybridMultilevel"/>
    <w:tmpl w:val="2774DB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6A723DB"/>
    <w:multiLevelType w:val="multilevel"/>
    <w:tmpl w:val="7230383A"/>
    <w:lvl w:ilvl="0">
      <w:start w:val="1"/>
      <w:numFmt w:val="decimal"/>
      <w:lvlText w:val="%1."/>
      <w:lvlJc w:val="left"/>
      <w:pPr>
        <w:ind w:left="765" w:hanging="765"/>
      </w:pPr>
      <w:rPr>
        <w:rFonts w:hint="default"/>
      </w:rPr>
    </w:lvl>
    <w:lvl w:ilvl="1">
      <w:start w:val="3"/>
      <w:numFmt w:val="decimal"/>
      <w:lvlText w:val="%1.%2."/>
      <w:lvlJc w:val="left"/>
      <w:pPr>
        <w:ind w:left="765" w:hanging="76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2" w15:restartNumberingAfterBreak="0">
    <w:nsid w:val="797F56F6"/>
    <w:multiLevelType w:val="hybridMultilevel"/>
    <w:tmpl w:val="7D988F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A6C52B7"/>
    <w:multiLevelType w:val="hybridMultilevel"/>
    <w:tmpl w:val="753E50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E723929"/>
    <w:multiLevelType w:val="hybridMultilevel"/>
    <w:tmpl w:val="2D509B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7EE741DC"/>
    <w:multiLevelType w:val="multilevel"/>
    <w:tmpl w:val="134A73B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num w:numId="1">
    <w:abstractNumId w:val="37"/>
  </w:num>
  <w:num w:numId="2">
    <w:abstractNumId w:val="0"/>
  </w:num>
  <w:num w:numId="3">
    <w:abstractNumId w:val="55"/>
  </w:num>
  <w:num w:numId="4">
    <w:abstractNumId w:val="3"/>
  </w:num>
  <w:num w:numId="5">
    <w:abstractNumId w:val="51"/>
  </w:num>
  <w:num w:numId="6">
    <w:abstractNumId w:val="44"/>
  </w:num>
  <w:num w:numId="7">
    <w:abstractNumId w:val="25"/>
  </w:num>
  <w:num w:numId="8">
    <w:abstractNumId w:val="23"/>
  </w:num>
  <w:num w:numId="9">
    <w:abstractNumId w:val="8"/>
  </w:num>
  <w:num w:numId="10">
    <w:abstractNumId w:val="11"/>
  </w:num>
  <w:num w:numId="11">
    <w:abstractNumId w:val="47"/>
  </w:num>
  <w:num w:numId="12">
    <w:abstractNumId w:val="49"/>
  </w:num>
  <w:num w:numId="13">
    <w:abstractNumId w:val="1"/>
  </w:num>
  <w:num w:numId="14">
    <w:abstractNumId w:val="38"/>
  </w:num>
  <w:num w:numId="15">
    <w:abstractNumId w:val="30"/>
  </w:num>
  <w:num w:numId="16">
    <w:abstractNumId w:val="7"/>
  </w:num>
  <w:num w:numId="17">
    <w:abstractNumId w:val="34"/>
  </w:num>
  <w:num w:numId="18">
    <w:abstractNumId w:val="35"/>
  </w:num>
  <w:num w:numId="19">
    <w:abstractNumId w:val="52"/>
  </w:num>
  <w:num w:numId="20">
    <w:abstractNumId w:val="36"/>
  </w:num>
  <w:num w:numId="21">
    <w:abstractNumId w:val="15"/>
  </w:num>
  <w:num w:numId="22">
    <w:abstractNumId w:val="48"/>
  </w:num>
  <w:num w:numId="23">
    <w:abstractNumId w:val="16"/>
  </w:num>
  <w:num w:numId="24">
    <w:abstractNumId w:val="50"/>
  </w:num>
  <w:num w:numId="25">
    <w:abstractNumId w:val="24"/>
  </w:num>
  <w:num w:numId="26">
    <w:abstractNumId w:val="12"/>
  </w:num>
  <w:num w:numId="27">
    <w:abstractNumId w:val="31"/>
  </w:num>
  <w:num w:numId="28">
    <w:abstractNumId w:val="5"/>
  </w:num>
  <w:num w:numId="29">
    <w:abstractNumId w:val="4"/>
  </w:num>
  <w:num w:numId="30">
    <w:abstractNumId w:val="45"/>
  </w:num>
  <w:num w:numId="31">
    <w:abstractNumId w:val="26"/>
  </w:num>
  <w:num w:numId="32">
    <w:abstractNumId w:val="42"/>
  </w:num>
  <w:num w:numId="33">
    <w:abstractNumId w:val="9"/>
  </w:num>
  <w:num w:numId="34">
    <w:abstractNumId w:val="17"/>
  </w:num>
  <w:num w:numId="35">
    <w:abstractNumId w:val="41"/>
  </w:num>
  <w:num w:numId="36">
    <w:abstractNumId w:val="54"/>
  </w:num>
  <w:num w:numId="37">
    <w:abstractNumId w:val="27"/>
  </w:num>
  <w:num w:numId="38">
    <w:abstractNumId w:val="10"/>
  </w:num>
  <w:num w:numId="39">
    <w:abstractNumId w:val="19"/>
  </w:num>
  <w:num w:numId="40">
    <w:abstractNumId w:val="18"/>
  </w:num>
  <w:num w:numId="41">
    <w:abstractNumId w:val="14"/>
  </w:num>
  <w:num w:numId="42">
    <w:abstractNumId w:val="53"/>
  </w:num>
  <w:num w:numId="43">
    <w:abstractNumId w:val="6"/>
  </w:num>
  <w:num w:numId="44">
    <w:abstractNumId w:val="46"/>
  </w:num>
  <w:num w:numId="45">
    <w:abstractNumId w:val="22"/>
  </w:num>
  <w:num w:numId="46">
    <w:abstractNumId w:val="40"/>
  </w:num>
  <w:num w:numId="47">
    <w:abstractNumId w:val="13"/>
  </w:num>
  <w:num w:numId="48">
    <w:abstractNumId w:val="39"/>
  </w:num>
  <w:num w:numId="49">
    <w:abstractNumId w:val="33"/>
  </w:num>
  <w:num w:numId="50">
    <w:abstractNumId w:val="43"/>
  </w:num>
  <w:num w:numId="51">
    <w:abstractNumId w:val="28"/>
  </w:num>
  <w:num w:numId="52">
    <w:abstractNumId w:val="20"/>
  </w:num>
  <w:num w:numId="53">
    <w:abstractNumId w:val="29"/>
  </w:num>
  <w:num w:numId="54">
    <w:abstractNumId w:val="32"/>
  </w:num>
  <w:num w:numId="55">
    <w:abstractNumId w:val="2"/>
  </w:num>
  <w:num w:numId="56">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1" w:cryptProviderType="rsaAES" w:cryptAlgorithmClass="hash" w:cryptAlgorithmType="typeAny" w:cryptAlgorithmSid="14" w:cryptSpinCount="100000" w:hash="hOPVaAsp4RnxdfF3435YWmjaop9zfGlteksy5PBXJg8vq2DmgidbIJwaFbOq/yyHF3Ao4D+olI7aUo7gNAMzXQ==" w:salt="IL/yMj1pM42tm1axU8n2UA=="/>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804AC"/>
    <w:rsid w:val="00006897"/>
    <w:rsid w:val="00007707"/>
    <w:rsid w:val="00010241"/>
    <w:rsid w:val="00012CBA"/>
    <w:rsid w:val="00015A22"/>
    <w:rsid w:val="00016575"/>
    <w:rsid w:val="00016894"/>
    <w:rsid w:val="00020C09"/>
    <w:rsid w:val="00021EE6"/>
    <w:rsid w:val="000229FA"/>
    <w:rsid w:val="000242DF"/>
    <w:rsid w:val="000246F5"/>
    <w:rsid w:val="000247B3"/>
    <w:rsid w:val="000266F2"/>
    <w:rsid w:val="00033A36"/>
    <w:rsid w:val="00034B2E"/>
    <w:rsid w:val="00046698"/>
    <w:rsid w:val="0004717D"/>
    <w:rsid w:val="00051224"/>
    <w:rsid w:val="00053184"/>
    <w:rsid w:val="000536D4"/>
    <w:rsid w:val="00053E17"/>
    <w:rsid w:val="00054233"/>
    <w:rsid w:val="000556F0"/>
    <w:rsid w:val="000557F0"/>
    <w:rsid w:val="00057256"/>
    <w:rsid w:val="00065BA6"/>
    <w:rsid w:val="00067BF4"/>
    <w:rsid w:val="00077CE5"/>
    <w:rsid w:val="00077D11"/>
    <w:rsid w:val="000804D7"/>
    <w:rsid w:val="000818DA"/>
    <w:rsid w:val="0008619F"/>
    <w:rsid w:val="000909CC"/>
    <w:rsid w:val="00091D7A"/>
    <w:rsid w:val="000A50A3"/>
    <w:rsid w:val="000A550F"/>
    <w:rsid w:val="000A6EF5"/>
    <w:rsid w:val="000A74E8"/>
    <w:rsid w:val="000B16BC"/>
    <w:rsid w:val="000B3C81"/>
    <w:rsid w:val="000B5836"/>
    <w:rsid w:val="000B6B19"/>
    <w:rsid w:val="000C04C6"/>
    <w:rsid w:val="000C1619"/>
    <w:rsid w:val="000C3311"/>
    <w:rsid w:val="000C79EB"/>
    <w:rsid w:val="000D0123"/>
    <w:rsid w:val="000D182E"/>
    <w:rsid w:val="000D370D"/>
    <w:rsid w:val="000D46F1"/>
    <w:rsid w:val="000D5CBC"/>
    <w:rsid w:val="000D6D1C"/>
    <w:rsid w:val="000F1F50"/>
    <w:rsid w:val="000F6499"/>
    <w:rsid w:val="00106135"/>
    <w:rsid w:val="0011361F"/>
    <w:rsid w:val="00113B31"/>
    <w:rsid w:val="0012098C"/>
    <w:rsid w:val="00121DB9"/>
    <w:rsid w:val="00123953"/>
    <w:rsid w:val="0012607D"/>
    <w:rsid w:val="001271BE"/>
    <w:rsid w:val="00130648"/>
    <w:rsid w:val="00130A31"/>
    <w:rsid w:val="00131278"/>
    <w:rsid w:val="00133F75"/>
    <w:rsid w:val="00135240"/>
    <w:rsid w:val="001361D3"/>
    <w:rsid w:val="00137E27"/>
    <w:rsid w:val="00141331"/>
    <w:rsid w:val="001423CE"/>
    <w:rsid w:val="00143CE1"/>
    <w:rsid w:val="00147D75"/>
    <w:rsid w:val="00150E56"/>
    <w:rsid w:val="001525EB"/>
    <w:rsid w:val="00154291"/>
    <w:rsid w:val="0016372D"/>
    <w:rsid w:val="00166CD7"/>
    <w:rsid w:val="00167B85"/>
    <w:rsid w:val="00183E7C"/>
    <w:rsid w:val="00197C8E"/>
    <w:rsid w:val="001A1378"/>
    <w:rsid w:val="001A3259"/>
    <w:rsid w:val="001A3528"/>
    <w:rsid w:val="001A4506"/>
    <w:rsid w:val="001B0E9A"/>
    <w:rsid w:val="001B50F5"/>
    <w:rsid w:val="001B5894"/>
    <w:rsid w:val="001B7B8C"/>
    <w:rsid w:val="001C2EF7"/>
    <w:rsid w:val="001C3959"/>
    <w:rsid w:val="001D3AE6"/>
    <w:rsid w:val="001D4ADE"/>
    <w:rsid w:val="001D572E"/>
    <w:rsid w:val="001E07AA"/>
    <w:rsid w:val="001E1170"/>
    <w:rsid w:val="001F4597"/>
    <w:rsid w:val="001F48F2"/>
    <w:rsid w:val="002047F7"/>
    <w:rsid w:val="002146F6"/>
    <w:rsid w:val="002148E4"/>
    <w:rsid w:val="00214B4B"/>
    <w:rsid w:val="002150D0"/>
    <w:rsid w:val="0021537D"/>
    <w:rsid w:val="00223DA7"/>
    <w:rsid w:val="00231DC2"/>
    <w:rsid w:val="00236842"/>
    <w:rsid w:val="002374EA"/>
    <w:rsid w:val="002408DB"/>
    <w:rsid w:val="0024486F"/>
    <w:rsid w:val="002458D4"/>
    <w:rsid w:val="00250B10"/>
    <w:rsid w:val="00256A4C"/>
    <w:rsid w:val="00265AEA"/>
    <w:rsid w:val="00276F08"/>
    <w:rsid w:val="002770EA"/>
    <w:rsid w:val="0029429B"/>
    <w:rsid w:val="00294308"/>
    <w:rsid w:val="00294FB7"/>
    <w:rsid w:val="002A2D38"/>
    <w:rsid w:val="002A4545"/>
    <w:rsid w:val="002B6293"/>
    <w:rsid w:val="002B6D10"/>
    <w:rsid w:val="002C253D"/>
    <w:rsid w:val="002C346A"/>
    <w:rsid w:val="002C3475"/>
    <w:rsid w:val="002C38E9"/>
    <w:rsid w:val="002C3EB2"/>
    <w:rsid w:val="002E6DDA"/>
    <w:rsid w:val="00301EA8"/>
    <w:rsid w:val="003022B3"/>
    <w:rsid w:val="003024C1"/>
    <w:rsid w:val="003171D2"/>
    <w:rsid w:val="003211D5"/>
    <w:rsid w:val="00321C03"/>
    <w:rsid w:val="00321C34"/>
    <w:rsid w:val="00332EF8"/>
    <w:rsid w:val="003335FE"/>
    <w:rsid w:val="0034140E"/>
    <w:rsid w:val="003419E2"/>
    <w:rsid w:val="00352809"/>
    <w:rsid w:val="00354EF3"/>
    <w:rsid w:val="0036054D"/>
    <w:rsid w:val="003627BA"/>
    <w:rsid w:val="00366DA0"/>
    <w:rsid w:val="00371C95"/>
    <w:rsid w:val="003730C7"/>
    <w:rsid w:val="0037383F"/>
    <w:rsid w:val="00373B9C"/>
    <w:rsid w:val="00377657"/>
    <w:rsid w:val="003804AC"/>
    <w:rsid w:val="00385FD6"/>
    <w:rsid w:val="0038607A"/>
    <w:rsid w:val="00396D11"/>
    <w:rsid w:val="00396E32"/>
    <w:rsid w:val="00396F2B"/>
    <w:rsid w:val="00397F4B"/>
    <w:rsid w:val="003A23C7"/>
    <w:rsid w:val="003A30E5"/>
    <w:rsid w:val="003A632F"/>
    <w:rsid w:val="003B152F"/>
    <w:rsid w:val="003B2C1A"/>
    <w:rsid w:val="003B3897"/>
    <w:rsid w:val="003C626D"/>
    <w:rsid w:val="003C7E43"/>
    <w:rsid w:val="003D4B92"/>
    <w:rsid w:val="003E307F"/>
    <w:rsid w:val="003E5027"/>
    <w:rsid w:val="003E51C4"/>
    <w:rsid w:val="003F2710"/>
    <w:rsid w:val="003F272D"/>
    <w:rsid w:val="00400839"/>
    <w:rsid w:val="00400D25"/>
    <w:rsid w:val="00402844"/>
    <w:rsid w:val="00403DF0"/>
    <w:rsid w:val="0042151C"/>
    <w:rsid w:val="00426232"/>
    <w:rsid w:val="004264C2"/>
    <w:rsid w:val="00427679"/>
    <w:rsid w:val="00431771"/>
    <w:rsid w:val="0043702C"/>
    <w:rsid w:val="00453987"/>
    <w:rsid w:val="004556FF"/>
    <w:rsid w:val="004605CA"/>
    <w:rsid w:val="00465F33"/>
    <w:rsid w:val="0046707C"/>
    <w:rsid w:val="00467929"/>
    <w:rsid w:val="0047661F"/>
    <w:rsid w:val="004766A1"/>
    <w:rsid w:val="00483469"/>
    <w:rsid w:val="004850C7"/>
    <w:rsid w:val="00487B13"/>
    <w:rsid w:val="00492773"/>
    <w:rsid w:val="00494D3D"/>
    <w:rsid w:val="00495C7A"/>
    <w:rsid w:val="004A28C3"/>
    <w:rsid w:val="004A5249"/>
    <w:rsid w:val="004A5DB1"/>
    <w:rsid w:val="004A6EF4"/>
    <w:rsid w:val="004B045D"/>
    <w:rsid w:val="004B0DF2"/>
    <w:rsid w:val="004B5CC2"/>
    <w:rsid w:val="004B63D6"/>
    <w:rsid w:val="004B74A4"/>
    <w:rsid w:val="004B7E6A"/>
    <w:rsid w:val="004C0B7C"/>
    <w:rsid w:val="004C41E1"/>
    <w:rsid w:val="004C771B"/>
    <w:rsid w:val="004C7A34"/>
    <w:rsid w:val="004D7E3E"/>
    <w:rsid w:val="004E5372"/>
    <w:rsid w:val="004E769A"/>
    <w:rsid w:val="00502B4C"/>
    <w:rsid w:val="00502CC6"/>
    <w:rsid w:val="00506337"/>
    <w:rsid w:val="005063CD"/>
    <w:rsid w:val="00510474"/>
    <w:rsid w:val="00510627"/>
    <w:rsid w:val="00510926"/>
    <w:rsid w:val="0051230C"/>
    <w:rsid w:val="00513F80"/>
    <w:rsid w:val="005158E9"/>
    <w:rsid w:val="00516DE1"/>
    <w:rsid w:val="00517865"/>
    <w:rsid w:val="0052717E"/>
    <w:rsid w:val="005300B1"/>
    <w:rsid w:val="0053038F"/>
    <w:rsid w:val="00532056"/>
    <w:rsid w:val="00533AF9"/>
    <w:rsid w:val="00534BFB"/>
    <w:rsid w:val="00535BD7"/>
    <w:rsid w:val="00541D39"/>
    <w:rsid w:val="00547F52"/>
    <w:rsid w:val="00554CD7"/>
    <w:rsid w:val="00557C35"/>
    <w:rsid w:val="005758FC"/>
    <w:rsid w:val="00576CA5"/>
    <w:rsid w:val="00577ED3"/>
    <w:rsid w:val="005821A3"/>
    <w:rsid w:val="00583A02"/>
    <w:rsid w:val="005856D1"/>
    <w:rsid w:val="005863D3"/>
    <w:rsid w:val="005872A8"/>
    <w:rsid w:val="00591E90"/>
    <w:rsid w:val="00592E74"/>
    <w:rsid w:val="0059516A"/>
    <w:rsid w:val="00595866"/>
    <w:rsid w:val="005963F9"/>
    <w:rsid w:val="005976F6"/>
    <w:rsid w:val="005A5DB0"/>
    <w:rsid w:val="005A6F73"/>
    <w:rsid w:val="005B3095"/>
    <w:rsid w:val="005B50DE"/>
    <w:rsid w:val="005B5187"/>
    <w:rsid w:val="005C39CB"/>
    <w:rsid w:val="005D1898"/>
    <w:rsid w:val="005D3228"/>
    <w:rsid w:val="005E6E17"/>
    <w:rsid w:val="005E6FDC"/>
    <w:rsid w:val="005F39EA"/>
    <w:rsid w:val="005F4072"/>
    <w:rsid w:val="005F5CA8"/>
    <w:rsid w:val="005F7A24"/>
    <w:rsid w:val="005F7E7C"/>
    <w:rsid w:val="006008B0"/>
    <w:rsid w:val="006021F1"/>
    <w:rsid w:val="00602A77"/>
    <w:rsid w:val="00605CB9"/>
    <w:rsid w:val="006077AB"/>
    <w:rsid w:val="00621043"/>
    <w:rsid w:val="00621EFA"/>
    <w:rsid w:val="00631FC5"/>
    <w:rsid w:val="0063484F"/>
    <w:rsid w:val="00635722"/>
    <w:rsid w:val="006378E0"/>
    <w:rsid w:val="00640067"/>
    <w:rsid w:val="00644009"/>
    <w:rsid w:val="00644AB5"/>
    <w:rsid w:val="00645666"/>
    <w:rsid w:val="00647037"/>
    <w:rsid w:val="0065055B"/>
    <w:rsid w:val="00650A2A"/>
    <w:rsid w:val="00655D3E"/>
    <w:rsid w:val="00661BC3"/>
    <w:rsid w:val="00665D28"/>
    <w:rsid w:val="00666A0E"/>
    <w:rsid w:val="0066703C"/>
    <w:rsid w:val="00673FE9"/>
    <w:rsid w:val="0067678C"/>
    <w:rsid w:val="00680360"/>
    <w:rsid w:val="00680F03"/>
    <w:rsid w:val="00684327"/>
    <w:rsid w:val="00686BD1"/>
    <w:rsid w:val="00696DDA"/>
    <w:rsid w:val="0069755A"/>
    <w:rsid w:val="006B16DA"/>
    <w:rsid w:val="006C1DAB"/>
    <w:rsid w:val="006D510C"/>
    <w:rsid w:val="006D5E5D"/>
    <w:rsid w:val="006E358D"/>
    <w:rsid w:val="006F55B4"/>
    <w:rsid w:val="0070533E"/>
    <w:rsid w:val="00707DD0"/>
    <w:rsid w:val="007111AF"/>
    <w:rsid w:val="00711BAE"/>
    <w:rsid w:val="00715045"/>
    <w:rsid w:val="007178A6"/>
    <w:rsid w:val="0072038B"/>
    <w:rsid w:val="00720AB9"/>
    <w:rsid w:val="00723920"/>
    <w:rsid w:val="00726E38"/>
    <w:rsid w:val="00741695"/>
    <w:rsid w:val="007416EF"/>
    <w:rsid w:val="00742DF7"/>
    <w:rsid w:val="007469B4"/>
    <w:rsid w:val="0074703B"/>
    <w:rsid w:val="00747167"/>
    <w:rsid w:val="00750551"/>
    <w:rsid w:val="00753456"/>
    <w:rsid w:val="00753BFA"/>
    <w:rsid w:val="0075793B"/>
    <w:rsid w:val="00757EBB"/>
    <w:rsid w:val="00761CF8"/>
    <w:rsid w:val="0077000F"/>
    <w:rsid w:val="0077433E"/>
    <w:rsid w:val="00776243"/>
    <w:rsid w:val="007762E8"/>
    <w:rsid w:val="0077701B"/>
    <w:rsid w:val="00781F60"/>
    <w:rsid w:val="0078535D"/>
    <w:rsid w:val="00790BED"/>
    <w:rsid w:val="007A5430"/>
    <w:rsid w:val="007A62CA"/>
    <w:rsid w:val="007B11B8"/>
    <w:rsid w:val="007B43DB"/>
    <w:rsid w:val="007B448A"/>
    <w:rsid w:val="007B4A09"/>
    <w:rsid w:val="007C05E1"/>
    <w:rsid w:val="007C2170"/>
    <w:rsid w:val="007C49C2"/>
    <w:rsid w:val="007E7D85"/>
    <w:rsid w:val="007F1642"/>
    <w:rsid w:val="00806248"/>
    <w:rsid w:val="008114EF"/>
    <w:rsid w:val="00813331"/>
    <w:rsid w:val="00821C8F"/>
    <w:rsid w:val="008229D2"/>
    <w:rsid w:val="00825FF7"/>
    <w:rsid w:val="0082603A"/>
    <w:rsid w:val="0083161F"/>
    <w:rsid w:val="008317B6"/>
    <w:rsid w:val="00833077"/>
    <w:rsid w:val="00835423"/>
    <w:rsid w:val="00836D6C"/>
    <w:rsid w:val="00837E51"/>
    <w:rsid w:val="008409C9"/>
    <w:rsid w:val="00851612"/>
    <w:rsid w:val="00854459"/>
    <w:rsid w:val="008647BB"/>
    <w:rsid w:val="00871AAC"/>
    <w:rsid w:val="00873F09"/>
    <w:rsid w:val="00873F7A"/>
    <w:rsid w:val="00876A91"/>
    <w:rsid w:val="00881DC9"/>
    <w:rsid w:val="0089037F"/>
    <w:rsid w:val="0089178C"/>
    <w:rsid w:val="00893B69"/>
    <w:rsid w:val="0089687F"/>
    <w:rsid w:val="00896FCC"/>
    <w:rsid w:val="008A0448"/>
    <w:rsid w:val="008A2C80"/>
    <w:rsid w:val="008A4207"/>
    <w:rsid w:val="008A43D1"/>
    <w:rsid w:val="008A7083"/>
    <w:rsid w:val="008D0AE4"/>
    <w:rsid w:val="008D180F"/>
    <w:rsid w:val="008D1A5E"/>
    <w:rsid w:val="008D5184"/>
    <w:rsid w:val="008E0C45"/>
    <w:rsid w:val="008F0261"/>
    <w:rsid w:val="008F076A"/>
    <w:rsid w:val="008F7772"/>
    <w:rsid w:val="008F7F53"/>
    <w:rsid w:val="00900E87"/>
    <w:rsid w:val="00904D5D"/>
    <w:rsid w:val="00904DC6"/>
    <w:rsid w:val="00907C2F"/>
    <w:rsid w:val="009102CF"/>
    <w:rsid w:val="00911844"/>
    <w:rsid w:val="00912594"/>
    <w:rsid w:val="00913F15"/>
    <w:rsid w:val="00914D42"/>
    <w:rsid w:val="00916C90"/>
    <w:rsid w:val="009211B1"/>
    <w:rsid w:val="009219EC"/>
    <w:rsid w:val="00926BD0"/>
    <w:rsid w:val="00932797"/>
    <w:rsid w:val="00935BEB"/>
    <w:rsid w:val="00941DAF"/>
    <w:rsid w:val="00942E0F"/>
    <w:rsid w:val="00944AB8"/>
    <w:rsid w:val="00944BB6"/>
    <w:rsid w:val="00946653"/>
    <w:rsid w:val="00951B0F"/>
    <w:rsid w:val="00953F3C"/>
    <w:rsid w:val="0095540A"/>
    <w:rsid w:val="00957E59"/>
    <w:rsid w:val="009704CB"/>
    <w:rsid w:val="00970CFD"/>
    <w:rsid w:val="00992601"/>
    <w:rsid w:val="00992D32"/>
    <w:rsid w:val="00995737"/>
    <w:rsid w:val="00997B72"/>
    <w:rsid w:val="009A2BF2"/>
    <w:rsid w:val="009A4923"/>
    <w:rsid w:val="009A67C5"/>
    <w:rsid w:val="009A688F"/>
    <w:rsid w:val="009A789A"/>
    <w:rsid w:val="009B1F0B"/>
    <w:rsid w:val="009D148F"/>
    <w:rsid w:val="009E048A"/>
    <w:rsid w:val="009E4289"/>
    <w:rsid w:val="009E54D0"/>
    <w:rsid w:val="009E5CF2"/>
    <w:rsid w:val="009E689E"/>
    <w:rsid w:val="009E68B9"/>
    <w:rsid w:val="009E7CF4"/>
    <w:rsid w:val="009F0CCA"/>
    <w:rsid w:val="009F4F4C"/>
    <w:rsid w:val="00A05B2E"/>
    <w:rsid w:val="00A076E2"/>
    <w:rsid w:val="00A147EB"/>
    <w:rsid w:val="00A1798E"/>
    <w:rsid w:val="00A240C9"/>
    <w:rsid w:val="00A262D9"/>
    <w:rsid w:val="00A35E2D"/>
    <w:rsid w:val="00A40E89"/>
    <w:rsid w:val="00A4155E"/>
    <w:rsid w:val="00A533F9"/>
    <w:rsid w:val="00A55B1A"/>
    <w:rsid w:val="00A56270"/>
    <w:rsid w:val="00A60635"/>
    <w:rsid w:val="00A70DBC"/>
    <w:rsid w:val="00A71E99"/>
    <w:rsid w:val="00A71FBC"/>
    <w:rsid w:val="00A73899"/>
    <w:rsid w:val="00A73915"/>
    <w:rsid w:val="00A80E53"/>
    <w:rsid w:val="00A90AAC"/>
    <w:rsid w:val="00A913FB"/>
    <w:rsid w:val="00AB354B"/>
    <w:rsid w:val="00AC182B"/>
    <w:rsid w:val="00AC256F"/>
    <w:rsid w:val="00AD04CF"/>
    <w:rsid w:val="00AD54C7"/>
    <w:rsid w:val="00AD75C9"/>
    <w:rsid w:val="00AE03AF"/>
    <w:rsid w:val="00AE5F33"/>
    <w:rsid w:val="00AE7681"/>
    <w:rsid w:val="00AE798B"/>
    <w:rsid w:val="00AF07FC"/>
    <w:rsid w:val="00AF18A5"/>
    <w:rsid w:val="00B02229"/>
    <w:rsid w:val="00B04A7B"/>
    <w:rsid w:val="00B11513"/>
    <w:rsid w:val="00B217E3"/>
    <w:rsid w:val="00B221B9"/>
    <w:rsid w:val="00B22898"/>
    <w:rsid w:val="00B23B59"/>
    <w:rsid w:val="00B274E6"/>
    <w:rsid w:val="00B341A7"/>
    <w:rsid w:val="00B34E6C"/>
    <w:rsid w:val="00B41082"/>
    <w:rsid w:val="00B4401C"/>
    <w:rsid w:val="00B46A69"/>
    <w:rsid w:val="00B519D3"/>
    <w:rsid w:val="00B57376"/>
    <w:rsid w:val="00B62F25"/>
    <w:rsid w:val="00B6572D"/>
    <w:rsid w:val="00B6716C"/>
    <w:rsid w:val="00B71298"/>
    <w:rsid w:val="00B72257"/>
    <w:rsid w:val="00B81B68"/>
    <w:rsid w:val="00B848A6"/>
    <w:rsid w:val="00B8684E"/>
    <w:rsid w:val="00B87AAF"/>
    <w:rsid w:val="00B91ED4"/>
    <w:rsid w:val="00B93F6A"/>
    <w:rsid w:val="00B96EBC"/>
    <w:rsid w:val="00BB0E27"/>
    <w:rsid w:val="00BB7158"/>
    <w:rsid w:val="00BC1EE3"/>
    <w:rsid w:val="00BC5EC9"/>
    <w:rsid w:val="00BC729E"/>
    <w:rsid w:val="00BD28A4"/>
    <w:rsid w:val="00BD61B0"/>
    <w:rsid w:val="00BD6DB7"/>
    <w:rsid w:val="00BE599E"/>
    <w:rsid w:val="00BE5DA4"/>
    <w:rsid w:val="00BE673A"/>
    <w:rsid w:val="00BE7FE8"/>
    <w:rsid w:val="00BF447B"/>
    <w:rsid w:val="00BF63FA"/>
    <w:rsid w:val="00C11103"/>
    <w:rsid w:val="00C12FEA"/>
    <w:rsid w:val="00C1326C"/>
    <w:rsid w:val="00C22D13"/>
    <w:rsid w:val="00C3605D"/>
    <w:rsid w:val="00C40657"/>
    <w:rsid w:val="00C442FB"/>
    <w:rsid w:val="00C445C3"/>
    <w:rsid w:val="00C451B0"/>
    <w:rsid w:val="00C54D80"/>
    <w:rsid w:val="00C60073"/>
    <w:rsid w:val="00C60599"/>
    <w:rsid w:val="00C61DE9"/>
    <w:rsid w:val="00C61FA0"/>
    <w:rsid w:val="00C6432E"/>
    <w:rsid w:val="00C70A6B"/>
    <w:rsid w:val="00C70A6F"/>
    <w:rsid w:val="00C77F4D"/>
    <w:rsid w:val="00C80A26"/>
    <w:rsid w:val="00C82005"/>
    <w:rsid w:val="00C8296A"/>
    <w:rsid w:val="00C829C3"/>
    <w:rsid w:val="00C93FE5"/>
    <w:rsid w:val="00C94F08"/>
    <w:rsid w:val="00C954C6"/>
    <w:rsid w:val="00C972B2"/>
    <w:rsid w:val="00CA0D2F"/>
    <w:rsid w:val="00CA2E87"/>
    <w:rsid w:val="00CA3390"/>
    <w:rsid w:val="00CA70BA"/>
    <w:rsid w:val="00CB0525"/>
    <w:rsid w:val="00CB1710"/>
    <w:rsid w:val="00CB1BB1"/>
    <w:rsid w:val="00CB584D"/>
    <w:rsid w:val="00CC30CB"/>
    <w:rsid w:val="00CC3C78"/>
    <w:rsid w:val="00CD3BCA"/>
    <w:rsid w:val="00CE146A"/>
    <w:rsid w:val="00CE2890"/>
    <w:rsid w:val="00CF31F8"/>
    <w:rsid w:val="00CF3DE3"/>
    <w:rsid w:val="00CF7E03"/>
    <w:rsid w:val="00D007CA"/>
    <w:rsid w:val="00D02339"/>
    <w:rsid w:val="00D04772"/>
    <w:rsid w:val="00D108AD"/>
    <w:rsid w:val="00D20CA0"/>
    <w:rsid w:val="00D22842"/>
    <w:rsid w:val="00D34CC0"/>
    <w:rsid w:val="00D35EF8"/>
    <w:rsid w:val="00D40765"/>
    <w:rsid w:val="00D41A60"/>
    <w:rsid w:val="00D4426B"/>
    <w:rsid w:val="00D5157E"/>
    <w:rsid w:val="00D51999"/>
    <w:rsid w:val="00D52206"/>
    <w:rsid w:val="00D54EAA"/>
    <w:rsid w:val="00D627AE"/>
    <w:rsid w:val="00D64799"/>
    <w:rsid w:val="00D71271"/>
    <w:rsid w:val="00D73B8F"/>
    <w:rsid w:val="00D76216"/>
    <w:rsid w:val="00D77C19"/>
    <w:rsid w:val="00D81DAF"/>
    <w:rsid w:val="00D820B2"/>
    <w:rsid w:val="00D86F09"/>
    <w:rsid w:val="00D907C6"/>
    <w:rsid w:val="00D90E6F"/>
    <w:rsid w:val="00DA060F"/>
    <w:rsid w:val="00DA3D2E"/>
    <w:rsid w:val="00DA46C7"/>
    <w:rsid w:val="00DC2429"/>
    <w:rsid w:val="00DD38C2"/>
    <w:rsid w:val="00DD4F7C"/>
    <w:rsid w:val="00DE41BA"/>
    <w:rsid w:val="00DE62B1"/>
    <w:rsid w:val="00DE64D3"/>
    <w:rsid w:val="00DF3A0B"/>
    <w:rsid w:val="00E013A2"/>
    <w:rsid w:val="00E028DD"/>
    <w:rsid w:val="00E0595E"/>
    <w:rsid w:val="00E140C8"/>
    <w:rsid w:val="00E14C02"/>
    <w:rsid w:val="00E2191D"/>
    <w:rsid w:val="00E23E0C"/>
    <w:rsid w:val="00E27A60"/>
    <w:rsid w:val="00E34920"/>
    <w:rsid w:val="00E35F51"/>
    <w:rsid w:val="00E37A9A"/>
    <w:rsid w:val="00E43F0B"/>
    <w:rsid w:val="00E53DBB"/>
    <w:rsid w:val="00E547C8"/>
    <w:rsid w:val="00E55AA3"/>
    <w:rsid w:val="00E5616F"/>
    <w:rsid w:val="00E56B2D"/>
    <w:rsid w:val="00E56E0B"/>
    <w:rsid w:val="00E62705"/>
    <w:rsid w:val="00E66F52"/>
    <w:rsid w:val="00E7096C"/>
    <w:rsid w:val="00E7096D"/>
    <w:rsid w:val="00E755CD"/>
    <w:rsid w:val="00E91EA8"/>
    <w:rsid w:val="00E96B85"/>
    <w:rsid w:val="00EA44CD"/>
    <w:rsid w:val="00EA7834"/>
    <w:rsid w:val="00EB0C3D"/>
    <w:rsid w:val="00EB1D29"/>
    <w:rsid w:val="00EB1F28"/>
    <w:rsid w:val="00EC11EF"/>
    <w:rsid w:val="00EC72FE"/>
    <w:rsid w:val="00ED02CC"/>
    <w:rsid w:val="00ED17DB"/>
    <w:rsid w:val="00ED43A7"/>
    <w:rsid w:val="00ED4AB5"/>
    <w:rsid w:val="00ED6C2F"/>
    <w:rsid w:val="00EE114D"/>
    <w:rsid w:val="00EE1881"/>
    <w:rsid w:val="00EE3A0C"/>
    <w:rsid w:val="00EE5772"/>
    <w:rsid w:val="00EF48B9"/>
    <w:rsid w:val="00EF5274"/>
    <w:rsid w:val="00EF6202"/>
    <w:rsid w:val="00F03FA7"/>
    <w:rsid w:val="00F04490"/>
    <w:rsid w:val="00F071C9"/>
    <w:rsid w:val="00F12640"/>
    <w:rsid w:val="00F2101B"/>
    <w:rsid w:val="00F234C2"/>
    <w:rsid w:val="00F26303"/>
    <w:rsid w:val="00F3070E"/>
    <w:rsid w:val="00F34A53"/>
    <w:rsid w:val="00F42276"/>
    <w:rsid w:val="00F4582E"/>
    <w:rsid w:val="00F45D4D"/>
    <w:rsid w:val="00F47A4B"/>
    <w:rsid w:val="00F527EF"/>
    <w:rsid w:val="00F5576D"/>
    <w:rsid w:val="00F562FD"/>
    <w:rsid w:val="00F60E13"/>
    <w:rsid w:val="00F670A7"/>
    <w:rsid w:val="00F701BD"/>
    <w:rsid w:val="00F715F9"/>
    <w:rsid w:val="00F747E5"/>
    <w:rsid w:val="00F77D6C"/>
    <w:rsid w:val="00F80BCD"/>
    <w:rsid w:val="00F82113"/>
    <w:rsid w:val="00F8662D"/>
    <w:rsid w:val="00F86CC1"/>
    <w:rsid w:val="00F87D60"/>
    <w:rsid w:val="00F913F7"/>
    <w:rsid w:val="00F9308F"/>
    <w:rsid w:val="00F96E2B"/>
    <w:rsid w:val="00F97164"/>
    <w:rsid w:val="00F973AA"/>
    <w:rsid w:val="00F976D7"/>
    <w:rsid w:val="00FA49EA"/>
    <w:rsid w:val="00FA5E71"/>
    <w:rsid w:val="00FB5D2A"/>
    <w:rsid w:val="00FC0E5A"/>
    <w:rsid w:val="00FC1969"/>
    <w:rsid w:val="00FC28F2"/>
    <w:rsid w:val="00FC63DC"/>
    <w:rsid w:val="00FD4246"/>
    <w:rsid w:val="00FD58DF"/>
    <w:rsid w:val="00FE5623"/>
    <w:rsid w:val="00FE78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F0DC0"/>
  <w15:docId w15:val="{FBB067DC-4E3D-4E26-A13F-944F28F42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1B0F"/>
    <w:pPr>
      <w:spacing w:before="240" w:after="240" w:line="360" w:lineRule="auto"/>
    </w:pPr>
    <w:rPr>
      <w:rFonts w:ascii="Verdana" w:eastAsia="Times New Roman" w:hAnsi="Verdana" w:cs="Times New Roman"/>
      <w:sz w:val="24"/>
      <w:lang w:val="es-ES"/>
    </w:rPr>
  </w:style>
  <w:style w:type="paragraph" w:styleId="Ttulo1">
    <w:name w:val="heading 1"/>
    <w:basedOn w:val="Normal"/>
    <w:uiPriority w:val="9"/>
    <w:qFormat/>
    <w:rsid w:val="00F9308F"/>
    <w:pPr>
      <w:outlineLvl w:val="0"/>
    </w:pPr>
    <w:rPr>
      <w:b/>
      <w:bCs/>
      <w:sz w:val="32"/>
      <w:szCs w:val="32"/>
    </w:rPr>
  </w:style>
  <w:style w:type="paragraph" w:styleId="Ttulo2">
    <w:name w:val="heading 2"/>
    <w:basedOn w:val="Normal"/>
    <w:uiPriority w:val="9"/>
    <w:unhideWhenUsed/>
    <w:qFormat/>
    <w:rsid w:val="00F9308F"/>
    <w:pPr>
      <w:outlineLvl w:val="1"/>
    </w:pPr>
    <w:rPr>
      <w:b/>
      <w:bCs/>
      <w:sz w:val="28"/>
      <w:szCs w:val="28"/>
    </w:rPr>
  </w:style>
  <w:style w:type="paragraph" w:styleId="Ttulo3">
    <w:name w:val="heading 3"/>
    <w:basedOn w:val="Normal"/>
    <w:uiPriority w:val="9"/>
    <w:unhideWhenUsed/>
    <w:qFormat/>
    <w:rsid w:val="00EF5274"/>
    <w:pPr>
      <w:outlineLvl w:val="2"/>
    </w:pPr>
    <w:rPr>
      <w:b/>
      <w:bCs/>
      <w:szCs w:val="24"/>
    </w:rPr>
  </w:style>
  <w:style w:type="paragraph" w:styleId="Ttulo4">
    <w:name w:val="heading 4"/>
    <w:basedOn w:val="Normal"/>
    <w:uiPriority w:val="9"/>
    <w:unhideWhenUsed/>
    <w:qFormat/>
    <w:rsid w:val="006D5E5D"/>
    <w:pPr>
      <w:outlineLvl w:val="3"/>
    </w:pPr>
    <w:rPr>
      <w:b/>
      <w:bCs/>
      <w:iCs/>
      <w:szCs w:val="24"/>
    </w:rPr>
  </w:style>
  <w:style w:type="paragraph" w:styleId="Ttulo5">
    <w:name w:val="heading 5"/>
    <w:basedOn w:val="Normal"/>
    <w:next w:val="Normal"/>
    <w:link w:val="Ttulo5Car"/>
    <w:uiPriority w:val="9"/>
    <w:unhideWhenUsed/>
    <w:qFormat/>
    <w:rsid w:val="00DA060F"/>
    <w:pPr>
      <w:keepNext/>
      <w:keepLines/>
      <w:outlineLvl w:val="4"/>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rsid w:val="00513F80"/>
    <w:pPr>
      <w:spacing w:before="0" w:after="0"/>
    </w:pPr>
    <w:rPr>
      <w:b/>
      <w:szCs w:val="24"/>
    </w:rPr>
  </w:style>
  <w:style w:type="paragraph" w:styleId="TDC2">
    <w:name w:val="toc 2"/>
    <w:basedOn w:val="Normal"/>
    <w:uiPriority w:val="39"/>
    <w:qFormat/>
    <w:rsid w:val="00513F80"/>
    <w:pPr>
      <w:spacing w:before="0" w:after="0"/>
    </w:pPr>
    <w:rPr>
      <w:b/>
      <w:bCs/>
      <w:iCs/>
    </w:rPr>
  </w:style>
  <w:style w:type="paragraph" w:styleId="TDC3">
    <w:name w:val="toc 3"/>
    <w:basedOn w:val="Normal"/>
    <w:uiPriority w:val="39"/>
    <w:qFormat/>
    <w:rsid w:val="00513F80"/>
    <w:pPr>
      <w:spacing w:before="0" w:after="0"/>
    </w:pPr>
    <w:rPr>
      <w:szCs w:val="24"/>
    </w:rPr>
  </w:style>
  <w:style w:type="paragraph" w:styleId="TDC4">
    <w:name w:val="toc 4"/>
    <w:basedOn w:val="Normal"/>
    <w:uiPriority w:val="39"/>
    <w:qFormat/>
    <w:rsid w:val="00513F80"/>
    <w:pPr>
      <w:spacing w:before="0" w:after="0"/>
    </w:pPr>
    <w:rPr>
      <w:szCs w:val="24"/>
    </w:rPr>
  </w:style>
  <w:style w:type="paragraph" w:styleId="Textoindependiente">
    <w:name w:val="Body Text"/>
    <w:basedOn w:val="Normal"/>
    <w:uiPriority w:val="1"/>
    <w:qFormat/>
    <w:rsid w:val="00F47A4B"/>
    <w:rPr>
      <w:szCs w:val="24"/>
      <w:lang w:val="es-CO"/>
    </w:rPr>
  </w:style>
  <w:style w:type="paragraph" w:styleId="Prrafodelista">
    <w:name w:val="List Paragraph"/>
    <w:basedOn w:val="Normal"/>
    <w:uiPriority w:val="1"/>
    <w:qFormat/>
    <w:rsid w:val="00825FF7"/>
    <w:pPr>
      <w:spacing w:before="0" w:after="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602A77"/>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602A77"/>
    <w:rPr>
      <w:rFonts w:ascii="Verdana" w:eastAsia="Times New Roman" w:hAnsi="Verdana" w:cs="Times New Roman"/>
      <w:sz w:val="24"/>
      <w:lang w:val="es-ES"/>
    </w:rPr>
  </w:style>
  <w:style w:type="paragraph" w:styleId="Piedepgina">
    <w:name w:val="footer"/>
    <w:basedOn w:val="Normal"/>
    <w:link w:val="PiedepginaCar"/>
    <w:uiPriority w:val="99"/>
    <w:unhideWhenUsed/>
    <w:rsid w:val="00602A77"/>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602A77"/>
    <w:rPr>
      <w:rFonts w:ascii="Verdana" w:eastAsia="Times New Roman" w:hAnsi="Verdana" w:cs="Times New Roman"/>
      <w:sz w:val="24"/>
      <w:lang w:val="es-ES"/>
    </w:rPr>
  </w:style>
  <w:style w:type="character" w:styleId="Ttulodellibro">
    <w:name w:val="Book Title"/>
    <w:basedOn w:val="Fuentedeprrafopredeter"/>
    <w:uiPriority w:val="33"/>
    <w:qFormat/>
    <w:rsid w:val="00621043"/>
    <w:rPr>
      <w:rFonts w:ascii="Verdana" w:hAnsi="Verdana"/>
      <w:b/>
      <w:bCs/>
      <w:i w:val="0"/>
      <w:iCs/>
      <w:spacing w:val="5"/>
      <w:sz w:val="36"/>
    </w:rPr>
  </w:style>
  <w:style w:type="character" w:styleId="Hipervnculo">
    <w:name w:val="Hyperlink"/>
    <w:basedOn w:val="Fuentedeprrafopredeter"/>
    <w:uiPriority w:val="99"/>
    <w:unhideWhenUsed/>
    <w:rsid w:val="00F47A4B"/>
    <w:rPr>
      <w:color w:val="0000FF" w:themeColor="hyperlink"/>
      <w:u w:val="single"/>
    </w:rPr>
  </w:style>
  <w:style w:type="paragraph" w:styleId="Textonotapie">
    <w:name w:val="footnote text"/>
    <w:basedOn w:val="Normal"/>
    <w:link w:val="TextonotapieCar"/>
    <w:uiPriority w:val="99"/>
    <w:unhideWhenUsed/>
    <w:rsid w:val="001271BE"/>
    <w:pPr>
      <w:spacing w:before="0" w:after="0" w:line="240" w:lineRule="auto"/>
    </w:pPr>
    <w:rPr>
      <w:sz w:val="20"/>
      <w:szCs w:val="20"/>
    </w:rPr>
  </w:style>
  <w:style w:type="character" w:customStyle="1" w:styleId="TextonotapieCar">
    <w:name w:val="Texto nota pie Car"/>
    <w:basedOn w:val="Fuentedeprrafopredeter"/>
    <w:link w:val="Textonotapie"/>
    <w:uiPriority w:val="99"/>
    <w:rsid w:val="001271BE"/>
    <w:rPr>
      <w:rFonts w:ascii="Verdana" w:eastAsia="Times New Roman" w:hAnsi="Verdana" w:cs="Times New Roman"/>
      <w:sz w:val="20"/>
      <w:szCs w:val="20"/>
      <w:lang w:val="es-ES"/>
    </w:rPr>
  </w:style>
  <w:style w:type="character" w:styleId="Refdenotaalpie">
    <w:name w:val="footnote reference"/>
    <w:basedOn w:val="Fuentedeprrafopredeter"/>
    <w:uiPriority w:val="99"/>
    <w:semiHidden/>
    <w:unhideWhenUsed/>
    <w:rsid w:val="001271BE"/>
    <w:rPr>
      <w:vertAlign w:val="superscript"/>
    </w:rPr>
  </w:style>
  <w:style w:type="paragraph" w:styleId="Descripcin">
    <w:name w:val="caption"/>
    <w:basedOn w:val="Normal"/>
    <w:next w:val="Normal"/>
    <w:uiPriority w:val="35"/>
    <w:unhideWhenUsed/>
    <w:qFormat/>
    <w:rsid w:val="00BF447B"/>
    <w:pPr>
      <w:spacing w:before="0" w:after="0"/>
    </w:pPr>
    <w:rPr>
      <w:b/>
      <w:iCs/>
      <w:szCs w:val="18"/>
    </w:rPr>
  </w:style>
  <w:style w:type="character" w:styleId="Mencinsinresolver">
    <w:name w:val="Unresolved Mention"/>
    <w:basedOn w:val="Fuentedeprrafopredeter"/>
    <w:uiPriority w:val="99"/>
    <w:semiHidden/>
    <w:unhideWhenUsed/>
    <w:rsid w:val="00E53DBB"/>
    <w:rPr>
      <w:color w:val="605E5C"/>
      <w:shd w:val="clear" w:color="auto" w:fill="E1DFDD"/>
    </w:rPr>
  </w:style>
  <w:style w:type="character" w:customStyle="1" w:styleId="Ttulo5Car">
    <w:name w:val="Título 5 Car"/>
    <w:basedOn w:val="Fuentedeprrafopredeter"/>
    <w:link w:val="Ttulo5"/>
    <w:uiPriority w:val="9"/>
    <w:rsid w:val="00DA060F"/>
    <w:rPr>
      <w:rFonts w:ascii="Verdana" w:eastAsiaTheme="majorEastAsia" w:hAnsi="Verdana" w:cstheme="majorBidi"/>
      <w:b/>
      <w:sz w:val="24"/>
      <w:lang w:val="es-ES"/>
    </w:rPr>
  </w:style>
  <w:style w:type="paragraph" w:styleId="Textonotaalfinal">
    <w:name w:val="endnote text"/>
    <w:basedOn w:val="Normal"/>
    <w:link w:val="TextonotaalfinalCar"/>
    <w:uiPriority w:val="99"/>
    <w:semiHidden/>
    <w:unhideWhenUsed/>
    <w:rsid w:val="005B50DE"/>
    <w:pPr>
      <w:spacing w:before="0"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B50DE"/>
    <w:rPr>
      <w:rFonts w:ascii="Verdana" w:eastAsia="Times New Roman" w:hAnsi="Verdana" w:cs="Times New Roman"/>
      <w:sz w:val="20"/>
      <w:szCs w:val="20"/>
      <w:lang w:val="es-ES"/>
    </w:rPr>
  </w:style>
  <w:style w:type="character" w:styleId="Refdenotaalfinal">
    <w:name w:val="endnote reference"/>
    <w:basedOn w:val="Fuentedeprrafopredeter"/>
    <w:uiPriority w:val="99"/>
    <w:semiHidden/>
    <w:unhideWhenUsed/>
    <w:rsid w:val="005B50DE"/>
    <w:rPr>
      <w:vertAlign w:val="superscript"/>
    </w:rPr>
  </w:style>
  <w:style w:type="paragraph" w:styleId="TDC6">
    <w:name w:val="toc 6"/>
    <w:basedOn w:val="Normal"/>
    <w:next w:val="Normal"/>
    <w:autoRedefine/>
    <w:uiPriority w:val="39"/>
    <w:unhideWhenUsed/>
    <w:rsid w:val="00513F80"/>
    <w:pPr>
      <w:widowControl/>
      <w:autoSpaceDE/>
      <w:autoSpaceDN/>
      <w:spacing w:before="0" w:after="100" w:line="259" w:lineRule="auto"/>
      <w:ind w:left="1100"/>
    </w:pPr>
    <w:rPr>
      <w:rFonts w:asciiTheme="minorHAnsi" w:eastAsiaTheme="minorEastAsia" w:hAnsiTheme="minorHAnsi" w:cstheme="minorBidi"/>
      <w:sz w:val="22"/>
      <w:lang w:val="es-CO" w:eastAsia="es-CO"/>
    </w:rPr>
  </w:style>
  <w:style w:type="paragraph" w:styleId="TDC5">
    <w:name w:val="toc 5"/>
    <w:basedOn w:val="Normal"/>
    <w:next w:val="Normal"/>
    <w:autoRedefine/>
    <w:uiPriority w:val="39"/>
    <w:unhideWhenUsed/>
    <w:rsid w:val="00513F80"/>
    <w:pPr>
      <w:spacing w:before="0" w:after="0"/>
    </w:pPr>
  </w:style>
  <w:style w:type="paragraph" w:styleId="TDC7">
    <w:name w:val="toc 7"/>
    <w:basedOn w:val="Normal"/>
    <w:next w:val="Normal"/>
    <w:autoRedefine/>
    <w:uiPriority w:val="39"/>
    <w:unhideWhenUsed/>
    <w:rsid w:val="00513F80"/>
    <w:pPr>
      <w:widowControl/>
      <w:autoSpaceDE/>
      <w:autoSpaceDN/>
      <w:spacing w:before="0" w:after="100" w:line="259" w:lineRule="auto"/>
      <w:ind w:left="1320"/>
    </w:pPr>
    <w:rPr>
      <w:rFonts w:asciiTheme="minorHAnsi" w:eastAsiaTheme="minorEastAsia" w:hAnsiTheme="minorHAnsi" w:cstheme="minorBidi"/>
      <w:sz w:val="22"/>
      <w:lang w:val="es-CO" w:eastAsia="es-CO"/>
    </w:rPr>
  </w:style>
  <w:style w:type="paragraph" w:styleId="TDC8">
    <w:name w:val="toc 8"/>
    <w:basedOn w:val="Normal"/>
    <w:next w:val="Normal"/>
    <w:autoRedefine/>
    <w:uiPriority w:val="39"/>
    <w:unhideWhenUsed/>
    <w:rsid w:val="00513F80"/>
    <w:pPr>
      <w:widowControl/>
      <w:autoSpaceDE/>
      <w:autoSpaceDN/>
      <w:spacing w:before="0" w:after="100" w:line="259" w:lineRule="auto"/>
      <w:ind w:left="1540"/>
    </w:pPr>
    <w:rPr>
      <w:rFonts w:asciiTheme="minorHAnsi" w:eastAsiaTheme="minorEastAsia" w:hAnsiTheme="minorHAnsi" w:cstheme="minorBidi"/>
      <w:sz w:val="22"/>
      <w:lang w:val="es-CO" w:eastAsia="es-CO"/>
    </w:rPr>
  </w:style>
  <w:style w:type="paragraph" w:styleId="TDC9">
    <w:name w:val="toc 9"/>
    <w:basedOn w:val="Normal"/>
    <w:next w:val="Normal"/>
    <w:autoRedefine/>
    <w:uiPriority w:val="39"/>
    <w:unhideWhenUsed/>
    <w:rsid w:val="00513F80"/>
    <w:pPr>
      <w:widowControl/>
      <w:autoSpaceDE/>
      <w:autoSpaceDN/>
      <w:spacing w:before="0" w:after="100" w:line="259" w:lineRule="auto"/>
      <w:ind w:left="1760"/>
    </w:pPr>
    <w:rPr>
      <w:rFonts w:asciiTheme="minorHAnsi" w:eastAsiaTheme="minorEastAsia" w:hAnsiTheme="minorHAnsi" w:cstheme="minorBidi"/>
      <w:sz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www.youtube.com/watch?v=Nrz7HUCK5NY" TargetMode="External"/><Relationship Id="rId21" Type="http://schemas.openxmlformats.org/officeDocument/2006/relationships/image" Target="media/image4.png"/><Relationship Id="rId42" Type="http://schemas.openxmlformats.org/officeDocument/2006/relationships/hyperlink" Target="https://verdadabierta.com/wp-content/uploads/2019/03/Verdad-en-sentencias-JyP.-CITpaxJaveriana-PDF-FINAL.pdf" TargetMode="External"/><Relationship Id="rId63" Type="http://schemas.openxmlformats.org/officeDocument/2006/relationships/hyperlink" Target="http://www.derechos.org/nizkor/colombia/doc/ralito1.html" TargetMode="External"/><Relationship Id="rId84" Type="http://schemas.openxmlformats.org/officeDocument/2006/relationships/hyperlink" Target="https://es.scribd.com/document/572081557/Auto-075-2022-JEP-CASO06-UP-AutoUniversoVictimas-vs-060422-VF" TargetMode="External"/><Relationship Id="rId138" Type="http://schemas.openxmlformats.org/officeDocument/2006/relationships/hyperlink" Target="https://verdadabierta.com/cadena-rodrigo-mercado-peluffo/" TargetMode="External"/><Relationship Id="rId159" Type="http://schemas.openxmlformats.org/officeDocument/2006/relationships/hyperlink" Target="https://comisiondelaverdad.co/actualidad/noticias/alfonso-valdivieso-sociedad-que-las-instituciones-para-el-posconflicto" TargetMode="External"/><Relationship Id="rId170" Type="http://schemas.openxmlformats.org/officeDocument/2006/relationships/hyperlink" Target="https://www.corteidh.or.cr/docs/casos/articulos/seriec_163_esp.pdf" TargetMode="External"/><Relationship Id="rId191" Type="http://schemas.openxmlformats.org/officeDocument/2006/relationships/hyperlink" Target="https://jurinfo.jep.gov.co/normograma/compilacion/docs/pdf/Auto_SRVR-029_01-marzo-2019.pdf" TargetMode="External"/><Relationship Id="rId205" Type="http://schemas.openxmlformats.org/officeDocument/2006/relationships/hyperlink" Target="http://www.mineducacion.gov.co/1759/w3-printer-376377.html" TargetMode="External"/><Relationship Id="rId107" Type="http://schemas.openxmlformats.org/officeDocument/2006/relationships/hyperlink" Target="https://www.funcionpublica.gov.co/eva/gestornormativo/norma.php?i=3343&amp;%3A%7E%3Atext=Por%20el%20cual%20se%20reorganizan%2CMunicipales%20de%20Seguridad%20y%20se" TargetMode="External"/><Relationship Id="rId11" Type="http://schemas.openxmlformats.org/officeDocument/2006/relationships/hyperlink" Target="http://www.elespectador.com/politica/la-cuestionable-estrategia-de-" TargetMode="External"/><Relationship Id="rId32" Type="http://schemas.openxmlformats.org/officeDocument/2006/relationships/image" Target="media/image15.jpeg"/><Relationship Id="rId53" Type="http://schemas.openxmlformats.org/officeDocument/2006/relationships/hyperlink" Target="https://www.funcionpublica.gov.co/eva/gestornormativo/norma.php?i=31239&amp;%3A%7E%3Atext=%E2%80%9CPor%20la%20cual%20se%20adopta%2Cy%20se%20dictan%20otras%20disposiciones.%E2%80%9D" TargetMode="External"/><Relationship Id="rId74" Type="http://schemas.openxmlformats.org/officeDocument/2006/relationships/hyperlink" Target="https://www.fiscalia.gov.co/colombia/noticias/fiscalia-concluye-estudio-sobre-terceros-civiles-vinculados-al-conflicto-armado/" TargetMode="External"/><Relationship Id="rId128" Type="http://schemas.openxmlformats.org/officeDocument/2006/relationships/hyperlink" Target="https://buscador.comisiondelaverdad.co/resourcegroup/105-OE%7C1875107-FS%7C35421-OE%7C1875105-FS" TargetMode="External"/><Relationship Id="rId149" Type="http://schemas.openxmlformats.org/officeDocument/2006/relationships/image" Target="media/image24.png"/><Relationship Id="rId5" Type="http://schemas.openxmlformats.org/officeDocument/2006/relationships/webSettings" Target="webSettings.xml"/><Relationship Id="rId95" Type="http://schemas.openxmlformats.org/officeDocument/2006/relationships/hyperlink" Target="https://www.periodico15.com/lo-que-hugo-h-aguilar-nunca-calculo-es-que-julio-cesar-prieto-no-es-pendejo-dice-el-excomandante-del-batallon-de-san-vicente-de-chucuri-santander/" TargetMode="External"/><Relationship Id="rId160" Type="http://schemas.openxmlformats.org/officeDocument/2006/relationships/hyperlink" Target="https://comisiondelaverdad.co/actualidad/noticias/alfonso-valdivieso-sociedad-que-las-instituciones-para-el-posconflicto" TargetMode="External"/><Relationship Id="rId181" Type="http://schemas.openxmlformats.org/officeDocument/2006/relationships/hyperlink" Target="https://www.elespectador.com/colombia-20/conflicto/2020-un-ano-marcado-por-las-masacres-article/" TargetMode="External"/><Relationship Id="rId216" Type="http://schemas.openxmlformats.org/officeDocument/2006/relationships/hyperlink" Target="http://www.elespectador.com/colombia-20/paz-y-memoria/casa-" TargetMode="External"/><Relationship Id="rId22" Type="http://schemas.openxmlformats.org/officeDocument/2006/relationships/image" Target="media/image5.jpeg"/><Relationship Id="rId43" Type="http://schemas.openxmlformats.org/officeDocument/2006/relationships/hyperlink" Target="https://verdadabierta.com/wp-content/uploads/2019/03/Verdad-en-sentencias-JyP.-CITpaxJaveriana-PDF-FINAL.pdf" TargetMode="External"/><Relationship Id="rId64" Type="http://schemas.openxmlformats.org/officeDocument/2006/relationships/hyperlink" Target="https://www.bbc.com/mundo/noticias-america-latina-39583477" TargetMode="External"/><Relationship Id="rId118" Type="http://schemas.openxmlformats.org/officeDocument/2006/relationships/hyperlink" Target="http://www.ideaspaz.org/tools/download/48979" TargetMode="External"/><Relationship Id="rId139" Type="http://schemas.openxmlformats.org/officeDocument/2006/relationships/hyperlink" Target="https://verdadabierta.com/cadena-rodrigo-mercado-peluffo/" TargetMode="External"/><Relationship Id="rId85" Type="http://schemas.openxmlformats.org/officeDocument/2006/relationships/hyperlink" Target="https://jurinfo.jep.gov.co/normograma/compilacion/docs/auto_sarv-at-132-mc-fp-farc-ep_03-septiembre-2020.htm" TargetMode="External"/><Relationship Id="rId150" Type="http://schemas.openxmlformats.org/officeDocument/2006/relationships/hyperlink" Target="https://www.ohchr.org/es/special-procedures/sr-independence-of-judges-and-lawyers" TargetMode="External"/><Relationship Id="rId171" Type="http://schemas.openxmlformats.org/officeDocument/2006/relationships/hyperlink" Target="https://www.corteidh.or.cr/docs/supervisiones/mapiripan_08_07_09.pdf" TargetMode="External"/><Relationship Id="rId192" Type="http://schemas.openxmlformats.org/officeDocument/2006/relationships/hyperlink" Target="https://www.fiscalia.gov.co/colombia/wp-content/uploads/2017/02/2016-12-07-Atanael-Matajudios-Buitrago.pdf" TargetMode="External"/><Relationship Id="rId206" Type="http://schemas.openxmlformats.org/officeDocument/2006/relationships/hyperlink" Target="http://www.unodc.org/documents/crop-" TargetMode="External"/><Relationship Id="rId12" Type="http://schemas.openxmlformats.org/officeDocument/2006/relationships/hyperlink" Target="http://www.elespectador.com/politica/la-cuestionable-estrategia-de-" TargetMode="External"/><Relationship Id="rId33" Type="http://schemas.openxmlformats.org/officeDocument/2006/relationships/image" Target="media/image16.jpeg"/><Relationship Id="rId108" Type="http://schemas.openxmlformats.org/officeDocument/2006/relationships/hyperlink" Target="https://www.funcionpublica.gov.co/eva/gestornormativo/norma.php?i=3343&amp;%3A%7E%3Atext=Por%20el%20cual%20se%20reorganizan%2CMunicipales%20de%20Seguridad%20y%20se" TargetMode="External"/><Relationship Id="rId129" Type="http://schemas.openxmlformats.org/officeDocument/2006/relationships/hyperlink" Target="https://buscador.comisiondelaverdad.co/resourcegroup/105-OE%7C1875107-FS%7C35421-OE%7C1875105-FS" TargetMode="External"/><Relationship Id="rId54" Type="http://schemas.openxmlformats.org/officeDocument/2006/relationships/hyperlink" Target="https://www.funcionpublica.gov.co/eva/gestornormativo/norma.php?i=31239&amp;%3A%7E%3Atext=%E2%80%9CPor%20la%20cual%20se%20adopta%2Cy%20se%20dictan%20otras%20disposiciones.%E2%80%9D" TargetMode="External"/><Relationship Id="rId75" Type="http://schemas.openxmlformats.org/officeDocument/2006/relationships/hyperlink" Target="https://www.fiscalia.gov.co/colombia/noticias/fiscalia-concluye-estudio-sobre-terceros-civiles-vinculados-al-conflicto-armado/" TargetMode="External"/><Relationship Id="rId96" Type="http://schemas.openxmlformats.org/officeDocument/2006/relationships/hyperlink" Target="https://www.suin-juriscol.gov.co/clp/contenidos.dll/Decretos/1276621?fn=document-frame.htm%24f%3Dtemplates%243.0" TargetMode="External"/><Relationship Id="rId140" Type="http://schemas.openxmlformats.org/officeDocument/2006/relationships/hyperlink" Target="https://verdadabierta.com/los-viajes-de-los-bananeros-a-puerto-boyaca/" TargetMode="External"/><Relationship Id="rId161" Type="http://schemas.openxmlformats.org/officeDocument/2006/relationships/hyperlink" Target="https://buscador.comisiondelaverdad.co/detail/1000126-FSMB-62b750b8a4736d1736524bac" TargetMode="External"/><Relationship Id="rId182" Type="http://schemas.openxmlformats.org/officeDocument/2006/relationships/hyperlink" Target="https://www.elespectador.com/colombia/mas-regiones/los-hornos-del-horror-en-el-catatumbo-article-140079/" TargetMode="External"/><Relationship Id="rId217" Type="http://schemas.openxmlformats.org/officeDocument/2006/relationships/hyperlink" Target="http://www.minsalud.gov.co/sites/rid/Lists/BibliotecaDigital/RIDE/DE/DIJ/resolucion-089-de-" TargetMode="External"/><Relationship Id="rId6" Type="http://schemas.openxmlformats.org/officeDocument/2006/relationships/footnotes" Target="footnotes.xml"/><Relationship Id="rId23" Type="http://schemas.openxmlformats.org/officeDocument/2006/relationships/image" Target="media/image6.jpeg"/><Relationship Id="rId119" Type="http://schemas.openxmlformats.org/officeDocument/2006/relationships/hyperlink" Target="https://www.wradio.com.co/2022/03/09/aguilas-negras-amenazan-a-lideres-indigenas-y-organizaciones-sociales-del-cauca/" TargetMode="External"/><Relationship Id="rId44" Type="http://schemas.openxmlformats.org/officeDocument/2006/relationships/hyperlink" Target="https://www.coljuristas.org/documentos/libros_e_informes/ddhh_en_colombia_3er_informe_de_la_cidh.pdf" TargetMode="External"/><Relationship Id="rId65" Type="http://schemas.openxmlformats.org/officeDocument/2006/relationships/hyperlink" Target="https://www.bbc.com/mundo/noticias-america-latina-39583477" TargetMode="External"/><Relationship Id="rId86" Type="http://schemas.openxmlformats.org/officeDocument/2006/relationships/hyperlink" Target="https://jurinfo.jep.gov.co/normograma/compilacion/docs/auto_sarv-at-132-mc-fp-farc-ep_03-septiembre-2020.htm" TargetMode="External"/><Relationship Id="rId130" Type="http://schemas.openxmlformats.org/officeDocument/2006/relationships/hyperlink" Target="https://www.fiscalia.gov.co/colombia/wp-content/uploads/2014/12/2014-10-31-680008-SALVATORE-MONCUSO.pdf" TargetMode="External"/><Relationship Id="rId151" Type="http://schemas.openxmlformats.org/officeDocument/2006/relationships/hyperlink" Target="https://www.eltiempo.com/archivo/documento/CMS-3420081" TargetMode="External"/><Relationship Id="rId172" Type="http://schemas.openxmlformats.org/officeDocument/2006/relationships/hyperlink" Target="https://www.corteidh.or.cr/docs/casos/articulos/seriec_213_esp.pdf" TargetMode="External"/><Relationship Id="rId193" Type="http://schemas.openxmlformats.org/officeDocument/2006/relationships/hyperlink" Target="https://www.fiscalia.gov.co/colombia/wp-content/uploads/2017/02/2016-12-07-Atanael-Matajudios-Buitrago.pdf" TargetMode="External"/><Relationship Id="rId207" Type="http://schemas.openxmlformats.org/officeDocument/2006/relationships/hyperlink" Target="http://webcache.googleusercontent.com/search?q=cache%3Am1VGyVhRnfAJ%3A190.217.24.55%3A8" TargetMode="External"/><Relationship Id="rId13" Type="http://schemas.openxmlformats.org/officeDocument/2006/relationships/hyperlink" Target="http://www.unidadvictimas.gov.co/es/registro-unico-de-victimas-ruv/37394" TargetMode="External"/><Relationship Id="rId109" Type="http://schemas.openxmlformats.org/officeDocument/2006/relationships/hyperlink" Target="https://www.suin-juriscol.gov.co/viewDocument.asp?id=1778201" TargetMode="External"/><Relationship Id="rId34" Type="http://schemas.openxmlformats.org/officeDocument/2006/relationships/hyperlink" Target="https://jurinfo.jep.gov.co/normograma/compilacion/docs/pdf/Auto_SRVR-029_01-marzo-2019.pdf" TargetMode="External"/><Relationship Id="rId55" Type="http://schemas.openxmlformats.org/officeDocument/2006/relationships/hyperlink" Target="https://www.funcionpublica.gov.co/eva/gestornormativo/norma.php?i=176406" TargetMode="External"/><Relationship Id="rId76" Type="http://schemas.openxmlformats.org/officeDocument/2006/relationships/hyperlink" Target="https://www.fiscalia.gov.co/colombia/noticias/tribunal-superior-de-justicia-y-paz-de-medellin-excluyo-a-alias-gordolindo/" TargetMode="External"/><Relationship Id="rId97" Type="http://schemas.openxmlformats.org/officeDocument/2006/relationships/hyperlink" Target="https://www.suin-juriscol.gov.co/clp/contenidos.dll/Decretos/1276621?fn=document-frame.htm%24f%3Dtemplates%243.0" TargetMode="External"/><Relationship Id="rId120" Type="http://schemas.openxmlformats.org/officeDocument/2006/relationships/hyperlink" Target="https://www.wradio.com.co/2022/03/09/aguilas-negras-amenazan-a-lideres-indigenas-y-organizaciones-sociales-del-cauca/" TargetMode="External"/><Relationship Id="rId141" Type="http://schemas.openxmlformats.org/officeDocument/2006/relationships/hyperlink" Target="http://www.archivodelosddhh.gov.co/saia_release1/fondos/carpeta_digitalizacion/co_juzgado_primero_bmanga/12.%202015-030%20BLADIMIR%20L%C3%93PEZ%20CARO/2015-04_Abr-D680013121001201500030000Recepci%C3%B3n%20memorial2015427144813.pdf" TargetMode="External"/><Relationship Id="rId7" Type="http://schemas.openxmlformats.org/officeDocument/2006/relationships/endnotes" Target="endnotes.xml"/><Relationship Id="rId162" Type="http://schemas.openxmlformats.org/officeDocument/2006/relationships/hyperlink" Target="https://buscador.comisiondelaverdad.co/detail/1000126-FSMB-62b750b8a4736d1736524bac" TargetMode="External"/><Relationship Id="rId183" Type="http://schemas.openxmlformats.org/officeDocument/2006/relationships/hyperlink" Target="https://www.elespectador.com/colombia/mas-regiones/los-hornos-del-horror-en-el-catatumbo-article-140079/" TargetMode="External"/><Relationship Id="rId218" Type="http://schemas.openxmlformats.org/officeDocument/2006/relationships/hyperlink" Target="http://www.minsalud.gov.co/sites/rid/Lists/BibliotecaDigital/RIDE/DE/DIJ/resolucion-089-de-" TargetMode="External"/><Relationship Id="rId24" Type="http://schemas.openxmlformats.org/officeDocument/2006/relationships/image" Target="media/image7.jpeg"/><Relationship Id="rId45" Type="http://schemas.openxmlformats.org/officeDocument/2006/relationships/hyperlink" Target="https://www.coljuristas.org/documentos/libros_e_informes/ddhh_en_colombia_3er_informe_de_la_cidh.pdf" TargetMode="External"/><Relationship Id="rId66" Type="http://schemas.openxmlformats.org/officeDocument/2006/relationships/hyperlink" Target="https://www.elcolombiano.com/colombia/aguilas-negras-amenazaron-a-los-magistrados-de-la-corte-que-votaron-a-favor-del-aborto-MI16784392" TargetMode="External"/><Relationship Id="rId87" Type="http://schemas.openxmlformats.org/officeDocument/2006/relationships/hyperlink" Target="https://www.jep.gov.co/Notificaciones/ESTADO%20No.%2019%20SARV%20Auto%20AI%2015%20DEL%2026-02-2021.pdf" TargetMode="External"/><Relationship Id="rId110" Type="http://schemas.openxmlformats.org/officeDocument/2006/relationships/hyperlink" Target="https://www.suin-juriscol.gov.co/viewDocument.asp?id=1778201" TargetMode="External"/><Relationship Id="rId131" Type="http://schemas.openxmlformats.org/officeDocument/2006/relationships/hyperlink" Target="https://www.fiscalia.gov.co/colombia/wp-content/uploads/2014/12/2014-10-31-680008-SALVATORE-MONCUSO.pdf" TargetMode="External"/><Relationship Id="rId152" Type="http://schemas.openxmlformats.org/officeDocument/2006/relationships/hyperlink" Target="https://www.eltiempo.com/archivo/documento/MAM-138869" TargetMode="External"/><Relationship Id="rId173" Type="http://schemas.openxmlformats.org/officeDocument/2006/relationships/hyperlink" Target="https://www.corteidh.or.cr/docs/supervisiones/masacres_21_05_13.pdf" TargetMode="External"/><Relationship Id="rId194" Type="http://schemas.openxmlformats.org/officeDocument/2006/relationships/hyperlink" Target="https://www.ramajudicial.gov.co/documents/6342228/16133726/2006-80450-%2802-02-2018%29-Correcci%C3%B3n%2Bsentencia.pdf/aed64766-516d-4653-8009-179dbb011d95" TargetMode="External"/><Relationship Id="rId208" Type="http://schemas.openxmlformats.org/officeDocument/2006/relationships/hyperlink" Target="http://www.womenslinkworldwide.org/files/3163/informe-completo-una-violencia-sin-" TargetMode="External"/><Relationship Id="rId14" Type="http://schemas.openxmlformats.org/officeDocument/2006/relationships/hyperlink" Target="http://www.minsalud.gov.co/sites/rid/Lists/BibliotecaDigital/RIDE/DE/PS/inform" TargetMode="External"/><Relationship Id="rId35" Type="http://schemas.openxmlformats.org/officeDocument/2006/relationships/hyperlink" Target="https://www.laopinion.com.co/ecos-del-paro-del-nororiente" TargetMode="External"/><Relationship Id="rId56" Type="http://schemas.openxmlformats.org/officeDocument/2006/relationships/hyperlink" Target="https://www.corteidh.or.cr/docs/casos/articulos/seriec_148_esp.pdf" TargetMode="External"/><Relationship Id="rId77" Type="http://schemas.openxmlformats.org/officeDocument/2006/relationships/hyperlink" Target="https://www.fiscalia.gov.co/colombia/noticias/tribunal-superior-de-justicia-y-paz-de-medellin-excluyo-a-alias-gordolindo/" TargetMode="External"/><Relationship Id="rId100" Type="http://schemas.openxmlformats.org/officeDocument/2006/relationships/hyperlink" Target="https://www.suin-juriscol.gov.co/clp/contenidos.dll/Decretos/1801084?fn=document-frame.htm%24f%3Dtemplates%243.0" TargetMode="External"/><Relationship Id="rId8" Type="http://schemas.openxmlformats.org/officeDocument/2006/relationships/image" Target="media/image1.jpeg"/><Relationship Id="rId51" Type="http://schemas.openxmlformats.org/officeDocument/2006/relationships/hyperlink" Target="http://www.cidh.org/countryrep/colom99sp/indice.htm" TargetMode="External"/><Relationship Id="rId72" Type="http://schemas.openxmlformats.org/officeDocument/2006/relationships/hyperlink" Target="https://www.eltiempo.com/bogota/paro-nacional-aguilas-negras-amenazan-a-jovenes-de-facatativa-594726" TargetMode="External"/><Relationship Id="rId93" Type="http://schemas.openxmlformats.org/officeDocument/2006/relationships/hyperlink" Target="https://www.periodico15.com/lo-que-hugo-h-aguilar-nunca-calculo-es-que-julio-cesar-prieto-no-es-pendejo-dice-el-excomandante-del-batallon-de-san-vicente-de-chucuri-santander/" TargetMode="External"/><Relationship Id="rId98" Type="http://schemas.openxmlformats.org/officeDocument/2006/relationships/hyperlink" Target="https://www.suin-juriscol.gov.co/clp/contenidos.dll/Decretos/1276621?fn=document-frame.htm%24f%3Dtemplates%243.0" TargetMode="External"/><Relationship Id="rId121" Type="http://schemas.openxmlformats.org/officeDocument/2006/relationships/hyperlink" Target="https://www.supersalud.gov.co/es-co/Paginas/CatalogItem-ListaNoticias.aspx?TermStoreId=3ac77b2c-d325-4e94-982b-ed583e66bd71&amp;TermSetId=58ca42fd-8b93-415c-9418-775d598d0233&amp;TermId=1984a386-fe9f-44a5-bdeb-04315d90d44e&amp;UrlSuffix=supersalud-ordena-liquidacion-de-la-eps-indigena-manexka" TargetMode="External"/><Relationship Id="rId142" Type="http://schemas.openxmlformats.org/officeDocument/2006/relationships/hyperlink" Target="http://www.archivodelosddhh.gov.co/saia_release1/fondos/carpeta_digitalizacion/co_juzgado_primero_bmanga/12.%202015-030%20BLADIMIR%20L%C3%93PEZ%20CARO/2015-04_Abr-D680013121001201500030000Recepci%C3%B3n%20memorial2015427144813.pdf" TargetMode="External"/><Relationship Id="rId163" Type="http://schemas.openxmlformats.org/officeDocument/2006/relationships/hyperlink" Target="https://www.contraloria.gov.co/resultados/informes/analisis-sectoriales-y-politicas-publicas/defensa-y-seguridad-nacional/-/asset_publisher/yoew/document/id/964341" TargetMode="External"/><Relationship Id="rId184" Type="http://schemas.openxmlformats.org/officeDocument/2006/relationships/hyperlink" Target="https://www.hrw.org/legacy/spanish/docs/2007/02/01/colomb15247_txt.htm" TargetMode="External"/><Relationship Id="rId189" Type="http://schemas.openxmlformats.org/officeDocument/2006/relationships/hyperlink" Target="https://www.jep.gov.co/Sala-de-Prensa/Documents/CASO%2001%20TOMA%20DE%20REHENES/Auto%20No.%2019%20de%202021.pdf?csf=1&amp;e=16bYs0" TargetMode="External"/><Relationship Id="rId219" Type="http://schemas.openxmlformats.org/officeDocument/2006/relationships/hyperlink" Target="http://www.funcionpublica.gov.co/eva/gestornormativo/norma.php?i=44984" TargetMode="External"/><Relationship Id="rId3" Type="http://schemas.openxmlformats.org/officeDocument/2006/relationships/styles" Target="styles.xml"/><Relationship Id="rId214" Type="http://schemas.openxmlformats.org/officeDocument/2006/relationships/hyperlink" Target="http://www.youtube.com/watch?v=C-pUsQJVl9E" TargetMode="External"/><Relationship Id="rId25" Type="http://schemas.openxmlformats.org/officeDocument/2006/relationships/image" Target="media/image8.jpeg"/><Relationship Id="rId46" Type="http://schemas.openxmlformats.org/officeDocument/2006/relationships/hyperlink" Target="https://www.coljuristas.org/documentos/libros_e_informes/organizaciones_sucesoras_del_paramilitarismo.pdf" TargetMode="External"/><Relationship Id="rId67" Type="http://schemas.openxmlformats.org/officeDocument/2006/relationships/hyperlink" Target="https://www.elcolombiano.com/colombia/aguilas-negras-amenazaron-a-los-magistrados-de-la-corte-que-votaron-a-favor-del-aborto-MI16784392" TargetMode="External"/><Relationship Id="rId116" Type="http://schemas.openxmlformats.org/officeDocument/2006/relationships/hyperlink" Target="https://www.suin-juriscol.gov.co/viewDocument.asp?id=1171406" TargetMode="External"/><Relationship Id="rId137" Type="http://schemas.openxmlformats.org/officeDocument/2006/relationships/hyperlink" Target="https://www.fiscalia.gov.co/colombia/wp-content/uploads/2015/04/09-12-2014-Sentencia-Jesus-Ignacio-Roldan-Perez.pdf" TargetMode="External"/><Relationship Id="rId158" Type="http://schemas.openxmlformats.org/officeDocument/2006/relationships/hyperlink" Target="https://comisiondelaverdad.co/actualidad/noticias/reconocimiento-farc-hablo-masacres-violaciones-cometidas-contra-pueblos-indigenas" TargetMode="External"/><Relationship Id="rId20" Type="http://schemas.openxmlformats.org/officeDocument/2006/relationships/image" Target="media/image3.jpeg"/><Relationship Id="rId41" Type="http://schemas.openxmlformats.org/officeDocument/2006/relationships/hyperlink" Target="https://en.directobogota.com/amp/justicia-y-paz" TargetMode="External"/><Relationship Id="rId62" Type="http://schemas.openxmlformats.org/officeDocument/2006/relationships/hyperlink" Target="http://www.derechos.org/nizkor/colombia/doc/alvaro1.html" TargetMode="External"/><Relationship Id="rId83" Type="http://schemas.openxmlformats.org/officeDocument/2006/relationships/hyperlink" Target="https://es.scribd.com/document/572081557/Auto-075-2022-JEP-CASO06-UP-AutoUniversoVictimas-vs-060422-VF" TargetMode="External"/><Relationship Id="rId88" Type="http://schemas.openxmlformats.org/officeDocument/2006/relationships/hyperlink" Target="https://www.jep.gov.co/Notificaciones/ESTADO%20No.%2019%20SARV%20Auto%20AI%2015%20DEL%2026-02-2021.pdf" TargetMode="External"/><Relationship Id="rId111" Type="http://schemas.openxmlformats.org/officeDocument/2006/relationships/hyperlink" Target="https://www.funcionpublica.gov.co/eva/gestornormativo/norma.php?i=6051" TargetMode="External"/><Relationship Id="rId132" Type="http://schemas.openxmlformats.org/officeDocument/2006/relationships/hyperlink" Target="https://www.ramajudicial.gov.co/documents/6342228/0/HEBERT%B1VELOZA%B1GARC%C3%8DA%B1%2830%B110%B12013.pdf/7309e8ea-0441-4db7-aa87-f8c2f24d3748" TargetMode="External"/><Relationship Id="rId153" Type="http://schemas.openxmlformats.org/officeDocument/2006/relationships/hyperlink" Target="https://www.eltiempo.com/archivo/documento/CMS-4162180" TargetMode="External"/><Relationship Id="rId174" Type="http://schemas.openxmlformats.org/officeDocument/2006/relationships/hyperlink" Target="https://www.corteidh.or.cr/docs/casos/articulos/seriec_287_esp.pdf" TargetMode="External"/><Relationship Id="rId179" Type="http://schemas.openxmlformats.org/officeDocument/2006/relationships/hyperlink" Target="http://www.indepaz.org.co/wp-content/uploads/2020/02/IR-N%C2%B0-010-17-L%C3%ADderes-y-Defensores-de-DDHH.pdf" TargetMode="External"/><Relationship Id="rId195" Type="http://schemas.openxmlformats.org/officeDocument/2006/relationships/hyperlink" Target="https://www.ramajudicial.gov.co/documents/6342228/16133726/2006-80450-%2802-02-2018%29-Correcci%C3%B3n%2Bsentencia.pdf/aed64766-516d-4653-8009-179dbb011d95" TargetMode="External"/><Relationship Id="rId209" Type="http://schemas.openxmlformats.org/officeDocument/2006/relationships/hyperlink" Target="http://www.womenslinkworldwide.org/files/3163/informe-completo-una-violencia-sin-" TargetMode="External"/><Relationship Id="rId190" Type="http://schemas.openxmlformats.org/officeDocument/2006/relationships/hyperlink" Target="https://jurinfo.jep.gov.co/normograma/compilacion/docs/pdf/Auto_SRVR-029_01-marzo-2019.pdf" TargetMode="External"/><Relationship Id="rId204" Type="http://schemas.openxmlformats.org/officeDocument/2006/relationships/hyperlink" Target="http://www.corteconstitucional.gov.co/relatoria/autos/2015/A009-15.htm" TargetMode="External"/><Relationship Id="rId220" Type="http://schemas.openxmlformats.org/officeDocument/2006/relationships/footer" Target="footer1.xml"/><Relationship Id="rId15" Type="http://schemas.openxmlformats.org/officeDocument/2006/relationships/hyperlink" Target="http://www.minsalud.gov.co/sites/rid/Lists/BibliotecaDigital/RIDE/DE/PS/inform" TargetMode="External"/><Relationship Id="rId36" Type="http://schemas.openxmlformats.org/officeDocument/2006/relationships/hyperlink" Target="https://www.mindefensa.gov.co/irj/go/km/docs/Mindefensa/Documentos/descargas/Prensa/Documentos/politica_defensa_deguridad2019.pdf" TargetMode="External"/><Relationship Id="rId57" Type="http://schemas.openxmlformats.org/officeDocument/2006/relationships/hyperlink" Target="https://www.corteidh.or.cr/docs/casos/articulos/seriec_163_esp.pdf" TargetMode="External"/><Relationship Id="rId106" Type="http://schemas.openxmlformats.org/officeDocument/2006/relationships/hyperlink" Target="https://www.suin-juriscol.gov.co/viewDocument.asp?ruta=Decretos/1426116" TargetMode="External"/><Relationship Id="rId127" Type="http://schemas.openxmlformats.org/officeDocument/2006/relationships/hyperlink" Target="https://www.fiscalia.gov.co/colombia/wp-content/uploads/2012/10/Sentencia-Fredy-Rendon-Herrera-2011.pdf" TargetMode="External"/><Relationship Id="rId10" Type="http://schemas.openxmlformats.org/officeDocument/2006/relationships/hyperlink" Target="http://www.dane.gov.co/files/investigaciones/notas-estadisticas/oct-2021-nota-" TargetMode="External"/><Relationship Id="rId31" Type="http://schemas.openxmlformats.org/officeDocument/2006/relationships/image" Target="media/image14.jpeg"/><Relationship Id="rId52" Type="http://schemas.openxmlformats.org/officeDocument/2006/relationships/hyperlink" Target="https://www.funcionpublica.gov.co/eva/gestornormativo/norma.php?i=31239&amp;%3A%7E%3Atext=%E2%80%9CPor%20la%20cual%20se%20adopta%2Cy%20se%20dictan%20otras%20disposiciones.%E2%80%9D" TargetMode="External"/><Relationship Id="rId73" Type="http://schemas.openxmlformats.org/officeDocument/2006/relationships/hyperlink" Target="http://www.derechos.org/nizkor/colombia/libros/nm/z7/index.html" TargetMode="External"/><Relationship Id="rId78" Type="http://schemas.openxmlformats.org/officeDocument/2006/relationships/hyperlink" Target="https://www.globalfirepower.com/manpower-paramilitary.php" TargetMode="External"/><Relationship Id="rId94" Type="http://schemas.openxmlformats.org/officeDocument/2006/relationships/hyperlink" Target="https://www.periodico15.com/lo-que-hugo-h-aguilar-nunca-calculo-es-que-julio-cesar-prieto-no-es-pendejo-dice-el-excomandante-del-batallon-de-san-vicente-de-chucuri-santander/" TargetMode="External"/><Relationship Id="rId99" Type="http://schemas.openxmlformats.org/officeDocument/2006/relationships/hyperlink" Target="https://www.suin-juriscol.gov.co/clp/contenidos.dll/Decretos/1801084?fn=document-frame.htm%24f%3Dtemplates%243.0" TargetMode="External"/><Relationship Id="rId101" Type="http://schemas.openxmlformats.org/officeDocument/2006/relationships/hyperlink" Target="https://www.suin-juriscol.gov.co/clp/contenidos.dll/Decretos/1801084?fn=document-frame.htm%24f%3Dtemplates%243.0" TargetMode="External"/><Relationship Id="rId122" Type="http://schemas.openxmlformats.org/officeDocument/2006/relationships/hyperlink" Target="https://www.supersalud.gov.co/es-co/Paginas/CatalogItem-ListaNoticias.aspx?TermStoreId=3ac77b2c-d325-4e94-982b-ed583e66bd71&amp;TermSetId=58ca42fd-8b93-415c-9418-775d598d0233&amp;TermId=1984a386-fe9f-44a5-bdeb-04315d90d44e&amp;UrlSuffix=supersalud-ordena-liquidacion-de-la-eps-indigena-manexka" TargetMode="External"/><Relationship Id="rId143" Type="http://schemas.openxmlformats.org/officeDocument/2006/relationships/hyperlink" Target="http://www.archivodelosddhh.gov.co/saia_release1/fondos/carpeta_digitalizacion/co_juzgado_primero_bmanga/12.%202015-030%20BLADIMIR%20L%C3%93PEZ%20CARO/2015-04_Abr-D680013121001201500030000Recepci%C3%B3n%20memorial2015427144813.pdf" TargetMode="External"/><Relationship Id="rId148" Type="http://schemas.openxmlformats.org/officeDocument/2006/relationships/image" Target="media/image23.png"/><Relationship Id="rId164" Type="http://schemas.openxmlformats.org/officeDocument/2006/relationships/hyperlink" Target="https://www.contraloria.gov.co/resultados/informes/analisis-sectoriales-y-politicas-publicas/defensa-y-seguridad-nacional/-/asset_publisher/yoew/document/id/964341" TargetMode="External"/><Relationship Id="rId169" Type="http://schemas.openxmlformats.org/officeDocument/2006/relationships/hyperlink" Target="https://www.corteconstitucional.gov.co/relatoria/2008/C-1184-08.htm" TargetMode="External"/><Relationship Id="rId185" Type="http://schemas.openxmlformats.org/officeDocument/2006/relationships/hyperlink" Target="https://indepaz.org.co/informe-de-la-comision-historica-del-conflicto-y-sus-victimas/" TargetMode="External"/><Relationship Id="rId4" Type="http://schemas.openxmlformats.org/officeDocument/2006/relationships/settings" Target="settings.xml"/><Relationship Id="rId9" Type="http://schemas.openxmlformats.org/officeDocument/2006/relationships/hyperlink" Target="http://www.youtube.com/watch?v=btImBC0QlSQ" TargetMode="External"/><Relationship Id="rId180" Type="http://schemas.openxmlformats.org/officeDocument/2006/relationships/hyperlink" Target="https://www.elespectador.com/colombia-20/conflicto/2020-un-ano-marcado-por-las-masacres-article/" TargetMode="External"/><Relationship Id="rId210" Type="http://schemas.openxmlformats.org/officeDocument/2006/relationships/hyperlink" Target="http://www.youtube.com/watch?v=btImBC0QlSQ" TargetMode="External"/><Relationship Id="rId215" Type="http://schemas.openxmlformats.org/officeDocument/2006/relationships/hyperlink" Target="http://www.funcionpublica.gov.co/eva/gestornormativo/norma.php?i=85922" TargetMode="External"/><Relationship Id="rId26" Type="http://schemas.openxmlformats.org/officeDocument/2006/relationships/image" Target="media/image9.png"/><Relationship Id="rId47" Type="http://schemas.openxmlformats.org/officeDocument/2006/relationships/hyperlink" Target="https://www.coljuristas.org/documentos/boletines/bol_n27_975.pdf" TargetMode="External"/><Relationship Id="rId68" Type="http://schemas.openxmlformats.org/officeDocument/2006/relationships/hyperlink" Target="https://www.elcolombiano.com/colombia/aguilas-negras-amenazaron-a-los-magistrados-de-la-corte-que-votaron-a-favor-del-aborto-MI16784392" TargetMode="External"/><Relationship Id="rId89" Type="http://schemas.openxmlformats.org/officeDocument/2006/relationships/hyperlink" Target="https://www.mapp-oea.org/wp-content/uploads/2018/02/XI-Informe-Trimestral-MAPPOEA.pdf" TargetMode="External"/><Relationship Id="rId112" Type="http://schemas.openxmlformats.org/officeDocument/2006/relationships/hyperlink" Target="https://www.funcionpublica.gov.co/eva/gestornormativo/norma.php?i=66354" TargetMode="External"/><Relationship Id="rId133" Type="http://schemas.openxmlformats.org/officeDocument/2006/relationships/hyperlink" Target="https://www.ramajudicial.gov.co/documents/6342228/0/HEBERT%B1VELOZA%B1GARC%C3%8DA%B1%2830%B110%B12013.pdf/7309e8ea-0441-4db7-aa87-f8c2f24d3748" TargetMode="External"/><Relationship Id="rId154" Type="http://schemas.openxmlformats.org/officeDocument/2006/relationships/hyperlink" Target="http://www.corteidh.or.cr/docs/ca" TargetMode="External"/><Relationship Id="rId175" Type="http://schemas.openxmlformats.org/officeDocument/2006/relationships/hyperlink" Target="https://www.icc-cpi.int/sites/default/files/NR/rdonlyres/90ED4A0B-029E-49BA-8AA2-9DA59BE3EB09/278643/ICCDB14IPENG.pdf" TargetMode="External"/><Relationship Id="rId196" Type="http://schemas.openxmlformats.org/officeDocument/2006/relationships/hyperlink" Target="https://www.ramajudicial.gov.co/documents/6342228/16133726/2006-80450-%2802-02-2018%29-Correcci%C3%B3n%2Bsentencia.pdf/aed64766-516d-4653-8009-179dbb011d95" TargetMode="External"/><Relationship Id="rId200" Type="http://schemas.openxmlformats.org/officeDocument/2006/relationships/hyperlink" Target="http://www.cidh.org/countryrep/colombiamujeres06sp/informe" TargetMode="External"/><Relationship Id="rId16" Type="http://schemas.openxmlformats.org/officeDocument/2006/relationships/hyperlink" Target="http://www.urt.gov.co/estadisticas-de-" TargetMode="External"/><Relationship Id="rId221" Type="http://schemas.openxmlformats.org/officeDocument/2006/relationships/fontTable" Target="fontTable.xml"/><Relationship Id="rId37" Type="http://schemas.openxmlformats.org/officeDocument/2006/relationships/hyperlink" Target="https://www.mindefensa.gov.co/irj/go/km/docs/Mindefensa/Documentos/descargas/Prensa/Documentos/politica_defensa_deguridad2019.pdf" TargetMode="External"/><Relationship Id="rId58" Type="http://schemas.openxmlformats.org/officeDocument/2006/relationships/hyperlink" Target="https://www.corteidh.or.cr/docs/casos/articulos/seriec_213_esp.pdf" TargetMode="External"/><Relationship Id="rId79" Type="http://schemas.openxmlformats.org/officeDocument/2006/relationships/hyperlink" Target="https://peacemaker.un.org/sites/peacemaker.un.org/files/CO_030715_Acuerdo%20de%20Santa%20Fe%20de%20Ralito.pdf" TargetMode="External"/><Relationship Id="rId102" Type="http://schemas.openxmlformats.org/officeDocument/2006/relationships/hyperlink" Target="https://www.suin-juriscol.gov.co/clp/contenidos.dll/Decretos/30019385?fn=document-frame.htm%24f%3Dtemplates%243.0" TargetMode="External"/><Relationship Id="rId123" Type="http://schemas.openxmlformats.org/officeDocument/2006/relationships/hyperlink" Target="https://www.supersalud.gov.co/es-co/Paginas/CatalogItem-ListaNoticias.aspx?TermStoreId=3ac77b2c-d325-4e94-982b-ed583e66bd71&amp;TermSetId=58ca42fd-8b93-415c-9418-775d598d0233&amp;TermId=1984a386-fe9f-44a5-bdeb-04315d90d44e&amp;UrlSuffix=supersalud-ordena-liquidacion-de-la-eps-indigena-manexka" TargetMode="External"/><Relationship Id="rId144" Type="http://schemas.openxmlformats.org/officeDocument/2006/relationships/hyperlink" Target="http://www.archivodelosddhh.gov.co/saia_release1/fondos/carpeta_digitalizacion/co_juzgado_primero_bmanga/12.%202015-030%20BLADIMIR%20L%C3%93PEZ%20CARO/2015-04_Abr-D680013121001201500030000Recepci%C3%B3n%20memorial2015427144813.pdf" TargetMode="External"/><Relationship Id="rId90" Type="http://schemas.openxmlformats.org/officeDocument/2006/relationships/hyperlink" Target="https://www.mapp-oea.org/wp-content/uploads/2018/02/XI-Informe-Trimestral-MAPPOEA.pdf" TargetMode="External"/><Relationship Id="rId165" Type="http://schemas.openxmlformats.org/officeDocument/2006/relationships/hyperlink" Target="https://www.contraloria.gov.co/resultados/informes/analisis-sectoriales-y-politicas-publicas/defensa-y-seguridad-nacional/-/asset_publisher/yoew/document/id/964341" TargetMode="External"/><Relationship Id="rId186" Type="http://schemas.openxmlformats.org/officeDocument/2006/relationships/hyperlink" Target="https://indepaz.org.co/informe-de-la-comision-historica-del-conflicto-y-sus-victimas/" TargetMode="External"/><Relationship Id="rId211" Type="http://schemas.openxmlformats.org/officeDocument/2006/relationships/hyperlink" Target="http://www.youtube.com/watch?v=hQL1pIUBScI" TargetMode="External"/><Relationship Id="rId27" Type="http://schemas.openxmlformats.org/officeDocument/2006/relationships/image" Target="media/image10.jpeg"/><Relationship Id="rId48" Type="http://schemas.openxmlformats.org/officeDocument/2006/relationships/hyperlink" Target="https://www.youtube.com/watch?v=h0iO5BccNa4" TargetMode="External"/><Relationship Id="rId69" Type="http://schemas.openxmlformats.org/officeDocument/2006/relationships/hyperlink" Target="https://www.elheraldo.co/colombia/mancuso-denuncia-amenaza-de-las-aguilas-negras-848705" TargetMode="External"/><Relationship Id="rId113" Type="http://schemas.openxmlformats.org/officeDocument/2006/relationships/hyperlink" Target="https://www.funcionpublica.gov.co/eva/gestornormativo/norma.php?i=1341" TargetMode="External"/><Relationship Id="rId134" Type="http://schemas.openxmlformats.org/officeDocument/2006/relationships/hyperlink" Target="https://www.fiscalia.gov.co/colombia/wp-content/uploads/2012/10/Sentencia-Jos%C3%A9-Barney-Veloza-Garc%C3%ADa-2012.pdf" TargetMode="External"/><Relationship Id="rId80" Type="http://schemas.openxmlformats.org/officeDocument/2006/relationships/hyperlink" Target="https://peacemaker.un.org/sites/peacemaker.un.org/files/CO_030715_Acuerdo%20de%20Santa%20Fe%20de%20Ralito.pdf" TargetMode="External"/><Relationship Id="rId155" Type="http://schemas.openxmlformats.org/officeDocument/2006/relationships/hyperlink" Target="http://www.corteidh.or.cr/docs/ca" TargetMode="External"/><Relationship Id="rId176" Type="http://schemas.openxmlformats.org/officeDocument/2006/relationships/hyperlink" Target="https://www.icc-cpi.int/sites/default/files/NR/rdonlyres/90ED4A0B-029E-49BA-8AA2-9DA59BE3EB09/278643/ICCDB14IPENG.pdf" TargetMode="External"/><Relationship Id="rId197" Type="http://schemas.openxmlformats.org/officeDocument/2006/relationships/hyperlink" Target="https://www.corteconstitucional.gov.co/relatoria/2000/c-878-00.htm" TargetMode="External"/><Relationship Id="rId201" Type="http://schemas.openxmlformats.org/officeDocument/2006/relationships/hyperlink" Target="http://www.youtube.com/watch?v=kBox7JPTfPw" TargetMode="External"/><Relationship Id="rId222" Type="http://schemas.openxmlformats.org/officeDocument/2006/relationships/theme" Target="theme/theme1.xml"/><Relationship Id="rId17" Type="http://schemas.openxmlformats.org/officeDocument/2006/relationships/hyperlink" Target="http://www.youtube.com/watch?v=yXDkNwyDkto" TargetMode="External"/><Relationship Id="rId38" Type="http://schemas.openxmlformats.org/officeDocument/2006/relationships/image" Target="media/image17.png"/><Relationship Id="rId59" Type="http://schemas.openxmlformats.org/officeDocument/2006/relationships/hyperlink" Target="https://www.corteidh.or.cr/docs/casos/articulos/seriec_134_esp.pdf" TargetMode="External"/><Relationship Id="rId103" Type="http://schemas.openxmlformats.org/officeDocument/2006/relationships/hyperlink" Target="https://www.suin-juriscol.gov.co/clp/contenidos.dll/Decretos/30019385?fn=document-frame.htm%24f%3Dtemplates%243.0" TargetMode="External"/><Relationship Id="rId124" Type="http://schemas.openxmlformats.org/officeDocument/2006/relationships/hyperlink" Target="https://www.supersalud.gov.co/es-co/Paginas/CatalogItem-ListaNoticias.aspx?TermStoreId=3ac77b2c-d325-4e94-982b-ed583e66bd71&amp;TermSetId=58ca42fd-8b93-415c-9418-775d598d0233&amp;TermId=1984a386-fe9f-44a5-bdeb-04315d90d44e&amp;UrlSuffix=supersalud-ordena-liquidacion-de-la-eps-indigena-manexka" TargetMode="External"/><Relationship Id="rId70" Type="http://schemas.openxmlformats.org/officeDocument/2006/relationships/hyperlink" Target="https://www.elheraldo.co/colombia/mancuso-denuncia-amenaza-de-las-aguilas-negras-848705" TargetMode="External"/><Relationship Id="rId91" Type="http://schemas.openxmlformats.org/officeDocument/2006/relationships/hyperlink" Target="https://www.mapp-oea.org/wp-content/uploads/2018/02/XX-Informe-Semestral-MAPPOEA.pdf" TargetMode="External"/><Relationship Id="rId145" Type="http://schemas.openxmlformats.org/officeDocument/2006/relationships/image" Target="media/image20.png"/><Relationship Id="rId166" Type="http://schemas.openxmlformats.org/officeDocument/2006/relationships/hyperlink" Target="https://www.corteconstitucional.gov.co/relatoria/1997/c-358-97.htm" TargetMode="External"/><Relationship Id="rId187" Type="http://schemas.openxmlformats.org/officeDocument/2006/relationships/hyperlink" Target="https://www.jep.gov.co/Sala-de-Prensa/Documents/CASO%2001%20TOMA%20DE%20REHENES/Auto%20No.%2019%20de%202021.pdf?csf=1&amp;e=16bYs0" TargetMode="External"/><Relationship Id="rId1" Type="http://schemas.openxmlformats.org/officeDocument/2006/relationships/customXml" Target="../customXml/item1.xml"/><Relationship Id="rId212" Type="http://schemas.openxmlformats.org/officeDocument/2006/relationships/hyperlink" Target="http://www.youtube.com/watch?v=yXDkNwyDkto" TargetMode="External"/><Relationship Id="rId28" Type="http://schemas.openxmlformats.org/officeDocument/2006/relationships/image" Target="media/image11.jpeg"/><Relationship Id="rId49" Type="http://schemas.openxmlformats.org/officeDocument/2006/relationships/hyperlink" Target="https://www.youtube.com/watch?v=CpkLuBhZlhk" TargetMode="External"/><Relationship Id="rId114" Type="http://schemas.openxmlformats.org/officeDocument/2006/relationships/hyperlink" Target="https://www.suin-juriscol.gov.co/viewDocument.asp?ruta=Decretos/1171063" TargetMode="External"/><Relationship Id="rId60" Type="http://schemas.openxmlformats.org/officeDocument/2006/relationships/hyperlink" Target="https://www.corteidh.or.cr/docs/casos/articulos/seriec_270_esp.pdf" TargetMode="External"/><Relationship Id="rId81" Type="http://schemas.openxmlformats.org/officeDocument/2006/relationships/hyperlink" Target="http://biblioteca.clacso.edu.ar/Colombia/ipc/20170809051132/pdf_763.pdf" TargetMode="External"/><Relationship Id="rId135" Type="http://schemas.openxmlformats.org/officeDocument/2006/relationships/hyperlink" Target="https://www.fiscalia.gov.co/colombia/wp-content/uploads/2012/10/Sentencia-Jos%C3%A9-Barney-Veloza-Garc%C3%ADa-2012.pdf" TargetMode="External"/><Relationship Id="rId156" Type="http://schemas.openxmlformats.org/officeDocument/2006/relationships/hyperlink" Target="http://www.cidh.org/Comunicados/Spanish/2001/21-01.htm" TargetMode="External"/><Relationship Id="rId177" Type="http://schemas.openxmlformats.org/officeDocument/2006/relationships/hyperlink" Target="https://www.icc-cpi.int/sites/default/files/NR/rdonlyres/90ED4A0B-029E-49BA-8AA2-9DA59BE3EB09/278643/ICCDB14IPENG.pdf" TargetMode="External"/><Relationship Id="rId198" Type="http://schemas.openxmlformats.org/officeDocument/2006/relationships/hyperlink" Target="https://www.corteconstitucional.gov.co/relatoria/2000/c-878-00.htm" TargetMode="External"/><Relationship Id="rId202" Type="http://schemas.openxmlformats.org/officeDocument/2006/relationships/hyperlink" Target="http://www.youtube.com/watch?v=CpkLuBhZlhk" TargetMode="External"/><Relationship Id="rId18" Type="http://schemas.openxmlformats.org/officeDocument/2006/relationships/hyperlink" Target="http://www.youtube.com/watch?v=VLhrg4gS4Eg" TargetMode="External"/><Relationship Id="rId39" Type="http://schemas.openxmlformats.org/officeDocument/2006/relationships/image" Target="media/image18.png"/><Relationship Id="rId50" Type="http://schemas.openxmlformats.org/officeDocument/2006/relationships/hyperlink" Target="http://www.cidh.org/countryrep/Colom99sp/capitulo-4e.htm" TargetMode="External"/><Relationship Id="rId104" Type="http://schemas.openxmlformats.org/officeDocument/2006/relationships/hyperlink" Target="https://www.suin-juriscol.gov.co/clp/contenidos.dll/Decretos/30019385?fn=document-frame.htm%24f%3Dtemplates%243.0" TargetMode="External"/><Relationship Id="rId125" Type="http://schemas.openxmlformats.org/officeDocument/2006/relationships/hyperlink" Target="https://www.supersalud.gov.co/es-co/Paginas/CatalogItem-ListaNoticias.aspx?TermStoreId=3ac77b2c-d325-4e94-982b-ed583e66bd71&amp;TermSetId=58ca42fd-8b93-415c-9418-775d598d0233&amp;TermId=1984a386-fe9f-44a5-bdeb-04315d90d44e&amp;UrlSuffix=supersalud-ordena-liquidacion-de-la-eps-indigena-manexka" TargetMode="External"/><Relationship Id="rId146" Type="http://schemas.openxmlformats.org/officeDocument/2006/relationships/image" Target="media/image21.png"/><Relationship Id="rId167" Type="http://schemas.openxmlformats.org/officeDocument/2006/relationships/hyperlink" Target="https://www.corteconstitucional.gov.co/relatoria/2000/c-878-00.htm" TargetMode="External"/><Relationship Id="rId188" Type="http://schemas.openxmlformats.org/officeDocument/2006/relationships/hyperlink" Target="https://www.jep.gov.co/Sala-de-Prensa/Documents/CASO%2001%20TOMA%20DE%20REHENES/Auto%20No.%2019%20de%202021.pdf?csf=1&amp;e=16bYs0" TargetMode="External"/><Relationship Id="rId71" Type="http://schemas.openxmlformats.org/officeDocument/2006/relationships/hyperlink" Target="https://www.eltiempo.com/bogota/paro-nacional-aguilas-negras-amenazan-a-jovenes-de-facatativa-594726" TargetMode="External"/><Relationship Id="rId92" Type="http://schemas.openxmlformats.org/officeDocument/2006/relationships/hyperlink" Target="https://www.mapp-oea.org/wp-content/uploads/2018/02/XX-Informe-Semestral-MAPPOEA.pdf" TargetMode="External"/><Relationship Id="rId213" Type="http://schemas.openxmlformats.org/officeDocument/2006/relationships/hyperlink" Target="http://www.youtube.com/watch?v=jpURX5vIzf4" TargetMode="External"/><Relationship Id="rId2" Type="http://schemas.openxmlformats.org/officeDocument/2006/relationships/numbering" Target="numbering.xml"/><Relationship Id="rId29" Type="http://schemas.openxmlformats.org/officeDocument/2006/relationships/image" Target="media/image12.png"/><Relationship Id="rId40" Type="http://schemas.openxmlformats.org/officeDocument/2006/relationships/image" Target="media/image19.png"/><Relationship Id="rId115" Type="http://schemas.openxmlformats.org/officeDocument/2006/relationships/hyperlink" Target="https://www.suin-juriscol.gov.co/viewDocument.asp?ruta=Decretos/1171063" TargetMode="External"/><Relationship Id="rId136" Type="http://schemas.openxmlformats.org/officeDocument/2006/relationships/hyperlink" Target="https://www.fiscalia.gov.co/colombia/wp-content/uploads/2015/04/09-12-2014-Sentencia-Jesus-Ignacio-Roldan-Perez.pdf" TargetMode="External"/><Relationship Id="rId157" Type="http://schemas.openxmlformats.org/officeDocument/2006/relationships/hyperlink" Target="https://comisiondelaverdad.co/actualidad/noticias/reconocimiento-farc-hablo-masacres-violaciones-cometidas-contra-pueblos-indigenas" TargetMode="External"/><Relationship Id="rId178" Type="http://schemas.openxmlformats.org/officeDocument/2006/relationships/hyperlink" Target="http://www.indepaz.org.co/wp-content/uploads/2020/02/IR-N%C2%B0-010-17-L%C3%ADderes-y-Defensores-de-DDHH.pdf" TargetMode="External"/><Relationship Id="rId61" Type="http://schemas.openxmlformats.org/officeDocument/2006/relationships/hyperlink" Target="https://www.corteidh.or.cr/docs/casos/articulos/seriec_109_esp.pdf" TargetMode="External"/><Relationship Id="rId82" Type="http://schemas.openxmlformats.org/officeDocument/2006/relationships/hyperlink" Target="https://www.journeyman.tv/film/1952" TargetMode="External"/><Relationship Id="rId199" Type="http://schemas.openxmlformats.org/officeDocument/2006/relationships/hyperlink" Target="https://www.corteconstitucional.gov.co/relatoria/2000/c-878-00.htm" TargetMode="External"/><Relationship Id="rId203" Type="http://schemas.openxmlformats.org/officeDocument/2006/relationships/hyperlink" Target="http://www.sen.gov.co/files/guias/Guia" TargetMode="External"/><Relationship Id="rId19" Type="http://schemas.openxmlformats.org/officeDocument/2006/relationships/image" Target="media/image2.jpeg"/><Relationship Id="rId30" Type="http://schemas.openxmlformats.org/officeDocument/2006/relationships/image" Target="media/image13.png"/><Relationship Id="rId105" Type="http://schemas.openxmlformats.org/officeDocument/2006/relationships/hyperlink" Target="https://www.suin-juriscol.gov.co/viewDocument.asp?id=1886024" TargetMode="External"/><Relationship Id="rId126" Type="http://schemas.openxmlformats.org/officeDocument/2006/relationships/hyperlink" Target="https://www.fiscalia.gov.co/colombia/wp-content/uploads/2012/10/Sentencia-Fredy-Rendon-Herrera-2011.pdf" TargetMode="External"/><Relationship Id="rId147" Type="http://schemas.openxmlformats.org/officeDocument/2006/relationships/image" Target="media/image22.jpeg"/><Relationship Id="rId168" Type="http://schemas.openxmlformats.org/officeDocument/2006/relationships/hyperlink" Target="https://www.corteconstitucional.gov.co/relatoria/2000/c-878-0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6B47F-8FE9-4D38-A571-4C35B65E1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2180</TotalTime>
  <Pages>1143</Pages>
  <Words>278950</Words>
  <Characters>1534226</Characters>
  <Application>Microsoft Office Word</Application>
  <DocSecurity>8</DocSecurity>
  <Lines>12785</Lines>
  <Paragraphs>3619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Comisión para el Esclarecimiento de la verdad;la Convivencia y la No Repetición</dc:creator>
  <dc:description/>
  <cp:lastModifiedBy>John Jairo Jimenez</cp:lastModifiedBy>
  <cp:revision>530</cp:revision>
  <dcterms:created xsi:type="dcterms:W3CDTF">2022-08-17T20:50:00Z</dcterms:created>
  <dcterms:modified xsi:type="dcterms:W3CDTF">2022-08-26T15:34:00Z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Acrobat PDFMaker 20 for Word</vt:lpwstr>
  </property>
  <property fmtid="{D5CDD505-2E9C-101B-9397-08002B2CF9AE}" pid="4" name="LastSaved">
    <vt:filetime>2022-08-17T00:00:00Z</vt:filetime>
  </property>
  <property fmtid="{D5CDD505-2E9C-101B-9397-08002B2CF9AE}" pid="5" name="Producer">
    <vt:lpwstr>Adobe PDF Library 20.6.74</vt:lpwstr>
  </property>
  <property fmtid="{D5CDD505-2E9C-101B-9397-08002B2CF9AE}" pid="6" name="SourceModified">
    <vt:lpwstr>D:20220628132306</vt:lpwstr>
  </property>
</Properties>
</file>